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2E83C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381C94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AD9FF60" w14:textId="1F6A3D50" w:rsidR="00983732" w:rsidRPr="00A3026E" w:rsidRDefault="00983732"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За рубежом:</w:t>
      </w:r>
    </w:p>
    <w:p w14:paraId="312E5D08" w14:textId="77777777" w:rsidR="00983732" w:rsidRPr="00A3026E" w:rsidRDefault="00983732" w:rsidP="00A3026E">
      <w:pPr>
        <w:spacing w:after="0" w:line="240" w:lineRule="auto"/>
        <w:jc w:val="both"/>
        <w:rPr>
          <w:rFonts w:ascii="Times New Roman" w:hAnsi="Times New Roman"/>
          <w:i/>
          <w:iCs/>
          <w:color w:val="000000" w:themeColor="text1"/>
          <w:sz w:val="16"/>
          <w:szCs w:val="16"/>
        </w:rPr>
      </w:pPr>
    </w:p>
    <w:p w14:paraId="49BEEB39" w14:textId="77777777" w:rsidR="00983732" w:rsidRPr="00A3026E" w:rsidRDefault="0098373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осени 1941 г. построили пять прототипов Ме-163, два из которых, V-4 и V-8, отправили в Пенемюнде для проведения испытаний с ЖРД, и 13 сентября Диттмар впервые поднял Me 163V-4 на реактивной тяге. После чего, несмотря на «четверку» в обозначении, Me 163V-4 стал первым в следующих номинациях: 3 побитие рекорда скорости поршневого Me 209; 3 достижение скорости 920 км/ч при старте с ВПП; 3 преодоление скорости 1 000 км/ч (22774).</w:t>
      </w:r>
    </w:p>
    <w:p w14:paraId="3C52B649" w14:textId="77777777" w:rsidR="00983732" w:rsidRPr="00A3026E" w:rsidRDefault="00983732" w:rsidP="00A3026E">
      <w:pPr>
        <w:spacing w:after="0" w:line="240" w:lineRule="auto"/>
        <w:jc w:val="both"/>
        <w:rPr>
          <w:rFonts w:ascii="Times New Roman" w:hAnsi="Times New Roman"/>
          <w:color w:val="0070C0"/>
          <w:sz w:val="16"/>
          <w:szCs w:val="16"/>
        </w:rPr>
      </w:pPr>
    </w:p>
    <w:p w14:paraId="7512E35F" w14:textId="6826BD05"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сентябрю 1940 были закончены заводские и гос. испытания Ш-7 по расширенной программе СНИИ ГВФ и решили построить серию на ремонтном заводе Главсевморпути в Красноярске. Помешала война (449).</w:t>
      </w:r>
    </w:p>
    <w:p w14:paraId="70A9A3C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FCB8B9" w14:textId="77777777" w:rsidR="00F40FA6" w:rsidRPr="00A3026E" w:rsidRDefault="00F40FA6"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К сентябрю 1940 г. из 3 опытных автоматов калибра 23 мм — ПТБ-23, ТКБ-198, ТКБ-201 — наи</w:t>
      </w:r>
      <w:r w:rsidRPr="00A3026E">
        <w:rPr>
          <w:color w:val="000000" w:themeColor="text1"/>
          <w:sz w:val="16"/>
          <w:szCs w:val="16"/>
        </w:rPr>
        <w:softHyphen/>
        <w:t>лучшие результаты показывала пушка Таубина—Ба</w:t>
      </w:r>
      <w:r w:rsidRPr="00A3026E">
        <w:rPr>
          <w:color w:val="000000" w:themeColor="text1"/>
          <w:sz w:val="16"/>
          <w:szCs w:val="16"/>
        </w:rPr>
        <w:softHyphen/>
        <w:t>бурина. Она оказалась самой легкой, компактной и наиболее доведенной при сопоставимых балли</w:t>
      </w:r>
      <w:r w:rsidRPr="00A3026E">
        <w:rPr>
          <w:color w:val="000000" w:themeColor="text1"/>
          <w:sz w:val="16"/>
          <w:szCs w:val="16"/>
        </w:rPr>
        <w:softHyphen/>
        <w:t>стических данных и темпу стрельбы. В ее конструк</w:t>
      </w:r>
      <w:r w:rsidRPr="00A3026E">
        <w:rPr>
          <w:color w:val="000000" w:themeColor="text1"/>
          <w:sz w:val="16"/>
          <w:szCs w:val="16"/>
        </w:rPr>
        <w:softHyphen/>
        <w:t>цию были заложены наиболее прогрессивные на тот момент технические решения.</w:t>
      </w:r>
    </w:p>
    <w:p w14:paraId="18476A4D" w14:textId="77777777" w:rsidR="00F40FA6" w:rsidRPr="00A3026E" w:rsidRDefault="00F40FA6"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Пушки тульского ЦКБ-14 работали за счет ис</w:t>
      </w:r>
      <w:r w:rsidRPr="00A3026E">
        <w:rPr>
          <w:color w:val="000000" w:themeColor="text1"/>
          <w:sz w:val="16"/>
          <w:szCs w:val="16"/>
        </w:rPr>
        <w:softHyphen/>
        <w:t>пользования энергии пороховых газов, отводимых из канала ствола. Затвор скользящий. Запирание клиновое. Питание автоматов осуществлялось от металлической ленты с рассыпным звеном. Досто</w:t>
      </w:r>
      <w:r w:rsidRPr="00A3026E">
        <w:rPr>
          <w:color w:val="000000" w:themeColor="text1"/>
          <w:sz w:val="16"/>
          <w:szCs w:val="16"/>
        </w:rPr>
        <w:softHyphen/>
        <w:t>инством схемы автоматики этих пушек является возможность получения высокого темпа стрельбы (600—650 выстр./мин) при большой мощности вы</w:t>
      </w:r>
      <w:r w:rsidRPr="00A3026E">
        <w:rPr>
          <w:color w:val="000000" w:themeColor="text1"/>
          <w:sz w:val="16"/>
          <w:szCs w:val="16"/>
        </w:rPr>
        <w:softHyphen/>
        <w:t>стрела для такого калибра, недостатком — сильная отдача и довольно резкая работа механизмов авто</w:t>
      </w:r>
      <w:r w:rsidRPr="00A3026E">
        <w:rPr>
          <w:color w:val="000000" w:themeColor="text1"/>
          <w:sz w:val="16"/>
          <w:szCs w:val="16"/>
        </w:rPr>
        <w:softHyphen/>
        <w:t>матики.</w:t>
      </w:r>
    </w:p>
    <w:p w14:paraId="06C5BE54" w14:textId="77777777" w:rsidR="00F40FA6" w:rsidRPr="00A3026E" w:rsidRDefault="00F40FA6"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Для уменьшения силового воздействия на пу</w:t>
      </w:r>
      <w:r w:rsidRPr="00A3026E">
        <w:rPr>
          <w:color w:val="000000" w:themeColor="text1"/>
          <w:sz w:val="16"/>
          <w:szCs w:val="16"/>
        </w:rPr>
        <w:softHyphen/>
        <w:t>шечную установку (самолет) необходимо было устанавливать автомат на лафет с амортизатором силы отдачи (например, пружинным амортизато</w:t>
      </w:r>
      <w:r w:rsidRPr="00A3026E">
        <w:rPr>
          <w:color w:val="000000" w:themeColor="text1"/>
          <w:sz w:val="16"/>
          <w:szCs w:val="16"/>
        </w:rPr>
        <w:softHyphen/>
        <w:t>ром). Это заметно увеличивало вес и габариты всей артсистемы, а также требовало отработки надеж</w:t>
      </w:r>
      <w:r w:rsidRPr="00A3026E">
        <w:rPr>
          <w:color w:val="000000" w:themeColor="text1"/>
          <w:sz w:val="16"/>
          <w:szCs w:val="16"/>
        </w:rPr>
        <w:softHyphen/>
        <w:t>ной конструкции подвижного патронного рукава, так как пушка при стрельбе откатывалась назад. Здесь следует иметь в виду, что при тех значени</w:t>
      </w:r>
      <w:r w:rsidRPr="00A3026E">
        <w:rPr>
          <w:color w:val="000000" w:themeColor="text1"/>
          <w:sz w:val="16"/>
          <w:szCs w:val="16"/>
        </w:rPr>
        <w:softHyphen/>
        <w:t>ях технических характеристик, которые имели в то время патронные ленты, величина отката пушки ограничивалась 20 мм. При большей величине от</w:t>
      </w:r>
      <w:r w:rsidRPr="00A3026E">
        <w:rPr>
          <w:color w:val="000000" w:themeColor="text1"/>
          <w:sz w:val="16"/>
          <w:szCs w:val="16"/>
        </w:rPr>
        <w:softHyphen/>
        <w:t>ката практически было невозможно обеспечить на</w:t>
      </w:r>
      <w:r w:rsidRPr="00A3026E">
        <w:rPr>
          <w:color w:val="000000" w:themeColor="text1"/>
          <w:sz w:val="16"/>
          <w:szCs w:val="16"/>
        </w:rPr>
        <w:softHyphen/>
        <w:t>дежную подачу патронной ленты в приемное окно пушки.</w:t>
      </w:r>
    </w:p>
    <w:p w14:paraId="6B235263" w14:textId="77777777" w:rsidR="00F40FA6" w:rsidRPr="00A3026E" w:rsidRDefault="00F40F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свою очередь, неплавная работа механиз</w:t>
      </w:r>
      <w:r w:rsidRPr="00A3026E">
        <w:rPr>
          <w:rFonts w:ascii="Times New Roman" w:hAnsi="Times New Roman"/>
          <w:color w:val="000000" w:themeColor="text1"/>
          <w:sz w:val="16"/>
          <w:szCs w:val="16"/>
        </w:rPr>
        <w:softHyphen/>
        <w:t>мов снижает живучесть деталей и обуславливает задержки, практически неустранимые в воздухе. Так, резкое извлечение патрона из звена и пере</w:t>
      </w:r>
      <w:r w:rsidRPr="00A3026E">
        <w:rPr>
          <w:rFonts w:ascii="Times New Roman" w:hAnsi="Times New Roman"/>
          <w:color w:val="000000" w:themeColor="text1"/>
          <w:sz w:val="16"/>
          <w:szCs w:val="16"/>
        </w:rPr>
        <w:softHyphen/>
        <w:t>мещение его на линию канала ствола к моменту досылания в патронник приводит к демонтажу и излому патрона, обрыву дульца гильзы, разрыву звена.</w:t>
      </w:r>
    </w:p>
    <w:p w14:paraId="451C90CF" w14:textId="77777777" w:rsidR="00F40FA6" w:rsidRPr="00A3026E" w:rsidRDefault="00F40FA6"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Газовый цилиндр с поршнем газоотводного ме</w:t>
      </w:r>
      <w:r w:rsidRPr="00A3026E">
        <w:rPr>
          <w:color w:val="000000" w:themeColor="text1"/>
          <w:sz w:val="16"/>
          <w:szCs w:val="16"/>
        </w:rPr>
        <w:softHyphen/>
        <w:t>ханизма во время стрельбы постепенно забивает</w:t>
      </w:r>
      <w:r w:rsidRPr="00A3026E">
        <w:rPr>
          <w:color w:val="000000" w:themeColor="text1"/>
          <w:sz w:val="16"/>
          <w:szCs w:val="16"/>
        </w:rPr>
        <w:softHyphen/>
        <w:t>ся пороховым нагаром — механизм заклинивает, а имеющий место разгар отверстий газовых цилин</w:t>
      </w:r>
      <w:r w:rsidRPr="00A3026E">
        <w:rPr>
          <w:color w:val="000000" w:themeColor="text1"/>
          <w:sz w:val="16"/>
          <w:szCs w:val="16"/>
        </w:rPr>
        <w:softHyphen/>
        <w:t>дров приводит к изменению темпа стрельбы и на</w:t>
      </w:r>
      <w:r w:rsidRPr="00A3026E">
        <w:rPr>
          <w:color w:val="000000" w:themeColor="text1"/>
          <w:sz w:val="16"/>
          <w:szCs w:val="16"/>
        </w:rPr>
        <w:softHyphen/>
        <w:t>чальной скорости снаряда по мере увеличения на- стрела пушки.</w:t>
      </w:r>
    </w:p>
    <w:p w14:paraId="73EC1DF4" w14:textId="77777777" w:rsidR="00F40FA6" w:rsidRPr="00A3026E" w:rsidRDefault="00F40FA6"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то же время наличие непрерывного питания расширяло возможности по размещению на само</w:t>
      </w:r>
      <w:r w:rsidRPr="00A3026E">
        <w:rPr>
          <w:color w:val="000000" w:themeColor="text1"/>
          <w:sz w:val="16"/>
          <w:szCs w:val="16"/>
        </w:rPr>
        <w:softHyphen/>
        <w:t>лете как самой пушки, так и боезапаса к ней. При этом изменение месторасположения боезапаса и его размера сказывалось только на габаритах и форме патронного ящика и конструкции рукава по</w:t>
      </w:r>
      <w:r w:rsidRPr="00A3026E">
        <w:rPr>
          <w:color w:val="000000" w:themeColor="text1"/>
          <w:sz w:val="16"/>
          <w:szCs w:val="16"/>
        </w:rPr>
        <w:softHyphen/>
        <w:t>дачи патронов, звено же оставалось неизменным.</w:t>
      </w:r>
    </w:p>
    <w:p w14:paraId="444601CB" w14:textId="77777777" w:rsidR="00F40FA6" w:rsidRPr="00A3026E" w:rsidRDefault="00F40FA6"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Автоматика ПТБ-23 работала за счет энергии отката ствола при его коротком ходе. Запирание ствола осуществлялось поворотом затвора порш</w:t>
      </w:r>
      <w:r w:rsidRPr="00A3026E">
        <w:rPr>
          <w:color w:val="000000" w:themeColor="text1"/>
          <w:sz w:val="16"/>
          <w:szCs w:val="16"/>
        </w:rPr>
        <w:softHyphen/>
        <w:t>невого типа. После запирания канала ствола удар</w:t>
      </w:r>
      <w:r w:rsidRPr="00A3026E">
        <w:rPr>
          <w:color w:val="000000" w:themeColor="text1"/>
          <w:sz w:val="16"/>
          <w:szCs w:val="16"/>
        </w:rPr>
        <w:softHyphen/>
        <w:t>ник, продолжая движение вперед, бойком накалы</w:t>
      </w:r>
      <w:r w:rsidRPr="00A3026E">
        <w:rPr>
          <w:color w:val="000000" w:themeColor="text1"/>
          <w:sz w:val="16"/>
          <w:szCs w:val="16"/>
        </w:rPr>
        <w:softHyphen/>
        <w:t>вал капсюль патрона. Под действием пороховых газов одновременно с началом движения снаряда по каналу ствола начинался откат ствола со стволь</w:t>
      </w:r>
      <w:r w:rsidRPr="00A3026E">
        <w:rPr>
          <w:color w:val="000000" w:themeColor="text1"/>
          <w:sz w:val="16"/>
          <w:szCs w:val="16"/>
        </w:rPr>
        <w:softHyphen/>
        <w:t>ной коробкой и запирающим агрегатом в кожухе пушки.</w:t>
      </w:r>
    </w:p>
    <w:p w14:paraId="4CBF8ECE" w14:textId="77777777" w:rsidR="00F40FA6" w:rsidRPr="00A3026E" w:rsidRDefault="00F40FA6"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конструкции пушки был применен гидрав</w:t>
      </w:r>
      <w:r w:rsidRPr="00A3026E">
        <w:rPr>
          <w:color w:val="000000" w:themeColor="text1"/>
          <w:sz w:val="16"/>
          <w:szCs w:val="16"/>
        </w:rPr>
        <w:softHyphen/>
        <w:t>лический тормоз отката и наката и пружинный механизм наката ствола. В отличие от пружинных амортизаторов сила сопротивления гидравличе</w:t>
      </w:r>
      <w:r w:rsidRPr="00A3026E">
        <w:rPr>
          <w:color w:val="000000" w:themeColor="text1"/>
          <w:sz w:val="16"/>
          <w:szCs w:val="16"/>
        </w:rPr>
        <w:softHyphen/>
        <w:t>ского тормоза примерно постоянна на всем про</w:t>
      </w:r>
      <w:r w:rsidRPr="00A3026E">
        <w:rPr>
          <w:color w:val="000000" w:themeColor="text1"/>
          <w:sz w:val="16"/>
          <w:szCs w:val="16"/>
        </w:rPr>
        <w:softHyphen/>
        <w:t>тяжении отката ствола, поэтому поглощаемая тор</w:t>
      </w:r>
      <w:r w:rsidRPr="00A3026E">
        <w:rPr>
          <w:color w:val="000000" w:themeColor="text1"/>
          <w:sz w:val="16"/>
          <w:szCs w:val="16"/>
        </w:rPr>
        <w:softHyphen/>
        <w:t>мозом энергия пропорциональна длине отката. Это обеспечивало ПТБ-23 некоторые преимущества перед пушками ЦКБ-14 с газоотводным двигателем автоматики по величине силы отдачи, живучести и эксплуатации. Так, расчетное усилие отдачи при стрельбе у пушки ПТБ-23 составляло 2000—2200 кг против 2800—2900 кг у пушек тульских конструк</w:t>
      </w:r>
      <w:r w:rsidRPr="00A3026E">
        <w:rPr>
          <w:color w:val="000000" w:themeColor="text1"/>
          <w:sz w:val="16"/>
          <w:szCs w:val="16"/>
        </w:rPr>
        <w:softHyphen/>
        <w:t>торов. Важно, что ПТБ-23 при стрельбе оставалась неподвижной. Это упрощало установку пушки на самолет.</w:t>
      </w:r>
    </w:p>
    <w:p w14:paraId="6BD6484E" w14:textId="77777777" w:rsidR="00F40FA6" w:rsidRPr="00A3026E" w:rsidRDefault="00F40FA6"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Реализация прямой подачи патрона в патрон</w:t>
      </w:r>
      <w:r w:rsidRPr="00A3026E">
        <w:rPr>
          <w:color w:val="000000" w:themeColor="text1"/>
          <w:sz w:val="16"/>
          <w:szCs w:val="16"/>
        </w:rPr>
        <w:softHyphen/>
        <w:t>ник при одновременном съеме звена с патрона снижало вероятность задержек по вине патрона и звена. Темп стрельбы поддерживался постоян</w:t>
      </w:r>
      <w:r w:rsidRPr="00A3026E">
        <w:rPr>
          <w:color w:val="000000" w:themeColor="text1"/>
          <w:sz w:val="16"/>
          <w:szCs w:val="16"/>
        </w:rPr>
        <w:softHyphen/>
        <w:t>ным и практически не зависел от настрела пушки.</w:t>
      </w:r>
    </w:p>
    <w:p w14:paraId="16A0BF84" w14:textId="77777777" w:rsidR="00F40FA6" w:rsidRPr="00A3026E" w:rsidRDefault="00F40FA6"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Пушка имела для того времени передовую тех</w:t>
      </w:r>
      <w:r w:rsidRPr="00A3026E">
        <w:rPr>
          <w:color w:val="000000" w:themeColor="text1"/>
          <w:sz w:val="16"/>
          <w:szCs w:val="16"/>
        </w:rPr>
        <w:softHyphen/>
        <w:t>нологию. Крупные корпусные детали изготавлива</w:t>
      </w:r>
      <w:r w:rsidRPr="00A3026E">
        <w:rPr>
          <w:color w:val="000000" w:themeColor="text1"/>
          <w:sz w:val="16"/>
          <w:szCs w:val="16"/>
        </w:rPr>
        <w:softHyphen/>
        <w:t>лись из стального литья и чистовой горячей штам</w:t>
      </w:r>
      <w:r w:rsidRPr="00A3026E">
        <w:rPr>
          <w:color w:val="000000" w:themeColor="text1"/>
          <w:sz w:val="16"/>
          <w:szCs w:val="16"/>
        </w:rPr>
        <w:softHyphen/>
        <w:t>повкой (без наружной обработки).</w:t>
      </w:r>
    </w:p>
    <w:p w14:paraId="2FDFE313" w14:textId="77777777" w:rsidR="00F40FA6" w:rsidRPr="00A3026E" w:rsidRDefault="00F40FA6"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Питание пушки патронами осуществлялось от магазина. Магазин был двух типов — на 60 и 81 пат</w:t>
      </w:r>
      <w:r w:rsidRPr="00A3026E">
        <w:rPr>
          <w:color w:val="000000" w:themeColor="text1"/>
          <w:sz w:val="16"/>
          <w:szCs w:val="16"/>
        </w:rPr>
        <w:softHyphen/>
        <w:t>рон — и состоял из 10 или 9 обойм (по 6 и 9 пат</w:t>
      </w:r>
      <w:r w:rsidRPr="00A3026E">
        <w:rPr>
          <w:color w:val="000000" w:themeColor="text1"/>
          <w:sz w:val="16"/>
          <w:szCs w:val="16"/>
        </w:rPr>
        <w:softHyphen/>
        <w:t>ронов в обойме соответственно) и механизма пере</w:t>
      </w:r>
      <w:r w:rsidRPr="00A3026E">
        <w:rPr>
          <w:color w:val="000000" w:themeColor="text1"/>
          <w:sz w:val="16"/>
          <w:szCs w:val="16"/>
        </w:rPr>
        <w:softHyphen/>
        <w:t>мещения обоймы к приемнику пушки.</w:t>
      </w:r>
    </w:p>
    <w:p w14:paraId="3B172B9D" w14:textId="77777777" w:rsidR="00F40FA6" w:rsidRPr="00A3026E" w:rsidRDefault="00F40FA6"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Надо сказать, магазин оказался наиболее слож</w:t>
      </w:r>
      <w:r w:rsidRPr="00A3026E">
        <w:rPr>
          <w:color w:val="000000" w:themeColor="text1"/>
          <w:sz w:val="16"/>
          <w:szCs w:val="16"/>
        </w:rPr>
        <w:softHyphen/>
        <w:t>ным элементом пушки. На его отработку было за</w:t>
      </w:r>
      <w:r w:rsidRPr="00A3026E">
        <w:rPr>
          <w:color w:val="000000" w:themeColor="text1"/>
          <w:sz w:val="16"/>
          <w:szCs w:val="16"/>
        </w:rPr>
        <w:softHyphen/>
        <w:t>трачено много сил и времени. При этом довольно значительные размеры магазина в сочетании с рас</w:t>
      </w:r>
      <w:r w:rsidRPr="00A3026E">
        <w:rPr>
          <w:color w:val="000000" w:themeColor="text1"/>
          <w:sz w:val="16"/>
          <w:szCs w:val="16"/>
        </w:rPr>
        <w:softHyphen/>
        <w:t>положением его на пушке только с одной стороны (из-за чего возникала некоторая весовая асимме</w:t>
      </w:r>
      <w:r w:rsidRPr="00A3026E">
        <w:rPr>
          <w:color w:val="000000" w:themeColor="text1"/>
          <w:sz w:val="16"/>
          <w:szCs w:val="16"/>
        </w:rPr>
        <w:softHyphen/>
        <w:t>трия пушечных установок) затрудняло размещение пушки на боевом самолете. Магазинное питание в большей степени отвечало требованиям уста</w:t>
      </w:r>
      <w:r w:rsidRPr="00A3026E">
        <w:rPr>
          <w:color w:val="000000" w:themeColor="text1"/>
          <w:sz w:val="16"/>
          <w:szCs w:val="16"/>
        </w:rPr>
        <w:softHyphen/>
        <w:t>новки пушки на моторе истребителя, чем в крыле, так как пушка с магазином просто не помещалась в крыло, а при размещении под крылом большие габариты обтекателей пушек ухудшали аэродина</w:t>
      </w:r>
      <w:r w:rsidRPr="00A3026E">
        <w:rPr>
          <w:color w:val="000000" w:themeColor="text1"/>
          <w:sz w:val="16"/>
          <w:szCs w:val="16"/>
        </w:rPr>
        <w:softHyphen/>
        <w:t>мику самолета.</w:t>
      </w:r>
    </w:p>
    <w:p w14:paraId="02F10C77" w14:textId="77777777" w:rsidR="00F40FA6" w:rsidRPr="00A3026E" w:rsidRDefault="00F40FA6"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Емкость магазина вполне справедливо счита</w:t>
      </w:r>
      <w:r w:rsidRPr="00A3026E">
        <w:rPr>
          <w:color w:val="000000" w:themeColor="text1"/>
          <w:sz w:val="16"/>
          <w:szCs w:val="16"/>
        </w:rPr>
        <w:softHyphen/>
        <w:t>лась недостаточной для применения на истреби</w:t>
      </w:r>
      <w:r w:rsidRPr="00A3026E">
        <w:rPr>
          <w:color w:val="000000" w:themeColor="text1"/>
          <w:sz w:val="16"/>
          <w:szCs w:val="16"/>
        </w:rPr>
        <w:softHyphen/>
        <w:t>телях и штурмовиках. При этом использование двух типов обойм (на 9 или 6 патронов) усложняло организацию снабжения ими строевых частей, на самолетах которых устанавливались пушки с мага</w:t>
      </w:r>
      <w:r w:rsidRPr="00A3026E">
        <w:rPr>
          <w:color w:val="000000" w:themeColor="text1"/>
          <w:sz w:val="16"/>
          <w:szCs w:val="16"/>
        </w:rPr>
        <w:softHyphen/>
        <w:t>зинами разной емкости. К тому же фрезерованная обойма была довольно дорогой в производстве.</w:t>
      </w:r>
    </w:p>
    <w:p w14:paraId="7477F051" w14:textId="77777777" w:rsidR="00F40FA6" w:rsidRPr="00A3026E" w:rsidRDefault="00F40FA6"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Несмотря на явные недостатки магазинного пи</w:t>
      </w:r>
      <w:r w:rsidRPr="00A3026E">
        <w:rPr>
          <w:color w:val="000000" w:themeColor="text1"/>
          <w:sz w:val="16"/>
          <w:szCs w:val="16"/>
        </w:rPr>
        <w:softHyphen/>
        <w:t>тания, Я. Г. Таубин был активным сторонником этого типа питания. К достоинству магазинного питания Таубин относил небольшие монтажные веса и за</w:t>
      </w:r>
      <w:r w:rsidRPr="00A3026E">
        <w:rPr>
          <w:color w:val="000000" w:themeColor="text1"/>
          <w:sz w:val="16"/>
          <w:szCs w:val="16"/>
        </w:rPr>
        <w:softHyphen/>
        <w:t>нимаемые объемы пушечных установок и, главное, более высокую надежность работы при выполне</w:t>
      </w:r>
      <w:r w:rsidRPr="00A3026E">
        <w:rPr>
          <w:color w:val="000000" w:themeColor="text1"/>
          <w:sz w:val="16"/>
          <w:szCs w:val="16"/>
        </w:rPr>
        <w:softHyphen/>
        <w:t>нии самолетом маневров с большой перегрузкой, а также простоту при эксплуатации (отсутствует трудоемкая набивка патронной ленты, сбор и со</w:t>
      </w:r>
      <w:r w:rsidRPr="00A3026E">
        <w:rPr>
          <w:color w:val="000000" w:themeColor="text1"/>
          <w:sz w:val="16"/>
          <w:szCs w:val="16"/>
        </w:rPr>
        <w:softHyphen/>
        <w:t>ртировка звеньев) (17500).</w:t>
      </w:r>
    </w:p>
    <w:p w14:paraId="384B5162" w14:textId="77777777" w:rsidR="00F40FA6" w:rsidRPr="00A3026E" w:rsidRDefault="00F40FA6" w:rsidP="00A3026E">
      <w:pPr>
        <w:spacing w:after="0" w:line="240" w:lineRule="auto"/>
        <w:jc w:val="both"/>
        <w:rPr>
          <w:rFonts w:ascii="Times New Roman" w:eastAsia="Times New Roman" w:hAnsi="Times New Roman"/>
          <w:color w:val="000000" w:themeColor="text1"/>
          <w:sz w:val="16"/>
          <w:szCs w:val="16"/>
          <w:lang w:eastAsia="ru-RU"/>
        </w:rPr>
      </w:pPr>
    </w:p>
    <w:p w14:paraId="3C7DF4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сентябрю 1940-го на заводе имени Карла Либкнехта освоили производство ХАБ-200 с корпусами, изготовленными из тонкостенных цельнотянутых труб методом обжатия передней и задней оживальной и цилиндрической частей и ожидалась команда для отправки их на снаряжательный комбинат. Не стоит исключать вероятность того, что речь здесь идет о раннем опытном варианте ХАБ-250-200 (7453).</w:t>
      </w:r>
    </w:p>
    <w:p w14:paraId="470822D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E2E3C19" w14:textId="77777777" w:rsidR="0016176C"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EC44D51" w14:textId="77777777" w:rsidR="0016176C" w:rsidRPr="00A3026E" w:rsidRDefault="0016176C" w:rsidP="00A3026E">
      <w:pPr>
        <w:spacing w:after="0" w:line="240" w:lineRule="auto"/>
        <w:jc w:val="both"/>
        <w:rPr>
          <w:rFonts w:ascii="Times New Roman" w:hAnsi="Times New Roman"/>
          <w:iCs/>
          <w:color w:val="000000" w:themeColor="text1"/>
          <w:sz w:val="16"/>
          <w:szCs w:val="16"/>
        </w:rPr>
      </w:pPr>
    </w:p>
    <w:p w14:paraId="7BD70C24"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сентябрю 1940 года группа под руководством инженера Л.H. Переверзева в СКБ-2 в подготовила проект танка с 90-мм броней, получившего обозначение Т-150 или «объект 150», а конструкторы под руководством Л.Е. Сычева — «объект 220» с броней в 100 мм. Чертежи корпуса и башни новых машин передали для изготовления на Ижорский завод, но последний не смог выполнить задание полностью — до конца 1940 года он сумел сдать лишь один корпус с башней из 90 м и один — из 100 мм брони. О причинах невыполнения руководство предприятия сообщало следующее:</w:t>
      </w:r>
    </w:p>
    <w:p w14:paraId="03F9BAB1"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«Изготовление опытных образцов для Кировского завода происходило в том же цехе № 2, где изготавливался основной объект КВ (речь идет о серийных танках). В силу этого одной из причин неизготовления объектов КВ с броней 90 и 100 мм была перегрузка станочного оборудования, тем более что в производстве одновременно находилось четыре опытных образца КВ.</w:t>
      </w:r>
    </w:p>
    <w:p w14:paraId="1E7BC449"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на невыполнение опытных объектов Кировского завода сказалось несвоевременное получение чертежей».</w:t>
      </w:r>
    </w:p>
    <w:p w14:paraId="0D25EFE7"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Первым — 1 ноября 1940 года — на Кировский завод поступил корпус с башней Т-150. Сборку танка завершили в декабре 1940 года.</w:t>
      </w:r>
    </w:p>
    <w:p w14:paraId="03711A0F"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Т-150 был построен на агрегатах серийного КВ и отличался от него только увеличенной толщиной брони корпуса (вместо 75 мм — 90 мм). Так как утолщение броневых листов производилось наружу, то все внутренние габариты машины сохранялись.</w:t>
      </w:r>
    </w:p>
    <w:p w14:paraId="25015A36"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по внутренней компоновке Т-150 практически не отличался от серийного КВ-1. Машина вооружалась 76,2-мм пушкой Ф-32, спаренной с пулеметом ДТ. Кроме того, второй ДТ устанавливался в кормовой части башни, а третий — в лобовом листе корпуса. Боекомплект состоял из 111 выстрелов к пушке и 42 дисков к пулеметам ДТ (2646 патронов). Из-за возросшей массы танка до 50,2 в ходовой части установили усиленные кронштейны подвески. Кроме того, танк оснастили двигателем В-5 мощностью 700 л.с. но запас топлива оставался прежним — 615 л, а запас хода по шоссе составлял 220 км.</w:t>
      </w:r>
    </w:p>
    <w:p w14:paraId="3FEE9C43"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 внешним отличием Т-150 от серийного КВ-1 стала командирская башенка с шестью смотровыми приборами в стенках и перископическим ПТК в крыше. Башенка монтировалась на крыше башни справа по ходу, поэтому командир машины теперь размещался справа. За ним находилось место заряжающего, а наводчик находился слева от пушки.</w:t>
      </w:r>
    </w:p>
    <w:p w14:paraId="3FED9D97"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танка с броней в 100 мм — «объект 220» — поступил на Кировский завод 7 декабря 1940 года, а сборку машины завершили в первых числах нового, 1941 года. Машина имела удлиненную на один каток (по сравнению с серийным КВ-1) ходовую часть. На это конструкторам пришлой пойти из-за существенного увеличения массы «объекта 220» (боевая масса составляла 62,7 т), что произошло из-за увеличения основной брони до 100 мм и установки мощной 85-мм пушки в башне значительных размеров.</w:t>
      </w:r>
    </w:p>
    <w:p w14:paraId="19C38F3C"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Корпус «объекта 220» (также в документах встречаются обозначения Т-220 и КВ-220) представлял собой удлиненный корпус КВ-1 с увеличенной до 100 мм броней лобовой части и бортов. Как и в случае с Т-150, утолщение производилось наружу.</w:t>
      </w:r>
    </w:p>
    <w:p w14:paraId="7E5AC16B"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и в серийном КВ-1, у КВ-220 впереди в отделении управления размещались механик-водитель и стрелок-радист. А вот в башне находилось четыре человека — слева от пушки наводчик и командир машины, а справа — два заряжающих.</w:t>
      </w:r>
    </w:p>
    <w:p w14:paraId="7ABB10CA"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Основное вооружение КВ-220 состояло из 85-мм танковой пушки Ф-30, установку которой спроектировала группа инженеров СКБ-2 под руководством прикомандированного с завода № 92 конструктора П.Ф. Муравьева. Пушка монтировалась в башне довольно больших размеров, имевшей вертикальные стенки. Для стрельбы использовались перископический прицел ПТ-6 и телескопический ТОД. Для монтажа и демонтажа пушки в кормовом листе башни был прорезан люк довольно больших размеров.</w:t>
      </w:r>
    </w:p>
    <w:p w14:paraId="75801D60"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орудия, КВ-220 имел три пулемета ДТ — один спаренный с пушкой, второй — в лобовом листе корпуса, слева от механика-водителя, и третий — в командирской башенке на крыше башни. Боекомплект состоял из 91 выстрела к 8 5-мм пушке и 64 дисков (4032 патрона) к ДТ.</w:t>
      </w:r>
    </w:p>
    <w:p w14:paraId="4EF3DFCA"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КВ-220 оснащался дизельным двигателем В-2СН мощностью 850 л.с. Емкость топливных баков составила 825–845 л. Машина получила новую коробку перемены передач, спроектированную Н.Ф. Шашмуриным по типу коробки КВ-1, но усиленную и доработанную. Коробка имела меньшие габариты по сравнению с серийной, а так же больший запас прочности и улучшенные динамические характеристики.</w:t>
      </w:r>
    </w:p>
    <w:p w14:paraId="7CDD2238"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Ходовая часть выполнялась по типу серийных КВ, но имела семь опорных и четыре поддерживающих катка (на борт) (17434).</w:t>
      </w:r>
    </w:p>
    <w:p w14:paraId="4A76B661" w14:textId="77777777" w:rsidR="0016176C" w:rsidRPr="00A3026E" w:rsidRDefault="0016176C" w:rsidP="00A3026E">
      <w:pPr>
        <w:spacing w:after="0" w:line="240" w:lineRule="auto"/>
        <w:jc w:val="both"/>
        <w:rPr>
          <w:rFonts w:ascii="Times New Roman" w:hAnsi="Times New Roman"/>
          <w:color w:val="000000" w:themeColor="text1"/>
          <w:sz w:val="16"/>
          <w:szCs w:val="16"/>
        </w:rPr>
      </w:pPr>
    </w:p>
    <w:p w14:paraId="473F80C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6A3C2E7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1CF02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сентябрю 1940 года, то есть тремя месяцами спустя после Бессарабского кризиса ВВС Румынии имели всего 276 боевых самолетов, и еще 440 на</w:t>
      </w:r>
      <w:r w:rsidRPr="00A3026E">
        <w:rPr>
          <w:rFonts w:ascii="Times New Roman" w:hAnsi="Times New Roman"/>
          <w:color w:val="000000" w:themeColor="text1"/>
          <w:sz w:val="16"/>
          <w:szCs w:val="16"/>
        </w:rPr>
        <w:softHyphen/>
        <w:t>ходились в летных школах и центрах подготовки (Жирохов М., СтратулатА</w:t>
      </w:r>
      <w:r w:rsidR="0055202A"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rPr>
        <w:t xml:space="preserve"> По сигналу «Ардялул». Румынская авиация 22 июня 1941 года. С. 54.) (11710,415).</w:t>
      </w:r>
    </w:p>
    <w:p w14:paraId="1D8D20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A185E8D" w14:textId="77777777" w:rsidR="004F51CE" w:rsidRPr="00A3026E" w:rsidRDefault="004F51CE"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3F018E6" w14:textId="77777777" w:rsidR="004F51CE" w:rsidRPr="00A3026E" w:rsidRDefault="004F51CE" w:rsidP="00A3026E">
      <w:pPr>
        <w:spacing w:after="0" w:line="240" w:lineRule="auto"/>
        <w:jc w:val="both"/>
        <w:rPr>
          <w:rFonts w:ascii="Times New Roman" w:hAnsi="Times New Roman"/>
          <w:iCs/>
          <w:color w:val="000000" w:themeColor="text1"/>
          <w:sz w:val="16"/>
          <w:szCs w:val="16"/>
        </w:rPr>
      </w:pPr>
    </w:p>
    <w:p w14:paraId="4CF7E295" w14:textId="77777777" w:rsidR="004F51CE" w:rsidRPr="00A3026E" w:rsidRDefault="004F51CE"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К осени 1940 г. был готов СК-2. Внешне машина отличалась от СК-1 обычной кабиной с каплевидным фонарём и выступающим наружу обтекателем маслорадиатора под мотором. В декабре 1939 г. приступили к постройке самолёта-дублёра СК-1. По мере испытаний первого самолёта в конструкцию СК-2 вносили изменения, его строительство затянулось (17489).</w:t>
      </w:r>
    </w:p>
    <w:p w14:paraId="5CBC3C5A" w14:textId="77777777" w:rsidR="004F51CE" w:rsidRPr="00A3026E" w:rsidRDefault="004F51CE" w:rsidP="00A3026E">
      <w:pPr>
        <w:spacing w:after="0" w:line="240" w:lineRule="auto"/>
        <w:jc w:val="both"/>
        <w:rPr>
          <w:rFonts w:ascii="Times New Roman" w:eastAsia="Times New Roman" w:hAnsi="Times New Roman"/>
          <w:color w:val="000000" w:themeColor="text1"/>
          <w:sz w:val="16"/>
          <w:szCs w:val="16"/>
          <w:lang w:eastAsia="ru-RU"/>
        </w:rPr>
      </w:pPr>
    </w:p>
    <w:p w14:paraId="3C643AD0" w14:textId="77777777" w:rsidR="00CD3361" w:rsidRPr="00A3026E" w:rsidRDefault="00CD3361" w:rsidP="00A3026E">
      <w:pPr>
        <w:pStyle w:val="rtejustify"/>
        <w:shd w:val="clear" w:color="auto" w:fill="FFFFFF"/>
        <w:spacing w:before="0" w:after="0"/>
        <w:rPr>
          <w:color w:val="000000" w:themeColor="text1"/>
          <w:sz w:val="16"/>
          <w:szCs w:val="16"/>
        </w:rPr>
      </w:pPr>
      <w:r w:rsidRPr="00A3026E">
        <w:rPr>
          <w:color w:val="000000" w:themeColor="text1"/>
          <w:sz w:val="16"/>
          <w:szCs w:val="16"/>
        </w:rPr>
        <w:t>К осени 1940 года были изготовлены три опытных пушки ТКБ-201. Одна была использована для наземных испытаний, а две пушки устанавливались на купленный в Германии истребитель Bf-110С вместо демонтированного штатного вооружения, который решили использовать для испытаний также и пушек Таубина. Испытания показали несколько лучшую надежность изделия Волкова и Ярцева, однако неожиданно 16 ноября 1940 года, еще до завершения полного цикла испытаний пушку МП-6 принимают на вооружение с организацией валового производства на двух заводах (19192).</w:t>
      </w:r>
    </w:p>
    <w:p w14:paraId="6C31098A" w14:textId="77777777" w:rsidR="00CD3361" w:rsidRPr="00A3026E" w:rsidRDefault="00CD3361" w:rsidP="00A3026E">
      <w:pPr>
        <w:pStyle w:val="rtejustify"/>
        <w:shd w:val="clear" w:color="auto" w:fill="FFFFFF"/>
        <w:spacing w:before="0" w:after="0"/>
        <w:rPr>
          <w:color w:val="000000" w:themeColor="text1"/>
          <w:sz w:val="16"/>
          <w:szCs w:val="16"/>
        </w:rPr>
      </w:pPr>
    </w:p>
    <w:p w14:paraId="3047D40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E9D720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92D12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осени 1940 г. ЦКБ-4 разработало предэскизный пр. 23-НУ с двумя вариантами размещения противоминной артиллерии в двухорудийньк и трехорудийных 152-мм башнях, и восемью вари</w:t>
      </w:r>
      <w:r w:rsidRPr="00A3026E">
        <w:rPr>
          <w:rFonts w:ascii="Times New Roman" w:hAnsi="Times New Roman"/>
          <w:color w:val="000000" w:themeColor="text1"/>
          <w:sz w:val="16"/>
          <w:szCs w:val="16"/>
        </w:rPr>
        <w:softHyphen/>
        <w:t>антами теоретического чертежа. Важными изменениями по сравне</w:t>
      </w:r>
      <w:r w:rsidRPr="00A3026E">
        <w:rPr>
          <w:rFonts w:ascii="Times New Roman" w:hAnsi="Times New Roman"/>
          <w:color w:val="000000" w:themeColor="text1"/>
          <w:sz w:val="16"/>
          <w:szCs w:val="16"/>
        </w:rPr>
        <w:softHyphen/>
        <w:t>нию с пр. 23 было доведение угла наклона бортовой брони наружу ("развала") до 15° (против 5°), что позволило уменьшить толщину главного пояса до 345—390</w:t>
      </w:r>
      <w:r w:rsidRPr="00A3026E">
        <w:rPr>
          <w:rFonts w:ascii="Times New Roman" w:hAnsi="Times New Roman"/>
          <w:bCs/>
          <w:color w:val="000000" w:themeColor="text1"/>
          <w:sz w:val="16"/>
          <w:szCs w:val="16"/>
        </w:rPr>
        <w:t xml:space="preserve"> мм,</w:t>
      </w:r>
      <w:r w:rsidRPr="00A3026E">
        <w:rPr>
          <w:rFonts w:ascii="Times New Roman" w:hAnsi="Times New Roman"/>
          <w:color w:val="000000" w:themeColor="text1"/>
          <w:sz w:val="16"/>
          <w:szCs w:val="16"/>
        </w:rPr>
        <w:t xml:space="preserve"> и принятие новой системы КПЗ --в виде "ящикообразных... противоминных утолщении, подобных "Лексингтону" и "Саратоге" (американские авианосцы) с расчетом на взрыв 700 кг тротила. Испытания моделей показали, что скорость 30 уз (при ГТЗА, аналогичных пр. 23) может быть достигнута при увеличении дли-' ны линкора до 298 м и полного водоизмещения до 70 600 т. Такие величины были признаны неприемлемыми в НТК ВМФ (председатель — А. А. Жуков), и комитет выдал новое задание, суть которого заключалась в сохранении скорости, водоизмещения ко</w:t>
      </w:r>
      <w:r w:rsidRPr="00A3026E">
        <w:rPr>
          <w:rFonts w:ascii="Times New Roman" w:hAnsi="Times New Roman"/>
          <w:color w:val="000000" w:themeColor="text1"/>
          <w:sz w:val="16"/>
          <w:szCs w:val="16"/>
        </w:rPr>
        <w:softHyphen/>
        <w:t>рабля и длины цитадели, принятых в пр. 23. Состав вооружения и КПЗ были аналогичны пр. 23-НУ. Новый проект получил но</w:t>
      </w:r>
      <w:r w:rsidRPr="00A3026E">
        <w:rPr>
          <w:rFonts w:ascii="Times New Roman" w:hAnsi="Times New Roman"/>
          <w:color w:val="000000" w:themeColor="text1"/>
          <w:sz w:val="16"/>
          <w:szCs w:val="16"/>
        </w:rPr>
        <w:softHyphen/>
        <w:t>мер 24. В нем были использованы прогрессивные решения по пр. 23-НУ, в частности, наклонное (15°) расположение брони главного пояса. Увеличение массы вооружения и боезапаса (до 11 062 т) компенсировалось снижением массы корпуса. Стандарт</w:t>
      </w:r>
      <w:r w:rsidRPr="00A3026E">
        <w:rPr>
          <w:rFonts w:ascii="Times New Roman" w:hAnsi="Times New Roman"/>
          <w:color w:val="000000" w:themeColor="text1"/>
          <w:sz w:val="16"/>
          <w:szCs w:val="16"/>
        </w:rPr>
        <w:softHyphen/>
        <w:t>ное водоизмещение возрастало примерно на 500 т. 152-мм орудия размещались в двухорудийных башнях МК-4 (3898).</w:t>
      </w:r>
    </w:p>
    <w:p w14:paraId="213DA16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46639D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70C6FC1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CC22DF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по 19 сентября 1940 года 1-й экз. модификации самолета И-26 в двух местный переходно-тренировочный. Конструктор Яковлев, завод № 115 проходил заводские и гос. испытания (4048, 1).</w:t>
      </w:r>
    </w:p>
    <w:p w14:paraId="606B13C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6E1D2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по 19 сентября 1940 И-26 проходил заводские испытания (822).</w:t>
      </w:r>
    </w:p>
    <w:p w14:paraId="20663CB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D3533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сентября по 1 октября 1940 состоялись заводские испытания И-21-2 М-105 (2090,234).</w:t>
      </w:r>
    </w:p>
    <w:p w14:paraId="4CF3132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3335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 сентября 1941 на заводе № 21 насчитывалось 1884 инженеров и техников, 12.000 рабочих. 1030 служащих. Завод располагал внушительным станочным парком (370 металлорежущих станков) и вполне современным оборудованием. Понятно. что такое предприятие являлось весьма привлекательным для запуска на нем в производство какого-либо нового типа самолета (12015).</w:t>
      </w:r>
    </w:p>
    <w:p w14:paraId="5BAAC47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13FBA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сентября 1940 состоялись первые стрельбы ракеты с комбинированным ЖРД с 2-х режимной тягой Л.С.Душкина РДД-203 и получили дальность 19.8 км. Длинна 3000 мм, диаметр - 203 мм, боеголовка - 50 кг, вес - 200 кг, расчетная дальность - 23 км, кучность 1/80 до 1/100 от дистанции. Потом в РНИИ разработали КРС-370 с дальностью 50 км, авиационный ракетный снаряд РАС-521 калибра 203 мм с боеголовкой 80 кг для стрельбы по наземным целям с дальности 30 км, зенитный снаряд 132 мм с дальностью 16-18 км и пусковая на 10 ракет для стрельбы на дистанцию 20 км (2927).</w:t>
      </w:r>
    </w:p>
    <w:p w14:paraId="44DE216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8B585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сентября 1940 УК НКВМФ (Алексеев), Нач. 8ГУ НКСС (Антипин) и Нач. Главного Морского Штаба (Питерский) подготовили:</w:t>
      </w:r>
    </w:p>
    <w:p w14:paraId="06CA9C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по предложениям т. ГРОХОВСКОГО,</w:t>
      </w:r>
    </w:p>
    <w:p w14:paraId="25F01D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 двигателю для подводного и надводного хода.</w:t>
      </w:r>
    </w:p>
    <w:p w14:paraId="07967A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автора использовать в качестве топлива термит не содержит даже элементарной схемы. Поэтому дать техническое заключе</w:t>
      </w:r>
      <w:r w:rsidRPr="00A3026E">
        <w:rPr>
          <w:rFonts w:ascii="Times New Roman" w:hAnsi="Times New Roman"/>
          <w:color w:val="000000" w:themeColor="text1"/>
          <w:sz w:val="16"/>
          <w:szCs w:val="16"/>
        </w:rPr>
        <w:softHyphen/>
        <w:t>ние по этому вопросу не представляется возможным.</w:t>
      </w:r>
    </w:p>
    <w:p w14:paraId="32E541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 лодке-догонщику</w:t>
      </w:r>
      <w:r w:rsidRPr="00A3026E">
        <w:rPr>
          <w:rFonts w:ascii="Times New Roman" w:hAnsi="Times New Roman"/>
          <w:smallCaps/>
          <w:color w:val="000000" w:themeColor="text1"/>
          <w:sz w:val="16"/>
          <w:szCs w:val="16"/>
        </w:rPr>
        <w:t>.</w:t>
      </w:r>
    </w:p>
    <w:p w14:paraId="200092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Идея придания подводных лодок надводному кораблю, с размещением их в специальных нишах, не является новой. Получение скорости хода на одноместных подводных лодках "намного выше”, чем у лодок нормального водоизмещения нереально. Поэтому даже при наличии высокочувстви</w:t>
      </w:r>
      <w:r w:rsidRPr="00A3026E">
        <w:rPr>
          <w:rFonts w:ascii="Times New Roman" w:hAnsi="Times New Roman"/>
          <w:color w:val="000000" w:themeColor="text1"/>
          <w:sz w:val="16"/>
          <w:szCs w:val="16"/>
        </w:rPr>
        <w:softHyphen/>
        <w:t>тельных приборов гидроакустики (являющихся в настоящее время само</w:t>
      </w:r>
      <w:r w:rsidRPr="00A3026E">
        <w:rPr>
          <w:rFonts w:ascii="Times New Roman" w:hAnsi="Times New Roman"/>
          <w:color w:val="000000" w:themeColor="text1"/>
          <w:sz w:val="16"/>
          <w:szCs w:val="16"/>
        </w:rPr>
        <w:softHyphen/>
        <w:t>стоятельной технической проблемой) борьба предлагаемых догонщиков с подводными лодками относится к области фантастики. Рассуждение авто</w:t>
      </w:r>
      <w:r w:rsidRPr="00A3026E">
        <w:rPr>
          <w:rFonts w:ascii="Times New Roman" w:hAnsi="Times New Roman"/>
          <w:color w:val="000000" w:themeColor="text1"/>
          <w:sz w:val="16"/>
          <w:szCs w:val="16"/>
        </w:rPr>
        <w:softHyphen/>
        <w:t>ра о том, что в результате бомбежки с догонщика, подводная лодка долж</w:t>
      </w:r>
      <w:r w:rsidRPr="00A3026E">
        <w:rPr>
          <w:rFonts w:ascii="Times New Roman" w:hAnsi="Times New Roman"/>
          <w:color w:val="000000" w:themeColor="text1"/>
          <w:sz w:val="16"/>
          <w:szCs w:val="16"/>
        </w:rPr>
        <w:softHyphen/>
        <w:t>на всплыть на поверхность, - не вяжется с опытом подводного плавания. Совместное использование догонщиков с авиацией невозможно, так как дальность действия догонщика будет ничтожной, а двухсторонняя связь с самолетом при современном состоянии техники - невозможна.</w:t>
      </w:r>
    </w:p>
    <w:p w14:paraId="510656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 подводной авиаматке.</w:t>
      </w:r>
    </w:p>
    <w:p w14:paraId="7B322E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Подводный авианосец с одним самолетом уже имеется в американском подводном флоте. Создание подводного авианосца с шестью самолетами будет связано с большим водоизмещением подлодки (порядка 3000 - 4000 тн.). Практика подводного судостроения показала, что подлодки водоизмещением более 2000 тн., трудно управляемы и не нашли распро</w:t>
      </w:r>
      <w:r w:rsidRPr="00A3026E">
        <w:rPr>
          <w:rFonts w:ascii="Times New Roman" w:hAnsi="Times New Roman"/>
          <w:color w:val="000000" w:themeColor="text1"/>
          <w:sz w:val="16"/>
          <w:szCs w:val="16"/>
        </w:rPr>
        <w:softHyphen/>
        <w:t>странения ни в одном флоте. Требующиеся крупные затраты на создание подводного авианосца не могут быть оправданы эффективностью исполь</w:t>
      </w:r>
      <w:r w:rsidRPr="00A3026E">
        <w:rPr>
          <w:rFonts w:ascii="Times New Roman" w:hAnsi="Times New Roman"/>
          <w:color w:val="000000" w:themeColor="text1"/>
          <w:sz w:val="16"/>
          <w:szCs w:val="16"/>
        </w:rPr>
        <w:softHyphen/>
        <w:t>зования этого нового вида вооружения.</w:t>
      </w:r>
    </w:p>
    <w:p w14:paraId="4F27B8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По подводной матке для догоншиков.</w:t>
      </w:r>
    </w:p>
    <w:p w14:paraId="41EC9F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заключением по лодке-догонщику, надобность в матке для догонщиков отпадает.</w:t>
      </w:r>
    </w:p>
    <w:p w14:paraId="2DBC46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Транспортная подлодка.</w:t>
      </w:r>
    </w:p>
    <w:p w14:paraId="2AF52E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Идея транспортной подлодки не нова и в виде, предлагаемом авто</w:t>
      </w:r>
      <w:r w:rsidRPr="00A3026E">
        <w:rPr>
          <w:rFonts w:ascii="Times New Roman" w:hAnsi="Times New Roman"/>
          <w:color w:val="000000" w:themeColor="text1"/>
          <w:sz w:val="16"/>
          <w:szCs w:val="16"/>
        </w:rPr>
        <w:softHyphen/>
        <w:t>ром, неприемлема.</w:t>
      </w:r>
    </w:p>
    <w:p w14:paraId="1B15BE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Крыльчатый скоростный катер.</w:t>
      </w:r>
    </w:p>
    <w:p w14:paraId="2C3223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Идея не нова. Предлагаемая автором конструкция катера неприемле</w:t>
      </w:r>
      <w:r w:rsidRPr="00A3026E">
        <w:rPr>
          <w:rFonts w:ascii="Times New Roman" w:hAnsi="Times New Roman"/>
          <w:color w:val="000000" w:themeColor="text1"/>
          <w:sz w:val="16"/>
          <w:szCs w:val="16"/>
        </w:rPr>
        <w:softHyphen/>
        <w:t>ма, ввиду отсутствия мореходности (10516,68).</w:t>
      </w:r>
    </w:p>
    <w:p w14:paraId="1A8F9B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24507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сентября 1940 завершилось сооружение первой очереди завода 600 в Урумчи и мощности обеспечивали выпуск 300 машин в год (3035,21).</w:t>
      </w:r>
    </w:p>
    <w:p w14:paraId="7D3E8ED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3FBF0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сентября 1940 г. была сдана Первая очередь Завода № 600 НКАП, Объект «600» /г. Урумчи Западный Китай (провинция Синцзян)/, полностью завод должен был вступить в строй к 1.11.1941 г. </w:t>
      </w:r>
      <w:r w:rsidRPr="00A3026E">
        <w:rPr>
          <w:rFonts w:ascii="Times New Roman" w:hAnsi="Times New Roman"/>
          <w:color w:val="000000" w:themeColor="text1"/>
          <w:sz w:val="16"/>
          <w:szCs w:val="16"/>
          <w:vertAlign w:val="superscript"/>
        </w:rPr>
        <w:t>6</w:t>
      </w:r>
    </w:p>
    <w:p w14:paraId="53380A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Первоначально был рассчитан на сборку из готовых узлов самолетов И-16, что и осуществлялось в течение 1941 г. На 1941 г. заводу утвержден план по выпуску 143 И-16. К 1.09.1941 г. было собрано и отправлено 111 машин.</w:t>
      </w:r>
      <w:r w:rsidRPr="00A3026E">
        <w:rPr>
          <w:rFonts w:ascii="Times New Roman" w:hAnsi="Times New Roman"/>
          <w:color w:val="000000" w:themeColor="text1"/>
          <w:sz w:val="16"/>
          <w:szCs w:val="16"/>
          <w:vertAlign w:val="superscript"/>
        </w:rPr>
        <w:t>144</w:t>
      </w:r>
      <w:r w:rsidRPr="00A3026E">
        <w:rPr>
          <w:rFonts w:ascii="Times New Roman" w:hAnsi="Times New Roman"/>
          <w:color w:val="000000" w:themeColor="text1"/>
          <w:sz w:val="16"/>
          <w:szCs w:val="16"/>
        </w:rPr>
        <w:t xml:space="preserve"> Далее, в соответствии с пост. ГКО № 2284 от 9.09.1942 г. на заводе начата организация производства учебных УТ-2 (часть самолетов поставлялась в СССР в годы ВОВ), а с 09.1942г - боевых УТ-2.</w:t>
      </w:r>
    </w:p>
    <w:p w14:paraId="27ECAC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1943 г. планировалось перевести завод на территорию СССР, что и было осуществлено: приказом НКАП № 733с от 6.12.1943 г. оговаривалась передача завода № 600 и всех работ в ведение завода № 84 НКАП ( г. Ташкент).</w:t>
      </w:r>
    </w:p>
    <w:p w14:paraId="3DB035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Директор (1941- 11.1943 г.-)- </w:t>
      </w:r>
      <w:r w:rsidRPr="00A3026E">
        <w:rPr>
          <w:rFonts w:ascii="Times New Roman" w:hAnsi="Times New Roman"/>
          <w:color w:val="000000" w:themeColor="text1"/>
          <w:sz w:val="16"/>
          <w:szCs w:val="16"/>
          <w:lang w:val="en-US"/>
        </w:rPr>
        <w:t>B</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C</w:t>
      </w:r>
      <w:r w:rsidRPr="00A3026E">
        <w:rPr>
          <w:rFonts w:ascii="Times New Roman" w:hAnsi="Times New Roman"/>
          <w:color w:val="000000" w:themeColor="text1"/>
          <w:sz w:val="16"/>
          <w:szCs w:val="16"/>
        </w:rPr>
        <w:t>. Еськов.</w:t>
      </w:r>
    </w:p>
    <w:p w14:paraId="2BFAED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самолеты: И-16 (1940-41), УТ-2 (1941-43)- 89 (11982).</w:t>
      </w:r>
    </w:p>
    <w:p w14:paraId="547CB99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E9F6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сентября 1940 года был организован 3-й инструментальный завод треста Оргавиапром из бывш. артели 1-й инструментальный завод «Мосгорметпромсоюза». Завод вырабатывает ножовочные полотна, слесарные пилы и слесарно-монтажный инструмент. С 1941 года изготовляется вместо слесарно-монтажного инструмента бортовой. Завод находится в помещениях бывш. старых конюшен фабриканта Прохорова (9373).</w:t>
      </w:r>
    </w:p>
    <w:p w14:paraId="5D9AFD9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FFF30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7F1B5DE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7EF8678" w14:textId="77777777" w:rsidR="004C1667" w:rsidRPr="00A3026E" w:rsidRDefault="004C1667" w:rsidP="00A3026E">
      <w:pPr>
        <w:pStyle w:val="ae"/>
        <w:shd w:val="clear" w:color="auto" w:fill="FFFFFF"/>
        <w:spacing w:before="0" w:after="0"/>
        <w:jc w:val="both"/>
        <w:rPr>
          <w:color w:val="000000" w:themeColor="text1"/>
          <w:sz w:val="16"/>
          <w:szCs w:val="16"/>
        </w:rPr>
      </w:pPr>
      <w:r w:rsidRPr="00A3026E">
        <w:rPr>
          <w:color w:val="000000" w:themeColor="text1"/>
          <w:sz w:val="16"/>
          <w:szCs w:val="16"/>
        </w:rPr>
        <w:t>К 1 сентября 1940 года оба орудия (76-мм орудие с баллистикой 3-К, которое на заводе № 92 получило заводской индекс Ф-27, а 85-мм орудие с баллистикой 52-К обозначили как Ф-30) были не только готовы, но и начались их огневые испытания. На заводе №92 не стали изобретать велосипед и вполне логично пошли по пути развития конструкции 76-мм танковой пушки Ф-34. Взяв за основу эту пушку, коллектив КБ установил новые стволы и усилил противооткатные устройства. Благодаря такому подходу разработка систем и заняла так мало времени. В качестве испытательного стенда использовались танки Т-28 (15224).</w:t>
      </w:r>
    </w:p>
    <w:p w14:paraId="1B06921F" w14:textId="77777777" w:rsidR="004C1667" w:rsidRPr="00A3026E" w:rsidRDefault="004C1667" w:rsidP="00A3026E">
      <w:pPr>
        <w:pStyle w:val="ae"/>
        <w:shd w:val="clear" w:color="auto" w:fill="FFFFFF"/>
        <w:spacing w:before="0" w:after="0"/>
        <w:jc w:val="both"/>
        <w:rPr>
          <w:color w:val="000000" w:themeColor="text1"/>
          <w:sz w:val="16"/>
          <w:szCs w:val="16"/>
        </w:rPr>
      </w:pPr>
    </w:p>
    <w:p w14:paraId="662071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сентября 1940 Приказом по заводу № 183 введена обварка периметра люка механика-водителя броневыми планками для защиты от свинцовых брызг при обстреле и горючей жидкости. Причем эти планки ставили и на ранее выпущенные машины, находящиеся на заводе. В этом же месяце установка радиостанции 71-ТК-З перенесена из ниши башни в переднюю часть корпуса. При этом антенный ввод, находившийся на крыше башни, перекочевал на правый борт танка (12217).</w:t>
      </w:r>
    </w:p>
    <w:p w14:paraId="05B4C49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2E6EC84"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700C29A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DA660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сентября 1940 было 28 летных школ и состоялся раздел академии ВВА (69,116).</w:t>
      </w:r>
    </w:p>
    <w:p w14:paraId="12CE43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Монинская академия выделилась еще в марте 1940.</w:t>
      </w:r>
    </w:p>
    <w:p w14:paraId="0DFDF39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2776BE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1A74758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0CCD3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сентября 1940 «Комет» и ледокол «Л. Каганович» вышли в район ос</w:t>
      </w:r>
      <w:r w:rsidRPr="00A3026E">
        <w:rPr>
          <w:rFonts w:ascii="Times New Roman" w:hAnsi="Times New Roman"/>
          <w:color w:val="000000" w:themeColor="text1"/>
          <w:sz w:val="16"/>
          <w:szCs w:val="16"/>
        </w:rPr>
        <w:softHyphen/>
        <w:t>трова Айон на почти чистую воду и двинулись дальше согла</w:t>
      </w:r>
      <w:r w:rsidRPr="00A3026E">
        <w:rPr>
          <w:rFonts w:ascii="Times New Roman" w:hAnsi="Times New Roman"/>
          <w:color w:val="000000" w:themeColor="text1"/>
          <w:sz w:val="16"/>
          <w:szCs w:val="16"/>
        </w:rPr>
        <w:softHyphen/>
        <w:t>сованным курсом к проливу Лонга. Через некоторое время ле</w:t>
      </w:r>
      <w:r w:rsidRPr="00A3026E">
        <w:rPr>
          <w:rFonts w:ascii="Times New Roman" w:hAnsi="Times New Roman"/>
          <w:color w:val="000000" w:themeColor="text1"/>
          <w:sz w:val="16"/>
          <w:szCs w:val="16"/>
        </w:rPr>
        <w:softHyphen/>
        <w:t>докол вдруг дал сигнал застопорить ход и лег в дрейф. С «Ка</w:t>
      </w:r>
      <w:r w:rsidRPr="00A3026E">
        <w:rPr>
          <w:rFonts w:ascii="Times New Roman" w:hAnsi="Times New Roman"/>
          <w:color w:val="000000" w:themeColor="text1"/>
          <w:sz w:val="16"/>
          <w:szCs w:val="16"/>
        </w:rPr>
        <w:softHyphen/>
        <w:t>гановича» спустили шлюпку, на которой А. П. Мелехов по</w:t>
      </w:r>
      <w:r w:rsidRPr="00A3026E">
        <w:rPr>
          <w:rFonts w:ascii="Times New Roman" w:hAnsi="Times New Roman"/>
          <w:color w:val="000000" w:themeColor="text1"/>
          <w:sz w:val="16"/>
          <w:szCs w:val="16"/>
        </w:rPr>
        <w:softHyphen/>
        <w:t>дошел к «Комету», где у трапа капитана очень любезно встре</w:t>
      </w:r>
      <w:r w:rsidRPr="00A3026E">
        <w:rPr>
          <w:rFonts w:ascii="Times New Roman" w:hAnsi="Times New Roman"/>
          <w:color w:val="000000" w:themeColor="text1"/>
          <w:sz w:val="16"/>
          <w:szCs w:val="16"/>
        </w:rPr>
        <w:softHyphen/>
        <w:t>тил сам Роберт Эйссен. Мелехов сообщил, что им получена из Москвы секретная радиограмма — приказ начальника Глав</w:t>
      </w:r>
      <w:r w:rsidRPr="00A3026E">
        <w:rPr>
          <w:rFonts w:ascii="Times New Roman" w:hAnsi="Times New Roman"/>
          <w:color w:val="000000" w:themeColor="text1"/>
          <w:sz w:val="16"/>
          <w:szCs w:val="16"/>
        </w:rPr>
        <w:softHyphen/>
        <w:t>ного управления Севморпути И. Д. Папанина о том, что гер</w:t>
      </w:r>
      <w:r w:rsidRPr="00A3026E">
        <w:rPr>
          <w:rFonts w:ascii="Times New Roman" w:hAnsi="Times New Roman"/>
          <w:color w:val="000000" w:themeColor="text1"/>
          <w:sz w:val="16"/>
          <w:szCs w:val="16"/>
        </w:rPr>
        <w:softHyphen/>
        <w:t>манский корабль следует немедленно вернуть назад, на запад, так как Берингов пролив якобы находится под наблюдением и контролем враждебных Германии кораблей. Эйссен быстро сообразил, что это какие-то политические интриги русских, и пошел к Берингову проливу самостоятельно (10670,268).</w:t>
      </w:r>
    </w:p>
    <w:p w14:paraId="4CCFE0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DEE7560"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2019D5B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4098B2C" w14:textId="77777777" w:rsidR="00983732" w:rsidRPr="00A3026E" w:rsidRDefault="0098373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 сентября 1940 выполнил первый полет Норт Америкен Р-64 (20795). </w:t>
      </w:r>
    </w:p>
    <w:p w14:paraId="5D2D05A7" w14:textId="77777777" w:rsidR="00983732" w:rsidRPr="00A3026E" w:rsidRDefault="00983732" w:rsidP="00A3026E">
      <w:pPr>
        <w:spacing w:after="0" w:line="240" w:lineRule="auto"/>
        <w:jc w:val="both"/>
        <w:rPr>
          <w:rFonts w:ascii="Times New Roman" w:hAnsi="Times New Roman"/>
          <w:color w:val="0070C0"/>
          <w:sz w:val="16"/>
          <w:szCs w:val="16"/>
        </w:rPr>
      </w:pPr>
    </w:p>
    <w:p w14:paraId="233EBC60" w14:textId="77777777" w:rsidR="00983732" w:rsidRPr="00A3026E" w:rsidRDefault="0098373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сентября 1940 - Первый полет North American P-64 (NA-68). Военно-воздушным корпусом армии Соединенных Штатов (USAAC) было присвоено обозначение P-64 истребителю North American NA-68, - модернизированному варианту NA-50, разработанному в конце 1930-х годов.  Шесть самолетов NA-68, заказанных Королевскими военно-воздушными силами Таиланда, были реквизированы перед поставкой Таиланду в 1941 году, после франко-тайской войны и растущих связей между Таиландом и Японской империей. Эти самолеты использовались USAAC в качестве учебных невооруженных истребителей (22378).</w:t>
      </w:r>
    </w:p>
    <w:p w14:paraId="38CD6726" w14:textId="77777777" w:rsidR="00983732" w:rsidRPr="00A3026E" w:rsidRDefault="00983732" w:rsidP="00A3026E">
      <w:pPr>
        <w:spacing w:after="0" w:line="240" w:lineRule="auto"/>
        <w:jc w:val="both"/>
        <w:rPr>
          <w:rFonts w:ascii="Times New Roman" w:hAnsi="Times New Roman"/>
          <w:color w:val="0070C0"/>
          <w:sz w:val="16"/>
          <w:szCs w:val="16"/>
        </w:rPr>
      </w:pPr>
    </w:p>
    <w:p w14:paraId="1A27BD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сентября 1940 Люфтваффе начали бомбить английские авиазаводы (2240).</w:t>
      </w:r>
    </w:p>
    <w:p w14:paraId="01A7F99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1E2910"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1 September 1940 Buckingham Palace slightly damaged by bombs (270).</w:t>
      </w:r>
    </w:p>
    <w:p w14:paraId="341A082E"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65B8A8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сентября 1940 бомбами был слегка поврежден Букингемский дворец (270).</w:t>
      </w:r>
    </w:p>
    <w:p w14:paraId="7837ACB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AE8DC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сентября 1940 итальянское командование спешно организовало при военно-морском училище в Ливорно школу подводных пловцов (3961, 29).</w:t>
      </w:r>
    </w:p>
    <w:p w14:paraId="224F430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5CB4EF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73A22BE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F7A4D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состоялось 21 заседание коллегии НКАП (1163):</w:t>
      </w:r>
    </w:p>
    <w:p w14:paraId="01ED9E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 ходе проектирования и постройки опытного самолета ОБШ П.О.Сухого (ГК завода 289 П.О.Сухой) (1163);</w:t>
      </w:r>
    </w:p>
    <w:p w14:paraId="13D98D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Были приложены:</w:t>
      </w:r>
    </w:p>
    <w:p w14:paraId="1C132B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справка по самолету ОБШ М-71 конструкции П.О.Сухого, представленная зам. нач. 7 ГУ НКАП С.Н.Шишкиным за N 3028 (август 1940);</w:t>
      </w:r>
    </w:p>
    <w:p w14:paraId="268222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основные данные опытных самолетов ОБШ конструктора П.О.Сухого и БШ конструктора С.В.И., представленные С.Н.Шишкиным N 3027 от 30 августа 1940 (1163, 32).</w:t>
      </w:r>
    </w:p>
    <w:p w14:paraId="6963A9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проект постановления коллегии НКАП по докладу П.О.Сухого, представленный С.Н.Шишкиным N 3051 от 31 августа 1940 (1163,34):</w:t>
      </w:r>
    </w:p>
    <w:p w14:paraId="2F70FD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"Заслушав доклад ГК завода 289 П.О.С. о ходе проектирования и постройки опытного самолета ОБШ, коллегия НКАП констатирует:</w:t>
      </w:r>
    </w:p>
    <w:p w14:paraId="1CCC5F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 работ идет неудовлетворительно;</w:t>
      </w:r>
    </w:p>
    <w:p w14:paraId="677878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утвержден к постройке в октября 1939, а чертежи по этому самолету спущены лишь 31 июля 1940;</w:t>
      </w:r>
    </w:p>
    <w:p w14:paraId="13BD7A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Отсутствует мотор М-71 (1213).</w:t>
      </w:r>
    </w:p>
    <w:p w14:paraId="670B9A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Потом вышел приказ НКАП N 4822сс от 13 сентября 1940 по решению коллегии о ходе проектирования и постройки самолета ОБШ N 4271 от 11 сентября 1940 (1163,36).</w:t>
      </w:r>
    </w:p>
    <w:p w14:paraId="432B3A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 выполнении постановления экономического совета при СНК от 4 июля 1940 N 1216-343 и приказов наркома NN 230с от 25 мая 1940 и N 356с от 19 июля 1940 по подготовке аэродромов НКАП к производству полетов на колесах в зимнее время (нач. гл. инспекции при наркоме Фокин) (1163);</w:t>
      </w:r>
    </w:p>
    <w:p w14:paraId="6C5D6E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 приказе N 76 от 10 августа 1940 по 4 ГУ (нач. гл. инспекции при наркоме Фокин) (1163).</w:t>
      </w:r>
    </w:p>
    <w:p w14:paraId="575A07C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2FCAB5" w14:textId="77777777" w:rsidR="007C10B0" w:rsidRPr="00A3026E" w:rsidRDefault="007C10B0" w:rsidP="00A3026E">
      <w:pPr>
        <w:pStyle w:val="171"/>
        <w:shd w:val="clear" w:color="auto" w:fill="auto"/>
        <w:spacing w:before="0" w:line="240" w:lineRule="auto"/>
        <w:ind w:firstLine="0"/>
        <w:jc w:val="both"/>
        <w:rPr>
          <w:rFonts w:ascii="Times New Roman" w:hAnsi="Times New Roman" w:cs="Times New Roman"/>
          <w:color w:val="0070C0"/>
          <w:sz w:val="16"/>
          <w:szCs w:val="16"/>
        </w:rPr>
      </w:pPr>
      <w:r w:rsidRPr="00A3026E">
        <w:rPr>
          <w:rFonts w:ascii="Times New Roman" w:hAnsi="Times New Roman" w:cs="Times New Roman"/>
          <w:color w:val="0070C0"/>
          <w:sz w:val="16"/>
          <w:szCs w:val="16"/>
        </w:rPr>
        <w:t>2 сентября 1940 состоялось заседание кол</w:t>
      </w:r>
      <w:r w:rsidRPr="00A3026E">
        <w:rPr>
          <w:rFonts w:ascii="Times New Roman" w:hAnsi="Times New Roman" w:cs="Times New Roman"/>
          <w:color w:val="0070C0"/>
          <w:sz w:val="16"/>
          <w:szCs w:val="16"/>
        </w:rPr>
        <w:softHyphen/>
        <w:t>легии НКАП, на котором Сухой доложил о причинах срыва сроков изготовления са</w:t>
      </w:r>
      <w:r w:rsidRPr="00A3026E">
        <w:rPr>
          <w:rFonts w:ascii="Times New Roman" w:hAnsi="Times New Roman" w:cs="Times New Roman"/>
          <w:color w:val="0070C0"/>
          <w:sz w:val="16"/>
          <w:szCs w:val="16"/>
        </w:rPr>
        <w:softHyphen/>
        <w:t>молета ОБШ М-71.</w:t>
      </w:r>
    </w:p>
    <w:p w14:paraId="06804E69"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Главное, это «перемена базы по</w:t>
      </w:r>
      <w:r w:rsidRPr="00A3026E">
        <w:rPr>
          <w:rFonts w:ascii="Times New Roman" w:hAnsi="Times New Roman"/>
          <w:color w:val="0070C0"/>
          <w:sz w:val="16"/>
          <w:szCs w:val="16"/>
        </w:rPr>
        <w:softHyphen/>
        <w:t>стройки». Дело в том, что самолет предпо</w:t>
      </w:r>
      <w:r w:rsidRPr="00A3026E">
        <w:rPr>
          <w:rFonts w:ascii="Times New Roman" w:hAnsi="Times New Roman"/>
          <w:color w:val="0070C0"/>
          <w:sz w:val="16"/>
          <w:szCs w:val="16"/>
        </w:rPr>
        <w:softHyphen/>
        <w:t>лагалось строить на заводе №135 в Харь</w:t>
      </w:r>
      <w:r w:rsidRPr="00A3026E">
        <w:rPr>
          <w:rFonts w:ascii="Times New Roman" w:hAnsi="Times New Roman"/>
          <w:color w:val="0070C0"/>
          <w:sz w:val="16"/>
          <w:szCs w:val="16"/>
        </w:rPr>
        <w:softHyphen/>
        <w:t>кове, но в мае 1940 г. ОКБ Сухого перее</w:t>
      </w:r>
      <w:r w:rsidRPr="00A3026E">
        <w:rPr>
          <w:rFonts w:ascii="Times New Roman" w:hAnsi="Times New Roman"/>
          <w:color w:val="0070C0"/>
          <w:sz w:val="16"/>
          <w:szCs w:val="16"/>
        </w:rPr>
        <w:softHyphen/>
        <w:t>хало в подмосковный Калининград на за</w:t>
      </w:r>
      <w:r w:rsidRPr="00A3026E">
        <w:rPr>
          <w:rFonts w:ascii="Times New Roman" w:hAnsi="Times New Roman"/>
          <w:color w:val="0070C0"/>
          <w:sz w:val="16"/>
          <w:szCs w:val="16"/>
        </w:rPr>
        <w:softHyphen/>
        <w:t>вод №289, где собственно и началось его изготовление. Между тем завод №289 ис</w:t>
      </w:r>
      <w:r w:rsidRPr="00A3026E">
        <w:rPr>
          <w:rFonts w:ascii="Times New Roman" w:hAnsi="Times New Roman"/>
          <w:color w:val="0070C0"/>
          <w:sz w:val="16"/>
          <w:szCs w:val="16"/>
        </w:rPr>
        <w:softHyphen/>
        <w:t>пытывал острый недостаток станочного оборудования, квалифицированных рабо</w:t>
      </w:r>
      <w:r w:rsidRPr="00A3026E">
        <w:rPr>
          <w:rFonts w:ascii="Times New Roman" w:hAnsi="Times New Roman"/>
          <w:color w:val="0070C0"/>
          <w:sz w:val="16"/>
          <w:szCs w:val="16"/>
        </w:rPr>
        <w:softHyphen/>
        <w:t>чих и инженеров, тогда как основной ка</w:t>
      </w:r>
      <w:r w:rsidRPr="00A3026E">
        <w:rPr>
          <w:rFonts w:ascii="Times New Roman" w:hAnsi="Times New Roman"/>
          <w:color w:val="0070C0"/>
          <w:sz w:val="16"/>
          <w:szCs w:val="16"/>
        </w:rPr>
        <w:softHyphen/>
        <w:t>дровый состав ОКБ, помимо ОБШ, был пе</w:t>
      </w:r>
      <w:r w:rsidRPr="00A3026E">
        <w:rPr>
          <w:rFonts w:ascii="Times New Roman" w:hAnsi="Times New Roman"/>
          <w:color w:val="0070C0"/>
          <w:sz w:val="16"/>
          <w:szCs w:val="16"/>
        </w:rPr>
        <w:softHyphen/>
        <w:t>регружен работами по самолетам ББ-1, ШБ (ББ-2), И-135 и другим проектам</w:t>
      </w:r>
    </w:p>
    <w:p w14:paraId="034CBEA8" w14:textId="77777777" w:rsidR="007C10B0" w:rsidRPr="00A3026E" w:rsidRDefault="007C10B0" w:rsidP="00A3026E">
      <w:pPr>
        <w:pStyle w:val="27"/>
        <w:shd w:val="clear" w:color="auto" w:fill="auto"/>
        <w:spacing w:before="0" w:line="240" w:lineRule="auto"/>
        <w:jc w:val="both"/>
        <w:rPr>
          <w:rFonts w:ascii="Times New Roman" w:hAnsi="Times New Roman" w:cs="Times New Roman"/>
          <w:color w:val="0070C0"/>
          <w:sz w:val="16"/>
          <w:szCs w:val="16"/>
        </w:rPr>
      </w:pPr>
      <w:r w:rsidRPr="00A3026E">
        <w:rPr>
          <w:rStyle w:val="28pt100"/>
          <w:rFonts w:ascii="Times New Roman" w:hAnsi="Times New Roman" w:cs="Times New Roman"/>
          <w:i w:val="0"/>
          <w:iCs w:val="0"/>
          <w:color w:val="0070C0"/>
        </w:rPr>
        <w:t>В свою очередь, коллегия НКАП от</w:t>
      </w:r>
      <w:r w:rsidRPr="00A3026E">
        <w:rPr>
          <w:rStyle w:val="28pt100"/>
          <w:rFonts w:ascii="Times New Roman" w:hAnsi="Times New Roman" w:cs="Times New Roman"/>
          <w:i w:val="0"/>
          <w:iCs w:val="0"/>
          <w:color w:val="0070C0"/>
        </w:rPr>
        <w:softHyphen/>
        <w:t>метила, что:</w:t>
      </w:r>
      <w:r w:rsidRPr="00A3026E">
        <w:rPr>
          <w:rFonts w:ascii="Times New Roman" w:hAnsi="Times New Roman" w:cs="Times New Roman"/>
          <w:color w:val="0070C0"/>
          <w:sz w:val="16"/>
          <w:szCs w:val="16"/>
        </w:rPr>
        <w:t xml:space="preserve"> «Самолет утвержден по по</w:t>
      </w:r>
      <w:r w:rsidRPr="00A3026E">
        <w:rPr>
          <w:rFonts w:ascii="Times New Roman" w:hAnsi="Times New Roman" w:cs="Times New Roman"/>
          <w:color w:val="0070C0"/>
          <w:sz w:val="16"/>
          <w:szCs w:val="16"/>
        </w:rPr>
        <w:softHyphen/>
        <w:t>стройке в октябре 1939 г., а чертежи по этому самолету спущены лишь 31 июля 1940 г./.../Главным конструктором тов. Сухим И.О. не проявлено достаточной инициативы в деле ускорения выпуска чер</w:t>
      </w:r>
      <w:r w:rsidRPr="00A3026E">
        <w:rPr>
          <w:rFonts w:ascii="Times New Roman" w:hAnsi="Times New Roman" w:cs="Times New Roman"/>
          <w:color w:val="0070C0"/>
          <w:sz w:val="16"/>
          <w:szCs w:val="16"/>
        </w:rPr>
        <w:softHyphen/>
        <w:t xml:space="preserve">тежей в производство и в мобилизации коллектива </w:t>
      </w:r>
      <w:r w:rsidRPr="00A3026E">
        <w:rPr>
          <w:rFonts w:ascii="Times New Roman" w:hAnsi="Times New Roman" w:cs="Times New Roman"/>
          <w:color w:val="0070C0"/>
          <w:sz w:val="16"/>
          <w:szCs w:val="16"/>
        </w:rPr>
        <w:lastRenderedPageBreak/>
        <w:t>КБ вокруг этого вопроса./.../ Главным конструктором тов. Сухим П.О. и директором завода тов. Голубковым не были приняты меры к использованию не</w:t>
      </w:r>
      <w:r w:rsidRPr="00A3026E">
        <w:rPr>
          <w:rFonts w:ascii="Times New Roman" w:hAnsi="Times New Roman" w:cs="Times New Roman"/>
          <w:color w:val="0070C0"/>
          <w:sz w:val="16"/>
          <w:szCs w:val="16"/>
        </w:rPr>
        <w:softHyphen/>
        <w:t>загруженной производственной базы ОКО завода №135./.../Руководством завода ни</w:t>
      </w:r>
      <w:r w:rsidRPr="00A3026E">
        <w:rPr>
          <w:rFonts w:ascii="Times New Roman" w:hAnsi="Times New Roman" w:cs="Times New Roman"/>
          <w:color w:val="0070C0"/>
          <w:sz w:val="16"/>
          <w:szCs w:val="16"/>
        </w:rPr>
        <w:softHyphen/>
        <w:t>чего не сделано, чтобы использовать и пе</w:t>
      </w:r>
      <w:r w:rsidRPr="00A3026E">
        <w:rPr>
          <w:rFonts w:ascii="Times New Roman" w:hAnsi="Times New Roman" w:cs="Times New Roman"/>
          <w:color w:val="0070C0"/>
          <w:sz w:val="16"/>
          <w:szCs w:val="16"/>
        </w:rPr>
        <w:softHyphen/>
        <w:t>реквалифицировать имеющийся на за</w:t>
      </w:r>
      <w:r w:rsidRPr="00A3026E">
        <w:rPr>
          <w:rFonts w:ascii="Times New Roman" w:hAnsi="Times New Roman" w:cs="Times New Roman"/>
          <w:color w:val="0070C0"/>
          <w:sz w:val="16"/>
          <w:szCs w:val="16"/>
        </w:rPr>
        <w:softHyphen/>
        <w:t>воде огромный резерв подсобной рабочей силы./.../Завод №289 не освоил и не осва</w:t>
      </w:r>
      <w:r w:rsidRPr="00A3026E">
        <w:rPr>
          <w:rFonts w:ascii="Times New Roman" w:hAnsi="Times New Roman" w:cs="Times New Roman"/>
          <w:color w:val="0070C0"/>
          <w:sz w:val="16"/>
          <w:szCs w:val="16"/>
        </w:rPr>
        <w:softHyphen/>
        <w:t>ивает новых, крайне необходимых для за</w:t>
      </w:r>
      <w:r w:rsidRPr="00A3026E">
        <w:rPr>
          <w:rFonts w:ascii="Times New Roman" w:hAnsi="Times New Roman" w:cs="Times New Roman"/>
          <w:color w:val="0070C0"/>
          <w:sz w:val="16"/>
          <w:szCs w:val="16"/>
        </w:rPr>
        <w:softHyphen/>
        <w:t>вода технологических процессов, связан</w:t>
      </w:r>
      <w:r w:rsidRPr="00A3026E">
        <w:rPr>
          <w:rFonts w:ascii="Times New Roman" w:hAnsi="Times New Roman" w:cs="Times New Roman"/>
          <w:color w:val="0070C0"/>
          <w:sz w:val="16"/>
          <w:szCs w:val="16"/>
        </w:rPr>
        <w:softHyphen/>
        <w:t>ных с постройкой самолета: электронное литье, обработку электрона, фибровых баков, клея ВИАМ Б-3, роликовую и точеч</w:t>
      </w:r>
      <w:r w:rsidRPr="00A3026E">
        <w:rPr>
          <w:rFonts w:ascii="Times New Roman" w:hAnsi="Times New Roman" w:cs="Times New Roman"/>
          <w:color w:val="0070C0"/>
          <w:sz w:val="16"/>
          <w:szCs w:val="16"/>
        </w:rPr>
        <w:softHyphen/>
        <w:t>ную сварку и т.д./.../Отсутствие мотора М-71 ставит также под угрозу срыва пра</w:t>
      </w:r>
      <w:r w:rsidRPr="00A3026E">
        <w:rPr>
          <w:rFonts w:ascii="Times New Roman" w:hAnsi="Times New Roman" w:cs="Times New Roman"/>
          <w:color w:val="0070C0"/>
          <w:sz w:val="16"/>
          <w:szCs w:val="16"/>
        </w:rPr>
        <w:softHyphen/>
        <w:t>вительственного задания».</w:t>
      </w:r>
    </w:p>
    <w:p w14:paraId="323AE276" w14:textId="77777777" w:rsidR="007C10B0" w:rsidRPr="00A3026E" w:rsidRDefault="007C10B0" w:rsidP="00A3026E">
      <w:pPr>
        <w:pStyle w:val="171"/>
        <w:shd w:val="clear" w:color="auto" w:fill="auto"/>
        <w:spacing w:before="0" w:line="240" w:lineRule="auto"/>
        <w:ind w:firstLine="0"/>
        <w:jc w:val="both"/>
        <w:rPr>
          <w:rFonts w:ascii="Times New Roman" w:hAnsi="Times New Roman" w:cs="Times New Roman"/>
          <w:color w:val="0070C0"/>
          <w:sz w:val="16"/>
          <w:szCs w:val="16"/>
        </w:rPr>
      </w:pPr>
      <w:r w:rsidRPr="00A3026E">
        <w:rPr>
          <w:rFonts w:ascii="Times New Roman" w:hAnsi="Times New Roman" w:cs="Times New Roman"/>
          <w:color w:val="0070C0"/>
          <w:sz w:val="16"/>
          <w:szCs w:val="16"/>
        </w:rPr>
        <w:t>По итогам обмена мнениями решили с целью «сокращения времени и ликви</w:t>
      </w:r>
      <w:r w:rsidRPr="00A3026E">
        <w:rPr>
          <w:rFonts w:ascii="Times New Roman" w:hAnsi="Times New Roman" w:cs="Times New Roman"/>
          <w:color w:val="0070C0"/>
          <w:sz w:val="16"/>
          <w:szCs w:val="16"/>
        </w:rPr>
        <w:softHyphen/>
        <w:t>дации прорыва» фюзеляж, оперение и крыло ОБШ для проведения статиспытаний строить в опытных мастерских завода №289, а основные детали летных экзем</w:t>
      </w:r>
      <w:r w:rsidRPr="00A3026E">
        <w:rPr>
          <w:rFonts w:ascii="Times New Roman" w:hAnsi="Times New Roman" w:cs="Times New Roman"/>
          <w:color w:val="0070C0"/>
          <w:sz w:val="16"/>
          <w:szCs w:val="16"/>
        </w:rPr>
        <w:softHyphen/>
        <w:t>пляров самолета изготовить на других за</w:t>
      </w:r>
      <w:r w:rsidRPr="00A3026E">
        <w:rPr>
          <w:rFonts w:ascii="Times New Roman" w:hAnsi="Times New Roman" w:cs="Times New Roman"/>
          <w:color w:val="0070C0"/>
          <w:sz w:val="16"/>
          <w:szCs w:val="16"/>
        </w:rPr>
        <w:softHyphen/>
        <w:t>водах. Одновременно заводу №289 до</w:t>
      </w:r>
      <w:r w:rsidRPr="00A3026E">
        <w:rPr>
          <w:rFonts w:ascii="Times New Roman" w:hAnsi="Times New Roman" w:cs="Times New Roman"/>
          <w:color w:val="0070C0"/>
          <w:sz w:val="16"/>
          <w:szCs w:val="16"/>
        </w:rPr>
        <w:softHyphen/>
        <w:t>полнительно выделялись 6 станков и не</w:t>
      </w:r>
      <w:r w:rsidRPr="00A3026E">
        <w:rPr>
          <w:rFonts w:ascii="Times New Roman" w:hAnsi="Times New Roman" w:cs="Times New Roman"/>
          <w:color w:val="0070C0"/>
          <w:sz w:val="16"/>
          <w:szCs w:val="16"/>
        </w:rPr>
        <w:softHyphen/>
        <w:t>обходимые материалы (19844).</w:t>
      </w:r>
    </w:p>
    <w:p w14:paraId="180EA1E3" w14:textId="77777777" w:rsidR="007C10B0" w:rsidRPr="00A3026E" w:rsidRDefault="007C10B0" w:rsidP="00A3026E">
      <w:pPr>
        <w:pStyle w:val="171"/>
        <w:shd w:val="clear" w:color="auto" w:fill="auto"/>
        <w:spacing w:before="0" w:line="240" w:lineRule="auto"/>
        <w:ind w:firstLine="0"/>
        <w:jc w:val="both"/>
        <w:rPr>
          <w:rFonts w:ascii="Times New Roman" w:hAnsi="Times New Roman" w:cs="Times New Roman"/>
          <w:color w:val="0070C0"/>
          <w:sz w:val="16"/>
          <w:szCs w:val="16"/>
        </w:rPr>
      </w:pPr>
    </w:p>
    <w:p w14:paraId="33E82D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года Коллегия НКАП рассмотрела вопрос: «О ходе проектирования и постройки опытного самолета ОБШ конструк</w:t>
      </w:r>
      <w:r w:rsidRPr="00A3026E">
        <w:rPr>
          <w:rFonts w:ascii="Times New Roman" w:hAnsi="Times New Roman"/>
          <w:color w:val="000000" w:themeColor="text1"/>
          <w:sz w:val="16"/>
          <w:szCs w:val="16"/>
        </w:rPr>
        <w:softHyphen/>
        <w:t>ции т. Сухого».</w:t>
      </w:r>
    </w:p>
    <w:p w14:paraId="6D29AF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 Павла Оси</w:t>
      </w:r>
      <w:r w:rsidRPr="00A3026E">
        <w:rPr>
          <w:rFonts w:ascii="Times New Roman" w:hAnsi="Times New Roman"/>
          <w:color w:val="000000" w:themeColor="text1"/>
          <w:sz w:val="16"/>
          <w:szCs w:val="16"/>
        </w:rPr>
        <w:softHyphen/>
        <w:t>повича и прения по нему вскрыли следующие причины невыполнения установленных сроков постройки самолета:</w:t>
      </w:r>
    </w:p>
    <w:p w14:paraId="733904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недостаток квалифицирован</w:t>
      </w:r>
      <w:r w:rsidRPr="00A3026E">
        <w:rPr>
          <w:rFonts w:ascii="Times New Roman" w:hAnsi="Times New Roman"/>
          <w:color w:val="000000" w:themeColor="text1"/>
          <w:sz w:val="16"/>
          <w:szCs w:val="16"/>
        </w:rPr>
        <w:softHyphen/>
        <w:t>ной рабочей силы;</w:t>
      </w:r>
    </w:p>
    <w:p w14:paraId="6D5D90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нехватка станочного оборудо</w:t>
      </w:r>
      <w:r w:rsidRPr="00A3026E">
        <w:rPr>
          <w:rFonts w:ascii="Times New Roman" w:hAnsi="Times New Roman"/>
          <w:color w:val="000000" w:themeColor="text1"/>
          <w:sz w:val="16"/>
          <w:szCs w:val="16"/>
        </w:rPr>
        <w:softHyphen/>
        <w:t>вания;</w:t>
      </w:r>
    </w:p>
    <w:p w14:paraId="39865B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медленное освоение заводом №289 современных технологичес</w:t>
      </w:r>
      <w:r w:rsidRPr="00A3026E">
        <w:rPr>
          <w:rFonts w:ascii="Times New Roman" w:hAnsi="Times New Roman"/>
          <w:color w:val="000000" w:themeColor="text1"/>
          <w:sz w:val="16"/>
          <w:szCs w:val="16"/>
        </w:rPr>
        <w:softHyphen/>
        <w:t>ких процессов;</w:t>
      </w:r>
    </w:p>
    <w:p w14:paraId="727804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«перенасыщенная» тематика КБ (8 объектов);</w:t>
      </w:r>
    </w:p>
    <w:p w14:paraId="016081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отсутствие мотора М-71.</w:t>
      </w:r>
    </w:p>
    <w:p w14:paraId="6E46DB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Вместе с тем основные претен</w:t>
      </w:r>
      <w:r w:rsidRPr="00A3026E">
        <w:rPr>
          <w:rFonts w:ascii="Times New Roman" w:hAnsi="Times New Roman"/>
          <w:color w:val="000000" w:themeColor="text1"/>
          <w:sz w:val="16"/>
          <w:szCs w:val="16"/>
        </w:rPr>
        <w:softHyphen/>
        <w:t>зии Коллегия НКАП высказала в адрес главного конструктора П.О. Сухого и директора завода №289 П.Н.Голубкова (11845).</w:t>
      </w:r>
    </w:p>
    <w:p w14:paraId="2F5347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8F5A1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вышел приказ 7 ГУ N 35:</w:t>
      </w:r>
    </w:p>
    <w:p w14:paraId="723D5C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приказа НКАП N 147с от 28 марта 1940:</w:t>
      </w:r>
    </w:p>
    <w:p w14:paraId="37027A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Для определения готовности самолета ПББ-22 с 2хМ105 конструкции А.С.Я. к 1 полету назначить комиссию..." (2031,57).</w:t>
      </w:r>
    </w:p>
    <w:p w14:paraId="7531D1B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469B71" w14:textId="77777777" w:rsidR="00C66762" w:rsidRPr="00A3026E" w:rsidRDefault="00C66762" w:rsidP="00A3026E">
      <w:pPr>
        <w:pStyle w:val="a3"/>
        <w:widowControl/>
        <w:rPr>
          <w:color w:val="000000" w:themeColor="text1"/>
          <w:lang w:val="ru-RU"/>
        </w:rPr>
      </w:pPr>
      <w:r w:rsidRPr="00A3026E">
        <w:rPr>
          <w:color w:val="000000" w:themeColor="text1"/>
          <w:lang w:val="ru-RU"/>
        </w:rPr>
        <w:t>2 сентября 1940 г. Начальник НИИ ВВС генерал майор авиации Филин утвердил Отчет по испытанию амортизатора на ручку управления самолета ДБ-3 № 180341</w:t>
      </w:r>
    </w:p>
    <w:p w14:paraId="16C608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4644F1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 в/инженер 2 ранга Стрижевский</w:t>
      </w:r>
    </w:p>
    <w:p w14:paraId="5E0041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майор Лисицын</w:t>
      </w:r>
    </w:p>
    <w:p w14:paraId="4AD1E9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71FEEC9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поведение самолета на разных режимах полета с амортизатором на ручку управления.</w:t>
      </w:r>
    </w:p>
    <w:p w14:paraId="5BC6322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целесообразность установки амортизатора на самолете Дб-3.</w:t>
      </w:r>
    </w:p>
    <w:p w14:paraId="5D7F7E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производились на самолете ДБ-3 2М-87А серии Б № 180341 постройки завода № 18.</w:t>
      </w:r>
    </w:p>
    <w:p w14:paraId="7F1772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Этот самолет в 1939 году прошел гос. испытания в НИИ ВВС. На нем также в 1939 году было проведено специальное исследование устойчивости и управляемости.</w:t>
      </w:r>
    </w:p>
    <w:p w14:paraId="4191DF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проведения данных испытаний был использован резиновый амортизатор, одним концом закрепленный неподвижно на турели, другой конец закреплялся на ручку штурмана.</w:t>
      </w:r>
    </w:p>
    <w:p w14:paraId="14450E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было сделано 7 полетов общей продолжительностью 10 час. 10 мин.</w:t>
      </w:r>
    </w:p>
    <w:p w14:paraId="384A24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F6F16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Заводу № 39 необходимо изготовить и испытать самолет ДБ3-Ф с регулирующимся пружинным амортизатором в системе управления, используя подобную конструкцию в системе управления самолета ДО-215 (4391).</w:t>
      </w:r>
    </w:p>
    <w:p w14:paraId="33B6C2E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55F6C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Зам. Нач. Секретариата НКАП писал Нач. ПГУ Лукину письмо N 1224с:</w:t>
      </w:r>
    </w:p>
    <w:p w14:paraId="38D397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резолюции НКАП М.М.К. направляю Вам для исполнения материалы о выдаче НИИ-11 двух самолетов СБ и ДБ-3." (1354,116).</w:t>
      </w:r>
    </w:p>
    <w:p w14:paraId="2858269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8CD7B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года начальник НИП АВ ВВС полковник Шевченко утвердил:</w:t>
      </w:r>
    </w:p>
    <w:p w14:paraId="5E15EE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контрольным испытаниям ВАП-500 у головной партии на самолетах СБ и ДБ-3</w:t>
      </w:r>
    </w:p>
    <w:p w14:paraId="0A588D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24 июля 1940 года</w:t>
      </w:r>
    </w:p>
    <w:p w14:paraId="024AB1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24 августа 1940 года</w:t>
      </w:r>
    </w:p>
    <w:p w14:paraId="068ADF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189B7A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Лукашев</w:t>
      </w:r>
    </w:p>
    <w:p w14:paraId="1FC682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1D7A88D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влияние установки фиусатора крышки прибора, при этом поределить:</w:t>
      </w:r>
    </w:p>
    <w:p w14:paraId="00DF4F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устойчивость крышки выливного люка в полете после открытия прибора;</w:t>
      </w:r>
    </w:p>
    <w:p w14:paraId="11F87D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возможность забрызгивания самолета СБ при опорожнении приборов;</w:t>
      </w:r>
    </w:p>
    <w:p w14:paraId="04FD3E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износ тросовой проводки на роликах суфлера и крышки выливного люка.</w:t>
      </w:r>
    </w:p>
    <w:p w14:paraId="0250B91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Установить влияние кожуха замка прибора ВАП-500у на характер истечения жидкости из прибора при выливании в воздухе.</w:t>
      </w:r>
    </w:p>
    <w:p w14:paraId="6DDA35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6730F67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Предъявленные на контрольные испытания приборы ВАП-500у головной серии заводом № 145 констрольные испытания выдержали (7603).</w:t>
      </w:r>
    </w:p>
    <w:p w14:paraId="5C6BB7C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2B7710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г. на «пикирующем» сборе Закавказского военного округа У СБ №13/205, пилотируемого командиром звена ст. лейтенантом Шаповалом. при выходе из пикирования на высоте 700 м оторвалась концевая часть левой плоскости по 19-й нервюре. Самолет врезался в.землю, экипаж погиб. Катастрофа привела к разбирательствам. в результате которых признавалось. что СБ серии 301. 302. 303.304, 305 - для проведения пикирующих полетов не подходят, т.к. обладают недостаточной прочностью крыла. Тем не менее, отказываться от испытаний и последующего практического использования ни одна из инстанций, похоже, не собиралась (6413).</w:t>
      </w:r>
    </w:p>
    <w:p w14:paraId="11BC626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1906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А.И.Ш. писал пред. СНК Н.А.Вознесенскому письмо N 7162-10 о том, что постановлением Правительства N 275сс от 23 июля 1940 на заводе 22 снят с производства самолет СПБ 2М-105 Н.Н.П. (1293,118).</w:t>
      </w:r>
    </w:p>
    <w:p w14:paraId="720FD67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4A3DB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вышел приказ 7 ГУ N 34:</w:t>
      </w:r>
    </w:p>
    <w:p w14:paraId="7D1AD6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готовности модифицированного экспериментального самолета ЦАГИ СК-2 М105 к 1 полету назначить комиссию..." (2031,54).</w:t>
      </w:r>
    </w:p>
    <w:p w14:paraId="099C739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20A0D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контролер Вахрушев - представитель КО СНК СССР - в журнале Учета выполнения постановлени правительства в отношении постановления КО N 264сс 1940 “О проектировании нового мотора на заводе № 27 НКАП” отметил:</w:t>
      </w:r>
    </w:p>
    <w:p w14:paraId="66ACAF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ГИ завода № 27 дано указание, чтобы к 7 сентября с.г. в Главконтроле КО был письменный отчет о выполнение постановления КО № 264 (приказ НКАП № 299) (10395).</w:t>
      </w:r>
    </w:p>
    <w:p w14:paraId="09DB05A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27511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C 2 по 13 сентября 1940 на самолете СБ проходили заводские испытаниям пикирующего бомбодержателя ПБ-6 конструкции завода N 32 (2998).</w:t>
      </w:r>
    </w:p>
    <w:p w14:paraId="502CD4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в/инженер 3 ранга Федоров.</w:t>
      </w:r>
    </w:p>
    <w:p w14:paraId="62D6C3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642596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имели целью определить:</w:t>
      </w:r>
    </w:p>
    <w:p w14:paraId="111A37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Прочность конструкции.</w:t>
      </w:r>
    </w:p>
    <w:p w14:paraId="35D08D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Безотказность работы.</w:t>
      </w:r>
    </w:p>
    <w:p w14:paraId="1CD183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Надежность работы конструкции при выводе бомб из бомбового отсека под углами пикирования 70-80 градусов.</w:t>
      </w:r>
    </w:p>
    <w:p w14:paraId="2CBA25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Удобство эксплуатации.</w:t>
      </w:r>
    </w:p>
    <w:p w14:paraId="7C3FFA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Преимущество бомбодержателя ПБ-6 перед ранее испытанными бомбодержателями ПБ-3 и ПБ-5 (2998).</w:t>
      </w:r>
    </w:p>
    <w:p w14:paraId="3D6E5E2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1EE0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года начальник НИП АВ ГУАС полковник Шевченко утвердил:</w:t>
      </w:r>
    </w:p>
    <w:p w14:paraId="118808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заводским испытаниям термитных шаров 100 и 30 грамм. Термитных шаров новой рецептуры НИИ-6 и ЗАРП-ТШ-100 завода № 145</w:t>
      </w:r>
    </w:p>
    <w:p w14:paraId="2AB84C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Испытания начаты 25 июня 1940 года</w:t>
      </w:r>
    </w:p>
    <w:p w14:paraId="7B60D9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25 августа 1940 года</w:t>
      </w:r>
    </w:p>
    <w:p w14:paraId="4D8652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350BA0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инженер 4 отделения опытного отдела НИП АВ ВВС в/инженер 2 ранга Рублев</w:t>
      </w:r>
    </w:p>
    <w:p w14:paraId="1A25B0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3303E12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преимущества термитных шаров новой рецептуры в сравнении со старыми термитными шарами.</w:t>
      </w:r>
    </w:p>
    <w:p w14:paraId="36E1900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боевые и эксплуатационные качества ЗАРП-ТШ-100 с термитными шарами новой рецептуры.</w:t>
      </w:r>
    </w:p>
    <w:p w14:paraId="066018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Термошары огневого воспламенения для применения в ЗАРПах начали разрабатываться НИИ № 6 в 1938 году. На полигонных испытаниях в октябре-декабре 1939 года они из-за большого процента отказов испытания не выдержали и были рекомендованы на доработку.</w:t>
      </w:r>
    </w:p>
    <w:p w14:paraId="2F9399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январе 1940 года ЗАРП-ТШ-100 проходили заводские испытания в НИИ АВ ВВС.</w:t>
      </w:r>
    </w:p>
    <w:p w14:paraId="4C6A20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E5CBF0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ЗАРП-ТШ-100 завода № 145 100 и 300 грамм термитные шары новой рецептуры НИИ-6 заводские испытания выдержали (7820).</w:t>
      </w:r>
    </w:p>
    <w:p w14:paraId="671A739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CD1838E" w14:textId="77777777" w:rsidR="004C1667" w:rsidRPr="00A3026E" w:rsidRDefault="004C1667"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bCs/>
          <w:iCs/>
          <w:color w:val="000000" w:themeColor="text1"/>
          <w:sz w:val="16"/>
          <w:szCs w:val="16"/>
        </w:rPr>
        <w:t>2 сентября 1940 г.</w:t>
      </w:r>
      <w:r w:rsidRPr="00A3026E">
        <w:rPr>
          <w:rFonts w:ascii="Times New Roman" w:hAnsi="Times New Roman"/>
          <w:color w:val="000000" w:themeColor="text1"/>
          <w:sz w:val="16"/>
          <w:szCs w:val="16"/>
        </w:rPr>
        <w:t xml:space="preserve"> Опытное учение по выливанию дифосгена эскадрильей СБ из ВАП-500 на АХП (Казахстан) с высоты 30-40 метров. Наличие ОВ было обнаружено в 28 км от места выливания (17133).</w:t>
      </w:r>
    </w:p>
    <w:p w14:paraId="0CB0C9A9" w14:textId="77777777" w:rsidR="004C1667" w:rsidRPr="00A3026E" w:rsidRDefault="004C1667" w:rsidP="00A3026E">
      <w:pPr>
        <w:shd w:val="clear" w:color="auto" w:fill="FFFFFF"/>
        <w:spacing w:after="0" w:line="240" w:lineRule="auto"/>
        <w:jc w:val="both"/>
        <w:rPr>
          <w:rFonts w:ascii="Times New Roman" w:hAnsi="Times New Roman"/>
          <w:color w:val="000000" w:themeColor="text1"/>
          <w:sz w:val="16"/>
          <w:szCs w:val="16"/>
        </w:rPr>
      </w:pPr>
    </w:p>
    <w:p w14:paraId="753521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г. на имя начальника 3 отдела 4-го ГУ НКБ Певзнера поступила заявка от исполняющего обязанности директора НИИ-3 НКБ военинженсра 1 ранга А.Г.Костикова с просьбой изготовить 100 снарядов РБС-82 с воспламенением от пиропистолета. Наряду с этим требовалось изготовить 50 штук РБС- 132, оборудовать по одному истребителю И-153 и И-16 пусковыми для стрельбы РБС- 132. Разработать способ доработки штатных пусковых (завод №32) контактным воспламенением для стрельбы РБС-82 и РБС- 132.</w:t>
      </w:r>
    </w:p>
    <w:p w14:paraId="1256D6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в НИИ-3 НКБ в срочном порядке пришлось перерабытывать чертежи снаряда РБС-82 под новый двухшашечный РЗ (впрочем, также не доведенный до конца) и устаревшую систему его воспламенения от пиропистолета. Хотя последнее позволяло стрелять РБС-82 из штатных ракетных орудий. Основанием для этой работы послужили дополнительные ТТТ на отработку РБС-82. разработанные начальником 4 отдела 8-го управления ГУ ВВС КА военинженером 1 ранга Матаевым и начальником 1 отделения 1 отдела 8-го управления военинженером 2 ранга Рьгжасвым, утвержденные 13 ноября 1940 г. начальником 8-го управления ГУ ВВС КА военинжснером 1 ранга Никоновым. В них, в частности, говорилось, что РБС-82 предназначены для стрельбы с самолетов- истребителей по целям с броневым покрытием толщиной до 50 мм. С дистанции 1500 м и углах встречи с броней до 30" от нормали (коэффициент качества брони К=2400). Для этого при массе окончательно снаряженного не более 16 кг, максимальная скорость боеприпаса должна была составлять не менее 350 м/с.</w:t>
      </w:r>
    </w:p>
    <w:p w14:paraId="286376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нового РБС (из материалов исключительно отечественного производства) должна была допускать стрельбу из штатных РО-82, поэтому систему воспламенения требовалось предусмотреть от штатного пиропистолета. А, кроме того, обеспечить герметичность и надежность при хранении и транспортировке в негерметичной укупорке. При назем-Ной стрельбе снарядами из 6-метровых направляющих рассеивание не Допускалось менее определенных пределов - по дальности - не более 1/100, а по боковому направлению - 1/70 дистанции огня. Максимальное Давление в камере двигателя требовалось ограничить 250-270 кг/см</w:t>
      </w:r>
      <w:r w:rsidRPr="00A3026E">
        <w:rPr>
          <w:rFonts w:ascii="Times New Roman" w:hAnsi="Times New Roman"/>
          <w:color w:val="000000" w:themeColor="text1"/>
          <w:sz w:val="16"/>
          <w:szCs w:val="16"/>
          <w:vertAlign w:val="superscript"/>
        </w:rPr>
        <w:t>:</w:t>
      </w:r>
      <w:r w:rsidRPr="00A3026E">
        <w:rPr>
          <w:rFonts w:ascii="Times New Roman" w:hAnsi="Times New Roman"/>
          <w:color w:val="000000" w:themeColor="text1"/>
          <w:sz w:val="16"/>
          <w:szCs w:val="16"/>
        </w:rPr>
        <w:t xml:space="preserve"> (хотя на механических заводах все корпуса двигателей к РБС-82 испытывали давлением в 300 кг/см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а нормальным горение РЗ обеспечить в ин</w:t>
      </w:r>
      <w:r w:rsidRPr="00A3026E">
        <w:rPr>
          <w:rFonts w:ascii="Times New Roman" w:hAnsi="Times New Roman"/>
          <w:color w:val="000000" w:themeColor="text1"/>
          <w:sz w:val="16"/>
          <w:szCs w:val="16"/>
        </w:rPr>
        <w:softHyphen/>
        <w:t>тервале температур от -50 до +50°С.</w:t>
      </w:r>
    </w:p>
    <w:p w14:paraId="0ABC89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Впрочем, экстренный переход к производству новых пороховых шашек создал множество проблем. Но главный инженер НИИ-3 НКБ военинженер 1 ранга А.Г.Костиков торопился быстрее решить их - задерж</w:t>
      </w:r>
      <w:r w:rsidRPr="00A3026E">
        <w:rPr>
          <w:rFonts w:ascii="Times New Roman" w:hAnsi="Times New Roman"/>
          <w:color w:val="000000" w:themeColor="text1"/>
          <w:sz w:val="16"/>
          <w:szCs w:val="16"/>
        </w:rPr>
        <w:softHyphen/>
        <w:t>ка в производстве уже принятых на вооружение авиации ВМФ новых РБС-82 по вине разработчика могла стоить ему не только должности но и жизни. В памяти сотрудников Наркомата боеприпасов и НИИ-3 НКБ еще свежими были воспоминания о расправах НКВД над конст</w:t>
      </w:r>
      <w:r w:rsidRPr="00A3026E">
        <w:rPr>
          <w:rFonts w:ascii="Times New Roman" w:hAnsi="Times New Roman"/>
          <w:color w:val="000000" w:themeColor="text1"/>
          <w:sz w:val="16"/>
          <w:szCs w:val="16"/>
        </w:rPr>
        <w:softHyphen/>
        <w:t>рукторами, затянувшими сдачу в серийное производство ракетных сис</w:t>
      </w:r>
      <w:r w:rsidRPr="00A3026E">
        <w:rPr>
          <w:rFonts w:ascii="Times New Roman" w:hAnsi="Times New Roman"/>
          <w:color w:val="000000" w:themeColor="text1"/>
          <w:sz w:val="16"/>
          <w:szCs w:val="16"/>
        </w:rPr>
        <w:softHyphen/>
        <w:t>тем РОС-82 и РОС-132. На всякий случай ему не мешаю и подстрахо</w:t>
      </w:r>
      <w:r w:rsidRPr="00A3026E">
        <w:rPr>
          <w:rFonts w:ascii="Times New Roman" w:hAnsi="Times New Roman"/>
          <w:color w:val="000000" w:themeColor="text1"/>
          <w:sz w:val="16"/>
          <w:szCs w:val="16"/>
        </w:rPr>
        <w:softHyphen/>
        <w:t>ваться официальным письмом, где при необходимости можно было кон</w:t>
      </w:r>
      <w:r w:rsidRPr="00A3026E">
        <w:rPr>
          <w:rFonts w:ascii="Times New Roman" w:hAnsi="Times New Roman"/>
          <w:color w:val="000000" w:themeColor="text1"/>
          <w:sz w:val="16"/>
          <w:szCs w:val="16"/>
        </w:rPr>
        <w:softHyphen/>
        <w:t>статировать вину смежников в срыве сроков (11402).</w:t>
      </w:r>
    </w:p>
    <w:p w14:paraId="7DFDB1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89981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сентябри 1940 г. на имя начальника 3-го отдела 4-ю ГУ НКБ Певзyера поступила заявка от ИО директора НИИ-3 НКБ военинженера 1 ранга А.Г.Костикова. В ней была изложена просьба, в частности, о внеплановом изготовлении на заводах Наркомата 100 штук РОФС-50 и пу</w:t>
      </w:r>
      <w:r w:rsidRPr="00A3026E">
        <w:rPr>
          <w:rFonts w:ascii="Times New Roman" w:hAnsi="Times New Roman"/>
          <w:color w:val="000000" w:themeColor="text1"/>
          <w:sz w:val="16"/>
          <w:szCs w:val="16"/>
        </w:rPr>
        <w:softHyphen/>
        <w:t>сковых приспособлений к ним (11402).</w:t>
      </w:r>
    </w:p>
    <w:p w14:paraId="04030D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435DB6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12EB50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7E42A6F" w14:textId="77777777" w:rsidR="004C1667" w:rsidRPr="00A3026E" w:rsidRDefault="004C1667" w:rsidP="00A3026E">
      <w:pPr>
        <w:pStyle w:val="ae"/>
        <w:shd w:val="clear" w:color="auto" w:fill="FFFFFF"/>
        <w:spacing w:before="0" w:after="0"/>
        <w:jc w:val="both"/>
        <w:rPr>
          <w:color w:val="000000" w:themeColor="text1"/>
          <w:sz w:val="16"/>
          <w:szCs w:val="16"/>
        </w:rPr>
      </w:pPr>
      <w:r w:rsidRPr="00A3026E">
        <w:rPr>
          <w:color w:val="000000" w:themeColor="text1"/>
          <w:sz w:val="16"/>
          <w:szCs w:val="16"/>
        </w:rPr>
        <w:t>Ко 2 сентября 1940 года Ф-27 (76-мм орудие с баллистикой 3-К, которое на заводе № 92 получило заводской индекс Ф-27, а 85-мм орудие с баллистикой 52-К обозначили как Ф-30) прошла 5 стрельб, в ходе которых произвели 122 выстрела с удовлетворительными результатами. Ф-30 к тому же сроку прошла 2 стрельбы, на которых в общей сложности было выполнено 68 выстрелов. По итогам стрельб были обнаружены некоторые недостатки в конструкции системы, и завод занялся её доработкой. К 24 сентября число выстрелов достигло 90, после чего была обнаружена трещина в казённике. Испытания Ф-30 продолжались до 29 октября 1940 года, потом доработанную пушку демонтировали с Т-28 и отправили на Кировский завод. Одновременно с испытаниями на заводе №92 приступили к изготовлению второго образца Ф-30, который закончили в самом конце октября. Дальнейшие испытания застопорились (15224).</w:t>
      </w:r>
    </w:p>
    <w:p w14:paraId="273CAA16" w14:textId="77777777" w:rsidR="004C1667" w:rsidRPr="00A3026E" w:rsidRDefault="004C1667" w:rsidP="00A3026E">
      <w:pPr>
        <w:pStyle w:val="ae"/>
        <w:shd w:val="clear" w:color="auto" w:fill="FFFFFF"/>
        <w:spacing w:before="0" w:after="0"/>
        <w:jc w:val="both"/>
        <w:rPr>
          <w:color w:val="000000" w:themeColor="text1"/>
          <w:sz w:val="16"/>
          <w:szCs w:val="16"/>
        </w:rPr>
      </w:pPr>
    </w:p>
    <w:p w14:paraId="5D55C5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приказом НКБ N 332 в структуре НКБ было организовано управление полигонов, в подчинение которому передали Софринский, Павлоградский, Чапаевский и Уральский полигоны (4302).</w:t>
      </w:r>
    </w:p>
    <w:p w14:paraId="3E8A032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D84BD7E"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сентября 1940 г.</w:t>
      </w:r>
    </w:p>
    <w:p w14:paraId="7866594C"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БЕСЕДА НАРКОМА ВНЕШНЕЙ ТОРГОВЛИ СССР А.И.МИКОЯНА С ЗАВСЕКТОРОМ ВОСТОЧНОЕВРОПЕЙСКИХ СТРАН ОТДЕЛА ЭКОНОМИЧЕСКОЙ ПОЛИТИКИ МИД ГЕРМАНИИ К.ШНУРРЕ</w:t>
      </w:r>
    </w:p>
    <w:p w14:paraId="097CA03D"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сентября 1940 г.</w:t>
      </w:r>
    </w:p>
    <w:p w14:paraId="0D1BFFBB"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Присутствовали: с советской стороны - тов.Крутиков А.Д., с германской стороны - г-н лильгер.</w:t>
      </w:r>
    </w:p>
    <w:p w14:paraId="062E6BEC"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w:t>
      </w:r>
    </w:p>
    <w:p w14:paraId="3DEEFF0C"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Г-н Шнурре заявляет, что отказ советской стороны от покупки проекта линкора "Бисмарк" и проекта эсминца с 15 см артиллерией вызвал в Берлине большой шум. Германская сторона предоставила советской стороне (возможность) подробно ознакомиться и вникнуть во все тайны производства военных кораблей типа "Бисмарк". По поводу покупки проекта линкора разговоры шли в течение нескольких месяцев, и после всего этого был заявлен отказ ввиду высокой цены, хотя цена была известна советской стороне давно.</w:t>
      </w:r>
    </w:p>
    <w:p w14:paraId="14BB3FAF"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ОКМ, заявляет Шнурре, поручило ему специально обратить внимание советской стороны на то неприятное впечатление, которое осталось после отказа советской стороны от покупки проекта линкора "Бисмарк".</w:t>
      </w:r>
    </w:p>
    <w:p w14:paraId="6E86EB9F"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Тов.Микоян отвечает Шнурре, что цена, назначенная за проект линкора "Бисмарк" в размере 40 млн. марок, является по существу запретительной ценой. Советская сторона поняла так, что германской стороне неудобно прямо отказаться от продажи нам проекта линкора, поэтому назначила такую высокую цену, зная, что за такую цену русские проект линкора не могут купить..." 2 сентября 1940 г.</w:t>
      </w:r>
    </w:p>
    <w:p w14:paraId="490A24CD"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сентября 1940 г. (21194).</w:t>
      </w:r>
    </w:p>
    <w:p w14:paraId="2532B7FF" w14:textId="77777777" w:rsidR="007C10B0" w:rsidRPr="00A3026E" w:rsidRDefault="007C10B0" w:rsidP="00A3026E">
      <w:pPr>
        <w:spacing w:after="0" w:line="240" w:lineRule="auto"/>
        <w:jc w:val="both"/>
        <w:rPr>
          <w:rFonts w:ascii="Times New Roman" w:hAnsi="Times New Roman"/>
          <w:color w:val="0070C0"/>
          <w:sz w:val="16"/>
          <w:szCs w:val="16"/>
        </w:rPr>
      </w:pPr>
    </w:p>
    <w:p w14:paraId="4FA7CC14"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734CFE1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BBCCE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г. на "пикирующем" сборе Закавказского военного округа у СБ №13/205, пилотируемого командиром звена ст. лейтенантом Шаповалом, при выходе из пикирования на высоте 700 м оторвалась концевая часть левой плоскости по 19-й нервюре. Самолет врезался в землю, экипаж погиб.</w:t>
      </w:r>
    </w:p>
    <w:p w14:paraId="455C91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Катастрофа привела к разбирательствам, в результате которых признавалось, что СБ серий 301, 302, 303, 304, 305 - для проведения пикирующих полетов обладают недостаточной прочностью крыла. Тем не менее, отказываться от опытов ни одна из инстанций, похоже, не собиралась. А.А.Архангельский в связи с этим в январе 1941 г. писал: "Мы считаем, что пикировать на СБ можно, с соблюдением условия не превосходить цифры максимальной перегрузки самолета 3,5 g. Основанием для этого являются испытания в НИИ ВВС и в частях, где после большого количества пикирований деформаций на самолетах обнаружено не было.</w:t>
      </w:r>
    </w:p>
    <w:p w14:paraId="0B3775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на самолете №9/248 было сделано 200 пикирований и не обнаружено каких-либо дефектов, ставящих под сомнение достаточную прочность машины. ...Вопрос о соблюдении цифры перегрузки можно решить постановкой дополнительного прибора (еше одного акселерометра - М.М.) в кабине штурмана".</w:t>
      </w:r>
    </w:p>
    <w:p w14:paraId="699AEE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Высказанные конструктором Архангельским оптимистичные заявления о способностях СБ, как пикировщика, вовсе не являлись его личной инициативой. Ибо, не смотря на отмеченные недостатки, начиная со 2-го квартала 1940 г. авиазавод №22 часть серийных СБ по требованиям военных выпускал в пикирующем варианте. Отличием от других серийных аппаратов являлась установка держателей ПБ-3 и прицелов ПАН-23.</w:t>
      </w:r>
    </w:p>
    <w:p w14:paraId="77C31A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дальнейшем, в качестве дополнительного оснащения, на пикирующие СБ предполагалось установить тормозные решетки, однако на практике они прижились лишь на Ар-2. Тем не менее, саму идею не оставили. В частности, для торможения на пикировании решили использовать шасси самолета в выпушенном положении. Дополнительное воздушное сопротивление, равнозначное сопротивлению тормозных решеток, должны были создавать особые поперечные щитки на створках шасси. В 1941 г. в ЦАГИ велись продувки модели СБ, позволившие подобрать наиболее эффективные размеры таких тормозящих щитков. До практических испытаний по причине начавшейся войны работа не доводилась (12027).</w:t>
      </w:r>
    </w:p>
    <w:p w14:paraId="12CBF95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2A09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ввели Маршальскую звезду (3398,317).</w:t>
      </w:r>
    </w:p>
    <w:p w14:paraId="05BE2D5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BDEFDE8" w14:textId="77777777" w:rsidR="004C1667" w:rsidRPr="00A3026E" w:rsidRDefault="004C1667"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 сентября </w:t>
      </w:r>
      <w:r w:rsidRPr="00A3026E">
        <w:rPr>
          <w:rFonts w:ascii="Times New Roman" w:hAnsi="Times New Roman"/>
          <w:color w:val="000000" w:themeColor="text1"/>
          <w:sz w:val="16"/>
          <w:szCs w:val="16"/>
        </w:rPr>
        <w:t>в 1940 году указом Президиума Верховного Совета СССР был введен знак отличия для маршалов Советского Союза — «Маршальская Звезда», представляющая собой пятиконечную золотую звезду с гладкими двухгранными лучами, между гранями которых расположены 5 бриллиантов общим весом 3,06 карата, а в середине — платиновая звезда с центральным бриллиантом весом 2,62 карата и 25 бриллиантами в лучах общим весом 1,25 карата. Диаметр описанной окружности золотой звезды 44,5 мм, платиновой — 23 мм. Несколько более скромные маршальские звезды для маршалов родов войск были введены в феврале 1943 и марте 1944 годов. С 1955 г. вручается также Адмиралам Флота Советского Союза; для маршалов родов войск учрежден 27 февраля 1943 г. (вручается также генералам армии и адмиралам флота) (14757).</w:t>
      </w:r>
    </w:p>
    <w:p w14:paraId="64BFA52A" w14:textId="77777777" w:rsidR="004C1667" w:rsidRPr="00A3026E" w:rsidRDefault="004C1667" w:rsidP="00A3026E">
      <w:pPr>
        <w:spacing w:after="0" w:line="240" w:lineRule="auto"/>
        <w:jc w:val="both"/>
        <w:rPr>
          <w:rFonts w:ascii="Times New Roman" w:hAnsi="Times New Roman"/>
          <w:color w:val="000000" w:themeColor="text1"/>
          <w:sz w:val="16"/>
          <w:szCs w:val="16"/>
        </w:rPr>
      </w:pPr>
    </w:p>
    <w:p w14:paraId="27302E1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7E64655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C91B883" w14:textId="77777777" w:rsidR="004C1667" w:rsidRPr="00A3026E" w:rsidRDefault="004C1667"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color w:val="000000" w:themeColor="text1"/>
          <w:sz w:val="16"/>
          <w:szCs w:val="16"/>
        </w:rPr>
        <w:t>2 сентября 1940 г.БЕСЕДА НАРКОМА ВНЕШНЕЙ ТОРГОВЛИ СССР А.И.МИКОЯНА С ЗАВСЕКТОРОМ ВОСТОЧНОЕВРОПЕЙСКИХ СТРАН ОТДЕЛА ЭКОНОМИЧЕСКОЙ ПОЛИТИКИ МИД ГЕРМАНИИ К.ШНУРРЕ</w:t>
      </w:r>
    </w:p>
    <w:p w14:paraId="2D60730D"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Присутствовали: с советской стороны - тов.Крутиков А.Д., с германской стороны - г-н Хильгер. </w:t>
      </w:r>
    </w:p>
    <w:p w14:paraId="682A7E2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Шнурре заявляет о том, что в результате предыдущих переговоров установлен факт недовыполнения германской стороной своих обязательств по поставкам. Хотя цифра недопоставок окончательно еще не установлена, однако факта недопоставок отрицать нельзя. </w:t>
      </w:r>
    </w:p>
    <w:p w14:paraId="4135B1F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Шнурре хотел бы дальнейшие разговоры и совместные действия германской и советской сторон по обсуждению итогов выполнения Хозяйственного Соглашения за первые шесть месяцев вести в плане не сокращения советских поставок, а увеличения германских поставок, хотя германская сторона подумала и о сокращении советских поставок и, если это потребуется, готова вычеркнуть из списка советских поставок железную руду, лес, часть фосфатов и пушные товары. </w:t>
      </w:r>
    </w:p>
    <w:p w14:paraId="43F96C3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 интересах более справедливого решения вопроса германская сторона считает необходимым предпринять ряд мер для дальнейшего размещения советских заказов в Германии и расширения германских поставок. Германская сторона предполагает в этом случае провести ряд организационных мероприятий, в частности создание комиссии в Берлине из представителей советской стороны и Министерства хозяйства Германии, чтобы ускорить поставки, скорее договориться о ценах, сроках и других условиях размещения советских заказов в Германии. </w:t>
      </w:r>
    </w:p>
    <w:p w14:paraId="52B9036C"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Германская сторона готова обсудить вопрос о дополнительных германских поставках, но сделать это здесь он (г-н Шнурре) не может. Он постарается сделать это в Берлине. Затем г-н Шнурре спрашивает народного комиссара, как он смотрит на эти вопросы, как представляет себе конкретную цель настоящих переговоров. Он, Шнурре, не хотел бы продолжать совместную дальнейшую работу с советской стороной в плоскости повторения упреков друг другу, так как это не в интересах сторон. Он приехал для положительного решения вопроса о том, как устранить образовавшийся разрыв между советскими и германскими поставками. </w:t>
      </w:r>
    </w:p>
    <w:p w14:paraId="1EC51BB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Тов.Микоян ответил, что, конечно, из наших отношений не вытекает необходимость сокращения поставок. </w:t>
      </w:r>
    </w:p>
    <w:p w14:paraId="0AC59214"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Он считает, что целью настоящих переговоров является задача выполнить Договор. Он еще не изучил предложений германской стороны. Но завтра или послезавтра он будет готов дать ответ на эти предложения. </w:t>
      </w:r>
    </w:p>
    <w:p w14:paraId="5881C52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Тов.Микоян согласен также с тем, что нет надобности упражняться во взаимных упреках, а нужно найти пути к выполнению Договора. </w:t>
      </w:r>
    </w:p>
    <w:p w14:paraId="05748837"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Шнурре заявляет, что хотел бы получить хотя бы намек, в каком направлении народный комиссар ищет пути выхода из создавшегося положения. Он хотел бы услышать заявление, что этот путь пойдет в плане расширения, а не сокращения поставок. </w:t>
      </w:r>
    </w:p>
    <w:p w14:paraId="629A57C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Тов.Микоян отвечает, что он тоже за выполнение Договора в полном объеме, а не за сокращение его. </w:t>
      </w:r>
    </w:p>
    <w:p w14:paraId="5627720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Шнурре заявляет, что германская сторона примет ряд мер к расширению своих поставок и будет добиваться этого путем: </w:t>
      </w:r>
    </w:p>
    <w:p w14:paraId="424E112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а) новых организационных мероприятий по ускорению размещения советских заказов, чего г-н Шнурре ожидает и от советской стороны; </w:t>
      </w:r>
    </w:p>
    <w:p w14:paraId="47F47E6D"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б) дополнительных поставок, не предусмотренных Договором, хотя по этому пункту он в Москве ответа дать не может, а может решить в Берлине. </w:t>
      </w:r>
    </w:p>
    <w:p w14:paraId="09A2E81A"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Шнурре просит сообщить ему, что хотела бы советская сторона дополнительно получить из Германии. Наряду с этим он согласен также просмотреть список советских поставок и выяснить, какие из товаров, которые не представляются для Германии жизненно необходимыми, можно было бы сократить. </w:t>
      </w:r>
    </w:p>
    <w:p w14:paraId="49AEF26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Тов.Микоян замечает, что он учтет соображения, высказанные г-ном Шнурре, и готов их при следующей встрече обсудить. </w:t>
      </w:r>
    </w:p>
    <w:p w14:paraId="57955146"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Шнурре повторял, что он хочет с положительными идеями приступить к решению вопросов и надеется, что советская сторона такого же мнения. </w:t>
      </w:r>
    </w:p>
    <w:p w14:paraId="165BC2B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Шнурре заявляет, что он готов по этим вопросам встретиться в четверг вечером. </w:t>
      </w:r>
    </w:p>
    <w:p w14:paraId="5948FF74"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Тов.Микоян изъявляет согласие на встречу в четверг и заявляет, что час встречи будет сообщен дополнительно. </w:t>
      </w:r>
    </w:p>
    <w:p w14:paraId="607CE858"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Шнурре спрашивает народного комиссара, как он смотрит относительно срока окончания переговоров хотя бы приблизительно. </w:t>
      </w:r>
    </w:p>
    <w:p w14:paraId="32EA64B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Тов.Микоян замечает, что если германская сторона желает скорее окончить переговоры, то это можно обдумать, так как советская сторона тянуть также не собирается. Однако сегодня рано говорить о конце настоящих переговоров. </w:t>
      </w:r>
    </w:p>
    <w:p w14:paraId="6525A347"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Шнурре просит разрешения кратко вернуться к некоторым ранее поставленным вопросам и просит устроить свидание германских специалистов с наркомом судостроительной промышленности тов.Носенко по вопросам брони, а также устроить свидание германских специалистов с советскими специалистами по ценам на боезапас. </w:t>
      </w:r>
    </w:p>
    <w:p w14:paraId="6FF5D7D8"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Тов.Микоян изъявляет согласие на это предложение и говорит, что можно эти свидания устроить завтра. </w:t>
      </w:r>
    </w:p>
    <w:p w14:paraId="45667FB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Шнурре передает народному комиссару материалы Министерства хозяйства, в которых изложены некоторые причины, приведшие к затяжке переговоров по выдаче советских заказов, и просит рассматривать эти материалы не как желание углубить полемику между сторонами, а просмотреть и извлечь, может быть, кое-что полезное для советской стороны. </w:t>
      </w:r>
    </w:p>
    <w:p w14:paraId="083F62A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Шнурре заявляет, что он получил и прочитал советский меморандум по вопросу об итогах выполнения Соглашения за первые шесть месяцев и находится в очень затруднительном положении. Если он будет иметь этот меморандум у себя на руках, он вынужден будет послать его в Берлин, а это вызовет большой шум. Некоторые вопросы, изложенные в меморандуме, требуют письменного ответа, а он не хотел бы этого делать, так как ответ будет изложен в таком же резком тоне, если не больше. </w:t>
      </w:r>
    </w:p>
    <w:p w14:paraId="02B9921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Тов.Микоян отвечает, что в меморандуме изложен порядок переговоров и он не является нотой. Официальные там только цифры выполнения сторонами поставок. Советская сторона не рассчитывала получить письменный ответ на этот меморандум. Ответом на него будет результат совместных переговоров. Однако дело германской стороны решать вопрос о том, посылать меморандум в Берлин и отвечать на него в официальной форме или не делать этого. Советская сторона не требует на этот меморандум официального ответа. </w:t>
      </w:r>
    </w:p>
    <w:p w14:paraId="24255C6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Хильгер вставляет замечание: "Значит, подшить к делу". </w:t>
      </w:r>
    </w:p>
    <w:p w14:paraId="4855FD0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Тов.Микоян отвечает, что он не говорит, чтобы меморандум подшили в дело. Из меморандума стороны должны исходить при переговорах. </w:t>
      </w:r>
    </w:p>
    <w:p w14:paraId="25D82BAA"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Шнурре заявляет, что отказ советской стороны от покупки проекта линкора "Бисмарк" и проекта эсминца с 15 см артиллерией вызвал в Берлине большой шум. Германская сторона предоставила советской стороне (возможность) подробно ознакомиться и вникнуть во все тайны производства военных кораблей типа "Бисмарк". По поводу покупки проекта линкора разговоры шли в течение нескольких месяцев, и после всего этого был заявлен отказ ввиду высокой цены, хотя цена была известна советской стороне давно. </w:t>
      </w:r>
    </w:p>
    <w:p w14:paraId="710FEED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ОКМ, заявляет Шнурре, поручило ему специально обратить внимание советской стороны на то неприятное впечатление, которое осталось после отказа советской стороны от покупки проекта линкора "Бисмарк". </w:t>
      </w:r>
    </w:p>
    <w:p w14:paraId="0B4AEFB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Тов.Микоян отвечает Шнурре, что цена, назначенная за проект линкора "Бисмарк" в размере 40 млн. марок, является по существу запретительной ценой. Советская сторона поняла так, что германской стороне неудобно прямо отказаться от продажи нам проекта линкора, поэтому назначила такую высокую цену, зная, что за такую цену русские проект линкора не могут купить. </w:t>
      </w:r>
    </w:p>
    <w:p w14:paraId="54DB4D78"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Риттер в свое время объяснил причины завышенных цен на некоторые объекты германских поставок, в том числе и на авиацию. Мы поняли г-на Риттера, что он имеет в виду также и проект "Бисмарка", и в своих расчетах исходили из этого, а когда было заявлено, что германская сторона свои требования уплатить им 40 млн. марок за проект "Бисмарк" оставляет в силе, советская сторона сразу же заявила отказ. По такой цене никто купить не может. Германцы тоже не купили бы по этой цене. </w:t>
      </w:r>
    </w:p>
    <w:p w14:paraId="7C37D67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Шнурре заявил, что советской стороне следовало обратиться с претензией по поводу высокой цены в Министерство хозяйства, как желали по некоторым другим объектам. В последующем германской стороне придется пересмотреть метод ведения переговоров, учитывая происшедший факт с проектом линкора "Бисмарк". </w:t>
      </w:r>
    </w:p>
    <w:p w14:paraId="052ADC2A"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lastRenderedPageBreak/>
        <w:t xml:space="preserve">Тов.Микоян замечает, что по многим объектам, по которым были завышены цены, советская сторона не обращалась в Министерство хозяйства, а по поводу цены на проект линкора "Бисмарк" просто невозможно было вести дальнейшие переговоры. </w:t>
      </w:r>
    </w:p>
    <w:p w14:paraId="584CD767"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Далее г-н Шнурре обращается к народному комиссару тов.Микояну с просьбой принять необходимые меры к тому, чтобы не допускать ущемлений германских интересов в Прибалтике. Он, Шнурре, имеет очень много писем и телеграмм, указывающих на то, что интересы германских граждан в Прибалтике нарушаются. Так, например, комиссар филиала немецкой фирмы "АЕГ" заявил владельцу этой фирмы, что все документы владельца без подписи комиссара не могут быть действительными. </w:t>
      </w:r>
    </w:p>
    <w:p w14:paraId="16F06156"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Тов.Микоян замечает, что это можно выяснить, однако чем раньше стороны выяснят вопросы торговли с Прибалтийскими государствами, вопросы товарных списков, тем меньше будет недоразумений. </w:t>
      </w:r>
    </w:p>
    <w:p w14:paraId="1ED2EEB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Хильгер заявляет, что власти в Прибалтийских государствах чинят препятствия германскому судоходству. </w:t>
      </w:r>
    </w:p>
    <w:p w14:paraId="1D1BDCF6"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Тов.Микоян на замечание отвечает, что германское посольство, вероятно, не все телеграммы имеет, оно не имеет телеграммы относительно тех нарушений, которые допускаются германскими чиновниками в свободной Мемельской зоне, где интересам СССР наносится серьезный ущерб. </w:t>
      </w:r>
    </w:p>
    <w:p w14:paraId="50F888F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Шнурре просит сообщить ему конкретные факты по этим вопросам и заявляет, что он согласен все вопросы, связанные с Прибалтикой, обсудить, и спрашивает, когда можно начать переговоры. </w:t>
      </w:r>
    </w:p>
    <w:p w14:paraId="69ABE730"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Тов.Микоян отвечает, что торговые вопросы с Прибалтами и товарные списки придется обсудить по окончании переговоров по Хозяйственному соглашению. </w:t>
      </w:r>
    </w:p>
    <w:p w14:paraId="02D10CC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Шнурре замечает, что, до того пока по этому вопросу будет достигнуто согласие, существующий договор нужно выполнять. </w:t>
      </w:r>
    </w:p>
    <w:p w14:paraId="28E32CA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Тов.Микоян заявляет, что в настоящее время уполномоченные Наркомвнешторга заняты проверкой выполнения договоров германских фирм с фирмами Прибалтийских государств. По окончании этой работы будет ясна картина, как сторонами выполняются обязательства. Пока же у нас имеются сведения, что германские фирмы не всегда аккуратно выполняют свои обязательства. </w:t>
      </w:r>
    </w:p>
    <w:p w14:paraId="2E356CD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Хильгер заявляет, что он имеет очень трудное поручение довести до сведения народного комиссара один ненормальный факт, касающийся недостатков в работе отдельных советских приемщиков. Он, г-н Хильгер, зная, как народный комиссар относится к сигналам о тех или других ненормальностях, рассчитывает и в данном конкретном случае встретить поддержку народного комиссара и только поэтому согласился взять на себя это трудное поручение. </w:t>
      </w:r>
    </w:p>
    <w:p w14:paraId="529C96D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Хильгер сообщает, что он имеет письмо фирмы "Маннесман", поставляющей Советскому Союзу нефтяные трубы, из которого видно, что принимающий эти трубы советский инженер Сибирский своим поведением дискредитирует звание приемщика СССР. Ведет себя, как полицейский, очень неприлично выражается нецензурными словами. Восстановил против себя инженеров, мастеров завода, не хочет считаться с существующими заводскими порядками, вовремя на завод не является, создает препятствия, замедляющие поставку труб. Все раздражены поведением Сибирского. Отношения между Сибирским и фирмой настолько обострены, что фирма просит больше не посылать его на приемку. Германская сторона в поведении Сибирского видит не только усердие хорошо работать, но нечто большее. Замечаются недостатки и в работе других приемщиков, но Сибирский какой-то особенный. </w:t>
      </w:r>
    </w:p>
    <w:p w14:paraId="5C52CAA8"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Тов.Микоян заявляет, что он поручит это сообщение проверить, однако должен заметить, что фирма "Маннесман" сильно опоздала с поставкой труб и, видимо, хочет вину свалить на приемщиков. </w:t>
      </w:r>
    </w:p>
    <w:p w14:paraId="6F357D1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Г-н Шнурре передает памятную записку относительно случаев, когда советские железнодорожные станции отказывались от приемки поездов с углем, и просит проверить. </w:t>
      </w:r>
    </w:p>
    <w:p w14:paraId="720D21C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Тов.Микоян отвечает, что раньше Верхнесилезский синдикат неплохо грузил уголь, но в августе месяце наблюдаются большие перебои. Сообщение проверим, если потребуется, примем необходимые меры. </w:t>
      </w:r>
    </w:p>
    <w:p w14:paraId="7CD53570"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Записал Крутиков </w:t>
      </w:r>
    </w:p>
    <w:p w14:paraId="1A7016C8"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АП РФ. РФ.З. Оп.64. Д.669. Лл.72-80. Машинопись, заверенная копия (11447).</w:t>
      </w:r>
    </w:p>
    <w:p w14:paraId="5926AB5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B87A9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года во время беседы наркома внешней торговли СССР А. И. Микояна с зав. сектором восточноевропейских стран отдела экономической политики МИД Германии К. Шнурре выяснилось, что «отказ советской стороны от покупки проекта линкора „Бисмарк“ и проекта эсминца с 15-см артиллерией вызвал в Берлине большой шум». Дело в том, что «германская сторона предоставила (возможность</w:t>
      </w:r>
      <w:r w:rsidRPr="00A3026E">
        <w:rPr>
          <w:rFonts w:ascii="Times New Roman" w:hAnsi="Times New Roman"/>
          <w:iCs/>
          <w:color w:val="000000" w:themeColor="text1"/>
          <w:sz w:val="16"/>
          <w:szCs w:val="16"/>
        </w:rPr>
        <w:t>)</w:t>
      </w:r>
      <w:r w:rsidRPr="00A3026E">
        <w:rPr>
          <w:rFonts w:ascii="Times New Roman" w:hAnsi="Times New Roman"/>
          <w:color w:val="000000" w:themeColor="text1"/>
          <w:sz w:val="16"/>
          <w:szCs w:val="16"/>
        </w:rPr>
        <w:t xml:space="preserve"> подробно ознакомиться и вникнуть во все тайны производства военного корабля типа «Бисмарк». По поводу покупки проекта линкора разговоры шли в течение нескольких месяцев, и после всего этого был объявлен отказ ввиду высокой цены, хотя цена была известна советской стороне давно» (1941 год. В 2-х кн. Кн. 1. — М., 1998, с. 213). Хотя говорить о том, что программа в сфере отечественного судостроения не выполнялась, — нельзя. В конце 1939 года СССР купила у Германии крейсер «Люцов», вернее корпус без вооружения и механизмов. Весной 1940 года немецкий буксир доставил покупку в Ленинград. Чуть позднее прибыла группа из 70 немецких инженеров и механиков во главе с контр-адмиралом Фейге, которая и должна была выполнить все необходимые работы по его укомплектованию. Свою задачу она выполнить не успела — началась война (11765).</w:t>
      </w:r>
    </w:p>
    <w:p w14:paraId="5E8FD9D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A4218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6A6585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4862A27"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сентября 1940 самолеты британского авианосца HMS Ark Royal проводят операцию Smash, ночной налет на Кальяри, Сардиния. В то время как некоторые Swordfish сбрасывают сигнальные ракеты с парашютом, другие бомбят итальянский военный штаб и самолеты, припаркованные на земле (20795).</w:t>
      </w:r>
    </w:p>
    <w:p w14:paraId="4A0BDBE1" w14:textId="77777777" w:rsidR="007C10B0" w:rsidRPr="00A3026E" w:rsidRDefault="007C10B0" w:rsidP="00A3026E">
      <w:pPr>
        <w:spacing w:after="0" w:line="240" w:lineRule="auto"/>
        <w:jc w:val="both"/>
        <w:rPr>
          <w:rFonts w:ascii="Times New Roman" w:hAnsi="Times New Roman"/>
          <w:color w:val="0070C0"/>
          <w:sz w:val="16"/>
          <w:szCs w:val="16"/>
        </w:rPr>
      </w:pPr>
    </w:p>
    <w:p w14:paraId="16989CF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США получили в аренду 8 военных баз на территории Англии (4962).</w:t>
      </w:r>
    </w:p>
    <w:p w14:paraId="77CB480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C976EF7"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September 2 1940 United States-British note on lease of British bases in return for 50 United States destroyers (1223).</w:t>
      </w:r>
    </w:p>
    <w:p w14:paraId="6888D092"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63B65E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вышла нота США-Англия об аренде британских баз за 50 эсминцев США (1223).</w:t>
      </w:r>
    </w:p>
    <w:p w14:paraId="6662E8E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B8CE5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 г. США подписали с Великобританией первое соглашение о военном сотрудничестве. Оно предусматривало поставки для британской армии американских вооружений и 50 боевых кораблей. Взамен Британия передала в аренду США сроком на 99 лет восемь своих военно-морских и военно-воздушных баз в Северной и Южной Америке. США разом приобрели целую сеть превосходно оснащенных стратегически важных пунктов для защиты своей безопасности. Дипломатический успех администрации был настолько очевиден, что политику президента оказалось невозможно скомпрометировать, хотя она явно означала отход от принципа невмешательства в европейский конфликт. Гибкая линия Ф.Рузвельта позволила ему без труда переизбраться на третий срок (3871).</w:t>
      </w:r>
    </w:p>
    <w:p w14:paraId="6747202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EA896FD" w14:textId="77777777" w:rsidR="004C1667" w:rsidRPr="00A3026E" w:rsidRDefault="004C1667"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 сентября </w:t>
      </w:r>
      <w:r w:rsidRPr="00A3026E">
        <w:rPr>
          <w:rFonts w:ascii="Times New Roman" w:hAnsi="Times New Roman"/>
          <w:color w:val="000000" w:themeColor="text1"/>
          <w:sz w:val="16"/>
          <w:szCs w:val="16"/>
        </w:rPr>
        <w:t xml:space="preserve">в 1940 году США подписали с Великобританией первое соглашение о военном сотрудничестве. Оно предусматривало поставки для британской армии американских вооружений и 50 боевых кораблей. Взамен Британия передала в аренду США сроком на 99 лет восемь своих военно-морских и военно-воздушных баз в Северной и Южной Америке. США разом приобрели целую сеть превосходно оснащенных стратегически важных пунктов для защиты своей безопасности. Фактически под сдачу баз в аренду США списывали долг Британии, так как именно наличие этого долга являлось юридической причиной, не позволяющей осуществлять государственные поставки в Британию. Противники критиковали Рузвельта за то, что он провел это соглашение своей личной волей, упрекая в недемократизме и попытке втянуть США в войну в Европе, однако само решение было всеми признано разумным с коммерческой точки зрения. Во время беседы с начальником штаба перед подписанием этого договора Рузвельт сказал: "Вы представляете себе, старина, какой шквал проклятий посыплется на мою голову, как только конгресс узнает об этой проделке? Притом я один, своей властью, не спросясь этих мулов!" - на что начальник штаба ответил: "Они легко утешатся, сэр... Бермуды, Багамские острова Тринидад, Британская Гвиана, Ньюфаундленд, Лабрадор, Исландия, Гренландия... Если бы к этому прибавить еще Гибралтар, Мальту, Сингапур, Гонконг... Если мы не поможем Англии и не примем того, что валится у нее из рук, Гитлер оторвет все это вместе с руками." </w:t>
      </w:r>
    </w:p>
    <w:p w14:paraId="14B52B33" w14:textId="77777777" w:rsidR="004C1667" w:rsidRPr="00A3026E" w:rsidRDefault="004C1667" w:rsidP="00A3026E">
      <w:pPr>
        <w:spacing w:after="0" w:line="240" w:lineRule="auto"/>
        <w:jc w:val="both"/>
        <w:rPr>
          <w:rFonts w:ascii="Times New Roman" w:hAnsi="Times New Roman"/>
          <w:color w:val="000000" w:themeColor="text1"/>
          <w:sz w:val="16"/>
          <w:szCs w:val="16"/>
        </w:rPr>
      </w:pPr>
    </w:p>
    <w:p w14:paraId="0546FB5A"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F256B8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99B37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в Коллегию НКАП были направлены Основные данные опытных самолетов ОБШ конструкции П.О.С. и БШ конструкции С.В.И.: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2597"/>
        <w:gridCol w:w="1171"/>
        <w:gridCol w:w="2723"/>
        <w:gridCol w:w="1731"/>
      </w:tblGrid>
      <w:tr w:rsidR="00983732" w:rsidRPr="00A3026E" w14:paraId="237A0454" w14:textId="77777777" w:rsidTr="00EA0DA7">
        <w:tc>
          <w:tcPr>
            <w:tcW w:w="2376" w:type="dxa"/>
            <w:tcBorders>
              <w:top w:val="single" w:sz="12" w:space="0" w:color="auto"/>
            </w:tcBorders>
          </w:tcPr>
          <w:p w14:paraId="42A602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самолета</w:t>
            </w:r>
          </w:p>
        </w:tc>
        <w:tc>
          <w:tcPr>
            <w:tcW w:w="2597" w:type="dxa"/>
            <w:tcBorders>
              <w:top w:val="single" w:sz="12" w:space="0" w:color="auto"/>
            </w:tcBorders>
          </w:tcPr>
          <w:p w14:paraId="75B628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ОБШ М-71</w:t>
            </w:r>
          </w:p>
        </w:tc>
        <w:tc>
          <w:tcPr>
            <w:tcW w:w="1171" w:type="dxa"/>
            <w:tcBorders>
              <w:top w:val="single" w:sz="12" w:space="0" w:color="auto"/>
            </w:tcBorders>
          </w:tcPr>
          <w:p w14:paraId="684C858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723" w:type="dxa"/>
            <w:tcBorders>
              <w:top w:val="single" w:sz="12" w:space="0" w:color="auto"/>
            </w:tcBorders>
          </w:tcPr>
          <w:p w14:paraId="5AAA80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БШ АМ-35А</w:t>
            </w:r>
          </w:p>
        </w:tc>
        <w:tc>
          <w:tcPr>
            <w:tcW w:w="1731" w:type="dxa"/>
            <w:tcBorders>
              <w:top w:val="single" w:sz="12" w:space="0" w:color="auto"/>
            </w:tcBorders>
          </w:tcPr>
          <w:p w14:paraId="5A08ED0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3802303" w14:textId="77777777" w:rsidTr="00EA0DA7">
        <w:tc>
          <w:tcPr>
            <w:tcW w:w="2376" w:type="dxa"/>
          </w:tcPr>
          <w:p w14:paraId="1B04DBB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97" w:type="dxa"/>
          </w:tcPr>
          <w:p w14:paraId="246EB7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заданию</w:t>
            </w:r>
          </w:p>
        </w:tc>
        <w:tc>
          <w:tcPr>
            <w:tcW w:w="1171" w:type="dxa"/>
          </w:tcPr>
          <w:p w14:paraId="468675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эскизн.</w:t>
            </w:r>
          </w:p>
        </w:tc>
        <w:tc>
          <w:tcPr>
            <w:tcW w:w="2723" w:type="dxa"/>
          </w:tcPr>
          <w:p w14:paraId="2F65C2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заданию</w:t>
            </w:r>
          </w:p>
        </w:tc>
        <w:tc>
          <w:tcPr>
            <w:tcW w:w="1731" w:type="dxa"/>
          </w:tcPr>
          <w:p w14:paraId="6DD29A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 гос.</w:t>
            </w:r>
          </w:p>
        </w:tc>
      </w:tr>
      <w:tr w:rsidR="00983732" w:rsidRPr="00A3026E" w14:paraId="1000E0ED" w14:textId="77777777" w:rsidTr="00EA0DA7">
        <w:tc>
          <w:tcPr>
            <w:tcW w:w="2376" w:type="dxa"/>
          </w:tcPr>
          <w:p w14:paraId="25CBF37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97" w:type="dxa"/>
          </w:tcPr>
          <w:p w14:paraId="1C472F9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71" w:type="dxa"/>
          </w:tcPr>
          <w:p w14:paraId="71F958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проекту</w:t>
            </w:r>
          </w:p>
        </w:tc>
        <w:tc>
          <w:tcPr>
            <w:tcW w:w="2723" w:type="dxa"/>
          </w:tcPr>
          <w:p w14:paraId="05D052A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731" w:type="dxa"/>
          </w:tcPr>
          <w:p w14:paraId="23FF30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испытаний</w:t>
            </w:r>
          </w:p>
        </w:tc>
      </w:tr>
      <w:tr w:rsidR="00983732" w:rsidRPr="00A3026E" w14:paraId="095CB6D8" w14:textId="77777777" w:rsidTr="00EA0DA7">
        <w:tc>
          <w:tcPr>
            <w:tcW w:w="2376" w:type="dxa"/>
          </w:tcPr>
          <w:p w14:paraId="0CC1A8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w:t>
            </w:r>
          </w:p>
        </w:tc>
        <w:tc>
          <w:tcPr>
            <w:tcW w:w="2597" w:type="dxa"/>
          </w:tcPr>
          <w:p w14:paraId="7C6A56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1700/5000</w:t>
            </w:r>
          </w:p>
        </w:tc>
        <w:tc>
          <w:tcPr>
            <w:tcW w:w="1171" w:type="dxa"/>
          </w:tcPr>
          <w:p w14:paraId="169291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1700/5000</w:t>
            </w:r>
          </w:p>
        </w:tc>
        <w:tc>
          <w:tcPr>
            <w:tcW w:w="2723" w:type="dxa"/>
          </w:tcPr>
          <w:p w14:paraId="0FE7D7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1200/4500</w:t>
            </w:r>
          </w:p>
        </w:tc>
        <w:tc>
          <w:tcPr>
            <w:tcW w:w="1731" w:type="dxa"/>
          </w:tcPr>
          <w:p w14:paraId="4C3E33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1200/4500</w:t>
            </w:r>
          </w:p>
        </w:tc>
      </w:tr>
      <w:tr w:rsidR="00983732" w:rsidRPr="00A3026E" w14:paraId="2669A419" w14:textId="77777777" w:rsidTr="00EA0DA7">
        <w:tc>
          <w:tcPr>
            <w:tcW w:w="2376" w:type="dxa"/>
          </w:tcPr>
          <w:p w14:paraId="44DF38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w:t>
            </w:r>
          </w:p>
        </w:tc>
        <w:tc>
          <w:tcPr>
            <w:tcW w:w="2597" w:type="dxa"/>
          </w:tcPr>
          <w:p w14:paraId="428F79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510/0</w:t>
            </w:r>
          </w:p>
        </w:tc>
        <w:tc>
          <w:tcPr>
            <w:tcW w:w="1171" w:type="dxa"/>
          </w:tcPr>
          <w:p w14:paraId="153341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545/0</w:t>
            </w:r>
          </w:p>
        </w:tc>
        <w:tc>
          <w:tcPr>
            <w:tcW w:w="2723" w:type="dxa"/>
          </w:tcPr>
          <w:p w14:paraId="6A54E3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385-400</w:t>
            </w:r>
          </w:p>
        </w:tc>
        <w:tc>
          <w:tcPr>
            <w:tcW w:w="1731" w:type="dxa"/>
          </w:tcPr>
          <w:p w14:paraId="55973F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362</w:t>
            </w:r>
          </w:p>
        </w:tc>
      </w:tr>
      <w:tr w:rsidR="00983732" w:rsidRPr="00A3026E" w14:paraId="44D40173" w14:textId="77777777" w:rsidTr="00EA0DA7">
        <w:tc>
          <w:tcPr>
            <w:tcW w:w="2376" w:type="dxa"/>
          </w:tcPr>
          <w:p w14:paraId="3DC928F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97" w:type="dxa"/>
          </w:tcPr>
          <w:p w14:paraId="6934D24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71" w:type="dxa"/>
          </w:tcPr>
          <w:p w14:paraId="2A7321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604/5000</w:t>
            </w:r>
          </w:p>
        </w:tc>
        <w:tc>
          <w:tcPr>
            <w:tcW w:w="2723" w:type="dxa"/>
          </w:tcPr>
          <w:p w14:paraId="1DEAE1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731" w:type="dxa"/>
          </w:tcPr>
          <w:p w14:paraId="56D858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422/5000</w:t>
            </w:r>
          </w:p>
        </w:tc>
      </w:tr>
      <w:tr w:rsidR="00983732" w:rsidRPr="00A3026E" w14:paraId="534DFFA5" w14:textId="77777777" w:rsidTr="00EA0DA7">
        <w:tc>
          <w:tcPr>
            <w:tcW w:w="2376" w:type="dxa"/>
          </w:tcPr>
          <w:p w14:paraId="144863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Посапд. скорость</w:t>
            </w:r>
          </w:p>
        </w:tc>
        <w:tc>
          <w:tcPr>
            <w:tcW w:w="2597" w:type="dxa"/>
          </w:tcPr>
          <w:p w14:paraId="380EE3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c>
          <w:tcPr>
            <w:tcW w:w="1171" w:type="dxa"/>
          </w:tcPr>
          <w:p w14:paraId="2E4791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113-130</w:t>
            </w:r>
          </w:p>
        </w:tc>
        <w:tc>
          <w:tcPr>
            <w:tcW w:w="2723" w:type="dxa"/>
          </w:tcPr>
          <w:p w14:paraId="0AA80E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105-110</w:t>
            </w:r>
          </w:p>
        </w:tc>
        <w:tc>
          <w:tcPr>
            <w:tcW w:w="1731" w:type="dxa"/>
          </w:tcPr>
          <w:p w14:paraId="6C494E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r>
      <w:tr w:rsidR="00983732" w:rsidRPr="00A3026E" w14:paraId="24FDA0D3" w14:textId="77777777" w:rsidTr="00EA0DA7">
        <w:tc>
          <w:tcPr>
            <w:tcW w:w="2376" w:type="dxa"/>
          </w:tcPr>
          <w:p w14:paraId="725539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2597" w:type="dxa"/>
          </w:tcPr>
          <w:p w14:paraId="4A9663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c>
          <w:tcPr>
            <w:tcW w:w="1171" w:type="dxa"/>
          </w:tcPr>
          <w:p w14:paraId="0666C3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11900</w:t>
            </w:r>
          </w:p>
        </w:tc>
        <w:tc>
          <w:tcPr>
            <w:tcW w:w="2723" w:type="dxa"/>
          </w:tcPr>
          <w:p w14:paraId="2F6DD5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c>
          <w:tcPr>
            <w:tcW w:w="1731" w:type="dxa"/>
          </w:tcPr>
          <w:p w14:paraId="239EFA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опр.</w:t>
            </w:r>
          </w:p>
        </w:tc>
      </w:tr>
      <w:tr w:rsidR="00983732" w:rsidRPr="00A3026E" w14:paraId="16D663E7" w14:textId="77777777" w:rsidTr="00EA0DA7">
        <w:tc>
          <w:tcPr>
            <w:tcW w:w="2376" w:type="dxa"/>
          </w:tcPr>
          <w:p w14:paraId="310F96B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97" w:type="dxa"/>
          </w:tcPr>
          <w:p w14:paraId="3E14EE8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71" w:type="dxa"/>
          </w:tcPr>
          <w:p w14:paraId="4410606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723" w:type="dxa"/>
          </w:tcPr>
          <w:p w14:paraId="4350213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731" w:type="dxa"/>
          </w:tcPr>
          <w:p w14:paraId="74164E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около 9000</w:t>
            </w:r>
          </w:p>
        </w:tc>
      </w:tr>
      <w:tr w:rsidR="00983732" w:rsidRPr="00A3026E" w14:paraId="5D283DC2" w14:textId="77777777" w:rsidTr="00EA0DA7">
        <w:tc>
          <w:tcPr>
            <w:tcW w:w="2376" w:type="dxa"/>
          </w:tcPr>
          <w:p w14:paraId="39C348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w:t>
            </w:r>
          </w:p>
        </w:tc>
        <w:tc>
          <w:tcPr>
            <w:tcW w:w="2597" w:type="dxa"/>
          </w:tcPr>
          <w:p w14:paraId="13D41B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800/1200</w:t>
            </w:r>
          </w:p>
        </w:tc>
        <w:tc>
          <w:tcPr>
            <w:tcW w:w="1171" w:type="dxa"/>
          </w:tcPr>
          <w:p w14:paraId="4B2944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 на</w:t>
            </w:r>
          </w:p>
        </w:tc>
        <w:tc>
          <w:tcPr>
            <w:tcW w:w="2723" w:type="dxa"/>
          </w:tcPr>
          <w:p w14:paraId="092E0F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1731" w:type="dxa"/>
          </w:tcPr>
          <w:p w14:paraId="4709C7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618</w:t>
            </w:r>
          </w:p>
        </w:tc>
      </w:tr>
      <w:tr w:rsidR="00983732" w:rsidRPr="00A3026E" w14:paraId="1DB4037D" w14:textId="77777777" w:rsidTr="00EA0DA7">
        <w:tc>
          <w:tcPr>
            <w:tcW w:w="2376" w:type="dxa"/>
          </w:tcPr>
          <w:p w14:paraId="6BD62B5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97" w:type="dxa"/>
          </w:tcPr>
          <w:p w14:paraId="1249B0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120</w:t>
            </w:r>
          </w:p>
        </w:tc>
        <w:tc>
          <w:tcPr>
            <w:tcW w:w="1171" w:type="dxa"/>
          </w:tcPr>
          <w:p w14:paraId="2FF4B2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405</w:t>
            </w:r>
          </w:p>
        </w:tc>
        <w:tc>
          <w:tcPr>
            <w:tcW w:w="2723" w:type="dxa"/>
          </w:tcPr>
          <w:p w14:paraId="596A09C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731" w:type="dxa"/>
          </w:tcPr>
          <w:p w14:paraId="5406A35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672BE55" w14:textId="77777777" w:rsidTr="00EA0DA7">
        <w:tc>
          <w:tcPr>
            <w:tcW w:w="2376" w:type="dxa"/>
          </w:tcPr>
          <w:p w14:paraId="1DF69A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w:t>
            </w:r>
          </w:p>
        </w:tc>
        <w:tc>
          <w:tcPr>
            <w:tcW w:w="2597" w:type="dxa"/>
          </w:tcPr>
          <w:p w14:paraId="189483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7-8/5000</w:t>
            </w:r>
          </w:p>
        </w:tc>
        <w:tc>
          <w:tcPr>
            <w:tcW w:w="1171" w:type="dxa"/>
          </w:tcPr>
          <w:p w14:paraId="14836C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5.43/5000</w:t>
            </w:r>
          </w:p>
        </w:tc>
        <w:tc>
          <w:tcPr>
            <w:tcW w:w="2723" w:type="dxa"/>
          </w:tcPr>
          <w:p w14:paraId="10F6A9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731" w:type="dxa"/>
          </w:tcPr>
          <w:p w14:paraId="61BE23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11.5/5000</w:t>
            </w:r>
          </w:p>
        </w:tc>
      </w:tr>
      <w:tr w:rsidR="00983732" w:rsidRPr="00A3026E" w14:paraId="606481B9" w14:textId="77777777" w:rsidTr="00EA0DA7">
        <w:tc>
          <w:tcPr>
            <w:tcW w:w="2376" w:type="dxa"/>
          </w:tcPr>
          <w:p w14:paraId="0AFCB6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w:t>
            </w:r>
          </w:p>
        </w:tc>
        <w:tc>
          <w:tcPr>
            <w:tcW w:w="2597" w:type="dxa"/>
          </w:tcPr>
          <w:p w14:paraId="1BE0A4C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71" w:type="dxa"/>
          </w:tcPr>
          <w:p w14:paraId="141F40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260-300</w:t>
            </w:r>
          </w:p>
        </w:tc>
        <w:tc>
          <w:tcPr>
            <w:tcW w:w="2723" w:type="dxa"/>
          </w:tcPr>
          <w:p w14:paraId="0DF5EF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731" w:type="dxa"/>
          </w:tcPr>
          <w:p w14:paraId="2EFAA3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340</w:t>
            </w:r>
          </w:p>
        </w:tc>
      </w:tr>
      <w:tr w:rsidR="00983732" w:rsidRPr="00A3026E" w14:paraId="704D7F2E" w14:textId="77777777" w:rsidTr="00EA0DA7">
        <w:tc>
          <w:tcPr>
            <w:tcW w:w="2376" w:type="dxa"/>
          </w:tcPr>
          <w:p w14:paraId="0AD18A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w:t>
            </w:r>
          </w:p>
        </w:tc>
        <w:tc>
          <w:tcPr>
            <w:tcW w:w="2597" w:type="dxa"/>
          </w:tcPr>
          <w:p w14:paraId="23B8208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71" w:type="dxa"/>
          </w:tcPr>
          <w:p w14:paraId="69C3FB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w:t>
            </w:r>
          </w:p>
        </w:tc>
        <w:tc>
          <w:tcPr>
            <w:tcW w:w="2723" w:type="dxa"/>
          </w:tcPr>
          <w:p w14:paraId="1EA013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731" w:type="dxa"/>
          </w:tcPr>
          <w:p w14:paraId="7E0DBE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260-370</w:t>
            </w:r>
          </w:p>
        </w:tc>
      </w:tr>
      <w:tr w:rsidR="00983732" w:rsidRPr="00A3026E" w14:paraId="7C7D55F1" w14:textId="77777777" w:rsidTr="00EA0DA7">
        <w:tc>
          <w:tcPr>
            <w:tcW w:w="2376" w:type="dxa"/>
          </w:tcPr>
          <w:p w14:paraId="6814EF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2597" w:type="dxa"/>
          </w:tcPr>
          <w:p w14:paraId="064597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1" w:type="dxa"/>
          </w:tcPr>
          <w:p w14:paraId="36C408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3950/4200</w:t>
            </w:r>
          </w:p>
        </w:tc>
        <w:tc>
          <w:tcPr>
            <w:tcW w:w="2723" w:type="dxa"/>
          </w:tcPr>
          <w:p w14:paraId="19855C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731" w:type="dxa"/>
          </w:tcPr>
          <w:p w14:paraId="2C2E04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4725</w:t>
            </w:r>
          </w:p>
        </w:tc>
      </w:tr>
      <w:tr w:rsidR="00983732" w:rsidRPr="00A3026E" w14:paraId="1762D2A3" w14:textId="77777777" w:rsidTr="00EA0DA7">
        <w:tc>
          <w:tcPr>
            <w:tcW w:w="2376" w:type="dxa"/>
          </w:tcPr>
          <w:p w14:paraId="6F56FF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 нагрузка</w:t>
            </w:r>
          </w:p>
        </w:tc>
        <w:tc>
          <w:tcPr>
            <w:tcW w:w="2597" w:type="dxa"/>
          </w:tcPr>
          <w:p w14:paraId="7797A2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1" w:type="dxa"/>
          </w:tcPr>
          <w:p w14:paraId="0F425C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1030</w:t>
            </w:r>
          </w:p>
        </w:tc>
        <w:tc>
          <w:tcPr>
            <w:tcW w:w="2723" w:type="dxa"/>
          </w:tcPr>
          <w:p w14:paraId="7FD123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731" w:type="dxa"/>
          </w:tcPr>
          <w:p w14:paraId="15451C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r>
      <w:tr w:rsidR="00983732" w:rsidRPr="00A3026E" w14:paraId="228A0B55" w14:textId="77777777" w:rsidTr="00EA0DA7">
        <w:tc>
          <w:tcPr>
            <w:tcW w:w="2376" w:type="dxa"/>
          </w:tcPr>
          <w:p w14:paraId="453767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w:t>
            </w:r>
          </w:p>
        </w:tc>
        <w:tc>
          <w:tcPr>
            <w:tcW w:w="2597" w:type="dxa"/>
          </w:tcPr>
          <w:p w14:paraId="799A7E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1171" w:type="dxa"/>
          </w:tcPr>
          <w:p w14:paraId="36FDB0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2723" w:type="dxa"/>
          </w:tcPr>
          <w:p w14:paraId="3D7801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1731" w:type="dxa"/>
          </w:tcPr>
          <w:p w14:paraId="3FE07F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4C5624FA" w14:textId="77777777" w:rsidTr="00EA0DA7">
        <w:tc>
          <w:tcPr>
            <w:tcW w:w="2376" w:type="dxa"/>
          </w:tcPr>
          <w:p w14:paraId="24E17D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вооружение</w:t>
            </w:r>
          </w:p>
        </w:tc>
        <w:tc>
          <w:tcPr>
            <w:tcW w:w="2597" w:type="dxa"/>
          </w:tcPr>
          <w:p w14:paraId="79A48E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2хШКАС/с</w:t>
            </w:r>
          </w:p>
        </w:tc>
        <w:tc>
          <w:tcPr>
            <w:tcW w:w="1171" w:type="dxa"/>
          </w:tcPr>
          <w:p w14:paraId="3905FF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2хШКАС/с</w:t>
            </w:r>
          </w:p>
        </w:tc>
        <w:tc>
          <w:tcPr>
            <w:tcW w:w="2723" w:type="dxa"/>
          </w:tcPr>
          <w:p w14:paraId="361CF7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5хпул.</w:t>
            </w:r>
          </w:p>
        </w:tc>
        <w:tc>
          <w:tcPr>
            <w:tcW w:w="1731" w:type="dxa"/>
          </w:tcPr>
          <w:p w14:paraId="1055F2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4хШКАС/к</w:t>
            </w:r>
          </w:p>
        </w:tc>
      </w:tr>
      <w:tr w:rsidR="00983732" w:rsidRPr="00A3026E" w14:paraId="5B6864B3" w14:textId="77777777" w:rsidTr="00EA0DA7">
        <w:tc>
          <w:tcPr>
            <w:tcW w:w="2376" w:type="dxa"/>
          </w:tcPr>
          <w:p w14:paraId="1FD5565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97" w:type="dxa"/>
          </w:tcPr>
          <w:p w14:paraId="565E71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4хШКАС/к</w:t>
            </w:r>
          </w:p>
        </w:tc>
        <w:tc>
          <w:tcPr>
            <w:tcW w:w="1171" w:type="dxa"/>
          </w:tcPr>
          <w:p w14:paraId="003F59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4хШКАС/к</w:t>
            </w:r>
          </w:p>
        </w:tc>
        <w:tc>
          <w:tcPr>
            <w:tcW w:w="2723" w:type="dxa"/>
          </w:tcPr>
          <w:p w14:paraId="1957642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731" w:type="dxa"/>
          </w:tcPr>
          <w:p w14:paraId="48AACC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1хШКАС/т</w:t>
            </w:r>
          </w:p>
        </w:tc>
      </w:tr>
      <w:tr w:rsidR="00983732" w:rsidRPr="00A3026E" w14:paraId="26976D99" w14:textId="77777777" w:rsidTr="00EA0DA7">
        <w:tc>
          <w:tcPr>
            <w:tcW w:w="2376" w:type="dxa"/>
          </w:tcPr>
          <w:p w14:paraId="4EEBFE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2597" w:type="dxa"/>
          </w:tcPr>
          <w:p w14:paraId="4E8E1A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120-200</w:t>
            </w:r>
          </w:p>
        </w:tc>
        <w:tc>
          <w:tcPr>
            <w:tcW w:w="1171" w:type="dxa"/>
          </w:tcPr>
          <w:p w14:paraId="3C99E4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120-200</w:t>
            </w:r>
          </w:p>
        </w:tc>
        <w:tc>
          <w:tcPr>
            <w:tcW w:w="2723" w:type="dxa"/>
          </w:tcPr>
          <w:p w14:paraId="76E6A9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1731" w:type="dxa"/>
          </w:tcPr>
          <w:p w14:paraId="09FF6A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400-600 (2090,145)</w:t>
            </w:r>
          </w:p>
        </w:tc>
      </w:tr>
      <w:tr w:rsidR="00983732" w:rsidRPr="00A3026E" w14:paraId="19582371" w14:textId="77777777" w:rsidTr="00EA0DA7">
        <w:tc>
          <w:tcPr>
            <w:tcW w:w="2376" w:type="dxa"/>
          </w:tcPr>
          <w:p w14:paraId="1A5458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крыла</w:t>
            </w:r>
          </w:p>
        </w:tc>
        <w:tc>
          <w:tcPr>
            <w:tcW w:w="2597" w:type="dxa"/>
          </w:tcPr>
          <w:p w14:paraId="30E18D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1" w:type="dxa"/>
          </w:tcPr>
          <w:p w14:paraId="581036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2723" w:type="dxa"/>
          </w:tcPr>
          <w:p w14:paraId="010FD9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731" w:type="dxa"/>
          </w:tcPr>
          <w:p w14:paraId="580D82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14.6</w:t>
            </w:r>
          </w:p>
        </w:tc>
      </w:tr>
      <w:tr w:rsidR="00983732" w:rsidRPr="00A3026E" w14:paraId="6DE018A4" w14:textId="77777777" w:rsidTr="00EA0DA7">
        <w:tc>
          <w:tcPr>
            <w:tcW w:w="2376" w:type="dxa"/>
          </w:tcPr>
          <w:p w14:paraId="65546E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Характеристика констр.</w:t>
            </w:r>
          </w:p>
        </w:tc>
        <w:tc>
          <w:tcPr>
            <w:tcW w:w="2597" w:type="dxa"/>
          </w:tcPr>
          <w:p w14:paraId="7325FD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Смешанная. Дюр. крыло/дер. фюз.</w:t>
            </w:r>
          </w:p>
        </w:tc>
        <w:tc>
          <w:tcPr>
            <w:tcW w:w="1171" w:type="dxa"/>
          </w:tcPr>
          <w:p w14:paraId="1371280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723" w:type="dxa"/>
          </w:tcPr>
          <w:p w14:paraId="7719CC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и оперен. - дюр. Рули обтянуты пол.</w:t>
            </w:r>
          </w:p>
        </w:tc>
        <w:tc>
          <w:tcPr>
            <w:tcW w:w="1731" w:type="dxa"/>
          </w:tcPr>
          <w:p w14:paraId="33C6D4D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373610D" w14:textId="77777777" w:rsidTr="00EA0DA7">
        <w:tc>
          <w:tcPr>
            <w:tcW w:w="2376" w:type="dxa"/>
          </w:tcPr>
          <w:p w14:paraId="491E31E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97" w:type="dxa"/>
          </w:tcPr>
          <w:p w14:paraId="266E56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Оперение - дюр. с пол. обшивкой</w:t>
            </w:r>
          </w:p>
        </w:tc>
        <w:tc>
          <w:tcPr>
            <w:tcW w:w="1171" w:type="dxa"/>
          </w:tcPr>
          <w:p w14:paraId="71E9C05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723" w:type="dxa"/>
          </w:tcPr>
          <w:p w14:paraId="2F85B4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Носовая часть фюз. (капот мотора, кабины</w:t>
            </w:r>
          </w:p>
        </w:tc>
        <w:tc>
          <w:tcPr>
            <w:tcW w:w="1731" w:type="dxa"/>
          </w:tcPr>
          <w:p w14:paraId="3764072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DF311A0" w14:textId="77777777" w:rsidTr="00EA0DA7">
        <w:tc>
          <w:tcPr>
            <w:tcW w:w="2376" w:type="dxa"/>
          </w:tcPr>
          <w:p w14:paraId="4C5EE93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97" w:type="dxa"/>
          </w:tcPr>
          <w:p w14:paraId="7024E2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Кабина защищена броней, верх.</w:t>
            </w:r>
          </w:p>
        </w:tc>
        <w:tc>
          <w:tcPr>
            <w:tcW w:w="1171" w:type="dxa"/>
          </w:tcPr>
          <w:p w14:paraId="521FAE2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723" w:type="dxa"/>
          </w:tcPr>
          <w:p w14:paraId="246993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изгот. изщ штамп. брони)</w:t>
            </w:r>
          </w:p>
        </w:tc>
        <w:tc>
          <w:tcPr>
            <w:tcW w:w="1731" w:type="dxa"/>
          </w:tcPr>
          <w:p w14:paraId="015B7DB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A02DD25" w14:textId="77777777" w:rsidTr="00EA0DA7">
        <w:tc>
          <w:tcPr>
            <w:tcW w:w="2376" w:type="dxa"/>
            <w:tcBorders>
              <w:bottom w:val="single" w:sz="12" w:space="0" w:color="auto"/>
            </w:tcBorders>
          </w:tcPr>
          <w:p w14:paraId="60F804C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97" w:type="dxa"/>
            <w:tcBorders>
              <w:bottom w:val="single" w:sz="12" w:space="0" w:color="auto"/>
            </w:tcBorders>
          </w:tcPr>
          <w:p w14:paraId="25DC7A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брони - прозрачная</w:t>
            </w:r>
          </w:p>
        </w:tc>
        <w:tc>
          <w:tcPr>
            <w:tcW w:w="1171" w:type="dxa"/>
            <w:tcBorders>
              <w:bottom w:val="single" w:sz="12" w:space="0" w:color="auto"/>
            </w:tcBorders>
          </w:tcPr>
          <w:p w14:paraId="164CFE6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723" w:type="dxa"/>
            <w:tcBorders>
              <w:bottom w:val="single" w:sz="12" w:space="0" w:color="auto"/>
            </w:tcBorders>
          </w:tcPr>
          <w:p w14:paraId="22C920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Хвост. часть - деревянная (2090,145)</w:t>
            </w:r>
          </w:p>
        </w:tc>
        <w:tc>
          <w:tcPr>
            <w:tcW w:w="1731" w:type="dxa"/>
            <w:tcBorders>
              <w:bottom w:val="single" w:sz="12" w:space="0" w:color="auto"/>
            </w:tcBorders>
          </w:tcPr>
          <w:p w14:paraId="1900AD3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6AEAA21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65846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года зам. начальника ГУ ВВС генерал-лейтенант авиации Астахов писал письмо N 1256 члену Совета по оборонной промышленности при СНК дивизионному инженеру Репину.</w:t>
      </w:r>
    </w:p>
    <w:p w14:paraId="43A51F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постройке и результатах заводских испытаний опытного самолета ОКО-6 2М-88 б/р конструкции Таирова.</w:t>
      </w:r>
    </w:p>
    <w:p w14:paraId="30AEB1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Постановлением КО от 29 июля 1939 года за N 253сс гл. конструктору завода N 43 Таирову поручено построить 2 экз. опытного одноместного 2-х моторного истребителя.</w:t>
      </w:r>
    </w:p>
    <w:p w14:paraId="38E8D8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Макет самолета был построен конструктором Таировым и предъявлен ВВС 3 января 1939 г., но вследствие наличия многих дефектов на макете (необходимость переделки крыльев и кабины) и сомнительных расчетных данных по самолету в части скорости и устойчивости, протокол макетной комиссии ВС ВВС был не утвержден.</w:t>
      </w:r>
    </w:p>
    <w:p w14:paraId="57BBE4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ВС ВВС предложено конструктору Таирову устранить на макете самолета ОКО-6 2М-88 б/р дефекты и руководствоваться Тактико-техническими требованиями при постройке самолета.</w:t>
      </w:r>
    </w:p>
    <w:p w14:paraId="5E2B0B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работы второй макетной комиссии от 16 февраля 1939 года, макет самолета ОКО-6 2М-88 был утвержден ВС ВВС 9 марта 1939 года.</w:t>
      </w:r>
    </w:p>
    <w:p w14:paraId="3463D9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2 сентября 1939 года подписан договор на опытный заказ N 2222 о постройке двух опытных самолетов ОКО-6 2М-88 б/р в сроки, установленные постановлением КО.</w:t>
      </w:r>
    </w:p>
    <w:p w14:paraId="75A58E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Указанный срок постройки первого экз. самолета ОКО-6 2М-88 б/р конструктором Таировым не был выполнен.</w:t>
      </w:r>
    </w:p>
    <w:p w14:paraId="6B64A9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летный экз. окончен в производстве в декабре 1939 г. и к заводским испытаниям приступлено 31 декабря 1939 г. на аэродроме ЦАГИ - Раменское.</w:t>
      </w:r>
    </w:p>
    <w:p w14:paraId="0FBE58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(3370,108-112).</w:t>
      </w:r>
    </w:p>
    <w:p w14:paraId="1449219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49A91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года зам. начальника ГУ ВВС генерал-лейтенант Федоров писал письмо № 1256члену Совета по оборонной промышленности дивизионному инженеру Репину</w:t>
      </w:r>
    </w:p>
    <w:p w14:paraId="48DFAB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постройке и результатах заводских испытаний опытного самолета ОКО-6 2М-88 б/р конструкции Таирова</w:t>
      </w:r>
    </w:p>
    <w:p w14:paraId="47D4214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от 29 июля 1939 года за № 253сс, гл. конструктору завода № 43 в Киеве Таирову поручено построить 2 экземпляра опытного одноместного 2-х моторного истребителя.</w:t>
      </w:r>
    </w:p>
    <w:p w14:paraId="300C99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изготовления первого экземпляра установлен – октябрь 1939 года и второго экземпляра – декабрь 1939 года.</w:t>
      </w:r>
    </w:p>
    <w:p w14:paraId="6E5FEF8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Макет самолета был построен конструктором Таировым и предъявлен ВВС 3 января 1939 года, но вследствие наличия многих дефектов на макете (необходимость переделки крыльев и кабины) и сомнительных расчетных данных по самолету в части скорости и устойчивости, протокол макетной комиссии ВС ВВС был не утвержден.</w:t>
      </w:r>
    </w:p>
    <w:p w14:paraId="717538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ВС ВВС предложено конструктору Таирову устранить на макете самолета ОКО-6 2М-88 б/р дефекты и руководствоваться тактико-техническими требованиями при постройке самолета.</w:t>
      </w:r>
    </w:p>
    <w:p w14:paraId="3916CE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работы второй макетной комиссии от 16 февраля 1939 года, макет самолета ОКО-6 2М-88 был утвержден ВС ВВС 9 марта 1939 года.</w:t>
      </w:r>
    </w:p>
    <w:p w14:paraId="3B0CE4F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1939 года подписан договор на опытный заказ № 2222 о постройке двух опытных самолетов ОКО-6 2М-88 б/р в сроки, установленные постановлением КО.</w:t>
      </w:r>
    </w:p>
    <w:p w14:paraId="78B8982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Указанный срок постройки первого экземпляра самолета ОКО-6 2М-88 б/р конструктором Таировым был не выполнен.</w:t>
      </w:r>
    </w:p>
    <w:p w14:paraId="5CB28B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летный экземпляр окончен в производстве в декабре 1939 года и к заводским испытаниям приступлено 31 декабря 1939 года на аэродроме ЦАГИ-Раменское.</w:t>
      </w:r>
    </w:p>
    <w:p w14:paraId="48A089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этап заводских испытаний самолет закончил 8 июня 1940 года и был перегнан на завод № 81 для доводок.</w:t>
      </w:r>
    </w:p>
    <w:p w14:paraId="51CD6E9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заводских испытаниях первого экземпляра самолета ОКО-6 2М-88 б/р с винтами АВ-2 Д=2,6 м, получены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543"/>
        <w:gridCol w:w="3544"/>
      </w:tblGrid>
      <w:tr w:rsidR="00983732" w:rsidRPr="00A3026E" w14:paraId="4D87125B" w14:textId="77777777" w:rsidTr="00EA0DA7">
        <w:tc>
          <w:tcPr>
            <w:tcW w:w="3369" w:type="dxa"/>
          </w:tcPr>
          <w:p w14:paraId="51183CB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543" w:type="dxa"/>
          </w:tcPr>
          <w:p w14:paraId="29DD48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полученные при заводских испытаниях</w:t>
            </w:r>
          </w:p>
        </w:tc>
        <w:tc>
          <w:tcPr>
            <w:tcW w:w="3544" w:type="dxa"/>
          </w:tcPr>
          <w:p w14:paraId="292362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 Постановлению КО</w:t>
            </w:r>
          </w:p>
        </w:tc>
      </w:tr>
      <w:tr w:rsidR="00983732" w:rsidRPr="00A3026E" w14:paraId="6A39915F" w14:textId="77777777" w:rsidTr="00EA0DA7">
        <w:tc>
          <w:tcPr>
            <w:tcW w:w="3369" w:type="dxa"/>
          </w:tcPr>
          <w:p w14:paraId="51D813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горизонтальная скорость у земли</w:t>
            </w:r>
          </w:p>
        </w:tc>
        <w:tc>
          <w:tcPr>
            <w:tcW w:w="3543" w:type="dxa"/>
          </w:tcPr>
          <w:p w14:paraId="6981A0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448 км/час</w:t>
            </w:r>
          </w:p>
        </w:tc>
        <w:tc>
          <w:tcPr>
            <w:tcW w:w="3544" w:type="dxa"/>
          </w:tcPr>
          <w:p w14:paraId="2CFFBE7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87140E6" w14:textId="77777777" w:rsidTr="00EA0DA7">
        <w:tc>
          <w:tcPr>
            <w:tcW w:w="3369" w:type="dxa"/>
          </w:tcPr>
          <w:p w14:paraId="3D8ADC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горизонтальная скорость на расчетной высоте</w:t>
            </w:r>
          </w:p>
        </w:tc>
        <w:tc>
          <w:tcPr>
            <w:tcW w:w="3543" w:type="dxa"/>
          </w:tcPr>
          <w:p w14:paraId="1340B9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567,5 км/час на 7550 м</w:t>
            </w:r>
          </w:p>
        </w:tc>
        <w:tc>
          <w:tcPr>
            <w:tcW w:w="3544" w:type="dxa"/>
          </w:tcPr>
          <w:p w14:paraId="351F2F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600-650 км/час на 6000-7000 м</w:t>
            </w:r>
          </w:p>
        </w:tc>
      </w:tr>
      <w:tr w:rsidR="00983732" w:rsidRPr="00A3026E" w14:paraId="6A4D49DF" w14:textId="77777777" w:rsidTr="00EA0DA7">
        <w:tc>
          <w:tcPr>
            <w:tcW w:w="3369" w:type="dxa"/>
          </w:tcPr>
          <w:p w14:paraId="7BD35B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5000 м</w:t>
            </w:r>
          </w:p>
        </w:tc>
        <w:tc>
          <w:tcPr>
            <w:tcW w:w="3543" w:type="dxa"/>
          </w:tcPr>
          <w:p w14:paraId="76793D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 мин.</w:t>
            </w:r>
          </w:p>
        </w:tc>
        <w:tc>
          <w:tcPr>
            <w:tcW w:w="3544" w:type="dxa"/>
          </w:tcPr>
          <w:p w14:paraId="2440F0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 мин.</w:t>
            </w:r>
          </w:p>
        </w:tc>
      </w:tr>
      <w:tr w:rsidR="00983732" w:rsidRPr="00A3026E" w14:paraId="5891D1F7" w14:textId="77777777" w:rsidTr="00EA0DA7">
        <w:tc>
          <w:tcPr>
            <w:tcW w:w="3369" w:type="dxa"/>
          </w:tcPr>
          <w:p w14:paraId="3217D7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3543" w:type="dxa"/>
          </w:tcPr>
          <w:p w14:paraId="57B58A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11100 м</w:t>
            </w:r>
          </w:p>
        </w:tc>
        <w:tc>
          <w:tcPr>
            <w:tcW w:w="3544" w:type="dxa"/>
          </w:tcPr>
          <w:p w14:paraId="6A83AD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 м</w:t>
            </w:r>
          </w:p>
        </w:tc>
      </w:tr>
      <w:tr w:rsidR="00983732" w:rsidRPr="00A3026E" w14:paraId="4C657F17" w14:textId="77777777" w:rsidTr="00EA0DA7">
        <w:tc>
          <w:tcPr>
            <w:tcW w:w="3369" w:type="dxa"/>
          </w:tcPr>
          <w:p w14:paraId="6D30C4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3543" w:type="dxa"/>
          </w:tcPr>
          <w:p w14:paraId="02E3BF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 км/час</w:t>
            </w:r>
          </w:p>
        </w:tc>
        <w:tc>
          <w:tcPr>
            <w:tcW w:w="3544" w:type="dxa"/>
          </w:tcPr>
          <w:p w14:paraId="763E3A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110-120 км/час</w:t>
            </w:r>
          </w:p>
        </w:tc>
      </w:tr>
      <w:tr w:rsidR="00983732" w:rsidRPr="00A3026E" w14:paraId="5C7BF004" w14:textId="77777777" w:rsidTr="00EA0DA7">
        <w:tc>
          <w:tcPr>
            <w:tcW w:w="3369" w:type="dxa"/>
          </w:tcPr>
          <w:p w14:paraId="6CC96C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 с бетонированной дорожки с открытыми щитками на 23 градуса</w:t>
            </w:r>
          </w:p>
        </w:tc>
        <w:tc>
          <w:tcPr>
            <w:tcW w:w="3543" w:type="dxa"/>
          </w:tcPr>
          <w:p w14:paraId="065427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369 м</w:t>
            </w:r>
          </w:p>
        </w:tc>
        <w:tc>
          <w:tcPr>
            <w:tcW w:w="3544" w:type="dxa"/>
          </w:tcPr>
          <w:p w14:paraId="657BE13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D5EEF18" w14:textId="77777777" w:rsidTr="00EA0DA7">
        <w:tc>
          <w:tcPr>
            <w:tcW w:w="3369" w:type="dxa"/>
          </w:tcPr>
          <w:p w14:paraId="19B3BF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w:t>
            </w:r>
          </w:p>
        </w:tc>
        <w:tc>
          <w:tcPr>
            <w:tcW w:w="3543" w:type="dxa"/>
          </w:tcPr>
          <w:p w14:paraId="1FB3D6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14,8 сек.</w:t>
            </w:r>
          </w:p>
        </w:tc>
        <w:tc>
          <w:tcPr>
            <w:tcW w:w="3544" w:type="dxa"/>
          </w:tcPr>
          <w:p w14:paraId="51282D4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A38A51C" w14:textId="77777777" w:rsidTr="00EA0DA7">
        <w:tc>
          <w:tcPr>
            <w:tcW w:w="3369" w:type="dxa"/>
          </w:tcPr>
          <w:p w14:paraId="0E0712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 по бетонированной дорожке со щитками на 45 градусов и торможением</w:t>
            </w:r>
          </w:p>
        </w:tc>
        <w:tc>
          <w:tcPr>
            <w:tcW w:w="3543" w:type="dxa"/>
          </w:tcPr>
          <w:p w14:paraId="405BE8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466 м</w:t>
            </w:r>
          </w:p>
        </w:tc>
        <w:tc>
          <w:tcPr>
            <w:tcW w:w="3544" w:type="dxa"/>
          </w:tcPr>
          <w:p w14:paraId="20FFA3B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5BD5594" w14:textId="77777777" w:rsidTr="00EA0DA7">
        <w:tc>
          <w:tcPr>
            <w:tcW w:w="3369" w:type="dxa"/>
          </w:tcPr>
          <w:p w14:paraId="3A22DF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w:t>
            </w:r>
          </w:p>
        </w:tc>
        <w:tc>
          <w:tcPr>
            <w:tcW w:w="3543" w:type="dxa"/>
          </w:tcPr>
          <w:p w14:paraId="66F020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 сек.</w:t>
            </w:r>
          </w:p>
        </w:tc>
        <w:tc>
          <w:tcPr>
            <w:tcW w:w="3544" w:type="dxa"/>
          </w:tcPr>
          <w:p w14:paraId="251019D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BCAB566" w14:textId="77777777" w:rsidTr="00EA0DA7">
        <w:tc>
          <w:tcPr>
            <w:tcW w:w="3369" w:type="dxa"/>
          </w:tcPr>
          <w:p w14:paraId="7B88F9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0,9 макс. при запасе горючего 535 кг</w:t>
            </w:r>
          </w:p>
        </w:tc>
        <w:tc>
          <w:tcPr>
            <w:tcW w:w="3543" w:type="dxa"/>
          </w:tcPr>
          <w:p w14:paraId="50CE77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 км</w:t>
            </w:r>
          </w:p>
        </w:tc>
        <w:tc>
          <w:tcPr>
            <w:tcW w:w="3544" w:type="dxa"/>
          </w:tcPr>
          <w:p w14:paraId="1BC551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 в нормальном варианте и в перегрузочном 1250 км</w:t>
            </w:r>
          </w:p>
        </w:tc>
      </w:tr>
      <w:tr w:rsidR="00983732" w:rsidRPr="00A3026E" w14:paraId="25CC7901" w14:textId="77777777" w:rsidTr="00EA0DA7">
        <w:tc>
          <w:tcPr>
            <w:tcW w:w="3369" w:type="dxa"/>
          </w:tcPr>
          <w:p w14:paraId="2A9E10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 на 1000 м</w:t>
            </w:r>
          </w:p>
        </w:tc>
        <w:tc>
          <w:tcPr>
            <w:tcW w:w="3543" w:type="dxa"/>
          </w:tcPr>
          <w:p w14:paraId="0CE24D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 сек.</w:t>
            </w:r>
          </w:p>
        </w:tc>
        <w:tc>
          <w:tcPr>
            <w:tcW w:w="3544" w:type="dxa"/>
          </w:tcPr>
          <w:p w14:paraId="60BF4B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10C2CD3" w14:textId="77777777" w:rsidTr="00EA0DA7">
        <w:tc>
          <w:tcPr>
            <w:tcW w:w="3369" w:type="dxa"/>
          </w:tcPr>
          <w:p w14:paraId="304ADA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самолета</w:t>
            </w:r>
          </w:p>
        </w:tc>
        <w:tc>
          <w:tcPr>
            <w:tcW w:w="3543" w:type="dxa"/>
          </w:tcPr>
          <w:p w14:paraId="42A5AB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пушки ШВАК с емкостью до 1000 штук снарядов</w:t>
            </w:r>
          </w:p>
        </w:tc>
        <w:tc>
          <w:tcPr>
            <w:tcW w:w="3544" w:type="dxa"/>
          </w:tcPr>
          <w:p w14:paraId="68C3F7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пушки ШВАК с 1000 штук снарядов или 4 пулемета БС калибра 12,7 мм</w:t>
            </w:r>
          </w:p>
        </w:tc>
      </w:tr>
      <w:tr w:rsidR="00983732" w:rsidRPr="00A3026E" w14:paraId="1CC5D76E" w14:textId="77777777" w:rsidTr="00EA0DA7">
        <w:tc>
          <w:tcPr>
            <w:tcW w:w="3369" w:type="dxa"/>
          </w:tcPr>
          <w:p w14:paraId="0B2064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РС-82</w:t>
            </w:r>
          </w:p>
        </w:tc>
        <w:tc>
          <w:tcPr>
            <w:tcW w:w="3543" w:type="dxa"/>
          </w:tcPr>
          <w:p w14:paraId="74C352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1-м экземпляре не установлен</w:t>
            </w:r>
          </w:p>
        </w:tc>
        <w:tc>
          <w:tcPr>
            <w:tcW w:w="3544" w:type="dxa"/>
          </w:tcPr>
          <w:p w14:paraId="0449C2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РС-82</w:t>
            </w:r>
          </w:p>
        </w:tc>
      </w:tr>
    </w:tbl>
    <w:p w14:paraId="6CE6587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 самолета, выявленные на заводских испытаниях:</w:t>
      </w:r>
    </w:p>
    <w:p w14:paraId="5BDC04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склонность самолета к развороту на разбеге и пробеге, вследствие того, что нет обдувки вертикального оперения;</w:t>
      </w:r>
    </w:p>
    <w:p w14:paraId="229908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неустойчивость самолета на режиме подъема и на виражах и недостаточная устойчивость на других режимах;</w:t>
      </w:r>
    </w:p>
    <w:p w14:paraId="63E5A5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недоработанность конструкции костыля, который неоднократно складывался на рулежке и пробеге.</w:t>
      </w:r>
    </w:p>
    <w:p w14:paraId="7C0DE00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данным заводских испытаний, боковая устойчивость самолета удовлетворительная: самолет пикировал под углом 50-60 градусов до скорости 640 км/час по прибору; бафтинга на самолете не обнаружено.</w:t>
      </w:r>
    </w:p>
    <w:p w14:paraId="3B584E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штопор самолет не испытывался.</w:t>
      </w:r>
    </w:p>
    <w:p w14:paraId="45C4819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 9 июня по 23 августа 1940 года самолет ОКО-6 2М-88 находился на заводе № 81. За это время на самолете установлено новое, разнесенное оперение.</w:t>
      </w:r>
    </w:p>
    <w:p w14:paraId="1EAC2B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августа самолет переправлен на аэродром ЦАГИ-Раменское для окончания заводских испытаний.</w:t>
      </w:r>
    </w:p>
    <w:p w14:paraId="4E1B84F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экземпляр опытного самолета ОКО-6 2М-88 производством еще не окончен. Ожидаемый срок поступления второго экземпляра на заводские испытания – октябрь 1940 года.</w:t>
      </w:r>
    </w:p>
    <w:p w14:paraId="10C9D7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второй экземпляр самолета устанавливаются редукторные моторы М-88 и делается разнесенное вертикальное оперение.</w:t>
      </w:r>
    </w:p>
    <w:p w14:paraId="2A60BB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5C045E2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полученной на заводских испытаниях максимальной горизонтальной скорости с безредукторными моторами, двухмоторный одноместный истребитель ОКО-6 2М-88, преимуществ по сравнению с одномоторными истребителями с таким же мотором, не имеет (И-180).</w:t>
      </w:r>
    </w:p>
    <w:p w14:paraId="2E9CF88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56F71E4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 и доводки самолета весьма затянулись, что не дает возможности дать исчерпывающую летно-тактическую оценку этому новому типу самолета с мощным вооружением.</w:t>
      </w:r>
    </w:p>
    <w:p w14:paraId="615124F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ускорить постройку 2 экземпляра самолета и окончание заводских испытаний 1 экземпляра самолета, передать самолеты на госиспытания в НИИ ВВС, после которых принять решение по этому самолету (7711, 71-75).</w:t>
      </w:r>
    </w:p>
    <w:p w14:paraId="0104FBA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73694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с завода 21 в НКАП А.С.Я. послали запрос на проведение испытаний УПО-21 (10212).</w:t>
      </w:r>
    </w:p>
    <w:p w14:paraId="43EAD44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2DD8E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г. согласно отчету военной приемки:</w:t>
      </w:r>
    </w:p>
    <w:p w14:paraId="28C178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работ по И-180 по-прежнему неудовле</w:t>
      </w:r>
      <w:r w:rsidRPr="00A3026E">
        <w:rPr>
          <w:rFonts w:ascii="Times New Roman" w:hAnsi="Times New Roman"/>
          <w:color w:val="000000" w:themeColor="text1"/>
          <w:sz w:val="16"/>
          <w:szCs w:val="16"/>
        </w:rPr>
        <w:softHyphen/>
        <w:t>творительное. Выводы предыдущих докладов остаются без изменений. 25 августа собирался партактив отделов совместно с начальниками цехов по машине И-180...» (10667).</w:t>
      </w:r>
    </w:p>
    <w:p w14:paraId="21352B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FC793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года инженер-конструктор Ефремов Н.И. писал письмо в КО</w:t>
      </w:r>
    </w:p>
    <w:p w14:paraId="765F65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Мною с 1935 года предлагалось использование реакции выхлопных газов и радиаторного тепла для увеличения скорости самолета.</w:t>
      </w:r>
    </w:p>
    <w:p w14:paraId="44D06A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1939 году в НКАП это предложение было признано как важнейшее изобретение и дана была возможность проверить мои выводы и расчеты на летной машине И-16.</w:t>
      </w:r>
    </w:p>
    <w:p w14:paraId="0A801C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Проведенные летные испытания в Отделе № 8 ЦАГИ полностью подтвердили вывод и расчеты.</w:t>
      </w:r>
    </w:p>
    <w:p w14:paraId="6FDFCB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полете были получены следующие данные:</w:t>
      </w:r>
    </w:p>
    <w:p w14:paraId="7793EA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3000 м прирост скорости был получен 16 км/час, что соответствует приросту мощности в 100 л.с. или 12, 2%.</w:t>
      </w:r>
    </w:p>
    <w:p w14:paraId="008609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7000 м прирост скорости 20 км/час, что соответствует приросту мощности в 110 л.с. или 14,4%.</w:t>
      </w:r>
    </w:p>
    <w:p w14:paraId="311BD0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8500 м прирост скорости 26,5 км/час, что соответствует приросту мощности в 140 л.с. или 19% мощности.</w:t>
      </w:r>
    </w:p>
    <w:p w14:paraId="132267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было установлено во время ночных испытаний, что яркое пламя (венец) сопутствующий обычно самолет, с установкой ТК, в нашем случае совершенно устранен и машина стала темной.</w:t>
      </w:r>
    </w:p>
    <w:p w14:paraId="29F503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Полученные данные вскрывают новые ресурсы и возможности увеличения скорости полета. Особенностью этого принципа является то, что с увеличением скорости полета эффект быстро возрастает. Полученные результаты опытом дают основания ожидать прирост мощности порядка 40% при скорости полета 600-650 км\час. В развитие этого принципа мной в 1939 году в техсовет НКАПа был подан предварительный проект самолета, полностью использующий этот принцип (ныне проверенный). В то время в реализации этого проекта было отказано, так как экспериментальной проверки еще не было.</w:t>
      </w:r>
    </w:p>
    <w:p w14:paraId="379C7C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сегодня правильность моих выкладок и расечтов подтверждена.</w:t>
      </w:r>
    </w:p>
    <w:p w14:paraId="0967DE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этого, прошу Вашего содеуствия в реализации указанного проекта, представляющего двухмотоный истребитель дальнего действия, который может быть использован и как пикирующий бомбардировщик.</w:t>
      </w:r>
    </w:p>
    <w:p w14:paraId="70C977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Проектная скорость 850 км/час.</w:t>
      </w:r>
    </w:p>
    <w:p w14:paraId="7BFBAA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разработке этого проекта принимает участие группа инженеров.</w:t>
      </w:r>
    </w:p>
    <w:p w14:paraId="00DBC5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можно с небольшими затратами произвести установку реакторов на современные скоростные самолеты и за этот счет значительно увеличить их скорость (7625, 356-357).</w:t>
      </w:r>
    </w:p>
    <w:p w14:paraId="0A37FA5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08A9B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года в письме КО инженер ЦАГИ Ефремов, основываясь на испытаниях своего реакторов, проведенных в 8-ом отделе ЦАГИ в июле 1940 года на самолете И16 М62 с ТК – предложил постройку двухмоторного истребителя, снабженного реакторами для использования реакции выхлопных газов и радиаторного теплаю</w:t>
      </w:r>
    </w:p>
    <w:p w14:paraId="00763A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письма инженера Ефремова в КО и результатов испытания реакторной установки на самолете И16 М62 с ТК, вытекало следующее:</w:t>
      </w:r>
    </w:p>
    <w:p w14:paraId="52AF132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кривых, полученных при испытании реакторной установки в 8-м отделе ЦАГИ, расчетные данные не совпадают с опытными данными, поэтому заявление Ефремова в письме КО, что испытания полностью подтвердили расчеты не соответствует действительности.</w:t>
      </w:r>
    </w:p>
    <w:p w14:paraId="217FC9A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Использование радиаторного тепла при испытаниях реакторной установки в 8-м отделе ЦАГИ на самолете И-16 М-62, согласно отчета 8-го отдела ЦАГИ – не производилось, а использовалась лишь энергия выхлопных газов.</w:t>
      </w:r>
    </w:p>
    <w:p w14:paraId="3E67012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реакторной установки являются не законченными, так как отчет по испытаниям, присланный в НИИ ВВС, оценки влияния реакторной установки на маневренность самолета и его поведение при подъеме, планировании, пикировании, на виражах и на фигурах высшего пилотажа не дает (7625, 358-359).</w:t>
      </w:r>
    </w:p>
    <w:p w14:paraId="10A3081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5979F7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года секретарь КО Пугаев писал письмо N 8006/КО Фирсаеву.</w:t>
      </w:r>
    </w:p>
    <w:p w14:paraId="370D5D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доложить наркому, что по вопросу организации серийного производства самолета СХ-1 - Ворошиловым и Вознесенским было дано следующее указание:</w:t>
      </w:r>
    </w:p>
    <w:p w14:paraId="16B9BF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Смушкевичу, Молокову и Наркомавиапрому -</w:t>
      </w:r>
    </w:p>
    <w:p w14:paraId="6EE64B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представить в КО совместное предложение о том, где и взамен чего поставить производство самолетов СХ-1 и моторов МГ-31;</w:t>
      </w:r>
    </w:p>
    <w:p w14:paraId="13EC3B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одновременно проработать вопрос о том, нельзя ли самолет с летно-техническими данными, подобным данным самолета СХ-1, построить с мотором, работающим на автомобильном бензине (3400,6).</w:t>
      </w:r>
    </w:p>
    <w:p w14:paraId="68A6418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D2CA3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3 сентября по 4 октября 1940 года в соответствии с программой, утвержденной Начальником авиации ВМФ за № 023 от 20 апреля 1940 года головной серийный самолет «МДР-6 – 2 М-63 (Морской дальний разведчик конструкции И.В. Четверикова.)» испытывался в Севастополе. Цель испытаний заключалась, помимо прочего, и в допуске и приемке серийных самолетов Военно-Морским Флотом. Экземпляр показал удовлетворительные летные качества, устойчивость в полете, достаточную прочность. Был сделан вывод, что машины этого типа могут быть переданы в части при условии устранения всех дефектов. Отчет подписали начальник Летно-испытательного института (ЛИИ) авиации ВМФ полковник Хныкин, начальник ЛИГ АВ ЛИИ авиации ВМФ военинженер 2-го ранга Мельников и начальник ЛИГОС ЛИИ авиации ВМФ военинженер 2-го ранга Козыркин (РГАЭ. Ф. 8328. Оп. 1. Д. 1408. Л. 1, 8, 21.) (11672).</w:t>
      </w:r>
    </w:p>
    <w:p w14:paraId="448075F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F3B68A5"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3 по 19 сентября 1940 года ЦАГИ провело заводские испытания головной автожира А-7, машины №3. Выяснилось, что машина по характеристикам превосходила А-7бис. Максимальная скорость составила 218 км/ч (у А-7бис 194 км/ч), а минимальная — 48 км/ч. Подъём на высоту 3000 метров занимал 16,2 минуты, а практический потолок составлял 4700 метров. При встречном ветре 3,5 метра в секунду для разбега понадобилось всего 28 метров, а пробег с использованием тормозов составил 15–16 метров.</w:t>
      </w:r>
    </w:p>
    <w:p w14:paraId="752A2D79"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Машина показала хорошую устойчивость на различных режимах полёта. Удалось избавиться от тряски мотора, которая наблюдалась на А-7бис. Более устойчиво работала радиостанция РСИ-3 бис, которая оказалась ещё и на 40% легче радиостанции 13СК-3, установленной на А-7бис. Было получено разрешение на проведение войсковых и государственных испытаний (18227).</w:t>
      </w:r>
    </w:p>
    <w:p w14:paraId="6E1F6940" w14:textId="77777777" w:rsidR="00CD3361" w:rsidRPr="00A3026E" w:rsidRDefault="00CD3361" w:rsidP="00A3026E">
      <w:pPr>
        <w:spacing w:after="0" w:line="240" w:lineRule="auto"/>
        <w:jc w:val="both"/>
        <w:rPr>
          <w:rFonts w:ascii="Times New Roman" w:hAnsi="Times New Roman"/>
          <w:color w:val="000000" w:themeColor="text1"/>
          <w:sz w:val="16"/>
          <w:szCs w:val="16"/>
        </w:rPr>
      </w:pPr>
    </w:p>
    <w:p w14:paraId="4615A4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года просьба Начальника ЦАГИ от 6 июля 1940 года была удовлетворена, и институт получил запрашиваемые материалы.</w:t>
      </w:r>
    </w:p>
    <w:p w14:paraId="4753A9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«СПЕЦТЕХГРУППА БЮРО НОВОЙ ТЕХНИКИ ЦАГИ НАЧАЛЬНИКУ 8 ЛАБОРАТОРИИ ЦАГИ ГЕРОЮ СОВЕТСКОГО СОЮЗА ПОЛКОВНИКУ А.В. ЛЯПИДЕВСКОМУ</w:t>
      </w:r>
    </w:p>
    <w:p w14:paraId="6F91AA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Вопрос: Ознакомление с аварийными бюллетенями Посылаю вам «Бюллетени катастроф и аварий в строевых частях Красной армии за зимний период 1939 – 1940 гг. и за апрель-май 1940 г.</w:t>
      </w:r>
    </w:p>
    <w:p w14:paraId="4252B2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договоренности с Вами, оба бюллетеня прошу возвратить через 10 дней.</w:t>
      </w:r>
    </w:p>
    <w:p w14:paraId="79A4EF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ПРИЛОЖЕНИЯ: два бюллетеня </w:t>
      </w:r>
    </w:p>
    <w:p w14:paraId="4788B1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Экз. № 594 – вх. ЦАГИ № 1919 сс </w:t>
      </w:r>
    </w:p>
    <w:p w14:paraId="62112A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Экз. № 7 – вх. ЦАГИ № 2289 сс НАЧАЛЬНИК СТГ БНТ /подпись/ Н.В. Лебедев» (Там же. Л. 55.) (11672).</w:t>
      </w:r>
    </w:p>
    <w:p w14:paraId="47A957E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69D6E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начались испытания ПВРД ДМ-2 конструкции И.А.Меркулова на И-153 N 6034. Летали П.Е.Логинов, А.И.Жуков, А.В.Давыдов. Средний прирост скорости был 30 км/ч. Летали до 20 сентября (366,46).</w:t>
      </w:r>
    </w:p>
    <w:p w14:paraId="209FC9E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D10FD1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7FC9CC8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BB7E5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3 по 28 сентября 1940 полугусеничный автомобиль ГАЗ-60П с принудительным зацеплени</w:t>
      </w:r>
      <w:r w:rsidRPr="00A3026E">
        <w:rPr>
          <w:rFonts w:ascii="Times New Roman" w:hAnsi="Times New Roman"/>
          <w:color w:val="000000" w:themeColor="text1"/>
          <w:sz w:val="16"/>
          <w:szCs w:val="16"/>
        </w:rPr>
        <w:softHyphen/>
        <w:t>ем гребневого типа прошел госиспытания. Скорость и проходи</w:t>
      </w:r>
      <w:r w:rsidRPr="00A3026E">
        <w:rPr>
          <w:rFonts w:ascii="Times New Roman" w:hAnsi="Times New Roman"/>
          <w:color w:val="000000" w:themeColor="text1"/>
          <w:sz w:val="16"/>
          <w:szCs w:val="16"/>
        </w:rPr>
        <w:softHyphen/>
        <w:t>мость оказались несколько выше, чем у более ранней версии. Военными был со</w:t>
      </w:r>
      <w:r w:rsidRPr="00A3026E">
        <w:rPr>
          <w:rFonts w:ascii="Times New Roman" w:hAnsi="Times New Roman"/>
          <w:color w:val="000000" w:themeColor="text1"/>
          <w:sz w:val="16"/>
          <w:szCs w:val="16"/>
        </w:rPr>
        <w:softHyphen/>
        <w:t>ставлен план заказа на 1941 г. автомоби</w:t>
      </w:r>
      <w:r w:rsidRPr="00A3026E">
        <w:rPr>
          <w:rFonts w:ascii="Times New Roman" w:hAnsi="Times New Roman"/>
          <w:color w:val="000000" w:themeColor="text1"/>
          <w:sz w:val="16"/>
          <w:szCs w:val="16"/>
        </w:rPr>
        <w:softHyphen/>
        <w:t>лей-вездеходов с механизмом принуди</w:t>
      </w:r>
      <w:r w:rsidRPr="00A3026E">
        <w:rPr>
          <w:rFonts w:ascii="Times New Roman" w:hAnsi="Times New Roman"/>
          <w:color w:val="000000" w:themeColor="text1"/>
          <w:sz w:val="16"/>
          <w:szCs w:val="16"/>
        </w:rPr>
        <w:softHyphen/>
        <w:t>тельного зацепления: ГАЗ и ЗИС по 2000 шт., но реализовать программы 40-го и 41-го гг. в сколько-нибудь значи</w:t>
      </w:r>
      <w:r w:rsidRPr="00A3026E">
        <w:rPr>
          <w:rFonts w:ascii="Times New Roman" w:hAnsi="Times New Roman"/>
          <w:color w:val="000000" w:themeColor="text1"/>
          <w:sz w:val="16"/>
          <w:szCs w:val="16"/>
        </w:rPr>
        <w:softHyphen/>
        <w:t>тельном объеме не представилось воз</w:t>
      </w:r>
      <w:r w:rsidRPr="00A3026E">
        <w:rPr>
          <w:rFonts w:ascii="Times New Roman" w:hAnsi="Times New Roman"/>
          <w:color w:val="000000" w:themeColor="text1"/>
          <w:sz w:val="16"/>
          <w:szCs w:val="16"/>
        </w:rPr>
        <w:softHyphen/>
        <w:t>можным (9845).</w:t>
      </w:r>
    </w:p>
    <w:p w14:paraId="58EC61F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768A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работником Гл. Контроля СНК Калиновским были подготовлены Выписки из постановлений КО по биноклям: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866"/>
        <w:gridCol w:w="2961"/>
        <w:gridCol w:w="657"/>
        <w:gridCol w:w="477"/>
        <w:gridCol w:w="680"/>
        <w:gridCol w:w="680"/>
        <w:gridCol w:w="680"/>
        <w:gridCol w:w="680"/>
        <w:gridCol w:w="824"/>
        <w:gridCol w:w="632"/>
        <w:gridCol w:w="786"/>
        <w:gridCol w:w="478"/>
      </w:tblGrid>
      <w:tr w:rsidR="00983732" w:rsidRPr="00A3026E" w14:paraId="4558307E" w14:textId="77777777" w:rsidTr="00EA0DA7">
        <w:tc>
          <w:tcPr>
            <w:tcW w:w="817" w:type="dxa"/>
            <w:tcBorders>
              <w:top w:val="single" w:sz="12" w:space="0" w:color="auto"/>
            </w:tcBorders>
          </w:tcPr>
          <w:p w14:paraId="01A2DD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w:t>
            </w:r>
          </w:p>
        </w:tc>
        <w:tc>
          <w:tcPr>
            <w:tcW w:w="866" w:type="dxa"/>
            <w:tcBorders>
              <w:top w:val="single" w:sz="12" w:space="0" w:color="auto"/>
            </w:tcBorders>
          </w:tcPr>
          <w:p w14:paraId="60238A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поста</w:t>
            </w:r>
            <w:r w:rsidRPr="00A3026E">
              <w:rPr>
                <w:rFonts w:ascii="Times New Roman" w:hAnsi="Times New Roman"/>
                <w:color w:val="000000" w:themeColor="text1"/>
                <w:sz w:val="16"/>
                <w:szCs w:val="16"/>
              </w:rPr>
              <w:softHyphen/>
              <w:t>новления и дата.</w:t>
            </w:r>
          </w:p>
        </w:tc>
        <w:tc>
          <w:tcPr>
            <w:tcW w:w="2961" w:type="dxa"/>
            <w:tcBorders>
              <w:top w:val="single" w:sz="12" w:space="0" w:color="auto"/>
            </w:tcBorders>
          </w:tcPr>
          <w:p w14:paraId="4E7569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Краткое содержание постановления КО.</w:t>
            </w:r>
          </w:p>
        </w:tc>
        <w:tc>
          <w:tcPr>
            <w:tcW w:w="657" w:type="dxa"/>
            <w:tcBorders>
              <w:top w:val="single" w:sz="12" w:space="0" w:color="auto"/>
            </w:tcBorders>
          </w:tcPr>
          <w:p w14:paraId="096D78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Задание . на 1939 г.</w:t>
            </w:r>
          </w:p>
        </w:tc>
        <w:tc>
          <w:tcPr>
            <w:tcW w:w="477" w:type="dxa"/>
            <w:tcBorders>
              <w:top w:val="single" w:sz="12" w:space="0" w:color="auto"/>
            </w:tcBorders>
          </w:tcPr>
          <w:p w14:paraId="47BB34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Постав</w:t>
            </w:r>
            <w:r w:rsidRPr="00A3026E">
              <w:rPr>
                <w:rFonts w:ascii="Times New Roman" w:hAnsi="Times New Roman"/>
                <w:color w:val="000000" w:themeColor="text1"/>
                <w:sz w:val="16"/>
                <w:szCs w:val="16"/>
              </w:rPr>
              <w:softHyphen/>
              <w:t>лено за 1939 г.</w:t>
            </w:r>
          </w:p>
        </w:tc>
        <w:tc>
          <w:tcPr>
            <w:tcW w:w="680" w:type="dxa"/>
            <w:tcBorders>
              <w:top w:val="single" w:sz="12" w:space="0" w:color="auto"/>
            </w:tcBorders>
          </w:tcPr>
          <w:p w14:paraId="73DCE0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Задание . на 1940 г.</w:t>
            </w:r>
          </w:p>
        </w:tc>
        <w:tc>
          <w:tcPr>
            <w:tcW w:w="680" w:type="dxa"/>
            <w:tcBorders>
              <w:top w:val="single" w:sz="12" w:space="0" w:color="auto"/>
            </w:tcBorders>
          </w:tcPr>
          <w:p w14:paraId="7B955E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Задание . на 1 полугодие</w:t>
            </w:r>
          </w:p>
        </w:tc>
        <w:tc>
          <w:tcPr>
            <w:tcW w:w="680" w:type="dxa"/>
            <w:tcBorders>
              <w:top w:val="single" w:sz="12" w:space="0" w:color="auto"/>
            </w:tcBorders>
          </w:tcPr>
          <w:p w14:paraId="2C5783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Поставлено за 1 полугодие</w:t>
            </w:r>
          </w:p>
        </w:tc>
        <w:tc>
          <w:tcPr>
            <w:tcW w:w="680" w:type="dxa"/>
            <w:tcBorders>
              <w:top w:val="single" w:sz="12" w:space="0" w:color="auto"/>
            </w:tcBorders>
          </w:tcPr>
          <w:p w14:paraId="344F7E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Выполнено за 1 полугодие в %</w:t>
            </w:r>
          </w:p>
        </w:tc>
        <w:tc>
          <w:tcPr>
            <w:tcW w:w="824" w:type="dxa"/>
            <w:tcBorders>
              <w:top w:val="single" w:sz="12" w:space="0" w:color="auto"/>
            </w:tcBorders>
          </w:tcPr>
          <w:p w14:paraId="68C646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Нарастить мощность в 1939</w:t>
            </w:r>
          </w:p>
        </w:tc>
        <w:tc>
          <w:tcPr>
            <w:tcW w:w="632" w:type="dxa"/>
            <w:tcBorders>
              <w:top w:val="single" w:sz="12" w:space="0" w:color="auto"/>
            </w:tcBorders>
          </w:tcPr>
          <w:p w14:paraId="19832A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Доведенная мощность</w:t>
            </w:r>
          </w:p>
        </w:tc>
        <w:tc>
          <w:tcPr>
            <w:tcW w:w="786" w:type="dxa"/>
            <w:tcBorders>
              <w:top w:val="single" w:sz="12" w:space="0" w:color="auto"/>
            </w:tcBorders>
          </w:tcPr>
          <w:p w14:paraId="580ACA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Нарастить мощность в 1940</w:t>
            </w:r>
          </w:p>
        </w:tc>
        <w:tc>
          <w:tcPr>
            <w:tcW w:w="478" w:type="dxa"/>
            <w:tcBorders>
              <w:top w:val="single" w:sz="12" w:space="0" w:color="auto"/>
            </w:tcBorders>
          </w:tcPr>
          <w:p w14:paraId="310C71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Доведенная мощность</w:t>
            </w:r>
          </w:p>
        </w:tc>
      </w:tr>
      <w:tr w:rsidR="00983732" w:rsidRPr="00A3026E" w14:paraId="66E559CC" w14:textId="77777777" w:rsidTr="00EA0DA7">
        <w:tc>
          <w:tcPr>
            <w:tcW w:w="817" w:type="dxa"/>
          </w:tcPr>
          <w:p w14:paraId="634938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353 (ИЗОС), Изюм</w:t>
            </w:r>
          </w:p>
        </w:tc>
        <w:tc>
          <w:tcPr>
            <w:tcW w:w="866" w:type="dxa"/>
          </w:tcPr>
          <w:p w14:paraId="0B0F21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 119сс от 15/5/39</w:t>
            </w:r>
          </w:p>
          <w:p w14:paraId="5E79AD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961" w:type="dxa"/>
          </w:tcPr>
          <w:p w14:paraId="7CF340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плане капитальных работ НКВ на 1939 г.</w:t>
            </w:r>
          </w:p>
          <w:p w14:paraId="1B0F77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Завод ИЗОС (353). Ввести мощность на 100.000 шт. биноклей.</w:t>
            </w:r>
          </w:p>
        </w:tc>
        <w:tc>
          <w:tcPr>
            <w:tcW w:w="657" w:type="dxa"/>
          </w:tcPr>
          <w:p w14:paraId="3B581B2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7" w:type="dxa"/>
          </w:tcPr>
          <w:p w14:paraId="3E16555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79D426C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5AE12B3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0B42AA9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1796B6F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24" w:type="dxa"/>
          </w:tcPr>
          <w:p w14:paraId="0BF551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1/1-40 100000 шт.</w:t>
            </w:r>
          </w:p>
        </w:tc>
        <w:tc>
          <w:tcPr>
            <w:tcW w:w="632" w:type="dxa"/>
          </w:tcPr>
          <w:p w14:paraId="5D3847C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86" w:type="dxa"/>
          </w:tcPr>
          <w:p w14:paraId="5327412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8" w:type="dxa"/>
          </w:tcPr>
          <w:p w14:paraId="23FAC85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9673B63" w14:textId="77777777" w:rsidTr="00EA0DA7">
        <w:tc>
          <w:tcPr>
            <w:tcW w:w="817" w:type="dxa"/>
          </w:tcPr>
          <w:p w14:paraId="07B2C1E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66" w:type="dxa"/>
          </w:tcPr>
          <w:p w14:paraId="6FC65A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 381сс от 8/10/39</w:t>
            </w:r>
          </w:p>
          <w:p w14:paraId="2781D3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961" w:type="dxa"/>
          </w:tcPr>
          <w:p w14:paraId="3A91EB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мероприятиях по наращиванию мощностея по биноклям .</w:t>
            </w:r>
          </w:p>
          <w:p w14:paraId="0AF649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обеспечение постановления КО № 119сс от 15.5.39 г. в части наращивания мощностей по биноклям в 1939 г. на Изюмском заводе оптического стекла (ИЗОС) Комитет Обороны постановляет:</w:t>
            </w:r>
          </w:p>
          <w:p w14:paraId="257343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 Обязать НКВ организовать на заводе "ИЗОС" производство призмеиных биноклей и сдать в 1939 г. НКО 2.000 биноклей "Б-6", НКМФ 1.000 бин. ”Б-4” в 1940 г. 50.000 шт.</w:t>
            </w:r>
          </w:p>
        </w:tc>
        <w:tc>
          <w:tcPr>
            <w:tcW w:w="657" w:type="dxa"/>
          </w:tcPr>
          <w:p w14:paraId="51F2B2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477" w:type="dxa"/>
          </w:tcPr>
          <w:p w14:paraId="66B275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c>
          <w:tcPr>
            <w:tcW w:w="680" w:type="dxa"/>
          </w:tcPr>
          <w:p w14:paraId="674256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50000</w:t>
            </w:r>
          </w:p>
        </w:tc>
        <w:tc>
          <w:tcPr>
            <w:tcW w:w="680" w:type="dxa"/>
          </w:tcPr>
          <w:p w14:paraId="76FAB5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7500</w:t>
            </w:r>
          </w:p>
        </w:tc>
        <w:tc>
          <w:tcPr>
            <w:tcW w:w="680" w:type="dxa"/>
          </w:tcPr>
          <w:p w14:paraId="0B1DF6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839</w:t>
            </w:r>
          </w:p>
        </w:tc>
        <w:tc>
          <w:tcPr>
            <w:tcW w:w="680" w:type="dxa"/>
          </w:tcPr>
          <w:p w14:paraId="1783BC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c>
          <w:tcPr>
            <w:tcW w:w="824" w:type="dxa"/>
          </w:tcPr>
          <w:p w14:paraId="33D782A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32" w:type="dxa"/>
          </w:tcPr>
          <w:p w14:paraId="6DBC659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86" w:type="dxa"/>
          </w:tcPr>
          <w:p w14:paraId="6F91FD5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8" w:type="dxa"/>
          </w:tcPr>
          <w:p w14:paraId="4EAFCD6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9A81FE0" w14:textId="77777777" w:rsidTr="00EA0DA7">
        <w:tc>
          <w:tcPr>
            <w:tcW w:w="817" w:type="dxa"/>
          </w:tcPr>
          <w:p w14:paraId="185E18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 69</w:t>
            </w:r>
          </w:p>
        </w:tc>
        <w:tc>
          <w:tcPr>
            <w:tcW w:w="866" w:type="dxa"/>
          </w:tcPr>
          <w:p w14:paraId="6CDC41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 442сс от 19/12/39</w:t>
            </w:r>
          </w:p>
          <w:p w14:paraId="58C9A9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961" w:type="dxa"/>
          </w:tcPr>
          <w:p w14:paraId="4B8824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утверждении плана текущих заказов на 1940 г." '</w:t>
            </w:r>
          </w:p>
          <w:p w14:paraId="40E8D4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57" w:type="dxa"/>
          </w:tcPr>
          <w:p w14:paraId="3F2D8A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477" w:type="dxa"/>
          </w:tcPr>
          <w:p w14:paraId="512D9D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80" w:type="dxa"/>
          </w:tcPr>
          <w:p w14:paraId="5DF5DB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29000</w:t>
            </w:r>
          </w:p>
        </w:tc>
        <w:tc>
          <w:tcPr>
            <w:tcW w:w="680" w:type="dxa"/>
          </w:tcPr>
          <w:p w14:paraId="3BFFA7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19000</w:t>
            </w:r>
          </w:p>
        </w:tc>
        <w:tc>
          <w:tcPr>
            <w:tcW w:w="680" w:type="dxa"/>
          </w:tcPr>
          <w:p w14:paraId="59BCCA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26486</w:t>
            </w:r>
          </w:p>
        </w:tc>
        <w:tc>
          <w:tcPr>
            <w:tcW w:w="680" w:type="dxa"/>
          </w:tcPr>
          <w:p w14:paraId="3ABEE9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137%</w:t>
            </w:r>
          </w:p>
        </w:tc>
        <w:tc>
          <w:tcPr>
            <w:tcW w:w="824" w:type="dxa"/>
          </w:tcPr>
          <w:p w14:paraId="491C712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32" w:type="dxa"/>
          </w:tcPr>
          <w:p w14:paraId="632DE5E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86" w:type="dxa"/>
          </w:tcPr>
          <w:p w14:paraId="72D95E4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8" w:type="dxa"/>
          </w:tcPr>
          <w:p w14:paraId="1802ACB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8DC6C68" w14:textId="77777777" w:rsidTr="00EA0DA7">
        <w:tc>
          <w:tcPr>
            <w:tcW w:w="817" w:type="dxa"/>
          </w:tcPr>
          <w:p w14:paraId="01DBAD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 349, Ленинград</w:t>
            </w:r>
          </w:p>
        </w:tc>
        <w:tc>
          <w:tcPr>
            <w:tcW w:w="866" w:type="dxa"/>
          </w:tcPr>
          <w:p w14:paraId="63A8E6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 100сс от 4/3/40</w:t>
            </w:r>
          </w:p>
          <w:p w14:paraId="6197DF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961" w:type="dxa"/>
          </w:tcPr>
          <w:p w14:paraId="1A6A20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п.1. Предложить НКВ:</w:t>
            </w:r>
          </w:p>
          <w:p w14:paraId="7473EE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Огганизовать в 1-м кв. 1940 г. производство биноклей на з-де № 349 и сдать НКО и НКВМФ в 1940 г. - 20.000 шт.</w:t>
            </w:r>
          </w:p>
          <w:p w14:paraId="1E804F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Довести мощность з-да № 349 по производству биноклей на 1.1.41 г. до 100.000 шт.</w:t>
            </w:r>
          </w:p>
          <w:p w14:paraId="3B8329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57" w:type="dxa"/>
          </w:tcPr>
          <w:p w14:paraId="31CC56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477" w:type="dxa"/>
          </w:tcPr>
          <w:p w14:paraId="07227C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80" w:type="dxa"/>
          </w:tcPr>
          <w:p w14:paraId="51077E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20000</w:t>
            </w:r>
          </w:p>
        </w:tc>
        <w:tc>
          <w:tcPr>
            <w:tcW w:w="680" w:type="dxa"/>
          </w:tcPr>
          <w:p w14:paraId="278F96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10500</w:t>
            </w:r>
          </w:p>
        </w:tc>
        <w:tc>
          <w:tcPr>
            <w:tcW w:w="680" w:type="dxa"/>
          </w:tcPr>
          <w:p w14:paraId="4A9763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w:t>
            </w:r>
          </w:p>
        </w:tc>
        <w:tc>
          <w:tcPr>
            <w:tcW w:w="680" w:type="dxa"/>
          </w:tcPr>
          <w:p w14:paraId="2CD6A2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0,8%</w:t>
            </w:r>
          </w:p>
        </w:tc>
        <w:tc>
          <w:tcPr>
            <w:tcW w:w="824" w:type="dxa"/>
          </w:tcPr>
          <w:p w14:paraId="4129033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32" w:type="dxa"/>
          </w:tcPr>
          <w:p w14:paraId="5D6CB52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86" w:type="dxa"/>
          </w:tcPr>
          <w:p w14:paraId="2E6DD1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1/1-41 100000</w:t>
            </w:r>
          </w:p>
        </w:tc>
        <w:tc>
          <w:tcPr>
            <w:tcW w:w="478" w:type="dxa"/>
          </w:tcPr>
          <w:p w14:paraId="461D9B5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146C5EB" w14:textId="77777777" w:rsidTr="00EA0DA7">
        <w:tc>
          <w:tcPr>
            <w:tcW w:w="817" w:type="dxa"/>
          </w:tcPr>
          <w:p w14:paraId="3B37C6E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66" w:type="dxa"/>
          </w:tcPr>
          <w:p w14:paraId="65D6156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61" w:type="dxa"/>
          </w:tcPr>
          <w:p w14:paraId="61011F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657" w:type="dxa"/>
          </w:tcPr>
          <w:p w14:paraId="032D41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477" w:type="dxa"/>
          </w:tcPr>
          <w:p w14:paraId="7A32EF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80" w:type="dxa"/>
          </w:tcPr>
          <w:p w14:paraId="0F0894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99000</w:t>
            </w:r>
          </w:p>
        </w:tc>
        <w:tc>
          <w:tcPr>
            <w:tcW w:w="680" w:type="dxa"/>
          </w:tcPr>
          <w:p w14:paraId="57368C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37000</w:t>
            </w:r>
          </w:p>
        </w:tc>
        <w:tc>
          <w:tcPr>
            <w:tcW w:w="680" w:type="dxa"/>
          </w:tcPr>
          <w:p w14:paraId="62C86A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27418</w:t>
            </w:r>
          </w:p>
        </w:tc>
        <w:tc>
          <w:tcPr>
            <w:tcW w:w="680" w:type="dxa"/>
          </w:tcPr>
          <w:p w14:paraId="3DBA43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w:t>
            </w:r>
          </w:p>
        </w:tc>
        <w:tc>
          <w:tcPr>
            <w:tcW w:w="824" w:type="dxa"/>
          </w:tcPr>
          <w:p w14:paraId="2DB05A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100000</w:t>
            </w:r>
          </w:p>
        </w:tc>
        <w:tc>
          <w:tcPr>
            <w:tcW w:w="632" w:type="dxa"/>
          </w:tcPr>
          <w:p w14:paraId="61893D0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86" w:type="dxa"/>
          </w:tcPr>
          <w:p w14:paraId="68F7B3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100000</w:t>
            </w:r>
          </w:p>
        </w:tc>
        <w:tc>
          <w:tcPr>
            <w:tcW w:w="478" w:type="dxa"/>
          </w:tcPr>
          <w:p w14:paraId="019EB9B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2E33561" w14:textId="77777777" w:rsidTr="00EA0DA7">
        <w:tc>
          <w:tcPr>
            <w:tcW w:w="817" w:type="dxa"/>
          </w:tcPr>
          <w:p w14:paraId="5323A38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66" w:type="dxa"/>
          </w:tcPr>
          <w:p w14:paraId="19468C6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61" w:type="dxa"/>
          </w:tcPr>
          <w:p w14:paraId="4286058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57" w:type="dxa"/>
          </w:tcPr>
          <w:p w14:paraId="2A8E839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7" w:type="dxa"/>
          </w:tcPr>
          <w:p w14:paraId="385A8A7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047E34C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78BB3EF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426C261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49FDDA0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24" w:type="dxa"/>
          </w:tcPr>
          <w:p w14:paraId="2AA3308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32" w:type="dxa"/>
          </w:tcPr>
          <w:p w14:paraId="5189F5B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86" w:type="dxa"/>
          </w:tcPr>
          <w:p w14:paraId="34A4A10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8" w:type="dxa"/>
          </w:tcPr>
          <w:p w14:paraId="2AC1ABA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869BA6A" w14:textId="77777777" w:rsidTr="00EA0DA7">
        <w:tc>
          <w:tcPr>
            <w:tcW w:w="817" w:type="dxa"/>
          </w:tcPr>
          <w:p w14:paraId="4183B2E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66" w:type="dxa"/>
          </w:tcPr>
          <w:p w14:paraId="74738B5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61" w:type="dxa"/>
          </w:tcPr>
          <w:p w14:paraId="0FB50AE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57" w:type="dxa"/>
          </w:tcPr>
          <w:p w14:paraId="2F71183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7" w:type="dxa"/>
          </w:tcPr>
          <w:p w14:paraId="20BAC1F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37AFB4E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6ABB3CF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2C1F653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4B79D3E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24" w:type="dxa"/>
          </w:tcPr>
          <w:p w14:paraId="1BC238B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32" w:type="dxa"/>
          </w:tcPr>
          <w:p w14:paraId="0507172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86" w:type="dxa"/>
          </w:tcPr>
          <w:p w14:paraId="7C1110D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8" w:type="dxa"/>
          </w:tcPr>
          <w:p w14:paraId="35C096E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8E43A8F" w14:textId="77777777" w:rsidTr="00EA0DA7">
        <w:tc>
          <w:tcPr>
            <w:tcW w:w="817" w:type="dxa"/>
          </w:tcPr>
          <w:p w14:paraId="4B214B9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66" w:type="dxa"/>
          </w:tcPr>
          <w:p w14:paraId="575D22C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61" w:type="dxa"/>
          </w:tcPr>
          <w:p w14:paraId="2B0C77C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57" w:type="dxa"/>
          </w:tcPr>
          <w:p w14:paraId="185CB3D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7" w:type="dxa"/>
          </w:tcPr>
          <w:p w14:paraId="376BF3B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43712DD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67F9393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5F15138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469BEBE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24" w:type="dxa"/>
          </w:tcPr>
          <w:p w14:paraId="66B4E08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32" w:type="dxa"/>
          </w:tcPr>
          <w:p w14:paraId="44170B1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86" w:type="dxa"/>
          </w:tcPr>
          <w:p w14:paraId="4312307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8" w:type="dxa"/>
          </w:tcPr>
          <w:p w14:paraId="2BDA831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FAAB451" w14:textId="77777777" w:rsidTr="00EA0DA7">
        <w:tc>
          <w:tcPr>
            <w:tcW w:w="817" w:type="dxa"/>
          </w:tcPr>
          <w:p w14:paraId="66A7700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66" w:type="dxa"/>
          </w:tcPr>
          <w:p w14:paraId="408225A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61" w:type="dxa"/>
          </w:tcPr>
          <w:p w14:paraId="5BEB080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57" w:type="dxa"/>
          </w:tcPr>
          <w:p w14:paraId="629ED8C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7" w:type="dxa"/>
          </w:tcPr>
          <w:p w14:paraId="02EEBF3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1C2A0C3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1423DAD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3E8F962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257FBEB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24" w:type="dxa"/>
          </w:tcPr>
          <w:p w14:paraId="30C451F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32" w:type="dxa"/>
          </w:tcPr>
          <w:p w14:paraId="76884DC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86" w:type="dxa"/>
          </w:tcPr>
          <w:p w14:paraId="661C090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8" w:type="dxa"/>
          </w:tcPr>
          <w:p w14:paraId="5C94486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D0295F5" w14:textId="77777777" w:rsidTr="00EA0DA7">
        <w:tc>
          <w:tcPr>
            <w:tcW w:w="817" w:type="dxa"/>
          </w:tcPr>
          <w:p w14:paraId="12D46EE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66" w:type="dxa"/>
          </w:tcPr>
          <w:p w14:paraId="7AAF67D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61" w:type="dxa"/>
          </w:tcPr>
          <w:p w14:paraId="362F675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57" w:type="dxa"/>
          </w:tcPr>
          <w:p w14:paraId="539D46E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7" w:type="dxa"/>
          </w:tcPr>
          <w:p w14:paraId="53B6103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0A99EBD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4DF8B43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5925EB5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1EC2F24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24" w:type="dxa"/>
          </w:tcPr>
          <w:p w14:paraId="37D6518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32" w:type="dxa"/>
          </w:tcPr>
          <w:p w14:paraId="3403AFC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86" w:type="dxa"/>
          </w:tcPr>
          <w:p w14:paraId="0C7AE3B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8" w:type="dxa"/>
          </w:tcPr>
          <w:p w14:paraId="617EEAC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01EBEAB" w14:textId="77777777" w:rsidTr="00EA0DA7">
        <w:tc>
          <w:tcPr>
            <w:tcW w:w="817" w:type="dxa"/>
          </w:tcPr>
          <w:p w14:paraId="473FCFE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66" w:type="dxa"/>
          </w:tcPr>
          <w:p w14:paraId="7617294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61" w:type="dxa"/>
          </w:tcPr>
          <w:p w14:paraId="7197859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57" w:type="dxa"/>
          </w:tcPr>
          <w:p w14:paraId="5CEE164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7" w:type="dxa"/>
          </w:tcPr>
          <w:p w14:paraId="34D982D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177CBB1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2722EE9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0227493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38312F6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24" w:type="dxa"/>
          </w:tcPr>
          <w:p w14:paraId="51F3790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32" w:type="dxa"/>
          </w:tcPr>
          <w:p w14:paraId="0475E0E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86" w:type="dxa"/>
          </w:tcPr>
          <w:p w14:paraId="3941A09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8" w:type="dxa"/>
          </w:tcPr>
          <w:p w14:paraId="25BB5E5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B82FD04" w14:textId="77777777" w:rsidTr="00EA0DA7">
        <w:tc>
          <w:tcPr>
            <w:tcW w:w="817" w:type="dxa"/>
          </w:tcPr>
          <w:p w14:paraId="56856D2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66" w:type="dxa"/>
          </w:tcPr>
          <w:p w14:paraId="57B9528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61" w:type="dxa"/>
          </w:tcPr>
          <w:p w14:paraId="7B9ED07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57" w:type="dxa"/>
          </w:tcPr>
          <w:p w14:paraId="16B0488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7" w:type="dxa"/>
          </w:tcPr>
          <w:p w14:paraId="03DA96F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73DF5A1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5A906A6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714E5B2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660C361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24" w:type="dxa"/>
          </w:tcPr>
          <w:p w14:paraId="7D85116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32" w:type="dxa"/>
          </w:tcPr>
          <w:p w14:paraId="74F9D44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86" w:type="dxa"/>
          </w:tcPr>
          <w:p w14:paraId="2F52117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8" w:type="dxa"/>
          </w:tcPr>
          <w:p w14:paraId="7A75FD4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C8692B0" w14:textId="77777777" w:rsidTr="00EA0DA7">
        <w:tc>
          <w:tcPr>
            <w:tcW w:w="817" w:type="dxa"/>
          </w:tcPr>
          <w:p w14:paraId="0B31431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66" w:type="dxa"/>
          </w:tcPr>
          <w:p w14:paraId="7BE8A65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61" w:type="dxa"/>
          </w:tcPr>
          <w:p w14:paraId="2743678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57" w:type="dxa"/>
          </w:tcPr>
          <w:p w14:paraId="5FE65D0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7" w:type="dxa"/>
          </w:tcPr>
          <w:p w14:paraId="238B08D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27DE13C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0DA917E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2B05C5C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Pr>
          <w:p w14:paraId="1780BE6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24" w:type="dxa"/>
          </w:tcPr>
          <w:p w14:paraId="41164DB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32" w:type="dxa"/>
          </w:tcPr>
          <w:p w14:paraId="0FB0317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86" w:type="dxa"/>
          </w:tcPr>
          <w:p w14:paraId="7566366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8" w:type="dxa"/>
          </w:tcPr>
          <w:p w14:paraId="6D41487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5553955" w14:textId="77777777" w:rsidTr="00EA0DA7">
        <w:tc>
          <w:tcPr>
            <w:tcW w:w="817" w:type="dxa"/>
            <w:tcBorders>
              <w:bottom w:val="single" w:sz="12" w:space="0" w:color="auto"/>
            </w:tcBorders>
          </w:tcPr>
          <w:p w14:paraId="51B65B7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66" w:type="dxa"/>
            <w:tcBorders>
              <w:bottom w:val="single" w:sz="12" w:space="0" w:color="auto"/>
            </w:tcBorders>
          </w:tcPr>
          <w:p w14:paraId="5BDF522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61" w:type="dxa"/>
            <w:tcBorders>
              <w:bottom w:val="single" w:sz="12" w:space="0" w:color="auto"/>
            </w:tcBorders>
          </w:tcPr>
          <w:p w14:paraId="2160447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57" w:type="dxa"/>
            <w:tcBorders>
              <w:bottom w:val="single" w:sz="12" w:space="0" w:color="auto"/>
            </w:tcBorders>
          </w:tcPr>
          <w:p w14:paraId="052E707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7" w:type="dxa"/>
            <w:tcBorders>
              <w:bottom w:val="single" w:sz="12" w:space="0" w:color="auto"/>
            </w:tcBorders>
          </w:tcPr>
          <w:p w14:paraId="619CDDF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Borders>
              <w:bottom w:val="single" w:sz="12" w:space="0" w:color="auto"/>
            </w:tcBorders>
          </w:tcPr>
          <w:p w14:paraId="59FC460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Borders>
              <w:bottom w:val="single" w:sz="12" w:space="0" w:color="auto"/>
            </w:tcBorders>
          </w:tcPr>
          <w:p w14:paraId="3E17CA6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Borders>
              <w:bottom w:val="single" w:sz="12" w:space="0" w:color="auto"/>
            </w:tcBorders>
          </w:tcPr>
          <w:p w14:paraId="31BC599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 w:type="dxa"/>
            <w:tcBorders>
              <w:bottom w:val="single" w:sz="12" w:space="0" w:color="auto"/>
            </w:tcBorders>
          </w:tcPr>
          <w:p w14:paraId="21C5A19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24" w:type="dxa"/>
            <w:tcBorders>
              <w:bottom w:val="single" w:sz="12" w:space="0" w:color="auto"/>
            </w:tcBorders>
          </w:tcPr>
          <w:p w14:paraId="35D5E0D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32" w:type="dxa"/>
            <w:tcBorders>
              <w:bottom w:val="single" w:sz="12" w:space="0" w:color="auto"/>
            </w:tcBorders>
          </w:tcPr>
          <w:p w14:paraId="6920A6D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86" w:type="dxa"/>
            <w:tcBorders>
              <w:bottom w:val="single" w:sz="12" w:space="0" w:color="auto"/>
            </w:tcBorders>
          </w:tcPr>
          <w:p w14:paraId="24AEAD6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78" w:type="dxa"/>
            <w:tcBorders>
              <w:bottom w:val="single" w:sz="12" w:space="0" w:color="auto"/>
            </w:tcBorders>
          </w:tcPr>
          <w:p w14:paraId="5C3E191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418551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(10483,72).</w:t>
      </w:r>
    </w:p>
    <w:p w14:paraId="3299B9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E6685B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4E24363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062EB05"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сентября 1940 самолеты с Ark Royal снова атакуют Кальяри в ходе операции «Захват», аналогично операции «Разрушение». Рейд менее успешен, много бомб упало в море (20795).</w:t>
      </w:r>
    </w:p>
    <w:p w14:paraId="6DDED117" w14:textId="77777777" w:rsidR="007C10B0" w:rsidRPr="00A3026E" w:rsidRDefault="007C10B0" w:rsidP="00A3026E">
      <w:pPr>
        <w:spacing w:after="0" w:line="240" w:lineRule="auto"/>
        <w:jc w:val="both"/>
        <w:rPr>
          <w:rFonts w:ascii="Times New Roman" w:hAnsi="Times New Roman"/>
          <w:color w:val="0070C0"/>
          <w:sz w:val="16"/>
          <w:szCs w:val="16"/>
        </w:rPr>
      </w:pPr>
    </w:p>
    <w:p w14:paraId="5E409E1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английское правительство объявило государственную компенсацию владельцам домов, разрушенных немецкой авиацией - 2 тыс. фунтов за каждый дом (4962).</w:t>
      </w:r>
    </w:p>
    <w:p w14:paraId="6FFCD3F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15C39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Гитлер перенес планируемое вторжение в Англию с 15 на 21 сентября (4962).</w:t>
      </w:r>
    </w:p>
    <w:p w14:paraId="5A13886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A658D2C"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September 3, 1940: Hitler sets the date of the start of Operation Sea Lion, the German invasion of England, for September 21 (3819).</w:t>
      </w:r>
    </w:p>
    <w:p w14:paraId="64E5A713"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594778CA"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3 September 1940 Hitler plans operation Sealion - the invasion of Britain for 21-Sep-40 (270).</w:t>
      </w:r>
    </w:p>
    <w:p w14:paraId="25F1C503"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471FBF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А.Гитлер запланировал операцию Морской лев по вторжению в Англию 21 сентября 1940 (270).</w:t>
      </w:r>
    </w:p>
    <w:p w14:paraId="2805998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9DEFD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г Паулюс, Зам. Нач. Генштаба, получил три варианта планов нападения на СССР (2536,151).</w:t>
      </w:r>
    </w:p>
    <w:p w14:paraId="7A9D9F2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EE87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Г.Геринг приказал нанести удар по Лондону (2240).</w:t>
      </w:r>
    </w:p>
    <w:p w14:paraId="58D6392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D5C5FB2" w14:textId="77777777" w:rsidR="004C1667" w:rsidRPr="00A3026E" w:rsidRDefault="004C1667"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3 сентября </w:t>
      </w:r>
      <w:r w:rsidRPr="00A3026E">
        <w:rPr>
          <w:rFonts w:ascii="Times New Roman" w:hAnsi="Times New Roman"/>
          <w:color w:val="000000" w:themeColor="text1"/>
          <w:sz w:val="16"/>
          <w:szCs w:val="16"/>
        </w:rPr>
        <w:t>в 1940 году английское правительство объявляет государственную компенсацию владельцам домов, разрушенных немецкой авиацией - 2 тысяч фунтов за каждый дом (14758).</w:t>
      </w:r>
    </w:p>
    <w:p w14:paraId="4BCFFC2A" w14:textId="77777777" w:rsidR="004C1667" w:rsidRPr="00A3026E" w:rsidRDefault="004C1667" w:rsidP="00A3026E">
      <w:pPr>
        <w:spacing w:after="0" w:line="240" w:lineRule="auto"/>
        <w:jc w:val="both"/>
        <w:rPr>
          <w:rFonts w:ascii="Times New Roman" w:hAnsi="Times New Roman"/>
          <w:color w:val="000000" w:themeColor="text1"/>
          <w:sz w:val="16"/>
          <w:szCs w:val="16"/>
        </w:rPr>
      </w:pPr>
    </w:p>
    <w:p w14:paraId="0509C28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в Бухаресте совершена неудачная попытка покушения на короля Румынии (4962).</w:t>
      </w:r>
    </w:p>
    <w:p w14:paraId="62799F9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EED6F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США передали Англии 50 эсминцев в обмен на право использования в течение 99 лет британских военных баз в Ньюфаундленде и на карибских островах (4962).</w:t>
      </w:r>
    </w:p>
    <w:p w14:paraId="25C938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382F8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США продали Великобритании 50 эсминцев в обмен на право бесплатной аренды на 99 лет баз на Ньюфаундленде и Карибских островах (3907,224).</w:t>
      </w:r>
    </w:p>
    <w:p w14:paraId="42770A3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BCFF190" w14:textId="77777777" w:rsidR="004C1667" w:rsidRPr="00A3026E" w:rsidRDefault="004C1667"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3 сентября </w:t>
      </w:r>
      <w:r w:rsidRPr="00A3026E">
        <w:rPr>
          <w:rFonts w:ascii="Times New Roman" w:hAnsi="Times New Roman"/>
          <w:color w:val="000000" w:themeColor="text1"/>
          <w:sz w:val="16"/>
          <w:szCs w:val="16"/>
        </w:rPr>
        <w:t>в 1940 году президентом прогерманского правительства в Бельгии стал Э.А.де Брунсвик (14758).</w:t>
      </w:r>
    </w:p>
    <w:p w14:paraId="23731EBF" w14:textId="77777777" w:rsidR="004C1667" w:rsidRPr="00A3026E" w:rsidRDefault="004C1667" w:rsidP="00A3026E">
      <w:pPr>
        <w:spacing w:after="0" w:line="240" w:lineRule="auto"/>
        <w:jc w:val="both"/>
        <w:rPr>
          <w:rFonts w:ascii="Times New Roman" w:hAnsi="Times New Roman"/>
          <w:color w:val="000000" w:themeColor="text1"/>
          <w:sz w:val="16"/>
          <w:szCs w:val="16"/>
        </w:rPr>
      </w:pPr>
    </w:p>
    <w:p w14:paraId="126F3B90" w14:textId="77777777" w:rsidR="001A33AA" w:rsidRPr="00A3026E" w:rsidRDefault="001A33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сентября 1940 года был подписан контракт с «Паккард мотор компани» на производство 9000 моторов «Мерлин»: 3000 — для ВВС США и 6000 — для англичан. </w:t>
      </w:r>
    </w:p>
    <w:p w14:paraId="504CC34D" w14:textId="77777777" w:rsidR="001A33AA" w:rsidRPr="00A3026E" w:rsidRDefault="001A33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Но прежде чем кто-то получит моторы, надо было построить и оснастить завод. Расходы были разделены между США и Англией: один к двум. За строительство завода англичане заплатили 24 миллиона долларов. Моторы, которые британцы разрешили производить «Паккарду», в дальнейшем использовались на Р-51 и на некоторых из Р-40. </w:t>
      </w:r>
    </w:p>
    <w:p w14:paraId="2BED3F75" w14:textId="77777777" w:rsidR="001A33AA" w:rsidRPr="00A3026E" w:rsidRDefault="001A33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того как вопрос о контрактах был решен, возникла новая проблема: как распределять продукцию самолетостроения? Если американские и иностранные заказы были размещены у одного и того же производителя, правительство США, пользуясь вновь полученным правом приоритета, старалось взять в свои руки все дело, даже если английские заказы были размещены раньше. Конечно, такие действия вовсе не способствовали политике усиления собственной обороны посредством помощи странам, которые сражались с теми, кто угрожал самим</w:t>
      </w:r>
      <w:r w:rsidR="00DD51F8" w:rsidRPr="00A3026E">
        <w:rPr>
          <w:rFonts w:ascii="Times New Roman" w:hAnsi="Times New Roman"/>
          <w:color w:val="000000" w:themeColor="text1"/>
          <w:sz w:val="16"/>
          <w:szCs w:val="16"/>
        </w:rPr>
        <w:t xml:space="preserve"> США</w:t>
      </w:r>
      <w:r w:rsidRPr="00A3026E">
        <w:rPr>
          <w:rFonts w:ascii="Times New Roman" w:hAnsi="Times New Roman"/>
          <w:color w:val="000000" w:themeColor="text1"/>
          <w:sz w:val="16"/>
          <w:szCs w:val="16"/>
        </w:rPr>
        <w:t xml:space="preserve">. Требовалась какая-то новая распределительная система. </w:t>
      </w:r>
    </w:p>
    <w:p w14:paraId="47A84737" w14:textId="77777777" w:rsidR="001A33AA" w:rsidRPr="00A3026E" w:rsidRDefault="001A33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21 августа был создан комитет из представителей вооруженных сил </w:t>
      </w:r>
      <w:r w:rsidR="00DD51F8" w:rsidRPr="00A3026E">
        <w:rPr>
          <w:rFonts w:ascii="Times New Roman" w:hAnsi="Times New Roman"/>
          <w:color w:val="000000" w:themeColor="text1"/>
          <w:sz w:val="16"/>
          <w:szCs w:val="16"/>
        </w:rPr>
        <w:t xml:space="preserve">США </w:t>
      </w:r>
      <w:r w:rsidRPr="00A3026E">
        <w:rPr>
          <w:rFonts w:ascii="Times New Roman" w:hAnsi="Times New Roman"/>
          <w:color w:val="000000" w:themeColor="text1"/>
          <w:sz w:val="16"/>
          <w:szCs w:val="16"/>
        </w:rPr>
        <w:t xml:space="preserve">и Британской авиационной комиссии, к которым позднее присоединились представители Комитета по связям, а также Оборонной консультативной комиссии. Новый орган получил название Объединенного авиационного комитета, члены которого имели власть, как выразился министр обороны Стимсон, «действовать от имени и брать на себя обязательства» своих правительств. Это был важный шаг на пути к эффективному повседневному сотрудничеству в военном производстве, и новый комитет стал предшественником объединенных советов, возникших после Пёрл-Харбора. </w:t>
      </w:r>
    </w:p>
    <w:p w14:paraId="1DC0EF69" w14:textId="77777777" w:rsidR="001A33AA" w:rsidRPr="00A3026E" w:rsidRDefault="001A33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Принципом работы этого комитета было эффективное распределение планов, которое должно было как можно скорее дать результаты: либо в войне против стран оси, как в случае с самолетами для Анг лии, либо для укрепления нашей обороноспособности. Ни в одной из стран не должны были накопляться лишние моторы, пропеллеры, пушки и т. д., если в другой стране есть самолеты, которые в этом нуждаются. </w:t>
      </w:r>
    </w:p>
    <w:p w14:paraId="0DAD4E3D" w14:textId="77777777" w:rsidR="001A33AA" w:rsidRPr="00A3026E" w:rsidRDefault="001A33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Была у Объединенного авиационного комитета и другая задача, не менее важная: стандартизация военных самолетов и авиационного вооружения для нужд обоих правительств. Прежде всего комитет обратил внимание на самолет </w:t>
      </w:r>
      <w:r w:rsidR="00DD51F8" w:rsidRPr="00A3026E">
        <w:rPr>
          <w:rFonts w:ascii="Times New Roman" w:hAnsi="Times New Roman"/>
          <w:color w:val="000000" w:themeColor="text1"/>
          <w:sz w:val="16"/>
          <w:szCs w:val="16"/>
        </w:rPr>
        <w:t>Р</w:t>
      </w:r>
      <w:r w:rsidRPr="00A3026E">
        <w:rPr>
          <w:rFonts w:ascii="Times New Roman" w:hAnsi="Times New Roman"/>
          <w:color w:val="000000" w:themeColor="text1"/>
          <w:sz w:val="16"/>
          <w:szCs w:val="16"/>
        </w:rPr>
        <w:t>-40. Хотя американский и английский варианты этой машины были в принципе одинаковыми, между ними существовало множество мелких различий, и каждое из правительств постоянно меняло спецификацию независимо от другого. Результатом была головная боль промышленников и низкая производительность труда. В сентябре 1940 года комитет собрался на Буффалском заводе корпорации «Кэррис-Райт». Заседание продолжалось два дня и кончилось решением о стандартизации модели и о том, чтобы законсервировать образец на полгода. В результате почти сразу произошел значительный рост производства. В дальнейшем подобные совещания по стандартизации были проведены и на других авиазаводах, и результатом в каждом случае также являлся рост производства и у нас, и у англичан</w:t>
      </w:r>
      <w:r w:rsidR="00DD51F8" w:rsidRPr="00A3026E">
        <w:rPr>
          <w:rFonts w:ascii="Times New Roman" w:hAnsi="Times New Roman"/>
          <w:color w:val="000000" w:themeColor="text1"/>
          <w:sz w:val="16"/>
          <w:szCs w:val="16"/>
        </w:rPr>
        <w:t xml:space="preserve"> (17417)</w:t>
      </w:r>
      <w:r w:rsidRPr="00A3026E">
        <w:rPr>
          <w:rFonts w:ascii="Times New Roman" w:hAnsi="Times New Roman"/>
          <w:color w:val="000000" w:themeColor="text1"/>
          <w:sz w:val="16"/>
          <w:szCs w:val="16"/>
        </w:rPr>
        <w:t>.</w:t>
      </w:r>
    </w:p>
    <w:p w14:paraId="4C9F2B63" w14:textId="77777777" w:rsidR="001A33AA" w:rsidRPr="00A3026E" w:rsidRDefault="001A33AA" w:rsidP="00A3026E">
      <w:pPr>
        <w:spacing w:after="0" w:line="240" w:lineRule="auto"/>
        <w:jc w:val="both"/>
        <w:rPr>
          <w:rFonts w:ascii="Times New Roman" w:hAnsi="Times New Roman"/>
          <w:color w:val="000000" w:themeColor="text1"/>
          <w:sz w:val="16"/>
          <w:szCs w:val="16"/>
        </w:rPr>
      </w:pPr>
    </w:p>
    <w:p w14:paraId="11505BC5" w14:textId="77777777" w:rsidR="004C1667" w:rsidRPr="00A3026E" w:rsidRDefault="004C1667"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3 сентября </w:t>
      </w:r>
      <w:r w:rsidRPr="00A3026E">
        <w:rPr>
          <w:rFonts w:ascii="Times New Roman" w:hAnsi="Times New Roman"/>
          <w:color w:val="000000" w:themeColor="text1"/>
          <w:sz w:val="16"/>
          <w:szCs w:val="16"/>
        </w:rPr>
        <w:t>в 1940 году японский генерал Нисихара посетил в Сайгоне адмирала Деку и сообщил, что 5 сентября он вводит войска в Индокитай (14758).</w:t>
      </w:r>
    </w:p>
    <w:p w14:paraId="52DD5022" w14:textId="77777777" w:rsidR="004C1667" w:rsidRPr="00A3026E" w:rsidRDefault="004C1667" w:rsidP="00A3026E">
      <w:pPr>
        <w:spacing w:after="0" w:line="240" w:lineRule="auto"/>
        <w:jc w:val="both"/>
        <w:rPr>
          <w:rFonts w:ascii="Times New Roman" w:hAnsi="Times New Roman"/>
          <w:color w:val="000000" w:themeColor="text1"/>
          <w:sz w:val="16"/>
          <w:szCs w:val="16"/>
        </w:rPr>
      </w:pPr>
    </w:p>
    <w:p w14:paraId="0F5811B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0ABE8B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E0B11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года Начальник НИИ ВВС генерал-майор авиации Филин утвердил Заключение по контрольным испытаниям по определению максимальных скоростей на самолете И-16 М63 с АВ-1 за № 24213</w:t>
      </w:r>
    </w:p>
    <w:p w14:paraId="29B368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62BDF5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и летчик в/инженер 1 ранга Никашин А.И.</w:t>
      </w:r>
    </w:p>
    <w:p w14:paraId="2C7012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626F6F0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максимальные скорости самолета после годовой летной эксплуатации и замены мотора.</w:t>
      </w:r>
    </w:p>
    <w:p w14:paraId="68024D8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влияние летной эксплуатации и замены моторов на изменение максимальных скоростей самолета.</w:t>
      </w:r>
    </w:p>
    <w:p w14:paraId="3B644D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проводились на самолете И-16 № 24213.</w:t>
      </w:r>
    </w:p>
    <w:p w14:paraId="11F9D5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 и заключение</w:t>
      </w:r>
    </w:p>
    <w:p w14:paraId="386DAC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практически сохраняет свои летные данные при небольшом сроке летной не интенсивной эксплуатации, в условиях хорошего хранения и замене мотора на подобный же кондиционный мотор (4533).</w:t>
      </w:r>
    </w:p>
    <w:p w14:paraId="6274381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F994F4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года в НИИ ВВС был выдан наряд-приказ № 0216</w:t>
      </w:r>
    </w:p>
    <w:p w14:paraId="57825C9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 серийного головного самолета И-26 М-105П с ВИШ-61 № 0105 постройки завода № 301 (6890, 127).</w:t>
      </w:r>
    </w:p>
    <w:p w14:paraId="3F26B68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B34BF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заместитель начальника ГУ ВВС генерал-майор Федоров в своем докладе Военному Совету ВВС КА отметил:</w:t>
      </w:r>
    </w:p>
    <w:p w14:paraId="41A320EF"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«1) По полученным на заводских испы</w:t>
      </w:r>
      <w:r w:rsidRPr="00A3026E">
        <w:rPr>
          <w:rFonts w:ascii="Times New Roman" w:hAnsi="Times New Roman" w:cs="Times New Roman"/>
          <w:color w:val="000000" w:themeColor="text1"/>
        </w:rPr>
        <w:softHyphen/>
        <w:t>таниях скоростям с безредукторными моторами, двухмоторный одноместный истребитель ОКО-6 2М-88 преимуществ по сравнению с одномоторными истребите</w:t>
      </w:r>
      <w:r w:rsidRPr="00A3026E">
        <w:rPr>
          <w:rFonts w:ascii="Times New Roman" w:hAnsi="Times New Roman" w:cs="Times New Roman"/>
          <w:color w:val="000000" w:themeColor="text1"/>
        </w:rPr>
        <w:softHyphen/>
        <w:t>лями с таким же мотором не имеет(И-180);</w:t>
      </w:r>
    </w:p>
    <w:p w14:paraId="2A335AB3"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2) Заводские испытания и доводка весьма затянулись, что не дает возмож</w:t>
      </w:r>
      <w:r w:rsidRPr="00A3026E">
        <w:rPr>
          <w:rFonts w:ascii="Times New Roman" w:hAnsi="Times New Roman" w:cs="Times New Roman"/>
          <w:color w:val="000000" w:themeColor="text1"/>
        </w:rPr>
        <w:softHyphen/>
        <w:t>ности дать исчерпывающие заключения по самолету с таким мощным вооружением». Предлагалось ускорить постройку вто</w:t>
      </w:r>
      <w:r w:rsidRPr="00A3026E">
        <w:rPr>
          <w:rFonts w:ascii="Times New Roman" w:hAnsi="Times New Roman" w:cs="Times New Roman"/>
          <w:color w:val="000000" w:themeColor="text1"/>
        </w:rPr>
        <w:softHyphen/>
        <w:t>рого экземпляра ОКО-6 с редукторными моторами и проведение его заводских испытаний.</w:t>
      </w:r>
    </w:p>
    <w:p w14:paraId="0F2B51C2"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Вновь назначенный начальник ВВС КА генерал-лейтенант П. В. Рычагов, докла</w:t>
      </w:r>
      <w:r w:rsidRPr="00A3026E">
        <w:rPr>
          <w:rFonts w:ascii="Times New Roman" w:hAnsi="Times New Roman" w:cs="Times New Roman"/>
          <w:color w:val="000000" w:themeColor="text1"/>
        </w:rPr>
        <w:softHyphen/>
        <w:t>дывая 30 сентября новому наркому обороны маршалу С. К. Тимошенко «О построй</w:t>
      </w:r>
      <w:r w:rsidRPr="00A3026E">
        <w:rPr>
          <w:rFonts w:ascii="Times New Roman" w:hAnsi="Times New Roman" w:cs="Times New Roman"/>
          <w:color w:val="000000" w:themeColor="text1"/>
        </w:rPr>
        <w:softHyphen/>
        <w:t>ке и результатах заводских испытаний ОКО-6», констатировал: «Запуск в серию до прохождения государственных испытаний считаю нецелесообразным».</w:t>
      </w:r>
    </w:p>
    <w:p w14:paraId="0BEC32F5"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r w:rsidRPr="00A3026E">
        <w:rPr>
          <w:rStyle w:val="8"/>
          <w:rFonts w:ascii="Times New Roman" w:hAnsi="Times New Roman" w:cs="Times New Roman"/>
          <w:i w:val="0"/>
          <w:color w:val="000000" w:themeColor="text1"/>
        </w:rPr>
        <w:t>Почти одновременно, 1 октября нарком авиапрома А.И. Шахурин направил Вороши</w:t>
      </w:r>
      <w:r w:rsidRPr="00A3026E">
        <w:rPr>
          <w:rStyle w:val="8"/>
          <w:rFonts w:ascii="Times New Roman" w:hAnsi="Times New Roman" w:cs="Times New Roman"/>
          <w:i w:val="0"/>
          <w:color w:val="000000" w:themeColor="text1"/>
        </w:rPr>
        <w:softHyphen/>
        <w:t>лову докладную записку, в которой также снимал вопрос о постановке серийного производства самолета ОКО-6 до про</w:t>
      </w:r>
      <w:r w:rsidRPr="00A3026E">
        <w:rPr>
          <w:rStyle w:val="8"/>
          <w:rFonts w:ascii="Times New Roman" w:hAnsi="Times New Roman" w:cs="Times New Roman"/>
          <w:i w:val="0"/>
          <w:color w:val="000000" w:themeColor="text1"/>
        </w:rPr>
        <w:softHyphen/>
        <w:t xml:space="preserve">ведения государственных испытаний: </w:t>
      </w:r>
      <w:r w:rsidRPr="00A3026E">
        <w:rPr>
          <w:rFonts w:ascii="Times New Roman" w:hAnsi="Times New Roman" w:cs="Times New Roman"/>
          <w:color w:val="000000" w:themeColor="text1"/>
        </w:rPr>
        <w:t>«Конструктивные изменения самолета ОКО-6, произведенные на 1-м экземпляре машины, улучшения устойчивости не дали. Поэтому вопрос о внедрении ОКО-6 в серию отпадает до получения результатов испытаний модифицированного дублера этого самолета, в ближайшие дни выходя</w:t>
      </w:r>
      <w:r w:rsidRPr="00A3026E">
        <w:rPr>
          <w:rFonts w:ascii="Times New Roman" w:hAnsi="Times New Roman" w:cs="Times New Roman"/>
          <w:color w:val="000000" w:themeColor="text1"/>
        </w:rPr>
        <w:softHyphen/>
        <w:t>щего на аэродром» (12614).</w:t>
      </w:r>
    </w:p>
    <w:p w14:paraId="7F6B8C4F"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p>
    <w:p w14:paraId="5BF2B2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г. по приказу НКАП № 465сс в соответствии с пост. СНК № 667 от 5.05.1940 г. на базе завода № 4 им. Каракозова, переданного из ЦС Осоавиахима, а также корпуса завода «Лентекстильмаш» (переданного из НКОМ по приказу № 551сс/261сс от 15.10 1940 г.) был образован ГС завод № 387 в системе 1ГУ НКАП (ГС Завод № 387 НКАП, МАП, МСХМ, п/я 634, Казанский вертолетный завод, Казанское вертолетное ПО им. 60-летия СССР, ОАО «Казанский вертолетный завод» (КВЗ) ФАП /г. Ленинград;  г. Казань/ /Татарстан 420085  г. Казань ул. ТЭЦевская, 14 тел. 71-81-81/ /Московское представительство:  г. Москва 1-я Рыбинская ул., 13 тел. 207-51-46/). Началась организация производства У-2. План производства на 1941 г.: 1300 У-2 и 200 С-2 (санитарный вариант У-2).</w:t>
      </w:r>
    </w:p>
    <w:p w14:paraId="08B4DA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СНК № 1842-830 от 9.07.1941 г. завод № 387 в 07-08.1941 г. эвакуирован в Казань на площадку завода № 169 НКАП ИГУ. Здесь по приказу № 858сс от 15.08.1941 г. образован единый завод № 387 НКАП в системе 1ГУ.</w:t>
      </w:r>
    </w:p>
    <w:p w14:paraId="1D2CF3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Ленинграде на площадке эвакуированного завода № 387 (и на площадке завода № 47) производился ремонт танков. В 05.1944 г. этих территориях организованы заводы № 273 НКАП и № 287 НКАП.</w:t>
      </w:r>
    </w:p>
    <w:p w14:paraId="6090BA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1944 г. завод располагался на четырех площадках в Казани. Выпускал самолеты У-2, нервюры для ЛаГГ-3.</w:t>
      </w:r>
    </w:p>
    <w:p w14:paraId="2B5A92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войны авиапроизводство значительно сократилось. С середины 1947 г. снят с плана По-2, в 1947- 51 г. на заводе производились комбайны. В соответствии с пост. СМ № 2118-814с от 25.05.1949 г. и приказом № 414с от 2.06.1949 г. завод № 387 11ГУ МАП с 1.01.1949 г. передан из МАП в МСХМ. Имел наименование «п/я 634» (1949- 66 г.).</w:t>
      </w:r>
    </w:p>
    <w:p w14:paraId="4CAA7E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1950 г. началось возобновление авиапроизводства. Планировался выпуск Як-12. Однако в 10.1950 г. было принято решение о развертывании работ по освоению производства вертолетов Ми-1. С этого времени завод неразрывно связан с маркой «Ми». Более 30 лет строится Ми-8 и его модификации. Около трети выпускаемой продукции завода шла на экспорт почти в 60 стран мира.</w:t>
      </w:r>
    </w:p>
    <w:p w14:paraId="43CEF2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СМ СССР № 713-342 от 26.06.1957 г. передан в ведение СНХ РСФСР.</w:t>
      </w:r>
    </w:p>
    <w:p w14:paraId="7544D5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1966 г. завод № 387 переименован в Казанский вертолетный завод, с 1979 г.- Казанское вертолетное ПО, с 1993 г.- АООТ, а с 1996 г.- ОАО «КВЗ». По решению правительства № 22-р от 9.01.2004 г. вошло в перечень стратегических предприятий.</w:t>
      </w:r>
    </w:p>
    <w:p w14:paraId="6CD179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12.2004 г. КВЗ вошел во вновь образованную Корпорацию «Вертолеты Миля».</w:t>
      </w:r>
    </w:p>
    <w:p w14:paraId="3B3BF2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Имел филиалы (2002 г.): Тетюшский механический завод, ЗАО «Заречье», ЗАО «Авиаремсервис», ЗАО «Эрдас»; СП «Хелико».</w:t>
      </w:r>
    </w:p>
    <w:p w14:paraId="05D566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1951 по 2003 г. завод выпустил более 10 тыс. вертолетов, в т.ч. более 7500 - семейства Ми-8/Ми-17.</w:t>
      </w:r>
    </w:p>
    <w:p w14:paraId="66D708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(2004-05 г.): производство модификаций Ми-17; подготовка к производству Ми-38, Ми-52, «Ансат»; доработка и ремонт Ми-8МТВ-3, -5, Ми-172.</w:t>
      </w:r>
    </w:p>
    <w:p w14:paraId="626DA1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(1.07.2003 г.)- 7619 чел.</w:t>
      </w:r>
    </w:p>
    <w:p w14:paraId="22C8D4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(1937-45 г.)- И.В. Федин, (1945-48 г.)- М.П. Семенов, (1948-61 г.)- В.П. Максимов, (1961-75 г.)- Ф.С. Аристов, (1975-83 г.)- В.Е. Бивойно. Гендиректор (1984-89; 1990-2007 г.)- А.П. Лаврентьев, (05.2007-08 г.-&gt; В. Лигай.</w:t>
      </w:r>
    </w:p>
    <w:p w14:paraId="0D7DDB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(1941 г.-)- И.М. Шпаков. Зам. гендиректора: по маркетингу и сбыту (2008 г.)- В.А. Пашко; по ВЭС (-10.2004-07 Г.-)- В.А. Пашко.</w:t>
      </w:r>
    </w:p>
    <w:p w14:paraId="30686E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коммерческий (-2007 г.)- В. Лигай; по маркетингу (2003 г.)- В. Пашко.</w:t>
      </w:r>
    </w:p>
    <w:p w14:paraId="316E72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отделов: КО- С.А. Бемов; А.П. Лаврентьев.</w:t>
      </w:r>
    </w:p>
    <w:p w14:paraId="7524D6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начальника отдела: А.П. Лаврентьев.</w:t>
      </w:r>
    </w:p>
    <w:p w14:paraId="21470D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Ведущие инженеры: (-26.10.2008 г.)- М. Иванков (погиб).</w:t>
      </w:r>
    </w:p>
    <w:p w14:paraId="3DD714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Летчики-испытатели: (-26.10.2008 г.)- П. Чумаков (погиб).</w:t>
      </w:r>
    </w:p>
    <w:p w14:paraId="7F4C7C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самолет У-2 (1940-47)-11453; вертолеты: Ми-1 (1952-), Ми-4 (1954-), Ми-8 (1965-2002-), Ми- 14 (1973-86(92))-273, Ми-17 (1989-2004-), Ми-38 (2004), «Ансат» (2004-), «Актай» (2004); нервюры для ЛаГГ-3 (ВОВ); самоходный комбайн С-4 (1947-51).</w:t>
      </w:r>
      <w:r w:rsidRPr="00A3026E">
        <w:rPr>
          <w:rFonts w:ascii="Times New Roman" w:hAnsi="Times New Roman"/>
          <w:color w:val="000000" w:themeColor="text1"/>
          <w:sz w:val="16"/>
          <w:szCs w:val="16"/>
          <w:vertAlign w:val="superscript"/>
        </w:rPr>
        <w:t>101</w:t>
      </w:r>
    </w:p>
    <w:p w14:paraId="3460B2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Чугунолитейный и механический завод «</w:t>
      </w:r>
      <w:r w:rsidRPr="00A3026E">
        <w:rPr>
          <w:rFonts w:ascii="Times New Roman" w:hAnsi="Times New Roman"/>
          <w:color w:val="000000" w:themeColor="text1"/>
          <w:sz w:val="16"/>
          <w:szCs w:val="16"/>
          <w:lang w:val="en-US"/>
        </w:rPr>
        <w:t>P</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P</w:t>
      </w:r>
      <w:r w:rsidRPr="00A3026E">
        <w:rPr>
          <w:rFonts w:ascii="Times New Roman" w:hAnsi="Times New Roman"/>
          <w:color w:val="000000" w:themeColor="text1"/>
          <w:sz w:val="16"/>
          <w:szCs w:val="16"/>
        </w:rPr>
        <w:t>. Озолинг и наследники», 2-й ремонтно- механический и литейный завод им. Коппа, Механический завод № 7, Механический завод № 8 ВСНХ, Ленинградский государственный завод текстильных машин «Лентекстильмаш» НКТП, НКОМ /г. Санкт-Петербург,  г. Петроград,  г. Ленинград/</w:t>
      </w:r>
    </w:p>
    <w:p w14:paraId="7C9BEB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1862 г. за Московской заставой основан чугунолитейный завод. С 1865 г. он назывался чугунолитейный и механический завод «</w:t>
      </w:r>
      <w:r w:rsidRPr="00A3026E">
        <w:rPr>
          <w:rFonts w:ascii="Times New Roman" w:hAnsi="Times New Roman"/>
          <w:color w:val="000000" w:themeColor="text1"/>
          <w:sz w:val="16"/>
          <w:szCs w:val="16"/>
          <w:lang w:val="en-US"/>
        </w:rPr>
        <w:t>P</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P</w:t>
      </w:r>
      <w:r w:rsidRPr="00A3026E">
        <w:rPr>
          <w:rFonts w:ascii="Times New Roman" w:hAnsi="Times New Roman"/>
          <w:color w:val="000000" w:themeColor="text1"/>
          <w:sz w:val="16"/>
          <w:szCs w:val="16"/>
        </w:rPr>
        <w:t>. Озолинг и наследники».</w:t>
      </w:r>
    </w:p>
    <w:p w14:paraId="049EBA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1919 г. он национализирован, получил название 2-й ремонтно-механический и литейный завод им. Коппа и был законсервирован. В 10.1926 г. завод восстановлен. В 1930 г. переименован в механический завод № 7, в 1931 г. - в № 8 в ведении Всесоюзного треста текстильного машиностроения ВСНХ. С 1934 г. - в ведении ГУ текстильного машиностроения НКТП, с 1939 г. - НКОМ. 22.11.1937 г. передан в распоряжение ленинградского текстильного центра и переименован в Ленинградский государственный завод текстильных машин «Лентекстильмаш».</w:t>
      </w:r>
    </w:p>
    <w:p w14:paraId="586565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ЭКОСО при СНК № 684-142сс от 23.09.1938 г. по пр. НКОП № 395сс от 8.10.1938 г. на завод с завода № 7 ЗГУ с 01.1939 г. передано производство хлопчатобумажных ленточных текстильных машин.</w:t>
      </w:r>
    </w:p>
    <w:p w14:paraId="44F728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551сс/261сс от 15.10 1940 г. корпус завода «Лентекстильмаш» НКОМ был передан НКАП в состав вновь созданного завода № 387.</w:t>
      </w:r>
    </w:p>
    <w:p w14:paraId="58D2C3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08.1941 г. завод эвакуирован в Казань, где и остался.</w:t>
      </w:r>
    </w:p>
    <w:p w14:paraId="2895A8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1944 г. на старой площадке завода в Ленинграде образован завод № 287 НКАП.</w:t>
      </w:r>
      <w:r w:rsidRPr="00A3026E">
        <w:rPr>
          <w:rFonts w:ascii="Times New Roman" w:hAnsi="Times New Roman"/>
          <w:color w:val="000000" w:themeColor="text1"/>
          <w:sz w:val="16"/>
          <w:szCs w:val="16"/>
          <w:vertAlign w:val="superscript"/>
        </w:rPr>
        <w:t>131</w:t>
      </w:r>
    </w:p>
    <w:p w14:paraId="10700C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ОКБ-387 МАП, Филиал завода № 329 МАП, ГКАТ, Казанский филиал МВЗ им. Миля, «Казанское научно-производственное предприятие (КНПП) «Вертолеты «Ми», ОАО «Казанское НПП «Вертолеты Ми» /Татарстан 420085  г. Казань ул. ТЭЦевская тел. 54-54-74/</w:t>
      </w:r>
    </w:p>
    <w:p w14:paraId="35ADBD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ВОВ при заводе № 387 действовало Серийное КБ по сопровождению выпуска По-2, Начальником/ гл. конструктором СКВ был  Г.И. Бакшаев. По приказу № 643с от 5.11.1944 г. Бакшаев назначен ответственным конструктором по По-2 и его модификациям.</w:t>
      </w:r>
    </w:p>
    <w:p w14:paraId="65485E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модификациям По-2, созданы: подкрыльевая кассета АКК-1-100, гермокабина, бомбодержатель, установка ШКАС для По-2.</w:t>
      </w:r>
    </w:p>
    <w:p w14:paraId="244B25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СМ № 1145-471сс от 31.05.1946 г. и приказом № 499с от 30.07.1946 г. для работ по десантным планерам, мотопланерам и модификациям По-2 при заводе создано ОКБ-387 7ГУ МАП. Гл. конструктор-  Г.И. Бакшаев.</w:t>
      </w:r>
    </w:p>
    <w:p w14:paraId="71F14B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1948 г. построен опытный десантно-транспортный планер Т-1. В 1948 г. планировалось закрыть ОКБ, а личный состав передать заводу № 387, затем было решение ликвидировать ОКБ с 1.01.1950 г. и передать его заводу № 22.</w:t>
      </w:r>
    </w:p>
    <w:p w14:paraId="50E90A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1952 г. при заводе был образован филиал № 1 московского завода № 329 МАП для отработки документации и сопровождения серийного выпуска вертолетов. Возглавил филиал  Г.И. Бакшаев.</w:t>
      </w:r>
    </w:p>
    <w:p w14:paraId="174369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Кроме работ по вертолетам на заводе № 387 и в филиале велись работы по мишеням. Созданы мишени: ПМ-3 (планер-мишень, 1953-54г г.), ПМ-ЗЖ (для буксировки за МиГ-17), МПЖ-Ш (мишень полужесткая), создана лебедка БЛТ-5 для буксировки мишеней-полотнищ за Ил-28, пикирующая мишень ПМ-6 для Ил-28 (госиспытания в 1958 г.), полужесткие мишени </w:t>
      </w:r>
      <w:r w:rsidRPr="00A3026E">
        <w:rPr>
          <w:rFonts w:ascii="Times New Roman" w:hAnsi="Times New Roman"/>
          <w:color w:val="000000" w:themeColor="text1"/>
          <w:sz w:val="16"/>
          <w:szCs w:val="16"/>
          <w:lang w:val="en-US"/>
        </w:rPr>
        <w:t>Ml</w:t>
      </w:r>
      <w:r w:rsidRPr="00A3026E">
        <w:rPr>
          <w:rFonts w:ascii="Times New Roman" w:hAnsi="Times New Roman"/>
          <w:color w:val="000000" w:themeColor="text1"/>
          <w:sz w:val="16"/>
          <w:szCs w:val="16"/>
        </w:rPr>
        <w:t xml:space="preserve"> 12М и </w:t>
      </w:r>
      <w:r w:rsidRPr="00A3026E">
        <w:rPr>
          <w:rFonts w:ascii="Times New Roman" w:hAnsi="Times New Roman"/>
          <w:color w:val="000000" w:themeColor="text1"/>
          <w:sz w:val="16"/>
          <w:szCs w:val="16"/>
          <w:lang w:val="en-US"/>
        </w:rPr>
        <w:t>Mill</w:t>
      </w:r>
      <w:r w:rsidRPr="00A3026E">
        <w:rPr>
          <w:rFonts w:ascii="Times New Roman" w:hAnsi="Times New Roman"/>
          <w:color w:val="000000" w:themeColor="text1"/>
          <w:sz w:val="16"/>
          <w:szCs w:val="16"/>
        </w:rPr>
        <w:t xml:space="preserve"> для Ил-28 (госиспытания в 1960 г.).</w:t>
      </w:r>
    </w:p>
    <w:p w14:paraId="102D47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Затем филиал вновь получил самостоятельность как ОКБ-387. С 20.04.1992(4)г,- ОАО «КНПП «Вертолеты «Ми». По решению правительства № 22-р от 9.01.2004 г. вошло в перечень стратегических предприятий.</w:t>
      </w:r>
    </w:p>
    <w:p w14:paraId="341582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модернизации, переоборудованию вертолетов. Имеет в своем составе КБ и производственную базу.</w:t>
      </w:r>
    </w:p>
    <w:p w14:paraId="383F62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(2002 г.)- 575 чел.</w:t>
      </w:r>
    </w:p>
    <w:p w14:paraId="72B84F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(1946 г.-)-  Г.И. Бакшаев,  Г.К. Ахмадеев.</w:t>
      </w:r>
    </w:p>
    <w:p w14:paraId="23DFE8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Гендиректор (1990-е  г.)- В.А. Самойлов, (-2002-04 г.-)- А.А. Талов (основной владелец предприятия).</w:t>
      </w:r>
    </w:p>
    <w:p w14:paraId="5FE1C5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гендиректора (2003 г.)- А. Хикматулин.</w:t>
      </w:r>
      <w:r w:rsidRPr="00A3026E">
        <w:rPr>
          <w:rFonts w:ascii="Times New Roman" w:hAnsi="Times New Roman"/>
          <w:color w:val="000000" w:themeColor="text1"/>
          <w:sz w:val="16"/>
          <w:szCs w:val="16"/>
          <w:vertAlign w:val="superscript"/>
        </w:rPr>
        <w:t>ъ</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vertAlign w:val="superscript"/>
        </w:rPr>
        <w:t>17 04,03</w:t>
      </w:r>
      <w:r w:rsidRPr="00A3026E">
        <w:rPr>
          <w:rFonts w:ascii="Times New Roman" w:hAnsi="Times New Roman"/>
          <w:color w:val="000000" w:themeColor="text1"/>
          <w:sz w:val="16"/>
          <w:szCs w:val="16"/>
        </w:rPr>
        <w:t xml:space="preserve"> Коммерческий директор (2002 г.)- А.А. Исхаков.</w:t>
      </w:r>
    </w:p>
    <w:p w14:paraId="7356FC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летно-испытательной базы (2002 г.)-  Г.И. Волынец.</w:t>
      </w:r>
      <w:r w:rsidRPr="00A3026E">
        <w:rPr>
          <w:rFonts w:ascii="Times New Roman" w:hAnsi="Times New Roman"/>
          <w:color w:val="000000" w:themeColor="text1"/>
          <w:sz w:val="16"/>
          <w:szCs w:val="16"/>
          <w:vertAlign w:val="superscript"/>
        </w:rPr>
        <w:t>69</w:t>
      </w:r>
    </w:p>
    <w:p w14:paraId="6B299B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НПП, ЗАО «Кристалл» /Татарстан 420085  г. Казань ул. ТЭЦевская, а/я 9 тел. 49-64-95/ НПП «Кристалл» основано в 1991 г. при КВЗ. С 1999 г.- ЗАО.</w:t>
      </w:r>
    </w:p>
    <w:p w14:paraId="362D04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Переоборудование Ми-8, Ми-172 в салоны по индивидуальным требованиям. Производство электроустановки УАЭ-002 и гидростенда ПКИС 9977.000 для наземного обслуживания вертолетов (2002 г.).</w:t>
      </w:r>
    </w:p>
    <w:p w14:paraId="7824D5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(2002 г.)- К.В. Илятов.</w:t>
      </w:r>
      <w:r w:rsidRPr="00A3026E">
        <w:rPr>
          <w:rFonts w:ascii="Times New Roman" w:hAnsi="Times New Roman"/>
          <w:color w:val="000000" w:themeColor="text1"/>
          <w:sz w:val="16"/>
          <w:szCs w:val="16"/>
          <w:vertAlign w:val="superscript"/>
        </w:rPr>
        <w:t>69</w:t>
      </w:r>
    </w:p>
    <w:p w14:paraId="382E7B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КБ КВЗ</w:t>
      </w:r>
    </w:p>
    <w:p w14:paraId="6A3DDD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Создано в 1993 г. для разработки легкого многоцелевого вертолета «Ансат».</w:t>
      </w:r>
    </w:p>
    <w:p w14:paraId="626429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(2006 г.)- 250 чел.</w:t>
      </w:r>
    </w:p>
    <w:p w14:paraId="379A5A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Создано:</w:t>
      </w:r>
      <w:r w:rsidRPr="00A3026E">
        <w:rPr>
          <w:rFonts w:ascii="Times New Roman" w:hAnsi="Times New Roman"/>
          <w:color w:val="000000" w:themeColor="text1"/>
          <w:sz w:val="16"/>
          <w:szCs w:val="16"/>
        </w:rPr>
        <w:t xml:space="preserve"> легкие вертолеты «Ансат», «Актай».</w:t>
      </w:r>
    </w:p>
    <w:p w14:paraId="37903D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ЗАО «Заречье» /Татарстан 420085  г. Казань ул. ТЭЦевская, 10 тел. 43-01-33/</w:t>
      </w:r>
    </w:p>
    <w:p w14:paraId="33A530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Дочернее предприятие КВЗ (2002 г.).</w:t>
      </w:r>
    </w:p>
    <w:p w14:paraId="6339D2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Работы (2002 г.): разработка и производство опытных образцов современных средств наземного обслуживания </w:t>
      </w:r>
      <w:r w:rsidRPr="00A3026E">
        <w:rPr>
          <w:rFonts w:ascii="Times New Roman" w:hAnsi="Times New Roman"/>
          <w:color w:val="000000" w:themeColor="text1"/>
          <w:sz w:val="16"/>
          <w:szCs w:val="16"/>
          <w:lang w:val="en-US"/>
        </w:rPr>
        <w:t>AT</w:t>
      </w:r>
      <w:r w:rsidRPr="00A3026E">
        <w:rPr>
          <w:rFonts w:ascii="Times New Roman" w:hAnsi="Times New Roman"/>
          <w:color w:val="000000" w:themeColor="text1"/>
          <w:sz w:val="16"/>
          <w:szCs w:val="16"/>
        </w:rPr>
        <w:t>; производство запчпстей для Ми-8, Ми-17.</w:t>
      </w:r>
    </w:p>
    <w:p w14:paraId="3C5080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Гендиректор (2002 г.)- </w:t>
      </w:r>
      <w:r w:rsidRPr="00A3026E">
        <w:rPr>
          <w:rFonts w:ascii="Times New Roman" w:hAnsi="Times New Roman"/>
          <w:color w:val="000000" w:themeColor="text1"/>
          <w:sz w:val="16"/>
          <w:szCs w:val="16"/>
          <w:lang w:val="en-US"/>
        </w:rPr>
        <w:t>JI</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B</w:t>
      </w:r>
      <w:r w:rsidRPr="00A3026E">
        <w:rPr>
          <w:rFonts w:ascii="Times New Roman" w:hAnsi="Times New Roman"/>
          <w:color w:val="000000" w:themeColor="text1"/>
          <w:sz w:val="16"/>
          <w:szCs w:val="16"/>
        </w:rPr>
        <w:t>. Локай.</w:t>
      </w:r>
    </w:p>
    <w:p w14:paraId="775368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полноповоротный гидрокран СПК-3 для монтажа НВ, двигателей Ми-8; установка УПЭД для промывки газодинамического тракта ТВЗ-117, установка УЗА-1 для воздушного запуска ТВЗ-117; ультразвуковой комплекс УПФ-1 для промывки фильтров; установка УЗФ-1 для зарядки огнетушителей; установка УКН-1 для наземного кондиционирования кабин; гидротележки, насосные станции для наземной отработки гидросистем; медоборудование для летающих госпиталей.</w:t>
      </w:r>
      <w:r w:rsidRPr="00A3026E">
        <w:rPr>
          <w:rFonts w:ascii="Times New Roman" w:hAnsi="Times New Roman"/>
          <w:color w:val="000000" w:themeColor="text1"/>
          <w:sz w:val="16"/>
          <w:szCs w:val="16"/>
          <w:vertAlign w:val="superscript"/>
        </w:rPr>
        <w:t>69</w:t>
      </w:r>
    </w:p>
    <w:p w14:paraId="55DE56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ООО «СП «Хелико» /Татарстан 420085  г. Казань ул. ТЭЦевская, 10 тел. 43-07-23/</w:t>
      </w:r>
    </w:p>
    <w:p w14:paraId="4DABC9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Создано в 1993 г.</w:t>
      </w:r>
    </w:p>
    <w:p w14:paraId="526A72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Разработка (2002 г.): медицинские комплексы «Летающий госпиталь» на базе Ми-8МТВ-1, Ми-17-1В, «Ансат» (11982).</w:t>
      </w:r>
    </w:p>
    <w:p w14:paraId="58BC4F32" w14:textId="77777777" w:rsidR="00310A8C" w:rsidRPr="00A3026E" w:rsidRDefault="00310A8C" w:rsidP="00A3026E">
      <w:pPr>
        <w:spacing w:after="0" w:line="240" w:lineRule="auto"/>
        <w:jc w:val="both"/>
        <w:rPr>
          <w:rFonts w:ascii="Times New Roman" w:hAnsi="Times New Roman"/>
          <w:color w:val="000000" w:themeColor="text1"/>
          <w:sz w:val="16"/>
          <w:szCs w:val="16"/>
        </w:rPr>
      </w:pPr>
    </w:p>
    <w:p w14:paraId="4B3720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4 сентября 1940 года было закончено составление отчета и отработаны выводы и заключение по гос. испытанию АМ-35А, которые проходили с 16 июля по 28 августа 1940. После этого два раза (с 5 по 12 сентября и с 13 по 19 сентября) завод N 24 пытался доказать комиссии, что основные дефекты мотора (недостаточная высотность масляной помпы и разрушение задней опоры валика крыльчатки нагнетателя) им полностью устранены (3448,172).</w:t>
      </w:r>
    </w:p>
    <w:p w14:paraId="1CECB1A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6878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в ходе гос. испытаний И-200 АМ-35А, которые проходили в НИИ ВВС с 19 августа по 12 сентября 1940, на машине N 6302 было выполнено 16 полетов (2:30), включая 14 на взлетно-посадочные свойства, один контрольный и один на скороподъемность. Потек радиатор - меняли, а на машине 6303 выполнили 6 полетов на стрельбу из БС и ШКАС по наземным целям и на растряску бомб (1:30) (2925).</w:t>
      </w:r>
    </w:p>
    <w:p w14:paraId="25D2C53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1E4D3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4 сентября по 17 октября 1940 проходили летные 50 часовые испытания АМ-35А на И-200 (841).</w:t>
      </w:r>
    </w:p>
    <w:p w14:paraId="628568E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15D7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4 сентября по 17 октября 1940 проходили 50 часовые летные испытаниях АМ-35А на И-200.</w:t>
      </w:r>
    </w:p>
    <w:p w14:paraId="680B9A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Нач. НИИ ВВС А.И.Филин утвердил Отчет о летных 50 часовых летных испытаниях АМ-35А на И-200</w:t>
      </w:r>
    </w:p>
    <w:p w14:paraId="2029F3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 м А.А.Автономов</w:t>
      </w:r>
    </w:p>
    <w:p w14:paraId="047421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стл И.М.Савченко</w:t>
      </w:r>
    </w:p>
    <w:p w14:paraId="76383C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 Н.М.Милославский</w:t>
      </w:r>
    </w:p>
    <w:p w14:paraId="66637A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вт2р Чернибыл</w:t>
      </w:r>
    </w:p>
    <w:p w14:paraId="11534C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 вт1р Ф.Щукин</w:t>
      </w:r>
    </w:p>
    <w:p w14:paraId="43A49B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Заключение:</w:t>
      </w:r>
    </w:p>
    <w:p w14:paraId="1CF5B9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Мотор АМ-35А № 7 специальные 50-часовые летные испытания в НИИ ВВС КА из-за аварии нагнетателя не прошел.</w:t>
      </w:r>
    </w:p>
    <w:p w14:paraId="19D3B8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Просить Нач. 8 ГУ НКАП не позднее 1 января 1941 предъявить в НИИ ВВС мотор АМ-35А с измененным нагнетателем на с-те И-2000 на повторные специальные 50-часовые летные испытания</w:t>
      </w:r>
    </w:p>
    <w:p w14:paraId="6A4CE5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Подписали: Левин, Сидорин 20 октября 1940</w:t>
      </w:r>
    </w:p>
    <w:p w14:paraId="230462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7A5231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24 часу работы в воздухе произошла авария нагнетателя - разрушилась опора валика крыльчатки нагнетателя:</w:t>
      </w:r>
    </w:p>
    <w:p w14:paraId="3E3914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маслосистема с-та И-200 не обеспечивает нормальной подачи масла в мотор при обратной перегрузке (вход в пикирование с лета)</w:t>
      </w:r>
    </w:p>
    <w:p w14:paraId="2ED877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водорадиатор с трубкой диаметром 8 мм работает ненадежно, потек</w:t>
      </w:r>
    </w:p>
    <w:p w14:paraId="417D44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винт не сохраняет обороты в горизонтальном полете на высоте 7000 м и дает раскрутку на пикировании с газом и без газа</w:t>
      </w:r>
    </w:p>
    <w:p w14:paraId="7DBF32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редукция для с-та не подобрана (надо 0,92 изменить на более низкую). Следует испытать с-т с редукцией 0,732 (841).</w:t>
      </w:r>
    </w:p>
    <w:p w14:paraId="2AFB7A5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C9044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г. по приказу № 464с/206с завод (ГС Завод № 384 НКАП, Уфимский моторный завод НКСМ /г. Уфа/) передан из НКСМ в ЗГУ НКАП и получил наименование ГС Завод № 384. В том же году введен в эксплуатацию по новому профилю. Для освоения новой продукции с завода № 26 направлена группа специалистов во главе с гл. технологом А.Т. Кладовщиковым. В 1941 г. освоено производство М-105Р и М-105П, до начала войны выпущено 675 моторов.</w:t>
      </w:r>
    </w:p>
    <w:p w14:paraId="159448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1941 г. в  г.Уфу на площадку завода № 384 НКАП эвакуированно ОКБ завода № 26 </w:t>
      </w:r>
      <w:r w:rsidRPr="00A3026E">
        <w:rPr>
          <w:rFonts w:ascii="Times New Roman" w:hAnsi="Times New Roman"/>
          <w:color w:val="000000" w:themeColor="text1"/>
          <w:sz w:val="16"/>
          <w:szCs w:val="16"/>
          <w:lang w:val="en-US"/>
        </w:rPr>
        <w:t>HKA</w:t>
      </w:r>
      <w:r w:rsidRPr="00A3026E">
        <w:rPr>
          <w:rFonts w:ascii="Times New Roman" w:hAnsi="Times New Roman"/>
          <w:color w:val="000000" w:themeColor="text1"/>
          <w:sz w:val="16"/>
          <w:szCs w:val="16"/>
        </w:rPr>
        <w:t>П гл. конструктора В .Я. Климова. Работы по авиамоторам М-100, М-101, М-103, М-105Ф, ВК-105, М-106, М-107, ВК-107, М-120.</w:t>
      </w:r>
    </w:p>
    <w:p w14:paraId="74AEC5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приказам № 652сс от 9.07.1941 г. и № 729сс от 22.07.1941 г. на площадку завода № 384 эвакуированы из Ленинграда заводы № 234 и № 451 НКАП. Далее по приказу № 824сс от 8.08.1941 г. заводы № 234, № 451, № 338 и № 384 со всем оборудованием и личным составом объединены в один завод, получивший название завод № 384 ЗГУ НКАП. В конце 1941 г. выпускались детали корпусов для снарядов М-8 и М-13.</w:t>
      </w:r>
    </w:p>
    <w:p w14:paraId="6FD989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Затем на площадку завода № 384 эвакуирован завод № 26 НКАП с опытным производством. Далее заводы № 26, № 384 и № 282 НКАП были слиты в единый завод № 26 НКАП, расположившийся на площадках заводов № 384, №338 и №282.</w:t>
      </w:r>
    </w:p>
    <w:p w14:paraId="078CDE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началом ВОВ на площадку завода № 384 НКАП эвакуировано ОКБ завода № 16 НКАП (приказ № 1057сс от 10.10.1941 г.). Здесь на базе ОКБ и его опытного производства (эвакуированного по приказу № 1053сс от 9.10.1941 г. на площадку протезного завода) к 11.1941 г. образовано самостоятельное ОКБ-250 НКАП под руководством В.А. Добрынина. Кроме того, в 1941 г. в Уфу на площадку завода № 384 должен был быть эвакуирован завод № 291 НКАП (эвакуирован на площадку Завода горного оборудования) и влит в его состав. Также по приказу № 1053сс от 9.10.1941 г. на площадку литейного цеха завода № 384 должно было эвакуироваться оборудование и личный состав завода № 219 9ГУ НКАП (эвакуирован частично, часть- на площадку завода № 338). На площадку завода № 384 эвакуированы также Опытный завод и производственные лаборатории ЦИАТИМ НКАП и стройтрест № 11 НКАП.</w:t>
      </w:r>
    </w:p>
    <w:p w14:paraId="424498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(10.1940-08.1941 г.)-  Г.Д. Брусникин, (08.1941 г.-&gt; В.П. Баландин (11982).</w:t>
      </w:r>
    </w:p>
    <w:p w14:paraId="5CA9CEE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9731B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г. в системе 1ГУ НКАП на базе Авторемонтного завода Ленсовета по приказу № 466сс был образован Агрегатный завод № 388 для производства агрегатов шасси и установок вооружения для самолетов. В 11.1940 г. передан в 2ГУ.</w:t>
      </w:r>
    </w:p>
    <w:p w14:paraId="4FE974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652с от 9.07.1941 г. завод № 388 эвакуирован в Новосибирск на площадку завода № 153 НКАП и влит в его состав в качестве цеха шасси. Выбыл из списка действующих в 07.1941 г.</w:t>
      </w:r>
    </w:p>
    <w:p w14:paraId="4A2009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И.О. директора (08-12.1940 г.)- А.П. Долгов. Директор (12.1940 г.-)- А.П. Долгов (11982).</w:t>
      </w:r>
    </w:p>
    <w:p w14:paraId="4A2827B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188D1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 сентября 1940 г. зам. начальника вооружения и снабжения ГУ ВВС бригинженер Федоров писал письмо N 508088с секретарю совета по оборонной промышленности при СНК Семичастнову.</w:t>
      </w:r>
    </w:p>
    <w:p w14:paraId="78D542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самолетов "Звена" конструкции Вахмистрова.</w:t>
      </w:r>
    </w:p>
    <w:p w14:paraId="286B58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N 376/соп.</w:t>
      </w:r>
    </w:p>
    <w:p w14:paraId="391F31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Сообщаю, что начальником ВВС генерал-лейтенантом авиации Рычаговым 26 августа с.г. представлен наркому обороны маршалу Тимошенко проект письма в КО при СНК с ходатайством о продолжении работ "звена" конструктора Вахмистрова (3371,28).</w:t>
      </w:r>
    </w:p>
    <w:p w14:paraId="7CC4E3A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85E41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года А. Шахурин писал письмо № Н-20/1871 председателю КО маршалу Ворошилову К.Е.</w:t>
      </w:r>
    </w:p>
    <w:p w14:paraId="42F18E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утверждении в июле 1940 года КО тематического плана научно-исследовательских и опытных работ НИИ-22 на 1940 год сроки и стоимость по некоторым работам были значительно сокращены. При этом не было принято во внимание состояние этих работ и реальные возможности их выполнения. К числу таких работ по НИИ-22 относятся:</w:t>
      </w:r>
    </w:p>
    <w:p w14:paraId="47FF049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Бомбардировочный прицел базисного типа, шифр № 1416. Срок окончания темы утвержден КО ноябрь 1940 года, по представленному нами плану – 1 июля 1941 года. Работ а по данному заказу находится в настоящий момент в стадии эскизного проектирования. Выполнить оставшийся объем (рабочие чертежи, изготовление макета, испытание в лаборатории и в реальных условиях) за три месяца без ущерба для работы не представляется возможным.</w:t>
      </w:r>
    </w:p>
    <w:p w14:paraId="1D60EE3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Тема "Исследование подвесов для гидроскопов самолетного типа", шифр № 1403-В, также не может быть выполнена в установленный КО срок – август 1940 года, так как в настоящее время только изготовляется макет, после чего лишь представится возможным приступить к исследованию разработанного НИИ-22 подвеса, что, в свою очередь, займет не менее 2,5 месяцев.</w:t>
      </w:r>
    </w:p>
    <w:p w14:paraId="2A9EFB5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Тема "Исследование методов выхода на цель", шифр № 1441, не может выполнена, как намечено КО в сентябре 1940 года по причине консервации темы в течение 2,5 месяцев, произведенной в результате предварительного обсуждения плана в КО.</w:t>
      </w:r>
    </w:p>
    <w:p w14:paraId="301CDFC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теме "Телемеханический самолет типа УТ-2" сокращена стоимость работы с 1562 тыс. руб. до 1100 тыс. руб. Между тем, на 1 августа 1940 года при проценте готовности, равном 70%, израсходовано 1050 тыс. руб. Оставшийся объем работы (окончание изготовления, монтаж, регулировка и испытание опытного образца) безусловно не может быть выполнен за сумму, равную 50 тыс. руб.</w:t>
      </w:r>
    </w:p>
    <w:p w14:paraId="5EC248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изложенного, прошу Вас увеличить ассигнования на работу по телемеханическим самолетам с 1100 тыс. руб. до 1562 тыс. руб., а также ассигнования по указанным темам, установив им следующие сроки выполнения:</w:t>
      </w:r>
    </w:p>
    <w:p w14:paraId="5E6494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Бомбардировочный прицел базисного типа, шифр № 1416 – срок выполнения 30 апреля 1941 года</w:t>
      </w:r>
    </w:p>
    <w:p w14:paraId="5399DE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Исследование подвесов для гидроскопов самолетного типа, шифр № 1403-В - срок выполнения 15 ноября 1940 года</w:t>
      </w:r>
    </w:p>
    <w:p w14:paraId="510386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Исследование методов выхода на цель, шифр № 1441 - срок выполнения 31 декабря 1940 года (2425, 48-49).</w:t>
      </w:r>
    </w:p>
    <w:p w14:paraId="0F4513C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8150C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г. в НИП АВ ВВС КА закончились полигонные испытания СБ № 221. вооруженного ракетными осколочными и бронебойными снарядами типа PC-132 и РБС-132, которые проводились с 26 июня. Ракетные орудия РО-132 монтировались под крылом самолета. Стрельба велась с пикирования под углами 45-50гр с дистанции 1500-1700 м. Было установлено, что вероятное круговое отклонение РБС-132 при стрельбе в воздухе примерно в 1,4 раза было меньше, чем при стрельбе PC-132. и не превышало 30 м в боковом направлении (вместо 40 м для PC-132) и 39 м по дальности (вместо 55 м для PC-132).</w:t>
      </w:r>
    </w:p>
    <w:p w14:paraId="0A9F3E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общие положительные результаты стрельб, было принято решение запретить применение РБС-132 для стрельбы с самолета СБ. Дело в том, что при стрельбе РБС-132. как на земле, так и воздухе, от мощной газовой струи деформировались элероны самолета. По этой причине в ходе полигонных стрельб произошло разрушение элерона самолета. Вносить какие-либо изменения в конструкцию установки ракетных орудий под крылом самолета посчитали нецелесообразным (9655).</w:t>
      </w:r>
    </w:p>
    <w:p w14:paraId="1A36BEC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14214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ви2р Фофанов по согласованию с профессором Артакадемии М.Ф.Васильевым подготовил для КОМИТЕТА ОБОРОНЫ при СНК СССР тов. РЕПИНА:</w:t>
      </w:r>
    </w:p>
    <w:p w14:paraId="1F2B09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по предложению тов. ГРОХОВСКОГО.</w:t>
      </w:r>
    </w:p>
    <w:p w14:paraId="511619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Снаряды, предлагаемые тов.ГРОХОВСКИМ, по идее не являются но</w:t>
      </w:r>
      <w:r w:rsidRPr="00A3026E">
        <w:rPr>
          <w:rFonts w:ascii="Times New Roman" w:hAnsi="Times New Roman"/>
          <w:color w:val="000000" w:themeColor="text1"/>
          <w:sz w:val="16"/>
          <w:szCs w:val="16"/>
        </w:rPr>
        <w:softHyphen/>
        <w:t>выми. Подобные снаряды интересовали многих исследователей и изобрета</w:t>
      </w:r>
      <w:r w:rsidRPr="00A3026E">
        <w:rPr>
          <w:rFonts w:ascii="Times New Roman" w:hAnsi="Times New Roman"/>
          <w:color w:val="000000" w:themeColor="text1"/>
          <w:sz w:val="16"/>
          <w:szCs w:val="16"/>
        </w:rPr>
        <w:softHyphen/>
        <w:t>телей. В СССР изучением подобных снарядов занимался, например, извест</w:t>
      </w:r>
      <w:r w:rsidRPr="00A3026E">
        <w:rPr>
          <w:rFonts w:ascii="Times New Roman" w:hAnsi="Times New Roman"/>
          <w:color w:val="000000" w:themeColor="text1"/>
          <w:sz w:val="16"/>
          <w:szCs w:val="16"/>
        </w:rPr>
        <w:softHyphen/>
        <w:t>ный артиллерист В.М.ТРОФИМОВ. Однако,будучи сложными в производстве, такие снаряды при некотором выигрыше в дальности, давали плохую куч</w:t>
      </w:r>
      <w:r w:rsidRPr="00A3026E">
        <w:rPr>
          <w:rFonts w:ascii="Times New Roman" w:hAnsi="Times New Roman"/>
          <w:color w:val="000000" w:themeColor="text1"/>
          <w:sz w:val="16"/>
          <w:szCs w:val="16"/>
        </w:rPr>
        <w:softHyphen/>
        <w:t>ность.</w:t>
      </w:r>
    </w:p>
    <w:p w14:paraId="57D781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тов. ГРОХОВСКОГО представляет собой лишь общую схему, Из материала не видно, как она должна быть конструктивно оформлена, каково назначение снаряда. Без этих конкретных данных вопрос о вы</w:t>
      </w:r>
      <w:r w:rsidRPr="00A3026E">
        <w:rPr>
          <w:rFonts w:ascii="Times New Roman" w:hAnsi="Times New Roman"/>
          <w:color w:val="000000" w:themeColor="text1"/>
          <w:sz w:val="16"/>
          <w:szCs w:val="16"/>
        </w:rPr>
        <w:softHyphen/>
        <w:t>годах такого снаряда решать трудно.</w:t>
      </w:r>
    </w:p>
    <w:p w14:paraId="019812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поводу этой схемы можно сказать следующее:</w:t>
      </w:r>
    </w:p>
    <w:p w14:paraId="41FD90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Конструкция такого снаряда должна быть очень сложной, а сле</w:t>
      </w:r>
      <w:r w:rsidRPr="00A3026E">
        <w:rPr>
          <w:rFonts w:ascii="Times New Roman" w:hAnsi="Times New Roman"/>
          <w:color w:val="000000" w:themeColor="text1"/>
          <w:sz w:val="16"/>
          <w:szCs w:val="16"/>
        </w:rPr>
        <w:softHyphen/>
        <w:t>довательно и изготовление трудным и дорогим.</w:t>
      </w:r>
    </w:p>
    <w:p w14:paraId="378D19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Хотя дальность такого снаряда будет несколько больше, однако, едва ли можно добиться удовлетворительной кучности,благодаря тому, что стабилизацию такого снаряда осуществить трудно.</w:t>
      </w:r>
    </w:p>
    <w:p w14:paraId="3B1049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Форма такого снаряда повлечет за собой уменьшение емкости снаряда и, следовательно, для такого снаряда характерным будет мень</w:t>
      </w:r>
      <w:r w:rsidRPr="00A3026E">
        <w:rPr>
          <w:rFonts w:ascii="Times New Roman" w:hAnsi="Times New Roman"/>
          <w:color w:val="000000" w:themeColor="text1"/>
          <w:sz w:val="16"/>
          <w:szCs w:val="16"/>
        </w:rPr>
        <w:softHyphen/>
        <w:t>ший процент наполнения.</w:t>
      </w:r>
    </w:p>
    <w:p w14:paraId="7AD647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 Поддон будет являться лишним весом, на который придется рас</w:t>
      </w:r>
      <w:r w:rsidRPr="00A3026E">
        <w:rPr>
          <w:rFonts w:ascii="Times New Roman" w:hAnsi="Times New Roman"/>
          <w:color w:val="000000" w:themeColor="text1"/>
          <w:sz w:val="16"/>
          <w:szCs w:val="16"/>
        </w:rPr>
        <w:softHyphen/>
        <w:t>считывать заряд. Кроме того, удлиненная часть снаряда вместе с поддо</w:t>
      </w:r>
      <w:r w:rsidRPr="00A3026E">
        <w:rPr>
          <w:rFonts w:ascii="Times New Roman" w:hAnsi="Times New Roman"/>
          <w:color w:val="000000" w:themeColor="text1"/>
          <w:sz w:val="16"/>
          <w:szCs w:val="16"/>
        </w:rPr>
        <w:softHyphen/>
        <w:t>ном потребует увеличения каморы. Все это вместе повлечет за собой утяжеление орудия.</w:t>
      </w:r>
    </w:p>
    <w:p w14:paraId="097C4F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Усложнится и вопрос эксплоатации и хранения.</w:t>
      </w:r>
    </w:p>
    <w:p w14:paraId="010727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Разрабатывать снаряд в том виде, в каком он предложен автором, в настоящее время считаю нецелееообразным (10616,69).</w:t>
      </w:r>
    </w:p>
    <w:p w14:paraId="0A7228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8996B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би, профессор Пышнов подготовил:</w:t>
      </w:r>
    </w:p>
    <w:p w14:paraId="10C7DE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ОТЗЫВ О ПРЕДЛОЖЕНИЯХ т. ГРОХОВСКОГО, ИМЕЮЩИХ ОТНОШЕНИЕ В АВИАЦИИ.</w:t>
      </w:r>
    </w:p>
    <w:p w14:paraId="5EAB43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Предложения, касающиеся постройки новых самолетов, не заслу</w:t>
      </w:r>
      <w:r w:rsidRPr="00A3026E">
        <w:rPr>
          <w:rFonts w:ascii="Times New Roman" w:hAnsi="Times New Roman"/>
          <w:color w:val="000000" w:themeColor="text1"/>
          <w:sz w:val="16"/>
          <w:szCs w:val="16"/>
        </w:rPr>
        <w:softHyphen/>
        <w:t>живают внимания, так как в принципе не представляют новизны. Преуве</w:t>
      </w:r>
      <w:r w:rsidRPr="00A3026E">
        <w:rPr>
          <w:rFonts w:ascii="Times New Roman" w:hAnsi="Times New Roman"/>
          <w:color w:val="000000" w:themeColor="text1"/>
          <w:sz w:val="16"/>
          <w:szCs w:val="16"/>
        </w:rPr>
        <w:softHyphen/>
        <w:t>личенные данные указывают на недостаточную компетенцию т. Гроховскогс в вопросах самолетостроения:</w:t>
      </w:r>
    </w:p>
    <w:p w14:paraId="6B3BD1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десантный самолет при весе 20 тонн с одним мотором 1400 л.с. летать может, но потребует необычайно большой площадки. Указанная схема - бинлан с близкорасположенными крыльями - аэродинамически невыгодно.</w:t>
      </w:r>
    </w:p>
    <w:p w14:paraId="70E902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Самолет-догонщик. Схема известна, скорость преувеличена.</w:t>
      </w:r>
    </w:p>
    <w:p w14:paraId="361ED6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Самолет-легкий крейсер. Схема - типа Фоккер,скорость 660 км/ч при двух моторах 700 л.с. сильно преувеличена.</w:t>
      </w:r>
    </w:p>
    <w:p w14:paraId="5809C3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Самолет-снаряд. Скорость 800 км/ч сильно преувеличена. Стреловидная схема невыгодна в отношении взлета и посадки.</w:t>
      </w:r>
    </w:p>
    <w:p w14:paraId="098D78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Легкий скоростной крейсер. Скорость сильно преувеличена. Осуществление выреза для винтов в середине крыла аэродинамически не оправдывается, но сильно усложняет конструкцию.</w:t>
      </w:r>
    </w:p>
    <w:p w14:paraId="13634C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Самолет-безхвостка. Цель предлагаемой схемы и ее преимуще</w:t>
      </w:r>
      <w:r w:rsidRPr="00A3026E">
        <w:rPr>
          <w:rFonts w:ascii="Times New Roman" w:hAnsi="Times New Roman"/>
          <w:color w:val="000000" w:themeColor="text1"/>
          <w:sz w:val="16"/>
          <w:szCs w:val="16"/>
        </w:rPr>
        <w:softHyphen/>
        <w:t>ства неясны.</w:t>
      </w:r>
    </w:p>
    <w:p w14:paraId="6385E7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Крыльчатая торпеда не имеет стабилизирующих и направляющих устройств, а потому непригодна.</w:t>
      </w:r>
    </w:p>
    <w:p w14:paraId="2314DE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Предложения: "Троссовая сеть противовоздушной обороны на истребителях” и паутина воздушной обороны имеют ряд возражений. Основновное возражение - экономическое. Целесообразно ли использовать большое количество самолетов для расстановки сетей на парашютах, так как сети сравнительно быстро снизятся. Заграждения, подвешенные на самолетах, сильно снижают качества самолетов, а главное будут сви</w:t>
      </w:r>
      <w:r w:rsidRPr="00A3026E">
        <w:rPr>
          <w:rFonts w:ascii="Times New Roman" w:hAnsi="Times New Roman"/>
          <w:color w:val="000000" w:themeColor="text1"/>
          <w:sz w:val="16"/>
          <w:szCs w:val="16"/>
        </w:rPr>
        <w:softHyphen/>
        <w:t>сать с самолетов слишком отлого и потому занимать малое расстояние по высоте.</w:t>
      </w:r>
    </w:p>
    <w:p w14:paraId="72AFEA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Предложения, относящиеся к парашютным десантам, представляют интерес, хотя не имеют большой новизны по сравнению с работами т. Гроховского и других выполненных несколько лет назад. Эти пред</w:t>
      </w:r>
      <w:r w:rsidRPr="00A3026E">
        <w:rPr>
          <w:rFonts w:ascii="Times New Roman" w:hAnsi="Times New Roman"/>
          <w:color w:val="000000" w:themeColor="text1"/>
          <w:sz w:val="16"/>
          <w:szCs w:val="16"/>
        </w:rPr>
        <w:softHyphen/>
        <w:t>ложения необходимо пересмотреть в свете использования на современ</w:t>
      </w:r>
      <w:r w:rsidRPr="00A3026E">
        <w:rPr>
          <w:rFonts w:ascii="Times New Roman" w:hAnsi="Times New Roman"/>
          <w:color w:val="000000" w:themeColor="text1"/>
          <w:sz w:val="16"/>
          <w:szCs w:val="16"/>
        </w:rPr>
        <w:softHyphen/>
        <w:t>ных самолетах, более скоростных и более чувствительных к наружным надстройкам.</w:t>
      </w:r>
    </w:p>
    <w:p w14:paraId="61CF33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6508F9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Нецелесообразно поручать т. Гроховскому разработку новых самолетов.</w:t>
      </w:r>
    </w:p>
    <w:p w14:paraId="244A00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Опыт работы т. Гроховского с парашютными десантами необхо</w:t>
      </w:r>
      <w:r w:rsidRPr="00A3026E">
        <w:rPr>
          <w:rFonts w:ascii="Times New Roman" w:hAnsi="Times New Roman"/>
          <w:color w:val="000000" w:themeColor="text1"/>
          <w:sz w:val="16"/>
          <w:szCs w:val="16"/>
        </w:rPr>
        <w:softHyphen/>
        <w:t>димо использовать. Для этой цели привлечь т. Гроховского к модерни</w:t>
      </w:r>
      <w:r w:rsidRPr="00A3026E">
        <w:rPr>
          <w:rFonts w:ascii="Times New Roman" w:hAnsi="Times New Roman"/>
          <w:color w:val="000000" w:themeColor="text1"/>
          <w:sz w:val="16"/>
          <w:szCs w:val="16"/>
        </w:rPr>
        <w:softHyphen/>
        <w:t>зации старого и разработке нового снаряжения для парашютных десан</w:t>
      </w:r>
      <w:r w:rsidRPr="00A3026E">
        <w:rPr>
          <w:rFonts w:ascii="Times New Roman" w:hAnsi="Times New Roman"/>
          <w:color w:val="000000" w:themeColor="text1"/>
          <w:sz w:val="16"/>
          <w:szCs w:val="16"/>
        </w:rPr>
        <w:softHyphen/>
        <w:t>тов, руководствуясь указаниями Генерального Штаба РККА (10516,70).</w:t>
      </w:r>
    </w:p>
    <w:p w14:paraId="45F526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8CAFF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ви2р Ларионовым было подготовлено:</w:t>
      </w:r>
    </w:p>
    <w:p w14:paraId="4EBFC0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по военно-морским изобретениям Гроховского</w:t>
      </w:r>
    </w:p>
    <w:p w14:paraId="2D5280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Торпеда, управляемая по проводус трассирующими ракетами отмечающими ее путь.</w:t>
      </w:r>
    </w:p>
    <w:p w14:paraId="51121D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Идея не подкреплена схемой управления и механизмов и поэтом: трудно что-либо сказать по существу конструкции. Метод же управ</w:t>
      </w:r>
      <w:r w:rsidRPr="00A3026E">
        <w:rPr>
          <w:rFonts w:ascii="Times New Roman" w:hAnsi="Times New Roman"/>
          <w:color w:val="000000" w:themeColor="text1"/>
          <w:sz w:val="16"/>
          <w:szCs w:val="16"/>
        </w:rPr>
        <w:softHyphen/>
        <w:t>ления по проводу вызовет ряд отрицательных явлений: потеря скоро</w:t>
      </w:r>
      <w:r w:rsidRPr="00A3026E">
        <w:rPr>
          <w:rFonts w:ascii="Times New Roman" w:hAnsi="Times New Roman"/>
          <w:color w:val="000000" w:themeColor="text1"/>
          <w:sz w:val="16"/>
          <w:szCs w:val="16"/>
        </w:rPr>
        <w:softHyphen/>
        <w:t>сти из-за сопротивления провода и ухудшения обводов торпеды; большая отрицательная плавучесть торпеды, вследствие размещения бухты провода, вызовет или увеличение объема торпеды, или снижение веса заряда. Кроме того, размещение бухты провода выше оси торпеды понизит ее устойчивость при ходе. Отметка пути торпеды выстреливанием ракет демаскирует ее. Кроме того, приспособление для выстреливания ракет будет чертить полосу на поверхности моря,что вообще недопу</w:t>
      </w:r>
      <w:r w:rsidRPr="00A3026E">
        <w:rPr>
          <w:rFonts w:ascii="Times New Roman" w:hAnsi="Times New Roman"/>
          <w:color w:val="000000" w:themeColor="text1"/>
          <w:sz w:val="16"/>
          <w:szCs w:val="16"/>
        </w:rPr>
        <w:softHyphen/>
        <w:t>стимо.</w:t>
      </w:r>
    </w:p>
    <w:p w14:paraId="3EEFD7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Торпеда.управляемая собакой.</w:t>
      </w:r>
    </w:p>
    <w:p w14:paraId="1230FA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Торпеда, сброшенная с самолета, должна итти по поверхности, иначе собака не будет видеть. Кабина собаки будет оставлять хорош видимый след и, вследствие дополнительного сопротивления, торпеда будет иметь меньшую скорость. Противник может уклониться или обстрелять торпеду. Обстрел торпеды, захлестывание волной не могут не сказаться на поведении собаки, а следовательно, и торпеда может не встретиться с целью.</w:t>
      </w:r>
    </w:p>
    <w:p w14:paraId="7BF9BE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 - изготовление таких торпед не имеет смысла.</w:t>
      </w:r>
    </w:p>
    <w:p w14:paraId="37038D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Запита корабля от торпедной атаки при цомогии буксируемой катерами или миноносцами сети.</w:t>
      </w:r>
    </w:p>
    <w:p w14:paraId="1E6811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Буксируемые сети применялись в свое время, когда скорости кораблей были незначительны. В настоящее время скорость крупных военных кораблей достигает значительной величины, и миноносцы (а тем более катера) не смогут удержать строй, так как буксирование сети вызовет очень большое понижение скорости. Буксирование сети вызовет снижение скорости охраняемого корабля и свяжет маневриро</w:t>
      </w:r>
      <w:r w:rsidRPr="00A3026E">
        <w:rPr>
          <w:rFonts w:ascii="Times New Roman" w:hAnsi="Times New Roman"/>
          <w:color w:val="000000" w:themeColor="text1"/>
          <w:sz w:val="16"/>
          <w:szCs w:val="16"/>
        </w:rPr>
        <w:softHyphen/>
        <w:t>вание, тем самым подвергнет корабли еще большей опасности нападе ния надводных кораблей и авиации.</w:t>
      </w:r>
    </w:p>
    <w:p w14:paraId="1976AD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Разработка такой идеи не целесообразна (10516,65).</w:t>
      </w:r>
    </w:p>
    <w:p w14:paraId="78D9F9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D5605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1949 было подписано (вход КО, 8121 от 6 сентября 1940):</w:t>
      </w:r>
    </w:p>
    <w:p w14:paraId="48189B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по предложениям тов. Гроховского</w:t>
      </w:r>
    </w:p>
    <w:p w14:paraId="731EBB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Комиссия в составе тт. Репина (Хоз. Совет по оборонной промышленности), Алексеева (Управление кораблестроения ВМФ), Питерского (Гл. Морской Штаб), Антипина (НКСП), Ларионова (Секретариат КО) и привлеченных тт, г-л Алексеева И.А. (ГУАС КА), би Федорова (ГУАС КА), профессора аэродинамики Пышнова и Нач. Арт. Управления КА Фофанова рассмотрела предложения тов. Гроховского и сделала следующие выводы.:</w:t>
      </w:r>
    </w:p>
    <w:p w14:paraId="7D14B2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Предложенные к разработке и исследованиям идеи тов. Гроховского в значительной своей части не являются новыми и часть аналогичных предложений разрабатывалась и уже осуществлены (приспособления из области парашютно-десантного дела, управляемые торпеды, скоростной катер и др.)</w:t>
      </w:r>
    </w:p>
    <w:p w14:paraId="1E1A44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Часть аналогичных предложений испытывалась ранее и отклонена, как не соответствующая современным требованиям (самолет с качающимися крыльями вместо винта, планирующая торпеда и др.).</w:t>
      </w:r>
    </w:p>
    <w:p w14:paraId="70B141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Часть же предложений содержит только идею, не подкрепленную никакими технологическими расчетами и не увязанную с современным состоянием техники и представляет фантазию автора (подводные “догонялки”, подлодки-матки, торпеды, управляемые собаками и др.).</w:t>
      </w:r>
    </w:p>
    <w:p w14:paraId="5B1E13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Комиссия считает:</w:t>
      </w:r>
    </w:p>
    <w:p w14:paraId="2BDADE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Просьба тов. Гроховского о создании экспериментально-исследовательского института и КБ с заводом (общий штат - 825 чел.) для реализации его предложений, должна быть отклонена.</w:t>
      </w:r>
    </w:p>
    <w:p w14:paraId="069432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От разработки предложений, из области морского судостроения, новых конструкций самолетов, как не отвечающих требованиям и не ясных по их технического оформлению - отказаться.</w:t>
      </w:r>
    </w:p>
    <w:p w14:paraId="7E707A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Старые работы Экспериментального Института НКТП, руководителем которого являлся тов. Гроховскил, уже давно реализованы, нового же, с возможностью практического применения, его предложениях ничего нет.</w:t>
      </w:r>
    </w:p>
    <w:p w14:paraId="3C089F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 системе НКЛП имеется специальное Конструкторское Бюро (Гл. конструктор тов. Привалов), которое объединяет все работы по парашютно-десантным приспособленйяи. Создание самостоятельного, параллельного Констр. Бюро по этим вопросам нецелесоооразно.</w:t>
      </w:r>
    </w:p>
    <w:p w14:paraId="31DA93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Заместители Народного Комиссара Авиационной Яромышленности тт. Кузнецов А.И. и Яковлев А.С., а также Гл. Конструктор бюро по парашютно-десантным приспособлениям -тов. Привалов, хорошо знающие деятельность тов. Граховского в системе ГУАПа, категорически возражают против использования его в системе НКАП.</w:t>
      </w:r>
    </w:p>
    <w:p w14:paraId="295EB4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 тов. Гроховский возражает против предложения работать группой в составе этого конструкторского бюро, настаивая на самостоятельности.</w:t>
      </w:r>
    </w:p>
    <w:p w14:paraId="3136B6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Во время работы комиссии тов. Гроховским было на имя председателя комиссии тов. Репина А.К. представлено требование на оплату авторских свидетельств разных изобретений, полученных им в в период деятелености Экспериментального Института НКТП на сумму 293500 руб. и представлен счет в СНК СССР на оплату "научного труда” в количестве 4-х печатных листова на сумму 20.000 руб.</w:t>
      </w:r>
    </w:p>
    <w:p w14:paraId="1AF1E0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Комиссия считает, что авторские свидетельства являются результатом раооты коллектива Экспериментального Института НКТП, а не только его лично, хотя все авторские свидетельства выданы на имя тов. Гроховского (в институте была создана специальная группа имеющая цель добиваться авторских свидетельств Гроховскому);"Научный труд”, счет за который представлен в СНК СССР, представляет собой альбом фотографий и рисунков, не представляющих никакой практической ценности.</w:t>
      </w:r>
    </w:p>
    <w:p w14:paraId="4C4992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Комиссия считает, что требование опляты авторских свидетельств и “научного труда” представленного в СНК СССР, не имеет основания (10516,30).</w:t>
      </w:r>
    </w:p>
    <w:p w14:paraId="3D8DDD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68111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Нач. Кафедры Маскировки ви1р Кизелов подготовил:</w:t>
      </w:r>
    </w:p>
    <w:p w14:paraId="207DB4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17FD7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 предложению т. Г Р О X О В С К О Г О.</w:t>
      </w:r>
    </w:p>
    <w:p w14:paraId="706E8C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Содержание предложения. - "Маскировка тыловых объектов дымовой завесой" - по мысли автора может быть выполнена путем использования существующих ДВ химического действия, распьляемых с помощью "аэродымоустановки", которая и составляет суть предложе</w:t>
      </w:r>
      <w:r w:rsidRPr="00A3026E">
        <w:rPr>
          <w:rFonts w:ascii="Times New Roman" w:hAnsi="Times New Roman"/>
          <w:color w:val="000000" w:themeColor="text1"/>
          <w:sz w:val="16"/>
          <w:szCs w:val="16"/>
        </w:rPr>
        <w:softHyphen/>
        <w:t>ния т. Гроховского.</w:t>
      </w:r>
    </w:p>
    <w:p w14:paraId="5C0EEC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Предлагаемая установка в литературе не описана и деиствительно является новшеством; вопрос сводится только к тому, насколько рациональна она для выполнения своего назначения.</w:t>
      </w:r>
    </w:p>
    <w:p w14:paraId="43A5D4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Характеристика предложения.</w:t>
      </w:r>
    </w:p>
    <w:p w14:paraId="4BC922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Аэродымоустановка Гроховского представляет собою комплекс из резервуаров с жидким ДВ и распылителя с авиационным мотором типа М-11, причем вместо пропеллера насажен шестилопастный винт, создающий воздушный поток со скоростью 40 м/сек. ДЗ из резервуаров может подаваться либо под давлением, либо самотеком.</w:t>
      </w:r>
    </w:p>
    <w:p w14:paraId="7E4061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может быть стационарной (чердак дома, вышка и т.п.) или передвижной (автомобиль, ж.д. платформа, корабль и т.п.). При подвижной установке допускается скорость передвижения в 40-50 км/ч,</w:t>
      </w:r>
    </w:p>
    <w:p w14:paraId="06D64A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Автомобильная аэродымоустановка, имея зарядку в 1000 мтр. ДВ (два резервуара по 500 мтр), может поставить дымовую завесу длинною Д = 8000 м., шириною = 300 м, высотою = 300-400 м, а выбрасывая дымсмесь не вертикально вверх, а наклонно, под углом 45° к горизонту, дает завесу, повидимому, той же размерности.</w:t>
      </w:r>
    </w:p>
    <w:p w14:paraId="65E24F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Длинною Д = 8000м.</w:t>
      </w:r>
    </w:p>
    <w:p w14:paraId="361479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Шириною В =2000 м.</w:t>
      </w:r>
    </w:p>
    <w:p w14:paraId="4A8F74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Высотою Н = 200 м.</w:t>
      </w:r>
    </w:p>
    <w:p w14:paraId="7C64AE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действия установки не указано вовсе; но, базируясь на д|анных, приведенных в конце стр.91 и начале стр. 92, можно вычислитьего - 12 мин.</w:t>
      </w:r>
    </w:p>
    <w:p w14:paraId="3D8D2D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Автором она никак не оговооена.</w:t>
      </w:r>
    </w:p>
    <w:p w14:paraId="6C2622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минунтннй расход дымсмеси выражается в 8 л.</w:t>
      </w:r>
    </w:p>
    <w:p w14:paraId="0E0B20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Разбор предложения.</w:t>
      </w:r>
    </w:p>
    <w:p w14:paraId="5BF265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плотность дымовой завесы по существующим нормам определяется в 80-90 лтр./мин. Прибор Гроховского такую плотность создает, а приведенные выше размеры дымовой завесы (Д = 8 п. км.), говорят даже за наличие коэффициента запаса п = 12/8 = 1,5.</w:t>
      </w:r>
    </w:p>
    <w:p w14:paraId="7D2A87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Очевидно, принимая на веру размеры завеса, приведенные т. Гроховским, здесь весь вопрос сводится к диаметру трубопроводов, выходных отверстий и систему регулирования подачи ДЗ, которые м.б. соответственно рассчитаны.</w:t>
      </w:r>
    </w:p>
    <w:p w14:paraId="63AC79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Сравнение с существующей системой.</w:t>
      </w:r>
    </w:p>
    <w:p w14:paraId="6AB6EE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вооружении Красной Армии имеется машина БХМ-1, емкостью 800-1000 лтр. со стороны действия около 40 мин. Таким образом, прибор Гроховского сравнительно с БХМ-1, отличаясь от нее наличием прицепки с авиамотором М- 11, во-первых дает возможность в 5 раз ускорить выпуск того же количества ДВ.</w:t>
      </w:r>
    </w:p>
    <w:p w14:paraId="06E932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Невольно возникает два вопроса:</w:t>
      </w:r>
    </w:p>
    <w:p w14:paraId="3B5049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Нужно ли это ускорение выпуска ДВ? и</w:t>
      </w:r>
    </w:p>
    <w:p w14:paraId="12296C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Нельзя ли его получить более дешевым способом?</w:t>
      </w:r>
    </w:p>
    <w:p w14:paraId="5A3F63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Ускорение выпуска ДВ с 40 до 12 мин, имеет тактическое значение, т.к. позволяет ускорить постановку дымзавеса, что приобретает особое значение в условиях ПВО, когда приходится дорожить каждой минутой, т.к. время на образование дымовой завесы зачастую исчисляется не десятками, а единицами минут.</w:t>
      </w:r>
    </w:p>
    <w:p w14:paraId="4CE31C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в этом отношении прибор Гроховского имеет ценность.</w:t>
      </w:r>
    </w:p>
    <w:p w14:paraId="3FCE69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БХМ-1 выбрасывание дымсмеси основано на создании добавочного воздушного давления в цистерне и сравнительно простыми мерами, и во всяком случае проще, нежели использование авиационного мотора с прицепкой.</w:t>
      </w:r>
    </w:p>
    <w:p w14:paraId="6CA542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Теоретически нельзя отрицать возможности получения в цистерне БХМ-1 большего давления, чем имеется на сегодня, и следова</w:t>
      </w:r>
      <w:r w:rsidRPr="00A3026E">
        <w:rPr>
          <w:rFonts w:ascii="Times New Roman" w:hAnsi="Times New Roman"/>
          <w:color w:val="000000" w:themeColor="text1"/>
          <w:sz w:val="16"/>
          <w:szCs w:val="16"/>
        </w:rPr>
        <w:softHyphen/>
        <w:t>тельно, ускорения выпуска ДВ, но более простым способом. Надо только поставить задачу соответствующим конструктором.</w:t>
      </w:r>
    </w:p>
    <w:p w14:paraId="1B019F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Второе значитеяьное отличие дымприбора Гроховского от БХМ-1 заключается в том, что он позволяет создать дымзавесу высотой Н 300 м. Спрашивается нужно ли это и нельзя ли тогда получить иным способом?</w:t>
      </w:r>
    </w:p>
    <w:p w14:paraId="284910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Существующие нормы задымления тыловых объектов определяют высоту завесы по формуле:</w:t>
      </w:r>
    </w:p>
    <w:p w14:paraId="15FEB2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Беря наи5олее неблагоприятный случай имеем, при 100 метровой трубе - 130 м.</w:t>
      </w:r>
    </w:p>
    <w:p w14:paraId="670AAB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Существующие приборы в том числе и БХМ-1, позволяют получать такую высоту облака лишь через несколько минут и на принципе конвекции; прибор же Гроховского это позволяет получать почти моментально - в этом его преимущество. Но ввиду того, что такие 100 метровой высоты объекты чрезвычайно редки (на ж.д. станциях, аэродромах, военных городках, складах и т.д. - их нет), то едва ли рационально было бы иметь все дымоприборы типа Гроховского.</w:t>
      </w:r>
    </w:p>
    <w:p w14:paraId="1F56E0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других случаях получать облако большой высоты нет нужды.</w:t>
      </w:r>
    </w:p>
    <w:p w14:paraId="62EC9D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 Ы В О Д Ы:</w:t>
      </w:r>
    </w:p>
    <w:p w14:paraId="2A52B5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Предложение т. Гроховского сводится к трем усовершенство</w:t>
      </w:r>
      <w:r w:rsidRPr="00A3026E">
        <w:rPr>
          <w:rFonts w:ascii="Times New Roman" w:hAnsi="Times New Roman"/>
          <w:color w:val="000000" w:themeColor="text1"/>
          <w:sz w:val="16"/>
          <w:szCs w:val="16"/>
        </w:rPr>
        <w:softHyphen/>
        <w:t>ваниям - ускорение дымопуска, увеличение высоты завесы и временному отсутствию дыма на самом задымляемом объекте, т.к. завеса ставится на некоторой высоте.</w:t>
      </w:r>
    </w:p>
    <w:p w14:paraId="421623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Способ получения указанных преимуществ - прицепка с авиамоторами является несовершенным:</w:t>
      </w:r>
    </w:p>
    <w:p w14:paraId="666C8D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громоздко,</w:t>
      </w:r>
    </w:p>
    <w:p w14:paraId="6D8496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дорого,</w:t>
      </w:r>
    </w:p>
    <w:p w14:paraId="128690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зимних условиях требуется дополнительный прогрев мотора.</w:t>
      </w:r>
    </w:p>
    <w:p w14:paraId="4F68A6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Следует поставить к разрешению задачу получения свойств, указанных в п. а) более простыми мерами для существующих дымприборов.</w:t>
      </w:r>
    </w:p>
    <w:p w14:paraId="7CC071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Одновременно с выполнением п. в) изготовить опытных 5-10 установок Гроховского и испытать их во-первых для целей задымления постоянного аэродрома, добиваясь возможности взлета из-под дыма истребительной авиации, и во-вторых на войсковом учении для целей получения горизонтальной дымовой завесы над районом переправы, добиваясь получения высокостоящей завесы, не мешающей наземным войскам (10516,76).</w:t>
      </w:r>
    </w:p>
    <w:p w14:paraId="7DD2D9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CDE3C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года в письме А.И. Шахурина А.И. Микояну Н-32/1867 содержалась просьба о приобретении 152 токарно-револьверных станков «Питтлер» со сроками поставки с мая по декабрь 1942 года (РГАЭ. Ф. 8044. Оп. 1. Д. 436. Л. 145.).</w:t>
      </w:r>
    </w:p>
    <w:p w14:paraId="14D596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Были и противоположные примеры. В письме А.И. Шахурина А.И. Мико</w:t>
      </w:r>
      <w:r w:rsidRPr="00A3026E">
        <w:rPr>
          <w:rFonts w:ascii="Times New Roman" w:hAnsi="Times New Roman"/>
          <w:color w:val="000000" w:themeColor="text1"/>
          <w:sz w:val="16"/>
          <w:szCs w:val="16"/>
        </w:rPr>
        <w:softHyphen/>
        <w:t>яну Н-32/319 от 28 февраля 1940 года сообщалось, что германская фирма «Питтлер» предлагает 271 револьверный станок со сроками поставок 2 36 из них во второй половине 1940 года и 35-в 1941 году. А.И. Шахурин под</w:t>
      </w:r>
      <w:r w:rsidRPr="00A3026E">
        <w:rPr>
          <w:rFonts w:ascii="Times New Roman" w:hAnsi="Times New Roman"/>
          <w:color w:val="000000" w:themeColor="text1"/>
          <w:sz w:val="16"/>
          <w:szCs w:val="16"/>
        </w:rPr>
        <w:softHyphen/>
        <w:t>черкивал: «Револьверные станки типа «Питтлер» необходимы авиационной промышленности». Предполагалось, что они будут использоваться на заво</w:t>
      </w:r>
      <w:r w:rsidRPr="00A3026E">
        <w:rPr>
          <w:rFonts w:ascii="Times New Roman" w:hAnsi="Times New Roman"/>
          <w:color w:val="000000" w:themeColor="text1"/>
          <w:sz w:val="16"/>
          <w:szCs w:val="16"/>
        </w:rPr>
        <w:softHyphen/>
        <w:t>дах № 27, № 339, «Панель» и других для производства авиационных норма</w:t>
      </w:r>
      <w:r w:rsidRPr="00A3026E">
        <w:rPr>
          <w:rFonts w:ascii="Times New Roman" w:hAnsi="Times New Roman"/>
          <w:color w:val="000000" w:themeColor="text1"/>
          <w:sz w:val="16"/>
          <w:szCs w:val="16"/>
        </w:rPr>
        <w:softHyphen/>
        <w:t>лей и специальной арматуры. А.И. Шахурин просил положительно решить вопрос о закупках 193 станков в счет германского кредита, «учитывая су</w:t>
      </w:r>
      <w:r w:rsidRPr="00A3026E">
        <w:rPr>
          <w:rFonts w:ascii="Times New Roman" w:hAnsi="Times New Roman"/>
          <w:color w:val="000000" w:themeColor="text1"/>
          <w:sz w:val="16"/>
          <w:szCs w:val="16"/>
        </w:rPr>
        <w:softHyphen/>
        <w:t>ществующий разрыв между потребностями НКАП и получаемых союзными фондами по револьверным станкам» (РГАЭ. Ф. 8044. Оп. 1. Д. 436. Л. 189.) (11710,258).</w:t>
      </w:r>
    </w:p>
    <w:p w14:paraId="610878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CF211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директором и глав. Бухгалтером завода № 1 была подготовлена:</w:t>
      </w:r>
    </w:p>
    <w:p w14:paraId="0DA348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Справка об основных средствах и выпуску готовой продукции по годам завода № 1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983732" w:rsidRPr="00A3026E" w14:paraId="26872FCA" w14:textId="77777777" w:rsidTr="00EA0DA7">
        <w:tc>
          <w:tcPr>
            <w:tcW w:w="2817" w:type="dxa"/>
            <w:tcBorders>
              <w:top w:val="single" w:sz="12" w:space="0" w:color="auto"/>
            </w:tcBorders>
          </w:tcPr>
          <w:p w14:paraId="4C2B2A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Годы</w:t>
            </w:r>
          </w:p>
        </w:tc>
        <w:tc>
          <w:tcPr>
            <w:tcW w:w="2817" w:type="dxa"/>
            <w:tcBorders>
              <w:top w:val="single" w:sz="12" w:space="0" w:color="auto"/>
            </w:tcBorders>
          </w:tcPr>
          <w:p w14:paraId="2F0FD2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Сумма основных средств на начало года (тыс. руб.)</w:t>
            </w:r>
          </w:p>
        </w:tc>
        <w:tc>
          <w:tcPr>
            <w:tcW w:w="2817" w:type="dxa"/>
            <w:tcBorders>
              <w:top w:val="single" w:sz="12" w:space="0" w:color="auto"/>
            </w:tcBorders>
          </w:tcPr>
          <w:p w14:paraId="0D0D90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 готовой продукции в тыс. руб.</w:t>
            </w:r>
          </w:p>
        </w:tc>
        <w:tc>
          <w:tcPr>
            <w:tcW w:w="2817" w:type="dxa"/>
            <w:tcBorders>
              <w:top w:val="single" w:sz="12" w:space="0" w:color="auto"/>
            </w:tcBorders>
          </w:tcPr>
          <w:p w14:paraId="5C7C45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 готовой продукции на рубль основных средств</w:t>
            </w:r>
          </w:p>
        </w:tc>
      </w:tr>
      <w:tr w:rsidR="00983732" w:rsidRPr="00A3026E" w14:paraId="56541DA4" w14:textId="77777777" w:rsidTr="00EA0DA7">
        <w:tc>
          <w:tcPr>
            <w:tcW w:w="2817" w:type="dxa"/>
          </w:tcPr>
          <w:p w14:paraId="2B4122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1936</w:t>
            </w:r>
          </w:p>
        </w:tc>
        <w:tc>
          <w:tcPr>
            <w:tcW w:w="2817" w:type="dxa"/>
          </w:tcPr>
          <w:p w14:paraId="7CC682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39274</w:t>
            </w:r>
          </w:p>
        </w:tc>
        <w:tc>
          <w:tcPr>
            <w:tcW w:w="2817" w:type="dxa"/>
          </w:tcPr>
          <w:p w14:paraId="667D22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153302</w:t>
            </w:r>
          </w:p>
        </w:tc>
        <w:tc>
          <w:tcPr>
            <w:tcW w:w="2817" w:type="dxa"/>
          </w:tcPr>
          <w:p w14:paraId="699363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r>
      <w:tr w:rsidR="00983732" w:rsidRPr="00A3026E" w14:paraId="5F89789A" w14:textId="77777777" w:rsidTr="00EA0DA7">
        <w:tc>
          <w:tcPr>
            <w:tcW w:w="2817" w:type="dxa"/>
          </w:tcPr>
          <w:p w14:paraId="7401F2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1937</w:t>
            </w:r>
          </w:p>
        </w:tc>
        <w:tc>
          <w:tcPr>
            <w:tcW w:w="2817" w:type="dxa"/>
          </w:tcPr>
          <w:p w14:paraId="09C77F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61721</w:t>
            </w:r>
          </w:p>
        </w:tc>
        <w:tc>
          <w:tcPr>
            <w:tcW w:w="2817" w:type="dxa"/>
          </w:tcPr>
          <w:p w14:paraId="456057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113744</w:t>
            </w:r>
          </w:p>
        </w:tc>
        <w:tc>
          <w:tcPr>
            <w:tcW w:w="2817" w:type="dxa"/>
          </w:tcPr>
          <w:p w14:paraId="1C03F9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1,84</w:t>
            </w:r>
          </w:p>
        </w:tc>
      </w:tr>
      <w:tr w:rsidR="00983732" w:rsidRPr="00A3026E" w14:paraId="364E3F27" w14:textId="77777777" w:rsidTr="00EA0DA7">
        <w:tc>
          <w:tcPr>
            <w:tcW w:w="2817" w:type="dxa"/>
          </w:tcPr>
          <w:p w14:paraId="37E498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w:t>
            </w:r>
          </w:p>
        </w:tc>
        <w:tc>
          <w:tcPr>
            <w:tcW w:w="2817" w:type="dxa"/>
          </w:tcPr>
          <w:p w14:paraId="57C480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73819</w:t>
            </w:r>
          </w:p>
        </w:tc>
        <w:tc>
          <w:tcPr>
            <w:tcW w:w="2817" w:type="dxa"/>
          </w:tcPr>
          <w:p w14:paraId="2894A3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141804</w:t>
            </w:r>
          </w:p>
        </w:tc>
        <w:tc>
          <w:tcPr>
            <w:tcW w:w="2817" w:type="dxa"/>
          </w:tcPr>
          <w:p w14:paraId="693F23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w:t>
            </w:r>
          </w:p>
        </w:tc>
      </w:tr>
      <w:tr w:rsidR="00983732" w:rsidRPr="00A3026E" w14:paraId="4C4BE7E1" w14:textId="77777777" w:rsidTr="00EA0DA7">
        <w:tc>
          <w:tcPr>
            <w:tcW w:w="2817" w:type="dxa"/>
          </w:tcPr>
          <w:p w14:paraId="72D98B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2817" w:type="dxa"/>
          </w:tcPr>
          <w:p w14:paraId="1EC64F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98455</w:t>
            </w:r>
          </w:p>
        </w:tc>
        <w:tc>
          <w:tcPr>
            <w:tcW w:w="2817" w:type="dxa"/>
          </w:tcPr>
          <w:p w14:paraId="38F613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253707</w:t>
            </w:r>
          </w:p>
        </w:tc>
        <w:tc>
          <w:tcPr>
            <w:tcW w:w="2817" w:type="dxa"/>
          </w:tcPr>
          <w:p w14:paraId="535A5A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2,58</w:t>
            </w:r>
          </w:p>
        </w:tc>
      </w:tr>
      <w:tr w:rsidR="00983732" w:rsidRPr="00A3026E" w14:paraId="35A463A6" w14:textId="77777777" w:rsidTr="00EA0DA7">
        <w:tc>
          <w:tcPr>
            <w:tcW w:w="2817" w:type="dxa"/>
            <w:tcBorders>
              <w:bottom w:val="single" w:sz="12" w:space="0" w:color="auto"/>
            </w:tcBorders>
          </w:tcPr>
          <w:p w14:paraId="170B8C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c>
          <w:tcPr>
            <w:tcW w:w="2817" w:type="dxa"/>
            <w:tcBorders>
              <w:bottom w:val="single" w:sz="12" w:space="0" w:color="auto"/>
            </w:tcBorders>
          </w:tcPr>
          <w:p w14:paraId="310FD0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131432</w:t>
            </w:r>
          </w:p>
        </w:tc>
        <w:tc>
          <w:tcPr>
            <w:tcW w:w="2817" w:type="dxa"/>
            <w:tcBorders>
              <w:bottom w:val="single" w:sz="12" w:space="0" w:color="auto"/>
            </w:tcBorders>
          </w:tcPr>
          <w:p w14:paraId="46BB14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328240</w:t>
            </w:r>
          </w:p>
        </w:tc>
        <w:tc>
          <w:tcPr>
            <w:tcW w:w="2817" w:type="dxa"/>
            <w:tcBorders>
              <w:bottom w:val="single" w:sz="12" w:space="0" w:color="auto"/>
            </w:tcBorders>
          </w:tcPr>
          <w:p w14:paraId="1203C4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bl>
    <w:p w14:paraId="7E8F9976"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smallCaps/>
          <w:color w:val="000000" w:themeColor="text1"/>
          <w:sz w:val="16"/>
          <w:szCs w:val="16"/>
        </w:rPr>
        <w:t>(10504,89).</w:t>
      </w:r>
    </w:p>
    <w:p w14:paraId="65FF52FA"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2F82AC40"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сентября 1940</w:t>
      </w:r>
    </w:p>
    <w:p w14:paraId="4316DE41"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Решение Политбюро ПБ От 04.IX.40 г.</w:t>
      </w:r>
    </w:p>
    <w:p w14:paraId="5F5936A2"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61. О производстве дельта-древесины для авиации. — ОП (20543).</w:t>
      </w:r>
    </w:p>
    <w:p w14:paraId="7C91C894" w14:textId="77777777" w:rsidR="007C10B0" w:rsidRPr="00A3026E" w:rsidRDefault="007C10B0" w:rsidP="00A3026E">
      <w:pPr>
        <w:spacing w:after="0" w:line="240" w:lineRule="auto"/>
        <w:jc w:val="both"/>
        <w:rPr>
          <w:rFonts w:ascii="Times New Roman" w:hAnsi="Times New Roman"/>
          <w:color w:val="0070C0"/>
          <w:sz w:val="16"/>
          <w:szCs w:val="16"/>
        </w:rPr>
      </w:pPr>
    </w:p>
    <w:p w14:paraId="0F1F3E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вышел приказ НКАП N 465сс об организации завода 387 на базе завода им. Каракозова в Ленинграде, полученного от Осоавиахима, и нового корпуса Лентекстильмашстроя НКОМ (1647,30).</w:t>
      </w:r>
    </w:p>
    <w:p w14:paraId="3CB258F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10CCC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 сентября 1940 года завод № 387 перешел в систему НКАП на основании решения Правительства и приказа 1 гл. управления НКАП за № 35/с от. До этого был авторемонтным заводом Ленсовета, программу которого производил до 15 ноября 1940 года (9343).</w:t>
      </w:r>
    </w:p>
    <w:p w14:paraId="02FE2A3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BA6E2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Приказом НКАП организовывается самолетостроительный завод № 387 на базе объединения двух предприятий – «Лентекстильмаш» Наркомата общего машиностроения, специализировавшегося на выпуске текстильных машин и завода № 4 имени Д.В.Каракозова. В 1940 г. «Лентекстильмаш» выпускал для нужд обороны минометы и 50-мм осколочные мины.</w:t>
      </w:r>
    </w:p>
    <w:p w14:paraId="7C5732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 же время ленинградскому заводу № 23 «Красный летчик» было предписано передать новому заводу оснастку и заделы по производству самолета Поликарпова У-2. Надо сказать, что «Красный летчик» был головным по выпуску У-2 и с 1929 г. изготовил более 10 тысяч этих учебных, транспортных и сельскохозяйственных машин.</w:t>
      </w:r>
    </w:p>
    <w:p w14:paraId="383B53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Если точнее, то до войны завод выпустил 10972 экземпляра самолетов У-2, что является максимальным показателем среди всех авиационных советских заводов в довоенный период, и перешел на производство учебно-тренировочных машин УТ-2 конструктора Яковлева А.С. Всего до войны в Ленинграде было сделано 11838 У-2, что также является своеобразным рекордом. Ни один тип самолета в то время не был построен в таком количестве ни в СССР, ни в мире, что стало своеобразным сертификатом уникальности У-2 и свидетельством его великолепных качеств. Для справки, на 1 июня 1940 г. только в составе военно-воздушных сил числилось три с половиной тысячи У-2, из которых 790 было неисправно. Гарантийный срок службы до первого ремонта составлял 500 часов.</w:t>
      </w:r>
    </w:p>
    <w:p w14:paraId="571117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в отчете за 1940 г. директор Федин жаловался, что завод № 23 должен был передать на завод № 387 деталей на 200 машин, а реально получено на 18. Чертежи находились в плохом состоянии, оснастка передавалась не в полном объеме, а чертежи на оснастку отсутствовали вовсе. Позднее читатель увидит, что с такими условиями заводу придется сталкиваться неоднократно (12049).</w:t>
      </w:r>
    </w:p>
    <w:p w14:paraId="45C345D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F5BFD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вышел приказ НКАП N 466сс об организации завода 388 на базе авторемонтного завода в Ленинграде (1647,30).</w:t>
      </w:r>
    </w:p>
    <w:p w14:paraId="3721F5F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CE577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г. В связи с этим приказом № 15 Главмотовелопрома от упразднили Центральное конструкторско-экспериментальное бюро при МВЗ, в системе Главка организовали ЦКБМ на территории мотозавода «Искра» [4.206], но позже его перевели на производственные площади ММЗ [4.207]. В процессе реорганизации наркоматов в начале 1941 г., Главмотовелопром вместе с подведомственными ему заводами из НКОМ перевели в НКСМ [4.208] и на некоторых из них ор</w:t>
      </w:r>
      <w:r w:rsidRPr="00A3026E">
        <w:rPr>
          <w:rFonts w:ascii="Times New Roman" w:hAnsi="Times New Roman"/>
          <w:color w:val="000000" w:themeColor="text1"/>
          <w:sz w:val="16"/>
          <w:szCs w:val="16"/>
        </w:rPr>
        <w:softHyphen/>
        <w:t>ганизовали специальные КБ (СКБ) в соответствии с приказом № 104/190 от 11 марта 1941 г.: на ММЗ - Ведущее конструктор-ско-технологическое бюро (ВКТБ) по М-72, на ЗИС - КБ по от</w:t>
      </w:r>
      <w:r w:rsidRPr="00A3026E">
        <w:rPr>
          <w:rFonts w:ascii="Times New Roman" w:hAnsi="Times New Roman"/>
          <w:color w:val="000000" w:themeColor="text1"/>
          <w:sz w:val="16"/>
          <w:szCs w:val="16"/>
        </w:rPr>
        <w:softHyphen/>
        <w:t>ладке производства двигателей для этого же мотоцикла, на ИжМЗ - ВКТБ по ИЖ-12 [4.187]. Для форсирования выпуска мотоциклов изменили загрузки заводов Главмотовелопрома. Так, на СМЗ свернули выпуск МЛ-3 и, в соответствии с приказом № 116 от 10 мая 1941 г., докумен</w:t>
      </w:r>
      <w:r w:rsidRPr="00A3026E">
        <w:rPr>
          <w:rFonts w:ascii="Times New Roman" w:hAnsi="Times New Roman"/>
          <w:color w:val="000000" w:themeColor="text1"/>
          <w:sz w:val="16"/>
          <w:szCs w:val="16"/>
        </w:rPr>
        <w:softHyphen/>
        <w:t>тацию и «незавершенку» по нему передали на завод «Искра» [4.209]. С этим не согласился нарком НКСМ В.А. Малышев, считавший целесообразным сохранить производство МЛ-3. как соответствовавшего лучшим зарубежным моделям «Феномен-Сакс» и «Арди». Он предлагал председателю СНК В.М. Моло-тову в системе НКСМ восстановить выпуск МЛ-3 на другом заводе мощностью 15-20 тыс. мотоциклов в год [4.210]. Однако в соответствии с приказом № 362 от 8 мая 1941 г. на СМЗ вме</w:t>
      </w:r>
      <w:r w:rsidRPr="00A3026E">
        <w:rPr>
          <w:rFonts w:ascii="Times New Roman" w:hAnsi="Times New Roman"/>
          <w:color w:val="000000" w:themeColor="text1"/>
          <w:sz w:val="16"/>
          <w:szCs w:val="16"/>
        </w:rPr>
        <w:softHyphen/>
        <w:t>сто МЛ-3 планировали выпускать мотоцикл Л-8 [4.211], прика</w:t>
      </w:r>
      <w:r w:rsidRPr="00A3026E">
        <w:rPr>
          <w:rFonts w:ascii="Times New Roman" w:hAnsi="Times New Roman"/>
          <w:color w:val="000000" w:themeColor="text1"/>
          <w:sz w:val="16"/>
          <w:szCs w:val="16"/>
        </w:rPr>
        <w:softHyphen/>
        <w:t>зом НКСМ № 414 от 31 мая 1941 г. директору ЛМЗ предписыва</w:t>
      </w:r>
      <w:r w:rsidRPr="00A3026E">
        <w:rPr>
          <w:rFonts w:ascii="Times New Roman" w:hAnsi="Times New Roman"/>
          <w:color w:val="000000" w:themeColor="text1"/>
          <w:sz w:val="16"/>
          <w:szCs w:val="16"/>
        </w:rPr>
        <w:softHyphen/>
        <w:t>ли свернуть производство Л-8, на время освоения которого ко</w:t>
      </w:r>
      <w:r w:rsidRPr="00A3026E">
        <w:rPr>
          <w:rFonts w:ascii="Times New Roman" w:hAnsi="Times New Roman"/>
          <w:color w:val="000000" w:themeColor="text1"/>
          <w:sz w:val="16"/>
          <w:szCs w:val="16"/>
        </w:rPr>
        <w:softHyphen/>
        <w:t>мандировать на СМЗ квалифицированных специалистов, неза</w:t>
      </w:r>
      <w:r w:rsidRPr="00A3026E">
        <w:rPr>
          <w:rFonts w:ascii="Times New Roman" w:hAnsi="Times New Roman"/>
          <w:color w:val="000000" w:themeColor="text1"/>
          <w:sz w:val="16"/>
          <w:szCs w:val="16"/>
        </w:rPr>
        <w:softHyphen/>
        <w:t>вершенку передать на СМЗ, обеспечить выпуск М-72 с июня 1941 года. [4.212]. Раньше приказом НКСМ № 104/190 от 11 марта 1941 г. требовали свернуть на ЛМЗ производство Л-8, а доку</w:t>
      </w:r>
      <w:r w:rsidRPr="00A3026E">
        <w:rPr>
          <w:rFonts w:ascii="Times New Roman" w:hAnsi="Times New Roman"/>
          <w:color w:val="000000" w:themeColor="text1"/>
          <w:sz w:val="16"/>
          <w:szCs w:val="16"/>
        </w:rPr>
        <w:softHyphen/>
        <w:t>ментацию передать на ИжМЗ для выпуска этого мотоцикла вместо ИЖ-9 [4.213].</w:t>
      </w:r>
    </w:p>
    <w:p w14:paraId="7A308A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 М-72 планировали организовать на ММЗ, ЛМЗ и ХМЗ (см. гл. 4.10), а для улучшения поставок двигателей прика</w:t>
      </w:r>
      <w:r w:rsidRPr="00A3026E">
        <w:rPr>
          <w:rFonts w:ascii="Times New Roman" w:hAnsi="Times New Roman"/>
          <w:color w:val="000000" w:themeColor="text1"/>
          <w:sz w:val="16"/>
          <w:szCs w:val="16"/>
        </w:rPr>
        <w:softHyphen/>
        <w:t>зом № 142 по Главмотовелопрому от 30 мая 1941 г. директору МЗММ рекомендовали станочный парк инструментального цеха перевести на трёхсменную работу [4.214]. Приказом № 302 НКСМ от 16 апреля 1941 г. руководству Главмотовелопрома ре</w:t>
      </w:r>
      <w:r w:rsidRPr="00A3026E">
        <w:rPr>
          <w:rFonts w:ascii="Times New Roman" w:hAnsi="Times New Roman"/>
          <w:color w:val="000000" w:themeColor="text1"/>
          <w:sz w:val="16"/>
          <w:szCs w:val="16"/>
        </w:rPr>
        <w:softHyphen/>
        <w:t>комендовали организовать на МЗММ специальную группу конст</w:t>
      </w:r>
      <w:r w:rsidRPr="00A3026E">
        <w:rPr>
          <w:rFonts w:ascii="Times New Roman" w:hAnsi="Times New Roman"/>
          <w:color w:val="000000" w:themeColor="text1"/>
          <w:sz w:val="16"/>
          <w:szCs w:val="16"/>
        </w:rPr>
        <w:softHyphen/>
        <w:t>рукторов по двигателю мотоцикла М-72 [4.215]. Директора КЗММ И.И. Максимова приказом № 229 НКСМ от 25 марта 1941 г. обязали сдать на ХМЗ 100 двигателей к мотоциклу М-72 [4.189]. Руководство НКСМ было уверено в освоении выпуска этой продукции, поэтому приказом № 217 НКСМ от 21 марта 1941 г. потребовало организовать выпуск мотоколясок для М-72 на ГАЗе и поставить на ММЗ, ЛВЗ и ХВЗ в 1941 г. 32 тыс. экзем</w:t>
      </w:r>
      <w:r w:rsidRPr="00A3026E">
        <w:rPr>
          <w:rFonts w:ascii="Times New Roman" w:hAnsi="Times New Roman"/>
          <w:color w:val="000000" w:themeColor="text1"/>
          <w:sz w:val="16"/>
          <w:szCs w:val="16"/>
        </w:rPr>
        <w:softHyphen/>
        <w:t>пляров [4.216] по графику (табл. 9).</w:t>
      </w:r>
    </w:p>
    <w:p w14:paraId="333095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9</w:t>
      </w:r>
    </w:p>
    <w:p w14:paraId="69E4CE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поставок колясок на мотозаводы, 1941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10"/>
        <w:gridCol w:w="1210"/>
        <w:gridCol w:w="1200"/>
        <w:gridCol w:w="1200"/>
        <w:gridCol w:w="1200"/>
      </w:tblGrid>
      <w:tr w:rsidR="00983732" w:rsidRPr="00A3026E" w14:paraId="03D8AD24" w14:textId="77777777" w:rsidTr="00EA0DA7">
        <w:trPr>
          <w:trHeight w:val="374"/>
        </w:trPr>
        <w:tc>
          <w:tcPr>
            <w:tcW w:w="1210" w:type="dxa"/>
            <w:tcBorders>
              <w:top w:val="single" w:sz="12" w:space="0" w:color="auto"/>
            </w:tcBorders>
          </w:tcPr>
          <w:p w14:paraId="09CC63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Месяц</w:t>
            </w:r>
          </w:p>
        </w:tc>
        <w:tc>
          <w:tcPr>
            <w:tcW w:w="1210" w:type="dxa"/>
            <w:tcBorders>
              <w:top w:val="single" w:sz="12" w:space="0" w:color="auto"/>
            </w:tcBorders>
          </w:tcPr>
          <w:p w14:paraId="011210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ММЗ</w:t>
            </w:r>
          </w:p>
          <w:p w14:paraId="2D0CE0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621892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ХМЗ</w:t>
            </w:r>
          </w:p>
          <w:p w14:paraId="63AFAA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651AD1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ЛМЗ</w:t>
            </w:r>
          </w:p>
        </w:tc>
        <w:tc>
          <w:tcPr>
            <w:tcW w:w="1200" w:type="dxa"/>
            <w:tcBorders>
              <w:top w:val="single" w:sz="12" w:space="0" w:color="auto"/>
            </w:tcBorders>
          </w:tcPr>
          <w:p w14:paraId="50F5E1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r>
      <w:tr w:rsidR="00983732" w:rsidRPr="00A3026E" w14:paraId="26EF172F" w14:textId="77777777" w:rsidTr="00EA0DA7">
        <w:trPr>
          <w:trHeight w:val="365"/>
        </w:trPr>
        <w:tc>
          <w:tcPr>
            <w:tcW w:w="1210" w:type="dxa"/>
          </w:tcPr>
          <w:p w14:paraId="2A76F6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Июнь</w:t>
            </w:r>
          </w:p>
        </w:tc>
        <w:tc>
          <w:tcPr>
            <w:tcW w:w="1210" w:type="dxa"/>
          </w:tcPr>
          <w:p w14:paraId="30CA1E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p w14:paraId="5500DC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1D23AF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w:t>
            </w:r>
          </w:p>
          <w:p w14:paraId="7D121F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3B598B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200" w:type="dxa"/>
          </w:tcPr>
          <w:p w14:paraId="755708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r>
      <w:tr w:rsidR="00983732" w:rsidRPr="00A3026E" w14:paraId="44103547" w14:textId="77777777" w:rsidTr="00EA0DA7">
        <w:trPr>
          <w:trHeight w:val="365"/>
        </w:trPr>
        <w:tc>
          <w:tcPr>
            <w:tcW w:w="1210" w:type="dxa"/>
          </w:tcPr>
          <w:p w14:paraId="3D592E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Июль</w:t>
            </w:r>
          </w:p>
        </w:tc>
        <w:tc>
          <w:tcPr>
            <w:tcW w:w="1210" w:type="dxa"/>
          </w:tcPr>
          <w:p w14:paraId="215AE3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p w14:paraId="36DD86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6B8F9C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p w14:paraId="7F6575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724B56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w:t>
            </w:r>
          </w:p>
        </w:tc>
        <w:tc>
          <w:tcPr>
            <w:tcW w:w="1200" w:type="dxa"/>
          </w:tcPr>
          <w:p w14:paraId="4F3F22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4825</w:t>
            </w:r>
          </w:p>
        </w:tc>
      </w:tr>
      <w:tr w:rsidR="00983732" w:rsidRPr="00A3026E" w14:paraId="37383CDA" w14:textId="77777777" w:rsidTr="00EA0DA7">
        <w:trPr>
          <w:trHeight w:val="230"/>
        </w:trPr>
        <w:tc>
          <w:tcPr>
            <w:tcW w:w="1210" w:type="dxa"/>
          </w:tcPr>
          <w:p w14:paraId="3CD8BF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Август</w:t>
            </w:r>
          </w:p>
        </w:tc>
        <w:tc>
          <w:tcPr>
            <w:tcW w:w="1210" w:type="dxa"/>
          </w:tcPr>
          <w:p w14:paraId="6235BD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2050</w:t>
            </w:r>
          </w:p>
          <w:p w14:paraId="42A460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3724F6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2050</w:t>
            </w:r>
          </w:p>
          <w:p w14:paraId="202460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2E8448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w:t>
            </w:r>
          </w:p>
        </w:tc>
        <w:tc>
          <w:tcPr>
            <w:tcW w:w="1200" w:type="dxa"/>
          </w:tcPr>
          <w:p w14:paraId="23EF87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4925</w:t>
            </w:r>
          </w:p>
        </w:tc>
      </w:tr>
      <w:tr w:rsidR="00983732" w:rsidRPr="00A3026E" w14:paraId="58607E88" w14:textId="77777777" w:rsidTr="00EA0DA7">
        <w:trPr>
          <w:trHeight w:val="221"/>
        </w:trPr>
        <w:tc>
          <w:tcPr>
            <w:tcW w:w="1210" w:type="dxa"/>
          </w:tcPr>
          <w:p w14:paraId="038338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Сентябрь</w:t>
            </w:r>
          </w:p>
        </w:tc>
        <w:tc>
          <w:tcPr>
            <w:tcW w:w="1210" w:type="dxa"/>
          </w:tcPr>
          <w:p w14:paraId="5C0B63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2050</w:t>
            </w:r>
          </w:p>
          <w:p w14:paraId="3BE214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6B3385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2050</w:t>
            </w:r>
          </w:p>
          <w:p w14:paraId="328BF0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3D898E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w:t>
            </w:r>
          </w:p>
        </w:tc>
        <w:tc>
          <w:tcPr>
            <w:tcW w:w="1200" w:type="dxa"/>
          </w:tcPr>
          <w:p w14:paraId="61320E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4925</w:t>
            </w:r>
          </w:p>
        </w:tc>
      </w:tr>
      <w:tr w:rsidR="00983732" w:rsidRPr="00A3026E" w14:paraId="75A0F1CE" w14:textId="77777777" w:rsidTr="00EA0DA7">
        <w:trPr>
          <w:trHeight w:val="221"/>
        </w:trPr>
        <w:tc>
          <w:tcPr>
            <w:tcW w:w="1210" w:type="dxa"/>
          </w:tcPr>
          <w:p w14:paraId="08E308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Октябрь</w:t>
            </w:r>
          </w:p>
        </w:tc>
        <w:tc>
          <w:tcPr>
            <w:tcW w:w="1210" w:type="dxa"/>
          </w:tcPr>
          <w:p w14:paraId="08D5F2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2050</w:t>
            </w:r>
          </w:p>
          <w:p w14:paraId="12C4D1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239E1E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w:t>
            </w:r>
          </w:p>
          <w:p w14:paraId="03FDA4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3498C5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w:t>
            </w:r>
          </w:p>
        </w:tc>
        <w:tc>
          <w:tcPr>
            <w:tcW w:w="1200" w:type="dxa"/>
          </w:tcPr>
          <w:p w14:paraId="63EC26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5175</w:t>
            </w:r>
          </w:p>
        </w:tc>
      </w:tr>
      <w:tr w:rsidR="00983732" w:rsidRPr="00A3026E" w14:paraId="5D38E5BA" w14:textId="77777777" w:rsidTr="00EA0DA7">
        <w:trPr>
          <w:trHeight w:val="221"/>
        </w:trPr>
        <w:tc>
          <w:tcPr>
            <w:tcW w:w="1210" w:type="dxa"/>
          </w:tcPr>
          <w:p w14:paraId="3A695E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Ноябрь</w:t>
            </w:r>
          </w:p>
        </w:tc>
        <w:tc>
          <w:tcPr>
            <w:tcW w:w="1210" w:type="dxa"/>
          </w:tcPr>
          <w:p w14:paraId="776004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2200</w:t>
            </w:r>
          </w:p>
          <w:p w14:paraId="3997B8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0C8613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w:t>
            </w:r>
          </w:p>
          <w:p w14:paraId="0EACB1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12245D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w:t>
            </w:r>
          </w:p>
        </w:tc>
        <w:tc>
          <w:tcPr>
            <w:tcW w:w="1200" w:type="dxa"/>
          </w:tcPr>
          <w:p w14:paraId="182EF9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5325</w:t>
            </w:r>
          </w:p>
        </w:tc>
      </w:tr>
      <w:tr w:rsidR="00983732" w:rsidRPr="00A3026E" w14:paraId="27FD2017" w14:textId="77777777" w:rsidTr="00EA0DA7">
        <w:trPr>
          <w:trHeight w:val="221"/>
        </w:trPr>
        <w:tc>
          <w:tcPr>
            <w:tcW w:w="1210" w:type="dxa"/>
          </w:tcPr>
          <w:p w14:paraId="6AD1FE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Декабрь</w:t>
            </w:r>
          </w:p>
        </w:tc>
        <w:tc>
          <w:tcPr>
            <w:tcW w:w="1210" w:type="dxa"/>
          </w:tcPr>
          <w:p w14:paraId="15258C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w:t>
            </w:r>
          </w:p>
          <w:p w14:paraId="5C9636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09BF9E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2400</w:t>
            </w:r>
          </w:p>
          <w:p w14:paraId="172F54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0DC238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w:t>
            </w:r>
          </w:p>
        </w:tc>
        <w:tc>
          <w:tcPr>
            <w:tcW w:w="1200" w:type="dxa"/>
          </w:tcPr>
          <w:p w14:paraId="6EED7D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5525</w:t>
            </w:r>
          </w:p>
        </w:tc>
      </w:tr>
      <w:tr w:rsidR="00983732" w:rsidRPr="00A3026E" w14:paraId="52D0D99A" w14:textId="77777777" w:rsidTr="00EA0DA7">
        <w:trPr>
          <w:trHeight w:val="230"/>
        </w:trPr>
        <w:tc>
          <w:tcPr>
            <w:tcW w:w="1210" w:type="dxa"/>
            <w:tcBorders>
              <w:bottom w:val="single" w:sz="12" w:space="0" w:color="auto"/>
            </w:tcBorders>
          </w:tcPr>
          <w:p w14:paraId="34C4CB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1210" w:type="dxa"/>
            <w:tcBorders>
              <w:bottom w:val="single" w:sz="12" w:space="0" w:color="auto"/>
            </w:tcBorders>
          </w:tcPr>
          <w:p w14:paraId="7CCC43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13 100</w:t>
            </w:r>
          </w:p>
        </w:tc>
        <w:tc>
          <w:tcPr>
            <w:tcW w:w="1200" w:type="dxa"/>
            <w:tcBorders>
              <w:bottom w:val="single" w:sz="12" w:space="0" w:color="auto"/>
            </w:tcBorders>
          </w:tcPr>
          <w:p w14:paraId="434E39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13659</w:t>
            </w:r>
          </w:p>
        </w:tc>
        <w:tc>
          <w:tcPr>
            <w:tcW w:w="1200" w:type="dxa"/>
            <w:tcBorders>
              <w:bottom w:val="single" w:sz="12" w:space="0" w:color="auto"/>
            </w:tcBorders>
          </w:tcPr>
          <w:p w14:paraId="2AFB91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5250</w:t>
            </w:r>
          </w:p>
        </w:tc>
        <w:tc>
          <w:tcPr>
            <w:tcW w:w="1200" w:type="dxa"/>
            <w:tcBorders>
              <w:bottom w:val="single" w:sz="12" w:space="0" w:color="auto"/>
            </w:tcBorders>
          </w:tcPr>
          <w:p w14:paraId="0FF8B1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32000</w:t>
            </w:r>
          </w:p>
        </w:tc>
      </w:tr>
    </w:tbl>
    <w:p w14:paraId="3138C6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Начавшаяся Великая Отечественная война сорвала выполне</w:t>
      </w:r>
      <w:r w:rsidRPr="00A3026E">
        <w:rPr>
          <w:rFonts w:ascii="Times New Roman" w:hAnsi="Times New Roman"/>
          <w:color w:val="000000" w:themeColor="text1"/>
          <w:sz w:val="16"/>
          <w:szCs w:val="16"/>
        </w:rPr>
        <w:softHyphen/>
        <w:t>ние этих планов (11429).</w:t>
      </w:r>
    </w:p>
    <w:p w14:paraId="6A28041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31FA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г. по приказу НКАП №465сс в соответствии с пост. СНК № 667 от 5.05.1940 г. на базе завода № 4 им. Каракозова, переданного из ЦС Осоавиахима, а также корпуса завода «Лентекстильмаш» (переданного из НКОМ по приказу № 551сс/ 261сс от 15.10 1940 г.) был образован ГС завод № 387 в системе 1ГУ НКАП (11982).</w:t>
      </w:r>
    </w:p>
    <w:p w14:paraId="44550BD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DB51B9E" w14:textId="77777777" w:rsidR="004F51CE" w:rsidRPr="00A3026E" w:rsidRDefault="004F51CE"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77F13950" w14:textId="77777777" w:rsidR="004F51CE" w:rsidRPr="00A3026E" w:rsidRDefault="004F51CE" w:rsidP="00A3026E">
      <w:pPr>
        <w:spacing w:after="0" w:line="240" w:lineRule="auto"/>
        <w:jc w:val="both"/>
        <w:rPr>
          <w:rFonts w:ascii="Times New Roman" w:hAnsi="Times New Roman"/>
          <w:iCs/>
          <w:color w:val="000000" w:themeColor="text1"/>
          <w:sz w:val="16"/>
          <w:szCs w:val="16"/>
        </w:rPr>
      </w:pPr>
    </w:p>
    <w:p w14:paraId="7C30A5C0"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К 4 сентября 1940 года был составлен достаточно подробный альбом с описанием танка PZ.Kpfw.III. После этого в истории немецкого танка зияет большое белое пятно. Достоверно известно, что проводились его ходовые испытания, но отчёт по ним отсутствует и в РГВА (Российском государственном военном архиве), и в РГАЭ (Российском государственном архиве экономики). С уверенностью можно сказать, что советские испытатели немедленно забраковали немецкий воздушный фильтр. Из-за того, что он плохо работал, фильтр с танка сняли, заменив отечественным. Кстати, и во время войны на трофейные ремонтные танки, а также на </w:t>
      </w:r>
      <w:hyperlink r:id="rId5" w:history="1">
        <w:r w:rsidRPr="00A3026E">
          <w:rPr>
            <w:rFonts w:ascii="Times New Roman" w:eastAsia="Times New Roman" w:hAnsi="Times New Roman"/>
            <w:color w:val="000000" w:themeColor="text1"/>
            <w:sz w:val="16"/>
            <w:szCs w:val="16"/>
            <w:lang w:eastAsia="ru-RU"/>
          </w:rPr>
          <w:t>СГ-122</w:t>
        </w:r>
      </w:hyperlink>
      <w:r w:rsidRPr="00A3026E">
        <w:rPr>
          <w:rFonts w:ascii="Times New Roman" w:eastAsia="Times New Roman" w:hAnsi="Times New Roman"/>
          <w:color w:val="000000" w:themeColor="text1"/>
          <w:sz w:val="16"/>
          <w:szCs w:val="16"/>
          <w:lang w:eastAsia="ru-RU"/>
        </w:rPr>
        <w:t xml:space="preserve"> и СУ-76И, первым делом ставились советские воздушные фильтры. Во время ходовых испытаний танк прошел 800 километров.</w:t>
      </w:r>
    </w:p>
    <w:p w14:paraId="7153A1F8"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Поскольку отчёта об испытаниях найти и не удалось, можно делать лишь какие-то предположения, опираясь на косвенные данные. А именно – на характеристики, которые НИБТ Полигон готовил на испытанные танки. Здесь наибольший интерес вызывает максимальная скорость, которую развил немецкий танк. Согласно некоторым данным, в ходе пробега Pz.Kpfw.III Ausf.G развил максимальную скорость 69,7 км/ч. Вокруг этой цифры сломано немало копий. На самом деле такую скорость танк действительно мог развить. Собственно говоря, Z.W.38 и создавался как боевая машина с очень высокой подвижностью. При его создании как раз и ориентировались на максимальную скорость 70 км/ч. Танк, на который ставилась 10-скоростная коробка передач Maybach Variorex 328 145, на 10-й передаче развивал 67,07 км/ч. Учитывая погрешность спидометра и дорожные условия, те самые 69,7 км/ч выглядят вполне реальными. Как бы то ни было, в тактико-технических характеристиках (ТТХ) иностранных танков от 7 марта 1941 года указаны именно такие данные по максимальной скорости Pz.Kpfw.III.</w:t>
      </w:r>
    </w:p>
    <w:p w14:paraId="3079A49A"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На то, что немецкий танк действительно развил такую скорость, указывают и дальнейшие действия ГАБТУ КА в отношении танка СП (будущего Т-50) и модернизированного Т-34. Первоначальная концепция СП, или Т-126, предусматривала создание боевой машины с максимальной скоростью 30, позже 35 км/ч. Именно такую скорость развивал Т-126 на испытаниях. А вот к Т-135, он же Т-50, предъявлялись уже другие требования – 50 км/ч, именно такая цифра указывалась при рассмотрении полноразмерного макета. Опытный образец Т-50 разогнался еще быстрее – до 52 км/ч. Еще быстрее оказался Т-50 разработки Кировского завода – 64 км/ч. Такая скорость появилась не просто так. В некоторых документах Т-50 прямо сравнивался в Pz.Kpfw.III.</w:t>
      </w:r>
    </w:p>
    <w:p w14:paraId="45AC6503"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lastRenderedPageBreak/>
        <w:t>Наконец, в первом же проекте модернизации Т-34, датированном январем 1941 года, указана максимальная скорость 65–70 км/ч. Ради её достижения скорости предлагалось поставить на машину двигатель В-2К мощностью 600 лошадиных сил. Правда, на заводе-производителе такую скорость признали нереальной. В ТТХ эскизного проекта танка А-43, рассмотренного в апреле 1941 года, указана максимальная скорость 60 км/ч для танка с броней 45 мм и 55 км/ч с броней 60 мм.</w:t>
      </w:r>
    </w:p>
    <w:p w14:paraId="01ABFF5B"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Как видно, скоростные данные немецкого танка стали для ГАБТУ КА крайне неприятным сюрпризом. Другое дело, что с этой самой скоростью существует один нюанс. Знал бы конструктор Генрих Книпкамп о том, какой шум поднялся в советском бронетанковом ведомстве вокруг немецкого танка, он бы точно грустно ухмыльнулся. Дело в том, что с такой высокой скоростью Pz.Kpfw.III Ausf.G не мог двигаться долго. На скоростях выше 40 км/ч спустя короткое время начинали отслаиваться и разрушаться бандажи опорных катков. В результате предельно допустимой скоростью была указана планка в 40 км/ч. Больше того, начиная с модификации Ausf.H на Pz.Kpfw.III стали ставить 6-скоростную синхронизированную коробку передач ZF SSG 77. С ней прыть Pz.Kpfw.III заметно поубавилась: паспортная скорость составляла 42 км/ч, а на НИБТ Полигоне трофейный танк разогнали до 50 км/ч.</w:t>
      </w:r>
    </w:p>
    <w:p w14:paraId="3E7002AD"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Высокая максимальная скорость, впрочем, оказалась далеко не единственной особенностью Pz.Kpfw.III Ausf.G, которая оказала влияние на советское танкостроение. После испытаний в Кубинке немецкий танк отправился в своеобразное турне по советским танковым заводам. Отдельные российские историки на основании этого факта дошли в своих публикациях до утверждения, что некоторые советские танки якобы были скопированы с Pz.Kpfw.III. Оставим эти фантазии на совести авторов – ни одного построенного в металле танка – клона Pz.Kpfw.III в СССР не было. Отдельные элементы, разумеется, либо копировались, либо творчески перерабатывались. Примерно то же самое происходило в Германии год спустя, когда изучение трофейного Т-34 заставило немецких конструкторов вносить серьезные изменения в свои разработки. И в том, и в другом случае о копировании танка в целом речи не шло. Каждая из танкостроительных школ шла своим путем.</w:t>
      </w:r>
    </w:p>
    <w:p w14:paraId="6A237EAA"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Первыми с немецким танком ознакомились ленинградские предприятия – Кировский завод, завод №174 и Ижорский завод. Танк тщательно осмотрели. Затем машину частично разобрали с целью изучения отдельных агрегатов. В качестве образцов для изучения были оставлены один запасной трак, торсион и опорный каток. Наиболее интересными, с точки зрения ленинградских предприятий, стали смотровые приборы, указанные выше элементы, снятые, как образцы, поворотный механизм башни и другие мелкие детали. Практически по всем узлам на заводе №174 составили схемы. С листов корпуса были взяты образцы металла для изучения, также из различных узлов машины слили для образца масло.</w:t>
      </w:r>
    </w:p>
    <w:p w14:paraId="6EBF2C1A"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На продукцию Кировского завода влияние немецкого танка оказалось минимальным. Танки семейства КВ получили командирскую башенку. Впервые она была спроектирована для Т-150. Впрочем, на немецкую конструкцию она оказалась не похожа. Советская командирская башенка разрабатывалась исключительно как смотровая, люка для командира в ней не предусматривалось.</w:t>
      </w:r>
    </w:p>
    <w:p w14:paraId="370BD450"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Бо̀льшим было влияние немецкого танка на конструкцию другой машины – Т-50. Помимо того, что после изучения Pz.Kpfw.III резко ужесточились требования к её максимальной скорости, на эту машину перекочевали и некоторые элементы немецкого происхождения. Прежде всего, это командирская башенка, которая, впрочем, также отличалась от немецкой. Одновременно с башенкой в башне появилось место для командира. Еще одной позаимствованной деталью стала установка двух спаренных с пушкой пулеметов. Советским военным эта идея понравилась, поскольку в результате резко повышалась плотность огня. На этом, впрочем, заимствования и заканчивались. В остальном Т-50 Кировского завода был вполне самобытной конструкцией, которая оформилась еще до появления на заводе немецкой машины.</w:t>
      </w:r>
    </w:p>
    <w:p w14:paraId="5BDCC612"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Теория о копировании с немецкой машины Т-50 вообще выглядит несостоятельной. Программа СП стартовала ещё в феврале 1940 года, а полноразмерный макет танка Т-126 был рассмотрен комиссией 9 июля. К тому моменту общий облик машины уже сформировался. Что же касается заимствований из конструкции Pz.Kpfw.III, то они перечислены в докладной записке от 10 апреля 1941 года, которую подготовил главный конструктор Т-50 С.А. Гинзбург:</w:t>
      </w:r>
    </w:p>
    <w:p w14:paraId="3FA7858B"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iCs/>
          <w:color w:val="000000" w:themeColor="text1"/>
          <w:sz w:val="16"/>
          <w:szCs w:val="16"/>
          <w:lang w:eastAsia="ru-RU"/>
        </w:rPr>
        <w:t>«В ответ на Ваше письмо за №144353 от 27.1–1941 года сообщаем, что при проектировании и изготовлении объекта Т-50 был использован опыт танка T-III в следующих элементах:</w:t>
      </w:r>
    </w:p>
    <w:p w14:paraId="18BAF9A5"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iCs/>
          <w:color w:val="000000" w:themeColor="text1"/>
          <w:sz w:val="16"/>
          <w:szCs w:val="16"/>
          <w:lang w:eastAsia="ru-RU"/>
        </w:rPr>
        <w:t>Схема расположения команды и вооружения в башне.</w:t>
      </w:r>
    </w:p>
    <w:p w14:paraId="5807E1BE"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iCs/>
          <w:color w:val="000000" w:themeColor="text1"/>
          <w:sz w:val="16"/>
          <w:szCs w:val="16"/>
          <w:lang w:eastAsia="ru-RU"/>
        </w:rPr>
        <w:t>По типу танка T-III, на машине Т-50 командир расположен в задней части машины, за гильзоулавливателем системы. Для обеспечения кругового обзора на башне установлена специальная командирская башенка, высотой 240 мм, снабженная семью (на установочной партии восемью) призменными смотровыми приборами, вместо триплекса на машине T-III, что значительно повышает безопасность командира.</w:t>
      </w:r>
    </w:p>
    <w:p w14:paraId="416C15B5"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iCs/>
          <w:color w:val="000000" w:themeColor="text1"/>
          <w:sz w:val="16"/>
          <w:szCs w:val="16"/>
          <w:lang w:eastAsia="ru-RU"/>
        </w:rPr>
        <w:t>По типу танка T-III на машине Т-50, 45-мм пушка спарена с двумя пулеметами. В целях уменьшения лобовой части башни и повышения снарядостойскости бронировки системы, на машине Т-50, в отличие от танка T-III, не предусмотрена возможность раздельной наводки пулемета и системы.</w:t>
      </w:r>
    </w:p>
    <w:p w14:paraId="6A8998DE"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iCs/>
          <w:color w:val="000000" w:themeColor="text1"/>
          <w:sz w:val="16"/>
          <w:szCs w:val="16"/>
          <w:lang w:eastAsia="ru-RU"/>
        </w:rPr>
        <w:t>Кроме того, на машине Т-50 установлены следующие приборы по типу T-III.</w:t>
      </w:r>
    </w:p>
    <w:p w14:paraId="3BBA6DDE"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iCs/>
          <w:color w:val="000000" w:themeColor="text1"/>
          <w:sz w:val="16"/>
          <w:szCs w:val="16"/>
          <w:lang w:eastAsia="ru-RU"/>
        </w:rPr>
        <w:t>1. Трехцветная световая сигнализация от командира к водителю.</w:t>
      </w:r>
    </w:p>
    <w:p w14:paraId="7A15A2BB"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iCs/>
          <w:color w:val="000000" w:themeColor="text1"/>
          <w:sz w:val="16"/>
          <w:szCs w:val="16"/>
          <w:lang w:eastAsia="ru-RU"/>
        </w:rPr>
        <w:t>2. Указатель выхода системы из-за габаритов машины.</w:t>
      </w:r>
    </w:p>
    <w:p w14:paraId="2B10CBE8"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iCs/>
          <w:color w:val="000000" w:themeColor="text1"/>
          <w:sz w:val="16"/>
          <w:szCs w:val="16"/>
          <w:lang w:eastAsia="ru-RU"/>
        </w:rPr>
        <w:t>3. Переносная лампочка с электромагнитом.</w:t>
      </w:r>
    </w:p>
    <w:p w14:paraId="3E6B5361"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iCs/>
          <w:color w:val="000000" w:themeColor="text1"/>
          <w:sz w:val="16"/>
          <w:szCs w:val="16"/>
          <w:lang w:eastAsia="ru-RU"/>
        </w:rPr>
        <w:t>4. Отдельные элементы крепления применены в укладках снарядов и ЗИП-а.</w:t>
      </w:r>
    </w:p>
    <w:p w14:paraId="366A90BF"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iCs/>
          <w:color w:val="000000" w:themeColor="text1"/>
          <w:sz w:val="16"/>
          <w:szCs w:val="16"/>
          <w:lang w:eastAsia="ru-RU"/>
        </w:rPr>
        <w:t>Что касается трансмиссии, то, несмотря на то, что она представляет значительный интерес, но ни схему, и ни отдельные агрегаты применить на машину Т-50 не удалось. Схема машина Т-50, в отличие от T-III, как это предусмотрено в ТТТ (тактико-технических требованиях), с задним расположением ведущего колеса Что касается применения отдельных агрегатов, то их конструкция требует большую предварительную конструкторскую и экспериментальную работу. Завод, имея очень ограниченный срок для проектирования и изготовления Т-50, конструкцию этих агрегатов применить не мог.</w:t>
      </w:r>
    </w:p>
    <w:p w14:paraId="313FC76E"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iCs/>
          <w:color w:val="000000" w:themeColor="text1"/>
          <w:sz w:val="16"/>
          <w:szCs w:val="16"/>
          <w:lang w:eastAsia="ru-RU"/>
        </w:rPr>
        <w:t>С машиной T-III познакомился почти весь состав конструкторов, испытателей и исследователей завода. Ряд агрегатов машины T-III, как запасная коробка скоростей, запасной гидравлический амортизатор, были полностью разобраны и сняты с них эскизы. Ряд агрегатов сфотографирован.</w:t>
      </w:r>
    </w:p>
    <w:p w14:paraId="76D28AD8" w14:textId="77777777" w:rsidR="004F51CE" w:rsidRPr="00A3026E"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iCs/>
          <w:color w:val="000000" w:themeColor="text1"/>
          <w:sz w:val="16"/>
          <w:szCs w:val="16"/>
          <w:lang w:eastAsia="ru-RU"/>
        </w:rPr>
        <w:t>Ряд элементов мотора был использован при проектировании нового мотора на нашем заводе»</w:t>
      </w:r>
      <w:r w:rsidRPr="00A3026E">
        <w:rPr>
          <w:rFonts w:ascii="Times New Roman" w:eastAsia="Times New Roman" w:hAnsi="Times New Roman"/>
          <w:color w:val="000000" w:themeColor="text1"/>
          <w:sz w:val="16"/>
          <w:szCs w:val="16"/>
          <w:lang w:eastAsia="ru-RU"/>
        </w:rPr>
        <w:t xml:space="preserve"> (17700).</w:t>
      </w:r>
    </w:p>
    <w:p w14:paraId="0625700A" w14:textId="77777777" w:rsidR="004F51CE" w:rsidRPr="00A3026E" w:rsidRDefault="004F51CE" w:rsidP="00A3026E">
      <w:pPr>
        <w:spacing w:after="0" w:line="240" w:lineRule="auto"/>
        <w:jc w:val="both"/>
        <w:rPr>
          <w:rFonts w:ascii="Times New Roman" w:hAnsi="Times New Roman"/>
          <w:color w:val="000000" w:themeColor="text1"/>
          <w:sz w:val="16"/>
          <w:szCs w:val="16"/>
        </w:rPr>
      </w:pPr>
    </w:p>
    <w:p w14:paraId="4D4257A3"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4 сентября по 1 октября 1940 танк Т-126 с броней 45 мм прошел 1150 километров. Ни о каких 15 тоннах и речи не было. При расчетной массе 17 тонн реальная составила 17,7 тонн, при этом толщина брони осталась той же (21824).</w:t>
      </w:r>
    </w:p>
    <w:p w14:paraId="0528F491" w14:textId="77777777" w:rsidR="007C10B0" w:rsidRPr="00A3026E" w:rsidRDefault="007C10B0" w:rsidP="00A3026E">
      <w:pPr>
        <w:spacing w:after="0" w:line="240" w:lineRule="auto"/>
        <w:jc w:val="both"/>
        <w:rPr>
          <w:rFonts w:ascii="Times New Roman" w:hAnsi="Times New Roman"/>
          <w:color w:val="0070C0"/>
          <w:sz w:val="16"/>
          <w:szCs w:val="16"/>
        </w:rPr>
      </w:pPr>
    </w:p>
    <w:p w14:paraId="6547F4F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148C9C1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14BFBD5" w14:textId="77777777" w:rsidR="00310A8C" w:rsidRPr="00A3026E" w:rsidRDefault="00310A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британские  ВВС  приняли первые "Харрикейны" II. Их получила 111-я эскадрилья. Машины официально именовались НА серия 1 и несли вооружение из восьми пулеметов. Однако, это было явлением временным, связанным с нехваткой пулеметов "Браунинг". Еще в начале 1940 г. был создан проект оснащения "Харрикейна" двенадцатью пулеметами. Еще две пары разместили в консолях, значительно ближе к концам крыла. Тем не менее, и серия 2 сохранила старое вооружение. Зато фюзеляж был усилен так, что его можно было в будущем стыковать с новым усиленным же крылом. На поздних машинах серии 2 фюзеляж также несколько удлинили, создав небольшое пространство перед кабиной. Серия 2 фактически являлась переходной к модификации II В, которую начали выпускать в Лэнгли в ноябре 1940 г. Она была вооружена 12 пулеметами и имела замки и топливную проводку для использования подвесных баков. Такие баки емкостью 166 л придумали сперва для перегонки самолетов на большие расстояния. Впервые они были опробованы в полете в мае 1940 г. Затем конструкцию усилили так, чтобы истребитель с баками мог маневрировать в бою, а еще позже сделали сбрасывающимися. Существенно позже на IIВ появилась бомбовая подвеска. По мере насыщения британских  ВВС  "Спитфайрами" "Харрикейны" начали оттесняться на второстепенные театры военных действий и на роль самолета непосредственной поддержки. Для эффективных действий по наземным целям потребовался другой ассортимент вооружения, в первую очередь, бомбы. В апреле 1941 г. в Боскомб-Даун испытали "Харрикейн" I, под крыльями которого висели две бомбы по 113 кг. Министерство авиации одобрило эту попытку превратить "Харрикейн" в истребитель-бомбардировщик. Конструкторы Кэмма спроектировали подобную подвеску для модификации IIВ. Чтобы упрятать в крыло балки бомбодержателей и тросовую проводку к замкам, пришлось снять четыре пулемета - по два крайних из каждого крыла. Самолет успешно испытали в мае 1941 г. Впоследствии часть машин действительно переоборудовали подобным образом, но большинство последующих получили усовершенствованный вариант подвески - с сохранением всех 12 пулеметов (15129).</w:t>
      </w:r>
    </w:p>
    <w:p w14:paraId="0B091B69" w14:textId="77777777" w:rsidR="00310A8C" w:rsidRPr="00A3026E" w:rsidRDefault="00310A8C" w:rsidP="00A3026E">
      <w:pPr>
        <w:spacing w:after="0" w:line="240" w:lineRule="auto"/>
        <w:jc w:val="both"/>
        <w:rPr>
          <w:rFonts w:ascii="Times New Roman" w:hAnsi="Times New Roman"/>
          <w:color w:val="000000" w:themeColor="text1"/>
          <w:sz w:val="16"/>
          <w:szCs w:val="16"/>
        </w:rPr>
      </w:pPr>
    </w:p>
    <w:p w14:paraId="6453F1D3"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сентября 1940 самолеты с британского авианосца HMS Illustrious атакуют итальянские аэродромы на Родосе (20795).</w:t>
      </w:r>
    </w:p>
    <w:p w14:paraId="03710E7D" w14:textId="77777777" w:rsidR="007C10B0" w:rsidRPr="00A3026E" w:rsidRDefault="007C10B0" w:rsidP="00A3026E">
      <w:pPr>
        <w:spacing w:after="0" w:line="240" w:lineRule="auto"/>
        <w:jc w:val="both"/>
        <w:rPr>
          <w:rFonts w:ascii="Times New Roman" w:hAnsi="Times New Roman"/>
          <w:color w:val="0070C0"/>
          <w:sz w:val="16"/>
          <w:szCs w:val="16"/>
        </w:rPr>
      </w:pPr>
    </w:p>
    <w:p w14:paraId="776D36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А.Гитлер в выступлении пригрозил стереть с лица земли английские города (2240).</w:t>
      </w:r>
    </w:p>
    <w:p w14:paraId="33D1B96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E4C5F65"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сентября 1940 Адольф Гитлер приказывает бомбить Лондон (20795).</w:t>
      </w:r>
    </w:p>
    <w:p w14:paraId="42F470D8" w14:textId="77777777" w:rsidR="007C10B0" w:rsidRPr="00A3026E" w:rsidRDefault="007C10B0" w:rsidP="00A3026E">
      <w:pPr>
        <w:spacing w:after="0" w:line="240" w:lineRule="auto"/>
        <w:jc w:val="both"/>
        <w:rPr>
          <w:rFonts w:ascii="Times New Roman" w:hAnsi="Times New Roman"/>
          <w:color w:val="0070C0"/>
          <w:sz w:val="16"/>
          <w:szCs w:val="16"/>
        </w:rPr>
      </w:pPr>
    </w:p>
    <w:p w14:paraId="0FC26EAD"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4 September 1940(4-15-Sep) Military coup in Romania (270).</w:t>
      </w:r>
    </w:p>
    <w:p w14:paraId="311C968D"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30C85F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произошел военный переворот в Румынии (270) и к власти пришел И.Антонеску (2443,417) в качестве “предводителя” - фюрера (3907,224).</w:t>
      </w:r>
    </w:p>
    <w:p w14:paraId="120218B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57AF3D4" w14:textId="77777777" w:rsidR="00310A8C" w:rsidRPr="00A3026E" w:rsidRDefault="00310A8C"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lastRenderedPageBreak/>
        <w:t xml:space="preserve">4 сентября </w:t>
      </w:r>
      <w:r w:rsidRPr="00A3026E">
        <w:rPr>
          <w:rFonts w:ascii="Times New Roman" w:hAnsi="Times New Roman"/>
          <w:color w:val="000000" w:themeColor="text1"/>
          <w:sz w:val="16"/>
          <w:szCs w:val="16"/>
        </w:rPr>
        <w:t>в 1940 году в Румынии Йон Антонеску получает диктаторские полномочия в качестве "предводителя". 6 сентября король Румынии Кароль II отречется от престола в пользу своего сына Михая, а сам будет вынужден бежать в Швейцарию (14759).</w:t>
      </w:r>
    </w:p>
    <w:p w14:paraId="08E8F392" w14:textId="77777777" w:rsidR="00310A8C" w:rsidRPr="00A3026E" w:rsidRDefault="00310A8C" w:rsidP="00A3026E">
      <w:pPr>
        <w:spacing w:after="0" w:line="240" w:lineRule="auto"/>
        <w:jc w:val="both"/>
        <w:rPr>
          <w:rFonts w:ascii="Times New Roman" w:hAnsi="Times New Roman"/>
          <w:color w:val="000000" w:themeColor="text1"/>
          <w:sz w:val="16"/>
          <w:szCs w:val="16"/>
        </w:rPr>
      </w:pPr>
    </w:p>
    <w:p w14:paraId="6BD4DCB6" w14:textId="77777777" w:rsidR="00310A8C" w:rsidRPr="00A3026E" w:rsidRDefault="00310A8C"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4 сентября </w:t>
      </w:r>
      <w:r w:rsidRPr="00A3026E">
        <w:rPr>
          <w:rFonts w:ascii="Times New Roman" w:hAnsi="Times New Roman"/>
          <w:color w:val="000000" w:themeColor="text1"/>
          <w:sz w:val="16"/>
          <w:szCs w:val="16"/>
        </w:rPr>
        <w:t>в 1940 году посол США в Токио Грю посетил министерство иностранных дел Японии и заявил о заинтересованности США в сохранении статус-кво на Дальнем Востоке. В тот же день Черчилль выступил с аналогичным заявлением в палате лордов английского парламента (14759).</w:t>
      </w:r>
    </w:p>
    <w:p w14:paraId="6024268E" w14:textId="77777777" w:rsidR="00310A8C" w:rsidRPr="00A3026E" w:rsidRDefault="00310A8C" w:rsidP="00A3026E">
      <w:pPr>
        <w:spacing w:after="0" w:line="240" w:lineRule="auto"/>
        <w:jc w:val="both"/>
        <w:rPr>
          <w:rFonts w:ascii="Times New Roman" w:hAnsi="Times New Roman"/>
          <w:color w:val="000000" w:themeColor="text1"/>
          <w:sz w:val="16"/>
          <w:szCs w:val="16"/>
        </w:rPr>
      </w:pPr>
    </w:p>
    <w:p w14:paraId="65E7F9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 американская сеть Колумбия продемонстрировала цветное телевидение (3481).</w:t>
      </w:r>
    </w:p>
    <w:p w14:paraId="0F6B682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687EB27" w14:textId="77777777" w:rsidR="00310A8C" w:rsidRPr="00A3026E" w:rsidRDefault="00310A8C"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4 сентября </w:t>
      </w:r>
      <w:r w:rsidRPr="00A3026E">
        <w:rPr>
          <w:rFonts w:ascii="Times New Roman" w:hAnsi="Times New Roman"/>
          <w:color w:val="000000" w:themeColor="text1"/>
          <w:sz w:val="16"/>
          <w:szCs w:val="16"/>
        </w:rPr>
        <w:t>в 1940 году американская система трансляции Columbia демонстрирует цветное TV на станции W2XAB (14759).</w:t>
      </w:r>
    </w:p>
    <w:p w14:paraId="4754ED1E" w14:textId="77777777" w:rsidR="00310A8C" w:rsidRPr="00A3026E" w:rsidRDefault="00310A8C" w:rsidP="00A3026E">
      <w:pPr>
        <w:spacing w:after="0" w:line="240" w:lineRule="auto"/>
        <w:jc w:val="both"/>
        <w:rPr>
          <w:rFonts w:ascii="Times New Roman" w:hAnsi="Times New Roman"/>
          <w:color w:val="000000" w:themeColor="text1"/>
          <w:sz w:val="16"/>
          <w:szCs w:val="16"/>
        </w:rPr>
      </w:pPr>
    </w:p>
    <w:p w14:paraId="2019695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9EB3FD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0FC0F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5 по 12 сентября и с 13 по 19 сентября завод 24 два раза пытался доказать комиссии, что основные дефекты мотора АМ-35А (недостаточная высотность масляной помпы и разрушение задней опоры валика крыльчатки нагнетателя) им полностью устранены (3448,172).</w:t>
      </w:r>
    </w:p>
    <w:p w14:paraId="00EC059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99EFBA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г. макет самолета ПБШ-1 ОКО завода 1 предъявили ВВС (5278).</w:t>
      </w:r>
    </w:p>
    <w:p w14:paraId="6329C77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4D5ADF1" w14:textId="77777777" w:rsidR="00B03B65" w:rsidRPr="00A3026E" w:rsidRDefault="00B03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5 сентября 1940 года</w:t>
      </w:r>
      <w:r w:rsidRPr="00A3026E">
        <w:rPr>
          <w:rFonts w:ascii="Times New Roman" w:hAnsi="Times New Roman"/>
          <w:color w:val="000000" w:themeColor="text1"/>
          <w:sz w:val="16"/>
          <w:szCs w:val="16"/>
        </w:rPr>
        <w:t xml:space="preserve"> Макет самолета ПБШ-1 предъявили ВВС (14760).</w:t>
      </w:r>
    </w:p>
    <w:p w14:paraId="247ED99C" w14:textId="77777777" w:rsidR="00B03B65" w:rsidRPr="00A3026E" w:rsidRDefault="00B03B65" w:rsidP="00A3026E">
      <w:pPr>
        <w:spacing w:after="0" w:line="240" w:lineRule="auto"/>
        <w:jc w:val="both"/>
        <w:rPr>
          <w:rFonts w:ascii="Times New Roman" w:hAnsi="Times New Roman"/>
          <w:color w:val="000000" w:themeColor="text1"/>
          <w:sz w:val="16"/>
          <w:szCs w:val="16"/>
        </w:rPr>
      </w:pPr>
    </w:p>
    <w:p w14:paraId="316EEE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макет ПБШ-1 ОКБ А.И.М. был предъявлен Заказчику, который его не утвердил, как не утвердил и дополнительные материалы к эскизному проекту улучшенного варианта машины, представленные ОКО примерно в это же время (9649).</w:t>
      </w:r>
    </w:p>
    <w:p w14:paraId="07B0DF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второго варианта ПБШ-1 была увеличена с 30,5 м2 до 33,0 м2. На участке размаха элеронов предусматривалась установка автоматических предкрылков.</w:t>
      </w:r>
    </w:p>
    <w:p w14:paraId="278BF6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колеса шасси 700х300 мм заменялись спаренными 650х200 мм.</w:t>
      </w:r>
    </w:p>
    <w:p w14:paraId="3F7C26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Изменилось расположение водо-радиатора - он размещался под полом кабины летчика, а вход и выход - под фюзеляжем.</w:t>
      </w:r>
    </w:p>
    <w:p w14:paraId="18E677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Вместо бензобаков емкостью 650 и 110 л. устанавливались бензобаки емкостью 430 и 450 л. и, таким образом, общая емкость увеличивалась на 120л.</w:t>
      </w:r>
    </w:p>
    <w:p w14:paraId="5C72F5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брони самолета возрос до 1390 кг. Толщина брони, защищающей мотор увеличена с 4,5 до 5,5 мм. Часть брони с 5,5 мм увеличена до 7,5 мм.</w:t>
      </w:r>
    </w:p>
    <w:p w14:paraId="412E37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Бомбардировочное вооружение было усилено: центропланный бомбо-отсек теперь включал четыре секции, в каждой из которой могли размещаться бомбы калибра до 100 кг.</w:t>
      </w:r>
    </w:p>
    <w:p w14:paraId="25069C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на внутренней подвеске обеспечивалась подвеска 400 кг бомб. Кроме того, максимальный калибр бомб на подкрыльевых бомбодержателях был увеличен до 250 кг.</w:t>
      </w:r>
    </w:p>
    <w:p w14:paraId="09ACB3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машины у земли по проекту должна была составлять 446 км/ч, а на высоте 1000 м -472 км/ч.</w:t>
      </w:r>
    </w:p>
    <w:p w14:paraId="418173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нормального полетного веса 5400 кг центровка самолета стала более передней и составила 23,2% САХ.</w:t>
      </w:r>
    </w:p>
    <w:p w14:paraId="1E3CEF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Требуемого улучшения взлетно-посадочных свойств ПБШ-1 достигнуто не было. Увеличение механизации крыла было невозможно из за размещения большого числа стволов вооружения в консолях крыла.</w:t>
      </w:r>
    </w:p>
    <w:p w14:paraId="22C96E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Увеличение же площади крыла неизбежно должно было привести к снижению максимальной скорости полета. которая и так была не велика.</w:t>
      </w:r>
    </w:p>
    <w:p w14:paraId="24ABD5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этим ОКО рекомендовалось использовать редукцию мотора 0732 или даже 0,550 вместо 0,902, а также использовать винт диаметром 3,3 м.</w:t>
      </w:r>
    </w:p>
    <w:p w14:paraId="6F2BAB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прочности в варианте пикирующего бомбардировщика с двумя ФАБ-250 был не более 8,75, что в принципе было недостаточным.</w:t>
      </w:r>
    </w:p>
    <w:p w14:paraId="7957B4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очевидные недостатки доработанного проекта, специалисты НИИ ВВС КА все же рекомендовали второй вариант ПБШ-1 к постройке (9649).</w:t>
      </w:r>
    </w:p>
    <w:p w14:paraId="34B6E17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6F359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года в НИИ ВВС был выдан наряд-приказ № 0178</w:t>
      </w:r>
    </w:p>
    <w:p w14:paraId="20BE9A1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 головного серийного самолета ДБ3-Ф с моторами 2М87Б с винтами ВИШ-23 за № 180630 постройки завода № 18 (6890, 78).</w:t>
      </w:r>
    </w:p>
    <w:p w14:paraId="4B2921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3FB81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зам. наркома Авиапрома Яковлев писал письмо секретарю КО при СНК М. Пугаеву.</w:t>
      </w:r>
    </w:p>
    <w:p w14:paraId="62914F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постановления правительства от 26-го января 1940 года за N 132-60сс в течение 2-3-х месяцев должен быть создан перспективный, целеустремленный план опытных работ по боевым самолетам.</w:t>
      </w:r>
    </w:p>
    <w:p w14:paraId="7B9FA0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целью своевременной постановки и решения задач, необходимых для выполнения требований, предъявляемых ВВС к будущим самолетам, моторам и винтам, НКАП сообщил письмом от 3-го июня 1940 года начальнику ВВС, Герою Советского Союза, Смушкевичу о необходимости ускорить составление перспективного плана и передачу его НКАП.</w:t>
      </w:r>
    </w:p>
    <w:p w14:paraId="35DC00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Неполучение до настоящего времени требуемых летно-тактических характеристик самолетов, задерживает производство соответствующих расчетов, исследований и определение направлений в работе конструкторских бюро и научно-исследовательских институтов НКАП на текущий и последующие годы.</w:t>
      </w:r>
    </w:p>
    <w:p w14:paraId="53FBA2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Отсутствие перспективного плана лишает возможности загрузить планомерно новыми заданиями опытно-конструкторские бюро НКАП и вынуждает составлять инициативные проекты новых самолетов вне связи с общими перспективами развития боевых самолетов.</w:t>
      </w:r>
    </w:p>
    <w:p w14:paraId="779DD0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обязать НКО (ВВС) передать НКАП в кратчайшие сроки летно-тактические характеристики боевых самолетов, необходимых РККА на ближайшие 2-3 года (2090,179).</w:t>
      </w:r>
    </w:p>
    <w:p w14:paraId="7C4FA57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8B1D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5 сентября по 4 октября 1940 проходили гос. испытания серийного ДБ-3Ф N 180630 производства 18 завода (796,29).</w:t>
      </w:r>
    </w:p>
    <w:p w14:paraId="720A84C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89552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5 сентября по 4 октября 1940 года проходили гос. испытания головного серийного самолета ДБ-3Ф 2М-87Б № 180630 с винтами ВИШ-23А Производства завода № 18</w:t>
      </w:r>
    </w:p>
    <w:p w14:paraId="3391F5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0196D2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НИИ ВВС майор Костюк М.Н.</w:t>
      </w:r>
    </w:p>
    <w:p w14:paraId="122053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НИИ ВВС капитан Сыроегин А.Д.</w:t>
      </w:r>
    </w:p>
    <w:p w14:paraId="7D2621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3AD3B4C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летно-технические данные серийного самолета ДБ-3Ф 2М-87Б с ВИШ-23 постройки завода НКАП № 18.</w:t>
      </w:r>
    </w:p>
    <w:p w14:paraId="66CABDB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температурные режимы винто-моторной группы самолета с моторами М-87Б, винтами ВИШ-23 и двумя воздушно-масляными радиаторами на каждом моторе.</w:t>
      </w:r>
    </w:p>
    <w:p w14:paraId="0ADCC84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вооружения и специального оборудования.</w:t>
      </w:r>
    </w:p>
    <w:p w14:paraId="52FC51D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возможность выполнения ночных полетов.</w:t>
      </w:r>
    </w:p>
    <w:p w14:paraId="34DC7D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 18 предъявлен на гос. испытания головной серийный самолет ДБ-3Ф 2М-87Б с винтами ВИШ-23А.</w:t>
      </w:r>
    </w:p>
    <w:p w14:paraId="09BCBE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сравнению с опытным самолетом ДБ-3Ф 2М87 с ВИШ-3 завода № 39, предъявленный самолет имеет следующие изменения:</w:t>
      </w:r>
    </w:p>
    <w:p w14:paraId="28E75F6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Винты ВИШ-3 заменены винтами ВИШ-23А.</w:t>
      </w:r>
    </w:p>
    <w:p w14:paraId="4F4391A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Вместо турели типа СУ ДБ-3 установлена турель типа МВ-3, а вместо ЛУ-ДБ-3, люковая установка типа МВ-2.</w:t>
      </w:r>
    </w:p>
    <w:p w14:paraId="6E37F6C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Взамен одного 8-ми дюймового воздушно-масляного радиатора, расположенного в носке крыла и не выходящего из габаритов носка крыла, установлено на каждый мотор по 2 воздушно-масляных радиатора, расположенных в носке крыла перпендикулярно переднему лонжерону и выступающим из габаритов носка крыла.</w:t>
      </w:r>
    </w:p>
    <w:p w14:paraId="7403303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Воздушно-масляные радиаторы имеют синхронно работающие жалюзи на входе и заслонки на выходе из туннелей радиаторов.</w:t>
      </w:r>
    </w:p>
    <w:p w14:paraId="395CCA6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Установлены 2 кассеты типа КАС-8 под парашютные ракеты ПР-8.</w:t>
      </w:r>
    </w:p>
    <w:p w14:paraId="37CD9BF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Предусмотрено гнездо для установки фотоаппарата АФА-Б.</w:t>
      </w:r>
    </w:p>
    <w:p w14:paraId="65E56F0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Антенна РПК-2 вынесена под фюзеляж в специальный обтекатель.</w:t>
      </w:r>
    </w:p>
    <w:p w14:paraId="2DE15C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39933A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испытания 5 сентября 1940 года</w:t>
      </w:r>
    </w:p>
    <w:p w14:paraId="60390E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окончил испытания 4 октября 1940 года</w:t>
      </w:r>
    </w:p>
    <w:p w14:paraId="07E6A8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испытаний 30 дней, из них летные испытания – 10 дней.</w:t>
      </w:r>
    </w:p>
    <w:p w14:paraId="36CF42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произведено 59 полетов общей продолжительностью 27 час. 49 мин., из них:</w:t>
      </w:r>
    </w:p>
    <w:p w14:paraId="482ACB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Высотных – 6 полетов продолжительностью 14 час. 18 мин.</w:t>
      </w:r>
    </w:p>
    <w:p w14:paraId="2CCE0A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Ночных – 7 полетов продолжительностью 1 час. 20 мин.</w:t>
      </w:r>
    </w:p>
    <w:p w14:paraId="776932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дальность – 1 полет продолжительностью 4 час. 40 мин.</w:t>
      </w:r>
    </w:p>
    <w:p w14:paraId="19D341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88A8D3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самолет ДБ-3Ф 2М-87Б с ВИШ-23 № 180630 производства завода НКАП № 18 на гос. испытаниях показал максимальную скорость 405 км/час на высоте 4900 м.</w:t>
      </w:r>
    </w:p>
    <w:p w14:paraId="56595ABD" w14:textId="77777777" w:rsidR="00C66762" w:rsidRPr="00A3026E" w:rsidRDefault="00C66762" w:rsidP="00A3026E">
      <w:pPr>
        <w:pStyle w:val="a3"/>
        <w:widowControl/>
        <w:rPr>
          <w:color w:val="000000" w:themeColor="text1"/>
          <w:lang w:val="ru-RU"/>
        </w:rPr>
      </w:pPr>
      <w:r w:rsidRPr="00A3026E">
        <w:rPr>
          <w:color w:val="000000" w:themeColor="text1"/>
          <w:lang w:val="ru-RU"/>
        </w:rPr>
        <w:t>Согласно постановления КО за № 222 сс от 1939 года, максимальная скорость самолета ДБ-3Ф 2М-88 должна быть 485 км/час на высоте 7000 м (4554).</w:t>
      </w:r>
    </w:p>
    <w:p w14:paraId="3CFAEEFC" w14:textId="77777777" w:rsidR="00C66762" w:rsidRPr="00A3026E" w:rsidRDefault="00C66762" w:rsidP="00A3026E">
      <w:pPr>
        <w:pStyle w:val="a3"/>
        <w:widowControl/>
        <w:rPr>
          <w:color w:val="000000" w:themeColor="text1"/>
          <w:lang w:val="ru-RU"/>
        </w:rPr>
      </w:pPr>
    </w:p>
    <w:p w14:paraId="01AF09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года зам. начальника вооружения и снабжения ВВС бригинженер Федоров писал письмо № 501670 зам. наркома авиапрома Яковлеву</w:t>
      </w:r>
    </w:p>
    <w:p w14:paraId="3314BF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сообщению НИИ ВВС передача самолета ДБ-240 на госиспытания предполагается 6-8 сентября.</w:t>
      </w:r>
    </w:p>
    <w:p w14:paraId="3DFC80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Резиновые же покрышки колес 1100х400 слабы и требуют замены через несколько посадок. Завод № 240 не имеет запаса покрышек, а отсутствие запаса покрышек может сорвать сроки госиспытаний самолета (7711, 77).</w:t>
      </w:r>
    </w:p>
    <w:p w14:paraId="1AE2A16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55E9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5 по 9 сентября 1940 проходили государственные испытания конусной установки конструкции завода N 1 на самолете И-153 (2985).</w:t>
      </w:r>
    </w:p>
    <w:p w14:paraId="11E0E1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7B2AB7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Ведущий летчик - майор Хомяков</w:t>
      </w:r>
    </w:p>
    <w:p w14:paraId="30C474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Ведущий инженер - в/инж. 3-го ранга Волова.</w:t>
      </w:r>
    </w:p>
    <w:p w14:paraId="7BBEEE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66C4B9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Испытание надежности и безотказности работы конусной установки на самолете И-153 N 8298.</w:t>
      </w:r>
    </w:p>
    <w:p w14:paraId="241A90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Проверка способа укладки конуса и фалы в гамачек, отработанного в результате заводских испытаний.</w:t>
      </w:r>
    </w:p>
    <w:p w14:paraId="2A3883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Испытание фалы и конуса на разрушение.</w:t>
      </w:r>
    </w:p>
    <w:p w14:paraId="552596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Выявление эксплуатационных качеств установки.</w:t>
      </w:r>
    </w:p>
    <w:p w14:paraId="1E1936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 испытаний.</w:t>
      </w:r>
    </w:p>
    <w:p w14:paraId="4852C8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Испытанию подлежала установка на самолете И-153 N 8298 конструкции завода N 1.</w:t>
      </w:r>
    </w:p>
    <w:p w14:paraId="2AEF92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в основном состоит из:</w:t>
      </w:r>
    </w:p>
    <w:p w14:paraId="43D82E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гамачка с чалой и конусом.</w:t>
      </w:r>
    </w:p>
    <w:p w14:paraId="577C0D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2-х замков для крепления гамачка.</w:t>
      </w:r>
    </w:p>
    <w:p w14:paraId="4D1672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2-х ручек управления конуса с тросовой проводкой от них к замкам.</w:t>
      </w:r>
    </w:p>
    <w:p w14:paraId="7141CE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49D9C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Конусная установка завода N 1 на самолете И-153 N 8298 государственные испытания выдержала.</w:t>
      </w:r>
    </w:p>
    <w:p w14:paraId="2D7CBF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возможным принять данную установку на вооружение, при условии устранения всех недостатков и дефектов указанных в отчете.</w:t>
      </w:r>
    </w:p>
    <w:p w14:paraId="25D95B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полетов.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983732" w:rsidRPr="00A3026E" w14:paraId="0E7A943E" w14:textId="77777777" w:rsidTr="00EA0DA7">
        <w:tc>
          <w:tcPr>
            <w:tcW w:w="5749" w:type="dxa"/>
            <w:tcBorders>
              <w:top w:val="single" w:sz="12" w:space="0" w:color="auto"/>
            </w:tcBorders>
          </w:tcPr>
          <w:p w14:paraId="1E980B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5/IX</w:t>
            </w:r>
          </w:p>
        </w:tc>
        <w:tc>
          <w:tcPr>
            <w:tcW w:w="5749" w:type="dxa"/>
            <w:tcBorders>
              <w:top w:val="single" w:sz="12" w:space="0" w:color="auto"/>
            </w:tcBorders>
          </w:tcPr>
          <w:p w14:paraId="4A03CA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растряску.</w:t>
            </w:r>
          </w:p>
        </w:tc>
      </w:tr>
      <w:tr w:rsidR="00983732" w:rsidRPr="00A3026E" w14:paraId="371EAF25" w14:textId="77777777" w:rsidTr="00EA0DA7">
        <w:tc>
          <w:tcPr>
            <w:tcW w:w="5749" w:type="dxa"/>
          </w:tcPr>
          <w:p w14:paraId="0F95C8A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004020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F2DB8D9" w14:textId="77777777" w:rsidTr="00EA0DA7">
        <w:tc>
          <w:tcPr>
            <w:tcW w:w="5749" w:type="dxa"/>
          </w:tcPr>
          <w:p w14:paraId="2F31E7A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28909E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выбрасывание и буксирование</w:t>
            </w:r>
          </w:p>
        </w:tc>
      </w:tr>
      <w:tr w:rsidR="00983732" w:rsidRPr="00A3026E" w14:paraId="79D73146" w14:textId="77777777" w:rsidTr="00EA0DA7">
        <w:tc>
          <w:tcPr>
            <w:tcW w:w="5749" w:type="dxa"/>
          </w:tcPr>
          <w:p w14:paraId="2819330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69C65C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конуса с разными скоростями.</w:t>
            </w:r>
          </w:p>
        </w:tc>
      </w:tr>
      <w:tr w:rsidR="00983732" w:rsidRPr="00A3026E" w14:paraId="7A31F3B1" w14:textId="77777777" w:rsidTr="00EA0DA7">
        <w:tc>
          <w:tcPr>
            <w:tcW w:w="5749" w:type="dxa"/>
          </w:tcPr>
          <w:p w14:paraId="4F8A53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6/IX</w:t>
            </w:r>
          </w:p>
        </w:tc>
        <w:tc>
          <w:tcPr>
            <w:tcW w:w="5749" w:type="dxa"/>
          </w:tcPr>
          <w:p w14:paraId="089FEC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EAF01BF" w14:textId="77777777" w:rsidTr="00EA0DA7">
        <w:tc>
          <w:tcPr>
            <w:tcW w:w="5749" w:type="dxa"/>
          </w:tcPr>
          <w:p w14:paraId="695EC15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732CF4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DA371F5" w14:textId="77777777" w:rsidTr="00EA0DA7">
        <w:tc>
          <w:tcPr>
            <w:tcW w:w="5749" w:type="dxa"/>
          </w:tcPr>
          <w:p w14:paraId="3AE2B02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258D02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12E1C4E" w14:textId="77777777" w:rsidTr="00EA0DA7">
        <w:tc>
          <w:tcPr>
            <w:tcW w:w="5749" w:type="dxa"/>
          </w:tcPr>
          <w:p w14:paraId="725793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7/IX</w:t>
            </w:r>
          </w:p>
        </w:tc>
        <w:tc>
          <w:tcPr>
            <w:tcW w:w="5749" w:type="dxa"/>
          </w:tcPr>
          <w:p w14:paraId="24CB2A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максимальной</w:t>
            </w:r>
          </w:p>
        </w:tc>
      </w:tr>
      <w:tr w:rsidR="00983732" w:rsidRPr="00A3026E" w14:paraId="0692BDD0" w14:textId="77777777" w:rsidTr="00EA0DA7">
        <w:tc>
          <w:tcPr>
            <w:tcW w:w="5749" w:type="dxa"/>
          </w:tcPr>
          <w:p w14:paraId="0100A55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10D2EB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скорости буксирования Н=1000 м</w:t>
            </w:r>
          </w:p>
        </w:tc>
      </w:tr>
      <w:tr w:rsidR="00983732" w:rsidRPr="00A3026E" w14:paraId="0DBB58E6" w14:textId="77777777" w:rsidTr="00EA0DA7">
        <w:tc>
          <w:tcPr>
            <w:tcW w:w="5749" w:type="dxa"/>
          </w:tcPr>
          <w:p w14:paraId="4688805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7DB116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 же, но Н=2000 м.</w:t>
            </w:r>
          </w:p>
        </w:tc>
      </w:tr>
      <w:tr w:rsidR="00983732" w:rsidRPr="00A3026E" w14:paraId="0C6A2009" w14:textId="77777777" w:rsidTr="00EA0DA7">
        <w:tc>
          <w:tcPr>
            <w:tcW w:w="5749" w:type="dxa"/>
          </w:tcPr>
          <w:p w14:paraId="674E273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3C43B4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 же, но Н=4000 м.</w:t>
            </w:r>
          </w:p>
        </w:tc>
      </w:tr>
      <w:tr w:rsidR="00983732" w:rsidRPr="00A3026E" w14:paraId="103AE62D" w14:textId="77777777" w:rsidTr="00EA0DA7">
        <w:tc>
          <w:tcPr>
            <w:tcW w:w="5749" w:type="dxa"/>
          </w:tcPr>
          <w:p w14:paraId="5E5BB6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9/IX</w:t>
            </w:r>
          </w:p>
        </w:tc>
        <w:tc>
          <w:tcPr>
            <w:tcW w:w="5749" w:type="dxa"/>
          </w:tcPr>
          <w:p w14:paraId="7F663C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потолка с</w:t>
            </w:r>
          </w:p>
        </w:tc>
      </w:tr>
      <w:tr w:rsidR="00983732" w:rsidRPr="00A3026E" w14:paraId="2A64A4EB" w14:textId="77777777" w:rsidTr="00EA0DA7">
        <w:tc>
          <w:tcPr>
            <w:tcW w:w="5749" w:type="dxa"/>
          </w:tcPr>
          <w:p w14:paraId="3E9CFCD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279C18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буксируемым конусом.</w:t>
            </w:r>
          </w:p>
        </w:tc>
      </w:tr>
      <w:tr w:rsidR="00983732" w:rsidRPr="00A3026E" w14:paraId="45034B29" w14:textId="77777777" w:rsidTr="00EA0DA7">
        <w:tc>
          <w:tcPr>
            <w:tcW w:w="5749" w:type="dxa"/>
          </w:tcPr>
          <w:p w14:paraId="72178A9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0C2D68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надежности</w:t>
            </w:r>
          </w:p>
        </w:tc>
      </w:tr>
      <w:tr w:rsidR="00983732" w:rsidRPr="00A3026E" w14:paraId="78C51869" w14:textId="77777777" w:rsidTr="00EA0DA7">
        <w:tc>
          <w:tcPr>
            <w:tcW w:w="5749" w:type="dxa"/>
          </w:tcPr>
          <w:p w14:paraId="2A674D8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5816AB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установки и определение наивыгоднейшей</w:t>
            </w:r>
          </w:p>
        </w:tc>
      </w:tr>
      <w:tr w:rsidR="00983732" w:rsidRPr="00A3026E" w14:paraId="4E5A312E" w14:textId="77777777" w:rsidTr="00EA0DA7">
        <w:tc>
          <w:tcPr>
            <w:tcW w:w="5749" w:type="dxa"/>
          </w:tcPr>
          <w:p w14:paraId="3C466B0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7485DC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скорости выпуска Н=5000 м.</w:t>
            </w:r>
          </w:p>
        </w:tc>
      </w:tr>
      <w:tr w:rsidR="00983732" w:rsidRPr="00A3026E" w14:paraId="672A4A4C" w14:textId="77777777" w:rsidTr="00EA0DA7">
        <w:tc>
          <w:tcPr>
            <w:tcW w:w="5749" w:type="dxa"/>
          </w:tcPr>
          <w:p w14:paraId="751D9A3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0BB2D8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7EB8C9C" w14:textId="77777777" w:rsidTr="00EA0DA7">
        <w:tc>
          <w:tcPr>
            <w:tcW w:w="5749" w:type="dxa"/>
          </w:tcPr>
          <w:p w14:paraId="5C7144D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006AAF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9662CE5" w14:textId="77777777" w:rsidTr="00EA0DA7">
        <w:tc>
          <w:tcPr>
            <w:tcW w:w="5749" w:type="dxa"/>
            <w:tcBorders>
              <w:bottom w:val="single" w:sz="12" w:space="0" w:color="auto"/>
            </w:tcBorders>
          </w:tcPr>
          <w:p w14:paraId="427E060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Borders>
              <w:bottom w:val="single" w:sz="12" w:space="0" w:color="auto"/>
            </w:tcBorders>
          </w:tcPr>
          <w:p w14:paraId="77BA19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(2985)</w:t>
            </w:r>
          </w:p>
        </w:tc>
      </w:tr>
    </w:tbl>
    <w:p w14:paraId="1FD525D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1931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в ходе гос. испытаний И-200 АМ-35А, которые проходили в НИИ ВВС с 19 августа по 12 сентября 1940, на машине N 6302 было выполнено 3 полета (1:50), включая 2 на скороподъемность и скорость по высотам и один на маневренность на 5000 м, а на машине 6303 один полет на стрельбу по конусу (0:10) - стрельбы не было т.к. мотор буксировщика грелся, полет на устойчивость с нормальной центровкой (0:40) (2925).</w:t>
      </w:r>
    </w:p>
    <w:p w14:paraId="14927BE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2A83B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г. последо</w:t>
      </w:r>
      <w:r w:rsidRPr="00A3026E">
        <w:rPr>
          <w:rFonts w:ascii="Times New Roman" w:hAnsi="Times New Roman"/>
          <w:color w:val="000000" w:themeColor="text1"/>
          <w:sz w:val="16"/>
          <w:szCs w:val="16"/>
        </w:rPr>
        <w:softHyphen/>
        <w:t>вал приказ о запрещении эксплуатации М-63 «из-за заклинивания с проворачиванием фиксирующей втул</w:t>
      </w:r>
      <w:r w:rsidRPr="00A3026E">
        <w:rPr>
          <w:rFonts w:ascii="Times New Roman" w:hAnsi="Times New Roman"/>
          <w:color w:val="000000" w:themeColor="text1"/>
          <w:sz w:val="16"/>
          <w:szCs w:val="16"/>
        </w:rPr>
        <w:softHyphen/>
        <w:t>ки главного шатуна». Только после этого КБ А.Д.Швецова и моторный завод № 19 в спешном поряд</w:t>
      </w:r>
      <w:r w:rsidRPr="00A3026E">
        <w:rPr>
          <w:rFonts w:ascii="Times New Roman" w:hAnsi="Times New Roman"/>
          <w:color w:val="000000" w:themeColor="text1"/>
          <w:sz w:val="16"/>
          <w:szCs w:val="16"/>
        </w:rPr>
        <w:softHyphen/>
        <w:t>ке начали внедрять в производство М-63 соответствую</w:t>
      </w:r>
      <w:r w:rsidRPr="00A3026E">
        <w:rPr>
          <w:rFonts w:ascii="Times New Roman" w:hAnsi="Times New Roman"/>
          <w:color w:val="000000" w:themeColor="text1"/>
          <w:sz w:val="16"/>
          <w:szCs w:val="16"/>
        </w:rPr>
        <w:softHyphen/>
        <w:t>щие доработки (10667).</w:t>
      </w:r>
    </w:p>
    <w:p w14:paraId="1AFFEE5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766C8E8"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г. последовал приказ о запрещении эксплуатации моторов М 63 "из-за заклинивания с проворачиванием фиксирующей втулки главного шатуна". ВВС прекращали приемку моторов этого типа на заводе №19. Только после этого на заводе начали в спешном порядке дорабатывать технологию производства, на КБ А.Д. Швецова возложили обязанность упростить конструкцию некоторых деталей и повысить их прочность. Чтобы использовать парк машин, ВВС дали указание эксплуатировать моторы М 63 на режимах пониженной мощности, т.е. на режимах мотора М 62. В результате предпринятых мер с декабря 1940 г. производство М 63 было восстановлено, а с завода в части и ремонтные базы ВВС были поставлены для замены доработанные детали и агрегаты мотора (19534).</w:t>
      </w:r>
    </w:p>
    <w:p w14:paraId="6D36558E" w14:textId="77777777" w:rsidR="00CD3361" w:rsidRPr="00A3026E" w:rsidRDefault="00CD3361" w:rsidP="00A3026E">
      <w:pPr>
        <w:spacing w:after="0" w:line="240" w:lineRule="auto"/>
        <w:jc w:val="both"/>
        <w:rPr>
          <w:rFonts w:ascii="Times New Roman" w:hAnsi="Times New Roman"/>
          <w:color w:val="000000" w:themeColor="text1"/>
          <w:sz w:val="16"/>
          <w:szCs w:val="16"/>
        </w:rPr>
      </w:pPr>
    </w:p>
    <w:p w14:paraId="587D0A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года начальник научно-испытательного полигона АВ ВВС полковник Шевченко утвердил Отчет по полигонным испытаниям авиабомб ФАБ-50 и 100 (цельнокованных) с упрощенным подвесным ушком конструкции ГСКБ-47, которые проходили с 9 по 17 августа 1940 года (3004).</w:t>
      </w:r>
    </w:p>
    <w:p w14:paraId="5000B3B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5FA5B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Начю 1-го отделения 4-го отдела 4-го управления ГУАС КА бригинтендант Апухтин подготовил:</w:t>
      </w:r>
    </w:p>
    <w:p w14:paraId="30A755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 р а в-к а по вопросу об изобретениях тов.Гроховского.</w:t>
      </w:r>
    </w:p>
    <w:p w14:paraId="1E757A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Гроховский с 1929 по 1934 г. включительно находился на службе в РККА.</w:t>
      </w:r>
    </w:p>
    <w:p w14:paraId="1BE6B1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1931 по 1933 г. он возглавлял Особое Констр.Бюро ВВС РККА</w:t>
      </w:r>
    </w:p>
    <w:p w14:paraId="7C24A5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1933 по 1934 г.он возглавлял Десантный отдел НИИ ВВС РККА.</w:t>
      </w:r>
    </w:p>
    <w:p w14:paraId="24DEF0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Особое Конструкторское Бюро, так и Десантный отдел НИИ ВВС РККА имели своим назначением постройку опытных образцов десантного имуще</w:t>
      </w:r>
      <w:r w:rsidRPr="00A3026E">
        <w:rPr>
          <w:rFonts w:ascii="Times New Roman" w:hAnsi="Times New Roman"/>
          <w:color w:val="000000" w:themeColor="text1"/>
          <w:sz w:val="16"/>
          <w:szCs w:val="16"/>
        </w:rPr>
        <w:softHyphen/>
        <w:t>ства.</w:t>
      </w:r>
    </w:p>
    <w:p w14:paraId="17B483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этой цели выделялись значительные средства и ежегодно командованием НИИ ВВС и ВВС КА утверждался план работ по десантному имуще</w:t>
      </w:r>
      <w:r w:rsidRPr="00A3026E">
        <w:rPr>
          <w:rFonts w:ascii="Times New Roman" w:hAnsi="Times New Roman"/>
          <w:color w:val="000000" w:themeColor="text1"/>
          <w:sz w:val="16"/>
          <w:szCs w:val="16"/>
        </w:rPr>
        <w:softHyphen/>
        <w:t>ству.</w:t>
      </w:r>
    </w:p>
    <w:p w14:paraId="0331F9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Гроховский сам непосредственно конструкций не разрабатывал, а это под его руководством выполнял коллектив Особого Констр.бюро или Десантного отдела, или Экспериментального института (последний в НКТП с 1935 г.).</w:t>
      </w:r>
    </w:p>
    <w:p w14:paraId="2F44AC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существу об'ектов, указанных в списке т. Гроховского, можно указать следующее:</w:t>
      </w:r>
    </w:p>
    <w:p w14:paraId="788A5E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Летающая батарея - в серии не строилась. По неуточненным данным потому, что наблюдались случаи деформации узлов на ТБ-3, на ко</w:t>
      </w:r>
      <w:r w:rsidRPr="00A3026E">
        <w:rPr>
          <w:rFonts w:ascii="Times New Roman" w:hAnsi="Times New Roman"/>
          <w:color w:val="000000" w:themeColor="text1"/>
          <w:sz w:val="16"/>
          <w:szCs w:val="16"/>
        </w:rPr>
        <w:softHyphen/>
        <w:t>торые были установлены пушки.</w:t>
      </w:r>
    </w:p>
    <w:p w14:paraId="6F5CE5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Десант. хл. бум. парашют в том виде, в каком он был предложен, не был принят. На снабжение был принят парашют, являющийся копией аме</w:t>
      </w:r>
      <w:r w:rsidRPr="00A3026E">
        <w:rPr>
          <w:rFonts w:ascii="Times New Roman" w:hAnsi="Times New Roman"/>
          <w:color w:val="000000" w:themeColor="text1"/>
          <w:sz w:val="16"/>
          <w:szCs w:val="16"/>
        </w:rPr>
        <w:softHyphen/>
        <w:t>риканского тренировочного парашюта “ПТ-1", но с заменой части купола и строп на хл. бумажные»</w:t>
      </w:r>
    </w:p>
    <w:p w14:paraId="59CC4E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Универсальный парашют Г-36 испытаний не выдержал и на снаб</w:t>
      </w:r>
      <w:r w:rsidRPr="00A3026E">
        <w:rPr>
          <w:rFonts w:ascii="Times New Roman" w:hAnsi="Times New Roman"/>
          <w:color w:val="000000" w:themeColor="text1"/>
          <w:sz w:val="16"/>
          <w:szCs w:val="16"/>
        </w:rPr>
        <w:softHyphen/>
        <w:t>жение не принят - забракован.</w:t>
      </w:r>
    </w:p>
    <w:p w14:paraId="0DEBC3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Парашютный дистанционный автомат забракован, не принят на снабжение.</w:t>
      </w:r>
    </w:p>
    <w:p w14:paraId="28B38C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5. Парашют точного приземления - испытаний не выдержал - не принят.</w:t>
      </w:r>
    </w:p>
    <w:p w14:paraId="0B2A74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Десантная подвесная кабина под ТБ-1 была принята и построена в размере небольшой партии. Кабина разработана конструктором Зуевым.</w:t>
      </w:r>
    </w:p>
    <w:p w14:paraId="76BC27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Подвесные кассеты под Р-5 разработаны конструкторами Троицким, Гусевым и Соколовым.</w:t>
      </w:r>
    </w:p>
    <w:p w14:paraId="2B568D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Грузовые парашюты диам. 3, 8, 12, 20, 25 и 30 метров по конструкции являются копией людских парашютов По заданию Гроховского подбирал материалы и строил их т. Сергушев.</w:t>
      </w:r>
    </w:p>
    <w:p w14:paraId="3284B5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Грузовые марлевые парашюты в серийное производство не внедрены - забракованы.</w:t>
      </w:r>
    </w:p>
    <w:p w14:paraId="28248F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Картонажный Транспортный мешок ПГ-2к был принят на снабжение и строился в серии. Конструкция Гроховского и Малынича.</w:t>
      </w:r>
    </w:p>
    <w:p w14:paraId="1D9648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Овальный грузовой короб - создан конструктором т. Зуе</w:t>
      </w:r>
      <w:r w:rsidRPr="00A3026E">
        <w:rPr>
          <w:rFonts w:ascii="Times New Roman" w:hAnsi="Times New Roman"/>
          <w:color w:val="000000" w:themeColor="text1"/>
          <w:sz w:val="16"/>
          <w:szCs w:val="16"/>
        </w:rPr>
        <w:softHyphen/>
        <w:t>вым. Был принят на снабжение и строился в серии.</w:t>
      </w:r>
    </w:p>
    <w:p w14:paraId="29667B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Мягкий транспортный мешок - Конструктора т. Бобков и Титов. Принят на снабжение, строился в серии. Титов авторский гонорар в 1938 г. получил от НКЛегпрома СССР.</w:t>
      </w:r>
    </w:p>
    <w:p w14:paraId="5B9A1D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Подвесной бензиново-маслянный бак на 60 литров. Был принят на снабжение и строился в серии. Конструктора - Гроховский, Малынич и Титов.</w:t>
      </w:r>
    </w:p>
    <w:p w14:paraId="4265D3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Установка для мотоцикла Харлей. Разработана т.Зуевым, была принята на снабже ние и построена в небольшом количестве.</w:t>
      </w:r>
    </w:p>
    <w:p w14:paraId="577856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Прибор для прокладки кабеля. Был принят на снабжение и построен в размере небольших партий. Конструктора: Законованный, Титов. Идея т. Данилова.</w:t>
      </w:r>
    </w:p>
    <w:p w14:paraId="3EAD3E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Диверсионные собаки. Конструктор Модин. Построена небольшая партия.</w:t>
      </w:r>
    </w:p>
    <w:p w14:paraId="1734A6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17,18,19 и 20. Универсальная рама ПГ-12 для перевозки грузового автомобиля, танка "Амфибии", автомобиля ”Пикап", 2-х орудий 76 мм., в посадочном варианте была принята на снаб</w:t>
      </w:r>
      <w:r w:rsidRPr="00A3026E">
        <w:rPr>
          <w:rFonts w:ascii="Times New Roman" w:hAnsi="Times New Roman"/>
          <w:color w:val="000000" w:themeColor="text1"/>
          <w:sz w:val="16"/>
          <w:szCs w:val="16"/>
        </w:rPr>
        <w:softHyphen/>
        <w:t>жение, но еще до передачи в части военной приемкой были обнаружены крупнейшие конструктивные дефекты, делавшие эксплоатацию рамы невозможной. Конструкция ПГ-12 также переделана Конструктором Прокофьевым и после переделки поступила на снабжение под названием ПГ-12 П.</w:t>
      </w:r>
    </w:p>
    <w:p w14:paraId="59D4AC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ПГ-12 создана Конструкторами Блюмом и Гусевым.</w:t>
      </w:r>
    </w:p>
    <w:p w14:paraId="4EDB42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Метод срыва для сбрасывания тяжелых объектов. Разработан Бобковым и Зуевым. Метод срыва разрешал вопрос отделения груза от самолета для сбрасывания на парашюте, но не разрешал вопроса сохранения сбрасываемого объекта после приземления. Все крупные объекты при наличии небольшого ветра получали после приземления серьезные поврездения, т.к. объект опрокидывало парашютом, являвшимся корпусом и тащившим объект по земле</w:t>
      </w:r>
    </w:p>
    <w:p w14:paraId="4CA364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Грузовая парашютная клеть - построена в количестве 4-х экз., дальше не строилась по указанным в п. 21 причинам.</w:t>
      </w:r>
    </w:p>
    <w:p w14:paraId="33402F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Установка 2-х мотоциклов с коляской - тоже.</w:t>
      </w:r>
    </w:p>
    <w:p w14:paraId="405960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Установка 2-х 76 мм пушек - тоже.</w:t>
      </w:r>
    </w:p>
    <w:p w14:paraId="3FDFE3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Установка для танкетки - тоже.</w:t>
      </w:r>
    </w:p>
    <w:p w14:paraId="0B381C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Установка для автомобиля Форд "А" - тоже.</w:t>
      </w:r>
    </w:p>
    <w:p w14:paraId="0298B2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Универсальный истребитель. Прошел заводские испытания. В серию не внедрен. Конструктора Троицкий и Зуев.</w:t>
      </w:r>
    </w:p>
    <w:p w14:paraId="36F677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Десантный 16 местный пионер - испытаний не прошел, т.к. не обладал способностью буксироваться. Планер разбился.</w:t>
      </w:r>
    </w:p>
    <w:p w14:paraId="285534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Применение ТБ-3 для десантных целей - не является изобре</w:t>
      </w:r>
      <w:r w:rsidRPr="00A3026E">
        <w:rPr>
          <w:rFonts w:ascii="Times New Roman" w:hAnsi="Times New Roman"/>
          <w:color w:val="000000" w:themeColor="text1"/>
          <w:sz w:val="16"/>
          <w:szCs w:val="16"/>
        </w:rPr>
        <w:softHyphen/>
        <w:t>тением. По заданию командования были проведены полети с целью опре</w:t>
      </w:r>
      <w:r w:rsidRPr="00A3026E">
        <w:rPr>
          <w:rFonts w:ascii="Times New Roman" w:hAnsi="Times New Roman"/>
          <w:color w:val="000000" w:themeColor="text1"/>
          <w:sz w:val="16"/>
          <w:szCs w:val="16"/>
        </w:rPr>
        <w:softHyphen/>
        <w:t>деления количества бойцов парашютистов,которые могли быть перевезе</w:t>
      </w:r>
      <w:r w:rsidRPr="00A3026E">
        <w:rPr>
          <w:rFonts w:ascii="Times New Roman" w:hAnsi="Times New Roman"/>
          <w:color w:val="000000" w:themeColor="text1"/>
          <w:sz w:val="16"/>
          <w:szCs w:val="16"/>
        </w:rPr>
        <w:softHyphen/>
        <w:t>ны и выброшены.Определены точки, из которых следует прыгать. Работу проводили - т. Полехин и Петерсон в отсутствии т.Гроховского.</w:t>
      </w:r>
    </w:p>
    <w:p w14:paraId="67D42E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Тренировочная парашютная вышка - конструктор Титов.Строил строительный отдел ЛВО. Построено по образцу этой вышки значитель</w:t>
      </w:r>
      <w:r w:rsidRPr="00A3026E">
        <w:rPr>
          <w:rFonts w:ascii="Times New Roman" w:hAnsi="Times New Roman"/>
          <w:color w:val="000000" w:themeColor="text1"/>
          <w:sz w:val="16"/>
          <w:szCs w:val="16"/>
        </w:rPr>
        <w:softHyphen/>
        <w:t>ное количество. С 1935 г.вышка вкорне переработана Ленинградской ВТ Школой.</w:t>
      </w:r>
    </w:p>
    <w:p w14:paraId="5214D5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Парашютная катапульта. Гос.испытаний не проходила, не была допущена. Автор - т. Титов.</w:t>
      </w:r>
    </w:p>
    <w:p w14:paraId="045722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 Резиновый планер - конструировался Гроховским. На гос. испытания не был пред'явлен, вследствие неудовлетворительной кон</w:t>
      </w:r>
      <w:r w:rsidRPr="00A3026E">
        <w:rPr>
          <w:rFonts w:ascii="Times New Roman" w:hAnsi="Times New Roman"/>
          <w:color w:val="000000" w:themeColor="text1"/>
          <w:sz w:val="16"/>
          <w:szCs w:val="16"/>
        </w:rPr>
        <w:softHyphen/>
        <w:t>струкции.</w:t>
      </w:r>
    </w:p>
    <w:p w14:paraId="1DDAEB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всех перечисленных об'ектов сравнительно удачными являлись ПД-1, кассета под Р-5, картонажный мешок. "ПГ-2к, овальный грузовой короб, мягкий транспортный мешок и тренировочная парашютная вышка.</w:t>
      </w:r>
    </w:p>
    <w:p w14:paraId="728453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и эти об'екты а серийном производстве сильно видоизменялись т.к. организации, возглавлявшиеся т. Гроховским, сдавали об'екты в не</w:t>
      </w:r>
      <w:r w:rsidRPr="00A3026E">
        <w:rPr>
          <w:rFonts w:ascii="Times New Roman" w:hAnsi="Times New Roman"/>
          <w:color w:val="000000" w:themeColor="text1"/>
          <w:sz w:val="16"/>
          <w:szCs w:val="16"/>
        </w:rPr>
        <w:softHyphen/>
        <w:t>достаточно отработанном виде.</w:t>
      </w:r>
    </w:p>
    <w:p w14:paraId="598F09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ни один из этих объектов не строится. Все они или заменены или заменяются более совершенными конструкция</w:t>
      </w:r>
      <w:r w:rsidRPr="00A3026E">
        <w:rPr>
          <w:rFonts w:ascii="Times New Roman" w:hAnsi="Times New Roman"/>
          <w:color w:val="000000" w:themeColor="text1"/>
          <w:sz w:val="16"/>
          <w:szCs w:val="16"/>
        </w:rPr>
        <w:softHyphen/>
        <w:t>ми. На снабжении эти объекты еще имеются.</w:t>
      </w:r>
    </w:p>
    <w:p w14:paraId="5F64D3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изложенного видно, что по большинству объектов авторство т. Гроховского спорно.</w:t>
      </w:r>
    </w:p>
    <w:p w14:paraId="3A193B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конструкции созданы лицами, работавшими в организациях, возглавляцшихся Гроховским. Непосредственно Гроховским разработаны немногие конструкции.</w:t>
      </w:r>
    </w:p>
    <w:p w14:paraId="750341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Большинство конструкций создано за 1931-1934 год, когда орга</w:t>
      </w:r>
      <w:r w:rsidRPr="00A3026E">
        <w:rPr>
          <w:rFonts w:ascii="Times New Roman" w:hAnsi="Times New Roman"/>
          <w:color w:val="000000" w:themeColor="text1"/>
          <w:sz w:val="16"/>
          <w:szCs w:val="16"/>
        </w:rPr>
        <w:softHyphen/>
        <w:t>низации т.Гроховского находились в НКО СССР, а не в НКТПроме. По этой причине полагаю, что приказ НКТяжелой Промышленности не может служить основанием для выплати денег т. Гроховскому (10516,81).</w:t>
      </w:r>
    </w:p>
    <w:p w14:paraId="18FA3B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2CF07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Комиссия Золоточуба подготовила:</w:t>
      </w:r>
    </w:p>
    <w:p w14:paraId="6B627C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по предложениям тов. Гроховского.</w:t>
      </w:r>
    </w:p>
    <w:p w14:paraId="3C3DDC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года Комиссия, назначенная распоряжением Главного Контролера КО от 23 августа 1940 г., в составе председателя Подполковника т.ЗОЛОТОЧУБ И.И. и членов - Военинженера 1 ранга т. СОДДАТОВА А.В., Военинженера 1 ранга т. ХАРИТОНОВА С.И. и Военинженера 1 ранга т. ДУБОВСКОГО В.Я. рассмотрела материалы по изобретениям и предложениям, представленные т. Гроховским П.И. в Главный Контроль КО, а также данные экспертизы по этим материалам (от ВМФ; Военно-Воздушной Академии КА; Инженерной Академии КА; Артиллерий</w:t>
      </w:r>
      <w:r w:rsidRPr="00A3026E">
        <w:rPr>
          <w:rFonts w:ascii="Times New Roman" w:hAnsi="Times New Roman"/>
          <w:color w:val="000000" w:themeColor="text1"/>
          <w:sz w:val="16"/>
          <w:szCs w:val="16"/>
        </w:rPr>
        <w:softHyphen/>
        <w:t>ской Академии КА, УПВОКА и Комиссии т. Репина), установила:</w:t>
      </w:r>
    </w:p>
    <w:p w14:paraId="2C5096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 предложениям и изобретениям т. Гроховского в области авиации:</w:t>
      </w:r>
    </w:p>
    <w:p w14:paraId="2AACC3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Сбрасывание авиадесантов (людей, лошадей и грузов) без парашютов, путем погрузки их на специальные подвески - авиабусы, подвешиваемые под самолет и сбрасывания их при малых скоростях на небольшой высоте (0,5 - 2 метра), при помощи специального щупа, в данное время практического интереса не предетавляет, т.к. современные самолеты, в том числе и тяжелые, имеют значительно повышенные посадочше скорости (более 100 км/час), при которых сбрасываемые грузы, как правило, будут разбиваться. Кроме того, к скоростным самолетам, имеющим предкрылки, закрылки, щитки и т.п., чрезвычайно трудно подвесить кабины, имеющие большие габариты, вызывающие дополнительные сопротивления и отрицательно влияющие на общую аэродинамику самолета.</w:t>
      </w:r>
    </w:p>
    <w:p w14:paraId="40D38C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Сбрасывание больших грузов (грузовых автомашин, танков, орудий и др.) на парашютах диаметром до 45 метров также себя не оправдало на практике. Из опытов, проведенных самим т. Гроховским со сбрасыванием таких грузов видно, что, как правило, такие грузы при падении разбивались или приходила в негодность от удара.</w:t>
      </w:r>
    </w:p>
    <w:p w14:paraId="0EB127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Сбрасывание телефонного кабеля с самолета технически вполне осуществимо и проверено на практике, но непосредственного интереса не представляет, т.к. телефонный капель должен по возможности проводиться скрытно и такими местами, где бы он в меньшей степени подвергался порче и разрушениям, что с воздуха сделать нельзя, т.к. сброшенный с самолета, будет сверху накрывать все предметы, пересекать дороги, телефонные и электрические провода и другие предметы.</w:t>
      </w:r>
    </w:p>
    <w:p w14:paraId="3D5332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Предложение - сбрасывать с самолета бронеточки (бронированная пулеметная установка) не выдерживает никакой критики, т.к. какая точка или даже много точек, сброшенных в тылу противника, могут попасть в неудобное место (канавы, рвы, ямы и т.п.) и после приземления будут постоянно прикованы к одному месту. Эти точки будут иметь очень незначительную огневую мощь и легко могут быть уничтожены противником.</w:t>
      </w:r>
    </w:p>
    <w:p w14:paraId="3BBBFA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Десантный транспортный самолет монобиплан т. Гроховским не разработан. Основных параметров и расчетов по нему - автор не дает. Имеющаяся схема (картинка) этого самолета не дает возможности оценить качество машины.</w:t>
      </w:r>
    </w:p>
    <w:p w14:paraId="35794E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Представленный проект (вернее рисунок) самолета, работающего на принципе полета насекомых с машущими крыльями, автором ни в какой степени не проработан. При личных переговорах автор на комиссии сделал заявление, что он самолет и не предлагает делать, |а вносит только предложение относительно винта, действующего не на принципе кругового вращения, а на принципе прямых ударов лопастей винта, приводимых в движение двумя коническими шестернями. Автор голословно заявляет, что коэфициент полезного действия такого винта в несколько раз превышает коэфициент существующих винтов (0,8-0,82). Такое заявление абсолютно неправильно, т.к. коэфициент полезного действия винта вообще не может быть более единицы.</w:t>
      </w:r>
    </w:p>
    <w:p w14:paraId="09D534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В области Военно-морского Флота тов. Гроховский П.И. предлагает:</w:t>
      </w:r>
    </w:p>
    <w:p w14:paraId="533FCC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Одноместный догонщих подлодок и матка для него. Предложение ни с технической, ни с тактической стороны не обосновано мало реально. Автор не предлагает ни тип механизмов, ни приборов управлеяия для догонщика. Поэтоглу совершенно голословное утверждение, что скорость хода одноместного "догонщика" будет "намного выше", чем у лодок нормального типа. Рассуждение автора о том, что в результате бомбежки с догонщика подлодка должна всплыть на поверхность - не соответствует опыту подводного плавания. Совмест</w:t>
      </w:r>
      <w:r w:rsidRPr="00A3026E">
        <w:rPr>
          <w:rFonts w:ascii="Times New Roman" w:hAnsi="Times New Roman"/>
          <w:color w:val="000000" w:themeColor="text1"/>
          <w:sz w:val="16"/>
          <w:szCs w:val="16"/>
        </w:rPr>
        <w:softHyphen/>
        <w:t>ное использование догонщиков с авиацией невозможно, так как даль</w:t>
      </w:r>
      <w:r w:rsidRPr="00A3026E">
        <w:rPr>
          <w:rFonts w:ascii="Times New Roman" w:hAnsi="Times New Roman"/>
          <w:color w:val="000000" w:themeColor="text1"/>
          <w:sz w:val="16"/>
          <w:szCs w:val="16"/>
        </w:rPr>
        <w:softHyphen/>
        <w:t>ность дейатвия догонщика будет ничтожной, а двухсторонняя связь с самолетом, при современном состоянии техники, невозможна.</w:t>
      </w:r>
    </w:p>
    <w:p w14:paraId="518FC4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изложенным, надобность в матке для догонщиков отпадает.</w:t>
      </w:r>
    </w:p>
    <w:p w14:paraId="137B15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Крыльчатый скоростной катер и транспортная подлодка. Идея скоростного катера и транспортной подлодки не нова и в виде, предлагаемом автором, неприемлема. Скоростные катера типа "Л-9" и "Л-10" разработаны и осуществлены ранее.</w:t>
      </w:r>
    </w:p>
    <w:p w14:paraId="73F761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Подводный авианосец с 6-ю самолетами.</w:t>
      </w:r>
    </w:p>
    <w:p w14:paraId="74642E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Подводный авианосец с одним самолетом уже имеется в американском подводном флоте. Создание подводного авианосца с шестью самолетами вызовет большое водоизмещение подлодки (порядка 3000 - 4000 тонн). Практика подводного плавания показала, что подлодки водоизмещением более 2000 тонн трудно управляемы из-за незначительной скорости подводного хода и не нашли распространения ни одном флоте.</w:t>
      </w:r>
    </w:p>
    <w:p w14:paraId="4260D3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Требующиеся крупные затраты на создание подводного авианосца не могут быть оправданы эффективностью использования этого вооружения.</w:t>
      </w:r>
    </w:p>
    <w:p w14:paraId="179B2E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Защита корабля от торпед буксируемой сетью. Буксируемые сети применялись раньпе, когда скорости кораблей были незначи</w:t>
      </w:r>
      <w:r w:rsidRPr="00A3026E">
        <w:rPr>
          <w:rFonts w:ascii="Times New Roman" w:hAnsi="Times New Roman"/>
          <w:color w:val="000000" w:themeColor="text1"/>
          <w:sz w:val="16"/>
          <w:szCs w:val="16"/>
        </w:rPr>
        <w:softHyphen/>
        <w:t>тельными. В настоящее время скорости кораблей достигают значительной величины и буксирование сети вызовет большое снижение скорости.</w:t>
      </w:r>
    </w:p>
    <w:p w14:paraId="37463A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Автором дана только идея защиты кораблей от торпед без каких-либо расчетов и обоснований. Произведенный подсчет показывает, что вес такой сети будет порядка 20 тонн. Если учесть,что эта сеть должна удерживаться буйками (плавучестямя), то вся эта система будет иметь большое гидродинамическое сопротивление, которое снизит скорость кораблей, буксирующих сеть, а также и маневренность соединения. Снижение скорости и маневренности соединения увеличит вероятность успешной атаки подводной лодкой кораблей охранения и основных сил данного соединения.</w:t>
      </w:r>
    </w:p>
    <w:p w14:paraId="1C4B94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Разные торпеды. Торпеда,управляемая по телефонному кабелю предложенной конструкции, не может использоваться с подводных кораблей и в скрытых от неприятеля атаках (при дымзавесах, в бухтах и базах противника). По предложению автора торпеда должна ходить только над водой, при этом она будет попадать только в бронирован</w:t>
      </w:r>
      <w:r w:rsidRPr="00A3026E">
        <w:rPr>
          <w:rFonts w:ascii="Times New Roman" w:hAnsi="Times New Roman"/>
          <w:color w:val="000000" w:themeColor="text1"/>
          <w:sz w:val="16"/>
          <w:szCs w:val="16"/>
        </w:rPr>
        <w:softHyphen/>
        <w:t>ную часть корабля противника, не причиняя ему особенного вреда. Наибольшая эффективность действия торпеды тогда, когда она попа</w:t>
      </w:r>
      <w:r w:rsidRPr="00A3026E">
        <w:rPr>
          <w:rFonts w:ascii="Times New Roman" w:hAnsi="Times New Roman"/>
          <w:color w:val="000000" w:themeColor="text1"/>
          <w:sz w:val="16"/>
          <w:szCs w:val="16"/>
        </w:rPr>
        <w:softHyphen/>
        <w:t>дает в подводную часть корабля, то-есть ниже бортовой брони.</w:t>
      </w:r>
    </w:p>
    <w:p w14:paraId="1A8844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Сказанное относится так-же и к торпеде, управляемой собакой, эта торпеда тоже должна ходить над водой, в противном случае собака ничего не будет видеть.</w:t>
      </w:r>
    </w:p>
    <w:p w14:paraId="78B3E9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Планирующая торпеда разрабатывалась и испытывалась ранее по предложению изобретателя т. Валк и была отклонена, как несоответствующая современным требованиям.</w:t>
      </w:r>
    </w:p>
    <w:p w14:paraId="290CBA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В области противо-воэлушной обороны т.Гроховский предлагает:</w:t>
      </w:r>
    </w:p>
    <w:p w14:paraId="68681E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Дымовой аппарат, установленный на автомашине или же на жел. дор. платформе с прицепными цистернами, выбрасывающий дымообразующий состав с помощью авиамотора - вентилятора - практического ин</w:t>
      </w:r>
      <w:r w:rsidRPr="00A3026E">
        <w:rPr>
          <w:rFonts w:ascii="Times New Roman" w:hAnsi="Times New Roman"/>
          <w:color w:val="000000" w:themeColor="text1"/>
          <w:sz w:val="16"/>
          <w:szCs w:val="16"/>
        </w:rPr>
        <w:softHyphen/>
        <w:t>тереса не представляет, т.к. такая установка в производстве будет слишком дорого стоить и сложна в эксллоатации. Существующие дымо-приборы, принятые на снабжение Красной Армии, вполне могут разрешать теже задачи, что и предлагает т. Гроховский, но гораздо проще и с меньшими затратами.</w:t>
      </w:r>
    </w:p>
    <w:p w14:paraId="7D5E33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Дымовые аппараты, устанавливаемые на крышах домов.</w:t>
      </w:r>
    </w:p>
    <w:p w14:paraId="21E302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Троссовое заграждение, поддерживаемое истребителями и на парашютах.</w:t>
      </w:r>
    </w:p>
    <w:p w14:paraId="1CF495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Защитные оборонные стальные блоки для постройки убежищ.</w:t>
      </w:r>
    </w:p>
    <w:p w14:paraId="6E1E8A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Резиновые покрытия бетонированных убежищ и других сооруж</w:t>
      </w:r>
      <w:r w:rsidRPr="00A3026E">
        <w:rPr>
          <w:rFonts w:ascii="Times New Roman" w:hAnsi="Times New Roman"/>
          <w:color w:val="000000" w:themeColor="text1"/>
          <w:sz w:val="16"/>
          <w:szCs w:val="16"/>
        </w:rPr>
        <w:softHyphen/>
        <w:t>ай, имеющих целью защиту от авиабомб и снарядов.</w:t>
      </w:r>
    </w:p>
    <w:p w14:paraId="24C19C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Светомаскировка путем освещения прожекторами объектов и ослепления противника.</w:t>
      </w:r>
    </w:p>
    <w:p w14:paraId="32AAE7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перечисленные выше предложения автором также не дорабо</w:t>
      </w:r>
      <w:r w:rsidRPr="00A3026E">
        <w:rPr>
          <w:rFonts w:ascii="Times New Roman" w:hAnsi="Times New Roman"/>
          <w:color w:val="000000" w:themeColor="text1"/>
          <w:sz w:val="16"/>
          <w:szCs w:val="16"/>
        </w:rPr>
        <w:softHyphen/>
        <w:t>таны, а представляются, как темы для дальнейшей подробной разра</w:t>
      </w:r>
      <w:r w:rsidRPr="00A3026E">
        <w:rPr>
          <w:rFonts w:ascii="Times New Roman" w:hAnsi="Times New Roman"/>
          <w:color w:val="000000" w:themeColor="text1"/>
          <w:sz w:val="16"/>
          <w:szCs w:val="16"/>
        </w:rPr>
        <w:softHyphen/>
        <w:t>ботки; при ознакомление с этими предлояеяиями, Комиссия считает, чтопрактического интереса для Красной Армии они не представляют.</w:t>
      </w:r>
    </w:p>
    <w:p w14:paraId="6183F6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 В области артиллерии т. Гроховский П.И.предлагает:</w:t>
      </w:r>
    </w:p>
    <w:p w14:paraId="1E9B55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Конструкцию обтекаемого снаряда с поддоном. Поддон и снаряд одинакового калибра.</w:t>
      </w:r>
    </w:p>
    <w:p w14:paraId="481C32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Произведенные ранее опыты показали,что такой снаряд неустойчив в полете и дает неудовлетворительную кучность. Кучность предлагаемого снаряда еще более понизится за счет неодновременного отрыва поддона. Кроме того, мощность такого снаряда значительно понижается за счет поддона. Предложение интереса не представляет и разработке не подлежит.</w:t>
      </w:r>
    </w:p>
    <w:p w14:paraId="7CB980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разработки всех своих предложений т. Гроховский П.И. предлагает создать под своим руководством институт со штатом в 823 человека и производственной базой - заводом.</w:t>
      </w:r>
    </w:p>
    <w:p w14:paraId="7380D6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тов. Гроховским П.И. представлен счет на оплату авторского гонорара в размере 20.000 руб.и авторских за изобре</w:t>
      </w:r>
      <w:r w:rsidRPr="00A3026E">
        <w:rPr>
          <w:rFonts w:ascii="Times New Roman" w:hAnsi="Times New Roman"/>
          <w:color w:val="000000" w:themeColor="text1"/>
          <w:sz w:val="16"/>
          <w:szCs w:val="16"/>
        </w:rPr>
        <w:softHyphen/>
        <w:t>тения с 1930 по 1936 г. в размере 293.500 руб.</w:t>
      </w:r>
    </w:p>
    <w:p w14:paraId="309F8A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Оценка предложений т.Гроховского.</w:t>
      </w:r>
    </w:p>
    <w:p w14:paraId="73A0C1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Все предложения т. Гроховского представляют собою набор фотографий и схем,совершенно не подкрепленных техническими рас</w:t>
      </w:r>
      <w:r w:rsidRPr="00A3026E">
        <w:rPr>
          <w:rFonts w:ascii="Times New Roman" w:hAnsi="Times New Roman"/>
          <w:color w:val="000000" w:themeColor="text1"/>
          <w:sz w:val="16"/>
          <w:szCs w:val="16"/>
        </w:rPr>
        <w:softHyphen/>
        <w:t>четами и обоснованиями и научной ценности не представляют.</w:t>
      </w:r>
    </w:p>
    <w:p w14:paraId="792534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Предложения по авиации не увязаны с современным тактичес</w:t>
      </w:r>
      <w:r w:rsidRPr="00A3026E">
        <w:rPr>
          <w:rFonts w:ascii="Times New Roman" w:hAnsi="Times New Roman"/>
          <w:color w:val="000000" w:themeColor="text1"/>
          <w:sz w:val="16"/>
          <w:szCs w:val="16"/>
        </w:rPr>
        <w:softHyphen/>
        <w:t>кими требованиями и рассчитаны на устаревшие типы самолетов.</w:t>
      </w:r>
    </w:p>
    <w:p w14:paraId="2369E6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Предложения, относящиеся к военно-морским объектам - бронеточкам, бронескорлупам и др. - как заявил на комиссии сам автор - являются фантазией (догонщики, авиаматки, торпеды, управляемые собакой и др.). Весь материал по военно-морским объектам помещен в журнале "Техника Молодежи" за 1939-40 г.г. в разделе "Окно в будущее", автором которых является т. Гроховский. Этот же мате</w:t>
      </w:r>
      <w:r w:rsidRPr="00A3026E">
        <w:rPr>
          <w:rFonts w:ascii="Times New Roman" w:hAnsi="Times New Roman"/>
          <w:color w:val="000000" w:themeColor="text1"/>
          <w:sz w:val="16"/>
          <w:szCs w:val="16"/>
        </w:rPr>
        <w:softHyphen/>
        <w:t>риал, оплаченный по журналу "Техника Молодежи", помещен в плане научно-исследовательских работ и входит составной частью в пред</w:t>
      </w:r>
      <w:r w:rsidRPr="00A3026E">
        <w:rPr>
          <w:rFonts w:ascii="Times New Roman" w:hAnsi="Times New Roman"/>
          <w:color w:val="000000" w:themeColor="text1"/>
          <w:sz w:val="16"/>
          <w:szCs w:val="16"/>
        </w:rPr>
        <w:softHyphen/>
        <w:t>ставленный т. Гроховским счет на оплату авторского гонорара.</w:t>
      </w:r>
    </w:p>
    <w:p w14:paraId="30C0F7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Вызванные Комиссией на повторную экспертизу по предложениям т. Гроховского специалисты (профессор Арт.Академии т. Васильев, профессор Военно-Воздушной Академии т. Юрьев и др.) в своих зак</w:t>
      </w:r>
      <w:r w:rsidRPr="00A3026E">
        <w:rPr>
          <w:rFonts w:ascii="Times New Roman" w:hAnsi="Times New Roman"/>
          <w:color w:val="000000" w:themeColor="text1"/>
          <w:sz w:val="16"/>
          <w:szCs w:val="16"/>
        </w:rPr>
        <w:softHyphen/>
        <w:t>лючениях дали отрицательные выводы по предложениям т. Гроховского, за исключением Нач. Кафедры маскировки Воен. Инж.Академии т. Кизелова, который дал положительную оценку прибору для дымопуска и считает необходимым изготовить 5-10 опытных установок т. Грохов</w:t>
      </w:r>
      <w:r w:rsidRPr="00A3026E">
        <w:rPr>
          <w:rFonts w:ascii="Times New Roman" w:hAnsi="Times New Roman"/>
          <w:color w:val="000000" w:themeColor="text1"/>
          <w:sz w:val="16"/>
          <w:szCs w:val="16"/>
        </w:rPr>
        <w:softHyphen/>
        <w:t>ского. Одновременно с этим т. Кизелов считает, что установка т. Гроховского намного дороге в сравнении с существующими дымприборами.</w:t>
      </w:r>
    </w:p>
    <w:p w14:paraId="75DACA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этому вопросу Комиссия считает,что высотное задымление (500 м) можно производить существующим способом самолетами (ДАП) и имея в виду, что для установок Гроховского потребуется большое количество авиамоторов - опытные установки Гроховского не разрабатывать.</w:t>
      </w:r>
    </w:p>
    <w:p w14:paraId="6599CE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представленных материалов и оценки предложений т. Грохов</w:t>
      </w:r>
      <w:r w:rsidRPr="00A3026E">
        <w:rPr>
          <w:rFonts w:ascii="Times New Roman" w:hAnsi="Times New Roman"/>
          <w:color w:val="000000" w:themeColor="text1"/>
          <w:sz w:val="16"/>
          <w:szCs w:val="16"/>
        </w:rPr>
        <w:softHyphen/>
        <w:t>ского следует признать нецелесообразность создания института или бюро.</w:t>
      </w:r>
    </w:p>
    <w:p w14:paraId="5893FC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Оплата авторских свидетельств, полученных т. Гроховским в период деятельности экспериментального института НКТП на сумму 293500 руб и научного труда на сумму 20 тыс.руб., не имеет основания, так как авторские свидетельства являются результатом работы коллектива института, а научный труд, частично уже оплаченный (журнал "Техника-Молодежи"), ценности не представляет и является лишь собранием фото и технически необоснованных схем. На Комиссии т. Гроховский от получения авторского гонорара в сумме 293500 руб., а также и 20.000 руб. - отказался.</w:t>
      </w:r>
    </w:p>
    <w:p w14:paraId="40548C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изложенного,Комиссия считает необходимым:</w:t>
      </w:r>
    </w:p>
    <w:p w14:paraId="06A949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От разработки предложений, представленных т. Гроховским по военной авиации, военно-морскому флоту и др., как не отвечающих сов</w:t>
      </w:r>
      <w:r w:rsidRPr="00A3026E">
        <w:rPr>
          <w:rFonts w:ascii="Times New Roman" w:hAnsi="Times New Roman"/>
          <w:color w:val="000000" w:themeColor="text1"/>
          <w:sz w:val="16"/>
          <w:szCs w:val="16"/>
        </w:rPr>
        <w:softHyphen/>
        <w:t>ременным тактико-техническим требованиям и неясных по их техническому оформлению, - отказаться. |</w:t>
      </w:r>
    </w:p>
    <w:p w14:paraId="2780BD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Создание института или конструкторского бюро для разработки изобрений т. Гроховского считать нецелесообразным.</w:t>
      </w:r>
    </w:p>
    <w:p w14:paraId="10F764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оплате авторских свидетельств, полученных т. Гроховским в период деятельности института (1932-36 г.г.) в сумме 293500 руб. и за представленный труд по сформлению предложении на сумму 20 тыс.руб. - отказать.</w:t>
      </w:r>
    </w:p>
    <w:p w14:paraId="7DD8CB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Использовать т. Гроховского в систегле ГУ ВВС КА или НКАП по авиадесантам на научно-исследовательской и опытной работе в качестве конструктора-консультанта (10516,50).</w:t>
      </w:r>
    </w:p>
    <w:p w14:paraId="01062D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50A82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в Контрольном листе учета выполнения постановления КО СНК СССР № 239сс от 1 июня 1940 г. Контролером Калиповым, представителем КО СНК СССР - контролером, была сделана запись:</w:t>
      </w:r>
    </w:p>
    <w:p w14:paraId="5F3952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103 ОТБ НКВД</w:t>
      </w:r>
    </w:p>
    <w:p w14:paraId="352F4B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заводу № 217 НКВ</w:t>
      </w:r>
    </w:p>
    <w:p w14:paraId="727156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Оптическая система к прицелу для бомбометания с пикирования на з-де № 217 получила наименование КАП-103. С заводом № 217 НКВ заключен договор на КАП-103 с заводлом № 339 НКАП со следующими сроками поставки:</w:t>
      </w:r>
    </w:p>
    <w:p w14:paraId="010D92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КАП-103 </w:t>
      </w:r>
      <w:r w:rsidRPr="00A3026E">
        <w:rPr>
          <w:rFonts w:ascii="Times New Roman" w:hAnsi="Times New Roman"/>
          <w:color w:val="000000" w:themeColor="text1"/>
          <w:sz w:val="16"/>
          <w:szCs w:val="16"/>
        </w:rPr>
        <w:tab/>
        <w:t>Сентябрь 1940 1 обр.</w:t>
      </w:r>
      <w:r w:rsidRPr="00A3026E">
        <w:rPr>
          <w:rFonts w:ascii="Times New Roman" w:hAnsi="Times New Roman"/>
          <w:color w:val="000000" w:themeColor="text1"/>
          <w:sz w:val="16"/>
          <w:szCs w:val="16"/>
        </w:rPr>
        <w:tab/>
        <w:t>Ноябрь 1940 2 обр.</w:t>
      </w:r>
      <w:r w:rsidRPr="00A3026E">
        <w:rPr>
          <w:rFonts w:ascii="Times New Roman" w:hAnsi="Times New Roman"/>
          <w:color w:val="000000" w:themeColor="text1"/>
          <w:sz w:val="16"/>
          <w:szCs w:val="16"/>
        </w:rPr>
        <w:tab/>
        <w:t>Декабрь 1940 1 обр.</w:t>
      </w:r>
    </w:p>
    <w:p w14:paraId="00B553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Разработка КАП-103 идет нормально и в сентябре 1940 будет изготовлен 1 образец. Детали прицеле заготовлены полностью, через несколько дней приступят к сборке.</w:t>
      </w:r>
    </w:p>
    <w:p w14:paraId="475515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Изготовить 8 калиматорных прицелов для завода № 156 НКАП записано з-ду № 217 ошибочно (10395).</w:t>
      </w:r>
    </w:p>
    <w:p w14:paraId="26365E4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ECA9D3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DFED46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42813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года - Предложения А.Е. Ферсмана о форсировании работ по разведке и добыче урановых руд (10549).</w:t>
      </w:r>
    </w:p>
    <w:p w14:paraId="1092D7A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C68E5BB" w14:textId="77777777" w:rsidR="00B03B65"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0F4227A1" w14:textId="77777777" w:rsidR="00B03B65" w:rsidRPr="00A3026E" w:rsidRDefault="00B03B65" w:rsidP="00A3026E">
      <w:pPr>
        <w:spacing w:after="0" w:line="240" w:lineRule="auto"/>
        <w:jc w:val="both"/>
        <w:rPr>
          <w:rFonts w:ascii="Times New Roman" w:hAnsi="Times New Roman"/>
          <w:iCs/>
          <w:color w:val="000000" w:themeColor="text1"/>
          <w:sz w:val="16"/>
          <w:szCs w:val="16"/>
        </w:rPr>
      </w:pPr>
    </w:p>
    <w:p w14:paraId="77F70627" w14:textId="77777777" w:rsidR="00B03B65" w:rsidRPr="00A3026E" w:rsidRDefault="00B03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5 сентября </w:t>
      </w:r>
      <w:r w:rsidRPr="00A3026E">
        <w:rPr>
          <w:rFonts w:ascii="Times New Roman" w:hAnsi="Times New Roman"/>
          <w:color w:val="000000" w:themeColor="text1"/>
          <w:sz w:val="16"/>
          <w:szCs w:val="16"/>
        </w:rPr>
        <w:t>в 1940 году "Пионерской правде" начинают печатать повесть Аркадия Петровича Гайдара "Тимур и его команда". Неожиданно через несколько номеров публикацию прекратят. Кому-то из начальства показалось, что команда Тимура - настоящая конспиративная организация, и незачем пропагандировать неорганизованное тимуровское движение, когда есть организованное пионерское. В итоге все утрясется, и повесть продолжат публиковать (14760).</w:t>
      </w:r>
    </w:p>
    <w:p w14:paraId="5AB40EFC" w14:textId="77777777" w:rsidR="00B03B65" w:rsidRPr="00A3026E" w:rsidRDefault="00B03B65" w:rsidP="00A3026E">
      <w:pPr>
        <w:spacing w:after="0" w:line="240" w:lineRule="auto"/>
        <w:jc w:val="both"/>
        <w:rPr>
          <w:rFonts w:ascii="Times New Roman" w:hAnsi="Times New Roman"/>
          <w:color w:val="000000" w:themeColor="text1"/>
          <w:sz w:val="16"/>
          <w:szCs w:val="16"/>
        </w:rPr>
      </w:pPr>
    </w:p>
    <w:p w14:paraId="08BFF7F6" w14:textId="77777777" w:rsidR="007C10B0" w:rsidRPr="00A3026E" w:rsidRDefault="007C10B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сентября 1940 года «Пионерская правда» начала печатать повесть Аркадия Гайдара «Тимур и его команда», которая породила тимуровское движение и сам тип тимуровца – ребенка или подростка, всегда готового прийти на помощь (21190).</w:t>
      </w:r>
    </w:p>
    <w:p w14:paraId="47984A45" w14:textId="77777777" w:rsidR="007C10B0" w:rsidRPr="00A3026E" w:rsidRDefault="007C10B0" w:rsidP="00A3026E">
      <w:pPr>
        <w:spacing w:after="0" w:line="240" w:lineRule="auto"/>
        <w:jc w:val="both"/>
        <w:rPr>
          <w:rFonts w:ascii="Times New Roman" w:hAnsi="Times New Roman"/>
          <w:color w:val="0070C0"/>
          <w:sz w:val="16"/>
          <w:szCs w:val="16"/>
        </w:rPr>
      </w:pPr>
    </w:p>
    <w:p w14:paraId="48AFCD76"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1B6A01A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CCD6E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г. согласно дневниковым записям Геббельса: "Трения с Москвой из-за Румынии и Мемеля, частично нашедшие отражение в русских протестах, которые мы отклоняем... 19 сентября. Фюрер решил не предоставлять России больше ни одной европейской области" (9492).</w:t>
      </w:r>
    </w:p>
    <w:p w14:paraId="00171B1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1775BF0"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2B0EAF1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D604051" w14:textId="77777777" w:rsidR="00B03B65" w:rsidRPr="00A3026E" w:rsidRDefault="00B03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5 сентября 1940 года</w:t>
      </w:r>
      <w:r w:rsidRPr="00A3026E">
        <w:rPr>
          <w:rFonts w:ascii="Times New Roman" w:hAnsi="Times New Roman"/>
          <w:color w:val="000000" w:themeColor="text1"/>
          <w:sz w:val="16"/>
          <w:szCs w:val="16"/>
        </w:rPr>
        <w:t xml:space="preserve"> Состоялся первый полет английского УТС GAL.45 Owlet (G-AGBK). Его разработали конструкторы фирмы General Aircraft Ltd. на базе самолета GAL.42 Cygnet II. Принципиальным оличием самолета стала тандемная открытая кабина. Несмотря на неплохие летные характеристики самолета заказа на серийное производство не последовало. Единственный построенный экземпляр был реквизирован RAF, где получил бортовой номер DP420 (14760).</w:t>
      </w:r>
    </w:p>
    <w:p w14:paraId="2090632E" w14:textId="77777777" w:rsidR="00B03B65" w:rsidRPr="00A3026E" w:rsidRDefault="00B03B65" w:rsidP="00A3026E">
      <w:pPr>
        <w:spacing w:after="0" w:line="240" w:lineRule="auto"/>
        <w:jc w:val="both"/>
        <w:rPr>
          <w:rFonts w:ascii="Times New Roman" w:hAnsi="Times New Roman"/>
          <w:color w:val="000000" w:themeColor="text1"/>
          <w:sz w:val="16"/>
          <w:szCs w:val="16"/>
        </w:rPr>
      </w:pPr>
    </w:p>
    <w:p w14:paraId="5E39AA02" w14:textId="77777777" w:rsidR="00B03B65" w:rsidRPr="00A3026E" w:rsidRDefault="00B03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5 сентября 1940 года</w:t>
      </w:r>
      <w:r w:rsidRPr="00A3026E">
        <w:rPr>
          <w:rFonts w:ascii="Times New Roman" w:hAnsi="Times New Roman"/>
          <w:color w:val="000000" w:themeColor="text1"/>
          <w:sz w:val="16"/>
          <w:szCs w:val="16"/>
        </w:rPr>
        <w:t xml:space="preserve"> Облетан второй экземпляр итальянского бомбардировщика Piaggio P.108B Bombardiere, который после заводских испытаний перелетел на полигон в Фарбара, где до марта 1941-го опробовал свое вооружение (14760).</w:t>
      </w:r>
    </w:p>
    <w:p w14:paraId="653C07CF" w14:textId="77777777" w:rsidR="00B03B65" w:rsidRPr="00A3026E" w:rsidRDefault="00B03B65" w:rsidP="00A3026E">
      <w:pPr>
        <w:spacing w:after="0" w:line="240" w:lineRule="auto"/>
        <w:jc w:val="both"/>
        <w:rPr>
          <w:rFonts w:ascii="Times New Roman" w:hAnsi="Times New Roman"/>
          <w:color w:val="000000" w:themeColor="text1"/>
          <w:sz w:val="16"/>
          <w:szCs w:val="16"/>
        </w:rPr>
      </w:pPr>
    </w:p>
    <w:p w14:paraId="4B047E6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в Северном море англичанами потоплен немецкий транспортный корабль «Марион», несколько сотен немецкий солдат погибли (4962).</w:t>
      </w:r>
    </w:p>
    <w:p w14:paraId="0672B02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8DBB2FC"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September 5, 1940: An irate Hitler orders a new offensive by the Luftwaffe against Britain with no regard for the civilian population, with London as the primary target, after the RAF for the first time makes several night raids on Berlin, causing many civilian casualties (3819).</w:t>
      </w:r>
    </w:p>
    <w:p w14:paraId="1F6E54F3"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66BDBB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Королевские ВВС впервые выполнили несколько ночных налетов на Берлин и были тяжелые жертвы среди мирного населения (3819).</w:t>
      </w:r>
    </w:p>
    <w:p w14:paraId="17C48ED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AA7AD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5 сентября 1940 немцы сосредоточили удары авиации на Лондоне и бомбили с 9 вечера до 6 утра ежедневно (340,11).</w:t>
      </w:r>
    </w:p>
    <w:p w14:paraId="3DADB15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B780DB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в Румынии распущен парламент, действие конституции приостановлено (4962).</w:t>
      </w:r>
    </w:p>
    <w:p w14:paraId="57B34CD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498D8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 фашист маршал Ион Антонеско был назначен Премьер Министром Румынии (2244,6).</w:t>
      </w:r>
    </w:p>
    <w:p w14:paraId="46BAAB1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2428A12" w14:textId="77777777" w:rsidR="00B03B65" w:rsidRPr="00A3026E" w:rsidRDefault="00B03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5 сентября </w:t>
      </w:r>
      <w:r w:rsidRPr="00A3026E">
        <w:rPr>
          <w:rFonts w:ascii="Times New Roman" w:hAnsi="Times New Roman"/>
          <w:color w:val="000000" w:themeColor="text1"/>
          <w:sz w:val="16"/>
          <w:szCs w:val="16"/>
        </w:rPr>
        <w:t>в 1940 году в Румынии распущен парламент, действие конституции приостановлено. М.Антонеску провозглашен Кондукетором – вождем румынского народа (14760).</w:t>
      </w:r>
    </w:p>
    <w:p w14:paraId="4DB7798E" w14:textId="77777777" w:rsidR="00B03B65" w:rsidRPr="00A3026E" w:rsidRDefault="00B03B65" w:rsidP="00A3026E">
      <w:pPr>
        <w:spacing w:after="0" w:line="240" w:lineRule="auto"/>
        <w:jc w:val="both"/>
        <w:rPr>
          <w:rFonts w:ascii="Times New Roman" w:hAnsi="Times New Roman"/>
          <w:color w:val="000000" w:themeColor="text1"/>
          <w:sz w:val="16"/>
          <w:szCs w:val="16"/>
        </w:rPr>
      </w:pPr>
    </w:p>
    <w:p w14:paraId="12BF0C1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63F8E1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F3C04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года начальник ГУВВС генерал-лейтенант авиации Рычагов писал письмо № 501671 начальнику НИИ ВВС генерал-лейтенанту авиации Филину</w:t>
      </w:r>
    </w:p>
    <w:p w14:paraId="0C9294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выполняемых работ по улучшению взлетно-посадочных свойств самолета «С» конструктора Болховитинова:</w:t>
      </w:r>
    </w:p>
    <w:p w14:paraId="6E4B8E0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Разрешаю нахождение и дальнейшее проведение полетов самолета «С» на аэродроме НИИ ВВС.</w:t>
      </w:r>
    </w:p>
    <w:p w14:paraId="6393F91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Полковнику летчику-испытателю Кабанову, как проведшему госиспытания самолета «С», вывести и проинструктировать вновь прикрепленного к этому самолету летчика из НКАП (7712, 390).</w:t>
      </w:r>
    </w:p>
    <w:p w14:paraId="3EC86FE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2A7ABF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на совещании у Наркома НКАП А.И.Ш. в присутствии Рычагова было согласовано, что первые 10 ТБ-7 будут укомплектованы не М-40, а АМ-35А (1295,313).</w:t>
      </w:r>
    </w:p>
    <w:p w14:paraId="4207C02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E63AA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года начальник научно-испытательного полигона АВ ВВС полковник Шевченко утвердил Отчет по проведению бомбометания с пикирования с самолета СБ с углами от 30 до 50 градусов, которые проходили с 23 июля по 30 августа 1940 года (3006).</w:t>
      </w:r>
    </w:p>
    <w:p w14:paraId="108E070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B002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в ходе гос. испытаний И-200 АМ-35А, которые проходили в НИИ ВВС с 19 августа по 12 сентября 1940 на машине N 6302 осматривали лопатки и крыльчатку нагнетателя и выполнили полет на скороподъемность до 10000 м и скорости по высотам (0:45), а на 6303 - 2 полета на устойчивость с задней и передней центровкой по (0:40) и один на боковую устойчивость, который не был выполнен из-за отказа сигнализации шасси (2925).</w:t>
      </w:r>
    </w:p>
    <w:p w14:paraId="024DEE5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2BCAD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состоялось заседание у Наркома и А.И.Шахурин ссылаясь на уроки Англии говорил "Сейчас нужно пересмотреть все, чтобы увеличить запас горючего на наших истребителях и поставить задачу иметь специальные держатели, которые бы позволили взять подвесные баки. Это совершенно необходимо. А при вступлении в бой их сбрасывать" (957,27).</w:t>
      </w:r>
    </w:p>
    <w:p w14:paraId="1B4CC5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Вообще, совещание было по вопросам выполнения программы (1237).</w:t>
      </w:r>
    </w:p>
    <w:p w14:paraId="6B3E15B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7D512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г. согласно отчету военной приемки:</w:t>
      </w:r>
    </w:p>
    <w:p w14:paraId="544521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«Монтаж машин №№ 25214 и 25215 в основном за</w:t>
      </w:r>
      <w:r w:rsidRPr="00A3026E">
        <w:rPr>
          <w:rFonts w:ascii="Times New Roman" w:hAnsi="Times New Roman"/>
          <w:color w:val="000000" w:themeColor="text1"/>
          <w:sz w:val="16"/>
          <w:szCs w:val="16"/>
        </w:rPr>
        <w:softHyphen/>
        <w:t>кончен, но благодаря недоброкачественным моторам, полет задержан...</w:t>
      </w:r>
    </w:p>
    <w:p w14:paraId="7B2096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работ по подготовке выпуска 1-й серии.</w:t>
      </w:r>
    </w:p>
    <w:p w14:paraId="2C447E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Сдан 1 комплект крыльев 1-й серии. В заделе нахо</w:t>
      </w:r>
      <w:r w:rsidRPr="00A3026E">
        <w:rPr>
          <w:rFonts w:ascii="Times New Roman" w:hAnsi="Times New Roman"/>
          <w:color w:val="000000" w:themeColor="text1"/>
          <w:sz w:val="16"/>
          <w:szCs w:val="16"/>
        </w:rPr>
        <w:softHyphen/>
        <w:t>дятся еще 8 комплектов крыльев...</w:t>
      </w:r>
    </w:p>
    <w:p w14:paraId="5AC313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Готовых центропланов нет. В заделе находятся на 5 машин...</w:t>
      </w:r>
    </w:p>
    <w:p w14:paraId="08D909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Готовых моторам нет, в заделе на 3 шт...</w:t>
      </w:r>
    </w:p>
    <w:p w14:paraId="0949D8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Готовых фюзеляжей, состыкованных с центропла</w:t>
      </w:r>
      <w:r w:rsidRPr="00A3026E">
        <w:rPr>
          <w:rFonts w:ascii="Times New Roman" w:hAnsi="Times New Roman"/>
          <w:color w:val="000000" w:themeColor="text1"/>
          <w:sz w:val="16"/>
          <w:szCs w:val="16"/>
        </w:rPr>
        <w:softHyphen/>
        <w:t>ном, нет. Фюзеляжей без центроплана имеется...26 шт.</w:t>
      </w:r>
    </w:p>
    <w:p w14:paraId="710885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Хвостовое оперение. Имеется готовых рулей поворо</w:t>
      </w:r>
      <w:r w:rsidRPr="00A3026E">
        <w:rPr>
          <w:rFonts w:ascii="Times New Roman" w:hAnsi="Times New Roman"/>
          <w:color w:val="000000" w:themeColor="text1"/>
          <w:sz w:val="16"/>
          <w:szCs w:val="16"/>
        </w:rPr>
        <w:softHyphen/>
        <w:t>та на 4 машины. В заделе рулей поворота на 6 машин. Стабилизаторов и рулей высоты готовых нет. В заделе стабилизаторов на 14 машин, рулей высоты на 5 ма</w:t>
      </w:r>
      <w:r w:rsidRPr="00A3026E">
        <w:rPr>
          <w:rFonts w:ascii="Times New Roman" w:hAnsi="Times New Roman"/>
          <w:color w:val="000000" w:themeColor="text1"/>
          <w:sz w:val="16"/>
          <w:szCs w:val="16"/>
        </w:rPr>
        <w:softHyphen/>
        <w:t>шин...</w:t>
      </w:r>
    </w:p>
    <w:p w14:paraId="6EE851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Приступлено к постройке эталона 1941 г. Работа в последнее время развернулась довольно оживленно, но есть опасность срыва ее директором завода т. Ворони</w:t>
      </w:r>
      <w:r w:rsidRPr="00A3026E">
        <w:rPr>
          <w:rFonts w:ascii="Times New Roman" w:hAnsi="Times New Roman"/>
          <w:color w:val="000000" w:themeColor="text1"/>
          <w:sz w:val="16"/>
          <w:szCs w:val="16"/>
        </w:rPr>
        <w:softHyphen/>
        <w:t>ным, так как на совещании стахановцев завода он ори</w:t>
      </w:r>
      <w:r w:rsidRPr="00A3026E">
        <w:rPr>
          <w:rFonts w:ascii="Times New Roman" w:hAnsi="Times New Roman"/>
          <w:color w:val="000000" w:themeColor="text1"/>
          <w:sz w:val="16"/>
          <w:szCs w:val="16"/>
        </w:rPr>
        <w:softHyphen/>
        <w:t>ентировал собрание на постройку машины И-21 и полностью игнорировал постройку И-180 и, если он также ориентирует и начальников цехов завода, то про</w:t>
      </w:r>
      <w:r w:rsidRPr="00A3026E">
        <w:rPr>
          <w:rFonts w:ascii="Times New Roman" w:hAnsi="Times New Roman"/>
          <w:color w:val="000000" w:themeColor="text1"/>
          <w:sz w:val="16"/>
          <w:szCs w:val="16"/>
        </w:rPr>
        <w:softHyphen/>
        <w:t>грамма по И-180 будет сорвана» (10667).</w:t>
      </w:r>
    </w:p>
    <w:p w14:paraId="6194277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BA9A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Новиков писал письмо ПРЕДСЕДАТЕЛЮ КОМИТЕТА ОБОРОНЫ при СНК Союза ССР - ВОРОШИЛОВУ К.Е. (Исх. № 823с)</w:t>
      </w:r>
    </w:p>
    <w:p w14:paraId="10B5E4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Представляю на Ваше рассмотрение заключение Комиссии Главного Контроля КО по предложениям тов. Гроховского П.И..изложенным в пись</w:t>
      </w:r>
      <w:r w:rsidRPr="00A3026E">
        <w:rPr>
          <w:rFonts w:ascii="Times New Roman" w:hAnsi="Times New Roman"/>
          <w:color w:val="000000" w:themeColor="text1"/>
          <w:sz w:val="16"/>
          <w:szCs w:val="16"/>
        </w:rPr>
        <w:softHyphen/>
        <w:t>ме на имя тов. Молотова В.М., согласно Вашего распоряжения (10516,3).</w:t>
      </w:r>
    </w:p>
    <w:p w14:paraId="2D11D0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74D2D46"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сентября 1940</w:t>
      </w:r>
    </w:p>
    <w:p w14:paraId="66CED641"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Решение Политбюро от 06.IX.40 г.</w:t>
      </w:r>
    </w:p>
    <w:p w14:paraId="27FE7752"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79. О материально-техническом обеспечении производства моторов М-40 на Кировском заводе Наркомтяжмаша (постановление СНК СССР и ЦК ВКП(б)). — ОП</w:t>
      </w:r>
    </w:p>
    <w:p w14:paraId="68345A5B"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106. Об алюминиевой пудре для изготовления аэростатов. — ОП.</w:t>
      </w:r>
    </w:p>
    <w:p w14:paraId="3B7B3F88"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112. Об организации закрытой торговли на заводах Наркомавиапрома. (20544).</w:t>
      </w:r>
    </w:p>
    <w:p w14:paraId="02412285" w14:textId="77777777" w:rsidR="00E90D86" w:rsidRPr="00A3026E" w:rsidRDefault="00E90D86" w:rsidP="00A3026E">
      <w:pPr>
        <w:spacing w:after="0" w:line="240" w:lineRule="auto"/>
        <w:jc w:val="both"/>
        <w:rPr>
          <w:rFonts w:ascii="Times New Roman" w:hAnsi="Times New Roman"/>
          <w:color w:val="0070C0"/>
          <w:sz w:val="16"/>
          <w:szCs w:val="16"/>
        </w:rPr>
      </w:pPr>
    </w:p>
    <w:p w14:paraId="1F7400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Зам. Нач. 2ГУ НКВ Рыкунин писал Главному Контролеру КО при СНК СССР тов. Калиновскому письмо № 3818</w:t>
      </w:r>
    </w:p>
    <w:p w14:paraId="404F20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Секретариату КО</w:t>
      </w:r>
    </w:p>
    <w:p w14:paraId="3695DD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Расхождения количеств по заказам НКАП на период 8-12-40 г.</w:t>
      </w:r>
    </w:p>
    <w:p w14:paraId="2E61F0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Вашего запроса, сообщаем, что в соот</w:t>
      </w:r>
      <w:r w:rsidRPr="00A3026E">
        <w:rPr>
          <w:rFonts w:ascii="Times New Roman" w:hAnsi="Times New Roman"/>
          <w:color w:val="000000" w:themeColor="text1"/>
          <w:sz w:val="16"/>
          <w:szCs w:val="16"/>
        </w:rPr>
        <w:softHyphen/>
        <w:t>ветствии с постановлением правительства от 26/УП-40 г. за № 355сс и приказом НКВооружения от 2/8-40 г. за № 226сс, 2-ое Главное Управление обязано изготовить для заводов НКАП на период 8-12-40 г. авиационные прицелы в нижеуказанных количествах.</w:t>
      </w:r>
    </w:p>
    <w:p w14:paraId="7E44C2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Наркомат Авиационной Промышленности своими пись</w:t>
      </w:r>
      <w:r w:rsidRPr="00A3026E">
        <w:rPr>
          <w:rFonts w:ascii="Times New Roman" w:hAnsi="Times New Roman"/>
          <w:color w:val="000000" w:themeColor="text1"/>
          <w:sz w:val="16"/>
          <w:szCs w:val="16"/>
        </w:rPr>
        <w:softHyphen/>
        <w:t>мами от 10/8-40 г. за № 1052/5719, 1052/5716, 1052/5714 (1-го Гл.Упр. НКАП) и от 9/8-40 г. за № 147/2290 (2-го Главн.Упр. НКАП), подтвержденными протоколом совещания во 2-м Главном управлении НКВ от 12/8-40 г., дал измене</w:t>
      </w:r>
      <w:r w:rsidRPr="00A3026E">
        <w:rPr>
          <w:rFonts w:ascii="Times New Roman" w:hAnsi="Times New Roman"/>
          <w:color w:val="000000" w:themeColor="text1"/>
          <w:sz w:val="16"/>
          <w:szCs w:val="16"/>
        </w:rPr>
        <w:softHyphen/>
        <w:t>ния количеств по отдельным приборам на 8-12-40 г., а именно:</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75"/>
        <w:gridCol w:w="2110"/>
        <w:gridCol w:w="1102"/>
        <w:gridCol w:w="1188"/>
        <w:gridCol w:w="2477"/>
      </w:tblGrid>
      <w:tr w:rsidR="00983732" w:rsidRPr="00A3026E" w14:paraId="0DC75536" w14:textId="77777777" w:rsidTr="00EA0DA7">
        <w:trPr>
          <w:trHeight w:val="893"/>
        </w:trPr>
        <w:tc>
          <w:tcPr>
            <w:tcW w:w="475" w:type="dxa"/>
            <w:tcBorders>
              <w:top w:val="single" w:sz="12" w:space="0" w:color="auto"/>
            </w:tcBorders>
          </w:tcPr>
          <w:p w14:paraId="2EE882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п/п</w:t>
            </w:r>
          </w:p>
        </w:tc>
        <w:tc>
          <w:tcPr>
            <w:tcW w:w="2110" w:type="dxa"/>
            <w:tcBorders>
              <w:top w:val="single" w:sz="12" w:space="0" w:color="auto"/>
            </w:tcBorders>
          </w:tcPr>
          <w:p w14:paraId="28DF61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Название и шифр.</w:t>
            </w:r>
          </w:p>
          <w:p w14:paraId="1CADC6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02" w:type="dxa"/>
            <w:tcBorders>
              <w:top w:val="single" w:sz="12" w:space="0" w:color="auto"/>
            </w:tcBorders>
          </w:tcPr>
          <w:p w14:paraId="51B232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w:t>
            </w:r>
            <w:r w:rsidRPr="00A3026E">
              <w:rPr>
                <w:rFonts w:ascii="Times New Roman" w:hAnsi="Times New Roman"/>
                <w:color w:val="000000" w:themeColor="text1"/>
                <w:sz w:val="16"/>
                <w:szCs w:val="16"/>
              </w:rPr>
              <w:softHyphen/>
              <w:t>становл. Пр-ва № 355</w:t>
            </w:r>
          </w:p>
        </w:tc>
        <w:tc>
          <w:tcPr>
            <w:tcW w:w="1188" w:type="dxa"/>
            <w:tcBorders>
              <w:top w:val="single" w:sz="12" w:space="0" w:color="auto"/>
            </w:tcBorders>
          </w:tcPr>
          <w:p w14:paraId="3C5760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наря</w:t>
            </w:r>
            <w:r w:rsidRPr="00A3026E">
              <w:rPr>
                <w:rFonts w:ascii="Times New Roman" w:hAnsi="Times New Roman"/>
                <w:color w:val="000000" w:themeColor="text1"/>
                <w:sz w:val="16"/>
                <w:szCs w:val="16"/>
              </w:rPr>
              <w:softHyphen/>
              <w:t>дам НКАП и прото</w:t>
            </w:r>
            <w:r w:rsidRPr="00A3026E">
              <w:rPr>
                <w:rFonts w:ascii="Times New Roman" w:hAnsi="Times New Roman"/>
                <w:color w:val="000000" w:themeColor="text1"/>
                <w:sz w:val="16"/>
                <w:szCs w:val="16"/>
              </w:rPr>
              <w:softHyphen/>
              <w:t>колу</w:t>
            </w:r>
          </w:p>
        </w:tc>
        <w:tc>
          <w:tcPr>
            <w:tcW w:w="2477" w:type="dxa"/>
            <w:tcBorders>
              <w:top w:val="single" w:sz="12" w:space="0" w:color="auto"/>
            </w:tcBorders>
          </w:tcPr>
          <w:p w14:paraId="7F2371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w:t>
            </w:r>
          </w:p>
        </w:tc>
      </w:tr>
      <w:tr w:rsidR="00983732" w:rsidRPr="00A3026E" w14:paraId="47038B02" w14:textId="77777777" w:rsidTr="00EA0DA7">
        <w:trPr>
          <w:trHeight w:val="482"/>
        </w:trPr>
        <w:tc>
          <w:tcPr>
            <w:tcW w:w="475" w:type="dxa"/>
          </w:tcPr>
          <w:p w14:paraId="331CB4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2110" w:type="dxa"/>
          </w:tcPr>
          <w:p w14:paraId="6F3958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прицел ТОС</w:t>
            </w:r>
          </w:p>
        </w:tc>
        <w:tc>
          <w:tcPr>
            <w:tcW w:w="1102" w:type="dxa"/>
          </w:tcPr>
          <w:p w14:paraId="06020F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w:t>
            </w:r>
          </w:p>
        </w:tc>
        <w:tc>
          <w:tcPr>
            <w:tcW w:w="1188" w:type="dxa"/>
          </w:tcPr>
          <w:p w14:paraId="18292E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w:t>
            </w:r>
          </w:p>
        </w:tc>
        <w:tc>
          <w:tcPr>
            <w:tcW w:w="2477" w:type="dxa"/>
          </w:tcPr>
          <w:p w14:paraId="7ED832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4725BF4" w14:textId="77777777" w:rsidTr="00EA0DA7">
        <w:trPr>
          <w:trHeight w:val="324"/>
        </w:trPr>
        <w:tc>
          <w:tcPr>
            <w:tcW w:w="475" w:type="dxa"/>
          </w:tcPr>
          <w:p w14:paraId="6DF8B7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2110" w:type="dxa"/>
          </w:tcPr>
          <w:p w14:paraId="79A65E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 ОПБ-1</w:t>
            </w:r>
          </w:p>
        </w:tc>
        <w:tc>
          <w:tcPr>
            <w:tcW w:w="1102" w:type="dxa"/>
          </w:tcPr>
          <w:p w14:paraId="7E7CDE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c>
          <w:tcPr>
            <w:tcW w:w="1188" w:type="dxa"/>
          </w:tcPr>
          <w:p w14:paraId="1775AF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264</w:t>
            </w:r>
          </w:p>
        </w:tc>
        <w:tc>
          <w:tcPr>
            <w:tcW w:w="2477" w:type="dxa"/>
          </w:tcPr>
          <w:p w14:paraId="18EA6D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4AAB3A4" w14:textId="77777777" w:rsidTr="00EA0DA7">
        <w:trPr>
          <w:trHeight w:val="353"/>
        </w:trPr>
        <w:tc>
          <w:tcPr>
            <w:tcW w:w="475" w:type="dxa"/>
          </w:tcPr>
          <w:p w14:paraId="623E91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2110" w:type="dxa"/>
          </w:tcPr>
          <w:p w14:paraId="15594C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НКПБ-3</w:t>
            </w:r>
          </w:p>
        </w:tc>
        <w:tc>
          <w:tcPr>
            <w:tcW w:w="1102" w:type="dxa"/>
          </w:tcPr>
          <w:p w14:paraId="1DD126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255</w:t>
            </w:r>
          </w:p>
        </w:tc>
        <w:tc>
          <w:tcPr>
            <w:tcW w:w="1188" w:type="dxa"/>
          </w:tcPr>
          <w:p w14:paraId="7BC0BD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w:t>
            </w:r>
          </w:p>
        </w:tc>
        <w:tc>
          <w:tcPr>
            <w:tcW w:w="2477" w:type="dxa"/>
          </w:tcPr>
          <w:p w14:paraId="2C2DD0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D4DDE12" w14:textId="77777777" w:rsidTr="00EA0DA7">
        <w:trPr>
          <w:trHeight w:val="331"/>
        </w:trPr>
        <w:tc>
          <w:tcPr>
            <w:tcW w:w="475" w:type="dxa"/>
          </w:tcPr>
          <w:p w14:paraId="53BA89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2110" w:type="dxa"/>
          </w:tcPr>
          <w:p w14:paraId="36277B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ОПБ-1ам</w:t>
            </w:r>
          </w:p>
        </w:tc>
        <w:tc>
          <w:tcPr>
            <w:tcW w:w="1102" w:type="dxa"/>
          </w:tcPr>
          <w:p w14:paraId="23AB73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1560</w:t>
            </w:r>
          </w:p>
        </w:tc>
        <w:tc>
          <w:tcPr>
            <w:tcW w:w="1188" w:type="dxa"/>
          </w:tcPr>
          <w:p w14:paraId="037D15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1095</w:t>
            </w:r>
          </w:p>
        </w:tc>
        <w:tc>
          <w:tcPr>
            <w:tcW w:w="2477" w:type="dxa"/>
          </w:tcPr>
          <w:p w14:paraId="70A461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CA1CE5A" w14:textId="77777777" w:rsidTr="00EA0DA7">
        <w:trPr>
          <w:trHeight w:val="331"/>
        </w:trPr>
        <w:tc>
          <w:tcPr>
            <w:tcW w:w="475" w:type="dxa"/>
          </w:tcPr>
          <w:p w14:paraId="5F4D47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2110" w:type="dxa"/>
          </w:tcPr>
          <w:p w14:paraId="32ABE1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ОПБ-2м</w:t>
            </w:r>
          </w:p>
        </w:tc>
        <w:tc>
          <w:tcPr>
            <w:tcW w:w="1102" w:type="dxa"/>
          </w:tcPr>
          <w:p w14:paraId="06EEC1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1310</w:t>
            </w:r>
          </w:p>
        </w:tc>
        <w:tc>
          <w:tcPr>
            <w:tcW w:w="1188" w:type="dxa"/>
          </w:tcPr>
          <w:p w14:paraId="108AE1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875+23</w:t>
            </w:r>
          </w:p>
        </w:tc>
        <w:tc>
          <w:tcPr>
            <w:tcW w:w="2477" w:type="dxa"/>
          </w:tcPr>
          <w:p w14:paraId="3AF3F8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0C042F2" w14:textId="77777777" w:rsidTr="00EA0DA7">
        <w:trPr>
          <w:trHeight w:val="259"/>
        </w:trPr>
        <w:tc>
          <w:tcPr>
            <w:tcW w:w="475" w:type="dxa"/>
          </w:tcPr>
          <w:p w14:paraId="267631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2110" w:type="dxa"/>
          </w:tcPr>
          <w:p w14:paraId="1F4C6D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СПБ-21</w:t>
            </w:r>
          </w:p>
        </w:tc>
        <w:tc>
          <w:tcPr>
            <w:tcW w:w="1102" w:type="dxa"/>
          </w:tcPr>
          <w:p w14:paraId="5209B8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1188" w:type="dxa"/>
          </w:tcPr>
          <w:p w14:paraId="59F9DF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77" w:type="dxa"/>
          </w:tcPr>
          <w:p w14:paraId="61EEC9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Заменяется ОПБ-2м</w:t>
            </w:r>
          </w:p>
        </w:tc>
      </w:tr>
      <w:tr w:rsidR="00983732" w:rsidRPr="00A3026E" w14:paraId="58DDA123" w14:textId="77777777" w:rsidTr="00EA0DA7">
        <w:trPr>
          <w:trHeight w:val="338"/>
        </w:trPr>
        <w:tc>
          <w:tcPr>
            <w:tcW w:w="475" w:type="dxa"/>
          </w:tcPr>
          <w:p w14:paraId="0AD4FB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2110" w:type="dxa"/>
          </w:tcPr>
          <w:p w14:paraId="27BBA9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ПТН-5</w:t>
            </w:r>
          </w:p>
        </w:tc>
        <w:tc>
          <w:tcPr>
            <w:tcW w:w="1102" w:type="dxa"/>
          </w:tcPr>
          <w:p w14:paraId="656DEB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w:t>
            </w:r>
          </w:p>
        </w:tc>
        <w:tc>
          <w:tcPr>
            <w:tcW w:w="1188" w:type="dxa"/>
          </w:tcPr>
          <w:p w14:paraId="44FDBD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w:t>
            </w:r>
          </w:p>
        </w:tc>
        <w:tc>
          <w:tcPr>
            <w:tcW w:w="2477" w:type="dxa"/>
          </w:tcPr>
          <w:p w14:paraId="555C81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DBA61FF" w14:textId="77777777" w:rsidTr="00EA0DA7">
        <w:trPr>
          <w:trHeight w:val="331"/>
        </w:trPr>
        <w:tc>
          <w:tcPr>
            <w:tcW w:w="475" w:type="dxa"/>
          </w:tcPr>
          <w:p w14:paraId="497BAF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2110" w:type="dxa"/>
          </w:tcPr>
          <w:p w14:paraId="290AAD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ОПБ-2му</w:t>
            </w:r>
          </w:p>
        </w:tc>
        <w:tc>
          <w:tcPr>
            <w:tcW w:w="1102" w:type="dxa"/>
          </w:tcPr>
          <w:p w14:paraId="19AA57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w:t>
            </w:r>
          </w:p>
        </w:tc>
        <w:tc>
          <w:tcPr>
            <w:tcW w:w="1188" w:type="dxa"/>
          </w:tcPr>
          <w:p w14:paraId="36E8CD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w:t>
            </w:r>
          </w:p>
        </w:tc>
        <w:tc>
          <w:tcPr>
            <w:tcW w:w="2477" w:type="dxa"/>
          </w:tcPr>
          <w:p w14:paraId="1C2976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D33A9A6" w14:textId="77777777" w:rsidTr="00EA0DA7">
        <w:trPr>
          <w:trHeight w:val="331"/>
        </w:trPr>
        <w:tc>
          <w:tcPr>
            <w:tcW w:w="475" w:type="dxa"/>
          </w:tcPr>
          <w:p w14:paraId="724E78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2110" w:type="dxa"/>
          </w:tcPr>
          <w:p w14:paraId="4779A8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ОПТ-1</w:t>
            </w:r>
          </w:p>
          <w:p w14:paraId="213D1E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02" w:type="dxa"/>
          </w:tcPr>
          <w:p w14:paraId="40CDB3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1646</w:t>
            </w:r>
          </w:p>
        </w:tc>
        <w:tc>
          <w:tcPr>
            <w:tcW w:w="1188" w:type="dxa"/>
          </w:tcPr>
          <w:p w14:paraId="2E797B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988</w:t>
            </w:r>
          </w:p>
        </w:tc>
        <w:tc>
          <w:tcPr>
            <w:tcW w:w="2477" w:type="dxa"/>
          </w:tcPr>
          <w:p w14:paraId="057464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AC18FC6" w14:textId="77777777" w:rsidTr="00EA0DA7">
        <w:trPr>
          <w:trHeight w:val="331"/>
        </w:trPr>
        <w:tc>
          <w:tcPr>
            <w:tcW w:w="475" w:type="dxa"/>
          </w:tcPr>
          <w:p w14:paraId="220031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2110" w:type="dxa"/>
          </w:tcPr>
          <w:p w14:paraId="7C891F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 ПАЛ-23у</w:t>
            </w:r>
          </w:p>
        </w:tc>
        <w:tc>
          <w:tcPr>
            <w:tcW w:w="1102" w:type="dxa"/>
          </w:tcPr>
          <w:p w14:paraId="339024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1188" w:type="dxa"/>
          </w:tcPr>
          <w:p w14:paraId="3BD462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2477" w:type="dxa"/>
          </w:tcPr>
          <w:p w14:paraId="5DC8C8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0208D9C" w14:textId="77777777" w:rsidTr="00EA0DA7">
        <w:trPr>
          <w:trHeight w:val="331"/>
        </w:trPr>
        <w:tc>
          <w:tcPr>
            <w:tcW w:w="475" w:type="dxa"/>
          </w:tcPr>
          <w:p w14:paraId="6EB589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c>
          <w:tcPr>
            <w:tcW w:w="2110" w:type="dxa"/>
          </w:tcPr>
          <w:p w14:paraId="456DB2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ОП-2л</w:t>
            </w:r>
          </w:p>
        </w:tc>
        <w:tc>
          <w:tcPr>
            <w:tcW w:w="1102" w:type="dxa"/>
          </w:tcPr>
          <w:p w14:paraId="1C57E2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3292</w:t>
            </w:r>
          </w:p>
        </w:tc>
        <w:tc>
          <w:tcPr>
            <w:tcW w:w="1188" w:type="dxa"/>
          </w:tcPr>
          <w:p w14:paraId="7286DC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3292</w:t>
            </w:r>
          </w:p>
        </w:tc>
        <w:tc>
          <w:tcPr>
            <w:tcW w:w="2477" w:type="dxa"/>
          </w:tcPr>
          <w:p w14:paraId="3AD6DE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A35DE57" w14:textId="77777777" w:rsidTr="00EA0DA7">
        <w:trPr>
          <w:trHeight w:val="331"/>
        </w:trPr>
        <w:tc>
          <w:tcPr>
            <w:tcW w:w="475" w:type="dxa"/>
          </w:tcPr>
          <w:p w14:paraId="5BE57D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2110" w:type="dxa"/>
          </w:tcPr>
          <w:p w14:paraId="0E0B89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ПАН-23</w:t>
            </w:r>
          </w:p>
          <w:p w14:paraId="6B95F9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02" w:type="dxa"/>
          </w:tcPr>
          <w:p w14:paraId="738580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2185</w:t>
            </w:r>
          </w:p>
        </w:tc>
        <w:tc>
          <w:tcPr>
            <w:tcW w:w="1188" w:type="dxa"/>
          </w:tcPr>
          <w:p w14:paraId="639135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635</w:t>
            </w:r>
          </w:p>
        </w:tc>
        <w:tc>
          <w:tcPr>
            <w:tcW w:w="2477" w:type="dxa"/>
          </w:tcPr>
          <w:p w14:paraId="54C9BB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Взамен ПАН-23 з-д 355 осваивает ПБП-1 (ранее КБ-11)</w:t>
            </w:r>
          </w:p>
        </w:tc>
      </w:tr>
      <w:tr w:rsidR="00983732" w:rsidRPr="00A3026E" w14:paraId="4EF943EC" w14:textId="77777777" w:rsidTr="00EA0DA7">
        <w:trPr>
          <w:trHeight w:val="331"/>
        </w:trPr>
        <w:tc>
          <w:tcPr>
            <w:tcW w:w="475" w:type="dxa"/>
          </w:tcPr>
          <w:p w14:paraId="5F9FA5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2110" w:type="dxa"/>
          </w:tcPr>
          <w:p w14:paraId="0A8A7C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ПБП-1 (КБ-11)</w:t>
            </w:r>
          </w:p>
          <w:p w14:paraId="7DD6D9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02" w:type="dxa"/>
          </w:tcPr>
          <w:p w14:paraId="365545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0055FA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88" w:type="dxa"/>
          </w:tcPr>
          <w:p w14:paraId="7D7A19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1550</w:t>
            </w:r>
          </w:p>
        </w:tc>
        <w:tc>
          <w:tcPr>
            <w:tcW w:w="2477" w:type="dxa"/>
          </w:tcPr>
          <w:p w14:paraId="50224D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A3515F7" w14:textId="77777777" w:rsidTr="00EA0DA7">
        <w:trPr>
          <w:trHeight w:val="331"/>
        </w:trPr>
        <w:tc>
          <w:tcPr>
            <w:tcW w:w="475" w:type="dxa"/>
          </w:tcPr>
          <w:p w14:paraId="4BAF81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c>
          <w:tcPr>
            <w:tcW w:w="2110" w:type="dxa"/>
          </w:tcPr>
          <w:p w14:paraId="2711E5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ПАН-24</w:t>
            </w:r>
          </w:p>
        </w:tc>
        <w:tc>
          <w:tcPr>
            <w:tcW w:w="1102" w:type="dxa"/>
          </w:tcPr>
          <w:p w14:paraId="749249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188" w:type="dxa"/>
          </w:tcPr>
          <w:p w14:paraId="2B2D49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77" w:type="dxa"/>
          </w:tcPr>
          <w:p w14:paraId="0374FD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4122D28" w14:textId="77777777" w:rsidTr="00EA0DA7">
        <w:trPr>
          <w:trHeight w:val="331"/>
        </w:trPr>
        <w:tc>
          <w:tcPr>
            <w:tcW w:w="475" w:type="dxa"/>
          </w:tcPr>
          <w:p w14:paraId="219874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2110" w:type="dxa"/>
          </w:tcPr>
          <w:p w14:paraId="70AA0A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ПАК-1</w:t>
            </w:r>
          </w:p>
        </w:tc>
        <w:tc>
          <w:tcPr>
            <w:tcW w:w="1102" w:type="dxa"/>
          </w:tcPr>
          <w:p w14:paraId="466DCE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2875</w:t>
            </w:r>
          </w:p>
        </w:tc>
        <w:tc>
          <w:tcPr>
            <w:tcW w:w="1188" w:type="dxa"/>
          </w:tcPr>
          <w:p w14:paraId="7DA3E8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1720</w:t>
            </w:r>
          </w:p>
        </w:tc>
        <w:tc>
          <w:tcPr>
            <w:tcW w:w="2477" w:type="dxa"/>
          </w:tcPr>
          <w:p w14:paraId="140D7A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0B641D6" w14:textId="77777777" w:rsidTr="00EA0DA7">
        <w:trPr>
          <w:trHeight w:val="331"/>
        </w:trPr>
        <w:tc>
          <w:tcPr>
            <w:tcW w:w="475" w:type="dxa"/>
          </w:tcPr>
          <w:p w14:paraId="285B3F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2110" w:type="dxa"/>
          </w:tcPr>
          <w:p w14:paraId="4F8FE3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К-8т</w:t>
            </w:r>
          </w:p>
        </w:tc>
        <w:tc>
          <w:tcPr>
            <w:tcW w:w="1102" w:type="dxa"/>
          </w:tcPr>
          <w:p w14:paraId="5E1825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c>
          <w:tcPr>
            <w:tcW w:w="1188" w:type="dxa"/>
          </w:tcPr>
          <w:p w14:paraId="5F61BF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w:t>
            </w:r>
          </w:p>
        </w:tc>
        <w:tc>
          <w:tcPr>
            <w:tcW w:w="2477" w:type="dxa"/>
          </w:tcPr>
          <w:p w14:paraId="43FECA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6ADF423" w14:textId="77777777" w:rsidTr="00EA0DA7">
        <w:trPr>
          <w:trHeight w:val="331"/>
        </w:trPr>
        <w:tc>
          <w:tcPr>
            <w:tcW w:w="475" w:type="dxa"/>
          </w:tcPr>
          <w:p w14:paraId="0B0866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c>
          <w:tcPr>
            <w:tcW w:w="2110" w:type="dxa"/>
          </w:tcPr>
          <w:p w14:paraId="5C5C28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МПТ-1</w:t>
            </w:r>
          </w:p>
        </w:tc>
        <w:tc>
          <w:tcPr>
            <w:tcW w:w="1102" w:type="dxa"/>
          </w:tcPr>
          <w:p w14:paraId="567C3E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1646</w:t>
            </w:r>
          </w:p>
        </w:tc>
        <w:tc>
          <w:tcPr>
            <w:tcW w:w="1188" w:type="dxa"/>
          </w:tcPr>
          <w:p w14:paraId="776A03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1646</w:t>
            </w:r>
          </w:p>
        </w:tc>
        <w:tc>
          <w:tcPr>
            <w:tcW w:w="2477" w:type="dxa"/>
          </w:tcPr>
          <w:p w14:paraId="390457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AE8F3D3" w14:textId="77777777" w:rsidTr="00EA0DA7">
        <w:trPr>
          <w:trHeight w:val="331"/>
        </w:trPr>
        <w:tc>
          <w:tcPr>
            <w:tcW w:w="475" w:type="dxa"/>
          </w:tcPr>
          <w:p w14:paraId="0A7BE9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2110" w:type="dxa"/>
          </w:tcPr>
          <w:p w14:paraId="4EABB8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ПМП-6</w:t>
            </w:r>
          </w:p>
          <w:p w14:paraId="2CD04B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02" w:type="dxa"/>
          </w:tcPr>
          <w:p w14:paraId="4DDC16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1254</w:t>
            </w:r>
          </w:p>
        </w:tc>
        <w:tc>
          <w:tcPr>
            <w:tcW w:w="1188" w:type="dxa"/>
          </w:tcPr>
          <w:p w14:paraId="0F6391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244</w:t>
            </w:r>
          </w:p>
        </w:tc>
        <w:tc>
          <w:tcPr>
            <w:tcW w:w="2477" w:type="dxa"/>
          </w:tcPr>
          <w:p w14:paraId="79D4FC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ED4A67C" w14:textId="77777777" w:rsidTr="00EA0DA7">
        <w:trPr>
          <w:trHeight w:val="331"/>
        </w:trPr>
        <w:tc>
          <w:tcPr>
            <w:tcW w:w="475" w:type="dxa"/>
          </w:tcPr>
          <w:p w14:paraId="55DEE0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2110" w:type="dxa"/>
          </w:tcPr>
          <w:p w14:paraId="62615D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ПЛ-5</w:t>
            </w:r>
          </w:p>
        </w:tc>
        <w:tc>
          <w:tcPr>
            <w:tcW w:w="1102" w:type="dxa"/>
          </w:tcPr>
          <w:p w14:paraId="4C3D74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1188" w:type="dxa"/>
          </w:tcPr>
          <w:p w14:paraId="6C9CEC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2477" w:type="dxa"/>
          </w:tcPr>
          <w:p w14:paraId="5B3C2E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6025C70" w14:textId="77777777" w:rsidTr="00EA0DA7">
        <w:trPr>
          <w:trHeight w:val="331"/>
        </w:trPr>
        <w:tc>
          <w:tcPr>
            <w:tcW w:w="475" w:type="dxa"/>
          </w:tcPr>
          <w:p w14:paraId="2F03A3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2110" w:type="dxa"/>
          </w:tcPr>
          <w:p w14:paraId="39926E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ЛЕФТЕ 7Б (ПС-1)</w:t>
            </w:r>
          </w:p>
        </w:tc>
        <w:tc>
          <w:tcPr>
            <w:tcW w:w="1102" w:type="dxa"/>
          </w:tcPr>
          <w:p w14:paraId="41AFBD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c>
          <w:tcPr>
            <w:tcW w:w="1188" w:type="dxa"/>
          </w:tcPr>
          <w:p w14:paraId="0E122E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77" w:type="dxa"/>
          </w:tcPr>
          <w:p w14:paraId="6A7E9A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прицелы будут изготавливаться только в 1941, тк. По ним нет еще опытных образцов</w:t>
            </w:r>
          </w:p>
        </w:tc>
      </w:tr>
      <w:tr w:rsidR="00983732" w:rsidRPr="00A3026E" w14:paraId="7C7FEEFC" w14:textId="77777777" w:rsidTr="00EA0DA7">
        <w:trPr>
          <w:trHeight w:val="331"/>
        </w:trPr>
        <w:tc>
          <w:tcPr>
            <w:tcW w:w="475" w:type="dxa"/>
          </w:tcPr>
          <w:p w14:paraId="73A0F5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2110" w:type="dxa"/>
          </w:tcPr>
          <w:p w14:paraId="00E8AE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ОПСК</w:t>
            </w:r>
          </w:p>
        </w:tc>
        <w:tc>
          <w:tcPr>
            <w:tcW w:w="1102" w:type="dxa"/>
          </w:tcPr>
          <w:p w14:paraId="797D67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w:t>
            </w:r>
          </w:p>
        </w:tc>
        <w:tc>
          <w:tcPr>
            <w:tcW w:w="1188" w:type="dxa"/>
          </w:tcPr>
          <w:p w14:paraId="5AE5A7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77" w:type="dxa"/>
          </w:tcPr>
          <w:p w14:paraId="3752BF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прицелы будут изготавливаться только в 1941, тк. По ним нет еще опытных образцов</w:t>
            </w:r>
          </w:p>
        </w:tc>
      </w:tr>
      <w:tr w:rsidR="00983732" w:rsidRPr="00A3026E" w14:paraId="554EBD4F" w14:textId="77777777" w:rsidTr="00EA0DA7">
        <w:trPr>
          <w:trHeight w:val="331"/>
        </w:trPr>
        <w:tc>
          <w:tcPr>
            <w:tcW w:w="475" w:type="dxa"/>
          </w:tcPr>
          <w:p w14:paraId="530039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2110" w:type="dxa"/>
          </w:tcPr>
          <w:p w14:paraId="4AAE8C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ПВС-1</w:t>
            </w:r>
          </w:p>
        </w:tc>
        <w:tc>
          <w:tcPr>
            <w:tcW w:w="1102" w:type="dxa"/>
          </w:tcPr>
          <w:p w14:paraId="255AB0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w:t>
            </w:r>
          </w:p>
        </w:tc>
        <w:tc>
          <w:tcPr>
            <w:tcW w:w="1188" w:type="dxa"/>
          </w:tcPr>
          <w:p w14:paraId="233A25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477" w:type="dxa"/>
          </w:tcPr>
          <w:p w14:paraId="08CA55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прицелы будут изготавливаться только в 1941, тк. По ним нет еще опытных образцов</w:t>
            </w:r>
          </w:p>
        </w:tc>
      </w:tr>
      <w:tr w:rsidR="00983732" w:rsidRPr="00A3026E" w14:paraId="1428A27A" w14:textId="77777777" w:rsidTr="00EA0DA7">
        <w:trPr>
          <w:trHeight w:val="331"/>
        </w:trPr>
        <w:tc>
          <w:tcPr>
            <w:tcW w:w="475" w:type="dxa"/>
            <w:tcBorders>
              <w:bottom w:val="single" w:sz="12" w:space="0" w:color="auto"/>
            </w:tcBorders>
          </w:tcPr>
          <w:p w14:paraId="48C16E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2110" w:type="dxa"/>
            <w:tcBorders>
              <w:bottom w:val="single" w:sz="12" w:space="0" w:color="auto"/>
            </w:tcBorders>
          </w:tcPr>
          <w:p w14:paraId="3FBC90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Трубка ТХП</w:t>
            </w:r>
          </w:p>
        </w:tc>
        <w:tc>
          <w:tcPr>
            <w:tcW w:w="1102" w:type="dxa"/>
            <w:tcBorders>
              <w:bottom w:val="single" w:sz="12" w:space="0" w:color="auto"/>
            </w:tcBorders>
          </w:tcPr>
          <w:p w14:paraId="3FFEF7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188" w:type="dxa"/>
            <w:tcBorders>
              <w:bottom w:val="single" w:sz="12" w:space="0" w:color="auto"/>
            </w:tcBorders>
          </w:tcPr>
          <w:p w14:paraId="3369D4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2477" w:type="dxa"/>
            <w:tcBorders>
              <w:bottom w:val="single" w:sz="12" w:space="0" w:color="auto"/>
            </w:tcBorders>
          </w:tcPr>
          <w:p w14:paraId="7E0155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75EDD2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Указанные изменения по согласованию с НКВ приняты 2ГУ для руководства (10483,54).</w:t>
      </w:r>
    </w:p>
    <w:p w14:paraId="3FA5CA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6692B71" w14:textId="77777777" w:rsidR="00B14FDB" w:rsidRPr="00A3026E" w:rsidRDefault="00B14FDB"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1BB47E98" w14:textId="77777777" w:rsidR="00B14FDB" w:rsidRPr="00A3026E" w:rsidRDefault="00B14FDB" w:rsidP="00A3026E">
      <w:pPr>
        <w:spacing w:after="0" w:line="240" w:lineRule="auto"/>
        <w:jc w:val="both"/>
        <w:rPr>
          <w:rFonts w:ascii="Times New Roman" w:hAnsi="Times New Roman"/>
          <w:iCs/>
          <w:color w:val="000000" w:themeColor="text1"/>
          <w:sz w:val="16"/>
          <w:szCs w:val="16"/>
        </w:rPr>
      </w:pPr>
    </w:p>
    <w:p w14:paraId="76696050" w14:textId="77777777" w:rsidR="00B14FDB" w:rsidRPr="00A3026E" w:rsidRDefault="00B14F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г. был создан Наркомат народного контроля СССР, в котором слились Комиссия советского контроля и Главный военный контроль. Новый орган получал право привлекать виновных к уголовной и административной ответственности, давать обязательные указания государственным органам. В наркоматах были созданы контрольно-инструкторские группы.</w:t>
      </w:r>
    </w:p>
    <w:p w14:paraId="43A0C7C3" w14:textId="77777777" w:rsidR="00B14FDB" w:rsidRPr="00A3026E" w:rsidRDefault="00B14F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Комиссия советского контроля (КСК) при СНК СССР — орган государственного контроля, создана в 1934 г. вместо Наркомата рабоче-крестьянской инспекции. Положение о Комиссии утверждено постановлением ЦИК и СНК СССР от 27 февраля 1934 г. В состав центрального аппарата комиссии входили: бюро, секретариат, 21 группа, «осуществлявшая контроль по отдельным отраслям хозяйственного и культурного строительства». Работу военной промышленности контролировала группа военного контроля из 17 человек. Руководителем КСК назначался заместитель председателя СНК СССР. В республиках, краях и областях имелись уполномоченные КСК, ответственные только перед КСК и СНК СССР. </w:t>
      </w:r>
    </w:p>
    <w:p w14:paraId="0A1C507F" w14:textId="77777777" w:rsidR="00B14FDB" w:rsidRPr="00A3026E" w:rsidRDefault="00B14F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Комиссия партийного контроля (КПК) при ЦК ВКП(б) — орган партийного контроля, созданный XVII съездом партии в 1934 г. Была преобразована из Центральной контрольной комиссии ВКП(б), избиралась съездом партии. КПК имела аппарат в центре и постоянных представителей в республиках, краях, областях, назначаемых и отзываемых КПК. В Уставе партии на XVII съезде ВКП(б) было записано, что КПК: «а) контролирует исполнение решений партии и ЦК ВКП(б); б) привлекает к ответственности виновных в нарушении партийной дисциплины; в) привлекает к ответственности виновных в нарушении партийной этики». XVIII съезд ВКП(б) постановил, что центральной задачей КПК является усиление контроля за выполнением решений ЦК ВКП(б), и установил, что комиссия работает при ЦК ВКП(б), под его руководством и по его директивам, в связи с чем отпадает необходимость выборов членов комиссии на съезде партии. (ГА РФ. Ф. Р</w:t>
      </w:r>
      <w:r w:rsidRPr="00A3026E">
        <w:rPr>
          <w:rFonts w:ascii="Times New Roman" w:hAnsi="Times New Roman"/>
          <w:color w:val="000000" w:themeColor="text1"/>
          <w:sz w:val="16"/>
          <w:szCs w:val="16"/>
        </w:rPr>
        <w:noBreakHyphen/>
        <w:t>7511. Оп. 1. Д. 26. Л. 1, 12; Д. 23. Л. 16 об.</w:t>
      </w:r>
      <w:r w:rsidRPr="00A3026E">
        <w:rPr>
          <w:rFonts w:ascii="Times New Roman" w:hAnsi="Times New Roman"/>
          <w:color w:val="000000" w:themeColor="text1"/>
          <w:sz w:val="16"/>
          <w:szCs w:val="16"/>
        </w:rPr>
        <w:noBreakHyphen/>
        <w:t>17; “КПСС в резолюциях и решениях съездов, конференций и пленумов ЦК”. 8</w:t>
      </w:r>
      <w:r w:rsidRPr="00A3026E">
        <w:rPr>
          <w:rFonts w:ascii="Times New Roman" w:hAnsi="Times New Roman"/>
          <w:color w:val="000000" w:themeColor="text1"/>
          <w:sz w:val="16"/>
          <w:szCs w:val="16"/>
        </w:rPr>
        <w:noBreakHyphen/>
        <w:t>е изд. Т. 5. М., 1971. Стр. 160, 372, 378.) (17776).</w:t>
      </w:r>
    </w:p>
    <w:p w14:paraId="7B48C4A4" w14:textId="77777777" w:rsidR="00B14FDB" w:rsidRPr="00A3026E" w:rsidRDefault="00B14FDB" w:rsidP="00A3026E">
      <w:pPr>
        <w:spacing w:after="0" w:line="240" w:lineRule="auto"/>
        <w:jc w:val="both"/>
        <w:rPr>
          <w:rFonts w:ascii="Times New Roman" w:eastAsia="Times New Roman" w:hAnsi="Times New Roman"/>
          <w:color w:val="000000" w:themeColor="text1"/>
          <w:sz w:val="16"/>
          <w:szCs w:val="16"/>
          <w:lang w:eastAsia="ru-RU"/>
        </w:rPr>
      </w:pPr>
    </w:p>
    <w:p w14:paraId="31ACC3BC"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6 по 19 сентября 1940 г. проходили полигонные испытания танка Т-34 № 311-25-3 с пушкой Л-11 на АНИОПе под руководством временно исполняющего обязанности начальника полигона военинженера 1 ранга И.Н. Оглоблина. Из-за срочности вопроса, стрельба для определения углов вылета пушки Л-11 и спаренного с ней пулемета ДТ была проведена специалистами АНИОПа сразу же после прибытия танка Т-34 № 311-25-3 на полигон, в конце июля 1940 г. на основании предписания Арткома ГАУ КА. Величины углов вылета определялись для осколочно-фугасного дальнобойного стального снаряда ОФ-350, фугасной старой гранаты русского образца Ф-354 и бронебойно-трассирующего снаряда Бр-350А. Данные, полученные в результате отстрела, были незамедлительно отправлены в Артком ГАУ КА и использованы там при утверждении чертежей нарезки дистанционных шкал прицелов ПТ-6 и ТОД-6. Таким образом, один из пунктов программы полигонных испытаний вооружения танка – определение углов вылета, был выполнен до их официального начала (19575).</w:t>
      </w:r>
    </w:p>
    <w:p w14:paraId="4BDDDC63" w14:textId="77777777" w:rsidR="00CD3361" w:rsidRPr="00A3026E" w:rsidRDefault="00CD3361" w:rsidP="00A3026E">
      <w:pPr>
        <w:spacing w:after="0" w:line="240" w:lineRule="auto"/>
        <w:jc w:val="both"/>
        <w:rPr>
          <w:rFonts w:ascii="Times New Roman" w:hAnsi="Times New Roman"/>
          <w:color w:val="000000" w:themeColor="text1"/>
          <w:sz w:val="16"/>
          <w:szCs w:val="16"/>
        </w:rPr>
      </w:pPr>
    </w:p>
    <w:p w14:paraId="266A380E"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6 сентября 1940</w:t>
      </w:r>
    </w:p>
    <w:p w14:paraId="53F534F8"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РГВА Фонд 4 Опись 14 Дело 2831 лист 45 – 47</w:t>
      </w:r>
    </w:p>
    <w:p w14:paraId="00FDFDAB"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Написано от руки: «Вх. № 549сс/КВ 12.9.40»</w:t>
      </w:r>
    </w:p>
    <w:p w14:paraId="2AF927FE"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Сов.секретно</w:t>
      </w:r>
    </w:p>
    <w:p w14:paraId="33800ED2"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Экз. № ___</w:t>
      </w:r>
    </w:p>
    <w:p w14:paraId="52C56192"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ПРЕДСЕДАТЕЛЮ КОМИТЕТА ОБОРОНЫ при СНК СССР</w:t>
      </w:r>
    </w:p>
    <w:p w14:paraId="793D06F9"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МАРШАЛУ СОВЕТСКОГО СОЮЗА тов. ВОРОШИЛОВУ К.Е.</w:t>
      </w:r>
    </w:p>
    <w:p w14:paraId="35417A64"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Товарищ Маршал!</w:t>
      </w:r>
    </w:p>
    <w:p w14:paraId="2C011297"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Вынужден еще раз обратиться к Вам по вопросу проектирования трансмиссии для танков КВ и Т-34 по предложенной мною и тов. Благонравовым схеме.</w:t>
      </w:r>
    </w:p>
    <w:p w14:paraId="4032F08A"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Благодаря загруженности конструкторских бюро Кировского и завода № 183 по конструктивной доводке танков КВ и Т-34, а также и потому положению, что ни я, ни тов. Благонравов не можем уделить достаточно времени по оказанию помощи в проектировании, эти заводы не выполнили задания КО от 7.VI-1940 г. "О разработке технического проекта трансмиссии для танков КВ и Т-34" по нашей схеме.</w:t>
      </w:r>
    </w:p>
    <w:p w14:paraId="7D42B51F"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Надо сказать, что без непосредственного, постоянного участия в проектировании тов. Благонравова, конструкторские бюро выполнить эту работу не в состоянии не только по причине загруженности, но также и сложности расчетов, и конструктивным особенностям, поэтому присутствие тов. Благонравова обязательно.</w:t>
      </w:r>
    </w:p>
    <w:p w14:paraId="032B620C"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Такое положение заставило меня обратиться к Вам 10 августа с просьбой просить Маршала Советского Союза тов. Тимошенко С.К. о разрешении командировать на заводы тов. Благонравова сроком до 2-х месяцев. Тов. Тимошенко дал такое указание начальнику ГАБТУ, но дальше это дело не двинулось.</w:t>
      </w:r>
    </w:p>
    <w:p w14:paraId="325D1C89"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тов. Благонравова я узнал, что он сейчас загружен преподавательской работой, которую закончит только 15 ноября. Надо сказать, что в Академии механизации и моторизации сейчас на танковой кафедре сложилось так, что "Расчетно-конструктивный курс танков" может читать только тов. Благонравов, поэтому откомандирование его на заводы сорвет учебный год в Академии.</w:t>
      </w:r>
    </w:p>
    <w:p w14:paraId="391C73C3"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другой стороны, положение с технической стороной танков КВ и Т-34 (трансмиссия) такое, что применение новой трансмиссии абсолютно необходимо и вопрос о проектировании новой трансмиссии откладывать нельзя, а необходимо в самое короткое время спроектировать и дать на производство.</w:t>
      </w:r>
    </w:p>
    <w:p w14:paraId="1391CEF8"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Конструкторские бюро заводов сейчас работают над устранением неполадок в существующей трансмиссии. Это правильно, ибо танки КВ и Т-34 надо выпускать, хотя бы и с большими техническими дефектами, но это как вынужденная мера, необходимо срочное и коренное решение вопроса о трансмиссии танков.</w:t>
      </w:r>
    </w:p>
    <w:p w14:paraId="5BBDAC60"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ГАБТУ также считает эти танки несовершенными и также настаивает на применении новой трансмиссии. Поэтому, как ближайший выход из создавшегося положения, для ускорения вопроса проектирования трансмиссии для этих танков, считал бы необходимым поручить разработку технического проекта трансмиссии (по нашему предложению) Академии механизации и моторизации под руководством т. Благонравова. Такое решение даст ему возможность руководить проектированием и читать лекции. Срок проектирования можно установить такой:</w:t>
      </w:r>
    </w:p>
    <w:p w14:paraId="168AC621"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Разработка технического проекта трансмиссии для Т-34 – 20 октября с.г.</w:t>
      </w:r>
    </w:p>
    <w:p w14:paraId="64DF9F00"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Разработка технического проекта для КВ – 1 декабря с.г.</w:t>
      </w:r>
    </w:p>
    <w:p w14:paraId="71E3B9FC"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После изготовления технических проектов поручить НКО (ГАБТУ) и Наркоматам рассмотреть эти проекты и представить в Комитет Обороны на утверждение для разработки рабочих чертежей и запуска в производство.</w:t>
      </w:r>
    </w:p>
    <w:p w14:paraId="4862E378"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Проект распоряжения КО – прилагаю.</w:t>
      </w:r>
    </w:p>
    <w:p w14:paraId="14BD543A"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подпись М. ДАНЧЕНКО</w:t>
      </w:r>
    </w:p>
    <w:p w14:paraId="3E55028C"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сентября 1940 года</w:t>
      </w:r>
    </w:p>
    <w:p w14:paraId="5E4F87A7"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___</w:t>
      </w:r>
    </w:p>
    <w:p w14:paraId="2C1406DB"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22754.6.IX</w:t>
      </w:r>
    </w:p>
    <w:p w14:paraId="1757DCB3"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экз.</w:t>
      </w:r>
    </w:p>
    <w:p w14:paraId="20BA6A0A"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документе резолюция К.Е. Ворошилова:</w:t>
      </w:r>
    </w:p>
    <w:p w14:paraId="2A82BF27"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 Тимошенко С.К.</w:t>
      </w:r>
    </w:p>
    <w:p w14:paraId="74EBF383"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Я с этим предложением вполне согласен, если у Вас также не будет возражений, прошу дать соответствующее распоряжение Академии МиМ. Сообщите Ваше решение. подпись К.Е. Ворошилова 11/IX-40 г.» (20380).</w:t>
      </w:r>
    </w:p>
    <w:p w14:paraId="1AE9D936" w14:textId="77777777" w:rsidR="00E90D86" w:rsidRPr="00A3026E" w:rsidRDefault="00E90D86" w:rsidP="00A3026E">
      <w:pPr>
        <w:spacing w:after="0" w:line="240" w:lineRule="auto"/>
        <w:jc w:val="both"/>
        <w:rPr>
          <w:rFonts w:ascii="Times New Roman" w:hAnsi="Times New Roman"/>
          <w:color w:val="0070C0"/>
          <w:sz w:val="16"/>
          <w:szCs w:val="16"/>
        </w:rPr>
      </w:pPr>
    </w:p>
    <w:p w14:paraId="183EA065"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сентября 1940 г. выход из сложившейся ситуации был предложен начальником управления Госрезервов при СНК СССР М.В. Данченко, который в </w:t>
      </w:r>
      <w:hyperlink r:id="rId6" w:tgtFrame="_blank" w:history="1">
        <w:r w:rsidRPr="00A3026E">
          <w:rPr>
            <w:rStyle w:val="a5"/>
            <w:rFonts w:ascii="Times New Roman" w:hAnsi="Times New Roman"/>
            <w:color w:val="0070C0"/>
            <w:sz w:val="16"/>
            <w:szCs w:val="16"/>
          </w:rPr>
          <w:t>письме</w:t>
        </w:r>
      </w:hyperlink>
      <w:r w:rsidRPr="00A3026E">
        <w:rPr>
          <w:rFonts w:ascii="Times New Roman" w:hAnsi="Times New Roman"/>
          <w:color w:val="0070C0"/>
          <w:sz w:val="16"/>
          <w:szCs w:val="16"/>
        </w:rPr>
        <w:t> к К.Е. Ворошилову сообщил следующее:</w:t>
      </w:r>
    </w:p>
    <w:p w14:paraId="359C09E0"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«Товарищ Маршал!</w:t>
      </w:r>
    </w:p>
    <w:p w14:paraId="3E339F48"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Вынужден еще раз обратиться к Вам по вопросу проектирования трансмиссии для танков КВ и Т-34 по предложенной мною и тов. Благонравовым схеме.</w:t>
      </w:r>
    </w:p>
    <w:p w14:paraId="5D725CE1"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Благодаря загруженности конструкторских бюро Кировского и завода № 183 по конструктивной доводке танков КВ и Т-34, а также и потому положению, что ни я, ни тов. Благонравов не можем уделить достаточно времени по оказанию помощи в проектировании, эти заводы не выполнили задания КО от 7.VI-1940 г. "О разработке технического проекта трансмиссии для танков КВ и Т-34" по нашей схеме.</w:t>
      </w:r>
    </w:p>
    <w:p w14:paraId="076207C5"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Надо сказать, что без непосредственного, постоянного участия в проектировании тов. Благонравова, конструкторские бюро выполнить эту работу не в состоянии не только по причине загруженности, но также и сложности расчетов, и конструктивным особенностям, поэтому присутствие тов. Благонравова обязательно.</w:t>
      </w:r>
    </w:p>
    <w:p w14:paraId="56D0D6D9"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Такое положение заставило меня обратиться к Вам 10 августа с просьбой просить Маршала Советского Союза тов. Тимошенко С.К. о разрешении командировать на заводы тов. Благонравова сроком до 2-х месяцев. Тов. Тимошенко дал такое указание начальнику ГАБТУ, но дальше это дело не двинулось.</w:t>
      </w:r>
    </w:p>
    <w:p w14:paraId="24CF2B36"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тов. Благонравова я узнал, что он сейчас загружен преподавательской работой, которую закончит только 15 ноября. Надо сказать, что в Академии механизации и моторизации сейчас на танковой кафедре сложилось так, что "Расчетно-конструктивный курс танков" может читать только тов. Благонравов, поэтому откомандирование его на заводы сорвет учебный год в Академии.</w:t>
      </w:r>
    </w:p>
    <w:p w14:paraId="3AB96B11"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другой стороны, положение с технической стороной танков КВ и Т-34 (трансмиссия) такое, что применение новой трансмиссии абсолютно необходимо и вопрос о проектировании новой трансмиссии откладывать нельзя, а необходимо в самое короткое время спроектировать и дать на производство.</w:t>
      </w:r>
    </w:p>
    <w:p w14:paraId="764D4AB5"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Конструкторские бюро заводов сейчас работают над устранением неполадок в существующей трансмиссии. Это правильно, ибо танки КВ и Т-34 надо выпускать, хотя бы и с большими техническими дефектами, но это как вынужденная мера, необходимо срочное и коренное решение вопроса о трансмиссии танков.</w:t>
      </w:r>
    </w:p>
    <w:p w14:paraId="0E37F24D"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ГАБТУ также считает эти танки несовершенными и также настаивает на применении новой трансмиссии. Поэтому, как ближайший выход из создавшегося положения, для ускорения вопроса проектирования трансмиссии для этих танков, считал бы необходимым поручить разработку технического проекта трансмиссии (по нашему предложению) Академии механизации и моторизации под руководством т. Благонравова. Такое решение даст ему возможность руководить проектированием и читать лекции. Срок проектирования можно установить такой:</w:t>
      </w:r>
    </w:p>
    <w:p w14:paraId="135720DC"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Разработка технического проекта трансмиссии для Т-34 – 20 октября с.г.</w:t>
      </w:r>
    </w:p>
    <w:p w14:paraId="109443D5"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Разработка технического проекта для КВ – 1 декабря с.г.</w:t>
      </w:r>
    </w:p>
    <w:p w14:paraId="22FB06CA"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После изготовления технических проектов поручить НКО (ГАБТУ) и Наркоматам рассмотреть эти проекты и представить в Комитет Обороны на утверждение для разработки рабочих чертежей и запуска в производство».</w:t>
      </w:r>
    </w:p>
    <w:p w14:paraId="13404701"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[РГВА. Ф. 4. Оп. 14. Д. 2831. Л. 45 – 47].</w:t>
      </w:r>
    </w:p>
    <w:p w14:paraId="23F0C01D" w14:textId="77777777" w:rsidR="00E90D86" w:rsidRPr="00A3026E" w:rsidRDefault="00E90D8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Предложение М.В. Данченко получило поддержку в Комитете обороны при СНК СССР и у руководства Народного комиссариата обороны СССР (20377).</w:t>
      </w:r>
    </w:p>
    <w:p w14:paraId="6606EEB3" w14:textId="77777777" w:rsidR="00E90D86" w:rsidRPr="00A3026E" w:rsidRDefault="00E90D86" w:rsidP="00A3026E">
      <w:pPr>
        <w:spacing w:after="0" w:line="240" w:lineRule="auto"/>
        <w:jc w:val="both"/>
        <w:rPr>
          <w:rFonts w:ascii="Times New Roman" w:hAnsi="Times New Roman"/>
          <w:color w:val="0070C0"/>
          <w:sz w:val="16"/>
          <w:szCs w:val="16"/>
        </w:rPr>
      </w:pPr>
    </w:p>
    <w:p w14:paraId="195C9AA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10A6E17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D23C3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вышел указ Президиума ВС об образовании НК госконтроля (3960, 347).</w:t>
      </w:r>
    </w:p>
    <w:p w14:paraId="1006839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4F2C56A" w14:textId="77777777" w:rsidR="001F5600" w:rsidRPr="00A3026E" w:rsidRDefault="001F560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в 1940 году указ Президиума Верховного Совета СССР об образовании Народного комиссариата Государственного контроля СССР (14761).</w:t>
      </w:r>
    </w:p>
    <w:p w14:paraId="508C6EFD" w14:textId="77777777" w:rsidR="001F5600" w:rsidRPr="00A3026E" w:rsidRDefault="001F5600" w:rsidP="00A3026E">
      <w:pPr>
        <w:spacing w:after="0" w:line="240" w:lineRule="auto"/>
        <w:jc w:val="both"/>
        <w:rPr>
          <w:rFonts w:ascii="Times New Roman" w:hAnsi="Times New Roman"/>
          <w:color w:val="000000" w:themeColor="text1"/>
          <w:sz w:val="16"/>
          <w:szCs w:val="16"/>
        </w:rPr>
      </w:pPr>
    </w:p>
    <w:p w14:paraId="368AC6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года вместо Комиссии советского контроля при СНК СССР был образован Народный комиссариат государственного контроля СССР. С 6 сентября 1940 года по 21 июня 1941 года его возглавлял Л.З. Мехлис, ко</w:t>
      </w:r>
      <w:r w:rsidRPr="00A3026E">
        <w:rPr>
          <w:rFonts w:ascii="Times New Roman" w:hAnsi="Times New Roman"/>
          <w:color w:val="000000" w:themeColor="text1"/>
          <w:sz w:val="16"/>
          <w:szCs w:val="16"/>
        </w:rPr>
        <w:softHyphen/>
        <w:t>торый одновременно в сентябре 1940-го - мае 1944 года был заместителем председателя СНК СССР, а до этого являлся начальником Главного управ</w:t>
      </w:r>
      <w:r w:rsidRPr="00A3026E">
        <w:rPr>
          <w:rFonts w:ascii="Times New Roman" w:hAnsi="Times New Roman"/>
          <w:color w:val="000000" w:themeColor="text1"/>
          <w:sz w:val="16"/>
          <w:szCs w:val="16"/>
        </w:rPr>
        <w:softHyphen/>
        <w:t>ления политической пропаганды Красной армии и заместителем наркома обороны СССР (11710,338).</w:t>
      </w:r>
    </w:p>
    <w:p w14:paraId="04FEB5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A8BF16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25B8000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EE645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ночь с 6 на 7 сентября 1940 «Комет» прошел Берингов про</w:t>
      </w:r>
      <w:r w:rsidRPr="00A3026E">
        <w:rPr>
          <w:rFonts w:ascii="Times New Roman" w:hAnsi="Times New Roman"/>
          <w:color w:val="000000" w:themeColor="text1"/>
          <w:sz w:val="16"/>
          <w:szCs w:val="16"/>
        </w:rPr>
        <w:softHyphen/>
        <w:t>лив. Затем рейдер бросил якорь в бухте Анадырь (тогда там не было мощной военной базы). Там водолазы осмотрели вин</w:t>
      </w:r>
      <w:r w:rsidRPr="00A3026E">
        <w:rPr>
          <w:rFonts w:ascii="Times New Roman" w:hAnsi="Times New Roman"/>
          <w:color w:val="000000" w:themeColor="text1"/>
          <w:sz w:val="16"/>
          <w:szCs w:val="16"/>
        </w:rPr>
        <w:softHyphen/>
        <w:t>ты и руль, механики провели небольшой ремонт механизмов, а тем временем команда загримировывала рейдер под японс</w:t>
      </w:r>
      <w:r w:rsidRPr="00A3026E">
        <w:rPr>
          <w:rFonts w:ascii="Times New Roman" w:hAnsi="Times New Roman"/>
          <w:color w:val="000000" w:themeColor="text1"/>
          <w:sz w:val="16"/>
          <w:szCs w:val="16"/>
        </w:rPr>
        <w:softHyphen/>
        <w:t xml:space="preserve">кое судно «Тоаио-Мару». Так </w:t>
      </w:r>
      <w:r w:rsidRPr="00A3026E">
        <w:rPr>
          <w:rFonts w:ascii="Times New Roman" w:hAnsi="Times New Roman"/>
          <w:color w:val="000000" w:themeColor="text1"/>
          <w:sz w:val="16"/>
          <w:szCs w:val="16"/>
        </w:rPr>
        <w:lastRenderedPageBreak/>
        <w:t>рейдер «Комет» прошел Северным морским путем. За его проводку немцы заплатили 950 тысяч рейхсмарок (80 тыс. английских фунтов), эта сумма была учтена во взаимных рас</w:t>
      </w:r>
      <w:r w:rsidRPr="00A3026E">
        <w:rPr>
          <w:rFonts w:ascii="Times New Roman" w:hAnsi="Times New Roman"/>
          <w:color w:val="000000" w:themeColor="text1"/>
          <w:sz w:val="16"/>
          <w:szCs w:val="16"/>
        </w:rPr>
        <w:softHyphen/>
        <w:t>четах (10670,268).</w:t>
      </w:r>
    </w:p>
    <w:p w14:paraId="0300EB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54F472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5D6A8C9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BA1A998" w14:textId="77777777" w:rsidR="001F5600" w:rsidRPr="00A3026E" w:rsidRDefault="001F560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в 1940 году первый полет американского истребителя Рипаблик Р-47 «Тандерболт». Р-47 - массовый истребитель США с бочкообразным фюзеляжем. Скорость достигает 648 км/ч на высоте 9 км, двигатель 2100 л.с., потолок - 11,8 км. Использовался как самолет сопровождения, легкий бомбардировщик, самолет огневой поддержки наземных войск, самолет дальней авиации;</w:t>
      </w:r>
    </w:p>
    <w:p w14:paraId="63F41365" w14:textId="77777777" w:rsidR="001F5600" w:rsidRPr="00A3026E" w:rsidRDefault="001F5600" w:rsidP="00A3026E">
      <w:pPr>
        <w:spacing w:after="0" w:line="240" w:lineRule="auto"/>
        <w:jc w:val="both"/>
        <w:rPr>
          <w:rFonts w:ascii="Times New Roman" w:hAnsi="Times New Roman"/>
          <w:color w:val="000000" w:themeColor="text1"/>
          <w:sz w:val="16"/>
          <w:szCs w:val="16"/>
        </w:rPr>
      </w:pPr>
    </w:p>
    <w:p w14:paraId="4EFF8EB0" w14:textId="77777777" w:rsidR="007A0319" w:rsidRPr="00A3026E" w:rsidRDefault="007A031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сентября 1940 - Был подписан контракт на изготовление прототипа истребителя XP-47B фирмой Рипаблик, а уже через девять месяцев, 6 мая 1941 года, лётчик-испытатель Л. Брэбхем совершил на нем первый полет (22373).</w:t>
      </w:r>
    </w:p>
    <w:p w14:paraId="3D11D9D1" w14:textId="77777777" w:rsidR="007A0319" w:rsidRPr="00A3026E" w:rsidRDefault="007A0319" w:rsidP="00A3026E">
      <w:pPr>
        <w:spacing w:after="0" w:line="240" w:lineRule="auto"/>
        <w:jc w:val="both"/>
        <w:rPr>
          <w:rFonts w:ascii="Times New Roman" w:hAnsi="Times New Roman"/>
          <w:color w:val="0070C0"/>
          <w:sz w:val="16"/>
          <w:szCs w:val="16"/>
        </w:rPr>
      </w:pPr>
    </w:p>
    <w:p w14:paraId="2598E81A" w14:textId="77777777" w:rsidR="001F5600" w:rsidRPr="00A3026E" w:rsidRDefault="001F560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Консолидейтед получила контракт на изготовление двух прототипов ХВ-32 Доминейтор N 41-141 и 41-142 - конкурента В-29. Потом таки сделали 115 (1051,11).</w:t>
      </w:r>
    </w:p>
    <w:p w14:paraId="760D0230" w14:textId="77777777" w:rsidR="001F5600" w:rsidRPr="00A3026E" w:rsidRDefault="001F5600" w:rsidP="00A3026E">
      <w:pPr>
        <w:spacing w:after="0" w:line="240" w:lineRule="auto"/>
        <w:jc w:val="both"/>
        <w:rPr>
          <w:rFonts w:ascii="Times New Roman" w:hAnsi="Times New Roman"/>
          <w:color w:val="000000" w:themeColor="text1"/>
          <w:sz w:val="16"/>
          <w:szCs w:val="16"/>
        </w:rPr>
      </w:pPr>
    </w:p>
    <w:p w14:paraId="6C19D5FC" w14:textId="77777777" w:rsidR="001F5600" w:rsidRPr="00A3026E" w:rsidRDefault="001F560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в 1940 году "Консолидейтед" получила контракт на изготовление двух прототипов ХВ-32 "Доминейтор" - конкурента В-29 (14761).</w:t>
      </w:r>
    </w:p>
    <w:p w14:paraId="363309C7" w14:textId="77777777" w:rsidR="001F5600" w:rsidRPr="00A3026E" w:rsidRDefault="001F5600" w:rsidP="00A3026E">
      <w:pPr>
        <w:spacing w:after="0" w:line="240" w:lineRule="auto"/>
        <w:jc w:val="both"/>
        <w:rPr>
          <w:rFonts w:ascii="Times New Roman" w:hAnsi="Times New Roman"/>
          <w:color w:val="000000" w:themeColor="text1"/>
          <w:sz w:val="16"/>
          <w:szCs w:val="16"/>
        </w:rPr>
      </w:pPr>
    </w:p>
    <w:p w14:paraId="5F0ADA0D" w14:textId="77777777" w:rsidR="001F5600" w:rsidRPr="00A3026E" w:rsidRDefault="001F5600" w:rsidP="00A3026E">
      <w:pPr>
        <w:spacing w:after="0" w:line="240" w:lineRule="auto"/>
        <w:jc w:val="both"/>
        <w:rPr>
          <w:rStyle w:val="ucoz-forum-post"/>
          <w:rFonts w:ascii="Times New Roman" w:eastAsia="Times New Roman" w:hAnsi="Times New Roman"/>
          <w:color w:val="000000" w:themeColor="text1"/>
          <w:sz w:val="16"/>
          <w:szCs w:val="16"/>
        </w:rPr>
      </w:pPr>
      <w:r w:rsidRPr="00A3026E">
        <w:rPr>
          <w:rFonts w:ascii="Times New Roman" w:hAnsi="Times New Roman"/>
          <w:color w:val="000000" w:themeColor="text1"/>
          <w:sz w:val="16"/>
          <w:szCs w:val="16"/>
        </w:rPr>
        <w:t>6 сентября</w:t>
      </w:r>
      <w:r w:rsidRPr="00A3026E">
        <w:rPr>
          <w:rStyle w:val="ucoz-forum-post"/>
          <w:rFonts w:ascii="Times New Roman" w:eastAsia="Times New Roman" w:hAnsi="Times New Roman"/>
          <w:bCs/>
          <w:color w:val="000000" w:themeColor="text1"/>
          <w:sz w:val="16"/>
          <w:szCs w:val="16"/>
        </w:rPr>
        <w:t xml:space="preserve"> 1940 г.</w:t>
      </w:r>
      <w:r w:rsidRPr="00A3026E">
        <w:rPr>
          <w:rStyle w:val="ucoz-forum-post"/>
          <w:rFonts w:ascii="Times New Roman" w:eastAsia="Times New Roman" w:hAnsi="Times New Roman"/>
          <w:color w:val="000000" w:themeColor="text1"/>
          <w:sz w:val="16"/>
          <w:szCs w:val="16"/>
        </w:rPr>
        <w:t xml:space="preserve"> – командир эскадрильи «Рихтгоффен» из JG 2 немецкий ас Гельмут Вик в воздушном бою сбил английский истребитель Спитфайр, одержав свою 24ю победу (14761).</w:t>
      </w:r>
    </w:p>
    <w:p w14:paraId="3E5C1EDB" w14:textId="77777777" w:rsidR="001F5600" w:rsidRPr="00A3026E" w:rsidRDefault="001F5600" w:rsidP="00A3026E">
      <w:pPr>
        <w:spacing w:after="0" w:line="240" w:lineRule="auto"/>
        <w:jc w:val="both"/>
        <w:rPr>
          <w:rStyle w:val="ucoz-forum-post"/>
          <w:rFonts w:ascii="Times New Roman" w:eastAsia="Times New Roman" w:hAnsi="Times New Roman"/>
          <w:color w:val="000000" w:themeColor="text1"/>
          <w:sz w:val="16"/>
          <w:szCs w:val="16"/>
        </w:rPr>
      </w:pPr>
    </w:p>
    <w:p w14:paraId="6F18943E"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September 06 1940 German directive strengthens Eastern Front with 2 divisions (1242).</w:t>
      </w:r>
    </w:p>
    <w:p w14:paraId="1CFC02D1"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0B04BB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вышла немецкая директива об усилении Восточного фронта 2 дивизиями (1242).</w:t>
      </w:r>
    </w:p>
    <w:p w14:paraId="4FA5AA4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18304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у Англии осталось 125 действующих истребителей (278,411).</w:t>
      </w:r>
    </w:p>
    <w:p w14:paraId="3A6366E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26EA114"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September 6, 1940: King Carol of Rumania cedes the throne to his son, Michael, and appoints Marshal Antonescu head of state (3819).</w:t>
      </w:r>
    </w:p>
    <w:p w14:paraId="39263FDA"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0B6C61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король Румынии Кароль передал престол сыны Михаилу и назначил м Антонеску руководителем государства (3819).</w:t>
      </w:r>
    </w:p>
    <w:p w14:paraId="57F43D8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E9F5E8" w14:textId="77777777" w:rsidR="001F5600" w:rsidRPr="00A3026E" w:rsidRDefault="001F560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в 1940 году король Румынии Кароль II отрекается от престола в пользу своего сына Михая, а сам вынужден бежать в Швейцарию вместе со своей любовницей (14761).</w:t>
      </w:r>
    </w:p>
    <w:p w14:paraId="5D8B9B26" w14:textId="77777777" w:rsidR="001F5600" w:rsidRPr="00A3026E" w:rsidRDefault="001F5600" w:rsidP="00A3026E">
      <w:pPr>
        <w:spacing w:after="0" w:line="240" w:lineRule="auto"/>
        <w:jc w:val="both"/>
        <w:rPr>
          <w:rFonts w:ascii="Times New Roman" w:hAnsi="Times New Roman"/>
          <w:color w:val="000000" w:themeColor="text1"/>
          <w:sz w:val="16"/>
          <w:szCs w:val="16"/>
        </w:rPr>
      </w:pPr>
    </w:p>
    <w:p w14:paraId="4FCBE0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король Румынии по требованию Антонеско отрекся в пользу сына Михаила (2244,7).</w:t>
      </w:r>
    </w:p>
    <w:p w14:paraId="5B7B730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9F7F476" w14:textId="77777777" w:rsidR="001F5600" w:rsidRPr="00A3026E" w:rsidRDefault="001F560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в 1940 году батальон японских войск перешел границу Французского Индокитая. На встрече с Деку Нисихара отступил, признав, что батальон перешел границу без его санкции "в целях самозащиты" (14761).</w:t>
      </w:r>
    </w:p>
    <w:p w14:paraId="286A1974" w14:textId="77777777" w:rsidR="001F5600" w:rsidRPr="00A3026E" w:rsidRDefault="001F5600" w:rsidP="00A3026E">
      <w:pPr>
        <w:spacing w:after="0" w:line="240" w:lineRule="auto"/>
        <w:jc w:val="both"/>
        <w:rPr>
          <w:rFonts w:ascii="Times New Roman" w:hAnsi="Times New Roman"/>
          <w:color w:val="000000" w:themeColor="text1"/>
          <w:sz w:val="16"/>
          <w:szCs w:val="16"/>
        </w:rPr>
      </w:pPr>
    </w:p>
    <w:p w14:paraId="095F2EA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38DFA1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8BFFF0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сентября 1940 НИИ ВВС дало зак</w:t>
      </w:r>
      <w:r w:rsidRPr="00A3026E">
        <w:rPr>
          <w:rFonts w:ascii="Times New Roman" w:hAnsi="Times New Roman"/>
          <w:color w:val="000000" w:themeColor="text1"/>
          <w:sz w:val="16"/>
          <w:szCs w:val="16"/>
        </w:rPr>
        <w:softHyphen/>
        <w:t>лючение по дополнительным материа</w:t>
      </w:r>
      <w:r w:rsidRPr="00A3026E">
        <w:rPr>
          <w:rFonts w:ascii="Times New Roman" w:hAnsi="Times New Roman"/>
          <w:color w:val="000000" w:themeColor="text1"/>
          <w:sz w:val="16"/>
          <w:szCs w:val="16"/>
        </w:rPr>
        <w:softHyphen/>
        <w:t>лам ОКО завода 1 относительно второго вари</w:t>
      </w:r>
      <w:r w:rsidRPr="00A3026E">
        <w:rPr>
          <w:rFonts w:ascii="Times New Roman" w:hAnsi="Times New Roman"/>
          <w:color w:val="000000" w:themeColor="text1"/>
          <w:sz w:val="16"/>
          <w:szCs w:val="16"/>
        </w:rPr>
        <w:softHyphen/>
        <w:t>анта ПБШ-1, в который были внесены следующие основные изменения:</w:t>
      </w:r>
    </w:p>
    <w:p w14:paraId="18A76B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Толщину брони, защищающую мотор, увеличили с 4,5 мм до 5,5 мм, а часть 5,5 мм брони до 7,5 мм. При этом масса бронеотсека достигала 1390 кг.</w:t>
      </w:r>
    </w:p>
    <w:p w14:paraId="69D919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Площадь крыла увеличили с 30,5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xml:space="preserve"> до 33,0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На участке размаха эле</w:t>
      </w:r>
      <w:r w:rsidRPr="00A3026E">
        <w:rPr>
          <w:rFonts w:ascii="Times New Roman" w:hAnsi="Times New Roman"/>
          <w:color w:val="000000" w:themeColor="text1"/>
          <w:sz w:val="16"/>
          <w:szCs w:val="16"/>
        </w:rPr>
        <w:softHyphen/>
        <w:t>ронов предусмотрели установку авто</w:t>
      </w:r>
      <w:r w:rsidRPr="00A3026E">
        <w:rPr>
          <w:rFonts w:ascii="Times New Roman" w:hAnsi="Times New Roman"/>
          <w:color w:val="000000" w:themeColor="text1"/>
          <w:sz w:val="16"/>
          <w:szCs w:val="16"/>
        </w:rPr>
        <w:softHyphen/>
        <w:t>матических предкрылков.</w:t>
      </w:r>
    </w:p>
    <w:p w14:paraId="48B88E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Основные колеса шасси 700х300 заменили спаренными 650х200.</w:t>
      </w:r>
    </w:p>
    <w:p w14:paraId="6B351A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Изменили расположение водорадиатора. Теперь его разместили под полом кабины летчика, а вход и выход - под фюзеляжем.</w:t>
      </w:r>
    </w:p>
    <w:p w14:paraId="6F33E83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 120 л увеличили запас топли</w:t>
      </w:r>
      <w:r w:rsidRPr="00A3026E">
        <w:rPr>
          <w:rFonts w:ascii="Times New Roman" w:hAnsi="Times New Roman"/>
          <w:color w:val="000000" w:themeColor="text1"/>
          <w:sz w:val="16"/>
          <w:szCs w:val="16"/>
        </w:rPr>
        <w:softHyphen/>
        <w:t>ва. Вместо бензобаков емкостью 650 и 110 л. установили бензобаки емкостью 430 и 450 л.</w:t>
      </w:r>
    </w:p>
    <w:p w14:paraId="35605B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Усилили бомбардировочное воо</w:t>
      </w:r>
      <w:r w:rsidRPr="00A3026E">
        <w:rPr>
          <w:rFonts w:ascii="Times New Roman" w:hAnsi="Times New Roman"/>
          <w:color w:val="000000" w:themeColor="text1"/>
          <w:sz w:val="16"/>
          <w:szCs w:val="16"/>
        </w:rPr>
        <w:softHyphen/>
        <w:t>ружение. Бомбоотсек теперь включал 4 секции, в каждую из которых можно было загружать бомбы калибром до 100 кг. Снаружи обеспечена возможность подвески двух бомб массой до 250 кг. Правда, и в этом случае бомбы исполь</w:t>
      </w:r>
      <w:r w:rsidRPr="00A3026E">
        <w:rPr>
          <w:rFonts w:ascii="Times New Roman" w:hAnsi="Times New Roman"/>
          <w:color w:val="000000" w:themeColor="text1"/>
          <w:sz w:val="16"/>
          <w:szCs w:val="16"/>
        </w:rPr>
        <w:softHyphen/>
        <w:t>зовались только в перегрузку.</w:t>
      </w:r>
    </w:p>
    <w:p w14:paraId="4C90D55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Масса пустого самолета увеличи</w:t>
      </w:r>
      <w:r w:rsidRPr="00A3026E">
        <w:rPr>
          <w:rFonts w:ascii="Times New Roman" w:hAnsi="Times New Roman"/>
          <w:color w:val="000000" w:themeColor="text1"/>
          <w:sz w:val="16"/>
          <w:szCs w:val="16"/>
        </w:rPr>
        <w:softHyphen/>
        <w:t>лась на 536,5 кг, а нормальная взлет</w:t>
      </w:r>
      <w:r w:rsidRPr="00A3026E">
        <w:rPr>
          <w:rFonts w:ascii="Times New Roman" w:hAnsi="Times New Roman"/>
          <w:color w:val="000000" w:themeColor="text1"/>
          <w:sz w:val="16"/>
          <w:szCs w:val="16"/>
        </w:rPr>
        <w:softHyphen/>
        <w:t>ная масса возросла на 550 кг и достиг</w:t>
      </w:r>
      <w:r w:rsidRPr="00A3026E">
        <w:rPr>
          <w:rFonts w:ascii="Times New Roman" w:hAnsi="Times New Roman"/>
          <w:color w:val="000000" w:themeColor="text1"/>
          <w:sz w:val="16"/>
          <w:szCs w:val="16"/>
        </w:rPr>
        <w:softHyphen/>
        <w:t>ла 5400 кг. Центровка стала более пе</w:t>
      </w:r>
      <w:r w:rsidRPr="00A3026E">
        <w:rPr>
          <w:rFonts w:ascii="Times New Roman" w:hAnsi="Times New Roman"/>
          <w:color w:val="000000" w:themeColor="text1"/>
          <w:sz w:val="16"/>
          <w:szCs w:val="16"/>
        </w:rPr>
        <w:softHyphen/>
        <w:t>редней и составила 23,2% САХ вместо 26,7%. Перегрузочная взлетная масса - 6175 кг, при этом центровка 26,5% вместо 29,5%. Несмотря на проведенные ОКО ме</w:t>
      </w:r>
      <w:r w:rsidRPr="00A3026E">
        <w:rPr>
          <w:rFonts w:ascii="Times New Roman" w:hAnsi="Times New Roman"/>
          <w:color w:val="000000" w:themeColor="text1"/>
          <w:sz w:val="16"/>
          <w:szCs w:val="16"/>
        </w:rPr>
        <w:softHyphen/>
        <w:t>роприятия, военные отметили, что улучшение взлетно-посадочных свойств не достигнуто, так как увели</w:t>
      </w:r>
      <w:r w:rsidRPr="00A3026E">
        <w:rPr>
          <w:rFonts w:ascii="Times New Roman" w:hAnsi="Times New Roman"/>
          <w:color w:val="000000" w:themeColor="text1"/>
          <w:sz w:val="16"/>
          <w:szCs w:val="16"/>
        </w:rPr>
        <w:softHyphen/>
        <w:t>чение механизации крыла невозможно из-за размещения в консолях стрелково-пушечного вооружения. Увеличение же площади крыла приведет к сниже</w:t>
      </w:r>
      <w:r w:rsidRPr="00A3026E">
        <w:rPr>
          <w:rFonts w:ascii="Times New Roman" w:hAnsi="Times New Roman"/>
          <w:color w:val="000000" w:themeColor="text1"/>
          <w:sz w:val="16"/>
          <w:szCs w:val="16"/>
        </w:rPr>
        <w:softHyphen/>
        <w:t>нию максимальной скорости, которая и так была невелика. В связи с этим ОКО рекомендовалось использовать редукцию мотора 0,732 или даже 0,550 вместо 0,902, а также использовать винт диаметром 3,3 м. Эскизный проект был рекомендован для утверждения (5278).</w:t>
      </w:r>
    </w:p>
    <w:p w14:paraId="6B54399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93387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сентября 1940 по завершению работы Колле</w:t>
      </w:r>
      <w:r w:rsidRPr="00A3026E">
        <w:rPr>
          <w:rFonts w:ascii="Times New Roman" w:hAnsi="Times New Roman"/>
          <w:color w:val="000000" w:themeColor="text1"/>
          <w:sz w:val="16"/>
          <w:szCs w:val="16"/>
        </w:rPr>
        <w:softHyphen/>
        <w:t>гии НКАП, на завод №289 был ко</w:t>
      </w:r>
      <w:r w:rsidRPr="00A3026E">
        <w:rPr>
          <w:rFonts w:ascii="Times New Roman" w:hAnsi="Times New Roman"/>
          <w:color w:val="000000" w:themeColor="text1"/>
          <w:sz w:val="16"/>
          <w:szCs w:val="16"/>
        </w:rPr>
        <w:softHyphen/>
        <w:t>мандирован ведущий инженер 7ГУ НКАП О.В.Малышев. За неделю работы он вскрыл ряд серьезных недостатков в организационной и производственной деятельности руководства завода №289 (11845).</w:t>
      </w:r>
    </w:p>
    <w:p w14:paraId="68E67F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DC1DF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сентября 1940 в Контрольном листе учета выполнения постановления КО СНК СССР № 102сс от 4 марта 1940 г. представителем КО СНК СССР - контролером Вахрушевым была сделана запись:</w:t>
      </w:r>
    </w:p>
    <w:p w14:paraId="41ADA6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И-185</w:t>
      </w:r>
    </w:p>
    <w:p w14:paraId="3DDFAC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Четыре самолета И-185 закончены производством.</w:t>
      </w:r>
    </w:p>
    <w:p w14:paraId="48FC28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5-й самолет находится в окончательной сборке.</w:t>
      </w:r>
    </w:p>
    <w:p w14:paraId="0CAE42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всех самолетах отсутствует ВМГ из-за отсутствия М-90.</w:t>
      </w:r>
    </w:p>
    <w:p w14:paraId="14358A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предъявления на госиспытания под прямой угрозой. В г. Молотов на завод № 19 в этой связи выехал Зам. НКАП т. Баландин (10395,28).</w:t>
      </w:r>
    </w:p>
    <w:p w14:paraId="650BABB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C6A5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сентября 1940 г. еще до госу</w:t>
      </w:r>
      <w:r w:rsidRPr="00A3026E">
        <w:rPr>
          <w:rFonts w:ascii="Times New Roman" w:hAnsi="Times New Roman"/>
          <w:color w:val="000000" w:themeColor="text1"/>
          <w:sz w:val="16"/>
          <w:szCs w:val="16"/>
        </w:rPr>
        <w:softHyphen/>
        <w:t>дарственных испытаний, под давлением директора и при содействии наркомата состоялось решение о запус</w:t>
      </w:r>
      <w:r w:rsidRPr="00A3026E">
        <w:rPr>
          <w:rFonts w:ascii="Times New Roman" w:hAnsi="Times New Roman"/>
          <w:color w:val="000000" w:themeColor="text1"/>
          <w:sz w:val="16"/>
          <w:szCs w:val="16"/>
        </w:rPr>
        <w:softHyphen/>
        <w:t>ке И-21 в серийное производство на заводе № 21. 9 сентября 1940 г., в тот момент, когда все основные технологические проблемы удалось преодолеть, произ</w:t>
      </w:r>
      <w:r w:rsidRPr="00A3026E">
        <w:rPr>
          <w:rFonts w:ascii="Times New Roman" w:hAnsi="Times New Roman"/>
          <w:color w:val="000000" w:themeColor="text1"/>
          <w:sz w:val="16"/>
          <w:szCs w:val="16"/>
        </w:rPr>
        <w:softHyphen/>
        <w:t>водство И-180 было остановлено. Главный инженер завода пытался отстоять построй</w:t>
      </w:r>
      <w:r w:rsidRPr="00A3026E">
        <w:rPr>
          <w:rFonts w:ascii="Times New Roman" w:hAnsi="Times New Roman"/>
          <w:color w:val="000000" w:themeColor="text1"/>
          <w:sz w:val="16"/>
          <w:szCs w:val="16"/>
        </w:rPr>
        <w:softHyphen/>
        <w:t>ку хотя бы эталона 1941 г., но в ответ на его просьбу пришел ответ, подписанный А.С.Яковлевым: «Возоб</w:t>
      </w:r>
      <w:r w:rsidRPr="00A3026E">
        <w:rPr>
          <w:rFonts w:ascii="Times New Roman" w:hAnsi="Times New Roman"/>
          <w:color w:val="000000" w:themeColor="text1"/>
          <w:sz w:val="16"/>
          <w:szCs w:val="16"/>
        </w:rPr>
        <w:softHyphen/>
        <w:t>новление работ по трем самолетам И-180, строившимся как эталон для серийного производства завода № 21, не может быть разрешено. Производство дальнейших ра</w:t>
      </w:r>
      <w:r w:rsidRPr="00A3026E">
        <w:rPr>
          <w:rFonts w:ascii="Times New Roman" w:hAnsi="Times New Roman"/>
          <w:color w:val="000000" w:themeColor="text1"/>
          <w:sz w:val="16"/>
          <w:szCs w:val="16"/>
        </w:rPr>
        <w:softHyphen/>
        <w:t>бот по доводкам и испытаниям этих самолетов нецеле</w:t>
      </w:r>
      <w:r w:rsidRPr="00A3026E">
        <w:rPr>
          <w:rFonts w:ascii="Times New Roman" w:hAnsi="Times New Roman"/>
          <w:color w:val="000000" w:themeColor="text1"/>
          <w:sz w:val="16"/>
          <w:szCs w:val="16"/>
        </w:rPr>
        <w:softHyphen/>
        <w:t>сообразно, ввиду имеющегося решения по программам завода на 1941 год. В настоящее время все внимание должно быть обращено на выполнении нового задания, полученного заводом» (10667).</w:t>
      </w:r>
    </w:p>
    <w:p w14:paraId="5EC537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EF552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сентября 1940 г. на гос. испытаниях 2-х самолетов И-200 тоже вышел мотор из строя (4070).</w:t>
      </w:r>
    </w:p>
    <w:p w14:paraId="3461EEE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C177C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сентября 1940 г. был готов эскизный проект самолета ТИС с 2АМ-35А или 2АМ-37 (тип «А»), а уже 18 сентября он был рассмотрен экспертной комиссией НКАП под председательством академика Б.Н.Юрьева (9649).</w:t>
      </w:r>
    </w:p>
    <w:p w14:paraId="1C15A68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5A241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начале сентября 1940 Солдатов подготовил </w:t>
      </w:r>
    </w:p>
    <w:p w14:paraId="3CBEE3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Т Ч Е Т</w:t>
      </w:r>
    </w:p>
    <w:p w14:paraId="0219CC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работе по проверке исполнения Правительственных решений по авиационным вопросам за период с июля мес. 1939 г. по август месяц 1940 г.</w:t>
      </w:r>
    </w:p>
    <w:p w14:paraId="32D0F0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 по контролю за исполнением НКАП, ОСО, РВФ и НКО Правителъственных решений по авиационным вопросам вогложена на ст. контролера КО Т. СОЛДАТОВА А.В. и контролеров КО т.т. ВАХРУШЕВА В.И. и КИЧИГИНА Я.А.</w:t>
      </w:r>
    </w:p>
    <w:p w14:paraId="149B46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отчетный период поступило на контроль более 250 постановлений, из которых вжзнейшими в 1939 г. были:</w:t>
      </w:r>
    </w:p>
    <w:p w14:paraId="23F5C7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 Постановления по опытному и серийному произвлдству самолетов и моторов.</w:t>
      </w:r>
    </w:p>
    <w:p w14:paraId="26FA44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 производстве и применении на самолетах турбокомпрессоров и 2-х скоростных нагнетателей.</w:t>
      </w:r>
    </w:p>
    <w:p w14:paraId="6A16C7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 обеспечении потребности ВВС КА специальным самолетным и аэродромным оборудованием и др.</w:t>
      </w:r>
    </w:p>
    <w:p w14:paraId="06EE2A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важнейшими решениями были:</w:t>
      </w:r>
    </w:p>
    <w:p w14:paraId="79DC3C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Постановление КО №№ 32 от 11.1.40 г., 77 от 19.П.-40 г. 335 от 26.УП.40 г. по выпуску самолетов и моторов в 1-м и 2-й полугодии 1940 г.</w:t>
      </w:r>
    </w:p>
    <w:p w14:paraId="111196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 обеспечении боевой работы ВВС авиаимуществом (пост. КО № 12 от 5.1.40 г.).</w:t>
      </w:r>
    </w:p>
    <w:p w14:paraId="6AB7BB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 изготовлении наземного оборудования для эксплоатации самолетов (пост. Э.С. № 19 от 4.1.40 г.).</w:t>
      </w:r>
    </w:p>
    <w:p w14:paraId="25B28A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 обеспечения боевой работы ВВС авиаимуществом (пост. КО № 14сс от 5.1.40 г.).</w:t>
      </w:r>
    </w:p>
    <w:p w14:paraId="4D74A0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 работе НКАП (пост.СНК и ЦК № 132-60сс от 15.1.40 г.).</w:t>
      </w:r>
    </w:p>
    <w:p w14:paraId="0E4DB8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 переводе самолетов ВВС КА на полеты на колесах в течение всего года.</w:t>
      </w:r>
    </w:p>
    <w:p w14:paraId="569AA7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указанных постановлении в работу авиационной группы входили отдельною распоряжения руководства КО, как например: проверка работ ОКБ т. Шпитального, дача заключений по работам изобретателя т. Гроховсксго, расследовапие аварии полета страто</w:t>
      </w:r>
      <w:r w:rsidRPr="00A3026E">
        <w:rPr>
          <w:rFonts w:ascii="Times New Roman" w:hAnsi="Times New Roman"/>
          <w:color w:val="000000" w:themeColor="text1"/>
          <w:sz w:val="16"/>
          <w:szCs w:val="16"/>
        </w:rPr>
        <w:softHyphen/>
        <w:t>стата "Красный Кремль"; командировки, связанные с проверкой захо</w:t>
      </w:r>
      <w:r w:rsidRPr="00A3026E">
        <w:rPr>
          <w:rFonts w:ascii="Times New Roman" w:hAnsi="Times New Roman"/>
          <w:color w:val="000000" w:themeColor="text1"/>
          <w:sz w:val="16"/>
          <w:szCs w:val="16"/>
        </w:rPr>
        <w:softHyphen/>
        <w:t>ронения бойцов и командиров и приведения могил бойцов в порядок; проверка хода мобилизации автотранспорта и конского состава; обследование работы гидробазы ЦАГИ; проверка работы новых труб ЦАГИ; об ускорении пуска завода № 150 и др.</w:t>
      </w:r>
    </w:p>
    <w:p w14:paraId="061535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отчетный период било проведено обследование авиасаводов №№ 24, 29, 19, 26, 1, 22, 39, 115 в части проверки своевременной и правильной выплаты премиальных средств работникам заводов за выполнение в срок опытных самолетов и моторов. Проверкой было установлено, что НКАП систематически задерживал в 1939 г. выплату премиальных средств конструкторам ти тем самым тормозил производство опытных самолетов и моторов. После доклада этого вопроса т. Молотову было дано ряд указаний НКАП и вопрос был коренным образом разрешен.</w:t>
      </w:r>
    </w:p>
    <w:p w14:paraId="76A1C9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Проведено обследование авиазаводов по производству опытных самолетов и моторов в декабре м-це 1939 г. Обнаружено было большое отставание НКАП в этом вопросе. Наши самолеты по качеству значительно уступали заграничным, особенно по скоростям. Руководством КО и ЦК ВКП(б) был принят ряд мер и коренным образом было улучшено положение с проектированием и производством современных качественных, скоростных машин (как пример можно указать, что само</w:t>
      </w:r>
      <w:r w:rsidRPr="00A3026E">
        <w:rPr>
          <w:rFonts w:ascii="Times New Roman" w:hAnsi="Times New Roman"/>
          <w:color w:val="000000" w:themeColor="text1"/>
          <w:sz w:val="16"/>
          <w:szCs w:val="16"/>
        </w:rPr>
        <w:softHyphen/>
        <w:t>лет "И-200” на завода № 1 был спроектирован и сделан в течение 4-х месяцев).</w:t>
      </w:r>
    </w:p>
    <w:p w14:paraId="37C6DA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отчетный период также были поставлены и проведены в жизнь некоторые инициативные работы, например:</w:t>
      </w:r>
    </w:p>
    <w:p w14:paraId="62AA90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 18: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40"/>
        <w:gridCol w:w="2340"/>
      </w:tblGrid>
      <w:tr w:rsidR="00983732" w:rsidRPr="00A3026E" w14:paraId="305468B4" w14:textId="77777777" w:rsidTr="00EA0DA7">
        <w:trPr>
          <w:trHeight w:val="269"/>
        </w:trPr>
        <w:tc>
          <w:tcPr>
            <w:tcW w:w="3240" w:type="dxa"/>
            <w:tcBorders>
              <w:top w:val="single" w:sz="12" w:space="0" w:color="auto"/>
            </w:tcBorders>
          </w:tcPr>
          <w:p w14:paraId="4473BC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январе мес 1940 г. имелось</w:t>
            </w:r>
          </w:p>
        </w:tc>
        <w:tc>
          <w:tcPr>
            <w:tcW w:w="2340" w:type="dxa"/>
            <w:tcBorders>
              <w:top w:val="single" w:sz="12" w:space="0" w:color="auto"/>
            </w:tcBorders>
          </w:tcPr>
          <w:p w14:paraId="271373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2954 случая брака</w:t>
            </w:r>
          </w:p>
        </w:tc>
      </w:tr>
      <w:tr w:rsidR="00983732" w:rsidRPr="00A3026E" w14:paraId="198E3072" w14:textId="77777777" w:rsidTr="00EA0DA7">
        <w:trPr>
          <w:trHeight w:val="269"/>
        </w:trPr>
        <w:tc>
          <w:tcPr>
            <w:tcW w:w="3240" w:type="dxa"/>
          </w:tcPr>
          <w:p w14:paraId="31418E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феврале</w:t>
            </w:r>
          </w:p>
        </w:tc>
        <w:tc>
          <w:tcPr>
            <w:tcW w:w="2340" w:type="dxa"/>
          </w:tcPr>
          <w:p w14:paraId="3AF30E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3250</w:t>
            </w:r>
          </w:p>
        </w:tc>
      </w:tr>
      <w:tr w:rsidR="00983732" w:rsidRPr="00A3026E" w14:paraId="5BE3FF2A" w14:textId="77777777" w:rsidTr="00EA0DA7">
        <w:trPr>
          <w:trHeight w:val="298"/>
        </w:trPr>
        <w:tc>
          <w:tcPr>
            <w:tcW w:w="3240" w:type="dxa"/>
          </w:tcPr>
          <w:p w14:paraId="7EE538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марте</w:t>
            </w:r>
          </w:p>
        </w:tc>
        <w:tc>
          <w:tcPr>
            <w:tcW w:w="2340" w:type="dxa"/>
          </w:tcPr>
          <w:p w14:paraId="3AA4B5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2689</w:t>
            </w:r>
          </w:p>
        </w:tc>
      </w:tr>
      <w:tr w:rsidR="00983732" w:rsidRPr="00A3026E" w14:paraId="23388051" w14:textId="77777777" w:rsidTr="00EA0DA7">
        <w:trPr>
          <w:trHeight w:val="317"/>
        </w:trPr>
        <w:tc>
          <w:tcPr>
            <w:tcW w:w="3240" w:type="dxa"/>
          </w:tcPr>
          <w:p w14:paraId="54C0E5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апреле</w:t>
            </w:r>
          </w:p>
        </w:tc>
        <w:tc>
          <w:tcPr>
            <w:tcW w:w="2340" w:type="dxa"/>
          </w:tcPr>
          <w:p w14:paraId="0738A5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2915</w:t>
            </w:r>
          </w:p>
        </w:tc>
      </w:tr>
      <w:tr w:rsidR="00983732" w:rsidRPr="00A3026E" w14:paraId="768ECC31" w14:textId="77777777" w:rsidTr="00EA0DA7">
        <w:trPr>
          <w:trHeight w:val="269"/>
        </w:trPr>
        <w:tc>
          <w:tcPr>
            <w:tcW w:w="3240" w:type="dxa"/>
          </w:tcPr>
          <w:p w14:paraId="499F6C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мае</w:t>
            </w:r>
          </w:p>
        </w:tc>
        <w:tc>
          <w:tcPr>
            <w:tcW w:w="2340" w:type="dxa"/>
          </w:tcPr>
          <w:p w14:paraId="040608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2529</w:t>
            </w:r>
          </w:p>
        </w:tc>
      </w:tr>
      <w:tr w:rsidR="00983732" w:rsidRPr="00A3026E" w14:paraId="1325464B" w14:textId="77777777" w:rsidTr="00EA0DA7">
        <w:trPr>
          <w:trHeight w:val="298"/>
        </w:trPr>
        <w:tc>
          <w:tcPr>
            <w:tcW w:w="3240" w:type="dxa"/>
          </w:tcPr>
          <w:p w14:paraId="5F3C5F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июне</w:t>
            </w:r>
          </w:p>
        </w:tc>
        <w:tc>
          <w:tcPr>
            <w:tcW w:w="2340" w:type="dxa"/>
          </w:tcPr>
          <w:p w14:paraId="2A301F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2083</w:t>
            </w:r>
          </w:p>
        </w:tc>
      </w:tr>
      <w:tr w:rsidR="00983732" w:rsidRPr="00A3026E" w14:paraId="62F14248" w14:textId="77777777" w:rsidTr="00EA0DA7">
        <w:trPr>
          <w:trHeight w:val="278"/>
        </w:trPr>
        <w:tc>
          <w:tcPr>
            <w:tcW w:w="3240" w:type="dxa"/>
          </w:tcPr>
          <w:p w14:paraId="180660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июле</w:t>
            </w:r>
          </w:p>
        </w:tc>
        <w:tc>
          <w:tcPr>
            <w:tcW w:w="2340" w:type="dxa"/>
          </w:tcPr>
          <w:p w14:paraId="47B76D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2093</w:t>
            </w:r>
          </w:p>
        </w:tc>
      </w:tr>
      <w:tr w:rsidR="00983732" w:rsidRPr="00A3026E" w14:paraId="7DF24DD7" w14:textId="77777777" w:rsidTr="00EA0DA7">
        <w:trPr>
          <w:trHeight w:val="307"/>
        </w:trPr>
        <w:tc>
          <w:tcPr>
            <w:tcW w:w="3240" w:type="dxa"/>
            <w:tcBorders>
              <w:bottom w:val="single" w:sz="12" w:space="0" w:color="auto"/>
            </w:tcBorders>
          </w:tcPr>
          <w:p w14:paraId="5C88C2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августе</w:t>
            </w:r>
          </w:p>
        </w:tc>
        <w:tc>
          <w:tcPr>
            <w:tcW w:w="2340" w:type="dxa"/>
            <w:tcBorders>
              <w:bottom w:val="single" w:sz="12" w:space="0" w:color="auto"/>
            </w:tcBorders>
          </w:tcPr>
          <w:p w14:paraId="0599F2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3123</w:t>
            </w:r>
          </w:p>
        </w:tc>
      </w:tr>
    </w:tbl>
    <w:p w14:paraId="53A11C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Характерные примеры брака - 20.08.40 сосжено 280 профилей и 22 трубы.</w:t>
      </w:r>
    </w:p>
    <w:p w14:paraId="66C899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16.7.40 г. закородировано 250 листов обшивочного материала и т.п.</w:t>
      </w:r>
    </w:p>
    <w:p w14:paraId="38BBA5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отдельные заводы, как например завод № 18 за производство бракованых доталей платит тройную цену, что также спо</w:t>
      </w:r>
      <w:r w:rsidRPr="00A3026E">
        <w:rPr>
          <w:rFonts w:ascii="Times New Roman" w:hAnsi="Times New Roman"/>
          <w:color w:val="000000" w:themeColor="text1"/>
          <w:sz w:val="16"/>
          <w:szCs w:val="16"/>
        </w:rPr>
        <w:softHyphen/>
        <w:t>собствует не уменьшению, а росту брака. Например: рабочему платят за то, что он собрал кран (окавшийся при проверке бракованным); платят за то, что он его разобрал, если он течет при испытании и платят снова за сборку; такая оплата сильно удорожает изделие и поощряет бракоделов.</w:t>
      </w:r>
    </w:p>
    <w:p w14:paraId="11C49B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 На заводах НКАП имется также массовые случаи простоев и в тоже время сверхурочные работы, например на заводе № 18 НКАП:</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46"/>
        <w:gridCol w:w="2400"/>
        <w:gridCol w:w="2198"/>
      </w:tblGrid>
      <w:tr w:rsidR="00983732" w:rsidRPr="00A3026E" w14:paraId="24D03793" w14:textId="77777777" w:rsidTr="00EA0DA7">
        <w:trPr>
          <w:trHeight w:val="509"/>
        </w:trPr>
        <w:tc>
          <w:tcPr>
            <w:tcW w:w="1546" w:type="dxa"/>
            <w:tcBorders>
              <w:top w:val="single" w:sz="12" w:space="0" w:color="auto"/>
            </w:tcBorders>
          </w:tcPr>
          <w:p w14:paraId="3E851A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Месяц</w:t>
            </w:r>
          </w:p>
        </w:tc>
        <w:tc>
          <w:tcPr>
            <w:tcW w:w="2400" w:type="dxa"/>
            <w:tcBorders>
              <w:top w:val="single" w:sz="12" w:space="0" w:color="auto"/>
            </w:tcBorders>
          </w:tcPr>
          <w:p w14:paraId="134648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Простои в часах</w:t>
            </w:r>
          </w:p>
        </w:tc>
        <w:tc>
          <w:tcPr>
            <w:tcW w:w="2198" w:type="dxa"/>
            <w:tcBorders>
              <w:top w:val="single" w:sz="12" w:space="0" w:color="auto"/>
            </w:tcBorders>
          </w:tcPr>
          <w:p w14:paraId="0A6020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Сверхурочные в часах</w:t>
            </w:r>
          </w:p>
        </w:tc>
      </w:tr>
      <w:tr w:rsidR="00983732" w:rsidRPr="00A3026E" w14:paraId="512548F0" w14:textId="77777777" w:rsidTr="00EA0DA7">
        <w:trPr>
          <w:trHeight w:val="394"/>
        </w:trPr>
        <w:tc>
          <w:tcPr>
            <w:tcW w:w="1546" w:type="dxa"/>
          </w:tcPr>
          <w:p w14:paraId="62F0C4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январь</w:t>
            </w:r>
          </w:p>
        </w:tc>
        <w:tc>
          <w:tcPr>
            <w:tcW w:w="2400" w:type="dxa"/>
          </w:tcPr>
          <w:p w14:paraId="49B490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131572</w:t>
            </w:r>
          </w:p>
        </w:tc>
        <w:tc>
          <w:tcPr>
            <w:tcW w:w="2198" w:type="dxa"/>
          </w:tcPr>
          <w:p w14:paraId="2F28F3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23030</w:t>
            </w:r>
          </w:p>
        </w:tc>
      </w:tr>
      <w:tr w:rsidR="00983732" w:rsidRPr="00A3026E" w14:paraId="7C5F99B6" w14:textId="77777777" w:rsidTr="00EA0DA7">
        <w:trPr>
          <w:trHeight w:val="298"/>
        </w:trPr>
        <w:tc>
          <w:tcPr>
            <w:tcW w:w="1546" w:type="dxa"/>
          </w:tcPr>
          <w:p w14:paraId="1E6C0E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февраль</w:t>
            </w:r>
          </w:p>
        </w:tc>
        <w:tc>
          <w:tcPr>
            <w:tcW w:w="2400" w:type="dxa"/>
          </w:tcPr>
          <w:p w14:paraId="32650E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119882</w:t>
            </w:r>
          </w:p>
        </w:tc>
        <w:tc>
          <w:tcPr>
            <w:tcW w:w="2198" w:type="dxa"/>
          </w:tcPr>
          <w:p w14:paraId="69F879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60393</w:t>
            </w:r>
          </w:p>
        </w:tc>
      </w:tr>
      <w:tr w:rsidR="00983732" w:rsidRPr="00A3026E" w14:paraId="315C733E" w14:textId="77777777" w:rsidTr="00EA0DA7">
        <w:trPr>
          <w:trHeight w:val="259"/>
        </w:trPr>
        <w:tc>
          <w:tcPr>
            <w:tcW w:w="1546" w:type="dxa"/>
          </w:tcPr>
          <w:p w14:paraId="7A98D5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март</w:t>
            </w:r>
          </w:p>
        </w:tc>
        <w:tc>
          <w:tcPr>
            <w:tcW w:w="2400" w:type="dxa"/>
          </w:tcPr>
          <w:p w14:paraId="543415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44642</w:t>
            </w:r>
          </w:p>
        </w:tc>
        <w:tc>
          <w:tcPr>
            <w:tcW w:w="2198" w:type="dxa"/>
          </w:tcPr>
          <w:p w14:paraId="6D1DF5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558062</w:t>
            </w:r>
          </w:p>
        </w:tc>
      </w:tr>
      <w:tr w:rsidR="00983732" w:rsidRPr="00A3026E" w14:paraId="58124BD3" w14:textId="77777777" w:rsidTr="00EA0DA7">
        <w:trPr>
          <w:trHeight w:val="307"/>
        </w:trPr>
        <w:tc>
          <w:tcPr>
            <w:tcW w:w="1546" w:type="dxa"/>
          </w:tcPr>
          <w:p w14:paraId="42BDF1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апрель</w:t>
            </w:r>
          </w:p>
        </w:tc>
        <w:tc>
          <w:tcPr>
            <w:tcW w:w="2400" w:type="dxa"/>
          </w:tcPr>
          <w:p w14:paraId="0BD596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70023</w:t>
            </w:r>
          </w:p>
        </w:tc>
        <w:tc>
          <w:tcPr>
            <w:tcW w:w="2198" w:type="dxa"/>
          </w:tcPr>
          <w:p w14:paraId="1C0071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306859</w:t>
            </w:r>
          </w:p>
        </w:tc>
      </w:tr>
      <w:tr w:rsidR="00983732" w:rsidRPr="00A3026E" w14:paraId="4B4D8531" w14:textId="77777777" w:rsidTr="00EA0DA7">
        <w:trPr>
          <w:trHeight w:val="278"/>
        </w:trPr>
        <w:tc>
          <w:tcPr>
            <w:tcW w:w="1546" w:type="dxa"/>
          </w:tcPr>
          <w:p w14:paraId="50F3D0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май</w:t>
            </w:r>
          </w:p>
        </w:tc>
        <w:tc>
          <w:tcPr>
            <w:tcW w:w="2400" w:type="dxa"/>
          </w:tcPr>
          <w:p w14:paraId="349902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43192</w:t>
            </w:r>
          </w:p>
        </w:tc>
        <w:tc>
          <w:tcPr>
            <w:tcW w:w="2198" w:type="dxa"/>
          </w:tcPr>
          <w:p w14:paraId="6D14A0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254350</w:t>
            </w:r>
          </w:p>
        </w:tc>
      </w:tr>
      <w:tr w:rsidR="00983732" w:rsidRPr="00A3026E" w14:paraId="2526D2A6" w14:textId="77777777" w:rsidTr="00EA0DA7">
        <w:trPr>
          <w:trHeight w:val="538"/>
        </w:trPr>
        <w:tc>
          <w:tcPr>
            <w:tcW w:w="1546" w:type="dxa"/>
          </w:tcPr>
          <w:p w14:paraId="77FB7A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июнь</w:t>
            </w:r>
          </w:p>
        </w:tc>
        <w:tc>
          <w:tcPr>
            <w:tcW w:w="2400" w:type="dxa"/>
          </w:tcPr>
          <w:p w14:paraId="05992D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43836</w:t>
            </w:r>
          </w:p>
        </w:tc>
        <w:tc>
          <w:tcPr>
            <w:tcW w:w="2198" w:type="dxa"/>
          </w:tcPr>
          <w:p w14:paraId="606887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186497</w:t>
            </w:r>
          </w:p>
        </w:tc>
      </w:tr>
      <w:tr w:rsidR="00983732" w:rsidRPr="00A3026E" w14:paraId="4B1212FA" w14:textId="77777777" w:rsidTr="00EA0DA7">
        <w:trPr>
          <w:trHeight w:val="538"/>
        </w:trPr>
        <w:tc>
          <w:tcPr>
            <w:tcW w:w="1546" w:type="dxa"/>
          </w:tcPr>
          <w:p w14:paraId="5D6BEA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июль</w:t>
            </w:r>
          </w:p>
        </w:tc>
        <w:tc>
          <w:tcPr>
            <w:tcW w:w="2400" w:type="dxa"/>
          </w:tcPr>
          <w:p w14:paraId="1010BD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110652</w:t>
            </w:r>
          </w:p>
        </w:tc>
        <w:tc>
          <w:tcPr>
            <w:tcW w:w="2198" w:type="dxa"/>
          </w:tcPr>
          <w:p w14:paraId="6D3CA8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105945</w:t>
            </w:r>
          </w:p>
        </w:tc>
      </w:tr>
      <w:tr w:rsidR="00983732" w:rsidRPr="00A3026E" w14:paraId="183B8C26" w14:textId="77777777" w:rsidTr="00EA0DA7">
        <w:trPr>
          <w:trHeight w:val="461"/>
        </w:trPr>
        <w:tc>
          <w:tcPr>
            <w:tcW w:w="1546" w:type="dxa"/>
            <w:tcBorders>
              <w:bottom w:val="single" w:sz="12" w:space="0" w:color="auto"/>
            </w:tcBorders>
          </w:tcPr>
          <w:p w14:paraId="0F6EDB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август</w:t>
            </w:r>
          </w:p>
        </w:tc>
        <w:tc>
          <w:tcPr>
            <w:tcW w:w="2400" w:type="dxa"/>
            <w:tcBorders>
              <w:bottom w:val="single" w:sz="12" w:space="0" w:color="auto"/>
            </w:tcBorders>
          </w:tcPr>
          <w:p w14:paraId="2AF555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166844</w:t>
            </w:r>
          </w:p>
        </w:tc>
        <w:tc>
          <w:tcPr>
            <w:tcW w:w="2198" w:type="dxa"/>
            <w:tcBorders>
              <w:bottom w:val="single" w:sz="12" w:space="0" w:color="auto"/>
            </w:tcBorders>
          </w:tcPr>
          <w:p w14:paraId="20CA9E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116000</w:t>
            </w:r>
          </w:p>
        </w:tc>
      </w:tr>
    </w:tbl>
    <w:p w14:paraId="3F7C47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Недостатки в нашем контроле также имеют место. На сегодня, по авиационным вопросам, некоторые постановления КО не охзачены полным контролеи и мы не знаем по ним точно, что делается в промышленности.</w:t>
      </w:r>
    </w:p>
    <w:p w14:paraId="1DD2AD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Невсегда своевременно предупреждаются заводы НКАП о намечающихся срывах сроков поставки изделий и т.п.</w:t>
      </w:r>
    </w:p>
    <w:p w14:paraId="3668B5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многих периферейных заводах не не были ни разу и проверку производили или запросом или по телефону.</w:t>
      </w:r>
    </w:p>
    <w:p w14:paraId="69FD13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второе полугодие с.г. Контроль должен обеспечить систематический проверкой следующие важнейшие постановления правительства:</w:t>
      </w:r>
    </w:p>
    <w:p w14:paraId="2CD03D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Выполнение НКАПом плана заказов по самолетам и моторам по постановлению КО № 335 от 26.7.40 г. (внедрение новых самолетов з серийное производство).</w:t>
      </w:r>
    </w:p>
    <w:p w14:paraId="4BD338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Выполнение промышленностью заказов НКО по оборудованию для очистки аэродромов от снега, согласно постановлению КО № 99сс от 4.8.40 г.</w:t>
      </w:r>
    </w:p>
    <w:p w14:paraId="0136F5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Ввод в зксплоатацию авиазаводов в г. Ленинграде, согласно постановления ЦК и СНК № 1369-534сс от 26.7.40 г.</w:t>
      </w:r>
    </w:p>
    <w:p w14:paraId="346B7D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Строительство новых заводов и ввод их в эксплоатацию согласно постановлений КО №№ 343 от 6.8.40 г., № 260сс от 14.5.40 г., № 287сс от 11.8.39 г., № 82сс от 23.2.40 т.; № 200сс от 12.5.40 г., № 367сс от 22.8.40 г. и др.</w:t>
      </w:r>
    </w:p>
    <w:p w14:paraId="1AC7F9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Уделлять особое внимание производству азиасвечей и магнето, производствокоторых сильно отстает.</w:t>
      </w:r>
    </w:p>
    <w:p w14:paraId="04C418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Обеспечение плана поставок НКАПу наркоматами-поставщиками (особенно НКЧМ, НКЦМ, НКЭП, НКОМ) (10493,198).</w:t>
      </w:r>
    </w:p>
    <w:p w14:paraId="71E3DA0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D3047A0" w14:textId="77777777" w:rsidR="008D6721" w:rsidRPr="00A3026E" w:rsidRDefault="008D672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7 сентября 1940 г. вышло постановление Комитета обо</w:t>
      </w:r>
      <w:r w:rsidRPr="00A3026E">
        <w:rPr>
          <w:color w:val="000000" w:themeColor="text1"/>
          <w:sz w:val="16"/>
          <w:szCs w:val="16"/>
        </w:rPr>
        <w:softHyphen/>
        <w:t>роны при СНК СССР «О пулеметно-пушечном вооружении истребительных и бомбардировочных самолетов», которым была установлена единая система стрелково-пушечного вооружения боевых самолетов ВВС КА на 1941 г. Соответству</w:t>
      </w:r>
      <w:r w:rsidRPr="00A3026E">
        <w:rPr>
          <w:color w:val="000000" w:themeColor="text1"/>
          <w:sz w:val="16"/>
          <w:szCs w:val="16"/>
        </w:rPr>
        <w:softHyphen/>
        <w:t>ющий постановлению приказ НКАП был подписан 12 сентября.</w:t>
      </w:r>
    </w:p>
    <w:p w14:paraId="503897C5" w14:textId="77777777" w:rsidR="008D6721" w:rsidRPr="00A3026E" w:rsidRDefault="008D672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Согласно документам, бронированный штур</w:t>
      </w:r>
      <w:r w:rsidRPr="00A3026E">
        <w:rPr>
          <w:color w:val="000000" w:themeColor="text1"/>
          <w:sz w:val="16"/>
          <w:szCs w:val="16"/>
        </w:rPr>
        <w:softHyphen/>
        <w:t>мовик БШ-2 предполагалось вооружить пушками калибра 23 мм ПТБ-23 конструкции Таубина и Бабу</w:t>
      </w:r>
      <w:r w:rsidRPr="00A3026E">
        <w:rPr>
          <w:color w:val="000000" w:themeColor="text1"/>
          <w:sz w:val="16"/>
          <w:szCs w:val="16"/>
        </w:rPr>
        <w:softHyphen/>
        <w:t>рина, а истребители — только проверенными об</w:t>
      </w:r>
      <w:r w:rsidRPr="00A3026E">
        <w:rPr>
          <w:color w:val="000000" w:themeColor="text1"/>
          <w:sz w:val="16"/>
          <w:szCs w:val="16"/>
        </w:rPr>
        <w:softHyphen/>
        <w:t>разцами: мотор-пушкой ШВАК, синхронными пуле</w:t>
      </w:r>
      <w:r w:rsidRPr="00A3026E">
        <w:rPr>
          <w:color w:val="000000" w:themeColor="text1"/>
          <w:sz w:val="16"/>
          <w:szCs w:val="16"/>
        </w:rPr>
        <w:softHyphen/>
        <w:t>метами БС калибра 12,7 мм и ШКАС.</w:t>
      </w:r>
    </w:p>
    <w:p w14:paraId="262347D2" w14:textId="77777777" w:rsidR="008D6721" w:rsidRPr="00A3026E" w:rsidRDefault="008D672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Возможно, это было связано с тем обстоятель</w:t>
      </w:r>
      <w:r w:rsidRPr="00A3026E">
        <w:rPr>
          <w:color w:val="000000" w:themeColor="text1"/>
          <w:sz w:val="16"/>
          <w:szCs w:val="16"/>
        </w:rPr>
        <w:softHyphen/>
        <w:t>ством, что в ОКБ-15 был отработан тонкостенный осколочно-зажигательный снаряд к пушке ШВАК с увеличенным до 5,6 г весом более мощного раз</w:t>
      </w:r>
      <w:r w:rsidRPr="00A3026E">
        <w:rPr>
          <w:color w:val="000000" w:themeColor="text1"/>
          <w:sz w:val="16"/>
          <w:szCs w:val="16"/>
        </w:rPr>
        <w:softHyphen/>
        <w:t>рывного заряда ГТТ (смесь гексогена, тротила и те</w:t>
      </w:r>
      <w:r w:rsidRPr="00A3026E">
        <w:rPr>
          <w:color w:val="000000" w:themeColor="text1"/>
          <w:sz w:val="16"/>
          <w:szCs w:val="16"/>
        </w:rPr>
        <w:softHyphen/>
        <w:t>трила). Это обеспечивало повышенное фугасное и осколочное действие при «работе» по дюрале</w:t>
      </w:r>
      <w:r w:rsidRPr="00A3026E">
        <w:rPr>
          <w:color w:val="000000" w:themeColor="text1"/>
          <w:sz w:val="16"/>
          <w:szCs w:val="16"/>
        </w:rPr>
        <w:softHyphen/>
        <w:t>вым конструкциям современных самолетов. Одно</w:t>
      </w:r>
      <w:r w:rsidRPr="00A3026E">
        <w:rPr>
          <w:color w:val="000000" w:themeColor="text1"/>
          <w:sz w:val="16"/>
          <w:szCs w:val="16"/>
        </w:rPr>
        <w:softHyphen/>
        <w:t>временно был предложен и новый бронебойный снаряд с твердосплавным сердечником и баллисти</w:t>
      </w:r>
      <w:r w:rsidRPr="00A3026E">
        <w:rPr>
          <w:color w:val="000000" w:themeColor="text1"/>
          <w:sz w:val="16"/>
          <w:szCs w:val="16"/>
        </w:rPr>
        <w:softHyphen/>
        <w:t xml:space="preserve">ческим </w:t>
      </w:r>
      <w:r w:rsidRPr="00A3026E">
        <w:rPr>
          <w:color w:val="000000" w:themeColor="text1"/>
          <w:sz w:val="16"/>
          <w:szCs w:val="16"/>
        </w:rPr>
        <w:lastRenderedPageBreak/>
        <w:t>наконечником. Снаряд с дистанции 200 м уверенно пробивал гомогенную броню толщиной 20 мм при нормальном попадании вместо 14 мм у штатного снаряда (17500).</w:t>
      </w:r>
    </w:p>
    <w:p w14:paraId="3287024E" w14:textId="77777777" w:rsidR="008D6721" w:rsidRPr="00A3026E" w:rsidRDefault="008D6721" w:rsidP="00A3026E">
      <w:pPr>
        <w:spacing w:after="0" w:line="240" w:lineRule="auto"/>
        <w:jc w:val="both"/>
        <w:rPr>
          <w:rFonts w:ascii="Times New Roman" w:eastAsia="Times New Roman" w:hAnsi="Times New Roman"/>
          <w:color w:val="000000" w:themeColor="text1"/>
          <w:sz w:val="16"/>
          <w:szCs w:val="16"/>
          <w:lang w:eastAsia="ru-RU"/>
        </w:rPr>
      </w:pPr>
    </w:p>
    <w:p w14:paraId="00703AF7" w14:textId="77777777" w:rsidR="005D6F1A"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C92B3ED" w14:textId="77777777" w:rsidR="005D6F1A" w:rsidRPr="00A3026E" w:rsidRDefault="005D6F1A" w:rsidP="00A3026E">
      <w:pPr>
        <w:spacing w:after="0" w:line="240" w:lineRule="auto"/>
        <w:jc w:val="both"/>
        <w:rPr>
          <w:rFonts w:ascii="Times New Roman" w:hAnsi="Times New Roman"/>
          <w:iCs/>
          <w:color w:val="000000" w:themeColor="text1"/>
          <w:sz w:val="16"/>
          <w:szCs w:val="16"/>
        </w:rPr>
      </w:pPr>
    </w:p>
    <w:p w14:paraId="530D6CA8" w14:textId="77777777" w:rsidR="005D6F1A" w:rsidRPr="00A3026E" w:rsidRDefault="005D6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сентября 1940 г. по программе, утвержденной начальником УВХЗ, прошли технические испытания первой химприцепки установочной партии. Акт по их результатам был подписан 12 сентября. Испытатели с удовлет</w:t>
      </w:r>
      <w:r w:rsidRPr="00A3026E">
        <w:rPr>
          <w:rFonts w:ascii="Times New Roman" w:hAnsi="Times New Roman"/>
          <w:color w:val="000000" w:themeColor="text1"/>
          <w:sz w:val="16"/>
          <w:szCs w:val="16"/>
        </w:rPr>
        <w:softHyphen/>
        <w:t>ворением констатировали, что завод ДРО учел в образце ХП-2 практически все замечания, отмеченные-в выводах акта войсковой комиссии, кроме пункта об установке</w:t>
      </w:r>
      <w:r w:rsidRPr="00A3026E">
        <w:rPr>
          <w:rStyle w:val="aff6"/>
          <w:rFonts w:ascii="Times New Roman" w:hAnsi="Times New Roman" w:cs="Times New Roman"/>
          <w:i w:val="0"/>
          <w:color w:val="000000" w:themeColor="text1"/>
        </w:rPr>
        <w:t xml:space="preserve"> «грязеуловителей».</w:t>
      </w:r>
    </w:p>
    <w:p w14:paraId="450E3B14" w14:textId="77777777" w:rsidR="005D6F1A" w:rsidRPr="00A3026E" w:rsidRDefault="005D6F1A" w:rsidP="00A3026E">
      <w:pPr>
        <w:spacing w:after="0" w:line="240" w:lineRule="auto"/>
        <w:jc w:val="both"/>
        <w:rPr>
          <w:rStyle w:val="aff6"/>
          <w:rFonts w:ascii="Times New Roman" w:hAnsi="Times New Roman" w:cs="Times New Roman"/>
          <w:i w:val="0"/>
          <w:color w:val="000000" w:themeColor="text1"/>
        </w:rPr>
      </w:pPr>
      <w:r w:rsidRPr="00A3026E">
        <w:rPr>
          <w:rFonts w:ascii="Times New Roman" w:hAnsi="Times New Roman"/>
          <w:color w:val="000000" w:themeColor="text1"/>
          <w:sz w:val="16"/>
          <w:szCs w:val="16"/>
        </w:rPr>
        <w:t>Ходовые испытания проводились на ди</w:t>
      </w:r>
      <w:r w:rsidRPr="00A3026E">
        <w:rPr>
          <w:rFonts w:ascii="Times New Roman" w:hAnsi="Times New Roman"/>
          <w:color w:val="000000" w:themeColor="text1"/>
          <w:sz w:val="16"/>
          <w:szCs w:val="16"/>
        </w:rPr>
        <w:softHyphen/>
        <w:t>станции 10 км по шоссе и на пересеченной местности. Во время пробега у ведущего ко</w:t>
      </w:r>
      <w:r w:rsidRPr="00A3026E">
        <w:rPr>
          <w:rFonts w:ascii="Times New Roman" w:hAnsi="Times New Roman"/>
          <w:color w:val="000000" w:themeColor="text1"/>
          <w:sz w:val="16"/>
          <w:szCs w:val="16"/>
        </w:rPr>
        <w:softHyphen/>
        <w:t>леса танка БТ-7 лопнул подшипник, поэтому испытания пришлось прекратить. Представ</w:t>
      </w:r>
      <w:r w:rsidRPr="00A3026E">
        <w:rPr>
          <w:rFonts w:ascii="Times New Roman" w:hAnsi="Times New Roman"/>
          <w:color w:val="000000" w:themeColor="text1"/>
          <w:sz w:val="16"/>
          <w:szCs w:val="16"/>
        </w:rPr>
        <w:softHyphen/>
        <w:t>ленные</w:t>
      </w:r>
      <w:r w:rsidRPr="00A3026E">
        <w:rPr>
          <w:rStyle w:val="aff6"/>
          <w:rFonts w:ascii="Times New Roman" w:hAnsi="Times New Roman" w:cs="Times New Roman"/>
          <w:i w:val="0"/>
          <w:color w:val="000000" w:themeColor="text1"/>
        </w:rPr>
        <w:t xml:space="preserve"> «крылья для защиты прицепки от за</w:t>
      </w:r>
      <w:r w:rsidRPr="00A3026E">
        <w:rPr>
          <w:rStyle w:val="aff6"/>
          <w:rFonts w:ascii="Times New Roman" w:hAnsi="Times New Roman" w:cs="Times New Roman"/>
          <w:i w:val="0"/>
          <w:color w:val="000000" w:themeColor="text1"/>
        </w:rPr>
        <w:softHyphen/>
        <w:t>брасывания грязью»</w:t>
      </w:r>
      <w:r w:rsidRPr="00A3026E">
        <w:rPr>
          <w:rFonts w:ascii="Times New Roman" w:hAnsi="Times New Roman"/>
          <w:color w:val="000000" w:themeColor="text1"/>
          <w:sz w:val="16"/>
          <w:szCs w:val="16"/>
        </w:rPr>
        <w:t xml:space="preserve"> испытаний не выдержали, причем один грязевик потеряли уже в начале пробега. Однако комиссия посчитала, что</w:t>
      </w:r>
      <w:r w:rsidRPr="00A3026E">
        <w:rPr>
          <w:rStyle w:val="aff6"/>
          <w:rFonts w:ascii="Times New Roman" w:hAnsi="Times New Roman" w:cs="Times New Roman"/>
          <w:i w:val="0"/>
          <w:color w:val="000000" w:themeColor="text1"/>
        </w:rPr>
        <w:t xml:space="preserve"> «по условиям эксплоатации защита химприцепки от попадания на нее грязи невозможна, так как забрызгивание прицепки происходит также и гусеницами танка» (17480).</w:t>
      </w:r>
    </w:p>
    <w:p w14:paraId="4DFD4422" w14:textId="77777777" w:rsidR="005D6F1A" w:rsidRPr="00A3026E" w:rsidRDefault="005D6F1A" w:rsidP="00A3026E">
      <w:pPr>
        <w:spacing w:after="0" w:line="240" w:lineRule="auto"/>
        <w:jc w:val="both"/>
        <w:rPr>
          <w:rFonts w:ascii="Times New Roman" w:hAnsi="Times New Roman"/>
          <w:color w:val="000000" w:themeColor="text1"/>
          <w:sz w:val="16"/>
          <w:szCs w:val="16"/>
        </w:rPr>
      </w:pPr>
    </w:p>
    <w:p w14:paraId="40D0BDBC" w14:textId="77777777" w:rsidR="007A0319" w:rsidRPr="00A3026E" w:rsidRDefault="007A0319" w:rsidP="00A3026E">
      <w:pPr>
        <w:spacing w:after="0" w:line="240" w:lineRule="auto"/>
        <w:jc w:val="both"/>
        <w:rPr>
          <w:rFonts w:ascii="Times New Roman" w:hAnsi="Times New Roman"/>
          <w:color w:val="0070C0"/>
          <w:sz w:val="16"/>
          <w:szCs w:val="16"/>
          <w:lang w:eastAsia="ru-RU" w:bidi="ru-RU"/>
        </w:rPr>
      </w:pPr>
      <w:r w:rsidRPr="00A3026E">
        <w:rPr>
          <w:rFonts w:ascii="Times New Roman" w:hAnsi="Times New Roman"/>
          <w:color w:val="0070C0"/>
          <w:sz w:val="16"/>
          <w:szCs w:val="16"/>
          <w:lang w:eastAsia="ru-RU" w:bidi="ru-RU"/>
        </w:rPr>
        <w:t>В начале сентября 1940 директора оборонных заводов: В.А. Восканян («Светлана»), Д.Ф. Устинов («Большевик»), И.А. Ува</w:t>
      </w:r>
      <w:r w:rsidRPr="00A3026E">
        <w:rPr>
          <w:rFonts w:ascii="Times New Roman" w:hAnsi="Times New Roman"/>
          <w:color w:val="0070C0"/>
          <w:sz w:val="16"/>
          <w:szCs w:val="16"/>
          <w:lang w:eastAsia="ru-RU" w:bidi="ru-RU"/>
        </w:rPr>
        <w:softHyphen/>
        <w:t>ров («Государственный оптико-механический») и главный инженер завода № 709 А.А. Соловьёв (Восканян В., Соловьёв А., Уваров И., Устинов Д. О единоначалии и правах директора // Правда. 1940. 10 сентября). В целом предлагалось существенно расширить права заводской администрации, оставив за наркоматами лишь от</w:t>
      </w:r>
      <w:r w:rsidRPr="00A3026E">
        <w:rPr>
          <w:rFonts w:ascii="Times New Roman" w:hAnsi="Times New Roman"/>
          <w:color w:val="0070C0"/>
          <w:sz w:val="16"/>
          <w:szCs w:val="16"/>
          <w:lang w:eastAsia="ru-RU" w:bidi="ru-RU"/>
        </w:rPr>
        <w:softHyphen/>
        <w:t>носительно узкий набор прерогатив. Началась эта дискуссия с коллективного письма, написанного директорами нескольких ленинградских заводов в газету «Правда». Разумеется, эта «директорская фронда» не могла появиться без той или иной поддержки в высших эшелонах власти. Авторы письма предлагали существенно ограничить вмешательство наркоматов в заводские дела, свести отчётность к шести показателям, реанимировать идею заводского хозрасчёта, а главное - дать директорам предприятий право самостоятельно распоряжаться в интересах технического обновления и повышения производительности труда разнообразными сверхплановыми накоплениями (22646).</w:t>
      </w:r>
    </w:p>
    <w:p w14:paraId="230B9C7B" w14:textId="77777777" w:rsidR="007A0319" w:rsidRPr="00A3026E" w:rsidRDefault="007A0319" w:rsidP="00A3026E">
      <w:pPr>
        <w:spacing w:after="0" w:line="240" w:lineRule="auto"/>
        <w:jc w:val="both"/>
        <w:rPr>
          <w:rFonts w:ascii="Times New Roman" w:hAnsi="Times New Roman"/>
          <w:i/>
          <w:iCs/>
          <w:color w:val="0070C0"/>
          <w:sz w:val="16"/>
          <w:szCs w:val="16"/>
          <w:lang w:eastAsia="ru-RU" w:bidi="ru-RU"/>
        </w:rPr>
      </w:pPr>
    </w:p>
    <w:p w14:paraId="082BAC5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0E7F2CD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FE921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сентября 1940 СССР угрожал Германии прекратить поставки сырья, если не будет ускорена отправка оборудования (3908,361).</w:t>
      </w:r>
    </w:p>
    <w:p w14:paraId="6DB2732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1F9AFF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2E03AC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F3B7F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w:t>
      </w:r>
      <w:r w:rsidRPr="00A3026E">
        <w:rPr>
          <w:rFonts w:ascii="Times New Roman" w:hAnsi="Times New Roman"/>
          <w:color w:val="000000" w:themeColor="text1"/>
          <w:sz w:val="16"/>
          <w:szCs w:val="16"/>
        </w:rPr>
        <w:softHyphen/>
        <w:t>тября 1940 года, во время дополнительных заводских испытаний произош</w:t>
      </w:r>
      <w:r w:rsidRPr="00A3026E">
        <w:rPr>
          <w:rFonts w:ascii="Times New Roman" w:hAnsi="Times New Roman"/>
          <w:color w:val="000000" w:themeColor="text1"/>
          <w:sz w:val="16"/>
          <w:szCs w:val="16"/>
        </w:rPr>
        <w:softHyphen/>
        <w:t>ла авария ББ-22 № 7033 производства завода № 81. В результате неправиль</w:t>
      </w:r>
      <w:r w:rsidRPr="00A3026E">
        <w:rPr>
          <w:rFonts w:ascii="Times New Roman" w:hAnsi="Times New Roman"/>
          <w:color w:val="000000" w:themeColor="text1"/>
          <w:sz w:val="16"/>
          <w:szCs w:val="16"/>
        </w:rPr>
        <w:softHyphen/>
        <w:t>но проведенной посадки самолет был поврежден и сгорел, экипаж остался невредим. Виновником происшествия был признан военный летчик майор Бакин (Самарский филиал РГАНТД. Ф. Р-217. Оп. 1 -6. Д. 26. Л. 15.).</w:t>
      </w:r>
    </w:p>
    <w:p w14:paraId="689C9B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Уже в октябре 1940 года на заводские испытания вышел самолет, на котором, в отличие от машин завода № 1, удалось впервые добиться улуч</w:t>
      </w:r>
      <w:r w:rsidRPr="00A3026E">
        <w:rPr>
          <w:rFonts w:ascii="Times New Roman" w:hAnsi="Times New Roman"/>
          <w:color w:val="000000" w:themeColor="text1"/>
          <w:sz w:val="16"/>
          <w:szCs w:val="16"/>
        </w:rPr>
        <w:softHyphen/>
        <w:t>шения характеристик по сравнению с предшественниками. Самолет стал легче, возросла скорость полета, бомболюки стали нормально открываться на всех режимах полета, самолет мог сравнительно нормально лететь на одном моторе по прямой. В том же месяце на заводе начался серийный вы</w:t>
      </w:r>
      <w:r w:rsidRPr="00A3026E">
        <w:rPr>
          <w:rFonts w:ascii="Times New Roman" w:hAnsi="Times New Roman"/>
          <w:color w:val="000000" w:themeColor="text1"/>
          <w:sz w:val="16"/>
          <w:szCs w:val="16"/>
        </w:rPr>
        <w:softHyphen/>
        <w:t>пуск ББ-22 бис с моторами М-105 с максимальной скоростью 533 км/час и дальностью полета 1100 км на скорости 90% от максимальной (у ББ-22 на наивыгоднейшей скорости она не превышала 900 км). В ноябре 1940 года состоялось совместное совещание руководства ВВС и НКАП под председа</w:t>
      </w:r>
      <w:r w:rsidRPr="00A3026E">
        <w:rPr>
          <w:rFonts w:ascii="Times New Roman" w:hAnsi="Times New Roman"/>
          <w:color w:val="000000" w:themeColor="text1"/>
          <w:sz w:val="16"/>
          <w:szCs w:val="16"/>
        </w:rPr>
        <w:softHyphen/>
        <w:t>тельством начальника ГУ ВВС РККА генерал-лейтенанта П.В. Рычагова по вопросу устранения дефектов ББ-22. Из 12 дефектов большинство сочли вполне устранимыми и требующими только времени. Никакого трагизма в оценке ситуации с производством на совещании не прозвучало - шел обычный процесс доводки машины (Медведь А. Н., Хазанов Д.Б. Указ. соч. С. 8-10.).</w:t>
      </w:r>
    </w:p>
    <w:p w14:paraId="5B14F6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СНК СССР и ЦК ВКП(б) «О программе выпуска самоле</w:t>
      </w:r>
      <w:r w:rsidRPr="00A3026E">
        <w:rPr>
          <w:rFonts w:ascii="Times New Roman" w:hAnsi="Times New Roman"/>
          <w:color w:val="000000" w:themeColor="text1"/>
          <w:sz w:val="16"/>
          <w:szCs w:val="16"/>
        </w:rPr>
        <w:softHyphen/>
        <w:t>тов и авиамоторов в 1941 году» предусматривало выпуск 1300 бомбарди</w:t>
      </w:r>
      <w:r w:rsidRPr="00A3026E">
        <w:rPr>
          <w:rFonts w:ascii="Times New Roman" w:hAnsi="Times New Roman"/>
          <w:color w:val="000000" w:themeColor="text1"/>
          <w:sz w:val="16"/>
          <w:szCs w:val="16"/>
        </w:rPr>
        <w:softHyphen/>
        <w:t>ровщиков Як-4 (Так в соответствии с распоряжением НКАП стал именоваться ББ-22 бис, а ББ-22, соответствен</w:t>
      </w:r>
      <w:r w:rsidRPr="00A3026E">
        <w:rPr>
          <w:rFonts w:ascii="Times New Roman" w:hAnsi="Times New Roman"/>
          <w:color w:val="000000" w:themeColor="text1"/>
          <w:sz w:val="16"/>
          <w:szCs w:val="16"/>
        </w:rPr>
        <w:softHyphen/>
        <w:t>но, был переименован в Як-2.), причем пик производства - 490 машин - приходился на IV квартал, а в I квартале 1942 года должно было быть выпущено уже 575 ма</w:t>
      </w:r>
      <w:r w:rsidRPr="00A3026E">
        <w:rPr>
          <w:rFonts w:ascii="Times New Roman" w:hAnsi="Times New Roman"/>
          <w:color w:val="000000" w:themeColor="text1"/>
          <w:sz w:val="16"/>
          <w:szCs w:val="16"/>
        </w:rPr>
        <w:softHyphen/>
        <w:t>шин (941 год. Документы. Кн. 1.Июнь 1940 года - март 1941 года. М, 1998. С. 441-442.). По общему планируемому объему выпуска Як-4 уступал только двух</w:t>
      </w:r>
      <w:r w:rsidRPr="00A3026E">
        <w:rPr>
          <w:rFonts w:ascii="Times New Roman" w:hAnsi="Times New Roman"/>
          <w:color w:val="000000" w:themeColor="text1"/>
          <w:sz w:val="16"/>
          <w:szCs w:val="16"/>
        </w:rPr>
        <w:softHyphen/>
        <w:t>моторному пикирующему бомбардировщику ПБ-100 (Пе-2). Но ситуация резко изменилась в связи с новыми обстоятельствами: головной серийный экземпляр Пе-2 по всем параметрам превосходил Як-4. Решением Полит</w:t>
      </w:r>
      <w:r w:rsidRPr="00A3026E">
        <w:rPr>
          <w:rFonts w:ascii="Times New Roman" w:hAnsi="Times New Roman"/>
          <w:color w:val="000000" w:themeColor="text1"/>
          <w:sz w:val="16"/>
          <w:szCs w:val="16"/>
        </w:rPr>
        <w:softHyphen/>
        <w:t>бюро ЦК ВКП(б) № П 25 / 34 - ОП от 8 января 1941 года было утверждено постановление СНК СССР и ЦК ВКП(б) «О программе завода № 125 им. Ста</w:t>
      </w:r>
      <w:r w:rsidRPr="00A3026E">
        <w:rPr>
          <w:rFonts w:ascii="Times New Roman" w:hAnsi="Times New Roman"/>
          <w:color w:val="000000" w:themeColor="text1"/>
          <w:sz w:val="16"/>
          <w:szCs w:val="16"/>
        </w:rPr>
        <w:softHyphen/>
        <w:t>лина НКАП на 1941 год». В нем, в частности, предписывалось во измене</w:t>
      </w:r>
      <w:r w:rsidRPr="00A3026E">
        <w:rPr>
          <w:rFonts w:ascii="Times New Roman" w:hAnsi="Times New Roman"/>
          <w:color w:val="000000" w:themeColor="text1"/>
          <w:sz w:val="16"/>
          <w:szCs w:val="16"/>
        </w:rPr>
        <w:softHyphen/>
        <w:t>ние постановления СНК СССР и ЦК ВКП(б) № 24б6-109бсс от 7 декабря 1940 года «О программе выпуска самолетов и авиамоторов в 1941 году», утвержденного решением Политбюро ЦК ВКП(б) № П 23 / 142 - ОП от 7 декабря 1940 года, отменить производство самолетов Як-4. Вместо них в 1941 году предписывалось изготовить 250 Пе-2 (РГАСПИ.Ф. 17. Оп. 162. Д. 31. Л. 65-66.).</w:t>
      </w:r>
    </w:p>
    <w:p w14:paraId="4E4B39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мнению исследователей В. Перова и О. Растренина, «приня</w:t>
      </w:r>
      <w:r w:rsidRPr="00A3026E">
        <w:rPr>
          <w:rFonts w:ascii="Times New Roman" w:hAnsi="Times New Roman"/>
          <w:color w:val="000000" w:themeColor="text1"/>
          <w:sz w:val="16"/>
          <w:szCs w:val="16"/>
        </w:rPr>
        <w:softHyphen/>
        <w:t>тие на вооружение ВВС КА самолета ББ-22 в варианте бомбардировщика является грубейшей ошибкой УВВС, НКАП и Комитета Обороны», так как «реальной боевой ценности он не представлял, но сил и средств на его внедрение в серийное производство и освоение в боевых частях было за</w:t>
      </w:r>
      <w:r w:rsidRPr="00A3026E">
        <w:rPr>
          <w:rFonts w:ascii="Times New Roman" w:hAnsi="Times New Roman"/>
          <w:color w:val="000000" w:themeColor="text1"/>
          <w:sz w:val="16"/>
          <w:szCs w:val="16"/>
        </w:rPr>
        <w:softHyphen/>
        <w:t>трачено немало» (Перов В.И., Растренин О.В. Неизвестный Ар-2 // Авиация и космонавтика вчера, сегодня, завтра. 2003. №7. С. 22.).</w:t>
      </w:r>
    </w:p>
    <w:p w14:paraId="36DC94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вкратце коснуться истории истребительного варианта ББ-22. Медведь и Хазанов сообщают, что ОКБ № 115 сосредоточило усилия на разработке истребительного варианта машины под индексом И-29: «Ра</w:t>
      </w:r>
      <w:r w:rsidRPr="00A3026E">
        <w:rPr>
          <w:rFonts w:ascii="Times New Roman" w:hAnsi="Times New Roman"/>
          <w:color w:val="000000" w:themeColor="text1"/>
          <w:sz w:val="16"/>
          <w:szCs w:val="16"/>
        </w:rPr>
        <w:softHyphen/>
        <w:t>боты по нему продолжались даже после прекращения серийного выпуска Як-4... Всю весну 1941 года в сводках по опытному строительству этот ис</w:t>
      </w:r>
      <w:r w:rsidRPr="00A3026E">
        <w:rPr>
          <w:rFonts w:ascii="Times New Roman" w:hAnsi="Times New Roman"/>
          <w:color w:val="000000" w:themeColor="text1"/>
          <w:sz w:val="16"/>
          <w:szCs w:val="16"/>
        </w:rPr>
        <w:softHyphen/>
        <w:t>требитель упоминается, как проходящий заводские испытания... Даже на</w:t>
      </w:r>
      <w:r w:rsidRPr="00A3026E">
        <w:rPr>
          <w:rFonts w:ascii="Times New Roman" w:hAnsi="Times New Roman"/>
          <w:color w:val="000000" w:themeColor="text1"/>
          <w:sz w:val="16"/>
          <w:szCs w:val="16"/>
        </w:rPr>
        <w:softHyphen/>
        <w:t>чавшаяся война не привела к отказу от И-29» (Медведь А. Н., Хазанов Д.Б. Указ. соч. С. 7.).</w:t>
      </w:r>
    </w:p>
    <w:p w14:paraId="4741FA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не совсем понятно, как это могло происходить на практике. Со</w:t>
      </w:r>
      <w:r w:rsidRPr="00A3026E">
        <w:rPr>
          <w:rFonts w:ascii="Times New Roman" w:hAnsi="Times New Roman"/>
          <w:color w:val="000000" w:themeColor="text1"/>
          <w:sz w:val="16"/>
          <w:szCs w:val="16"/>
        </w:rPr>
        <w:softHyphen/>
        <w:t>гласно архивным документам, 28 апреля 1941 года вышел приказ наркома авиапромышленности № 386 ее «О прекращении работ по опытным само</w:t>
      </w:r>
      <w:r w:rsidRPr="00A3026E">
        <w:rPr>
          <w:rFonts w:ascii="Times New Roman" w:hAnsi="Times New Roman"/>
          <w:color w:val="000000" w:themeColor="text1"/>
          <w:sz w:val="16"/>
          <w:szCs w:val="16"/>
        </w:rPr>
        <w:softHyphen/>
        <w:t>летам 1939-го и 1940 годов». Пунктом 1 раздела «о» предписывалось пре</w:t>
      </w:r>
      <w:r w:rsidRPr="00A3026E">
        <w:rPr>
          <w:rFonts w:ascii="Times New Roman" w:hAnsi="Times New Roman"/>
          <w:color w:val="000000" w:themeColor="text1"/>
          <w:sz w:val="16"/>
          <w:szCs w:val="16"/>
        </w:rPr>
        <w:softHyphen/>
        <w:t>кратить постройку модификации «самолета ББ-22 в варианте одноместного истребителя сопровождения с двумя моторами М-105 конструктора тов. Яковлева», работы над которым были начаты в соответствии с приказом НКАП № б74сс от 29 ноября 1940 года, а пунктом 2 раздела «а» сам приказ НКАП № б74сс был отменен (Самарский филиал РГАНТД.Ф.Р-712. Оп. 1-6. Д. 1.Л. 22.) (11710,428).</w:t>
      </w:r>
    </w:p>
    <w:p w14:paraId="493438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371EA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А.Репин писал Н.А.Вознесенскому о целесообразности организации серийного производства ОКО-6 Таирова и предложил проект соответствующего постановления КО с повестки дня снять из-за недостаточной скорости дальности (1296,273).</w:t>
      </w:r>
    </w:p>
    <w:p w14:paraId="743764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ВОЗНЕСЕНСКОМУ Н.А.</w:t>
      </w:r>
    </w:p>
    <w:p w14:paraId="0C1436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СЕКРЕТНО</w:t>
      </w:r>
    </w:p>
    <w:p w14:paraId="7E8975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целесоообразности организации серийного производства самолетов "ОКО-6".</w:t>
      </w:r>
    </w:p>
    <w:p w14:paraId="7A7193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от 29.УП.39 г. за № 253сс Главному конструктору завода № 43 в Киеве т. Таирову было поручено построить 2 экз. опытного одноместного 2-х моторного истребителя. Срок изготовления: первого экземпляра - октябрь 1939 г. второго экземпляра - декабрь 1939 г.</w:t>
      </w:r>
    </w:p>
    <w:p w14:paraId="723187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Первый экземпляр ОКО-6 был изготовлен в декабре 1939г. и к 8.6.1940 г. прошел первый этап заводских испьтаний.</w:t>
      </w:r>
    </w:p>
    <w:p w14:paraId="712632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заводских испытаниях-были получены следующие данные: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666"/>
        <w:gridCol w:w="1939"/>
        <w:gridCol w:w="1306"/>
      </w:tblGrid>
      <w:tr w:rsidR="00983732" w:rsidRPr="00A3026E" w14:paraId="182DC6DF" w14:textId="77777777" w:rsidTr="00EA0DA7">
        <w:trPr>
          <w:trHeight w:val="557"/>
        </w:trPr>
        <w:tc>
          <w:tcPr>
            <w:tcW w:w="4666" w:type="dxa"/>
            <w:tcBorders>
              <w:top w:val="single" w:sz="12" w:space="0" w:color="auto"/>
            </w:tcBorders>
          </w:tcPr>
          <w:p w14:paraId="616480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Элементы характеристики самолета</w:t>
            </w:r>
          </w:p>
        </w:tc>
        <w:tc>
          <w:tcPr>
            <w:tcW w:w="1939" w:type="dxa"/>
            <w:tcBorders>
              <w:top w:val="single" w:sz="12" w:space="0" w:color="auto"/>
            </w:tcBorders>
          </w:tcPr>
          <w:p w14:paraId="67A74D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получен</w:t>
            </w:r>
            <w:r w:rsidRPr="00A3026E">
              <w:rPr>
                <w:rFonts w:ascii="Times New Roman" w:hAnsi="Times New Roman"/>
                <w:color w:val="000000" w:themeColor="text1"/>
                <w:sz w:val="16"/>
                <w:szCs w:val="16"/>
              </w:rPr>
              <w:softHyphen/>
              <w:t>ные при заводских испытан.</w:t>
            </w:r>
          </w:p>
        </w:tc>
        <w:tc>
          <w:tcPr>
            <w:tcW w:w="1306" w:type="dxa"/>
            <w:tcBorders>
              <w:top w:val="single" w:sz="12" w:space="0" w:color="auto"/>
            </w:tcBorders>
          </w:tcPr>
          <w:p w14:paraId="184488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 постановлению К.О.</w:t>
            </w:r>
          </w:p>
        </w:tc>
      </w:tr>
      <w:tr w:rsidR="00983732" w:rsidRPr="00A3026E" w14:paraId="7740DD27" w14:textId="77777777" w:rsidTr="00EA0DA7">
        <w:trPr>
          <w:trHeight w:val="221"/>
        </w:trPr>
        <w:tc>
          <w:tcPr>
            <w:tcW w:w="4666" w:type="dxa"/>
          </w:tcPr>
          <w:p w14:paraId="2F3304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Максимальная горизонтальная скорость у земли</w:t>
            </w:r>
          </w:p>
        </w:tc>
        <w:tc>
          <w:tcPr>
            <w:tcW w:w="1939" w:type="dxa"/>
          </w:tcPr>
          <w:p w14:paraId="534AD6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488км/ч.</w:t>
            </w:r>
          </w:p>
        </w:tc>
        <w:tc>
          <w:tcPr>
            <w:tcW w:w="1306" w:type="dxa"/>
          </w:tcPr>
          <w:p w14:paraId="791009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BBEEDAC" w14:textId="77777777" w:rsidTr="00EA0DA7">
        <w:trPr>
          <w:trHeight w:val="374"/>
        </w:trPr>
        <w:tc>
          <w:tcPr>
            <w:tcW w:w="4666" w:type="dxa"/>
          </w:tcPr>
          <w:p w14:paraId="0E7124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Максимальная горизонт. </w:t>
            </w:r>
          </w:p>
        </w:tc>
        <w:tc>
          <w:tcPr>
            <w:tcW w:w="1939" w:type="dxa"/>
          </w:tcPr>
          <w:p w14:paraId="259E45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567,5 км/ч</w:t>
            </w:r>
          </w:p>
        </w:tc>
        <w:tc>
          <w:tcPr>
            <w:tcW w:w="1306" w:type="dxa"/>
          </w:tcPr>
          <w:p w14:paraId="43D5CA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600-650 км/ч</w:t>
            </w:r>
          </w:p>
        </w:tc>
      </w:tr>
      <w:tr w:rsidR="00983732" w:rsidRPr="00A3026E" w14:paraId="2D76E199" w14:textId="77777777" w:rsidTr="00EA0DA7">
        <w:trPr>
          <w:trHeight w:val="163"/>
        </w:trPr>
        <w:tc>
          <w:tcPr>
            <w:tcW w:w="4666" w:type="dxa"/>
          </w:tcPr>
          <w:p w14:paraId="66B0C9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на расчетной высоте</w:t>
            </w:r>
          </w:p>
        </w:tc>
        <w:tc>
          <w:tcPr>
            <w:tcW w:w="1939" w:type="dxa"/>
          </w:tcPr>
          <w:p w14:paraId="272C7B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7550м</w:t>
            </w:r>
          </w:p>
        </w:tc>
        <w:tc>
          <w:tcPr>
            <w:tcW w:w="1306" w:type="dxa"/>
          </w:tcPr>
          <w:p w14:paraId="707E04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6000-7000м.</w:t>
            </w:r>
          </w:p>
        </w:tc>
      </w:tr>
      <w:tr w:rsidR="00983732" w:rsidRPr="00A3026E" w14:paraId="47C00931" w14:textId="77777777" w:rsidTr="00EA0DA7">
        <w:trPr>
          <w:trHeight w:val="230"/>
        </w:trPr>
        <w:tc>
          <w:tcPr>
            <w:tcW w:w="4666" w:type="dxa"/>
          </w:tcPr>
          <w:p w14:paraId="44B981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Время под"ема на 5000м. </w:t>
            </w:r>
          </w:p>
        </w:tc>
        <w:tc>
          <w:tcPr>
            <w:tcW w:w="1939" w:type="dxa"/>
          </w:tcPr>
          <w:p w14:paraId="1BA13A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5,5м.</w:t>
            </w:r>
          </w:p>
        </w:tc>
        <w:tc>
          <w:tcPr>
            <w:tcW w:w="1306" w:type="dxa"/>
          </w:tcPr>
          <w:p w14:paraId="1347E2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 м.</w:t>
            </w:r>
          </w:p>
        </w:tc>
      </w:tr>
      <w:tr w:rsidR="00983732" w:rsidRPr="00A3026E" w14:paraId="6E72FF7E" w14:textId="77777777" w:rsidTr="00EA0DA7">
        <w:trPr>
          <w:trHeight w:val="250"/>
        </w:trPr>
        <w:tc>
          <w:tcPr>
            <w:tcW w:w="4666" w:type="dxa"/>
          </w:tcPr>
          <w:p w14:paraId="2D2D89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Практический потолок</w:t>
            </w:r>
          </w:p>
        </w:tc>
        <w:tc>
          <w:tcPr>
            <w:tcW w:w="1939" w:type="dxa"/>
          </w:tcPr>
          <w:p w14:paraId="46FBE2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11100 м</w:t>
            </w:r>
          </w:p>
        </w:tc>
        <w:tc>
          <w:tcPr>
            <w:tcW w:w="1306" w:type="dxa"/>
          </w:tcPr>
          <w:p w14:paraId="483D30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12000м</w:t>
            </w:r>
          </w:p>
        </w:tc>
      </w:tr>
      <w:tr w:rsidR="00983732" w:rsidRPr="00A3026E" w14:paraId="67DCCD86" w14:textId="77777777" w:rsidTr="00EA0DA7">
        <w:trPr>
          <w:trHeight w:val="259"/>
        </w:trPr>
        <w:tc>
          <w:tcPr>
            <w:tcW w:w="4666" w:type="dxa"/>
          </w:tcPr>
          <w:p w14:paraId="4CC078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Посадочная скорость</w:t>
            </w:r>
          </w:p>
        </w:tc>
        <w:tc>
          <w:tcPr>
            <w:tcW w:w="1939" w:type="dxa"/>
          </w:tcPr>
          <w:p w14:paraId="0EE891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150км/ч.</w:t>
            </w:r>
          </w:p>
        </w:tc>
        <w:tc>
          <w:tcPr>
            <w:tcW w:w="1306" w:type="dxa"/>
          </w:tcPr>
          <w:p w14:paraId="0B2364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110-120 км/час</w:t>
            </w:r>
          </w:p>
        </w:tc>
      </w:tr>
      <w:tr w:rsidR="00983732" w:rsidRPr="00A3026E" w14:paraId="10ED8E87" w14:textId="77777777" w:rsidTr="00EA0DA7">
        <w:trPr>
          <w:trHeight w:val="240"/>
        </w:trPr>
        <w:tc>
          <w:tcPr>
            <w:tcW w:w="4666" w:type="dxa"/>
          </w:tcPr>
          <w:p w14:paraId="1CC57B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Дальность на 0,9 максим. Скорости</w:t>
            </w:r>
          </w:p>
        </w:tc>
        <w:tc>
          <w:tcPr>
            <w:tcW w:w="1939" w:type="dxa"/>
          </w:tcPr>
          <w:p w14:paraId="5F1528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 км.</w:t>
            </w:r>
          </w:p>
        </w:tc>
        <w:tc>
          <w:tcPr>
            <w:tcW w:w="1306" w:type="dxa"/>
          </w:tcPr>
          <w:p w14:paraId="49D1CE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 в норм. варианте</w:t>
            </w:r>
          </w:p>
        </w:tc>
      </w:tr>
      <w:tr w:rsidR="00983732" w:rsidRPr="00A3026E" w14:paraId="4DAE5D17" w14:textId="77777777" w:rsidTr="00EA0DA7">
        <w:trPr>
          <w:trHeight w:val="192"/>
        </w:trPr>
        <w:tc>
          <w:tcPr>
            <w:tcW w:w="4666" w:type="dxa"/>
          </w:tcPr>
          <w:p w14:paraId="048197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tcPr>
          <w:p w14:paraId="7A9733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06" w:type="dxa"/>
          </w:tcPr>
          <w:p w14:paraId="15A09C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1250 в пе регрузочн. варианте.</w:t>
            </w:r>
          </w:p>
        </w:tc>
      </w:tr>
      <w:tr w:rsidR="00983732" w:rsidRPr="00A3026E" w14:paraId="5853A304" w14:textId="77777777" w:rsidTr="00EA0DA7">
        <w:trPr>
          <w:trHeight w:val="163"/>
        </w:trPr>
        <w:tc>
          <w:tcPr>
            <w:tcW w:w="4666" w:type="dxa"/>
          </w:tcPr>
          <w:p w14:paraId="35362B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Вооружение</w:t>
            </w:r>
          </w:p>
        </w:tc>
        <w:tc>
          <w:tcPr>
            <w:tcW w:w="1939" w:type="dxa"/>
          </w:tcPr>
          <w:p w14:paraId="7A3EE9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пушки Швак</w:t>
            </w:r>
          </w:p>
        </w:tc>
        <w:tc>
          <w:tcPr>
            <w:tcW w:w="1306" w:type="dxa"/>
          </w:tcPr>
          <w:p w14:paraId="5A9670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пушки Швак</w:t>
            </w:r>
          </w:p>
        </w:tc>
      </w:tr>
      <w:tr w:rsidR="00983732" w:rsidRPr="00A3026E" w14:paraId="4946459D" w14:textId="77777777" w:rsidTr="00EA0DA7">
        <w:trPr>
          <w:trHeight w:val="173"/>
        </w:trPr>
        <w:tc>
          <w:tcPr>
            <w:tcW w:w="4666" w:type="dxa"/>
          </w:tcPr>
          <w:p w14:paraId="1BA1A3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tcPr>
          <w:p w14:paraId="23037C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емкостью до 1000шт. Снарядов.</w:t>
            </w:r>
          </w:p>
          <w:p w14:paraId="57DD28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06" w:type="dxa"/>
          </w:tcPr>
          <w:p w14:paraId="5A7804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емкостью до 1000шт. Снарядов.</w:t>
            </w:r>
          </w:p>
        </w:tc>
      </w:tr>
      <w:tr w:rsidR="00983732" w:rsidRPr="00A3026E" w14:paraId="25B9AA65" w14:textId="77777777" w:rsidTr="00EA0DA7">
        <w:trPr>
          <w:trHeight w:val="202"/>
        </w:trPr>
        <w:tc>
          <w:tcPr>
            <w:tcW w:w="4666" w:type="dxa"/>
            <w:tcBorders>
              <w:bottom w:val="single" w:sz="12" w:space="0" w:color="auto"/>
            </w:tcBorders>
          </w:tcPr>
          <w:p w14:paraId="27E962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tcBorders>
              <w:bottom w:val="single" w:sz="12" w:space="0" w:color="auto"/>
            </w:tcBorders>
          </w:tcPr>
          <w:p w14:paraId="3F66CB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306" w:type="dxa"/>
            <w:tcBorders>
              <w:bottom w:val="single" w:sz="12" w:space="0" w:color="auto"/>
            </w:tcBorders>
          </w:tcPr>
          <w:p w14:paraId="658E78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РС82</w:t>
            </w:r>
          </w:p>
        </w:tc>
      </w:tr>
    </w:tbl>
    <w:p w14:paraId="5ECABB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заводских испытаниях были выявлены следующие основные дефектыс</w:t>
      </w:r>
    </w:p>
    <w:p w14:paraId="2277FF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Неустойчивость самолета на режиме под"ема и виража и недостаточная устойчивость на других режимах.</w:t>
      </w:r>
    </w:p>
    <w:p w14:paraId="707F86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Склонность самолета к развороту на разбеге и пробеге.</w:t>
      </w:r>
    </w:p>
    <w:p w14:paraId="675ECA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Недоработянность конструкции костыля, который неоднократно складывался на рулежках и пробегах.</w:t>
      </w:r>
    </w:p>
    <w:p w14:paraId="3A9BE0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23 августа 1940 г. самолез находится на заводе № 81, где устранялись замеченные дефекты. В настоящее время самолет находите; в ЦАГИ для продолжения заводских испытаний.</w:t>
      </w:r>
    </w:p>
    <w:p w14:paraId="090FF2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Втооой экземпляр ОКО-6 еще не изготовлен (срок декабпь 1339г.).</w:t>
      </w:r>
    </w:p>
    <w:p w14:paraId="43E870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Ожидаемый срок готовности - октябрь 1910 г.</w:t>
      </w:r>
    </w:p>
    <w:p w14:paraId="472554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7E27BB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 и доводка самолета ОКО-6 сильно затянулись. Полученная максимальная скорость (567км/ч.) ниже максимальных скоростей, современных аналогичных заграничных машин.</w:t>
      </w:r>
    </w:p>
    <w:p w14:paraId="5563E5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Полученная далъность 700 км безусловно недостаточна дм истребителя сопровождения (радиус действия около 300км.). Скоропод"емнсстъ и потолок ниже запроектированных.Самолет до сих пор не доведен до удовлетворительного состояния.Запуск такого само</w:t>
      </w:r>
      <w:r w:rsidRPr="00A3026E">
        <w:rPr>
          <w:rFonts w:ascii="Times New Roman" w:hAnsi="Times New Roman"/>
          <w:color w:val="000000" w:themeColor="text1"/>
          <w:sz w:val="16"/>
          <w:szCs w:val="16"/>
        </w:rPr>
        <w:softHyphen/>
        <w:t>лета в крупно-серл'иЕое производство считаю нецелесообразным.</w:t>
      </w:r>
    </w:p>
    <w:p w14:paraId="74560A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с голосования прошу снять.</w:t>
      </w:r>
    </w:p>
    <w:p w14:paraId="23E8F2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А.Репин</w:t>
      </w:r>
    </w:p>
    <w:p w14:paraId="3A98C5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7.1Х-40 г.'</w:t>
      </w:r>
    </w:p>
    <w:p w14:paraId="11D75E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Виза Вознесенского от 12 сентября:</w:t>
      </w:r>
    </w:p>
    <w:p w14:paraId="0E4551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Ознакомить тт. Шахурина и Тимошенко (1296,273).</w:t>
      </w:r>
    </w:p>
    <w:p w14:paraId="14544AD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C885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в ходе гос. испытаний И-200 АМ-35А, которые проходили в НИИ ВВС с 19 августа по 12 сентября 1940 на машине N 6302 выполнили 4 полета (2:00): 1 на километраж, 1 на маневренность и 2 на пикирование до 630 км/час, а на машине 6303 - один полет (0:45) на снятие боковой и продольной динамической устойчивости (2925).</w:t>
      </w:r>
    </w:p>
    <w:p w14:paraId="27BA612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42EDB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года, самолет МиГ прилетел на НИП АВ. 9 сентября 1940 года в 10.30. весь день 9 сентября был занят монтажем РО и проверкой электросети.</w:t>
      </w:r>
    </w:p>
    <w:p w14:paraId="04A125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производилась проверка электросети, а затем стрельба из РО-82 на земле и в воздухе.</w:t>
      </w:r>
    </w:p>
    <w:p w14:paraId="351586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утром самолет улетел в НИИ ВВС. Монтаж РО и стрельба РС-82 производились при консультации специалистов от НИП АВ, кроме того НИП АВ выдал для стрельбы, РС-82 с новыми штифтами, так как доставленные НИИ ВВС РС-82 оказались со старыми штифтами. При испытании все время оказывалась необходимая помощь (7712, 402).</w:t>
      </w:r>
    </w:p>
    <w:p w14:paraId="15DF146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1DBE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г. По постановлению Комитета Обороны №374сс от, на 10% самолетов МиГ-1 должны быть установлены по восемь РО-82. На всех выпущенных серийных самолетах МиГ-1 и —3 поставлены кры</w:t>
      </w:r>
      <w:r w:rsidRPr="00A3026E">
        <w:rPr>
          <w:rFonts w:ascii="Times New Roman" w:hAnsi="Times New Roman"/>
          <w:color w:val="000000" w:themeColor="text1"/>
          <w:sz w:val="16"/>
          <w:szCs w:val="16"/>
        </w:rPr>
        <w:softHyphen/>
        <w:t>лья деревянной конструкции без установок для РО. Их не устанавливают на основании приказа НКАП №133 от 14 февраля 1941 г. В июне 1940 г. на представленном в НИИ ВВС на испытания самолете МиГ-1 с крыльями металлической конструкции были установ</w:t>
      </w:r>
      <w:r w:rsidRPr="00A3026E">
        <w:rPr>
          <w:rFonts w:ascii="Times New Roman" w:hAnsi="Times New Roman"/>
          <w:color w:val="000000" w:themeColor="text1"/>
          <w:sz w:val="16"/>
          <w:szCs w:val="16"/>
        </w:rPr>
        <w:softHyphen/>
        <w:t>лены восемь РО-82. Отстрел РО-82 на земле и в воздухе показал, что их применение на данном самолете возможно. В отчете по испытаниям МиГ-1 требовалось провести специальные испытания РО-82, смонтиро</w:t>
      </w:r>
      <w:r w:rsidRPr="00A3026E">
        <w:rPr>
          <w:rFonts w:ascii="Times New Roman" w:hAnsi="Times New Roman"/>
          <w:color w:val="000000" w:themeColor="text1"/>
          <w:sz w:val="16"/>
          <w:szCs w:val="16"/>
        </w:rPr>
        <w:softHyphen/>
        <w:t>ванных на крыльях деревянной конструкции, которые предполагались на серийных самолетах (11402)</w:t>
      </w:r>
    </w:p>
    <w:p w14:paraId="521923E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98384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г. закончились войсковые испытания И-16 (тип 29), которые проходили с 26 августа и также показали плохие результаты. Наблюдались перегрев масла и вызванная им сильная тряска мотора, плохая работа карбюратора. Кроме того, была отмечена неравномерная подача бензина из подвесных баков. Несмотря на трудности, к ноябрю ВВС РККА были сданы 175 истребителей с М-63. Однако многочисленные случаи заклинивания моторов, выпущенных заводом № 19, - до 18 ноября по этой причине произошли 15 аварий, — заставили приостановить дальнейшую сдачу до изучения и устранения причин. К этому моменту были собраны 300 самолетов. В соответствии с указаниями НКАП с них пришлось снять моторы и отправить для доработки на завод-изготовитель. Всего завод № 19 успел получить обратно 384 М-63. Об этой ситуации Горьковский обком ВКП(б) даже сообщил в письме лично Сталину. [280 — ГУ ЦАНО, Ф. 2066, Оп. 6, Д. 506, Л. 5–7.] Получение же кондиционных моторов шло медленно, задерживая сдачу заводом уже собранных машин. Тем не менее к концу года титаническими усилиями конструкторов, испытателей и рабочих был полностью осуществлен переход с моторов М-25 и М-62 на более мощный М-63 с отработкой всей винтомоторной группы, правда, ценой резкого падения качества. Никогда еще истребители не выпускались такими плохими, как во второй половине 1940 г. Переход заставил в очередной раз переконструировать ряд сопряженных элементов. Пришлось изъять из производства 980 деталей и вновь освоить 1362 детали (11741).</w:t>
      </w:r>
    </w:p>
    <w:p w14:paraId="358815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0B892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года вышло постановление № 374сс КО</w:t>
      </w:r>
    </w:p>
    <w:p w14:paraId="03DF6B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пулеметно-пушечном вооружении истребительных и бомбардировочных самолетов</w:t>
      </w:r>
    </w:p>
    <w:p w14:paraId="2D1911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усиления пулеметно-пушечного вооружения истребительных и бомбардировочных самолетов ВВС КА и установления единой системы пулеметно-пушечного вооружения на истребительных и бомбардировочных самолетах, принять следующее вооружение на самолеты для 1941 года:</w:t>
      </w:r>
    </w:p>
    <w:p w14:paraId="35B209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Истребительная авиация:</w:t>
      </w:r>
    </w:p>
    <w:p w14:paraId="0A20ABE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"И-200" конструкции Микояна и Гуревича</w:t>
      </w:r>
    </w:p>
    <w:p w14:paraId="226EDE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синхронный пулемет "БС" калибра 12,7 мм с запасом патронов в 300 штук;</w:t>
      </w:r>
    </w:p>
    <w:p w14:paraId="1260BF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синхронных пулемета "ШКАС" калибра 7,62 мм с суммарным запасом патронов в 1200 штук;</w:t>
      </w:r>
    </w:p>
    <w:p w14:paraId="24AED7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2 крыльевых пулемета "ШКАС" калибра 7,62 мм с суммарным запасом патронов в 1200 штук;</w:t>
      </w:r>
    </w:p>
    <w:p w14:paraId="629AFB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"РО"-82 мм в количестве 8 орудий, установленных на 10% самолетов.</w:t>
      </w:r>
    </w:p>
    <w:p w14:paraId="6EA3677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"И-26" конструкции Яковлева</w:t>
      </w:r>
    </w:p>
    <w:p w14:paraId="0DC4D9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пушка ШВАК калибра 20 мм через редуктор вала мотора с боезапасом 160 снарядов;</w:t>
      </w:r>
    </w:p>
    <w:p w14:paraId="53D825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4 синхронных пулемета "ШКАС" калибра 7,62 мм с суммарным боезапасом в 2500 патронов.</w:t>
      </w:r>
    </w:p>
    <w:p w14:paraId="262DA12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"И-301" конструкции Горбунова и Лавочкина</w:t>
      </w:r>
    </w:p>
    <w:p w14:paraId="3F8B29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пушка ШВАК калибра 20 мм, установленная через редуктор вала мотора с боезапасом 160 снарядов;</w:t>
      </w:r>
    </w:p>
    <w:p w14:paraId="58B2F5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синхронных крупнокалиберных пулемета "БС" калибра 12,7 мм с суммарным боезапасом 440 патронов;</w:t>
      </w:r>
    </w:p>
    <w:p w14:paraId="6481DD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2 синхронных пулемета "ШКАС" калибра 7,62 мм с суммарным боезапасом в 1300 патронов.</w:t>
      </w:r>
    </w:p>
    <w:p w14:paraId="652271C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"И-21" конструкции Пашинина</w:t>
      </w:r>
    </w:p>
    <w:p w14:paraId="75735B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пушка ШВАК калибра 20 мм, установленная через редуктор вала мотора с боезапасом 160 снарядов;</w:t>
      </w:r>
    </w:p>
    <w:p w14:paraId="658340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4 синхронных пулемета "ШКАС" калибра 7,62 мм с суммарным боезапасом в 2000 патронов.</w:t>
      </w:r>
    </w:p>
    <w:p w14:paraId="775F239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"И-16", тип 29 конструкции Поликарпова</w:t>
      </w:r>
    </w:p>
    <w:p w14:paraId="17E5EB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синхронный пулемет "БС" калибра 12,7 мм с запасом патронов в 230 штук;</w:t>
      </w:r>
    </w:p>
    <w:p w14:paraId="6A7AAB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синхронных пулемета "ШКАС" калибра 7,62 мм с суммарным запасом патронов в 1000 штук;</w:t>
      </w:r>
    </w:p>
    <w:p w14:paraId="7F0E7A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"РО"-82 мм в количестве 6 орудий, установленных на 10% самолетов.</w:t>
      </w:r>
    </w:p>
    <w:p w14:paraId="69887DB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двухмоторный истребитель "И-100" конструкции Петлякова</w:t>
      </w:r>
    </w:p>
    <w:p w14:paraId="344B4D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2 пушки ШВАК калибра 20 мм, установленные в носу самолета с боезапасом в 600 снарядов;</w:t>
      </w:r>
    </w:p>
    <w:p w14:paraId="47F316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пулемета ШКАС калибра 7,62 мм , установленные в носу самолета с суммарным запасом патронов в 1850 штук;</w:t>
      </w:r>
    </w:p>
    <w:p w14:paraId="53C030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 пулемет ШКАС калибра 7,62 мм для стрельбы назад с боезапасом 750 патронов.</w:t>
      </w:r>
    </w:p>
    <w:p w14:paraId="0F15D0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Примечание: истребители И-200, И-26, И-301, И-21 и И-16 должны быть оборудованы под подвесные бензобаки. Подвесная система должна обеспечивать подвеску бомб вместо бензобаков.</w:t>
      </w:r>
    </w:p>
    <w:p w14:paraId="52E114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Бомбардировочная и штурмовая авиация.</w:t>
      </w:r>
    </w:p>
    <w:p w14:paraId="1FD133B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"ББ-1" конструкции Сухого</w:t>
      </w:r>
    </w:p>
    <w:p w14:paraId="37BA7E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2 крыльевых пулемета ШКАС калибра 7,62 мм , с боезапасом в 1500 патронов;</w:t>
      </w:r>
    </w:p>
    <w:p w14:paraId="088663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 турельный пулемет ШКАС калибра 7,62 мм, с боезапасом в 900 патронов (2 патронных ящика по 450 патронов).</w:t>
      </w:r>
    </w:p>
    <w:p w14:paraId="269A7A3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"ББ-22" конструкции Яковлева</w:t>
      </w:r>
    </w:p>
    <w:p w14:paraId="0F4FAC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пулемет ШКАС калибра 7,62 мм, установленный неподвижно в носу самолета, с боезапасом в 500 патронов;</w:t>
      </w:r>
    </w:p>
    <w:p w14:paraId="7EA25B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 турельный пулемет ШКАС калибра 7,62 мм, с боезапасом в 1000 патронов.</w:t>
      </w:r>
    </w:p>
    <w:p w14:paraId="359C0D1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"БШ-2" конструкции С.В.И.</w:t>
      </w:r>
    </w:p>
    <w:p w14:paraId="3EB021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две крыльевые пушки конструкции Таубина-Бабурина калибра 23 мм с боезапасом в 162 снаряда;</w:t>
      </w:r>
    </w:p>
    <w:p w14:paraId="061235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крыльевых пулемета ШКАС калибра 7,62 мм , с боезапасом в 1500 патронов;</w:t>
      </w:r>
    </w:p>
    <w:p w14:paraId="03975B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 турельный пулемет ШКАС калибра 7,62 мм, с боезапасом в 500 патронов.</w:t>
      </w:r>
    </w:p>
    <w:p w14:paraId="60A3E81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"СБ-РК" пикирующий, конструкции Архангельского</w:t>
      </w:r>
    </w:p>
    <w:p w14:paraId="0B0B8C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пулемет ШКАС калибра 7,62 мм, установленный подвижно в носу самолета, с боезапасом в 500 патронов;</w:t>
      </w:r>
    </w:p>
    <w:p w14:paraId="5521A0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 пулемет ШКАС калибра 7,62 мм на полудуге (типа ПБ-100) с боезапасом в 1000 патронов;</w:t>
      </w:r>
    </w:p>
    <w:p w14:paraId="062175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 пулемет ШКАС калибра 7,62 мм, установленный подвижно в люковой установке, с боезапасом в 500 патронов.</w:t>
      </w:r>
    </w:p>
    <w:p w14:paraId="4C94DC4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"ПБ-100" пикирующий, конструкции Петлякова</w:t>
      </w:r>
    </w:p>
    <w:p w14:paraId="05D448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2 пулемета ШКАС калибра 7,62 мм, установленные неподвижно в носу самолета, с боезапасом в 800 патронов;</w:t>
      </w:r>
    </w:p>
    <w:p w14:paraId="3BF2BC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 пулемет ШКАС калибра 7,62 мм на полудуге с боезапасом в 750 патронов;</w:t>
      </w:r>
    </w:p>
    <w:p w14:paraId="6A3C11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 пулемет ШКАС калибра 7,62 мм, установленный подвижно в люковой установке, с боезапасом в 750 патронов.</w:t>
      </w:r>
    </w:p>
    <w:p w14:paraId="1D7F373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"ДБ-3Ф" конструкции С.В.И.</w:t>
      </w:r>
    </w:p>
    <w:p w14:paraId="347564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пулемет ШКАС калибра 7,62 мм, установленный подвижно в носу самолета, с боезапасом в 500 патронов;</w:t>
      </w:r>
    </w:p>
    <w:p w14:paraId="168D81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 пулемет ШКАС калибра 7,62 мм на турели, с боезапасом в 1000 патронов;</w:t>
      </w:r>
    </w:p>
    <w:p w14:paraId="4DAFC4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 пулемет ШКАС калибра 7,62 мм, установленный подвижно в люковой установке, с боезапасом в 600 патронов.</w:t>
      </w:r>
    </w:p>
    <w:p w14:paraId="6B1B10D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"ДБ-240" конструкции Ермолаева</w:t>
      </w:r>
    </w:p>
    <w:p w14:paraId="086249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пулемет ШКАС калибра 7,62 мм, установленный в носу самолета, с боезапасом в 500 патронов;</w:t>
      </w:r>
    </w:p>
    <w:p w14:paraId="3DB01F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 крупнокалиберный пулемет "БТ" калибра 12,7 мм на турели, с боезапасом в 400 патронов;</w:t>
      </w:r>
    </w:p>
    <w:p w14:paraId="28BBF6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2 пулемета ШКАС калибра 7,62 мм (спарка), установленные подвижно в люке, с боезапасом в 1200 патронов.</w:t>
      </w:r>
    </w:p>
    <w:p w14:paraId="4DE9B7D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"ТБ-7" конструкции Незваль</w:t>
      </w:r>
    </w:p>
    <w:p w14:paraId="1A3ECA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2 пулемета ШКАС калибра 7,62 мм, установленные в носу самолета, с боезапасом в 1000 патронов;</w:t>
      </w:r>
    </w:p>
    <w:p w14:paraId="75DE67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 крупнокалиберный пулемет "БТ" калибра 12,7 мм, установленный в хвосте (кормовая установка), с боезапасом при оружии в 250 патронов и дополнительно в самолете 150 патронов;</w:t>
      </w:r>
    </w:p>
    <w:p w14:paraId="7045D1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2 пулемета ШКАС калибра 7,62 мм, установленные в шасси самолета (подшассийные установки) с боезапасом в 1500 патронов;</w:t>
      </w:r>
    </w:p>
    <w:p w14:paraId="418502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1 пушка ШВАК калибра 20 мм, установленная на турели, с боезапасом в 200 снарядов (7595, 205-208).</w:t>
      </w:r>
    </w:p>
    <w:p w14:paraId="26AFD28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22D63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вышло постановление КО при СНК N 344cc (281,10) "О пулеметно-пушечном вооружении истребительных и бомбардировочных самолетов" (198,38).</w:t>
      </w:r>
    </w:p>
    <w:p w14:paraId="6245B4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усиления пулеметно-пушечного вооружения истребительных и бомбардировочных самолетов ВВС КА и установления единой системы пулеметно-пушечного вооружения на истребительных и бомбардировочных самолетах, принять следующее вооружение на самолетах для 1941 года (1276):</w:t>
      </w:r>
    </w:p>
    <w:p w14:paraId="272548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Истребительная авиация</w:t>
      </w:r>
    </w:p>
    <w:p w14:paraId="5C5656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И-200 1хБС (300), 2хШКАС синхронных (1200), 2хШКАС в крыле (1200), 8хРО-82</w:t>
      </w:r>
    </w:p>
    <w:p w14:paraId="77462A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И-26 1хШВАК (160), 4хШКАС синхронных (2500).</w:t>
      </w:r>
    </w:p>
    <w:p w14:paraId="59D7F8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И-301 1хШВАК (160), 2хБС синхронных (440), 2хШКАС синхронных (1300).</w:t>
      </w:r>
    </w:p>
    <w:p w14:paraId="4D5645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И-21 1хШВАК (160), 4хШКАС (2000).</w:t>
      </w:r>
    </w:p>
    <w:p w14:paraId="01A6DF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И-16 тип 29 1хБС синхронный (230), 2хШКАС синхронных (1000), 6хРО-82</w:t>
      </w:r>
    </w:p>
    <w:p w14:paraId="79DCDD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И-100 2хШВАК в носу (600), 2хШКАС в носу (1850), 1хШКАС назад (750).</w:t>
      </w:r>
    </w:p>
    <w:p w14:paraId="2939C1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Истребители И-200, И-26, И-301, И-21 и И16 должны быть оборудованы под подвесные бензобаки. Подвесная система должна обеспечивать подвеску бомб вместо баков</w:t>
      </w:r>
    </w:p>
    <w:p w14:paraId="27B8CE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Бомбардировочная и штурмовая авиация</w:t>
      </w:r>
    </w:p>
    <w:p w14:paraId="77E1B0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ББ-1 2хШКАС (1500), 1хШКАС на турели (900).</w:t>
      </w:r>
    </w:p>
    <w:p w14:paraId="283D73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ББ-22 1хШКАС (500), 1хШКАС на турели (1000).</w:t>
      </w:r>
    </w:p>
    <w:p w14:paraId="5896DD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самолете БШ-2 конструкции Ильюшина</w:t>
      </w:r>
    </w:p>
    <w:p w14:paraId="2ECE23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2 крыльевые пушки конструкции Таубина-Бабурина калибра 23 мм с боезапасом в 162 снаряда (т.е. обоймы);</w:t>
      </w:r>
    </w:p>
    <w:p w14:paraId="353A65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крыльевых пулемета ШКАС калибра 7.62 мм с боезапасом 1500 патронов;</w:t>
      </w:r>
    </w:p>
    <w:p w14:paraId="1C5E7D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 турельный пулемет ШКАС калибра 7.62 с боезапасом 500 патронов" (1276).</w:t>
      </w:r>
    </w:p>
    <w:p w14:paraId="700BD4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СБ-РК 1хШКАС (500) в носу, 1хШКАС на полудуге (1000), 1хШКАС в люковой (500).</w:t>
      </w:r>
    </w:p>
    <w:p w14:paraId="10E5BA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ПБ-100 2хШКАС в носу (800), 1хШКАС на полудуге (750), 1хШКАС в люковой (750).</w:t>
      </w:r>
    </w:p>
    <w:p w14:paraId="5830B0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 самолете ДБ-3Ф конструкции Ильюшина</w:t>
      </w:r>
    </w:p>
    <w:p w14:paraId="5EFC26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пулемет ШКАС калибра 7.62 мм, установленный подвижно в носу самолета с боезапасом 500 патронов;</w:t>
      </w:r>
    </w:p>
    <w:p w14:paraId="0A5D0D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 пулемет ШКАС калибра 7.62 мм на турели с боезапасом в 1000 патронов;</w:t>
      </w:r>
    </w:p>
    <w:p w14:paraId="2ED734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 пулемет ШКАС калибра 7.62 мм, установленный подвижно в люковой установке с боезапасом в 600 патронов" (1276).</w:t>
      </w:r>
    </w:p>
    <w:p w14:paraId="10F7B3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ДБ-240 1хШКАС в носу (500), 1хБТ (400), 2хШКАС спарка в люке (1200).</w:t>
      </w:r>
    </w:p>
    <w:p w14:paraId="09AB23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ТБ-7 2хШКАС в носу (1000), 1хБТ в хвосте (250+150), 2хШКАС в шасси (1500), 1хШВАК на турели (200) (1276).</w:t>
      </w:r>
    </w:p>
    <w:p w14:paraId="057CF91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66C54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г. Постановлением КО при СНК СССР "О пулеметно-пушечном вооружении истребительных и бомбардировочных самолетов" предписывалось иметь на И-26 одну пушку ШВАК с боекомплектом 160 снарядов и четыре синхронных пулемета ШКАС с боекомплектом 2500 патронов. К этому времени изготовление третьего прототипа самолета, который можно было бы доработать и представить на испытания, уже шло с опозданием по срокам. Дополнительные заводские испытания на пилотаж, штопор, пикирование он должен был пройти еше 1 июля. Такие серьезные изменения в конструкцию (даже И-26-l с пяти-точечной стрелково-пушечной установкой имел в проекте меньший боекомплект) означали не только окончательный срыв сроков за счет дополнительных работ по усилению планера самолета, шасси, переделке крыла, но и значительное увеличение полетного веса. Вследствие чего можно было ожидать и ухудшения летных данных. Кроме того, уже было развернуто серийное производство варианта с трех-точечной стрелковой установкой на заводах № 292 и 301. Переделка опытного образца, а затем внедрение изменений в серию окончательно сорвали бы план 1940 г., так как нужно было бы дорабатывать готовые самолеты. Возможно, эти обстоятельства нашли отражение, как компромиссное решение, в установке четырех синхронных пулеметов ШКАС на другой машине - Як-3-2 (Як-3-2Д). (Второй прототип машины № 30 был начат проектированием 28 января 1941 г. после смены обозначений и иначе не назывался.) Тем не менее, постановление все же нанесло удар по заводам. Ссылаясь на него, военная приемка отказывалась принимать самолеты с тремя точками вооружения. Сдача этих машин заводам была разрешена лишь приказом наркома авиапромышленности от 3 марта 1941 г.</w:t>
      </w:r>
    </w:p>
    <w:p w14:paraId="24F188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Невозможность установки четырех синхронных пулеметов ШКАС на серийно выпускаемом самолете и задержка с выходом на испытания машины № 30 заставили искать и другие пути усиления вооружения Як-1. По приказу наркома авиапромышленности в самом конце 1940 г. на заводе №301 с участием КБ была рассмотрена возможность установки на самолет Як-1 мотор- пушки калибра 37 мм, что позволяла конструкция мотора М-105. Результат оказался отрицательным, поскольку для размещения мотор-пушки потребовалось бы изменение компоновки кабины и удлинение фюзеляжа самолета. </w:t>
      </w:r>
    </w:p>
    <w:p w14:paraId="610DF7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Следующее требование усилить вооружение Як-1 не заставило себя долго ждать. Приказом наркома авиапромышленности от 21 апреля 1941 г. директору завода № 292 И.С. Левину прелагалось подготовить и обеспечить с 15 июня 1941 г. выпуск истребителя опять с пятью стрелковыми точками, но уже добавив два пулемета У Б калибра 12,7 мм в крыло.</w:t>
      </w:r>
    </w:p>
    <w:p w14:paraId="6FE77B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Такое размещение оружия привело бы к большим переделкам конструкции крыла и к уменьшению объемов, занятых топливом, а, следовательно, и к уменьшению дальности и продолжительности полета. Поэтому на заводе было принято решение о замене двух синхронных пулеметов ШКАС на два синхронных пулемета УБ с </w:t>
      </w:r>
      <w:r w:rsidRPr="00A3026E">
        <w:rPr>
          <w:rFonts w:ascii="Times New Roman" w:hAnsi="Times New Roman"/>
          <w:color w:val="000000" w:themeColor="text1"/>
          <w:sz w:val="16"/>
          <w:szCs w:val="16"/>
        </w:rPr>
        <w:lastRenderedPageBreak/>
        <w:t>беокомплектом 220 патронов. Эта экспериментальная машина (стоимостью 293 тысячи рублей) была начата постройкой в мае 1941 г. Начавшаяся война не дала времени на доводку и внедрение нового варианта вооружения в серийное производство. Только в 19 февраля 1942 года Як-1 № 2038 был принят военной приемкой и с 23 февраля по 15 марта подвергся испытаниям на Научно-испытательном полигоне авиационного вооружения (НИП АВ) ВВС КА. Новая стрелковая установка полигонные испытания выдержала, однако, были отмечены серьезные дефекты, требовавшие обязательного устранения перед внедрением в серию. К маю 1942 г. была выпущена опытная серия из пяти самолетов (№№ 3752, 3852, 4252, 4352, 4452) на которых были устранены замечания, полученные на полигонных испытаниях. Четыре машины этой серии с 12 мая по 2 июня 1942 г. прошли войсковые испытания в 182 иап (командир полка Герой Советского Союза майор Нога) 105 над ПВО г.Ростова с хорошим результатом.</w:t>
      </w:r>
    </w:p>
    <w:p w14:paraId="1E7472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Распространения этот вариант Як-1 не получил. Его полетный вес возрос, а компенсировать связанное с этим ухудшение летных данных было нечем. На фронте же все шире стала применяться новая модификация Мессершмитта - Bf. 109F, которой уступал в скорости и вертикальном маневре даже Як-1 с обычным вооружением (12048).</w:t>
      </w:r>
    </w:p>
    <w:p w14:paraId="744A4F0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1C76602" w14:textId="77777777" w:rsidR="00CD3361" w:rsidRPr="00A3026E" w:rsidRDefault="00CD3361" w:rsidP="00A3026E">
      <w:pPr>
        <w:pStyle w:val="11b"/>
        <w:shd w:val="clear" w:color="auto" w:fill="auto"/>
        <w:spacing w:after="0"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7 сентября 1940 г. Пстановлением Комитета Обороны № 3744</w:t>
      </w:r>
      <w:r w:rsidRPr="00A3026E">
        <w:rPr>
          <w:rFonts w:ascii="Times New Roman" w:hAnsi="Times New Roman" w:cs="Times New Roman"/>
          <w:color w:val="000000" w:themeColor="text1"/>
          <w:sz w:val="16"/>
          <w:szCs w:val="16"/>
          <w:lang w:val="en-US"/>
        </w:rPr>
        <w:t>cc</w:t>
      </w:r>
      <w:r w:rsidRPr="00A3026E">
        <w:rPr>
          <w:rFonts w:ascii="Times New Roman" w:hAnsi="Times New Roman" w:cs="Times New Roman"/>
          <w:color w:val="000000" w:themeColor="text1"/>
          <w:sz w:val="16"/>
          <w:szCs w:val="16"/>
        </w:rPr>
        <w:t xml:space="preserve"> от «О пулеметно-пушечном вооружении истребительных и бомбардировочных самолетов» была установлена единая система стрелково-пушечного вооружения боевых самолетов ВВС КА на 1941 г.</w:t>
      </w:r>
    </w:p>
    <w:p w14:paraId="39A1553C" w14:textId="77777777" w:rsidR="00CD3361" w:rsidRPr="00A3026E" w:rsidRDefault="00CD3361" w:rsidP="00A3026E">
      <w:pPr>
        <w:pStyle w:val="aff3"/>
        <w:shd w:val="clear" w:color="auto" w:fill="auto"/>
        <w:spacing w:line="240" w:lineRule="auto"/>
        <w:rPr>
          <w:rFonts w:ascii="Times New Roman" w:hAnsi="Times New Roman" w:cs="Times New Roman"/>
          <w:i w:val="0"/>
          <w:color w:val="000000" w:themeColor="text1"/>
          <w:sz w:val="16"/>
          <w:szCs w:val="16"/>
          <w:lang w:val="ru-RU"/>
        </w:rPr>
      </w:pPr>
      <w:r w:rsidRPr="00A3026E">
        <w:rPr>
          <w:rFonts w:ascii="Times New Roman" w:hAnsi="Times New Roman" w:cs="Times New Roman"/>
          <w:i w:val="0"/>
          <w:color w:val="000000" w:themeColor="text1"/>
          <w:sz w:val="16"/>
          <w:szCs w:val="16"/>
          <w:lang w:val="ru-RU"/>
        </w:rPr>
        <w:t>Соответствующий приказ НКАП №484сс был подписан 12 сентября.</w:t>
      </w:r>
    </w:p>
    <w:p w14:paraId="7D4FB7F5" w14:textId="77777777" w:rsidR="00CD3361" w:rsidRPr="00A3026E" w:rsidRDefault="00CD3361" w:rsidP="00A3026E">
      <w:pPr>
        <w:pStyle w:val="aff3"/>
        <w:shd w:val="clear" w:color="auto" w:fill="auto"/>
        <w:spacing w:line="240" w:lineRule="auto"/>
        <w:rPr>
          <w:rFonts w:ascii="Times New Roman" w:hAnsi="Times New Roman" w:cs="Times New Roman"/>
          <w:i w:val="0"/>
          <w:color w:val="000000" w:themeColor="text1"/>
          <w:sz w:val="16"/>
          <w:szCs w:val="16"/>
          <w:lang w:val="ru-RU"/>
        </w:rPr>
      </w:pPr>
      <w:r w:rsidRPr="00A3026E">
        <w:rPr>
          <w:rFonts w:ascii="Times New Roman" w:hAnsi="Times New Roman" w:cs="Times New Roman"/>
          <w:i w:val="0"/>
          <w:color w:val="000000" w:themeColor="text1"/>
          <w:sz w:val="16"/>
          <w:szCs w:val="16"/>
          <w:lang w:val="ru-RU"/>
        </w:rPr>
        <w:t>По документам, бронированный штур</w:t>
      </w:r>
      <w:r w:rsidRPr="00A3026E">
        <w:rPr>
          <w:rFonts w:ascii="Times New Roman" w:hAnsi="Times New Roman" w:cs="Times New Roman"/>
          <w:i w:val="0"/>
          <w:color w:val="000000" w:themeColor="text1"/>
          <w:sz w:val="16"/>
          <w:szCs w:val="16"/>
          <w:lang w:val="ru-RU"/>
        </w:rPr>
        <w:softHyphen/>
        <w:t>мовик БШ-2 предполагалось вооружить пушками калибра 23 мм конструкции Таубина-Бабурина ПТБ-23 с общим боекомплектом в 162 патрона.</w:t>
      </w:r>
    </w:p>
    <w:p w14:paraId="7651380C" w14:textId="77777777" w:rsidR="00CD3361" w:rsidRPr="00A3026E" w:rsidRDefault="00CD3361" w:rsidP="00A3026E">
      <w:pPr>
        <w:pStyle w:val="aff3"/>
        <w:shd w:val="clear" w:color="auto" w:fill="auto"/>
        <w:spacing w:line="240" w:lineRule="auto"/>
        <w:rPr>
          <w:rFonts w:ascii="Times New Roman" w:hAnsi="Times New Roman" w:cs="Times New Roman"/>
          <w:i w:val="0"/>
          <w:color w:val="000000" w:themeColor="text1"/>
          <w:sz w:val="16"/>
          <w:szCs w:val="16"/>
          <w:lang w:val="ru-RU"/>
        </w:rPr>
      </w:pPr>
      <w:r w:rsidRPr="00A3026E">
        <w:rPr>
          <w:rFonts w:ascii="Times New Roman" w:hAnsi="Times New Roman" w:cs="Times New Roman"/>
          <w:i w:val="0"/>
          <w:color w:val="000000" w:themeColor="text1"/>
          <w:sz w:val="16"/>
          <w:szCs w:val="16"/>
          <w:lang w:val="ru-RU"/>
        </w:rPr>
        <w:t>С выходом постановления требование военных установить на БШ-2 крыльевые 23-мм пушки из разряда рекомендаций перешло в разряд официального Прави</w:t>
      </w:r>
      <w:r w:rsidRPr="00A3026E">
        <w:rPr>
          <w:rFonts w:ascii="Times New Roman" w:hAnsi="Times New Roman" w:cs="Times New Roman"/>
          <w:i w:val="0"/>
          <w:color w:val="000000" w:themeColor="text1"/>
          <w:sz w:val="16"/>
          <w:szCs w:val="16"/>
          <w:lang w:val="ru-RU"/>
        </w:rPr>
        <w:softHyphen/>
        <w:t>тельственного задания.</w:t>
      </w:r>
    </w:p>
    <w:p w14:paraId="24E022EA" w14:textId="77777777" w:rsidR="00CD3361" w:rsidRPr="00A3026E" w:rsidRDefault="00CD3361" w:rsidP="00A3026E">
      <w:pPr>
        <w:pStyle w:val="aff3"/>
        <w:shd w:val="clear" w:color="auto" w:fill="auto"/>
        <w:spacing w:line="240" w:lineRule="auto"/>
        <w:rPr>
          <w:rFonts w:ascii="Times New Roman" w:hAnsi="Times New Roman" w:cs="Times New Roman"/>
          <w:i w:val="0"/>
          <w:color w:val="000000" w:themeColor="text1"/>
          <w:sz w:val="16"/>
          <w:szCs w:val="16"/>
          <w:lang w:val="ru-RU"/>
        </w:rPr>
      </w:pPr>
      <w:r w:rsidRPr="00A3026E">
        <w:rPr>
          <w:rFonts w:ascii="Times New Roman" w:hAnsi="Times New Roman" w:cs="Times New Roman"/>
          <w:i w:val="0"/>
          <w:color w:val="000000" w:themeColor="text1"/>
          <w:sz w:val="16"/>
          <w:szCs w:val="16"/>
          <w:lang w:val="ru-RU"/>
        </w:rPr>
        <w:t>Между тем установка на БШ-2 пушки ПТБ-23 означало серьезную переделку крыла, поскольку пушка имела магазин на 81 патрон заметных размеров.</w:t>
      </w:r>
    </w:p>
    <w:p w14:paraId="45A83CE8" w14:textId="77777777" w:rsidR="00CD3361" w:rsidRPr="00A3026E" w:rsidRDefault="00CD3361" w:rsidP="00A3026E">
      <w:pPr>
        <w:pStyle w:val="aff3"/>
        <w:shd w:val="clear" w:color="auto" w:fill="auto"/>
        <w:spacing w:line="240" w:lineRule="auto"/>
        <w:rPr>
          <w:rFonts w:ascii="Times New Roman" w:hAnsi="Times New Roman" w:cs="Times New Roman"/>
          <w:i w:val="0"/>
          <w:color w:val="000000" w:themeColor="text1"/>
          <w:sz w:val="16"/>
          <w:szCs w:val="16"/>
          <w:lang w:val="ru-RU"/>
        </w:rPr>
      </w:pPr>
      <w:r w:rsidRPr="00A3026E">
        <w:rPr>
          <w:rFonts w:ascii="Times New Roman" w:hAnsi="Times New Roman" w:cs="Times New Roman"/>
          <w:i w:val="0"/>
          <w:color w:val="000000" w:themeColor="text1"/>
          <w:sz w:val="16"/>
          <w:szCs w:val="16"/>
          <w:lang w:val="ru-RU"/>
        </w:rPr>
        <w:t>В сложившейся обстановке этот шаг для Ильюшина был крайне неже</w:t>
      </w:r>
      <w:r w:rsidRPr="00A3026E">
        <w:rPr>
          <w:rFonts w:ascii="Times New Roman" w:hAnsi="Times New Roman" w:cs="Times New Roman"/>
          <w:i w:val="0"/>
          <w:color w:val="000000" w:themeColor="text1"/>
          <w:sz w:val="16"/>
          <w:szCs w:val="16"/>
          <w:lang w:val="ru-RU"/>
        </w:rPr>
        <w:softHyphen/>
        <w:t>лательным, так как прогнозировались очевидные трудности с размещением заказа на изготовление нового крыла и проведением его испытаний на прочность в ЦАГИ, а также с отладкой и доводкой пушечной установки под ПТБ-23. Как следствие, сильно «уходили» сроки готовности штурмовика к испытаниям.</w:t>
      </w:r>
    </w:p>
    <w:p w14:paraId="62355836" w14:textId="77777777" w:rsidR="00CD3361" w:rsidRPr="00A3026E" w:rsidRDefault="00CD3361" w:rsidP="00A3026E">
      <w:pPr>
        <w:pStyle w:val="aff3"/>
        <w:shd w:val="clear" w:color="auto" w:fill="auto"/>
        <w:spacing w:line="240" w:lineRule="auto"/>
        <w:rPr>
          <w:rFonts w:ascii="Times New Roman" w:hAnsi="Times New Roman" w:cs="Times New Roman"/>
          <w:i w:val="0"/>
          <w:color w:val="000000" w:themeColor="text1"/>
          <w:sz w:val="16"/>
          <w:szCs w:val="16"/>
          <w:lang w:val="ru-RU"/>
        </w:rPr>
      </w:pPr>
      <w:r w:rsidRPr="00A3026E">
        <w:rPr>
          <w:rFonts w:ascii="Times New Roman" w:hAnsi="Times New Roman" w:cs="Times New Roman"/>
          <w:i w:val="0"/>
          <w:color w:val="000000" w:themeColor="text1"/>
          <w:sz w:val="16"/>
          <w:szCs w:val="16"/>
          <w:lang w:val="ru-RU"/>
        </w:rPr>
        <w:t>Относительно быстро установить пушки ПТБ-23 на БШ-2 можно было, если разместить их под крылом, но габариты обтекателей пушек получались значи</w:t>
      </w:r>
      <w:r w:rsidRPr="00A3026E">
        <w:rPr>
          <w:rFonts w:ascii="Times New Roman" w:hAnsi="Times New Roman" w:cs="Times New Roman"/>
          <w:i w:val="0"/>
          <w:color w:val="000000" w:themeColor="text1"/>
          <w:sz w:val="16"/>
          <w:szCs w:val="16"/>
          <w:lang w:val="ru-RU"/>
        </w:rPr>
        <w:softHyphen/>
        <w:t>тельными. Ухудшалась аэродинамика самолета. Одновременно необходимо решить проблему сбора патронных обойм в специальный отсек.</w:t>
      </w:r>
    </w:p>
    <w:p w14:paraId="3385F7D8" w14:textId="77777777" w:rsidR="00CD3361" w:rsidRPr="00A3026E" w:rsidRDefault="00CD3361" w:rsidP="00A3026E">
      <w:pPr>
        <w:pStyle w:val="aff3"/>
        <w:shd w:val="clear" w:color="auto" w:fill="auto"/>
        <w:spacing w:line="240" w:lineRule="auto"/>
        <w:rPr>
          <w:rFonts w:ascii="Times New Roman" w:hAnsi="Times New Roman" w:cs="Times New Roman"/>
          <w:i w:val="0"/>
          <w:color w:val="000000" w:themeColor="text1"/>
          <w:sz w:val="16"/>
          <w:szCs w:val="16"/>
          <w:lang w:val="ru-RU"/>
        </w:rPr>
      </w:pPr>
      <w:r w:rsidRPr="00A3026E">
        <w:rPr>
          <w:rFonts w:ascii="Times New Roman" w:hAnsi="Times New Roman" w:cs="Times New Roman"/>
          <w:i w:val="0"/>
          <w:color w:val="000000" w:themeColor="text1"/>
          <w:sz w:val="16"/>
          <w:szCs w:val="16"/>
          <w:lang w:val="ru-RU"/>
        </w:rPr>
        <w:t>Кроме того, следовало устранить все дефекты самолета по акту госу</w:t>
      </w:r>
      <w:r w:rsidRPr="00A3026E">
        <w:rPr>
          <w:rFonts w:ascii="Times New Roman" w:hAnsi="Times New Roman" w:cs="Times New Roman"/>
          <w:i w:val="0"/>
          <w:color w:val="000000" w:themeColor="text1"/>
          <w:sz w:val="16"/>
          <w:szCs w:val="16"/>
          <w:lang w:val="ru-RU"/>
        </w:rPr>
        <w:softHyphen/>
        <w:t>дарственных испытаний и обеспечить летные данные не хуже утвержденных тактико-технических требований. Однако реализация необходимых для этого мероприятий в короткие сроки была нереальной (18087).</w:t>
      </w:r>
    </w:p>
    <w:p w14:paraId="3581E659" w14:textId="77777777" w:rsidR="00CD3361" w:rsidRPr="00A3026E" w:rsidRDefault="00CD3361" w:rsidP="00A3026E">
      <w:pPr>
        <w:pStyle w:val="aff3"/>
        <w:shd w:val="clear" w:color="auto" w:fill="auto"/>
        <w:spacing w:line="240" w:lineRule="auto"/>
        <w:rPr>
          <w:rFonts w:ascii="Times New Roman" w:hAnsi="Times New Roman" w:cs="Times New Roman"/>
          <w:color w:val="000000" w:themeColor="text1"/>
          <w:sz w:val="16"/>
          <w:szCs w:val="16"/>
          <w:lang w:val="ru-RU"/>
        </w:rPr>
      </w:pPr>
    </w:p>
    <w:p w14:paraId="536EA5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директор завода 217 Сафронов писал письмо № 590 в Главный контроль КО СССР тов. Калиновскому:</w:t>
      </w:r>
    </w:p>
    <w:p w14:paraId="56D959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smallCaps/>
          <w:color w:val="000000" w:themeColor="text1"/>
          <w:sz w:val="16"/>
          <w:szCs w:val="16"/>
        </w:rPr>
        <w:t xml:space="preserve">главный контроль </w:t>
      </w:r>
      <w:r w:rsidRPr="00A3026E">
        <w:rPr>
          <w:rFonts w:ascii="Times New Roman" w:hAnsi="Times New Roman"/>
          <w:color w:val="000000" w:themeColor="text1"/>
          <w:sz w:val="16"/>
          <w:szCs w:val="16"/>
        </w:rPr>
        <w:t xml:space="preserve">коштт </w:t>
      </w:r>
      <w:r w:rsidRPr="00A3026E">
        <w:rPr>
          <w:rFonts w:ascii="Times New Roman" w:hAnsi="Times New Roman"/>
          <w:smallCaps/>
          <w:color w:val="000000" w:themeColor="text1"/>
          <w:sz w:val="16"/>
          <w:szCs w:val="16"/>
        </w:rPr>
        <w:t xml:space="preserve">обороны </w:t>
      </w:r>
      <w:r w:rsidRPr="00A3026E">
        <w:rPr>
          <w:rFonts w:ascii="Times New Roman" w:hAnsi="Times New Roman"/>
          <w:color w:val="000000" w:themeColor="text1"/>
          <w:sz w:val="16"/>
          <w:szCs w:val="16"/>
        </w:rPr>
        <w:t>ссс</w:t>
      </w:r>
    </w:p>
    <w:p w14:paraId="6B5781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тов.КАЛИНОВСКСМУ. I-</w:t>
      </w:r>
    </w:p>
    <w:p w14:paraId="16FF30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В/просьбе сообщаю:</w:t>
      </w:r>
    </w:p>
    <w:p w14:paraId="56EF02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 приложении к приказу Наркома Вооружения от 2-го августа 1940 г. за № 226сс в развитие постановления Правительства от 26/УП.с/г. по нашему заводу значатся следующие приборы в количестве на УШ-ХП. мес.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850"/>
      </w:tblGrid>
      <w:tr w:rsidR="00983732" w:rsidRPr="00A3026E" w14:paraId="7157C67D" w14:textId="77777777" w:rsidTr="00EA0DA7">
        <w:tc>
          <w:tcPr>
            <w:tcW w:w="1526" w:type="dxa"/>
            <w:tcBorders>
              <w:top w:val="single" w:sz="12" w:space="0" w:color="auto"/>
            </w:tcBorders>
          </w:tcPr>
          <w:p w14:paraId="2A3EDF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ОПБ-1м</w:t>
            </w:r>
          </w:p>
        </w:tc>
        <w:tc>
          <w:tcPr>
            <w:tcW w:w="850" w:type="dxa"/>
            <w:tcBorders>
              <w:top w:val="single" w:sz="12" w:space="0" w:color="auto"/>
            </w:tcBorders>
          </w:tcPr>
          <w:p w14:paraId="49237B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r>
      <w:tr w:rsidR="00983732" w:rsidRPr="00A3026E" w14:paraId="1C7C1710" w14:textId="77777777" w:rsidTr="00EA0DA7">
        <w:tc>
          <w:tcPr>
            <w:tcW w:w="1526" w:type="dxa"/>
          </w:tcPr>
          <w:p w14:paraId="4F668A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НКПБ-3</w:t>
            </w:r>
          </w:p>
        </w:tc>
        <w:tc>
          <w:tcPr>
            <w:tcW w:w="850" w:type="dxa"/>
          </w:tcPr>
          <w:p w14:paraId="2BE573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255</w:t>
            </w:r>
          </w:p>
        </w:tc>
      </w:tr>
      <w:tr w:rsidR="00983732" w:rsidRPr="00A3026E" w14:paraId="6BB97144" w14:textId="77777777" w:rsidTr="00EA0DA7">
        <w:tc>
          <w:tcPr>
            <w:tcW w:w="1526" w:type="dxa"/>
          </w:tcPr>
          <w:p w14:paraId="5F8D8A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ОПБ-1ам</w:t>
            </w:r>
          </w:p>
        </w:tc>
        <w:tc>
          <w:tcPr>
            <w:tcW w:w="850" w:type="dxa"/>
          </w:tcPr>
          <w:p w14:paraId="53F4A7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1560</w:t>
            </w:r>
          </w:p>
        </w:tc>
      </w:tr>
      <w:tr w:rsidR="00983732" w:rsidRPr="00A3026E" w14:paraId="0CE08020" w14:textId="77777777" w:rsidTr="00EA0DA7">
        <w:tc>
          <w:tcPr>
            <w:tcW w:w="1526" w:type="dxa"/>
          </w:tcPr>
          <w:p w14:paraId="443B2B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ОПБ-2м</w:t>
            </w:r>
          </w:p>
        </w:tc>
        <w:tc>
          <w:tcPr>
            <w:tcW w:w="850" w:type="dxa"/>
          </w:tcPr>
          <w:p w14:paraId="2D0DFE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1310</w:t>
            </w:r>
          </w:p>
        </w:tc>
      </w:tr>
      <w:tr w:rsidR="00983732" w:rsidRPr="00A3026E" w14:paraId="6A575712" w14:textId="77777777" w:rsidTr="00EA0DA7">
        <w:tc>
          <w:tcPr>
            <w:tcW w:w="1526" w:type="dxa"/>
          </w:tcPr>
          <w:p w14:paraId="1BA004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ПТН-4-5</w:t>
            </w:r>
          </w:p>
        </w:tc>
        <w:tc>
          <w:tcPr>
            <w:tcW w:w="850" w:type="dxa"/>
          </w:tcPr>
          <w:p w14:paraId="64C811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w:t>
            </w:r>
          </w:p>
        </w:tc>
      </w:tr>
      <w:tr w:rsidR="00983732" w:rsidRPr="00A3026E" w14:paraId="17DB77E7" w14:textId="77777777" w:rsidTr="00EA0DA7">
        <w:tc>
          <w:tcPr>
            <w:tcW w:w="1526" w:type="dxa"/>
          </w:tcPr>
          <w:p w14:paraId="33B434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СПБ-21</w:t>
            </w:r>
          </w:p>
        </w:tc>
        <w:tc>
          <w:tcPr>
            <w:tcW w:w="850" w:type="dxa"/>
          </w:tcPr>
          <w:p w14:paraId="234E8F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r>
      <w:tr w:rsidR="00983732" w:rsidRPr="00A3026E" w14:paraId="6AE5626E" w14:textId="77777777" w:rsidTr="00EA0DA7">
        <w:tc>
          <w:tcPr>
            <w:tcW w:w="1526" w:type="dxa"/>
          </w:tcPr>
          <w:p w14:paraId="59939B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Летфе 7Б</w:t>
            </w:r>
          </w:p>
        </w:tc>
        <w:tc>
          <w:tcPr>
            <w:tcW w:w="850" w:type="dxa"/>
          </w:tcPr>
          <w:p w14:paraId="0ED3B5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r>
      <w:tr w:rsidR="00983732" w:rsidRPr="00A3026E" w14:paraId="0ACB7720" w14:textId="77777777" w:rsidTr="00EA0DA7">
        <w:tc>
          <w:tcPr>
            <w:tcW w:w="1526" w:type="dxa"/>
          </w:tcPr>
          <w:p w14:paraId="7CFE0B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ОПСк</w:t>
            </w:r>
          </w:p>
        </w:tc>
        <w:tc>
          <w:tcPr>
            <w:tcW w:w="850" w:type="dxa"/>
          </w:tcPr>
          <w:p w14:paraId="39158C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w:t>
            </w:r>
          </w:p>
        </w:tc>
      </w:tr>
      <w:tr w:rsidR="00983732" w:rsidRPr="00A3026E" w14:paraId="1B2F4E19" w14:textId="77777777" w:rsidTr="00EA0DA7">
        <w:tc>
          <w:tcPr>
            <w:tcW w:w="1526" w:type="dxa"/>
          </w:tcPr>
          <w:p w14:paraId="3AA5CE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ПВС-1</w:t>
            </w:r>
          </w:p>
        </w:tc>
        <w:tc>
          <w:tcPr>
            <w:tcW w:w="850" w:type="dxa"/>
          </w:tcPr>
          <w:p w14:paraId="05E0C6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w:t>
            </w:r>
          </w:p>
        </w:tc>
      </w:tr>
      <w:tr w:rsidR="00983732" w:rsidRPr="00A3026E" w14:paraId="77C81F18" w14:textId="77777777" w:rsidTr="00EA0DA7">
        <w:tc>
          <w:tcPr>
            <w:tcW w:w="1526" w:type="dxa"/>
            <w:tcBorders>
              <w:bottom w:val="single" w:sz="12" w:space="0" w:color="auto"/>
            </w:tcBorders>
          </w:tcPr>
          <w:p w14:paraId="00D3D4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ТХП</w:t>
            </w:r>
          </w:p>
        </w:tc>
        <w:tc>
          <w:tcPr>
            <w:tcW w:w="850" w:type="dxa"/>
            <w:tcBorders>
              <w:bottom w:val="single" w:sz="12" w:space="0" w:color="auto"/>
            </w:tcBorders>
          </w:tcPr>
          <w:p w14:paraId="598253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bl>
    <w:p w14:paraId="535DC9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Приборы ОПБ-2М, ОПСк и.ПВС-1 в данное приложение попали ошибочно, о чем мы сообщили 2-му Главку НКВ.</w:t>
      </w:r>
    </w:p>
    <w:p w14:paraId="50079E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своей разнарядке .от 10/8 с.г. ПТУ НКАП СССР за под</w:t>
      </w:r>
      <w:r w:rsidRPr="00A3026E">
        <w:rPr>
          <w:rFonts w:ascii="Times New Roman" w:hAnsi="Times New Roman"/>
          <w:color w:val="000000" w:themeColor="text1"/>
          <w:sz w:val="16"/>
          <w:szCs w:val="16"/>
        </w:rPr>
        <w:softHyphen/>
        <w:t>писью Зам. Нач-ка ПТУ т. Шиц, ссылаясь на это же постановле</w:t>
      </w:r>
      <w:r w:rsidRPr="00A3026E">
        <w:rPr>
          <w:rFonts w:ascii="Times New Roman" w:hAnsi="Times New Roman"/>
          <w:color w:val="000000" w:themeColor="text1"/>
          <w:sz w:val="16"/>
          <w:szCs w:val="16"/>
        </w:rPr>
        <w:softHyphen/>
        <w:t>ние Правительства, уменьшает количество поставки по приборам</w:t>
      </w:r>
    </w:p>
    <w:p w14:paraId="4F5093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ОПБ-1м</w:t>
      </w:r>
      <w:r w:rsidRPr="00A3026E">
        <w:rPr>
          <w:rFonts w:ascii="Times New Roman" w:hAnsi="Times New Roman"/>
          <w:color w:val="000000" w:themeColor="text1"/>
          <w:sz w:val="16"/>
          <w:szCs w:val="16"/>
        </w:rPr>
        <w:tab/>
        <w:t>с 520 до 264 шт.</w:t>
      </w:r>
    </w:p>
    <w:p w14:paraId="61483F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ОПБ-1ам</w:t>
      </w:r>
      <w:r w:rsidRPr="00A3026E">
        <w:rPr>
          <w:rFonts w:ascii="Times New Roman" w:hAnsi="Times New Roman"/>
          <w:color w:val="000000" w:themeColor="text1"/>
          <w:sz w:val="16"/>
          <w:szCs w:val="16"/>
        </w:rPr>
        <w:tab/>
        <w:t>с 1560 до 1095 шт.</w:t>
      </w:r>
    </w:p>
    <w:p w14:paraId="2BAE29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прибору НКПБ-3 увеличивает с 255 до 610 шт.</w:t>
      </w:r>
    </w:p>
    <w:p w14:paraId="53866A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изменения протоколом совещания при Начальнике 2-го Гл.Управлешя НКВ от 12/УШ. с/г., на котором от ПТУ НКАП присутствовал тов. ШКВАРЧЕНКО, подтверждены. Кроме того, прибор СПБ-21 заменен на прибор ОПБ-2м, поставляемый другим заводам Главка.</w:t>
      </w:r>
    </w:p>
    <w:p w14:paraId="66BEDF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сегодняшний день завод не имеет еще подписанных договоров с заводами НКАП на поставку им этой продукции на -УШ-ХП мес.. но от завода № 135 получена официальная заявка по прибору ОПБ-1м уменьшенная на 86 приборов по сравнению с разнарядкой ПТУ НКАП.</w:t>
      </w:r>
    </w:p>
    <w:p w14:paraId="4385A0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Другой завод № 22 также сообщил о хом, что прибор ОПБ-1ам он берет не 305 /по разнарядке Главка/, а тольео 630, включая сюда 93 прибора, выпущенных нами в июле месяце.</w:t>
      </w:r>
    </w:p>
    <w:p w14:paraId="78780E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по прибору ОПБ-1м и ОПБ-1ам окончательная потребность установлена ПГУ НКАП и его заводами в сравнении с Правительственным заданием следующая:</w:t>
      </w:r>
    </w:p>
    <w:tbl>
      <w:tblPr>
        <w:tblW w:w="0" w:type="auto"/>
        <w:tblInd w:w="40" w:type="dxa"/>
        <w:tblLayout w:type="fixed"/>
        <w:tblCellMar>
          <w:left w:w="40" w:type="dxa"/>
          <w:right w:w="40" w:type="dxa"/>
        </w:tblCellMar>
        <w:tblLook w:val="0000" w:firstRow="0" w:lastRow="0" w:firstColumn="0" w:lastColumn="0" w:noHBand="0" w:noVBand="0"/>
      </w:tblPr>
      <w:tblGrid>
        <w:gridCol w:w="1793"/>
        <w:gridCol w:w="1562"/>
        <w:gridCol w:w="1375"/>
        <w:gridCol w:w="1267"/>
      </w:tblGrid>
      <w:tr w:rsidR="00983732" w:rsidRPr="00A3026E" w14:paraId="4C269B80" w14:textId="77777777" w:rsidTr="00EA0DA7">
        <w:trPr>
          <w:trHeight w:val="295"/>
        </w:trPr>
        <w:tc>
          <w:tcPr>
            <w:tcW w:w="1793" w:type="dxa"/>
            <w:tcBorders>
              <w:top w:val="single" w:sz="12" w:space="0" w:color="auto"/>
              <w:left w:val="single" w:sz="12" w:space="0" w:color="auto"/>
              <w:bottom w:val="single" w:sz="6" w:space="0" w:color="auto"/>
              <w:right w:val="single" w:sz="6" w:space="0" w:color="auto"/>
            </w:tcBorders>
          </w:tcPr>
          <w:p w14:paraId="30D13FC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562" w:type="dxa"/>
            <w:tcBorders>
              <w:top w:val="single" w:sz="12" w:space="0" w:color="auto"/>
              <w:left w:val="single" w:sz="6" w:space="0" w:color="auto"/>
              <w:bottom w:val="single" w:sz="6" w:space="0" w:color="auto"/>
              <w:right w:val="single" w:sz="6" w:space="0" w:color="auto"/>
            </w:tcBorders>
          </w:tcPr>
          <w:p w14:paraId="6687C7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правительств. постановлению</w:t>
            </w:r>
          </w:p>
        </w:tc>
        <w:tc>
          <w:tcPr>
            <w:tcW w:w="1375" w:type="dxa"/>
            <w:tcBorders>
              <w:top w:val="single" w:sz="12" w:space="0" w:color="auto"/>
              <w:left w:val="single" w:sz="6" w:space="0" w:color="auto"/>
              <w:bottom w:val="single" w:sz="6" w:space="0" w:color="auto"/>
              <w:right w:val="single" w:sz="6" w:space="0" w:color="auto"/>
            </w:tcBorders>
          </w:tcPr>
          <w:p w14:paraId="0203F5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разнарядкам</w:t>
            </w:r>
          </w:p>
        </w:tc>
        <w:tc>
          <w:tcPr>
            <w:tcW w:w="1267" w:type="dxa"/>
            <w:tcBorders>
              <w:top w:val="single" w:sz="12" w:space="0" w:color="auto"/>
              <w:left w:val="single" w:sz="6" w:space="0" w:color="auto"/>
              <w:bottom w:val="single" w:sz="6" w:space="0" w:color="auto"/>
              <w:right w:val="single" w:sz="12" w:space="0" w:color="auto"/>
            </w:tcBorders>
          </w:tcPr>
          <w:p w14:paraId="6CE5EF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930F3F5" w14:textId="77777777" w:rsidTr="00EA0DA7">
        <w:trPr>
          <w:trHeight w:val="295"/>
        </w:trPr>
        <w:tc>
          <w:tcPr>
            <w:tcW w:w="1793" w:type="dxa"/>
            <w:tcBorders>
              <w:top w:val="single" w:sz="12" w:space="0" w:color="auto"/>
              <w:left w:val="single" w:sz="12" w:space="0" w:color="auto"/>
              <w:bottom w:val="single" w:sz="6" w:space="0" w:color="auto"/>
              <w:right w:val="single" w:sz="6" w:space="0" w:color="auto"/>
            </w:tcBorders>
          </w:tcPr>
          <w:p w14:paraId="00286E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ОПБ-1м</w:t>
            </w:r>
          </w:p>
        </w:tc>
        <w:tc>
          <w:tcPr>
            <w:tcW w:w="1562" w:type="dxa"/>
            <w:tcBorders>
              <w:top w:val="single" w:sz="12" w:space="0" w:color="auto"/>
              <w:left w:val="single" w:sz="6" w:space="0" w:color="auto"/>
              <w:bottom w:val="single" w:sz="6" w:space="0" w:color="auto"/>
              <w:right w:val="single" w:sz="6" w:space="0" w:color="auto"/>
            </w:tcBorders>
          </w:tcPr>
          <w:p w14:paraId="2A1B0E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c>
          <w:tcPr>
            <w:tcW w:w="1375" w:type="dxa"/>
            <w:tcBorders>
              <w:top w:val="single" w:sz="12" w:space="0" w:color="auto"/>
              <w:left w:val="single" w:sz="6" w:space="0" w:color="auto"/>
              <w:bottom w:val="single" w:sz="6" w:space="0" w:color="auto"/>
              <w:right w:val="single" w:sz="6" w:space="0" w:color="auto"/>
            </w:tcBorders>
          </w:tcPr>
          <w:p w14:paraId="6B0FED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198</w:t>
            </w:r>
          </w:p>
        </w:tc>
        <w:tc>
          <w:tcPr>
            <w:tcW w:w="1267" w:type="dxa"/>
            <w:tcBorders>
              <w:top w:val="single" w:sz="12" w:space="0" w:color="auto"/>
              <w:left w:val="single" w:sz="6" w:space="0" w:color="auto"/>
              <w:bottom w:val="single" w:sz="6" w:space="0" w:color="auto"/>
              <w:right w:val="single" w:sz="12" w:space="0" w:color="auto"/>
            </w:tcBorders>
          </w:tcPr>
          <w:p w14:paraId="5D1FD4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- 322</w:t>
            </w:r>
          </w:p>
        </w:tc>
      </w:tr>
      <w:tr w:rsidR="00983732" w:rsidRPr="00A3026E" w14:paraId="13C0AF1B" w14:textId="77777777" w:rsidTr="00EA0DA7">
        <w:trPr>
          <w:trHeight w:val="324"/>
        </w:trPr>
        <w:tc>
          <w:tcPr>
            <w:tcW w:w="1793" w:type="dxa"/>
            <w:tcBorders>
              <w:top w:val="single" w:sz="6" w:space="0" w:color="auto"/>
              <w:left w:val="single" w:sz="12" w:space="0" w:color="auto"/>
              <w:bottom w:val="single" w:sz="6" w:space="0" w:color="auto"/>
              <w:right w:val="single" w:sz="6" w:space="0" w:color="auto"/>
            </w:tcBorders>
          </w:tcPr>
          <w:p w14:paraId="560BD8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ОПБ-1ам</w:t>
            </w:r>
          </w:p>
        </w:tc>
        <w:tc>
          <w:tcPr>
            <w:tcW w:w="1562" w:type="dxa"/>
            <w:tcBorders>
              <w:top w:val="single" w:sz="6" w:space="0" w:color="auto"/>
              <w:left w:val="single" w:sz="6" w:space="0" w:color="auto"/>
              <w:bottom w:val="single" w:sz="6" w:space="0" w:color="auto"/>
              <w:right w:val="single" w:sz="6" w:space="0" w:color="auto"/>
            </w:tcBorders>
          </w:tcPr>
          <w:p w14:paraId="1F83E9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1560</w:t>
            </w:r>
          </w:p>
        </w:tc>
        <w:tc>
          <w:tcPr>
            <w:tcW w:w="1375" w:type="dxa"/>
            <w:tcBorders>
              <w:top w:val="single" w:sz="6" w:space="0" w:color="auto"/>
              <w:left w:val="single" w:sz="6" w:space="0" w:color="auto"/>
              <w:bottom w:val="single" w:sz="6" w:space="0" w:color="auto"/>
              <w:right w:val="single" w:sz="6" w:space="0" w:color="auto"/>
            </w:tcBorders>
          </w:tcPr>
          <w:p w14:paraId="22AA0A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980</w:t>
            </w:r>
          </w:p>
        </w:tc>
        <w:tc>
          <w:tcPr>
            <w:tcW w:w="1267" w:type="dxa"/>
            <w:tcBorders>
              <w:top w:val="single" w:sz="6" w:space="0" w:color="auto"/>
              <w:left w:val="single" w:sz="6" w:space="0" w:color="auto"/>
              <w:bottom w:val="single" w:sz="6" w:space="0" w:color="auto"/>
              <w:right w:val="single" w:sz="12" w:space="0" w:color="auto"/>
            </w:tcBorders>
          </w:tcPr>
          <w:p w14:paraId="7058A5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- 580</w:t>
            </w:r>
          </w:p>
        </w:tc>
      </w:tr>
      <w:tr w:rsidR="00983732" w:rsidRPr="00A3026E" w14:paraId="120A711D" w14:textId="77777777" w:rsidTr="00EA0DA7">
        <w:trPr>
          <w:trHeight w:val="281"/>
        </w:trPr>
        <w:tc>
          <w:tcPr>
            <w:tcW w:w="1793" w:type="dxa"/>
            <w:tcBorders>
              <w:top w:val="single" w:sz="6" w:space="0" w:color="auto"/>
              <w:left w:val="single" w:sz="12" w:space="0" w:color="auto"/>
              <w:bottom w:val="single" w:sz="12" w:space="0" w:color="auto"/>
              <w:right w:val="single" w:sz="6" w:space="0" w:color="auto"/>
            </w:tcBorders>
          </w:tcPr>
          <w:p w14:paraId="620A48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1562" w:type="dxa"/>
            <w:tcBorders>
              <w:top w:val="single" w:sz="6" w:space="0" w:color="auto"/>
              <w:left w:val="single" w:sz="6" w:space="0" w:color="auto"/>
              <w:bottom w:val="single" w:sz="12" w:space="0" w:color="auto"/>
              <w:right w:val="single" w:sz="6" w:space="0" w:color="auto"/>
            </w:tcBorders>
          </w:tcPr>
          <w:p w14:paraId="3F7C9D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2080</w:t>
            </w:r>
          </w:p>
        </w:tc>
        <w:tc>
          <w:tcPr>
            <w:tcW w:w="1375" w:type="dxa"/>
            <w:tcBorders>
              <w:top w:val="single" w:sz="6" w:space="0" w:color="auto"/>
              <w:left w:val="single" w:sz="6" w:space="0" w:color="auto"/>
              <w:bottom w:val="single" w:sz="12" w:space="0" w:color="auto"/>
              <w:right w:val="single" w:sz="6" w:space="0" w:color="auto"/>
            </w:tcBorders>
          </w:tcPr>
          <w:p w14:paraId="2ABDCC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1178</w:t>
            </w:r>
          </w:p>
        </w:tc>
        <w:tc>
          <w:tcPr>
            <w:tcW w:w="1267" w:type="dxa"/>
            <w:tcBorders>
              <w:top w:val="single" w:sz="6" w:space="0" w:color="auto"/>
              <w:left w:val="single" w:sz="6" w:space="0" w:color="auto"/>
              <w:bottom w:val="single" w:sz="12" w:space="0" w:color="auto"/>
              <w:right w:val="single" w:sz="12" w:space="0" w:color="auto"/>
            </w:tcBorders>
          </w:tcPr>
          <w:p w14:paraId="4E4A43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- 902</w:t>
            </w:r>
          </w:p>
        </w:tc>
      </w:tr>
    </w:tbl>
    <w:p w14:paraId="35A233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что заводы потребители отодвигают сроки поставки этих приборов на ноябрь-декабрь мес., не исключена возможность, что в. конце.года, и эти уменьшенные количества. будут еще снижены.</w:t>
      </w:r>
    </w:p>
    <w:p w14:paraId="2A974C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Такие случаи отказов, мы уже имеем. В частности:</w:t>
      </w:r>
    </w:p>
    <w:p w14:paraId="095996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завод № 135. в мае мес. получив 86 приборов ОПБ-1м отказался от дальнейшего получения 214 шт. полагающихся ему по годовому договору, что привело наш завод к затовариванию на 130%.</w:t>
      </w:r>
    </w:p>
    <w:p w14:paraId="4CFD07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 декабря 1939 г. на складе завода лежит 111 приборов ОПБ-1м, предназначенных заводу САРКОМБАЙН, который от них отказался.</w:t>
      </w:r>
    </w:p>
    <w:p w14:paraId="222239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Завод № 1 имея годовой договор по прибору ОПБ-1ам на 575 шт., получив 40 приборов таже от дальнейшего получения приборов отказался.</w:t>
      </w:r>
    </w:p>
    <w:p w14:paraId="160B0C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Такое положение с изменениями заказа по приборам ставит наш завод в очень тяжелое финансовое состояние и особенно сильно сказывается на самом производстве, ставя под угрозу невыполнения других не менее важных заказов оюоронного значения (10483,56).</w:t>
      </w:r>
    </w:p>
    <w:p w14:paraId="40FC5FC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CF23F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года был утвержден:</w:t>
      </w:r>
    </w:p>
    <w:p w14:paraId="64811A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войсковым испытаниям авиационно-химического прибора разового действия (ЗАРП-500)</w:t>
      </w:r>
    </w:p>
    <w:p w14:paraId="47DCAE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Авиационно-химический прибор разового действия ЗАРП-500) предназначен для зажигания легковоспламеняющихся объектов, расположенных на значительных площадях. Воспламенение производят горящие термитные шары, выбрасываемые из прибора. Высота вскрытия прибора над землей регулируется установкой дистанционной трубки ………………..</w:t>
      </w:r>
    </w:p>
    <w:p w14:paraId="780C6F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войсковые испытания были представлены ЗАРП-500 ТШ-100 и ЗАРП-500 ТШ-300.</w:t>
      </w:r>
    </w:p>
    <w:p w14:paraId="1013B8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5F8C469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боевой эффект при применении термитных шаров в ЗАРП-500.</w:t>
      </w:r>
    </w:p>
    <w:p w14:paraId="237C34C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Дать сравнительную оценку термитным шарам весом в 100 гр. и 300 гр., в зависимости от зажигательного эффекта.</w:t>
      </w:r>
    </w:p>
    <w:p w14:paraId="6F021CD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Определить количество давших отказ термитных шаров.</w:t>
      </w:r>
    </w:p>
    <w:p w14:paraId="3F1987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162A0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рекомендовать к вводу на вооружение ВВС ЗАРП-500, снаряженных термитным шарами весом в 100 гр. и 300 гр., как давший более 50% невоспламененных шаров (отказов) (7788).</w:t>
      </w:r>
    </w:p>
    <w:p w14:paraId="4FA9F90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6C497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Зам. Нач. И ГИ ПГУ Кофман писал письмо № 4099/224 в Главконтроль КО при СНК СССР тов. Гуречиу:</w:t>
      </w:r>
    </w:p>
    <w:p w14:paraId="7EF22E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решения Комитета Обороны за № З35сс от 26/УП-40 г. на Наркомат Химической Промышленности возло</w:t>
      </w:r>
      <w:r w:rsidRPr="00A3026E">
        <w:rPr>
          <w:rFonts w:ascii="Times New Roman" w:hAnsi="Times New Roman"/>
          <w:color w:val="000000" w:themeColor="text1"/>
          <w:sz w:val="16"/>
          <w:szCs w:val="16"/>
        </w:rPr>
        <w:softHyphen/>
        <w:t>жена выработка органического стекла для Народного Комис</w:t>
      </w:r>
      <w:r w:rsidRPr="00A3026E">
        <w:rPr>
          <w:rFonts w:ascii="Times New Roman" w:hAnsi="Times New Roman"/>
          <w:color w:val="000000" w:themeColor="text1"/>
          <w:sz w:val="16"/>
          <w:szCs w:val="16"/>
        </w:rPr>
        <w:softHyphen/>
        <w:t>сариата Авиационной промыпшенности.</w:t>
      </w:r>
    </w:p>
    <w:p w14:paraId="2BF95D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Комиссариат строительных материалов в соответствии с этим решением обязан обеспечить силикат</w:t>
      </w:r>
      <w:r w:rsidRPr="00A3026E">
        <w:rPr>
          <w:rFonts w:ascii="Times New Roman" w:hAnsi="Times New Roman"/>
          <w:color w:val="000000" w:themeColor="text1"/>
          <w:sz w:val="16"/>
          <w:szCs w:val="16"/>
        </w:rPr>
        <w:softHyphen/>
        <w:t>ным стеклом заводы Наркомхимпрома, для производства органического стекла.</w:t>
      </w:r>
    </w:p>
    <w:p w14:paraId="188A0B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июле месяце с.г. завод № 148 закончил монтаж цеха органического стекла, который был опробован и в настоящее время остановлен в результате непоставки си</w:t>
      </w:r>
      <w:r w:rsidRPr="00A3026E">
        <w:rPr>
          <w:rFonts w:ascii="Times New Roman" w:hAnsi="Times New Roman"/>
          <w:color w:val="000000" w:themeColor="text1"/>
          <w:sz w:val="16"/>
          <w:szCs w:val="16"/>
        </w:rPr>
        <w:softHyphen/>
        <w:t>ликатного стекла Наркоматом промышленности строительных материалов.</w:t>
      </w:r>
    </w:p>
    <w:p w14:paraId="02F5C201"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color w:val="000000" w:themeColor="text1"/>
          <w:sz w:val="16"/>
          <w:szCs w:val="16"/>
        </w:rPr>
        <w:t>1-е Главное Управление НКАП СССР просит дать ка</w:t>
      </w:r>
      <w:r w:rsidRPr="00A3026E">
        <w:rPr>
          <w:rFonts w:ascii="Times New Roman" w:hAnsi="Times New Roman"/>
          <w:color w:val="000000" w:themeColor="text1"/>
          <w:sz w:val="16"/>
          <w:szCs w:val="16"/>
        </w:rPr>
        <w:softHyphen/>
        <w:t>тегорическое указание Наркомату промышленности строитель</w:t>
      </w:r>
      <w:r w:rsidRPr="00A3026E">
        <w:rPr>
          <w:rFonts w:ascii="Times New Roman" w:hAnsi="Times New Roman"/>
          <w:color w:val="000000" w:themeColor="text1"/>
          <w:sz w:val="16"/>
          <w:szCs w:val="16"/>
        </w:rPr>
        <w:softHyphen/>
        <w:t>ных материалов выполнить решение Комитета обороны в части обеспечения завода № 148 силикатным стеклом необходимого качества, начиная с сентябри текущего года в количестве не менее 6000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xml:space="preserve">. в месяц </w:t>
      </w:r>
      <w:r w:rsidRPr="00A3026E">
        <w:rPr>
          <w:rFonts w:ascii="Times New Roman" w:hAnsi="Times New Roman"/>
          <w:smallCaps/>
          <w:color w:val="000000" w:themeColor="text1"/>
          <w:sz w:val="16"/>
          <w:szCs w:val="16"/>
        </w:rPr>
        <w:t>(10512,24).</w:t>
      </w:r>
    </w:p>
    <w:p w14:paraId="292053FE"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5842F0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г. было письмо Начальнику НИПАВ ГУ ВВС КА полковнику Шевченко от начальника 8 управления ГУ ВВС КА военинжснера 2 ранга Никонова. «Завод №32 изготовил ракетные орудия РУ-82 облегченной Конструкции. Означенное орудие надлежит принять и включить в план Полигонных испытаний вместе с изделием «облегченное РО» копструкции НИИ-3 НКБ. Испытания провести по программе полигона, сравнения испытания проводить вместе с двумя двуплапочными оудиями старой конструкции» (11402).</w:t>
      </w:r>
    </w:p>
    <w:p w14:paraId="1B1206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для летных огневых испытаний полным комплектом из 8 штук новых ракетных орудий оборудовали истребитель И-153 №8152. При перевоо</w:t>
      </w:r>
      <w:r w:rsidRPr="00A3026E">
        <w:rPr>
          <w:rFonts w:ascii="Times New Roman" w:hAnsi="Times New Roman"/>
          <w:color w:val="000000" w:themeColor="text1"/>
          <w:sz w:val="16"/>
          <w:szCs w:val="16"/>
        </w:rPr>
        <w:softHyphen/>
        <w:t>ружении самолета техники были приятно удивлены тем, что стандарт</w:t>
      </w:r>
      <w:r w:rsidRPr="00A3026E">
        <w:rPr>
          <w:rFonts w:ascii="Times New Roman" w:hAnsi="Times New Roman"/>
          <w:color w:val="000000" w:themeColor="text1"/>
          <w:sz w:val="16"/>
          <w:szCs w:val="16"/>
        </w:rPr>
        <w:softHyphen/>
        <w:t>ные узлы крепления от прежних РО-82 и их установочная база полно</w:t>
      </w:r>
      <w:r w:rsidRPr="00A3026E">
        <w:rPr>
          <w:rFonts w:ascii="Times New Roman" w:hAnsi="Times New Roman"/>
          <w:color w:val="000000" w:themeColor="text1"/>
          <w:sz w:val="16"/>
          <w:szCs w:val="16"/>
        </w:rPr>
        <w:softHyphen/>
        <w:t>стью полностью совпали с новым РО. Это позволяло довольно б заменять орудия. Но это не спасло прежние кронштейны, - новые выполнены из более прочной стали ЗОХГСА, и на самолет переустановили орудия полностью. В ходе испытаний выполнили 28 вылетов. За ис</w:t>
      </w:r>
      <w:r w:rsidRPr="00A3026E">
        <w:rPr>
          <w:rFonts w:ascii="Times New Roman" w:hAnsi="Times New Roman"/>
          <w:color w:val="000000" w:themeColor="text1"/>
          <w:sz w:val="16"/>
          <w:szCs w:val="16"/>
        </w:rPr>
        <w:softHyphen/>
        <w:t>ключением первых четырех полетов (на растряску) и двух посл-лни (высотных), с самолета в воздухе отстреляли 152 снаряда.</w:t>
      </w:r>
    </w:p>
    <w:p w14:paraId="1D8EEF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этот раз испытания с пристрастием пришлось выдержать не толь</w:t>
      </w:r>
      <w:r w:rsidRPr="00A3026E">
        <w:rPr>
          <w:rFonts w:ascii="Times New Roman" w:hAnsi="Times New Roman"/>
          <w:color w:val="000000" w:themeColor="text1"/>
          <w:sz w:val="16"/>
          <w:szCs w:val="16"/>
        </w:rPr>
        <w:softHyphen/>
        <w:t>ко орудиям, но и летчику вместе с самолетом. Одна только растряска представляла собой серию полетов с двойными переворотами, виража</w:t>
      </w:r>
      <w:r w:rsidRPr="00A3026E">
        <w:rPr>
          <w:rFonts w:ascii="Times New Roman" w:hAnsi="Times New Roman"/>
          <w:color w:val="000000" w:themeColor="text1"/>
          <w:sz w:val="16"/>
          <w:szCs w:val="16"/>
        </w:rPr>
        <w:softHyphen/>
        <w:t>ми, боевыми разворотами и пикированием на самолете с полным бое-I комплектом. Именно таким образом создавали боковые нагрузки на орудия, а плоскости заставляли работать на скручивание. Помимо этого, |3шлот специально выполнил несколько довольно грубых посадок с бое</w:t>
      </w:r>
      <w:r w:rsidRPr="00A3026E">
        <w:rPr>
          <w:rFonts w:ascii="Times New Roman" w:hAnsi="Times New Roman"/>
          <w:color w:val="000000" w:themeColor="text1"/>
          <w:sz w:val="16"/>
          <w:szCs w:val="16"/>
        </w:rPr>
        <w:softHyphen/>
        <w:t>комплектом.</w:t>
      </w:r>
    </w:p>
    <w:p w14:paraId="0F86ED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за время испытаний с новых орудий отстреляли 395 боевых нарядов. Из них 212 были окончательно снаряжены взрывателями АМ-&gt;, остальные — дистанционными трубками АГДТ-А. На каждое орудие югда не требовалось вести паспорта, учитывая число выстрелов. В среднем, из каждого отстреляли по 37 боеприпасов. И лишь из орудия №1, анее смонтированного на наземном стенде, в общей сложности выполли 195 выстрелов (11402).</w:t>
      </w:r>
    </w:p>
    <w:p w14:paraId="464E2B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B8EF990" w14:textId="77777777" w:rsidR="004905AC" w:rsidRPr="00A3026E" w:rsidRDefault="004905AC"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708E925" w14:textId="77777777" w:rsidR="004905AC" w:rsidRPr="00A3026E" w:rsidRDefault="004905AC" w:rsidP="00A3026E">
      <w:pPr>
        <w:spacing w:after="0" w:line="240" w:lineRule="auto"/>
        <w:jc w:val="both"/>
        <w:rPr>
          <w:rFonts w:ascii="Times New Roman" w:hAnsi="Times New Roman"/>
          <w:iCs/>
          <w:color w:val="000000" w:themeColor="text1"/>
          <w:sz w:val="16"/>
          <w:szCs w:val="16"/>
        </w:rPr>
      </w:pPr>
    </w:p>
    <w:p w14:paraId="1CAA56CA" w14:textId="77777777" w:rsidR="007A0319" w:rsidRPr="00A3026E" w:rsidRDefault="007A031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сентября 1940 года. На СТЗ была введена первая в мире автоматическая линия.</w:t>
      </w:r>
    </w:p>
    <w:p w14:paraId="4DD05176" w14:textId="77777777" w:rsidR="007A0319" w:rsidRPr="00A3026E" w:rsidRDefault="007A031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1 февраля 1942 года план по выпуску танков на СТЗ был удвоен. 23 августа 1942 года немецкие танки и мотопехота были в полутора километрах от завода. На заводской площадке танкисты-ополченцы формировали танковые экипажи. До 13 сентября, под непрерывным обстрелом рабочие продолжали выпускать танки и арттягачи. После этой даты из собранных по цехам деталей выпустили 40 танков. В период с 29 сентября по 4 октября 1942 года в результате обстрелов и бомбежек завод был полностью разрушен.</w:t>
      </w:r>
    </w:p>
    <w:p w14:paraId="4BD1F0B0" w14:textId="77777777" w:rsidR="007A0319" w:rsidRPr="00A3026E" w:rsidRDefault="007A031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18 февраля 1944 года ГКО принял решение о восстановлении тракторного завода на полную мощность. В мае 1944 года пущен конвейер по сборке тракторов.</w:t>
      </w:r>
    </w:p>
    <w:p w14:paraId="500B5B17" w14:textId="77777777" w:rsidR="007A0319" w:rsidRPr="00A3026E" w:rsidRDefault="007A031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февраля 1945 года. Президиум Верховного Совета СССР наградил СТЗ орденом Великой Отечественной войны 1-й степени.</w:t>
      </w:r>
    </w:p>
    <w:p w14:paraId="5EB26250" w14:textId="77777777" w:rsidR="007A0319" w:rsidRPr="00A3026E" w:rsidRDefault="007A031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апреля 1945 года. С конвейера сошел трактор № 1000.</w:t>
      </w:r>
    </w:p>
    <w:p w14:paraId="7C72728C" w14:textId="77777777" w:rsidR="007A0319" w:rsidRPr="00A3026E" w:rsidRDefault="007A0319" w:rsidP="00A3026E">
      <w:pPr>
        <w:spacing w:after="0" w:line="240" w:lineRule="auto"/>
        <w:jc w:val="both"/>
        <w:rPr>
          <w:rFonts w:ascii="Times New Roman" w:hAnsi="Times New Roman"/>
          <w:color w:val="0070C0"/>
          <w:sz w:val="16"/>
          <w:szCs w:val="16"/>
        </w:rPr>
      </w:pPr>
    </w:p>
    <w:p w14:paraId="7C57ED42"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г. вышло Постановление экономического совета при Совете народных комиссаров СССР о разукрупнении Березниковского химического комбината с созданием двух самостоятельных предприятий - Березниковского содового завода (завода № 761) по производству химического оружия (нынешнее ПО "Сода", г. Березники, Пермская область) и Березниковского азотно-тукового завода. В цехе № 10 завода № 761 производился иприт. Очистные сооружения отсутствовали и все стоки поступали непосредственно в Каму (9067).</w:t>
      </w:r>
    </w:p>
    <w:p w14:paraId="5435F16A" w14:textId="77777777" w:rsidR="004905AC" w:rsidRPr="00A3026E" w:rsidRDefault="004905AC" w:rsidP="00A3026E">
      <w:pPr>
        <w:spacing w:after="0" w:line="240" w:lineRule="auto"/>
        <w:jc w:val="both"/>
        <w:rPr>
          <w:rFonts w:ascii="Times New Roman" w:hAnsi="Times New Roman"/>
          <w:color w:val="000000" w:themeColor="text1"/>
          <w:sz w:val="16"/>
          <w:szCs w:val="16"/>
        </w:rPr>
      </w:pPr>
    </w:p>
    <w:p w14:paraId="347B53D6"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г. по пр. НКОМ был создан НИИП (НИИ-5 НКМВ, НИИ приборостроения (НИИП) НКОМ, НКМВ, НИИ часовой промышленности (НИИчаспром) ММиП, ММ, МПиСА, МосгорСНХ, МПСАиСУ, ОАО «НИИ часовой промышленности («Часпром»)» /г. Москва ул. Часовая, 24/1 тел. 151-15-01/). В 1941 г. передан в ведение НКМВ. По пр. НКМВ от 16.07.1942 г. переименован в НИИ-5 5ГУ.</w:t>
      </w:r>
    </w:p>
    <w:p w14:paraId="7A4C1AE5"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НИИП эвакуирован в Томск. В 12.1941 г. при образовании НКМВ планировалось на базе НИИП в Томске создать НИИ-7 НКМВ.</w:t>
      </w:r>
    </w:p>
    <w:p w14:paraId="54B0C172"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1946г. институт передан из НКМВ в ведение ММиП. По пр. ММиП от 17.05.1946г. НИИ-5 переименован в НИИчаспром. В 1947г. институт - в ведении Главчаспрома ММиП. Далее действовал в ведении: ММиП (1946-53; 1954-56г.), ММ (1953-54г.), МПиСА (1956-57г.), МосгорСНХ (1957-59г.), ГК по автоматизации и машиностроению (1959-63г.), ГК по приборостроению, средствам автоматизации и систем управления Госплана (1963-65г.), МПСАиСУ (с 1965г.).</w:t>
      </w:r>
    </w:p>
    <w:p w14:paraId="1BFA0ECE"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01.1945г. при институте организован опытный инструментальный завод, в 05.1945г. он выделен в самостоятельное предприятие.</w:t>
      </w:r>
    </w:p>
    <w:p w14:paraId="6316A6E3"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Институт имел Угличский филиал.</w:t>
      </w:r>
    </w:p>
    <w:p w14:paraId="770D3930"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разработка: теоретических основ хронометрии; инженерных методов расчета часов и часовых механизмов; новых конструкций бытовых и технических часов; создание: технических приборов времени для промышленности, сельского хозяйства, транспорта и связи, специализированных выявителей текущего времени, измерителей интервалов времени; специальных масел и смазок, технологии смазки; новых спецматериалов и конструкций инструментов для часовой промышленности; повышение надежности приборов времени.</w:t>
      </w:r>
    </w:p>
    <w:p w14:paraId="5157E7C3"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ОАО было в 2004г.</w:t>
      </w:r>
    </w:p>
    <w:p w14:paraId="34631176"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Создано: система единого врмени массового применения «СЕВЭНА»; конструкции часов: балансовых стенных, карманных, карманных прецизионных, морских, наручных электрических, будильника с недельным заводом, хронометров контактных морских (11982).</w:t>
      </w:r>
    </w:p>
    <w:p w14:paraId="57A1ABBD" w14:textId="77777777" w:rsidR="004905AC" w:rsidRPr="00A3026E" w:rsidRDefault="004905AC" w:rsidP="00A3026E">
      <w:pPr>
        <w:spacing w:after="0" w:line="240" w:lineRule="auto"/>
        <w:jc w:val="both"/>
        <w:rPr>
          <w:rFonts w:ascii="Times New Roman" w:hAnsi="Times New Roman"/>
          <w:color w:val="000000" w:themeColor="text1"/>
          <w:sz w:val="16"/>
          <w:szCs w:val="16"/>
        </w:rPr>
      </w:pPr>
    </w:p>
    <w:p w14:paraId="704663A0" w14:textId="77777777" w:rsidR="004905AC" w:rsidRPr="00A3026E" w:rsidRDefault="004905AC"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bCs/>
          <w:iCs/>
          <w:color w:val="000000" w:themeColor="text1"/>
          <w:sz w:val="16"/>
          <w:szCs w:val="16"/>
        </w:rPr>
        <w:t>7 сентября 1940 г.</w:t>
      </w:r>
      <w:r w:rsidRPr="00A3026E">
        <w:rPr>
          <w:rFonts w:ascii="Times New Roman" w:hAnsi="Times New Roman"/>
          <w:color w:val="000000" w:themeColor="text1"/>
          <w:sz w:val="16"/>
          <w:szCs w:val="16"/>
        </w:rPr>
        <w:t xml:space="preserve"> Постановление экономического совета при СНК СССР о разукрупнении Березниковского химического комбината с созданием двух самостоятельных предприятий — Березниковского содового завода (завода № 761) по производству химического оружия (нынешнее ПО «Сода», г.Березники, Пермская область) и Березниковского азотно-тукового завода. В цехе № 10 завода № 761 производился иприт. Очистные сооружения в цехе отсутствовали и все стоки поступали непосредственно в Каму (еще в первую пятилетку было решено очистные сооружения не строить). В годы войны концентрация иприта в стоках составляла в среднем 156 мг/л, а довольно часто доходила до 320 мг/л, приближаясь к растворимости иприта в воде (480 мг/л). После войны вопрос о строительстве сооружений для очистки абгазов и станции очистки сточных вод от иприта вставал неоднократно, поскольку с 1945 года цех № 10 находился и на консервации, и в мобилизационной готовности (17133).</w:t>
      </w:r>
    </w:p>
    <w:p w14:paraId="5768D587" w14:textId="77777777" w:rsidR="004905AC" w:rsidRPr="00A3026E" w:rsidRDefault="004905AC" w:rsidP="00A3026E">
      <w:pPr>
        <w:shd w:val="clear" w:color="auto" w:fill="FFFFFF"/>
        <w:spacing w:after="0" w:line="240" w:lineRule="auto"/>
        <w:jc w:val="both"/>
        <w:rPr>
          <w:rFonts w:ascii="Times New Roman" w:hAnsi="Times New Roman"/>
          <w:color w:val="000000" w:themeColor="text1"/>
          <w:sz w:val="16"/>
          <w:szCs w:val="16"/>
        </w:rPr>
      </w:pPr>
    </w:p>
    <w:p w14:paraId="6BD4852A"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сентября 1940 г. приказом Наркомата общего машиностроения СССР был создан Научно-исследовательский институт приборостроения "НИИП". Приказом Наркомата минометного вооружения СССР от 16 июля 1942 г. переименован в Научно-исследовательский институт N 5 (НИИ-5). Приказом Министерства машиностроения и приборостроения СССР от 17 мая 1946 г. переименован в Научно-исследовательский институт часовой промышленности "НИИчаспром" (12102). </w:t>
      </w:r>
    </w:p>
    <w:p w14:paraId="53059664" w14:textId="77777777" w:rsidR="004905AC" w:rsidRPr="00A3026E" w:rsidRDefault="004905AC" w:rsidP="00A3026E">
      <w:pPr>
        <w:spacing w:after="0" w:line="240" w:lineRule="auto"/>
        <w:jc w:val="both"/>
        <w:rPr>
          <w:rFonts w:ascii="Times New Roman" w:hAnsi="Times New Roman"/>
          <w:iCs/>
          <w:color w:val="000000" w:themeColor="text1"/>
          <w:sz w:val="16"/>
          <w:szCs w:val="16"/>
        </w:rPr>
      </w:pPr>
    </w:p>
    <w:p w14:paraId="195010E4" w14:textId="77777777" w:rsidR="004905AC" w:rsidRPr="00A3026E" w:rsidRDefault="004905AC"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2FA4B580" w14:textId="77777777" w:rsidR="004905AC" w:rsidRPr="00A3026E" w:rsidRDefault="004905AC" w:rsidP="00A3026E">
      <w:pPr>
        <w:spacing w:after="0" w:line="240" w:lineRule="auto"/>
        <w:jc w:val="both"/>
        <w:rPr>
          <w:rFonts w:ascii="Times New Roman" w:hAnsi="Times New Roman"/>
          <w:iCs/>
          <w:color w:val="000000" w:themeColor="text1"/>
          <w:sz w:val="16"/>
          <w:szCs w:val="16"/>
        </w:rPr>
      </w:pPr>
    </w:p>
    <w:p w14:paraId="5CD3AB97"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в 1940 году советско-шведское торговое соглашение (14762).</w:t>
      </w:r>
    </w:p>
    <w:p w14:paraId="3F6AB39F" w14:textId="77777777" w:rsidR="004905AC" w:rsidRPr="00A3026E" w:rsidRDefault="004905AC" w:rsidP="00A3026E">
      <w:pPr>
        <w:spacing w:after="0" w:line="240" w:lineRule="auto"/>
        <w:jc w:val="both"/>
        <w:rPr>
          <w:rFonts w:ascii="Times New Roman" w:hAnsi="Times New Roman"/>
          <w:color w:val="000000" w:themeColor="text1"/>
          <w:sz w:val="16"/>
          <w:szCs w:val="16"/>
        </w:rPr>
      </w:pPr>
    </w:p>
    <w:p w14:paraId="7D0E7C50" w14:textId="5941226D" w:rsidR="007A0319" w:rsidRPr="00A3026E" w:rsidRDefault="007A0319"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За рубежом:</w:t>
      </w:r>
    </w:p>
    <w:p w14:paraId="0F9B7C55" w14:textId="77777777" w:rsidR="007A0319" w:rsidRPr="00A3026E" w:rsidRDefault="007A0319" w:rsidP="00A3026E">
      <w:pPr>
        <w:spacing w:after="0" w:line="240" w:lineRule="auto"/>
        <w:jc w:val="both"/>
        <w:rPr>
          <w:rFonts w:ascii="Times New Roman" w:hAnsi="Times New Roman"/>
          <w:i/>
          <w:iCs/>
          <w:color w:val="000000" w:themeColor="text1"/>
          <w:sz w:val="16"/>
          <w:szCs w:val="16"/>
        </w:rPr>
      </w:pPr>
    </w:p>
    <w:p w14:paraId="32D28E15" w14:textId="77777777" w:rsidR="007A0319" w:rsidRPr="00A3026E" w:rsidRDefault="007A031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 xml:space="preserve">7 сентября 1940 Герман Геринг приказывает немецким военно-воздушным силам (Люфтваффе ) прекратить нацеливаться на британские аэродромы и вместо этого атаковать город Лондон. Люфтваффе атакуют Лондон в этот первый вечер из 57 ночей подряд немецких воздушных налетов на Лондон (20795). </w:t>
      </w:r>
    </w:p>
    <w:p w14:paraId="52A19757" w14:textId="77777777" w:rsidR="007A0319" w:rsidRPr="00A3026E" w:rsidRDefault="007A0319" w:rsidP="00A3026E">
      <w:pPr>
        <w:spacing w:after="0" w:line="240" w:lineRule="auto"/>
        <w:jc w:val="both"/>
        <w:rPr>
          <w:rFonts w:ascii="Times New Roman" w:hAnsi="Times New Roman"/>
          <w:color w:val="0070C0"/>
          <w:sz w:val="16"/>
          <w:szCs w:val="16"/>
        </w:rPr>
      </w:pPr>
    </w:p>
    <w:p w14:paraId="1C37CB09" w14:textId="77777777" w:rsidR="007A0319" w:rsidRPr="00A3026E" w:rsidRDefault="007A031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7–8 сентября 1940 состоялся крупнейший массовый воздушный бой в истории над Великобританией, когда 1200 британских и немецких самолетов действуют на площади всего 24 x 48 км (15 x 30 миль) (20795).</w:t>
      </w:r>
    </w:p>
    <w:p w14:paraId="2374D75C" w14:textId="77777777" w:rsidR="007A0319" w:rsidRPr="00A3026E" w:rsidRDefault="007A0319" w:rsidP="00A3026E">
      <w:pPr>
        <w:spacing w:after="0" w:line="240" w:lineRule="auto"/>
        <w:jc w:val="both"/>
        <w:rPr>
          <w:rFonts w:ascii="Times New Roman" w:hAnsi="Times New Roman"/>
          <w:color w:val="0070C0"/>
          <w:sz w:val="16"/>
          <w:szCs w:val="16"/>
        </w:rPr>
      </w:pPr>
    </w:p>
    <w:p w14:paraId="5476BC03" w14:textId="77777777" w:rsidR="007A0319" w:rsidRPr="00A3026E" w:rsidRDefault="007A031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7 сентября 1940 выполнил первый полет Blohm &amp; Voss BV 222 (20795). </w:t>
      </w:r>
    </w:p>
    <w:p w14:paraId="6A17A5E4" w14:textId="77777777" w:rsidR="007A0319" w:rsidRPr="00A3026E" w:rsidRDefault="007A0319" w:rsidP="00A3026E">
      <w:pPr>
        <w:spacing w:after="0" w:line="240" w:lineRule="auto"/>
        <w:jc w:val="both"/>
        <w:rPr>
          <w:rFonts w:ascii="Times New Roman" w:hAnsi="Times New Roman"/>
          <w:color w:val="0070C0"/>
          <w:sz w:val="16"/>
          <w:szCs w:val="16"/>
        </w:rPr>
      </w:pPr>
    </w:p>
    <w:p w14:paraId="2843FDC3" w14:textId="77777777" w:rsidR="007A0319" w:rsidRPr="00A3026E" w:rsidRDefault="007A031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сентября 1940 - Под управлением флиг-капитана Гельмута Ваза Родига совершила свой первый полёт первая шестимоторная летающая лодка Blohm und Voss ВV.222-V1 Wiking (D-АNТЕ). Полёт продолжался 20 минут и в целом был удовлетворителен. Лодка хорошо управлялась по всем осям, но пилот отметил некоторую нестабильность на курсе (22372). </w:t>
      </w:r>
    </w:p>
    <w:p w14:paraId="536AE4D3" w14:textId="77777777" w:rsidR="007A0319" w:rsidRPr="00A3026E" w:rsidRDefault="007A0319" w:rsidP="00A3026E">
      <w:pPr>
        <w:spacing w:after="0" w:line="240" w:lineRule="auto"/>
        <w:jc w:val="both"/>
        <w:rPr>
          <w:rFonts w:ascii="Times New Roman" w:hAnsi="Times New Roman"/>
          <w:color w:val="0070C0"/>
          <w:sz w:val="16"/>
          <w:szCs w:val="16"/>
        </w:rPr>
      </w:pPr>
    </w:p>
    <w:p w14:paraId="4F2E73A8" w14:textId="77777777" w:rsidR="004905AC" w:rsidRPr="00A3026E" w:rsidRDefault="004905AC"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September 7, 1940: The Luftwaffe begins the Blitz by launching a series of heavy night raids against the London docks, causing widespread fires and destruction (3819).</w:t>
      </w:r>
    </w:p>
    <w:p w14:paraId="4417E65F" w14:textId="77777777" w:rsidR="004905AC" w:rsidRPr="00A3026E" w:rsidRDefault="004905AC" w:rsidP="00A3026E">
      <w:pPr>
        <w:spacing w:after="0" w:line="240" w:lineRule="auto"/>
        <w:jc w:val="both"/>
        <w:rPr>
          <w:rFonts w:ascii="Times New Roman" w:hAnsi="Times New Roman"/>
          <w:color w:val="000000" w:themeColor="text1"/>
          <w:sz w:val="16"/>
          <w:szCs w:val="16"/>
          <w:lang w:val="en-US"/>
        </w:rPr>
      </w:pPr>
    </w:p>
    <w:p w14:paraId="63EDAB64" w14:textId="77777777" w:rsidR="004905AC" w:rsidRPr="00A3026E" w:rsidRDefault="004905AC"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7 September 1940 Blitz on London begins (270).</w:t>
      </w:r>
    </w:p>
    <w:p w14:paraId="2FD51636" w14:textId="77777777" w:rsidR="004905AC" w:rsidRPr="00A3026E" w:rsidRDefault="004905AC" w:rsidP="00A3026E">
      <w:pPr>
        <w:spacing w:after="0" w:line="240" w:lineRule="auto"/>
        <w:jc w:val="both"/>
        <w:rPr>
          <w:rFonts w:ascii="Times New Roman" w:hAnsi="Times New Roman"/>
          <w:color w:val="000000" w:themeColor="text1"/>
          <w:sz w:val="16"/>
          <w:szCs w:val="16"/>
          <w:lang w:val="en-US"/>
        </w:rPr>
      </w:pPr>
    </w:p>
    <w:p w14:paraId="1CC1EB43"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начались воздушные атаки на Лондон (270). 348 бомбардировщиков в сопровождении 617 истребителей. Потери 138 и 214 (2240).</w:t>
      </w:r>
    </w:p>
    <w:p w14:paraId="566B346B" w14:textId="77777777" w:rsidR="004905AC" w:rsidRPr="00A3026E" w:rsidRDefault="004905AC" w:rsidP="00A3026E">
      <w:pPr>
        <w:spacing w:after="0" w:line="240" w:lineRule="auto"/>
        <w:jc w:val="both"/>
        <w:rPr>
          <w:rFonts w:ascii="Times New Roman" w:hAnsi="Times New Roman"/>
          <w:color w:val="000000" w:themeColor="text1"/>
          <w:sz w:val="16"/>
          <w:szCs w:val="16"/>
        </w:rPr>
      </w:pPr>
    </w:p>
    <w:p w14:paraId="69C6C6DC"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в 1940 году Люфтваффе начинает регулярные бомбёжки Лондона и других городов Британии, получившие наименование "Блитц" у британцев. В пять вечера, время традиционного чая, к Лондону приблизилась армада фашистских бомбардировщиков, насчитывавшая 300 самолетов, а вдвое большее число истребителей прикрывало их налет. Бомбы обрушились на арсенал, электростанцию, газохранилища, доки и деловой центр Сити. Двумя часами позже столицу Великобритании атаковали следующие 250 бомбардировщиков, ночью последовали новые налеты, последний из которых закончился уже в пятом часу утра. Возвратившиеся на свои аэродромы пилоты докладывали, что Лондон представляет собой океан огня. 57 дней и ночей Лондон бомбили непрерывно, регулярные массовые налеты на английские города были прекращены только в мае следующего года, когда, с одной стороны, Гитлеру не удалось сломить мужественное сопротивление англичан, с другой, все силы Германии, включая и воздушные, были направлены на Восток (14762).</w:t>
      </w:r>
    </w:p>
    <w:p w14:paraId="09C7C589" w14:textId="77777777" w:rsidR="004905AC" w:rsidRPr="00A3026E" w:rsidRDefault="004905AC" w:rsidP="00A3026E">
      <w:pPr>
        <w:spacing w:after="0" w:line="240" w:lineRule="auto"/>
        <w:jc w:val="both"/>
        <w:rPr>
          <w:rFonts w:ascii="Times New Roman" w:hAnsi="Times New Roman"/>
          <w:color w:val="000000" w:themeColor="text1"/>
          <w:sz w:val="16"/>
          <w:szCs w:val="16"/>
        </w:rPr>
      </w:pPr>
    </w:p>
    <w:p w14:paraId="4FF1C38E" w14:textId="77777777" w:rsidR="004905AC" w:rsidRPr="00A3026E" w:rsidRDefault="004905AC" w:rsidP="00A3026E">
      <w:pPr>
        <w:spacing w:after="0" w:line="240" w:lineRule="auto"/>
        <w:jc w:val="both"/>
        <w:rPr>
          <w:rStyle w:val="ucoz-forum-post"/>
          <w:rFonts w:ascii="Times New Roman" w:eastAsia="Times New Roman" w:hAnsi="Times New Roman"/>
          <w:color w:val="000000" w:themeColor="text1"/>
          <w:sz w:val="16"/>
          <w:szCs w:val="16"/>
        </w:rPr>
      </w:pPr>
      <w:r w:rsidRPr="00A3026E">
        <w:rPr>
          <w:rFonts w:ascii="Times New Roman" w:hAnsi="Times New Roman"/>
          <w:color w:val="000000" w:themeColor="text1"/>
          <w:sz w:val="16"/>
          <w:szCs w:val="16"/>
        </w:rPr>
        <w:t>7 сентября</w:t>
      </w:r>
      <w:r w:rsidRPr="00A3026E">
        <w:rPr>
          <w:rStyle w:val="ucoz-forum-post"/>
          <w:rFonts w:ascii="Times New Roman" w:eastAsia="Times New Roman" w:hAnsi="Times New Roman"/>
          <w:bCs/>
          <w:color w:val="000000" w:themeColor="text1"/>
          <w:sz w:val="16"/>
          <w:szCs w:val="16"/>
        </w:rPr>
        <w:t xml:space="preserve"> 1940 г.</w:t>
      </w:r>
      <w:r w:rsidRPr="00A3026E">
        <w:rPr>
          <w:rStyle w:val="ucoz-forum-post"/>
          <w:rFonts w:ascii="Times New Roman" w:eastAsia="Times New Roman" w:hAnsi="Times New Roman"/>
          <w:color w:val="000000" w:themeColor="text1"/>
          <w:sz w:val="16"/>
          <w:szCs w:val="16"/>
        </w:rPr>
        <w:t xml:space="preserve"> – командир эскадрильи «Рихтгоффен» из JG 2 немецкий ас Гельмут Вик в воздушном бою сбил английский истребитель Спитфайр, одержав свою 25ю победу (14762).</w:t>
      </w:r>
    </w:p>
    <w:p w14:paraId="08E7ED90" w14:textId="77777777" w:rsidR="004905AC" w:rsidRPr="00A3026E" w:rsidRDefault="004905AC" w:rsidP="00A3026E">
      <w:pPr>
        <w:spacing w:after="0" w:line="240" w:lineRule="auto"/>
        <w:jc w:val="both"/>
        <w:rPr>
          <w:rStyle w:val="ucoz-forum-post"/>
          <w:rFonts w:ascii="Times New Roman" w:eastAsia="Times New Roman" w:hAnsi="Times New Roman"/>
          <w:color w:val="000000" w:themeColor="text1"/>
          <w:sz w:val="16"/>
          <w:szCs w:val="16"/>
        </w:rPr>
      </w:pPr>
    </w:p>
    <w:p w14:paraId="44917206"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в Англии вышло предостережение о возможном вторжении немцев (2240).</w:t>
      </w:r>
    </w:p>
    <w:p w14:paraId="1AD01950" w14:textId="77777777" w:rsidR="004905AC" w:rsidRPr="00A3026E" w:rsidRDefault="004905AC" w:rsidP="00A3026E">
      <w:pPr>
        <w:spacing w:after="0" w:line="240" w:lineRule="auto"/>
        <w:jc w:val="both"/>
        <w:rPr>
          <w:rFonts w:ascii="Times New Roman" w:hAnsi="Times New Roman"/>
          <w:color w:val="000000" w:themeColor="text1"/>
          <w:sz w:val="16"/>
          <w:szCs w:val="16"/>
        </w:rPr>
      </w:pPr>
    </w:p>
    <w:p w14:paraId="3C67D054" w14:textId="77777777" w:rsidR="004905AC" w:rsidRPr="00A3026E" w:rsidRDefault="004905AC"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September 7 1940 Bulgarian-Rumanian agreement ceding the Dobrudja to Bulgaria signed at Craiova, Bulgaria (1223).</w:t>
      </w:r>
    </w:p>
    <w:p w14:paraId="75AFFE2E" w14:textId="77777777" w:rsidR="004905AC" w:rsidRPr="00A3026E" w:rsidRDefault="004905AC" w:rsidP="00A3026E">
      <w:pPr>
        <w:spacing w:after="0" w:line="240" w:lineRule="auto"/>
        <w:jc w:val="both"/>
        <w:rPr>
          <w:rFonts w:ascii="Times New Roman" w:hAnsi="Times New Roman"/>
          <w:color w:val="000000" w:themeColor="text1"/>
          <w:sz w:val="16"/>
          <w:szCs w:val="16"/>
          <w:lang w:val="en-US"/>
        </w:rPr>
      </w:pPr>
    </w:p>
    <w:p w14:paraId="7BB7187A"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было подписано Болгарско-Румынское соглашение о передаче Болгарии Южной Добруджи (1223).</w:t>
      </w:r>
    </w:p>
    <w:p w14:paraId="3A330492" w14:textId="77777777" w:rsidR="004905AC" w:rsidRPr="00A3026E" w:rsidRDefault="004905AC" w:rsidP="00A3026E">
      <w:pPr>
        <w:spacing w:after="0" w:line="240" w:lineRule="auto"/>
        <w:jc w:val="both"/>
        <w:rPr>
          <w:rFonts w:ascii="Times New Roman" w:hAnsi="Times New Roman"/>
          <w:color w:val="000000" w:themeColor="text1"/>
          <w:sz w:val="16"/>
          <w:szCs w:val="16"/>
        </w:rPr>
      </w:pPr>
    </w:p>
    <w:p w14:paraId="52431F71"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в 1940 году итальянцы закончили сосредоточение в Восточной Ливии 9 дивизий (14762).</w:t>
      </w:r>
    </w:p>
    <w:p w14:paraId="741A1A0C" w14:textId="77777777" w:rsidR="004905AC" w:rsidRPr="00A3026E" w:rsidRDefault="004905AC" w:rsidP="00A3026E">
      <w:pPr>
        <w:spacing w:after="0" w:line="240" w:lineRule="auto"/>
        <w:jc w:val="both"/>
        <w:rPr>
          <w:rFonts w:ascii="Times New Roman" w:hAnsi="Times New Roman"/>
          <w:color w:val="000000" w:themeColor="text1"/>
          <w:sz w:val="16"/>
          <w:szCs w:val="16"/>
        </w:rPr>
      </w:pPr>
    </w:p>
    <w:p w14:paraId="2866430F" w14:textId="77777777" w:rsidR="004905AC" w:rsidRPr="00A3026E" w:rsidRDefault="004905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в 1940 году президент Парагвая Эстигаррибия погиб в авиакатастрофе (14762).</w:t>
      </w:r>
    </w:p>
    <w:p w14:paraId="7627644C" w14:textId="77777777" w:rsidR="004905AC" w:rsidRPr="00A3026E" w:rsidRDefault="004905AC" w:rsidP="00A3026E">
      <w:pPr>
        <w:spacing w:after="0" w:line="240" w:lineRule="auto"/>
        <w:jc w:val="both"/>
        <w:rPr>
          <w:rFonts w:ascii="Times New Roman" w:hAnsi="Times New Roman"/>
          <w:color w:val="000000" w:themeColor="text1"/>
          <w:sz w:val="16"/>
          <w:szCs w:val="16"/>
        </w:rPr>
      </w:pPr>
    </w:p>
    <w:p w14:paraId="3FD8AED5" w14:textId="2FC40FB6"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76B7FD2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B7821A8"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сентября 1940 г. на заводе № 183 состоялось техническое совещание, в работе которого приняли участие: от завода № 183 – главный инженер С.Н. Махонин, заместитель главного конструктора А.А. Морозов, старший инженер-конструктор А.А. Молоштанов; от ГАБТУ КА – военный представитель ГАБТУ КА на заводе № 183 военинженер 3 ранга П.П. Байков; от завода № 92 – старший инженер-конструктор П.Ф. Муравьев и техник-конструктор Б.Г. Ласман. Ознакомившись с представленной конструкторской документацией, участники технического совещания пришли к выводу, что установка пушки Ф-34 в танке Т-34 возможна при условии внесения следующих изменений в существующую конструкцию башни: </w:t>
      </w:r>
    </w:p>
    <w:p w14:paraId="1AAFE501"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Стопор баши на походе, находящийся в задней части башни, перенести в другое место, т.к. он мешает гильзоулавливателю. </w:t>
      </w:r>
    </w:p>
    <w:p w14:paraId="68F108F7"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Люк башни под смотровым прибором поднять на 26 мм и удлинить назад на 70 мм, задний лист крыши спереди укоротить на 70 мм, уплотнение люка переделать; при этом будет обеспечен 20 мм зазор между крышей и откатными частями при предельном откате, равном 425 мм. Замок люка перенести вправо. Люк для сигнализации перенести вправо на 15 мм. </w:t>
      </w:r>
    </w:p>
    <w:p w14:paraId="01F1CF04"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Для обеспечения угла возвышения 30° верхнюю часть лобового листа башни, соприкасающуюся с бронировкой люльки подрезать на 40 мм. Изменить контур верхней части выреза. </w:t>
      </w:r>
    </w:p>
    <w:p w14:paraId="349F736B"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Правую часть амбразуры в лобовом листе башни вырезать на 34 мм. Левую часть амбразуры в нижней части выровнять с верхней частью, вырезав на 39 мм».</w:t>
      </w:r>
    </w:p>
    <w:p w14:paraId="641B94BB"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1186. Л. 96 – 97]</w:t>
      </w:r>
    </w:p>
    <w:p w14:paraId="1125B802"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последнем пункте протокола технического совещания было отмечено: </w:t>
      </w:r>
    </w:p>
    <w:p w14:paraId="6F10D1AE"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Настоящий протокол подлежит утверждению командованием ГАУ и ГАБТУ и вступает в силу немедленно после его утверждения» (18206).</w:t>
      </w:r>
    </w:p>
    <w:p w14:paraId="7348FFD0" w14:textId="77777777" w:rsidR="00CD3361" w:rsidRPr="00A3026E" w:rsidRDefault="00CD3361" w:rsidP="00A3026E">
      <w:pPr>
        <w:spacing w:after="0" w:line="240" w:lineRule="auto"/>
        <w:jc w:val="both"/>
        <w:rPr>
          <w:rFonts w:ascii="Times New Roman" w:hAnsi="Times New Roman"/>
          <w:color w:val="000000" w:themeColor="text1"/>
          <w:sz w:val="16"/>
          <w:szCs w:val="16"/>
        </w:rPr>
      </w:pPr>
    </w:p>
    <w:p w14:paraId="60B748B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726EA90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8C8AD79" w14:textId="77777777" w:rsidR="007A0319" w:rsidRPr="00A3026E" w:rsidRDefault="007A031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сентября 1940 - Начались испытания первого итальянского транспортного гидросамолета Z.511A (ММ.396). Тестовые полеты на базе в Монфальконе проводил пилот Марио Стоппани. В 1941 г. наступил небольшой перерыв, связанный с военными действиями на Балканах. К тому же, Z.511A проходил модернизацию, что тоже заняло некоторое время. Когда самолёт был полностью готов к трансатлантическим рейсам ни о каких перелетах в Северную Америку уже не могло идти и речи. Самолёт фактически перешел в распоряжение ВВС флота, которые сначала хотели использовать Z.511A для полета из Рима в Токио, но затем эти планы изменились в сторону военного применения гидросамолёта (22371).</w:t>
      </w:r>
    </w:p>
    <w:p w14:paraId="25B3DF23" w14:textId="77777777" w:rsidR="007A0319" w:rsidRPr="00A3026E" w:rsidRDefault="007A0319" w:rsidP="00A3026E">
      <w:pPr>
        <w:spacing w:after="0" w:line="240" w:lineRule="auto"/>
        <w:jc w:val="both"/>
        <w:rPr>
          <w:rFonts w:ascii="Times New Roman" w:hAnsi="Times New Roman"/>
          <w:color w:val="0070C0"/>
          <w:sz w:val="16"/>
          <w:szCs w:val="16"/>
        </w:rPr>
      </w:pPr>
    </w:p>
    <w:p w14:paraId="1A56F2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сентября 1940 с 19:00 вновь начались немецкие налеты на Лондон (2536,153).</w:t>
      </w:r>
    </w:p>
    <w:p w14:paraId="1499FA3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20068F" w14:textId="77777777" w:rsidR="00A84B65" w:rsidRPr="00A3026E" w:rsidRDefault="00A84B65" w:rsidP="00A3026E">
      <w:pPr>
        <w:spacing w:after="0" w:line="240" w:lineRule="auto"/>
        <w:jc w:val="both"/>
        <w:rPr>
          <w:rStyle w:val="ucoz-forum-post"/>
          <w:rFonts w:ascii="Times New Roman" w:eastAsia="Times New Roman" w:hAnsi="Times New Roman"/>
          <w:color w:val="000000" w:themeColor="text1"/>
          <w:sz w:val="16"/>
          <w:szCs w:val="16"/>
        </w:rPr>
      </w:pPr>
      <w:r w:rsidRPr="00A3026E">
        <w:rPr>
          <w:rFonts w:ascii="Times New Roman" w:hAnsi="Times New Roman"/>
          <w:color w:val="000000" w:themeColor="text1"/>
          <w:sz w:val="16"/>
          <w:szCs w:val="16"/>
        </w:rPr>
        <w:t>8 сентября</w:t>
      </w:r>
      <w:r w:rsidRPr="00A3026E">
        <w:rPr>
          <w:rStyle w:val="ucoz-forum-post"/>
          <w:rFonts w:ascii="Times New Roman" w:eastAsia="Times New Roman" w:hAnsi="Times New Roman"/>
          <w:bCs/>
          <w:color w:val="000000" w:themeColor="text1"/>
          <w:sz w:val="16"/>
          <w:szCs w:val="16"/>
        </w:rPr>
        <w:t xml:space="preserve"> 1940 г.</w:t>
      </w:r>
      <w:r w:rsidRPr="00A3026E">
        <w:rPr>
          <w:rStyle w:val="ucoz-forum-post"/>
          <w:rFonts w:ascii="Times New Roman" w:eastAsia="Times New Roman" w:hAnsi="Times New Roman"/>
          <w:color w:val="000000" w:themeColor="text1"/>
          <w:sz w:val="16"/>
          <w:szCs w:val="16"/>
        </w:rPr>
        <w:t xml:space="preserve"> – командир эскадрильи «Рихтгоффен» из JG 2 немецкий ас Гельмут Вик в воздушных боях сбил три английских истребителя Харрикейн, соответственно одержав свои 26ю, 27ю и 28ю победы (14763).</w:t>
      </w:r>
    </w:p>
    <w:p w14:paraId="51A89735" w14:textId="77777777" w:rsidR="00A84B65" w:rsidRPr="00A3026E" w:rsidRDefault="00A84B65" w:rsidP="00A3026E">
      <w:pPr>
        <w:spacing w:after="0" w:line="240" w:lineRule="auto"/>
        <w:jc w:val="both"/>
        <w:rPr>
          <w:rStyle w:val="ucoz-forum-post"/>
          <w:rFonts w:ascii="Times New Roman" w:eastAsia="Times New Roman" w:hAnsi="Times New Roman"/>
          <w:color w:val="000000" w:themeColor="text1"/>
          <w:sz w:val="16"/>
          <w:szCs w:val="16"/>
        </w:rPr>
      </w:pPr>
    </w:p>
    <w:p w14:paraId="4BBD9E7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474859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5357C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группа конструкторов:</w:t>
      </w:r>
    </w:p>
    <w:p w14:paraId="300445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Инженер-Конструктор по крылу - Галинников М.М.</w:t>
      </w:r>
    </w:p>
    <w:p w14:paraId="2EE6C0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Инженер-Конструктор по вооружению - Белов А.И.</w:t>
      </w:r>
    </w:p>
    <w:p w14:paraId="6579B0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Инженер-Конструктор по оборудов. - Мизневич П.Г.</w:t>
      </w:r>
    </w:p>
    <w:p w14:paraId="087F30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Инженер по расчету на прочность - Бориченко И.Е.</w:t>
      </w:r>
    </w:p>
    <w:p w14:paraId="12814F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Инженер-Конструктор по фюзеляжу - Протопопов И.В.</w:t>
      </w:r>
    </w:p>
    <w:p w14:paraId="05C8EA25"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color w:val="000000" w:themeColor="text1"/>
          <w:sz w:val="16"/>
          <w:szCs w:val="16"/>
        </w:rPr>
        <w:t>Инженер-Конструктор по центроплану - Пантелеев Е.М.</w:t>
      </w:r>
    </w:p>
    <w:p w14:paraId="07CB35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Инженер-Конструктор по оперению - Розкин М.Б.</w:t>
      </w:r>
    </w:p>
    <w:p w14:paraId="19DFBC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писала письмо НАРОДНОМУ КОМИССАРУ ОБОРОНЫ МАРШАЛУ СОВЕТСКОГО СОЮЗА</w:t>
      </w:r>
    </w:p>
    <w:p w14:paraId="373E36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Клименту Ефремовичу ВОРОШИЛОВУ</w:t>
      </w:r>
    </w:p>
    <w:p w14:paraId="68BC0A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Уважаемый Климентий Ефремович!</w:t>
      </w:r>
    </w:p>
    <w:p w14:paraId="10E730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Мы, группа конструкторов, узнав о снятии разработанного 4-х моторного высотного бомбарднровщика 42, с серийного производства на заводе №• 124, якобы по причинам большой стоимости его изготовления, решили обратиться к ВАМ с настоящим письмом, т.к. причины эти мы считаем совершенно необоснозанными. Мало </w:t>
      </w:r>
      <w:r w:rsidRPr="00A3026E">
        <w:rPr>
          <w:rFonts w:ascii="Times New Roman" w:hAnsi="Times New Roman"/>
          <w:color w:val="000000" w:themeColor="text1"/>
          <w:sz w:val="16"/>
          <w:szCs w:val="16"/>
        </w:rPr>
        <w:lastRenderedPageBreak/>
        <w:t>того, такое решение есть результат, очевидно, спецяально пдобранного материала, чрезвычайно одностороннего с единственной целью снять машину и оправдать этот акт во вред нашей Красной Армии и родины.</w:t>
      </w:r>
    </w:p>
    <w:p w14:paraId="103537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124 начал освоение машины 42 под открытым небом, будучи сам без крыши и несмотря на незаконченное строительство самого завода, на отсутствие достаточного количества квалифицированных кадров, при чрезвычайно большой текучести, для освоения самолета 42 потребовал один год.</w:t>
      </w:r>
    </w:p>
    <w:p w14:paraId="6497F8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октября 1939 года завод мог начать нормальный выпуск |машн. Задержка могла быть только от смежников, готовых из- делий (моторы, вооружение, оборудование).</w:t>
      </w:r>
    </w:p>
    <w:p w14:paraId="3524B9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 непродолжителного срока освоения машины говорит о том, что машина в производстве не сложна. Стоимость первых земпляров не является мерой действительной стоимости машины, т.к. средства, вложенные в серийное производстзо (подготовка) могли бы давать эффект только в 1940 году!</w:t>
      </w:r>
    </w:p>
    <w:p w14:paraId="5CFFEB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Обращаем ВАШЕ внимание, что завод 5-й год занимается все время освоением, а освоив переключается на новые об"екты.</w:t>
      </w:r>
    </w:p>
    <w:p w14:paraId="610B25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Ведь зазод № 124 готовился к приему самолета 42 еще в 1936 году. Затем погел самолет "МГ", самолет ДБА (Главный конструктор Болховитинов), затем самолет 42, а на 1940 год дается программа по ДС-3.</w:t>
      </w:r>
    </w:p>
    <w:p w14:paraId="03ABE0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Можно смело смело утверждать, что завод будет не меньше года заниматься освоением самолета ДС-З.</w:t>
      </w:r>
    </w:p>
    <w:p w14:paraId="73C984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Колоссальные средства, затраченные на освоение машины 42 и уже начавшие давать производственный эффект выкидываются в утиль (приспособления). Малая производительность завода не есть результат технологических трудностей машины, этому доказательством является выполнение планов цехами при наличии полного ассортимента необходимых материалов.</w:t>
      </w:r>
    </w:p>
    <w:p w14:paraId="14F3C75A"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color w:val="000000" w:themeColor="text1"/>
          <w:sz w:val="16"/>
          <w:szCs w:val="16"/>
        </w:rPr>
        <w:t>Машину 42 завод начал осваивать с июня 1938 года. На 1-е января 1939 года он мог бы выпустить 1-2 машины. В 1939 году завод по существу работал последние 2- 3 месяца, а все остальные месяцы цеха ждали различных полуфаб</w:t>
      </w:r>
      <w:r w:rsidRPr="00A3026E">
        <w:rPr>
          <w:rFonts w:ascii="Times New Roman" w:hAnsi="Times New Roman"/>
          <w:color w:val="000000" w:themeColor="text1"/>
          <w:sz w:val="16"/>
          <w:szCs w:val="16"/>
        </w:rPr>
        <w:softHyphen/>
        <w:t>рикатов, задержка которых есть результат плохой организации.</w:t>
      </w:r>
    </w:p>
    <w:p w14:paraId="67338D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Зная хорошо летно-тактические данные самолета 42, нам совершенно непонятно решение о снятии его с производст</w:t>
      </w:r>
      <w:r w:rsidRPr="00A3026E">
        <w:rPr>
          <w:rFonts w:ascii="Times New Roman" w:hAnsi="Times New Roman"/>
          <w:color w:val="000000" w:themeColor="text1"/>
          <w:sz w:val="16"/>
          <w:szCs w:val="16"/>
        </w:rPr>
        <w:softHyphen/>
        <w:t>ва.</w:t>
      </w:r>
    </w:p>
    <w:p w14:paraId="3FD1F8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42 стоит в ряду лучших 4-х моторных самолета мира, как в вопросе аэродинамических свойств так и в вопросе вооружения и бомбовой'нагрузки. Самолет имеет большие возможности использования в области боевых транспортных и десант</w:t>
      </w:r>
      <w:r w:rsidRPr="00A3026E">
        <w:rPr>
          <w:rFonts w:ascii="Times New Roman" w:hAnsi="Times New Roman"/>
          <w:color w:val="000000" w:themeColor="text1"/>
          <w:sz w:val="16"/>
          <w:szCs w:val="16"/>
        </w:rPr>
        <w:softHyphen/>
        <w:t>ных операций и переброски таких агрегатов как танк, автомашина и др. Самолет оборудован приборами дла бомбардировки с высоты10 км. Сильное упрощение технологии получает машина 42 после снятия центрального наддува и установки моторов АМ-35 с турбокомпрессорами.</w:t>
      </w:r>
    </w:p>
    <w:p w14:paraId="753A53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вместо башен - стрелковых конусов типа Хейн</w:t>
      </w:r>
      <w:r w:rsidRPr="00A3026E">
        <w:rPr>
          <w:rFonts w:ascii="Times New Roman" w:hAnsi="Times New Roman"/>
          <w:color w:val="000000" w:themeColor="text1"/>
          <w:sz w:val="16"/>
          <w:szCs w:val="16"/>
          <w:vertAlign w:val="superscript"/>
        </w:rPr>
        <w:t>:</w:t>
      </w:r>
      <w:r w:rsidRPr="00A3026E">
        <w:rPr>
          <w:rFonts w:ascii="Times New Roman" w:hAnsi="Times New Roman"/>
          <w:color w:val="000000" w:themeColor="text1"/>
          <w:sz w:val="16"/>
          <w:szCs w:val="16"/>
        </w:rPr>
        <w:t>кель дает дальнейшее улучшение аэродинамики и удобств боевой эксплоатации самолета.</w:t>
      </w:r>
    </w:p>
    <w:p w14:paraId="599AB5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1F3B35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хороших аэродинамических качеств самолета 42, ставящих его в передовую линию машин мира, зная большие возможности улучшения и упрощения его технологии, а также ряд улучшений по линии аэродинамики самолета, учитывая, что завод освоил машину и может ее массово выпускать (задержки могут быть только по линии моторов, без которых любой самолет не полетит), истодя из того, что частая смеиа машин по су</w:t>
      </w:r>
      <w:r w:rsidRPr="00A3026E">
        <w:rPr>
          <w:rFonts w:ascii="Times New Roman" w:hAnsi="Times New Roman"/>
          <w:color w:val="000000" w:themeColor="text1"/>
          <w:sz w:val="16"/>
          <w:szCs w:val="16"/>
        </w:rPr>
        <w:softHyphen/>
        <w:t>ществу выводит</w:t>
      </w:r>
      <w:r w:rsidRPr="00A3026E">
        <w:rPr>
          <w:rFonts w:ascii="Times New Roman" w:hAnsi="Times New Roman"/>
          <w:smallCaps/>
          <w:color w:val="000000" w:themeColor="text1"/>
          <w:sz w:val="16"/>
          <w:szCs w:val="16"/>
        </w:rPr>
        <w:t xml:space="preserve"> з</w:t>
      </w:r>
      <w:r w:rsidRPr="00A3026E">
        <w:rPr>
          <w:rFonts w:ascii="Times New Roman" w:hAnsi="Times New Roman"/>
          <w:color w:val="000000" w:themeColor="text1"/>
          <w:sz w:val="16"/>
          <w:szCs w:val="16"/>
        </w:rPr>
        <w:t>авод №: 124 из строя, просим Вас лично просмотреть существующие данные машины 42 и материалы на основе которых принято решение о снятии самолета 42.</w:t>
      </w:r>
    </w:p>
    <w:p w14:paraId="3D721D89"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color w:val="000000" w:themeColor="text1"/>
          <w:sz w:val="16"/>
          <w:szCs w:val="16"/>
        </w:rPr>
        <w:t xml:space="preserve">Разрешите также выразить желание узнать истинные причины снятии машины 42 с производства в силу естественной заинтересованности, как участников строительства и проектирования этой машины </w:t>
      </w:r>
      <w:r w:rsidRPr="00A3026E">
        <w:rPr>
          <w:rFonts w:ascii="Times New Roman" w:hAnsi="Times New Roman"/>
          <w:smallCaps/>
          <w:color w:val="000000" w:themeColor="text1"/>
          <w:sz w:val="16"/>
          <w:szCs w:val="16"/>
        </w:rPr>
        <w:t>(10504,75).</w:t>
      </w:r>
    </w:p>
    <w:p w14:paraId="5DE3F5D9"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0D5B60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Директор завода № 124 М.М.Каганович и Нач. Моботдела Павлов подготовили справку</w:t>
      </w:r>
    </w:p>
    <w:p w14:paraId="05A2F8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Сведения о выполнении плана по выпуску готовой продукции (оборонного значения) заводом № 124 за период 1937, 1938, 1939 и 1940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63"/>
        <w:gridCol w:w="663"/>
        <w:gridCol w:w="663"/>
        <w:gridCol w:w="663"/>
        <w:gridCol w:w="663"/>
        <w:gridCol w:w="663"/>
        <w:gridCol w:w="663"/>
        <w:gridCol w:w="663"/>
        <w:gridCol w:w="663"/>
        <w:gridCol w:w="663"/>
        <w:gridCol w:w="663"/>
        <w:gridCol w:w="663"/>
        <w:gridCol w:w="663"/>
        <w:gridCol w:w="663"/>
        <w:gridCol w:w="663"/>
        <w:gridCol w:w="663"/>
        <w:gridCol w:w="663"/>
      </w:tblGrid>
      <w:tr w:rsidR="00983732" w:rsidRPr="00A3026E" w14:paraId="02FF9636" w14:textId="77777777" w:rsidTr="00EA0DA7">
        <w:tc>
          <w:tcPr>
            <w:tcW w:w="663" w:type="dxa"/>
            <w:tcBorders>
              <w:top w:val="single" w:sz="12" w:space="0" w:color="auto"/>
            </w:tcBorders>
          </w:tcPr>
          <w:p w14:paraId="5835AF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изделий</w:t>
            </w:r>
          </w:p>
        </w:tc>
        <w:tc>
          <w:tcPr>
            <w:tcW w:w="1326" w:type="dxa"/>
            <w:gridSpan w:val="2"/>
            <w:tcBorders>
              <w:top w:val="single" w:sz="12" w:space="0" w:color="auto"/>
            </w:tcBorders>
          </w:tcPr>
          <w:p w14:paraId="1E89CD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1937</w:t>
            </w:r>
          </w:p>
        </w:tc>
        <w:tc>
          <w:tcPr>
            <w:tcW w:w="1326" w:type="dxa"/>
            <w:gridSpan w:val="2"/>
            <w:tcBorders>
              <w:top w:val="single" w:sz="12" w:space="0" w:color="auto"/>
            </w:tcBorders>
          </w:tcPr>
          <w:p w14:paraId="2799EB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w:t>
            </w:r>
          </w:p>
        </w:tc>
        <w:tc>
          <w:tcPr>
            <w:tcW w:w="1326" w:type="dxa"/>
            <w:gridSpan w:val="2"/>
            <w:tcBorders>
              <w:top w:val="single" w:sz="12" w:space="0" w:color="auto"/>
            </w:tcBorders>
          </w:tcPr>
          <w:p w14:paraId="56E848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6630" w:type="dxa"/>
            <w:gridSpan w:val="10"/>
            <w:tcBorders>
              <w:top w:val="single" w:sz="12" w:space="0" w:color="auto"/>
            </w:tcBorders>
          </w:tcPr>
          <w:p w14:paraId="2837E2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r>
      <w:tr w:rsidR="00983732" w:rsidRPr="00A3026E" w14:paraId="31B62070" w14:textId="77777777" w:rsidTr="00EA0DA7">
        <w:tc>
          <w:tcPr>
            <w:tcW w:w="663" w:type="dxa"/>
          </w:tcPr>
          <w:p w14:paraId="2232522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63" w:type="dxa"/>
          </w:tcPr>
          <w:p w14:paraId="7F86BF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663" w:type="dxa"/>
          </w:tcPr>
          <w:p w14:paraId="6F76CC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w:t>
            </w:r>
          </w:p>
        </w:tc>
        <w:tc>
          <w:tcPr>
            <w:tcW w:w="663" w:type="dxa"/>
          </w:tcPr>
          <w:p w14:paraId="3B8FC9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663" w:type="dxa"/>
          </w:tcPr>
          <w:p w14:paraId="16444B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w:t>
            </w:r>
          </w:p>
        </w:tc>
        <w:tc>
          <w:tcPr>
            <w:tcW w:w="663" w:type="dxa"/>
          </w:tcPr>
          <w:p w14:paraId="550A57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663" w:type="dxa"/>
          </w:tcPr>
          <w:p w14:paraId="08DB7E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w:t>
            </w:r>
          </w:p>
        </w:tc>
        <w:tc>
          <w:tcPr>
            <w:tcW w:w="1989" w:type="dxa"/>
            <w:gridSpan w:val="3"/>
          </w:tcPr>
          <w:p w14:paraId="6796B3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год</w:t>
            </w:r>
          </w:p>
        </w:tc>
        <w:tc>
          <w:tcPr>
            <w:tcW w:w="3978" w:type="dxa"/>
            <w:gridSpan w:val="6"/>
          </w:tcPr>
          <w:p w14:paraId="1B8123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3 кв.</w:t>
            </w:r>
          </w:p>
        </w:tc>
        <w:tc>
          <w:tcPr>
            <w:tcW w:w="663" w:type="dxa"/>
          </w:tcPr>
          <w:p w14:paraId="44454D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кв.</w:t>
            </w:r>
          </w:p>
        </w:tc>
      </w:tr>
      <w:tr w:rsidR="00983732" w:rsidRPr="00A3026E" w14:paraId="43F1D8E9" w14:textId="77777777" w:rsidTr="00EA0DA7">
        <w:tc>
          <w:tcPr>
            <w:tcW w:w="663" w:type="dxa"/>
          </w:tcPr>
          <w:p w14:paraId="330723E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63" w:type="dxa"/>
          </w:tcPr>
          <w:p w14:paraId="33F85B9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63" w:type="dxa"/>
          </w:tcPr>
          <w:p w14:paraId="59DF469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63" w:type="dxa"/>
          </w:tcPr>
          <w:p w14:paraId="65A3DD4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63" w:type="dxa"/>
          </w:tcPr>
          <w:p w14:paraId="5A6DD9F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63" w:type="dxa"/>
          </w:tcPr>
          <w:p w14:paraId="4350CB4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63" w:type="dxa"/>
          </w:tcPr>
          <w:p w14:paraId="0D92384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63" w:type="dxa"/>
          </w:tcPr>
          <w:p w14:paraId="3D8505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1326" w:type="dxa"/>
            <w:gridSpan w:val="2"/>
          </w:tcPr>
          <w:p w14:paraId="334160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полугодие</w:t>
            </w:r>
          </w:p>
        </w:tc>
        <w:tc>
          <w:tcPr>
            <w:tcW w:w="1326" w:type="dxa"/>
            <w:gridSpan w:val="2"/>
          </w:tcPr>
          <w:p w14:paraId="6E0D4A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Июль</w:t>
            </w:r>
          </w:p>
        </w:tc>
        <w:tc>
          <w:tcPr>
            <w:tcW w:w="1326" w:type="dxa"/>
            <w:gridSpan w:val="2"/>
          </w:tcPr>
          <w:p w14:paraId="0EE285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Август</w:t>
            </w:r>
          </w:p>
        </w:tc>
        <w:tc>
          <w:tcPr>
            <w:tcW w:w="1326" w:type="dxa"/>
            <w:gridSpan w:val="2"/>
          </w:tcPr>
          <w:p w14:paraId="232FDB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Сентябрь</w:t>
            </w:r>
          </w:p>
        </w:tc>
        <w:tc>
          <w:tcPr>
            <w:tcW w:w="663" w:type="dxa"/>
          </w:tcPr>
          <w:p w14:paraId="7DF53B5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D3894B3" w14:textId="77777777" w:rsidTr="00EA0DA7">
        <w:tc>
          <w:tcPr>
            <w:tcW w:w="663" w:type="dxa"/>
          </w:tcPr>
          <w:p w14:paraId="301B42E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63" w:type="dxa"/>
          </w:tcPr>
          <w:p w14:paraId="20E3679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63" w:type="dxa"/>
          </w:tcPr>
          <w:p w14:paraId="4F0A28D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63" w:type="dxa"/>
          </w:tcPr>
          <w:p w14:paraId="53CD3B7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63" w:type="dxa"/>
          </w:tcPr>
          <w:p w14:paraId="036EEDA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63" w:type="dxa"/>
          </w:tcPr>
          <w:p w14:paraId="51A07DC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63" w:type="dxa"/>
          </w:tcPr>
          <w:p w14:paraId="15053DA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63" w:type="dxa"/>
          </w:tcPr>
          <w:p w14:paraId="051A7EF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63" w:type="dxa"/>
          </w:tcPr>
          <w:p w14:paraId="6485A1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663" w:type="dxa"/>
          </w:tcPr>
          <w:p w14:paraId="757F2E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w:t>
            </w:r>
          </w:p>
        </w:tc>
        <w:tc>
          <w:tcPr>
            <w:tcW w:w="663" w:type="dxa"/>
          </w:tcPr>
          <w:p w14:paraId="2B18B4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663" w:type="dxa"/>
          </w:tcPr>
          <w:p w14:paraId="6DC6D6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w:t>
            </w:r>
          </w:p>
        </w:tc>
        <w:tc>
          <w:tcPr>
            <w:tcW w:w="663" w:type="dxa"/>
          </w:tcPr>
          <w:p w14:paraId="0024DC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663" w:type="dxa"/>
          </w:tcPr>
          <w:p w14:paraId="212122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w:t>
            </w:r>
          </w:p>
        </w:tc>
        <w:tc>
          <w:tcPr>
            <w:tcW w:w="663" w:type="dxa"/>
          </w:tcPr>
          <w:p w14:paraId="0F312C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663" w:type="dxa"/>
          </w:tcPr>
          <w:p w14:paraId="6C7968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w:t>
            </w:r>
          </w:p>
        </w:tc>
        <w:tc>
          <w:tcPr>
            <w:tcW w:w="663" w:type="dxa"/>
          </w:tcPr>
          <w:p w14:paraId="08AC18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r>
      <w:tr w:rsidR="00983732" w:rsidRPr="00A3026E" w14:paraId="55BA67AA" w14:textId="77777777" w:rsidTr="00EA0DA7">
        <w:tc>
          <w:tcPr>
            <w:tcW w:w="663" w:type="dxa"/>
          </w:tcPr>
          <w:p w14:paraId="0EAD7F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ДБА</w:t>
            </w:r>
          </w:p>
        </w:tc>
        <w:tc>
          <w:tcPr>
            <w:tcW w:w="663" w:type="dxa"/>
          </w:tcPr>
          <w:p w14:paraId="30F4CD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663" w:type="dxa"/>
          </w:tcPr>
          <w:p w14:paraId="3A8112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04A7B6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663" w:type="dxa"/>
          </w:tcPr>
          <w:p w14:paraId="311775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6C0065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663" w:type="dxa"/>
          </w:tcPr>
          <w:p w14:paraId="6648CB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663" w:type="dxa"/>
          </w:tcPr>
          <w:p w14:paraId="11B0F5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4CD783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02D9CF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7908B8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5E8A29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75552C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5F92D8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1F98D5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453D2A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56A367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8512075" w14:textId="77777777" w:rsidTr="00EA0DA7">
        <w:tc>
          <w:tcPr>
            <w:tcW w:w="663" w:type="dxa"/>
          </w:tcPr>
          <w:p w14:paraId="6B27CC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Групкомплекты к ДБА</w:t>
            </w:r>
          </w:p>
        </w:tc>
        <w:tc>
          <w:tcPr>
            <w:tcW w:w="663" w:type="dxa"/>
          </w:tcPr>
          <w:p w14:paraId="70E42C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7C9CEB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2B0722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663" w:type="dxa"/>
          </w:tcPr>
          <w:p w14:paraId="4BC455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4618D1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663" w:type="dxa"/>
          </w:tcPr>
          <w:p w14:paraId="411F7B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663" w:type="dxa"/>
          </w:tcPr>
          <w:p w14:paraId="6FC0B1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4E7517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7D08C3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544A28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3BF877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4619A4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60C5F4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253F5C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0AD734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7CFE71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AC6DBDF" w14:textId="77777777" w:rsidTr="00EA0DA7">
        <w:tc>
          <w:tcPr>
            <w:tcW w:w="663" w:type="dxa"/>
          </w:tcPr>
          <w:p w14:paraId="6B5710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МГ</w:t>
            </w:r>
          </w:p>
        </w:tc>
        <w:tc>
          <w:tcPr>
            <w:tcW w:w="663" w:type="dxa"/>
          </w:tcPr>
          <w:p w14:paraId="0623E3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663" w:type="dxa"/>
          </w:tcPr>
          <w:p w14:paraId="29CAF3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69E08D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663" w:type="dxa"/>
          </w:tcPr>
          <w:p w14:paraId="66AE78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4E5768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663" w:type="dxa"/>
          </w:tcPr>
          <w:p w14:paraId="0A5860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663" w:type="dxa"/>
          </w:tcPr>
          <w:p w14:paraId="7B6EDE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67480B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51E87C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5EEBB7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13FD76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7DADF7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15FCAE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19B416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2CDC61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1DA415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8256E30" w14:textId="77777777" w:rsidTr="00EA0DA7">
        <w:tc>
          <w:tcPr>
            <w:tcW w:w="663" w:type="dxa"/>
          </w:tcPr>
          <w:p w14:paraId="79EDD4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w:t>
            </w:r>
          </w:p>
        </w:tc>
        <w:tc>
          <w:tcPr>
            <w:tcW w:w="663" w:type="dxa"/>
          </w:tcPr>
          <w:p w14:paraId="33F663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0E4450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6DCC90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5BC005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70AEBF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663" w:type="dxa"/>
          </w:tcPr>
          <w:p w14:paraId="7AEF39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663" w:type="dxa"/>
          </w:tcPr>
          <w:p w14:paraId="46774B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663" w:type="dxa"/>
          </w:tcPr>
          <w:p w14:paraId="69A0A3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663" w:type="dxa"/>
          </w:tcPr>
          <w:p w14:paraId="52B0B8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663" w:type="dxa"/>
          </w:tcPr>
          <w:p w14:paraId="6097E0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3D7C78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663" w:type="dxa"/>
          </w:tcPr>
          <w:p w14:paraId="6B1905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663" w:type="dxa"/>
          </w:tcPr>
          <w:p w14:paraId="39FD30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663" w:type="dxa"/>
          </w:tcPr>
          <w:p w14:paraId="412BEB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663" w:type="dxa"/>
          </w:tcPr>
          <w:p w14:paraId="4D020F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632547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r>
      <w:tr w:rsidR="00983732" w:rsidRPr="00A3026E" w14:paraId="1D983CFD" w14:textId="77777777" w:rsidTr="00EA0DA7">
        <w:tc>
          <w:tcPr>
            <w:tcW w:w="663" w:type="dxa"/>
          </w:tcPr>
          <w:p w14:paraId="3F00F4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Групкомплекту к 42</w:t>
            </w:r>
          </w:p>
        </w:tc>
        <w:tc>
          <w:tcPr>
            <w:tcW w:w="663" w:type="dxa"/>
          </w:tcPr>
          <w:p w14:paraId="22B7E8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04537A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11A217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127C94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50605F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663" w:type="dxa"/>
          </w:tcPr>
          <w:p w14:paraId="1C3ABE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14A0B6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663" w:type="dxa"/>
          </w:tcPr>
          <w:p w14:paraId="7478AC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663" w:type="dxa"/>
          </w:tcPr>
          <w:p w14:paraId="546CEC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71B8CD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59A03A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72DFF1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1432EB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663" w:type="dxa"/>
          </w:tcPr>
          <w:p w14:paraId="009130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5D1086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5E0269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DDBCB01" w14:textId="77777777" w:rsidTr="00EA0DA7">
        <w:tc>
          <w:tcPr>
            <w:tcW w:w="663" w:type="dxa"/>
          </w:tcPr>
          <w:p w14:paraId="746865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ДС-3</w:t>
            </w:r>
          </w:p>
        </w:tc>
        <w:tc>
          <w:tcPr>
            <w:tcW w:w="663" w:type="dxa"/>
          </w:tcPr>
          <w:p w14:paraId="640D33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69734A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06F488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6E14AF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2AA135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059352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7FCD2F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663" w:type="dxa"/>
          </w:tcPr>
          <w:p w14:paraId="7D9E8C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663" w:type="dxa"/>
          </w:tcPr>
          <w:p w14:paraId="467382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663" w:type="dxa"/>
          </w:tcPr>
          <w:p w14:paraId="586C87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663" w:type="dxa"/>
          </w:tcPr>
          <w:p w14:paraId="56A55A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2095FD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663" w:type="dxa"/>
          </w:tcPr>
          <w:p w14:paraId="351C2B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14B188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663" w:type="dxa"/>
          </w:tcPr>
          <w:p w14:paraId="79C532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1D22DF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r>
      <w:tr w:rsidR="00983732" w:rsidRPr="00A3026E" w14:paraId="5D607EB3" w14:textId="77777777" w:rsidTr="00EA0DA7">
        <w:tc>
          <w:tcPr>
            <w:tcW w:w="663" w:type="dxa"/>
          </w:tcPr>
          <w:p w14:paraId="5407D2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Групкомплекты к ДС-3</w:t>
            </w:r>
          </w:p>
        </w:tc>
        <w:tc>
          <w:tcPr>
            <w:tcW w:w="663" w:type="dxa"/>
          </w:tcPr>
          <w:p w14:paraId="4B107F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52E8E3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4B633A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38C87D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7E8DC1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1F4B5B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28F274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663" w:type="dxa"/>
          </w:tcPr>
          <w:p w14:paraId="786733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2A2B0C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508757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733F6C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632D54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5D1914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262CC3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1E6497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Pr>
          <w:p w14:paraId="141DFC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2E57387" w14:textId="77777777" w:rsidTr="00EA0DA7">
        <w:tc>
          <w:tcPr>
            <w:tcW w:w="663" w:type="dxa"/>
            <w:tcBorders>
              <w:bottom w:val="single" w:sz="12" w:space="0" w:color="auto"/>
            </w:tcBorders>
          </w:tcPr>
          <w:p w14:paraId="59E97A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 для завода 84</w:t>
            </w:r>
          </w:p>
        </w:tc>
        <w:tc>
          <w:tcPr>
            <w:tcW w:w="663" w:type="dxa"/>
            <w:tcBorders>
              <w:bottom w:val="single" w:sz="12" w:space="0" w:color="auto"/>
            </w:tcBorders>
          </w:tcPr>
          <w:p w14:paraId="6D1C12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Borders>
              <w:bottom w:val="single" w:sz="12" w:space="0" w:color="auto"/>
            </w:tcBorders>
          </w:tcPr>
          <w:p w14:paraId="68FDE5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Borders>
              <w:bottom w:val="single" w:sz="12" w:space="0" w:color="auto"/>
            </w:tcBorders>
          </w:tcPr>
          <w:p w14:paraId="6F596F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Borders>
              <w:bottom w:val="single" w:sz="12" w:space="0" w:color="auto"/>
            </w:tcBorders>
          </w:tcPr>
          <w:p w14:paraId="551C6C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Borders>
              <w:bottom w:val="single" w:sz="12" w:space="0" w:color="auto"/>
            </w:tcBorders>
          </w:tcPr>
          <w:p w14:paraId="3E784B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Borders>
              <w:bottom w:val="single" w:sz="12" w:space="0" w:color="auto"/>
            </w:tcBorders>
          </w:tcPr>
          <w:p w14:paraId="27FBB0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Borders>
              <w:bottom w:val="single" w:sz="12" w:space="0" w:color="auto"/>
            </w:tcBorders>
          </w:tcPr>
          <w:p w14:paraId="7DA336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663" w:type="dxa"/>
            <w:tcBorders>
              <w:bottom w:val="single" w:sz="12" w:space="0" w:color="auto"/>
            </w:tcBorders>
          </w:tcPr>
          <w:p w14:paraId="7961FE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663" w:type="dxa"/>
            <w:tcBorders>
              <w:bottom w:val="single" w:sz="12" w:space="0" w:color="auto"/>
            </w:tcBorders>
          </w:tcPr>
          <w:p w14:paraId="3F7960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663" w:type="dxa"/>
            <w:tcBorders>
              <w:bottom w:val="single" w:sz="12" w:space="0" w:color="auto"/>
            </w:tcBorders>
          </w:tcPr>
          <w:p w14:paraId="2E7EDB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Borders>
              <w:bottom w:val="single" w:sz="12" w:space="0" w:color="auto"/>
            </w:tcBorders>
          </w:tcPr>
          <w:p w14:paraId="53B524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Borders>
              <w:bottom w:val="single" w:sz="12" w:space="0" w:color="auto"/>
            </w:tcBorders>
          </w:tcPr>
          <w:p w14:paraId="674890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w:t>
            </w:r>
          </w:p>
        </w:tc>
        <w:tc>
          <w:tcPr>
            <w:tcW w:w="663" w:type="dxa"/>
            <w:tcBorders>
              <w:bottom w:val="single" w:sz="12" w:space="0" w:color="auto"/>
            </w:tcBorders>
          </w:tcPr>
          <w:p w14:paraId="65CC8B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663" w:type="dxa"/>
            <w:tcBorders>
              <w:bottom w:val="single" w:sz="12" w:space="0" w:color="auto"/>
            </w:tcBorders>
          </w:tcPr>
          <w:p w14:paraId="731B78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Borders>
              <w:bottom w:val="single" w:sz="12" w:space="0" w:color="auto"/>
            </w:tcBorders>
          </w:tcPr>
          <w:p w14:paraId="7FDD84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63" w:type="dxa"/>
            <w:tcBorders>
              <w:bottom w:val="single" w:sz="12" w:space="0" w:color="auto"/>
            </w:tcBorders>
          </w:tcPr>
          <w:p w14:paraId="7020BC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278DBE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составлении сведений пользовались контрольными цифрами и годовыми отчетами, а в 1940 г. выполнение показано по фактически сданной продукции по документам. До 1937 г. заводу программного задания по выпуску новых машин не давалось</w:t>
      </w:r>
    </w:p>
    <w:p w14:paraId="03D27179"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color w:val="000000" w:themeColor="text1"/>
          <w:sz w:val="16"/>
          <w:szCs w:val="16"/>
        </w:rPr>
        <w:t xml:space="preserve">Программа на 1940 по ДС-3 по договоренности с наркомом снижена с 25 до 10 шт. </w:t>
      </w:r>
      <w:r w:rsidRPr="00A3026E">
        <w:rPr>
          <w:rFonts w:ascii="Times New Roman" w:hAnsi="Times New Roman"/>
          <w:smallCaps/>
          <w:color w:val="000000" w:themeColor="text1"/>
          <w:sz w:val="16"/>
          <w:szCs w:val="16"/>
        </w:rPr>
        <w:t>(10504,77).</w:t>
      </w:r>
    </w:p>
    <w:p w14:paraId="3B57E62E"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362647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года Зам. начальника ГУ ВВС генерал-лейтенант авиации Астахов утвердил Отчет о гос. испытаниях опытно-экспериментального самолета «С» конструкции Болховитинова с моторами 2М-103П (одна спарка) в варианте ближнего бомбардировщика</w:t>
      </w:r>
    </w:p>
    <w:p w14:paraId="7592F7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223009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полковник Кабанов А.И.</w:t>
      </w:r>
    </w:p>
    <w:p w14:paraId="27F8E4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2 ранга Шашков М.А.</w:t>
      </w:r>
    </w:p>
    <w:p w14:paraId="1272EA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5DA7B0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соответствие фактических летных данных самолета и его вооружения тактико-техническим требованиям и дать оценку возможности принятия этого самолета на вооружение ВВС.</w:t>
      </w:r>
    </w:p>
    <w:p w14:paraId="052E68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 с двумя спаренными моторами М-103П с винтами ВИШ – КБ ВВС построен на заводе № 84. Гл. конструктор – инженер Болховитинов.</w:t>
      </w:r>
    </w:p>
    <w:p w14:paraId="605B64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 самолета – 2 человека:</w:t>
      </w:r>
    </w:p>
    <w:p w14:paraId="2D3942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 в кабине за моторами</w:t>
      </w:r>
    </w:p>
    <w:p w14:paraId="08B769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Штурман во второй кабине за кабиной летчика</w:t>
      </w:r>
    </w:p>
    <w:p w14:paraId="7F6996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10B04E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вместимость:</w:t>
      </w:r>
    </w:p>
    <w:p w14:paraId="56AFCE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Внутри фюзеляжа, в грузовом отсеке, между кабинами летчика и штурмана на 2-х спаренных держателях ДЕР-34 могут быть подвешены следующие варианты бомбовой загрузки:</w:t>
      </w:r>
    </w:p>
    <w:p w14:paraId="318A17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ФАБ-100 общим весом 400 кг</w:t>
      </w:r>
    </w:p>
    <w:p w14:paraId="19B70D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ФАБ-50 общим весом 200 кг</w:t>
      </w:r>
    </w:p>
    <w:p w14:paraId="1E8779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 ХАБ-25 общим весом 100 кг</w:t>
      </w:r>
    </w:p>
    <w:p w14:paraId="4E3FAF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П-40 общим весом 160 кг</w:t>
      </w:r>
    </w:p>
    <w:p w14:paraId="7C4FB9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кассеты АК-1М подвешиваемых на тех же держателях можно загружать мелкокалиберными бомбами калибра от 1 кг общим весом от 112 кг до 380 кг.</w:t>
      </w:r>
    </w:p>
    <w:p w14:paraId="199ACA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вооружение состоит из одного пулемета Шкас калибра 7,62 мм с запасом патрон 500 шт.</w:t>
      </w:r>
    </w:p>
    <w:p w14:paraId="6250A7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 установлен на шкворневой установке в кабине штурмана.</w:t>
      </w:r>
    </w:p>
    <w:p w14:paraId="4B2549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дополнительно разработаны неподвижные крыльевые установки под 2 пулемета Шкас с запасом патрон по 400 шт. на каждый пулемет и крыльевые балки для наружной подвески бомб и реактивных снарядов.</w:t>
      </w:r>
    </w:p>
    <w:p w14:paraId="7080D0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самолета цельнометаллическая преимущественно из дюраля.</w:t>
      </w:r>
    </w:p>
    <w:p w14:paraId="18CC5A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72AC64D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самолет «С» с двумя моторами М-103 П (одна спарка) конструкции бригинженера Болховитинова, производства завода № 84 в предъявленном виде гос. испытаний не выдержала вследствие:</w:t>
      </w:r>
    </w:p>
    <w:p w14:paraId="5AA63711" w14:textId="77777777" w:rsidR="00C66762" w:rsidRPr="00A3026E" w:rsidRDefault="00C66762" w:rsidP="00A3026E">
      <w:pPr>
        <w:pStyle w:val="a3"/>
        <w:widowControl/>
        <w:rPr>
          <w:color w:val="000000" w:themeColor="text1"/>
          <w:lang w:val="ru-RU"/>
        </w:rPr>
      </w:pPr>
      <w:r w:rsidRPr="00A3026E">
        <w:rPr>
          <w:color w:val="000000" w:themeColor="text1"/>
          <w:lang w:val="ru-RU"/>
        </w:rPr>
        <w:t>а) недопустимо длительного разбега, разгона и медленного набора высоты для преодоления препятствий на границе аэродрома;</w:t>
      </w:r>
    </w:p>
    <w:p w14:paraId="359B7D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недостаточной прочности крыла и посадочных приспособлений;</w:t>
      </w:r>
    </w:p>
    <w:p w14:paraId="293576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неустойчивости самолета с нормальным полетным весом;</w:t>
      </w:r>
    </w:p>
    <w:p w14:paraId="030E83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малой дальности полета, равной 700 км на 0,8 мах скорости.</w:t>
      </w:r>
    </w:p>
    <w:p w14:paraId="5EC58E8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Отметить, что самолет «С» являлся экспериментальным самолетом, на котором впервые в Союзе решалась основная задача увеличения мощности винто-моторной группы без увеличения лобового сопротивления и эта задача конструктором практически решена.</w:t>
      </w:r>
    </w:p>
    <w:p w14:paraId="5BFA2C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испытание 20 марта 1940 года</w:t>
      </w:r>
    </w:p>
    <w:p w14:paraId="279028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закончил испытания 25 июля 1940 года</w:t>
      </w:r>
    </w:p>
    <w:p w14:paraId="607975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испытания 128 дней, из них летных – 17 дней.</w:t>
      </w:r>
    </w:p>
    <w:p w14:paraId="2E93BD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летных испытаний произведено 22 полета с налетом 10 час. 8 мин. (4399).</w:t>
      </w:r>
    </w:p>
    <w:p w14:paraId="74DF088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B5810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года Зам. начальника ГУ ВВС генерал-лейтенант авиации Астахов утвердил Отчет по испытаниям самолета СБ 2М-103А № 1/286 эталона первого полугодия 1940 года</w:t>
      </w:r>
    </w:p>
    <w:p w14:paraId="6C7CA0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041A2E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3 ранга Мальцев</w:t>
      </w:r>
    </w:p>
    <w:p w14:paraId="7B656F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майор Стадник</w:t>
      </w:r>
    </w:p>
    <w:p w14:paraId="7D7A40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испытание 16 мая 1940 года</w:t>
      </w:r>
    </w:p>
    <w:p w14:paraId="560C23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закончил испытания 25 июня 1940 года</w:t>
      </w:r>
    </w:p>
    <w:p w14:paraId="2AC015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испытаний 41 день</w:t>
      </w:r>
    </w:p>
    <w:p w14:paraId="25F788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Летные испытания 11 дней</w:t>
      </w:r>
    </w:p>
    <w:p w14:paraId="244CC2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Проведено полетов – 49</w:t>
      </w:r>
    </w:p>
    <w:p w14:paraId="2FC2A0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Часов налета – 24 час. 35 мин.</w:t>
      </w:r>
    </w:p>
    <w:p w14:paraId="588D77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4638EF2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летные данные самолета.</w:t>
      </w:r>
    </w:p>
    <w:p w14:paraId="113B673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винто-моторной группы, оборудования и вооружения.</w:t>
      </w:r>
    </w:p>
    <w:p w14:paraId="2EF262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СБ 2М-103А № 1/286 с винтами ВИШ-22 представлен на основании заключения НИИ ВВС по испытаниям эталона самолета СБ первой половины 1940 года № 1/257. Самолет представлен 15 мая 1940 года вместо указанного в заключении срока – 25 апреля 1940 года. Все требования к эталону самолета СБ первой половины 1940 года не выполненные на самолете № 1/257 на данном самолете № 1/286 выполнены.</w:t>
      </w:r>
    </w:p>
    <w:p w14:paraId="23C7D4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441B3F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самолет СБ 2М103А № 1/286 эталоном служить не может из-за большого количества дефектов и недоделок в произведенных изменениях на самолете (4477).</w:t>
      </w:r>
    </w:p>
    <w:p w14:paraId="27A0DE7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61838B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на запрос ГУ ВВС о допустимых нагрузках при пикировании СБ в строевых частях А.А.А. сообщил, что: "пикирование и выход из него для СБ в пикирующем варианте - это нормальное ежедневное явление" Допускается перегрузка 3.5 (2706,194).</w:t>
      </w:r>
    </w:p>
    <w:p w14:paraId="0E7BE7F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27EDD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года заключением был отклонен эскизный проект двухмоторного двухместного истребителя с моторами АМ-37 конструкции Бисноват. Проект самолета был разработан по инициативе автора – гл. конструктора 26 отд. ЦАГИ Бисноват и был утвержден 9 декабря после повторного рассмотрения (4641).</w:t>
      </w:r>
    </w:p>
    <w:p w14:paraId="17F7D72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A0591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года Зам. начальника ВВС генерал-лейтенант авиации Астахов утвердил Заключение по эскизному проекту двухместного двухмоторного истребителя с 2-мя АМ-37 конструкции Бисноват</w:t>
      </w:r>
    </w:p>
    <w:p w14:paraId="62A95E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169026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Рабкин</w:t>
      </w:r>
    </w:p>
    <w:p w14:paraId="331CBB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704FA8F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Ведение активного воздушного боя для поражения самолетов противника.</w:t>
      </w:r>
    </w:p>
    <w:p w14:paraId="3B12713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Сопровождение своих бомбардировщиков.</w:t>
      </w:r>
    </w:p>
    <w:p w14:paraId="4D8EF2B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Поражение наземных объектов: войсковых колонн, бронетанковых частей и т.д.</w:t>
      </w:r>
    </w:p>
    <w:p w14:paraId="00027A94" w14:textId="77777777" w:rsidR="00C66762" w:rsidRPr="00A3026E" w:rsidRDefault="00C66762" w:rsidP="00A3026E">
      <w:pPr>
        <w:pStyle w:val="a3"/>
        <w:widowControl/>
        <w:rPr>
          <w:color w:val="000000" w:themeColor="text1"/>
          <w:lang w:val="ru-RU"/>
        </w:rPr>
      </w:pPr>
      <w:r w:rsidRPr="00A3026E">
        <w:rPr>
          <w:color w:val="000000" w:themeColor="text1"/>
          <w:lang w:val="ru-RU"/>
        </w:rPr>
        <w:t>Самолет СК-3 конструкции Бисноват цельнометаллический моноплан с низкорасположенным крылом, двухмоторный, двухместный истребитель.</w:t>
      </w:r>
    </w:p>
    <w:p w14:paraId="7A252B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7EFAF0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стрельбы вперед в носу самолета устанавливаются, по первому варианту, два пулемета Березина с запасом патрон по 250 штук на каждый и 2 пушки Таубина с запасом снарядов по 81 шт. в каждой; по второму варианту, кроме того еще 2 штуки Таубина с тем же запасом снарядов.</w:t>
      </w:r>
    </w:p>
    <w:p w14:paraId="7BF8C4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стрельбы назад устанавливается в кабине стрелка пулемет Березина с запасом патронов в 200 шт.</w:t>
      </w:r>
    </w:p>
    <w:p w14:paraId="11871E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7A3B8D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несоответствия требованиям, представленный эскизный проект 2-х местного, 2-х моторного истребителя СК-3 конструкции Бисноват – не утверждается.</w:t>
      </w:r>
    </w:p>
    <w:p w14:paraId="2EF5C8C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невыполнения до настоящего времени конструктором правительственного задания по постройке экспериментального самолета с максимальной скоростью в 700-800 км/час, считать не целесообразным, впредь до выполнения его, давать конструктору новые задания (4613).</w:t>
      </w:r>
    </w:p>
    <w:p w14:paraId="26250DA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689AD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в ходе гос. испытаний И-200 АМ-35А, которые проходили в НИИ ВВС с 19 августа по 12 сентября 1940 на машине N 6302 выполнили 4 полета (2:15): 2 на штопор и 2 на маневренность, а на машине 6303 - полет на километраж (0:35) и перелет в Ногинск, где полетов не было из-за отсутствия РС (2925).</w:t>
      </w:r>
    </w:p>
    <w:p w14:paraId="1ADDDED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CBB26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 в тот момент, когда все основные технологические проблемы удалось преодолеть, произ</w:t>
      </w:r>
      <w:r w:rsidRPr="00A3026E">
        <w:rPr>
          <w:rFonts w:ascii="Times New Roman" w:hAnsi="Times New Roman"/>
          <w:color w:val="000000" w:themeColor="text1"/>
          <w:sz w:val="16"/>
          <w:szCs w:val="16"/>
        </w:rPr>
        <w:softHyphen/>
        <w:t>водство И-180 было остановлено. Главный инженер завода пытался отстоять построй</w:t>
      </w:r>
      <w:r w:rsidRPr="00A3026E">
        <w:rPr>
          <w:rFonts w:ascii="Times New Roman" w:hAnsi="Times New Roman"/>
          <w:color w:val="000000" w:themeColor="text1"/>
          <w:sz w:val="16"/>
          <w:szCs w:val="16"/>
        </w:rPr>
        <w:softHyphen/>
        <w:t>ку хотя бы эталона 1941 г., но в ответ на его просьбу пришел ответ, подписанный А.С.Яковлевым: «Возоб</w:t>
      </w:r>
      <w:r w:rsidRPr="00A3026E">
        <w:rPr>
          <w:rFonts w:ascii="Times New Roman" w:hAnsi="Times New Roman"/>
          <w:color w:val="000000" w:themeColor="text1"/>
          <w:sz w:val="16"/>
          <w:szCs w:val="16"/>
        </w:rPr>
        <w:softHyphen/>
        <w:t>новление работ по трем самолетам И-180, строившимся как эталон для серийного производства завода № 21, не может быть разрешено. Производство дальнейших ра</w:t>
      </w:r>
      <w:r w:rsidRPr="00A3026E">
        <w:rPr>
          <w:rFonts w:ascii="Times New Roman" w:hAnsi="Times New Roman"/>
          <w:color w:val="000000" w:themeColor="text1"/>
          <w:sz w:val="16"/>
          <w:szCs w:val="16"/>
        </w:rPr>
        <w:softHyphen/>
        <w:t>бот по доводкам и испытаниям этих самолетов нецеле</w:t>
      </w:r>
      <w:r w:rsidRPr="00A3026E">
        <w:rPr>
          <w:rFonts w:ascii="Times New Roman" w:hAnsi="Times New Roman"/>
          <w:color w:val="000000" w:themeColor="text1"/>
          <w:sz w:val="16"/>
          <w:szCs w:val="16"/>
        </w:rPr>
        <w:softHyphen/>
        <w:t>сообразно, ввиду имеющегося решения по программам завода на 1941 год. В настоящее время все внимание должно быть обращено на выполнении нового задания, полученного заводом» (10667).</w:t>
      </w:r>
    </w:p>
    <w:p w14:paraId="42BC91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73856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9 сентября 1940 г. (в момент принятия решения о снятии И-180 с серии на заводе № 21) согласно ведущему инженеру по самолету И-180-эталон 1941 г. Соколову:</w:t>
      </w:r>
    </w:p>
    <w:p w14:paraId="2763AE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Вся оснастка эталона 1941 г., представляющая са</w:t>
      </w:r>
      <w:r w:rsidRPr="00A3026E">
        <w:rPr>
          <w:rFonts w:ascii="Times New Roman" w:hAnsi="Times New Roman"/>
          <w:color w:val="000000" w:themeColor="text1"/>
          <w:sz w:val="16"/>
          <w:szCs w:val="16"/>
        </w:rPr>
        <w:softHyphen/>
        <w:t>мую трудоемкую работу, полностью заводом выполнена.</w:t>
      </w:r>
    </w:p>
    <w:p w14:paraId="361EE7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Шасси 11/2 комплекта со всеми узлами крепления полностью готовы. Остальные комплекты изготовления были переданы по договору заводу №51, который обес</w:t>
      </w:r>
      <w:r w:rsidRPr="00A3026E">
        <w:rPr>
          <w:rFonts w:ascii="Times New Roman" w:hAnsi="Times New Roman"/>
          <w:color w:val="000000" w:themeColor="text1"/>
          <w:sz w:val="16"/>
          <w:szCs w:val="16"/>
        </w:rPr>
        <w:softHyphen/>
        <w:t>печивал своевременность изготовления.</w:t>
      </w:r>
    </w:p>
    <w:p w14:paraId="5A9734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Центроплан: нервюры, лонжероны, узлы готовы, сборочным стапелем цех обеспечен, время на окончание работ требовалось как максимум на 10 дней.</w:t>
      </w:r>
    </w:p>
    <w:p w14:paraId="75B802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Вся спецустановка (лафет с вооружением. - В.И.) находилась в производстве и обеспечивала выполнение в срок.</w:t>
      </w:r>
    </w:p>
    <w:p w14:paraId="2F469A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Крыло готово было к сборке со всей унификацией.</w:t>
      </w:r>
    </w:p>
    <w:p w14:paraId="42B1C5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Штампы по бензобаку и маслобаку изготовлением закончены.</w:t>
      </w:r>
    </w:p>
    <w:p w14:paraId="38FCEA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7) Капот мотора: переднее кольцо с серийной маши</w:t>
      </w:r>
      <w:r w:rsidRPr="00A3026E">
        <w:rPr>
          <w:rFonts w:ascii="Times New Roman" w:hAnsi="Times New Roman"/>
          <w:color w:val="000000" w:themeColor="text1"/>
          <w:sz w:val="16"/>
          <w:szCs w:val="16"/>
        </w:rPr>
        <w:softHyphen/>
        <w:t>ны И-180 готово. Для изготовления крышек капота цех полностью обеспечен молотами.</w:t>
      </w:r>
    </w:p>
    <w:p w14:paraId="59B6C1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Хвостовое оперение, управление мотором и само</w:t>
      </w:r>
      <w:r w:rsidRPr="00A3026E">
        <w:rPr>
          <w:rFonts w:ascii="Times New Roman" w:hAnsi="Times New Roman"/>
          <w:color w:val="000000" w:themeColor="text1"/>
          <w:sz w:val="16"/>
          <w:szCs w:val="16"/>
        </w:rPr>
        <w:softHyphen/>
        <w:t>летом берется с серийной машины И-180, деталей коих изготовлено достаточное количество.</w:t>
      </w:r>
    </w:p>
    <w:p w14:paraId="533A95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производство эталона остановлено (9-го сентября с/г) на том этапе, когда все производст</w:t>
      </w:r>
      <w:r w:rsidRPr="00A3026E">
        <w:rPr>
          <w:rFonts w:ascii="Times New Roman" w:hAnsi="Times New Roman"/>
          <w:color w:val="000000" w:themeColor="text1"/>
          <w:sz w:val="16"/>
          <w:szCs w:val="16"/>
        </w:rPr>
        <w:softHyphen/>
        <w:t>венные трудности основных цехов-изготовителей пре</w:t>
      </w:r>
      <w:r w:rsidRPr="00A3026E">
        <w:rPr>
          <w:rFonts w:ascii="Times New Roman" w:hAnsi="Times New Roman"/>
          <w:color w:val="000000" w:themeColor="text1"/>
          <w:sz w:val="16"/>
          <w:szCs w:val="16"/>
        </w:rPr>
        <w:softHyphen/>
        <w:t>одолены и производство машин вступило в фазу сборочных и монтажных работ, на что требовалось не более 1,5-2 месяцев.</w:t>
      </w:r>
    </w:p>
    <w:p w14:paraId="0981CD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Освоение техники производства машины с коренны</w:t>
      </w:r>
      <w:r w:rsidRPr="00A3026E">
        <w:rPr>
          <w:rFonts w:ascii="Times New Roman" w:hAnsi="Times New Roman"/>
          <w:color w:val="000000" w:themeColor="text1"/>
          <w:sz w:val="16"/>
          <w:szCs w:val="16"/>
        </w:rPr>
        <w:softHyphen/>
        <w:t>ми изменениями, улучшающими летно-тактические дан</w:t>
      </w:r>
      <w:r w:rsidRPr="00A3026E">
        <w:rPr>
          <w:rFonts w:ascii="Times New Roman" w:hAnsi="Times New Roman"/>
          <w:color w:val="000000" w:themeColor="text1"/>
          <w:sz w:val="16"/>
          <w:szCs w:val="16"/>
        </w:rPr>
        <w:softHyphen/>
        <w:t>ные ее, потребовали колоссального напряжения всего коллектива завода, а потому ходатайствую перед Нарко</w:t>
      </w:r>
      <w:r w:rsidRPr="00A3026E">
        <w:rPr>
          <w:rFonts w:ascii="Times New Roman" w:hAnsi="Times New Roman"/>
          <w:color w:val="000000" w:themeColor="text1"/>
          <w:sz w:val="16"/>
          <w:szCs w:val="16"/>
        </w:rPr>
        <w:softHyphen/>
        <w:t>матом Авиапромышленности о разрешении возобно</w:t>
      </w:r>
      <w:r w:rsidRPr="00A3026E">
        <w:rPr>
          <w:rFonts w:ascii="Times New Roman" w:hAnsi="Times New Roman"/>
          <w:color w:val="000000" w:themeColor="text1"/>
          <w:sz w:val="16"/>
          <w:szCs w:val="16"/>
        </w:rPr>
        <w:softHyphen/>
        <w:t>вить работы по трем опытным машинам, по коим можно будет судить о возможности запуска ее в серию в 1941 го</w:t>
      </w:r>
      <w:r w:rsidRPr="00A3026E">
        <w:rPr>
          <w:rFonts w:ascii="Times New Roman" w:hAnsi="Times New Roman"/>
          <w:color w:val="000000" w:themeColor="text1"/>
          <w:sz w:val="16"/>
          <w:szCs w:val="16"/>
        </w:rPr>
        <w:softHyphen/>
        <w:t>ду».</w:t>
      </w:r>
    </w:p>
    <w:p w14:paraId="53AA46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ответа на письмо не последовало...(10667).</w:t>
      </w:r>
    </w:p>
    <w:p w14:paraId="4667B9D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5235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на 21 завод за 1.5-2 месяца до нормальной серии пришло письмо НКАП за подписью А.С.Я. "Возобновление работ по трем самолетам И-180, строящимся как эталон для серийного производства завода 21, не может быть разрешено. Производство дальнейших работ по доводкам и испытаниям этих самолетов нецелесообразно, ввиду имеющегося решения по программам завода на 1941. В настоящее время все внимание должно быть обращено на выполнение нового задания, полученного заводом" (1147,30).</w:t>
      </w:r>
    </w:p>
    <w:p w14:paraId="30EA47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1940-го на момент закрытия работ по И-180 в Горьком имелось шесть готовых самолетов (без моторов) из состава войсковой серии. В октябре, несмотря на запреты, так как обстановка еще не была окончательно ясна, шли работы по второй и третьей серии. Общий задел по деталям готовился для сотни машин. Были проведены значительные работы по изготовлению технологической оснастки. Заводы-смежники имели заказы на материалы и полуфабрикаты, ориентируясь на И-180. Днепропетровский завод готовил прокат хромансилевых тавровых профилей, московский "Серп и Молот" - листовой прокат стали 25ХГСА. Однако, наиболее важным представляется то, что двухлетнее напряжение коллектива, стремление довести работу до положительного результата, наконец, стало давать плоды. В октябре конструкторская бригада горьковского завода закончила доработку И-180 - эталона для серийного производства на 1941 год. Этот самолет, известный также как И-180Е-5, имел более переднюю центровку - 21,8 % САХ (вместо 24 у прежних машин), за счет перекомпоновки одностоечного шасси и слегка отогнутых назад консолей крыла. Площадь крыла несколько увеличилась и составила 16,3 кв. м. Кабина пилота закрывалась прозрачным фонарем, лобовая часть козырька включала прозрачную броню. В конструкцию был внесен ряд усилений, на крыле появилась посадочная фара, костыльная установка была оборудована колесом диаметром 300 мм. Все специалисты, причастные к судьбе И-180, защищали его до последнего, они вполне обоснованно считали, что через несколько месяцев можно будет обеспечить выпуск 3-4 таких истребителей ежедневно. Боролся за И-180 и Главный конструктор. Поликарпов неоднократно обращался в правительство с просьбой восстановить производство самолета, однако ответа так и не получил (3203,19).</w:t>
      </w:r>
    </w:p>
    <w:p w14:paraId="26B9003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249C4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года производство И-180 и было остановлено в пользу И-21, тем не менее, несмотря на противодействие В.П. Воронина, в октябре было принято решение о прекращении подготовки к серийному запуску И-21 в серию. На И-21который были брошены лучшие силы и ресурсы завода: если для постройки первых И-180 потребовался почти год, то И-21 построили всего спустя четыре месяца после окончания разработки проекта. Но, как выяснилось, он обладал рядом дефектов. «И-21 с мотором М-105П совершил первый полет в июле 1940 года. В октябре того же года был построен второй экземпляр, а в апреле 1941 года – третий. Самолет имел ряд оригинальных решений, например, фонарь каплевидной формы. На испытаниях И-21 показал хорошую скорость – 573 км/ч, но был недостаточно устойчив, имел ряд других недостатков», – писал об этой машине Ю. Гугля (Гугля Ю. Последние истребители Поликарпова. И-180, И-185. Киев, 1998. С. 14.). Первый экземпляр И-21 разбился. Второй экземпляр, выведенный на заводские испытания в октябре 1940 года, обладал теми же недостатками что и первый – требовалась серьезная переработка конструкции крыла (11672).</w:t>
      </w:r>
    </w:p>
    <w:p w14:paraId="0315740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90FCF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9 сентября 1940 продолжался ремонт И-185, который л Чернавский 3 августа по ошибке посадил с убранными шасси. При этом заменили мотор, сделали новую створку радиатора и новую нижнюю часть капота мотора (6406).</w:t>
      </w:r>
    </w:p>
    <w:p w14:paraId="1E9F427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C4E0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завершился ремонт И-135, который 3 августа 1940, при очеред</w:t>
      </w:r>
      <w:r w:rsidRPr="00A3026E">
        <w:rPr>
          <w:rFonts w:ascii="Times New Roman" w:hAnsi="Times New Roman"/>
          <w:color w:val="000000" w:themeColor="text1"/>
          <w:sz w:val="16"/>
          <w:szCs w:val="16"/>
        </w:rPr>
        <w:softHyphen/>
        <w:t>ном полете И-135 на проверку темпера</w:t>
      </w:r>
      <w:r w:rsidRPr="00A3026E">
        <w:rPr>
          <w:rFonts w:ascii="Times New Roman" w:hAnsi="Times New Roman"/>
          <w:color w:val="000000" w:themeColor="text1"/>
          <w:sz w:val="16"/>
          <w:szCs w:val="16"/>
        </w:rPr>
        <w:softHyphen/>
        <w:t>туры масла, А.П. Чернавский по ошибке посадил с убранными шасси. 13 сентября испытания были про</w:t>
      </w:r>
      <w:r w:rsidRPr="00A3026E">
        <w:rPr>
          <w:rFonts w:ascii="Times New Roman" w:hAnsi="Times New Roman"/>
          <w:color w:val="000000" w:themeColor="text1"/>
          <w:sz w:val="16"/>
          <w:szCs w:val="16"/>
        </w:rPr>
        <w:softHyphen/>
        <w:t>должены летчиком-испытателем П.М.Попельнюшенко. 2 октября, на высоте 6000 м произошло разру</w:t>
      </w:r>
      <w:r w:rsidRPr="00A3026E">
        <w:rPr>
          <w:rFonts w:ascii="Times New Roman" w:hAnsi="Times New Roman"/>
          <w:color w:val="000000" w:themeColor="text1"/>
          <w:sz w:val="16"/>
          <w:szCs w:val="16"/>
        </w:rPr>
        <w:softHyphen/>
        <w:t>шение мотора из-за обрыва шату</w:t>
      </w:r>
      <w:r w:rsidRPr="00A3026E">
        <w:rPr>
          <w:rFonts w:ascii="Times New Roman" w:hAnsi="Times New Roman"/>
          <w:color w:val="000000" w:themeColor="text1"/>
          <w:sz w:val="16"/>
          <w:szCs w:val="16"/>
        </w:rPr>
        <w:softHyphen/>
        <w:t>нов 4-го и 10-го цилиндров. Летчи</w:t>
      </w:r>
      <w:r w:rsidRPr="00A3026E">
        <w:rPr>
          <w:rFonts w:ascii="Times New Roman" w:hAnsi="Times New Roman"/>
          <w:color w:val="000000" w:themeColor="text1"/>
          <w:sz w:val="16"/>
          <w:szCs w:val="16"/>
        </w:rPr>
        <w:softHyphen/>
        <w:t>ку удалось нормально посадить машину. Новый мотор получили лишь в конце октября. Испытания возобновились 10 ноября. Из-за болезни П.М.Попельнюшенко даль</w:t>
      </w:r>
      <w:r w:rsidRPr="00A3026E">
        <w:rPr>
          <w:rFonts w:ascii="Times New Roman" w:hAnsi="Times New Roman"/>
          <w:color w:val="000000" w:themeColor="text1"/>
          <w:sz w:val="16"/>
          <w:szCs w:val="16"/>
        </w:rPr>
        <w:softHyphen/>
        <w:t>нейшие полеты продолжил летчик-испытатель В.П.Федоров. До конца 1940 года по программе испыта</w:t>
      </w:r>
      <w:r w:rsidRPr="00A3026E">
        <w:rPr>
          <w:rFonts w:ascii="Times New Roman" w:hAnsi="Times New Roman"/>
          <w:color w:val="000000" w:themeColor="text1"/>
          <w:sz w:val="16"/>
          <w:szCs w:val="16"/>
        </w:rPr>
        <w:softHyphen/>
        <w:t>ний были выполнены следующие работы:</w:t>
      </w:r>
    </w:p>
    <w:p w14:paraId="41D3A4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определены взлетно-посадоч</w:t>
      </w:r>
      <w:r w:rsidRPr="00A3026E">
        <w:rPr>
          <w:rFonts w:ascii="Times New Roman" w:hAnsi="Times New Roman"/>
          <w:color w:val="000000" w:themeColor="text1"/>
          <w:sz w:val="16"/>
          <w:szCs w:val="16"/>
        </w:rPr>
        <w:softHyphen/>
        <w:t>ные характеристиками;</w:t>
      </w:r>
    </w:p>
    <w:p w14:paraId="6F4ECD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сняты балансировочные кри</w:t>
      </w:r>
      <w:r w:rsidRPr="00A3026E">
        <w:rPr>
          <w:rFonts w:ascii="Times New Roman" w:hAnsi="Times New Roman"/>
          <w:color w:val="000000" w:themeColor="text1"/>
          <w:sz w:val="16"/>
          <w:szCs w:val="16"/>
        </w:rPr>
        <w:softHyphen/>
        <w:t>вые в горизонтальном полете, при планировании и при наборе высо</w:t>
      </w:r>
      <w:r w:rsidRPr="00A3026E">
        <w:rPr>
          <w:rFonts w:ascii="Times New Roman" w:hAnsi="Times New Roman"/>
          <w:color w:val="000000" w:themeColor="text1"/>
          <w:sz w:val="16"/>
          <w:szCs w:val="16"/>
        </w:rPr>
        <w:softHyphen/>
        <w:t>ты;</w:t>
      </w:r>
    </w:p>
    <w:p w14:paraId="3D2908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сняты максимальные скорости на высотах до 6000 м. (зафиксирова</w:t>
      </w:r>
      <w:r w:rsidRPr="00A3026E">
        <w:rPr>
          <w:rFonts w:ascii="Times New Roman" w:hAnsi="Times New Roman"/>
          <w:color w:val="000000" w:themeColor="text1"/>
          <w:sz w:val="16"/>
          <w:szCs w:val="16"/>
        </w:rPr>
        <w:softHyphen/>
        <w:t>на максимальная скорость 580 км/ч на высоте 4000 м);</w:t>
      </w:r>
    </w:p>
    <w:p w14:paraId="6A4869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определена скороподъемность до 5000 м;</w:t>
      </w:r>
    </w:p>
    <w:p w14:paraId="77025C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проведено испытание на флат</w:t>
      </w:r>
      <w:r w:rsidRPr="00A3026E">
        <w:rPr>
          <w:rFonts w:ascii="Times New Roman" w:hAnsi="Times New Roman"/>
          <w:color w:val="000000" w:themeColor="text1"/>
          <w:sz w:val="16"/>
          <w:szCs w:val="16"/>
        </w:rPr>
        <w:softHyphen/>
        <w:t>тер и бафтинг в диапазоне скорос</w:t>
      </w:r>
      <w:r w:rsidRPr="00A3026E">
        <w:rPr>
          <w:rFonts w:ascii="Times New Roman" w:hAnsi="Times New Roman"/>
          <w:color w:val="000000" w:themeColor="text1"/>
          <w:sz w:val="16"/>
          <w:szCs w:val="16"/>
        </w:rPr>
        <w:softHyphen/>
        <w:t>тей от 150 до 600 км/ч по прибору;</w:t>
      </w:r>
    </w:p>
    <w:p w14:paraId="30A5B6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произведен отстрел оружия в тире.</w:t>
      </w:r>
    </w:p>
    <w:p w14:paraId="605699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летных испытаний само</w:t>
      </w:r>
      <w:r w:rsidRPr="00A3026E">
        <w:rPr>
          <w:rFonts w:ascii="Times New Roman" w:hAnsi="Times New Roman"/>
          <w:color w:val="000000" w:themeColor="text1"/>
          <w:sz w:val="16"/>
          <w:szCs w:val="16"/>
        </w:rPr>
        <w:softHyphen/>
        <w:t>лет Су-1 показал хорошую продоль</w:t>
      </w:r>
      <w:r w:rsidRPr="00A3026E">
        <w:rPr>
          <w:rFonts w:ascii="Times New Roman" w:hAnsi="Times New Roman"/>
          <w:color w:val="000000" w:themeColor="text1"/>
          <w:sz w:val="16"/>
          <w:szCs w:val="16"/>
        </w:rPr>
        <w:softHyphen/>
        <w:t>ную и поперечную устойчивость. Взлет и посадка отличались просто</w:t>
      </w:r>
      <w:r w:rsidRPr="00A3026E">
        <w:rPr>
          <w:rFonts w:ascii="Times New Roman" w:hAnsi="Times New Roman"/>
          <w:color w:val="000000" w:themeColor="text1"/>
          <w:sz w:val="16"/>
          <w:szCs w:val="16"/>
        </w:rPr>
        <w:softHyphen/>
        <w:t>той и никаких особенностей не име</w:t>
      </w:r>
      <w:r w:rsidRPr="00A3026E">
        <w:rPr>
          <w:rFonts w:ascii="Times New Roman" w:hAnsi="Times New Roman"/>
          <w:color w:val="000000" w:themeColor="text1"/>
          <w:sz w:val="16"/>
          <w:szCs w:val="16"/>
        </w:rPr>
        <w:softHyphen/>
        <w:t>ли. Усилия на ручку и педали - нор</w:t>
      </w:r>
      <w:r w:rsidRPr="00A3026E">
        <w:rPr>
          <w:rFonts w:ascii="Times New Roman" w:hAnsi="Times New Roman"/>
          <w:color w:val="000000" w:themeColor="text1"/>
          <w:sz w:val="16"/>
          <w:szCs w:val="16"/>
        </w:rPr>
        <w:softHyphen/>
        <w:t>мальные (11847).</w:t>
      </w:r>
    </w:p>
    <w:p w14:paraId="754A9C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A5F3FBC" w14:textId="77777777" w:rsidR="00A84B65" w:rsidRPr="00A3026E" w:rsidRDefault="00A84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завершился ремонт И-135, а 13 сентября испытания были продолжены летчиком-испытателем П.М.Попельнюшенко. 2 октября, на высоте 6000 м произошло разрушение мотора из-за обрыва шатунов 4-го и 10-го цилиндров. Летчику удалось нормально посадить машину. Новый мотор получили лишь в конце октября. Испытания возобновились 10 ноября. Из-за болезни П.М.Попельнюшенко дальнейшие полеты продолжил летчик-испытатель В.П.Федоров. До конца 1940 года по программе испытаний были выполнены следующие работы:</w:t>
      </w:r>
    </w:p>
    <w:p w14:paraId="431CF62C" w14:textId="77777777" w:rsidR="00A84B65" w:rsidRPr="00A3026E" w:rsidRDefault="00A84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определены взлетно-посадочные характеристиками;</w:t>
      </w:r>
    </w:p>
    <w:p w14:paraId="491CDEE2" w14:textId="77777777" w:rsidR="00A84B65" w:rsidRPr="00A3026E" w:rsidRDefault="00A84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сняты балансировочные кривые в горизонтальном полете, при планировании и при наборе высоты;</w:t>
      </w:r>
    </w:p>
    <w:p w14:paraId="739F6954" w14:textId="77777777" w:rsidR="00A84B65" w:rsidRPr="00A3026E" w:rsidRDefault="00A84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сняты максимальные скорости на высотах до 6000 м. (зафиксирована максимальная скорость 580 км/ч на высоте 4000 м);</w:t>
      </w:r>
    </w:p>
    <w:p w14:paraId="4598A491" w14:textId="77777777" w:rsidR="00A84B65" w:rsidRPr="00A3026E" w:rsidRDefault="00A84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определена скороподъемность до 5000 м;</w:t>
      </w:r>
    </w:p>
    <w:p w14:paraId="0BEE1BA1" w14:textId="77777777" w:rsidR="00A84B65" w:rsidRPr="00A3026E" w:rsidRDefault="00A84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проведено испытание на флаттер и бафтинг в диапазоне скоростей от 150 до 600 км/ч по прибору;</w:t>
      </w:r>
    </w:p>
    <w:p w14:paraId="48A6B7DE" w14:textId="77777777" w:rsidR="00A84B65" w:rsidRPr="00A3026E" w:rsidRDefault="00A84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 отстрел оружия в тире.</w:t>
      </w:r>
    </w:p>
    <w:p w14:paraId="3EE8AB52" w14:textId="77777777" w:rsidR="00A84B65" w:rsidRPr="00A3026E" w:rsidRDefault="00A84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летных испытаний самолет Су-1 показал хорошую продольную и поперечную устойчивость. Взлет и посадка отличались простотой и никаких особенностей не имели. Усилия на ручку и педали – нормальные (15578).</w:t>
      </w:r>
    </w:p>
    <w:p w14:paraId="7F01434D" w14:textId="77777777" w:rsidR="00A84B65" w:rsidRPr="00A3026E" w:rsidRDefault="00A84B65" w:rsidP="00A3026E">
      <w:pPr>
        <w:spacing w:after="0" w:line="240" w:lineRule="auto"/>
        <w:jc w:val="both"/>
        <w:rPr>
          <w:rFonts w:ascii="Times New Roman" w:hAnsi="Times New Roman"/>
          <w:color w:val="000000" w:themeColor="text1"/>
          <w:sz w:val="16"/>
          <w:szCs w:val="16"/>
        </w:rPr>
      </w:pPr>
    </w:p>
    <w:p w14:paraId="6E7FCAFE" w14:textId="77777777" w:rsidR="00A84B65" w:rsidRPr="00A3026E" w:rsidRDefault="00A84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сентября 1940 г. Сергей Алексеевич Кочеригин подписал эскизный проект четырехместного двухмоторного истребителя </w:t>
      </w:r>
      <w:hyperlink r:id="rId7" w:tgtFrame="_blank" w:history="1">
        <w:r w:rsidRPr="00A3026E">
          <w:rPr>
            <w:rFonts w:ascii="Times New Roman" w:hAnsi="Times New Roman"/>
            <w:color w:val="000000" w:themeColor="text1"/>
            <w:sz w:val="16"/>
            <w:szCs w:val="16"/>
          </w:rPr>
          <w:t>танк</w:t>
        </w:r>
      </w:hyperlink>
      <w:r w:rsidRPr="00A3026E">
        <w:rPr>
          <w:rFonts w:ascii="Times New Roman" w:hAnsi="Times New Roman"/>
          <w:color w:val="000000" w:themeColor="text1"/>
          <w:sz w:val="16"/>
          <w:szCs w:val="16"/>
        </w:rPr>
        <w:t>ов ИТ. Несколько раньше, еще до начала проектных работ по ИТ с двумя перспектиными и очень мощными двигателями АМ-37 конструкции А.А.Микулина, в августе 1940 г. в бригаде общих видов делались прикидки и прорисовки аналогичного самолета под два, как их тогда называли, "поросеночка", т.е. М-90. Этот мотор поражал воображение многих конструкторов-самолетчиков своей мощностью и габаритами. Если бы его не слепил из двух модифицированных моторов М-22У конструктор Е.В. Урмин, то, наверное, не было бы у нас более крупного двигателя в 1940 г. Напомним, что на этом Урмин успокоиться не мог, и уже велись проектные разработки строенного мотора такой же схемы М-95, который при 27 цилиндрах развивал бы мощность 3300 л.с. Но это были работы, относящиеся к 1942 г., а приведены здесь для понятия о том, что такое М-90 (15589).</w:t>
      </w:r>
    </w:p>
    <w:p w14:paraId="379B7360" w14:textId="77777777" w:rsidR="00A84B65" w:rsidRPr="00A3026E" w:rsidRDefault="00A84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своей аэродинамической компоновке ИТ был явно выраженным среднепланом с прямым крылом и разнесенным вертикальным оперением на концах стабилизатора. В этом аппарате был предложен максимум механизации крыла и фюзеляжа. Фюзеляж не должен был иметь выступающих частей и надстроек для достижения наибольшей скорости полета 680-700 км/ч. В передней застекленной части фюзеляжа с пулеметом ШКАС находился штурман-стрелок. Далее был размещен орудийный отсек с четырьмя пушками ШВАК, а внизу на сменном блоке были установлены два 37-мм орудия "11П" (по 50 сн.) или две пушки 111П калибра 45 мм (по 40 сн.). Еще два пулемета ШКАС были у стрелка в задней части корпуса. Один пулемет находился в верхнем проеме, а другой - в нижней опускающейся кабине. Фонарь кабины летчика также был подвижным в вертикальной плоскости и мог подниматься вместе с пилотом для обеспечения ему кругового обзора. Опускающаяся кабина нижнего стрелка была выполнена как на самолете АНТ-7. В состав вооружения входил еще один пулемет ШКАС, расположенный в подвижном фонаре летчика для защиты с задней полусферы.</w:t>
      </w:r>
    </w:p>
    <w:p w14:paraId="61A60283" w14:textId="77777777" w:rsidR="00A84B65" w:rsidRPr="00A3026E" w:rsidRDefault="00A84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самолета была задумана цельнометаллической. Фюзеляж должен был набираться из 14 основных шпангоутов эллиптического сечения и 8 вспомогательных шпангоутов-диафрагм для местного поддержания обшивки сверху и снизу корпуса. Передняя часть фюзеляжа имела ферменную конструкцию, базируемую от каркаса и имела превосходное остекление для передне-бокового обзора трех членов экипажа, находящихся в передней части фюзеляжа. Радист был расположен под лонжеронами центроплана крыла в положении задом-наперед, и для его головы был обеспечен боковой обзор в зоне верхней турели. Бортовой стрелок занимал свое место через верхний люк и по необходимости в бою мог занять лежачее положение для ведения оборонительного огня из хвостового пулемета ШКАС.</w:t>
      </w:r>
    </w:p>
    <w:p w14:paraId="38BB5739" w14:textId="77777777" w:rsidR="00A84B65" w:rsidRPr="00A3026E" w:rsidRDefault="00A84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Самолет ИТ с первоначальным вариантом силовой установки (2×М-90) имел входные отверстия для воздуха в центроплане крыла вблизи моторов и кольцевые маслорадиаторы внутри капотов двигателей. Модификация ИТ 2А-37 имела маслорадиаторы с регулируемыми выходными клапанами под капотами двигателей, которые могли быть открытыми вниз на взлете, посадке, полете на малых скоростях и при газовках на стоянке. В процессе проектирования самолета с моторами М-90 его уменьшенные в 1/5 от натуральной величины модели проходили продувки в аэродинамических трубах ЦАГИ, которые показали хорошие аэродинамические свойства самолета. Модель аналогичного масштаба продувалась на штопор в трубе Т-105 в феврале 1941 г.</w:t>
      </w:r>
    </w:p>
    <w:p w14:paraId="060DF450" w14:textId="77777777" w:rsidR="00A84B65" w:rsidRPr="00A3026E" w:rsidRDefault="00A84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имело прямую переднюю кромку с предкрылками на наибольшей длине консолей с использованием части размаха центроплана. Задняя кромка была образована взлетно-посадочной механизацией, состоящей из шести секций закрылков по всему размаху и плавающими элеронами, которые могли выполнять функции щитков-закрылков на взлете и посадке.</w:t>
      </w:r>
    </w:p>
    <w:p w14:paraId="606242EE" w14:textId="77777777" w:rsidR="00A84B65" w:rsidRPr="00A3026E" w:rsidRDefault="00A84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Топливные баки были размещены в передней части крыла и в дополнительной емкости между лонжеронами центроплана и двигателями (за водорадиаторами у самолета ИТ с 2×АМ-37) и за их пределами до стыковых нервюр центроплана и консолей.</w:t>
      </w:r>
    </w:p>
    <w:p w14:paraId="34AE8232" w14:textId="77777777" w:rsidR="00A84B65" w:rsidRPr="00A3026E" w:rsidRDefault="00A84B6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началом войны ОКБ С.А.Кочеригина все работы по проектам вынуждено было прекратить. Ожидаемые 690 км/ч самолета ИТ так и остались в расчетном значении (15589).</w:t>
      </w:r>
    </w:p>
    <w:p w14:paraId="25C59AEC" w14:textId="77777777" w:rsidR="00A84B65" w:rsidRPr="00A3026E" w:rsidRDefault="00A84B65" w:rsidP="00A3026E">
      <w:pPr>
        <w:spacing w:after="0" w:line="240" w:lineRule="auto"/>
        <w:jc w:val="both"/>
        <w:rPr>
          <w:rFonts w:ascii="Times New Roman" w:hAnsi="Times New Roman"/>
          <w:color w:val="000000" w:themeColor="text1"/>
          <w:sz w:val="16"/>
          <w:szCs w:val="16"/>
        </w:rPr>
      </w:pPr>
    </w:p>
    <w:p w14:paraId="28D512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 Болховитиновым был представ</w:t>
      </w:r>
      <w:r w:rsidRPr="00A3026E">
        <w:rPr>
          <w:rFonts w:ascii="Times New Roman" w:hAnsi="Times New Roman"/>
          <w:color w:val="000000" w:themeColor="text1"/>
          <w:sz w:val="16"/>
          <w:szCs w:val="16"/>
        </w:rPr>
        <w:softHyphen/>
        <w:t>лен НКАП тов. ЯКОВЛЕВУ и ВВС тов РЫЧАГОВУ эскизный проект истребителя дальнего действия (4049,57).</w:t>
      </w:r>
    </w:p>
    <w:p w14:paraId="113925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86625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вышел приказ 7 ГУ НКАП N 31:</w:t>
      </w:r>
    </w:p>
    <w:p w14:paraId="61C305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приказа НКАП N 147с от 28 марта 1940:</w:t>
      </w:r>
    </w:p>
    <w:p w14:paraId="11B3F5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готовности самолета КОР-2 конструкции Г.М.Б. к 1 полету назначить комиссию..." (2031,51).</w:t>
      </w:r>
    </w:p>
    <w:p w14:paraId="3FE96CB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8FCD8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была подготовлена справка по опытным самолетам и модификациям, находящимся в проектировании, постройке и испытаниях в 1939 и 1940 (2090,185)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915"/>
        <w:gridCol w:w="1920"/>
        <w:gridCol w:w="1984"/>
        <w:gridCol w:w="855"/>
        <w:gridCol w:w="2689"/>
      </w:tblGrid>
      <w:tr w:rsidR="00983732" w:rsidRPr="00A3026E" w14:paraId="28F625AB" w14:textId="77777777" w:rsidTr="00EA0DA7">
        <w:tc>
          <w:tcPr>
            <w:tcW w:w="2235" w:type="dxa"/>
            <w:tcBorders>
              <w:top w:val="single" w:sz="12" w:space="0" w:color="auto"/>
            </w:tcBorders>
          </w:tcPr>
          <w:p w14:paraId="170440F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15" w:type="dxa"/>
            <w:tcBorders>
              <w:top w:val="single" w:sz="12" w:space="0" w:color="auto"/>
            </w:tcBorders>
          </w:tcPr>
          <w:p w14:paraId="193E43E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20" w:type="dxa"/>
            <w:tcBorders>
              <w:top w:val="single" w:sz="12" w:space="0" w:color="auto"/>
            </w:tcBorders>
          </w:tcPr>
          <w:p w14:paraId="04BF3F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1984" w:type="dxa"/>
            <w:tcBorders>
              <w:top w:val="single" w:sz="12" w:space="0" w:color="auto"/>
            </w:tcBorders>
          </w:tcPr>
          <w:p w14:paraId="37FC510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55" w:type="dxa"/>
            <w:tcBorders>
              <w:top w:val="single" w:sz="12" w:space="0" w:color="auto"/>
            </w:tcBorders>
          </w:tcPr>
          <w:p w14:paraId="65BD7BE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Borders>
              <w:top w:val="single" w:sz="12" w:space="0" w:color="auto"/>
            </w:tcBorders>
          </w:tcPr>
          <w:p w14:paraId="3147C2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r>
      <w:tr w:rsidR="00983732" w:rsidRPr="00A3026E" w14:paraId="7D4A3897" w14:textId="77777777" w:rsidTr="00EA0DA7">
        <w:tc>
          <w:tcPr>
            <w:tcW w:w="2235" w:type="dxa"/>
          </w:tcPr>
          <w:p w14:paraId="060FEA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N Самолет</w:t>
            </w:r>
          </w:p>
        </w:tc>
        <w:tc>
          <w:tcPr>
            <w:tcW w:w="915" w:type="dxa"/>
          </w:tcPr>
          <w:p w14:paraId="2B98F2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w:t>
            </w:r>
          </w:p>
        </w:tc>
        <w:tc>
          <w:tcPr>
            <w:tcW w:w="1920" w:type="dxa"/>
          </w:tcPr>
          <w:p w14:paraId="259583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Окончание</w:t>
            </w:r>
          </w:p>
        </w:tc>
        <w:tc>
          <w:tcPr>
            <w:tcW w:w="1984" w:type="dxa"/>
          </w:tcPr>
          <w:p w14:paraId="73D3E0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N Самолет</w:t>
            </w:r>
          </w:p>
        </w:tc>
        <w:tc>
          <w:tcPr>
            <w:tcW w:w="855" w:type="dxa"/>
          </w:tcPr>
          <w:p w14:paraId="2253B1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w:t>
            </w:r>
          </w:p>
        </w:tc>
        <w:tc>
          <w:tcPr>
            <w:tcW w:w="2689" w:type="dxa"/>
          </w:tcPr>
          <w:p w14:paraId="7FDA85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Окончание</w:t>
            </w:r>
          </w:p>
        </w:tc>
      </w:tr>
      <w:tr w:rsidR="00983732" w:rsidRPr="00A3026E" w14:paraId="7AFDE8CC" w14:textId="77777777" w:rsidTr="00EA0DA7">
        <w:tc>
          <w:tcPr>
            <w:tcW w:w="2235" w:type="dxa"/>
          </w:tcPr>
          <w:p w14:paraId="236A063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15" w:type="dxa"/>
          </w:tcPr>
          <w:p w14:paraId="357E6F7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20" w:type="dxa"/>
          </w:tcPr>
          <w:p w14:paraId="4E85D94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7FED5E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w:t>
            </w:r>
          </w:p>
        </w:tc>
        <w:tc>
          <w:tcPr>
            <w:tcW w:w="855" w:type="dxa"/>
          </w:tcPr>
          <w:p w14:paraId="504E0E1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5D7F62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w:t>
            </w:r>
          </w:p>
        </w:tc>
      </w:tr>
      <w:tr w:rsidR="00983732" w:rsidRPr="00A3026E" w14:paraId="7951FEAD" w14:textId="77777777" w:rsidTr="00EA0DA7">
        <w:tc>
          <w:tcPr>
            <w:tcW w:w="2235" w:type="dxa"/>
          </w:tcPr>
          <w:p w14:paraId="79D8DF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И-15бис 4 ШКАС</w:t>
            </w:r>
          </w:p>
        </w:tc>
        <w:tc>
          <w:tcPr>
            <w:tcW w:w="915" w:type="dxa"/>
          </w:tcPr>
          <w:p w14:paraId="0FF9B8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7A1F32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серии</w:t>
            </w:r>
          </w:p>
        </w:tc>
        <w:tc>
          <w:tcPr>
            <w:tcW w:w="1984" w:type="dxa"/>
          </w:tcPr>
          <w:p w14:paraId="19DDF6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733EFA7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521B387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2CA2E4F" w14:textId="77777777" w:rsidTr="00EA0DA7">
        <w:tc>
          <w:tcPr>
            <w:tcW w:w="2235" w:type="dxa"/>
          </w:tcPr>
          <w:p w14:paraId="59A41D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И-15бис М25ВТК</w:t>
            </w:r>
          </w:p>
        </w:tc>
        <w:tc>
          <w:tcPr>
            <w:tcW w:w="915" w:type="dxa"/>
          </w:tcPr>
          <w:p w14:paraId="081410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04C617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сдан в НИИ ВВС</w:t>
            </w:r>
          </w:p>
        </w:tc>
        <w:tc>
          <w:tcPr>
            <w:tcW w:w="1984" w:type="dxa"/>
          </w:tcPr>
          <w:p w14:paraId="3E92EC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2595138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631BF67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395997F" w14:textId="77777777" w:rsidTr="00EA0DA7">
        <w:tc>
          <w:tcPr>
            <w:tcW w:w="2235" w:type="dxa"/>
          </w:tcPr>
          <w:p w14:paraId="615F5D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И-153 М-62</w:t>
            </w:r>
          </w:p>
        </w:tc>
        <w:tc>
          <w:tcPr>
            <w:tcW w:w="915" w:type="dxa"/>
          </w:tcPr>
          <w:p w14:paraId="229A5D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16F122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серии</w:t>
            </w:r>
          </w:p>
        </w:tc>
        <w:tc>
          <w:tcPr>
            <w:tcW w:w="1984" w:type="dxa"/>
          </w:tcPr>
          <w:p w14:paraId="3BB714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799545D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6EA463C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2E2C884" w14:textId="77777777" w:rsidTr="00EA0DA7">
        <w:tc>
          <w:tcPr>
            <w:tcW w:w="2235" w:type="dxa"/>
          </w:tcPr>
          <w:p w14:paraId="0D2E77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И-153 М-62ТК</w:t>
            </w:r>
          </w:p>
        </w:tc>
        <w:tc>
          <w:tcPr>
            <w:tcW w:w="915" w:type="dxa"/>
          </w:tcPr>
          <w:p w14:paraId="4AB9A4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4EF97F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сдан в НИИ ВВС</w:t>
            </w:r>
          </w:p>
        </w:tc>
        <w:tc>
          <w:tcPr>
            <w:tcW w:w="1984" w:type="dxa"/>
          </w:tcPr>
          <w:p w14:paraId="54AAA0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30EC1F3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6D76D55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A63C062" w14:textId="77777777" w:rsidTr="00EA0DA7">
        <w:tc>
          <w:tcPr>
            <w:tcW w:w="2235" w:type="dxa"/>
          </w:tcPr>
          <w:p w14:paraId="513331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И-153 М-25ТК</w:t>
            </w:r>
          </w:p>
        </w:tc>
        <w:tc>
          <w:tcPr>
            <w:tcW w:w="915" w:type="dxa"/>
          </w:tcPr>
          <w:p w14:paraId="33EE2D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5344F3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сдан в НИИ ВВС</w:t>
            </w:r>
          </w:p>
        </w:tc>
        <w:tc>
          <w:tcPr>
            <w:tcW w:w="1984" w:type="dxa"/>
          </w:tcPr>
          <w:p w14:paraId="173859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67DF971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07B4491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9D4375B" w14:textId="77777777" w:rsidTr="00EA0DA7">
        <w:tc>
          <w:tcPr>
            <w:tcW w:w="2235" w:type="dxa"/>
          </w:tcPr>
          <w:p w14:paraId="4FD833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И-153 М-63</w:t>
            </w:r>
          </w:p>
        </w:tc>
        <w:tc>
          <w:tcPr>
            <w:tcW w:w="915" w:type="dxa"/>
          </w:tcPr>
          <w:p w14:paraId="3444AB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4969AF4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767718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51E0C1F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367D23D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1D424A6" w14:textId="77777777" w:rsidTr="00EA0DA7">
        <w:tc>
          <w:tcPr>
            <w:tcW w:w="2235" w:type="dxa"/>
          </w:tcPr>
          <w:p w14:paraId="5D5C98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И-153 с БС</w:t>
            </w:r>
          </w:p>
        </w:tc>
        <w:tc>
          <w:tcPr>
            <w:tcW w:w="915" w:type="dxa"/>
          </w:tcPr>
          <w:p w14:paraId="44614B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63965E3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1AA986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748E360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0EBBB32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B3D84D2" w14:textId="77777777" w:rsidTr="00EA0DA7">
        <w:tc>
          <w:tcPr>
            <w:tcW w:w="2235" w:type="dxa"/>
          </w:tcPr>
          <w:p w14:paraId="528ED3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И-16 М-62ТК</w:t>
            </w:r>
          </w:p>
        </w:tc>
        <w:tc>
          <w:tcPr>
            <w:tcW w:w="915" w:type="dxa"/>
          </w:tcPr>
          <w:p w14:paraId="4C5349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3248172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12AD68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2197391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4176879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A956747" w14:textId="77777777" w:rsidTr="00EA0DA7">
        <w:tc>
          <w:tcPr>
            <w:tcW w:w="2235" w:type="dxa"/>
          </w:tcPr>
          <w:p w14:paraId="021D76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И-16 М-62</w:t>
            </w:r>
          </w:p>
        </w:tc>
        <w:tc>
          <w:tcPr>
            <w:tcW w:w="915" w:type="dxa"/>
          </w:tcPr>
          <w:p w14:paraId="3F6A5D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6E8E8A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серии</w:t>
            </w:r>
          </w:p>
        </w:tc>
        <w:tc>
          <w:tcPr>
            <w:tcW w:w="1984" w:type="dxa"/>
          </w:tcPr>
          <w:p w14:paraId="6D5F27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767523B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06E8587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170A3A7" w14:textId="77777777" w:rsidTr="00EA0DA7">
        <w:tc>
          <w:tcPr>
            <w:tcW w:w="2235" w:type="dxa"/>
          </w:tcPr>
          <w:p w14:paraId="70A7D7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И-153ГК М-63ТК</w:t>
            </w:r>
          </w:p>
        </w:tc>
        <w:tc>
          <w:tcPr>
            <w:tcW w:w="915" w:type="dxa"/>
          </w:tcPr>
          <w:p w14:paraId="71F69E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1D316D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Перешел на 1940</w:t>
            </w:r>
          </w:p>
        </w:tc>
        <w:tc>
          <w:tcPr>
            <w:tcW w:w="1984" w:type="dxa"/>
          </w:tcPr>
          <w:p w14:paraId="0C4737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И-153ГК М-63ТК</w:t>
            </w:r>
          </w:p>
        </w:tc>
        <w:tc>
          <w:tcPr>
            <w:tcW w:w="855" w:type="dxa"/>
          </w:tcPr>
          <w:p w14:paraId="2327AD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2689" w:type="dxa"/>
          </w:tcPr>
          <w:p w14:paraId="44411FE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0CF32C3" w14:textId="77777777" w:rsidTr="00EA0DA7">
        <w:tc>
          <w:tcPr>
            <w:tcW w:w="2235" w:type="dxa"/>
          </w:tcPr>
          <w:p w14:paraId="2942F7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И-153 дер.фюз.</w:t>
            </w:r>
          </w:p>
        </w:tc>
        <w:tc>
          <w:tcPr>
            <w:tcW w:w="915" w:type="dxa"/>
          </w:tcPr>
          <w:p w14:paraId="092C9E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0FC86E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17340B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И-153 дер.фюз.</w:t>
            </w:r>
          </w:p>
        </w:tc>
        <w:tc>
          <w:tcPr>
            <w:tcW w:w="855" w:type="dxa"/>
          </w:tcPr>
          <w:p w14:paraId="42ACC8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2689" w:type="dxa"/>
          </w:tcPr>
          <w:p w14:paraId="7985E5D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1743205" w14:textId="77777777" w:rsidTr="00EA0DA7">
        <w:tc>
          <w:tcPr>
            <w:tcW w:w="2235" w:type="dxa"/>
          </w:tcPr>
          <w:p w14:paraId="47DB2B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И-180</w:t>
            </w:r>
          </w:p>
        </w:tc>
        <w:tc>
          <w:tcPr>
            <w:tcW w:w="915" w:type="dxa"/>
          </w:tcPr>
          <w:p w14:paraId="3E244E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11DF58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404FEC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И-180</w:t>
            </w:r>
          </w:p>
        </w:tc>
        <w:tc>
          <w:tcPr>
            <w:tcW w:w="855" w:type="dxa"/>
          </w:tcPr>
          <w:p w14:paraId="553B0A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2689" w:type="dxa"/>
          </w:tcPr>
          <w:p w14:paraId="5513536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7658BF7" w14:textId="77777777" w:rsidTr="00EA0DA7">
        <w:tc>
          <w:tcPr>
            <w:tcW w:w="2235" w:type="dxa"/>
          </w:tcPr>
          <w:p w14:paraId="41AFD7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И-180ТК</w:t>
            </w:r>
          </w:p>
        </w:tc>
        <w:tc>
          <w:tcPr>
            <w:tcW w:w="915" w:type="dxa"/>
          </w:tcPr>
          <w:p w14:paraId="11E013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5C6A29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6FBD12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И-180ТК</w:t>
            </w:r>
          </w:p>
        </w:tc>
        <w:tc>
          <w:tcPr>
            <w:tcW w:w="855" w:type="dxa"/>
          </w:tcPr>
          <w:p w14:paraId="438736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2689" w:type="dxa"/>
          </w:tcPr>
          <w:p w14:paraId="3535AE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задание снято</w:t>
            </w:r>
          </w:p>
        </w:tc>
      </w:tr>
      <w:tr w:rsidR="00983732" w:rsidRPr="00A3026E" w14:paraId="768D37C0" w14:textId="77777777" w:rsidTr="00EA0DA7">
        <w:tc>
          <w:tcPr>
            <w:tcW w:w="2235" w:type="dxa"/>
          </w:tcPr>
          <w:p w14:paraId="3DB75F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ВИТ-2</w:t>
            </w:r>
          </w:p>
        </w:tc>
        <w:tc>
          <w:tcPr>
            <w:tcW w:w="915" w:type="dxa"/>
          </w:tcPr>
          <w:p w14:paraId="3EC8DA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3A6C15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984" w:type="dxa"/>
          </w:tcPr>
          <w:p w14:paraId="5F8CC1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35E23A7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42E8C2F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57AFA32" w14:textId="77777777" w:rsidTr="00EA0DA7">
        <w:tc>
          <w:tcPr>
            <w:tcW w:w="2235" w:type="dxa"/>
          </w:tcPr>
          <w:p w14:paraId="22A0CA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СПБ</w:t>
            </w:r>
          </w:p>
        </w:tc>
        <w:tc>
          <w:tcPr>
            <w:tcW w:w="915" w:type="dxa"/>
          </w:tcPr>
          <w:p w14:paraId="0D8FB1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5C9A1F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1FC57E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СПБ</w:t>
            </w:r>
          </w:p>
        </w:tc>
        <w:tc>
          <w:tcPr>
            <w:tcW w:w="855" w:type="dxa"/>
          </w:tcPr>
          <w:p w14:paraId="769AD7A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2D4FB2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r>
      <w:tr w:rsidR="00983732" w:rsidRPr="00A3026E" w14:paraId="6EE9B451" w14:textId="77777777" w:rsidTr="00EA0DA7">
        <w:tc>
          <w:tcPr>
            <w:tcW w:w="2235" w:type="dxa"/>
          </w:tcPr>
          <w:p w14:paraId="39DD2A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Иванов М-63</w:t>
            </w:r>
          </w:p>
        </w:tc>
        <w:tc>
          <w:tcPr>
            <w:tcW w:w="915" w:type="dxa"/>
          </w:tcPr>
          <w:p w14:paraId="74B559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6C2929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023907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Иванов М-63</w:t>
            </w:r>
          </w:p>
        </w:tc>
        <w:tc>
          <w:tcPr>
            <w:tcW w:w="855" w:type="dxa"/>
          </w:tcPr>
          <w:p w14:paraId="60CFE4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2689" w:type="dxa"/>
          </w:tcPr>
          <w:p w14:paraId="227148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прекращены</w:t>
            </w:r>
          </w:p>
        </w:tc>
      </w:tr>
      <w:tr w:rsidR="00983732" w:rsidRPr="00A3026E" w14:paraId="2B45960C" w14:textId="77777777" w:rsidTr="00EA0DA7">
        <w:tc>
          <w:tcPr>
            <w:tcW w:w="2235" w:type="dxa"/>
          </w:tcPr>
          <w:p w14:paraId="16B771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И-16 нов. воор.</w:t>
            </w:r>
          </w:p>
        </w:tc>
        <w:tc>
          <w:tcPr>
            <w:tcW w:w="915" w:type="dxa"/>
          </w:tcPr>
          <w:p w14:paraId="168823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7FC7578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1D7557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39AF1B3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0DB31BF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5A02FD8" w14:textId="77777777" w:rsidTr="00EA0DA7">
        <w:tc>
          <w:tcPr>
            <w:tcW w:w="2235" w:type="dxa"/>
          </w:tcPr>
          <w:p w14:paraId="279A1B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ВИТ-1</w:t>
            </w:r>
          </w:p>
        </w:tc>
        <w:tc>
          <w:tcPr>
            <w:tcW w:w="915" w:type="dxa"/>
          </w:tcPr>
          <w:p w14:paraId="5E26B8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0E8CE24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4DD161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749D50A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522B63C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B5E9AC9" w14:textId="77777777" w:rsidTr="00EA0DA7">
        <w:tc>
          <w:tcPr>
            <w:tcW w:w="2235" w:type="dxa"/>
          </w:tcPr>
          <w:p w14:paraId="4D586E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И-190 М-88</w:t>
            </w:r>
          </w:p>
        </w:tc>
        <w:tc>
          <w:tcPr>
            <w:tcW w:w="915" w:type="dxa"/>
          </w:tcPr>
          <w:p w14:paraId="54868B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489858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17771A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И-190 М-88</w:t>
            </w:r>
          </w:p>
        </w:tc>
        <w:tc>
          <w:tcPr>
            <w:tcW w:w="855" w:type="dxa"/>
          </w:tcPr>
          <w:p w14:paraId="4F3DC5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2689" w:type="dxa"/>
          </w:tcPr>
          <w:p w14:paraId="0FD938A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A4B0AF0" w14:textId="77777777" w:rsidTr="00EA0DA7">
        <w:tc>
          <w:tcPr>
            <w:tcW w:w="2235" w:type="dxa"/>
          </w:tcPr>
          <w:p w14:paraId="1764D5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И-190 М-88ТК</w:t>
            </w:r>
          </w:p>
        </w:tc>
        <w:tc>
          <w:tcPr>
            <w:tcW w:w="915" w:type="dxa"/>
          </w:tcPr>
          <w:p w14:paraId="125131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20" w:type="dxa"/>
          </w:tcPr>
          <w:p w14:paraId="4FD56B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4982D7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И-190 М-88ТК</w:t>
            </w:r>
          </w:p>
        </w:tc>
        <w:tc>
          <w:tcPr>
            <w:tcW w:w="855" w:type="dxa"/>
          </w:tcPr>
          <w:p w14:paraId="3B8297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2689" w:type="dxa"/>
          </w:tcPr>
          <w:p w14:paraId="1BF327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задание снято</w:t>
            </w:r>
          </w:p>
        </w:tc>
      </w:tr>
      <w:tr w:rsidR="00983732" w:rsidRPr="00A3026E" w14:paraId="0DED314F" w14:textId="77777777" w:rsidTr="00EA0DA7">
        <w:tc>
          <w:tcPr>
            <w:tcW w:w="2235" w:type="dxa"/>
          </w:tcPr>
          <w:p w14:paraId="0BEF71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ДИТ</w:t>
            </w:r>
          </w:p>
        </w:tc>
        <w:tc>
          <w:tcPr>
            <w:tcW w:w="915" w:type="dxa"/>
          </w:tcPr>
          <w:p w14:paraId="7BEBC76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20" w:type="dxa"/>
          </w:tcPr>
          <w:p w14:paraId="1F4E00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1984" w:type="dxa"/>
          </w:tcPr>
          <w:p w14:paraId="0E6B9F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прошел гос. исп.</w:t>
            </w:r>
          </w:p>
        </w:tc>
        <w:tc>
          <w:tcPr>
            <w:tcW w:w="855" w:type="dxa"/>
          </w:tcPr>
          <w:p w14:paraId="51CABB2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697A251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B810114" w14:textId="77777777" w:rsidTr="00EA0DA7">
        <w:tc>
          <w:tcPr>
            <w:tcW w:w="2235" w:type="dxa"/>
          </w:tcPr>
          <w:p w14:paraId="5F894A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И-28 М-88</w:t>
            </w:r>
          </w:p>
        </w:tc>
        <w:tc>
          <w:tcPr>
            <w:tcW w:w="915" w:type="dxa"/>
          </w:tcPr>
          <w:p w14:paraId="30F3C1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Яценко</w:t>
            </w:r>
          </w:p>
        </w:tc>
        <w:tc>
          <w:tcPr>
            <w:tcW w:w="1920" w:type="dxa"/>
          </w:tcPr>
          <w:p w14:paraId="124A13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3EC834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И-28 М-88</w:t>
            </w:r>
          </w:p>
        </w:tc>
        <w:tc>
          <w:tcPr>
            <w:tcW w:w="855" w:type="dxa"/>
          </w:tcPr>
          <w:p w14:paraId="2196E1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Яценко</w:t>
            </w:r>
          </w:p>
        </w:tc>
        <w:tc>
          <w:tcPr>
            <w:tcW w:w="2689" w:type="dxa"/>
          </w:tcPr>
          <w:p w14:paraId="3467C1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серии снят</w:t>
            </w:r>
          </w:p>
        </w:tc>
      </w:tr>
      <w:tr w:rsidR="00983732" w:rsidRPr="00A3026E" w14:paraId="61575932" w14:textId="77777777" w:rsidTr="00EA0DA7">
        <w:tc>
          <w:tcPr>
            <w:tcW w:w="2235" w:type="dxa"/>
          </w:tcPr>
          <w:p w14:paraId="6F1308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ДИ-6 М-25/М-62</w:t>
            </w:r>
          </w:p>
        </w:tc>
        <w:tc>
          <w:tcPr>
            <w:tcW w:w="915" w:type="dxa"/>
          </w:tcPr>
          <w:p w14:paraId="48332A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Яценко</w:t>
            </w:r>
          </w:p>
        </w:tc>
        <w:tc>
          <w:tcPr>
            <w:tcW w:w="1920" w:type="dxa"/>
          </w:tcPr>
          <w:p w14:paraId="6DF23BF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00F2D6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7F0CBB5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267B401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476107C" w14:textId="77777777" w:rsidTr="00EA0DA7">
        <w:tc>
          <w:tcPr>
            <w:tcW w:w="2235" w:type="dxa"/>
          </w:tcPr>
          <w:p w14:paraId="6F05C9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И-207 М-62</w:t>
            </w:r>
          </w:p>
        </w:tc>
        <w:tc>
          <w:tcPr>
            <w:tcW w:w="915" w:type="dxa"/>
          </w:tcPr>
          <w:p w14:paraId="4C233E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Бор.</w:t>
            </w:r>
          </w:p>
        </w:tc>
        <w:tc>
          <w:tcPr>
            <w:tcW w:w="1920" w:type="dxa"/>
          </w:tcPr>
          <w:p w14:paraId="7F3433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10A582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И-207 М-62</w:t>
            </w:r>
          </w:p>
        </w:tc>
        <w:tc>
          <w:tcPr>
            <w:tcW w:w="855" w:type="dxa"/>
          </w:tcPr>
          <w:p w14:paraId="389DF1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Бор.</w:t>
            </w:r>
          </w:p>
        </w:tc>
        <w:tc>
          <w:tcPr>
            <w:tcW w:w="2689" w:type="dxa"/>
          </w:tcPr>
          <w:p w14:paraId="1E3B4F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окончание гос.</w:t>
            </w:r>
          </w:p>
        </w:tc>
      </w:tr>
      <w:tr w:rsidR="00983732" w:rsidRPr="00A3026E" w14:paraId="2C7B938E" w14:textId="77777777" w:rsidTr="00EA0DA7">
        <w:tc>
          <w:tcPr>
            <w:tcW w:w="2235" w:type="dxa"/>
          </w:tcPr>
          <w:p w14:paraId="206359A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15" w:type="dxa"/>
          </w:tcPr>
          <w:p w14:paraId="1E728DF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20" w:type="dxa"/>
          </w:tcPr>
          <w:p w14:paraId="2BBD2F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Флор.</w:t>
            </w:r>
          </w:p>
        </w:tc>
        <w:tc>
          <w:tcPr>
            <w:tcW w:w="1984" w:type="dxa"/>
          </w:tcPr>
          <w:p w14:paraId="13C3A66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55" w:type="dxa"/>
          </w:tcPr>
          <w:p w14:paraId="53D451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Флор.</w:t>
            </w:r>
          </w:p>
        </w:tc>
        <w:tc>
          <w:tcPr>
            <w:tcW w:w="2689" w:type="dxa"/>
          </w:tcPr>
          <w:p w14:paraId="13512E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испытаний</w:t>
            </w:r>
          </w:p>
        </w:tc>
      </w:tr>
      <w:tr w:rsidR="00983732" w:rsidRPr="00A3026E" w14:paraId="059B6B34" w14:textId="77777777" w:rsidTr="00EA0DA7">
        <w:tc>
          <w:tcPr>
            <w:tcW w:w="2235" w:type="dxa"/>
          </w:tcPr>
          <w:p w14:paraId="1BD888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И-207 М-63</w:t>
            </w:r>
          </w:p>
        </w:tc>
        <w:tc>
          <w:tcPr>
            <w:tcW w:w="915" w:type="dxa"/>
          </w:tcPr>
          <w:p w14:paraId="5CFC4F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Бор.</w:t>
            </w:r>
          </w:p>
        </w:tc>
        <w:tc>
          <w:tcPr>
            <w:tcW w:w="1920" w:type="dxa"/>
          </w:tcPr>
          <w:p w14:paraId="566FF7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206CAE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И-207 М-63</w:t>
            </w:r>
          </w:p>
        </w:tc>
        <w:tc>
          <w:tcPr>
            <w:tcW w:w="855" w:type="dxa"/>
          </w:tcPr>
          <w:p w14:paraId="046139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Бор.</w:t>
            </w:r>
          </w:p>
        </w:tc>
        <w:tc>
          <w:tcPr>
            <w:tcW w:w="2689" w:type="dxa"/>
          </w:tcPr>
          <w:p w14:paraId="20E4D3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окончание гос.</w:t>
            </w:r>
          </w:p>
        </w:tc>
      </w:tr>
      <w:tr w:rsidR="00983732" w:rsidRPr="00A3026E" w14:paraId="00C0C1F3" w14:textId="77777777" w:rsidTr="00EA0DA7">
        <w:tc>
          <w:tcPr>
            <w:tcW w:w="2235" w:type="dxa"/>
          </w:tcPr>
          <w:p w14:paraId="366C5B3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15" w:type="dxa"/>
          </w:tcPr>
          <w:p w14:paraId="75F3549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20" w:type="dxa"/>
          </w:tcPr>
          <w:p w14:paraId="130042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Флор.</w:t>
            </w:r>
          </w:p>
        </w:tc>
        <w:tc>
          <w:tcPr>
            <w:tcW w:w="1984" w:type="dxa"/>
          </w:tcPr>
          <w:p w14:paraId="0C11688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55" w:type="dxa"/>
          </w:tcPr>
          <w:p w14:paraId="12E4F4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Флор.</w:t>
            </w:r>
          </w:p>
        </w:tc>
        <w:tc>
          <w:tcPr>
            <w:tcW w:w="2689" w:type="dxa"/>
          </w:tcPr>
          <w:p w14:paraId="748DD8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испытаний</w:t>
            </w:r>
          </w:p>
        </w:tc>
      </w:tr>
      <w:tr w:rsidR="00983732" w:rsidRPr="00A3026E" w14:paraId="567B18AE" w14:textId="77777777" w:rsidTr="00EA0DA7">
        <w:tc>
          <w:tcPr>
            <w:tcW w:w="2235" w:type="dxa"/>
          </w:tcPr>
          <w:p w14:paraId="7DDD41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ОКО-6</w:t>
            </w:r>
          </w:p>
        </w:tc>
        <w:tc>
          <w:tcPr>
            <w:tcW w:w="915" w:type="dxa"/>
          </w:tcPr>
          <w:p w14:paraId="2C20C4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Таиров</w:t>
            </w:r>
          </w:p>
        </w:tc>
        <w:tc>
          <w:tcPr>
            <w:tcW w:w="1920" w:type="dxa"/>
          </w:tcPr>
          <w:p w14:paraId="001B9D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3E6F67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ОКО-6</w:t>
            </w:r>
          </w:p>
        </w:tc>
        <w:tc>
          <w:tcPr>
            <w:tcW w:w="855" w:type="dxa"/>
          </w:tcPr>
          <w:p w14:paraId="52DAA8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Таиров</w:t>
            </w:r>
          </w:p>
        </w:tc>
        <w:tc>
          <w:tcPr>
            <w:tcW w:w="2689" w:type="dxa"/>
          </w:tcPr>
          <w:p w14:paraId="298E631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55D7929" w14:textId="77777777" w:rsidTr="00EA0DA7">
        <w:tc>
          <w:tcPr>
            <w:tcW w:w="2235" w:type="dxa"/>
          </w:tcPr>
          <w:p w14:paraId="4B6EAA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САМ-13</w:t>
            </w:r>
          </w:p>
        </w:tc>
        <w:tc>
          <w:tcPr>
            <w:tcW w:w="915" w:type="dxa"/>
          </w:tcPr>
          <w:p w14:paraId="6F7F4C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Москал.</w:t>
            </w:r>
          </w:p>
        </w:tc>
        <w:tc>
          <w:tcPr>
            <w:tcW w:w="1920" w:type="dxa"/>
          </w:tcPr>
          <w:p w14:paraId="01AF73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42F89A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САМ-13</w:t>
            </w:r>
          </w:p>
        </w:tc>
        <w:tc>
          <w:tcPr>
            <w:tcW w:w="855" w:type="dxa"/>
          </w:tcPr>
          <w:p w14:paraId="5649A7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Москал.</w:t>
            </w:r>
          </w:p>
        </w:tc>
        <w:tc>
          <w:tcPr>
            <w:tcW w:w="2689" w:type="dxa"/>
          </w:tcPr>
          <w:p w14:paraId="6299E7C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533DC63" w14:textId="77777777" w:rsidTr="00EA0DA7">
        <w:tc>
          <w:tcPr>
            <w:tcW w:w="2235" w:type="dxa"/>
          </w:tcPr>
          <w:p w14:paraId="2DFDF8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САМ-5-2бис</w:t>
            </w:r>
          </w:p>
        </w:tc>
        <w:tc>
          <w:tcPr>
            <w:tcW w:w="915" w:type="dxa"/>
          </w:tcPr>
          <w:p w14:paraId="033CDC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Москал.</w:t>
            </w:r>
          </w:p>
        </w:tc>
        <w:tc>
          <w:tcPr>
            <w:tcW w:w="1920" w:type="dxa"/>
          </w:tcPr>
          <w:p w14:paraId="50DC6E2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337ADBD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55" w:type="dxa"/>
          </w:tcPr>
          <w:p w14:paraId="0B5163E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4C72A51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DFEE7DC" w14:textId="77777777" w:rsidTr="00EA0DA7">
        <w:tc>
          <w:tcPr>
            <w:tcW w:w="2235" w:type="dxa"/>
          </w:tcPr>
          <w:p w14:paraId="119A9F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САМ-10</w:t>
            </w:r>
          </w:p>
        </w:tc>
        <w:tc>
          <w:tcPr>
            <w:tcW w:w="915" w:type="dxa"/>
          </w:tcPr>
          <w:p w14:paraId="73F618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Москал.</w:t>
            </w:r>
          </w:p>
        </w:tc>
        <w:tc>
          <w:tcPr>
            <w:tcW w:w="1920" w:type="dxa"/>
          </w:tcPr>
          <w:p w14:paraId="4312B79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401A71C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55" w:type="dxa"/>
          </w:tcPr>
          <w:p w14:paraId="518BA92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75E5DA9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F58C903" w14:textId="77777777" w:rsidTr="00EA0DA7">
        <w:tc>
          <w:tcPr>
            <w:tcW w:w="2235" w:type="dxa"/>
          </w:tcPr>
          <w:p w14:paraId="0711AE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ИС</w:t>
            </w:r>
          </w:p>
        </w:tc>
        <w:tc>
          <w:tcPr>
            <w:tcW w:w="915" w:type="dxa"/>
          </w:tcPr>
          <w:p w14:paraId="4C4FEF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Шевчен.</w:t>
            </w:r>
          </w:p>
        </w:tc>
        <w:tc>
          <w:tcPr>
            <w:tcW w:w="1920" w:type="dxa"/>
          </w:tcPr>
          <w:p w14:paraId="31B1A6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0749DB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ИС</w:t>
            </w:r>
          </w:p>
        </w:tc>
        <w:tc>
          <w:tcPr>
            <w:tcW w:w="855" w:type="dxa"/>
          </w:tcPr>
          <w:p w14:paraId="377CFA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Шевчен.</w:t>
            </w:r>
          </w:p>
        </w:tc>
        <w:tc>
          <w:tcPr>
            <w:tcW w:w="2689" w:type="dxa"/>
          </w:tcPr>
          <w:p w14:paraId="50A5AFD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64F09EC" w14:textId="77777777" w:rsidTr="00EA0DA7">
        <w:tc>
          <w:tcPr>
            <w:tcW w:w="2235" w:type="dxa"/>
          </w:tcPr>
          <w:p w14:paraId="0C2471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И-220</w:t>
            </w:r>
          </w:p>
        </w:tc>
        <w:tc>
          <w:tcPr>
            <w:tcW w:w="915" w:type="dxa"/>
          </w:tcPr>
          <w:p w14:paraId="6D2212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Сильв.</w:t>
            </w:r>
          </w:p>
        </w:tc>
        <w:tc>
          <w:tcPr>
            <w:tcW w:w="1920" w:type="dxa"/>
          </w:tcPr>
          <w:p w14:paraId="4F33BA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0E8EAA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И-220</w:t>
            </w:r>
          </w:p>
        </w:tc>
        <w:tc>
          <w:tcPr>
            <w:tcW w:w="855" w:type="dxa"/>
          </w:tcPr>
          <w:p w14:paraId="1239E2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Сильв.</w:t>
            </w:r>
          </w:p>
        </w:tc>
        <w:tc>
          <w:tcPr>
            <w:tcW w:w="2689" w:type="dxa"/>
          </w:tcPr>
          <w:p w14:paraId="51A371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прекращены</w:t>
            </w:r>
          </w:p>
        </w:tc>
      </w:tr>
      <w:tr w:rsidR="00983732" w:rsidRPr="00A3026E" w14:paraId="614C76BC" w14:textId="77777777" w:rsidTr="00EA0DA7">
        <w:tc>
          <w:tcPr>
            <w:tcW w:w="2235" w:type="dxa"/>
          </w:tcPr>
          <w:p w14:paraId="213C67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 И-16 М-63</w:t>
            </w:r>
          </w:p>
        </w:tc>
        <w:tc>
          <w:tcPr>
            <w:tcW w:w="915" w:type="dxa"/>
          </w:tcPr>
          <w:p w14:paraId="255389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Пашин.</w:t>
            </w:r>
          </w:p>
        </w:tc>
        <w:tc>
          <w:tcPr>
            <w:tcW w:w="1920" w:type="dxa"/>
          </w:tcPr>
          <w:p w14:paraId="10DA6A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262E88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И-16 М-63</w:t>
            </w:r>
          </w:p>
        </w:tc>
        <w:tc>
          <w:tcPr>
            <w:tcW w:w="855" w:type="dxa"/>
          </w:tcPr>
          <w:p w14:paraId="62463A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Пашин.</w:t>
            </w:r>
          </w:p>
        </w:tc>
        <w:tc>
          <w:tcPr>
            <w:tcW w:w="2689" w:type="dxa"/>
          </w:tcPr>
          <w:p w14:paraId="3B4F03A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E23F0A6" w14:textId="77777777" w:rsidTr="00EA0DA7">
        <w:tc>
          <w:tcPr>
            <w:tcW w:w="2235" w:type="dxa"/>
          </w:tcPr>
          <w:p w14:paraId="4D73EC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33. 100</w:t>
            </w:r>
          </w:p>
        </w:tc>
        <w:tc>
          <w:tcPr>
            <w:tcW w:w="915" w:type="dxa"/>
          </w:tcPr>
          <w:p w14:paraId="733D36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ОТБ</w:t>
            </w:r>
          </w:p>
        </w:tc>
        <w:tc>
          <w:tcPr>
            <w:tcW w:w="1920" w:type="dxa"/>
          </w:tcPr>
          <w:p w14:paraId="0E5899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78032E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17. 100</w:t>
            </w:r>
          </w:p>
        </w:tc>
        <w:tc>
          <w:tcPr>
            <w:tcW w:w="855" w:type="dxa"/>
          </w:tcPr>
          <w:p w14:paraId="2D1D17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ОТБ</w:t>
            </w:r>
          </w:p>
        </w:tc>
        <w:tc>
          <w:tcPr>
            <w:tcW w:w="2689" w:type="dxa"/>
          </w:tcPr>
          <w:p w14:paraId="50112E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серии</w:t>
            </w:r>
          </w:p>
        </w:tc>
      </w:tr>
      <w:tr w:rsidR="00983732" w:rsidRPr="00A3026E" w14:paraId="70CC5902" w14:textId="77777777" w:rsidTr="00EA0DA7">
        <w:tc>
          <w:tcPr>
            <w:tcW w:w="2235" w:type="dxa"/>
          </w:tcPr>
          <w:p w14:paraId="03D3D4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 И-135</w:t>
            </w:r>
          </w:p>
        </w:tc>
        <w:tc>
          <w:tcPr>
            <w:tcW w:w="915" w:type="dxa"/>
          </w:tcPr>
          <w:p w14:paraId="7088C4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w:t>
            </w:r>
          </w:p>
        </w:tc>
        <w:tc>
          <w:tcPr>
            <w:tcW w:w="1920" w:type="dxa"/>
          </w:tcPr>
          <w:p w14:paraId="49EBC0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7449DB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И-135</w:t>
            </w:r>
          </w:p>
        </w:tc>
        <w:tc>
          <w:tcPr>
            <w:tcW w:w="855" w:type="dxa"/>
          </w:tcPr>
          <w:p w14:paraId="507A40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w:t>
            </w:r>
          </w:p>
        </w:tc>
        <w:tc>
          <w:tcPr>
            <w:tcW w:w="2689" w:type="dxa"/>
          </w:tcPr>
          <w:p w14:paraId="7D13846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4F660D5" w14:textId="77777777" w:rsidTr="00EA0DA7">
        <w:tc>
          <w:tcPr>
            <w:tcW w:w="2235" w:type="dxa"/>
          </w:tcPr>
          <w:p w14:paraId="6A7F95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 Иванов М-63</w:t>
            </w:r>
          </w:p>
        </w:tc>
        <w:tc>
          <w:tcPr>
            <w:tcW w:w="915" w:type="dxa"/>
          </w:tcPr>
          <w:p w14:paraId="3B858F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w:t>
            </w:r>
          </w:p>
        </w:tc>
        <w:tc>
          <w:tcPr>
            <w:tcW w:w="1920" w:type="dxa"/>
          </w:tcPr>
          <w:p w14:paraId="0DDD21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7757DC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Иванов М-63</w:t>
            </w:r>
          </w:p>
        </w:tc>
        <w:tc>
          <w:tcPr>
            <w:tcW w:w="855" w:type="dxa"/>
          </w:tcPr>
          <w:p w14:paraId="00A9E0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w:t>
            </w:r>
          </w:p>
        </w:tc>
        <w:tc>
          <w:tcPr>
            <w:tcW w:w="2689" w:type="dxa"/>
          </w:tcPr>
          <w:p w14:paraId="101F89C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FF2485C" w14:textId="77777777" w:rsidTr="00EA0DA7">
        <w:tc>
          <w:tcPr>
            <w:tcW w:w="2235" w:type="dxa"/>
          </w:tcPr>
          <w:p w14:paraId="1AED84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 Иванов М-87</w:t>
            </w:r>
          </w:p>
        </w:tc>
        <w:tc>
          <w:tcPr>
            <w:tcW w:w="915" w:type="dxa"/>
          </w:tcPr>
          <w:p w14:paraId="250CEE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w:t>
            </w:r>
          </w:p>
        </w:tc>
        <w:tc>
          <w:tcPr>
            <w:tcW w:w="1920" w:type="dxa"/>
          </w:tcPr>
          <w:p w14:paraId="7C37B8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009FB6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ББ-1</w:t>
            </w:r>
          </w:p>
        </w:tc>
        <w:tc>
          <w:tcPr>
            <w:tcW w:w="855" w:type="dxa"/>
          </w:tcPr>
          <w:p w14:paraId="0A15DE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w:t>
            </w:r>
          </w:p>
        </w:tc>
        <w:tc>
          <w:tcPr>
            <w:tcW w:w="2689" w:type="dxa"/>
          </w:tcPr>
          <w:p w14:paraId="040070C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3E13D8C" w14:textId="77777777" w:rsidTr="00EA0DA7">
        <w:tc>
          <w:tcPr>
            <w:tcW w:w="2235" w:type="dxa"/>
          </w:tcPr>
          <w:p w14:paraId="2CCEC2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 ББ-2</w:t>
            </w:r>
          </w:p>
        </w:tc>
        <w:tc>
          <w:tcPr>
            <w:tcW w:w="915" w:type="dxa"/>
          </w:tcPr>
          <w:p w14:paraId="12F59A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w:t>
            </w:r>
          </w:p>
        </w:tc>
        <w:tc>
          <w:tcPr>
            <w:tcW w:w="1920" w:type="dxa"/>
          </w:tcPr>
          <w:p w14:paraId="734785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19EBDA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ББ-2</w:t>
            </w:r>
          </w:p>
        </w:tc>
        <w:tc>
          <w:tcPr>
            <w:tcW w:w="855" w:type="dxa"/>
          </w:tcPr>
          <w:p w14:paraId="08384F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w:t>
            </w:r>
          </w:p>
        </w:tc>
        <w:tc>
          <w:tcPr>
            <w:tcW w:w="2689" w:type="dxa"/>
          </w:tcPr>
          <w:p w14:paraId="734C5EE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3205933" w14:textId="77777777" w:rsidTr="00EA0DA7">
        <w:tc>
          <w:tcPr>
            <w:tcW w:w="2235" w:type="dxa"/>
          </w:tcPr>
          <w:p w14:paraId="030313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 И-301</w:t>
            </w:r>
          </w:p>
        </w:tc>
        <w:tc>
          <w:tcPr>
            <w:tcW w:w="915" w:type="dxa"/>
          </w:tcPr>
          <w:p w14:paraId="280768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w:t>
            </w:r>
          </w:p>
        </w:tc>
        <w:tc>
          <w:tcPr>
            <w:tcW w:w="1920" w:type="dxa"/>
          </w:tcPr>
          <w:p w14:paraId="3F3F05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6FD359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И-301</w:t>
            </w:r>
          </w:p>
        </w:tc>
        <w:tc>
          <w:tcPr>
            <w:tcW w:w="855" w:type="dxa"/>
          </w:tcPr>
          <w:p w14:paraId="1A1D35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w:t>
            </w:r>
          </w:p>
        </w:tc>
        <w:tc>
          <w:tcPr>
            <w:tcW w:w="2689" w:type="dxa"/>
          </w:tcPr>
          <w:p w14:paraId="6D96895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26C72DF" w14:textId="77777777" w:rsidTr="00EA0DA7">
        <w:tc>
          <w:tcPr>
            <w:tcW w:w="2235" w:type="dxa"/>
          </w:tcPr>
          <w:p w14:paraId="4B0ADE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 И-26</w:t>
            </w:r>
          </w:p>
        </w:tc>
        <w:tc>
          <w:tcPr>
            <w:tcW w:w="915" w:type="dxa"/>
          </w:tcPr>
          <w:p w14:paraId="7AF97C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А.С.Я.</w:t>
            </w:r>
          </w:p>
        </w:tc>
        <w:tc>
          <w:tcPr>
            <w:tcW w:w="1920" w:type="dxa"/>
          </w:tcPr>
          <w:p w14:paraId="501E77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3BEBE9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И-26</w:t>
            </w:r>
          </w:p>
        </w:tc>
        <w:tc>
          <w:tcPr>
            <w:tcW w:w="855" w:type="dxa"/>
          </w:tcPr>
          <w:p w14:paraId="6471B5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А.С.Я.</w:t>
            </w:r>
          </w:p>
        </w:tc>
        <w:tc>
          <w:tcPr>
            <w:tcW w:w="2689" w:type="dxa"/>
          </w:tcPr>
          <w:p w14:paraId="794AB77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9560212" w14:textId="77777777" w:rsidTr="00EA0DA7">
        <w:tc>
          <w:tcPr>
            <w:tcW w:w="2235" w:type="dxa"/>
          </w:tcPr>
          <w:p w14:paraId="557FA2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 Р-12 2М-103</w:t>
            </w:r>
          </w:p>
        </w:tc>
        <w:tc>
          <w:tcPr>
            <w:tcW w:w="915" w:type="dxa"/>
          </w:tcPr>
          <w:p w14:paraId="1C8C48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А.С.Я.</w:t>
            </w:r>
          </w:p>
        </w:tc>
        <w:tc>
          <w:tcPr>
            <w:tcW w:w="1920" w:type="dxa"/>
          </w:tcPr>
          <w:p w14:paraId="4CB5F1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7B1094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4621CC2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19A2103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F21A33D" w14:textId="77777777" w:rsidTr="00EA0DA7">
        <w:tc>
          <w:tcPr>
            <w:tcW w:w="2235" w:type="dxa"/>
          </w:tcPr>
          <w:p w14:paraId="739A6D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 ББ-22 2М-103</w:t>
            </w:r>
          </w:p>
        </w:tc>
        <w:tc>
          <w:tcPr>
            <w:tcW w:w="915" w:type="dxa"/>
          </w:tcPr>
          <w:p w14:paraId="0672C4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А.С.Я.</w:t>
            </w:r>
          </w:p>
        </w:tc>
        <w:tc>
          <w:tcPr>
            <w:tcW w:w="1920" w:type="dxa"/>
          </w:tcPr>
          <w:p w14:paraId="7BFADE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623577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ББ-22 2М-103</w:t>
            </w:r>
          </w:p>
        </w:tc>
        <w:tc>
          <w:tcPr>
            <w:tcW w:w="855" w:type="dxa"/>
          </w:tcPr>
          <w:p w14:paraId="384609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А.С.Я.</w:t>
            </w:r>
          </w:p>
        </w:tc>
        <w:tc>
          <w:tcPr>
            <w:tcW w:w="2689" w:type="dxa"/>
          </w:tcPr>
          <w:p w14:paraId="71D6F92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44CB13B" w14:textId="77777777" w:rsidTr="00EA0DA7">
        <w:tc>
          <w:tcPr>
            <w:tcW w:w="2235" w:type="dxa"/>
          </w:tcPr>
          <w:p w14:paraId="288033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 УТ МВ-6</w:t>
            </w:r>
          </w:p>
        </w:tc>
        <w:tc>
          <w:tcPr>
            <w:tcW w:w="915" w:type="dxa"/>
          </w:tcPr>
          <w:p w14:paraId="593356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А.С.Я.</w:t>
            </w:r>
          </w:p>
        </w:tc>
        <w:tc>
          <w:tcPr>
            <w:tcW w:w="1920" w:type="dxa"/>
          </w:tcPr>
          <w:p w14:paraId="217868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23561F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39FCB41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2E963A7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A0556C1" w14:textId="77777777" w:rsidTr="00EA0DA7">
        <w:tc>
          <w:tcPr>
            <w:tcW w:w="2235" w:type="dxa"/>
          </w:tcPr>
          <w:p w14:paraId="1D37F6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 Я-19 2МВ-6</w:t>
            </w:r>
          </w:p>
        </w:tc>
        <w:tc>
          <w:tcPr>
            <w:tcW w:w="915" w:type="dxa"/>
          </w:tcPr>
          <w:p w14:paraId="06F4C2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А.С.Я.</w:t>
            </w:r>
          </w:p>
        </w:tc>
        <w:tc>
          <w:tcPr>
            <w:tcW w:w="1920" w:type="dxa"/>
          </w:tcPr>
          <w:p w14:paraId="76DD715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2850FDA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55" w:type="dxa"/>
          </w:tcPr>
          <w:p w14:paraId="4620BA2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7093328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F8F4044" w14:textId="77777777" w:rsidTr="00EA0DA7">
        <w:tc>
          <w:tcPr>
            <w:tcW w:w="2235" w:type="dxa"/>
          </w:tcPr>
          <w:p w14:paraId="19DE06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 УТ-23</w:t>
            </w:r>
          </w:p>
        </w:tc>
        <w:tc>
          <w:tcPr>
            <w:tcW w:w="915" w:type="dxa"/>
          </w:tcPr>
          <w:p w14:paraId="75AC34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А.С.Я.</w:t>
            </w:r>
          </w:p>
        </w:tc>
        <w:tc>
          <w:tcPr>
            <w:tcW w:w="1920" w:type="dxa"/>
          </w:tcPr>
          <w:p w14:paraId="6A76DB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6CD896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УТ-23</w:t>
            </w:r>
          </w:p>
        </w:tc>
        <w:tc>
          <w:tcPr>
            <w:tcW w:w="855" w:type="dxa"/>
          </w:tcPr>
          <w:p w14:paraId="4C0C2F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А.С.Я.</w:t>
            </w:r>
          </w:p>
        </w:tc>
        <w:tc>
          <w:tcPr>
            <w:tcW w:w="2689" w:type="dxa"/>
          </w:tcPr>
          <w:p w14:paraId="0A801AC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52C0D89" w14:textId="77777777" w:rsidTr="00EA0DA7">
        <w:tc>
          <w:tcPr>
            <w:tcW w:w="2235" w:type="dxa"/>
          </w:tcPr>
          <w:p w14:paraId="65A16E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 И</w:t>
            </w:r>
          </w:p>
        </w:tc>
        <w:tc>
          <w:tcPr>
            <w:tcW w:w="915" w:type="dxa"/>
          </w:tcPr>
          <w:p w14:paraId="7D2A89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ЦАГИ</w:t>
            </w:r>
          </w:p>
        </w:tc>
        <w:tc>
          <w:tcPr>
            <w:tcW w:w="1920" w:type="dxa"/>
          </w:tcPr>
          <w:p w14:paraId="63E599B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7A47F4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358544B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54A9E7B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2A9C421" w14:textId="77777777" w:rsidTr="00EA0DA7">
        <w:tc>
          <w:tcPr>
            <w:tcW w:w="2235" w:type="dxa"/>
          </w:tcPr>
          <w:p w14:paraId="56100C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 И-17</w:t>
            </w:r>
          </w:p>
        </w:tc>
        <w:tc>
          <w:tcPr>
            <w:tcW w:w="915" w:type="dxa"/>
          </w:tcPr>
          <w:p w14:paraId="40B77CE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20" w:type="dxa"/>
          </w:tcPr>
          <w:p w14:paraId="5A40062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65381A1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55" w:type="dxa"/>
          </w:tcPr>
          <w:p w14:paraId="344EF3F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53F17F3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80A0966" w14:textId="77777777" w:rsidTr="00EA0DA7">
        <w:tc>
          <w:tcPr>
            <w:tcW w:w="2235" w:type="dxa"/>
          </w:tcPr>
          <w:p w14:paraId="75D628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 СБ 2М-105</w:t>
            </w:r>
          </w:p>
        </w:tc>
        <w:tc>
          <w:tcPr>
            <w:tcW w:w="915" w:type="dxa"/>
          </w:tcPr>
          <w:p w14:paraId="33E893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А.А.А.</w:t>
            </w:r>
          </w:p>
        </w:tc>
        <w:tc>
          <w:tcPr>
            <w:tcW w:w="1920" w:type="dxa"/>
          </w:tcPr>
          <w:p w14:paraId="7C5FF0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0793ED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СБ 2М-105</w:t>
            </w:r>
          </w:p>
        </w:tc>
        <w:tc>
          <w:tcPr>
            <w:tcW w:w="855" w:type="dxa"/>
          </w:tcPr>
          <w:p w14:paraId="5103B0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А.А.А.</w:t>
            </w:r>
          </w:p>
        </w:tc>
        <w:tc>
          <w:tcPr>
            <w:tcW w:w="2689" w:type="dxa"/>
          </w:tcPr>
          <w:p w14:paraId="158630C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7241B6B" w14:textId="77777777" w:rsidTr="00EA0DA7">
        <w:tc>
          <w:tcPr>
            <w:tcW w:w="2235" w:type="dxa"/>
          </w:tcPr>
          <w:p w14:paraId="141776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 СБ 2М-104</w:t>
            </w:r>
          </w:p>
        </w:tc>
        <w:tc>
          <w:tcPr>
            <w:tcW w:w="915" w:type="dxa"/>
          </w:tcPr>
          <w:p w14:paraId="632454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А.А.А.</w:t>
            </w:r>
          </w:p>
        </w:tc>
        <w:tc>
          <w:tcPr>
            <w:tcW w:w="1920" w:type="dxa"/>
          </w:tcPr>
          <w:p w14:paraId="03DA059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5E14A23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55" w:type="dxa"/>
          </w:tcPr>
          <w:p w14:paraId="589FA1D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7F11C0F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DA007FF" w14:textId="77777777" w:rsidTr="00EA0DA7">
        <w:tc>
          <w:tcPr>
            <w:tcW w:w="2235" w:type="dxa"/>
          </w:tcPr>
          <w:p w14:paraId="6F3CBC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 СБ-штурм.</w:t>
            </w:r>
          </w:p>
        </w:tc>
        <w:tc>
          <w:tcPr>
            <w:tcW w:w="915" w:type="dxa"/>
          </w:tcPr>
          <w:p w14:paraId="0818522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20" w:type="dxa"/>
          </w:tcPr>
          <w:p w14:paraId="2815032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4927C11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55" w:type="dxa"/>
          </w:tcPr>
          <w:p w14:paraId="1527973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2AE0656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E122B2D" w14:textId="77777777" w:rsidTr="00EA0DA7">
        <w:tc>
          <w:tcPr>
            <w:tcW w:w="2235" w:type="dxa"/>
          </w:tcPr>
          <w:p w14:paraId="7F5FB6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 ХАИ-52 модиф.</w:t>
            </w:r>
          </w:p>
        </w:tc>
        <w:tc>
          <w:tcPr>
            <w:tcW w:w="915" w:type="dxa"/>
          </w:tcPr>
          <w:p w14:paraId="15D8DB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Дубров.</w:t>
            </w:r>
          </w:p>
        </w:tc>
        <w:tc>
          <w:tcPr>
            <w:tcW w:w="1920" w:type="dxa"/>
          </w:tcPr>
          <w:p w14:paraId="3B5F48A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5173809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55" w:type="dxa"/>
          </w:tcPr>
          <w:p w14:paraId="571A059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1C5543A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79B8313" w14:textId="77777777" w:rsidTr="00EA0DA7">
        <w:tc>
          <w:tcPr>
            <w:tcW w:w="2235" w:type="dxa"/>
          </w:tcPr>
          <w:p w14:paraId="6A0F23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 БШ</w:t>
            </w:r>
          </w:p>
        </w:tc>
        <w:tc>
          <w:tcPr>
            <w:tcW w:w="915" w:type="dxa"/>
          </w:tcPr>
          <w:p w14:paraId="61CB40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w:t>
            </w:r>
          </w:p>
        </w:tc>
        <w:tc>
          <w:tcPr>
            <w:tcW w:w="1920" w:type="dxa"/>
          </w:tcPr>
          <w:p w14:paraId="4D71B4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1E27C9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БШ</w:t>
            </w:r>
          </w:p>
        </w:tc>
        <w:tc>
          <w:tcPr>
            <w:tcW w:w="855" w:type="dxa"/>
          </w:tcPr>
          <w:p w14:paraId="7775BC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w:t>
            </w:r>
          </w:p>
        </w:tc>
        <w:tc>
          <w:tcPr>
            <w:tcW w:w="2689" w:type="dxa"/>
          </w:tcPr>
          <w:p w14:paraId="7ABE0A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серии</w:t>
            </w:r>
          </w:p>
        </w:tc>
      </w:tr>
      <w:tr w:rsidR="00983732" w:rsidRPr="00A3026E" w14:paraId="2D86513E" w14:textId="77777777" w:rsidTr="00EA0DA7">
        <w:tc>
          <w:tcPr>
            <w:tcW w:w="2235" w:type="dxa"/>
          </w:tcPr>
          <w:p w14:paraId="540063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 ДБ-3 2М-88</w:t>
            </w:r>
          </w:p>
        </w:tc>
        <w:tc>
          <w:tcPr>
            <w:tcW w:w="915" w:type="dxa"/>
          </w:tcPr>
          <w:p w14:paraId="2DFC62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w:t>
            </w:r>
          </w:p>
        </w:tc>
        <w:tc>
          <w:tcPr>
            <w:tcW w:w="1920" w:type="dxa"/>
          </w:tcPr>
          <w:p w14:paraId="466CD7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588982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ДБ-3 2М-88</w:t>
            </w:r>
          </w:p>
        </w:tc>
        <w:tc>
          <w:tcPr>
            <w:tcW w:w="855" w:type="dxa"/>
          </w:tcPr>
          <w:p w14:paraId="2E5F0A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w:t>
            </w:r>
          </w:p>
        </w:tc>
        <w:tc>
          <w:tcPr>
            <w:tcW w:w="2689" w:type="dxa"/>
          </w:tcPr>
          <w:p w14:paraId="0F222F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серии</w:t>
            </w:r>
          </w:p>
        </w:tc>
      </w:tr>
      <w:tr w:rsidR="00983732" w:rsidRPr="00A3026E" w14:paraId="790D0E7F" w14:textId="77777777" w:rsidTr="00EA0DA7">
        <w:tc>
          <w:tcPr>
            <w:tcW w:w="2235" w:type="dxa"/>
          </w:tcPr>
          <w:p w14:paraId="14E793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 ДБ-3 дер. фюз.</w:t>
            </w:r>
          </w:p>
        </w:tc>
        <w:tc>
          <w:tcPr>
            <w:tcW w:w="915" w:type="dxa"/>
          </w:tcPr>
          <w:p w14:paraId="130E0A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w:t>
            </w:r>
          </w:p>
        </w:tc>
        <w:tc>
          <w:tcPr>
            <w:tcW w:w="1920" w:type="dxa"/>
          </w:tcPr>
          <w:p w14:paraId="1CC782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2CF72F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ДБ-3 дер. фюз.</w:t>
            </w:r>
          </w:p>
        </w:tc>
        <w:tc>
          <w:tcPr>
            <w:tcW w:w="855" w:type="dxa"/>
          </w:tcPr>
          <w:p w14:paraId="21F51D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w:t>
            </w:r>
          </w:p>
        </w:tc>
        <w:tc>
          <w:tcPr>
            <w:tcW w:w="2689" w:type="dxa"/>
          </w:tcPr>
          <w:p w14:paraId="537CE29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9ABC7A2" w14:textId="77777777" w:rsidTr="00EA0DA7">
        <w:tc>
          <w:tcPr>
            <w:tcW w:w="2235" w:type="dxa"/>
          </w:tcPr>
          <w:p w14:paraId="04F209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 ДБ-4</w:t>
            </w:r>
          </w:p>
        </w:tc>
        <w:tc>
          <w:tcPr>
            <w:tcW w:w="915" w:type="dxa"/>
          </w:tcPr>
          <w:p w14:paraId="5474E4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w:t>
            </w:r>
          </w:p>
        </w:tc>
        <w:tc>
          <w:tcPr>
            <w:tcW w:w="1920" w:type="dxa"/>
          </w:tcPr>
          <w:p w14:paraId="236FF7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1981FE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ДБ-4</w:t>
            </w:r>
          </w:p>
        </w:tc>
        <w:tc>
          <w:tcPr>
            <w:tcW w:w="855" w:type="dxa"/>
          </w:tcPr>
          <w:p w14:paraId="2AFB90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w:t>
            </w:r>
          </w:p>
        </w:tc>
        <w:tc>
          <w:tcPr>
            <w:tcW w:w="2689" w:type="dxa"/>
          </w:tcPr>
          <w:p w14:paraId="0FE5B05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0285B0E" w14:textId="77777777" w:rsidTr="00EA0DA7">
        <w:tc>
          <w:tcPr>
            <w:tcW w:w="2235" w:type="dxa"/>
          </w:tcPr>
          <w:p w14:paraId="4E1688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55. И-21 М-34ФРН</w:t>
            </w:r>
          </w:p>
        </w:tc>
        <w:tc>
          <w:tcPr>
            <w:tcW w:w="915" w:type="dxa"/>
          </w:tcPr>
          <w:p w14:paraId="5183C5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w:t>
            </w:r>
          </w:p>
        </w:tc>
        <w:tc>
          <w:tcPr>
            <w:tcW w:w="1920" w:type="dxa"/>
          </w:tcPr>
          <w:p w14:paraId="472E51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w:t>
            </w:r>
          </w:p>
        </w:tc>
        <w:tc>
          <w:tcPr>
            <w:tcW w:w="1984" w:type="dxa"/>
          </w:tcPr>
          <w:p w14:paraId="56F9F63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55" w:type="dxa"/>
          </w:tcPr>
          <w:p w14:paraId="4E677DD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73535D1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0FC0316" w14:textId="77777777" w:rsidTr="00EA0DA7">
        <w:tc>
          <w:tcPr>
            <w:tcW w:w="2235" w:type="dxa"/>
          </w:tcPr>
          <w:p w14:paraId="073A1E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 ТБ-7 АМ-34</w:t>
            </w:r>
          </w:p>
        </w:tc>
        <w:tc>
          <w:tcPr>
            <w:tcW w:w="915" w:type="dxa"/>
          </w:tcPr>
          <w:p w14:paraId="5BAD01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Незваль</w:t>
            </w:r>
          </w:p>
        </w:tc>
        <w:tc>
          <w:tcPr>
            <w:tcW w:w="1920" w:type="dxa"/>
          </w:tcPr>
          <w:p w14:paraId="1724376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636E7A4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55" w:type="dxa"/>
          </w:tcPr>
          <w:p w14:paraId="2055EC6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1B5B19D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30E3DBD" w14:textId="77777777" w:rsidTr="00EA0DA7">
        <w:tc>
          <w:tcPr>
            <w:tcW w:w="2235" w:type="dxa"/>
          </w:tcPr>
          <w:p w14:paraId="2F0F27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 ТБ-7 АМ-35</w:t>
            </w:r>
          </w:p>
        </w:tc>
        <w:tc>
          <w:tcPr>
            <w:tcW w:w="915" w:type="dxa"/>
          </w:tcPr>
          <w:p w14:paraId="73700D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Незваль</w:t>
            </w:r>
          </w:p>
        </w:tc>
        <w:tc>
          <w:tcPr>
            <w:tcW w:w="1920" w:type="dxa"/>
          </w:tcPr>
          <w:p w14:paraId="2CC882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23322A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ТБ-7 АМ-35</w:t>
            </w:r>
          </w:p>
        </w:tc>
        <w:tc>
          <w:tcPr>
            <w:tcW w:w="855" w:type="dxa"/>
          </w:tcPr>
          <w:p w14:paraId="569655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Незваль</w:t>
            </w:r>
          </w:p>
        </w:tc>
        <w:tc>
          <w:tcPr>
            <w:tcW w:w="2689" w:type="dxa"/>
          </w:tcPr>
          <w:p w14:paraId="606A8F7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D287228" w14:textId="77777777" w:rsidTr="00EA0DA7">
        <w:tc>
          <w:tcPr>
            <w:tcW w:w="2235" w:type="dxa"/>
          </w:tcPr>
          <w:p w14:paraId="04636B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 ДБ-ЛК</w:t>
            </w:r>
          </w:p>
        </w:tc>
        <w:tc>
          <w:tcPr>
            <w:tcW w:w="915" w:type="dxa"/>
          </w:tcPr>
          <w:p w14:paraId="751B3B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Беляев</w:t>
            </w:r>
          </w:p>
        </w:tc>
        <w:tc>
          <w:tcPr>
            <w:tcW w:w="1920" w:type="dxa"/>
          </w:tcPr>
          <w:p w14:paraId="30C5D6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30BBCC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 ДБ-ЛК</w:t>
            </w:r>
          </w:p>
        </w:tc>
        <w:tc>
          <w:tcPr>
            <w:tcW w:w="855" w:type="dxa"/>
          </w:tcPr>
          <w:p w14:paraId="2F9B53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Беляев</w:t>
            </w:r>
          </w:p>
        </w:tc>
        <w:tc>
          <w:tcPr>
            <w:tcW w:w="2689" w:type="dxa"/>
          </w:tcPr>
          <w:p w14:paraId="74EE18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окончил гос. исп.</w:t>
            </w:r>
          </w:p>
        </w:tc>
      </w:tr>
      <w:tr w:rsidR="00983732" w:rsidRPr="00A3026E" w14:paraId="0AE62E0A" w14:textId="77777777" w:rsidTr="00EA0DA7">
        <w:tc>
          <w:tcPr>
            <w:tcW w:w="2235" w:type="dxa"/>
          </w:tcPr>
          <w:p w14:paraId="43B05D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 С</w:t>
            </w:r>
          </w:p>
        </w:tc>
        <w:tc>
          <w:tcPr>
            <w:tcW w:w="915" w:type="dxa"/>
          </w:tcPr>
          <w:p w14:paraId="5FF9D9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Болхов.</w:t>
            </w:r>
          </w:p>
        </w:tc>
        <w:tc>
          <w:tcPr>
            <w:tcW w:w="1920" w:type="dxa"/>
          </w:tcPr>
          <w:p w14:paraId="0F2194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165CF2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 С</w:t>
            </w:r>
          </w:p>
        </w:tc>
        <w:tc>
          <w:tcPr>
            <w:tcW w:w="855" w:type="dxa"/>
          </w:tcPr>
          <w:p w14:paraId="06C9E4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Болхов.</w:t>
            </w:r>
          </w:p>
        </w:tc>
        <w:tc>
          <w:tcPr>
            <w:tcW w:w="2689" w:type="dxa"/>
          </w:tcPr>
          <w:p w14:paraId="0A4818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окончил гос. исп.</w:t>
            </w:r>
          </w:p>
        </w:tc>
      </w:tr>
      <w:tr w:rsidR="00983732" w:rsidRPr="00A3026E" w14:paraId="54E7F257" w14:textId="77777777" w:rsidTr="00EA0DA7">
        <w:tc>
          <w:tcPr>
            <w:tcW w:w="2235" w:type="dxa"/>
          </w:tcPr>
          <w:p w14:paraId="3B80DC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 Ш М-87</w:t>
            </w:r>
          </w:p>
        </w:tc>
        <w:tc>
          <w:tcPr>
            <w:tcW w:w="915" w:type="dxa"/>
          </w:tcPr>
          <w:p w14:paraId="599E7E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Грушин</w:t>
            </w:r>
          </w:p>
        </w:tc>
        <w:tc>
          <w:tcPr>
            <w:tcW w:w="1920" w:type="dxa"/>
          </w:tcPr>
          <w:p w14:paraId="3060960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0467A7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17913B4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399CF17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245FC8C" w14:textId="77777777" w:rsidTr="00EA0DA7">
        <w:tc>
          <w:tcPr>
            <w:tcW w:w="2235" w:type="dxa"/>
          </w:tcPr>
          <w:p w14:paraId="6148CF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 У ГАЗ-85</w:t>
            </w:r>
          </w:p>
        </w:tc>
        <w:tc>
          <w:tcPr>
            <w:tcW w:w="915" w:type="dxa"/>
          </w:tcPr>
          <w:p w14:paraId="414BFC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Смолин</w:t>
            </w:r>
          </w:p>
        </w:tc>
        <w:tc>
          <w:tcPr>
            <w:tcW w:w="1920" w:type="dxa"/>
          </w:tcPr>
          <w:p w14:paraId="1B26306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231CC4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 У ГАЗ-85</w:t>
            </w:r>
          </w:p>
        </w:tc>
        <w:tc>
          <w:tcPr>
            <w:tcW w:w="855" w:type="dxa"/>
          </w:tcPr>
          <w:p w14:paraId="21A39D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Смолин</w:t>
            </w:r>
          </w:p>
        </w:tc>
        <w:tc>
          <w:tcPr>
            <w:tcW w:w="2689" w:type="dxa"/>
          </w:tcPr>
          <w:p w14:paraId="1CE6EE0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FE9EEBD" w14:textId="77777777" w:rsidTr="00EA0DA7">
        <w:tc>
          <w:tcPr>
            <w:tcW w:w="2235" w:type="dxa"/>
          </w:tcPr>
          <w:p w14:paraId="31F672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 БОК-7</w:t>
            </w:r>
          </w:p>
        </w:tc>
        <w:tc>
          <w:tcPr>
            <w:tcW w:w="915" w:type="dxa"/>
          </w:tcPr>
          <w:p w14:paraId="569A65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Каштан.</w:t>
            </w:r>
          </w:p>
        </w:tc>
        <w:tc>
          <w:tcPr>
            <w:tcW w:w="1920" w:type="dxa"/>
          </w:tcPr>
          <w:p w14:paraId="7C3AE62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7A9D27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5" w:type="dxa"/>
          </w:tcPr>
          <w:p w14:paraId="7A0B2E6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19FFA85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A46EA2F" w14:textId="77777777" w:rsidTr="00EA0DA7">
        <w:tc>
          <w:tcPr>
            <w:tcW w:w="2235" w:type="dxa"/>
          </w:tcPr>
          <w:p w14:paraId="4C78C0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 БОК-11</w:t>
            </w:r>
          </w:p>
        </w:tc>
        <w:tc>
          <w:tcPr>
            <w:tcW w:w="915" w:type="dxa"/>
          </w:tcPr>
          <w:p w14:paraId="4F79C6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Каштан.</w:t>
            </w:r>
          </w:p>
        </w:tc>
        <w:tc>
          <w:tcPr>
            <w:tcW w:w="1920" w:type="dxa"/>
          </w:tcPr>
          <w:p w14:paraId="0DC96D7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037A3CC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55" w:type="dxa"/>
          </w:tcPr>
          <w:p w14:paraId="037AC5D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18045BE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6F6B92F" w14:textId="77777777" w:rsidTr="00EA0DA7">
        <w:tc>
          <w:tcPr>
            <w:tcW w:w="2235" w:type="dxa"/>
          </w:tcPr>
          <w:p w14:paraId="0D9306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 БОК-15</w:t>
            </w:r>
          </w:p>
        </w:tc>
        <w:tc>
          <w:tcPr>
            <w:tcW w:w="915" w:type="dxa"/>
          </w:tcPr>
          <w:p w14:paraId="5C6E7A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Каштан.</w:t>
            </w:r>
          </w:p>
        </w:tc>
        <w:tc>
          <w:tcPr>
            <w:tcW w:w="1920" w:type="dxa"/>
          </w:tcPr>
          <w:p w14:paraId="15520A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07632D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 БОК-15</w:t>
            </w:r>
          </w:p>
        </w:tc>
        <w:tc>
          <w:tcPr>
            <w:tcW w:w="855" w:type="dxa"/>
          </w:tcPr>
          <w:p w14:paraId="02DA4F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Каштан.</w:t>
            </w:r>
          </w:p>
        </w:tc>
        <w:tc>
          <w:tcPr>
            <w:tcW w:w="2689" w:type="dxa"/>
          </w:tcPr>
          <w:p w14:paraId="0C2EB5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построен, задание снято</w:t>
            </w:r>
          </w:p>
        </w:tc>
      </w:tr>
      <w:tr w:rsidR="00983732" w:rsidRPr="00A3026E" w14:paraId="08CFED18" w14:textId="77777777" w:rsidTr="00EA0DA7">
        <w:tc>
          <w:tcPr>
            <w:tcW w:w="2235" w:type="dxa"/>
          </w:tcPr>
          <w:p w14:paraId="722B39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 БОК-17</w:t>
            </w:r>
          </w:p>
        </w:tc>
        <w:tc>
          <w:tcPr>
            <w:tcW w:w="915" w:type="dxa"/>
          </w:tcPr>
          <w:p w14:paraId="7F4205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Каштан.</w:t>
            </w:r>
          </w:p>
        </w:tc>
        <w:tc>
          <w:tcPr>
            <w:tcW w:w="1920" w:type="dxa"/>
          </w:tcPr>
          <w:p w14:paraId="22DED6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59D494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 БОК-15</w:t>
            </w:r>
          </w:p>
        </w:tc>
        <w:tc>
          <w:tcPr>
            <w:tcW w:w="855" w:type="dxa"/>
          </w:tcPr>
          <w:p w14:paraId="4B434D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Каштан.</w:t>
            </w:r>
          </w:p>
        </w:tc>
        <w:tc>
          <w:tcPr>
            <w:tcW w:w="2689" w:type="dxa"/>
          </w:tcPr>
          <w:p w14:paraId="70019C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построен, задание снято</w:t>
            </w:r>
          </w:p>
        </w:tc>
      </w:tr>
      <w:tr w:rsidR="00983732" w:rsidRPr="00A3026E" w14:paraId="55C38E74" w14:textId="77777777" w:rsidTr="00EA0DA7">
        <w:tc>
          <w:tcPr>
            <w:tcW w:w="2235" w:type="dxa"/>
          </w:tcPr>
          <w:p w14:paraId="2BC767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 СП-1</w:t>
            </w:r>
          </w:p>
        </w:tc>
        <w:tc>
          <w:tcPr>
            <w:tcW w:w="915" w:type="dxa"/>
          </w:tcPr>
          <w:p w14:paraId="1BD27D3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20" w:type="dxa"/>
          </w:tcPr>
          <w:p w14:paraId="751A80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Щербак.</w:t>
            </w:r>
          </w:p>
        </w:tc>
        <w:tc>
          <w:tcPr>
            <w:tcW w:w="1984" w:type="dxa"/>
          </w:tcPr>
          <w:p w14:paraId="14B00B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Разбит</w:t>
            </w:r>
          </w:p>
        </w:tc>
        <w:tc>
          <w:tcPr>
            <w:tcW w:w="855" w:type="dxa"/>
          </w:tcPr>
          <w:p w14:paraId="40AC98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689" w:type="dxa"/>
          </w:tcPr>
          <w:p w14:paraId="3870ADA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92E3A87" w14:textId="77777777" w:rsidTr="00EA0DA7">
        <w:tc>
          <w:tcPr>
            <w:tcW w:w="2235" w:type="dxa"/>
          </w:tcPr>
          <w:p w14:paraId="4A3CD2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 И-15бис ГК</w:t>
            </w:r>
          </w:p>
        </w:tc>
        <w:tc>
          <w:tcPr>
            <w:tcW w:w="915" w:type="dxa"/>
          </w:tcPr>
          <w:p w14:paraId="1A5EBB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Щербак.</w:t>
            </w:r>
          </w:p>
        </w:tc>
        <w:tc>
          <w:tcPr>
            <w:tcW w:w="1920" w:type="dxa"/>
          </w:tcPr>
          <w:p w14:paraId="3F40CB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окончен</w:t>
            </w:r>
          </w:p>
        </w:tc>
        <w:tc>
          <w:tcPr>
            <w:tcW w:w="1984" w:type="dxa"/>
          </w:tcPr>
          <w:p w14:paraId="33C7FE8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55" w:type="dxa"/>
          </w:tcPr>
          <w:p w14:paraId="1A7BEE7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1F77FCE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6A2211C" w14:textId="77777777" w:rsidTr="00EA0DA7">
        <w:tc>
          <w:tcPr>
            <w:tcW w:w="2235" w:type="dxa"/>
          </w:tcPr>
          <w:p w14:paraId="5D883C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 И-153 ГК</w:t>
            </w:r>
          </w:p>
        </w:tc>
        <w:tc>
          <w:tcPr>
            <w:tcW w:w="915" w:type="dxa"/>
          </w:tcPr>
          <w:p w14:paraId="4E8A18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Щербак.</w:t>
            </w:r>
          </w:p>
        </w:tc>
        <w:tc>
          <w:tcPr>
            <w:tcW w:w="1920" w:type="dxa"/>
          </w:tcPr>
          <w:p w14:paraId="22D1E2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68EF68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 И-153 ГК</w:t>
            </w:r>
          </w:p>
        </w:tc>
        <w:tc>
          <w:tcPr>
            <w:tcW w:w="855" w:type="dxa"/>
          </w:tcPr>
          <w:p w14:paraId="4394F4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Щербак.</w:t>
            </w:r>
          </w:p>
        </w:tc>
        <w:tc>
          <w:tcPr>
            <w:tcW w:w="2689" w:type="dxa"/>
          </w:tcPr>
          <w:p w14:paraId="4469B7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окочил гос. исп.</w:t>
            </w:r>
          </w:p>
        </w:tc>
      </w:tr>
      <w:tr w:rsidR="00983732" w:rsidRPr="00A3026E" w14:paraId="546F0720" w14:textId="77777777" w:rsidTr="00EA0DA7">
        <w:tc>
          <w:tcPr>
            <w:tcW w:w="2235" w:type="dxa"/>
          </w:tcPr>
          <w:p w14:paraId="34DCFF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 СК</w:t>
            </w:r>
          </w:p>
        </w:tc>
        <w:tc>
          <w:tcPr>
            <w:tcW w:w="915" w:type="dxa"/>
          </w:tcPr>
          <w:p w14:paraId="1D4839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Биснов.</w:t>
            </w:r>
          </w:p>
        </w:tc>
        <w:tc>
          <w:tcPr>
            <w:tcW w:w="1920" w:type="dxa"/>
          </w:tcPr>
          <w:p w14:paraId="76E322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02BE97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 СК</w:t>
            </w:r>
          </w:p>
        </w:tc>
        <w:tc>
          <w:tcPr>
            <w:tcW w:w="855" w:type="dxa"/>
          </w:tcPr>
          <w:p w14:paraId="64BFB6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Биснов.</w:t>
            </w:r>
          </w:p>
        </w:tc>
        <w:tc>
          <w:tcPr>
            <w:tcW w:w="2689" w:type="dxa"/>
          </w:tcPr>
          <w:p w14:paraId="29B9B55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E6774A3" w14:textId="77777777" w:rsidTr="00EA0DA7">
        <w:tc>
          <w:tcPr>
            <w:tcW w:w="2235" w:type="dxa"/>
          </w:tcPr>
          <w:p w14:paraId="427130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 ДС-3 Д</w:t>
            </w:r>
          </w:p>
        </w:tc>
        <w:tc>
          <w:tcPr>
            <w:tcW w:w="915" w:type="dxa"/>
          </w:tcPr>
          <w:p w14:paraId="0B6896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Сеньков</w:t>
            </w:r>
          </w:p>
        </w:tc>
        <w:tc>
          <w:tcPr>
            <w:tcW w:w="1920" w:type="dxa"/>
          </w:tcPr>
          <w:p w14:paraId="465E1C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238666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 ДС-3 Д</w:t>
            </w:r>
          </w:p>
        </w:tc>
        <w:tc>
          <w:tcPr>
            <w:tcW w:w="855" w:type="dxa"/>
          </w:tcPr>
          <w:p w14:paraId="76201E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Сеньков</w:t>
            </w:r>
          </w:p>
        </w:tc>
        <w:tc>
          <w:tcPr>
            <w:tcW w:w="2689" w:type="dxa"/>
          </w:tcPr>
          <w:p w14:paraId="493842C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D61EC44" w14:textId="77777777" w:rsidTr="00EA0DA7">
        <w:tc>
          <w:tcPr>
            <w:tcW w:w="2235" w:type="dxa"/>
          </w:tcPr>
          <w:p w14:paraId="31F253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 И-16 пик. ТБ-3</w:t>
            </w:r>
          </w:p>
        </w:tc>
        <w:tc>
          <w:tcPr>
            <w:tcW w:w="915" w:type="dxa"/>
          </w:tcPr>
          <w:p w14:paraId="387E12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Вахмис.</w:t>
            </w:r>
          </w:p>
        </w:tc>
        <w:tc>
          <w:tcPr>
            <w:tcW w:w="1920" w:type="dxa"/>
          </w:tcPr>
          <w:p w14:paraId="578E79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0FC833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 И-16 пик. ТБ-3</w:t>
            </w:r>
          </w:p>
        </w:tc>
        <w:tc>
          <w:tcPr>
            <w:tcW w:w="855" w:type="dxa"/>
          </w:tcPr>
          <w:p w14:paraId="0E6904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Вахмис.</w:t>
            </w:r>
          </w:p>
        </w:tc>
        <w:tc>
          <w:tcPr>
            <w:tcW w:w="2689" w:type="dxa"/>
          </w:tcPr>
          <w:p w14:paraId="6DE38B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задание снято</w:t>
            </w:r>
          </w:p>
        </w:tc>
      </w:tr>
      <w:tr w:rsidR="00983732" w:rsidRPr="00A3026E" w14:paraId="70E181A5" w14:textId="77777777" w:rsidTr="00EA0DA7">
        <w:tc>
          <w:tcPr>
            <w:tcW w:w="2235" w:type="dxa"/>
          </w:tcPr>
          <w:p w14:paraId="40B1DA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 Г-1</w:t>
            </w:r>
          </w:p>
        </w:tc>
        <w:tc>
          <w:tcPr>
            <w:tcW w:w="915" w:type="dxa"/>
          </w:tcPr>
          <w:p w14:paraId="021CF1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Юрьев</w:t>
            </w:r>
          </w:p>
        </w:tc>
        <w:tc>
          <w:tcPr>
            <w:tcW w:w="1920" w:type="dxa"/>
          </w:tcPr>
          <w:p w14:paraId="2B69E9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1937AA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 Г-1</w:t>
            </w:r>
          </w:p>
        </w:tc>
        <w:tc>
          <w:tcPr>
            <w:tcW w:w="855" w:type="dxa"/>
          </w:tcPr>
          <w:p w14:paraId="079AE1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Юрьев</w:t>
            </w:r>
          </w:p>
        </w:tc>
        <w:tc>
          <w:tcPr>
            <w:tcW w:w="2689" w:type="dxa"/>
          </w:tcPr>
          <w:p w14:paraId="5BB95AE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923722C" w14:textId="77777777" w:rsidTr="00EA0DA7">
        <w:tc>
          <w:tcPr>
            <w:tcW w:w="2235" w:type="dxa"/>
          </w:tcPr>
          <w:p w14:paraId="1637917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15" w:type="dxa"/>
          </w:tcPr>
          <w:p w14:paraId="6CD3C2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Братух.</w:t>
            </w:r>
          </w:p>
        </w:tc>
        <w:tc>
          <w:tcPr>
            <w:tcW w:w="1920" w:type="dxa"/>
          </w:tcPr>
          <w:p w14:paraId="12C6FA1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7675B1F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55" w:type="dxa"/>
          </w:tcPr>
          <w:p w14:paraId="1C38B6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Братух.</w:t>
            </w:r>
          </w:p>
        </w:tc>
        <w:tc>
          <w:tcPr>
            <w:tcW w:w="2689" w:type="dxa"/>
          </w:tcPr>
          <w:p w14:paraId="46C9DCA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595DF53" w14:textId="77777777" w:rsidTr="00EA0DA7">
        <w:tc>
          <w:tcPr>
            <w:tcW w:w="2235" w:type="dxa"/>
          </w:tcPr>
          <w:p w14:paraId="6FDFEA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 А-7</w:t>
            </w:r>
          </w:p>
        </w:tc>
        <w:tc>
          <w:tcPr>
            <w:tcW w:w="915" w:type="dxa"/>
          </w:tcPr>
          <w:p w14:paraId="7C45A5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Камов</w:t>
            </w:r>
          </w:p>
        </w:tc>
        <w:tc>
          <w:tcPr>
            <w:tcW w:w="1920" w:type="dxa"/>
          </w:tcPr>
          <w:p w14:paraId="16DF7A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1669A7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 А-7</w:t>
            </w:r>
          </w:p>
        </w:tc>
        <w:tc>
          <w:tcPr>
            <w:tcW w:w="855" w:type="dxa"/>
          </w:tcPr>
          <w:p w14:paraId="6E557B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Камов</w:t>
            </w:r>
          </w:p>
        </w:tc>
        <w:tc>
          <w:tcPr>
            <w:tcW w:w="2689" w:type="dxa"/>
          </w:tcPr>
          <w:p w14:paraId="606AA05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1CB0ED2" w14:textId="77777777" w:rsidTr="00EA0DA7">
        <w:tc>
          <w:tcPr>
            <w:tcW w:w="2235" w:type="dxa"/>
          </w:tcPr>
          <w:p w14:paraId="11A57C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 МДР-6</w:t>
            </w:r>
          </w:p>
        </w:tc>
        <w:tc>
          <w:tcPr>
            <w:tcW w:w="915" w:type="dxa"/>
          </w:tcPr>
          <w:p w14:paraId="14A30C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Четвер.</w:t>
            </w:r>
          </w:p>
        </w:tc>
        <w:tc>
          <w:tcPr>
            <w:tcW w:w="1920" w:type="dxa"/>
          </w:tcPr>
          <w:p w14:paraId="4E135B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579A7C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 МДР-6</w:t>
            </w:r>
          </w:p>
        </w:tc>
        <w:tc>
          <w:tcPr>
            <w:tcW w:w="855" w:type="dxa"/>
          </w:tcPr>
          <w:p w14:paraId="5CB6E4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Четвер.</w:t>
            </w:r>
          </w:p>
        </w:tc>
        <w:tc>
          <w:tcPr>
            <w:tcW w:w="2689" w:type="dxa"/>
          </w:tcPr>
          <w:p w14:paraId="6F6E33E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A056052" w14:textId="77777777" w:rsidTr="00EA0DA7">
        <w:tc>
          <w:tcPr>
            <w:tcW w:w="2235" w:type="dxa"/>
          </w:tcPr>
          <w:p w14:paraId="160474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 Ш</w:t>
            </w:r>
          </w:p>
        </w:tc>
        <w:tc>
          <w:tcPr>
            <w:tcW w:w="915" w:type="dxa"/>
          </w:tcPr>
          <w:p w14:paraId="43FE76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Кочериг.</w:t>
            </w:r>
          </w:p>
        </w:tc>
        <w:tc>
          <w:tcPr>
            <w:tcW w:w="1920" w:type="dxa"/>
          </w:tcPr>
          <w:p w14:paraId="140209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2D2B18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 Ш</w:t>
            </w:r>
          </w:p>
        </w:tc>
        <w:tc>
          <w:tcPr>
            <w:tcW w:w="855" w:type="dxa"/>
          </w:tcPr>
          <w:p w14:paraId="694C3E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Кочериг.</w:t>
            </w:r>
          </w:p>
        </w:tc>
        <w:tc>
          <w:tcPr>
            <w:tcW w:w="2689" w:type="dxa"/>
          </w:tcPr>
          <w:p w14:paraId="2D13573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A784280" w14:textId="77777777" w:rsidTr="00EA0DA7">
        <w:tc>
          <w:tcPr>
            <w:tcW w:w="2235" w:type="dxa"/>
          </w:tcPr>
          <w:p w14:paraId="1B4D22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 ДБ-3 ГК</w:t>
            </w:r>
          </w:p>
        </w:tc>
        <w:tc>
          <w:tcPr>
            <w:tcW w:w="915" w:type="dxa"/>
          </w:tcPr>
          <w:p w14:paraId="792B94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Щербак.</w:t>
            </w:r>
          </w:p>
        </w:tc>
        <w:tc>
          <w:tcPr>
            <w:tcW w:w="1920" w:type="dxa"/>
          </w:tcPr>
          <w:p w14:paraId="17DEDA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5B6F88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 ДБ-3 ГК</w:t>
            </w:r>
          </w:p>
        </w:tc>
        <w:tc>
          <w:tcPr>
            <w:tcW w:w="855" w:type="dxa"/>
          </w:tcPr>
          <w:p w14:paraId="60E5D9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Щербак.</w:t>
            </w:r>
          </w:p>
        </w:tc>
        <w:tc>
          <w:tcPr>
            <w:tcW w:w="2689" w:type="dxa"/>
          </w:tcPr>
          <w:p w14:paraId="6CCE1E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задание снято</w:t>
            </w:r>
          </w:p>
        </w:tc>
      </w:tr>
      <w:tr w:rsidR="00983732" w:rsidRPr="00A3026E" w14:paraId="7CFCB1DD" w14:textId="77777777" w:rsidTr="00EA0DA7">
        <w:tc>
          <w:tcPr>
            <w:tcW w:w="2235" w:type="dxa"/>
          </w:tcPr>
          <w:p w14:paraId="329BF2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 Сам. с РК</w:t>
            </w:r>
          </w:p>
        </w:tc>
        <w:tc>
          <w:tcPr>
            <w:tcW w:w="915" w:type="dxa"/>
          </w:tcPr>
          <w:p w14:paraId="23B130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Бакшае.</w:t>
            </w:r>
          </w:p>
        </w:tc>
        <w:tc>
          <w:tcPr>
            <w:tcW w:w="1920" w:type="dxa"/>
          </w:tcPr>
          <w:p w14:paraId="5FA5ED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7B8FD4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 Сам. с РК</w:t>
            </w:r>
          </w:p>
        </w:tc>
        <w:tc>
          <w:tcPr>
            <w:tcW w:w="855" w:type="dxa"/>
          </w:tcPr>
          <w:p w14:paraId="57D0DE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Бакшае.</w:t>
            </w:r>
          </w:p>
        </w:tc>
        <w:tc>
          <w:tcPr>
            <w:tcW w:w="2689" w:type="dxa"/>
          </w:tcPr>
          <w:p w14:paraId="02F49B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задание снято</w:t>
            </w:r>
          </w:p>
        </w:tc>
      </w:tr>
      <w:tr w:rsidR="00983732" w:rsidRPr="00A3026E" w14:paraId="3974D870" w14:textId="77777777" w:rsidTr="00EA0DA7">
        <w:tc>
          <w:tcPr>
            <w:tcW w:w="2235" w:type="dxa"/>
          </w:tcPr>
          <w:p w14:paraId="05406D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 ББ-1 М-88</w:t>
            </w:r>
          </w:p>
        </w:tc>
        <w:tc>
          <w:tcPr>
            <w:tcW w:w="915" w:type="dxa"/>
          </w:tcPr>
          <w:p w14:paraId="13BEBF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w:t>
            </w:r>
          </w:p>
        </w:tc>
        <w:tc>
          <w:tcPr>
            <w:tcW w:w="1920" w:type="dxa"/>
          </w:tcPr>
          <w:p w14:paraId="17BA1C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окончен</w:t>
            </w:r>
          </w:p>
        </w:tc>
        <w:tc>
          <w:tcPr>
            <w:tcW w:w="1984" w:type="dxa"/>
          </w:tcPr>
          <w:p w14:paraId="59D25F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 п. 20 (2090,185)</w:t>
            </w:r>
          </w:p>
        </w:tc>
        <w:tc>
          <w:tcPr>
            <w:tcW w:w="855" w:type="dxa"/>
          </w:tcPr>
          <w:p w14:paraId="76A8C61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43C3613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560EE0C" w14:textId="77777777" w:rsidTr="00EA0DA7">
        <w:tc>
          <w:tcPr>
            <w:tcW w:w="2235" w:type="dxa"/>
          </w:tcPr>
          <w:p w14:paraId="52A024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1939 опытных самолетов</w:t>
            </w:r>
          </w:p>
        </w:tc>
        <w:tc>
          <w:tcPr>
            <w:tcW w:w="915" w:type="dxa"/>
          </w:tcPr>
          <w:p w14:paraId="64AA8D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w:t>
            </w:r>
          </w:p>
        </w:tc>
        <w:tc>
          <w:tcPr>
            <w:tcW w:w="1920" w:type="dxa"/>
          </w:tcPr>
          <w:p w14:paraId="7DF9E3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в 1940 </w:t>
            </w:r>
          </w:p>
        </w:tc>
        <w:tc>
          <w:tcPr>
            <w:tcW w:w="1984" w:type="dxa"/>
          </w:tcPr>
          <w:p w14:paraId="768A83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c>
          <w:tcPr>
            <w:tcW w:w="855" w:type="dxa"/>
          </w:tcPr>
          <w:p w14:paraId="3AE7DAC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6BC1D04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1279961" w14:textId="77777777" w:rsidTr="00EA0DA7">
        <w:tc>
          <w:tcPr>
            <w:tcW w:w="2235" w:type="dxa"/>
          </w:tcPr>
          <w:p w14:paraId="7298EE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модификаций</w:t>
            </w:r>
          </w:p>
        </w:tc>
        <w:tc>
          <w:tcPr>
            <w:tcW w:w="915" w:type="dxa"/>
          </w:tcPr>
          <w:p w14:paraId="6FFC71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1920" w:type="dxa"/>
          </w:tcPr>
          <w:p w14:paraId="429532F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Pr>
          <w:p w14:paraId="70D1A4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c>
          <w:tcPr>
            <w:tcW w:w="855" w:type="dxa"/>
          </w:tcPr>
          <w:p w14:paraId="3599AF2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Pr>
          <w:p w14:paraId="63E19BE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1942029" w14:textId="77777777" w:rsidTr="00EA0DA7">
        <w:tc>
          <w:tcPr>
            <w:tcW w:w="2235" w:type="dxa"/>
            <w:tcBorders>
              <w:bottom w:val="single" w:sz="12" w:space="0" w:color="auto"/>
            </w:tcBorders>
          </w:tcPr>
          <w:p w14:paraId="473406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Итого </w:t>
            </w:r>
          </w:p>
        </w:tc>
        <w:tc>
          <w:tcPr>
            <w:tcW w:w="915" w:type="dxa"/>
            <w:tcBorders>
              <w:bottom w:val="single" w:sz="12" w:space="0" w:color="auto"/>
            </w:tcBorders>
          </w:tcPr>
          <w:p w14:paraId="31EE8F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w:t>
            </w:r>
          </w:p>
        </w:tc>
        <w:tc>
          <w:tcPr>
            <w:tcW w:w="1920" w:type="dxa"/>
            <w:tcBorders>
              <w:bottom w:val="single" w:sz="12" w:space="0" w:color="auto"/>
            </w:tcBorders>
          </w:tcPr>
          <w:p w14:paraId="2811575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4" w:type="dxa"/>
            <w:tcBorders>
              <w:bottom w:val="single" w:sz="12" w:space="0" w:color="auto"/>
            </w:tcBorders>
          </w:tcPr>
          <w:p w14:paraId="3C517B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 (2090,185)</w:t>
            </w:r>
          </w:p>
        </w:tc>
        <w:tc>
          <w:tcPr>
            <w:tcW w:w="855" w:type="dxa"/>
            <w:tcBorders>
              <w:bottom w:val="single" w:sz="12" w:space="0" w:color="auto"/>
            </w:tcBorders>
          </w:tcPr>
          <w:p w14:paraId="1CF5189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689" w:type="dxa"/>
            <w:tcBorders>
              <w:bottom w:val="single" w:sz="12" w:space="0" w:color="auto"/>
            </w:tcBorders>
          </w:tcPr>
          <w:p w14:paraId="01BE036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5AA2BE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Опытные самолеты 1940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992"/>
        <w:gridCol w:w="992"/>
        <w:gridCol w:w="1985"/>
        <w:gridCol w:w="1701"/>
        <w:gridCol w:w="3827"/>
      </w:tblGrid>
      <w:tr w:rsidR="00983732" w:rsidRPr="00A3026E" w14:paraId="61E26D2E" w14:textId="77777777" w:rsidTr="00EA0DA7">
        <w:tc>
          <w:tcPr>
            <w:tcW w:w="1101" w:type="dxa"/>
            <w:tcBorders>
              <w:top w:val="single" w:sz="12" w:space="0" w:color="auto"/>
            </w:tcBorders>
          </w:tcPr>
          <w:p w14:paraId="3064E4D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29ACA2D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5EEFE08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Borders>
              <w:top w:val="single" w:sz="12" w:space="0" w:color="auto"/>
            </w:tcBorders>
          </w:tcPr>
          <w:p w14:paraId="338688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ДИ-26</w:t>
            </w:r>
          </w:p>
        </w:tc>
        <w:tc>
          <w:tcPr>
            <w:tcW w:w="1701" w:type="dxa"/>
            <w:tcBorders>
              <w:top w:val="single" w:sz="12" w:space="0" w:color="auto"/>
            </w:tcBorders>
          </w:tcPr>
          <w:p w14:paraId="4B2598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А.С.Я. </w:t>
            </w:r>
          </w:p>
        </w:tc>
        <w:tc>
          <w:tcPr>
            <w:tcW w:w="3827" w:type="dxa"/>
            <w:tcBorders>
              <w:top w:val="single" w:sz="12" w:space="0" w:color="auto"/>
            </w:tcBorders>
          </w:tcPr>
          <w:p w14:paraId="7C5848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задание снято</w:t>
            </w:r>
          </w:p>
        </w:tc>
      </w:tr>
      <w:tr w:rsidR="00983732" w:rsidRPr="00A3026E" w14:paraId="59B91B20" w14:textId="77777777" w:rsidTr="00EA0DA7">
        <w:tc>
          <w:tcPr>
            <w:tcW w:w="1101" w:type="dxa"/>
          </w:tcPr>
          <w:p w14:paraId="4683625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39607B4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4565F3D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734836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УТИ-26</w:t>
            </w:r>
          </w:p>
        </w:tc>
        <w:tc>
          <w:tcPr>
            <w:tcW w:w="1701" w:type="dxa"/>
          </w:tcPr>
          <w:p w14:paraId="3461A8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А.С.Я.</w:t>
            </w:r>
          </w:p>
        </w:tc>
        <w:tc>
          <w:tcPr>
            <w:tcW w:w="3827" w:type="dxa"/>
          </w:tcPr>
          <w:p w14:paraId="219B312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EB9CC12" w14:textId="77777777" w:rsidTr="00EA0DA7">
        <w:tc>
          <w:tcPr>
            <w:tcW w:w="1101" w:type="dxa"/>
          </w:tcPr>
          <w:p w14:paraId="2D528DC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53165F3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1C4EA85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109D5E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И-185</w:t>
            </w:r>
          </w:p>
        </w:tc>
        <w:tc>
          <w:tcPr>
            <w:tcW w:w="1701" w:type="dxa"/>
          </w:tcPr>
          <w:p w14:paraId="003D9F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3827" w:type="dxa"/>
          </w:tcPr>
          <w:p w14:paraId="571F818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76C667D" w14:textId="77777777" w:rsidTr="00EA0DA7">
        <w:tc>
          <w:tcPr>
            <w:tcW w:w="1101" w:type="dxa"/>
          </w:tcPr>
          <w:p w14:paraId="68D6D29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1458BA4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2AEDFE3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073E83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w:t>
            </w:r>
          </w:p>
        </w:tc>
        <w:tc>
          <w:tcPr>
            <w:tcW w:w="1701" w:type="dxa"/>
          </w:tcPr>
          <w:p w14:paraId="044512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А.А.А.</w:t>
            </w:r>
          </w:p>
        </w:tc>
        <w:tc>
          <w:tcPr>
            <w:tcW w:w="3827" w:type="dxa"/>
          </w:tcPr>
          <w:p w14:paraId="68D1E5D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B3C3F18" w14:textId="77777777" w:rsidTr="00EA0DA7">
        <w:tc>
          <w:tcPr>
            <w:tcW w:w="1101" w:type="dxa"/>
          </w:tcPr>
          <w:p w14:paraId="74A4B86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6E423B7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7DEF9F4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6CBEC5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ББ-3</w:t>
            </w:r>
          </w:p>
        </w:tc>
        <w:tc>
          <w:tcPr>
            <w:tcW w:w="1701" w:type="dxa"/>
          </w:tcPr>
          <w:p w14:paraId="6D9C73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w:t>
            </w:r>
          </w:p>
        </w:tc>
        <w:tc>
          <w:tcPr>
            <w:tcW w:w="3827" w:type="dxa"/>
          </w:tcPr>
          <w:p w14:paraId="261914B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E226513" w14:textId="77777777" w:rsidTr="00EA0DA7">
        <w:tc>
          <w:tcPr>
            <w:tcW w:w="1101" w:type="dxa"/>
          </w:tcPr>
          <w:p w14:paraId="414D3F4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4B82670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64B7739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6CDB93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ОБШ</w:t>
            </w:r>
          </w:p>
        </w:tc>
        <w:tc>
          <w:tcPr>
            <w:tcW w:w="1701" w:type="dxa"/>
          </w:tcPr>
          <w:p w14:paraId="3EA9D4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w:t>
            </w:r>
          </w:p>
        </w:tc>
        <w:tc>
          <w:tcPr>
            <w:tcW w:w="3827" w:type="dxa"/>
          </w:tcPr>
          <w:p w14:paraId="14578F5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6BA3503" w14:textId="77777777" w:rsidTr="00EA0DA7">
        <w:tc>
          <w:tcPr>
            <w:tcW w:w="1101" w:type="dxa"/>
          </w:tcPr>
          <w:p w14:paraId="088C88C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126741E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1E5758E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17FACC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ОКО-8</w:t>
            </w:r>
          </w:p>
        </w:tc>
        <w:tc>
          <w:tcPr>
            <w:tcW w:w="1701" w:type="dxa"/>
          </w:tcPr>
          <w:p w14:paraId="0B7F17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Таиров</w:t>
            </w:r>
          </w:p>
        </w:tc>
        <w:tc>
          <w:tcPr>
            <w:tcW w:w="3827" w:type="dxa"/>
          </w:tcPr>
          <w:p w14:paraId="25ADC70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025F206" w14:textId="77777777" w:rsidTr="00EA0DA7">
        <w:tc>
          <w:tcPr>
            <w:tcW w:w="1101" w:type="dxa"/>
          </w:tcPr>
          <w:p w14:paraId="00906E2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3FDEEBF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660F511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74A726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И-282</w:t>
            </w:r>
          </w:p>
        </w:tc>
        <w:tc>
          <w:tcPr>
            <w:tcW w:w="1701" w:type="dxa"/>
          </w:tcPr>
          <w:p w14:paraId="4B8607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Яценко</w:t>
            </w:r>
          </w:p>
        </w:tc>
        <w:tc>
          <w:tcPr>
            <w:tcW w:w="3827" w:type="dxa"/>
          </w:tcPr>
          <w:p w14:paraId="6FE49B4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FE785A1" w14:textId="77777777" w:rsidTr="00EA0DA7">
        <w:tc>
          <w:tcPr>
            <w:tcW w:w="1101" w:type="dxa"/>
          </w:tcPr>
          <w:p w14:paraId="3AC2942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55B9F94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5A9BF3B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2BE1FA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И-200</w:t>
            </w:r>
          </w:p>
        </w:tc>
        <w:tc>
          <w:tcPr>
            <w:tcW w:w="1701" w:type="dxa"/>
          </w:tcPr>
          <w:p w14:paraId="175378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w:t>
            </w:r>
          </w:p>
        </w:tc>
        <w:tc>
          <w:tcPr>
            <w:tcW w:w="3827" w:type="dxa"/>
          </w:tcPr>
          <w:p w14:paraId="7830B6F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15763B7" w14:textId="77777777" w:rsidTr="00EA0DA7">
        <w:tc>
          <w:tcPr>
            <w:tcW w:w="1101" w:type="dxa"/>
          </w:tcPr>
          <w:p w14:paraId="6FFE6D5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0EB5AC8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6AA9602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7ED9DA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ЭОИ</w:t>
            </w:r>
          </w:p>
        </w:tc>
        <w:tc>
          <w:tcPr>
            <w:tcW w:w="1701" w:type="dxa"/>
          </w:tcPr>
          <w:p w14:paraId="068F45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Беляев</w:t>
            </w:r>
          </w:p>
        </w:tc>
        <w:tc>
          <w:tcPr>
            <w:tcW w:w="3827" w:type="dxa"/>
          </w:tcPr>
          <w:p w14:paraId="417930F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7064B53" w14:textId="77777777" w:rsidTr="00EA0DA7">
        <w:tc>
          <w:tcPr>
            <w:tcW w:w="1101" w:type="dxa"/>
          </w:tcPr>
          <w:p w14:paraId="70995F5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46EB49B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4B79069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7CFFBA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И-21</w:t>
            </w:r>
          </w:p>
        </w:tc>
        <w:tc>
          <w:tcPr>
            <w:tcW w:w="1701" w:type="dxa"/>
          </w:tcPr>
          <w:p w14:paraId="79994E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Пашинин</w:t>
            </w:r>
          </w:p>
        </w:tc>
        <w:tc>
          <w:tcPr>
            <w:tcW w:w="3827" w:type="dxa"/>
          </w:tcPr>
          <w:p w14:paraId="0958998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E3B0665" w14:textId="77777777" w:rsidTr="00EA0DA7">
        <w:tc>
          <w:tcPr>
            <w:tcW w:w="1101" w:type="dxa"/>
          </w:tcPr>
          <w:p w14:paraId="378477F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6FFBC74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2919BD2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5B793A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СРБ-30</w:t>
            </w:r>
          </w:p>
        </w:tc>
        <w:tc>
          <w:tcPr>
            <w:tcW w:w="1701" w:type="dxa"/>
          </w:tcPr>
          <w:p w14:paraId="54CD1F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Голубков</w:t>
            </w:r>
          </w:p>
        </w:tc>
        <w:tc>
          <w:tcPr>
            <w:tcW w:w="3827" w:type="dxa"/>
          </w:tcPr>
          <w:p w14:paraId="5C2CD02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ED553C3" w14:textId="77777777" w:rsidTr="00EA0DA7">
        <w:tc>
          <w:tcPr>
            <w:tcW w:w="1101" w:type="dxa"/>
          </w:tcPr>
          <w:p w14:paraId="7971256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04B5FDE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54D9393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2C75C2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ТБ-7 4М-30</w:t>
            </w:r>
          </w:p>
        </w:tc>
        <w:tc>
          <w:tcPr>
            <w:tcW w:w="1701" w:type="dxa"/>
          </w:tcPr>
          <w:p w14:paraId="3CA85E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Незваль</w:t>
            </w:r>
          </w:p>
        </w:tc>
        <w:tc>
          <w:tcPr>
            <w:tcW w:w="3827" w:type="dxa"/>
          </w:tcPr>
          <w:p w14:paraId="223B0FA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F8A4A16" w14:textId="77777777" w:rsidTr="00EA0DA7">
        <w:tc>
          <w:tcPr>
            <w:tcW w:w="1101" w:type="dxa"/>
          </w:tcPr>
          <w:p w14:paraId="68FB399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08DDBA0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3D35E29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5742FB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ТБ-7 4М-40</w:t>
            </w:r>
          </w:p>
        </w:tc>
        <w:tc>
          <w:tcPr>
            <w:tcW w:w="1701" w:type="dxa"/>
          </w:tcPr>
          <w:p w14:paraId="3FC290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Незваль</w:t>
            </w:r>
          </w:p>
        </w:tc>
        <w:tc>
          <w:tcPr>
            <w:tcW w:w="3827" w:type="dxa"/>
          </w:tcPr>
          <w:p w14:paraId="2629E03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7586064" w14:textId="77777777" w:rsidTr="00EA0DA7">
        <w:tc>
          <w:tcPr>
            <w:tcW w:w="1101" w:type="dxa"/>
          </w:tcPr>
          <w:p w14:paraId="6748EDC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73D5F50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7227022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5D8AC4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15. 102</w:t>
            </w:r>
          </w:p>
        </w:tc>
        <w:tc>
          <w:tcPr>
            <w:tcW w:w="1701" w:type="dxa"/>
          </w:tcPr>
          <w:p w14:paraId="2F9882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ОТБ</w:t>
            </w:r>
          </w:p>
        </w:tc>
        <w:tc>
          <w:tcPr>
            <w:tcW w:w="3827" w:type="dxa"/>
          </w:tcPr>
          <w:p w14:paraId="08C4F78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4489B1C" w14:textId="77777777" w:rsidTr="00EA0DA7">
        <w:tc>
          <w:tcPr>
            <w:tcW w:w="1101" w:type="dxa"/>
          </w:tcPr>
          <w:p w14:paraId="6476A33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3660220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2105AD4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71D61F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16. 103</w:t>
            </w:r>
          </w:p>
        </w:tc>
        <w:tc>
          <w:tcPr>
            <w:tcW w:w="1701" w:type="dxa"/>
          </w:tcPr>
          <w:p w14:paraId="3E757C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ОТБ</w:t>
            </w:r>
          </w:p>
        </w:tc>
        <w:tc>
          <w:tcPr>
            <w:tcW w:w="3827" w:type="dxa"/>
          </w:tcPr>
          <w:p w14:paraId="3C340FA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20AA92F" w14:textId="77777777" w:rsidTr="00EA0DA7">
        <w:tc>
          <w:tcPr>
            <w:tcW w:w="1101" w:type="dxa"/>
          </w:tcPr>
          <w:p w14:paraId="6073522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4324230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5C606A2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79D462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ББ-4 МАИ</w:t>
            </w:r>
          </w:p>
        </w:tc>
        <w:tc>
          <w:tcPr>
            <w:tcW w:w="1701" w:type="dxa"/>
          </w:tcPr>
          <w:p w14:paraId="63DC8B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Грушин</w:t>
            </w:r>
          </w:p>
        </w:tc>
        <w:tc>
          <w:tcPr>
            <w:tcW w:w="3827" w:type="dxa"/>
          </w:tcPr>
          <w:p w14:paraId="1EE493E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DCA5973" w14:textId="77777777" w:rsidTr="00EA0DA7">
        <w:tc>
          <w:tcPr>
            <w:tcW w:w="1101" w:type="dxa"/>
          </w:tcPr>
          <w:p w14:paraId="2E09469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34E6ED5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1A2D246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50DAB4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И-26В</w:t>
            </w:r>
          </w:p>
        </w:tc>
        <w:tc>
          <w:tcPr>
            <w:tcW w:w="1701" w:type="dxa"/>
          </w:tcPr>
          <w:p w14:paraId="7141C8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А.С.Я.</w:t>
            </w:r>
          </w:p>
        </w:tc>
        <w:tc>
          <w:tcPr>
            <w:tcW w:w="3827" w:type="dxa"/>
          </w:tcPr>
          <w:p w14:paraId="03B5BAC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F4C591A" w14:textId="77777777" w:rsidTr="00EA0DA7">
        <w:tc>
          <w:tcPr>
            <w:tcW w:w="1101" w:type="dxa"/>
          </w:tcPr>
          <w:p w14:paraId="06D67AB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6D2F056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3FEF972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6586F0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ББ-22 2М-105</w:t>
            </w:r>
          </w:p>
        </w:tc>
        <w:tc>
          <w:tcPr>
            <w:tcW w:w="1701" w:type="dxa"/>
          </w:tcPr>
          <w:p w14:paraId="04BA2C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А.С.Я.</w:t>
            </w:r>
          </w:p>
        </w:tc>
        <w:tc>
          <w:tcPr>
            <w:tcW w:w="3827" w:type="dxa"/>
          </w:tcPr>
          <w:p w14:paraId="753D64A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0B8AAFE" w14:textId="77777777" w:rsidTr="00EA0DA7">
        <w:tc>
          <w:tcPr>
            <w:tcW w:w="1101" w:type="dxa"/>
          </w:tcPr>
          <w:p w14:paraId="3F0317E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74B7FFF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51E439F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3B8FB2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И-207 М-64</w:t>
            </w:r>
          </w:p>
        </w:tc>
        <w:tc>
          <w:tcPr>
            <w:tcW w:w="1701" w:type="dxa"/>
          </w:tcPr>
          <w:p w14:paraId="12CC7E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Боровков</w:t>
            </w:r>
          </w:p>
        </w:tc>
        <w:tc>
          <w:tcPr>
            <w:tcW w:w="3827" w:type="dxa"/>
          </w:tcPr>
          <w:p w14:paraId="4A2C4DF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DD3E0C5" w14:textId="77777777" w:rsidTr="00EA0DA7">
        <w:tc>
          <w:tcPr>
            <w:tcW w:w="1101" w:type="dxa"/>
          </w:tcPr>
          <w:p w14:paraId="6784A21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664A778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51D8AB4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003045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САМ-11</w:t>
            </w:r>
          </w:p>
        </w:tc>
        <w:tc>
          <w:tcPr>
            <w:tcW w:w="1701" w:type="dxa"/>
          </w:tcPr>
          <w:p w14:paraId="56D3C1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Москалев</w:t>
            </w:r>
          </w:p>
        </w:tc>
        <w:tc>
          <w:tcPr>
            <w:tcW w:w="3827" w:type="dxa"/>
          </w:tcPr>
          <w:p w14:paraId="14C3926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F7C3D64" w14:textId="77777777" w:rsidTr="00EA0DA7">
        <w:tc>
          <w:tcPr>
            <w:tcW w:w="1101" w:type="dxa"/>
          </w:tcPr>
          <w:p w14:paraId="3462A24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46F79CC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2445B61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216659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СС</w:t>
            </w:r>
          </w:p>
        </w:tc>
        <w:tc>
          <w:tcPr>
            <w:tcW w:w="1701" w:type="dxa"/>
          </w:tcPr>
          <w:p w14:paraId="6E8E28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О.К.А.</w:t>
            </w:r>
          </w:p>
        </w:tc>
        <w:tc>
          <w:tcPr>
            <w:tcW w:w="3827" w:type="dxa"/>
          </w:tcPr>
          <w:p w14:paraId="5EA3DDA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1EFA94F" w14:textId="77777777" w:rsidTr="00EA0DA7">
        <w:tc>
          <w:tcPr>
            <w:tcW w:w="1101" w:type="dxa"/>
          </w:tcPr>
          <w:p w14:paraId="6C4C15B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3DEA1F5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59C225C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0830FC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ТИ МВ-6</w:t>
            </w:r>
          </w:p>
        </w:tc>
        <w:tc>
          <w:tcPr>
            <w:tcW w:w="1701" w:type="dxa"/>
          </w:tcPr>
          <w:p w14:paraId="5A4D91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Грибовский</w:t>
            </w:r>
          </w:p>
        </w:tc>
        <w:tc>
          <w:tcPr>
            <w:tcW w:w="3827" w:type="dxa"/>
          </w:tcPr>
          <w:p w14:paraId="6CDDBED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3D00162" w14:textId="77777777" w:rsidTr="00EA0DA7">
        <w:tc>
          <w:tcPr>
            <w:tcW w:w="1101" w:type="dxa"/>
          </w:tcPr>
          <w:p w14:paraId="323EF5C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346757A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7B99F69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5C95A1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УТ-1 М-11</w:t>
            </w:r>
          </w:p>
        </w:tc>
        <w:tc>
          <w:tcPr>
            <w:tcW w:w="1701" w:type="dxa"/>
          </w:tcPr>
          <w:p w14:paraId="735AB5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Адлер</w:t>
            </w:r>
          </w:p>
        </w:tc>
        <w:tc>
          <w:tcPr>
            <w:tcW w:w="3827" w:type="dxa"/>
          </w:tcPr>
          <w:p w14:paraId="7A016D6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3080AFC" w14:textId="77777777" w:rsidTr="00EA0DA7">
        <w:tc>
          <w:tcPr>
            <w:tcW w:w="1101" w:type="dxa"/>
          </w:tcPr>
          <w:p w14:paraId="7DD1E02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7790D99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0AF829E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6D6D72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АК МВ-6</w:t>
            </w:r>
          </w:p>
        </w:tc>
        <w:tc>
          <w:tcPr>
            <w:tcW w:w="1701" w:type="dxa"/>
          </w:tcPr>
          <w:p w14:paraId="1AD1F0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Камов</w:t>
            </w:r>
          </w:p>
        </w:tc>
        <w:tc>
          <w:tcPr>
            <w:tcW w:w="3827" w:type="dxa"/>
          </w:tcPr>
          <w:p w14:paraId="03085DE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C228345" w14:textId="77777777" w:rsidTr="00EA0DA7">
        <w:tc>
          <w:tcPr>
            <w:tcW w:w="1101" w:type="dxa"/>
          </w:tcPr>
          <w:p w14:paraId="169A671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3C721D1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00D31AF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3DBDD8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Г-2</w:t>
            </w:r>
          </w:p>
        </w:tc>
        <w:tc>
          <w:tcPr>
            <w:tcW w:w="1701" w:type="dxa"/>
          </w:tcPr>
          <w:p w14:paraId="3724F3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Братухин</w:t>
            </w:r>
          </w:p>
        </w:tc>
        <w:tc>
          <w:tcPr>
            <w:tcW w:w="3827" w:type="dxa"/>
          </w:tcPr>
          <w:p w14:paraId="1F982DD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8840B1A" w14:textId="77777777" w:rsidTr="00EA0DA7">
        <w:tc>
          <w:tcPr>
            <w:tcW w:w="1101" w:type="dxa"/>
          </w:tcPr>
          <w:p w14:paraId="4312A77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3DAF38F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0628AF6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61DCBB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ДБ-240</w:t>
            </w:r>
          </w:p>
        </w:tc>
        <w:tc>
          <w:tcPr>
            <w:tcW w:w="1701" w:type="dxa"/>
          </w:tcPr>
          <w:p w14:paraId="6C0B94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Ермолаев</w:t>
            </w:r>
          </w:p>
        </w:tc>
        <w:tc>
          <w:tcPr>
            <w:tcW w:w="3827" w:type="dxa"/>
          </w:tcPr>
          <w:p w14:paraId="13463C4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3884D25" w14:textId="77777777" w:rsidTr="00EA0DA7">
        <w:tc>
          <w:tcPr>
            <w:tcW w:w="1101" w:type="dxa"/>
          </w:tcPr>
          <w:p w14:paraId="4CAA8F9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4653F8C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1E7B274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759FCC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ДБ-240 2М-30</w:t>
            </w:r>
          </w:p>
        </w:tc>
        <w:tc>
          <w:tcPr>
            <w:tcW w:w="1701" w:type="dxa"/>
          </w:tcPr>
          <w:p w14:paraId="0E7CE8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Ермолаев</w:t>
            </w:r>
          </w:p>
        </w:tc>
        <w:tc>
          <w:tcPr>
            <w:tcW w:w="3827" w:type="dxa"/>
          </w:tcPr>
          <w:p w14:paraId="68ECE7D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6D17D3A" w14:textId="77777777" w:rsidTr="00EA0DA7">
        <w:tc>
          <w:tcPr>
            <w:tcW w:w="1101" w:type="dxa"/>
          </w:tcPr>
          <w:p w14:paraId="7F047D4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6A47CC4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5F74FA2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25AD06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МДР-7</w:t>
            </w:r>
          </w:p>
        </w:tc>
        <w:tc>
          <w:tcPr>
            <w:tcW w:w="1701" w:type="dxa"/>
          </w:tcPr>
          <w:p w14:paraId="79F08A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Самсонов</w:t>
            </w:r>
          </w:p>
        </w:tc>
        <w:tc>
          <w:tcPr>
            <w:tcW w:w="3827" w:type="dxa"/>
          </w:tcPr>
          <w:p w14:paraId="1BF450E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28ECE26" w14:textId="77777777" w:rsidTr="00EA0DA7">
        <w:tc>
          <w:tcPr>
            <w:tcW w:w="1101" w:type="dxa"/>
          </w:tcPr>
          <w:p w14:paraId="2DBDC77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649A700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13C7CAA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72B63E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МДР-6Б 2М-105</w:t>
            </w:r>
          </w:p>
        </w:tc>
        <w:tc>
          <w:tcPr>
            <w:tcW w:w="1701" w:type="dxa"/>
          </w:tcPr>
          <w:p w14:paraId="54984D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Четвериков</w:t>
            </w:r>
          </w:p>
        </w:tc>
        <w:tc>
          <w:tcPr>
            <w:tcW w:w="3827" w:type="dxa"/>
          </w:tcPr>
          <w:p w14:paraId="71D2E45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CC7164A" w14:textId="77777777" w:rsidTr="00EA0DA7">
        <w:tc>
          <w:tcPr>
            <w:tcW w:w="1101" w:type="dxa"/>
          </w:tcPr>
          <w:p w14:paraId="7B875B0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12BCD3F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711DA23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18E439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КОР-2</w:t>
            </w:r>
          </w:p>
        </w:tc>
        <w:tc>
          <w:tcPr>
            <w:tcW w:w="1701" w:type="dxa"/>
          </w:tcPr>
          <w:p w14:paraId="068734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Бериев</w:t>
            </w:r>
          </w:p>
        </w:tc>
        <w:tc>
          <w:tcPr>
            <w:tcW w:w="3827" w:type="dxa"/>
          </w:tcPr>
          <w:p w14:paraId="0C03E72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2AB28D5" w14:textId="77777777" w:rsidTr="00EA0DA7">
        <w:tc>
          <w:tcPr>
            <w:tcW w:w="1101" w:type="dxa"/>
          </w:tcPr>
          <w:p w14:paraId="4CAECFE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696B960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5F67901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230EA9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 ПБ М-90</w:t>
            </w:r>
          </w:p>
        </w:tc>
        <w:tc>
          <w:tcPr>
            <w:tcW w:w="1701" w:type="dxa"/>
          </w:tcPr>
          <w:p w14:paraId="0497DE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Кочеригин</w:t>
            </w:r>
          </w:p>
        </w:tc>
        <w:tc>
          <w:tcPr>
            <w:tcW w:w="3827" w:type="dxa"/>
          </w:tcPr>
          <w:p w14:paraId="512F67B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4536B7B" w14:textId="77777777" w:rsidTr="00EA0DA7">
        <w:tc>
          <w:tcPr>
            <w:tcW w:w="1101" w:type="dxa"/>
            <w:tcBorders>
              <w:bottom w:val="single" w:sz="12" w:space="0" w:color="auto"/>
            </w:tcBorders>
          </w:tcPr>
          <w:p w14:paraId="1B4A3A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992" w:type="dxa"/>
            <w:tcBorders>
              <w:bottom w:val="single" w:sz="12" w:space="0" w:color="auto"/>
            </w:tcBorders>
          </w:tcPr>
          <w:p w14:paraId="09A70FD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6918759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Borders>
              <w:bottom w:val="single" w:sz="12" w:space="0" w:color="auto"/>
            </w:tcBorders>
          </w:tcPr>
          <w:p w14:paraId="6A64EA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 в т.ч. 4 модификации (2090,185)</w:t>
            </w:r>
          </w:p>
        </w:tc>
        <w:tc>
          <w:tcPr>
            <w:tcW w:w="1701" w:type="dxa"/>
            <w:tcBorders>
              <w:bottom w:val="single" w:sz="12" w:space="0" w:color="auto"/>
            </w:tcBorders>
          </w:tcPr>
          <w:p w14:paraId="3C7931B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827" w:type="dxa"/>
            <w:tcBorders>
              <w:bottom w:val="single" w:sz="12" w:space="0" w:color="auto"/>
            </w:tcBorders>
          </w:tcPr>
          <w:p w14:paraId="10742F9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1F4F38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Предлагалось проектировать и строить до конца 1940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992"/>
        <w:gridCol w:w="992"/>
        <w:gridCol w:w="1985"/>
        <w:gridCol w:w="1701"/>
        <w:gridCol w:w="3827"/>
      </w:tblGrid>
      <w:tr w:rsidR="00983732" w:rsidRPr="00A3026E" w14:paraId="20871AF2" w14:textId="77777777" w:rsidTr="00EA0DA7">
        <w:tc>
          <w:tcPr>
            <w:tcW w:w="1101" w:type="dxa"/>
            <w:tcBorders>
              <w:top w:val="single" w:sz="12" w:space="0" w:color="auto"/>
            </w:tcBorders>
          </w:tcPr>
          <w:p w14:paraId="3D3893F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3E92684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11B6CF4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Borders>
              <w:top w:val="single" w:sz="12" w:space="0" w:color="auto"/>
            </w:tcBorders>
          </w:tcPr>
          <w:p w14:paraId="2D3975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И-200 пуш.</w:t>
            </w:r>
          </w:p>
        </w:tc>
        <w:tc>
          <w:tcPr>
            <w:tcW w:w="1701" w:type="dxa"/>
            <w:tcBorders>
              <w:top w:val="single" w:sz="12" w:space="0" w:color="auto"/>
            </w:tcBorders>
          </w:tcPr>
          <w:p w14:paraId="106B47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w:t>
            </w:r>
          </w:p>
        </w:tc>
        <w:tc>
          <w:tcPr>
            <w:tcW w:w="3827" w:type="dxa"/>
            <w:tcBorders>
              <w:top w:val="single" w:sz="12" w:space="0" w:color="auto"/>
            </w:tcBorders>
          </w:tcPr>
          <w:p w14:paraId="7EAF276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F92A795" w14:textId="77777777" w:rsidTr="00EA0DA7">
        <w:tc>
          <w:tcPr>
            <w:tcW w:w="1101" w:type="dxa"/>
          </w:tcPr>
          <w:p w14:paraId="7A2173E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706760E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48FD093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2E5806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И сопр.</w:t>
            </w:r>
          </w:p>
        </w:tc>
        <w:tc>
          <w:tcPr>
            <w:tcW w:w="1701" w:type="dxa"/>
          </w:tcPr>
          <w:p w14:paraId="020810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3827" w:type="dxa"/>
          </w:tcPr>
          <w:p w14:paraId="0A7397C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65F04C4" w14:textId="77777777" w:rsidTr="00EA0DA7">
        <w:tc>
          <w:tcPr>
            <w:tcW w:w="1101" w:type="dxa"/>
          </w:tcPr>
          <w:p w14:paraId="0833B40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428DF78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5B5EA23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588307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 сопр.</w:t>
            </w:r>
          </w:p>
        </w:tc>
        <w:tc>
          <w:tcPr>
            <w:tcW w:w="1701" w:type="dxa"/>
          </w:tcPr>
          <w:p w14:paraId="35CC57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c>
          <w:tcPr>
            <w:tcW w:w="3827" w:type="dxa"/>
          </w:tcPr>
          <w:p w14:paraId="7B3DA13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32F1BE8" w14:textId="77777777" w:rsidTr="00EA0DA7">
        <w:tc>
          <w:tcPr>
            <w:tcW w:w="1101" w:type="dxa"/>
          </w:tcPr>
          <w:p w14:paraId="06468CD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5B95484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0902AC8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46A17D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 сопр.</w:t>
            </w:r>
          </w:p>
        </w:tc>
        <w:tc>
          <w:tcPr>
            <w:tcW w:w="1701" w:type="dxa"/>
          </w:tcPr>
          <w:p w14:paraId="3C5D41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Грушин</w:t>
            </w:r>
          </w:p>
        </w:tc>
        <w:tc>
          <w:tcPr>
            <w:tcW w:w="3827" w:type="dxa"/>
          </w:tcPr>
          <w:p w14:paraId="6093DA6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B11E307" w14:textId="77777777" w:rsidTr="00EA0DA7">
        <w:tc>
          <w:tcPr>
            <w:tcW w:w="1101" w:type="dxa"/>
          </w:tcPr>
          <w:p w14:paraId="614E4F5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1447E34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24E6E69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492A34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И сопр.</w:t>
            </w:r>
          </w:p>
        </w:tc>
        <w:tc>
          <w:tcPr>
            <w:tcW w:w="1701" w:type="dxa"/>
          </w:tcPr>
          <w:p w14:paraId="7334E0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А.С.Я.</w:t>
            </w:r>
          </w:p>
        </w:tc>
        <w:tc>
          <w:tcPr>
            <w:tcW w:w="3827" w:type="dxa"/>
          </w:tcPr>
          <w:p w14:paraId="4E95FCD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3949B70" w14:textId="77777777" w:rsidTr="00EA0DA7">
        <w:tc>
          <w:tcPr>
            <w:tcW w:w="1101" w:type="dxa"/>
          </w:tcPr>
          <w:p w14:paraId="283F675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236C991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18393C4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66CA49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И спарка</w:t>
            </w:r>
          </w:p>
        </w:tc>
        <w:tc>
          <w:tcPr>
            <w:tcW w:w="1701" w:type="dxa"/>
          </w:tcPr>
          <w:p w14:paraId="7971DD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Болховитинов</w:t>
            </w:r>
          </w:p>
        </w:tc>
        <w:tc>
          <w:tcPr>
            <w:tcW w:w="3827" w:type="dxa"/>
          </w:tcPr>
          <w:p w14:paraId="2056234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A9FA915" w14:textId="77777777" w:rsidTr="00EA0DA7">
        <w:tc>
          <w:tcPr>
            <w:tcW w:w="1101" w:type="dxa"/>
          </w:tcPr>
          <w:p w14:paraId="171BCB1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204AFC1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77B4A8F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68C2B3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МДР-30</w:t>
            </w:r>
          </w:p>
        </w:tc>
        <w:tc>
          <w:tcPr>
            <w:tcW w:w="1701" w:type="dxa"/>
          </w:tcPr>
          <w:p w14:paraId="10623A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Голубков</w:t>
            </w:r>
          </w:p>
        </w:tc>
        <w:tc>
          <w:tcPr>
            <w:tcW w:w="3827" w:type="dxa"/>
          </w:tcPr>
          <w:p w14:paraId="23727FD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E3F3211" w14:textId="77777777" w:rsidTr="00EA0DA7">
        <w:tc>
          <w:tcPr>
            <w:tcW w:w="1101" w:type="dxa"/>
          </w:tcPr>
          <w:p w14:paraId="5A26712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0FCEEB6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1029EE9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33B3E4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И-301 М-37</w:t>
            </w:r>
          </w:p>
        </w:tc>
        <w:tc>
          <w:tcPr>
            <w:tcW w:w="1701" w:type="dxa"/>
          </w:tcPr>
          <w:p w14:paraId="1746CA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w:t>
            </w:r>
          </w:p>
        </w:tc>
        <w:tc>
          <w:tcPr>
            <w:tcW w:w="3827" w:type="dxa"/>
          </w:tcPr>
          <w:p w14:paraId="11C1434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D10EFCE" w14:textId="77777777" w:rsidTr="00EA0DA7">
        <w:tc>
          <w:tcPr>
            <w:tcW w:w="1101" w:type="dxa"/>
          </w:tcPr>
          <w:p w14:paraId="19709B4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1000E7B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0DC69F9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17E62A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ПБ-22 2М-105</w:t>
            </w:r>
          </w:p>
        </w:tc>
        <w:tc>
          <w:tcPr>
            <w:tcW w:w="1701" w:type="dxa"/>
          </w:tcPr>
          <w:p w14:paraId="73E9AF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Курбала</w:t>
            </w:r>
          </w:p>
        </w:tc>
        <w:tc>
          <w:tcPr>
            <w:tcW w:w="3827" w:type="dxa"/>
          </w:tcPr>
          <w:p w14:paraId="66F76CA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0C13CF7" w14:textId="77777777" w:rsidTr="00EA0DA7">
        <w:tc>
          <w:tcPr>
            <w:tcW w:w="1101" w:type="dxa"/>
          </w:tcPr>
          <w:p w14:paraId="4DCC8C3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3B2B5C9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098CD5F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7AF84F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ДС-3 М-71</w:t>
            </w:r>
          </w:p>
        </w:tc>
        <w:tc>
          <w:tcPr>
            <w:tcW w:w="1701" w:type="dxa"/>
          </w:tcPr>
          <w:p w14:paraId="230AD5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Мосолов</w:t>
            </w:r>
          </w:p>
        </w:tc>
        <w:tc>
          <w:tcPr>
            <w:tcW w:w="3827" w:type="dxa"/>
          </w:tcPr>
          <w:p w14:paraId="71AE24A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6980B05" w14:textId="77777777" w:rsidTr="00EA0DA7">
        <w:tc>
          <w:tcPr>
            <w:tcW w:w="1101" w:type="dxa"/>
          </w:tcPr>
          <w:p w14:paraId="504C93F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24D63CF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49ED59F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31A261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МДР-288</w:t>
            </w:r>
          </w:p>
        </w:tc>
        <w:tc>
          <w:tcPr>
            <w:tcW w:w="1701" w:type="dxa"/>
          </w:tcPr>
          <w:p w14:paraId="3D7232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Самсонов</w:t>
            </w:r>
          </w:p>
        </w:tc>
        <w:tc>
          <w:tcPr>
            <w:tcW w:w="3827" w:type="dxa"/>
          </w:tcPr>
          <w:p w14:paraId="610CE41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C2C3483" w14:textId="77777777" w:rsidTr="00EA0DA7">
        <w:tc>
          <w:tcPr>
            <w:tcW w:w="1101" w:type="dxa"/>
          </w:tcPr>
          <w:p w14:paraId="51EB9A8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5694137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09BBC80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03F64B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КОР-3</w:t>
            </w:r>
          </w:p>
        </w:tc>
        <w:tc>
          <w:tcPr>
            <w:tcW w:w="1701" w:type="dxa"/>
          </w:tcPr>
          <w:p w14:paraId="1ACC90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Бериев</w:t>
            </w:r>
          </w:p>
        </w:tc>
        <w:tc>
          <w:tcPr>
            <w:tcW w:w="3827" w:type="dxa"/>
          </w:tcPr>
          <w:p w14:paraId="34C0313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4275893" w14:textId="77777777" w:rsidTr="00EA0DA7">
        <w:tc>
          <w:tcPr>
            <w:tcW w:w="1101" w:type="dxa"/>
          </w:tcPr>
          <w:p w14:paraId="56E76E4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077DF70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067A969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27F010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МДР-31</w:t>
            </w:r>
          </w:p>
        </w:tc>
        <w:tc>
          <w:tcPr>
            <w:tcW w:w="1701" w:type="dxa"/>
          </w:tcPr>
          <w:p w14:paraId="3FC50C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Четвериков</w:t>
            </w:r>
          </w:p>
        </w:tc>
        <w:tc>
          <w:tcPr>
            <w:tcW w:w="3827" w:type="dxa"/>
          </w:tcPr>
          <w:p w14:paraId="057FD55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49A8ED4" w14:textId="77777777" w:rsidTr="00EA0DA7">
        <w:tc>
          <w:tcPr>
            <w:tcW w:w="1101" w:type="dxa"/>
          </w:tcPr>
          <w:p w14:paraId="447DB23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252A549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63FB638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3E25B0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И</w:t>
            </w:r>
          </w:p>
        </w:tc>
        <w:tc>
          <w:tcPr>
            <w:tcW w:w="1701" w:type="dxa"/>
          </w:tcPr>
          <w:p w14:paraId="46E44D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ОТБ</w:t>
            </w:r>
          </w:p>
        </w:tc>
        <w:tc>
          <w:tcPr>
            <w:tcW w:w="3827" w:type="dxa"/>
          </w:tcPr>
          <w:p w14:paraId="3F6D712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63700E3" w14:textId="77777777" w:rsidTr="00EA0DA7">
        <w:tc>
          <w:tcPr>
            <w:tcW w:w="1101" w:type="dxa"/>
          </w:tcPr>
          <w:p w14:paraId="1866348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23FB07C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7065144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70C71B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И-29</w:t>
            </w:r>
          </w:p>
        </w:tc>
        <w:tc>
          <w:tcPr>
            <w:tcW w:w="1701" w:type="dxa"/>
          </w:tcPr>
          <w:p w14:paraId="216635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Яценко</w:t>
            </w:r>
          </w:p>
        </w:tc>
        <w:tc>
          <w:tcPr>
            <w:tcW w:w="3827" w:type="dxa"/>
          </w:tcPr>
          <w:p w14:paraId="690CAC3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F993115" w14:textId="77777777" w:rsidTr="00EA0DA7">
        <w:tc>
          <w:tcPr>
            <w:tcW w:w="1101" w:type="dxa"/>
          </w:tcPr>
          <w:p w14:paraId="2729CE9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09E6832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6B42D11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7D5BB8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МТ 2МВ-6</w:t>
            </w:r>
          </w:p>
        </w:tc>
        <w:tc>
          <w:tcPr>
            <w:tcW w:w="1701" w:type="dxa"/>
          </w:tcPr>
          <w:p w14:paraId="42C383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Москалев</w:t>
            </w:r>
          </w:p>
        </w:tc>
        <w:tc>
          <w:tcPr>
            <w:tcW w:w="3827" w:type="dxa"/>
          </w:tcPr>
          <w:p w14:paraId="6186E8A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CEC6130" w14:textId="77777777" w:rsidTr="00EA0DA7">
        <w:tc>
          <w:tcPr>
            <w:tcW w:w="1101" w:type="dxa"/>
          </w:tcPr>
          <w:p w14:paraId="02FCAC4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3268E0E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7C87D21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019459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У N3</w:t>
            </w:r>
          </w:p>
        </w:tc>
        <w:tc>
          <w:tcPr>
            <w:tcW w:w="1701" w:type="dxa"/>
          </w:tcPr>
          <w:p w14:paraId="33443C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О.К.А.</w:t>
            </w:r>
          </w:p>
        </w:tc>
        <w:tc>
          <w:tcPr>
            <w:tcW w:w="3827" w:type="dxa"/>
          </w:tcPr>
          <w:p w14:paraId="5BCCDAA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8DC00FE" w14:textId="77777777" w:rsidTr="00EA0DA7">
        <w:tc>
          <w:tcPr>
            <w:tcW w:w="1101" w:type="dxa"/>
          </w:tcPr>
          <w:p w14:paraId="735958F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45B7A0A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3099F55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1D64DA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И N11</w:t>
            </w:r>
          </w:p>
        </w:tc>
        <w:tc>
          <w:tcPr>
            <w:tcW w:w="1701" w:type="dxa"/>
          </w:tcPr>
          <w:p w14:paraId="410EE6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Боровков (2090,185)</w:t>
            </w:r>
          </w:p>
        </w:tc>
        <w:tc>
          <w:tcPr>
            <w:tcW w:w="3827" w:type="dxa"/>
          </w:tcPr>
          <w:p w14:paraId="73BA9B1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1FDF2EA" w14:textId="77777777" w:rsidTr="00EA0DA7">
        <w:tc>
          <w:tcPr>
            <w:tcW w:w="1101" w:type="dxa"/>
          </w:tcPr>
          <w:p w14:paraId="0B1EE91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3BDFEE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992" w:type="dxa"/>
          </w:tcPr>
          <w:p w14:paraId="18BAFC2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586913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c>
          <w:tcPr>
            <w:tcW w:w="1701" w:type="dxa"/>
          </w:tcPr>
          <w:p w14:paraId="5217543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827" w:type="dxa"/>
          </w:tcPr>
          <w:p w14:paraId="6406552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57B7824" w14:textId="77777777" w:rsidTr="00EA0DA7">
        <w:tc>
          <w:tcPr>
            <w:tcW w:w="1101" w:type="dxa"/>
          </w:tcPr>
          <w:p w14:paraId="665CDF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Опытнвы</w:t>
            </w:r>
          </w:p>
        </w:tc>
        <w:tc>
          <w:tcPr>
            <w:tcW w:w="992" w:type="dxa"/>
          </w:tcPr>
          <w:p w14:paraId="1404E7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w:t>
            </w:r>
          </w:p>
        </w:tc>
        <w:tc>
          <w:tcPr>
            <w:tcW w:w="992" w:type="dxa"/>
          </w:tcPr>
          <w:p w14:paraId="1B31AE2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5BF3F9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w:t>
            </w:r>
          </w:p>
        </w:tc>
        <w:tc>
          <w:tcPr>
            <w:tcW w:w="1701" w:type="dxa"/>
          </w:tcPr>
          <w:p w14:paraId="39BD0E1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827" w:type="dxa"/>
          </w:tcPr>
          <w:p w14:paraId="24D2C92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D32F3F6" w14:textId="77777777" w:rsidTr="00EA0DA7">
        <w:tc>
          <w:tcPr>
            <w:tcW w:w="1101" w:type="dxa"/>
          </w:tcPr>
          <w:p w14:paraId="2CBCE5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Модификаций</w:t>
            </w:r>
          </w:p>
        </w:tc>
        <w:tc>
          <w:tcPr>
            <w:tcW w:w="992" w:type="dxa"/>
          </w:tcPr>
          <w:p w14:paraId="65CCAD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992" w:type="dxa"/>
          </w:tcPr>
          <w:p w14:paraId="781C848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7914AE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1701" w:type="dxa"/>
          </w:tcPr>
          <w:p w14:paraId="2980935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827" w:type="dxa"/>
          </w:tcPr>
          <w:p w14:paraId="44A1C5E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083CC99" w14:textId="77777777" w:rsidTr="00EA0DA7">
        <w:tc>
          <w:tcPr>
            <w:tcW w:w="1101" w:type="dxa"/>
          </w:tcPr>
          <w:p w14:paraId="76C5D6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Предлагается</w:t>
            </w:r>
          </w:p>
        </w:tc>
        <w:tc>
          <w:tcPr>
            <w:tcW w:w="992" w:type="dxa"/>
          </w:tcPr>
          <w:p w14:paraId="1EB70DF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6FA063D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77244E5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701" w:type="dxa"/>
          </w:tcPr>
          <w:p w14:paraId="46DEEC1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827" w:type="dxa"/>
          </w:tcPr>
          <w:p w14:paraId="711367D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788A4D4" w14:textId="77777777" w:rsidTr="00EA0DA7">
        <w:tc>
          <w:tcPr>
            <w:tcW w:w="1101" w:type="dxa"/>
          </w:tcPr>
          <w:p w14:paraId="2B4CB8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опытных</w:t>
            </w:r>
          </w:p>
        </w:tc>
        <w:tc>
          <w:tcPr>
            <w:tcW w:w="992" w:type="dxa"/>
          </w:tcPr>
          <w:p w14:paraId="3945C26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443F97A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56A997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1701" w:type="dxa"/>
          </w:tcPr>
          <w:p w14:paraId="4335D95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827" w:type="dxa"/>
          </w:tcPr>
          <w:p w14:paraId="03DF45E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C27733E" w14:textId="77777777" w:rsidTr="00EA0DA7">
        <w:tc>
          <w:tcPr>
            <w:tcW w:w="1101" w:type="dxa"/>
          </w:tcPr>
          <w:p w14:paraId="402815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модификаций</w:t>
            </w:r>
          </w:p>
        </w:tc>
        <w:tc>
          <w:tcPr>
            <w:tcW w:w="992" w:type="dxa"/>
          </w:tcPr>
          <w:p w14:paraId="5CCFDFC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2DC96E9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Pr>
          <w:p w14:paraId="23A3D2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1701" w:type="dxa"/>
          </w:tcPr>
          <w:p w14:paraId="5ED2FF3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827" w:type="dxa"/>
          </w:tcPr>
          <w:p w14:paraId="5F95AD5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086DEE3" w14:textId="77777777" w:rsidTr="00EA0DA7">
        <w:tc>
          <w:tcPr>
            <w:tcW w:w="1101" w:type="dxa"/>
            <w:tcBorders>
              <w:bottom w:val="single" w:sz="12" w:space="0" w:color="auto"/>
            </w:tcBorders>
          </w:tcPr>
          <w:p w14:paraId="607CD1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992" w:type="dxa"/>
            <w:tcBorders>
              <w:bottom w:val="single" w:sz="12" w:space="0" w:color="auto"/>
            </w:tcBorders>
          </w:tcPr>
          <w:p w14:paraId="2F7B8D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w:t>
            </w:r>
          </w:p>
        </w:tc>
        <w:tc>
          <w:tcPr>
            <w:tcW w:w="992" w:type="dxa"/>
            <w:tcBorders>
              <w:bottom w:val="single" w:sz="12" w:space="0" w:color="auto"/>
            </w:tcBorders>
          </w:tcPr>
          <w:p w14:paraId="31E4E3B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85" w:type="dxa"/>
            <w:tcBorders>
              <w:bottom w:val="single" w:sz="12" w:space="0" w:color="auto"/>
            </w:tcBorders>
          </w:tcPr>
          <w:p w14:paraId="350116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 (2090,185)</w:t>
            </w:r>
          </w:p>
        </w:tc>
        <w:tc>
          <w:tcPr>
            <w:tcW w:w="1701" w:type="dxa"/>
            <w:tcBorders>
              <w:bottom w:val="single" w:sz="12" w:space="0" w:color="auto"/>
            </w:tcBorders>
          </w:tcPr>
          <w:p w14:paraId="05BFCAF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827" w:type="dxa"/>
            <w:tcBorders>
              <w:bottom w:val="single" w:sz="12" w:space="0" w:color="auto"/>
            </w:tcBorders>
          </w:tcPr>
          <w:p w14:paraId="29D9B87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712177A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BF7AB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9 по 30 сентября 1940 г. в Научно-исследовательском полигоне АВ ВВС проходили полигонные испытания полуавтомата ТКБ-229 для снаряжения патронных лент пулемета "ШКАС" калибра 7,62 мм конструкции Коробова Г.А. (2972).</w:t>
      </w:r>
    </w:p>
    <w:p w14:paraId="57891C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в/инженер 3 ранга - Монич.</w:t>
      </w:r>
    </w:p>
    <w:p w14:paraId="421DAE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Цель испытания</w:t>
      </w:r>
    </w:p>
    <w:p w14:paraId="07C4F0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Определить пригодность полуавтомата для принятия на снабжение ВВС и его технические и эксплуатационные данные.</w:t>
      </w:r>
    </w:p>
    <w:p w14:paraId="295ADE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E0C51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ЦКБ-14 полуавтомат для набивки патронов конструкции Коробова полигонные испытания выдержал и может быть допущен на войсковые испытания (2972).</w:t>
      </w:r>
    </w:p>
    <w:p w14:paraId="599134B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29FD5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года с 10.30 и весь день на МиГ на НИП АВ монтировались РО и проверялась электросеть.</w:t>
      </w:r>
    </w:p>
    <w:p w14:paraId="38D9EF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производилась проверка электросети, а затем стрельба из РО-82 на земле и в воздухе.</w:t>
      </w:r>
    </w:p>
    <w:p w14:paraId="1BBFBC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утром самолет улетел в НИИ ВВС. Монтаж РО и стрельба РС-82 производились при консультации специалистов от НИП АВ, кроме того НИП АВ выдал для стрельбы, РС-82 с новыми штифтами, так как доставленные НИИ ВВС РС-82 оказались со старыми штифтами. При испытании все время оказывалась необходимая помощь (7712, 402).</w:t>
      </w:r>
    </w:p>
    <w:p w14:paraId="25B2BA7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4A8E1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9 сентября по 25 октября 1940 года на НИП АВ ВВС проходили полигонные испытания пяти турельных и пяти синхронных пулеметов "ШКАС" калибра 7,62 мм, изготовленных валовым порядком в 1940 году</w:t>
      </w:r>
    </w:p>
    <w:p w14:paraId="6DDC8C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9 сентября 1940 года</w:t>
      </w:r>
    </w:p>
    <w:p w14:paraId="41051C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25 октября 1940 года</w:t>
      </w:r>
    </w:p>
    <w:p w14:paraId="7C1102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33AAE5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Ивашечкин</w:t>
      </w:r>
    </w:p>
    <w:p w14:paraId="3E4320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303C9D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автоматику и живучесть пулеметов при стрельбе на земле и с самолета в воздухе до исчерпания живучести ствольной коробки.</w:t>
      </w:r>
    </w:p>
    <w:p w14:paraId="207C70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60FC1B0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Турельный пулемет "ШКАС" может нормально работать при полной взаимозаменяемости деталей, за исключением ствольной коробки и затыльника, в среднем до 35000-40000 выстрелов.</w:t>
      </w:r>
    </w:p>
    <w:p w14:paraId="42A4D3F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Синхронный пулемет "ШКАС" может нормально работать при полной взаимозаменяемости деталей, за исключением ствольной коробки и затыльника, в среднем до 20000-25000 выстрелов (7434).</w:t>
      </w:r>
    </w:p>
    <w:p w14:paraId="4865C74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039B19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была подготовлена справка для А.С.Новикова:</w:t>
      </w:r>
    </w:p>
    <w:p w14:paraId="7035F4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ходе строительства зазода 33 НКАП.</w:t>
      </w:r>
    </w:p>
    <w:p w14:paraId="60F53B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Строительство завода начато в 1931 году. К 1.10.36 г. оно было в основном закончено и завод вступил в число действующих предприятий. В 1937 году начались работы по реконструкции и расширению завода. Работы </w:t>
      </w:r>
      <w:r w:rsidRPr="00A3026E">
        <w:rPr>
          <w:rFonts w:ascii="Times New Roman" w:hAnsi="Times New Roman"/>
          <w:smallCaps/>
          <w:color w:val="000000" w:themeColor="text1"/>
          <w:sz w:val="16"/>
          <w:szCs w:val="16"/>
        </w:rPr>
        <w:t xml:space="preserve">производились </w:t>
      </w:r>
      <w:r w:rsidRPr="00A3026E">
        <w:rPr>
          <w:rFonts w:ascii="Times New Roman" w:hAnsi="Times New Roman"/>
          <w:color w:val="000000" w:themeColor="text1"/>
          <w:sz w:val="16"/>
          <w:szCs w:val="16"/>
        </w:rPr>
        <w:t>Отделом Капитального Строительства (ОКС) завода, а с 1.6.39 г. были передана 12-му Строительному тресту НКАП.</w:t>
      </w:r>
    </w:p>
    <w:p w14:paraId="3B02B2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Проверной установлено, что постановление Комитета Обороны № 154сс от 11.06.39 г..обязывающее НКАП во изменение предыдущих решений, закон</w:t>
      </w:r>
      <w:r w:rsidRPr="00A3026E">
        <w:rPr>
          <w:rFonts w:ascii="Times New Roman" w:hAnsi="Times New Roman"/>
          <w:color w:val="000000" w:themeColor="text1"/>
          <w:sz w:val="16"/>
          <w:szCs w:val="16"/>
        </w:rPr>
        <w:softHyphen/>
        <w:t>чить строительство и реконструкцию зазода № 19 в 1940 году, а так же постановлением ЦК ВКП(б) и СНК Союза ССР № 2032-569сс от 11.12.39 г. в части строительства опытных объектов не выполнены.</w:t>
      </w:r>
    </w:p>
    <w:p w14:paraId="717C6E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Техдокументация.</w:t>
      </w:r>
    </w:p>
    <w:p w14:paraId="4D97DD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Генплан и смета на реконструкцию и расширение завода № 19 утверждены Наркомом Оборонной Промышленности 23.10.38 г., т.е.через два года после начала работ. В процессе строительства генплан неоднократно изменялся, например, увеличено количество опытных кабин, включена высотная установка, исключена газо—генераторная станция и т.д. Изменения генплана приводят к разбазариванию государственных ценно</w:t>
      </w:r>
      <w:r w:rsidRPr="00A3026E">
        <w:rPr>
          <w:rFonts w:ascii="Times New Roman" w:hAnsi="Times New Roman"/>
          <w:color w:val="000000" w:themeColor="text1"/>
          <w:sz w:val="16"/>
          <w:szCs w:val="16"/>
        </w:rPr>
        <w:softHyphen/>
        <w:t>стей (в 1940 году снесен цех № 10 площадью 800 м2, расходы по проекти</w:t>
      </w:r>
      <w:r w:rsidRPr="00A3026E">
        <w:rPr>
          <w:rFonts w:ascii="Times New Roman" w:hAnsi="Times New Roman"/>
          <w:color w:val="000000" w:themeColor="text1"/>
          <w:sz w:val="16"/>
          <w:szCs w:val="16"/>
        </w:rPr>
        <w:softHyphen/>
        <w:t>рованию газогенераторной станции оказались бессмысленной тратой средств и т.д.), а кроме того создают у руководства завода и ОКСа неуверенность в возможность закончить строительство завода по ген</w:t>
      </w:r>
      <w:r w:rsidRPr="00A3026E">
        <w:rPr>
          <w:rFonts w:ascii="Times New Roman" w:hAnsi="Times New Roman"/>
          <w:color w:val="000000" w:themeColor="text1"/>
          <w:sz w:val="16"/>
          <w:szCs w:val="16"/>
        </w:rPr>
        <w:softHyphen/>
        <w:t>плану не только в 1940 году, что стало фактом, но дане и в 1941-42 г.г.</w:t>
      </w:r>
    </w:p>
    <w:p w14:paraId="561EB7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 года в год необеспеченность строящихся об'ектов технической документацией является </w:t>
      </w:r>
      <w:r w:rsidRPr="00A3026E">
        <w:rPr>
          <w:rFonts w:ascii="Times New Roman" w:hAnsi="Times New Roman"/>
          <w:smallCaps/>
          <w:color w:val="000000" w:themeColor="text1"/>
          <w:sz w:val="16"/>
          <w:szCs w:val="16"/>
        </w:rPr>
        <w:t xml:space="preserve">причиной </w:t>
      </w:r>
      <w:r w:rsidRPr="00A3026E">
        <w:rPr>
          <w:rFonts w:ascii="Times New Roman" w:hAnsi="Times New Roman"/>
          <w:color w:val="000000" w:themeColor="text1"/>
          <w:sz w:val="16"/>
          <w:szCs w:val="16"/>
        </w:rPr>
        <w:t>срыва планов по строительству зазода. ОКС (т. Чумаков) не добился от проектирующих организаций своевремен</w:t>
      </w:r>
      <w:r w:rsidRPr="00A3026E">
        <w:rPr>
          <w:rFonts w:ascii="Times New Roman" w:hAnsi="Times New Roman"/>
          <w:color w:val="000000" w:themeColor="text1"/>
          <w:sz w:val="16"/>
          <w:szCs w:val="16"/>
        </w:rPr>
        <w:softHyphen/>
        <w:t>ного ее предетавления. Па ряду об'ектсв, подлежащих строительству в 1940 году на 7.3.40 г. техдокументация отсутствовала полностью (летное поле ЛИС, жилые дома №№ 35, 36, 37, 38) или частично (ТЭЦ и др.). По об'ектам летно-испмтательной станции (ангар, котельная, контора) техдокументация получена позже установленного срока окончания их строительства.</w:t>
      </w:r>
    </w:p>
    <w:p w14:paraId="737136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Техдокументация, особенно сметы и физобъемы, по отдельным объектам (ТЭЦ, водозабор) имеют много дефектов. Не приводя бесчисленного количества фактов, это можно подтвердить тем, что Сталинский Рай</w:t>
      </w:r>
      <w:r w:rsidRPr="00A3026E">
        <w:rPr>
          <w:rFonts w:ascii="Times New Roman" w:hAnsi="Times New Roman"/>
          <w:color w:val="000000" w:themeColor="text1"/>
          <w:sz w:val="16"/>
          <w:szCs w:val="16"/>
        </w:rPr>
        <w:softHyphen/>
        <w:t>ком ВКП(б) г. Молотова был вынужден по вопросу о качестве смет созвать специальное совещание.</w:t>
      </w:r>
    </w:p>
    <w:p w14:paraId="594D90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к капиталъных вложений и их освоение.</w:t>
      </w:r>
    </w:p>
    <w:p w14:paraId="0FA7C6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Об'ем капвложений на реконструкции и расширение завода по генсмете составляет 268 млн. руб., из них на 1.1.40 г. было освоено около 150 млн. руб.</w:t>
      </w:r>
    </w:p>
    <w:p w14:paraId="327AF0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Годовые планы капвложений, устанавливаемые 3-м Глазлным управлением НКАП (т. Лукин) обеспечивает окончание работ по ген</w:t>
      </w:r>
      <w:r w:rsidRPr="00A3026E">
        <w:rPr>
          <w:rFonts w:ascii="Times New Roman" w:hAnsi="Times New Roman"/>
          <w:color w:val="000000" w:themeColor="text1"/>
          <w:sz w:val="16"/>
          <w:szCs w:val="16"/>
        </w:rPr>
        <w:softHyphen/>
        <w:t>плану только в 1941 году (без учета вносимых дополнении), но и они не вып</w:t>
      </w:r>
      <w:r w:rsidRPr="00A3026E">
        <w:rPr>
          <w:rFonts w:ascii="Times New Roman" w:hAnsi="Times New Roman"/>
          <w:smallCaps/>
          <w:color w:val="000000" w:themeColor="text1"/>
          <w:sz w:val="16"/>
          <w:szCs w:val="16"/>
        </w:rPr>
        <w:t xml:space="preserve">олнялясь, что </w:t>
      </w:r>
      <w:r w:rsidRPr="00A3026E">
        <w:rPr>
          <w:rFonts w:ascii="Times New Roman" w:hAnsi="Times New Roman"/>
          <w:color w:val="000000" w:themeColor="text1"/>
          <w:sz w:val="16"/>
          <w:szCs w:val="16"/>
        </w:rPr>
        <w:t>подтверждается данными по отчетам ОКС'а: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983732" w:rsidRPr="00A3026E" w14:paraId="12CA38CF" w14:textId="77777777" w:rsidTr="00EA0DA7">
        <w:tc>
          <w:tcPr>
            <w:tcW w:w="2254" w:type="dxa"/>
            <w:tcBorders>
              <w:top w:val="single" w:sz="12" w:space="0" w:color="auto"/>
            </w:tcBorders>
          </w:tcPr>
          <w:p w14:paraId="31597CA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254" w:type="dxa"/>
            <w:tcBorders>
              <w:top w:val="single" w:sz="12" w:space="0" w:color="auto"/>
            </w:tcBorders>
          </w:tcPr>
          <w:p w14:paraId="510F9B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1937</w:t>
            </w:r>
          </w:p>
        </w:tc>
        <w:tc>
          <w:tcPr>
            <w:tcW w:w="2254" w:type="dxa"/>
            <w:tcBorders>
              <w:top w:val="single" w:sz="12" w:space="0" w:color="auto"/>
            </w:tcBorders>
          </w:tcPr>
          <w:p w14:paraId="5EBC75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w:t>
            </w:r>
          </w:p>
        </w:tc>
        <w:tc>
          <w:tcPr>
            <w:tcW w:w="2254" w:type="dxa"/>
            <w:tcBorders>
              <w:top w:val="single" w:sz="12" w:space="0" w:color="auto"/>
            </w:tcBorders>
          </w:tcPr>
          <w:p w14:paraId="7EF399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2254" w:type="dxa"/>
            <w:tcBorders>
              <w:top w:val="single" w:sz="12" w:space="0" w:color="auto"/>
            </w:tcBorders>
          </w:tcPr>
          <w:p w14:paraId="625FDD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(до 01.07.40)</w:t>
            </w:r>
          </w:p>
        </w:tc>
      </w:tr>
      <w:tr w:rsidR="00983732" w:rsidRPr="00A3026E" w14:paraId="2034D4D7" w14:textId="77777777" w:rsidTr="00EA0DA7">
        <w:tc>
          <w:tcPr>
            <w:tcW w:w="2254" w:type="dxa"/>
          </w:tcPr>
          <w:p w14:paraId="72F229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(тыс. руб.)</w:t>
            </w:r>
          </w:p>
        </w:tc>
        <w:tc>
          <w:tcPr>
            <w:tcW w:w="2254" w:type="dxa"/>
          </w:tcPr>
          <w:p w14:paraId="4F3F42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28814</w:t>
            </w:r>
          </w:p>
        </w:tc>
        <w:tc>
          <w:tcPr>
            <w:tcW w:w="2254" w:type="dxa"/>
          </w:tcPr>
          <w:p w14:paraId="48F7C2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66320</w:t>
            </w:r>
          </w:p>
        </w:tc>
        <w:tc>
          <w:tcPr>
            <w:tcW w:w="2254" w:type="dxa"/>
          </w:tcPr>
          <w:p w14:paraId="63FE2B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62350</w:t>
            </w:r>
          </w:p>
        </w:tc>
        <w:tc>
          <w:tcPr>
            <w:tcW w:w="2254" w:type="dxa"/>
          </w:tcPr>
          <w:p w14:paraId="28CB74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70000/23800</w:t>
            </w:r>
          </w:p>
        </w:tc>
      </w:tr>
      <w:tr w:rsidR="00983732" w:rsidRPr="00A3026E" w14:paraId="5C7B5BBF" w14:textId="77777777" w:rsidTr="00EA0DA7">
        <w:tc>
          <w:tcPr>
            <w:tcW w:w="2254" w:type="dxa"/>
          </w:tcPr>
          <w:p w14:paraId="25D604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Освоено (тыс. руб.)</w:t>
            </w:r>
          </w:p>
        </w:tc>
        <w:tc>
          <w:tcPr>
            <w:tcW w:w="2254" w:type="dxa"/>
          </w:tcPr>
          <w:p w14:paraId="1E79D4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25477</w:t>
            </w:r>
          </w:p>
        </w:tc>
        <w:tc>
          <w:tcPr>
            <w:tcW w:w="2254" w:type="dxa"/>
          </w:tcPr>
          <w:p w14:paraId="42DD7B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54013</w:t>
            </w:r>
          </w:p>
        </w:tc>
        <w:tc>
          <w:tcPr>
            <w:tcW w:w="2254" w:type="dxa"/>
          </w:tcPr>
          <w:p w14:paraId="45CE0A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65211</w:t>
            </w:r>
          </w:p>
        </w:tc>
        <w:tc>
          <w:tcPr>
            <w:tcW w:w="2254" w:type="dxa"/>
          </w:tcPr>
          <w:p w14:paraId="0C6D69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29526</w:t>
            </w:r>
          </w:p>
        </w:tc>
      </w:tr>
      <w:tr w:rsidR="00983732" w:rsidRPr="00A3026E" w14:paraId="7F2623B8" w14:textId="77777777" w:rsidTr="00EA0DA7">
        <w:tc>
          <w:tcPr>
            <w:tcW w:w="2254" w:type="dxa"/>
            <w:tcBorders>
              <w:bottom w:val="single" w:sz="12" w:space="0" w:color="auto"/>
            </w:tcBorders>
          </w:tcPr>
          <w:p w14:paraId="037BA9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254" w:type="dxa"/>
            <w:tcBorders>
              <w:bottom w:val="single" w:sz="12" w:space="0" w:color="auto"/>
            </w:tcBorders>
          </w:tcPr>
          <w:p w14:paraId="3A10F2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w:t>
            </w:r>
          </w:p>
        </w:tc>
        <w:tc>
          <w:tcPr>
            <w:tcW w:w="2254" w:type="dxa"/>
            <w:tcBorders>
              <w:bottom w:val="single" w:sz="12" w:space="0" w:color="auto"/>
            </w:tcBorders>
          </w:tcPr>
          <w:p w14:paraId="372480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w:t>
            </w:r>
          </w:p>
        </w:tc>
        <w:tc>
          <w:tcPr>
            <w:tcW w:w="2254" w:type="dxa"/>
            <w:tcBorders>
              <w:bottom w:val="single" w:sz="12" w:space="0" w:color="auto"/>
            </w:tcBorders>
          </w:tcPr>
          <w:p w14:paraId="0E636D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c>
          <w:tcPr>
            <w:tcW w:w="2254" w:type="dxa"/>
            <w:tcBorders>
              <w:bottom w:val="single" w:sz="12" w:space="0" w:color="auto"/>
            </w:tcBorders>
          </w:tcPr>
          <w:p w14:paraId="176E57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w:t>
            </w:r>
          </w:p>
        </w:tc>
      </w:tr>
    </w:tbl>
    <w:p w14:paraId="753539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Действительное выполнение планов гораздо хуже. Планы не вы</w:t>
      </w:r>
      <w:r w:rsidRPr="00A3026E">
        <w:rPr>
          <w:rFonts w:ascii="Times New Roman" w:hAnsi="Times New Roman"/>
          <w:color w:val="000000" w:themeColor="text1"/>
          <w:sz w:val="16"/>
          <w:szCs w:val="16"/>
        </w:rPr>
        <w:softHyphen/>
        <w:t>полнялись, а создавалась иллюзия их выполнения. Это достигалось тем, что 3-й Главк (т. Хайт) в конце отчетного года изменял планы, приводя их в соответствие с фактическим и:с выполнением. В 1939 г. первоначальный план в 71245 т. руб., 13.12.39 г. был снижен до 64.800 т. руб., в 1938 г. соответственно 68800 и -56320, в 1937 г. 45500 и 28814 т. руб. Кроме того, в 1939 ОКС включил в сумму выполнения плача по сметной стоимости наценку на импортное обо</w:t>
      </w:r>
      <w:r w:rsidRPr="00A3026E">
        <w:rPr>
          <w:rFonts w:ascii="Times New Roman" w:hAnsi="Times New Roman"/>
          <w:color w:val="000000" w:themeColor="text1"/>
          <w:sz w:val="16"/>
          <w:szCs w:val="16"/>
        </w:rPr>
        <w:softHyphen/>
        <w:t>рудование в размере 4058 т. руб., не предусмотренную сметами. Ин</w:t>
      </w:r>
      <w:r w:rsidRPr="00A3026E">
        <w:rPr>
          <w:rFonts w:ascii="Times New Roman" w:hAnsi="Times New Roman"/>
          <w:color w:val="000000" w:themeColor="text1"/>
          <w:sz w:val="16"/>
          <w:szCs w:val="16"/>
        </w:rPr>
        <w:softHyphen/>
        <w:t>вентаризация незавершенного производства не производилась, а сле</w:t>
      </w:r>
      <w:r w:rsidRPr="00A3026E">
        <w:rPr>
          <w:rFonts w:ascii="Times New Roman" w:hAnsi="Times New Roman"/>
          <w:color w:val="000000" w:themeColor="text1"/>
          <w:sz w:val="16"/>
          <w:szCs w:val="16"/>
        </w:rPr>
        <w:softHyphen/>
        <w:t>довательно отчетное данные не проверялись. В 1940 г. при общем перевыполнении плана за первое полугодие чисто-строительные работы выполнены всего на 89%.</w:t>
      </w:r>
    </w:p>
    <w:p w14:paraId="15EE1C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учетом указанного, выполнение годоввых планов будет следующим: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983732" w:rsidRPr="00A3026E" w14:paraId="120A66AB" w14:textId="77777777" w:rsidTr="00EA0DA7">
        <w:tc>
          <w:tcPr>
            <w:tcW w:w="2254" w:type="dxa"/>
            <w:tcBorders>
              <w:top w:val="single" w:sz="12" w:space="0" w:color="auto"/>
            </w:tcBorders>
          </w:tcPr>
          <w:p w14:paraId="6ACA6C4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254" w:type="dxa"/>
            <w:tcBorders>
              <w:top w:val="single" w:sz="12" w:space="0" w:color="auto"/>
            </w:tcBorders>
          </w:tcPr>
          <w:p w14:paraId="72A96A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1937</w:t>
            </w:r>
          </w:p>
        </w:tc>
        <w:tc>
          <w:tcPr>
            <w:tcW w:w="2254" w:type="dxa"/>
            <w:tcBorders>
              <w:top w:val="single" w:sz="12" w:space="0" w:color="auto"/>
            </w:tcBorders>
          </w:tcPr>
          <w:p w14:paraId="687A3B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w:t>
            </w:r>
          </w:p>
        </w:tc>
        <w:tc>
          <w:tcPr>
            <w:tcW w:w="2254" w:type="dxa"/>
            <w:tcBorders>
              <w:top w:val="single" w:sz="12" w:space="0" w:color="auto"/>
            </w:tcBorders>
          </w:tcPr>
          <w:p w14:paraId="344BBA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2254" w:type="dxa"/>
            <w:tcBorders>
              <w:top w:val="single" w:sz="12" w:space="0" w:color="auto"/>
            </w:tcBorders>
          </w:tcPr>
          <w:p w14:paraId="582EAF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(до 01.07.40)</w:t>
            </w:r>
          </w:p>
        </w:tc>
      </w:tr>
      <w:tr w:rsidR="00983732" w:rsidRPr="00A3026E" w14:paraId="6614A891" w14:textId="77777777" w:rsidTr="00EA0DA7">
        <w:tc>
          <w:tcPr>
            <w:tcW w:w="2254" w:type="dxa"/>
          </w:tcPr>
          <w:p w14:paraId="341166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(тыс. руб.)</w:t>
            </w:r>
          </w:p>
        </w:tc>
        <w:tc>
          <w:tcPr>
            <w:tcW w:w="2254" w:type="dxa"/>
          </w:tcPr>
          <w:p w14:paraId="1A94D3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45500</w:t>
            </w:r>
          </w:p>
        </w:tc>
        <w:tc>
          <w:tcPr>
            <w:tcW w:w="2254" w:type="dxa"/>
          </w:tcPr>
          <w:p w14:paraId="5A9005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68000</w:t>
            </w:r>
          </w:p>
        </w:tc>
        <w:tc>
          <w:tcPr>
            <w:tcW w:w="2254" w:type="dxa"/>
          </w:tcPr>
          <w:p w14:paraId="623F08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71245</w:t>
            </w:r>
          </w:p>
        </w:tc>
        <w:tc>
          <w:tcPr>
            <w:tcW w:w="2254" w:type="dxa"/>
          </w:tcPr>
          <w:p w14:paraId="27403A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17800</w:t>
            </w:r>
          </w:p>
        </w:tc>
      </w:tr>
      <w:tr w:rsidR="00983732" w:rsidRPr="00A3026E" w14:paraId="20C97F09" w14:textId="77777777" w:rsidTr="00EA0DA7">
        <w:tc>
          <w:tcPr>
            <w:tcW w:w="2254" w:type="dxa"/>
          </w:tcPr>
          <w:p w14:paraId="4193AA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Освоено (тыс. руб.)</w:t>
            </w:r>
          </w:p>
        </w:tc>
        <w:tc>
          <w:tcPr>
            <w:tcW w:w="2254" w:type="dxa"/>
          </w:tcPr>
          <w:p w14:paraId="58F64D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25477</w:t>
            </w:r>
          </w:p>
        </w:tc>
        <w:tc>
          <w:tcPr>
            <w:tcW w:w="2254" w:type="dxa"/>
          </w:tcPr>
          <w:p w14:paraId="7C1996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54013</w:t>
            </w:r>
          </w:p>
        </w:tc>
        <w:tc>
          <w:tcPr>
            <w:tcW w:w="2254" w:type="dxa"/>
          </w:tcPr>
          <w:p w14:paraId="7CAFBF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65211</w:t>
            </w:r>
          </w:p>
        </w:tc>
        <w:tc>
          <w:tcPr>
            <w:tcW w:w="2254" w:type="dxa"/>
          </w:tcPr>
          <w:p w14:paraId="7D4A27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15789</w:t>
            </w:r>
          </w:p>
        </w:tc>
      </w:tr>
      <w:tr w:rsidR="00983732" w:rsidRPr="00A3026E" w14:paraId="17F43B58" w14:textId="77777777" w:rsidTr="00EA0DA7">
        <w:tc>
          <w:tcPr>
            <w:tcW w:w="2254" w:type="dxa"/>
            <w:tcBorders>
              <w:bottom w:val="single" w:sz="12" w:space="0" w:color="auto"/>
            </w:tcBorders>
          </w:tcPr>
          <w:p w14:paraId="6D1B37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254" w:type="dxa"/>
            <w:tcBorders>
              <w:bottom w:val="single" w:sz="12" w:space="0" w:color="auto"/>
            </w:tcBorders>
          </w:tcPr>
          <w:p w14:paraId="4822F7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w:t>
            </w:r>
          </w:p>
        </w:tc>
        <w:tc>
          <w:tcPr>
            <w:tcW w:w="2254" w:type="dxa"/>
            <w:tcBorders>
              <w:bottom w:val="single" w:sz="12" w:space="0" w:color="auto"/>
            </w:tcBorders>
          </w:tcPr>
          <w:p w14:paraId="006F6A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2254" w:type="dxa"/>
            <w:tcBorders>
              <w:bottom w:val="single" w:sz="12" w:space="0" w:color="auto"/>
            </w:tcBorders>
          </w:tcPr>
          <w:p w14:paraId="4D4476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w:t>
            </w:r>
          </w:p>
        </w:tc>
        <w:tc>
          <w:tcPr>
            <w:tcW w:w="2254" w:type="dxa"/>
            <w:tcBorders>
              <w:bottom w:val="single" w:sz="12" w:space="0" w:color="auto"/>
            </w:tcBorders>
          </w:tcPr>
          <w:p w14:paraId="567D17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894</w:t>
            </w:r>
          </w:p>
        </w:tc>
      </w:tr>
    </w:tbl>
    <w:p w14:paraId="0F956C4C"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color w:val="000000" w:themeColor="text1"/>
          <w:sz w:val="16"/>
          <w:szCs w:val="16"/>
        </w:rPr>
        <w:t>Таким образом, явный срыв выполнения годовых планов по строительству завода в отчетах ОКС'а с помощью 3-го Главка и ГУКС НКАП маскировался и создавалось ложное впечатление видимого благополучия.</w:t>
      </w:r>
    </w:p>
    <w:p w14:paraId="726864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Ввод вэксплуатацию.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983732" w:rsidRPr="00A3026E" w14:paraId="6602D7F7" w14:textId="77777777" w:rsidTr="00EA0DA7">
        <w:tc>
          <w:tcPr>
            <w:tcW w:w="2254" w:type="dxa"/>
            <w:tcBorders>
              <w:top w:val="single" w:sz="12" w:space="0" w:color="auto"/>
            </w:tcBorders>
          </w:tcPr>
          <w:p w14:paraId="29E326A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254" w:type="dxa"/>
            <w:tcBorders>
              <w:top w:val="single" w:sz="12" w:space="0" w:color="auto"/>
            </w:tcBorders>
          </w:tcPr>
          <w:p w14:paraId="0A4EFD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1937</w:t>
            </w:r>
          </w:p>
        </w:tc>
        <w:tc>
          <w:tcPr>
            <w:tcW w:w="2254" w:type="dxa"/>
            <w:tcBorders>
              <w:top w:val="single" w:sz="12" w:space="0" w:color="auto"/>
            </w:tcBorders>
          </w:tcPr>
          <w:p w14:paraId="137079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w:t>
            </w:r>
          </w:p>
        </w:tc>
        <w:tc>
          <w:tcPr>
            <w:tcW w:w="2254" w:type="dxa"/>
            <w:tcBorders>
              <w:top w:val="single" w:sz="12" w:space="0" w:color="auto"/>
            </w:tcBorders>
          </w:tcPr>
          <w:p w14:paraId="5CFDFF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2254" w:type="dxa"/>
            <w:tcBorders>
              <w:top w:val="single" w:sz="12" w:space="0" w:color="auto"/>
            </w:tcBorders>
          </w:tcPr>
          <w:p w14:paraId="172E4B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(до 01.07.40)</w:t>
            </w:r>
          </w:p>
        </w:tc>
      </w:tr>
      <w:tr w:rsidR="00983732" w:rsidRPr="00A3026E" w14:paraId="225ACEAB" w14:textId="77777777" w:rsidTr="00EA0DA7">
        <w:tc>
          <w:tcPr>
            <w:tcW w:w="2254" w:type="dxa"/>
          </w:tcPr>
          <w:p w14:paraId="162404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(млн. руб./тыс. м2)</w:t>
            </w:r>
          </w:p>
        </w:tc>
        <w:tc>
          <w:tcPr>
            <w:tcW w:w="2254" w:type="dxa"/>
          </w:tcPr>
          <w:p w14:paraId="7EC156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24,7/-</w:t>
            </w:r>
          </w:p>
        </w:tc>
        <w:tc>
          <w:tcPr>
            <w:tcW w:w="2254" w:type="dxa"/>
          </w:tcPr>
          <w:p w14:paraId="5A269E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58,6/31800</w:t>
            </w:r>
          </w:p>
        </w:tc>
        <w:tc>
          <w:tcPr>
            <w:tcW w:w="2254" w:type="dxa"/>
          </w:tcPr>
          <w:p w14:paraId="169DB5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44,4/27520</w:t>
            </w:r>
          </w:p>
        </w:tc>
        <w:tc>
          <w:tcPr>
            <w:tcW w:w="2254" w:type="dxa"/>
          </w:tcPr>
          <w:p w14:paraId="3B5762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25/12012</w:t>
            </w:r>
          </w:p>
        </w:tc>
      </w:tr>
      <w:tr w:rsidR="00983732" w:rsidRPr="00A3026E" w14:paraId="5A4272A1" w14:textId="77777777" w:rsidTr="00EA0DA7">
        <w:tc>
          <w:tcPr>
            <w:tcW w:w="2254" w:type="dxa"/>
          </w:tcPr>
          <w:p w14:paraId="10B746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Освоено (млн. руб./тыс. м2)</w:t>
            </w:r>
          </w:p>
        </w:tc>
        <w:tc>
          <w:tcPr>
            <w:tcW w:w="2254" w:type="dxa"/>
          </w:tcPr>
          <w:p w14:paraId="621652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19,2/10300</w:t>
            </w:r>
          </w:p>
        </w:tc>
        <w:tc>
          <w:tcPr>
            <w:tcW w:w="2254" w:type="dxa"/>
          </w:tcPr>
          <w:p w14:paraId="0D666A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46/15205</w:t>
            </w:r>
          </w:p>
        </w:tc>
        <w:tc>
          <w:tcPr>
            <w:tcW w:w="2254" w:type="dxa"/>
          </w:tcPr>
          <w:p w14:paraId="2D2031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54,4/29347</w:t>
            </w:r>
          </w:p>
        </w:tc>
        <w:tc>
          <w:tcPr>
            <w:tcW w:w="2254" w:type="dxa"/>
          </w:tcPr>
          <w:p w14:paraId="471DB8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32,7/8662</w:t>
            </w:r>
          </w:p>
        </w:tc>
      </w:tr>
      <w:tr w:rsidR="00983732" w:rsidRPr="00A3026E" w14:paraId="1B0A2C9D" w14:textId="77777777" w:rsidTr="00EA0DA7">
        <w:tc>
          <w:tcPr>
            <w:tcW w:w="2254" w:type="dxa"/>
            <w:tcBorders>
              <w:bottom w:val="single" w:sz="12" w:space="0" w:color="auto"/>
            </w:tcBorders>
          </w:tcPr>
          <w:p w14:paraId="423463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254" w:type="dxa"/>
            <w:tcBorders>
              <w:bottom w:val="single" w:sz="12" w:space="0" w:color="auto"/>
            </w:tcBorders>
          </w:tcPr>
          <w:p w14:paraId="6EDFDD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w:t>
            </w:r>
          </w:p>
        </w:tc>
        <w:tc>
          <w:tcPr>
            <w:tcW w:w="2254" w:type="dxa"/>
            <w:tcBorders>
              <w:bottom w:val="single" w:sz="12" w:space="0" w:color="auto"/>
            </w:tcBorders>
          </w:tcPr>
          <w:p w14:paraId="1D3B9D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w:t>
            </w:r>
          </w:p>
        </w:tc>
        <w:tc>
          <w:tcPr>
            <w:tcW w:w="2254" w:type="dxa"/>
            <w:tcBorders>
              <w:bottom w:val="single" w:sz="12" w:space="0" w:color="auto"/>
            </w:tcBorders>
          </w:tcPr>
          <w:p w14:paraId="1321FF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122/106</w:t>
            </w:r>
          </w:p>
        </w:tc>
        <w:tc>
          <w:tcPr>
            <w:tcW w:w="2254" w:type="dxa"/>
            <w:tcBorders>
              <w:bottom w:val="single" w:sz="12" w:space="0" w:color="auto"/>
            </w:tcBorders>
          </w:tcPr>
          <w:p w14:paraId="1A5070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131/72</w:t>
            </w:r>
          </w:p>
        </w:tc>
      </w:tr>
    </w:tbl>
    <w:p w14:paraId="705E53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Срыв планов по вводу в эксплоатацшз за 1937-38 г.г. очеви</w:t>
      </w:r>
      <w:r w:rsidRPr="00A3026E">
        <w:rPr>
          <w:rFonts w:ascii="Times New Roman" w:hAnsi="Times New Roman"/>
          <w:color w:val="000000" w:themeColor="text1"/>
          <w:sz w:val="16"/>
          <w:szCs w:val="16"/>
        </w:rPr>
        <w:softHyphen/>
        <w:t>ден. Перевыполнение плана за 1939 год произошло за счет заактирования площадей, законченных в 1938 г., но не сданных в свое время. Об'ем незавершенного производства з 1939 году возрос с 22439 т. руб. (28,7%) на 1.1.39 г. до 38229 т. руб. (40,5%) на 1.1.40 г., что свидетельствует о распыленности сил и средств по многим об'ектам, об отсутствии целеустремленности к скорейшему окончании их строительства. В первом полугодии 1940 г. при перевыполнении плана по стоимости об'ектсв, введенных в эксплоатацию, сорваны сроки окончания строительства опытных объектов, подлежапих сдаче согласно постановления ЦК ВКП(б) а СНК Союза ССР №</w:t>
      </w:r>
      <w:r w:rsidRPr="00A3026E">
        <w:rPr>
          <w:rFonts w:ascii="Times New Roman" w:hAnsi="Times New Roman"/>
          <w:color w:val="000000" w:themeColor="text1"/>
          <w:sz w:val="16"/>
          <w:szCs w:val="16"/>
          <w:vertAlign w:val="superscript"/>
        </w:rPr>
        <w:t>;</w:t>
      </w:r>
      <w:r w:rsidRPr="00A3026E">
        <w:rPr>
          <w:rFonts w:ascii="Times New Roman" w:hAnsi="Times New Roman"/>
          <w:color w:val="000000" w:themeColor="text1"/>
          <w:sz w:val="16"/>
          <w:szCs w:val="16"/>
        </w:rPr>
        <w:t xml:space="preserve"> 2032-569сс от 11.12.39 г. в этот период.</w:t>
      </w:r>
    </w:p>
    <w:p w14:paraId="6DA53F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необходимо отметить, что по вине директора завода т. Кожевникова часть сданных в эксплоатацию об'ектов (моб. склад пл. 3500 м2, ремснтно-строительный цех пл. 3270 м2 и др.) не используется в течение 3-х м-цев, а площади эксплоатируемых об'ектов используются не по назначению. В инструменталь</w:t>
      </w:r>
      <w:r w:rsidRPr="00A3026E">
        <w:rPr>
          <w:rFonts w:ascii="Times New Roman" w:hAnsi="Times New Roman"/>
          <w:color w:val="000000" w:themeColor="text1"/>
          <w:sz w:val="16"/>
          <w:szCs w:val="16"/>
        </w:rPr>
        <w:softHyphen/>
        <w:t>ном цехе производственное площади заняты раздевалкою, столовой, складом материалов (не расхсдных) и многочисленными кабинетами вплоть до спец. канцелярии приемщика подписки на газеты и журналы. Аналогичное положение имеется в главном корпусе, лесосушилке, сборочно-переборочном цехе и пр. В то же время площадь цехов №№ 33 и 36 недостаточны, что лимитирует увеличение произ</w:t>
      </w:r>
      <w:r w:rsidRPr="00A3026E">
        <w:rPr>
          <w:rFonts w:ascii="Times New Roman" w:hAnsi="Times New Roman"/>
          <w:color w:val="000000" w:themeColor="text1"/>
          <w:sz w:val="16"/>
          <w:szCs w:val="16"/>
        </w:rPr>
        <w:softHyphen/>
        <w:t>водственной мощности завода.</w:t>
      </w:r>
    </w:p>
    <w:p w14:paraId="7794A9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Качество</w:t>
      </w:r>
    </w:p>
    <w:p w14:paraId="1D29E1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Качество строительных работ, несмотря на то, что об'екты принимались с высокими оценками, было неудозлетворительным. Попустительство ОКС'а и отсутствие боръбы за качество в стройтресте № 12 приводило к неровностям швов кладки, выпуклостям стен, отклонениям коленн от вертикали и т.д. За последние месяцы качество работ улучшилось и указанные дефекты не имеют массового характера....</w:t>
      </w:r>
    </w:p>
    <w:p w14:paraId="6AB756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166DCD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Основными причинами неудовлетворительного хода строительства завода № 19 являются:</w:t>
      </w:r>
    </w:p>
    <w:p w14:paraId="0D7557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Порочность руководства строительством завода со стороны 3-го г Главка (т. Лукин) и ГУКС (т.Кац) НКАП, не обеспечивших окончания строительстза как завода в целом, так и отдельных об'ектов в установленные сроки; задержавших утверждение генплана, и допускаю</w:t>
      </w:r>
      <w:r w:rsidRPr="00A3026E">
        <w:rPr>
          <w:rFonts w:ascii="Times New Roman" w:hAnsi="Times New Roman"/>
          <w:color w:val="000000" w:themeColor="text1"/>
          <w:sz w:val="16"/>
          <w:szCs w:val="16"/>
        </w:rPr>
        <w:softHyphen/>
        <w:t>щих его изменения; стремящихся вместо вскрытия недостатков стро</w:t>
      </w:r>
      <w:r w:rsidRPr="00A3026E">
        <w:rPr>
          <w:rFonts w:ascii="Times New Roman" w:hAnsi="Times New Roman"/>
          <w:color w:val="000000" w:themeColor="text1"/>
          <w:sz w:val="16"/>
          <w:szCs w:val="16"/>
        </w:rPr>
        <w:softHyphen/>
        <w:t>ительства и борьбы с ними, скрыть его плохую работу (приведение планов в соответствие с фактическим выполненным об'емам работ и т.д.), что в целом деморализовывало работников строительства.</w:t>
      </w:r>
    </w:p>
    <w:p w14:paraId="69A4D9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Плохая работа ОКС завода (т. Чумаков ), не добившегося выполнения планов по строительству завода, не обеспечившего строительствотехдокументацией, не организовавшего жесткого контроля за качеством работ и расходованием государственных средств.</w:t>
      </w:r>
    </w:p>
    <w:p w14:paraId="743270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Бездеятельность треста (бывш. упр. т. Криворучко), маскируемая с одной стороны приписками и пр., а с другой ссылками на необеспе</w:t>
      </w:r>
      <w:r w:rsidRPr="00A3026E">
        <w:rPr>
          <w:rFonts w:ascii="Times New Roman" w:hAnsi="Times New Roman"/>
          <w:color w:val="000000" w:themeColor="text1"/>
          <w:sz w:val="16"/>
          <w:szCs w:val="16"/>
        </w:rPr>
        <w:softHyphen/>
        <w:t>ченность строительства.</w:t>
      </w:r>
    </w:p>
    <w:p w14:paraId="4E07BB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необходимым предложить НКАП (3-й Главк, ГУКС)</w:t>
      </w:r>
    </w:p>
    <w:p w14:paraId="19BAC9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Прекратить практику бесконечных изменении генплана завода</w:t>
      </w:r>
    </w:p>
    <w:p w14:paraId="2DE1A2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Усстановить об'ем работ для окончания строительства завода в 1941 году, обеспечив его осуществление ассигнованиями, рабсилой и материалами. Учесть замечания по ТЭЦ и подземному хозяйству.</w:t>
      </w:r>
    </w:p>
    <w:p w14:paraId="441495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Принять меры к полному использованию вводимых производственных площадей по назначению.</w:t>
      </w:r>
    </w:p>
    <w:p w14:paraId="64C51D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Немедленно обеспечить строительство техдокументацией, ук</w:t>
      </w:r>
      <w:r w:rsidRPr="00A3026E">
        <w:rPr>
          <w:rFonts w:ascii="Times New Roman" w:hAnsi="Times New Roman"/>
          <w:color w:val="000000" w:themeColor="text1"/>
          <w:sz w:val="16"/>
          <w:szCs w:val="16"/>
        </w:rPr>
        <w:softHyphen/>
        <w:t>репить инспекторский аппарат ОКС'а, улучшить учет и отчетность</w:t>
      </w:r>
    </w:p>
    <w:p w14:paraId="78FBC5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Потребовать от треста № 12 немедленно принять меры к повышению производительности труда, улучшению качества работ, к обеспечению строительства рабсилой.</w:t>
      </w:r>
    </w:p>
    <w:p w14:paraId="6DC9D8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Виновных за разбазаривание государственна средств, очковтирателей как по ОКС'у, так и тресту привлечь к судебной ответственности. Из'ять из треста средства, перечисленные в фонд директора по отчету за 1939г. Взыскать выданные премии с винов</w:t>
      </w:r>
      <w:r w:rsidRPr="00A3026E">
        <w:rPr>
          <w:rFonts w:ascii="Times New Roman" w:hAnsi="Times New Roman"/>
          <w:color w:val="000000" w:themeColor="text1"/>
          <w:sz w:val="16"/>
          <w:szCs w:val="16"/>
        </w:rPr>
        <w:softHyphen/>
        <w:t>ников дачи очковтирательских сведении.</w:t>
      </w:r>
    </w:p>
    <w:p w14:paraId="738B1F78"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color w:val="000000" w:themeColor="text1"/>
          <w:sz w:val="16"/>
          <w:szCs w:val="16"/>
        </w:rPr>
        <w:t xml:space="preserve">О состоянии строительства завода и о работе треста № 12 сообщить Наркому Авиационной Промышленности т. Шахурину </w:t>
      </w:r>
      <w:r w:rsidRPr="00A3026E">
        <w:rPr>
          <w:rFonts w:ascii="Times New Roman" w:hAnsi="Times New Roman"/>
          <w:smallCaps/>
          <w:color w:val="000000" w:themeColor="text1"/>
          <w:sz w:val="16"/>
          <w:szCs w:val="16"/>
        </w:rPr>
        <w:t>(10504,213).</w:t>
      </w:r>
    </w:p>
    <w:p w14:paraId="3B4333B5"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1C237D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Нач. Военного отдела НКХП СССР Савичев писал письмо № 2682с НКХП тов. Денисову</w:t>
      </w:r>
    </w:p>
    <w:p w14:paraId="187F1F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дополнение к посылаемым материалам, Военный Отдел НКХП сообщает, что вследствие острого недостатка органического стек</w:t>
      </w:r>
      <w:r w:rsidRPr="00A3026E">
        <w:rPr>
          <w:rFonts w:ascii="Times New Roman" w:hAnsi="Times New Roman"/>
          <w:color w:val="000000" w:themeColor="text1"/>
          <w:sz w:val="16"/>
          <w:szCs w:val="16"/>
        </w:rPr>
        <w:softHyphen/>
        <w:t>ла, Военный Отдел Наркомхимпромв был поставлен перед необходимостыо изыскать возможности максимальной выработки органического стекла в 1940 году.</w:t>
      </w:r>
    </w:p>
    <w:p w14:paraId="5FD8E1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Возможности к увеличению выработки органического стекла были выявлены и заключаются в том, что на действующем заводе К-4 процесс производства интенсифицирован в результате чего мощность этого завода увеличилась с 200 до 300 тн/год.</w:t>
      </w:r>
    </w:p>
    <w:p w14:paraId="1E4E74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Вполне понятно, что результаты работ завода К-4 были уч</w:t>
      </w:r>
      <w:r w:rsidRPr="00A3026E">
        <w:rPr>
          <w:rFonts w:ascii="Times New Roman" w:hAnsi="Times New Roman"/>
          <w:color w:val="000000" w:themeColor="text1"/>
          <w:sz w:val="16"/>
          <w:szCs w:val="16"/>
        </w:rPr>
        <w:softHyphen/>
        <w:t>тены при выдаче задания заводу № 148 на выработку органического стекла.</w:t>
      </w:r>
    </w:p>
    <w:p w14:paraId="42E511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основном интенсификация процесса заключается в сокраще</w:t>
      </w:r>
      <w:r w:rsidRPr="00A3026E">
        <w:rPr>
          <w:rFonts w:ascii="Times New Roman" w:hAnsi="Times New Roman"/>
          <w:color w:val="000000" w:themeColor="text1"/>
          <w:sz w:val="16"/>
          <w:szCs w:val="16"/>
        </w:rPr>
        <w:softHyphen/>
        <w:t>нии продолжительности полимеризации; пгюцесс полимеризации по данным проекта длится 16 часов (считая на толстые листы). Средняя продолжительность процесса полимеризации по опыту завода К-4 составляет от 7 до 12 часов (стекло толщиной 4-6 мм).</w:t>
      </w:r>
    </w:p>
    <w:p w14:paraId="68CD16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что значительная часть стекла должна сдаваться потребителю в виде листов, процент отходов может быть сокращен с 36,5% до 28%.</w:t>
      </w:r>
    </w:p>
    <w:p w14:paraId="1EDA0F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Отсюда проектная производительность цеха органического стекла завода № 148, считая по отделению полимеризации, возрастает с 200 тн до 302 тн.</w:t>
      </w:r>
    </w:p>
    <w:p w14:paraId="2E9835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Остальные отделения цеха полностью обеспечивают выработку этого количества.</w:t>
      </w:r>
    </w:p>
    <w:p w14:paraId="204BCD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одновременно с увеличением задания заводу № 148 была увеличена программа выпуска оргстекла и по за</w:t>
      </w:r>
      <w:r w:rsidRPr="00A3026E">
        <w:rPr>
          <w:rFonts w:ascii="Times New Roman" w:hAnsi="Times New Roman"/>
          <w:color w:val="000000" w:themeColor="text1"/>
          <w:sz w:val="16"/>
          <w:szCs w:val="16"/>
        </w:rPr>
        <w:softHyphen/>
        <w:t>воду К-4, причем со стороны последнего возражений не имеется.</w:t>
      </w:r>
    </w:p>
    <w:p w14:paraId="172008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Руководство 1-го Главного управления и завода № 148 еще 8/3-40 г. приказом по НКХП за № 35 были обязаны сдать в 1940 г. 125 тн. органиченкого стекла, начиная с 1 июля с.г., однако не приняли надлежащих мер к своевременному пуску цеха на заданную мощность в 200 тн/год.</w:t>
      </w:r>
    </w:p>
    <w:p w14:paraId="42E2A0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Обращает на себя внимание исключительно долгая задержка материалов 1-м ГУ, распоряжение заводу № 148 об изготовлении оргстекла было дано 21/8-40 г. за № 756/189, несмотря на то, что постановление Комитета Обороны было принято 26/7-40 г. и доведено Наркоматом до сведения Глвка 31/7-с.г.</w:t>
      </w:r>
    </w:p>
    <w:p w14:paraId="0B42F2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завода № 148 тов. Грязнов вместо того, чтобы отккрыто заявить, что приказ Наркома № 35 от 8/3 с.г. не выполнен и что им не поддерживается связь с заводом К-4 на свой завод, прикрывается производительностью цеха по проекту, чем фактически срывает выполнение постановления правительства.</w:t>
      </w:r>
    </w:p>
    <w:p w14:paraId="224E3D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Руководство завода № 148 ведет себя исключительно безобразно, так:</w:t>
      </w:r>
    </w:p>
    <w:p w14:paraId="2E8A61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пуск цеха не были вызнаны проектировщики, которым одно</w:t>
      </w:r>
      <w:r w:rsidRPr="00A3026E">
        <w:rPr>
          <w:rFonts w:ascii="Times New Roman" w:hAnsi="Times New Roman"/>
          <w:color w:val="000000" w:themeColor="text1"/>
          <w:sz w:val="16"/>
          <w:szCs w:val="16"/>
        </w:rPr>
        <w:softHyphen/>
        <w:t xml:space="preserve">временно поручено изготовить проект по </w:t>
      </w:r>
      <w:r w:rsidRPr="00A3026E">
        <w:rPr>
          <w:rFonts w:ascii="Times New Roman" w:hAnsi="Times New Roman"/>
          <w:smallCaps/>
          <w:color w:val="000000" w:themeColor="text1"/>
          <w:sz w:val="16"/>
          <w:szCs w:val="16"/>
        </w:rPr>
        <w:t xml:space="preserve">производству </w:t>
      </w:r>
      <w:r w:rsidRPr="00A3026E">
        <w:rPr>
          <w:rFonts w:ascii="Times New Roman" w:hAnsi="Times New Roman"/>
          <w:color w:val="000000" w:themeColor="text1"/>
          <w:sz w:val="16"/>
          <w:szCs w:val="16"/>
        </w:rPr>
        <w:t>органического стекла на большую мощность.</w:t>
      </w:r>
    </w:p>
    <w:p w14:paraId="0DDC12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результате недостаточно серьезного подхода к делу, руко</w:t>
      </w:r>
      <w:r w:rsidRPr="00A3026E">
        <w:rPr>
          <w:rFonts w:ascii="Times New Roman" w:hAnsi="Times New Roman"/>
          <w:color w:val="000000" w:themeColor="text1"/>
          <w:sz w:val="16"/>
          <w:szCs w:val="16"/>
        </w:rPr>
        <w:softHyphen/>
        <w:t>водством завода № 148 не освоен непрерывный процесс производства эфира и соответствующая установка не переведена на непрерывный процесс.</w:t>
      </w:r>
    </w:p>
    <w:p w14:paraId="4EAE2D3B"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color w:val="000000" w:themeColor="text1"/>
          <w:sz w:val="16"/>
          <w:szCs w:val="16"/>
        </w:rPr>
        <w:t xml:space="preserve">Если ставить вопрос о лицах ответственных за </w:t>
      </w:r>
      <w:r w:rsidRPr="00A3026E">
        <w:rPr>
          <w:rFonts w:ascii="Times New Roman" w:hAnsi="Times New Roman"/>
          <w:smallCaps/>
          <w:color w:val="000000" w:themeColor="text1"/>
          <w:sz w:val="16"/>
          <w:szCs w:val="16"/>
        </w:rPr>
        <w:t xml:space="preserve">срыв </w:t>
      </w:r>
      <w:r w:rsidRPr="00A3026E">
        <w:rPr>
          <w:rFonts w:ascii="Times New Roman" w:hAnsi="Times New Roman"/>
          <w:color w:val="000000" w:themeColor="text1"/>
          <w:sz w:val="16"/>
          <w:szCs w:val="16"/>
        </w:rPr>
        <w:t xml:space="preserve">поставки органического стекла, то в первую очередь этим лицоп является директор завода № 148 т. Грязнов, который не принял мер к пуску цеха в июле мес. 1940 г. и который </w:t>
      </w:r>
      <w:r w:rsidRPr="00A3026E">
        <w:rPr>
          <w:rFonts w:ascii="Times New Roman" w:hAnsi="Times New Roman"/>
          <w:smallCaps/>
          <w:color w:val="000000" w:themeColor="text1"/>
          <w:sz w:val="16"/>
          <w:szCs w:val="16"/>
        </w:rPr>
        <w:t xml:space="preserve">скрыл </w:t>
      </w:r>
      <w:r w:rsidRPr="00A3026E">
        <w:rPr>
          <w:rFonts w:ascii="Times New Roman" w:hAnsi="Times New Roman"/>
          <w:color w:val="000000" w:themeColor="text1"/>
          <w:sz w:val="16"/>
          <w:szCs w:val="16"/>
        </w:rPr>
        <w:t xml:space="preserve">действительные </w:t>
      </w:r>
      <w:r w:rsidRPr="00A3026E">
        <w:rPr>
          <w:rFonts w:ascii="Times New Roman" w:hAnsi="Times New Roman"/>
          <w:smallCaps/>
          <w:color w:val="000000" w:themeColor="text1"/>
          <w:sz w:val="16"/>
          <w:szCs w:val="16"/>
        </w:rPr>
        <w:t xml:space="preserve">производственные </w:t>
      </w:r>
      <w:r w:rsidRPr="00A3026E">
        <w:rPr>
          <w:rFonts w:ascii="Times New Roman" w:hAnsi="Times New Roman"/>
          <w:color w:val="000000" w:themeColor="text1"/>
          <w:sz w:val="16"/>
          <w:szCs w:val="16"/>
        </w:rPr>
        <w:t xml:space="preserve">возможности цеха </w:t>
      </w:r>
      <w:r w:rsidRPr="00A3026E">
        <w:rPr>
          <w:rFonts w:ascii="Times New Roman" w:hAnsi="Times New Roman"/>
          <w:smallCaps/>
          <w:color w:val="000000" w:themeColor="text1"/>
          <w:sz w:val="16"/>
          <w:szCs w:val="16"/>
        </w:rPr>
        <w:t>(10512,26).</w:t>
      </w:r>
    </w:p>
    <w:p w14:paraId="0B0A1178"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1C4CE4B0"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CEE015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1B632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года после заводских испытаний на заводе 221 образец 210-мм пушки Бр-17 (Шкода) прибыл на АНИОП для проведения полигонных испытаний (3861).</w:t>
      </w:r>
    </w:p>
    <w:p w14:paraId="25B99F4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D1FF6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закончились заводские испытания опытного образца танка Т-126 (СП) по программе 300 км. Танк СП-126 про</w:t>
      </w:r>
      <w:r w:rsidRPr="00A3026E">
        <w:rPr>
          <w:rFonts w:ascii="Times New Roman" w:hAnsi="Times New Roman"/>
          <w:color w:val="000000" w:themeColor="text1"/>
          <w:sz w:val="16"/>
          <w:szCs w:val="16"/>
        </w:rPr>
        <w:softHyphen/>
        <w:t>шел 312 км, из них по шоссейной дороге — 195 км, по пере</w:t>
      </w:r>
      <w:r w:rsidRPr="00A3026E">
        <w:rPr>
          <w:rFonts w:ascii="Times New Roman" w:hAnsi="Times New Roman"/>
          <w:color w:val="000000" w:themeColor="text1"/>
          <w:sz w:val="16"/>
          <w:szCs w:val="16"/>
        </w:rPr>
        <w:softHyphen/>
        <w:t>сеченной местности - 95 км, преодоление препятствий (рвы, подъемы, болота) составило приблизительно 22 км. Ос-тальное время движения занял пробег по территории завода и на опробование механизмов. За время заводской обкатки обнаружено множество мелких дефектов. 10/1Х-40 г. заводские испытания приостановлены в целях переборки коробки скоростей и устранения дефектов. 19 сентября ис</w:t>
      </w:r>
      <w:r w:rsidRPr="00A3026E">
        <w:rPr>
          <w:rFonts w:ascii="Times New Roman" w:hAnsi="Times New Roman"/>
          <w:color w:val="000000" w:themeColor="text1"/>
          <w:sz w:val="16"/>
          <w:szCs w:val="16"/>
        </w:rPr>
        <w:softHyphen/>
        <w:t>пытания были продолжены. К их завершению 28/1Х пер</w:t>
      </w:r>
      <w:r w:rsidRPr="00A3026E">
        <w:rPr>
          <w:rFonts w:ascii="Times New Roman" w:hAnsi="Times New Roman"/>
          <w:color w:val="000000" w:themeColor="text1"/>
          <w:sz w:val="16"/>
          <w:szCs w:val="16"/>
        </w:rPr>
        <w:softHyphen/>
        <w:t>вый образец танка Т-126 (СП) прошел 973 км (10782).</w:t>
      </w:r>
    </w:p>
    <w:p w14:paraId="2E4CF7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9CF77C4"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9 сентября 1940 г. и</w:t>
      </w:r>
      <w:r w:rsidRPr="00A3026E">
        <w:rPr>
          <w:rStyle w:val="a7"/>
          <w:rFonts w:ascii="Times New Roman" w:hAnsi="Times New Roman"/>
          <w:b w:val="0"/>
          <w:bCs w:val="0"/>
          <w:color w:val="000000" w:themeColor="text1"/>
          <w:sz w:val="16"/>
          <w:szCs w:val="16"/>
        </w:rPr>
        <w:t>з справки ЦУНХУв Госплан СССР о выполнении плана капитального строительства за 1939 г.</w:t>
      </w:r>
    </w:p>
    <w:p w14:paraId="0732770B"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I. Выполнение плана и общий объем капитальных работ</w:t>
      </w:r>
    </w:p>
    <w:p w14:paraId="360D967F"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Объем выполненных капитальных работ в 1939 г. составил 30 709 млн. руб. (включая на 95,2 млн. руб. капитального ремонта за счет плана капиталовложений), что превышает объем капитальных работ в 1938 г. на 8,9%. Годовой план 1939 г. оказался выполненным на 80,7% против 74% в 1938 г.</w:t>
      </w:r>
    </w:p>
    <w:p w14:paraId="42535423"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Установленный на третью пятилетку план капитального строительства в размере 192 млрд. руб. выполнен за 2,5 года на 36,4%, или на 69973 млн. руб. (по сметной стоимости).</w:t>
      </w:r>
    </w:p>
    <w:p w14:paraId="11CF9FEE"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общей суммы выполненных в 1939 г. плановых капитальных работ по фактической стоимости составляют: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68"/>
        <w:gridCol w:w="1169"/>
        <w:gridCol w:w="1720"/>
      </w:tblGrid>
      <w:tr w:rsidR="00983732" w:rsidRPr="00A3026E" w14:paraId="05D61C3C"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371F70"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Строительные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DEB73"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19 231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E5380"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59,3% к общему объему</w:t>
            </w:r>
          </w:p>
        </w:tc>
      </w:tr>
      <w:tr w:rsidR="00983732" w:rsidRPr="00A3026E" w14:paraId="356685A3"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05EF42"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Монтажные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87910"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1448,4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93C99"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 к общему объему</w:t>
            </w:r>
          </w:p>
        </w:tc>
      </w:tr>
      <w:tr w:rsidR="00983732" w:rsidRPr="00A3026E" w14:paraId="7E4851F9"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217FB4"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Оборудование, инвентарь, инструмент и 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CECCA"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9131,5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4D767"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28,1% к общему объему</w:t>
            </w:r>
          </w:p>
        </w:tc>
      </w:tr>
      <w:tr w:rsidR="00983732" w:rsidRPr="00A3026E" w14:paraId="3E44447A"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7DA934"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Проектно-изыскательские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1118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1812,2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A0F27"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 к общему объему</w:t>
            </w:r>
          </w:p>
        </w:tc>
      </w:tr>
      <w:tr w:rsidR="00983732" w:rsidRPr="00A3026E" w14:paraId="1547FA84"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03D928"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Затраты, не увеличивающие основных средств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EAF6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8 299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B83B1"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к общему объему</w:t>
            </w:r>
          </w:p>
        </w:tc>
      </w:tr>
    </w:tbl>
    <w:p w14:paraId="05624BEF"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Следует отметить большие затраты по проектно-изыскательским работам, достигающие в 1939 г. 1812,2 млн. руб., или 5,6% общего объема выполненных капитальных работ.</w:t>
      </w:r>
    </w:p>
    <w:p w14:paraId="2707C939"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Такие большие затраты, повторяющиеся из года в год, наряду с неудовлетворительным обеспечением строительства проектами и сметами, свидетельствуют о явной неупорядоченности проектно-изыскательского дела, являющейся одной из причин, тормозящих выполнение плана капитальных работ и удорожающей стоимость строительства.</w:t>
      </w:r>
    </w:p>
    <w:p w14:paraId="70BF486D"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Помимо плановых капитальных работ в 1939 г. выполнено внеплановых капитальных работ на сумму 6643,1 млн. руб., или 17% от общего объема. Наибольшее распространение внеплановые капитальные вложения в 1939 г. имели место в следующих наркоматах (по фактической стоимости для заказчика в млн. руб.) [табл. 1].</w:t>
      </w:r>
    </w:p>
    <w:p w14:paraId="754A6AB1"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[ТАБЛИЦА 1]</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53"/>
        <w:gridCol w:w="2096"/>
        <w:gridCol w:w="1824"/>
        <w:gridCol w:w="748"/>
      </w:tblGrid>
      <w:tr w:rsidR="00983732" w:rsidRPr="00A3026E" w14:paraId="1B806298"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EBF41F"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Наркоматы и 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131C9"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FD4C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В том числе внеплановых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26103"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 к итогу</w:t>
            </w:r>
          </w:p>
        </w:tc>
      </w:tr>
      <w:tr w:rsidR="00983732" w:rsidRPr="00A3026E" w14:paraId="6CB33875"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532508"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по народному хозяйству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0662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39 096,1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B62CB"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9FF48"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r>
      <w:tr w:rsidR="00983732" w:rsidRPr="00A3026E" w14:paraId="6BE64F4C" w14:textId="77777777" w:rsidTr="0055202A">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289CF66"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tc>
      </w:tr>
      <w:tr w:rsidR="00983732" w:rsidRPr="00A3026E" w14:paraId="010BB08B"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D0F3E"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Наркомпищепром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EA872"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1 107,7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0FF0C"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53CD6"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54,4</w:t>
            </w:r>
          </w:p>
        </w:tc>
      </w:tr>
      <w:tr w:rsidR="00983732" w:rsidRPr="00A3026E" w14:paraId="5ED50E03"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806CF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Наркомсовхозов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0D024"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DD1EB"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AD9DE"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w:t>
            </w:r>
          </w:p>
        </w:tc>
      </w:tr>
      <w:tr w:rsidR="00983732" w:rsidRPr="00A3026E" w14:paraId="6B5087F9"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876661"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Наркомторг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F5030"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3F6B7"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C8393"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70,8</w:t>
            </w:r>
          </w:p>
        </w:tc>
      </w:tr>
      <w:tr w:rsidR="00983732" w:rsidRPr="00A3026E" w14:paraId="2B2FB0C2"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D590A"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Наркомат коммунального хозяйства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D9897"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1 427,9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3CF6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816CF"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23,2</w:t>
            </w:r>
          </w:p>
        </w:tc>
      </w:tr>
      <w:tr w:rsidR="00983732" w:rsidRPr="00A3026E" w14:paraId="21B6798F"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9CC6BC"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Наркоммясомолпром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10659"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D34F7"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596C8"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52,8</w:t>
            </w:r>
          </w:p>
        </w:tc>
      </w:tr>
      <w:tr w:rsidR="00983732" w:rsidRPr="00A3026E" w14:paraId="49AB8254"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622303"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Наркомздрав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60F8A"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F1F3D"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E359C"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36,8</w:t>
            </w:r>
          </w:p>
        </w:tc>
      </w:tr>
      <w:tr w:rsidR="00983732" w:rsidRPr="00A3026E" w14:paraId="7F76F881"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B3B6A4"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НКместпромы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2A186"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B5364"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B08A2"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57,6</w:t>
            </w:r>
          </w:p>
        </w:tc>
      </w:tr>
      <w:tr w:rsidR="00983732" w:rsidRPr="00A3026E" w14:paraId="128F298F"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285BE9"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Наркомлес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AB49D"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FC2FF"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8BA47"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25,1</w:t>
            </w:r>
          </w:p>
        </w:tc>
      </w:tr>
      <w:tr w:rsidR="00983732" w:rsidRPr="00A3026E" w14:paraId="379AD39C"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3A1EC8"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Наркомлегпром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B8B3D"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97FEB"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D55A1"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33,6</w:t>
            </w:r>
          </w:p>
        </w:tc>
      </w:tr>
      <w:tr w:rsidR="00983732" w:rsidRPr="00A3026E" w14:paraId="56BDC668"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B4E482"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Наркомрыбпром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F2B17"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4DF5B"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98346"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22,1</w:t>
            </w:r>
          </w:p>
        </w:tc>
      </w:tr>
      <w:tr w:rsidR="00983732" w:rsidRPr="00A3026E" w14:paraId="298F2CA9"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1638A"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Комитет по делам кинематографии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48438"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11F14"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207B9"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r>
      <w:tr w:rsidR="00983732" w:rsidRPr="00A3026E" w14:paraId="78C70F63"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B10AF6"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Наркомсвязь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E68B7"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41D4F"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51799"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r>
    </w:tbl>
    <w:p w14:paraId="07A63BC2" w14:textId="77777777" w:rsidR="00B53A49" w:rsidRPr="00A3026E" w:rsidRDefault="00B53A49" w:rsidP="00A3026E">
      <w:pPr>
        <w:pStyle w:val="ae"/>
        <w:spacing w:before="0" w:after="0"/>
        <w:jc w:val="both"/>
        <w:rPr>
          <w:color w:val="000000" w:themeColor="text1"/>
          <w:sz w:val="16"/>
          <w:szCs w:val="16"/>
        </w:rPr>
      </w:pPr>
      <w:r w:rsidRPr="00A3026E">
        <w:rPr>
          <w:color w:val="000000" w:themeColor="text1"/>
          <w:sz w:val="16"/>
          <w:szCs w:val="16"/>
        </w:rPr>
        <w:t>Наличие большого объема внеплановых капитальных работ свидетельствует о том, что строительство, осуществляемое в порядке постановления СНК СССР от 19 сентября 1935 г.</w:t>
      </w:r>
      <w:r w:rsidRPr="00A3026E">
        <w:rPr>
          <w:color w:val="000000" w:themeColor="text1"/>
          <w:sz w:val="16"/>
          <w:szCs w:val="16"/>
          <w:vertAlign w:val="superscript"/>
        </w:rPr>
        <w:t>3</w:t>
      </w:r>
      <w:r w:rsidRPr="00A3026E">
        <w:rPr>
          <w:color w:val="000000" w:themeColor="text1"/>
          <w:sz w:val="16"/>
          <w:szCs w:val="16"/>
        </w:rPr>
        <w:t>, В практи получило чрезмерно широкое распространение. Для упорядочения производства внеплановых капитальных работ необходимо установить более строгий контроль за правильностью применения закона от 19 сентября 1935 г. как в части направления строительства, так и в соблюдении предельных лимитов и недопущении использования на внеплановое строительство фондируемых материалов в ущерб плановому строительству.</w:t>
      </w:r>
    </w:p>
    <w:p w14:paraId="0F4F3F72"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1939 г. объем капитальных работ, выполненных подрядным способом, составил 11 476 млн. руб., из них 2873,7 млн. руб., или 25% выполнено Наркоматом по строительству. Удельный вес подрядных работ в общем объеме строительных и монтажных работ, выполненных в целом по СССР в 1939 г., увеличился и составил 45,8% против 40,7% в 1938 г.</w:t>
      </w:r>
    </w:p>
    <w:p w14:paraId="6E41B434"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II. Ввод в действие</w:t>
      </w:r>
    </w:p>
    <w:p w14:paraId="69AB2D2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Ввод в действие объектов законченного строительства в 1939 г. составил по фактической стоимости по всем капитальным вложениям 35596,5 млн. руб., в том числе по плановым капитальным вложениям 29433 млн. руб.</w:t>
      </w:r>
    </w:p>
    <w:p w14:paraId="66EFC0D3"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ввода в действие был выполнен на 66,4%, т.е. значительно хуже, чем план капитальных работ [табл. 2].</w:t>
      </w:r>
    </w:p>
    <w:p w14:paraId="16C55D6F"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[ТАБЛИЦА 2]</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89"/>
        <w:gridCol w:w="2112"/>
        <w:gridCol w:w="1440"/>
      </w:tblGrid>
      <w:tr w:rsidR="00983732" w:rsidRPr="00A3026E" w14:paraId="2DFA3A07" w14:textId="77777777" w:rsidTr="0055202A">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C9E2BB0"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Наркоматы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FED9E6"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Выполнение годового плана, %</w:t>
            </w:r>
          </w:p>
        </w:tc>
      </w:tr>
      <w:tr w:rsidR="00983732" w:rsidRPr="00A3026E" w14:paraId="0EBF94B5" w14:textId="77777777" w:rsidTr="0055202A">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390E07A" w14:textId="77777777" w:rsidR="00B53A49" w:rsidRPr="00A3026E" w:rsidRDefault="00B53A49"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00A288"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по объему капитальных работ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7F8C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по вводу в действие</w:t>
            </w:r>
          </w:p>
        </w:tc>
      </w:tr>
      <w:tr w:rsidR="00983732" w:rsidRPr="00A3026E" w14:paraId="3AF1344A"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B89009"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по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A908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723B1"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66,4</w:t>
            </w:r>
          </w:p>
        </w:tc>
      </w:tr>
      <w:tr w:rsidR="00983732" w:rsidRPr="00A3026E" w14:paraId="2410339C" w14:textId="77777777" w:rsidTr="0055202A">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26FBF71"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tc>
      </w:tr>
      <w:tr w:rsidR="00983732" w:rsidRPr="00A3026E" w14:paraId="0C6786D9"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98AE2F"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EF1A1"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87BF0"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70,8</w:t>
            </w:r>
          </w:p>
        </w:tc>
      </w:tr>
      <w:tr w:rsidR="00983732" w:rsidRPr="00A3026E" w14:paraId="6CE333FD"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ACF271"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НКнефть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DE16B"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DB630"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67,2</w:t>
            </w:r>
          </w:p>
        </w:tc>
      </w:tr>
      <w:tr w:rsidR="00983732" w:rsidRPr="00A3026E" w14:paraId="087BEABB"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4E681F"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НКэлектро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D46CD"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202A2"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r>
      <w:tr w:rsidR="00983732" w:rsidRPr="00A3026E" w14:paraId="36CF695F"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E8AE60"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НКчермет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65352"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73E56"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71,7</w:t>
            </w:r>
          </w:p>
        </w:tc>
      </w:tr>
      <w:tr w:rsidR="00983732" w:rsidRPr="00A3026E" w14:paraId="6A4E0BE1"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0A2C5D"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НКиветмет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4D73B"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1DE69"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53,7</w:t>
            </w:r>
          </w:p>
        </w:tc>
      </w:tr>
      <w:tr w:rsidR="00983732" w:rsidRPr="00A3026E" w14:paraId="62799089"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2A973F"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НКхимпроы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923EE"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4255A"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66,7</w:t>
            </w:r>
          </w:p>
        </w:tc>
      </w:tr>
      <w:tr w:rsidR="00983732" w:rsidRPr="00A3026E" w14:paraId="1181B3A7"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AAC35D"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НКтяжмаш</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5C0B1"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E348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67,2</w:t>
            </w:r>
          </w:p>
        </w:tc>
      </w:tr>
      <w:tr w:rsidR="00983732" w:rsidRPr="00A3026E" w14:paraId="074A1442"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D5BF4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НКсредмаш</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79D59"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C2CA9"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75,6</w:t>
            </w:r>
          </w:p>
        </w:tc>
      </w:tr>
      <w:tr w:rsidR="00983732" w:rsidRPr="00A3026E" w14:paraId="100B8D5E"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F7D8AE"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НКобщемаш</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0679A"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33100"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70,7</w:t>
            </w:r>
          </w:p>
        </w:tc>
      </w:tr>
      <w:tr w:rsidR="00983732" w:rsidRPr="00A3026E" w14:paraId="0AB9FBC5"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3B03C0"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НКлеспром (союзного подчинения)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BA3DB"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9F0DB"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80,3</w:t>
            </w:r>
          </w:p>
        </w:tc>
      </w:tr>
      <w:tr w:rsidR="00983732" w:rsidRPr="00A3026E" w14:paraId="0BCE3695"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FC71EF"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НКтекстильпром (союзного подчинения)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BAE99"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5F614"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79,8</w:t>
            </w:r>
          </w:p>
        </w:tc>
      </w:tr>
      <w:tr w:rsidR="00983732" w:rsidRPr="00A3026E" w14:paraId="065550C7"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10B964"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НКлегпром (союзного подчинения)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4DAD6"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C35B6"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83,8</w:t>
            </w:r>
          </w:p>
        </w:tc>
      </w:tr>
      <w:tr w:rsidR="00983732" w:rsidRPr="00A3026E" w14:paraId="1F755204"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08849D"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435DA"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2DC96"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79,1</w:t>
            </w:r>
          </w:p>
        </w:tc>
      </w:tr>
    </w:tbl>
    <w:p w14:paraId="72D83007"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недовыполнение плана ввода в действие, народное хозяйство СССР в 1939 г. во всех своих отраслях обогатилось новыми мощностями. Так, например, по Наркомуглю введены в действие 83 шахты мощностью 17 625 тыс. т, причем в соответствии с решениями XVIII партсъезда о Строительстве шахт средней и небольшой мощности средняя мощность одной шахты, законченной строительством в 1939 г., составила 212 тыс. т против 514 тыс. т вовторой пятилетке. По Наркомату электростанций введены в действие у] турбин мощностью 546 тыс. квт и 18 котлов мощностью 2140 тонн/час. По Наркомату тяжелого машиностроения прирост мощностей по инструментальным заводам определяется увеличением выпуска продукции на 15,5 млн. руб. По станкостроительным заводам возможность выпуска станков всех видов увеличилась на 3884 шт. По заводам Наркомата тяжелого машиностроения мощность по выпуску чугунного и медного литья возросла на 12200 т. Заводы кузнечно-прессового оборудования увеличили возможность выпуска продукции на сумму около 11,9 млн. руб. и на 1419 прессов.</w:t>
      </w:r>
    </w:p>
    <w:p w14:paraId="6AB76ECE"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 Наркомату среднего машиностроения вступил в строй Ростовский автосборочный завод мощностью 40 тыс. автомашин в год. Мощность автомобильных заводов за 1939 г. возросла на 47 тыс. автомашин и 30 тыс. шт. моторов. По тракторному машиностроению мощность увеличилась на 3 тыс. гусеничных тракторов и кроме того на 10 тыс. тракторов с газогенераторными установками. По Наркомату нефти введены в действие 3 крекинга мощностью в 735 тыс. т. Емкость резервуаров нефти увеличилась на 362,7 тыс. куб. м. По Наркомату общего машиностроения мощность выпуска продукции по заводам химического машиностроения возросла на сумму около 51 млн. руб. По текстильному машиностроению мощность по чесальным машинам увеличилась на 355 единиц, по веретенам - на 25 тыс., по ватерам - на 400 шт., по банкаброшам- на 150 шт. По Наркомчермету из намеченных планом четырех доменных печей введена в эксплуатацию одна печь мощностью 560 тыс. т. Из 13 мартеновских печей введены 5 печей мощностью 808 тыс. т. Введена одна коксовая батарея 450 тыс. т. По Нарком-текстильпрому введены в действие 390 тыс. прядильных веретен и по Наркомлегпрому - 92,5 тыс. прядильных веретен. По Наркомпищепрому- 8 хлебозаводов мощностью 534 т в сутки, два сахарных завода мощностью 56 тыс. ц свеклы в сутки, 4 консервных завода с выпуском 23 млн. условных банок в год.</w:t>
      </w:r>
    </w:p>
    <w:p w14:paraId="1A22D531"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Наркомместпрому введено 5 холодильников мощностью 24400 т емкости. По Наркомлесу возможность выпуска бумаги увеличилась на 33,76 тыс. т. Из намеченного планом ввода 64,3 км лесовозных дорог широкой колеи введено 49,9 км и узкой колеи из 69,4 км по плану введено 39,9 км.</w:t>
      </w:r>
    </w:p>
    <w:p w14:paraId="4559720C"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Наркомпромстройматериалов введены в действие Ново-Спасский цементный завод мощностью 77,5 тыс. т цемента и Магнитогорский цех гипсошлакового цемента мощностью 73 тыс. т.</w:t>
      </w:r>
    </w:p>
    <w:p w14:paraId="13790782"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НКПС введены в эксплуатацию новые железнодорожные линии Золотоноша - Мироновка- 108 км, Караганда-Балхаш- 488 км, Уральск-Елецк - 263 км, Евлах - Аджикабул - 414 км, Канаш - Чебоксары - 101 км, Томск - Чулым - 95 км, Рубцовка - Риддер - 337 км, Восточный обход Московского узла - 89 км</w:t>
      </w:r>
    </w:p>
    <w:p w14:paraId="2521D534"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другие. Приобретено новых паровозов 734 единицы (по 35 железным дорогам), из них паровозов серии ФД-235, СУ-67, ИС-42, СО-390, новых грузовых вагонов - 25335 единиц в двухосном исчислении, новых пассажирских вагонов 660 (по 40 железным дорогам из общего количества 43 дорог).</w:t>
      </w:r>
    </w:p>
    <w:p w14:paraId="1DFCF09A"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Наркомморфлоту введено в действие судов общей мощностью 17905 л. е., в том числе теплоходы-нефтевозы «Донбасс» - 3 тыс. л. с. и «Азербайджан» -3,1 тыс. л. е.; доки - 28 тыс. т, в том числе 2 дока Одесского завода - 10 тыс. т, Канонерского завода - 1 док- 6 тыс. т, док № 1050-6 тыс. т и док № 1064-6 тыс. т.</w:t>
      </w:r>
    </w:p>
    <w:p w14:paraId="0BA70D14"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Главсевморпути введен в действие один ледокол мощностью 10 тыс. л. с, 53 судна деревянных общей грузоподъемностью 12225 т.</w:t>
      </w:r>
    </w:p>
    <w:p w14:paraId="22AD7688"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Наркомсвязи введены в действие линии междугородной телеграфно-телефонной связи-28 991 проводокилометр, внутриобластной связи -7380 проводокилометров, городских телефонов - 33 056 номеров.</w:t>
      </w:r>
    </w:p>
    <w:p w14:paraId="73A91712"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Наркомпросам союзных республик в 1939 г. закончено строительство 1817 школ на 541 990 ученических мест, в том числе 423 городские школы на 235 490 мест и 1394 школы в сельских местностях на 306 500 мест. Построено также в течение 1939 г. 515 детских садов на 39827 мест, 447 детских яслей на 26 583 места и 232 родильных дома на 3659 мест.</w:t>
      </w:r>
    </w:p>
    <w:p w14:paraId="38E6FB4F"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Жилой фонд в 1939 г. увеличился за счет нового строительства наркоматов и ведомств, не считая увеличения жилой площади по Наркомзему и Наркомату совхозов СССР, на 6,006 тыс. кв. м.</w:t>
      </w:r>
    </w:p>
    <w:p w14:paraId="1043E396"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IV. Труд и себестоимость</w:t>
      </w:r>
    </w:p>
    <w:p w14:paraId="177EBBD3"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общего объема строительных и монтажных работ в 22,1 млрд. руб. (без бурения нефтескважин) 17,7 млрд. руб. выполнено списочным составом рабочих и 4,4 млрд. руб. рабочими, не состоящими в списках строек.</w:t>
      </w:r>
    </w:p>
    <w:p w14:paraId="73F84851"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всех работающих по СССР, включая подсобные, вспомогательные, транспортные и прочие хозяйства, на балансе строек за 1939 г. составила 2485,3 тыс. человек, из них работающих на строительных и монтажных работах- 1545,6 тыс. человек, в том числе рабочих-1293,2 тыс. человек.</w:t>
      </w:r>
    </w:p>
    <w:p w14:paraId="16FB543F"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сравнению с 1938 г. численность работающих в строительстве, включая подсобные и прочие хозяйства, возросла на 2,4%. Это увеличение произошло за счет роста числа работников в подсобных, вспомогательных и прочих производствах, составляющих 37,8% от всего персонала строительства. При снижении численности работающих на строительных и монтажных работах на 1,3% число работников подсобных хозяйств возросло на 10,3%, транспорта- на 7,7%, прочих - на 4,5%.</w:t>
      </w:r>
    </w:p>
    <w:p w14:paraId="42DBC270"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1939 г. происходит значительное уменьшение удельного веса рабочих на строительных и монтажных работах при одновременном увеличении удельного веса рабочих в подсобных, вспомогательных, транспортных и прочих производствах, ИТР и служащих как на строительных и монтажных работах, так и в прочих хозяйствах.</w:t>
      </w:r>
    </w:p>
    <w:p w14:paraId="03BF1C7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каждую тысячу рабочих на строительных и монтажных работах приходилось: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62"/>
        <w:gridCol w:w="526"/>
        <w:gridCol w:w="541"/>
      </w:tblGrid>
      <w:tr w:rsidR="00983732" w:rsidRPr="00A3026E" w14:paraId="0994128C"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B358D8"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433FA"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AF20A"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1939 г.</w:t>
            </w:r>
          </w:p>
        </w:tc>
      </w:tr>
      <w:tr w:rsidR="00983732" w:rsidRPr="00A3026E" w14:paraId="34DFB788"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983F1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Рабочие в подсобных, вспомогательных, транспортных и прочих производствах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8C146"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B808F"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468</w:t>
            </w:r>
          </w:p>
        </w:tc>
      </w:tr>
      <w:tr w:rsidR="00983732" w:rsidRPr="00A3026E" w14:paraId="0452218B"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909E1F"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ECA34"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FF68C"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157</w:t>
            </w:r>
          </w:p>
        </w:tc>
      </w:tr>
      <w:tr w:rsidR="00983732" w:rsidRPr="00A3026E" w14:paraId="43D51056"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DD8C50"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CC97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952A9"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r>
      <w:tr w:rsidR="00983732" w:rsidRPr="00A3026E" w14:paraId="02A51F4D"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E07F2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A885B"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DE3B2"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149</w:t>
            </w:r>
          </w:p>
        </w:tc>
      </w:tr>
      <w:tr w:rsidR="00983732" w:rsidRPr="00A3026E" w14:paraId="6B0CB022"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AE755D"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Учеников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92098"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42D59"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r>
      <w:tr w:rsidR="00983732" w:rsidRPr="00A3026E" w14:paraId="54893197"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CDEB7B"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FB383"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67CA8"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954</w:t>
            </w:r>
          </w:p>
        </w:tc>
      </w:tr>
    </w:tbl>
    <w:p w14:paraId="2E4051BC"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по численности рабочих строительства промышленных наркоматов выполнен всего на 72,9% при выполнении плана по объему строительных и монтажных работ на 76,8%. Однако надо иметь в виду, что капитальные работы выполнялись не только списочным составом рабочих, но и посторонними лицами. Поэтому план по числу человеко-дней недовыполнен только на 25%.</w:t>
      </w:r>
    </w:p>
    <w:p w14:paraId="748C7801"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Решением XVIII съезда ВКП(б) на третью пятилетку был установлен рост производительности труда в строительстве на 75% [10]. Фактически дневная выработка рабочих на строительных и монтажных работах по Союзу увеличилась по сравнению с 1938 г. на 11,5%. Таким образом, темпы роста производительности труда несколько отстают от наметок третьей пятилетки.</w:t>
      </w:r>
    </w:p>
    <w:p w14:paraId="4BE4AEFB"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Годовой план дневной выработки рабочих по строительству промышленных наркоматов перевыполнен на 2,3%. Однако по отдельным наркоматам выработка оказалась ниже плана: по Наркомстрою - на 0,4%, по Наркомату угольной промышленности - на 1,4%, по Наркомату электропромышленности-на 6,9%, по Наркомату мясо-молочной промышленности - на 11,6%. Большое недовыполнение годового плана по дневной выработке рабочих наблюдается по некоторым непромышленным наркоматам: по Наркомзему СССР - на 5,7%, по Главсевморпути-на 10,6%, по Дворцу Советов - на 10,3% и т.д.</w:t>
      </w:r>
    </w:p>
    <w:p w14:paraId="1F19AD53"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 плана по средней заработной плате проходило на более высоком уровне (по промышленным наркоматам средняя зарплата рабочих на 11,9% выше плана), чем выполнение плана по выработке, что привело к относительному перерасходу фонда заработной платы: по строительству промышленных наркоматов фонд основной заработной платы рабочих на выполненный объем работ перерасходован на 200 млн. руб., в том числе по Наркомстрою- на 44 млн. руб., по девяти наркоматам: оборонной промышленности, химической, машиностроительной - на 31 млн. руб., по Наркомнефти - на 5 млн. руб., по Наркомчермету-на 7 млн. руб.</w:t>
      </w:r>
    </w:p>
    <w:p w14:paraId="371B1056"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по СССР фонд заработной платы списочного состава всех работающих с подсобными и прочими хозяйствами составил 10,3 млрд. руб., или 118,4% от 1938 г. Кроме того, в 1939 г. учтено 0,5 млрд. руб. зарплаты, выплаченной лицам, не состоящим в списочном составе.</w:t>
      </w:r>
    </w:p>
    <w:p w14:paraId="244E7C26" w14:textId="77777777" w:rsidR="00B53A49" w:rsidRPr="00A3026E" w:rsidRDefault="00B53A49" w:rsidP="00A3026E">
      <w:pPr>
        <w:pStyle w:val="ae"/>
        <w:spacing w:before="0" w:after="0"/>
        <w:jc w:val="both"/>
        <w:rPr>
          <w:color w:val="000000" w:themeColor="text1"/>
          <w:sz w:val="16"/>
          <w:szCs w:val="16"/>
        </w:rPr>
      </w:pPr>
      <w:r w:rsidRPr="00A3026E">
        <w:rPr>
          <w:color w:val="000000" w:themeColor="text1"/>
          <w:sz w:val="16"/>
          <w:szCs w:val="16"/>
        </w:rPr>
        <w:t>Фонд заработной платы работающих на строительных и монтажных работах составил 6,2 млрд. руб., т.е. 60,2% от всего начисленного фонда.</w:t>
      </w:r>
    </w:p>
    <w:p w14:paraId="71FD8D87"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Задание правительства о снижении в 1939 г. фактической себестоимости строительных и монтажных работ на 4% против сметной стоимости не выполнено. Всего по СССР фактическая стоимость строительно-монтажных работ за 1939 г. по отношению к сметной составила 110,2%, а за вычетом полученной компенсации в связи с удорожанием некоторых материалов, транспорта и повышением расценок на работы - 104,9% против 105,5 за 1938 г.</w:t>
      </w:r>
    </w:p>
    <w:p w14:paraId="272B5813"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Фактическая стоимость строительных и монтажных работ в процентах к сметной</w:t>
      </w:r>
    </w:p>
    <w:p w14:paraId="44DE9743"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[ТАБЛИЦА 3]</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86"/>
        <w:gridCol w:w="6398"/>
        <w:gridCol w:w="2338"/>
      </w:tblGrid>
      <w:tr w:rsidR="00983732" w:rsidRPr="00A3026E" w14:paraId="3C3569E0"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5DAE52"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Статьи расходов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5567B"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Всего (включая компенсацию на повышение цен на строительные материалы, железнодорожные тарифы и др.)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38C97"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В том числе з а вычетом компенсации</w:t>
            </w:r>
          </w:p>
        </w:tc>
      </w:tr>
      <w:tr w:rsidR="00983732" w:rsidRPr="00A3026E" w14:paraId="412562C2"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2B9B4D"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Прямые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1CC82"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F9AE0"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100,7</w:t>
            </w:r>
          </w:p>
        </w:tc>
      </w:tr>
      <w:tr w:rsidR="00983732" w:rsidRPr="00A3026E" w14:paraId="2D34CAE8"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4A8F1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 материалы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FF3F8"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F34AE"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96,4</w:t>
            </w:r>
          </w:p>
        </w:tc>
      </w:tr>
      <w:tr w:rsidR="00983732" w:rsidRPr="00A3026E" w14:paraId="092A390F"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58FBFF"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Основная зарплата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85E0C"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CC83A"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105,5</w:t>
            </w:r>
          </w:p>
        </w:tc>
      </w:tr>
      <w:tr w:rsidR="00983732" w:rsidRPr="00A3026E" w14:paraId="5F689A2D"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DB9BB6"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Накладные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175DA"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2F2C6"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131,2</w:t>
            </w:r>
          </w:p>
        </w:tc>
      </w:tr>
      <w:tr w:rsidR="00983732" w:rsidRPr="00A3026E" w14:paraId="07984C97"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EFA11D"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 административное хозяйство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4BD89"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80F1A"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139,0</w:t>
            </w:r>
          </w:p>
        </w:tc>
      </w:tr>
      <w:tr w:rsidR="00983732" w:rsidRPr="00A3026E" w14:paraId="6BF805D0"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BEDECB"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61CD0"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C3632"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104,9</w:t>
            </w:r>
          </w:p>
        </w:tc>
      </w:tr>
    </w:tbl>
    <w:p w14:paraId="2503DAC0"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если исключить факторы удорожания (компенсацию), можно сделать вывод о том, что в 1939 г. приостановился имевший место на протяжении ряда лет рост фактической стоимости строительно-монтажных работ против уровня предшествующего года.</w:t>
      </w:r>
    </w:p>
    <w:p w14:paraId="1FEBB7AB"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Удорожание строительно-монтажных работ в основном шло по тому же направлению, как и в 1938 г. По прямым расходам в целом имеется значительное удорожание, а по отдельным элементам даже снижение против сметной стоимости. Прямые расходы в целом (за вычетом компенсации на удорожание) составили 100,7% сметной стоимости, в том числе зарплата - 105,5% и материалы - 96,4%. В то же время фактические накладные расходы, и особенно административно-хозяйственные, показывают чрезвычайно большое превышение против сметных назначений, причем по административно-хозяйственным расходам эти показатели в 1939 г. еще хуже, чем в 1938 г. Накладные расходы в целом составили в 1939 г. 131,2% против сметы, а административно-хозяйственные 139% (в 1938 г. соответственно 134,1 и 135,1).</w:t>
      </w:r>
    </w:p>
    <w:p w14:paraId="30F1CC46" w14:textId="77777777" w:rsidR="00B53A49" w:rsidRPr="00A3026E" w:rsidRDefault="00B53A49" w:rsidP="00A3026E">
      <w:pPr>
        <w:pStyle w:val="ae"/>
        <w:spacing w:before="0" w:after="0"/>
        <w:jc w:val="both"/>
        <w:rPr>
          <w:color w:val="000000" w:themeColor="text1"/>
          <w:sz w:val="16"/>
          <w:szCs w:val="16"/>
        </w:rPr>
      </w:pPr>
      <w:r w:rsidRPr="00A3026E">
        <w:rPr>
          <w:color w:val="000000" w:themeColor="text1"/>
          <w:sz w:val="16"/>
          <w:szCs w:val="16"/>
        </w:rPr>
        <w:t>Анализ себестоимости отдельно по Капитальным работам, выполненным подрядными организациями и хозспособами, показывает следующее:</w:t>
      </w:r>
    </w:p>
    <w:p w14:paraId="47367943"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Общий процент удорожания одинаков как по подрядным организациям, так и по хозспособу,- 104,9% (без учета полученной компенсации 110,2%). По отдельным же статьям расходов наблюдается различная тенденция: по прямым расходам подрядные организации имеют значительно лучшие показатели по сравнению с хозспособом. Зарплата подрядных организаций-102,3% против сметы, а по хозспособу-108,1%- По материалам - соответственно 95,3% и 97,8%. В то же время накладные расходы в подрядных организациях значительно выше,- 143,6% против сметных назначений, тогда как по хозспособу они составили 117,9%-</w:t>
      </w:r>
    </w:p>
    <w:p w14:paraId="0FD6E565"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Еще более резко выявляется этот разрыв по административно-хозяйственным расходам. По подрядным организациям они составили 148,1% против сметы; в организациях, проводящих строительство хозяйственным способом, административно-хозяйственные расходы составили 129%. Эти цифры показывают, что хотя подрядные организации имеют лучшие технические показатели, экономнее и рациональнее используют материалы и рабочую силу, но в то же время их управленческий аппарат значительно дороже, и в результате завышенные накладные и административно-хозяйственные расходы полностью перекрывают экономию по прямым расходам.</w:t>
      </w:r>
    </w:p>
    <w:p w14:paraId="422B164E"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отчетам, охватывающим 82% строительства, перерасходы в 1939 г. против сметных назначений по накладным расходам (в целом по подрядному и хозспособу) составили 1040 млн. руб., в том числе 543 млн. руб. по административно-хозяйственным расходам. По одному только Наркомстрою превышение накладных расходов против установленных норм составило 2б0 млн. руб., из них 125 млн. руб. по административно-хозяйственным расходам. Основным моментом, определившим крупнейшие перерасходы по административно-хозяйственным расходам, является недовыполнение плана работ при наличии аппарата, как правило, рассчитанного на стопроцентное выполнение плана. Расчеты показывают, что если бы имевшимся на стройках аппаратом был выполнен весь запланированный объем работ, то одно это обстоятельство при прочих равных условиях дало бы удешевление строительно-монтажных работ почти на 2%.</w:t>
      </w:r>
    </w:p>
    <w:p w14:paraId="0A03742C"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Анализ показателей по снижению себестоимости строительно-монтажных работ за 1939 г. дает возможность сделать некоторые общие выводы:</w:t>
      </w:r>
    </w:p>
    <w:p w14:paraId="418C7A8D" w14:textId="77777777" w:rsidR="00B53A49" w:rsidRPr="00A3026E" w:rsidRDefault="00B53A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сметах, составленных в ценах и нормах 1936 г., имеются несомненно крупные резервы, в особенности по материалам. Оснозной причиной резкого расхождения между сметной и фактической стоимостью являются непомерно высокие накладные, и в первую очередь административно-хозяйственные расходы. Особенное значение этот вопрос получает в отношении стройиндустрии, где технические достижения сводятся на нет бесхозяйственно раздутыми управленческими расходами.</w:t>
      </w:r>
    </w:p>
    <w:p w14:paraId="45464066" w14:textId="77777777" w:rsidR="00B53A49" w:rsidRPr="00A3026E" w:rsidRDefault="00B53A49" w:rsidP="00A3026E">
      <w:pPr>
        <w:pStyle w:val="ae"/>
        <w:spacing w:before="0" w:after="0"/>
        <w:jc w:val="both"/>
        <w:rPr>
          <w:color w:val="000000" w:themeColor="text1"/>
          <w:sz w:val="16"/>
          <w:szCs w:val="16"/>
        </w:rPr>
      </w:pPr>
      <w:r w:rsidRPr="00A3026E">
        <w:rPr>
          <w:color w:val="000000" w:themeColor="text1"/>
          <w:sz w:val="16"/>
          <w:szCs w:val="16"/>
        </w:rPr>
        <w:t>В заключение необходимо отметить, Что анализ себестоимости строительных работ затрудняется тем, что в фактическую стоимость входит удорожание по ряду стройматериалов, грузовому тарифу и т.п., тогда как сметная стоимость исчислена в ценах и нормах 1936 г.</w:t>
      </w:r>
    </w:p>
    <w:p w14:paraId="33216657" w14:textId="77777777" w:rsidR="00B53A49" w:rsidRPr="00A3026E" w:rsidRDefault="00B53A49" w:rsidP="00A3026E">
      <w:pPr>
        <w:pStyle w:val="ae"/>
        <w:spacing w:before="0" w:after="0"/>
        <w:jc w:val="both"/>
        <w:rPr>
          <w:color w:val="000000" w:themeColor="text1"/>
          <w:sz w:val="16"/>
          <w:szCs w:val="16"/>
        </w:rPr>
      </w:pPr>
      <w:r w:rsidRPr="00A3026E">
        <w:rPr>
          <w:iCs/>
          <w:color w:val="000000" w:themeColor="text1"/>
          <w:sz w:val="16"/>
          <w:szCs w:val="16"/>
        </w:rPr>
        <w:t>ЦГАНХ CССР, ф. 1562, on. 328, д. 512, лл. 93-105. Заверенная копия (17395).</w:t>
      </w:r>
    </w:p>
    <w:p w14:paraId="235FF6EB" w14:textId="77777777" w:rsidR="00B53A49" w:rsidRPr="00A3026E" w:rsidRDefault="00B53A49" w:rsidP="00A3026E">
      <w:pPr>
        <w:pStyle w:val="af2"/>
        <w:jc w:val="both"/>
        <w:rPr>
          <w:i w:val="0"/>
          <w:iCs w:val="0"/>
          <w:color w:val="000000" w:themeColor="text1"/>
          <w:spacing w:val="0"/>
          <w:kern w:val="0"/>
          <w:position w:val="0"/>
          <w:sz w:val="16"/>
          <w:szCs w:val="16"/>
          <w:lang w:val="ru-RU"/>
        </w:rPr>
      </w:pPr>
    </w:p>
    <w:p w14:paraId="33904AA5"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 вместе с </w:t>
      </w:r>
      <w:hyperlink r:id="rId8" w:tgtFrame="_blank" w:history="1">
        <w:r w:rsidRPr="00A3026E">
          <w:rPr>
            <w:rStyle w:val="a5"/>
            <w:rFonts w:ascii="Times New Roman" w:hAnsi="Times New Roman"/>
            <w:color w:val="000000" w:themeColor="text1"/>
            <w:sz w:val="16"/>
            <w:szCs w:val="16"/>
          </w:rPr>
          <w:t>препроводительным письмо № СО4789</w:t>
        </w:r>
      </w:hyperlink>
      <w:r w:rsidRPr="00A3026E">
        <w:rPr>
          <w:rFonts w:ascii="Times New Roman" w:hAnsi="Times New Roman"/>
          <w:color w:val="000000" w:themeColor="text1"/>
          <w:sz w:val="16"/>
          <w:szCs w:val="16"/>
        </w:rPr>
        <w:t> протокол технического совещания по установке в Т-34 пушки Ф-34, в работе которого приняли участие: от завода № 183 – главный инженер С.Н. Махонин, заместитель главного конструктора А.А. Морозов, старший инженер-конструктор А.А. Молоштанов; от ГАБТУ КА – военный представитель ГАБТУ КА на заводе № 183 военинженер 3 ранга П.П. Байков; от завода № 92 – старший инженер-конструктор П.Ф. Муравьев и техник-конструктор Б.Г. Ласман был отправлен в Москву на утверждение руководству ГАУ и ГАБТУ КА. 19 сентября 1940 г. указанный протокол был утвержден заместителем начальника ГАБТУ КА И.А. Лебедевым, а 20 сентября 1940 г. – начальником управления вооружения наземной артиллерии (УВНА) ГАУ КА М.М. Каюковым. </w:t>
      </w:r>
    </w:p>
    <w:p w14:paraId="418C7B66"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в середине 1940 г. из-за отсутствия достаточного количества 76,2-мм танковых пушек руководством ГАБТУ и ГАУ КА в качестве временной меры рассматривалась возможность вооружения «тридцатьчетвёрки» 45-мм танковой пушкой 20К. В связи с этим заводу № 183 было дано указание при проектировании башни под установку пушки Ф-34 учесть возможность установки в нее и 45-мм пушки с использованием переходных деталей. Это требование заводом № 183 было выполнено. В начале октября 1940 г. конструкторы КБ-520 разработали два варианта чертежей башни танка Т-34, предназначенной для установки как 76,2-мм пушки Ф-34, так и 45-мм пушки 20К – сборочный чертеж 34.30сб-3 был разработан для башни с литым корпусом, а сборочный чертеж 34.30сб-4 – для сварной башни. </w:t>
      </w:r>
    </w:p>
    <w:p w14:paraId="4566E1A1"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отношению к сборочным чертежам 34.30сб-1 (сварная башня) и 34.30сб-2 (башня с литым корпусом), по которым осуществлялось серийное производство башен, в новых чертежах была изменена конструкция установочных деталей, с помощью которых пушка соединялась с корпусом башни. Кроме этого в новом чертеже сварной башни (сборочный чертеж 34.30сб-4) имелись следующие отличия от сварной башни, изготовленной по сборочному чертежу 34.30сб-1: </w:t>
      </w:r>
    </w:p>
    <w:p w14:paraId="16EAB4B5"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 лобовом листе башни (деталь 34.30.001-1) была изменена форма выреза амбразуры под установку пушки Ф-34; </w:t>
      </w:r>
    </w:p>
    <w:p w14:paraId="452347B7"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 связи с увеличением габаритов башенного люка, ширина крышки люка (деталь 34.30.010-2) была так же увеличена на 70 мм, и в ее центральной части была сделана фигурной формы выштамповка для обеспечения стрельбы из пушки Ф-34 при предельном угле склонения; </w:t>
      </w:r>
    </w:p>
    <w:p w14:paraId="758307A7"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из-за увеличения ширины башенного люка, ширину заднего листа крыши (деталь 34.30.017-4) сделали меньше, а по её краю, для обеспечения герметичного закрытия крышки люка башни, предусмотрели приварку специальной планки (деталь 34.30.203). </w:t>
      </w:r>
    </w:p>
    <w:p w14:paraId="3EC97925" w14:textId="77777777" w:rsidR="00CD3361" w:rsidRPr="00A3026E" w:rsidRDefault="00CD3361" w:rsidP="00A3026E">
      <w:pPr>
        <w:spacing w:after="0" w:line="240" w:lineRule="auto"/>
        <w:jc w:val="both"/>
        <w:rPr>
          <w:rFonts w:ascii="Times New Roman" w:hAnsi="Times New Roman"/>
          <w:color w:val="000000" w:themeColor="text1"/>
          <w:sz w:val="16"/>
          <w:szCs w:val="16"/>
        </w:rPr>
      </w:pPr>
    </w:p>
    <w:p w14:paraId="5239546F"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Сентября 1940 г. </w:t>
      </w:r>
    </w:p>
    <w:p w14:paraId="7C6917EA"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1186 лист 95 </w:t>
      </w:r>
    </w:p>
    <w:p w14:paraId="66C753EE"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07EBCF45"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Сентября 1940 г. </w:t>
      </w:r>
    </w:p>
    <w:p w14:paraId="7C7B3C91"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СО4789 </w:t>
      </w:r>
    </w:p>
    <w:p w14:paraId="1ECF70DA"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БТУ КА т. Коробкову</w:t>
      </w:r>
    </w:p>
    <w:p w14:paraId="17291D82"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Москва, Красная площадь, 2-й дом НКО</w:t>
      </w:r>
    </w:p>
    <w:p w14:paraId="1F5DD48D"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вопросу: Препровождение протокола по системе Ф-34. </w:t>
      </w:r>
    </w:p>
    <w:p w14:paraId="6DAFF445"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этом препровождаем Вам протокол технического совещания на заводе № 183 по вопросу установки системы Ф-34 в танк Т-34. Просим после утверждения этого протокола Нач. ГАУ КА и Нач. ГАБТУ КА разослать последний в следующие адреса. </w:t>
      </w:r>
    </w:p>
    <w:p w14:paraId="123AED1C"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Нач. ГАБТУ КА </w:t>
      </w:r>
    </w:p>
    <w:p w14:paraId="79A71054"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Нач. ГАУ КА </w:t>
      </w:r>
    </w:p>
    <w:p w14:paraId="192A5975"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Директору з-да № 183 </w:t>
      </w:r>
    </w:p>
    <w:p w14:paraId="08B6A98F"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Райинжу на з-де № 183 </w:t>
      </w:r>
    </w:p>
    <w:p w14:paraId="6293946F"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Директору з-да № 92 </w:t>
      </w:r>
    </w:p>
    <w:p w14:paraId="52B25D16"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Приложение: упомянутое в 5 экз. на 2-х листах </w:t>
      </w:r>
    </w:p>
    <w:p w14:paraId="1FA9EB03"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подпись 8/IX-40 г. (Махонин)</w:t>
      </w:r>
    </w:p>
    <w:p w14:paraId="54A999A5"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Гл. Конструктор подпись 8/IX-40 г. (Морозов)</w:t>
      </w:r>
    </w:p>
    <w:p w14:paraId="09783AB1"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в 2-х экз. </w:t>
      </w:r>
    </w:p>
    <w:p w14:paraId="6470536B"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Морозов </w:t>
      </w:r>
    </w:p>
    <w:p w14:paraId="443D15C6"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8/IX-40 г. </w:t>
      </w:r>
    </w:p>
    <w:p w14:paraId="767927F7"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документе пометы: </w:t>
      </w:r>
    </w:p>
    <w:p w14:paraId="20FF232C"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«Разобраться с данным материалом и дать наши замечания. Доложите 16.9.40. подпись Б.М. Коробкова» </w:t>
      </w:r>
    </w:p>
    <w:p w14:paraId="76F50CF2"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«Сообщите телеграммой з-ду 183, что протокол утвержден т. Лебедевым. Заготовьте письмо, что необходимо з-ду на переходных деталях устанавливать пушку 45 вместо Ф-34. подпись Б.М. Коробкова» </w:t>
      </w:r>
    </w:p>
    <w:p w14:paraId="31FEA86F"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«23/IX отослано за № 76387с» </w:t>
      </w:r>
    </w:p>
    <w:p w14:paraId="1190825E"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1186 листы 96 – 97 </w:t>
      </w:r>
    </w:p>
    <w:p w14:paraId="6FE61408"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689B6679"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"УТВЕРЖДАЮ"</w:t>
      </w:r>
    </w:p>
    <w:p w14:paraId="2CB71BA1"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19.9.40 г. подпись И.А. Лебедева </w:t>
      </w:r>
    </w:p>
    <w:p w14:paraId="07ABCA01"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"УТВЕРЖДАЮ"</w:t>
      </w:r>
    </w:p>
    <w:p w14:paraId="64714C06"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20-IX-40 г. подпись М.М. Каюкова </w:t>
      </w:r>
    </w:p>
    <w:p w14:paraId="697E5CD7"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ПРОТОКОЛ</w:t>
      </w:r>
    </w:p>
    <w:p w14:paraId="2FBC9C11"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ТЕХНИЧЕСКОГО СОВЕЩАНИЯ ОТ 8/IX-1940 г НА ГОСУДАРСТВЕННОМ</w:t>
      </w:r>
    </w:p>
    <w:p w14:paraId="71BC0A98"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ОРДЕНА ЛЕНИНА ЗАВОДЕ № 183 ИМ. КОМИНТЕРНА</w:t>
      </w:r>
    </w:p>
    <w:p w14:paraId="55EF61ED"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ПРИСУТСТВОВАЛИ: </w:t>
      </w:r>
    </w:p>
    <w:p w14:paraId="5B8CB2EA"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Главный инженер завода № 183 МАХОНИН </w:t>
      </w:r>
    </w:p>
    <w:p w14:paraId="3FB8917A"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Заместитель главного конструктора завода № 183 Морозов А.А. </w:t>
      </w:r>
    </w:p>
    <w:p w14:paraId="26B1C053"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Старший инженер конструктор завода № 92 Муравьев П.Ф. </w:t>
      </w:r>
    </w:p>
    <w:p w14:paraId="0C2C032D"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Техник конструктор завода № 92 Ласман Б.Г. </w:t>
      </w:r>
    </w:p>
    <w:p w14:paraId="0F8292B8"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Старший инженер конструктор завода № 183 Малоштанов </w:t>
      </w:r>
    </w:p>
    <w:p w14:paraId="1F434741"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Военпред АБТУ военинженер III ранга Байков </w:t>
      </w:r>
    </w:p>
    <w:p w14:paraId="73115B1B"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Слушали сообщение т. Муравьева П.Ф. о возможности монтажа 76,2 мм танковой пушки Ф-34 в башне танка Т-34 и о переделках башни и системы Ф-34, вызываемых требованием взаимозаменяемости систем Ф32 и Ф34 в башне танка Т-34. </w:t>
      </w:r>
    </w:p>
    <w:p w14:paraId="7BE11A7C"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Постановили:</w:t>
      </w:r>
    </w:p>
    <w:p w14:paraId="05C1F4AC"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В целях облегчения системы Ф34 и обеспечения надежной бронировки передней части люльки, завод № 92 производя спарку с пулеметом ДТ должен для обеспечения равновесия системы перенести ось цапф маски назад на 80 мм, при этом имеющийся груз на люльке должен быть доведен до минимума. </w:t>
      </w:r>
    </w:p>
    <w:p w14:paraId="7CD41411"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Для обеспечения удобства наблюдения в ТОД державку телескопа и кронштейн лобового упора в системе Ф34 завод № 92 обязан опустить вниз на 50 мм. </w:t>
      </w:r>
    </w:p>
    <w:p w14:paraId="6F12C91C"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Для обеспечения взаимозаменяемости установочных мест в башне под системы Ф32 и Ф34 направляющую часть коробки подъемного механизма системы Ф34 уменьшить с 110 до 100 мм, сохранив при этом расстояние между осью цапф и осью коренной шестерни равным 400 мм путем применения корригированного зацепления. </w:t>
      </w:r>
    </w:p>
    <w:p w14:paraId="3EBA179B"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Стопор баши на походе, находящийся в задней части башни, перенести в другое место, т.к. он мешает гильзоулавливателю. </w:t>
      </w:r>
    </w:p>
    <w:p w14:paraId="04286676"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Люк башни под смотровым прибором поднять на 26 мм и удлинить назад на 70 мм, задний лист крыши спереди укоротить на 70 мм, уплотнение люка переделать; при этом будет обеспечен 20 мм зазор между крышей и откатными частями при предельном откате, равном 425 мм. Замок люка перенести вправо. Люк для сигнализации перенести вправо на 15 мм. </w:t>
      </w:r>
    </w:p>
    <w:p w14:paraId="1CEF657B"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Для обеспечения угла возвышения 30° верхнюю часть лобового листа башни, соприкасающуюся с бронировкой люльки подрезать на 40 мм. Изменить контур верхней части выреза. </w:t>
      </w:r>
    </w:p>
    <w:p w14:paraId="2714E465"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Правую часть амбразуры в лобовом листе башни вырезать на 34 мм. Левую часть амбразуры в нижней части выровнять с верхней частью, вырезав на 39 мм. </w:t>
      </w:r>
    </w:p>
    <w:p w14:paraId="678ABFD2"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Указанные изменения башни танка Т-34, обеспечивающие взаимозаменяемость систем Ф32 и Ф34 завод № 183 считает возможным произвести, учтя эти изменения при выпуске рабочих чертежей на установку в танк системы Ф32. </w:t>
      </w:r>
    </w:p>
    <w:p w14:paraId="50EDBFEB"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Настоящий протокол и проверочный чертеж монтажа системы в башню, подписанный конструкторами завода № 92 тт. Муравьевым и Лесманом могут служить основанием для переделки башни под систему Ф-34. </w:t>
      </w:r>
    </w:p>
    <w:p w14:paraId="4BE87209"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При выпуске рабочих чертежей на установку Ф32 в танк считать необходимым участие в этой работе на заводе № 183 уполномоченного конструктора завода № 92 для полной и немедленной увязки возникающих вопросов. </w:t>
      </w:r>
    </w:p>
    <w:p w14:paraId="2F6BB10A"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Завод № 92 обязан выслать заводу № 183 полный комплект чертежей системы Ф34 и один образец системы вместе с ЗИП-ом, изготовленный по чертежам валового производства. </w:t>
      </w:r>
    </w:p>
    <w:p w14:paraId="5173AA71"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 Завод № 183 обязан выслать заводу № 92 чертежи установки в танк системы Ф32. </w:t>
      </w:r>
    </w:p>
    <w:p w14:paraId="5D5E9AC6"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 Настоящий протокол подлежит утверждению командованием ГАУ и ГАБТУ и вступает в силу немедленно после его утверждения. </w:t>
      </w:r>
    </w:p>
    <w:p w14:paraId="11648316"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Подписи: </w:t>
      </w:r>
    </w:p>
    <w:p w14:paraId="58059EB5"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Главный инженер завода № 183 подпись 8/IX-40 г. (Махонин) </w:t>
      </w:r>
    </w:p>
    <w:p w14:paraId="6AA67D0A"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Зам. главного конструктора з-да № 183 подпись (Морозов) </w:t>
      </w:r>
    </w:p>
    <w:p w14:paraId="1017C912"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Директор з-да № 92 (Елян) </w:t>
      </w:r>
    </w:p>
    <w:p w14:paraId="7B89623F"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Главный конструктор з-да № 92 подпись 16/IX-40 г. (Грабин) </w:t>
      </w:r>
    </w:p>
    <w:p w14:paraId="608AF941"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Ст. инженер конструктор з-да № 183 подпись 8/IX-40 г. (Малоштанов) </w:t>
      </w:r>
    </w:p>
    <w:p w14:paraId="4E8921E2"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Ст. инженер конструктор завода № 92 подпись 8/IX-40 г. (Муравьев) </w:t>
      </w:r>
    </w:p>
    <w:p w14:paraId="7DE5AAD2"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Военпред АБТУ военинженер III ранга подпись (Байков)</w:t>
      </w:r>
    </w:p>
    <w:p w14:paraId="6ED744AE"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Отпечатано 5 экз. </w:t>
      </w:r>
    </w:p>
    <w:p w14:paraId="5372B3EE"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Морозов </w:t>
      </w:r>
    </w:p>
    <w:p w14:paraId="726DA0E0"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8/IX-40 г. </w:t>
      </w:r>
    </w:p>
    <w:p w14:paraId="72C1B565"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1186 лист 97а </w:t>
      </w:r>
    </w:p>
    <w:p w14:paraId="0C58E5FF"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МОСКВА 2 ДОМ НКО АБТУ КОРОБКОВУ </w:t>
      </w:r>
    </w:p>
    <w:p w14:paraId="497C1651"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ОЗНАКОМИВШИСЬ ПО ДОКЛАДУ КОНСТРУКТОРА МУРАВЬЕВА С СОДЕРЖАНИЕМ ПРОТОКОЛА 8 СЕНТЯБРЯ ПО ВОПРОСУ Т 34 И Ф 34 ПРОТОКОЛ ПОДПИСЫВАЮ = ЕЛЯН </w:t>
      </w:r>
    </w:p>
    <w:p w14:paraId="3871017C"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бланке телеграммы помета: «3. К протоколу, который находится на утверждении у т. Савченко. подпись Б.М. Коробкова» (18213).</w:t>
      </w:r>
    </w:p>
    <w:p w14:paraId="6252C6A4" w14:textId="77777777" w:rsidR="00CD3361" w:rsidRPr="00A3026E" w:rsidRDefault="00CD3361" w:rsidP="00A3026E">
      <w:pPr>
        <w:spacing w:after="0" w:line="240" w:lineRule="auto"/>
        <w:jc w:val="both"/>
        <w:rPr>
          <w:rFonts w:ascii="Times New Roman" w:hAnsi="Times New Roman"/>
          <w:color w:val="000000" w:themeColor="text1"/>
          <w:sz w:val="16"/>
          <w:szCs w:val="16"/>
        </w:rPr>
      </w:pPr>
    </w:p>
    <w:p w14:paraId="1C9B5E31" w14:textId="77777777" w:rsidR="00C66762"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За</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рубежом</w:t>
      </w:r>
      <w:r w:rsidRPr="00A3026E">
        <w:rPr>
          <w:rFonts w:ascii="Times New Roman" w:hAnsi="Times New Roman"/>
          <w:i/>
          <w:iCs/>
          <w:color w:val="000000" w:themeColor="text1"/>
          <w:sz w:val="16"/>
          <w:szCs w:val="16"/>
          <w:lang w:val="en-US"/>
        </w:rPr>
        <w:t>:</w:t>
      </w:r>
    </w:p>
    <w:p w14:paraId="0F7944C3" w14:textId="77777777" w:rsidR="00C66762" w:rsidRPr="00A3026E" w:rsidRDefault="00C66762" w:rsidP="00A3026E">
      <w:pPr>
        <w:spacing w:after="0" w:line="240" w:lineRule="auto"/>
        <w:jc w:val="both"/>
        <w:rPr>
          <w:rFonts w:ascii="Times New Roman" w:hAnsi="Times New Roman"/>
          <w:iCs/>
          <w:color w:val="000000" w:themeColor="text1"/>
          <w:sz w:val="16"/>
          <w:szCs w:val="16"/>
          <w:lang w:val="en-US"/>
        </w:rPr>
      </w:pPr>
    </w:p>
    <w:p w14:paraId="3492C888" w14:textId="77777777" w:rsidR="007A0319" w:rsidRPr="00A3026E" w:rsidRDefault="007A031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сентября 1940 - Первый серийный истребитель North Amereican NA-73 Mustang покинул сборочный цех. Самолёт получил колёса от учебного самолёта АТ-6 и не был оснащён двигателем. Он был предназначен для Британских ВВС и получил название Mustang Mark I (22370).</w:t>
      </w:r>
    </w:p>
    <w:p w14:paraId="7E23D0BC" w14:textId="77777777" w:rsidR="007A0319" w:rsidRPr="00A3026E" w:rsidRDefault="007A0319" w:rsidP="00A3026E">
      <w:pPr>
        <w:spacing w:after="0" w:line="240" w:lineRule="auto"/>
        <w:jc w:val="both"/>
        <w:rPr>
          <w:rFonts w:ascii="Times New Roman" w:hAnsi="Times New Roman"/>
          <w:color w:val="0070C0"/>
          <w:sz w:val="16"/>
          <w:szCs w:val="16"/>
        </w:rPr>
      </w:pPr>
    </w:p>
    <w:p w14:paraId="68B8619E" w14:textId="77777777" w:rsidR="007A0319" w:rsidRPr="00A3026E" w:rsidRDefault="007A031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сентября 1940 самолеты с британского авианосца Ark Royal наносят удар по Кальяри, Сардиния, нанося еще больший урон под сильным огнем (20795).</w:t>
      </w:r>
    </w:p>
    <w:p w14:paraId="0485CBE2" w14:textId="77777777" w:rsidR="007A0319" w:rsidRPr="00A3026E" w:rsidRDefault="007A0319" w:rsidP="00A3026E">
      <w:pPr>
        <w:spacing w:after="0" w:line="240" w:lineRule="auto"/>
        <w:jc w:val="both"/>
        <w:rPr>
          <w:rFonts w:ascii="Times New Roman" w:hAnsi="Times New Roman"/>
          <w:color w:val="0070C0"/>
          <w:sz w:val="16"/>
          <w:szCs w:val="16"/>
        </w:rPr>
      </w:pPr>
    </w:p>
    <w:p w14:paraId="3A4FA0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lang w:val="en-US"/>
        </w:rPr>
        <w:t xml:space="preserve">September 09 Mon. 1940 Germany warns that all ships in war zones prescribed by Axis are subject to attack "regardless of nationality." </w:t>
      </w:r>
      <w:r w:rsidRPr="00A3026E">
        <w:rPr>
          <w:rFonts w:ascii="Times New Roman" w:hAnsi="Times New Roman"/>
          <w:color w:val="000000" w:themeColor="text1"/>
          <w:sz w:val="16"/>
          <w:szCs w:val="16"/>
        </w:rPr>
        <w:t>(1064).</w:t>
      </w:r>
    </w:p>
    <w:p w14:paraId="1BDA343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111E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Германия предупредила, что все корабли в зоне военных действий, определенной странами оси, будут подвергаться атакам вне зависимости от национальности (1064).</w:t>
      </w:r>
    </w:p>
    <w:p w14:paraId="34D3D69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DCAB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с 19:00 вновь был немецкий налет на Лондон. Сопротивления не было, т.к. авиация была сосредоточена на юге (2536,153).</w:t>
      </w:r>
    </w:p>
    <w:p w14:paraId="55A8B05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381C13D" w14:textId="77777777" w:rsidR="005E16F2" w:rsidRPr="00A3026E" w:rsidRDefault="005E16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сентября 1940 года армия заключила с «Континентал моторс» контракт на производство 1000 танковых моторов к октябрю 1941-го. Англичане на этот раз заявили, что им нужно 400 танков в месяц. Через четыре дня помощник военного министра Роберт Паттерсон писал председателю Финансовой корпорации реконструкции: «Создание производственных мощностей, позволяющих производить требуемые 20 танковых моторов в день детройтской «Континентал моторс корпорэйшн» имеет особое значение для национальной обороны США». Кнадсен обратился с подобным письмом в Консультативную комиссию. </w:t>
      </w:r>
    </w:p>
    <w:p w14:paraId="63DF0D83" w14:textId="77777777" w:rsidR="005E16F2" w:rsidRPr="00A3026E" w:rsidRDefault="005E16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Через неделю Финансовая корпорация реконструкции выделила 8 миллионов долларов на станки и оборудование, необходимые для производства требуемого количества моторов в месяц — как по нашим, так и по английским заказам.</w:t>
      </w:r>
    </w:p>
    <w:p w14:paraId="7F1637F2" w14:textId="77777777" w:rsidR="005E16F2" w:rsidRPr="00A3026E" w:rsidRDefault="005E16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Слова «Особое значение для обороны США» означали не просто признание важности для нас продолжения сопротивления Британии агрессорам. Должно было пройти хотя бы 8 месяцев до отправки моторов потребителю, а к тому времени нам и самим вполне могло бы понадобиться не менее 600 танковых моторов в месяц. Тогда заем Финансовой корпорации был нужен не столько нам, сколько англичанам; одновременно таким путем мы создавали и собственный военный потенциал. </w:t>
      </w:r>
    </w:p>
    <w:p w14:paraId="126D4B8F" w14:textId="77777777" w:rsidR="005E16F2" w:rsidRPr="00A3026E" w:rsidRDefault="005E16F2"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Хотя Континентальный план не был полностью выполнен, мы уже взяли нужное направление.</w:t>
      </w:r>
      <w:r w:rsidRPr="00A3026E">
        <w:rPr>
          <w:rFonts w:ascii="Times New Roman" w:hAnsi="Times New Roman"/>
          <w:color w:val="000000" w:themeColor="text1"/>
          <w:sz w:val="16"/>
          <w:szCs w:val="16"/>
        </w:rPr>
        <w:t xml:space="preserve"> Поскольку англичанам после покупки оружия и вкладов в военную промышленность США явно не хватало золота и долларов, США искали средство им помочь. До Закона о ленд-лизе пробовали и другие средства. Правительство США решило купить у англичан некоторые военные заводы, которые они в США построили и которые теперь требовались США для выполнения собственных военных программ. Армия США рассчитывала сделать военные заказы, в которых она срочно не нуждалась, чтобы в дальнейшем их можно было передать англичанам. Но все это были временные меры. К концу года положение с долларами в Англии стало настолько серьезным, что требовалось предпринять нечто новое, исходя из существующих законов, для продолжения поставок оружия в Великобританию и другие демократические страны. Конгресс и американский народ должны были принять новое решение (17417).</w:t>
      </w:r>
    </w:p>
    <w:p w14:paraId="05F85E2E" w14:textId="77777777" w:rsidR="005E16F2" w:rsidRPr="00A3026E" w:rsidRDefault="005E16F2" w:rsidP="00A3026E">
      <w:pPr>
        <w:spacing w:after="0" w:line="240" w:lineRule="auto"/>
        <w:jc w:val="both"/>
        <w:rPr>
          <w:rFonts w:ascii="Times New Roman" w:hAnsi="Times New Roman"/>
          <w:color w:val="000000" w:themeColor="text1"/>
          <w:sz w:val="16"/>
          <w:szCs w:val="16"/>
        </w:rPr>
      </w:pPr>
    </w:p>
    <w:p w14:paraId="2441CB2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итальянская авиация впервые бомбила Тель-Авив (4962).</w:t>
      </w:r>
    </w:p>
    <w:p w14:paraId="0B1B52B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241DFA6"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42DA59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6376E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10 сентября 1940 года на НИП АВ ВВС закончились заводские испытания САБ-3, САБ-15 и САБ-25 с опытными парашютами, изготовленными из материалов заменителей по предлождению инженеров завода № 2 НКЛП им. Громова Вергасова А.Т. и Тертышника И.Н., которые проходили с 7 августа 1940.</w:t>
      </w:r>
    </w:p>
    <w:p w14:paraId="179F7E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5CBB75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2 ранга Сатонин</w:t>
      </w:r>
    </w:p>
    <w:p w14:paraId="1E9D73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19532B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имели целью определить:</w:t>
      </w:r>
    </w:p>
    <w:p w14:paraId="26BDE05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парашютов и устойчивость САБ на траектории.</w:t>
      </w:r>
    </w:p>
    <w:p w14:paraId="5D55029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снижения САБ с опытными парашютами в сравнении с САБ валового производства.</w:t>
      </w:r>
    </w:p>
    <w:p w14:paraId="215114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E7FDA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Предъявленные заводом № 2 САБ-3, САБ-15 и САБ-25 с опытными парашютами по прочности, устойчивости и безотказности в работе показали удовлетворительные результаты (7582).</w:t>
      </w:r>
    </w:p>
    <w:p w14:paraId="49ECD21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445B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10 сентября по 12 октября 1940 года на НИП АВ ВВС проходили полигонные испытанияе осколочных бомб АО-8М6 ст. чугуна п.п. 65 и 68, снаряженных смесью К-2 методом шнекования 1940 года завода № 12</w:t>
      </w:r>
    </w:p>
    <w:p w14:paraId="6266D3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1DDB08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2 ранга Дьячков</w:t>
      </w:r>
    </w:p>
    <w:p w14:paraId="76DE0A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3F494562" w14:textId="77777777" w:rsidR="00C66762" w:rsidRPr="00A3026E" w:rsidRDefault="00C66762" w:rsidP="00A3026E">
      <w:pPr>
        <w:pStyle w:val="22"/>
        <w:widowControl/>
        <w:rPr>
          <w:color w:val="000000" w:themeColor="text1"/>
        </w:rPr>
      </w:pPr>
      <w:r w:rsidRPr="00A3026E">
        <w:rPr>
          <w:color w:val="000000" w:themeColor="text1"/>
        </w:rPr>
        <w:t>Испытания имели целью определить:</w:t>
      </w:r>
    </w:p>
    <w:p w14:paraId="78F7844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Осколочное действие бомбы.</w:t>
      </w:r>
    </w:p>
    <w:p w14:paraId="4A99D90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Дробление корпуса бомбы ВВ.</w:t>
      </w:r>
    </w:p>
    <w:p w14:paraId="0B26CD1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Безотказность действия.</w:t>
      </w:r>
    </w:p>
    <w:p w14:paraId="6A978B8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бомб в полете.</w:t>
      </w:r>
    </w:p>
    <w:p w14:paraId="52D0AA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A2A2FB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 АО-8М6 сталистого чугуна, снаряженные ТНТ+ДМН 80/20 шнекованием 1940 года, завода № 12, как давшиепо осколочному действию и безотказности удовлетворительные результаты, полигонные испытания выдержали (7587).</w:t>
      </w:r>
    </w:p>
    <w:p w14:paraId="2F756E4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47154C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 ГВСовет ВМФ заслушал доклад С.Ф.Жаворонкова "О развитии авиации ВМФ" - в обсуждении приняли участие А.А.Жданов, Н.Г.Кузнецов, В.А.Алафузов, А.И.Шахурин, И.В.Четвериков, А.П.Голубков - определили основные типы. ГВС ходатайствовал перед Комитетом обороны о закреплении за флотом самолетостроительных заводов и КБ Г.М.Бериева, И.В.Четверикова, А.Н.Т. - удовлетворили вскоре (99,221).</w:t>
      </w:r>
    </w:p>
    <w:p w14:paraId="171B09A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4DC2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10 сентября 1940 на 50 час. заводские испытания подготавливался второй АМ-38, а третий экз. проходил контрольные испытания и намечался к отправке на БШ-2 (2796,10).</w:t>
      </w:r>
    </w:p>
    <w:p w14:paraId="593DC7F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22D0B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 контролер Вахрушев - представитель КО СНК СССР - в журнале Учета выполнения постановлени правительства в отношении постановления КО N 264сс 1940 “О проектировании нового мотора на заводе № 27 НКАП” отметил:</w:t>
      </w:r>
    </w:p>
    <w:p w14:paraId="0527A3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о ходе выполнения постановления КО № 264 имеется в деле (см. Докладную записку директора завода № 27 т. Михайлова).</w:t>
      </w:r>
    </w:p>
    <w:p w14:paraId="5CB869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доклада видно, что постановление не будет выполнено, т.к. ведется работа по другому мотору МБ-100.</w:t>
      </w:r>
    </w:p>
    <w:p w14:paraId="29C374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изменении данного постановления НКАП заготовил письмо в КО, К.Е.В., которое будет отправлено НКАП в ближайшие дни.</w:t>
      </w:r>
    </w:p>
    <w:p w14:paraId="4A6575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 КО № 264 было отменено постановлением КО № 387 26 сентября 1940 (10395).</w:t>
      </w:r>
    </w:p>
    <w:p w14:paraId="3149637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779DF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 приказом НКАП N 476 для заводских испытаний И-135 П.О.С. был назначен л-и Папельнушенко (412,69).</w:t>
      </w:r>
    </w:p>
    <w:p w14:paraId="4978EF6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853F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C 10 сентября по 28 ноября 1940 проходили заводские испытания САМ-11 МВ-6 (2090,232).</w:t>
      </w:r>
    </w:p>
    <w:p w14:paraId="75E0E4D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B8DF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 в ходе гос. испытаний И-200 АМ-35А, которые проходили в НИИ ВВС с 19 августа по 12 сентября 1940 на машине N 6303 выполнили отстрел РС и 2 полета (2925).</w:t>
      </w:r>
    </w:p>
    <w:p w14:paraId="025B984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EED35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 производилась проверка электросети, а затем стрельба из РО-82 на земле и в воздухе с МиГ.</w:t>
      </w:r>
    </w:p>
    <w:p w14:paraId="3D38D6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утром самолет улетел в НИИ ВВС. Монтаж РО и стрельба РС-82 производились при консультации специалистов от НИП АВ, кроме того НИП АВ выдал для стрельбы, РС-82 с новыми штифтами, так как доставленные НИИ ВВС РС-82 оказались со старыми штифтами. При испытании все время оказывалась необходимая помощь (7712, 402).</w:t>
      </w:r>
    </w:p>
    <w:p w14:paraId="48779A7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F6EA6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 было коллективное письмом ряда директоров ленинградских заводов в газету «Правда» (Восканян В., Соловьев А., Уваров И., Устинов Д. О единоначалии и пра</w:t>
      </w:r>
      <w:r w:rsidRPr="00A3026E">
        <w:rPr>
          <w:rFonts w:ascii="Times New Roman" w:hAnsi="Times New Roman"/>
          <w:color w:val="000000" w:themeColor="text1"/>
          <w:sz w:val="16"/>
          <w:szCs w:val="16"/>
        </w:rPr>
        <w:softHyphen/>
        <w:t>вах директора //Правда. 1940.10 сентября). Разумеется, эта «директорская фронда» не могла появиться без той или иной поддержки в высших эшелонах руковод</w:t>
      </w:r>
      <w:r w:rsidRPr="00A3026E">
        <w:rPr>
          <w:rFonts w:ascii="Times New Roman" w:hAnsi="Times New Roman"/>
          <w:color w:val="000000" w:themeColor="text1"/>
          <w:sz w:val="16"/>
          <w:szCs w:val="16"/>
        </w:rPr>
        <w:softHyphen/>
        <w:t>ства СССР. Авторы письма предлагали существенно огра</w:t>
      </w:r>
      <w:r w:rsidRPr="00A3026E">
        <w:rPr>
          <w:rFonts w:ascii="Times New Roman" w:hAnsi="Times New Roman"/>
          <w:color w:val="000000" w:themeColor="text1"/>
          <w:sz w:val="16"/>
          <w:szCs w:val="16"/>
        </w:rPr>
        <w:softHyphen/>
        <w:t>ничить вмешательство наркоматов в заводские дела, свести отчётность к 6 показателям, реанимировать идею заводского хозрасчёта, а главное — дать директору предприятия право самостоятельно распоряжаться в интересах технического обновления и повышения производительности труда разно</w:t>
      </w:r>
      <w:r w:rsidRPr="00A3026E">
        <w:rPr>
          <w:rFonts w:ascii="Times New Roman" w:hAnsi="Times New Roman"/>
          <w:color w:val="000000" w:themeColor="text1"/>
          <w:sz w:val="16"/>
          <w:szCs w:val="16"/>
        </w:rPr>
        <w:softHyphen/>
        <w:t>образными сверхплановыми накоплениями. Хотя в феврале 1941 г. XVIII партконференция ВКП(б) эти предложения не легитимизировала (Они не были приняты, но, с другой стороны, не были и официально осуждены, чгго само по себе имело определённое значение), бурное обсуждение этих проектов как в центральной прессе, так и на партийном форуме говорило о том, что в Кремле не было единого мнения на этот счёт. Одна</w:t>
      </w:r>
      <w:r w:rsidRPr="00A3026E">
        <w:rPr>
          <w:rFonts w:ascii="Times New Roman" w:hAnsi="Times New Roman"/>
          <w:color w:val="000000" w:themeColor="text1"/>
          <w:sz w:val="16"/>
          <w:szCs w:val="16"/>
        </w:rPr>
        <w:softHyphen/>
        <w:t>ко с началом войны все сомнения были отброшены, и ставка была сделана на всемерное ужесточение административного контроля (12011).</w:t>
      </w:r>
    </w:p>
    <w:p w14:paraId="42F05E4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A5CA6C0"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F75E3F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8B89C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 года, когда работы над проектом и опытным образцом пушки были в самом разгаре Грабин получил ТТЗ на разработку проекта и изготовление опытного образца 57-мм ПТП (3861).</w:t>
      </w:r>
    </w:p>
    <w:p w14:paraId="7D48A19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66B7D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 года заместитель на</w:t>
      </w:r>
      <w:r w:rsidRPr="00A3026E">
        <w:rPr>
          <w:rFonts w:ascii="Times New Roman" w:hAnsi="Times New Roman"/>
          <w:color w:val="000000" w:themeColor="text1"/>
          <w:sz w:val="16"/>
          <w:szCs w:val="16"/>
        </w:rPr>
        <w:softHyphen/>
        <w:t>чальника АБТУ РККА получил от военпреда завода ДРО письмо, в котором говорилось следующее:</w:t>
      </w:r>
    </w:p>
    <w:p w14:paraId="44B42C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«Выксунский завод ДРО должен изготовить к 1 октября 1940 года два корпуса ЛБ-62, но, по имеющимся сведениям, корпуса к этому времени изготовлены не будут, что ставит под угрозу срыва Постановление КО СССР, обязывающее Горьковский автомобильный завод изготовить и сдать на по</w:t>
      </w:r>
      <w:r w:rsidRPr="00A3026E">
        <w:rPr>
          <w:rFonts w:ascii="Times New Roman" w:hAnsi="Times New Roman"/>
          <w:color w:val="000000" w:themeColor="text1"/>
          <w:sz w:val="16"/>
          <w:szCs w:val="16"/>
        </w:rPr>
        <w:softHyphen/>
        <w:t>лигонные испытания 2 образца ЛБ-62 к 1 ноября 1940 года.</w:t>
      </w:r>
    </w:p>
    <w:p w14:paraId="4F22B9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образец с железным корпусом проходит за</w:t>
      </w:r>
      <w:r w:rsidRPr="00A3026E">
        <w:rPr>
          <w:rFonts w:ascii="Times New Roman" w:hAnsi="Times New Roman"/>
          <w:color w:val="000000" w:themeColor="text1"/>
          <w:sz w:val="16"/>
          <w:szCs w:val="16"/>
        </w:rPr>
        <w:softHyphen/>
        <w:t>водские испытания» (11284).</w:t>
      </w:r>
    </w:p>
    <w:p w14:paraId="02435A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сначала пришлось сдвинуть срок подачи броневых корпусов ЛБ-62 из Выксы на 25 и 30 октября, а за</w:t>
      </w:r>
      <w:r w:rsidRPr="00A3026E">
        <w:rPr>
          <w:rFonts w:ascii="Times New Roman" w:hAnsi="Times New Roman"/>
          <w:color w:val="000000" w:themeColor="text1"/>
          <w:sz w:val="16"/>
          <w:szCs w:val="16"/>
        </w:rPr>
        <w:softHyphen/>
        <w:t>тем и на ноябрь. Свои обязательства выполнил только завод имени Орджоникидзе, отгрузивший в Горький две башни Т-40 в последних числах сентября (11284).</w:t>
      </w:r>
    </w:p>
    <w:p w14:paraId="6CFCF3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F23E151"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 г. Из приказа Наркомстроя СССР № 209 Н об окончании строительства и вводе в действие первой очереди Уральского алюминиевого завода</w:t>
      </w:r>
    </w:p>
    <w:p w14:paraId="5E87B937"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Коллективом строителей и монтажников треста Уралалюминстрой построена, смонтирована и пущена первая очередь Уральского алюминиевого завода в составе: электродного цеха, первой части глиноземного цеха, двух корпусов электролизного uexa. Ртутной подстанции, ремонтно-механического завода, Красногорской -ТЭЦ в составе двух котлов и двух турбогенераторов с электро- и энергохозяйством. Построена первая очередь соцгорода.</w:t>
      </w:r>
    </w:p>
    <w:p w14:paraId="17D95630"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Поздравляя коллектив строителей, монтажников и инженерно-технических работников треста Уралалюминстрой с успешным окончанием строительства первой очереди завода, приказываю:</w:t>
      </w:r>
    </w:p>
    <w:p w14:paraId="07CC35CD"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Наградить следующих руководителей, стахановцев, инженерно-технических работников и служащих, особо отличившихся в борьбе за быстрейший пуск завода.[11]</w:t>
      </w:r>
    </w:p>
    <w:p w14:paraId="40389C17"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по строительству</w:t>
      </w:r>
    </w:p>
    <w:p w14:paraId="56C8F50C"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Гинзбург</w:t>
      </w:r>
    </w:p>
    <w:p w14:paraId="766DAD44"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ЦГАНХ СССР, ф. 8590, on. 2, д. 48, л. 14. Типогр.экз. (15734).</w:t>
      </w:r>
    </w:p>
    <w:p w14:paraId="689CF6B9" w14:textId="77777777" w:rsidR="00735D36" w:rsidRPr="00A3026E" w:rsidRDefault="00735D36" w:rsidP="00A3026E">
      <w:pPr>
        <w:spacing w:after="0" w:line="240" w:lineRule="auto"/>
        <w:jc w:val="both"/>
        <w:rPr>
          <w:rFonts w:ascii="Times New Roman" w:hAnsi="Times New Roman"/>
          <w:color w:val="000000" w:themeColor="text1"/>
          <w:sz w:val="16"/>
          <w:szCs w:val="16"/>
        </w:rPr>
      </w:pPr>
    </w:p>
    <w:p w14:paraId="562FB24F" w14:textId="77777777" w:rsidR="004905AC" w:rsidRPr="00A3026E" w:rsidRDefault="004905AC" w:rsidP="00A3026E">
      <w:pPr>
        <w:spacing w:after="0" w:line="240" w:lineRule="auto"/>
        <w:jc w:val="both"/>
        <w:rPr>
          <w:rFonts w:ascii="Times New Roman" w:hAnsi="Times New Roman"/>
          <w:color w:val="0070C0"/>
          <w:sz w:val="16"/>
          <w:szCs w:val="16"/>
          <w:lang w:eastAsia="ru-RU" w:bidi="ru-RU"/>
        </w:rPr>
      </w:pPr>
      <w:r w:rsidRPr="00A3026E">
        <w:rPr>
          <w:rFonts w:ascii="Times New Roman" w:hAnsi="Times New Roman"/>
          <w:color w:val="0070C0"/>
          <w:sz w:val="16"/>
          <w:szCs w:val="16"/>
          <w:lang w:eastAsia="ru-RU" w:bidi="ru-RU"/>
        </w:rPr>
        <w:lastRenderedPageBreak/>
        <w:t>10 сентября в 1940 в газете Правда появилась письмо Восканяна В., Соловьёва А., Уварова И. и Устинов Д. о единоначалии и правах директора. В целом предлагалось существенно расширить права заводской администрации, оставив за наркоматами лишь от</w:t>
      </w:r>
      <w:r w:rsidRPr="00A3026E">
        <w:rPr>
          <w:rFonts w:ascii="Times New Roman" w:hAnsi="Times New Roman"/>
          <w:color w:val="0070C0"/>
          <w:sz w:val="16"/>
          <w:szCs w:val="16"/>
          <w:lang w:eastAsia="ru-RU" w:bidi="ru-RU"/>
        </w:rPr>
        <w:softHyphen/>
        <w:t>носительно узкий набор прерогатив. Началась эта дискуссия с коллективного письма, написанного директорами нескольких ленинградских заводов в газету «Правда». Разумеется, эта «директорская фронда» не могла появиться без той или иной поддержки в высших эшелонах власти. Авторы письма предлагали существенно ограничить вмешательство наркоматов в заводские дела, свести отчётность к шести показателям, реанимировать идею заводского хозрасчёта, а главное - дать директорам предприятий право самостоятельно распоряжаться в интересах технического обновления и повышения производительности труда разнообразными сверхплановыми накоплениями (22646).</w:t>
      </w:r>
    </w:p>
    <w:p w14:paraId="7ED85C8F" w14:textId="77777777" w:rsidR="004905AC" w:rsidRPr="00A3026E" w:rsidRDefault="004905AC" w:rsidP="00A3026E">
      <w:pPr>
        <w:spacing w:after="0" w:line="240" w:lineRule="auto"/>
        <w:jc w:val="both"/>
        <w:rPr>
          <w:rFonts w:ascii="Times New Roman" w:hAnsi="Times New Roman"/>
          <w:color w:val="0070C0"/>
          <w:sz w:val="16"/>
          <w:szCs w:val="16"/>
          <w:lang w:eastAsia="ru-RU" w:bidi="ru-RU"/>
        </w:rPr>
      </w:pPr>
    </w:p>
    <w:p w14:paraId="68B1FC22" w14:textId="77777777" w:rsidR="00735D36"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0F2297E5" w14:textId="77777777" w:rsidR="00735D36" w:rsidRPr="00A3026E" w:rsidRDefault="00735D36" w:rsidP="00A3026E">
      <w:pPr>
        <w:spacing w:after="0" w:line="240" w:lineRule="auto"/>
        <w:jc w:val="both"/>
        <w:rPr>
          <w:rFonts w:ascii="Times New Roman" w:hAnsi="Times New Roman"/>
          <w:iCs/>
          <w:color w:val="000000" w:themeColor="text1"/>
          <w:sz w:val="16"/>
          <w:szCs w:val="16"/>
        </w:rPr>
      </w:pPr>
    </w:p>
    <w:p w14:paraId="3D29E31D" w14:textId="77777777" w:rsidR="00735D36" w:rsidRPr="00A3026E" w:rsidRDefault="00735D36"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bCs/>
          <w:iCs/>
          <w:color w:val="000000" w:themeColor="text1"/>
          <w:sz w:val="16"/>
          <w:szCs w:val="16"/>
        </w:rPr>
        <w:t>10 сентября 1940 г.</w:t>
      </w:r>
      <w:r w:rsidRPr="00A3026E">
        <w:rPr>
          <w:rFonts w:ascii="Times New Roman" w:hAnsi="Times New Roman"/>
          <w:color w:val="000000" w:themeColor="text1"/>
          <w:sz w:val="16"/>
          <w:szCs w:val="16"/>
        </w:rPr>
        <w:t xml:space="preserve"> Утверждение начальником Главного управления ВВС РККА П.В.Рычаговым </w:t>
      </w:r>
      <w:r w:rsidRPr="00A3026E">
        <w:rPr>
          <w:rFonts w:ascii="Times New Roman" w:hAnsi="Times New Roman"/>
          <w:iCs/>
          <w:color w:val="000000" w:themeColor="text1"/>
          <w:sz w:val="16"/>
          <w:szCs w:val="16"/>
        </w:rPr>
        <w:t>«Положения о штабе ВВС Красной Армии»</w:t>
      </w:r>
      <w:r w:rsidRPr="00A3026E">
        <w:rPr>
          <w:rFonts w:ascii="Times New Roman" w:hAnsi="Times New Roman"/>
          <w:color w:val="000000" w:themeColor="text1"/>
          <w:sz w:val="16"/>
          <w:szCs w:val="16"/>
        </w:rPr>
        <w:t>, в составе которого было предусмотрено шесть отделов — оперативный, аэрофлота, связи, организационно-мобилизационный, тыла и… химической службы (17133).</w:t>
      </w:r>
    </w:p>
    <w:p w14:paraId="0AFAAED9" w14:textId="77777777" w:rsidR="00735D36" w:rsidRPr="00A3026E" w:rsidRDefault="00735D36" w:rsidP="00A3026E">
      <w:pPr>
        <w:shd w:val="clear" w:color="auto" w:fill="FFFFFF"/>
        <w:spacing w:after="0" w:line="240" w:lineRule="auto"/>
        <w:jc w:val="both"/>
        <w:rPr>
          <w:rFonts w:ascii="Times New Roman" w:hAnsi="Times New Roman"/>
          <w:color w:val="000000" w:themeColor="text1"/>
          <w:sz w:val="16"/>
          <w:szCs w:val="16"/>
        </w:rPr>
      </w:pPr>
    </w:p>
    <w:p w14:paraId="4E12701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34639B4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C48694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 в СССР утверждено положение о паспортах (4962).</w:t>
      </w:r>
    </w:p>
    <w:p w14:paraId="30FBA0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036570D" w14:textId="77777777" w:rsidR="00C66762" w:rsidRPr="00A3026E" w:rsidRDefault="00C66762" w:rsidP="00A3026E">
      <w:pPr>
        <w:pStyle w:val="a6"/>
        <w:spacing w:before="0" w:after="0"/>
        <w:ind w:left="0" w:right="0"/>
        <w:jc w:val="both"/>
        <w:rPr>
          <w:color w:val="000000" w:themeColor="text1"/>
          <w:sz w:val="16"/>
          <w:szCs w:val="16"/>
        </w:rPr>
      </w:pPr>
      <w:r w:rsidRPr="00A3026E">
        <w:rPr>
          <w:color w:val="000000" w:themeColor="text1"/>
          <w:sz w:val="16"/>
          <w:szCs w:val="16"/>
        </w:rPr>
        <w:t>10 сентября 1940 постановлением Совнаркома СССР № 1667 начинает осуществляться новое положение о паспортах и новая инструкция НКВД СССР по его применению. Новый документ имел одно существенное отличие от декабрьского постановления 1932 года: он расширял территорию паспортизации за счет районных центров и населенных пунктов, где были расположены МТС. Заветная черта, за которой начиналась жизнь с паспортом, казалось, приблизилась. Власть как бы делала сельчанам приглашающий жест; миграция из деревень усилилась. Орденоносцы, лица, достигшие пятидесятипятилетнего возраста, инвалиды и пенсионеры отныне должны были получать бессрочные паспорта; пятилетние выдавались гражданам от 16 до 55 лет. Сохранялась практика выдачи временных удостоверений “гражданам, выезжающим из местностей, где не введена паспортная система” (9985).</w:t>
      </w:r>
    </w:p>
    <w:p w14:paraId="7FB65DE4" w14:textId="77777777" w:rsidR="00C66762" w:rsidRPr="00A3026E" w:rsidRDefault="00C66762" w:rsidP="00A3026E">
      <w:pPr>
        <w:pStyle w:val="a6"/>
        <w:spacing w:before="0" w:after="0"/>
        <w:ind w:left="0" w:right="0"/>
        <w:jc w:val="both"/>
        <w:rPr>
          <w:color w:val="000000" w:themeColor="text1"/>
          <w:sz w:val="16"/>
          <w:szCs w:val="16"/>
        </w:rPr>
      </w:pPr>
    </w:p>
    <w:p w14:paraId="123D01AC" w14:textId="77777777" w:rsidR="00C66762" w:rsidRPr="00A3026E" w:rsidRDefault="00C66762" w:rsidP="00A3026E">
      <w:pPr>
        <w:pStyle w:val="a3"/>
        <w:rPr>
          <w:color w:val="000000" w:themeColor="text1"/>
          <w:lang w:val="ru-RU"/>
        </w:rPr>
      </w:pPr>
      <w:r w:rsidRPr="00A3026E">
        <w:rPr>
          <w:color w:val="000000" w:themeColor="text1"/>
          <w:lang w:val="ru-RU"/>
        </w:rPr>
        <w:t>10 сентября 1940 года Постановлением СНК № 1667 вводилось новое положение о паспортной системе. Согласно этому положению рабочие были обязаны сдавать при поступлении на работу свои паспорта, тем самым лишаясь возможности поступить на другую работу. Однако в реальности эта система работала совсем не так, как предполагали наверху. Некоторые причины неэффективности системы паспортного контроля изложил в феврале 1944 года начальник группы танков при СНК Е. Круглов в письме наркому танковой промышленности В. А. Малышеву: «Начальник Главного управления милиции т. Галкин считает нецелесообразным распространение этого положения на рабочих Сталинградского тракторстроя, так как это положение не оправдало себя, в виду того, что рабочие при первой потребности в паспорте для прописки, для регистрации в ЗАГСе, для получения денег в сберкассах имеют право получить паспорт у администратора и не возвращать его» (12290).</w:t>
      </w:r>
    </w:p>
    <w:p w14:paraId="4975D11E" w14:textId="77777777" w:rsidR="00C66762" w:rsidRPr="00A3026E" w:rsidRDefault="00C66762" w:rsidP="00A3026E">
      <w:pPr>
        <w:pStyle w:val="a3"/>
        <w:rPr>
          <w:color w:val="000000" w:themeColor="text1"/>
          <w:lang w:val="ru-RU"/>
        </w:rPr>
      </w:pPr>
    </w:p>
    <w:p w14:paraId="47E43720"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1923AE8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8EC2E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 морская блокада Германии, на которую так рассчитывала Англия, срывается. Мы предоставили немцам Мурманск, куда укрылся весь торговый немецкий флот и часть военного десанта на Норвегию. Наш ледокол проводит по северному морскому пути немецкий рейдер "Метеор" (боевое судно, замаскированное под сухогруз "Дежнев"). Через месяц рейдер уже вовсю разбойничал в Тихом океане (12629).</w:t>
      </w:r>
    </w:p>
    <w:p w14:paraId="67C428C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B5C3C0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4C785A3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7F025A4" w14:textId="77777777" w:rsidR="004905AC" w:rsidRPr="00A3026E" w:rsidRDefault="004905A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сентября 1940 Regia Aeronautica (Королевские военно-воздушные силы Италии) формирует Корпус Aereo Italiano (Итальянский авиационный корпус) в качестве экспедиционного корпуса для бомбардировок Соединенного Королевства вместе с немецкими Люфтваффе с баз в Бельгии  (20795).</w:t>
      </w:r>
    </w:p>
    <w:p w14:paraId="62E0E037" w14:textId="77777777" w:rsidR="004905AC" w:rsidRPr="00A3026E" w:rsidRDefault="004905AC" w:rsidP="00A3026E">
      <w:pPr>
        <w:spacing w:after="0" w:line="240" w:lineRule="auto"/>
        <w:jc w:val="both"/>
        <w:rPr>
          <w:rFonts w:ascii="Times New Roman" w:hAnsi="Times New Roman"/>
          <w:color w:val="0070C0"/>
          <w:sz w:val="16"/>
          <w:szCs w:val="16"/>
        </w:rPr>
      </w:pPr>
    </w:p>
    <w:p w14:paraId="402A09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 при бомбардировке Лондона немецкой авиацией поврежден Букингемский дворец (4962).</w:t>
      </w:r>
    </w:p>
    <w:p w14:paraId="27C160C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0AA779A"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10 September 1940 Allies bomb Berlin (270).</w:t>
      </w:r>
    </w:p>
    <w:p w14:paraId="66BB2975"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35325787"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 xml:space="preserve">10 </w:t>
      </w:r>
      <w:r w:rsidRPr="00A3026E">
        <w:rPr>
          <w:rFonts w:ascii="Times New Roman" w:hAnsi="Times New Roman"/>
          <w:color w:val="000000" w:themeColor="text1"/>
          <w:sz w:val="16"/>
          <w:szCs w:val="16"/>
        </w:rPr>
        <w:t>сентября</w:t>
      </w:r>
      <w:r w:rsidRPr="00A3026E">
        <w:rPr>
          <w:rFonts w:ascii="Times New Roman" w:hAnsi="Times New Roman"/>
          <w:color w:val="000000" w:themeColor="text1"/>
          <w:sz w:val="16"/>
          <w:szCs w:val="16"/>
          <w:lang w:val="en-US"/>
        </w:rPr>
        <w:t xml:space="preserve"> 1940 </w:t>
      </w:r>
      <w:r w:rsidRPr="00A3026E">
        <w:rPr>
          <w:rFonts w:ascii="Times New Roman" w:hAnsi="Times New Roman"/>
          <w:color w:val="000000" w:themeColor="text1"/>
          <w:sz w:val="16"/>
          <w:szCs w:val="16"/>
        </w:rPr>
        <w:t>союзникибомбилиБерлин</w:t>
      </w:r>
      <w:r w:rsidRPr="00A3026E">
        <w:rPr>
          <w:rFonts w:ascii="Times New Roman" w:hAnsi="Times New Roman"/>
          <w:color w:val="000000" w:themeColor="text1"/>
          <w:sz w:val="16"/>
          <w:szCs w:val="16"/>
          <w:lang w:val="en-US"/>
        </w:rPr>
        <w:t xml:space="preserve"> (270).</w:t>
      </w:r>
    </w:p>
    <w:p w14:paraId="6754B0B4"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370BE15A"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в 1940 году британские ВВС бомбардировали Гамбург, Бремен и Булонь (14765).</w:t>
      </w:r>
    </w:p>
    <w:p w14:paraId="5DD10C1D" w14:textId="77777777" w:rsidR="00735D36" w:rsidRPr="00A3026E" w:rsidRDefault="00735D36" w:rsidP="00A3026E">
      <w:pPr>
        <w:spacing w:after="0" w:line="240" w:lineRule="auto"/>
        <w:jc w:val="both"/>
        <w:rPr>
          <w:rFonts w:ascii="Times New Roman" w:hAnsi="Times New Roman"/>
          <w:color w:val="000000" w:themeColor="text1"/>
          <w:sz w:val="16"/>
          <w:szCs w:val="16"/>
        </w:rPr>
      </w:pPr>
    </w:p>
    <w:p w14:paraId="37CAAD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 А.Гитлер отложил вторжение в Англию, планировавшееся на 15 на 16 (2240).</w:t>
      </w:r>
    </w:p>
    <w:p w14:paraId="7565154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1EDA1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 бомбой был поврежден Букингемский дворец (3481).</w:t>
      </w:r>
    </w:p>
    <w:p w14:paraId="544E171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2D8A6F8"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в 1940 году премьер-министром Государства Франция назначен П.Лаваль (14765).</w:t>
      </w:r>
    </w:p>
    <w:p w14:paraId="5C8A5B39" w14:textId="77777777" w:rsidR="00735D36" w:rsidRPr="00A3026E" w:rsidRDefault="00735D36" w:rsidP="00A3026E">
      <w:pPr>
        <w:spacing w:after="0" w:line="240" w:lineRule="auto"/>
        <w:jc w:val="both"/>
        <w:rPr>
          <w:rFonts w:ascii="Times New Roman" w:hAnsi="Times New Roman"/>
          <w:color w:val="000000" w:themeColor="text1"/>
          <w:sz w:val="16"/>
          <w:szCs w:val="16"/>
        </w:rPr>
      </w:pPr>
    </w:p>
    <w:p w14:paraId="42DA7F76"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в 1940 году колониальная администрация Французской Индии перешла на сторону Свободной Франции (14765).</w:t>
      </w:r>
    </w:p>
    <w:p w14:paraId="53589EF8" w14:textId="77777777" w:rsidR="00735D36" w:rsidRPr="00A3026E" w:rsidRDefault="00735D36" w:rsidP="00A3026E">
      <w:pPr>
        <w:spacing w:after="0" w:line="240" w:lineRule="auto"/>
        <w:jc w:val="both"/>
        <w:rPr>
          <w:rFonts w:ascii="Times New Roman" w:hAnsi="Times New Roman"/>
          <w:color w:val="000000" w:themeColor="text1"/>
          <w:sz w:val="16"/>
          <w:szCs w:val="16"/>
        </w:rPr>
      </w:pPr>
    </w:p>
    <w:p w14:paraId="09D7666A"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780AD9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E8FBB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 в ходе гос. испытаний И-200 АМ-35А, которые проходили в НИИ ВВС с 19 августа по 12 сентября 1940 на машине N 6302 выполнил полет на расход горючего и облеты, а на машине 6303 - бомбометание (2925).</w:t>
      </w:r>
    </w:p>
    <w:p w14:paraId="3B1F4BB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AA969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 г. была закончена постройка второго экземпляра самолета ОКО-6 Таирова - ОКО-6бис (в конце декабря он получил наименование Та-1) с редукторными моторами М-88Р одинакового вращения (9649).</w:t>
      </w:r>
    </w:p>
    <w:p w14:paraId="104042A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C4A49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11 сентября 1940 удалось закончить постройку второго экзем</w:t>
      </w:r>
      <w:r w:rsidRPr="00A3026E">
        <w:rPr>
          <w:rFonts w:ascii="Times New Roman" w:hAnsi="Times New Roman"/>
          <w:color w:val="000000" w:themeColor="text1"/>
          <w:sz w:val="16"/>
          <w:szCs w:val="16"/>
        </w:rPr>
        <w:softHyphen/>
        <w:t>пляра самолета ОКО-6. Он получил обозначение ОКО-ббис.</w:t>
      </w:r>
    </w:p>
    <w:p w14:paraId="18EBDF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были установлены редукторные моторы М-88р одинакового вра</w:t>
      </w:r>
      <w:r w:rsidRPr="00A3026E">
        <w:rPr>
          <w:rFonts w:ascii="Times New Roman" w:hAnsi="Times New Roman"/>
          <w:color w:val="000000" w:themeColor="text1"/>
          <w:sz w:val="16"/>
          <w:szCs w:val="16"/>
        </w:rPr>
        <w:softHyphen/>
        <w:t>щения (редукция 0,666) и винты диаметром 3,0 м (вместо 2,65 м). Разнесли и увеличили по площади хвостовое оперение. Удлинили хвостовую часть фюзеляжа. Обшивку крыла выполнили целиком из электрона. Изменили балансировку элеронов и плечи тяг в проводке системы управления ими. Для обеспечения центровки при более тяжелых моторах уменьшили стреловид</w:t>
      </w:r>
      <w:r w:rsidRPr="00A3026E">
        <w:rPr>
          <w:rFonts w:ascii="Times New Roman" w:hAnsi="Times New Roman"/>
          <w:color w:val="000000" w:themeColor="text1"/>
          <w:sz w:val="16"/>
          <w:szCs w:val="16"/>
        </w:rPr>
        <w:softHyphen/>
        <w:t>ность по передней кромке консолей крыла. Заменили колеса шасси на большие по размерам. В носовой части фюзеляжа дополнительно были смонтированы два пулемета ШКАС, а под центропланом предусмотрен узел (специальная рама) для подвески бомб калибра до 500 кг. Пулеметы вместе с патронными коробками устанавли</w:t>
      </w:r>
      <w:r w:rsidRPr="00A3026E">
        <w:rPr>
          <w:rFonts w:ascii="Times New Roman" w:hAnsi="Times New Roman"/>
          <w:color w:val="000000" w:themeColor="text1"/>
          <w:sz w:val="16"/>
          <w:szCs w:val="16"/>
        </w:rPr>
        <w:softHyphen/>
        <w:t>вались на специальном поворотном лафете, что заметно упрощало их обслуживание. Для доступа к пулеметам необходимо было только снять носовой обтекатель. Боекомплект к левому пулемету включал 350 патронов, к правому - 450 патронов. Спуск пулеметов - электрический, переза</w:t>
      </w:r>
      <w:r w:rsidRPr="00A3026E">
        <w:rPr>
          <w:rFonts w:ascii="Times New Roman" w:hAnsi="Times New Roman"/>
          <w:color w:val="000000" w:themeColor="text1"/>
          <w:sz w:val="16"/>
          <w:szCs w:val="16"/>
        </w:rPr>
        <w:softHyphen/>
        <w:t>рядка - при помощи воздушной системы. С установкой пулеметов вес секундного залпа возрос до 6,02 кг (12614).</w:t>
      </w:r>
    </w:p>
    <w:p w14:paraId="2BEEDB3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55D6C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11-27 сентября 1940 десять И-26 головной серии завод 301 передал в войска (198,16).</w:t>
      </w:r>
    </w:p>
    <w:p w14:paraId="6C06439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75B41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Только с 11 по 27 сентября 1940 г. десять истребителей И-26 первой серии завода № 301 были облетаны и приняты военными представителями. Самолеты незамедлительно направили на войсковые испытания, которые проводились в Кубинке в 11-м истребительном авиаполку (иап) с октября по ноябрь 1940 г. включительно. Из двух других самолетов серии один не был облетан из- за аварии, а другой забракован по нивелировке - при испытаниях самолет сильно кренило. Для устранения этого явления завод наклепал на правый элерон пластину- компенсатор, без согласования доработки с Главным конструктором. По приказу наркома авиапромышленности № 518 от 2 октября 1940 г. о соблюдении технологической дисциплины И-26. выполненный с отступлением от чертежей, военная приемка не приняла. Самолет передали в НИИ ВВС КА для составления заключения о возможном его использовании.</w:t>
      </w:r>
    </w:p>
    <w:p w14:paraId="12FF23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Проверить самолет в полном объеме на готовность к боевым действиям не удалось из-за сокращения программы государственных испытаний, и в связи с не отлаженным и не пристрелянным вооружением на всех машинах. Это не удивительно, потому что к 28 сентября завод получил всего семь мотор- пушек и еще шесть до конца месяца, которые успели только смонтировать на самолеты к началу войсковых испытаний. Самолеты первых серий завода № 301 строились по чертежам И-26-1 с многочисленными изменениями, вносимыми по ходу испытательных полетов второго и третьего экземпляров. Поэтому войсковые испытания подтвердили ряд дефектов, выявленных на госиспытаниях, и обнажили немалое количество новых, связанных с качеством изготовления. По изданному директором завода № 30I приказу некоторые рабочие завода из-за допущенного брака получили в зарплату в сентябре всего 6-8 рублей. По материалам испытаний в ноябре произошла вторая доработка крыла (расширение вырезов куполов шасси) и щитков по первым трем сериям на заводе №301.</w:t>
      </w:r>
    </w:p>
    <w:p w14:paraId="610021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имеющиеся конструктивные и производственные недостатки войсковые испытания И-26 прошел удовлетворительно. Они показали, что самолет обладает высокими летно-тактическими качествами. По технике пилотирования на посадке, пилотаже, в облаках и ночью он оказался значительно проще находящихся на вооружении частей ВВС КА истребителей И-15 и И-16. Летный состав, освоивший И-16, без труда переучивался на новый тип самолета и вылетал самостоятельно даже без вывозных полетов на УТИ-26 (так первоначально назывался учебно-тренировочный вариант Як-1) (12048).</w:t>
      </w:r>
    </w:p>
    <w:p w14:paraId="5D06E90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D27D9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 года закончилась постройка второго УТИ-26 (7625, 383).</w:t>
      </w:r>
    </w:p>
    <w:p w14:paraId="2CCF5F9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93BD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11 по 19 сентября 1940 состоялся второй этап гос. испытаний УТИ-26-1. Требования повысили (198,37). 19 сентября передали в 11иап, в который должны были прийти первые 10 Як-1 и продолжили испытания 21-25 сентября. Всего выполнили 30 полетов бригадой с ведущими л-и П.М.Стефановским и А.Г.Кубышкиным, а также 9 летчиков облета из 11иап и ГСС И.А.Лаптев (65,27).</w:t>
      </w:r>
    </w:p>
    <w:p w14:paraId="00D45C8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DEE3B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 в ходе гос. испытаний УТИ-26 в НИИ ВВС, которые проходили с 29 августа по 19 сентября 1940, после ремонта из-за того, что 30 августа при рулении на старт сложилась левая нога шасси и поломалась консоль крыла, а также были погнуты лопасти винта и поврежден обтекатель, И-26 в 14:00 вновь прибыл на аэродром НИИ ВВС. Федрови произвел 3 показательных полета по кругу с уборкой и выпуском шасси при стравленном из пневмосистеме воздухе. Провели отстрел оружия в тире (2944).</w:t>
      </w:r>
    </w:p>
    <w:p w14:paraId="677EA6C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D018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11 сентября 1940 УТИ-26 был на ремонте после поломки 30 августа 1940.</w:t>
      </w:r>
    </w:p>
    <w:p w14:paraId="4A46C1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августа 1940 года самолет УТИ-26 поступил на гос. испытания</w:t>
      </w:r>
    </w:p>
    <w:p w14:paraId="177C2C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Закончил гос. испытания 19 сентября 1940 года</w:t>
      </w:r>
    </w:p>
    <w:p w14:paraId="11D317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года Начальник ГУ ВВС генерал-лейтенант авиации Рычагов утвердил Отчет по гос. испытаниям опытного самолета УТИ-26 с мотором М-105П конструкции и А.С.Я., постройки завода № 115</w:t>
      </w:r>
    </w:p>
    <w:p w14:paraId="6A260B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ВИШ-61П диаметром 3 м</w:t>
      </w:r>
    </w:p>
    <w:p w14:paraId="508A95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6F9833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Воеводин, Степанец, Стефановский, Кубышкин</w:t>
      </w:r>
    </w:p>
    <w:p w14:paraId="3CF75B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Участники испытаний: Хвостовский, Аронов, Саманов, Цветаев, Стечнев, НаумовАверьянов, Королев</w:t>
      </w:r>
    </w:p>
    <w:p w14:paraId="787509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Летных - 5 дней</w:t>
      </w:r>
    </w:p>
    <w:p w14:paraId="3CFA96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Наземные испытания 3 дня</w:t>
      </w:r>
    </w:p>
    <w:p w14:paraId="7479B5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Нелетная погода 2 дня</w:t>
      </w:r>
    </w:p>
    <w:p w14:paraId="7C3147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сдвинуто назад на 100 мм, в фюзкляже - вторая кабина и 2-е управление</w:t>
      </w:r>
    </w:p>
    <w:p w14:paraId="09A10D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2181 кг, полетный - 2750 кг</w:t>
      </w:r>
    </w:p>
    <w:p w14:paraId="028A80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у земли 500 км/час</w:t>
      </w:r>
    </w:p>
    <w:p w14:paraId="167189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на 2540 м 560 км/час</w:t>
      </w:r>
    </w:p>
    <w:p w14:paraId="1CB1A7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5000 м 5,5 мин.</w:t>
      </w:r>
    </w:p>
    <w:p w14:paraId="66761A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 310 м, пробег 750 м</w:t>
      </w:r>
    </w:p>
    <w:p w14:paraId="5BD23D4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B860E2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УТИ-26 считать прошедшим госиспытания удовлетворительно (Самолет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 испытания удовлетворительно)</w:t>
      </w:r>
    </w:p>
    <w:p w14:paraId="50DAF3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целесообрасным быстрейшую серийную постройку самолета</w:t>
      </w:r>
    </w:p>
    <w:p w14:paraId="7AC7A0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ГК и завод № 115 устранить на с-тах для войсковых испытаний следующие дефекты:</w:t>
      </w:r>
    </w:p>
    <w:p w14:paraId="577704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ненадежность конструкции запирающей системы уборки и выпуска шасси</w:t>
      </w:r>
    </w:p>
    <w:p w14:paraId="0C072F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нельзя тормозить (большой пробег)</w:t>
      </w:r>
    </w:p>
    <w:p w14:paraId="0AA521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недоведенность синхронизирующей установки (прострел винта)</w:t>
      </w:r>
    </w:p>
    <w:p w14:paraId="7C0017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исправить направления действия рычагов в кабине л-ка (726,1).</w:t>
      </w:r>
    </w:p>
    <w:p w14:paraId="2A8AFAD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C57B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 ГК з-да № 289 НКАП П.О.С. писал письмо № 25/1713с Зам. Нач. 7 ГУ НКАП тов. ШИШКИНУ С.И.</w:t>
      </w:r>
    </w:p>
    <w:p w14:paraId="232540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снять ограничение веса при летных испытанияхсамолета "И-135" М-105 2ТК-2, поставленных из следующих соображений:</w:t>
      </w:r>
    </w:p>
    <w:p w14:paraId="672C68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Испытание самолета на сл."Ак" было доведено до максималькой нагрузки, равной 99,4% расчетной разгружающей нагрузки на крыло и центроплан при весе самолета 2500 кг. (разрушилось дюралевое ухо крепления зад</w:t>
      </w:r>
      <w:r w:rsidRPr="00A3026E">
        <w:rPr>
          <w:rFonts w:ascii="Times New Roman" w:hAnsi="Times New Roman"/>
          <w:color w:val="000000" w:themeColor="text1"/>
          <w:sz w:val="16"/>
          <w:szCs w:val="16"/>
        </w:rPr>
        <w:softHyphen/>
        <w:t>него лонжерона центроплана к фюзеляжу).</w:t>
      </w:r>
    </w:p>
    <w:p w14:paraId="2DA1A5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 расчету запас прочности верхнего подкоса мото</w:t>
      </w:r>
      <w:r w:rsidRPr="00A3026E">
        <w:rPr>
          <w:rFonts w:ascii="Times New Roman" w:hAnsi="Times New Roman"/>
          <w:color w:val="000000" w:themeColor="text1"/>
          <w:sz w:val="16"/>
          <w:szCs w:val="16"/>
        </w:rPr>
        <w:softHyphen/>
        <w:t>рамы на сл."Нму" равен единице при весе мотоустановки, принятой в расчете.</w:t>
      </w:r>
    </w:p>
    <w:p w14:paraId="2D46B3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выпуска машины с завода выяснилось, что расчет</w:t>
      </w:r>
      <w:r w:rsidRPr="00A3026E">
        <w:rPr>
          <w:rFonts w:ascii="Times New Roman" w:hAnsi="Times New Roman"/>
          <w:color w:val="000000" w:themeColor="text1"/>
          <w:sz w:val="16"/>
          <w:szCs w:val="16"/>
        </w:rPr>
        <w:softHyphen/>
        <w:t>ная разрушающая нагрузка на крыло, вследствие перетяжелениямашины, должна быть увеличена на 13%, а расчетная разрушающая нагрузка на мотоустановку, вследствие увели</w:t>
      </w:r>
      <w:r w:rsidRPr="00A3026E">
        <w:rPr>
          <w:rFonts w:ascii="Times New Roman" w:hAnsi="Times New Roman"/>
          <w:color w:val="000000" w:themeColor="text1"/>
          <w:sz w:val="16"/>
          <w:szCs w:val="16"/>
        </w:rPr>
        <w:softHyphen/>
        <w:t>чения веса последней - на 10%.</w:t>
      </w:r>
    </w:p>
    <w:p w14:paraId="0C65E6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первого испытания на сл."Ак" дюралевое ухо заднего лонжерона было заменено стальным и было проведе</w:t>
      </w:r>
      <w:r w:rsidRPr="00A3026E">
        <w:rPr>
          <w:rFonts w:ascii="Times New Roman" w:hAnsi="Times New Roman"/>
          <w:color w:val="000000" w:themeColor="text1"/>
          <w:sz w:val="16"/>
          <w:szCs w:val="16"/>
        </w:rPr>
        <w:softHyphen/>
        <w:t>но вторичное испытание на сл."Ак".</w:t>
      </w:r>
    </w:p>
    <w:p w14:paraId="3C4013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97,4% Р. Р.Н. (для 2500 кг.) разрушилась ось стойки шасси, служившая одновременно нижним поясом перед</w:t>
      </w:r>
      <w:r w:rsidRPr="00A3026E">
        <w:rPr>
          <w:rFonts w:ascii="Times New Roman" w:hAnsi="Times New Roman"/>
          <w:color w:val="000000" w:themeColor="text1"/>
          <w:sz w:val="16"/>
          <w:szCs w:val="16"/>
        </w:rPr>
        <w:softHyphen/>
        <w:t>него лонжерона центроплана с правой стороны (см. фото);</w:t>
      </w:r>
    </w:p>
    <w:p w14:paraId="014749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Проверка крепости разрушенного элемента по Роквеллу показала, что среднее разрушающее напряжение материал а для правой оси вблизи места разрушения не превышало 90 кг/мм2, и для левой - 85 кг/мм2. (см.приложение) вместо 150_± 10 кг/мм2, как было показано на чертеже.</w:t>
      </w:r>
    </w:p>
    <w:p w14:paraId="26D3C9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расчету при 100 Р.Р.Н. случая Ак напряжение в оси равно - 94 кг/мм2</w:t>
      </w:r>
    </w:p>
    <w:p w14:paraId="25D47C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сходимость данных расчета и стат. испы</w:t>
      </w:r>
      <w:r w:rsidRPr="00A3026E">
        <w:rPr>
          <w:rFonts w:ascii="Times New Roman" w:hAnsi="Times New Roman"/>
          <w:color w:val="000000" w:themeColor="text1"/>
          <w:sz w:val="16"/>
          <w:szCs w:val="16"/>
        </w:rPr>
        <w:softHyphen/>
        <w:t>таний хорошая. На летном экземпляре поставлена ось с закал</w:t>
      </w:r>
      <w:r w:rsidRPr="00A3026E">
        <w:rPr>
          <w:rFonts w:ascii="Times New Roman" w:hAnsi="Times New Roman"/>
          <w:color w:val="000000" w:themeColor="text1"/>
          <w:sz w:val="16"/>
          <w:szCs w:val="16"/>
        </w:rPr>
        <w:softHyphen/>
        <w:t>кой, согласно чертега 150 ±. ±0 кг/мм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p w14:paraId="63A892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Поэтому крыло летной машины удовлетворяет нормам проч</w:t>
      </w:r>
      <w:r w:rsidRPr="00A3026E">
        <w:rPr>
          <w:rFonts w:ascii="Times New Roman" w:hAnsi="Times New Roman"/>
          <w:color w:val="000000" w:themeColor="text1"/>
          <w:sz w:val="16"/>
          <w:szCs w:val="16"/>
        </w:rPr>
        <w:softHyphen/>
        <w:t>ности с учетом увеличения нагрузок на крыло на 13%.</w:t>
      </w:r>
    </w:p>
    <w:p w14:paraId="54F7AD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Моторама на ел. "Нму" была испытана до 67% Р.Р.Н. (без учета 10% увеличения веса). При этом никаких остаточ</w:t>
      </w:r>
      <w:r w:rsidRPr="00A3026E">
        <w:rPr>
          <w:rFonts w:ascii="Times New Roman" w:hAnsi="Times New Roman"/>
          <w:color w:val="000000" w:themeColor="text1"/>
          <w:sz w:val="16"/>
          <w:szCs w:val="16"/>
        </w:rPr>
        <w:softHyphen/>
        <w:t>ных деформаций не наблюдалось. Во время испытания была проведена тензометрия по всем стержням моторамы и в частное ти по верхним подкосам (см.приложение 3-е):</w:t>
      </w:r>
    </w:p>
    <w:p w14:paraId="3CD4DA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Тензометрия по сравнению с расчетом показала следую</w:t>
      </w:r>
      <w:r w:rsidRPr="00A3026E">
        <w:rPr>
          <w:rFonts w:ascii="Times New Roman" w:hAnsi="Times New Roman"/>
          <w:color w:val="000000" w:themeColor="text1"/>
          <w:sz w:val="16"/>
          <w:szCs w:val="16"/>
        </w:rPr>
        <w:softHyphen/>
        <w:t>щее (даны наибольшие напряжения): Напряжения и запасы прочности в верхних подкосах мотопрмы на сл. “Нму</w:t>
      </w:r>
      <w:r w:rsidRPr="00A3026E">
        <w:rPr>
          <w:rFonts w:ascii="Times New Roman" w:hAnsi="Times New Roman"/>
          <w:smallCaps/>
          <w:color w:val="000000" w:themeColor="text1"/>
          <w:sz w:val="16"/>
          <w:szCs w:val="16"/>
        </w:rPr>
        <w:t xml:space="preserve">" </w:t>
      </w:r>
      <w:r w:rsidRPr="00A3026E">
        <w:rPr>
          <w:rFonts w:ascii="Times New Roman" w:hAnsi="Times New Roman"/>
          <w:color w:val="000000" w:themeColor="text1"/>
          <w:sz w:val="16"/>
          <w:szCs w:val="16"/>
        </w:rPr>
        <w:t>по васчету и эксперименту.</w:t>
      </w:r>
    </w:p>
    <w:p w14:paraId="4CC514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этой таблицы видно, что запас прочности верхнего подкоса на наиболее опасный- случай (сл. Нму) составляет 1,4.</w:t>
      </w:r>
    </w:p>
    <w:p w14:paraId="3FAD71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1) 3 фотографии места разрушения оси шасси.</w:t>
      </w:r>
    </w:p>
    <w:p w14:paraId="7BDF05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Проверка по Роквеллу нижних поясов лонжеро</w:t>
      </w:r>
      <w:r w:rsidRPr="00A3026E">
        <w:rPr>
          <w:rFonts w:ascii="Times New Roman" w:hAnsi="Times New Roman"/>
          <w:color w:val="000000" w:themeColor="text1"/>
          <w:sz w:val="16"/>
          <w:szCs w:val="16"/>
        </w:rPr>
        <w:softHyphen/>
        <w:t>нов центроплана И-135 после стат. испытаний.</w:t>
      </w:r>
    </w:p>
    <w:p w14:paraId="35D3E0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Тензометрия верхних подкосов моторамы на сл. Нму + М (874,63).</w:t>
      </w:r>
    </w:p>
    <w:p w14:paraId="1C6AE6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C2937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 вышел приказ НКАП N 480с о том, что в результате войсковых испытаний УТ-3 производства завода 301 был выявлен ряд эксплуатационных и конструктивных дефектов. Во избежание выпуска заводом N 47 УТ-3, имеющих дефекты было предложено прекратить производство и построить новый эталон со сдачей на гос. испытания к 1 декабря и 15 декабря 1940 (280,68).</w:t>
      </w:r>
    </w:p>
    <w:p w14:paraId="64407F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проведенных войсковых испытаний самолетов УТ-3 производства завода № 301 выявлен ряд эксплоатационных и конструктивных дефектов. Во избежание выпуска заводом № 47 самолетов УТ-3, имеющих эти же дефекты ПРИКАЗЫВАЮ:</w:t>
      </w:r>
    </w:p>
    <w:p w14:paraId="196489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Директору завода № 47 тов. Скарандаеву:</w:t>
      </w:r>
    </w:p>
    <w:p w14:paraId="41039E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Прекратить производство задела по самолету УТ-3, доукомплектовав имеющийся задел по основным агрегатам до 20 машин.</w:t>
      </w:r>
    </w:p>
    <w:p w14:paraId="42F0D5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Ограничить выпуск самолетов УТ-3, строящихся по переработанным чертежам завода № 301, 8 машинами.</w:t>
      </w:r>
    </w:p>
    <w:p w14:paraId="2C4408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3. Приступить немедленно к созданию эталона УТ-3, в котором устранить все эксплоатационные и конструктивные дефекты самолета УТ-3, выявленные на государственных и войсковых испытаниях.</w:t>
      </w:r>
    </w:p>
    <w:p w14:paraId="4909DE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Эталон строить в вывозном варианте в двух экзем</w:t>
      </w:r>
      <w:r w:rsidRPr="00A3026E">
        <w:rPr>
          <w:rFonts w:ascii="Times New Roman" w:hAnsi="Times New Roman"/>
          <w:color w:val="000000" w:themeColor="text1"/>
          <w:sz w:val="16"/>
          <w:szCs w:val="16"/>
        </w:rPr>
        <w:softHyphen/>
        <w:t>плярах, в следующие сроки:</w:t>
      </w:r>
    </w:p>
    <w:p w14:paraId="1AAD5C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Сдача на гос.испытания</w:t>
      </w:r>
      <w:r w:rsidRPr="00A3026E">
        <w:rPr>
          <w:rFonts w:ascii="Times New Roman" w:hAnsi="Times New Roman"/>
          <w:color w:val="000000" w:themeColor="text1"/>
          <w:sz w:val="16"/>
          <w:szCs w:val="16"/>
        </w:rPr>
        <w:tab/>
        <w:t>1 экз. . 1.ХП.1940 года</w:t>
      </w:r>
    </w:p>
    <w:p w14:paraId="07BC37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экз. 15.ХП.1940 года.</w:t>
      </w:r>
    </w:p>
    <w:p w14:paraId="5AA5E3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Приступить немедленно к подготовке производства и к выпуску самолетов УТ-2.</w:t>
      </w:r>
    </w:p>
    <w:p w14:paraId="291950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Установить следующий выпуск самолётов УТ-2:</w:t>
      </w:r>
    </w:p>
    <w:p w14:paraId="4B3147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r w:rsidRPr="00A3026E">
        <w:rPr>
          <w:rFonts w:ascii="Times New Roman" w:hAnsi="Times New Roman"/>
          <w:color w:val="000000" w:themeColor="text1"/>
          <w:sz w:val="16"/>
          <w:szCs w:val="16"/>
        </w:rPr>
        <w:tab/>
        <w:t>4 квартал</w:t>
      </w:r>
      <w:r w:rsidRPr="00A3026E">
        <w:rPr>
          <w:rFonts w:ascii="Times New Roman" w:hAnsi="Times New Roman"/>
          <w:color w:val="000000" w:themeColor="text1"/>
          <w:sz w:val="16"/>
          <w:szCs w:val="16"/>
        </w:rPr>
        <w:tab/>
        <w:t>30 штук</w:t>
      </w:r>
    </w:p>
    <w:p w14:paraId="3C99FB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1941</w:t>
      </w:r>
      <w:r w:rsidRPr="00A3026E">
        <w:rPr>
          <w:rFonts w:ascii="Times New Roman" w:hAnsi="Times New Roman"/>
          <w:color w:val="000000" w:themeColor="text1"/>
          <w:sz w:val="16"/>
          <w:szCs w:val="16"/>
        </w:rPr>
        <w:tab/>
        <w:t>1 квартал</w:t>
      </w:r>
      <w:r w:rsidRPr="00A3026E">
        <w:rPr>
          <w:rFonts w:ascii="Times New Roman" w:hAnsi="Times New Roman"/>
          <w:color w:val="000000" w:themeColor="text1"/>
          <w:sz w:val="16"/>
          <w:szCs w:val="16"/>
        </w:rPr>
        <w:tab/>
        <w:t>100 штук (180,68).</w:t>
      </w:r>
    </w:p>
    <w:p w14:paraId="7A4B549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F878CC"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сентября 1940 Нач. НИИ ВВС Филин утвердил Отчет по повторным специальным летным испытаниям мотора М-105П производства завода № 26 на с-те СБ № 1/227 </w:t>
      </w:r>
    </w:p>
    <w:p w14:paraId="753F0B70"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проводились с 13 июня по 15 августа 1940</w:t>
      </w:r>
    </w:p>
    <w:p w14:paraId="0EA6C605"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F076AE2"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Специальные летные испытания М-105 на с-те СБ прекратить из-за дефектов, указанных в выводах.</w:t>
      </w:r>
    </w:p>
    <w:p w14:paraId="4A9C3B5D"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Мотор М-105 серии 015 с 75 час. ресурсом, как показавшие себя ненадежными в работе, в эксплуатации частей ВВС не допускать.</w:t>
      </w:r>
    </w:p>
    <w:p w14:paraId="669E41C3"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604DD404"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моторе № 015-22 с 75 часовым ресурсом произошло разрушение 6 и 7 коренных вкладышей коленвала после 46:51 часов работы</w:t>
      </w:r>
    </w:p>
    <w:p w14:paraId="24CB9929"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моторе № 025-29 прогорели 3 клапана выхлопа после 50:26 часов работы (этот дефект имел место и на войсковых испытаниях)</w:t>
      </w:r>
    </w:p>
    <w:p w14:paraId="31BF8F77"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моторе № 025-2 имели место 2 случая горения воздуха в карбюраторе 1-й серии, а после 30:34 поломка шпильки крепления подшипников распредвала, отказ в работе магнето БСМ-12 и т.д. (831).</w:t>
      </w:r>
    </w:p>
    <w:p w14:paraId="1CEF8C58"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p>
    <w:p w14:paraId="2CE7C3B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 года Начальник НИИ ВВС генерал-майор авиации Филин утвердить Отчет об испытаниях деформирующей окраски самолетов «СБ», «И-153» и «И-16» (6768).</w:t>
      </w:r>
    </w:p>
    <w:p w14:paraId="524C22B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4DDC9B2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инженер 5-го Отдела Штаба ВВС в/инженер 2 ранга Ясин</w:t>
      </w:r>
    </w:p>
    <w:p w14:paraId="2338E46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5-го Отдела НИИ ВВС Мицкевич</w:t>
      </w:r>
    </w:p>
    <w:p w14:paraId="589E6CC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13-го Отдела НИИ ВВС капитан Шашков</w:t>
      </w:r>
    </w:p>
    <w:p w14:paraId="50C0CF3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полевые испытания были проведены на аэродроме НИИ ВВС в период с 5 по 28 августа 1940 года.</w:t>
      </w:r>
    </w:p>
    <w:p w14:paraId="0FDA23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окраски самолетов применялись красочные смеси по рецептуре ВИАМ на казеиновом закрепителе, составленные по эталонам уточненных расцветок временных окрасок.</w:t>
      </w:r>
    </w:p>
    <w:p w14:paraId="3E8490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началом окрашивания на поверхность самолета наносился рисунок с соответствующего эскиза. Границы каждого пятна обозначались мелом или цветным карандашом.</w:t>
      </w:r>
    </w:p>
    <w:p w14:paraId="7EA3859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Рецептура эталонов для деформирующей окраски самолетов,</w:t>
      </w:r>
    </w:p>
    <w:p w14:paraId="6249067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специально изготовленная для испытания эффективности деформации</w:t>
      </w:r>
    </w:p>
    <w:p w14:paraId="2688D80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Серая № 4</w:t>
      </w:r>
    </w:p>
    <w:p w14:paraId="6AD40F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Мел отмученный – 69%</w:t>
      </w:r>
    </w:p>
    <w:p w14:paraId="646E4EE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Охра – 13,9%</w:t>
      </w:r>
    </w:p>
    <w:p w14:paraId="76D71A9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Железный сурик – 7%</w:t>
      </w:r>
    </w:p>
    <w:p w14:paraId="3523DE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Пиролюзит – 10,1%</w:t>
      </w:r>
    </w:p>
    <w:p w14:paraId="3C22B28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Зеленая № 6</w:t>
      </w:r>
    </w:p>
    <w:p w14:paraId="1A27751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Охра – 7,9%</w:t>
      </w:r>
    </w:p>
    <w:p w14:paraId="76C355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Железный сурик – 31,2%</w:t>
      </w:r>
    </w:p>
    <w:p w14:paraId="3EA6D80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Окись хрома –48,3%</w:t>
      </w:r>
    </w:p>
    <w:p w14:paraId="21B9EE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Оранжевый крон свинцовый – 12,6%</w:t>
      </w:r>
    </w:p>
    <w:p w14:paraId="74F768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Песочная № 8</w:t>
      </w:r>
    </w:p>
    <w:p w14:paraId="527A356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Мел отмученный – 19,0%</w:t>
      </w:r>
    </w:p>
    <w:p w14:paraId="355EF4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Охра – 35,7%</w:t>
      </w:r>
    </w:p>
    <w:p w14:paraId="16CD1A9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Пиролюзит – 3,1%</w:t>
      </w:r>
    </w:p>
    <w:p w14:paraId="5580BB9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Умбра жженая – 42,2%</w:t>
      </w:r>
    </w:p>
    <w:p w14:paraId="46A948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Коричнево-черная № 12</w:t>
      </w:r>
    </w:p>
    <w:p w14:paraId="67607BD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Железный сурик – 86,0%</w:t>
      </w:r>
    </w:p>
    <w:p w14:paraId="7B7C316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Желтый крон свинцовый – 2,0%</w:t>
      </w:r>
    </w:p>
    <w:p w14:paraId="6680737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Сажа – 6,0%</w:t>
      </w:r>
    </w:p>
    <w:p w14:paraId="68DA92D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Каолин – 6,0%</w:t>
      </w:r>
    </w:p>
    <w:p w14:paraId="2440308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Имитирующая 4БОа зеленая</w:t>
      </w:r>
    </w:p>
    <w:p w14:paraId="4D93610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Пиролюзит – 9,0%</w:t>
      </w:r>
    </w:p>
    <w:p w14:paraId="29FDE7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Окись хрома – 63,0%</w:t>
      </w:r>
    </w:p>
    <w:p w14:paraId="0CB2FF1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Оранжевый крон свинцовый – 18,0%</w:t>
      </w:r>
    </w:p>
    <w:p w14:paraId="49F0D7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Желтый крон свинцовый – 0,1%</w:t>
      </w:r>
    </w:p>
    <w:p w14:paraId="37916B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Сажа+каолин – добавка</w:t>
      </w:r>
    </w:p>
    <w:p w14:paraId="60CECD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Ультрамарин – 9,0%</w:t>
      </w:r>
    </w:p>
    <w:p w14:paraId="78A8E8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Имитирующая 4БОв зеленая</w:t>
      </w:r>
    </w:p>
    <w:p w14:paraId="02DD620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Охра – 60,0%</w:t>
      </w:r>
    </w:p>
    <w:p w14:paraId="020650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Железный сурик – 3,0%</w:t>
      </w:r>
    </w:p>
    <w:p w14:paraId="4753D38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Окись хрома – 30,0%</w:t>
      </w:r>
    </w:p>
    <w:p w14:paraId="75E6B8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Оранжевый крон свинцовый – 7,0%</w:t>
      </w:r>
    </w:p>
    <w:p w14:paraId="2F3B56D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Сажа+каолин – добавка</w:t>
      </w:r>
    </w:p>
    <w:p w14:paraId="127F89F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Темно-зеленая № 1</w:t>
      </w:r>
    </w:p>
    <w:p w14:paraId="41DBA4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Железный сурик – 36,8%</w:t>
      </w:r>
    </w:p>
    <w:p w14:paraId="2242234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Окись хрома – 59,0%</w:t>
      </w:r>
    </w:p>
    <w:p w14:paraId="5E4F58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Оранжевый крон свинцовый – 4,2%</w:t>
      </w:r>
    </w:p>
    <w:p w14:paraId="24FA18D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Сажа+каолин – добавка</w:t>
      </w:r>
    </w:p>
    <w:p w14:paraId="2998F9A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Черная</w:t>
      </w:r>
    </w:p>
    <w:p w14:paraId="6CAD6E6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Сажа – 50,0%</w:t>
      </w:r>
    </w:p>
    <w:p w14:paraId="54723CB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Каолин – 50,0%</w:t>
      </w:r>
    </w:p>
    <w:p w14:paraId="3D91034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7F38058C"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рекомендовать взамен одноцветного окрашивания деформирующие окраски верхних и боковых поверхностей самолетов по приложенным в отчете эскизам, приняв для этого уточненные цвета, приведенные в выводах:</w:t>
      </w:r>
    </w:p>
    <w:p w14:paraId="2339B9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Грязно-песочный, серый с желтым оттенком, желтый, зеленый с желтым оттенком, темно-зеленый, черный.</w:t>
      </w:r>
    </w:p>
    <w:p w14:paraId="789333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Цвета зеленый (4Б-О), желтый и темно-зеленый должны быть недешифруемыми.</w:t>
      </w:r>
    </w:p>
    <w:p w14:paraId="4226B434"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Деформирующая окраска самолетов должна быть постоянной, заводской.</w:t>
      </w:r>
    </w:p>
    <w:p w14:paraId="61DC0FEC"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Поставить вопрос перед Наркоматом авиапромышленности о необходимости:</w:t>
      </w:r>
    </w:p>
    <w:p w14:paraId="525BB3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перехода заводов на выпуск самолетов с деформирующей окраской верхних и боковых поверхностей и светло-серой окраской нижних поверхностей с 15-го декабря 1940 года;</w:t>
      </w:r>
    </w:p>
    <w:p w14:paraId="22F62C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б) перехода на окраску винтов в цвета 4БО.</w:t>
      </w:r>
    </w:p>
    <w:p w14:paraId="590A92B8"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ранее выпущенные самолеты должны быть окрашены в частях недешефрируемой краской цвета 4Б-О, которая и явится основой для нанесения временной деформирующей окраски.</w:t>
      </w:r>
    </w:p>
    <w:p w14:paraId="05AB6FCB"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уничтожения демаскирующего блеска, остекленные кабины самолетов при нахождении на земле необходимо чехлить (6768).</w:t>
      </w:r>
    </w:p>
    <w:p w14:paraId="1CEC7526"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p>
    <w:p w14:paraId="3656E1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 Коллегия НКАП рассматривала вопрос (прот. 22) "О проекте типового маневренного самолетостроительного завода" (1002,3).</w:t>
      </w:r>
    </w:p>
    <w:p w14:paraId="3E0F725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1A336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 состоялось заседание 22 коллегии НКАП (1162):</w:t>
      </w:r>
    </w:p>
    <w:p w14:paraId="1D734D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 плане кап. строительства НКАП на 4 кв. 1940 (нач. ГУКС А.В.Кац) (1162);</w:t>
      </w:r>
    </w:p>
    <w:p w14:paraId="6B75C1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 проекте типового маневренного самолетостроительного завода (зам. ГИ 1 ГПИ М.О.Казинич) (1162).</w:t>
      </w:r>
    </w:p>
    <w:p w14:paraId="1F84859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A054F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сентября 1940 директор завода № 124 М.М.Каганович подготовил справку Старшему контролеру Комитета Обороны при снк </w:t>
      </w:r>
      <w:r w:rsidRPr="00A3026E">
        <w:rPr>
          <w:rFonts w:ascii="Times New Roman" w:hAnsi="Times New Roman"/>
          <w:smallCaps/>
          <w:color w:val="000000" w:themeColor="text1"/>
          <w:sz w:val="16"/>
          <w:szCs w:val="16"/>
        </w:rPr>
        <w:t>ссср тов. Токмачеву (письмо № 1229)</w:t>
      </w:r>
    </w:p>
    <w:p w14:paraId="78B514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 Р А В К А</w:t>
      </w:r>
    </w:p>
    <w:p w14:paraId="55E19B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строительстве завода № 124 им. С.Орджоникидзе</w:t>
      </w:r>
    </w:p>
    <w:p w14:paraId="4B19F4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Завод начат строительством на основании постановления Правительства. Запроектирован он Гипроавиа на основании решений ПТЭС ГУАПа (10.06.32 г. № 187/13172/к-14, № 1051/48483 и № 1059/48483). Строительство начато в 1932 году в гор. Казани.</w:t>
      </w:r>
    </w:p>
    <w:p w14:paraId="3DCF32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Площади под строительство отведены постановлением СНК АТССР (1932 г.)</w:t>
      </w:r>
    </w:p>
    <w:p w14:paraId="50DFC6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Первоначальная мощность завода определялась следующими цифрами:</w:t>
      </w:r>
    </w:p>
    <w:p w14:paraId="33C9DB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самолетостроительный завод № 124 с программой выпуска машин типа:</w:t>
      </w:r>
    </w:p>
    <w:p w14:paraId="6202A8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ТБ-4 - 600 штук в год</w:t>
      </w:r>
    </w:p>
    <w:p w14:paraId="1B00A2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ТБ-6 - 200</w:t>
      </w:r>
    </w:p>
    <w:p w14:paraId="026E23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или по принятому Авиапромом эквиваленту по машине ТБ-3 - 2400 машин в год</w:t>
      </w:r>
    </w:p>
    <w:p w14:paraId="565AEF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Моторостроительный завод - 25000 моторов в год</w:t>
      </w:r>
    </w:p>
    <w:p w14:paraId="79A4AF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ТЭЦ мощностью 150000 КВт</w:t>
      </w:r>
    </w:p>
    <w:p w14:paraId="3DFE98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Жилстроительство - на 350 тыс. жителей</w:t>
      </w:r>
    </w:p>
    <w:p w14:paraId="6B2C57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водозабор</w:t>
      </w:r>
    </w:p>
    <w:p w14:paraId="1F2FAC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1935 году, утвержденным ГУАП проектом (5-10/1-35 г.) мощность была установлена:</w:t>
      </w:r>
    </w:p>
    <w:p w14:paraId="03015F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самолетостроению - 1000 машин в год (типа ТБ-3)</w:t>
      </w:r>
    </w:p>
    <w:p w14:paraId="66C1BF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моторостроению - 10000 моторов</w:t>
      </w:r>
    </w:p>
    <w:p w14:paraId="31E251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 ТЭЦ - 50000 КВт</w:t>
      </w:r>
    </w:p>
    <w:p w14:paraId="524FE3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жилье - 30000</w:t>
      </w:r>
    </w:p>
    <w:p w14:paraId="5DD248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1937 году программа завода была установлена проектом в соответствии с решением ГУАПа от 27 декабря 1936 г. (проект утвержден наркомом АП тов. М.М.К. 14.05 1938 следующая:</w:t>
      </w:r>
    </w:p>
    <w:p w14:paraId="672E1E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выпуск самолетов</w:t>
      </w:r>
      <w:r w:rsidRPr="00A3026E">
        <w:rPr>
          <w:rFonts w:ascii="Times New Roman" w:hAnsi="Times New Roman"/>
          <w:color w:val="000000" w:themeColor="text1"/>
          <w:sz w:val="16"/>
          <w:szCs w:val="16"/>
        </w:rPr>
        <w:tab/>
        <w:t>типа ЦАГИ-42 - 500 шт.</w:t>
      </w:r>
    </w:p>
    <w:p w14:paraId="6F5405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типа Вулти - 4800 шт.</w:t>
      </w:r>
    </w:p>
    <w:p w14:paraId="0559C3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выпуск моторов</w:t>
      </w:r>
      <w:r w:rsidRPr="00A3026E">
        <w:rPr>
          <w:rFonts w:ascii="Times New Roman" w:hAnsi="Times New Roman"/>
          <w:color w:val="000000" w:themeColor="text1"/>
          <w:sz w:val="16"/>
          <w:szCs w:val="16"/>
        </w:rPr>
        <w:tab/>
        <w:t>типа М-25 - 8000</w:t>
      </w:r>
    </w:p>
    <w:p w14:paraId="5FB218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типа двойной звезды воздушного охлаждения - 4000 моторов</w:t>
      </w:r>
    </w:p>
    <w:p w14:paraId="4E5F14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мощность ТЭЦ - 100000 КВт</w:t>
      </w:r>
    </w:p>
    <w:p w14:paraId="309D11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жилье на 50000</w:t>
      </w:r>
    </w:p>
    <w:p w14:paraId="14BBBD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в соответствии с решением 18 съезда ВПК(б) мощность ТЭЦ предложено ограничить 50000 КВт</w:t>
      </w:r>
    </w:p>
    <w:p w14:paraId="016DB5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1939 г. самолетостроительный и моторостроительныйзаводы выделены в самостоятельные единицы. Уточнение генплана завода и просчет мощности завода производятся в связи с этим в настоящее время.</w:t>
      </w:r>
    </w:p>
    <w:p w14:paraId="68DC6A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Установленные сроки окончания строительства</w:t>
      </w:r>
    </w:p>
    <w:p w14:paraId="6AF53C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первому заданию:</w:t>
      </w:r>
    </w:p>
    <w:p w14:paraId="5D153A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1-я очередь завода 1200 машин типа ТБ-3 к 1 июля 1933</w:t>
      </w:r>
    </w:p>
    <w:p w14:paraId="1273B1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2-я очередь завода на 1200 к 1 июля 1934</w:t>
      </w:r>
    </w:p>
    <w:p w14:paraId="7B6D4E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1935 в связи с изменением проекта окончание строительства было установлено ГУАПом по самолетному и моторному заводам к 1 января 1938 г.</w:t>
      </w:r>
    </w:p>
    <w:p w14:paraId="2B6A28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срок окончания строительства завода определен СНК ССР 1 июля 1942</w:t>
      </w:r>
    </w:p>
    <w:p w14:paraId="228F25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Изготовление техдокументации и фактическое положение с ней характеризуется прилагаемой таблицей (приложение 1).</w:t>
      </w:r>
    </w:p>
    <w:p w14:paraId="68933B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этом следует отметить следующее: По первому титульному списку 1940 обеспеченность техдокументацией была почти полная. Крупнейшей из этих работ является проект 2-й очереди ТЭЦ в настоящее время разрабатывающийся.</w:t>
      </w:r>
    </w:p>
    <w:p w14:paraId="7366D7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новому титульному списку 1940 г. (утвержден в июле 1940) завод не имел проекта аэродрома и водовода чистой воды, первый заканчивается, второй - закончен разработкой.</w:t>
      </w:r>
    </w:p>
    <w:p w14:paraId="4B5462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Крупной работой является также пересоставление смет на объекты и работы, перешедшие на 1940 год по вновь утвержденным в этом году единичным расценкам. Сейчас эта работа подходит к концу.</w:t>
      </w:r>
    </w:p>
    <w:p w14:paraId="7F4A97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 сентября с.г. объекты титульного списка 1940 г. (июльский вариант) не обеспечены проектами: склад млобзапасов 9100 тыс. руб.), кухня охраны (100 тыс. руб.), проходные (20 тыс. руб.), караульное помещение и штаб охраны (206 тыс. руб.), дача (35 тыс руб.).</w:t>
      </w:r>
    </w:p>
    <w:p w14:paraId="6B91D1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на сумму 464 тыс. руб. Первоначальные работы по аэродрому к настоящему времени проектом обеспечены.</w:t>
      </w:r>
    </w:p>
    <w:p w14:paraId="541CE8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заводу к настоящему времени проектом также обеспечены.</w:t>
      </w:r>
    </w:p>
    <w:p w14:paraId="741D65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Корректировка генплана завода, в связи с выделением завода 27, ГПИ-1 не закончена.</w:t>
      </w:r>
    </w:p>
    <w:p w14:paraId="26D0D6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утвержденному генплану имеются проекты 69 объектов.</w:t>
      </w:r>
    </w:p>
    <w:p w14:paraId="34BE5C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корректируемому генплану нет проектов на 11 объектов.</w:t>
      </w:r>
    </w:p>
    <w:p w14:paraId="0601AC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уточнением и изменением утвержденного генплана потребуется изменения на 36 объектов, остаются без изменения проекты на 44 объекта.</w:t>
      </w:r>
    </w:p>
    <w:p w14:paraId="094B2C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Выполнение планов капстроительства по годам: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983732" w:rsidRPr="00A3026E" w14:paraId="72D6A3AA" w14:textId="77777777" w:rsidTr="00EA0DA7">
        <w:tc>
          <w:tcPr>
            <w:tcW w:w="2817" w:type="dxa"/>
            <w:tcBorders>
              <w:top w:val="single" w:sz="12" w:space="0" w:color="auto"/>
            </w:tcBorders>
          </w:tcPr>
          <w:p w14:paraId="23FB57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Год</w:t>
            </w:r>
          </w:p>
        </w:tc>
        <w:tc>
          <w:tcPr>
            <w:tcW w:w="2817" w:type="dxa"/>
            <w:tcBorders>
              <w:top w:val="single" w:sz="12" w:space="0" w:color="auto"/>
            </w:tcBorders>
          </w:tcPr>
          <w:p w14:paraId="7C6637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(тыс. руб.)</w:t>
            </w:r>
          </w:p>
        </w:tc>
        <w:tc>
          <w:tcPr>
            <w:tcW w:w="2817" w:type="dxa"/>
            <w:tcBorders>
              <w:top w:val="single" w:sz="12" w:space="0" w:color="auto"/>
            </w:tcBorders>
          </w:tcPr>
          <w:p w14:paraId="787422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 (тыс. руб.)</w:t>
            </w:r>
          </w:p>
        </w:tc>
        <w:tc>
          <w:tcPr>
            <w:tcW w:w="2817" w:type="dxa"/>
            <w:tcBorders>
              <w:top w:val="single" w:sz="12" w:space="0" w:color="auto"/>
            </w:tcBorders>
          </w:tcPr>
          <w:p w14:paraId="1A4C0E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выполнения</w:t>
            </w:r>
          </w:p>
        </w:tc>
      </w:tr>
      <w:tr w:rsidR="00983732" w:rsidRPr="00A3026E" w14:paraId="67418DD1" w14:textId="77777777" w:rsidTr="00EA0DA7">
        <w:tc>
          <w:tcPr>
            <w:tcW w:w="2817" w:type="dxa"/>
          </w:tcPr>
          <w:p w14:paraId="2F51A1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1932-36</w:t>
            </w:r>
          </w:p>
        </w:tc>
        <w:tc>
          <w:tcPr>
            <w:tcW w:w="2817" w:type="dxa"/>
          </w:tcPr>
          <w:p w14:paraId="69A5DA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167528</w:t>
            </w:r>
          </w:p>
        </w:tc>
        <w:tc>
          <w:tcPr>
            <w:tcW w:w="2817" w:type="dxa"/>
          </w:tcPr>
          <w:p w14:paraId="1AB168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138945</w:t>
            </w:r>
          </w:p>
        </w:tc>
        <w:tc>
          <w:tcPr>
            <w:tcW w:w="2817" w:type="dxa"/>
          </w:tcPr>
          <w:p w14:paraId="230739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82,9</w:t>
            </w:r>
          </w:p>
        </w:tc>
      </w:tr>
      <w:tr w:rsidR="00983732" w:rsidRPr="00A3026E" w14:paraId="4D6DA907" w14:textId="77777777" w:rsidTr="00EA0DA7">
        <w:tc>
          <w:tcPr>
            <w:tcW w:w="2817" w:type="dxa"/>
          </w:tcPr>
          <w:p w14:paraId="58EA80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1937</w:t>
            </w:r>
          </w:p>
        </w:tc>
        <w:tc>
          <w:tcPr>
            <w:tcW w:w="2817" w:type="dxa"/>
          </w:tcPr>
          <w:p w14:paraId="373ED5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59076</w:t>
            </w:r>
          </w:p>
        </w:tc>
        <w:tc>
          <w:tcPr>
            <w:tcW w:w="2817" w:type="dxa"/>
          </w:tcPr>
          <w:p w14:paraId="009CEE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51281</w:t>
            </w:r>
          </w:p>
        </w:tc>
        <w:tc>
          <w:tcPr>
            <w:tcW w:w="2817" w:type="dxa"/>
          </w:tcPr>
          <w:p w14:paraId="1F885D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86,9</w:t>
            </w:r>
          </w:p>
        </w:tc>
      </w:tr>
      <w:tr w:rsidR="00983732" w:rsidRPr="00A3026E" w14:paraId="079618C5" w14:textId="77777777" w:rsidTr="00EA0DA7">
        <w:tc>
          <w:tcPr>
            <w:tcW w:w="2817" w:type="dxa"/>
          </w:tcPr>
          <w:p w14:paraId="02FA5B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w:t>
            </w:r>
          </w:p>
        </w:tc>
        <w:tc>
          <w:tcPr>
            <w:tcW w:w="2817" w:type="dxa"/>
          </w:tcPr>
          <w:p w14:paraId="59A493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91126</w:t>
            </w:r>
          </w:p>
        </w:tc>
        <w:tc>
          <w:tcPr>
            <w:tcW w:w="2817" w:type="dxa"/>
          </w:tcPr>
          <w:p w14:paraId="19C3DB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44832</w:t>
            </w:r>
          </w:p>
        </w:tc>
        <w:tc>
          <w:tcPr>
            <w:tcW w:w="2817" w:type="dxa"/>
          </w:tcPr>
          <w:p w14:paraId="09D33B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49,2</w:t>
            </w:r>
          </w:p>
        </w:tc>
      </w:tr>
      <w:tr w:rsidR="00983732" w:rsidRPr="00A3026E" w14:paraId="0852EEE1" w14:textId="77777777" w:rsidTr="00EA0DA7">
        <w:tc>
          <w:tcPr>
            <w:tcW w:w="2817" w:type="dxa"/>
          </w:tcPr>
          <w:p w14:paraId="2440E8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2817" w:type="dxa"/>
          </w:tcPr>
          <w:p w14:paraId="691E93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30240</w:t>
            </w:r>
          </w:p>
        </w:tc>
        <w:tc>
          <w:tcPr>
            <w:tcW w:w="2817" w:type="dxa"/>
          </w:tcPr>
          <w:p w14:paraId="5513F2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35277</w:t>
            </w:r>
          </w:p>
        </w:tc>
        <w:tc>
          <w:tcPr>
            <w:tcW w:w="2817" w:type="dxa"/>
          </w:tcPr>
          <w:p w14:paraId="793F31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116,6</w:t>
            </w:r>
          </w:p>
        </w:tc>
      </w:tr>
      <w:tr w:rsidR="00983732" w:rsidRPr="00A3026E" w14:paraId="2B40930D" w14:textId="77777777" w:rsidTr="00EA0DA7">
        <w:tc>
          <w:tcPr>
            <w:tcW w:w="2817" w:type="dxa"/>
          </w:tcPr>
          <w:p w14:paraId="70A2DF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2817" w:type="dxa"/>
          </w:tcPr>
          <w:p w14:paraId="335650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347970</w:t>
            </w:r>
          </w:p>
        </w:tc>
        <w:tc>
          <w:tcPr>
            <w:tcW w:w="2817" w:type="dxa"/>
          </w:tcPr>
          <w:p w14:paraId="115267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270336</w:t>
            </w:r>
          </w:p>
        </w:tc>
        <w:tc>
          <w:tcPr>
            <w:tcW w:w="2817" w:type="dxa"/>
          </w:tcPr>
          <w:p w14:paraId="215093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77,7</w:t>
            </w:r>
          </w:p>
        </w:tc>
      </w:tr>
      <w:tr w:rsidR="00983732" w:rsidRPr="00A3026E" w14:paraId="6316B0CE" w14:textId="77777777" w:rsidTr="00EA0DA7">
        <w:tc>
          <w:tcPr>
            <w:tcW w:w="2817" w:type="dxa"/>
            <w:tcBorders>
              <w:bottom w:val="single" w:sz="12" w:space="0" w:color="auto"/>
            </w:tcBorders>
          </w:tcPr>
          <w:p w14:paraId="675627F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817" w:type="dxa"/>
            <w:tcBorders>
              <w:bottom w:val="single" w:sz="12" w:space="0" w:color="auto"/>
            </w:tcBorders>
          </w:tcPr>
          <w:p w14:paraId="6F47610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817" w:type="dxa"/>
            <w:tcBorders>
              <w:bottom w:val="single" w:sz="12" w:space="0" w:color="auto"/>
            </w:tcBorders>
          </w:tcPr>
          <w:p w14:paraId="20623BE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817" w:type="dxa"/>
            <w:tcBorders>
              <w:bottom w:val="single" w:sz="12" w:space="0" w:color="auto"/>
            </w:tcBorders>
          </w:tcPr>
          <w:p w14:paraId="73A02E2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7889C2BF"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smallCaps/>
          <w:color w:val="000000" w:themeColor="text1"/>
          <w:sz w:val="16"/>
          <w:szCs w:val="16"/>
        </w:rPr>
        <w:t>....(10504,79).</w:t>
      </w:r>
    </w:p>
    <w:p w14:paraId="58011983"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3D3CA7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 утром самолет МиГ улетел из НИП АВ в НИИ ВВС. Монтаж РО и стрельба РС-82 производились при консультации специалистов от НИП АВ, кроме того НИП АВ выдал для стрельбы, РС-82 с новыми штифтами, так как доставленные НИИ ВВС РС-82 оказались со старыми штифтами. При испытании все время оказывалась необходимая помощь (7712, 402).</w:t>
      </w:r>
    </w:p>
    <w:p w14:paraId="5AFE75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EE637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 года по заводу № 47 в соответствии с приказом Наркома № 480 сс была установлена новая программа сдачи самолетов – количество УТ-2 увеличивалось со 110 до 140, а количество УТ-3 снижалось до 8 (РГАЭ. Ф. 8044. Оп. 1. Д. 411. Л. 182.) (11672).</w:t>
      </w:r>
    </w:p>
    <w:p w14:paraId="10DDBD0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1137E93" w14:textId="77777777" w:rsidR="004905AC" w:rsidRPr="00A3026E" w:rsidRDefault="004905A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сентября 1940 вышел приказ НКАП №</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480с по результатам войсковых испытаний</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УТ-3 производства завода № 301. Посколь</w:t>
      </w:r>
      <w:r w:rsidRPr="00A3026E">
        <w:rPr>
          <w:rFonts w:ascii="Times New Roman" w:hAnsi="Times New Roman"/>
          <w:color w:val="0070C0"/>
          <w:sz w:val="16"/>
          <w:szCs w:val="16"/>
        </w:rPr>
        <w:softHyphen/>
        <w:t>ку был выявлен ряд эксплуатационных и</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конструктивных дефектов, во избежание</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выпуска заводом № 47 УТ-3, имеющих</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дефекты, было предложено прекратить</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производство. Аукнулся запуск в про</w:t>
      </w:r>
      <w:r w:rsidRPr="00A3026E">
        <w:rPr>
          <w:rFonts w:ascii="Times New Roman" w:hAnsi="Times New Roman"/>
          <w:color w:val="0070C0"/>
          <w:sz w:val="16"/>
          <w:szCs w:val="16"/>
        </w:rPr>
        <w:softHyphen/>
        <w:t>изводство машины с кульманов, не прошед</w:t>
      </w:r>
      <w:r w:rsidRPr="00A3026E">
        <w:rPr>
          <w:rFonts w:ascii="Times New Roman" w:hAnsi="Times New Roman"/>
          <w:color w:val="0070C0"/>
          <w:sz w:val="16"/>
          <w:szCs w:val="16"/>
        </w:rPr>
        <w:softHyphen/>
        <w:t>шей никаких испытаний. Текст приказа гла</w:t>
      </w:r>
      <w:r w:rsidRPr="00A3026E">
        <w:rPr>
          <w:rFonts w:ascii="Times New Roman" w:hAnsi="Times New Roman"/>
          <w:color w:val="0070C0"/>
          <w:sz w:val="16"/>
          <w:szCs w:val="16"/>
        </w:rPr>
        <w:softHyphen/>
        <w:t>сил:</w:t>
      </w:r>
      <w:r w:rsidRPr="00A3026E">
        <w:rPr>
          <w:rStyle w:val="aff6"/>
          <w:rFonts w:ascii="Times New Roman" w:hAnsi="Times New Roman" w:cs="Times New Roman"/>
          <w:i w:val="0"/>
          <w:iCs w:val="0"/>
          <w:color w:val="0070C0"/>
        </w:rPr>
        <w:t xml:space="preserve"> «В результате проведенных войско</w:t>
      </w:r>
      <w:r w:rsidRPr="00A3026E">
        <w:rPr>
          <w:rStyle w:val="aff6"/>
          <w:rFonts w:ascii="Times New Roman" w:hAnsi="Times New Roman" w:cs="Times New Roman"/>
          <w:i w:val="0"/>
          <w:iCs w:val="0"/>
          <w:color w:val="0070C0"/>
        </w:rPr>
        <w:softHyphen/>
        <w:t xml:space="preserve">вых испытаний самолетов УТ-3 </w:t>
      </w:r>
      <w:r w:rsidRPr="00A3026E">
        <w:rPr>
          <w:rStyle w:val="aff6"/>
          <w:rFonts w:ascii="Times New Roman" w:hAnsi="Times New Roman" w:cs="Times New Roman"/>
          <w:i w:val="0"/>
          <w:iCs w:val="0"/>
          <w:color w:val="0070C0"/>
        </w:rPr>
        <w:lastRenderedPageBreak/>
        <w:t>производ</w:t>
      </w:r>
      <w:r w:rsidRPr="00A3026E">
        <w:rPr>
          <w:rStyle w:val="aff6"/>
          <w:rFonts w:ascii="Times New Roman" w:hAnsi="Times New Roman" w:cs="Times New Roman"/>
          <w:i w:val="0"/>
          <w:iCs w:val="0"/>
          <w:color w:val="0070C0"/>
        </w:rPr>
        <w:softHyphen/>
        <w:t>ства завода № 301 выявлен ряд эксплоатационных и конструктивных дефектов. Во</w:t>
      </w:r>
      <w:r w:rsidRPr="00A3026E">
        <w:rPr>
          <w:rStyle w:val="aff6"/>
          <w:rFonts w:ascii="Times New Roman" w:hAnsi="Times New Roman" w:cs="Times New Roman"/>
          <w:i w:val="0"/>
          <w:iCs w:val="0"/>
          <w:color w:val="0070C0"/>
          <w:lang w:val="ru"/>
        </w:rPr>
        <w:t xml:space="preserve"> </w:t>
      </w:r>
      <w:r w:rsidRPr="00A3026E">
        <w:rPr>
          <w:rStyle w:val="aff6"/>
          <w:rFonts w:ascii="Times New Roman" w:hAnsi="Times New Roman" w:cs="Times New Roman"/>
          <w:i w:val="0"/>
          <w:iCs w:val="0"/>
          <w:color w:val="0070C0"/>
        </w:rPr>
        <w:t>избежание выпуска заводом № 47 самоле</w:t>
      </w:r>
      <w:r w:rsidRPr="00A3026E">
        <w:rPr>
          <w:rStyle w:val="aff6"/>
          <w:rFonts w:ascii="Times New Roman" w:hAnsi="Times New Roman" w:cs="Times New Roman"/>
          <w:i w:val="0"/>
          <w:iCs w:val="0"/>
          <w:color w:val="0070C0"/>
        </w:rPr>
        <w:softHyphen/>
        <w:t>тов УТ-3, имеющих эти же дефекты ПРИ</w:t>
      </w:r>
      <w:r w:rsidRPr="00A3026E">
        <w:rPr>
          <w:rStyle w:val="aff6"/>
          <w:rFonts w:ascii="Times New Roman" w:hAnsi="Times New Roman" w:cs="Times New Roman"/>
          <w:i w:val="0"/>
          <w:iCs w:val="0"/>
          <w:color w:val="0070C0"/>
        </w:rPr>
        <w:softHyphen/>
        <w:t>КАЗЫВАЮ: Директору завода № 47 тов.</w:t>
      </w:r>
      <w:r w:rsidRPr="00A3026E">
        <w:rPr>
          <w:rStyle w:val="aff6"/>
          <w:rFonts w:ascii="Times New Roman" w:hAnsi="Times New Roman" w:cs="Times New Roman"/>
          <w:i w:val="0"/>
          <w:iCs w:val="0"/>
          <w:color w:val="0070C0"/>
          <w:lang w:val="ru"/>
        </w:rPr>
        <w:t xml:space="preserve"> </w:t>
      </w:r>
      <w:r w:rsidRPr="00A3026E">
        <w:rPr>
          <w:rStyle w:val="aff6"/>
          <w:rFonts w:ascii="Times New Roman" w:hAnsi="Times New Roman" w:cs="Times New Roman"/>
          <w:i w:val="0"/>
          <w:iCs w:val="0"/>
          <w:color w:val="0070C0"/>
        </w:rPr>
        <w:t>Скарандаеву:</w:t>
      </w:r>
    </w:p>
    <w:p w14:paraId="03EB89B9" w14:textId="77777777" w:rsidR="004905AC" w:rsidRPr="00A3026E" w:rsidRDefault="004905A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Прекратить производство задела по</w:t>
      </w:r>
      <w:r w:rsidRPr="00A3026E">
        <w:rPr>
          <w:rStyle w:val="451"/>
          <w:rFonts w:ascii="Times New Roman" w:hAnsi="Times New Roman" w:cs="Times New Roman"/>
          <w:color w:val="0070C0"/>
          <w:spacing w:val="0"/>
          <w:sz w:val="16"/>
          <w:szCs w:val="16"/>
          <w:lang w:val="ru"/>
        </w:rPr>
        <w:t xml:space="preserve"> </w:t>
      </w:r>
      <w:r w:rsidRPr="00A3026E">
        <w:rPr>
          <w:rFonts w:ascii="Times New Roman" w:hAnsi="Times New Roman"/>
          <w:color w:val="0070C0"/>
          <w:sz w:val="16"/>
          <w:szCs w:val="16"/>
        </w:rPr>
        <w:t>самолету УТ-3, доукомплектовав имеющийся</w:t>
      </w:r>
      <w:r w:rsidRPr="00A3026E">
        <w:rPr>
          <w:rStyle w:val="451"/>
          <w:rFonts w:ascii="Times New Roman" w:hAnsi="Times New Roman" w:cs="Times New Roman"/>
          <w:color w:val="0070C0"/>
          <w:spacing w:val="0"/>
          <w:sz w:val="16"/>
          <w:szCs w:val="16"/>
          <w:lang w:val="ru"/>
        </w:rPr>
        <w:t xml:space="preserve"> </w:t>
      </w:r>
      <w:r w:rsidRPr="00A3026E">
        <w:rPr>
          <w:rFonts w:ascii="Times New Roman" w:hAnsi="Times New Roman"/>
          <w:color w:val="0070C0"/>
          <w:sz w:val="16"/>
          <w:szCs w:val="16"/>
        </w:rPr>
        <w:t>задел по основным агрегатам до 20 машин.</w:t>
      </w:r>
    </w:p>
    <w:p w14:paraId="7E0F3A25" w14:textId="77777777" w:rsidR="004905AC" w:rsidRPr="00A3026E" w:rsidRDefault="004905A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Ограничить выпуск самолетов УТ-3,</w:t>
      </w:r>
      <w:r w:rsidRPr="00A3026E">
        <w:rPr>
          <w:rStyle w:val="451"/>
          <w:rFonts w:ascii="Times New Roman" w:hAnsi="Times New Roman" w:cs="Times New Roman"/>
          <w:color w:val="0070C0"/>
          <w:spacing w:val="0"/>
          <w:sz w:val="16"/>
          <w:szCs w:val="16"/>
          <w:lang w:val="ru"/>
        </w:rPr>
        <w:t xml:space="preserve"> </w:t>
      </w:r>
      <w:r w:rsidRPr="00A3026E">
        <w:rPr>
          <w:rFonts w:ascii="Times New Roman" w:hAnsi="Times New Roman"/>
          <w:color w:val="0070C0"/>
          <w:sz w:val="16"/>
          <w:szCs w:val="16"/>
        </w:rPr>
        <w:t>строящихся по переработанным чертежам</w:t>
      </w:r>
      <w:r w:rsidRPr="00A3026E">
        <w:rPr>
          <w:rStyle w:val="451"/>
          <w:rFonts w:ascii="Times New Roman" w:hAnsi="Times New Roman" w:cs="Times New Roman"/>
          <w:color w:val="0070C0"/>
          <w:spacing w:val="0"/>
          <w:sz w:val="16"/>
          <w:szCs w:val="16"/>
          <w:lang w:val="ru"/>
        </w:rPr>
        <w:t xml:space="preserve"> </w:t>
      </w:r>
      <w:r w:rsidRPr="00A3026E">
        <w:rPr>
          <w:rFonts w:ascii="Times New Roman" w:hAnsi="Times New Roman"/>
          <w:color w:val="0070C0"/>
          <w:sz w:val="16"/>
          <w:szCs w:val="16"/>
        </w:rPr>
        <w:t>завода № 301,8 машинами».</w:t>
      </w:r>
    </w:p>
    <w:p w14:paraId="2936A9A2" w14:textId="77777777" w:rsidR="004905AC" w:rsidRPr="00A3026E" w:rsidRDefault="004905AC"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деле, выпуск самолетов ограничился</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всего одной или двумя машинами. Шесть УТ-3</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были сняты с производства примерно в 60%</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готовности. Задел доукомплектовали только</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для сборки 10 самолетов. Наличие этого</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задела во многом определило облик нового</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«Эталона 41-го года».</w:t>
      </w:r>
    </w:p>
    <w:p w14:paraId="31167FFF" w14:textId="77777777" w:rsidR="004905AC" w:rsidRPr="00A3026E" w:rsidRDefault="004905AC"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Приказ НКАП № 480с, поступивший по результатам войсковых испытаний УТ-3 завода № 301, помимо ука</w:t>
      </w:r>
      <w:r w:rsidRPr="00A3026E">
        <w:rPr>
          <w:rFonts w:ascii="Times New Roman" w:hAnsi="Times New Roman"/>
          <w:color w:val="0070C0"/>
          <w:sz w:val="16"/>
          <w:szCs w:val="16"/>
        </w:rPr>
        <w:softHyphen/>
        <w:t>заний по прекращению производства УТ-3 содержал требование о немедленном создании эталона УТ-3,</w:t>
      </w:r>
      <w:r w:rsidRPr="00A3026E">
        <w:rPr>
          <w:rFonts w:ascii="Times New Roman" w:hAnsi="Times New Roman"/>
          <w:color w:val="0070C0"/>
          <w:sz w:val="16"/>
          <w:szCs w:val="16"/>
          <w:lang w:val="ru"/>
        </w:rPr>
        <w:t xml:space="preserve"> </w:t>
      </w:r>
      <w:r w:rsidRPr="00A3026E">
        <w:rPr>
          <w:rFonts w:ascii="Times New Roman" w:hAnsi="Times New Roman"/>
          <w:color w:val="0070C0"/>
          <w:sz w:val="16"/>
          <w:szCs w:val="16"/>
        </w:rPr>
        <w:t>на котором необходимо было устранить все эксплуатационные и конструктивные дефекты машины,</w:t>
      </w:r>
      <w:r w:rsidRPr="00A3026E">
        <w:rPr>
          <w:rFonts w:ascii="Times New Roman" w:hAnsi="Times New Roman"/>
          <w:color w:val="0070C0"/>
          <w:sz w:val="16"/>
          <w:szCs w:val="16"/>
          <w:lang w:val="ru"/>
        </w:rPr>
        <w:t xml:space="preserve"> </w:t>
      </w:r>
      <w:r w:rsidRPr="00A3026E">
        <w:rPr>
          <w:rFonts w:ascii="Times New Roman" w:hAnsi="Times New Roman"/>
          <w:color w:val="0070C0"/>
          <w:sz w:val="16"/>
          <w:szCs w:val="16"/>
        </w:rPr>
        <w:t>выявленные на государственных и войсковых испытаниях.</w:t>
      </w:r>
    </w:p>
    <w:p w14:paraId="473932CD" w14:textId="77777777" w:rsidR="004905AC" w:rsidRPr="00A3026E" w:rsidRDefault="004905AC"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Приказ предписывал строить самолет в</w:t>
      </w:r>
      <w:r w:rsidRPr="00A3026E">
        <w:rPr>
          <w:rStyle w:val="700"/>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вывозном варианте в двух экземпля</w:t>
      </w:r>
      <w:r w:rsidRPr="00A3026E">
        <w:rPr>
          <w:rFonts w:ascii="Times New Roman" w:hAnsi="Times New Roman"/>
          <w:color w:val="0070C0"/>
          <w:sz w:val="16"/>
          <w:szCs w:val="16"/>
        </w:rPr>
        <w:softHyphen/>
        <w:t>рах со сроками передачи на государст</w:t>
      </w:r>
      <w:r w:rsidRPr="00A3026E">
        <w:rPr>
          <w:rFonts w:ascii="Times New Roman" w:hAnsi="Times New Roman"/>
          <w:color w:val="0070C0"/>
          <w:sz w:val="16"/>
          <w:szCs w:val="16"/>
        </w:rPr>
        <w:softHyphen/>
        <w:t>венные испытания 1 и 15 декабря 1940 года.</w:t>
      </w:r>
      <w:r w:rsidRPr="00A3026E">
        <w:rPr>
          <w:rStyle w:val="700"/>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На период разработки и испытания эталона</w:t>
      </w:r>
      <w:r w:rsidRPr="00A3026E">
        <w:rPr>
          <w:rStyle w:val="700"/>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завод № 47 должен был возобновить про</w:t>
      </w:r>
      <w:r w:rsidRPr="00A3026E">
        <w:rPr>
          <w:rFonts w:ascii="Times New Roman" w:hAnsi="Times New Roman"/>
          <w:color w:val="0070C0"/>
          <w:sz w:val="16"/>
          <w:szCs w:val="16"/>
        </w:rPr>
        <w:softHyphen/>
        <w:t>изводство УТ-2 и выпустить 30 машин в чет</w:t>
      </w:r>
      <w:r w:rsidRPr="00A3026E">
        <w:rPr>
          <w:rFonts w:ascii="Times New Roman" w:hAnsi="Times New Roman"/>
          <w:color w:val="0070C0"/>
          <w:sz w:val="16"/>
          <w:szCs w:val="16"/>
        </w:rPr>
        <w:softHyphen/>
        <w:t>вертом квартале и 100 - в первом квартале</w:t>
      </w:r>
      <w:r w:rsidRPr="00A3026E">
        <w:rPr>
          <w:rStyle w:val="700"/>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сорок первого года (19940).</w:t>
      </w:r>
    </w:p>
    <w:p w14:paraId="785EC227" w14:textId="77777777" w:rsidR="004905AC" w:rsidRPr="00A3026E" w:rsidRDefault="004905AC" w:rsidP="00A3026E">
      <w:pPr>
        <w:shd w:val="clear" w:color="auto" w:fill="FFFFFF"/>
        <w:spacing w:after="0" w:line="240" w:lineRule="auto"/>
        <w:jc w:val="both"/>
        <w:rPr>
          <w:rFonts w:ascii="Times New Roman" w:hAnsi="Times New Roman"/>
          <w:color w:val="0070C0"/>
          <w:sz w:val="16"/>
          <w:szCs w:val="16"/>
        </w:rPr>
      </w:pPr>
    </w:p>
    <w:p w14:paraId="2C30B7D2" w14:textId="77777777" w:rsidR="004905AC" w:rsidRPr="00A3026E" w:rsidRDefault="004905A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сентября 1940</w:t>
      </w:r>
    </w:p>
    <w:p w14:paraId="6408B48D" w14:textId="77777777" w:rsidR="004905AC" w:rsidRPr="00A3026E" w:rsidRDefault="004905A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Решение Политбюро от 11.IX.40 г.</w:t>
      </w:r>
    </w:p>
    <w:p w14:paraId="3D036714" w14:textId="77777777" w:rsidR="004905AC" w:rsidRPr="00A3026E" w:rsidRDefault="004905A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160. Об обеспечении оборудованием вновь организуемых авиамоторных и самолетных заводов в г. Ленинграде (постановление СНК СССР и ЦК ВКП(б)) (20544).</w:t>
      </w:r>
    </w:p>
    <w:p w14:paraId="46964CA5" w14:textId="77777777" w:rsidR="004905AC" w:rsidRPr="00A3026E" w:rsidRDefault="004905AC" w:rsidP="00A3026E">
      <w:pPr>
        <w:spacing w:after="0" w:line="240" w:lineRule="auto"/>
        <w:jc w:val="both"/>
        <w:rPr>
          <w:rFonts w:ascii="Times New Roman" w:hAnsi="Times New Roman"/>
          <w:color w:val="0070C0"/>
          <w:sz w:val="16"/>
          <w:szCs w:val="16"/>
        </w:rPr>
      </w:pPr>
    </w:p>
    <w:p w14:paraId="25A8F5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 года по поручению В.Г. Деканозова помощник заведующего отделом дипломатической связи Иванов в письме № 240/дс от сообщал А.И. Шахурину, что полпреду Уманскому дано указание о принятии от уполномоченного НКАП при Ам</w:t>
      </w:r>
      <w:r w:rsidRPr="00A3026E">
        <w:rPr>
          <w:rFonts w:ascii="Times New Roman" w:hAnsi="Times New Roman"/>
          <w:color w:val="000000" w:themeColor="text1"/>
          <w:sz w:val="16"/>
          <w:szCs w:val="16"/>
        </w:rPr>
        <w:softHyphen/>
        <w:t>торге инженерной техдокументации на предмет пересылки в СССР дипло</w:t>
      </w:r>
      <w:r w:rsidRPr="00A3026E">
        <w:rPr>
          <w:rFonts w:ascii="Times New Roman" w:hAnsi="Times New Roman"/>
          <w:color w:val="000000" w:themeColor="text1"/>
          <w:sz w:val="16"/>
          <w:szCs w:val="16"/>
        </w:rPr>
        <w:softHyphen/>
        <w:t>матической почтой (РГАЭ. Ф. 8044. Оп. 1. Д. 666. Л. 147.). Таким образом, наблюдается привлечение различных ведомств для по</w:t>
      </w:r>
      <w:r w:rsidRPr="00A3026E">
        <w:rPr>
          <w:rFonts w:ascii="Times New Roman" w:hAnsi="Times New Roman"/>
          <w:color w:val="000000" w:themeColor="text1"/>
          <w:sz w:val="16"/>
          <w:szCs w:val="16"/>
        </w:rPr>
        <w:softHyphen/>
        <w:t>лучения из США необходимой техдокументации, важность последней, а также задержка с поступлением требуемых материалов не менее чем на полгода из-за нездоровой атмосферы «морального эмбарго». Только В декабре 1940 года фирма «Райт» предоставила техпомощь по однорядным мо</w:t>
      </w:r>
      <w:r w:rsidRPr="00A3026E">
        <w:rPr>
          <w:rFonts w:ascii="Times New Roman" w:hAnsi="Times New Roman"/>
          <w:color w:val="000000" w:themeColor="text1"/>
          <w:sz w:val="16"/>
          <w:szCs w:val="16"/>
        </w:rPr>
        <w:softHyphen/>
        <w:t>торам С-100 и С-200 (РГАЭ. Ф. 8044. Оп. 1. Д. 408. Л. 46-47.) (11710,245).</w:t>
      </w:r>
    </w:p>
    <w:p w14:paraId="5DE3FD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E86B3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11 сентября по 13 октября 1940 года на НИП АВ ВВС проходили заводские испытания выливного авиационного прибора (ВАП-500у) с уширенной хвостовой частью конструкции завода № 145 на самолетах "СБ" и "ДБ-3"</w:t>
      </w:r>
    </w:p>
    <w:p w14:paraId="6094B8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11 сентября 1940 года</w:t>
      </w:r>
    </w:p>
    <w:p w14:paraId="44747A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13 октября 1940 года</w:t>
      </w:r>
    </w:p>
    <w:p w14:paraId="438D5E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 в/инженер 3 ранга Лукашев</w:t>
      </w:r>
    </w:p>
    <w:p w14:paraId="21776B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7D7218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влияние уширенной хвостовой части прибора ВАП-500у на дробление жидкости и забрызгивания ссамолета в момент опорожнения приборов.</w:t>
      </w:r>
    </w:p>
    <w:p w14:paraId="1D18A7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5EE880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Предъявленные заводом № 145 приборы ВАП-500у с уширенной хвостовой частью и с жалюзами в обтекателе замка заводские испытания выдержали (7613).</w:t>
      </w:r>
    </w:p>
    <w:p w14:paraId="3AE68F4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A144D5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7E90B8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26C27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 У.Черчиль обратился к нации, предупредив, что вторжение может начаться в любой момент. Сравнил с положением, когда Нельсон спас Англию (2536,154).</w:t>
      </w:r>
    </w:p>
    <w:p w14:paraId="0A45F41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8B2DE05"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в 1940 году в Словакии приняты антиеврейские законы (14766).</w:t>
      </w:r>
    </w:p>
    <w:p w14:paraId="40FC3C59" w14:textId="77777777" w:rsidR="00735D36" w:rsidRPr="00A3026E" w:rsidRDefault="00735D36" w:rsidP="00A3026E">
      <w:pPr>
        <w:spacing w:after="0" w:line="240" w:lineRule="auto"/>
        <w:jc w:val="both"/>
        <w:rPr>
          <w:rFonts w:ascii="Times New Roman" w:hAnsi="Times New Roman"/>
          <w:color w:val="000000" w:themeColor="text1"/>
          <w:sz w:val="16"/>
          <w:szCs w:val="16"/>
        </w:rPr>
      </w:pPr>
    </w:p>
    <w:p w14:paraId="27A40B6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5B557B6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96BFF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вышел приказ НКАП N 484cc в исполнение постановления КО N 344cc (281,10). Приказ принят в целях усиления пулеметно-пушечного вооружения истребительных и бомбардировочных самолетов для ВВС КА и установления единой системы пулеметно-пушечного вооружения на истребительных и бомбардировочных самолетах. Приказал Нач. ПГУ, директорам и ГК самолетных заводов принять следующее вооружение на самолеты для 1941 года (281,10).</w:t>
      </w:r>
    </w:p>
    <w:p w14:paraId="3F2B21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Главному конструктору тов. Ильюшину об установке на БШ-2 2 пушек Я.Г.Таубина с 162 снарядами, 2 крыльевых пулеметов Шкас с 1500 патронами, 1 турельный Шкас с 500 патронами, для чего построить новые консоли (248,10).</w:t>
      </w:r>
    </w:p>
    <w:p w14:paraId="74B5AA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чепуха - не ГК, а на самолет БШ (281,10) или все же ГК</w:t>
      </w:r>
    </w:p>
    <w:p w14:paraId="785EA7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предполагалось производить в 1941 И-200, И-26, И-301 (со ШВАК, а не МП-6), И-21 М.М.Пашинина, И-16, И-100 В.М.Петлякова, ББ-1, ББ-22, БШ-2 С.В.И., СБ-РК, ПБ-100 В.М.Петлякова, ДБ-3Ф, ДБ-240, ТБ-7 (АНТ-42) Незваля.</w:t>
      </w:r>
    </w:p>
    <w:p w14:paraId="625131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ПГУ было поручено в недельный срок представить НКВ ориентировочную заявку на пулеметно-пушечное вооружение, потребное для программы выпуска самолетов в 1941 году (279,15).</w:t>
      </w:r>
    </w:p>
    <w:p w14:paraId="5FF5A0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 есть, получается, что МП-6 предполагались только для БШ-2. С другой стороны, видно, что БШ-2 никто из плана снимать и не собирался и он уже был в производственной программе.</w:t>
      </w:r>
    </w:p>
    <w:p w14:paraId="6D1840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этом же приказе шла речь о РО, например об установлении на самолете МиГ-3 РО-82 (1432,26).</w:t>
      </w:r>
    </w:p>
    <w:p w14:paraId="565F07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усиления пулеметно-пушечного вооружения истреби</w:t>
      </w:r>
      <w:r w:rsidRPr="00A3026E">
        <w:rPr>
          <w:rFonts w:ascii="Times New Roman" w:hAnsi="Times New Roman"/>
          <w:color w:val="000000" w:themeColor="text1"/>
          <w:sz w:val="16"/>
          <w:szCs w:val="16"/>
        </w:rPr>
        <w:softHyphen/>
        <w:t>тельных и бомбардировочных самолетов для ВВС Красной Армии и установлетш^диной- системы пулеметно-пушечного вооружения на истребительных и бомбардировочных самолетах производства 1941</w:t>
      </w:r>
    </w:p>
    <w:p w14:paraId="16BDD0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года, ПРИКАЗЫВАЮ:</w:t>
      </w:r>
    </w:p>
    <w:p w14:paraId="0AECEF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Первого Главного Управления, директорам и глав</w:t>
      </w:r>
      <w:r w:rsidRPr="00A3026E">
        <w:rPr>
          <w:rFonts w:ascii="Times New Roman" w:hAnsi="Times New Roman"/>
          <w:color w:val="000000" w:themeColor="text1"/>
          <w:sz w:val="16"/>
          <w:szCs w:val="16"/>
        </w:rPr>
        <w:softHyphen/>
        <w:t>ным конструкторам самолетных заводов принять следующее воору</w:t>
      </w:r>
      <w:r w:rsidRPr="00A3026E">
        <w:rPr>
          <w:rFonts w:ascii="Times New Roman" w:hAnsi="Times New Roman"/>
          <w:color w:val="000000" w:themeColor="text1"/>
          <w:sz w:val="16"/>
          <w:szCs w:val="16"/>
        </w:rPr>
        <w:softHyphen/>
        <w:t>жение на самолеты для 1941 года.</w:t>
      </w:r>
    </w:p>
    <w:p w14:paraId="3E9D2C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ИСТРЕБИТЕЛЬНАЯ АВИАЦИЯ.</w:t>
      </w:r>
    </w:p>
    <w:p w14:paraId="2EBC7C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самолет “И-200” конструкции Микояна и Гуревича.</w:t>
      </w:r>
    </w:p>
    <w:p w14:paraId="0FF0C1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синхронный пулемет "БС" калибра 12,7 мм с запасом патронов в 300 штук;</w:t>
      </w:r>
    </w:p>
    <w:p w14:paraId="224B0B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синхронных пулемета "ШКАС" калибра 7,62 мм с суммарным запасом патронов в 1.200 штук;</w:t>
      </w:r>
    </w:p>
    <w:p w14:paraId="33FBF5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2 крыльевых пулемета "ШКАС" калибра 7,62 мм с суммар</w:t>
      </w:r>
      <w:r w:rsidRPr="00A3026E">
        <w:rPr>
          <w:rFonts w:ascii="Times New Roman" w:hAnsi="Times New Roman"/>
          <w:color w:val="000000" w:themeColor="text1"/>
          <w:sz w:val="16"/>
          <w:szCs w:val="16"/>
        </w:rPr>
        <w:softHyphen/>
        <w:t>ным запасом патронов в 1.200 штук;</w:t>
      </w:r>
    </w:p>
    <w:p w14:paraId="64048D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“РО"-82 ш в количестве 8 орудий,установленных на 10% самолетов.</w:t>
      </w:r>
    </w:p>
    <w:p w14:paraId="1DC1CF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самолет “И-26" конструкции Яковлева.</w:t>
      </w:r>
    </w:p>
    <w:p w14:paraId="2F3B0C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пушка "ШВАК" калибра 20 мм через редуктор вала мотора с боезапасом 160 снарядов;</w:t>
      </w:r>
    </w:p>
    <w:p w14:paraId="076D8F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4 синхронных пулемета “ШКАС" калибра. 7,62, мм с суммар</w:t>
      </w:r>
      <w:r w:rsidRPr="00A3026E">
        <w:rPr>
          <w:rFonts w:ascii="Times New Roman" w:hAnsi="Times New Roman"/>
          <w:color w:val="000000" w:themeColor="text1"/>
          <w:sz w:val="16"/>
          <w:szCs w:val="16"/>
        </w:rPr>
        <w:softHyphen/>
        <w:t>ным боезапасом в 2.500 патронов.</w:t>
      </w:r>
    </w:p>
    <w:p w14:paraId="111ED3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самолет "И-301" конструкции Горбунова и Лавочкина.</w:t>
      </w:r>
    </w:p>
    <w:p w14:paraId="66AEBD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пушка “ШВАК" калибра 20 мм, установленная через ре</w:t>
      </w:r>
      <w:r w:rsidRPr="00A3026E">
        <w:rPr>
          <w:rFonts w:ascii="Times New Roman" w:hAnsi="Times New Roman"/>
          <w:color w:val="000000" w:themeColor="text1"/>
          <w:sz w:val="16"/>
          <w:szCs w:val="16"/>
        </w:rPr>
        <w:softHyphen/>
        <w:t>дуктор вала мотора, с боезапасом 160 снарядов;</w:t>
      </w:r>
    </w:p>
    <w:p w14:paraId="58A5D3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синхронных крупнокалиберных пулемета "БС” калибра 12,7 мм с суммарным боезапасом 440 патронов;</w:t>
      </w:r>
    </w:p>
    <w:p w14:paraId="6CAC7B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2 синхронных пулемета "ШКАС" калибра 7,62 мм, с суммар</w:t>
      </w:r>
      <w:r w:rsidRPr="00A3026E">
        <w:rPr>
          <w:rFonts w:ascii="Times New Roman" w:hAnsi="Times New Roman"/>
          <w:color w:val="000000" w:themeColor="text1"/>
          <w:sz w:val="16"/>
          <w:szCs w:val="16"/>
        </w:rPr>
        <w:softHyphen/>
        <w:t>ным боезапасом в 1.300 патронов.</w:t>
      </w:r>
    </w:p>
    <w:p w14:paraId="2FF876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 самолет "И-21" конструкции Пашинина.</w:t>
      </w:r>
    </w:p>
    <w:p w14:paraId="69D8F8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пушка "ШВАК" калибра 20 мм, установленная через ре</w:t>
      </w:r>
      <w:r w:rsidRPr="00A3026E">
        <w:rPr>
          <w:rFonts w:ascii="Times New Roman" w:hAnsi="Times New Roman"/>
          <w:color w:val="000000" w:themeColor="text1"/>
          <w:sz w:val="16"/>
          <w:szCs w:val="16"/>
        </w:rPr>
        <w:softHyphen/>
        <w:t>дуктор вале мотора, с боезапасом в 160 снарядов;</w:t>
      </w:r>
    </w:p>
    <w:p w14:paraId="43BC74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4 синхронных пулемета "ШКАС" калибра 7,62;мм, с суммар</w:t>
      </w:r>
      <w:r w:rsidRPr="00A3026E">
        <w:rPr>
          <w:rFonts w:ascii="Times New Roman" w:hAnsi="Times New Roman"/>
          <w:color w:val="000000" w:themeColor="text1"/>
          <w:sz w:val="16"/>
          <w:szCs w:val="16"/>
        </w:rPr>
        <w:softHyphen/>
        <w:t>ным боезапасом в 2.000 патронов.</w:t>
      </w:r>
    </w:p>
    <w:p w14:paraId="2FC0E5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 самолет "И-16",тип 29 конструкции Поликарпова.</w:t>
      </w:r>
    </w:p>
    <w:p w14:paraId="163A81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синхронный пулемет"БС" 12,7 мм с запасом патронов в 230 штук;</w:t>
      </w:r>
    </w:p>
    <w:p w14:paraId="5D7CEB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2 синхронных пулемета "ШКАС" калибра 7,62. мм, с суммар</w:t>
      </w:r>
      <w:r w:rsidRPr="00A3026E">
        <w:rPr>
          <w:rFonts w:ascii="Times New Roman" w:hAnsi="Times New Roman"/>
          <w:color w:val="000000" w:themeColor="text1"/>
          <w:sz w:val="16"/>
          <w:szCs w:val="16"/>
        </w:rPr>
        <w:softHyphen/>
        <w:t>ным запасом патронов в 1.000 штук;</w:t>
      </w:r>
    </w:p>
    <w:p w14:paraId="1C62C4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"РО”-82 мм в количестве 6 орудий, установленных на 10% самолетов.</w:t>
      </w:r>
    </w:p>
    <w:p w14:paraId="140E7F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 двухмоторный истребитель "И-100" конструкции Петлякова.</w:t>
      </w:r>
    </w:p>
    <w:p w14:paraId="0B4A6F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2 пушки “ШВАК" калибра 20 мм, установленные в носу са</w:t>
      </w:r>
      <w:r w:rsidRPr="00A3026E">
        <w:rPr>
          <w:rFonts w:ascii="Times New Roman" w:hAnsi="Times New Roman"/>
          <w:color w:val="000000" w:themeColor="text1"/>
          <w:sz w:val="16"/>
          <w:szCs w:val="16"/>
        </w:rPr>
        <w:softHyphen/>
        <w:t>молета с боезапасом в 600 снарядов;</w:t>
      </w:r>
    </w:p>
    <w:p w14:paraId="41992E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пулемета "ШКАС" калибра 7,62 мм, установленные в носу самолета, с суммарным запасом патронов в 1.850 штук;</w:t>
      </w:r>
    </w:p>
    <w:p w14:paraId="2CA833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1-пулемет "ШКАС” калибра 7,62 мм для стрельбы назад, с боезапасом в 750 патронов.</w:t>
      </w:r>
    </w:p>
    <w:p w14:paraId="4BC98D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ПРИМЕЧАНИЕ:- Истребители И-200, И-26, И-301, И-21 и И-16 должны быть оборудованы под подвесные бензобаки. Подвесная система должна обеспечивать подвеску бомб вместо бензобаков.</w:t>
      </w:r>
    </w:p>
    <w:p w14:paraId="0E3BBF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БОМБАРДИРОВОЧНАЯ и ШТУРМОВАЯ АВИАЦИЯ .</w:t>
      </w:r>
    </w:p>
    <w:p w14:paraId="252DFA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самолет "ББ-1" конструкции Сухого.</w:t>
      </w:r>
    </w:p>
    <w:p w14:paraId="7000FC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2 крыльевых пулемета "ШКАС" калибра 7,62 мм, с боезапа</w:t>
      </w:r>
      <w:r w:rsidRPr="00A3026E">
        <w:rPr>
          <w:rFonts w:ascii="Times New Roman" w:hAnsi="Times New Roman"/>
          <w:color w:val="000000" w:themeColor="text1"/>
          <w:sz w:val="16"/>
          <w:szCs w:val="16"/>
        </w:rPr>
        <w:softHyphen/>
        <w:t>сом в 1.500 патронов;</w:t>
      </w:r>
    </w:p>
    <w:p w14:paraId="70DA9B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 турелькый пулемет "ШКАС" -калибра 7,62 мм с боезапасом в 900 патронов (2 патронных ящика по 450 патронов).</w:t>
      </w:r>
    </w:p>
    <w:p w14:paraId="0D805C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самолет "ББ-22" конструкций Яковлева</w:t>
      </w:r>
    </w:p>
    <w:p w14:paraId="105EE4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пулемет “ШКАС” калибра 7,62 мм, установленный неподвиж</w:t>
      </w:r>
      <w:r w:rsidRPr="00A3026E">
        <w:rPr>
          <w:rFonts w:ascii="Times New Roman" w:hAnsi="Times New Roman"/>
          <w:color w:val="000000" w:themeColor="text1"/>
          <w:sz w:val="16"/>
          <w:szCs w:val="16"/>
        </w:rPr>
        <w:softHyphen/>
        <w:t>но в носу самолета, с боезапасом в 500 патронов;</w:t>
      </w:r>
    </w:p>
    <w:p w14:paraId="23647A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турелышй пулемет "ШКАС" калибра 7,62 мм, с боезапасом в 1.000 патронов.</w:t>
      </w:r>
    </w:p>
    <w:p w14:paraId="60C206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аамолет "БШ-2" конструкции.Ильюшина.</w:t>
      </w:r>
    </w:p>
    <w:p w14:paraId="0E72C3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2 крыльевые пушки конструкции Таубина-Бабурина, калибра 23 мм, с боезапасом 162 снаряда;</w:t>
      </w:r>
    </w:p>
    <w:p w14:paraId="63C14F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крыльевых пулемета "ШКАС" калибра 7,62 мм, с боезапа</w:t>
      </w:r>
      <w:r w:rsidRPr="00A3026E">
        <w:rPr>
          <w:rFonts w:ascii="Times New Roman" w:hAnsi="Times New Roman"/>
          <w:color w:val="000000" w:themeColor="text1"/>
          <w:sz w:val="16"/>
          <w:szCs w:val="16"/>
        </w:rPr>
        <w:softHyphen/>
        <w:t>сом в 1.500 патронов</w:t>
      </w:r>
      <w:r w:rsidRPr="00A3026E">
        <w:rPr>
          <w:rFonts w:ascii="Times New Roman" w:hAnsi="Times New Roman"/>
          <w:color w:val="000000" w:themeColor="text1"/>
          <w:sz w:val="16"/>
          <w:szCs w:val="16"/>
          <w:vertAlign w:val="subscript"/>
        </w:rPr>
        <w:t>;</w:t>
      </w:r>
    </w:p>
    <w:p w14:paraId="0A1A50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 турёльный пулемет "ШКАС" калибра 7,62 мм,:с боезапасом в 500 патронов.</w:t>
      </w:r>
    </w:p>
    <w:p w14:paraId="2E7FCE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 самолет "СБ-РК" пикирующий конструкции Архангель</w:t>
      </w:r>
      <w:r w:rsidRPr="00A3026E">
        <w:rPr>
          <w:rFonts w:ascii="Times New Roman" w:hAnsi="Times New Roman"/>
          <w:color w:val="000000" w:themeColor="text1"/>
          <w:sz w:val="16"/>
          <w:szCs w:val="16"/>
        </w:rPr>
        <w:softHyphen/>
        <w:t>ского.</w:t>
      </w:r>
    </w:p>
    <w:p w14:paraId="781D76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пулемет "ШКАС"-калибра" 7,62 -мм, установленный подвижно в носу самолета, с боезапасом в .500 патронов;</w:t>
      </w:r>
    </w:p>
    <w:p w14:paraId="1D613B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 пулемет "ШКАС" калибра 7,62 мм на полудуге типа ПБ-100,с боезапасом в 1.000 патронов;</w:t>
      </w:r>
    </w:p>
    <w:p w14:paraId="36348D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 пулемет "ШКАС" калибра 7,62 мм, установленный подвиж</w:t>
      </w:r>
      <w:r w:rsidRPr="00A3026E">
        <w:rPr>
          <w:rFonts w:ascii="Times New Roman" w:hAnsi="Times New Roman"/>
          <w:color w:val="000000" w:themeColor="text1"/>
          <w:sz w:val="16"/>
          <w:szCs w:val="16"/>
        </w:rPr>
        <w:softHyphen/>
        <w:t>но в люковой установке, с боезапасом в500 патронов.</w:t>
      </w:r>
    </w:p>
    <w:p w14:paraId="192BAF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 самолет "ПБ-100 пикирующий, конструкции Петлякова.</w:t>
      </w:r>
    </w:p>
    <w:p w14:paraId="3C01BE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2 пулемета "ШКАС” калибра 7,62 мм, установленные непод</w:t>
      </w:r>
      <w:r w:rsidRPr="00A3026E">
        <w:rPr>
          <w:rFonts w:ascii="Times New Roman" w:hAnsi="Times New Roman"/>
          <w:color w:val="000000" w:themeColor="text1"/>
          <w:sz w:val="16"/>
          <w:szCs w:val="16"/>
        </w:rPr>
        <w:softHyphen/>
        <w:t>вижно в носу самолета, с боезапасом в 800 патронов;</w:t>
      </w:r>
    </w:p>
    <w:p w14:paraId="29F9E4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 пулемет "ШКАС" калибра 7,62 мм на полудуге, с боеза</w:t>
      </w:r>
      <w:r w:rsidRPr="00A3026E">
        <w:rPr>
          <w:rFonts w:ascii="Times New Roman" w:hAnsi="Times New Roman"/>
          <w:color w:val="000000" w:themeColor="text1"/>
          <w:sz w:val="16"/>
          <w:szCs w:val="16"/>
        </w:rPr>
        <w:softHyphen/>
        <w:t>пасом в 750 патронов;</w:t>
      </w:r>
    </w:p>
    <w:p w14:paraId="72C871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 пулемет “ШКАС” калибра 7,62 мм, установленный подвиж</w:t>
      </w:r>
      <w:r w:rsidRPr="00A3026E">
        <w:rPr>
          <w:rFonts w:ascii="Times New Roman" w:hAnsi="Times New Roman"/>
          <w:color w:val="000000" w:themeColor="text1"/>
          <w:sz w:val="16"/>
          <w:szCs w:val="16"/>
        </w:rPr>
        <w:softHyphen/>
        <w:t>но в люковой установке, с боезапасом в 750 патронов.</w:t>
      </w:r>
    </w:p>
    <w:p w14:paraId="0EBE36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 самолет "ДБ-Зф". конструкции Ильюшина.</w:t>
      </w:r>
    </w:p>
    <w:p w14:paraId="32440D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пулемет "ШКАС " калибра 7,62 мм, установленныйподвиж</w:t>
      </w:r>
      <w:r w:rsidRPr="00A3026E">
        <w:rPr>
          <w:rFonts w:ascii="Times New Roman" w:hAnsi="Times New Roman"/>
          <w:color w:val="000000" w:themeColor="text1"/>
          <w:sz w:val="16"/>
          <w:szCs w:val="16"/>
        </w:rPr>
        <w:softHyphen/>
        <w:t>но в носу самолета, с боезапасом в 500 патронов;</w:t>
      </w:r>
    </w:p>
    <w:p w14:paraId="77D11B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 пулемет '"ШКАС" калибра 7,62 мм на турели, с боезапа</w:t>
      </w:r>
      <w:r w:rsidRPr="00A3026E">
        <w:rPr>
          <w:rFonts w:ascii="Times New Roman" w:hAnsi="Times New Roman"/>
          <w:color w:val="000000" w:themeColor="text1"/>
          <w:sz w:val="16"/>
          <w:szCs w:val="16"/>
        </w:rPr>
        <w:softHyphen/>
        <w:t>сом в 1.000 патронов;</w:t>
      </w:r>
    </w:p>
    <w:p w14:paraId="2C1DB9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 пулемет "ШКАС" калибра 7,62 мм, установленный подвиж</w:t>
      </w:r>
      <w:r w:rsidRPr="00A3026E">
        <w:rPr>
          <w:rFonts w:ascii="Times New Roman" w:hAnsi="Times New Roman"/>
          <w:color w:val="000000" w:themeColor="text1"/>
          <w:sz w:val="16"/>
          <w:szCs w:val="16"/>
        </w:rPr>
        <w:softHyphen/>
        <w:t>но в люковой установке, с боезапасом в 600 патронов.</w:t>
      </w:r>
    </w:p>
    <w:p w14:paraId="0B7147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На самолет "ДВ-240" конструкции Ермолаева.</w:t>
      </w:r>
    </w:p>
    <w:p w14:paraId="13E04E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пулемет "ШКАС" калибра 7,62 мм, установленный в носу самолета, с боезапасом в 500 патронов;</w:t>
      </w:r>
    </w:p>
    <w:p w14:paraId="1F25AA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 крупнокалиберный пулемет ."БТ" калибра 12,7 мм на ту</w:t>
      </w:r>
      <w:r w:rsidRPr="00A3026E">
        <w:rPr>
          <w:rFonts w:ascii="Times New Roman" w:hAnsi="Times New Roman"/>
          <w:color w:val="000000" w:themeColor="text1"/>
          <w:sz w:val="16"/>
          <w:szCs w:val="16"/>
        </w:rPr>
        <w:softHyphen/>
        <w:t>рели, с боезапасом в 400 патронов;</w:t>
      </w:r>
    </w:p>
    <w:p w14:paraId="03057A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2 пулемета "ШКАС” калибра 7,62 мм (спарка), установлен</w:t>
      </w:r>
      <w:r w:rsidRPr="00A3026E">
        <w:rPr>
          <w:rFonts w:ascii="Times New Roman" w:hAnsi="Times New Roman"/>
          <w:color w:val="000000" w:themeColor="text1"/>
          <w:sz w:val="16"/>
          <w:szCs w:val="16"/>
        </w:rPr>
        <w:softHyphen/>
        <w:t>ные подвижно в люке, с боезапасом в 1.2.00 патронов.</w:t>
      </w:r>
    </w:p>
    <w:p w14:paraId="043808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На самолет "ТБ-7" конструкции Незваль.</w:t>
      </w:r>
    </w:p>
    <w:p w14:paraId="74A794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2 пулемета "ШКАС" калибра 7,62 мм, установленные в носу самолета, с боезапасом в 1.000 патронов;</w:t>
      </w:r>
    </w:p>
    <w:p w14:paraId="5BFA4E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 крупнокалиберные пулемет “БТ" калибра 12,7 мм, уста</w:t>
      </w:r>
      <w:r w:rsidRPr="00A3026E">
        <w:rPr>
          <w:rFonts w:ascii="Times New Roman" w:hAnsi="Times New Roman"/>
          <w:color w:val="000000" w:themeColor="text1"/>
          <w:sz w:val="16"/>
          <w:szCs w:val="16"/>
        </w:rPr>
        <w:softHyphen/>
        <w:t>новленный в хвосте (кормовая установка), с боезапасом при оружии в 250 патронов и дополнительно в самолете 150 патронов;</w:t>
      </w:r>
    </w:p>
    <w:p w14:paraId="2C9A21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2 пулемета "ШКАС" калибра 7,62 мм, установленные в шасси самолета (под шассийные установки), с боезапасом в 1.500 патро</w:t>
      </w:r>
      <w:r w:rsidRPr="00A3026E">
        <w:rPr>
          <w:rFonts w:ascii="Times New Roman" w:hAnsi="Times New Roman"/>
          <w:color w:val="000000" w:themeColor="text1"/>
          <w:sz w:val="16"/>
          <w:szCs w:val="16"/>
        </w:rPr>
        <w:softHyphen/>
        <w:t>нов;</w:t>
      </w:r>
    </w:p>
    <w:p w14:paraId="2FFAB9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Одна пушка "ШВАК" калибра 20 мм, установленная на туре</w:t>
      </w:r>
      <w:r w:rsidRPr="00A3026E">
        <w:rPr>
          <w:rFonts w:ascii="Times New Roman" w:hAnsi="Times New Roman"/>
          <w:color w:val="000000" w:themeColor="text1"/>
          <w:sz w:val="16"/>
          <w:szCs w:val="16"/>
        </w:rPr>
        <w:softHyphen/>
        <w:t>ли, с боезапасом в 200 снарядов.</w:t>
      </w:r>
    </w:p>
    <w:p w14:paraId="40ACD7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Первого Главного Управления в недельный срок ; представить Народному Комиссариату-Вооружения ориентировочную : заявку на пулеметно-пушечное вооружение потребное для программы выпуска самолетов в 1941 году (248,10).</w:t>
      </w:r>
    </w:p>
    <w:p w14:paraId="41DF7FD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37D63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вышел приказ НКАП № 484:</w:t>
      </w:r>
    </w:p>
    <w:p w14:paraId="17229D0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усиления пулеметно-пушечного вооружения истребительных и бомбардировочных самолетов для ВВС КА и установления единой системы пулеметно-пушечного вооружения на самолетах производства 1941 г. приказываю:</w:t>
      </w:r>
    </w:p>
    <w:p w14:paraId="25EFF3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ПГУ, директорам и ГК самолетных заводов принять следующее вооружение на самолеты для 1941 г.</w:t>
      </w:r>
    </w:p>
    <w:p w14:paraId="014D540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с-те БШ-2 конструкции С.В.И.</w:t>
      </w:r>
    </w:p>
    <w:p w14:paraId="0E9D83D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2-х крыльевых пушек конструкии Таубина-Бабурина какл. 23 мм с б/запасом 162 снаряда</w:t>
      </w:r>
    </w:p>
    <w:p w14:paraId="4BD8574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крыльевых пул. ШКАС кал. 7,62 с б/запасом в 1500 патронов</w:t>
      </w:r>
    </w:p>
    <w:p w14:paraId="459A1C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 турельный пулемет ШКАС какл. 7,62 с б/запасом 500 патронов (956, 24).</w:t>
      </w:r>
    </w:p>
    <w:p w14:paraId="4436A0A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EBD8E50" w14:textId="77777777" w:rsidR="008D6721" w:rsidRPr="00A3026E" w:rsidRDefault="008D672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12 сентября 1941 вышел приказ НКАП во исполнение постановления Комитета обо</w:t>
      </w:r>
      <w:r w:rsidRPr="00A3026E">
        <w:rPr>
          <w:color w:val="000000" w:themeColor="text1"/>
          <w:sz w:val="16"/>
          <w:szCs w:val="16"/>
        </w:rPr>
        <w:softHyphen/>
        <w:t>роны при СНК СССР «О пулеметно-пушечном вооружении истребительных и бомбардировочных самолетов», которым 7 сентября 1940 г. была установлена единая система стрелково-пушечного вооружения боевых самолетов ВВС КА на 1941 г.</w:t>
      </w:r>
    </w:p>
    <w:p w14:paraId="490991FE" w14:textId="77777777" w:rsidR="008D6721" w:rsidRPr="00A3026E" w:rsidRDefault="008D672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Согласно документам, бронированный штур</w:t>
      </w:r>
      <w:r w:rsidRPr="00A3026E">
        <w:rPr>
          <w:color w:val="000000" w:themeColor="text1"/>
          <w:sz w:val="16"/>
          <w:szCs w:val="16"/>
        </w:rPr>
        <w:softHyphen/>
        <w:t>мовик БШ-2 предполагалось вооружить пушками калибра 23 мм ПТБ-23 конструкции Таубина и Бабу</w:t>
      </w:r>
      <w:r w:rsidRPr="00A3026E">
        <w:rPr>
          <w:color w:val="000000" w:themeColor="text1"/>
          <w:sz w:val="16"/>
          <w:szCs w:val="16"/>
        </w:rPr>
        <w:softHyphen/>
        <w:t>рина, а истребители — только проверенными об</w:t>
      </w:r>
      <w:r w:rsidRPr="00A3026E">
        <w:rPr>
          <w:color w:val="000000" w:themeColor="text1"/>
          <w:sz w:val="16"/>
          <w:szCs w:val="16"/>
        </w:rPr>
        <w:softHyphen/>
        <w:t>разцами: мотор-пушкой ШВАК, синхронными пуле</w:t>
      </w:r>
      <w:r w:rsidRPr="00A3026E">
        <w:rPr>
          <w:color w:val="000000" w:themeColor="text1"/>
          <w:sz w:val="16"/>
          <w:szCs w:val="16"/>
        </w:rPr>
        <w:softHyphen/>
        <w:t>метами БС калибра 12,7 мм и ШКАС.</w:t>
      </w:r>
    </w:p>
    <w:p w14:paraId="0F328BBA" w14:textId="77777777" w:rsidR="008D6721" w:rsidRPr="00A3026E" w:rsidRDefault="008D672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Возможно, это было связано с тем обстоятель</w:t>
      </w:r>
      <w:r w:rsidRPr="00A3026E">
        <w:rPr>
          <w:color w:val="000000" w:themeColor="text1"/>
          <w:sz w:val="16"/>
          <w:szCs w:val="16"/>
        </w:rPr>
        <w:softHyphen/>
        <w:t>ством, что в ОКБ-15 был отработан тонкостенный осколочно-зажигательный снаряд к пушке ШВАК с увеличенным до 5,6 г весом более мощного раз</w:t>
      </w:r>
      <w:r w:rsidRPr="00A3026E">
        <w:rPr>
          <w:color w:val="000000" w:themeColor="text1"/>
          <w:sz w:val="16"/>
          <w:szCs w:val="16"/>
        </w:rPr>
        <w:softHyphen/>
        <w:t>рывного заряда ГТТ (смесь гексогена, тротила и те</w:t>
      </w:r>
      <w:r w:rsidRPr="00A3026E">
        <w:rPr>
          <w:color w:val="000000" w:themeColor="text1"/>
          <w:sz w:val="16"/>
          <w:szCs w:val="16"/>
        </w:rPr>
        <w:softHyphen/>
        <w:t>трила). Это обеспечивало повышенное фугасное и осколочное действие при «работе» по дюрале</w:t>
      </w:r>
      <w:r w:rsidRPr="00A3026E">
        <w:rPr>
          <w:color w:val="000000" w:themeColor="text1"/>
          <w:sz w:val="16"/>
          <w:szCs w:val="16"/>
        </w:rPr>
        <w:softHyphen/>
        <w:t>вым конструкциям современных самолетов. Одно</w:t>
      </w:r>
      <w:r w:rsidRPr="00A3026E">
        <w:rPr>
          <w:color w:val="000000" w:themeColor="text1"/>
          <w:sz w:val="16"/>
          <w:szCs w:val="16"/>
        </w:rPr>
        <w:softHyphen/>
        <w:t>временно был предложен и новый бронебойный снаряд с твердосплавным сердечником и баллисти</w:t>
      </w:r>
      <w:r w:rsidRPr="00A3026E">
        <w:rPr>
          <w:color w:val="000000" w:themeColor="text1"/>
          <w:sz w:val="16"/>
          <w:szCs w:val="16"/>
        </w:rPr>
        <w:softHyphen/>
        <w:t>ческим наконечником. Снаряд с дистанции 200 м уверенно пробивал гомогенную броню толщиной 20 мм при нормальном попадании вместо 14 мм у штатного снаряда (17500).</w:t>
      </w:r>
    </w:p>
    <w:p w14:paraId="212718DE" w14:textId="77777777" w:rsidR="008D6721" w:rsidRPr="00A3026E" w:rsidRDefault="008D6721" w:rsidP="00A3026E">
      <w:pPr>
        <w:spacing w:after="0" w:line="240" w:lineRule="auto"/>
        <w:jc w:val="both"/>
        <w:rPr>
          <w:rFonts w:ascii="Times New Roman" w:eastAsia="Times New Roman" w:hAnsi="Times New Roman"/>
          <w:color w:val="000000" w:themeColor="text1"/>
          <w:sz w:val="16"/>
          <w:szCs w:val="16"/>
          <w:lang w:eastAsia="ru-RU"/>
        </w:rPr>
      </w:pPr>
    </w:p>
    <w:p w14:paraId="73F1BC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(14 - 462,9) 1940 заводом 39 был получен мотор АМ-38 и С.В.И. самостийно была начата переделка самолета БШ-2 в одноместный (472).</w:t>
      </w:r>
    </w:p>
    <w:p w14:paraId="1BD038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это было 14 сентября 1940, но, возможно, в этот день началась его установка на самолет (462,9).</w:t>
      </w:r>
    </w:p>
    <w:p w14:paraId="1E0E78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 это сильно позже, чем 1 июля как хотел С.В.И.</w:t>
      </w:r>
    </w:p>
    <w:p w14:paraId="2C296D1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C4A42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один из вновь собран</w:t>
      </w:r>
      <w:r w:rsidRPr="00A3026E">
        <w:rPr>
          <w:rFonts w:ascii="Times New Roman" w:hAnsi="Times New Roman"/>
          <w:color w:val="000000" w:themeColor="text1"/>
          <w:sz w:val="16"/>
          <w:szCs w:val="16"/>
        </w:rPr>
        <w:softHyphen/>
        <w:t>ных моторов АМ-38 был передан на за</w:t>
      </w:r>
      <w:r w:rsidRPr="00A3026E">
        <w:rPr>
          <w:rFonts w:ascii="Times New Roman" w:hAnsi="Times New Roman"/>
          <w:color w:val="000000" w:themeColor="text1"/>
          <w:sz w:val="16"/>
          <w:szCs w:val="16"/>
        </w:rPr>
        <w:softHyphen/>
        <w:t>вод № 39, который сразу же приступил к установке его на БШ-2 № 1 и к пере</w:t>
      </w:r>
      <w:r w:rsidRPr="00A3026E">
        <w:rPr>
          <w:rFonts w:ascii="Times New Roman" w:hAnsi="Times New Roman"/>
          <w:color w:val="000000" w:themeColor="text1"/>
          <w:sz w:val="16"/>
          <w:szCs w:val="16"/>
        </w:rPr>
        <w:softHyphen/>
        <w:t>делке последнего в одноместный вари</w:t>
      </w:r>
      <w:r w:rsidRPr="00A3026E">
        <w:rPr>
          <w:rFonts w:ascii="Times New Roman" w:hAnsi="Times New Roman"/>
          <w:color w:val="000000" w:themeColor="text1"/>
          <w:sz w:val="16"/>
          <w:szCs w:val="16"/>
        </w:rPr>
        <w:softHyphen/>
        <w:t>ант без воздушного стрелка (одновре</w:t>
      </w:r>
      <w:r w:rsidRPr="00A3026E">
        <w:rPr>
          <w:rFonts w:ascii="Times New Roman" w:hAnsi="Times New Roman"/>
          <w:color w:val="000000" w:themeColor="text1"/>
          <w:sz w:val="16"/>
          <w:szCs w:val="16"/>
        </w:rPr>
        <w:softHyphen/>
        <w:t>менно усиливалось бронирование со стороны задней полусферы и устанав</w:t>
      </w:r>
      <w:r w:rsidRPr="00A3026E">
        <w:rPr>
          <w:rFonts w:ascii="Times New Roman" w:hAnsi="Times New Roman"/>
          <w:color w:val="000000" w:themeColor="text1"/>
          <w:sz w:val="16"/>
          <w:szCs w:val="16"/>
        </w:rPr>
        <w:softHyphen/>
        <w:t>ливался дополнительный бензобак). Новая машина получила заводское обо</w:t>
      </w:r>
      <w:r w:rsidRPr="00A3026E">
        <w:rPr>
          <w:rFonts w:ascii="Times New Roman" w:hAnsi="Times New Roman"/>
          <w:color w:val="000000" w:themeColor="text1"/>
          <w:sz w:val="16"/>
          <w:szCs w:val="16"/>
        </w:rPr>
        <w:softHyphen/>
        <w:t>значение ЦКБ-57. Переделка БШ-2 из двухместного варианта в одноместный была исклю</w:t>
      </w:r>
      <w:r w:rsidRPr="00A3026E">
        <w:rPr>
          <w:rFonts w:ascii="Times New Roman" w:hAnsi="Times New Roman"/>
          <w:color w:val="000000" w:themeColor="text1"/>
          <w:sz w:val="16"/>
          <w:szCs w:val="16"/>
        </w:rPr>
        <w:softHyphen/>
        <w:t>чительно инициативой ОКБ. Постанов</w:t>
      </w:r>
      <w:r w:rsidRPr="00A3026E">
        <w:rPr>
          <w:rFonts w:ascii="Times New Roman" w:hAnsi="Times New Roman"/>
          <w:color w:val="000000" w:themeColor="text1"/>
          <w:sz w:val="16"/>
          <w:szCs w:val="16"/>
        </w:rPr>
        <w:softHyphen/>
        <w:t>ления Комитета обороны об изменении С.В.Ильюшину задания, равно как и со</w:t>
      </w:r>
      <w:r w:rsidRPr="00A3026E">
        <w:rPr>
          <w:rFonts w:ascii="Times New Roman" w:hAnsi="Times New Roman"/>
          <w:color w:val="000000" w:themeColor="text1"/>
          <w:sz w:val="16"/>
          <w:szCs w:val="16"/>
        </w:rPr>
        <w:softHyphen/>
        <w:t>ответствующего ему приказа по НКАП, не было в природе. Принятое С.В.Ильюшиным решение являлось в какой-то степени вынужден</w:t>
      </w:r>
      <w:r w:rsidRPr="00A3026E">
        <w:rPr>
          <w:rFonts w:ascii="Times New Roman" w:hAnsi="Times New Roman"/>
          <w:color w:val="000000" w:themeColor="text1"/>
          <w:sz w:val="16"/>
          <w:szCs w:val="16"/>
        </w:rPr>
        <w:softHyphen/>
        <w:t>ным, так как он и его ближайшие сорат</w:t>
      </w:r>
      <w:r w:rsidRPr="00A3026E">
        <w:rPr>
          <w:rFonts w:ascii="Times New Roman" w:hAnsi="Times New Roman"/>
          <w:color w:val="000000" w:themeColor="text1"/>
          <w:sz w:val="16"/>
          <w:szCs w:val="16"/>
        </w:rPr>
        <w:softHyphen/>
        <w:t>ники не могли не понимать, что простой установкой на самолет (без кардиналь</w:t>
      </w:r>
      <w:r w:rsidRPr="00A3026E">
        <w:rPr>
          <w:rFonts w:ascii="Times New Roman" w:hAnsi="Times New Roman"/>
          <w:color w:val="000000" w:themeColor="text1"/>
          <w:sz w:val="16"/>
          <w:szCs w:val="16"/>
        </w:rPr>
        <w:softHyphen/>
        <w:t>ных изменений в конструкции штурмо</w:t>
      </w:r>
      <w:r w:rsidRPr="00A3026E">
        <w:rPr>
          <w:rFonts w:ascii="Times New Roman" w:hAnsi="Times New Roman"/>
          <w:color w:val="000000" w:themeColor="text1"/>
          <w:sz w:val="16"/>
          <w:szCs w:val="16"/>
        </w:rPr>
        <w:softHyphen/>
        <w:t>вика) более мощного у земли мотора АМ-38, вместо АМ-35, быстро обеспечить предъявляемые к машине ТТТ невоз</w:t>
      </w:r>
      <w:r w:rsidRPr="00A3026E">
        <w:rPr>
          <w:rFonts w:ascii="Times New Roman" w:hAnsi="Times New Roman"/>
          <w:color w:val="000000" w:themeColor="text1"/>
          <w:sz w:val="16"/>
          <w:szCs w:val="16"/>
        </w:rPr>
        <w:softHyphen/>
        <w:t>можно, поскольку такая замена привела бы не только к увеличению скорости полета самолета и улучшению его ма</w:t>
      </w:r>
      <w:r w:rsidRPr="00A3026E">
        <w:rPr>
          <w:rFonts w:ascii="Times New Roman" w:hAnsi="Times New Roman"/>
          <w:color w:val="000000" w:themeColor="text1"/>
          <w:sz w:val="16"/>
          <w:szCs w:val="16"/>
        </w:rPr>
        <w:softHyphen/>
        <w:t>невренных качеств, но и к существенно</w:t>
      </w:r>
      <w:r w:rsidRPr="00A3026E">
        <w:rPr>
          <w:rFonts w:ascii="Times New Roman" w:hAnsi="Times New Roman"/>
          <w:color w:val="000000" w:themeColor="text1"/>
          <w:sz w:val="16"/>
          <w:szCs w:val="16"/>
        </w:rPr>
        <w:softHyphen/>
        <w:t>му уменьшению дальности полета из-за большего расхода горючего у АМ-38 (270-280 гр/л.с.час, вместо 245-255 гр/ л.с.час у АМ-35), что было неприемле</w:t>
      </w:r>
      <w:r w:rsidRPr="00A3026E">
        <w:rPr>
          <w:rFonts w:ascii="Times New Roman" w:hAnsi="Times New Roman"/>
          <w:color w:val="000000" w:themeColor="text1"/>
          <w:sz w:val="16"/>
          <w:szCs w:val="16"/>
        </w:rPr>
        <w:softHyphen/>
        <w:t>мо для военных в тактическом плане, а значит, машина государственных испы</w:t>
      </w:r>
      <w:r w:rsidRPr="00A3026E">
        <w:rPr>
          <w:rFonts w:ascii="Times New Roman" w:hAnsi="Times New Roman"/>
          <w:color w:val="000000" w:themeColor="text1"/>
          <w:sz w:val="16"/>
          <w:szCs w:val="16"/>
        </w:rPr>
        <w:softHyphen/>
        <w:t>таний в очередной раз не выдержала бы. Доводка же двухместного варианта с новым мотором, опять же еще далеко не надежным, до требуемых ТТТ за счет изыскания резервов конструкции маши</w:t>
      </w:r>
      <w:r w:rsidRPr="00A3026E">
        <w:rPr>
          <w:rFonts w:ascii="Times New Roman" w:hAnsi="Times New Roman"/>
          <w:color w:val="000000" w:themeColor="text1"/>
          <w:sz w:val="16"/>
          <w:szCs w:val="16"/>
        </w:rPr>
        <w:softHyphen/>
        <w:t>ны потребовала бы много времени и значительных усилий. Желание же С.В.Ильюшина как можно быстрее по</w:t>
      </w:r>
      <w:r w:rsidRPr="00A3026E">
        <w:rPr>
          <w:rFonts w:ascii="Times New Roman" w:hAnsi="Times New Roman"/>
          <w:color w:val="000000" w:themeColor="text1"/>
          <w:sz w:val="16"/>
          <w:szCs w:val="16"/>
        </w:rPr>
        <w:softHyphen/>
        <w:t>ставить БШ-2 в крупносерийное произ</w:t>
      </w:r>
      <w:r w:rsidRPr="00A3026E">
        <w:rPr>
          <w:rFonts w:ascii="Times New Roman" w:hAnsi="Times New Roman"/>
          <w:color w:val="000000" w:themeColor="text1"/>
          <w:sz w:val="16"/>
          <w:szCs w:val="16"/>
        </w:rPr>
        <w:softHyphen/>
        <w:t>водство было велико. Дело в том, что в этот период для С.В.Ильюшина сложилась очень сложная ситуация в связи с крайне неудовлет</w:t>
      </w:r>
      <w:r w:rsidRPr="00A3026E">
        <w:rPr>
          <w:rFonts w:ascii="Times New Roman" w:hAnsi="Times New Roman"/>
          <w:color w:val="000000" w:themeColor="text1"/>
          <w:sz w:val="16"/>
          <w:szCs w:val="16"/>
        </w:rPr>
        <w:softHyphen/>
        <w:t>ворительным положением дел с довод</w:t>
      </w:r>
      <w:r w:rsidRPr="00A3026E">
        <w:rPr>
          <w:rFonts w:ascii="Times New Roman" w:hAnsi="Times New Roman"/>
          <w:color w:val="000000" w:themeColor="text1"/>
          <w:sz w:val="16"/>
          <w:szCs w:val="16"/>
        </w:rPr>
        <w:softHyphen/>
        <w:t>кой и серийным производством нового дальнего бомбардировщика ДБ-3ф, яв</w:t>
      </w:r>
      <w:r w:rsidRPr="00A3026E">
        <w:rPr>
          <w:rFonts w:ascii="Times New Roman" w:hAnsi="Times New Roman"/>
          <w:color w:val="000000" w:themeColor="text1"/>
          <w:sz w:val="16"/>
          <w:szCs w:val="16"/>
        </w:rPr>
        <w:softHyphen/>
        <w:t>лявшегося глубокой модификацией уже устаревшего к этому времени ДБ-3. Серийные образцы ДБ-3ф на госу</w:t>
      </w:r>
      <w:r w:rsidRPr="00A3026E">
        <w:rPr>
          <w:rFonts w:ascii="Times New Roman" w:hAnsi="Times New Roman"/>
          <w:color w:val="000000" w:themeColor="text1"/>
          <w:sz w:val="16"/>
          <w:szCs w:val="16"/>
        </w:rPr>
        <w:softHyphen/>
        <w:t>дарственных испытаниях в НИИ ВВС КА показывали весьма удручающие резуль</w:t>
      </w:r>
      <w:r w:rsidRPr="00A3026E">
        <w:rPr>
          <w:rFonts w:ascii="Times New Roman" w:hAnsi="Times New Roman"/>
          <w:color w:val="000000" w:themeColor="text1"/>
          <w:sz w:val="16"/>
          <w:szCs w:val="16"/>
        </w:rPr>
        <w:softHyphen/>
        <w:t>таты, сильно не дотягивая до требуемо</w:t>
      </w:r>
      <w:r w:rsidRPr="00A3026E">
        <w:rPr>
          <w:rFonts w:ascii="Times New Roman" w:hAnsi="Times New Roman"/>
          <w:color w:val="000000" w:themeColor="text1"/>
          <w:sz w:val="16"/>
          <w:szCs w:val="16"/>
        </w:rPr>
        <w:softHyphen/>
        <w:t>го военными уровня. Планы же выпуска и передачи ВВС КА нового бомбарди</w:t>
      </w:r>
      <w:r w:rsidRPr="00A3026E">
        <w:rPr>
          <w:rFonts w:ascii="Times New Roman" w:hAnsi="Times New Roman"/>
          <w:color w:val="000000" w:themeColor="text1"/>
          <w:sz w:val="16"/>
          <w:szCs w:val="16"/>
        </w:rPr>
        <w:softHyphen/>
        <w:t>ровщика заводами НКАП постоянно сры</w:t>
      </w:r>
      <w:r w:rsidRPr="00A3026E">
        <w:rPr>
          <w:rFonts w:ascii="Times New Roman" w:hAnsi="Times New Roman"/>
          <w:color w:val="000000" w:themeColor="text1"/>
          <w:sz w:val="16"/>
          <w:szCs w:val="16"/>
        </w:rPr>
        <w:softHyphen/>
        <w:t>вались. В отношении же бронированных штурмовиков конкурентов у С.В.Илью</w:t>
      </w:r>
      <w:r w:rsidRPr="00A3026E">
        <w:rPr>
          <w:rFonts w:ascii="Times New Roman" w:hAnsi="Times New Roman"/>
          <w:color w:val="000000" w:themeColor="text1"/>
          <w:sz w:val="16"/>
          <w:szCs w:val="16"/>
        </w:rPr>
        <w:softHyphen/>
        <w:t>шина пока не было. Ближайший сопер</w:t>
      </w:r>
      <w:r w:rsidRPr="00A3026E">
        <w:rPr>
          <w:rFonts w:ascii="Times New Roman" w:hAnsi="Times New Roman"/>
          <w:color w:val="000000" w:themeColor="text1"/>
          <w:sz w:val="16"/>
          <w:szCs w:val="16"/>
        </w:rPr>
        <w:softHyphen/>
        <w:t>ник ильюшинского БШ-2, одноместный бронированный штурмовик ОБШ М-71 П.О.Сухого, обещавший по скорости по</w:t>
      </w:r>
      <w:r w:rsidRPr="00A3026E">
        <w:rPr>
          <w:rFonts w:ascii="Times New Roman" w:hAnsi="Times New Roman"/>
          <w:color w:val="000000" w:themeColor="text1"/>
          <w:sz w:val="16"/>
          <w:szCs w:val="16"/>
        </w:rPr>
        <w:softHyphen/>
        <w:t>лета, скороподъемности и взлетно-посадочным характеристикам значитель</w:t>
      </w:r>
      <w:r w:rsidRPr="00A3026E">
        <w:rPr>
          <w:rFonts w:ascii="Times New Roman" w:hAnsi="Times New Roman"/>
          <w:color w:val="000000" w:themeColor="text1"/>
          <w:sz w:val="16"/>
          <w:szCs w:val="16"/>
        </w:rPr>
        <w:softHyphen/>
        <w:t>но превзойти БШ-2, находился на завер</w:t>
      </w:r>
      <w:r w:rsidRPr="00A3026E">
        <w:rPr>
          <w:rFonts w:ascii="Times New Roman" w:hAnsi="Times New Roman"/>
          <w:color w:val="000000" w:themeColor="text1"/>
          <w:sz w:val="16"/>
          <w:szCs w:val="16"/>
        </w:rPr>
        <w:softHyphen/>
        <w:t>шающей стадии проектирования. Штур</w:t>
      </w:r>
      <w:r w:rsidRPr="00A3026E">
        <w:rPr>
          <w:rFonts w:ascii="Times New Roman" w:hAnsi="Times New Roman"/>
          <w:color w:val="000000" w:themeColor="text1"/>
          <w:sz w:val="16"/>
          <w:szCs w:val="16"/>
        </w:rPr>
        <w:softHyphen/>
        <w:t>мовики С.А.Кочеригина (ОБШ М-81 ТК, ОПБ М-90), А.А.Дубровина (ОШ-АМ-35), ОКБ А.И.Микояна (ПБШ-1) и ОКБ заво</w:t>
      </w:r>
      <w:r w:rsidRPr="00A3026E">
        <w:rPr>
          <w:rFonts w:ascii="Times New Roman" w:hAnsi="Times New Roman"/>
          <w:color w:val="000000" w:themeColor="text1"/>
          <w:sz w:val="16"/>
          <w:szCs w:val="16"/>
        </w:rPr>
        <w:softHyphen/>
        <w:t>да №32 НКАП (БШ-МВ) были только-только начаты в разработке (6467).</w:t>
      </w:r>
    </w:p>
    <w:p w14:paraId="57E9D97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148D4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один из вновь собранных моторов АМ-38 с измененной степенью редукции (0,732 вместо 0,902) был передан на завод №39, который сразу же приступил к установке его на БШ-2 № 1 и к переделке последнего в одноместный вариант без воздушного стрелка (одновременно усиливалось бронирование со стороны задней полусферы и устанавливался дополнительный бензобак). Новая машина получила заводское обозначение ЦКБ-57.</w:t>
      </w:r>
    </w:p>
    <w:p w14:paraId="2208ED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Переделка БШ-2 из двухместного варианта в одноместный была исключительно инициативой ОКБ - Постановления Комитета обороны,или хотя бы решения об изменении С. В. Ильюшину задания, равно как и соответствующего приказа по НКАП, не было в природе.</w:t>
      </w:r>
    </w:p>
    <w:p w14:paraId="4B8EF3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Принятое С.В.Ильюшиным решение являлось в какой-то степени вынужденным, так как он и его ближайшие соратники не могли не понимать, что простой установкой на самолет (без кардинальных изменений в конструкции штурмовика) более мощного у земли мотора АМ-38, вместо АМ-35, быстро обеспечить предъявляемые к машине ТТТ невозможно.</w:t>
      </w:r>
    </w:p>
    <w:p w14:paraId="462BB9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понимали, что такая замена привела бы не только к увеличению скорости полета самолета и улучшению его маневренных качеств, но и к существенному уменьшению дальности полета из-за большего расхода горючего у АМ-38 (270-280 гр/л. с. час, вместо 245-255 гр/л. с. час у АМ-35), что было неприемлемо для военных в тактическом плане, а значит, машина государственных испытаний в очередной раз не выдержала бы.</w:t>
      </w:r>
    </w:p>
    <w:p w14:paraId="16713A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Доводка же двухместного варианта с новым мотором, опять же еще далеко не надежным, до требуемых ТТТ за счет изыскания внутренних резервов конструкции машины потребовала бы много времени и значительных усилий. Желание же С.В.Ильюшина как можно быстрее поставить БШ-2 в крупносерийное производство было велико.</w:t>
      </w:r>
    </w:p>
    <w:p w14:paraId="10EF9D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Дело в том, что в этот период для С.В.Ильюшина сложилась очень сложная ситуация в связи с крайне неудовлетворительным положением дел с доводкой и серийным производством нового дальнего бомбардировщика ДБ-3ф, являвшегося глубокой модификацией уже устаревшего к этому времени ДБ-3-го.</w:t>
      </w:r>
    </w:p>
    <w:p w14:paraId="537533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Серийные образцы ДБ-3ф на государственных испытаниях в НИИ ВВС КА показывали весьма удручающие результаты, сильно не дотягивая до требуемого военными уровня. Планы же выпуска и передачи ВВС КА нового бомбардировщика заводами НКАП постоянно срывались (9649).</w:t>
      </w:r>
    </w:p>
    <w:p w14:paraId="5248AE7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9594B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летный экземпляр нового двигателя, успешно прошедшего 50-часовые наземные испытания, поступил на завод № 39, началась его установка на опытный самолет ЦКБ-55 № 1 (9528).</w:t>
      </w:r>
    </w:p>
    <w:p w14:paraId="019FBF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с заменой двигателя самолет переделали в одноместный. Кабину стрелка убрали, а на ее месте установили дополнительный топливный бак. Усилили бронезащиту: за спиной летчика позади бака установили бронеперегородку толщиной 12 мм; предписанное увеличение толщины брони на боковых стенках кабины имитировали увеличением веса конструкции. Продольную устойчивость улучшили, увеличив площадь стабилизатора. Управление элеронами облегчили, изменив степень их аэродинамической компенсации. Наступательное вооружение самолета осталось прежним: четыре пулемета ШКАС и 400 кг бомб на внутренней подвеске. Одноместный вариант получил заводское обозначение ЦКБ-57.</w:t>
      </w:r>
    </w:p>
    <w:p w14:paraId="687342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ряде исследований, посвященных истории создания Ил-2, до сих пор не умолкают споры об истинных причинах появления его одноместного варианта. Отсутствие на сегодняшний день прямых документов, проливающих свет на это решение, приводит к появлению различных гипотез. Но следует иметь в виду, что госиспытания БШ-2 показали принципиальную возможность создания бронированного штурмовика с мощным вооружением, большой скоростью и хорошей маневренностью. Именно характеристики БШ-2 послужили отправной точкой для разработки военными специалистами ТТТ к новому поколению бронированных штурмовиков, естественно, с более высокими, чем у БШ-2, летно-техническими данными (9528).</w:t>
      </w:r>
    </w:p>
    <w:p w14:paraId="28D6A41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D60ED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один из вновь со</w:t>
      </w:r>
      <w:r w:rsidRPr="00A3026E">
        <w:rPr>
          <w:rFonts w:ascii="Times New Roman" w:hAnsi="Times New Roman"/>
          <w:color w:val="000000" w:themeColor="text1"/>
          <w:sz w:val="16"/>
          <w:szCs w:val="16"/>
        </w:rPr>
        <w:softHyphen/>
        <w:t>бранных моторов АМ-38 с уменьшен</w:t>
      </w:r>
      <w:r w:rsidRPr="00A3026E">
        <w:rPr>
          <w:rFonts w:ascii="Times New Roman" w:hAnsi="Times New Roman"/>
          <w:color w:val="000000" w:themeColor="text1"/>
          <w:sz w:val="16"/>
          <w:szCs w:val="16"/>
        </w:rPr>
        <w:softHyphen/>
        <w:t>ной степенью редукции был передан на завод № 39, который сразу же при</w:t>
      </w:r>
      <w:r w:rsidRPr="00A3026E">
        <w:rPr>
          <w:rFonts w:ascii="Times New Roman" w:hAnsi="Times New Roman"/>
          <w:color w:val="000000" w:themeColor="text1"/>
          <w:sz w:val="16"/>
          <w:szCs w:val="16"/>
        </w:rPr>
        <w:softHyphen/>
        <w:t>ступил к установке его на БШ-2 № 1 и к переделке последнего в одномест</w:t>
      </w:r>
      <w:r w:rsidRPr="00A3026E">
        <w:rPr>
          <w:rFonts w:ascii="Times New Roman" w:hAnsi="Times New Roman"/>
          <w:color w:val="000000" w:themeColor="text1"/>
          <w:sz w:val="16"/>
          <w:szCs w:val="16"/>
        </w:rPr>
        <w:softHyphen/>
        <w:t>ный вариант без воздушного стрелка (одновременно усиливалось брони</w:t>
      </w:r>
      <w:r w:rsidRPr="00A3026E">
        <w:rPr>
          <w:rFonts w:ascii="Times New Roman" w:hAnsi="Times New Roman"/>
          <w:color w:val="000000" w:themeColor="text1"/>
          <w:sz w:val="16"/>
          <w:szCs w:val="16"/>
        </w:rPr>
        <w:softHyphen/>
        <w:t>рование со стороны задней полусфе</w:t>
      </w:r>
      <w:r w:rsidRPr="00A3026E">
        <w:rPr>
          <w:rFonts w:ascii="Times New Roman" w:hAnsi="Times New Roman"/>
          <w:color w:val="000000" w:themeColor="text1"/>
          <w:sz w:val="16"/>
          <w:szCs w:val="16"/>
        </w:rPr>
        <w:softHyphen/>
        <w:t>ры и устанавливался дополнитель</w:t>
      </w:r>
      <w:r w:rsidRPr="00A3026E">
        <w:rPr>
          <w:rFonts w:ascii="Times New Roman" w:hAnsi="Times New Roman"/>
          <w:color w:val="000000" w:themeColor="text1"/>
          <w:sz w:val="16"/>
          <w:szCs w:val="16"/>
        </w:rPr>
        <w:softHyphen/>
        <w:t>ный бензобак). Новая машина полу</w:t>
      </w:r>
      <w:r w:rsidRPr="00A3026E">
        <w:rPr>
          <w:rFonts w:ascii="Times New Roman" w:hAnsi="Times New Roman"/>
          <w:color w:val="000000" w:themeColor="text1"/>
          <w:sz w:val="16"/>
          <w:szCs w:val="16"/>
        </w:rPr>
        <w:softHyphen/>
        <w:t>чила заводское обозначение ЦКБ-57. Переделка БШ-2 из двухместного ва</w:t>
      </w:r>
      <w:r w:rsidRPr="00A3026E">
        <w:rPr>
          <w:rFonts w:ascii="Times New Roman" w:hAnsi="Times New Roman"/>
          <w:color w:val="000000" w:themeColor="text1"/>
          <w:sz w:val="16"/>
          <w:szCs w:val="16"/>
        </w:rPr>
        <w:softHyphen/>
        <w:t>рианта в одноместный была исклю</w:t>
      </w:r>
      <w:r w:rsidRPr="00A3026E">
        <w:rPr>
          <w:rFonts w:ascii="Times New Roman" w:hAnsi="Times New Roman"/>
          <w:color w:val="000000" w:themeColor="text1"/>
          <w:sz w:val="16"/>
          <w:szCs w:val="16"/>
        </w:rPr>
        <w:softHyphen/>
        <w:t>чительно инициативой ОКБ — По</w:t>
      </w:r>
      <w:r w:rsidRPr="00A3026E">
        <w:rPr>
          <w:rFonts w:ascii="Times New Roman" w:hAnsi="Times New Roman"/>
          <w:color w:val="000000" w:themeColor="text1"/>
          <w:sz w:val="16"/>
          <w:szCs w:val="16"/>
        </w:rPr>
        <w:softHyphen/>
        <w:t>становления КО об изменении С. В. Ильюшину задания, равно как и соответствующего ему приказа по НКАП, не существовало (4140).</w:t>
      </w:r>
    </w:p>
    <w:p w14:paraId="1A78B3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Принятое Ильюшиным решение являлось в какой-то степени вынуж</w:t>
      </w:r>
      <w:r w:rsidRPr="00A3026E">
        <w:rPr>
          <w:rFonts w:ascii="Times New Roman" w:hAnsi="Times New Roman"/>
          <w:color w:val="000000" w:themeColor="text1"/>
          <w:sz w:val="16"/>
          <w:szCs w:val="16"/>
        </w:rPr>
        <w:softHyphen/>
        <w:t>денным. И он, и его ближайшие со</w:t>
      </w:r>
      <w:r w:rsidRPr="00A3026E">
        <w:rPr>
          <w:rFonts w:ascii="Times New Roman" w:hAnsi="Times New Roman"/>
          <w:color w:val="000000" w:themeColor="text1"/>
          <w:sz w:val="16"/>
          <w:szCs w:val="16"/>
        </w:rPr>
        <w:softHyphen/>
        <w:t>ратники не могли не понимать, что простой установкой более мощного у земли мотора быстро обеспечить предъявляемые к машине ТТТ не</w:t>
      </w:r>
      <w:r w:rsidRPr="00A3026E">
        <w:rPr>
          <w:rFonts w:ascii="Times New Roman" w:hAnsi="Times New Roman"/>
          <w:color w:val="000000" w:themeColor="text1"/>
          <w:sz w:val="16"/>
          <w:szCs w:val="16"/>
        </w:rPr>
        <w:softHyphen/>
        <w:t>возможно. Такая замена привела бы, конечно, к увеличению скорости са</w:t>
      </w:r>
      <w:r w:rsidRPr="00A3026E">
        <w:rPr>
          <w:rFonts w:ascii="Times New Roman" w:hAnsi="Times New Roman"/>
          <w:color w:val="000000" w:themeColor="text1"/>
          <w:sz w:val="16"/>
          <w:szCs w:val="16"/>
        </w:rPr>
        <w:softHyphen/>
        <w:t>молета и улучшению его маневрен</w:t>
      </w:r>
      <w:r w:rsidRPr="00A3026E">
        <w:rPr>
          <w:rFonts w:ascii="Times New Roman" w:hAnsi="Times New Roman"/>
          <w:color w:val="000000" w:themeColor="text1"/>
          <w:sz w:val="16"/>
          <w:szCs w:val="16"/>
        </w:rPr>
        <w:softHyphen/>
        <w:t>ных качеств, но, одновременно, су</w:t>
      </w:r>
      <w:r w:rsidRPr="00A3026E">
        <w:rPr>
          <w:rFonts w:ascii="Times New Roman" w:hAnsi="Times New Roman"/>
          <w:color w:val="000000" w:themeColor="text1"/>
          <w:sz w:val="16"/>
          <w:szCs w:val="16"/>
        </w:rPr>
        <w:softHyphen/>
        <w:t>щественно снизила бы дальность из-за большего расхода горючего у АМ-38 — а это было не приемлемо для военных. Как следствие, машина в очередной раз не выдержала бы гос. испытаний. Доводка двухместного варианта с новым, пока не слишком надежным мотором до требуемых ТТТ за счет изыскания внутренних резервов конструкции машины тре</w:t>
      </w:r>
      <w:r w:rsidRPr="00A3026E">
        <w:rPr>
          <w:rFonts w:ascii="Times New Roman" w:hAnsi="Times New Roman"/>
          <w:color w:val="000000" w:themeColor="text1"/>
          <w:sz w:val="16"/>
          <w:szCs w:val="16"/>
        </w:rPr>
        <w:softHyphen/>
        <w:t>бовала много времени и значитель</w:t>
      </w:r>
      <w:r w:rsidRPr="00A3026E">
        <w:rPr>
          <w:rFonts w:ascii="Times New Roman" w:hAnsi="Times New Roman"/>
          <w:color w:val="000000" w:themeColor="text1"/>
          <w:sz w:val="16"/>
          <w:szCs w:val="16"/>
        </w:rPr>
        <w:softHyphen/>
        <w:t>ных усилий. Желание же С. В. Илью</w:t>
      </w:r>
      <w:r w:rsidRPr="00A3026E">
        <w:rPr>
          <w:rFonts w:ascii="Times New Roman" w:hAnsi="Times New Roman"/>
          <w:color w:val="000000" w:themeColor="text1"/>
          <w:sz w:val="16"/>
          <w:szCs w:val="16"/>
        </w:rPr>
        <w:softHyphen/>
        <w:t>шина как можно быстрее поставить БШ-2 в крупносерийное производст</w:t>
      </w:r>
      <w:r w:rsidRPr="00A3026E">
        <w:rPr>
          <w:rFonts w:ascii="Times New Roman" w:hAnsi="Times New Roman"/>
          <w:color w:val="000000" w:themeColor="text1"/>
          <w:sz w:val="16"/>
          <w:szCs w:val="16"/>
        </w:rPr>
        <w:softHyphen/>
        <w:t>во было велико и вполне объяснимо (4140).</w:t>
      </w:r>
    </w:p>
    <w:p w14:paraId="238112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Кратко суть проблемы заключа</w:t>
      </w:r>
      <w:r w:rsidRPr="00A3026E">
        <w:rPr>
          <w:rFonts w:ascii="Times New Roman" w:hAnsi="Times New Roman"/>
          <w:color w:val="000000" w:themeColor="text1"/>
          <w:sz w:val="16"/>
          <w:szCs w:val="16"/>
        </w:rPr>
        <w:softHyphen/>
        <w:t>лась в следующем: ДБ-3 — основной бомбардировщик дальней авиации РККА — к началу 40-х гг. устарел уже настолько, что целесообразность его боевого применения была поставле</w:t>
      </w:r>
      <w:r w:rsidRPr="00A3026E">
        <w:rPr>
          <w:rFonts w:ascii="Times New Roman" w:hAnsi="Times New Roman"/>
          <w:color w:val="000000" w:themeColor="text1"/>
          <w:sz w:val="16"/>
          <w:szCs w:val="16"/>
        </w:rPr>
        <w:softHyphen/>
        <w:t>на под сомнение. Прекрасно задуман</w:t>
      </w:r>
      <w:r w:rsidRPr="00A3026E">
        <w:rPr>
          <w:rFonts w:ascii="Times New Roman" w:hAnsi="Times New Roman"/>
          <w:color w:val="000000" w:themeColor="text1"/>
          <w:sz w:val="16"/>
          <w:szCs w:val="16"/>
        </w:rPr>
        <w:softHyphen/>
        <w:t>ная глубокая его модификация — ДБ-3ф с моторами М-88, необдуман</w:t>
      </w:r>
      <w:r w:rsidRPr="00A3026E">
        <w:rPr>
          <w:rFonts w:ascii="Times New Roman" w:hAnsi="Times New Roman"/>
          <w:color w:val="000000" w:themeColor="text1"/>
          <w:sz w:val="16"/>
          <w:szCs w:val="16"/>
        </w:rPr>
        <w:softHyphen/>
        <w:t>ными сроками внедрения в серию была низведена до посредственно выполненной боевой машины. К на</w:t>
      </w:r>
      <w:r w:rsidRPr="00A3026E">
        <w:rPr>
          <w:rFonts w:ascii="Times New Roman" w:hAnsi="Times New Roman"/>
          <w:color w:val="000000" w:themeColor="text1"/>
          <w:sz w:val="16"/>
          <w:szCs w:val="16"/>
        </w:rPr>
        <w:softHyphen/>
        <w:t>чалу 1941-го серийные ДБ-3ф сильно не дотягивали до требуемого военны</w:t>
      </w:r>
      <w:r w:rsidRPr="00A3026E">
        <w:rPr>
          <w:rFonts w:ascii="Times New Roman" w:hAnsi="Times New Roman"/>
          <w:color w:val="000000" w:themeColor="text1"/>
          <w:sz w:val="16"/>
          <w:szCs w:val="16"/>
        </w:rPr>
        <w:softHyphen/>
        <w:t>ми уровня. Кроме того, ильюшинской машине буквально “наступал на пятки” дальний бомбардировщик ДБ-240 (Ер-2). Приказом по НКАП № 278сс от 10.07.40 г. последний запу</w:t>
      </w:r>
      <w:r w:rsidRPr="00A3026E">
        <w:rPr>
          <w:rFonts w:ascii="Times New Roman" w:hAnsi="Times New Roman"/>
          <w:color w:val="000000" w:themeColor="text1"/>
          <w:sz w:val="16"/>
          <w:szCs w:val="16"/>
        </w:rPr>
        <w:softHyphen/>
        <w:t>скался в крупносерийное производ</w:t>
      </w:r>
      <w:r w:rsidRPr="00A3026E">
        <w:rPr>
          <w:rFonts w:ascii="Times New Roman" w:hAnsi="Times New Roman"/>
          <w:color w:val="000000" w:themeColor="text1"/>
          <w:sz w:val="16"/>
          <w:szCs w:val="16"/>
        </w:rPr>
        <w:softHyphen/>
        <w:t>ство на воронежском авиазаводе № 18, где ранее строились ДБ-3ф. Ди</w:t>
      </w:r>
      <w:r w:rsidRPr="00A3026E">
        <w:rPr>
          <w:rFonts w:ascii="Times New Roman" w:hAnsi="Times New Roman"/>
          <w:color w:val="000000" w:themeColor="text1"/>
          <w:sz w:val="16"/>
          <w:szCs w:val="16"/>
        </w:rPr>
        <w:softHyphen/>
        <w:t>ректор завода М.Б. Шенкман обязы</w:t>
      </w:r>
      <w:r w:rsidRPr="00A3026E">
        <w:rPr>
          <w:rFonts w:ascii="Times New Roman" w:hAnsi="Times New Roman"/>
          <w:color w:val="000000" w:themeColor="text1"/>
          <w:sz w:val="16"/>
          <w:szCs w:val="16"/>
        </w:rPr>
        <w:softHyphen/>
        <w:t>вался выпустить в 1940 г. 700 ДБ-3ф и 70 ДБ-240, а в 1941 г. полностью пе</w:t>
      </w:r>
      <w:r w:rsidRPr="00A3026E">
        <w:rPr>
          <w:rFonts w:ascii="Times New Roman" w:hAnsi="Times New Roman"/>
          <w:color w:val="000000" w:themeColor="text1"/>
          <w:sz w:val="16"/>
          <w:szCs w:val="16"/>
        </w:rPr>
        <w:softHyphen/>
        <w:t>рейти на ДБ-240. То есть, самый со</w:t>
      </w:r>
      <w:r w:rsidRPr="00A3026E">
        <w:rPr>
          <w:rFonts w:ascii="Times New Roman" w:hAnsi="Times New Roman"/>
          <w:color w:val="000000" w:themeColor="text1"/>
          <w:sz w:val="16"/>
          <w:szCs w:val="16"/>
        </w:rPr>
        <w:softHyphen/>
        <w:t>временный авиазавод Советского Союза превращался из вотчины С. В. Ильюшина в вотчину главного конструктора ДБ-240 В. Г. Ермолаева. Положительное решение вопроса об окончательном снятии ДБ-3ф с се</w:t>
      </w:r>
      <w:r w:rsidRPr="00A3026E">
        <w:rPr>
          <w:rFonts w:ascii="Times New Roman" w:hAnsi="Times New Roman"/>
          <w:color w:val="000000" w:themeColor="text1"/>
          <w:sz w:val="16"/>
          <w:szCs w:val="16"/>
        </w:rPr>
        <w:softHyphen/>
        <w:t>рийного производства и на “личном” ильюшинском заводе № 39 представ</w:t>
      </w:r>
      <w:r w:rsidRPr="00A3026E">
        <w:rPr>
          <w:rFonts w:ascii="Times New Roman" w:hAnsi="Times New Roman"/>
          <w:color w:val="000000" w:themeColor="text1"/>
          <w:sz w:val="16"/>
          <w:szCs w:val="16"/>
        </w:rPr>
        <w:softHyphen/>
        <w:t>лялось делом недалекого будущего (4140).</w:t>
      </w:r>
    </w:p>
    <w:p w14:paraId="29B7AB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другой стороны, в отношении бронированных штурмовиков конку</w:t>
      </w:r>
      <w:r w:rsidRPr="00A3026E">
        <w:rPr>
          <w:rFonts w:ascii="Times New Roman" w:hAnsi="Times New Roman"/>
          <w:color w:val="000000" w:themeColor="text1"/>
          <w:sz w:val="16"/>
          <w:szCs w:val="16"/>
        </w:rPr>
        <w:softHyphen/>
        <w:t>рентов у Ильюшина в то время не было. Ближайший соперник БШ-2 — одноместный бронированный штур</w:t>
      </w:r>
      <w:r w:rsidRPr="00A3026E">
        <w:rPr>
          <w:rFonts w:ascii="Times New Roman" w:hAnsi="Times New Roman"/>
          <w:color w:val="000000" w:themeColor="text1"/>
          <w:sz w:val="16"/>
          <w:szCs w:val="16"/>
        </w:rPr>
        <w:softHyphen/>
        <w:t>мовик ОБШ М-71 П.0. Сухого, обе</w:t>
      </w:r>
      <w:r w:rsidRPr="00A3026E">
        <w:rPr>
          <w:rFonts w:ascii="Times New Roman" w:hAnsi="Times New Roman"/>
          <w:color w:val="000000" w:themeColor="text1"/>
          <w:sz w:val="16"/>
          <w:szCs w:val="16"/>
        </w:rPr>
        <w:softHyphen/>
        <w:t>щавший по скорости, скороподъем</w:t>
      </w:r>
      <w:r w:rsidRPr="00A3026E">
        <w:rPr>
          <w:rFonts w:ascii="Times New Roman" w:hAnsi="Times New Roman"/>
          <w:color w:val="000000" w:themeColor="text1"/>
          <w:sz w:val="16"/>
          <w:szCs w:val="16"/>
        </w:rPr>
        <w:softHyphen/>
        <w:t>ности и взлетно-посадочным харак</w:t>
      </w:r>
      <w:r w:rsidRPr="00A3026E">
        <w:rPr>
          <w:rFonts w:ascii="Times New Roman" w:hAnsi="Times New Roman"/>
          <w:color w:val="000000" w:themeColor="text1"/>
          <w:sz w:val="16"/>
          <w:szCs w:val="16"/>
        </w:rPr>
        <w:softHyphen/>
        <w:t>теристикам значительно превзойти БШ-2 — находился на завершающей стадии проектирования. Разработка же штурмовиков С. А. Кочеригина (ОБШ М-81 ТК, ОПБ М-89), А. А. Ду</w:t>
      </w:r>
      <w:r w:rsidRPr="00A3026E">
        <w:rPr>
          <w:rFonts w:ascii="Times New Roman" w:hAnsi="Times New Roman"/>
          <w:color w:val="000000" w:themeColor="text1"/>
          <w:sz w:val="16"/>
          <w:szCs w:val="16"/>
        </w:rPr>
        <w:softHyphen/>
        <w:t>бровина (ОШ-АМ-35), ОКБ А. И. Ми</w:t>
      </w:r>
      <w:r w:rsidRPr="00A3026E">
        <w:rPr>
          <w:rFonts w:ascii="Times New Roman" w:hAnsi="Times New Roman"/>
          <w:color w:val="000000" w:themeColor="text1"/>
          <w:sz w:val="16"/>
          <w:szCs w:val="16"/>
        </w:rPr>
        <w:softHyphen/>
        <w:t>кояна (ПБШ-1) и ОКБ завода № 32 НКАП (БШ-МВ) едва началась (4140).</w:t>
      </w:r>
    </w:p>
    <w:p w14:paraId="06282B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Ильюшин оказался в патовой си</w:t>
      </w:r>
      <w:r w:rsidRPr="00A3026E">
        <w:rPr>
          <w:rFonts w:ascii="Times New Roman" w:hAnsi="Times New Roman"/>
          <w:color w:val="000000" w:themeColor="text1"/>
          <w:sz w:val="16"/>
          <w:szCs w:val="16"/>
        </w:rPr>
        <w:softHyphen/>
        <w:t>туации. Военные вполне справедли</w:t>
      </w:r>
      <w:r w:rsidRPr="00A3026E">
        <w:rPr>
          <w:rFonts w:ascii="Times New Roman" w:hAnsi="Times New Roman"/>
          <w:color w:val="000000" w:themeColor="text1"/>
          <w:sz w:val="16"/>
          <w:szCs w:val="16"/>
        </w:rPr>
        <w:softHyphen/>
        <w:t>во требовали срочного приведения в соответствие с ТТТ летных данных как БШ-2, так и ДБ-3ф. Но доведение обоих самолетов до необходимого уровня, так сказать, “правильным пу</w:t>
      </w:r>
      <w:r w:rsidRPr="00A3026E">
        <w:rPr>
          <w:rFonts w:ascii="Times New Roman" w:hAnsi="Times New Roman"/>
          <w:color w:val="000000" w:themeColor="text1"/>
          <w:sz w:val="16"/>
          <w:szCs w:val="16"/>
        </w:rPr>
        <w:softHyphen/>
        <w:t>тем” требовало огромных усилий и, самое главное, много времени. Ав</w:t>
      </w:r>
      <w:r w:rsidRPr="00A3026E">
        <w:rPr>
          <w:rFonts w:ascii="Times New Roman" w:hAnsi="Times New Roman"/>
          <w:color w:val="000000" w:themeColor="text1"/>
          <w:sz w:val="16"/>
          <w:szCs w:val="16"/>
        </w:rPr>
        <w:softHyphen/>
        <w:t>торитет С. В. Ильюшина как Главно</w:t>
      </w:r>
      <w:r w:rsidRPr="00A3026E">
        <w:rPr>
          <w:rFonts w:ascii="Times New Roman" w:hAnsi="Times New Roman"/>
          <w:color w:val="000000" w:themeColor="text1"/>
          <w:sz w:val="16"/>
          <w:szCs w:val="16"/>
        </w:rPr>
        <w:softHyphen/>
        <w:t>го конструктора боевых самолетов в глазах военных неуклонно падал, назревали “оргвыводы” и потеря се</w:t>
      </w:r>
      <w:r w:rsidRPr="00A3026E">
        <w:rPr>
          <w:rFonts w:ascii="Times New Roman" w:hAnsi="Times New Roman"/>
          <w:color w:val="000000" w:themeColor="text1"/>
          <w:sz w:val="16"/>
          <w:szCs w:val="16"/>
        </w:rPr>
        <w:softHyphen/>
        <w:t>рийных заводов (4140).</w:t>
      </w:r>
    </w:p>
    <w:p w14:paraId="4E27A9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этой связи переделка находяще</w:t>
      </w:r>
      <w:r w:rsidRPr="00A3026E">
        <w:rPr>
          <w:rFonts w:ascii="Times New Roman" w:hAnsi="Times New Roman"/>
          <w:color w:val="000000" w:themeColor="text1"/>
          <w:sz w:val="16"/>
          <w:szCs w:val="16"/>
        </w:rPr>
        <w:softHyphen/>
        <w:t>гося пока вне конкуренции БШ-2 из двухместного в одноместный (с по</w:t>
      </w:r>
      <w:r w:rsidRPr="00A3026E">
        <w:rPr>
          <w:rFonts w:ascii="Times New Roman" w:hAnsi="Times New Roman"/>
          <w:color w:val="000000" w:themeColor="text1"/>
          <w:sz w:val="16"/>
          <w:szCs w:val="16"/>
        </w:rPr>
        <w:softHyphen/>
        <w:t>следующим переходом, по мере со</w:t>
      </w:r>
      <w:r w:rsidRPr="00A3026E">
        <w:rPr>
          <w:rFonts w:ascii="Times New Roman" w:hAnsi="Times New Roman"/>
          <w:color w:val="000000" w:themeColor="text1"/>
          <w:sz w:val="16"/>
          <w:szCs w:val="16"/>
        </w:rPr>
        <w:softHyphen/>
        <w:t>вершенствования АМ-38, к двухмест</w:t>
      </w:r>
      <w:r w:rsidRPr="00A3026E">
        <w:rPr>
          <w:rFonts w:ascii="Times New Roman" w:hAnsi="Times New Roman"/>
          <w:color w:val="000000" w:themeColor="text1"/>
          <w:sz w:val="16"/>
          <w:szCs w:val="16"/>
        </w:rPr>
        <w:softHyphen/>
        <w:t>ному варианту) и форсирование по нему доводочных работ, даже в ущерб серии ДБ-3ф, вполне логичны. Этот шаг позволял весьма быстро запус</w:t>
      </w:r>
      <w:r w:rsidRPr="00A3026E">
        <w:rPr>
          <w:rFonts w:ascii="Times New Roman" w:hAnsi="Times New Roman"/>
          <w:color w:val="000000" w:themeColor="text1"/>
          <w:sz w:val="16"/>
          <w:szCs w:val="16"/>
        </w:rPr>
        <w:softHyphen/>
        <w:t>тить новый штурмовик в серию и во</w:t>
      </w:r>
      <w:r w:rsidRPr="00A3026E">
        <w:rPr>
          <w:rFonts w:ascii="Times New Roman" w:hAnsi="Times New Roman"/>
          <w:color w:val="000000" w:themeColor="text1"/>
          <w:sz w:val="16"/>
          <w:szCs w:val="16"/>
        </w:rPr>
        <w:softHyphen/>
        <w:t>оружить ВВС РККА современным ти</w:t>
      </w:r>
      <w:r w:rsidRPr="00A3026E">
        <w:rPr>
          <w:rFonts w:ascii="Times New Roman" w:hAnsi="Times New Roman"/>
          <w:color w:val="000000" w:themeColor="text1"/>
          <w:sz w:val="16"/>
          <w:szCs w:val="16"/>
        </w:rPr>
        <w:softHyphen/>
        <w:t>пом боевого самолета, а так же сохра</w:t>
      </w:r>
      <w:r w:rsidRPr="00A3026E">
        <w:rPr>
          <w:rFonts w:ascii="Times New Roman" w:hAnsi="Times New Roman"/>
          <w:color w:val="000000" w:themeColor="text1"/>
          <w:sz w:val="16"/>
          <w:szCs w:val="16"/>
        </w:rPr>
        <w:softHyphen/>
        <w:t>нить “под собой” мощную опытно-производственную базу. О цене же та</w:t>
      </w:r>
      <w:r w:rsidRPr="00A3026E">
        <w:rPr>
          <w:rFonts w:ascii="Times New Roman" w:hAnsi="Times New Roman"/>
          <w:color w:val="000000" w:themeColor="text1"/>
          <w:sz w:val="16"/>
          <w:szCs w:val="16"/>
        </w:rPr>
        <w:softHyphen/>
        <w:t>кого решения, измеряемого в услови</w:t>
      </w:r>
      <w:r w:rsidRPr="00A3026E">
        <w:rPr>
          <w:rFonts w:ascii="Times New Roman" w:hAnsi="Times New Roman"/>
          <w:color w:val="000000" w:themeColor="text1"/>
          <w:sz w:val="16"/>
          <w:szCs w:val="16"/>
        </w:rPr>
        <w:softHyphen/>
        <w:t>ях большой войны многими сотнями жизней летчиков, тогда, по-видимо</w:t>
      </w:r>
      <w:r w:rsidRPr="00A3026E">
        <w:rPr>
          <w:rFonts w:ascii="Times New Roman" w:hAnsi="Times New Roman"/>
          <w:color w:val="000000" w:themeColor="text1"/>
          <w:sz w:val="16"/>
          <w:szCs w:val="16"/>
        </w:rPr>
        <w:softHyphen/>
        <w:t>му, особо не задумывались.. (4140).</w:t>
      </w:r>
    </w:p>
    <w:p w14:paraId="62A658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Впрочем, по прошествии столь</w:t>
      </w:r>
      <w:r w:rsidRPr="00A3026E">
        <w:rPr>
          <w:rFonts w:ascii="Times New Roman" w:hAnsi="Times New Roman"/>
          <w:color w:val="000000" w:themeColor="text1"/>
          <w:sz w:val="16"/>
          <w:szCs w:val="16"/>
        </w:rPr>
        <w:softHyphen/>
        <w:t>ких лет об истинных причинах при</w:t>
      </w:r>
      <w:r w:rsidRPr="00A3026E">
        <w:rPr>
          <w:rFonts w:ascii="Times New Roman" w:hAnsi="Times New Roman"/>
          <w:color w:val="000000" w:themeColor="text1"/>
          <w:sz w:val="16"/>
          <w:szCs w:val="16"/>
        </w:rPr>
        <w:softHyphen/>
        <w:t>нятого С. В. Ильюшиным решения остается лишь гадать. Факты же ос</w:t>
      </w:r>
      <w:r w:rsidRPr="00A3026E">
        <w:rPr>
          <w:rFonts w:ascii="Times New Roman" w:hAnsi="Times New Roman"/>
          <w:color w:val="000000" w:themeColor="text1"/>
          <w:sz w:val="16"/>
          <w:szCs w:val="16"/>
        </w:rPr>
        <w:softHyphen/>
        <w:t>таются фактами — существование ЦКБ-57 было узаконено лишь накану</w:t>
      </w:r>
      <w:r w:rsidRPr="00A3026E">
        <w:rPr>
          <w:rFonts w:ascii="Times New Roman" w:hAnsi="Times New Roman"/>
          <w:color w:val="000000" w:themeColor="text1"/>
          <w:sz w:val="16"/>
          <w:szCs w:val="16"/>
        </w:rPr>
        <w:softHyphen/>
        <w:t>не (!) его первого вылета, когда при</w:t>
      </w:r>
      <w:r w:rsidRPr="00A3026E">
        <w:rPr>
          <w:rFonts w:ascii="Times New Roman" w:hAnsi="Times New Roman"/>
          <w:color w:val="000000" w:themeColor="text1"/>
          <w:sz w:val="16"/>
          <w:szCs w:val="16"/>
        </w:rPr>
        <w:softHyphen/>
        <w:t>казом по НКАП, подписанным 11 ок</w:t>
      </w:r>
      <w:r w:rsidRPr="00A3026E">
        <w:rPr>
          <w:rFonts w:ascii="Times New Roman" w:hAnsi="Times New Roman"/>
          <w:color w:val="000000" w:themeColor="text1"/>
          <w:sz w:val="16"/>
          <w:szCs w:val="16"/>
        </w:rPr>
        <w:softHyphen/>
        <w:t>тября 1940 г. заместителем наркома авиационной промышленности по опытному строительству и науке А. С. Яковлевым, С. В. Ильюшину по</w:t>
      </w:r>
      <w:r w:rsidRPr="00A3026E">
        <w:rPr>
          <w:rFonts w:ascii="Times New Roman" w:hAnsi="Times New Roman"/>
          <w:color w:val="000000" w:themeColor="text1"/>
          <w:sz w:val="16"/>
          <w:szCs w:val="16"/>
        </w:rPr>
        <w:softHyphen/>
        <w:t>ручалось к 15 октября 1940 г. выпус</w:t>
      </w:r>
      <w:r w:rsidRPr="00A3026E">
        <w:rPr>
          <w:rFonts w:ascii="Times New Roman" w:hAnsi="Times New Roman"/>
          <w:color w:val="000000" w:themeColor="text1"/>
          <w:sz w:val="16"/>
          <w:szCs w:val="16"/>
        </w:rPr>
        <w:softHyphen/>
        <w:t>тить на заводские летные испыта</w:t>
      </w:r>
      <w:r w:rsidRPr="00A3026E">
        <w:rPr>
          <w:rFonts w:ascii="Times New Roman" w:hAnsi="Times New Roman"/>
          <w:color w:val="000000" w:themeColor="text1"/>
          <w:sz w:val="16"/>
          <w:szCs w:val="16"/>
        </w:rPr>
        <w:softHyphen/>
        <w:t>ния самолет БШ-2 № 1 с АМ-38 в од</w:t>
      </w:r>
      <w:r w:rsidRPr="00A3026E">
        <w:rPr>
          <w:rFonts w:ascii="Times New Roman" w:hAnsi="Times New Roman"/>
          <w:color w:val="000000" w:themeColor="text1"/>
          <w:sz w:val="16"/>
          <w:szCs w:val="16"/>
        </w:rPr>
        <w:softHyphen/>
        <w:t>номестном и в двухместном вариан</w:t>
      </w:r>
      <w:r w:rsidRPr="00A3026E">
        <w:rPr>
          <w:rFonts w:ascii="Times New Roman" w:hAnsi="Times New Roman"/>
          <w:color w:val="000000" w:themeColor="text1"/>
          <w:sz w:val="16"/>
          <w:szCs w:val="16"/>
        </w:rPr>
        <w:softHyphen/>
        <w:t>тах. Этим же приказом для проведе</w:t>
      </w:r>
      <w:r w:rsidRPr="00A3026E">
        <w:rPr>
          <w:rFonts w:ascii="Times New Roman" w:hAnsi="Times New Roman"/>
          <w:color w:val="000000" w:themeColor="text1"/>
          <w:sz w:val="16"/>
          <w:szCs w:val="16"/>
        </w:rPr>
        <w:softHyphen/>
        <w:t>ния летных испытаний назначался летчик-испытатель В. К. Коккинаки, а сами испытания требовалось завер</w:t>
      </w:r>
      <w:r w:rsidRPr="00A3026E">
        <w:rPr>
          <w:rFonts w:ascii="Times New Roman" w:hAnsi="Times New Roman"/>
          <w:color w:val="000000" w:themeColor="text1"/>
          <w:sz w:val="16"/>
          <w:szCs w:val="16"/>
        </w:rPr>
        <w:softHyphen/>
        <w:t>шить в течение 1,5 месяцев (4140).</w:t>
      </w:r>
    </w:p>
    <w:p w14:paraId="229369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Этот приказ вызывает недоуме</w:t>
      </w:r>
      <w:r w:rsidRPr="00A3026E">
        <w:rPr>
          <w:rFonts w:ascii="Times New Roman" w:hAnsi="Times New Roman"/>
          <w:color w:val="000000" w:themeColor="text1"/>
          <w:sz w:val="16"/>
          <w:szCs w:val="16"/>
        </w:rPr>
        <w:softHyphen/>
        <w:t>ние. Во-первых, как можно в один и тот же день передать на испытания один и тот же экземпляр самолета в одно- и в двухместном вариантах?.. Во-вторых, приказ отпечатан от име</w:t>
      </w:r>
      <w:r w:rsidRPr="00A3026E">
        <w:rPr>
          <w:rFonts w:ascii="Times New Roman" w:hAnsi="Times New Roman"/>
          <w:color w:val="000000" w:themeColor="text1"/>
          <w:sz w:val="16"/>
          <w:szCs w:val="16"/>
        </w:rPr>
        <w:softHyphen/>
        <w:t>ни Наркома А. И. Шахурина, однако подписал его А. С. Яковлев — третье лицо в табели о рангах наркомата (4140).</w:t>
      </w:r>
    </w:p>
    <w:p w14:paraId="0C51E1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Он же и завизировал приказ! То есть, отсутствие на приказе подписи нар</w:t>
      </w:r>
      <w:r w:rsidRPr="00A3026E">
        <w:rPr>
          <w:rFonts w:ascii="Times New Roman" w:hAnsi="Times New Roman"/>
          <w:color w:val="000000" w:themeColor="text1"/>
          <w:sz w:val="16"/>
          <w:szCs w:val="16"/>
        </w:rPr>
        <w:softHyphen/>
        <w:t>кома — не простая случайность. В-третьих, в тексте приказа не указан номер Постановления Комитета обо</w:t>
      </w:r>
      <w:r w:rsidRPr="00A3026E">
        <w:rPr>
          <w:rFonts w:ascii="Times New Roman" w:hAnsi="Times New Roman"/>
          <w:color w:val="000000" w:themeColor="text1"/>
          <w:sz w:val="16"/>
          <w:szCs w:val="16"/>
        </w:rPr>
        <w:softHyphen/>
        <w:t>роны при СНК, во исполнение кото</w:t>
      </w:r>
      <w:r w:rsidRPr="00A3026E">
        <w:rPr>
          <w:rFonts w:ascii="Times New Roman" w:hAnsi="Times New Roman"/>
          <w:color w:val="000000" w:themeColor="text1"/>
          <w:sz w:val="16"/>
          <w:szCs w:val="16"/>
        </w:rPr>
        <w:softHyphen/>
        <w:t>рого должен был бы выйти этот при</w:t>
      </w:r>
      <w:r w:rsidRPr="00A3026E">
        <w:rPr>
          <w:rFonts w:ascii="Times New Roman" w:hAnsi="Times New Roman"/>
          <w:color w:val="000000" w:themeColor="text1"/>
          <w:sz w:val="16"/>
          <w:szCs w:val="16"/>
        </w:rPr>
        <w:softHyphen/>
        <w:t>каз. Номер же Постановления КО яв</w:t>
      </w:r>
      <w:r w:rsidRPr="00A3026E">
        <w:rPr>
          <w:rFonts w:ascii="Times New Roman" w:hAnsi="Times New Roman"/>
          <w:color w:val="000000" w:themeColor="text1"/>
          <w:sz w:val="16"/>
          <w:szCs w:val="16"/>
        </w:rPr>
        <w:softHyphen/>
        <w:t>лялся в то время неотъемлемой час</w:t>
      </w:r>
      <w:r w:rsidRPr="00A3026E">
        <w:rPr>
          <w:rFonts w:ascii="Times New Roman" w:hAnsi="Times New Roman"/>
          <w:color w:val="000000" w:themeColor="text1"/>
          <w:sz w:val="16"/>
          <w:szCs w:val="16"/>
        </w:rPr>
        <w:softHyphen/>
        <w:t>тью любого приказа по НКАП, изме</w:t>
      </w:r>
      <w:r w:rsidRPr="00A3026E">
        <w:rPr>
          <w:rFonts w:ascii="Times New Roman" w:hAnsi="Times New Roman"/>
          <w:color w:val="000000" w:themeColor="text1"/>
          <w:sz w:val="16"/>
          <w:szCs w:val="16"/>
        </w:rPr>
        <w:softHyphen/>
        <w:t>няющего техническое задание конст</w:t>
      </w:r>
      <w:r w:rsidRPr="00A3026E">
        <w:rPr>
          <w:rFonts w:ascii="Times New Roman" w:hAnsi="Times New Roman"/>
          <w:color w:val="000000" w:themeColor="text1"/>
          <w:sz w:val="16"/>
          <w:szCs w:val="16"/>
        </w:rPr>
        <w:softHyphen/>
        <w:t>руктору, и не мог быть случайно за</w:t>
      </w:r>
      <w:r w:rsidRPr="00A3026E">
        <w:rPr>
          <w:rFonts w:ascii="Times New Roman" w:hAnsi="Times New Roman"/>
          <w:color w:val="000000" w:themeColor="text1"/>
          <w:sz w:val="16"/>
          <w:szCs w:val="16"/>
        </w:rPr>
        <w:softHyphen/>
        <w:t>быт тогдашними бюрократами. По существовавшему в то время порядку, новый вариант самолета мог быть за</w:t>
      </w:r>
      <w:r w:rsidRPr="00A3026E">
        <w:rPr>
          <w:rFonts w:ascii="Times New Roman" w:hAnsi="Times New Roman"/>
          <w:color w:val="000000" w:themeColor="text1"/>
          <w:sz w:val="16"/>
          <w:szCs w:val="16"/>
        </w:rPr>
        <w:softHyphen/>
        <w:t>дан только через Постановление, в крайнем случае — через Решение Комитета обороны при СНК. В По</w:t>
      </w:r>
      <w:r w:rsidRPr="00A3026E">
        <w:rPr>
          <w:rFonts w:ascii="Times New Roman" w:hAnsi="Times New Roman"/>
          <w:color w:val="000000" w:themeColor="text1"/>
          <w:sz w:val="16"/>
          <w:szCs w:val="16"/>
        </w:rPr>
        <w:softHyphen/>
        <w:t>становлении в обязательном порядке для НКАП определялись количество опытных образцов и сроки их предъ</w:t>
      </w:r>
      <w:r w:rsidRPr="00A3026E">
        <w:rPr>
          <w:rFonts w:ascii="Times New Roman" w:hAnsi="Times New Roman"/>
          <w:color w:val="000000" w:themeColor="text1"/>
          <w:sz w:val="16"/>
          <w:szCs w:val="16"/>
        </w:rPr>
        <w:softHyphen/>
        <w:t>явления на испытания, а Главному уп</w:t>
      </w:r>
      <w:r w:rsidRPr="00A3026E">
        <w:rPr>
          <w:rFonts w:ascii="Times New Roman" w:hAnsi="Times New Roman"/>
          <w:color w:val="000000" w:themeColor="text1"/>
          <w:sz w:val="16"/>
          <w:szCs w:val="16"/>
        </w:rPr>
        <w:softHyphen/>
        <w:t>равлению ВВС РККА ставилась зада</w:t>
      </w:r>
      <w:r w:rsidRPr="00A3026E">
        <w:rPr>
          <w:rFonts w:ascii="Times New Roman" w:hAnsi="Times New Roman"/>
          <w:color w:val="000000" w:themeColor="text1"/>
          <w:sz w:val="16"/>
          <w:szCs w:val="16"/>
        </w:rPr>
        <w:softHyphen/>
        <w:t>ча к определенному сроку разрабо</w:t>
      </w:r>
      <w:r w:rsidRPr="00A3026E">
        <w:rPr>
          <w:rFonts w:ascii="Times New Roman" w:hAnsi="Times New Roman"/>
          <w:color w:val="000000" w:themeColor="text1"/>
          <w:sz w:val="16"/>
          <w:szCs w:val="16"/>
        </w:rPr>
        <w:softHyphen/>
        <w:t>тать ТТТ на новый вариант самоле</w:t>
      </w:r>
      <w:r w:rsidRPr="00A3026E">
        <w:rPr>
          <w:rFonts w:ascii="Times New Roman" w:hAnsi="Times New Roman"/>
          <w:color w:val="000000" w:themeColor="text1"/>
          <w:sz w:val="16"/>
          <w:szCs w:val="16"/>
        </w:rPr>
        <w:softHyphen/>
        <w:t>та. Лишь после этого издавался При</w:t>
      </w:r>
      <w:r w:rsidRPr="00A3026E">
        <w:rPr>
          <w:rFonts w:ascii="Times New Roman" w:hAnsi="Times New Roman"/>
          <w:color w:val="000000" w:themeColor="text1"/>
          <w:sz w:val="16"/>
          <w:szCs w:val="16"/>
        </w:rPr>
        <w:softHyphen/>
        <w:t>каз по НКАП. В упомянутом выше приказе никакой ссылки на Поста</w:t>
      </w:r>
      <w:r w:rsidRPr="00A3026E">
        <w:rPr>
          <w:rFonts w:ascii="Times New Roman" w:hAnsi="Times New Roman"/>
          <w:color w:val="000000" w:themeColor="text1"/>
          <w:sz w:val="16"/>
          <w:szCs w:val="16"/>
        </w:rPr>
        <w:softHyphen/>
        <w:t>новление Комитета Обороны нет. В-четвертых, из текста приказа сле</w:t>
      </w:r>
      <w:r w:rsidRPr="00A3026E">
        <w:rPr>
          <w:rFonts w:ascii="Times New Roman" w:hAnsi="Times New Roman"/>
          <w:color w:val="000000" w:themeColor="text1"/>
          <w:sz w:val="16"/>
          <w:szCs w:val="16"/>
        </w:rPr>
        <w:softHyphen/>
        <w:t>дует, что наркомат ничего не знал о проделанной в ОКБ С. В. Ильюшина работе по переделке БШ-2 в одноме</w:t>
      </w:r>
      <w:r w:rsidRPr="00A3026E">
        <w:rPr>
          <w:rFonts w:ascii="Times New Roman" w:hAnsi="Times New Roman"/>
          <w:color w:val="000000" w:themeColor="text1"/>
          <w:sz w:val="16"/>
          <w:szCs w:val="16"/>
        </w:rPr>
        <w:softHyphen/>
        <w:t>стный вариант, что само по себе ма</w:t>
      </w:r>
      <w:r w:rsidRPr="00A3026E">
        <w:rPr>
          <w:rFonts w:ascii="Times New Roman" w:hAnsi="Times New Roman"/>
          <w:color w:val="000000" w:themeColor="text1"/>
          <w:sz w:val="16"/>
          <w:szCs w:val="16"/>
        </w:rPr>
        <w:softHyphen/>
        <w:t>ловероятно (4140).</w:t>
      </w:r>
    </w:p>
    <w:p w14:paraId="3C4533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Надо полагать, что к 11 октября переделка БШ-2 в одноместный вари</w:t>
      </w:r>
      <w:r w:rsidRPr="00A3026E">
        <w:rPr>
          <w:rFonts w:ascii="Times New Roman" w:hAnsi="Times New Roman"/>
          <w:color w:val="000000" w:themeColor="text1"/>
          <w:sz w:val="16"/>
          <w:szCs w:val="16"/>
        </w:rPr>
        <w:softHyphen/>
        <w:t>ант была уже закончена, и Ильюшин обратился к руководству НКАП за разрешением начать заводские лет</w:t>
      </w:r>
      <w:r w:rsidRPr="00A3026E">
        <w:rPr>
          <w:rFonts w:ascii="Times New Roman" w:hAnsi="Times New Roman"/>
          <w:color w:val="000000" w:themeColor="text1"/>
          <w:sz w:val="16"/>
          <w:szCs w:val="16"/>
        </w:rPr>
        <w:softHyphen/>
        <w:t>ные испытания новой машины. “Муд</w:t>
      </w:r>
      <w:r w:rsidRPr="00A3026E">
        <w:rPr>
          <w:rFonts w:ascii="Times New Roman" w:hAnsi="Times New Roman"/>
          <w:color w:val="000000" w:themeColor="text1"/>
          <w:sz w:val="16"/>
          <w:szCs w:val="16"/>
        </w:rPr>
        <w:softHyphen/>
        <w:t>рое руководство”, в лице Шахурина и Яковлева, понимая, что задача со</w:t>
      </w:r>
      <w:r w:rsidRPr="00A3026E">
        <w:rPr>
          <w:rFonts w:ascii="Times New Roman" w:hAnsi="Times New Roman"/>
          <w:color w:val="000000" w:themeColor="text1"/>
          <w:sz w:val="16"/>
          <w:szCs w:val="16"/>
        </w:rPr>
        <w:softHyphen/>
        <w:t>здания двухместного бронированно</w:t>
      </w:r>
      <w:r w:rsidRPr="00A3026E">
        <w:rPr>
          <w:rFonts w:ascii="Times New Roman" w:hAnsi="Times New Roman"/>
          <w:color w:val="000000" w:themeColor="text1"/>
          <w:sz w:val="16"/>
          <w:szCs w:val="16"/>
        </w:rPr>
        <w:softHyphen/>
        <w:t>го штурмовика БШ-2 военными не снималась, а Сталин, по имеющимся у них сведениям, склонен согласить</w:t>
      </w:r>
      <w:r w:rsidRPr="00A3026E">
        <w:rPr>
          <w:rFonts w:ascii="Times New Roman" w:hAnsi="Times New Roman"/>
          <w:color w:val="000000" w:themeColor="text1"/>
          <w:sz w:val="16"/>
          <w:szCs w:val="16"/>
        </w:rPr>
        <w:softHyphen/>
        <w:t>ся на соломоново решение, предус</w:t>
      </w:r>
      <w:r w:rsidRPr="00A3026E">
        <w:rPr>
          <w:rFonts w:ascii="Times New Roman" w:hAnsi="Times New Roman"/>
          <w:color w:val="000000" w:themeColor="text1"/>
          <w:sz w:val="16"/>
          <w:szCs w:val="16"/>
        </w:rPr>
        <w:softHyphen/>
        <w:t>мотрели в приказе проведение завод</w:t>
      </w:r>
      <w:r w:rsidRPr="00A3026E">
        <w:rPr>
          <w:rFonts w:ascii="Times New Roman" w:hAnsi="Times New Roman"/>
          <w:color w:val="000000" w:themeColor="text1"/>
          <w:sz w:val="16"/>
          <w:szCs w:val="16"/>
        </w:rPr>
        <w:softHyphen/>
        <w:t>ских летных испытаний БШ-2 одно</w:t>
      </w:r>
      <w:r w:rsidRPr="00A3026E">
        <w:rPr>
          <w:rFonts w:ascii="Times New Roman" w:hAnsi="Times New Roman"/>
          <w:color w:val="000000" w:themeColor="text1"/>
          <w:sz w:val="16"/>
          <w:szCs w:val="16"/>
        </w:rPr>
        <w:softHyphen/>
        <w:t>временно в одноместном и двухмест</w:t>
      </w:r>
      <w:r w:rsidRPr="00A3026E">
        <w:rPr>
          <w:rFonts w:ascii="Times New Roman" w:hAnsi="Times New Roman"/>
          <w:color w:val="000000" w:themeColor="text1"/>
          <w:sz w:val="16"/>
          <w:szCs w:val="16"/>
        </w:rPr>
        <w:softHyphen/>
        <w:t>ном вариантах. Так надежнее — бла</w:t>
      </w:r>
      <w:r w:rsidRPr="00A3026E">
        <w:rPr>
          <w:rFonts w:ascii="Times New Roman" w:hAnsi="Times New Roman"/>
          <w:color w:val="000000" w:themeColor="text1"/>
          <w:sz w:val="16"/>
          <w:szCs w:val="16"/>
        </w:rPr>
        <w:softHyphen/>
        <w:t>го, в это время специалистами ВВС прорабатывались две концепции бо</w:t>
      </w:r>
      <w:r w:rsidRPr="00A3026E">
        <w:rPr>
          <w:rFonts w:ascii="Times New Roman" w:hAnsi="Times New Roman"/>
          <w:color w:val="000000" w:themeColor="text1"/>
          <w:sz w:val="16"/>
          <w:szCs w:val="16"/>
        </w:rPr>
        <w:softHyphen/>
        <w:t>евого применения бронированных штурмовых самолетов — двухмест</w:t>
      </w:r>
      <w:r w:rsidRPr="00A3026E">
        <w:rPr>
          <w:rFonts w:ascii="Times New Roman" w:hAnsi="Times New Roman"/>
          <w:color w:val="000000" w:themeColor="text1"/>
          <w:sz w:val="16"/>
          <w:szCs w:val="16"/>
        </w:rPr>
        <w:softHyphen/>
        <w:t>ных и одноместных (4140).</w:t>
      </w:r>
    </w:p>
    <w:p w14:paraId="45CF2E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этим приказом НКАП прикрыл самовольное реше</w:t>
      </w:r>
      <w:r w:rsidRPr="00A3026E">
        <w:rPr>
          <w:rFonts w:ascii="Times New Roman" w:hAnsi="Times New Roman"/>
          <w:color w:val="000000" w:themeColor="text1"/>
          <w:sz w:val="16"/>
          <w:szCs w:val="16"/>
        </w:rPr>
        <w:softHyphen/>
        <w:t>ние С. В. Ильюшина, рассчитывая в будущем отвести от наркомата и Главного конструктора штурмови</w:t>
      </w:r>
      <w:r w:rsidRPr="00A3026E">
        <w:rPr>
          <w:rFonts w:ascii="Times New Roman" w:hAnsi="Times New Roman"/>
          <w:color w:val="000000" w:themeColor="text1"/>
          <w:sz w:val="16"/>
          <w:szCs w:val="16"/>
        </w:rPr>
        <w:softHyphen/>
        <w:t>ка возможный “удар” военных. Если же что и случится — поможет извест</w:t>
      </w:r>
      <w:r w:rsidRPr="00A3026E">
        <w:rPr>
          <w:rFonts w:ascii="Times New Roman" w:hAnsi="Times New Roman"/>
          <w:color w:val="000000" w:themeColor="text1"/>
          <w:sz w:val="16"/>
          <w:szCs w:val="16"/>
        </w:rPr>
        <w:softHyphen/>
        <w:t>ное расположение Сталина к Яковле</w:t>
      </w:r>
      <w:r w:rsidRPr="00A3026E">
        <w:rPr>
          <w:rFonts w:ascii="Times New Roman" w:hAnsi="Times New Roman"/>
          <w:color w:val="000000" w:themeColor="text1"/>
          <w:sz w:val="16"/>
          <w:szCs w:val="16"/>
        </w:rPr>
        <w:softHyphen/>
        <w:t>ву. Увы, но УВВС РККА должной принципиальности по поводу “усек</w:t>
      </w:r>
      <w:r w:rsidRPr="00A3026E">
        <w:rPr>
          <w:rFonts w:ascii="Times New Roman" w:hAnsi="Times New Roman"/>
          <w:color w:val="000000" w:themeColor="text1"/>
          <w:sz w:val="16"/>
          <w:szCs w:val="16"/>
        </w:rPr>
        <w:softHyphen/>
        <w:t>новения” двухместного БШ-2 АМ-38 до одноместного не проявило. Во всяком случае, активной письменной “перебранки” по этому вопросу меж</w:t>
      </w:r>
      <w:r w:rsidRPr="00A3026E">
        <w:rPr>
          <w:rFonts w:ascii="Times New Roman" w:hAnsi="Times New Roman"/>
          <w:color w:val="000000" w:themeColor="text1"/>
          <w:sz w:val="16"/>
          <w:szCs w:val="16"/>
        </w:rPr>
        <w:softHyphen/>
        <w:t>ду двумя ведомствами в это время не отмечается (4140).</w:t>
      </w:r>
    </w:p>
    <w:p w14:paraId="3834F0A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53702B" w14:textId="77777777" w:rsidR="00755A0F" w:rsidRPr="00A3026E" w:rsidRDefault="00755A0F"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 xml:space="preserve">12 </w:t>
      </w:r>
      <w:r w:rsidRPr="00A3026E">
        <w:rPr>
          <w:rFonts w:ascii="Times New Roman" w:eastAsia="Times New Roman" w:hAnsi="Times New Roman"/>
          <w:color w:val="0070C0"/>
          <w:sz w:val="16"/>
          <w:szCs w:val="16"/>
        </w:rPr>
        <w:t>сентября 1940 один из вновь собранных моторов АМ-38 был передан на завод № 39, который сразу же приступил к установке его на БШ-2 № 1 и к переделке последнего в одноместный вариант без воздушного стрелка (одно</w:t>
      </w:r>
      <w:r w:rsidRPr="00A3026E">
        <w:rPr>
          <w:rFonts w:ascii="Times New Roman" w:eastAsia="Times New Roman" w:hAnsi="Times New Roman"/>
          <w:color w:val="0070C0"/>
          <w:sz w:val="16"/>
          <w:szCs w:val="16"/>
        </w:rPr>
        <w:softHyphen/>
        <w:t>временно усиливалось бронирование со стороны задней полусферы и уста</w:t>
      </w:r>
      <w:r w:rsidRPr="00A3026E">
        <w:rPr>
          <w:rFonts w:ascii="Times New Roman" w:eastAsia="Times New Roman" w:hAnsi="Times New Roman"/>
          <w:color w:val="0070C0"/>
          <w:sz w:val="16"/>
          <w:szCs w:val="16"/>
        </w:rPr>
        <w:softHyphen/>
        <w:t>навливался дополнительный бензобак). Новая машина получила заводское обозначение ЦКБ-57 (20186).</w:t>
      </w:r>
    </w:p>
    <w:p w14:paraId="4502E428" w14:textId="77777777" w:rsidR="00755A0F" w:rsidRPr="00A3026E" w:rsidRDefault="00755A0F" w:rsidP="00A3026E">
      <w:pPr>
        <w:shd w:val="clear" w:color="auto" w:fill="FFFFFF"/>
        <w:spacing w:after="0" w:line="240" w:lineRule="auto"/>
        <w:jc w:val="both"/>
        <w:rPr>
          <w:rFonts w:ascii="Times New Roman" w:hAnsi="Times New Roman"/>
          <w:color w:val="0070C0"/>
          <w:sz w:val="16"/>
          <w:szCs w:val="16"/>
        </w:rPr>
      </w:pPr>
      <w:r w:rsidRPr="00A3026E">
        <w:rPr>
          <w:rFonts w:ascii="Times New Roman" w:eastAsia="Times New Roman" w:hAnsi="Times New Roman"/>
          <w:color w:val="0070C0"/>
          <w:sz w:val="16"/>
          <w:szCs w:val="16"/>
        </w:rPr>
        <w:t>Переделка БШ-2 из двухместного варианта в одноместный была ис</w:t>
      </w:r>
      <w:r w:rsidRPr="00A3026E">
        <w:rPr>
          <w:rFonts w:ascii="Times New Roman" w:eastAsia="Times New Roman" w:hAnsi="Times New Roman"/>
          <w:color w:val="0070C0"/>
          <w:sz w:val="16"/>
          <w:szCs w:val="16"/>
        </w:rPr>
        <w:softHyphen/>
        <w:t>ключительно инициативой ОКБ. Постановления Комитета обороны об изме</w:t>
      </w:r>
      <w:r w:rsidRPr="00A3026E">
        <w:rPr>
          <w:rFonts w:ascii="Times New Roman" w:eastAsia="Times New Roman" w:hAnsi="Times New Roman"/>
          <w:color w:val="0070C0"/>
          <w:sz w:val="16"/>
          <w:szCs w:val="16"/>
        </w:rPr>
        <w:softHyphen/>
        <w:t>нении СВ. Ильюшину задания, равно как и соответствующего ему приказа по НКАП, не было в природе (20186).</w:t>
      </w:r>
    </w:p>
    <w:p w14:paraId="1AF7B7C3" w14:textId="77777777" w:rsidR="00755A0F" w:rsidRPr="00A3026E" w:rsidRDefault="00755A0F" w:rsidP="00A3026E">
      <w:pPr>
        <w:shd w:val="clear" w:color="auto" w:fill="FFFFFF"/>
        <w:spacing w:after="0" w:line="240" w:lineRule="auto"/>
        <w:jc w:val="both"/>
        <w:rPr>
          <w:rFonts w:ascii="Times New Roman" w:hAnsi="Times New Roman"/>
          <w:color w:val="0070C0"/>
          <w:sz w:val="16"/>
          <w:szCs w:val="16"/>
        </w:rPr>
      </w:pPr>
      <w:r w:rsidRPr="00A3026E">
        <w:rPr>
          <w:rFonts w:ascii="Times New Roman" w:eastAsia="Times New Roman" w:hAnsi="Times New Roman"/>
          <w:color w:val="0070C0"/>
          <w:sz w:val="16"/>
          <w:szCs w:val="16"/>
        </w:rPr>
        <w:t>Принятое С.В. Ильюшиным решение являлось в какой-то степени вы</w:t>
      </w:r>
      <w:r w:rsidRPr="00A3026E">
        <w:rPr>
          <w:rFonts w:ascii="Times New Roman" w:eastAsia="Times New Roman" w:hAnsi="Times New Roman"/>
          <w:color w:val="0070C0"/>
          <w:sz w:val="16"/>
          <w:szCs w:val="16"/>
        </w:rPr>
        <w:softHyphen/>
        <w:t>нужденным, так как он и его ближайшие соратники не могли не понимать, что простой установкой на самолет (без кардинальных изменений в конст</w:t>
      </w:r>
      <w:r w:rsidRPr="00A3026E">
        <w:rPr>
          <w:rFonts w:ascii="Times New Roman" w:eastAsia="Times New Roman" w:hAnsi="Times New Roman"/>
          <w:color w:val="0070C0"/>
          <w:sz w:val="16"/>
          <w:szCs w:val="16"/>
        </w:rPr>
        <w:softHyphen/>
        <w:t>рукции штурмовика) более мощного у земли мотораАМ-38, вместо АМ-35, быстро обеспечить предъявляемые к машине ТТТ невозможно, поскольку такая замена привела бы не только к увеличению скорости полета самолета и улучшению его маневренных качеств, но и к существенному уменьшению дальности полета из-за большего расхода горючего, что было неприемлемо для ВВС в тактическом плане, а значит, машина государственных испытаний в очередной раз не выдержала бы. Доводка же двухместного варианта с но вым мотором, опять же еще далеко не надежным, до требуемых ТТТ за счет изыскания резервов конструкции машины потребовала бы много времени и значительных усилий. Желание же СВ. Ильюшина как можно быстрее по</w:t>
      </w:r>
      <w:r w:rsidRPr="00A3026E">
        <w:rPr>
          <w:rFonts w:ascii="Times New Roman" w:eastAsia="Times New Roman" w:hAnsi="Times New Roman"/>
          <w:color w:val="0070C0"/>
          <w:sz w:val="16"/>
          <w:szCs w:val="16"/>
        </w:rPr>
        <w:softHyphen/>
        <w:t>ставить БШ-2 в крупносерийное производство было велико.</w:t>
      </w:r>
    </w:p>
    <w:p w14:paraId="2C517687" w14:textId="77777777" w:rsidR="00755A0F" w:rsidRPr="00A3026E" w:rsidRDefault="00755A0F" w:rsidP="00A3026E">
      <w:pPr>
        <w:shd w:val="clear" w:color="auto" w:fill="FFFFFF"/>
        <w:spacing w:after="0" w:line="240" w:lineRule="auto"/>
        <w:jc w:val="both"/>
        <w:rPr>
          <w:rFonts w:ascii="Times New Roman" w:hAnsi="Times New Roman"/>
          <w:color w:val="0070C0"/>
          <w:sz w:val="16"/>
          <w:szCs w:val="16"/>
        </w:rPr>
      </w:pPr>
      <w:r w:rsidRPr="00A3026E">
        <w:rPr>
          <w:rFonts w:ascii="Times New Roman" w:eastAsia="Times New Roman" w:hAnsi="Times New Roman"/>
          <w:color w:val="0070C0"/>
          <w:sz w:val="16"/>
          <w:szCs w:val="16"/>
        </w:rPr>
        <w:t>Дело в том, что в этот период для СВ. Ильюшина сложилась очень сложная ситуация. С одной стороны, военные органы вполне справедливо требовали срочного приведения летных данных БШ-2 в двухместном вари</w:t>
      </w:r>
      <w:r w:rsidRPr="00A3026E">
        <w:rPr>
          <w:rFonts w:ascii="Times New Roman" w:eastAsia="Times New Roman" w:hAnsi="Times New Roman"/>
          <w:color w:val="0070C0"/>
          <w:sz w:val="16"/>
          <w:szCs w:val="16"/>
        </w:rPr>
        <w:softHyphen/>
        <w:t>анте. С другой стороны, СВ. Ильюшин и его ближайшие помощники пре</w:t>
      </w:r>
      <w:r w:rsidRPr="00A3026E">
        <w:rPr>
          <w:rFonts w:ascii="Times New Roman" w:eastAsia="Times New Roman" w:hAnsi="Times New Roman"/>
          <w:color w:val="0070C0"/>
          <w:sz w:val="16"/>
          <w:szCs w:val="16"/>
        </w:rPr>
        <w:softHyphen/>
        <w:t>красно понимали, что доведение этого самолета до необходимого уровня, было процессом очень трудоемким и очень длительным, причем сроки окон</w:t>
      </w:r>
      <w:r w:rsidRPr="00A3026E">
        <w:rPr>
          <w:rFonts w:ascii="Times New Roman" w:eastAsia="Times New Roman" w:hAnsi="Times New Roman"/>
          <w:color w:val="0070C0"/>
          <w:sz w:val="16"/>
          <w:szCs w:val="16"/>
        </w:rPr>
        <w:softHyphen/>
        <w:t>чания этих работ никак не могли устроить ни Правительство, ни военные ор</w:t>
      </w:r>
      <w:r w:rsidRPr="00A3026E">
        <w:rPr>
          <w:rFonts w:ascii="Times New Roman" w:eastAsia="Times New Roman" w:hAnsi="Times New Roman"/>
          <w:color w:val="0070C0"/>
          <w:sz w:val="16"/>
          <w:szCs w:val="16"/>
        </w:rPr>
        <w:softHyphen/>
        <w:t>ганы. Авторитет СВ. Ильюшина как Главного конструктора боевых самоле</w:t>
      </w:r>
      <w:r w:rsidRPr="00A3026E">
        <w:rPr>
          <w:rFonts w:ascii="Times New Roman" w:eastAsia="Times New Roman" w:hAnsi="Times New Roman"/>
          <w:color w:val="0070C0"/>
          <w:sz w:val="16"/>
          <w:szCs w:val="16"/>
        </w:rPr>
        <w:softHyphen/>
        <w:t>тов в глазах последних неуклонно падал. Назревали оргвыводы и потеря се</w:t>
      </w:r>
      <w:r w:rsidRPr="00A3026E">
        <w:rPr>
          <w:rFonts w:ascii="Times New Roman" w:eastAsia="Times New Roman" w:hAnsi="Times New Roman"/>
          <w:color w:val="0070C0"/>
          <w:sz w:val="16"/>
          <w:szCs w:val="16"/>
        </w:rPr>
        <w:softHyphen/>
        <w:t>рийных авиазаводов.</w:t>
      </w:r>
    </w:p>
    <w:p w14:paraId="4C3CE5D8" w14:textId="77777777" w:rsidR="00755A0F" w:rsidRPr="00A3026E" w:rsidRDefault="00755A0F" w:rsidP="00A3026E">
      <w:pPr>
        <w:shd w:val="clear" w:color="auto" w:fill="FFFFFF"/>
        <w:spacing w:after="0" w:line="240" w:lineRule="auto"/>
        <w:jc w:val="both"/>
        <w:rPr>
          <w:rFonts w:ascii="Times New Roman" w:hAnsi="Times New Roman"/>
          <w:color w:val="0070C0"/>
          <w:sz w:val="16"/>
          <w:szCs w:val="16"/>
        </w:rPr>
      </w:pPr>
      <w:r w:rsidRPr="00A3026E">
        <w:rPr>
          <w:rFonts w:ascii="Times New Roman" w:eastAsia="Times New Roman" w:hAnsi="Times New Roman"/>
          <w:color w:val="0070C0"/>
          <w:sz w:val="16"/>
          <w:szCs w:val="16"/>
        </w:rPr>
        <w:t>Более того, приказом Наркома авиапромышленности №612 от 02.11.40 г. «директор завода №39 т. Соколов и Главный конструктор ОКБ т. Илью</w:t>
      </w:r>
      <w:r w:rsidRPr="00A3026E">
        <w:rPr>
          <w:rFonts w:ascii="Times New Roman" w:eastAsia="Times New Roman" w:hAnsi="Times New Roman"/>
          <w:color w:val="0070C0"/>
          <w:sz w:val="16"/>
          <w:szCs w:val="16"/>
        </w:rPr>
        <w:softHyphen/>
        <w:t>шин обязывались освободить не позднее 1 декабря с. г. все площади, зани</w:t>
      </w:r>
      <w:r w:rsidRPr="00A3026E">
        <w:rPr>
          <w:rFonts w:ascii="Times New Roman" w:eastAsia="Times New Roman" w:hAnsi="Times New Roman"/>
          <w:color w:val="0070C0"/>
          <w:sz w:val="16"/>
          <w:szCs w:val="16"/>
        </w:rPr>
        <w:softHyphen/>
        <w:t>маемые ОКБ на территории завода № 39» (ЦАМО РФ, ф. 208, оп. 142530, д. 2, л. 38.) (20186).</w:t>
      </w:r>
    </w:p>
    <w:p w14:paraId="574A7046" w14:textId="77777777" w:rsidR="00755A0F" w:rsidRPr="00A3026E" w:rsidRDefault="00755A0F" w:rsidP="00A3026E">
      <w:pPr>
        <w:shd w:val="clear" w:color="auto" w:fill="FFFFFF"/>
        <w:spacing w:after="0" w:line="240" w:lineRule="auto"/>
        <w:jc w:val="both"/>
        <w:rPr>
          <w:rFonts w:ascii="Times New Roman" w:hAnsi="Times New Roman"/>
          <w:color w:val="0070C0"/>
          <w:sz w:val="16"/>
          <w:szCs w:val="16"/>
        </w:rPr>
      </w:pPr>
      <w:r w:rsidRPr="00A3026E">
        <w:rPr>
          <w:rFonts w:ascii="Times New Roman" w:eastAsia="Times New Roman" w:hAnsi="Times New Roman"/>
          <w:color w:val="0070C0"/>
          <w:sz w:val="16"/>
          <w:szCs w:val="16"/>
        </w:rPr>
        <w:t>В этой связи переделка бронированного штурмовика БШ-2 из двухме</w:t>
      </w:r>
      <w:r w:rsidRPr="00A3026E">
        <w:rPr>
          <w:rFonts w:ascii="Times New Roman" w:eastAsia="Times New Roman" w:hAnsi="Times New Roman"/>
          <w:color w:val="0070C0"/>
          <w:sz w:val="16"/>
          <w:szCs w:val="16"/>
        </w:rPr>
        <w:softHyphen/>
        <w:t>стного в одноместный (с последующим переходом, по мере совершенствова</w:t>
      </w:r>
      <w:r w:rsidRPr="00A3026E">
        <w:rPr>
          <w:rFonts w:ascii="Times New Roman" w:eastAsia="Times New Roman" w:hAnsi="Times New Roman"/>
          <w:color w:val="0070C0"/>
          <w:sz w:val="16"/>
          <w:szCs w:val="16"/>
        </w:rPr>
        <w:softHyphen/>
        <w:t>ния АМ-38-го, к двухместному варианту, как это требовалось по заданию) и форсирование по нему доводочных работ вполне логичны. Этот шаг позво</w:t>
      </w:r>
      <w:r w:rsidRPr="00A3026E">
        <w:rPr>
          <w:rFonts w:ascii="Times New Roman" w:eastAsia="Times New Roman" w:hAnsi="Times New Roman"/>
          <w:color w:val="0070C0"/>
          <w:sz w:val="16"/>
          <w:szCs w:val="16"/>
        </w:rPr>
        <w:softHyphen/>
        <w:t>лял весьма быстро решить как проблему запуска нового штурмовика в серию и вооружение ВВС КА столь нужным современным типом боевого самолета, так и проблему сохранения для ОКБ мощной опытно-производственной ба</w:t>
      </w:r>
      <w:r w:rsidRPr="00A3026E">
        <w:rPr>
          <w:rFonts w:ascii="Times New Roman" w:eastAsia="Times New Roman" w:hAnsi="Times New Roman"/>
          <w:color w:val="0070C0"/>
          <w:sz w:val="16"/>
          <w:szCs w:val="16"/>
        </w:rPr>
        <w:softHyphen/>
        <w:t>зы. О цене же такого решения, измеряемого в условиях большой войны мно</w:t>
      </w:r>
      <w:r w:rsidRPr="00A3026E">
        <w:rPr>
          <w:rFonts w:ascii="Times New Roman" w:eastAsia="Times New Roman" w:hAnsi="Times New Roman"/>
          <w:color w:val="0070C0"/>
          <w:sz w:val="16"/>
          <w:szCs w:val="16"/>
        </w:rPr>
        <w:softHyphen/>
        <w:t>гими сотнями жизней летчиков, тогда, по-видимому, особо не задумывались (20186).</w:t>
      </w:r>
    </w:p>
    <w:p w14:paraId="5DC22158" w14:textId="77777777" w:rsidR="00755A0F" w:rsidRPr="00A3026E" w:rsidRDefault="00755A0F" w:rsidP="00A3026E">
      <w:pPr>
        <w:shd w:val="clear" w:color="auto" w:fill="FFFFFF"/>
        <w:spacing w:after="0" w:line="240" w:lineRule="auto"/>
        <w:jc w:val="both"/>
        <w:rPr>
          <w:rFonts w:ascii="Times New Roman" w:hAnsi="Times New Roman"/>
          <w:color w:val="0070C0"/>
          <w:sz w:val="16"/>
          <w:szCs w:val="16"/>
        </w:rPr>
      </w:pPr>
      <w:r w:rsidRPr="00A3026E">
        <w:rPr>
          <w:rFonts w:ascii="Times New Roman" w:eastAsia="Times New Roman" w:hAnsi="Times New Roman"/>
          <w:color w:val="0070C0"/>
          <w:sz w:val="16"/>
          <w:szCs w:val="16"/>
        </w:rPr>
        <w:t>Остается лишь предполагать об истинных причинах принятого СВ. Ильюшиным решения. Факты же остаются фактами - существование ЦКБ-57 было узаконено лишь накануне его первого вылета, когда приказом по НКАП, подписанным 11 октября 1940 г. заместителем наркома авиационной промышленности по опытному строительству и науке А.С. Яковлевым, СВ. Ильюшину поручалось к 15 октября 1940 г. выпустить на заводские летные испытания самолет БШ-2 № 1 с АМ-38 в одноместном ив двухместном ва</w:t>
      </w:r>
      <w:r w:rsidRPr="00A3026E">
        <w:rPr>
          <w:rFonts w:ascii="Times New Roman" w:eastAsia="Times New Roman" w:hAnsi="Times New Roman"/>
          <w:color w:val="0070C0"/>
          <w:sz w:val="16"/>
          <w:szCs w:val="16"/>
        </w:rPr>
        <w:softHyphen/>
        <w:t>риантах. Этим же приказом для проведения летных испытаний назначался летчик-испытатель В.К. Коккинаки, а сами испытания требовалось за</w:t>
      </w:r>
      <w:r w:rsidRPr="00A3026E">
        <w:rPr>
          <w:rFonts w:ascii="Times New Roman" w:eastAsia="Times New Roman" w:hAnsi="Times New Roman"/>
          <w:color w:val="0070C0"/>
          <w:sz w:val="16"/>
          <w:szCs w:val="16"/>
        </w:rPr>
        <w:softHyphen/>
        <w:t>вершить в течение 1,5 месяцев.</w:t>
      </w:r>
    </w:p>
    <w:p w14:paraId="7B8606BB" w14:textId="77777777" w:rsidR="00755A0F" w:rsidRPr="00A3026E" w:rsidRDefault="00755A0F" w:rsidP="00A3026E">
      <w:pPr>
        <w:shd w:val="clear" w:color="auto" w:fill="FFFFFF"/>
        <w:spacing w:after="0" w:line="240" w:lineRule="auto"/>
        <w:jc w:val="both"/>
        <w:rPr>
          <w:rFonts w:ascii="Times New Roman" w:hAnsi="Times New Roman"/>
          <w:color w:val="0070C0"/>
          <w:sz w:val="16"/>
          <w:szCs w:val="16"/>
        </w:rPr>
      </w:pPr>
      <w:r w:rsidRPr="00A3026E">
        <w:rPr>
          <w:rFonts w:ascii="Times New Roman" w:eastAsia="Times New Roman" w:hAnsi="Times New Roman"/>
          <w:color w:val="0070C0"/>
          <w:sz w:val="16"/>
          <w:szCs w:val="16"/>
        </w:rPr>
        <w:t>Содержание этого приказа вызывает недоумение. Во-первых, как мож</w:t>
      </w:r>
      <w:r w:rsidRPr="00A3026E">
        <w:rPr>
          <w:rFonts w:ascii="Times New Roman" w:eastAsia="Times New Roman" w:hAnsi="Times New Roman"/>
          <w:color w:val="0070C0"/>
          <w:sz w:val="16"/>
          <w:szCs w:val="16"/>
        </w:rPr>
        <w:softHyphen/>
        <w:t>но было в один и тот же день передать один и тот же экземпляр самолета на заводские испытания в одноместном и в двухместном вариантах. Во-вторых, в приказе стоит фамилия Наркома А.И. Шахурина, однако подписал приказ А.С. Яковлев - третье лицо в табели о рангах наркомата. Он же и завизировал приказ. То есть, отсутствие на приказе подписи наркома - непростая случай</w:t>
      </w:r>
      <w:r w:rsidRPr="00A3026E">
        <w:rPr>
          <w:rFonts w:ascii="Times New Roman" w:eastAsia="Times New Roman" w:hAnsi="Times New Roman"/>
          <w:color w:val="0070C0"/>
          <w:sz w:val="16"/>
          <w:szCs w:val="16"/>
        </w:rPr>
        <w:softHyphen/>
        <w:t>ность. В-третьих, в тексте приказа не указан номер Постановления Комитета обороны при СНК, во исполнение которого должен был бы выйти этот при</w:t>
      </w:r>
      <w:r w:rsidRPr="00A3026E">
        <w:rPr>
          <w:rFonts w:ascii="Times New Roman" w:eastAsia="Times New Roman" w:hAnsi="Times New Roman"/>
          <w:color w:val="0070C0"/>
          <w:sz w:val="16"/>
          <w:szCs w:val="16"/>
        </w:rPr>
        <w:softHyphen/>
        <w:t>каз. Номер же Постановления КО являлся в то время неотъемлемой частью любого приказа по НКАП, изменяющего техническое задание конструктору, и не мог быть «случайно забыт».</w:t>
      </w:r>
    </w:p>
    <w:p w14:paraId="5FBD2500" w14:textId="77777777" w:rsidR="00755A0F" w:rsidRPr="00A3026E" w:rsidRDefault="00755A0F" w:rsidP="00A3026E">
      <w:pPr>
        <w:shd w:val="clear" w:color="auto" w:fill="FFFFFF"/>
        <w:spacing w:after="0" w:line="240" w:lineRule="auto"/>
        <w:jc w:val="both"/>
        <w:rPr>
          <w:rFonts w:ascii="Times New Roman" w:hAnsi="Times New Roman"/>
          <w:color w:val="0070C0"/>
          <w:sz w:val="16"/>
          <w:szCs w:val="16"/>
        </w:rPr>
      </w:pPr>
      <w:r w:rsidRPr="00A3026E">
        <w:rPr>
          <w:rFonts w:ascii="Times New Roman" w:eastAsia="Times New Roman" w:hAnsi="Times New Roman"/>
          <w:color w:val="0070C0"/>
          <w:sz w:val="16"/>
          <w:szCs w:val="16"/>
        </w:rPr>
        <w:t>По существующему в то время порядку новый вариант самолета мог быть задан только через Постановление, в крайнем случае, через Решение Комитета обороны при СНК. В Постановлении в обязательном порядке для НКАП определялись количество опытных образцов и сроки их предъявления на испытания, а Главному управлению ВВС КА ставилась задача к опреде</w:t>
      </w:r>
      <w:r w:rsidRPr="00A3026E">
        <w:rPr>
          <w:rFonts w:ascii="Times New Roman" w:eastAsia="Times New Roman" w:hAnsi="Times New Roman"/>
          <w:color w:val="0070C0"/>
          <w:sz w:val="16"/>
          <w:szCs w:val="16"/>
        </w:rPr>
        <w:softHyphen/>
        <w:t>ленному сроку разработать ТТТ на новый вариант самолета. Только после этого издавался Приказ по НКАП. В упомянутом выше приказе никакой ссылки на Постановление Комитета Обороны нет (20186).</w:t>
      </w:r>
    </w:p>
    <w:p w14:paraId="76414E95" w14:textId="77777777" w:rsidR="00755A0F" w:rsidRPr="00A3026E" w:rsidRDefault="00755A0F" w:rsidP="00A3026E">
      <w:pPr>
        <w:shd w:val="clear" w:color="auto" w:fill="FFFFFF"/>
        <w:spacing w:after="0" w:line="240" w:lineRule="auto"/>
        <w:jc w:val="both"/>
        <w:rPr>
          <w:rFonts w:ascii="Times New Roman" w:hAnsi="Times New Roman"/>
          <w:color w:val="0070C0"/>
          <w:sz w:val="16"/>
          <w:szCs w:val="16"/>
        </w:rPr>
      </w:pPr>
      <w:r w:rsidRPr="00A3026E">
        <w:rPr>
          <w:rFonts w:ascii="Times New Roman" w:eastAsia="Times New Roman" w:hAnsi="Times New Roman"/>
          <w:color w:val="0070C0"/>
          <w:sz w:val="16"/>
          <w:szCs w:val="16"/>
        </w:rPr>
        <w:t>В-четвертых, из текста приказа следует, что наркомат ничего не знал о проделанной в ОКБ СВ. Ильюшина работе по переделке БШ-2 в одномест</w:t>
      </w:r>
      <w:r w:rsidRPr="00A3026E">
        <w:rPr>
          <w:rFonts w:ascii="Times New Roman" w:eastAsia="Times New Roman" w:hAnsi="Times New Roman"/>
          <w:color w:val="0070C0"/>
          <w:sz w:val="16"/>
          <w:szCs w:val="16"/>
        </w:rPr>
        <w:softHyphen/>
        <w:t>ный вариант, что само по себе маловероятно.</w:t>
      </w:r>
    </w:p>
    <w:p w14:paraId="4270A550" w14:textId="77777777" w:rsidR="00755A0F" w:rsidRPr="00A3026E" w:rsidRDefault="00755A0F" w:rsidP="00A3026E">
      <w:pPr>
        <w:shd w:val="clear" w:color="auto" w:fill="FFFFFF"/>
        <w:spacing w:after="0" w:line="240" w:lineRule="auto"/>
        <w:jc w:val="both"/>
        <w:rPr>
          <w:rFonts w:ascii="Times New Roman" w:hAnsi="Times New Roman"/>
          <w:color w:val="0070C0"/>
          <w:sz w:val="16"/>
          <w:szCs w:val="16"/>
        </w:rPr>
      </w:pPr>
      <w:r w:rsidRPr="00A3026E">
        <w:rPr>
          <w:rFonts w:ascii="Times New Roman" w:eastAsia="Times New Roman" w:hAnsi="Times New Roman"/>
          <w:color w:val="0070C0"/>
          <w:sz w:val="16"/>
          <w:szCs w:val="16"/>
        </w:rPr>
        <w:t>Надо полагать, что к 11 октября переделка БШ-2 в одноместный вари</w:t>
      </w:r>
      <w:r w:rsidRPr="00A3026E">
        <w:rPr>
          <w:rFonts w:ascii="Times New Roman" w:eastAsia="Times New Roman" w:hAnsi="Times New Roman"/>
          <w:color w:val="0070C0"/>
          <w:sz w:val="16"/>
          <w:szCs w:val="16"/>
        </w:rPr>
        <w:softHyphen/>
        <w:t>ант была уже закончена и СВ. Ильюшин обратился к руководству НКАП за разрешением начать заводские летные испытания новой машины. Руковод</w:t>
      </w:r>
      <w:r w:rsidRPr="00A3026E">
        <w:rPr>
          <w:rFonts w:ascii="Times New Roman" w:eastAsia="Times New Roman" w:hAnsi="Times New Roman"/>
          <w:color w:val="0070C0"/>
          <w:sz w:val="16"/>
          <w:szCs w:val="16"/>
        </w:rPr>
        <w:softHyphen/>
        <w:t>ство наркомата, в лице А.И. Шахурина и А.С. Яковлева, понимая, что задача создания двухместного бронированного штурмовика БШ-2, как это преду</w:t>
      </w:r>
      <w:r w:rsidRPr="00A3026E">
        <w:rPr>
          <w:rFonts w:ascii="Times New Roman" w:eastAsia="Times New Roman" w:hAnsi="Times New Roman"/>
          <w:color w:val="0070C0"/>
          <w:sz w:val="16"/>
          <w:szCs w:val="16"/>
        </w:rPr>
        <w:softHyphen/>
        <w:t>сматривалось Постановлением Комитета Обороны, военными органами не снималась, а И.В. Сталин, по имеющимся у них сведениям, склонен согла</w:t>
      </w:r>
      <w:r w:rsidRPr="00A3026E">
        <w:rPr>
          <w:rFonts w:ascii="Times New Roman" w:eastAsia="Times New Roman" w:hAnsi="Times New Roman"/>
          <w:color w:val="0070C0"/>
          <w:sz w:val="16"/>
          <w:szCs w:val="16"/>
        </w:rPr>
        <w:softHyphen/>
        <w:t>ситься на соломоново решение, предусмотрели в приказе проведение заво</w:t>
      </w:r>
      <w:r w:rsidRPr="00A3026E">
        <w:rPr>
          <w:rFonts w:ascii="Times New Roman" w:eastAsia="Times New Roman" w:hAnsi="Times New Roman"/>
          <w:color w:val="0070C0"/>
          <w:sz w:val="16"/>
          <w:szCs w:val="16"/>
        </w:rPr>
        <w:softHyphen/>
        <w:t>дских летных испытаний БШ-2 одновременно в одноместном и двухместном вариантах. Так надежнее, благо, что в это время специалистами ВВС прора</w:t>
      </w:r>
      <w:r w:rsidRPr="00A3026E">
        <w:rPr>
          <w:rFonts w:ascii="Times New Roman" w:eastAsia="Times New Roman" w:hAnsi="Times New Roman"/>
          <w:color w:val="0070C0"/>
          <w:sz w:val="16"/>
          <w:szCs w:val="16"/>
        </w:rPr>
        <w:softHyphen/>
        <w:t>батывались две концепции боевого применения на поле боя бронированных штурмовых самолетов - двухместных и одноместных.</w:t>
      </w:r>
    </w:p>
    <w:p w14:paraId="7682B936" w14:textId="77777777" w:rsidR="00755A0F" w:rsidRPr="00A3026E" w:rsidRDefault="00755A0F" w:rsidP="00A3026E">
      <w:pPr>
        <w:shd w:val="clear" w:color="auto" w:fill="FFFFFF"/>
        <w:spacing w:after="0" w:line="240" w:lineRule="auto"/>
        <w:jc w:val="both"/>
        <w:rPr>
          <w:rFonts w:ascii="Times New Roman" w:hAnsi="Times New Roman"/>
          <w:color w:val="0070C0"/>
          <w:sz w:val="16"/>
          <w:szCs w:val="16"/>
        </w:rPr>
      </w:pPr>
      <w:r w:rsidRPr="00A3026E">
        <w:rPr>
          <w:rFonts w:ascii="Times New Roman" w:eastAsia="Times New Roman" w:hAnsi="Times New Roman"/>
          <w:color w:val="0070C0"/>
          <w:sz w:val="16"/>
          <w:szCs w:val="16"/>
        </w:rPr>
        <w:t>Другими словами, этим приказом Наркомат авиапромышленности при</w:t>
      </w:r>
      <w:r w:rsidRPr="00A3026E">
        <w:rPr>
          <w:rFonts w:ascii="Times New Roman" w:eastAsia="Times New Roman" w:hAnsi="Times New Roman"/>
          <w:color w:val="0070C0"/>
          <w:sz w:val="16"/>
          <w:szCs w:val="16"/>
        </w:rPr>
        <w:softHyphen/>
        <w:t>крыл самовольство СВ. Ильюшина, рассчитывая в будущем отвести от нар</w:t>
      </w:r>
      <w:r w:rsidRPr="00A3026E">
        <w:rPr>
          <w:rFonts w:ascii="Times New Roman" w:eastAsia="Times New Roman" w:hAnsi="Times New Roman"/>
          <w:color w:val="0070C0"/>
          <w:sz w:val="16"/>
          <w:szCs w:val="16"/>
        </w:rPr>
        <w:softHyphen/>
        <w:t>комата и Главного конструктора штурмовика возможный удар военных ор</w:t>
      </w:r>
      <w:r w:rsidRPr="00A3026E">
        <w:rPr>
          <w:rFonts w:ascii="Times New Roman" w:eastAsia="Times New Roman" w:hAnsi="Times New Roman"/>
          <w:color w:val="0070C0"/>
          <w:sz w:val="16"/>
          <w:szCs w:val="16"/>
        </w:rPr>
        <w:softHyphen/>
        <w:t>ганов, а если что и случится - на известное расположение И.В. Сталина к А.С. Яковлеву (20186).</w:t>
      </w:r>
    </w:p>
    <w:p w14:paraId="100853F1" w14:textId="77777777" w:rsidR="00755A0F" w:rsidRPr="00A3026E" w:rsidRDefault="00755A0F" w:rsidP="00A3026E">
      <w:pPr>
        <w:shd w:val="clear" w:color="auto" w:fill="FFFFFF"/>
        <w:spacing w:after="0" w:line="240" w:lineRule="auto"/>
        <w:jc w:val="both"/>
        <w:rPr>
          <w:rFonts w:ascii="Times New Roman" w:hAnsi="Times New Roman"/>
          <w:color w:val="0070C0"/>
          <w:sz w:val="16"/>
          <w:szCs w:val="16"/>
        </w:rPr>
      </w:pPr>
    </w:p>
    <w:p w14:paraId="6201F7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в ходе гос. испытаний УТИ-26 в НИИ ВВС, которые проходили с 29 августа по 19 сентября 1940 в 11 и 14 Кувшинкин произвел 2 полета, 1-й для определения границ высотности и наивыгоднейшей высоты переключения скоростей с пикированием до скорости 500 км/час и 2-й для определения скороподъемности и макс. скорости по высоте с отстрелом оружия на автоматику (2944).</w:t>
      </w:r>
    </w:p>
    <w:p w14:paraId="00926D6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C7C35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закончились гос. испытания И-200 (65,17), которые проходили с 29 (28 - 1204,108) августа 1940 (709). У А.Г.Кочеткова произошла вынужденная посадка из-за нехватки бензина (1204,109).</w:t>
      </w:r>
    </w:p>
    <w:p w14:paraId="1411E0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заключении по гос. испытаниям было предложено провести 50 часовые летные испытания АМ-35. Хотели скорейших войсковых испытаний и решили сделать усовершенствованный вариант с предкрылками и новыми колесами (который и стал МиГ-3), дополнительными пулеметами и увеличенным запасом горючего (1204,113).</w:t>
      </w:r>
    </w:p>
    <w:p w14:paraId="0CDDDD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67A43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Самолет И-200 АМ-35А конструкции А.И.М. и Гуревича производства завода 1, как удовлетворяющий по своим ЛД ТТТ и испытанный на пилотаж и штопор до 2-х витков, гос. испытания выдержал.</w:t>
      </w:r>
    </w:p>
    <w:p w14:paraId="0B7C60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Учитывая острую необходимость снабжения частей ВВС истребителями с ЛД И-200, считать необходимым скорейшее проведение войсковых испытаний в том виде, как они проходили гос. испытания, но с обязательным устранением дефектов, выявленных на гос. испытаниях и перечисленных в отчете</w:t>
      </w:r>
    </w:p>
    <w:p w14:paraId="3D864C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Для обеспечения И-200 надежно работающими моторами необходимо провести специальные 50 час7 испытания мотора АМ-35А в полете на И-200.</w:t>
      </w:r>
    </w:p>
    <w:p w14:paraId="64365E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заводу 1 надлежит провести полное исследование штопора И-200 и испытать на пикирование с новым винтом</w:t>
      </w:r>
    </w:p>
    <w:p w14:paraId="14E2C5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Для того, чтобы сделать И-200 как массовый самолет, вполне доступным для л ниже средней квалификации и повысить его живучесть, боеготовность и ЛТД, конструкторам надлежит немедленно приступить к изготовлению И-200, на котором:</w:t>
      </w:r>
    </w:p>
    <w:p w14:paraId="5ACE81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повысить продольную устойчивость и вместе с тем обязательно обеспечить его управления, сделав приятным в управлении</w:t>
      </w:r>
    </w:p>
    <w:p w14:paraId="3F53F5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увеличить поперечную устойчивость</w:t>
      </w:r>
    </w:p>
    <w:p w14:paraId="12F248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запроектировать центропланные бензобаки</w:t>
      </w:r>
    </w:p>
    <w:p w14:paraId="73C96A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установить предкрылки, новые колеса размером согласно приказа НКАП, удовлетворяющим весу и пневматик на хвостовом колесе</w:t>
      </w:r>
    </w:p>
    <w:p w14:paraId="10F484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обеспечить быструю замену мотора, легкосъемность капота, удобство замены элеронов и выхлопных патрубков</w:t>
      </w:r>
    </w:p>
    <w:p w14:paraId="0F7E93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установить дополнительно 2 легкосъемных пулемета Березина</w:t>
      </w:r>
    </w:p>
    <w:p w14:paraId="05E4CC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увеличить запас горючего, доведя дальность в нормальном варианте до не менее, чем 560 км на 0.9 макс. (2925).</w:t>
      </w:r>
    </w:p>
    <w:p w14:paraId="358EF5C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877B6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21 августа по 12 сентября 1940 на гос. испытаниях двух И-200 с АМ-35А было произведено 83 полета продолжительностью 24:15 (1295,129).</w:t>
      </w:r>
    </w:p>
    <w:p w14:paraId="33B2521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B03C6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закончились государственные испытания второго и тре</w:t>
      </w:r>
      <w:r w:rsidRPr="00A3026E">
        <w:rPr>
          <w:rFonts w:ascii="Times New Roman" w:hAnsi="Times New Roman"/>
          <w:color w:val="000000" w:themeColor="text1"/>
          <w:sz w:val="16"/>
          <w:szCs w:val="16"/>
        </w:rPr>
        <w:softHyphen/>
        <w:t>тьего опытных экземпляров истреби</w:t>
      </w:r>
      <w:r w:rsidRPr="00A3026E">
        <w:rPr>
          <w:rFonts w:ascii="Times New Roman" w:hAnsi="Times New Roman"/>
          <w:color w:val="000000" w:themeColor="text1"/>
          <w:sz w:val="16"/>
          <w:szCs w:val="16"/>
        </w:rPr>
        <w:softHyphen/>
        <w:t>теля И-200, которые начались 29 августа 1940 г. (28 августа машины перегнали в НИИ ВВС КА). На состоявшемся на сле</w:t>
      </w:r>
      <w:r w:rsidRPr="00A3026E">
        <w:rPr>
          <w:rFonts w:ascii="Times New Roman" w:hAnsi="Times New Roman"/>
          <w:color w:val="000000" w:themeColor="text1"/>
          <w:sz w:val="16"/>
          <w:szCs w:val="16"/>
        </w:rPr>
        <w:softHyphen/>
        <w:t>дующий день заседании Техничес</w:t>
      </w:r>
      <w:r w:rsidRPr="00A3026E">
        <w:rPr>
          <w:rFonts w:ascii="Times New Roman" w:hAnsi="Times New Roman"/>
          <w:color w:val="000000" w:themeColor="text1"/>
          <w:sz w:val="16"/>
          <w:szCs w:val="16"/>
        </w:rPr>
        <w:softHyphen/>
        <w:t>кого совета при НИИ ВВС КА рас</w:t>
      </w:r>
      <w:r w:rsidRPr="00A3026E">
        <w:rPr>
          <w:rFonts w:ascii="Times New Roman" w:hAnsi="Times New Roman"/>
          <w:color w:val="000000" w:themeColor="text1"/>
          <w:sz w:val="16"/>
          <w:szCs w:val="16"/>
        </w:rPr>
        <w:softHyphen/>
        <w:t>смотрели все достоинства и недо</w:t>
      </w:r>
      <w:r w:rsidRPr="00A3026E">
        <w:rPr>
          <w:rFonts w:ascii="Times New Roman" w:hAnsi="Times New Roman"/>
          <w:color w:val="000000" w:themeColor="text1"/>
          <w:sz w:val="16"/>
          <w:szCs w:val="16"/>
        </w:rPr>
        <w:softHyphen/>
        <w:t>статки самолёта, а также вырабо</w:t>
      </w:r>
      <w:r w:rsidRPr="00A3026E">
        <w:rPr>
          <w:rFonts w:ascii="Times New Roman" w:hAnsi="Times New Roman"/>
          <w:color w:val="000000" w:themeColor="text1"/>
          <w:sz w:val="16"/>
          <w:szCs w:val="16"/>
        </w:rPr>
        <w:softHyphen/>
        <w:t>тали основные мероприятия, на</w:t>
      </w:r>
      <w:r w:rsidRPr="00A3026E">
        <w:rPr>
          <w:rFonts w:ascii="Times New Roman" w:hAnsi="Times New Roman"/>
          <w:color w:val="000000" w:themeColor="text1"/>
          <w:sz w:val="16"/>
          <w:szCs w:val="16"/>
        </w:rPr>
        <w:softHyphen/>
        <w:t>правленные на его улучшение. В целом машина у военных получила положительную оценку. Ведущий лётчик-испытатель С.П. Супрун от</w:t>
      </w:r>
      <w:r w:rsidRPr="00A3026E">
        <w:rPr>
          <w:rFonts w:ascii="Times New Roman" w:hAnsi="Times New Roman"/>
          <w:color w:val="000000" w:themeColor="text1"/>
          <w:sz w:val="16"/>
          <w:szCs w:val="16"/>
        </w:rPr>
        <w:softHyphen/>
        <w:t>метил, что И-200 «является самым доведённым самолётом при поступ</w:t>
      </w:r>
      <w:r w:rsidRPr="00A3026E">
        <w:rPr>
          <w:rFonts w:ascii="Times New Roman" w:hAnsi="Times New Roman"/>
          <w:color w:val="000000" w:themeColor="text1"/>
          <w:sz w:val="16"/>
          <w:szCs w:val="16"/>
        </w:rPr>
        <w:softHyphen/>
        <w:t>лении его на государственные ис</w:t>
      </w:r>
      <w:r w:rsidRPr="00A3026E">
        <w:rPr>
          <w:rFonts w:ascii="Times New Roman" w:hAnsi="Times New Roman"/>
          <w:color w:val="000000" w:themeColor="text1"/>
          <w:sz w:val="16"/>
          <w:szCs w:val="16"/>
        </w:rPr>
        <w:softHyphen/>
        <w:t>пытания, которые опытный самолёт прошёл хорошо». И это были не пу</w:t>
      </w:r>
      <w:r w:rsidRPr="00A3026E">
        <w:rPr>
          <w:rFonts w:ascii="Times New Roman" w:hAnsi="Times New Roman"/>
          <w:color w:val="000000" w:themeColor="text1"/>
          <w:sz w:val="16"/>
          <w:szCs w:val="16"/>
        </w:rPr>
        <w:softHyphen/>
        <w:t>стые слова. И-200 сдал государ</w:t>
      </w:r>
      <w:r w:rsidRPr="00A3026E">
        <w:rPr>
          <w:rFonts w:ascii="Times New Roman" w:hAnsi="Times New Roman"/>
          <w:color w:val="000000" w:themeColor="text1"/>
          <w:sz w:val="16"/>
          <w:szCs w:val="16"/>
        </w:rPr>
        <w:softHyphen/>
        <w:t>ственный экзамен с первого раза, в то время как его собратьям в этом плане не везло. И-26 его пришлось сдавать два раза. И-301 первый раз тоже получил неудовлетворитель</w:t>
      </w:r>
      <w:r w:rsidRPr="00A3026E">
        <w:rPr>
          <w:rFonts w:ascii="Times New Roman" w:hAnsi="Times New Roman"/>
          <w:color w:val="000000" w:themeColor="text1"/>
          <w:sz w:val="16"/>
          <w:szCs w:val="16"/>
        </w:rPr>
        <w:softHyphen/>
        <w:t>ную оценку, а переэкзаменовка так и не состоялась. И-180 из-за ава</w:t>
      </w:r>
      <w:r w:rsidRPr="00A3026E">
        <w:rPr>
          <w:rFonts w:ascii="Times New Roman" w:hAnsi="Times New Roman"/>
          <w:color w:val="000000" w:themeColor="text1"/>
          <w:sz w:val="16"/>
          <w:szCs w:val="16"/>
        </w:rPr>
        <w:softHyphen/>
        <w:t xml:space="preserve">рии, приведшей к гибели самолёта, сдать его не смог. Кроме этого за время заводских и государственных испытаний И-200 не потеряли ни одного самолёта и ни одного </w:t>
      </w:r>
      <w:r w:rsidRPr="00A3026E">
        <w:rPr>
          <w:rFonts w:ascii="Times New Roman" w:hAnsi="Times New Roman"/>
          <w:color w:val="000000" w:themeColor="text1"/>
          <w:sz w:val="16"/>
          <w:szCs w:val="16"/>
        </w:rPr>
        <w:lastRenderedPageBreak/>
        <w:t>лёт</w:t>
      </w:r>
      <w:r w:rsidRPr="00A3026E">
        <w:rPr>
          <w:rFonts w:ascii="Times New Roman" w:hAnsi="Times New Roman"/>
          <w:color w:val="000000" w:themeColor="text1"/>
          <w:sz w:val="16"/>
          <w:szCs w:val="16"/>
        </w:rPr>
        <w:softHyphen/>
        <w:t>чика. В то время как на испытаниях И-26 потерпел катастрофу первый опытный экземпляр и погиб лётчик-испытатель Ю.И Пионтковский. А во время испытаний И-180 потеряны все три опытные машины и погибли лётчики-испытатели В.П. Чкалов и Т.П. Сузи.</w:t>
      </w:r>
    </w:p>
    <w:p w14:paraId="3AD937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выводах отчёта по результа</w:t>
      </w:r>
      <w:r w:rsidRPr="00A3026E">
        <w:rPr>
          <w:rFonts w:ascii="Times New Roman" w:hAnsi="Times New Roman"/>
          <w:color w:val="000000" w:themeColor="text1"/>
          <w:sz w:val="16"/>
          <w:szCs w:val="16"/>
        </w:rPr>
        <w:softHyphen/>
        <w:t>там госиспытаний, утвержденного 20 сентября 1940 г. начальником ВВС КА генерал-лейтенантом авиа</w:t>
      </w:r>
      <w:r w:rsidRPr="00A3026E">
        <w:rPr>
          <w:rFonts w:ascii="Times New Roman" w:hAnsi="Times New Roman"/>
          <w:color w:val="000000" w:themeColor="text1"/>
          <w:sz w:val="16"/>
          <w:szCs w:val="16"/>
        </w:rPr>
        <w:softHyphen/>
        <w:t>ции П.В. Рычаговым, отмечалось, что «самолёт И-200 АМ-35А конструк</w:t>
      </w:r>
      <w:r w:rsidRPr="00A3026E">
        <w:rPr>
          <w:rFonts w:ascii="Times New Roman" w:hAnsi="Times New Roman"/>
          <w:color w:val="000000" w:themeColor="text1"/>
          <w:sz w:val="16"/>
          <w:szCs w:val="16"/>
        </w:rPr>
        <w:softHyphen/>
        <w:t>ции инженеров Микояна и Гуреви-ча производства завода №1, по своей скорости, равной 628 км/ч, является лучшим из отечественных опытных самолётов и не уступает однотипным иностранным самолё</w:t>
      </w:r>
      <w:r w:rsidRPr="00A3026E">
        <w:rPr>
          <w:rFonts w:ascii="Times New Roman" w:hAnsi="Times New Roman"/>
          <w:color w:val="000000" w:themeColor="text1"/>
          <w:sz w:val="16"/>
          <w:szCs w:val="16"/>
        </w:rPr>
        <w:softHyphen/>
        <w:t>там на высотах выше 5000 м».</w:t>
      </w:r>
    </w:p>
    <w:p w14:paraId="3A3F8A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Стоит отметить, что в принципе ВВС КА получали истребитель, ко</w:t>
      </w:r>
      <w:r w:rsidRPr="00A3026E">
        <w:rPr>
          <w:rFonts w:ascii="Times New Roman" w:hAnsi="Times New Roman"/>
          <w:color w:val="000000" w:themeColor="text1"/>
          <w:sz w:val="16"/>
          <w:szCs w:val="16"/>
        </w:rPr>
        <w:softHyphen/>
        <w:t>торый хотели военные. Основные требования к новым боевым само</w:t>
      </w:r>
      <w:r w:rsidRPr="00A3026E">
        <w:rPr>
          <w:rFonts w:ascii="Times New Roman" w:hAnsi="Times New Roman"/>
          <w:color w:val="000000" w:themeColor="text1"/>
          <w:sz w:val="16"/>
          <w:szCs w:val="16"/>
        </w:rPr>
        <w:softHyphen/>
        <w:t>лётам они сформулировали вско</w:t>
      </w:r>
      <w:r w:rsidRPr="00A3026E">
        <w:rPr>
          <w:rFonts w:ascii="Times New Roman" w:hAnsi="Times New Roman"/>
          <w:color w:val="000000" w:themeColor="text1"/>
          <w:sz w:val="16"/>
          <w:szCs w:val="16"/>
        </w:rPr>
        <w:softHyphen/>
        <w:t>ре после нападения фашисткой Гер</w:t>
      </w:r>
      <w:r w:rsidRPr="00A3026E">
        <w:rPr>
          <w:rFonts w:ascii="Times New Roman" w:hAnsi="Times New Roman"/>
          <w:color w:val="000000" w:themeColor="text1"/>
          <w:sz w:val="16"/>
          <w:szCs w:val="16"/>
        </w:rPr>
        <w:softHyphen/>
        <w:t>мании на Польшу (11761).</w:t>
      </w:r>
    </w:p>
    <w:p w14:paraId="32BC72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276E4C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года закончились гос. испытания самолета МиГ с АМ-35А в НИИ ВВС, которые проходили с 29 августа 1940. Испытания выдержал и внедрен в серийное производство (4048, 4).</w:t>
      </w:r>
    </w:p>
    <w:p w14:paraId="26345C2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1BEEE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в НИИ ВВС закончились гос. испытания И-200 с мотором АМ-35А и винтом ВИШ-22Е, которые проходили с 28 августа.</w:t>
      </w:r>
    </w:p>
    <w:p w14:paraId="54C9C7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 ви 2и2р П.С.Никитченко</w:t>
      </w:r>
    </w:p>
    <w:p w14:paraId="5BF997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м С.П.Супрун</w:t>
      </w:r>
    </w:p>
    <w:p w14:paraId="114498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ли стл А.Г.Кубышкин</w:t>
      </w:r>
    </w:p>
    <w:p w14:paraId="0F9210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Врид нач. 1 отд-я ви1р И.Т.Лазарев</w:t>
      </w:r>
    </w:p>
    <w:p w14:paraId="717E37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Участники испытаний:</w:t>
      </w:r>
    </w:p>
    <w:p w14:paraId="121DA0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 ви ви3р В.И.Алексеенко</w:t>
      </w:r>
    </w:p>
    <w:p w14:paraId="15AAF7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П.С.Никитченко</w:t>
      </w:r>
    </w:p>
    <w:p w14:paraId="5AEE68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 по ВМГ ви3р А.Я.Золотарев</w:t>
      </w:r>
    </w:p>
    <w:p w14:paraId="0725E6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 по мотору ыи2р В.А.Черниченко</w:t>
      </w:r>
    </w:p>
    <w:p w14:paraId="540DDF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 по воор. Ви1р Ссорин К.П.</w:t>
      </w:r>
    </w:p>
    <w:p w14:paraId="335419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 по спецоборуд. Ви3р Г.В.Самойлов</w:t>
      </w:r>
    </w:p>
    <w:p w14:paraId="3C5025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по устойчивости и НИО А.Ф.Турчков</w:t>
      </w:r>
    </w:p>
    <w:p w14:paraId="69A8C2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б/техник вт1р А.К.Селезнев</w:t>
      </w:r>
    </w:p>
    <w:p w14:paraId="0A31DD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б/техник Н.В.Сурьянинов</w:t>
      </w:r>
    </w:p>
    <w:p w14:paraId="361060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расчетчик Н.Н.Андросова, З.Д.Ссорина</w:t>
      </w:r>
    </w:p>
    <w:p w14:paraId="2D4F0D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по приборам В.М.Быков, П.М.Ткачев</w:t>
      </w:r>
    </w:p>
    <w:p w14:paraId="4CB2EB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техник по вооружению вт2р И.Ф.Мякинцев</w:t>
      </w:r>
    </w:p>
    <w:p w14:paraId="06FDBA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техник по вооружению Иванчиков</w:t>
      </w:r>
    </w:p>
    <w:p w14:paraId="4EF87D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по кислородному оборудованию А.А.Коробков</w:t>
      </w:r>
    </w:p>
    <w:p w14:paraId="2DF161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моторист двигателя а/м Теленков</w:t>
      </w:r>
    </w:p>
    <w:p w14:paraId="203517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по расчетам вт3р Е.Л.Иванов</w:t>
      </w:r>
    </w:p>
    <w:p w14:paraId="2FCEB5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по фото вт2р Кузнецов</w:t>
      </w:r>
    </w:p>
    <w:p w14:paraId="281445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электротехник Аверьянов</w:t>
      </w:r>
    </w:p>
    <w:p w14:paraId="2CC6FD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опер. группы Нахмановичви1р Вистенко, вт1р Рублев</w:t>
      </w:r>
    </w:p>
    <w:p w14:paraId="68EA8A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облета А.Н.Филин, А.И.Кабанов, П.М.Стефановский, А.Г.Кочетков</w:t>
      </w:r>
    </w:p>
    <w:p w14:paraId="08D6C9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33008F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Проверка ЛТД</w:t>
      </w:r>
    </w:p>
    <w:p w14:paraId="378586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Определение управляемости, устойчивости и маневренности</w:t>
      </w:r>
    </w:p>
    <w:p w14:paraId="188342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Летные испытания опытного мотора АМ-35А на И-200</w:t>
      </w:r>
    </w:p>
    <w:p w14:paraId="7EA9F4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Выявление эксплуатационных дефектов</w:t>
      </w:r>
    </w:p>
    <w:p w14:paraId="590C29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Испытание стрелкового и бомбардировочного вооружения</w:t>
      </w:r>
    </w:p>
    <w:p w14:paraId="42AB41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Проверка штопорных свойств и пикирования</w:t>
      </w:r>
    </w:p>
    <w:p w14:paraId="3EF920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Испытание спецоборудования.</w:t>
      </w:r>
    </w:p>
    <w:p w14:paraId="76657E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 испытаний:</w:t>
      </w:r>
    </w:p>
    <w:p w14:paraId="2EC249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И-200 с АМ-35А и винтом ВИШ-22Е диамотром 3 м конструкции Микояна и Гуревича постройки завода № 1 был изготовлен по ТТТ ВВС КА и должен был иметь следующие данные...</w:t>
      </w:r>
    </w:p>
    <w:p w14:paraId="6E8B58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Принятый в НИИ ВВС КА 29 августа 1940 на госиспытания с-т И-200 в 2-х экз. с мотором АМ-35А предназначен для использования в качестве скоростного истребителя с назначением:</w:t>
      </w:r>
    </w:p>
    <w:p w14:paraId="72DC35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Ведение скоростного воздушного боя для поражения и уничтожения противника на основе преимущества в скорости</w:t>
      </w:r>
    </w:p>
    <w:p w14:paraId="04EB30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перегрузочном варианте с подвесными б/б может быть использован как истребитель сопровождения</w:t>
      </w:r>
    </w:p>
    <w:p w14:paraId="4DAB9C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частных случаях обстановки выполнять задачи по взаимодействию с наземными войсками</w:t>
      </w:r>
    </w:p>
    <w:p w14:paraId="4BAC55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с-та</w:t>
      </w:r>
    </w:p>
    <w:p w14:paraId="2D5B92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смешанной конструкции с состоит из следующих агрегатов:</w:t>
      </w:r>
    </w:p>
    <w:p w14:paraId="2D1928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моторамы балочной конструкции из хромансилевых труб</w:t>
      </w:r>
    </w:p>
    <w:p w14:paraId="392796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передней части фюзеляжа, сваренной из хромансилевых труб</w:t>
      </w:r>
    </w:p>
    <w:p w14:paraId="3ED3D6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цельнометаллического центроплана с дюралевой обшивкой</w:t>
      </w:r>
    </w:p>
    <w:p w14:paraId="5FCF75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деревянной хвостовой части фюзеляжа типа монокок</w:t>
      </w:r>
    </w:p>
    <w:p w14:paraId="34D69D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двух съемных консолей деревяннной или металлической конструкции</w:t>
      </w:r>
    </w:p>
    <w:p w14:paraId="286D7E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одностоечного убирающегося шасси с масляно-пневматической амортизацией и тормозными колесами размером 600х180</w:t>
      </w:r>
    </w:p>
    <w:p w14:paraId="0B95FD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цельнометаллическим дюралевым стабилизатором</w:t>
      </w:r>
    </w:p>
    <w:p w14:paraId="142121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Кабина л закрыта фонарем, ткидывающимся на правый борт</w:t>
      </w:r>
    </w:p>
    <w:p w14:paraId="561297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и задняя часть сбрасываются в случае авиарии при помощи спецмеханизма</w:t>
      </w:r>
    </w:p>
    <w:p w14:paraId="224C62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Хвостовое колесо управляемое и убирающееся в полете (для уборки присоединен к левой ноге шасси)</w:t>
      </w:r>
    </w:p>
    <w:p w14:paraId="6766BD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ВМГ - АМ-35А, жидкостного охлаждения мощностью 1200 лс на 6000 м, редуктор с передачей 0,902.</w:t>
      </w:r>
    </w:p>
    <w:p w14:paraId="6B73C8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трехлопастный с шагом, изменяемым в полете ВИШ-22Е диаметром 3 м и шагом 250 производства завода № 28 с углом поворота до 20 гр.</w:t>
      </w:r>
    </w:p>
    <w:p w14:paraId="53D630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имеет 3 б/б: один в фюзеляже протектированный емкостью 108 л, два в центроплане не протектированные емкостью правый 108 л, а левый - 109 л. Общий объем 359 л или 266 кг</w:t>
      </w:r>
    </w:p>
    <w:p w14:paraId="5B1C90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шли с 29 августа по 12 сентября 1940</w:t>
      </w:r>
    </w:p>
    <w:p w14:paraId="71CE5A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 полета с налетом 24:15</w:t>
      </w:r>
    </w:p>
    <w:p w14:paraId="146A01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15 дней:</w:t>
      </w:r>
    </w:p>
    <w:p w14:paraId="41C1BB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наземные испытания - 1</w:t>
      </w:r>
    </w:p>
    <w:p w14:paraId="4043CC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нелетная погода - 1</w:t>
      </w:r>
    </w:p>
    <w:p w14:paraId="040986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летные - 10</w:t>
      </w:r>
    </w:p>
    <w:p w14:paraId="7C73C6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ремонт - 2</w:t>
      </w:r>
    </w:p>
    <w:p w14:paraId="008459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выходные - 2</w:t>
      </w:r>
    </w:p>
    <w:p w14:paraId="705DB2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испытывался со следующей загрузкой:</w:t>
      </w:r>
    </w:p>
    <w:p w14:paraId="559941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с парашютом - 90 кг</w:t>
      </w:r>
    </w:p>
    <w:p w14:paraId="7368CC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горючее - 266 кг</w:t>
      </w:r>
    </w:p>
    <w:p w14:paraId="167E0B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 - 30 кг</w:t>
      </w:r>
    </w:p>
    <w:p w14:paraId="7C7B13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Патронов для БС (300) - 51</w:t>
      </w:r>
    </w:p>
    <w:p w14:paraId="18A7A8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Патронов ШКАС (1500) - 48</w:t>
      </w:r>
    </w:p>
    <w:p w14:paraId="7304C8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Акумулятор 12А-5 - 8,5</w:t>
      </w:r>
    </w:p>
    <w:p w14:paraId="197E37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- 494 кг</w:t>
      </w:r>
    </w:p>
    <w:p w14:paraId="1A2FE5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042"/>
        <w:gridCol w:w="2127"/>
      </w:tblGrid>
      <w:tr w:rsidR="00983732" w:rsidRPr="00A3026E" w14:paraId="67DF36F2" w14:textId="77777777" w:rsidTr="00EA0DA7">
        <w:tc>
          <w:tcPr>
            <w:tcW w:w="3736" w:type="dxa"/>
            <w:tcBorders>
              <w:top w:val="single" w:sz="12" w:space="0" w:color="auto"/>
            </w:tcBorders>
          </w:tcPr>
          <w:p w14:paraId="3A816F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w:t>
            </w:r>
          </w:p>
        </w:tc>
        <w:tc>
          <w:tcPr>
            <w:tcW w:w="2042" w:type="dxa"/>
            <w:tcBorders>
              <w:top w:val="single" w:sz="12" w:space="0" w:color="auto"/>
            </w:tcBorders>
          </w:tcPr>
          <w:p w14:paraId="12A500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ТТТ</w:t>
            </w:r>
          </w:p>
        </w:tc>
        <w:tc>
          <w:tcPr>
            <w:tcW w:w="2127" w:type="dxa"/>
            <w:tcBorders>
              <w:top w:val="single" w:sz="12" w:space="0" w:color="auto"/>
            </w:tcBorders>
          </w:tcPr>
          <w:p w14:paraId="5F01EC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результатам испытаний</w:t>
            </w:r>
          </w:p>
        </w:tc>
      </w:tr>
      <w:tr w:rsidR="00983732" w:rsidRPr="00A3026E" w14:paraId="40C0A5EE" w14:textId="77777777" w:rsidTr="00EA0DA7">
        <w:tc>
          <w:tcPr>
            <w:tcW w:w="3736" w:type="dxa"/>
          </w:tcPr>
          <w:p w14:paraId="794BE2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6000-7000 м</w:t>
            </w:r>
          </w:p>
        </w:tc>
        <w:tc>
          <w:tcPr>
            <w:tcW w:w="2042" w:type="dxa"/>
          </w:tcPr>
          <w:p w14:paraId="6F2B8A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640</w:t>
            </w:r>
          </w:p>
        </w:tc>
        <w:tc>
          <w:tcPr>
            <w:tcW w:w="2127" w:type="dxa"/>
          </w:tcPr>
          <w:p w14:paraId="7474D2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628/7000</w:t>
            </w:r>
          </w:p>
        </w:tc>
      </w:tr>
      <w:tr w:rsidR="00983732" w:rsidRPr="00A3026E" w14:paraId="1C34B96D" w14:textId="77777777" w:rsidTr="00EA0DA7">
        <w:tc>
          <w:tcPr>
            <w:tcW w:w="3736" w:type="dxa"/>
          </w:tcPr>
          <w:p w14:paraId="39AA6D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2042" w:type="dxa"/>
          </w:tcPr>
          <w:p w14:paraId="5A3DA9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13000</w:t>
            </w:r>
          </w:p>
        </w:tc>
        <w:tc>
          <w:tcPr>
            <w:tcW w:w="2127" w:type="dxa"/>
          </w:tcPr>
          <w:p w14:paraId="0AA94E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r>
      <w:tr w:rsidR="00983732" w:rsidRPr="00A3026E" w14:paraId="425FA991" w14:textId="77777777" w:rsidTr="00EA0DA7">
        <w:tc>
          <w:tcPr>
            <w:tcW w:w="3736" w:type="dxa"/>
          </w:tcPr>
          <w:p w14:paraId="2DBA3D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0,9 макс.</w:t>
            </w:r>
          </w:p>
        </w:tc>
        <w:tc>
          <w:tcPr>
            <w:tcW w:w="2042" w:type="dxa"/>
          </w:tcPr>
          <w:p w14:paraId="5CE670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w:t>
            </w:r>
          </w:p>
        </w:tc>
        <w:tc>
          <w:tcPr>
            <w:tcW w:w="2127" w:type="dxa"/>
          </w:tcPr>
          <w:p w14:paraId="0F837D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r>
      <w:tr w:rsidR="00983732" w:rsidRPr="00A3026E" w14:paraId="11BFC832" w14:textId="77777777" w:rsidTr="00EA0DA7">
        <w:tc>
          <w:tcPr>
            <w:tcW w:w="3736" w:type="dxa"/>
          </w:tcPr>
          <w:p w14:paraId="6AF8F2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 же с подвесными б/б</w:t>
            </w:r>
          </w:p>
        </w:tc>
        <w:tc>
          <w:tcPr>
            <w:tcW w:w="2042" w:type="dxa"/>
          </w:tcPr>
          <w:p w14:paraId="6B7ADA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2127" w:type="dxa"/>
          </w:tcPr>
          <w:p w14:paraId="632807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854F259" w14:textId="77777777" w:rsidTr="00EA0DA7">
        <w:tc>
          <w:tcPr>
            <w:tcW w:w="3736" w:type="dxa"/>
          </w:tcPr>
          <w:p w14:paraId="056FEA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 на 1000 м</w:t>
            </w:r>
          </w:p>
        </w:tc>
        <w:tc>
          <w:tcPr>
            <w:tcW w:w="2042" w:type="dxa"/>
          </w:tcPr>
          <w:p w14:paraId="3189BC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127" w:type="dxa"/>
          </w:tcPr>
          <w:p w14:paraId="0C2067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правый 20</w:t>
            </w:r>
          </w:p>
          <w:p w14:paraId="523BB9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левый 22</w:t>
            </w:r>
          </w:p>
        </w:tc>
      </w:tr>
      <w:tr w:rsidR="00983732" w:rsidRPr="00A3026E" w14:paraId="5968C8BF" w14:textId="77777777" w:rsidTr="00EA0DA7">
        <w:tc>
          <w:tcPr>
            <w:tcW w:w="3736" w:type="dxa"/>
          </w:tcPr>
          <w:p w14:paraId="4DE235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w:t>
            </w:r>
          </w:p>
        </w:tc>
        <w:tc>
          <w:tcPr>
            <w:tcW w:w="2042" w:type="dxa"/>
          </w:tcPr>
          <w:p w14:paraId="7A2EEC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200-250</w:t>
            </w:r>
          </w:p>
        </w:tc>
        <w:tc>
          <w:tcPr>
            <w:tcW w:w="2127" w:type="dxa"/>
          </w:tcPr>
          <w:p w14:paraId="752CF9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237-305</w:t>
            </w:r>
          </w:p>
        </w:tc>
      </w:tr>
      <w:tr w:rsidR="00983732" w:rsidRPr="00A3026E" w14:paraId="7FE64870" w14:textId="77777777" w:rsidTr="00EA0DA7">
        <w:tc>
          <w:tcPr>
            <w:tcW w:w="3736" w:type="dxa"/>
          </w:tcPr>
          <w:p w14:paraId="23EA29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w:t>
            </w:r>
          </w:p>
        </w:tc>
        <w:tc>
          <w:tcPr>
            <w:tcW w:w="2042" w:type="dxa"/>
          </w:tcPr>
          <w:p w14:paraId="694B71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250-300</w:t>
            </w:r>
          </w:p>
        </w:tc>
        <w:tc>
          <w:tcPr>
            <w:tcW w:w="2127" w:type="dxa"/>
          </w:tcPr>
          <w:p w14:paraId="0E44C9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r>
      <w:tr w:rsidR="00983732" w:rsidRPr="00A3026E" w14:paraId="3887DE71" w14:textId="77777777" w:rsidTr="00EA0DA7">
        <w:tc>
          <w:tcPr>
            <w:tcW w:w="3736" w:type="dxa"/>
          </w:tcPr>
          <w:p w14:paraId="4075FE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Пасадочная скорость </w:t>
            </w:r>
          </w:p>
        </w:tc>
        <w:tc>
          <w:tcPr>
            <w:tcW w:w="2042" w:type="dxa"/>
          </w:tcPr>
          <w:p w14:paraId="09AC95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w:t>
            </w:r>
          </w:p>
        </w:tc>
        <w:tc>
          <w:tcPr>
            <w:tcW w:w="2127" w:type="dxa"/>
          </w:tcPr>
          <w:p w14:paraId="3CE858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w:t>
            </w:r>
          </w:p>
        </w:tc>
      </w:tr>
      <w:tr w:rsidR="00983732" w:rsidRPr="00A3026E" w14:paraId="410DA26C" w14:textId="77777777" w:rsidTr="00EA0DA7">
        <w:tc>
          <w:tcPr>
            <w:tcW w:w="3736" w:type="dxa"/>
            <w:tcBorders>
              <w:bottom w:val="single" w:sz="12" w:space="0" w:color="auto"/>
            </w:tcBorders>
          </w:tcPr>
          <w:p w14:paraId="4F6D73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8000 м</w:t>
            </w:r>
          </w:p>
        </w:tc>
        <w:tc>
          <w:tcPr>
            <w:tcW w:w="2042" w:type="dxa"/>
            <w:tcBorders>
              <w:bottom w:val="single" w:sz="12" w:space="0" w:color="auto"/>
            </w:tcBorders>
          </w:tcPr>
          <w:p w14:paraId="34F34A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w:t>
            </w:r>
          </w:p>
        </w:tc>
        <w:tc>
          <w:tcPr>
            <w:tcW w:w="2127" w:type="dxa"/>
            <w:tcBorders>
              <w:bottom w:val="single" w:sz="12" w:space="0" w:color="auto"/>
            </w:tcBorders>
          </w:tcPr>
          <w:p w14:paraId="74822D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8,57</w:t>
            </w:r>
          </w:p>
        </w:tc>
      </w:tr>
    </w:tbl>
    <w:p w14:paraId="431CE4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Сравнительная таблица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682"/>
        <w:gridCol w:w="1682"/>
        <w:gridCol w:w="1682"/>
        <w:gridCol w:w="1682"/>
        <w:gridCol w:w="1682"/>
      </w:tblGrid>
      <w:tr w:rsidR="00983732" w:rsidRPr="00A3026E" w14:paraId="0F423D79" w14:textId="77777777" w:rsidTr="00EA0DA7">
        <w:tc>
          <w:tcPr>
            <w:tcW w:w="2802" w:type="dxa"/>
            <w:tcBorders>
              <w:top w:val="single" w:sz="12" w:space="0" w:color="auto"/>
            </w:tcBorders>
          </w:tcPr>
          <w:p w14:paraId="4673DF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w:t>
            </w:r>
          </w:p>
        </w:tc>
        <w:tc>
          <w:tcPr>
            <w:tcW w:w="1682" w:type="dxa"/>
            <w:tcBorders>
              <w:top w:val="single" w:sz="12" w:space="0" w:color="auto"/>
            </w:tcBorders>
          </w:tcPr>
          <w:p w14:paraId="66484F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 АМ-35А</w:t>
            </w:r>
          </w:p>
        </w:tc>
        <w:tc>
          <w:tcPr>
            <w:tcW w:w="1682" w:type="dxa"/>
            <w:tcBorders>
              <w:top w:val="single" w:sz="12" w:space="0" w:color="auto"/>
            </w:tcBorders>
          </w:tcPr>
          <w:p w14:paraId="7F2B26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М-105</w:t>
            </w:r>
          </w:p>
        </w:tc>
        <w:tc>
          <w:tcPr>
            <w:tcW w:w="1682" w:type="dxa"/>
            <w:tcBorders>
              <w:top w:val="single" w:sz="12" w:space="0" w:color="auto"/>
            </w:tcBorders>
          </w:tcPr>
          <w:p w14:paraId="35757A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М-105</w:t>
            </w:r>
          </w:p>
        </w:tc>
        <w:tc>
          <w:tcPr>
            <w:tcW w:w="1682" w:type="dxa"/>
            <w:tcBorders>
              <w:top w:val="single" w:sz="12" w:space="0" w:color="auto"/>
            </w:tcBorders>
          </w:tcPr>
          <w:p w14:paraId="76F6D5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Ме-109 ДБ-601</w:t>
            </w:r>
          </w:p>
        </w:tc>
        <w:tc>
          <w:tcPr>
            <w:tcW w:w="1682" w:type="dxa"/>
            <w:tcBorders>
              <w:top w:val="single" w:sz="12" w:space="0" w:color="auto"/>
            </w:tcBorders>
          </w:tcPr>
          <w:p w14:paraId="767C07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Хе-100 ДБ-601</w:t>
            </w:r>
          </w:p>
        </w:tc>
      </w:tr>
      <w:tr w:rsidR="00983732" w:rsidRPr="00A3026E" w14:paraId="6F133C82" w14:textId="77777777" w:rsidTr="00EA0DA7">
        <w:tc>
          <w:tcPr>
            <w:tcW w:w="2802" w:type="dxa"/>
          </w:tcPr>
          <w:p w14:paraId="7B3D14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1682" w:type="dxa"/>
          </w:tcPr>
          <w:p w14:paraId="713594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3099</w:t>
            </w:r>
          </w:p>
        </w:tc>
        <w:tc>
          <w:tcPr>
            <w:tcW w:w="1682" w:type="dxa"/>
          </w:tcPr>
          <w:p w14:paraId="2F9865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2700</w:t>
            </w:r>
          </w:p>
        </w:tc>
        <w:tc>
          <w:tcPr>
            <w:tcW w:w="1682" w:type="dxa"/>
          </w:tcPr>
          <w:p w14:paraId="0481E5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2968</w:t>
            </w:r>
          </w:p>
        </w:tc>
        <w:tc>
          <w:tcPr>
            <w:tcW w:w="1682" w:type="dxa"/>
          </w:tcPr>
          <w:p w14:paraId="0660AE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2605</w:t>
            </w:r>
          </w:p>
        </w:tc>
        <w:tc>
          <w:tcPr>
            <w:tcW w:w="1682" w:type="dxa"/>
          </w:tcPr>
          <w:p w14:paraId="460955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2492</w:t>
            </w:r>
          </w:p>
        </w:tc>
      </w:tr>
      <w:tr w:rsidR="00983732" w:rsidRPr="00A3026E" w14:paraId="1F5E8845" w14:textId="77777777" w:rsidTr="00EA0DA7">
        <w:tc>
          <w:tcPr>
            <w:tcW w:w="2802" w:type="dxa"/>
          </w:tcPr>
          <w:p w14:paraId="500534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 на высоте</w:t>
            </w:r>
          </w:p>
        </w:tc>
        <w:tc>
          <w:tcPr>
            <w:tcW w:w="1682" w:type="dxa"/>
          </w:tcPr>
          <w:p w14:paraId="72BDB9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1200/6000</w:t>
            </w:r>
          </w:p>
        </w:tc>
        <w:tc>
          <w:tcPr>
            <w:tcW w:w="1682" w:type="dxa"/>
          </w:tcPr>
          <w:p w14:paraId="737A7B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c>
          <w:tcPr>
            <w:tcW w:w="1682" w:type="dxa"/>
          </w:tcPr>
          <w:p w14:paraId="3CE707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c>
          <w:tcPr>
            <w:tcW w:w="1682" w:type="dxa"/>
          </w:tcPr>
          <w:p w14:paraId="061EF0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1100/3700</w:t>
            </w:r>
          </w:p>
        </w:tc>
        <w:tc>
          <w:tcPr>
            <w:tcW w:w="1682" w:type="dxa"/>
          </w:tcPr>
          <w:p w14:paraId="6BFE8C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1100/3700</w:t>
            </w:r>
          </w:p>
        </w:tc>
      </w:tr>
      <w:tr w:rsidR="00983732" w:rsidRPr="00A3026E" w14:paraId="6DD39B6B" w14:textId="77777777" w:rsidTr="00EA0DA7">
        <w:tc>
          <w:tcPr>
            <w:tcW w:w="2802" w:type="dxa"/>
          </w:tcPr>
          <w:p w14:paraId="089E81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скрость у земли</w:t>
            </w:r>
          </w:p>
        </w:tc>
        <w:tc>
          <w:tcPr>
            <w:tcW w:w="1682" w:type="dxa"/>
          </w:tcPr>
          <w:p w14:paraId="43ED35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c>
          <w:tcPr>
            <w:tcW w:w="1682" w:type="dxa"/>
          </w:tcPr>
          <w:p w14:paraId="7E2B50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c>
          <w:tcPr>
            <w:tcW w:w="1682" w:type="dxa"/>
          </w:tcPr>
          <w:p w14:paraId="5EBB9A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1682" w:type="dxa"/>
          </w:tcPr>
          <w:p w14:paraId="5E130D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c>
          <w:tcPr>
            <w:tcW w:w="1682" w:type="dxa"/>
          </w:tcPr>
          <w:p w14:paraId="1BF3AA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w:t>
            </w:r>
          </w:p>
        </w:tc>
      </w:tr>
      <w:tr w:rsidR="00983732" w:rsidRPr="00A3026E" w14:paraId="2A4A9D33" w14:textId="77777777" w:rsidTr="00EA0DA7">
        <w:tc>
          <w:tcPr>
            <w:tcW w:w="2802" w:type="dxa"/>
          </w:tcPr>
          <w:p w14:paraId="69FE3E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у земли на форсаже</w:t>
            </w:r>
          </w:p>
        </w:tc>
        <w:tc>
          <w:tcPr>
            <w:tcW w:w="1682" w:type="dxa"/>
          </w:tcPr>
          <w:p w14:paraId="59ABAE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c>
          <w:tcPr>
            <w:tcW w:w="1682" w:type="dxa"/>
          </w:tcPr>
          <w:p w14:paraId="2A62DA4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Pr>
          <w:p w14:paraId="2D5D566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Pr>
          <w:p w14:paraId="70C94BA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Pr>
          <w:p w14:paraId="7567CDA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B2E772F" w14:textId="77777777" w:rsidTr="00EA0DA7">
        <w:tc>
          <w:tcPr>
            <w:tcW w:w="2802" w:type="dxa"/>
          </w:tcPr>
          <w:p w14:paraId="0B7D73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скрость на расчетной высоте</w:t>
            </w:r>
          </w:p>
        </w:tc>
        <w:tc>
          <w:tcPr>
            <w:tcW w:w="1682" w:type="dxa"/>
          </w:tcPr>
          <w:p w14:paraId="66BC95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628/7200</w:t>
            </w:r>
          </w:p>
        </w:tc>
        <w:tc>
          <w:tcPr>
            <w:tcW w:w="1682" w:type="dxa"/>
          </w:tcPr>
          <w:p w14:paraId="6BBF60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585/4800</w:t>
            </w:r>
          </w:p>
        </w:tc>
        <w:tc>
          <w:tcPr>
            <w:tcW w:w="1682" w:type="dxa"/>
          </w:tcPr>
          <w:p w14:paraId="27F85A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605/4950</w:t>
            </w:r>
          </w:p>
        </w:tc>
        <w:tc>
          <w:tcPr>
            <w:tcW w:w="1682" w:type="dxa"/>
          </w:tcPr>
          <w:p w14:paraId="7DA52D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546/4600</w:t>
            </w:r>
          </w:p>
        </w:tc>
        <w:tc>
          <w:tcPr>
            <w:tcW w:w="1682" w:type="dxa"/>
          </w:tcPr>
          <w:p w14:paraId="44D144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650/4950</w:t>
            </w:r>
          </w:p>
        </w:tc>
      </w:tr>
      <w:tr w:rsidR="00983732" w:rsidRPr="00A3026E" w14:paraId="4F024965" w14:textId="77777777" w:rsidTr="00EA0DA7">
        <w:tc>
          <w:tcPr>
            <w:tcW w:w="2802" w:type="dxa"/>
          </w:tcPr>
          <w:p w14:paraId="309F02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5000 м</w:t>
            </w:r>
          </w:p>
        </w:tc>
        <w:tc>
          <w:tcPr>
            <w:tcW w:w="1682" w:type="dxa"/>
          </w:tcPr>
          <w:p w14:paraId="5F2E78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w:t>
            </w:r>
          </w:p>
        </w:tc>
        <w:tc>
          <w:tcPr>
            <w:tcW w:w="1682" w:type="dxa"/>
          </w:tcPr>
          <w:p w14:paraId="14D1CE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1682" w:type="dxa"/>
          </w:tcPr>
          <w:p w14:paraId="4FEE8B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1682" w:type="dxa"/>
          </w:tcPr>
          <w:p w14:paraId="0D69E2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w:t>
            </w:r>
          </w:p>
        </w:tc>
        <w:tc>
          <w:tcPr>
            <w:tcW w:w="1682" w:type="dxa"/>
          </w:tcPr>
          <w:p w14:paraId="322BA2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r>
      <w:tr w:rsidR="00983732" w:rsidRPr="00A3026E" w14:paraId="6F2941AD" w14:textId="77777777" w:rsidTr="00EA0DA7">
        <w:tc>
          <w:tcPr>
            <w:tcW w:w="2802" w:type="dxa"/>
          </w:tcPr>
          <w:p w14:paraId="25C68A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1682" w:type="dxa"/>
          </w:tcPr>
          <w:p w14:paraId="4CC880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c>
          <w:tcPr>
            <w:tcW w:w="1682" w:type="dxa"/>
          </w:tcPr>
          <w:p w14:paraId="42E4F3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10200</w:t>
            </w:r>
          </w:p>
        </w:tc>
        <w:tc>
          <w:tcPr>
            <w:tcW w:w="1682" w:type="dxa"/>
          </w:tcPr>
          <w:p w14:paraId="644EDC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9600</w:t>
            </w:r>
          </w:p>
        </w:tc>
        <w:tc>
          <w:tcPr>
            <w:tcW w:w="1682" w:type="dxa"/>
          </w:tcPr>
          <w:p w14:paraId="406A18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c>
          <w:tcPr>
            <w:tcW w:w="1682" w:type="dxa"/>
          </w:tcPr>
          <w:p w14:paraId="413A28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r>
      <w:tr w:rsidR="00983732" w:rsidRPr="00A3026E" w14:paraId="5BD56FC0" w14:textId="77777777" w:rsidTr="00EA0DA7">
        <w:tc>
          <w:tcPr>
            <w:tcW w:w="2802" w:type="dxa"/>
          </w:tcPr>
          <w:p w14:paraId="1CC988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1682" w:type="dxa"/>
          </w:tcPr>
          <w:p w14:paraId="7A7449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w:t>
            </w:r>
          </w:p>
        </w:tc>
        <w:tc>
          <w:tcPr>
            <w:tcW w:w="1682" w:type="dxa"/>
          </w:tcPr>
          <w:p w14:paraId="5A435F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682" w:type="dxa"/>
          </w:tcPr>
          <w:p w14:paraId="65A1A0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1682" w:type="dxa"/>
          </w:tcPr>
          <w:p w14:paraId="049847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129</w:t>
            </w:r>
          </w:p>
        </w:tc>
        <w:tc>
          <w:tcPr>
            <w:tcW w:w="1682" w:type="dxa"/>
          </w:tcPr>
          <w:p w14:paraId="60EC14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149</w:t>
            </w:r>
          </w:p>
        </w:tc>
      </w:tr>
      <w:tr w:rsidR="00983732" w:rsidRPr="00A3026E" w14:paraId="16AF6E8E" w14:textId="77777777" w:rsidTr="00EA0DA7">
        <w:tc>
          <w:tcPr>
            <w:tcW w:w="2802" w:type="dxa"/>
          </w:tcPr>
          <w:p w14:paraId="262CF5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w:t>
            </w:r>
          </w:p>
        </w:tc>
        <w:tc>
          <w:tcPr>
            <w:tcW w:w="1682" w:type="dxa"/>
          </w:tcPr>
          <w:p w14:paraId="25CAD7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238</w:t>
            </w:r>
          </w:p>
        </w:tc>
        <w:tc>
          <w:tcPr>
            <w:tcW w:w="1682" w:type="dxa"/>
          </w:tcPr>
          <w:p w14:paraId="71C864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682" w:type="dxa"/>
          </w:tcPr>
          <w:p w14:paraId="2FC437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w:t>
            </w:r>
          </w:p>
        </w:tc>
        <w:tc>
          <w:tcPr>
            <w:tcW w:w="1682" w:type="dxa"/>
          </w:tcPr>
          <w:p w14:paraId="159F66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w:t>
            </w:r>
          </w:p>
        </w:tc>
        <w:tc>
          <w:tcPr>
            <w:tcW w:w="1682" w:type="dxa"/>
          </w:tcPr>
          <w:p w14:paraId="1F22D7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9CD6D9B" w14:textId="77777777" w:rsidTr="00EA0DA7">
        <w:tc>
          <w:tcPr>
            <w:tcW w:w="2802" w:type="dxa"/>
          </w:tcPr>
          <w:p w14:paraId="6330FE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w:t>
            </w:r>
          </w:p>
        </w:tc>
        <w:tc>
          <w:tcPr>
            <w:tcW w:w="1682" w:type="dxa"/>
          </w:tcPr>
          <w:p w14:paraId="698E0E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1682" w:type="dxa"/>
          </w:tcPr>
          <w:p w14:paraId="09C031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682" w:type="dxa"/>
          </w:tcPr>
          <w:p w14:paraId="2D38A3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w:t>
            </w:r>
          </w:p>
        </w:tc>
        <w:tc>
          <w:tcPr>
            <w:tcW w:w="1682" w:type="dxa"/>
          </w:tcPr>
          <w:p w14:paraId="70F817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223</w:t>
            </w:r>
          </w:p>
        </w:tc>
        <w:tc>
          <w:tcPr>
            <w:tcW w:w="1682" w:type="dxa"/>
          </w:tcPr>
          <w:p w14:paraId="78AE17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E08B4AF" w14:textId="77777777" w:rsidTr="00EA0DA7">
        <w:tc>
          <w:tcPr>
            <w:tcW w:w="2802" w:type="dxa"/>
          </w:tcPr>
          <w:p w14:paraId="68F29F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w:t>
            </w:r>
          </w:p>
        </w:tc>
        <w:tc>
          <w:tcPr>
            <w:tcW w:w="1682" w:type="dxa"/>
          </w:tcPr>
          <w:p w14:paraId="3ED874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c>
          <w:tcPr>
            <w:tcW w:w="1682" w:type="dxa"/>
          </w:tcPr>
          <w:p w14:paraId="10F171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1682" w:type="dxa"/>
          </w:tcPr>
          <w:p w14:paraId="19A8A8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w:t>
            </w:r>
          </w:p>
        </w:tc>
        <w:tc>
          <w:tcPr>
            <w:tcW w:w="1682" w:type="dxa"/>
          </w:tcPr>
          <w:p w14:paraId="764328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682" w:type="dxa"/>
          </w:tcPr>
          <w:p w14:paraId="098212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BDF4731" w14:textId="77777777" w:rsidTr="00EA0DA7">
        <w:tc>
          <w:tcPr>
            <w:tcW w:w="2802" w:type="dxa"/>
          </w:tcPr>
          <w:p w14:paraId="0F0891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горючего кг</w:t>
            </w:r>
          </w:p>
        </w:tc>
        <w:tc>
          <w:tcPr>
            <w:tcW w:w="1682" w:type="dxa"/>
          </w:tcPr>
          <w:p w14:paraId="56BF62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266</w:t>
            </w:r>
          </w:p>
        </w:tc>
        <w:tc>
          <w:tcPr>
            <w:tcW w:w="1682" w:type="dxa"/>
          </w:tcPr>
          <w:p w14:paraId="072B19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w:t>
            </w:r>
          </w:p>
        </w:tc>
        <w:tc>
          <w:tcPr>
            <w:tcW w:w="1682" w:type="dxa"/>
          </w:tcPr>
          <w:p w14:paraId="1B7117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1682" w:type="dxa"/>
          </w:tcPr>
          <w:p w14:paraId="5C8D5F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276</w:t>
            </w:r>
          </w:p>
        </w:tc>
        <w:tc>
          <w:tcPr>
            <w:tcW w:w="1682" w:type="dxa"/>
          </w:tcPr>
          <w:p w14:paraId="368D0A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w:t>
            </w:r>
          </w:p>
        </w:tc>
      </w:tr>
      <w:tr w:rsidR="00983732" w:rsidRPr="00A3026E" w14:paraId="4C332337" w14:textId="77777777" w:rsidTr="00EA0DA7">
        <w:tc>
          <w:tcPr>
            <w:tcW w:w="2802" w:type="dxa"/>
          </w:tcPr>
          <w:p w14:paraId="1FBB13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1682" w:type="dxa"/>
          </w:tcPr>
          <w:p w14:paraId="66E4C9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2хШКАС (1500),1хБС (300)</w:t>
            </w:r>
          </w:p>
        </w:tc>
        <w:tc>
          <w:tcPr>
            <w:tcW w:w="1682" w:type="dxa"/>
          </w:tcPr>
          <w:p w14:paraId="7223BC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2хШКАС (760), 1х20 (120)</w:t>
            </w:r>
          </w:p>
        </w:tc>
        <w:tc>
          <w:tcPr>
            <w:tcW w:w="1682" w:type="dxa"/>
          </w:tcPr>
          <w:p w14:paraId="5FFF88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2хБС (460), 1х23 (81)</w:t>
            </w:r>
          </w:p>
        </w:tc>
        <w:tc>
          <w:tcPr>
            <w:tcW w:w="1682" w:type="dxa"/>
          </w:tcPr>
          <w:p w14:paraId="69224C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2хпушки (120),2хпул (2000)</w:t>
            </w:r>
          </w:p>
        </w:tc>
        <w:tc>
          <w:tcPr>
            <w:tcW w:w="1682" w:type="dxa"/>
          </w:tcPr>
          <w:p w14:paraId="63E7BC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3хпушки</w:t>
            </w:r>
          </w:p>
        </w:tc>
      </w:tr>
      <w:tr w:rsidR="00983732" w:rsidRPr="00A3026E" w14:paraId="7508B4DB" w14:textId="77777777" w:rsidTr="00EA0DA7">
        <w:tc>
          <w:tcPr>
            <w:tcW w:w="2802" w:type="dxa"/>
          </w:tcPr>
          <w:p w14:paraId="60DADB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на м2</w:t>
            </w:r>
          </w:p>
        </w:tc>
        <w:tc>
          <w:tcPr>
            <w:tcW w:w="1682" w:type="dxa"/>
          </w:tcPr>
          <w:p w14:paraId="4722EA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tc>
        <w:tc>
          <w:tcPr>
            <w:tcW w:w="1682" w:type="dxa"/>
          </w:tcPr>
          <w:p w14:paraId="217BE1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154</w:t>
            </w:r>
          </w:p>
        </w:tc>
        <w:tc>
          <w:tcPr>
            <w:tcW w:w="1682" w:type="dxa"/>
          </w:tcPr>
          <w:p w14:paraId="287E47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168</w:t>
            </w:r>
          </w:p>
        </w:tc>
        <w:tc>
          <w:tcPr>
            <w:tcW w:w="1682" w:type="dxa"/>
          </w:tcPr>
          <w:p w14:paraId="0F9BD3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w:t>
            </w:r>
          </w:p>
        </w:tc>
        <w:tc>
          <w:tcPr>
            <w:tcW w:w="1682" w:type="dxa"/>
          </w:tcPr>
          <w:p w14:paraId="680DD0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w:t>
            </w:r>
          </w:p>
        </w:tc>
      </w:tr>
      <w:tr w:rsidR="00983732" w:rsidRPr="00A3026E" w14:paraId="725B5A48" w14:textId="77777777" w:rsidTr="00EA0DA7">
        <w:tc>
          <w:tcPr>
            <w:tcW w:w="2802" w:type="dxa"/>
          </w:tcPr>
          <w:p w14:paraId="6A0F1A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Спуск</w:t>
            </w:r>
          </w:p>
        </w:tc>
        <w:tc>
          <w:tcPr>
            <w:tcW w:w="1682" w:type="dxa"/>
          </w:tcPr>
          <w:p w14:paraId="607DBA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пневмомеханика</w:t>
            </w:r>
          </w:p>
        </w:tc>
        <w:tc>
          <w:tcPr>
            <w:tcW w:w="1682" w:type="dxa"/>
          </w:tcPr>
          <w:p w14:paraId="5264DD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пневмомеханика</w:t>
            </w:r>
          </w:p>
        </w:tc>
        <w:tc>
          <w:tcPr>
            <w:tcW w:w="1682" w:type="dxa"/>
          </w:tcPr>
          <w:p w14:paraId="028FA0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механика</w:t>
            </w:r>
          </w:p>
        </w:tc>
        <w:tc>
          <w:tcPr>
            <w:tcW w:w="1682" w:type="dxa"/>
          </w:tcPr>
          <w:p w14:paraId="5B1C6C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электоромеханика</w:t>
            </w:r>
          </w:p>
        </w:tc>
        <w:tc>
          <w:tcPr>
            <w:tcW w:w="1682" w:type="dxa"/>
          </w:tcPr>
          <w:p w14:paraId="6C7C29C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2E5228C" w14:textId="77777777" w:rsidTr="00EA0DA7">
        <w:tc>
          <w:tcPr>
            <w:tcW w:w="2802" w:type="dxa"/>
          </w:tcPr>
          <w:p w14:paraId="35A375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w:t>
            </w:r>
          </w:p>
        </w:tc>
        <w:tc>
          <w:tcPr>
            <w:tcW w:w="1682" w:type="dxa"/>
          </w:tcPr>
          <w:p w14:paraId="5AE9B2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ПАН-23</w:t>
            </w:r>
          </w:p>
        </w:tc>
        <w:tc>
          <w:tcPr>
            <w:tcW w:w="1682" w:type="dxa"/>
          </w:tcPr>
          <w:p w14:paraId="527396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ПАН-23</w:t>
            </w:r>
          </w:p>
        </w:tc>
        <w:tc>
          <w:tcPr>
            <w:tcW w:w="1682" w:type="dxa"/>
          </w:tcPr>
          <w:p w14:paraId="3765617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Pr>
          <w:p w14:paraId="4758218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Pr>
          <w:p w14:paraId="1B0B7DC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736506E" w14:textId="77777777" w:rsidTr="00EA0DA7">
        <w:tc>
          <w:tcPr>
            <w:tcW w:w="2802" w:type="dxa"/>
            <w:tcBorders>
              <w:bottom w:val="single" w:sz="12" w:space="0" w:color="auto"/>
            </w:tcBorders>
          </w:tcPr>
          <w:p w14:paraId="4B6B13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w:t>
            </w:r>
          </w:p>
        </w:tc>
        <w:tc>
          <w:tcPr>
            <w:tcW w:w="1682" w:type="dxa"/>
            <w:tcBorders>
              <w:bottom w:val="single" w:sz="12" w:space="0" w:color="auto"/>
            </w:tcBorders>
          </w:tcPr>
          <w:p w14:paraId="65E648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8хРС-82</w:t>
            </w:r>
          </w:p>
        </w:tc>
        <w:tc>
          <w:tcPr>
            <w:tcW w:w="1682" w:type="dxa"/>
            <w:tcBorders>
              <w:bottom w:val="single" w:sz="12" w:space="0" w:color="auto"/>
            </w:tcBorders>
          </w:tcPr>
          <w:p w14:paraId="4E8B49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682" w:type="dxa"/>
            <w:tcBorders>
              <w:bottom w:val="single" w:sz="12" w:space="0" w:color="auto"/>
            </w:tcBorders>
          </w:tcPr>
          <w:p w14:paraId="5091D4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8хРС-82</w:t>
            </w:r>
          </w:p>
        </w:tc>
        <w:tc>
          <w:tcPr>
            <w:tcW w:w="1682" w:type="dxa"/>
            <w:tcBorders>
              <w:bottom w:val="single" w:sz="12" w:space="0" w:color="auto"/>
            </w:tcBorders>
          </w:tcPr>
          <w:p w14:paraId="059245B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Borders>
              <w:bottom w:val="single" w:sz="12" w:space="0" w:color="auto"/>
            </w:tcBorders>
          </w:tcPr>
          <w:p w14:paraId="578A143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29B86C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Взлетно-посадочные данные (при полетном весе 3099, ветре 1-2 м/с с аэродрома с твердым земляным грунтом с травяного покрова)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2471"/>
        <w:gridCol w:w="2471"/>
        <w:gridCol w:w="2471"/>
      </w:tblGrid>
      <w:tr w:rsidR="00983732" w:rsidRPr="00A3026E" w14:paraId="62848846" w14:textId="77777777" w:rsidTr="00EA0DA7">
        <w:tc>
          <w:tcPr>
            <w:tcW w:w="3794" w:type="dxa"/>
            <w:tcBorders>
              <w:top w:val="single" w:sz="12" w:space="0" w:color="auto"/>
            </w:tcBorders>
          </w:tcPr>
          <w:p w14:paraId="232BCF6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71" w:type="dxa"/>
            <w:tcBorders>
              <w:top w:val="single" w:sz="12" w:space="0" w:color="auto"/>
            </w:tcBorders>
          </w:tcPr>
          <w:p w14:paraId="62BF77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2471" w:type="dxa"/>
            <w:tcBorders>
              <w:top w:val="single" w:sz="12" w:space="0" w:color="auto"/>
            </w:tcBorders>
          </w:tcPr>
          <w:p w14:paraId="6666E3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w:t>
            </w:r>
          </w:p>
        </w:tc>
        <w:tc>
          <w:tcPr>
            <w:tcW w:w="2471" w:type="dxa"/>
            <w:tcBorders>
              <w:top w:val="single" w:sz="12" w:space="0" w:color="auto"/>
            </w:tcBorders>
          </w:tcPr>
          <w:p w14:paraId="142174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w:t>
            </w:r>
          </w:p>
        </w:tc>
      </w:tr>
      <w:tr w:rsidR="00983732" w:rsidRPr="00A3026E" w14:paraId="6DDF467A" w14:textId="77777777" w:rsidTr="00EA0DA7">
        <w:tc>
          <w:tcPr>
            <w:tcW w:w="3794" w:type="dxa"/>
          </w:tcPr>
          <w:p w14:paraId="116CD7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w:t>
            </w:r>
          </w:p>
        </w:tc>
        <w:tc>
          <w:tcPr>
            <w:tcW w:w="2471" w:type="dxa"/>
          </w:tcPr>
          <w:p w14:paraId="178D423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71" w:type="dxa"/>
          </w:tcPr>
          <w:p w14:paraId="213271F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71" w:type="dxa"/>
          </w:tcPr>
          <w:p w14:paraId="274A710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467662D" w14:textId="77777777" w:rsidTr="00EA0DA7">
        <w:tc>
          <w:tcPr>
            <w:tcW w:w="3794" w:type="dxa"/>
          </w:tcPr>
          <w:p w14:paraId="299F98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номинале без щитков</w:t>
            </w:r>
          </w:p>
        </w:tc>
        <w:tc>
          <w:tcPr>
            <w:tcW w:w="2471" w:type="dxa"/>
          </w:tcPr>
          <w:p w14:paraId="6AB7B7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171</w:t>
            </w:r>
          </w:p>
        </w:tc>
        <w:tc>
          <w:tcPr>
            <w:tcW w:w="2471" w:type="dxa"/>
          </w:tcPr>
          <w:p w14:paraId="250CDD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w:t>
            </w:r>
          </w:p>
        </w:tc>
        <w:tc>
          <w:tcPr>
            <w:tcW w:w="2471" w:type="dxa"/>
          </w:tcPr>
          <w:p w14:paraId="7990D5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0818A925" w14:textId="77777777" w:rsidTr="00EA0DA7">
        <w:tc>
          <w:tcPr>
            <w:tcW w:w="3794" w:type="dxa"/>
          </w:tcPr>
          <w:p w14:paraId="4DC7AF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номинале со щитками 15 гр</w:t>
            </w:r>
          </w:p>
        </w:tc>
        <w:tc>
          <w:tcPr>
            <w:tcW w:w="2471" w:type="dxa"/>
          </w:tcPr>
          <w:p w14:paraId="00A3C1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162</w:t>
            </w:r>
          </w:p>
        </w:tc>
        <w:tc>
          <w:tcPr>
            <w:tcW w:w="2471" w:type="dxa"/>
          </w:tcPr>
          <w:p w14:paraId="2532C3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268</w:t>
            </w:r>
          </w:p>
        </w:tc>
        <w:tc>
          <w:tcPr>
            <w:tcW w:w="2471" w:type="dxa"/>
          </w:tcPr>
          <w:p w14:paraId="276FD3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731DB344" w14:textId="77777777" w:rsidTr="00EA0DA7">
        <w:tc>
          <w:tcPr>
            <w:tcW w:w="3794" w:type="dxa"/>
          </w:tcPr>
          <w:p w14:paraId="351DB3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форсажем без щитков</w:t>
            </w:r>
          </w:p>
        </w:tc>
        <w:tc>
          <w:tcPr>
            <w:tcW w:w="2471" w:type="dxa"/>
          </w:tcPr>
          <w:p w14:paraId="4F8ED4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163</w:t>
            </w:r>
          </w:p>
        </w:tc>
        <w:tc>
          <w:tcPr>
            <w:tcW w:w="2471" w:type="dxa"/>
          </w:tcPr>
          <w:p w14:paraId="357378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234</w:t>
            </w:r>
          </w:p>
        </w:tc>
        <w:tc>
          <w:tcPr>
            <w:tcW w:w="2471" w:type="dxa"/>
          </w:tcPr>
          <w:p w14:paraId="29F33A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w:t>
            </w:r>
          </w:p>
        </w:tc>
      </w:tr>
      <w:tr w:rsidR="00983732" w:rsidRPr="00A3026E" w14:paraId="19FCFABA" w14:textId="77777777" w:rsidTr="00EA0DA7">
        <w:tc>
          <w:tcPr>
            <w:tcW w:w="3794" w:type="dxa"/>
          </w:tcPr>
          <w:p w14:paraId="557324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форсажем со щитками 15 гр</w:t>
            </w:r>
          </w:p>
        </w:tc>
        <w:tc>
          <w:tcPr>
            <w:tcW w:w="2471" w:type="dxa"/>
          </w:tcPr>
          <w:p w14:paraId="3D3AD3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71" w:type="dxa"/>
          </w:tcPr>
          <w:p w14:paraId="14CBDC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c>
          <w:tcPr>
            <w:tcW w:w="2471" w:type="dxa"/>
          </w:tcPr>
          <w:p w14:paraId="6BE061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r>
      <w:tr w:rsidR="00983732" w:rsidRPr="00A3026E" w14:paraId="5FBD8291" w14:textId="77777777" w:rsidTr="00EA0DA7">
        <w:tc>
          <w:tcPr>
            <w:tcW w:w="3794" w:type="dxa"/>
          </w:tcPr>
          <w:p w14:paraId="192B83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w:t>
            </w:r>
          </w:p>
        </w:tc>
        <w:tc>
          <w:tcPr>
            <w:tcW w:w="2471" w:type="dxa"/>
          </w:tcPr>
          <w:p w14:paraId="35599AC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71" w:type="dxa"/>
          </w:tcPr>
          <w:p w14:paraId="4993DB2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71" w:type="dxa"/>
          </w:tcPr>
          <w:p w14:paraId="484A26C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FB07B9A" w14:textId="77777777" w:rsidTr="00EA0DA7">
        <w:tc>
          <w:tcPr>
            <w:tcW w:w="3794" w:type="dxa"/>
          </w:tcPr>
          <w:p w14:paraId="0446E7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тормозами и щитками</w:t>
            </w:r>
          </w:p>
        </w:tc>
        <w:tc>
          <w:tcPr>
            <w:tcW w:w="2471" w:type="dxa"/>
          </w:tcPr>
          <w:p w14:paraId="2F24E4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71" w:type="dxa"/>
          </w:tcPr>
          <w:p w14:paraId="356B10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2471" w:type="dxa"/>
          </w:tcPr>
          <w:p w14:paraId="675E17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18,6</w:t>
            </w:r>
          </w:p>
        </w:tc>
      </w:tr>
      <w:tr w:rsidR="00983732" w:rsidRPr="00A3026E" w14:paraId="532CEC7D" w14:textId="77777777" w:rsidTr="00EA0DA7">
        <w:tc>
          <w:tcPr>
            <w:tcW w:w="3794" w:type="dxa"/>
          </w:tcPr>
          <w:p w14:paraId="508297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тормозов со щитками</w:t>
            </w:r>
          </w:p>
        </w:tc>
        <w:tc>
          <w:tcPr>
            <w:tcW w:w="2471" w:type="dxa"/>
          </w:tcPr>
          <w:p w14:paraId="3CF0E6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w:t>
            </w:r>
          </w:p>
        </w:tc>
        <w:tc>
          <w:tcPr>
            <w:tcW w:w="2471" w:type="dxa"/>
          </w:tcPr>
          <w:p w14:paraId="00BE6F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710</w:t>
            </w:r>
          </w:p>
        </w:tc>
        <w:tc>
          <w:tcPr>
            <w:tcW w:w="2471" w:type="dxa"/>
          </w:tcPr>
          <w:p w14:paraId="24D324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47,0</w:t>
            </w:r>
          </w:p>
        </w:tc>
      </w:tr>
      <w:tr w:rsidR="00983732" w:rsidRPr="00A3026E" w14:paraId="562DEE76" w14:textId="77777777" w:rsidTr="00EA0DA7">
        <w:tc>
          <w:tcPr>
            <w:tcW w:w="3794" w:type="dxa"/>
          </w:tcPr>
          <w:p w14:paraId="7D796B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тормозами без щитков</w:t>
            </w:r>
          </w:p>
        </w:tc>
        <w:tc>
          <w:tcPr>
            <w:tcW w:w="2471" w:type="dxa"/>
          </w:tcPr>
          <w:p w14:paraId="361E58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71" w:type="dxa"/>
          </w:tcPr>
          <w:p w14:paraId="453823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2471" w:type="dxa"/>
          </w:tcPr>
          <w:p w14:paraId="15A42B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r>
      <w:tr w:rsidR="00983732" w:rsidRPr="00A3026E" w14:paraId="0AB95C82" w14:textId="77777777" w:rsidTr="00EA0DA7">
        <w:tc>
          <w:tcPr>
            <w:tcW w:w="3794" w:type="dxa"/>
            <w:tcBorders>
              <w:bottom w:val="single" w:sz="12" w:space="0" w:color="auto"/>
            </w:tcBorders>
          </w:tcPr>
          <w:p w14:paraId="3B21FC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тормозов и щитков</w:t>
            </w:r>
          </w:p>
        </w:tc>
        <w:tc>
          <w:tcPr>
            <w:tcW w:w="2471" w:type="dxa"/>
            <w:tcBorders>
              <w:bottom w:val="single" w:sz="12" w:space="0" w:color="auto"/>
            </w:tcBorders>
          </w:tcPr>
          <w:p w14:paraId="21E79A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71" w:type="dxa"/>
            <w:tcBorders>
              <w:bottom w:val="single" w:sz="12" w:space="0" w:color="auto"/>
            </w:tcBorders>
          </w:tcPr>
          <w:p w14:paraId="4D2EFE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2471" w:type="dxa"/>
            <w:tcBorders>
              <w:bottom w:val="single" w:sz="12" w:space="0" w:color="auto"/>
            </w:tcBorders>
          </w:tcPr>
          <w:p w14:paraId="1EF727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r>
    </w:tbl>
    <w:p w14:paraId="041EA0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25F0B3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 И-200 с АМ-35А конструкции Ми и Г производства з-да № 1 по своей скорости, равной 628 км/час, является лучшим из отечественных опытных с-тов и не уступает одноместным иностранным истребителям на высотах до 5000 м</w:t>
      </w:r>
    </w:p>
    <w:p w14:paraId="1E2CB0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Недостатки:</w:t>
      </w:r>
    </w:p>
    <w:p w14:paraId="33756F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конструкции</w:t>
      </w:r>
    </w:p>
    <w:p w14:paraId="3B4B9A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Козырек кабины пилота искажает обзор и забрызгивается маслом, что в сильной степени усложняет ведение в/боя и утомляет л в полете.</w:t>
      </w:r>
    </w:p>
    <w:p w14:paraId="5E682E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Колеса размером 600х180, установленные на с-те, не соответствуют его полетному весу. Тормоза не имеют достаточного охлаждения, в результате чего происходит перегрев колес т разрушение пневматиков шин (2 случая)</w:t>
      </w:r>
    </w:p>
    <w:p w14:paraId="5DDC6E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 ВМГ</w:t>
      </w:r>
    </w:p>
    <w:p w14:paraId="6C990C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w:t>
      </w:r>
    </w:p>
    <w:p w14:paraId="468691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бензосистема слоджная и неудобная для с-тов истребительного типа, т.к. требует большого внимания для своевременного переключения кранов б/б и не обеспечивает равномерной выработки горючего из центропланных баков.</w:t>
      </w:r>
    </w:p>
    <w:p w14:paraId="337840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Заливку всех б/б осоществлять через одну общую горловину, для чкго соответственно увеличить бензопровод между баками, а также обеспечения равномерности выработки из центропланных баков.</w:t>
      </w:r>
    </w:p>
    <w:p w14:paraId="275D82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Водорадиатор з-да № 34 с трубками 10 мм и 6 мм рпаботает неудовлетворительно (течь воды). Радиатору необходимо пройти госиспытания (300 посадок и 15 полетов на расчетной высоте).</w:t>
      </w:r>
    </w:p>
    <w:p w14:paraId="497694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Техническая дальность с-та на скорости 0,9 равна 580 км и меньше на 70 км от заданной. Таким образом, с учетом пробы мотора, руления и взлета, необходимо иметь резерв в 10% с-т может практически летать на радиус 200-240 км, что явно недостаточно.</w:t>
      </w:r>
    </w:p>
    <w:p w14:paraId="651C76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Винт ВИШ-22Е с диапазоном углов поворота 20 гр совершенно не соответствует мотору АМ-53А на с-те И-200, т.к. граница высотности мотора в полете 7200 м, винт раскручивается до 2150-2200 вместо номинальных 2050 оборотов.</w:t>
      </w:r>
    </w:p>
    <w:p w14:paraId="10054E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пикировании при скорости638 км/час обороты достигают 2400-2500</w:t>
      </w:r>
    </w:p>
    <w:p w14:paraId="36AC72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Редукция мотора не является наивыгоднейшей (с-т по расчету не добирает 14 км/час).</w:t>
      </w:r>
    </w:p>
    <w:p w14:paraId="10AF82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Выхлопные патрубки даже частично не утоплены, на чем теряется скорость.</w:t>
      </w:r>
    </w:p>
    <w:p w14:paraId="38215D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После 9 полетов на с-те И-200 № 2 на моторе АВ-35А № 172 произошла авария нагнетателя (разрушился подтяг валика крыльчатки). Этот эффект имел место неоднократно и при сдаточных испытаниях мотора на станке на заводе № 24</w:t>
      </w:r>
    </w:p>
    <w:p w14:paraId="731376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провести специальные 50-часовые летные испытания.</w:t>
      </w:r>
    </w:p>
    <w:p w14:paraId="4CAAD0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Мотора на Рк 500-550 в полете на скорости 290-320 км/час имеет малую приемистость и переходы ненадежно и трясут</w:t>
      </w:r>
    </w:p>
    <w:p w14:paraId="5010AB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Наличие на моторе АМ-35А двух секторов газа - нормального и форсажного - весьма неудобно при взлете с форсажем (в момент взлета необходимо переключаться с ручки номинальной на форсажную и обратно).</w:t>
      </w:r>
    </w:p>
    <w:p w14:paraId="2A8BC4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Сьрелковое вооружение работало ненадежно, в эксплуатации не удобно. Синхронизаторы являются опытными. Необходимо провести дополнительные испытания на живучесть.</w:t>
      </w:r>
    </w:p>
    <w:p w14:paraId="4F0B37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стрелкового вооружения недостаточна.</w:t>
      </w:r>
    </w:p>
    <w:p w14:paraId="7C64FF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Спецоборудование соответствует ТТТ</w:t>
      </w:r>
    </w:p>
    <w:p w14:paraId="499D8A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эксплуатационной оценке с-та</w:t>
      </w:r>
    </w:p>
    <w:p w14:paraId="3BDD22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Съем и установка мотора требуют 130 чел/час, т.е. почти в 2 раза больше, чем на И-21 и Хе-100.</w:t>
      </w:r>
    </w:p>
    <w:p w14:paraId="2D8FCF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Подходы к агрегатам мотора неудобны</w:t>
      </w:r>
    </w:p>
    <w:p w14:paraId="01062F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обеспечить влезание л в кабину без металлической лестницы и т.д.</w:t>
      </w:r>
    </w:p>
    <w:p w14:paraId="65612F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Заключение:</w:t>
      </w:r>
    </w:p>
    <w:p w14:paraId="5C7118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Самолет И-200 АМ-35А конструкции А.И.М. и Гуревича производства завода 1, как удовлетворяющий по своим ЛД ТТТ и испытанный на пилотаж и штопор до 2-х витков, гос. испытания выдержал.</w:t>
      </w:r>
    </w:p>
    <w:p w14:paraId="79BBB2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Учитывая острую необходимость снабжения частей ВВС истребителями с ЛД И-200, считать необходимым скорейшее проведение войсковых испытаний в том виде, как они проходили гос. испытания, но с обязательным устранением дефектов, выявленных на гос. испытаниях и перечисленных в отчете</w:t>
      </w:r>
    </w:p>
    <w:p w14:paraId="30B7F5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Для обеспечения И-200 надежно работающими моторами необходимо провести специальные 50 час. испытания мотора АМ-35А в полете на И-200.</w:t>
      </w:r>
    </w:p>
    <w:p w14:paraId="1C6098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заводу 1 надлежит провести полное исследование штопора И-200 и испытать на пикирование с новым винтом</w:t>
      </w:r>
    </w:p>
    <w:p w14:paraId="40BE7F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Для того, чтобы сделать И-200 как массовый самолет, вполне доступным для л ниже средней квалификации и повысить его живучесть, боеготовность и ЛТД, конструкторам надлежит немедленно приступить к изготовлению И-200, на котором:</w:t>
      </w:r>
    </w:p>
    <w:p w14:paraId="673256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повысить продольную устойчивость и вместе с тем обязательно обеспечить его управления, сделав приятным в управлении</w:t>
      </w:r>
    </w:p>
    <w:p w14:paraId="113787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увеличить поперечную устойчивость</w:t>
      </w:r>
    </w:p>
    <w:p w14:paraId="1A6575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запроектировать центропланные бензобаки</w:t>
      </w:r>
    </w:p>
    <w:p w14:paraId="415C34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установить предкрылки, новые колеса размером согласно приказа НКАП, удовлетворяющим весу и пневматик на хвостовом колесе</w:t>
      </w:r>
    </w:p>
    <w:p w14:paraId="0966A4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обеспечить быструю замену мотора, легкосъемность капота, удобство замены элеронов и выхлопных патрубков</w:t>
      </w:r>
    </w:p>
    <w:p w14:paraId="41BF35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установить дополнительно 2 легкосъемных пулемета Березина</w:t>
      </w:r>
    </w:p>
    <w:p w14:paraId="5F7C0C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увеличить запас горючего, доведя дальность в нормальном варианте до не менее, чем 560 км на 0.9 макс. (2925).</w:t>
      </w:r>
    </w:p>
    <w:p w14:paraId="34EA7B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 Нач. НИИ ВВС Филин</w:t>
      </w:r>
    </w:p>
    <w:p w14:paraId="228052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Центровочные данные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559"/>
        <w:gridCol w:w="1418"/>
      </w:tblGrid>
      <w:tr w:rsidR="00983732" w:rsidRPr="00A3026E" w14:paraId="6946E153" w14:textId="77777777" w:rsidTr="00EA0DA7">
        <w:tc>
          <w:tcPr>
            <w:tcW w:w="3227" w:type="dxa"/>
            <w:tcBorders>
              <w:top w:val="single" w:sz="12" w:space="0" w:color="auto"/>
            </w:tcBorders>
          </w:tcPr>
          <w:p w14:paraId="2FD6E2D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559" w:type="dxa"/>
            <w:tcBorders>
              <w:top w:val="single" w:sz="12" w:space="0" w:color="auto"/>
            </w:tcBorders>
          </w:tcPr>
          <w:p w14:paraId="61C9B4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ЦТ шасси убраны</w:t>
            </w:r>
          </w:p>
        </w:tc>
        <w:tc>
          <w:tcPr>
            <w:tcW w:w="1418" w:type="dxa"/>
            <w:tcBorders>
              <w:top w:val="single" w:sz="12" w:space="0" w:color="auto"/>
            </w:tcBorders>
          </w:tcPr>
          <w:p w14:paraId="120BC9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ЦТ шасси выпущены</w:t>
            </w:r>
          </w:p>
        </w:tc>
      </w:tr>
      <w:tr w:rsidR="00983732" w:rsidRPr="00A3026E" w14:paraId="741A0B5F" w14:textId="77777777" w:rsidTr="00EA0DA7">
        <w:tc>
          <w:tcPr>
            <w:tcW w:w="3227" w:type="dxa"/>
          </w:tcPr>
          <w:p w14:paraId="5F3F17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(с пулеметами, бронспинкой, водой в радиаторе) - 2574 кг</w:t>
            </w:r>
          </w:p>
        </w:tc>
        <w:tc>
          <w:tcPr>
            <w:tcW w:w="1559" w:type="dxa"/>
          </w:tcPr>
          <w:p w14:paraId="127753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21,03</w:t>
            </w:r>
          </w:p>
        </w:tc>
        <w:tc>
          <w:tcPr>
            <w:tcW w:w="1418" w:type="dxa"/>
          </w:tcPr>
          <w:p w14:paraId="06C5FA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20,63</w:t>
            </w:r>
          </w:p>
        </w:tc>
      </w:tr>
      <w:tr w:rsidR="00983732" w:rsidRPr="00A3026E" w14:paraId="16CC6A40" w14:textId="77777777" w:rsidTr="00EA0DA7">
        <w:tc>
          <w:tcPr>
            <w:tcW w:w="3227" w:type="dxa"/>
          </w:tcPr>
          <w:p w14:paraId="263322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Нормальный полетный - 3099 кг</w:t>
            </w:r>
          </w:p>
        </w:tc>
        <w:tc>
          <w:tcPr>
            <w:tcW w:w="1559" w:type="dxa"/>
          </w:tcPr>
          <w:p w14:paraId="12C3B8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26,3</w:t>
            </w:r>
          </w:p>
        </w:tc>
        <w:tc>
          <w:tcPr>
            <w:tcW w:w="1418" w:type="dxa"/>
          </w:tcPr>
          <w:p w14:paraId="7988F9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25,99</w:t>
            </w:r>
          </w:p>
        </w:tc>
      </w:tr>
      <w:tr w:rsidR="00983732" w:rsidRPr="00A3026E" w14:paraId="3FDA9362" w14:textId="77777777" w:rsidTr="00EA0DA7">
        <w:tc>
          <w:tcPr>
            <w:tcW w:w="3227" w:type="dxa"/>
          </w:tcPr>
          <w:p w14:paraId="3B14DB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Перегрузочный (220 бомб, ухваты и замки) - 3327 кг</w:t>
            </w:r>
          </w:p>
        </w:tc>
        <w:tc>
          <w:tcPr>
            <w:tcW w:w="1559" w:type="dxa"/>
          </w:tcPr>
          <w:p w14:paraId="2A37F3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25,6</w:t>
            </w:r>
          </w:p>
        </w:tc>
        <w:tc>
          <w:tcPr>
            <w:tcW w:w="1418" w:type="dxa"/>
          </w:tcPr>
          <w:p w14:paraId="3F8A83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25,2</w:t>
            </w:r>
          </w:p>
        </w:tc>
      </w:tr>
      <w:tr w:rsidR="00983732" w:rsidRPr="00A3026E" w14:paraId="52F21D70" w14:textId="77777777" w:rsidTr="00EA0DA7">
        <w:tc>
          <w:tcPr>
            <w:tcW w:w="3227" w:type="dxa"/>
            <w:tcBorders>
              <w:bottom w:val="single" w:sz="12" w:space="0" w:color="auto"/>
            </w:tcBorders>
          </w:tcPr>
          <w:p w14:paraId="3F54DB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Нормалььный полетный с металлическим крылом - 3133</w:t>
            </w:r>
          </w:p>
        </w:tc>
        <w:tc>
          <w:tcPr>
            <w:tcW w:w="1559" w:type="dxa"/>
            <w:tcBorders>
              <w:bottom w:val="single" w:sz="12" w:space="0" w:color="auto"/>
            </w:tcBorders>
          </w:tcPr>
          <w:p w14:paraId="3579D4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26,2</w:t>
            </w:r>
          </w:p>
        </w:tc>
        <w:tc>
          <w:tcPr>
            <w:tcW w:w="1418" w:type="dxa"/>
            <w:tcBorders>
              <w:bottom w:val="single" w:sz="12" w:space="0" w:color="auto"/>
            </w:tcBorders>
          </w:tcPr>
          <w:p w14:paraId="1DE0C4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25,8</w:t>
            </w:r>
          </w:p>
        </w:tc>
      </w:tr>
    </w:tbl>
    <w:p w14:paraId="2D6031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гор. скорость (с-т И-200 № 6102 с АМ-35А).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993"/>
        <w:gridCol w:w="992"/>
      </w:tblGrid>
      <w:tr w:rsidR="00983732" w:rsidRPr="00A3026E" w14:paraId="3EBCC7B2" w14:textId="77777777" w:rsidTr="00EA0DA7">
        <w:tc>
          <w:tcPr>
            <w:tcW w:w="1809" w:type="dxa"/>
            <w:tcBorders>
              <w:top w:val="single" w:sz="12" w:space="0" w:color="auto"/>
            </w:tcBorders>
          </w:tcPr>
          <w:p w14:paraId="5E52E1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w:t>
            </w:r>
          </w:p>
        </w:tc>
        <w:tc>
          <w:tcPr>
            <w:tcW w:w="993" w:type="dxa"/>
            <w:tcBorders>
              <w:top w:val="single" w:sz="12" w:space="0" w:color="auto"/>
            </w:tcBorders>
          </w:tcPr>
          <w:p w14:paraId="2CA6A8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992" w:type="dxa"/>
            <w:tcBorders>
              <w:top w:val="single" w:sz="12" w:space="0" w:color="auto"/>
            </w:tcBorders>
          </w:tcPr>
          <w:p w14:paraId="1094FD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Рк</w:t>
            </w:r>
          </w:p>
        </w:tc>
      </w:tr>
      <w:tr w:rsidR="00983732" w:rsidRPr="00A3026E" w14:paraId="037FF082" w14:textId="77777777" w:rsidTr="00EA0DA7">
        <w:tc>
          <w:tcPr>
            <w:tcW w:w="1809" w:type="dxa"/>
          </w:tcPr>
          <w:p w14:paraId="6B45C7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c>
          <w:tcPr>
            <w:tcW w:w="993" w:type="dxa"/>
          </w:tcPr>
          <w:p w14:paraId="6F0A84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c>
          <w:tcPr>
            <w:tcW w:w="992" w:type="dxa"/>
          </w:tcPr>
          <w:p w14:paraId="018918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1A27C70C" w14:textId="77777777" w:rsidTr="00EA0DA7">
        <w:tc>
          <w:tcPr>
            <w:tcW w:w="1809" w:type="dxa"/>
          </w:tcPr>
          <w:p w14:paraId="5E3A54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93" w:type="dxa"/>
          </w:tcPr>
          <w:p w14:paraId="7EC62E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506</w:t>
            </w:r>
          </w:p>
        </w:tc>
        <w:tc>
          <w:tcPr>
            <w:tcW w:w="992" w:type="dxa"/>
          </w:tcPr>
          <w:p w14:paraId="13EA2F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73B19A21" w14:textId="77777777" w:rsidTr="00EA0DA7">
        <w:tc>
          <w:tcPr>
            <w:tcW w:w="1809" w:type="dxa"/>
          </w:tcPr>
          <w:p w14:paraId="030BDD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993" w:type="dxa"/>
          </w:tcPr>
          <w:p w14:paraId="792BC5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526</w:t>
            </w:r>
          </w:p>
        </w:tc>
        <w:tc>
          <w:tcPr>
            <w:tcW w:w="992" w:type="dxa"/>
          </w:tcPr>
          <w:p w14:paraId="1F5750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0473D0A8" w14:textId="77777777" w:rsidTr="00EA0DA7">
        <w:tc>
          <w:tcPr>
            <w:tcW w:w="1809" w:type="dxa"/>
          </w:tcPr>
          <w:p w14:paraId="7F72C8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993" w:type="dxa"/>
          </w:tcPr>
          <w:p w14:paraId="7178CD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546</w:t>
            </w:r>
          </w:p>
        </w:tc>
        <w:tc>
          <w:tcPr>
            <w:tcW w:w="992" w:type="dxa"/>
          </w:tcPr>
          <w:p w14:paraId="427E5A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1BA1AAB2" w14:textId="77777777" w:rsidTr="00EA0DA7">
        <w:tc>
          <w:tcPr>
            <w:tcW w:w="1809" w:type="dxa"/>
          </w:tcPr>
          <w:p w14:paraId="6A186F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993" w:type="dxa"/>
          </w:tcPr>
          <w:p w14:paraId="46701F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566,5</w:t>
            </w:r>
          </w:p>
        </w:tc>
        <w:tc>
          <w:tcPr>
            <w:tcW w:w="992" w:type="dxa"/>
          </w:tcPr>
          <w:p w14:paraId="5665D4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2F9F0A61" w14:textId="77777777" w:rsidTr="00EA0DA7">
        <w:tc>
          <w:tcPr>
            <w:tcW w:w="1809" w:type="dxa"/>
          </w:tcPr>
          <w:p w14:paraId="241E29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w:t>
            </w:r>
          </w:p>
        </w:tc>
        <w:tc>
          <w:tcPr>
            <w:tcW w:w="993" w:type="dxa"/>
          </w:tcPr>
          <w:p w14:paraId="342D23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586</w:t>
            </w:r>
          </w:p>
        </w:tc>
        <w:tc>
          <w:tcPr>
            <w:tcW w:w="992" w:type="dxa"/>
          </w:tcPr>
          <w:p w14:paraId="42C8E2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7A01F5BE" w14:textId="77777777" w:rsidTr="00EA0DA7">
        <w:tc>
          <w:tcPr>
            <w:tcW w:w="1809" w:type="dxa"/>
          </w:tcPr>
          <w:p w14:paraId="035DF3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993" w:type="dxa"/>
          </w:tcPr>
          <w:p w14:paraId="4657E0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606</w:t>
            </w:r>
          </w:p>
        </w:tc>
        <w:tc>
          <w:tcPr>
            <w:tcW w:w="992" w:type="dxa"/>
          </w:tcPr>
          <w:p w14:paraId="343BED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6D8034BE" w14:textId="77777777" w:rsidTr="00EA0DA7">
        <w:tc>
          <w:tcPr>
            <w:tcW w:w="1809" w:type="dxa"/>
          </w:tcPr>
          <w:p w14:paraId="383D7B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7000</w:t>
            </w:r>
          </w:p>
        </w:tc>
        <w:tc>
          <w:tcPr>
            <w:tcW w:w="993" w:type="dxa"/>
          </w:tcPr>
          <w:p w14:paraId="29A673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626,5</w:t>
            </w:r>
          </w:p>
        </w:tc>
        <w:tc>
          <w:tcPr>
            <w:tcW w:w="992" w:type="dxa"/>
          </w:tcPr>
          <w:p w14:paraId="71A8A2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781BC2B8" w14:textId="77777777" w:rsidTr="00EA0DA7">
        <w:tc>
          <w:tcPr>
            <w:tcW w:w="1809" w:type="dxa"/>
          </w:tcPr>
          <w:p w14:paraId="6A744F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7200</w:t>
            </w:r>
          </w:p>
        </w:tc>
        <w:tc>
          <w:tcPr>
            <w:tcW w:w="993" w:type="dxa"/>
          </w:tcPr>
          <w:p w14:paraId="0B1E23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w:t>
            </w:r>
          </w:p>
        </w:tc>
        <w:tc>
          <w:tcPr>
            <w:tcW w:w="992" w:type="dxa"/>
          </w:tcPr>
          <w:p w14:paraId="1E3F29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5FBD5D18" w14:textId="77777777" w:rsidTr="00EA0DA7">
        <w:tc>
          <w:tcPr>
            <w:tcW w:w="1809" w:type="dxa"/>
          </w:tcPr>
          <w:p w14:paraId="5C09F4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c>
          <w:tcPr>
            <w:tcW w:w="993" w:type="dxa"/>
          </w:tcPr>
          <w:p w14:paraId="04E622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614</w:t>
            </w:r>
          </w:p>
        </w:tc>
        <w:tc>
          <w:tcPr>
            <w:tcW w:w="992" w:type="dxa"/>
          </w:tcPr>
          <w:p w14:paraId="0BBCA9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918</w:t>
            </w:r>
          </w:p>
        </w:tc>
      </w:tr>
      <w:tr w:rsidR="00983732" w:rsidRPr="00A3026E" w14:paraId="4592642D" w14:textId="77777777" w:rsidTr="00EA0DA7">
        <w:tc>
          <w:tcPr>
            <w:tcW w:w="1809" w:type="dxa"/>
            <w:tcBorders>
              <w:bottom w:val="single" w:sz="12" w:space="0" w:color="auto"/>
            </w:tcBorders>
          </w:tcPr>
          <w:p w14:paraId="7EA944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c>
          <w:tcPr>
            <w:tcW w:w="993" w:type="dxa"/>
            <w:tcBorders>
              <w:bottom w:val="single" w:sz="12" w:space="0" w:color="auto"/>
            </w:tcBorders>
          </w:tcPr>
          <w:p w14:paraId="3EA380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594,5</w:t>
            </w:r>
          </w:p>
        </w:tc>
        <w:tc>
          <w:tcPr>
            <w:tcW w:w="992" w:type="dxa"/>
            <w:tcBorders>
              <w:bottom w:val="single" w:sz="12" w:space="0" w:color="auto"/>
            </w:tcBorders>
          </w:tcPr>
          <w:p w14:paraId="2172A0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790</w:t>
            </w:r>
          </w:p>
        </w:tc>
      </w:tr>
    </w:tbl>
    <w:p w14:paraId="1C19F2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 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134"/>
        <w:gridCol w:w="1276"/>
        <w:gridCol w:w="1134"/>
        <w:gridCol w:w="1134"/>
      </w:tblGrid>
      <w:tr w:rsidR="00983732" w:rsidRPr="00A3026E" w14:paraId="6F84A4FA" w14:textId="77777777" w:rsidTr="00EA0DA7">
        <w:tc>
          <w:tcPr>
            <w:tcW w:w="1526" w:type="dxa"/>
            <w:tcBorders>
              <w:top w:val="single" w:sz="12" w:space="0" w:color="auto"/>
            </w:tcBorders>
          </w:tcPr>
          <w:p w14:paraId="2A66F5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w:t>
            </w:r>
          </w:p>
        </w:tc>
        <w:tc>
          <w:tcPr>
            <w:tcW w:w="1134" w:type="dxa"/>
            <w:tcBorders>
              <w:top w:val="single" w:sz="12" w:space="0" w:color="auto"/>
            </w:tcBorders>
          </w:tcPr>
          <w:p w14:paraId="4AD2B2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Гор.скорость</w:t>
            </w:r>
          </w:p>
        </w:tc>
        <w:tc>
          <w:tcPr>
            <w:tcW w:w="1276" w:type="dxa"/>
            <w:tcBorders>
              <w:top w:val="single" w:sz="12" w:space="0" w:color="auto"/>
            </w:tcBorders>
          </w:tcPr>
          <w:p w14:paraId="1004C8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w:t>
            </w:r>
          </w:p>
        </w:tc>
        <w:tc>
          <w:tcPr>
            <w:tcW w:w="1134" w:type="dxa"/>
            <w:tcBorders>
              <w:top w:val="single" w:sz="12" w:space="0" w:color="auto"/>
            </w:tcBorders>
          </w:tcPr>
          <w:p w14:paraId="228710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Гор.скорость</w:t>
            </w:r>
          </w:p>
        </w:tc>
        <w:tc>
          <w:tcPr>
            <w:tcW w:w="1134" w:type="dxa"/>
            <w:tcBorders>
              <w:top w:val="single" w:sz="12" w:space="0" w:color="auto"/>
            </w:tcBorders>
          </w:tcPr>
          <w:p w14:paraId="329740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Рк</w:t>
            </w:r>
          </w:p>
        </w:tc>
      </w:tr>
      <w:tr w:rsidR="00983732" w:rsidRPr="00A3026E" w14:paraId="35685A66" w14:textId="77777777" w:rsidTr="00EA0DA7">
        <w:tc>
          <w:tcPr>
            <w:tcW w:w="1526" w:type="dxa"/>
          </w:tcPr>
          <w:p w14:paraId="4EBA0D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c>
          <w:tcPr>
            <w:tcW w:w="1134" w:type="dxa"/>
          </w:tcPr>
          <w:p w14:paraId="529ED2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276" w:type="dxa"/>
          </w:tcPr>
          <w:p w14:paraId="321134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c>
          <w:tcPr>
            <w:tcW w:w="1134" w:type="dxa"/>
          </w:tcPr>
          <w:p w14:paraId="5928AC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08796D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2D332F46" w14:textId="77777777" w:rsidTr="00EA0DA7">
        <w:tc>
          <w:tcPr>
            <w:tcW w:w="1526" w:type="dxa"/>
          </w:tcPr>
          <w:p w14:paraId="7F60C6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134" w:type="dxa"/>
          </w:tcPr>
          <w:p w14:paraId="3EA95F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1276" w:type="dxa"/>
          </w:tcPr>
          <w:p w14:paraId="02CDF0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c>
          <w:tcPr>
            <w:tcW w:w="1134" w:type="dxa"/>
          </w:tcPr>
          <w:p w14:paraId="319DB4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0A2E4C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0AE5F51D" w14:textId="77777777" w:rsidTr="00EA0DA7">
        <w:tc>
          <w:tcPr>
            <w:tcW w:w="1526" w:type="dxa"/>
          </w:tcPr>
          <w:p w14:paraId="1FA954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134" w:type="dxa"/>
          </w:tcPr>
          <w:p w14:paraId="3E1A30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15,55</w:t>
            </w:r>
          </w:p>
        </w:tc>
        <w:tc>
          <w:tcPr>
            <w:tcW w:w="1276" w:type="dxa"/>
          </w:tcPr>
          <w:p w14:paraId="0DBE8F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1134" w:type="dxa"/>
          </w:tcPr>
          <w:p w14:paraId="62A20B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7DB103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29BA11E8" w14:textId="77777777" w:rsidTr="00EA0DA7">
        <w:tc>
          <w:tcPr>
            <w:tcW w:w="1526" w:type="dxa"/>
          </w:tcPr>
          <w:p w14:paraId="32F90C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1134" w:type="dxa"/>
          </w:tcPr>
          <w:p w14:paraId="17527F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15,9</w:t>
            </w:r>
          </w:p>
        </w:tc>
        <w:tc>
          <w:tcPr>
            <w:tcW w:w="1276" w:type="dxa"/>
          </w:tcPr>
          <w:p w14:paraId="52EB04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3,24</w:t>
            </w:r>
          </w:p>
        </w:tc>
        <w:tc>
          <w:tcPr>
            <w:tcW w:w="1134" w:type="dxa"/>
          </w:tcPr>
          <w:p w14:paraId="1D1A12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0C3A0A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2C53EDFB" w14:textId="77777777" w:rsidTr="00EA0DA7">
        <w:tc>
          <w:tcPr>
            <w:tcW w:w="1526" w:type="dxa"/>
          </w:tcPr>
          <w:p w14:paraId="624DBB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134" w:type="dxa"/>
          </w:tcPr>
          <w:p w14:paraId="5B2610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16,9</w:t>
            </w:r>
          </w:p>
        </w:tc>
        <w:tc>
          <w:tcPr>
            <w:tcW w:w="1276" w:type="dxa"/>
          </w:tcPr>
          <w:p w14:paraId="5E56B5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4,28</w:t>
            </w:r>
          </w:p>
        </w:tc>
        <w:tc>
          <w:tcPr>
            <w:tcW w:w="1134" w:type="dxa"/>
          </w:tcPr>
          <w:p w14:paraId="3F86E1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34834D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795D9C8C" w14:textId="77777777" w:rsidTr="00EA0DA7">
        <w:tc>
          <w:tcPr>
            <w:tcW w:w="1526" w:type="dxa"/>
          </w:tcPr>
          <w:p w14:paraId="2ADD6E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w:t>
            </w:r>
          </w:p>
        </w:tc>
        <w:tc>
          <w:tcPr>
            <w:tcW w:w="1134" w:type="dxa"/>
          </w:tcPr>
          <w:p w14:paraId="0BE341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w:t>
            </w:r>
          </w:p>
        </w:tc>
        <w:tc>
          <w:tcPr>
            <w:tcW w:w="1276" w:type="dxa"/>
          </w:tcPr>
          <w:p w14:paraId="285FC0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w:t>
            </w:r>
          </w:p>
        </w:tc>
        <w:tc>
          <w:tcPr>
            <w:tcW w:w="1134" w:type="dxa"/>
          </w:tcPr>
          <w:p w14:paraId="7C6B60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3E7068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56F4EDFA" w14:textId="77777777" w:rsidTr="00EA0DA7">
        <w:tc>
          <w:tcPr>
            <w:tcW w:w="1526" w:type="dxa"/>
          </w:tcPr>
          <w:p w14:paraId="174B93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134" w:type="dxa"/>
          </w:tcPr>
          <w:p w14:paraId="4966A4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16,8</w:t>
            </w:r>
          </w:p>
        </w:tc>
        <w:tc>
          <w:tcPr>
            <w:tcW w:w="1276" w:type="dxa"/>
          </w:tcPr>
          <w:p w14:paraId="01BD52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w:t>
            </w:r>
          </w:p>
        </w:tc>
        <w:tc>
          <w:tcPr>
            <w:tcW w:w="1134" w:type="dxa"/>
          </w:tcPr>
          <w:p w14:paraId="571B0D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43EC2F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03E3224A" w14:textId="77777777" w:rsidTr="00EA0DA7">
        <w:tc>
          <w:tcPr>
            <w:tcW w:w="1526" w:type="dxa"/>
          </w:tcPr>
          <w:p w14:paraId="0D5A6E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6300</w:t>
            </w:r>
          </w:p>
        </w:tc>
        <w:tc>
          <w:tcPr>
            <w:tcW w:w="1134" w:type="dxa"/>
          </w:tcPr>
          <w:p w14:paraId="615201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16,9</w:t>
            </w:r>
          </w:p>
        </w:tc>
        <w:tc>
          <w:tcPr>
            <w:tcW w:w="1276" w:type="dxa"/>
          </w:tcPr>
          <w:p w14:paraId="221194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w:t>
            </w:r>
          </w:p>
        </w:tc>
        <w:tc>
          <w:tcPr>
            <w:tcW w:w="1134" w:type="dxa"/>
          </w:tcPr>
          <w:p w14:paraId="177501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7EBF17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3B6A8AB7" w14:textId="77777777" w:rsidTr="00EA0DA7">
        <w:tc>
          <w:tcPr>
            <w:tcW w:w="1526" w:type="dxa"/>
          </w:tcPr>
          <w:p w14:paraId="3BA733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7000</w:t>
            </w:r>
          </w:p>
        </w:tc>
        <w:tc>
          <w:tcPr>
            <w:tcW w:w="1134" w:type="dxa"/>
          </w:tcPr>
          <w:p w14:paraId="188094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14,85</w:t>
            </w:r>
          </w:p>
        </w:tc>
        <w:tc>
          <w:tcPr>
            <w:tcW w:w="1276" w:type="dxa"/>
          </w:tcPr>
          <w:p w14:paraId="17C20E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7,32</w:t>
            </w:r>
          </w:p>
        </w:tc>
        <w:tc>
          <w:tcPr>
            <w:tcW w:w="1134" w:type="dxa"/>
          </w:tcPr>
          <w:p w14:paraId="0AADFB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247</w:t>
            </w:r>
          </w:p>
        </w:tc>
        <w:tc>
          <w:tcPr>
            <w:tcW w:w="1134" w:type="dxa"/>
          </w:tcPr>
          <w:p w14:paraId="4F98FE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w:t>
            </w:r>
          </w:p>
        </w:tc>
      </w:tr>
      <w:tr w:rsidR="00983732" w:rsidRPr="00A3026E" w14:paraId="6023840F" w14:textId="77777777" w:rsidTr="00EA0DA7">
        <w:tc>
          <w:tcPr>
            <w:tcW w:w="1526" w:type="dxa"/>
          </w:tcPr>
          <w:p w14:paraId="015875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c>
          <w:tcPr>
            <w:tcW w:w="1134" w:type="dxa"/>
          </w:tcPr>
          <w:p w14:paraId="399B0C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1276" w:type="dxa"/>
          </w:tcPr>
          <w:p w14:paraId="0C4CF8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8,57</w:t>
            </w:r>
          </w:p>
        </w:tc>
        <w:tc>
          <w:tcPr>
            <w:tcW w:w="1134" w:type="dxa"/>
          </w:tcPr>
          <w:p w14:paraId="7FDBE3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239</w:t>
            </w:r>
          </w:p>
        </w:tc>
        <w:tc>
          <w:tcPr>
            <w:tcW w:w="1134" w:type="dxa"/>
          </w:tcPr>
          <w:p w14:paraId="31C4A6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tc>
      </w:tr>
      <w:tr w:rsidR="00983732" w:rsidRPr="00A3026E" w14:paraId="13C959A8" w14:textId="77777777" w:rsidTr="00EA0DA7">
        <w:tc>
          <w:tcPr>
            <w:tcW w:w="1526" w:type="dxa"/>
          </w:tcPr>
          <w:p w14:paraId="4D8E21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c>
          <w:tcPr>
            <w:tcW w:w="1134" w:type="dxa"/>
          </w:tcPr>
          <w:p w14:paraId="60B71D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w:t>
            </w:r>
          </w:p>
        </w:tc>
        <w:tc>
          <w:tcPr>
            <w:tcW w:w="1276" w:type="dxa"/>
          </w:tcPr>
          <w:p w14:paraId="6C065D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10,15</w:t>
            </w:r>
          </w:p>
        </w:tc>
        <w:tc>
          <w:tcPr>
            <w:tcW w:w="1134" w:type="dxa"/>
          </w:tcPr>
          <w:p w14:paraId="4B4D75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1134" w:type="dxa"/>
          </w:tcPr>
          <w:p w14:paraId="75AD48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w:t>
            </w:r>
          </w:p>
        </w:tc>
      </w:tr>
      <w:tr w:rsidR="00983732" w:rsidRPr="00A3026E" w14:paraId="367DEA08" w14:textId="77777777" w:rsidTr="00EA0DA7">
        <w:tc>
          <w:tcPr>
            <w:tcW w:w="1526" w:type="dxa"/>
          </w:tcPr>
          <w:p w14:paraId="2E8148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c>
          <w:tcPr>
            <w:tcW w:w="1134" w:type="dxa"/>
          </w:tcPr>
          <w:p w14:paraId="30D9EC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3,35</w:t>
            </w:r>
          </w:p>
        </w:tc>
        <w:tc>
          <w:tcPr>
            <w:tcW w:w="1276" w:type="dxa"/>
          </w:tcPr>
          <w:p w14:paraId="334A15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15,88</w:t>
            </w:r>
          </w:p>
        </w:tc>
        <w:tc>
          <w:tcPr>
            <w:tcW w:w="1134" w:type="dxa"/>
          </w:tcPr>
          <w:p w14:paraId="3C284B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222</w:t>
            </w:r>
          </w:p>
        </w:tc>
        <w:tc>
          <w:tcPr>
            <w:tcW w:w="1134" w:type="dxa"/>
          </w:tcPr>
          <w:p w14:paraId="70F307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w:t>
            </w:r>
          </w:p>
        </w:tc>
      </w:tr>
      <w:tr w:rsidR="00983732" w:rsidRPr="00A3026E" w14:paraId="1E003185" w14:textId="77777777" w:rsidTr="00EA0DA7">
        <w:tc>
          <w:tcPr>
            <w:tcW w:w="1526" w:type="dxa"/>
            <w:tcBorders>
              <w:bottom w:val="single" w:sz="12" w:space="0" w:color="auto"/>
            </w:tcBorders>
          </w:tcPr>
          <w:p w14:paraId="17880A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c>
          <w:tcPr>
            <w:tcW w:w="1134" w:type="dxa"/>
            <w:tcBorders>
              <w:bottom w:val="single" w:sz="12" w:space="0" w:color="auto"/>
            </w:tcBorders>
          </w:tcPr>
          <w:p w14:paraId="58FE0E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0,5</w:t>
            </w:r>
          </w:p>
        </w:tc>
        <w:tc>
          <w:tcPr>
            <w:tcW w:w="1276" w:type="dxa"/>
            <w:tcBorders>
              <w:bottom w:val="single" w:sz="12" w:space="0" w:color="auto"/>
            </w:tcBorders>
          </w:tcPr>
          <w:p w14:paraId="258B52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25,63</w:t>
            </w:r>
          </w:p>
        </w:tc>
        <w:tc>
          <w:tcPr>
            <w:tcW w:w="1134" w:type="dxa"/>
            <w:tcBorders>
              <w:bottom w:val="single" w:sz="12" w:space="0" w:color="auto"/>
            </w:tcBorders>
          </w:tcPr>
          <w:p w14:paraId="6CE4F1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34" w:type="dxa"/>
            <w:tcBorders>
              <w:bottom w:val="single" w:sz="12" w:space="0" w:color="auto"/>
            </w:tcBorders>
          </w:tcPr>
          <w:p w14:paraId="2604B7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08787F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Теоретический потолок 12180, практический - 12000, время подъема 25,63</w:t>
      </w:r>
    </w:p>
    <w:p w14:paraId="11C036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маневренности на 1000 м при весе 3099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843"/>
        <w:gridCol w:w="851"/>
        <w:gridCol w:w="850"/>
        <w:gridCol w:w="851"/>
      </w:tblGrid>
      <w:tr w:rsidR="00983732" w:rsidRPr="00A3026E" w14:paraId="01298AEA" w14:textId="77777777" w:rsidTr="00EA0DA7">
        <w:tc>
          <w:tcPr>
            <w:tcW w:w="2242" w:type="dxa"/>
            <w:tcBorders>
              <w:top w:val="single" w:sz="12" w:space="0" w:color="auto"/>
            </w:tcBorders>
          </w:tcPr>
          <w:p w14:paraId="15FAA6E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43" w:type="dxa"/>
            <w:tcBorders>
              <w:top w:val="single" w:sz="12" w:space="0" w:color="auto"/>
            </w:tcBorders>
          </w:tcPr>
          <w:p w14:paraId="4BE0DA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w:t>
            </w:r>
          </w:p>
        </w:tc>
        <w:tc>
          <w:tcPr>
            <w:tcW w:w="851" w:type="dxa"/>
            <w:tcBorders>
              <w:top w:val="single" w:sz="12" w:space="0" w:color="auto"/>
            </w:tcBorders>
          </w:tcPr>
          <w:p w14:paraId="0C360A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ввода</w:t>
            </w:r>
          </w:p>
        </w:tc>
        <w:tc>
          <w:tcPr>
            <w:tcW w:w="850" w:type="dxa"/>
            <w:tcBorders>
              <w:top w:val="single" w:sz="12" w:space="0" w:color="auto"/>
            </w:tcBorders>
          </w:tcPr>
          <w:p w14:paraId="1045E3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вывода</w:t>
            </w:r>
          </w:p>
        </w:tc>
        <w:tc>
          <w:tcPr>
            <w:tcW w:w="851" w:type="dxa"/>
            <w:tcBorders>
              <w:top w:val="single" w:sz="12" w:space="0" w:color="auto"/>
            </w:tcBorders>
          </w:tcPr>
          <w:p w14:paraId="64252C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Потеря высоты</w:t>
            </w:r>
          </w:p>
        </w:tc>
      </w:tr>
      <w:tr w:rsidR="00983732" w:rsidRPr="00A3026E" w14:paraId="6964514E" w14:textId="77777777" w:rsidTr="00EA0DA7">
        <w:tc>
          <w:tcPr>
            <w:tcW w:w="2242" w:type="dxa"/>
          </w:tcPr>
          <w:p w14:paraId="31C2E7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левый</w:t>
            </w:r>
          </w:p>
        </w:tc>
        <w:tc>
          <w:tcPr>
            <w:tcW w:w="843" w:type="dxa"/>
          </w:tcPr>
          <w:p w14:paraId="1D2513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22,3</w:t>
            </w:r>
          </w:p>
        </w:tc>
        <w:tc>
          <w:tcPr>
            <w:tcW w:w="851" w:type="dxa"/>
          </w:tcPr>
          <w:p w14:paraId="327600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741009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tc>
        <w:tc>
          <w:tcPr>
            <w:tcW w:w="851" w:type="dxa"/>
          </w:tcPr>
          <w:p w14:paraId="264CBF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2B760B8C" w14:textId="77777777" w:rsidTr="00EA0DA7">
        <w:tc>
          <w:tcPr>
            <w:tcW w:w="2242" w:type="dxa"/>
          </w:tcPr>
          <w:p w14:paraId="48901E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правый</w:t>
            </w:r>
          </w:p>
        </w:tc>
        <w:tc>
          <w:tcPr>
            <w:tcW w:w="843" w:type="dxa"/>
          </w:tcPr>
          <w:p w14:paraId="5BEF67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851" w:type="dxa"/>
          </w:tcPr>
          <w:p w14:paraId="0A5400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53AFB1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w:t>
            </w:r>
          </w:p>
        </w:tc>
        <w:tc>
          <w:tcPr>
            <w:tcW w:w="851" w:type="dxa"/>
          </w:tcPr>
          <w:p w14:paraId="1649E2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69DC176B" w14:textId="77777777" w:rsidTr="00EA0DA7">
        <w:tc>
          <w:tcPr>
            <w:tcW w:w="2242" w:type="dxa"/>
          </w:tcPr>
          <w:p w14:paraId="6AA5CC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серийный левый</w:t>
            </w:r>
          </w:p>
        </w:tc>
        <w:tc>
          <w:tcPr>
            <w:tcW w:w="843" w:type="dxa"/>
          </w:tcPr>
          <w:p w14:paraId="75ABF7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70,5</w:t>
            </w:r>
          </w:p>
        </w:tc>
        <w:tc>
          <w:tcPr>
            <w:tcW w:w="851" w:type="dxa"/>
          </w:tcPr>
          <w:p w14:paraId="614B73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269E13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tc>
        <w:tc>
          <w:tcPr>
            <w:tcW w:w="851" w:type="dxa"/>
          </w:tcPr>
          <w:p w14:paraId="1954EB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22E5BAB8" w14:textId="77777777" w:rsidTr="00EA0DA7">
        <w:tc>
          <w:tcPr>
            <w:tcW w:w="2242" w:type="dxa"/>
          </w:tcPr>
          <w:p w14:paraId="3B7B56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серийный правый</w:t>
            </w:r>
          </w:p>
        </w:tc>
        <w:tc>
          <w:tcPr>
            <w:tcW w:w="843" w:type="dxa"/>
          </w:tcPr>
          <w:p w14:paraId="05ACF6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64,9</w:t>
            </w:r>
          </w:p>
        </w:tc>
        <w:tc>
          <w:tcPr>
            <w:tcW w:w="851" w:type="dxa"/>
          </w:tcPr>
          <w:p w14:paraId="576F74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69E0B2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1" w:type="dxa"/>
          </w:tcPr>
          <w:p w14:paraId="6C3AB2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17B5E505" w14:textId="77777777" w:rsidTr="00EA0DA7">
        <w:tc>
          <w:tcPr>
            <w:tcW w:w="2242" w:type="dxa"/>
            <w:tcBorders>
              <w:bottom w:val="single" w:sz="12" w:space="0" w:color="auto"/>
            </w:tcBorders>
          </w:tcPr>
          <w:p w14:paraId="6238E1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Восьмерка</w:t>
            </w:r>
          </w:p>
        </w:tc>
        <w:tc>
          <w:tcPr>
            <w:tcW w:w="843" w:type="dxa"/>
            <w:tcBorders>
              <w:bottom w:val="single" w:sz="12" w:space="0" w:color="auto"/>
            </w:tcBorders>
          </w:tcPr>
          <w:p w14:paraId="3B3F82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40,5</w:t>
            </w:r>
          </w:p>
        </w:tc>
        <w:tc>
          <w:tcPr>
            <w:tcW w:w="851" w:type="dxa"/>
            <w:tcBorders>
              <w:bottom w:val="single" w:sz="12" w:space="0" w:color="auto"/>
            </w:tcBorders>
          </w:tcPr>
          <w:p w14:paraId="0E8DE1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Borders>
              <w:bottom w:val="single" w:sz="12" w:space="0" w:color="auto"/>
            </w:tcBorders>
          </w:tcPr>
          <w:p w14:paraId="74079F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w:t>
            </w:r>
          </w:p>
        </w:tc>
        <w:tc>
          <w:tcPr>
            <w:tcW w:w="851" w:type="dxa"/>
            <w:tcBorders>
              <w:bottom w:val="single" w:sz="12" w:space="0" w:color="auto"/>
            </w:tcBorders>
          </w:tcPr>
          <w:p w14:paraId="637196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bl>
    <w:p w14:paraId="381FBB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маневренности на 5000 м при весе 3099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843"/>
        <w:gridCol w:w="851"/>
        <w:gridCol w:w="850"/>
        <w:gridCol w:w="851"/>
      </w:tblGrid>
      <w:tr w:rsidR="00983732" w:rsidRPr="00A3026E" w14:paraId="5C2CDE1D" w14:textId="77777777" w:rsidTr="00EA0DA7">
        <w:tc>
          <w:tcPr>
            <w:tcW w:w="2242" w:type="dxa"/>
            <w:tcBorders>
              <w:top w:val="single" w:sz="12" w:space="0" w:color="auto"/>
            </w:tcBorders>
          </w:tcPr>
          <w:p w14:paraId="34781A2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43" w:type="dxa"/>
            <w:tcBorders>
              <w:top w:val="single" w:sz="12" w:space="0" w:color="auto"/>
            </w:tcBorders>
          </w:tcPr>
          <w:p w14:paraId="7E9136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w:t>
            </w:r>
          </w:p>
        </w:tc>
        <w:tc>
          <w:tcPr>
            <w:tcW w:w="851" w:type="dxa"/>
            <w:tcBorders>
              <w:top w:val="single" w:sz="12" w:space="0" w:color="auto"/>
            </w:tcBorders>
          </w:tcPr>
          <w:p w14:paraId="23DDB8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ввода</w:t>
            </w:r>
          </w:p>
        </w:tc>
        <w:tc>
          <w:tcPr>
            <w:tcW w:w="850" w:type="dxa"/>
            <w:tcBorders>
              <w:top w:val="single" w:sz="12" w:space="0" w:color="auto"/>
            </w:tcBorders>
          </w:tcPr>
          <w:p w14:paraId="0C0C9E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вывода</w:t>
            </w:r>
          </w:p>
        </w:tc>
        <w:tc>
          <w:tcPr>
            <w:tcW w:w="851" w:type="dxa"/>
            <w:tcBorders>
              <w:top w:val="single" w:sz="12" w:space="0" w:color="auto"/>
            </w:tcBorders>
          </w:tcPr>
          <w:p w14:paraId="5B1F55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Потеря высоты</w:t>
            </w:r>
          </w:p>
        </w:tc>
      </w:tr>
      <w:tr w:rsidR="00983732" w:rsidRPr="00A3026E" w14:paraId="18CCB6F1" w14:textId="77777777" w:rsidTr="00EA0DA7">
        <w:tc>
          <w:tcPr>
            <w:tcW w:w="2242" w:type="dxa"/>
          </w:tcPr>
          <w:p w14:paraId="4051E3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левый</w:t>
            </w:r>
          </w:p>
        </w:tc>
        <w:tc>
          <w:tcPr>
            <w:tcW w:w="843" w:type="dxa"/>
          </w:tcPr>
          <w:p w14:paraId="2092F9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851" w:type="dxa"/>
          </w:tcPr>
          <w:p w14:paraId="4171F1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w:t>
            </w:r>
          </w:p>
        </w:tc>
        <w:tc>
          <w:tcPr>
            <w:tcW w:w="850" w:type="dxa"/>
          </w:tcPr>
          <w:p w14:paraId="4B5C23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1" w:type="dxa"/>
          </w:tcPr>
          <w:p w14:paraId="28D1EF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1FCA9B86" w14:textId="77777777" w:rsidTr="00EA0DA7">
        <w:tc>
          <w:tcPr>
            <w:tcW w:w="2242" w:type="dxa"/>
          </w:tcPr>
          <w:p w14:paraId="009300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правый</w:t>
            </w:r>
          </w:p>
        </w:tc>
        <w:tc>
          <w:tcPr>
            <w:tcW w:w="843" w:type="dxa"/>
          </w:tcPr>
          <w:p w14:paraId="228C32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851" w:type="dxa"/>
          </w:tcPr>
          <w:p w14:paraId="778698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w:t>
            </w:r>
          </w:p>
        </w:tc>
        <w:tc>
          <w:tcPr>
            <w:tcW w:w="850" w:type="dxa"/>
          </w:tcPr>
          <w:p w14:paraId="019C09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w:t>
            </w:r>
          </w:p>
        </w:tc>
        <w:tc>
          <w:tcPr>
            <w:tcW w:w="851" w:type="dxa"/>
          </w:tcPr>
          <w:p w14:paraId="5A3434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1B3303D5" w14:textId="77777777" w:rsidTr="00EA0DA7">
        <w:tc>
          <w:tcPr>
            <w:tcW w:w="2242" w:type="dxa"/>
          </w:tcPr>
          <w:p w14:paraId="3ABD35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серийный левый</w:t>
            </w:r>
          </w:p>
        </w:tc>
        <w:tc>
          <w:tcPr>
            <w:tcW w:w="843" w:type="dxa"/>
          </w:tcPr>
          <w:p w14:paraId="07C016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w:t>
            </w:r>
          </w:p>
        </w:tc>
        <w:tc>
          <w:tcPr>
            <w:tcW w:w="851" w:type="dxa"/>
          </w:tcPr>
          <w:p w14:paraId="6F2E9C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6A4171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1" w:type="dxa"/>
          </w:tcPr>
          <w:p w14:paraId="6BBBB5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3E02DEFF" w14:textId="77777777" w:rsidTr="00EA0DA7">
        <w:tc>
          <w:tcPr>
            <w:tcW w:w="2242" w:type="dxa"/>
          </w:tcPr>
          <w:p w14:paraId="0F26B4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серийный правый</w:t>
            </w:r>
          </w:p>
        </w:tc>
        <w:tc>
          <w:tcPr>
            <w:tcW w:w="843" w:type="dxa"/>
          </w:tcPr>
          <w:p w14:paraId="5AD667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w:t>
            </w:r>
          </w:p>
        </w:tc>
        <w:tc>
          <w:tcPr>
            <w:tcW w:w="851" w:type="dxa"/>
          </w:tcPr>
          <w:p w14:paraId="6E4717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385B5C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1" w:type="dxa"/>
          </w:tcPr>
          <w:p w14:paraId="23E5B2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256E498A" w14:textId="77777777" w:rsidTr="00EA0DA7">
        <w:tc>
          <w:tcPr>
            <w:tcW w:w="2242" w:type="dxa"/>
          </w:tcPr>
          <w:p w14:paraId="0F31B6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Восьмерка</w:t>
            </w:r>
          </w:p>
        </w:tc>
        <w:tc>
          <w:tcPr>
            <w:tcW w:w="843" w:type="dxa"/>
          </w:tcPr>
          <w:p w14:paraId="014377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c>
          <w:tcPr>
            <w:tcW w:w="851" w:type="dxa"/>
          </w:tcPr>
          <w:p w14:paraId="144160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2B0CFD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1" w:type="dxa"/>
          </w:tcPr>
          <w:p w14:paraId="2C5A76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32B9389F" w14:textId="77777777" w:rsidTr="00EA0DA7">
        <w:tc>
          <w:tcPr>
            <w:tcW w:w="2242" w:type="dxa"/>
            <w:tcBorders>
              <w:bottom w:val="single" w:sz="12" w:space="0" w:color="auto"/>
            </w:tcBorders>
          </w:tcPr>
          <w:p w14:paraId="1307F9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Иммельман</w:t>
            </w:r>
          </w:p>
        </w:tc>
        <w:tc>
          <w:tcPr>
            <w:tcW w:w="843" w:type="dxa"/>
            <w:tcBorders>
              <w:bottom w:val="single" w:sz="12" w:space="0" w:color="auto"/>
            </w:tcBorders>
          </w:tcPr>
          <w:p w14:paraId="33F3F0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851" w:type="dxa"/>
            <w:tcBorders>
              <w:bottom w:val="single" w:sz="12" w:space="0" w:color="auto"/>
            </w:tcBorders>
          </w:tcPr>
          <w:p w14:paraId="304DFD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w:t>
            </w:r>
          </w:p>
        </w:tc>
        <w:tc>
          <w:tcPr>
            <w:tcW w:w="850" w:type="dxa"/>
            <w:tcBorders>
              <w:bottom w:val="single" w:sz="12" w:space="0" w:color="auto"/>
            </w:tcBorders>
          </w:tcPr>
          <w:p w14:paraId="3AF2C7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851" w:type="dxa"/>
            <w:tcBorders>
              <w:bottom w:val="single" w:sz="12" w:space="0" w:color="auto"/>
            </w:tcBorders>
          </w:tcPr>
          <w:p w14:paraId="0ED23E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+1100-1200</w:t>
            </w:r>
          </w:p>
        </w:tc>
      </w:tr>
    </w:tbl>
    <w:p w14:paraId="06BE03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Линейные размеры</w:t>
      </w:r>
    </w:p>
    <w:p w14:paraId="42AA79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- 10200</w:t>
      </w:r>
    </w:p>
    <w:p w14:paraId="21028B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8155</w:t>
      </w:r>
    </w:p>
    <w:p w14:paraId="79A2C3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Мидель фюзеляжа 0,978 м2</w:t>
      </w:r>
    </w:p>
    <w:p w14:paraId="742555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Профиль крыла УН</w:t>
      </w:r>
    </w:p>
    <w:p w14:paraId="57467C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Удлинение крыла 5,97</w:t>
      </w:r>
    </w:p>
    <w:p w14:paraId="462B10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Ширина колеи шасси - 2800</w:t>
      </w:r>
    </w:p>
    <w:p w14:paraId="7D3196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прочности на сл. А по нормам прочности 1940 г в редакции 1939 г. - 13</w:t>
      </w:r>
    </w:p>
    <w:p w14:paraId="726734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17,44 м2</w:t>
      </w:r>
    </w:p>
    <w:p w14:paraId="7C6216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ГО 3,105</w:t>
      </w:r>
    </w:p>
    <w:p w14:paraId="59F519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киля 0,614</w:t>
      </w:r>
    </w:p>
    <w:p w14:paraId="2AD040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ВО 1,527</w:t>
      </w:r>
    </w:p>
    <w:p w14:paraId="124845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Площади стабилизатора 1,659</w:t>
      </w:r>
    </w:p>
    <w:p w14:paraId="79946E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закрылков 2,09</w:t>
      </w:r>
    </w:p>
    <w:p w14:paraId="4E6B99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Уборка шасси - пневматическая, нормальное давление 30 а</w:t>
      </w:r>
    </w:p>
    <w:p w14:paraId="10DFF9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Давление в тормозах 4 а</w:t>
      </w:r>
    </w:p>
    <w:p w14:paraId="7B78B5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не имеет запаса статической продольной устойчивости и близок к неустойчивости</w:t>
      </w:r>
    </w:p>
    <w:p w14:paraId="60C7E2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Продольная динамическая устойчивость на режиме горизонтального полета</w:t>
      </w:r>
    </w:p>
    <w:p w14:paraId="6F5412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дачи импыльса на увеличение скорости на 20 км/час или на уменьшение скорости на 20 км/час, с-т соответственно уходит в пикирование или кабрирование, требуя внимания л</w:t>
      </w:r>
    </w:p>
    <w:p w14:paraId="074794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 по уст-ти</w:t>
      </w:r>
    </w:p>
    <w:p w14:paraId="6027A4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И-2000 на эксплуатационной центровке (25,8%) и убранных шасси обладает неудовлетворительной продольной кстойчивостью</w:t>
      </w:r>
    </w:p>
    <w:p w14:paraId="6BE657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отчета о полете л облета Супруна:</w:t>
      </w:r>
    </w:p>
    <w:p w14:paraId="7EC5CE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технике взлета и посадки с-т прост, но вследствие легкого срыва в штопор при перетягивании ручки на вираже с-т в полете равняется И-16 с задней центровкой</w:t>
      </w:r>
    </w:p>
    <w:p w14:paraId="05945D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полете с-т тяжел в управлении рулями. Создается впечатление вялой в управлении и затрудняется маневрирование. Необходимо увеличить компенсацию всех рулей.</w:t>
      </w:r>
    </w:p>
    <w:p w14:paraId="27DAFE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Откидной фонарь не пригоден. Необходи сдвижной.</w:t>
      </w:r>
    </w:p>
    <w:p w14:paraId="175425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Общее впечатление от И-200: с-т прост в технике пилотирования и вполне доступен для освоения л средней квалификации</w:t>
      </w:r>
    </w:p>
    <w:p w14:paraId="124200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ВМГ с-та И-200</w:t>
      </w:r>
    </w:p>
    <w:p w14:paraId="092954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 Мотор АМ-35А № 007 за время испыфтаний наработал на земле 2:45, в полете 12:50</w:t>
      </w:r>
    </w:p>
    <w:p w14:paraId="11AB7B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Степень сжатия 7 (6,8-7)</w:t>
      </w:r>
    </w:p>
    <w:p w14:paraId="7AA577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Передаточное число 14,6</w:t>
      </w:r>
    </w:p>
    <w:p w14:paraId="38D474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Неправление вращение со стороны задней крышки - правое, винта - левое</w:t>
      </w:r>
    </w:p>
    <w:p w14:paraId="4976EF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Сухой вес 840 кг</w:t>
      </w:r>
    </w:p>
    <w:p w14:paraId="72D1A3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макс. 1350</w:t>
      </w:r>
    </w:p>
    <w:p w14:paraId="6F8CBC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Рк 1230</w:t>
      </w:r>
    </w:p>
    <w:p w14:paraId="051F15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оборотов 2050</w:t>
      </w:r>
    </w:p>
    <w:p w14:paraId="148314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Номинальная мощность у земли 1120 лс, Рк 1020, число обротов 2050 </w:t>
      </w:r>
    </w:p>
    <w:p w14:paraId="03C022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Расчетная высота 6000 м</w:t>
      </w:r>
    </w:p>
    <w:p w14:paraId="7CE55D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Максимальные обороты 2250 в течение 30 сек.</w:t>
      </w:r>
    </w:p>
    <w:p w14:paraId="064C48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Минимальные оброты 450</w:t>
      </w:r>
    </w:p>
    <w:p w14:paraId="37809E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Рекомендуемое горючее 4Б-78 с октяновым числом не ниже 95</w:t>
      </w:r>
    </w:p>
    <w:p w14:paraId="5C5168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Расход горючего</w:t>
      </w:r>
    </w:p>
    <w:p w14:paraId="3A1314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номинал - 300</w:t>
      </w:r>
    </w:p>
    <w:p w14:paraId="090BD3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330</w:t>
      </w:r>
    </w:p>
    <w:p w14:paraId="25ACCD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эксплуатация 275-285</w:t>
      </w:r>
    </w:p>
    <w:p w14:paraId="715391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расход масла 12 г/лс/час</w:t>
      </w:r>
    </w:p>
    <w:p w14:paraId="2E0CF5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 Воды 115 и кратковременно 120</w:t>
      </w:r>
    </w:p>
    <w:p w14:paraId="423BF0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Карбюратор К-35х4</w:t>
      </w:r>
    </w:p>
    <w:p w14:paraId="109201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Магнето БС-12-ПЭАх2</w:t>
      </w:r>
    </w:p>
    <w:p w14:paraId="4C60BA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Свечи СВ-0,8х24</w:t>
      </w:r>
    </w:p>
    <w:p w14:paraId="35F05A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Бензопомпа БНК-10х1</w:t>
      </w:r>
    </w:p>
    <w:p w14:paraId="60DA83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Самопуск воздушный</w:t>
      </w:r>
    </w:p>
    <w:p w14:paraId="39EC62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мотора 2,402, высота 1,089, ширина 866</w:t>
      </w:r>
    </w:p>
    <w:p w14:paraId="3C837C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ВИШ-22Е 28 завода.</w:t>
      </w:r>
    </w:p>
    <w:p w14:paraId="1B5145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лопасти 260мм</w:t>
      </w:r>
    </w:p>
    <w:p w14:paraId="17D849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144 кг</w:t>
      </w:r>
    </w:p>
    <w:p w14:paraId="5F8F93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Расстояние от конца лопасти до земли - 250мм</w:t>
      </w:r>
    </w:p>
    <w:p w14:paraId="220AD5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Радиатор - воздушномасляный ВМС-9-225</w:t>
      </w:r>
    </w:p>
    <w:p w14:paraId="14A81B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Охлаждающая поверхность 2,72 м2</w:t>
      </w:r>
    </w:p>
    <w:p w14:paraId="1041C7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Водорадиатор типа 229ОП с диаметром трубок 8 мм, емкость 28,5, вес 94,5</w:t>
      </w:r>
    </w:p>
    <w:p w14:paraId="4686A8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Емкость системы охлаждения 79 л</w:t>
      </w:r>
    </w:p>
    <w:p w14:paraId="36E958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РО - РО-82, 8хфлейт проверено стрельбой на земле и в воздухе. Стрельба производилось одиночными и залпом по 2 на земле и по 2 и по 4 в воздухе. На элероны никакого воздействия не оказывалось.</w:t>
      </w:r>
    </w:p>
    <w:p w14:paraId="30FFBF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 РСИ-3, антенна с мачтой 700 мм на верхней панели фюзеляжа</w:t>
      </w:r>
    </w:p>
    <w:p w14:paraId="5E676E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действия р/с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843"/>
        <w:gridCol w:w="1701"/>
        <w:gridCol w:w="1842"/>
      </w:tblGrid>
      <w:tr w:rsidR="00983732" w:rsidRPr="00A3026E" w14:paraId="7A8F2840" w14:textId="77777777" w:rsidTr="00EA0DA7">
        <w:tc>
          <w:tcPr>
            <w:tcW w:w="959" w:type="dxa"/>
            <w:tcBorders>
              <w:top w:val="single" w:sz="12" w:space="0" w:color="auto"/>
            </w:tcBorders>
          </w:tcPr>
          <w:p w14:paraId="410953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w:t>
            </w:r>
          </w:p>
        </w:tc>
        <w:tc>
          <w:tcPr>
            <w:tcW w:w="1843" w:type="dxa"/>
            <w:tcBorders>
              <w:top w:val="single" w:sz="12" w:space="0" w:color="auto"/>
            </w:tcBorders>
          </w:tcPr>
          <w:p w14:paraId="1DD2FA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двусторонняя с 11АК</w:t>
            </w:r>
          </w:p>
        </w:tc>
        <w:tc>
          <w:tcPr>
            <w:tcW w:w="1701" w:type="dxa"/>
            <w:tcBorders>
              <w:top w:val="single" w:sz="12" w:space="0" w:color="auto"/>
            </w:tcBorders>
          </w:tcPr>
          <w:p w14:paraId="41E7BC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одной станцией</w:t>
            </w:r>
          </w:p>
        </w:tc>
        <w:tc>
          <w:tcPr>
            <w:tcW w:w="1842" w:type="dxa"/>
            <w:tcBorders>
              <w:top w:val="single" w:sz="12" w:space="0" w:color="auto"/>
            </w:tcBorders>
          </w:tcPr>
          <w:p w14:paraId="7245CB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прием на с-те от 11АК</w:t>
            </w:r>
          </w:p>
        </w:tc>
      </w:tr>
      <w:tr w:rsidR="00983732" w:rsidRPr="00A3026E" w14:paraId="63ED95E7" w14:textId="77777777" w:rsidTr="00EA0DA7">
        <w:tc>
          <w:tcPr>
            <w:tcW w:w="959" w:type="dxa"/>
          </w:tcPr>
          <w:p w14:paraId="610808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843" w:type="dxa"/>
          </w:tcPr>
          <w:p w14:paraId="0C4D1D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 км</w:t>
            </w:r>
          </w:p>
        </w:tc>
        <w:tc>
          <w:tcPr>
            <w:tcW w:w="1701" w:type="dxa"/>
          </w:tcPr>
          <w:p w14:paraId="0578AB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1842" w:type="dxa"/>
          </w:tcPr>
          <w:p w14:paraId="015CE5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3223C684" w14:textId="77777777" w:rsidTr="00EA0DA7">
        <w:tc>
          <w:tcPr>
            <w:tcW w:w="959" w:type="dxa"/>
          </w:tcPr>
          <w:p w14:paraId="2C9CB2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1843" w:type="dxa"/>
          </w:tcPr>
          <w:p w14:paraId="12857A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701" w:type="dxa"/>
          </w:tcPr>
          <w:p w14:paraId="25BD75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1842" w:type="dxa"/>
          </w:tcPr>
          <w:p w14:paraId="704C173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36D67EB" w14:textId="77777777" w:rsidTr="00EA0DA7">
        <w:tc>
          <w:tcPr>
            <w:tcW w:w="959" w:type="dxa"/>
            <w:tcBorders>
              <w:bottom w:val="single" w:sz="12" w:space="0" w:color="auto"/>
            </w:tcBorders>
          </w:tcPr>
          <w:p w14:paraId="218383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843" w:type="dxa"/>
            <w:tcBorders>
              <w:bottom w:val="single" w:sz="12" w:space="0" w:color="auto"/>
            </w:tcBorders>
          </w:tcPr>
          <w:p w14:paraId="4D58C5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701" w:type="dxa"/>
            <w:tcBorders>
              <w:bottom w:val="single" w:sz="12" w:space="0" w:color="auto"/>
            </w:tcBorders>
          </w:tcPr>
          <w:p w14:paraId="61A27C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1842" w:type="dxa"/>
            <w:tcBorders>
              <w:bottom w:val="single" w:sz="12" w:space="0" w:color="auto"/>
            </w:tcBorders>
          </w:tcPr>
          <w:p w14:paraId="3183415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67384B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предъявлен с электрооборудованием не полностью доработанным на заводских испытаниях (фара, освещение кабины), неполной металлизацией и рядом недостатков по монтажу</w:t>
      </w:r>
    </w:p>
    <w:p w14:paraId="75ACE9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Ведомость дефектов: по с-ту 25, по ВМГ 24 по спецоборудованию 10Ю по р/с 6, по электрооборудованию 2, по .. 4</w:t>
      </w:r>
    </w:p>
    <w:p w14:paraId="058FD6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программе 75 полетов продолжительностью 28 и по вооружению 22 полета продолжительностью 11:30</w:t>
      </w:r>
    </w:p>
    <w:p w14:paraId="7A2B44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Дневник испытаний (с-т № 6101)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4710"/>
        <w:gridCol w:w="1102"/>
      </w:tblGrid>
      <w:tr w:rsidR="00983732" w:rsidRPr="00A3026E" w14:paraId="6677C4D4" w14:textId="77777777" w:rsidTr="00EA0DA7">
        <w:tc>
          <w:tcPr>
            <w:tcW w:w="1526" w:type="dxa"/>
            <w:tcBorders>
              <w:top w:val="single" w:sz="12" w:space="0" w:color="auto"/>
            </w:tcBorders>
          </w:tcPr>
          <w:p w14:paraId="68E614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Дата</w:t>
            </w:r>
          </w:p>
        </w:tc>
        <w:tc>
          <w:tcPr>
            <w:tcW w:w="4710" w:type="dxa"/>
            <w:tcBorders>
              <w:top w:val="single" w:sz="12" w:space="0" w:color="auto"/>
            </w:tcBorders>
          </w:tcPr>
          <w:p w14:paraId="5DB9F1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w:t>
            </w:r>
          </w:p>
        </w:tc>
        <w:tc>
          <w:tcPr>
            <w:tcW w:w="1102" w:type="dxa"/>
            <w:tcBorders>
              <w:top w:val="single" w:sz="12" w:space="0" w:color="auto"/>
            </w:tcBorders>
          </w:tcPr>
          <w:p w14:paraId="4168A4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Примечение</w:t>
            </w:r>
          </w:p>
        </w:tc>
      </w:tr>
      <w:tr w:rsidR="00983732" w:rsidRPr="00A3026E" w14:paraId="0AA33D4B" w14:textId="77777777" w:rsidTr="00EA0DA7">
        <w:tc>
          <w:tcPr>
            <w:tcW w:w="1526" w:type="dxa"/>
          </w:tcPr>
          <w:p w14:paraId="1BC6E8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августа 1940</w:t>
            </w:r>
          </w:p>
        </w:tc>
        <w:tc>
          <w:tcPr>
            <w:tcW w:w="4710" w:type="dxa"/>
          </w:tcPr>
          <w:p w14:paraId="38DE27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Перегон с-та на госиспытания в НИИ ВВС. Тарировка б/б, установка испытательной аппаратуры, взвешивание</w:t>
            </w:r>
          </w:p>
        </w:tc>
        <w:tc>
          <w:tcPr>
            <w:tcW w:w="1102" w:type="dxa"/>
          </w:tcPr>
          <w:p w14:paraId="3D97FBC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5C1F8D7" w14:textId="77777777" w:rsidTr="00EA0DA7">
        <w:tc>
          <w:tcPr>
            <w:tcW w:w="1526" w:type="dxa"/>
          </w:tcPr>
          <w:p w14:paraId="33730F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августа 1940</w:t>
            </w:r>
          </w:p>
        </w:tc>
        <w:tc>
          <w:tcPr>
            <w:tcW w:w="4710" w:type="dxa"/>
          </w:tcPr>
          <w:p w14:paraId="602A91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температурных режимов. Замена 3-х стрелочных индикаторов и чистка мотора</w:t>
            </w:r>
          </w:p>
        </w:tc>
        <w:tc>
          <w:tcPr>
            <w:tcW w:w="1102" w:type="dxa"/>
          </w:tcPr>
          <w:p w14:paraId="5C167C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(0:25)</w:t>
            </w:r>
          </w:p>
        </w:tc>
      </w:tr>
      <w:tr w:rsidR="00983732" w:rsidRPr="00A3026E" w14:paraId="7F8D2FF6" w14:textId="77777777" w:rsidTr="00EA0DA7">
        <w:tc>
          <w:tcPr>
            <w:tcW w:w="1526" w:type="dxa"/>
          </w:tcPr>
          <w:p w14:paraId="5D742A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августа 1940</w:t>
            </w:r>
          </w:p>
        </w:tc>
        <w:tc>
          <w:tcPr>
            <w:tcW w:w="4710" w:type="dxa"/>
          </w:tcPr>
          <w:p w14:paraId="4C9F58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полета на километраж После 2-го полета потек водорадиатор. После замены радиатора один полет на определение границ высотности мотора (0:30). Один полет на зубцы (0:15) прекращен из-за неудовлетворительной работы мотора. Полеты были прекращены: сел амортизатор костыля Ночью установка костыля.</w:t>
            </w:r>
          </w:p>
        </w:tc>
        <w:tc>
          <w:tcPr>
            <w:tcW w:w="1102" w:type="dxa"/>
          </w:tcPr>
          <w:p w14:paraId="182286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(1:45)</w:t>
            </w:r>
          </w:p>
        </w:tc>
      </w:tr>
      <w:tr w:rsidR="00983732" w:rsidRPr="00A3026E" w14:paraId="68351441" w14:textId="77777777" w:rsidTr="00EA0DA7">
        <w:tc>
          <w:tcPr>
            <w:tcW w:w="1526" w:type="dxa"/>
          </w:tcPr>
          <w:p w14:paraId="6675DB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августа 1940</w:t>
            </w:r>
          </w:p>
        </w:tc>
        <w:tc>
          <w:tcPr>
            <w:tcW w:w="4710" w:type="dxa"/>
          </w:tcPr>
          <w:p w14:paraId="5261E7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4 полета. Километраж. Потек маслобак Бак заварили на с-те. Полет на зубцы - 5000 м Упало давление с 1040 до 980. Замена РПД Мотор снимался - не проворачивалась крыльчатка нагнетателя</w:t>
            </w:r>
          </w:p>
        </w:tc>
        <w:tc>
          <w:tcPr>
            <w:tcW w:w="1102" w:type="dxa"/>
          </w:tcPr>
          <w:p w14:paraId="110782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(1:05)</w:t>
            </w:r>
          </w:p>
        </w:tc>
      </w:tr>
      <w:tr w:rsidR="00983732" w:rsidRPr="00A3026E" w14:paraId="2B471A74" w14:textId="77777777" w:rsidTr="00EA0DA7">
        <w:tc>
          <w:tcPr>
            <w:tcW w:w="1526" w:type="dxa"/>
          </w:tcPr>
          <w:p w14:paraId="575700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сентября 1940</w:t>
            </w:r>
          </w:p>
        </w:tc>
        <w:tc>
          <w:tcPr>
            <w:tcW w:w="4710" w:type="dxa"/>
          </w:tcPr>
          <w:p w14:paraId="3FCDE2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Воскресенье. Низкая облачность, дождь. Съем мотора</w:t>
            </w:r>
          </w:p>
        </w:tc>
        <w:tc>
          <w:tcPr>
            <w:tcW w:w="1102" w:type="dxa"/>
          </w:tcPr>
          <w:p w14:paraId="5864BA2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5766466" w14:textId="77777777" w:rsidTr="00EA0DA7">
        <w:tc>
          <w:tcPr>
            <w:tcW w:w="1526" w:type="dxa"/>
          </w:tcPr>
          <w:p w14:paraId="61CEA0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 сентября 1940</w:t>
            </w:r>
          </w:p>
        </w:tc>
        <w:tc>
          <w:tcPr>
            <w:tcW w:w="4710" w:type="dxa"/>
          </w:tcPr>
          <w:p w14:paraId="4EE73F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Съем мотора</w:t>
            </w:r>
          </w:p>
        </w:tc>
        <w:tc>
          <w:tcPr>
            <w:tcW w:w="1102" w:type="dxa"/>
          </w:tcPr>
          <w:p w14:paraId="187CC3F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FE04B38" w14:textId="77777777" w:rsidTr="00EA0DA7">
        <w:tc>
          <w:tcPr>
            <w:tcW w:w="1526" w:type="dxa"/>
          </w:tcPr>
          <w:p w14:paraId="29F661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w:t>
            </w:r>
          </w:p>
        </w:tc>
        <w:tc>
          <w:tcPr>
            <w:tcW w:w="4710" w:type="dxa"/>
          </w:tcPr>
          <w:p w14:paraId="6BF786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мотора. Рк увеличено до 1300 на форсировке</w:t>
            </w:r>
          </w:p>
        </w:tc>
        <w:tc>
          <w:tcPr>
            <w:tcW w:w="1102" w:type="dxa"/>
          </w:tcPr>
          <w:p w14:paraId="11EF997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3C8B74F" w14:textId="77777777" w:rsidTr="00EA0DA7">
        <w:tc>
          <w:tcPr>
            <w:tcW w:w="1526" w:type="dxa"/>
          </w:tcPr>
          <w:p w14:paraId="4AB272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w:t>
            </w:r>
          </w:p>
        </w:tc>
        <w:tc>
          <w:tcPr>
            <w:tcW w:w="4710" w:type="dxa"/>
          </w:tcPr>
          <w:p w14:paraId="3ACCF9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16 полетов, из них 14 полетов “взлет-посадка” Один полет на скороподъемность и скорости по высотам. Потек водорадиатор, который заменен</w:t>
            </w:r>
          </w:p>
        </w:tc>
        <w:tc>
          <w:tcPr>
            <w:tcW w:w="1102" w:type="dxa"/>
          </w:tcPr>
          <w:p w14:paraId="6479E8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(2:30)</w:t>
            </w:r>
          </w:p>
        </w:tc>
      </w:tr>
      <w:tr w:rsidR="00983732" w:rsidRPr="00A3026E" w14:paraId="7D964DB7" w14:textId="77777777" w:rsidTr="00EA0DA7">
        <w:tc>
          <w:tcPr>
            <w:tcW w:w="1526" w:type="dxa"/>
          </w:tcPr>
          <w:p w14:paraId="362D11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w:t>
            </w:r>
          </w:p>
        </w:tc>
        <w:tc>
          <w:tcPr>
            <w:tcW w:w="4710" w:type="dxa"/>
          </w:tcPr>
          <w:p w14:paraId="79F56C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3 полета, из них 2 на скороподъемность и макс. скорости по высотам до 9000 м. Один полет на маневрирование на 5000 м. При посадке была пробита сетка всасювающего патрубка нагнетателя. Произведнн осмотр лопастей. Поломки</w:t>
            </w:r>
          </w:p>
        </w:tc>
        <w:tc>
          <w:tcPr>
            <w:tcW w:w="1102" w:type="dxa"/>
          </w:tcPr>
          <w:p w14:paraId="574E9A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(1:50</w:t>
            </w:r>
          </w:p>
        </w:tc>
      </w:tr>
      <w:tr w:rsidR="00983732" w:rsidRPr="00A3026E" w14:paraId="7703B7CC" w14:textId="77777777" w:rsidTr="00EA0DA7">
        <w:tc>
          <w:tcPr>
            <w:tcW w:w="1526" w:type="dxa"/>
          </w:tcPr>
          <w:p w14:paraId="0A3067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w:t>
            </w:r>
          </w:p>
        </w:tc>
        <w:tc>
          <w:tcPr>
            <w:tcW w:w="4710" w:type="dxa"/>
          </w:tcPr>
          <w:p w14:paraId="7DF059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“наяды”. Замена пружины уборки и выпуска костыля. Установка на сетке всасывающего патрубка нагнетателя. Полет на скорость до 10000 м и скороподъемность по высотам</w:t>
            </w:r>
          </w:p>
        </w:tc>
        <w:tc>
          <w:tcPr>
            <w:tcW w:w="1102" w:type="dxa"/>
          </w:tcPr>
          <w:p w14:paraId="08B731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(0:45)</w:t>
            </w:r>
          </w:p>
        </w:tc>
      </w:tr>
      <w:tr w:rsidR="00983732" w:rsidRPr="00A3026E" w14:paraId="6FEB5E20" w14:textId="77777777" w:rsidTr="00EA0DA7">
        <w:tc>
          <w:tcPr>
            <w:tcW w:w="1526" w:type="dxa"/>
          </w:tcPr>
          <w:p w14:paraId="64AF17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w:t>
            </w:r>
          </w:p>
        </w:tc>
        <w:tc>
          <w:tcPr>
            <w:tcW w:w="4710" w:type="dxa"/>
          </w:tcPr>
          <w:p w14:paraId="2C2E15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4 полета, из них один на километраж, один на маневренность, два на пикирование до 650 км/час по прибору</w:t>
            </w:r>
          </w:p>
        </w:tc>
        <w:tc>
          <w:tcPr>
            <w:tcW w:w="1102" w:type="dxa"/>
          </w:tcPr>
          <w:p w14:paraId="7F0B4F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(2:0)</w:t>
            </w:r>
          </w:p>
        </w:tc>
      </w:tr>
      <w:tr w:rsidR="00983732" w:rsidRPr="00A3026E" w14:paraId="42A713AF" w14:textId="77777777" w:rsidTr="00EA0DA7">
        <w:tc>
          <w:tcPr>
            <w:tcW w:w="1526" w:type="dxa"/>
          </w:tcPr>
          <w:p w14:paraId="3386ED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сентября 1940</w:t>
            </w:r>
          </w:p>
        </w:tc>
        <w:tc>
          <w:tcPr>
            <w:tcW w:w="4710" w:type="dxa"/>
          </w:tcPr>
          <w:p w14:paraId="5A5CEA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Воскресение Составление отчета</w:t>
            </w:r>
          </w:p>
        </w:tc>
        <w:tc>
          <w:tcPr>
            <w:tcW w:w="1102" w:type="dxa"/>
          </w:tcPr>
          <w:p w14:paraId="39A67A1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C68B61B" w14:textId="77777777" w:rsidTr="00EA0DA7">
        <w:tc>
          <w:tcPr>
            <w:tcW w:w="1526" w:type="dxa"/>
          </w:tcPr>
          <w:p w14:paraId="1EAAEB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сентября 1940 </w:t>
            </w:r>
          </w:p>
        </w:tc>
        <w:tc>
          <w:tcPr>
            <w:tcW w:w="4710" w:type="dxa"/>
          </w:tcPr>
          <w:p w14:paraId="1E0840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4 полета. Исполнение штопора - 2 полета, 2 полета на макс.</w:t>
            </w:r>
          </w:p>
        </w:tc>
        <w:tc>
          <w:tcPr>
            <w:tcW w:w="1102" w:type="dxa"/>
          </w:tcPr>
          <w:p w14:paraId="3DA6A0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(2:15)</w:t>
            </w:r>
          </w:p>
        </w:tc>
      </w:tr>
      <w:tr w:rsidR="00983732" w:rsidRPr="00A3026E" w14:paraId="34AFF4DE" w14:textId="77777777" w:rsidTr="00EA0DA7">
        <w:tc>
          <w:tcPr>
            <w:tcW w:w="1526" w:type="dxa"/>
          </w:tcPr>
          <w:p w14:paraId="181EEE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w:t>
            </w:r>
          </w:p>
        </w:tc>
        <w:tc>
          <w:tcPr>
            <w:tcW w:w="4710" w:type="dxa"/>
          </w:tcPr>
          <w:p w14:paraId="75B40D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Составление отчета и дополнительное фотографирование</w:t>
            </w:r>
          </w:p>
        </w:tc>
        <w:tc>
          <w:tcPr>
            <w:tcW w:w="1102" w:type="dxa"/>
          </w:tcPr>
          <w:p w14:paraId="176FBCF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B66E4A1" w14:textId="77777777" w:rsidTr="00EA0DA7">
        <w:tc>
          <w:tcPr>
            <w:tcW w:w="1526" w:type="dxa"/>
            <w:tcBorders>
              <w:bottom w:val="single" w:sz="12" w:space="0" w:color="auto"/>
            </w:tcBorders>
          </w:tcPr>
          <w:p w14:paraId="5D51AC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w:t>
            </w:r>
          </w:p>
        </w:tc>
        <w:tc>
          <w:tcPr>
            <w:tcW w:w="4710" w:type="dxa"/>
            <w:tcBorders>
              <w:bottom w:val="single" w:sz="12" w:space="0" w:color="auto"/>
            </w:tcBorders>
          </w:tcPr>
          <w:p w14:paraId="2154CC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Полеты на расход горючего и облеты другими л</w:t>
            </w:r>
          </w:p>
        </w:tc>
        <w:tc>
          <w:tcPr>
            <w:tcW w:w="1102" w:type="dxa"/>
            <w:tcBorders>
              <w:bottom w:val="single" w:sz="12" w:space="0" w:color="auto"/>
            </w:tcBorders>
          </w:tcPr>
          <w:p w14:paraId="4D48580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655DE2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Дневник испытаний (с-т № 6103)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4710"/>
        <w:gridCol w:w="1102"/>
      </w:tblGrid>
      <w:tr w:rsidR="00983732" w:rsidRPr="00A3026E" w14:paraId="7F4A2AC0" w14:textId="77777777" w:rsidTr="00EA0DA7">
        <w:tc>
          <w:tcPr>
            <w:tcW w:w="1526" w:type="dxa"/>
            <w:tcBorders>
              <w:top w:val="single" w:sz="12" w:space="0" w:color="auto"/>
            </w:tcBorders>
          </w:tcPr>
          <w:p w14:paraId="5DCC3B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Дата</w:t>
            </w:r>
          </w:p>
        </w:tc>
        <w:tc>
          <w:tcPr>
            <w:tcW w:w="4710" w:type="dxa"/>
            <w:tcBorders>
              <w:top w:val="single" w:sz="12" w:space="0" w:color="auto"/>
            </w:tcBorders>
          </w:tcPr>
          <w:p w14:paraId="7F0B68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w:t>
            </w:r>
          </w:p>
        </w:tc>
        <w:tc>
          <w:tcPr>
            <w:tcW w:w="1102" w:type="dxa"/>
            <w:tcBorders>
              <w:top w:val="single" w:sz="12" w:space="0" w:color="auto"/>
            </w:tcBorders>
          </w:tcPr>
          <w:p w14:paraId="73C59D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Примечение</w:t>
            </w:r>
          </w:p>
        </w:tc>
      </w:tr>
      <w:tr w:rsidR="00983732" w:rsidRPr="00A3026E" w14:paraId="13FE95C7" w14:textId="77777777" w:rsidTr="00EA0DA7">
        <w:tc>
          <w:tcPr>
            <w:tcW w:w="1526" w:type="dxa"/>
          </w:tcPr>
          <w:p w14:paraId="5B570B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августа 1940</w:t>
            </w:r>
          </w:p>
        </w:tc>
        <w:tc>
          <w:tcPr>
            <w:tcW w:w="4710" w:type="dxa"/>
          </w:tcPr>
          <w:p w14:paraId="3551A7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11:00 произвел посадку на аэродроме НИИ. На с-те обнаружены дефекты: обрыв левого аварийного тросса выпуска шасси. При уборке не полностью убиралась левая нога шасси. 4 полета Супруна. 3 полета Кубышкина. Не зажигалась левая сигнальная лампочка левого шасси</w:t>
            </w:r>
          </w:p>
        </w:tc>
        <w:tc>
          <w:tcPr>
            <w:tcW w:w="1102" w:type="dxa"/>
          </w:tcPr>
          <w:p w14:paraId="18A52E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(0:40) + 3 (0:30)</w:t>
            </w:r>
          </w:p>
        </w:tc>
      </w:tr>
      <w:tr w:rsidR="00983732" w:rsidRPr="00A3026E" w14:paraId="0D2F3F5A" w14:textId="77777777" w:rsidTr="00EA0DA7">
        <w:tc>
          <w:tcPr>
            <w:tcW w:w="1526" w:type="dxa"/>
          </w:tcPr>
          <w:p w14:paraId="28C49E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августа 1940</w:t>
            </w:r>
          </w:p>
        </w:tc>
        <w:tc>
          <w:tcPr>
            <w:tcW w:w="4710" w:type="dxa"/>
          </w:tcPr>
          <w:p w14:paraId="1A0553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полет на отстрел оружия воздухе. Кубышкин. Пулеметы ШКАС сожжены и закопчены</w:t>
            </w:r>
          </w:p>
        </w:tc>
        <w:tc>
          <w:tcPr>
            <w:tcW w:w="1102" w:type="dxa"/>
          </w:tcPr>
          <w:p w14:paraId="595AD8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(0:20)</w:t>
            </w:r>
          </w:p>
        </w:tc>
      </w:tr>
      <w:tr w:rsidR="00983732" w:rsidRPr="00A3026E" w14:paraId="5B5C05F2" w14:textId="77777777" w:rsidTr="00EA0DA7">
        <w:tc>
          <w:tcPr>
            <w:tcW w:w="1526" w:type="dxa"/>
          </w:tcPr>
          <w:p w14:paraId="689E05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августа 1940</w:t>
            </w:r>
          </w:p>
        </w:tc>
        <w:tc>
          <w:tcPr>
            <w:tcW w:w="4710" w:type="dxa"/>
          </w:tcPr>
          <w:p w14:paraId="113E88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Отстрел оружия в тире. Отказывала отдача.</w:t>
            </w:r>
          </w:p>
        </w:tc>
        <w:tc>
          <w:tcPr>
            <w:tcW w:w="1102" w:type="dxa"/>
          </w:tcPr>
          <w:p w14:paraId="270A90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A813D1D" w14:textId="77777777" w:rsidTr="00EA0DA7">
        <w:tc>
          <w:tcPr>
            <w:tcW w:w="1526" w:type="dxa"/>
          </w:tcPr>
          <w:p w14:paraId="745D06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августа 1940</w:t>
            </w:r>
          </w:p>
        </w:tc>
        <w:tc>
          <w:tcPr>
            <w:tcW w:w="4710" w:type="dxa"/>
          </w:tcPr>
          <w:p w14:paraId="2FC9AB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Доводка бомбардировочного вооружения на земле. Произведено 2 полета на растряску бомб</w:t>
            </w:r>
          </w:p>
        </w:tc>
        <w:tc>
          <w:tcPr>
            <w:tcW w:w="1102" w:type="dxa"/>
          </w:tcPr>
          <w:p w14:paraId="66B3CB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(0:20)</w:t>
            </w:r>
          </w:p>
        </w:tc>
      </w:tr>
      <w:tr w:rsidR="00983732" w:rsidRPr="00A3026E" w14:paraId="01731BAB" w14:textId="77777777" w:rsidTr="00EA0DA7">
        <w:tc>
          <w:tcPr>
            <w:tcW w:w="1526" w:type="dxa"/>
          </w:tcPr>
          <w:p w14:paraId="6B124C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сентября 1940</w:t>
            </w:r>
          </w:p>
        </w:tc>
        <w:tc>
          <w:tcPr>
            <w:tcW w:w="4710" w:type="dxa"/>
          </w:tcPr>
          <w:p w14:paraId="38095D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Воскресенье. Низкая облачность, дождь. Съем мотора</w:t>
            </w:r>
          </w:p>
        </w:tc>
        <w:tc>
          <w:tcPr>
            <w:tcW w:w="1102" w:type="dxa"/>
          </w:tcPr>
          <w:p w14:paraId="5A51714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AE985B0" w14:textId="77777777" w:rsidTr="00EA0DA7">
        <w:tc>
          <w:tcPr>
            <w:tcW w:w="1526" w:type="dxa"/>
          </w:tcPr>
          <w:p w14:paraId="37F91A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w:t>
            </w:r>
          </w:p>
        </w:tc>
        <w:tc>
          <w:tcPr>
            <w:tcW w:w="4710" w:type="dxa"/>
          </w:tcPr>
          <w:p w14:paraId="6A6967F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02" w:type="dxa"/>
          </w:tcPr>
          <w:p w14:paraId="68C78FE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8B31647" w14:textId="77777777" w:rsidTr="00EA0DA7">
        <w:tc>
          <w:tcPr>
            <w:tcW w:w="1526" w:type="dxa"/>
          </w:tcPr>
          <w:p w14:paraId="7BBA7D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w:t>
            </w:r>
          </w:p>
        </w:tc>
        <w:tc>
          <w:tcPr>
            <w:tcW w:w="4710" w:type="dxa"/>
          </w:tcPr>
          <w:p w14:paraId="3C797C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Закончен отстрел в тире</w:t>
            </w:r>
          </w:p>
        </w:tc>
        <w:tc>
          <w:tcPr>
            <w:tcW w:w="1102" w:type="dxa"/>
          </w:tcPr>
          <w:p w14:paraId="1BA3DF1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0A5C9D4" w14:textId="77777777" w:rsidTr="00EA0DA7">
        <w:tc>
          <w:tcPr>
            <w:tcW w:w="1526" w:type="dxa"/>
          </w:tcPr>
          <w:p w14:paraId="096A8B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w:t>
            </w:r>
          </w:p>
        </w:tc>
        <w:tc>
          <w:tcPr>
            <w:tcW w:w="4710" w:type="dxa"/>
          </w:tcPr>
          <w:p w14:paraId="576BAC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6 полетов на стрельбу БС и ШКАС по земле и на растряску бомб</w:t>
            </w:r>
          </w:p>
        </w:tc>
        <w:tc>
          <w:tcPr>
            <w:tcW w:w="1102" w:type="dxa"/>
          </w:tcPr>
          <w:p w14:paraId="58CD22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(1:30)</w:t>
            </w:r>
          </w:p>
        </w:tc>
      </w:tr>
      <w:tr w:rsidR="00983732" w:rsidRPr="00A3026E" w14:paraId="36A4A6DC" w14:textId="77777777" w:rsidTr="00EA0DA7">
        <w:tc>
          <w:tcPr>
            <w:tcW w:w="1526" w:type="dxa"/>
          </w:tcPr>
          <w:p w14:paraId="033CB8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w:t>
            </w:r>
          </w:p>
        </w:tc>
        <w:tc>
          <w:tcPr>
            <w:tcW w:w="4710" w:type="dxa"/>
          </w:tcPr>
          <w:p w14:paraId="4B8E95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утра - дождь. Во второй половине дня - 1 полет на стрельбу по конусу - стрельбы не было, т.к. неисправность мотора буксировщика. Один полет на устойчивость</w:t>
            </w:r>
          </w:p>
        </w:tc>
        <w:tc>
          <w:tcPr>
            <w:tcW w:w="1102" w:type="dxa"/>
          </w:tcPr>
          <w:p w14:paraId="38191E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(0:10) + 1 (0:40)</w:t>
            </w:r>
          </w:p>
        </w:tc>
      </w:tr>
      <w:tr w:rsidR="00983732" w:rsidRPr="00A3026E" w14:paraId="2C11490C" w14:textId="77777777" w:rsidTr="00EA0DA7">
        <w:tc>
          <w:tcPr>
            <w:tcW w:w="1526" w:type="dxa"/>
          </w:tcPr>
          <w:p w14:paraId="65A210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w:t>
            </w:r>
          </w:p>
        </w:tc>
        <w:tc>
          <w:tcPr>
            <w:tcW w:w="4710" w:type="dxa"/>
          </w:tcPr>
          <w:p w14:paraId="155EE7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Два полета на устойчивость (1:20) и еще один полет на устойчивость (0:10). Не горела лампочка сигнализации шасси </w:t>
            </w:r>
          </w:p>
        </w:tc>
        <w:tc>
          <w:tcPr>
            <w:tcW w:w="1102" w:type="dxa"/>
          </w:tcPr>
          <w:p w14:paraId="74F312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(1:30)</w:t>
            </w:r>
          </w:p>
        </w:tc>
      </w:tr>
      <w:tr w:rsidR="00983732" w:rsidRPr="00A3026E" w14:paraId="040C292B" w14:textId="77777777" w:rsidTr="00EA0DA7">
        <w:tc>
          <w:tcPr>
            <w:tcW w:w="1526" w:type="dxa"/>
          </w:tcPr>
          <w:p w14:paraId="2E2C12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w:t>
            </w:r>
          </w:p>
        </w:tc>
        <w:tc>
          <w:tcPr>
            <w:tcW w:w="4710" w:type="dxa"/>
          </w:tcPr>
          <w:p w14:paraId="6BD33F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полет на продольную и боковую устойчивость. Шестой раз сорвало шплин гайки траверсы шасси</w:t>
            </w:r>
          </w:p>
        </w:tc>
        <w:tc>
          <w:tcPr>
            <w:tcW w:w="1102" w:type="dxa"/>
          </w:tcPr>
          <w:p w14:paraId="223C72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(0:45)</w:t>
            </w:r>
          </w:p>
        </w:tc>
      </w:tr>
      <w:tr w:rsidR="00983732" w:rsidRPr="00A3026E" w14:paraId="63EFBE2E" w14:textId="77777777" w:rsidTr="00EA0DA7">
        <w:tc>
          <w:tcPr>
            <w:tcW w:w="1526" w:type="dxa"/>
          </w:tcPr>
          <w:p w14:paraId="619407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сентября 1940</w:t>
            </w:r>
          </w:p>
        </w:tc>
        <w:tc>
          <w:tcPr>
            <w:tcW w:w="4710" w:type="dxa"/>
          </w:tcPr>
          <w:p w14:paraId="06E417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Воскресение Составление отчета</w:t>
            </w:r>
          </w:p>
        </w:tc>
        <w:tc>
          <w:tcPr>
            <w:tcW w:w="1102" w:type="dxa"/>
          </w:tcPr>
          <w:p w14:paraId="7771CDC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B9BB0A9" w14:textId="77777777" w:rsidTr="00EA0DA7">
        <w:tc>
          <w:tcPr>
            <w:tcW w:w="1526" w:type="dxa"/>
          </w:tcPr>
          <w:p w14:paraId="7F5FCC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сентября 1940 </w:t>
            </w:r>
          </w:p>
        </w:tc>
        <w:tc>
          <w:tcPr>
            <w:tcW w:w="4710" w:type="dxa"/>
          </w:tcPr>
          <w:p w14:paraId="194058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километраж (0:35) и перелет в Ногинск (0:10). В ногинске полеты на отстрел РС</w:t>
            </w:r>
          </w:p>
        </w:tc>
        <w:tc>
          <w:tcPr>
            <w:tcW w:w="1102" w:type="dxa"/>
          </w:tcPr>
          <w:p w14:paraId="549678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(0:45)</w:t>
            </w:r>
          </w:p>
        </w:tc>
      </w:tr>
      <w:tr w:rsidR="00983732" w:rsidRPr="00A3026E" w14:paraId="76AF1D83" w14:textId="77777777" w:rsidTr="00EA0DA7">
        <w:tc>
          <w:tcPr>
            <w:tcW w:w="1526" w:type="dxa"/>
          </w:tcPr>
          <w:p w14:paraId="0ED50B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w:t>
            </w:r>
          </w:p>
        </w:tc>
        <w:tc>
          <w:tcPr>
            <w:tcW w:w="4710" w:type="dxa"/>
          </w:tcPr>
          <w:p w14:paraId="1E2337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полета на отстрел РС</w:t>
            </w:r>
          </w:p>
        </w:tc>
        <w:tc>
          <w:tcPr>
            <w:tcW w:w="1102" w:type="dxa"/>
          </w:tcPr>
          <w:p w14:paraId="480B5B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3524BD85" w14:textId="77777777" w:rsidTr="00EA0DA7">
        <w:tc>
          <w:tcPr>
            <w:tcW w:w="1526" w:type="dxa"/>
            <w:tcBorders>
              <w:bottom w:val="single" w:sz="12" w:space="0" w:color="auto"/>
            </w:tcBorders>
          </w:tcPr>
          <w:p w14:paraId="370C16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w:t>
            </w:r>
          </w:p>
        </w:tc>
        <w:tc>
          <w:tcPr>
            <w:tcW w:w="4710" w:type="dxa"/>
            <w:tcBorders>
              <w:bottom w:val="single" w:sz="12" w:space="0" w:color="auto"/>
            </w:tcBorders>
          </w:tcPr>
          <w:p w14:paraId="65D5E1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полета на бомбометание</w:t>
            </w:r>
          </w:p>
        </w:tc>
        <w:tc>
          <w:tcPr>
            <w:tcW w:w="1102" w:type="dxa"/>
            <w:tcBorders>
              <w:bottom w:val="single" w:sz="12" w:space="0" w:color="auto"/>
            </w:tcBorders>
          </w:tcPr>
          <w:p w14:paraId="5947DE3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5D8773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(709,8).</w:t>
      </w:r>
    </w:p>
    <w:p w14:paraId="3065F93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315BF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вышел приказ НКАП № 484:</w:t>
      </w:r>
    </w:p>
    <w:p w14:paraId="046F67A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усиления пулеметно-пушечного вооружения истребительных и бомбардировочных самолетов для ВВС КА и установления единой системы пулеметно-пушечного вооружения на самолетах производства 1941 г. приказываю:</w:t>
      </w:r>
    </w:p>
    <w:p w14:paraId="40E8DC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ПГУ, директорам и ГК самолетных заводов принять следующее вооружение на самолеты для 1941 г.</w:t>
      </w:r>
    </w:p>
    <w:p w14:paraId="406B31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Истребительная авиация</w:t>
      </w:r>
    </w:p>
    <w:p w14:paraId="6B48D9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с-те И-200 конструкции Микояна и Гуревича</w:t>
      </w:r>
    </w:p>
    <w:p w14:paraId="64DDBE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синхронный БС кал. 12,7 с б/запасом 300 патронов</w:t>
      </w:r>
    </w:p>
    <w:p w14:paraId="29DA826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синхронных пулемета ШКАС кал. 7,62 с б/запасом 1200 патронов</w:t>
      </w:r>
    </w:p>
    <w:p w14:paraId="3EC8F7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2 крыльевых пулемета ШКАС кал. 7,62 с б/запасом 1200 патронов</w:t>
      </w:r>
    </w:p>
    <w:p w14:paraId="3ED7DD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РО-82 в количестве 8, устанавливаемых на 10% самолетов</w:t>
      </w:r>
    </w:p>
    <w:p w14:paraId="7A528F2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с-те И-26 конструкции А.С.Я.</w:t>
      </w:r>
    </w:p>
    <w:p w14:paraId="4C4B528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пушки ШВАК кал. 20мм зерез редуктор винта с б/запасом 160 снарядов</w:t>
      </w:r>
    </w:p>
    <w:p w14:paraId="00AA63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4хсинхронных ШКАС кал. 7,62 с б/запасом 2500 патронов</w:t>
      </w:r>
    </w:p>
    <w:p w14:paraId="23C970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ст- И-301 конструкции Горбунова и Лавочкина:</w:t>
      </w:r>
    </w:p>
    <w:p w14:paraId="01DE042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пушку ШВАК кал. 20 мм, установленную через редуктор вала мотора с б/з 160 снарядов,</w:t>
      </w:r>
    </w:p>
    <w:p w14:paraId="3D5199A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синхронных крупнокалибарных пулемета БС калибром 12,7 мм с суммарным б/з 440 патронов,</w:t>
      </w:r>
    </w:p>
    <w:p w14:paraId="7E7F8EB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2 синхронных пулемета ШКАС калибра 7,62 с суммарным боезапасом в 1300 патронов</w:t>
      </w:r>
    </w:p>
    <w:p w14:paraId="7E9203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ББ-22 конструкции А.С.Я.</w:t>
      </w:r>
    </w:p>
    <w:p w14:paraId="42939E4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1хШКАС кал. 7,62, установленного в носу с-тас б/запасом 500 патронов,</w:t>
      </w:r>
    </w:p>
    <w:p w14:paraId="342B85D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турельный пулемет ШКАС какл. 7,62 с б/запасом 1000 патронов</w:t>
      </w:r>
    </w:p>
    <w:p w14:paraId="04B9B1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с-те БШ-2 конструкции С.В.И.</w:t>
      </w:r>
    </w:p>
    <w:p w14:paraId="62D901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2-х крыльевых пушек конструкии Таубина-Бабурина какл. 23 мм с б/запасом 162 снаряда</w:t>
      </w:r>
    </w:p>
    <w:p w14:paraId="3A2CFFE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крыльевых пул. ШКАС кал. 7,62 с б/запасом в 1500 патронов</w:t>
      </w:r>
    </w:p>
    <w:p w14:paraId="6B6209F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 турельный пулемет ШКАС какл. 7,62 с б/запасом 500 патронов (956, 24).</w:t>
      </w:r>
    </w:p>
    <w:p w14:paraId="2B25731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6BE21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г. старший военпред военинженер 2 ранга Францев напразил директору завода №1 им. Авиахима список требований ГУ ВВС КА к договору на второе полугодие. Среди прочих требований ВВС к самолетам И-153 и И-200 в части модернизации и устранения выявленных недостатков заводу надлежало установить на одном истребителе И-200 герметическую кабину и сдать его на государственные испытания в НИИ ВВС. Также предписывалось выпустить с гермокабинами серию из 10 самолетов И-153. Задание на разработку гермокабины для МиГ-3 поручилиглавному конструктору завода №482 А.Я. Щербакову. В 1941 г. было разработано три варианта герметической кабины. Однако большая загрузка завода №1 начавшаяся война и последовавшая затем эвакуация не позволили воплотить в жизнь этот проект (4802).</w:t>
      </w:r>
    </w:p>
    <w:p w14:paraId="5724E3B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4096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12 сентября 1940 года вр. Начальника НИП АВ ВВС полковник Фадеев и вр. Начальник опытного отдела НИП АВ ВВС в/инженер 1 ранга Глущенко писали письмо № 01150 зам. начальника вооружения и снабжения ГУ ВВС дивинженеру Сакриеру</w:t>
      </w:r>
    </w:p>
    <w:p w14:paraId="71CF47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 об испытаниях самолета конструкции Микояна</w:t>
      </w:r>
    </w:p>
    <w:p w14:paraId="3808D1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самолета испытывалось НИИ ВВС на НИП АВ ведущим инженером в/инженером 1 ранга Ссориным.</w:t>
      </w:r>
    </w:p>
    <w:p w14:paraId="455374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Бригада НИИ ВВС для испытаний прибыла 7 сентября 1940 года, самолет прилетел на НИП АВ 9 сентября 1940 года в 10.30. весь день 9 сентября был занят монтажем РО и проверкой электросети.</w:t>
      </w:r>
    </w:p>
    <w:p w14:paraId="2DA695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производилась проверка электросети, а затем стрельба из РО-82 на земле и в воздухе.</w:t>
      </w:r>
    </w:p>
    <w:p w14:paraId="6AD16E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утром самолет улетел в НИИ ВВС. Монтаж РО и стрельба РС-82 производились при консультации специалистов от НИП АВ, кроме того НИП АВ выдал для стрельбы, РС-82 с новыми штифтами, так как доставленные НИИ ВВС РС-82 оказались со старыми штифтами. При испытании все время оказывалась необходимая помощь (7712, 402).</w:t>
      </w:r>
    </w:p>
    <w:p w14:paraId="7F8EA4D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E5640A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года в НИИ ВВС был выдан наряд-приказ № 0191</w:t>
      </w:r>
    </w:p>
    <w:p w14:paraId="6DFAB5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Войсковые испытания самолетов И-153 М-62, оборудованных откидными турбокомпрессорами ТК-1 (6890, 93).</w:t>
      </w:r>
    </w:p>
    <w:p w14:paraId="461225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138613A" w14:textId="77777777" w:rsidR="00C66762" w:rsidRPr="00A3026E" w:rsidRDefault="00C66762" w:rsidP="00A3026E">
      <w:pPr>
        <w:tabs>
          <w:tab w:val="left" w:pos="241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года Шахурин представил проект постановления КО о создании самолета И-29 Яценко вместо модификации И-28. С резолюцией КВ это письмо было направлено обратно для доработки (3420, 86).</w:t>
      </w:r>
    </w:p>
    <w:p w14:paraId="2AF6CC5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9099F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года А. Шахурин писал письмо № Н-20/1985 председателю КО маршалу Ворошилову К.Е.</w:t>
      </w:r>
    </w:p>
    <w:p w14:paraId="613FEF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от 4 марта 1940 года за № 113сс на НКАП, директора завода № 292 Малахова и главного конструктора Яценко возложено задание спроектировать и построить модификацию самолета И-28 под мотор М-90.</w:t>
      </w:r>
    </w:p>
    <w:p w14:paraId="6CCEA7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со снятием с серийного производства самолета И-28, постройка модификации стала целесообразной и мной было дано задание Яценко спроектировать новый самолет с более высокими данными.</w:t>
      </w:r>
    </w:p>
    <w:p w14:paraId="4EEDE5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Представленный Яценко эскизный проект рассмотрен и утвержден НИИ ВВС.</w:t>
      </w:r>
    </w:p>
    <w:p w14:paraId="17918F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этого, прошу утвердить проектирование и постройку нового истребителя И-29, взамен постройки модификации И-28, предусмотренной постановлением КО за № 113сс.</w:t>
      </w:r>
    </w:p>
    <w:p w14:paraId="4634E6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указанной работы, прошу разрешить организацию опытного конструкторского бюро на базе цеха ширпотреба завода № 81.</w:t>
      </w:r>
    </w:p>
    <w:p w14:paraId="768928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постановления прилагаю (4049,45).</w:t>
      </w:r>
    </w:p>
    <w:p w14:paraId="06EDAC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года было подготовлено Постановление КО (проект)</w:t>
      </w:r>
    </w:p>
    <w:p w14:paraId="66FD18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постановляет:</w:t>
      </w:r>
    </w:p>
    <w:p w14:paraId="16977D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4CB971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изменение постановления от 4 марта 1940 года за № 113сс обязать НКАП, главного конструктора Яценко спроектировать и построить одноместный истребитель И-29 с мотором М-90 в трех экземплярах, взамен модификации самолета И-28 и предъявить на госиспытания:</w:t>
      </w:r>
    </w:p>
    <w:p w14:paraId="0132FB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 к 1 августа 1941 года</w:t>
      </w:r>
    </w:p>
    <w:p w14:paraId="1BDBE0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экземпляр – к 1 сентября 1941 года</w:t>
      </w:r>
    </w:p>
    <w:p w14:paraId="5D5067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третий экземпляр – к 15 ноября 1941 года</w:t>
      </w:r>
    </w:p>
    <w:p w14:paraId="70ACB1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 следующими летно-тактическими данными:</w:t>
      </w:r>
    </w:p>
    <w:p w14:paraId="2C33D6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7300 м – 700 км/час</w:t>
      </w:r>
    </w:p>
    <w:p w14:paraId="5BAA66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–130 км/час</w:t>
      </w:r>
    </w:p>
    <w:p w14:paraId="332998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8000 м – 9,5 минут</w:t>
      </w:r>
    </w:p>
    <w:p w14:paraId="5DD50B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 – 11500 м</w:t>
      </w:r>
    </w:p>
    <w:p w14:paraId="5137AD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0,9 максимальной скорости – 750 км</w:t>
      </w:r>
    </w:p>
    <w:p w14:paraId="5FF60A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2 пулемета Березина 12,7 мм и 2 пулемета Шкас 7,62 мм через винт; подвесные бензобаки или бомбы в перегрузку 100 кг</w:t>
      </w:r>
    </w:p>
    <w:p w14:paraId="7D01E2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p w14:paraId="4C5875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выполнения указанного задания, обязать НКАП организовать опытно-конструкторское бюро на базе цеха ширпотреба завода № 81, определив его как опытную базу главного конструктора Яценко.</w:t>
      </w:r>
    </w:p>
    <w:p w14:paraId="788F14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p w14:paraId="240582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НКФ выделить НКАП (ОКБ Яценко) из резервного фонда СНК на постройку и испытания трех экземпляров самолета 7000000 рублей, из них: 2000000 рублей на 1940 год.</w:t>
      </w:r>
    </w:p>
    <w:p w14:paraId="025AEA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p w14:paraId="74EA44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целью поощрения конструкторов, инженерно-технических работников, рабочих и служащих КБ, за выполнение задания в утвержденные сроки выделить под отчет и в распоряжение НКАП Шахурина</w:t>
      </w:r>
    </w:p>
    <w:p w14:paraId="5A4324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первый экземпляр – 1000000 рублей</w:t>
      </w:r>
    </w:p>
    <w:p w14:paraId="5CE067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второй экземпляр – 400000 рублей (4049,46-47).</w:t>
      </w:r>
    </w:p>
    <w:p w14:paraId="28021D4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42A8B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Яценко направил К.Е.В. проект постановления КО по И-29 (4049,51).</w:t>
      </w:r>
    </w:p>
    <w:p w14:paraId="1F38A11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A89261B" w14:textId="77777777" w:rsidR="00C66762" w:rsidRPr="00A3026E" w:rsidRDefault="00C66762" w:rsidP="00A3026E">
      <w:pPr>
        <w:pStyle w:val="22"/>
        <w:widowControl/>
        <w:rPr>
          <w:color w:val="000000" w:themeColor="text1"/>
        </w:rPr>
      </w:pPr>
      <w:r w:rsidRPr="00A3026E">
        <w:rPr>
          <w:color w:val="000000" w:themeColor="text1"/>
        </w:rPr>
        <w:t>12 сентября 1940 года начальник НИП АВ ГУАС полковник Шевченко утвердил:</w:t>
      </w:r>
    </w:p>
    <w:p w14:paraId="5A87B478" w14:textId="77777777" w:rsidR="00C66762" w:rsidRPr="00A3026E" w:rsidRDefault="00C66762" w:rsidP="00A3026E">
      <w:pPr>
        <w:pStyle w:val="22"/>
        <w:widowControl/>
        <w:rPr>
          <w:color w:val="000000" w:themeColor="text1"/>
        </w:rPr>
      </w:pPr>
      <w:r w:rsidRPr="00A3026E">
        <w:rPr>
          <w:color w:val="000000" w:themeColor="text1"/>
        </w:rPr>
        <w:t>Отчет по заводским испытаниям ампул из двух полусфер трех вариантов и модернизированных ампул серийного образца конструкции завода № 67</w:t>
      </w:r>
    </w:p>
    <w:p w14:paraId="2323578E" w14:textId="77777777" w:rsidR="00C66762" w:rsidRPr="00A3026E" w:rsidRDefault="00C66762" w:rsidP="00A3026E">
      <w:pPr>
        <w:pStyle w:val="22"/>
        <w:widowControl/>
        <w:rPr>
          <w:color w:val="000000" w:themeColor="text1"/>
        </w:rPr>
      </w:pPr>
      <w:r w:rsidRPr="00A3026E">
        <w:rPr>
          <w:color w:val="000000" w:themeColor="text1"/>
        </w:rPr>
        <w:t>Испытания начаты 24 июля 1940 года</w:t>
      </w:r>
    </w:p>
    <w:p w14:paraId="1DE2B502" w14:textId="77777777" w:rsidR="00C66762" w:rsidRPr="00A3026E" w:rsidRDefault="00C66762" w:rsidP="00A3026E">
      <w:pPr>
        <w:pStyle w:val="22"/>
        <w:widowControl/>
        <w:rPr>
          <w:color w:val="000000" w:themeColor="text1"/>
        </w:rPr>
      </w:pPr>
      <w:r w:rsidRPr="00A3026E">
        <w:rPr>
          <w:color w:val="000000" w:themeColor="text1"/>
        </w:rPr>
        <w:t>Испытания окончены 30 августа 1940 года</w:t>
      </w:r>
    </w:p>
    <w:p w14:paraId="1D46E013" w14:textId="77777777" w:rsidR="00C66762" w:rsidRPr="00A3026E" w:rsidRDefault="00C66762" w:rsidP="00A3026E">
      <w:pPr>
        <w:pStyle w:val="22"/>
        <w:widowControl/>
        <w:rPr>
          <w:color w:val="000000" w:themeColor="text1"/>
        </w:rPr>
      </w:pPr>
      <w:r w:rsidRPr="00A3026E">
        <w:rPr>
          <w:color w:val="000000" w:themeColor="text1"/>
        </w:rPr>
        <w:t>Отв. исполнитель:</w:t>
      </w:r>
    </w:p>
    <w:p w14:paraId="430F0448" w14:textId="77777777" w:rsidR="00C66762" w:rsidRPr="00A3026E" w:rsidRDefault="00C66762" w:rsidP="00A3026E">
      <w:pPr>
        <w:pStyle w:val="22"/>
        <w:widowControl/>
        <w:rPr>
          <w:color w:val="000000" w:themeColor="text1"/>
        </w:rPr>
      </w:pPr>
      <w:r w:rsidRPr="00A3026E">
        <w:rPr>
          <w:color w:val="000000" w:themeColor="text1"/>
        </w:rPr>
        <w:t>В/инженер 3 ранга Лукашев</w:t>
      </w:r>
    </w:p>
    <w:p w14:paraId="32240DA8" w14:textId="77777777" w:rsidR="00C66762" w:rsidRPr="00A3026E" w:rsidRDefault="00C66762" w:rsidP="00A3026E">
      <w:pPr>
        <w:pStyle w:val="22"/>
        <w:widowControl/>
        <w:rPr>
          <w:color w:val="000000" w:themeColor="text1"/>
        </w:rPr>
      </w:pPr>
      <w:r w:rsidRPr="00A3026E">
        <w:rPr>
          <w:color w:val="000000" w:themeColor="text1"/>
        </w:rPr>
        <w:t>Цель испытания</w:t>
      </w:r>
    </w:p>
    <w:p w14:paraId="2C2CB528" w14:textId="77777777" w:rsidR="00C66762" w:rsidRPr="00A3026E" w:rsidRDefault="00C66762" w:rsidP="00A3026E">
      <w:pPr>
        <w:pStyle w:val="22"/>
        <w:widowControl/>
        <w:rPr>
          <w:color w:val="000000" w:themeColor="text1"/>
        </w:rPr>
      </w:pPr>
      <w:r w:rsidRPr="00A3026E">
        <w:rPr>
          <w:color w:val="000000" w:themeColor="text1"/>
        </w:rPr>
        <w:t>Целью заводских испытаний являлось определение следующих элементов:</w:t>
      </w:r>
    </w:p>
    <w:p w14:paraId="4A2E922D" w14:textId="77777777" w:rsidR="00C66762" w:rsidRPr="00A3026E" w:rsidRDefault="00C66762" w:rsidP="00A3026E">
      <w:pPr>
        <w:pStyle w:val="22"/>
        <w:widowControl/>
        <w:tabs>
          <w:tab w:val="left" w:pos="360"/>
        </w:tabs>
        <w:rPr>
          <w:color w:val="000000" w:themeColor="text1"/>
        </w:rPr>
      </w:pPr>
      <w:r w:rsidRPr="00A3026E">
        <w:rPr>
          <w:color w:val="000000" w:themeColor="text1"/>
        </w:rPr>
        <w:t>Прочности и надежности конструкции ампул.</w:t>
      </w:r>
    </w:p>
    <w:p w14:paraId="77AAAF99" w14:textId="77777777" w:rsidR="00C66762" w:rsidRPr="00A3026E" w:rsidRDefault="00C66762" w:rsidP="00A3026E">
      <w:pPr>
        <w:pStyle w:val="22"/>
        <w:widowControl/>
        <w:tabs>
          <w:tab w:val="left" w:pos="360"/>
        </w:tabs>
        <w:rPr>
          <w:color w:val="000000" w:themeColor="text1"/>
        </w:rPr>
      </w:pPr>
      <w:r w:rsidRPr="00A3026E">
        <w:rPr>
          <w:color w:val="000000" w:themeColor="text1"/>
        </w:rPr>
        <w:t>Характера разрушения оболочки ампулы при встрече с преградой.</w:t>
      </w:r>
    </w:p>
    <w:p w14:paraId="6A1F65F5" w14:textId="77777777" w:rsidR="00C66762" w:rsidRPr="00A3026E" w:rsidRDefault="00C66762" w:rsidP="00A3026E">
      <w:pPr>
        <w:pStyle w:val="22"/>
        <w:widowControl/>
        <w:tabs>
          <w:tab w:val="left" w:pos="360"/>
        </w:tabs>
        <w:rPr>
          <w:color w:val="000000" w:themeColor="text1"/>
        </w:rPr>
      </w:pPr>
      <w:r w:rsidRPr="00A3026E">
        <w:rPr>
          <w:color w:val="000000" w:themeColor="text1"/>
        </w:rPr>
        <w:t>Характера разбрызгивания жидкости на площади (у ампул с полным и частичным разрушением оболочки).</w:t>
      </w:r>
    </w:p>
    <w:p w14:paraId="51975F10" w14:textId="77777777" w:rsidR="00C66762" w:rsidRPr="00A3026E" w:rsidRDefault="00C66762" w:rsidP="00A3026E">
      <w:pPr>
        <w:pStyle w:val="22"/>
        <w:widowControl/>
        <w:tabs>
          <w:tab w:val="left" w:pos="360"/>
        </w:tabs>
        <w:rPr>
          <w:color w:val="000000" w:themeColor="text1"/>
        </w:rPr>
      </w:pPr>
      <w:r w:rsidRPr="00A3026E">
        <w:rPr>
          <w:color w:val="000000" w:themeColor="text1"/>
        </w:rPr>
        <w:t>Возможности замены белой жести, идущей на изготовление оболочки ампул, на черную жесть.</w:t>
      </w:r>
    </w:p>
    <w:p w14:paraId="3726DAB4" w14:textId="77777777" w:rsidR="00C66762" w:rsidRPr="00A3026E" w:rsidRDefault="00C66762" w:rsidP="00A3026E">
      <w:pPr>
        <w:pStyle w:val="22"/>
        <w:widowControl/>
        <w:rPr>
          <w:color w:val="000000" w:themeColor="text1"/>
        </w:rPr>
      </w:pPr>
      <w:r w:rsidRPr="00A3026E">
        <w:rPr>
          <w:color w:val="000000" w:themeColor="text1"/>
        </w:rPr>
        <w:t>Заключение</w:t>
      </w:r>
    </w:p>
    <w:p w14:paraId="68A108D3" w14:textId="77777777" w:rsidR="00C66762" w:rsidRPr="00A3026E" w:rsidRDefault="00C66762" w:rsidP="00A3026E">
      <w:pPr>
        <w:pStyle w:val="22"/>
        <w:widowControl/>
        <w:tabs>
          <w:tab w:val="left" w:pos="360"/>
        </w:tabs>
        <w:rPr>
          <w:color w:val="000000" w:themeColor="text1"/>
        </w:rPr>
      </w:pPr>
      <w:r w:rsidRPr="00A3026E">
        <w:rPr>
          <w:color w:val="000000" w:themeColor="text1"/>
        </w:rPr>
        <w:t>Предъявленные на заводские испытания ампулы конструкции завода № 67 заводские испытания выдержали в следующих вариантах:</w:t>
      </w:r>
    </w:p>
    <w:p w14:paraId="04DC73E7" w14:textId="77777777" w:rsidR="00C66762" w:rsidRPr="00A3026E" w:rsidRDefault="00C66762" w:rsidP="00A3026E">
      <w:pPr>
        <w:pStyle w:val="22"/>
        <w:widowControl/>
        <w:rPr>
          <w:color w:val="000000" w:themeColor="text1"/>
        </w:rPr>
      </w:pPr>
      <w:r w:rsidRPr="00A3026E">
        <w:rPr>
          <w:color w:val="000000" w:themeColor="text1"/>
        </w:rPr>
        <w:t>а) ампулы из двух полусфер с пайкой "половником" и малооловянистым сплавом;</w:t>
      </w:r>
    </w:p>
    <w:p w14:paraId="185711F4" w14:textId="77777777" w:rsidR="00C66762" w:rsidRPr="00A3026E" w:rsidRDefault="00C66762" w:rsidP="00A3026E">
      <w:pPr>
        <w:pStyle w:val="22"/>
        <w:widowControl/>
        <w:rPr>
          <w:color w:val="000000" w:themeColor="text1"/>
        </w:rPr>
      </w:pPr>
      <w:r w:rsidRPr="00A3026E">
        <w:rPr>
          <w:color w:val="000000" w:themeColor="text1"/>
        </w:rPr>
        <w:t>б) ампулы с секторами с пайкой "половником" и "третником".</w:t>
      </w:r>
    </w:p>
    <w:p w14:paraId="5F58777C" w14:textId="77777777" w:rsidR="00C66762" w:rsidRPr="00A3026E" w:rsidRDefault="00C66762" w:rsidP="00A3026E">
      <w:pPr>
        <w:pStyle w:val="22"/>
        <w:widowControl/>
        <w:tabs>
          <w:tab w:val="left" w:pos="360"/>
        </w:tabs>
        <w:rPr>
          <w:color w:val="000000" w:themeColor="text1"/>
        </w:rPr>
      </w:pPr>
      <w:r w:rsidRPr="00A3026E">
        <w:rPr>
          <w:color w:val="000000" w:themeColor="text1"/>
        </w:rPr>
        <w:t>Ампулы из двух полусфер с пайкой "третником" и ампулы с заливочным отверстием по шву пайки заводские испытания не выдержали (7650).</w:t>
      </w:r>
    </w:p>
    <w:p w14:paraId="5FECB293" w14:textId="77777777" w:rsidR="00C66762" w:rsidRPr="00A3026E" w:rsidRDefault="00C66762" w:rsidP="00A3026E">
      <w:pPr>
        <w:pStyle w:val="22"/>
        <w:widowControl/>
        <w:tabs>
          <w:tab w:val="left" w:pos="360"/>
        </w:tabs>
        <w:rPr>
          <w:color w:val="000000" w:themeColor="text1"/>
        </w:rPr>
      </w:pPr>
    </w:p>
    <w:p w14:paraId="168BAC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в КО была подготовлена С П Р А В К 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58"/>
        <w:gridCol w:w="8550"/>
      </w:tblGrid>
      <w:tr w:rsidR="00983732" w:rsidRPr="00A3026E" w14:paraId="1FA6ECD4" w14:textId="77777777" w:rsidTr="00EA0DA7">
        <w:tc>
          <w:tcPr>
            <w:tcW w:w="2358" w:type="dxa"/>
            <w:tcBorders>
              <w:top w:val="single" w:sz="12" w:space="0" w:color="auto"/>
            </w:tcBorders>
          </w:tcPr>
          <w:p w14:paraId="075782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Гроховский (изобретатель)</w:t>
            </w:r>
          </w:p>
        </w:tc>
        <w:tc>
          <w:tcPr>
            <w:tcW w:w="8550" w:type="dxa"/>
            <w:tcBorders>
              <w:top w:val="single" w:sz="12" w:space="0" w:color="auto"/>
            </w:tcBorders>
          </w:tcPr>
          <w:p w14:paraId="43333C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Жаловался на то,что все, разработанное им по заданию тов. Молотова в области беспарашютного сбрасывания десантов, несмоттзя на положительные результаты, заброшено и не реализует</w:t>
            </w:r>
            <w:r w:rsidRPr="00A3026E">
              <w:rPr>
                <w:rFonts w:ascii="Times New Roman" w:hAnsi="Times New Roman"/>
                <w:color w:val="000000" w:themeColor="text1"/>
                <w:sz w:val="16"/>
                <w:szCs w:val="16"/>
              </w:rPr>
              <w:softHyphen/>
              <w:t>ся.</w:t>
            </w:r>
          </w:p>
        </w:tc>
      </w:tr>
      <w:tr w:rsidR="00983732" w:rsidRPr="00A3026E" w14:paraId="1061851C" w14:textId="77777777" w:rsidTr="00EA0DA7">
        <w:tc>
          <w:tcPr>
            <w:tcW w:w="2358" w:type="dxa"/>
          </w:tcPr>
          <w:p w14:paraId="61D841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Резолюция В.М.</w:t>
            </w:r>
          </w:p>
        </w:tc>
        <w:tc>
          <w:tcPr>
            <w:tcW w:w="8550" w:type="dxa"/>
          </w:tcPr>
          <w:p w14:paraId="404E21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"т.т. Вознесенскому, Ворошилову”.</w:t>
            </w:r>
          </w:p>
        </w:tc>
      </w:tr>
      <w:tr w:rsidR="00983732" w:rsidRPr="00A3026E" w14:paraId="4103C6A8" w14:textId="77777777" w:rsidTr="00EA0DA7">
        <w:tc>
          <w:tcPr>
            <w:tcW w:w="2358" w:type="dxa"/>
            <w:tcBorders>
              <w:bottom w:val="single" w:sz="12" w:space="0" w:color="auto"/>
            </w:tcBorders>
          </w:tcPr>
          <w:p w14:paraId="083C44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Ворошилов</w:t>
            </w:r>
          </w:p>
        </w:tc>
        <w:tc>
          <w:tcPr>
            <w:tcW w:w="8550" w:type="dxa"/>
            <w:tcBorders>
              <w:bottom w:val="single" w:sz="12" w:space="0" w:color="auto"/>
            </w:tcBorders>
          </w:tcPr>
          <w:p w14:paraId="0B25B7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Представил для ознакомления заключение Комиссии Главного Контроля КО, которая, рассмотрев предложения Гроховского, установила.,что от разработ</w:t>
            </w:r>
            <w:r w:rsidRPr="00A3026E">
              <w:rPr>
                <w:rFonts w:ascii="Times New Roman" w:hAnsi="Times New Roman"/>
                <w:color w:val="000000" w:themeColor="text1"/>
                <w:sz w:val="16"/>
                <w:szCs w:val="16"/>
              </w:rPr>
              <w:softHyphen/>
              <w:t>ки этих предложений, как не отвечаю</w:t>
            </w:r>
            <w:r w:rsidRPr="00A3026E">
              <w:rPr>
                <w:rFonts w:ascii="Times New Roman" w:hAnsi="Times New Roman"/>
                <w:color w:val="000000" w:themeColor="text1"/>
                <w:sz w:val="16"/>
                <w:szCs w:val="16"/>
              </w:rPr>
              <w:softHyphen/>
              <w:t>щих современным тактико-техническим требованиям и неясных по их техническому оформлешию - нужноотказаться. Комиссия также отказала Гроховскому и в его просьбе оплатить авторские свидетельства в сумме 293500 руб. и представленный труд - 20.000 руб.</w:t>
            </w:r>
          </w:p>
        </w:tc>
      </w:tr>
    </w:tbl>
    <w:p w14:paraId="48E8E2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(10516,54).</w:t>
      </w:r>
    </w:p>
    <w:p w14:paraId="2957DF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B2997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12 сентября 1940 г. было письмо директору завода № 42 от исполняющего обязанности директора НИИ-3 НКБ военинженера 1 ранга Костикова: «НИИ-3 сообщает, что трубок АГДТ- Б с временем горения 45 с необходимо изготовить 300 штук. Можно ли выслать нашего представителя для получения 40 штук?». По итогам испытаний АГДТ с временем горения 45 с продемонстрировали удовлетворительную работу, а относи</w:t>
      </w:r>
      <w:r w:rsidRPr="00A3026E">
        <w:rPr>
          <w:rFonts w:ascii="Times New Roman" w:hAnsi="Times New Roman"/>
          <w:color w:val="000000" w:themeColor="text1"/>
          <w:sz w:val="16"/>
          <w:szCs w:val="16"/>
        </w:rPr>
        <w:softHyphen/>
        <w:t>тельно 60-секундных разработчиками еще раз было заявлено, что в при</w:t>
      </w:r>
      <w:r w:rsidRPr="00A3026E">
        <w:rPr>
          <w:rFonts w:ascii="Times New Roman" w:hAnsi="Times New Roman"/>
          <w:color w:val="000000" w:themeColor="text1"/>
          <w:sz w:val="16"/>
          <w:szCs w:val="16"/>
        </w:rPr>
        <w:softHyphen/>
        <w:t>роде не существует столь медленно горящих порохов, чтобы без изменения конструкции взрывателя они удовлетворили требованиям заказчика. Однако военных это нисколько не смутило- им нужна была простая в обращении и недорогая дистанционная трубка со столь продолжительным временем замедления. Электрических замедлителей они не хотели - те требовали доработки самолета зарядными устройствами, и 18 мая 1940 г. ВВС выдали ТТТ на разработку АГДТ с временем горения 60 с на завод №42 имени Масленникова (11402).</w:t>
      </w:r>
    </w:p>
    <w:p w14:paraId="75965B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440E092" w14:textId="77777777" w:rsidR="005D6F1A" w:rsidRPr="00A3026E" w:rsidRDefault="005D6F1A" w:rsidP="00A3026E">
      <w:pPr>
        <w:shd w:val="clear" w:color="auto" w:fill="FFFFFF"/>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7F3F4D0" w14:textId="77777777" w:rsidR="005D6F1A" w:rsidRPr="00A3026E" w:rsidRDefault="005D6F1A" w:rsidP="00A3026E">
      <w:pPr>
        <w:shd w:val="clear" w:color="auto" w:fill="FFFFFF"/>
        <w:spacing w:after="0" w:line="240" w:lineRule="auto"/>
        <w:jc w:val="both"/>
        <w:rPr>
          <w:rFonts w:ascii="Times New Roman" w:hAnsi="Times New Roman"/>
          <w:i/>
          <w:iCs/>
          <w:color w:val="000000" w:themeColor="text1"/>
          <w:sz w:val="16"/>
          <w:szCs w:val="16"/>
        </w:rPr>
      </w:pPr>
    </w:p>
    <w:p w14:paraId="1503BD1C"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12 по 19 сентября 1940 г. состоялся второй этап полигонных испытаний танка Т-34 № 311-25-3, включавший пулевой и снарядный обстрел башни танка, (19575).</w:t>
      </w:r>
    </w:p>
    <w:p w14:paraId="4B7AA414" w14:textId="77777777" w:rsidR="00CD3361" w:rsidRPr="00A3026E" w:rsidRDefault="00CD3361" w:rsidP="00A3026E">
      <w:pPr>
        <w:spacing w:after="0" w:line="240" w:lineRule="auto"/>
        <w:jc w:val="both"/>
        <w:rPr>
          <w:rFonts w:ascii="Times New Roman" w:hAnsi="Times New Roman"/>
          <w:color w:val="000000" w:themeColor="text1"/>
          <w:sz w:val="16"/>
          <w:szCs w:val="16"/>
        </w:rPr>
      </w:pPr>
    </w:p>
    <w:p w14:paraId="3AF562FD" w14:textId="77777777" w:rsidR="005D6F1A" w:rsidRPr="00A3026E" w:rsidRDefault="005D6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был подписан Акт по результатам испытания первой химприцепки ХП-2 установочной партии, выпущенной на заводе ДРО. Испытатели с удовлет</w:t>
      </w:r>
      <w:r w:rsidRPr="00A3026E">
        <w:rPr>
          <w:rFonts w:ascii="Times New Roman" w:hAnsi="Times New Roman"/>
          <w:color w:val="000000" w:themeColor="text1"/>
          <w:sz w:val="16"/>
          <w:szCs w:val="16"/>
        </w:rPr>
        <w:softHyphen/>
        <w:t>ворением констатировали, что завод ДРО учел в образце ХП-2 практически все замечания, отмеченные-в выводах акта войсковой комиссии, кроме пункта об установке</w:t>
      </w:r>
      <w:r w:rsidRPr="00A3026E">
        <w:rPr>
          <w:rStyle w:val="aff6"/>
          <w:rFonts w:ascii="Times New Roman" w:hAnsi="Times New Roman" w:cs="Times New Roman"/>
          <w:i w:val="0"/>
          <w:color w:val="000000" w:themeColor="text1"/>
        </w:rPr>
        <w:t xml:space="preserve"> «грязеуловителей».</w:t>
      </w:r>
    </w:p>
    <w:p w14:paraId="72E367F0" w14:textId="77777777" w:rsidR="005D6F1A" w:rsidRPr="00A3026E" w:rsidRDefault="005D6F1A" w:rsidP="00A3026E">
      <w:pPr>
        <w:spacing w:after="0" w:line="240" w:lineRule="auto"/>
        <w:jc w:val="both"/>
        <w:rPr>
          <w:rStyle w:val="aff6"/>
          <w:rFonts w:ascii="Times New Roman" w:hAnsi="Times New Roman" w:cs="Times New Roman"/>
          <w:i w:val="0"/>
          <w:color w:val="000000" w:themeColor="text1"/>
        </w:rPr>
      </w:pPr>
      <w:r w:rsidRPr="00A3026E">
        <w:rPr>
          <w:rFonts w:ascii="Times New Roman" w:hAnsi="Times New Roman"/>
          <w:color w:val="000000" w:themeColor="text1"/>
          <w:sz w:val="16"/>
          <w:szCs w:val="16"/>
        </w:rPr>
        <w:t>Ходовые испытания проводились на ди</w:t>
      </w:r>
      <w:r w:rsidRPr="00A3026E">
        <w:rPr>
          <w:rFonts w:ascii="Times New Roman" w:hAnsi="Times New Roman"/>
          <w:color w:val="000000" w:themeColor="text1"/>
          <w:sz w:val="16"/>
          <w:szCs w:val="16"/>
        </w:rPr>
        <w:softHyphen/>
        <w:t>станции 10 км по шоссе и на пересеченной местности. Во время пробега у ведущего ко</w:t>
      </w:r>
      <w:r w:rsidRPr="00A3026E">
        <w:rPr>
          <w:rFonts w:ascii="Times New Roman" w:hAnsi="Times New Roman"/>
          <w:color w:val="000000" w:themeColor="text1"/>
          <w:sz w:val="16"/>
          <w:szCs w:val="16"/>
        </w:rPr>
        <w:softHyphen/>
        <w:t>леса танка БТ-7 лопнул подшипник, поэтому испытания пришлось прекратить. Представ</w:t>
      </w:r>
      <w:r w:rsidRPr="00A3026E">
        <w:rPr>
          <w:rFonts w:ascii="Times New Roman" w:hAnsi="Times New Roman"/>
          <w:color w:val="000000" w:themeColor="text1"/>
          <w:sz w:val="16"/>
          <w:szCs w:val="16"/>
        </w:rPr>
        <w:softHyphen/>
        <w:t>ленные</w:t>
      </w:r>
      <w:r w:rsidRPr="00A3026E">
        <w:rPr>
          <w:rStyle w:val="aff6"/>
          <w:rFonts w:ascii="Times New Roman" w:hAnsi="Times New Roman" w:cs="Times New Roman"/>
          <w:i w:val="0"/>
          <w:color w:val="000000" w:themeColor="text1"/>
        </w:rPr>
        <w:t xml:space="preserve"> «крылья для защиты прицепки от за</w:t>
      </w:r>
      <w:r w:rsidRPr="00A3026E">
        <w:rPr>
          <w:rStyle w:val="aff6"/>
          <w:rFonts w:ascii="Times New Roman" w:hAnsi="Times New Roman" w:cs="Times New Roman"/>
          <w:i w:val="0"/>
          <w:color w:val="000000" w:themeColor="text1"/>
        </w:rPr>
        <w:softHyphen/>
        <w:t>брасывания грязью»</w:t>
      </w:r>
      <w:r w:rsidRPr="00A3026E">
        <w:rPr>
          <w:rFonts w:ascii="Times New Roman" w:hAnsi="Times New Roman"/>
          <w:color w:val="000000" w:themeColor="text1"/>
          <w:sz w:val="16"/>
          <w:szCs w:val="16"/>
        </w:rPr>
        <w:t xml:space="preserve"> испытаний не выдержали, причем один грязевик потеряли уже в начале пробега. Однако комиссия посчитала, что</w:t>
      </w:r>
      <w:r w:rsidRPr="00A3026E">
        <w:rPr>
          <w:rStyle w:val="aff6"/>
          <w:rFonts w:ascii="Times New Roman" w:hAnsi="Times New Roman" w:cs="Times New Roman"/>
          <w:i w:val="0"/>
          <w:color w:val="000000" w:themeColor="text1"/>
        </w:rPr>
        <w:t xml:space="preserve"> «по условиям эксплоатации защита химприцепки от попадания на нее грязи невозможна, так как забрызгивание прицепки происходит также и гусеницами танка» (17480).</w:t>
      </w:r>
    </w:p>
    <w:p w14:paraId="19174ED6" w14:textId="77777777" w:rsidR="005D6F1A" w:rsidRPr="00A3026E" w:rsidRDefault="005D6F1A" w:rsidP="00A3026E">
      <w:pPr>
        <w:spacing w:after="0" w:line="240" w:lineRule="auto"/>
        <w:jc w:val="both"/>
        <w:rPr>
          <w:rFonts w:ascii="Times New Roman" w:hAnsi="Times New Roman"/>
          <w:color w:val="000000" w:themeColor="text1"/>
          <w:sz w:val="16"/>
          <w:szCs w:val="16"/>
        </w:rPr>
      </w:pPr>
    </w:p>
    <w:p w14:paraId="2E3829E8" w14:textId="77777777" w:rsidR="00C66762" w:rsidRPr="00A3026E" w:rsidRDefault="00DA4AA0" w:rsidP="00A3026E">
      <w:pPr>
        <w:shd w:val="clear" w:color="auto" w:fill="FFFFFF"/>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3BAC6BAB" w14:textId="77777777" w:rsidR="00C66762" w:rsidRPr="00A3026E" w:rsidRDefault="00C66762" w:rsidP="00A3026E">
      <w:pPr>
        <w:shd w:val="clear" w:color="auto" w:fill="FFFFFF"/>
        <w:spacing w:after="0" w:line="240" w:lineRule="auto"/>
        <w:jc w:val="both"/>
        <w:rPr>
          <w:rFonts w:ascii="Times New Roman" w:hAnsi="Times New Roman"/>
          <w:iCs/>
          <w:color w:val="000000" w:themeColor="text1"/>
          <w:sz w:val="16"/>
          <w:szCs w:val="16"/>
        </w:rPr>
      </w:pPr>
    </w:p>
    <w:p w14:paraId="60AB566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rStyle w:val="12"/>
          <w:b w:val="0"/>
          <w:bCs w:val="0"/>
          <w:i w:val="0"/>
          <w:iCs w:val="0"/>
          <w:color w:val="000000" w:themeColor="text1"/>
          <w:spacing w:val="0"/>
          <w:kern w:val="0"/>
          <w:position w:val="0"/>
          <w:sz w:val="16"/>
          <w:szCs w:val="16"/>
          <w:lang w:val="ru-RU"/>
        </w:rPr>
        <w:t xml:space="preserve">12 сентября 1940 г. </w:t>
      </w:r>
      <w:r w:rsidRPr="00A3026E">
        <w:rPr>
          <w:i w:val="0"/>
          <w:iCs w:val="0"/>
          <w:color w:val="000000" w:themeColor="text1"/>
          <w:spacing w:val="0"/>
          <w:kern w:val="0"/>
          <w:position w:val="0"/>
          <w:sz w:val="16"/>
          <w:szCs w:val="16"/>
          <w:lang w:val="ru-RU"/>
        </w:rPr>
        <w:t>Заместитель Народного комиссара военно-морского флота Союза ССР адмирал И. С. Исаков обратился в ЦК ВКП(б), лично к И. В. Сталину, за разрешением на передислокацию 9-й и 17-й железнодорожных батарей на полуостров Ханко (11454).</w:t>
      </w:r>
    </w:p>
    <w:p w14:paraId="281EEB70" w14:textId="77777777" w:rsidR="00C66762" w:rsidRPr="00A3026E" w:rsidRDefault="00C66762" w:rsidP="00A3026E">
      <w:pPr>
        <w:pStyle w:val="af2"/>
        <w:jc w:val="both"/>
        <w:rPr>
          <w:rStyle w:val="12"/>
          <w:b w:val="0"/>
          <w:bCs w:val="0"/>
          <w:i w:val="0"/>
          <w:iCs w:val="0"/>
          <w:color w:val="000000" w:themeColor="text1"/>
          <w:spacing w:val="0"/>
          <w:kern w:val="0"/>
          <w:position w:val="0"/>
          <w:sz w:val="16"/>
          <w:szCs w:val="16"/>
          <w:lang w:val="ru-RU"/>
        </w:rPr>
      </w:pPr>
    </w:p>
    <w:p w14:paraId="453AF3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12 и 18 сентября 1940. Протокол заседания Политбюро № 20, 1940 г.</w:t>
      </w:r>
    </w:p>
    <w:p w14:paraId="01A581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 втором томе Большого Советского Атласа Мира </w:t>
      </w:r>
    </w:p>
    <w:p w14:paraId="45664E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ЦК ВКП(б) констатирует, что редакция II тома Большого Советского Атласа Мира допустила политическую ошибку, опубликовав во II томе атласа ряд секретных и оборонных материалов: объем продукции по некоторым городам, отдельные оборонные новостройки, запрещенные к открытому опубликованию железнодорожные пути, шоссейные и грунтовые дороги, нефтепроводы... </w:t>
      </w:r>
    </w:p>
    <w:p w14:paraId="00F115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Предложить Управлению пропаганды и агитации и Управлению кадров ЦК ВКП(б) в пятидневный срок представить на утверждение ЦК кандидатуру ответственного редактора II тома Большого Советского Атласа Мира. Разрешить Главному управлению по делам геодезии и картографии разослать подписчикам ту часть тиража, которая задержана службами распространения, только после замены карт исправленными (11652).</w:t>
      </w:r>
    </w:p>
    <w:p w14:paraId="3BE31E7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1538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12 и 18 сентября 1940. Протокол заседания Политбюро № 20, 1940 г.</w:t>
      </w:r>
    </w:p>
    <w:p w14:paraId="302216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введении на вооружение кортиков и палашей для военнослужащих Военно-Морского флота</w:t>
      </w:r>
    </w:p>
    <w:p w14:paraId="26CF67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Ввести на вооружение для повседневного ношения: </w:t>
      </w:r>
    </w:p>
    <w:p w14:paraId="7DD078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Кортик — для командного состава Военно-Морского флота; </w:t>
      </w:r>
    </w:p>
    <w:p w14:paraId="41A22F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Палаш — для курсантов военно-морских училищ Военно-Морского флота (11652).</w:t>
      </w:r>
    </w:p>
    <w:p w14:paraId="0611A62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E20846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708459E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078ED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12 и 18 сентября 1940. Протокол заседания Политбюро № 20, 1940 г.</w:t>
      </w:r>
    </w:p>
    <w:p w14:paraId="5A3541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выпуске продукции из отходов производства, утиля и некондиционного сырья</w:t>
      </w:r>
    </w:p>
    <w:p w14:paraId="482CF5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Установить, что действующие общесоюзные стандарты не распространяются на продукцию, вырабатываемую из отходов производства, утиля и некондиционного сырья. </w:t>
      </w:r>
    </w:p>
    <w:p w14:paraId="7FC3F8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Разрешить выпуск продукции из указанного сырья по утвержденным техническим условиям или образцам... (11652).</w:t>
      </w:r>
    </w:p>
    <w:p w14:paraId="1C2620F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DCA79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12 и 18 сентября 1940. Протокол заседания Политбюро № 20, 1940 г.</w:t>
      </w:r>
    </w:p>
    <w:p w14:paraId="5B955D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повышении розничных цен на фототовары</w:t>
      </w:r>
    </w:p>
    <w:p w14:paraId="0C2722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Утвердить и ввести в действие с 20 сентября 1940 года прейскурант розничных цен на фототовары и отпускных цен на фотобумагу...(11652).</w:t>
      </w:r>
    </w:p>
    <w:p w14:paraId="546B7E6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ADC16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12 и 18 сентября 1940. Протокол заседания Политбюро № 20, 1940 г.</w:t>
      </w:r>
    </w:p>
    <w:p w14:paraId="284696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 национализации пароходных обществ в Литве </w:t>
      </w:r>
    </w:p>
    <w:p w14:paraId="371381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Утвердить предложение... о компенсации частным держателям акций национализируемого пароходного общества "Литовско-Балтийский Ллойд" 1/4 стоимости этих акций (11652).</w:t>
      </w:r>
    </w:p>
    <w:p w14:paraId="0256157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B8334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12 и 18 сентября 1940. Протокол заседания Политбюро № 20, 1940 г.</w:t>
      </w:r>
    </w:p>
    <w:p w14:paraId="337A4A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изучении партийными и советскими работниками языков союзных и автономных республик</w:t>
      </w:r>
    </w:p>
    <w:p w14:paraId="7580BA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Признать неправильным, что многие руководящие партийные и советские работники, работающие в союзных и автономных республиках и автономных областях, не знают и не изучают языка данной республики, а в общении с местными работниками и населением пользуются переводчиками. </w:t>
      </w:r>
    </w:p>
    <w:p w14:paraId="66919D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Вменить в обязанность руководящим партийным и советским работникам изучение языка соответствующей союзной или автономной республики. </w:t>
      </w:r>
    </w:p>
    <w:p w14:paraId="7B6275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Обязать ЦК компартии союзных республик и обкомы партии автономных республик обеспечить неуклонное проведение настоящего решения (11652).</w:t>
      </w:r>
    </w:p>
    <w:p w14:paraId="0B5070D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80480A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4FC85D2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4A9D2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Микоян предупредил Шнурре, что ввиду отставания германских поставок советская сторона будет вынуждена сократить или временно приостановить экспорт в Германию. И действительно, в IV квартале 1940 года по сравнению с III кварталом наш экспорт был уменьшен почти в два раза. Принятые советским правительством меры дали свои результаты. В декабре 1940-го и январе 1941 года германский экспорт в СССР превысил советский экспорт в Германию (11208).</w:t>
      </w:r>
    </w:p>
    <w:p w14:paraId="1205AFD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389503"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Микоян предупредил Шнурре, что ввиду отставания германских поставок советская сторона будет вынуждена сократить или временно приостановить экспорт в Германию [598]. И действительно, в IV квартале 1940 года по сравнению с III кварталом наш экспорт был уменьшен почти в два раза. Принятые советским правительством меры дали свои результаты. В декабре 1940-го и январе 1941 года германский экспорт в СССР превысил советский экспорт в Германию (18279).</w:t>
      </w:r>
    </w:p>
    <w:p w14:paraId="38B98B3A" w14:textId="77777777" w:rsidR="00CD3361" w:rsidRPr="00A3026E" w:rsidRDefault="00CD3361" w:rsidP="00A3026E">
      <w:pPr>
        <w:spacing w:after="0" w:line="240" w:lineRule="auto"/>
        <w:jc w:val="both"/>
        <w:rPr>
          <w:rFonts w:ascii="Times New Roman" w:hAnsi="Times New Roman"/>
          <w:color w:val="000000" w:themeColor="text1"/>
          <w:sz w:val="16"/>
          <w:szCs w:val="16"/>
        </w:rPr>
      </w:pPr>
    </w:p>
    <w:p w14:paraId="411F02B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5DB80DB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8F3A4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итальянские войска начали наступление на Египет из Ливии (2100).</w:t>
      </w:r>
    </w:p>
    <w:p w14:paraId="35F361B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4F761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были обнаружены пещеры Lascaux во Франции с наскальными рисунками (3481).</w:t>
      </w:r>
    </w:p>
    <w:p w14:paraId="316426B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A2D412B"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сентябряв 1940 году американский посол в Японии Д.Грю предупреждает государственного секретаря США, что введение нефтяного эмбарго против Японии может привести к суровым ответным мерам со стороны Японии (14767).</w:t>
      </w:r>
    </w:p>
    <w:p w14:paraId="652A0BE6" w14:textId="77777777" w:rsidR="00735D36" w:rsidRPr="00A3026E" w:rsidRDefault="00735D36" w:rsidP="00A3026E">
      <w:pPr>
        <w:spacing w:after="0" w:line="240" w:lineRule="auto"/>
        <w:jc w:val="both"/>
        <w:rPr>
          <w:rFonts w:ascii="Times New Roman" w:hAnsi="Times New Roman"/>
          <w:color w:val="000000" w:themeColor="text1"/>
          <w:sz w:val="16"/>
          <w:szCs w:val="16"/>
        </w:rPr>
      </w:pPr>
    </w:p>
    <w:p w14:paraId="19176B5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lastRenderedPageBreak/>
        <w:t>Авиапромышленность:</w:t>
      </w:r>
    </w:p>
    <w:p w14:paraId="327ED5C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6DD25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вышел приказ НКАП N 482сс "О ходе проектирования и постройки опытного самолета "ОБШ" конструкции т. Сухого" (281,2). Коллегия НКАП по докладу ГК завода N 289 П.О.С. констатировала, что выполнение работ по постройке самолета "ОБШ" идет совершенно неудовлетворительно. Самолет был утвержден к постройке в октябре 1939, а чертежи спущены лишь 31 июля 1940 года (281,2).</w:t>
      </w:r>
    </w:p>
    <w:p w14:paraId="2D007E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Интересно, а по С.В.И. такие приказы принимались. Нет.</w:t>
      </w:r>
    </w:p>
    <w:p w14:paraId="070470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ГК П.О.С. и директор завода 135 тов. Голубков не приняли меры к использованию незагруженной пр. базы ОКО завода (281,2).</w:t>
      </w:r>
    </w:p>
    <w:p w14:paraId="506FA4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ходе проектирования и постройки-, опытного самолета "ОБЩ" конструкции т.Сухого.</w:t>
      </w:r>
    </w:p>
    <w:p w14:paraId="661329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Коллегия НКАП по докладу главного конструктора завода № 289 тов. Сухого П.О. о ходе проектирования и постройки опытного самолета "ОБШ" констатировала, что выполнение работ по постройке самолета "ОБШ" идет совершенно неудовлетворительно.</w:t>
      </w:r>
    </w:p>
    <w:p w14:paraId="08341D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утвержден к постройке в октябре: 1939 года, а чер</w:t>
      </w:r>
      <w:r w:rsidRPr="00A3026E">
        <w:rPr>
          <w:rFonts w:ascii="Times New Roman" w:hAnsi="Times New Roman"/>
          <w:color w:val="000000" w:themeColor="text1"/>
          <w:sz w:val="16"/>
          <w:szCs w:val="16"/>
        </w:rPr>
        <w:softHyphen/>
        <w:t>тежи по этому самолету спущены лишь 31 июля 1940 года.</w:t>
      </w:r>
    </w:p>
    <w:p w14:paraId="5249B3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Главным-конструктором тов.Сухим не проявлено достаточной инициативы в деле ускорения выпуска чертежей в производство и в мобилизации коллектива КБ вокруг/этого вопроса.</w:t>
      </w:r>
    </w:p>
    <w:p w14:paraId="706B19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Главным конструктором тов. Сухим и директором завода тов. Голубковым не были приняты меры к использованию незагружен</w:t>
      </w:r>
      <w:r w:rsidRPr="00A3026E">
        <w:rPr>
          <w:rFonts w:ascii="Times New Roman" w:hAnsi="Times New Roman"/>
          <w:color w:val="000000" w:themeColor="text1"/>
          <w:sz w:val="16"/>
          <w:szCs w:val="16"/>
        </w:rPr>
        <w:softHyphen/>
        <w:t>ной производственной базы ОКО завода № 135.</w:t>
      </w:r>
    </w:p>
    <w:p w14:paraId="57B04D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завода тов. Голубков и главный конструктор тов. Сухой объясняют отставание в постройке машины малым количест</w:t>
      </w:r>
      <w:r w:rsidRPr="00A3026E">
        <w:rPr>
          <w:rFonts w:ascii="Times New Roman" w:hAnsi="Times New Roman"/>
          <w:color w:val="000000" w:themeColor="text1"/>
          <w:sz w:val="16"/>
          <w:szCs w:val="16"/>
        </w:rPr>
        <w:softHyphen/>
        <w:t>вом рабочей силы.</w:t>
      </w:r>
    </w:p>
    <w:p w14:paraId="2198FB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самом деле завод имеет из 1100 человек работающих всего 200 человек производственных рабочих; руководство заво</w:t>
      </w:r>
      <w:r w:rsidRPr="00A3026E">
        <w:rPr>
          <w:rFonts w:ascii="Times New Roman" w:hAnsi="Times New Roman"/>
          <w:color w:val="000000" w:themeColor="text1"/>
          <w:sz w:val="16"/>
          <w:szCs w:val="16"/>
        </w:rPr>
        <w:softHyphen/>
        <w:t>да ничего не сделало, чтобы использовать и переквалифицировать имеющийся на заводе огромный резерв поденной рабочей силы.</w:t>
      </w:r>
    </w:p>
    <w:p w14:paraId="04EB3C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289 не освоил и не осваивает специальных, новых, крайне необходимых для него технологических процессов, связанных с постройкой самолета: электронное литье, обработку электро</w:t>
      </w:r>
      <w:r w:rsidRPr="00A3026E">
        <w:rPr>
          <w:rFonts w:ascii="Times New Roman" w:hAnsi="Times New Roman"/>
          <w:color w:val="000000" w:themeColor="text1"/>
          <w:sz w:val="16"/>
          <w:szCs w:val="16"/>
        </w:rPr>
        <w:softHyphen/>
        <w:t>на, фибровых баков, клея ВИАМ БЗ, роликовую и точечную сварку и пр.</w:t>
      </w:r>
    </w:p>
    <w:p w14:paraId="4F82EF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завода тов. Голубков, ориентируясь на выпуск само</w:t>
      </w:r>
      <w:r w:rsidRPr="00A3026E">
        <w:rPr>
          <w:rFonts w:ascii="Times New Roman" w:hAnsi="Times New Roman"/>
          <w:color w:val="000000" w:themeColor="text1"/>
          <w:sz w:val="16"/>
          <w:szCs w:val="16"/>
        </w:rPr>
        <w:softHyphen/>
        <w:t>летов "ОБШ” в феврале 1940 года, демобилизовал этим заводской коллектив.</w:t>
      </w:r>
    </w:p>
    <w:p w14:paraId="6D3055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Отсутствие мотора М-71 ставит также под угрозу срыва правительственный срок выхода самолета.</w:t>
      </w:r>
    </w:p>
    <w:p w14:paraId="723A96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Коллегия указала главному конструктору завода тов. Сухому и директору завода тов. Голубкову, что по их вине не выполнены задания по постройке самолета "ОБШ", благодаря чему имеется серьезное отставание от сроков, заданных правительством.</w:t>
      </w:r>
    </w:p>
    <w:p w14:paraId="4CBEDF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решением Коллегии П Р И К А 3 Ы В А Ю:</w:t>
      </w:r>
    </w:p>
    <w:p w14:paraId="51A01D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Директору завода № 289 тов. Голубкову и главному конструктору тов.Сухому:</w:t>
      </w:r>
    </w:p>
    <w:p w14:paraId="069497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принять все меры, необходимые для выполнения срока вы</w:t>
      </w:r>
      <w:r w:rsidRPr="00A3026E">
        <w:rPr>
          <w:rFonts w:ascii="Times New Roman" w:hAnsi="Times New Roman"/>
          <w:color w:val="000000" w:themeColor="text1"/>
          <w:sz w:val="16"/>
          <w:szCs w:val="16"/>
        </w:rPr>
        <w:softHyphen/>
        <w:t>пуска самолета, обеспечив в оперативном порядке.получение занаряженного оборудования и материалов.</w:t>
      </w:r>
    </w:p>
    <w:p w14:paraId="0D7CC5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срочном порядке-организовать.переквалификацию имею</w:t>
      </w:r>
      <w:r w:rsidRPr="00A3026E">
        <w:rPr>
          <w:rFonts w:ascii="Times New Roman" w:hAnsi="Times New Roman"/>
          <w:color w:val="000000" w:themeColor="text1"/>
          <w:sz w:val="16"/>
          <w:szCs w:val="16"/>
        </w:rPr>
        <w:softHyphen/>
        <w:t>щегося на заводе избытка подсобной рабсилы.</w:t>
      </w:r>
    </w:p>
    <w:p w14:paraId="06AED4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Начальнику Седьмого Главного Управлений НКАП:</w:t>
      </w:r>
    </w:p>
    <w:p w14:paraId="7C2457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уделить большее внимание вопросам проектирования и постройки опытных самолетов, в частности по самолету "ОБШ", усилив техническую помощь и контроль за ходом выполнения производственных-планов;</w:t>
      </w:r>
    </w:p>
    <w:p w14:paraId="19366D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организовать использование опытной базы завода № 135 в помощь заводу № 289.</w:t>
      </w:r>
    </w:p>
    <w:p w14:paraId="580764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Заводу № 39 оказать помощь заводу № 289 в деле освое</w:t>
      </w:r>
      <w:r w:rsidRPr="00A3026E">
        <w:rPr>
          <w:rFonts w:ascii="Times New Roman" w:hAnsi="Times New Roman"/>
          <w:color w:val="000000" w:themeColor="text1"/>
          <w:sz w:val="16"/>
          <w:szCs w:val="16"/>
        </w:rPr>
        <w:softHyphen/>
        <w:t>ния электронного литья.</w:t>
      </w:r>
    </w:p>
    <w:p w14:paraId="2EB077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Начальнику Восьмого Главного Управления обеспечить сдачу заводу № 289 моторов М-71: 1-го экземпляра-15.IX.1940 года и 2-го .экземпляра - 15.Х.1940 года.</w:t>
      </w:r>
    </w:p>
    <w:p w14:paraId="42D730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Инспекции НКАП проследить за звыполнением настоящего приказа (281,2).</w:t>
      </w:r>
    </w:p>
    <w:p w14:paraId="54663D0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14094C0" w14:textId="77777777" w:rsidR="00C66762" w:rsidRPr="00A3026E" w:rsidRDefault="00C66762" w:rsidP="00A3026E">
      <w:pPr>
        <w:pStyle w:val="a3"/>
        <w:widowControl/>
        <w:rPr>
          <w:color w:val="000000" w:themeColor="text1"/>
          <w:lang w:val="ru-RU"/>
        </w:rPr>
      </w:pPr>
      <w:r w:rsidRPr="00A3026E">
        <w:rPr>
          <w:color w:val="000000" w:themeColor="text1"/>
          <w:lang w:val="ru-RU"/>
        </w:rPr>
        <w:t>13 сентября 1940 года А. Шахурин писал письмо № Н-20/1993 заместителю председателя КО Вознесенскому Н.А.</w:t>
      </w:r>
    </w:p>
    <w:p w14:paraId="55978E13" w14:textId="77777777" w:rsidR="00C66762" w:rsidRPr="00A3026E" w:rsidRDefault="00C66762" w:rsidP="00A3026E">
      <w:pPr>
        <w:pStyle w:val="a3"/>
        <w:widowControl/>
        <w:rPr>
          <w:color w:val="000000" w:themeColor="text1"/>
          <w:lang w:val="ru-RU"/>
        </w:rPr>
      </w:pPr>
      <w:r w:rsidRPr="00A3026E">
        <w:rPr>
          <w:color w:val="000000" w:themeColor="text1"/>
          <w:lang w:val="ru-RU"/>
        </w:rPr>
        <w:t>Представленный НКО проект постановления КО по самолету ББ-1 не может быть принят по следующим соображениям:</w:t>
      </w:r>
    </w:p>
    <w:p w14:paraId="3232405A"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Работы по доводке скоростей самолета ББ-1 с мотором М-88 проводятся гл. конструктором Сухим и заводом № 135 могут быть закончены не ранее 1 октября 1940 года и, кроме того, для самолета ББ-1 производится проектирование и изготовление нового опытного винта, так как имеющиеся серийные винты не дали положительных результатов.</w:t>
      </w:r>
    </w:p>
    <w:p w14:paraId="4CDB812E"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По вопросу новых требований к самолету ББ-1:</w:t>
      </w:r>
    </w:p>
    <w:p w14:paraId="1BF79C4D" w14:textId="77777777" w:rsidR="00C66762" w:rsidRPr="00A3026E" w:rsidRDefault="00C66762" w:rsidP="00A3026E">
      <w:pPr>
        <w:pStyle w:val="a3"/>
        <w:widowControl/>
        <w:rPr>
          <w:color w:val="000000" w:themeColor="text1"/>
          <w:lang w:val="ru-RU"/>
        </w:rPr>
      </w:pPr>
      <w:r w:rsidRPr="00A3026E">
        <w:rPr>
          <w:color w:val="000000" w:themeColor="text1"/>
          <w:lang w:val="ru-RU"/>
        </w:rPr>
        <w:t>а) установки подвески бомбы в 500 кг;</w:t>
      </w:r>
    </w:p>
    <w:p w14:paraId="0534009B" w14:textId="77777777" w:rsidR="00C66762" w:rsidRPr="00A3026E" w:rsidRDefault="00C66762" w:rsidP="00A3026E">
      <w:pPr>
        <w:pStyle w:val="a3"/>
        <w:widowControl/>
        <w:rPr>
          <w:color w:val="000000" w:themeColor="text1"/>
          <w:lang w:val="ru-RU"/>
        </w:rPr>
      </w:pPr>
      <w:r w:rsidRPr="00A3026E">
        <w:rPr>
          <w:color w:val="000000" w:themeColor="text1"/>
          <w:lang w:val="ru-RU"/>
        </w:rPr>
        <w:t>б) установки для бомбометания с пикирования;</w:t>
      </w:r>
    </w:p>
    <w:p w14:paraId="3707EA7D" w14:textId="77777777" w:rsidR="00C66762" w:rsidRPr="00A3026E" w:rsidRDefault="00C66762" w:rsidP="00A3026E">
      <w:pPr>
        <w:pStyle w:val="a3"/>
        <w:widowControl/>
        <w:rPr>
          <w:color w:val="000000" w:themeColor="text1"/>
          <w:lang w:val="ru-RU"/>
        </w:rPr>
      </w:pPr>
      <w:r w:rsidRPr="00A3026E">
        <w:rPr>
          <w:color w:val="000000" w:themeColor="text1"/>
          <w:lang w:val="ru-RU"/>
        </w:rPr>
        <w:t>в) установки предкрылков;</w:t>
      </w:r>
    </w:p>
    <w:p w14:paraId="45BB8F62" w14:textId="77777777" w:rsidR="00C66762" w:rsidRPr="00A3026E" w:rsidRDefault="00C66762" w:rsidP="00A3026E">
      <w:pPr>
        <w:pStyle w:val="a3"/>
        <w:widowControl/>
        <w:rPr>
          <w:color w:val="000000" w:themeColor="text1"/>
          <w:lang w:val="ru-RU"/>
        </w:rPr>
      </w:pPr>
      <w:r w:rsidRPr="00A3026E">
        <w:rPr>
          <w:color w:val="000000" w:themeColor="text1"/>
          <w:lang w:val="ru-RU"/>
        </w:rPr>
        <w:t>г) Установки хвостового колеса по типу самолета Мессершмидт-109;</w:t>
      </w:r>
    </w:p>
    <w:p w14:paraId="47787180" w14:textId="77777777" w:rsidR="00C66762" w:rsidRPr="00A3026E" w:rsidRDefault="00C66762" w:rsidP="00A3026E">
      <w:pPr>
        <w:pStyle w:val="a3"/>
        <w:widowControl/>
        <w:rPr>
          <w:color w:val="000000" w:themeColor="text1"/>
          <w:lang w:val="ru-RU"/>
        </w:rPr>
      </w:pPr>
      <w:r w:rsidRPr="00A3026E">
        <w:rPr>
          <w:color w:val="000000" w:themeColor="text1"/>
          <w:lang w:val="ru-RU"/>
        </w:rPr>
        <w:t>д) улучшения выпуска щитков (увеличение времени открытия щитков).</w:t>
      </w:r>
    </w:p>
    <w:p w14:paraId="72A71F9A" w14:textId="77777777" w:rsidR="00C66762" w:rsidRPr="00A3026E" w:rsidRDefault="00C66762" w:rsidP="00A3026E">
      <w:pPr>
        <w:pStyle w:val="a3"/>
        <w:widowControl/>
        <w:rPr>
          <w:color w:val="000000" w:themeColor="text1"/>
          <w:lang w:val="ru-RU"/>
        </w:rPr>
      </w:pPr>
      <w:r w:rsidRPr="00A3026E">
        <w:rPr>
          <w:color w:val="000000" w:themeColor="text1"/>
          <w:lang w:val="ru-RU"/>
        </w:rPr>
        <w:t>Необходимой технической проработки еще не сделано. Объем изменений в конструкции самолета не выявлен.</w:t>
      </w:r>
    </w:p>
    <w:p w14:paraId="10744A90" w14:textId="77777777" w:rsidR="00C66762" w:rsidRPr="00A3026E" w:rsidRDefault="00C66762" w:rsidP="00A3026E">
      <w:pPr>
        <w:pStyle w:val="a3"/>
        <w:widowControl/>
        <w:rPr>
          <w:color w:val="000000" w:themeColor="text1"/>
          <w:lang w:val="ru-RU"/>
        </w:rPr>
      </w:pPr>
      <w:r w:rsidRPr="00A3026E">
        <w:rPr>
          <w:color w:val="000000" w:themeColor="text1"/>
          <w:lang w:val="ru-RU"/>
        </w:rPr>
        <w:t>Эти вопросы будут включены в план опытных работ конструктора Сухого.</w:t>
      </w:r>
    </w:p>
    <w:p w14:paraId="585D3447"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По актам госиспытаний самолета ББ-1 требований улучшения устойчивости самолета не было.</w:t>
      </w:r>
    </w:p>
    <w:p w14:paraId="0AAB69F4" w14:textId="77777777" w:rsidR="00C66762" w:rsidRPr="00A3026E" w:rsidRDefault="00C66762" w:rsidP="00A3026E">
      <w:pPr>
        <w:pStyle w:val="a3"/>
        <w:widowControl/>
        <w:rPr>
          <w:color w:val="000000" w:themeColor="text1"/>
          <w:lang w:val="ru-RU"/>
        </w:rPr>
      </w:pPr>
      <w:r w:rsidRPr="00A3026E">
        <w:rPr>
          <w:color w:val="000000" w:themeColor="text1"/>
          <w:lang w:val="ru-RU"/>
        </w:rPr>
        <w:t>Лучшая устойчивость самолета может быть достигнута за счет увеличения поперечного V крыла, что предусмотрено на большой модернизации самолета ББ-1 под мотор М-90 и требует новой оснастки.</w:t>
      </w:r>
    </w:p>
    <w:p w14:paraId="6D0C672A"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Порядок и сроки устранения дефектов на самолетах ББ-1 в результате государственных и войсковых испытаний уже установлены совместным протоколом завода № 135 и старшего военпреда на заводе.</w:t>
      </w:r>
    </w:p>
    <w:p w14:paraId="0FDEB8F0" w14:textId="77777777" w:rsidR="00C66762" w:rsidRPr="00A3026E" w:rsidRDefault="00C66762" w:rsidP="00A3026E">
      <w:pPr>
        <w:pStyle w:val="a3"/>
        <w:widowControl/>
        <w:rPr>
          <w:color w:val="000000" w:themeColor="text1"/>
          <w:lang w:val="ru-RU"/>
        </w:rPr>
      </w:pPr>
      <w:r w:rsidRPr="00A3026E">
        <w:rPr>
          <w:color w:val="000000" w:themeColor="text1"/>
          <w:lang w:val="ru-RU"/>
        </w:rPr>
        <w:t>В перечне дефектов нет принципиальных вопросов, требующих специально утверждения через КО.</w:t>
      </w:r>
    </w:p>
    <w:p w14:paraId="6E697A45"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Тепловой режим винтомоторной группы заводом доведен на всех самолетах ББ-1 М-88, о чем имеется совместный акт завода и НИИ ВВС.</w:t>
      </w:r>
    </w:p>
    <w:p w14:paraId="5F8493EA" w14:textId="77777777" w:rsidR="00C66762" w:rsidRPr="00A3026E" w:rsidRDefault="00C66762" w:rsidP="00A3026E">
      <w:pPr>
        <w:pStyle w:val="a3"/>
        <w:widowControl/>
        <w:rPr>
          <w:color w:val="000000" w:themeColor="text1"/>
          <w:lang w:val="ru-RU"/>
        </w:rPr>
      </w:pPr>
      <w:r w:rsidRPr="00A3026E">
        <w:rPr>
          <w:color w:val="000000" w:themeColor="text1"/>
          <w:lang w:val="ru-RU"/>
        </w:rPr>
        <w:t>Исходя из изложенного, считаю нецелесообразным в настоящее время выпускать данное постановление по самолету ББ-1, так как все вопросы могут быть разрешены взаимными решениями НКАП и НКО (3377, 61-62).</w:t>
      </w:r>
    </w:p>
    <w:p w14:paraId="7C2B52BE" w14:textId="77777777" w:rsidR="00C66762" w:rsidRPr="00A3026E" w:rsidRDefault="00C66762" w:rsidP="00A3026E">
      <w:pPr>
        <w:pStyle w:val="a3"/>
        <w:widowControl/>
        <w:rPr>
          <w:color w:val="000000" w:themeColor="text1"/>
          <w:lang w:val="ru-RU"/>
        </w:rPr>
      </w:pPr>
    </w:p>
    <w:p w14:paraId="251241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А.И.Ш. обратился с письмом к заместителю председателя Комитета обороны Н.А. Вознесенскому: новый проект постановления КО по самолету ББ-1 (его начали готовить по материалам совместного совещания военных и представителей промышленности) принимать не следует. Мол, работы по доводке скоростей серийных самолетов до требуемых значений проводят главный конструктор П.О. Сухой и завод № 135; представляется перспективной скорейшая установка нового опытного винта. Высказанные в июле требования к серийному самолету ББ-1 (предкрылки, измененная установка крыла и др.) не актуальны, поскольку в актах испытаний не указывалась на необходимость повышения устойчивости, но могут быть реализованы при выполнении опытных работ коллективом ОКБ-289.</w:t>
      </w:r>
    </w:p>
    <w:p w14:paraId="4878FC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Никаких принципиальных изменений в серийную конструкцию тогда Павел Осипович не внес. Заводы строили самолеты, стараясь отработать технологию и устранить недостатки производства. Наибольших успехов в освоении ББ-1 добились, как и следовало ожидать, в Харькове. Там к середине 1940 г. внедрили шаблонно-плазовый метод, освоили скоростной способ изготовления штампов, стали использовать новейшие фрезерные станки типа "Норд-Америкен" и гидропрессы на 500 т. За пять первых месяцев 1940 г. возникли три новых цеха, на 20% возросло число рабочих и на 40% снизилась трудоемкость выпуска одной машины. Директор Ю.Н. Карпов и главный инженер И.М. Кузин объясняли имевшееся невыполнение плана перебоями с поставкой комплектующих и, прежде всего, двигателей. Действительно, моторный завод № 29 прислал 132 мотора М-87 и М-88 вместо 185 по плану; исправных среди них оказалось всего 116.</w:t>
      </w:r>
    </w:p>
    <w:p w14:paraId="646BDF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истории завода № 31 им. Димитрова, основанного в 1916 г., а в советские годы долго специализировавшегося в создании авиации для ВМФ, 1940 г. остался как один из наиболее тяжелых. Ведь одновременно в постройке находились (достаточно крупной серией) МБР-2, М-34, КОР- 1, ГСТ, МРД-6 и теперь еще ББ-1. Кроме того, таганрогцы изготавливали детали и запасные части для МБР-2, ССС и P-Z. Началась, было, подготовка серийного производства устаревшего Р-5, но затем это решение отменили. "Завод захлебнулся в разнообразии технологически различных типов машин, потерял производственный ритм, фактически перестал серийно работать, и тем самым оказался в стороне от дела снабжения армии боевыми современными самолетами", - с горечью и тревогой писал в отчетном докладе директор И.Г. Загайнов. При развертывании производства ББ-1 "тридцать первому" не хватало, прежде всего, фрезерных и строгальных станков, а обещанной помощи в оборудовании и кадрах от предприятий Таганрога и Ростова он своевременно не получил.</w:t>
      </w:r>
    </w:p>
    <w:p w14:paraId="19575C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207, основанный в 1931 г., частично был введен в эксплуатацию через год. В 1936 г. он получил известность как "Дирижаблестрой", считался достроенным. Предприятие первоначально являлось производственной и эксплуатационной базой выпуска дирижаблей в системе ГВФ. В 1939 г. производственная программа претерпела существенное изменение: в сентябре было решено приступить к постройке истребителя И-207, а затем бомбардировщика ББ-1. Одновременно с решением о серийной постройке самолетов Сухого последовало указание Правительства законсервировать огромные дирижабли В-1, В-9 и гондолу ДП-9, работы по которым велись в течение предыдущего года. Прекратили выпускать запчасти для И- 15бис. Однако низкая квалификация кадров, плохая организация производства, диспропорция между механосборочными и агрегатными цехами, значительный недостаток фрезерных станков тормозили освоение ББ-1, приводили к недопустимо большому проценту брака. Лишь после реконструкции завода, налаживания кооперации с другими предприятиями, удалось заложить две серии по пять машин. До декабря 1940 г. завод № 207, как и завод № 31, ни одного ББ-1 так и не построил (12028).</w:t>
      </w:r>
    </w:p>
    <w:p w14:paraId="4773DA2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2860707" w14:textId="77777777" w:rsidR="00C66762" w:rsidRPr="00A3026E" w:rsidRDefault="00C66762" w:rsidP="00A3026E">
      <w:pPr>
        <w:pStyle w:val="a3"/>
        <w:widowControl/>
        <w:rPr>
          <w:color w:val="000000" w:themeColor="text1"/>
          <w:lang w:val="ru-RU"/>
        </w:rPr>
      </w:pPr>
      <w:r w:rsidRPr="00A3026E">
        <w:rPr>
          <w:color w:val="000000" w:themeColor="text1"/>
          <w:lang w:val="ru-RU"/>
        </w:rPr>
        <w:t>13 сентября 1940 года НКАП № Н-20/193</w:t>
      </w:r>
    </w:p>
    <w:p w14:paraId="2AC87C19" w14:textId="77777777" w:rsidR="00C66762" w:rsidRPr="00A3026E" w:rsidRDefault="00C66762" w:rsidP="00A3026E">
      <w:pPr>
        <w:pStyle w:val="a3"/>
        <w:widowControl/>
        <w:rPr>
          <w:color w:val="000000" w:themeColor="text1"/>
          <w:lang w:val="ru-RU"/>
        </w:rPr>
      </w:pPr>
      <w:r w:rsidRPr="00A3026E">
        <w:rPr>
          <w:color w:val="000000" w:themeColor="text1"/>
          <w:lang w:val="ru-RU"/>
        </w:rPr>
        <w:t>Репину на заключение</w:t>
      </w:r>
    </w:p>
    <w:p w14:paraId="684D9BC7" w14:textId="77777777" w:rsidR="00C66762" w:rsidRPr="00A3026E" w:rsidRDefault="00C66762" w:rsidP="00A3026E">
      <w:pPr>
        <w:pStyle w:val="a3"/>
        <w:widowControl/>
        <w:rPr>
          <w:color w:val="000000" w:themeColor="text1"/>
          <w:lang w:val="ru-RU"/>
        </w:rPr>
      </w:pPr>
      <w:r w:rsidRPr="00A3026E">
        <w:rPr>
          <w:color w:val="000000" w:themeColor="text1"/>
          <w:lang w:val="ru-RU"/>
        </w:rPr>
        <w:t>Представил заключение по проекту постановления КО "О доводке самолета ББ-1 с мотором М-88" и считает нецелесообразным в настоящее время выпускать данное постановление по указанному самолету, так как все вопросы поставленные в проекте постановления КО могут быть разрешены взаимными решениями НКАП и НКО (3377, 63).</w:t>
      </w:r>
    </w:p>
    <w:p w14:paraId="045E1330" w14:textId="77777777" w:rsidR="00C66762" w:rsidRPr="00A3026E" w:rsidRDefault="00C66762" w:rsidP="00A3026E">
      <w:pPr>
        <w:pStyle w:val="a3"/>
        <w:widowControl/>
        <w:rPr>
          <w:color w:val="000000" w:themeColor="text1"/>
          <w:lang w:val="ru-RU"/>
        </w:rPr>
      </w:pPr>
    </w:p>
    <w:p w14:paraId="2812CF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года в соответствии с решением Кол</w:t>
      </w:r>
      <w:r w:rsidRPr="00A3026E">
        <w:rPr>
          <w:rFonts w:ascii="Times New Roman" w:hAnsi="Times New Roman"/>
          <w:color w:val="000000" w:themeColor="text1"/>
          <w:sz w:val="16"/>
          <w:szCs w:val="16"/>
        </w:rPr>
        <w:softHyphen/>
        <w:t>легии НКАП от 2 сентября был издан приказ НКАП от который обязал П.Н.Голубкова и П.О.Сухого:</w:t>
      </w:r>
    </w:p>
    <w:p w14:paraId="74AF9B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принять все меры, необхо</w:t>
      </w:r>
      <w:r w:rsidRPr="00A3026E">
        <w:rPr>
          <w:rFonts w:ascii="Times New Roman" w:hAnsi="Times New Roman"/>
          <w:color w:val="000000" w:themeColor="text1"/>
          <w:sz w:val="16"/>
          <w:szCs w:val="16"/>
        </w:rPr>
        <w:softHyphen/>
        <w:t>димые для выполнения срока выпус</w:t>
      </w:r>
      <w:r w:rsidRPr="00A3026E">
        <w:rPr>
          <w:rFonts w:ascii="Times New Roman" w:hAnsi="Times New Roman"/>
          <w:color w:val="000000" w:themeColor="text1"/>
          <w:sz w:val="16"/>
          <w:szCs w:val="16"/>
        </w:rPr>
        <w:softHyphen/>
        <w:t>ка самолета, обеспечив в опера</w:t>
      </w:r>
      <w:r w:rsidRPr="00A3026E">
        <w:rPr>
          <w:rFonts w:ascii="Times New Roman" w:hAnsi="Times New Roman"/>
          <w:color w:val="000000" w:themeColor="text1"/>
          <w:sz w:val="16"/>
          <w:szCs w:val="16"/>
        </w:rPr>
        <w:softHyphen/>
        <w:t>тивном порядке получение занаря</w:t>
      </w:r>
      <w:r w:rsidRPr="00A3026E">
        <w:rPr>
          <w:rFonts w:ascii="Times New Roman" w:hAnsi="Times New Roman"/>
          <w:color w:val="000000" w:themeColor="text1"/>
          <w:sz w:val="16"/>
          <w:szCs w:val="16"/>
        </w:rPr>
        <w:softHyphen/>
        <w:t>женного оборудования и материа</w:t>
      </w:r>
      <w:r w:rsidRPr="00A3026E">
        <w:rPr>
          <w:rFonts w:ascii="Times New Roman" w:hAnsi="Times New Roman"/>
          <w:color w:val="000000" w:themeColor="text1"/>
          <w:sz w:val="16"/>
          <w:szCs w:val="16"/>
        </w:rPr>
        <w:softHyphen/>
        <w:t>лов.</w:t>
      </w:r>
    </w:p>
    <w:p w14:paraId="0FEC44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срочном порядке организо</w:t>
      </w:r>
      <w:r w:rsidRPr="00A3026E">
        <w:rPr>
          <w:rFonts w:ascii="Times New Roman" w:hAnsi="Times New Roman"/>
          <w:color w:val="000000" w:themeColor="text1"/>
          <w:sz w:val="16"/>
          <w:szCs w:val="16"/>
        </w:rPr>
        <w:softHyphen/>
        <w:t>вать переквалификацию имеющего</w:t>
      </w:r>
      <w:r w:rsidRPr="00A3026E">
        <w:rPr>
          <w:rFonts w:ascii="Times New Roman" w:hAnsi="Times New Roman"/>
          <w:color w:val="000000" w:themeColor="text1"/>
          <w:sz w:val="16"/>
          <w:szCs w:val="16"/>
        </w:rPr>
        <w:softHyphen/>
        <w:t>ся на заводе избытка подсобной рабсилы.</w:t>
      </w:r>
    </w:p>
    <w:p w14:paraId="760710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Начальнику Седьмого Главно</w:t>
      </w:r>
      <w:r w:rsidRPr="00A3026E">
        <w:rPr>
          <w:rFonts w:ascii="Times New Roman" w:hAnsi="Times New Roman"/>
          <w:color w:val="000000" w:themeColor="text1"/>
          <w:sz w:val="16"/>
          <w:szCs w:val="16"/>
        </w:rPr>
        <w:softHyphen/>
        <w:t>го Управления НКАП:</w:t>
      </w:r>
    </w:p>
    <w:p w14:paraId="082330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организовать использование опытной базы завода №135 в по</w:t>
      </w:r>
      <w:r w:rsidRPr="00A3026E">
        <w:rPr>
          <w:rFonts w:ascii="Times New Roman" w:hAnsi="Times New Roman"/>
          <w:color w:val="000000" w:themeColor="text1"/>
          <w:sz w:val="16"/>
          <w:szCs w:val="16"/>
        </w:rPr>
        <w:softHyphen/>
        <w:t>мощь заводу. №289.</w:t>
      </w:r>
    </w:p>
    <w:p w14:paraId="49018A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Заводу №39 оказать помощь заводу №289 в деле освоения элек</w:t>
      </w:r>
      <w:r w:rsidRPr="00A3026E">
        <w:rPr>
          <w:rFonts w:ascii="Times New Roman" w:hAnsi="Times New Roman"/>
          <w:color w:val="000000" w:themeColor="text1"/>
          <w:sz w:val="16"/>
          <w:szCs w:val="16"/>
        </w:rPr>
        <w:softHyphen/>
        <w:t>тронного литья.</w:t>
      </w:r>
    </w:p>
    <w:p w14:paraId="5B1969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Начальнику Восьмого Главно</w:t>
      </w:r>
      <w:r w:rsidRPr="00A3026E">
        <w:rPr>
          <w:rFonts w:ascii="Times New Roman" w:hAnsi="Times New Roman"/>
          <w:color w:val="000000" w:themeColor="text1"/>
          <w:sz w:val="16"/>
          <w:szCs w:val="16"/>
        </w:rPr>
        <w:softHyphen/>
        <w:t>го Управления обеспечить сдачу</w:t>
      </w:r>
    </w:p>
    <w:p w14:paraId="78F961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заводу №289 моторов М-71: 1-го экземпляра - 15.IX. 1940 года и 2-го экземпляра - 15.Х.1940 г. ...» (11845).</w:t>
      </w:r>
    </w:p>
    <w:p w14:paraId="1215CB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937EC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года в НИИ ВВС был выдан наряд-приказ № 0192</w:t>
      </w:r>
    </w:p>
    <w:p w14:paraId="218869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серийного самолета ББ-22 № 1041 завода № 1 с целью исследования характеристик устойчивости (6890, 96).</w:t>
      </w:r>
    </w:p>
    <w:p w14:paraId="09322F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54982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года состоялось совещание у технического директора завода № 22 Кобзарева по машине "К" (3377, 40).</w:t>
      </w:r>
    </w:p>
    <w:p w14:paraId="501E8E8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4FC5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Моторин писал справку N 3246 о ходе работ по испытаниям СБ 2хМ-105 ТК-2 и согласно справке с 15 мая по 5 сентября выполнили 12 полетов (2056,129).</w:t>
      </w:r>
    </w:p>
    <w:p w14:paraId="72562A1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E9964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13 сентября по 2 октября 1940-го вторично приступили к испытаниям И-135. Теперь самолет поднимал в воздух летчик П.М.Попельнюшенко. Он сделал уже двадцать полетов и вот однажды, 2 октября, на высоте 6000 м произошло разрушение мотора из-за обрыва шатунов 4-го и 10-го цилиндров. Летчику удалось нормально посадить машину (6406).</w:t>
      </w:r>
    </w:p>
    <w:p w14:paraId="0D9E8EA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D33B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испытания И-135 были про</w:t>
      </w:r>
      <w:r w:rsidRPr="00A3026E">
        <w:rPr>
          <w:rFonts w:ascii="Times New Roman" w:hAnsi="Times New Roman"/>
          <w:color w:val="000000" w:themeColor="text1"/>
          <w:sz w:val="16"/>
          <w:szCs w:val="16"/>
        </w:rPr>
        <w:softHyphen/>
        <w:t>должены летчиком-испытателем П.М.Попельнюшенко. 2 октября, на высоте 6000 м произошло разру</w:t>
      </w:r>
      <w:r w:rsidRPr="00A3026E">
        <w:rPr>
          <w:rFonts w:ascii="Times New Roman" w:hAnsi="Times New Roman"/>
          <w:color w:val="000000" w:themeColor="text1"/>
          <w:sz w:val="16"/>
          <w:szCs w:val="16"/>
        </w:rPr>
        <w:softHyphen/>
        <w:t>шение мотора из-за обрыва шату</w:t>
      </w:r>
      <w:r w:rsidRPr="00A3026E">
        <w:rPr>
          <w:rFonts w:ascii="Times New Roman" w:hAnsi="Times New Roman"/>
          <w:color w:val="000000" w:themeColor="text1"/>
          <w:sz w:val="16"/>
          <w:szCs w:val="16"/>
        </w:rPr>
        <w:softHyphen/>
        <w:t>нов 4-го и 10-го цилиндров. Летчи</w:t>
      </w:r>
      <w:r w:rsidRPr="00A3026E">
        <w:rPr>
          <w:rFonts w:ascii="Times New Roman" w:hAnsi="Times New Roman"/>
          <w:color w:val="000000" w:themeColor="text1"/>
          <w:sz w:val="16"/>
          <w:szCs w:val="16"/>
        </w:rPr>
        <w:softHyphen/>
        <w:t>ку удалось нормально посадить машину. Новый мотор получили лишь в конце октября. Испытания возобновились 10 ноября. Из-за болезни П.М.Попельнюшенко даль</w:t>
      </w:r>
      <w:r w:rsidRPr="00A3026E">
        <w:rPr>
          <w:rFonts w:ascii="Times New Roman" w:hAnsi="Times New Roman"/>
          <w:color w:val="000000" w:themeColor="text1"/>
          <w:sz w:val="16"/>
          <w:szCs w:val="16"/>
        </w:rPr>
        <w:softHyphen/>
        <w:t>нейшие полеты продолжил летчик-испытатель В.П.Федоров. До конца 1940 года по программе испыта</w:t>
      </w:r>
      <w:r w:rsidRPr="00A3026E">
        <w:rPr>
          <w:rFonts w:ascii="Times New Roman" w:hAnsi="Times New Roman"/>
          <w:color w:val="000000" w:themeColor="text1"/>
          <w:sz w:val="16"/>
          <w:szCs w:val="16"/>
        </w:rPr>
        <w:softHyphen/>
        <w:t>ний были выполнены следующие работы:</w:t>
      </w:r>
    </w:p>
    <w:p w14:paraId="40A890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определены взлетно-посадоч</w:t>
      </w:r>
      <w:r w:rsidRPr="00A3026E">
        <w:rPr>
          <w:rFonts w:ascii="Times New Roman" w:hAnsi="Times New Roman"/>
          <w:color w:val="000000" w:themeColor="text1"/>
          <w:sz w:val="16"/>
          <w:szCs w:val="16"/>
        </w:rPr>
        <w:softHyphen/>
        <w:t>ные характеристиками;</w:t>
      </w:r>
    </w:p>
    <w:p w14:paraId="1DB448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сняты балансировочные кри</w:t>
      </w:r>
      <w:r w:rsidRPr="00A3026E">
        <w:rPr>
          <w:rFonts w:ascii="Times New Roman" w:hAnsi="Times New Roman"/>
          <w:color w:val="000000" w:themeColor="text1"/>
          <w:sz w:val="16"/>
          <w:szCs w:val="16"/>
        </w:rPr>
        <w:softHyphen/>
        <w:t>вые в горизонтальном полете, при планировании и при наборе высо</w:t>
      </w:r>
      <w:r w:rsidRPr="00A3026E">
        <w:rPr>
          <w:rFonts w:ascii="Times New Roman" w:hAnsi="Times New Roman"/>
          <w:color w:val="000000" w:themeColor="text1"/>
          <w:sz w:val="16"/>
          <w:szCs w:val="16"/>
        </w:rPr>
        <w:softHyphen/>
        <w:t>ты;</w:t>
      </w:r>
    </w:p>
    <w:p w14:paraId="28547D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сняты максимальные скорости на высотах до 6000 м. (зафиксирова</w:t>
      </w:r>
      <w:r w:rsidRPr="00A3026E">
        <w:rPr>
          <w:rFonts w:ascii="Times New Roman" w:hAnsi="Times New Roman"/>
          <w:color w:val="000000" w:themeColor="text1"/>
          <w:sz w:val="16"/>
          <w:szCs w:val="16"/>
        </w:rPr>
        <w:softHyphen/>
        <w:t>на максимальная скорость 580 км/ч на высоте 4000 м);</w:t>
      </w:r>
    </w:p>
    <w:p w14:paraId="4C52CB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определена скороподъемность до 5000 м;</w:t>
      </w:r>
    </w:p>
    <w:p w14:paraId="1F573C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проведено испытание на флат</w:t>
      </w:r>
      <w:r w:rsidRPr="00A3026E">
        <w:rPr>
          <w:rFonts w:ascii="Times New Roman" w:hAnsi="Times New Roman"/>
          <w:color w:val="000000" w:themeColor="text1"/>
          <w:sz w:val="16"/>
          <w:szCs w:val="16"/>
        </w:rPr>
        <w:softHyphen/>
        <w:t>тер и бафтинг в диапазоне скорос</w:t>
      </w:r>
      <w:r w:rsidRPr="00A3026E">
        <w:rPr>
          <w:rFonts w:ascii="Times New Roman" w:hAnsi="Times New Roman"/>
          <w:color w:val="000000" w:themeColor="text1"/>
          <w:sz w:val="16"/>
          <w:szCs w:val="16"/>
        </w:rPr>
        <w:softHyphen/>
        <w:t>тей от 150 до 600 км/ч по прибору;</w:t>
      </w:r>
    </w:p>
    <w:p w14:paraId="70C0C1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произведен отстрел оружия в тире.</w:t>
      </w:r>
    </w:p>
    <w:p w14:paraId="2DD970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летных испытаний само</w:t>
      </w:r>
      <w:r w:rsidRPr="00A3026E">
        <w:rPr>
          <w:rFonts w:ascii="Times New Roman" w:hAnsi="Times New Roman"/>
          <w:color w:val="000000" w:themeColor="text1"/>
          <w:sz w:val="16"/>
          <w:szCs w:val="16"/>
        </w:rPr>
        <w:softHyphen/>
        <w:t>лет Су-1 показал хорошую продоль</w:t>
      </w:r>
      <w:r w:rsidRPr="00A3026E">
        <w:rPr>
          <w:rFonts w:ascii="Times New Roman" w:hAnsi="Times New Roman"/>
          <w:color w:val="000000" w:themeColor="text1"/>
          <w:sz w:val="16"/>
          <w:szCs w:val="16"/>
        </w:rPr>
        <w:softHyphen/>
        <w:t>ную и поперечную устойчивость. Взлет и посадка отличались просто</w:t>
      </w:r>
      <w:r w:rsidRPr="00A3026E">
        <w:rPr>
          <w:rFonts w:ascii="Times New Roman" w:hAnsi="Times New Roman"/>
          <w:color w:val="000000" w:themeColor="text1"/>
          <w:sz w:val="16"/>
          <w:szCs w:val="16"/>
        </w:rPr>
        <w:softHyphen/>
        <w:t>той и никаких особенностей не име</w:t>
      </w:r>
      <w:r w:rsidRPr="00A3026E">
        <w:rPr>
          <w:rFonts w:ascii="Times New Roman" w:hAnsi="Times New Roman"/>
          <w:color w:val="000000" w:themeColor="text1"/>
          <w:sz w:val="16"/>
          <w:szCs w:val="16"/>
        </w:rPr>
        <w:softHyphen/>
        <w:t>ли. Усилия на ручку и педали - нор</w:t>
      </w:r>
      <w:r w:rsidRPr="00A3026E">
        <w:rPr>
          <w:rFonts w:ascii="Times New Roman" w:hAnsi="Times New Roman"/>
          <w:color w:val="000000" w:themeColor="text1"/>
          <w:sz w:val="16"/>
          <w:szCs w:val="16"/>
        </w:rPr>
        <w:softHyphen/>
        <w:t>мальные (11847).</w:t>
      </w:r>
    </w:p>
    <w:p w14:paraId="09B83A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BB02D6D"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испытания были продолжены летчиком-испытателем П.М.Попельнюшенко. 2 октября, на высоте 6000 м произошло разрушение мотора из-за обрыва шатунов 4-го и 10-го цилиндров. Летчику удалось нормально посадить машину. Новый мотор получили лишь в конце октября. Испытания возобновились 10 ноября. Из-за болезни П.М.Попельнюшенко дальнейшие полеты продолжил летчик-испытатель В.П.Федоров. До конца 1940 года по программе испытаний были выполнены следующие работы:</w:t>
      </w:r>
    </w:p>
    <w:p w14:paraId="30CBB758"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определены взлетно-посадочные характеристиками;</w:t>
      </w:r>
    </w:p>
    <w:p w14:paraId="1245717B"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сняты балансировочные кривые в горизонтальном полете, при планировании и при наборе высоты;</w:t>
      </w:r>
    </w:p>
    <w:p w14:paraId="0D1F2C3E"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сняты максимальные скорости на высотах до 6000 м. (зафиксирована максимальная скорость 580 км/ч на высоте 4000 м);</w:t>
      </w:r>
    </w:p>
    <w:p w14:paraId="7FF0EE9B"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определена скороподъемность до 5000 м;</w:t>
      </w:r>
    </w:p>
    <w:p w14:paraId="58FEB754"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проведено испытание на флаттер и бафтинг в диапазоне скоростей от 150 до 600 км/ч по прибору;</w:t>
      </w:r>
    </w:p>
    <w:p w14:paraId="3ECBF7A5"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 отстрел оружия в тире.</w:t>
      </w:r>
    </w:p>
    <w:p w14:paraId="31E83E86" w14:textId="77777777" w:rsidR="00735D36" w:rsidRPr="00A3026E" w:rsidRDefault="00735D3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летных испытаний самолет Су-1 показал хорошую продольную и поперечную устойчивость. Взлет и посадка отличались простотой и никаких особенностей не имели. Усилия на ручку и педали – нормальные (15578).</w:t>
      </w:r>
    </w:p>
    <w:p w14:paraId="35B35C65" w14:textId="77777777" w:rsidR="00735D36" w:rsidRPr="00A3026E" w:rsidRDefault="00735D36" w:rsidP="00A3026E">
      <w:pPr>
        <w:spacing w:after="0" w:line="240" w:lineRule="auto"/>
        <w:jc w:val="both"/>
        <w:rPr>
          <w:rFonts w:ascii="Times New Roman" w:hAnsi="Times New Roman"/>
          <w:color w:val="000000" w:themeColor="text1"/>
          <w:sz w:val="16"/>
          <w:szCs w:val="16"/>
        </w:rPr>
      </w:pPr>
    </w:p>
    <w:p w14:paraId="3CEC4D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г. на заседании технического со</w:t>
      </w:r>
      <w:r w:rsidRPr="00A3026E">
        <w:rPr>
          <w:rFonts w:ascii="Times New Roman" w:hAnsi="Times New Roman"/>
          <w:color w:val="000000" w:themeColor="text1"/>
          <w:sz w:val="16"/>
          <w:szCs w:val="16"/>
        </w:rPr>
        <w:softHyphen/>
        <w:t>вета при НИИ ВВС в ходе рассмотрения результатов испытаний ведущий летчик-испытатель С.П.Супрун отметил, что И—200 «является самым доведенным самолетом при поступлении его на государственные испытания, которые опытный самолет прошел хоро</w:t>
      </w:r>
      <w:r w:rsidRPr="00A3026E">
        <w:rPr>
          <w:rFonts w:ascii="Times New Roman" w:hAnsi="Times New Roman"/>
          <w:color w:val="000000" w:themeColor="text1"/>
          <w:sz w:val="16"/>
          <w:szCs w:val="16"/>
        </w:rPr>
        <w:softHyphen/>
        <w:t>шо». Подчеркнем особо: И—200 был единственным истребителем, прошедшим государственные испыта</w:t>
      </w:r>
      <w:r w:rsidRPr="00A3026E">
        <w:rPr>
          <w:rFonts w:ascii="Times New Roman" w:hAnsi="Times New Roman"/>
          <w:color w:val="000000" w:themeColor="text1"/>
          <w:sz w:val="16"/>
          <w:szCs w:val="16"/>
        </w:rPr>
        <w:softHyphen/>
        <w:t>ния «с первого предъявления» (И—26 и И—301 предъ</w:t>
      </w:r>
      <w:r w:rsidRPr="00A3026E">
        <w:rPr>
          <w:rFonts w:ascii="Times New Roman" w:hAnsi="Times New Roman"/>
          <w:color w:val="000000" w:themeColor="text1"/>
          <w:sz w:val="16"/>
          <w:szCs w:val="16"/>
        </w:rPr>
        <w:softHyphen/>
        <w:t>являли на госиспытания неоднократно). За время за</w:t>
      </w:r>
      <w:r w:rsidRPr="00A3026E">
        <w:rPr>
          <w:rFonts w:ascii="Times New Roman" w:hAnsi="Times New Roman"/>
          <w:color w:val="000000" w:themeColor="text1"/>
          <w:sz w:val="16"/>
          <w:szCs w:val="16"/>
        </w:rPr>
        <w:softHyphen/>
        <w:t>водских и государственных испытаний не было потеряно ни одного самолета, не пострадал ни один летчик (9984).</w:t>
      </w:r>
    </w:p>
    <w:p w14:paraId="506B09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B9C13D9" w14:textId="77777777" w:rsidR="006579A6" w:rsidRPr="00A3026E" w:rsidRDefault="006579A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13 сентября 1940 г., на следующий день после оконча</w:t>
      </w:r>
      <w:r w:rsidRPr="00A3026E">
        <w:rPr>
          <w:rFonts w:ascii="Times New Roman" w:hAnsi="Times New Roman"/>
          <w:color w:val="0070C0"/>
          <w:sz w:val="16"/>
          <w:szCs w:val="16"/>
          <w:lang w:eastAsia="ru-RU" w:bidi="ru-RU"/>
        </w:rPr>
        <w:softHyphen/>
        <w:t>ния летной программы Госиспытаний, в НИИ ВВС состо</w:t>
      </w:r>
      <w:r w:rsidRPr="00A3026E">
        <w:rPr>
          <w:rFonts w:ascii="Times New Roman" w:hAnsi="Times New Roman"/>
          <w:color w:val="0070C0"/>
          <w:sz w:val="16"/>
          <w:szCs w:val="16"/>
          <w:lang w:eastAsia="ru-RU" w:bidi="ru-RU"/>
        </w:rPr>
        <w:softHyphen/>
        <w:t>ялся техсовет, на котором летчик-испы</w:t>
      </w:r>
      <w:r w:rsidRPr="00A3026E">
        <w:rPr>
          <w:rFonts w:ascii="Times New Roman" w:hAnsi="Times New Roman"/>
          <w:color w:val="0070C0"/>
          <w:sz w:val="16"/>
          <w:szCs w:val="16"/>
          <w:lang w:eastAsia="ru-RU" w:bidi="ru-RU"/>
        </w:rPr>
        <w:softHyphen/>
        <w:t>татель Супрун подвел общий итог про</w:t>
      </w:r>
      <w:r w:rsidRPr="00A3026E">
        <w:rPr>
          <w:rFonts w:ascii="Times New Roman" w:hAnsi="Times New Roman"/>
          <w:color w:val="0070C0"/>
          <w:sz w:val="16"/>
          <w:szCs w:val="16"/>
          <w:lang w:eastAsia="ru-RU" w:bidi="ru-RU"/>
        </w:rPr>
        <w:softHyphen/>
        <w:t>деланной работы. Он сказал, что И-200 «...является самым доведенным самоле</w:t>
      </w:r>
      <w:r w:rsidRPr="00A3026E">
        <w:rPr>
          <w:rFonts w:ascii="Times New Roman" w:hAnsi="Times New Roman"/>
          <w:color w:val="0070C0"/>
          <w:sz w:val="16"/>
          <w:szCs w:val="16"/>
          <w:lang w:eastAsia="ru-RU" w:bidi="ru-RU"/>
        </w:rPr>
        <w:softHyphen/>
        <w:t>том при поступлении его на Государст</w:t>
      </w:r>
      <w:r w:rsidRPr="00A3026E">
        <w:rPr>
          <w:rFonts w:ascii="Times New Roman" w:hAnsi="Times New Roman"/>
          <w:color w:val="0070C0"/>
          <w:sz w:val="16"/>
          <w:szCs w:val="16"/>
          <w:lang w:eastAsia="ru-RU" w:bidi="ru-RU"/>
        </w:rPr>
        <w:softHyphen/>
        <w:t>венные испытания, которые опытный са</w:t>
      </w:r>
      <w:r w:rsidRPr="00A3026E">
        <w:rPr>
          <w:rFonts w:ascii="Times New Roman" w:hAnsi="Times New Roman"/>
          <w:color w:val="0070C0"/>
          <w:sz w:val="16"/>
          <w:szCs w:val="16"/>
          <w:lang w:eastAsia="ru-RU" w:bidi="ru-RU"/>
        </w:rPr>
        <w:softHyphen/>
        <w:t>молет прошел хорошо». Формально дело обстояло так: по окончании Госиспыта- ний к И-200 было предъявлено 112 заме</w:t>
      </w:r>
      <w:r w:rsidRPr="00A3026E">
        <w:rPr>
          <w:rFonts w:ascii="Times New Roman" w:hAnsi="Times New Roman"/>
          <w:color w:val="0070C0"/>
          <w:sz w:val="16"/>
          <w:szCs w:val="16"/>
          <w:lang w:eastAsia="ru-RU" w:bidi="ru-RU"/>
        </w:rPr>
        <w:softHyphen/>
        <w:t>чаний, тогда как И-301 имел 115 замеча</w:t>
      </w:r>
      <w:r w:rsidRPr="00A3026E">
        <w:rPr>
          <w:rFonts w:ascii="Times New Roman" w:hAnsi="Times New Roman"/>
          <w:color w:val="0070C0"/>
          <w:sz w:val="16"/>
          <w:szCs w:val="16"/>
          <w:lang w:eastAsia="ru-RU" w:bidi="ru-RU"/>
        </w:rPr>
        <w:softHyphen/>
        <w:t>ний, а И-26 - 123. Хотя конечно, дефект дефекту рознь (21699).</w:t>
      </w:r>
    </w:p>
    <w:p w14:paraId="4DB22D65" w14:textId="77777777" w:rsidR="006579A6" w:rsidRPr="00A3026E" w:rsidRDefault="006579A6" w:rsidP="00A3026E">
      <w:pPr>
        <w:spacing w:after="0" w:line="240" w:lineRule="auto"/>
        <w:jc w:val="both"/>
        <w:rPr>
          <w:rFonts w:ascii="Times New Roman" w:hAnsi="Times New Roman"/>
          <w:color w:val="0070C0"/>
          <w:sz w:val="16"/>
          <w:szCs w:val="16"/>
        </w:rPr>
      </w:pPr>
    </w:p>
    <w:p w14:paraId="355888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г. на заседании технического со­вета при НИИ ВВС в ходе рассмотрения результатов испытаний ведущий летчик-испытатель С.П.Супрун отметил, что И-200 «является самым доведенным самолетом при поступлении его на государственные испытания, которые опытный самолет прошел хоро­шо». Подчеркнем особо: И—200 был единственным истребителем, прошедшим государственные испыта­ния «с первого предъявления» (И—26 и И—301 предъ­являли на госиспытания неоднократно). За время за­водских и государственных испытаний не было потеряно ни одного самолета, не пострадал ни один летчик [ЦАМО РФ. Ф. 35. Оп. 11287. Д. 89. Л. 18.].</w:t>
      </w:r>
    </w:p>
    <w:p w14:paraId="20890D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выводах акта о результатах госиспытаний, ут­вержденного начальником Главного управления ВВС КА генерал-лейтенантом авиации П.В.Рычаговым, отмечалось: «самолет И—200 AM—35A конструкции инженеров Микояна и Гуревича производства завода № 1 по своей скорости, равной 628 км/ч, является лучшим из опытных отечественных самолетов и не уступает однотипным иностранным самолетам на высотах выше 5000 м». К числу основных недостат­ков И—200 военные отнесли недостаточную даль­ность полета, малую продольную и поперечную ус­тойчивость. «Учитывая острую необходимость снабжения частей ВВС РККА истребителями типа И—200», техсовет рекомендовал как можно скорее провести войсковые испытания этих самолетов. Кроме того, техсовет считал необходимым:</w:t>
      </w:r>
    </w:p>
    <w:p w14:paraId="44D658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провести летные 50-часовые испытания мото­ра AM—35A на самолете И—200;</w:t>
      </w:r>
    </w:p>
    <w:p w14:paraId="6E04C7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конструкторам А.И.Микояну и М.И.Гуревичу немедленно приступить к изготовлению самолета И—200, на котором:</w:t>
      </w:r>
    </w:p>
    <w:p w14:paraId="486646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повысить продольную устойчивость и вместе с тем обязательно облегчить управление, сделав само­лет приятным в пилотировании;</w:t>
      </w:r>
    </w:p>
    <w:p w14:paraId="169B39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увеличить поперечную устойчивость;</w:t>
      </w:r>
    </w:p>
    <w:p w14:paraId="5BF2C0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запротектировать центропланные баки;</w:t>
      </w:r>
    </w:p>
    <w:p w14:paraId="0AC734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установить предкрылки, новые колеса разме­ром согласно нормам НКАП и пневматики на хвос­товое колесо (вместо гусматика);</w:t>
      </w:r>
    </w:p>
    <w:p w14:paraId="172A11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установить дополнительно два легкосъемных пулемета ШКАС или «березин»;</w:t>
      </w:r>
    </w:p>
    <w:p w14:paraId="43FA6C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увеличить запас горючего, доведя дальность по­лета в нормальном варианте не менее 1000 километ­ров при полете на 0,9 максимальной скорости» [17].</w:t>
      </w:r>
    </w:p>
    <w:p w14:paraId="792E86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Следует отметить, что по максимальной скоро­сти полета истребитель превосходил все новые оте­чественные истребители, но не удовлетворял требо­ваниям постановления правительства от 4 марта 1940 г. (640 км/ч). Отдельные полеты первого опыт­ного И—200 без вооружения и иного оборудования (при весе всего в </w:t>
      </w:r>
      <w:r w:rsidRPr="00A3026E">
        <w:rPr>
          <w:rFonts w:ascii="Times New Roman" w:hAnsi="Times New Roman"/>
          <w:color w:val="000000" w:themeColor="text1"/>
          <w:sz w:val="16"/>
          <w:szCs w:val="16"/>
        </w:rPr>
        <w:lastRenderedPageBreak/>
        <w:t>2950 кг) в расчет не принимались — военные упрямо и совершенно справедливо считали единственно бесспорными цифры, подтверж­денные полетами в ходе госиспытаний. В связи с этим разгорелся оживленный «обмен мнениями», по результатам которого нашли компромисс — НИИ ВВС немного скорректировал методику учета поправок указателя скорости, а ОКО уточнило гра­ницу высотности мотора AM—35A. Итоговое (скор­ректированное) значение максимальной скорости И—200 по результатам государственных испытаний стали считать равным 636 км/ч — всего на 0,6% меньше запланированного в постановлении прави­тельства [18].</w:t>
      </w:r>
    </w:p>
    <w:p w14:paraId="08DFCD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характеристики истребителя И—200 по результатам госиспытаний в НИИ ВВС</w:t>
      </w:r>
    </w:p>
    <w:p w14:paraId="0CDA0D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самолета, м 8,15</w:t>
      </w:r>
    </w:p>
    <w:p w14:paraId="2451F9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крыла, м 10,20</w:t>
      </w:r>
    </w:p>
    <w:p w14:paraId="77DC87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м2 17,44</w:t>
      </w:r>
    </w:p>
    <w:p w14:paraId="623E6C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самолета в линии полета, м 3,30</w:t>
      </w:r>
    </w:p>
    <w:p w14:paraId="0FE7D0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Масса пустого самолета, кг 2411 </w:t>
      </w:r>
    </w:p>
    <w:p w14:paraId="4B328C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Взлетная масса, кг</w:t>
      </w:r>
    </w:p>
    <w:p w14:paraId="6D37AF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нормальная 3099</w:t>
      </w:r>
    </w:p>
    <w:p w14:paraId="0C5D3A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3319</w:t>
      </w:r>
    </w:p>
    <w:p w14:paraId="6F8EA9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Запас топлива, кг 266 </w:t>
      </w:r>
    </w:p>
    <w:p w14:paraId="4EFF8C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полета, км/ч</w:t>
      </w:r>
    </w:p>
    <w:p w14:paraId="3CCCA0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земли 486</w:t>
      </w:r>
    </w:p>
    <w:p w14:paraId="113740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7200 м 628*</w:t>
      </w:r>
    </w:p>
    <w:p w14:paraId="0FB21F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Практический потолок, м 12000 </w:t>
      </w:r>
    </w:p>
    <w:p w14:paraId="3F7809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мин.</w:t>
      </w:r>
    </w:p>
    <w:p w14:paraId="7B0C63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 м 3,24</w:t>
      </w:r>
    </w:p>
    <w:p w14:paraId="254FCF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 м 5,30</w:t>
      </w:r>
    </w:p>
    <w:p w14:paraId="01D464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10000 м 12,34 </w:t>
      </w:r>
    </w:p>
    <w:p w14:paraId="4C2EE9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Скороподъемность, м/с</w:t>
      </w:r>
    </w:p>
    <w:p w14:paraId="3ED3C8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1000 м 15,30</w:t>
      </w:r>
    </w:p>
    <w:p w14:paraId="5DCB90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6000 м 16,80</w:t>
      </w:r>
    </w:p>
    <w:p w14:paraId="65784B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высоте 10000 м 6,25 </w:t>
      </w:r>
    </w:p>
    <w:p w14:paraId="52FEE7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Практическая дальность полета на высоте 7000 м, км 580</w:t>
      </w:r>
    </w:p>
    <w:p w14:paraId="180CC8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 на высоте 1000 м, с</w:t>
      </w:r>
    </w:p>
    <w:p w14:paraId="3D7E43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одинарный левый 22,3</w:t>
      </w:r>
    </w:p>
    <w:p w14:paraId="2FE0C5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одинарный правый 20,0</w:t>
      </w:r>
    </w:p>
    <w:p w14:paraId="5CFD6B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 м 268</w:t>
      </w:r>
    </w:p>
    <w:p w14:paraId="0124CD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 м 400</w:t>
      </w:r>
    </w:p>
    <w:p w14:paraId="7BE807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км/ч 141</w:t>
      </w:r>
    </w:p>
    <w:p w14:paraId="0F8171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 После пересчета по более совершенной методике максималь­ную скорость признали равной 636 км/ч на высоте 7600 м (11706).</w:t>
      </w:r>
    </w:p>
    <w:p w14:paraId="73E8B84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1F1CA7E" w14:textId="77777777" w:rsidR="00735D36" w:rsidRPr="00A3026E" w:rsidRDefault="00735D36" w:rsidP="00A3026E">
      <w:pPr>
        <w:pStyle w:val="a3"/>
        <w:rPr>
          <w:color w:val="000000" w:themeColor="text1"/>
          <w:lang w:val="ru-RU"/>
        </w:rPr>
      </w:pPr>
      <w:r w:rsidRPr="00A3026E">
        <w:rPr>
          <w:color w:val="000000" w:themeColor="text1"/>
          <w:lang w:val="ru-RU"/>
        </w:rPr>
        <w:t>13 сентября 1940 на заседании Техническо</w:t>
      </w:r>
      <w:r w:rsidRPr="00A3026E">
        <w:rPr>
          <w:color w:val="000000" w:themeColor="text1"/>
          <w:lang w:val="ru-RU"/>
        </w:rPr>
        <w:softHyphen/>
        <w:t>го совета при НИИ ВВС КА рассмотрели достоинства и недостатки самолёта И-200, и вы</w:t>
      </w:r>
      <w:r w:rsidRPr="00A3026E">
        <w:rPr>
          <w:color w:val="000000" w:themeColor="text1"/>
          <w:lang w:val="ru-RU"/>
        </w:rPr>
        <w:softHyphen/>
        <w:t>работали мероприятия, направленные на улучшение истребителя. В целом машина у военных получила положительную оцен</w:t>
      </w:r>
      <w:r w:rsidRPr="00A3026E">
        <w:rPr>
          <w:color w:val="000000" w:themeColor="text1"/>
          <w:lang w:val="ru-RU"/>
        </w:rPr>
        <w:softHyphen/>
      </w:r>
      <w:r w:rsidRPr="00A3026E">
        <w:rPr>
          <w:rStyle w:val="11pt"/>
          <w:b w:val="0"/>
          <w:color w:val="000000" w:themeColor="text1"/>
          <w:spacing w:val="0"/>
          <w:sz w:val="16"/>
          <w:szCs w:val="16"/>
          <w:lang w:val="ru-RU"/>
        </w:rPr>
        <w:t>ку. Ведущий лётчик</w:t>
      </w:r>
      <w:r w:rsidRPr="00A3026E">
        <w:rPr>
          <w:color w:val="000000" w:themeColor="text1"/>
          <w:lang w:val="ru-RU"/>
        </w:rPr>
        <w:t>-испытатель С.П. Су</w:t>
      </w:r>
      <w:r w:rsidRPr="00A3026E">
        <w:rPr>
          <w:color w:val="000000" w:themeColor="text1"/>
          <w:lang w:val="ru-RU"/>
        </w:rPr>
        <w:softHyphen/>
        <w:t>прун отметил, что И-200 являлся самым доведённым самолётом при поступлении его на госиспытания, которые опытный са</w:t>
      </w:r>
      <w:r w:rsidRPr="00A3026E">
        <w:rPr>
          <w:color w:val="000000" w:themeColor="text1"/>
          <w:lang w:val="ru-RU"/>
        </w:rPr>
        <w:softHyphen/>
        <w:t>молёт прошёл хорошо. И это были не пу</w:t>
      </w:r>
      <w:r w:rsidRPr="00A3026E">
        <w:rPr>
          <w:color w:val="000000" w:themeColor="text1"/>
          <w:lang w:val="ru-RU"/>
        </w:rPr>
        <w:softHyphen/>
        <w:t>стые слова. И-200 сдал государственный экзамен с первого раза, в то время как его собратьям в этом плане не везло: И-26 его пришлось сдавать два раза, И-301 первый раз тоже получил неудовлетворительную оценку, а переэкзаменовка так и не состоялась, И-180 из-за аварии, приведшей к гибели самолёта, сдать его не смог.</w:t>
      </w:r>
    </w:p>
    <w:p w14:paraId="73F209D4" w14:textId="77777777" w:rsidR="00735D36" w:rsidRPr="00A3026E" w:rsidRDefault="00735D36" w:rsidP="00A3026E">
      <w:pPr>
        <w:pStyle w:val="a3"/>
        <w:rPr>
          <w:color w:val="000000" w:themeColor="text1"/>
          <w:lang w:val="ru-RU"/>
        </w:rPr>
      </w:pPr>
      <w:r w:rsidRPr="00A3026E">
        <w:rPr>
          <w:color w:val="000000" w:themeColor="text1"/>
          <w:lang w:val="ru-RU"/>
        </w:rPr>
        <w:t>Кроме этого, за время заводских и государственных испытаний И-200 не потеряли ни од</w:t>
      </w:r>
      <w:r w:rsidRPr="00A3026E">
        <w:rPr>
          <w:color w:val="000000" w:themeColor="text1"/>
          <w:lang w:val="ru-RU"/>
        </w:rPr>
        <w:softHyphen/>
        <w:t>ного самолёта и ни одного лётчика, в то время как на испытаниях И-26 потерпел катастрофу первый опытный экземпляр и погиб лётчик-испытатель Ю.И Пионтковский. А во время испытаний И-180 потеряны все три опытные машины и погибли лётчики-испытатели В.П. Чкалов и Т.П. Сузи.</w:t>
      </w:r>
    </w:p>
    <w:p w14:paraId="277003DA" w14:textId="77777777" w:rsidR="00735D36" w:rsidRPr="00A3026E" w:rsidRDefault="00735D36" w:rsidP="00A3026E">
      <w:pPr>
        <w:pStyle w:val="a3"/>
        <w:rPr>
          <w:color w:val="000000" w:themeColor="text1"/>
          <w:lang w:val="ru-RU"/>
        </w:rPr>
      </w:pPr>
      <w:r w:rsidRPr="00A3026E">
        <w:rPr>
          <w:color w:val="000000" w:themeColor="text1"/>
          <w:lang w:val="ru-RU"/>
        </w:rPr>
        <w:t>Наряду с достоинствами на заседании Технического совета отметили</w:t>
      </w:r>
      <w:r w:rsidRPr="00A3026E">
        <w:rPr>
          <w:rStyle w:val="480"/>
          <w:rFonts w:ascii="Times New Roman" w:hAnsi="Times New Roman" w:cs="Times New Roman"/>
          <w:i w:val="0"/>
          <w:color w:val="000000" w:themeColor="text1"/>
          <w:lang w:val="ru-RU"/>
        </w:rPr>
        <w:t xml:space="preserve"> и</w:t>
      </w:r>
      <w:r w:rsidRPr="00A3026E">
        <w:rPr>
          <w:color w:val="000000" w:themeColor="text1"/>
          <w:lang w:val="ru-RU"/>
        </w:rPr>
        <w:t xml:space="preserve"> ряд недостатков И-200, среди которых назывались недостаточная дальность полёта, малая продольная и поперечная устойчивость. Главному конструктору предписывалось срочно провести мероприятия по увеличению дальности полёта до 650 км и улучшению устойчивости (15976).</w:t>
      </w:r>
    </w:p>
    <w:p w14:paraId="0F508329" w14:textId="77777777" w:rsidR="00735D36" w:rsidRPr="00A3026E" w:rsidRDefault="00735D36" w:rsidP="00A3026E">
      <w:pPr>
        <w:pStyle w:val="a3"/>
        <w:rPr>
          <w:color w:val="000000" w:themeColor="text1"/>
          <w:lang w:val="ru-RU"/>
        </w:rPr>
      </w:pPr>
    </w:p>
    <w:p w14:paraId="1EC481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состоялось заседание Техсовета НИИ ВВС "О результатах гос. испытаний самолета И-200 с АМ-35А конструкции А.И.Микояна, построенного на заводе 1" (Протокол № 11) (837; 709).</w:t>
      </w:r>
    </w:p>
    <w:p w14:paraId="73B761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Слушали: О результатах госиспытаний с-та И-200 с мотором АМ-35А конструкции Микояна, постройки завода № 1</w:t>
      </w:r>
    </w:p>
    <w:p w14:paraId="5D1A4C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ТС при НИИ ВВС КА под председательством Нач. НИИ ВВС гма А.М.Филина в составе членов ТС и Зам. нач. вооружения и снабжения ВВС КА би Федорова в присутствии директора завода № 1 т. Дементьева и ГК т. Микояна, заслушал доклад ви НИИ ВВС КА ви1р Никитченко, содоклад вл ГСС м Супруна о результатах госиспытаний с-та И-200 с мотором АМ-35А и оценку с-та от всех участников летных и наземных испытаний.</w:t>
      </w:r>
    </w:p>
    <w:p w14:paraId="54F4028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построен по Постановлению КО при СНК № 103 от 4 марта 1940.</w:t>
      </w:r>
    </w:p>
    <w:p w14:paraId="3012406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Была задана постройка одноместного истребителя с мотором АМ-37 в 3-х экз. с предъявлением на госиспытания 1-го экз. к 1 июля 1940 г., 2-го - к 15 июля, 3-го - к 1 августа 1940.</w:t>
      </w:r>
    </w:p>
    <w:p w14:paraId="473D61D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при СНК для с-та И-200 были заданы следующие ЛТД:</w:t>
      </w:r>
    </w:p>
    <w:p w14:paraId="18DF7EA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на 7000 м - 640 км/час</w:t>
      </w:r>
    </w:p>
    <w:p w14:paraId="510B79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- 127 км/час</w:t>
      </w:r>
    </w:p>
    <w:p w14:paraId="4035AF3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0,9 макс. - 650 км, при перегрузке - 1000 км</w:t>
      </w:r>
    </w:p>
    <w:p w14:paraId="669067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8000 м - 8,5 мин.</w:t>
      </w:r>
    </w:p>
    <w:p w14:paraId="4CDF06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- 13000 м</w:t>
      </w:r>
    </w:p>
    <w:p w14:paraId="23023E7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2822804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 пул. 7,62, 1хпул 12,7 через винт, бомбовая нагрузка - 220 кг</w:t>
      </w:r>
    </w:p>
    <w:p w14:paraId="4E9F9D4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И-200 с мотором АМ-35А предъявлен на госиспытания в 2-х экземплярах 29 августа 1940</w:t>
      </w:r>
    </w:p>
    <w:p w14:paraId="5C6167D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заводских испытаниях с-та не было полетов выше 8500 м, не был определен практический потолок и расход горючего для определения дальности полета, испытаний РС на заводских исытаниях не проводилось ни на земле ни в воздухе.</w:t>
      </w:r>
    </w:p>
    <w:p w14:paraId="1FD95BA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госиспытаниях с-та в НИИ ВВС КА получены следующие ЛТД:</w:t>
      </w:r>
    </w:p>
    <w:p w14:paraId="709EDB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628 км/час</w:t>
      </w:r>
    </w:p>
    <w:p w14:paraId="1944A9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141 км/час</w:t>
      </w:r>
    </w:p>
    <w:p w14:paraId="7A24A2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0,8 макс. скор. - 580 км</w:t>
      </w:r>
    </w:p>
    <w:p w14:paraId="6A7606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8000 м - 8,57 мин.</w:t>
      </w:r>
    </w:p>
    <w:p w14:paraId="4CDCB8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 на 1000 м - 20-22 сек.</w:t>
      </w:r>
    </w:p>
    <w:p w14:paraId="4A9DE7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имеет вооружение: 1хБерезина 12,7 с запасом 300 патронов, 2-ШКАС 7,62 с б/з 1500 патронов</w:t>
      </w:r>
    </w:p>
    <w:p w14:paraId="26C708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счет перегрузки на с-те предусмотрена подвеска бомб общим весом 220 кг или 8хРС-82мм</w:t>
      </w:r>
    </w:p>
    <w:p w14:paraId="3CA83D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Определение дальности полета при перегрузке не проводилось, т.к. подвесные б/б на испытание предъявлены не были</w:t>
      </w:r>
    </w:p>
    <w:p w14:paraId="1D4423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имеет два крыльевых б/б без протектора и один б/б протектированный в фюзеляже</w:t>
      </w:r>
    </w:p>
    <w:p w14:paraId="5A228E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- 12000 м</w:t>
      </w:r>
    </w:p>
    <w:p w14:paraId="7AB995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5000 м - 5,3 мин.</w:t>
      </w:r>
    </w:p>
    <w:p w14:paraId="3C9FDF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3099 кг</w:t>
      </w:r>
    </w:p>
    <w:p w14:paraId="5C5927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 234-305 м</w:t>
      </w:r>
    </w:p>
    <w:p w14:paraId="635D2C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 400 м</w:t>
      </w:r>
    </w:p>
    <w:p w14:paraId="0882F0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- 141 км/час.</w:t>
      </w:r>
    </w:p>
    <w:p w14:paraId="224A3E2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w:t>
      </w:r>
    </w:p>
    <w:p w14:paraId="153E1E4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 Предъявленный на госиспытания с-т И-200 с мотором АМ-35 конструкции т. Микояна госиспытания выдержл. Вооружение, оборудование с-та проверено на земле и в воздухзе. С-т испытан на пилотаж, пикирование до 638 км/час по приборам и штопор до 2-х витков.</w:t>
      </w:r>
    </w:p>
    <w:p w14:paraId="0B1C5CA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С-т И-200 с мотором АМ-35А является лучшим из всех отечественных опытных с-тов по своей максимальной скорости, равной 628 км/час на высоте 7200 м Но при этом он он имеет большую посадочную скорость, достигающую 141 км/час, недостаточную нормальную дальность полета, равную 580 км и недостаточную продольную и поперечную устойчивость.</w:t>
      </w:r>
    </w:p>
    <w:p w14:paraId="5A1BBB8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Учитывая, что согласно Постановлению КО СНК № 225 от 25 мая 1940, с-т запущен в серийное производство, предложить конструктору срочно провести на с-те И-200 необходимые мероприятия по улучшению продольной и поперечной устойчивости, по увеличению нормальной дальности полета до 650 км/час и по снижению посадочной скорости до 127 км/час.</w:t>
      </w:r>
    </w:p>
    <w:p w14:paraId="74F6E93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с внесенными изменениями предъявитиь на госиспытания 15 ноября с.г.</w:t>
      </w:r>
    </w:p>
    <w:p w14:paraId="3F5E9A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Предложить конструкторам увеличить мощность стрелкового вооружения с-та добавлением 2-х пулеметов калибра 12,7 мм иди 7,62мм, разработать подвесные б/б для увеличения дальности и запроектировать крыльевые б/б</w:t>
      </w:r>
    </w:p>
    <w:p w14:paraId="2B6996B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 целях дальнейшей доводки с-та конструктору необходимо продолжить изучение пикирования и штопорных свойств с-та, для его необходимо подобрать винт к с-ту и проработать установку предкрылком.</w:t>
      </w:r>
    </w:p>
    <w:p w14:paraId="0CC7BB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Учитывая острую необходимость снабжения частей ВВС КА истребителями типа И-200, считать необходимым скорейшее проведение войсковых испытаний этого с-та.</w:t>
      </w:r>
    </w:p>
    <w:p w14:paraId="6572FE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Протокол подписан 22 сентября 1940 (709,1).</w:t>
      </w:r>
    </w:p>
    <w:p w14:paraId="079DD6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С.П.Супрун отметил, что И-200: “является самым доведенным самолетом при поступлении его на гос. испытания, которые опытный самолет прошел хорошо” (4415,32).</w:t>
      </w:r>
    </w:p>
    <w:p w14:paraId="4D29797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B2625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на сдедующий день после окончания государственных испытаний второго и тре</w:t>
      </w:r>
      <w:r w:rsidRPr="00A3026E">
        <w:rPr>
          <w:rFonts w:ascii="Times New Roman" w:hAnsi="Times New Roman"/>
          <w:color w:val="000000" w:themeColor="text1"/>
          <w:sz w:val="16"/>
          <w:szCs w:val="16"/>
        </w:rPr>
        <w:softHyphen/>
        <w:t>тьего опытных экземпляров истреби</w:t>
      </w:r>
      <w:r w:rsidRPr="00A3026E">
        <w:rPr>
          <w:rFonts w:ascii="Times New Roman" w:hAnsi="Times New Roman"/>
          <w:color w:val="000000" w:themeColor="text1"/>
          <w:sz w:val="16"/>
          <w:szCs w:val="16"/>
        </w:rPr>
        <w:softHyphen/>
        <w:t>теля И-200, которые начались 29 августа 1940 г. (28 августа машины перегнали в НИИ ВВС КА), состоялось заседание Техничес</w:t>
      </w:r>
      <w:r w:rsidRPr="00A3026E">
        <w:rPr>
          <w:rFonts w:ascii="Times New Roman" w:hAnsi="Times New Roman"/>
          <w:color w:val="000000" w:themeColor="text1"/>
          <w:sz w:val="16"/>
          <w:szCs w:val="16"/>
        </w:rPr>
        <w:softHyphen/>
        <w:t>кого совета при НИИ ВВС КА, на котором рас</w:t>
      </w:r>
      <w:r w:rsidRPr="00A3026E">
        <w:rPr>
          <w:rFonts w:ascii="Times New Roman" w:hAnsi="Times New Roman"/>
          <w:color w:val="000000" w:themeColor="text1"/>
          <w:sz w:val="16"/>
          <w:szCs w:val="16"/>
        </w:rPr>
        <w:softHyphen/>
        <w:t>смотрели все достоинства и недо</w:t>
      </w:r>
      <w:r w:rsidRPr="00A3026E">
        <w:rPr>
          <w:rFonts w:ascii="Times New Roman" w:hAnsi="Times New Roman"/>
          <w:color w:val="000000" w:themeColor="text1"/>
          <w:sz w:val="16"/>
          <w:szCs w:val="16"/>
        </w:rPr>
        <w:softHyphen/>
        <w:t>статки самолёта, а также вырабо</w:t>
      </w:r>
      <w:r w:rsidRPr="00A3026E">
        <w:rPr>
          <w:rFonts w:ascii="Times New Roman" w:hAnsi="Times New Roman"/>
          <w:color w:val="000000" w:themeColor="text1"/>
          <w:sz w:val="16"/>
          <w:szCs w:val="16"/>
        </w:rPr>
        <w:softHyphen/>
        <w:t>тали основные мероприятия, на</w:t>
      </w:r>
      <w:r w:rsidRPr="00A3026E">
        <w:rPr>
          <w:rFonts w:ascii="Times New Roman" w:hAnsi="Times New Roman"/>
          <w:color w:val="000000" w:themeColor="text1"/>
          <w:sz w:val="16"/>
          <w:szCs w:val="16"/>
        </w:rPr>
        <w:softHyphen/>
        <w:t>правленные на его улучшение. В целом машина у военных получила положительную оценку. Ведущий лётчик-испытатель С.П. Супрун от</w:t>
      </w:r>
      <w:r w:rsidRPr="00A3026E">
        <w:rPr>
          <w:rFonts w:ascii="Times New Roman" w:hAnsi="Times New Roman"/>
          <w:color w:val="000000" w:themeColor="text1"/>
          <w:sz w:val="16"/>
          <w:szCs w:val="16"/>
        </w:rPr>
        <w:softHyphen/>
        <w:t>метил, что И-200 «является самым доведённым самолётом при поступ</w:t>
      </w:r>
      <w:r w:rsidRPr="00A3026E">
        <w:rPr>
          <w:rFonts w:ascii="Times New Roman" w:hAnsi="Times New Roman"/>
          <w:color w:val="000000" w:themeColor="text1"/>
          <w:sz w:val="16"/>
          <w:szCs w:val="16"/>
        </w:rPr>
        <w:softHyphen/>
        <w:t>лении его на государственные ис</w:t>
      </w:r>
      <w:r w:rsidRPr="00A3026E">
        <w:rPr>
          <w:rFonts w:ascii="Times New Roman" w:hAnsi="Times New Roman"/>
          <w:color w:val="000000" w:themeColor="text1"/>
          <w:sz w:val="16"/>
          <w:szCs w:val="16"/>
        </w:rPr>
        <w:softHyphen/>
        <w:t>пытания, которые опытный самолёт прошёл хорошо». И это были не пу</w:t>
      </w:r>
      <w:r w:rsidRPr="00A3026E">
        <w:rPr>
          <w:rFonts w:ascii="Times New Roman" w:hAnsi="Times New Roman"/>
          <w:color w:val="000000" w:themeColor="text1"/>
          <w:sz w:val="16"/>
          <w:szCs w:val="16"/>
        </w:rPr>
        <w:softHyphen/>
        <w:t>стые слова. И-200 сдал государ</w:t>
      </w:r>
      <w:r w:rsidRPr="00A3026E">
        <w:rPr>
          <w:rFonts w:ascii="Times New Roman" w:hAnsi="Times New Roman"/>
          <w:color w:val="000000" w:themeColor="text1"/>
          <w:sz w:val="16"/>
          <w:szCs w:val="16"/>
        </w:rPr>
        <w:softHyphen/>
        <w:t>ственный экзамен с первого раза, в то время как его собратьям в этом плане не везло. И-26 его пришлось сдавать два раза. И-301 первый раз тоже получил неудовлетворитель</w:t>
      </w:r>
      <w:r w:rsidRPr="00A3026E">
        <w:rPr>
          <w:rFonts w:ascii="Times New Roman" w:hAnsi="Times New Roman"/>
          <w:color w:val="000000" w:themeColor="text1"/>
          <w:sz w:val="16"/>
          <w:szCs w:val="16"/>
        </w:rPr>
        <w:softHyphen/>
        <w:t>ную оценку, а переэкзаменовка так и не состоялась. И-180 из-за ава</w:t>
      </w:r>
      <w:r w:rsidRPr="00A3026E">
        <w:rPr>
          <w:rFonts w:ascii="Times New Roman" w:hAnsi="Times New Roman"/>
          <w:color w:val="000000" w:themeColor="text1"/>
          <w:sz w:val="16"/>
          <w:szCs w:val="16"/>
        </w:rPr>
        <w:softHyphen/>
        <w:t>рии, приведшей к гибели самолёта, сдать его не смог. Кроме этого за время заводских и государственных испытаний И-200 не потеряли ни одного самолёта и ни одного лёт</w:t>
      </w:r>
      <w:r w:rsidRPr="00A3026E">
        <w:rPr>
          <w:rFonts w:ascii="Times New Roman" w:hAnsi="Times New Roman"/>
          <w:color w:val="000000" w:themeColor="text1"/>
          <w:sz w:val="16"/>
          <w:szCs w:val="16"/>
        </w:rPr>
        <w:softHyphen/>
        <w:t>чика. В то время как на испытаниях И-26 потерпел катастрофу первый опытный экземпляр и погиб лётчик-испытатель Ю.И Пионтковский. А во время испытаний И-180 потеряны все три опытные машины и погибли лётчики-испытатели В.П. Чкалов и Т.П. Сузи. В выводах отчёта по результа</w:t>
      </w:r>
      <w:r w:rsidRPr="00A3026E">
        <w:rPr>
          <w:rFonts w:ascii="Times New Roman" w:hAnsi="Times New Roman"/>
          <w:color w:val="000000" w:themeColor="text1"/>
          <w:sz w:val="16"/>
          <w:szCs w:val="16"/>
        </w:rPr>
        <w:softHyphen/>
        <w:t>там госиспытаний, утвержденного 20 сентября 1940 г. начальником ВВС КА генерал-лейтенантом авиа</w:t>
      </w:r>
      <w:r w:rsidRPr="00A3026E">
        <w:rPr>
          <w:rFonts w:ascii="Times New Roman" w:hAnsi="Times New Roman"/>
          <w:color w:val="000000" w:themeColor="text1"/>
          <w:sz w:val="16"/>
          <w:szCs w:val="16"/>
        </w:rPr>
        <w:softHyphen/>
        <w:t>ции П.В. Рычаговым, отмечалось, что «самолёт И-200 АМ-35А конструк</w:t>
      </w:r>
      <w:r w:rsidRPr="00A3026E">
        <w:rPr>
          <w:rFonts w:ascii="Times New Roman" w:hAnsi="Times New Roman"/>
          <w:color w:val="000000" w:themeColor="text1"/>
          <w:sz w:val="16"/>
          <w:szCs w:val="16"/>
        </w:rPr>
        <w:softHyphen/>
        <w:t>ции инженеров Микояна и Гуреви-ча производства завода №1, по своей скорости, равной 628 км/ч, является лучшим из отечественных опытных самолётов и не уступает однотипным иностранным самолё</w:t>
      </w:r>
      <w:r w:rsidRPr="00A3026E">
        <w:rPr>
          <w:rFonts w:ascii="Times New Roman" w:hAnsi="Times New Roman"/>
          <w:color w:val="000000" w:themeColor="text1"/>
          <w:sz w:val="16"/>
          <w:szCs w:val="16"/>
        </w:rPr>
        <w:softHyphen/>
        <w:t>там на высотах выше 5000 м». Наряду с достоинствами на за</w:t>
      </w:r>
      <w:r w:rsidRPr="00A3026E">
        <w:rPr>
          <w:rFonts w:ascii="Times New Roman" w:hAnsi="Times New Roman"/>
          <w:color w:val="000000" w:themeColor="text1"/>
          <w:sz w:val="16"/>
          <w:szCs w:val="16"/>
        </w:rPr>
        <w:softHyphen/>
        <w:t>седании Технического совета отме</w:t>
      </w:r>
      <w:r w:rsidRPr="00A3026E">
        <w:rPr>
          <w:rFonts w:ascii="Times New Roman" w:hAnsi="Times New Roman"/>
          <w:color w:val="000000" w:themeColor="text1"/>
          <w:sz w:val="16"/>
          <w:szCs w:val="16"/>
        </w:rPr>
        <w:softHyphen/>
        <w:t>тили и ряд недостатков И-200, в числе которых назывались недоста</w:t>
      </w:r>
      <w:r w:rsidRPr="00A3026E">
        <w:rPr>
          <w:rFonts w:ascii="Times New Roman" w:hAnsi="Times New Roman"/>
          <w:color w:val="000000" w:themeColor="text1"/>
          <w:sz w:val="16"/>
          <w:szCs w:val="16"/>
        </w:rPr>
        <w:softHyphen/>
        <w:t>точная дальность полёта, равная 580 км, малая продольная и попе</w:t>
      </w:r>
      <w:r w:rsidRPr="00A3026E">
        <w:rPr>
          <w:rFonts w:ascii="Times New Roman" w:hAnsi="Times New Roman"/>
          <w:color w:val="000000" w:themeColor="text1"/>
          <w:sz w:val="16"/>
          <w:szCs w:val="16"/>
        </w:rPr>
        <w:softHyphen/>
        <w:t>речная устойчивость. На основа</w:t>
      </w:r>
      <w:r w:rsidRPr="00A3026E">
        <w:rPr>
          <w:rFonts w:ascii="Times New Roman" w:hAnsi="Times New Roman"/>
          <w:color w:val="000000" w:themeColor="text1"/>
          <w:sz w:val="16"/>
          <w:szCs w:val="16"/>
        </w:rPr>
        <w:softHyphen/>
        <w:t>нии полученных результатов глав</w:t>
      </w:r>
      <w:r w:rsidRPr="00A3026E">
        <w:rPr>
          <w:rFonts w:ascii="Times New Roman" w:hAnsi="Times New Roman"/>
          <w:color w:val="000000" w:themeColor="text1"/>
          <w:sz w:val="16"/>
          <w:szCs w:val="16"/>
        </w:rPr>
        <w:softHyphen/>
        <w:t>ному конструктору предписывалось срочно провести необходимые ме</w:t>
      </w:r>
      <w:r w:rsidRPr="00A3026E">
        <w:rPr>
          <w:rFonts w:ascii="Times New Roman" w:hAnsi="Times New Roman"/>
          <w:color w:val="000000" w:themeColor="text1"/>
          <w:sz w:val="16"/>
          <w:szCs w:val="16"/>
        </w:rPr>
        <w:softHyphen/>
        <w:t>роприятия по улучшению устойчи</w:t>
      </w:r>
      <w:r w:rsidRPr="00A3026E">
        <w:rPr>
          <w:rFonts w:ascii="Times New Roman" w:hAnsi="Times New Roman"/>
          <w:color w:val="000000" w:themeColor="text1"/>
          <w:sz w:val="16"/>
          <w:szCs w:val="16"/>
        </w:rPr>
        <w:softHyphen/>
        <w:t>вости, по увеличению дальности по</w:t>
      </w:r>
      <w:r w:rsidRPr="00A3026E">
        <w:rPr>
          <w:rFonts w:ascii="Times New Roman" w:hAnsi="Times New Roman"/>
          <w:color w:val="000000" w:themeColor="text1"/>
          <w:sz w:val="16"/>
          <w:szCs w:val="16"/>
        </w:rPr>
        <w:softHyphen/>
        <w:t>лёта до 650 км и по снижению по</w:t>
      </w:r>
      <w:r w:rsidRPr="00A3026E">
        <w:rPr>
          <w:rFonts w:ascii="Times New Roman" w:hAnsi="Times New Roman"/>
          <w:color w:val="000000" w:themeColor="text1"/>
          <w:sz w:val="16"/>
          <w:szCs w:val="16"/>
        </w:rPr>
        <w:softHyphen/>
        <w:t>садочной скорости до 127 км/ч. Кроме этого на заседании Техни</w:t>
      </w:r>
      <w:r w:rsidRPr="00A3026E">
        <w:rPr>
          <w:rFonts w:ascii="Times New Roman" w:hAnsi="Times New Roman"/>
          <w:color w:val="000000" w:themeColor="text1"/>
          <w:sz w:val="16"/>
          <w:szCs w:val="16"/>
        </w:rPr>
        <w:softHyphen/>
        <w:t>ческого совета, было предложено увеличить мощность стрелкового вооружения истребителя путём уста</w:t>
      </w:r>
      <w:r w:rsidRPr="00A3026E">
        <w:rPr>
          <w:rFonts w:ascii="Times New Roman" w:hAnsi="Times New Roman"/>
          <w:color w:val="000000" w:themeColor="text1"/>
          <w:sz w:val="16"/>
          <w:szCs w:val="16"/>
        </w:rPr>
        <w:softHyphen/>
        <w:t>новки ещё двух пулемётов БС или ШКАС, а также разработать для самолёта подвесные топливные баки. Стоит отметить, что в принципе ВВС КА получали истребитель, ко</w:t>
      </w:r>
      <w:r w:rsidRPr="00A3026E">
        <w:rPr>
          <w:rFonts w:ascii="Times New Roman" w:hAnsi="Times New Roman"/>
          <w:color w:val="000000" w:themeColor="text1"/>
          <w:sz w:val="16"/>
          <w:szCs w:val="16"/>
        </w:rPr>
        <w:softHyphen/>
        <w:t>торый хотели военные. Основные требования к новым боевым само</w:t>
      </w:r>
      <w:r w:rsidRPr="00A3026E">
        <w:rPr>
          <w:rFonts w:ascii="Times New Roman" w:hAnsi="Times New Roman"/>
          <w:color w:val="000000" w:themeColor="text1"/>
          <w:sz w:val="16"/>
          <w:szCs w:val="16"/>
        </w:rPr>
        <w:softHyphen/>
        <w:t>лётам они сформулировали вско</w:t>
      </w:r>
      <w:r w:rsidRPr="00A3026E">
        <w:rPr>
          <w:rFonts w:ascii="Times New Roman" w:hAnsi="Times New Roman"/>
          <w:color w:val="000000" w:themeColor="text1"/>
          <w:sz w:val="16"/>
          <w:szCs w:val="16"/>
        </w:rPr>
        <w:softHyphen/>
        <w:t>ре после нападения фашисткой Гер</w:t>
      </w:r>
      <w:r w:rsidRPr="00A3026E">
        <w:rPr>
          <w:rFonts w:ascii="Times New Roman" w:hAnsi="Times New Roman"/>
          <w:color w:val="000000" w:themeColor="text1"/>
          <w:sz w:val="16"/>
          <w:szCs w:val="16"/>
        </w:rPr>
        <w:softHyphen/>
        <w:t>мании на Польшу (11761).</w:t>
      </w:r>
    </w:p>
    <w:p w14:paraId="117858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0F602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г. На следующий день после окончания Госиспытаний, состоялся техсовет НИИ ВВС, и Супрун подвел общий итог проделанной работы. В частности, он сказал, что И-200 "...является самым доведенным самолетом при поступлении его на Государственные испытания, которые опытный самолет прошел хорошо". Формально дело обстояло так: по окончании Госиспытаний к самолету было предъявлено 112 замечаний, тогда как И-301 получил 115 замечаний, а И-26 - 123. Хотя, конечно, дефект дефекту рознь.</w:t>
      </w:r>
    </w:p>
    <w:p w14:paraId="08BE8E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Острым вопросом оставалась дальность. Внутренней заправки должно было хватать на 650 км полета на 90% максимальной скорости на высоте 8000 м, но расход топлива АМ-35А оказался выше ожидаемого, и скоростная дальность получилась 580 км на высоте 7000 м. Это устраивало заказчика. Но 6 сентября Шахурин, сославшись на опыт немецкой авиации в налетах на Англию, поставил задачу повысить дальность истребителей для прикрытия бомбардировщиков. 2 октября вышло постановление правительства № 1854-773 "Об увеличении дальности истребителей и постановке их производства на заводах", которое требовало довести этот показатель до 1000 км. Микоян был готов к такому повороту дела: испытания сбрасываемых подкрыльевых ПТБ шли на И-200-1 с 16 сентября. Хотя в одном из полетов оба бака оборвались, узлы подвески быстро переделали, и работу удалось успешно завершить. Хотя подвеска снижала крейсерскую скорость, ПТБ приняли, на снабжение, рекомендовав Микояну увеличить внутренний запас топлива. Параллельно на .И-200-1 провели испытания различных вариантов протектирования баков в центроплане и заполнения их охлажденными выхлопными газами. Эти доработки были сразу внедрены в серийные чертежи (11938).</w:t>
      </w:r>
    </w:p>
    <w:p w14:paraId="115F65A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CB6D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г. на заседании технического совета при НИИ ВВС в ходе рассмотрения результатов испытаний ведущий летчик-испытатель С.П. Супрун отметил, что И-200 "является самым доведенным самолетом при поступлении его на государственные испытания, которые опытный самолет прошел хорошо". Подчеркнем особо: И-200 был единственным истребителем, прошедшим государственные испытания "с первого предъявления" (И-26 и И-301 предъявляли на госиспытания неоднократно). За время заводских и государственных испытаний не было потеряно ни одного самолета, не пострадал ни один летчик. "Учитывая острую необходимость снабжения частей ВВС РККА истребителями типа И-200", техсовет рекомендовал как можно скорее провести войсковые испытания этих самолетов. Кроме того, техсовет считал необходимым:</w:t>
      </w:r>
    </w:p>
    <w:p w14:paraId="7E24F8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провести летные 50-часовые испытания мотора АМ-35А на самолете И-200;</w:t>
      </w:r>
    </w:p>
    <w:p w14:paraId="6B67BF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конструкторам А.И. Микояну и М.И. Гу- ревичу немедленно приступить к изготовлению самолета И-200, на котором:</w:t>
      </w:r>
    </w:p>
    <w:p w14:paraId="061A60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повысить продольную устойчивость и вместе с тем обязательно облегчить управление, сделав самолет приятным в пилотировании;</w:t>
      </w:r>
    </w:p>
    <w:p w14:paraId="3CFB6A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увеличить поперечную устойчивость;</w:t>
      </w:r>
    </w:p>
    <w:p w14:paraId="142F67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запротектировать центропланные баки;</w:t>
      </w:r>
    </w:p>
    <w:p w14:paraId="79A5CC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установить предкрылки, новые колеса размером согласно нормам НКАП и пневматики на хвостовое колесо (вместо гусматика);</w:t>
      </w:r>
    </w:p>
    <w:p w14:paraId="68B51A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установить дополнительно два легкосъемных пулемета ШКАС или "березин";</w:t>
      </w:r>
    </w:p>
    <w:p w14:paraId="06B3CF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увеличить запас горючего, доведя дальность полета в нормальном варианте не менее 1000 километров при полете на 0,9 максимальной скорости".</w:t>
      </w:r>
    </w:p>
    <w:p w14:paraId="3B3465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Следует отметить, что по максимальной скорости полета истребитель превосходил все новые отечественные истребители, но не удовлетворял требованиям постановления правительства от 4 марта 1940 г. (640 км/ч). Отдельные полеты первого опытного И-200 без вооружения и иного оборудования (при весе всего в 2950 кг) в расчет не принимались - военные упрямо и совершенно справедливо считали единственно бесспорными цифры, подтвержденные полетами в ходе госиспытаний. В связи с этим разгорелся оживленный "обмен мнениями", по результатам которого нашли компромисс - НИИ ВВС немного скорректировал методику учета поправок указателя скорости, а ОКО уточнило границу высотности мотора АМ-35А. Итоговое (скорректированное) значение максимальной скорости И-200 по результатам государственных испытаний стали считать равным 636 км/ч - всего на 0,6% меньше запланированного в постановлении правительства (12045).</w:t>
      </w:r>
    </w:p>
    <w:p w14:paraId="6419D33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DCA13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закончились государственные 100 часовые испытания на станке АМ-35А N 170, которые проводились с 16 июля 1940 (840).</w:t>
      </w:r>
    </w:p>
    <w:p w14:paraId="5C6163A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0C17A1" w14:textId="77777777" w:rsidR="006579A6" w:rsidRPr="00A3026E" w:rsidRDefault="006579A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 сентября 1940</w:t>
      </w:r>
    </w:p>
    <w:p w14:paraId="16F343DF" w14:textId="77777777" w:rsidR="006579A6" w:rsidRPr="00A3026E" w:rsidRDefault="006579A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Решение Политбюро от 13.IX.40 г.</w:t>
      </w:r>
    </w:p>
    <w:p w14:paraId="0D7F8753" w14:textId="77777777" w:rsidR="006579A6" w:rsidRPr="00A3026E" w:rsidRDefault="006579A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170. О производстве авиационных магнето. — ОП (21131).</w:t>
      </w:r>
    </w:p>
    <w:p w14:paraId="70772F4D" w14:textId="77777777" w:rsidR="006579A6" w:rsidRPr="00A3026E" w:rsidRDefault="006579A6" w:rsidP="00A3026E">
      <w:pPr>
        <w:spacing w:after="0" w:line="240" w:lineRule="auto"/>
        <w:jc w:val="both"/>
        <w:rPr>
          <w:rFonts w:ascii="Times New Roman" w:hAnsi="Times New Roman"/>
          <w:color w:val="0070C0"/>
          <w:sz w:val="16"/>
          <w:szCs w:val="16"/>
        </w:rPr>
      </w:pPr>
    </w:p>
    <w:p w14:paraId="1F390A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был отпечатан проект Постановления КО СНК "О развитии авиации ВМФ". По этому приказу завод N 30 в Иваньково предназначался для серийного строительства морских дальних разведчиков - минных заградителей (468,174).</w:t>
      </w:r>
    </w:p>
    <w:p w14:paraId="6A5030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Видно здесь и начался конец истории с производством БШ-2 на 30 заводе. Важно, что так и не ясно, когда эта история началась. Получается, что есть только один документ - приказ от 1 октября 1940, да протокол совещания НКАП и ВВС от 4 июня 1940.</w:t>
      </w:r>
    </w:p>
    <w:p w14:paraId="215197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Впрочем, может быть БШ-2 делали не в Иваньково, а в Кимрах.</w:t>
      </w:r>
    </w:p>
    <w:p w14:paraId="5235BA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Комитет Обороны при СНК СССР ПОСТАНОВЛЯЕТ:</w:t>
      </w:r>
    </w:p>
    <w:p w14:paraId="724CC9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Установить для Авиации ВМФ следующие типы гидросамолетов:</w:t>
      </w:r>
    </w:p>
    <w:p w14:paraId="06D665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а) Морской дальний разведчик (он же минный заградитель),</w:t>
      </w:r>
    </w:p>
    <w:p w14:paraId="6A0D5C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Морской базовый разведчик,</w:t>
      </w:r>
    </w:p>
    <w:p w14:paraId="1DB17F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Корабельвнй катапультный разведчик (он же самолет охраны водного района),</w:t>
      </w:r>
    </w:p>
    <w:p w14:paraId="3D7DE7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Морской учеьно-тренировочный.</w:t>
      </w:r>
    </w:p>
    <w:p w14:paraId="223266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Одределить потребность в гидросамолетах Авиации ВМФ на 1941-1942 гг.</w:t>
      </w:r>
    </w:p>
    <w:p w14:paraId="0285FF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4805"/>
        <w:gridCol w:w="1957"/>
        <w:gridCol w:w="1957"/>
        <w:gridCol w:w="1957"/>
      </w:tblGrid>
      <w:tr w:rsidR="00983732" w:rsidRPr="00A3026E" w14:paraId="1111D62B" w14:textId="77777777" w:rsidTr="00EA0DA7">
        <w:tc>
          <w:tcPr>
            <w:tcW w:w="534" w:type="dxa"/>
            <w:tcBorders>
              <w:top w:val="single" w:sz="12" w:space="0" w:color="auto"/>
            </w:tcBorders>
          </w:tcPr>
          <w:p w14:paraId="69AF30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п/п</w:t>
            </w:r>
          </w:p>
        </w:tc>
        <w:tc>
          <w:tcPr>
            <w:tcW w:w="4805" w:type="dxa"/>
            <w:tcBorders>
              <w:top w:val="single" w:sz="12" w:space="0" w:color="auto"/>
            </w:tcBorders>
          </w:tcPr>
          <w:p w14:paraId="00E35F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Типы гидросамолетов</w:t>
            </w:r>
          </w:p>
        </w:tc>
        <w:tc>
          <w:tcPr>
            <w:tcW w:w="1957" w:type="dxa"/>
            <w:tcBorders>
              <w:top w:val="single" w:sz="12" w:space="0" w:color="auto"/>
            </w:tcBorders>
          </w:tcPr>
          <w:p w14:paraId="2DD3EE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1941</w:t>
            </w:r>
          </w:p>
        </w:tc>
        <w:tc>
          <w:tcPr>
            <w:tcW w:w="1957" w:type="dxa"/>
            <w:tcBorders>
              <w:top w:val="single" w:sz="12" w:space="0" w:color="auto"/>
            </w:tcBorders>
          </w:tcPr>
          <w:p w14:paraId="36846E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1942</w:t>
            </w:r>
          </w:p>
        </w:tc>
        <w:tc>
          <w:tcPr>
            <w:tcW w:w="1957" w:type="dxa"/>
            <w:tcBorders>
              <w:top w:val="single" w:sz="12" w:space="0" w:color="auto"/>
            </w:tcBorders>
          </w:tcPr>
          <w:p w14:paraId="11875D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r>
      <w:tr w:rsidR="00983732" w:rsidRPr="00A3026E" w14:paraId="5184A5F7" w14:textId="77777777" w:rsidTr="00EA0DA7">
        <w:tc>
          <w:tcPr>
            <w:tcW w:w="534" w:type="dxa"/>
          </w:tcPr>
          <w:p w14:paraId="7451E8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4805" w:type="dxa"/>
          </w:tcPr>
          <w:p w14:paraId="0556BE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Морской дальний разведчик (он же минный заградитель)</w:t>
            </w:r>
          </w:p>
        </w:tc>
        <w:tc>
          <w:tcPr>
            <w:tcW w:w="1957" w:type="dxa"/>
          </w:tcPr>
          <w:p w14:paraId="6BCAEC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957" w:type="dxa"/>
          </w:tcPr>
          <w:p w14:paraId="62DC62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957" w:type="dxa"/>
          </w:tcPr>
          <w:p w14:paraId="3BAC06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r>
      <w:tr w:rsidR="00983732" w:rsidRPr="00A3026E" w14:paraId="7ECDB62D" w14:textId="77777777" w:rsidTr="00EA0DA7">
        <w:tc>
          <w:tcPr>
            <w:tcW w:w="534" w:type="dxa"/>
          </w:tcPr>
          <w:p w14:paraId="68DFE4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4805" w:type="dxa"/>
          </w:tcPr>
          <w:p w14:paraId="705D22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Морской базовый разведчик</w:t>
            </w:r>
          </w:p>
        </w:tc>
        <w:tc>
          <w:tcPr>
            <w:tcW w:w="1957" w:type="dxa"/>
          </w:tcPr>
          <w:p w14:paraId="3FF4CA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1957" w:type="dxa"/>
          </w:tcPr>
          <w:p w14:paraId="2D19B0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1957" w:type="dxa"/>
          </w:tcPr>
          <w:p w14:paraId="4DA645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r>
      <w:tr w:rsidR="00983732" w:rsidRPr="00A3026E" w14:paraId="470B72CC" w14:textId="77777777" w:rsidTr="00EA0DA7">
        <w:tc>
          <w:tcPr>
            <w:tcW w:w="534" w:type="dxa"/>
          </w:tcPr>
          <w:p w14:paraId="34D2D2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4805" w:type="dxa"/>
          </w:tcPr>
          <w:p w14:paraId="16EB4F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Корабельвнй катапультный разведчик (он же самолет охраны водного района)</w:t>
            </w:r>
          </w:p>
        </w:tc>
        <w:tc>
          <w:tcPr>
            <w:tcW w:w="1957" w:type="dxa"/>
          </w:tcPr>
          <w:p w14:paraId="5C62A0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1957" w:type="dxa"/>
          </w:tcPr>
          <w:p w14:paraId="4EC3A7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1957" w:type="dxa"/>
          </w:tcPr>
          <w:p w14:paraId="4308E3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r>
      <w:tr w:rsidR="00983732" w:rsidRPr="00A3026E" w14:paraId="1D32FE2B" w14:textId="77777777" w:rsidTr="00EA0DA7">
        <w:tc>
          <w:tcPr>
            <w:tcW w:w="534" w:type="dxa"/>
          </w:tcPr>
          <w:p w14:paraId="1D3FCD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4805" w:type="dxa"/>
          </w:tcPr>
          <w:p w14:paraId="33C64B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Морской учеьно-тренировочный</w:t>
            </w:r>
          </w:p>
        </w:tc>
        <w:tc>
          <w:tcPr>
            <w:tcW w:w="1957" w:type="dxa"/>
          </w:tcPr>
          <w:p w14:paraId="5939D9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1957" w:type="dxa"/>
          </w:tcPr>
          <w:p w14:paraId="1B5D1B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957" w:type="dxa"/>
          </w:tcPr>
          <w:p w14:paraId="5DEB0B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r>
      <w:tr w:rsidR="00983732" w:rsidRPr="00A3026E" w14:paraId="03D5B8E5" w14:textId="77777777" w:rsidTr="00EA0DA7">
        <w:tc>
          <w:tcPr>
            <w:tcW w:w="534" w:type="dxa"/>
            <w:tcBorders>
              <w:bottom w:val="single" w:sz="12" w:space="0" w:color="auto"/>
            </w:tcBorders>
          </w:tcPr>
          <w:p w14:paraId="484D8C2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4805" w:type="dxa"/>
            <w:tcBorders>
              <w:bottom w:val="single" w:sz="12" w:space="0" w:color="auto"/>
            </w:tcBorders>
          </w:tcPr>
          <w:p w14:paraId="620616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1957" w:type="dxa"/>
            <w:tcBorders>
              <w:bottom w:val="single" w:sz="12" w:space="0" w:color="auto"/>
            </w:tcBorders>
          </w:tcPr>
          <w:p w14:paraId="1EA282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1957" w:type="dxa"/>
            <w:tcBorders>
              <w:bottom w:val="single" w:sz="12" w:space="0" w:color="auto"/>
            </w:tcBorders>
          </w:tcPr>
          <w:p w14:paraId="5B6D04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w:t>
            </w:r>
          </w:p>
        </w:tc>
        <w:tc>
          <w:tcPr>
            <w:tcW w:w="1957" w:type="dxa"/>
            <w:tcBorders>
              <w:bottom w:val="single" w:sz="12" w:space="0" w:color="auto"/>
            </w:tcBorders>
          </w:tcPr>
          <w:p w14:paraId="0052CE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1950</w:t>
            </w:r>
          </w:p>
        </w:tc>
      </w:tr>
    </w:tbl>
    <w:p w14:paraId="3922D1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Закрепить за опытгым гидросамолетостроением следующие конструкторские бюро:</w:t>
      </w:r>
    </w:p>
    <w:p w14:paraId="07D79E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 ЧЕТВЕРИКОВА</w:t>
      </w:r>
      <w:r w:rsidRPr="00A3026E">
        <w:rPr>
          <w:rFonts w:ascii="Times New Roman" w:hAnsi="Times New Roman"/>
          <w:color w:val="000000" w:themeColor="text1"/>
          <w:sz w:val="16"/>
          <w:szCs w:val="16"/>
        </w:rPr>
        <w:tab/>
        <w:t>на заводе № 31</w:t>
      </w:r>
    </w:p>
    <w:p w14:paraId="75F871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 БЕРИЕВА </w:t>
      </w:r>
      <w:r w:rsidRPr="00A3026E">
        <w:rPr>
          <w:rFonts w:ascii="Times New Roman" w:hAnsi="Times New Roman"/>
          <w:color w:val="000000" w:themeColor="text1"/>
          <w:sz w:val="16"/>
          <w:szCs w:val="16"/>
        </w:rPr>
        <w:tab/>
        <w:t>на заводе № 31</w:t>
      </w:r>
    </w:p>
    <w:p w14:paraId="571C2E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 ГОЛУБКОВА</w:t>
      </w:r>
      <w:r w:rsidRPr="00A3026E">
        <w:rPr>
          <w:rFonts w:ascii="Times New Roman" w:hAnsi="Times New Roman"/>
          <w:color w:val="000000" w:themeColor="text1"/>
          <w:sz w:val="16"/>
          <w:szCs w:val="16"/>
        </w:rPr>
        <w:tab/>
        <w:t>на ваводе № 30</w:t>
      </w:r>
    </w:p>
    <w:p w14:paraId="6F35ED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т.САМСОНОВА</w:t>
      </w:r>
      <w:r w:rsidRPr="00A3026E">
        <w:rPr>
          <w:rFonts w:ascii="Times New Roman" w:hAnsi="Times New Roman"/>
          <w:color w:val="000000" w:themeColor="text1"/>
          <w:sz w:val="16"/>
          <w:szCs w:val="16"/>
        </w:rPr>
        <w:tab/>
        <w:t>на заводе № 288</w:t>
      </w:r>
    </w:p>
    <w:p w14:paraId="02D86F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4.Обязать НКАП принять задания НКВМФ:</w:t>
      </w:r>
    </w:p>
    <w:p w14:paraId="442DE2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На проектирование и поотройву (КБ т.т. САМСОНОВА и ГОЛУБКОВА) морских дальних разведчивов-минных заградителей с авиационными дизелями.</w:t>
      </w:r>
    </w:p>
    <w:p w14:paraId="2F4B71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 модернизацию сухопутных самолетов ДБ-240 ЕРМОЛОЕВА и "102" МЯСИЩЕВА качестве поплавковых торпедоносцев.</w:t>
      </w:r>
    </w:p>
    <w:p w14:paraId="7C5319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Согласованные с НК ВМФ проекты постановлений по этим заданиям представить на утверждение КО в месячный срок.</w:t>
      </w:r>
    </w:p>
    <w:p w14:paraId="1B0D33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Указать НКАП на невыполнение срока сдачи на государственнне испытания дублера гидросамодета МБР-301 (МДР-7 конструкции САМСОНОВА).</w:t>
      </w:r>
    </w:p>
    <w:p w14:paraId="647DA9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завод № 268 (директор т. ЧЕБЛУКОВ) форсировать окончание производства самолета МБР-301 с выпуском его на испытания 15.10.40.г.</w:t>
      </w:r>
    </w:p>
    <w:p w14:paraId="43CDA1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Подтвердить срок 1.01.41 г. выхода на государственные испытания самолета КОР-2.</w:t>
      </w:r>
    </w:p>
    <w:p w14:paraId="42C49D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Закрепить за гидросамолетостроением для НКВМФ производственные базы:</w:t>
      </w:r>
    </w:p>
    <w:p w14:paraId="0BDDC6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3авод № 31 ( г. Таганрог) для серийного строительства морских базовых разведсиков и корабельных самолетов. Определить программу производства завода № 31- на 1941.:</w:t>
      </w:r>
    </w:p>
    <w:p w14:paraId="5603BC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морским базовым разведчикам МБР-301 Четверикова - 400 самолетов,</w:t>
      </w:r>
    </w:p>
    <w:p w14:paraId="686974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корабельным разведчикам КОР-2 Бериева - 250 свмолетов</w:t>
      </w:r>
    </w:p>
    <w:p w14:paraId="30A1EC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сухопутного с-та ББ-1 - прекратить.</w:t>
      </w:r>
    </w:p>
    <w:p w14:paraId="4F0926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30 (Иваньково) - для серийного строительства морских дальних разведчиков - минных заградителей с доведением производственной мощности к 1.1.43 до 400 с-тов в год.</w:t>
      </w:r>
    </w:p>
    <w:p w14:paraId="2D071C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организовать производство морских базовых разведчиков МБР-301 (МДР7) с годовой программой в 75 с-тов.</w:t>
      </w:r>
    </w:p>
    <w:p w14:paraId="04E0BD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288 (Савелово) - для постройки двух типов опытных гидросамолетов (по три экземпляра каждого и одного типа модернизации).</w:t>
      </w:r>
    </w:p>
    <w:p w14:paraId="3CDA44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Предложить НКАП в текущем году изыскать новую производственную базу для расширения серийного гидросамолетостроения в 1941 г.</w:t>
      </w:r>
    </w:p>
    <w:p w14:paraId="1C87D5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Обязать НКАП к 1.1.43 г. построить новый гидроканал ЦАГИ</w:t>
      </w:r>
    </w:p>
    <w:p w14:paraId="2205BB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Визы</w:t>
      </w:r>
    </w:p>
    <w:p w14:paraId="50F04A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Шишкина:</w:t>
      </w:r>
    </w:p>
    <w:p w14:paraId="2D5F3C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17 сентября 1940:</w:t>
      </w:r>
    </w:p>
    <w:p w14:paraId="39905F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части опытных с-тов согласен кроме п.5” </w:t>
      </w:r>
    </w:p>
    <w:p w14:paraId="729B27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Наркома</w:t>
      </w:r>
    </w:p>
    <w:p w14:paraId="45435E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17 сентября 1940:</w:t>
      </w:r>
    </w:p>
    <w:p w14:paraId="44859F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“Замечение НКАП к п. 6 п.п. 5</w:t>
      </w:r>
    </w:p>
    <w:p w14:paraId="554C1C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 второй половины 1941 приступить к внедрению в серийное производство самолетов КОР-2, установив программу для 1941 г. в 100 с-тов (468,174).</w:t>
      </w:r>
    </w:p>
    <w:p w14:paraId="63ED194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9EEE7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на самолете СБ закончились заводские испытаниям пикирующего бомбодержателя ПБ-6 конструкции завода N 32, которые проходили с 2 сентября 1940 (2998).</w:t>
      </w:r>
    </w:p>
    <w:p w14:paraId="7D4229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в/инженер 3 ранга Федоров.</w:t>
      </w:r>
    </w:p>
    <w:p w14:paraId="6E359B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1991AA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При сбрасывании корпусов ФАБ-100-250 и 500 в наземных условиях и в воздухе на пикировании, бомбодержатель работал безотказно.</w:t>
      </w:r>
    </w:p>
    <w:p w14:paraId="0452A8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Бомбодержатель ПБ-6 при бомбометании с пикирования при углах 70-80 градусов на самолете СБ, обеспечивает вывод бомб из бомбового отсека самолета.</w:t>
      </w:r>
    </w:p>
    <w:p w14:paraId="7223C0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Бомбодержатель ПБ-6 имеет преимущество по сравнению ПБ-3.</w:t>
      </w:r>
    </w:p>
    <w:p w14:paraId="60AA64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3D8C5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Пикирующий бомбодержатель ПБ-6 конструкции завода N 32, по прочности конструкции и безотказности работы показал удовлетворительные результаты и может быть допущен на полигонные испытания, по устранении всех недостатков, указанных в отчете, в соответствии с конструкцией пикирующего серийного самолета СБ.</w:t>
      </w:r>
    </w:p>
    <w:p w14:paraId="2E2F2C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произведено 8 полетов на самолете СБ N 15/266 общей продолжительностью 2 часа 50 минут (2998).</w:t>
      </w:r>
    </w:p>
    <w:p w14:paraId="62BBFB6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0A942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закончились 100-часовые госиспытания на станке мотора АМ-35А, которые проходили с 16 июля 1940</w:t>
      </w:r>
    </w:p>
    <w:p w14:paraId="586890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Госкомиссия:</w:t>
      </w:r>
    </w:p>
    <w:p w14:paraId="3E8019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 нач. ОМТ НИИ ВВС КА би М.АА.Левин</w:t>
      </w:r>
    </w:p>
    <w:p w14:paraId="5362B8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Члены - вед. и НИИ ви2р М.Т.Лушин</w:t>
      </w:r>
    </w:p>
    <w:p w14:paraId="0D3FAB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военпред на заводе № 24 ви2р М.Я.Калинников</w:t>
      </w:r>
    </w:p>
    <w:p w14:paraId="5EA326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 8 ГУ НКАП Д.В.Королев</w:t>
      </w:r>
    </w:p>
    <w:p w14:paraId="340C47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СКО зав. № 24 Е.М.Юдин</w:t>
      </w:r>
    </w:p>
    <w:p w14:paraId="562288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 8 ГУ НКАП М.П.Глаголева</w:t>
      </w:r>
    </w:p>
    <w:p w14:paraId="05D2D6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по госиспытаниям:</w:t>
      </w:r>
    </w:p>
    <w:p w14:paraId="047304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Мотор АМ-25 № 170 пръявленный на ГИ удовлетворительно прошел 100-часовые ГИ на стенде, но испытания его агрегатов, а также приемочные испытания моторов малой серии и работа мотора на с-те И-200 выявили ряд дефектов. Наиболее серьезными из них являются: недостаточная высотность масляной помпы и разрушение задней опоры валика крыльчатки нагнетателя, до полного устранения которых надежность работы мотора на самолете не будет обеспечена.</w:t>
      </w:r>
    </w:p>
    <w:p w14:paraId="4B6EA7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Поэтому госиспытания мотора АМ-35А будут признаны удовлетворительными после:</w:t>
      </w:r>
    </w:p>
    <w:p w14:paraId="6F1C0E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полного устранения заводом № 24 разрушения задней втулки валика нагнетателя,</w:t>
      </w:r>
    </w:p>
    <w:p w14:paraId="22597F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окончательного сточасового испытания модифицированной масляной помпы с улучшеной высотностью на моторе АМ-35</w:t>
      </w:r>
    </w:p>
    <w:p w14:paraId="5E75F0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повышения давления масла на с-те И-200 на высотах 8000-9000 м с 5.5 атм., имеющих место на этих высотах в настоящее время, до 6 атм. Или проверки надежности работы мотора на давлении 5,5 атм. 50-часовым испытанием 2-х моторов.</w:t>
      </w:r>
    </w:p>
    <w:p w14:paraId="6D90F5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этого, Правительственной комиссией будет составлен акт об удовлетворительном окончании госиспытаний мотора АМ-35А</w:t>
      </w:r>
    </w:p>
    <w:p w14:paraId="6D195C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необходимость скорейшего получения серийных моторов АМ-35А для с-та И-200,Правительственная комиссия считает целесообразным запустить мотор АМ-35А в серийное производство на заводе № 24 и обязать НКАП (завод № 24 и соответствующие агреганые заводы) полностью устранить до начала серийного выпуска мотора АМ-35А разрушение задней опоры валика крыльчатки нагнетателя и недостаточную высотность масляной помпы на с-те И-200, а также другие дефекты, перечисленные в п. 8 и 10 б, г, д, ж выводов по испытанию.</w:t>
      </w:r>
    </w:p>
    <w:p w14:paraId="00F47B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Правительственная комиссия считает, что мотор АМ-35А не обеспечен винтом, соответствующим высотности мотора, т.к. надежность мотора АМ-35А еще не проверена в условиях эксплуатации частей ВВС КА. Правительственная комиссия считает необходимым ограничить серийный выпуск мотора АМ-35А до удовлетворительных результатов войсковых испытаний 200 моторами.</w:t>
      </w:r>
    </w:p>
    <w:p w14:paraId="3E2876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Правительственная комиссия считает необходимым обязать НКАП (заводы № 1 и № 24) предъявитиь НКО (ГУ ВВС КА) 10 с-тов И-200 с моторами АМ-35А на войсковые испытания не позднее 15 октября 1940 и один И-200 с АМ-35А не спец. Летные испытания не позднее 25 сентября 1940 г. НКЩ (ГУ ВВС КА) провести эти испытания в полуторомесячный срок, считая со дня предъявления.</w:t>
      </w:r>
    </w:p>
    <w:p w14:paraId="3143C9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ПК Левин</w:t>
      </w:r>
    </w:p>
    <w:p w14:paraId="1099D1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Особое мнение тт. Королева, Глаголевой, Юдина:</w:t>
      </w:r>
    </w:p>
    <w:p w14:paraId="780A73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основании приведенных длтительных 100-часовых испытаний мотор АМ-35А считать удовлетворительным</w:t>
      </w:r>
    </w:p>
    <w:p w14:paraId="441054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целях скорейшего развертывания производства считать необходимым запуск в серийное производство мотора АМ-35А на заводе № 24</w:t>
      </w:r>
    </w:p>
    <w:p w14:paraId="417837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Дефекты недостаточно надежной работы опоры валика нагнетателя и недостаточной высотности маслосистемы должны быть устранены до начала выпуска из серийного производства мотора АМ-35А после нулевой серии.</w:t>
      </w:r>
    </w:p>
    <w:p w14:paraId="3C0373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Устранение указанных дефектов проверить длительным 100-часовым комиссионным испытанием под наблюдением военного представителя ВВС на заводе № 24 не позже 15 октября 1940 г., после чего рвзрешить выпуск моторов на заводе.</w:t>
      </w:r>
    </w:p>
    <w:p w14:paraId="6B6261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Акт об удовлетворительном окончании госиспытаний на станке мотора АМ-35А от 23 ноября 1940 г.</w:t>
      </w:r>
    </w:p>
    <w:p w14:paraId="383C29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Правительственная комиссия, назначенная КО при СНК СССР для проведения госиспытаний мотора АМ-35А, рассмотрела материалы дополнительных работ, проведенных заводом № 24 в период с 20 сентября по 22 ноября 1944 для устранения основных дефектов мотора АМ-35А, указанных в заключении Правительственной комиссии по госиспытаниям мотора АМ-35А от 20 сентября 1940 г.:</w:t>
      </w:r>
    </w:p>
    <w:p w14:paraId="771E90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разрушение задней опоры вала нагнетателя</w:t>
      </w:r>
    </w:p>
    <w:p w14:paraId="6AA1EA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недостаточной высотности маслопомпы.</w:t>
      </w:r>
    </w:p>
    <w:p w14:paraId="60A2E2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Правительственная комиссия установила, что в результате этих работ заводом № 24 проведены:</w:t>
      </w:r>
    </w:p>
    <w:p w14:paraId="63DEBE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приемояные (сдаточные и контрольные) испытания партии в 30 шт. моторов без разрушения задней опоря вала нагнетателя</w:t>
      </w:r>
    </w:p>
    <w:p w14:paraId="73316D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совместные 80-часовые испытания мотора АМ-35А № 169 с измененной конструкцией нагнетателя (новый материал опоры, измененная конструкция валика, введена наружная смазка) и модифицированной маслопомпой с улучшенной высотностью.</w:t>
      </w:r>
    </w:p>
    <w:p w14:paraId="4A3837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проходили при повышенной неуравновешенности угла крыльчатки (9,5 гр. вместо 2,5 гр., допускаемом в производстве мотора АМ-35А) и пониженном давлении масла (от 4,5 до 5,5 вместо допустимого давления 6 атм.).</w:t>
      </w:r>
    </w:p>
    <w:p w14:paraId="69B4B1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осмотре после этого испытания задняя опора валика крыльчатки нагнетателя была в удовлетворительном состоянии.</w:t>
      </w:r>
    </w:p>
    <w:p w14:paraId="540CB9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положительных результатов испытаний:</w:t>
      </w:r>
    </w:p>
    <w:p w14:paraId="072CBC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Правительственная комиссия признает госиспытания мотора АМ-35А на станке удовлетворительными</w:t>
      </w:r>
    </w:p>
    <w:p w14:paraId="5A37F2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Срок службы мотора АМ-35А до первой перебоки установить 100 часов</w:t>
      </w:r>
    </w:p>
    <w:p w14:paraId="2F5486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Ограничить выпуск мотора АМ-35А с прежней конструкцией нагнетателя - 250 моторов</w:t>
      </w:r>
    </w:p>
    <w:p w14:paraId="58B0C2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Правительственная комиссия считает необходимым НКАП представить НКО на войсковые испытания 10 с-тов И-200 с мотором АМ-35А с нагнетателем прежней конструкции не позднее 1 декабря 1940 г. и на детные (войсковые и специальные) испытания 10 с-тов И-200 с мотором АМ-35А с нагнетателем измененной конструкции не позднее 1 января 1941 г.</w:t>
      </w:r>
    </w:p>
    <w:p w14:paraId="101B53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НКО (ГУ ВВС КА) закончить эти испытания в полуторомесячный срок, считая со дня предъявления.</w:t>
      </w:r>
    </w:p>
    <w:p w14:paraId="035D3B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 задира поршней и гильз цилендров, растрескивания свинцовой бронзы коренных вкладышей коленвала и насечек на барабане вала и шестернях редуктора, выявленные при выпуске моторов нулевой и первой серии - устранить не позднее 1 февраля 1941 г.</w:t>
      </w:r>
    </w:p>
    <w:p w14:paraId="2AB4AD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Остальные дефекты мотора АМ-35А, указанные в выводах по результатам госиспытаний, а также при выпуске моторов нулевой и первой серий, устранить не позднее 1 мая 1941 г. и т.д...</w:t>
      </w:r>
    </w:p>
    <w:p w14:paraId="7071EF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Отработать ремонтную документацию по АМ-35А к 1 сентября 1941 г.</w:t>
      </w:r>
    </w:p>
    <w:p w14:paraId="5DEAE6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комиссии Левин 23 ноября 1940</w:t>
      </w:r>
    </w:p>
    <w:p w14:paraId="17A661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 мотору</w:t>
      </w:r>
    </w:p>
    <w:p w14:paraId="650103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Взлетная мощность 1350 л.с. +/- 2%</w:t>
      </w:r>
    </w:p>
    <w:p w14:paraId="73007A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Давление взлетное (за карбюратором) 1250 мм +/- 10мм</w:t>
      </w:r>
    </w:p>
    <w:p w14:paraId="746D63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Давление взлетное на выходе нагнетателя 1350мм +/- 10%</w:t>
      </w:r>
    </w:p>
    <w:p w14:paraId="237CFD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оборотов на взлете 2050 +/- 2%</w:t>
      </w:r>
    </w:p>
    <w:p w14:paraId="0D0893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Удельный расход топлива 330-360 г/лс/час</w:t>
      </w:r>
    </w:p>
    <w:p w14:paraId="1D0FFA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Температура воды на выходе не выше 120 гр</w:t>
      </w:r>
    </w:p>
    <w:p w14:paraId="09035E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Минимальная температура 60 гр.</w:t>
      </w:r>
    </w:p>
    <w:p w14:paraId="61487E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Температура масла на выходе 85 гр. и не ниже 40 гр</w:t>
      </w:r>
    </w:p>
    <w:p w14:paraId="352488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Номинальная мощность 1200</w:t>
      </w:r>
    </w:p>
    <w:p w14:paraId="5592CB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 1040+/- 2%</w:t>
      </w:r>
    </w:p>
    <w:p w14:paraId="7B8ABB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Рк 1125 мм+/- 10%</w:t>
      </w:r>
    </w:p>
    <w:p w14:paraId="145AF6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Высотность - 2800-6000 м</w:t>
      </w:r>
    </w:p>
    <w:p w14:paraId="00A62C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у земли 1120+/- 2%</w:t>
      </w:r>
    </w:p>
    <w:p w14:paraId="021555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Удельный расход 300-315 г/лс/ч</w:t>
      </w:r>
    </w:p>
    <w:p w14:paraId="076F00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обороты 2250, мин. 450</w:t>
      </w:r>
    </w:p>
    <w:p w14:paraId="486188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Сухой вес мотора (не входит Р-2, генератор, синхронизатор, выхлопные патрубки, а также помпы (Ак-4, МКЛ) - 830 кг +/- 2%</w:t>
      </w:r>
    </w:p>
    <w:p w14:paraId="60BB10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воды в системе 22 л</w:t>
      </w:r>
    </w:p>
    <w:p w14:paraId="03792A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Габариты</w:t>
      </w:r>
    </w:p>
    <w:p w14:paraId="5A4F3E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2402 м</w:t>
      </w:r>
    </w:p>
    <w:p w14:paraId="2D29A8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866 мм</w:t>
      </w:r>
    </w:p>
    <w:p w14:paraId="3239AD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1088,8 мм (783)</w:t>
      </w:r>
    </w:p>
    <w:p w14:paraId="69C2C6F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058EB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состоялось совещание у А.И.Ш. по вопросу о моторах М-62 и М-63 (1236).</w:t>
      </w:r>
    </w:p>
    <w:p w14:paraId="1E5E801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63D7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13 сентября 1940 согласно приказа 488с при испытаниях первый этап считался законченным с первым вылетом самолета, второй - сдачей на гос. испытания, 3-й - с окончанием гос. испытаний (2056,134).</w:t>
      </w:r>
    </w:p>
    <w:p w14:paraId="535F917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5B56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Королев написал новое заявление "Прокурору Союза ССР из Бутырской тюрьмы, камера 66". Уже не просит ни следствие новое назначить, ни приговор отменить. Одна просьба: "Вызвать меня для личных переговоров". И на этот раз тоже никто его ни для каких личных переговоров не вызывал, но бывают же совпадения: именно 13 сентября, когда Королев писал свое заявление в камере № 66 Бутырской тюрьмы, судьба его была, наконец, решена: Кобулов вынес постановление: "Осужденного Королева как специалиста - авиационного конструктора, подавшего заявление с предложением об использовании, перевести в Особое техническое бюро при НКВД СССР" (10676).</w:t>
      </w:r>
    </w:p>
    <w:p w14:paraId="0F14F39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1D08A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 сентября 1940 г. </w:t>
      </w:r>
    </w:p>
    <w:p w14:paraId="2861B4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«УТВЕРЖДАЮ» </w:t>
      </w:r>
    </w:p>
    <w:p w14:paraId="474EA1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 ГЛАВН. ЭКОНОМ. УПРАВЛ. НКВД СССР КОМИССАР ГОСУДАРСТВ. БЕЗОП. 3 РАНГА- </w:t>
      </w:r>
    </w:p>
    <w:p w14:paraId="2E9A4A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/КОБУЛОВ/ 13 сентября 1940 г. </w:t>
      </w:r>
    </w:p>
    <w:p w14:paraId="701D0A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ЗАКЛЮЧЕНИЕ </w:t>
      </w:r>
    </w:p>
    <w:p w14:paraId="2539DB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НКВД СССР 28-го июня 1938 года был арестован как участник троцкистско-вреди-тельской организации КОРОЛЕВ Сергей Павлович, 1906 года рождения, уроженец гор. Житомира, русский, гр-н СССР, беспартийный, инженер НИИ-3. </w:t>
      </w:r>
    </w:p>
    <w:p w14:paraId="379D11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следствии КОРОЛЕВ виновным себя признал и показал, что в троцкистскую вредительскую организацию был привлечен в 1935 году бывшим техническим директором этого института ЛАНГЕМАКОМ (осужден к ВМН) и по заданию организации проводил вредительскую работу. Впоследствии от этих показаний отказался. </w:t>
      </w:r>
    </w:p>
    <w:p w14:paraId="1FB426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Как участник антисоветской организации КОРОЛЕВ изобличается косвенными показаниями ЛАНГЕМАКА (осужден к ВМН, показания подтвердил) и КЛЕЙМЕНОВА (осужден к ВМН, от показаний отказался). </w:t>
      </w:r>
    </w:p>
    <w:p w14:paraId="5D2390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В проведении вредительской работы изобличается показаниями ГЛУШКО (осужден к 8 годам ИТЛ, от показаний отказался), а также актом экспертно-технической комиссии. </w:t>
      </w:r>
    </w:p>
    <w:p w14:paraId="386DE3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7-го августа 1938 года следствие было закончено и дело передано по подсудности. Решением Военной Коллегии Верховного Суда Союза ССР от 27 сентября 1938 года КОРОЛЕВ был приговорен к десяти годам тюремного заключения с поражением в правах сроком на пять лет и конфискацией лично принадлежащего ему имущества. </w:t>
      </w:r>
    </w:p>
    <w:p w14:paraId="6AADD0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 июня 1939 года Пленум Верховного Суда Союза ССР пересмотрел дело КОРОЛЕВА, своим определением приговор Военной Коллегии Верхсуда Союза ССР от 27.IX 1938 года отменил, а следственное дело по обвинению КОРОЛЕВА было передано на новое рассмотрение со стадии предварительного расследования. </w:t>
      </w:r>
    </w:p>
    <w:p w14:paraId="291490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Вредительская работа КОРОЛЕВА доследованием была частично подтверждена как свидетельскими показаниями (допрошены девять свидетелей), так и повторным актом экспертно-технической комиссии. </w:t>
      </w:r>
    </w:p>
    <w:p w14:paraId="14FBDE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28 мая 1940 года следствие было закончено и передано на рассмотрение Особого Совещания при НКВД СССР, решением которого от 10.VII—40 г. КОРОЛЕВ СП. был приговорен к восьми годам ИТЛ. </w:t>
      </w:r>
    </w:p>
    <w:p w14:paraId="1D8CFE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основании вышеизложенного, полагал бы: </w:t>
      </w:r>
    </w:p>
    <w:p w14:paraId="450A7B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пересмотре дела по обвинению КОРОЛЕВА отказать, а осужденного КОРОЛЕВА как специалиста - авиационного конструктора, подавшего заявление с предложением об использовании, перевести в Особое Техническое Бюро при НКВД СССР. </w:t>
      </w:r>
    </w:p>
    <w:p w14:paraId="3E4356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ПОМ. НАЧ. СЛЕДЧАСТИ ГЭУ НКВД СССР </w:t>
      </w:r>
    </w:p>
    <w:p w14:paraId="384ED2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СТАРШ. ЛЕЙТЕНАНТ ГОСБЕЗОПАСНОСТИ - /КЛОЧКОВ/ </w:t>
      </w:r>
    </w:p>
    <w:p w14:paraId="42F5CD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Согласен: ЗАМ. НАЧ. СЛЕДЧАСТИ ГЭУ НКВД СССР </w:t>
      </w:r>
    </w:p>
    <w:p w14:paraId="6AD11C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МАЙОР ГОСУДАРСТВ. БЕЗОПАСНОСТИ- /ШВАРЦМАН/» (11837).</w:t>
      </w:r>
    </w:p>
    <w:p w14:paraId="732FB5D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8609D8E"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7D8901F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C1D2F1C"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13 сентября 1940 г. 13 истребителей Зеро за 10-минутный воздушный бой сбили целую группу китайских истребителей из 27 И152, И153 и И16. Всего было построено 11341 самолет А6М (11686).</w:t>
      </w:r>
    </w:p>
    <w:p w14:paraId="56A4F8A6" w14:textId="77777777" w:rsidR="00C66762" w:rsidRPr="00A3026E" w:rsidRDefault="00C66762" w:rsidP="00A3026E">
      <w:pPr>
        <w:pStyle w:val="a8"/>
        <w:widowControl/>
        <w:jc w:val="both"/>
        <w:rPr>
          <w:rFonts w:ascii="Times New Roman" w:hAnsi="Times New Roman" w:cs="Times New Roman"/>
          <w:color w:val="000000" w:themeColor="text1"/>
        </w:rPr>
      </w:pPr>
    </w:p>
    <w:p w14:paraId="11E3C9FB" w14:textId="77777777" w:rsidR="00CD3361" w:rsidRPr="00A3026E" w:rsidRDefault="00CD3361" w:rsidP="00A3026E">
      <w:pPr>
        <w:pStyle w:val="a8"/>
        <w:jc w:val="both"/>
        <w:rPr>
          <w:rFonts w:ascii="Times New Roman" w:hAnsi="Times New Roman" w:cs="Times New Roman"/>
          <w:color w:val="000000" w:themeColor="text1"/>
        </w:rPr>
      </w:pPr>
      <w:r w:rsidRPr="00A3026E">
        <w:rPr>
          <w:rFonts w:ascii="Times New Roman" w:hAnsi="Times New Roman" w:cs="Times New Roman"/>
          <w:color w:val="000000" w:themeColor="text1"/>
        </w:rPr>
        <w:t>13 сентября 1940 г. шесть истребителей 24-й эскадрильи этого полка, три И-16 и 19 И-15бис из других эскадрилий взлетели на отражение налета 27 бомбардировщиков G3M, которых прикрывали 13 новых истребителей «Зеро». Китайцы впервые встретились с этим типом самолета, который отличался не только скоростью до 540 км/ч, но и хорошей маневренностью. В завязавшемся воздушном бою китайцы потеряли 9 пилотов, еще 6 человек были ранены (19109).</w:t>
      </w:r>
    </w:p>
    <w:p w14:paraId="6AC85535" w14:textId="77777777" w:rsidR="00CD3361" w:rsidRPr="00A3026E" w:rsidRDefault="00CD3361" w:rsidP="00A3026E">
      <w:pPr>
        <w:pStyle w:val="a8"/>
        <w:jc w:val="both"/>
        <w:rPr>
          <w:rFonts w:ascii="Times New Roman" w:hAnsi="Times New Roman" w:cs="Times New Roman"/>
          <w:color w:val="000000" w:themeColor="text1"/>
        </w:rPr>
      </w:pPr>
    </w:p>
    <w:p w14:paraId="2279C6D8"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34CE183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1840E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приказом № 001159 на базе гидротехнического отдела ГУЛАГа было организовано самостоятельное Главное управление гидротехнического строительства НКВД (Главгидрострой), на который возлагалось руководство: Волгостроем (строительство Угличского и Рыбинского гидроузлов), строительством Волго-Балтийского (Вытегорский и Шекснинский ИТЛ) и Северо-Двинского (Знаменитлаг и Опокский ИТЛ) водного путей, сооружением гидростанций на реках Клязьме (Верхне-Клязминская ГЭС под Владимиром), Которосли, Костроме и Мсте (Боровичевская ГЭС), строительствами №№ 200 (Лужская губа), 201 (Николаевск-на-Амуре) и 213 (порт Находка), достройкой Беломорского порта, а также временной консервацией Куйбышевского и Соликамского гидроузлов (последний, судя по всему, оставался на стадии проекта) (7560).</w:t>
      </w:r>
    </w:p>
    <w:p w14:paraId="2234307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733CD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г. На базе Гидротехнического отдела ГУЛАГа образовано Главное управление гидротехнического строительства (Главгидрострой) НКВД СССР (10303).</w:t>
      </w:r>
    </w:p>
    <w:p w14:paraId="294D34D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1F04DB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4AE2D8E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F07BDD3" w14:textId="77777777" w:rsidR="006579A6" w:rsidRPr="00A3026E" w:rsidRDefault="006579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был первый воздушный бой Зеро А6М2.13 машин встретились с 27 китайскими И-16 и И-15 и И-153 и сбили почти все, не потеряв ни одного (4579).</w:t>
      </w:r>
    </w:p>
    <w:p w14:paraId="0709FBBB" w14:textId="77777777" w:rsidR="006579A6" w:rsidRPr="00A3026E" w:rsidRDefault="006579A6" w:rsidP="00A3026E">
      <w:pPr>
        <w:spacing w:after="0" w:line="240" w:lineRule="auto"/>
        <w:jc w:val="both"/>
        <w:rPr>
          <w:rFonts w:ascii="Times New Roman" w:hAnsi="Times New Roman"/>
          <w:color w:val="000000" w:themeColor="text1"/>
          <w:sz w:val="16"/>
          <w:szCs w:val="16"/>
        </w:rPr>
      </w:pPr>
    </w:p>
    <w:p w14:paraId="250AF1A1" w14:textId="77777777" w:rsidR="006579A6" w:rsidRPr="00A3026E" w:rsidRDefault="006579A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 сентября  1940 истребители Mitsubishi A6M Зеро The Imperial японский флот одерживают свои первые воздушные победы, когда результатом атак Зеро 27 китайских истребителей над Чунцине объявляется сбитие всех из них. Фактические потери Китая составляют, вероятно, от 13 до 24 самолетов. Зеро потерь не несут (20795).</w:t>
      </w:r>
    </w:p>
    <w:p w14:paraId="2FE465E9" w14:textId="77777777" w:rsidR="006579A6" w:rsidRPr="00A3026E" w:rsidRDefault="006579A6" w:rsidP="00A3026E">
      <w:pPr>
        <w:spacing w:after="0" w:line="240" w:lineRule="auto"/>
        <w:jc w:val="both"/>
        <w:rPr>
          <w:rFonts w:ascii="Times New Roman" w:hAnsi="Times New Roman"/>
          <w:color w:val="0070C0"/>
          <w:sz w:val="16"/>
          <w:szCs w:val="16"/>
        </w:rPr>
      </w:pPr>
    </w:p>
    <w:p w14:paraId="7BA8B55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итальянские войска вторглись в Египет (4962).</w:t>
      </w:r>
    </w:p>
    <w:p w14:paraId="1241C21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FC0C7F2"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September 13, 1940: Italilian forces in Cyrenaica under Marshal Graziani advance toward Sidi Barrani in Egypt (3819).</w:t>
      </w:r>
    </w:p>
    <w:p w14:paraId="21C380F5"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6436FC29"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13 September 1940 Italy invades Egypt (270).</w:t>
      </w:r>
    </w:p>
    <w:p w14:paraId="2C74A3D6"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11BE14A6"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 xml:space="preserve">13 </w:t>
      </w:r>
      <w:r w:rsidRPr="00A3026E">
        <w:rPr>
          <w:rFonts w:ascii="Times New Roman" w:hAnsi="Times New Roman"/>
          <w:color w:val="000000" w:themeColor="text1"/>
          <w:sz w:val="16"/>
          <w:szCs w:val="16"/>
        </w:rPr>
        <w:t>сентября</w:t>
      </w:r>
      <w:r w:rsidRPr="00A3026E">
        <w:rPr>
          <w:rFonts w:ascii="Times New Roman" w:hAnsi="Times New Roman"/>
          <w:color w:val="000000" w:themeColor="text1"/>
          <w:sz w:val="16"/>
          <w:szCs w:val="16"/>
          <w:lang w:val="en-US"/>
        </w:rPr>
        <w:t xml:space="preserve"> 1940 </w:t>
      </w:r>
      <w:r w:rsidRPr="00A3026E">
        <w:rPr>
          <w:rFonts w:ascii="Times New Roman" w:hAnsi="Times New Roman"/>
          <w:color w:val="000000" w:themeColor="text1"/>
          <w:sz w:val="16"/>
          <w:szCs w:val="16"/>
        </w:rPr>
        <w:t>ИталиявторгласьвЕгипет</w:t>
      </w:r>
      <w:r w:rsidRPr="00A3026E">
        <w:rPr>
          <w:rFonts w:ascii="Times New Roman" w:hAnsi="Times New Roman"/>
          <w:color w:val="000000" w:themeColor="text1"/>
          <w:sz w:val="16"/>
          <w:szCs w:val="16"/>
          <w:lang w:val="en-US"/>
        </w:rPr>
        <w:t xml:space="preserve"> (270) </w:t>
      </w:r>
      <w:r w:rsidRPr="00A3026E">
        <w:rPr>
          <w:rFonts w:ascii="Times New Roman" w:hAnsi="Times New Roman"/>
          <w:color w:val="000000" w:themeColor="text1"/>
          <w:sz w:val="16"/>
          <w:szCs w:val="16"/>
        </w:rPr>
        <w:t>изЛивии</w:t>
      </w:r>
      <w:r w:rsidRPr="00A3026E">
        <w:rPr>
          <w:rFonts w:ascii="Times New Roman" w:hAnsi="Times New Roman"/>
          <w:color w:val="000000" w:themeColor="text1"/>
          <w:sz w:val="16"/>
          <w:szCs w:val="16"/>
          <w:lang w:val="en-US"/>
        </w:rPr>
        <w:t xml:space="preserve"> (2240).</w:t>
      </w:r>
    </w:p>
    <w:p w14:paraId="442AD7DB"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3AA7C533" w14:textId="77777777" w:rsidR="004B3571" w:rsidRPr="00A3026E" w:rsidRDefault="004B3571"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13 сентября </w:t>
      </w:r>
      <w:r w:rsidRPr="00A3026E">
        <w:rPr>
          <w:rFonts w:ascii="Times New Roman" w:hAnsi="Times New Roman"/>
          <w:color w:val="000000" w:themeColor="text1"/>
          <w:sz w:val="16"/>
          <w:szCs w:val="16"/>
        </w:rPr>
        <w:t>в 1940 году итальянские войска под командованием генерала Рудольфо Грациани начали наступление на Египет из Ливии, а также из Эфиопии в Кению (14768).</w:t>
      </w:r>
    </w:p>
    <w:p w14:paraId="51450ACC" w14:textId="77777777" w:rsidR="004B3571" w:rsidRPr="00A3026E" w:rsidRDefault="004B3571" w:rsidP="00A3026E">
      <w:pPr>
        <w:spacing w:after="0" w:line="240" w:lineRule="auto"/>
        <w:jc w:val="both"/>
        <w:rPr>
          <w:rFonts w:ascii="Times New Roman" w:hAnsi="Times New Roman"/>
          <w:color w:val="000000" w:themeColor="text1"/>
          <w:sz w:val="16"/>
          <w:szCs w:val="16"/>
        </w:rPr>
      </w:pPr>
    </w:p>
    <w:p w14:paraId="60BC02B5" w14:textId="77777777" w:rsidR="00F069D4" w:rsidRPr="00A3026E" w:rsidRDefault="00F069D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г. 5-я итальянская армия перешла ливийско-египетскую границу и стала наступать по побережью, не встречая сопротивления. Армия «Нил» у англичан была значительно меньше по численности и сразу отошла на 200 км. Итальянцы прошли 100 км, заняли 16 сентября г. Сиди-Баррани и 17 сентября 1940 г. без видимых причин прекратили наступление, возможно, опасались обхода с южного фланга. Но так и произошло. 9 декабря 1940 г. англичане нанесли контрудар, разбили итальянцев и в феврале 1941 г. захватили Бенгази – одну из двух ливийских столиц (17398).</w:t>
      </w:r>
    </w:p>
    <w:p w14:paraId="27C0C85A" w14:textId="77777777" w:rsidR="00F069D4" w:rsidRPr="00A3026E" w:rsidRDefault="00F069D4" w:rsidP="00A3026E">
      <w:pPr>
        <w:spacing w:after="0" w:line="240" w:lineRule="auto"/>
        <w:jc w:val="both"/>
        <w:rPr>
          <w:rFonts w:ascii="Times New Roman" w:hAnsi="Times New Roman"/>
          <w:color w:val="000000" w:themeColor="text1"/>
          <w:sz w:val="16"/>
          <w:szCs w:val="16"/>
        </w:rPr>
      </w:pPr>
    </w:p>
    <w:p w14:paraId="611A45B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7F21F0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E9C3D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(12 - 462,9) сентября 1940 мотор получен заводом 39 и началась его установка на самолет (462,9).</w:t>
      </w:r>
    </w:p>
    <w:p w14:paraId="3AFBFC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- 12 сентября 1940</w:t>
      </w:r>
    </w:p>
    <w:p w14:paraId="7020EC9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A209D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сентября 1940 А.Репин подготовил для Н.А.Вознесенского Справку о целесообразности организации серийного производства ОКО-6. Предлагал проект с голосования снять, т.к. скорость и дальность были недостаточными. Резолюция Вознесенского от 13 сентября: Ознакомить тт. А.И.Ш. и Тимошенко (1296,274).</w:t>
      </w:r>
    </w:p>
    <w:p w14:paraId="1034859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9F58A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сентября 1940 Зам. Нач. ОКО з-да № 135 Жигановом был подготовлен Отчет о движении работ в ОКО Завода № 135 на 13 сентября 1940</w:t>
      </w:r>
    </w:p>
    <w:p w14:paraId="6BDDCD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машины 330 (Заказ 360)</w:t>
      </w:r>
    </w:p>
    <w:p w14:paraId="37161A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с 3 по 13 сентября закончен монтаж:</w:t>
      </w:r>
    </w:p>
    <w:p w14:paraId="65F846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ТК-2</w:t>
      </w:r>
    </w:p>
    <w:p w14:paraId="00BC82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Выхлопного коллектора</w:t>
      </w:r>
    </w:p>
    <w:p w14:paraId="5AF42E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Управления мотором</w:t>
      </w:r>
    </w:p>
    <w:p w14:paraId="64B147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13 сентября по ВМГ смонтированы все узлы за исключением маслорадиатора и капота, по которым вносятся изменения в чертежи.</w:t>
      </w:r>
    </w:p>
    <w:p w14:paraId="7FFE91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Продолжается монтаж радиаторной установки, начат монтаж костыльной установки, электроограничителя шасси.</w:t>
      </w:r>
    </w:p>
    <w:p w14:paraId="643364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Изготовление измененных деталей механизма поворота амортстойки окончено; приступлено к сборке фермы шасси.</w:t>
      </w:r>
    </w:p>
    <w:p w14:paraId="22A1DC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Окончание монтажа машины в дальнейшем задерживается из-за отсутствия: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5CF2F322" w14:textId="77777777" w:rsidTr="00EA0DA7">
        <w:tc>
          <w:tcPr>
            <w:tcW w:w="5636" w:type="dxa"/>
            <w:tcBorders>
              <w:top w:val="single" w:sz="12" w:space="0" w:color="auto"/>
            </w:tcBorders>
            <w:shd w:val="clear" w:color="auto" w:fill="FFFFFF"/>
          </w:tcPr>
          <w:p w14:paraId="369CDD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Винта ВИШ-61</w:t>
            </w:r>
          </w:p>
        </w:tc>
        <w:tc>
          <w:tcPr>
            <w:tcW w:w="5636" w:type="dxa"/>
            <w:tcBorders>
              <w:top w:val="single" w:sz="12" w:space="0" w:color="auto"/>
            </w:tcBorders>
            <w:shd w:val="clear" w:color="auto" w:fill="FFFFFF"/>
          </w:tcPr>
          <w:p w14:paraId="3AE777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 28</w:t>
            </w:r>
          </w:p>
        </w:tc>
      </w:tr>
      <w:tr w:rsidR="00983732" w:rsidRPr="00A3026E" w14:paraId="76FDA611" w14:textId="77777777" w:rsidTr="00EA0DA7">
        <w:tc>
          <w:tcPr>
            <w:tcW w:w="5636" w:type="dxa"/>
            <w:shd w:val="clear" w:color="auto" w:fill="FFFFFF"/>
          </w:tcPr>
          <w:p w14:paraId="6F6651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Колес 610х180</w:t>
            </w:r>
          </w:p>
        </w:tc>
        <w:tc>
          <w:tcPr>
            <w:tcW w:w="5636" w:type="dxa"/>
            <w:shd w:val="clear" w:color="auto" w:fill="FFFFFF"/>
          </w:tcPr>
          <w:p w14:paraId="435034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120</w:t>
            </w:r>
          </w:p>
        </w:tc>
      </w:tr>
      <w:tr w:rsidR="00983732" w:rsidRPr="00A3026E" w14:paraId="0957F148" w14:textId="77777777" w:rsidTr="00EA0DA7">
        <w:tc>
          <w:tcPr>
            <w:tcW w:w="5636" w:type="dxa"/>
            <w:shd w:val="clear" w:color="auto" w:fill="FFFFFF"/>
          </w:tcPr>
          <w:p w14:paraId="7BD8E2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Маслопомпы 88</w:t>
            </w:r>
          </w:p>
        </w:tc>
        <w:tc>
          <w:tcPr>
            <w:tcW w:w="5636" w:type="dxa"/>
            <w:shd w:val="clear" w:color="auto" w:fill="FFFFFF"/>
          </w:tcPr>
          <w:p w14:paraId="4A891E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 34</w:t>
            </w:r>
          </w:p>
        </w:tc>
      </w:tr>
      <w:tr w:rsidR="00983732" w:rsidRPr="00A3026E" w14:paraId="6AE969FC" w14:textId="77777777" w:rsidTr="00EA0DA7">
        <w:tc>
          <w:tcPr>
            <w:tcW w:w="5636" w:type="dxa"/>
            <w:shd w:val="clear" w:color="auto" w:fill="FFFFFF"/>
          </w:tcPr>
          <w:p w14:paraId="0DD002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РК-350</w:t>
            </w:r>
          </w:p>
        </w:tc>
        <w:tc>
          <w:tcPr>
            <w:tcW w:w="5636" w:type="dxa"/>
            <w:shd w:val="clear" w:color="auto" w:fill="FFFFFF"/>
          </w:tcPr>
          <w:p w14:paraId="7FFB68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 266</w:t>
            </w:r>
          </w:p>
        </w:tc>
      </w:tr>
      <w:tr w:rsidR="00983732" w:rsidRPr="00A3026E" w14:paraId="7759280C" w14:textId="77777777" w:rsidTr="00EA0DA7">
        <w:tc>
          <w:tcPr>
            <w:tcW w:w="5636" w:type="dxa"/>
            <w:shd w:val="clear" w:color="auto" w:fill="FFFFFF"/>
          </w:tcPr>
          <w:p w14:paraId="1793DA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Г-350</w:t>
            </w:r>
          </w:p>
        </w:tc>
        <w:tc>
          <w:tcPr>
            <w:tcW w:w="5636" w:type="dxa"/>
            <w:shd w:val="clear" w:color="auto" w:fill="FFFFFF"/>
          </w:tcPr>
          <w:p w14:paraId="1E3877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 266</w:t>
            </w:r>
          </w:p>
        </w:tc>
      </w:tr>
      <w:tr w:rsidR="00983732" w:rsidRPr="00A3026E" w14:paraId="1E420396" w14:textId="77777777" w:rsidTr="00EA0DA7">
        <w:tc>
          <w:tcPr>
            <w:tcW w:w="5636" w:type="dxa"/>
            <w:shd w:val="clear" w:color="auto" w:fill="FFFFFF"/>
          </w:tcPr>
          <w:p w14:paraId="32624B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Плексигласовой части козырька</w:t>
            </w:r>
          </w:p>
        </w:tc>
        <w:tc>
          <w:tcPr>
            <w:tcW w:w="5636" w:type="dxa"/>
            <w:shd w:val="clear" w:color="auto" w:fill="FFFFFF"/>
          </w:tcPr>
          <w:p w14:paraId="7FE8BA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 156</w:t>
            </w:r>
          </w:p>
        </w:tc>
      </w:tr>
      <w:tr w:rsidR="00983732" w:rsidRPr="00A3026E" w14:paraId="26A9E77A" w14:textId="77777777" w:rsidTr="00EA0DA7">
        <w:tc>
          <w:tcPr>
            <w:tcW w:w="5636" w:type="dxa"/>
            <w:tcBorders>
              <w:bottom w:val="single" w:sz="12" w:space="0" w:color="auto"/>
            </w:tcBorders>
            <w:shd w:val="clear" w:color="auto" w:fill="FFFFFF"/>
          </w:tcPr>
          <w:p w14:paraId="659052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Пушки под мотор М-105</w:t>
            </w:r>
          </w:p>
        </w:tc>
        <w:tc>
          <w:tcPr>
            <w:tcW w:w="5636" w:type="dxa"/>
            <w:tcBorders>
              <w:bottom w:val="single" w:sz="12" w:space="0" w:color="auto"/>
            </w:tcBorders>
            <w:shd w:val="clear" w:color="auto" w:fill="FFFFFF"/>
          </w:tcPr>
          <w:p w14:paraId="6CC397F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5F21F9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серийной машины</w:t>
      </w:r>
    </w:p>
    <w:p w14:paraId="357A10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Проектирование ВМГ с М-81 продолжается</w:t>
      </w:r>
    </w:p>
    <w:p w14:paraId="26E86F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МН с М-90 - продолжается заготовка деталей по запущенным узлам, главным образом по узлам шасси</w:t>
      </w:r>
    </w:p>
    <w:p w14:paraId="3E01B1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МН с М-81 (дублер)</w:t>
      </w:r>
    </w:p>
    <w:p w14:paraId="61F37E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получена машина с серийного производства для монтажа ВМГ</w:t>
      </w:r>
    </w:p>
    <w:p w14:paraId="555AD2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Готовность запущенных узлов: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44"/>
        <w:gridCol w:w="3844"/>
        <w:gridCol w:w="3844"/>
      </w:tblGrid>
      <w:tr w:rsidR="00983732" w:rsidRPr="00A3026E" w14:paraId="468E070A" w14:textId="77777777" w:rsidTr="00EA0DA7">
        <w:tc>
          <w:tcPr>
            <w:tcW w:w="3844" w:type="dxa"/>
            <w:tcBorders>
              <w:top w:val="single" w:sz="12" w:space="0" w:color="auto"/>
            </w:tcBorders>
          </w:tcPr>
          <w:p w14:paraId="183AF9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w:t>
            </w:r>
          </w:p>
        </w:tc>
        <w:tc>
          <w:tcPr>
            <w:tcW w:w="3844" w:type="dxa"/>
            <w:tcBorders>
              <w:top w:val="single" w:sz="12" w:space="0" w:color="auto"/>
            </w:tcBorders>
          </w:tcPr>
          <w:p w14:paraId="297EA2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технической готовности</w:t>
            </w:r>
          </w:p>
        </w:tc>
        <w:tc>
          <w:tcPr>
            <w:tcW w:w="3844" w:type="dxa"/>
            <w:tcBorders>
              <w:top w:val="single" w:sz="12" w:space="0" w:color="auto"/>
            </w:tcBorders>
          </w:tcPr>
          <w:p w14:paraId="7A310B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w:t>
            </w:r>
          </w:p>
        </w:tc>
      </w:tr>
      <w:tr w:rsidR="00983732" w:rsidRPr="00A3026E" w14:paraId="3B2A43B2" w14:textId="77777777" w:rsidTr="00EA0DA7">
        <w:tc>
          <w:tcPr>
            <w:tcW w:w="3844" w:type="dxa"/>
          </w:tcPr>
          <w:p w14:paraId="51B0E8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Моторама</w:t>
            </w:r>
          </w:p>
        </w:tc>
        <w:tc>
          <w:tcPr>
            <w:tcW w:w="3844" w:type="dxa"/>
          </w:tcPr>
          <w:p w14:paraId="0AC3C1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3844" w:type="dxa"/>
          </w:tcPr>
          <w:p w14:paraId="12E01F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Сварена, проходит термообработку</w:t>
            </w:r>
          </w:p>
        </w:tc>
      </w:tr>
      <w:tr w:rsidR="00983732" w:rsidRPr="00A3026E" w14:paraId="5464AEB7" w14:textId="77777777" w:rsidTr="00EA0DA7">
        <w:tc>
          <w:tcPr>
            <w:tcW w:w="3844" w:type="dxa"/>
          </w:tcPr>
          <w:p w14:paraId="5F73E6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Сектор П пилота</w:t>
            </w:r>
          </w:p>
        </w:tc>
        <w:tc>
          <w:tcPr>
            <w:tcW w:w="3844" w:type="dxa"/>
          </w:tcPr>
          <w:p w14:paraId="7C52E0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3844" w:type="dxa"/>
          </w:tcPr>
          <w:p w14:paraId="127CAF7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3075A6F" w14:textId="77777777" w:rsidTr="00EA0DA7">
        <w:tc>
          <w:tcPr>
            <w:tcW w:w="3844" w:type="dxa"/>
          </w:tcPr>
          <w:p w14:paraId="358F82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Управление б/краном</w:t>
            </w:r>
          </w:p>
        </w:tc>
        <w:tc>
          <w:tcPr>
            <w:tcW w:w="3844" w:type="dxa"/>
          </w:tcPr>
          <w:p w14:paraId="5D957C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3844" w:type="dxa"/>
          </w:tcPr>
          <w:p w14:paraId="4AD4DBF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D471899" w14:textId="77777777" w:rsidTr="00EA0DA7">
        <w:tc>
          <w:tcPr>
            <w:tcW w:w="3844" w:type="dxa"/>
          </w:tcPr>
          <w:p w14:paraId="2C254E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Бензобак</w:t>
            </w:r>
          </w:p>
        </w:tc>
        <w:tc>
          <w:tcPr>
            <w:tcW w:w="3844" w:type="dxa"/>
          </w:tcPr>
          <w:p w14:paraId="2E2E7B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3844" w:type="dxa"/>
          </w:tcPr>
          <w:p w14:paraId="485699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Собран, сваривается</w:t>
            </w:r>
          </w:p>
        </w:tc>
      </w:tr>
      <w:tr w:rsidR="00983732" w:rsidRPr="00A3026E" w14:paraId="5E44E10A" w14:textId="77777777" w:rsidTr="00EA0DA7">
        <w:tc>
          <w:tcPr>
            <w:tcW w:w="3844" w:type="dxa"/>
          </w:tcPr>
          <w:p w14:paraId="6B8770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Инертные газы</w:t>
            </w:r>
          </w:p>
        </w:tc>
        <w:tc>
          <w:tcPr>
            <w:tcW w:w="3844" w:type="dxa"/>
          </w:tcPr>
          <w:p w14:paraId="45FF9D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3844" w:type="dxa"/>
          </w:tcPr>
          <w:p w14:paraId="7A3BAC1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06E2093" w14:textId="77777777" w:rsidTr="00EA0DA7">
        <w:tc>
          <w:tcPr>
            <w:tcW w:w="3844" w:type="dxa"/>
          </w:tcPr>
          <w:p w14:paraId="137A26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Отопление кабин</w:t>
            </w:r>
          </w:p>
        </w:tc>
        <w:tc>
          <w:tcPr>
            <w:tcW w:w="3844" w:type="dxa"/>
          </w:tcPr>
          <w:p w14:paraId="503555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3844" w:type="dxa"/>
          </w:tcPr>
          <w:p w14:paraId="291186D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EDBF76A" w14:textId="77777777" w:rsidTr="00EA0DA7">
        <w:tc>
          <w:tcPr>
            <w:tcW w:w="3844" w:type="dxa"/>
          </w:tcPr>
          <w:p w14:paraId="3BE46B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Управление альвейером</w:t>
            </w:r>
          </w:p>
        </w:tc>
        <w:tc>
          <w:tcPr>
            <w:tcW w:w="3844" w:type="dxa"/>
          </w:tcPr>
          <w:p w14:paraId="45031E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3844" w:type="dxa"/>
          </w:tcPr>
          <w:p w14:paraId="23B3AC0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2EE5FA3" w14:textId="77777777" w:rsidTr="00EA0DA7">
        <w:tc>
          <w:tcPr>
            <w:tcW w:w="3844" w:type="dxa"/>
          </w:tcPr>
          <w:p w14:paraId="17AF7A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Управление юбкой капота</w:t>
            </w:r>
          </w:p>
        </w:tc>
        <w:tc>
          <w:tcPr>
            <w:tcW w:w="3844" w:type="dxa"/>
          </w:tcPr>
          <w:p w14:paraId="41E9DE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3844" w:type="dxa"/>
          </w:tcPr>
          <w:p w14:paraId="4403DA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Заготовка деталей</w:t>
            </w:r>
          </w:p>
        </w:tc>
      </w:tr>
      <w:tr w:rsidR="00983732" w:rsidRPr="00A3026E" w14:paraId="6CE37FAD" w14:textId="77777777" w:rsidTr="00EA0DA7">
        <w:tc>
          <w:tcPr>
            <w:tcW w:w="3844" w:type="dxa"/>
          </w:tcPr>
          <w:p w14:paraId="6DD7D6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Бензопроводка</w:t>
            </w:r>
          </w:p>
        </w:tc>
        <w:tc>
          <w:tcPr>
            <w:tcW w:w="3844" w:type="dxa"/>
          </w:tcPr>
          <w:p w14:paraId="0C5237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3844" w:type="dxa"/>
          </w:tcPr>
          <w:p w14:paraId="491605A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A5D5D48" w14:textId="77777777" w:rsidTr="00EA0DA7">
        <w:tc>
          <w:tcPr>
            <w:tcW w:w="3844" w:type="dxa"/>
          </w:tcPr>
          <w:p w14:paraId="6EA60F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Щитки шасси</w:t>
            </w:r>
          </w:p>
        </w:tc>
        <w:tc>
          <w:tcPr>
            <w:tcW w:w="3844" w:type="dxa"/>
          </w:tcPr>
          <w:p w14:paraId="73BCD4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3844" w:type="dxa"/>
          </w:tcPr>
          <w:p w14:paraId="2E39CC3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C02E1EC" w14:textId="77777777" w:rsidTr="00EA0DA7">
        <w:tc>
          <w:tcPr>
            <w:tcW w:w="3844" w:type="dxa"/>
          </w:tcPr>
          <w:p w14:paraId="6AD08F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Выхлопной коллектор</w:t>
            </w:r>
          </w:p>
        </w:tc>
        <w:tc>
          <w:tcPr>
            <w:tcW w:w="3844" w:type="dxa"/>
          </w:tcPr>
          <w:p w14:paraId="5E1F68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3844" w:type="dxa"/>
          </w:tcPr>
          <w:p w14:paraId="760013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Начато изготовление болванки</w:t>
            </w:r>
          </w:p>
        </w:tc>
      </w:tr>
      <w:tr w:rsidR="00983732" w:rsidRPr="00A3026E" w14:paraId="2DAB8214" w14:textId="77777777" w:rsidTr="00EA0DA7">
        <w:tc>
          <w:tcPr>
            <w:tcW w:w="3844" w:type="dxa"/>
          </w:tcPr>
          <w:p w14:paraId="15A223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Зализы мотора</w:t>
            </w:r>
          </w:p>
        </w:tc>
        <w:tc>
          <w:tcPr>
            <w:tcW w:w="3844" w:type="dxa"/>
          </w:tcPr>
          <w:p w14:paraId="0826AC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3844" w:type="dxa"/>
          </w:tcPr>
          <w:p w14:paraId="4EC66F5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43E26F2" w14:textId="77777777" w:rsidTr="00EA0DA7">
        <w:tc>
          <w:tcPr>
            <w:tcW w:w="3844" w:type="dxa"/>
          </w:tcPr>
          <w:p w14:paraId="27AA08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Кок на винт</w:t>
            </w:r>
          </w:p>
        </w:tc>
        <w:tc>
          <w:tcPr>
            <w:tcW w:w="3844" w:type="dxa"/>
          </w:tcPr>
          <w:p w14:paraId="411C36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3844" w:type="dxa"/>
          </w:tcPr>
          <w:p w14:paraId="7261FD4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9127F83" w14:textId="77777777" w:rsidTr="00EA0DA7">
        <w:tc>
          <w:tcPr>
            <w:tcW w:w="3844" w:type="dxa"/>
          </w:tcPr>
          <w:p w14:paraId="4F68D4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Бензокран</w:t>
            </w:r>
          </w:p>
        </w:tc>
        <w:tc>
          <w:tcPr>
            <w:tcW w:w="3844" w:type="dxa"/>
          </w:tcPr>
          <w:p w14:paraId="03AE04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3844" w:type="dxa"/>
          </w:tcPr>
          <w:p w14:paraId="45FDEA4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2D0AD14" w14:textId="77777777" w:rsidTr="00EA0DA7">
        <w:tc>
          <w:tcPr>
            <w:tcW w:w="3844" w:type="dxa"/>
          </w:tcPr>
          <w:p w14:paraId="15B2A1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Капоты</w:t>
            </w:r>
          </w:p>
        </w:tc>
        <w:tc>
          <w:tcPr>
            <w:tcW w:w="3844" w:type="dxa"/>
          </w:tcPr>
          <w:p w14:paraId="00F8ED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3844" w:type="dxa"/>
          </w:tcPr>
          <w:p w14:paraId="68C32E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Начато изготовление болванок</w:t>
            </w:r>
          </w:p>
        </w:tc>
      </w:tr>
      <w:tr w:rsidR="00983732" w:rsidRPr="00A3026E" w14:paraId="0AE81FEB" w14:textId="77777777" w:rsidTr="00EA0DA7">
        <w:tc>
          <w:tcPr>
            <w:tcW w:w="3844" w:type="dxa"/>
            <w:tcBorders>
              <w:bottom w:val="single" w:sz="12" w:space="0" w:color="auto"/>
            </w:tcBorders>
          </w:tcPr>
          <w:p w14:paraId="3A8CA6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Башмаки крепления моторам</w:t>
            </w:r>
          </w:p>
        </w:tc>
        <w:tc>
          <w:tcPr>
            <w:tcW w:w="3844" w:type="dxa"/>
            <w:tcBorders>
              <w:bottom w:val="single" w:sz="12" w:space="0" w:color="auto"/>
            </w:tcBorders>
          </w:tcPr>
          <w:p w14:paraId="40ED3A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3844" w:type="dxa"/>
            <w:tcBorders>
              <w:bottom w:val="single" w:sz="12" w:space="0" w:color="auto"/>
            </w:tcBorders>
          </w:tcPr>
          <w:p w14:paraId="67F3B15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061D39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Продолжены статиспытания планера на случай Е, производится подготовка статиспытаний на случай В (874,58).</w:t>
      </w:r>
    </w:p>
    <w:p w14:paraId="2A3DBAF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3985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сентября 1940 в ходе гос. испытаний УТИ-26 в НИИ ВВС, которые проходили с 29 августа по 19 сентября 1940 был проведен полет на километраж, а потом погода стала нелетной (2944).</w:t>
      </w:r>
    </w:p>
    <w:p w14:paraId="42D1791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91ECF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сентября 1940 комиссия в составе А.А.Сенькова, П.А.Беляева, А.В.Юмашева пришла к выводу в отношении Э.О.И. В.Н.Беляева “машина не обещает особых достижений по скорости” (1974,196).</w:t>
      </w:r>
    </w:p>
    <w:p w14:paraId="2E0C510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98D2B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сентября 1940 года замначальника ЦАГИ и начальник Бюро новой техники С.А. Шумовский послал запрос начальнику 1-го Управления ГУ ВВС РККА генерал-лейтенанту авиации Пумпуру по вопросу об использовании материалов имеющемуся в бюллетенях издаваемых ГУ ВВС КА:</w:t>
      </w:r>
    </w:p>
    <w:p w14:paraId="27BA2D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«Спецтехгруппа Бюро новой техники ЦАГИ имеет задание Наркомата авиационной промышленности по суммированию и изучению материалов по авариям самолетов и по доведению этих суммированных материалов до сведения промышленности.</w:t>
      </w:r>
    </w:p>
    <w:p w14:paraId="2C7DD5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этим прошу Вашего разрешения на использование для этой работы ЦАГИ материалов, имеющихся в издаваемых Г.У. ВВС К. А. аварийных бюллетенях и в других, получаемых от Вас сообщениях об авариях самолетов.</w:t>
      </w:r>
    </w:p>
    <w:p w14:paraId="7279DF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будет использован в виде обработанных выписок из аварийных бюллетеней, с указанием типа самолета, но без указания названия части, в которой произошла та или иная авария, и без фамилий членов экипажа и командования части. Рассылаться материал будет в секретном порядке.</w:t>
      </w:r>
    </w:p>
    <w:p w14:paraId="487D33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одному экземпляру всех материалов будет предоставляться Вам» (Там же. Л. 10.) (11672).</w:t>
      </w:r>
    </w:p>
    <w:p w14:paraId="0621832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B0D9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сентября 1940 Зам. НКАП Хруничев писал письмо № Н-21/2035 в ГЛАВНЫЙ КОНТРОЛЬ К.О. при СНК СССР тов.НОВИКОВУ А.С. (Копия: начальнику Снабжения и вооружения ВВС КА Генерал-лейтенанту Авиации - тов.АСТАХОВУ Ф.А.</w:t>
      </w:r>
    </w:p>
    <w:p w14:paraId="719843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соответствии с пуктом "Г" § 9 постановления К.О. от 26.УП.40 г. за № 335сс, и всилу пред"являемых ГУВВС КА все новых и новых требований к вооружению самолетов Главным Управлениям НКАП приходится вносить изменения </w:t>
      </w:r>
      <w:r w:rsidRPr="00A3026E">
        <w:rPr>
          <w:rFonts w:ascii="Times New Roman" w:hAnsi="Times New Roman"/>
          <w:smallCaps/>
          <w:color w:val="000000" w:themeColor="text1"/>
          <w:sz w:val="16"/>
          <w:szCs w:val="16"/>
        </w:rPr>
        <w:t xml:space="preserve">б </w:t>
      </w:r>
      <w:r w:rsidRPr="00A3026E">
        <w:rPr>
          <w:rFonts w:ascii="Times New Roman" w:hAnsi="Times New Roman"/>
          <w:color w:val="000000" w:themeColor="text1"/>
          <w:sz w:val="16"/>
          <w:szCs w:val="16"/>
        </w:rPr>
        <w:t>существую</w:t>
      </w:r>
      <w:r w:rsidRPr="00A3026E">
        <w:rPr>
          <w:rFonts w:ascii="Times New Roman" w:hAnsi="Times New Roman"/>
          <w:color w:val="000000" w:themeColor="text1"/>
          <w:sz w:val="16"/>
          <w:szCs w:val="16"/>
        </w:rPr>
        <w:softHyphen/>
        <w:t>щие перечни вооружения, и в связи с этим, согласованно с НКВ уточнять договорные количества поставок вооружения и оптики.</w:t>
      </w:r>
    </w:p>
    <w:p w14:paraId="796A46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изменения вносятся такие в связи с тем, что проекты постановления представляется на утверждение с учетом ожидаемых поставок, а не фактических поставок, т.к. постановления опережают сроки окончания отчетных периодов та договорных обязательств.</w:t>
      </w:r>
    </w:p>
    <w:p w14:paraId="7D0D5B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частности, в количества и типы прицелов истребованных на период август-декабрь т.г., согласованно с НКВ внесены следующие изменения:</w:t>
      </w:r>
    </w:p>
    <w:p w14:paraId="047379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 НКПБ-3, - увеличение до 610 шт., связано с требованием ГУВВС КА о довоорунении самолетов СБ и ДБ-3ф, при</w:t>
      </w:r>
      <w:r w:rsidRPr="00A3026E">
        <w:rPr>
          <w:rFonts w:ascii="Times New Roman" w:hAnsi="Times New Roman"/>
          <w:color w:val="000000" w:themeColor="text1"/>
          <w:sz w:val="16"/>
          <w:szCs w:val="16"/>
        </w:rPr>
        <w:softHyphen/>
        <w:t>целом ночного бомбометания, согласно письма Генерал-Лейтенанта Авиации тов. Смушкевича (№ 520189с) и письма за № 520262сс Генерал-Лейтенанта тов. Рычагова.</w:t>
      </w:r>
    </w:p>
    <w:p w14:paraId="5D0715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Прицелы ОПВ-1м и ам сокращены в связи с усиленной пос</w:t>
      </w:r>
      <w:r w:rsidRPr="00A3026E">
        <w:rPr>
          <w:rFonts w:ascii="Times New Roman" w:hAnsi="Times New Roman"/>
          <w:color w:val="000000" w:themeColor="text1"/>
          <w:sz w:val="16"/>
          <w:szCs w:val="16"/>
        </w:rPr>
        <w:softHyphen/>
        <w:t>тавкой их в конце июля месяца. Протоколом составленным в НКВ - 12 августа 1940 г. учтены эти количества. По той же причине указанным протоколом уточнены количества прицелов ОПБ-2М.</w:t>
      </w:r>
    </w:p>
    <w:p w14:paraId="73D88D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 СПБ-21 снят с производства на заводе № 217 сог</w:t>
      </w:r>
      <w:r w:rsidRPr="00A3026E">
        <w:rPr>
          <w:rFonts w:ascii="Times New Roman" w:hAnsi="Times New Roman"/>
          <w:color w:val="000000" w:themeColor="text1"/>
          <w:sz w:val="16"/>
          <w:szCs w:val="16"/>
        </w:rPr>
        <w:softHyphen/>
        <w:t>ласно письма ГУВВС КА № 521626 от 5.IX.40 г. и заменен при</w:t>
      </w:r>
      <w:r w:rsidRPr="00A3026E">
        <w:rPr>
          <w:rFonts w:ascii="Times New Roman" w:hAnsi="Times New Roman"/>
          <w:color w:val="000000" w:themeColor="text1"/>
          <w:sz w:val="16"/>
          <w:szCs w:val="16"/>
        </w:rPr>
        <w:softHyphen/>
        <w:t>целом ОПБ-2м производства зав. № 349.</w:t>
      </w:r>
    </w:p>
    <w:p w14:paraId="55C9C0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 Летфе-7б снят, с вооружения на самолетах ПБ-100 выпуска 1940 г., согласно постановления Правительства от 17.УП.40 г. за № 315, поступившего в НКАП 19.УП, об установ</w:t>
      </w:r>
      <w:r w:rsidRPr="00A3026E">
        <w:rPr>
          <w:rFonts w:ascii="Times New Roman" w:hAnsi="Times New Roman"/>
          <w:color w:val="000000" w:themeColor="text1"/>
          <w:sz w:val="16"/>
          <w:szCs w:val="16"/>
        </w:rPr>
        <w:softHyphen/>
        <w:t>ке их на самолетах лишь с 1941 года.</w:t>
      </w:r>
    </w:p>
    <w:p w14:paraId="37F43E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Прицелы ОПСК и ПВС-1 были включены а постановление Правительства № 257сс Техотделом НКВД, для вариантов высотных истребителей ВИ-100, поэтому НКАП был вынужден истребо</w:t>
      </w:r>
      <w:r w:rsidRPr="00A3026E">
        <w:rPr>
          <w:rFonts w:ascii="Times New Roman" w:hAnsi="Times New Roman"/>
          <w:color w:val="000000" w:themeColor="text1"/>
          <w:sz w:val="16"/>
          <w:szCs w:val="16"/>
        </w:rPr>
        <w:softHyphen/>
        <w:t>вать эти прицелы. После испытания самолетов в варианте пики</w:t>
      </w:r>
      <w:r w:rsidRPr="00A3026E">
        <w:rPr>
          <w:rFonts w:ascii="Times New Roman" w:hAnsi="Times New Roman"/>
          <w:color w:val="000000" w:themeColor="text1"/>
          <w:sz w:val="16"/>
          <w:szCs w:val="16"/>
        </w:rPr>
        <w:softHyphen/>
        <w:t>рующего бомбардировщика (ПБ-100) необходимость в установке прицелов ОПСК и ПВС-1 отпала, т.к. ими зтот тип самолетов не вооружается.</w:t>
      </w:r>
    </w:p>
    <w:p w14:paraId="3018EE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прицелу ОПТ-1, заявка изменена в связи с значитель</w:t>
      </w:r>
      <w:r w:rsidRPr="00A3026E">
        <w:rPr>
          <w:rFonts w:ascii="Times New Roman" w:hAnsi="Times New Roman"/>
          <w:color w:val="000000" w:themeColor="text1"/>
          <w:sz w:val="16"/>
          <w:szCs w:val="16"/>
        </w:rPr>
        <w:softHyphen/>
        <w:t>ным сокращением программы по 2 Глазному Управлении НКАП, 2.08.40 г. по выпуску турелей, для переоборудования самоле</w:t>
      </w:r>
      <w:r w:rsidRPr="00A3026E">
        <w:rPr>
          <w:rFonts w:ascii="Times New Roman" w:hAnsi="Times New Roman"/>
          <w:color w:val="000000" w:themeColor="text1"/>
          <w:sz w:val="16"/>
          <w:szCs w:val="16"/>
        </w:rPr>
        <w:softHyphen/>
        <w:t>тов в воинских частях согласно письма ГУВВС КА за № 521603с.</w:t>
      </w:r>
    </w:p>
    <w:p w14:paraId="4775E9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 ПЛ-5 снят с вооружения в связи со снятием с программы самолета СПБ.</w:t>
      </w:r>
    </w:p>
    <w:p w14:paraId="1184D8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 ПАН-24 снят с вооружения согласно письма ГУВВС КА за № 520097, поступиваего в аппарат 1-го Главного Управления ЕКАЛ - 20.УП.40 г.</w:t>
      </w:r>
    </w:p>
    <w:p w14:paraId="307B9E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 ПАК-1, сокращен в заказе в связи с введением на вооружение по самолетам И-200 и ПБ-100 нового прицела ПБП-1 согласно того же письма ГУВВС КА № 520097, и переда</w:t>
      </w:r>
      <w:r w:rsidRPr="00A3026E">
        <w:rPr>
          <w:rFonts w:ascii="Times New Roman" w:hAnsi="Times New Roman"/>
          <w:color w:val="000000" w:themeColor="text1"/>
          <w:sz w:val="16"/>
          <w:szCs w:val="16"/>
        </w:rPr>
        <w:softHyphen/>
        <w:t>чи заведу № 21 прицелов ПАК-1 образца 1938 года из запасов ГУВВС КА а количестве 650 штук.</w:t>
      </w:r>
    </w:p>
    <w:p w14:paraId="1176DE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 К-8т, принят шифр ОПТ-2 - заказ увеличен на 50 штук, ввиду установки на самолете СБРК этих прицелов, на основании нового перечня вооружения. Так как прицел является перспективным и решает задачи по стрельбе с верхней стрелковой точки, в дальнейшем выявится безуслов</w:t>
      </w:r>
      <w:r w:rsidRPr="00A3026E">
        <w:rPr>
          <w:rFonts w:ascii="Times New Roman" w:hAnsi="Times New Roman"/>
          <w:color w:val="000000" w:themeColor="text1"/>
          <w:sz w:val="16"/>
          <w:szCs w:val="16"/>
        </w:rPr>
        <w:softHyphen/>
        <w:t>ная необходимость увеличения их производства, в связи с чем заявка НКАП будет еще раз пересмотрена в сторону уве</w:t>
      </w:r>
      <w:r w:rsidRPr="00A3026E">
        <w:rPr>
          <w:rFonts w:ascii="Times New Roman" w:hAnsi="Times New Roman"/>
          <w:color w:val="000000" w:themeColor="text1"/>
          <w:sz w:val="16"/>
          <w:szCs w:val="16"/>
        </w:rPr>
        <w:softHyphen/>
        <w:t>личения.</w:t>
      </w:r>
    </w:p>
    <w:p w14:paraId="184D4A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 ПМП-6, потребность сокращена в силу значитель</w:t>
      </w:r>
      <w:r w:rsidRPr="00A3026E">
        <w:rPr>
          <w:rFonts w:ascii="Times New Roman" w:hAnsi="Times New Roman"/>
          <w:color w:val="000000" w:themeColor="text1"/>
          <w:sz w:val="16"/>
          <w:szCs w:val="16"/>
        </w:rPr>
        <w:softHyphen/>
        <w:t>ного перевыполнения заводом № 357 программы в июле и в связи с этим значительного остатка на заводе № 32 НКАП. Кроме этого по согласованному с ГУВВС перечню вооружения самолета СБРК,в августе месяце прицел ПМП-6 с носовой установки самолета СБРК снят и заменен механическим при</w:t>
      </w:r>
      <w:r w:rsidRPr="00A3026E">
        <w:rPr>
          <w:rFonts w:ascii="Times New Roman" w:hAnsi="Times New Roman"/>
          <w:color w:val="000000" w:themeColor="text1"/>
          <w:sz w:val="16"/>
          <w:szCs w:val="16"/>
        </w:rPr>
        <w:softHyphen/>
        <w:t>целом конструкции завода № 39 и производства завода № 32 НКАП.</w:t>
      </w:r>
    </w:p>
    <w:p w14:paraId="6829C1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 ПАЛ-23у, - заказ увеличен на 40 штук ввиду того, что на вооружение самолета ДБ-240 в августе месяце, введена тяжелая аэродинамическая турель под крупно-калиберный пулемет системы Березина "ТАТБТ".</w:t>
      </w:r>
    </w:p>
    <w:p w14:paraId="24F01E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Последним письмом ГУВВС КА за № 521639сс от 15.IX. 40 г. НКАП поставлен в известность,что на 1941 год остаются только следующие прицелы:</w:t>
      </w:r>
    </w:p>
    <w:p w14:paraId="2ADFD1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бомбардировочные, ПС-1,ОПБ-2м,ОПБ-2ам,ОПБ-1м, ОПБ-1ом и НКПБ-3;</w:t>
      </w:r>
    </w:p>
    <w:p w14:paraId="67688C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стрелковые МПТ-1,ОПТ-2,ОЕ-2л,ПБП-1.</w:t>
      </w:r>
    </w:p>
    <w:p w14:paraId="30D2C8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Вследствие этого очевидно,что заявка по прицелам на 1941 г. снова потребует коренных изменений и уточнений. Все изложенное помимо того,что нарушает налаженное произ</w:t>
      </w:r>
      <w:r w:rsidRPr="00A3026E">
        <w:rPr>
          <w:rFonts w:ascii="Times New Roman" w:hAnsi="Times New Roman"/>
          <w:color w:val="000000" w:themeColor="text1"/>
          <w:sz w:val="16"/>
          <w:szCs w:val="16"/>
        </w:rPr>
        <w:softHyphen/>
        <w:t>водство прицелов на заводах НКВ, отражается на ра</w:t>
      </w:r>
      <w:r w:rsidRPr="00A3026E">
        <w:rPr>
          <w:rFonts w:ascii="Times New Roman" w:hAnsi="Times New Roman"/>
          <w:color w:val="000000" w:themeColor="text1"/>
          <w:sz w:val="16"/>
          <w:szCs w:val="16"/>
        </w:rPr>
        <w:softHyphen/>
        <w:t>боте самолетных заводов,т.к. введение новых прицелов на турелях требует отработки новых механизмов стабилизации, а установка новых бомбордировочных прицелов требует часто полной перекомпоновки кабнны штурмана и креплений прице</w:t>
      </w:r>
      <w:r w:rsidRPr="00A3026E">
        <w:rPr>
          <w:rFonts w:ascii="Times New Roman" w:hAnsi="Times New Roman"/>
          <w:color w:val="000000" w:themeColor="text1"/>
          <w:sz w:val="16"/>
          <w:szCs w:val="16"/>
        </w:rPr>
        <w:softHyphen/>
        <w:t>ла.</w:t>
      </w:r>
    </w:p>
    <w:p w14:paraId="21579D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считаю необходимым обратить Ваше внима</w:t>
      </w:r>
      <w:r w:rsidRPr="00A3026E">
        <w:rPr>
          <w:rFonts w:ascii="Times New Roman" w:hAnsi="Times New Roman"/>
          <w:color w:val="000000" w:themeColor="text1"/>
          <w:sz w:val="16"/>
          <w:szCs w:val="16"/>
        </w:rPr>
        <w:softHyphen/>
        <w:t>ние на то обстоятельство, что несмотря на специальное совещание, состоявшееся при Вас с приглашением т.т. Бар</w:t>
      </w:r>
      <w:r w:rsidRPr="00A3026E">
        <w:rPr>
          <w:rFonts w:ascii="Times New Roman" w:hAnsi="Times New Roman"/>
          <w:color w:val="000000" w:themeColor="text1"/>
          <w:sz w:val="16"/>
          <w:szCs w:val="16"/>
        </w:rPr>
        <w:softHyphen/>
        <w:t>сукова и Пастухова, положение с поставкой вооружения нис</w:t>
      </w:r>
      <w:r w:rsidRPr="00A3026E">
        <w:rPr>
          <w:rFonts w:ascii="Times New Roman" w:hAnsi="Times New Roman"/>
          <w:color w:val="000000" w:themeColor="text1"/>
          <w:sz w:val="16"/>
          <w:szCs w:val="16"/>
        </w:rPr>
        <w:softHyphen/>
        <w:t>колько не улучшилось. За август месяц с.г. поставлено пулеметов Шкас всех типов 1580 штук вместо 3710 штук.</w:t>
      </w:r>
    </w:p>
    <w:p w14:paraId="394228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завод № 1, 21, 22, 39, 18, 153, 301, 292, не имеют синхронных и турелъных пулеметов и цеха оконча</w:t>
      </w:r>
      <w:r w:rsidRPr="00A3026E">
        <w:rPr>
          <w:rFonts w:ascii="Times New Roman" w:hAnsi="Times New Roman"/>
          <w:color w:val="000000" w:themeColor="text1"/>
          <w:sz w:val="16"/>
          <w:szCs w:val="16"/>
        </w:rPr>
        <w:softHyphen/>
        <w:t>тельной сборки лишены возможности равномерно выпускать готовые самолеты.</w:t>
      </w:r>
    </w:p>
    <w:p w14:paraId="3A0CC0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Такое же положение с поставкой пушек (для самолета И-26), прицелов ПАН-23, ОП-2л,ОПТ-1 и НКПБ-3.</w:t>
      </w:r>
    </w:p>
    <w:p w14:paraId="164E8D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касается вносимых НКАПом изменений в свои зака</w:t>
      </w:r>
      <w:r w:rsidRPr="00A3026E">
        <w:rPr>
          <w:rFonts w:ascii="Times New Roman" w:hAnsi="Times New Roman"/>
          <w:color w:val="000000" w:themeColor="text1"/>
          <w:sz w:val="16"/>
          <w:szCs w:val="16"/>
        </w:rPr>
        <w:softHyphen/>
        <w:t>зы НКВооружения, то безусловно они будут иметь место и впредь, в связи с изменениями перечней вооружения, поста</w:t>
      </w:r>
      <w:r w:rsidRPr="00A3026E">
        <w:rPr>
          <w:rFonts w:ascii="Times New Roman" w:hAnsi="Times New Roman"/>
          <w:color w:val="000000" w:themeColor="text1"/>
          <w:sz w:val="16"/>
          <w:szCs w:val="16"/>
        </w:rPr>
        <w:softHyphen/>
        <w:t>новкой на производство опытных и новых типов самолетов,и состоянием хода выполнения программы самолетными завода</w:t>
      </w:r>
      <w:r w:rsidRPr="00A3026E">
        <w:rPr>
          <w:rFonts w:ascii="Times New Roman" w:hAnsi="Times New Roman"/>
          <w:color w:val="000000" w:themeColor="text1"/>
          <w:sz w:val="16"/>
          <w:szCs w:val="16"/>
        </w:rPr>
        <w:softHyphen/>
        <w:t>ми, дабы не допускать затоваривания.</w:t>
      </w:r>
    </w:p>
    <w:p w14:paraId="5EA418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Возможность внесения изменений в заказы и специфика</w:t>
      </w:r>
      <w:r w:rsidRPr="00A3026E">
        <w:rPr>
          <w:rFonts w:ascii="Times New Roman" w:hAnsi="Times New Roman"/>
          <w:color w:val="000000" w:themeColor="text1"/>
          <w:sz w:val="16"/>
          <w:szCs w:val="16"/>
        </w:rPr>
        <w:softHyphen/>
        <w:t>ции предусмотрена пунктом "Г" § 9 постановления 335сс.</w:t>
      </w:r>
    </w:p>
    <w:p w14:paraId="583F0F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вносимые изменения Главными Управлениями НКАП, в каждом отдельном случае согласовываются с Наркоматами поставщиками. В частности с НКВ все согласованно 12.УШ.40 г. с участием представителя ГУВВС КА.тов. Весничева - Район</w:t>
      </w:r>
      <w:r w:rsidRPr="00A3026E">
        <w:rPr>
          <w:rFonts w:ascii="Times New Roman" w:hAnsi="Times New Roman"/>
          <w:color w:val="000000" w:themeColor="text1"/>
          <w:sz w:val="16"/>
          <w:szCs w:val="16"/>
        </w:rPr>
        <w:softHyphen/>
        <w:t>ного инженера ГУВВС КА (10520,111).</w:t>
      </w:r>
    </w:p>
    <w:p w14:paraId="06399D0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B4958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14 сентября 1940 Зам НКАП Хруничев писал письмо </w:t>
      </w:r>
    </w:p>
    <w:p w14:paraId="77E278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ГЛАВНОМ7 КОНТРОЛЕРУ К.О. при СНК СССР тов. Новикову А.С.</w:t>
      </w:r>
    </w:p>
    <w:p w14:paraId="4625DC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Заместителю Народного Комиссаоа Электропромышленности СССР тов. Зубович И.Г.</w:t>
      </w:r>
    </w:p>
    <w:p w14:paraId="358AF1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Директору завода № 203 НКЭП - тов. Тимину</w:t>
      </w:r>
    </w:p>
    <w:p w14:paraId="2E5051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Зо втором полугодии 1940 г. завод № 266 НКАП обязан изготовить машины ДРП-1Б для Управления Связи К.А. в количестве 1000 шт., кроме того постановлением Правителъмтва № 298сс, этот же завод обязан изготовить машшы ДРА-1А тоже для Управления Связи К.А. в количестве 1000 шт., для обеспечения выпуска машины ДРП-1Б потребность в корперирозанных изделиях составляет: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1BE31E35" w14:textId="77777777" w:rsidTr="00EA0DA7">
        <w:tc>
          <w:tcPr>
            <w:tcW w:w="5636" w:type="dxa"/>
            <w:tcBorders>
              <w:top w:val="single" w:sz="12" w:space="0" w:color="auto"/>
            </w:tcBorders>
            <w:shd w:val="clear" w:color="auto" w:fill="FFFFFF"/>
          </w:tcPr>
          <w:p w14:paraId="5A4635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Конденсаторов электрол. в количестве</w:t>
            </w:r>
          </w:p>
        </w:tc>
        <w:tc>
          <w:tcPr>
            <w:tcW w:w="5636" w:type="dxa"/>
            <w:tcBorders>
              <w:top w:val="single" w:sz="12" w:space="0" w:color="auto"/>
            </w:tcBorders>
            <w:shd w:val="clear" w:color="auto" w:fill="FFFFFF"/>
          </w:tcPr>
          <w:p w14:paraId="528A3A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- 3000 шт.</w:t>
            </w:r>
          </w:p>
        </w:tc>
      </w:tr>
      <w:tr w:rsidR="00983732" w:rsidRPr="00A3026E" w14:paraId="7DD7957C" w14:textId="77777777" w:rsidTr="00EA0DA7">
        <w:tc>
          <w:tcPr>
            <w:tcW w:w="5636" w:type="dxa"/>
            <w:shd w:val="clear" w:color="auto" w:fill="FFFFFF"/>
          </w:tcPr>
          <w:p w14:paraId="730AA4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Колодок питания "Лев"</w:t>
            </w:r>
          </w:p>
        </w:tc>
        <w:tc>
          <w:tcPr>
            <w:tcW w:w="5636" w:type="dxa"/>
            <w:shd w:val="clear" w:color="auto" w:fill="FFFFFF"/>
          </w:tcPr>
          <w:p w14:paraId="7A4D2D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- 1000</w:t>
            </w:r>
          </w:p>
        </w:tc>
      </w:tr>
      <w:tr w:rsidR="00983732" w:rsidRPr="00A3026E" w14:paraId="43E67130" w14:textId="77777777" w:rsidTr="00EA0DA7">
        <w:tc>
          <w:tcPr>
            <w:tcW w:w="5636" w:type="dxa"/>
            <w:tcBorders>
              <w:bottom w:val="single" w:sz="12" w:space="0" w:color="auto"/>
            </w:tcBorders>
            <w:shd w:val="clear" w:color="auto" w:fill="FFFFFF"/>
          </w:tcPr>
          <w:p w14:paraId="528EBE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Фишек “Лев”</w:t>
            </w:r>
          </w:p>
        </w:tc>
        <w:tc>
          <w:tcPr>
            <w:tcW w:w="5636" w:type="dxa"/>
            <w:tcBorders>
              <w:bottom w:val="single" w:sz="12" w:space="0" w:color="auto"/>
            </w:tcBorders>
            <w:shd w:val="clear" w:color="auto" w:fill="FFFFFF"/>
          </w:tcPr>
          <w:p w14:paraId="4928F9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- 2000</w:t>
            </w:r>
          </w:p>
        </w:tc>
      </w:tr>
    </w:tbl>
    <w:p w14:paraId="7A910A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предусмотрено постановлением Правительства от 25/УП за № 336сс. Для обеспечения же выпуска машины ДРП-1А тре</w:t>
      </w:r>
      <w:r w:rsidRPr="00A3026E">
        <w:rPr>
          <w:rFonts w:ascii="Times New Roman" w:hAnsi="Times New Roman"/>
          <w:color w:val="000000" w:themeColor="text1"/>
          <w:sz w:val="16"/>
          <w:szCs w:val="16"/>
        </w:rPr>
        <w:softHyphen/>
        <w:t>буется дополнительно: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143E2816" w14:textId="77777777" w:rsidTr="00EA0DA7">
        <w:tc>
          <w:tcPr>
            <w:tcW w:w="5636" w:type="dxa"/>
            <w:tcBorders>
              <w:top w:val="single" w:sz="12" w:space="0" w:color="auto"/>
            </w:tcBorders>
            <w:shd w:val="clear" w:color="auto" w:fill="FFFFFF"/>
          </w:tcPr>
          <w:p w14:paraId="295205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Конденсаторов электголитич.</w:t>
            </w:r>
          </w:p>
        </w:tc>
        <w:tc>
          <w:tcPr>
            <w:tcW w:w="5636" w:type="dxa"/>
            <w:tcBorders>
              <w:top w:val="single" w:sz="12" w:space="0" w:color="auto"/>
            </w:tcBorders>
            <w:shd w:val="clear" w:color="auto" w:fill="FFFFFF"/>
          </w:tcPr>
          <w:p w14:paraId="4A96BF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- 4200</w:t>
            </w:r>
          </w:p>
        </w:tc>
      </w:tr>
      <w:tr w:rsidR="00983732" w:rsidRPr="00A3026E" w14:paraId="37DA7B12" w14:textId="77777777" w:rsidTr="00EA0DA7">
        <w:tc>
          <w:tcPr>
            <w:tcW w:w="5636" w:type="dxa"/>
            <w:shd w:val="clear" w:color="auto" w:fill="FFFFFF"/>
          </w:tcPr>
          <w:p w14:paraId="2F9494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Колодок питания "Лев" К-208</w:t>
            </w:r>
          </w:p>
        </w:tc>
        <w:tc>
          <w:tcPr>
            <w:tcW w:w="5636" w:type="dxa"/>
            <w:shd w:val="clear" w:color="auto" w:fill="FFFFFF"/>
          </w:tcPr>
          <w:p w14:paraId="721201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- 1200</w:t>
            </w:r>
          </w:p>
        </w:tc>
      </w:tr>
      <w:tr w:rsidR="00983732" w:rsidRPr="00A3026E" w14:paraId="2CB162B6" w14:textId="77777777" w:rsidTr="00EA0DA7">
        <w:tc>
          <w:tcPr>
            <w:tcW w:w="5636" w:type="dxa"/>
            <w:shd w:val="clear" w:color="auto" w:fill="FFFFFF"/>
          </w:tcPr>
          <w:p w14:paraId="53B024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Фиишек и сбор. "Лев” К-232</w:t>
            </w:r>
          </w:p>
        </w:tc>
        <w:tc>
          <w:tcPr>
            <w:tcW w:w="5636" w:type="dxa"/>
            <w:shd w:val="clear" w:color="auto" w:fill="FFFFFF"/>
          </w:tcPr>
          <w:p w14:paraId="276D71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- 2400</w:t>
            </w:r>
          </w:p>
        </w:tc>
      </w:tr>
      <w:tr w:rsidR="00983732" w:rsidRPr="00A3026E" w14:paraId="2503AAA0" w14:textId="77777777" w:rsidTr="00EA0DA7">
        <w:tc>
          <w:tcPr>
            <w:tcW w:w="5636" w:type="dxa"/>
            <w:shd w:val="clear" w:color="auto" w:fill="FFFFFF"/>
          </w:tcPr>
          <w:p w14:paraId="2C24AE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Гнездо "Скорпион" дет. К-486</w:t>
            </w:r>
          </w:p>
        </w:tc>
        <w:tc>
          <w:tcPr>
            <w:tcW w:w="5636" w:type="dxa"/>
            <w:shd w:val="clear" w:color="auto" w:fill="FFFFFF"/>
          </w:tcPr>
          <w:p w14:paraId="1635B2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- 3600</w:t>
            </w:r>
          </w:p>
        </w:tc>
      </w:tr>
      <w:tr w:rsidR="00983732" w:rsidRPr="00A3026E" w14:paraId="55EE7AB2" w14:textId="77777777" w:rsidTr="00EA0DA7">
        <w:tc>
          <w:tcPr>
            <w:tcW w:w="5636" w:type="dxa"/>
            <w:shd w:val="clear" w:color="auto" w:fill="FFFFFF"/>
          </w:tcPr>
          <w:p w14:paraId="18B575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Колодок питанил К-451</w:t>
            </w:r>
          </w:p>
        </w:tc>
        <w:tc>
          <w:tcPr>
            <w:tcW w:w="5636" w:type="dxa"/>
            <w:shd w:val="clear" w:color="auto" w:fill="FFFFFF"/>
          </w:tcPr>
          <w:p w14:paraId="045BEF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- 1200</w:t>
            </w:r>
          </w:p>
        </w:tc>
      </w:tr>
      <w:tr w:rsidR="00983732" w:rsidRPr="00A3026E" w14:paraId="5D84B5A6" w14:textId="77777777" w:rsidTr="00EA0DA7">
        <w:tc>
          <w:tcPr>
            <w:tcW w:w="5636" w:type="dxa"/>
            <w:tcBorders>
              <w:bottom w:val="single" w:sz="12" w:space="0" w:color="auto"/>
            </w:tcBorders>
            <w:shd w:val="clear" w:color="auto" w:fill="FFFFFF"/>
          </w:tcPr>
          <w:p w14:paraId="38E5E8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П8Л10 (для колодок К—451}</w:t>
            </w:r>
          </w:p>
        </w:tc>
        <w:tc>
          <w:tcPr>
            <w:tcW w:w="5636" w:type="dxa"/>
            <w:tcBorders>
              <w:bottom w:val="single" w:sz="12" w:space="0" w:color="auto"/>
            </w:tcBorders>
            <w:shd w:val="clear" w:color="auto" w:fill="FFFFFF"/>
          </w:tcPr>
          <w:p w14:paraId="6719A2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- 3600</w:t>
            </w:r>
          </w:p>
        </w:tc>
      </w:tr>
    </w:tbl>
    <w:p w14:paraId="473999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дополнительном фонде ННКАП обратился с письмом к Наркомату Электропромышленности, но последний не только отказал в дополните льном фонде конденсаторов и радиодеталей для завода № 266, но и не выполняет постановление Правительства № 335сс по указанным изделиям, поставляемым заводами НКЭП - Электросигнал и № 203.</w:t>
      </w:r>
    </w:p>
    <w:p w14:paraId="07CAD7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Такое положение с поставкой поименованных деталей лишает возможности выполнить постановление 238сс.</w:t>
      </w:r>
    </w:p>
    <w:p w14:paraId="0BB45152"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color w:val="000000" w:themeColor="text1"/>
          <w:sz w:val="16"/>
          <w:szCs w:val="16"/>
        </w:rPr>
        <w:t xml:space="preserve">Прошу Вашего вмешательства </w:t>
      </w:r>
      <w:r w:rsidRPr="00A3026E">
        <w:rPr>
          <w:rFonts w:ascii="Times New Roman" w:hAnsi="Times New Roman"/>
          <w:smallCaps/>
          <w:color w:val="000000" w:themeColor="text1"/>
          <w:sz w:val="16"/>
          <w:szCs w:val="16"/>
        </w:rPr>
        <w:t>(10450,97).</w:t>
      </w:r>
    </w:p>
    <w:p w14:paraId="1FA05E0E"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6644F9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сентября 1940 было подготовлено Приложение к приказу:</w:t>
      </w:r>
    </w:p>
    <w:p w14:paraId="7F22C4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Необходимое в 1У квартале перераспределение годового плана капитальных работ по отдельным заводам и главкам НКАП (в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1418"/>
        <w:gridCol w:w="1418"/>
      </w:tblGrid>
      <w:tr w:rsidR="00983732" w:rsidRPr="00A3026E" w14:paraId="0E3B9979" w14:textId="77777777" w:rsidTr="00EA0DA7">
        <w:tc>
          <w:tcPr>
            <w:tcW w:w="2943" w:type="dxa"/>
            <w:tcBorders>
              <w:top w:val="single" w:sz="12" w:space="0" w:color="auto"/>
            </w:tcBorders>
          </w:tcPr>
          <w:p w14:paraId="73C95D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Главные управления и заводы</w:t>
            </w:r>
          </w:p>
        </w:tc>
        <w:tc>
          <w:tcPr>
            <w:tcW w:w="1418" w:type="dxa"/>
            <w:tcBorders>
              <w:top w:val="single" w:sz="12" w:space="0" w:color="auto"/>
            </w:tcBorders>
          </w:tcPr>
          <w:p w14:paraId="0F234B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Увеличение объема</w:t>
            </w:r>
          </w:p>
        </w:tc>
        <w:tc>
          <w:tcPr>
            <w:tcW w:w="1418" w:type="dxa"/>
            <w:tcBorders>
              <w:top w:val="single" w:sz="12" w:space="0" w:color="auto"/>
            </w:tcBorders>
          </w:tcPr>
          <w:p w14:paraId="58068C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Уменьшение объема</w:t>
            </w:r>
          </w:p>
        </w:tc>
      </w:tr>
      <w:tr w:rsidR="00983732" w:rsidRPr="00A3026E" w14:paraId="1C76C3CA" w14:textId="77777777" w:rsidTr="00EA0DA7">
        <w:tc>
          <w:tcPr>
            <w:tcW w:w="2943" w:type="dxa"/>
          </w:tcPr>
          <w:p w14:paraId="1F7B80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1-е ГУ</w:t>
            </w:r>
          </w:p>
        </w:tc>
        <w:tc>
          <w:tcPr>
            <w:tcW w:w="1418" w:type="dxa"/>
          </w:tcPr>
          <w:p w14:paraId="6001CFB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408A80A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D881AC0" w14:textId="77777777" w:rsidTr="00EA0DA7">
        <w:tc>
          <w:tcPr>
            <w:tcW w:w="2943" w:type="dxa"/>
          </w:tcPr>
          <w:p w14:paraId="1341E1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1418" w:type="dxa"/>
          </w:tcPr>
          <w:p w14:paraId="61765E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1503CA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590</w:t>
            </w:r>
          </w:p>
        </w:tc>
      </w:tr>
      <w:tr w:rsidR="00983732" w:rsidRPr="00A3026E" w14:paraId="19F4480D" w14:textId="77777777" w:rsidTr="00EA0DA7">
        <w:tc>
          <w:tcPr>
            <w:tcW w:w="2943" w:type="dxa"/>
          </w:tcPr>
          <w:p w14:paraId="797710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c>
          <w:tcPr>
            <w:tcW w:w="1418" w:type="dxa"/>
          </w:tcPr>
          <w:p w14:paraId="67BCA1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418" w:type="dxa"/>
          </w:tcPr>
          <w:p w14:paraId="4A9039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973EED5" w14:textId="77777777" w:rsidTr="00EA0DA7">
        <w:tc>
          <w:tcPr>
            <w:tcW w:w="2943" w:type="dxa"/>
          </w:tcPr>
          <w:p w14:paraId="4B7CC9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c>
          <w:tcPr>
            <w:tcW w:w="1418" w:type="dxa"/>
          </w:tcPr>
          <w:p w14:paraId="0D5893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418" w:type="dxa"/>
          </w:tcPr>
          <w:p w14:paraId="1A271C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1C1A70C" w14:textId="77777777" w:rsidTr="00EA0DA7">
        <w:tc>
          <w:tcPr>
            <w:tcW w:w="2943" w:type="dxa"/>
          </w:tcPr>
          <w:p w14:paraId="1F9E5F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c>
          <w:tcPr>
            <w:tcW w:w="1418" w:type="dxa"/>
          </w:tcPr>
          <w:p w14:paraId="19D325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1418" w:type="dxa"/>
          </w:tcPr>
          <w:p w14:paraId="545812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6324D53" w14:textId="77777777" w:rsidTr="00EA0DA7">
        <w:tc>
          <w:tcPr>
            <w:tcW w:w="2943" w:type="dxa"/>
          </w:tcPr>
          <w:p w14:paraId="0D326A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118</w:t>
            </w:r>
          </w:p>
        </w:tc>
        <w:tc>
          <w:tcPr>
            <w:tcW w:w="1418" w:type="dxa"/>
          </w:tcPr>
          <w:p w14:paraId="6221F8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4C341C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r>
      <w:tr w:rsidR="00983732" w:rsidRPr="00A3026E" w14:paraId="29132FE8" w14:textId="77777777" w:rsidTr="00EA0DA7">
        <w:tc>
          <w:tcPr>
            <w:tcW w:w="2943" w:type="dxa"/>
          </w:tcPr>
          <w:p w14:paraId="52CD1B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w:t>
            </w:r>
          </w:p>
        </w:tc>
        <w:tc>
          <w:tcPr>
            <w:tcW w:w="1418" w:type="dxa"/>
          </w:tcPr>
          <w:p w14:paraId="21A7DF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404819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r>
      <w:tr w:rsidR="00983732" w:rsidRPr="00A3026E" w14:paraId="6F3DC0B0" w14:textId="77777777" w:rsidTr="00EA0DA7">
        <w:tc>
          <w:tcPr>
            <w:tcW w:w="2943" w:type="dxa"/>
          </w:tcPr>
          <w:p w14:paraId="6021AD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122</w:t>
            </w:r>
          </w:p>
        </w:tc>
        <w:tc>
          <w:tcPr>
            <w:tcW w:w="1418" w:type="dxa"/>
          </w:tcPr>
          <w:p w14:paraId="071C09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59A021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3368</w:t>
            </w:r>
          </w:p>
        </w:tc>
      </w:tr>
      <w:tr w:rsidR="00983732" w:rsidRPr="00A3026E" w14:paraId="46905112" w14:textId="77777777" w:rsidTr="00EA0DA7">
        <w:tc>
          <w:tcPr>
            <w:tcW w:w="2943" w:type="dxa"/>
          </w:tcPr>
          <w:p w14:paraId="2F160C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123</w:t>
            </w:r>
          </w:p>
        </w:tc>
        <w:tc>
          <w:tcPr>
            <w:tcW w:w="1418" w:type="dxa"/>
          </w:tcPr>
          <w:p w14:paraId="7BEAB8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76BCDD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r>
      <w:tr w:rsidR="00983732" w:rsidRPr="00A3026E" w14:paraId="0D0202DE" w14:textId="77777777" w:rsidTr="00EA0DA7">
        <w:tc>
          <w:tcPr>
            <w:tcW w:w="2943" w:type="dxa"/>
          </w:tcPr>
          <w:p w14:paraId="2982ED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1418" w:type="dxa"/>
          </w:tcPr>
          <w:p w14:paraId="1EE564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1418" w:type="dxa"/>
          </w:tcPr>
          <w:p w14:paraId="613D70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896316F" w14:textId="77777777" w:rsidTr="00EA0DA7">
        <w:tc>
          <w:tcPr>
            <w:tcW w:w="2943" w:type="dxa"/>
          </w:tcPr>
          <w:p w14:paraId="2134B0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w:t>
            </w:r>
          </w:p>
        </w:tc>
        <w:tc>
          <w:tcPr>
            <w:tcW w:w="1418" w:type="dxa"/>
          </w:tcPr>
          <w:p w14:paraId="7D5D4A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7EFC1A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13192</w:t>
            </w:r>
          </w:p>
        </w:tc>
      </w:tr>
      <w:tr w:rsidR="00983732" w:rsidRPr="00A3026E" w14:paraId="06AF9B74" w14:textId="77777777" w:rsidTr="00EA0DA7">
        <w:tc>
          <w:tcPr>
            <w:tcW w:w="2943" w:type="dxa"/>
          </w:tcPr>
          <w:p w14:paraId="24F349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w:t>
            </w:r>
          </w:p>
        </w:tc>
        <w:tc>
          <w:tcPr>
            <w:tcW w:w="1418" w:type="dxa"/>
          </w:tcPr>
          <w:p w14:paraId="246760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5750</w:t>
            </w:r>
          </w:p>
        </w:tc>
        <w:tc>
          <w:tcPr>
            <w:tcW w:w="1418" w:type="dxa"/>
          </w:tcPr>
          <w:p w14:paraId="2CF323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315E529" w14:textId="77777777" w:rsidTr="00EA0DA7">
        <w:tc>
          <w:tcPr>
            <w:tcW w:w="2943" w:type="dxa"/>
          </w:tcPr>
          <w:p w14:paraId="19EB59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418" w:type="dxa"/>
          </w:tcPr>
          <w:p w14:paraId="74DC25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3CA8CE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r>
      <w:tr w:rsidR="00983732" w:rsidRPr="00A3026E" w14:paraId="72FC68F6" w14:textId="77777777" w:rsidTr="00EA0DA7">
        <w:tc>
          <w:tcPr>
            <w:tcW w:w="2943" w:type="dxa"/>
          </w:tcPr>
          <w:p w14:paraId="6A0511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292</w:t>
            </w:r>
          </w:p>
        </w:tc>
        <w:tc>
          <w:tcPr>
            <w:tcW w:w="1418" w:type="dxa"/>
          </w:tcPr>
          <w:p w14:paraId="5F8464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751CF5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r>
      <w:tr w:rsidR="00983732" w:rsidRPr="00A3026E" w14:paraId="7E1CF7C1" w14:textId="77777777" w:rsidTr="00EA0DA7">
        <w:tc>
          <w:tcPr>
            <w:tcW w:w="2943" w:type="dxa"/>
          </w:tcPr>
          <w:p w14:paraId="585390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w:t>
            </w:r>
          </w:p>
        </w:tc>
        <w:tc>
          <w:tcPr>
            <w:tcW w:w="1418" w:type="dxa"/>
          </w:tcPr>
          <w:p w14:paraId="18D348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7C91BD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B287478" w14:textId="77777777" w:rsidTr="00EA0DA7">
        <w:tc>
          <w:tcPr>
            <w:tcW w:w="2943" w:type="dxa"/>
          </w:tcPr>
          <w:p w14:paraId="38599C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1418" w:type="dxa"/>
          </w:tcPr>
          <w:p w14:paraId="60D0F3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11550</w:t>
            </w:r>
          </w:p>
        </w:tc>
        <w:tc>
          <w:tcPr>
            <w:tcW w:w="1418" w:type="dxa"/>
          </w:tcPr>
          <w:p w14:paraId="4B0934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24050</w:t>
            </w:r>
          </w:p>
        </w:tc>
      </w:tr>
      <w:tr w:rsidR="00983732" w:rsidRPr="00A3026E" w14:paraId="7191076E" w14:textId="77777777" w:rsidTr="00EA0DA7">
        <w:tc>
          <w:tcPr>
            <w:tcW w:w="2943" w:type="dxa"/>
          </w:tcPr>
          <w:p w14:paraId="1A08FB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2-е ГУ</w:t>
            </w:r>
          </w:p>
        </w:tc>
        <w:tc>
          <w:tcPr>
            <w:tcW w:w="1418" w:type="dxa"/>
          </w:tcPr>
          <w:p w14:paraId="6598060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142BDB8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B1B4186" w14:textId="77777777" w:rsidTr="00EA0DA7">
        <w:tc>
          <w:tcPr>
            <w:tcW w:w="2943" w:type="dxa"/>
          </w:tcPr>
          <w:p w14:paraId="63D6F4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1418" w:type="dxa"/>
          </w:tcPr>
          <w:p w14:paraId="487A67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1AEB97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w:t>
            </w:r>
          </w:p>
        </w:tc>
      </w:tr>
      <w:tr w:rsidR="00983732" w:rsidRPr="00A3026E" w14:paraId="54F2BC00" w14:textId="77777777" w:rsidTr="00EA0DA7">
        <w:tc>
          <w:tcPr>
            <w:tcW w:w="2943" w:type="dxa"/>
          </w:tcPr>
          <w:p w14:paraId="3FAD90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261</w:t>
            </w:r>
          </w:p>
        </w:tc>
        <w:tc>
          <w:tcPr>
            <w:tcW w:w="1418" w:type="dxa"/>
          </w:tcPr>
          <w:p w14:paraId="00A015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2220</w:t>
            </w:r>
          </w:p>
        </w:tc>
        <w:tc>
          <w:tcPr>
            <w:tcW w:w="1418" w:type="dxa"/>
          </w:tcPr>
          <w:p w14:paraId="18677B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B579BA0" w14:textId="77777777" w:rsidTr="00EA0DA7">
        <w:tc>
          <w:tcPr>
            <w:tcW w:w="2943" w:type="dxa"/>
          </w:tcPr>
          <w:p w14:paraId="7F232E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285</w:t>
            </w:r>
          </w:p>
        </w:tc>
        <w:tc>
          <w:tcPr>
            <w:tcW w:w="1418" w:type="dxa"/>
          </w:tcPr>
          <w:p w14:paraId="03C41B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155C91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1720</w:t>
            </w:r>
          </w:p>
        </w:tc>
      </w:tr>
      <w:tr w:rsidR="00983732" w:rsidRPr="00A3026E" w14:paraId="4D03522A" w14:textId="77777777" w:rsidTr="00EA0DA7">
        <w:tc>
          <w:tcPr>
            <w:tcW w:w="2943" w:type="dxa"/>
          </w:tcPr>
          <w:p w14:paraId="0AFA11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286</w:t>
            </w:r>
          </w:p>
        </w:tc>
        <w:tc>
          <w:tcPr>
            <w:tcW w:w="1418" w:type="dxa"/>
          </w:tcPr>
          <w:p w14:paraId="36700E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03DCE9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r>
      <w:tr w:rsidR="00983732" w:rsidRPr="00A3026E" w14:paraId="332C80F8" w14:textId="77777777" w:rsidTr="00EA0DA7">
        <w:tc>
          <w:tcPr>
            <w:tcW w:w="2943" w:type="dxa"/>
          </w:tcPr>
          <w:p w14:paraId="137401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315</w:t>
            </w:r>
          </w:p>
        </w:tc>
        <w:tc>
          <w:tcPr>
            <w:tcW w:w="1418" w:type="dxa"/>
          </w:tcPr>
          <w:p w14:paraId="646B83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0BB17D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r>
      <w:tr w:rsidR="00983732" w:rsidRPr="00A3026E" w14:paraId="67CBAC9D" w14:textId="77777777" w:rsidTr="00EA0DA7">
        <w:tc>
          <w:tcPr>
            <w:tcW w:w="2943" w:type="dxa"/>
          </w:tcPr>
          <w:p w14:paraId="4D5C85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1418" w:type="dxa"/>
          </w:tcPr>
          <w:p w14:paraId="7188F6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2220</w:t>
            </w:r>
          </w:p>
        </w:tc>
        <w:tc>
          <w:tcPr>
            <w:tcW w:w="1418" w:type="dxa"/>
          </w:tcPr>
          <w:p w14:paraId="2E5757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5220</w:t>
            </w:r>
          </w:p>
        </w:tc>
      </w:tr>
      <w:tr w:rsidR="00983732" w:rsidRPr="00A3026E" w14:paraId="23F62862" w14:textId="77777777" w:rsidTr="00EA0DA7">
        <w:tc>
          <w:tcPr>
            <w:tcW w:w="2943" w:type="dxa"/>
          </w:tcPr>
          <w:p w14:paraId="0BA9ED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3-е ГУ</w:t>
            </w:r>
          </w:p>
        </w:tc>
        <w:tc>
          <w:tcPr>
            <w:tcW w:w="1418" w:type="dxa"/>
          </w:tcPr>
          <w:p w14:paraId="1100D2B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67A0EEC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07159F1" w14:textId="77777777" w:rsidTr="00EA0DA7">
        <w:tc>
          <w:tcPr>
            <w:tcW w:w="2943" w:type="dxa"/>
          </w:tcPr>
          <w:p w14:paraId="3577FF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1418" w:type="dxa"/>
          </w:tcPr>
          <w:p w14:paraId="578D2C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1418" w:type="dxa"/>
          </w:tcPr>
          <w:p w14:paraId="5DFFFB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1E9B034" w14:textId="77777777" w:rsidTr="00EA0DA7">
        <w:tc>
          <w:tcPr>
            <w:tcW w:w="2943" w:type="dxa"/>
          </w:tcPr>
          <w:p w14:paraId="579443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1418" w:type="dxa"/>
          </w:tcPr>
          <w:p w14:paraId="6DDC1A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418" w:type="dxa"/>
          </w:tcPr>
          <w:p w14:paraId="2FE4A7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892B201" w14:textId="77777777" w:rsidTr="00EA0DA7">
        <w:tc>
          <w:tcPr>
            <w:tcW w:w="2943" w:type="dxa"/>
          </w:tcPr>
          <w:p w14:paraId="2D19BF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1418" w:type="dxa"/>
          </w:tcPr>
          <w:p w14:paraId="4FC972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15000</w:t>
            </w:r>
          </w:p>
        </w:tc>
        <w:tc>
          <w:tcPr>
            <w:tcW w:w="1418" w:type="dxa"/>
          </w:tcPr>
          <w:p w14:paraId="7E37AA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B9CE5A7" w14:textId="77777777" w:rsidTr="00EA0DA7">
        <w:tc>
          <w:tcPr>
            <w:tcW w:w="2943" w:type="dxa"/>
          </w:tcPr>
          <w:p w14:paraId="6EC39B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tc>
        <w:tc>
          <w:tcPr>
            <w:tcW w:w="1418" w:type="dxa"/>
          </w:tcPr>
          <w:p w14:paraId="6120B8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c>
          <w:tcPr>
            <w:tcW w:w="1418" w:type="dxa"/>
          </w:tcPr>
          <w:p w14:paraId="3F5A05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36B2718" w14:textId="77777777" w:rsidTr="00EA0DA7">
        <w:tc>
          <w:tcPr>
            <w:tcW w:w="2943" w:type="dxa"/>
          </w:tcPr>
          <w:p w14:paraId="4D233E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335</w:t>
            </w:r>
          </w:p>
        </w:tc>
        <w:tc>
          <w:tcPr>
            <w:tcW w:w="1418" w:type="dxa"/>
          </w:tcPr>
          <w:p w14:paraId="5C25EC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35E027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r>
      <w:tr w:rsidR="00983732" w:rsidRPr="00A3026E" w14:paraId="6DB8D295" w14:textId="77777777" w:rsidTr="00EA0DA7">
        <w:tc>
          <w:tcPr>
            <w:tcW w:w="2943" w:type="dxa"/>
          </w:tcPr>
          <w:p w14:paraId="70C7AC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336</w:t>
            </w:r>
          </w:p>
        </w:tc>
        <w:tc>
          <w:tcPr>
            <w:tcW w:w="1418" w:type="dxa"/>
          </w:tcPr>
          <w:p w14:paraId="3724CF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1A3B3D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r>
      <w:tr w:rsidR="00983732" w:rsidRPr="00A3026E" w14:paraId="3C36203F" w14:textId="77777777" w:rsidTr="00EA0DA7">
        <w:tc>
          <w:tcPr>
            <w:tcW w:w="2943" w:type="dxa"/>
          </w:tcPr>
          <w:p w14:paraId="667390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338</w:t>
            </w:r>
          </w:p>
        </w:tc>
        <w:tc>
          <w:tcPr>
            <w:tcW w:w="1418" w:type="dxa"/>
          </w:tcPr>
          <w:p w14:paraId="7A82CC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06DF36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12490</w:t>
            </w:r>
          </w:p>
        </w:tc>
      </w:tr>
      <w:tr w:rsidR="00983732" w:rsidRPr="00A3026E" w14:paraId="54B83587" w14:textId="77777777" w:rsidTr="00EA0DA7">
        <w:tc>
          <w:tcPr>
            <w:tcW w:w="2943" w:type="dxa"/>
          </w:tcPr>
          <w:p w14:paraId="037FF8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337</w:t>
            </w:r>
          </w:p>
        </w:tc>
        <w:tc>
          <w:tcPr>
            <w:tcW w:w="1418" w:type="dxa"/>
          </w:tcPr>
          <w:p w14:paraId="5F5F3C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639135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1510</w:t>
            </w:r>
          </w:p>
        </w:tc>
      </w:tr>
      <w:tr w:rsidR="00983732" w:rsidRPr="00A3026E" w14:paraId="3FD3BDE6" w14:textId="77777777" w:rsidTr="00EA0DA7">
        <w:tc>
          <w:tcPr>
            <w:tcW w:w="2943" w:type="dxa"/>
          </w:tcPr>
          <w:p w14:paraId="39EA5D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Воронежский з-д им. Сталина</w:t>
            </w:r>
          </w:p>
        </w:tc>
        <w:tc>
          <w:tcPr>
            <w:tcW w:w="1418" w:type="dxa"/>
          </w:tcPr>
          <w:p w14:paraId="6F15A3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2C2C70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0F88A06" w14:textId="77777777" w:rsidTr="00EA0DA7">
        <w:tc>
          <w:tcPr>
            <w:tcW w:w="2943" w:type="dxa"/>
          </w:tcPr>
          <w:p w14:paraId="392901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1418" w:type="dxa"/>
          </w:tcPr>
          <w:p w14:paraId="75205A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34000</w:t>
            </w:r>
          </w:p>
        </w:tc>
        <w:tc>
          <w:tcPr>
            <w:tcW w:w="1418" w:type="dxa"/>
          </w:tcPr>
          <w:p w14:paraId="75405B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34000</w:t>
            </w:r>
          </w:p>
        </w:tc>
      </w:tr>
      <w:tr w:rsidR="00983732" w:rsidRPr="00A3026E" w14:paraId="40F0AAF9" w14:textId="77777777" w:rsidTr="00EA0DA7">
        <w:tc>
          <w:tcPr>
            <w:tcW w:w="2943" w:type="dxa"/>
          </w:tcPr>
          <w:p w14:paraId="19D3EC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4-е ГУ</w:t>
            </w:r>
          </w:p>
        </w:tc>
        <w:tc>
          <w:tcPr>
            <w:tcW w:w="1418" w:type="dxa"/>
          </w:tcPr>
          <w:p w14:paraId="723098D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4D65440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A063F0E" w14:textId="77777777" w:rsidTr="00EA0DA7">
        <w:tc>
          <w:tcPr>
            <w:tcW w:w="2943" w:type="dxa"/>
          </w:tcPr>
          <w:p w14:paraId="6BDBDC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1418" w:type="dxa"/>
          </w:tcPr>
          <w:p w14:paraId="6CB1EC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w:t>
            </w:r>
          </w:p>
        </w:tc>
        <w:tc>
          <w:tcPr>
            <w:tcW w:w="1418" w:type="dxa"/>
          </w:tcPr>
          <w:p w14:paraId="00B991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855941A" w14:textId="77777777" w:rsidTr="00EA0DA7">
        <w:tc>
          <w:tcPr>
            <w:tcW w:w="2943" w:type="dxa"/>
          </w:tcPr>
          <w:p w14:paraId="0CADF1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1418" w:type="dxa"/>
          </w:tcPr>
          <w:p w14:paraId="080833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418" w:type="dxa"/>
          </w:tcPr>
          <w:p w14:paraId="3DA46F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357E7A3" w14:textId="77777777" w:rsidTr="00EA0DA7">
        <w:tc>
          <w:tcPr>
            <w:tcW w:w="2943" w:type="dxa"/>
          </w:tcPr>
          <w:p w14:paraId="361FA2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281</w:t>
            </w:r>
          </w:p>
        </w:tc>
        <w:tc>
          <w:tcPr>
            <w:tcW w:w="1418" w:type="dxa"/>
          </w:tcPr>
          <w:p w14:paraId="769CA3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7248F1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2800</w:t>
            </w:r>
          </w:p>
        </w:tc>
      </w:tr>
      <w:tr w:rsidR="00983732" w:rsidRPr="00A3026E" w14:paraId="1EF7572D" w14:textId="77777777" w:rsidTr="00EA0DA7">
        <w:tc>
          <w:tcPr>
            <w:tcW w:w="2943" w:type="dxa"/>
          </w:tcPr>
          <w:p w14:paraId="0E5E58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282</w:t>
            </w:r>
          </w:p>
        </w:tc>
        <w:tc>
          <w:tcPr>
            <w:tcW w:w="1418" w:type="dxa"/>
          </w:tcPr>
          <w:p w14:paraId="546D12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777A03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r>
      <w:tr w:rsidR="00983732" w:rsidRPr="00A3026E" w14:paraId="65B829B1" w14:textId="77777777" w:rsidTr="00EA0DA7">
        <w:tc>
          <w:tcPr>
            <w:tcW w:w="2943" w:type="dxa"/>
          </w:tcPr>
          <w:p w14:paraId="11D82C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283</w:t>
            </w:r>
          </w:p>
        </w:tc>
        <w:tc>
          <w:tcPr>
            <w:tcW w:w="1418" w:type="dxa"/>
          </w:tcPr>
          <w:p w14:paraId="2D3395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2EFAC7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r>
      <w:tr w:rsidR="00983732" w:rsidRPr="00A3026E" w14:paraId="0314BF1D" w14:textId="77777777" w:rsidTr="00EA0DA7">
        <w:tc>
          <w:tcPr>
            <w:tcW w:w="2943" w:type="dxa"/>
          </w:tcPr>
          <w:p w14:paraId="652460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284</w:t>
            </w:r>
          </w:p>
        </w:tc>
        <w:tc>
          <w:tcPr>
            <w:tcW w:w="1418" w:type="dxa"/>
          </w:tcPr>
          <w:p w14:paraId="3F9398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1C54FA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r>
      <w:tr w:rsidR="00983732" w:rsidRPr="00A3026E" w14:paraId="6AFC4DAA" w14:textId="77777777" w:rsidTr="00EA0DA7">
        <w:tc>
          <w:tcPr>
            <w:tcW w:w="2943" w:type="dxa"/>
          </w:tcPr>
          <w:p w14:paraId="4DF477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339</w:t>
            </w:r>
          </w:p>
        </w:tc>
        <w:tc>
          <w:tcPr>
            <w:tcW w:w="1418" w:type="dxa"/>
          </w:tcPr>
          <w:p w14:paraId="369589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21C057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r>
      <w:tr w:rsidR="00983732" w:rsidRPr="00A3026E" w14:paraId="2FCCCCF8" w14:textId="77777777" w:rsidTr="00EA0DA7">
        <w:tc>
          <w:tcPr>
            <w:tcW w:w="2943" w:type="dxa"/>
          </w:tcPr>
          <w:p w14:paraId="6C3C5A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ВИМ - Плющево</w:t>
            </w:r>
          </w:p>
        </w:tc>
        <w:tc>
          <w:tcPr>
            <w:tcW w:w="1418" w:type="dxa"/>
          </w:tcPr>
          <w:p w14:paraId="627862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4800</w:t>
            </w:r>
          </w:p>
        </w:tc>
        <w:tc>
          <w:tcPr>
            <w:tcW w:w="1418" w:type="dxa"/>
          </w:tcPr>
          <w:p w14:paraId="3F6F66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347747C" w14:textId="77777777" w:rsidTr="00EA0DA7">
        <w:tc>
          <w:tcPr>
            <w:tcW w:w="2943" w:type="dxa"/>
          </w:tcPr>
          <w:p w14:paraId="5EE020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Могилеве</w:t>
            </w:r>
          </w:p>
        </w:tc>
        <w:tc>
          <w:tcPr>
            <w:tcW w:w="1418" w:type="dxa"/>
          </w:tcPr>
          <w:p w14:paraId="574724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w:t>
            </w:r>
          </w:p>
        </w:tc>
        <w:tc>
          <w:tcPr>
            <w:tcW w:w="1418" w:type="dxa"/>
          </w:tcPr>
          <w:p w14:paraId="5F588D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D0B9A8D" w14:textId="77777777" w:rsidTr="00EA0DA7">
        <w:tc>
          <w:tcPr>
            <w:tcW w:w="2943" w:type="dxa"/>
          </w:tcPr>
          <w:p w14:paraId="474C96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Днепропетровске</w:t>
            </w:r>
          </w:p>
        </w:tc>
        <w:tc>
          <w:tcPr>
            <w:tcW w:w="1418" w:type="dxa"/>
          </w:tcPr>
          <w:p w14:paraId="60249A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w:t>
            </w:r>
          </w:p>
        </w:tc>
        <w:tc>
          <w:tcPr>
            <w:tcW w:w="1418" w:type="dxa"/>
          </w:tcPr>
          <w:p w14:paraId="774FD7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8374646" w14:textId="77777777" w:rsidTr="00EA0DA7">
        <w:tc>
          <w:tcPr>
            <w:tcW w:w="2943" w:type="dxa"/>
          </w:tcPr>
          <w:p w14:paraId="5134E4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1418" w:type="dxa"/>
          </w:tcPr>
          <w:p w14:paraId="75355E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8400</w:t>
            </w:r>
          </w:p>
        </w:tc>
        <w:tc>
          <w:tcPr>
            <w:tcW w:w="1418" w:type="dxa"/>
          </w:tcPr>
          <w:p w14:paraId="1B892A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8400</w:t>
            </w:r>
          </w:p>
        </w:tc>
      </w:tr>
      <w:tr w:rsidR="00983732" w:rsidRPr="00A3026E" w14:paraId="20379F93" w14:textId="77777777" w:rsidTr="00EA0DA7">
        <w:tc>
          <w:tcPr>
            <w:tcW w:w="2943" w:type="dxa"/>
          </w:tcPr>
          <w:p w14:paraId="7B8FEF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5-е ГУ</w:t>
            </w:r>
          </w:p>
        </w:tc>
        <w:tc>
          <w:tcPr>
            <w:tcW w:w="1418" w:type="dxa"/>
          </w:tcPr>
          <w:p w14:paraId="5BDC512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2E236DC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FDBDBD5" w14:textId="77777777" w:rsidTr="00EA0DA7">
        <w:tc>
          <w:tcPr>
            <w:tcW w:w="2943" w:type="dxa"/>
          </w:tcPr>
          <w:p w14:paraId="10F17E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1418" w:type="dxa"/>
          </w:tcPr>
          <w:p w14:paraId="1B9F30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45184A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1850</w:t>
            </w:r>
          </w:p>
        </w:tc>
      </w:tr>
      <w:tr w:rsidR="00983732" w:rsidRPr="00A3026E" w14:paraId="57F364C9" w14:textId="77777777" w:rsidTr="00EA0DA7">
        <w:tc>
          <w:tcPr>
            <w:tcW w:w="2943" w:type="dxa"/>
          </w:tcPr>
          <w:p w14:paraId="408D61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214</w:t>
            </w:r>
          </w:p>
        </w:tc>
        <w:tc>
          <w:tcPr>
            <w:tcW w:w="1418" w:type="dxa"/>
          </w:tcPr>
          <w:p w14:paraId="0AE463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1418" w:type="dxa"/>
          </w:tcPr>
          <w:p w14:paraId="76B6A5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E043AB9" w14:textId="77777777" w:rsidTr="00EA0DA7">
        <w:tc>
          <w:tcPr>
            <w:tcW w:w="2943" w:type="dxa"/>
          </w:tcPr>
          <w:p w14:paraId="2F6E58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234</w:t>
            </w:r>
          </w:p>
        </w:tc>
        <w:tc>
          <w:tcPr>
            <w:tcW w:w="1418" w:type="dxa"/>
          </w:tcPr>
          <w:p w14:paraId="373C51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418" w:type="dxa"/>
          </w:tcPr>
          <w:p w14:paraId="202030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3030BC5" w14:textId="77777777" w:rsidTr="00EA0DA7">
        <w:tc>
          <w:tcPr>
            <w:tcW w:w="2943" w:type="dxa"/>
          </w:tcPr>
          <w:p w14:paraId="534D72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279</w:t>
            </w:r>
          </w:p>
        </w:tc>
        <w:tc>
          <w:tcPr>
            <w:tcW w:w="1418" w:type="dxa"/>
          </w:tcPr>
          <w:p w14:paraId="5D2A66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2940</w:t>
            </w:r>
          </w:p>
        </w:tc>
        <w:tc>
          <w:tcPr>
            <w:tcW w:w="1418" w:type="dxa"/>
          </w:tcPr>
          <w:p w14:paraId="3EA961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54B43AB" w14:textId="77777777" w:rsidTr="00EA0DA7">
        <w:tc>
          <w:tcPr>
            <w:tcW w:w="2943" w:type="dxa"/>
          </w:tcPr>
          <w:p w14:paraId="26E72C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328</w:t>
            </w:r>
          </w:p>
        </w:tc>
        <w:tc>
          <w:tcPr>
            <w:tcW w:w="1418" w:type="dxa"/>
          </w:tcPr>
          <w:p w14:paraId="0D91E4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30F295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790</w:t>
            </w:r>
          </w:p>
        </w:tc>
      </w:tr>
      <w:tr w:rsidR="00983732" w:rsidRPr="00A3026E" w14:paraId="168953E4" w14:textId="77777777" w:rsidTr="00EA0DA7">
        <w:tc>
          <w:tcPr>
            <w:tcW w:w="2943" w:type="dxa"/>
          </w:tcPr>
          <w:p w14:paraId="136FDE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379</w:t>
            </w:r>
          </w:p>
        </w:tc>
        <w:tc>
          <w:tcPr>
            <w:tcW w:w="1418" w:type="dxa"/>
          </w:tcPr>
          <w:p w14:paraId="45A748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3D919E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r>
      <w:tr w:rsidR="00983732" w:rsidRPr="00A3026E" w14:paraId="244F7121" w14:textId="77777777" w:rsidTr="00EA0DA7">
        <w:tc>
          <w:tcPr>
            <w:tcW w:w="2943" w:type="dxa"/>
          </w:tcPr>
          <w:p w14:paraId="2D641B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НИИ-22</w:t>
            </w:r>
          </w:p>
        </w:tc>
        <w:tc>
          <w:tcPr>
            <w:tcW w:w="1418" w:type="dxa"/>
          </w:tcPr>
          <w:p w14:paraId="7470CD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2683AB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tc>
      </w:tr>
      <w:tr w:rsidR="00983732" w:rsidRPr="00A3026E" w14:paraId="68993F6D" w14:textId="77777777" w:rsidTr="00EA0DA7">
        <w:tc>
          <w:tcPr>
            <w:tcW w:w="2943" w:type="dxa"/>
          </w:tcPr>
          <w:p w14:paraId="16B3D5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1418" w:type="dxa"/>
          </w:tcPr>
          <w:p w14:paraId="0C1C33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3840</w:t>
            </w:r>
          </w:p>
        </w:tc>
        <w:tc>
          <w:tcPr>
            <w:tcW w:w="1418" w:type="dxa"/>
          </w:tcPr>
          <w:p w14:paraId="310359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3840</w:t>
            </w:r>
          </w:p>
        </w:tc>
      </w:tr>
      <w:tr w:rsidR="00983732" w:rsidRPr="00A3026E" w14:paraId="0F17B0F4" w14:textId="77777777" w:rsidTr="00EA0DA7">
        <w:tc>
          <w:tcPr>
            <w:tcW w:w="2943" w:type="dxa"/>
          </w:tcPr>
          <w:p w14:paraId="5A2321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6-е ГУ</w:t>
            </w:r>
          </w:p>
        </w:tc>
        <w:tc>
          <w:tcPr>
            <w:tcW w:w="1418" w:type="dxa"/>
          </w:tcPr>
          <w:p w14:paraId="10CEAA1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6360AE9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EEF5FFC" w14:textId="77777777" w:rsidTr="00EA0DA7">
        <w:tc>
          <w:tcPr>
            <w:tcW w:w="2943" w:type="dxa"/>
          </w:tcPr>
          <w:p w14:paraId="1AEC34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162</w:t>
            </w:r>
          </w:p>
        </w:tc>
        <w:tc>
          <w:tcPr>
            <w:tcW w:w="1418" w:type="dxa"/>
          </w:tcPr>
          <w:p w14:paraId="729554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65DF34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r>
      <w:tr w:rsidR="00983732" w:rsidRPr="00A3026E" w14:paraId="05561752" w14:textId="77777777" w:rsidTr="00EA0DA7">
        <w:tc>
          <w:tcPr>
            <w:tcW w:w="2943" w:type="dxa"/>
          </w:tcPr>
          <w:p w14:paraId="004215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167</w:t>
            </w:r>
          </w:p>
        </w:tc>
        <w:tc>
          <w:tcPr>
            <w:tcW w:w="1418" w:type="dxa"/>
          </w:tcPr>
          <w:p w14:paraId="024BF9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418" w:type="dxa"/>
          </w:tcPr>
          <w:p w14:paraId="37BDBF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E45C3F9" w14:textId="77777777" w:rsidTr="00EA0DA7">
        <w:tc>
          <w:tcPr>
            <w:tcW w:w="2943" w:type="dxa"/>
          </w:tcPr>
          <w:p w14:paraId="52C969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163</w:t>
            </w:r>
          </w:p>
        </w:tc>
        <w:tc>
          <w:tcPr>
            <w:tcW w:w="1418" w:type="dxa"/>
          </w:tcPr>
          <w:p w14:paraId="13E6DC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1AA104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r>
      <w:tr w:rsidR="00983732" w:rsidRPr="00A3026E" w14:paraId="52E61D25" w14:textId="77777777" w:rsidTr="00EA0DA7">
        <w:tc>
          <w:tcPr>
            <w:tcW w:w="2943" w:type="dxa"/>
          </w:tcPr>
          <w:p w14:paraId="457BE7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w:t>
            </w:r>
          </w:p>
        </w:tc>
        <w:tc>
          <w:tcPr>
            <w:tcW w:w="1418" w:type="dxa"/>
          </w:tcPr>
          <w:p w14:paraId="3D793E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6F560A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w:t>
            </w:r>
          </w:p>
        </w:tc>
      </w:tr>
      <w:tr w:rsidR="00983732" w:rsidRPr="00A3026E" w14:paraId="72B112C8" w14:textId="77777777" w:rsidTr="00EA0DA7">
        <w:tc>
          <w:tcPr>
            <w:tcW w:w="2943" w:type="dxa"/>
          </w:tcPr>
          <w:p w14:paraId="60F8E8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169</w:t>
            </w:r>
          </w:p>
        </w:tc>
        <w:tc>
          <w:tcPr>
            <w:tcW w:w="1418" w:type="dxa"/>
          </w:tcPr>
          <w:p w14:paraId="47F41C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7AE9B4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r>
      <w:tr w:rsidR="00983732" w:rsidRPr="00A3026E" w14:paraId="4544515B" w14:textId="77777777" w:rsidTr="00EA0DA7">
        <w:tc>
          <w:tcPr>
            <w:tcW w:w="2943" w:type="dxa"/>
          </w:tcPr>
          <w:p w14:paraId="0E2A81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99</w:t>
            </w:r>
          </w:p>
        </w:tc>
        <w:tc>
          <w:tcPr>
            <w:tcW w:w="1418" w:type="dxa"/>
          </w:tcPr>
          <w:p w14:paraId="0FC885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418" w:type="dxa"/>
          </w:tcPr>
          <w:p w14:paraId="1AABA0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2277288" w14:textId="77777777" w:rsidTr="00EA0DA7">
        <w:tc>
          <w:tcPr>
            <w:tcW w:w="2943" w:type="dxa"/>
          </w:tcPr>
          <w:p w14:paraId="68F1E0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1418" w:type="dxa"/>
          </w:tcPr>
          <w:p w14:paraId="222E5F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1418" w:type="dxa"/>
          </w:tcPr>
          <w:p w14:paraId="6805D0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2250</w:t>
            </w:r>
          </w:p>
        </w:tc>
      </w:tr>
      <w:tr w:rsidR="00983732" w:rsidRPr="00A3026E" w14:paraId="7CF3BA37" w14:textId="77777777" w:rsidTr="00EA0DA7">
        <w:tc>
          <w:tcPr>
            <w:tcW w:w="2943" w:type="dxa"/>
          </w:tcPr>
          <w:p w14:paraId="7E6198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Предприятия, подчиненные Наркому</w:t>
            </w:r>
          </w:p>
        </w:tc>
        <w:tc>
          <w:tcPr>
            <w:tcW w:w="1418" w:type="dxa"/>
          </w:tcPr>
          <w:p w14:paraId="01162A3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4A5D6B8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E48FCBD" w14:textId="77777777" w:rsidTr="00EA0DA7">
        <w:tc>
          <w:tcPr>
            <w:tcW w:w="2943" w:type="dxa"/>
          </w:tcPr>
          <w:p w14:paraId="2D3BCB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1418" w:type="dxa"/>
          </w:tcPr>
          <w:p w14:paraId="6A0A94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w:t>
            </w:r>
          </w:p>
        </w:tc>
        <w:tc>
          <w:tcPr>
            <w:tcW w:w="1418" w:type="dxa"/>
          </w:tcPr>
          <w:p w14:paraId="32E6E0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342C1F4" w14:textId="77777777" w:rsidTr="00EA0DA7">
        <w:tc>
          <w:tcPr>
            <w:tcW w:w="2943" w:type="dxa"/>
          </w:tcPr>
          <w:p w14:paraId="3114DA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418" w:type="dxa"/>
          </w:tcPr>
          <w:p w14:paraId="080CFD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7000</w:t>
            </w:r>
          </w:p>
        </w:tc>
        <w:tc>
          <w:tcPr>
            <w:tcW w:w="1418" w:type="dxa"/>
          </w:tcPr>
          <w:p w14:paraId="756949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B9C1E46" w14:textId="77777777" w:rsidTr="00EA0DA7">
        <w:tc>
          <w:tcPr>
            <w:tcW w:w="2943" w:type="dxa"/>
          </w:tcPr>
          <w:p w14:paraId="131789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219</w:t>
            </w:r>
          </w:p>
        </w:tc>
        <w:tc>
          <w:tcPr>
            <w:tcW w:w="1418" w:type="dxa"/>
          </w:tcPr>
          <w:p w14:paraId="090007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6450</w:t>
            </w:r>
          </w:p>
        </w:tc>
        <w:tc>
          <w:tcPr>
            <w:tcW w:w="1418" w:type="dxa"/>
          </w:tcPr>
          <w:p w14:paraId="613F7C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DC4CF92" w14:textId="77777777" w:rsidTr="00EA0DA7">
        <w:tc>
          <w:tcPr>
            <w:tcW w:w="2943" w:type="dxa"/>
          </w:tcPr>
          <w:p w14:paraId="0F4246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269</w:t>
            </w:r>
          </w:p>
        </w:tc>
        <w:tc>
          <w:tcPr>
            <w:tcW w:w="1418" w:type="dxa"/>
          </w:tcPr>
          <w:p w14:paraId="7C9F81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418" w:type="dxa"/>
          </w:tcPr>
          <w:p w14:paraId="0E35B7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31F72BF" w14:textId="77777777" w:rsidTr="00EA0DA7">
        <w:tc>
          <w:tcPr>
            <w:tcW w:w="2943" w:type="dxa"/>
          </w:tcPr>
          <w:p w14:paraId="425BF7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1418" w:type="dxa"/>
          </w:tcPr>
          <w:p w14:paraId="5D2EB1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15850</w:t>
            </w:r>
          </w:p>
        </w:tc>
        <w:tc>
          <w:tcPr>
            <w:tcW w:w="1418" w:type="dxa"/>
          </w:tcPr>
          <w:p w14:paraId="636EF7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029E918" w14:textId="77777777" w:rsidTr="00EA0DA7">
        <w:tc>
          <w:tcPr>
            <w:tcW w:w="2943" w:type="dxa"/>
          </w:tcPr>
          <w:p w14:paraId="5881E2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ГУУЗ - Московский авиатехникум</w:t>
            </w:r>
          </w:p>
        </w:tc>
        <w:tc>
          <w:tcPr>
            <w:tcW w:w="1418" w:type="dxa"/>
          </w:tcPr>
          <w:p w14:paraId="09D19B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494466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r>
      <w:tr w:rsidR="00983732" w:rsidRPr="00A3026E" w14:paraId="48EAEF2A" w14:textId="77777777" w:rsidTr="00EA0DA7">
        <w:tc>
          <w:tcPr>
            <w:tcW w:w="2943" w:type="dxa"/>
          </w:tcPr>
          <w:p w14:paraId="42E037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ГУУЗ - Технологический институт</w:t>
            </w:r>
          </w:p>
        </w:tc>
        <w:tc>
          <w:tcPr>
            <w:tcW w:w="1418" w:type="dxa"/>
          </w:tcPr>
          <w:p w14:paraId="2EB483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1418" w:type="dxa"/>
          </w:tcPr>
          <w:p w14:paraId="5E3596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300D77B" w14:textId="77777777" w:rsidTr="00EA0DA7">
        <w:tc>
          <w:tcPr>
            <w:tcW w:w="2943" w:type="dxa"/>
          </w:tcPr>
          <w:p w14:paraId="77E5F0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ГУУЗ - Промакадемия</w:t>
            </w:r>
          </w:p>
        </w:tc>
        <w:tc>
          <w:tcPr>
            <w:tcW w:w="1418" w:type="dxa"/>
          </w:tcPr>
          <w:p w14:paraId="4B4955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1418" w:type="dxa"/>
          </w:tcPr>
          <w:p w14:paraId="576E06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0144821" w14:textId="77777777" w:rsidTr="00EA0DA7">
        <w:tc>
          <w:tcPr>
            <w:tcW w:w="2943" w:type="dxa"/>
          </w:tcPr>
          <w:p w14:paraId="42575B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Оргавиапром</w:t>
            </w:r>
          </w:p>
        </w:tc>
        <w:tc>
          <w:tcPr>
            <w:tcW w:w="1418" w:type="dxa"/>
          </w:tcPr>
          <w:p w14:paraId="2C66EA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418" w:type="dxa"/>
          </w:tcPr>
          <w:p w14:paraId="034A9A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BE46DD4" w14:textId="77777777" w:rsidTr="00EA0DA7">
        <w:tc>
          <w:tcPr>
            <w:tcW w:w="2943" w:type="dxa"/>
            <w:tcBorders>
              <w:bottom w:val="single" w:sz="12" w:space="0" w:color="auto"/>
            </w:tcBorders>
          </w:tcPr>
          <w:p w14:paraId="051FFA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1418" w:type="dxa"/>
            <w:tcBorders>
              <w:bottom w:val="single" w:sz="12" w:space="0" w:color="auto"/>
            </w:tcBorders>
          </w:tcPr>
          <w:p w14:paraId="36E268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78460</w:t>
            </w:r>
          </w:p>
        </w:tc>
        <w:tc>
          <w:tcPr>
            <w:tcW w:w="1418" w:type="dxa"/>
            <w:tcBorders>
              <w:bottom w:val="single" w:sz="12" w:space="0" w:color="auto"/>
            </w:tcBorders>
          </w:tcPr>
          <w:p w14:paraId="26DB08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78460</w:t>
            </w:r>
          </w:p>
        </w:tc>
      </w:tr>
    </w:tbl>
    <w:p w14:paraId="45563E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(283,48).</w:t>
      </w:r>
    </w:p>
    <w:p w14:paraId="18BAB1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D496270"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13522E2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2C0F1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сентября 1940 года, соглас</w:t>
      </w:r>
      <w:r w:rsidRPr="00A3026E">
        <w:rPr>
          <w:rFonts w:ascii="Times New Roman" w:hAnsi="Times New Roman"/>
          <w:color w:val="000000" w:themeColor="text1"/>
          <w:sz w:val="16"/>
          <w:szCs w:val="16"/>
        </w:rPr>
        <w:softHyphen/>
        <w:t>но Протоколу заседания комиссии при ЦК ЛКП по рассмотрению личного состава гидроавиации флота Латвийской ССР, председателем комиссии был начальник штаба Либавской ВМБ КБФ - капитан 2-го ранга Клевенский М.С. В ее работе также при</w:t>
      </w:r>
      <w:r w:rsidRPr="00A3026E">
        <w:rPr>
          <w:rFonts w:ascii="Times New Roman" w:hAnsi="Times New Roman"/>
          <w:color w:val="000000" w:themeColor="text1"/>
          <w:sz w:val="16"/>
          <w:szCs w:val="16"/>
        </w:rPr>
        <w:softHyphen/>
        <w:t>нимали участие член ЦК ЛКП - Гайтис К. П., председатель подкомиссии по приему личного состава — начальник 4-го отдела штаба Либавской ВМБ КБФ капитан-лейтенант Балышев, старший инструктор отдела политпропаганды Либавской ВМБ КБФ - старший политрук Горянчик, представитель Особого Отдела Либавской ВМБ КБФ - сержант госбе</w:t>
      </w:r>
      <w:r w:rsidRPr="00A3026E">
        <w:rPr>
          <w:rFonts w:ascii="Times New Roman" w:hAnsi="Times New Roman"/>
          <w:color w:val="000000" w:themeColor="text1"/>
          <w:sz w:val="16"/>
          <w:szCs w:val="16"/>
        </w:rPr>
        <w:softHyphen/>
        <w:t>зопасности Данилов (РГАВМФ. Ф. Р-62. Оп. 2. Д. 186. Л. 207.).</w:t>
      </w:r>
    </w:p>
    <w:p w14:paraId="4EFF52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списке лиц, характеристики которых фигурировали в деле, были сле</w:t>
      </w:r>
      <w:r w:rsidRPr="00A3026E">
        <w:rPr>
          <w:rFonts w:ascii="Times New Roman" w:hAnsi="Times New Roman"/>
          <w:color w:val="000000" w:themeColor="text1"/>
          <w:sz w:val="16"/>
          <w:szCs w:val="16"/>
        </w:rPr>
        <w:softHyphen/>
        <w:t>дующие: Ерцумс Карл Адольфович, 1899 г.р. - командир эскадрильи; Лидак Адольф Юрьевич, 1894 г.р. - заместитель командира эскадрильи; Карклинш Иван Фрицевич, 1904 г.р. - старший лейтенант, летчик-наблюдатель; Пенке Отто Карлович, 1910 г.р. - старший лейтенант, летчик-наблюдатель; Вильмание Иван Иванович, 1900 г.р. - старший лейтенант; Лейнш Оскар Крише-вич, 1900 г.р. - лейтенант; Ластыгинш Крис Петрович, 1906 г.р. - старший лейтенант, летчик; Груверс Павел Иванович, 1913 г.р. - лейтенант (РГАВМФ. Ф. Р-62. Оп. 2. Д. 186. Л. 207.).</w:t>
      </w:r>
    </w:p>
    <w:p w14:paraId="341ABB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 Ерцумс и АЮ. Лидак были замечены в антисоветских высказываниях. Решение по ним было следующее - уволить из рядов флота и использовать в осоавиахимовских организациях на преподавательской работе (РГАВМФ. Ф. Р-62. Оп. 2. Д. 186. Л. 207.). И.Ф. Карк-линш был охарактеризован следующим образом - «враждебно настроен к но</w:t>
      </w:r>
      <w:r w:rsidRPr="00A3026E">
        <w:rPr>
          <w:rFonts w:ascii="Times New Roman" w:hAnsi="Times New Roman"/>
          <w:color w:val="000000" w:themeColor="text1"/>
          <w:sz w:val="16"/>
          <w:szCs w:val="16"/>
        </w:rPr>
        <w:softHyphen/>
        <w:t>вому правительству». Поэтому его было желательно из рядов флота уволить. О.К Пенке «при приходе Красной армии в Латвию заявлял: «это разбойники и враги»». К тому же он характеризовался как «большой пьяница». Решение по нему было следующим: «из рядов флота уволить как политически неблагона</w:t>
      </w:r>
      <w:r w:rsidRPr="00A3026E">
        <w:rPr>
          <w:rFonts w:ascii="Times New Roman" w:hAnsi="Times New Roman"/>
          <w:color w:val="000000" w:themeColor="text1"/>
          <w:sz w:val="16"/>
          <w:szCs w:val="16"/>
        </w:rPr>
        <w:softHyphen/>
        <w:t>дежного». О.К Лейнш «состоял в фашистской организации «Громовой Крест»», а у него «на квартире была обнаружена фашистская литература». Кроме того, он был отмечен как «большой лодырь». Неудивительно, что комиссия вынесла вердикт - желательно из рядов флота уволить (РГАВМФ. Ф. Р-62. Оп. 2. Д. 186. Л. 207.).</w:t>
      </w:r>
    </w:p>
    <w:p w14:paraId="009083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Единственным человеком из числа тех, кого было бы желательно из ря</w:t>
      </w:r>
      <w:r w:rsidRPr="00A3026E">
        <w:rPr>
          <w:rFonts w:ascii="Times New Roman" w:hAnsi="Times New Roman"/>
          <w:color w:val="000000" w:themeColor="text1"/>
          <w:sz w:val="16"/>
          <w:szCs w:val="16"/>
        </w:rPr>
        <w:softHyphen/>
        <w:t>дов флота уволить, но которому не приписывалось антисоветских действий, был И.И. Вильманис. В материалах на него говорилось: «Большой пьяница, неспособный командир, с людьми работать не может».</w:t>
      </w:r>
    </w:p>
    <w:p w14:paraId="4300F3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из восьми командиров ВВС бывшего флота Латвии реко</w:t>
      </w:r>
      <w:r w:rsidRPr="00A3026E">
        <w:rPr>
          <w:rFonts w:ascii="Times New Roman" w:hAnsi="Times New Roman"/>
          <w:color w:val="000000" w:themeColor="text1"/>
          <w:sz w:val="16"/>
          <w:szCs w:val="16"/>
        </w:rPr>
        <w:softHyphen/>
        <w:t>мендовано было оставить всего двух, причем из шести подлежащих уволь</w:t>
      </w:r>
      <w:r w:rsidRPr="00A3026E">
        <w:rPr>
          <w:rFonts w:ascii="Times New Roman" w:hAnsi="Times New Roman"/>
          <w:color w:val="000000" w:themeColor="text1"/>
          <w:sz w:val="16"/>
          <w:szCs w:val="16"/>
        </w:rPr>
        <w:softHyphen/>
        <w:t>нению трое рассматривались как политически неблагонадежные элементы, двоим добавлялись также такие формулировки как «пьяница» или «лодырь», и только одному («большой пьяница, неспособный командир») не припи</w:t>
      </w:r>
      <w:r w:rsidRPr="00A3026E">
        <w:rPr>
          <w:rFonts w:ascii="Times New Roman" w:hAnsi="Times New Roman"/>
          <w:color w:val="000000" w:themeColor="text1"/>
          <w:sz w:val="16"/>
          <w:szCs w:val="16"/>
        </w:rPr>
        <w:softHyphen/>
        <w:t>сывалось никаких антисоветских действий (11710,413).</w:t>
      </w:r>
    </w:p>
    <w:p w14:paraId="169B83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71B27B5"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сентября 1940. Торжественное открытие на площади Коммуны нового здания Центрального театра Красной Армии (18701).</w:t>
      </w:r>
    </w:p>
    <w:p w14:paraId="17CF305C" w14:textId="77777777" w:rsidR="00CD3361" w:rsidRPr="00A3026E" w:rsidRDefault="00CD3361" w:rsidP="00A3026E">
      <w:pPr>
        <w:spacing w:after="0" w:line="240" w:lineRule="auto"/>
        <w:jc w:val="both"/>
        <w:rPr>
          <w:rFonts w:ascii="Times New Roman" w:hAnsi="Times New Roman"/>
          <w:color w:val="000000" w:themeColor="text1"/>
          <w:sz w:val="16"/>
          <w:szCs w:val="16"/>
        </w:rPr>
      </w:pPr>
    </w:p>
    <w:p w14:paraId="027EF8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сентября 1940 ЦТ СА открыл сезон в новом здании спектаклем Полководец Суворов (3398,329).</w:t>
      </w:r>
    </w:p>
    <w:p w14:paraId="5C13710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0E4E26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17CE82B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879F6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сентября 1940 А.Гитлер вновь отложил решение о вторжении в Англию м 17 на 27 сентября (2240).</w:t>
      </w:r>
    </w:p>
    <w:p w14:paraId="29EECFA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9A0BA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сентября 1940 А.Гитлер на конференции с командованием в Берлине вновь отложил решение о вторжении в Англию м 17 на 27 сентября. Решил усилить удары с воздуха (2240).</w:t>
      </w:r>
    </w:p>
    <w:p w14:paraId="36308CC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94ED2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F5BDD7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24C23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 сентября 1940 освоение новой артиллерийской системы М-30 в целом на заводе № 92 закончилось, и с большими трудностями началось серийное производство. И все бы ничего, но 7 сентября 1940 г. вышел приказ НКВ и ГАУ РККА о введении новых стандартов фасонного литья СТНВ-62сс, причем уже с 1 октября. Это создало дополнительные трудности для завода и в числе многих других факторов не позволило в последние месяцы перед войной наладить более или менее ритмичную работу. Проблемы возникали и по вине конструкторского отдела. Так, контролер отдела главного конструктора В. Плеханов «неправильно провел изменения по деталям 26-9, 26–11 и 26–12 гаубицы М-30». Изменения должны были быть проведены комплексно, а он провел их только по детали 26-9, в результате чего были выпущены 726 деталей 26–11 по аннулированному чертежу. Впоследствии их пришлось уже в сборочном цехе «подрубать на сборке». [72 — Там же, Д. 443, Л. 42.]. </w:t>
      </w:r>
      <w:r w:rsidRPr="00A3026E">
        <w:rPr>
          <w:rFonts w:ascii="Times New Roman" w:hAnsi="Times New Roman"/>
          <w:color w:val="000000" w:themeColor="text1"/>
          <w:sz w:val="16"/>
          <w:szCs w:val="16"/>
        </w:rPr>
        <w:lastRenderedPageBreak/>
        <w:t>Заметное влияние на производственный процесс продолжала оказывать слабая технологическая дисциплина. Помимо «грубейших нарушений», имело место «неполное соблюдение технологии», ведущее к непредусмотренным дополнительным работам. Например, кузнечно-прессовый цех передал в механический № 13 детали 19–90, отштампованные не по технологии, в результате чего возникла необходимость в дополнительной операции — сверлении отверстий. Щиты для гаубиц передавались в термический и механический № 13 цеха с припуском 40–50 мм вместо 18 мм, в итоге потребовалась дополнительная фрезеровка. Вносило дезорганизацию и складское хозяйство. Сборочный цех простаивал из-за «нехватки деталей» № 1939, 19–46 и др., однако при проверке оказалось, что те на складе имелись в достаточном количестве, но просто не были соответствующим образом оформлены. Тем не менее, благодаря героическим усилиям рабочих и широким организационным мероприятиям, заводу № 92 удалось выполнить план по производству М-30. В декабре сборочный цех вышел на уровень 3040 изделий в сутки. Кузнечнопрессовый цех организовал скоростную отковку детали 01–30. В результате при норме 45 минут она изготовлялась за 25. Деталь 01-1 вместо 36 минут отковывали за 23,5. Механический цех № 13, досрочно выполнив свою программу, оказал значительную помощь сборочному. Проводились срочные переброски рабочей силы с участка на участок, в т. ч. несколько раз в течение суток, был значительно увеличен лимит сверхурочных работ. На наиболее сложные участки ставили бригады стахановцев. В итоге 31 декабря 1940 г. была сдана военпреду последняя 500-я гаубица. Был даже перевыполнен план по гильзам М-62. [73 — ГУ ЦАНО, Ф. 2491, Д. 443, Л. 227.] (11741).</w:t>
      </w:r>
    </w:p>
    <w:p w14:paraId="4E0750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9AF2D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15 по 25 сентября 1940 г. орудие Ф-34 проходило про</w:t>
      </w:r>
      <w:r w:rsidRPr="00A3026E">
        <w:rPr>
          <w:rFonts w:ascii="Times New Roman" w:hAnsi="Times New Roman"/>
          <w:color w:val="000000" w:themeColor="text1"/>
          <w:sz w:val="16"/>
          <w:szCs w:val="16"/>
        </w:rPr>
        <w:softHyphen/>
        <w:t>грамму заводских испытаний с полевого станка (от орудия Ф-22 УСВ). 1 октября опытное орудие было установлено в башне танка БТ-7А и поступило на 2-й этап заводских ис</w:t>
      </w:r>
      <w:r w:rsidRPr="00A3026E">
        <w:rPr>
          <w:rFonts w:ascii="Times New Roman" w:hAnsi="Times New Roman"/>
          <w:color w:val="000000" w:themeColor="text1"/>
          <w:sz w:val="16"/>
          <w:szCs w:val="16"/>
        </w:rPr>
        <w:softHyphen/>
        <w:t>пытаний — обкатку. По требованиям технологического ха</w:t>
      </w:r>
      <w:r w:rsidRPr="00A3026E">
        <w:rPr>
          <w:rFonts w:ascii="Times New Roman" w:hAnsi="Times New Roman"/>
          <w:color w:val="000000" w:themeColor="text1"/>
          <w:sz w:val="16"/>
          <w:szCs w:val="16"/>
        </w:rPr>
        <w:softHyphen/>
        <w:t>рактера в сентябре 1940 г. длина ствола орудия Ф-34 была уменьшена до 41 калибра, и в таком виде оно рассматри</w:t>
      </w:r>
      <w:r w:rsidRPr="00A3026E">
        <w:rPr>
          <w:rFonts w:ascii="Times New Roman" w:hAnsi="Times New Roman"/>
          <w:color w:val="000000" w:themeColor="text1"/>
          <w:sz w:val="16"/>
          <w:szCs w:val="16"/>
        </w:rPr>
        <w:softHyphen/>
        <w:t>валось для установки в башню танка Т-34 (10782).</w:t>
      </w:r>
    </w:p>
    <w:p w14:paraId="20641A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B5462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15 сентября 1940 года заводские цеха покинули три первых серийных танка Т-34, а до конца года их было изготовлено всего 115 единиц, или 19% годовой программы. СТЗ вообще не сдал ни одной машины, хотя и собрал к концу года 23 танка. На то были свои причины. Новый танк требовал новой оснастки для его изготовления и расширения производственных площадей. Медленно осваивался смежниками и выпуск комплектующих изделий для Т-34. Поставляемые Мариупольским металлургическим заводом броневые детали требовали доработки, поскольку не выдерживалась их геометрия. Несмотря на упрощение технологии сборки танка (лобовая часть, например, теперь сваривалась из двух прямых бронелистов), она оставалась достаточно сложной и трудоемкой. На заводе №75 с огромным трудом добились, чтобы дизель В-2 без сбоя работал 150 часов на стенде. Проблем была масса! Для правильного и одинакового распыления, равномерной подачи топлива, изготовили специальные стенды, на которых проверялся весь комплект из 12 форсунок со всеми трубопроводами и насосами. Клапаны, форсунки и иглы притирали вручную ученики школы ФЗО (3862).</w:t>
      </w:r>
    </w:p>
    <w:p w14:paraId="2F62770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4C6667"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 сентября  1940 было Письмо наркома судостроительной промышленности СССР И. И. Носенко, заместителя наркома ВМФ СССР И. С. Исакова председателю Комитета обороны при СНК СССР К. Е. Ворошилову об исполнении постановления относительно выпуска недоброкачественной продукции торпедостроительными заводами Наркомата судостроительной промышленности СССР</w:t>
      </w:r>
    </w:p>
    <w:p w14:paraId="250131DF"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 исполнение постановления Комитета Обороны зa № 371с от 2В.УШ.с.г. относительно выпуска недоброкачественной про</w:t>
      </w:r>
      <w:r w:rsidRPr="00A3026E">
        <w:rPr>
          <w:rFonts w:ascii="Times New Roman" w:hAnsi="Times New Roman"/>
          <w:color w:val="0070C0"/>
          <w:sz w:val="16"/>
          <w:szCs w:val="16"/>
        </w:rPr>
        <w:softHyphen/>
        <w:t>дукции торпедостроительными заводами Наркомсудпрома и на основе материалов обследования специальной комиссии, а также материалов флота, ДОКЛАДЫВАЮ:</w:t>
      </w:r>
    </w:p>
    <w:p w14:paraId="39E2F12F"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Инспекторские испытания торпед 53-38 и 45-36, а также проверка торпед, вызывавших сомнение, в портах (КБФ и на тормозе и результаты боевых стрельб на СФ и ЧФ) показали безотказную надежность торпедного оружия при бое</w:t>
      </w:r>
      <w:r w:rsidRPr="00A3026E">
        <w:rPr>
          <w:rFonts w:ascii="Times New Roman" w:hAnsi="Times New Roman"/>
          <w:color w:val="0070C0"/>
          <w:sz w:val="16"/>
          <w:szCs w:val="16"/>
        </w:rPr>
        <w:softHyphen/>
        <w:t>вом использовании.</w:t>
      </w:r>
    </w:p>
    <w:p w14:paraId="524B7941"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части эксплоатационных данных торпеды 53-38 (изготов</w:t>
      </w:r>
      <w:r w:rsidRPr="00A3026E">
        <w:rPr>
          <w:rFonts w:ascii="Times New Roman" w:hAnsi="Times New Roman"/>
          <w:color w:val="0070C0"/>
          <w:sz w:val="16"/>
          <w:szCs w:val="16"/>
        </w:rPr>
        <w:softHyphen/>
        <w:t>ления завода № 181) показали удовлетворительные результаты, а торпеды 45-36 (изготовления завода № 175) - хорошие.</w:t>
      </w:r>
    </w:p>
    <w:p w14:paraId="3477A302"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Основной причиной появления случаев аварий торпед по плавлению шатунов и ползунов в период апрель-июль с.г. на пристрелочной станции (з-д 238), которые составляют 10,8№ по т. 53-28 и 2,5% по т. 45-36 от общего количества выстрелов в море, является недоброкачественность сборки главных машин и нарушение их температурного режима на заводах.</w:t>
      </w:r>
    </w:p>
    <w:p w14:paraId="6CB548E2"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Повышенный брак по выходу деталей главной машины из строя пошел с апреля месяца, между тем сигнал с завода № 238 (пристрелочной станции) о сомнении в качество торпед поступил только в июле 1940 г.</w:t>
      </w:r>
    </w:p>
    <w:p w14:paraId="01B9F90C"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Дефект дымления имеет место и на фиумских образцах торпед, копией которых являются и наши торпеды (53-38 и 45-36), и преимущественно проявляется в летнее время года, а в осеннее и зимнее - почти отсутствует.</w:t>
      </w:r>
    </w:p>
    <w:p w14:paraId="5693E70C"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Таже при отсутствии дымления все торпеды в дневных условиях оставляют заметный след из-за интенсивного выхода отходящих газов из веды, т.к. главная машина торпеды рабо</w:t>
      </w:r>
      <w:r w:rsidRPr="00A3026E">
        <w:rPr>
          <w:rFonts w:ascii="Times New Roman" w:hAnsi="Times New Roman"/>
          <w:color w:val="0070C0"/>
          <w:sz w:val="16"/>
          <w:szCs w:val="16"/>
        </w:rPr>
        <w:softHyphen/>
        <w:t>тает на парогазовоздушной смеси. Этот дефект устранен только у бесследных торпед, над созданием которых проводятся работы у нас в Союзе.</w:t>
      </w:r>
    </w:p>
    <w:p w14:paraId="03139F37"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Устранением эффекта дымления завод 181 занимается с мая 1939 г. Проведены испытания следующих вариантов:</w:t>
      </w:r>
    </w:p>
    <w:p w14:paraId="22CFC205"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расплавляется трубка в картере главной мапины с большим числом отверстии.</w:t>
      </w:r>
    </w:p>
    <w:p w14:paraId="175306C6"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распылители с увеличенные числом отверстий для охлаждения . золотников.</w:t>
      </w:r>
    </w:p>
    <w:p w14:paraId="673792F3"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Увеличенная подача воды в золотники за счет уменьшения подачи воды в картер.</w:t>
      </w:r>
    </w:p>
    <w:p w14:paraId="5A0D56E2"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специальный смеситель в добавочном валике с целью вторичной конденсации парогаза.</w:t>
      </w:r>
    </w:p>
    <w:p w14:paraId="4CCAF770"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введение дополнительного охлаждения забортной водой во внутрь добавочного вилика.</w:t>
      </w:r>
    </w:p>
    <w:p w14:paraId="21836DA3"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специальная диафрагма на добавочном валике для раз</w:t>
      </w:r>
      <w:r w:rsidRPr="00A3026E">
        <w:rPr>
          <w:rFonts w:ascii="Times New Roman" w:hAnsi="Times New Roman"/>
          <w:color w:val="0070C0"/>
          <w:sz w:val="16"/>
          <w:szCs w:val="16"/>
        </w:rPr>
        <w:softHyphen/>
        <w:t>мельчения пузырей и т.д.</w:t>
      </w:r>
    </w:p>
    <w:p w14:paraId="4A11D9E9"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Однако, ни один из этих вариантов не дал положитель</w:t>
      </w:r>
      <w:r w:rsidRPr="00A3026E">
        <w:rPr>
          <w:rFonts w:ascii="Times New Roman" w:hAnsi="Times New Roman"/>
          <w:color w:val="0070C0"/>
          <w:sz w:val="16"/>
          <w:szCs w:val="16"/>
        </w:rPr>
        <w:softHyphen/>
        <w:t>ных результатов.</w:t>
      </w:r>
    </w:p>
    <w:p w14:paraId="29E1955D"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настоящее время проводятся испытания торпед 53-38 с отключенной смазкой на цилиндрах главной машины и водяными помпами увеличенной производительности.</w:t>
      </w:r>
    </w:p>
    <w:p w14:paraId="4E2BE2D5"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Хотя предварительные испытания в море дали положительные результаты, однако гарантию, что указанные мероприятия полностью устранят дымление, дать нельзя.</w:t>
      </w:r>
    </w:p>
    <w:p w14:paraId="04A9DB40"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Запрещение приемки торпед с дымлением в настоящее время повлечет за собой остановку производства и прекращение поступления торпед на флот.</w:t>
      </w:r>
    </w:p>
    <w:p w14:paraId="034CDFE0"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Поэтому просим, до устранения дефекта дымления, работа по которому проводятся сейчас форсированным темпом, разрешить производить приемку и сдачу торпед по существующим техническим условиям.</w:t>
      </w:r>
    </w:p>
    <w:p w14:paraId="37353BA3"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Случаи травления в одышках воздушных резервуаров известны из практики эксплоатации торпед и свойственны всем образцам.</w:t>
      </w:r>
    </w:p>
    <w:p w14:paraId="103DBCF4"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Устранение травления воздушных резервуаров. всегда производилось в портах подпайкой оловом.</w:t>
      </w:r>
    </w:p>
    <w:p w14:paraId="2B8693DD"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настоящее время ужесточены нормы на приемку воздуш</w:t>
      </w:r>
      <w:r w:rsidRPr="00A3026E">
        <w:rPr>
          <w:rFonts w:ascii="Times New Roman" w:hAnsi="Times New Roman"/>
          <w:color w:val="0070C0"/>
          <w:sz w:val="16"/>
          <w:szCs w:val="16"/>
        </w:rPr>
        <w:softHyphen/>
        <w:t>ных резервуаров, что сократит случаи травления, кроме того, изготовлены опытные конструкции резервуаров с самоуплотняющими крышками /по американскому методу/, которые в те</w:t>
      </w:r>
      <w:r w:rsidRPr="00A3026E">
        <w:rPr>
          <w:rFonts w:ascii="Times New Roman" w:hAnsi="Times New Roman"/>
          <w:color w:val="0070C0"/>
          <w:sz w:val="16"/>
          <w:szCs w:val="16"/>
        </w:rPr>
        <w:softHyphen/>
        <w:t>чение октября-ноября с/г. будут испытаны в условиях флота, после чего будет решен вопрос о внедрении ix на серил.</w:t>
      </w:r>
    </w:p>
    <w:p w14:paraId="64E35A1A"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Случаев аварий торпед из-за некондиционных золот</w:t>
      </w:r>
      <w:r w:rsidRPr="00A3026E">
        <w:rPr>
          <w:rFonts w:ascii="Times New Roman" w:hAnsi="Times New Roman"/>
          <w:color w:val="0070C0"/>
          <w:sz w:val="16"/>
          <w:szCs w:val="16"/>
        </w:rPr>
        <w:softHyphen/>
        <w:t>ников /завод 175/ не имели места и рекламаций по золот</w:t>
      </w:r>
      <w:r w:rsidRPr="00A3026E">
        <w:rPr>
          <w:rFonts w:ascii="Times New Roman" w:hAnsi="Times New Roman"/>
          <w:color w:val="0070C0"/>
          <w:sz w:val="16"/>
          <w:szCs w:val="16"/>
        </w:rPr>
        <w:softHyphen/>
        <w:t>никам с флотов не поступало.</w:t>
      </w:r>
    </w:p>
    <w:p w14:paraId="010488F7"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заводах при испытаниях Главных машин на тормозе и в море, с целью сокращения брака по выходу из строя цилиндров применяются штатные золотники, которые после расшлифовки ци</w:t>
      </w:r>
      <w:r w:rsidRPr="00A3026E">
        <w:rPr>
          <w:rFonts w:ascii="Times New Roman" w:hAnsi="Times New Roman"/>
          <w:color w:val="0070C0"/>
          <w:sz w:val="16"/>
          <w:szCs w:val="16"/>
        </w:rPr>
        <w:softHyphen/>
        <w:t>линдров при окончательной сдаче флоту заменяются новыми.</w:t>
      </w:r>
    </w:p>
    <w:p w14:paraId="26072654"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Устранением дефектов (травление ВР, дымление и т.д. торпедостроительные заводы 181, 182 и 175) занимались недостаточно, уделяя основное внимание освоению серийного выпуска и количественному выполнению программ.</w:t>
      </w:r>
    </w:p>
    <w:p w14:paraId="7B5619A3"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завод № 238. как последняя инстанция промышленности по окончательной сдаче торпед флоту, вопросами изучения причин аварий и техническим анализом брака занимался плохо, уделяя основное внимание коммерческой стороне дела в своих взаимопретензиях к заводам-изготовителям.</w:t>
      </w:r>
    </w:p>
    <w:p w14:paraId="3122859A"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Установлено, что существующие организационные взаи</w:t>
      </w:r>
      <w:r w:rsidRPr="00A3026E">
        <w:rPr>
          <w:rFonts w:ascii="Times New Roman" w:hAnsi="Times New Roman"/>
          <w:color w:val="0070C0"/>
          <w:sz w:val="16"/>
          <w:szCs w:val="16"/>
        </w:rPr>
        <w:softHyphen/>
        <w:t>моотношения между заводами-изготовителями (№ 181 и пристрелочной станцией (завод № 238) обезличивают ответственность за качество окончательно сдаваемых флоту торпед.</w:t>
      </w:r>
    </w:p>
    <w:p w14:paraId="146C3F16"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Считаем необходимым завод № 238, как самостоятельную промежуточную инстанцию ликвидировать и передать в ведение завода № 181, который должен являться основным поставщиком торпед 53-38 и 45-35 флоту, приняв на себя отстрел торпед изготовления завода № 175.</w:t>
      </w:r>
    </w:p>
    <w:p w14:paraId="17BCF62D"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За слабое изучение причин аварий и анализ брака, торгашеские тенденции, наличие сутяжничества с заводами- изготовителями, низкое состояние технологической дисциплины считаем необходимым:</w:t>
      </w:r>
    </w:p>
    <w:p w14:paraId="473CE541"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Директора завода 238 т. ДРЯМОВА и главного инженера т. НАУМОВА от занимаемых должностей отстранить.</w:t>
      </w:r>
    </w:p>
    <w:p w14:paraId="0633BE57"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Ст.военпреда завода № 238 В/инженера 3 ранга т.ЛОГИНОВА и военпреда В/инженера 3 ранга т. МАРГОЛИНА за недоста</w:t>
      </w:r>
      <w:r w:rsidRPr="00A3026E">
        <w:rPr>
          <w:rFonts w:ascii="Times New Roman" w:hAnsi="Times New Roman"/>
          <w:color w:val="0070C0"/>
          <w:sz w:val="16"/>
          <w:szCs w:val="16"/>
        </w:rPr>
        <w:softHyphen/>
        <w:t>точный контроль за состоянием технологической дисциплины и несвоевременное реагирование на появление брака при прист</w:t>
      </w:r>
      <w:r w:rsidRPr="00A3026E">
        <w:rPr>
          <w:rFonts w:ascii="Times New Roman" w:hAnsi="Times New Roman"/>
          <w:color w:val="0070C0"/>
          <w:sz w:val="16"/>
          <w:szCs w:val="16"/>
        </w:rPr>
        <w:softHyphen/>
        <w:t>релке торпед от занимаемых должностей отстранить.</w:t>
      </w:r>
    </w:p>
    <w:p w14:paraId="0A19CD46"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noProof/>
          <w:color w:val="0070C0"/>
          <w:sz w:val="16"/>
          <w:szCs w:val="16"/>
        </w:rPr>
        <mc:AlternateContent>
          <mc:Choice Requires="wps">
            <w:drawing>
              <wp:anchor distT="0" distB="0" distL="0" distR="0" simplePos="0" relativeHeight="251659264" behindDoc="0" locked="0" layoutInCell="1" allowOverlap="1" wp14:anchorId="276C7007" wp14:editId="061286BA">
                <wp:simplePos x="0" y="0"/>
                <wp:positionH relativeFrom="page">
                  <wp:posOffset>8580755</wp:posOffset>
                </wp:positionH>
                <wp:positionV relativeFrom="paragraph">
                  <wp:posOffset>177800</wp:posOffset>
                </wp:positionV>
                <wp:extent cx="231140" cy="135255"/>
                <wp:effectExtent l="0" t="0" r="0" b="0"/>
                <wp:wrapSquare wrapText="left"/>
                <wp:docPr id="31" name="Надпись 31"/>
                <wp:cNvGraphicFramePr/>
                <a:graphic xmlns:a="http://schemas.openxmlformats.org/drawingml/2006/main">
                  <a:graphicData uri="http://schemas.microsoft.com/office/word/2010/wordprocessingShape">
                    <wps:wsp>
                      <wps:cNvSpPr txBox="1"/>
                      <wps:spPr>
                        <a:xfrm>
                          <a:off x="0" y="0"/>
                          <a:ext cx="231775" cy="135255"/>
                        </a:xfrm>
                        <a:prstGeom prst="rect">
                          <a:avLst/>
                        </a:prstGeom>
                        <a:noFill/>
                      </wps:spPr>
                      <wps:txbx>
                        <w:txbxContent>
                          <w:p w14:paraId="3D1E2DEE" w14:textId="77777777" w:rsidR="00E65678" w:rsidRDefault="00E65678" w:rsidP="00E65678">
                            <w:pPr>
                              <w:pStyle w:val="27"/>
                              <w:spacing w:line="240" w:lineRule="auto"/>
                            </w:pPr>
                            <w:r>
                              <w:rPr>
                                <w:color w:val="000000"/>
                              </w:rPr>
                              <w:t>заво-</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type w14:anchorId="276C7007" id="_x0000_t202" coordsize="21600,21600" o:spt="202" path="m,l,21600r21600,l21600,xe">
                <v:stroke joinstyle="miter"/>
                <v:path gradientshapeok="t" o:connecttype="rect"/>
              </v:shapetype>
              <v:shape id="Надпись 31" o:spid="_x0000_s1026" type="#_x0000_t202" style="position:absolute;left:0;text-align:left;margin-left:675.65pt;margin-top:14pt;width:18.2pt;height:10.65pt;z-index:251659264;visibility:visible;mso-wrap-style:non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" filled="f" stroked="f">
                <v:textbox inset="0,0,0,0">
                  <w:txbxContent>
                    <w:p w14:paraId="3D1E2DEE" w14:textId="77777777" w:rsidR="00E65678" w:rsidRDefault="00E65678" w:rsidP="00E65678">
                      <w:pPr>
                        <w:pStyle w:val="27"/>
                        <w:spacing w:line="240" w:lineRule="auto"/>
                      </w:pPr>
                      <w:r>
                        <w:rPr>
                          <w:color w:val="000000"/>
                        </w:rPr>
                        <w:t>заво-</w:t>
                      </w:r>
                    </w:p>
                  </w:txbxContent>
                </v:textbox>
                <w10:wrap type="square" side="left" anchorx="page"/>
              </v:shape>
            </w:pict>
          </mc:Fallback>
        </mc:AlternateContent>
      </w:r>
      <w:r w:rsidRPr="00A3026E">
        <w:rPr>
          <w:rFonts w:ascii="Times New Roman" w:hAnsi="Times New Roman"/>
          <w:color w:val="0070C0"/>
          <w:sz w:val="16"/>
          <w:szCs w:val="16"/>
        </w:rPr>
        <w:t>10. Указать директорам заводов 181 и 175 т.т. РОЗЕНШТЕЙН и КОМПАНЕЦ на несвоевременное реагирование и медлительность ы устранении дефектов при выполнением соответствующих совместных приказов Нарко</w:t>
      </w:r>
      <w:r w:rsidRPr="00A3026E">
        <w:rPr>
          <w:rFonts w:ascii="Times New Roman" w:hAnsi="Times New Roman"/>
          <w:color w:val="0070C0"/>
          <w:sz w:val="16"/>
          <w:szCs w:val="16"/>
        </w:rPr>
        <w:softHyphen/>
        <w:t>мов и решений МТУ и 2-го Главного Управления НКСП.</w:t>
      </w:r>
    </w:p>
    <w:p w14:paraId="1AE4BCB7"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ПРИЛОЖЕНИЕ; - перечень мероприятий на 3 листах.</w:t>
      </w:r>
    </w:p>
    <w:p w14:paraId="54287A7E" w14:textId="77777777" w:rsidR="00E65678" w:rsidRPr="00A3026E" w:rsidRDefault="00E6567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Материалы комиссии на 119 листах (22037).</w:t>
      </w:r>
    </w:p>
    <w:p w14:paraId="2FF00E96" w14:textId="77777777" w:rsidR="00E65678" w:rsidRPr="00A3026E" w:rsidRDefault="00E65678" w:rsidP="00A3026E">
      <w:pPr>
        <w:spacing w:after="0" w:line="240" w:lineRule="auto"/>
        <w:jc w:val="both"/>
        <w:rPr>
          <w:rFonts w:ascii="Times New Roman" w:hAnsi="Times New Roman"/>
          <w:color w:val="0070C0"/>
          <w:sz w:val="16"/>
          <w:szCs w:val="16"/>
        </w:rPr>
      </w:pPr>
    </w:p>
    <w:p w14:paraId="6F7D3C3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27B8FF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743E7D4" w14:textId="77777777" w:rsidR="00B12571" w:rsidRPr="00A3026E" w:rsidRDefault="00B1257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15 сентября 1940 выполнил первый полет Miles M.20 U-9 </w:t>
      </w:r>
    </w:p>
    <w:p w14:paraId="73217B64" w14:textId="77777777" w:rsidR="00B12571" w:rsidRPr="00A3026E" w:rsidRDefault="00B12571" w:rsidP="00A3026E">
      <w:pPr>
        <w:spacing w:after="0" w:line="240" w:lineRule="auto"/>
        <w:jc w:val="both"/>
        <w:rPr>
          <w:rFonts w:ascii="Times New Roman" w:hAnsi="Times New Roman"/>
          <w:color w:val="0070C0"/>
          <w:sz w:val="16"/>
          <w:szCs w:val="16"/>
        </w:rPr>
      </w:pPr>
    </w:p>
    <w:p w14:paraId="6687AF93" w14:textId="77777777" w:rsidR="00B12571" w:rsidRPr="00A3026E" w:rsidRDefault="00B1257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 сентября 1940 – Первый полет Miles M.20. Он был разработан как простой и быстрый в сборке "аварийный истребитель ", альтернативный Royal Air Force Spitfires и Hurricanes, если их производство прервется из-за бомбардировок, в ожидаемом вторжении Германии в Англию. После провала воздушного нападения на Англию эта опасность миновала, проект был закрыт.</w:t>
      </w:r>
    </w:p>
    <w:p w14:paraId="7E678B2A" w14:textId="77777777" w:rsidR="00B12571" w:rsidRPr="00A3026E" w:rsidRDefault="00B1257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Для упрощения производства M.20 имел цельнодеревянную конструкцию и использовал многие детали от более раннего учебного Miles Master, не имел гидравлики, и имел неубирающиеся шасси. Это освободило место для полезной нагрузки, достаточной для двенадцати пулеметов Browning и 5000 патронов, а также 700 литров топлива (вдвое больше дальности и боезапаса, чем у Hawker Hurricane и Супермарин Спитфайр) (22364).</w:t>
      </w:r>
    </w:p>
    <w:p w14:paraId="6552D89F" w14:textId="77777777" w:rsidR="00B12571" w:rsidRPr="00A3026E" w:rsidRDefault="00B12571" w:rsidP="00A3026E">
      <w:pPr>
        <w:spacing w:after="0" w:line="240" w:lineRule="auto"/>
        <w:jc w:val="both"/>
        <w:rPr>
          <w:rFonts w:ascii="Times New Roman" w:hAnsi="Times New Roman"/>
          <w:color w:val="0070C0"/>
          <w:sz w:val="16"/>
          <w:szCs w:val="16"/>
        </w:rPr>
      </w:pPr>
    </w:p>
    <w:p w14:paraId="494F31AD"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September 15, 1940: Climax of the Luftwaffe daylight raids against the London docks (later designated Battle of Britain Day). British fighter aircraft destroy almost one quarter (57) of the attacking German bomber force (3819).</w:t>
      </w:r>
    </w:p>
    <w:p w14:paraId="7E319B1A"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50182BCE"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15 September 1940 Climax of the Battle of Britain. Massive German air raids on London, Southampton, Bristol, Cardiff, Liverpool and Manchester (1050).</w:t>
      </w:r>
    </w:p>
    <w:p w14:paraId="4A556550"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5590963A" w14:textId="77777777" w:rsidR="00B12571" w:rsidRPr="00A3026E" w:rsidRDefault="00B1257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 сентября 1940- Германия совершает самый тяжелый дневной рейд на Лондон. Royal Air Force уничтожает 185 немецких самолетов над Англией в течение дня. В результате Германия отказывается от надежд на победу в битве за Британию (20795).</w:t>
      </w:r>
    </w:p>
    <w:p w14:paraId="26E013C7" w14:textId="77777777" w:rsidR="00B12571" w:rsidRPr="00A3026E" w:rsidRDefault="00B12571" w:rsidP="00A3026E">
      <w:pPr>
        <w:spacing w:after="0" w:line="240" w:lineRule="auto"/>
        <w:jc w:val="both"/>
        <w:rPr>
          <w:rFonts w:ascii="Times New Roman" w:hAnsi="Times New Roman"/>
          <w:color w:val="0070C0"/>
          <w:sz w:val="16"/>
          <w:szCs w:val="16"/>
        </w:rPr>
      </w:pPr>
    </w:p>
    <w:p w14:paraId="491C81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сентября 1940 в налете на Лондон приняло участие 1000 немецких самолетов. Англичане сбили 60 и потеряли 26 (340,11). Использование радаров позволяло эффективно наводить немногочисленные истребители (2536,155).</w:t>
      </w:r>
    </w:p>
    <w:p w14:paraId="65B364C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E2F1EE2" w14:textId="77777777" w:rsidR="004B3571" w:rsidRPr="00A3026E" w:rsidRDefault="004B357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сентября в 1940 году массированный воздушный налет на Великобританию. В воздушных боях только над Лондоном германская авиация потеряла 56 самолетов. Начатое 13 августа воздушное сражение за Британию завершилось поражением фашистов. Гитлер на следующий день отдал приказ отложить планировавшуюся операцию "Морской лев" - вторжение на Британские острова (14770).</w:t>
      </w:r>
    </w:p>
    <w:p w14:paraId="60C09B17" w14:textId="77777777" w:rsidR="004B3571" w:rsidRPr="00A3026E" w:rsidRDefault="004B3571" w:rsidP="00A3026E">
      <w:pPr>
        <w:spacing w:after="0" w:line="240" w:lineRule="auto"/>
        <w:jc w:val="both"/>
        <w:rPr>
          <w:rFonts w:ascii="Times New Roman" w:hAnsi="Times New Roman"/>
          <w:color w:val="000000" w:themeColor="text1"/>
          <w:sz w:val="16"/>
          <w:szCs w:val="16"/>
        </w:rPr>
      </w:pPr>
    </w:p>
    <w:p w14:paraId="580ABD23" w14:textId="77777777" w:rsidR="004B3571" w:rsidRPr="00A3026E" w:rsidRDefault="004B357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сентября 1940 итальянские войска с территории Ливии начали наступление в Египте, которое продолжалось до 16 сентября (3481).</w:t>
      </w:r>
    </w:p>
    <w:p w14:paraId="2F06C441" w14:textId="77777777" w:rsidR="004B3571" w:rsidRPr="00A3026E" w:rsidRDefault="004B3571" w:rsidP="00A3026E">
      <w:pPr>
        <w:spacing w:after="0" w:line="240" w:lineRule="auto"/>
        <w:jc w:val="both"/>
        <w:rPr>
          <w:rFonts w:ascii="Times New Roman" w:hAnsi="Times New Roman"/>
          <w:color w:val="000000" w:themeColor="text1"/>
          <w:sz w:val="16"/>
          <w:szCs w:val="16"/>
        </w:rPr>
      </w:pPr>
    </w:p>
    <w:p w14:paraId="31A3B19A" w14:textId="77777777" w:rsidR="004B3571" w:rsidRPr="00A3026E" w:rsidRDefault="004B357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сентября в 1940 году итальянские войска с территории Ливии начинают в Египте наступление в направлении Сиди Баррани (продолжается до 16 сентября) (14770).</w:t>
      </w:r>
    </w:p>
    <w:p w14:paraId="6FE13F6D" w14:textId="77777777" w:rsidR="004B3571" w:rsidRPr="00A3026E" w:rsidRDefault="004B3571" w:rsidP="00A3026E">
      <w:pPr>
        <w:spacing w:after="0" w:line="240" w:lineRule="auto"/>
        <w:jc w:val="both"/>
        <w:rPr>
          <w:rFonts w:ascii="Times New Roman" w:hAnsi="Times New Roman"/>
          <w:color w:val="000000" w:themeColor="text1"/>
          <w:sz w:val="16"/>
          <w:szCs w:val="16"/>
        </w:rPr>
      </w:pPr>
    </w:p>
    <w:p w14:paraId="2F4B3AA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7416BEE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7A6D6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первой половине сентября 1940 в НИИ ВВС закончились гос. испытания И-16 тип 29, которые шли со второй половины августа. Вес - 2 т, М-63 и ВИШ, УБ и 2 РО, а также рация, скорость - всего 488 км/час (1204,135).</w:t>
      </w:r>
    </w:p>
    <w:p w14:paraId="467054D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72F10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7A95733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27288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середине сентября 1940 контролер Вахрушев - представитель КО СНК СССР - в журнале Учета выполнения постановлени правительства в отношении постановления КО N 240сс 1940 “О переводе самолетов СБ на пикирующие бомбардировщики и внедрении пикирующего вооружения на эти бомбардировщики” отметил:</w:t>
      </w:r>
    </w:p>
    <w:p w14:paraId="0EECAB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пар. 6 Письмом № 58ог от 2 июля 1940 нарком НКЭП тов. Богатырев обратился в КО с просьбой снять с НКЭП поставку радиаторов вследствие ограниченной заводской базы. Письмо это было на исполнении члена хоз совета обор. Пром-ти тов. Репина. 12 сентября 1940 я звонил т. Репину, который сообщил, что по этому письмы им была дано указание НКАП т. А.И.Ш. организовать производство радиаторов на заводах НКАП. Позже зам. НКАП т. Воронин сообщил, что производство передано на завод № 34 НКАП. Об этом же сообщает военный отдел НКАП (счм. Письмо вход. № 83201) (10395).</w:t>
      </w:r>
    </w:p>
    <w:p w14:paraId="286A6C1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C240F8" w14:textId="77777777" w:rsidR="009041AB" w:rsidRPr="00A3026E" w:rsidRDefault="009041AB" w:rsidP="00A3026E">
      <w:pPr>
        <w:pStyle w:val="a3"/>
        <w:rPr>
          <w:color w:val="000000" w:themeColor="text1"/>
          <w:lang w:val="ru-RU"/>
        </w:rPr>
      </w:pPr>
      <w:r w:rsidRPr="00A3026E">
        <w:rPr>
          <w:color w:val="000000" w:themeColor="text1"/>
          <w:lang w:val="ru-RU"/>
        </w:rPr>
        <w:t>В середине сентября 1940 А.И. Шахурин представил К.Е. Ворошилову проект Постановле</w:t>
      </w:r>
      <w:r w:rsidRPr="00A3026E">
        <w:rPr>
          <w:color w:val="000000" w:themeColor="text1"/>
          <w:lang w:val="ru-RU"/>
        </w:rPr>
        <w:softHyphen/>
        <w:t>ния КО при СНК СССР о создании самолёта И-29 вместо модификации И-28. При рас</w:t>
      </w:r>
      <w:r w:rsidRPr="00A3026E">
        <w:rPr>
          <w:color w:val="000000" w:themeColor="text1"/>
          <w:lang w:val="ru-RU"/>
        </w:rPr>
        <w:softHyphen/>
        <w:t>смотрении этого вопроса НКАП было предложено сообщить в Комитет Обороны допол</w:t>
      </w:r>
      <w:r w:rsidRPr="00A3026E">
        <w:rPr>
          <w:color w:val="000000" w:themeColor="text1"/>
          <w:lang w:val="ru-RU"/>
        </w:rPr>
        <w:softHyphen/>
        <w:t>нительные данные о материале конструкции и посадочной скорости самолёта. В связи с этим проект постановления вернули обратно для доработки (15837).</w:t>
      </w:r>
    </w:p>
    <w:p w14:paraId="584338EB" w14:textId="77777777" w:rsidR="009041AB" w:rsidRPr="00A3026E" w:rsidRDefault="009041AB" w:rsidP="00A3026E">
      <w:pPr>
        <w:pStyle w:val="a3"/>
        <w:rPr>
          <w:color w:val="000000" w:themeColor="text1"/>
          <w:lang w:val="ru-RU"/>
        </w:rPr>
      </w:pPr>
    </w:p>
    <w:p w14:paraId="25EB6C82" w14:textId="77777777" w:rsidR="008D6721" w:rsidRPr="00A3026E" w:rsidRDefault="008D6721" w:rsidP="00A3026E">
      <w:pPr>
        <w:spacing w:after="0" w:line="240" w:lineRule="auto"/>
        <w:jc w:val="both"/>
        <w:textAlignment w:val="top"/>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середине сентября 1940 А.И. Шахурин представил К.Е. Ворошилову проект постановления КО при СНК СССР о создании самолета И-29 вместо модификации И-28. При рассмотрении этого вопроса НКАП было предложено сообщить в Комитет Обороны дополнительные данные о материале конструкции и посадочной скорости самолета. В связи с этим проект постановления вернули обратно для доработки (17738).</w:t>
      </w:r>
    </w:p>
    <w:p w14:paraId="53AE8899" w14:textId="77777777" w:rsidR="008D6721" w:rsidRPr="00A3026E" w:rsidRDefault="008D6721" w:rsidP="00A3026E">
      <w:pPr>
        <w:spacing w:after="0" w:line="240" w:lineRule="auto"/>
        <w:jc w:val="both"/>
        <w:rPr>
          <w:rFonts w:ascii="Times New Roman" w:eastAsia="Times New Roman" w:hAnsi="Times New Roman"/>
          <w:color w:val="000000" w:themeColor="text1"/>
          <w:sz w:val="16"/>
          <w:szCs w:val="16"/>
          <w:lang w:eastAsia="ru-RU"/>
        </w:rPr>
      </w:pPr>
    </w:p>
    <w:p w14:paraId="69BB3976" w14:textId="77777777" w:rsidR="009041AB" w:rsidRPr="00A3026E" w:rsidRDefault="009041A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позже середины сентября 1940-го Гудков сделал предложение по "Аэрокобре", а постановление Комитета обороны о его разработке вышло в последний день октября того же года. Построить же машину, законсервированную почти на два года, удалось лишь весной 1943-го. В то время КБ Гудкова располагалось на территории завода №156.</w:t>
      </w:r>
    </w:p>
    <w:p w14:paraId="4E984293" w14:textId="77777777" w:rsidR="009041AB" w:rsidRPr="00A3026E" w:rsidRDefault="009041A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Расчеты показывали, что максимальная скорость Гу-1 будет не ниже 700 км/ч, при посадочной -135 км/ч. Скоростная дальность -1000 км, потолок-10000 м, а на набор 8000 м уходило 10 мин. Самолет имел очень мощное вооружение, включавшее пушку калибра 23 мм и по паре пулеметов БС и ШКАС.</w:t>
      </w:r>
    </w:p>
    <w:p w14:paraId="423EF205" w14:textId="77777777" w:rsidR="009041AB" w:rsidRPr="00A3026E" w:rsidRDefault="009041AB" w:rsidP="00A3026E">
      <w:pPr>
        <w:spacing w:after="0" w:line="240" w:lineRule="auto"/>
        <w:jc w:val="both"/>
        <w:rPr>
          <w:rFonts w:ascii="Times New Roman" w:hAnsi="Times New Roman"/>
          <w:color w:val="000000" w:themeColor="text1"/>
          <w:sz w:val="16"/>
          <w:szCs w:val="16"/>
        </w:rPr>
      </w:pPr>
    </w:p>
    <w:p w14:paraId="03D783E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7DEB355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36931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16 по 28 сентября 1940 года проходили гос. испытания лобовых жалюзи конструкции завода № 126 для регулировки температурного режима винто-моторной группы на самолете ДБ-3Б 2М-87 с винтом ВИШ-3</w:t>
      </w:r>
    </w:p>
    <w:p w14:paraId="359AFE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1621E8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по испытанию – в\инженер 1 ранга Платонов</w:t>
      </w:r>
    </w:p>
    <w:p w14:paraId="2DF300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по испытаниям. Летчик майор Нюхтиков</w:t>
      </w:r>
    </w:p>
    <w:p w14:paraId="5E5DA4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496DD8F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эффективность регулировки температурного режима ВМГ при помощи лобовых жалюзи конструкции завода № 126 во всех видах полетов самолета ДБ-3Б 2М-87Б.</w:t>
      </w:r>
    </w:p>
    <w:p w14:paraId="1629027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прочность и эксплуатационные качества лобовых жалюзи конструкции завода № 126 на самолете ДБ-3Б 2М87Б.</w:t>
      </w:r>
    </w:p>
    <w:p w14:paraId="3E50C3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года заводом № 39 предъявлены НИИ ВВС на испытания лобовые жалюзи конструкции завода № 126 для регулировки в полете температурного режима цилиндров мотора на самолете Дб-3Б 2М-87Б, капоты типа «Б».</w:t>
      </w:r>
    </w:p>
    <w:p w14:paraId="3B5ACD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Лобовые жалюзи проходили испытания с 17 сентября по 28 сентября. Всего 12 дней. Из них летные испытания – 2 дня.</w:t>
      </w:r>
    </w:p>
    <w:p w14:paraId="259486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DFBECA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Рекомендовать лобовые жалюзи конструкции завода № 126 для установки их на самолеты ДБ-3Б 2М87 с ВИШ-3 как обеспечивающие эксплуатацию самолетов при температуре наружного воздуха на земле + 10 градусов С и ниже и допускающие легкую установку их на самолеты в полевых условиях.</w:t>
      </w:r>
    </w:p>
    <w:p w14:paraId="54B38DE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заводы №№ 18, 39 и 126 установить лобовые капотные жалюзи конструкции завода № 126 на все ранее выпущенные и выпускаемые самолеты ДБ-3Б 2М87 с винтом ВИШ-3 (4395).</w:t>
      </w:r>
    </w:p>
    <w:p w14:paraId="0758983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6CD424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в ЗАКВО (Тбилиси) СБ N 13/304 под управлением л Шаповала потерпел катастрофу при пикировании с высоты до 2500 м под углом 80 гр, когда на высоте 700-800 м оторвалось левое крыло. Прибыла комиссия НКАП И ВВС под пред. ви2р Седова с участием ЦАГИ (Келдыш) и завода 22 (Холодов). В этой же части по 10 ПБ на основе СБ обнаружили ослабление заклепок и вспучивание. такие же дефекты нашли и в других полках. В это время согласно постановлению СНК N 240сс от 1 июня 1940 22 завод должен был переделать под ПБ 165 СБ и сделать во втором полугодии 1940 552 СБ в пикирующем варианте.</w:t>
      </w:r>
    </w:p>
    <w:p w14:paraId="218F477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0B501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16 по 23 сентября 1940 года производилась подвеска и сбрасывание на земле бомб ФАБ-100 и отработка на земле ВАП-500 на самолете ДБ-240 – гл. конструктор Ермолаев, Завод № 240. Сделано 5 полетов на растряску и сбрасывание корпусов бомб ФАБ-100 и выливание нейтральной жидкости из ВАП-500.</w:t>
      </w:r>
    </w:p>
    <w:p w14:paraId="0B1625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19 сентября дали течь 2 бензобака. Самолет перегнан на завод № 240 для устранения дефектов перед сдачей на госиспытания. Программа заводских испытаний вооружения была закончена (3377, 21).</w:t>
      </w:r>
    </w:p>
    <w:p w14:paraId="6BAF366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BC628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вышел приказ 7 ГУ N 37:</w:t>
      </w:r>
    </w:p>
    <w:p w14:paraId="3C14C9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готовности самолета ДБ-240 с 2хАМ-37 конструкции завода 240 к 1 полету назначить комиссию..." (2031,57).</w:t>
      </w:r>
    </w:p>
    <w:p w14:paraId="0483F9B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1C7DDB4" w14:textId="77777777" w:rsidR="00B12571" w:rsidRPr="00A3026E" w:rsidRDefault="00B12571" w:rsidP="00A3026E">
      <w:pPr>
        <w:spacing w:after="0" w:line="240" w:lineRule="auto"/>
        <w:jc w:val="both"/>
        <w:rPr>
          <w:rFonts w:ascii="Times New Roman" w:hAnsi="Times New Roman"/>
          <w:color w:val="0070C0"/>
          <w:sz w:val="16"/>
          <w:szCs w:val="16"/>
          <w:lang w:eastAsia="ru-RU" w:bidi="ru-RU"/>
        </w:rPr>
      </w:pPr>
      <w:r w:rsidRPr="00A3026E">
        <w:rPr>
          <w:rFonts w:ascii="Times New Roman" w:hAnsi="Times New Roman"/>
          <w:color w:val="0070C0"/>
          <w:sz w:val="16"/>
          <w:szCs w:val="16"/>
          <w:lang w:eastAsia="ru-RU" w:bidi="ru-RU"/>
        </w:rPr>
        <w:t>С 16 по 23 сентября 1940 года произво</w:t>
      </w:r>
      <w:r w:rsidRPr="00A3026E">
        <w:rPr>
          <w:rFonts w:ascii="Times New Roman" w:hAnsi="Times New Roman"/>
          <w:color w:val="0070C0"/>
          <w:sz w:val="16"/>
          <w:szCs w:val="16"/>
          <w:lang w:eastAsia="ru-RU" w:bidi="ru-RU"/>
        </w:rPr>
        <w:softHyphen/>
        <w:t>дилась подвеска и сбрасывание на земле корпусов бомб ФАБ-100, отработка на земле ВАП-500 на самолете ДБ-240. Выполнено пять полетов на растряску и сброс корпусов бомб ФАБ-100 и распыление нейтральной жидкости из ВАП-500. 19 сентября дали течь два бензобака. Самолет перегнан на завод № 240 для устранения дефектов перед сдачей на госиспытания. Программа заводских ис</w:t>
      </w:r>
      <w:r w:rsidRPr="00A3026E">
        <w:rPr>
          <w:rFonts w:ascii="Times New Roman" w:hAnsi="Times New Roman"/>
          <w:color w:val="0070C0"/>
          <w:sz w:val="16"/>
          <w:szCs w:val="16"/>
          <w:lang w:eastAsia="ru-RU" w:bidi="ru-RU"/>
        </w:rPr>
        <w:softHyphen/>
        <w:t>пытаний вооружения на этом была законче</w:t>
      </w:r>
      <w:r w:rsidRPr="00A3026E">
        <w:rPr>
          <w:rFonts w:ascii="Times New Roman" w:hAnsi="Times New Roman"/>
          <w:color w:val="0070C0"/>
          <w:sz w:val="16"/>
          <w:szCs w:val="16"/>
          <w:lang w:eastAsia="ru-RU" w:bidi="ru-RU"/>
        </w:rPr>
        <w:softHyphen/>
        <w:t>на (21406).</w:t>
      </w:r>
    </w:p>
    <w:p w14:paraId="2B91103E" w14:textId="77777777" w:rsidR="00B12571" w:rsidRPr="00A3026E" w:rsidRDefault="00B12571" w:rsidP="00A3026E">
      <w:pPr>
        <w:spacing w:after="0" w:line="240" w:lineRule="auto"/>
        <w:jc w:val="both"/>
        <w:rPr>
          <w:rFonts w:ascii="Times New Roman" w:hAnsi="Times New Roman"/>
          <w:color w:val="0070C0"/>
          <w:sz w:val="16"/>
          <w:szCs w:val="16"/>
        </w:rPr>
      </w:pPr>
    </w:p>
    <w:p w14:paraId="56109C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контролер Вахрушев - представитель КО СНК СССР - в журнале Учета выполнения постановлени правительства в отношении постановления КО N 275сс 1940 “О внедрении в серийное производство самолетов “100” в варианте ПБ” отметил:</w:t>
      </w:r>
    </w:p>
    <w:p w14:paraId="564746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сентября Гл. Контролем произведена проверка хода выполнения Постановления КО на заводах №№ 22 и 39.</w:t>
      </w:r>
    </w:p>
    <w:p w14:paraId="075DE6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Составлен доклад на имя т. К.Е.В. и направлен в КО 16 сентября 1940</w:t>
      </w:r>
    </w:p>
    <w:p w14:paraId="384E74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Проверка установила неудовлетворительный ход подготовки, оснастки и организации производства на заводах №№ 22 и 39</w:t>
      </w:r>
    </w:p>
    <w:p w14:paraId="34E7C4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предложениях Главного контроля КО требует от НКАП - т. Шахурина принять решительные меры, обеспечивающие выполнение постановления КО (10395).</w:t>
      </w:r>
    </w:p>
    <w:p w14:paraId="3A652D0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67E42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16 сентября по 25 сентября Экземпляр № 1 И-200 АМ-35А – гл. конструктор Микоян проходит заводские испытания. За время испытаний произведен один полет для проверки работы подвесных бензобаков в полете.</w:t>
      </w:r>
    </w:p>
    <w:p w14:paraId="44DAA4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полете произошел обрыв (потеря) обоих подвесных баков в местах их подвески.</w:t>
      </w:r>
    </w:p>
    <w:p w14:paraId="12DD80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на самолете происходило испытание заполнения бензобаков нейтральными выхлопными газами. Результат заполнения удовлетворительный, количество газов достаточное против взрыва (3377, 21).</w:t>
      </w:r>
    </w:p>
    <w:p w14:paraId="568746E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EB7B1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Секр. Совета по Оборонной промышленности И.Семичастнов писал письмо N 517/соп в НОКО С.К. Тимошенко и НКАП А.И.Ш. в сопровождение справки о целесообразности организации серийного производства ОКО-6 (1296,275).</w:t>
      </w:r>
    </w:p>
    <w:p w14:paraId="0830EE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А.Репин писал Н.А.Вознесенскому о целесообразности организации серийного производства ОКО-6 Таирова и предложил проект соответствующего постановления КО с повестки дня снять из-за недостаточной скорости дальности (1296,273).</w:t>
      </w:r>
    </w:p>
    <w:p w14:paraId="583FEF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ВОЗНЕСЕНСКОМУ Н.А.</w:t>
      </w:r>
    </w:p>
    <w:p w14:paraId="27E17C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СЕКРЕТНО</w:t>
      </w:r>
    </w:p>
    <w:p w14:paraId="1061C4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целесоообразности организации серийного производства самолетов "ОКО-6".</w:t>
      </w:r>
    </w:p>
    <w:p w14:paraId="11C546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от 29.УП.39 г. за № 253сс Главному конструктору завода № 43 в Киеве т. Таирову было поручено построить 2 экз. опытного одноместного 2-х моторного истребителя. Срок изготовления: первого экземпляра - октябрь 1939 г. второго экземпляра - декабрь 1939 г.</w:t>
      </w:r>
    </w:p>
    <w:p w14:paraId="5828AD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Первый экземпляр ОКО-6 был изготовлен в декабре 1939г. и к 8.6.1940 г. прошел первый этап заводских испьтаний.</w:t>
      </w:r>
    </w:p>
    <w:p w14:paraId="2B8D75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заводских испытаниях-были получены следующие данные: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666"/>
        <w:gridCol w:w="1939"/>
        <w:gridCol w:w="1306"/>
      </w:tblGrid>
      <w:tr w:rsidR="00983732" w:rsidRPr="00A3026E" w14:paraId="1DBD3E95" w14:textId="77777777" w:rsidTr="00EA0DA7">
        <w:trPr>
          <w:trHeight w:val="557"/>
        </w:trPr>
        <w:tc>
          <w:tcPr>
            <w:tcW w:w="4666" w:type="dxa"/>
            <w:tcBorders>
              <w:top w:val="single" w:sz="12" w:space="0" w:color="auto"/>
            </w:tcBorders>
          </w:tcPr>
          <w:p w14:paraId="6CE2C7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Элементы характеристики самолета</w:t>
            </w:r>
          </w:p>
        </w:tc>
        <w:tc>
          <w:tcPr>
            <w:tcW w:w="1939" w:type="dxa"/>
            <w:tcBorders>
              <w:top w:val="single" w:sz="12" w:space="0" w:color="auto"/>
            </w:tcBorders>
          </w:tcPr>
          <w:p w14:paraId="5305FB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получен</w:t>
            </w:r>
            <w:r w:rsidRPr="00A3026E">
              <w:rPr>
                <w:rFonts w:ascii="Times New Roman" w:hAnsi="Times New Roman"/>
                <w:color w:val="000000" w:themeColor="text1"/>
                <w:sz w:val="16"/>
                <w:szCs w:val="16"/>
              </w:rPr>
              <w:softHyphen/>
              <w:t>ные при заводских испытан.</w:t>
            </w:r>
          </w:p>
        </w:tc>
        <w:tc>
          <w:tcPr>
            <w:tcW w:w="1306" w:type="dxa"/>
            <w:tcBorders>
              <w:top w:val="single" w:sz="12" w:space="0" w:color="auto"/>
            </w:tcBorders>
          </w:tcPr>
          <w:p w14:paraId="278B15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 постановлению К.О.</w:t>
            </w:r>
          </w:p>
        </w:tc>
      </w:tr>
      <w:tr w:rsidR="00983732" w:rsidRPr="00A3026E" w14:paraId="6CFD9BA8" w14:textId="77777777" w:rsidTr="00EA0DA7">
        <w:trPr>
          <w:trHeight w:val="221"/>
        </w:trPr>
        <w:tc>
          <w:tcPr>
            <w:tcW w:w="4666" w:type="dxa"/>
          </w:tcPr>
          <w:p w14:paraId="0016AD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Максимальная горизонтальная скорость у земли</w:t>
            </w:r>
          </w:p>
        </w:tc>
        <w:tc>
          <w:tcPr>
            <w:tcW w:w="1939" w:type="dxa"/>
          </w:tcPr>
          <w:p w14:paraId="010BCD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488км/ч.</w:t>
            </w:r>
          </w:p>
        </w:tc>
        <w:tc>
          <w:tcPr>
            <w:tcW w:w="1306" w:type="dxa"/>
          </w:tcPr>
          <w:p w14:paraId="3CE65F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6EB1B2E" w14:textId="77777777" w:rsidTr="00EA0DA7">
        <w:trPr>
          <w:trHeight w:val="374"/>
        </w:trPr>
        <w:tc>
          <w:tcPr>
            <w:tcW w:w="4666" w:type="dxa"/>
          </w:tcPr>
          <w:p w14:paraId="58497F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Максимальная горизонт. </w:t>
            </w:r>
          </w:p>
        </w:tc>
        <w:tc>
          <w:tcPr>
            <w:tcW w:w="1939" w:type="dxa"/>
          </w:tcPr>
          <w:p w14:paraId="16A896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567,5 км/ч</w:t>
            </w:r>
          </w:p>
        </w:tc>
        <w:tc>
          <w:tcPr>
            <w:tcW w:w="1306" w:type="dxa"/>
          </w:tcPr>
          <w:p w14:paraId="5C93A3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600-650 км/ч</w:t>
            </w:r>
          </w:p>
        </w:tc>
      </w:tr>
      <w:tr w:rsidR="00983732" w:rsidRPr="00A3026E" w14:paraId="4AF50141" w14:textId="77777777" w:rsidTr="00EA0DA7">
        <w:trPr>
          <w:trHeight w:val="163"/>
        </w:trPr>
        <w:tc>
          <w:tcPr>
            <w:tcW w:w="4666" w:type="dxa"/>
          </w:tcPr>
          <w:p w14:paraId="247E85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на расчетной высоте</w:t>
            </w:r>
          </w:p>
        </w:tc>
        <w:tc>
          <w:tcPr>
            <w:tcW w:w="1939" w:type="dxa"/>
          </w:tcPr>
          <w:p w14:paraId="24CFD9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7550м</w:t>
            </w:r>
          </w:p>
        </w:tc>
        <w:tc>
          <w:tcPr>
            <w:tcW w:w="1306" w:type="dxa"/>
          </w:tcPr>
          <w:p w14:paraId="54EAB3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6000-7000м.</w:t>
            </w:r>
          </w:p>
        </w:tc>
      </w:tr>
      <w:tr w:rsidR="00983732" w:rsidRPr="00A3026E" w14:paraId="4BD3AC5B" w14:textId="77777777" w:rsidTr="00EA0DA7">
        <w:trPr>
          <w:trHeight w:val="230"/>
        </w:trPr>
        <w:tc>
          <w:tcPr>
            <w:tcW w:w="4666" w:type="dxa"/>
          </w:tcPr>
          <w:p w14:paraId="343DE6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Время под"ема на 5000м. </w:t>
            </w:r>
          </w:p>
        </w:tc>
        <w:tc>
          <w:tcPr>
            <w:tcW w:w="1939" w:type="dxa"/>
          </w:tcPr>
          <w:p w14:paraId="45C40F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5,5м.</w:t>
            </w:r>
          </w:p>
        </w:tc>
        <w:tc>
          <w:tcPr>
            <w:tcW w:w="1306" w:type="dxa"/>
          </w:tcPr>
          <w:p w14:paraId="0D9C9A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 м.</w:t>
            </w:r>
          </w:p>
        </w:tc>
      </w:tr>
      <w:tr w:rsidR="00983732" w:rsidRPr="00A3026E" w14:paraId="51211026" w14:textId="77777777" w:rsidTr="00EA0DA7">
        <w:trPr>
          <w:trHeight w:val="250"/>
        </w:trPr>
        <w:tc>
          <w:tcPr>
            <w:tcW w:w="4666" w:type="dxa"/>
          </w:tcPr>
          <w:p w14:paraId="1287EA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Практический потолок</w:t>
            </w:r>
          </w:p>
        </w:tc>
        <w:tc>
          <w:tcPr>
            <w:tcW w:w="1939" w:type="dxa"/>
          </w:tcPr>
          <w:p w14:paraId="032E1A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11100 м</w:t>
            </w:r>
          </w:p>
        </w:tc>
        <w:tc>
          <w:tcPr>
            <w:tcW w:w="1306" w:type="dxa"/>
          </w:tcPr>
          <w:p w14:paraId="1AC34B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12000м</w:t>
            </w:r>
          </w:p>
        </w:tc>
      </w:tr>
      <w:tr w:rsidR="00983732" w:rsidRPr="00A3026E" w14:paraId="4F5AAEAC" w14:textId="77777777" w:rsidTr="00EA0DA7">
        <w:trPr>
          <w:trHeight w:val="259"/>
        </w:trPr>
        <w:tc>
          <w:tcPr>
            <w:tcW w:w="4666" w:type="dxa"/>
          </w:tcPr>
          <w:p w14:paraId="7C7567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Посадочная скорость</w:t>
            </w:r>
          </w:p>
        </w:tc>
        <w:tc>
          <w:tcPr>
            <w:tcW w:w="1939" w:type="dxa"/>
          </w:tcPr>
          <w:p w14:paraId="3F1B45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150км/ч.</w:t>
            </w:r>
          </w:p>
        </w:tc>
        <w:tc>
          <w:tcPr>
            <w:tcW w:w="1306" w:type="dxa"/>
          </w:tcPr>
          <w:p w14:paraId="144C54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110-120 км/час</w:t>
            </w:r>
          </w:p>
        </w:tc>
      </w:tr>
      <w:tr w:rsidR="00983732" w:rsidRPr="00A3026E" w14:paraId="06440A7D" w14:textId="77777777" w:rsidTr="00EA0DA7">
        <w:trPr>
          <w:trHeight w:val="240"/>
        </w:trPr>
        <w:tc>
          <w:tcPr>
            <w:tcW w:w="4666" w:type="dxa"/>
          </w:tcPr>
          <w:p w14:paraId="64EBCD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Дальность на 0,9 максим. скорости</w:t>
            </w:r>
          </w:p>
        </w:tc>
        <w:tc>
          <w:tcPr>
            <w:tcW w:w="1939" w:type="dxa"/>
          </w:tcPr>
          <w:p w14:paraId="452B4F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 км.</w:t>
            </w:r>
          </w:p>
        </w:tc>
        <w:tc>
          <w:tcPr>
            <w:tcW w:w="1306" w:type="dxa"/>
          </w:tcPr>
          <w:p w14:paraId="2999A4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 в норм. варианте</w:t>
            </w:r>
          </w:p>
        </w:tc>
      </w:tr>
      <w:tr w:rsidR="00983732" w:rsidRPr="00A3026E" w14:paraId="1773F699" w14:textId="77777777" w:rsidTr="00EA0DA7">
        <w:trPr>
          <w:trHeight w:val="192"/>
        </w:trPr>
        <w:tc>
          <w:tcPr>
            <w:tcW w:w="4666" w:type="dxa"/>
          </w:tcPr>
          <w:p w14:paraId="7B530A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tcPr>
          <w:p w14:paraId="3BC471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06" w:type="dxa"/>
          </w:tcPr>
          <w:p w14:paraId="7A39D3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1250 в пе регрузочн. варианте.</w:t>
            </w:r>
          </w:p>
        </w:tc>
      </w:tr>
      <w:tr w:rsidR="00983732" w:rsidRPr="00A3026E" w14:paraId="35CB260C" w14:textId="77777777" w:rsidTr="00EA0DA7">
        <w:trPr>
          <w:trHeight w:val="163"/>
        </w:trPr>
        <w:tc>
          <w:tcPr>
            <w:tcW w:w="4666" w:type="dxa"/>
          </w:tcPr>
          <w:p w14:paraId="56C813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Вооружение</w:t>
            </w:r>
          </w:p>
        </w:tc>
        <w:tc>
          <w:tcPr>
            <w:tcW w:w="1939" w:type="dxa"/>
          </w:tcPr>
          <w:p w14:paraId="549E90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пушки Швак</w:t>
            </w:r>
          </w:p>
        </w:tc>
        <w:tc>
          <w:tcPr>
            <w:tcW w:w="1306" w:type="dxa"/>
          </w:tcPr>
          <w:p w14:paraId="622B64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пушки Швак</w:t>
            </w:r>
          </w:p>
        </w:tc>
      </w:tr>
      <w:tr w:rsidR="00983732" w:rsidRPr="00A3026E" w14:paraId="20F1FDDF" w14:textId="77777777" w:rsidTr="00EA0DA7">
        <w:trPr>
          <w:trHeight w:val="173"/>
        </w:trPr>
        <w:tc>
          <w:tcPr>
            <w:tcW w:w="4666" w:type="dxa"/>
          </w:tcPr>
          <w:p w14:paraId="4D7F67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tcPr>
          <w:p w14:paraId="2BAB30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емкостью до 1000шт. Снарядов.</w:t>
            </w:r>
          </w:p>
          <w:p w14:paraId="616E4A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06" w:type="dxa"/>
          </w:tcPr>
          <w:p w14:paraId="5F3575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емкостью до 1000шт. Снарядов.</w:t>
            </w:r>
          </w:p>
        </w:tc>
      </w:tr>
      <w:tr w:rsidR="00983732" w:rsidRPr="00A3026E" w14:paraId="69915B24" w14:textId="77777777" w:rsidTr="00EA0DA7">
        <w:trPr>
          <w:trHeight w:val="202"/>
        </w:trPr>
        <w:tc>
          <w:tcPr>
            <w:tcW w:w="4666" w:type="dxa"/>
            <w:tcBorders>
              <w:bottom w:val="single" w:sz="12" w:space="0" w:color="auto"/>
            </w:tcBorders>
          </w:tcPr>
          <w:p w14:paraId="7EA508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tcBorders>
              <w:bottom w:val="single" w:sz="12" w:space="0" w:color="auto"/>
            </w:tcBorders>
          </w:tcPr>
          <w:p w14:paraId="1C3CB6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306" w:type="dxa"/>
            <w:tcBorders>
              <w:bottom w:val="single" w:sz="12" w:space="0" w:color="auto"/>
            </w:tcBorders>
          </w:tcPr>
          <w:p w14:paraId="603843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РС82</w:t>
            </w:r>
          </w:p>
        </w:tc>
      </w:tr>
    </w:tbl>
    <w:p w14:paraId="086261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заводских испытаниях были выявлены следующие основные дефектыс</w:t>
      </w:r>
    </w:p>
    <w:p w14:paraId="414ADF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Неустойчивость самолета на режиме под"ема и виража и недостаточная устойчивость на других режимах.</w:t>
      </w:r>
    </w:p>
    <w:p w14:paraId="707C6C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Склонность самолета к развороту на разбеге и пробеге.</w:t>
      </w:r>
    </w:p>
    <w:p w14:paraId="705C0E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Недоработянность конструкции костыля, который неоднократно складывался на рулежках и пробегах.</w:t>
      </w:r>
    </w:p>
    <w:p w14:paraId="16AD91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23 августа 1940 г. самолез находится на заводе № 81, где устранялись замеченные дефекты. В настоящее время самолет находите; в ЦАГИ для продолжения заводских испытаний.</w:t>
      </w:r>
    </w:p>
    <w:p w14:paraId="1BC5AA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Втооой экземпляр ОКО-6 еще не изготовлен (срок декабпь 1339г.).</w:t>
      </w:r>
    </w:p>
    <w:p w14:paraId="093B9C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Ожидаемый срок готовности - октябрь 1910 г.</w:t>
      </w:r>
    </w:p>
    <w:p w14:paraId="4EFCD4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546858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 и доводка самолета ОКО-6 сильно затянулись. Полученная максимальная скорость (567км/ч.) ниже максимальных скоростей, современных аналогичных заграничных машин.</w:t>
      </w:r>
    </w:p>
    <w:p w14:paraId="42069D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Полученная далъность 700 км безусловно недостаточна дм истребителя сопровождения (радиус действия около 300км.). Скоропод"емнсстъ и потолок ниже запроектированных.Самолет до сих пор не доведен до удовлетворительного состояния.Запуск такого само</w:t>
      </w:r>
      <w:r w:rsidRPr="00A3026E">
        <w:rPr>
          <w:rFonts w:ascii="Times New Roman" w:hAnsi="Times New Roman"/>
          <w:color w:val="000000" w:themeColor="text1"/>
          <w:sz w:val="16"/>
          <w:szCs w:val="16"/>
        </w:rPr>
        <w:softHyphen/>
        <w:t>лета в крупно-серл'иЕое производство считаю нецелесообразным.</w:t>
      </w:r>
    </w:p>
    <w:p w14:paraId="12CD5D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с голосования прошу снять.</w:t>
      </w:r>
    </w:p>
    <w:p w14:paraId="6B9273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А.Репин</w:t>
      </w:r>
    </w:p>
    <w:p w14:paraId="6C5B68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7.1Х-40 г.'</w:t>
      </w:r>
    </w:p>
    <w:p w14:paraId="09B7E2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Виза Вознесенского от 12 сентября:</w:t>
      </w:r>
    </w:p>
    <w:p w14:paraId="6E88BB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Ознакомить тт. Шахурина и Тимошенко (1296,273).</w:t>
      </w:r>
    </w:p>
    <w:p w14:paraId="0E8AC93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D5733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вышло постановление КО N 377 об установке радиостанции на серийные И-26 с 1 января 1941 (844).</w:t>
      </w:r>
    </w:p>
    <w:p w14:paraId="156194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16 октября</w:t>
      </w:r>
    </w:p>
    <w:p w14:paraId="5B98F12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690D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16 сентября по 12 декабря 1940 проводились заводские испытания УТИ-26-2 (65,30).</w:t>
      </w:r>
    </w:p>
    <w:p w14:paraId="7A40BC9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08FB7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16 сентября 1940 в ходе гос. испытаний УТИ-26 в НИИ ВВС, которые проходили с 29 августа по 19 сентября 1940 Кубышкин произвел полет для определения пилотажных свойств на 3000 м и отстрел оружия на автоматику. задание не было выполнено из-за ухудшения погоды. Обнаружили прострел лопастей винта. После </w:t>
      </w:r>
      <w:r w:rsidRPr="00A3026E">
        <w:rPr>
          <w:rFonts w:ascii="Times New Roman" w:hAnsi="Times New Roman"/>
          <w:color w:val="000000" w:themeColor="text1"/>
          <w:sz w:val="16"/>
          <w:szCs w:val="16"/>
        </w:rPr>
        <w:lastRenderedPageBreak/>
        <w:t>установки нового винта Кубышкин произвел пробный пилотаж и пикирование до 6000 км/час, а Стефановский произвел 2 полета на скороподъемность до 8000 м и максимальные скорости на площадках. Всего летали 2:10 (2944).</w:t>
      </w:r>
    </w:p>
    <w:p w14:paraId="448A661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C7AA8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года начальник Управления делами при наркоме обороны генерал-майор Дратвин писал письмо № 17350с начальнику ГУ ВВС генерал-лейтенанту авиации Рычагову П.В.</w:t>
      </w:r>
    </w:p>
    <w:p w14:paraId="589AD4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Препровождаю справку члена Совета оборонной промышленности Репина о нецелесообразности организации производства самолетов ОКО-6.</w:t>
      </w:r>
    </w:p>
    <w:p w14:paraId="46DFB9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Вас лично доложить этот вопрос наркому обороны (7711, 98).</w:t>
      </w:r>
    </w:p>
    <w:p w14:paraId="0FDF9D6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0A6B0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года секретарь КО М. Пугаев писал письмо № 8316/ко в НКАП Шахурину А.И.</w:t>
      </w:r>
    </w:p>
    <w:p w14:paraId="65DCFC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Сообщаю резолюцию председателя КО Ворошилова К.Е. по Вашему письму № Н-20/1985 о проектировании и постройке нового истребителя И-29 конструкции Яценко:</w:t>
      </w:r>
    </w:p>
    <w:p w14:paraId="69C848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«Шахурину А.И. Из какого материала будет делаться самолет; нельзя ли уменьшить посадочную скорость хотя бы на 15-10 км. К. Ворошилов. 13 сентября 1940 года» (4049,48).</w:t>
      </w:r>
    </w:p>
    <w:p w14:paraId="439616F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FFC8F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г., выражая мнение коллектива завода №21, ведущий инженер по самолету И-180-эталон 1941 г. Соколов обратился с предложением о возоб</w:t>
      </w:r>
      <w:r w:rsidRPr="00A3026E">
        <w:rPr>
          <w:rFonts w:ascii="Times New Roman" w:hAnsi="Times New Roman"/>
          <w:color w:val="000000" w:themeColor="text1"/>
          <w:sz w:val="16"/>
          <w:szCs w:val="16"/>
        </w:rPr>
        <w:softHyphen/>
        <w:t>новлении работ к директору В.П.Воронину, но безре</w:t>
      </w:r>
      <w:r w:rsidRPr="00A3026E">
        <w:rPr>
          <w:rFonts w:ascii="Times New Roman" w:hAnsi="Times New Roman"/>
          <w:color w:val="000000" w:themeColor="text1"/>
          <w:sz w:val="16"/>
          <w:szCs w:val="16"/>
        </w:rPr>
        <w:softHyphen/>
        <w:t>зультатно. Тогда 27 сентября он написал письмо наркому авиационной промышленности А.И.Шахурину (копия - главному конструктору самолета И-180 Н.Н.Поликарпову), в котором указывал, что решение прекратить постройку И-180 вызывает возражение по следующим соображениям. Во-первых, самолет имеет мощное вооружение, состоящее из двух обычных и двух крупнокалиберных пулеметов, шести РС-82 или четырех бомб, неплохие летные характеристики, кото</w:t>
      </w:r>
      <w:r w:rsidRPr="00A3026E">
        <w:rPr>
          <w:rFonts w:ascii="Times New Roman" w:hAnsi="Times New Roman"/>
          <w:color w:val="000000" w:themeColor="text1"/>
          <w:sz w:val="16"/>
          <w:szCs w:val="16"/>
        </w:rPr>
        <w:softHyphen/>
        <w:t>рые могут быть повышены за счет лучшей внешней отделки самолета, отладки механизма уборки костыля -максимальная скорость 600 км/ч вместо 571 км/ч у об</w:t>
      </w:r>
      <w:r w:rsidRPr="00A3026E">
        <w:rPr>
          <w:rFonts w:ascii="Times New Roman" w:hAnsi="Times New Roman"/>
          <w:color w:val="000000" w:themeColor="text1"/>
          <w:sz w:val="16"/>
          <w:szCs w:val="16"/>
        </w:rPr>
        <w:softHyphen/>
        <w:t>разца. Во-вторых, самолет имеет неплохую устойчи</w:t>
      </w:r>
      <w:r w:rsidRPr="00A3026E">
        <w:rPr>
          <w:rFonts w:ascii="Times New Roman" w:hAnsi="Times New Roman"/>
          <w:color w:val="000000" w:themeColor="text1"/>
          <w:sz w:val="16"/>
          <w:szCs w:val="16"/>
        </w:rPr>
        <w:softHyphen/>
        <w:t>вость и управляемость, которая сохраняется на больших углах атаки, и высокую маневренность. Внедрение в се</w:t>
      </w:r>
      <w:r w:rsidRPr="00A3026E">
        <w:rPr>
          <w:rFonts w:ascii="Times New Roman" w:hAnsi="Times New Roman"/>
          <w:color w:val="000000" w:themeColor="text1"/>
          <w:sz w:val="16"/>
          <w:szCs w:val="16"/>
        </w:rPr>
        <w:softHyphen/>
        <w:t>рию эталона для серии позволит улучшить летные и эксплуатационные характеристики машины. Соколов обратил внимание на готовность производ</w:t>
      </w:r>
      <w:r w:rsidRPr="00A3026E">
        <w:rPr>
          <w:rFonts w:ascii="Times New Roman" w:hAnsi="Times New Roman"/>
          <w:color w:val="000000" w:themeColor="text1"/>
          <w:sz w:val="16"/>
          <w:szCs w:val="16"/>
        </w:rPr>
        <w:softHyphen/>
        <w:t>ства к серийной постройке первых трех машин И-180-эталонов 1941 г. по состоянию на 9 сентября 1940 г.:</w:t>
      </w:r>
    </w:p>
    <w:p w14:paraId="471EAA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Вся оснастка эталона 1941 г., представляющая са</w:t>
      </w:r>
      <w:r w:rsidRPr="00A3026E">
        <w:rPr>
          <w:rFonts w:ascii="Times New Roman" w:hAnsi="Times New Roman"/>
          <w:color w:val="000000" w:themeColor="text1"/>
          <w:sz w:val="16"/>
          <w:szCs w:val="16"/>
        </w:rPr>
        <w:softHyphen/>
        <w:t>мую трудоемкую работу, полностью заводом выполнена.</w:t>
      </w:r>
    </w:p>
    <w:p w14:paraId="7E90B3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Шасси 11/2 комплекта со всеми узлами крепления полностью готовы. Остальные комплекты изготовления были переданы по договору заводу №51, который обес</w:t>
      </w:r>
      <w:r w:rsidRPr="00A3026E">
        <w:rPr>
          <w:rFonts w:ascii="Times New Roman" w:hAnsi="Times New Roman"/>
          <w:color w:val="000000" w:themeColor="text1"/>
          <w:sz w:val="16"/>
          <w:szCs w:val="16"/>
        </w:rPr>
        <w:softHyphen/>
        <w:t>печивал своевременность изготовления.</w:t>
      </w:r>
    </w:p>
    <w:p w14:paraId="10504C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Центроплан: нервюры, лонжероны, узлы готовы, сборочным стапелем цех обеспечен, время на окончание работ требовалось как максимум на 10 дней.</w:t>
      </w:r>
    </w:p>
    <w:p w14:paraId="739654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Вся спецустановка (лафет с вооружением. - В.И.) находилась в производстве и обеспечивала выполнение в срок.</w:t>
      </w:r>
    </w:p>
    <w:p w14:paraId="6933CB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Крыло готово было к сборке со всей унификацией.</w:t>
      </w:r>
    </w:p>
    <w:p w14:paraId="0314A4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Штампы по бензобаку и маслобаку изготовлением закончены.</w:t>
      </w:r>
    </w:p>
    <w:p w14:paraId="49EB6F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Капот мотора: переднее кольцо с серийной маши</w:t>
      </w:r>
      <w:r w:rsidRPr="00A3026E">
        <w:rPr>
          <w:rFonts w:ascii="Times New Roman" w:hAnsi="Times New Roman"/>
          <w:color w:val="000000" w:themeColor="text1"/>
          <w:sz w:val="16"/>
          <w:szCs w:val="16"/>
        </w:rPr>
        <w:softHyphen/>
        <w:t>ны И-180 готово. Для изготовления крышек капота цех полностью обеспечен молотами.</w:t>
      </w:r>
    </w:p>
    <w:p w14:paraId="6817AB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Хвостовое оперение, управление мотором и само</w:t>
      </w:r>
      <w:r w:rsidRPr="00A3026E">
        <w:rPr>
          <w:rFonts w:ascii="Times New Roman" w:hAnsi="Times New Roman"/>
          <w:color w:val="000000" w:themeColor="text1"/>
          <w:sz w:val="16"/>
          <w:szCs w:val="16"/>
        </w:rPr>
        <w:softHyphen/>
        <w:t>летом берется с серийной машины И-180, деталей коих изготовлено достаточное количество.</w:t>
      </w:r>
    </w:p>
    <w:p w14:paraId="6F15F9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производство эталона остановлено (9-го сентября с/г) на том этапе, когда все производст</w:t>
      </w:r>
      <w:r w:rsidRPr="00A3026E">
        <w:rPr>
          <w:rFonts w:ascii="Times New Roman" w:hAnsi="Times New Roman"/>
          <w:color w:val="000000" w:themeColor="text1"/>
          <w:sz w:val="16"/>
          <w:szCs w:val="16"/>
        </w:rPr>
        <w:softHyphen/>
        <w:t>венные трудности основных цехов-изготовителей пре</w:t>
      </w:r>
      <w:r w:rsidRPr="00A3026E">
        <w:rPr>
          <w:rFonts w:ascii="Times New Roman" w:hAnsi="Times New Roman"/>
          <w:color w:val="000000" w:themeColor="text1"/>
          <w:sz w:val="16"/>
          <w:szCs w:val="16"/>
        </w:rPr>
        <w:softHyphen/>
        <w:t>одолены и производство машин вступило в фазу сборочных и монтажных работ, на что требовалось не более 1,5-2 месяцев.</w:t>
      </w:r>
    </w:p>
    <w:p w14:paraId="391976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Освоение техники производства машины с коренны</w:t>
      </w:r>
      <w:r w:rsidRPr="00A3026E">
        <w:rPr>
          <w:rFonts w:ascii="Times New Roman" w:hAnsi="Times New Roman"/>
          <w:color w:val="000000" w:themeColor="text1"/>
          <w:sz w:val="16"/>
          <w:szCs w:val="16"/>
        </w:rPr>
        <w:softHyphen/>
        <w:t>ми изменениями, улучшающими летно-тактические дан</w:t>
      </w:r>
      <w:r w:rsidRPr="00A3026E">
        <w:rPr>
          <w:rFonts w:ascii="Times New Roman" w:hAnsi="Times New Roman"/>
          <w:color w:val="000000" w:themeColor="text1"/>
          <w:sz w:val="16"/>
          <w:szCs w:val="16"/>
        </w:rPr>
        <w:softHyphen/>
        <w:t>ные ее, потребовали колоссального напряжения всего коллектива завода, а потому ходатайствую перед Нарко</w:t>
      </w:r>
      <w:r w:rsidRPr="00A3026E">
        <w:rPr>
          <w:rFonts w:ascii="Times New Roman" w:hAnsi="Times New Roman"/>
          <w:color w:val="000000" w:themeColor="text1"/>
          <w:sz w:val="16"/>
          <w:szCs w:val="16"/>
        </w:rPr>
        <w:softHyphen/>
        <w:t>матом Авиапромышленности о разрешении возобно</w:t>
      </w:r>
      <w:r w:rsidRPr="00A3026E">
        <w:rPr>
          <w:rFonts w:ascii="Times New Roman" w:hAnsi="Times New Roman"/>
          <w:color w:val="000000" w:themeColor="text1"/>
          <w:sz w:val="16"/>
          <w:szCs w:val="16"/>
        </w:rPr>
        <w:softHyphen/>
        <w:t>вить работы по трем опытным машинам, по коим можно будет судить о возможности запуска ее в серию в 1941 го</w:t>
      </w:r>
      <w:r w:rsidRPr="00A3026E">
        <w:rPr>
          <w:rFonts w:ascii="Times New Roman" w:hAnsi="Times New Roman"/>
          <w:color w:val="000000" w:themeColor="text1"/>
          <w:sz w:val="16"/>
          <w:szCs w:val="16"/>
        </w:rPr>
        <w:softHyphen/>
        <w:t>ду».</w:t>
      </w:r>
    </w:p>
    <w:p w14:paraId="20DCA1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ответа на письмо не последовало...(10667).</w:t>
      </w:r>
    </w:p>
    <w:p w14:paraId="4B34F4B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99C3D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года. 8 гл. управление НКАП подготовило Ведомость моторов М-120 необходимых для опытных самолетов (2090,181).</w:t>
      </w:r>
    </w:p>
    <w:p w14:paraId="09E608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Ведомость</w:t>
      </w:r>
    </w:p>
    <w:p w14:paraId="58D591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моторов М120 необходимых для опытных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8"/>
        <w:gridCol w:w="958"/>
        <w:gridCol w:w="958"/>
        <w:gridCol w:w="958"/>
        <w:gridCol w:w="958"/>
        <w:gridCol w:w="958"/>
        <w:gridCol w:w="958"/>
        <w:gridCol w:w="958"/>
        <w:gridCol w:w="958"/>
        <w:gridCol w:w="958"/>
        <w:gridCol w:w="958"/>
      </w:tblGrid>
      <w:tr w:rsidR="00983732" w:rsidRPr="00A3026E" w14:paraId="4D680616" w14:textId="77777777" w:rsidTr="00EA0DA7">
        <w:tc>
          <w:tcPr>
            <w:tcW w:w="958" w:type="dxa"/>
            <w:tcBorders>
              <w:top w:val="single" w:sz="12" w:space="0" w:color="auto"/>
            </w:tcBorders>
          </w:tcPr>
          <w:p w14:paraId="14482A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w:t>
            </w:r>
          </w:p>
        </w:tc>
        <w:tc>
          <w:tcPr>
            <w:tcW w:w="958" w:type="dxa"/>
            <w:tcBorders>
              <w:top w:val="single" w:sz="12" w:space="0" w:color="auto"/>
            </w:tcBorders>
          </w:tcPr>
          <w:p w14:paraId="2F9F3B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w:t>
            </w:r>
          </w:p>
        </w:tc>
        <w:tc>
          <w:tcPr>
            <w:tcW w:w="958" w:type="dxa"/>
            <w:tcBorders>
              <w:top w:val="single" w:sz="12" w:space="0" w:color="auto"/>
            </w:tcBorders>
          </w:tcPr>
          <w:p w14:paraId="0AB161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w:t>
            </w:r>
          </w:p>
        </w:tc>
        <w:tc>
          <w:tcPr>
            <w:tcW w:w="958" w:type="dxa"/>
            <w:tcBorders>
              <w:top w:val="single" w:sz="12" w:space="0" w:color="auto"/>
            </w:tcBorders>
          </w:tcPr>
          <w:p w14:paraId="51E4A5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w:t>
            </w:r>
          </w:p>
        </w:tc>
        <w:tc>
          <w:tcPr>
            <w:tcW w:w="958" w:type="dxa"/>
            <w:tcBorders>
              <w:top w:val="single" w:sz="12" w:space="0" w:color="auto"/>
            </w:tcBorders>
          </w:tcPr>
          <w:p w14:paraId="4BAC57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Макетн.</w:t>
            </w:r>
          </w:p>
        </w:tc>
        <w:tc>
          <w:tcPr>
            <w:tcW w:w="958" w:type="dxa"/>
            <w:tcBorders>
              <w:top w:val="single" w:sz="12" w:space="0" w:color="auto"/>
            </w:tcBorders>
          </w:tcPr>
          <w:p w14:paraId="2DAFC10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Borders>
              <w:top w:val="single" w:sz="12" w:space="0" w:color="auto"/>
            </w:tcBorders>
          </w:tcPr>
          <w:p w14:paraId="4A8C5C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Летный</w:t>
            </w:r>
          </w:p>
        </w:tc>
        <w:tc>
          <w:tcPr>
            <w:tcW w:w="958" w:type="dxa"/>
            <w:tcBorders>
              <w:top w:val="single" w:sz="12" w:space="0" w:color="auto"/>
            </w:tcBorders>
          </w:tcPr>
          <w:p w14:paraId="05C6184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Borders>
              <w:top w:val="single" w:sz="12" w:space="0" w:color="auto"/>
            </w:tcBorders>
          </w:tcPr>
          <w:p w14:paraId="1B9E64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Резервн.</w:t>
            </w:r>
          </w:p>
        </w:tc>
        <w:tc>
          <w:tcPr>
            <w:tcW w:w="958" w:type="dxa"/>
            <w:tcBorders>
              <w:top w:val="single" w:sz="12" w:space="0" w:color="auto"/>
            </w:tcBorders>
          </w:tcPr>
          <w:p w14:paraId="267B28F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Borders>
              <w:top w:val="single" w:sz="12" w:space="0" w:color="auto"/>
            </w:tcBorders>
          </w:tcPr>
          <w:p w14:paraId="5DDEF4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w:t>
            </w:r>
          </w:p>
        </w:tc>
      </w:tr>
      <w:tr w:rsidR="00983732" w:rsidRPr="00A3026E" w14:paraId="688D2B06" w14:textId="77777777" w:rsidTr="00EA0DA7">
        <w:tc>
          <w:tcPr>
            <w:tcW w:w="958" w:type="dxa"/>
          </w:tcPr>
          <w:p w14:paraId="2ABE64D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652F66B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6683854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5E9D64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w:t>
            </w:r>
          </w:p>
        </w:tc>
        <w:tc>
          <w:tcPr>
            <w:tcW w:w="958" w:type="dxa"/>
          </w:tcPr>
          <w:p w14:paraId="57306B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w:t>
            </w:r>
          </w:p>
        </w:tc>
        <w:tc>
          <w:tcPr>
            <w:tcW w:w="958" w:type="dxa"/>
          </w:tcPr>
          <w:p w14:paraId="779350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w:t>
            </w:r>
          </w:p>
        </w:tc>
        <w:tc>
          <w:tcPr>
            <w:tcW w:w="958" w:type="dxa"/>
          </w:tcPr>
          <w:p w14:paraId="6995AB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w:t>
            </w:r>
          </w:p>
        </w:tc>
        <w:tc>
          <w:tcPr>
            <w:tcW w:w="958" w:type="dxa"/>
          </w:tcPr>
          <w:p w14:paraId="2DD21E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w:t>
            </w:r>
          </w:p>
        </w:tc>
        <w:tc>
          <w:tcPr>
            <w:tcW w:w="958" w:type="dxa"/>
          </w:tcPr>
          <w:p w14:paraId="70E5F9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w:t>
            </w:r>
          </w:p>
        </w:tc>
        <w:tc>
          <w:tcPr>
            <w:tcW w:w="958" w:type="dxa"/>
          </w:tcPr>
          <w:p w14:paraId="41A10B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w:t>
            </w:r>
          </w:p>
        </w:tc>
        <w:tc>
          <w:tcPr>
            <w:tcW w:w="958" w:type="dxa"/>
          </w:tcPr>
          <w:p w14:paraId="5A46C8A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7FE2271" w14:textId="77777777" w:rsidTr="00EA0DA7">
        <w:tc>
          <w:tcPr>
            <w:tcW w:w="958" w:type="dxa"/>
          </w:tcPr>
          <w:p w14:paraId="0AB87C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N 39</w:t>
            </w:r>
          </w:p>
        </w:tc>
        <w:tc>
          <w:tcPr>
            <w:tcW w:w="958" w:type="dxa"/>
          </w:tcPr>
          <w:p w14:paraId="6288E1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w:t>
            </w:r>
          </w:p>
        </w:tc>
        <w:tc>
          <w:tcPr>
            <w:tcW w:w="958" w:type="dxa"/>
          </w:tcPr>
          <w:p w14:paraId="384AFD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ДБ-4</w:t>
            </w:r>
          </w:p>
        </w:tc>
        <w:tc>
          <w:tcPr>
            <w:tcW w:w="958" w:type="dxa"/>
          </w:tcPr>
          <w:p w14:paraId="2FFCCE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958" w:type="dxa"/>
          </w:tcPr>
          <w:p w14:paraId="107EAD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58" w:type="dxa"/>
          </w:tcPr>
          <w:p w14:paraId="66D00B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есть</w:t>
            </w:r>
          </w:p>
        </w:tc>
        <w:tc>
          <w:tcPr>
            <w:tcW w:w="958" w:type="dxa"/>
          </w:tcPr>
          <w:p w14:paraId="56679C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958" w:type="dxa"/>
          </w:tcPr>
          <w:p w14:paraId="5FE34D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w:t>
            </w:r>
          </w:p>
        </w:tc>
        <w:tc>
          <w:tcPr>
            <w:tcW w:w="958" w:type="dxa"/>
          </w:tcPr>
          <w:p w14:paraId="2E279F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958" w:type="dxa"/>
          </w:tcPr>
          <w:p w14:paraId="4117CC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w:t>
            </w:r>
          </w:p>
        </w:tc>
        <w:tc>
          <w:tcPr>
            <w:tcW w:w="958" w:type="dxa"/>
          </w:tcPr>
          <w:p w14:paraId="490C4D4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283B2D2" w14:textId="77777777" w:rsidTr="00EA0DA7">
        <w:tc>
          <w:tcPr>
            <w:tcW w:w="958" w:type="dxa"/>
          </w:tcPr>
          <w:p w14:paraId="6B7C2DF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15FCC37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1CE25DA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332FB1D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47C5C38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08EB87D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4EC5E1A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186E61C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5DAA5C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данное</w:t>
            </w:r>
          </w:p>
        </w:tc>
        <w:tc>
          <w:tcPr>
            <w:tcW w:w="958" w:type="dxa"/>
          </w:tcPr>
          <w:p w14:paraId="6BBD871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60F42D8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48EEEDD" w14:textId="77777777" w:rsidTr="00EA0DA7">
        <w:tc>
          <w:tcPr>
            <w:tcW w:w="958" w:type="dxa"/>
          </w:tcPr>
          <w:p w14:paraId="616FD1C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19D038B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641D2B8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4E1CEDA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46D7192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44ECF16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50F6603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16D5659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13A601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w:t>
            </w:r>
          </w:p>
        </w:tc>
        <w:tc>
          <w:tcPr>
            <w:tcW w:w="958" w:type="dxa"/>
          </w:tcPr>
          <w:p w14:paraId="6290C02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662996E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E12582B" w14:textId="77777777" w:rsidTr="00EA0DA7">
        <w:tc>
          <w:tcPr>
            <w:tcW w:w="958" w:type="dxa"/>
          </w:tcPr>
          <w:p w14:paraId="5A6E71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N 156</w:t>
            </w:r>
          </w:p>
        </w:tc>
        <w:tc>
          <w:tcPr>
            <w:tcW w:w="958" w:type="dxa"/>
          </w:tcPr>
          <w:p w14:paraId="59F3AE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Отдел N 29</w:t>
            </w:r>
          </w:p>
        </w:tc>
        <w:tc>
          <w:tcPr>
            <w:tcW w:w="958" w:type="dxa"/>
          </w:tcPr>
          <w:p w14:paraId="7470C5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w:t>
            </w:r>
          </w:p>
        </w:tc>
        <w:tc>
          <w:tcPr>
            <w:tcW w:w="958" w:type="dxa"/>
          </w:tcPr>
          <w:p w14:paraId="255E9A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958" w:type="dxa"/>
          </w:tcPr>
          <w:p w14:paraId="394BE6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958" w:type="dxa"/>
          </w:tcPr>
          <w:p w14:paraId="2FCE79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w:t>
            </w:r>
          </w:p>
        </w:tc>
        <w:tc>
          <w:tcPr>
            <w:tcW w:w="958" w:type="dxa"/>
          </w:tcPr>
          <w:p w14:paraId="1F2579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958" w:type="dxa"/>
          </w:tcPr>
          <w:p w14:paraId="7BAABE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нояб.</w:t>
            </w:r>
          </w:p>
        </w:tc>
        <w:tc>
          <w:tcPr>
            <w:tcW w:w="958" w:type="dxa"/>
          </w:tcPr>
          <w:p w14:paraId="6050E0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958" w:type="dxa"/>
          </w:tcPr>
          <w:p w14:paraId="19AF83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нояб.</w:t>
            </w:r>
          </w:p>
        </w:tc>
        <w:tc>
          <w:tcPr>
            <w:tcW w:w="958" w:type="dxa"/>
          </w:tcPr>
          <w:p w14:paraId="7D6105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з-да 156 моторы</w:t>
            </w:r>
          </w:p>
        </w:tc>
      </w:tr>
      <w:tr w:rsidR="00983732" w:rsidRPr="00A3026E" w14:paraId="4EA869A7" w14:textId="77777777" w:rsidTr="00EA0DA7">
        <w:tc>
          <w:tcPr>
            <w:tcW w:w="958" w:type="dxa"/>
          </w:tcPr>
          <w:p w14:paraId="70CD11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58" w:type="dxa"/>
          </w:tcPr>
          <w:p w14:paraId="0632ED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58" w:type="dxa"/>
          </w:tcPr>
          <w:p w14:paraId="6AC0CE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58" w:type="dxa"/>
          </w:tcPr>
          <w:p w14:paraId="01CE56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w:t>
            </w:r>
          </w:p>
        </w:tc>
        <w:tc>
          <w:tcPr>
            <w:tcW w:w="958" w:type="dxa"/>
          </w:tcPr>
          <w:p w14:paraId="63DFEDC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20B10D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w:t>
            </w:r>
          </w:p>
        </w:tc>
        <w:tc>
          <w:tcPr>
            <w:tcW w:w="958" w:type="dxa"/>
          </w:tcPr>
          <w:p w14:paraId="4353AF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958" w:type="dxa"/>
          </w:tcPr>
          <w:p w14:paraId="7C816D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w:t>
            </w:r>
          </w:p>
        </w:tc>
        <w:tc>
          <w:tcPr>
            <w:tcW w:w="958" w:type="dxa"/>
          </w:tcPr>
          <w:p w14:paraId="0C4A7FE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2119C0D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740714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 поданы комплектно</w:t>
            </w:r>
          </w:p>
        </w:tc>
      </w:tr>
      <w:tr w:rsidR="00983732" w:rsidRPr="00A3026E" w14:paraId="5D3E2017" w14:textId="77777777" w:rsidTr="00EA0DA7">
        <w:tc>
          <w:tcPr>
            <w:tcW w:w="958" w:type="dxa"/>
          </w:tcPr>
          <w:p w14:paraId="2DE9F87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03EDF46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5AC5E0F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745463D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6487B9A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45E90C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стенда</w:t>
            </w:r>
          </w:p>
        </w:tc>
        <w:tc>
          <w:tcPr>
            <w:tcW w:w="958" w:type="dxa"/>
          </w:tcPr>
          <w:p w14:paraId="189976F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5274A05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5F380A9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03FA11C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2B89B6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тк.</w:t>
            </w:r>
          </w:p>
        </w:tc>
      </w:tr>
      <w:tr w:rsidR="00983732" w:rsidRPr="00A3026E" w14:paraId="6638014C" w14:textId="77777777" w:rsidTr="00EA0DA7">
        <w:tc>
          <w:tcPr>
            <w:tcW w:w="958" w:type="dxa"/>
          </w:tcPr>
          <w:p w14:paraId="3361E8D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4E2DB1A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4A054D0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4869CF7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1E4865E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5A7A94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w:t>
            </w:r>
          </w:p>
        </w:tc>
        <w:tc>
          <w:tcPr>
            <w:tcW w:w="958" w:type="dxa"/>
          </w:tcPr>
          <w:p w14:paraId="2B9FF22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321A95F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40F81AF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092F67B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7AA9FC1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5E9B809" w14:textId="77777777" w:rsidTr="00EA0DA7">
        <w:tc>
          <w:tcPr>
            <w:tcW w:w="958" w:type="dxa"/>
          </w:tcPr>
          <w:p w14:paraId="0D96BAD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6A89C79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42BA68E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04586F7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4FB81AF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64F04D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данное</w:t>
            </w:r>
          </w:p>
        </w:tc>
        <w:tc>
          <w:tcPr>
            <w:tcW w:w="958" w:type="dxa"/>
          </w:tcPr>
          <w:p w14:paraId="71C8D03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3FE8249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47D1B76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5376143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73F1FFA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E459908" w14:textId="77777777" w:rsidTr="00EA0DA7">
        <w:tc>
          <w:tcPr>
            <w:tcW w:w="958" w:type="dxa"/>
          </w:tcPr>
          <w:p w14:paraId="1245E93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1F11BD4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0697FB4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0F8FB78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177F61C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0CD6AC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w:t>
            </w:r>
          </w:p>
        </w:tc>
        <w:tc>
          <w:tcPr>
            <w:tcW w:w="958" w:type="dxa"/>
          </w:tcPr>
          <w:p w14:paraId="2299982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796F697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422DA46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6C095A8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3DE3266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F1999D3" w14:textId="77777777" w:rsidTr="00EA0DA7">
        <w:tc>
          <w:tcPr>
            <w:tcW w:w="958" w:type="dxa"/>
          </w:tcPr>
          <w:p w14:paraId="5F0CB0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58" w:type="dxa"/>
          </w:tcPr>
          <w:p w14:paraId="04E1F4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58" w:type="dxa"/>
          </w:tcPr>
          <w:p w14:paraId="6B66DF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w:t>
            </w:r>
          </w:p>
        </w:tc>
        <w:tc>
          <w:tcPr>
            <w:tcW w:w="958" w:type="dxa"/>
          </w:tcPr>
          <w:p w14:paraId="6488F4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w:t>
            </w:r>
          </w:p>
        </w:tc>
        <w:tc>
          <w:tcPr>
            <w:tcW w:w="958" w:type="dxa"/>
          </w:tcPr>
          <w:p w14:paraId="751F9F2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5928D9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есть</w:t>
            </w:r>
          </w:p>
        </w:tc>
        <w:tc>
          <w:tcPr>
            <w:tcW w:w="958" w:type="dxa"/>
          </w:tcPr>
          <w:p w14:paraId="0F1CCC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958" w:type="dxa"/>
          </w:tcPr>
          <w:p w14:paraId="5EE4DE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w:t>
            </w:r>
          </w:p>
        </w:tc>
        <w:tc>
          <w:tcPr>
            <w:tcW w:w="958" w:type="dxa"/>
          </w:tcPr>
          <w:p w14:paraId="0D40F2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958" w:type="dxa"/>
          </w:tcPr>
          <w:p w14:paraId="0FA28C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w:t>
            </w:r>
          </w:p>
        </w:tc>
        <w:tc>
          <w:tcPr>
            <w:tcW w:w="958" w:type="dxa"/>
          </w:tcPr>
          <w:p w14:paraId="6A028E4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E85260C" w14:textId="77777777" w:rsidTr="00EA0DA7">
        <w:tc>
          <w:tcPr>
            <w:tcW w:w="958" w:type="dxa"/>
          </w:tcPr>
          <w:p w14:paraId="142F37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58" w:type="dxa"/>
          </w:tcPr>
          <w:p w14:paraId="728063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58" w:type="dxa"/>
          </w:tcPr>
          <w:p w14:paraId="426F28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58" w:type="dxa"/>
          </w:tcPr>
          <w:p w14:paraId="3D7CAB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w:t>
            </w:r>
          </w:p>
        </w:tc>
        <w:tc>
          <w:tcPr>
            <w:tcW w:w="958" w:type="dxa"/>
          </w:tcPr>
          <w:p w14:paraId="72D47F9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5D30BF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58" w:type="dxa"/>
          </w:tcPr>
          <w:p w14:paraId="321ED3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958" w:type="dxa"/>
          </w:tcPr>
          <w:p w14:paraId="63B61D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данное</w:t>
            </w:r>
          </w:p>
        </w:tc>
        <w:tc>
          <w:tcPr>
            <w:tcW w:w="958" w:type="dxa"/>
          </w:tcPr>
          <w:p w14:paraId="5C8CB9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958" w:type="dxa"/>
          </w:tcPr>
          <w:p w14:paraId="1DA406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w:t>
            </w:r>
          </w:p>
        </w:tc>
        <w:tc>
          <w:tcPr>
            <w:tcW w:w="958" w:type="dxa"/>
          </w:tcPr>
          <w:p w14:paraId="3891DAD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FAAF049" w14:textId="77777777" w:rsidTr="00EA0DA7">
        <w:tc>
          <w:tcPr>
            <w:tcW w:w="958" w:type="dxa"/>
          </w:tcPr>
          <w:p w14:paraId="6511802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6B6F858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30619E6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2C07791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35BE2C3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5BB4372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2BB43A2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3C275DA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4D40C3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w:t>
            </w:r>
          </w:p>
        </w:tc>
        <w:tc>
          <w:tcPr>
            <w:tcW w:w="958" w:type="dxa"/>
          </w:tcPr>
          <w:p w14:paraId="4887E5C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2087AAA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3FA1191" w14:textId="77777777" w:rsidTr="00EA0DA7">
        <w:tc>
          <w:tcPr>
            <w:tcW w:w="958" w:type="dxa"/>
          </w:tcPr>
          <w:p w14:paraId="2BD0E0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N 30</w:t>
            </w:r>
          </w:p>
        </w:tc>
        <w:tc>
          <w:tcPr>
            <w:tcW w:w="958" w:type="dxa"/>
          </w:tcPr>
          <w:p w14:paraId="074779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Голубков</w:t>
            </w:r>
          </w:p>
        </w:tc>
        <w:tc>
          <w:tcPr>
            <w:tcW w:w="958" w:type="dxa"/>
          </w:tcPr>
          <w:p w14:paraId="5C0B2A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СРБ-30</w:t>
            </w:r>
          </w:p>
        </w:tc>
        <w:tc>
          <w:tcPr>
            <w:tcW w:w="958" w:type="dxa"/>
          </w:tcPr>
          <w:p w14:paraId="336E89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w:t>
            </w:r>
          </w:p>
        </w:tc>
        <w:tc>
          <w:tcPr>
            <w:tcW w:w="958" w:type="dxa"/>
          </w:tcPr>
          <w:p w14:paraId="32AB283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6B33A7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есть</w:t>
            </w:r>
          </w:p>
        </w:tc>
        <w:tc>
          <w:tcPr>
            <w:tcW w:w="958" w:type="dxa"/>
          </w:tcPr>
          <w:p w14:paraId="37A4C6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958" w:type="dxa"/>
          </w:tcPr>
          <w:p w14:paraId="47566A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дек.</w:t>
            </w:r>
          </w:p>
        </w:tc>
        <w:tc>
          <w:tcPr>
            <w:tcW w:w="958" w:type="dxa"/>
          </w:tcPr>
          <w:p w14:paraId="593FB3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958" w:type="dxa"/>
          </w:tcPr>
          <w:p w14:paraId="7BD110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мар. 40</w:t>
            </w:r>
          </w:p>
        </w:tc>
        <w:tc>
          <w:tcPr>
            <w:tcW w:w="958" w:type="dxa"/>
          </w:tcPr>
          <w:p w14:paraId="1E6BADD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F4CA3FA" w14:textId="77777777" w:rsidTr="00EA0DA7">
        <w:tc>
          <w:tcPr>
            <w:tcW w:w="958" w:type="dxa"/>
          </w:tcPr>
          <w:p w14:paraId="4B809B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58" w:type="dxa"/>
          </w:tcPr>
          <w:p w14:paraId="1FCA18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58" w:type="dxa"/>
          </w:tcPr>
          <w:p w14:paraId="272CBF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58" w:type="dxa"/>
          </w:tcPr>
          <w:p w14:paraId="7ABF6B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w:t>
            </w:r>
          </w:p>
        </w:tc>
        <w:tc>
          <w:tcPr>
            <w:tcW w:w="958" w:type="dxa"/>
          </w:tcPr>
          <w:p w14:paraId="1C7ED32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Pr>
          <w:p w14:paraId="4877F9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58" w:type="dxa"/>
          </w:tcPr>
          <w:p w14:paraId="3DA5DE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958" w:type="dxa"/>
          </w:tcPr>
          <w:p w14:paraId="1F5B17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янв. 41</w:t>
            </w:r>
          </w:p>
        </w:tc>
        <w:tc>
          <w:tcPr>
            <w:tcW w:w="958" w:type="dxa"/>
          </w:tcPr>
          <w:p w14:paraId="049FFA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58" w:type="dxa"/>
          </w:tcPr>
          <w:p w14:paraId="085C20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58" w:type="dxa"/>
          </w:tcPr>
          <w:p w14:paraId="516A1FA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8B994A1" w14:textId="77777777" w:rsidTr="00EA0DA7">
        <w:tc>
          <w:tcPr>
            <w:tcW w:w="958" w:type="dxa"/>
            <w:tcBorders>
              <w:bottom w:val="single" w:sz="12" w:space="0" w:color="auto"/>
            </w:tcBorders>
          </w:tcPr>
          <w:p w14:paraId="6A3BA00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0C76660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3535440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577FBBC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5A54799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75C999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- 1 работ. 14</w:t>
            </w:r>
          </w:p>
        </w:tc>
        <w:tc>
          <w:tcPr>
            <w:tcW w:w="958" w:type="dxa"/>
            <w:tcBorders>
              <w:bottom w:val="single" w:sz="12" w:space="0" w:color="auto"/>
            </w:tcBorders>
          </w:tcPr>
          <w:p w14:paraId="520189F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2015FD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958" w:type="dxa"/>
            <w:tcBorders>
              <w:bottom w:val="single" w:sz="12" w:space="0" w:color="auto"/>
            </w:tcBorders>
          </w:tcPr>
          <w:p w14:paraId="06A829C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7C56547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16F3F98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7287A8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24 мотора по плану 1940 года (2090).</w:t>
      </w:r>
    </w:p>
    <w:p w14:paraId="5953341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801CE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вышел приказ НКАП N 491с, к которому прилагались отпускные цены на самолеты, моторы, приборы (282,58):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1701"/>
        <w:gridCol w:w="993"/>
        <w:gridCol w:w="6804"/>
      </w:tblGrid>
      <w:tr w:rsidR="00983732" w:rsidRPr="00A3026E" w14:paraId="2049CE8D" w14:textId="77777777" w:rsidTr="00EA0DA7">
        <w:tc>
          <w:tcPr>
            <w:tcW w:w="675" w:type="dxa"/>
            <w:tcBorders>
              <w:top w:val="single" w:sz="12" w:space="0" w:color="auto"/>
            </w:tcBorders>
          </w:tcPr>
          <w:p w14:paraId="286CA7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w:t>
            </w:r>
          </w:p>
        </w:tc>
        <w:tc>
          <w:tcPr>
            <w:tcW w:w="1701" w:type="dxa"/>
            <w:tcBorders>
              <w:top w:val="single" w:sz="12" w:space="0" w:color="auto"/>
            </w:tcBorders>
          </w:tcPr>
          <w:p w14:paraId="6B6A68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Модель</w:t>
            </w:r>
          </w:p>
        </w:tc>
        <w:tc>
          <w:tcPr>
            <w:tcW w:w="993" w:type="dxa"/>
            <w:tcBorders>
              <w:top w:val="single" w:sz="12" w:space="0" w:color="auto"/>
            </w:tcBorders>
          </w:tcPr>
          <w:p w14:paraId="6C2695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Цена</w:t>
            </w:r>
          </w:p>
        </w:tc>
        <w:tc>
          <w:tcPr>
            <w:tcW w:w="6804" w:type="dxa"/>
            <w:tcBorders>
              <w:top w:val="single" w:sz="12" w:space="0" w:color="auto"/>
            </w:tcBorders>
          </w:tcPr>
          <w:p w14:paraId="1F3DC8B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D1EC611" w14:textId="77777777" w:rsidTr="00EA0DA7">
        <w:tc>
          <w:tcPr>
            <w:tcW w:w="675" w:type="dxa"/>
          </w:tcPr>
          <w:p w14:paraId="4A85C8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1701" w:type="dxa"/>
          </w:tcPr>
          <w:p w14:paraId="0961D3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И-153 (М-62)</w:t>
            </w:r>
          </w:p>
        </w:tc>
        <w:tc>
          <w:tcPr>
            <w:tcW w:w="993" w:type="dxa"/>
          </w:tcPr>
          <w:p w14:paraId="09001D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108500</w:t>
            </w:r>
          </w:p>
        </w:tc>
        <w:tc>
          <w:tcPr>
            <w:tcW w:w="6804" w:type="dxa"/>
          </w:tcPr>
          <w:p w14:paraId="646E29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Отпускная цена не включает сто</w:t>
            </w:r>
            <w:r w:rsidRPr="00A3026E">
              <w:rPr>
                <w:rFonts w:ascii="Times New Roman" w:hAnsi="Times New Roman"/>
                <w:color w:val="000000" w:themeColor="text1"/>
                <w:sz w:val="16"/>
                <w:szCs w:val="16"/>
              </w:rPr>
              <w:softHyphen/>
              <w:t>имость подвесных баков, радио</w:t>
            </w:r>
            <w:r w:rsidRPr="00A3026E">
              <w:rPr>
                <w:rFonts w:ascii="Times New Roman" w:hAnsi="Times New Roman"/>
                <w:color w:val="000000" w:themeColor="text1"/>
                <w:sz w:val="16"/>
                <w:szCs w:val="16"/>
              </w:rPr>
              <w:softHyphen/>
              <w:t>станции, ге нератора, БС, РРОС,ТК и затрат, связанных, с постанов</w:t>
            </w:r>
            <w:r w:rsidRPr="00A3026E">
              <w:rPr>
                <w:rFonts w:ascii="Times New Roman" w:hAnsi="Times New Roman"/>
                <w:color w:val="000000" w:themeColor="text1"/>
                <w:sz w:val="16"/>
                <w:szCs w:val="16"/>
              </w:rPr>
              <w:softHyphen/>
              <w:t>кой их на самолет.</w:t>
            </w:r>
          </w:p>
          <w:p w14:paraId="712EFE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Цена включает затраты по про</w:t>
            </w:r>
            <w:r w:rsidRPr="00A3026E">
              <w:rPr>
                <w:rFonts w:ascii="Times New Roman" w:hAnsi="Times New Roman"/>
                <w:color w:val="000000" w:themeColor="text1"/>
                <w:sz w:val="16"/>
                <w:szCs w:val="16"/>
              </w:rPr>
              <w:softHyphen/>
              <w:t>водке подвесных</w:t>
            </w:r>
            <w:r w:rsidRPr="00A3026E">
              <w:rPr>
                <w:rFonts w:ascii="Times New Roman" w:hAnsi="Times New Roman"/>
                <w:color w:val="000000" w:themeColor="text1"/>
                <w:sz w:val="16"/>
                <w:szCs w:val="16"/>
                <w:vertAlign w:val="superscript"/>
              </w:rPr>
              <w:t>:</w:t>
            </w:r>
            <w:r w:rsidRPr="00A3026E">
              <w:rPr>
                <w:rFonts w:ascii="Times New Roman" w:hAnsi="Times New Roman"/>
                <w:color w:val="000000" w:themeColor="text1"/>
                <w:sz w:val="16"/>
                <w:szCs w:val="16"/>
              </w:rPr>
              <w:t xml:space="preserve"> баков. В случае постановки на самолет И-153:</w:t>
            </w:r>
          </w:p>
          <w:p w14:paraId="32E9AC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а)лыж - заказчик доплачтвает к вышеозначенной цене самолета стоимость лыж и затрат по их постановке 4970 руйлей;</w:t>
            </w:r>
          </w:p>
          <w:p w14:paraId="4995A0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1 пулемета БС взамен 2-х пулеметов Шкасс - доплата 19400 рублей на самолет (при цене БС в 12500 рублей за штуку);</w:t>
            </w:r>
          </w:p>
          <w:p w14:paraId="0C471B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ТК - доплата в суще 53100 рублей на самолет при цене ТК 20000 рублей ва штуку;</w:t>
            </w:r>
          </w:p>
          <w:p w14:paraId="1EFA23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доплата за дополнительные запасные стволы к пулеметам — 624 рубля на самолет; Доплата за РО без стоимости снаряда - -8730 рублей.</w:t>
            </w:r>
          </w:p>
        </w:tc>
      </w:tr>
      <w:tr w:rsidR="00983732" w:rsidRPr="00A3026E" w14:paraId="1D17DB23" w14:textId="77777777" w:rsidTr="00EA0DA7">
        <w:tc>
          <w:tcPr>
            <w:tcW w:w="675" w:type="dxa"/>
          </w:tcPr>
          <w:p w14:paraId="20A164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1701" w:type="dxa"/>
          </w:tcPr>
          <w:p w14:paraId="6A8813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 (3М-103)</w:t>
            </w:r>
          </w:p>
        </w:tc>
        <w:tc>
          <w:tcPr>
            <w:tcW w:w="993" w:type="dxa"/>
          </w:tcPr>
          <w:p w14:paraId="0161DC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400000</w:t>
            </w:r>
          </w:p>
        </w:tc>
        <w:tc>
          <w:tcPr>
            <w:tcW w:w="6804" w:type="dxa"/>
          </w:tcPr>
          <w:p w14:paraId="225474F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E5A7C5C" w14:textId="77777777" w:rsidTr="00EA0DA7">
        <w:tc>
          <w:tcPr>
            <w:tcW w:w="675" w:type="dxa"/>
          </w:tcPr>
          <w:p w14:paraId="373E7D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tc>
        <w:tc>
          <w:tcPr>
            <w:tcW w:w="1701" w:type="dxa"/>
          </w:tcPr>
          <w:p w14:paraId="73639CB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Pr>
          <w:p w14:paraId="4F8119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594000</w:t>
            </w:r>
          </w:p>
        </w:tc>
        <w:tc>
          <w:tcPr>
            <w:tcW w:w="6804" w:type="dxa"/>
          </w:tcPr>
          <w:p w14:paraId="26C067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фото.</w:t>
            </w:r>
          </w:p>
        </w:tc>
      </w:tr>
      <w:tr w:rsidR="00983732" w:rsidRPr="00A3026E" w14:paraId="0CD17195" w14:textId="77777777" w:rsidTr="00EA0DA7">
        <w:tc>
          <w:tcPr>
            <w:tcW w:w="675" w:type="dxa"/>
          </w:tcPr>
          <w:p w14:paraId="3061B6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1701" w:type="dxa"/>
          </w:tcPr>
          <w:p w14:paraId="2F9BA2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 (М-63)</w:t>
            </w:r>
          </w:p>
        </w:tc>
        <w:tc>
          <w:tcPr>
            <w:tcW w:w="993" w:type="dxa"/>
          </w:tcPr>
          <w:p w14:paraId="00C3813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4" w:type="dxa"/>
          </w:tcPr>
          <w:p w14:paraId="674072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Цены не включают стоимость подвесных баков и затрат по проводке их, радиостанции, генератора, ТК, БС, РС и затрат на установку их.</w:t>
            </w:r>
          </w:p>
          <w:p w14:paraId="2E876E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При постановке на самолет вышеуказанных агрегатов заказ</w:t>
            </w:r>
            <w:r w:rsidRPr="00A3026E">
              <w:rPr>
                <w:rFonts w:ascii="Times New Roman" w:hAnsi="Times New Roman"/>
                <w:color w:val="000000" w:themeColor="text1"/>
                <w:sz w:val="16"/>
                <w:szCs w:val="16"/>
              </w:rPr>
              <w:softHyphen/>
              <w:t>чик доплачивает к установленным ценам вамолетов:</w:t>
            </w:r>
          </w:p>
          <w:p w14:paraId="1C9706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 постановке лыж - 1325 руб. плюс стоимость комплекта;</w:t>
            </w:r>
          </w:p>
          <w:p w14:paraId="68E8F0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поставовке БС - доплата 15500 руб. (при ориентировочной цене БС в 12500 руб.)</w:t>
            </w:r>
          </w:p>
          <w:p w14:paraId="4B6002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РС - доплата 9900 руб. без стоимости самого снаря</w:t>
            </w:r>
            <w:r w:rsidRPr="00A3026E">
              <w:rPr>
                <w:rFonts w:ascii="Times New Roman" w:hAnsi="Times New Roman"/>
                <w:color w:val="000000" w:themeColor="text1"/>
                <w:sz w:val="16"/>
                <w:szCs w:val="16"/>
              </w:rPr>
              <w:softHyphen/>
              <w:t>да РС;</w:t>
            </w:r>
          </w:p>
          <w:p w14:paraId="3D5DD5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при постановке радио</w:t>
            </w:r>
            <w:r w:rsidRPr="00A3026E">
              <w:rPr>
                <w:rFonts w:ascii="Times New Roman" w:hAnsi="Times New Roman"/>
                <w:color w:val="000000" w:themeColor="text1"/>
                <w:sz w:val="16"/>
                <w:szCs w:val="16"/>
              </w:rPr>
              <w:softHyphen/>
              <w:t>станции - доплата 3100 руб. на машину (без стоимости ра</w:t>
            </w:r>
            <w:r w:rsidRPr="00A3026E">
              <w:rPr>
                <w:rFonts w:ascii="Times New Roman" w:hAnsi="Times New Roman"/>
                <w:color w:val="000000" w:themeColor="text1"/>
                <w:sz w:val="16"/>
                <w:szCs w:val="16"/>
              </w:rPr>
              <w:softHyphen/>
              <w:t>диостанции и авиаприборов, относящихся к радиоустановке)</w:t>
            </w:r>
          </w:p>
          <w:p w14:paraId="53D77C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доплата за проводку подвесных баков - 2100 руб. на машину (без стоимости баков).</w:t>
            </w:r>
          </w:p>
        </w:tc>
      </w:tr>
      <w:tr w:rsidR="00983732" w:rsidRPr="00A3026E" w14:paraId="20F0D878" w14:textId="77777777" w:rsidTr="00EA0DA7">
        <w:tc>
          <w:tcPr>
            <w:tcW w:w="675" w:type="dxa"/>
          </w:tcPr>
          <w:p w14:paraId="59FF247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701" w:type="dxa"/>
          </w:tcPr>
          <w:p w14:paraId="2C27B4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пулеметы</w:t>
            </w:r>
          </w:p>
        </w:tc>
        <w:tc>
          <w:tcPr>
            <w:tcW w:w="993" w:type="dxa"/>
          </w:tcPr>
          <w:p w14:paraId="0A46DA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115500</w:t>
            </w:r>
          </w:p>
        </w:tc>
        <w:tc>
          <w:tcPr>
            <w:tcW w:w="6804" w:type="dxa"/>
          </w:tcPr>
          <w:p w14:paraId="5B35259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65F94B6" w14:textId="77777777" w:rsidTr="00EA0DA7">
        <w:tc>
          <w:tcPr>
            <w:tcW w:w="675" w:type="dxa"/>
          </w:tcPr>
          <w:p w14:paraId="52AD44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1701" w:type="dxa"/>
          </w:tcPr>
          <w:p w14:paraId="5C301C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 (М-63)</w:t>
            </w:r>
          </w:p>
        </w:tc>
        <w:tc>
          <w:tcPr>
            <w:tcW w:w="993" w:type="dxa"/>
          </w:tcPr>
          <w:p w14:paraId="3CB3E6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180000</w:t>
            </w:r>
          </w:p>
        </w:tc>
        <w:tc>
          <w:tcPr>
            <w:tcW w:w="6804" w:type="dxa"/>
          </w:tcPr>
          <w:p w14:paraId="5CAACF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Размер доплат за постановку БС, РС, лыж, радиостанции и проводку для подвесных ба</w:t>
            </w:r>
            <w:r w:rsidRPr="00A3026E">
              <w:rPr>
                <w:rFonts w:ascii="Times New Roman" w:hAnsi="Times New Roman"/>
                <w:color w:val="000000" w:themeColor="text1"/>
                <w:sz w:val="16"/>
                <w:szCs w:val="16"/>
              </w:rPr>
              <w:softHyphen/>
              <w:t>ков - принять в суммах, сог-ласованннх для завода № 21.</w:t>
            </w:r>
          </w:p>
          <w:p w14:paraId="1FD5C12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CEF268A" w14:textId="77777777" w:rsidTr="00EA0DA7">
        <w:tc>
          <w:tcPr>
            <w:tcW w:w="675" w:type="dxa"/>
          </w:tcPr>
          <w:p w14:paraId="7BD8F6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1701" w:type="dxa"/>
          </w:tcPr>
          <w:p w14:paraId="4D62C0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 (М-63)</w:t>
            </w:r>
          </w:p>
        </w:tc>
        <w:tc>
          <w:tcPr>
            <w:tcW w:w="993" w:type="dxa"/>
          </w:tcPr>
          <w:p w14:paraId="608018F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4" w:type="dxa"/>
          </w:tcPr>
          <w:p w14:paraId="2D4A782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BA146CD" w14:textId="77777777" w:rsidTr="00EA0DA7">
        <w:tc>
          <w:tcPr>
            <w:tcW w:w="675" w:type="dxa"/>
          </w:tcPr>
          <w:p w14:paraId="1DA6377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701" w:type="dxa"/>
          </w:tcPr>
          <w:p w14:paraId="0CAB17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пушки</w:t>
            </w:r>
          </w:p>
        </w:tc>
        <w:tc>
          <w:tcPr>
            <w:tcW w:w="993" w:type="dxa"/>
          </w:tcPr>
          <w:p w14:paraId="1ABB88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141500</w:t>
            </w:r>
          </w:p>
        </w:tc>
        <w:tc>
          <w:tcPr>
            <w:tcW w:w="6804" w:type="dxa"/>
          </w:tcPr>
          <w:p w14:paraId="277EEEF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66311C5" w14:textId="77777777" w:rsidTr="00EA0DA7">
        <w:tc>
          <w:tcPr>
            <w:tcW w:w="675" w:type="dxa"/>
          </w:tcPr>
          <w:p w14:paraId="052609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1701" w:type="dxa"/>
          </w:tcPr>
          <w:p w14:paraId="1F4B3E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УТИ-4 (М-25)</w:t>
            </w:r>
          </w:p>
        </w:tc>
        <w:tc>
          <w:tcPr>
            <w:tcW w:w="993" w:type="dxa"/>
          </w:tcPr>
          <w:p w14:paraId="24B126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65000</w:t>
            </w:r>
          </w:p>
        </w:tc>
        <w:tc>
          <w:tcPr>
            <w:tcW w:w="6804" w:type="dxa"/>
          </w:tcPr>
          <w:p w14:paraId="3B10964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FC306B1" w14:textId="77777777" w:rsidTr="00EA0DA7">
        <w:tc>
          <w:tcPr>
            <w:tcW w:w="675" w:type="dxa"/>
          </w:tcPr>
          <w:p w14:paraId="21AD67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1701" w:type="dxa"/>
          </w:tcPr>
          <w:p w14:paraId="146723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 (2М-87,88)</w:t>
            </w:r>
          </w:p>
        </w:tc>
        <w:tc>
          <w:tcPr>
            <w:tcW w:w="993" w:type="dxa"/>
          </w:tcPr>
          <w:p w14:paraId="53BEA66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4" w:type="dxa"/>
          </w:tcPr>
          <w:p w14:paraId="5403C5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АФА, ВАП.</w:t>
            </w:r>
          </w:p>
        </w:tc>
      </w:tr>
      <w:tr w:rsidR="00983732" w:rsidRPr="00A3026E" w14:paraId="1B68DD3B" w14:textId="77777777" w:rsidTr="00EA0DA7">
        <w:tc>
          <w:tcPr>
            <w:tcW w:w="675" w:type="dxa"/>
          </w:tcPr>
          <w:p w14:paraId="67E4786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701" w:type="dxa"/>
          </w:tcPr>
          <w:p w14:paraId="42EC32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сухопутный</w:t>
            </w:r>
          </w:p>
        </w:tc>
        <w:tc>
          <w:tcPr>
            <w:tcW w:w="993" w:type="dxa"/>
          </w:tcPr>
          <w:p w14:paraId="7A50C6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430000</w:t>
            </w:r>
          </w:p>
        </w:tc>
        <w:tc>
          <w:tcPr>
            <w:tcW w:w="6804" w:type="dxa"/>
          </w:tcPr>
          <w:p w14:paraId="07E9478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9780033" w14:textId="77777777" w:rsidTr="00EA0DA7">
        <w:tc>
          <w:tcPr>
            <w:tcW w:w="675" w:type="dxa"/>
          </w:tcPr>
          <w:p w14:paraId="20FBF1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c>
          <w:tcPr>
            <w:tcW w:w="1701" w:type="dxa"/>
          </w:tcPr>
          <w:p w14:paraId="7C6150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 (2М-87,88)</w:t>
            </w:r>
          </w:p>
        </w:tc>
        <w:tc>
          <w:tcPr>
            <w:tcW w:w="993" w:type="dxa"/>
          </w:tcPr>
          <w:p w14:paraId="3C63AF1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4" w:type="dxa"/>
          </w:tcPr>
          <w:p w14:paraId="573FE66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E5F7354" w14:textId="77777777" w:rsidTr="00EA0DA7">
        <w:tc>
          <w:tcPr>
            <w:tcW w:w="675" w:type="dxa"/>
          </w:tcPr>
          <w:p w14:paraId="1BAC702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701" w:type="dxa"/>
          </w:tcPr>
          <w:p w14:paraId="415686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сухопутный</w:t>
            </w:r>
          </w:p>
        </w:tc>
        <w:tc>
          <w:tcPr>
            <w:tcW w:w="993" w:type="dxa"/>
          </w:tcPr>
          <w:p w14:paraId="2F6E93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565000</w:t>
            </w:r>
          </w:p>
        </w:tc>
        <w:tc>
          <w:tcPr>
            <w:tcW w:w="6804" w:type="dxa"/>
          </w:tcPr>
          <w:p w14:paraId="401B9CE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1C81640" w14:textId="77777777" w:rsidTr="00EA0DA7">
        <w:tc>
          <w:tcPr>
            <w:tcW w:w="675" w:type="dxa"/>
          </w:tcPr>
          <w:p w14:paraId="2ED851C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701" w:type="dxa"/>
          </w:tcPr>
          <w:p w14:paraId="3BC722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торпедный</w:t>
            </w:r>
          </w:p>
        </w:tc>
        <w:tc>
          <w:tcPr>
            <w:tcW w:w="993" w:type="dxa"/>
          </w:tcPr>
          <w:p w14:paraId="617335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580000</w:t>
            </w:r>
          </w:p>
        </w:tc>
        <w:tc>
          <w:tcPr>
            <w:tcW w:w="6804" w:type="dxa"/>
          </w:tcPr>
          <w:p w14:paraId="1BE0FF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АФА, ВАП.</w:t>
            </w:r>
          </w:p>
        </w:tc>
      </w:tr>
      <w:tr w:rsidR="00983732" w:rsidRPr="00A3026E" w14:paraId="08CD57EF" w14:textId="77777777" w:rsidTr="00EA0DA7">
        <w:tc>
          <w:tcPr>
            <w:tcW w:w="675" w:type="dxa"/>
          </w:tcPr>
          <w:p w14:paraId="140A4A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w:t>
            </w:r>
          </w:p>
        </w:tc>
        <w:tc>
          <w:tcPr>
            <w:tcW w:w="1701" w:type="dxa"/>
          </w:tcPr>
          <w:p w14:paraId="69CE56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 (2М-87)</w:t>
            </w:r>
          </w:p>
        </w:tc>
        <w:tc>
          <w:tcPr>
            <w:tcW w:w="993" w:type="dxa"/>
          </w:tcPr>
          <w:p w14:paraId="2BDF3EB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4" w:type="dxa"/>
          </w:tcPr>
          <w:p w14:paraId="2E763B4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4FC4100" w14:textId="77777777" w:rsidTr="00EA0DA7">
        <w:tc>
          <w:tcPr>
            <w:tcW w:w="675" w:type="dxa"/>
          </w:tcPr>
          <w:p w14:paraId="48B31B5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701" w:type="dxa"/>
          </w:tcPr>
          <w:p w14:paraId="1A2C45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сухопутный</w:t>
            </w:r>
          </w:p>
        </w:tc>
        <w:tc>
          <w:tcPr>
            <w:tcW w:w="993" w:type="dxa"/>
          </w:tcPr>
          <w:p w14:paraId="2F730D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1028000</w:t>
            </w:r>
          </w:p>
        </w:tc>
        <w:tc>
          <w:tcPr>
            <w:tcW w:w="6804" w:type="dxa"/>
          </w:tcPr>
          <w:p w14:paraId="6BCB655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34BBEC3" w14:textId="77777777" w:rsidTr="00EA0DA7">
        <w:tc>
          <w:tcPr>
            <w:tcW w:w="675" w:type="dxa"/>
          </w:tcPr>
          <w:p w14:paraId="0C56A1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w:t>
            </w:r>
          </w:p>
        </w:tc>
        <w:tc>
          <w:tcPr>
            <w:tcW w:w="1701" w:type="dxa"/>
          </w:tcPr>
          <w:p w14:paraId="727A9E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 (2М-87)</w:t>
            </w:r>
          </w:p>
        </w:tc>
        <w:tc>
          <w:tcPr>
            <w:tcW w:w="993" w:type="dxa"/>
          </w:tcPr>
          <w:p w14:paraId="651B68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1100000</w:t>
            </w:r>
          </w:p>
        </w:tc>
        <w:tc>
          <w:tcPr>
            <w:tcW w:w="6804" w:type="dxa"/>
          </w:tcPr>
          <w:p w14:paraId="6782E3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Цена без АФА, ВАП</w:t>
            </w:r>
          </w:p>
        </w:tc>
      </w:tr>
      <w:tr w:rsidR="00983732" w:rsidRPr="00A3026E" w14:paraId="449717F2" w14:textId="77777777" w:rsidTr="00EA0DA7">
        <w:tc>
          <w:tcPr>
            <w:tcW w:w="675" w:type="dxa"/>
          </w:tcPr>
          <w:p w14:paraId="2BE1FC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1701" w:type="dxa"/>
          </w:tcPr>
          <w:p w14:paraId="178F8E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 (2М-103,105)</w:t>
            </w:r>
          </w:p>
        </w:tc>
        <w:tc>
          <w:tcPr>
            <w:tcW w:w="993" w:type="dxa"/>
          </w:tcPr>
          <w:p w14:paraId="7952614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04" w:type="dxa"/>
          </w:tcPr>
          <w:p w14:paraId="6869F9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АФА, ВАП, УХАП, без радио</w:t>
            </w:r>
            <w:r w:rsidRPr="00A3026E">
              <w:rPr>
                <w:rFonts w:ascii="Times New Roman" w:hAnsi="Times New Roman"/>
                <w:color w:val="000000" w:themeColor="text1"/>
                <w:sz w:val="16"/>
                <w:szCs w:val="16"/>
              </w:rPr>
              <w:softHyphen/>
              <w:t>полукомпаса, без установки под РС, СО-2 и без подогрева.</w:t>
            </w:r>
          </w:p>
        </w:tc>
      </w:tr>
      <w:tr w:rsidR="00983732" w:rsidRPr="00A3026E" w14:paraId="273D83BC" w14:textId="77777777" w:rsidTr="00EA0DA7">
        <w:tc>
          <w:tcPr>
            <w:tcW w:w="675" w:type="dxa"/>
          </w:tcPr>
          <w:p w14:paraId="737E7F9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701" w:type="dxa"/>
          </w:tcPr>
          <w:p w14:paraId="56F0EA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201</w:t>
            </w:r>
          </w:p>
        </w:tc>
        <w:tc>
          <w:tcPr>
            <w:tcW w:w="993" w:type="dxa"/>
          </w:tcPr>
          <w:p w14:paraId="734E7D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265000</w:t>
            </w:r>
          </w:p>
        </w:tc>
        <w:tc>
          <w:tcPr>
            <w:tcW w:w="6804" w:type="dxa"/>
          </w:tcPr>
          <w:p w14:paraId="2532C1B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CA3DE8E" w14:textId="77777777" w:rsidTr="00EA0DA7">
        <w:tc>
          <w:tcPr>
            <w:tcW w:w="675" w:type="dxa"/>
          </w:tcPr>
          <w:p w14:paraId="7DF394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1701" w:type="dxa"/>
          </w:tcPr>
          <w:p w14:paraId="048FC8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 (2М-103)</w:t>
            </w:r>
          </w:p>
        </w:tc>
        <w:tc>
          <w:tcPr>
            <w:tcW w:w="993" w:type="dxa"/>
          </w:tcPr>
          <w:p w14:paraId="1B0C5F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355000</w:t>
            </w:r>
          </w:p>
        </w:tc>
        <w:tc>
          <w:tcPr>
            <w:tcW w:w="6804" w:type="dxa"/>
          </w:tcPr>
          <w:p w14:paraId="44ADDD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АФА, ВАП, без радиополу</w:t>
            </w:r>
            <w:r w:rsidRPr="00A3026E">
              <w:rPr>
                <w:rFonts w:ascii="Times New Roman" w:hAnsi="Times New Roman"/>
                <w:color w:val="000000" w:themeColor="text1"/>
                <w:sz w:val="16"/>
                <w:szCs w:val="16"/>
              </w:rPr>
              <w:softHyphen/>
              <w:t>компаса, без установки под РС,СО-2 без подогрева и без УХАП</w:t>
            </w:r>
          </w:p>
          <w:p w14:paraId="5D14A8F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6B0967A" w14:textId="77777777" w:rsidTr="00EA0DA7">
        <w:tc>
          <w:tcPr>
            <w:tcW w:w="675" w:type="dxa"/>
          </w:tcPr>
          <w:p w14:paraId="359DD5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1701" w:type="dxa"/>
          </w:tcPr>
          <w:p w14:paraId="032619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 (2И-105)</w:t>
            </w:r>
          </w:p>
        </w:tc>
        <w:tc>
          <w:tcPr>
            <w:tcW w:w="993" w:type="dxa"/>
          </w:tcPr>
          <w:p w14:paraId="67A3B9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365000</w:t>
            </w:r>
          </w:p>
        </w:tc>
        <w:tc>
          <w:tcPr>
            <w:tcW w:w="6804" w:type="dxa"/>
          </w:tcPr>
          <w:p w14:paraId="0F0179F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8D6ED3E" w14:textId="77777777" w:rsidTr="00EA0DA7">
        <w:tc>
          <w:tcPr>
            <w:tcW w:w="675" w:type="dxa"/>
          </w:tcPr>
          <w:p w14:paraId="7F89A4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1701" w:type="dxa"/>
          </w:tcPr>
          <w:p w14:paraId="5E75EF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У-2 (М-11)</w:t>
            </w:r>
          </w:p>
        </w:tc>
        <w:tc>
          <w:tcPr>
            <w:tcW w:w="993" w:type="dxa"/>
          </w:tcPr>
          <w:p w14:paraId="6D6625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24000</w:t>
            </w:r>
          </w:p>
        </w:tc>
        <w:tc>
          <w:tcPr>
            <w:tcW w:w="6804" w:type="dxa"/>
          </w:tcPr>
          <w:p w14:paraId="02C91FD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C8A190F" w14:textId="77777777" w:rsidTr="00EA0DA7">
        <w:tc>
          <w:tcPr>
            <w:tcW w:w="675" w:type="dxa"/>
          </w:tcPr>
          <w:p w14:paraId="68584C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1701" w:type="dxa"/>
          </w:tcPr>
          <w:p w14:paraId="1E7E87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 (М-11)</w:t>
            </w:r>
          </w:p>
        </w:tc>
        <w:tc>
          <w:tcPr>
            <w:tcW w:w="993" w:type="dxa"/>
          </w:tcPr>
          <w:p w14:paraId="7718B3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27000</w:t>
            </w:r>
          </w:p>
        </w:tc>
        <w:tc>
          <w:tcPr>
            <w:tcW w:w="6804" w:type="dxa"/>
          </w:tcPr>
          <w:p w14:paraId="09B915E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91ECE1F" w14:textId="77777777" w:rsidTr="00EA0DA7">
        <w:tc>
          <w:tcPr>
            <w:tcW w:w="675" w:type="dxa"/>
          </w:tcPr>
          <w:p w14:paraId="78F01B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1701" w:type="dxa"/>
          </w:tcPr>
          <w:p w14:paraId="2E60DE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УТ-2 (М-11)</w:t>
            </w:r>
          </w:p>
        </w:tc>
        <w:tc>
          <w:tcPr>
            <w:tcW w:w="993" w:type="dxa"/>
          </w:tcPr>
          <w:p w14:paraId="554E88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68000</w:t>
            </w:r>
          </w:p>
        </w:tc>
        <w:tc>
          <w:tcPr>
            <w:tcW w:w="6804" w:type="dxa"/>
          </w:tcPr>
          <w:p w14:paraId="40CED06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FD4A95A" w14:textId="77777777" w:rsidTr="00EA0DA7">
        <w:tc>
          <w:tcPr>
            <w:tcW w:w="675" w:type="dxa"/>
          </w:tcPr>
          <w:p w14:paraId="0DD664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c>
          <w:tcPr>
            <w:tcW w:w="1701" w:type="dxa"/>
          </w:tcPr>
          <w:p w14:paraId="74C79E6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Pr>
          <w:p w14:paraId="2913E0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77000</w:t>
            </w:r>
          </w:p>
        </w:tc>
        <w:tc>
          <w:tcPr>
            <w:tcW w:w="6804" w:type="dxa"/>
          </w:tcPr>
          <w:p w14:paraId="7A998D7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85543EB" w14:textId="77777777" w:rsidTr="00EA0DA7">
        <w:tc>
          <w:tcPr>
            <w:tcW w:w="675" w:type="dxa"/>
          </w:tcPr>
          <w:p w14:paraId="4C71D8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1701" w:type="dxa"/>
          </w:tcPr>
          <w:p w14:paraId="468F96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С-2 (М-11)</w:t>
            </w:r>
          </w:p>
        </w:tc>
        <w:tc>
          <w:tcPr>
            <w:tcW w:w="993" w:type="dxa"/>
          </w:tcPr>
          <w:p w14:paraId="0D874D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60000</w:t>
            </w:r>
          </w:p>
        </w:tc>
        <w:tc>
          <w:tcPr>
            <w:tcW w:w="6804" w:type="dxa"/>
          </w:tcPr>
          <w:p w14:paraId="1AC3E5D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124ECB3" w14:textId="77777777" w:rsidTr="00EA0DA7">
        <w:tc>
          <w:tcPr>
            <w:tcW w:w="675" w:type="dxa"/>
          </w:tcPr>
          <w:p w14:paraId="2A1B6D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c>
          <w:tcPr>
            <w:tcW w:w="1701" w:type="dxa"/>
          </w:tcPr>
          <w:p w14:paraId="795427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УТ-3 (2МВ-6)</w:t>
            </w:r>
          </w:p>
        </w:tc>
        <w:tc>
          <w:tcPr>
            <w:tcW w:w="993" w:type="dxa"/>
          </w:tcPr>
          <w:p w14:paraId="2C7AAC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550000</w:t>
            </w:r>
          </w:p>
        </w:tc>
        <w:tc>
          <w:tcPr>
            <w:tcW w:w="6804" w:type="dxa"/>
          </w:tcPr>
          <w:p w14:paraId="794A44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фото.</w:t>
            </w:r>
          </w:p>
        </w:tc>
      </w:tr>
      <w:tr w:rsidR="00983732" w:rsidRPr="00A3026E" w14:paraId="29148F1D" w14:textId="77777777" w:rsidTr="00EA0DA7">
        <w:tc>
          <w:tcPr>
            <w:tcW w:w="675" w:type="dxa"/>
          </w:tcPr>
          <w:p w14:paraId="70995D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c>
          <w:tcPr>
            <w:tcW w:w="1701" w:type="dxa"/>
          </w:tcPr>
          <w:p w14:paraId="46AF71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ДС-3 (2М-62ИР)</w:t>
            </w:r>
          </w:p>
        </w:tc>
        <w:tc>
          <w:tcPr>
            <w:tcW w:w="993" w:type="dxa"/>
          </w:tcPr>
          <w:p w14:paraId="53A091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1500000</w:t>
            </w:r>
          </w:p>
        </w:tc>
        <w:tc>
          <w:tcPr>
            <w:tcW w:w="6804" w:type="dxa"/>
          </w:tcPr>
          <w:p w14:paraId="51FB19A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0617C90" w14:textId="77777777" w:rsidTr="00EA0DA7">
        <w:tc>
          <w:tcPr>
            <w:tcW w:w="675" w:type="dxa"/>
          </w:tcPr>
          <w:p w14:paraId="14C304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w:t>
            </w:r>
          </w:p>
        </w:tc>
        <w:tc>
          <w:tcPr>
            <w:tcW w:w="1701" w:type="dxa"/>
          </w:tcPr>
          <w:p w14:paraId="189B3D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ДС-3 (2М-62ИР)</w:t>
            </w:r>
          </w:p>
        </w:tc>
        <w:tc>
          <w:tcPr>
            <w:tcW w:w="993" w:type="dxa"/>
          </w:tcPr>
          <w:p w14:paraId="169ED6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1500000</w:t>
            </w:r>
          </w:p>
        </w:tc>
        <w:tc>
          <w:tcPr>
            <w:tcW w:w="6804" w:type="dxa"/>
          </w:tcPr>
          <w:p w14:paraId="66A3AE4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43C21BF" w14:textId="77777777" w:rsidTr="00EA0DA7">
        <w:tc>
          <w:tcPr>
            <w:tcW w:w="675" w:type="dxa"/>
          </w:tcPr>
          <w:p w14:paraId="26F45E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w:t>
            </w:r>
          </w:p>
        </w:tc>
        <w:tc>
          <w:tcPr>
            <w:tcW w:w="1701" w:type="dxa"/>
          </w:tcPr>
          <w:p w14:paraId="07DD2B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N 42 (4АМ-35)</w:t>
            </w:r>
          </w:p>
        </w:tc>
        <w:tc>
          <w:tcPr>
            <w:tcW w:w="993" w:type="dxa"/>
          </w:tcPr>
          <w:p w14:paraId="4AD808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4000000</w:t>
            </w:r>
          </w:p>
        </w:tc>
        <w:tc>
          <w:tcPr>
            <w:tcW w:w="6804" w:type="dxa"/>
          </w:tcPr>
          <w:p w14:paraId="5CD3CBB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BFC32C4" w14:textId="77777777" w:rsidTr="00EA0DA7">
        <w:tc>
          <w:tcPr>
            <w:tcW w:w="675" w:type="dxa"/>
          </w:tcPr>
          <w:p w14:paraId="51E781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701" w:type="dxa"/>
          </w:tcPr>
          <w:p w14:paraId="39616D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ББ-1 (М-88)</w:t>
            </w:r>
          </w:p>
        </w:tc>
        <w:tc>
          <w:tcPr>
            <w:tcW w:w="993" w:type="dxa"/>
          </w:tcPr>
          <w:p w14:paraId="69A7A7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430000</w:t>
            </w:r>
          </w:p>
        </w:tc>
        <w:tc>
          <w:tcPr>
            <w:tcW w:w="6804" w:type="dxa"/>
          </w:tcPr>
          <w:p w14:paraId="5FE129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фото.</w:t>
            </w:r>
          </w:p>
        </w:tc>
      </w:tr>
      <w:tr w:rsidR="00983732" w:rsidRPr="00A3026E" w14:paraId="6AFBFAA7" w14:textId="77777777" w:rsidTr="00EA0DA7">
        <w:tc>
          <w:tcPr>
            <w:tcW w:w="675" w:type="dxa"/>
          </w:tcPr>
          <w:p w14:paraId="753477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1701" w:type="dxa"/>
          </w:tcPr>
          <w:p w14:paraId="78DC0B3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Pr>
          <w:p w14:paraId="2CA7C5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485000</w:t>
            </w:r>
          </w:p>
        </w:tc>
        <w:tc>
          <w:tcPr>
            <w:tcW w:w="6804" w:type="dxa"/>
          </w:tcPr>
          <w:p w14:paraId="3B529A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фото.</w:t>
            </w:r>
          </w:p>
        </w:tc>
      </w:tr>
      <w:tr w:rsidR="00983732" w:rsidRPr="00A3026E" w14:paraId="5FDC23AA" w14:textId="77777777" w:rsidTr="00EA0DA7">
        <w:tc>
          <w:tcPr>
            <w:tcW w:w="675" w:type="dxa"/>
          </w:tcPr>
          <w:p w14:paraId="5FCBC0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w:t>
            </w:r>
          </w:p>
        </w:tc>
        <w:tc>
          <w:tcPr>
            <w:tcW w:w="1701" w:type="dxa"/>
          </w:tcPr>
          <w:p w14:paraId="26A29EE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Pr>
          <w:p w14:paraId="47B77E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700000</w:t>
            </w:r>
          </w:p>
        </w:tc>
        <w:tc>
          <w:tcPr>
            <w:tcW w:w="6804" w:type="dxa"/>
          </w:tcPr>
          <w:p w14:paraId="657BF7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фото.</w:t>
            </w:r>
          </w:p>
        </w:tc>
      </w:tr>
      <w:tr w:rsidR="00983732" w:rsidRPr="00A3026E" w14:paraId="0BB72461" w14:textId="77777777" w:rsidTr="00EA0DA7">
        <w:tc>
          <w:tcPr>
            <w:tcW w:w="675" w:type="dxa"/>
          </w:tcPr>
          <w:p w14:paraId="1B5123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292</w:t>
            </w:r>
          </w:p>
        </w:tc>
        <w:tc>
          <w:tcPr>
            <w:tcW w:w="1701" w:type="dxa"/>
          </w:tcPr>
          <w:p w14:paraId="12C4F6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И-28 (М-88)</w:t>
            </w:r>
          </w:p>
        </w:tc>
        <w:tc>
          <w:tcPr>
            <w:tcW w:w="993" w:type="dxa"/>
          </w:tcPr>
          <w:p w14:paraId="293453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300000</w:t>
            </w:r>
          </w:p>
        </w:tc>
        <w:tc>
          <w:tcPr>
            <w:tcW w:w="6804" w:type="dxa"/>
          </w:tcPr>
          <w:p w14:paraId="57845B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фото и радио</w:t>
            </w:r>
          </w:p>
        </w:tc>
      </w:tr>
      <w:tr w:rsidR="00983732" w:rsidRPr="00A3026E" w14:paraId="54A3EE44" w14:textId="77777777" w:rsidTr="00EA0DA7">
        <w:tc>
          <w:tcPr>
            <w:tcW w:w="675" w:type="dxa"/>
          </w:tcPr>
          <w:p w14:paraId="0BFB5F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301</w:t>
            </w:r>
          </w:p>
        </w:tc>
        <w:tc>
          <w:tcPr>
            <w:tcW w:w="1701" w:type="dxa"/>
          </w:tcPr>
          <w:p w14:paraId="459614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(М-105П)</w:t>
            </w:r>
          </w:p>
        </w:tc>
        <w:tc>
          <w:tcPr>
            <w:tcW w:w="993" w:type="dxa"/>
          </w:tcPr>
          <w:p w14:paraId="29902B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400000</w:t>
            </w:r>
          </w:p>
        </w:tc>
        <w:tc>
          <w:tcPr>
            <w:tcW w:w="6804" w:type="dxa"/>
          </w:tcPr>
          <w:p w14:paraId="1AE4BF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упаковки, без фото и радио.</w:t>
            </w:r>
          </w:p>
        </w:tc>
      </w:tr>
      <w:tr w:rsidR="00983732" w:rsidRPr="00A3026E" w14:paraId="2774D189" w14:textId="77777777" w:rsidTr="00EA0DA7">
        <w:tc>
          <w:tcPr>
            <w:tcW w:w="675" w:type="dxa"/>
          </w:tcPr>
          <w:p w14:paraId="2FF89A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1701" w:type="dxa"/>
          </w:tcPr>
          <w:p w14:paraId="6F5079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МБР-2 (АМ-34Н)</w:t>
            </w:r>
          </w:p>
        </w:tc>
        <w:tc>
          <w:tcPr>
            <w:tcW w:w="993" w:type="dxa"/>
          </w:tcPr>
          <w:p w14:paraId="7D450A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220000</w:t>
            </w:r>
          </w:p>
        </w:tc>
        <w:tc>
          <w:tcPr>
            <w:tcW w:w="6804" w:type="dxa"/>
          </w:tcPr>
          <w:p w14:paraId="5CC25CF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A45990E" w14:textId="77777777" w:rsidTr="00EA0DA7">
        <w:tc>
          <w:tcPr>
            <w:tcW w:w="675" w:type="dxa"/>
          </w:tcPr>
          <w:p w14:paraId="479746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1701" w:type="dxa"/>
          </w:tcPr>
          <w:p w14:paraId="118775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ГСТ (2М-62ИР)</w:t>
            </w:r>
          </w:p>
        </w:tc>
        <w:tc>
          <w:tcPr>
            <w:tcW w:w="993" w:type="dxa"/>
          </w:tcPr>
          <w:p w14:paraId="14B9D6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1500000</w:t>
            </w:r>
          </w:p>
        </w:tc>
        <w:tc>
          <w:tcPr>
            <w:tcW w:w="6804" w:type="dxa"/>
          </w:tcPr>
          <w:p w14:paraId="386B5FC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DF111E2" w14:textId="77777777" w:rsidTr="00EA0DA7">
        <w:tc>
          <w:tcPr>
            <w:tcW w:w="675" w:type="dxa"/>
          </w:tcPr>
          <w:p w14:paraId="2B0D60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1701" w:type="dxa"/>
          </w:tcPr>
          <w:p w14:paraId="3B2B25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КОР-1 (М-25)</w:t>
            </w:r>
          </w:p>
        </w:tc>
        <w:tc>
          <w:tcPr>
            <w:tcW w:w="993" w:type="dxa"/>
          </w:tcPr>
          <w:p w14:paraId="014D31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500000</w:t>
            </w:r>
          </w:p>
        </w:tc>
        <w:tc>
          <w:tcPr>
            <w:tcW w:w="6804" w:type="dxa"/>
          </w:tcPr>
          <w:p w14:paraId="09625F5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62CD690" w14:textId="77777777" w:rsidTr="00EA0DA7">
        <w:tc>
          <w:tcPr>
            <w:tcW w:w="675" w:type="dxa"/>
            <w:tcBorders>
              <w:bottom w:val="single" w:sz="12" w:space="0" w:color="auto"/>
            </w:tcBorders>
          </w:tcPr>
          <w:p w14:paraId="4447D8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1701" w:type="dxa"/>
            <w:tcBorders>
              <w:bottom w:val="single" w:sz="12" w:space="0" w:color="auto"/>
            </w:tcBorders>
          </w:tcPr>
          <w:p w14:paraId="1350C8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МДР-6 (2М-63)</w:t>
            </w:r>
          </w:p>
        </w:tc>
        <w:tc>
          <w:tcPr>
            <w:tcW w:w="993" w:type="dxa"/>
            <w:tcBorders>
              <w:bottom w:val="single" w:sz="12" w:space="0" w:color="auto"/>
            </w:tcBorders>
          </w:tcPr>
          <w:p w14:paraId="1D239A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1100000</w:t>
            </w:r>
          </w:p>
        </w:tc>
        <w:tc>
          <w:tcPr>
            <w:tcW w:w="6804" w:type="dxa"/>
            <w:tcBorders>
              <w:bottom w:val="single" w:sz="12" w:space="0" w:color="auto"/>
            </w:tcBorders>
          </w:tcPr>
          <w:p w14:paraId="79D8331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313051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 к ценам всех типов самолетов.</w:t>
      </w:r>
    </w:p>
    <w:p w14:paraId="25A0E6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Отпускные цены на все самолеты да 1940 год значатся без лыж, без автопилота, без фото-кино-пулемета и без противообле</w:t>
      </w:r>
      <w:r w:rsidRPr="00A3026E">
        <w:rPr>
          <w:rFonts w:ascii="Times New Roman" w:hAnsi="Times New Roman"/>
          <w:color w:val="000000" w:themeColor="text1"/>
          <w:sz w:val="16"/>
          <w:szCs w:val="16"/>
        </w:rPr>
        <w:softHyphen/>
        <w:t>денителей.</w:t>
      </w:r>
    </w:p>
    <w:p w14:paraId="28AF64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случае постановки на самолет автопилота, фото-кино</w:t>
      </w:r>
      <w:r w:rsidRPr="00A3026E">
        <w:rPr>
          <w:rFonts w:ascii="Times New Roman" w:hAnsi="Times New Roman"/>
          <w:color w:val="000000" w:themeColor="text1"/>
          <w:sz w:val="16"/>
          <w:szCs w:val="16"/>
        </w:rPr>
        <w:softHyphen/>
        <w:t>пулеметов и противообледенителей, последние дополнительно опла</w:t>
      </w:r>
      <w:r w:rsidRPr="00A3026E">
        <w:rPr>
          <w:rFonts w:ascii="Times New Roman" w:hAnsi="Times New Roman"/>
          <w:color w:val="000000" w:themeColor="text1"/>
          <w:sz w:val="16"/>
          <w:szCs w:val="16"/>
        </w:rPr>
        <w:softHyphen/>
        <w:t>чиваются заказчиками.</w:t>
      </w:r>
    </w:p>
    <w:p w14:paraId="6BB21E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постановке на самолеты лыж дополнительно оплачивается заказчиком как стоимость комплекта лыж, так и связанные с их постановкой затраты.</w:t>
      </w:r>
    </w:p>
    <w:p w14:paraId="2B3645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Цены 1940 года на самолеты считаются франко-завод-изготовитель или франко-заводской аэродром. Доставка самолетов до станции отправления производится заводом за счет заказчика.</w:t>
      </w:r>
    </w:p>
    <w:p w14:paraId="5C0CE6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Стоимость тары и упаковки одномоторных самолетов вклю</w:t>
      </w:r>
      <w:r w:rsidRPr="00A3026E">
        <w:rPr>
          <w:rFonts w:ascii="Times New Roman" w:hAnsi="Times New Roman"/>
          <w:color w:val="000000" w:themeColor="text1"/>
          <w:sz w:val="16"/>
          <w:szCs w:val="16"/>
        </w:rPr>
        <w:softHyphen/>
        <w:t>чена в цену самолета.</w:t>
      </w:r>
    </w:p>
    <w:p w14:paraId="75F196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Тара и упаковка двух- и многомоторных самолетов в установ</w:t>
      </w:r>
      <w:r w:rsidRPr="00A3026E">
        <w:rPr>
          <w:rFonts w:ascii="Times New Roman" w:hAnsi="Times New Roman"/>
          <w:color w:val="000000" w:themeColor="text1"/>
          <w:sz w:val="16"/>
          <w:szCs w:val="16"/>
        </w:rPr>
        <w:softHyphen/>
        <w:t>ленные цены самолетов не включены и подлежат дополнительной оплате заказчиком по фактической себестоимости.</w:t>
      </w:r>
    </w:p>
    <w:p w14:paraId="5038EB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При отправке самолета летом завод обязан заправить ма</w:t>
      </w:r>
      <w:r w:rsidRPr="00A3026E">
        <w:rPr>
          <w:rFonts w:ascii="Times New Roman" w:hAnsi="Times New Roman"/>
          <w:color w:val="000000" w:themeColor="text1"/>
          <w:sz w:val="16"/>
          <w:szCs w:val="16"/>
        </w:rPr>
        <w:softHyphen/>
        <w:t>шину горючим и смазочным за счет заказчика по себестоимости за вычетом для одномоторных самолетов стоимости тары и упаковки.</w:t>
      </w:r>
    </w:p>
    <w:p w14:paraId="32BFC2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В ценах самолетов учтена стоимость приборов и вооружения по перечню, согласованному с НКО и ШАЛ. . ;</w:t>
      </w:r>
    </w:p>
    <w:p w14:paraId="0194CB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случае постановки на самолетах приборов и вооружения,не предусмотренных согласованным перечнем, последние дополнитель</w:t>
      </w:r>
      <w:r w:rsidRPr="00A3026E">
        <w:rPr>
          <w:rFonts w:ascii="Times New Roman" w:hAnsi="Times New Roman"/>
          <w:color w:val="000000" w:themeColor="text1"/>
          <w:sz w:val="16"/>
          <w:szCs w:val="16"/>
        </w:rPr>
        <w:softHyphen/>
        <w:t>но оплачиваются заказчиком.</w:t>
      </w:r>
    </w:p>
    <w:p w14:paraId="4447B1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Расчеты за самолеты УТ-3 по заводам № 301 и № 81 производятся в соответствии с заключенными договорами.</w:t>
      </w:r>
    </w:p>
    <w:p w14:paraId="0D669B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Цены на СБ по заводам № 22 и № 125 включают ТУР-9, ЛУ-СБ и БЛ-3. В случае постановки вместо ТУР-9 ТУР-МВ-3, вместо ЛУ-СБ ЛУ-МВ-2 и вместо БЛ-3 лебедку БЛ-4 - заказчик доплачивает к установленной цене на самолет разницу в ценах, означенных предметов вооружения, а также и разницу в стоимости других типов прицелов, связанных с постановкой МВ-З и ЛУ-МВ-2.</w:t>
      </w:r>
    </w:p>
    <w:p w14:paraId="34606B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В ценах учтено повышение цен на черные металлы и лесные материалы.</w:t>
      </w:r>
    </w:p>
    <w:p w14:paraId="720542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Цены моторов варьировались от 8700 для М-11 до 150000 для М-71</w:t>
      </w:r>
    </w:p>
    <w:p w14:paraId="4ED450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ОТПУСКНЫЕ ЦЕНЫ НА МОТОРЫ на 1940 год.</w:t>
      </w:r>
    </w:p>
    <w:tbl>
      <w:tblPr>
        <w:tblW w:w="0" w:type="auto"/>
        <w:tblInd w:w="40" w:type="dxa"/>
        <w:tblLayout w:type="fixed"/>
        <w:tblCellMar>
          <w:left w:w="40" w:type="dxa"/>
          <w:right w:w="40" w:type="dxa"/>
        </w:tblCellMar>
        <w:tblLook w:val="0000" w:firstRow="0" w:lastRow="0" w:firstColumn="0" w:lastColumn="0" w:noHBand="0" w:noVBand="0"/>
      </w:tblPr>
      <w:tblGrid>
        <w:gridCol w:w="842"/>
        <w:gridCol w:w="1584"/>
        <w:gridCol w:w="4651"/>
        <w:gridCol w:w="2808"/>
      </w:tblGrid>
      <w:tr w:rsidR="00983732" w:rsidRPr="00A3026E" w14:paraId="1E3743E9" w14:textId="77777777" w:rsidTr="00EA0DA7">
        <w:trPr>
          <w:trHeight w:val="1159"/>
        </w:trPr>
        <w:tc>
          <w:tcPr>
            <w:tcW w:w="842" w:type="dxa"/>
            <w:tcBorders>
              <w:top w:val="single" w:sz="12" w:space="0" w:color="auto"/>
              <w:left w:val="single" w:sz="12" w:space="0" w:color="auto"/>
              <w:bottom w:val="single" w:sz="6" w:space="0" w:color="auto"/>
              <w:right w:val="single" w:sz="6" w:space="0" w:color="auto"/>
            </w:tcBorders>
          </w:tcPr>
          <w:p w14:paraId="421CA8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60763B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w:t>
            </w:r>
          </w:p>
        </w:tc>
        <w:tc>
          <w:tcPr>
            <w:tcW w:w="1584" w:type="dxa"/>
            <w:tcBorders>
              <w:top w:val="single" w:sz="12" w:space="0" w:color="auto"/>
              <w:left w:val="single" w:sz="6" w:space="0" w:color="auto"/>
              <w:bottom w:val="single" w:sz="6" w:space="0" w:color="auto"/>
              <w:right w:val="single" w:sz="6" w:space="0" w:color="auto"/>
            </w:tcBorders>
          </w:tcPr>
          <w:p w14:paraId="32E32D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заводов</w:t>
            </w:r>
          </w:p>
        </w:tc>
        <w:tc>
          <w:tcPr>
            <w:tcW w:w="4651" w:type="dxa"/>
            <w:tcBorders>
              <w:top w:val="single" w:sz="12" w:space="0" w:color="auto"/>
              <w:left w:val="single" w:sz="6" w:space="0" w:color="auto"/>
              <w:bottom w:val="single" w:sz="6" w:space="0" w:color="auto"/>
              <w:right w:val="single" w:sz="6" w:space="0" w:color="auto"/>
            </w:tcBorders>
          </w:tcPr>
          <w:p w14:paraId="505E2B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изделия</w:t>
            </w:r>
          </w:p>
        </w:tc>
        <w:tc>
          <w:tcPr>
            <w:tcW w:w="2808" w:type="dxa"/>
            <w:tcBorders>
              <w:top w:val="single" w:sz="12" w:space="0" w:color="auto"/>
              <w:left w:val="single" w:sz="6" w:space="0" w:color="auto"/>
              <w:bottom w:val="single" w:sz="6" w:space="0" w:color="auto"/>
              <w:right w:val="single" w:sz="12" w:space="0" w:color="auto"/>
            </w:tcBorders>
          </w:tcPr>
          <w:p w14:paraId="47B24C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Отпускная цена на 1940 год в рублях</w:t>
            </w:r>
          </w:p>
        </w:tc>
      </w:tr>
      <w:tr w:rsidR="00983732" w:rsidRPr="00A3026E" w14:paraId="223A066A" w14:textId="77777777" w:rsidTr="00EA0DA7">
        <w:trPr>
          <w:trHeight w:val="547"/>
        </w:trPr>
        <w:tc>
          <w:tcPr>
            <w:tcW w:w="842" w:type="dxa"/>
            <w:tcBorders>
              <w:top w:val="single" w:sz="6" w:space="0" w:color="auto"/>
              <w:left w:val="single" w:sz="12" w:space="0" w:color="auto"/>
              <w:bottom w:val="single" w:sz="6" w:space="0" w:color="auto"/>
              <w:right w:val="single" w:sz="6" w:space="0" w:color="auto"/>
            </w:tcBorders>
          </w:tcPr>
          <w:p w14:paraId="4934F3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1584" w:type="dxa"/>
            <w:tcBorders>
              <w:top w:val="single" w:sz="6" w:space="0" w:color="auto"/>
              <w:left w:val="single" w:sz="6" w:space="0" w:color="auto"/>
              <w:bottom w:val="single" w:sz="6" w:space="0" w:color="auto"/>
              <w:right w:val="single" w:sz="6" w:space="0" w:color="auto"/>
            </w:tcBorders>
          </w:tcPr>
          <w:p w14:paraId="0F61BB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4651" w:type="dxa"/>
            <w:tcBorders>
              <w:top w:val="single" w:sz="6" w:space="0" w:color="auto"/>
              <w:left w:val="single" w:sz="6" w:space="0" w:color="auto"/>
              <w:bottom w:val="single" w:sz="6" w:space="0" w:color="auto"/>
              <w:right w:val="single" w:sz="6" w:space="0" w:color="auto"/>
            </w:tcBorders>
          </w:tcPr>
          <w:p w14:paraId="335B24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М-11 с приводом</w:t>
            </w:r>
          </w:p>
        </w:tc>
        <w:tc>
          <w:tcPr>
            <w:tcW w:w="2808" w:type="dxa"/>
            <w:tcBorders>
              <w:top w:val="single" w:sz="6" w:space="0" w:color="auto"/>
              <w:left w:val="single" w:sz="6" w:space="0" w:color="auto"/>
              <w:bottom w:val="single" w:sz="6" w:space="0" w:color="auto"/>
              <w:right w:val="single" w:sz="12" w:space="0" w:color="auto"/>
            </w:tcBorders>
          </w:tcPr>
          <w:p w14:paraId="4A8317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8700</w:t>
            </w:r>
          </w:p>
        </w:tc>
      </w:tr>
      <w:tr w:rsidR="00983732" w:rsidRPr="00A3026E" w14:paraId="00C6A875" w14:textId="77777777" w:rsidTr="00EA0DA7">
        <w:trPr>
          <w:trHeight w:val="367"/>
        </w:trPr>
        <w:tc>
          <w:tcPr>
            <w:tcW w:w="842" w:type="dxa"/>
            <w:tcBorders>
              <w:top w:val="single" w:sz="6" w:space="0" w:color="auto"/>
              <w:left w:val="single" w:sz="12" w:space="0" w:color="auto"/>
              <w:bottom w:val="single" w:sz="6" w:space="0" w:color="auto"/>
              <w:right w:val="single" w:sz="6" w:space="0" w:color="auto"/>
            </w:tcBorders>
          </w:tcPr>
          <w:p w14:paraId="2714DB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w:t>
            </w:r>
          </w:p>
        </w:tc>
        <w:tc>
          <w:tcPr>
            <w:tcW w:w="1584" w:type="dxa"/>
            <w:tcBorders>
              <w:top w:val="single" w:sz="6" w:space="0" w:color="auto"/>
              <w:left w:val="single" w:sz="6" w:space="0" w:color="auto"/>
              <w:bottom w:val="single" w:sz="6" w:space="0" w:color="auto"/>
              <w:right w:val="single" w:sz="6" w:space="0" w:color="auto"/>
            </w:tcBorders>
          </w:tcPr>
          <w:p w14:paraId="6627A4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16 </w:t>
            </w:r>
          </w:p>
        </w:tc>
        <w:tc>
          <w:tcPr>
            <w:tcW w:w="4651" w:type="dxa"/>
            <w:tcBorders>
              <w:top w:val="single" w:sz="6" w:space="0" w:color="auto"/>
              <w:left w:val="single" w:sz="6" w:space="0" w:color="auto"/>
              <w:bottom w:val="single" w:sz="6" w:space="0" w:color="auto"/>
              <w:right w:val="single" w:sz="6" w:space="0" w:color="auto"/>
            </w:tcBorders>
          </w:tcPr>
          <w:p w14:paraId="19D549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МВ-6 </w:t>
            </w:r>
          </w:p>
        </w:tc>
        <w:tc>
          <w:tcPr>
            <w:tcW w:w="2808" w:type="dxa"/>
            <w:tcBorders>
              <w:top w:val="single" w:sz="6" w:space="0" w:color="auto"/>
              <w:left w:val="single" w:sz="6" w:space="0" w:color="auto"/>
              <w:bottom w:val="single" w:sz="6" w:space="0" w:color="auto"/>
              <w:right w:val="single" w:sz="12" w:space="0" w:color="auto"/>
            </w:tcBorders>
          </w:tcPr>
          <w:p w14:paraId="2682BE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50000 </w:t>
            </w:r>
          </w:p>
        </w:tc>
      </w:tr>
      <w:tr w:rsidR="00983732" w:rsidRPr="00A3026E" w14:paraId="4CD6BEF8" w14:textId="77777777" w:rsidTr="00EA0DA7">
        <w:trPr>
          <w:trHeight w:val="389"/>
        </w:trPr>
        <w:tc>
          <w:tcPr>
            <w:tcW w:w="842" w:type="dxa"/>
            <w:tcBorders>
              <w:top w:val="single" w:sz="6" w:space="0" w:color="auto"/>
              <w:left w:val="single" w:sz="12" w:space="0" w:color="auto"/>
              <w:bottom w:val="single" w:sz="6" w:space="0" w:color="auto"/>
              <w:right w:val="single" w:sz="6" w:space="0" w:color="auto"/>
            </w:tcBorders>
          </w:tcPr>
          <w:p w14:paraId="603937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w:t>
            </w:r>
          </w:p>
        </w:tc>
        <w:tc>
          <w:tcPr>
            <w:tcW w:w="1584" w:type="dxa"/>
            <w:tcBorders>
              <w:top w:val="single" w:sz="6" w:space="0" w:color="auto"/>
              <w:left w:val="single" w:sz="6" w:space="0" w:color="auto"/>
              <w:bottom w:val="single" w:sz="6" w:space="0" w:color="auto"/>
              <w:right w:val="single" w:sz="6" w:space="0" w:color="auto"/>
            </w:tcBorders>
          </w:tcPr>
          <w:p w14:paraId="0E0EDB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16 </w:t>
            </w:r>
          </w:p>
        </w:tc>
        <w:tc>
          <w:tcPr>
            <w:tcW w:w="4651" w:type="dxa"/>
            <w:tcBorders>
              <w:top w:val="single" w:sz="6" w:space="0" w:color="auto"/>
              <w:left w:val="single" w:sz="6" w:space="0" w:color="auto"/>
              <w:bottom w:val="single" w:sz="6" w:space="0" w:color="auto"/>
              <w:right w:val="single" w:sz="6" w:space="0" w:color="auto"/>
            </w:tcBorders>
          </w:tcPr>
          <w:p w14:paraId="6B0AC9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c>
          <w:tcPr>
            <w:tcW w:w="2808" w:type="dxa"/>
            <w:tcBorders>
              <w:top w:val="single" w:sz="6" w:space="0" w:color="auto"/>
              <w:left w:val="single" w:sz="6" w:space="0" w:color="auto"/>
              <w:bottom w:val="single" w:sz="6" w:space="0" w:color="auto"/>
              <w:right w:val="single" w:sz="12" w:space="0" w:color="auto"/>
            </w:tcBorders>
          </w:tcPr>
          <w:p w14:paraId="17EBD1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100000</w:t>
            </w:r>
          </w:p>
        </w:tc>
      </w:tr>
      <w:tr w:rsidR="00983732" w:rsidRPr="00A3026E" w14:paraId="1200FA83" w14:textId="77777777" w:rsidTr="00EA0DA7">
        <w:trPr>
          <w:trHeight w:val="382"/>
        </w:trPr>
        <w:tc>
          <w:tcPr>
            <w:tcW w:w="842" w:type="dxa"/>
            <w:tcBorders>
              <w:top w:val="single" w:sz="6" w:space="0" w:color="auto"/>
              <w:left w:val="single" w:sz="12" w:space="0" w:color="auto"/>
              <w:bottom w:val="single" w:sz="6" w:space="0" w:color="auto"/>
              <w:right w:val="single" w:sz="6" w:space="0" w:color="auto"/>
            </w:tcBorders>
          </w:tcPr>
          <w:p w14:paraId="65691E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w:t>
            </w:r>
          </w:p>
        </w:tc>
        <w:tc>
          <w:tcPr>
            <w:tcW w:w="1584" w:type="dxa"/>
            <w:tcBorders>
              <w:top w:val="single" w:sz="6" w:space="0" w:color="auto"/>
              <w:left w:val="single" w:sz="6" w:space="0" w:color="auto"/>
              <w:bottom w:val="single" w:sz="6" w:space="0" w:color="auto"/>
              <w:right w:val="single" w:sz="6" w:space="0" w:color="auto"/>
            </w:tcBorders>
          </w:tcPr>
          <w:p w14:paraId="0CD6A3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 </w:t>
            </w:r>
          </w:p>
        </w:tc>
        <w:tc>
          <w:tcPr>
            <w:tcW w:w="4651" w:type="dxa"/>
            <w:tcBorders>
              <w:top w:val="single" w:sz="6" w:space="0" w:color="auto"/>
              <w:left w:val="single" w:sz="6" w:space="0" w:color="auto"/>
              <w:bottom w:val="single" w:sz="6" w:space="0" w:color="auto"/>
              <w:right w:val="single" w:sz="6" w:space="0" w:color="auto"/>
            </w:tcBorders>
          </w:tcPr>
          <w:p w14:paraId="213E07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c>
          <w:tcPr>
            <w:tcW w:w="2808" w:type="dxa"/>
            <w:tcBorders>
              <w:top w:val="single" w:sz="6" w:space="0" w:color="auto"/>
              <w:left w:val="single" w:sz="6" w:space="0" w:color="auto"/>
              <w:bottom w:val="single" w:sz="6" w:space="0" w:color="auto"/>
              <w:right w:val="single" w:sz="12" w:space="0" w:color="auto"/>
            </w:tcBorders>
          </w:tcPr>
          <w:p w14:paraId="63BE2E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41000 </w:t>
            </w:r>
          </w:p>
        </w:tc>
      </w:tr>
      <w:tr w:rsidR="00983732" w:rsidRPr="00A3026E" w14:paraId="041687F8" w14:textId="77777777" w:rsidTr="00EA0DA7">
        <w:trPr>
          <w:trHeight w:val="367"/>
        </w:trPr>
        <w:tc>
          <w:tcPr>
            <w:tcW w:w="842" w:type="dxa"/>
            <w:tcBorders>
              <w:top w:val="single" w:sz="6" w:space="0" w:color="auto"/>
              <w:left w:val="single" w:sz="12" w:space="0" w:color="auto"/>
              <w:bottom w:val="single" w:sz="6" w:space="0" w:color="auto"/>
              <w:right w:val="single" w:sz="6" w:space="0" w:color="auto"/>
            </w:tcBorders>
          </w:tcPr>
          <w:p w14:paraId="4A971B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5. </w:t>
            </w:r>
          </w:p>
        </w:tc>
        <w:tc>
          <w:tcPr>
            <w:tcW w:w="1584" w:type="dxa"/>
            <w:tcBorders>
              <w:top w:val="single" w:sz="6" w:space="0" w:color="auto"/>
              <w:left w:val="single" w:sz="6" w:space="0" w:color="auto"/>
              <w:bottom w:val="single" w:sz="6" w:space="0" w:color="auto"/>
              <w:right w:val="single" w:sz="6" w:space="0" w:color="auto"/>
            </w:tcBorders>
          </w:tcPr>
          <w:p w14:paraId="22191B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 </w:t>
            </w:r>
          </w:p>
        </w:tc>
        <w:tc>
          <w:tcPr>
            <w:tcW w:w="4651" w:type="dxa"/>
            <w:tcBorders>
              <w:top w:val="single" w:sz="6" w:space="0" w:color="auto"/>
              <w:left w:val="single" w:sz="6" w:space="0" w:color="auto"/>
              <w:bottom w:val="single" w:sz="6" w:space="0" w:color="auto"/>
              <w:right w:val="single" w:sz="6" w:space="0" w:color="auto"/>
            </w:tcBorders>
          </w:tcPr>
          <w:p w14:paraId="38538E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М-63 </w:t>
            </w:r>
          </w:p>
        </w:tc>
        <w:tc>
          <w:tcPr>
            <w:tcW w:w="2808" w:type="dxa"/>
            <w:tcBorders>
              <w:top w:val="single" w:sz="6" w:space="0" w:color="auto"/>
              <w:left w:val="single" w:sz="6" w:space="0" w:color="auto"/>
              <w:bottom w:val="single" w:sz="6" w:space="0" w:color="auto"/>
              <w:right w:val="single" w:sz="12" w:space="0" w:color="auto"/>
            </w:tcBorders>
          </w:tcPr>
          <w:p w14:paraId="788AE8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63000 </w:t>
            </w:r>
          </w:p>
        </w:tc>
      </w:tr>
      <w:tr w:rsidR="00983732" w:rsidRPr="00A3026E" w14:paraId="44B7D4A3" w14:textId="77777777" w:rsidTr="00EA0DA7">
        <w:trPr>
          <w:trHeight w:val="374"/>
        </w:trPr>
        <w:tc>
          <w:tcPr>
            <w:tcW w:w="842" w:type="dxa"/>
            <w:tcBorders>
              <w:top w:val="single" w:sz="6" w:space="0" w:color="auto"/>
              <w:left w:val="single" w:sz="12" w:space="0" w:color="auto"/>
              <w:bottom w:val="single" w:sz="6" w:space="0" w:color="auto"/>
              <w:right w:val="single" w:sz="6" w:space="0" w:color="auto"/>
            </w:tcBorders>
          </w:tcPr>
          <w:p w14:paraId="6F6AED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w:t>
            </w:r>
          </w:p>
        </w:tc>
        <w:tc>
          <w:tcPr>
            <w:tcW w:w="1584" w:type="dxa"/>
            <w:tcBorders>
              <w:top w:val="single" w:sz="6" w:space="0" w:color="auto"/>
              <w:left w:val="single" w:sz="6" w:space="0" w:color="auto"/>
              <w:bottom w:val="single" w:sz="6" w:space="0" w:color="auto"/>
              <w:right w:val="single" w:sz="6" w:space="0" w:color="auto"/>
            </w:tcBorders>
          </w:tcPr>
          <w:p w14:paraId="742C71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 </w:t>
            </w:r>
          </w:p>
        </w:tc>
        <w:tc>
          <w:tcPr>
            <w:tcW w:w="4651" w:type="dxa"/>
            <w:tcBorders>
              <w:top w:val="single" w:sz="6" w:space="0" w:color="auto"/>
              <w:left w:val="single" w:sz="6" w:space="0" w:color="auto"/>
              <w:bottom w:val="single" w:sz="6" w:space="0" w:color="auto"/>
              <w:right w:val="single" w:sz="6" w:space="0" w:color="auto"/>
            </w:tcBorders>
          </w:tcPr>
          <w:p w14:paraId="681B12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М-71 </w:t>
            </w:r>
          </w:p>
        </w:tc>
        <w:tc>
          <w:tcPr>
            <w:tcW w:w="2808" w:type="dxa"/>
            <w:tcBorders>
              <w:top w:val="single" w:sz="6" w:space="0" w:color="auto"/>
              <w:left w:val="single" w:sz="6" w:space="0" w:color="auto"/>
              <w:bottom w:val="single" w:sz="6" w:space="0" w:color="auto"/>
              <w:right w:val="single" w:sz="12" w:space="0" w:color="auto"/>
            </w:tcBorders>
          </w:tcPr>
          <w:p w14:paraId="7196E4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150000 </w:t>
            </w:r>
          </w:p>
        </w:tc>
      </w:tr>
      <w:tr w:rsidR="00983732" w:rsidRPr="00A3026E" w14:paraId="2206AD09" w14:textId="77777777" w:rsidTr="00EA0DA7">
        <w:trPr>
          <w:trHeight w:val="382"/>
        </w:trPr>
        <w:tc>
          <w:tcPr>
            <w:tcW w:w="842" w:type="dxa"/>
            <w:tcBorders>
              <w:top w:val="single" w:sz="6" w:space="0" w:color="auto"/>
              <w:left w:val="single" w:sz="12" w:space="0" w:color="auto"/>
              <w:bottom w:val="single" w:sz="6" w:space="0" w:color="auto"/>
              <w:right w:val="single" w:sz="6" w:space="0" w:color="auto"/>
            </w:tcBorders>
          </w:tcPr>
          <w:p w14:paraId="5B654C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w:t>
            </w:r>
          </w:p>
        </w:tc>
        <w:tc>
          <w:tcPr>
            <w:tcW w:w="1584" w:type="dxa"/>
            <w:tcBorders>
              <w:top w:val="single" w:sz="6" w:space="0" w:color="auto"/>
              <w:left w:val="single" w:sz="6" w:space="0" w:color="auto"/>
              <w:bottom w:val="single" w:sz="6" w:space="0" w:color="auto"/>
              <w:right w:val="single" w:sz="6" w:space="0" w:color="auto"/>
            </w:tcBorders>
          </w:tcPr>
          <w:p w14:paraId="582B27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 </w:t>
            </w:r>
          </w:p>
        </w:tc>
        <w:tc>
          <w:tcPr>
            <w:tcW w:w="4651" w:type="dxa"/>
            <w:tcBorders>
              <w:top w:val="single" w:sz="6" w:space="0" w:color="auto"/>
              <w:left w:val="single" w:sz="6" w:space="0" w:color="auto"/>
              <w:bottom w:val="single" w:sz="6" w:space="0" w:color="auto"/>
              <w:right w:val="single" w:sz="6" w:space="0" w:color="auto"/>
            </w:tcBorders>
          </w:tcPr>
          <w:p w14:paraId="0A9E6F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М-81 </w:t>
            </w:r>
          </w:p>
        </w:tc>
        <w:tc>
          <w:tcPr>
            <w:tcW w:w="2808" w:type="dxa"/>
            <w:tcBorders>
              <w:top w:val="single" w:sz="6" w:space="0" w:color="auto"/>
              <w:left w:val="single" w:sz="6" w:space="0" w:color="auto"/>
              <w:bottom w:val="single" w:sz="6" w:space="0" w:color="auto"/>
              <w:right w:val="single" w:sz="12" w:space="0" w:color="auto"/>
            </w:tcBorders>
          </w:tcPr>
          <w:p w14:paraId="7B19A6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125000 </w:t>
            </w:r>
          </w:p>
        </w:tc>
      </w:tr>
      <w:tr w:rsidR="00983732" w:rsidRPr="00A3026E" w14:paraId="3628BD6B" w14:textId="77777777" w:rsidTr="00EA0DA7">
        <w:trPr>
          <w:trHeight w:val="374"/>
        </w:trPr>
        <w:tc>
          <w:tcPr>
            <w:tcW w:w="842" w:type="dxa"/>
            <w:tcBorders>
              <w:top w:val="single" w:sz="6" w:space="0" w:color="auto"/>
              <w:left w:val="single" w:sz="12" w:space="0" w:color="auto"/>
              <w:bottom w:val="single" w:sz="6" w:space="0" w:color="auto"/>
              <w:right w:val="single" w:sz="6" w:space="0" w:color="auto"/>
            </w:tcBorders>
          </w:tcPr>
          <w:p w14:paraId="7528E7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w:t>
            </w:r>
          </w:p>
        </w:tc>
        <w:tc>
          <w:tcPr>
            <w:tcW w:w="1584" w:type="dxa"/>
            <w:tcBorders>
              <w:top w:val="single" w:sz="6" w:space="0" w:color="auto"/>
              <w:left w:val="single" w:sz="6" w:space="0" w:color="auto"/>
              <w:bottom w:val="single" w:sz="6" w:space="0" w:color="auto"/>
              <w:right w:val="single" w:sz="6" w:space="0" w:color="auto"/>
            </w:tcBorders>
          </w:tcPr>
          <w:p w14:paraId="3D479E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 </w:t>
            </w:r>
          </w:p>
        </w:tc>
        <w:tc>
          <w:tcPr>
            <w:tcW w:w="4651" w:type="dxa"/>
            <w:tcBorders>
              <w:top w:val="single" w:sz="6" w:space="0" w:color="auto"/>
              <w:left w:val="single" w:sz="6" w:space="0" w:color="auto"/>
              <w:bottom w:val="single" w:sz="6" w:space="0" w:color="auto"/>
              <w:right w:val="single" w:sz="6" w:space="0" w:color="auto"/>
            </w:tcBorders>
          </w:tcPr>
          <w:p w14:paraId="7FA9E0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c>
          <w:tcPr>
            <w:tcW w:w="2808" w:type="dxa"/>
            <w:tcBorders>
              <w:top w:val="single" w:sz="6" w:space="0" w:color="auto"/>
              <w:left w:val="single" w:sz="6" w:space="0" w:color="auto"/>
              <w:bottom w:val="single" w:sz="6" w:space="0" w:color="auto"/>
              <w:right w:val="single" w:sz="12" w:space="0" w:color="auto"/>
            </w:tcBorders>
          </w:tcPr>
          <w:p w14:paraId="331134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63000 </w:t>
            </w:r>
          </w:p>
        </w:tc>
      </w:tr>
      <w:tr w:rsidR="00983732" w:rsidRPr="00A3026E" w14:paraId="647BF601" w14:textId="77777777" w:rsidTr="00EA0DA7">
        <w:trPr>
          <w:trHeight w:val="367"/>
        </w:trPr>
        <w:tc>
          <w:tcPr>
            <w:tcW w:w="842" w:type="dxa"/>
            <w:tcBorders>
              <w:top w:val="single" w:sz="6" w:space="0" w:color="auto"/>
              <w:left w:val="single" w:sz="12" w:space="0" w:color="auto"/>
              <w:bottom w:val="single" w:sz="6" w:space="0" w:color="auto"/>
              <w:right w:val="single" w:sz="6" w:space="0" w:color="auto"/>
            </w:tcBorders>
          </w:tcPr>
          <w:p w14:paraId="53F790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w:t>
            </w:r>
          </w:p>
        </w:tc>
        <w:tc>
          <w:tcPr>
            <w:tcW w:w="1584" w:type="dxa"/>
            <w:tcBorders>
              <w:top w:val="single" w:sz="6" w:space="0" w:color="auto"/>
              <w:left w:val="single" w:sz="6" w:space="0" w:color="auto"/>
              <w:bottom w:val="single" w:sz="6" w:space="0" w:color="auto"/>
              <w:right w:val="single" w:sz="6" w:space="0" w:color="auto"/>
            </w:tcBorders>
          </w:tcPr>
          <w:p w14:paraId="5B782E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 </w:t>
            </w:r>
          </w:p>
        </w:tc>
        <w:tc>
          <w:tcPr>
            <w:tcW w:w="4651" w:type="dxa"/>
            <w:tcBorders>
              <w:top w:val="single" w:sz="6" w:space="0" w:color="auto"/>
              <w:left w:val="single" w:sz="6" w:space="0" w:color="auto"/>
              <w:bottom w:val="single" w:sz="6" w:space="0" w:color="auto"/>
              <w:right w:val="single" w:sz="6" w:space="0" w:color="auto"/>
            </w:tcBorders>
          </w:tcPr>
          <w:p w14:paraId="2C8E53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М-62ИР </w:t>
            </w:r>
          </w:p>
        </w:tc>
        <w:tc>
          <w:tcPr>
            <w:tcW w:w="2808" w:type="dxa"/>
            <w:tcBorders>
              <w:top w:val="single" w:sz="6" w:space="0" w:color="auto"/>
              <w:left w:val="single" w:sz="6" w:space="0" w:color="auto"/>
              <w:bottom w:val="single" w:sz="6" w:space="0" w:color="auto"/>
              <w:right w:val="single" w:sz="12" w:space="0" w:color="auto"/>
            </w:tcBorders>
          </w:tcPr>
          <w:p w14:paraId="6B2423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70000 </w:t>
            </w:r>
          </w:p>
        </w:tc>
      </w:tr>
      <w:tr w:rsidR="00983732" w:rsidRPr="00A3026E" w14:paraId="6B7E476E" w14:textId="77777777" w:rsidTr="00EA0DA7">
        <w:trPr>
          <w:trHeight w:val="374"/>
        </w:trPr>
        <w:tc>
          <w:tcPr>
            <w:tcW w:w="842" w:type="dxa"/>
            <w:tcBorders>
              <w:top w:val="single" w:sz="6" w:space="0" w:color="auto"/>
              <w:left w:val="single" w:sz="12" w:space="0" w:color="auto"/>
              <w:bottom w:val="single" w:sz="6" w:space="0" w:color="auto"/>
              <w:right w:val="single" w:sz="6" w:space="0" w:color="auto"/>
            </w:tcBorders>
          </w:tcPr>
          <w:p w14:paraId="029977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w:t>
            </w:r>
          </w:p>
        </w:tc>
        <w:tc>
          <w:tcPr>
            <w:tcW w:w="1584" w:type="dxa"/>
            <w:tcBorders>
              <w:top w:val="single" w:sz="6" w:space="0" w:color="auto"/>
              <w:left w:val="single" w:sz="6" w:space="0" w:color="auto"/>
              <w:bottom w:val="single" w:sz="6" w:space="0" w:color="auto"/>
              <w:right w:val="single" w:sz="6" w:space="0" w:color="auto"/>
            </w:tcBorders>
          </w:tcPr>
          <w:p w14:paraId="548597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 </w:t>
            </w:r>
          </w:p>
        </w:tc>
        <w:tc>
          <w:tcPr>
            <w:tcW w:w="4651" w:type="dxa"/>
            <w:tcBorders>
              <w:top w:val="single" w:sz="6" w:space="0" w:color="auto"/>
              <w:left w:val="single" w:sz="6" w:space="0" w:color="auto"/>
              <w:bottom w:val="single" w:sz="6" w:space="0" w:color="auto"/>
              <w:right w:val="single" w:sz="6" w:space="0" w:color="auto"/>
            </w:tcBorders>
          </w:tcPr>
          <w:p w14:paraId="2402E2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АМ-34НБ </w:t>
            </w:r>
          </w:p>
        </w:tc>
        <w:tc>
          <w:tcPr>
            <w:tcW w:w="2808" w:type="dxa"/>
            <w:tcBorders>
              <w:top w:val="single" w:sz="6" w:space="0" w:color="auto"/>
              <w:left w:val="single" w:sz="6" w:space="0" w:color="auto"/>
              <w:bottom w:val="single" w:sz="6" w:space="0" w:color="auto"/>
              <w:right w:val="single" w:sz="12" w:space="0" w:color="auto"/>
            </w:tcBorders>
          </w:tcPr>
          <w:p w14:paraId="1DCA0D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52000 </w:t>
            </w:r>
          </w:p>
        </w:tc>
      </w:tr>
      <w:tr w:rsidR="00983732" w:rsidRPr="00A3026E" w14:paraId="77D7536C" w14:textId="77777777" w:rsidTr="00EA0DA7">
        <w:trPr>
          <w:trHeight w:val="374"/>
        </w:trPr>
        <w:tc>
          <w:tcPr>
            <w:tcW w:w="842" w:type="dxa"/>
            <w:tcBorders>
              <w:top w:val="single" w:sz="6" w:space="0" w:color="auto"/>
              <w:left w:val="single" w:sz="12" w:space="0" w:color="auto"/>
              <w:bottom w:val="single" w:sz="6" w:space="0" w:color="auto"/>
              <w:right w:val="single" w:sz="6" w:space="0" w:color="auto"/>
            </w:tcBorders>
          </w:tcPr>
          <w:p w14:paraId="668728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w:t>
            </w:r>
          </w:p>
        </w:tc>
        <w:tc>
          <w:tcPr>
            <w:tcW w:w="1584" w:type="dxa"/>
            <w:tcBorders>
              <w:top w:val="single" w:sz="6" w:space="0" w:color="auto"/>
              <w:left w:val="single" w:sz="6" w:space="0" w:color="auto"/>
              <w:bottom w:val="single" w:sz="6" w:space="0" w:color="auto"/>
              <w:right w:val="single" w:sz="6" w:space="0" w:color="auto"/>
            </w:tcBorders>
          </w:tcPr>
          <w:p w14:paraId="6A1BDD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 </w:t>
            </w:r>
          </w:p>
        </w:tc>
        <w:tc>
          <w:tcPr>
            <w:tcW w:w="4651" w:type="dxa"/>
            <w:tcBorders>
              <w:top w:val="single" w:sz="6" w:space="0" w:color="auto"/>
              <w:left w:val="single" w:sz="6" w:space="0" w:color="auto"/>
              <w:bottom w:val="single" w:sz="6" w:space="0" w:color="auto"/>
              <w:right w:val="single" w:sz="6" w:space="0" w:color="auto"/>
            </w:tcBorders>
          </w:tcPr>
          <w:p w14:paraId="4A0F0F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АМ-34ГМБС </w:t>
            </w:r>
          </w:p>
        </w:tc>
        <w:tc>
          <w:tcPr>
            <w:tcW w:w="2808" w:type="dxa"/>
            <w:tcBorders>
              <w:top w:val="single" w:sz="6" w:space="0" w:color="auto"/>
              <w:left w:val="single" w:sz="6" w:space="0" w:color="auto"/>
              <w:bottom w:val="single" w:sz="6" w:space="0" w:color="auto"/>
              <w:right w:val="single" w:sz="12" w:space="0" w:color="auto"/>
            </w:tcBorders>
          </w:tcPr>
          <w:p w14:paraId="3EE525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66500 </w:t>
            </w:r>
          </w:p>
        </w:tc>
      </w:tr>
      <w:tr w:rsidR="00983732" w:rsidRPr="00A3026E" w14:paraId="76EF8D5C" w14:textId="77777777" w:rsidTr="00EA0DA7">
        <w:trPr>
          <w:trHeight w:val="374"/>
        </w:trPr>
        <w:tc>
          <w:tcPr>
            <w:tcW w:w="842" w:type="dxa"/>
            <w:tcBorders>
              <w:top w:val="single" w:sz="6" w:space="0" w:color="auto"/>
              <w:left w:val="single" w:sz="12" w:space="0" w:color="auto"/>
              <w:bottom w:val="single" w:sz="6" w:space="0" w:color="auto"/>
              <w:right w:val="single" w:sz="6" w:space="0" w:color="auto"/>
            </w:tcBorders>
          </w:tcPr>
          <w:p w14:paraId="1AA852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 </w:t>
            </w:r>
          </w:p>
        </w:tc>
        <w:tc>
          <w:tcPr>
            <w:tcW w:w="1584" w:type="dxa"/>
            <w:tcBorders>
              <w:top w:val="single" w:sz="6" w:space="0" w:color="auto"/>
              <w:left w:val="single" w:sz="6" w:space="0" w:color="auto"/>
              <w:bottom w:val="single" w:sz="6" w:space="0" w:color="auto"/>
              <w:right w:val="single" w:sz="6" w:space="0" w:color="auto"/>
            </w:tcBorders>
          </w:tcPr>
          <w:p w14:paraId="46849E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 </w:t>
            </w:r>
          </w:p>
        </w:tc>
        <w:tc>
          <w:tcPr>
            <w:tcW w:w="4651" w:type="dxa"/>
            <w:tcBorders>
              <w:top w:val="single" w:sz="6" w:space="0" w:color="auto"/>
              <w:left w:val="single" w:sz="6" w:space="0" w:color="auto"/>
              <w:bottom w:val="single" w:sz="6" w:space="0" w:color="auto"/>
              <w:right w:val="single" w:sz="6" w:space="0" w:color="auto"/>
            </w:tcBorders>
          </w:tcPr>
          <w:p w14:paraId="68BCF3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АМ-34ГМБС-Ф</w:t>
            </w:r>
          </w:p>
        </w:tc>
        <w:tc>
          <w:tcPr>
            <w:tcW w:w="2808" w:type="dxa"/>
            <w:tcBorders>
              <w:top w:val="single" w:sz="6" w:space="0" w:color="auto"/>
              <w:left w:val="single" w:sz="6" w:space="0" w:color="auto"/>
              <w:bottom w:val="single" w:sz="6" w:space="0" w:color="auto"/>
              <w:right w:val="single" w:sz="12" w:space="0" w:color="auto"/>
            </w:tcBorders>
          </w:tcPr>
          <w:p w14:paraId="33DE6C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76100 </w:t>
            </w:r>
          </w:p>
        </w:tc>
      </w:tr>
      <w:tr w:rsidR="00983732" w:rsidRPr="00A3026E" w14:paraId="4A9D817F" w14:textId="77777777" w:rsidTr="00EA0DA7">
        <w:trPr>
          <w:trHeight w:val="367"/>
        </w:trPr>
        <w:tc>
          <w:tcPr>
            <w:tcW w:w="842" w:type="dxa"/>
            <w:tcBorders>
              <w:top w:val="single" w:sz="6" w:space="0" w:color="auto"/>
              <w:left w:val="single" w:sz="12" w:space="0" w:color="auto"/>
              <w:bottom w:val="single" w:sz="6" w:space="0" w:color="auto"/>
              <w:right w:val="single" w:sz="6" w:space="0" w:color="auto"/>
            </w:tcBorders>
          </w:tcPr>
          <w:p w14:paraId="5F0F0C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 </w:t>
            </w:r>
          </w:p>
        </w:tc>
        <w:tc>
          <w:tcPr>
            <w:tcW w:w="1584" w:type="dxa"/>
            <w:tcBorders>
              <w:top w:val="single" w:sz="6" w:space="0" w:color="auto"/>
              <w:left w:val="single" w:sz="6" w:space="0" w:color="auto"/>
              <w:bottom w:val="single" w:sz="6" w:space="0" w:color="auto"/>
              <w:right w:val="single" w:sz="6" w:space="0" w:color="auto"/>
            </w:tcBorders>
          </w:tcPr>
          <w:p w14:paraId="5F5A35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 </w:t>
            </w:r>
          </w:p>
        </w:tc>
        <w:tc>
          <w:tcPr>
            <w:tcW w:w="4651" w:type="dxa"/>
            <w:tcBorders>
              <w:top w:val="single" w:sz="6" w:space="0" w:color="auto"/>
              <w:left w:val="single" w:sz="6" w:space="0" w:color="auto"/>
              <w:bottom w:val="single" w:sz="6" w:space="0" w:color="auto"/>
              <w:right w:val="single" w:sz="6" w:space="0" w:color="auto"/>
            </w:tcBorders>
          </w:tcPr>
          <w:p w14:paraId="22B262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М-35 </w:t>
            </w:r>
          </w:p>
        </w:tc>
        <w:tc>
          <w:tcPr>
            <w:tcW w:w="2808" w:type="dxa"/>
            <w:tcBorders>
              <w:top w:val="single" w:sz="6" w:space="0" w:color="auto"/>
              <w:left w:val="single" w:sz="6" w:space="0" w:color="auto"/>
              <w:bottom w:val="single" w:sz="6" w:space="0" w:color="auto"/>
              <w:right w:val="single" w:sz="12" w:space="0" w:color="auto"/>
            </w:tcBorders>
          </w:tcPr>
          <w:p w14:paraId="306C6C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80000 </w:t>
            </w:r>
          </w:p>
        </w:tc>
      </w:tr>
      <w:tr w:rsidR="00983732" w:rsidRPr="00A3026E" w14:paraId="04DC5868" w14:textId="77777777" w:rsidTr="00EA0DA7">
        <w:trPr>
          <w:trHeight w:val="374"/>
        </w:trPr>
        <w:tc>
          <w:tcPr>
            <w:tcW w:w="842" w:type="dxa"/>
            <w:tcBorders>
              <w:top w:val="single" w:sz="6" w:space="0" w:color="auto"/>
              <w:left w:val="single" w:sz="12" w:space="0" w:color="auto"/>
              <w:bottom w:val="single" w:sz="6" w:space="0" w:color="auto"/>
              <w:right w:val="single" w:sz="6" w:space="0" w:color="auto"/>
            </w:tcBorders>
          </w:tcPr>
          <w:p w14:paraId="177DB4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14. </w:t>
            </w:r>
          </w:p>
        </w:tc>
        <w:tc>
          <w:tcPr>
            <w:tcW w:w="1584" w:type="dxa"/>
            <w:tcBorders>
              <w:top w:val="single" w:sz="6" w:space="0" w:color="auto"/>
              <w:left w:val="single" w:sz="6" w:space="0" w:color="auto"/>
              <w:bottom w:val="single" w:sz="6" w:space="0" w:color="auto"/>
              <w:right w:val="single" w:sz="6" w:space="0" w:color="auto"/>
            </w:tcBorders>
          </w:tcPr>
          <w:p w14:paraId="4C7C20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 </w:t>
            </w:r>
          </w:p>
        </w:tc>
        <w:tc>
          <w:tcPr>
            <w:tcW w:w="4651" w:type="dxa"/>
            <w:tcBorders>
              <w:top w:val="single" w:sz="6" w:space="0" w:color="auto"/>
              <w:left w:val="single" w:sz="6" w:space="0" w:color="auto"/>
              <w:bottom w:val="single" w:sz="6" w:space="0" w:color="auto"/>
              <w:right w:val="single" w:sz="6" w:space="0" w:color="auto"/>
            </w:tcBorders>
          </w:tcPr>
          <w:p w14:paraId="510554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М-36 </w:t>
            </w:r>
          </w:p>
        </w:tc>
        <w:tc>
          <w:tcPr>
            <w:tcW w:w="2808" w:type="dxa"/>
            <w:tcBorders>
              <w:top w:val="single" w:sz="6" w:space="0" w:color="auto"/>
              <w:left w:val="single" w:sz="6" w:space="0" w:color="auto"/>
              <w:bottom w:val="single" w:sz="6" w:space="0" w:color="auto"/>
              <w:right w:val="single" w:sz="12" w:space="0" w:color="auto"/>
            </w:tcBorders>
          </w:tcPr>
          <w:p w14:paraId="548EC9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150000 </w:t>
            </w:r>
          </w:p>
        </w:tc>
      </w:tr>
      <w:tr w:rsidR="00983732" w:rsidRPr="00A3026E" w14:paraId="063B9951" w14:textId="77777777" w:rsidTr="00EA0DA7">
        <w:trPr>
          <w:trHeight w:val="374"/>
        </w:trPr>
        <w:tc>
          <w:tcPr>
            <w:tcW w:w="842" w:type="dxa"/>
            <w:tcBorders>
              <w:top w:val="single" w:sz="6" w:space="0" w:color="auto"/>
              <w:left w:val="single" w:sz="12" w:space="0" w:color="auto"/>
              <w:bottom w:val="single" w:sz="6" w:space="0" w:color="auto"/>
              <w:right w:val="single" w:sz="6" w:space="0" w:color="auto"/>
            </w:tcBorders>
          </w:tcPr>
          <w:p w14:paraId="14383D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 </w:t>
            </w:r>
          </w:p>
        </w:tc>
        <w:tc>
          <w:tcPr>
            <w:tcW w:w="1584" w:type="dxa"/>
            <w:tcBorders>
              <w:top w:val="single" w:sz="6" w:space="0" w:color="auto"/>
              <w:left w:val="single" w:sz="6" w:space="0" w:color="auto"/>
              <w:bottom w:val="single" w:sz="6" w:space="0" w:color="auto"/>
              <w:right w:val="single" w:sz="6" w:space="0" w:color="auto"/>
            </w:tcBorders>
          </w:tcPr>
          <w:p w14:paraId="4CA538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26 </w:t>
            </w:r>
          </w:p>
        </w:tc>
        <w:tc>
          <w:tcPr>
            <w:tcW w:w="4651" w:type="dxa"/>
            <w:tcBorders>
              <w:top w:val="single" w:sz="6" w:space="0" w:color="auto"/>
              <w:left w:val="single" w:sz="6" w:space="0" w:color="auto"/>
              <w:bottom w:val="single" w:sz="6" w:space="0" w:color="auto"/>
              <w:right w:val="single" w:sz="6" w:space="0" w:color="auto"/>
            </w:tcBorders>
          </w:tcPr>
          <w:p w14:paraId="797E12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М-103</w:t>
            </w:r>
          </w:p>
        </w:tc>
        <w:tc>
          <w:tcPr>
            <w:tcW w:w="2808" w:type="dxa"/>
            <w:tcBorders>
              <w:top w:val="single" w:sz="6" w:space="0" w:color="auto"/>
              <w:left w:val="single" w:sz="6" w:space="0" w:color="auto"/>
              <w:bottom w:val="single" w:sz="6" w:space="0" w:color="auto"/>
              <w:right w:val="single" w:sz="12" w:space="0" w:color="auto"/>
            </w:tcBorders>
          </w:tcPr>
          <w:p w14:paraId="74A558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41000 </w:t>
            </w:r>
          </w:p>
        </w:tc>
      </w:tr>
      <w:tr w:rsidR="00983732" w:rsidRPr="00A3026E" w14:paraId="1F57F1D6" w14:textId="77777777" w:rsidTr="00EA0DA7">
        <w:trPr>
          <w:trHeight w:val="425"/>
        </w:trPr>
        <w:tc>
          <w:tcPr>
            <w:tcW w:w="842" w:type="dxa"/>
            <w:tcBorders>
              <w:top w:val="single" w:sz="6" w:space="0" w:color="auto"/>
              <w:left w:val="single" w:sz="12" w:space="0" w:color="auto"/>
              <w:bottom w:val="single" w:sz="6" w:space="0" w:color="auto"/>
              <w:right w:val="single" w:sz="6" w:space="0" w:color="auto"/>
            </w:tcBorders>
          </w:tcPr>
          <w:p w14:paraId="37756E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16. </w:t>
            </w:r>
          </w:p>
        </w:tc>
        <w:tc>
          <w:tcPr>
            <w:tcW w:w="1584" w:type="dxa"/>
            <w:tcBorders>
              <w:top w:val="single" w:sz="6" w:space="0" w:color="auto"/>
              <w:left w:val="single" w:sz="6" w:space="0" w:color="auto"/>
              <w:bottom w:val="single" w:sz="6" w:space="0" w:color="auto"/>
              <w:right w:val="single" w:sz="6" w:space="0" w:color="auto"/>
            </w:tcBorders>
          </w:tcPr>
          <w:p w14:paraId="2F1B0A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26 </w:t>
            </w:r>
          </w:p>
        </w:tc>
        <w:tc>
          <w:tcPr>
            <w:tcW w:w="4651" w:type="dxa"/>
            <w:tcBorders>
              <w:top w:val="single" w:sz="6" w:space="0" w:color="auto"/>
              <w:left w:val="single" w:sz="6" w:space="0" w:color="auto"/>
              <w:bottom w:val="single" w:sz="6" w:space="0" w:color="auto"/>
              <w:right w:val="single" w:sz="6" w:space="0" w:color="auto"/>
            </w:tcBorders>
          </w:tcPr>
          <w:p w14:paraId="3B62E0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М-103А</w:t>
            </w:r>
          </w:p>
        </w:tc>
        <w:tc>
          <w:tcPr>
            <w:tcW w:w="2808" w:type="dxa"/>
            <w:tcBorders>
              <w:top w:val="single" w:sz="6" w:space="0" w:color="auto"/>
              <w:left w:val="single" w:sz="6" w:space="0" w:color="auto"/>
              <w:bottom w:val="single" w:sz="6" w:space="0" w:color="auto"/>
              <w:right w:val="single" w:sz="12" w:space="0" w:color="auto"/>
            </w:tcBorders>
          </w:tcPr>
          <w:p w14:paraId="5B4C76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42000 </w:t>
            </w:r>
          </w:p>
        </w:tc>
      </w:tr>
      <w:tr w:rsidR="00983732" w:rsidRPr="00A3026E" w14:paraId="3CE91460" w14:textId="77777777" w:rsidTr="00EA0DA7">
        <w:trPr>
          <w:trHeight w:val="331"/>
        </w:trPr>
        <w:tc>
          <w:tcPr>
            <w:tcW w:w="842" w:type="dxa"/>
            <w:tcBorders>
              <w:top w:val="single" w:sz="6" w:space="0" w:color="auto"/>
              <w:left w:val="single" w:sz="12" w:space="0" w:color="auto"/>
              <w:bottom w:val="single" w:sz="6" w:space="0" w:color="auto"/>
              <w:right w:val="single" w:sz="6" w:space="0" w:color="auto"/>
            </w:tcBorders>
          </w:tcPr>
          <w:p w14:paraId="0BE560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 </w:t>
            </w:r>
          </w:p>
        </w:tc>
        <w:tc>
          <w:tcPr>
            <w:tcW w:w="1584" w:type="dxa"/>
            <w:tcBorders>
              <w:top w:val="single" w:sz="6" w:space="0" w:color="auto"/>
              <w:left w:val="single" w:sz="6" w:space="0" w:color="auto"/>
              <w:bottom w:val="single" w:sz="6" w:space="0" w:color="auto"/>
              <w:right w:val="single" w:sz="6" w:space="0" w:color="auto"/>
            </w:tcBorders>
          </w:tcPr>
          <w:p w14:paraId="79BAC7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26 </w:t>
            </w:r>
          </w:p>
        </w:tc>
        <w:tc>
          <w:tcPr>
            <w:tcW w:w="4651" w:type="dxa"/>
            <w:tcBorders>
              <w:top w:val="single" w:sz="6" w:space="0" w:color="auto"/>
              <w:left w:val="single" w:sz="6" w:space="0" w:color="auto"/>
              <w:bottom w:val="single" w:sz="6" w:space="0" w:color="auto"/>
              <w:right w:val="single" w:sz="6" w:space="0" w:color="auto"/>
            </w:tcBorders>
          </w:tcPr>
          <w:p w14:paraId="0D7347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c>
          <w:tcPr>
            <w:tcW w:w="2808" w:type="dxa"/>
            <w:tcBorders>
              <w:top w:val="single" w:sz="6" w:space="0" w:color="auto"/>
              <w:left w:val="single" w:sz="6" w:space="0" w:color="auto"/>
              <w:bottom w:val="single" w:sz="6" w:space="0" w:color="auto"/>
              <w:right w:val="single" w:sz="12" w:space="0" w:color="auto"/>
            </w:tcBorders>
          </w:tcPr>
          <w:p w14:paraId="1A940D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60000 </w:t>
            </w:r>
          </w:p>
        </w:tc>
      </w:tr>
      <w:tr w:rsidR="00983732" w:rsidRPr="00A3026E" w14:paraId="4F2F6215" w14:textId="77777777" w:rsidTr="00EA0DA7">
        <w:trPr>
          <w:trHeight w:val="367"/>
        </w:trPr>
        <w:tc>
          <w:tcPr>
            <w:tcW w:w="842" w:type="dxa"/>
            <w:tcBorders>
              <w:top w:val="single" w:sz="6" w:space="0" w:color="auto"/>
              <w:left w:val="single" w:sz="12" w:space="0" w:color="auto"/>
              <w:bottom w:val="single" w:sz="6" w:space="0" w:color="auto"/>
              <w:right w:val="single" w:sz="6" w:space="0" w:color="auto"/>
            </w:tcBorders>
          </w:tcPr>
          <w:p w14:paraId="54BF77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18. </w:t>
            </w:r>
          </w:p>
        </w:tc>
        <w:tc>
          <w:tcPr>
            <w:tcW w:w="1584" w:type="dxa"/>
            <w:tcBorders>
              <w:top w:val="single" w:sz="6" w:space="0" w:color="auto"/>
              <w:left w:val="single" w:sz="6" w:space="0" w:color="auto"/>
              <w:bottom w:val="single" w:sz="6" w:space="0" w:color="auto"/>
              <w:right w:val="single" w:sz="6" w:space="0" w:color="auto"/>
            </w:tcBorders>
          </w:tcPr>
          <w:p w14:paraId="505B0D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26 </w:t>
            </w:r>
          </w:p>
        </w:tc>
        <w:tc>
          <w:tcPr>
            <w:tcW w:w="4651" w:type="dxa"/>
            <w:tcBorders>
              <w:top w:val="single" w:sz="6" w:space="0" w:color="auto"/>
              <w:left w:val="single" w:sz="6" w:space="0" w:color="auto"/>
              <w:bottom w:val="single" w:sz="6" w:space="0" w:color="auto"/>
              <w:right w:val="single" w:sz="6" w:space="0" w:color="auto"/>
            </w:tcBorders>
          </w:tcPr>
          <w:p w14:paraId="503240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М-120 </w:t>
            </w:r>
          </w:p>
        </w:tc>
        <w:tc>
          <w:tcPr>
            <w:tcW w:w="2808" w:type="dxa"/>
            <w:tcBorders>
              <w:top w:val="single" w:sz="6" w:space="0" w:color="auto"/>
              <w:left w:val="single" w:sz="6" w:space="0" w:color="auto"/>
              <w:bottom w:val="single" w:sz="6" w:space="0" w:color="auto"/>
              <w:right w:val="single" w:sz="12" w:space="0" w:color="auto"/>
            </w:tcBorders>
          </w:tcPr>
          <w:p w14:paraId="32F07E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110000 </w:t>
            </w:r>
          </w:p>
        </w:tc>
      </w:tr>
      <w:tr w:rsidR="00983732" w:rsidRPr="00A3026E" w14:paraId="7D6A6407" w14:textId="77777777" w:rsidTr="00EA0DA7">
        <w:trPr>
          <w:trHeight w:val="389"/>
        </w:trPr>
        <w:tc>
          <w:tcPr>
            <w:tcW w:w="842" w:type="dxa"/>
            <w:tcBorders>
              <w:top w:val="single" w:sz="6" w:space="0" w:color="auto"/>
              <w:left w:val="single" w:sz="12" w:space="0" w:color="auto"/>
              <w:bottom w:val="single" w:sz="6" w:space="0" w:color="auto"/>
              <w:right w:val="single" w:sz="6" w:space="0" w:color="auto"/>
            </w:tcBorders>
          </w:tcPr>
          <w:p w14:paraId="67D29F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 </w:t>
            </w:r>
          </w:p>
        </w:tc>
        <w:tc>
          <w:tcPr>
            <w:tcW w:w="1584" w:type="dxa"/>
            <w:tcBorders>
              <w:top w:val="single" w:sz="6" w:space="0" w:color="auto"/>
              <w:left w:val="single" w:sz="6" w:space="0" w:color="auto"/>
              <w:bottom w:val="single" w:sz="6" w:space="0" w:color="auto"/>
              <w:right w:val="single" w:sz="6" w:space="0" w:color="auto"/>
            </w:tcBorders>
          </w:tcPr>
          <w:p w14:paraId="164AB7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29 </w:t>
            </w:r>
          </w:p>
        </w:tc>
        <w:tc>
          <w:tcPr>
            <w:tcW w:w="4651" w:type="dxa"/>
            <w:tcBorders>
              <w:top w:val="single" w:sz="6" w:space="0" w:color="auto"/>
              <w:left w:val="single" w:sz="6" w:space="0" w:color="auto"/>
              <w:bottom w:val="single" w:sz="6" w:space="0" w:color="auto"/>
              <w:right w:val="single" w:sz="6" w:space="0" w:color="auto"/>
            </w:tcBorders>
          </w:tcPr>
          <w:p w14:paraId="4B65CC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М-87</w:t>
            </w:r>
          </w:p>
        </w:tc>
        <w:tc>
          <w:tcPr>
            <w:tcW w:w="2808" w:type="dxa"/>
            <w:tcBorders>
              <w:top w:val="single" w:sz="6" w:space="0" w:color="auto"/>
              <w:left w:val="single" w:sz="6" w:space="0" w:color="auto"/>
              <w:bottom w:val="single" w:sz="6" w:space="0" w:color="auto"/>
              <w:right w:val="single" w:sz="12" w:space="0" w:color="auto"/>
            </w:tcBorders>
          </w:tcPr>
          <w:p w14:paraId="1B6E9C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60000 </w:t>
            </w:r>
          </w:p>
        </w:tc>
      </w:tr>
      <w:tr w:rsidR="00983732" w:rsidRPr="00A3026E" w14:paraId="2EC822C6" w14:textId="77777777" w:rsidTr="00EA0DA7">
        <w:trPr>
          <w:trHeight w:val="367"/>
        </w:trPr>
        <w:tc>
          <w:tcPr>
            <w:tcW w:w="842" w:type="dxa"/>
            <w:tcBorders>
              <w:top w:val="single" w:sz="6" w:space="0" w:color="auto"/>
              <w:left w:val="single" w:sz="12" w:space="0" w:color="auto"/>
              <w:bottom w:val="single" w:sz="6" w:space="0" w:color="auto"/>
              <w:right w:val="single" w:sz="6" w:space="0" w:color="auto"/>
            </w:tcBorders>
          </w:tcPr>
          <w:p w14:paraId="758C60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 </w:t>
            </w:r>
          </w:p>
        </w:tc>
        <w:tc>
          <w:tcPr>
            <w:tcW w:w="1584" w:type="dxa"/>
            <w:tcBorders>
              <w:top w:val="single" w:sz="6" w:space="0" w:color="auto"/>
              <w:left w:val="single" w:sz="6" w:space="0" w:color="auto"/>
              <w:bottom w:val="single" w:sz="6" w:space="0" w:color="auto"/>
              <w:right w:val="single" w:sz="6" w:space="0" w:color="auto"/>
            </w:tcBorders>
          </w:tcPr>
          <w:p w14:paraId="255152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29 </w:t>
            </w:r>
          </w:p>
        </w:tc>
        <w:tc>
          <w:tcPr>
            <w:tcW w:w="4651" w:type="dxa"/>
            <w:tcBorders>
              <w:top w:val="single" w:sz="6" w:space="0" w:color="auto"/>
              <w:left w:val="single" w:sz="6" w:space="0" w:color="auto"/>
              <w:bottom w:val="single" w:sz="6" w:space="0" w:color="auto"/>
              <w:right w:val="single" w:sz="6" w:space="0" w:color="auto"/>
            </w:tcBorders>
          </w:tcPr>
          <w:p w14:paraId="3BCA16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М-88 </w:t>
            </w:r>
          </w:p>
        </w:tc>
        <w:tc>
          <w:tcPr>
            <w:tcW w:w="2808" w:type="dxa"/>
            <w:tcBorders>
              <w:top w:val="single" w:sz="6" w:space="0" w:color="auto"/>
              <w:left w:val="single" w:sz="6" w:space="0" w:color="auto"/>
              <w:bottom w:val="single" w:sz="6" w:space="0" w:color="auto"/>
              <w:right w:val="single" w:sz="12" w:space="0" w:color="auto"/>
            </w:tcBorders>
          </w:tcPr>
          <w:p w14:paraId="52D41F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66500 </w:t>
            </w:r>
          </w:p>
        </w:tc>
      </w:tr>
      <w:tr w:rsidR="00983732" w:rsidRPr="00A3026E" w14:paraId="701E28DA" w14:textId="77777777" w:rsidTr="00EA0DA7">
        <w:trPr>
          <w:trHeight w:val="382"/>
        </w:trPr>
        <w:tc>
          <w:tcPr>
            <w:tcW w:w="842" w:type="dxa"/>
            <w:tcBorders>
              <w:top w:val="single" w:sz="6" w:space="0" w:color="auto"/>
              <w:left w:val="single" w:sz="12" w:space="0" w:color="auto"/>
              <w:bottom w:val="single" w:sz="6" w:space="0" w:color="auto"/>
              <w:right w:val="single" w:sz="6" w:space="0" w:color="auto"/>
            </w:tcBorders>
          </w:tcPr>
          <w:p w14:paraId="4EEADA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21. </w:t>
            </w:r>
          </w:p>
        </w:tc>
        <w:tc>
          <w:tcPr>
            <w:tcW w:w="1584" w:type="dxa"/>
            <w:tcBorders>
              <w:top w:val="single" w:sz="6" w:space="0" w:color="auto"/>
              <w:left w:val="single" w:sz="6" w:space="0" w:color="auto"/>
              <w:bottom w:val="single" w:sz="6" w:space="0" w:color="auto"/>
              <w:right w:val="single" w:sz="6" w:space="0" w:color="auto"/>
            </w:tcBorders>
          </w:tcPr>
          <w:p w14:paraId="22BFC3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29 </w:t>
            </w:r>
          </w:p>
        </w:tc>
        <w:tc>
          <w:tcPr>
            <w:tcW w:w="4651" w:type="dxa"/>
            <w:tcBorders>
              <w:top w:val="single" w:sz="6" w:space="0" w:color="auto"/>
              <w:left w:val="single" w:sz="6" w:space="0" w:color="auto"/>
              <w:bottom w:val="single" w:sz="6" w:space="0" w:color="auto"/>
              <w:right w:val="single" w:sz="6" w:space="0" w:color="auto"/>
            </w:tcBorders>
          </w:tcPr>
          <w:p w14:paraId="31CCA9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М-90 </w:t>
            </w:r>
          </w:p>
        </w:tc>
        <w:tc>
          <w:tcPr>
            <w:tcW w:w="2808" w:type="dxa"/>
            <w:tcBorders>
              <w:top w:val="single" w:sz="6" w:space="0" w:color="auto"/>
              <w:left w:val="single" w:sz="6" w:space="0" w:color="auto"/>
              <w:bottom w:val="single" w:sz="6" w:space="0" w:color="auto"/>
              <w:right w:val="single" w:sz="12" w:space="0" w:color="auto"/>
            </w:tcBorders>
          </w:tcPr>
          <w:p w14:paraId="139903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125000 </w:t>
            </w:r>
          </w:p>
        </w:tc>
      </w:tr>
      <w:tr w:rsidR="00983732" w:rsidRPr="00A3026E" w14:paraId="7BC8F869" w14:textId="77777777" w:rsidTr="00EA0DA7">
        <w:trPr>
          <w:trHeight w:val="360"/>
        </w:trPr>
        <w:tc>
          <w:tcPr>
            <w:tcW w:w="842" w:type="dxa"/>
            <w:tcBorders>
              <w:top w:val="single" w:sz="6" w:space="0" w:color="auto"/>
              <w:left w:val="single" w:sz="12" w:space="0" w:color="auto"/>
              <w:bottom w:val="single" w:sz="6" w:space="0" w:color="auto"/>
              <w:right w:val="single" w:sz="6" w:space="0" w:color="auto"/>
            </w:tcBorders>
          </w:tcPr>
          <w:p w14:paraId="501230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22. </w:t>
            </w:r>
          </w:p>
        </w:tc>
        <w:tc>
          <w:tcPr>
            <w:tcW w:w="1584" w:type="dxa"/>
            <w:tcBorders>
              <w:top w:val="single" w:sz="6" w:space="0" w:color="auto"/>
              <w:left w:val="single" w:sz="6" w:space="0" w:color="auto"/>
              <w:bottom w:val="single" w:sz="6" w:space="0" w:color="auto"/>
              <w:right w:val="single" w:sz="6" w:space="0" w:color="auto"/>
            </w:tcBorders>
          </w:tcPr>
          <w:p w14:paraId="64D7A6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 </w:t>
            </w:r>
          </w:p>
        </w:tc>
        <w:tc>
          <w:tcPr>
            <w:tcW w:w="4651" w:type="dxa"/>
            <w:tcBorders>
              <w:top w:val="single" w:sz="6" w:space="0" w:color="auto"/>
              <w:left w:val="single" w:sz="6" w:space="0" w:color="auto"/>
              <w:bottom w:val="single" w:sz="6" w:space="0" w:color="auto"/>
              <w:right w:val="single" w:sz="6" w:space="0" w:color="auto"/>
            </w:tcBorders>
          </w:tcPr>
          <w:p w14:paraId="402D8A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М-105 </w:t>
            </w:r>
          </w:p>
        </w:tc>
        <w:tc>
          <w:tcPr>
            <w:tcW w:w="2808" w:type="dxa"/>
            <w:tcBorders>
              <w:top w:val="single" w:sz="6" w:space="0" w:color="auto"/>
              <w:left w:val="single" w:sz="6" w:space="0" w:color="auto"/>
              <w:bottom w:val="single" w:sz="6" w:space="0" w:color="auto"/>
              <w:right w:val="single" w:sz="12" w:space="0" w:color="auto"/>
            </w:tcBorders>
          </w:tcPr>
          <w:p w14:paraId="2E1BCE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100000 </w:t>
            </w:r>
          </w:p>
        </w:tc>
      </w:tr>
      <w:tr w:rsidR="00983732" w:rsidRPr="00A3026E" w14:paraId="0EB94078" w14:textId="77777777" w:rsidTr="00EA0DA7">
        <w:trPr>
          <w:trHeight w:val="454"/>
        </w:trPr>
        <w:tc>
          <w:tcPr>
            <w:tcW w:w="842" w:type="dxa"/>
            <w:tcBorders>
              <w:top w:val="single" w:sz="6" w:space="0" w:color="auto"/>
              <w:left w:val="single" w:sz="12" w:space="0" w:color="auto"/>
              <w:bottom w:val="single" w:sz="6" w:space="0" w:color="auto"/>
              <w:right w:val="single" w:sz="6" w:space="0" w:color="auto"/>
            </w:tcBorders>
          </w:tcPr>
          <w:p w14:paraId="67EED5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23. </w:t>
            </w:r>
          </w:p>
        </w:tc>
        <w:tc>
          <w:tcPr>
            <w:tcW w:w="1584" w:type="dxa"/>
            <w:tcBorders>
              <w:top w:val="single" w:sz="6" w:space="0" w:color="auto"/>
              <w:left w:val="single" w:sz="6" w:space="0" w:color="auto"/>
              <w:bottom w:val="single" w:sz="6" w:space="0" w:color="auto"/>
              <w:right w:val="single" w:sz="6" w:space="0" w:color="auto"/>
            </w:tcBorders>
          </w:tcPr>
          <w:p w14:paraId="50832A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27 </w:t>
            </w:r>
          </w:p>
        </w:tc>
        <w:tc>
          <w:tcPr>
            <w:tcW w:w="4651" w:type="dxa"/>
            <w:tcBorders>
              <w:top w:val="single" w:sz="6" w:space="0" w:color="auto"/>
              <w:left w:val="single" w:sz="6" w:space="0" w:color="auto"/>
              <w:bottom w:val="single" w:sz="6" w:space="0" w:color="auto"/>
              <w:right w:val="single" w:sz="6" w:space="0" w:color="auto"/>
            </w:tcBorders>
          </w:tcPr>
          <w:p w14:paraId="52EF79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Турбокомпрессор ТК-1 (затводы 19-24)</w:t>
            </w:r>
          </w:p>
        </w:tc>
        <w:tc>
          <w:tcPr>
            <w:tcW w:w="2808" w:type="dxa"/>
            <w:tcBorders>
              <w:top w:val="single" w:sz="6" w:space="0" w:color="auto"/>
              <w:left w:val="single" w:sz="6" w:space="0" w:color="auto"/>
              <w:bottom w:val="single" w:sz="6" w:space="0" w:color="auto"/>
              <w:right w:val="single" w:sz="12" w:space="0" w:color="auto"/>
            </w:tcBorders>
          </w:tcPr>
          <w:p w14:paraId="482356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20000 </w:t>
            </w:r>
          </w:p>
        </w:tc>
      </w:tr>
      <w:tr w:rsidR="00983732" w:rsidRPr="00A3026E" w14:paraId="220A5D52" w14:textId="77777777" w:rsidTr="00EA0DA7">
        <w:trPr>
          <w:trHeight w:val="439"/>
        </w:trPr>
        <w:tc>
          <w:tcPr>
            <w:tcW w:w="842" w:type="dxa"/>
            <w:tcBorders>
              <w:top w:val="single" w:sz="6" w:space="0" w:color="auto"/>
              <w:left w:val="single" w:sz="12" w:space="0" w:color="auto"/>
              <w:bottom w:val="single" w:sz="12" w:space="0" w:color="auto"/>
              <w:right w:val="single" w:sz="6" w:space="0" w:color="auto"/>
            </w:tcBorders>
          </w:tcPr>
          <w:p w14:paraId="73EAED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 </w:t>
            </w:r>
            <w:r w:rsidRPr="00A3026E">
              <w:rPr>
                <w:rFonts w:ascii="Times New Roman" w:hAnsi="Times New Roman"/>
                <w:color w:val="000000" w:themeColor="text1"/>
                <w:sz w:val="16"/>
                <w:szCs w:val="16"/>
                <w:vertAlign w:val="superscript"/>
              </w:rPr>
              <w:t>1</w:t>
            </w:r>
          </w:p>
        </w:tc>
        <w:tc>
          <w:tcPr>
            <w:tcW w:w="1584" w:type="dxa"/>
            <w:tcBorders>
              <w:top w:val="single" w:sz="6" w:space="0" w:color="auto"/>
              <w:left w:val="single" w:sz="6" w:space="0" w:color="auto"/>
              <w:bottom w:val="single" w:sz="12" w:space="0" w:color="auto"/>
              <w:right w:val="single" w:sz="6" w:space="0" w:color="auto"/>
            </w:tcBorders>
          </w:tcPr>
          <w:p w14:paraId="169D5A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 </w:t>
            </w:r>
          </w:p>
        </w:tc>
        <w:tc>
          <w:tcPr>
            <w:tcW w:w="4651" w:type="dxa"/>
            <w:tcBorders>
              <w:top w:val="single" w:sz="6" w:space="0" w:color="auto"/>
              <w:left w:val="single" w:sz="6" w:space="0" w:color="auto"/>
              <w:bottom w:val="single" w:sz="12" w:space="0" w:color="auto"/>
              <w:right w:val="single" w:sz="6" w:space="0" w:color="auto"/>
            </w:tcBorders>
          </w:tcPr>
          <w:p w14:paraId="2D9E9E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Синхронизатор С-2К (з-д 19)</w:t>
            </w:r>
          </w:p>
        </w:tc>
        <w:tc>
          <w:tcPr>
            <w:tcW w:w="2808" w:type="dxa"/>
            <w:tcBorders>
              <w:top w:val="single" w:sz="6" w:space="0" w:color="auto"/>
              <w:left w:val="single" w:sz="6" w:space="0" w:color="auto"/>
              <w:bottom w:val="single" w:sz="12" w:space="0" w:color="auto"/>
              <w:right w:val="single" w:sz="12" w:space="0" w:color="auto"/>
            </w:tcBorders>
          </w:tcPr>
          <w:p w14:paraId="393E31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760 </w:t>
            </w:r>
          </w:p>
        </w:tc>
      </w:tr>
    </w:tbl>
    <w:p w14:paraId="02AADB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 1. Отпускные цены на учебные моторы устанавли</w:t>
      </w:r>
      <w:r w:rsidRPr="00A3026E">
        <w:rPr>
          <w:rFonts w:ascii="Times New Roman" w:hAnsi="Times New Roman"/>
          <w:color w:val="000000" w:themeColor="text1"/>
          <w:sz w:val="16"/>
          <w:szCs w:val="16"/>
        </w:rPr>
        <w:softHyphen/>
        <w:t>ваются в процентах от утвержденной отпускной цены на кондиционные моторы в размерах:</w:t>
      </w:r>
    </w:p>
    <w:p w14:paraId="6FACAC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работающие на земле..70%</w:t>
      </w:r>
    </w:p>
    <w:p w14:paraId="4E50A7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разрезные...65%</w:t>
      </w:r>
    </w:p>
    <w:p w14:paraId="07385A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дня сборки и разборки...55%</w:t>
      </w:r>
    </w:p>
    <w:p w14:paraId="180747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Цена на моторы установлены франко-вагон-станция от</w:t>
      </w:r>
      <w:r w:rsidRPr="00A3026E">
        <w:rPr>
          <w:rFonts w:ascii="Times New Roman" w:hAnsi="Times New Roman"/>
          <w:color w:val="000000" w:themeColor="text1"/>
          <w:sz w:val="16"/>
          <w:szCs w:val="16"/>
        </w:rPr>
        <w:softHyphen/>
        <w:t>правления или франко-вагон-ветка поставщика.</w:t>
      </w:r>
    </w:p>
    <w:p w14:paraId="6A3E48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Стоимость тары и упаковки включена в цены моторов.</w:t>
      </w:r>
    </w:p>
    <w:p w14:paraId="72830E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 цены моторов включена стоимость агрегатов по списку ТУ на поставку моторов, согласованных с Начальником ГУАСКА и Управления Морской авиации НКВМФ и Начальником 3-го Главного Управления НКАП, за исключением самопуска РИ, генератора с распределительной коробкой, син</w:t>
      </w:r>
      <w:r w:rsidRPr="00A3026E">
        <w:rPr>
          <w:rFonts w:ascii="Times New Roman" w:hAnsi="Times New Roman"/>
          <w:color w:val="000000" w:themeColor="text1"/>
          <w:sz w:val="16"/>
          <w:szCs w:val="16"/>
        </w:rPr>
        <w:softHyphen/>
        <w:t>хронизатора, регулятора винта, вакуумпомпы и турбокомпрессо</w:t>
      </w:r>
      <w:r w:rsidRPr="00A3026E">
        <w:rPr>
          <w:rFonts w:ascii="Times New Roman" w:hAnsi="Times New Roman"/>
          <w:color w:val="000000" w:themeColor="text1"/>
          <w:sz w:val="16"/>
          <w:szCs w:val="16"/>
        </w:rPr>
        <w:softHyphen/>
        <w:t>ра. Последние в утвержденные цены моторов не входят и при постановке их на мотор подлежат дополнительной оплате заказ</w:t>
      </w:r>
      <w:r w:rsidRPr="00A3026E">
        <w:rPr>
          <w:rFonts w:ascii="Times New Roman" w:hAnsi="Times New Roman"/>
          <w:color w:val="000000" w:themeColor="text1"/>
          <w:sz w:val="16"/>
          <w:szCs w:val="16"/>
        </w:rPr>
        <w:softHyphen/>
        <w:t>чиками.</w:t>
      </w:r>
    </w:p>
    <w:p w14:paraId="28D95A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При установке нии цен на моторы на 1940 год учтено удорожание черных металлов.</w:t>
      </w:r>
    </w:p>
    <w:p w14:paraId="355F91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Цены установлены с одиночным комплектом запасных</w:t>
      </w:r>
    </w:p>
    <w:p w14:paraId="2E6304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Стоимостъ охраны моторов в пути оплачивается-заказ ли</w:t>
      </w:r>
      <w:r w:rsidRPr="00A3026E">
        <w:rPr>
          <w:rFonts w:ascii="Times New Roman" w:hAnsi="Times New Roman"/>
          <w:color w:val="000000" w:themeColor="text1"/>
          <w:sz w:val="16"/>
          <w:szCs w:val="16"/>
        </w:rPr>
        <w:softHyphen/>
        <w:t>ком по фактической себестоимости.</w:t>
      </w:r>
    </w:p>
    <w:p w14:paraId="27C051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В случае доставки моторов по требованию ГУАСКА до склада "Балашиха" расходы по транспорту оплачиваются дополнительно заказчиком по фактической себестоимости.</w:t>
      </w:r>
    </w:p>
    <w:p w14:paraId="180993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В отпускную цену мотора М-11, кроме указанных в п. 4 агрегатов, не входит бензопомпа, постановка которой на мо</w:t>
      </w:r>
      <w:r w:rsidRPr="00A3026E">
        <w:rPr>
          <w:rFonts w:ascii="Times New Roman" w:hAnsi="Times New Roman"/>
          <w:color w:val="000000" w:themeColor="text1"/>
          <w:sz w:val="16"/>
          <w:szCs w:val="16"/>
        </w:rPr>
        <w:softHyphen/>
        <w:t>тор оплачивается заказчиком дополнительно постановленной отпускной цене на 1940 год.</w:t>
      </w:r>
    </w:p>
    <w:p w14:paraId="42636D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ОТПУСКНЫЕ ЦЕНЫ НА ВИНТЫ на 1940г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675"/>
        <w:gridCol w:w="1167"/>
        <w:gridCol w:w="1167"/>
      </w:tblGrid>
      <w:tr w:rsidR="00983732" w:rsidRPr="00A3026E" w14:paraId="7AFC73A1" w14:textId="77777777" w:rsidTr="00EA0DA7">
        <w:tc>
          <w:tcPr>
            <w:tcW w:w="534" w:type="dxa"/>
            <w:tcBorders>
              <w:top w:val="single" w:sz="12" w:space="0" w:color="auto"/>
            </w:tcBorders>
          </w:tcPr>
          <w:p w14:paraId="7B6C7A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5" w:type="dxa"/>
            <w:tcBorders>
              <w:top w:val="single" w:sz="12" w:space="0" w:color="auto"/>
            </w:tcBorders>
          </w:tcPr>
          <w:p w14:paraId="0B96FB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7" w:type="dxa"/>
            <w:tcBorders>
              <w:top w:val="single" w:sz="12" w:space="0" w:color="auto"/>
            </w:tcBorders>
          </w:tcPr>
          <w:p w14:paraId="3A4B20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изделия</w:t>
            </w:r>
          </w:p>
        </w:tc>
        <w:tc>
          <w:tcPr>
            <w:tcW w:w="1167" w:type="dxa"/>
            <w:tcBorders>
              <w:top w:val="single" w:sz="12" w:space="0" w:color="auto"/>
            </w:tcBorders>
          </w:tcPr>
          <w:p w14:paraId="6F2860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3E3DC16" w14:textId="77777777" w:rsidTr="00EA0DA7">
        <w:tc>
          <w:tcPr>
            <w:tcW w:w="534" w:type="dxa"/>
          </w:tcPr>
          <w:p w14:paraId="41ECD6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5" w:type="dxa"/>
          </w:tcPr>
          <w:p w14:paraId="35F7A0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7" w:type="dxa"/>
          </w:tcPr>
          <w:p w14:paraId="77CC88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Винты</w:t>
            </w:r>
          </w:p>
        </w:tc>
        <w:tc>
          <w:tcPr>
            <w:tcW w:w="1167" w:type="dxa"/>
          </w:tcPr>
          <w:p w14:paraId="7C9AA6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A110ABB" w14:textId="77777777" w:rsidTr="00EA0DA7">
        <w:tc>
          <w:tcPr>
            <w:tcW w:w="534" w:type="dxa"/>
          </w:tcPr>
          <w:p w14:paraId="677F16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675" w:type="dxa"/>
          </w:tcPr>
          <w:p w14:paraId="118862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382F9F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ВШ-2 и 2К</w:t>
            </w:r>
          </w:p>
        </w:tc>
        <w:tc>
          <w:tcPr>
            <w:tcW w:w="1167" w:type="dxa"/>
          </w:tcPr>
          <w:p w14:paraId="1608C8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r>
      <w:tr w:rsidR="00983732" w:rsidRPr="00A3026E" w14:paraId="222B6E35" w14:textId="77777777" w:rsidTr="00EA0DA7">
        <w:tc>
          <w:tcPr>
            <w:tcW w:w="534" w:type="dxa"/>
          </w:tcPr>
          <w:p w14:paraId="2AD591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675" w:type="dxa"/>
          </w:tcPr>
          <w:p w14:paraId="5E3EDF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1167" w:type="dxa"/>
          </w:tcPr>
          <w:p w14:paraId="2D09E6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ВШ-22</w:t>
            </w:r>
          </w:p>
        </w:tc>
        <w:tc>
          <w:tcPr>
            <w:tcW w:w="1167" w:type="dxa"/>
          </w:tcPr>
          <w:p w14:paraId="6FD38F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r>
      <w:tr w:rsidR="00983732" w:rsidRPr="00A3026E" w14:paraId="53692D0E" w14:textId="77777777" w:rsidTr="00EA0DA7">
        <w:tc>
          <w:tcPr>
            <w:tcW w:w="534" w:type="dxa"/>
          </w:tcPr>
          <w:p w14:paraId="772FA6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675" w:type="dxa"/>
          </w:tcPr>
          <w:p w14:paraId="7A1BB4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13F847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ВШ-22К</w:t>
            </w:r>
          </w:p>
        </w:tc>
        <w:tc>
          <w:tcPr>
            <w:tcW w:w="1167" w:type="dxa"/>
          </w:tcPr>
          <w:p w14:paraId="36D639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r>
      <w:tr w:rsidR="00983732" w:rsidRPr="00A3026E" w14:paraId="7418D00C" w14:textId="77777777" w:rsidTr="00EA0DA7">
        <w:tc>
          <w:tcPr>
            <w:tcW w:w="534" w:type="dxa"/>
          </w:tcPr>
          <w:p w14:paraId="04F263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675" w:type="dxa"/>
          </w:tcPr>
          <w:p w14:paraId="61DE2C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235104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ВИШ-22Е</w:t>
            </w:r>
          </w:p>
        </w:tc>
        <w:tc>
          <w:tcPr>
            <w:tcW w:w="1167" w:type="dxa"/>
          </w:tcPr>
          <w:p w14:paraId="762B3E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r>
      <w:tr w:rsidR="00983732" w:rsidRPr="00A3026E" w14:paraId="633D7E23" w14:textId="77777777" w:rsidTr="00EA0DA7">
        <w:tc>
          <w:tcPr>
            <w:tcW w:w="534" w:type="dxa"/>
          </w:tcPr>
          <w:p w14:paraId="76F25C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675" w:type="dxa"/>
          </w:tcPr>
          <w:p w14:paraId="4AC492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7241EE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ВИШ-22Б</w:t>
            </w:r>
          </w:p>
        </w:tc>
        <w:tc>
          <w:tcPr>
            <w:tcW w:w="1167" w:type="dxa"/>
          </w:tcPr>
          <w:p w14:paraId="6668F2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r>
      <w:tr w:rsidR="00983732" w:rsidRPr="00A3026E" w14:paraId="2BE0CEDC" w14:textId="77777777" w:rsidTr="00EA0DA7">
        <w:tc>
          <w:tcPr>
            <w:tcW w:w="534" w:type="dxa"/>
          </w:tcPr>
          <w:p w14:paraId="491CFC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675" w:type="dxa"/>
          </w:tcPr>
          <w:p w14:paraId="780DAB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3F7F2A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ВИШ-24</w:t>
            </w:r>
          </w:p>
        </w:tc>
        <w:tc>
          <w:tcPr>
            <w:tcW w:w="1167" w:type="dxa"/>
          </w:tcPr>
          <w:p w14:paraId="0C9785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20000</w:t>
            </w:r>
          </w:p>
        </w:tc>
      </w:tr>
      <w:tr w:rsidR="00983732" w:rsidRPr="00A3026E" w14:paraId="018901B4" w14:textId="77777777" w:rsidTr="00EA0DA7">
        <w:tc>
          <w:tcPr>
            <w:tcW w:w="534" w:type="dxa"/>
          </w:tcPr>
          <w:p w14:paraId="6A6C8E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675" w:type="dxa"/>
          </w:tcPr>
          <w:p w14:paraId="6195A1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1167" w:type="dxa"/>
          </w:tcPr>
          <w:p w14:paraId="446AC5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ВВ-1</w:t>
            </w:r>
          </w:p>
        </w:tc>
        <w:tc>
          <w:tcPr>
            <w:tcW w:w="1167" w:type="dxa"/>
          </w:tcPr>
          <w:p w14:paraId="4F22B5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15000</w:t>
            </w:r>
          </w:p>
        </w:tc>
      </w:tr>
      <w:tr w:rsidR="00983732" w:rsidRPr="00A3026E" w14:paraId="4FE0AE7B" w14:textId="77777777" w:rsidTr="00EA0DA7">
        <w:tc>
          <w:tcPr>
            <w:tcW w:w="534" w:type="dxa"/>
          </w:tcPr>
          <w:p w14:paraId="001316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675" w:type="dxa"/>
          </w:tcPr>
          <w:p w14:paraId="775425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722E25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МБР-2</w:t>
            </w:r>
          </w:p>
        </w:tc>
        <w:tc>
          <w:tcPr>
            <w:tcW w:w="1167" w:type="dxa"/>
          </w:tcPr>
          <w:p w14:paraId="6F55F6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r>
      <w:tr w:rsidR="00983732" w:rsidRPr="00A3026E" w14:paraId="74E5DC63" w14:textId="77777777" w:rsidTr="00EA0DA7">
        <w:tc>
          <w:tcPr>
            <w:tcW w:w="534" w:type="dxa"/>
          </w:tcPr>
          <w:p w14:paraId="799279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675" w:type="dxa"/>
          </w:tcPr>
          <w:p w14:paraId="033DB5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716F0A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М-103</w:t>
            </w:r>
          </w:p>
        </w:tc>
        <w:tc>
          <w:tcPr>
            <w:tcW w:w="1167" w:type="dxa"/>
          </w:tcPr>
          <w:p w14:paraId="4BE395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r>
      <w:tr w:rsidR="00983732" w:rsidRPr="00A3026E" w14:paraId="4B5E02E8" w14:textId="77777777" w:rsidTr="00EA0DA7">
        <w:tc>
          <w:tcPr>
            <w:tcW w:w="534" w:type="dxa"/>
          </w:tcPr>
          <w:p w14:paraId="3144A6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675" w:type="dxa"/>
          </w:tcPr>
          <w:p w14:paraId="31AF4D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2D344A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М-100</w:t>
            </w:r>
          </w:p>
        </w:tc>
        <w:tc>
          <w:tcPr>
            <w:tcW w:w="1167" w:type="dxa"/>
          </w:tcPr>
          <w:p w14:paraId="4A0F63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r>
      <w:tr w:rsidR="00983732" w:rsidRPr="00A3026E" w14:paraId="00172B15" w14:textId="77777777" w:rsidTr="00EA0DA7">
        <w:tc>
          <w:tcPr>
            <w:tcW w:w="534" w:type="dxa"/>
          </w:tcPr>
          <w:p w14:paraId="70A254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c>
          <w:tcPr>
            <w:tcW w:w="675" w:type="dxa"/>
          </w:tcPr>
          <w:p w14:paraId="1E9175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4D47C5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Р-зет (В-34)</w:t>
            </w:r>
          </w:p>
        </w:tc>
        <w:tc>
          <w:tcPr>
            <w:tcW w:w="1167" w:type="dxa"/>
          </w:tcPr>
          <w:p w14:paraId="5574E2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r>
      <w:tr w:rsidR="00983732" w:rsidRPr="00A3026E" w14:paraId="37D4A965" w14:textId="77777777" w:rsidTr="00EA0DA7">
        <w:tc>
          <w:tcPr>
            <w:tcW w:w="534" w:type="dxa"/>
          </w:tcPr>
          <w:p w14:paraId="13DC62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5" w:type="dxa"/>
          </w:tcPr>
          <w:p w14:paraId="08BF7A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7" w:type="dxa"/>
          </w:tcPr>
          <w:p w14:paraId="34CF20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Лопасти к винтам.</w:t>
            </w:r>
          </w:p>
        </w:tc>
        <w:tc>
          <w:tcPr>
            <w:tcW w:w="1167" w:type="dxa"/>
          </w:tcPr>
          <w:p w14:paraId="090FA2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F6FE3B5" w14:textId="77777777" w:rsidTr="00EA0DA7">
        <w:tc>
          <w:tcPr>
            <w:tcW w:w="534" w:type="dxa"/>
          </w:tcPr>
          <w:p w14:paraId="747358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675" w:type="dxa"/>
          </w:tcPr>
          <w:p w14:paraId="0823FF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67FD8D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w:t>
            </w:r>
          </w:p>
        </w:tc>
        <w:tc>
          <w:tcPr>
            <w:tcW w:w="1167" w:type="dxa"/>
          </w:tcPr>
          <w:p w14:paraId="0529CB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w:t>
            </w:r>
          </w:p>
        </w:tc>
      </w:tr>
      <w:tr w:rsidR="00983732" w:rsidRPr="00A3026E" w14:paraId="7002D0AB" w14:textId="77777777" w:rsidTr="00EA0DA7">
        <w:tc>
          <w:tcPr>
            <w:tcW w:w="534" w:type="dxa"/>
          </w:tcPr>
          <w:p w14:paraId="727F6F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675" w:type="dxa"/>
          </w:tcPr>
          <w:p w14:paraId="1DD8AB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1C3250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ВИШ-22</w:t>
            </w:r>
          </w:p>
        </w:tc>
        <w:tc>
          <w:tcPr>
            <w:tcW w:w="1167" w:type="dxa"/>
          </w:tcPr>
          <w:p w14:paraId="51421A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w:t>
            </w:r>
          </w:p>
        </w:tc>
      </w:tr>
      <w:tr w:rsidR="00983732" w:rsidRPr="00A3026E" w14:paraId="037A0EDD" w14:textId="77777777" w:rsidTr="00EA0DA7">
        <w:tc>
          <w:tcPr>
            <w:tcW w:w="534" w:type="dxa"/>
          </w:tcPr>
          <w:p w14:paraId="370C2A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c>
          <w:tcPr>
            <w:tcW w:w="675" w:type="dxa"/>
          </w:tcPr>
          <w:p w14:paraId="68CF1B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6C5FBF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ВИШ-22Е</w:t>
            </w:r>
          </w:p>
        </w:tc>
        <w:tc>
          <w:tcPr>
            <w:tcW w:w="1167" w:type="dxa"/>
          </w:tcPr>
          <w:p w14:paraId="303886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r>
      <w:tr w:rsidR="00983732" w:rsidRPr="00A3026E" w14:paraId="4DDBFA58" w14:textId="77777777" w:rsidTr="00EA0DA7">
        <w:tc>
          <w:tcPr>
            <w:tcW w:w="534" w:type="dxa"/>
          </w:tcPr>
          <w:p w14:paraId="7C98EB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675" w:type="dxa"/>
          </w:tcPr>
          <w:p w14:paraId="11984E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1B0E68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ВИШ-22К</w:t>
            </w:r>
          </w:p>
        </w:tc>
        <w:tc>
          <w:tcPr>
            <w:tcW w:w="1167" w:type="dxa"/>
          </w:tcPr>
          <w:p w14:paraId="12C295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w:t>
            </w:r>
          </w:p>
        </w:tc>
      </w:tr>
      <w:tr w:rsidR="00983732" w:rsidRPr="00A3026E" w14:paraId="38954903" w14:textId="77777777" w:rsidTr="00EA0DA7">
        <w:tc>
          <w:tcPr>
            <w:tcW w:w="534" w:type="dxa"/>
          </w:tcPr>
          <w:p w14:paraId="0B1FE2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675" w:type="dxa"/>
          </w:tcPr>
          <w:p w14:paraId="614BB9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31256D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ВИШ-22Б</w:t>
            </w:r>
          </w:p>
        </w:tc>
        <w:tc>
          <w:tcPr>
            <w:tcW w:w="1167" w:type="dxa"/>
          </w:tcPr>
          <w:p w14:paraId="03DC61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r>
      <w:tr w:rsidR="00983732" w:rsidRPr="00A3026E" w14:paraId="722DE480" w14:textId="77777777" w:rsidTr="00EA0DA7">
        <w:tc>
          <w:tcPr>
            <w:tcW w:w="534" w:type="dxa"/>
          </w:tcPr>
          <w:p w14:paraId="521EC5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c>
          <w:tcPr>
            <w:tcW w:w="675" w:type="dxa"/>
          </w:tcPr>
          <w:p w14:paraId="019C7D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6B93E8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ВИШ-24</w:t>
            </w:r>
          </w:p>
        </w:tc>
        <w:tc>
          <w:tcPr>
            <w:tcW w:w="1167" w:type="dxa"/>
          </w:tcPr>
          <w:p w14:paraId="244124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r>
      <w:tr w:rsidR="00983732" w:rsidRPr="00A3026E" w14:paraId="2DAE996A" w14:textId="77777777" w:rsidTr="00EA0DA7">
        <w:tc>
          <w:tcPr>
            <w:tcW w:w="534" w:type="dxa"/>
          </w:tcPr>
          <w:p w14:paraId="65A3F1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18.</w:t>
            </w:r>
          </w:p>
        </w:tc>
        <w:tc>
          <w:tcPr>
            <w:tcW w:w="675" w:type="dxa"/>
          </w:tcPr>
          <w:p w14:paraId="5D7082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405C03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МБР-2</w:t>
            </w:r>
          </w:p>
        </w:tc>
        <w:tc>
          <w:tcPr>
            <w:tcW w:w="1167" w:type="dxa"/>
          </w:tcPr>
          <w:p w14:paraId="24FD8A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tc>
      </w:tr>
      <w:tr w:rsidR="00983732" w:rsidRPr="00A3026E" w14:paraId="0E3504C0" w14:textId="77777777" w:rsidTr="00EA0DA7">
        <w:tc>
          <w:tcPr>
            <w:tcW w:w="534" w:type="dxa"/>
          </w:tcPr>
          <w:p w14:paraId="1E4046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675" w:type="dxa"/>
          </w:tcPr>
          <w:p w14:paraId="22D428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4014E8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Р-зет (В-34)</w:t>
            </w:r>
          </w:p>
        </w:tc>
        <w:tc>
          <w:tcPr>
            <w:tcW w:w="1167" w:type="dxa"/>
          </w:tcPr>
          <w:p w14:paraId="7D38FC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r>
      <w:tr w:rsidR="00983732" w:rsidRPr="00A3026E" w14:paraId="41F48624" w14:textId="77777777" w:rsidTr="00EA0DA7">
        <w:tc>
          <w:tcPr>
            <w:tcW w:w="534" w:type="dxa"/>
          </w:tcPr>
          <w:p w14:paraId="2303F2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675" w:type="dxa"/>
          </w:tcPr>
          <w:p w14:paraId="697412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2507C1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ВВ-1</w:t>
            </w:r>
          </w:p>
        </w:tc>
        <w:tc>
          <w:tcPr>
            <w:tcW w:w="1167" w:type="dxa"/>
          </w:tcPr>
          <w:p w14:paraId="35A97B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r>
      <w:tr w:rsidR="00983732" w:rsidRPr="00A3026E" w14:paraId="2943EA53" w14:textId="77777777" w:rsidTr="00EA0DA7">
        <w:tc>
          <w:tcPr>
            <w:tcW w:w="534" w:type="dxa"/>
          </w:tcPr>
          <w:p w14:paraId="5CCAF1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675" w:type="dxa"/>
          </w:tcPr>
          <w:p w14:paraId="70995D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Pr>
          <w:p w14:paraId="46A177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М-25а</w:t>
            </w:r>
          </w:p>
        </w:tc>
        <w:tc>
          <w:tcPr>
            <w:tcW w:w="1167" w:type="dxa"/>
          </w:tcPr>
          <w:p w14:paraId="3B82F0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r>
      <w:tr w:rsidR="00983732" w:rsidRPr="00A3026E" w14:paraId="6EE0AB9E" w14:textId="77777777" w:rsidTr="00EA0DA7">
        <w:tc>
          <w:tcPr>
            <w:tcW w:w="534" w:type="dxa"/>
            <w:tcBorders>
              <w:bottom w:val="single" w:sz="12" w:space="0" w:color="auto"/>
            </w:tcBorders>
          </w:tcPr>
          <w:p w14:paraId="2D814A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675" w:type="dxa"/>
            <w:tcBorders>
              <w:bottom w:val="single" w:sz="12" w:space="0" w:color="auto"/>
            </w:tcBorders>
          </w:tcPr>
          <w:p w14:paraId="540264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167" w:type="dxa"/>
            <w:tcBorders>
              <w:bottom w:val="single" w:sz="12" w:space="0" w:color="auto"/>
            </w:tcBorders>
          </w:tcPr>
          <w:p w14:paraId="7ACEFC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w:t>
            </w:r>
          </w:p>
        </w:tc>
        <w:tc>
          <w:tcPr>
            <w:tcW w:w="1167" w:type="dxa"/>
            <w:tcBorders>
              <w:bottom w:val="single" w:sz="12" w:space="0" w:color="auto"/>
            </w:tcBorders>
          </w:tcPr>
          <w:p w14:paraId="71AC02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r>
    </w:tbl>
    <w:p w14:paraId="3C24CB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 1. Стоимость тары и упаковки входит в отпускную цену.</w:t>
      </w:r>
    </w:p>
    <w:p w14:paraId="6A9C03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Повышение цен на черный металл по постановлению правительства учтено с 1 января 1940 г. в образовании отпускных цен на 1940 г.</w:t>
      </w:r>
    </w:p>
    <w:p w14:paraId="7E4925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Отпускные цены определены франко-склад завода-изготовйтеля.</w:t>
      </w:r>
    </w:p>
    <w:p w14:paraId="572CF1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ОТПУСКНЫЕ ЦЕНЫ НА ВИНТЫ на 1940г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675"/>
        <w:gridCol w:w="1167"/>
        <w:gridCol w:w="1167"/>
      </w:tblGrid>
      <w:tr w:rsidR="00983732" w:rsidRPr="00A3026E" w14:paraId="613D88F3" w14:textId="77777777" w:rsidTr="00EA0DA7">
        <w:tc>
          <w:tcPr>
            <w:tcW w:w="534" w:type="dxa"/>
            <w:tcBorders>
              <w:top w:val="single" w:sz="12" w:space="0" w:color="auto"/>
            </w:tcBorders>
          </w:tcPr>
          <w:p w14:paraId="723028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5" w:type="dxa"/>
            <w:tcBorders>
              <w:top w:val="single" w:sz="12" w:space="0" w:color="auto"/>
            </w:tcBorders>
          </w:tcPr>
          <w:p w14:paraId="3C9A00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7" w:type="dxa"/>
            <w:tcBorders>
              <w:top w:val="single" w:sz="12" w:space="0" w:color="auto"/>
            </w:tcBorders>
          </w:tcPr>
          <w:p w14:paraId="7B0ACD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изделия</w:t>
            </w:r>
          </w:p>
        </w:tc>
        <w:tc>
          <w:tcPr>
            <w:tcW w:w="1167" w:type="dxa"/>
            <w:tcBorders>
              <w:top w:val="single" w:sz="12" w:space="0" w:color="auto"/>
            </w:tcBorders>
          </w:tcPr>
          <w:p w14:paraId="687EBD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1D9DAB3" w14:textId="77777777" w:rsidTr="00EA0DA7">
        <w:tc>
          <w:tcPr>
            <w:tcW w:w="534" w:type="dxa"/>
          </w:tcPr>
          <w:p w14:paraId="10BBCC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5" w:type="dxa"/>
          </w:tcPr>
          <w:p w14:paraId="0FA934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7" w:type="dxa"/>
          </w:tcPr>
          <w:p w14:paraId="6948C4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Винты</w:t>
            </w:r>
          </w:p>
        </w:tc>
        <w:tc>
          <w:tcPr>
            <w:tcW w:w="1167" w:type="dxa"/>
          </w:tcPr>
          <w:p w14:paraId="27B550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385F254" w14:textId="77777777" w:rsidTr="00EA0DA7">
        <w:tc>
          <w:tcPr>
            <w:tcW w:w="534" w:type="dxa"/>
          </w:tcPr>
          <w:p w14:paraId="4DA805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675" w:type="dxa"/>
          </w:tcPr>
          <w:p w14:paraId="41D7BA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0C1843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ВШ-3</w:t>
            </w:r>
          </w:p>
        </w:tc>
        <w:tc>
          <w:tcPr>
            <w:tcW w:w="1167" w:type="dxa"/>
          </w:tcPr>
          <w:p w14:paraId="19DA37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r>
      <w:tr w:rsidR="00983732" w:rsidRPr="00A3026E" w14:paraId="75B23754" w14:textId="77777777" w:rsidTr="00EA0DA7">
        <w:tc>
          <w:tcPr>
            <w:tcW w:w="534" w:type="dxa"/>
          </w:tcPr>
          <w:p w14:paraId="24AE72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675" w:type="dxa"/>
          </w:tcPr>
          <w:p w14:paraId="535F3D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07CB36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ВШ-23</w:t>
            </w:r>
          </w:p>
        </w:tc>
        <w:tc>
          <w:tcPr>
            <w:tcW w:w="1167" w:type="dxa"/>
          </w:tcPr>
          <w:p w14:paraId="19F8B7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11000</w:t>
            </w:r>
          </w:p>
        </w:tc>
      </w:tr>
      <w:tr w:rsidR="00983732" w:rsidRPr="00A3026E" w14:paraId="11177A4B" w14:textId="77777777" w:rsidTr="00EA0DA7">
        <w:tc>
          <w:tcPr>
            <w:tcW w:w="534" w:type="dxa"/>
          </w:tcPr>
          <w:p w14:paraId="51018B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675" w:type="dxa"/>
          </w:tcPr>
          <w:p w14:paraId="43517C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281879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ВШ-23Т</w:t>
            </w:r>
          </w:p>
        </w:tc>
        <w:tc>
          <w:tcPr>
            <w:tcW w:w="1167" w:type="dxa"/>
          </w:tcPr>
          <w:p w14:paraId="4DF6D3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12500</w:t>
            </w:r>
          </w:p>
        </w:tc>
      </w:tr>
      <w:tr w:rsidR="00983732" w:rsidRPr="00A3026E" w14:paraId="0F0C7010" w14:textId="77777777" w:rsidTr="00EA0DA7">
        <w:tc>
          <w:tcPr>
            <w:tcW w:w="534" w:type="dxa"/>
          </w:tcPr>
          <w:p w14:paraId="4CBB4B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675" w:type="dxa"/>
          </w:tcPr>
          <w:p w14:paraId="483D76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78F3D8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ВИШ-23Е</w:t>
            </w:r>
          </w:p>
        </w:tc>
        <w:tc>
          <w:tcPr>
            <w:tcW w:w="1167" w:type="dxa"/>
          </w:tcPr>
          <w:p w14:paraId="3DD427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r>
      <w:tr w:rsidR="00983732" w:rsidRPr="00A3026E" w14:paraId="0D4EA026" w14:textId="77777777" w:rsidTr="00EA0DA7">
        <w:tc>
          <w:tcPr>
            <w:tcW w:w="534" w:type="dxa"/>
          </w:tcPr>
          <w:p w14:paraId="6B33DB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675" w:type="dxa"/>
          </w:tcPr>
          <w:p w14:paraId="3F83ED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433F65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ВИШ-21</w:t>
            </w:r>
          </w:p>
        </w:tc>
        <w:tc>
          <w:tcPr>
            <w:tcW w:w="1167" w:type="dxa"/>
          </w:tcPr>
          <w:p w14:paraId="72143B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12500</w:t>
            </w:r>
          </w:p>
        </w:tc>
      </w:tr>
      <w:tr w:rsidR="00983732" w:rsidRPr="00A3026E" w14:paraId="485C5B87" w14:textId="77777777" w:rsidTr="00EA0DA7">
        <w:tc>
          <w:tcPr>
            <w:tcW w:w="534" w:type="dxa"/>
          </w:tcPr>
          <w:p w14:paraId="1C6284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675" w:type="dxa"/>
          </w:tcPr>
          <w:p w14:paraId="0A88ED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421A0B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ВИШ-21К</w:t>
            </w:r>
          </w:p>
        </w:tc>
        <w:tc>
          <w:tcPr>
            <w:tcW w:w="1167" w:type="dxa"/>
          </w:tcPr>
          <w:p w14:paraId="7C2F94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18000</w:t>
            </w:r>
          </w:p>
        </w:tc>
      </w:tr>
      <w:tr w:rsidR="00983732" w:rsidRPr="00A3026E" w14:paraId="29369C66" w14:textId="77777777" w:rsidTr="00EA0DA7">
        <w:tc>
          <w:tcPr>
            <w:tcW w:w="534" w:type="dxa"/>
          </w:tcPr>
          <w:p w14:paraId="1A3021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675" w:type="dxa"/>
          </w:tcPr>
          <w:p w14:paraId="43816A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56EF56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167" w:type="dxa"/>
          </w:tcPr>
          <w:p w14:paraId="36E278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r>
      <w:tr w:rsidR="00983732" w:rsidRPr="00A3026E" w14:paraId="57AA7AD0" w14:textId="77777777" w:rsidTr="00EA0DA7">
        <w:tc>
          <w:tcPr>
            <w:tcW w:w="534" w:type="dxa"/>
          </w:tcPr>
          <w:p w14:paraId="2F1AC8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675" w:type="dxa"/>
          </w:tcPr>
          <w:p w14:paraId="318024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1C003F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АВ-2</w:t>
            </w:r>
          </w:p>
        </w:tc>
        <w:tc>
          <w:tcPr>
            <w:tcW w:w="1167" w:type="dxa"/>
          </w:tcPr>
          <w:p w14:paraId="508D4C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15000</w:t>
            </w:r>
          </w:p>
        </w:tc>
      </w:tr>
      <w:tr w:rsidR="00983732" w:rsidRPr="00A3026E" w14:paraId="2E3A3C2F" w14:textId="77777777" w:rsidTr="00EA0DA7">
        <w:tc>
          <w:tcPr>
            <w:tcW w:w="534" w:type="dxa"/>
          </w:tcPr>
          <w:p w14:paraId="423668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675" w:type="dxa"/>
          </w:tcPr>
          <w:p w14:paraId="3C4D7E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0408B3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АВ-5</w:t>
            </w:r>
          </w:p>
        </w:tc>
        <w:tc>
          <w:tcPr>
            <w:tcW w:w="1167" w:type="dxa"/>
          </w:tcPr>
          <w:p w14:paraId="5CC936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14000</w:t>
            </w:r>
          </w:p>
        </w:tc>
      </w:tr>
      <w:tr w:rsidR="00983732" w:rsidRPr="00A3026E" w14:paraId="2C496D28" w14:textId="77777777" w:rsidTr="00EA0DA7">
        <w:tc>
          <w:tcPr>
            <w:tcW w:w="534" w:type="dxa"/>
          </w:tcPr>
          <w:p w14:paraId="0B2394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675" w:type="dxa"/>
          </w:tcPr>
          <w:p w14:paraId="6EF9E4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03B4CA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25а (уширен.)</w:t>
            </w:r>
          </w:p>
        </w:tc>
        <w:tc>
          <w:tcPr>
            <w:tcW w:w="1167" w:type="dxa"/>
          </w:tcPr>
          <w:p w14:paraId="49C882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r>
      <w:tr w:rsidR="00983732" w:rsidRPr="00A3026E" w14:paraId="03773D50" w14:textId="77777777" w:rsidTr="00EA0DA7">
        <w:tc>
          <w:tcPr>
            <w:tcW w:w="534" w:type="dxa"/>
          </w:tcPr>
          <w:p w14:paraId="17ED50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c>
          <w:tcPr>
            <w:tcW w:w="675" w:type="dxa"/>
          </w:tcPr>
          <w:p w14:paraId="062C94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7743DF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1167" w:type="dxa"/>
          </w:tcPr>
          <w:p w14:paraId="01ED30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r>
      <w:tr w:rsidR="00983732" w:rsidRPr="00A3026E" w14:paraId="3EE39545" w14:textId="77777777" w:rsidTr="00EA0DA7">
        <w:tc>
          <w:tcPr>
            <w:tcW w:w="534" w:type="dxa"/>
          </w:tcPr>
          <w:p w14:paraId="1077E9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5" w:type="dxa"/>
          </w:tcPr>
          <w:p w14:paraId="633471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7" w:type="dxa"/>
          </w:tcPr>
          <w:p w14:paraId="6DE0F7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Лопасти к винтам.</w:t>
            </w:r>
          </w:p>
        </w:tc>
        <w:tc>
          <w:tcPr>
            <w:tcW w:w="1167" w:type="dxa"/>
          </w:tcPr>
          <w:p w14:paraId="6A93B0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B296037" w14:textId="77777777" w:rsidTr="00EA0DA7">
        <w:tc>
          <w:tcPr>
            <w:tcW w:w="534" w:type="dxa"/>
          </w:tcPr>
          <w:p w14:paraId="3BE24B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675" w:type="dxa"/>
          </w:tcPr>
          <w:p w14:paraId="73842D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30CFA2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ВШ-3</w:t>
            </w:r>
          </w:p>
        </w:tc>
        <w:tc>
          <w:tcPr>
            <w:tcW w:w="1167" w:type="dxa"/>
          </w:tcPr>
          <w:p w14:paraId="28A8B4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w:t>
            </w:r>
          </w:p>
        </w:tc>
      </w:tr>
      <w:tr w:rsidR="00983732" w:rsidRPr="00A3026E" w14:paraId="11FAB0BB" w14:textId="77777777" w:rsidTr="00EA0DA7">
        <w:tc>
          <w:tcPr>
            <w:tcW w:w="534" w:type="dxa"/>
          </w:tcPr>
          <w:p w14:paraId="2D5CFD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675" w:type="dxa"/>
          </w:tcPr>
          <w:p w14:paraId="6370BB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76D4A6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ВШ-23</w:t>
            </w:r>
          </w:p>
        </w:tc>
        <w:tc>
          <w:tcPr>
            <w:tcW w:w="1167" w:type="dxa"/>
          </w:tcPr>
          <w:p w14:paraId="5705BB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w:t>
            </w:r>
          </w:p>
        </w:tc>
      </w:tr>
      <w:tr w:rsidR="00983732" w:rsidRPr="00A3026E" w14:paraId="0B7A4A2E" w14:textId="77777777" w:rsidTr="00EA0DA7">
        <w:tc>
          <w:tcPr>
            <w:tcW w:w="534" w:type="dxa"/>
          </w:tcPr>
          <w:p w14:paraId="595AA8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c>
          <w:tcPr>
            <w:tcW w:w="675" w:type="dxa"/>
          </w:tcPr>
          <w:p w14:paraId="060813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7EF35C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ВШ-23Т</w:t>
            </w:r>
          </w:p>
        </w:tc>
        <w:tc>
          <w:tcPr>
            <w:tcW w:w="1167" w:type="dxa"/>
          </w:tcPr>
          <w:p w14:paraId="5928C0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r>
      <w:tr w:rsidR="00983732" w:rsidRPr="00A3026E" w14:paraId="4F2EE177" w14:textId="77777777" w:rsidTr="00EA0DA7">
        <w:tc>
          <w:tcPr>
            <w:tcW w:w="534" w:type="dxa"/>
          </w:tcPr>
          <w:p w14:paraId="6D7C6C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675" w:type="dxa"/>
          </w:tcPr>
          <w:p w14:paraId="596B8C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0DE6B5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ВИШ-23Е</w:t>
            </w:r>
          </w:p>
        </w:tc>
        <w:tc>
          <w:tcPr>
            <w:tcW w:w="1167" w:type="dxa"/>
          </w:tcPr>
          <w:p w14:paraId="66E08A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r>
      <w:tr w:rsidR="00983732" w:rsidRPr="00A3026E" w14:paraId="2099CAE4" w14:textId="77777777" w:rsidTr="00EA0DA7">
        <w:tc>
          <w:tcPr>
            <w:tcW w:w="534" w:type="dxa"/>
          </w:tcPr>
          <w:p w14:paraId="548C61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675" w:type="dxa"/>
          </w:tcPr>
          <w:p w14:paraId="2879F2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696AB6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ВИШ-21</w:t>
            </w:r>
          </w:p>
        </w:tc>
        <w:tc>
          <w:tcPr>
            <w:tcW w:w="1167" w:type="dxa"/>
          </w:tcPr>
          <w:p w14:paraId="3DF5FA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r>
      <w:tr w:rsidR="00983732" w:rsidRPr="00A3026E" w14:paraId="3BA0F888" w14:textId="77777777" w:rsidTr="00EA0DA7">
        <w:tc>
          <w:tcPr>
            <w:tcW w:w="534" w:type="dxa"/>
          </w:tcPr>
          <w:p w14:paraId="470954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c>
          <w:tcPr>
            <w:tcW w:w="675" w:type="dxa"/>
          </w:tcPr>
          <w:p w14:paraId="4BF15F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05EDA7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ВИШ-21К</w:t>
            </w:r>
          </w:p>
        </w:tc>
        <w:tc>
          <w:tcPr>
            <w:tcW w:w="1167" w:type="dxa"/>
          </w:tcPr>
          <w:p w14:paraId="092DC3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r>
      <w:tr w:rsidR="00983732" w:rsidRPr="00A3026E" w14:paraId="7A0D8138" w14:textId="77777777" w:rsidTr="00EA0DA7">
        <w:tc>
          <w:tcPr>
            <w:tcW w:w="534" w:type="dxa"/>
          </w:tcPr>
          <w:p w14:paraId="296B4A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675" w:type="dxa"/>
          </w:tcPr>
          <w:p w14:paraId="140F58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2BD433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167" w:type="dxa"/>
          </w:tcPr>
          <w:p w14:paraId="06C2CB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r w:rsidR="00983732" w:rsidRPr="00A3026E" w14:paraId="714F0FF4" w14:textId="77777777" w:rsidTr="00EA0DA7">
        <w:tc>
          <w:tcPr>
            <w:tcW w:w="534" w:type="dxa"/>
          </w:tcPr>
          <w:p w14:paraId="732330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675" w:type="dxa"/>
          </w:tcPr>
          <w:p w14:paraId="280707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30A7F0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АВ-2</w:t>
            </w:r>
          </w:p>
        </w:tc>
        <w:tc>
          <w:tcPr>
            <w:tcW w:w="1167" w:type="dxa"/>
          </w:tcPr>
          <w:p w14:paraId="35C8BE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r>
      <w:tr w:rsidR="00983732" w:rsidRPr="00A3026E" w14:paraId="70A6B893" w14:textId="77777777" w:rsidTr="00EA0DA7">
        <w:tc>
          <w:tcPr>
            <w:tcW w:w="534" w:type="dxa"/>
          </w:tcPr>
          <w:p w14:paraId="012404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675" w:type="dxa"/>
          </w:tcPr>
          <w:p w14:paraId="5DCE25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4893C2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АВ-5</w:t>
            </w:r>
          </w:p>
        </w:tc>
        <w:tc>
          <w:tcPr>
            <w:tcW w:w="1167" w:type="dxa"/>
          </w:tcPr>
          <w:p w14:paraId="6798EC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r>
      <w:tr w:rsidR="00983732" w:rsidRPr="00A3026E" w14:paraId="156B3CCD" w14:textId="77777777" w:rsidTr="00EA0DA7">
        <w:tc>
          <w:tcPr>
            <w:tcW w:w="534" w:type="dxa"/>
          </w:tcPr>
          <w:p w14:paraId="4703C7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675" w:type="dxa"/>
          </w:tcPr>
          <w:p w14:paraId="770598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Pr>
          <w:p w14:paraId="2CC1F1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25а (уширен.)</w:t>
            </w:r>
          </w:p>
        </w:tc>
        <w:tc>
          <w:tcPr>
            <w:tcW w:w="1167" w:type="dxa"/>
          </w:tcPr>
          <w:p w14:paraId="276980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r w:rsidR="00983732" w:rsidRPr="00A3026E" w14:paraId="32860E1D" w14:textId="77777777" w:rsidTr="00EA0DA7">
        <w:tc>
          <w:tcPr>
            <w:tcW w:w="534" w:type="dxa"/>
            <w:tcBorders>
              <w:bottom w:val="single" w:sz="12" w:space="0" w:color="auto"/>
            </w:tcBorders>
          </w:tcPr>
          <w:p w14:paraId="4E0834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675" w:type="dxa"/>
            <w:tcBorders>
              <w:bottom w:val="single" w:sz="12" w:space="0" w:color="auto"/>
            </w:tcBorders>
          </w:tcPr>
          <w:p w14:paraId="2BD2FC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67" w:type="dxa"/>
            <w:tcBorders>
              <w:bottom w:val="single" w:sz="12" w:space="0" w:color="auto"/>
            </w:tcBorders>
          </w:tcPr>
          <w:p w14:paraId="583CDA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1167" w:type="dxa"/>
            <w:tcBorders>
              <w:bottom w:val="single" w:sz="12" w:space="0" w:color="auto"/>
            </w:tcBorders>
          </w:tcPr>
          <w:p w14:paraId="319EC2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r>
    </w:tbl>
    <w:p w14:paraId="5BD82F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 1. Стоимость тары и упаковки входит в отпускную цену.</w:t>
      </w:r>
    </w:p>
    <w:p w14:paraId="0F9A67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Повышение цен на черный металл по постановлению правительства учтено с 1 января 1940 г. в образовании отпускных цен на 1940 г.</w:t>
      </w:r>
    </w:p>
    <w:p w14:paraId="318FAE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Отпускные цены определены франко-склад завода-изготовйтеля.</w:t>
      </w:r>
    </w:p>
    <w:p w14:paraId="7034B1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ОТПУСКНЫЕ ЦЕНЫ НА ПРИБОРЫ на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417"/>
        <w:gridCol w:w="8222"/>
        <w:gridCol w:w="992"/>
      </w:tblGrid>
      <w:tr w:rsidR="00983732" w:rsidRPr="00A3026E" w14:paraId="4932184A" w14:textId="77777777" w:rsidTr="00EA0DA7">
        <w:tc>
          <w:tcPr>
            <w:tcW w:w="534" w:type="dxa"/>
            <w:tcBorders>
              <w:top w:val="single" w:sz="12" w:space="0" w:color="auto"/>
            </w:tcBorders>
          </w:tcPr>
          <w:p w14:paraId="308C30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п/п</w:t>
            </w:r>
          </w:p>
        </w:tc>
        <w:tc>
          <w:tcPr>
            <w:tcW w:w="1417" w:type="dxa"/>
            <w:tcBorders>
              <w:top w:val="single" w:sz="12" w:space="0" w:color="auto"/>
            </w:tcBorders>
          </w:tcPr>
          <w:p w14:paraId="0D2BE8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заводов</w:t>
            </w:r>
          </w:p>
        </w:tc>
        <w:tc>
          <w:tcPr>
            <w:tcW w:w="8222" w:type="dxa"/>
            <w:tcBorders>
              <w:top w:val="single" w:sz="12" w:space="0" w:color="auto"/>
            </w:tcBorders>
          </w:tcPr>
          <w:p w14:paraId="6878A5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изделия</w:t>
            </w:r>
          </w:p>
        </w:tc>
        <w:tc>
          <w:tcPr>
            <w:tcW w:w="992" w:type="dxa"/>
            <w:tcBorders>
              <w:top w:val="single" w:sz="12" w:space="0" w:color="auto"/>
            </w:tcBorders>
          </w:tcPr>
          <w:p w14:paraId="778074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Отпускная цена на 1940 год</w:t>
            </w:r>
          </w:p>
          <w:p w14:paraId="15F092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рублях</w:t>
            </w:r>
          </w:p>
        </w:tc>
      </w:tr>
      <w:tr w:rsidR="00983732" w:rsidRPr="00A3026E" w14:paraId="6BE58476" w14:textId="77777777" w:rsidTr="00EA0DA7">
        <w:tc>
          <w:tcPr>
            <w:tcW w:w="534" w:type="dxa"/>
          </w:tcPr>
          <w:p w14:paraId="21DAA1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1417" w:type="dxa"/>
          </w:tcPr>
          <w:p w14:paraId="5B653F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652D4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Указатель угла атаки</w:t>
            </w:r>
          </w:p>
        </w:tc>
        <w:tc>
          <w:tcPr>
            <w:tcW w:w="992" w:type="dxa"/>
          </w:tcPr>
          <w:p w14:paraId="42A26A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r>
      <w:tr w:rsidR="00983732" w:rsidRPr="00A3026E" w14:paraId="63583344" w14:textId="77777777" w:rsidTr="00EA0DA7">
        <w:tc>
          <w:tcPr>
            <w:tcW w:w="534" w:type="dxa"/>
          </w:tcPr>
          <w:p w14:paraId="5F179E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1417" w:type="dxa"/>
          </w:tcPr>
          <w:p w14:paraId="283102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7B44C2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Гибкий вал с латунной оболочкой (цена за 1 мтр)</w:t>
            </w:r>
          </w:p>
        </w:tc>
        <w:tc>
          <w:tcPr>
            <w:tcW w:w="992" w:type="dxa"/>
          </w:tcPr>
          <w:p w14:paraId="17DBB9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37B87999" w14:textId="77777777" w:rsidTr="00EA0DA7">
        <w:tc>
          <w:tcPr>
            <w:tcW w:w="534" w:type="dxa"/>
          </w:tcPr>
          <w:p w14:paraId="49B3B3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1417" w:type="dxa"/>
          </w:tcPr>
          <w:p w14:paraId="0DF3B8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A06FE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Гибкий вал без оболочки (цена за 1 мтр)</w:t>
            </w:r>
          </w:p>
        </w:tc>
        <w:tc>
          <w:tcPr>
            <w:tcW w:w="992" w:type="dxa"/>
          </w:tcPr>
          <w:p w14:paraId="5965F6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51AC07D4" w14:textId="77777777" w:rsidTr="00EA0DA7">
        <w:tc>
          <w:tcPr>
            <w:tcW w:w="534" w:type="dxa"/>
          </w:tcPr>
          <w:p w14:paraId="3B1DA5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1417" w:type="dxa"/>
          </w:tcPr>
          <w:p w14:paraId="7B62B4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14B2A7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Оболочка гибкого вала латунная (цена за 1 метр)</w:t>
            </w:r>
          </w:p>
        </w:tc>
        <w:tc>
          <w:tcPr>
            <w:tcW w:w="992" w:type="dxa"/>
          </w:tcPr>
          <w:p w14:paraId="24C26B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4784ABF6" w14:textId="77777777" w:rsidTr="00EA0DA7">
        <w:tc>
          <w:tcPr>
            <w:tcW w:w="534" w:type="dxa"/>
          </w:tcPr>
          <w:p w14:paraId="4FB525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1417" w:type="dxa"/>
          </w:tcPr>
          <w:p w14:paraId="736CCF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306A1B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Приемник гидростатического бензиномера</w:t>
            </w:r>
          </w:p>
        </w:tc>
        <w:tc>
          <w:tcPr>
            <w:tcW w:w="992" w:type="dxa"/>
          </w:tcPr>
          <w:p w14:paraId="71A0F9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r>
      <w:tr w:rsidR="00983732" w:rsidRPr="00A3026E" w14:paraId="06A0E7EF" w14:textId="77777777" w:rsidTr="00EA0DA7">
        <w:tc>
          <w:tcPr>
            <w:tcW w:w="534" w:type="dxa"/>
          </w:tcPr>
          <w:p w14:paraId="47C5CA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417" w:type="dxa"/>
          </w:tcPr>
          <w:p w14:paraId="09EB95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2DD7AE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Переключатель гидростатич. бензиномера.</w:t>
            </w:r>
          </w:p>
        </w:tc>
        <w:tc>
          <w:tcPr>
            <w:tcW w:w="992" w:type="dxa"/>
          </w:tcPr>
          <w:p w14:paraId="4660B2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r>
      <w:tr w:rsidR="00983732" w:rsidRPr="00A3026E" w14:paraId="708E9890" w14:textId="77777777" w:rsidTr="00EA0DA7">
        <w:tc>
          <w:tcPr>
            <w:tcW w:w="534" w:type="dxa"/>
          </w:tcPr>
          <w:p w14:paraId="65EE5F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1417" w:type="dxa"/>
          </w:tcPr>
          <w:p w14:paraId="04C0EA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77F907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Насос гидростатического бензиномера</w:t>
            </w:r>
          </w:p>
        </w:tc>
        <w:tc>
          <w:tcPr>
            <w:tcW w:w="992" w:type="dxa"/>
          </w:tcPr>
          <w:p w14:paraId="279094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r>
      <w:tr w:rsidR="00983732" w:rsidRPr="00A3026E" w14:paraId="565DF56C" w14:textId="77777777" w:rsidTr="00EA0DA7">
        <w:tc>
          <w:tcPr>
            <w:tcW w:w="534" w:type="dxa"/>
          </w:tcPr>
          <w:p w14:paraId="297FB4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1417" w:type="dxa"/>
          </w:tcPr>
          <w:p w14:paraId="233AFF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29608D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Тахометр танковый</w:t>
            </w:r>
          </w:p>
        </w:tc>
        <w:tc>
          <w:tcPr>
            <w:tcW w:w="992" w:type="dxa"/>
          </w:tcPr>
          <w:p w14:paraId="781B9C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r>
      <w:tr w:rsidR="00983732" w:rsidRPr="00A3026E" w14:paraId="7A4ACC0C" w14:textId="77777777" w:rsidTr="00EA0DA7">
        <w:tc>
          <w:tcPr>
            <w:tcW w:w="534" w:type="dxa"/>
          </w:tcPr>
          <w:p w14:paraId="6D9D04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1417" w:type="dxa"/>
          </w:tcPr>
          <w:p w14:paraId="3BD4D5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6F0A5C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Тахометр авиационный на 2200 об.</w:t>
            </w:r>
          </w:p>
        </w:tc>
        <w:tc>
          <w:tcPr>
            <w:tcW w:w="992" w:type="dxa"/>
          </w:tcPr>
          <w:p w14:paraId="7B86B7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r>
      <w:tr w:rsidR="00983732" w:rsidRPr="00A3026E" w14:paraId="544F3EEE" w14:textId="77777777" w:rsidTr="00EA0DA7">
        <w:tc>
          <w:tcPr>
            <w:tcW w:w="534" w:type="dxa"/>
          </w:tcPr>
          <w:p w14:paraId="2282D7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1417" w:type="dxa"/>
          </w:tcPr>
          <w:p w14:paraId="1085CC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77F25F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Индикатор кислородного потока</w:t>
            </w:r>
          </w:p>
        </w:tc>
        <w:tc>
          <w:tcPr>
            <w:tcW w:w="992" w:type="dxa"/>
          </w:tcPr>
          <w:p w14:paraId="283A01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22-00</w:t>
            </w:r>
          </w:p>
        </w:tc>
      </w:tr>
      <w:tr w:rsidR="00983732" w:rsidRPr="00A3026E" w14:paraId="0C27A74B" w14:textId="77777777" w:rsidTr="00EA0DA7">
        <w:tc>
          <w:tcPr>
            <w:tcW w:w="534" w:type="dxa"/>
          </w:tcPr>
          <w:p w14:paraId="7F2E17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c>
          <w:tcPr>
            <w:tcW w:w="1417" w:type="dxa"/>
          </w:tcPr>
          <w:p w14:paraId="263F47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649E0B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Авиагоризонт с трубкой Вентури</w:t>
            </w:r>
          </w:p>
        </w:tc>
        <w:tc>
          <w:tcPr>
            <w:tcW w:w="992" w:type="dxa"/>
          </w:tcPr>
          <w:p w14:paraId="1E2BAA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450-00</w:t>
            </w:r>
          </w:p>
        </w:tc>
      </w:tr>
      <w:tr w:rsidR="00983732" w:rsidRPr="00A3026E" w14:paraId="745EEF84" w14:textId="77777777" w:rsidTr="00EA0DA7">
        <w:tc>
          <w:tcPr>
            <w:tcW w:w="534" w:type="dxa"/>
          </w:tcPr>
          <w:p w14:paraId="684991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1417" w:type="dxa"/>
          </w:tcPr>
          <w:p w14:paraId="69584B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7B62E7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Аэротермометр для гликоля</w:t>
            </w:r>
          </w:p>
        </w:tc>
        <w:tc>
          <w:tcPr>
            <w:tcW w:w="992" w:type="dxa"/>
          </w:tcPr>
          <w:p w14:paraId="1C5142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42-00</w:t>
            </w:r>
          </w:p>
        </w:tc>
      </w:tr>
      <w:tr w:rsidR="00983732" w:rsidRPr="00A3026E" w14:paraId="398CDCB9" w14:textId="77777777" w:rsidTr="00EA0DA7">
        <w:tc>
          <w:tcPr>
            <w:tcW w:w="534" w:type="dxa"/>
          </w:tcPr>
          <w:p w14:paraId="791787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1417" w:type="dxa"/>
          </w:tcPr>
          <w:p w14:paraId="16A8A1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E5176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Электробомбосбрасыватель ЗСБР-2 без обогрева</w:t>
            </w:r>
          </w:p>
        </w:tc>
        <w:tc>
          <w:tcPr>
            <w:tcW w:w="992" w:type="dxa"/>
          </w:tcPr>
          <w:p w14:paraId="763DBD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2300-00.</w:t>
            </w:r>
          </w:p>
        </w:tc>
      </w:tr>
      <w:tr w:rsidR="00983732" w:rsidRPr="00A3026E" w14:paraId="2EEF18B7" w14:textId="77777777" w:rsidTr="00EA0DA7">
        <w:tc>
          <w:tcPr>
            <w:tcW w:w="534" w:type="dxa"/>
          </w:tcPr>
          <w:p w14:paraId="6BFC81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c>
          <w:tcPr>
            <w:tcW w:w="1417" w:type="dxa"/>
          </w:tcPr>
          <w:p w14:paraId="50F8FD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7B1492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Трубка ПИТО с обогревом на 12 и 24 воль</w:t>
            </w:r>
          </w:p>
        </w:tc>
        <w:tc>
          <w:tcPr>
            <w:tcW w:w="992" w:type="dxa"/>
          </w:tcPr>
          <w:p w14:paraId="5F327C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34-00</w:t>
            </w:r>
          </w:p>
        </w:tc>
      </w:tr>
      <w:tr w:rsidR="00983732" w:rsidRPr="00A3026E" w14:paraId="02E9F99D" w14:textId="77777777" w:rsidTr="00EA0DA7">
        <w:tc>
          <w:tcPr>
            <w:tcW w:w="534" w:type="dxa"/>
          </w:tcPr>
          <w:p w14:paraId="2593FA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1417" w:type="dxa"/>
          </w:tcPr>
          <w:p w14:paraId="38EC88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654A31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Анероид № 41</w:t>
            </w:r>
          </w:p>
        </w:tc>
        <w:tc>
          <w:tcPr>
            <w:tcW w:w="992" w:type="dxa"/>
          </w:tcPr>
          <w:p w14:paraId="6A5967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21-00</w:t>
            </w:r>
          </w:p>
        </w:tc>
      </w:tr>
      <w:tr w:rsidR="00983732" w:rsidRPr="00A3026E" w14:paraId="15E8A80E" w14:textId="77777777" w:rsidTr="00EA0DA7">
        <w:tc>
          <w:tcPr>
            <w:tcW w:w="534" w:type="dxa"/>
          </w:tcPr>
          <w:p w14:paraId="6519B9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1417" w:type="dxa"/>
          </w:tcPr>
          <w:p w14:paraId="26E4B5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2F11EE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Анероид № 42</w:t>
            </w:r>
          </w:p>
        </w:tc>
        <w:tc>
          <w:tcPr>
            <w:tcW w:w="992" w:type="dxa"/>
          </w:tcPr>
          <w:p w14:paraId="5DF833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45-00</w:t>
            </w:r>
          </w:p>
        </w:tc>
      </w:tr>
      <w:tr w:rsidR="00983732" w:rsidRPr="00A3026E" w14:paraId="5D2CE4B5" w14:textId="77777777" w:rsidTr="00EA0DA7">
        <w:tc>
          <w:tcPr>
            <w:tcW w:w="534" w:type="dxa"/>
          </w:tcPr>
          <w:p w14:paraId="1983CD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c>
          <w:tcPr>
            <w:tcW w:w="1417" w:type="dxa"/>
          </w:tcPr>
          <w:p w14:paraId="706A76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3F4D0C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Высотомер 2-х стрелочный</w:t>
            </w:r>
          </w:p>
        </w:tc>
        <w:tc>
          <w:tcPr>
            <w:tcW w:w="992" w:type="dxa"/>
          </w:tcPr>
          <w:p w14:paraId="09E2CF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300-00</w:t>
            </w:r>
          </w:p>
        </w:tc>
      </w:tr>
      <w:tr w:rsidR="00983732" w:rsidRPr="00A3026E" w14:paraId="108AB182" w14:textId="77777777" w:rsidTr="00EA0DA7">
        <w:tc>
          <w:tcPr>
            <w:tcW w:w="534" w:type="dxa"/>
          </w:tcPr>
          <w:p w14:paraId="1E4ED1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1417" w:type="dxa"/>
          </w:tcPr>
          <w:p w14:paraId="50BC0B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9190B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Трубка Вентури для авиагоризонта</w:t>
            </w:r>
          </w:p>
        </w:tc>
        <w:tc>
          <w:tcPr>
            <w:tcW w:w="992" w:type="dxa"/>
          </w:tcPr>
          <w:p w14:paraId="30ED09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r>
      <w:tr w:rsidR="00983732" w:rsidRPr="00A3026E" w14:paraId="5D694EB6" w14:textId="77777777" w:rsidTr="00EA0DA7">
        <w:tc>
          <w:tcPr>
            <w:tcW w:w="534" w:type="dxa"/>
          </w:tcPr>
          <w:p w14:paraId="33C876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1417" w:type="dxa"/>
          </w:tcPr>
          <w:p w14:paraId="2C6CA3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EC95F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Анероид № 49</w:t>
            </w:r>
          </w:p>
        </w:tc>
        <w:tc>
          <w:tcPr>
            <w:tcW w:w="992" w:type="dxa"/>
          </w:tcPr>
          <w:p w14:paraId="6E5567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r>
      <w:tr w:rsidR="00983732" w:rsidRPr="00A3026E" w14:paraId="7FC5FB99" w14:textId="77777777" w:rsidTr="00EA0DA7">
        <w:tc>
          <w:tcPr>
            <w:tcW w:w="534" w:type="dxa"/>
          </w:tcPr>
          <w:p w14:paraId="2BFD96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417" w:type="dxa"/>
          </w:tcPr>
          <w:p w14:paraId="3A8851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1AA363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Мех БНК-5</w:t>
            </w:r>
          </w:p>
        </w:tc>
        <w:tc>
          <w:tcPr>
            <w:tcW w:w="992" w:type="dxa"/>
          </w:tcPr>
          <w:p w14:paraId="092F89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35-00</w:t>
            </w:r>
          </w:p>
        </w:tc>
      </w:tr>
      <w:tr w:rsidR="00983732" w:rsidRPr="00A3026E" w14:paraId="562244FD" w14:textId="77777777" w:rsidTr="00EA0DA7">
        <w:tc>
          <w:tcPr>
            <w:tcW w:w="534" w:type="dxa"/>
          </w:tcPr>
          <w:p w14:paraId="695208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1417" w:type="dxa"/>
          </w:tcPr>
          <w:p w14:paraId="0B0AE0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3B59B7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Компас КИ-6</w:t>
            </w:r>
          </w:p>
        </w:tc>
        <w:tc>
          <w:tcPr>
            <w:tcW w:w="992" w:type="dxa"/>
          </w:tcPr>
          <w:p w14:paraId="7BE9DF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106-00</w:t>
            </w:r>
          </w:p>
        </w:tc>
      </w:tr>
      <w:tr w:rsidR="00983732" w:rsidRPr="00A3026E" w14:paraId="31231A83" w14:textId="77777777" w:rsidTr="00EA0DA7">
        <w:tc>
          <w:tcPr>
            <w:tcW w:w="534" w:type="dxa"/>
          </w:tcPr>
          <w:p w14:paraId="7BBD80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1417" w:type="dxa"/>
          </w:tcPr>
          <w:p w14:paraId="3000C2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2841F5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Компас М-6 с приспособлением для ус тра : нения четвертной девиации</w:t>
            </w:r>
          </w:p>
        </w:tc>
        <w:tc>
          <w:tcPr>
            <w:tcW w:w="992" w:type="dxa"/>
          </w:tcPr>
          <w:p w14:paraId="0579EA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106-00</w:t>
            </w:r>
          </w:p>
        </w:tc>
      </w:tr>
      <w:tr w:rsidR="00983732" w:rsidRPr="00A3026E" w14:paraId="33230053" w14:textId="77777777" w:rsidTr="00EA0DA7">
        <w:tc>
          <w:tcPr>
            <w:tcW w:w="534" w:type="dxa"/>
          </w:tcPr>
          <w:p w14:paraId="2ABCCE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1417" w:type="dxa"/>
          </w:tcPr>
          <w:p w14:paraId="285B7B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894D4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Компас , КИ-6 с кронштейном</w:t>
            </w:r>
          </w:p>
        </w:tc>
        <w:tc>
          <w:tcPr>
            <w:tcW w:w="992" w:type="dxa"/>
          </w:tcPr>
          <w:p w14:paraId="60B24C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140-00</w:t>
            </w:r>
          </w:p>
        </w:tc>
      </w:tr>
      <w:tr w:rsidR="00983732" w:rsidRPr="00A3026E" w14:paraId="7B1F7DE4" w14:textId="77777777" w:rsidTr="00EA0DA7">
        <w:tc>
          <w:tcPr>
            <w:tcW w:w="534" w:type="dxa"/>
          </w:tcPr>
          <w:p w14:paraId="60D02C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1417" w:type="dxa"/>
          </w:tcPr>
          <w:p w14:paraId="2D5819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27C8AD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Компас гиромагнитный ГМК-2 с трубкой Вентури</w:t>
            </w:r>
          </w:p>
        </w:tc>
        <w:tc>
          <w:tcPr>
            <w:tcW w:w="992" w:type="dxa"/>
          </w:tcPr>
          <w:p w14:paraId="58BD8E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680-00</w:t>
            </w:r>
          </w:p>
        </w:tc>
      </w:tr>
      <w:tr w:rsidR="00983732" w:rsidRPr="00A3026E" w14:paraId="0B1475F2" w14:textId="77777777" w:rsidTr="00EA0DA7">
        <w:tc>
          <w:tcPr>
            <w:tcW w:w="534" w:type="dxa"/>
          </w:tcPr>
          <w:p w14:paraId="022D95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1417" w:type="dxa"/>
          </w:tcPr>
          <w:p w14:paraId="29CB66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7B1F4A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Сильфон для ХТЗ</w:t>
            </w:r>
          </w:p>
        </w:tc>
        <w:tc>
          <w:tcPr>
            <w:tcW w:w="992" w:type="dxa"/>
          </w:tcPr>
          <w:p w14:paraId="7A863E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r>
      <w:tr w:rsidR="00983732" w:rsidRPr="00A3026E" w14:paraId="73299BFF" w14:textId="77777777" w:rsidTr="00EA0DA7">
        <w:tc>
          <w:tcPr>
            <w:tcW w:w="534" w:type="dxa"/>
          </w:tcPr>
          <w:p w14:paraId="2AFD82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1417" w:type="dxa"/>
          </w:tcPr>
          <w:p w14:paraId="5A92D3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4DD7D0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Терморегулятор для масла</w:t>
            </w:r>
          </w:p>
        </w:tc>
        <w:tc>
          <w:tcPr>
            <w:tcW w:w="992" w:type="dxa"/>
          </w:tcPr>
          <w:p w14:paraId="6B5691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32-00</w:t>
            </w:r>
          </w:p>
        </w:tc>
      </w:tr>
      <w:tr w:rsidR="00983732" w:rsidRPr="00A3026E" w14:paraId="0CCA77A3" w14:textId="77777777" w:rsidTr="00EA0DA7">
        <w:tc>
          <w:tcPr>
            <w:tcW w:w="534" w:type="dxa"/>
          </w:tcPr>
          <w:p w14:paraId="1E5270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tc>
        <w:tc>
          <w:tcPr>
            <w:tcW w:w="1417" w:type="dxa"/>
          </w:tcPr>
          <w:p w14:paraId="5BB4FF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49BDC4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Вариометр на 10 м/сек.</w:t>
            </w:r>
          </w:p>
        </w:tc>
        <w:tc>
          <w:tcPr>
            <w:tcW w:w="992" w:type="dxa"/>
          </w:tcPr>
          <w:p w14:paraId="102C41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127-00</w:t>
            </w:r>
          </w:p>
        </w:tc>
      </w:tr>
      <w:tr w:rsidR="00983732" w:rsidRPr="00A3026E" w14:paraId="4CE46570" w14:textId="77777777" w:rsidTr="00EA0DA7">
        <w:tc>
          <w:tcPr>
            <w:tcW w:w="534" w:type="dxa"/>
          </w:tcPr>
          <w:p w14:paraId="4E5C5E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417" w:type="dxa"/>
          </w:tcPr>
          <w:p w14:paraId="48B4E1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E336B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Варибметр на 30 м/сек.</w:t>
            </w:r>
          </w:p>
        </w:tc>
        <w:tc>
          <w:tcPr>
            <w:tcW w:w="992" w:type="dxa"/>
          </w:tcPr>
          <w:p w14:paraId="759E16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129-00</w:t>
            </w:r>
          </w:p>
        </w:tc>
      </w:tr>
      <w:tr w:rsidR="00983732" w:rsidRPr="00A3026E" w14:paraId="72F8022B" w14:textId="77777777" w:rsidTr="00EA0DA7">
        <w:tc>
          <w:tcPr>
            <w:tcW w:w="534" w:type="dxa"/>
          </w:tcPr>
          <w:p w14:paraId="711453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1417" w:type="dxa"/>
          </w:tcPr>
          <w:p w14:paraId="33E0B3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4E4774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Компас К— 5</w:t>
            </w:r>
          </w:p>
        </w:tc>
        <w:tc>
          <w:tcPr>
            <w:tcW w:w="992" w:type="dxa"/>
          </w:tcPr>
          <w:p w14:paraId="265055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170-00</w:t>
            </w:r>
          </w:p>
        </w:tc>
      </w:tr>
      <w:tr w:rsidR="00983732" w:rsidRPr="00A3026E" w14:paraId="673ED157" w14:textId="77777777" w:rsidTr="00EA0DA7">
        <w:tc>
          <w:tcPr>
            <w:tcW w:w="534" w:type="dxa"/>
          </w:tcPr>
          <w:p w14:paraId="2F7819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1417" w:type="dxa"/>
          </w:tcPr>
          <w:p w14:paraId="2D648F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05ECE9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Индикатор моторный 3-х стрелочный с трубопроводом до 3,3 метра</w:t>
            </w:r>
          </w:p>
        </w:tc>
        <w:tc>
          <w:tcPr>
            <w:tcW w:w="992" w:type="dxa"/>
          </w:tcPr>
          <w:p w14:paraId="6CD94B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130-00</w:t>
            </w:r>
          </w:p>
        </w:tc>
      </w:tr>
      <w:tr w:rsidR="00983732" w:rsidRPr="00A3026E" w14:paraId="252D5B4F" w14:textId="77777777" w:rsidTr="00EA0DA7">
        <w:tc>
          <w:tcPr>
            <w:tcW w:w="534" w:type="dxa"/>
          </w:tcPr>
          <w:p w14:paraId="6FF1E1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1417" w:type="dxa"/>
          </w:tcPr>
          <w:p w14:paraId="2D7159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707357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с трубопроводом от 3,3 до 6 мтр.</w:t>
            </w:r>
          </w:p>
        </w:tc>
        <w:tc>
          <w:tcPr>
            <w:tcW w:w="992" w:type="dxa"/>
          </w:tcPr>
          <w:p w14:paraId="13E3CC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135-00</w:t>
            </w:r>
          </w:p>
        </w:tc>
      </w:tr>
      <w:tr w:rsidR="00983732" w:rsidRPr="00A3026E" w14:paraId="3D77FA4B" w14:textId="77777777" w:rsidTr="00EA0DA7">
        <w:tc>
          <w:tcPr>
            <w:tcW w:w="534" w:type="dxa"/>
          </w:tcPr>
          <w:p w14:paraId="5814A8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w:t>
            </w:r>
          </w:p>
        </w:tc>
        <w:tc>
          <w:tcPr>
            <w:tcW w:w="1417" w:type="dxa"/>
          </w:tcPr>
          <w:p w14:paraId="2BA3A9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40B351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с трубопроводом от 6 до 10 метр.</w:t>
            </w:r>
          </w:p>
        </w:tc>
        <w:tc>
          <w:tcPr>
            <w:tcW w:w="992" w:type="dxa"/>
          </w:tcPr>
          <w:p w14:paraId="3A3C7C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140-00</w:t>
            </w:r>
          </w:p>
        </w:tc>
      </w:tr>
      <w:tr w:rsidR="00983732" w:rsidRPr="00A3026E" w14:paraId="74F85FF5" w14:textId="77777777" w:rsidTr="00EA0DA7">
        <w:tc>
          <w:tcPr>
            <w:tcW w:w="534" w:type="dxa"/>
          </w:tcPr>
          <w:p w14:paraId="3EC9F4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w:t>
            </w:r>
          </w:p>
        </w:tc>
        <w:tc>
          <w:tcPr>
            <w:tcW w:w="1417" w:type="dxa"/>
          </w:tcPr>
          <w:p w14:paraId="64C5EE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185127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Танковый оптический прицел со стабили</w:t>
            </w:r>
            <w:r w:rsidRPr="00A3026E">
              <w:rPr>
                <w:rFonts w:ascii="Times New Roman" w:hAnsi="Times New Roman"/>
                <w:color w:val="000000" w:themeColor="text1"/>
                <w:sz w:val="16"/>
                <w:szCs w:val="16"/>
              </w:rPr>
              <w:softHyphen/>
              <w:t>затором для 45мм. танковой пушки</w:t>
            </w:r>
          </w:p>
        </w:tc>
        <w:tc>
          <w:tcPr>
            <w:tcW w:w="992" w:type="dxa"/>
          </w:tcPr>
          <w:p w14:paraId="7C7379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3250-00</w:t>
            </w:r>
          </w:p>
        </w:tc>
      </w:tr>
      <w:tr w:rsidR="00983732" w:rsidRPr="00A3026E" w14:paraId="0D6AD8DF" w14:textId="77777777" w:rsidTr="00EA0DA7">
        <w:tc>
          <w:tcPr>
            <w:tcW w:w="534" w:type="dxa"/>
          </w:tcPr>
          <w:p w14:paraId="778631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w:t>
            </w:r>
          </w:p>
        </w:tc>
        <w:tc>
          <w:tcPr>
            <w:tcW w:w="1417" w:type="dxa"/>
          </w:tcPr>
          <w:p w14:paraId="722C23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226419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модернизированный</w:t>
            </w:r>
          </w:p>
        </w:tc>
        <w:tc>
          <w:tcPr>
            <w:tcW w:w="992" w:type="dxa"/>
          </w:tcPr>
          <w:p w14:paraId="754259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1365-00</w:t>
            </w:r>
          </w:p>
        </w:tc>
      </w:tr>
      <w:tr w:rsidR="00983732" w:rsidRPr="00A3026E" w14:paraId="18DF7D3C" w14:textId="77777777" w:rsidTr="00EA0DA7">
        <w:tc>
          <w:tcPr>
            <w:tcW w:w="534" w:type="dxa"/>
          </w:tcPr>
          <w:p w14:paraId="570E8A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c>
          <w:tcPr>
            <w:tcW w:w="1417" w:type="dxa"/>
          </w:tcPr>
          <w:p w14:paraId="63D8A0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088A27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Аэротермометр хлор-метиловый с трубопроводом до 4,5 метра</w:t>
            </w:r>
          </w:p>
        </w:tc>
        <w:tc>
          <w:tcPr>
            <w:tcW w:w="992" w:type="dxa"/>
          </w:tcPr>
          <w:p w14:paraId="372B72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65-00</w:t>
            </w:r>
          </w:p>
        </w:tc>
      </w:tr>
      <w:tr w:rsidR="00983732" w:rsidRPr="00A3026E" w14:paraId="0AE809BF" w14:textId="77777777" w:rsidTr="00EA0DA7">
        <w:tc>
          <w:tcPr>
            <w:tcW w:w="534" w:type="dxa"/>
          </w:tcPr>
          <w:p w14:paraId="50D436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36</w:t>
            </w:r>
          </w:p>
        </w:tc>
        <w:tc>
          <w:tcPr>
            <w:tcW w:w="1417" w:type="dxa"/>
          </w:tcPr>
          <w:p w14:paraId="782B31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2C0851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с трубопроводом от 6 до 10 мет.</w:t>
            </w:r>
          </w:p>
        </w:tc>
        <w:tc>
          <w:tcPr>
            <w:tcW w:w="992" w:type="dxa"/>
          </w:tcPr>
          <w:p w14:paraId="5622AA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70-00</w:t>
            </w:r>
          </w:p>
        </w:tc>
      </w:tr>
      <w:tr w:rsidR="00983732" w:rsidRPr="00A3026E" w14:paraId="7BC68587" w14:textId="77777777" w:rsidTr="00EA0DA7">
        <w:tc>
          <w:tcPr>
            <w:tcW w:w="534" w:type="dxa"/>
          </w:tcPr>
          <w:p w14:paraId="02CAA6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w:t>
            </w:r>
          </w:p>
        </w:tc>
        <w:tc>
          <w:tcPr>
            <w:tcW w:w="1417" w:type="dxa"/>
          </w:tcPr>
          <w:p w14:paraId="3352F2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102989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трубопроводом от 10 до 15 м</w:t>
            </w:r>
          </w:p>
        </w:tc>
        <w:tc>
          <w:tcPr>
            <w:tcW w:w="992" w:type="dxa"/>
          </w:tcPr>
          <w:p w14:paraId="249178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75-00</w:t>
            </w:r>
          </w:p>
        </w:tc>
      </w:tr>
      <w:tr w:rsidR="00983732" w:rsidRPr="00A3026E" w14:paraId="30C53589" w14:textId="77777777" w:rsidTr="00EA0DA7">
        <w:tc>
          <w:tcPr>
            <w:tcW w:w="534" w:type="dxa"/>
          </w:tcPr>
          <w:p w14:paraId="09FD7D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w:t>
            </w:r>
          </w:p>
        </w:tc>
        <w:tc>
          <w:tcPr>
            <w:tcW w:w="1417" w:type="dxa"/>
          </w:tcPr>
          <w:p w14:paraId="5CBB38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157353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Манометр для масла на 15 атм</w:t>
            </w:r>
          </w:p>
        </w:tc>
        <w:tc>
          <w:tcPr>
            <w:tcW w:w="992" w:type="dxa"/>
          </w:tcPr>
          <w:p w14:paraId="0446F2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28-00</w:t>
            </w:r>
          </w:p>
        </w:tc>
      </w:tr>
      <w:tr w:rsidR="00983732" w:rsidRPr="00A3026E" w14:paraId="6BCB5E27" w14:textId="77777777" w:rsidTr="00EA0DA7">
        <w:tc>
          <w:tcPr>
            <w:tcW w:w="534" w:type="dxa"/>
          </w:tcPr>
          <w:p w14:paraId="18A3A1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c>
          <w:tcPr>
            <w:tcW w:w="1417" w:type="dxa"/>
          </w:tcPr>
          <w:p w14:paraId="58740E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7759C7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Манометр для бецзина с 1 штуцером на 1 атм</w:t>
            </w:r>
          </w:p>
        </w:tc>
        <w:tc>
          <w:tcPr>
            <w:tcW w:w="992" w:type="dxa"/>
          </w:tcPr>
          <w:p w14:paraId="4A3845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27-00</w:t>
            </w:r>
          </w:p>
        </w:tc>
      </w:tr>
      <w:tr w:rsidR="00983732" w:rsidRPr="00A3026E" w14:paraId="43679DB0" w14:textId="77777777" w:rsidTr="00EA0DA7">
        <w:tc>
          <w:tcPr>
            <w:tcW w:w="534" w:type="dxa"/>
          </w:tcPr>
          <w:p w14:paraId="73E7E0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1417" w:type="dxa"/>
          </w:tcPr>
          <w:p w14:paraId="21ACA7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779599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Электробензнномер 6-бачковый</w:t>
            </w:r>
          </w:p>
        </w:tc>
        <w:tc>
          <w:tcPr>
            <w:tcW w:w="992" w:type="dxa"/>
          </w:tcPr>
          <w:p w14:paraId="4124FF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610-00</w:t>
            </w:r>
          </w:p>
        </w:tc>
      </w:tr>
      <w:tr w:rsidR="00983732" w:rsidRPr="00A3026E" w14:paraId="50327273" w14:textId="77777777" w:rsidTr="00EA0DA7">
        <w:tc>
          <w:tcPr>
            <w:tcW w:w="534" w:type="dxa"/>
          </w:tcPr>
          <w:p w14:paraId="79193F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w:t>
            </w:r>
          </w:p>
        </w:tc>
        <w:tc>
          <w:tcPr>
            <w:tcW w:w="1417" w:type="dxa"/>
          </w:tcPr>
          <w:p w14:paraId="58A243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640F49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Электробензиномер 4-бачковый</w:t>
            </w:r>
          </w:p>
        </w:tc>
        <w:tc>
          <w:tcPr>
            <w:tcW w:w="992" w:type="dxa"/>
          </w:tcPr>
          <w:p w14:paraId="3974C8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410-00</w:t>
            </w:r>
          </w:p>
        </w:tc>
      </w:tr>
      <w:tr w:rsidR="00983732" w:rsidRPr="00A3026E" w14:paraId="0F53D374" w14:textId="77777777" w:rsidTr="00EA0DA7">
        <w:tc>
          <w:tcPr>
            <w:tcW w:w="534" w:type="dxa"/>
          </w:tcPr>
          <w:p w14:paraId="3A5D78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w:t>
            </w:r>
          </w:p>
        </w:tc>
        <w:tc>
          <w:tcPr>
            <w:tcW w:w="1417" w:type="dxa"/>
          </w:tcPr>
          <w:p w14:paraId="2EEA4E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6DC2EE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Электробензиномер 2-бачковый</w:t>
            </w:r>
          </w:p>
        </w:tc>
        <w:tc>
          <w:tcPr>
            <w:tcW w:w="992" w:type="dxa"/>
          </w:tcPr>
          <w:p w14:paraId="6A3506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205-00</w:t>
            </w:r>
          </w:p>
        </w:tc>
      </w:tr>
      <w:tr w:rsidR="00983732" w:rsidRPr="00A3026E" w14:paraId="53626F84" w14:textId="77777777" w:rsidTr="00EA0DA7">
        <w:tc>
          <w:tcPr>
            <w:tcW w:w="534" w:type="dxa"/>
          </w:tcPr>
          <w:p w14:paraId="1DE3B3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w:t>
            </w:r>
          </w:p>
        </w:tc>
        <w:tc>
          <w:tcPr>
            <w:tcW w:w="1417" w:type="dxa"/>
          </w:tcPr>
          <w:p w14:paraId="43777A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997E5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Электробензииомер 1-бачковый</w:t>
            </w:r>
          </w:p>
        </w:tc>
        <w:tc>
          <w:tcPr>
            <w:tcW w:w="992" w:type="dxa"/>
          </w:tcPr>
          <w:p w14:paraId="3354B2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103-00</w:t>
            </w:r>
          </w:p>
        </w:tc>
      </w:tr>
      <w:tr w:rsidR="00983732" w:rsidRPr="00A3026E" w14:paraId="5D97427F" w14:textId="77777777" w:rsidTr="00EA0DA7">
        <w:tc>
          <w:tcPr>
            <w:tcW w:w="534" w:type="dxa"/>
          </w:tcPr>
          <w:p w14:paraId="025D07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w:t>
            </w:r>
          </w:p>
        </w:tc>
        <w:tc>
          <w:tcPr>
            <w:tcW w:w="1417" w:type="dxa"/>
          </w:tcPr>
          <w:p w14:paraId="45EB01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63A960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Манометр для бензина,компенсирующий с 2 штуцерами</w:t>
            </w:r>
          </w:p>
        </w:tc>
        <w:tc>
          <w:tcPr>
            <w:tcW w:w="992" w:type="dxa"/>
          </w:tcPr>
          <w:p w14:paraId="73E2C4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28-00</w:t>
            </w:r>
          </w:p>
        </w:tc>
      </w:tr>
      <w:tr w:rsidR="00983732" w:rsidRPr="00A3026E" w14:paraId="65EC502A" w14:textId="77777777" w:rsidTr="00EA0DA7">
        <w:tc>
          <w:tcPr>
            <w:tcW w:w="534" w:type="dxa"/>
          </w:tcPr>
          <w:p w14:paraId="0EDEF0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1417" w:type="dxa"/>
          </w:tcPr>
          <w:p w14:paraId="19B7B4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378D58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Тахометр для Коломенского завода № 103</w:t>
            </w:r>
          </w:p>
        </w:tc>
        <w:tc>
          <w:tcPr>
            <w:tcW w:w="992" w:type="dxa"/>
          </w:tcPr>
          <w:p w14:paraId="44860E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136-00</w:t>
            </w:r>
          </w:p>
        </w:tc>
      </w:tr>
      <w:tr w:rsidR="00983732" w:rsidRPr="00A3026E" w14:paraId="76536F0E" w14:textId="77777777" w:rsidTr="00EA0DA7">
        <w:tc>
          <w:tcPr>
            <w:tcW w:w="534" w:type="dxa"/>
          </w:tcPr>
          <w:p w14:paraId="35CC4A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w:t>
            </w:r>
          </w:p>
        </w:tc>
        <w:tc>
          <w:tcPr>
            <w:tcW w:w="1417" w:type="dxa"/>
          </w:tcPr>
          <w:p w14:paraId="793FCD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1FC21A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Высотомер на 8 клм.</w:t>
            </w:r>
          </w:p>
        </w:tc>
        <w:tc>
          <w:tcPr>
            <w:tcW w:w="992" w:type="dxa"/>
          </w:tcPr>
          <w:p w14:paraId="746C35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115-00</w:t>
            </w:r>
          </w:p>
        </w:tc>
      </w:tr>
      <w:tr w:rsidR="00983732" w:rsidRPr="00A3026E" w14:paraId="71913B39" w14:textId="77777777" w:rsidTr="00EA0DA7">
        <w:tc>
          <w:tcPr>
            <w:tcW w:w="534" w:type="dxa"/>
          </w:tcPr>
          <w:p w14:paraId="79D864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c>
          <w:tcPr>
            <w:tcW w:w="1417" w:type="dxa"/>
          </w:tcPr>
          <w:p w14:paraId="7D88B2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003868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Высотомер на 12 клм.</w:t>
            </w:r>
          </w:p>
        </w:tc>
        <w:tc>
          <w:tcPr>
            <w:tcW w:w="992" w:type="dxa"/>
          </w:tcPr>
          <w:p w14:paraId="0F169C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117-00</w:t>
            </w:r>
          </w:p>
        </w:tc>
      </w:tr>
      <w:tr w:rsidR="00983732" w:rsidRPr="00A3026E" w14:paraId="099F034A" w14:textId="77777777" w:rsidTr="00EA0DA7">
        <w:tc>
          <w:tcPr>
            <w:tcW w:w="534" w:type="dxa"/>
          </w:tcPr>
          <w:p w14:paraId="6B99F3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w:t>
            </w:r>
          </w:p>
        </w:tc>
        <w:tc>
          <w:tcPr>
            <w:tcW w:w="1417" w:type="dxa"/>
          </w:tcPr>
          <w:p w14:paraId="0C1D44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9D954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Мановакууметр</w:t>
            </w:r>
          </w:p>
        </w:tc>
        <w:tc>
          <w:tcPr>
            <w:tcW w:w="992" w:type="dxa"/>
          </w:tcPr>
          <w:p w14:paraId="01969A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r>
      <w:tr w:rsidR="00983732" w:rsidRPr="00A3026E" w14:paraId="080E0CFB" w14:textId="77777777" w:rsidTr="00EA0DA7">
        <w:tc>
          <w:tcPr>
            <w:tcW w:w="534" w:type="dxa"/>
          </w:tcPr>
          <w:p w14:paraId="344DE9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w:t>
            </w:r>
          </w:p>
        </w:tc>
        <w:tc>
          <w:tcPr>
            <w:tcW w:w="1417" w:type="dxa"/>
          </w:tcPr>
          <w:p w14:paraId="2BF376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360D40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Анероид индикатора кислородного потока</w:t>
            </w:r>
          </w:p>
        </w:tc>
        <w:tc>
          <w:tcPr>
            <w:tcW w:w="992" w:type="dxa"/>
          </w:tcPr>
          <w:p w14:paraId="358345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533E2EFC" w14:textId="77777777" w:rsidTr="00EA0DA7">
        <w:tc>
          <w:tcPr>
            <w:tcW w:w="534" w:type="dxa"/>
          </w:tcPr>
          <w:p w14:paraId="1E14A5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1417" w:type="dxa"/>
          </w:tcPr>
          <w:p w14:paraId="19226D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8C500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Компас АН-4</w:t>
            </w:r>
          </w:p>
        </w:tc>
        <w:tc>
          <w:tcPr>
            <w:tcW w:w="992" w:type="dxa"/>
          </w:tcPr>
          <w:p w14:paraId="18BE2F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160-00</w:t>
            </w:r>
          </w:p>
        </w:tc>
      </w:tr>
      <w:tr w:rsidR="00983732" w:rsidRPr="00A3026E" w14:paraId="0508E683" w14:textId="77777777" w:rsidTr="00EA0DA7">
        <w:tc>
          <w:tcPr>
            <w:tcW w:w="534" w:type="dxa"/>
          </w:tcPr>
          <w:p w14:paraId="139D58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w:t>
            </w:r>
          </w:p>
        </w:tc>
        <w:tc>
          <w:tcPr>
            <w:tcW w:w="1417" w:type="dxa"/>
          </w:tcPr>
          <w:p w14:paraId="164FA6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08A8FF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Компас КИ с кронштейном</w:t>
            </w:r>
          </w:p>
        </w:tc>
        <w:tc>
          <w:tcPr>
            <w:tcW w:w="992" w:type="dxa"/>
          </w:tcPr>
          <w:p w14:paraId="565E91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105-00</w:t>
            </w:r>
          </w:p>
        </w:tc>
      </w:tr>
      <w:tr w:rsidR="00983732" w:rsidRPr="00A3026E" w14:paraId="70C2BEEA" w14:textId="77777777" w:rsidTr="00EA0DA7">
        <w:tc>
          <w:tcPr>
            <w:tcW w:w="534" w:type="dxa"/>
          </w:tcPr>
          <w:p w14:paraId="417FD8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w:t>
            </w:r>
          </w:p>
        </w:tc>
        <w:tc>
          <w:tcPr>
            <w:tcW w:w="1417" w:type="dxa"/>
          </w:tcPr>
          <w:p w14:paraId="60A466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1E0E79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Компас для подводников</w:t>
            </w:r>
          </w:p>
        </w:tc>
        <w:tc>
          <w:tcPr>
            <w:tcW w:w="992" w:type="dxa"/>
          </w:tcPr>
          <w:p w14:paraId="2C5916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185-00</w:t>
            </w:r>
          </w:p>
        </w:tc>
      </w:tr>
      <w:tr w:rsidR="00983732" w:rsidRPr="00A3026E" w14:paraId="488883B7" w14:textId="77777777" w:rsidTr="00EA0DA7">
        <w:tc>
          <w:tcPr>
            <w:tcW w:w="534" w:type="dxa"/>
          </w:tcPr>
          <w:p w14:paraId="7A2310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w:t>
            </w:r>
          </w:p>
        </w:tc>
        <w:tc>
          <w:tcPr>
            <w:tcW w:w="1417" w:type="dxa"/>
          </w:tcPr>
          <w:p w14:paraId="2E49EF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65733B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Аксельрометр</w:t>
            </w:r>
          </w:p>
        </w:tc>
        <w:tc>
          <w:tcPr>
            <w:tcW w:w="992" w:type="dxa"/>
          </w:tcPr>
          <w:p w14:paraId="10B9F2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500-00</w:t>
            </w:r>
          </w:p>
        </w:tc>
      </w:tr>
      <w:tr w:rsidR="00983732" w:rsidRPr="00A3026E" w14:paraId="28AF0DE5" w14:textId="77777777" w:rsidTr="00EA0DA7">
        <w:tc>
          <w:tcPr>
            <w:tcW w:w="534" w:type="dxa"/>
          </w:tcPr>
          <w:p w14:paraId="3831E1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w:t>
            </w:r>
          </w:p>
        </w:tc>
        <w:tc>
          <w:tcPr>
            <w:tcW w:w="1417" w:type="dxa"/>
          </w:tcPr>
          <w:p w14:paraId="6CB3BC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465617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Манометр на 20 атм. для зда № 214</w:t>
            </w:r>
          </w:p>
        </w:tc>
        <w:tc>
          <w:tcPr>
            <w:tcW w:w="992" w:type="dxa"/>
          </w:tcPr>
          <w:p w14:paraId="6FD3BA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r>
      <w:tr w:rsidR="00983732" w:rsidRPr="00A3026E" w14:paraId="0AB0FDC4" w14:textId="77777777" w:rsidTr="00EA0DA7">
        <w:tc>
          <w:tcPr>
            <w:tcW w:w="534" w:type="dxa"/>
          </w:tcPr>
          <w:p w14:paraId="5EB4D7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w:t>
            </w:r>
          </w:p>
        </w:tc>
        <w:tc>
          <w:tcPr>
            <w:tcW w:w="1417" w:type="dxa"/>
          </w:tcPr>
          <w:p w14:paraId="5AAE6E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70DE59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Манометр для масла,с приемником, трубопровод до 8 метров</w:t>
            </w:r>
          </w:p>
        </w:tc>
        <w:tc>
          <w:tcPr>
            <w:tcW w:w="992" w:type="dxa"/>
          </w:tcPr>
          <w:p w14:paraId="1D2E0C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r>
      <w:tr w:rsidR="00983732" w:rsidRPr="00A3026E" w14:paraId="56810ACF" w14:textId="77777777" w:rsidTr="00EA0DA7">
        <w:tc>
          <w:tcPr>
            <w:tcW w:w="534" w:type="dxa"/>
          </w:tcPr>
          <w:p w14:paraId="4303FC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w:t>
            </w:r>
          </w:p>
        </w:tc>
        <w:tc>
          <w:tcPr>
            <w:tcW w:w="1417" w:type="dxa"/>
          </w:tcPr>
          <w:p w14:paraId="0AFAB2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4E9D2B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Сильфов-сальник для з-да "Красный факел"</w:t>
            </w:r>
          </w:p>
        </w:tc>
        <w:tc>
          <w:tcPr>
            <w:tcW w:w="992" w:type="dxa"/>
          </w:tcPr>
          <w:p w14:paraId="7E9288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31-00</w:t>
            </w:r>
          </w:p>
        </w:tc>
      </w:tr>
      <w:tr w:rsidR="00983732" w:rsidRPr="00A3026E" w14:paraId="2D2D009B" w14:textId="77777777" w:rsidTr="00EA0DA7">
        <w:tc>
          <w:tcPr>
            <w:tcW w:w="534" w:type="dxa"/>
          </w:tcPr>
          <w:p w14:paraId="2F889D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w:t>
            </w:r>
          </w:p>
        </w:tc>
        <w:tc>
          <w:tcPr>
            <w:tcW w:w="1417" w:type="dxa"/>
          </w:tcPr>
          <w:p w14:paraId="2703FD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F27C6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Индикатор кислородного потока низко</w:t>
            </w:r>
            <w:r w:rsidRPr="00A3026E">
              <w:rPr>
                <w:rFonts w:ascii="Times New Roman" w:hAnsi="Times New Roman"/>
                <w:color w:val="000000" w:themeColor="text1"/>
                <w:sz w:val="16"/>
                <w:szCs w:val="16"/>
              </w:rPr>
              <w:softHyphen/>
              <w:t>го давления</w:t>
            </w:r>
          </w:p>
        </w:tc>
        <w:tc>
          <w:tcPr>
            <w:tcW w:w="992" w:type="dxa"/>
          </w:tcPr>
          <w:p w14:paraId="13FB5D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22-00</w:t>
            </w:r>
          </w:p>
        </w:tc>
      </w:tr>
      <w:tr w:rsidR="00983732" w:rsidRPr="00A3026E" w14:paraId="2825B051" w14:textId="77777777" w:rsidTr="00EA0DA7">
        <w:tc>
          <w:tcPr>
            <w:tcW w:w="534" w:type="dxa"/>
          </w:tcPr>
          <w:p w14:paraId="327D08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c>
          <w:tcPr>
            <w:tcW w:w="1417" w:type="dxa"/>
          </w:tcPr>
          <w:p w14:paraId="01ABFC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3DFAD4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Флюометр</w:t>
            </w:r>
          </w:p>
        </w:tc>
        <w:tc>
          <w:tcPr>
            <w:tcW w:w="992" w:type="dxa"/>
          </w:tcPr>
          <w:p w14:paraId="5AAFDF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480-00</w:t>
            </w:r>
          </w:p>
        </w:tc>
      </w:tr>
      <w:tr w:rsidR="00983732" w:rsidRPr="00A3026E" w14:paraId="4EB05EF8" w14:textId="77777777" w:rsidTr="00EA0DA7">
        <w:tc>
          <w:tcPr>
            <w:tcW w:w="534" w:type="dxa"/>
          </w:tcPr>
          <w:p w14:paraId="48E9E8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w:t>
            </w:r>
          </w:p>
        </w:tc>
        <w:tc>
          <w:tcPr>
            <w:tcW w:w="1417" w:type="dxa"/>
          </w:tcPr>
          <w:p w14:paraId="508B03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0012FC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Указатель угла закрылков</w:t>
            </w:r>
          </w:p>
        </w:tc>
        <w:tc>
          <w:tcPr>
            <w:tcW w:w="992" w:type="dxa"/>
          </w:tcPr>
          <w:p w14:paraId="736041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26-00</w:t>
            </w:r>
          </w:p>
        </w:tc>
      </w:tr>
      <w:tr w:rsidR="00983732" w:rsidRPr="00A3026E" w14:paraId="66A708D2" w14:textId="77777777" w:rsidTr="00EA0DA7">
        <w:tc>
          <w:tcPr>
            <w:tcW w:w="534" w:type="dxa"/>
          </w:tcPr>
          <w:p w14:paraId="5F3823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1417" w:type="dxa"/>
          </w:tcPr>
          <w:p w14:paraId="07BC12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5192D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Тахометр магнитный с реверсия</w:t>
            </w:r>
          </w:p>
        </w:tc>
        <w:tc>
          <w:tcPr>
            <w:tcW w:w="992" w:type="dxa"/>
          </w:tcPr>
          <w:p w14:paraId="41FB74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610-00</w:t>
            </w:r>
          </w:p>
        </w:tc>
      </w:tr>
      <w:tr w:rsidR="00983732" w:rsidRPr="00A3026E" w14:paraId="38D69E71" w14:textId="77777777" w:rsidTr="00EA0DA7">
        <w:tc>
          <w:tcPr>
            <w:tcW w:w="534" w:type="dxa"/>
          </w:tcPr>
          <w:p w14:paraId="310A57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w:t>
            </w:r>
          </w:p>
        </w:tc>
        <w:tc>
          <w:tcPr>
            <w:tcW w:w="1417" w:type="dxa"/>
          </w:tcPr>
          <w:p w14:paraId="74BD43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1BD7A1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Авиагоризонт фигурный с трубкой Вентури</w:t>
            </w:r>
          </w:p>
        </w:tc>
        <w:tc>
          <w:tcPr>
            <w:tcW w:w="992" w:type="dxa"/>
          </w:tcPr>
          <w:p w14:paraId="3A5A64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730-00</w:t>
            </w:r>
          </w:p>
        </w:tc>
      </w:tr>
      <w:tr w:rsidR="00983732" w:rsidRPr="00A3026E" w14:paraId="59116AC6" w14:textId="77777777" w:rsidTr="00EA0DA7">
        <w:tc>
          <w:tcPr>
            <w:tcW w:w="534" w:type="dxa"/>
          </w:tcPr>
          <w:p w14:paraId="1C8926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w:t>
            </w:r>
          </w:p>
        </w:tc>
        <w:tc>
          <w:tcPr>
            <w:tcW w:w="1417" w:type="dxa"/>
          </w:tcPr>
          <w:p w14:paraId="549101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9E98A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Вакуумметр</w:t>
            </w:r>
          </w:p>
        </w:tc>
        <w:tc>
          <w:tcPr>
            <w:tcW w:w="992" w:type="dxa"/>
          </w:tcPr>
          <w:p w14:paraId="6F6D8E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245-00</w:t>
            </w:r>
          </w:p>
        </w:tc>
      </w:tr>
      <w:tr w:rsidR="00983732" w:rsidRPr="00A3026E" w14:paraId="127D6354" w14:textId="77777777" w:rsidTr="00EA0DA7">
        <w:tc>
          <w:tcPr>
            <w:tcW w:w="534" w:type="dxa"/>
          </w:tcPr>
          <w:p w14:paraId="0C3A02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w:t>
            </w:r>
          </w:p>
        </w:tc>
        <w:tc>
          <w:tcPr>
            <w:tcW w:w="1417" w:type="dxa"/>
          </w:tcPr>
          <w:p w14:paraId="288B2A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7DF4CA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Катерный гиромагнитный компас КГМК с горизонтальной шкалой</w:t>
            </w:r>
          </w:p>
        </w:tc>
        <w:tc>
          <w:tcPr>
            <w:tcW w:w="992" w:type="dxa"/>
          </w:tcPr>
          <w:p w14:paraId="33139D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1400-00</w:t>
            </w:r>
          </w:p>
        </w:tc>
      </w:tr>
      <w:tr w:rsidR="00983732" w:rsidRPr="00A3026E" w14:paraId="61B05031" w14:textId="77777777" w:rsidTr="00EA0DA7">
        <w:tc>
          <w:tcPr>
            <w:tcW w:w="534" w:type="dxa"/>
          </w:tcPr>
          <w:p w14:paraId="6F5852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w:t>
            </w:r>
          </w:p>
        </w:tc>
        <w:tc>
          <w:tcPr>
            <w:tcW w:w="1417" w:type="dxa"/>
          </w:tcPr>
          <w:p w14:paraId="2A5A24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F26A7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Указатель скорости на 200 км</w:t>
            </w:r>
          </w:p>
        </w:tc>
        <w:tc>
          <w:tcPr>
            <w:tcW w:w="992" w:type="dxa"/>
          </w:tcPr>
          <w:p w14:paraId="68E62F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55-00</w:t>
            </w:r>
          </w:p>
        </w:tc>
      </w:tr>
      <w:tr w:rsidR="00983732" w:rsidRPr="00A3026E" w14:paraId="309C2672" w14:textId="77777777" w:rsidTr="00EA0DA7">
        <w:tc>
          <w:tcPr>
            <w:tcW w:w="534" w:type="dxa"/>
          </w:tcPr>
          <w:p w14:paraId="440157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1417" w:type="dxa"/>
          </w:tcPr>
          <w:p w14:paraId="028FFC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68C730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Указатель скорости на 450 км</w:t>
            </w:r>
          </w:p>
        </w:tc>
        <w:tc>
          <w:tcPr>
            <w:tcW w:w="992" w:type="dxa"/>
          </w:tcPr>
          <w:p w14:paraId="3C980F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53-00</w:t>
            </w:r>
          </w:p>
        </w:tc>
      </w:tr>
      <w:tr w:rsidR="00983732" w:rsidRPr="00A3026E" w14:paraId="45F2082B" w14:textId="77777777" w:rsidTr="00EA0DA7">
        <w:tc>
          <w:tcPr>
            <w:tcW w:w="534" w:type="dxa"/>
          </w:tcPr>
          <w:p w14:paraId="717BBB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w:t>
            </w:r>
          </w:p>
        </w:tc>
        <w:tc>
          <w:tcPr>
            <w:tcW w:w="1417" w:type="dxa"/>
          </w:tcPr>
          <w:p w14:paraId="32D61B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AE09E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Указатель скорости на 600 км</w:t>
            </w:r>
          </w:p>
        </w:tc>
        <w:tc>
          <w:tcPr>
            <w:tcW w:w="992" w:type="dxa"/>
          </w:tcPr>
          <w:p w14:paraId="762D61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56-00</w:t>
            </w:r>
          </w:p>
        </w:tc>
      </w:tr>
      <w:tr w:rsidR="00983732" w:rsidRPr="00A3026E" w14:paraId="34647AC6" w14:textId="77777777" w:rsidTr="00EA0DA7">
        <w:tc>
          <w:tcPr>
            <w:tcW w:w="534" w:type="dxa"/>
          </w:tcPr>
          <w:p w14:paraId="713033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w:t>
            </w:r>
          </w:p>
        </w:tc>
        <w:tc>
          <w:tcPr>
            <w:tcW w:w="1417" w:type="dxa"/>
          </w:tcPr>
          <w:p w14:paraId="6138C7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A41E6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Силъфон для завода № 218</w:t>
            </w:r>
          </w:p>
        </w:tc>
        <w:tc>
          <w:tcPr>
            <w:tcW w:w="992" w:type="dxa"/>
          </w:tcPr>
          <w:p w14:paraId="2D2D0D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r>
      <w:tr w:rsidR="00983732" w:rsidRPr="00A3026E" w14:paraId="6D7F1E3E" w14:textId="77777777" w:rsidTr="00EA0DA7">
        <w:tc>
          <w:tcPr>
            <w:tcW w:w="534" w:type="dxa"/>
          </w:tcPr>
          <w:p w14:paraId="0DC6C7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w:t>
            </w:r>
          </w:p>
        </w:tc>
        <w:tc>
          <w:tcPr>
            <w:tcW w:w="1417" w:type="dxa"/>
          </w:tcPr>
          <w:p w14:paraId="1DCF6F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39E529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Бензиномер механический</w:t>
            </w:r>
          </w:p>
        </w:tc>
        <w:tc>
          <w:tcPr>
            <w:tcW w:w="992" w:type="dxa"/>
          </w:tcPr>
          <w:p w14:paraId="27867D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480-00</w:t>
            </w:r>
          </w:p>
        </w:tc>
      </w:tr>
      <w:tr w:rsidR="00983732" w:rsidRPr="00A3026E" w14:paraId="356499CC" w14:textId="77777777" w:rsidTr="00EA0DA7">
        <w:tc>
          <w:tcPr>
            <w:tcW w:w="534" w:type="dxa"/>
          </w:tcPr>
          <w:p w14:paraId="40B81A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w:t>
            </w:r>
          </w:p>
        </w:tc>
        <w:tc>
          <w:tcPr>
            <w:tcW w:w="1417" w:type="dxa"/>
          </w:tcPr>
          <w:p w14:paraId="71D3C8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64B0E9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Тахометр авиационный на 3000 оборотов </w:t>
            </w:r>
          </w:p>
        </w:tc>
        <w:tc>
          <w:tcPr>
            <w:tcW w:w="992" w:type="dxa"/>
          </w:tcPr>
          <w:p w14:paraId="71FDEC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170-00</w:t>
            </w:r>
          </w:p>
        </w:tc>
      </w:tr>
      <w:tr w:rsidR="00983732" w:rsidRPr="00A3026E" w14:paraId="253BD980" w14:textId="77777777" w:rsidTr="00EA0DA7">
        <w:tc>
          <w:tcPr>
            <w:tcW w:w="534" w:type="dxa"/>
          </w:tcPr>
          <w:p w14:paraId="6F6CEC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1417" w:type="dxa"/>
          </w:tcPr>
          <w:p w14:paraId="40BC5F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159A30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Силъфон Москва-Волга для ХЭМЗ</w:t>
            </w:r>
          </w:p>
        </w:tc>
        <w:tc>
          <w:tcPr>
            <w:tcW w:w="992" w:type="dxa"/>
          </w:tcPr>
          <w:p w14:paraId="5745A0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w:t>
            </w:r>
          </w:p>
        </w:tc>
      </w:tr>
      <w:tr w:rsidR="00983732" w:rsidRPr="00A3026E" w14:paraId="272F2BDD" w14:textId="77777777" w:rsidTr="00EA0DA7">
        <w:tc>
          <w:tcPr>
            <w:tcW w:w="534" w:type="dxa"/>
          </w:tcPr>
          <w:p w14:paraId="0413D3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w:t>
            </w:r>
          </w:p>
        </w:tc>
        <w:tc>
          <w:tcPr>
            <w:tcW w:w="1417" w:type="dxa"/>
          </w:tcPr>
          <w:p w14:paraId="07B214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5D109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Компас КИ-10</w:t>
            </w:r>
          </w:p>
        </w:tc>
        <w:tc>
          <w:tcPr>
            <w:tcW w:w="992" w:type="dxa"/>
          </w:tcPr>
          <w:p w14:paraId="4F55BC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300-00</w:t>
            </w:r>
          </w:p>
        </w:tc>
      </w:tr>
      <w:tr w:rsidR="00983732" w:rsidRPr="00A3026E" w14:paraId="10327FA7" w14:textId="77777777" w:rsidTr="00EA0DA7">
        <w:tc>
          <w:tcPr>
            <w:tcW w:w="534" w:type="dxa"/>
          </w:tcPr>
          <w:p w14:paraId="57B291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w:t>
            </w:r>
          </w:p>
        </w:tc>
        <w:tc>
          <w:tcPr>
            <w:tcW w:w="1417" w:type="dxa"/>
          </w:tcPr>
          <w:p w14:paraId="788202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2E9865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Компас К-4</w:t>
            </w:r>
          </w:p>
        </w:tc>
        <w:tc>
          <w:tcPr>
            <w:tcW w:w="992" w:type="dxa"/>
          </w:tcPr>
          <w:p w14:paraId="27735F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380-00</w:t>
            </w:r>
          </w:p>
        </w:tc>
      </w:tr>
      <w:tr w:rsidR="00983732" w:rsidRPr="00A3026E" w14:paraId="32CDFF1B" w14:textId="77777777" w:rsidTr="00EA0DA7">
        <w:tc>
          <w:tcPr>
            <w:tcW w:w="534" w:type="dxa"/>
          </w:tcPr>
          <w:p w14:paraId="7C57EA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w:t>
            </w:r>
          </w:p>
        </w:tc>
        <w:tc>
          <w:tcPr>
            <w:tcW w:w="1417" w:type="dxa"/>
          </w:tcPr>
          <w:p w14:paraId="53D10E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1632F4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Силъфон "Эклипс”</w:t>
            </w:r>
          </w:p>
        </w:tc>
        <w:tc>
          <w:tcPr>
            <w:tcW w:w="992" w:type="dxa"/>
          </w:tcPr>
          <w:p w14:paraId="3BD699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w:t>
            </w:r>
          </w:p>
        </w:tc>
      </w:tr>
      <w:tr w:rsidR="00983732" w:rsidRPr="00A3026E" w14:paraId="76556729" w14:textId="77777777" w:rsidTr="00EA0DA7">
        <w:tc>
          <w:tcPr>
            <w:tcW w:w="534" w:type="dxa"/>
          </w:tcPr>
          <w:p w14:paraId="23C087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w:t>
            </w:r>
          </w:p>
        </w:tc>
        <w:tc>
          <w:tcPr>
            <w:tcW w:w="1417" w:type="dxa"/>
          </w:tcPr>
          <w:p w14:paraId="2C277B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01B5D8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Капсюль автоматического корректора -"Зенит"</w:t>
            </w:r>
          </w:p>
        </w:tc>
        <w:tc>
          <w:tcPr>
            <w:tcW w:w="992" w:type="dxa"/>
          </w:tcPr>
          <w:p w14:paraId="383C24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w:t>
            </w:r>
          </w:p>
        </w:tc>
      </w:tr>
      <w:tr w:rsidR="00983732" w:rsidRPr="00A3026E" w14:paraId="34EEBB30" w14:textId="77777777" w:rsidTr="00EA0DA7">
        <w:tc>
          <w:tcPr>
            <w:tcW w:w="534" w:type="dxa"/>
          </w:tcPr>
          <w:p w14:paraId="456395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1417" w:type="dxa"/>
          </w:tcPr>
          <w:p w14:paraId="187377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20B0EB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Редукционный клапан на 3 прибора</w:t>
            </w:r>
          </w:p>
        </w:tc>
        <w:tc>
          <w:tcPr>
            <w:tcW w:w="992" w:type="dxa"/>
          </w:tcPr>
          <w:p w14:paraId="3E35E7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110-00</w:t>
            </w:r>
          </w:p>
        </w:tc>
      </w:tr>
      <w:tr w:rsidR="00983732" w:rsidRPr="00A3026E" w14:paraId="343C3C23" w14:textId="77777777" w:rsidTr="00EA0DA7">
        <w:tc>
          <w:tcPr>
            <w:tcW w:w="534" w:type="dxa"/>
          </w:tcPr>
          <w:p w14:paraId="459000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w:t>
            </w:r>
          </w:p>
        </w:tc>
        <w:tc>
          <w:tcPr>
            <w:tcW w:w="1417" w:type="dxa"/>
          </w:tcPr>
          <w:p w14:paraId="407E3C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45D3E0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Бензиномер гидростатический 1-бачк</w:t>
            </w:r>
          </w:p>
        </w:tc>
        <w:tc>
          <w:tcPr>
            <w:tcW w:w="992" w:type="dxa"/>
          </w:tcPr>
          <w:p w14:paraId="6C4528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4181D28D" w14:textId="77777777" w:rsidTr="00EA0DA7">
        <w:tc>
          <w:tcPr>
            <w:tcW w:w="534" w:type="dxa"/>
          </w:tcPr>
          <w:p w14:paraId="05DBCC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w:t>
            </w:r>
          </w:p>
        </w:tc>
        <w:tc>
          <w:tcPr>
            <w:tcW w:w="1417" w:type="dxa"/>
          </w:tcPr>
          <w:p w14:paraId="5C4416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3B2579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Гидрометр.</w:t>
            </w:r>
          </w:p>
        </w:tc>
        <w:tc>
          <w:tcPr>
            <w:tcW w:w="992" w:type="dxa"/>
          </w:tcPr>
          <w:p w14:paraId="27AD61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111-00</w:t>
            </w:r>
          </w:p>
        </w:tc>
      </w:tr>
      <w:tr w:rsidR="00983732" w:rsidRPr="00A3026E" w14:paraId="220BA5E2" w14:textId="77777777" w:rsidTr="00EA0DA7">
        <w:tc>
          <w:tcPr>
            <w:tcW w:w="534" w:type="dxa"/>
          </w:tcPr>
          <w:p w14:paraId="2C7732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w:t>
            </w:r>
          </w:p>
        </w:tc>
        <w:tc>
          <w:tcPr>
            <w:tcW w:w="1417" w:type="dxa"/>
          </w:tcPr>
          <w:p w14:paraId="73D588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61E997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Бензиномер гидростатический 2-бачк</w:t>
            </w:r>
          </w:p>
        </w:tc>
        <w:tc>
          <w:tcPr>
            <w:tcW w:w="992" w:type="dxa"/>
          </w:tcPr>
          <w:p w14:paraId="596C12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380-00</w:t>
            </w:r>
          </w:p>
        </w:tc>
      </w:tr>
      <w:tr w:rsidR="00983732" w:rsidRPr="00A3026E" w14:paraId="2842AB1D" w14:textId="77777777" w:rsidTr="00EA0DA7">
        <w:tc>
          <w:tcPr>
            <w:tcW w:w="534" w:type="dxa"/>
          </w:tcPr>
          <w:p w14:paraId="33E791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w:t>
            </w:r>
          </w:p>
        </w:tc>
        <w:tc>
          <w:tcPr>
            <w:tcW w:w="1417" w:type="dxa"/>
          </w:tcPr>
          <w:p w14:paraId="55B6E0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63C995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Злектрообогрев для ЭСБР-2</w:t>
            </w:r>
          </w:p>
        </w:tc>
        <w:tc>
          <w:tcPr>
            <w:tcW w:w="992" w:type="dxa"/>
          </w:tcPr>
          <w:p w14:paraId="47872F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35-00</w:t>
            </w:r>
          </w:p>
        </w:tc>
      </w:tr>
      <w:tr w:rsidR="00983732" w:rsidRPr="00A3026E" w14:paraId="279DEB3F" w14:textId="77777777" w:rsidTr="00EA0DA7">
        <w:tc>
          <w:tcPr>
            <w:tcW w:w="534" w:type="dxa"/>
          </w:tcPr>
          <w:p w14:paraId="20AB3B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1417" w:type="dxa"/>
          </w:tcPr>
          <w:p w14:paraId="6424A6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6D1A9A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Поплавковый указатель уровня</w:t>
            </w:r>
          </w:p>
        </w:tc>
        <w:tc>
          <w:tcPr>
            <w:tcW w:w="992" w:type="dxa"/>
          </w:tcPr>
          <w:p w14:paraId="30AAE8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247-00</w:t>
            </w:r>
          </w:p>
        </w:tc>
      </w:tr>
      <w:tr w:rsidR="00983732" w:rsidRPr="00A3026E" w14:paraId="447880E8" w14:textId="77777777" w:rsidTr="00EA0DA7">
        <w:tc>
          <w:tcPr>
            <w:tcW w:w="534" w:type="dxa"/>
          </w:tcPr>
          <w:p w14:paraId="7056A8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tc>
        <w:tc>
          <w:tcPr>
            <w:tcW w:w="1417" w:type="dxa"/>
          </w:tcPr>
          <w:p w14:paraId="478EF8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2D3ED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Кабина слепого полета</w:t>
            </w:r>
          </w:p>
        </w:tc>
        <w:tc>
          <w:tcPr>
            <w:tcW w:w="992" w:type="dxa"/>
          </w:tcPr>
          <w:p w14:paraId="275009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550-00</w:t>
            </w:r>
          </w:p>
        </w:tc>
      </w:tr>
      <w:tr w:rsidR="00983732" w:rsidRPr="00A3026E" w14:paraId="2EE2564A" w14:textId="77777777" w:rsidTr="00EA0DA7">
        <w:tc>
          <w:tcPr>
            <w:tcW w:w="534" w:type="dxa"/>
          </w:tcPr>
          <w:p w14:paraId="5DF612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w:t>
            </w:r>
          </w:p>
        </w:tc>
        <w:tc>
          <w:tcPr>
            <w:tcW w:w="1417" w:type="dxa"/>
          </w:tcPr>
          <w:p w14:paraId="443C50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58E7A0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Логометр для завода .№ 218</w:t>
            </w:r>
          </w:p>
        </w:tc>
        <w:tc>
          <w:tcPr>
            <w:tcW w:w="992" w:type="dxa"/>
          </w:tcPr>
          <w:p w14:paraId="490DBB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82-00</w:t>
            </w:r>
          </w:p>
        </w:tc>
      </w:tr>
      <w:tr w:rsidR="00983732" w:rsidRPr="00A3026E" w14:paraId="541CD606" w14:textId="77777777" w:rsidTr="00EA0DA7">
        <w:tc>
          <w:tcPr>
            <w:tcW w:w="534" w:type="dxa"/>
          </w:tcPr>
          <w:p w14:paraId="3C1524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w:t>
            </w:r>
          </w:p>
        </w:tc>
        <w:tc>
          <w:tcPr>
            <w:tcW w:w="1417" w:type="dxa"/>
          </w:tcPr>
          <w:p w14:paraId="1232D1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42AD37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Авиагоризонт фигурный в стандартном корпусе</w:t>
            </w:r>
          </w:p>
        </w:tc>
        <w:tc>
          <w:tcPr>
            <w:tcW w:w="992" w:type="dxa"/>
          </w:tcPr>
          <w:p w14:paraId="0A3952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1500-00</w:t>
            </w:r>
          </w:p>
        </w:tc>
      </w:tr>
      <w:tr w:rsidR="00983732" w:rsidRPr="00A3026E" w14:paraId="46DAD804" w14:textId="77777777" w:rsidTr="00EA0DA7">
        <w:tc>
          <w:tcPr>
            <w:tcW w:w="534" w:type="dxa"/>
          </w:tcPr>
          <w:p w14:paraId="714B92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c>
          <w:tcPr>
            <w:tcW w:w="1417" w:type="dxa"/>
          </w:tcPr>
          <w:p w14:paraId="7B44D3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1A82EF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Вариометр без бачка</w:t>
            </w:r>
          </w:p>
        </w:tc>
        <w:tc>
          <w:tcPr>
            <w:tcW w:w="992" w:type="dxa"/>
          </w:tcPr>
          <w:p w14:paraId="2C36A1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350-00</w:t>
            </w:r>
          </w:p>
        </w:tc>
      </w:tr>
      <w:tr w:rsidR="00983732" w:rsidRPr="00A3026E" w14:paraId="2905E8EF" w14:textId="77777777" w:rsidTr="00EA0DA7">
        <w:tc>
          <w:tcPr>
            <w:tcW w:w="534" w:type="dxa"/>
          </w:tcPr>
          <w:p w14:paraId="549DE4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w:t>
            </w:r>
          </w:p>
        </w:tc>
        <w:tc>
          <w:tcPr>
            <w:tcW w:w="1417" w:type="dxa"/>
          </w:tcPr>
          <w:p w14:paraId="4866F8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3162EA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Указатель скорости 2-х стрел.</w:t>
            </w:r>
          </w:p>
        </w:tc>
        <w:tc>
          <w:tcPr>
            <w:tcW w:w="992" w:type="dxa"/>
          </w:tcPr>
          <w:p w14:paraId="3ADC1B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1000-00</w:t>
            </w:r>
          </w:p>
        </w:tc>
      </w:tr>
      <w:tr w:rsidR="00983732" w:rsidRPr="00A3026E" w14:paraId="4648A85D" w14:textId="77777777" w:rsidTr="00EA0DA7">
        <w:tc>
          <w:tcPr>
            <w:tcW w:w="534" w:type="dxa"/>
          </w:tcPr>
          <w:p w14:paraId="62C5E9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w:t>
            </w:r>
          </w:p>
        </w:tc>
        <w:tc>
          <w:tcPr>
            <w:tcW w:w="1417" w:type="dxa"/>
          </w:tcPr>
          <w:p w14:paraId="5D93E5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0DDBE2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Автопилот АВП-12 образца 1936 г.</w:t>
            </w:r>
          </w:p>
        </w:tc>
        <w:tc>
          <w:tcPr>
            <w:tcW w:w="992" w:type="dxa"/>
          </w:tcPr>
          <w:p w14:paraId="477A9F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45000-00</w:t>
            </w:r>
          </w:p>
        </w:tc>
      </w:tr>
      <w:tr w:rsidR="00983732" w:rsidRPr="00A3026E" w14:paraId="3555EA68" w14:textId="77777777" w:rsidTr="00EA0DA7">
        <w:tc>
          <w:tcPr>
            <w:tcW w:w="534" w:type="dxa"/>
          </w:tcPr>
          <w:p w14:paraId="6C6FC9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w:t>
            </w:r>
          </w:p>
        </w:tc>
        <w:tc>
          <w:tcPr>
            <w:tcW w:w="1417" w:type="dxa"/>
          </w:tcPr>
          <w:p w14:paraId="178207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72681B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Автопилот образца 1934 г.</w:t>
            </w:r>
          </w:p>
        </w:tc>
        <w:tc>
          <w:tcPr>
            <w:tcW w:w="992" w:type="dxa"/>
          </w:tcPr>
          <w:p w14:paraId="1F059C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45000-00</w:t>
            </w:r>
          </w:p>
        </w:tc>
      </w:tr>
      <w:tr w:rsidR="00983732" w:rsidRPr="00A3026E" w14:paraId="77FA276A" w14:textId="77777777" w:rsidTr="00EA0DA7">
        <w:tc>
          <w:tcPr>
            <w:tcW w:w="534" w:type="dxa"/>
          </w:tcPr>
          <w:p w14:paraId="3C0E7A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w:t>
            </w:r>
          </w:p>
        </w:tc>
        <w:tc>
          <w:tcPr>
            <w:tcW w:w="1417" w:type="dxa"/>
          </w:tcPr>
          <w:p w14:paraId="127FC3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4A6A5E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Сигйапизатор давлением масла</w:t>
            </w:r>
          </w:p>
        </w:tc>
        <w:tc>
          <w:tcPr>
            <w:tcW w:w="992" w:type="dxa"/>
          </w:tcPr>
          <w:p w14:paraId="6DBFF3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400-00</w:t>
            </w:r>
          </w:p>
        </w:tc>
      </w:tr>
      <w:tr w:rsidR="00983732" w:rsidRPr="00A3026E" w14:paraId="507142D4" w14:textId="77777777" w:rsidTr="00EA0DA7">
        <w:tc>
          <w:tcPr>
            <w:tcW w:w="534" w:type="dxa"/>
          </w:tcPr>
          <w:p w14:paraId="52C703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w:t>
            </w:r>
          </w:p>
        </w:tc>
        <w:tc>
          <w:tcPr>
            <w:tcW w:w="1417" w:type="dxa"/>
          </w:tcPr>
          <w:p w14:paraId="37D362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4388A5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Сигнализатор давления бензина</w:t>
            </w:r>
          </w:p>
        </w:tc>
        <w:tc>
          <w:tcPr>
            <w:tcW w:w="992" w:type="dxa"/>
          </w:tcPr>
          <w:p w14:paraId="6C533D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400-00</w:t>
            </w:r>
          </w:p>
        </w:tc>
      </w:tr>
      <w:tr w:rsidR="00983732" w:rsidRPr="00A3026E" w14:paraId="2AEF29C9" w14:textId="77777777" w:rsidTr="00EA0DA7">
        <w:tc>
          <w:tcPr>
            <w:tcW w:w="534" w:type="dxa"/>
          </w:tcPr>
          <w:p w14:paraId="241D8E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1417" w:type="dxa"/>
          </w:tcPr>
          <w:p w14:paraId="1D026C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0101A6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Гиромагнитный компас ГМК-3</w:t>
            </w:r>
          </w:p>
        </w:tc>
        <w:tc>
          <w:tcPr>
            <w:tcW w:w="992" w:type="dxa"/>
          </w:tcPr>
          <w:p w14:paraId="3753F5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2000-00</w:t>
            </w:r>
          </w:p>
        </w:tc>
      </w:tr>
      <w:tr w:rsidR="00983732" w:rsidRPr="00A3026E" w14:paraId="54C84850" w14:textId="77777777" w:rsidTr="00EA0DA7">
        <w:tc>
          <w:tcPr>
            <w:tcW w:w="534" w:type="dxa"/>
          </w:tcPr>
          <w:p w14:paraId="3422D7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w:t>
            </w:r>
          </w:p>
        </w:tc>
        <w:tc>
          <w:tcPr>
            <w:tcW w:w="1417" w:type="dxa"/>
          </w:tcPr>
          <w:p w14:paraId="37B49D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27096B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Указатель скорости 1 стрел. на 800-900 км</w:t>
            </w:r>
          </w:p>
        </w:tc>
        <w:tc>
          <w:tcPr>
            <w:tcW w:w="992" w:type="dxa"/>
          </w:tcPr>
          <w:p w14:paraId="2F791F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600-00</w:t>
            </w:r>
          </w:p>
        </w:tc>
      </w:tr>
      <w:tr w:rsidR="00983732" w:rsidRPr="00A3026E" w14:paraId="7C34313C" w14:textId="77777777" w:rsidTr="00EA0DA7">
        <w:tc>
          <w:tcPr>
            <w:tcW w:w="534" w:type="dxa"/>
          </w:tcPr>
          <w:p w14:paraId="228AF5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w:t>
            </w:r>
          </w:p>
        </w:tc>
        <w:tc>
          <w:tcPr>
            <w:tcW w:w="1417" w:type="dxa"/>
          </w:tcPr>
          <w:p w14:paraId="47FA65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6C1E86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Гирогюлукомпас</w:t>
            </w:r>
          </w:p>
        </w:tc>
        <w:tc>
          <w:tcPr>
            <w:tcW w:w="992" w:type="dxa"/>
          </w:tcPr>
          <w:p w14:paraId="6A2A84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1000-00</w:t>
            </w:r>
          </w:p>
        </w:tc>
      </w:tr>
      <w:tr w:rsidR="00983732" w:rsidRPr="00A3026E" w14:paraId="5E75693E" w14:textId="77777777" w:rsidTr="00EA0DA7">
        <w:tc>
          <w:tcPr>
            <w:tcW w:w="534" w:type="dxa"/>
          </w:tcPr>
          <w:p w14:paraId="7951C9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w:t>
            </w:r>
          </w:p>
        </w:tc>
        <w:tc>
          <w:tcPr>
            <w:tcW w:w="1417" w:type="dxa"/>
          </w:tcPr>
          <w:p w14:paraId="51A933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632AFF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Силъфон для прессостава</w:t>
            </w:r>
          </w:p>
        </w:tc>
        <w:tc>
          <w:tcPr>
            <w:tcW w:w="992" w:type="dxa"/>
          </w:tcPr>
          <w:p w14:paraId="03AB52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w:t>
            </w:r>
          </w:p>
        </w:tc>
      </w:tr>
      <w:tr w:rsidR="00983732" w:rsidRPr="00A3026E" w14:paraId="7F5DE5F3" w14:textId="77777777" w:rsidTr="00EA0DA7">
        <w:tc>
          <w:tcPr>
            <w:tcW w:w="534" w:type="dxa"/>
          </w:tcPr>
          <w:p w14:paraId="595365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w:t>
            </w:r>
          </w:p>
        </w:tc>
        <w:tc>
          <w:tcPr>
            <w:tcW w:w="1417" w:type="dxa"/>
          </w:tcPr>
          <w:p w14:paraId="6F7975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219168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Силъфон для маноконтролера</w:t>
            </w:r>
          </w:p>
        </w:tc>
        <w:tc>
          <w:tcPr>
            <w:tcW w:w="992" w:type="dxa"/>
          </w:tcPr>
          <w:p w14:paraId="6258AF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w:t>
            </w:r>
          </w:p>
        </w:tc>
      </w:tr>
      <w:tr w:rsidR="00983732" w:rsidRPr="00A3026E" w14:paraId="78AC80BA" w14:textId="77777777" w:rsidTr="00EA0DA7">
        <w:tc>
          <w:tcPr>
            <w:tcW w:w="534" w:type="dxa"/>
          </w:tcPr>
          <w:p w14:paraId="504B93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1417" w:type="dxa"/>
          </w:tcPr>
          <w:p w14:paraId="7E5C5D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3881CF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Указатель скорости 1-стрел. на 200 км. с упором</w:t>
            </w:r>
          </w:p>
        </w:tc>
        <w:tc>
          <w:tcPr>
            <w:tcW w:w="992" w:type="dxa"/>
          </w:tcPr>
          <w:p w14:paraId="66FC50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105-00</w:t>
            </w:r>
          </w:p>
        </w:tc>
      </w:tr>
      <w:tr w:rsidR="00983732" w:rsidRPr="00A3026E" w14:paraId="281AA184" w14:textId="77777777" w:rsidTr="00EA0DA7">
        <w:tc>
          <w:tcPr>
            <w:tcW w:w="534" w:type="dxa"/>
          </w:tcPr>
          <w:p w14:paraId="0CD351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w:t>
            </w:r>
          </w:p>
        </w:tc>
        <w:tc>
          <w:tcPr>
            <w:tcW w:w="1417" w:type="dxa"/>
          </w:tcPr>
          <w:p w14:paraId="21EBD9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6FFA35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Индикатор моторный З-х стрел. с компенсирующим манометром</w:t>
            </w:r>
          </w:p>
        </w:tc>
        <w:tc>
          <w:tcPr>
            <w:tcW w:w="992" w:type="dxa"/>
          </w:tcPr>
          <w:p w14:paraId="6CF5AD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220-00</w:t>
            </w:r>
          </w:p>
        </w:tc>
      </w:tr>
      <w:tr w:rsidR="00983732" w:rsidRPr="00A3026E" w14:paraId="4475E61A" w14:textId="77777777" w:rsidTr="00EA0DA7">
        <w:tc>
          <w:tcPr>
            <w:tcW w:w="534" w:type="dxa"/>
          </w:tcPr>
          <w:p w14:paraId="20B316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97.</w:t>
            </w:r>
          </w:p>
        </w:tc>
        <w:tc>
          <w:tcPr>
            <w:tcW w:w="1417" w:type="dxa"/>
          </w:tcPr>
          <w:p w14:paraId="116F31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71DA45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Индикатор моторный 3-х стрел, с приемником</w:t>
            </w:r>
          </w:p>
        </w:tc>
        <w:tc>
          <w:tcPr>
            <w:tcW w:w="992" w:type="dxa"/>
          </w:tcPr>
          <w:p w14:paraId="5DA956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220-00</w:t>
            </w:r>
          </w:p>
        </w:tc>
      </w:tr>
      <w:tr w:rsidR="00983732" w:rsidRPr="00A3026E" w14:paraId="5BF2DA71" w14:textId="77777777" w:rsidTr="00EA0DA7">
        <w:tc>
          <w:tcPr>
            <w:tcW w:w="534" w:type="dxa"/>
          </w:tcPr>
          <w:p w14:paraId="7A0945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w:t>
            </w:r>
          </w:p>
        </w:tc>
        <w:tc>
          <w:tcPr>
            <w:tcW w:w="1417" w:type="dxa"/>
          </w:tcPr>
          <w:p w14:paraId="50B8E8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8222" w:type="dxa"/>
          </w:tcPr>
          <w:p w14:paraId="60C6B1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Электробомбосбрасывателъ ЭСБР-5</w:t>
            </w:r>
          </w:p>
        </w:tc>
        <w:tc>
          <w:tcPr>
            <w:tcW w:w="992" w:type="dxa"/>
          </w:tcPr>
          <w:p w14:paraId="419DC0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4000-00</w:t>
            </w:r>
          </w:p>
        </w:tc>
      </w:tr>
      <w:tr w:rsidR="00983732" w:rsidRPr="00A3026E" w14:paraId="6A583853" w14:textId="77777777" w:rsidTr="00EA0DA7">
        <w:tc>
          <w:tcPr>
            <w:tcW w:w="534" w:type="dxa"/>
          </w:tcPr>
          <w:p w14:paraId="0EB2FC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99</w:t>
            </w:r>
          </w:p>
        </w:tc>
        <w:tc>
          <w:tcPr>
            <w:tcW w:w="1417" w:type="dxa"/>
          </w:tcPr>
          <w:p w14:paraId="0391EB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214</w:t>
            </w:r>
          </w:p>
        </w:tc>
        <w:tc>
          <w:tcPr>
            <w:tcW w:w="8222" w:type="dxa"/>
          </w:tcPr>
          <w:p w14:paraId="100561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Указатель поворота</w:t>
            </w:r>
          </w:p>
        </w:tc>
        <w:tc>
          <w:tcPr>
            <w:tcW w:w="992" w:type="dxa"/>
          </w:tcPr>
          <w:p w14:paraId="397576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216-00</w:t>
            </w:r>
          </w:p>
        </w:tc>
      </w:tr>
      <w:tr w:rsidR="00983732" w:rsidRPr="00A3026E" w14:paraId="10059517" w14:textId="77777777" w:rsidTr="00EA0DA7">
        <w:tc>
          <w:tcPr>
            <w:tcW w:w="534" w:type="dxa"/>
          </w:tcPr>
          <w:p w14:paraId="5575AC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417" w:type="dxa"/>
          </w:tcPr>
          <w:p w14:paraId="1E780C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214</w:t>
            </w:r>
          </w:p>
        </w:tc>
        <w:tc>
          <w:tcPr>
            <w:tcW w:w="8222" w:type="dxa"/>
          </w:tcPr>
          <w:p w14:paraId="7E73A7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Авиагоризонт с трубкой Вентури</w:t>
            </w:r>
          </w:p>
        </w:tc>
        <w:tc>
          <w:tcPr>
            <w:tcW w:w="992" w:type="dxa"/>
          </w:tcPr>
          <w:p w14:paraId="35E793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1050-00</w:t>
            </w:r>
          </w:p>
        </w:tc>
      </w:tr>
      <w:tr w:rsidR="00983732" w:rsidRPr="00A3026E" w14:paraId="474E60EC" w14:textId="77777777" w:rsidTr="00EA0DA7">
        <w:tc>
          <w:tcPr>
            <w:tcW w:w="534" w:type="dxa"/>
          </w:tcPr>
          <w:p w14:paraId="41355D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w:t>
            </w:r>
          </w:p>
        </w:tc>
        <w:tc>
          <w:tcPr>
            <w:tcW w:w="1417" w:type="dxa"/>
          </w:tcPr>
          <w:p w14:paraId="3746A4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214</w:t>
            </w:r>
          </w:p>
        </w:tc>
        <w:tc>
          <w:tcPr>
            <w:tcW w:w="8222" w:type="dxa"/>
          </w:tcPr>
          <w:p w14:paraId="2C1D18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Танковый оптический прицел со стаби</w:t>
            </w:r>
            <w:r w:rsidRPr="00A3026E">
              <w:rPr>
                <w:rFonts w:ascii="Times New Roman" w:hAnsi="Times New Roman"/>
                <w:color w:val="000000" w:themeColor="text1"/>
                <w:sz w:val="16"/>
                <w:szCs w:val="16"/>
              </w:rPr>
              <w:softHyphen/>
              <w:t>лизатором для 45мм танковой пушки</w:t>
            </w:r>
          </w:p>
        </w:tc>
        <w:tc>
          <w:tcPr>
            <w:tcW w:w="992" w:type="dxa"/>
          </w:tcPr>
          <w:p w14:paraId="733EB2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6300-00</w:t>
            </w:r>
          </w:p>
        </w:tc>
      </w:tr>
      <w:tr w:rsidR="00983732" w:rsidRPr="00A3026E" w14:paraId="2E10E391" w14:textId="77777777" w:rsidTr="00EA0DA7">
        <w:tc>
          <w:tcPr>
            <w:tcW w:w="534" w:type="dxa"/>
          </w:tcPr>
          <w:p w14:paraId="24E919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w:t>
            </w:r>
          </w:p>
        </w:tc>
        <w:tc>
          <w:tcPr>
            <w:tcW w:w="1417" w:type="dxa"/>
          </w:tcPr>
          <w:p w14:paraId="1D7F30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214</w:t>
            </w:r>
          </w:p>
        </w:tc>
        <w:tc>
          <w:tcPr>
            <w:tcW w:w="8222" w:type="dxa"/>
          </w:tcPr>
          <w:p w14:paraId="338683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Редукционный клапан</w:t>
            </w:r>
          </w:p>
        </w:tc>
        <w:tc>
          <w:tcPr>
            <w:tcW w:w="992" w:type="dxa"/>
          </w:tcPr>
          <w:p w14:paraId="4A760E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24-00</w:t>
            </w:r>
          </w:p>
        </w:tc>
      </w:tr>
      <w:tr w:rsidR="00983732" w:rsidRPr="00A3026E" w14:paraId="631A4ADC" w14:textId="77777777" w:rsidTr="00EA0DA7">
        <w:tc>
          <w:tcPr>
            <w:tcW w:w="534" w:type="dxa"/>
          </w:tcPr>
          <w:p w14:paraId="58F701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w:t>
            </w:r>
          </w:p>
        </w:tc>
        <w:tc>
          <w:tcPr>
            <w:tcW w:w="1417" w:type="dxa"/>
          </w:tcPr>
          <w:p w14:paraId="170EC9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214</w:t>
            </w:r>
          </w:p>
        </w:tc>
        <w:tc>
          <w:tcPr>
            <w:tcW w:w="8222" w:type="dxa"/>
          </w:tcPr>
          <w:p w14:paraId="2D4DAF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Автопилот</w:t>
            </w:r>
          </w:p>
        </w:tc>
        <w:tc>
          <w:tcPr>
            <w:tcW w:w="992" w:type="dxa"/>
          </w:tcPr>
          <w:p w14:paraId="18572B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48000-00</w:t>
            </w:r>
          </w:p>
        </w:tc>
      </w:tr>
      <w:tr w:rsidR="00983732" w:rsidRPr="00A3026E" w14:paraId="44F1C32C" w14:textId="77777777" w:rsidTr="00EA0DA7">
        <w:tc>
          <w:tcPr>
            <w:tcW w:w="534" w:type="dxa"/>
          </w:tcPr>
          <w:p w14:paraId="02B6D7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104.</w:t>
            </w:r>
          </w:p>
        </w:tc>
        <w:tc>
          <w:tcPr>
            <w:tcW w:w="1417" w:type="dxa"/>
          </w:tcPr>
          <w:p w14:paraId="3B6D94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75DBB8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Газоанализатор электрич. авиацион. (альфаметр)</w:t>
            </w:r>
          </w:p>
        </w:tc>
        <w:tc>
          <w:tcPr>
            <w:tcW w:w="992" w:type="dxa"/>
          </w:tcPr>
          <w:p w14:paraId="0934AD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2000-00</w:t>
            </w:r>
          </w:p>
        </w:tc>
      </w:tr>
      <w:tr w:rsidR="00983732" w:rsidRPr="00A3026E" w14:paraId="39F7EE4E" w14:textId="77777777" w:rsidTr="00EA0DA7">
        <w:tc>
          <w:tcPr>
            <w:tcW w:w="534" w:type="dxa"/>
          </w:tcPr>
          <w:p w14:paraId="09D952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c>
          <w:tcPr>
            <w:tcW w:w="1417" w:type="dxa"/>
          </w:tcPr>
          <w:p w14:paraId="713E67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021ADD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Блектро бензина мёр. Комплект из 6 датчиков, 1 логометра и 1 переключателя П-10</w:t>
            </w:r>
          </w:p>
        </w:tc>
        <w:tc>
          <w:tcPr>
            <w:tcW w:w="992" w:type="dxa"/>
          </w:tcPr>
          <w:p w14:paraId="5BADEA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1900-00</w:t>
            </w:r>
          </w:p>
        </w:tc>
      </w:tr>
      <w:tr w:rsidR="00983732" w:rsidRPr="00A3026E" w14:paraId="23D96584" w14:textId="77777777" w:rsidTr="00EA0DA7">
        <w:tc>
          <w:tcPr>
            <w:tcW w:w="534" w:type="dxa"/>
          </w:tcPr>
          <w:p w14:paraId="777DF6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w:t>
            </w:r>
          </w:p>
        </w:tc>
        <w:tc>
          <w:tcPr>
            <w:tcW w:w="1417" w:type="dxa"/>
          </w:tcPr>
          <w:p w14:paraId="365581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095512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Датчик электробензиномера</w:t>
            </w:r>
          </w:p>
        </w:tc>
        <w:tc>
          <w:tcPr>
            <w:tcW w:w="992" w:type="dxa"/>
          </w:tcPr>
          <w:p w14:paraId="1FA1F8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250-00</w:t>
            </w:r>
          </w:p>
        </w:tc>
      </w:tr>
      <w:tr w:rsidR="00983732" w:rsidRPr="00A3026E" w14:paraId="6194FB64" w14:textId="77777777" w:rsidTr="00EA0DA7">
        <w:tc>
          <w:tcPr>
            <w:tcW w:w="534" w:type="dxa"/>
          </w:tcPr>
          <w:p w14:paraId="661832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w:t>
            </w:r>
          </w:p>
        </w:tc>
        <w:tc>
          <w:tcPr>
            <w:tcW w:w="1417" w:type="dxa"/>
          </w:tcPr>
          <w:p w14:paraId="49561F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07F626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Логометр к электробензиномеру</w:t>
            </w:r>
          </w:p>
        </w:tc>
        <w:tc>
          <w:tcPr>
            <w:tcW w:w="992" w:type="dxa"/>
          </w:tcPr>
          <w:p w14:paraId="092B6A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250-00</w:t>
            </w:r>
          </w:p>
        </w:tc>
      </w:tr>
      <w:tr w:rsidR="00983732" w:rsidRPr="00A3026E" w14:paraId="7415E8C3" w14:textId="77777777" w:rsidTr="00EA0DA7">
        <w:tc>
          <w:tcPr>
            <w:tcW w:w="534" w:type="dxa"/>
          </w:tcPr>
          <w:p w14:paraId="2B7D0A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w:t>
            </w:r>
          </w:p>
        </w:tc>
        <w:tc>
          <w:tcPr>
            <w:tcW w:w="1417" w:type="dxa"/>
          </w:tcPr>
          <w:p w14:paraId="76FF8B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44977B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Переключатель 10-точечный</w:t>
            </w:r>
          </w:p>
        </w:tc>
        <w:tc>
          <w:tcPr>
            <w:tcW w:w="992" w:type="dxa"/>
          </w:tcPr>
          <w:p w14:paraId="025E3B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150-00</w:t>
            </w:r>
          </w:p>
        </w:tc>
      </w:tr>
      <w:tr w:rsidR="00983732" w:rsidRPr="00A3026E" w14:paraId="474FA17A" w14:textId="77777777" w:rsidTr="00EA0DA7">
        <w:tc>
          <w:tcPr>
            <w:tcW w:w="534" w:type="dxa"/>
          </w:tcPr>
          <w:p w14:paraId="078F81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109.</w:t>
            </w:r>
          </w:p>
        </w:tc>
        <w:tc>
          <w:tcPr>
            <w:tcW w:w="1417" w:type="dxa"/>
          </w:tcPr>
          <w:p w14:paraId="2761EB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72871D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Термометр биметаллический</w:t>
            </w:r>
          </w:p>
        </w:tc>
        <w:tc>
          <w:tcPr>
            <w:tcW w:w="992" w:type="dxa"/>
          </w:tcPr>
          <w:p w14:paraId="447E96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75-00</w:t>
            </w:r>
          </w:p>
        </w:tc>
      </w:tr>
      <w:tr w:rsidR="00983732" w:rsidRPr="00A3026E" w14:paraId="69C4E7C9" w14:textId="77777777" w:rsidTr="00EA0DA7">
        <w:tc>
          <w:tcPr>
            <w:tcW w:w="534" w:type="dxa"/>
          </w:tcPr>
          <w:p w14:paraId="54F2B1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1417" w:type="dxa"/>
          </w:tcPr>
          <w:p w14:paraId="7DA239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53759B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Указатель положения шасси</w:t>
            </w:r>
          </w:p>
        </w:tc>
        <w:tc>
          <w:tcPr>
            <w:tcW w:w="992" w:type="dxa"/>
          </w:tcPr>
          <w:p w14:paraId="61E002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185-00</w:t>
            </w:r>
          </w:p>
        </w:tc>
      </w:tr>
      <w:tr w:rsidR="00983732" w:rsidRPr="00A3026E" w14:paraId="361ADF2D" w14:textId="77777777" w:rsidTr="00EA0DA7">
        <w:tc>
          <w:tcPr>
            <w:tcW w:w="534" w:type="dxa"/>
          </w:tcPr>
          <w:p w14:paraId="41FD03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111.</w:t>
            </w:r>
          </w:p>
        </w:tc>
        <w:tc>
          <w:tcPr>
            <w:tcW w:w="1417" w:type="dxa"/>
          </w:tcPr>
          <w:p w14:paraId="227B4A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6ED36E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Указатель положения закрыл.</w:t>
            </w:r>
          </w:p>
        </w:tc>
        <w:tc>
          <w:tcPr>
            <w:tcW w:w="992" w:type="dxa"/>
          </w:tcPr>
          <w:p w14:paraId="4041C4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185-00</w:t>
            </w:r>
          </w:p>
        </w:tc>
      </w:tr>
      <w:tr w:rsidR="00983732" w:rsidRPr="00A3026E" w14:paraId="6677CD88" w14:textId="77777777" w:rsidTr="00EA0DA7">
        <w:tc>
          <w:tcPr>
            <w:tcW w:w="534" w:type="dxa"/>
          </w:tcPr>
          <w:p w14:paraId="3FF081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w:t>
            </w:r>
          </w:p>
        </w:tc>
        <w:tc>
          <w:tcPr>
            <w:tcW w:w="1417" w:type="dxa"/>
          </w:tcPr>
          <w:p w14:paraId="08B59D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3A6F70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Гальванометр морской, без термопары</w:t>
            </w:r>
          </w:p>
        </w:tc>
        <w:tc>
          <w:tcPr>
            <w:tcW w:w="992" w:type="dxa"/>
          </w:tcPr>
          <w:p w14:paraId="60382F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195-00</w:t>
            </w:r>
          </w:p>
        </w:tc>
      </w:tr>
      <w:tr w:rsidR="00983732" w:rsidRPr="00A3026E" w14:paraId="4D766EE6" w14:textId="77777777" w:rsidTr="00EA0DA7">
        <w:tc>
          <w:tcPr>
            <w:tcW w:w="534" w:type="dxa"/>
          </w:tcPr>
          <w:p w14:paraId="1D14CC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w:t>
            </w:r>
          </w:p>
        </w:tc>
        <w:tc>
          <w:tcPr>
            <w:tcW w:w="1417" w:type="dxa"/>
          </w:tcPr>
          <w:p w14:paraId="42083B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50EE15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Термопара к ТПТ-5 хромелькопелевая для газо- и паропроводов , длина 100 мм</w:t>
            </w:r>
          </w:p>
        </w:tc>
        <w:tc>
          <w:tcPr>
            <w:tcW w:w="992" w:type="dxa"/>
          </w:tcPr>
          <w:p w14:paraId="58B25B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87-00</w:t>
            </w:r>
          </w:p>
        </w:tc>
      </w:tr>
      <w:tr w:rsidR="00983732" w:rsidRPr="00A3026E" w14:paraId="5A8A5452" w14:textId="77777777" w:rsidTr="00EA0DA7">
        <w:tc>
          <w:tcPr>
            <w:tcW w:w="534" w:type="dxa"/>
          </w:tcPr>
          <w:p w14:paraId="538956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114.</w:t>
            </w:r>
          </w:p>
        </w:tc>
        <w:tc>
          <w:tcPr>
            <w:tcW w:w="1417" w:type="dxa"/>
          </w:tcPr>
          <w:p w14:paraId="56C685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18F750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Термопара к ТПТ-5 хромелькопелевая для газо- и паровпроводов, длинп 150 мм</w:t>
            </w:r>
          </w:p>
        </w:tc>
        <w:tc>
          <w:tcPr>
            <w:tcW w:w="992" w:type="dxa"/>
          </w:tcPr>
          <w:p w14:paraId="62CC81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94-00</w:t>
            </w:r>
          </w:p>
        </w:tc>
      </w:tr>
      <w:tr w:rsidR="00983732" w:rsidRPr="00A3026E" w14:paraId="3C34B48D" w14:textId="77777777" w:rsidTr="00EA0DA7">
        <w:tc>
          <w:tcPr>
            <w:tcW w:w="534" w:type="dxa"/>
          </w:tcPr>
          <w:p w14:paraId="07D1C1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c>
          <w:tcPr>
            <w:tcW w:w="1417" w:type="dxa"/>
          </w:tcPr>
          <w:p w14:paraId="1500F0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6009F9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 длина 200 мм</w:t>
            </w:r>
          </w:p>
        </w:tc>
        <w:tc>
          <w:tcPr>
            <w:tcW w:w="992" w:type="dxa"/>
          </w:tcPr>
          <w:p w14:paraId="79AB50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95-00</w:t>
            </w:r>
          </w:p>
        </w:tc>
      </w:tr>
      <w:tr w:rsidR="00983732" w:rsidRPr="00A3026E" w14:paraId="061D72FA" w14:textId="77777777" w:rsidTr="00EA0DA7">
        <w:tc>
          <w:tcPr>
            <w:tcW w:w="534" w:type="dxa"/>
          </w:tcPr>
          <w:p w14:paraId="4CFF54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w:t>
            </w:r>
          </w:p>
        </w:tc>
        <w:tc>
          <w:tcPr>
            <w:tcW w:w="1417" w:type="dxa"/>
          </w:tcPr>
          <w:p w14:paraId="7A5C4C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41F317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 длина 300 мм</w:t>
            </w:r>
          </w:p>
        </w:tc>
        <w:tc>
          <w:tcPr>
            <w:tcW w:w="992" w:type="dxa"/>
          </w:tcPr>
          <w:p w14:paraId="25E2BA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r>
      <w:tr w:rsidR="00983732" w:rsidRPr="00A3026E" w14:paraId="37D22D16" w14:textId="77777777" w:rsidTr="00EA0DA7">
        <w:tc>
          <w:tcPr>
            <w:tcW w:w="534" w:type="dxa"/>
          </w:tcPr>
          <w:p w14:paraId="32D089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117.</w:t>
            </w:r>
          </w:p>
        </w:tc>
        <w:tc>
          <w:tcPr>
            <w:tcW w:w="1417" w:type="dxa"/>
          </w:tcPr>
          <w:p w14:paraId="05438B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0B472F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 длина 400 мм</w:t>
            </w:r>
          </w:p>
        </w:tc>
        <w:tc>
          <w:tcPr>
            <w:tcW w:w="992" w:type="dxa"/>
          </w:tcPr>
          <w:p w14:paraId="4503A4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103-00</w:t>
            </w:r>
          </w:p>
        </w:tc>
      </w:tr>
      <w:tr w:rsidR="00983732" w:rsidRPr="00A3026E" w14:paraId="3E140B3A" w14:textId="77777777" w:rsidTr="00EA0DA7">
        <w:tc>
          <w:tcPr>
            <w:tcW w:w="534" w:type="dxa"/>
          </w:tcPr>
          <w:p w14:paraId="151878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118.</w:t>
            </w:r>
          </w:p>
        </w:tc>
        <w:tc>
          <w:tcPr>
            <w:tcW w:w="1417" w:type="dxa"/>
          </w:tcPr>
          <w:p w14:paraId="66D22E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283D3A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 длина 750 мм</w:t>
            </w:r>
          </w:p>
        </w:tc>
        <w:tc>
          <w:tcPr>
            <w:tcW w:w="992" w:type="dxa"/>
          </w:tcPr>
          <w:p w14:paraId="4FF67C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110-00</w:t>
            </w:r>
          </w:p>
        </w:tc>
      </w:tr>
      <w:tr w:rsidR="00983732" w:rsidRPr="00A3026E" w14:paraId="1E4ED646" w14:textId="77777777" w:rsidTr="00EA0DA7">
        <w:tc>
          <w:tcPr>
            <w:tcW w:w="534" w:type="dxa"/>
          </w:tcPr>
          <w:p w14:paraId="21FF95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119.</w:t>
            </w:r>
          </w:p>
        </w:tc>
        <w:tc>
          <w:tcPr>
            <w:tcW w:w="1417" w:type="dxa"/>
          </w:tcPr>
          <w:p w14:paraId="6509AD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3F61E5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 длина 1300 мм</w:t>
            </w:r>
          </w:p>
        </w:tc>
        <w:tc>
          <w:tcPr>
            <w:tcW w:w="992" w:type="dxa"/>
          </w:tcPr>
          <w:p w14:paraId="29AAF3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112-00</w:t>
            </w:r>
          </w:p>
        </w:tc>
      </w:tr>
      <w:tr w:rsidR="00983732" w:rsidRPr="00A3026E" w14:paraId="4153D2C2" w14:textId="77777777" w:rsidTr="00EA0DA7">
        <w:tc>
          <w:tcPr>
            <w:tcW w:w="534" w:type="dxa"/>
          </w:tcPr>
          <w:p w14:paraId="517EF1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1417" w:type="dxa"/>
          </w:tcPr>
          <w:p w14:paraId="0E0A67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4024B6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Термопара к ТЦТ-5 хромелькопелевая для дизелей, длина 70 мм</w:t>
            </w:r>
          </w:p>
        </w:tc>
        <w:tc>
          <w:tcPr>
            <w:tcW w:w="992" w:type="dxa"/>
          </w:tcPr>
          <w:p w14:paraId="5B8CBD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78-00</w:t>
            </w:r>
          </w:p>
        </w:tc>
      </w:tr>
      <w:tr w:rsidR="00983732" w:rsidRPr="00A3026E" w14:paraId="1FAF498D" w14:textId="77777777" w:rsidTr="00EA0DA7">
        <w:tc>
          <w:tcPr>
            <w:tcW w:w="534" w:type="dxa"/>
          </w:tcPr>
          <w:p w14:paraId="47C92D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w:t>
            </w:r>
          </w:p>
        </w:tc>
        <w:tc>
          <w:tcPr>
            <w:tcW w:w="1417" w:type="dxa"/>
          </w:tcPr>
          <w:p w14:paraId="0BDCA2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2A575C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 длина 105 мм</w:t>
            </w:r>
          </w:p>
        </w:tc>
        <w:tc>
          <w:tcPr>
            <w:tcW w:w="992" w:type="dxa"/>
          </w:tcPr>
          <w:p w14:paraId="7487FA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r>
      <w:tr w:rsidR="00983732" w:rsidRPr="00A3026E" w14:paraId="0671F08D" w14:textId="77777777" w:rsidTr="00EA0DA7">
        <w:tc>
          <w:tcPr>
            <w:tcW w:w="534" w:type="dxa"/>
          </w:tcPr>
          <w:p w14:paraId="22A55D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122.</w:t>
            </w:r>
          </w:p>
        </w:tc>
        <w:tc>
          <w:tcPr>
            <w:tcW w:w="1417" w:type="dxa"/>
          </w:tcPr>
          <w:p w14:paraId="3CF8F3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35A1FC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 длина 130 мм</w:t>
            </w:r>
          </w:p>
        </w:tc>
        <w:tc>
          <w:tcPr>
            <w:tcW w:w="992" w:type="dxa"/>
          </w:tcPr>
          <w:p w14:paraId="2253DD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82-00</w:t>
            </w:r>
          </w:p>
        </w:tc>
      </w:tr>
      <w:tr w:rsidR="00983732" w:rsidRPr="00A3026E" w14:paraId="7B44BFE5" w14:textId="77777777" w:rsidTr="00EA0DA7">
        <w:tc>
          <w:tcPr>
            <w:tcW w:w="534" w:type="dxa"/>
          </w:tcPr>
          <w:p w14:paraId="5C25FF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123.</w:t>
            </w:r>
          </w:p>
        </w:tc>
        <w:tc>
          <w:tcPr>
            <w:tcW w:w="1417" w:type="dxa"/>
          </w:tcPr>
          <w:p w14:paraId="38BD42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4F9F32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 длина 230 мм</w:t>
            </w:r>
          </w:p>
        </w:tc>
        <w:tc>
          <w:tcPr>
            <w:tcW w:w="992" w:type="dxa"/>
          </w:tcPr>
          <w:p w14:paraId="295D4C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84-00</w:t>
            </w:r>
          </w:p>
        </w:tc>
      </w:tr>
      <w:tr w:rsidR="00983732" w:rsidRPr="00A3026E" w14:paraId="1E08E994" w14:textId="77777777" w:rsidTr="00EA0DA7">
        <w:tc>
          <w:tcPr>
            <w:tcW w:w="534" w:type="dxa"/>
          </w:tcPr>
          <w:p w14:paraId="1782AE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w:t>
            </w:r>
          </w:p>
        </w:tc>
        <w:tc>
          <w:tcPr>
            <w:tcW w:w="1417" w:type="dxa"/>
          </w:tcPr>
          <w:p w14:paraId="0B6F22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418C5D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Гальванометр брызгонепроницаемнй без термометра сопротивления.</w:t>
            </w:r>
          </w:p>
        </w:tc>
        <w:tc>
          <w:tcPr>
            <w:tcW w:w="992" w:type="dxa"/>
          </w:tcPr>
          <w:p w14:paraId="40EEA3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190-00</w:t>
            </w:r>
          </w:p>
        </w:tc>
      </w:tr>
      <w:tr w:rsidR="00983732" w:rsidRPr="00A3026E" w14:paraId="7887FAB4" w14:textId="77777777" w:rsidTr="00EA0DA7">
        <w:tc>
          <w:tcPr>
            <w:tcW w:w="534" w:type="dxa"/>
          </w:tcPr>
          <w:p w14:paraId="56F597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1417" w:type="dxa"/>
          </w:tcPr>
          <w:p w14:paraId="26B56C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192234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Термометр сопротивления -к ТМЭ-П с разъемны штуцером, длина 70 мм</w:t>
            </w:r>
          </w:p>
        </w:tc>
        <w:tc>
          <w:tcPr>
            <w:tcW w:w="992" w:type="dxa"/>
          </w:tcPr>
          <w:p w14:paraId="505218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77-00</w:t>
            </w:r>
          </w:p>
        </w:tc>
      </w:tr>
      <w:tr w:rsidR="00983732" w:rsidRPr="00A3026E" w14:paraId="54EFF422" w14:textId="77777777" w:rsidTr="00EA0DA7">
        <w:tc>
          <w:tcPr>
            <w:tcW w:w="534" w:type="dxa"/>
          </w:tcPr>
          <w:p w14:paraId="13A9D5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w:t>
            </w:r>
          </w:p>
        </w:tc>
        <w:tc>
          <w:tcPr>
            <w:tcW w:w="1417" w:type="dxa"/>
          </w:tcPr>
          <w:p w14:paraId="756727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1157FB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длина 100 мм</w:t>
            </w:r>
          </w:p>
        </w:tc>
        <w:tc>
          <w:tcPr>
            <w:tcW w:w="992" w:type="dxa"/>
          </w:tcPr>
          <w:p w14:paraId="77495F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r>
      <w:tr w:rsidR="00983732" w:rsidRPr="00A3026E" w14:paraId="77A11623" w14:textId="77777777" w:rsidTr="00EA0DA7">
        <w:tc>
          <w:tcPr>
            <w:tcW w:w="534" w:type="dxa"/>
          </w:tcPr>
          <w:p w14:paraId="14759B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w:t>
            </w:r>
          </w:p>
        </w:tc>
        <w:tc>
          <w:tcPr>
            <w:tcW w:w="1417" w:type="dxa"/>
          </w:tcPr>
          <w:p w14:paraId="7EDE9E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3D666E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 длина 125 мм</w:t>
            </w:r>
          </w:p>
        </w:tc>
        <w:tc>
          <w:tcPr>
            <w:tcW w:w="992" w:type="dxa"/>
          </w:tcPr>
          <w:p w14:paraId="1DA901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83-00</w:t>
            </w:r>
          </w:p>
        </w:tc>
      </w:tr>
      <w:tr w:rsidR="00983732" w:rsidRPr="00A3026E" w14:paraId="0109BF15" w14:textId="77777777" w:rsidTr="00EA0DA7">
        <w:tc>
          <w:tcPr>
            <w:tcW w:w="534" w:type="dxa"/>
          </w:tcPr>
          <w:p w14:paraId="79DB37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128.</w:t>
            </w:r>
          </w:p>
        </w:tc>
        <w:tc>
          <w:tcPr>
            <w:tcW w:w="1417" w:type="dxa"/>
          </w:tcPr>
          <w:p w14:paraId="69EDDE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657AF8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То-жё , длина 150 мм</w:t>
            </w:r>
          </w:p>
        </w:tc>
        <w:tc>
          <w:tcPr>
            <w:tcW w:w="992" w:type="dxa"/>
          </w:tcPr>
          <w:p w14:paraId="3990BF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86-00</w:t>
            </w:r>
          </w:p>
        </w:tc>
      </w:tr>
      <w:tr w:rsidR="00983732" w:rsidRPr="00A3026E" w14:paraId="0DECC8F8" w14:textId="77777777" w:rsidTr="00EA0DA7">
        <w:tc>
          <w:tcPr>
            <w:tcW w:w="534" w:type="dxa"/>
          </w:tcPr>
          <w:p w14:paraId="6DF444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129.</w:t>
            </w:r>
          </w:p>
        </w:tc>
        <w:tc>
          <w:tcPr>
            <w:tcW w:w="1417" w:type="dxa"/>
          </w:tcPr>
          <w:p w14:paraId="4F02FA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404B1D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длина 175 мм</w:t>
            </w:r>
          </w:p>
        </w:tc>
        <w:tc>
          <w:tcPr>
            <w:tcW w:w="992" w:type="dxa"/>
          </w:tcPr>
          <w:p w14:paraId="1CC6B3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89-00</w:t>
            </w:r>
          </w:p>
        </w:tc>
      </w:tr>
      <w:tr w:rsidR="00983732" w:rsidRPr="00A3026E" w14:paraId="646ADC90" w14:textId="77777777" w:rsidTr="00EA0DA7">
        <w:tc>
          <w:tcPr>
            <w:tcW w:w="534" w:type="dxa"/>
          </w:tcPr>
          <w:p w14:paraId="4FE691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1417" w:type="dxa"/>
          </w:tcPr>
          <w:p w14:paraId="5B680F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4219FB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 длина 200 мм</w:t>
            </w:r>
          </w:p>
        </w:tc>
        <w:tc>
          <w:tcPr>
            <w:tcW w:w="992" w:type="dxa"/>
          </w:tcPr>
          <w:p w14:paraId="79C3B7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92-00</w:t>
            </w:r>
          </w:p>
        </w:tc>
      </w:tr>
      <w:tr w:rsidR="00983732" w:rsidRPr="00A3026E" w14:paraId="2D179EF2" w14:textId="77777777" w:rsidTr="00EA0DA7">
        <w:tc>
          <w:tcPr>
            <w:tcW w:w="534" w:type="dxa"/>
          </w:tcPr>
          <w:p w14:paraId="729C63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w:t>
            </w:r>
          </w:p>
        </w:tc>
        <w:tc>
          <w:tcPr>
            <w:tcW w:w="1417" w:type="dxa"/>
          </w:tcPr>
          <w:p w14:paraId="749FCB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315A6B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 длина 225 мм</w:t>
            </w:r>
          </w:p>
        </w:tc>
        <w:tc>
          <w:tcPr>
            <w:tcW w:w="992" w:type="dxa"/>
          </w:tcPr>
          <w:p w14:paraId="74CB0F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95-00 :.</w:t>
            </w:r>
          </w:p>
        </w:tc>
      </w:tr>
      <w:tr w:rsidR="00983732" w:rsidRPr="00A3026E" w14:paraId="7F67090F" w14:textId="77777777" w:rsidTr="00EA0DA7">
        <w:tc>
          <w:tcPr>
            <w:tcW w:w="534" w:type="dxa"/>
          </w:tcPr>
          <w:p w14:paraId="7E3981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w:t>
            </w:r>
          </w:p>
        </w:tc>
        <w:tc>
          <w:tcPr>
            <w:tcW w:w="1417" w:type="dxa"/>
          </w:tcPr>
          <w:p w14:paraId="7F3B57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22A78F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длина 250 мм</w:t>
            </w:r>
          </w:p>
        </w:tc>
        <w:tc>
          <w:tcPr>
            <w:tcW w:w="992" w:type="dxa"/>
          </w:tcPr>
          <w:p w14:paraId="112CD1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98-00</w:t>
            </w:r>
          </w:p>
        </w:tc>
      </w:tr>
      <w:tr w:rsidR="00983732" w:rsidRPr="00A3026E" w14:paraId="215E8F19" w14:textId="77777777" w:rsidTr="00EA0DA7">
        <w:tc>
          <w:tcPr>
            <w:tcW w:w="534" w:type="dxa"/>
          </w:tcPr>
          <w:p w14:paraId="2ED36F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133.</w:t>
            </w:r>
          </w:p>
        </w:tc>
        <w:tc>
          <w:tcPr>
            <w:tcW w:w="1417" w:type="dxa"/>
          </w:tcPr>
          <w:p w14:paraId="005EB1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4BC892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Дымномер. Ко-мпл^кт из 2 колонок, 1 гальванометра ТПТ-5 и 1 реостата добавочного сопротивления РДС</w:t>
            </w:r>
          </w:p>
        </w:tc>
        <w:tc>
          <w:tcPr>
            <w:tcW w:w="992" w:type="dxa"/>
          </w:tcPr>
          <w:p w14:paraId="689B1A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2300-00</w:t>
            </w:r>
          </w:p>
        </w:tc>
      </w:tr>
      <w:tr w:rsidR="00983732" w:rsidRPr="00A3026E" w14:paraId="5716E616" w14:textId="77777777" w:rsidTr="00EA0DA7">
        <w:tc>
          <w:tcPr>
            <w:tcW w:w="534" w:type="dxa"/>
          </w:tcPr>
          <w:p w14:paraId="43A466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134.</w:t>
            </w:r>
          </w:p>
        </w:tc>
        <w:tc>
          <w:tcPr>
            <w:tcW w:w="1417" w:type="dxa"/>
          </w:tcPr>
          <w:p w14:paraId="150CAE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22874F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Колонка дымномера</w:t>
            </w:r>
          </w:p>
        </w:tc>
        <w:tc>
          <w:tcPr>
            <w:tcW w:w="992" w:type="dxa"/>
          </w:tcPr>
          <w:p w14:paraId="3BF593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965-00</w:t>
            </w:r>
          </w:p>
        </w:tc>
      </w:tr>
      <w:tr w:rsidR="00983732" w:rsidRPr="00A3026E" w14:paraId="368A340F" w14:textId="77777777" w:rsidTr="00EA0DA7">
        <w:tc>
          <w:tcPr>
            <w:tcW w:w="534" w:type="dxa"/>
          </w:tcPr>
          <w:p w14:paraId="2485B2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417" w:type="dxa"/>
          </w:tcPr>
          <w:p w14:paraId="3825A5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175DCB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Реостат добавочного сопротивления</w:t>
            </w:r>
          </w:p>
        </w:tc>
        <w:tc>
          <w:tcPr>
            <w:tcW w:w="992" w:type="dxa"/>
          </w:tcPr>
          <w:p w14:paraId="045E73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175-00</w:t>
            </w:r>
          </w:p>
        </w:tc>
      </w:tr>
      <w:tr w:rsidR="00983732" w:rsidRPr="00A3026E" w14:paraId="2FC07455" w14:textId="77777777" w:rsidTr="00EA0DA7">
        <w:tc>
          <w:tcPr>
            <w:tcW w:w="534" w:type="dxa"/>
          </w:tcPr>
          <w:p w14:paraId="6EFBF1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136.</w:t>
            </w:r>
          </w:p>
        </w:tc>
        <w:tc>
          <w:tcPr>
            <w:tcW w:w="1417" w:type="dxa"/>
          </w:tcPr>
          <w:p w14:paraId="527065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3CFB87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Соленомер. Комплект из 1 приемника, 1 фильтра, 1 смесительной камеры, 1 логометра, указывающего, 1 самопи</w:t>
            </w:r>
            <w:r w:rsidRPr="00A3026E">
              <w:rPr>
                <w:rFonts w:ascii="Times New Roman" w:hAnsi="Times New Roman"/>
                <w:color w:val="000000" w:themeColor="text1"/>
                <w:sz w:val="16"/>
                <w:szCs w:val="16"/>
              </w:rPr>
              <w:softHyphen/>
              <w:t>шущего прибора и 1 замещающего сопротивления</w:t>
            </w:r>
          </w:p>
        </w:tc>
        <w:tc>
          <w:tcPr>
            <w:tcW w:w="992" w:type="dxa"/>
          </w:tcPr>
          <w:p w14:paraId="187DDE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10000-00</w:t>
            </w:r>
          </w:p>
        </w:tc>
      </w:tr>
      <w:tr w:rsidR="00983732" w:rsidRPr="00A3026E" w14:paraId="0D69B17F" w14:textId="77777777" w:rsidTr="00EA0DA7">
        <w:tc>
          <w:tcPr>
            <w:tcW w:w="534" w:type="dxa"/>
          </w:tcPr>
          <w:p w14:paraId="053BA5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137</w:t>
            </w:r>
          </w:p>
        </w:tc>
        <w:tc>
          <w:tcPr>
            <w:tcW w:w="1417" w:type="dxa"/>
          </w:tcPr>
          <w:p w14:paraId="5C497B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0A04F0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Приемник соленометра</w:t>
            </w:r>
          </w:p>
        </w:tc>
        <w:tc>
          <w:tcPr>
            <w:tcW w:w="992" w:type="dxa"/>
          </w:tcPr>
          <w:p w14:paraId="7A82F7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1350-00</w:t>
            </w:r>
          </w:p>
        </w:tc>
      </w:tr>
      <w:tr w:rsidR="00983732" w:rsidRPr="00A3026E" w14:paraId="1712B5FB" w14:textId="77777777" w:rsidTr="00EA0DA7">
        <w:tc>
          <w:tcPr>
            <w:tcW w:w="534" w:type="dxa"/>
          </w:tcPr>
          <w:p w14:paraId="2ACAFA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w:t>
            </w:r>
          </w:p>
        </w:tc>
        <w:tc>
          <w:tcPr>
            <w:tcW w:w="1417" w:type="dxa"/>
          </w:tcPr>
          <w:p w14:paraId="480558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10211D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Фильтр соленомера</w:t>
            </w:r>
          </w:p>
        </w:tc>
        <w:tc>
          <w:tcPr>
            <w:tcW w:w="992" w:type="dxa"/>
          </w:tcPr>
          <w:p w14:paraId="616C69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1900-00</w:t>
            </w:r>
          </w:p>
        </w:tc>
      </w:tr>
      <w:tr w:rsidR="00983732" w:rsidRPr="00A3026E" w14:paraId="23E2C9DD" w14:textId="77777777" w:rsidTr="00EA0DA7">
        <w:tc>
          <w:tcPr>
            <w:tcW w:w="534" w:type="dxa"/>
          </w:tcPr>
          <w:p w14:paraId="43DC23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139</w:t>
            </w:r>
          </w:p>
        </w:tc>
        <w:tc>
          <w:tcPr>
            <w:tcW w:w="1417" w:type="dxa"/>
          </w:tcPr>
          <w:p w14:paraId="6F4D53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047C0B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Смесительная камера - соленомера</w:t>
            </w:r>
          </w:p>
        </w:tc>
        <w:tc>
          <w:tcPr>
            <w:tcW w:w="992" w:type="dxa"/>
          </w:tcPr>
          <w:p w14:paraId="25CF7C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650-00</w:t>
            </w:r>
          </w:p>
        </w:tc>
      </w:tr>
      <w:tr w:rsidR="00983732" w:rsidRPr="00A3026E" w14:paraId="174631D2" w14:textId="77777777" w:rsidTr="00EA0DA7">
        <w:tc>
          <w:tcPr>
            <w:tcW w:w="534" w:type="dxa"/>
          </w:tcPr>
          <w:p w14:paraId="4E66E1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1417" w:type="dxa"/>
          </w:tcPr>
          <w:p w14:paraId="5BD676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4D9337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Логометр указывающий к соленомеру</w:t>
            </w:r>
          </w:p>
        </w:tc>
        <w:tc>
          <w:tcPr>
            <w:tcW w:w="992" w:type="dxa"/>
          </w:tcPr>
          <w:p w14:paraId="23D401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1800-00</w:t>
            </w:r>
          </w:p>
        </w:tc>
      </w:tr>
      <w:tr w:rsidR="00983732" w:rsidRPr="00A3026E" w14:paraId="003C9D64" w14:textId="77777777" w:rsidTr="00EA0DA7">
        <w:tc>
          <w:tcPr>
            <w:tcW w:w="534" w:type="dxa"/>
          </w:tcPr>
          <w:p w14:paraId="7AF20C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w:t>
            </w:r>
          </w:p>
        </w:tc>
        <w:tc>
          <w:tcPr>
            <w:tcW w:w="1417" w:type="dxa"/>
          </w:tcPr>
          <w:p w14:paraId="32DB06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17992F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Самопишущий прибор к соленомеру</w:t>
            </w:r>
          </w:p>
        </w:tc>
        <w:tc>
          <w:tcPr>
            <w:tcW w:w="992" w:type="dxa"/>
          </w:tcPr>
          <w:p w14:paraId="6ACE1D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3450-00</w:t>
            </w:r>
          </w:p>
        </w:tc>
      </w:tr>
      <w:tr w:rsidR="00983732" w:rsidRPr="00A3026E" w14:paraId="6E6BC5A9" w14:textId="77777777" w:rsidTr="00EA0DA7">
        <w:tc>
          <w:tcPr>
            <w:tcW w:w="534" w:type="dxa"/>
          </w:tcPr>
          <w:p w14:paraId="306EC4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142</w:t>
            </w:r>
          </w:p>
        </w:tc>
        <w:tc>
          <w:tcPr>
            <w:tcW w:w="1417" w:type="dxa"/>
          </w:tcPr>
          <w:p w14:paraId="248633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4B74CD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Замещающее сопротивление к еоленомеру</w:t>
            </w:r>
          </w:p>
        </w:tc>
        <w:tc>
          <w:tcPr>
            <w:tcW w:w="992" w:type="dxa"/>
          </w:tcPr>
          <w:p w14:paraId="5AF46F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850-00</w:t>
            </w:r>
          </w:p>
        </w:tc>
      </w:tr>
      <w:tr w:rsidR="00983732" w:rsidRPr="00A3026E" w14:paraId="781BF783" w14:textId="77777777" w:rsidTr="00EA0DA7">
        <w:tc>
          <w:tcPr>
            <w:tcW w:w="534" w:type="dxa"/>
          </w:tcPr>
          <w:p w14:paraId="378AD1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143</w:t>
            </w:r>
          </w:p>
        </w:tc>
        <w:tc>
          <w:tcPr>
            <w:tcW w:w="1417" w:type="dxa"/>
          </w:tcPr>
          <w:p w14:paraId="639394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2FAA83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Переключатель герметический</w:t>
            </w:r>
          </w:p>
        </w:tc>
        <w:tc>
          <w:tcPr>
            <w:tcW w:w="992" w:type="dxa"/>
          </w:tcPr>
          <w:p w14:paraId="3B9256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250-00</w:t>
            </w:r>
          </w:p>
        </w:tc>
      </w:tr>
      <w:tr w:rsidR="00983732" w:rsidRPr="00A3026E" w14:paraId="66596E5B" w14:textId="77777777" w:rsidTr="00EA0DA7">
        <w:tc>
          <w:tcPr>
            <w:tcW w:w="534" w:type="dxa"/>
          </w:tcPr>
          <w:p w14:paraId="63F34D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w:t>
            </w:r>
          </w:p>
        </w:tc>
        <w:tc>
          <w:tcPr>
            <w:tcW w:w="1417" w:type="dxa"/>
          </w:tcPr>
          <w:p w14:paraId="07F143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4DC5C5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Тряскоустойчивый пирометр для обо.зно-вещевого транспорта. Комплект из 1 галь</w:t>
            </w:r>
            <w:r w:rsidRPr="00A3026E">
              <w:rPr>
                <w:rFonts w:ascii="Times New Roman" w:hAnsi="Times New Roman"/>
                <w:color w:val="000000" w:themeColor="text1"/>
                <w:sz w:val="16"/>
                <w:szCs w:val="16"/>
              </w:rPr>
              <w:softHyphen/>
              <w:t>ванометра "Пах", 2 термопар и 1 защитной коробки</w:t>
            </w:r>
          </w:p>
        </w:tc>
        <w:tc>
          <w:tcPr>
            <w:tcW w:w="992" w:type="dxa"/>
          </w:tcPr>
          <w:p w14:paraId="373424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445-00</w:t>
            </w:r>
          </w:p>
        </w:tc>
      </w:tr>
      <w:tr w:rsidR="00983732" w:rsidRPr="00A3026E" w14:paraId="483A209C" w14:textId="77777777" w:rsidTr="00EA0DA7">
        <w:tc>
          <w:tcPr>
            <w:tcW w:w="534" w:type="dxa"/>
          </w:tcPr>
          <w:p w14:paraId="0FEB77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w:t>
            </w:r>
          </w:p>
        </w:tc>
        <w:tc>
          <w:tcPr>
            <w:tcW w:w="1417" w:type="dxa"/>
          </w:tcPr>
          <w:p w14:paraId="57502B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39A062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Гальванометр "Пах" к тряскоуетойчивому пирометру</w:t>
            </w:r>
          </w:p>
        </w:tc>
        <w:tc>
          <w:tcPr>
            <w:tcW w:w="992" w:type="dxa"/>
          </w:tcPr>
          <w:p w14:paraId="58FEF6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185-00</w:t>
            </w:r>
          </w:p>
        </w:tc>
      </w:tr>
      <w:tr w:rsidR="00983732" w:rsidRPr="00A3026E" w14:paraId="687A5565" w14:textId="77777777" w:rsidTr="00EA0DA7">
        <w:tc>
          <w:tcPr>
            <w:tcW w:w="534" w:type="dxa"/>
          </w:tcPr>
          <w:p w14:paraId="7901EA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146</w:t>
            </w:r>
          </w:p>
        </w:tc>
        <w:tc>
          <w:tcPr>
            <w:tcW w:w="1417" w:type="dxa"/>
          </w:tcPr>
          <w:p w14:paraId="598729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31621B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Термопара к тряскоустойчивому пирометру</w:t>
            </w:r>
          </w:p>
        </w:tc>
        <w:tc>
          <w:tcPr>
            <w:tcW w:w="992" w:type="dxa"/>
          </w:tcPr>
          <w:p w14:paraId="1BCED2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92-00</w:t>
            </w:r>
          </w:p>
        </w:tc>
      </w:tr>
      <w:tr w:rsidR="00983732" w:rsidRPr="00A3026E" w14:paraId="27DE03E1" w14:textId="77777777" w:rsidTr="00EA0DA7">
        <w:tc>
          <w:tcPr>
            <w:tcW w:w="534" w:type="dxa"/>
          </w:tcPr>
          <w:p w14:paraId="382AE9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147</w:t>
            </w:r>
          </w:p>
        </w:tc>
        <w:tc>
          <w:tcPr>
            <w:tcW w:w="1417" w:type="dxa"/>
          </w:tcPr>
          <w:p w14:paraId="615606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3C5750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Защитная коробка к тряскоустойчивому пирометру</w:t>
            </w:r>
          </w:p>
        </w:tc>
        <w:tc>
          <w:tcPr>
            <w:tcW w:w="992" w:type="dxa"/>
          </w:tcPr>
          <w:p w14:paraId="7CC4E0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75-00</w:t>
            </w:r>
          </w:p>
        </w:tc>
      </w:tr>
      <w:tr w:rsidR="00983732" w:rsidRPr="00A3026E" w14:paraId="63A2204F" w14:textId="77777777" w:rsidTr="00EA0DA7">
        <w:tc>
          <w:tcPr>
            <w:tcW w:w="534" w:type="dxa"/>
          </w:tcPr>
          <w:p w14:paraId="0B4785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148</w:t>
            </w:r>
          </w:p>
        </w:tc>
        <w:tc>
          <w:tcPr>
            <w:tcW w:w="1417" w:type="dxa"/>
          </w:tcPr>
          <w:p w14:paraId="51E543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63593F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Магнитно-электрический миниатюрный амперметр и вольтметр</w:t>
            </w:r>
          </w:p>
        </w:tc>
        <w:tc>
          <w:tcPr>
            <w:tcW w:w="992" w:type="dxa"/>
          </w:tcPr>
          <w:p w14:paraId="71F1C8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115-00</w:t>
            </w:r>
          </w:p>
        </w:tc>
      </w:tr>
      <w:tr w:rsidR="00983732" w:rsidRPr="00A3026E" w14:paraId="65D09F97" w14:textId="77777777" w:rsidTr="00EA0DA7">
        <w:tc>
          <w:tcPr>
            <w:tcW w:w="534" w:type="dxa"/>
          </w:tcPr>
          <w:p w14:paraId="5DBE71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149</w:t>
            </w:r>
          </w:p>
        </w:tc>
        <w:tc>
          <w:tcPr>
            <w:tcW w:w="1417" w:type="dxa"/>
          </w:tcPr>
          <w:p w14:paraId="6E1556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43B3AB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Специальный измеритель сопротивления</w:t>
            </w:r>
          </w:p>
        </w:tc>
        <w:tc>
          <w:tcPr>
            <w:tcW w:w="992" w:type="dxa"/>
          </w:tcPr>
          <w:p w14:paraId="5EB877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145-00</w:t>
            </w:r>
          </w:p>
        </w:tc>
      </w:tr>
      <w:tr w:rsidR="00983732" w:rsidRPr="00A3026E" w14:paraId="2827C965" w14:textId="77777777" w:rsidTr="00EA0DA7">
        <w:tc>
          <w:tcPr>
            <w:tcW w:w="534" w:type="dxa"/>
          </w:tcPr>
          <w:p w14:paraId="0F8745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417" w:type="dxa"/>
          </w:tcPr>
          <w:p w14:paraId="538199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2DF96C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Магнитно- электрический амперметр и вольт</w:t>
            </w:r>
            <w:r w:rsidRPr="00A3026E">
              <w:rPr>
                <w:rFonts w:ascii="Times New Roman" w:hAnsi="Times New Roman"/>
                <w:color w:val="000000" w:themeColor="text1"/>
                <w:sz w:val="16"/>
                <w:szCs w:val="16"/>
              </w:rPr>
              <w:softHyphen/>
              <w:t>метр в сдвоенном корпусе</w:t>
            </w:r>
          </w:p>
        </w:tc>
        <w:tc>
          <w:tcPr>
            <w:tcW w:w="992" w:type="dxa"/>
          </w:tcPr>
          <w:p w14:paraId="54BB15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640-00</w:t>
            </w:r>
          </w:p>
        </w:tc>
      </w:tr>
      <w:tr w:rsidR="00983732" w:rsidRPr="00A3026E" w14:paraId="2F3A3609" w14:textId="77777777" w:rsidTr="00EA0DA7">
        <w:tc>
          <w:tcPr>
            <w:tcW w:w="534" w:type="dxa"/>
          </w:tcPr>
          <w:p w14:paraId="1965F9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151</w:t>
            </w:r>
          </w:p>
        </w:tc>
        <w:tc>
          <w:tcPr>
            <w:tcW w:w="1417" w:type="dxa"/>
          </w:tcPr>
          <w:p w14:paraId="7810BE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35706B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Магнитно-электрический малый тахометр постоянного тока</w:t>
            </w:r>
          </w:p>
        </w:tc>
        <w:tc>
          <w:tcPr>
            <w:tcW w:w="992" w:type="dxa"/>
          </w:tcPr>
          <w:p w14:paraId="34C61C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200-00</w:t>
            </w:r>
          </w:p>
        </w:tc>
      </w:tr>
      <w:tr w:rsidR="00983732" w:rsidRPr="00A3026E" w14:paraId="50A8925C" w14:textId="77777777" w:rsidTr="00EA0DA7">
        <w:tc>
          <w:tcPr>
            <w:tcW w:w="534" w:type="dxa"/>
          </w:tcPr>
          <w:p w14:paraId="6737B7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152</w:t>
            </w:r>
          </w:p>
        </w:tc>
        <w:tc>
          <w:tcPr>
            <w:tcW w:w="1417" w:type="dxa"/>
          </w:tcPr>
          <w:p w14:paraId="5F86DD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53DBF1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Вольтамперметр авиационный</w:t>
            </w:r>
          </w:p>
        </w:tc>
        <w:tc>
          <w:tcPr>
            <w:tcW w:w="992" w:type="dxa"/>
          </w:tcPr>
          <w:p w14:paraId="37C30B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400-00</w:t>
            </w:r>
          </w:p>
        </w:tc>
      </w:tr>
      <w:tr w:rsidR="00983732" w:rsidRPr="00A3026E" w14:paraId="4C5F4EA6" w14:textId="77777777" w:rsidTr="00EA0DA7">
        <w:tc>
          <w:tcPr>
            <w:tcW w:w="534" w:type="dxa"/>
          </w:tcPr>
          <w:p w14:paraId="6E03B9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1417" w:type="dxa"/>
          </w:tcPr>
          <w:p w14:paraId="20007F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4E1AF5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Указатель морского большого тахометра</w:t>
            </w:r>
          </w:p>
        </w:tc>
        <w:tc>
          <w:tcPr>
            <w:tcW w:w="992" w:type="dxa"/>
          </w:tcPr>
          <w:p w14:paraId="7B38C8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1370-00</w:t>
            </w:r>
          </w:p>
        </w:tc>
      </w:tr>
      <w:tr w:rsidR="00983732" w:rsidRPr="00A3026E" w14:paraId="61B53706" w14:textId="77777777" w:rsidTr="00EA0DA7">
        <w:tc>
          <w:tcPr>
            <w:tcW w:w="534" w:type="dxa"/>
          </w:tcPr>
          <w:p w14:paraId="7F590B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154</w:t>
            </w:r>
          </w:p>
        </w:tc>
        <w:tc>
          <w:tcPr>
            <w:tcW w:w="1417" w:type="dxa"/>
          </w:tcPr>
          <w:p w14:paraId="161AF5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233AE5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Гальванометр для альфаметра ГЭА-50 з-да № 278</w:t>
            </w:r>
          </w:p>
        </w:tc>
        <w:tc>
          <w:tcPr>
            <w:tcW w:w="992" w:type="dxa"/>
          </w:tcPr>
          <w:p w14:paraId="258B07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185-00</w:t>
            </w:r>
          </w:p>
        </w:tc>
      </w:tr>
      <w:tr w:rsidR="00983732" w:rsidRPr="00A3026E" w14:paraId="1B5889B3" w14:textId="77777777" w:rsidTr="00EA0DA7">
        <w:tc>
          <w:tcPr>
            <w:tcW w:w="534" w:type="dxa"/>
          </w:tcPr>
          <w:p w14:paraId="000CDF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w:t>
            </w:r>
          </w:p>
        </w:tc>
        <w:tc>
          <w:tcPr>
            <w:tcW w:w="1417" w:type="dxa"/>
          </w:tcPr>
          <w:p w14:paraId="08D622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19EE0A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Газоанализатор электрический авиационный (альфаметр) новой конструкщии</w:t>
            </w:r>
          </w:p>
        </w:tc>
        <w:tc>
          <w:tcPr>
            <w:tcW w:w="992" w:type="dxa"/>
          </w:tcPr>
          <w:p w14:paraId="5C0A89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2000-00</w:t>
            </w:r>
          </w:p>
        </w:tc>
      </w:tr>
      <w:tr w:rsidR="00983732" w:rsidRPr="00A3026E" w14:paraId="6B306518" w14:textId="77777777" w:rsidTr="00EA0DA7">
        <w:tc>
          <w:tcPr>
            <w:tcW w:w="534" w:type="dxa"/>
          </w:tcPr>
          <w:p w14:paraId="2EA75D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w:t>
            </w:r>
          </w:p>
        </w:tc>
        <w:tc>
          <w:tcPr>
            <w:tcW w:w="1417" w:type="dxa"/>
          </w:tcPr>
          <w:p w14:paraId="65AEC7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7D15B0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Ремина</w:t>
            </w:r>
          </w:p>
        </w:tc>
        <w:tc>
          <w:tcPr>
            <w:tcW w:w="992" w:type="dxa"/>
          </w:tcPr>
          <w:p w14:paraId="441B6C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9000-00</w:t>
            </w:r>
          </w:p>
        </w:tc>
      </w:tr>
      <w:tr w:rsidR="00983732" w:rsidRPr="00A3026E" w14:paraId="7826EB43" w14:textId="77777777" w:rsidTr="00EA0DA7">
        <w:tc>
          <w:tcPr>
            <w:tcW w:w="534" w:type="dxa"/>
          </w:tcPr>
          <w:p w14:paraId="3AA345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157</w:t>
            </w:r>
          </w:p>
        </w:tc>
        <w:tc>
          <w:tcPr>
            <w:tcW w:w="1417" w:type="dxa"/>
          </w:tcPr>
          <w:p w14:paraId="24A85C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69EF57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Указатель курса "Чайка"</w:t>
            </w:r>
          </w:p>
        </w:tc>
        <w:tc>
          <w:tcPr>
            <w:tcW w:w="992" w:type="dxa"/>
          </w:tcPr>
          <w:p w14:paraId="1DFFC4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800-00</w:t>
            </w:r>
          </w:p>
        </w:tc>
      </w:tr>
      <w:tr w:rsidR="00983732" w:rsidRPr="00A3026E" w14:paraId="1687EFB6" w14:textId="77777777" w:rsidTr="00EA0DA7">
        <w:tc>
          <w:tcPr>
            <w:tcW w:w="534" w:type="dxa"/>
          </w:tcPr>
          <w:p w14:paraId="081C71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158</w:t>
            </w:r>
          </w:p>
        </w:tc>
        <w:tc>
          <w:tcPr>
            <w:tcW w:w="1417" w:type="dxa"/>
          </w:tcPr>
          <w:p w14:paraId="464BBC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62953D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Термопара для выхлопных газов</w:t>
            </w:r>
          </w:p>
        </w:tc>
        <w:tc>
          <w:tcPr>
            <w:tcW w:w="992" w:type="dxa"/>
          </w:tcPr>
          <w:p w14:paraId="126A63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190-00</w:t>
            </w:r>
          </w:p>
        </w:tc>
      </w:tr>
      <w:tr w:rsidR="00983732" w:rsidRPr="00A3026E" w14:paraId="4BF4945F" w14:textId="77777777" w:rsidTr="00EA0DA7">
        <w:tc>
          <w:tcPr>
            <w:tcW w:w="534" w:type="dxa"/>
          </w:tcPr>
          <w:p w14:paraId="7803DB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159</w:t>
            </w:r>
          </w:p>
        </w:tc>
        <w:tc>
          <w:tcPr>
            <w:tcW w:w="1417" w:type="dxa"/>
          </w:tcPr>
          <w:p w14:paraId="470B9B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234722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Температурный сигнализатор</w:t>
            </w:r>
          </w:p>
        </w:tc>
        <w:tc>
          <w:tcPr>
            <w:tcW w:w="992" w:type="dxa"/>
          </w:tcPr>
          <w:p w14:paraId="7B0362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7300-00</w:t>
            </w:r>
          </w:p>
        </w:tc>
      </w:tr>
      <w:tr w:rsidR="00983732" w:rsidRPr="00A3026E" w14:paraId="402CA757" w14:textId="77777777" w:rsidTr="00EA0DA7">
        <w:tc>
          <w:tcPr>
            <w:tcW w:w="534" w:type="dxa"/>
          </w:tcPr>
          <w:p w14:paraId="00ECE3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w:t>
            </w:r>
          </w:p>
        </w:tc>
        <w:tc>
          <w:tcPr>
            <w:tcW w:w="1417" w:type="dxa"/>
          </w:tcPr>
          <w:p w14:paraId="1AE030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25B4E6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Синхроноскоп</w:t>
            </w:r>
          </w:p>
        </w:tc>
        <w:tc>
          <w:tcPr>
            <w:tcW w:w="992" w:type="dxa"/>
          </w:tcPr>
          <w:p w14:paraId="27F013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800-00</w:t>
            </w:r>
          </w:p>
        </w:tc>
      </w:tr>
      <w:tr w:rsidR="00983732" w:rsidRPr="00A3026E" w14:paraId="14D2E43B" w14:textId="77777777" w:rsidTr="00EA0DA7">
        <w:tc>
          <w:tcPr>
            <w:tcW w:w="534" w:type="dxa"/>
          </w:tcPr>
          <w:p w14:paraId="0C1C93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w:t>
            </w:r>
          </w:p>
        </w:tc>
        <w:tc>
          <w:tcPr>
            <w:tcW w:w="1417" w:type="dxa"/>
          </w:tcPr>
          <w:p w14:paraId="3F4524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8222" w:type="dxa"/>
          </w:tcPr>
          <w:p w14:paraId="5AA7F8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Реле марки 2МР</w:t>
            </w:r>
          </w:p>
        </w:tc>
        <w:tc>
          <w:tcPr>
            <w:tcW w:w="992" w:type="dxa"/>
          </w:tcPr>
          <w:p w14:paraId="78F973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3000-00</w:t>
            </w:r>
          </w:p>
        </w:tc>
      </w:tr>
      <w:tr w:rsidR="00983732" w:rsidRPr="00A3026E" w14:paraId="3B32364E" w14:textId="77777777" w:rsidTr="00EA0DA7">
        <w:tc>
          <w:tcPr>
            <w:tcW w:w="534" w:type="dxa"/>
          </w:tcPr>
          <w:p w14:paraId="798A76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162</w:t>
            </w:r>
          </w:p>
        </w:tc>
        <w:tc>
          <w:tcPr>
            <w:tcW w:w="1417" w:type="dxa"/>
          </w:tcPr>
          <w:p w14:paraId="4FF439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674CCC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Барограф высотописец на 8 км</w:t>
            </w:r>
          </w:p>
        </w:tc>
        <w:tc>
          <w:tcPr>
            <w:tcW w:w="992" w:type="dxa"/>
          </w:tcPr>
          <w:p w14:paraId="084ADD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250-00</w:t>
            </w:r>
          </w:p>
        </w:tc>
      </w:tr>
      <w:tr w:rsidR="00983732" w:rsidRPr="00A3026E" w14:paraId="2C418444" w14:textId="77777777" w:rsidTr="00EA0DA7">
        <w:tc>
          <w:tcPr>
            <w:tcW w:w="534" w:type="dxa"/>
          </w:tcPr>
          <w:p w14:paraId="105A25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163</w:t>
            </w:r>
          </w:p>
        </w:tc>
        <w:tc>
          <w:tcPr>
            <w:tcW w:w="1417" w:type="dxa"/>
          </w:tcPr>
          <w:p w14:paraId="6D5F7C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0339D7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на 12 к м</w:t>
            </w:r>
          </w:p>
        </w:tc>
        <w:tc>
          <w:tcPr>
            <w:tcW w:w="992" w:type="dxa"/>
          </w:tcPr>
          <w:p w14:paraId="5CFB35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260-00</w:t>
            </w:r>
          </w:p>
        </w:tc>
      </w:tr>
      <w:tr w:rsidR="00983732" w:rsidRPr="00A3026E" w14:paraId="14B23C58" w14:textId="77777777" w:rsidTr="00EA0DA7">
        <w:tc>
          <w:tcPr>
            <w:tcW w:w="534" w:type="dxa"/>
          </w:tcPr>
          <w:p w14:paraId="687BF7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w:t>
            </w:r>
          </w:p>
        </w:tc>
        <w:tc>
          <w:tcPr>
            <w:tcW w:w="1417" w:type="dxa"/>
          </w:tcPr>
          <w:p w14:paraId="76DB57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57C962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на 18 км</w:t>
            </w:r>
          </w:p>
        </w:tc>
        <w:tc>
          <w:tcPr>
            <w:tcW w:w="992" w:type="dxa"/>
          </w:tcPr>
          <w:p w14:paraId="63E64A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300-00</w:t>
            </w:r>
          </w:p>
        </w:tc>
      </w:tr>
      <w:tr w:rsidR="00983732" w:rsidRPr="00A3026E" w14:paraId="540CF798" w14:textId="77777777" w:rsidTr="00EA0DA7">
        <w:tc>
          <w:tcPr>
            <w:tcW w:w="534" w:type="dxa"/>
          </w:tcPr>
          <w:p w14:paraId="14C1BA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w:t>
            </w:r>
          </w:p>
        </w:tc>
        <w:tc>
          <w:tcPr>
            <w:tcW w:w="1417" w:type="dxa"/>
          </w:tcPr>
          <w:p w14:paraId="672F26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16D82A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Ветрочет</w:t>
            </w:r>
          </w:p>
        </w:tc>
        <w:tc>
          <w:tcPr>
            <w:tcW w:w="992" w:type="dxa"/>
          </w:tcPr>
          <w:p w14:paraId="7DE4F8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w:t>
            </w:r>
          </w:p>
        </w:tc>
      </w:tr>
      <w:tr w:rsidR="00983732" w:rsidRPr="00A3026E" w14:paraId="6B1C87EB" w14:textId="77777777" w:rsidTr="00EA0DA7">
        <w:tc>
          <w:tcPr>
            <w:tcW w:w="534" w:type="dxa"/>
          </w:tcPr>
          <w:p w14:paraId="108359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166</w:t>
            </w:r>
          </w:p>
        </w:tc>
        <w:tc>
          <w:tcPr>
            <w:tcW w:w="1417" w:type="dxa"/>
          </w:tcPr>
          <w:p w14:paraId="1A0242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63AC2F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Ветромер</w:t>
            </w:r>
          </w:p>
        </w:tc>
        <w:tc>
          <w:tcPr>
            <w:tcW w:w="992" w:type="dxa"/>
          </w:tcPr>
          <w:p w14:paraId="5FB2D8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210-00</w:t>
            </w:r>
          </w:p>
        </w:tc>
      </w:tr>
      <w:tr w:rsidR="00983732" w:rsidRPr="00A3026E" w14:paraId="412FD5EF" w14:textId="77777777" w:rsidTr="00EA0DA7">
        <w:tc>
          <w:tcPr>
            <w:tcW w:w="534" w:type="dxa"/>
          </w:tcPr>
          <w:p w14:paraId="409744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167</w:t>
            </w:r>
          </w:p>
        </w:tc>
        <w:tc>
          <w:tcPr>
            <w:tcW w:w="1417" w:type="dxa"/>
          </w:tcPr>
          <w:p w14:paraId="0629AF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084BB0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Барометр анероид артршхерийский</w:t>
            </w:r>
          </w:p>
        </w:tc>
        <w:tc>
          <w:tcPr>
            <w:tcW w:w="992" w:type="dxa"/>
          </w:tcPr>
          <w:p w14:paraId="5AC135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450-00</w:t>
            </w:r>
          </w:p>
        </w:tc>
      </w:tr>
      <w:tr w:rsidR="00983732" w:rsidRPr="00A3026E" w14:paraId="0D891658" w14:textId="77777777" w:rsidTr="00EA0DA7">
        <w:tc>
          <w:tcPr>
            <w:tcW w:w="534" w:type="dxa"/>
          </w:tcPr>
          <w:p w14:paraId="632F13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168</w:t>
            </w:r>
          </w:p>
        </w:tc>
        <w:tc>
          <w:tcPr>
            <w:tcW w:w="1417" w:type="dxa"/>
          </w:tcPr>
          <w:p w14:paraId="2015BC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7CEBE3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Кассета двойная</w:t>
            </w:r>
          </w:p>
        </w:tc>
        <w:tc>
          <w:tcPr>
            <w:tcW w:w="992" w:type="dxa"/>
          </w:tcPr>
          <w:p w14:paraId="00851B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w:t>
            </w:r>
          </w:p>
        </w:tc>
      </w:tr>
      <w:tr w:rsidR="00983732" w:rsidRPr="00A3026E" w14:paraId="36F18619" w14:textId="77777777" w:rsidTr="00EA0DA7">
        <w:tc>
          <w:tcPr>
            <w:tcW w:w="534" w:type="dxa"/>
          </w:tcPr>
          <w:p w14:paraId="5F2AD3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169</w:t>
            </w:r>
          </w:p>
        </w:tc>
        <w:tc>
          <w:tcPr>
            <w:tcW w:w="1417" w:type="dxa"/>
          </w:tcPr>
          <w:p w14:paraId="08F868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3CBBC8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Метеорограф аэростатный</w:t>
            </w:r>
          </w:p>
        </w:tc>
        <w:tc>
          <w:tcPr>
            <w:tcW w:w="992" w:type="dxa"/>
          </w:tcPr>
          <w:p w14:paraId="0AFD6A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3900-00</w:t>
            </w:r>
          </w:p>
        </w:tc>
      </w:tr>
      <w:tr w:rsidR="00983732" w:rsidRPr="00A3026E" w14:paraId="4B45C3EA" w14:textId="77777777" w:rsidTr="00EA0DA7">
        <w:tc>
          <w:tcPr>
            <w:tcW w:w="534" w:type="dxa"/>
          </w:tcPr>
          <w:p w14:paraId="6AB249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1417" w:type="dxa"/>
          </w:tcPr>
          <w:p w14:paraId="54B959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659888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Термобарограф</w:t>
            </w:r>
          </w:p>
        </w:tc>
        <w:tc>
          <w:tcPr>
            <w:tcW w:w="992" w:type="dxa"/>
          </w:tcPr>
          <w:p w14:paraId="27B7A5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645-00</w:t>
            </w:r>
          </w:p>
        </w:tc>
      </w:tr>
      <w:tr w:rsidR="00983732" w:rsidRPr="00A3026E" w14:paraId="2D9C3E13" w14:textId="77777777" w:rsidTr="00EA0DA7">
        <w:tc>
          <w:tcPr>
            <w:tcW w:w="534" w:type="dxa"/>
          </w:tcPr>
          <w:p w14:paraId="4E79D0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171.</w:t>
            </w:r>
          </w:p>
        </w:tc>
        <w:tc>
          <w:tcPr>
            <w:tcW w:w="1417" w:type="dxa"/>
          </w:tcPr>
          <w:p w14:paraId="32393A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5887CA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Прибор Гарфа</w:t>
            </w:r>
          </w:p>
        </w:tc>
        <w:tc>
          <w:tcPr>
            <w:tcW w:w="992" w:type="dxa"/>
          </w:tcPr>
          <w:p w14:paraId="6C6303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1000-00</w:t>
            </w:r>
          </w:p>
        </w:tc>
      </w:tr>
      <w:tr w:rsidR="00983732" w:rsidRPr="00A3026E" w14:paraId="5B72FB63" w14:textId="77777777" w:rsidTr="00EA0DA7">
        <w:tc>
          <w:tcPr>
            <w:tcW w:w="534" w:type="dxa"/>
          </w:tcPr>
          <w:p w14:paraId="5E0637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w:t>
            </w:r>
          </w:p>
        </w:tc>
        <w:tc>
          <w:tcPr>
            <w:tcW w:w="1417" w:type="dxa"/>
          </w:tcPr>
          <w:p w14:paraId="2F9924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211069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Угломер квадрант</w:t>
            </w:r>
          </w:p>
        </w:tc>
        <w:tc>
          <w:tcPr>
            <w:tcW w:w="992" w:type="dxa"/>
          </w:tcPr>
          <w:p w14:paraId="0DA704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85-00</w:t>
            </w:r>
          </w:p>
        </w:tc>
      </w:tr>
      <w:tr w:rsidR="00983732" w:rsidRPr="00A3026E" w14:paraId="673543BE" w14:textId="77777777" w:rsidTr="00EA0DA7">
        <w:tc>
          <w:tcPr>
            <w:tcW w:w="534" w:type="dxa"/>
          </w:tcPr>
          <w:p w14:paraId="6522E2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173.</w:t>
            </w:r>
          </w:p>
        </w:tc>
        <w:tc>
          <w:tcPr>
            <w:tcW w:w="1417" w:type="dxa"/>
          </w:tcPr>
          <w:p w14:paraId="0645F0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44395B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Анемометр индукционный</w:t>
            </w:r>
          </w:p>
        </w:tc>
        <w:tc>
          <w:tcPr>
            <w:tcW w:w="992" w:type="dxa"/>
          </w:tcPr>
          <w:p w14:paraId="6787FE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350-00</w:t>
            </w:r>
          </w:p>
        </w:tc>
      </w:tr>
      <w:tr w:rsidR="00983732" w:rsidRPr="00A3026E" w14:paraId="577253A8" w14:textId="77777777" w:rsidTr="00EA0DA7">
        <w:tc>
          <w:tcPr>
            <w:tcW w:w="534" w:type="dxa"/>
          </w:tcPr>
          <w:p w14:paraId="0174BE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174.</w:t>
            </w:r>
          </w:p>
        </w:tc>
        <w:tc>
          <w:tcPr>
            <w:tcW w:w="1417" w:type="dxa"/>
          </w:tcPr>
          <w:p w14:paraId="76C471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693011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Специальный часовой механизм</w:t>
            </w:r>
          </w:p>
        </w:tc>
        <w:tc>
          <w:tcPr>
            <w:tcW w:w="992" w:type="dxa"/>
          </w:tcPr>
          <w:p w14:paraId="742F58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235-00</w:t>
            </w:r>
          </w:p>
        </w:tc>
      </w:tr>
      <w:tr w:rsidR="00983732" w:rsidRPr="00A3026E" w14:paraId="066FE1B2" w14:textId="77777777" w:rsidTr="00EA0DA7">
        <w:tc>
          <w:tcPr>
            <w:tcW w:w="534" w:type="dxa"/>
          </w:tcPr>
          <w:p w14:paraId="580047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1417" w:type="dxa"/>
          </w:tcPr>
          <w:p w14:paraId="1DC969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52D57E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Прибор для зондирования</w:t>
            </w:r>
          </w:p>
        </w:tc>
        <w:tc>
          <w:tcPr>
            <w:tcW w:w="992" w:type="dxa"/>
          </w:tcPr>
          <w:p w14:paraId="635D1E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8000-00</w:t>
            </w:r>
          </w:p>
        </w:tc>
      </w:tr>
      <w:tr w:rsidR="00983732" w:rsidRPr="00A3026E" w14:paraId="77A0E61A" w14:textId="77777777" w:rsidTr="00EA0DA7">
        <w:tc>
          <w:tcPr>
            <w:tcW w:w="534" w:type="dxa"/>
          </w:tcPr>
          <w:p w14:paraId="0D3218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176.</w:t>
            </w:r>
          </w:p>
        </w:tc>
        <w:tc>
          <w:tcPr>
            <w:tcW w:w="1417" w:type="dxa"/>
          </w:tcPr>
          <w:p w14:paraId="55D9E8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23AC1F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Самописец с корости</w:t>
            </w:r>
          </w:p>
        </w:tc>
        <w:tc>
          <w:tcPr>
            <w:tcW w:w="992" w:type="dxa"/>
          </w:tcPr>
          <w:p w14:paraId="1D3790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4500-00</w:t>
            </w:r>
          </w:p>
        </w:tc>
      </w:tr>
      <w:tr w:rsidR="00983732" w:rsidRPr="00A3026E" w14:paraId="5733BE72" w14:textId="77777777" w:rsidTr="00EA0DA7">
        <w:tc>
          <w:tcPr>
            <w:tcW w:w="534" w:type="dxa"/>
          </w:tcPr>
          <w:p w14:paraId="72A862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177.</w:t>
            </w:r>
          </w:p>
        </w:tc>
        <w:tc>
          <w:tcPr>
            <w:tcW w:w="1417" w:type="dxa"/>
          </w:tcPr>
          <w:p w14:paraId="40D456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2D12A5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Барограф высотописец в бакелитовом футляре</w:t>
            </w:r>
          </w:p>
        </w:tc>
        <w:tc>
          <w:tcPr>
            <w:tcW w:w="992" w:type="dxa"/>
          </w:tcPr>
          <w:p w14:paraId="3F5C68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2000-00</w:t>
            </w:r>
          </w:p>
        </w:tc>
      </w:tr>
      <w:tr w:rsidR="00983732" w:rsidRPr="00A3026E" w14:paraId="73E4A3FF" w14:textId="77777777" w:rsidTr="00EA0DA7">
        <w:tc>
          <w:tcPr>
            <w:tcW w:w="534" w:type="dxa"/>
          </w:tcPr>
          <w:p w14:paraId="771DF8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tc>
        <w:tc>
          <w:tcPr>
            <w:tcW w:w="1417" w:type="dxa"/>
          </w:tcPr>
          <w:p w14:paraId="53DDAA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8222" w:type="dxa"/>
          </w:tcPr>
          <w:p w14:paraId="79D78A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Самописец наддува</w:t>
            </w:r>
          </w:p>
        </w:tc>
        <w:tc>
          <w:tcPr>
            <w:tcW w:w="992" w:type="dxa"/>
          </w:tcPr>
          <w:p w14:paraId="5CF667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2000-00</w:t>
            </w:r>
          </w:p>
        </w:tc>
      </w:tr>
      <w:tr w:rsidR="00983732" w:rsidRPr="00A3026E" w14:paraId="7BF144E6" w14:textId="77777777" w:rsidTr="00EA0DA7">
        <w:tc>
          <w:tcPr>
            <w:tcW w:w="534" w:type="dxa"/>
          </w:tcPr>
          <w:p w14:paraId="257456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189.</w:t>
            </w:r>
          </w:p>
        </w:tc>
        <w:tc>
          <w:tcPr>
            <w:tcW w:w="1417" w:type="dxa"/>
          </w:tcPr>
          <w:p w14:paraId="7B39EA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8222" w:type="dxa"/>
          </w:tcPr>
          <w:p w14:paraId="77E11C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Электротермометр авиационный для ци</w:t>
            </w:r>
            <w:r w:rsidRPr="00A3026E">
              <w:rPr>
                <w:rFonts w:ascii="Times New Roman" w:hAnsi="Times New Roman"/>
                <w:color w:val="000000" w:themeColor="text1"/>
                <w:sz w:val="16"/>
                <w:szCs w:val="16"/>
              </w:rPr>
              <w:softHyphen/>
              <w:t>линдра мотора. Комплект из 1 гальва</w:t>
            </w:r>
            <w:r w:rsidRPr="00A3026E">
              <w:rPr>
                <w:rFonts w:ascii="Times New Roman" w:hAnsi="Times New Roman"/>
                <w:color w:val="000000" w:themeColor="text1"/>
                <w:sz w:val="16"/>
                <w:szCs w:val="16"/>
              </w:rPr>
              <w:softHyphen/>
              <w:t>нометра и 1 термопары хромелъкопелевой с длиной провода до 15 м.</w:t>
            </w:r>
          </w:p>
        </w:tc>
        <w:tc>
          <w:tcPr>
            <w:tcW w:w="992" w:type="dxa"/>
          </w:tcPr>
          <w:p w14:paraId="12199E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200-00</w:t>
            </w:r>
          </w:p>
        </w:tc>
      </w:tr>
      <w:tr w:rsidR="00983732" w:rsidRPr="00A3026E" w14:paraId="3CF69AC4" w14:textId="77777777" w:rsidTr="00EA0DA7">
        <w:tc>
          <w:tcPr>
            <w:tcW w:w="534" w:type="dxa"/>
          </w:tcPr>
          <w:p w14:paraId="71ED34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1417" w:type="dxa"/>
          </w:tcPr>
          <w:p w14:paraId="341613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8222" w:type="dxa"/>
          </w:tcPr>
          <w:p w14:paraId="4DF2C2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Термопара хромелъкопелевая к ТЦТ-51 с проводом до 15 м.</w:t>
            </w:r>
          </w:p>
        </w:tc>
        <w:tc>
          <w:tcPr>
            <w:tcW w:w="992" w:type="dxa"/>
          </w:tcPr>
          <w:p w14:paraId="751EE2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r>
      <w:tr w:rsidR="00983732" w:rsidRPr="00A3026E" w14:paraId="42C370C4" w14:textId="77777777" w:rsidTr="00EA0DA7">
        <w:tc>
          <w:tcPr>
            <w:tcW w:w="534" w:type="dxa"/>
          </w:tcPr>
          <w:p w14:paraId="5B9C14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181.</w:t>
            </w:r>
          </w:p>
        </w:tc>
        <w:tc>
          <w:tcPr>
            <w:tcW w:w="1417" w:type="dxa"/>
          </w:tcPr>
          <w:p w14:paraId="0DBC7E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8222" w:type="dxa"/>
          </w:tcPr>
          <w:p w14:paraId="1343E4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Термопара хромелькопелевая к ТЦТ-5 без провода</w:t>
            </w:r>
          </w:p>
        </w:tc>
        <w:tc>
          <w:tcPr>
            <w:tcW w:w="992" w:type="dxa"/>
          </w:tcPr>
          <w:p w14:paraId="2EB3CC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r>
      <w:tr w:rsidR="00983732" w:rsidRPr="00A3026E" w14:paraId="5AEC8E93" w14:textId="77777777" w:rsidTr="00EA0DA7">
        <w:tc>
          <w:tcPr>
            <w:tcW w:w="534" w:type="dxa"/>
          </w:tcPr>
          <w:p w14:paraId="5EC9E8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182.</w:t>
            </w:r>
          </w:p>
        </w:tc>
        <w:tc>
          <w:tcPr>
            <w:tcW w:w="1417" w:type="dxa"/>
          </w:tcPr>
          <w:p w14:paraId="02F57D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8222" w:type="dxa"/>
          </w:tcPr>
          <w:p w14:paraId="1ECB67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Электротермометр авиационный для масла и воды. Комплект.из 1 гальвано</w:t>
            </w:r>
            <w:r w:rsidRPr="00A3026E">
              <w:rPr>
                <w:rFonts w:ascii="Times New Roman" w:hAnsi="Times New Roman"/>
                <w:color w:val="000000" w:themeColor="text1"/>
                <w:sz w:val="16"/>
                <w:szCs w:val="16"/>
              </w:rPr>
              <w:softHyphen/>
              <w:t>метра и 1 термометра сопротивления</w:t>
            </w:r>
          </w:p>
        </w:tc>
        <w:tc>
          <w:tcPr>
            <w:tcW w:w="992" w:type="dxa"/>
          </w:tcPr>
          <w:p w14:paraId="7C5B70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200-00</w:t>
            </w:r>
          </w:p>
        </w:tc>
      </w:tr>
      <w:tr w:rsidR="00983732" w:rsidRPr="00A3026E" w14:paraId="057C5545" w14:textId="77777777" w:rsidTr="00EA0DA7">
        <w:tc>
          <w:tcPr>
            <w:tcW w:w="534" w:type="dxa"/>
          </w:tcPr>
          <w:p w14:paraId="402677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w:t>
            </w:r>
          </w:p>
        </w:tc>
        <w:tc>
          <w:tcPr>
            <w:tcW w:w="1417" w:type="dxa"/>
          </w:tcPr>
          <w:p w14:paraId="1ED056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8222" w:type="dxa"/>
          </w:tcPr>
          <w:p w14:paraId="398641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Злектротермометр авиационный для воз</w:t>
            </w:r>
            <w:r w:rsidRPr="00A3026E">
              <w:rPr>
                <w:rFonts w:ascii="Times New Roman" w:hAnsi="Times New Roman"/>
                <w:color w:val="000000" w:themeColor="text1"/>
                <w:sz w:val="16"/>
                <w:szCs w:val="16"/>
              </w:rPr>
              <w:softHyphen/>
              <w:t>духа. Комплект из 1 гальванометра и 1 термометра сопротивления</w:t>
            </w:r>
          </w:p>
        </w:tc>
        <w:tc>
          <w:tcPr>
            <w:tcW w:w="992" w:type="dxa"/>
          </w:tcPr>
          <w:p w14:paraId="6E9281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200-00</w:t>
            </w:r>
          </w:p>
        </w:tc>
      </w:tr>
      <w:tr w:rsidR="00983732" w:rsidRPr="00A3026E" w14:paraId="595C991F" w14:textId="77777777" w:rsidTr="00EA0DA7">
        <w:tc>
          <w:tcPr>
            <w:tcW w:w="534" w:type="dxa"/>
          </w:tcPr>
          <w:p w14:paraId="0DDFF8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184.</w:t>
            </w:r>
          </w:p>
        </w:tc>
        <w:tc>
          <w:tcPr>
            <w:tcW w:w="1417" w:type="dxa"/>
          </w:tcPr>
          <w:p w14:paraId="6455EE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8222" w:type="dxa"/>
          </w:tcPr>
          <w:p w14:paraId="4FA7E8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Электротехзмометр авиационный для кар</w:t>
            </w:r>
            <w:r w:rsidRPr="00A3026E">
              <w:rPr>
                <w:rFonts w:ascii="Times New Roman" w:hAnsi="Times New Roman"/>
                <w:color w:val="000000" w:themeColor="text1"/>
                <w:sz w:val="16"/>
                <w:szCs w:val="16"/>
              </w:rPr>
              <w:softHyphen/>
              <w:t>бюратора. Комплект из 1 гальванометра и 1 термометра сопротивления</w:t>
            </w:r>
          </w:p>
        </w:tc>
        <w:tc>
          <w:tcPr>
            <w:tcW w:w="992" w:type="dxa"/>
          </w:tcPr>
          <w:p w14:paraId="779991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200-00</w:t>
            </w:r>
          </w:p>
        </w:tc>
      </w:tr>
      <w:tr w:rsidR="00983732" w:rsidRPr="00A3026E" w14:paraId="50454A96" w14:textId="77777777" w:rsidTr="00EA0DA7">
        <w:tc>
          <w:tcPr>
            <w:tcW w:w="534" w:type="dxa"/>
          </w:tcPr>
          <w:p w14:paraId="506B18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w:t>
            </w:r>
          </w:p>
        </w:tc>
        <w:tc>
          <w:tcPr>
            <w:tcW w:w="1417" w:type="dxa"/>
          </w:tcPr>
          <w:p w14:paraId="378FF3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8222" w:type="dxa"/>
          </w:tcPr>
          <w:p w14:paraId="288BB1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Термометр сопротивления с неразъемным штуцером</w:t>
            </w:r>
          </w:p>
        </w:tc>
        <w:tc>
          <w:tcPr>
            <w:tcW w:w="992" w:type="dxa"/>
          </w:tcPr>
          <w:p w14:paraId="12187B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26-00</w:t>
            </w:r>
          </w:p>
        </w:tc>
      </w:tr>
      <w:tr w:rsidR="00983732" w:rsidRPr="00A3026E" w14:paraId="19094FFF" w14:textId="77777777" w:rsidTr="00EA0DA7">
        <w:tc>
          <w:tcPr>
            <w:tcW w:w="534" w:type="dxa"/>
          </w:tcPr>
          <w:p w14:paraId="0D4B4B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186.</w:t>
            </w:r>
          </w:p>
        </w:tc>
        <w:tc>
          <w:tcPr>
            <w:tcW w:w="1417" w:type="dxa"/>
          </w:tcPr>
          <w:p w14:paraId="1CA927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8222" w:type="dxa"/>
          </w:tcPr>
          <w:p w14:paraId="205AAD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Хордоугломер в футляре с набором.</w:t>
            </w:r>
          </w:p>
        </w:tc>
        <w:tc>
          <w:tcPr>
            <w:tcW w:w="992" w:type="dxa"/>
          </w:tcPr>
          <w:p w14:paraId="51B49D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19-50</w:t>
            </w:r>
          </w:p>
        </w:tc>
      </w:tr>
      <w:tr w:rsidR="00983732" w:rsidRPr="00A3026E" w14:paraId="09EB90A0" w14:textId="77777777" w:rsidTr="00EA0DA7">
        <w:tc>
          <w:tcPr>
            <w:tcW w:w="534" w:type="dxa"/>
          </w:tcPr>
          <w:p w14:paraId="154EAF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187.</w:t>
            </w:r>
          </w:p>
        </w:tc>
        <w:tc>
          <w:tcPr>
            <w:tcW w:w="1417" w:type="dxa"/>
          </w:tcPr>
          <w:p w14:paraId="06BCD2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8222" w:type="dxa"/>
          </w:tcPr>
          <w:p w14:paraId="14F2BA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Хордоугломер без футляра и без набора</w:t>
            </w:r>
          </w:p>
        </w:tc>
        <w:tc>
          <w:tcPr>
            <w:tcW w:w="992" w:type="dxa"/>
          </w:tcPr>
          <w:p w14:paraId="3EE247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tc>
      </w:tr>
      <w:tr w:rsidR="00983732" w:rsidRPr="00A3026E" w14:paraId="526EF2B0" w14:textId="77777777" w:rsidTr="00EA0DA7">
        <w:tc>
          <w:tcPr>
            <w:tcW w:w="534" w:type="dxa"/>
          </w:tcPr>
          <w:p w14:paraId="2D180B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188.</w:t>
            </w:r>
          </w:p>
        </w:tc>
        <w:tc>
          <w:tcPr>
            <w:tcW w:w="1417" w:type="dxa"/>
          </w:tcPr>
          <w:p w14:paraId="0E7C96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8222" w:type="dxa"/>
          </w:tcPr>
          <w:p w14:paraId="5CADE2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Гальванометр для альфанетра ГЭА-50 завода № 278</w:t>
            </w:r>
          </w:p>
        </w:tc>
        <w:tc>
          <w:tcPr>
            <w:tcW w:w="992" w:type="dxa"/>
          </w:tcPr>
          <w:p w14:paraId="15D975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185-00</w:t>
            </w:r>
          </w:p>
        </w:tc>
      </w:tr>
      <w:tr w:rsidR="00983732" w:rsidRPr="00A3026E" w14:paraId="3E603CB1" w14:textId="77777777" w:rsidTr="00EA0DA7">
        <w:tc>
          <w:tcPr>
            <w:tcW w:w="534" w:type="dxa"/>
          </w:tcPr>
          <w:p w14:paraId="05612E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189.</w:t>
            </w:r>
          </w:p>
        </w:tc>
        <w:tc>
          <w:tcPr>
            <w:tcW w:w="1417" w:type="dxa"/>
          </w:tcPr>
          <w:p w14:paraId="7C38C8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8222" w:type="dxa"/>
          </w:tcPr>
          <w:p w14:paraId="297E77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Термометр сопртивления с раз"емным штуцером.</w:t>
            </w:r>
          </w:p>
        </w:tc>
        <w:tc>
          <w:tcPr>
            <w:tcW w:w="992" w:type="dxa"/>
          </w:tcPr>
          <w:p w14:paraId="73C742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r>
      <w:tr w:rsidR="00983732" w:rsidRPr="00A3026E" w14:paraId="40E0878E" w14:textId="77777777" w:rsidTr="00EA0DA7">
        <w:tc>
          <w:tcPr>
            <w:tcW w:w="534" w:type="dxa"/>
          </w:tcPr>
          <w:p w14:paraId="0D0539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w:t>
            </w:r>
          </w:p>
        </w:tc>
        <w:tc>
          <w:tcPr>
            <w:tcW w:w="1417" w:type="dxa"/>
          </w:tcPr>
          <w:p w14:paraId="1C699C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8222" w:type="dxa"/>
          </w:tcPr>
          <w:p w14:paraId="1AA5EE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Элемент сопртивления для термометра (пакет)</w:t>
            </w:r>
          </w:p>
        </w:tc>
        <w:tc>
          <w:tcPr>
            <w:tcW w:w="992" w:type="dxa"/>
          </w:tcPr>
          <w:p w14:paraId="6AB51B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39CE501C" w14:textId="77777777" w:rsidTr="00EA0DA7">
        <w:tc>
          <w:tcPr>
            <w:tcW w:w="534" w:type="dxa"/>
          </w:tcPr>
          <w:p w14:paraId="00BD36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191.</w:t>
            </w:r>
          </w:p>
        </w:tc>
        <w:tc>
          <w:tcPr>
            <w:tcW w:w="1417" w:type="dxa"/>
          </w:tcPr>
          <w:p w14:paraId="75D6B2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8222" w:type="dxa"/>
          </w:tcPr>
          <w:p w14:paraId="488417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Тахометр электрический переменного тока</w:t>
            </w:r>
          </w:p>
        </w:tc>
        <w:tc>
          <w:tcPr>
            <w:tcW w:w="992" w:type="dxa"/>
          </w:tcPr>
          <w:p w14:paraId="0E7857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1700-00</w:t>
            </w:r>
          </w:p>
        </w:tc>
      </w:tr>
      <w:tr w:rsidR="00983732" w:rsidRPr="00A3026E" w14:paraId="4041F7F7" w14:textId="77777777" w:rsidTr="00EA0DA7">
        <w:tc>
          <w:tcPr>
            <w:tcW w:w="534" w:type="dxa"/>
          </w:tcPr>
          <w:p w14:paraId="3AE411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w:t>
            </w:r>
          </w:p>
        </w:tc>
        <w:tc>
          <w:tcPr>
            <w:tcW w:w="1417" w:type="dxa"/>
          </w:tcPr>
          <w:p w14:paraId="5A8C82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278</w:t>
            </w:r>
          </w:p>
        </w:tc>
        <w:tc>
          <w:tcPr>
            <w:tcW w:w="8222" w:type="dxa"/>
          </w:tcPr>
          <w:p w14:paraId="5B7181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Газоанализатор электрический авиацион</w:t>
            </w:r>
            <w:r w:rsidRPr="00A3026E">
              <w:rPr>
                <w:rFonts w:ascii="Times New Roman" w:hAnsi="Times New Roman"/>
                <w:color w:val="000000" w:themeColor="text1"/>
                <w:sz w:val="16"/>
                <w:szCs w:val="16"/>
              </w:rPr>
              <w:softHyphen/>
              <w:t>ный (альфаметр)</w:t>
            </w:r>
          </w:p>
        </w:tc>
        <w:tc>
          <w:tcPr>
            <w:tcW w:w="992" w:type="dxa"/>
          </w:tcPr>
          <w:p w14:paraId="2C7284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680-00</w:t>
            </w:r>
          </w:p>
        </w:tc>
      </w:tr>
      <w:tr w:rsidR="00983732" w:rsidRPr="00A3026E" w14:paraId="34BE297C" w14:textId="77777777" w:rsidTr="00EA0DA7">
        <w:tc>
          <w:tcPr>
            <w:tcW w:w="534" w:type="dxa"/>
          </w:tcPr>
          <w:p w14:paraId="3DD28C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w:t>
            </w:r>
          </w:p>
        </w:tc>
        <w:tc>
          <w:tcPr>
            <w:tcW w:w="1417" w:type="dxa"/>
          </w:tcPr>
          <w:p w14:paraId="51651F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278</w:t>
            </w:r>
          </w:p>
        </w:tc>
        <w:tc>
          <w:tcPr>
            <w:tcW w:w="8222" w:type="dxa"/>
          </w:tcPr>
          <w:p w14:paraId="2F7789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Газоанализатор электрический судовой</w:t>
            </w:r>
          </w:p>
        </w:tc>
        <w:tc>
          <w:tcPr>
            <w:tcW w:w="992" w:type="dxa"/>
          </w:tcPr>
          <w:p w14:paraId="17D3D5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875-00</w:t>
            </w:r>
          </w:p>
        </w:tc>
      </w:tr>
      <w:tr w:rsidR="00983732" w:rsidRPr="00A3026E" w14:paraId="5913EB6C" w14:textId="77777777" w:rsidTr="00EA0DA7">
        <w:tc>
          <w:tcPr>
            <w:tcW w:w="534" w:type="dxa"/>
          </w:tcPr>
          <w:p w14:paraId="7E4A58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w:t>
            </w:r>
          </w:p>
        </w:tc>
        <w:tc>
          <w:tcPr>
            <w:tcW w:w="1417" w:type="dxa"/>
          </w:tcPr>
          <w:p w14:paraId="0527B5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278</w:t>
            </w:r>
          </w:p>
        </w:tc>
        <w:tc>
          <w:tcPr>
            <w:tcW w:w="8222" w:type="dxa"/>
          </w:tcPr>
          <w:p w14:paraId="5F6FFE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Газоанализатор-электрический авиацион</w:t>
            </w:r>
            <w:r w:rsidRPr="00A3026E">
              <w:rPr>
                <w:rFonts w:ascii="Times New Roman" w:hAnsi="Times New Roman"/>
                <w:color w:val="000000" w:themeColor="text1"/>
                <w:sz w:val="16"/>
                <w:szCs w:val="16"/>
              </w:rPr>
              <w:softHyphen/>
              <w:t>ный (альфаметр) новой конструкции</w:t>
            </w:r>
          </w:p>
        </w:tc>
        <w:tc>
          <w:tcPr>
            <w:tcW w:w="992" w:type="dxa"/>
          </w:tcPr>
          <w:p w14:paraId="668D62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830-00</w:t>
            </w:r>
          </w:p>
        </w:tc>
      </w:tr>
      <w:tr w:rsidR="00983732" w:rsidRPr="00A3026E" w14:paraId="184BD022" w14:textId="77777777" w:rsidTr="00EA0DA7">
        <w:tc>
          <w:tcPr>
            <w:tcW w:w="534" w:type="dxa"/>
          </w:tcPr>
          <w:p w14:paraId="6C3B7A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195.</w:t>
            </w:r>
          </w:p>
        </w:tc>
        <w:tc>
          <w:tcPr>
            <w:tcW w:w="1417" w:type="dxa"/>
          </w:tcPr>
          <w:p w14:paraId="40E032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278</w:t>
            </w:r>
          </w:p>
        </w:tc>
        <w:tc>
          <w:tcPr>
            <w:tcW w:w="8222" w:type="dxa"/>
          </w:tcPr>
          <w:p w14:paraId="73F949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Газоанализатор электрический судовой</w:t>
            </w:r>
          </w:p>
        </w:tc>
        <w:tc>
          <w:tcPr>
            <w:tcW w:w="992" w:type="dxa"/>
          </w:tcPr>
          <w:p w14:paraId="3D8AFE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4000-00</w:t>
            </w:r>
          </w:p>
        </w:tc>
      </w:tr>
      <w:tr w:rsidR="00983732" w:rsidRPr="00A3026E" w14:paraId="4BA28324" w14:textId="77777777" w:rsidTr="00EA0DA7">
        <w:tc>
          <w:tcPr>
            <w:tcW w:w="534" w:type="dxa"/>
          </w:tcPr>
          <w:p w14:paraId="2F7C66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196.</w:t>
            </w:r>
          </w:p>
        </w:tc>
        <w:tc>
          <w:tcPr>
            <w:tcW w:w="1417" w:type="dxa"/>
          </w:tcPr>
          <w:p w14:paraId="526B33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Точизмеритель</w:t>
            </w:r>
          </w:p>
        </w:tc>
        <w:tc>
          <w:tcPr>
            <w:tcW w:w="8222" w:type="dxa"/>
          </w:tcPr>
          <w:p w14:paraId="75ABA9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Термометр батарейный в деревянном фут</w:t>
            </w:r>
            <w:r w:rsidRPr="00A3026E">
              <w:rPr>
                <w:rFonts w:ascii="Times New Roman" w:hAnsi="Times New Roman"/>
                <w:color w:val="000000" w:themeColor="text1"/>
                <w:sz w:val="16"/>
                <w:szCs w:val="16"/>
              </w:rPr>
              <w:softHyphen/>
              <w:t>ляре. Комплект из 1 термометра в ла</w:t>
            </w:r>
            <w:r w:rsidRPr="00A3026E">
              <w:rPr>
                <w:rFonts w:ascii="Times New Roman" w:hAnsi="Times New Roman"/>
                <w:color w:val="000000" w:themeColor="text1"/>
                <w:sz w:val="16"/>
                <w:szCs w:val="16"/>
              </w:rPr>
              <w:softHyphen/>
              <w:t>тунной оправе и 1 термометра без оп</w:t>
            </w:r>
            <w:r w:rsidRPr="00A3026E">
              <w:rPr>
                <w:rFonts w:ascii="Times New Roman" w:hAnsi="Times New Roman"/>
                <w:color w:val="000000" w:themeColor="text1"/>
                <w:sz w:val="16"/>
                <w:szCs w:val="16"/>
              </w:rPr>
              <w:softHyphen/>
              <w:t>равы.</w:t>
            </w:r>
          </w:p>
        </w:tc>
        <w:tc>
          <w:tcPr>
            <w:tcW w:w="992" w:type="dxa"/>
          </w:tcPr>
          <w:p w14:paraId="558432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w:t>
            </w:r>
          </w:p>
        </w:tc>
      </w:tr>
      <w:tr w:rsidR="00983732" w:rsidRPr="00A3026E" w14:paraId="7A37542D" w14:textId="77777777" w:rsidTr="00EA0DA7">
        <w:tc>
          <w:tcPr>
            <w:tcW w:w="534" w:type="dxa"/>
          </w:tcPr>
          <w:p w14:paraId="348DDC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197.</w:t>
            </w:r>
          </w:p>
        </w:tc>
        <w:tc>
          <w:tcPr>
            <w:tcW w:w="1417" w:type="dxa"/>
          </w:tcPr>
          <w:p w14:paraId="4142FF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Точизмеритель</w:t>
            </w:r>
          </w:p>
        </w:tc>
        <w:tc>
          <w:tcPr>
            <w:tcW w:w="8222" w:type="dxa"/>
          </w:tcPr>
          <w:p w14:paraId="424956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Термометр батарейный без футляра</w:t>
            </w:r>
          </w:p>
        </w:tc>
        <w:tc>
          <w:tcPr>
            <w:tcW w:w="992" w:type="dxa"/>
          </w:tcPr>
          <w:p w14:paraId="128102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w:t>
            </w:r>
          </w:p>
        </w:tc>
      </w:tr>
      <w:tr w:rsidR="00983732" w:rsidRPr="00A3026E" w14:paraId="264BEC16" w14:textId="77777777" w:rsidTr="00EA0DA7">
        <w:tc>
          <w:tcPr>
            <w:tcW w:w="534" w:type="dxa"/>
          </w:tcPr>
          <w:p w14:paraId="37A544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198.</w:t>
            </w:r>
          </w:p>
        </w:tc>
        <w:tc>
          <w:tcPr>
            <w:tcW w:w="1417" w:type="dxa"/>
          </w:tcPr>
          <w:p w14:paraId="5A4D29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Точизмеритель</w:t>
            </w:r>
          </w:p>
        </w:tc>
        <w:tc>
          <w:tcPr>
            <w:tcW w:w="8222" w:type="dxa"/>
          </w:tcPr>
          <w:p w14:paraId="5D2E2F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Прибор для проверки указателя скорости</w:t>
            </w:r>
          </w:p>
        </w:tc>
        <w:tc>
          <w:tcPr>
            <w:tcW w:w="992" w:type="dxa"/>
          </w:tcPr>
          <w:p w14:paraId="4FD480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65-00</w:t>
            </w:r>
          </w:p>
        </w:tc>
      </w:tr>
      <w:tr w:rsidR="00983732" w:rsidRPr="00A3026E" w14:paraId="70416795" w14:textId="77777777" w:rsidTr="00EA0DA7">
        <w:tc>
          <w:tcPr>
            <w:tcW w:w="534" w:type="dxa"/>
          </w:tcPr>
          <w:p w14:paraId="49ACCC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199.</w:t>
            </w:r>
          </w:p>
        </w:tc>
        <w:tc>
          <w:tcPr>
            <w:tcW w:w="1417" w:type="dxa"/>
          </w:tcPr>
          <w:p w14:paraId="051EDF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Точизмеритель</w:t>
            </w:r>
          </w:p>
        </w:tc>
        <w:tc>
          <w:tcPr>
            <w:tcW w:w="8222" w:type="dxa"/>
          </w:tcPr>
          <w:p w14:paraId="0C7329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Дифферентометр</w:t>
            </w:r>
          </w:p>
        </w:tc>
        <w:tc>
          <w:tcPr>
            <w:tcW w:w="992" w:type="dxa"/>
          </w:tcPr>
          <w:p w14:paraId="391831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116-00</w:t>
            </w:r>
          </w:p>
        </w:tc>
      </w:tr>
      <w:tr w:rsidR="00983732" w:rsidRPr="00A3026E" w14:paraId="2F8E2F8E" w14:textId="77777777" w:rsidTr="00EA0DA7">
        <w:tc>
          <w:tcPr>
            <w:tcW w:w="534" w:type="dxa"/>
          </w:tcPr>
          <w:p w14:paraId="182FA8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417" w:type="dxa"/>
          </w:tcPr>
          <w:p w14:paraId="775979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Точизмеритель</w:t>
            </w:r>
          </w:p>
        </w:tc>
        <w:tc>
          <w:tcPr>
            <w:tcW w:w="8222" w:type="dxa"/>
          </w:tcPr>
          <w:p w14:paraId="3E8D8B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Термометр для прибора Гарфа з-да № 224</w:t>
            </w:r>
          </w:p>
        </w:tc>
        <w:tc>
          <w:tcPr>
            <w:tcW w:w="992" w:type="dxa"/>
          </w:tcPr>
          <w:p w14:paraId="572132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r>
      <w:tr w:rsidR="00983732" w:rsidRPr="00A3026E" w14:paraId="72038389" w14:textId="77777777" w:rsidTr="00EA0DA7">
        <w:tc>
          <w:tcPr>
            <w:tcW w:w="534" w:type="dxa"/>
          </w:tcPr>
          <w:p w14:paraId="7CC31A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201.</w:t>
            </w:r>
          </w:p>
        </w:tc>
        <w:tc>
          <w:tcPr>
            <w:tcW w:w="1417" w:type="dxa"/>
          </w:tcPr>
          <w:p w14:paraId="63D0F8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Точизмеритель</w:t>
            </w:r>
          </w:p>
        </w:tc>
        <w:tc>
          <w:tcPr>
            <w:tcW w:w="8222" w:type="dxa"/>
          </w:tcPr>
          <w:p w14:paraId="62DB69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Креноскоп для указателя поворота з-да № 214</w:t>
            </w:r>
          </w:p>
        </w:tc>
        <w:tc>
          <w:tcPr>
            <w:tcW w:w="992" w:type="dxa"/>
          </w:tcPr>
          <w:p w14:paraId="1673C2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517D1781" w14:textId="77777777" w:rsidTr="00EA0DA7">
        <w:tc>
          <w:tcPr>
            <w:tcW w:w="534" w:type="dxa"/>
          </w:tcPr>
          <w:p w14:paraId="0BDA10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w:t>
            </w:r>
          </w:p>
        </w:tc>
        <w:tc>
          <w:tcPr>
            <w:tcW w:w="1417" w:type="dxa"/>
          </w:tcPr>
          <w:p w14:paraId="47BE00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Точизмеритель</w:t>
            </w:r>
          </w:p>
        </w:tc>
        <w:tc>
          <w:tcPr>
            <w:tcW w:w="8222" w:type="dxa"/>
          </w:tcPr>
          <w:p w14:paraId="5F32B2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Сосуд Дюара для вариометра завода № 213</w:t>
            </w:r>
          </w:p>
        </w:tc>
        <w:tc>
          <w:tcPr>
            <w:tcW w:w="992" w:type="dxa"/>
          </w:tcPr>
          <w:p w14:paraId="36ED87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3978BD75" w14:textId="77777777" w:rsidTr="00EA0DA7">
        <w:tc>
          <w:tcPr>
            <w:tcW w:w="534" w:type="dxa"/>
          </w:tcPr>
          <w:p w14:paraId="46FB92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203.</w:t>
            </w:r>
          </w:p>
        </w:tc>
        <w:tc>
          <w:tcPr>
            <w:tcW w:w="1417" w:type="dxa"/>
          </w:tcPr>
          <w:p w14:paraId="3C2C01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Точизмеритель</w:t>
            </w:r>
          </w:p>
        </w:tc>
        <w:tc>
          <w:tcPr>
            <w:tcW w:w="8222" w:type="dxa"/>
          </w:tcPr>
          <w:p w14:paraId="7F318A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Уровень для угломера- квадранта завода № 224</w:t>
            </w:r>
          </w:p>
        </w:tc>
        <w:tc>
          <w:tcPr>
            <w:tcW w:w="992" w:type="dxa"/>
          </w:tcPr>
          <w:p w14:paraId="2A9BE3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0-40</w:t>
            </w:r>
          </w:p>
        </w:tc>
      </w:tr>
      <w:tr w:rsidR="00983732" w:rsidRPr="00A3026E" w14:paraId="360818CA" w14:textId="77777777" w:rsidTr="00EA0DA7">
        <w:tc>
          <w:tcPr>
            <w:tcW w:w="534" w:type="dxa"/>
            <w:tcBorders>
              <w:bottom w:val="single" w:sz="12" w:space="0" w:color="auto"/>
            </w:tcBorders>
          </w:tcPr>
          <w:p w14:paraId="6808F1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204.</w:t>
            </w:r>
          </w:p>
        </w:tc>
        <w:tc>
          <w:tcPr>
            <w:tcW w:w="1417" w:type="dxa"/>
            <w:tcBorders>
              <w:bottom w:val="single" w:sz="12" w:space="0" w:color="auto"/>
            </w:tcBorders>
          </w:tcPr>
          <w:p w14:paraId="3A30CC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Точизмеритель</w:t>
            </w:r>
          </w:p>
        </w:tc>
        <w:tc>
          <w:tcPr>
            <w:tcW w:w="8222" w:type="dxa"/>
            <w:tcBorders>
              <w:bottom w:val="single" w:sz="12" w:space="0" w:color="auto"/>
            </w:tcBorders>
          </w:tcPr>
          <w:p w14:paraId="7D2B60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Уровень для ветромера завода № 224</w:t>
            </w:r>
          </w:p>
        </w:tc>
        <w:tc>
          <w:tcPr>
            <w:tcW w:w="992" w:type="dxa"/>
            <w:tcBorders>
              <w:bottom w:val="single" w:sz="12" w:space="0" w:color="auto"/>
            </w:tcBorders>
          </w:tcPr>
          <w:p w14:paraId="04185F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0-40</w:t>
            </w:r>
          </w:p>
        </w:tc>
      </w:tr>
    </w:tbl>
    <w:p w14:paraId="6FABD6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 1. Отпускные цены определены франко-склад заво</w:t>
      </w:r>
      <w:r w:rsidRPr="00A3026E">
        <w:rPr>
          <w:rFonts w:ascii="Times New Roman" w:hAnsi="Times New Roman"/>
          <w:color w:val="000000" w:themeColor="text1"/>
          <w:sz w:val="16"/>
          <w:szCs w:val="16"/>
        </w:rPr>
        <w:softHyphen/>
        <w:t>да-изготовителя.</w:t>
      </w:r>
    </w:p>
    <w:p w14:paraId="2E4719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Стоимость упаковки,специальной тары и одиноч</w:t>
      </w:r>
      <w:r w:rsidRPr="00A3026E">
        <w:rPr>
          <w:rFonts w:ascii="Times New Roman" w:hAnsi="Times New Roman"/>
          <w:color w:val="000000" w:themeColor="text1"/>
          <w:sz w:val="16"/>
          <w:szCs w:val="16"/>
        </w:rPr>
        <w:softHyphen/>
        <w:t>ного комплекта предусмотренных техническими условиями запчастей к изделию включена в отпускную цену изделия.</w:t>
      </w:r>
    </w:p>
    <w:p w14:paraId="78993D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перечисленных выше отпускных ценах преду</w:t>
      </w:r>
      <w:r w:rsidRPr="00A3026E">
        <w:rPr>
          <w:rFonts w:ascii="Times New Roman" w:hAnsi="Times New Roman"/>
          <w:color w:val="000000" w:themeColor="text1"/>
          <w:sz w:val="16"/>
          <w:szCs w:val="16"/>
        </w:rPr>
        <w:softHyphen/>
        <w:t>смотрено удорожание черных металлов на 1.1.1940.года.</w:t>
      </w:r>
    </w:p>
    <w:p w14:paraId="29CAC4F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2F26D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(282,58).</w:t>
      </w:r>
    </w:p>
    <w:p w14:paraId="0958FB3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5A9722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08DE6F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EE34C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г. вышло ПРИКАЗАНИЕ НАЧАЛЬНИКА ГАБТУ НАЧАЛЬНИКУ НИ АБТ ПОЛИГОНА О ПОДГОТОВКЕ ПРОБЕГА ТАНКА Т-34 № 76309</w:t>
      </w:r>
    </w:p>
    <w:p w14:paraId="10E98E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ГАБТУ генерал-лейтенант танковых войск т. Федоренко приказал назначить пробег трех танков Т-34 на 3000 км.</w:t>
      </w:r>
    </w:p>
    <w:p w14:paraId="6B030C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пробега — выявление боевых качеств танка боевыми стрельбами на фоне решения такти</w:t>
      </w:r>
      <w:r w:rsidRPr="00A3026E">
        <w:rPr>
          <w:rFonts w:ascii="Times New Roman" w:hAnsi="Times New Roman"/>
          <w:color w:val="000000" w:themeColor="text1"/>
          <w:sz w:val="16"/>
          <w:szCs w:val="16"/>
        </w:rPr>
        <w:softHyphen/>
        <w:t>ческих задач.</w:t>
      </w:r>
    </w:p>
    <w:p w14:paraId="6F1404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Вам надлежит разработать маршрут, график, расчет матчасти, обеспечение и руководство. Во</w:t>
      </w:r>
      <w:r w:rsidRPr="00A3026E">
        <w:rPr>
          <w:rFonts w:ascii="Times New Roman" w:hAnsi="Times New Roman"/>
          <w:color w:val="000000" w:themeColor="text1"/>
          <w:sz w:val="16"/>
          <w:szCs w:val="16"/>
        </w:rPr>
        <w:softHyphen/>
        <w:t>дительский состав будет выделен из частей.</w:t>
      </w:r>
    </w:p>
    <w:p w14:paraId="6E0E5C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представления материалов 18 сентября сего года.</w:t>
      </w:r>
    </w:p>
    <w:p w14:paraId="37FBC6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Начало пробега 25 сентября сего года.</w:t>
      </w:r>
    </w:p>
    <w:p w14:paraId="510BD8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начальника Главного автобронетанкового управления генерал-майор технических войск Лебедев</w:t>
      </w:r>
    </w:p>
    <w:p w14:paraId="4E7215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1181. Л. 246. Подлинник (11210).</w:t>
      </w:r>
    </w:p>
    <w:p w14:paraId="09B9AF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393B2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года начальник ГАБТУ КА генерал-лейтенант Федоренко приказал провести испытание пробегом трех танков Т-34 на 3000 км: «Цель пробега - выявление боевых качеств танка боевыми стрельбами на фоне решения тактических задач». Начать пробег планировалось 25 сентября, его подготовку поручили начальнику НИБТ полигона полковнику Романову.</w:t>
      </w:r>
    </w:p>
    <w:p w14:paraId="4441C0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проведения этого мероприятия разработали программу испытаний по маршруту Харьков - Москва - Могилев - Гомель - Киев - Харьков. Из 3000 км предусматривалось 1000 км пройти по шоссе, а остальное — по проселочным дорогам и бездорожью, причем 30% общего километража надлежало пройти в ночное время, а 20% километража по проселку и бездорожью (400 км) - в боевом положении (с закрытыми люками).</w:t>
      </w:r>
    </w:p>
    <w:p w14:paraId="297EC3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Порядок проведения испытаний определялся следующий:</w:t>
      </w:r>
    </w:p>
    <w:p w14:paraId="7F0D93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Приемка машин от военпреда завода и проверка готовности танков к испытаниям. Производится приуча- стии специалистов по вооружению и связи.</w:t>
      </w:r>
    </w:p>
    <w:p w14:paraId="46ECF8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Семидневный марш с дневкой после первых трех дней (общий километраж 910 км, из них 320 км по шоссе и 590 км по фунтовым дорогами и бездорожью).</w:t>
      </w:r>
    </w:p>
    <w:p w14:paraId="0BF86B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Стрельба с решением тактической задачи. Испытание средств связи. Преодоление естественных и искусственных препятствий.</w:t>
      </w:r>
    </w:p>
    <w:p w14:paraId="545022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Восьмидневный марш с дневкой после четырех дней (общий километраж 1060 км, из них 510 км по шоссе и 550 по грунтовым дорогам, и бездорожью).</w:t>
      </w:r>
    </w:p>
    <w:p w14:paraId="21551B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Стрельба с решением тактической задачи. Испытание средств связи.</w:t>
      </w:r>
    </w:p>
    <w:p w14:paraId="59173E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Шестидневный марш с дневкой после четырех дней (общий километраж 630 км по грунтовым дорогам, и бездорожью).</w:t>
      </w:r>
    </w:p>
    <w:p w14:paraId="6BD760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Стрельба с решениемтактичес- кой задачи.</w:t>
      </w:r>
    </w:p>
    <w:p w14:paraId="40AC2E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Оформление материалов и составление отчета».</w:t>
      </w:r>
    </w:p>
    <w:p w14:paraId="287BA0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проведения пробега была организована группа из 42 человек, командиром которой назначили представителя НИБТ полигона майора Е. Геркевича, а его заместителем майора И. Колотушкина (последний участвовал в испытаниях танков КВ во время советско-финляндской войны. Помимо трех серийных танков Т-34 (№№ 608-01, 457-29, 423-41) для Обеспечения пробега привлекались 5 грузовиков ЗИС-3 (для перевозки бензина, масла, запчастей и продовольствия), 2 цистерны ЗИС-5 (газойль для танков), ремонтная летучка типа Б на шасси ЗИС-6, автобус на шасси ГАЗ-ААА, легковой автомобиль ГАЗ М-1 и автокухня.</w:t>
      </w:r>
    </w:p>
    <w:p w14:paraId="29CCB5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Входе этого пробега требовалось установить следующие характеристики танков Т-34:</w:t>
      </w:r>
    </w:p>
    <w:p w14:paraId="2D6AE1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 По вооружению и оптике:</w:t>
      </w:r>
    </w:p>
    <w:p w14:paraId="785592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Определить удобство пользования вооружением и оптикой при стрельбе схода и с места при выполнении поставленных тактических задач.</w:t>
      </w:r>
    </w:p>
    <w:p w14:paraId="05F30A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Определить меткость и кучность стрельбы из танка с целью установление наиболее эффективных дистанций и углов возвышения и склонения.</w:t>
      </w:r>
    </w:p>
    <w:p w14:paraId="57ED9B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Определить удобство пользования боеукладкой и ЗИПом.</w:t>
      </w:r>
    </w:p>
    <w:p w14:paraId="5161A2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w:t>
      </w:r>
      <w:r w:rsidRPr="00A3026E">
        <w:rPr>
          <w:rFonts w:ascii="Times New Roman" w:hAnsi="Times New Roman"/>
          <w:color w:val="000000" w:themeColor="text1"/>
          <w:sz w:val="16"/>
          <w:szCs w:val="16"/>
        </w:rPr>
        <w:tab/>
        <w:t>Определить мертвые пространства, поражаемые сектора, а так же степень обзорности из танка.</w:t>
      </w:r>
    </w:p>
    <w:p w14:paraId="29ABA5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w:t>
      </w:r>
      <w:r w:rsidRPr="00A3026E">
        <w:rPr>
          <w:rFonts w:ascii="Times New Roman" w:hAnsi="Times New Roman"/>
          <w:color w:val="000000" w:themeColor="text1"/>
          <w:sz w:val="16"/>
          <w:szCs w:val="16"/>
        </w:rPr>
        <w:tab/>
        <w:t>Определить загрязненность воздуха в танке, СО при стрельбе.</w:t>
      </w:r>
    </w:p>
    <w:p w14:paraId="38FC4F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w:t>
      </w:r>
      <w:r w:rsidRPr="00A3026E">
        <w:rPr>
          <w:rFonts w:ascii="Times New Roman" w:hAnsi="Times New Roman"/>
          <w:color w:val="000000" w:themeColor="text1"/>
          <w:sz w:val="16"/>
          <w:szCs w:val="16"/>
        </w:rPr>
        <w:tab/>
        <w:t>Определить возможность и удобство обслуживания, ремонта и замены вооружения и оптики в полевых условиях.</w:t>
      </w:r>
    </w:p>
    <w:p w14:paraId="427AEE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w:t>
      </w:r>
      <w:r w:rsidRPr="00A3026E">
        <w:rPr>
          <w:rFonts w:ascii="Times New Roman" w:hAnsi="Times New Roman"/>
          <w:color w:val="000000" w:themeColor="text1"/>
          <w:sz w:val="16"/>
          <w:szCs w:val="16"/>
        </w:rPr>
        <w:tab/>
        <w:t>Определить возможность использования вооружения для самообороны из танка и при выходе из танка.</w:t>
      </w:r>
    </w:p>
    <w:p w14:paraId="0116C1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 радиостанции:</w:t>
      </w:r>
    </w:p>
    <w:p w14:paraId="60F9A9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rPr>
        <w:tab/>
        <w:t>Установить правильность и удобство размещения радиоаппаратуры в танке.</w:t>
      </w:r>
    </w:p>
    <w:p w14:paraId="64DE00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Установить дальность надежной связи на радиостанции и удобство пользования телефоном и микрофоном.</w:t>
      </w:r>
    </w:p>
    <w:p w14:paraId="33B95E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Определить удобство настройки и доступность аппаратуры внутри танка.</w:t>
      </w:r>
    </w:p>
    <w:p w14:paraId="69737E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w:t>
      </w:r>
      <w:r w:rsidRPr="00A3026E">
        <w:rPr>
          <w:rFonts w:ascii="Times New Roman" w:hAnsi="Times New Roman"/>
          <w:color w:val="000000" w:themeColor="text1"/>
          <w:sz w:val="16"/>
          <w:szCs w:val="16"/>
        </w:rPr>
        <w:tab/>
        <w:t>Определить надежность и удобство пользования ТПУ.</w:t>
      </w:r>
    </w:p>
    <w:p w14:paraId="0EC138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 танку в целом:</w:t>
      </w:r>
    </w:p>
    <w:p w14:paraId="259E69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Определить выносливость и надежность танка в целом и его отдель-</w:t>
      </w:r>
    </w:p>
    <w:p w14:paraId="492F99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Крупный план танка Т-34 со сварной башней и подорванным стволом орудия. Скорее всего, в ствол положил и гран ату (фото предоставил М. Зимний).</w:t>
      </w:r>
    </w:p>
    <w:p w14:paraId="422EA4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ных агрегатов в условия напряженной эксплуатации.</w:t>
      </w:r>
    </w:p>
    <w:p w14:paraId="125E2E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Определить средние скорости движения (чистую, техническую и оперативную) в различный</w:t>
      </w:r>
    </w:p>
    <w:p w14:paraId="422961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дорожных условиях.</w:t>
      </w:r>
    </w:p>
    <w:p w14:paraId="48877B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Определить нормы расхода горючесмазочных материалов на 1 час работы двигателя и 3 км пути.</w:t>
      </w:r>
    </w:p>
    <w:p w14:paraId="10A083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w:t>
      </w:r>
      <w:r w:rsidRPr="00A3026E">
        <w:rPr>
          <w:rFonts w:ascii="Times New Roman" w:hAnsi="Times New Roman"/>
          <w:color w:val="000000" w:themeColor="text1"/>
          <w:sz w:val="16"/>
          <w:szCs w:val="16"/>
        </w:rPr>
        <w:tab/>
        <w:t>Определить запас хода по горючему, смазке и надежности танка.</w:t>
      </w:r>
    </w:p>
    <w:p w14:paraId="78E09A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w:t>
      </w:r>
      <w:r w:rsidRPr="00A3026E">
        <w:rPr>
          <w:rFonts w:ascii="Times New Roman" w:hAnsi="Times New Roman"/>
          <w:color w:val="000000" w:themeColor="text1"/>
          <w:sz w:val="16"/>
          <w:szCs w:val="16"/>
        </w:rPr>
        <w:tab/>
        <w:t>Определить температурный режим работы двигателя.</w:t>
      </w:r>
    </w:p>
    <w:p w14:paraId="5B9FFF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w:t>
      </w:r>
      <w:r w:rsidRPr="00A3026E">
        <w:rPr>
          <w:rFonts w:ascii="Times New Roman" w:hAnsi="Times New Roman"/>
          <w:color w:val="000000" w:themeColor="text1"/>
          <w:sz w:val="16"/>
          <w:szCs w:val="16"/>
        </w:rPr>
        <w:tab/>
        <w:t>Определить возможности и нормативы полевого обслуживания и ремонта танка. Разработать нормы возимого комплекта запчастей и инструмента.</w:t>
      </w:r>
    </w:p>
    <w:p w14:paraId="242AAD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w:t>
      </w:r>
      <w:r w:rsidRPr="00A3026E">
        <w:rPr>
          <w:rFonts w:ascii="Times New Roman" w:hAnsi="Times New Roman"/>
          <w:color w:val="000000" w:themeColor="text1"/>
          <w:sz w:val="16"/>
          <w:szCs w:val="16"/>
        </w:rPr>
        <w:tab/>
        <w:t>Определить удобство пользования приборами наблюдения в условиях решения тактических задач.</w:t>
      </w:r>
    </w:p>
    <w:p w14:paraId="144BDF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w:t>
      </w:r>
      <w:r w:rsidRPr="00A3026E">
        <w:rPr>
          <w:rFonts w:ascii="Times New Roman" w:hAnsi="Times New Roman"/>
          <w:color w:val="000000" w:themeColor="text1"/>
          <w:sz w:val="16"/>
          <w:szCs w:val="16"/>
        </w:rPr>
        <w:tab/>
        <w:t>Определить управляемость танка и проходимость при движении в различных дорожных условиях и в разное время суток.</w:t>
      </w:r>
    </w:p>
    <w:p w14:paraId="3DBCA9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w:t>
      </w:r>
      <w:r w:rsidRPr="00A3026E">
        <w:rPr>
          <w:rFonts w:ascii="Times New Roman" w:hAnsi="Times New Roman"/>
          <w:color w:val="000000" w:themeColor="text1"/>
          <w:sz w:val="16"/>
          <w:szCs w:val="16"/>
        </w:rPr>
        <w:tab/>
        <w:t>Определить удобство размещения и работы экипажа танка.</w:t>
      </w:r>
    </w:p>
    <w:p w14:paraId="09C3F3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Определить суточный и трехсуточный переход танка в зависимости от надежности танка, запаса хода и утомления экипажа.</w:t>
      </w:r>
    </w:p>
    <w:p w14:paraId="3D5046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Определить путь и время безостановочного движения.</w:t>
      </w:r>
    </w:p>
    <w:p w14:paraId="4B9CB5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 Определить возможность использования танка как буксирного средства в боевой обстановке.</w:t>
      </w:r>
    </w:p>
    <w:p w14:paraId="55F803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Испытание на воздействие горючей жидкости:</w:t>
      </w:r>
    </w:p>
    <w:p w14:paraId="26A146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rPr>
        <w:tab/>
        <w:t>Определить герметичность танка, а так же места и степень проникновения горящей жидкости внутрь танка.</w:t>
      </w:r>
    </w:p>
    <w:p w14:paraId="140A3D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Установить степень опасности и повреждений от действия проникающей в танк горящей жидкости (выявить жизнеопасные очаги).</w:t>
      </w:r>
    </w:p>
    <w:p w14:paraId="67F7F8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Определить эффективность имеющихся противопожарных и других средств, для борьбы с огнем или этим видом нападения.</w:t>
      </w:r>
    </w:p>
    <w:p w14:paraId="2EFBD9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w:t>
      </w:r>
      <w:r w:rsidRPr="00A3026E">
        <w:rPr>
          <w:rFonts w:ascii="Times New Roman" w:hAnsi="Times New Roman"/>
          <w:color w:val="000000" w:themeColor="text1"/>
          <w:sz w:val="16"/>
          <w:szCs w:val="16"/>
        </w:rPr>
        <w:tab/>
        <w:t>Установить наилучшие меры борьбы с горящей жидкостью попавшей внутрь танка».</w:t>
      </w:r>
    </w:p>
    <w:p w14:paraId="0ED07E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подготовка к пробегу заняла больше времени, чем рассчитывали в начале. Он смог стартовать из Харькова только 31 октября и закончиться там же 7 декабря 1940 года (12217).</w:t>
      </w:r>
    </w:p>
    <w:p w14:paraId="6F8D95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31 октября 1940 стартовал из Харькова робег по маршруту Харьков - Москва - Могилев - Гомель - Киев – Харьков (из 3000 км предусматривалось 1000 км пройти по шоссе, а остальное — по проселочным дорогам и бездорожью, причем 30% общего километража надлежало пройти в ночное время, а 20% километража по проселку и бездорожью (400 км) - в боевом положении (с закрытыми люками)) и закончился там же 7 декабря 1940 года. </w:t>
      </w:r>
    </w:p>
    <w:p w14:paraId="25B5BA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пробега вышел из строя один двигатель В-2, часто ломались главные фрикционы (менялись восемь раз), вентиляторы, сыпались гусеницы (менялись пять раз).</w:t>
      </w:r>
    </w:p>
    <w:p w14:paraId="47BD57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за время испытаний Т-34 прошли 2680 км за 14 ходовых дней (все остальное время было потрачено на отдых экипажей, ремонт и обслуживание танков). При проведении стрельб израсходовали 249 снарядов и 1423 патрона.</w:t>
      </w:r>
    </w:p>
    <w:p w14:paraId="45C0EF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результатам испытаний комиссия сделала более 40 замечаний по работе агрегатов танков, причем некоторые были весьма серьезные. Так, в своем докладе руководству ГАБТУ КА комиссия по испытаниям отмечала: «В ходе пробега установлены следующие недостатки:</w:t>
      </w:r>
    </w:p>
    <w:p w14:paraId="159DC1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Стесненность экипажа в боевом отделении;</w:t>
      </w:r>
    </w:p>
    <w:p w14:paraId="6004A2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Неудобство пользования боекомплектом в полу боевого отделения;</w:t>
      </w:r>
    </w:p>
    <w:p w14:paraId="2CE8AB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Неудобно расположение поворотного механизма башни (электрический и ручной);</w:t>
      </w:r>
    </w:p>
    <w:p w14:paraId="74FB2A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Отсутствие зрительной связи между танками при решении огневых задач;</w:t>
      </w:r>
    </w:p>
    <w:p w14:paraId="629C10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Перекрытий шкалы прицела ТОД-6 при угле плюс-минус 5 град.;</w:t>
      </w:r>
    </w:p>
    <w:p w14:paraId="183F6C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Значительное медленное затухание колебаний танка при движении, что отрицательно влияет на стрельбу;</w:t>
      </w:r>
    </w:p>
    <w:p w14:paraId="544022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Ножной спуск заменить спуском на рукоятке;</w:t>
      </w:r>
    </w:p>
    <w:p w14:paraId="3B847F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Установить оптический прицел для пулемета радиста;</w:t>
      </w:r>
    </w:p>
    <w:p w14:paraId="650F8D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Заменить ручной поворотный механизм;</w:t>
      </w:r>
    </w:p>
    <w:p w14:paraId="20AAE1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Заменить ТОД-6 на ТМФ;</w:t>
      </w:r>
    </w:p>
    <w:p w14:paraId="569566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Заменить смотровой прибор водителя;</w:t>
      </w:r>
    </w:p>
    <w:p w14:paraId="3C8D57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Уменьшить по габаритам сиде-. нье стреляющего, а сиденье заряжающего сделать откидным;</w:t>
      </w:r>
    </w:p>
    <w:p w14:paraId="1558BB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Стопор крепления башни по- походному непригоден;</w:t>
      </w:r>
    </w:p>
    <w:p w14:paraId="08254A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Закрыть погон башни щитком;</w:t>
      </w:r>
    </w:p>
    <w:p w14:paraId="19B331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Перенести выход выхлопных труб на подкрылки по сторонам гу сениц;</w:t>
      </w:r>
    </w:p>
    <w:p w14:paraId="0A7546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Низко расположены передние крылья;</w:t>
      </w:r>
    </w:p>
    <w:p w14:paraId="501DBB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Ненадежно управление защелкой люка башни в открытом положении;</w:t>
      </w:r>
    </w:p>
    <w:p w14:paraId="1FB09B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Малы размеры зева рым по ширине и глубине;</w:t>
      </w:r>
    </w:p>
    <w:p w14:paraId="555180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Защитить антенну в положении лежа от повреждений;</w:t>
      </w:r>
    </w:p>
    <w:p w14:paraId="32C579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Ввод антенны длинен:</w:t>
      </w:r>
    </w:p>
    <w:p w14:paraId="5CDE99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Умформер приемника смонтирован так,что загрязняется, атокове- дущая клемма повреждается:</w:t>
      </w:r>
    </w:p>
    <w:p w14:paraId="62BFD9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Колодки питания радиостан ции нового типа неудобны в эксплуатации - имеют много выступов, цепляются за одежду;</w:t>
      </w:r>
    </w:p>
    <w:p w14:paraId="751305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Недостаточно сцепление с грунтом - входящая в зацепление с грунтом поверхность трака недостаточно развита;</w:t>
      </w:r>
    </w:p>
    <w:p w14:paraId="75CDC2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Постоянная течь масла и выход строя контрольных приборов</w:t>
      </w:r>
    </w:p>
    <w:p w14:paraId="71A1C3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Устранить износ дисков и пробуксовку главного фрикциона;</w:t>
      </w:r>
    </w:p>
    <w:p w14:paraId="65CB67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Смещение главного фрикциона с носка коленвала из-за ненадежного стопорения затяжной гайки разжимным конусом;</w:t>
      </w:r>
    </w:p>
    <w:p w14:paraId="475DEF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Разъединение поперечной тяги главного фрикциона по причине крепления кольца тяги;</w:t>
      </w:r>
    </w:p>
    <w:p w14:paraId="79A868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Жесткое крепление вентилятора вызывает трещины и поломки лопаток вентилятора, ослабляет крепление и срезание болтов, крепящих зубчатый венец и вентилятор к ведущему барабану главного фрикциона;</w:t>
      </w:r>
    </w:p>
    <w:p w14:paraId="4CCEA7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Потеря нейтрали кулисы коробки перемены передач;</w:t>
      </w:r>
    </w:p>
    <w:p w14:paraId="2EF39A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Отсутствует синхронизирующее устройство в коробке перемены передач;</w:t>
      </w:r>
    </w:p>
    <w:p w14:paraId="528355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Ослабление (вытяжка) стяжных струн ведущих и ведомых шестерен бортпередачи;</w:t>
      </w:r>
    </w:p>
    <w:p w14:paraId="1372A1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 Разрушение сепаратора и износ осей роликов подшипника ведущего валика;</w:t>
      </w:r>
    </w:p>
    <w:p w14:paraId="2F9D36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 Износ и надиры на зубьях ведущих шестерен;</w:t>
      </w:r>
    </w:p>
    <w:p w14:paraId="3D4944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 Износ упорных шайб ведущих шестерен;</w:t>
      </w:r>
    </w:p>
    <w:p w14:paraId="3EC58A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 Заклинка сферического роликового подшипника несущего диска;</w:t>
      </w:r>
    </w:p>
    <w:p w14:paraId="3B52FB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 Поломка траков через 150— 200 км;</w:t>
      </w:r>
    </w:p>
    <w:p w14:paraId="798824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 Натяжной червячный механизм ленивца в эксплуатации ненадежен;</w:t>
      </w:r>
    </w:p>
    <w:p w14:paraId="76E6DD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 Стартеры и реле стартеров СТ- 70 недостаточно надежны в эксплуатации и не защищены от попадания внутрь масла;</w:t>
      </w:r>
    </w:p>
    <w:p w14:paraId="11C18F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 Наконечники стартера и реле стартера (2 мм) не соответствуют сечению проводов;</w:t>
      </w:r>
    </w:p>
    <w:p w14:paraId="49A819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 Вывод проводов к фарам не обеспечивает сохранения проводов;</w:t>
      </w:r>
    </w:p>
    <w:p w14:paraId="50EAC3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 Крепление стоп-сигнала ненадежно;</w:t>
      </w:r>
    </w:p>
    <w:p w14:paraId="595F77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 Крепление задней штепсельной розетки, реле стартера РС-371 и трубы с проводами к РС-371 ненадежно;</w:t>
      </w:r>
    </w:p>
    <w:p w14:paraId="3E806F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 Сумки с инструментом неудобны;</w:t>
      </w:r>
    </w:p>
    <w:p w14:paraId="605036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 Крепление укладки на крыльях кожаными ремнями неудовлетворительно;</w:t>
      </w:r>
    </w:p>
    <w:p w14:paraId="004B3F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 Домкраты для данной машины слабы».</w:t>
      </w:r>
    </w:p>
    <w:p w14:paraId="61D8D2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Часть из этих недостатков удалось устранить в первой половине 1941 года, а часть уже в ходе Великой Отечественной войны (12217).</w:t>
      </w:r>
    </w:p>
    <w:p w14:paraId="5621DBA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BF50F1A"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16/17 Сентября 1940 г.</w:t>
      </w:r>
    </w:p>
    <w:p w14:paraId="33514C6F"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Фонд 31811 Опись 2 Дело 1181 лист 250</w:t>
      </w:r>
    </w:p>
    <w:p w14:paraId="50EE1F0E"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СЕКРЕТНО.</w:t>
      </w:r>
    </w:p>
    <w:p w14:paraId="5A2A4908"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4</w:t>
      </w:r>
    </w:p>
    <w:p w14:paraId="234095CB"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16/17 Сентября 1940 г.</w:t>
      </w:r>
    </w:p>
    <w:p w14:paraId="7FBF5712"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76315с</w:t>
      </w:r>
    </w:p>
    <w:p w14:paraId="6A7C54EF"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ВОЕННОМУ ПРЕДСТАВИТЕЛЮ ЗАВОДА № 183</w:t>
      </w:r>
    </w:p>
    <w:p w14:paraId="3ED3375B"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ВОЕНИНЖЕНЕРУ 2 РАНГА тов. КОЗЫРЕВУ</w:t>
      </w:r>
    </w:p>
    <w:p w14:paraId="47FF726D"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ДИРЕКТОРУ ЗАВОДА № 183 тов. МАКСАРЕВУ</w:t>
      </w:r>
    </w:p>
    <w:p w14:paraId="2DD5ADAB"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ГЛАВСПЕЦМАШ НКСМ тов. СУРЕНЯН</w:t>
      </w:r>
    </w:p>
    <w:p w14:paraId="79744C70"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проведения заводом № 183 опытных работ по плану тематики 1940 г. передайте, по окончании отстрела и обстрела на АНИОПе, находящийся там танк Т-34. Обязав завод по окончании опытных работ танк восстановить.</w:t>
      </w:r>
    </w:p>
    <w:p w14:paraId="7DA56449"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ЗАМ. НАЧАЛЬНИКА ГАБТУ КР. АРМИИ</w:t>
      </w:r>
    </w:p>
    <w:p w14:paraId="4D05519C"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ГЕНЕРАЛ-МАЙОР ТЕХНИЧЕСКИХ ВОЙСК (ЛЕБЕДЕВ)</w:t>
      </w:r>
    </w:p>
    <w:p w14:paraId="6018A8B5"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НАЧАЛЬНИК БРОНЕТАНКОВОГО УПРАВЛЕНИЯ КРАСНОЙ АРМИИ</w:t>
      </w:r>
    </w:p>
    <w:p w14:paraId="2D0D1C32"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1-го РАНГА (КОРОБКОВ)</w:t>
      </w:r>
    </w:p>
    <w:p w14:paraId="6AFF67FA"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 4 экз.</w:t>
      </w:r>
    </w:p>
    <w:p w14:paraId="6344DC67"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 Панов</w:t>
      </w:r>
    </w:p>
    <w:p w14:paraId="63C83B8D"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12.9.40 г. (19578).</w:t>
      </w:r>
    </w:p>
    <w:p w14:paraId="13A16BCA" w14:textId="77777777" w:rsidR="00CD3361" w:rsidRPr="00A3026E" w:rsidRDefault="00CD3361" w:rsidP="00A3026E">
      <w:pPr>
        <w:spacing w:after="0" w:line="240" w:lineRule="auto"/>
        <w:jc w:val="both"/>
        <w:rPr>
          <w:rFonts w:ascii="Times New Roman" w:hAnsi="Times New Roman"/>
          <w:color w:val="000000" w:themeColor="text1"/>
          <w:sz w:val="16"/>
          <w:szCs w:val="16"/>
        </w:rPr>
      </w:pPr>
    </w:p>
    <w:p w14:paraId="32B0D683"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16 сентября 1940 г. заместитель начальника ГАБТУ КА генерал-майор технических войск И.А. Лебедев направил в подмосковную Кубинку начальнику Научно-испытательного полигона (далее – НИ полигон) ГАБТУ КА полковнику И.К. Романову письмо </w:t>
      </w:r>
      <w:hyperlink r:id="rId9" w:tgtFrame="_blank" w:history="1">
        <w:r w:rsidRPr="00A3026E">
          <w:rPr>
            <w:rStyle w:val="a5"/>
            <w:rFonts w:ascii="Times New Roman" w:hAnsi="Times New Roman"/>
            <w:color w:val="000000" w:themeColor="text1"/>
            <w:sz w:val="16"/>
            <w:szCs w:val="16"/>
          </w:rPr>
          <w:t>№ 76309с</w:t>
        </w:r>
      </w:hyperlink>
      <w:r w:rsidRPr="00A3026E">
        <w:rPr>
          <w:rFonts w:ascii="Times New Roman" w:hAnsi="Times New Roman"/>
          <w:color w:val="000000" w:themeColor="text1"/>
          <w:sz w:val="16"/>
          <w:szCs w:val="16"/>
        </w:rPr>
        <w:t> с распоряжением о подготовке документов для проведения испытания трех танков Т-34:</w:t>
      </w:r>
    </w:p>
    <w:p w14:paraId="452226EC"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ГАБТУ КА Генерал-лейтенант Танковых войск тов. Федоренко приказал назначить пробег трех танков Т-34 на 3000 км. Цель пробега – выявление боевых качеств танка с боевыми стрельбами на фоне решения тактических задач. </w:t>
      </w:r>
    </w:p>
    <w:p w14:paraId="4A3C0293"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Вам надлежит разработать маршрут, график, расчет матчасти, обеспечение и руководство. Водительский состав будет выделен из частей. Срок представления материалов 18 Сентября с/г. Начало пробега 25-го Сентября с/г».</w:t>
      </w:r>
    </w:p>
    <w:p w14:paraId="7B3BAF3E"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1181. Л. 246] (18173).</w:t>
      </w:r>
    </w:p>
    <w:p w14:paraId="3BBEE8AA" w14:textId="77777777" w:rsidR="00CD3361" w:rsidRPr="00A3026E" w:rsidRDefault="00CD3361" w:rsidP="00A3026E">
      <w:pPr>
        <w:spacing w:after="0" w:line="240" w:lineRule="auto"/>
        <w:jc w:val="both"/>
        <w:rPr>
          <w:rFonts w:ascii="Times New Roman" w:hAnsi="Times New Roman"/>
          <w:color w:val="000000" w:themeColor="text1"/>
          <w:sz w:val="16"/>
          <w:szCs w:val="16"/>
        </w:rPr>
      </w:pPr>
    </w:p>
    <w:p w14:paraId="25F0A770"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16/17 Сентября 1940 г.</w:t>
      </w:r>
    </w:p>
    <w:p w14:paraId="1C5439D3"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1181 лист 246 </w:t>
      </w:r>
    </w:p>
    <w:p w14:paraId="663B07BA"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01A44DA1"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2 </w:t>
      </w:r>
    </w:p>
    <w:p w14:paraId="1742D1E9"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16/17 Сентября 1940 г. </w:t>
      </w:r>
    </w:p>
    <w:p w14:paraId="797BA8DD"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76309с </w:t>
      </w:r>
    </w:p>
    <w:p w14:paraId="180A2E18"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НИ ПОЛИГОНА ПОЛКОВНИКУ тов. РОМАНОВУ</w:t>
      </w:r>
    </w:p>
    <w:p w14:paraId="59971E11"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Начальник ГАБТУ КА Генерал-лейтенант Танковых войск тов. ФЕДОРЕНКО приказал назначить пробег трех танков Т-34 на 3000 км. Цель пробега – выявление боевых качеств танка с боевыми стрельбами на фоне решения тактических задач. </w:t>
      </w:r>
    </w:p>
    <w:p w14:paraId="156959BB"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Вам надлежит разработать маршрут, график, расчет матчасти, обеспечение и руководство. Водительский состав будет выделен из частей. Срок представления материалов 18 Сентября с/г. </w:t>
      </w:r>
    </w:p>
    <w:p w14:paraId="05A40F76"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Начало пробега 25-го Сентября с/г. </w:t>
      </w:r>
    </w:p>
    <w:p w14:paraId="01F1E203"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ЗАМ. НАЧАЛЬНИКА ГАБТУ КР. АРМИИ</w:t>
      </w:r>
    </w:p>
    <w:p w14:paraId="37782CC9"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ГЕНЕРАЛ-МАЙОР ТЕХНИЧЕСКИХ ВОЙСК (ЛЕБЕДЕВ)</w:t>
      </w:r>
    </w:p>
    <w:p w14:paraId="185AEE7F"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2 экз. </w:t>
      </w:r>
    </w:p>
    <w:p w14:paraId="737C2F96"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Афонин </w:t>
      </w:r>
    </w:p>
    <w:p w14:paraId="7E3A8932" w14:textId="77777777" w:rsidR="00CD3361" w:rsidRPr="00A3026E" w:rsidRDefault="00CD33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16.9.40 г. (18175).</w:t>
      </w:r>
    </w:p>
    <w:p w14:paraId="26AE3F2C" w14:textId="77777777" w:rsidR="00CD3361" w:rsidRPr="00A3026E" w:rsidRDefault="00CD3361" w:rsidP="00A3026E">
      <w:pPr>
        <w:spacing w:after="0" w:line="240" w:lineRule="auto"/>
        <w:jc w:val="both"/>
        <w:rPr>
          <w:rFonts w:ascii="Times New Roman" w:hAnsi="Times New Roman"/>
          <w:color w:val="000000" w:themeColor="text1"/>
          <w:sz w:val="16"/>
          <w:szCs w:val="16"/>
        </w:rPr>
      </w:pPr>
    </w:p>
    <w:p w14:paraId="05BA46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на заводе № 148 в Дзержинске были получены первые листы органического стекла, впоследствии давшего название заводу.</w:t>
      </w:r>
    </w:p>
    <w:p w14:paraId="56218D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годы ВОВ объем выпускаемой продукции оборонного значения по сравнению с 1940 годом вырос в 24 раза. На заводе действовало производство синильной кислоты (для получения оргстекла) и мощности по ее снаряжению в боеприпасы. В трудные военные годы технологами предприятия впервые в СССР была разработана технология получения синтетического ацетона методом каталитического окисления изопропилового спирта.</w:t>
      </w:r>
    </w:p>
    <w:p w14:paraId="6044DA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большую помощь фронту завод имеет множество наград, а работники завода награждены орденами и медалями.</w:t>
      </w:r>
    </w:p>
    <w:p w14:paraId="4C9153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1949 г. впервые в мире (!) Рудольфом Удрисом с коллегами была разработана технология получения синтетического фенола и ацетона кумольным методом. За это в 1949 г. группа ученых была удостоена Госпремии СССР (9694).</w:t>
      </w:r>
    </w:p>
    <w:p w14:paraId="7E4F8FA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99C827" w14:textId="38CFE1B1" w:rsidR="00B12571" w:rsidRPr="00A3026E" w:rsidRDefault="00B12571"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2F08AC22" w14:textId="77777777" w:rsidR="00B12571" w:rsidRPr="00A3026E" w:rsidRDefault="00B12571" w:rsidP="00A3026E">
      <w:pPr>
        <w:spacing w:after="0" w:line="240" w:lineRule="auto"/>
        <w:jc w:val="both"/>
        <w:rPr>
          <w:rFonts w:ascii="Times New Roman" w:hAnsi="Times New Roman"/>
          <w:i/>
          <w:iCs/>
          <w:color w:val="000000" w:themeColor="text1"/>
          <w:sz w:val="16"/>
          <w:szCs w:val="16"/>
        </w:rPr>
      </w:pPr>
    </w:p>
    <w:p w14:paraId="1A1203E4" w14:textId="77777777" w:rsidR="00B12571" w:rsidRPr="00A3026E" w:rsidRDefault="00B1257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 сентября 1940 года под председательством Владимира Ивановича Немировича-Данченко в нижнем фойе МХАТа СССР состоялось первое заседание Комитета по Сталинским премиям в области литературы и искусства. По независящим от Комитета причинам предоставить данные в СНК К 21 декабря не получилось, поскольку вышло Постановление СНК СССР от 20 декабря 1940 г., которое расширяло временной диапазон с текущего года до 6–7 предыдущих лет (то есть начиная с 1934 года), число же награждаемых было значительно увеличено: по каждому разделу литературы до трех, а по всем прочим видам искусства, кроме трех премий первой степени были введены еще и по пять второй степени.</w:t>
      </w:r>
    </w:p>
    <w:p w14:paraId="402C0B55" w14:textId="77777777" w:rsidR="00B12571" w:rsidRPr="00A3026E" w:rsidRDefault="00B1257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 марта 1941 года было, наконец, опубликовано первое в истории «Постановление Совета Народных Комиссаров Союза ССР „О присуждении Сталинских премий за выдающиеся работы в области искусства и литературы“» и 16 марта 1941 года страна узнала о появлении первых 162 лауреатов – деятелей литературы и искусства (постановление о введении такого звания было подписано 26.03.41 г. и опубликовано в газете «Советское искусство» 30.03.41 г.).</w:t>
      </w:r>
    </w:p>
    <w:p w14:paraId="74BB9CFC" w14:textId="77777777" w:rsidR="00B12571" w:rsidRPr="00A3026E" w:rsidRDefault="00B1257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Деньги на премии брались из гонораров И. В. Сталина за издания его трудов, в том числе за рубежом. Возможно, на премии также шла часть зарплаты вождя — он занимал две высокие должности (секретарь ЦК и председатель СНК), и за каждую в послевоенные годы ему начислялось 10 тысяч рублей в месяц.</w:t>
      </w:r>
    </w:p>
    <w:p w14:paraId="5C8258F8" w14:textId="77777777" w:rsidR="00B12571" w:rsidRPr="00A3026E" w:rsidRDefault="00B1257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Сталинская премия вручалась, как правило, раз в год – в день рождения И.В. Сталина, 21 декабря. Премия 1 степени – 100 000 рублей, 2 степени – пятьдесят тысяч, 3 степени – двадцать пять тысяч. Размер премии в рублях и количество лауреатов много раз менялись, и всегда в сторону увеличения. У премии существовал свой нагрудный знак, присваивалось почетное звание.</w:t>
      </w:r>
    </w:p>
    <w:p w14:paraId="1E145A8E" w14:textId="77777777" w:rsidR="00B12571" w:rsidRPr="00A3026E" w:rsidRDefault="00B1257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Абсолютным рекордсменом по числу присуждённых Сталинских премий был авиаконструктор С. В. Ильюшин, получивший 7 премий. Шестикратными лауреатами стали кинорежиссёры И. А. Пырьев и Ю. Я. Райзман, кинорежиссёр-документалист И. П. Копалин, актёр и режиссёр Н. П. Охлопков, поэт и писатель К. М. Симонов, композитор С. С. Прокофьев, артист Н. И. Боголюбов, авиаконструкторы А. С. Яковлев, А. И. Микоян, М. И. Гуревич.</w:t>
      </w:r>
    </w:p>
    <w:p w14:paraId="0F9C11D1" w14:textId="0DE2AD71" w:rsidR="00B12571" w:rsidRPr="00A3026E" w:rsidRDefault="00B1257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списке самых первых лауреатов хирург Николай Бурденко, физик Петр Капица, кораблестроитель Алексей Крылов, агроном Трофим Лысенко, геолог Владимир Обручев, авиаконструкторы Сергей Ильюшин и Александр Яковлев и многие другие (21190).</w:t>
      </w:r>
    </w:p>
    <w:p w14:paraId="71642BBB" w14:textId="77777777" w:rsidR="00B12571" w:rsidRPr="00A3026E" w:rsidRDefault="00B12571" w:rsidP="00A3026E">
      <w:pPr>
        <w:spacing w:after="0" w:line="240" w:lineRule="auto"/>
        <w:jc w:val="both"/>
        <w:rPr>
          <w:rFonts w:ascii="Times New Roman" w:hAnsi="Times New Roman"/>
          <w:color w:val="0070C0"/>
          <w:sz w:val="16"/>
          <w:szCs w:val="16"/>
        </w:rPr>
      </w:pPr>
    </w:p>
    <w:p w14:paraId="4D4636AE" w14:textId="7CA05C7A"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19ACA2B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EEB9A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А.Г. получил Шуленбургу посетить В.М.М. 21 сентября и сообщить, что Германия перебросит артиллерию в Швецию через Финляндию (2536,158).</w:t>
      </w:r>
    </w:p>
    <w:p w14:paraId="7F94088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D181AE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50CDE7E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646D2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в районе Антверпена немцы отрабатывали высадку десанта с моря. Англичане разбомбили конвой и немцы понесли большие потери (2536,156).</w:t>
      </w:r>
    </w:p>
    <w:p w14:paraId="66083D3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52076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итальянское наступление в Египте остановилось из-за проблем со снабжением (3186).</w:t>
      </w:r>
    </w:p>
    <w:p w14:paraId="295E27E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2E2FA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в США принят закон о всеобщей воинской повинности для мужчин от 21 до 35 лет (4962).</w:t>
      </w:r>
    </w:p>
    <w:p w14:paraId="32E5CB0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4AA33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в США был введен военный призыв (1050), но на самом деле мужчин в возрасте от 21 до 35 призвали пройти военную подготовку (3481).</w:t>
      </w:r>
    </w:p>
    <w:p w14:paraId="008BF69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7FDACC"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September 16 1940 United States military Conscription Bill passed (1050).</w:t>
      </w:r>
    </w:p>
    <w:p w14:paraId="07F972B8"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07B2BB13" w14:textId="77777777" w:rsidR="009041AB" w:rsidRPr="00A3026E" w:rsidRDefault="009041AB"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16 сентября </w:t>
      </w:r>
      <w:r w:rsidRPr="00A3026E">
        <w:rPr>
          <w:rFonts w:ascii="Times New Roman" w:hAnsi="Times New Roman"/>
          <w:color w:val="000000" w:themeColor="text1"/>
          <w:sz w:val="16"/>
          <w:szCs w:val="16"/>
        </w:rPr>
        <w:t>в 1940 году в США подписывается закон о военной подготовке и ограниченной воинской повинности, обязывающий всех мужчин в возрасте от 21 года до 35 лет пройти военную подготовку в вооруженных силах в течение одного года (14771).</w:t>
      </w:r>
    </w:p>
    <w:p w14:paraId="6EBF88E6" w14:textId="77777777" w:rsidR="009041AB" w:rsidRPr="00A3026E" w:rsidRDefault="009041AB" w:rsidP="00A3026E">
      <w:pPr>
        <w:spacing w:after="0" w:line="240" w:lineRule="auto"/>
        <w:jc w:val="both"/>
        <w:rPr>
          <w:rFonts w:ascii="Times New Roman" w:hAnsi="Times New Roman"/>
          <w:color w:val="000000" w:themeColor="text1"/>
          <w:sz w:val="16"/>
          <w:szCs w:val="16"/>
        </w:rPr>
      </w:pPr>
    </w:p>
    <w:p w14:paraId="44F3E29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5B47B26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89448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сентября 1940 Зам. ГК завода 39 Мальцев с письмом N 859с/окб направил директору завода 126 Извещение N 266 по спецгруппе ЦКБ-30 и ЦКБ-30Ф от 16 сентября 1940. Предлагалось заменить пружины подъема крышек бомболюков на более мощные для устранения колебаний открытых люков... (2689,17).</w:t>
      </w:r>
    </w:p>
    <w:p w14:paraId="1BBD88D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1370EB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сентября 1940 года вышел приказ НИИ ВВС № 0212</w:t>
      </w:r>
    </w:p>
    <w:p w14:paraId="483CA3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исполнение приказа Наркома обороны по дополнительному испытанию мотора М63 в связи с продолжающимися отказами его в эксплуатации.</w:t>
      </w:r>
    </w:p>
    <w:p w14:paraId="595F0C5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 сентября по 1 октября 1940 года провести испытание моторов М63 на 10 самолетах И153 в 24 авиадивизии (Люберцы) и на 10 самолетах И16 в НИИ ВВС (Чкаловская) с налетом 25-30 часов на каждый самолет (6890, 106).</w:t>
      </w:r>
    </w:p>
    <w:p w14:paraId="2E695B2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ADB5A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17 сентября 1940 в ходе гос. испытаний УТИ-26 в НИИ ВВС, которые проходили с 29 августа по 19 сентября 1940 был проведен полет для испытания ВМГ на номинальной мощности в течение 30 мин. (1:35). Потом был полет для определения маневренности на 1000 м (2944).</w:t>
      </w:r>
    </w:p>
    <w:p w14:paraId="6C2192E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F0E73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сентября 1940 был готов И-26-3 (198,34) и УТИ-26-2, который строили с 25 января 1940 (65,29).</w:t>
      </w:r>
    </w:p>
    <w:p w14:paraId="487F3F7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4B1DC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17 сентября по 28 октября 1940 проходили заводские испытания УТИ-26-2 (2090,234).</w:t>
      </w:r>
    </w:p>
    <w:p w14:paraId="466B674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1671D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сентября 1940 г. приказом №131 произвели пе</w:t>
      </w:r>
      <w:r w:rsidRPr="00A3026E">
        <w:rPr>
          <w:rFonts w:ascii="Times New Roman" w:hAnsi="Times New Roman"/>
          <w:color w:val="000000" w:themeColor="text1"/>
          <w:sz w:val="16"/>
          <w:szCs w:val="16"/>
        </w:rPr>
        <w:softHyphen/>
        <w:t>резакрепление самолетов за авиагруппами и авиаотрядами УПА. СССР-Н303 стали числить за Чукотским авиаотрядом УПА. [РГАЭ, 9570-2- 2971]. В 1944 г. СССР-НЗОЗ эксплуатировался = Игарской авиагруппе в течение августа и сен</w:t>
      </w:r>
      <w:r w:rsidRPr="00A3026E">
        <w:rPr>
          <w:rFonts w:ascii="Times New Roman" w:hAnsi="Times New Roman"/>
          <w:color w:val="000000" w:themeColor="text1"/>
          <w:sz w:val="16"/>
          <w:szCs w:val="16"/>
        </w:rPr>
        <w:softHyphen/>
        <w:t>тября. Налетал 165 часов. [РГАЭ, 9570-2-1242] (11977).</w:t>
      </w:r>
    </w:p>
    <w:p w14:paraId="0BEBAB0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B0E0D0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1517AB2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80EB6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сентября 1940 г. Руководство НКСМ приказом № 31 обязало директора ЛМЗ передать оснастку для изготовления мо</w:t>
      </w:r>
      <w:r w:rsidRPr="00A3026E">
        <w:rPr>
          <w:rFonts w:ascii="Times New Roman" w:hAnsi="Times New Roman"/>
          <w:color w:val="000000" w:themeColor="text1"/>
          <w:sz w:val="16"/>
          <w:szCs w:val="16"/>
        </w:rPr>
        <w:softHyphen/>
        <w:t>тоцикла Л-8 на ИжМЗ и потребовало до конца года изготовить 400 экземпляров этой модели [4.218]. Коллектив ИжМЗ в тот пе</w:t>
      </w:r>
      <w:r w:rsidRPr="00A3026E">
        <w:rPr>
          <w:rFonts w:ascii="Times New Roman" w:hAnsi="Times New Roman"/>
          <w:color w:val="000000" w:themeColor="text1"/>
          <w:sz w:val="16"/>
          <w:szCs w:val="16"/>
        </w:rPr>
        <w:softHyphen/>
        <w:t>риод оказался неподготовленным к изготовлению новой продук</w:t>
      </w:r>
      <w:r w:rsidRPr="00A3026E">
        <w:rPr>
          <w:rFonts w:ascii="Times New Roman" w:hAnsi="Times New Roman"/>
          <w:color w:val="000000" w:themeColor="text1"/>
          <w:sz w:val="16"/>
          <w:szCs w:val="16"/>
        </w:rPr>
        <w:softHyphen/>
        <w:t>ции. Тем не менее сотрудники ИжМЗ взялись за выполнение это</w:t>
      </w:r>
      <w:r w:rsidRPr="00A3026E">
        <w:rPr>
          <w:rFonts w:ascii="Times New Roman" w:hAnsi="Times New Roman"/>
          <w:color w:val="000000" w:themeColor="text1"/>
          <w:sz w:val="16"/>
          <w:szCs w:val="16"/>
        </w:rPr>
        <w:softHyphen/>
        <w:t>го задания, даже прекратили работы по новому мотоциклу ИЖ-10 (двигатель типа 2Т1, 350 см</w:t>
      </w:r>
      <w:r w:rsidRPr="00A3026E">
        <w:rPr>
          <w:rFonts w:ascii="Times New Roman" w:hAnsi="Times New Roman"/>
          <w:color w:val="000000" w:themeColor="text1"/>
          <w:sz w:val="16"/>
          <w:szCs w:val="16"/>
          <w:vertAlign w:val="superscript"/>
        </w:rPr>
        <w:t>3</w:t>
      </w:r>
      <w:r w:rsidRPr="00A3026E">
        <w:rPr>
          <w:rFonts w:ascii="Times New Roman" w:hAnsi="Times New Roman"/>
          <w:color w:val="000000" w:themeColor="text1"/>
          <w:sz w:val="16"/>
          <w:szCs w:val="16"/>
        </w:rPr>
        <w:t>, КП - четырёхступенчатая). Выс</w:t>
      </w:r>
      <w:r w:rsidRPr="00A3026E">
        <w:rPr>
          <w:rFonts w:ascii="Times New Roman" w:hAnsi="Times New Roman"/>
          <w:color w:val="000000" w:themeColor="text1"/>
          <w:sz w:val="16"/>
          <w:szCs w:val="16"/>
        </w:rPr>
        <w:softHyphen/>
        <w:t>вободившиеся специалисты до конца 1940 г. изготовили два опыт</w:t>
      </w:r>
      <w:r w:rsidRPr="00A3026E">
        <w:rPr>
          <w:rFonts w:ascii="Times New Roman" w:hAnsi="Times New Roman"/>
          <w:color w:val="000000" w:themeColor="text1"/>
          <w:sz w:val="16"/>
          <w:szCs w:val="16"/>
        </w:rPr>
        <w:softHyphen/>
        <w:t>ных образца, обозначенного ИЖ-12. Но и в следующем году смогли сделать только 47 таких машин и лишь 43 сдать заказчику [4.217].</w:t>
      </w:r>
    </w:p>
    <w:p w14:paraId="776E3F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приказом № 51 от 8 марта 1941 г. на СМЗ по плану 1940 г. требовалось изготовить 3 тыс. мотоциклов МЛ-3. Однако средств на реконструкцию завода, подготовку производ</w:t>
      </w:r>
      <w:r w:rsidRPr="00A3026E">
        <w:rPr>
          <w:rFonts w:ascii="Times New Roman" w:hAnsi="Times New Roman"/>
          <w:color w:val="000000" w:themeColor="text1"/>
          <w:sz w:val="16"/>
          <w:szCs w:val="16"/>
        </w:rPr>
        <w:softHyphen/>
        <w:t>ства и обучение штата не выделили, поэтому план выполнили только на 4%: сделали 120 мотоциклов [4.167].</w:t>
      </w:r>
    </w:p>
    <w:p w14:paraId="5B9707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приказе по НКСМ № 137 от 30 мая 1941 г. отмечалось, что на ЛМЗ плохо идёт освоение серийного выпуска мотоцикла М-72. При этом Главмотовелопром запретил вносить изменения в тех</w:t>
      </w:r>
      <w:r w:rsidRPr="00A3026E">
        <w:rPr>
          <w:rFonts w:ascii="Times New Roman" w:hAnsi="Times New Roman"/>
          <w:color w:val="000000" w:themeColor="text1"/>
          <w:sz w:val="16"/>
          <w:szCs w:val="16"/>
        </w:rPr>
        <w:softHyphen/>
        <w:t>нологический процесс изготовления механических деталей, раз</w:t>
      </w:r>
      <w:r w:rsidRPr="00A3026E">
        <w:rPr>
          <w:rFonts w:ascii="Times New Roman" w:hAnsi="Times New Roman"/>
          <w:color w:val="000000" w:themeColor="text1"/>
          <w:sz w:val="16"/>
          <w:szCs w:val="16"/>
        </w:rPr>
        <w:softHyphen/>
        <w:t>работанный на ММЗ и заводе «Искра» [4.219]. К тому же ЛМЗ не обеспечили специальным оборудованием в должном объёме.</w:t>
      </w:r>
    </w:p>
    <w:p w14:paraId="4BF7EC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Аналогичные ситуации имели место и на других заводах из-за того, что Главмотовелопром начал действовать не подкреплён</w:t>
      </w:r>
      <w:r w:rsidRPr="00A3026E">
        <w:rPr>
          <w:rFonts w:ascii="Times New Roman" w:hAnsi="Times New Roman"/>
          <w:color w:val="000000" w:themeColor="text1"/>
          <w:sz w:val="16"/>
          <w:szCs w:val="16"/>
        </w:rPr>
        <w:softHyphen/>
        <w:t>ными финансовой поддержкой командными методами. Те же методы оказывали и организующее действие, когда требовалось руководить конкретной и ответственной работой, например, вы</w:t>
      </w:r>
      <w:r w:rsidRPr="00A3026E">
        <w:rPr>
          <w:rFonts w:ascii="Times New Roman" w:hAnsi="Times New Roman"/>
          <w:color w:val="000000" w:themeColor="text1"/>
          <w:sz w:val="16"/>
          <w:szCs w:val="16"/>
        </w:rPr>
        <w:softHyphen/>
        <w:t>пуском тяжёлых мотоциклов во 2 квартале 1941 г. Воплощению этого замысла работники НКСМ придавали большое значение Приказом № 103 от 28 апреля 1941 г. ММЗ обязали приступить к внутризаводским и ходовым испытаниям опытного образца М-72 не позже 29 апреля 1941 г. [4.220], а приказом № 136 от 20 мая 1941 г. утвердили 473 изменения в чертежах М-72, а также 336 из</w:t>
      </w:r>
      <w:r w:rsidRPr="00A3026E">
        <w:rPr>
          <w:rFonts w:ascii="Times New Roman" w:hAnsi="Times New Roman"/>
          <w:color w:val="000000" w:themeColor="text1"/>
          <w:sz w:val="16"/>
          <w:szCs w:val="16"/>
        </w:rPr>
        <w:softHyphen/>
        <w:t>менений по требованиям технологов [4.221]. Приказом № 152 от 9.06.1941 г. подтверждалось завершение проверки готовности ХМЗ к выпуску М-72, и рекомендовались мероприятия по улучше</w:t>
      </w:r>
      <w:r w:rsidRPr="00A3026E">
        <w:rPr>
          <w:rFonts w:ascii="Times New Roman" w:hAnsi="Times New Roman"/>
          <w:color w:val="000000" w:themeColor="text1"/>
          <w:sz w:val="16"/>
          <w:szCs w:val="16"/>
        </w:rPr>
        <w:softHyphen/>
        <w:t>нию работы на многих производственных участках этого завела [4.222] (11429).</w:t>
      </w:r>
    </w:p>
    <w:p w14:paraId="014345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CD18DA5" w14:textId="77777777" w:rsidR="008D6721" w:rsidRPr="00A3026E" w:rsidRDefault="008D672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сентября 1940 г. Комитет обороны при СНК СССР принял постановление № 378сс “О виновниках срыва выполнения постановления Комитета обороны № 145сс о поставке судового оборудования для Военно-морского флота”, где указывались виновные и мера наказания. Так, директор завода “Компрессор” был снят с работы и отдан под суд за срыв всей программы поставки для военного судостроения (завод поставил 1 рефрижераторную установку вместо 4 и полностью проигнорировал планы по компрессорам, парорефрижераторным машинам, углекислотным и фреоновым установкам). Директору Новокраматорского завода К. А. Задорожному объявлен строгий выговор за невыполнение программы и срыв поставок поковок моторным заводам “Русский дизель”, Коломенскому, Воронежскому и Харьковскому турбогенераторному. Выговоры получили директора заводов: № 24 — за самовольное снятие с производства мотора, который должен был быть поставлен Наркомату судостроительной промышленности СССР, Харьковского электромеханического — за самовольное перенесение сроков поставки оборудования (совместно с заместителем директора по спецпроизводству). Получили также выговоры заместитель наркома общего машиностроения П. Суков за непринятые меры по выполнению постановления КО № 145сс и зам. наркома среднего машиностроения Горегляд за необеспечение производства моторов для НКСП на заводе № 75. (ГА РФ. Ф. Р</w:t>
      </w:r>
      <w:r w:rsidRPr="00A3026E">
        <w:rPr>
          <w:rFonts w:ascii="Times New Roman" w:hAnsi="Times New Roman"/>
          <w:color w:val="000000" w:themeColor="text1"/>
          <w:sz w:val="16"/>
          <w:szCs w:val="16"/>
        </w:rPr>
        <w:noBreakHyphen/>
        <w:t>8418. Оп. 28. Д. 121. Л. 268</w:t>
      </w:r>
      <w:r w:rsidRPr="00A3026E">
        <w:rPr>
          <w:rFonts w:ascii="Times New Roman" w:hAnsi="Times New Roman"/>
          <w:color w:val="000000" w:themeColor="text1"/>
          <w:sz w:val="16"/>
          <w:szCs w:val="16"/>
        </w:rPr>
        <w:noBreakHyphen/>
        <w:t>270). (17896).</w:t>
      </w:r>
    </w:p>
    <w:p w14:paraId="5E33B9F9" w14:textId="77777777" w:rsidR="008D6721" w:rsidRPr="00A3026E" w:rsidRDefault="008D6721" w:rsidP="00A3026E">
      <w:pPr>
        <w:spacing w:after="0" w:line="240" w:lineRule="auto"/>
        <w:jc w:val="both"/>
        <w:rPr>
          <w:rFonts w:ascii="Times New Roman" w:hAnsi="Times New Roman"/>
          <w:color w:val="000000" w:themeColor="text1"/>
          <w:sz w:val="16"/>
          <w:szCs w:val="16"/>
        </w:rPr>
      </w:pPr>
    </w:p>
    <w:p w14:paraId="4958CC0D"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 сентября 1940 вышло Постановление Комитета обороны при СНК СССР №378сс "О виновниках срыва выполнения постановления Комитета обороны о поставке судового оборудования для Военно-Морского Флота"</w:t>
      </w:r>
    </w:p>
    <w:p w14:paraId="6E98E20A"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Проверкой установлено, что виновниками срыва выполнения по</w:t>
      </w:r>
      <w:r w:rsidRPr="00A3026E">
        <w:rPr>
          <w:rFonts w:ascii="Times New Roman" w:hAnsi="Times New Roman"/>
          <w:color w:val="0070C0"/>
          <w:sz w:val="16"/>
          <w:szCs w:val="16"/>
        </w:rPr>
        <w:softHyphen/>
        <w:t>становления Комитета Обороны X 145сс о поставке судового обору</w:t>
      </w:r>
      <w:r w:rsidRPr="00A3026E">
        <w:rPr>
          <w:rFonts w:ascii="Times New Roman" w:hAnsi="Times New Roman"/>
          <w:color w:val="0070C0"/>
          <w:sz w:val="16"/>
          <w:szCs w:val="16"/>
        </w:rPr>
        <w:softHyphen/>
        <w:t>дования для Военно-Морского Флота являются:</w:t>
      </w:r>
    </w:p>
    <w:p w14:paraId="7A24993C"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Директор завода ’’Компрессор" Наркомобщмаша т.Ударов, который сорвал программу поставок Военно Мерскому Флоту, ут</w:t>
      </w:r>
      <w:r w:rsidRPr="00A3026E">
        <w:rPr>
          <w:rFonts w:ascii="Times New Roman" w:hAnsi="Times New Roman"/>
          <w:color w:val="0070C0"/>
          <w:sz w:val="16"/>
          <w:szCs w:val="16"/>
        </w:rPr>
        <w:softHyphen/>
        <w:t>вержденную Комитетом Обороны по заводу "Компрессор". В течение 7 месяцев 1940г. завод "Компрессор" должен был поставить 4 компрессора, 8 углекислотных установок, 2 парорефрижераторннх машины, 4 рефрижераторные установки и 1 фрионовую установку. Из этой программы завод "Компрессор" выполнил только 1 рефри</w:t>
      </w:r>
      <w:r w:rsidRPr="00A3026E">
        <w:rPr>
          <w:rFonts w:ascii="Times New Roman" w:hAnsi="Times New Roman"/>
          <w:color w:val="0070C0"/>
          <w:sz w:val="16"/>
          <w:szCs w:val="16"/>
        </w:rPr>
        <w:softHyphen/>
        <w:t>жераторную установку.</w:t>
      </w:r>
    </w:p>
    <w:p w14:paraId="69177985"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Директор Ново-Краматорского завода Наркомтяжмада тов. Задорожный из 90 штук судовых валов, которые должны быть сданы в течение 7 месяцев 1940 года, сдал лишь 40; из 120 тонн поко</w:t>
      </w:r>
      <w:r w:rsidRPr="00A3026E">
        <w:rPr>
          <w:rFonts w:ascii="Times New Roman" w:hAnsi="Times New Roman"/>
          <w:color w:val="0070C0"/>
          <w:sz w:val="16"/>
          <w:szCs w:val="16"/>
        </w:rPr>
        <w:softHyphen/>
        <w:t>вок "Баллер руля" для судовых механизмов не сдал ничего; из 392 тонн стального литья по проекту 69 сдал только 122 тони. Кроме того, т. Задорожный сорвал поставку для Харьковского турбо</w:t>
      </w:r>
      <w:r w:rsidRPr="00A3026E">
        <w:rPr>
          <w:rFonts w:ascii="Times New Roman" w:hAnsi="Times New Roman"/>
          <w:color w:val="0070C0"/>
          <w:sz w:val="16"/>
          <w:szCs w:val="16"/>
        </w:rPr>
        <w:softHyphen/>
        <w:t>генераторного завода, изготовляющего паровые турбины для строя</w:t>
      </w:r>
      <w:r w:rsidRPr="00A3026E">
        <w:rPr>
          <w:rFonts w:ascii="Times New Roman" w:hAnsi="Times New Roman"/>
          <w:color w:val="0070C0"/>
          <w:sz w:val="16"/>
          <w:szCs w:val="16"/>
        </w:rPr>
        <w:softHyphen/>
        <w:t>щихся линкоров и крейсеров по проекту 68: из 48 тонн поковок легированной стали, которые он должен был поставить в течение 7 месяцев 1940 года, не поставлено ничего; из 916 тонн сталь</w:t>
      </w:r>
      <w:r w:rsidRPr="00A3026E">
        <w:rPr>
          <w:rFonts w:ascii="Times New Roman" w:hAnsi="Times New Roman"/>
          <w:color w:val="0070C0"/>
          <w:sz w:val="16"/>
          <w:szCs w:val="16"/>
        </w:rPr>
        <w:softHyphen/>
        <w:t>ного фдсонного литья сдано лишь 362 тонны; из 114 тонн бронзо</w:t>
      </w:r>
      <w:r w:rsidRPr="00A3026E">
        <w:rPr>
          <w:rFonts w:ascii="Times New Roman" w:hAnsi="Times New Roman"/>
          <w:color w:val="0070C0"/>
          <w:sz w:val="16"/>
          <w:szCs w:val="16"/>
        </w:rPr>
        <w:softHyphen/>
        <w:t>вого литья поставлена 51 тонна. В связи с этим изготовление турбин на Харьковском турбогенераторном заводе отодвинулось на 6-7 месяцев. Пово-Краматорсклд завод также систематически сры</w:t>
      </w:r>
      <w:r w:rsidRPr="00A3026E">
        <w:rPr>
          <w:rFonts w:ascii="Times New Roman" w:hAnsi="Times New Roman"/>
          <w:color w:val="0070C0"/>
          <w:sz w:val="16"/>
          <w:szCs w:val="16"/>
        </w:rPr>
        <w:softHyphen/>
        <w:t>вает поставку поковок для коленчатых валов заводам, изготов</w:t>
      </w:r>
      <w:r w:rsidRPr="00A3026E">
        <w:rPr>
          <w:rFonts w:ascii="Times New Roman" w:hAnsi="Times New Roman"/>
          <w:color w:val="0070C0"/>
          <w:sz w:val="16"/>
          <w:szCs w:val="16"/>
        </w:rPr>
        <w:softHyphen/>
        <w:t>ляющим дизеля, - заводу "Русский Дизель", Коломенскому и Во</w:t>
      </w:r>
      <w:r w:rsidRPr="00A3026E">
        <w:rPr>
          <w:rFonts w:ascii="Times New Roman" w:hAnsi="Times New Roman"/>
          <w:color w:val="0070C0"/>
          <w:sz w:val="16"/>
          <w:szCs w:val="16"/>
        </w:rPr>
        <w:softHyphen/>
        <w:t>ронежскому.</w:t>
      </w:r>
    </w:p>
    <w:p w14:paraId="449DE4B8"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Директор коломенского завода г.Коньшин и главный инженер тов. Яковлев задержали поставку дизелей разных марок в количестве 27 штук и муфт "Бамаг" в количестве 37 штук. Семимесячная программа по зап</w:t>
      </w:r>
      <w:r w:rsidRPr="00A3026E">
        <w:rPr>
          <w:rFonts w:ascii="Times New Roman" w:hAnsi="Times New Roman"/>
          <w:color w:val="0070C0"/>
          <w:sz w:val="16"/>
          <w:szCs w:val="16"/>
        </w:rPr>
        <w:softHyphen/>
        <w:t>частям для Нпркомсуддроиа выполнена заводом только ка 18%. Кроме то</w:t>
      </w:r>
      <w:r w:rsidRPr="00A3026E">
        <w:rPr>
          <w:rFonts w:ascii="Times New Roman" w:hAnsi="Times New Roman"/>
          <w:color w:val="0070C0"/>
          <w:sz w:val="16"/>
          <w:szCs w:val="16"/>
        </w:rPr>
        <w:softHyphen/>
        <w:t>го, т. Коньшин л т.Яковлев до июля месяца из-за неподготовки произ</w:t>
      </w:r>
      <w:r w:rsidRPr="00A3026E">
        <w:rPr>
          <w:rFonts w:ascii="Times New Roman" w:hAnsi="Times New Roman"/>
          <w:color w:val="0070C0"/>
          <w:sz w:val="16"/>
          <w:szCs w:val="16"/>
        </w:rPr>
        <w:softHyphen/>
        <w:t>водства не планировали товарного выпуска муфт "13Р" к дизелям "9ДКР" вследствие чего готовые дизеля "9ДКР" задержались монтажей из-за отсутствия указанных муфт.</w:t>
      </w:r>
    </w:p>
    <w:p w14:paraId="785C34EA"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Директор Харьковского электромеханического завода тов. Скидаченко и зам. директора по спецпроизводству этого же завода т. Грицай из 267 позиций, которые должны быть отгружены в течение 7 месяцев 1940г., отгрузили только 156, из которых до 70 позиций были отгруже</w:t>
      </w:r>
      <w:r w:rsidRPr="00A3026E">
        <w:rPr>
          <w:rFonts w:ascii="Times New Roman" w:hAnsi="Times New Roman"/>
          <w:color w:val="0070C0"/>
          <w:sz w:val="16"/>
          <w:szCs w:val="16"/>
        </w:rPr>
        <w:softHyphen/>
        <w:t>ны с опозданием от 1 до 5 месяцев. Тов.тов. Скаданенко и Грицай самовольно изменили сроки поставок 56 позиций, а 5 позиций, чрезвычайно важных для Наркомсудпрома, ими не включались в программу завода до 1 июня.</w:t>
      </w:r>
    </w:p>
    <w:p w14:paraId="0466FF8E"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Директор завода № 24 Наркомавиапрома тов. Дубов, который обя</w:t>
      </w:r>
      <w:r w:rsidRPr="00A3026E">
        <w:rPr>
          <w:rFonts w:ascii="Times New Roman" w:hAnsi="Times New Roman"/>
          <w:color w:val="0070C0"/>
          <w:sz w:val="16"/>
          <w:szCs w:val="16"/>
        </w:rPr>
        <w:softHyphen/>
        <w:t>зан был в первом полугодии приступать к изготовлению устанавочной партии моторов ГАМ-35Фг., самовольно прекратил производство моторов и, несмотря на вторичное подтверждение постановления Комитета Обороны, производство их не возобновил.</w:t>
      </w:r>
    </w:p>
    <w:p w14:paraId="7E669883"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Зам. Наркома Общего машиностроения т. Суков, который был пре</w:t>
      </w:r>
      <w:r w:rsidRPr="00A3026E">
        <w:rPr>
          <w:rFonts w:ascii="Times New Roman" w:hAnsi="Times New Roman"/>
          <w:color w:val="0070C0"/>
          <w:sz w:val="16"/>
          <w:szCs w:val="16"/>
        </w:rPr>
        <w:softHyphen/>
        <w:t>дупрежден решением Комитета Обороны № 145сс о персональной ответ</w:t>
      </w:r>
      <w:r w:rsidRPr="00A3026E">
        <w:rPr>
          <w:rFonts w:ascii="Times New Roman" w:hAnsi="Times New Roman"/>
          <w:color w:val="0070C0"/>
          <w:sz w:val="16"/>
          <w:szCs w:val="16"/>
        </w:rPr>
        <w:softHyphen/>
        <w:t>ственности за выполнение заказа, не принял необходимых мер к его вы</w:t>
      </w:r>
      <w:r w:rsidRPr="00A3026E">
        <w:rPr>
          <w:rFonts w:ascii="Times New Roman" w:hAnsi="Times New Roman"/>
          <w:color w:val="0070C0"/>
          <w:sz w:val="16"/>
          <w:szCs w:val="16"/>
        </w:rPr>
        <w:softHyphen/>
        <w:t>полнению, не контролировал работу предприятий и допустил по заводам Наркомата срыв поставки оборудования Военно-Морскому Флоту.</w:t>
      </w:r>
    </w:p>
    <w:p w14:paraId="40F5E70E"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Зам. Наркома Среднего машиностроения т. Горегляд не принял мер к производству на заводе № 75 специального дизеля "В2" 400 лош. сил и тем самым сорвал поставку 7 моторов в марте и 7 моторов в апреле, которые не начаты производством до настоящего времени.</w:t>
      </w:r>
    </w:p>
    <w:p w14:paraId="34ADDB87"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Зам.Наркома Тяжелого машиностроения тов. Акопов, персонально отвечающий за выполнение постановления Комитета Обороны № 145сс, не руководил его выполнением, не проверял состояние дел на заводах и допустил изменение сроков поставки отдельных видов оборудования.</w:t>
      </w:r>
    </w:p>
    <w:p w14:paraId="0CCBA2E9"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Исходя из этого, Комитет Обороны при СНК Союза ССР ПОСТАНОВЛЯЕТ:</w:t>
      </w:r>
    </w:p>
    <w:p w14:paraId="7B358874"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Директора завода "Компрессор? Няркомобщмвша т. Ударова за срыв всей программы поставки Военного судостроения по заводу "Компрессор" снять с работы и отдать под суд.</w:t>
      </w:r>
    </w:p>
    <w:p w14:paraId="4FC0B2BD"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Директору Ново-Краматорского завода Нархомтяжмаша тов .Задо</w:t>
      </w:r>
      <w:r w:rsidRPr="00A3026E">
        <w:rPr>
          <w:rFonts w:ascii="Times New Roman" w:hAnsi="Times New Roman"/>
          <w:color w:val="0070C0"/>
          <w:sz w:val="16"/>
          <w:szCs w:val="16"/>
        </w:rPr>
        <w:softHyphen/>
        <w:t>рожному за невыполнение плана поставок для военного судостроения объя</w:t>
      </w:r>
      <w:r w:rsidRPr="00A3026E">
        <w:rPr>
          <w:rFonts w:ascii="Times New Roman" w:hAnsi="Times New Roman"/>
          <w:color w:val="0070C0"/>
          <w:sz w:val="16"/>
          <w:szCs w:val="16"/>
        </w:rPr>
        <w:softHyphen/>
        <w:t>вить строгий выговор.</w:t>
      </w:r>
    </w:p>
    <w:p w14:paraId="2E95EC61"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Директору Коломенского завода Наркомтяжмаша т.Коньшину и главному инженеру этого же завода т.Яковлеву указать на допущенную ими недисциплинированность в отношении выполнения постановления Коми</w:t>
      </w:r>
      <w:r w:rsidRPr="00A3026E">
        <w:rPr>
          <w:rFonts w:ascii="Times New Roman" w:hAnsi="Times New Roman"/>
          <w:color w:val="0070C0"/>
          <w:sz w:val="16"/>
          <w:szCs w:val="16"/>
        </w:rPr>
        <w:softHyphen/>
        <w:t>тета Обороны № 145сс.</w:t>
      </w:r>
    </w:p>
    <w:p w14:paraId="489A1869"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Директору завода 24 Наркомавиапрома тов. Дубову за само</w:t>
      </w:r>
      <w:r w:rsidRPr="00A3026E">
        <w:rPr>
          <w:rFonts w:ascii="Times New Roman" w:hAnsi="Times New Roman"/>
          <w:color w:val="0070C0"/>
          <w:sz w:val="16"/>
          <w:szCs w:val="16"/>
        </w:rPr>
        <w:softHyphen/>
        <w:t>вольное снятие с производства мотора, который он должен был поставить Наркомсудпрому, согласно решению Комитета Обороны № 145сс, об'явить выговор.</w:t>
      </w:r>
    </w:p>
    <w:p w14:paraId="5AA73F72"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Директору Харьковского электромеханического завода тов. Скиданенко и зам. директора по спецпроизводетву этого же завода тов.Грицая за самовольное перенесение сроков поставки оборудования объявить выговор.</w:t>
      </w:r>
    </w:p>
    <w:p w14:paraId="5D39E74E"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Заместителю наркома Общего машиностроения тов. Сукову за непринятие мер по выполнению постановления Комитета Обороны № 145сс предприятиями Наркомобщемаша об’явить выговор.</w:t>
      </w:r>
    </w:p>
    <w:p w14:paraId="116B94F3"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Заместителю Наркома Среднего машиностроения тов. Горегляду за необеспечение производства моторов Наркомсудпрому на заводе № 75 об’явить выговор.</w:t>
      </w:r>
    </w:p>
    <w:p w14:paraId="673DDA2F"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noProof/>
          <w:color w:val="0070C0"/>
          <w:sz w:val="16"/>
          <w:szCs w:val="16"/>
        </w:rPr>
        <w:lastRenderedPageBreak/>
        <mc:AlternateContent>
          <mc:Choice Requires="wps">
            <w:drawing>
              <wp:anchor distT="0" distB="0" distL="0" distR="0" simplePos="0" relativeHeight="251661312" behindDoc="0" locked="0" layoutInCell="1" allowOverlap="1" wp14:anchorId="474D8374" wp14:editId="03B8C7E5">
                <wp:simplePos x="0" y="0"/>
                <wp:positionH relativeFrom="page">
                  <wp:posOffset>5019040</wp:posOffset>
                </wp:positionH>
                <wp:positionV relativeFrom="paragraph">
                  <wp:posOffset>457200</wp:posOffset>
                </wp:positionV>
                <wp:extent cx="2077720" cy="149860"/>
                <wp:effectExtent l="0" t="0" r="0" b="0"/>
                <wp:wrapSquare wrapText="bothSides"/>
                <wp:docPr id="448" name="Надпись 448"/>
                <wp:cNvGraphicFramePr/>
                <a:graphic xmlns:a="http://schemas.openxmlformats.org/drawingml/2006/main">
                  <a:graphicData uri="http://schemas.microsoft.com/office/word/2010/wordprocessingShape">
                    <wps:wsp>
                      <wps:cNvSpPr txBox="1"/>
                      <wps:spPr>
                        <a:xfrm>
                          <a:off x="0" y="0"/>
                          <a:ext cx="2077085" cy="149860"/>
                        </a:xfrm>
                        <a:prstGeom prst="rect">
                          <a:avLst/>
                        </a:prstGeom>
                        <a:noFill/>
                      </wps:spPr>
                      <wps:txbx>
                        <w:txbxContent>
                          <w:p w14:paraId="63C2EBAC" w14:textId="77777777" w:rsidR="00711384" w:rsidRDefault="00711384" w:rsidP="00711384">
                            <w:pPr>
                              <w:spacing w:line="240" w:lineRule="auto"/>
                            </w:pPr>
                            <w:r>
                              <w:t>.</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 w14:anchorId="474D8374" id="Надпись 448" o:spid="_x0000_s1027" type="#_x0000_t202" style="position:absolute;left:0;text-align:left;margin-left:395.2pt;margin-top:36pt;width:163.6pt;height:11.8pt;z-index:251661312;visibility:visible;mso-wrap-style:non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" filled="f" stroked="f">
                <v:textbox inset="0,0,0,0">
                  <w:txbxContent>
                    <w:p w14:paraId="63C2EBAC" w14:textId="77777777" w:rsidR="00711384" w:rsidRDefault="00711384" w:rsidP="00711384">
                      <w:pPr>
                        <w:spacing w:line="240" w:lineRule="auto"/>
                      </w:pPr>
                      <w:r>
                        <w:t>.</w:t>
                      </w:r>
                    </w:p>
                  </w:txbxContent>
                </v:textbox>
                <w10:wrap type="square" anchorx="page"/>
              </v:shape>
            </w:pict>
          </mc:Fallback>
        </mc:AlternateContent>
      </w:r>
      <w:r w:rsidRPr="00A3026E">
        <w:rPr>
          <w:rFonts w:ascii="Times New Roman" w:hAnsi="Times New Roman"/>
          <w:color w:val="0070C0"/>
          <w:sz w:val="16"/>
          <w:szCs w:val="16"/>
        </w:rPr>
        <w:t>8. Предупредить заместителя Наркома Тяжелого машиностроения тов. Акопова, что в случае непринятия им в дальнейшем необходимых мер, обеспечгвяющих выполнение постановления Комитета Обороны № 145сс, он будет излечен к строжайшей ответственности (22039).</w:t>
      </w:r>
    </w:p>
    <w:p w14:paraId="4AE827D9" w14:textId="77777777" w:rsidR="00711384" w:rsidRPr="00A3026E" w:rsidRDefault="00711384" w:rsidP="00A3026E">
      <w:pPr>
        <w:spacing w:after="0" w:line="240" w:lineRule="auto"/>
        <w:jc w:val="both"/>
        <w:rPr>
          <w:rFonts w:ascii="Times New Roman" w:hAnsi="Times New Roman"/>
          <w:color w:val="0070C0"/>
          <w:sz w:val="16"/>
          <w:szCs w:val="16"/>
        </w:rPr>
      </w:pPr>
    </w:p>
    <w:p w14:paraId="0172724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1E97678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E60147F"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 сентября 1940 - Самолеты с британского авианосца HMS Illustrious совершает налет на Бенгази, Ливия (20795).</w:t>
      </w:r>
    </w:p>
    <w:p w14:paraId="16FF0802" w14:textId="77777777" w:rsidR="00711384" w:rsidRPr="00A3026E" w:rsidRDefault="00711384" w:rsidP="00A3026E">
      <w:pPr>
        <w:spacing w:after="0" w:line="240" w:lineRule="auto"/>
        <w:jc w:val="both"/>
        <w:rPr>
          <w:rFonts w:ascii="Times New Roman" w:hAnsi="Times New Roman"/>
          <w:color w:val="0070C0"/>
          <w:sz w:val="16"/>
          <w:szCs w:val="16"/>
        </w:rPr>
      </w:pPr>
    </w:p>
    <w:p w14:paraId="316BC6C4" w14:textId="77777777" w:rsidR="00F069D4" w:rsidRPr="00A3026E" w:rsidRDefault="00F069D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17 сентября 1940 г. тяжелый британский крейсер «Кент» у берегов Ливии торпедирован итальянским торпедоносцем «Савойя-Марчетти-79» и выведен из строя до конца года. Это одна из первых побед итальянских самолетов-торпедоносцев (17398).</w:t>
      </w:r>
    </w:p>
    <w:p w14:paraId="0EB523F0" w14:textId="77777777" w:rsidR="00F069D4" w:rsidRPr="00A3026E" w:rsidRDefault="00F069D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630580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rPr>
        <w:t xml:space="preserve">17 сентября 1940 Гитлер принял решение об отсрочке вторжения в Англию </w:t>
      </w:r>
      <w:r w:rsidRPr="00A3026E">
        <w:rPr>
          <w:rFonts w:ascii="Times New Roman" w:hAnsi="Times New Roman"/>
          <w:color w:val="000000" w:themeColor="text1"/>
          <w:sz w:val="16"/>
          <w:szCs w:val="16"/>
          <w:lang w:val="en-US"/>
        </w:rPr>
        <w:t>(4962).</w:t>
      </w:r>
    </w:p>
    <w:p w14:paraId="17AE29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lang w:val="en-US"/>
        </w:rPr>
      </w:pPr>
    </w:p>
    <w:p w14:paraId="0F69965E"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17 September 1940 Hitler postpones planned invasion of Britain (270).</w:t>
      </w:r>
    </w:p>
    <w:p w14:paraId="60BA41EE"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648020A0"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 xml:space="preserve">17 </w:t>
      </w:r>
      <w:r w:rsidRPr="00A3026E">
        <w:rPr>
          <w:rFonts w:ascii="Times New Roman" w:hAnsi="Times New Roman"/>
          <w:color w:val="000000" w:themeColor="text1"/>
          <w:sz w:val="16"/>
          <w:szCs w:val="16"/>
        </w:rPr>
        <w:t>сентября</w:t>
      </w:r>
      <w:r w:rsidRPr="00A3026E">
        <w:rPr>
          <w:rFonts w:ascii="Times New Roman" w:hAnsi="Times New Roman"/>
          <w:color w:val="000000" w:themeColor="text1"/>
          <w:sz w:val="16"/>
          <w:szCs w:val="16"/>
          <w:lang w:val="en-US"/>
        </w:rPr>
        <w:t xml:space="preserve"> 1940 </w:t>
      </w: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lang w:val="en-US"/>
        </w:rPr>
        <w:t>.</w:t>
      </w:r>
      <w:r w:rsidRPr="00A3026E">
        <w:rPr>
          <w:rFonts w:ascii="Times New Roman" w:hAnsi="Times New Roman"/>
          <w:color w:val="000000" w:themeColor="text1"/>
          <w:sz w:val="16"/>
          <w:szCs w:val="16"/>
        </w:rPr>
        <w:t>ГитлеротложилвторжениевАнглию</w:t>
      </w:r>
      <w:r w:rsidRPr="00A3026E">
        <w:rPr>
          <w:rFonts w:ascii="Times New Roman" w:hAnsi="Times New Roman"/>
          <w:color w:val="000000" w:themeColor="text1"/>
          <w:sz w:val="16"/>
          <w:szCs w:val="16"/>
          <w:lang w:val="en-US"/>
        </w:rPr>
        <w:t>(270).</w:t>
      </w:r>
    </w:p>
    <w:p w14:paraId="227079D0"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4FFDD250" w14:textId="77777777" w:rsidR="009041AB" w:rsidRPr="00A3026E" w:rsidRDefault="009041AB"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17 сентября </w:t>
      </w:r>
      <w:r w:rsidRPr="00A3026E">
        <w:rPr>
          <w:rFonts w:ascii="Times New Roman" w:hAnsi="Times New Roman"/>
          <w:color w:val="000000" w:themeColor="text1"/>
          <w:sz w:val="16"/>
          <w:szCs w:val="16"/>
        </w:rPr>
        <w:t>в 1940 году операция по захвату Великобритании «Морской Лев» отложена на неопределенное время (14772).</w:t>
      </w:r>
    </w:p>
    <w:p w14:paraId="577A3847" w14:textId="77777777" w:rsidR="009041AB" w:rsidRPr="00A3026E" w:rsidRDefault="009041AB" w:rsidP="00A3026E">
      <w:pPr>
        <w:spacing w:after="0" w:line="240" w:lineRule="auto"/>
        <w:jc w:val="both"/>
        <w:rPr>
          <w:rFonts w:ascii="Times New Roman" w:hAnsi="Times New Roman"/>
          <w:color w:val="000000" w:themeColor="text1"/>
          <w:sz w:val="16"/>
          <w:szCs w:val="16"/>
        </w:rPr>
      </w:pPr>
    </w:p>
    <w:p w14:paraId="06CDE7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сентября 1940 г Паулюс доложил Нач. Генштаба Гельдеру, что нападение на СССР рискованно, но возможно. Необходимо 110-120 дивизий (2536,157).</w:t>
      </w:r>
    </w:p>
    <w:p w14:paraId="242CFB2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CAB175F" w14:textId="77777777" w:rsidR="00F069D4" w:rsidRPr="00A3026E" w:rsidRDefault="00F069D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17 сентября 1940 г. Английский экспедиционный корпус, отряды «Свободной Франции» и сам генерал Шарль де Голль высадился во Фритауне. Главная цель экспедиции – порт Дакар в Сенегале – колонии «вишистской» Франции (17398).</w:t>
      </w:r>
    </w:p>
    <w:p w14:paraId="7AAC9769" w14:textId="77777777" w:rsidR="00F069D4" w:rsidRPr="00A3026E" w:rsidRDefault="00F069D4" w:rsidP="00A3026E">
      <w:pPr>
        <w:spacing w:after="0" w:line="240" w:lineRule="auto"/>
        <w:jc w:val="both"/>
        <w:rPr>
          <w:rFonts w:ascii="Times New Roman" w:hAnsi="Times New Roman"/>
          <w:color w:val="000000" w:themeColor="text1"/>
          <w:sz w:val="16"/>
          <w:szCs w:val="16"/>
        </w:rPr>
      </w:pPr>
    </w:p>
    <w:p w14:paraId="4A3999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сентября 1940 итальянские войска вторглись в Египет из Ливии (2244,7).</w:t>
      </w:r>
    </w:p>
    <w:p w14:paraId="1ECBFEF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0033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сентября 1940 А.Г. лишил евреев собственности (3481).</w:t>
      </w:r>
    </w:p>
    <w:p w14:paraId="09B628B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C44E95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AB9A2C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EA667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и 7 ГУ Семенов писал Докладную записку Зам. нач. 7 ГУ С.Н.Шишкину по вопросу установки на самолет ОПБ мотора М-81:</w:t>
      </w:r>
    </w:p>
    <w:p w14:paraId="00E86C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на самолет ОПБ мотора М-81 потребует конструктивной разработки и изготовления чертежей...</w:t>
      </w:r>
    </w:p>
    <w:p w14:paraId="6F9371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в КБ эта работа проводится со сроком окончания с 1 октября 1940.</w:t>
      </w:r>
    </w:p>
    <w:p w14:paraId="068668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производстве же эта работа по переделкам потребует 40-50 тыс. чел. часов и вряд ли сможет быть выполнена в сроки, установленные правительством.</w:t>
      </w:r>
    </w:p>
    <w:p w14:paraId="6D513B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представленного эскизного проекта по сравнению с данными, указанными в приказе наркома N 399с макс. скорость ОПБ будет 565 вместо 600 км/час." (2062,86).</w:t>
      </w:r>
    </w:p>
    <w:p w14:paraId="60623DA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E44D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года самолет И-135 "330" – гл. конструктор Сухой, Завод № 135сделал 2 полета продолжительностью 45 минут для отработки температурного режима мотора с включенными ТК-2 до высоты 5000 м. Полеты показали, что температуры воды и масла находится в пределах нормы (температура выходящей воды и масла была не выше 100 и 107 градусов соответственно). Перед второй посадкой левая нога шасси выпустилась не полностью, летчик убрал шасси, выпустил их и дотянул аварийной лебедкой, посадка произведена нормально. При осмотре шасси обнаружен конструктивный недостаток в механизме поворота колеса, который уже устранен. Кроме того, стал подтекать кран шасси, устранение течи гидравлического крана шасси к 23 сентября не было окончено. На самолете устанавливалась "НАЯДА" для полетов по замеру расхода горючего (3377, 21).</w:t>
      </w:r>
    </w:p>
    <w:p w14:paraId="587F9C7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2A292A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18 сентября по 27 декабря 1940 года 1 экз. самолета И-21 Пашинина проходил гос. испытания в НИИ ВВС. Гос. испытания самолет не выдержал, вследствие его неустойчивости и сложности техники пилотирования (4048,4).</w:t>
      </w:r>
    </w:p>
    <w:p w14:paraId="21E1734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10F42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года на самолете И-21 экземпляр № 1 до принятия самолета на госиспытания, в порядке заводских испытаний летчики НИИ ВВС, которые приступили к работа с 27 августа закончили предварительные испытания. Было сделано 5 полетов летчиками НИИ ВВС, во время которых была выявлена недостаточная поперечная устойчивость самолета, как в продольном отношении, так и отношении пути.</w:t>
      </w:r>
    </w:p>
    <w:p w14:paraId="218589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Неустойчивость в продольном отношении самолет имел из-за чрезвычайно задней центровки (34% САХ).</w:t>
      </w:r>
    </w:p>
    <w:p w14:paraId="1AF522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целью улучшения продольной устойчивости, центровка была искусственно доведена до 29% САХ при убранном шасси, однако и при этой центровке самолет остался неустойчивым в продольном отношении.</w:t>
      </w:r>
    </w:p>
    <w:p w14:paraId="492D69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проверке максимальных скоростей на расчетной высоте, получены значительно меньшие скорости, чем по заводским данным, а именно:</w:t>
      </w:r>
    </w:p>
    <w:p w14:paraId="6E2B7F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данным завода № 21 V максимальная – 628 км/час на гр. высоте</w:t>
      </w:r>
    </w:p>
    <w:p w14:paraId="15CB68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данным НИИ ВВС V максимальная – 559 км/час на гр. высоте</w:t>
      </w:r>
    </w:p>
    <w:p w14:paraId="378148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выявленных дефектов самолет на госиспытания принят не был и отправлен на завод № 21 для доводки (4189,144-171).</w:t>
      </w:r>
    </w:p>
    <w:p w14:paraId="75D5E4F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9BD89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18 сентября по 12 ноября 1940 года самолет И-21 находился на доводке на заводе № 21, где устранялись конструктивные и эксплуатационные дефекты, выявленные во время предварительных полетов. Была проделана следующая работа:</w:t>
      </w:r>
    </w:p>
    <w:p w14:paraId="675304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 целью улучшения центровки, была придана стрельчатость крылу в плане, чем достигнута центровка 24,5% САХ при убранном шасси;</w:t>
      </w:r>
    </w:p>
    <w:p w14:paraId="76EDC0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переделаны водомаслосистемы: изменена заправка водой – сделана через блок; в маслосистеме поставлен автоматический клапан, регулирующий прокачку масла через каждый радиатор;</w:t>
      </w:r>
    </w:p>
    <w:p w14:paraId="1A08E1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проведен ряд других, более мелких переделок.</w:t>
      </w:r>
    </w:p>
    <w:p w14:paraId="61AF16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окончания указанных переделок, самолет вторично – 12 ноября 1940 года поступил на госиспытания в НИИ ВВС (4189,144-171).</w:t>
      </w:r>
    </w:p>
    <w:p w14:paraId="14F0B85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1DDD9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18 сентября по 12 октября 1940 И-26-3 проходил дополнительные заводские испытания. Бригада включала летчика С.А.Корзинщикова, ведущего инженера А.И.Ястребова, техника Ф.З.Сбитнева и выполнили 27 полетов. Сделали вывод, что можно передавать на гос. испытания (65,22).</w:t>
      </w:r>
    </w:p>
    <w:p w14:paraId="66FA27C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5D5CD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в ходе гос. испытаний УТИ-26 в НИИ ВВС, которые проходили с 29 августа по 19 сентября 1940 был Кубышкин произвел два полета на штопор. Стефановский наблюдал в воздухе с И-15бис. Потом еще 2 полета для испытания на боковую и продольную устойчивость и динамическую устойчивость при нормальной центровке (2944).</w:t>
      </w:r>
    </w:p>
    <w:p w14:paraId="16395BC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18399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18 сентября по 12 октября 1940 проводились заводские испытания И-26-3. Проводил С.А.Корзинщиков. В конструкции были учтены недостатки двух предыдущих прототипов и до 107% разрушающей нагрузки была увеличена прочность крыла. Масса выросла еще на 100 кг, но машина могла выполнять все фигуры пилотажа и была отстреляна (3417,3).</w:t>
      </w:r>
    </w:p>
    <w:p w14:paraId="209419F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CB4C4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18 сентября 1940 г. закончили эскизный проект ТИС. Для крыла использовался профиль НАСА-23012. Н.Н.Поликарпов так характеризовал основные осо</w:t>
      </w:r>
      <w:r w:rsidRPr="00A3026E">
        <w:rPr>
          <w:rFonts w:ascii="Times New Roman" w:hAnsi="Times New Roman"/>
          <w:color w:val="000000" w:themeColor="text1"/>
          <w:sz w:val="16"/>
          <w:szCs w:val="16"/>
        </w:rPr>
        <w:softHyphen/>
        <w:t>бенности машины:</w:t>
      </w:r>
    </w:p>
    <w:p w14:paraId="6DEB6B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«Предлагаемый нами самолет запроектирован как скоростной двухместный истребитель дальнего дейст</w:t>
      </w:r>
      <w:r w:rsidRPr="00A3026E">
        <w:rPr>
          <w:rFonts w:ascii="Times New Roman" w:hAnsi="Times New Roman"/>
          <w:color w:val="000000" w:themeColor="text1"/>
          <w:sz w:val="16"/>
          <w:szCs w:val="16"/>
        </w:rPr>
        <w:softHyphen/>
        <w:t>вия с двумя моторами АМ-35 или АМ-37.</w:t>
      </w:r>
    </w:p>
    <w:p w14:paraId="7B95A6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 аэродинамическим расчетам эскизного проекта скоростные данные самолета ТИС не уступают лучшим одноместным истребителям, а именно:</w:t>
      </w:r>
    </w:p>
    <w:p w14:paraId="37240C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Ушах с мотором АМ-35А = 625 км/ч на высоте 8000 м, а с мотором АМ-37 = 652 км/ч на высоте 7400 м.</w:t>
      </w:r>
    </w:p>
    <w:p w14:paraId="7CF3EB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Техническая дальность на 0,9 Углах колеблется от 1200 км с нормальным запасом бензина до 1920 км в пе</w:t>
      </w:r>
      <w:r w:rsidRPr="00A3026E">
        <w:rPr>
          <w:rFonts w:ascii="Times New Roman" w:hAnsi="Times New Roman"/>
          <w:color w:val="000000" w:themeColor="text1"/>
          <w:sz w:val="16"/>
          <w:szCs w:val="16"/>
        </w:rPr>
        <w:softHyphen/>
        <w:t>регрузочном варианте.</w:t>
      </w:r>
    </w:p>
    <w:p w14:paraId="34A9B5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Вооружение самолета состоит из неподвижных ус</w:t>
      </w:r>
      <w:r w:rsidRPr="00A3026E">
        <w:rPr>
          <w:rFonts w:ascii="Times New Roman" w:hAnsi="Times New Roman"/>
          <w:color w:val="000000" w:themeColor="text1"/>
          <w:sz w:val="16"/>
          <w:szCs w:val="16"/>
        </w:rPr>
        <w:softHyphen/>
        <w:t>тановок, стреляющих вперед: 4 ШКАСа, 2 пушки ШВАК калибра 20 мм, 2 крупнокалиберных пулемета Березина и 2 подвижных ШКАС для задней полусферы.</w:t>
      </w:r>
    </w:p>
    <w:p w14:paraId="6DA862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 Для расширения возможности боевого примене</w:t>
      </w:r>
      <w:r w:rsidRPr="00A3026E">
        <w:rPr>
          <w:rFonts w:ascii="Times New Roman" w:hAnsi="Times New Roman"/>
          <w:color w:val="000000" w:themeColor="text1"/>
          <w:sz w:val="16"/>
          <w:szCs w:val="16"/>
        </w:rPr>
        <w:softHyphen/>
        <w:t>ния самолета поставлены две бомбовые балки под фю</w:t>
      </w:r>
      <w:r w:rsidRPr="00A3026E">
        <w:rPr>
          <w:rFonts w:ascii="Times New Roman" w:hAnsi="Times New Roman"/>
          <w:color w:val="000000" w:themeColor="text1"/>
          <w:sz w:val="16"/>
          <w:szCs w:val="16"/>
        </w:rPr>
        <w:softHyphen/>
        <w:t>зеляжем емкостью до 500 кг каждая и, кроме того, можно, заменив бензобак, стоящий в фюзеляже, на меньший (-200 кг [бензина]), подвешивать 4 бомбы по 100 кг внутри фюзеляжа на выпускной кассете для сбра</w:t>
      </w:r>
      <w:r w:rsidRPr="00A3026E">
        <w:rPr>
          <w:rFonts w:ascii="Times New Roman" w:hAnsi="Times New Roman"/>
          <w:color w:val="000000" w:themeColor="text1"/>
          <w:sz w:val="16"/>
          <w:szCs w:val="16"/>
        </w:rPr>
        <w:softHyphen/>
        <w:t>сывания с пикирования.</w:t>
      </w:r>
    </w:p>
    <w:p w14:paraId="6FE929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Конструкция и технология самолета ТИС в основ</w:t>
      </w:r>
      <w:r w:rsidRPr="00A3026E">
        <w:rPr>
          <w:rFonts w:ascii="Times New Roman" w:hAnsi="Times New Roman"/>
          <w:color w:val="000000" w:themeColor="text1"/>
          <w:sz w:val="16"/>
          <w:szCs w:val="16"/>
        </w:rPr>
        <w:softHyphen/>
        <w:t>ном будет такой же, что и самолета СПБ (с учетом но</w:t>
      </w:r>
      <w:r w:rsidRPr="00A3026E">
        <w:rPr>
          <w:rFonts w:ascii="Times New Roman" w:hAnsi="Times New Roman"/>
          <w:color w:val="000000" w:themeColor="text1"/>
          <w:sz w:val="16"/>
          <w:szCs w:val="16"/>
        </w:rPr>
        <w:softHyphen/>
        <w:t>вейших достижений технологии), что значительно облегчает нам его проектирование и производство.</w:t>
      </w:r>
    </w:p>
    <w:p w14:paraId="5EEC94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Для создания хорошей устойчивости нами предус</w:t>
      </w:r>
      <w:r w:rsidRPr="00A3026E">
        <w:rPr>
          <w:rFonts w:ascii="Times New Roman" w:hAnsi="Times New Roman"/>
          <w:color w:val="000000" w:themeColor="text1"/>
          <w:sz w:val="16"/>
          <w:szCs w:val="16"/>
        </w:rPr>
        <w:softHyphen/>
        <w:t>матривается центровка 22,5% САХ, длинный (до 2,75 САХ) хвост, большое горизонтальное оперение (18% площади крыла) и маломоментный профиль.</w:t>
      </w:r>
    </w:p>
    <w:p w14:paraId="350960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В целом самолет ТИС по своим данным может быть использован для воздушного боя с истребителями и бомбардировщиками, для сопровождения бомбарди</w:t>
      </w:r>
      <w:r w:rsidRPr="00A3026E">
        <w:rPr>
          <w:rFonts w:ascii="Times New Roman" w:hAnsi="Times New Roman"/>
          <w:color w:val="000000" w:themeColor="text1"/>
          <w:sz w:val="16"/>
          <w:szCs w:val="16"/>
        </w:rPr>
        <w:softHyphen/>
        <w:t>ровщиков, для поддержки наземных войск при атаках ими сильно вооруженных позиций противника, для бомбометания».</w:t>
      </w:r>
    </w:p>
    <w:p w14:paraId="43BA32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Предполагалось, что ТИС станет первым самолетом, построенным на заводе № 51, поэтому в заводской доку</w:t>
      </w:r>
      <w:r w:rsidRPr="00A3026E">
        <w:rPr>
          <w:rFonts w:ascii="Times New Roman" w:hAnsi="Times New Roman"/>
          <w:color w:val="000000" w:themeColor="text1"/>
          <w:sz w:val="16"/>
          <w:szCs w:val="16"/>
        </w:rPr>
        <w:softHyphen/>
        <w:t>ментации в декабре 1940 г. он обозначался как «изделие 01», в конструкторской - «А».</w:t>
      </w:r>
    </w:p>
    <w:p w14:paraId="591DEE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Эскизный проект был утвержден с оговоркой обес</w:t>
      </w:r>
      <w:r w:rsidRPr="00A3026E">
        <w:rPr>
          <w:rFonts w:ascii="Times New Roman" w:hAnsi="Times New Roman"/>
          <w:color w:val="000000" w:themeColor="text1"/>
          <w:sz w:val="16"/>
          <w:szCs w:val="16"/>
        </w:rPr>
        <w:softHyphen/>
        <w:t>печения дальности полета не менее 2000 км при скоро</w:t>
      </w:r>
      <w:r w:rsidRPr="00A3026E">
        <w:rPr>
          <w:rFonts w:ascii="Times New Roman" w:hAnsi="Times New Roman"/>
          <w:color w:val="000000" w:themeColor="text1"/>
          <w:sz w:val="16"/>
          <w:szCs w:val="16"/>
        </w:rPr>
        <w:softHyphen/>
        <w:t>сти 0,8 от максимальной. ТИС проектировался и строился с использованием плазово-шаблонного метода. Конструктивно он пред</w:t>
      </w:r>
      <w:r w:rsidRPr="00A3026E">
        <w:rPr>
          <w:rFonts w:ascii="Times New Roman" w:hAnsi="Times New Roman"/>
          <w:color w:val="000000" w:themeColor="text1"/>
          <w:sz w:val="16"/>
          <w:szCs w:val="16"/>
        </w:rPr>
        <w:softHyphen/>
        <w:t>ставлял собой моноплан цельнометаллической конст</w:t>
      </w:r>
      <w:r w:rsidRPr="00A3026E">
        <w:rPr>
          <w:rFonts w:ascii="Times New Roman" w:hAnsi="Times New Roman"/>
          <w:color w:val="000000" w:themeColor="text1"/>
          <w:sz w:val="16"/>
          <w:szCs w:val="16"/>
        </w:rPr>
        <w:softHyphen/>
        <w:t>рукции с убирающимся шасси. Фюзеляж — металли</w:t>
      </w:r>
      <w:r w:rsidRPr="00A3026E">
        <w:rPr>
          <w:rFonts w:ascii="Times New Roman" w:hAnsi="Times New Roman"/>
          <w:color w:val="000000" w:themeColor="text1"/>
          <w:sz w:val="16"/>
          <w:szCs w:val="16"/>
        </w:rPr>
        <w:softHyphen/>
        <w:t>ческий монокок с гладкой обшивкой. Вход в кабину осу</w:t>
      </w:r>
      <w:r w:rsidRPr="00A3026E">
        <w:rPr>
          <w:rFonts w:ascii="Times New Roman" w:hAnsi="Times New Roman"/>
          <w:color w:val="000000" w:themeColor="text1"/>
          <w:sz w:val="16"/>
          <w:szCs w:val="16"/>
        </w:rPr>
        <w:softHyphen/>
        <w:t>ществлялся через нижний люк-лестницу. В воздухе люк мог быть сброшен из любой кабины, чашки сидений от</w:t>
      </w:r>
      <w:r w:rsidRPr="00A3026E">
        <w:rPr>
          <w:rFonts w:ascii="Times New Roman" w:hAnsi="Times New Roman"/>
          <w:color w:val="000000" w:themeColor="text1"/>
          <w:sz w:val="16"/>
          <w:szCs w:val="16"/>
        </w:rPr>
        <w:softHyphen/>
        <w:t>кидывались для покидания самолета в аварийной ситуа</w:t>
      </w:r>
      <w:r w:rsidRPr="00A3026E">
        <w:rPr>
          <w:rFonts w:ascii="Times New Roman" w:hAnsi="Times New Roman"/>
          <w:color w:val="000000" w:themeColor="text1"/>
          <w:sz w:val="16"/>
          <w:szCs w:val="16"/>
        </w:rPr>
        <w:softHyphen/>
        <w:t>ции. Крыло - металлическое с относительной толщиной 14% у борта фюзеляжа и 7,5% на конце. Элероны, рули направления и высоты имели осевую аэродинамическую и весовую компенсацию. Обшивка носка элерона была дюралевой, остальной части - полотняной. На крыле имелись посадочные щитки. Оперение — свободонесу-щее горизонтальное и разнесенное вертикальное. Об</w:t>
      </w:r>
      <w:r w:rsidRPr="00A3026E">
        <w:rPr>
          <w:rFonts w:ascii="Times New Roman" w:hAnsi="Times New Roman"/>
          <w:color w:val="000000" w:themeColor="text1"/>
          <w:sz w:val="16"/>
          <w:szCs w:val="16"/>
        </w:rPr>
        <w:softHyphen/>
        <w:t>шивка килей и стабилизатора выполнена из дюрали, рули покрыты полотном. На правых рулях направления и высоты установили триммеры. Управление - жесткое. Шасси ТИС убирались назад по потоку в мотогондолы пневматическим приводом и закрывались специальны</w:t>
      </w:r>
      <w:r w:rsidRPr="00A3026E">
        <w:rPr>
          <w:rFonts w:ascii="Times New Roman" w:hAnsi="Times New Roman"/>
          <w:color w:val="000000" w:themeColor="text1"/>
          <w:sz w:val="16"/>
          <w:szCs w:val="16"/>
        </w:rPr>
        <w:softHyphen/>
        <w:t>ми щитками. Колеса основных стоек были тормозные, размером 1000x350 мм, хвостовое колесо имело размеры 470x210 мм. Вооружение состояло из четырех пулеметов ШКАС в носовой батарее (4000 патронов), в центроплане разме</w:t>
      </w:r>
      <w:r w:rsidRPr="00A3026E">
        <w:rPr>
          <w:rFonts w:ascii="Times New Roman" w:hAnsi="Times New Roman"/>
          <w:color w:val="000000" w:themeColor="text1"/>
          <w:sz w:val="16"/>
          <w:szCs w:val="16"/>
        </w:rPr>
        <w:softHyphen/>
        <w:t>щались две пушки ШВАК (700 снарядов), два крупнока</w:t>
      </w:r>
      <w:r w:rsidRPr="00A3026E">
        <w:rPr>
          <w:rFonts w:ascii="Times New Roman" w:hAnsi="Times New Roman"/>
          <w:color w:val="000000" w:themeColor="text1"/>
          <w:sz w:val="16"/>
          <w:szCs w:val="16"/>
        </w:rPr>
        <w:softHyphen/>
        <w:t>либерных пулемета УБ (800 патронов). На турели ТСС-1 в кабине стрелка-радиста устанавливался пулемет ШКАС (756 патронов). Кроме того, имелась люковая ус</w:t>
      </w:r>
      <w:r w:rsidRPr="00A3026E">
        <w:rPr>
          <w:rFonts w:ascii="Times New Roman" w:hAnsi="Times New Roman"/>
          <w:color w:val="000000" w:themeColor="text1"/>
          <w:sz w:val="16"/>
          <w:szCs w:val="16"/>
        </w:rPr>
        <w:softHyphen/>
        <w:t>тановка с пулеметом ШКАС и 500 патронами. Вместо пушек ШВАК и пулеметов УБ по второму варианту во</w:t>
      </w:r>
      <w:r w:rsidRPr="00A3026E">
        <w:rPr>
          <w:rFonts w:ascii="Times New Roman" w:hAnsi="Times New Roman"/>
          <w:color w:val="000000" w:themeColor="text1"/>
          <w:sz w:val="16"/>
          <w:szCs w:val="16"/>
        </w:rPr>
        <w:softHyphen/>
        <w:t>оружения ТИС предполагалось оснастить двумя пушка</w:t>
      </w:r>
      <w:r w:rsidRPr="00A3026E">
        <w:rPr>
          <w:rFonts w:ascii="Times New Roman" w:hAnsi="Times New Roman"/>
          <w:color w:val="000000" w:themeColor="text1"/>
          <w:sz w:val="16"/>
          <w:szCs w:val="16"/>
        </w:rPr>
        <w:softHyphen/>
        <w:t>ми К-37 калибра 37 мм. Предусматривалось различное радио и фотооборудование. Самолет имел длину 11,5 м и размах крыла 15 м (площадь 33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Нормальный полетный вес составлял 6955,8 кг, вес пустой машины - 4677,8 кг (10667).</w:t>
      </w:r>
    </w:p>
    <w:p w14:paraId="6C42CC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9AC51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эскизный проект самолета ТИС с 2АМ-35А или 2АМ-37 (тип «А») был рассмотрен экспертной комиссией НКАП под председательством академика Б.Н.Юрьева (9649).</w:t>
      </w:r>
    </w:p>
    <w:p w14:paraId="42CEA0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заключении комиссии был сделан вывод о том, что постройка самолета целесообразна.Заместитель наркома авиапромышленности по опытному самолетостроению и науке А.С.Яковлев на протоколе комиссии начертал: «Утвердить при условии, если конструктор обеспечит дальность не меньше 2000 км при скорости полета 0,8 от максимальной».</w:t>
      </w:r>
    </w:p>
    <w:p w14:paraId="0BF8AD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ТИС цельнометаллическая, хорошо продуманная техноло-гически. Фюзеляж типа монокок овального сечения с гладкой обшивкой был тоньше, чем на других аналогичных самолетах.</w:t>
      </w:r>
    </w:p>
    <w:p w14:paraId="5E27CE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Фонарь экипажа был сильно сглажен. Для улучшения обзора вниз в кабине летчика и стрелка-радиста внизу носовой части фюзеляжа и у передней кромки крыла было сделано остекление.</w:t>
      </w:r>
    </w:p>
    <w:p w14:paraId="3828CB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Вход в кабины осуществлялся через нижнюю люк-лестницу. В воздухе люк мог сбрасываться из любой кабины, чашки сидений при этом откидывались и экипаж покидал самолет выбрасываясь вниз.</w:t>
      </w:r>
    </w:p>
    <w:p w14:paraId="100B3C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бронировании самолета точных данных нет. Известно только то, что сзади стрелка устанавливалась экранированная броневая плита. У летчика и стрелка имелись бронесиденья. Кроме того, впереди летчика обязательно должна была стоять бронеплита.</w:t>
      </w:r>
    </w:p>
    <w:p w14:paraId="1A0AE5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двухлонжеронное, состояло из 5 частей: центроплана,двух моторных отсеков, двух консолей. Клепка выполнялась впотай.</w:t>
      </w:r>
    </w:p>
    <w:p w14:paraId="2F1572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Профиль крыла - NACA-230. Относительная толщина профиля крыла на оси самолета - 14,1%, в разъемах консолей - 12,85% и на концах - 7,8%. Поперечное V консолей - 7° по плоскости хорд, удлинение крыла - 6,9, сужение крыла - 4,06 (очень большое), угол его установки - 1° и 30".</w:t>
      </w:r>
    </w:p>
    <w:p w14:paraId="64E779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было снабжено посадочными щитками, состоящими из 3 частей: центропланной,консольной и подфю-зеляжных щитков. Были установлены и автоматические предкрылки.</w:t>
      </w:r>
    </w:p>
    <w:p w14:paraId="1F1F42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Элероны имели осевую аэродинамическую и весовую компенсацию. Обшивка носка элерона дюраль, далее полотно.</w:t>
      </w:r>
    </w:p>
    <w:p w14:paraId="0D33F7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Оперение самолета - свободноне-сущее горизонтальное и разнесенное вертикальное. Рули направления и высоты имели осевую аэродинамическую и весовую компенсацию.</w:t>
      </w:r>
    </w:p>
    <w:p w14:paraId="1DB392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Обшивка килей и стабилизатора -дюраль, рулей - полотно. На правых рулях направления и высоты имелись триммеры.</w:t>
      </w:r>
    </w:p>
    <w:p w14:paraId="0D14BD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самолета - жесткое. Органы управления полетом - только в кабине летчика.</w:t>
      </w:r>
    </w:p>
    <w:p w14:paraId="6FAF67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 двухстоечное (ход амортизации относительно большой - 305 мм), убиралось назад в мотогондолы пневмоприводом и закрывалось специальными створками.</w:t>
      </w:r>
    </w:p>
    <w:p w14:paraId="3732BB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Колеса основных стоек тормозные, размером 1000х350 мм. Хвостовое колесо также выполнялось убираемым. Размер хвостового пневматика -470х210 мм.</w:t>
      </w:r>
    </w:p>
    <w:p w14:paraId="306227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Радиаторы моторов размещались в мотогондолах.</w:t>
      </w:r>
    </w:p>
    <w:p w14:paraId="408DB1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имелось достаточно эффективное по тем временам пило-тажно-навигационное, радиоэлектронное, электро- и фотооборудование.</w:t>
      </w:r>
    </w:p>
    <w:p w14:paraId="16F148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обладал высокими летными данными. В свою очередь, комиссия обратила внимание на «необходимость установки вооружения указанного в выводах эксперта...» Дело в том, что Поликарпов предложил два варианта стрелково-пушечно-го вооружения:</w:t>
      </w:r>
    </w:p>
    <w:p w14:paraId="418A00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две неподвижные пушки ШВАК с общим запасом в 400 снарядов, два пулемета калибра 12,7 мм с запасом 2400 патронов и на верхней турели пулемет ШКАС с запасом 1500 патронов;</w:t>
      </w:r>
    </w:p>
    <w:p w14:paraId="6636B3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две пушки ШФК-37 и четыре пулемета ШКАС, оборонительное вооружение то же.</w:t>
      </w:r>
    </w:p>
    <w:p w14:paraId="5B8252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 - в перегрузку до 400 кг.</w:t>
      </w:r>
    </w:p>
    <w:p w14:paraId="31AE5D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Эксперт же в своих выводах отмечал, что вариант с двумя пушками калибра 37 мм не следует принимать до проведения государственных испытаний пушки и до решения вопроса о принятии ее на вооружение.</w:t>
      </w:r>
    </w:p>
    <w:p w14:paraId="094DB2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рекомендовалось проверить возможность установки на самолет шести или восьми РО-132 и проработать вопрос бронирования экипажа.</w:t>
      </w:r>
    </w:p>
    <w:p w14:paraId="04B98F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Оборонительное вооружение: полукольцевая турель ТСС-1, люковая -КЛУ-2 (9649).</w:t>
      </w:r>
    </w:p>
    <w:p w14:paraId="5DB7F82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5B82C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в КБ Н.Н.П. экспертная комиссия НКАП под председательством Б.Н.Юрьева рассмотрела эскизный проект ТИС 2АМ-35 или 2АМ-37 (тип А) Н.Н.П., который был готов в сентябре 1940. Сделали вывод, что постройка целесообразна и А.С.Я. написал: "Утвердить, при условии, если конструктор обеспечит дальность не менее 2000 км при скорости 0.8 (2349,22).</w:t>
      </w:r>
    </w:p>
    <w:p w14:paraId="358316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Также это заседание постоянной комиссии по рассмотрению эскизных проектов от 18 сентября 1940 (протокол 12) рассмотрело:</w:t>
      </w:r>
    </w:p>
    <w:p w14:paraId="01157F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маневренно-скоростного истребителя с М-71 самолета 11 ГК завода 207 Боровкова - переработкой машины 10 - свободнонесущего биплана с моноблочным дюралевым крылом типа чайка и дюралевой хвостовой частью типа монокок с 2 ВРД Меркулова в боковых выемках фюзеляжа сзади с раздельным подводом воздуха к каждому ВРД сверху и снизу и общим выходом. заключение: "Ввиду установки ВРД и закрытых капотов на мотор с удлиненным валом необходимо самолет считать экспериментальным. Считать постройку для проведения эксперимента - целесообразной". Обратить внимание на профиль крыла типа В и до постройки машины проверить и отработать в трубе макет для отработки ВМГ, увеличить дальность до 800 км, усилить вооружение (1448,135).</w:t>
      </w:r>
    </w:p>
    <w:p w14:paraId="30BE274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F51DB8" w14:textId="77777777" w:rsidR="009404D2" w:rsidRPr="00A3026E" w:rsidRDefault="009404D2"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18 сентября 1940 г. эскизный проект самолета ТИС 2АМ-37 Н.Н. Поликарпо</w:t>
      </w:r>
      <w:r w:rsidRPr="00A3026E">
        <w:rPr>
          <w:rFonts w:ascii="Times New Roman" w:cs="Times New Roman"/>
          <w:color w:val="000000" w:themeColor="text1"/>
          <w:spacing w:val="0"/>
        </w:rPr>
        <w:softHyphen/>
        <w:t>ва был рассмотрен постоянно действующей экспертной ко</w:t>
      </w:r>
      <w:r w:rsidRPr="00A3026E">
        <w:rPr>
          <w:rFonts w:ascii="Times New Roman" w:cs="Times New Roman"/>
          <w:color w:val="000000" w:themeColor="text1"/>
          <w:spacing w:val="0"/>
        </w:rPr>
        <w:softHyphen/>
        <w:t>миссией НКАП под председательством академика Б.Н. Юрьева.</w:t>
      </w:r>
    </w:p>
    <w:p w14:paraId="1B81DBCC" w14:textId="77777777" w:rsidR="009404D2" w:rsidRPr="00A3026E" w:rsidRDefault="009404D2"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При анализе представленных мате</w:t>
      </w:r>
      <w:r w:rsidRPr="00A3026E">
        <w:rPr>
          <w:rFonts w:ascii="Times New Roman" w:cs="Times New Roman"/>
          <w:color w:val="000000" w:themeColor="text1"/>
          <w:spacing w:val="0"/>
        </w:rPr>
        <w:softHyphen/>
        <w:t>риалов члены комиссии сочли, что ряд характеристик самолета ТИС завышены. В частности, при сопоставлении проект</w:t>
      </w:r>
      <w:r w:rsidRPr="00A3026E">
        <w:rPr>
          <w:rFonts w:ascii="Times New Roman" w:cs="Times New Roman"/>
          <w:color w:val="000000" w:themeColor="text1"/>
          <w:spacing w:val="0"/>
        </w:rPr>
        <w:softHyphen/>
        <w:t>ных данных с реальными данными са</w:t>
      </w:r>
      <w:r w:rsidRPr="00A3026E">
        <w:rPr>
          <w:rFonts w:ascii="Times New Roman" w:cs="Times New Roman"/>
          <w:color w:val="000000" w:themeColor="text1"/>
          <w:spacing w:val="0"/>
        </w:rPr>
        <w:softHyphen/>
        <w:t>молета СПБ, показанными на заводских испытаниях, максимальная скорость ТИС с мотором АМ-37 на высоте 8000 м должна быть 605 км/ч, а с мотором АМ-35А на высоте 7000 м - 595 км/ч.</w:t>
      </w:r>
    </w:p>
    <w:p w14:paraId="5FD9E8ED" w14:textId="77777777" w:rsidR="009404D2" w:rsidRPr="00A3026E" w:rsidRDefault="009404D2"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Оценка скоростной дальности поле</w:t>
      </w:r>
      <w:r w:rsidRPr="00A3026E">
        <w:rPr>
          <w:rFonts w:ascii="Times New Roman" w:cs="Times New Roman"/>
          <w:color w:val="000000" w:themeColor="text1"/>
          <w:spacing w:val="0"/>
        </w:rPr>
        <w:softHyphen/>
        <w:t>та в КБ Поликарпова выполнялась исходя из удельного расхода топлива у мотора АМ-37 равного 0,210 кг/л.с./ч. Практиче</w:t>
      </w:r>
      <w:r w:rsidRPr="00A3026E">
        <w:rPr>
          <w:rFonts w:ascii="Times New Roman" w:cs="Times New Roman"/>
          <w:color w:val="000000" w:themeColor="text1"/>
          <w:spacing w:val="0"/>
        </w:rPr>
        <w:softHyphen/>
        <w:t>ски, по мнению комиссии, «следует ожи</w:t>
      </w:r>
      <w:r w:rsidRPr="00A3026E">
        <w:rPr>
          <w:rFonts w:ascii="Times New Roman" w:cs="Times New Roman"/>
          <w:color w:val="000000" w:themeColor="text1"/>
          <w:spacing w:val="0"/>
        </w:rPr>
        <w:softHyphen/>
        <w:t>дать /.../ расход больше 0,250 кг/л.с./ч, тогда дальность будет 1000 км».</w:t>
      </w:r>
    </w:p>
    <w:p w14:paraId="45C9BD0D" w14:textId="77777777" w:rsidR="009404D2" w:rsidRPr="00A3026E" w:rsidRDefault="009404D2"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Одновременно, учитывая высокие летные данные и мощность вооружения самолета, члены комиссии сделали вы</w:t>
      </w:r>
      <w:r w:rsidRPr="00A3026E">
        <w:rPr>
          <w:rFonts w:ascii="Times New Roman" w:cs="Times New Roman"/>
          <w:color w:val="000000" w:themeColor="text1"/>
          <w:spacing w:val="0"/>
        </w:rPr>
        <w:softHyphen/>
        <w:t>вод, что постройка ТИС целесообраз</w:t>
      </w:r>
      <w:r w:rsidRPr="00A3026E">
        <w:rPr>
          <w:rFonts w:ascii="Times New Roman" w:cs="Times New Roman"/>
          <w:color w:val="000000" w:themeColor="text1"/>
          <w:spacing w:val="0"/>
        </w:rPr>
        <w:softHyphen/>
        <w:t>на. При этом рекомендовалось решить вопрос о вооружении самолета 37-мм пушками только после проведения го</w:t>
      </w:r>
      <w:r w:rsidRPr="00A3026E">
        <w:rPr>
          <w:rFonts w:ascii="Times New Roman" w:cs="Times New Roman"/>
          <w:color w:val="000000" w:themeColor="text1"/>
          <w:spacing w:val="0"/>
        </w:rPr>
        <w:softHyphen/>
        <w:t>сударственных испытаний пушки, пред</w:t>
      </w:r>
      <w:r w:rsidRPr="00A3026E">
        <w:rPr>
          <w:rFonts w:ascii="Times New Roman" w:cs="Times New Roman"/>
          <w:color w:val="000000" w:themeColor="text1"/>
          <w:spacing w:val="0"/>
        </w:rPr>
        <w:softHyphen/>
        <w:t>усмотреть временную замену крупнока</w:t>
      </w:r>
      <w:r w:rsidRPr="00A3026E">
        <w:rPr>
          <w:rFonts w:ascii="Times New Roman" w:cs="Times New Roman"/>
          <w:color w:val="000000" w:themeColor="text1"/>
          <w:spacing w:val="0"/>
        </w:rPr>
        <w:softHyphen/>
        <w:t>либерных пулеметов БС пушками ШВАК («в зависимости от результатов госу</w:t>
      </w:r>
      <w:r w:rsidRPr="00A3026E">
        <w:rPr>
          <w:rFonts w:ascii="Times New Roman" w:cs="Times New Roman"/>
          <w:color w:val="000000" w:themeColor="text1"/>
          <w:spacing w:val="0"/>
        </w:rPr>
        <w:softHyphen/>
        <w:t>дарственных испытаний пулемета БС»), а также использовать стандартные пу</w:t>
      </w:r>
      <w:r w:rsidRPr="00A3026E">
        <w:rPr>
          <w:rFonts w:ascii="Times New Roman" w:cs="Times New Roman"/>
          <w:color w:val="000000" w:themeColor="text1"/>
          <w:spacing w:val="0"/>
        </w:rPr>
        <w:softHyphen/>
        <w:t>леметные лафеты конструкции завода №32, верхнюю турель скоростного са</w:t>
      </w:r>
      <w:r w:rsidRPr="00A3026E">
        <w:rPr>
          <w:rFonts w:ascii="Times New Roman" w:cs="Times New Roman"/>
          <w:color w:val="000000" w:themeColor="text1"/>
          <w:spacing w:val="0"/>
        </w:rPr>
        <w:softHyphen/>
        <w:t>молета ТСС-1 и нижнюю люковую уста</w:t>
      </w:r>
      <w:r w:rsidRPr="00A3026E">
        <w:rPr>
          <w:rFonts w:ascii="Times New Roman" w:cs="Times New Roman"/>
          <w:color w:val="000000" w:themeColor="text1"/>
          <w:spacing w:val="0"/>
        </w:rPr>
        <w:softHyphen/>
        <w:t>новку типа КЛУ-2. Кроме того, предлага</w:t>
      </w:r>
      <w:r w:rsidRPr="00A3026E">
        <w:rPr>
          <w:rFonts w:ascii="Times New Roman" w:cs="Times New Roman"/>
          <w:color w:val="000000" w:themeColor="text1"/>
          <w:spacing w:val="0"/>
        </w:rPr>
        <w:softHyphen/>
        <w:t>лось проверить возможность установки на самолет 6-8 РО-132 и проработать схему бронирования экипажа.</w:t>
      </w:r>
    </w:p>
    <w:p w14:paraId="676681EC" w14:textId="77777777" w:rsidR="009404D2" w:rsidRPr="00A3026E" w:rsidRDefault="009404D2"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lastRenderedPageBreak/>
        <w:t>В заключении протокола комиссии указывалось, что в ходе доработки про</w:t>
      </w:r>
      <w:r w:rsidRPr="00A3026E">
        <w:rPr>
          <w:rFonts w:ascii="Times New Roman" w:cs="Times New Roman"/>
          <w:color w:val="000000" w:themeColor="text1"/>
          <w:spacing w:val="0"/>
        </w:rPr>
        <w:softHyphen/>
        <w:t>екта главному конструктору самоле</w:t>
      </w:r>
      <w:r w:rsidRPr="00A3026E">
        <w:rPr>
          <w:rFonts w:ascii="Times New Roman" w:cs="Times New Roman"/>
          <w:color w:val="000000" w:themeColor="text1"/>
          <w:spacing w:val="0"/>
        </w:rPr>
        <w:softHyphen/>
        <w:t>та, помимо выполнения рекомендаций по вооружению, необходимо обратить внимание на тщательность подбора профиля крыла, обеспечить хорошую устойчивость самолета и скоростную дальность полета (на скорости 0,9 мак</w:t>
      </w:r>
      <w:r w:rsidRPr="00A3026E">
        <w:rPr>
          <w:rFonts w:ascii="Times New Roman" w:cs="Times New Roman"/>
          <w:color w:val="000000" w:themeColor="text1"/>
          <w:spacing w:val="0"/>
        </w:rPr>
        <w:softHyphen/>
        <w:t>симальной) не менее 1400 км (как у Мессершмитта). Также требовалось предусмотреть постройку самолета в варианте пикирующего бомбардиров</w:t>
      </w:r>
      <w:r w:rsidRPr="00A3026E">
        <w:rPr>
          <w:rFonts w:ascii="Times New Roman" w:cs="Times New Roman"/>
          <w:color w:val="000000" w:themeColor="text1"/>
          <w:spacing w:val="0"/>
        </w:rPr>
        <w:softHyphen/>
        <w:t>щика, для чего «</w:t>
      </w:r>
      <w:r w:rsidRPr="00A3026E">
        <w:rPr>
          <w:rStyle w:val="aff6"/>
          <w:rFonts w:ascii="Times New Roman" w:eastAsia="Arial Narrow" w:hAnsi="Times New Roman" w:cs="Times New Roman"/>
          <w:i w:val="0"/>
          <w:color w:val="000000" w:themeColor="text1"/>
          <w:spacing w:val="0"/>
        </w:rPr>
        <w:t>создать обзор летчику вперед и вниз за счет соответствующе</w:t>
      </w:r>
      <w:r w:rsidRPr="00A3026E">
        <w:rPr>
          <w:rStyle w:val="aff6"/>
          <w:rFonts w:ascii="Times New Roman" w:eastAsia="Arial Narrow" w:hAnsi="Times New Roman" w:cs="Times New Roman"/>
          <w:i w:val="0"/>
          <w:color w:val="000000" w:themeColor="text1"/>
          <w:spacing w:val="0"/>
        </w:rPr>
        <w:softHyphen/>
        <w:t>го остекления или за счет замены носо</w:t>
      </w:r>
      <w:r w:rsidRPr="00A3026E">
        <w:rPr>
          <w:rStyle w:val="aff6"/>
          <w:rFonts w:ascii="Times New Roman" w:eastAsia="Arial Narrow" w:hAnsi="Times New Roman" w:cs="Times New Roman"/>
          <w:i w:val="0"/>
          <w:color w:val="000000" w:themeColor="text1"/>
          <w:spacing w:val="0"/>
        </w:rPr>
        <w:softHyphen/>
        <w:t>вой части фюзеляжа».</w:t>
      </w:r>
    </w:p>
    <w:p w14:paraId="629331A5" w14:textId="77777777" w:rsidR="009404D2" w:rsidRPr="00A3026E" w:rsidRDefault="009404D2"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Протокол и заключение подписа</w:t>
      </w:r>
      <w:r w:rsidRPr="00A3026E">
        <w:rPr>
          <w:rFonts w:ascii="Times New Roman" w:cs="Times New Roman"/>
          <w:color w:val="000000" w:themeColor="text1"/>
          <w:spacing w:val="0"/>
        </w:rPr>
        <w:softHyphen/>
        <w:t>ли: академик Б.Н. Юрьев, В.И. Поликов- ский, И.И. Машкевич и П.Я. Залесский.</w:t>
      </w:r>
    </w:p>
    <w:p w14:paraId="43E46AE5" w14:textId="77777777" w:rsidR="009404D2" w:rsidRPr="00A3026E" w:rsidRDefault="009404D2" w:rsidP="00A3026E">
      <w:pPr>
        <w:pStyle w:val="26"/>
        <w:shd w:val="clear" w:color="auto" w:fill="auto"/>
        <w:spacing w:after="0" w:line="240" w:lineRule="auto"/>
        <w:ind w:firstLine="0"/>
        <w:rPr>
          <w:rStyle w:val="aff6"/>
          <w:rFonts w:ascii="Times New Roman" w:eastAsia="Arial Narrow" w:hAnsi="Times New Roman" w:cs="Times New Roman"/>
          <w:i w:val="0"/>
          <w:color w:val="000000" w:themeColor="text1"/>
          <w:spacing w:val="0"/>
        </w:rPr>
      </w:pPr>
      <w:r w:rsidRPr="00A3026E">
        <w:rPr>
          <w:rFonts w:ascii="Times New Roman" w:cs="Times New Roman"/>
          <w:color w:val="000000" w:themeColor="text1"/>
          <w:spacing w:val="0"/>
        </w:rPr>
        <w:t>Заместитель наркома авиапромыш</w:t>
      </w:r>
      <w:r w:rsidRPr="00A3026E">
        <w:rPr>
          <w:rFonts w:ascii="Times New Roman" w:cs="Times New Roman"/>
          <w:color w:val="000000" w:themeColor="text1"/>
          <w:spacing w:val="0"/>
        </w:rPr>
        <w:softHyphen/>
        <w:t>ленности по опытному самолетостро</w:t>
      </w:r>
      <w:r w:rsidRPr="00A3026E">
        <w:rPr>
          <w:rFonts w:ascii="Times New Roman" w:cs="Times New Roman"/>
          <w:color w:val="000000" w:themeColor="text1"/>
          <w:spacing w:val="0"/>
        </w:rPr>
        <w:softHyphen/>
        <w:t>ению и науке А.С. Яковлев на прото</w:t>
      </w:r>
      <w:r w:rsidRPr="00A3026E">
        <w:rPr>
          <w:rFonts w:ascii="Times New Roman" w:cs="Times New Roman"/>
          <w:color w:val="000000" w:themeColor="text1"/>
          <w:spacing w:val="0"/>
        </w:rPr>
        <w:softHyphen/>
        <w:t xml:space="preserve">коле комиссии наложил резолюцию: </w:t>
      </w:r>
      <w:r w:rsidRPr="00A3026E">
        <w:rPr>
          <w:rStyle w:val="aff6"/>
          <w:rFonts w:ascii="Times New Roman" w:eastAsia="Arial Narrow" w:hAnsi="Times New Roman" w:cs="Times New Roman"/>
          <w:i w:val="0"/>
          <w:color w:val="000000" w:themeColor="text1"/>
          <w:spacing w:val="0"/>
        </w:rPr>
        <w:t>«Утвердить при условии, если конструк</w:t>
      </w:r>
      <w:r w:rsidRPr="00A3026E">
        <w:rPr>
          <w:rStyle w:val="aff6"/>
          <w:rFonts w:ascii="Times New Roman" w:eastAsia="Arial Narrow" w:hAnsi="Times New Roman" w:cs="Times New Roman"/>
          <w:i w:val="0"/>
          <w:color w:val="000000" w:themeColor="text1"/>
          <w:spacing w:val="0"/>
        </w:rPr>
        <w:softHyphen/>
        <w:t>тор обеспечит дальность не меньше 2000 км при скорости полета 0,8 от мак</w:t>
      </w:r>
      <w:r w:rsidRPr="00A3026E">
        <w:rPr>
          <w:rStyle w:val="aff6"/>
          <w:rFonts w:ascii="Times New Roman" w:eastAsia="Arial Narrow" w:hAnsi="Times New Roman" w:cs="Times New Roman"/>
          <w:i w:val="0"/>
          <w:color w:val="000000" w:themeColor="text1"/>
          <w:spacing w:val="0"/>
        </w:rPr>
        <w:softHyphen/>
        <w:t>симальной» (15755).</w:t>
      </w:r>
    </w:p>
    <w:p w14:paraId="2CE5B8DF" w14:textId="77777777" w:rsidR="009404D2" w:rsidRPr="00A3026E" w:rsidRDefault="009404D2" w:rsidP="00A3026E">
      <w:pPr>
        <w:pStyle w:val="26"/>
        <w:shd w:val="clear" w:color="auto" w:fill="auto"/>
        <w:spacing w:after="0" w:line="240" w:lineRule="auto"/>
        <w:ind w:firstLine="0"/>
        <w:rPr>
          <w:rFonts w:ascii="Times New Roman" w:cs="Times New Roman"/>
          <w:color w:val="000000" w:themeColor="text1"/>
          <w:spacing w:val="0"/>
        </w:rPr>
      </w:pPr>
    </w:p>
    <w:p w14:paraId="03F209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вышло постановление КО при СНК ССР № 379сс О дополнительном испытании мотора М-63 на самолетах И-16 и И-153</w:t>
      </w:r>
    </w:p>
    <w:p w14:paraId="7755AA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продолжающимися отказами в эксплуатации мотора М-63, КО при СНК СССР постановляет:</w:t>
      </w:r>
    </w:p>
    <w:p w14:paraId="2C895C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НКО провести дополнительные испытания мотора М-63 с предложенными НИИ ВВС переделками масляного бака и кольцами для утяжеления винта.</w:t>
      </w:r>
    </w:p>
    <w:p w14:paraId="2CB9B6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Испытания провести на 10 самолетах И-16 в НИИ ВВС и на 10 самолетах И-153 в 24 авмадивизии (Люберцы). Программой испытаний предусмотреть 25-30 часов полета на каждый самолет.</w:t>
      </w:r>
    </w:p>
    <w:p w14:paraId="6BA210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Для проведения испытаний выделить лучшх летчиков.</w:t>
      </w:r>
    </w:p>
    <w:p w14:paraId="435ADA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Испытания начать с 21 сентября с.г. и закончить к 3 октября.</w:t>
      </w:r>
    </w:p>
    <w:p w14:paraId="0F7231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НКАПу тов. Шахурину подать НКО к 19 сентября с.г. 10 самолетов И-16 и 10 самолетов И-153, оборудованных моторами М-63 с указанными в п. 1 переделками.</w:t>
      </w:r>
    </w:p>
    <w:p w14:paraId="2ADDB9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Отчет о результатах проведенных испытаний НКО представить в КО 4 октября с.г. (10395).</w:t>
      </w:r>
    </w:p>
    <w:p w14:paraId="1713B46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9FC9A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вышел приказ НКАП N 489сс в изменение и дополнение приказов N 166сс от 11 апреля 1940 и N 287сс от 16 июня 1940:</w:t>
      </w:r>
    </w:p>
    <w:p w14:paraId="1AC3CE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Срок испытания опытных самолетов определять в зависимости от типа самолета, но не свыше 3-х месяцев и представлять мне на утверждение (1319,3).</w:t>
      </w:r>
    </w:p>
    <w:p w14:paraId="64E350E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A42B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18 сентября 1940 г. в отделе Елисеева в НИИ-3 НКБ бригада инженеров под руководством ведущего технолога И.Я Лапшина и технолога-конструктора Сергеева в инициативном порядке разработала ряд упрощенных авиационных реактивных снарядов - 82-мм осколочно</w:t>
      </w:r>
      <w:r w:rsidRPr="00A3026E">
        <w:rPr>
          <w:rFonts w:ascii="Times New Roman" w:hAnsi="Times New Roman"/>
          <w:color w:val="000000" w:themeColor="text1"/>
          <w:sz w:val="16"/>
          <w:szCs w:val="16"/>
        </w:rPr>
        <w:softHyphen/>
        <w:t>-фугасных ракет ОФР-82 и ОФР-132. Необходимость упрощения в массовом производстве технологии изготовления ракетного двигателя для них не°влекла изменение всей конструкции РС.</w:t>
      </w:r>
    </w:p>
    <w:p w14:paraId="5821D4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По-видимому, наименование моделей этих ОФР - СЛ-005 и СЛ-017 - свидетельствует о том, что оба снаряда - детище Сергеева и Лапшина, хотя в этой работе им активно помогал и инженер отдела Булгаков. Ис</w:t>
      </w:r>
      <w:r w:rsidRPr="00A3026E">
        <w:rPr>
          <w:rFonts w:ascii="Times New Roman" w:hAnsi="Times New Roman"/>
          <w:color w:val="000000" w:themeColor="text1"/>
          <w:sz w:val="16"/>
          <w:szCs w:val="16"/>
        </w:rPr>
        <w:softHyphen/>
        <w:t>тория с ОФР-82 началась задолго до появления упомянутой докладной. Об этом говорит интенсивная переписка в 1939 г. между НИИ-3 и заместителем начальника «Главтрубостали» Колыбаловым. Еще бы, при под</w:t>
      </w:r>
      <w:r w:rsidRPr="00A3026E">
        <w:rPr>
          <w:rFonts w:ascii="Times New Roman" w:hAnsi="Times New Roman"/>
          <w:color w:val="000000" w:themeColor="text1"/>
          <w:sz w:val="16"/>
          <w:szCs w:val="16"/>
        </w:rPr>
        <w:softHyphen/>
        <w:t>боре цельнотянутых труб всего двух строго определенных диаметров ме</w:t>
      </w:r>
      <w:r w:rsidRPr="00A3026E">
        <w:rPr>
          <w:rFonts w:ascii="Times New Roman" w:hAnsi="Times New Roman"/>
          <w:color w:val="000000" w:themeColor="text1"/>
          <w:sz w:val="16"/>
          <w:szCs w:val="16"/>
        </w:rPr>
        <w:softHyphen/>
        <w:t>ханические заводы НКБ получали экономию в продолжительности про</w:t>
      </w:r>
      <w:r w:rsidRPr="00A3026E">
        <w:rPr>
          <w:rFonts w:ascii="Times New Roman" w:hAnsi="Times New Roman"/>
          <w:color w:val="000000" w:themeColor="text1"/>
          <w:sz w:val="16"/>
          <w:szCs w:val="16"/>
        </w:rPr>
        <w:softHyphen/>
        <w:t>изводственного цикла на целый порядок!</w:t>
      </w:r>
    </w:p>
    <w:p w14:paraId="24E9BF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снарядов, изготовленной в октябре опытной в 50 штук партии ОФР-82 модели СЛ-017 боевые части были абсолютно идентичны ис</w:t>
      </w:r>
      <w:r w:rsidRPr="00A3026E">
        <w:rPr>
          <w:rFonts w:ascii="Times New Roman" w:hAnsi="Times New Roman"/>
          <w:color w:val="000000" w:themeColor="text1"/>
          <w:sz w:val="16"/>
          <w:szCs w:val="16"/>
        </w:rPr>
        <w:softHyphen/>
        <w:t>пользуемым в штатных боеприпасах, которые производили на заводе №70 НКБ. Ракетная часть предусматривала использование штатных РЗ. Ее основу составляла тонкостенная бесшовная труба из стали марки Ст.45, ассортимент которых был широко распространен в авиационной и автотракторной промышленности.</w:t>
      </w:r>
    </w:p>
    <w:p w14:paraId="36666C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Блоки «камера-сопло» изготавливали методом принудительной ков</w:t>
      </w:r>
      <w:r w:rsidRPr="00A3026E">
        <w:rPr>
          <w:rFonts w:ascii="Times New Roman" w:hAnsi="Times New Roman"/>
          <w:color w:val="000000" w:themeColor="text1"/>
          <w:sz w:val="16"/>
          <w:szCs w:val="16"/>
        </w:rPr>
        <w:softHyphen/>
        <w:t>ки в ротационно-ковочной машине или под молотом, оборудованным «дополнительным механизмом подачи обшей массой 150-200 кг». Эти приемы разработали в НИИ-3 НКБ и опробовали на заводе имени Лени</w:t>
      </w:r>
      <w:r w:rsidRPr="00A3026E">
        <w:rPr>
          <w:rFonts w:ascii="Times New Roman" w:hAnsi="Times New Roman"/>
          <w:color w:val="000000" w:themeColor="text1"/>
          <w:sz w:val="16"/>
          <w:szCs w:val="16"/>
        </w:rPr>
        <w:softHyphen/>
        <w:t>на НКЧМ. При этом колосниковую диафрагму в виде отдельного узла запрессовывали в полость камеры двигателя. Напомним, что у штатных снарядов ее закрепляли в специальных гнездах крышки-сопла, которой затем поджимали РЗ.</w:t>
      </w:r>
    </w:p>
    <w:p w14:paraId="126F63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крепления ведущих штифтов и стабилизатора, на блок «камера-сопло» напрессовывали кольцевые пояски, которые одновременно уве</w:t>
      </w:r>
      <w:r w:rsidRPr="00A3026E">
        <w:rPr>
          <w:rFonts w:ascii="Times New Roman" w:hAnsi="Times New Roman"/>
          <w:color w:val="000000" w:themeColor="text1"/>
          <w:sz w:val="16"/>
          <w:szCs w:val="16"/>
        </w:rPr>
        <w:softHyphen/>
        <w:t>личивали прочность блока. Дно двигателя, в зависимости от назначения снаряда, крепили как в задней части БЧ, так и в передней части РЧ на резьбе. Стабилизатор использовали также штатный, «с объемной конст</w:t>
      </w:r>
      <w:r w:rsidRPr="00A3026E">
        <w:rPr>
          <w:rFonts w:ascii="Times New Roman" w:hAnsi="Times New Roman"/>
          <w:color w:val="000000" w:themeColor="text1"/>
          <w:sz w:val="16"/>
          <w:szCs w:val="16"/>
        </w:rPr>
        <w:softHyphen/>
        <w:t>рукцией крыльев», ранее разработанный на заводе №70 НКБ.</w:t>
      </w:r>
    </w:p>
    <w:p w14:paraId="565287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Технико-экономические расчеты показали, что при использовании ка</w:t>
      </w:r>
      <w:r w:rsidRPr="00A3026E">
        <w:rPr>
          <w:rFonts w:ascii="Times New Roman" w:hAnsi="Times New Roman"/>
          <w:color w:val="000000" w:themeColor="text1"/>
          <w:sz w:val="16"/>
          <w:szCs w:val="16"/>
        </w:rPr>
        <w:softHyphen/>
        <w:t>либрованных труб Днепропетровского трубного завода имени Ленина (78/3 мм для РС-82) или Первоуральского Новотрубного завода (78/3 мм для РС-82 и 128/4 мм для РС-132), отпадает необходимость в обработке на</w:t>
      </w:r>
      <w:r w:rsidRPr="00A3026E">
        <w:rPr>
          <w:rFonts w:ascii="Times New Roman" w:hAnsi="Times New Roman"/>
          <w:color w:val="000000" w:themeColor="text1"/>
          <w:sz w:val="16"/>
          <w:szCs w:val="16"/>
        </w:rPr>
        <w:softHyphen/>
        <w:t>ружной и внутренней поверхностей камеры двигателей снарядов. Резьбо</w:t>
      </w:r>
      <w:r w:rsidRPr="00A3026E">
        <w:rPr>
          <w:rFonts w:ascii="Times New Roman" w:hAnsi="Times New Roman"/>
          <w:color w:val="000000" w:themeColor="text1"/>
          <w:sz w:val="16"/>
          <w:szCs w:val="16"/>
        </w:rPr>
        <w:softHyphen/>
        <w:t>вые соединения корпуса двигателя с крышкой-соплом, сопла со стабили</w:t>
      </w:r>
      <w:r w:rsidRPr="00A3026E">
        <w:rPr>
          <w:rFonts w:ascii="Times New Roman" w:hAnsi="Times New Roman"/>
          <w:color w:val="000000" w:themeColor="text1"/>
          <w:sz w:val="16"/>
          <w:szCs w:val="16"/>
        </w:rPr>
        <w:softHyphen/>
        <w:t>затором, а также запальных стаканов дополнительных детонаторов с кор</w:t>
      </w:r>
      <w:r w:rsidRPr="00A3026E">
        <w:rPr>
          <w:rFonts w:ascii="Times New Roman" w:hAnsi="Times New Roman"/>
          <w:color w:val="000000" w:themeColor="text1"/>
          <w:sz w:val="16"/>
          <w:szCs w:val="16"/>
        </w:rPr>
        <w:softHyphen/>
        <w:t>пусом БЧ упразднили. Время, необходимое на механическую обработку крышки-сопла, резко сокращалось, упрощалась и обработка дна двигателя, стабилизатора и запального стакана. Обтекатель стабилизатора теперь просто наделали на конусную выточку заднего центрирующего утолщения и в районе соплового среза фиксировали сваркой в нескольких точках.</w:t>
      </w:r>
    </w:p>
    <w:p w14:paraId="372BEA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итоге общее время обработки узлов существенно сократилось. К при</w:t>
      </w:r>
      <w:r w:rsidRPr="00A3026E">
        <w:rPr>
          <w:rFonts w:ascii="Times New Roman" w:hAnsi="Times New Roman"/>
          <w:color w:val="000000" w:themeColor="text1"/>
          <w:sz w:val="16"/>
          <w:szCs w:val="16"/>
        </w:rPr>
        <w:softHyphen/>
        <w:t>меру, на производство одного штатного снаряда РОФС-82 затрачивали в среднем 490 минут, а на ОФР-82 по новой технологии - до 280. По старой технологии РОФС-132 изготавливали за 940 минут, а на изготовление ОФР-132 требовалось всего 360. Новая конструкция способствовала также экономии материала. Теперь при изготовлении снарядов 82-мм калибра в стружку уходило на 8,3 кг металла меньше, а у 132-мм - на целый 21 кг! В первом приближении, финансовую экономию представляли следу</w:t>
      </w:r>
      <w:r w:rsidRPr="00A3026E">
        <w:rPr>
          <w:rFonts w:ascii="Times New Roman" w:hAnsi="Times New Roman"/>
          <w:color w:val="000000" w:themeColor="text1"/>
          <w:sz w:val="16"/>
          <w:szCs w:val="16"/>
        </w:rPr>
        <w:softHyphen/>
        <w:t>ющим образом: при изготовлении 1000 штук 82-мм снарядов высвобождалось 98.000 руб., а при производстве 132-мм, - 271.000 руб. С учетом же сокращения расхода инструмента, механических и энергетических мощ</w:t>
      </w:r>
      <w:r w:rsidRPr="00A3026E">
        <w:rPr>
          <w:rFonts w:ascii="Times New Roman" w:hAnsi="Times New Roman"/>
          <w:color w:val="000000" w:themeColor="text1"/>
          <w:sz w:val="16"/>
          <w:szCs w:val="16"/>
        </w:rPr>
        <w:softHyphen/>
        <w:t>ностей, транспорта и пр. (на примере завода №70, где статьи накладных расходов достигали 800%), - ориентировочно до 500%. Экономический эффект при изготовлении 1000 боеприпасов мог достичь в 82-мм калибре - 131.000 руб., а в 132-мм - 325.000 руб.</w:t>
      </w:r>
    </w:p>
    <w:p w14:paraId="2AC6F4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Качество снарядов, изготовленных по новой технологии, их внешне- и внутрибаллистические данные должны были также резко возрасти. К примеру, монолитность корпуса двигателя обеспечивала его гермети</w:t>
      </w:r>
      <w:r w:rsidRPr="00A3026E">
        <w:rPr>
          <w:rFonts w:ascii="Times New Roman" w:hAnsi="Times New Roman"/>
          <w:color w:val="000000" w:themeColor="text1"/>
          <w:sz w:val="16"/>
          <w:szCs w:val="16"/>
        </w:rPr>
        <w:softHyphen/>
        <w:t>зацию и полностью предотвращало прорыв продуктов горения РЗ через резьбовые соединения с крышкой-соплом. Помимо того, устранялись отклонения от центровки осей отверстия критического сечения сопла и корпуса боеприпаса, а также от смешения соосности сопла, снаряда и оперения в момент выстрела за счет деформации разъемных соедине</w:t>
      </w:r>
      <w:r w:rsidRPr="00A3026E">
        <w:rPr>
          <w:rFonts w:ascii="Times New Roman" w:hAnsi="Times New Roman"/>
          <w:color w:val="000000" w:themeColor="text1"/>
          <w:sz w:val="16"/>
          <w:szCs w:val="16"/>
        </w:rPr>
        <w:softHyphen/>
        <w:t>ний. Благодаря конструкции колосниковой диафрагмы, увеличивалась ее площадь свободного сечения при одновременном уменьшении сече</w:t>
      </w:r>
      <w:r w:rsidRPr="00A3026E">
        <w:rPr>
          <w:rFonts w:ascii="Times New Roman" w:hAnsi="Times New Roman"/>
          <w:color w:val="000000" w:themeColor="text1"/>
          <w:sz w:val="16"/>
          <w:szCs w:val="16"/>
        </w:rPr>
        <w:softHyphen/>
        <w:t>ния проходных отверстий, что создавало условия для равномерного и полного сгорания РЗ.</w:t>
      </w:r>
    </w:p>
    <w:p w14:paraId="2D92CC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пожалуй, самое главное, - производство снарядов по новой тех</w:t>
      </w:r>
      <w:r w:rsidRPr="00A3026E">
        <w:rPr>
          <w:rFonts w:ascii="Times New Roman" w:hAnsi="Times New Roman"/>
          <w:color w:val="000000" w:themeColor="text1"/>
          <w:sz w:val="16"/>
          <w:szCs w:val="16"/>
        </w:rPr>
        <w:softHyphen/>
        <w:t>нологии не требовало нового оборудования. Скорее, наоборот, при со</w:t>
      </w:r>
      <w:r w:rsidRPr="00A3026E">
        <w:rPr>
          <w:rFonts w:ascii="Times New Roman" w:hAnsi="Times New Roman"/>
          <w:color w:val="000000" w:themeColor="text1"/>
          <w:sz w:val="16"/>
          <w:szCs w:val="16"/>
        </w:rPr>
        <w:softHyphen/>
        <w:t>хранении объемов готовой продукции высвобождалось от 40 до 50% станочного парка и около 40% режущего и мерительного инструмента. Как видно из данных технико-экономических обоснований, конструкторам уже накануне войны были ясны причины большого рассеивания РС при наземной стрельбе и недостаточной точности при воздушной. Создатели боеприпасов готовы были конструктивными нюансами парировать эти отрицательные явления, однако в серийном производстве до этого (ело не дошло. В течение всей Великой Отечественной в больших количест</w:t>
      </w:r>
      <w:r w:rsidRPr="00A3026E">
        <w:rPr>
          <w:rFonts w:ascii="Times New Roman" w:hAnsi="Times New Roman"/>
          <w:color w:val="000000" w:themeColor="text1"/>
          <w:sz w:val="16"/>
          <w:szCs w:val="16"/>
        </w:rPr>
        <w:softHyphen/>
        <w:t>вах по заказам «гвардейских минометчиков» изготавливали тс самые до</w:t>
      </w:r>
      <w:r w:rsidRPr="00A3026E">
        <w:rPr>
          <w:rFonts w:ascii="Times New Roman" w:hAnsi="Times New Roman"/>
          <w:color w:val="000000" w:themeColor="text1"/>
          <w:sz w:val="16"/>
          <w:szCs w:val="16"/>
        </w:rPr>
        <w:softHyphen/>
        <w:t>рогостоящие и не очень удачные в отношении баллистики М-8 и М-13 - аналоги авиационных снарядов для полевой реактивной артиллерии.</w:t>
      </w:r>
    </w:p>
    <w:p w14:paraId="73B096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1.51 Результаты рассеивания опытных РОС-82 конструкции завода №70 НКБ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92"/>
        <w:gridCol w:w="1973"/>
        <w:gridCol w:w="2002"/>
      </w:tblGrid>
      <w:tr w:rsidR="00983732" w:rsidRPr="00A3026E" w14:paraId="0A08E202" w14:textId="77777777" w:rsidTr="00EA0DA7">
        <w:trPr>
          <w:trHeight w:val="274"/>
        </w:trPr>
        <w:tc>
          <w:tcPr>
            <w:tcW w:w="1692" w:type="dxa"/>
            <w:tcBorders>
              <w:top w:val="single" w:sz="12" w:space="0" w:color="auto"/>
            </w:tcBorders>
          </w:tcPr>
          <w:p w14:paraId="588C40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Группы снарядов</w:t>
            </w:r>
          </w:p>
          <w:p w14:paraId="17900E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975" w:type="dxa"/>
            <w:gridSpan w:val="2"/>
            <w:tcBorders>
              <w:top w:val="single" w:sz="12" w:space="0" w:color="auto"/>
            </w:tcBorders>
          </w:tcPr>
          <w:p w14:paraId="0C8294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величина рассеивания, доли дистанции:</w:t>
            </w:r>
          </w:p>
          <w:p w14:paraId="0899A9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735B7D0" w14:textId="77777777" w:rsidTr="00EA0DA7">
        <w:trPr>
          <w:trHeight w:val="194"/>
        </w:trPr>
        <w:tc>
          <w:tcPr>
            <w:tcW w:w="1692" w:type="dxa"/>
          </w:tcPr>
          <w:p w14:paraId="11D30AE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856A8F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73" w:type="dxa"/>
          </w:tcPr>
          <w:p w14:paraId="5F9C22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дальности</w:t>
            </w:r>
          </w:p>
          <w:p w14:paraId="03D175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158BFF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боковому направлению</w:t>
            </w:r>
          </w:p>
          <w:p w14:paraId="36E416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BDB45D1" w14:textId="77777777" w:rsidTr="00EA0DA7">
        <w:trPr>
          <w:trHeight w:val="216"/>
        </w:trPr>
        <w:tc>
          <w:tcPr>
            <w:tcW w:w="1692" w:type="dxa"/>
          </w:tcPr>
          <w:p w14:paraId="12D993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w:t>
            </w:r>
          </w:p>
          <w:p w14:paraId="3FF700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01D60F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1/108</w:t>
            </w:r>
          </w:p>
          <w:p w14:paraId="0C0D78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7BE46C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w:t>
            </w:r>
          </w:p>
          <w:p w14:paraId="0515AE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AA47CCB" w14:textId="77777777" w:rsidTr="00EA0DA7">
        <w:trPr>
          <w:trHeight w:val="245"/>
        </w:trPr>
        <w:tc>
          <w:tcPr>
            <w:tcW w:w="1692" w:type="dxa"/>
          </w:tcPr>
          <w:p w14:paraId="16123F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p w14:paraId="551698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5EDF70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1/133</w:t>
            </w:r>
          </w:p>
          <w:p w14:paraId="3CFC82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3E2838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w:t>
            </w:r>
          </w:p>
          <w:p w14:paraId="28114C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BD8CFFB" w14:textId="77777777" w:rsidTr="00EA0DA7">
        <w:trPr>
          <w:trHeight w:val="202"/>
        </w:trPr>
        <w:tc>
          <w:tcPr>
            <w:tcW w:w="1692" w:type="dxa"/>
          </w:tcPr>
          <w:p w14:paraId="535449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p w14:paraId="639FC6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039355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1/111</w:t>
            </w:r>
          </w:p>
          <w:p w14:paraId="46316E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7166C5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w:t>
            </w:r>
          </w:p>
          <w:p w14:paraId="0EBE76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8D0297B" w14:textId="77777777" w:rsidTr="00EA0DA7">
        <w:trPr>
          <w:trHeight w:val="223"/>
        </w:trPr>
        <w:tc>
          <w:tcPr>
            <w:tcW w:w="1692" w:type="dxa"/>
          </w:tcPr>
          <w:p w14:paraId="07AFA8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p w14:paraId="78DE1C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7BFAC9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1/104</w:t>
            </w:r>
          </w:p>
          <w:p w14:paraId="5F1FA9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5CB4DC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1/74</w:t>
            </w:r>
          </w:p>
          <w:p w14:paraId="218C27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ACDF3A3" w14:textId="77777777" w:rsidTr="00EA0DA7">
        <w:trPr>
          <w:trHeight w:val="259"/>
        </w:trPr>
        <w:tc>
          <w:tcPr>
            <w:tcW w:w="1692" w:type="dxa"/>
            <w:tcBorders>
              <w:bottom w:val="single" w:sz="12" w:space="0" w:color="auto"/>
            </w:tcBorders>
          </w:tcPr>
          <w:p w14:paraId="04D41A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p w14:paraId="5811BF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Borders>
              <w:bottom w:val="single" w:sz="12" w:space="0" w:color="auto"/>
            </w:tcBorders>
          </w:tcPr>
          <w:p w14:paraId="3BF866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1/99</w:t>
            </w:r>
          </w:p>
          <w:p w14:paraId="43822C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Borders>
              <w:bottom w:val="single" w:sz="12" w:space="0" w:color="auto"/>
            </w:tcBorders>
          </w:tcPr>
          <w:p w14:paraId="73EB39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w:t>
            </w:r>
          </w:p>
          <w:p w14:paraId="2208E8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5A0897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Более того, и по окончании войны технология разъемного блока «каме</w:t>
      </w:r>
      <w:r w:rsidRPr="00A3026E">
        <w:rPr>
          <w:rFonts w:ascii="Times New Roman" w:hAnsi="Times New Roman"/>
          <w:color w:val="000000" w:themeColor="text1"/>
          <w:sz w:val="16"/>
          <w:szCs w:val="16"/>
        </w:rPr>
        <w:softHyphen/>
        <w:t>ра-сопло» настолько прочно укоренилась в производстве, что переход на иное качество и экономию заводчанам казался просто немыслимым. Изве</w:t>
      </w:r>
      <w:r w:rsidRPr="00A3026E">
        <w:rPr>
          <w:rFonts w:ascii="Times New Roman" w:hAnsi="Times New Roman"/>
          <w:color w:val="000000" w:themeColor="text1"/>
          <w:sz w:val="16"/>
          <w:szCs w:val="16"/>
        </w:rPr>
        <w:softHyphen/>
        <w:t>стны, по меньшей мере, четыре варианта снаряда ОФР-82 модели СЛ-017, которые изготавливали из толстостенных и тонкостенных груб. Они отли</w:t>
      </w:r>
      <w:r w:rsidRPr="00A3026E">
        <w:rPr>
          <w:rFonts w:ascii="Times New Roman" w:hAnsi="Times New Roman"/>
          <w:color w:val="000000" w:themeColor="text1"/>
          <w:sz w:val="16"/>
          <w:szCs w:val="16"/>
        </w:rPr>
        <w:softHyphen/>
        <w:t>чались ротационной ковкой корпуса двигателя за единое целое с сопловым раструбом либо из толстых труб с последующей выборкой металла между центрирующими утолщениями, либо из тонких труб с последующей горячей посадкой манжет центрирующих утолщений на заготовку и обработ</w:t>
      </w:r>
      <w:r w:rsidRPr="00A3026E">
        <w:rPr>
          <w:rFonts w:ascii="Times New Roman" w:hAnsi="Times New Roman"/>
          <w:color w:val="000000" w:themeColor="text1"/>
          <w:sz w:val="16"/>
          <w:szCs w:val="16"/>
        </w:rPr>
        <w:softHyphen/>
        <w:t>кой только передней и задней кромок утолщений. А кроме того, на обоих вариантах двигателя использовали БЧ либо с внутренним дном БЧ, л (бос внешним, установленным на резьбе внутри широкого фланца переднего центрирующего утолщения до стыковки БЧ с двигателем.</w:t>
      </w:r>
    </w:p>
    <w:p w14:paraId="16AB90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Кроме того, в рамках темы по 622 объекту в технологическом отделе НИИ-3 НКБ разработали и снаряд ОФР-82 модели СЛ-005 (аналог штатного РОС-82 модели 3-00497). Практически, это был боеприпас, из</w:t>
      </w:r>
      <w:r w:rsidRPr="00A3026E">
        <w:rPr>
          <w:rFonts w:ascii="Times New Roman" w:hAnsi="Times New Roman"/>
          <w:color w:val="000000" w:themeColor="text1"/>
          <w:sz w:val="16"/>
          <w:szCs w:val="16"/>
        </w:rPr>
        <w:softHyphen/>
        <w:t>готовленный по упрошенной технологии единой «камеры-сопла» изтонкостенных труб, но с двухпроводной системой электровоспламене</w:t>
      </w:r>
      <w:r w:rsidRPr="00A3026E">
        <w:rPr>
          <w:rFonts w:ascii="Times New Roman" w:hAnsi="Times New Roman"/>
          <w:color w:val="000000" w:themeColor="text1"/>
          <w:sz w:val="16"/>
          <w:szCs w:val="16"/>
        </w:rPr>
        <w:softHyphen/>
        <w:t>ния (без использования пиропатронов и пиросвеч). В принципе, эта идея не нова. Как говорилось выше, еще в 1933-1934 гг. для запуска РС наземных испытательных стендов, в пороховой воспламенитель (донный или сопловой) зашивали электрозапал, а его провода выводили сквозь каналы пороховых шашек РЗ и сопло наружу.</w:t>
      </w:r>
    </w:p>
    <w:p w14:paraId="4ECCF3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конструкции снаряда модели СЛ-005 использовали этот же способ воспламенения, с той лишь разницей, что провода электрозапала, вши</w:t>
      </w:r>
      <w:r w:rsidRPr="00A3026E">
        <w:rPr>
          <w:rFonts w:ascii="Times New Roman" w:hAnsi="Times New Roman"/>
          <w:color w:val="000000" w:themeColor="text1"/>
          <w:sz w:val="16"/>
          <w:szCs w:val="16"/>
        </w:rPr>
        <w:softHyphen/>
        <w:t>того в дойный пороховой воспламенитель, припаяли к двум контактам, остановленным на изоляторных шайбах в районе переднего центрирую</w:t>
      </w:r>
      <w:r w:rsidRPr="00A3026E">
        <w:rPr>
          <w:rFonts w:ascii="Times New Roman" w:hAnsi="Times New Roman"/>
          <w:color w:val="000000" w:themeColor="text1"/>
          <w:sz w:val="16"/>
          <w:szCs w:val="16"/>
        </w:rPr>
        <w:softHyphen/>
        <w:t>щего утолщения по обеим сторонам от ведущего штифта (подобно пиросвечам снарядов РОФС). В отличие от однопроводной системы вос</w:t>
      </w:r>
      <w:r w:rsidRPr="00A3026E">
        <w:rPr>
          <w:rFonts w:ascii="Times New Roman" w:hAnsi="Times New Roman"/>
          <w:color w:val="000000" w:themeColor="text1"/>
          <w:sz w:val="16"/>
          <w:szCs w:val="16"/>
        </w:rPr>
        <w:softHyphen/>
        <w:t>пламенения пиропатронов штатных РОФС, двухпроводная обладала по</w:t>
      </w:r>
      <w:r w:rsidRPr="00A3026E">
        <w:rPr>
          <w:rFonts w:ascii="Times New Roman" w:hAnsi="Times New Roman"/>
          <w:color w:val="000000" w:themeColor="text1"/>
          <w:sz w:val="16"/>
          <w:szCs w:val="16"/>
        </w:rPr>
        <w:softHyphen/>
        <w:t>мехозащищенностью от грозовых разрядов. Между тем она предъявляла очень высокие требования к качеству пластмассовых изоляторов - они должны были выдерживать не только высокую температуру при горении РЗ но и высокое давление в камере двигателя. Невероятно, но уже тогда отечественная промышленность располагала такими конструкционны</w:t>
      </w:r>
      <w:r w:rsidRPr="00A3026E">
        <w:rPr>
          <w:rFonts w:ascii="Times New Roman" w:hAnsi="Times New Roman"/>
          <w:color w:val="000000" w:themeColor="text1"/>
          <w:sz w:val="16"/>
          <w:szCs w:val="16"/>
        </w:rPr>
        <w:softHyphen/>
        <w:t>ми пластиками и керамикой!</w:t>
      </w:r>
    </w:p>
    <w:p w14:paraId="27B8BB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Двигатели снарядов этой модели снаряжали РЗ из пороха рецептуры Н-24/6-230 мм. Колосниковая диафрагма состояла из восьми стальных пластин толщиной 3 мм. БЧ и РЧ отделяло стальное дно, зафиксирован</w:t>
      </w:r>
      <w:r w:rsidRPr="00A3026E">
        <w:rPr>
          <w:rFonts w:ascii="Times New Roman" w:hAnsi="Times New Roman"/>
          <w:color w:val="000000" w:themeColor="text1"/>
          <w:sz w:val="16"/>
          <w:szCs w:val="16"/>
        </w:rPr>
        <w:softHyphen/>
        <w:t>ное в задней части корпуса БЧ. Воспламенялся РЗ от двух пороховых воспламенителей с навеской по 8 г ДРП в каждом. Сопловой воспламе-:нитель располагался на колосниках в подводящей части сопла. Посколь</w:t>
      </w:r>
      <w:r w:rsidRPr="00A3026E">
        <w:rPr>
          <w:rFonts w:ascii="Times New Roman" w:hAnsi="Times New Roman"/>
          <w:color w:val="000000" w:themeColor="text1"/>
          <w:sz w:val="16"/>
          <w:szCs w:val="16"/>
        </w:rPr>
        <w:softHyphen/>
        <w:t>ку помешали его после запрессовки колосников, то пороховой картуз, свернутый трубочкой, приходилось проталкивать тонкой деревянной (Палочкой через сопло) (11402).</w:t>
      </w:r>
    </w:p>
    <w:p w14:paraId="7502C1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5D8F1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г. согласно прось</w:t>
      </w:r>
      <w:r w:rsidRPr="00A3026E">
        <w:rPr>
          <w:rFonts w:ascii="Times New Roman" w:hAnsi="Times New Roman"/>
          <w:color w:val="000000" w:themeColor="text1"/>
          <w:sz w:val="16"/>
          <w:szCs w:val="16"/>
        </w:rPr>
        <w:softHyphen/>
        <w:t>бы начальника 7 отдела УА ВМФ воснинженера 1 ранга Захаренко и на</w:t>
      </w:r>
      <w:r w:rsidRPr="00A3026E">
        <w:rPr>
          <w:rFonts w:ascii="Times New Roman" w:hAnsi="Times New Roman"/>
          <w:color w:val="000000" w:themeColor="text1"/>
          <w:sz w:val="16"/>
          <w:szCs w:val="16"/>
        </w:rPr>
        <w:softHyphen/>
        <w:t>чальника 2 отделения 7 отдела УА ВМФ военинженсра 1 ранга Кудрова оставшиеся 44 штуки РБС-132 с взрывателями АВ-96 отправили в Ленинград. В итоге руководство ВВС ВМФ основательно поссорилось с ГУ ВВС КА и больше не обращалось к ним с просьбами об аренде полигона.</w:t>
      </w:r>
    </w:p>
    <w:p w14:paraId="6EA59B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Доподлинно не известно, каким образом ГУ ВВС КА компенсиро</w:t>
      </w:r>
      <w:r w:rsidRPr="00A3026E">
        <w:rPr>
          <w:rFonts w:ascii="Times New Roman" w:hAnsi="Times New Roman"/>
          <w:color w:val="000000" w:themeColor="text1"/>
          <w:sz w:val="16"/>
          <w:szCs w:val="16"/>
        </w:rPr>
        <w:softHyphen/>
        <w:t>вало финансовый ущерб морским авиаторам, но история получила са</w:t>
      </w:r>
      <w:r w:rsidRPr="00A3026E">
        <w:rPr>
          <w:rFonts w:ascii="Times New Roman" w:hAnsi="Times New Roman"/>
          <w:color w:val="000000" w:themeColor="text1"/>
          <w:sz w:val="16"/>
          <w:szCs w:val="16"/>
        </w:rPr>
        <w:softHyphen/>
        <w:t>мое неожиданное продолжение. Во-первых, ВВС ВМФ твердо реши</w:t>
      </w:r>
      <w:r w:rsidRPr="00A3026E">
        <w:rPr>
          <w:rFonts w:ascii="Times New Roman" w:hAnsi="Times New Roman"/>
          <w:color w:val="000000" w:themeColor="text1"/>
          <w:sz w:val="16"/>
          <w:szCs w:val="16"/>
        </w:rPr>
        <w:softHyphen/>
        <w:t>ли в дальнейшем испытывать РБС только своими силами, но для за</w:t>
      </w:r>
      <w:r w:rsidRPr="00A3026E">
        <w:rPr>
          <w:rFonts w:ascii="Times New Roman" w:hAnsi="Times New Roman"/>
          <w:color w:val="000000" w:themeColor="text1"/>
          <w:sz w:val="16"/>
          <w:szCs w:val="16"/>
        </w:rPr>
        <w:softHyphen/>
        <w:t>вершения программы полигонных испытаний требовалось восстано</w:t>
      </w:r>
      <w:r w:rsidRPr="00A3026E">
        <w:rPr>
          <w:rFonts w:ascii="Times New Roman" w:hAnsi="Times New Roman"/>
          <w:color w:val="000000" w:themeColor="text1"/>
          <w:sz w:val="16"/>
          <w:szCs w:val="16"/>
        </w:rPr>
        <w:softHyphen/>
        <w:t>вить необходимое количество снарядов (11402).</w:t>
      </w:r>
    </w:p>
    <w:p w14:paraId="6243CF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E8255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г. по просьбе начальника 7 отдела УА ВМФ военинженера 1 ранга Захаренко и начальника 2 отделения 7 отде</w:t>
      </w:r>
      <w:r w:rsidRPr="00A3026E">
        <w:rPr>
          <w:rFonts w:ascii="Times New Roman" w:hAnsi="Times New Roman"/>
          <w:color w:val="000000" w:themeColor="text1"/>
          <w:sz w:val="16"/>
          <w:szCs w:val="16"/>
        </w:rPr>
        <w:softHyphen/>
        <w:t>ла УА ВМФ военинженера 1 ранга Кудрова, ракетные пусковые установ</w:t>
      </w:r>
      <w:r w:rsidRPr="00A3026E">
        <w:rPr>
          <w:rFonts w:ascii="Times New Roman" w:hAnsi="Times New Roman"/>
          <w:color w:val="000000" w:themeColor="text1"/>
          <w:sz w:val="16"/>
          <w:szCs w:val="16"/>
        </w:rPr>
        <w:softHyphen/>
        <w:t>ки РПУ (именно так говорилось в донесении) с электроконтаюами и унифицированные РО-132 отправили в Ленинград. Там морские авиа</w:t>
      </w:r>
      <w:r w:rsidRPr="00A3026E">
        <w:rPr>
          <w:rFonts w:ascii="Times New Roman" w:hAnsi="Times New Roman"/>
          <w:color w:val="000000" w:themeColor="text1"/>
          <w:sz w:val="16"/>
          <w:szCs w:val="16"/>
        </w:rPr>
        <w:softHyphen/>
        <w:t>торы сами проводили их полигонные испытания.</w:t>
      </w:r>
    </w:p>
    <w:p w14:paraId="4914C2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как и авиаторы ВМФ, авиаторы ВВС тоже нуждались в снарядах РБС. Чтобы не попасть впросак подобно своим флотским коллегам, они выдали разработчикам ТТТ на дооборудование штатных РО-82 и РО-132 (индексов 2-РУ-322 и 2-РУ-223) электроконтактами. Их составили на</w:t>
      </w:r>
      <w:r w:rsidRPr="00A3026E">
        <w:rPr>
          <w:rFonts w:ascii="Times New Roman" w:hAnsi="Times New Roman"/>
          <w:color w:val="000000" w:themeColor="text1"/>
          <w:sz w:val="16"/>
          <w:szCs w:val="16"/>
        </w:rPr>
        <w:softHyphen/>
        <w:t>чальник 1-го отдела 8-го управления ГУ ВВС КА военинженер I ранга Матаев и начальник 1-го отделения 1-го отдела 8-го управления военин</w:t>
      </w:r>
      <w:r w:rsidRPr="00A3026E">
        <w:rPr>
          <w:rFonts w:ascii="Times New Roman" w:hAnsi="Times New Roman"/>
          <w:color w:val="000000" w:themeColor="text1"/>
          <w:sz w:val="16"/>
          <w:szCs w:val="16"/>
        </w:rPr>
        <w:softHyphen/>
        <w:t>женер 2 ранга Рыжаен, а утвердил 13 ноября 1940 г.начальник 8-го Упра</w:t>
      </w:r>
      <w:r w:rsidRPr="00A3026E">
        <w:rPr>
          <w:rFonts w:ascii="Times New Roman" w:hAnsi="Times New Roman"/>
          <w:color w:val="000000" w:themeColor="text1"/>
          <w:sz w:val="16"/>
          <w:szCs w:val="16"/>
        </w:rPr>
        <w:softHyphen/>
        <w:t>вления ГУ ВВС КА военинженер 1 ранга Никонов.</w:t>
      </w:r>
    </w:p>
    <w:p w14:paraId="3C66D7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Основное назначение дооборудования — получить возможность стрелять РС как оборудованными контактным воспламенением, гак и с пи</w:t>
      </w:r>
      <w:r w:rsidRPr="00A3026E">
        <w:rPr>
          <w:rFonts w:ascii="Times New Roman" w:hAnsi="Times New Roman"/>
          <w:color w:val="000000" w:themeColor="text1"/>
          <w:sz w:val="16"/>
          <w:szCs w:val="16"/>
        </w:rPr>
        <w:softHyphen/>
        <w:t>ропатронами. В ВВС сразу смекнули, что помимо новых РБС-82 (непо</w:t>
      </w:r>
      <w:r w:rsidRPr="00A3026E">
        <w:rPr>
          <w:rFonts w:ascii="Times New Roman" w:hAnsi="Times New Roman"/>
          <w:color w:val="000000" w:themeColor="text1"/>
          <w:sz w:val="16"/>
          <w:szCs w:val="16"/>
        </w:rPr>
        <w:softHyphen/>
        <w:t>нятно с каким воспламенением), из орудий по требуется стрелять и новыми РЗС-82, а также и новыми РОФС-82. А эти боеприпасы не собирались перепроектировать под воспламенение от пиропистолстов.</w:t>
      </w:r>
    </w:p>
    <w:p w14:paraId="506EDF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этом кардинальные конструктивные изменения штатных РО за</w:t>
      </w:r>
      <w:r w:rsidRPr="00A3026E">
        <w:rPr>
          <w:rFonts w:ascii="Times New Roman" w:hAnsi="Times New Roman"/>
          <w:color w:val="000000" w:themeColor="text1"/>
          <w:sz w:val="16"/>
          <w:szCs w:val="16"/>
        </w:rPr>
        <w:softHyphen/>
        <w:t>казчиком не приветствовались, а электроконтакты не должны были исключать работу пиропистолетов. То есть, электроконтакты дополняли существующую направляющую. Их требовалось электроизолировать от корпуса РО, закрыть от внешних повреждений, а сами РО-82 и РО-132 изолировать от корпуса самолета. Заменять старые узлы крепления РО новыми должен был технический персонал строевых частей.</w:t>
      </w:r>
    </w:p>
    <w:p w14:paraId="4883DE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тем для морских авиаторов проблема оборудования РО электроконтактами в НИИ-3 НКБ была решена еще до получения этих ТТТ из ВВС (11402).</w:t>
      </w:r>
    </w:p>
    <w:p w14:paraId="05FD7A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CA4F85F"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18 сентября 1940 г. состоялся второй полёт на «СССР ВР-72» (пилот А.И. Рощин, научный на</w:t>
      </w:r>
      <w:r w:rsidRPr="00A3026E">
        <w:rPr>
          <w:rFonts w:ascii="Times New Roman" w:hAnsi="Times New Roman"/>
          <w:color w:val="0070C0"/>
          <w:sz w:val="16"/>
          <w:szCs w:val="16"/>
        </w:rPr>
        <w:softHyphen/>
        <w:t>блюдатель Н.П. Коновалов), во время которого осуществлялись наблюдения над дальностью го</w:t>
      </w:r>
      <w:r w:rsidRPr="00A3026E">
        <w:rPr>
          <w:rFonts w:ascii="Times New Roman" w:hAnsi="Times New Roman"/>
          <w:color w:val="0070C0"/>
          <w:sz w:val="16"/>
          <w:szCs w:val="16"/>
        </w:rPr>
        <w:softHyphen/>
        <w:t>ризонтальной видимости объекта, расстояние до которого известно. Таким объектом стал со</w:t>
      </w:r>
      <w:r w:rsidRPr="00A3026E">
        <w:rPr>
          <w:rFonts w:ascii="Times New Roman" w:hAnsi="Times New Roman"/>
          <w:color w:val="0070C0"/>
          <w:sz w:val="16"/>
          <w:szCs w:val="16"/>
        </w:rPr>
        <w:softHyphen/>
        <w:t>путствующий аэростат «СССР ВР-63». Расстоя</w:t>
      </w:r>
      <w:r w:rsidRPr="00A3026E">
        <w:rPr>
          <w:rFonts w:ascii="Times New Roman" w:hAnsi="Times New Roman"/>
          <w:color w:val="0070C0"/>
          <w:sz w:val="16"/>
          <w:szCs w:val="16"/>
        </w:rPr>
        <w:softHyphen/>
        <w:t>ние между аэростатами определялось пилотами на карте крупного масштаба по теням аэростатов на земле. Расстояния эти постепенно росли из- за того, что аэростаты шли на разных высотах, и под конец полёта достигли предела, при кото</w:t>
      </w:r>
      <w:r w:rsidRPr="00A3026E">
        <w:rPr>
          <w:rFonts w:ascii="Times New Roman" w:hAnsi="Times New Roman"/>
          <w:color w:val="0070C0"/>
          <w:sz w:val="16"/>
          <w:szCs w:val="16"/>
        </w:rPr>
        <w:softHyphen/>
        <w:t>ром их определение стало бесполезным. Досто</w:t>
      </w:r>
      <w:r w:rsidRPr="00A3026E">
        <w:rPr>
          <w:rFonts w:ascii="Times New Roman" w:hAnsi="Times New Roman"/>
          <w:color w:val="0070C0"/>
          <w:sz w:val="16"/>
          <w:szCs w:val="16"/>
        </w:rPr>
        <w:softHyphen/>
        <w:t>верные определения расстояний между аэроста</w:t>
      </w:r>
      <w:r w:rsidRPr="00A3026E">
        <w:rPr>
          <w:rFonts w:ascii="Times New Roman" w:hAnsi="Times New Roman"/>
          <w:color w:val="0070C0"/>
          <w:sz w:val="16"/>
          <w:szCs w:val="16"/>
        </w:rPr>
        <w:softHyphen/>
        <w:t>тами довели до величин порядка 15 км. Для ви</w:t>
      </w:r>
      <w:r w:rsidRPr="00A3026E">
        <w:rPr>
          <w:rFonts w:ascii="Times New Roman" w:hAnsi="Times New Roman"/>
          <w:color w:val="0070C0"/>
          <w:sz w:val="16"/>
          <w:szCs w:val="16"/>
        </w:rPr>
        <w:softHyphen/>
        <w:t>зирования на аэростат, оболочка которого имела тёмно-красный цвет, использовался клиновой измеритель видимости Виганда, приспособлен</w:t>
      </w:r>
      <w:r w:rsidRPr="00A3026E">
        <w:rPr>
          <w:rFonts w:ascii="Times New Roman" w:hAnsi="Times New Roman"/>
          <w:color w:val="0070C0"/>
          <w:sz w:val="16"/>
          <w:szCs w:val="16"/>
        </w:rPr>
        <w:softHyphen/>
        <w:t>ный к объективу призматического шестикратно</w:t>
      </w:r>
      <w:r w:rsidRPr="00A3026E">
        <w:rPr>
          <w:rFonts w:ascii="Times New Roman" w:hAnsi="Times New Roman"/>
          <w:color w:val="0070C0"/>
          <w:sz w:val="16"/>
          <w:szCs w:val="16"/>
        </w:rPr>
        <w:softHyphen/>
        <w:t>го монокуляра. Однако тусклость изображений через такую сложную оптическую систему заста</w:t>
      </w:r>
      <w:r w:rsidRPr="00A3026E">
        <w:rPr>
          <w:rFonts w:ascii="Times New Roman" w:hAnsi="Times New Roman"/>
          <w:color w:val="0070C0"/>
          <w:sz w:val="16"/>
          <w:szCs w:val="16"/>
        </w:rPr>
        <w:softHyphen/>
        <w:t>вила от неё отказаться, и большинство наблюде</w:t>
      </w:r>
      <w:r w:rsidRPr="00A3026E">
        <w:rPr>
          <w:rFonts w:ascii="Times New Roman" w:hAnsi="Times New Roman"/>
          <w:color w:val="0070C0"/>
          <w:sz w:val="16"/>
          <w:szCs w:val="16"/>
        </w:rPr>
        <w:softHyphen/>
        <w:t>ний провели одним клиновым измерителем. С началом войны исследования атмосферы аэростатами ОВГ ЦИП приостановили (20120).</w:t>
      </w:r>
    </w:p>
    <w:p w14:paraId="5FD96233" w14:textId="77777777" w:rsidR="00711384" w:rsidRPr="00A3026E" w:rsidRDefault="00711384" w:rsidP="00A3026E">
      <w:pPr>
        <w:spacing w:after="0" w:line="240" w:lineRule="auto"/>
        <w:jc w:val="both"/>
        <w:rPr>
          <w:rFonts w:ascii="Times New Roman" w:hAnsi="Times New Roman"/>
          <w:color w:val="0070C0"/>
          <w:sz w:val="16"/>
          <w:szCs w:val="16"/>
        </w:rPr>
      </w:pPr>
    </w:p>
    <w:p w14:paraId="683F17DC"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5783516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3D6A7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года вышла директива наркома обороны С.К. Тимошенко и начальника Генштаба Б.М. Шапошникова о подготовке новой операции против Финляндии (Правда про 22 июня. Интервью С. Маслова с Л.А. Безыменским // Комсомольская правда. 1998. 18 июня.). Речь шла о записке наркома обороны и начальни</w:t>
      </w:r>
      <w:r w:rsidRPr="00A3026E">
        <w:rPr>
          <w:rFonts w:ascii="Times New Roman" w:hAnsi="Times New Roman"/>
          <w:color w:val="000000" w:themeColor="text1"/>
          <w:sz w:val="16"/>
          <w:szCs w:val="16"/>
        </w:rPr>
        <w:softHyphen/>
        <w:t>ка Генштаба в ЦК ВКП(б) И.В. Сталину и В.М. Молотову о соображениях по развертыванию вооруженных сил Красной армии на случай войны с Фин</w:t>
      </w:r>
      <w:r w:rsidRPr="00A3026E">
        <w:rPr>
          <w:rFonts w:ascii="Times New Roman" w:hAnsi="Times New Roman"/>
          <w:color w:val="000000" w:themeColor="text1"/>
          <w:sz w:val="16"/>
          <w:szCs w:val="16"/>
        </w:rPr>
        <w:softHyphen/>
        <w:t>ляндией. В ней наглядно демонстрируется «количественный» подход к раз</w:t>
      </w:r>
      <w:r w:rsidRPr="00A3026E">
        <w:rPr>
          <w:rFonts w:ascii="Times New Roman" w:hAnsi="Times New Roman"/>
          <w:color w:val="000000" w:themeColor="text1"/>
          <w:sz w:val="16"/>
          <w:szCs w:val="16"/>
        </w:rPr>
        <w:softHyphen/>
        <w:t>вертыванию ВВС РККА. Если в период «Зимней войны» против Финляндии было сосредоточено до 54 - 56 авиаполков, то в случае нового конфликта для наступления планировалось привлечь уже 78 авиаполков, насчитываю</w:t>
      </w:r>
      <w:r w:rsidRPr="00A3026E">
        <w:rPr>
          <w:rFonts w:ascii="Times New Roman" w:hAnsi="Times New Roman"/>
          <w:color w:val="000000" w:themeColor="text1"/>
          <w:sz w:val="16"/>
          <w:szCs w:val="16"/>
        </w:rPr>
        <w:softHyphen/>
        <w:t>щих 3900 самолетов (1941 год. Документы. Кн.1. С. 253, 255.) (11710,416).</w:t>
      </w:r>
    </w:p>
    <w:p w14:paraId="3CDBED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C33A68F" w14:textId="77777777" w:rsidR="00F069D4" w:rsidRPr="00A3026E" w:rsidRDefault="00F069D4"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года</w:t>
      </w:r>
      <w:r w:rsidRPr="00A3026E">
        <w:rPr>
          <w:rFonts w:ascii="Times New Roman" w:hAnsi="Times New Roman"/>
          <w:bCs/>
          <w:color w:val="000000" w:themeColor="text1"/>
          <w:sz w:val="16"/>
          <w:szCs w:val="16"/>
        </w:rPr>
        <w:t xml:space="preserve"> на имя Сталина и Молотова поступили документы Наркомата обороны, в которых высказывались соображения об основах стратегического развертывания Вооруженных Сил Советского Союза на Западе и на Востоке на 1940 — 1941 годы. В документах прямо назывались будущие военные противники СССР и, в частности, отмечалось: «Сложившаяся политическая обстановка в Европе создает вероятность вооруженного столкновения на наших западных границах. Это вооруженное столкновение может ограничиться только западными границами, но не исключена вероятность и атаки со стороны Японии наших дальневосточных границ. На наших западных границах наиболее вероятным противником будет Германия, что же касается Италии, то возможно ее участие в войне, а вернее, ее выступление на Балканах, создавая нам косвенную угрозу… Таким образом, Советскому Союзу необходимо быть готовым к борьбе на два фронта: на западе — против Германии, поддержанной Италией, Венгрией, Румынией и Финляндией, и на востоке — Японии, как открытого противника или противника, занимающего позицию вооруженного нейтралитета, всегда могущего перейти в открытое столкновение» (17398).</w:t>
      </w:r>
    </w:p>
    <w:p w14:paraId="4489B256" w14:textId="77777777" w:rsidR="00F069D4" w:rsidRPr="00A3026E" w:rsidRDefault="00F069D4" w:rsidP="00A3026E">
      <w:pPr>
        <w:shd w:val="clear" w:color="auto" w:fill="FFFFFF"/>
        <w:spacing w:after="0" w:line="240" w:lineRule="auto"/>
        <w:jc w:val="both"/>
        <w:rPr>
          <w:rFonts w:ascii="Times New Roman" w:hAnsi="Times New Roman"/>
          <w:color w:val="000000" w:themeColor="text1"/>
          <w:sz w:val="16"/>
          <w:szCs w:val="16"/>
        </w:rPr>
      </w:pPr>
    </w:p>
    <w:p w14:paraId="718B66C7" w14:textId="77777777" w:rsidR="004C4B74"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0BF2E2D2" w14:textId="77777777" w:rsidR="004C4B74" w:rsidRPr="00A3026E" w:rsidRDefault="004C4B74" w:rsidP="00A3026E">
      <w:pPr>
        <w:spacing w:after="0" w:line="240" w:lineRule="auto"/>
        <w:jc w:val="both"/>
        <w:rPr>
          <w:rFonts w:ascii="Times New Roman" w:hAnsi="Times New Roman"/>
          <w:iCs/>
          <w:color w:val="000000" w:themeColor="text1"/>
          <w:sz w:val="16"/>
          <w:szCs w:val="16"/>
        </w:rPr>
      </w:pPr>
    </w:p>
    <w:p w14:paraId="7FF455F2" w14:textId="77777777" w:rsidR="004C4B74" w:rsidRPr="00A3026E" w:rsidRDefault="004C4B74"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18 сентября 1940 г. </w:t>
      </w:r>
      <w:r w:rsidRPr="00A3026E">
        <w:rPr>
          <w:rFonts w:ascii="Times New Roman" w:hAnsi="Times New Roman"/>
          <w:bCs/>
          <w:color w:val="000000" w:themeColor="text1"/>
          <w:sz w:val="16"/>
          <w:szCs w:val="16"/>
        </w:rPr>
        <w:t xml:space="preserve">Молотов в беседе с послом Японии сказал фразу, которая определила поведение Японии в Азии: «Пакт о ненападении с СССР </w:t>
      </w:r>
      <w:r w:rsidRPr="00A3026E">
        <w:rPr>
          <w:rFonts w:ascii="Times New Roman" w:hAnsi="Times New Roman"/>
          <w:bCs/>
          <w:iCs/>
          <w:color w:val="000000" w:themeColor="text1"/>
          <w:sz w:val="16"/>
          <w:szCs w:val="16"/>
        </w:rPr>
        <w:t>развязывает Японии руки на юге</w:t>
      </w:r>
      <w:r w:rsidRPr="00A3026E">
        <w:rPr>
          <w:rFonts w:ascii="Times New Roman" w:hAnsi="Times New Roman"/>
          <w:bCs/>
          <w:color w:val="000000" w:themeColor="text1"/>
          <w:sz w:val="16"/>
          <w:szCs w:val="16"/>
        </w:rPr>
        <w:t>, а с другой стороны, создает для СССР затруднения в его отношениях с США и Китаем (17398).</w:t>
      </w:r>
    </w:p>
    <w:p w14:paraId="5B9225F0" w14:textId="77777777" w:rsidR="004C4B74" w:rsidRPr="00A3026E" w:rsidRDefault="004C4B74" w:rsidP="00A3026E">
      <w:pPr>
        <w:shd w:val="clear" w:color="auto" w:fill="FFFFFF"/>
        <w:spacing w:after="0" w:line="240" w:lineRule="auto"/>
        <w:jc w:val="both"/>
        <w:rPr>
          <w:rFonts w:ascii="Times New Roman" w:hAnsi="Times New Roman"/>
          <w:color w:val="000000" w:themeColor="text1"/>
          <w:sz w:val="16"/>
          <w:szCs w:val="16"/>
        </w:rPr>
      </w:pPr>
    </w:p>
    <w:p w14:paraId="10C6604D" w14:textId="77777777" w:rsidR="003C4475"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256923F8" w14:textId="77777777" w:rsidR="003C4475" w:rsidRPr="00A3026E" w:rsidRDefault="003C4475" w:rsidP="00A3026E">
      <w:pPr>
        <w:spacing w:after="0" w:line="240" w:lineRule="auto"/>
        <w:jc w:val="both"/>
        <w:rPr>
          <w:rFonts w:ascii="Times New Roman" w:hAnsi="Times New Roman"/>
          <w:iCs/>
          <w:color w:val="000000" w:themeColor="text1"/>
          <w:sz w:val="16"/>
          <w:szCs w:val="16"/>
        </w:rPr>
      </w:pPr>
    </w:p>
    <w:p w14:paraId="4D95AB33" w14:textId="77777777" w:rsidR="003C4475" w:rsidRPr="00A3026E" w:rsidRDefault="003C4475"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color w:val="000000" w:themeColor="text1"/>
          <w:sz w:val="16"/>
          <w:szCs w:val="16"/>
        </w:rPr>
        <w:t xml:space="preserve">18 сентября 1940 г.— считается днем победы Британии в т.н. </w:t>
      </w:r>
      <w:r w:rsidRPr="00A3026E">
        <w:rPr>
          <w:rFonts w:ascii="Times New Roman" w:hAnsi="Times New Roman"/>
          <w:bCs/>
          <w:iCs/>
          <w:color w:val="000000" w:themeColor="text1"/>
          <w:sz w:val="16"/>
          <w:szCs w:val="16"/>
        </w:rPr>
        <w:t>«Битве за Британию».</w:t>
      </w:r>
      <w:r w:rsidRPr="00A3026E">
        <w:rPr>
          <w:rFonts w:ascii="Times New Roman" w:hAnsi="Times New Roman"/>
          <w:color w:val="000000" w:themeColor="text1"/>
          <w:sz w:val="16"/>
          <w:szCs w:val="16"/>
        </w:rPr>
        <w:t xml:space="preserve"> Битва началась 12 августа 1940 г. и через 19 дней августа и 18 дней сентября англичане сумели достичь перевеса в воздухе. Потери люфтваффе превосходили потери британцев в 2 раза, к концу битвы у британцев было сбито около 900 самолетов, у немцев около 1.700 самолетов. Выяснилось, что английские самолеты «Спитфайр» и «Харрикейн» (конструктор Томас Сопвич) имеют преимущество (17398).</w:t>
      </w:r>
    </w:p>
    <w:p w14:paraId="01D58FA9" w14:textId="77777777" w:rsidR="003C4475" w:rsidRPr="00A3026E" w:rsidRDefault="003C4475" w:rsidP="00A3026E">
      <w:pPr>
        <w:spacing w:after="0" w:line="240" w:lineRule="auto"/>
        <w:jc w:val="both"/>
        <w:rPr>
          <w:rFonts w:ascii="Times New Roman" w:hAnsi="Times New Roman"/>
          <w:iCs/>
          <w:color w:val="000000" w:themeColor="text1"/>
          <w:sz w:val="16"/>
          <w:szCs w:val="16"/>
        </w:rPr>
      </w:pPr>
    </w:p>
    <w:p w14:paraId="78F4E87C" w14:textId="77777777" w:rsidR="009404D2" w:rsidRPr="00A3026E" w:rsidRDefault="009404D2"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18 сентября </w:t>
      </w:r>
      <w:r w:rsidRPr="00A3026E">
        <w:rPr>
          <w:rFonts w:ascii="Times New Roman" w:hAnsi="Times New Roman"/>
          <w:color w:val="000000" w:themeColor="text1"/>
          <w:sz w:val="16"/>
          <w:szCs w:val="16"/>
        </w:rPr>
        <w:t>в 1940 году в результате авианалета поврежден и затоплен крейсер «Сассекс» (заложен 1 февраля 1927 г., спущен 22 февраля 1928 г., вошёл в строй 19 марта 1929 г.) (14773).</w:t>
      </w:r>
    </w:p>
    <w:p w14:paraId="6687CFB0" w14:textId="77777777" w:rsidR="009404D2" w:rsidRPr="00A3026E" w:rsidRDefault="009404D2" w:rsidP="00A3026E">
      <w:pPr>
        <w:spacing w:after="0" w:line="240" w:lineRule="auto"/>
        <w:jc w:val="both"/>
        <w:rPr>
          <w:rFonts w:ascii="Times New Roman" w:hAnsi="Times New Roman"/>
          <w:color w:val="000000" w:themeColor="text1"/>
          <w:sz w:val="16"/>
          <w:szCs w:val="16"/>
        </w:rPr>
      </w:pPr>
    </w:p>
    <w:p w14:paraId="0337806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345FE1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F313F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19 сентября 1940 Рычагов, Нач. ГУ ВВС, писал А.И.Ш. письмо N 508213с "Настоящим сообщаю, что письмом N 807с/ОКБ от 3 августа 1940 ГК завода 39 С.В.И. сообщил возражения по вопросу установки мотора М-87 на самолет ДБ-3Ф и считает это мероприятие как исключительно временную меру с дальнейшей заменой М-87 на М-88.</w:t>
      </w:r>
    </w:p>
    <w:p w14:paraId="0F5CFF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 объясняет свои возражения тем, что самолет с мотором М-87 резко понизит свои качества как по боевой нагрузке, так и по скоростным данным.</w:t>
      </w:r>
    </w:p>
    <w:p w14:paraId="7DC6E3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сообщить мне Ваше решение по вопросу дальнейшей замены М-87 на М-88 (1295,9).</w:t>
      </w:r>
    </w:p>
    <w:p w14:paraId="5204529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AE035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Нач. ГУ ВВС Рычагов писал НКАП А.И.Ш. письмо N 508213с по вопросу постановки М-87 на ДБ-3Ф:</w:t>
      </w:r>
    </w:p>
    <w:p w14:paraId="567546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"Настоящим сообщаю, что письмом N 807с/ОКБ от 3 августа ГК завода 39 С.В.И. сообщил возражения по вопросу установки М-87 на ДБ-3Ф и считает это мероприятие исключительно временной мерой с дальнейшей заменой М-87 на М-88.</w:t>
      </w:r>
    </w:p>
    <w:p w14:paraId="6C145E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 объясняет свои возражения тем, что самолет с М-87 резко понизит свои качества как по боевой нагрузке, так и по скоростным данным.</w:t>
      </w:r>
    </w:p>
    <w:p w14:paraId="646F25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сообщить мне Ваше решение по вопросу дальнейшей замены М-87 на М-88." (1295,9).</w:t>
      </w:r>
    </w:p>
    <w:p w14:paraId="16FD3D2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C1F72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года Начальник НИП АВ ВВС полковник Шевченко утвердил Отчет по заводским испытаниям пикирующего бомбодержателя ПБ-6 конструкции завода N 32 на самолете СБ, которые проходили с 2 по 13 сентября 1940 (2998).</w:t>
      </w:r>
    </w:p>
    <w:p w14:paraId="2D66829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0AC7A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на земле ВАП-500 на самолете ДБ-240 – гл. конструктор Ермолаев, Завод № 240 дали течь 2 бензобака. Самолет перегнан на завод № 240 для устранения дефектов перед сдачей на госиспытания (3377, 21).</w:t>
      </w:r>
    </w:p>
    <w:p w14:paraId="03E9269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27945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Ар-2 стали снимать с производства (250 штук было выпущено) и ставить Пе-2. Б - сломался при испытаниях. А.А.А. попросили освободить здание ОКБ (77,163).</w:t>
      </w:r>
    </w:p>
    <w:p w14:paraId="216705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Якобы в это время А.И.Шахурин сказал, что Б как и Ту-2 лишились моторов, т.к. А.А.Микулин должен делать не АМ-37, а АМ-38 для Ил-2 (77,164).</w:t>
      </w:r>
    </w:p>
    <w:p w14:paraId="085B730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75969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года генерал-лейтенант авиации Рычагов писал письмо наркому обороны маршалу Тимошенко</w:t>
      </w:r>
    </w:p>
    <w:p w14:paraId="7C2995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w:t>
      </w:r>
    </w:p>
    <w:p w14:paraId="62696E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 156 НКАП, согласно постановления КО за № 239сс от 1 июня 1940 года ведутся работы по постройке 3-х экземпляров самолета «103» – двухмоторного пикирующего бомбардировщика конструкции ОТБ НКВД.</w:t>
      </w:r>
    </w:p>
    <w:p w14:paraId="01C4EB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Постройка первого экземпляра самолета была начата по макету, утвержденному 31 апреля 1940 года со следующим размещением экипажа: впереди летчик, сзади в отдельной кабине штурман и стрелок.</w:t>
      </w:r>
    </w:p>
    <w:p w14:paraId="7A7D1B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дальнейшем был разработан второй вариант самолета, в котором в целях обеспечения наиболее удобного ведения боевой работы экипажа, произведена перекомпоновка носовой части фюзеляжа. Летчик и штурман размещены вместе в передней кабине, а в задней кабине размещены два стрелка, из которых один введен дополнительно для защиты верхней задней полусферы, защищаемой теперь 2 пулеметами (штурмана и стрелка-радиста).</w:t>
      </w:r>
    </w:p>
    <w:p w14:paraId="2C8253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Макетная комиссия, рассматривавшая 23 августа 1940 года макет этого варианта самолета, его одобрила.</w:t>
      </w:r>
    </w:p>
    <w:p w14:paraId="1EDC81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Считая целесообразным постройку второго экземпляра самолета «103» произвести по второму варианту, прошу Вашего доклада председателю КО о необходимости внести изменения в постановление КО № 239 от 1 июня 1940 года (7711, 114).</w:t>
      </w:r>
    </w:p>
    <w:p w14:paraId="0C5D0F4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91F0B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года начальник Управления делами при наркоме обороны генерал-майор Дратвин писал письмо № 17381сс начальнику ГУ ВВС генерал-лейтенанту авиации Рычагову П.В.</w:t>
      </w:r>
    </w:p>
    <w:p w14:paraId="670354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Препровождаю материал, полученный от гл. конструктора завода № 43 Таирова о запуске в серийное производство самолета ОКО-6.</w:t>
      </w:r>
    </w:p>
    <w:p w14:paraId="05C45C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этот вопрос лично доложить наркому обороны вместе с запиской Репина, полученной от Совета по оборонной промышленности (7711, 99).</w:t>
      </w:r>
    </w:p>
    <w:p w14:paraId="5922D24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7EA9BD5" w14:textId="77777777" w:rsidR="00C66762" w:rsidRPr="00A3026E" w:rsidRDefault="00C66762" w:rsidP="00A3026E">
      <w:pPr>
        <w:pStyle w:val="22"/>
        <w:widowControl/>
        <w:rPr>
          <w:color w:val="000000" w:themeColor="text1"/>
        </w:rPr>
      </w:pPr>
      <w:r w:rsidRPr="00A3026E">
        <w:rPr>
          <w:color w:val="000000" w:themeColor="text1"/>
        </w:rPr>
        <w:t>19 сентября 1940 года в НИИ ВВС закончились гос. испытания опытного самолета УТИ-26 с мотором М-105П, конструкции инженера Яковлева постройки завода № 115, которые проходили с 28 августа 1940</w:t>
      </w:r>
    </w:p>
    <w:p w14:paraId="6E68F545" w14:textId="77777777" w:rsidR="00C66762" w:rsidRPr="00A3026E" w:rsidRDefault="00C66762" w:rsidP="00A3026E">
      <w:pPr>
        <w:pStyle w:val="22"/>
        <w:widowControl/>
        <w:rPr>
          <w:color w:val="000000" w:themeColor="text1"/>
        </w:rPr>
      </w:pPr>
      <w:r w:rsidRPr="00A3026E">
        <w:rPr>
          <w:color w:val="000000" w:themeColor="text1"/>
        </w:rPr>
        <w:t>Отв. исполнители:</w:t>
      </w:r>
    </w:p>
    <w:p w14:paraId="4B964F6D" w14:textId="77777777" w:rsidR="00C66762" w:rsidRPr="00A3026E" w:rsidRDefault="00C66762" w:rsidP="00A3026E">
      <w:pPr>
        <w:pStyle w:val="22"/>
        <w:widowControl/>
        <w:rPr>
          <w:color w:val="000000" w:themeColor="text1"/>
        </w:rPr>
      </w:pPr>
      <w:r w:rsidRPr="00A3026E">
        <w:rPr>
          <w:color w:val="000000" w:themeColor="text1"/>
        </w:rPr>
        <w:t>Начальник 1 отделения 1 отдела НИИ в/инженер 1 ранга Воеводин</w:t>
      </w:r>
    </w:p>
    <w:p w14:paraId="6071F012" w14:textId="77777777" w:rsidR="00C66762" w:rsidRPr="00A3026E" w:rsidRDefault="00C66762" w:rsidP="00A3026E">
      <w:pPr>
        <w:pStyle w:val="22"/>
        <w:widowControl/>
        <w:rPr>
          <w:color w:val="000000" w:themeColor="text1"/>
        </w:rPr>
      </w:pPr>
      <w:r w:rsidRPr="00A3026E">
        <w:rPr>
          <w:color w:val="000000" w:themeColor="text1"/>
        </w:rPr>
        <w:t>Вед. инженер в/инженер 3 ранга Степанец</w:t>
      </w:r>
    </w:p>
    <w:p w14:paraId="0E13DCD3" w14:textId="77777777" w:rsidR="00C66762" w:rsidRPr="00A3026E" w:rsidRDefault="00C66762" w:rsidP="00A3026E">
      <w:pPr>
        <w:pStyle w:val="22"/>
        <w:widowControl/>
        <w:rPr>
          <w:color w:val="000000" w:themeColor="text1"/>
        </w:rPr>
      </w:pPr>
      <w:r w:rsidRPr="00A3026E">
        <w:rPr>
          <w:color w:val="000000" w:themeColor="text1"/>
        </w:rPr>
        <w:t>Вед. летчики:</w:t>
      </w:r>
    </w:p>
    <w:p w14:paraId="2B0B4EEA" w14:textId="77777777" w:rsidR="00C66762" w:rsidRPr="00A3026E" w:rsidRDefault="00C66762" w:rsidP="00A3026E">
      <w:pPr>
        <w:pStyle w:val="22"/>
        <w:widowControl/>
        <w:rPr>
          <w:color w:val="000000" w:themeColor="text1"/>
        </w:rPr>
      </w:pPr>
      <w:r w:rsidRPr="00A3026E">
        <w:rPr>
          <w:color w:val="000000" w:themeColor="text1"/>
        </w:rPr>
        <w:t>подполковник Стефановский</w:t>
      </w:r>
    </w:p>
    <w:p w14:paraId="6BDF2CB0" w14:textId="77777777" w:rsidR="00C66762" w:rsidRPr="00A3026E" w:rsidRDefault="00C66762" w:rsidP="00A3026E">
      <w:pPr>
        <w:pStyle w:val="22"/>
        <w:widowControl/>
        <w:rPr>
          <w:color w:val="000000" w:themeColor="text1"/>
        </w:rPr>
      </w:pPr>
      <w:r w:rsidRPr="00A3026E">
        <w:rPr>
          <w:color w:val="000000" w:themeColor="text1"/>
        </w:rPr>
        <w:t>ст. лейтенант Кубышкин</w:t>
      </w:r>
    </w:p>
    <w:p w14:paraId="6BC2594A" w14:textId="77777777" w:rsidR="00C66762" w:rsidRPr="00A3026E" w:rsidRDefault="00C66762" w:rsidP="00A3026E">
      <w:pPr>
        <w:pStyle w:val="22"/>
        <w:widowControl/>
        <w:rPr>
          <w:color w:val="000000" w:themeColor="text1"/>
        </w:rPr>
      </w:pPr>
      <w:r w:rsidRPr="00A3026E">
        <w:rPr>
          <w:color w:val="000000" w:themeColor="text1"/>
        </w:rPr>
        <w:t>Учебно-тренировочный истребитель УТИ-26 конструкции инженера Яковлева предназначен для тренировки и вывозки летчиков при переходе их на современный скоростной истребитель.</w:t>
      </w:r>
    </w:p>
    <w:p w14:paraId="19E867BE" w14:textId="77777777" w:rsidR="00C66762" w:rsidRPr="00A3026E" w:rsidRDefault="00C66762" w:rsidP="00A3026E">
      <w:pPr>
        <w:pStyle w:val="22"/>
        <w:widowControl/>
        <w:rPr>
          <w:color w:val="000000" w:themeColor="text1"/>
        </w:rPr>
      </w:pPr>
      <w:r w:rsidRPr="00A3026E">
        <w:rPr>
          <w:color w:val="000000" w:themeColor="text1"/>
        </w:rPr>
        <w:t>УТИ-26 – свободнонесущий низкокрылый двухместный моноплан смешанной конструкции с убирающимися шасси и хвостовым колесом.</w:t>
      </w:r>
    </w:p>
    <w:p w14:paraId="03E0A13E" w14:textId="77777777" w:rsidR="00C66762" w:rsidRPr="00A3026E" w:rsidRDefault="00C66762" w:rsidP="00A3026E">
      <w:pPr>
        <w:pStyle w:val="22"/>
        <w:widowControl/>
        <w:rPr>
          <w:color w:val="000000" w:themeColor="text1"/>
        </w:rPr>
      </w:pPr>
      <w:r w:rsidRPr="00A3026E">
        <w:rPr>
          <w:color w:val="000000" w:themeColor="text1"/>
        </w:rPr>
        <w:t>На самолете установлен мотор водяного охлаждения М-105П мощностью 1050 л.с. на высоте 4000 м с металлическим трехлопастным винтом ВИШ-61П.</w:t>
      </w:r>
    </w:p>
    <w:p w14:paraId="5B968A5C" w14:textId="77777777" w:rsidR="00C66762" w:rsidRPr="00A3026E" w:rsidRDefault="00C66762" w:rsidP="00A3026E">
      <w:pPr>
        <w:pStyle w:val="22"/>
        <w:widowControl/>
        <w:rPr>
          <w:color w:val="000000" w:themeColor="text1"/>
        </w:rPr>
      </w:pPr>
      <w:r w:rsidRPr="00A3026E">
        <w:rPr>
          <w:color w:val="000000" w:themeColor="text1"/>
        </w:rPr>
        <w:t>Вооружение самолета состоит из двух синхронных пулеметов с запасом патрон на каждый пулемет по 500 штук.</w:t>
      </w:r>
    </w:p>
    <w:p w14:paraId="3946C629" w14:textId="77777777" w:rsidR="00C66762" w:rsidRPr="00A3026E" w:rsidRDefault="00C66762" w:rsidP="00A3026E">
      <w:pPr>
        <w:pStyle w:val="22"/>
        <w:widowControl/>
        <w:rPr>
          <w:color w:val="000000" w:themeColor="text1"/>
        </w:rPr>
      </w:pPr>
      <w:r w:rsidRPr="00A3026E">
        <w:rPr>
          <w:color w:val="000000" w:themeColor="text1"/>
        </w:rPr>
        <w:t>Самолет спроектирован и построен на безе самолета И-26, вследствие чего конструкция их имеет много общего.</w:t>
      </w:r>
    </w:p>
    <w:p w14:paraId="6B2CEB75" w14:textId="77777777" w:rsidR="00C66762" w:rsidRPr="00A3026E" w:rsidRDefault="00C66762" w:rsidP="00A3026E">
      <w:pPr>
        <w:pStyle w:val="22"/>
        <w:widowControl/>
        <w:rPr>
          <w:color w:val="000000" w:themeColor="text1"/>
        </w:rPr>
      </w:pPr>
      <w:r w:rsidRPr="00A3026E">
        <w:rPr>
          <w:color w:val="000000" w:themeColor="text1"/>
        </w:rPr>
        <w:t>Отличие самолета УТИ-26 от самолета И-26 обусловлено в основном наличием на самолете УТИ-26 второй кабины.</w:t>
      </w:r>
    </w:p>
    <w:p w14:paraId="3551DC2B" w14:textId="77777777" w:rsidR="00C66762" w:rsidRPr="00A3026E" w:rsidRDefault="00C66762" w:rsidP="00A3026E">
      <w:pPr>
        <w:pStyle w:val="22"/>
        <w:widowControl/>
        <w:rPr>
          <w:color w:val="000000" w:themeColor="text1"/>
        </w:rPr>
      </w:pPr>
      <w:r w:rsidRPr="00A3026E">
        <w:rPr>
          <w:color w:val="000000" w:themeColor="text1"/>
        </w:rPr>
        <w:t>Самолет поступил на госиспытания 28 августа 1940 года</w:t>
      </w:r>
    </w:p>
    <w:p w14:paraId="2078306B" w14:textId="77777777" w:rsidR="00C66762" w:rsidRPr="00A3026E" w:rsidRDefault="00C66762" w:rsidP="00A3026E">
      <w:pPr>
        <w:pStyle w:val="22"/>
        <w:widowControl/>
        <w:rPr>
          <w:color w:val="000000" w:themeColor="text1"/>
        </w:rPr>
      </w:pPr>
      <w:r w:rsidRPr="00A3026E">
        <w:rPr>
          <w:color w:val="000000" w:themeColor="text1"/>
        </w:rPr>
        <w:t>Временно снят с госиспытаний для проведения ремонта после его поломки – 30 августа 1940 года</w:t>
      </w:r>
    </w:p>
    <w:p w14:paraId="3DE647B2" w14:textId="77777777" w:rsidR="00C66762" w:rsidRPr="00A3026E" w:rsidRDefault="00C66762" w:rsidP="00A3026E">
      <w:pPr>
        <w:pStyle w:val="22"/>
        <w:widowControl/>
        <w:rPr>
          <w:color w:val="000000" w:themeColor="text1"/>
        </w:rPr>
      </w:pPr>
      <w:r w:rsidRPr="00A3026E">
        <w:rPr>
          <w:color w:val="000000" w:themeColor="text1"/>
        </w:rPr>
        <w:t>Поступил для продолжения госиспытаний 11 сентября 1940 года</w:t>
      </w:r>
    </w:p>
    <w:p w14:paraId="465954CD" w14:textId="77777777" w:rsidR="00C66762" w:rsidRPr="00A3026E" w:rsidRDefault="00C66762" w:rsidP="00A3026E">
      <w:pPr>
        <w:pStyle w:val="22"/>
        <w:widowControl/>
        <w:rPr>
          <w:color w:val="000000" w:themeColor="text1"/>
        </w:rPr>
      </w:pPr>
      <w:r w:rsidRPr="00A3026E">
        <w:rPr>
          <w:color w:val="000000" w:themeColor="text1"/>
        </w:rPr>
        <w:t>Закончил госиспытания 19 сентября 1940 года</w:t>
      </w:r>
    </w:p>
    <w:p w14:paraId="6C170DD8" w14:textId="77777777" w:rsidR="00C66762" w:rsidRPr="00A3026E" w:rsidRDefault="00C66762" w:rsidP="00A3026E">
      <w:pPr>
        <w:pStyle w:val="22"/>
        <w:widowControl/>
        <w:rPr>
          <w:color w:val="000000" w:themeColor="text1"/>
        </w:rPr>
      </w:pPr>
      <w:r w:rsidRPr="00A3026E">
        <w:rPr>
          <w:color w:val="000000" w:themeColor="text1"/>
        </w:rPr>
        <w:t>Итого самолет испытан за 10 дней, из них летных – 5 дней</w:t>
      </w:r>
    </w:p>
    <w:p w14:paraId="4B7AFB59" w14:textId="77777777" w:rsidR="00C66762" w:rsidRPr="00A3026E" w:rsidRDefault="00C66762" w:rsidP="00A3026E">
      <w:pPr>
        <w:pStyle w:val="22"/>
        <w:widowControl/>
        <w:rPr>
          <w:color w:val="000000" w:themeColor="text1"/>
        </w:rPr>
      </w:pPr>
      <w:r w:rsidRPr="00A3026E">
        <w:rPr>
          <w:color w:val="000000" w:themeColor="text1"/>
        </w:rPr>
        <w:t>Цель испытания</w:t>
      </w:r>
    </w:p>
    <w:p w14:paraId="4809641E" w14:textId="77777777" w:rsidR="00C66762" w:rsidRPr="00A3026E" w:rsidRDefault="00C66762" w:rsidP="00A3026E">
      <w:pPr>
        <w:pStyle w:val="22"/>
        <w:widowControl/>
        <w:rPr>
          <w:color w:val="000000" w:themeColor="text1"/>
        </w:rPr>
      </w:pPr>
      <w:r w:rsidRPr="00A3026E">
        <w:rPr>
          <w:color w:val="000000" w:themeColor="text1"/>
        </w:rPr>
        <w:t>Выявить соответствие данных самолета УТИ-26, предназначенного для работы в условиях авиашкол и строевых частей, требованиям ВВС к такого типа самолету, особенно в отношении его пилотажных, взлетно-посадочных и эксплуатационных свойств.</w:t>
      </w:r>
    </w:p>
    <w:p w14:paraId="2B52A41F" w14:textId="77777777" w:rsidR="00C66762" w:rsidRPr="00A3026E" w:rsidRDefault="00C66762" w:rsidP="00A3026E">
      <w:pPr>
        <w:pStyle w:val="22"/>
        <w:widowControl/>
        <w:rPr>
          <w:color w:val="000000" w:themeColor="text1"/>
        </w:rPr>
      </w:pPr>
      <w:r w:rsidRPr="00A3026E">
        <w:rPr>
          <w:color w:val="000000" w:themeColor="text1"/>
        </w:rPr>
        <w:t>Заключение</w:t>
      </w:r>
    </w:p>
    <w:p w14:paraId="1C6F0F35" w14:textId="77777777" w:rsidR="00C66762" w:rsidRPr="00A3026E" w:rsidRDefault="00C66762" w:rsidP="00A3026E">
      <w:pPr>
        <w:pStyle w:val="22"/>
        <w:widowControl/>
        <w:tabs>
          <w:tab w:val="left" w:pos="360"/>
        </w:tabs>
        <w:rPr>
          <w:color w:val="000000" w:themeColor="text1"/>
        </w:rPr>
      </w:pPr>
      <w:r w:rsidRPr="00A3026E">
        <w:rPr>
          <w:color w:val="000000" w:themeColor="text1"/>
        </w:rPr>
        <w:t>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госиспытания удовлетворительно (7759).</w:t>
      </w:r>
    </w:p>
    <w:p w14:paraId="6BA724D7" w14:textId="77777777" w:rsidR="00C66762" w:rsidRPr="00A3026E" w:rsidRDefault="00C66762" w:rsidP="00A3026E">
      <w:pPr>
        <w:pStyle w:val="22"/>
        <w:widowControl/>
        <w:tabs>
          <w:tab w:val="left" w:pos="360"/>
        </w:tabs>
        <w:rPr>
          <w:color w:val="000000" w:themeColor="text1"/>
        </w:rPr>
      </w:pPr>
    </w:p>
    <w:p w14:paraId="063D3B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И-26 проходил заводские испытания, которые начались 1 сентября 1940 (822).</w:t>
      </w:r>
    </w:p>
    <w:p w14:paraId="7632A0A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F497D9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года закончились госю испытания 1-й экз. модификации самолета И-26 в двух местный переходно-тренировочный. Конструктор Яковлев, завод № 115, которые проходили с 1 сентября 1940 (4048, 1).</w:t>
      </w:r>
    </w:p>
    <w:p w14:paraId="11648E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9C84D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года закончились гос. испытания опытного самолета УТИ-26 с мотором М-105П конструкции инженера Яковлева, постройки завода № 115, которые проходили с 28 августа 1940</w:t>
      </w:r>
    </w:p>
    <w:p w14:paraId="74637B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27954D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1 отделения 1 отдела НИИ в/инженер 1 ранга Воеводин</w:t>
      </w:r>
    </w:p>
    <w:p w14:paraId="25BF4F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3 ранга Степанец</w:t>
      </w:r>
    </w:p>
    <w:p w14:paraId="376567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летчики:</w:t>
      </w:r>
    </w:p>
    <w:p w14:paraId="483145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Подполковник Стефановский</w:t>
      </w:r>
    </w:p>
    <w:p w14:paraId="254095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лейтенант Кубышкин</w:t>
      </w:r>
    </w:p>
    <w:p w14:paraId="39AF61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гос. испытания 28 августа 1940 года</w:t>
      </w:r>
    </w:p>
    <w:p w14:paraId="184080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Временно снят с гос. испытаний для проведения ремонта после его поломки 30 августа 1940 года</w:t>
      </w:r>
    </w:p>
    <w:p w14:paraId="7D8BBE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Поступил для продолжения гос. испытаний 11 сентября 1940 года</w:t>
      </w:r>
    </w:p>
    <w:p w14:paraId="752652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Закончил гос. испытания 19 сентября 1940 года</w:t>
      </w:r>
    </w:p>
    <w:p w14:paraId="5A4031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Самолет испытан за 10 дней, из летных дней – 5</w:t>
      </w:r>
    </w:p>
    <w:p w14:paraId="6BAFB2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4E64C7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соответствие данных самолета УТИ-26, предназначенного для работы в условиях авиашкол и строевых частей требованиям ВВС к такого типа самолету, особенно в отношении его пилотажных, взлетно-посадочных и эксплуатационных свойств.</w:t>
      </w:r>
    </w:p>
    <w:p w14:paraId="0B33E0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гос. испытаний самолета УТИ-26 произведено 30 полетов, общей продолжительностью 13 час. 15 мин.</w:t>
      </w:r>
    </w:p>
    <w:p w14:paraId="6036D9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353F2E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 испытания удовлетворительно (4385).</w:t>
      </w:r>
    </w:p>
    <w:p w14:paraId="369A678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5C8277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в ходе гос. испытаний УТИ-26 в НИИ ВВС, которые проходили с 29 августа по 19 сентября 1940 было проведено 2 полета для определения устойчивости машины с передней центровкой. Потом полеты повторили и сделали еще 8 полетов для определения взлетно-посадочных свойств (2944).</w:t>
      </w:r>
    </w:p>
    <w:p w14:paraId="142361C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C6AD4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закончились гос. испытания опытного самолета УТИ-26 с М-105П конструкции А.С.Я постройки завода 115, которые проходили с 28 августа 1940. Отв. исполнители: ви ви3р Воеводин, вл п/п Стефановский, ст. л Кубышкин. Объект испытания: УТИ-26 предназначен для тренировки и вывозки л при переходе на современный скоростной истребитель. Поступил 28, был временно снят из-за поломки 30 августа и поступил для продолжения 11 сентября. Испытан за 10 дней. Заключение:</w:t>
      </w:r>
    </w:p>
    <w:p w14:paraId="1953F3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УТИ-26 М-105П, как удовлетворяющий ТТТ к УТ и проверенный на пикировании до 627 км/час, пилотаж и штопор до 3-х витков, считать прошедшим гос. испытания удовлетворительно.</w:t>
      </w:r>
    </w:p>
    <w:p w14:paraId="44B10D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Учитывая отсутствие в частях ВВС современного УТИ, считать необходимым быстрейшую серийную постройку УТИ-26 (2944).</w:t>
      </w:r>
    </w:p>
    <w:p w14:paraId="575C001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7C13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закончились гос. испытания УТИ-26-1 с М-105П и ВИШ-61П, которые проходили с 28 августа. С 30 августа по 11 сентября 1940 был на ремонте после поломки (726).</w:t>
      </w:r>
    </w:p>
    <w:p w14:paraId="56010DD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17DC1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года закончились гос. испытания с-та ИУТИ-26</w:t>
      </w:r>
    </w:p>
    <w:p w14:paraId="50624E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августа 1940 года самолет УТИ-26 поступил на гос. испытания</w:t>
      </w:r>
    </w:p>
    <w:p w14:paraId="6678EF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30 августа по 11 сентября 1940 УТИ-26 был на ремонте после поломки 30 августа 1940.</w:t>
      </w:r>
    </w:p>
    <w:p w14:paraId="489527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года Начальник ГУ ВВС генерал-лейтенант авиации Рычагов утвердил Отчет по гос. испытаниям опытного самолета УТИ-26 с мотором М-105П конструкции и А.С.Я., постройки завода № 115</w:t>
      </w:r>
    </w:p>
    <w:p w14:paraId="1D1FF0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ВИШ-61П диаметром 3 м</w:t>
      </w:r>
    </w:p>
    <w:p w14:paraId="6D5121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5C6E64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Воеводин, Степанец, Стефановский, Кубышкин</w:t>
      </w:r>
    </w:p>
    <w:p w14:paraId="120480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Участники испытаний: Хвостовский, Аронов, Саманов, Цветаев, Стечнев, НаумовАверьянов, Королев</w:t>
      </w:r>
    </w:p>
    <w:p w14:paraId="51BC33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Летных - 5 дней</w:t>
      </w:r>
    </w:p>
    <w:p w14:paraId="3C01D1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Наземные испытания 3 дня</w:t>
      </w:r>
    </w:p>
    <w:p w14:paraId="2CCEFF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Нелетная погода 2 дня</w:t>
      </w:r>
    </w:p>
    <w:p w14:paraId="1C3C2A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сдвинуто назад на 100 мм, в фюзкляже - вторая кабина и 2-е управление</w:t>
      </w:r>
    </w:p>
    <w:p w14:paraId="4B25BB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2181 кг, полетный - 2750 кг</w:t>
      </w:r>
    </w:p>
    <w:p w14:paraId="01A12A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у земли 500 км/час</w:t>
      </w:r>
    </w:p>
    <w:p w14:paraId="1EF73A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на 2540 м 560 км/час</w:t>
      </w:r>
    </w:p>
    <w:p w14:paraId="0D95D4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5000 м 5,5 мин.</w:t>
      </w:r>
    </w:p>
    <w:p w14:paraId="48008F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 310 м, пробег 750 м</w:t>
      </w:r>
    </w:p>
    <w:p w14:paraId="587BA0D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9D687E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УТИ-26 считать прошедшим госиспытания удовлетворительно (Самолет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 испытания удовлетворительно)</w:t>
      </w:r>
    </w:p>
    <w:p w14:paraId="5627EE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целесообрасным быстрейшую серийную постройку самолета</w:t>
      </w:r>
    </w:p>
    <w:p w14:paraId="54EBDE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ГК и завод № 115 устранить на с-тах для войсковых испытаний следующие дефекты:</w:t>
      </w:r>
    </w:p>
    <w:p w14:paraId="77C29D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ненадежность конструкции запирающей системы уборки и выпуска шасси</w:t>
      </w:r>
    </w:p>
    <w:p w14:paraId="003067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нельзя тормозить (большой пробег)</w:t>
      </w:r>
    </w:p>
    <w:p w14:paraId="5BFFAF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недоведенность синхронизирующей установки (прострел винта)</w:t>
      </w:r>
    </w:p>
    <w:p w14:paraId="7B0B39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исправить направления действия рычагов в кабине л-ка (726,1).</w:t>
      </w:r>
    </w:p>
    <w:p w14:paraId="78B49D3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4007F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УТИ-26-1 передали в 11 иап (командир Г.А.Когрушев) в Кубинку для подготовки к войсковым испытаниям 11 И-26 (Як-1) первой малой серии (65,28).</w:t>
      </w:r>
    </w:p>
    <w:p w14:paraId="622386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гос. испытания шли до 22 сентября 1940 (2090,232).</w:t>
      </w:r>
    </w:p>
    <w:p w14:paraId="07F83DA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961B9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года член Совета оборонной промышленности Репин писал письмо № 549/соп зам. наркома Авиапрома Яковлеву А.С.</w:t>
      </w:r>
    </w:p>
    <w:p w14:paraId="15159C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сообщить, что сделано по акту госиспытаний самолета И-26 и протоколу № 6 Техсовета НИИ ВВС (3377, 44).</w:t>
      </w:r>
    </w:p>
    <w:p w14:paraId="790F3AB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84C62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года начальник 6 управления ГУ ВВС бригинженер Лапин писал письмо № 510958сс члену Совета оборонной промышленности дивинженеру Репину</w:t>
      </w:r>
    </w:p>
    <w:p w14:paraId="056EE1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Вашей просьбе направляю копию протокола № 6 заседания Техсовета при НИИ ГУАС о результатах госиспытаний второго экземпляра самолета И-26 с М-105П конструкции Яковлева, постройка завода № 115.</w:t>
      </w:r>
    </w:p>
    <w:p w14:paraId="09D71A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упомянутое на 3 листах (3377, 45).</w:t>
      </w:r>
    </w:p>
    <w:p w14:paraId="1C17F0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июня 1940 года</w:t>
      </w:r>
    </w:p>
    <w:p w14:paraId="5D84A9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Протокол № 6 заседания Технического совета при НИИ ГУАС</w:t>
      </w:r>
    </w:p>
    <w:p w14:paraId="455BBF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Содержание: О результатах госиспытаний второго экземпляра самолета И-26 с М-105П конструкции Яковлева, постройки завода № 115</w:t>
      </w:r>
    </w:p>
    <w:p w14:paraId="6BBF1D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Технический совет при НИИ ГУАС под председательством генерал-майора авиации Филина А.И. в составе члена Техсовета зам. начальника ГУАС бригинженера Федорова П.И. в присутствии: зам. наркома Авиапрома и главного конструктора самолета И-26 Яковлева А.С., главного инженера завода № 115 Ястребова А.И., заслушал доклад ведущего инженера НИИ ГУАС в/инженера 2 ранга Максимова Н.И., содоклад летчика-испытателя капитана Николаева А.С. о результатах госиспытаний самолета И-26 с М-105П и оценку самолета от всех участников летных и земных испытаний.</w:t>
      </w:r>
    </w:p>
    <w:p w14:paraId="1DD844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построен по Постановлению КО № 246 от 29 июля 1939 года. Была задана постройка самолета с мотором М-106 в двух экземплярах со сроками сдачи на госиспытания:</w:t>
      </w:r>
    </w:p>
    <w:p w14:paraId="0CCC7A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экз. – февраль 1940 года</w:t>
      </w:r>
    </w:p>
    <w:p w14:paraId="1B7F71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экз. – апрель 1940 года</w:t>
      </w:r>
    </w:p>
    <w:p w14:paraId="033A66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построен в трех экземплярах с мотором М-105. Первый экземпляр самолета разбит на заводских испытаниях. Второй экземпляр прдъявлен на госиспытания 1 июня 1940 года.</w:t>
      </w:r>
    </w:p>
    <w:p w14:paraId="726FA1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заданы следующие летно-тактические данные с мотором М-106:</w:t>
      </w:r>
    </w:p>
    <w:p w14:paraId="3FA1BE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Н-6000 м – 620 км/час</w:t>
      </w:r>
    </w:p>
    <w:p w14:paraId="3B1DF6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 120 км/час</w:t>
      </w:r>
    </w:p>
    <w:p w14:paraId="077ECB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максимальная на 0,9 максимальной скорости – 600 км/час</w:t>
      </w:r>
    </w:p>
    <w:p w14:paraId="266228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при перегрузке на 0,9 м/ск – 1000 км</w:t>
      </w:r>
    </w:p>
    <w:p w14:paraId="1EC320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10000 м – 9-11 мин.</w:t>
      </w:r>
    </w:p>
    <w:p w14:paraId="3EBFD0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 11000-12000 м</w:t>
      </w:r>
    </w:p>
    <w:p w14:paraId="5F9CCC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1D576A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 крупнокалиберный пулемет Березина и 2 пулемета ШКАС через винт</w:t>
      </w:r>
    </w:p>
    <w:p w14:paraId="3DAE4A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второму экземпляру с ТК заданы:</w:t>
      </w:r>
    </w:p>
    <w:p w14:paraId="626974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8-10 тыс. – 650 км/час</w:t>
      </w:r>
    </w:p>
    <w:p w14:paraId="029756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Остальные данные те же, что и первого экземпляра.</w:t>
      </w:r>
    </w:p>
    <w:p w14:paraId="02EF4B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 2 пулемета ШКАС через винт.</w:t>
      </w:r>
    </w:p>
    <w:p w14:paraId="312D28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госиспытаниях в НИИ ГУАС второго экземпляра самолета И-26 с М-105П получены следующие летно-тактические данные:</w:t>
      </w:r>
    </w:p>
    <w:p w14:paraId="2C89FF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у земли – 490 км/час</w:t>
      </w:r>
    </w:p>
    <w:p w14:paraId="4511CC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Н=4800 м – 585,5 км/час</w:t>
      </w:r>
    </w:p>
    <w:p w14:paraId="56DD83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Н=6000 м – 572,5 км/час</w:t>
      </w:r>
    </w:p>
    <w:p w14:paraId="0B10DE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 135 км/час</w:t>
      </w:r>
    </w:p>
    <w:p w14:paraId="213316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Н=5000 м - 6 минут</w:t>
      </w:r>
    </w:p>
    <w:p w14:paraId="3FE7B1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Н=10000 м – 23,6 минут</w:t>
      </w:r>
    </w:p>
    <w:p w14:paraId="369997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выполнения виража – 24 сек.</w:t>
      </w:r>
    </w:p>
    <w:p w14:paraId="3D5F1A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 10200 м</w:t>
      </w:r>
    </w:p>
    <w:p w14:paraId="049529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 – 300 м</w:t>
      </w:r>
    </w:p>
    <w:p w14:paraId="6971A8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 – 540 м</w:t>
      </w:r>
    </w:p>
    <w:p w14:paraId="484D35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0,9 макс. скорости – 700 км</w:t>
      </w:r>
    </w:p>
    <w:p w14:paraId="5506FB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имеет вооружение:</w:t>
      </w:r>
    </w:p>
    <w:p w14:paraId="07E754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ШКАС с 380 патронами на пулемет и</w:t>
      </w:r>
    </w:p>
    <w:p w14:paraId="509C6B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пушку 20 мм и 120 снарядами</w:t>
      </w:r>
    </w:p>
    <w:p w14:paraId="1BD891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госиспытаниях в НИИ ГУАС установлено, что самолет И-26 М-105П (2-й экз.) не доведен в части:</w:t>
      </w:r>
    </w:p>
    <w:p w14:paraId="5E4213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вооружения, винтомоторной группы, механизма уборки шасси, прочности носка крыла и спецоборудования.</w:t>
      </w:r>
    </w:p>
    <w:p w14:paraId="27FD10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Из-за недостаточной прочности носка крыла испытание с перегрузками (пикирование, пилотаж и штопор) самолет не проходил.</w:t>
      </w:r>
    </w:p>
    <w:p w14:paraId="327B91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w:t>
      </w:r>
    </w:p>
    <w:p w14:paraId="4999DCB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Представленный на госиспытания второй экземпляр самолета И-26 с М-105П госиспытаний не выдержал по причинам:</w:t>
      </w:r>
    </w:p>
    <w:p w14:paraId="2EB4DAA8" w14:textId="77777777" w:rsidR="00C66762" w:rsidRPr="00A3026E" w:rsidRDefault="00C66762" w:rsidP="00A3026E">
      <w:pPr>
        <w:pStyle w:val="a3"/>
        <w:widowControl/>
        <w:rPr>
          <w:color w:val="000000" w:themeColor="text1"/>
          <w:lang w:val="ru-RU"/>
        </w:rPr>
      </w:pPr>
      <w:r w:rsidRPr="00A3026E">
        <w:rPr>
          <w:color w:val="000000" w:themeColor="text1"/>
          <w:lang w:val="ru-RU"/>
        </w:rPr>
        <w:t>- Своей недоведенности в части винтомоторной группы, вооружения и спецоборудования.</w:t>
      </w:r>
    </w:p>
    <w:p w14:paraId="6B351CC5" w14:textId="77777777" w:rsidR="00C66762" w:rsidRPr="00A3026E" w:rsidRDefault="00C66762" w:rsidP="00A3026E">
      <w:pPr>
        <w:pStyle w:val="a3"/>
        <w:widowControl/>
        <w:rPr>
          <w:color w:val="000000" w:themeColor="text1"/>
          <w:lang w:val="ru-RU"/>
        </w:rPr>
      </w:pPr>
      <w:r w:rsidRPr="00A3026E">
        <w:rPr>
          <w:color w:val="000000" w:themeColor="text1"/>
          <w:lang w:val="ru-RU"/>
        </w:rPr>
        <w:t>- Невозможности проведения госиспытаний самолета как истребителя: на пилотаж, пикирование и штопор, из-за недостаточной прочности носка крыла.</w:t>
      </w:r>
    </w:p>
    <w:p w14:paraId="6F9DA52E"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Самолет отвечает заданным летным данным по Постановлению КО № 246, за исключением большой посадочной скорости, которая получена в 135 км/час, вместо 120 км/час и большой длины пробега.</w:t>
      </w:r>
    </w:p>
    <w:p w14:paraId="0DD6BA0B"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Учитывая, что самолет И-26 с М-105П по решениям КО запущен в массовое серийное производство на двух заводах, считать необходимым:</w:t>
      </w:r>
    </w:p>
    <w:p w14:paraId="01ABF3DE" w14:textId="77777777" w:rsidR="00C66762" w:rsidRPr="00A3026E" w:rsidRDefault="00C66762" w:rsidP="00A3026E">
      <w:pPr>
        <w:pStyle w:val="a3"/>
        <w:widowControl/>
        <w:rPr>
          <w:color w:val="000000" w:themeColor="text1"/>
          <w:lang w:val="ru-RU"/>
        </w:rPr>
      </w:pPr>
      <w:r w:rsidRPr="00A3026E">
        <w:rPr>
          <w:color w:val="000000" w:themeColor="text1"/>
          <w:lang w:val="ru-RU"/>
        </w:rPr>
        <w:t>а) немедленно устранить основные дефекты, не допускающие нормальной эксплуатации, на всех выпущенных и выпускаемых серийных самолетах;</w:t>
      </w:r>
    </w:p>
    <w:p w14:paraId="3CB74425" w14:textId="77777777" w:rsidR="00C66762" w:rsidRPr="00A3026E" w:rsidRDefault="00C66762" w:rsidP="00A3026E">
      <w:pPr>
        <w:pStyle w:val="a3"/>
        <w:widowControl/>
        <w:rPr>
          <w:color w:val="000000" w:themeColor="text1"/>
          <w:lang w:val="ru-RU"/>
        </w:rPr>
      </w:pPr>
      <w:r w:rsidRPr="00A3026E">
        <w:rPr>
          <w:color w:val="000000" w:themeColor="text1"/>
          <w:lang w:val="ru-RU"/>
        </w:rPr>
        <w:t>б) в кратчайший срок довести самолет и в доведенном состоянии представить его вновь на госиспытания в НИИ ГУАС;</w:t>
      </w:r>
    </w:p>
    <w:p w14:paraId="5DBE17A2" w14:textId="77777777" w:rsidR="00C66762" w:rsidRPr="00A3026E" w:rsidRDefault="00C66762" w:rsidP="00A3026E">
      <w:pPr>
        <w:pStyle w:val="a3"/>
        <w:widowControl/>
        <w:rPr>
          <w:color w:val="000000" w:themeColor="text1"/>
          <w:lang w:val="ru-RU"/>
        </w:rPr>
      </w:pPr>
      <w:r w:rsidRPr="00A3026E">
        <w:rPr>
          <w:color w:val="000000" w:themeColor="text1"/>
          <w:lang w:val="ru-RU"/>
        </w:rPr>
        <w:t>в) для решения вопроса о прочности самолета и безопасности полетов необходимо форсировать на заводе испытания самолета на штопор, пикирование и пилотаж, которые закончить к 1 июля 1940 года;</w:t>
      </w:r>
    </w:p>
    <w:p w14:paraId="609D8AAD" w14:textId="77777777" w:rsidR="00C66762" w:rsidRPr="00A3026E" w:rsidRDefault="00C66762" w:rsidP="00A3026E">
      <w:pPr>
        <w:pStyle w:val="a3"/>
        <w:widowControl/>
        <w:rPr>
          <w:color w:val="000000" w:themeColor="text1"/>
          <w:lang w:val="ru-RU"/>
        </w:rPr>
      </w:pPr>
      <w:r w:rsidRPr="00A3026E">
        <w:rPr>
          <w:color w:val="000000" w:themeColor="text1"/>
          <w:lang w:val="ru-RU"/>
        </w:rPr>
        <w:t>г) провести в срочном порядке войсковые испытания самолета И-26 М-105П, для чего постройку войсковой серии доведенных самолетов закончить к 15 августа 1940 года.</w:t>
      </w:r>
    </w:p>
    <w:p w14:paraId="16DDED1C"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Отметить, что НКАП не выдержал срок предъявления самолета И-26 на госиспытания, установленный Постановлением КО № 246 от 29 июля 19339 года.</w:t>
      </w:r>
    </w:p>
    <w:p w14:paraId="5ADE11FA"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Отметить, что самолет И-26 предъявлен на госиспытания в недоведенном состоянии, что противоречит постановлению ЦК ВКП(б) и СНК от 8 мая 1940 года. На заводских испытаниях не отработаны: винтомоторная группа, вооружение, спецоборудование и самолет не испытан на пилотаж с перегрузками, штопор и пикирование.</w:t>
      </w:r>
    </w:p>
    <w:p w14:paraId="1464969D" w14:textId="77777777" w:rsidR="00C66762" w:rsidRPr="00A3026E" w:rsidRDefault="00C66762" w:rsidP="00A3026E">
      <w:pPr>
        <w:pStyle w:val="a3"/>
        <w:widowControl/>
        <w:rPr>
          <w:color w:val="000000" w:themeColor="text1"/>
          <w:lang w:val="ru-RU"/>
        </w:rPr>
      </w:pPr>
      <w:r w:rsidRPr="00A3026E">
        <w:rPr>
          <w:color w:val="000000" w:themeColor="text1"/>
          <w:lang w:val="ru-RU"/>
        </w:rPr>
        <w:t>(председатель Техсовета НИИ ГУАС генерал-майор авиации Филин, член Техсовета НИИ ГУАС бригинженер Федоров) (3377, 45-48).</w:t>
      </w:r>
    </w:p>
    <w:p w14:paraId="71F2C300" w14:textId="77777777" w:rsidR="00C66762" w:rsidRPr="00A3026E" w:rsidRDefault="00C66762" w:rsidP="00A3026E">
      <w:pPr>
        <w:pStyle w:val="a3"/>
        <w:widowControl/>
        <w:rPr>
          <w:color w:val="000000" w:themeColor="text1"/>
          <w:lang w:val="ru-RU"/>
        </w:rPr>
      </w:pPr>
    </w:p>
    <w:p w14:paraId="092FB9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 закончились госиспытания УТИ-26-1, которые проходили с 28 по 30 августа 1940 и с 11 по 19 сентября. К самолету были предъявлены более высокие требования, вследствие чего второй прототип (УТИ-26-Н, № 26-5, УТИ-27-2) претерпел серьезные конструктивные изменения (которые коснулись шасси, горизонтального оперения). Поэтому в серию он пошел уже под другим обозначением - Як-7. После испытаний УТИ-26-1 возвратили на завод № 115, где с 26 сентября по 10 декабря 1940 г. на него поставили новые мотор, винт, всасывающий патрубок нагнетателя, маслорадиатор, а также устранили другие замеченные неполадки и дефекты. Затем самолет был передан в ЛИИ НКАП и долгое время использовался там для различных целей (12048).</w:t>
      </w:r>
    </w:p>
    <w:p w14:paraId="06DF0B9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5CBCA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C 19 сентября по 30 октября 1940 в Севастополе проходили вторичные совместные испытания САМ-11бис - связной летающей лодки-амфибии - высокоплана с мотором МВ-6 над кабиной на толстой стойке и летали П.В.Яковлев и А.Н.Гусаров. Данные были хорошими, но полезная нагрузка - малая и ВВС и ВМФ заказывать не стали (1076,654).</w:t>
      </w:r>
    </w:p>
    <w:p w14:paraId="661C421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8AA53D3"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19 сентября 1940 была Докладная записка председателя Госплана при СНК СССР Н. А. Вознесенского и начальника Управления кадров ЦК ВКП(б) Г. М. Маленкова И. В. Сталину о назначении специальной комиссии для проверки работы завода № 29 Наркомата авиационной промышленности по выпуску моторов М 88</w:t>
      </w:r>
    </w:p>
    <w:p w14:paraId="595E82A5"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Завод № 29 HKAП ( Запорожье) в течение двух лет вы</w:t>
      </w:r>
      <w:r w:rsidRPr="00A3026E">
        <w:rPr>
          <w:rFonts w:ascii="Times New Roman" w:hAnsi="Times New Roman"/>
          <w:color w:val="0070C0"/>
          <w:sz w:val="16"/>
          <w:szCs w:val="16"/>
        </w:rPr>
        <w:softHyphen/>
        <w:t>пускает недоброкачественные моторы. Только из-за разруше</w:t>
      </w:r>
      <w:r w:rsidRPr="00A3026E">
        <w:rPr>
          <w:rFonts w:ascii="Times New Roman" w:hAnsi="Times New Roman"/>
          <w:color w:val="0070C0"/>
          <w:sz w:val="16"/>
          <w:szCs w:val="16"/>
        </w:rPr>
        <w:softHyphen/>
        <w:t>ния скоростных подшипников нагнетателя мотора М-87 в 1939 г. вышло из строя 103 мотора и в 1940 году 130 моторов За период финляндского фронта вышло из строя около 20% моторов М-87, имевшихся на фронте.</w:t>
      </w:r>
    </w:p>
    <w:p w14:paraId="19C6C83D"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Мотор М-88 имеет массовые случаи разрушения муфты первой скорости нагнетателя, обрыва прицепных шатунов, уступ</w:t>
      </w:r>
      <w:r w:rsidRPr="00A3026E">
        <w:rPr>
          <w:rFonts w:ascii="Times New Roman" w:hAnsi="Times New Roman"/>
          <w:color w:val="0070C0"/>
          <w:sz w:val="16"/>
          <w:szCs w:val="16"/>
        </w:rPr>
        <w:softHyphen/>
        <w:t>чатую выработку цилиндров, прогары поршней и завышенные расходы горючего. Большинство дефектов мотора М-88 является повторением дефектов мотора М-87.</w:t>
      </w:r>
    </w:p>
    <w:p w14:paraId="79FC8CE5"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результате ненадежности моторов полеты на боевых самолетах с моторами М-88 запрещены.</w:t>
      </w:r>
    </w:p>
    <w:p w14:paraId="68B62AFE"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то же время программа выпуска моторов М-88, уста</w:t>
      </w:r>
      <w:r w:rsidRPr="00A3026E">
        <w:rPr>
          <w:rFonts w:ascii="Times New Roman" w:hAnsi="Times New Roman"/>
          <w:color w:val="0070C0"/>
          <w:sz w:val="16"/>
          <w:szCs w:val="16"/>
        </w:rPr>
        <w:softHyphen/>
        <w:t>новленная постановлением К.О. от 26 июля 1940 года, срывается. В августе завод 29 должен был выпустить 225 моторов М-88, выпустил 1 мотор. В сентябре завод должен выпустить 250 мо</w:t>
      </w:r>
      <w:r w:rsidRPr="00A3026E">
        <w:rPr>
          <w:rFonts w:ascii="Times New Roman" w:hAnsi="Times New Roman"/>
          <w:color w:val="0070C0"/>
          <w:sz w:val="16"/>
          <w:szCs w:val="16"/>
        </w:rPr>
        <w:softHyphen/>
        <w:t>торов М-88, выпустил за полмесяца 1 мотор.</w:t>
      </w:r>
    </w:p>
    <w:p w14:paraId="2F9C5194"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Просим назначить специальную комиссию для проверки работы завода № 29 НКАП в части обеспечения выпуска мо</w:t>
      </w:r>
      <w:r w:rsidRPr="00A3026E">
        <w:rPr>
          <w:rFonts w:ascii="Times New Roman" w:hAnsi="Times New Roman"/>
          <w:color w:val="0070C0"/>
          <w:sz w:val="16"/>
          <w:szCs w:val="16"/>
        </w:rPr>
        <w:softHyphen/>
        <w:t>торов М-88 в необходимом количестве и должном качестве.</w:t>
      </w:r>
    </w:p>
    <w:p w14:paraId="1AF2658C"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состав комиссии-предлагаем т. Репина А.К. (Совет оборонной промышленности), т. Баландина 3.Л. (НКАП), т. Попова А.В.(НИИ ВВС). рон.пром.)</w:t>
      </w:r>
    </w:p>
    <w:p w14:paraId="602E69F9"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Желательно, чтобы Комиссию возглавил т. Хрущев Н.С. (22042).</w:t>
      </w:r>
    </w:p>
    <w:p w14:paraId="6FA4658C" w14:textId="77777777" w:rsidR="00711384" w:rsidRPr="00A3026E" w:rsidRDefault="00711384" w:rsidP="00A3026E">
      <w:pPr>
        <w:spacing w:after="0" w:line="240" w:lineRule="auto"/>
        <w:jc w:val="both"/>
        <w:rPr>
          <w:rFonts w:ascii="Times New Roman" w:hAnsi="Times New Roman"/>
          <w:color w:val="0070C0"/>
          <w:sz w:val="16"/>
          <w:szCs w:val="16"/>
        </w:rPr>
      </w:pPr>
    </w:p>
    <w:p w14:paraId="652031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за № 628с за подписью Зам. Нач. НКАП В.П.Кузнецова была направлена</w:t>
      </w:r>
    </w:p>
    <w:p w14:paraId="1F1B41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w:t>
      </w:r>
    </w:p>
    <w:p w14:paraId="73A8D4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ходе выполнения опытных работ за время с 1 по 10 сентября 1940</w:t>
      </w:r>
    </w:p>
    <w:p w14:paraId="2EE182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19</w:t>
      </w:r>
    </w:p>
    <w:p w14:paraId="1C6461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smallCaps/>
          <w:color w:val="000000" w:themeColor="text1"/>
          <w:sz w:val="16"/>
          <w:szCs w:val="16"/>
        </w:rPr>
        <w:t xml:space="preserve">мотор </w:t>
      </w:r>
      <w:r w:rsidRPr="00A3026E">
        <w:rPr>
          <w:rFonts w:ascii="Times New Roman" w:hAnsi="Times New Roman"/>
          <w:color w:val="000000" w:themeColor="text1"/>
          <w:sz w:val="16"/>
          <w:szCs w:val="16"/>
        </w:rPr>
        <w:t>М-64Р</w:t>
      </w:r>
    </w:p>
    <w:p w14:paraId="51EEA9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испытаниях по доводке находится два мотора.Доводка мотора направлена в сторону снижения малого газа с 600 об/мин до 450-500 об/мин и поднятию высотности. На совместные испытания мотор М-64Р может быть предъявлен не ранее ноября 1940 г. /сроки по плану: совместные испытания- 15 июня. Государственные испытания -15 октября 1940 г/</w:t>
      </w:r>
    </w:p>
    <w:p w14:paraId="4BF882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М-71.</w:t>
      </w:r>
    </w:p>
    <w:p w14:paraId="17B4EB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Выявленный заводскими испытаниями дефект мотора: высокий температурный перепад масла /85-90</w:t>
      </w:r>
      <w:r w:rsidRPr="00A3026E">
        <w:rPr>
          <w:rFonts w:ascii="Times New Roman" w:hAnsi="Times New Roman"/>
          <w:color w:val="000000" w:themeColor="text1"/>
          <w:sz w:val="16"/>
          <w:szCs w:val="16"/>
          <w:vertAlign w:val="superscript"/>
        </w:rPr>
        <w:t>0</w:t>
      </w:r>
      <w:r w:rsidRPr="00A3026E">
        <w:rPr>
          <w:rFonts w:ascii="Times New Roman" w:hAnsi="Times New Roman"/>
          <w:color w:val="000000" w:themeColor="text1"/>
          <w:sz w:val="16"/>
          <w:szCs w:val="16"/>
        </w:rPr>
        <w:t>/ в настоящее время частично устранен путем конструктивного изменения отсасывающей масляной системы и.доведен до 55°</w:t>
      </w:r>
    </w:p>
    <w:p w14:paraId="12C916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Отработка мотора по снижению температурного перепада масла проводилась на двух моторах.</w:t>
      </w:r>
    </w:p>
    <w:p w14:paraId="477DE7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Мртор № 6, при испытаниях 31/УШ заклинило заднюю втул</w:t>
      </w:r>
      <w:r w:rsidRPr="00A3026E">
        <w:rPr>
          <w:rFonts w:ascii="Times New Roman" w:hAnsi="Times New Roman"/>
          <w:color w:val="000000" w:themeColor="text1"/>
          <w:sz w:val="16"/>
          <w:szCs w:val="16"/>
        </w:rPr>
        <w:softHyphen/>
        <w:t>ку вала винта, вследствие обнаруженных в материале вала флоксенов.</w:t>
      </w:r>
    </w:p>
    <w:p w14:paraId="441DAE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 4 поставлен на длительные заводские испытания для проверки эффективности введенных мероприятий.</w:t>
      </w:r>
    </w:p>
    <w:p w14:paraId="41C821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окончании длительных испытаний моторбудет предъявлен на совместное испытание 20-25сентября с. г. /срокипо плану: совместные испытания: 15 марта 1940, государственные испытанния 1-го августа 1940г/</w:t>
      </w:r>
    </w:p>
    <w:p w14:paraId="35B07D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М-81</w:t>
      </w:r>
    </w:p>
    <w:p w14:paraId="4EC0DF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Сточасовые испытания мотора, по проверке внесенных из</w:t>
      </w:r>
      <w:r w:rsidRPr="00A3026E">
        <w:rPr>
          <w:rFonts w:ascii="Times New Roman" w:hAnsi="Times New Roman"/>
          <w:color w:val="000000" w:themeColor="text1"/>
          <w:sz w:val="16"/>
          <w:szCs w:val="16"/>
        </w:rPr>
        <w:softHyphen/>
        <w:t>менений /ккак-то: установка Р-7, изменение зазоров в подшип</w:t>
      </w:r>
      <w:r w:rsidRPr="00A3026E">
        <w:rPr>
          <w:rFonts w:ascii="Times New Roman" w:hAnsi="Times New Roman"/>
          <w:color w:val="000000" w:themeColor="text1"/>
          <w:sz w:val="16"/>
          <w:szCs w:val="16"/>
        </w:rPr>
        <w:softHyphen/>
        <w:t xml:space="preserve">никах вала винта и др. мелких изменений/ проводится с 6/1Х на моторе № 19. Испытания </w:t>
      </w:r>
      <w:r w:rsidRPr="00A3026E">
        <w:rPr>
          <w:rFonts w:ascii="Times New Roman" w:hAnsi="Times New Roman"/>
          <w:smallCaps/>
          <w:color w:val="000000" w:themeColor="text1"/>
          <w:sz w:val="16"/>
          <w:szCs w:val="16"/>
        </w:rPr>
        <w:t xml:space="preserve">проходят </w:t>
      </w:r>
      <w:r w:rsidRPr="00A3026E">
        <w:rPr>
          <w:rFonts w:ascii="Times New Roman" w:hAnsi="Times New Roman"/>
          <w:color w:val="000000" w:themeColor="text1"/>
          <w:sz w:val="16"/>
          <w:szCs w:val="16"/>
        </w:rPr>
        <w:t>удовлетворительно.</w:t>
      </w:r>
    </w:p>
    <w:p w14:paraId="585A85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Выделенный с завода № 39 самолет ДБ-3Ф № 409 для проверки моторов М-81 в летных условиях на заводе № 19 еще не получен</w:t>
      </w:r>
    </w:p>
    <w:p w14:paraId="23CDA3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31-го августа самолет был в пробных полетах, при которых обнаружены следующие дефекты:</w:t>
      </w:r>
    </w:p>
    <w:p w14:paraId="22F361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на левом моторе прогорел коллектор выхлопа;</w:t>
      </w:r>
    </w:p>
    <w:p w14:paraId="6DDD8F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 правом мотоге обнаружен высокий температурный ре</w:t>
      </w:r>
      <w:r w:rsidRPr="00A3026E">
        <w:rPr>
          <w:rFonts w:ascii="Times New Roman" w:hAnsi="Times New Roman"/>
          <w:color w:val="000000" w:themeColor="text1"/>
          <w:sz w:val="16"/>
          <w:szCs w:val="16"/>
        </w:rPr>
        <w:softHyphen/>
        <w:t>жим масла на входе - 100 на выходе 120.</w:t>
      </w:r>
    </w:p>
    <w:p w14:paraId="67D317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спущеныв производство новые коллектора из титанистой стали, окончание которых ожидается к 20-25сентября.</w:t>
      </w:r>
    </w:p>
    <w:p w14:paraId="2840C0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Правый мотор снят и заменен новым мотором из числа имев</w:t>
      </w:r>
      <w:r w:rsidRPr="00A3026E">
        <w:rPr>
          <w:rFonts w:ascii="Times New Roman" w:hAnsi="Times New Roman"/>
          <w:color w:val="000000" w:themeColor="text1"/>
          <w:sz w:val="16"/>
          <w:szCs w:val="16"/>
        </w:rPr>
        <w:softHyphen/>
        <w:t>шихся на заведе № 39.</w:t>
      </w:r>
    </w:p>
    <w:p w14:paraId="57329B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24</w:t>
      </w:r>
    </w:p>
    <w:p w14:paraId="4B947F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АМ-35А</w:t>
      </w:r>
    </w:p>
    <w:p w14:paraId="1AF8D2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Собираются 20 шт. моторов нулевой серии, из них половина, неукомплектована нагнетателями по причин переборки последних для обеспечения надежной работы опоры нагнетателя.</w:t>
      </w:r>
    </w:p>
    <w:p w14:paraId="56B883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 ранее собранных 25шт. нулевой серии приемные испытания </w:t>
      </w:r>
      <w:r w:rsidRPr="00A3026E">
        <w:rPr>
          <w:rFonts w:ascii="Times New Roman" w:hAnsi="Times New Roman"/>
          <w:smallCaps/>
          <w:color w:val="000000" w:themeColor="text1"/>
          <w:sz w:val="16"/>
          <w:szCs w:val="16"/>
        </w:rPr>
        <w:t xml:space="preserve">прошло </w:t>
      </w:r>
      <w:r w:rsidRPr="00A3026E">
        <w:rPr>
          <w:rFonts w:ascii="Times New Roman" w:hAnsi="Times New Roman"/>
          <w:color w:val="000000" w:themeColor="text1"/>
          <w:sz w:val="16"/>
          <w:szCs w:val="16"/>
        </w:rPr>
        <w:t>14 моторов</w:t>
      </w:r>
      <w:r w:rsidRPr="00A3026E">
        <w:rPr>
          <w:rFonts w:ascii="Times New Roman" w:hAnsi="Times New Roman"/>
          <w:smallCaps/>
          <w:color w:val="000000" w:themeColor="text1"/>
          <w:sz w:val="16"/>
          <w:szCs w:val="16"/>
        </w:rPr>
        <w:t xml:space="preserve">, </w:t>
      </w:r>
      <w:r w:rsidRPr="00A3026E">
        <w:rPr>
          <w:rFonts w:ascii="Times New Roman" w:hAnsi="Times New Roman"/>
          <w:color w:val="000000" w:themeColor="text1"/>
          <w:sz w:val="16"/>
          <w:szCs w:val="16"/>
        </w:rPr>
        <w:t>из них у двух моторов имело место разрушение опоры нагнетателя. Испытания моторов нулевой серии показали дефекты:</w:t>
      </w:r>
    </w:p>
    <w:p w14:paraId="7F8B82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а/разрушение опоры нагнетателя;</w:t>
      </w:r>
    </w:p>
    <w:p w14:paraId="260F9A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износ пружин редуктора;</w:t>
      </w:r>
    </w:p>
    <w:p w14:paraId="3FA6F9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в/разработка направляющих клапанов,</w:t>
      </w:r>
    </w:p>
    <w:p w14:paraId="03C1EE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трещина крышек блока в местах крепления синхрониза</w:t>
      </w:r>
      <w:r w:rsidRPr="00A3026E">
        <w:rPr>
          <w:rFonts w:ascii="Times New Roman" w:hAnsi="Times New Roman"/>
          <w:color w:val="000000" w:themeColor="text1"/>
          <w:sz w:val="16"/>
          <w:szCs w:val="16"/>
        </w:rPr>
        <w:softHyphen/>
        <w:t>торов;</w:t>
      </w:r>
    </w:p>
    <w:p w14:paraId="41EA33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коррозия валиков водяных помп, заводом принимаются меры по устранению указанных дефектов.</w:t>
      </w:r>
    </w:p>
    <w:p w14:paraId="50BDF5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Сдача первых моторов с контрольных испытании намечается с 20-го сентября с.г.</w:t>
      </w:r>
    </w:p>
    <w:p w14:paraId="227747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АМ-36 /в карбюраторном варианте/.</w:t>
      </w:r>
    </w:p>
    <w:p w14:paraId="54ECFE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 200 после 2:30 режимной работы с испытаний снят по причине пробуксовывания дисков 2-й скорости, двух случаев поломки рессоры привода к нагнетателю. Собран мотор № 201 для торснографирования коленчатого вала и длительных испытаний (25 часов).</w:t>
      </w:r>
    </w:p>
    <w:p w14:paraId="22EBA9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АМ-37</w:t>
      </w:r>
    </w:p>
    <w:p w14:paraId="45C6CE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Поставлен мотор № 1080 на сточасовые заводские испытания. Мотор прошел пикирование и 10 часю режимной работы.</w:t>
      </w:r>
    </w:p>
    <w:p w14:paraId="76E5A3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Дефекты при испытании: во время приработки разрушилась опора нагне</w:t>
      </w:r>
      <w:r w:rsidRPr="00A3026E">
        <w:rPr>
          <w:rFonts w:ascii="Times New Roman" w:hAnsi="Times New Roman"/>
          <w:color w:val="000000" w:themeColor="text1"/>
          <w:sz w:val="16"/>
          <w:szCs w:val="16"/>
        </w:rPr>
        <w:softHyphen/>
        <w:t>тателя и два случая течи водо-воздушных радиаторов. Указанные де</w:t>
      </w:r>
      <w:r w:rsidRPr="00A3026E">
        <w:rPr>
          <w:rFonts w:ascii="Times New Roman" w:hAnsi="Times New Roman"/>
          <w:color w:val="000000" w:themeColor="text1"/>
          <w:sz w:val="16"/>
          <w:szCs w:val="16"/>
        </w:rPr>
        <w:softHyphen/>
        <w:t>фекты устранены, испытание мотора продолжается. В сборке находится три мотора предназначенных для заводского и государственных испытаний.</w:t>
      </w:r>
    </w:p>
    <w:p w14:paraId="62B13C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предъявления на государственные испытания намечается на 25-30 сентября (по плану - 1 сентября 1940).</w:t>
      </w:r>
    </w:p>
    <w:p w14:paraId="446713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длязаводов № 39 и № 156 собраны и подготовлены к конт</w:t>
      </w:r>
      <w:r w:rsidRPr="00A3026E">
        <w:rPr>
          <w:rFonts w:ascii="Times New Roman" w:hAnsi="Times New Roman"/>
          <w:color w:val="000000" w:themeColor="text1"/>
          <w:sz w:val="16"/>
          <w:szCs w:val="16"/>
        </w:rPr>
        <w:softHyphen/>
        <w:t xml:space="preserve">рольным испытаниям. Задержка </w:t>
      </w:r>
      <w:r w:rsidRPr="00A3026E">
        <w:rPr>
          <w:rFonts w:ascii="Times New Roman" w:hAnsi="Times New Roman"/>
          <w:smallCaps/>
          <w:color w:val="000000" w:themeColor="text1"/>
          <w:sz w:val="16"/>
          <w:szCs w:val="16"/>
        </w:rPr>
        <w:t xml:space="preserve">происходит </w:t>
      </w:r>
      <w:r w:rsidRPr="00A3026E">
        <w:rPr>
          <w:rFonts w:ascii="Times New Roman" w:hAnsi="Times New Roman"/>
          <w:color w:val="000000" w:themeColor="text1"/>
          <w:sz w:val="16"/>
          <w:szCs w:val="16"/>
        </w:rPr>
        <w:t xml:space="preserve">из-за радиаторов. Завод № 34 не обеспечивает подачи в </w:t>
      </w:r>
      <w:r w:rsidRPr="00A3026E">
        <w:rPr>
          <w:rFonts w:ascii="Times New Roman" w:hAnsi="Times New Roman"/>
          <w:smallCaps/>
          <w:color w:val="000000" w:themeColor="text1"/>
          <w:sz w:val="16"/>
          <w:szCs w:val="16"/>
        </w:rPr>
        <w:t xml:space="preserve">срок </w:t>
      </w:r>
      <w:r w:rsidRPr="00A3026E">
        <w:rPr>
          <w:rFonts w:ascii="Times New Roman" w:hAnsi="Times New Roman"/>
          <w:color w:val="000000" w:themeColor="text1"/>
          <w:sz w:val="16"/>
          <w:szCs w:val="16"/>
        </w:rPr>
        <w:t>надежнх водовоздушных радиаторов.</w:t>
      </w:r>
    </w:p>
    <w:p w14:paraId="416259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АМ-38</w:t>
      </w:r>
    </w:p>
    <w:p w14:paraId="751A0A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Подготавливается второй мотор на 50 часовые заводские испытания. На контрольных испытаниях находится третий мотор, намечаемый к отправке на самолет БШ-2.</w:t>
      </w:r>
    </w:p>
    <w:p w14:paraId="030AB1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Мотор ГАМ-35ФН Мотор № 1008 ставится на заводские. 100 часовые испытания и мотор № 1006 на доводку карбюраторов, комплектуются 3 мотора и запущены в </w:t>
      </w:r>
      <w:r w:rsidRPr="00A3026E">
        <w:rPr>
          <w:rFonts w:ascii="Times New Roman" w:hAnsi="Times New Roman"/>
          <w:smallCaps/>
          <w:color w:val="000000" w:themeColor="text1"/>
          <w:sz w:val="16"/>
          <w:szCs w:val="16"/>
        </w:rPr>
        <w:t xml:space="preserve">производство </w:t>
      </w:r>
      <w:r w:rsidRPr="00A3026E">
        <w:rPr>
          <w:rFonts w:ascii="Times New Roman" w:hAnsi="Times New Roman"/>
          <w:color w:val="000000" w:themeColor="text1"/>
          <w:sz w:val="16"/>
          <w:szCs w:val="16"/>
        </w:rPr>
        <w:t>четыре. Задерживает литье помпы.</w:t>
      </w:r>
    </w:p>
    <w:p w14:paraId="4C3606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"Сихи" модели помпы находятся в ЦИАМе, принимаются меры к их получению.</w:t>
      </w:r>
    </w:p>
    <w:p w14:paraId="4FACD5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26</w:t>
      </w:r>
    </w:p>
    <w:p w14:paraId="3481CE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М-107 П</w:t>
      </w:r>
    </w:p>
    <w:p w14:paraId="72EE8B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Собранные моторы № 125 и №126 установлены на баланс и проходят обкатку, на комплектовке и сборке находятся 8 моторов.</w:t>
      </w:r>
    </w:p>
    <w:p w14:paraId="447C44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М-120</w:t>
      </w:r>
    </w:p>
    <w:p w14:paraId="6E51E8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испытании по доводке находится 4 мотора.</w:t>
      </w:r>
    </w:p>
    <w:p w14:paraId="576056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№-121 - 50-т т часовые испытания закончены. После 39 часов режимной работы мотор снимался со станка - стальная стружка в маслофильтре.</w:t>
      </w:r>
    </w:p>
    <w:p w14:paraId="25EE1C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частичной разборке выяснилось: разрушилась контровка привода к генератору. Дефект устранен и испытания были доведены до конца.</w:t>
      </w:r>
    </w:p>
    <w:p w14:paraId="3AC795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111 - 50-ти часовые заводские испытания. Мотор прошел 3 режимных часа. Испытания продолжаются. Два мотора проходят обкатку и контрольные испытания.</w:t>
      </w:r>
    </w:p>
    <w:p w14:paraId="15B072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29</w:t>
      </w:r>
    </w:p>
    <w:p w14:paraId="2D15E6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М-89</w:t>
      </w:r>
    </w:p>
    <w:p w14:paraId="3C397A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Производится комплектовка первых пяти моторов. Происходят задержки из-за срыва сроков поставок клапанов заводом № 20</w:t>
      </w:r>
    </w:p>
    <w:p w14:paraId="041A4F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М-90</w:t>
      </w:r>
    </w:p>
    <w:p w14:paraId="006CED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испытаниях по доводке находится три мотора. На № 3 идет проверка работы нагнетателя на 2-й скорости. № 6 пос</w:t>
      </w:r>
      <w:r w:rsidRPr="00A3026E">
        <w:rPr>
          <w:rFonts w:ascii="Times New Roman" w:hAnsi="Times New Roman"/>
          <w:color w:val="000000" w:themeColor="text1"/>
          <w:sz w:val="16"/>
          <w:szCs w:val="16"/>
        </w:rPr>
        <w:softHyphen/>
        <w:t>тавлен на баланс для снятия характеристик с б/поплавковым карбюратором. После 12 час. реж. работы лопнула головка цилиндра №3. Цилиндр заменили. После 18 час. режимной ра</w:t>
      </w:r>
      <w:r w:rsidRPr="00A3026E">
        <w:rPr>
          <w:rFonts w:ascii="Times New Roman" w:hAnsi="Times New Roman"/>
          <w:color w:val="000000" w:themeColor="text1"/>
          <w:sz w:val="16"/>
          <w:szCs w:val="16"/>
        </w:rPr>
        <w:softHyphen/>
        <w:t>боты в маслоотстойнике обнаружена стальная стружка. Мотор снят со станка для выяснения прочив дефекта. Всего мотор наработал 62 часа, из них на режиме 16. № 11 на конт</w:t>
      </w:r>
      <w:r w:rsidRPr="00A3026E">
        <w:rPr>
          <w:rFonts w:ascii="Times New Roman" w:hAnsi="Times New Roman"/>
          <w:color w:val="000000" w:themeColor="text1"/>
          <w:sz w:val="16"/>
          <w:szCs w:val="16"/>
        </w:rPr>
        <w:softHyphen/>
        <w:t>рольных испытаниях, в маслоотстойнике обнаружена сталь</w:t>
      </w:r>
      <w:r w:rsidRPr="00A3026E">
        <w:rPr>
          <w:rFonts w:ascii="Times New Roman" w:hAnsi="Times New Roman"/>
          <w:color w:val="000000" w:themeColor="text1"/>
          <w:sz w:val="16"/>
          <w:szCs w:val="16"/>
        </w:rPr>
        <w:softHyphen/>
        <w:t>ная стружка. Мотор снят со станка для осмотра.</w:t>
      </w:r>
    </w:p>
    <w:p w14:paraId="6DDACC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мотор наработал 56 часов, из них на режиме 12 (2796,9).</w:t>
      </w:r>
    </w:p>
    <w:p w14:paraId="7DE4EB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23CA2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года вышло решение Политбюро ЦК ВКП(б) № П 20 / 225 - ОП от «О постройке самолетостроительных заводов в г. Баку и в г. Ереване и моторостроительного завода в г. Тбилиси», которым утверждалось соответствующее Постановление СНК СССР и ЦК ВКП(б). Оно, в частности, предполагало строительство авиазавода в г. Баку «на ос</w:t>
      </w:r>
      <w:r w:rsidRPr="00A3026E">
        <w:rPr>
          <w:rFonts w:ascii="Times New Roman" w:hAnsi="Times New Roman"/>
          <w:color w:val="000000" w:themeColor="text1"/>
          <w:sz w:val="16"/>
          <w:szCs w:val="16"/>
        </w:rPr>
        <w:softHyphen/>
        <w:t>нове типового проекта, исходя из программы выпуска 1200 двухмоторных самолетов в год при двухсменной работе, 8-часовом рабочем дне и 7-днев</w:t>
      </w:r>
      <w:r w:rsidRPr="00A3026E">
        <w:rPr>
          <w:rFonts w:ascii="Times New Roman" w:hAnsi="Times New Roman"/>
          <w:color w:val="000000" w:themeColor="text1"/>
          <w:sz w:val="16"/>
          <w:szCs w:val="16"/>
        </w:rPr>
        <w:softHyphen/>
        <w:t>ной неделе». Ввод его в действие планировался в феврале 1942 года. Точно такие же характеристики должен был иметь и завод в г. Ереване. В г. Тбилиси предполагалось ввести в действие к марту 1942 года авиамоторный завод, исходя из программы выпуска 5000 моторов М-105 в год (РГАСПИ. Ф. 17. Оп. 162. Д. 29. Я. 11, 53,66, 73.). Вряд ли можно назвать это решение иначе, чем средством облегчения снабжения авиатех</w:t>
      </w:r>
      <w:r w:rsidRPr="00A3026E">
        <w:rPr>
          <w:rFonts w:ascii="Times New Roman" w:hAnsi="Times New Roman"/>
          <w:color w:val="000000" w:themeColor="text1"/>
          <w:sz w:val="16"/>
          <w:szCs w:val="16"/>
        </w:rPr>
        <w:softHyphen/>
        <w:t>никой предполагаемого ТВД в ближайшем будущем (11710,329).</w:t>
      </w:r>
    </w:p>
    <w:p w14:paraId="7B2DC8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9D8C522"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19 сентября 1940 вышло Постановление Политбюро ЦК ВКП(б) "О постройке самолетостроительных заводов в г. Баку и в г. Ереване и моторостроительного завода в г. Тбилиси" (с приложениями) (пр. № 20/20-оп за 27 августа - 25 сентября 1940 г., п. 225)</w:t>
      </w:r>
    </w:p>
    <w:p w14:paraId="5C0F6239"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201.- Об импорте оборудования и об организации закрытой торговли на заводе № 268 НКАП.</w:t>
      </w:r>
    </w:p>
    <w:p w14:paraId="5537F960"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Разрешить Наркомвнешторгу импортировать для за</w:t>
      </w:r>
      <w:r w:rsidRPr="00A3026E">
        <w:rPr>
          <w:rFonts w:ascii="Times New Roman" w:hAnsi="Times New Roman"/>
          <w:color w:val="0070C0"/>
          <w:sz w:val="16"/>
          <w:szCs w:val="16"/>
        </w:rPr>
        <w:softHyphen/>
        <w:t>вода № 268 Наркомата Авиационной Промышленности прокат</w:t>
      </w:r>
      <w:r w:rsidRPr="00A3026E">
        <w:rPr>
          <w:rFonts w:ascii="Times New Roman" w:hAnsi="Times New Roman"/>
          <w:color w:val="0070C0"/>
          <w:sz w:val="16"/>
          <w:szCs w:val="16"/>
        </w:rPr>
        <w:softHyphen/>
        <w:t>ное и кузнечно-прессовое оборудование, согласно при</w:t>
      </w:r>
      <w:r w:rsidRPr="00A3026E">
        <w:rPr>
          <w:rFonts w:ascii="Times New Roman" w:hAnsi="Times New Roman"/>
          <w:color w:val="0070C0"/>
          <w:sz w:val="16"/>
          <w:szCs w:val="16"/>
        </w:rPr>
        <w:softHyphen/>
        <w:t>ложению.</w:t>
      </w:r>
    </w:p>
    <w:p w14:paraId="5F66BB74"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Разрешить Наркомавиапроиу заключить договор на иностранную техническую помощь по производству полуфаб</w:t>
      </w:r>
      <w:r w:rsidRPr="00A3026E">
        <w:rPr>
          <w:rFonts w:ascii="Times New Roman" w:hAnsi="Times New Roman"/>
          <w:color w:val="0070C0"/>
          <w:sz w:val="16"/>
          <w:szCs w:val="16"/>
        </w:rPr>
        <w:softHyphen/>
        <w:t>рикатов из ультралегких сплавов.</w:t>
      </w:r>
    </w:p>
    <w:p w14:paraId="03323A58"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Обязать Напкомтопг СССР организовать закрытую тор</w:t>
      </w:r>
      <w:r w:rsidRPr="00A3026E">
        <w:rPr>
          <w:rFonts w:ascii="Times New Roman" w:hAnsi="Times New Roman"/>
          <w:color w:val="0070C0"/>
          <w:sz w:val="16"/>
          <w:szCs w:val="16"/>
        </w:rPr>
        <w:softHyphen/>
        <w:t>говлю на заводе № 268 НКАП.</w:t>
      </w:r>
    </w:p>
    <w:p w14:paraId="38F4F658"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Выписки посланы:</w:t>
      </w:r>
    </w:p>
    <w:p w14:paraId="289B668A"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“т.т. Шахурину, Хломову - все;</w:t>
      </w:r>
    </w:p>
    <w:p w14:paraId="6CB97B12"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Микояну - 1,2; Любимову - 3.</w:t>
      </w:r>
    </w:p>
    <w:p w14:paraId="22B3518F"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19.1Х.40г.</w:t>
      </w:r>
    </w:p>
    <w:p w14:paraId="544CA3B4"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225.- О постройке самолетостроительных заводов в г. Баку и в г. Ереване и моторостроительного завода в г. Тбилиси. (Постановление СНК CCCP и ЦК ВКП (б).</w:t>
      </w:r>
    </w:p>
    <w:p w14:paraId="1B31188B"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Принять следующие постановления:</w:t>
      </w:r>
    </w:p>
    <w:p w14:paraId="45875267"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 постройке самолетостроительного завода в г.Баку (см.приложение № 1);</w:t>
      </w:r>
    </w:p>
    <w:p w14:paraId="73712550"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 постройке самолетостроительного завода в г.Ереване (см.приложение № 2);</w:t>
      </w:r>
    </w:p>
    <w:p w14:paraId="56B15D7B"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 постройке моторостроительного завода в г.Тбилиси (см.приложение № 3).</w:t>
      </w:r>
    </w:p>
    <w:p w14:paraId="6D5C156B"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Поручить Экономсовету при СНК СССР проверить и уточнить пункты о материальном снабжении строительства заводов. Выписки посланы:</w:t>
      </w:r>
    </w:p>
    <w:p w14:paraId="00AE8CA1"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т.т. Шахурину, Берия, Вознесенскому, Хломову - все;</w:t>
      </w:r>
    </w:p>
    <w:p w14:paraId="4355BF8D"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Багирову, ЦККП(б) Азербайджана - а-1,б;</w:t>
      </w:r>
    </w:p>
    <w:p w14:paraId="4BA24D81"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Арутюнову, ЦК КП(б) Армении - а-2,б;</w:t>
      </w:r>
    </w:p>
    <w:p w14:paraId="2C842588" w14:textId="77777777" w:rsidR="00711384" w:rsidRPr="00A3026E" w:rsidRDefault="0071138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Чаркпиани, ЦК КП(б)Грузии - а-3,б (22040).</w:t>
      </w:r>
    </w:p>
    <w:p w14:paraId="64A099D0" w14:textId="77777777" w:rsidR="00711384" w:rsidRPr="00A3026E" w:rsidRDefault="00711384" w:rsidP="00A3026E">
      <w:pPr>
        <w:spacing w:after="0" w:line="240" w:lineRule="auto"/>
        <w:jc w:val="both"/>
        <w:rPr>
          <w:rFonts w:ascii="Times New Roman" w:hAnsi="Times New Roman"/>
          <w:color w:val="0070C0"/>
          <w:sz w:val="16"/>
          <w:szCs w:val="16"/>
        </w:rPr>
      </w:pPr>
    </w:p>
    <w:p w14:paraId="268282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вышло постановление КО N 377сс "О серийном выпуске радиоприемников РСИ-4 для истребительной авиации."</w:t>
      </w:r>
    </w:p>
    <w:p w14:paraId="77D1230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D3A72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19 сентября 1940 г. в серийное производство запустили РСИ-4. Качество серийных радиостанций было низким, а количественный выпуск - недостаточным для обеспечения всех выпускаемых типов истребителей. К началу 1941 года приоритеты в их постройке в НКАП изменились, поэтому львиную долю изготовленных средств связи (и в первую очередь) направляли на заводы, производящие самолеты МиГ-3 и ЛаГГ-3. С началом войны радиостанции РСИ-4, имевшие острую настройку и высокий уровень помех, по настоянию И-200А.И. Микояна летного состава иногда снимали для облегчения самолетов. Ситуация с качеством ра диостанций не улучшилась и в дальнейшем, когда количественный выпуск позволил оборудовать связю все выпускаемые самолеты. В 1944 году брак поступающих на Саратовский авиазавод приемников РСИ-4 составлял 20-25 %, передатчиков РСИ-3 и радиополукомпасов РПК-10 - 15-20 % (12048).</w:t>
      </w:r>
    </w:p>
    <w:p w14:paraId="364F3A3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879D7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года вышло постановление СНК и ЦК ВКП(б) за № 1723/692сс «О строительстве моторного завода в Тбилиси» и 24 сентября 1940 года вышел приказ НКАП за № 507сс было начато строительство завода № 448. Было предусмотрено строительство завода по выпуску моторов типа М-105. В ноябре 1941 года завод выпустил два и в декабре 1941 года 18 ЛАГГ-3 с мотором М-105П, после чего перешел на серийный выпуск этих самолетов. С мая 1942 года по март 1944 года завод выпускал самолеты ЛАГГ-3, но уже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1544A3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0543FD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1C6662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1ECE84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73B8EC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186263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завода Хведелиани</w:t>
      </w:r>
    </w:p>
    <w:p w14:paraId="118926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Тбилиси, п/я 51 С июля 1956 года завод приступил к освоению нового самолета МИГ-21 (9821).</w:t>
      </w:r>
    </w:p>
    <w:p w14:paraId="559B4F7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24480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 в соответствии с пост, правительства № 1723-692сс в системе ЗГУ НКАП был образован и начал строиться Завод № 448 НКАП /Грузия  г. Тбилиси/. Директором и начальником строительства назначен В.Е. Саладзе.</w:t>
      </w:r>
    </w:p>
    <w:p w14:paraId="590DA9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940с от 4.09.1941 г. заводу в качестве филиала подчинен Завод № 131 НКАП. Налаживалось производство Як-1.</w:t>
      </w:r>
    </w:p>
    <w:p w14:paraId="7C206E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10.1941 г. на площадке строящегося завода № 448 в Тбилиси образован новый завод № 31 НКАП в результате слияния завода № 448 с эвакуированными сюда заводами № 31 НКАП, № 45 НКАП (кадры и оборудование). Завод № 448 выбыл из состава действующих.</w:t>
      </w:r>
    </w:p>
    <w:p w14:paraId="032FA9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(10.1940-10.1941 г.)- В.Е. Саладзе (11982).</w:t>
      </w:r>
    </w:p>
    <w:p w14:paraId="56768AD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B8DF0E" w14:textId="77777777" w:rsidR="009404D2" w:rsidRPr="00A3026E" w:rsidRDefault="009404D2" w:rsidP="00A3026E">
      <w:pPr>
        <w:pStyle w:val="27"/>
        <w:shd w:val="clear" w:color="auto" w:fill="auto"/>
        <w:spacing w:before="0"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19 сентября 1940 г. Письмо № 3893 начальника ЦИАМ А.В. Каширина заместителю Наркома авиационной промышленности СССР А.И. Кузнецову о командировке сотрудников института в Германию</w:t>
      </w:r>
    </w:p>
    <w:p w14:paraId="7B51E61D" w14:textId="77777777" w:rsidR="009404D2" w:rsidRPr="00A3026E" w:rsidRDefault="009404D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ответ на Ваше письмо от 15 ноября 1940г. за № 4503 сообщаю, что мною выделены для оформления в командировку в фирмы БОШ и Гетце следующие лица:</w:t>
      </w:r>
    </w:p>
    <w:p w14:paraId="0FF5D20F" w14:textId="77777777" w:rsidR="009404D2" w:rsidRPr="00A3026E" w:rsidRDefault="009404D2" w:rsidP="00A3026E">
      <w:pPr>
        <w:tabs>
          <w:tab w:val="left" w:pos="791"/>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Кудрявцев Г.М.</w:t>
      </w:r>
    </w:p>
    <w:p w14:paraId="64885619" w14:textId="77777777" w:rsidR="009404D2" w:rsidRPr="00A3026E" w:rsidRDefault="009404D2" w:rsidP="00A3026E">
      <w:pPr>
        <w:tabs>
          <w:tab w:val="left" w:pos="81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Посылкин Д.М.</w:t>
      </w:r>
    </w:p>
    <w:p w14:paraId="5D5BF651" w14:textId="77777777" w:rsidR="009404D2" w:rsidRPr="00A3026E" w:rsidRDefault="009404D2" w:rsidP="00A3026E">
      <w:pPr>
        <w:tabs>
          <w:tab w:val="left" w:pos="806"/>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Емельянов А.В.</w:t>
      </w:r>
    </w:p>
    <w:p w14:paraId="2C055738" w14:textId="77777777" w:rsidR="009404D2" w:rsidRPr="00A3026E" w:rsidRDefault="009404D2" w:rsidP="00A3026E">
      <w:pPr>
        <w:tabs>
          <w:tab w:val="left" w:pos="806"/>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Терентьев Н.В.</w:t>
      </w:r>
    </w:p>
    <w:p w14:paraId="63EFD85B" w14:textId="77777777" w:rsidR="009404D2" w:rsidRPr="00A3026E" w:rsidRDefault="009404D2" w:rsidP="00A3026E">
      <w:pPr>
        <w:tabs>
          <w:tab w:val="left" w:pos="81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Сичинский С.М.</w:t>
      </w:r>
    </w:p>
    <w:p w14:paraId="034C132C" w14:textId="77777777" w:rsidR="009404D2" w:rsidRPr="00A3026E" w:rsidRDefault="009404D2" w:rsidP="00A3026E">
      <w:pPr>
        <w:tabs>
          <w:tab w:val="left" w:pos="796"/>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Ловиладзе Ш.Р.</w:t>
      </w:r>
    </w:p>
    <w:p w14:paraId="188838FB" w14:textId="77777777" w:rsidR="009404D2" w:rsidRPr="00A3026E" w:rsidRDefault="009404D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Выделить большее количество не представляется возможным ввиду отсутствия инженеров соответствующей специальности из чис</w:t>
      </w:r>
      <w:r w:rsidRPr="00A3026E">
        <w:rPr>
          <w:rFonts w:ascii="Times New Roman" w:hAnsi="Times New Roman"/>
          <w:color w:val="000000" w:themeColor="text1"/>
          <w:sz w:val="16"/>
          <w:szCs w:val="16"/>
        </w:rPr>
        <w:softHyphen/>
        <w:t>ла лиц, которые могут быть надлежащим образом оформлены.</w:t>
      </w:r>
    </w:p>
    <w:p w14:paraId="3CFEBF4A" w14:textId="77777777" w:rsidR="009404D2" w:rsidRPr="00A3026E" w:rsidRDefault="009404D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дополнение к изложенному могу сообщить, что из работни</w:t>
      </w:r>
      <w:r w:rsidRPr="00A3026E">
        <w:rPr>
          <w:rFonts w:ascii="Times New Roman" w:hAnsi="Times New Roman"/>
          <w:color w:val="000000" w:themeColor="text1"/>
          <w:sz w:val="16"/>
          <w:szCs w:val="16"/>
        </w:rPr>
        <w:softHyphen/>
        <w:t>ков ЦИАМ оформлены для поездки в Германию 4 человека, но дру</w:t>
      </w:r>
      <w:r w:rsidRPr="00A3026E">
        <w:rPr>
          <w:rFonts w:ascii="Times New Roman" w:hAnsi="Times New Roman"/>
          <w:color w:val="000000" w:themeColor="text1"/>
          <w:sz w:val="16"/>
          <w:szCs w:val="16"/>
        </w:rPr>
        <w:softHyphen/>
        <w:t>гих специальностей (1 — по нагнетателям, 1 — по турбокомпрессорам, 1 — по прочности и 1 — по насосам для тяжелого топлива) и которые до сих пор не могут быть посланы за неимением связи с соответству</w:t>
      </w:r>
      <w:r w:rsidRPr="00A3026E">
        <w:rPr>
          <w:rFonts w:ascii="Times New Roman" w:hAnsi="Times New Roman"/>
          <w:color w:val="000000" w:themeColor="text1"/>
          <w:sz w:val="16"/>
          <w:szCs w:val="16"/>
        </w:rPr>
        <w:softHyphen/>
        <w:t>ющими фирмами.</w:t>
      </w:r>
    </w:p>
    <w:p w14:paraId="13FD5D04" w14:textId="77777777" w:rsidR="009404D2" w:rsidRPr="00A3026E" w:rsidRDefault="009404D2" w:rsidP="00A3026E">
      <w:pPr>
        <w:tabs>
          <w:tab w:val="left" w:pos="5123"/>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ЦИАМ А.В. Каширин</w:t>
      </w:r>
    </w:p>
    <w:p w14:paraId="79E621D7" w14:textId="77777777" w:rsidR="009404D2" w:rsidRPr="00A3026E" w:rsidRDefault="009404D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РГАНТД. Ф. Р-177. Оп. 6-6. Д. 12. Л. 128. Заверенная копия (15633).</w:t>
      </w:r>
    </w:p>
    <w:p w14:paraId="0CAD2893" w14:textId="77777777" w:rsidR="009404D2" w:rsidRPr="00A3026E" w:rsidRDefault="009404D2" w:rsidP="00A3026E">
      <w:pPr>
        <w:spacing w:after="0" w:line="240" w:lineRule="auto"/>
        <w:jc w:val="both"/>
        <w:rPr>
          <w:rFonts w:ascii="Times New Roman" w:hAnsi="Times New Roman"/>
          <w:color w:val="000000" w:themeColor="text1"/>
          <w:sz w:val="16"/>
          <w:szCs w:val="16"/>
        </w:rPr>
      </w:pPr>
    </w:p>
    <w:p w14:paraId="69FA3F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года начальник НИП АВ ВВС полковник Шевченко утвердил Отчет о контрольных испытаниях пяти турельных пулеметов "ШКАС" кал. 7,62 мм, изготовленных по чертежам 1938 года</w:t>
      </w:r>
    </w:p>
    <w:p w14:paraId="406049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8 июня 1940 года</w:t>
      </w:r>
    </w:p>
    <w:p w14:paraId="48EB25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24 августа 1940 года</w:t>
      </w:r>
    </w:p>
    <w:p w14:paraId="000CE8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0A46BC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Ивашечкин</w:t>
      </w:r>
    </w:p>
    <w:p w14:paraId="56B715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48C4E6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автоматику и живучесть деталей пулеметов "ШКАС", изготовленных по чертежам 1938 года, при стрельбе на земле и с самолета в воздухе большим количеством выстрелов.</w:t>
      </w:r>
    </w:p>
    <w:p w14:paraId="44D5E6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D048BD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Пять турельных пулеметов "ШКАС", изготовленные по чертежам 1938 года контрольные испытания не выдержали, как показавшие низкую живучесть основных деталей и большой процент задержек при стрельбе (7509).</w:t>
      </w:r>
    </w:p>
    <w:p w14:paraId="1275552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A508C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года врид начальника НИП АВ ВВС полковник Фадеев утвердил:</w:t>
      </w:r>
    </w:p>
    <w:p w14:paraId="3F35F0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заводским испытаниям САБ-3, САБ-15 и САБ-25 с опытными парашютами, изготовленными из материалов заменителей по предлождению инженеров завода № 2 НКЛП им. Громова Вергасова А.Т. и Тертышника И.Н.</w:t>
      </w:r>
    </w:p>
    <w:p w14:paraId="134A1E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7 августа 1940 года</w:t>
      </w:r>
    </w:p>
    <w:p w14:paraId="1D81A9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10 сентября 1940 года</w:t>
      </w:r>
    </w:p>
    <w:p w14:paraId="125C4D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7A1DD4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2 ранга Сатонин</w:t>
      </w:r>
    </w:p>
    <w:p w14:paraId="6572B6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7CD4CA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имели целью определить:</w:t>
      </w:r>
    </w:p>
    <w:p w14:paraId="0A5A273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парашютов и устойчивость САБ на траектории.</w:t>
      </w:r>
    </w:p>
    <w:p w14:paraId="3F9ED52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снижения САБ с опытными парашютами в сравнении с САБ валового производства.</w:t>
      </w:r>
    </w:p>
    <w:p w14:paraId="4B6301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0357D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Предъявленные заводом № 2 САБ-3, САБ-15 и САБ-25 с опытными парашютами по прочности, устойчивости и безотказности в работе показали удовлетворительные результаты (7582).</w:t>
      </w:r>
    </w:p>
    <w:p w14:paraId="0F28F0D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ACB5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под Харьковым близ села Черкасская Лозовая был произведен запуск металлической ракеты N 2, созданной кружком ХАИ (553,110).</w:t>
      </w:r>
    </w:p>
    <w:p w14:paraId="6CCC6A6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91A4CA0" w14:textId="77777777" w:rsidR="00173857" w:rsidRPr="00A3026E" w:rsidRDefault="00173857"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19 сентября </w:t>
      </w:r>
      <w:r w:rsidRPr="00A3026E">
        <w:rPr>
          <w:rFonts w:ascii="Times New Roman" w:hAnsi="Times New Roman"/>
          <w:color w:val="000000" w:themeColor="text1"/>
          <w:sz w:val="16"/>
          <w:szCs w:val="16"/>
        </w:rPr>
        <w:t>в 1940 году первый запуск пороховой ракеты, созданной Харьковской реактивной группой (14774).</w:t>
      </w:r>
    </w:p>
    <w:p w14:paraId="00FA8F4A" w14:textId="77777777" w:rsidR="00173857" w:rsidRPr="00A3026E" w:rsidRDefault="00173857" w:rsidP="00A3026E">
      <w:pPr>
        <w:spacing w:after="0" w:line="240" w:lineRule="auto"/>
        <w:jc w:val="both"/>
        <w:rPr>
          <w:rFonts w:ascii="Times New Roman" w:hAnsi="Times New Roman"/>
          <w:color w:val="000000" w:themeColor="text1"/>
          <w:sz w:val="16"/>
          <w:szCs w:val="16"/>
        </w:rPr>
      </w:pPr>
    </w:p>
    <w:p w14:paraId="2757B2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года - в день проведения научно-практической конференции, посвященной пятилетию со дня смерти основоположника теоретической космонавтики Константина Циолковского был произведен пуск ракеты № 2 харьковской группы со стартовой массой 23 кг. Ракета пролетела 1200 метров (11297).</w:t>
      </w:r>
    </w:p>
    <w:p w14:paraId="6A6496F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00CD9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9DB4CF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D2505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заводские ис</w:t>
      </w:r>
      <w:r w:rsidRPr="00A3026E">
        <w:rPr>
          <w:rFonts w:ascii="Times New Roman" w:hAnsi="Times New Roman"/>
          <w:color w:val="000000" w:themeColor="text1"/>
          <w:sz w:val="16"/>
          <w:szCs w:val="16"/>
        </w:rPr>
        <w:softHyphen/>
        <w:t>пытания Т-126 (СП) были продолжены. К их завершению 28/1Х пер</w:t>
      </w:r>
      <w:r w:rsidRPr="00A3026E">
        <w:rPr>
          <w:rFonts w:ascii="Times New Roman" w:hAnsi="Times New Roman"/>
          <w:color w:val="000000" w:themeColor="text1"/>
          <w:sz w:val="16"/>
          <w:szCs w:val="16"/>
        </w:rPr>
        <w:softHyphen/>
        <w:t>вый образец танка Т-126 (СП) прошел 973 км (10782).</w:t>
      </w:r>
    </w:p>
    <w:p w14:paraId="7040F6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74CFAED" w14:textId="77777777" w:rsidR="0035667A" w:rsidRPr="00A3026E" w:rsidRDefault="0035667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 Постановлением КО № 427сс проектирование и изготовление двух опытных образцов танка Т</w:t>
      </w:r>
      <w:r w:rsidRPr="00A3026E">
        <w:rPr>
          <w:rFonts w:ascii="Times New Roman" w:hAnsi="Times New Roman"/>
          <w:color w:val="000000" w:themeColor="text1"/>
          <w:sz w:val="16"/>
          <w:szCs w:val="16"/>
        </w:rPr>
        <w:noBreakHyphen/>
        <w:t>50 было поручено также и заводу № 174 НКСМ. Завод эго задание выполнил досрочно. Однако тактико-технические требования по танку Т</w:t>
      </w:r>
      <w:r w:rsidRPr="00A3026E">
        <w:rPr>
          <w:rFonts w:ascii="Times New Roman" w:hAnsi="Times New Roman"/>
          <w:color w:val="000000" w:themeColor="text1"/>
          <w:sz w:val="16"/>
          <w:szCs w:val="16"/>
        </w:rPr>
        <w:noBreakHyphen/>
        <w:t>50 заводом № 174 полностью не выполнены. Не предусмотрена установка в машине рации 71</w:t>
      </w:r>
      <w:r w:rsidRPr="00A3026E">
        <w:rPr>
          <w:rFonts w:ascii="Times New Roman" w:hAnsi="Times New Roman"/>
          <w:color w:val="000000" w:themeColor="text1"/>
          <w:sz w:val="16"/>
          <w:szCs w:val="16"/>
        </w:rPr>
        <w:noBreakHyphen/>
        <w:t>ТК</w:t>
      </w:r>
      <w:r w:rsidRPr="00A3026E">
        <w:rPr>
          <w:rFonts w:ascii="Times New Roman" w:hAnsi="Times New Roman"/>
          <w:color w:val="000000" w:themeColor="text1"/>
          <w:sz w:val="16"/>
          <w:szCs w:val="16"/>
        </w:rPr>
        <w:noBreakHyphen/>
        <w:t>З, не защищен воздухоприток от попадания горючей жидкости внутрь танка, не разработана система подогрева воды и масла для облегчения запуска двигателя в зимнее время, не предусмотрен запуск двигателя вручную изнутри танка (18033).</w:t>
      </w:r>
    </w:p>
    <w:p w14:paraId="2F430514" w14:textId="77777777" w:rsidR="0035667A" w:rsidRPr="00A3026E" w:rsidRDefault="0035667A" w:rsidP="00A3026E">
      <w:pPr>
        <w:spacing w:after="0" w:line="240" w:lineRule="auto"/>
        <w:jc w:val="both"/>
        <w:rPr>
          <w:rFonts w:ascii="Times New Roman" w:hAnsi="Times New Roman"/>
          <w:color w:val="000000" w:themeColor="text1"/>
          <w:sz w:val="16"/>
          <w:szCs w:val="16"/>
        </w:rPr>
      </w:pPr>
    </w:p>
    <w:p w14:paraId="3926A5D6"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19 сентября 1940 г. последовал срочный вызов наркома Седина в Кремль. Эта встреча со Сталиным продолжалась более двух часов, с 19.10 до 22.30, и была связана с новыми ценными территориальными приобретениями для СССР, полученными в ходе начавшегося 17 сентября «освободительного похода Красной Армии в Западную Украину». В кремлевском кабинете были обстоятельно рассмотрены первоочередные вопросы, связанные с организацией работы Наркомнефти на нефтяных промыслах Галиции (11523).</w:t>
      </w:r>
    </w:p>
    <w:p w14:paraId="1AB4C6DB"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243D774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516CA9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66617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А.Г. приказал приостановить сосредоточение флота в Северной Франции (2536,158).</w:t>
      </w:r>
    </w:p>
    <w:p w14:paraId="05A85E5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737CC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в Дакаре высадились вишистские войска, чтобы предотвратить высадку сторонников Де Голя (2244,7).</w:t>
      </w:r>
    </w:p>
    <w:p w14:paraId="229CF60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A965C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года в Германии было принято Решение об отправке в Румынию затребованных ее правительством войск а к 15 ноября в страну прибыла 13-я моторизованная дивизия и воздушный экспедиционный корпус, которым командовал генерал В. Шпайдел. Основной задачей корпуса счита</w:t>
      </w:r>
      <w:r w:rsidRPr="00A3026E">
        <w:rPr>
          <w:rFonts w:ascii="Times New Roman" w:hAnsi="Times New Roman"/>
          <w:color w:val="000000" w:themeColor="text1"/>
          <w:sz w:val="16"/>
          <w:szCs w:val="16"/>
        </w:rPr>
        <w:softHyphen/>
        <w:t>лась ПВО нефтяного района Плоешти, поэтому в его состав вошли усиленная дивизия зенитной артиллерии, два отдельных полка ПВО, группа истребителей и ряд вспомогательных подразделений. Кроме того, немцы приступили к со</w:t>
      </w:r>
      <w:r w:rsidRPr="00A3026E">
        <w:rPr>
          <w:rFonts w:ascii="Times New Roman" w:hAnsi="Times New Roman"/>
          <w:color w:val="000000" w:themeColor="text1"/>
          <w:sz w:val="16"/>
          <w:szCs w:val="16"/>
        </w:rPr>
        <w:softHyphen/>
        <w:t>зданию сети полевых аэродромов и занялись улучшением боевой подготовки своих союзников. Непосредственно с румынскими летчиками-истребителя</w:t>
      </w:r>
      <w:r w:rsidRPr="00A3026E">
        <w:rPr>
          <w:rFonts w:ascii="Times New Roman" w:hAnsi="Times New Roman"/>
          <w:color w:val="000000" w:themeColor="text1"/>
          <w:sz w:val="16"/>
          <w:szCs w:val="16"/>
        </w:rPr>
        <w:softHyphen/>
        <w:t>ми работал отряд инструкторов подполковника Г. Хандрика. Обучение прово</w:t>
      </w:r>
      <w:r w:rsidRPr="00A3026E">
        <w:rPr>
          <w:rFonts w:ascii="Times New Roman" w:hAnsi="Times New Roman"/>
          <w:color w:val="000000" w:themeColor="text1"/>
          <w:sz w:val="16"/>
          <w:szCs w:val="16"/>
        </w:rPr>
        <w:softHyphen/>
        <w:t>дилось по методикам люфтваффе, так как предполагалось, что вооруженные силы Германии и Румынии будут действовать совместно. В связи с подготов</w:t>
      </w:r>
      <w:r w:rsidRPr="00A3026E">
        <w:rPr>
          <w:rFonts w:ascii="Times New Roman" w:hAnsi="Times New Roman"/>
          <w:color w:val="000000" w:themeColor="text1"/>
          <w:sz w:val="16"/>
          <w:szCs w:val="16"/>
        </w:rPr>
        <w:softHyphen/>
        <w:t>кой к вторжению немцы согласились поставить румынским ВВС современ</w:t>
      </w:r>
      <w:r w:rsidRPr="00A3026E">
        <w:rPr>
          <w:rFonts w:ascii="Times New Roman" w:hAnsi="Times New Roman"/>
          <w:color w:val="000000" w:themeColor="text1"/>
          <w:sz w:val="16"/>
          <w:szCs w:val="16"/>
        </w:rPr>
        <w:softHyphen/>
        <w:t>ные самолеты ВГ 109Е и Не 111Е. В Германию срочно были посланы экипажи для переучивания. Всего до июня 1941 года было подготовлено, как в Румынии, так и в Германии, около 1500 специалистов для ВВС. Для участия в кампании против СССР румыны выделили значительные авиационные силы. Наиболее боеспособные части были сведены в Боевую воздушную группировку (САЬ), которую возглавил эскадренный генерал К Челэряну. В этом соединении со</w:t>
      </w:r>
      <w:r w:rsidRPr="00A3026E">
        <w:rPr>
          <w:rFonts w:ascii="Times New Roman" w:hAnsi="Times New Roman"/>
          <w:color w:val="000000" w:themeColor="text1"/>
          <w:sz w:val="16"/>
          <w:szCs w:val="16"/>
        </w:rPr>
        <w:softHyphen/>
        <w:t>средоточили более 250 самолетов, из них 205 - боеспособных. Еще около 50 машин находились в подразделениях армейской авиации, приданных сухопутным войскам. Кроме того, на фронте эпизодически использовались другие подразделения, например, 53-я ИАЭ. ВВС Румынии начали активные боевые действия утром 22 июня 1941 года (Жирохов М., Стратулат А. По сигналу «Ардялул». Румынская авиация 22 июня 1941 года. Авиация и время. 2002. № 6. С. 54-55.). Согласно второму пункту второго раз</w:t>
      </w:r>
      <w:r w:rsidRPr="00A3026E">
        <w:rPr>
          <w:rFonts w:ascii="Times New Roman" w:hAnsi="Times New Roman"/>
          <w:color w:val="000000" w:themeColor="text1"/>
          <w:sz w:val="16"/>
          <w:szCs w:val="16"/>
        </w:rPr>
        <w:softHyphen/>
        <w:t>дела Указаний начальника штаба Верховного главнокомандования о порядке подчинения румынских войск при нападении на СССР от 17 июня 1941 года, «на период подготовки и проведения наступательных действий с территории Румынии румынские части и соединения, участвующие в этих действиях, пос</w:t>
      </w:r>
      <w:r w:rsidRPr="00A3026E">
        <w:rPr>
          <w:rFonts w:ascii="Times New Roman" w:hAnsi="Times New Roman"/>
          <w:color w:val="000000" w:themeColor="text1"/>
          <w:sz w:val="16"/>
          <w:szCs w:val="16"/>
        </w:rPr>
        <w:softHyphen/>
        <w:t>тупают в полное распоряжение немецкого командования. Генерал Антонеску остается командующим войсками на территории Румынии» (Дашичев. Банкротство. С. 130-131.).</w:t>
      </w:r>
    </w:p>
    <w:p w14:paraId="7577E4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38FDF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в Германии вышел указ, запрещавший нееврейским женщинам работать в еврейских домах (3481).</w:t>
      </w:r>
    </w:p>
    <w:p w14:paraId="11833F1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3191F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1940 в Германии нееврейким женщинам запрещено работать в еврейских домах (4962).</w:t>
      </w:r>
    </w:p>
    <w:p w14:paraId="25DFA3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F9CE059" w14:textId="77777777" w:rsidR="003C4475" w:rsidRPr="00A3026E" w:rsidRDefault="003C4475" w:rsidP="00A3026E">
      <w:pPr>
        <w:tabs>
          <w:tab w:val="left" w:pos="11199"/>
        </w:tabs>
        <w:spacing w:after="0" w:line="240" w:lineRule="auto"/>
        <w:jc w:val="both"/>
        <w:rPr>
          <w:rFonts w:ascii="Times New Roman" w:hAnsi="Times New Roman"/>
          <w:bCs/>
          <w:color w:val="000000" w:themeColor="text1"/>
          <w:sz w:val="16"/>
          <w:szCs w:val="16"/>
        </w:rPr>
      </w:pPr>
      <w:r w:rsidRPr="00A3026E">
        <w:rPr>
          <w:rFonts w:ascii="Times New Roman" w:hAnsi="Times New Roman"/>
          <w:color w:val="000000" w:themeColor="text1"/>
          <w:sz w:val="16"/>
          <w:szCs w:val="16"/>
        </w:rPr>
        <w:t>19 сентября (1940)</w:t>
      </w:r>
      <w:r w:rsidRPr="00A3026E">
        <w:rPr>
          <w:rFonts w:ascii="Times New Roman" w:hAnsi="Times New Roman"/>
          <w:bCs/>
          <w:color w:val="000000" w:themeColor="text1"/>
          <w:sz w:val="16"/>
          <w:szCs w:val="16"/>
        </w:rPr>
        <w:t xml:space="preserve"> в Риме Риббентроп сообщил Чиано о военном союзе с Японией, между прочим сказав, что он направлен против США и СССР (17398).</w:t>
      </w:r>
    </w:p>
    <w:p w14:paraId="10577221" w14:textId="77777777" w:rsidR="003C4475" w:rsidRPr="00A3026E" w:rsidRDefault="003C4475" w:rsidP="00A3026E">
      <w:pPr>
        <w:tabs>
          <w:tab w:val="left" w:pos="11199"/>
        </w:tabs>
        <w:spacing w:after="0" w:line="240" w:lineRule="auto"/>
        <w:jc w:val="both"/>
        <w:rPr>
          <w:rFonts w:ascii="Times New Roman" w:hAnsi="Times New Roman"/>
          <w:color w:val="000000" w:themeColor="text1"/>
          <w:sz w:val="16"/>
          <w:szCs w:val="16"/>
        </w:rPr>
      </w:pPr>
    </w:p>
    <w:p w14:paraId="05C20D8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08D5D4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A3FCB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г. Начальник ВВС КА П. В. Рычагов наложив на материалах по эскизному проекту ПБШ-1 ОКБ А.И.М. следующую резолюцию: «Мое мнение, что тов. Микояну новой машины не давать, а требовать доводки самолета И-200 до требуемых нам норм»,</w:t>
      </w:r>
    </w:p>
    <w:p w14:paraId="0C615B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в адрес НКАП за подписью Заместителя председателя НТК при Начальнике ВВС КА военинжене-ра 1 ранга Знаменского ушло заключение (утвержденное П. В. Рычаго-вым), в котором указывалось, что:</w:t>
      </w:r>
    </w:p>
    <w:p w14:paraId="0E05FB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 своим летным данным самолет ПБШ-1 не удовлетворяет программе 1941 г. В постройке находится аналогичный образец бронированного штурмовика т. Сухого с более высокими летными данными, чем ПБШ-1. Поэтому от реализации проекта ПБШ-1 следует воздержаться».</w:t>
      </w:r>
    </w:p>
    <w:p w14:paraId="1696AA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Отметим, что руководство ВВС, принимая решение об отклонении проекта ПБШ-1, помимо ссылки на необходимость скорейшего завершения работ по доводке истребителя И-200, принимало во внимание еще и недостаточную зрелость коллектива ОКО при заводе № 1 (9649).</w:t>
      </w:r>
    </w:p>
    <w:p w14:paraId="2D24002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9258A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w:t>
      </w:r>
      <w:r w:rsidRPr="00A3026E">
        <w:rPr>
          <w:rFonts w:ascii="Times New Roman" w:hAnsi="Times New Roman"/>
          <w:color w:val="000000" w:themeColor="text1"/>
          <w:sz w:val="16"/>
          <w:szCs w:val="16"/>
        </w:rPr>
        <w:softHyphen/>
        <w:t>тября 1940 г. Начальник ВВС П.В.Рычагов не утвердил проект второго варианта ПБШ-1 ОКО завода 1, а написал резолюцию: "Мое мнение, что тов. Микояну новой ма</w:t>
      </w:r>
      <w:r w:rsidRPr="00A3026E">
        <w:rPr>
          <w:rFonts w:ascii="Times New Roman" w:hAnsi="Times New Roman"/>
          <w:color w:val="000000" w:themeColor="text1"/>
          <w:sz w:val="16"/>
          <w:szCs w:val="16"/>
        </w:rPr>
        <w:softHyphen/>
        <w:t>шины не давать, а требовать доводки самолета И-200 до требуемых нам норм". В адрес НКАП было выслано крат</w:t>
      </w:r>
      <w:r w:rsidRPr="00A3026E">
        <w:rPr>
          <w:rFonts w:ascii="Times New Roman" w:hAnsi="Times New Roman"/>
          <w:color w:val="000000" w:themeColor="text1"/>
          <w:sz w:val="16"/>
          <w:szCs w:val="16"/>
        </w:rPr>
        <w:softHyphen/>
        <w:t>кое заключение по эскизному проекту ПБШ-1, утвержденное П.В.Рычаговым, следующего содержания:</w:t>
      </w:r>
    </w:p>
    <w:p w14:paraId="103346F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Удовлетворяет программе 1941 г. только по следующим показателям (5278).</w:t>
      </w:r>
    </w:p>
    <w:p w14:paraId="1A36C2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Бронированный, одноместный. Толщина брони 15,5 мм защищает от пробивания 20-мм снарядом.</w:t>
      </w:r>
    </w:p>
    <w:p w14:paraId="41C1651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Имеет мощное вооружение две МП-3 и шесть ШКАС в крыльях вмес</w:t>
      </w:r>
      <w:r w:rsidRPr="00A3026E">
        <w:rPr>
          <w:rFonts w:ascii="Times New Roman" w:hAnsi="Times New Roman"/>
          <w:color w:val="000000" w:themeColor="text1"/>
          <w:sz w:val="16"/>
          <w:szCs w:val="16"/>
        </w:rPr>
        <w:softHyphen/>
        <w:t>то требуемого: две пушки и два пуле</w:t>
      </w:r>
      <w:r w:rsidRPr="00A3026E">
        <w:rPr>
          <w:rFonts w:ascii="Times New Roman" w:hAnsi="Times New Roman"/>
          <w:color w:val="000000" w:themeColor="text1"/>
          <w:sz w:val="16"/>
          <w:szCs w:val="16"/>
        </w:rPr>
        <w:softHyphen/>
        <w:t>мета ШКАС или одна пушка и четыре ШКАС.</w:t>
      </w:r>
    </w:p>
    <w:p w14:paraId="33510B8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отношении полетных данных ПБШ-1 программе 1941 г. не удовлет</w:t>
      </w:r>
      <w:r w:rsidRPr="00A3026E">
        <w:rPr>
          <w:rFonts w:ascii="Times New Roman" w:hAnsi="Times New Roman"/>
          <w:color w:val="000000" w:themeColor="text1"/>
          <w:sz w:val="16"/>
          <w:szCs w:val="16"/>
        </w:rPr>
        <w:softHyphen/>
        <w:t>воряет</w:t>
      </w:r>
    </w:p>
    <w:p w14:paraId="473466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Посадочная скорость 146-127 и 138-121 км/час. Требование 130-135 км/час.</w:t>
      </w:r>
    </w:p>
    <w:p w14:paraId="4042A8A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Наибольшая скорость 472 км/час. Программа - 500-550 км/час.</w:t>
      </w:r>
    </w:p>
    <w:p w14:paraId="584C99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Дальность полета на скорости 0,9 от максимальной 800 км. Требуемая -1000 км.</w:t>
      </w:r>
    </w:p>
    <w:p w14:paraId="0D9C7DD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Бомб нет. Требование - 250 кг. Бомбовая нагрузка берется по проекту за счет перегрузки (5278).</w:t>
      </w:r>
    </w:p>
    <w:p w14:paraId="47950A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постройке находится и должен быть готов к 15 ноября 1940 г. анало</w:t>
      </w:r>
      <w:r w:rsidRPr="00A3026E">
        <w:rPr>
          <w:rFonts w:ascii="Times New Roman" w:hAnsi="Times New Roman"/>
          <w:color w:val="000000" w:themeColor="text1"/>
          <w:sz w:val="16"/>
          <w:szCs w:val="16"/>
        </w:rPr>
        <w:softHyphen/>
        <w:t>гичный самолет конструктора Сухого, проектные данные выше, чем у ПБШ-1...</w:t>
      </w:r>
    </w:p>
    <w:p w14:paraId="3BC98F6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3E8F831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своим полетным данным само</w:t>
      </w:r>
      <w:r w:rsidRPr="00A3026E">
        <w:rPr>
          <w:rFonts w:ascii="Times New Roman" w:hAnsi="Times New Roman"/>
          <w:color w:val="000000" w:themeColor="text1"/>
          <w:sz w:val="16"/>
          <w:szCs w:val="16"/>
        </w:rPr>
        <w:softHyphen/>
        <w:t>лет ПБШ-1 не удовлетворяет програм</w:t>
      </w:r>
      <w:r w:rsidRPr="00A3026E">
        <w:rPr>
          <w:rFonts w:ascii="Times New Roman" w:hAnsi="Times New Roman"/>
          <w:color w:val="000000" w:themeColor="text1"/>
          <w:sz w:val="16"/>
          <w:szCs w:val="16"/>
        </w:rPr>
        <w:softHyphen/>
        <w:t>ме 1941 г. В постройке находится аналогичный штурмовик Сухого с бо</w:t>
      </w:r>
      <w:r w:rsidRPr="00A3026E">
        <w:rPr>
          <w:rFonts w:ascii="Times New Roman" w:hAnsi="Times New Roman"/>
          <w:color w:val="000000" w:themeColor="text1"/>
          <w:sz w:val="16"/>
          <w:szCs w:val="16"/>
        </w:rPr>
        <w:softHyphen/>
        <w:t>лее высокими полетными данными, чем ПБШ-1. Поэтому от реализации проекта ПБШ-1 следует воздержаться.</w:t>
      </w:r>
    </w:p>
    <w:p w14:paraId="22A3E77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председателя НТК при Начальнике ВВС КА военинженер 1 ранга Зна</w:t>
      </w:r>
      <w:r w:rsidRPr="00A3026E">
        <w:rPr>
          <w:rFonts w:ascii="Times New Roman" w:hAnsi="Times New Roman"/>
          <w:color w:val="000000" w:themeColor="text1"/>
          <w:sz w:val="16"/>
          <w:szCs w:val="16"/>
        </w:rPr>
        <w:softHyphen/>
        <w:t>менский" (5278).</w:t>
      </w:r>
    </w:p>
    <w:p w14:paraId="04F279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5270880" w14:textId="77777777" w:rsidR="00906ED8" w:rsidRPr="00A3026E"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 сентября 1940 г. Начальник ВВС П.В.Рычагов не утвердил Эскизный проект ПБШ-1, который был рекомендован НИИ ВВС для утверждения и а написал резолюцию: "Мое мнение, что тов. Микояну новой машины не давать, а требовать доводки самолета И-200 до требуемых нам норм".</w:t>
      </w:r>
    </w:p>
    <w:p w14:paraId="257E1249" w14:textId="77777777" w:rsidR="00906ED8" w:rsidRPr="00A3026E"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адрес НКАП было выслано краткое заключение по эскизному проекту ПБШ-1, утвержденное П.В.Рычаговым, следующего содержания:</w:t>
      </w:r>
    </w:p>
    <w:p w14:paraId="709030B1" w14:textId="77777777" w:rsidR="00906ED8" w:rsidRPr="00A3026E"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 Удовлетворяет программе 1941 г. только по следующим показателям.</w:t>
      </w:r>
    </w:p>
    <w:p w14:paraId="66A8DCA7" w14:textId="77777777" w:rsidR="00906ED8" w:rsidRPr="00A3026E"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а) Бронированный, одноместный. Толщина брони 15,5 мм защищает от пробивания 20-мм снарядом.</w:t>
      </w:r>
    </w:p>
    <w:p w14:paraId="7725D14D" w14:textId="77777777" w:rsidR="00906ED8" w:rsidRPr="00A3026E"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б) Имеет мощное вооружение две МП-3 и шесть ШКАС в крыльях вместо требуемого: две пушки и два пулемета ШКАС или одна пушка и четыре ШКАС.</w:t>
      </w:r>
    </w:p>
    <w:p w14:paraId="00DB60A0" w14:textId="77777777" w:rsidR="00906ED8" w:rsidRPr="00A3026E"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lastRenderedPageBreak/>
        <w:t>В отношении полетных данных ПБШ-1 программе 1941 г. не удовлетворяет</w:t>
      </w:r>
    </w:p>
    <w:p w14:paraId="7B169218" w14:textId="77777777" w:rsidR="00906ED8" w:rsidRPr="00A3026E"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а) Посадочная скорость 146-127 и 138-121 км/час. Требование 130-135 км/час.</w:t>
      </w:r>
    </w:p>
    <w:p w14:paraId="2BEF96DC" w14:textId="77777777" w:rsidR="00906ED8" w:rsidRPr="00A3026E"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б) Наибольшая скорость 472 км/час. Программа - 500-550 км/час.</w:t>
      </w:r>
    </w:p>
    <w:p w14:paraId="217B49C5" w14:textId="77777777" w:rsidR="00906ED8" w:rsidRPr="00A3026E"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Дальность полета на скорости 0,9 от максимальной 800 км. Требуемая -1000 км.</w:t>
      </w:r>
    </w:p>
    <w:p w14:paraId="11C9C7DC" w14:textId="77777777" w:rsidR="00906ED8" w:rsidRPr="00A3026E"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г) Бомб нет. Требование - 250 кг. Бомбовая нагрузка берется по проекту за счет перегрузки.</w:t>
      </w:r>
    </w:p>
    <w:p w14:paraId="05050CBB" w14:textId="77777777" w:rsidR="00906ED8" w:rsidRPr="00A3026E"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 В постройке находится и должен быть готов к 15 ноября 1940 г. аналогичный самолет конструктора Сухого, проектные данные выше, чем у ПБШ-1, а именно:</w:t>
      </w:r>
    </w:p>
    <w:tbl>
      <w:tblPr>
        <w:tblW w:w="42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97"/>
        <w:gridCol w:w="2474"/>
        <w:gridCol w:w="3045"/>
      </w:tblGrid>
      <w:tr w:rsidR="00983732" w:rsidRPr="00A3026E" w14:paraId="7F7F35EE" w14:textId="77777777" w:rsidTr="00173293">
        <w:trPr>
          <w:jc w:val="center"/>
        </w:trPr>
        <w:tc>
          <w:tcPr>
            <w:tcW w:w="2100" w:type="pct"/>
            <w:shd w:val="clear" w:color="auto" w:fill="auto"/>
            <w:hideMark/>
          </w:tcPr>
          <w:p w14:paraId="2DC61230"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w:t>
            </w:r>
          </w:p>
        </w:tc>
        <w:tc>
          <w:tcPr>
            <w:tcW w:w="1300" w:type="pct"/>
            <w:shd w:val="clear" w:color="auto" w:fill="auto"/>
            <w:hideMark/>
          </w:tcPr>
          <w:p w14:paraId="22B49461"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Проект Сухого</w:t>
            </w:r>
          </w:p>
        </w:tc>
        <w:tc>
          <w:tcPr>
            <w:tcW w:w="1600" w:type="pct"/>
            <w:shd w:val="clear" w:color="auto" w:fill="auto"/>
            <w:hideMark/>
          </w:tcPr>
          <w:p w14:paraId="04AD1805"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ПБШ-1</w:t>
            </w:r>
          </w:p>
        </w:tc>
      </w:tr>
      <w:tr w:rsidR="00983732" w:rsidRPr="00A3026E" w14:paraId="34CA4D91" w14:textId="77777777" w:rsidTr="00173293">
        <w:trPr>
          <w:jc w:val="center"/>
        </w:trPr>
        <w:tc>
          <w:tcPr>
            <w:tcW w:w="2100" w:type="pct"/>
            <w:shd w:val="clear" w:color="auto" w:fill="auto"/>
            <w:hideMark/>
          </w:tcPr>
          <w:p w14:paraId="4E44DB8E"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Скорость у земли, км/ч</w:t>
            </w:r>
          </w:p>
          <w:p w14:paraId="42A7A63C"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Дальность полета, км</w:t>
            </w:r>
          </w:p>
          <w:p w14:paraId="34A128DC"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Вооружение</w:t>
            </w:r>
          </w:p>
          <w:p w14:paraId="25A94A54"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Бомбы, кг </w:t>
            </w:r>
          </w:p>
          <w:p w14:paraId="6A953A27"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Дальность полета с перегрузкой, км</w:t>
            </w:r>
          </w:p>
        </w:tc>
        <w:tc>
          <w:tcPr>
            <w:tcW w:w="1300" w:type="pct"/>
            <w:shd w:val="clear" w:color="auto" w:fill="auto"/>
            <w:hideMark/>
          </w:tcPr>
          <w:p w14:paraId="79E4C880"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510 </w:t>
            </w:r>
          </w:p>
          <w:p w14:paraId="58ECCAA3"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800 </w:t>
            </w:r>
          </w:p>
          <w:p w14:paraId="0F26BE09"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 ШКАС </w:t>
            </w:r>
          </w:p>
          <w:p w14:paraId="5C552B8C"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120 </w:t>
            </w:r>
          </w:p>
          <w:p w14:paraId="4A747040"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1200 </w:t>
            </w:r>
          </w:p>
        </w:tc>
        <w:tc>
          <w:tcPr>
            <w:tcW w:w="1600" w:type="pct"/>
            <w:shd w:val="clear" w:color="auto" w:fill="auto"/>
            <w:hideMark/>
          </w:tcPr>
          <w:p w14:paraId="700331A5"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449 </w:t>
            </w:r>
          </w:p>
          <w:p w14:paraId="45948472"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800 </w:t>
            </w:r>
          </w:p>
          <w:p w14:paraId="6DA9ECD7"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 ШКАС и 2 пушки </w:t>
            </w:r>
          </w:p>
          <w:p w14:paraId="2AEFF5BC"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нет </w:t>
            </w:r>
          </w:p>
          <w:p w14:paraId="52B2EA10" w14:textId="77777777" w:rsidR="00906ED8" w:rsidRPr="00A3026E"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1000 </w:t>
            </w:r>
          </w:p>
        </w:tc>
      </w:tr>
    </w:tbl>
    <w:p w14:paraId="500E80C7" w14:textId="77777777" w:rsidR="00906ED8" w:rsidRPr="00A3026E" w:rsidRDefault="00906ED8" w:rsidP="00A3026E">
      <w:pPr>
        <w:shd w:val="clear" w:color="auto" w:fill="FFFFFF"/>
        <w:spacing w:after="0" w:line="240" w:lineRule="auto"/>
        <w:jc w:val="both"/>
        <w:rPr>
          <w:rFonts w:ascii="Times New Roman" w:eastAsia="Times New Roman" w:hAnsi="Times New Roman"/>
          <w:i/>
          <w:iCs/>
          <w:color w:val="000000" w:themeColor="text1"/>
          <w:sz w:val="16"/>
          <w:szCs w:val="16"/>
          <w:lang w:eastAsia="ru-RU"/>
        </w:rPr>
      </w:pPr>
      <w:r w:rsidRPr="00A3026E">
        <w:rPr>
          <w:rFonts w:ascii="Times New Roman" w:eastAsia="Times New Roman" w:hAnsi="Times New Roman"/>
          <w:i/>
          <w:iCs/>
          <w:color w:val="000000" w:themeColor="text1"/>
          <w:sz w:val="16"/>
          <w:szCs w:val="16"/>
          <w:lang w:eastAsia="ru-RU"/>
        </w:rPr>
        <w:t>По своим полетным данным самолет ПБШ-1 не удовлетворяет программе 1941 г.</w:t>
      </w:r>
    </w:p>
    <w:p w14:paraId="576F289C" w14:textId="77777777" w:rsidR="00906ED8" w:rsidRPr="00A3026E" w:rsidRDefault="00906ED8" w:rsidP="00A3026E">
      <w:pPr>
        <w:shd w:val="clear" w:color="auto" w:fill="FFFFFF"/>
        <w:spacing w:after="0" w:line="240" w:lineRule="auto"/>
        <w:jc w:val="both"/>
        <w:rPr>
          <w:rFonts w:ascii="Times New Roman" w:eastAsia="Times New Roman" w:hAnsi="Times New Roman"/>
          <w:i/>
          <w:iCs/>
          <w:color w:val="000000" w:themeColor="text1"/>
          <w:sz w:val="16"/>
          <w:szCs w:val="16"/>
          <w:lang w:eastAsia="ru-RU"/>
        </w:rPr>
      </w:pPr>
      <w:r w:rsidRPr="00A3026E">
        <w:rPr>
          <w:rFonts w:ascii="Times New Roman" w:eastAsia="Times New Roman" w:hAnsi="Times New Roman"/>
          <w:i/>
          <w:iCs/>
          <w:color w:val="000000" w:themeColor="text1"/>
          <w:sz w:val="16"/>
          <w:szCs w:val="16"/>
          <w:lang w:eastAsia="ru-RU"/>
        </w:rPr>
        <w:t>В постройке находится аналогичный образец бронированного штурмовика Сухого с более высокими  полетными данными, чем ПБШ-1. Поэтому от реализации проекта ПБШ-1 следует воздержаться.</w:t>
      </w:r>
    </w:p>
    <w:p w14:paraId="5E75CC1A" w14:textId="77777777" w:rsidR="00906ED8" w:rsidRPr="00A3026E" w:rsidRDefault="00906ED8" w:rsidP="00A3026E">
      <w:pPr>
        <w:shd w:val="clear" w:color="auto" w:fill="FFFFFF"/>
        <w:spacing w:after="0" w:line="240" w:lineRule="auto"/>
        <w:jc w:val="both"/>
        <w:rPr>
          <w:rFonts w:ascii="Times New Roman" w:eastAsia="Times New Roman" w:hAnsi="Times New Roman"/>
          <w:i/>
          <w:iCs/>
          <w:color w:val="000000" w:themeColor="text1"/>
          <w:sz w:val="16"/>
          <w:szCs w:val="16"/>
          <w:lang w:eastAsia="ru-RU"/>
        </w:rPr>
      </w:pPr>
      <w:r w:rsidRPr="00A3026E">
        <w:rPr>
          <w:rFonts w:ascii="Times New Roman" w:eastAsia="Times New Roman" w:hAnsi="Times New Roman"/>
          <w:i/>
          <w:iCs/>
          <w:color w:val="000000" w:themeColor="text1"/>
          <w:sz w:val="16"/>
          <w:szCs w:val="16"/>
          <w:lang w:eastAsia="ru-RU"/>
        </w:rPr>
        <w:t>Зам. председателя НТК при Начальнике ВВС КА военинженер 1 ранга Знаменский".</w:t>
      </w:r>
    </w:p>
    <w:p w14:paraId="6823DCB5" w14:textId="77777777" w:rsidR="00906ED8" w:rsidRPr="00A3026E"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Главной причиной отклонения проекта ПБШ-1 была необходимость доводки И-200, которая усугублялась не только объективными причинами, необходимостью торопиться в завершении работ по И-200, но и еще недостаточной к тому времени зрелостью коллектива ОКО при заводе № 1. Тем не менее, благодаря тому, что силы коллектива не были оторваны на реализацию проекта ПБШ-1 на заседании технического совета при НИИ ВВС, где рассматривали результаты госиспытаний И-200, было отмечено, что он является самым доведенным самолетом при поступлении на государственные испытания, которые прошел хорошо. Кроме того, за время заводских и государственных испытаний не было потеряно ни одного самолета и ни одного летчика (19568).</w:t>
      </w:r>
    </w:p>
    <w:p w14:paraId="42D6EEBC" w14:textId="77777777" w:rsidR="00906ED8" w:rsidRPr="00A3026E"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A917A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мотор М-87 и М-87Б на самолетах ДБ-З поступил в НИИ ВВС для войсковых испытаний на двойном питании топливом в 11 полку Запорожье и 51 полку г. Курск (3333,15).</w:t>
      </w:r>
    </w:p>
    <w:p w14:paraId="4A067FE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664B0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приказ НКАП (м.б. и не был подписан, т.к. номера нет) разрешил 18 заводу в 1940 выпустить 20 ДБ-240 с тормозными колесами 1100х400 с ограничением полетного веса 10 т вместо 1200х400, с которыми машины должны были выпускаться в дальнейшем (284,2).</w:t>
      </w:r>
    </w:p>
    <w:p w14:paraId="0FCC8A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Разрешить директору завода №18 тов. Шенкман в 1940 г. выпустить 20 самолетов ДБ-240 с тормозными колесами 1100x400 с ограничением полетного веса при посадках до 10 тонн.</w:t>
      </w:r>
    </w:p>
    <w:p w14:paraId="34F605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главного конструктора тов. Ермолаева и дирек</w:t>
      </w:r>
      <w:r w:rsidRPr="00A3026E">
        <w:rPr>
          <w:rFonts w:ascii="Times New Roman" w:hAnsi="Times New Roman"/>
          <w:color w:val="000000" w:themeColor="text1"/>
          <w:sz w:val="16"/>
          <w:szCs w:val="16"/>
        </w:rPr>
        <w:softHyphen/>
        <w:t>тора завода т. Шенкман провести доработку конструкции самолета и с 20-й-машины колеса 1100x400 заменить на колеса 1200x450.</w:t>
      </w:r>
    </w:p>
    <w:p w14:paraId="5D3966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Обязать главного конструктора завода № 120 тов. Чупил-ко, начальника Второго Главного Управления тов. Соколова немед</w:t>
      </w:r>
      <w:r w:rsidRPr="00A3026E">
        <w:rPr>
          <w:rFonts w:ascii="Times New Roman" w:hAnsi="Times New Roman"/>
          <w:color w:val="000000" w:themeColor="text1"/>
          <w:sz w:val="16"/>
          <w:szCs w:val="16"/>
        </w:rPr>
        <w:softHyphen/>
        <w:t>ленно приступить к изготовлению колес 110x400, обеспечив сдачу 20-ти комплектов к 15.Х.1940 года (284,2).</w:t>
      </w:r>
    </w:p>
    <w:p w14:paraId="7E29BD6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2533C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1941 г. серийный самолет Ер-2, по</w:t>
      </w:r>
      <w:r w:rsidRPr="00A3026E">
        <w:rPr>
          <w:rFonts w:ascii="Times New Roman" w:hAnsi="Times New Roman"/>
          <w:color w:val="000000" w:themeColor="text1"/>
          <w:sz w:val="16"/>
          <w:szCs w:val="16"/>
        </w:rPr>
        <w:softHyphen/>
        <w:t>бывавший до этого в аварии. после ремонта и до</w:t>
      </w:r>
      <w:r w:rsidRPr="00A3026E">
        <w:rPr>
          <w:rFonts w:ascii="Times New Roman" w:hAnsi="Times New Roman"/>
          <w:color w:val="000000" w:themeColor="text1"/>
          <w:sz w:val="16"/>
          <w:szCs w:val="16"/>
        </w:rPr>
        <w:softHyphen/>
        <w:t>работки передали на госиспытания. Несмотря на недостатки, самолет получил высокую оценку в НИИ ВВС. По комплексу летно-тактических данных он являлся в то время лучшим в мире дальним бомбардировщиком, способным доставить бомбы массой 1000 кг на расстояние 3000 км при средней скорости полета 408 км/ч. Ер-2 с моторами АМ-37 продемонстрировал максимальную скорость 519 км/ч, что на 70-80 км/ч превышало аналогичный показатель ос</w:t>
      </w:r>
      <w:r w:rsidRPr="00A3026E">
        <w:rPr>
          <w:rFonts w:ascii="Times New Roman" w:hAnsi="Times New Roman"/>
          <w:color w:val="000000" w:themeColor="text1"/>
          <w:sz w:val="16"/>
          <w:szCs w:val="16"/>
        </w:rPr>
        <w:softHyphen/>
        <w:t>новного советского дальнего бомбардировщика ДБ-ЗФ. Самолет имел довольно эффективное оборонительное вооружение и бронирование. В качестве основного недостатка называлась большая взлетная и по</w:t>
      </w:r>
      <w:r w:rsidRPr="00A3026E">
        <w:rPr>
          <w:rFonts w:ascii="Times New Roman" w:hAnsi="Times New Roman"/>
          <w:color w:val="000000" w:themeColor="text1"/>
          <w:sz w:val="16"/>
          <w:szCs w:val="16"/>
        </w:rPr>
        <w:softHyphen/>
        <w:t>садочная дистанция, но в принципе с этим можно было примириться (10781).</w:t>
      </w:r>
    </w:p>
    <w:p w14:paraId="6E46F96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DB2B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Зам. нач. ГУ ВВС Астахов утвердил заключение по эскизному проекту самолета СПБ 2М-82 (2060).</w:t>
      </w:r>
    </w:p>
    <w:p w14:paraId="7A239F1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39BE6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сентября1940 года Зам. начальника ГУ ВВС генерал-лейтенант авиации Астахов утвердил Заключение по эскизному проекту самолета СПБ 2М-82 (скоростной пикирующий бомбардировщик).</w:t>
      </w:r>
    </w:p>
    <w:p w14:paraId="4EF66E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Проектирующая организация – ОКО завода № 135 г. Харьков</w:t>
      </w:r>
    </w:p>
    <w:p w14:paraId="5F0000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плане опытного строительства этот самолет не предусмотрен и тактико-технические требования к нему не предъявлялись.</w:t>
      </w:r>
    </w:p>
    <w:p w14:paraId="1E1063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75B784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Скоростной пикирующий бомбардировщик.</w:t>
      </w:r>
    </w:p>
    <w:p w14:paraId="1C59DC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СПБ по схеме двухмоторный моноплан (высокоплан) с двумя фюзеляжами являющимися в то же время моторными гондолами.</w:t>
      </w:r>
    </w:p>
    <w:p w14:paraId="3E73A6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оси симметрии самолета расположена гондола для размещения экипажа, бомбардировочного вооружения и задней турельной точки.</w:t>
      </w:r>
    </w:p>
    <w:p w14:paraId="75CEF0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 самолета – 2 человека:</w:t>
      </w:r>
    </w:p>
    <w:p w14:paraId="1EE59A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летчик в носовой части средней гондолы</w:t>
      </w:r>
    </w:p>
    <w:p w14:paraId="696718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штурман (он же радист и стрелок) в задней части средней гондолы</w:t>
      </w:r>
    </w:p>
    <w:p w14:paraId="332A45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самолетом двойное.</w:t>
      </w:r>
    </w:p>
    <w:p w14:paraId="77AE3A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самолета – преимущественно металлическая. Хвостовые балки моторных гондол, кили и стабилизатор – деревянные.</w:t>
      </w:r>
    </w:p>
    <w:p w14:paraId="7212B2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Рули направления и высоты – металлические – обтянутые полотном.</w:t>
      </w:r>
    </w:p>
    <w:p w14:paraId="5266E9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511F08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 2 неподвижные установки по бортам кабины летчика; на левом борту – крупнокалиберный пулемет Березина с запасом патрон 500 штук.</w:t>
      </w:r>
    </w:p>
    <w:p w14:paraId="2E89BC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правом борту – один пулемет Шкас с запасом патрон 1000 штук.</w:t>
      </w:r>
    </w:p>
    <w:p w14:paraId="750BBB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 вращающаяся конусная установка в задней части средней гондолы – один пулемет Шкас с запасом патрон 1000 штук.</w:t>
      </w:r>
    </w:p>
    <w:p w14:paraId="5E1BC8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Бомбардировочное – основные варианты для пикирования внутри фюзеляжа:</w:t>
      </w:r>
    </w:p>
    <w:p w14:paraId="6AF1CF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шт. ФАБ-500 – 500 кг</w:t>
      </w:r>
    </w:p>
    <w:p w14:paraId="59ACD3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шт. БРАБ-500 – 500 кг</w:t>
      </w:r>
    </w:p>
    <w:p w14:paraId="562EBF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шт. ФАБ-250 – 500 кг</w:t>
      </w:r>
    </w:p>
    <w:p w14:paraId="5A7408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Возможные варианты загрузки внутрифюзеляжного грузового отсека:</w:t>
      </w:r>
    </w:p>
    <w:p w14:paraId="307EBE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ФАБ-100 – 800 кг</w:t>
      </w:r>
    </w:p>
    <w:p w14:paraId="095A52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ФАБ-50 – 400 кг</w:t>
      </w:r>
    </w:p>
    <w:p w14:paraId="69227C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 АО-25 Мз – 1000 кг</w:t>
      </w:r>
    </w:p>
    <w:p w14:paraId="6B1324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 АО-20 Мз – 800 кг</w:t>
      </w:r>
    </w:p>
    <w:p w14:paraId="58633C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 АО-10 – 400 кг</w:t>
      </w:r>
    </w:p>
    <w:p w14:paraId="720F98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 АО-8 Мз – 320 кг</w:t>
      </w:r>
    </w:p>
    <w:p w14:paraId="5B64A7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кассетном ящике:</w:t>
      </w:r>
    </w:p>
    <w:p w14:paraId="3F7586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 АО-2,5 – 480 кг</w:t>
      </w:r>
    </w:p>
    <w:p w14:paraId="1AC550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 АО-1 – 192 кг</w:t>
      </w:r>
    </w:p>
    <w:p w14:paraId="1EA42B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Возможные варианты загрузки бомб наружной подвески:</w:t>
      </w:r>
    </w:p>
    <w:p w14:paraId="1B31F4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ФАБ-500 – 1000 кг</w:t>
      </w:r>
    </w:p>
    <w:p w14:paraId="66722B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БРАБ-500 – 1000 кг</w:t>
      </w:r>
    </w:p>
    <w:p w14:paraId="44F632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ФАБ-250 – 500 кг</w:t>
      </w:r>
    </w:p>
    <w:p w14:paraId="33F491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ВАП-200 – 400 кг</w:t>
      </w:r>
    </w:p>
    <w:p w14:paraId="4880EF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57B23B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Представленный на заключение эскизный проект не может быть утвержден для реализации ввиду того, что его летно-тактические данные значительно ниже требований к самолетам подобного типа на 1941 год, а количество экипажа и его размещение не отвечают требованиям к данному типу бомбардировщика (4612).</w:t>
      </w:r>
    </w:p>
    <w:p w14:paraId="30162AC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5D74D5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20 сентября1940 года Зам. начальника ГУ ВВС генерал-лейтенант авиации Астахов утвердил Заключение по эскизному проекту самолета И-186 с мотором М-71 конструкции Поликарпова Н.Н.</w:t>
      </w:r>
    </w:p>
    <w:p w14:paraId="66410F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690B69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Николаев</w:t>
      </w:r>
    </w:p>
    <w:p w14:paraId="75D2C5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И-186 с М-71 спроектирован как модификация истребителя И-185 с М-90.</w:t>
      </w:r>
    </w:p>
    <w:p w14:paraId="31F456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Помимо изменения винто-моторной группы несколько видоизменилась установка вооружения, частично оборудования.</w:t>
      </w:r>
    </w:p>
    <w:p w14:paraId="059903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мотора М-71 ухудшает аэродинамическую форму самолета, чем объясняется снижение летных данных самолета по сравнению с И-185.</w:t>
      </w:r>
    </w:p>
    <w:p w14:paraId="5A1827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6BA98E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вооружение состоит из 2-х синхронных пулеметов ШКАС с запасом патрон по 650 штук на каждый и 2-х синхронных пулеметов Березина, с запасом патрон по 300 штук.</w:t>
      </w:r>
    </w:p>
    <w:p w14:paraId="62BFDA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и химическое вооружение состоит из 4-х крыльевых балок и соответствующего управления (ЭСБ-3 и АСБР).</w:t>
      </w:r>
    </w:p>
    <w:p w14:paraId="752DE9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 могут быть сброшены как с горизонтального полета, так и пикирования.</w:t>
      </w:r>
    </w:p>
    <w:p w14:paraId="7D6BF8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22683F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эскизный проект самолета И-185 с мотором М-71 (И-186) в части максимальной скорости и дальности полета не отвечает требованиям, заданным постановлением КО при СНК № 102 сс от 4 марта 1940 года для этого типа самолета.</w:t>
      </w:r>
    </w:p>
    <w:p w14:paraId="0AA1FCF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выхода мотора М-90 разрешить конструктору, как временную меру, установку на самолет И-185 мотора М-71 (4614).</w:t>
      </w:r>
    </w:p>
    <w:p w14:paraId="03716B5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12FAE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Нач. ГУ ВВС КА гла П.В.Рычаговым был утвержден “Отчет по гос. испытаниям И-200 с мотором АМ-35А и виннтом ВИШ-22Е.</w:t>
      </w:r>
    </w:p>
    <w:p w14:paraId="0D46C3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 ви 2и2р П.С.Никитченко</w:t>
      </w:r>
    </w:p>
    <w:p w14:paraId="6EC65B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м С.П.Супрун</w:t>
      </w:r>
    </w:p>
    <w:p w14:paraId="4AAFC1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ли стл А.Г.Кубышкин</w:t>
      </w:r>
    </w:p>
    <w:p w14:paraId="53AE23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Врид нач. 1 отд-я ви1р И.Т.Лазарев</w:t>
      </w:r>
    </w:p>
    <w:p w14:paraId="5A9EEB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Участники испытаний:</w:t>
      </w:r>
    </w:p>
    <w:p w14:paraId="1DB0D0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 ви ви3р В.И.Алексеенко</w:t>
      </w:r>
    </w:p>
    <w:p w14:paraId="232B41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П.С.Никитченко</w:t>
      </w:r>
    </w:p>
    <w:p w14:paraId="4D8126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 по ВМГ ви3р А.Я.Золотарев</w:t>
      </w:r>
    </w:p>
    <w:p w14:paraId="6EB405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 по мотору ыи2р В.А.Черниченко</w:t>
      </w:r>
    </w:p>
    <w:p w14:paraId="0B4B46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 по воор. Ви1р Ссорин К.П.</w:t>
      </w:r>
    </w:p>
    <w:p w14:paraId="61D39F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 по спецоборуд. Ви3р Г.В.Самойлов</w:t>
      </w:r>
    </w:p>
    <w:p w14:paraId="0E953B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по устойчивости и НИО А.Ф.Турчков</w:t>
      </w:r>
    </w:p>
    <w:p w14:paraId="0E0C14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б/техник вт1р А.К.Селезнев</w:t>
      </w:r>
    </w:p>
    <w:p w14:paraId="007677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б/техник Н.В.Сурьянинов</w:t>
      </w:r>
    </w:p>
    <w:p w14:paraId="5BCD6E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расчетчик Н.Н.Андросова, З.Д.Ссорина</w:t>
      </w:r>
    </w:p>
    <w:p w14:paraId="730E03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по приборам В.М.Быков, П.М.Ткачев</w:t>
      </w:r>
    </w:p>
    <w:p w14:paraId="7B9E99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техник по вооружению вт2р И.Ф.Мякинцев</w:t>
      </w:r>
    </w:p>
    <w:p w14:paraId="0E6BA8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техник по вооружению Иванчиков</w:t>
      </w:r>
    </w:p>
    <w:p w14:paraId="532020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по кислородному оборудованию А.А.Коробков</w:t>
      </w:r>
    </w:p>
    <w:p w14:paraId="128A45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моторист двигателя а/м Теленков</w:t>
      </w:r>
    </w:p>
    <w:p w14:paraId="5DA0E7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по расчетам вт3р Е.Л.Иванов</w:t>
      </w:r>
    </w:p>
    <w:p w14:paraId="00D937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по фото вт2р Кузнецов</w:t>
      </w:r>
    </w:p>
    <w:p w14:paraId="2839AD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электротехник Аверьянов</w:t>
      </w:r>
    </w:p>
    <w:p w14:paraId="47C5F1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опер. группы Нахмановичви1р Вистенко, вт1р Рублев</w:t>
      </w:r>
    </w:p>
    <w:p w14:paraId="0FC5C0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облета А.Н.Филин, А.И.Кабанов, П.М.Стефановский, А.Г.Кочетков</w:t>
      </w:r>
    </w:p>
    <w:p w14:paraId="3084C9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7141B6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Проверка ЛТД</w:t>
      </w:r>
    </w:p>
    <w:p w14:paraId="0108C6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Определение управляемости, устойчивости и маневренности</w:t>
      </w:r>
    </w:p>
    <w:p w14:paraId="48A414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Летные испытания опытного мотора АМ-35А на И-200</w:t>
      </w:r>
    </w:p>
    <w:p w14:paraId="59B0A3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Выявление эксплуатационных дефектов</w:t>
      </w:r>
    </w:p>
    <w:p w14:paraId="686ABA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Испытание стрелкового и бомбардировочного вооружения</w:t>
      </w:r>
    </w:p>
    <w:p w14:paraId="618954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Проверка штопорных свойств и пикирования</w:t>
      </w:r>
    </w:p>
    <w:p w14:paraId="6C7F36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Испытание спецоборудования.</w:t>
      </w:r>
    </w:p>
    <w:p w14:paraId="6766C3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 испытаний:</w:t>
      </w:r>
    </w:p>
    <w:p w14:paraId="6C65C0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И-200 с АМ-35А и винтом ВИШ-22Е диамотром 3 м конструкции Микояна и Гуревича постройки завода № 1 был изготовлен по ТТТ ВВС КА и должен был иметь следующие данные...</w:t>
      </w:r>
    </w:p>
    <w:p w14:paraId="16A2CC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Принятый в НИИ ВВС КА 29 августа 1940 на госиспытания с-т И-200 в 2-х экз. с мотором АМ-35А предназначен для использования в качестве скоростного истребителя с назначением:</w:t>
      </w:r>
    </w:p>
    <w:p w14:paraId="7E9865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Ведение скоростного воздушного боя для поражения и уничтожения противника на основе преимущества в скорости</w:t>
      </w:r>
    </w:p>
    <w:p w14:paraId="377848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перегрузочном варианте с подвесными б/б может быть использован как истребитель сопровождения</w:t>
      </w:r>
    </w:p>
    <w:p w14:paraId="1C8866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частных случаях обстановки выполнять задачи по взаимодействию с наземными войсками</w:t>
      </w:r>
    </w:p>
    <w:p w14:paraId="37D592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с-та</w:t>
      </w:r>
    </w:p>
    <w:p w14:paraId="1760BB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смешанной конструкции с состоит из следующих агрегатов:</w:t>
      </w:r>
    </w:p>
    <w:p w14:paraId="750A74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моторамы балочной конструкции из хромансилевых труб</w:t>
      </w:r>
    </w:p>
    <w:p w14:paraId="2D3036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передней части фюзеляжа, сваренной из хромансилевых труб</w:t>
      </w:r>
    </w:p>
    <w:p w14:paraId="2D9F8F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цельнометаллического центроплана с дюралевой обшивкой</w:t>
      </w:r>
    </w:p>
    <w:p w14:paraId="5D611E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деревянной хвостовой части фюзеляжа типа монокок</w:t>
      </w:r>
    </w:p>
    <w:p w14:paraId="71E7CF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двух съемных консолей деревяннной или металлической конструкции</w:t>
      </w:r>
    </w:p>
    <w:p w14:paraId="650B90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одностоечного убирающегося шасси с масляно-пневматической амортизацией и тормозными колесами размером 600х180</w:t>
      </w:r>
    </w:p>
    <w:p w14:paraId="07B1B8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цельнометаллическим дюралевым стабилизатором</w:t>
      </w:r>
    </w:p>
    <w:p w14:paraId="480520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Кабина л закрыта фонарем, ткидывающимся на правый борт</w:t>
      </w:r>
    </w:p>
    <w:p w14:paraId="07C74A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и задняя часть сбрасываются в случае авиарии при помощи спецмеханизма</w:t>
      </w:r>
    </w:p>
    <w:p w14:paraId="038CC8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Хвостовое колесо управляемое и убирающееся в полете (для уборки присоединен к левой ноге шасси)</w:t>
      </w:r>
    </w:p>
    <w:p w14:paraId="4AEEFB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ВМГ - АМ-35А, жидкостного охлаждения мощностью 1200 лс на 6000 м, редуктор с передачей 0,902.</w:t>
      </w:r>
    </w:p>
    <w:p w14:paraId="4D34A4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трехлопастный с шагом, изменяемым в полете ВИШ-22Е диаметром 3 м и шагом 250 производства завода № 28 с углом поворота до 20 гр.</w:t>
      </w:r>
    </w:p>
    <w:p w14:paraId="779BFF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имеет 3 б/б: один в фюзеляже протектированный емкостью 108 л, два в центроплане не протектированные емкостью правый 108 л, а левый - 109 л. Общий объем 359 л или 266 кг</w:t>
      </w:r>
    </w:p>
    <w:p w14:paraId="36B1B4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шли с 29 августа по 12 сентября 1940</w:t>
      </w:r>
    </w:p>
    <w:p w14:paraId="5A5994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 полета с налетом 24:15</w:t>
      </w:r>
    </w:p>
    <w:p w14:paraId="39ADC1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15 дней:</w:t>
      </w:r>
    </w:p>
    <w:p w14:paraId="59E82D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наземные испытания - 1</w:t>
      </w:r>
    </w:p>
    <w:p w14:paraId="3B2450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нелетная погода - 1</w:t>
      </w:r>
    </w:p>
    <w:p w14:paraId="7B3988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летные - 10</w:t>
      </w:r>
    </w:p>
    <w:p w14:paraId="693D02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ремонт - 2</w:t>
      </w:r>
    </w:p>
    <w:p w14:paraId="6497D3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выходные - 2</w:t>
      </w:r>
    </w:p>
    <w:p w14:paraId="2FAA43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испытывался со следующей загрузкой:</w:t>
      </w:r>
    </w:p>
    <w:p w14:paraId="31E0F1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с парашютом - 90 кг</w:t>
      </w:r>
    </w:p>
    <w:p w14:paraId="1D9958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горючее - 266 кг</w:t>
      </w:r>
    </w:p>
    <w:p w14:paraId="1EE32C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 - 30 кг</w:t>
      </w:r>
    </w:p>
    <w:p w14:paraId="0C3A02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Патронов для БС (300) - 51</w:t>
      </w:r>
    </w:p>
    <w:p w14:paraId="2875F6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Патронов ШКАС (1500) - 48</w:t>
      </w:r>
    </w:p>
    <w:p w14:paraId="507C44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Акумулятор 12А-5 - 8,5</w:t>
      </w:r>
    </w:p>
    <w:p w14:paraId="4A4AF8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- 494 кг</w:t>
      </w:r>
    </w:p>
    <w:p w14:paraId="392051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042"/>
        <w:gridCol w:w="2127"/>
      </w:tblGrid>
      <w:tr w:rsidR="00983732" w:rsidRPr="00A3026E" w14:paraId="52881098" w14:textId="77777777" w:rsidTr="00EA0DA7">
        <w:tc>
          <w:tcPr>
            <w:tcW w:w="3736" w:type="dxa"/>
            <w:tcBorders>
              <w:top w:val="single" w:sz="12" w:space="0" w:color="auto"/>
            </w:tcBorders>
          </w:tcPr>
          <w:p w14:paraId="27DDFC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w:t>
            </w:r>
          </w:p>
        </w:tc>
        <w:tc>
          <w:tcPr>
            <w:tcW w:w="2042" w:type="dxa"/>
            <w:tcBorders>
              <w:top w:val="single" w:sz="12" w:space="0" w:color="auto"/>
            </w:tcBorders>
          </w:tcPr>
          <w:p w14:paraId="0A3D0D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ТТТ</w:t>
            </w:r>
          </w:p>
        </w:tc>
        <w:tc>
          <w:tcPr>
            <w:tcW w:w="2127" w:type="dxa"/>
            <w:tcBorders>
              <w:top w:val="single" w:sz="12" w:space="0" w:color="auto"/>
            </w:tcBorders>
          </w:tcPr>
          <w:p w14:paraId="633710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результатам испытаний</w:t>
            </w:r>
          </w:p>
        </w:tc>
      </w:tr>
      <w:tr w:rsidR="00983732" w:rsidRPr="00A3026E" w14:paraId="5CDFE9D1" w14:textId="77777777" w:rsidTr="00EA0DA7">
        <w:tc>
          <w:tcPr>
            <w:tcW w:w="3736" w:type="dxa"/>
          </w:tcPr>
          <w:p w14:paraId="48F17D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6000-7000 м</w:t>
            </w:r>
          </w:p>
        </w:tc>
        <w:tc>
          <w:tcPr>
            <w:tcW w:w="2042" w:type="dxa"/>
          </w:tcPr>
          <w:p w14:paraId="735CC9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640</w:t>
            </w:r>
          </w:p>
        </w:tc>
        <w:tc>
          <w:tcPr>
            <w:tcW w:w="2127" w:type="dxa"/>
          </w:tcPr>
          <w:p w14:paraId="499E66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628/7000</w:t>
            </w:r>
          </w:p>
        </w:tc>
      </w:tr>
      <w:tr w:rsidR="00983732" w:rsidRPr="00A3026E" w14:paraId="4CAE598C" w14:textId="77777777" w:rsidTr="00EA0DA7">
        <w:tc>
          <w:tcPr>
            <w:tcW w:w="3736" w:type="dxa"/>
          </w:tcPr>
          <w:p w14:paraId="1519CE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2042" w:type="dxa"/>
          </w:tcPr>
          <w:p w14:paraId="1A1764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13000</w:t>
            </w:r>
          </w:p>
        </w:tc>
        <w:tc>
          <w:tcPr>
            <w:tcW w:w="2127" w:type="dxa"/>
          </w:tcPr>
          <w:p w14:paraId="0E7C2B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r>
      <w:tr w:rsidR="00983732" w:rsidRPr="00A3026E" w14:paraId="51B432B7" w14:textId="77777777" w:rsidTr="00EA0DA7">
        <w:tc>
          <w:tcPr>
            <w:tcW w:w="3736" w:type="dxa"/>
          </w:tcPr>
          <w:p w14:paraId="57AE35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0,9 макс.</w:t>
            </w:r>
          </w:p>
        </w:tc>
        <w:tc>
          <w:tcPr>
            <w:tcW w:w="2042" w:type="dxa"/>
          </w:tcPr>
          <w:p w14:paraId="513496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w:t>
            </w:r>
          </w:p>
        </w:tc>
        <w:tc>
          <w:tcPr>
            <w:tcW w:w="2127" w:type="dxa"/>
          </w:tcPr>
          <w:p w14:paraId="6971E6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r>
      <w:tr w:rsidR="00983732" w:rsidRPr="00A3026E" w14:paraId="14D6D57B" w14:textId="77777777" w:rsidTr="00EA0DA7">
        <w:tc>
          <w:tcPr>
            <w:tcW w:w="3736" w:type="dxa"/>
          </w:tcPr>
          <w:p w14:paraId="090A67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 же с подвесными б/б</w:t>
            </w:r>
          </w:p>
        </w:tc>
        <w:tc>
          <w:tcPr>
            <w:tcW w:w="2042" w:type="dxa"/>
          </w:tcPr>
          <w:p w14:paraId="6F337A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2127" w:type="dxa"/>
          </w:tcPr>
          <w:p w14:paraId="24F2E2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46D91B9" w14:textId="77777777" w:rsidTr="00EA0DA7">
        <w:tc>
          <w:tcPr>
            <w:tcW w:w="3736" w:type="dxa"/>
          </w:tcPr>
          <w:p w14:paraId="10C891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 на 1000 м</w:t>
            </w:r>
          </w:p>
        </w:tc>
        <w:tc>
          <w:tcPr>
            <w:tcW w:w="2042" w:type="dxa"/>
          </w:tcPr>
          <w:p w14:paraId="798194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127" w:type="dxa"/>
          </w:tcPr>
          <w:p w14:paraId="7B38CE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правый 20</w:t>
            </w:r>
          </w:p>
          <w:p w14:paraId="4D4AAA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левый 22</w:t>
            </w:r>
          </w:p>
        </w:tc>
      </w:tr>
      <w:tr w:rsidR="00983732" w:rsidRPr="00A3026E" w14:paraId="6F0123F6" w14:textId="77777777" w:rsidTr="00EA0DA7">
        <w:tc>
          <w:tcPr>
            <w:tcW w:w="3736" w:type="dxa"/>
          </w:tcPr>
          <w:p w14:paraId="3A7C48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w:t>
            </w:r>
          </w:p>
        </w:tc>
        <w:tc>
          <w:tcPr>
            <w:tcW w:w="2042" w:type="dxa"/>
          </w:tcPr>
          <w:p w14:paraId="4D07EE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200-250</w:t>
            </w:r>
          </w:p>
        </w:tc>
        <w:tc>
          <w:tcPr>
            <w:tcW w:w="2127" w:type="dxa"/>
          </w:tcPr>
          <w:p w14:paraId="445AEB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237-305</w:t>
            </w:r>
          </w:p>
        </w:tc>
      </w:tr>
      <w:tr w:rsidR="00983732" w:rsidRPr="00A3026E" w14:paraId="30BB582C" w14:textId="77777777" w:rsidTr="00EA0DA7">
        <w:tc>
          <w:tcPr>
            <w:tcW w:w="3736" w:type="dxa"/>
          </w:tcPr>
          <w:p w14:paraId="19CD89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w:t>
            </w:r>
          </w:p>
        </w:tc>
        <w:tc>
          <w:tcPr>
            <w:tcW w:w="2042" w:type="dxa"/>
          </w:tcPr>
          <w:p w14:paraId="7D1D2A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250-300</w:t>
            </w:r>
          </w:p>
        </w:tc>
        <w:tc>
          <w:tcPr>
            <w:tcW w:w="2127" w:type="dxa"/>
          </w:tcPr>
          <w:p w14:paraId="62E61B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r>
      <w:tr w:rsidR="00983732" w:rsidRPr="00A3026E" w14:paraId="66F1F4E3" w14:textId="77777777" w:rsidTr="00EA0DA7">
        <w:tc>
          <w:tcPr>
            <w:tcW w:w="3736" w:type="dxa"/>
          </w:tcPr>
          <w:p w14:paraId="1E325E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Пасадочная скорость </w:t>
            </w:r>
          </w:p>
        </w:tc>
        <w:tc>
          <w:tcPr>
            <w:tcW w:w="2042" w:type="dxa"/>
          </w:tcPr>
          <w:p w14:paraId="0D4F49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w:t>
            </w:r>
          </w:p>
        </w:tc>
        <w:tc>
          <w:tcPr>
            <w:tcW w:w="2127" w:type="dxa"/>
          </w:tcPr>
          <w:p w14:paraId="35C879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w:t>
            </w:r>
          </w:p>
        </w:tc>
      </w:tr>
      <w:tr w:rsidR="00983732" w:rsidRPr="00A3026E" w14:paraId="0EA0CBBC" w14:textId="77777777" w:rsidTr="00EA0DA7">
        <w:tc>
          <w:tcPr>
            <w:tcW w:w="3736" w:type="dxa"/>
            <w:tcBorders>
              <w:bottom w:val="single" w:sz="12" w:space="0" w:color="auto"/>
            </w:tcBorders>
          </w:tcPr>
          <w:p w14:paraId="6B4C84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8000 м</w:t>
            </w:r>
          </w:p>
        </w:tc>
        <w:tc>
          <w:tcPr>
            <w:tcW w:w="2042" w:type="dxa"/>
            <w:tcBorders>
              <w:bottom w:val="single" w:sz="12" w:space="0" w:color="auto"/>
            </w:tcBorders>
          </w:tcPr>
          <w:p w14:paraId="7171D9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w:t>
            </w:r>
          </w:p>
        </w:tc>
        <w:tc>
          <w:tcPr>
            <w:tcW w:w="2127" w:type="dxa"/>
            <w:tcBorders>
              <w:bottom w:val="single" w:sz="12" w:space="0" w:color="auto"/>
            </w:tcBorders>
          </w:tcPr>
          <w:p w14:paraId="379FF5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8,57</w:t>
            </w:r>
          </w:p>
        </w:tc>
      </w:tr>
    </w:tbl>
    <w:p w14:paraId="49B4B5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Сравнительная таблица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682"/>
        <w:gridCol w:w="1682"/>
        <w:gridCol w:w="1682"/>
        <w:gridCol w:w="1682"/>
        <w:gridCol w:w="1682"/>
      </w:tblGrid>
      <w:tr w:rsidR="00983732" w:rsidRPr="00A3026E" w14:paraId="296D5332" w14:textId="77777777" w:rsidTr="00EA0DA7">
        <w:tc>
          <w:tcPr>
            <w:tcW w:w="2802" w:type="dxa"/>
            <w:tcBorders>
              <w:top w:val="single" w:sz="12" w:space="0" w:color="auto"/>
            </w:tcBorders>
          </w:tcPr>
          <w:p w14:paraId="34A89C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w:t>
            </w:r>
          </w:p>
        </w:tc>
        <w:tc>
          <w:tcPr>
            <w:tcW w:w="1682" w:type="dxa"/>
            <w:tcBorders>
              <w:top w:val="single" w:sz="12" w:space="0" w:color="auto"/>
            </w:tcBorders>
          </w:tcPr>
          <w:p w14:paraId="437B8C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 АМ-35А</w:t>
            </w:r>
          </w:p>
        </w:tc>
        <w:tc>
          <w:tcPr>
            <w:tcW w:w="1682" w:type="dxa"/>
            <w:tcBorders>
              <w:top w:val="single" w:sz="12" w:space="0" w:color="auto"/>
            </w:tcBorders>
          </w:tcPr>
          <w:p w14:paraId="75DC93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М-105</w:t>
            </w:r>
          </w:p>
        </w:tc>
        <w:tc>
          <w:tcPr>
            <w:tcW w:w="1682" w:type="dxa"/>
            <w:tcBorders>
              <w:top w:val="single" w:sz="12" w:space="0" w:color="auto"/>
            </w:tcBorders>
          </w:tcPr>
          <w:p w14:paraId="2A0C2F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М-105</w:t>
            </w:r>
          </w:p>
        </w:tc>
        <w:tc>
          <w:tcPr>
            <w:tcW w:w="1682" w:type="dxa"/>
            <w:tcBorders>
              <w:top w:val="single" w:sz="12" w:space="0" w:color="auto"/>
            </w:tcBorders>
          </w:tcPr>
          <w:p w14:paraId="309610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Ме-109 ДБ-601</w:t>
            </w:r>
          </w:p>
        </w:tc>
        <w:tc>
          <w:tcPr>
            <w:tcW w:w="1682" w:type="dxa"/>
            <w:tcBorders>
              <w:top w:val="single" w:sz="12" w:space="0" w:color="auto"/>
            </w:tcBorders>
          </w:tcPr>
          <w:p w14:paraId="080E58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Хе-100 ДБ-601</w:t>
            </w:r>
          </w:p>
        </w:tc>
      </w:tr>
      <w:tr w:rsidR="00983732" w:rsidRPr="00A3026E" w14:paraId="7A10EF6E" w14:textId="77777777" w:rsidTr="00EA0DA7">
        <w:tc>
          <w:tcPr>
            <w:tcW w:w="2802" w:type="dxa"/>
          </w:tcPr>
          <w:p w14:paraId="621D77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1682" w:type="dxa"/>
          </w:tcPr>
          <w:p w14:paraId="1F7608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3099</w:t>
            </w:r>
          </w:p>
        </w:tc>
        <w:tc>
          <w:tcPr>
            <w:tcW w:w="1682" w:type="dxa"/>
          </w:tcPr>
          <w:p w14:paraId="0E2B66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2700</w:t>
            </w:r>
          </w:p>
        </w:tc>
        <w:tc>
          <w:tcPr>
            <w:tcW w:w="1682" w:type="dxa"/>
          </w:tcPr>
          <w:p w14:paraId="321839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2968</w:t>
            </w:r>
          </w:p>
        </w:tc>
        <w:tc>
          <w:tcPr>
            <w:tcW w:w="1682" w:type="dxa"/>
          </w:tcPr>
          <w:p w14:paraId="666BBE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2605</w:t>
            </w:r>
          </w:p>
        </w:tc>
        <w:tc>
          <w:tcPr>
            <w:tcW w:w="1682" w:type="dxa"/>
          </w:tcPr>
          <w:p w14:paraId="4E7859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2492</w:t>
            </w:r>
          </w:p>
        </w:tc>
      </w:tr>
      <w:tr w:rsidR="00983732" w:rsidRPr="00A3026E" w14:paraId="778CD8A2" w14:textId="77777777" w:rsidTr="00EA0DA7">
        <w:tc>
          <w:tcPr>
            <w:tcW w:w="2802" w:type="dxa"/>
          </w:tcPr>
          <w:p w14:paraId="76BE54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 на высоте</w:t>
            </w:r>
          </w:p>
        </w:tc>
        <w:tc>
          <w:tcPr>
            <w:tcW w:w="1682" w:type="dxa"/>
          </w:tcPr>
          <w:p w14:paraId="7EB906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1200/6000</w:t>
            </w:r>
          </w:p>
        </w:tc>
        <w:tc>
          <w:tcPr>
            <w:tcW w:w="1682" w:type="dxa"/>
          </w:tcPr>
          <w:p w14:paraId="1B4C8B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c>
          <w:tcPr>
            <w:tcW w:w="1682" w:type="dxa"/>
          </w:tcPr>
          <w:p w14:paraId="6282CF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c>
          <w:tcPr>
            <w:tcW w:w="1682" w:type="dxa"/>
          </w:tcPr>
          <w:p w14:paraId="4F5D53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1100/3700</w:t>
            </w:r>
          </w:p>
        </w:tc>
        <w:tc>
          <w:tcPr>
            <w:tcW w:w="1682" w:type="dxa"/>
          </w:tcPr>
          <w:p w14:paraId="4A63F3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1100/3700</w:t>
            </w:r>
          </w:p>
        </w:tc>
      </w:tr>
      <w:tr w:rsidR="00983732" w:rsidRPr="00A3026E" w14:paraId="6FBF1D42" w14:textId="77777777" w:rsidTr="00EA0DA7">
        <w:tc>
          <w:tcPr>
            <w:tcW w:w="2802" w:type="dxa"/>
          </w:tcPr>
          <w:p w14:paraId="715FC4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скрость у земли</w:t>
            </w:r>
          </w:p>
        </w:tc>
        <w:tc>
          <w:tcPr>
            <w:tcW w:w="1682" w:type="dxa"/>
          </w:tcPr>
          <w:p w14:paraId="021183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c>
          <w:tcPr>
            <w:tcW w:w="1682" w:type="dxa"/>
          </w:tcPr>
          <w:p w14:paraId="74F808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c>
          <w:tcPr>
            <w:tcW w:w="1682" w:type="dxa"/>
          </w:tcPr>
          <w:p w14:paraId="6A62A0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1682" w:type="dxa"/>
          </w:tcPr>
          <w:p w14:paraId="64B25B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c>
          <w:tcPr>
            <w:tcW w:w="1682" w:type="dxa"/>
          </w:tcPr>
          <w:p w14:paraId="295CFF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w:t>
            </w:r>
          </w:p>
        </w:tc>
      </w:tr>
      <w:tr w:rsidR="00983732" w:rsidRPr="00A3026E" w14:paraId="52D6FA4A" w14:textId="77777777" w:rsidTr="00EA0DA7">
        <w:tc>
          <w:tcPr>
            <w:tcW w:w="2802" w:type="dxa"/>
          </w:tcPr>
          <w:p w14:paraId="11D25D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у земли на форсаже</w:t>
            </w:r>
          </w:p>
        </w:tc>
        <w:tc>
          <w:tcPr>
            <w:tcW w:w="1682" w:type="dxa"/>
          </w:tcPr>
          <w:p w14:paraId="4E494B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c>
          <w:tcPr>
            <w:tcW w:w="1682" w:type="dxa"/>
          </w:tcPr>
          <w:p w14:paraId="6CD64D7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Pr>
          <w:p w14:paraId="7467F1E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Pr>
          <w:p w14:paraId="52B812F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Pr>
          <w:p w14:paraId="7ABD7FA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2235F67" w14:textId="77777777" w:rsidTr="00EA0DA7">
        <w:tc>
          <w:tcPr>
            <w:tcW w:w="2802" w:type="dxa"/>
          </w:tcPr>
          <w:p w14:paraId="1C4CD3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скрость на расчетной высоте</w:t>
            </w:r>
          </w:p>
        </w:tc>
        <w:tc>
          <w:tcPr>
            <w:tcW w:w="1682" w:type="dxa"/>
          </w:tcPr>
          <w:p w14:paraId="4A6667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628/7200</w:t>
            </w:r>
          </w:p>
        </w:tc>
        <w:tc>
          <w:tcPr>
            <w:tcW w:w="1682" w:type="dxa"/>
          </w:tcPr>
          <w:p w14:paraId="559954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585/4800</w:t>
            </w:r>
          </w:p>
        </w:tc>
        <w:tc>
          <w:tcPr>
            <w:tcW w:w="1682" w:type="dxa"/>
          </w:tcPr>
          <w:p w14:paraId="763FFF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605/4950</w:t>
            </w:r>
          </w:p>
        </w:tc>
        <w:tc>
          <w:tcPr>
            <w:tcW w:w="1682" w:type="dxa"/>
          </w:tcPr>
          <w:p w14:paraId="103786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546/4600</w:t>
            </w:r>
          </w:p>
        </w:tc>
        <w:tc>
          <w:tcPr>
            <w:tcW w:w="1682" w:type="dxa"/>
          </w:tcPr>
          <w:p w14:paraId="3D3DAD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650/4950</w:t>
            </w:r>
          </w:p>
        </w:tc>
      </w:tr>
      <w:tr w:rsidR="00983732" w:rsidRPr="00A3026E" w14:paraId="4B601A3B" w14:textId="77777777" w:rsidTr="00EA0DA7">
        <w:tc>
          <w:tcPr>
            <w:tcW w:w="2802" w:type="dxa"/>
          </w:tcPr>
          <w:p w14:paraId="220FA9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5000 м</w:t>
            </w:r>
          </w:p>
        </w:tc>
        <w:tc>
          <w:tcPr>
            <w:tcW w:w="1682" w:type="dxa"/>
          </w:tcPr>
          <w:p w14:paraId="4DF74C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w:t>
            </w:r>
          </w:p>
        </w:tc>
        <w:tc>
          <w:tcPr>
            <w:tcW w:w="1682" w:type="dxa"/>
          </w:tcPr>
          <w:p w14:paraId="234D4B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1682" w:type="dxa"/>
          </w:tcPr>
          <w:p w14:paraId="6760C4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1682" w:type="dxa"/>
          </w:tcPr>
          <w:p w14:paraId="06584C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w:t>
            </w:r>
          </w:p>
        </w:tc>
        <w:tc>
          <w:tcPr>
            <w:tcW w:w="1682" w:type="dxa"/>
          </w:tcPr>
          <w:p w14:paraId="046901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r>
      <w:tr w:rsidR="00983732" w:rsidRPr="00A3026E" w14:paraId="5ADEE899" w14:textId="77777777" w:rsidTr="00EA0DA7">
        <w:tc>
          <w:tcPr>
            <w:tcW w:w="2802" w:type="dxa"/>
          </w:tcPr>
          <w:p w14:paraId="40DB2A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1682" w:type="dxa"/>
          </w:tcPr>
          <w:p w14:paraId="32F339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c>
          <w:tcPr>
            <w:tcW w:w="1682" w:type="dxa"/>
          </w:tcPr>
          <w:p w14:paraId="3802CE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10200</w:t>
            </w:r>
          </w:p>
        </w:tc>
        <w:tc>
          <w:tcPr>
            <w:tcW w:w="1682" w:type="dxa"/>
          </w:tcPr>
          <w:p w14:paraId="5EBB0F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9600</w:t>
            </w:r>
          </w:p>
        </w:tc>
        <w:tc>
          <w:tcPr>
            <w:tcW w:w="1682" w:type="dxa"/>
          </w:tcPr>
          <w:p w14:paraId="493C59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c>
          <w:tcPr>
            <w:tcW w:w="1682" w:type="dxa"/>
          </w:tcPr>
          <w:p w14:paraId="2B4396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r>
      <w:tr w:rsidR="00983732" w:rsidRPr="00A3026E" w14:paraId="4015C28E" w14:textId="77777777" w:rsidTr="00EA0DA7">
        <w:tc>
          <w:tcPr>
            <w:tcW w:w="2802" w:type="dxa"/>
          </w:tcPr>
          <w:p w14:paraId="348E2A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1682" w:type="dxa"/>
          </w:tcPr>
          <w:p w14:paraId="4D1164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w:t>
            </w:r>
          </w:p>
        </w:tc>
        <w:tc>
          <w:tcPr>
            <w:tcW w:w="1682" w:type="dxa"/>
          </w:tcPr>
          <w:p w14:paraId="2F4732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682" w:type="dxa"/>
          </w:tcPr>
          <w:p w14:paraId="596AE3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1682" w:type="dxa"/>
          </w:tcPr>
          <w:p w14:paraId="74981A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129</w:t>
            </w:r>
          </w:p>
        </w:tc>
        <w:tc>
          <w:tcPr>
            <w:tcW w:w="1682" w:type="dxa"/>
          </w:tcPr>
          <w:p w14:paraId="0A3576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149</w:t>
            </w:r>
          </w:p>
        </w:tc>
      </w:tr>
      <w:tr w:rsidR="00983732" w:rsidRPr="00A3026E" w14:paraId="39D165FE" w14:textId="77777777" w:rsidTr="00EA0DA7">
        <w:tc>
          <w:tcPr>
            <w:tcW w:w="2802" w:type="dxa"/>
          </w:tcPr>
          <w:p w14:paraId="1DD58B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w:t>
            </w:r>
          </w:p>
        </w:tc>
        <w:tc>
          <w:tcPr>
            <w:tcW w:w="1682" w:type="dxa"/>
          </w:tcPr>
          <w:p w14:paraId="246571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238</w:t>
            </w:r>
          </w:p>
        </w:tc>
        <w:tc>
          <w:tcPr>
            <w:tcW w:w="1682" w:type="dxa"/>
          </w:tcPr>
          <w:p w14:paraId="62AE6F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682" w:type="dxa"/>
          </w:tcPr>
          <w:p w14:paraId="58E892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w:t>
            </w:r>
          </w:p>
        </w:tc>
        <w:tc>
          <w:tcPr>
            <w:tcW w:w="1682" w:type="dxa"/>
          </w:tcPr>
          <w:p w14:paraId="6D52E8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w:t>
            </w:r>
          </w:p>
        </w:tc>
        <w:tc>
          <w:tcPr>
            <w:tcW w:w="1682" w:type="dxa"/>
          </w:tcPr>
          <w:p w14:paraId="20A6CB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69D0240" w14:textId="77777777" w:rsidTr="00EA0DA7">
        <w:tc>
          <w:tcPr>
            <w:tcW w:w="2802" w:type="dxa"/>
          </w:tcPr>
          <w:p w14:paraId="31429D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w:t>
            </w:r>
          </w:p>
        </w:tc>
        <w:tc>
          <w:tcPr>
            <w:tcW w:w="1682" w:type="dxa"/>
          </w:tcPr>
          <w:p w14:paraId="639315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1682" w:type="dxa"/>
          </w:tcPr>
          <w:p w14:paraId="1CB4EA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682" w:type="dxa"/>
          </w:tcPr>
          <w:p w14:paraId="639C60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w:t>
            </w:r>
          </w:p>
        </w:tc>
        <w:tc>
          <w:tcPr>
            <w:tcW w:w="1682" w:type="dxa"/>
          </w:tcPr>
          <w:p w14:paraId="013453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223</w:t>
            </w:r>
          </w:p>
        </w:tc>
        <w:tc>
          <w:tcPr>
            <w:tcW w:w="1682" w:type="dxa"/>
          </w:tcPr>
          <w:p w14:paraId="4F6DE9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7FA0501" w14:textId="77777777" w:rsidTr="00EA0DA7">
        <w:tc>
          <w:tcPr>
            <w:tcW w:w="2802" w:type="dxa"/>
          </w:tcPr>
          <w:p w14:paraId="106C22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w:t>
            </w:r>
          </w:p>
        </w:tc>
        <w:tc>
          <w:tcPr>
            <w:tcW w:w="1682" w:type="dxa"/>
          </w:tcPr>
          <w:p w14:paraId="1F67D2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c>
          <w:tcPr>
            <w:tcW w:w="1682" w:type="dxa"/>
          </w:tcPr>
          <w:p w14:paraId="6D0023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1682" w:type="dxa"/>
          </w:tcPr>
          <w:p w14:paraId="396FC2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w:t>
            </w:r>
          </w:p>
        </w:tc>
        <w:tc>
          <w:tcPr>
            <w:tcW w:w="1682" w:type="dxa"/>
          </w:tcPr>
          <w:p w14:paraId="0F95A0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682" w:type="dxa"/>
          </w:tcPr>
          <w:p w14:paraId="7A4083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9CE8D1C" w14:textId="77777777" w:rsidTr="00EA0DA7">
        <w:tc>
          <w:tcPr>
            <w:tcW w:w="2802" w:type="dxa"/>
          </w:tcPr>
          <w:p w14:paraId="6D9EBD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горючего кг</w:t>
            </w:r>
          </w:p>
        </w:tc>
        <w:tc>
          <w:tcPr>
            <w:tcW w:w="1682" w:type="dxa"/>
          </w:tcPr>
          <w:p w14:paraId="7DE12B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266</w:t>
            </w:r>
          </w:p>
        </w:tc>
        <w:tc>
          <w:tcPr>
            <w:tcW w:w="1682" w:type="dxa"/>
          </w:tcPr>
          <w:p w14:paraId="4242A7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w:t>
            </w:r>
          </w:p>
        </w:tc>
        <w:tc>
          <w:tcPr>
            <w:tcW w:w="1682" w:type="dxa"/>
          </w:tcPr>
          <w:p w14:paraId="12183C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1682" w:type="dxa"/>
          </w:tcPr>
          <w:p w14:paraId="46DDFD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276</w:t>
            </w:r>
          </w:p>
        </w:tc>
        <w:tc>
          <w:tcPr>
            <w:tcW w:w="1682" w:type="dxa"/>
          </w:tcPr>
          <w:p w14:paraId="4D60E8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w:t>
            </w:r>
          </w:p>
        </w:tc>
      </w:tr>
      <w:tr w:rsidR="00983732" w:rsidRPr="00A3026E" w14:paraId="2F0EE914" w14:textId="77777777" w:rsidTr="00EA0DA7">
        <w:tc>
          <w:tcPr>
            <w:tcW w:w="2802" w:type="dxa"/>
          </w:tcPr>
          <w:p w14:paraId="24081F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1682" w:type="dxa"/>
          </w:tcPr>
          <w:p w14:paraId="66BA95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2хШКАС (1500),1хБС (300)</w:t>
            </w:r>
          </w:p>
        </w:tc>
        <w:tc>
          <w:tcPr>
            <w:tcW w:w="1682" w:type="dxa"/>
          </w:tcPr>
          <w:p w14:paraId="1F15C9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2хШКАС (760), 1х20 (120)</w:t>
            </w:r>
          </w:p>
        </w:tc>
        <w:tc>
          <w:tcPr>
            <w:tcW w:w="1682" w:type="dxa"/>
          </w:tcPr>
          <w:p w14:paraId="21DE88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2хБС (460), 1х23 (81)</w:t>
            </w:r>
          </w:p>
        </w:tc>
        <w:tc>
          <w:tcPr>
            <w:tcW w:w="1682" w:type="dxa"/>
          </w:tcPr>
          <w:p w14:paraId="711794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2хпушки (120),2хпул (2000)</w:t>
            </w:r>
          </w:p>
        </w:tc>
        <w:tc>
          <w:tcPr>
            <w:tcW w:w="1682" w:type="dxa"/>
          </w:tcPr>
          <w:p w14:paraId="309A6B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3хпушки</w:t>
            </w:r>
          </w:p>
        </w:tc>
      </w:tr>
      <w:tr w:rsidR="00983732" w:rsidRPr="00A3026E" w14:paraId="21FA7F76" w14:textId="77777777" w:rsidTr="00EA0DA7">
        <w:tc>
          <w:tcPr>
            <w:tcW w:w="2802" w:type="dxa"/>
          </w:tcPr>
          <w:p w14:paraId="6A1079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на м2</w:t>
            </w:r>
          </w:p>
        </w:tc>
        <w:tc>
          <w:tcPr>
            <w:tcW w:w="1682" w:type="dxa"/>
          </w:tcPr>
          <w:p w14:paraId="15134B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tc>
        <w:tc>
          <w:tcPr>
            <w:tcW w:w="1682" w:type="dxa"/>
          </w:tcPr>
          <w:p w14:paraId="203F43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154</w:t>
            </w:r>
          </w:p>
        </w:tc>
        <w:tc>
          <w:tcPr>
            <w:tcW w:w="1682" w:type="dxa"/>
          </w:tcPr>
          <w:p w14:paraId="3616AD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168</w:t>
            </w:r>
          </w:p>
        </w:tc>
        <w:tc>
          <w:tcPr>
            <w:tcW w:w="1682" w:type="dxa"/>
          </w:tcPr>
          <w:p w14:paraId="1F14CE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w:t>
            </w:r>
          </w:p>
        </w:tc>
        <w:tc>
          <w:tcPr>
            <w:tcW w:w="1682" w:type="dxa"/>
          </w:tcPr>
          <w:p w14:paraId="7C3896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w:t>
            </w:r>
          </w:p>
        </w:tc>
      </w:tr>
      <w:tr w:rsidR="00983732" w:rsidRPr="00A3026E" w14:paraId="5BD1D1CD" w14:textId="77777777" w:rsidTr="00EA0DA7">
        <w:tc>
          <w:tcPr>
            <w:tcW w:w="2802" w:type="dxa"/>
          </w:tcPr>
          <w:p w14:paraId="21F8A6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Спуск</w:t>
            </w:r>
          </w:p>
        </w:tc>
        <w:tc>
          <w:tcPr>
            <w:tcW w:w="1682" w:type="dxa"/>
          </w:tcPr>
          <w:p w14:paraId="5B1119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пневмомеханика</w:t>
            </w:r>
          </w:p>
        </w:tc>
        <w:tc>
          <w:tcPr>
            <w:tcW w:w="1682" w:type="dxa"/>
          </w:tcPr>
          <w:p w14:paraId="3A1536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пневмомеханика</w:t>
            </w:r>
          </w:p>
        </w:tc>
        <w:tc>
          <w:tcPr>
            <w:tcW w:w="1682" w:type="dxa"/>
          </w:tcPr>
          <w:p w14:paraId="5AE66F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механика</w:t>
            </w:r>
          </w:p>
        </w:tc>
        <w:tc>
          <w:tcPr>
            <w:tcW w:w="1682" w:type="dxa"/>
          </w:tcPr>
          <w:p w14:paraId="5551BD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электоромеханика</w:t>
            </w:r>
          </w:p>
        </w:tc>
        <w:tc>
          <w:tcPr>
            <w:tcW w:w="1682" w:type="dxa"/>
          </w:tcPr>
          <w:p w14:paraId="3BEF064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C6B2FCD" w14:textId="77777777" w:rsidTr="00EA0DA7">
        <w:tc>
          <w:tcPr>
            <w:tcW w:w="2802" w:type="dxa"/>
          </w:tcPr>
          <w:p w14:paraId="1B6A7B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w:t>
            </w:r>
          </w:p>
        </w:tc>
        <w:tc>
          <w:tcPr>
            <w:tcW w:w="1682" w:type="dxa"/>
          </w:tcPr>
          <w:p w14:paraId="5F1BD7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ПАН-23</w:t>
            </w:r>
          </w:p>
        </w:tc>
        <w:tc>
          <w:tcPr>
            <w:tcW w:w="1682" w:type="dxa"/>
          </w:tcPr>
          <w:p w14:paraId="4A3321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ПАН-23</w:t>
            </w:r>
          </w:p>
        </w:tc>
        <w:tc>
          <w:tcPr>
            <w:tcW w:w="1682" w:type="dxa"/>
          </w:tcPr>
          <w:p w14:paraId="26A57EA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Pr>
          <w:p w14:paraId="35F7E4A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Pr>
          <w:p w14:paraId="020C497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F93D999" w14:textId="77777777" w:rsidTr="00EA0DA7">
        <w:tc>
          <w:tcPr>
            <w:tcW w:w="2802" w:type="dxa"/>
            <w:tcBorders>
              <w:bottom w:val="single" w:sz="12" w:space="0" w:color="auto"/>
            </w:tcBorders>
          </w:tcPr>
          <w:p w14:paraId="27158F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w:t>
            </w:r>
          </w:p>
        </w:tc>
        <w:tc>
          <w:tcPr>
            <w:tcW w:w="1682" w:type="dxa"/>
            <w:tcBorders>
              <w:bottom w:val="single" w:sz="12" w:space="0" w:color="auto"/>
            </w:tcBorders>
          </w:tcPr>
          <w:p w14:paraId="01323C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8хРС-82</w:t>
            </w:r>
          </w:p>
        </w:tc>
        <w:tc>
          <w:tcPr>
            <w:tcW w:w="1682" w:type="dxa"/>
            <w:tcBorders>
              <w:bottom w:val="single" w:sz="12" w:space="0" w:color="auto"/>
            </w:tcBorders>
          </w:tcPr>
          <w:p w14:paraId="7F3DEC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682" w:type="dxa"/>
            <w:tcBorders>
              <w:bottom w:val="single" w:sz="12" w:space="0" w:color="auto"/>
            </w:tcBorders>
          </w:tcPr>
          <w:p w14:paraId="05AE17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8хРС-82</w:t>
            </w:r>
          </w:p>
        </w:tc>
        <w:tc>
          <w:tcPr>
            <w:tcW w:w="1682" w:type="dxa"/>
            <w:tcBorders>
              <w:bottom w:val="single" w:sz="12" w:space="0" w:color="auto"/>
            </w:tcBorders>
          </w:tcPr>
          <w:p w14:paraId="02D3B5D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Borders>
              <w:bottom w:val="single" w:sz="12" w:space="0" w:color="auto"/>
            </w:tcBorders>
          </w:tcPr>
          <w:p w14:paraId="0EF4C77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460F9F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Взлетно-посадочные данные (при полетном весе 3099, ветре 1-2 м/с с аэродрома с твердым земляным грунтом с травяного покрова)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2471"/>
        <w:gridCol w:w="2471"/>
        <w:gridCol w:w="2471"/>
      </w:tblGrid>
      <w:tr w:rsidR="00983732" w:rsidRPr="00A3026E" w14:paraId="1C787DA0" w14:textId="77777777" w:rsidTr="00EA0DA7">
        <w:tc>
          <w:tcPr>
            <w:tcW w:w="3794" w:type="dxa"/>
            <w:tcBorders>
              <w:top w:val="single" w:sz="12" w:space="0" w:color="auto"/>
            </w:tcBorders>
          </w:tcPr>
          <w:p w14:paraId="6058284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71" w:type="dxa"/>
            <w:tcBorders>
              <w:top w:val="single" w:sz="12" w:space="0" w:color="auto"/>
            </w:tcBorders>
          </w:tcPr>
          <w:p w14:paraId="310CFD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2471" w:type="dxa"/>
            <w:tcBorders>
              <w:top w:val="single" w:sz="12" w:space="0" w:color="auto"/>
            </w:tcBorders>
          </w:tcPr>
          <w:p w14:paraId="5A6EF1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w:t>
            </w:r>
          </w:p>
        </w:tc>
        <w:tc>
          <w:tcPr>
            <w:tcW w:w="2471" w:type="dxa"/>
            <w:tcBorders>
              <w:top w:val="single" w:sz="12" w:space="0" w:color="auto"/>
            </w:tcBorders>
          </w:tcPr>
          <w:p w14:paraId="6D20C0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w:t>
            </w:r>
          </w:p>
        </w:tc>
      </w:tr>
      <w:tr w:rsidR="00983732" w:rsidRPr="00A3026E" w14:paraId="0F2209F7" w14:textId="77777777" w:rsidTr="00EA0DA7">
        <w:tc>
          <w:tcPr>
            <w:tcW w:w="3794" w:type="dxa"/>
          </w:tcPr>
          <w:p w14:paraId="557814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w:t>
            </w:r>
          </w:p>
        </w:tc>
        <w:tc>
          <w:tcPr>
            <w:tcW w:w="2471" w:type="dxa"/>
          </w:tcPr>
          <w:p w14:paraId="7AB7673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71" w:type="dxa"/>
          </w:tcPr>
          <w:p w14:paraId="690068D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71" w:type="dxa"/>
          </w:tcPr>
          <w:p w14:paraId="4FC3370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C5530B6" w14:textId="77777777" w:rsidTr="00EA0DA7">
        <w:tc>
          <w:tcPr>
            <w:tcW w:w="3794" w:type="dxa"/>
          </w:tcPr>
          <w:p w14:paraId="27E512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номинале без щитков</w:t>
            </w:r>
          </w:p>
        </w:tc>
        <w:tc>
          <w:tcPr>
            <w:tcW w:w="2471" w:type="dxa"/>
          </w:tcPr>
          <w:p w14:paraId="19F3A9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171</w:t>
            </w:r>
          </w:p>
        </w:tc>
        <w:tc>
          <w:tcPr>
            <w:tcW w:w="2471" w:type="dxa"/>
          </w:tcPr>
          <w:p w14:paraId="33AD7B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w:t>
            </w:r>
          </w:p>
        </w:tc>
        <w:tc>
          <w:tcPr>
            <w:tcW w:w="2471" w:type="dxa"/>
          </w:tcPr>
          <w:p w14:paraId="216A0B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454837D2" w14:textId="77777777" w:rsidTr="00EA0DA7">
        <w:tc>
          <w:tcPr>
            <w:tcW w:w="3794" w:type="dxa"/>
          </w:tcPr>
          <w:p w14:paraId="6B3AAE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номинале со щитками 15 гр</w:t>
            </w:r>
          </w:p>
        </w:tc>
        <w:tc>
          <w:tcPr>
            <w:tcW w:w="2471" w:type="dxa"/>
          </w:tcPr>
          <w:p w14:paraId="454EE6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162</w:t>
            </w:r>
          </w:p>
        </w:tc>
        <w:tc>
          <w:tcPr>
            <w:tcW w:w="2471" w:type="dxa"/>
          </w:tcPr>
          <w:p w14:paraId="7EF436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268</w:t>
            </w:r>
          </w:p>
        </w:tc>
        <w:tc>
          <w:tcPr>
            <w:tcW w:w="2471" w:type="dxa"/>
          </w:tcPr>
          <w:p w14:paraId="79CCEA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051C082F" w14:textId="77777777" w:rsidTr="00EA0DA7">
        <w:tc>
          <w:tcPr>
            <w:tcW w:w="3794" w:type="dxa"/>
          </w:tcPr>
          <w:p w14:paraId="7E9250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форсажем без щитков</w:t>
            </w:r>
          </w:p>
        </w:tc>
        <w:tc>
          <w:tcPr>
            <w:tcW w:w="2471" w:type="dxa"/>
          </w:tcPr>
          <w:p w14:paraId="4E18B7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163</w:t>
            </w:r>
          </w:p>
        </w:tc>
        <w:tc>
          <w:tcPr>
            <w:tcW w:w="2471" w:type="dxa"/>
          </w:tcPr>
          <w:p w14:paraId="254404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234</w:t>
            </w:r>
          </w:p>
        </w:tc>
        <w:tc>
          <w:tcPr>
            <w:tcW w:w="2471" w:type="dxa"/>
          </w:tcPr>
          <w:p w14:paraId="3D6FCD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w:t>
            </w:r>
          </w:p>
        </w:tc>
      </w:tr>
      <w:tr w:rsidR="00983732" w:rsidRPr="00A3026E" w14:paraId="0BFBE2A8" w14:textId="77777777" w:rsidTr="00EA0DA7">
        <w:tc>
          <w:tcPr>
            <w:tcW w:w="3794" w:type="dxa"/>
          </w:tcPr>
          <w:p w14:paraId="1F72AD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форсажем со щитками 15 гр</w:t>
            </w:r>
          </w:p>
        </w:tc>
        <w:tc>
          <w:tcPr>
            <w:tcW w:w="2471" w:type="dxa"/>
          </w:tcPr>
          <w:p w14:paraId="0D6C15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71" w:type="dxa"/>
          </w:tcPr>
          <w:p w14:paraId="067D3A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c>
          <w:tcPr>
            <w:tcW w:w="2471" w:type="dxa"/>
          </w:tcPr>
          <w:p w14:paraId="0D4786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r>
      <w:tr w:rsidR="00983732" w:rsidRPr="00A3026E" w14:paraId="0A3675D7" w14:textId="77777777" w:rsidTr="00EA0DA7">
        <w:tc>
          <w:tcPr>
            <w:tcW w:w="3794" w:type="dxa"/>
          </w:tcPr>
          <w:p w14:paraId="5932F4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w:t>
            </w:r>
          </w:p>
        </w:tc>
        <w:tc>
          <w:tcPr>
            <w:tcW w:w="2471" w:type="dxa"/>
          </w:tcPr>
          <w:p w14:paraId="12CFA9C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71" w:type="dxa"/>
          </w:tcPr>
          <w:p w14:paraId="43B0782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71" w:type="dxa"/>
          </w:tcPr>
          <w:p w14:paraId="63FD5F1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3B6BE38" w14:textId="77777777" w:rsidTr="00EA0DA7">
        <w:tc>
          <w:tcPr>
            <w:tcW w:w="3794" w:type="dxa"/>
          </w:tcPr>
          <w:p w14:paraId="665363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тормозами и щитками</w:t>
            </w:r>
          </w:p>
        </w:tc>
        <w:tc>
          <w:tcPr>
            <w:tcW w:w="2471" w:type="dxa"/>
          </w:tcPr>
          <w:p w14:paraId="281211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71" w:type="dxa"/>
          </w:tcPr>
          <w:p w14:paraId="58481A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2471" w:type="dxa"/>
          </w:tcPr>
          <w:p w14:paraId="612E99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18,6</w:t>
            </w:r>
          </w:p>
        </w:tc>
      </w:tr>
      <w:tr w:rsidR="00983732" w:rsidRPr="00A3026E" w14:paraId="7229D9F2" w14:textId="77777777" w:rsidTr="00EA0DA7">
        <w:tc>
          <w:tcPr>
            <w:tcW w:w="3794" w:type="dxa"/>
          </w:tcPr>
          <w:p w14:paraId="24AC3B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тормозов со щитками</w:t>
            </w:r>
          </w:p>
        </w:tc>
        <w:tc>
          <w:tcPr>
            <w:tcW w:w="2471" w:type="dxa"/>
          </w:tcPr>
          <w:p w14:paraId="7E78DF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w:t>
            </w:r>
          </w:p>
        </w:tc>
        <w:tc>
          <w:tcPr>
            <w:tcW w:w="2471" w:type="dxa"/>
          </w:tcPr>
          <w:p w14:paraId="7E22A1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710</w:t>
            </w:r>
          </w:p>
        </w:tc>
        <w:tc>
          <w:tcPr>
            <w:tcW w:w="2471" w:type="dxa"/>
          </w:tcPr>
          <w:p w14:paraId="119091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47,0</w:t>
            </w:r>
          </w:p>
        </w:tc>
      </w:tr>
      <w:tr w:rsidR="00983732" w:rsidRPr="00A3026E" w14:paraId="392F1CE5" w14:textId="77777777" w:rsidTr="00EA0DA7">
        <w:tc>
          <w:tcPr>
            <w:tcW w:w="3794" w:type="dxa"/>
          </w:tcPr>
          <w:p w14:paraId="4A9B16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тормозами без щитков</w:t>
            </w:r>
          </w:p>
        </w:tc>
        <w:tc>
          <w:tcPr>
            <w:tcW w:w="2471" w:type="dxa"/>
          </w:tcPr>
          <w:p w14:paraId="3ACC09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71" w:type="dxa"/>
          </w:tcPr>
          <w:p w14:paraId="40942C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2471" w:type="dxa"/>
          </w:tcPr>
          <w:p w14:paraId="0F75E7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r>
      <w:tr w:rsidR="00983732" w:rsidRPr="00A3026E" w14:paraId="6C610A21" w14:textId="77777777" w:rsidTr="00EA0DA7">
        <w:tc>
          <w:tcPr>
            <w:tcW w:w="3794" w:type="dxa"/>
            <w:tcBorders>
              <w:bottom w:val="single" w:sz="12" w:space="0" w:color="auto"/>
            </w:tcBorders>
          </w:tcPr>
          <w:p w14:paraId="5F7458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тормозов и щитков</w:t>
            </w:r>
          </w:p>
        </w:tc>
        <w:tc>
          <w:tcPr>
            <w:tcW w:w="2471" w:type="dxa"/>
            <w:tcBorders>
              <w:bottom w:val="single" w:sz="12" w:space="0" w:color="auto"/>
            </w:tcBorders>
          </w:tcPr>
          <w:p w14:paraId="0D699D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71" w:type="dxa"/>
            <w:tcBorders>
              <w:bottom w:val="single" w:sz="12" w:space="0" w:color="auto"/>
            </w:tcBorders>
          </w:tcPr>
          <w:p w14:paraId="27CC68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2471" w:type="dxa"/>
            <w:tcBorders>
              <w:bottom w:val="single" w:sz="12" w:space="0" w:color="auto"/>
            </w:tcBorders>
          </w:tcPr>
          <w:p w14:paraId="67CE32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r>
    </w:tbl>
    <w:p w14:paraId="61CE95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4D5A0A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 И-200 с АМ-35А конструкции Ми и Г производства з-да № 1 по своей скорости, равной 628 км/час, является лучшим из отечественных опытных с-тов и не уступает одноместным иностранным истребителям на высотах до 5000 м</w:t>
      </w:r>
    </w:p>
    <w:p w14:paraId="125757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Недостатки:</w:t>
      </w:r>
    </w:p>
    <w:p w14:paraId="3BC771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конструкции</w:t>
      </w:r>
    </w:p>
    <w:p w14:paraId="6D46FB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Козырек кабины пилота искажает обзор и забрызгивается маслом, что в сильной степени усложняет ведение в/боя и утомляет л в полете.</w:t>
      </w:r>
    </w:p>
    <w:p w14:paraId="572ED3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Колеса размером 600х180, установленные на с-те, не соответствуют его полетному весу. Тормоза не имеют достаточного охлаждения, в результате чего происходит перегрев колес т разрушение пневматиков шин (2 случая)</w:t>
      </w:r>
    </w:p>
    <w:p w14:paraId="3A861A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 ВМГ</w:t>
      </w:r>
    </w:p>
    <w:p w14:paraId="45B25D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w:t>
      </w:r>
    </w:p>
    <w:p w14:paraId="66C6B8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бензосистема слоджная и неудобная для с-тов истребительного типа, т.к. требует большого внимания для своевременного переключения кранов б/б и не обеспечивает равномерной выработки горючего из центропланных баков.</w:t>
      </w:r>
    </w:p>
    <w:p w14:paraId="709A43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Заливку всех б/б осоществлять через одну общую горловину, для чкго соответственно увеличить бензопровод между баками, а также обеспечения равномерности выработки из центропланных баков.</w:t>
      </w:r>
    </w:p>
    <w:p w14:paraId="691605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Водорадиатор з-да № 34 с трубками 10 мм и 6 мм рпаботает неудовлетворительно (течь воды). Радиатору необходимо пройти госиспытания (300 посадок и 15 полетов на расчетной высоте).</w:t>
      </w:r>
    </w:p>
    <w:p w14:paraId="0CD9D4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Техническая дальность с-та на скорости 0,9 равна 580 км и меньше на 70 км от заданной. Таким образом, с учетом пробы мотора, руления и взлета, необходимо иметь резерв в 10% с-т может практически летать на радиус 200-240 км, что явно недостаточно.</w:t>
      </w:r>
    </w:p>
    <w:p w14:paraId="1BC29F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Винт ВИШ-22Е с диапазоном углов поворота 20 гр совершенно не соответствует мотору АМ-53А на с-те И-200, т.к. граница высотности мотора в полете 7200 м, винт раскручивается до 2150-2200 вместо номинальных 2050 оборотов.</w:t>
      </w:r>
    </w:p>
    <w:p w14:paraId="14740A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пикировании при скорости638 км/час обороты достигают 2400-2500</w:t>
      </w:r>
    </w:p>
    <w:p w14:paraId="42B692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Редукция мотора не является наивыгоднейшей (с-т по расчету не добирает 14 км/час).</w:t>
      </w:r>
    </w:p>
    <w:p w14:paraId="712796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Выхлопные патрубки даже частично не утоплены, на чем теряется скорость.</w:t>
      </w:r>
    </w:p>
    <w:p w14:paraId="16B832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После 9 полетов на с-те И-200 № 2 на моторе АВ-35А № 172 произошла авария нагнетателя (разрушился подтяг валика крыльчатки). Этот эффект имел место неоднократно и при сдаточных испытаниях мотора на станке на заводе № 24</w:t>
      </w:r>
    </w:p>
    <w:p w14:paraId="3386A9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провести специальные 50-часовые летные испытания.</w:t>
      </w:r>
    </w:p>
    <w:p w14:paraId="502199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Мотора на Рк 500-550 в полете на скорости 290-320 км/час имеет малую приемистость и переходы ненадежно и трясут</w:t>
      </w:r>
    </w:p>
    <w:p w14:paraId="341AC7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Наличие на моторе АМ-35А двух секторов газа - нормального и форсажного - весьма неудобно при взлете с форсажем (в момент взлета необходимо переключаться с ручки номинальной на форсажную и обратно).</w:t>
      </w:r>
    </w:p>
    <w:p w14:paraId="025DBE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Сьрелковое вооружение работало ненадежно, в эксплуатации не удобно. Синхронизаторы являются опытными. Необходимо провести дополнительные испытания на живучесть.</w:t>
      </w:r>
    </w:p>
    <w:p w14:paraId="6153BE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Мощность стрелкового вооружения недостаточна.</w:t>
      </w:r>
    </w:p>
    <w:p w14:paraId="64D124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Спецоборудование соответствует ТТТ</w:t>
      </w:r>
    </w:p>
    <w:p w14:paraId="4669AA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эксплуатационной оценке с-та</w:t>
      </w:r>
    </w:p>
    <w:p w14:paraId="5ECD79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Съем и установка мотора требуют 130 чел/час, т.е. почти в 2 раза больше, чем на И-21 и Хе-100.</w:t>
      </w:r>
    </w:p>
    <w:p w14:paraId="0BCBE4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Подходы к агрегатам мотора неудобны</w:t>
      </w:r>
    </w:p>
    <w:p w14:paraId="27FF38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обеспечить влезание л в кабину без металлической лестницы и т.д.</w:t>
      </w:r>
    </w:p>
    <w:p w14:paraId="0517E5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0C4D3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Самолет И-200 АМ-35А конструкции А.И.М. и Гуревича производства завода 1, как удовлетворяющий по своим ЛД ТТТ и испытанный на пилотаж и штопор до 2-х витков, гос. испытания выдержал.</w:t>
      </w:r>
    </w:p>
    <w:p w14:paraId="19F0D5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Учитывая острую необходимость снабжения частей ВВС истребителями с ЛД И-200, считать необходимым скорейшее проведение войсковых испытаний в том виде, как они проходили гос. испытания, но с обязательным устранением дефектов, выявленных на гос. испытаниях и перечисленных в отчете</w:t>
      </w:r>
    </w:p>
    <w:p w14:paraId="472CC0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Для обеспечения И-200 надежно работающими моторами необходимо провести специальные 50 час. испытания мотора АМ-35А в полете на И-200.</w:t>
      </w:r>
    </w:p>
    <w:p w14:paraId="1AEC98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заводу 1 надлежит провести полное исследование штопора И-200 и испытать на пикирование с новым винтом</w:t>
      </w:r>
    </w:p>
    <w:p w14:paraId="01AA09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Для того, чтобы сделать И-200 как массовый самолет, вполне доступным для л ниже средней квалификации и повысить его живучесть, боеготовность и ЛТД, конструкторам надлежит немедленно приступить к изготовлению И-200, на котором:</w:t>
      </w:r>
    </w:p>
    <w:p w14:paraId="732C05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повысить продольную устойчивость и вместе с тем обязательно обеспечить его управления, сделав приятным в управлении</w:t>
      </w:r>
    </w:p>
    <w:p w14:paraId="7AE0F3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увеличить поперечную устойчивость</w:t>
      </w:r>
    </w:p>
    <w:p w14:paraId="22F84C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запроектировать центропланные бензобаки</w:t>
      </w:r>
    </w:p>
    <w:p w14:paraId="2AA5A8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установить предкрылки, новые колеса размером согласно приказа НКАП, удовлетворяющим весу и пневматик на хвостовом колесе</w:t>
      </w:r>
    </w:p>
    <w:p w14:paraId="304AE4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обеспечить быструю замену мотора, легкосъемность капота, удобство замены элеронов и выхлопных патрубков</w:t>
      </w:r>
    </w:p>
    <w:p w14:paraId="443EE6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установить дополнительно 2 легкосъемных пулемета Березина</w:t>
      </w:r>
    </w:p>
    <w:p w14:paraId="3C0B25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увеличить запас горючего, доведя дальность в нормальном варианте до не менее, чем 560 км на 0.9 макс. (2925).</w:t>
      </w:r>
    </w:p>
    <w:p w14:paraId="129E4D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 Нач. НИИ ВВС Филин</w:t>
      </w:r>
    </w:p>
    <w:p w14:paraId="5E2211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Центровочные данные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559"/>
        <w:gridCol w:w="1418"/>
      </w:tblGrid>
      <w:tr w:rsidR="00983732" w:rsidRPr="00A3026E" w14:paraId="35BDA28E" w14:textId="77777777" w:rsidTr="00EA0DA7">
        <w:tc>
          <w:tcPr>
            <w:tcW w:w="3227" w:type="dxa"/>
            <w:tcBorders>
              <w:top w:val="single" w:sz="12" w:space="0" w:color="auto"/>
            </w:tcBorders>
          </w:tcPr>
          <w:p w14:paraId="5C01EB3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559" w:type="dxa"/>
            <w:tcBorders>
              <w:top w:val="single" w:sz="12" w:space="0" w:color="auto"/>
            </w:tcBorders>
          </w:tcPr>
          <w:p w14:paraId="50A883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ЦТ шасси убраны</w:t>
            </w:r>
          </w:p>
        </w:tc>
        <w:tc>
          <w:tcPr>
            <w:tcW w:w="1418" w:type="dxa"/>
            <w:tcBorders>
              <w:top w:val="single" w:sz="12" w:space="0" w:color="auto"/>
            </w:tcBorders>
          </w:tcPr>
          <w:p w14:paraId="6BD06B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ЦТ шасси выпущены</w:t>
            </w:r>
          </w:p>
        </w:tc>
      </w:tr>
      <w:tr w:rsidR="00983732" w:rsidRPr="00A3026E" w14:paraId="29FC8D8B" w14:textId="77777777" w:rsidTr="00EA0DA7">
        <w:tc>
          <w:tcPr>
            <w:tcW w:w="3227" w:type="dxa"/>
          </w:tcPr>
          <w:p w14:paraId="4711FB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(с пулеметами, бронспинкой, водой в радиаторе) - 2574 кг</w:t>
            </w:r>
          </w:p>
        </w:tc>
        <w:tc>
          <w:tcPr>
            <w:tcW w:w="1559" w:type="dxa"/>
          </w:tcPr>
          <w:p w14:paraId="17F2D5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21,03</w:t>
            </w:r>
          </w:p>
        </w:tc>
        <w:tc>
          <w:tcPr>
            <w:tcW w:w="1418" w:type="dxa"/>
          </w:tcPr>
          <w:p w14:paraId="59FF16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20,63</w:t>
            </w:r>
          </w:p>
        </w:tc>
      </w:tr>
      <w:tr w:rsidR="00983732" w:rsidRPr="00A3026E" w14:paraId="12BF240B" w14:textId="77777777" w:rsidTr="00EA0DA7">
        <w:tc>
          <w:tcPr>
            <w:tcW w:w="3227" w:type="dxa"/>
          </w:tcPr>
          <w:p w14:paraId="58CECB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Нормальный полетный - 3099 кг</w:t>
            </w:r>
          </w:p>
        </w:tc>
        <w:tc>
          <w:tcPr>
            <w:tcW w:w="1559" w:type="dxa"/>
          </w:tcPr>
          <w:p w14:paraId="1054D0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26,3</w:t>
            </w:r>
          </w:p>
        </w:tc>
        <w:tc>
          <w:tcPr>
            <w:tcW w:w="1418" w:type="dxa"/>
          </w:tcPr>
          <w:p w14:paraId="20D126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25,99</w:t>
            </w:r>
          </w:p>
        </w:tc>
      </w:tr>
      <w:tr w:rsidR="00983732" w:rsidRPr="00A3026E" w14:paraId="2E46B660" w14:textId="77777777" w:rsidTr="00EA0DA7">
        <w:tc>
          <w:tcPr>
            <w:tcW w:w="3227" w:type="dxa"/>
          </w:tcPr>
          <w:p w14:paraId="49D673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Перегрузочный (220 бомб, ухваты и замки) - 3327 кг</w:t>
            </w:r>
          </w:p>
        </w:tc>
        <w:tc>
          <w:tcPr>
            <w:tcW w:w="1559" w:type="dxa"/>
          </w:tcPr>
          <w:p w14:paraId="430D02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25,6</w:t>
            </w:r>
          </w:p>
        </w:tc>
        <w:tc>
          <w:tcPr>
            <w:tcW w:w="1418" w:type="dxa"/>
          </w:tcPr>
          <w:p w14:paraId="653145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25,2</w:t>
            </w:r>
          </w:p>
        </w:tc>
      </w:tr>
      <w:tr w:rsidR="00983732" w:rsidRPr="00A3026E" w14:paraId="7A76D57C" w14:textId="77777777" w:rsidTr="00EA0DA7">
        <w:tc>
          <w:tcPr>
            <w:tcW w:w="3227" w:type="dxa"/>
            <w:tcBorders>
              <w:bottom w:val="single" w:sz="12" w:space="0" w:color="auto"/>
            </w:tcBorders>
          </w:tcPr>
          <w:p w14:paraId="69CF4D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Нормалььный полетный с металлическим крылом - 3133</w:t>
            </w:r>
          </w:p>
        </w:tc>
        <w:tc>
          <w:tcPr>
            <w:tcW w:w="1559" w:type="dxa"/>
            <w:tcBorders>
              <w:bottom w:val="single" w:sz="12" w:space="0" w:color="auto"/>
            </w:tcBorders>
          </w:tcPr>
          <w:p w14:paraId="50DE06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26,2</w:t>
            </w:r>
          </w:p>
        </w:tc>
        <w:tc>
          <w:tcPr>
            <w:tcW w:w="1418" w:type="dxa"/>
            <w:tcBorders>
              <w:bottom w:val="single" w:sz="12" w:space="0" w:color="auto"/>
            </w:tcBorders>
          </w:tcPr>
          <w:p w14:paraId="70BC14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25,8</w:t>
            </w:r>
          </w:p>
        </w:tc>
      </w:tr>
    </w:tbl>
    <w:p w14:paraId="3BE8EE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гор. скорость (с-т И-200 № 6102 с АМ-35А).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993"/>
        <w:gridCol w:w="992"/>
      </w:tblGrid>
      <w:tr w:rsidR="00983732" w:rsidRPr="00A3026E" w14:paraId="64104D0A" w14:textId="77777777" w:rsidTr="00EA0DA7">
        <w:tc>
          <w:tcPr>
            <w:tcW w:w="1809" w:type="dxa"/>
            <w:tcBorders>
              <w:top w:val="single" w:sz="12" w:space="0" w:color="auto"/>
            </w:tcBorders>
          </w:tcPr>
          <w:p w14:paraId="720554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w:t>
            </w:r>
          </w:p>
        </w:tc>
        <w:tc>
          <w:tcPr>
            <w:tcW w:w="993" w:type="dxa"/>
            <w:tcBorders>
              <w:top w:val="single" w:sz="12" w:space="0" w:color="auto"/>
            </w:tcBorders>
          </w:tcPr>
          <w:p w14:paraId="519958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992" w:type="dxa"/>
            <w:tcBorders>
              <w:top w:val="single" w:sz="12" w:space="0" w:color="auto"/>
            </w:tcBorders>
          </w:tcPr>
          <w:p w14:paraId="02F09E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Рк</w:t>
            </w:r>
          </w:p>
        </w:tc>
      </w:tr>
      <w:tr w:rsidR="00983732" w:rsidRPr="00A3026E" w14:paraId="5AAFDFAD" w14:textId="77777777" w:rsidTr="00EA0DA7">
        <w:tc>
          <w:tcPr>
            <w:tcW w:w="1809" w:type="dxa"/>
          </w:tcPr>
          <w:p w14:paraId="60685F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c>
          <w:tcPr>
            <w:tcW w:w="993" w:type="dxa"/>
          </w:tcPr>
          <w:p w14:paraId="1F24FE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c>
          <w:tcPr>
            <w:tcW w:w="992" w:type="dxa"/>
          </w:tcPr>
          <w:p w14:paraId="693614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2FFC405F" w14:textId="77777777" w:rsidTr="00EA0DA7">
        <w:tc>
          <w:tcPr>
            <w:tcW w:w="1809" w:type="dxa"/>
          </w:tcPr>
          <w:p w14:paraId="2824E2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93" w:type="dxa"/>
          </w:tcPr>
          <w:p w14:paraId="2A22EB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506</w:t>
            </w:r>
          </w:p>
        </w:tc>
        <w:tc>
          <w:tcPr>
            <w:tcW w:w="992" w:type="dxa"/>
          </w:tcPr>
          <w:p w14:paraId="189F3D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56D78BCC" w14:textId="77777777" w:rsidTr="00EA0DA7">
        <w:tc>
          <w:tcPr>
            <w:tcW w:w="1809" w:type="dxa"/>
          </w:tcPr>
          <w:p w14:paraId="7B3E4A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993" w:type="dxa"/>
          </w:tcPr>
          <w:p w14:paraId="1FC600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526</w:t>
            </w:r>
          </w:p>
        </w:tc>
        <w:tc>
          <w:tcPr>
            <w:tcW w:w="992" w:type="dxa"/>
          </w:tcPr>
          <w:p w14:paraId="0A0AAE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1F9B98B1" w14:textId="77777777" w:rsidTr="00EA0DA7">
        <w:tc>
          <w:tcPr>
            <w:tcW w:w="1809" w:type="dxa"/>
          </w:tcPr>
          <w:p w14:paraId="261B07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993" w:type="dxa"/>
          </w:tcPr>
          <w:p w14:paraId="7609CC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546</w:t>
            </w:r>
          </w:p>
        </w:tc>
        <w:tc>
          <w:tcPr>
            <w:tcW w:w="992" w:type="dxa"/>
          </w:tcPr>
          <w:p w14:paraId="70E516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64B6543A" w14:textId="77777777" w:rsidTr="00EA0DA7">
        <w:tc>
          <w:tcPr>
            <w:tcW w:w="1809" w:type="dxa"/>
          </w:tcPr>
          <w:p w14:paraId="2F3D80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993" w:type="dxa"/>
          </w:tcPr>
          <w:p w14:paraId="657617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566,5</w:t>
            </w:r>
          </w:p>
        </w:tc>
        <w:tc>
          <w:tcPr>
            <w:tcW w:w="992" w:type="dxa"/>
          </w:tcPr>
          <w:p w14:paraId="7E74DF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6A9750A8" w14:textId="77777777" w:rsidTr="00EA0DA7">
        <w:tc>
          <w:tcPr>
            <w:tcW w:w="1809" w:type="dxa"/>
          </w:tcPr>
          <w:p w14:paraId="41CA27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w:t>
            </w:r>
          </w:p>
        </w:tc>
        <w:tc>
          <w:tcPr>
            <w:tcW w:w="993" w:type="dxa"/>
          </w:tcPr>
          <w:p w14:paraId="0359A7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586</w:t>
            </w:r>
          </w:p>
        </w:tc>
        <w:tc>
          <w:tcPr>
            <w:tcW w:w="992" w:type="dxa"/>
          </w:tcPr>
          <w:p w14:paraId="218AF2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0BB2DC4D" w14:textId="77777777" w:rsidTr="00EA0DA7">
        <w:tc>
          <w:tcPr>
            <w:tcW w:w="1809" w:type="dxa"/>
          </w:tcPr>
          <w:p w14:paraId="49FE2A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993" w:type="dxa"/>
          </w:tcPr>
          <w:p w14:paraId="36C298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606</w:t>
            </w:r>
          </w:p>
        </w:tc>
        <w:tc>
          <w:tcPr>
            <w:tcW w:w="992" w:type="dxa"/>
          </w:tcPr>
          <w:p w14:paraId="624EFF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0FBFE62B" w14:textId="77777777" w:rsidTr="00EA0DA7">
        <w:tc>
          <w:tcPr>
            <w:tcW w:w="1809" w:type="dxa"/>
          </w:tcPr>
          <w:p w14:paraId="67BA2A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7000</w:t>
            </w:r>
          </w:p>
        </w:tc>
        <w:tc>
          <w:tcPr>
            <w:tcW w:w="993" w:type="dxa"/>
          </w:tcPr>
          <w:p w14:paraId="6C02F0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626,5</w:t>
            </w:r>
          </w:p>
        </w:tc>
        <w:tc>
          <w:tcPr>
            <w:tcW w:w="992" w:type="dxa"/>
          </w:tcPr>
          <w:p w14:paraId="47CC9D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2B1BB721" w14:textId="77777777" w:rsidTr="00EA0DA7">
        <w:tc>
          <w:tcPr>
            <w:tcW w:w="1809" w:type="dxa"/>
          </w:tcPr>
          <w:p w14:paraId="4FEDC0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7200</w:t>
            </w:r>
          </w:p>
        </w:tc>
        <w:tc>
          <w:tcPr>
            <w:tcW w:w="993" w:type="dxa"/>
          </w:tcPr>
          <w:p w14:paraId="6EF960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w:t>
            </w:r>
          </w:p>
        </w:tc>
        <w:tc>
          <w:tcPr>
            <w:tcW w:w="992" w:type="dxa"/>
          </w:tcPr>
          <w:p w14:paraId="7005D7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469923DD" w14:textId="77777777" w:rsidTr="00EA0DA7">
        <w:tc>
          <w:tcPr>
            <w:tcW w:w="1809" w:type="dxa"/>
          </w:tcPr>
          <w:p w14:paraId="614D3D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c>
          <w:tcPr>
            <w:tcW w:w="993" w:type="dxa"/>
          </w:tcPr>
          <w:p w14:paraId="6B3315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614</w:t>
            </w:r>
          </w:p>
        </w:tc>
        <w:tc>
          <w:tcPr>
            <w:tcW w:w="992" w:type="dxa"/>
          </w:tcPr>
          <w:p w14:paraId="21C2BB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918</w:t>
            </w:r>
          </w:p>
        </w:tc>
      </w:tr>
      <w:tr w:rsidR="00983732" w:rsidRPr="00A3026E" w14:paraId="0AEFA9E2" w14:textId="77777777" w:rsidTr="00EA0DA7">
        <w:tc>
          <w:tcPr>
            <w:tcW w:w="1809" w:type="dxa"/>
            <w:tcBorders>
              <w:bottom w:val="single" w:sz="12" w:space="0" w:color="auto"/>
            </w:tcBorders>
          </w:tcPr>
          <w:p w14:paraId="7C019E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c>
          <w:tcPr>
            <w:tcW w:w="993" w:type="dxa"/>
            <w:tcBorders>
              <w:bottom w:val="single" w:sz="12" w:space="0" w:color="auto"/>
            </w:tcBorders>
          </w:tcPr>
          <w:p w14:paraId="65272D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594,5</w:t>
            </w:r>
          </w:p>
        </w:tc>
        <w:tc>
          <w:tcPr>
            <w:tcW w:w="992" w:type="dxa"/>
            <w:tcBorders>
              <w:bottom w:val="single" w:sz="12" w:space="0" w:color="auto"/>
            </w:tcBorders>
          </w:tcPr>
          <w:p w14:paraId="2AFB6F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790</w:t>
            </w:r>
          </w:p>
        </w:tc>
      </w:tr>
    </w:tbl>
    <w:p w14:paraId="2754F6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 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134"/>
        <w:gridCol w:w="1276"/>
        <w:gridCol w:w="1134"/>
        <w:gridCol w:w="1134"/>
      </w:tblGrid>
      <w:tr w:rsidR="00983732" w:rsidRPr="00A3026E" w14:paraId="768D8F8D" w14:textId="77777777" w:rsidTr="00EA0DA7">
        <w:tc>
          <w:tcPr>
            <w:tcW w:w="1526" w:type="dxa"/>
            <w:tcBorders>
              <w:top w:val="single" w:sz="12" w:space="0" w:color="auto"/>
            </w:tcBorders>
          </w:tcPr>
          <w:p w14:paraId="017E9D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w:t>
            </w:r>
          </w:p>
        </w:tc>
        <w:tc>
          <w:tcPr>
            <w:tcW w:w="1134" w:type="dxa"/>
            <w:tcBorders>
              <w:top w:val="single" w:sz="12" w:space="0" w:color="auto"/>
            </w:tcBorders>
          </w:tcPr>
          <w:p w14:paraId="717497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Гор.скорость</w:t>
            </w:r>
          </w:p>
        </w:tc>
        <w:tc>
          <w:tcPr>
            <w:tcW w:w="1276" w:type="dxa"/>
            <w:tcBorders>
              <w:top w:val="single" w:sz="12" w:space="0" w:color="auto"/>
            </w:tcBorders>
          </w:tcPr>
          <w:p w14:paraId="20DD0C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w:t>
            </w:r>
          </w:p>
        </w:tc>
        <w:tc>
          <w:tcPr>
            <w:tcW w:w="1134" w:type="dxa"/>
            <w:tcBorders>
              <w:top w:val="single" w:sz="12" w:space="0" w:color="auto"/>
            </w:tcBorders>
          </w:tcPr>
          <w:p w14:paraId="5B2586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Гор.скорость</w:t>
            </w:r>
          </w:p>
        </w:tc>
        <w:tc>
          <w:tcPr>
            <w:tcW w:w="1134" w:type="dxa"/>
            <w:tcBorders>
              <w:top w:val="single" w:sz="12" w:space="0" w:color="auto"/>
            </w:tcBorders>
          </w:tcPr>
          <w:p w14:paraId="499F12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Рк</w:t>
            </w:r>
          </w:p>
        </w:tc>
      </w:tr>
      <w:tr w:rsidR="00983732" w:rsidRPr="00A3026E" w14:paraId="09FFFF41" w14:textId="77777777" w:rsidTr="00EA0DA7">
        <w:tc>
          <w:tcPr>
            <w:tcW w:w="1526" w:type="dxa"/>
          </w:tcPr>
          <w:p w14:paraId="2FC8F8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c>
          <w:tcPr>
            <w:tcW w:w="1134" w:type="dxa"/>
          </w:tcPr>
          <w:p w14:paraId="4C027A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276" w:type="dxa"/>
          </w:tcPr>
          <w:p w14:paraId="162B41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c>
          <w:tcPr>
            <w:tcW w:w="1134" w:type="dxa"/>
          </w:tcPr>
          <w:p w14:paraId="147FCF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064116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42EEBAD1" w14:textId="77777777" w:rsidTr="00EA0DA7">
        <w:tc>
          <w:tcPr>
            <w:tcW w:w="1526" w:type="dxa"/>
          </w:tcPr>
          <w:p w14:paraId="3CF01E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134" w:type="dxa"/>
          </w:tcPr>
          <w:p w14:paraId="62C396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1276" w:type="dxa"/>
          </w:tcPr>
          <w:p w14:paraId="047425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c>
          <w:tcPr>
            <w:tcW w:w="1134" w:type="dxa"/>
          </w:tcPr>
          <w:p w14:paraId="76C2E3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2D9B89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2F6C01C3" w14:textId="77777777" w:rsidTr="00EA0DA7">
        <w:tc>
          <w:tcPr>
            <w:tcW w:w="1526" w:type="dxa"/>
          </w:tcPr>
          <w:p w14:paraId="5B81C3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134" w:type="dxa"/>
          </w:tcPr>
          <w:p w14:paraId="1C25F0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15,55</w:t>
            </w:r>
          </w:p>
        </w:tc>
        <w:tc>
          <w:tcPr>
            <w:tcW w:w="1276" w:type="dxa"/>
          </w:tcPr>
          <w:p w14:paraId="768F9E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1134" w:type="dxa"/>
          </w:tcPr>
          <w:p w14:paraId="7EAD4E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59B5D2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50572727" w14:textId="77777777" w:rsidTr="00EA0DA7">
        <w:tc>
          <w:tcPr>
            <w:tcW w:w="1526" w:type="dxa"/>
          </w:tcPr>
          <w:p w14:paraId="5D8C65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1134" w:type="dxa"/>
          </w:tcPr>
          <w:p w14:paraId="6E0FEA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15,9</w:t>
            </w:r>
          </w:p>
        </w:tc>
        <w:tc>
          <w:tcPr>
            <w:tcW w:w="1276" w:type="dxa"/>
          </w:tcPr>
          <w:p w14:paraId="73955F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3,24</w:t>
            </w:r>
          </w:p>
        </w:tc>
        <w:tc>
          <w:tcPr>
            <w:tcW w:w="1134" w:type="dxa"/>
          </w:tcPr>
          <w:p w14:paraId="448D2D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7713DE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5AE52A80" w14:textId="77777777" w:rsidTr="00EA0DA7">
        <w:tc>
          <w:tcPr>
            <w:tcW w:w="1526" w:type="dxa"/>
          </w:tcPr>
          <w:p w14:paraId="3A85E4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134" w:type="dxa"/>
          </w:tcPr>
          <w:p w14:paraId="3D9BDA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16,9</w:t>
            </w:r>
          </w:p>
        </w:tc>
        <w:tc>
          <w:tcPr>
            <w:tcW w:w="1276" w:type="dxa"/>
          </w:tcPr>
          <w:p w14:paraId="1F18EA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4,28</w:t>
            </w:r>
          </w:p>
        </w:tc>
        <w:tc>
          <w:tcPr>
            <w:tcW w:w="1134" w:type="dxa"/>
          </w:tcPr>
          <w:p w14:paraId="19E970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2B9DAC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445B8E71" w14:textId="77777777" w:rsidTr="00EA0DA7">
        <w:tc>
          <w:tcPr>
            <w:tcW w:w="1526" w:type="dxa"/>
          </w:tcPr>
          <w:p w14:paraId="249C4C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w:t>
            </w:r>
          </w:p>
        </w:tc>
        <w:tc>
          <w:tcPr>
            <w:tcW w:w="1134" w:type="dxa"/>
          </w:tcPr>
          <w:p w14:paraId="1B3E78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w:t>
            </w:r>
          </w:p>
        </w:tc>
        <w:tc>
          <w:tcPr>
            <w:tcW w:w="1276" w:type="dxa"/>
          </w:tcPr>
          <w:p w14:paraId="46B036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w:t>
            </w:r>
          </w:p>
        </w:tc>
        <w:tc>
          <w:tcPr>
            <w:tcW w:w="1134" w:type="dxa"/>
          </w:tcPr>
          <w:p w14:paraId="71264E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65929B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49F383D0" w14:textId="77777777" w:rsidTr="00EA0DA7">
        <w:tc>
          <w:tcPr>
            <w:tcW w:w="1526" w:type="dxa"/>
          </w:tcPr>
          <w:p w14:paraId="07745F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134" w:type="dxa"/>
          </w:tcPr>
          <w:p w14:paraId="168E80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16,8</w:t>
            </w:r>
          </w:p>
        </w:tc>
        <w:tc>
          <w:tcPr>
            <w:tcW w:w="1276" w:type="dxa"/>
          </w:tcPr>
          <w:p w14:paraId="73F0C2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w:t>
            </w:r>
          </w:p>
        </w:tc>
        <w:tc>
          <w:tcPr>
            <w:tcW w:w="1134" w:type="dxa"/>
          </w:tcPr>
          <w:p w14:paraId="766148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0D2E72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40560482" w14:textId="77777777" w:rsidTr="00EA0DA7">
        <w:tc>
          <w:tcPr>
            <w:tcW w:w="1526" w:type="dxa"/>
          </w:tcPr>
          <w:p w14:paraId="1E1498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6300</w:t>
            </w:r>
          </w:p>
        </w:tc>
        <w:tc>
          <w:tcPr>
            <w:tcW w:w="1134" w:type="dxa"/>
          </w:tcPr>
          <w:p w14:paraId="1722D4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16,9</w:t>
            </w:r>
          </w:p>
        </w:tc>
        <w:tc>
          <w:tcPr>
            <w:tcW w:w="1276" w:type="dxa"/>
          </w:tcPr>
          <w:p w14:paraId="2E33A4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w:t>
            </w:r>
          </w:p>
        </w:tc>
        <w:tc>
          <w:tcPr>
            <w:tcW w:w="1134" w:type="dxa"/>
          </w:tcPr>
          <w:p w14:paraId="0E4486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75E72A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34B4ADB2" w14:textId="77777777" w:rsidTr="00EA0DA7">
        <w:tc>
          <w:tcPr>
            <w:tcW w:w="1526" w:type="dxa"/>
          </w:tcPr>
          <w:p w14:paraId="3EF7B5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7000</w:t>
            </w:r>
          </w:p>
        </w:tc>
        <w:tc>
          <w:tcPr>
            <w:tcW w:w="1134" w:type="dxa"/>
          </w:tcPr>
          <w:p w14:paraId="400983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14,85</w:t>
            </w:r>
          </w:p>
        </w:tc>
        <w:tc>
          <w:tcPr>
            <w:tcW w:w="1276" w:type="dxa"/>
          </w:tcPr>
          <w:p w14:paraId="481814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7,32</w:t>
            </w:r>
          </w:p>
        </w:tc>
        <w:tc>
          <w:tcPr>
            <w:tcW w:w="1134" w:type="dxa"/>
          </w:tcPr>
          <w:p w14:paraId="5ECC3D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247</w:t>
            </w:r>
          </w:p>
        </w:tc>
        <w:tc>
          <w:tcPr>
            <w:tcW w:w="1134" w:type="dxa"/>
          </w:tcPr>
          <w:p w14:paraId="5C4DEE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w:t>
            </w:r>
          </w:p>
        </w:tc>
      </w:tr>
      <w:tr w:rsidR="00983732" w:rsidRPr="00A3026E" w14:paraId="36E6C497" w14:textId="77777777" w:rsidTr="00EA0DA7">
        <w:tc>
          <w:tcPr>
            <w:tcW w:w="1526" w:type="dxa"/>
          </w:tcPr>
          <w:p w14:paraId="127853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c>
          <w:tcPr>
            <w:tcW w:w="1134" w:type="dxa"/>
          </w:tcPr>
          <w:p w14:paraId="2D22FE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1276" w:type="dxa"/>
          </w:tcPr>
          <w:p w14:paraId="3289C3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8,57</w:t>
            </w:r>
          </w:p>
        </w:tc>
        <w:tc>
          <w:tcPr>
            <w:tcW w:w="1134" w:type="dxa"/>
          </w:tcPr>
          <w:p w14:paraId="6A2C20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239</w:t>
            </w:r>
          </w:p>
        </w:tc>
        <w:tc>
          <w:tcPr>
            <w:tcW w:w="1134" w:type="dxa"/>
          </w:tcPr>
          <w:p w14:paraId="39DEE4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tc>
      </w:tr>
      <w:tr w:rsidR="00983732" w:rsidRPr="00A3026E" w14:paraId="0BC1987E" w14:textId="77777777" w:rsidTr="00EA0DA7">
        <w:tc>
          <w:tcPr>
            <w:tcW w:w="1526" w:type="dxa"/>
          </w:tcPr>
          <w:p w14:paraId="4E1092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c>
          <w:tcPr>
            <w:tcW w:w="1134" w:type="dxa"/>
          </w:tcPr>
          <w:p w14:paraId="6CDD64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w:t>
            </w:r>
          </w:p>
        </w:tc>
        <w:tc>
          <w:tcPr>
            <w:tcW w:w="1276" w:type="dxa"/>
          </w:tcPr>
          <w:p w14:paraId="046341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10,15</w:t>
            </w:r>
          </w:p>
        </w:tc>
        <w:tc>
          <w:tcPr>
            <w:tcW w:w="1134" w:type="dxa"/>
          </w:tcPr>
          <w:p w14:paraId="6ECD29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1134" w:type="dxa"/>
          </w:tcPr>
          <w:p w14:paraId="4FC676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w:t>
            </w:r>
          </w:p>
        </w:tc>
      </w:tr>
      <w:tr w:rsidR="00983732" w:rsidRPr="00A3026E" w14:paraId="0419E4DB" w14:textId="77777777" w:rsidTr="00EA0DA7">
        <w:tc>
          <w:tcPr>
            <w:tcW w:w="1526" w:type="dxa"/>
          </w:tcPr>
          <w:p w14:paraId="1D03CE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c>
          <w:tcPr>
            <w:tcW w:w="1134" w:type="dxa"/>
          </w:tcPr>
          <w:p w14:paraId="3610FF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3,35</w:t>
            </w:r>
          </w:p>
        </w:tc>
        <w:tc>
          <w:tcPr>
            <w:tcW w:w="1276" w:type="dxa"/>
          </w:tcPr>
          <w:p w14:paraId="453928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15,88</w:t>
            </w:r>
          </w:p>
        </w:tc>
        <w:tc>
          <w:tcPr>
            <w:tcW w:w="1134" w:type="dxa"/>
          </w:tcPr>
          <w:p w14:paraId="3CD2F0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222</w:t>
            </w:r>
          </w:p>
        </w:tc>
        <w:tc>
          <w:tcPr>
            <w:tcW w:w="1134" w:type="dxa"/>
          </w:tcPr>
          <w:p w14:paraId="03703E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w:t>
            </w:r>
          </w:p>
        </w:tc>
      </w:tr>
      <w:tr w:rsidR="00983732" w:rsidRPr="00A3026E" w14:paraId="673CD14D" w14:textId="77777777" w:rsidTr="00EA0DA7">
        <w:tc>
          <w:tcPr>
            <w:tcW w:w="1526" w:type="dxa"/>
            <w:tcBorders>
              <w:bottom w:val="single" w:sz="12" w:space="0" w:color="auto"/>
            </w:tcBorders>
          </w:tcPr>
          <w:p w14:paraId="706D55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c>
          <w:tcPr>
            <w:tcW w:w="1134" w:type="dxa"/>
            <w:tcBorders>
              <w:bottom w:val="single" w:sz="12" w:space="0" w:color="auto"/>
            </w:tcBorders>
          </w:tcPr>
          <w:p w14:paraId="2D81E5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0,5</w:t>
            </w:r>
          </w:p>
        </w:tc>
        <w:tc>
          <w:tcPr>
            <w:tcW w:w="1276" w:type="dxa"/>
            <w:tcBorders>
              <w:bottom w:val="single" w:sz="12" w:space="0" w:color="auto"/>
            </w:tcBorders>
          </w:tcPr>
          <w:p w14:paraId="6B4E50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25,63</w:t>
            </w:r>
          </w:p>
        </w:tc>
        <w:tc>
          <w:tcPr>
            <w:tcW w:w="1134" w:type="dxa"/>
            <w:tcBorders>
              <w:bottom w:val="single" w:sz="12" w:space="0" w:color="auto"/>
            </w:tcBorders>
          </w:tcPr>
          <w:p w14:paraId="367B67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34" w:type="dxa"/>
            <w:tcBorders>
              <w:bottom w:val="single" w:sz="12" w:space="0" w:color="auto"/>
            </w:tcBorders>
          </w:tcPr>
          <w:p w14:paraId="374EDB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23366E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Теоретический потолок 12180, практический - 12000, время подъема 25,63</w:t>
      </w:r>
    </w:p>
    <w:p w14:paraId="7A3F19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маневренности на 1000 м при весе 3099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843"/>
        <w:gridCol w:w="851"/>
        <w:gridCol w:w="850"/>
        <w:gridCol w:w="851"/>
      </w:tblGrid>
      <w:tr w:rsidR="00983732" w:rsidRPr="00A3026E" w14:paraId="4DE18103" w14:textId="77777777" w:rsidTr="00EA0DA7">
        <w:tc>
          <w:tcPr>
            <w:tcW w:w="2242" w:type="dxa"/>
            <w:tcBorders>
              <w:top w:val="single" w:sz="12" w:space="0" w:color="auto"/>
            </w:tcBorders>
          </w:tcPr>
          <w:p w14:paraId="61CC30A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43" w:type="dxa"/>
            <w:tcBorders>
              <w:top w:val="single" w:sz="12" w:space="0" w:color="auto"/>
            </w:tcBorders>
          </w:tcPr>
          <w:p w14:paraId="717400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w:t>
            </w:r>
          </w:p>
        </w:tc>
        <w:tc>
          <w:tcPr>
            <w:tcW w:w="851" w:type="dxa"/>
            <w:tcBorders>
              <w:top w:val="single" w:sz="12" w:space="0" w:color="auto"/>
            </w:tcBorders>
          </w:tcPr>
          <w:p w14:paraId="0A41AD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ввода</w:t>
            </w:r>
          </w:p>
        </w:tc>
        <w:tc>
          <w:tcPr>
            <w:tcW w:w="850" w:type="dxa"/>
            <w:tcBorders>
              <w:top w:val="single" w:sz="12" w:space="0" w:color="auto"/>
            </w:tcBorders>
          </w:tcPr>
          <w:p w14:paraId="149FF4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вывода</w:t>
            </w:r>
          </w:p>
        </w:tc>
        <w:tc>
          <w:tcPr>
            <w:tcW w:w="851" w:type="dxa"/>
            <w:tcBorders>
              <w:top w:val="single" w:sz="12" w:space="0" w:color="auto"/>
            </w:tcBorders>
          </w:tcPr>
          <w:p w14:paraId="576EB9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Потеря высоты</w:t>
            </w:r>
          </w:p>
        </w:tc>
      </w:tr>
      <w:tr w:rsidR="00983732" w:rsidRPr="00A3026E" w14:paraId="5138DC2C" w14:textId="77777777" w:rsidTr="00EA0DA7">
        <w:tc>
          <w:tcPr>
            <w:tcW w:w="2242" w:type="dxa"/>
          </w:tcPr>
          <w:p w14:paraId="5F1F3E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левый</w:t>
            </w:r>
          </w:p>
        </w:tc>
        <w:tc>
          <w:tcPr>
            <w:tcW w:w="843" w:type="dxa"/>
          </w:tcPr>
          <w:p w14:paraId="4C9D9E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22,3</w:t>
            </w:r>
          </w:p>
        </w:tc>
        <w:tc>
          <w:tcPr>
            <w:tcW w:w="851" w:type="dxa"/>
          </w:tcPr>
          <w:p w14:paraId="55D073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38E543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tc>
        <w:tc>
          <w:tcPr>
            <w:tcW w:w="851" w:type="dxa"/>
          </w:tcPr>
          <w:p w14:paraId="4E669A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2CC75F19" w14:textId="77777777" w:rsidTr="00EA0DA7">
        <w:tc>
          <w:tcPr>
            <w:tcW w:w="2242" w:type="dxa"/>
          </w:tcPr>
          <w:p w14:paraId="0D636A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правый</w:t>
            </w:r>
          </w:p>
        </w:tc>
        <w:tc>
          <w:tcPr>
            <w:tcW w:w="843" w:type="dxa"/>
          </w:tcPr>
          <w:p w14:paraId="39E7C4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851" w:type="dxa"/>
          </w:tcPr>
          <w:p w14:paraId="0B606A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0CEAF9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w:t>
            </w:r>
          </w:p>
        </w:tc>
        <w:tc>
          <w:tcPr>
            <w:tcW w:w="851" w:type="dxa"/>
          </w:tcPr>
          <w:p w14:paraId="2D7CEE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0C06B2D8" w14:textId="77777777" w:rsidTr="00EA0DA7">
        <w:tc>
          <w:tcPr>
            <w:tcW w:w="2242" w:type="dxa"/>
          </w:tcPr>
          <w:p w14:paraId="7797FB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серийный левый</w:t>
            </w:r>
          </w:p>
        </w:tc>
        <w:tc>
          <w:tcPr>
            <w:tcW w:w="843" w:type="dxa"/>
          </w:tcPr>
          <w:p w14:paraId="1C8617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70,5</w:t>
            </w:r>
          </w:p>
        </w:tc>
        <w:tc>
          <w:tcPr>
            <w:tcW w:w="851" w:type="dxa"/>
          </w:tcPr>
          <w:p w14:paraId="5F341F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6D9F7E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tc>
        <w:tc>
          <w:tcPr>
            <w:tcW w:w="851" w:type="dxa"/>
          </w:tcPr>
          <w:p w14:paraId="1AB425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65310AC0" w14:textId="77777777" w:rsidTr="00EA0DA7">
        <w:tc>
          <w:tcPr>
            <w:tcW w:w="2242" w:type="dxa"/>
          </w:tcPr>
          <w:p w14:paraId="7807B5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серийный правый</w:t>
            </w:r>
          </w:p>
        </w:tc>
        <w:tc>
          <w:tcPr>
            <w:tcW w:w="843" w:type="dxa"/>
          </w:tcPr>
          <w:p w14:paraId="5AD36F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64,9</w:t>
            </w:r>
          </w:p>
        </w:tc>
        <w:tc>
          <w:tcPr>
            <w:tcW w:w="851" w:type="dxa"/>
          </w:tcPr>
          <w:p w14:paraId="7C6273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67E3D6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1" w:type="dxa"/>
          </w:tcPr>
          <w:p w14:paraId="2AA3B3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2835DC51" w14:textId="77777777" w:rsidTr="00EA0DA7">
        <w:tc>
          <w:tcPr>
            <w:tcW w:w="2242" w:type="dxa"/>
            <w:tcBorders>
              <w:bottom w:val="single" w:sz="12" w:space="0" w:color="auto"/>
            </w:tcBorders>
          </w:tcPr>
          <w:p w14:paraId="257661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Восьмерка</w:t>
            </w:r>
          </w:p>
        </w:tc>
        <w:tc>
          <w:tcPr>
            <w:tcW w:w="843" w:type="dxa"/>
            <w:tcBorders>
              <w:bottom w:val="single" w:sz="12" w:space="0" w:color="auto"/>
            </w:tcBorders>
          </w:tcPr>
          <w:p w14:paraId="497C18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40,5</w:t>
            </w:r>
          </w:p>
        </w:tc>
        <w:tc>
          <w:tcPr>
            <w:tcW w:w="851" w:type="dxa"/>
            <w:tcBorders>
              <w:bottom w:val="single" w:sz="12" w:space="0" w:color="auto"/>
            </w:tcBorders>
          </w:tcPr>
          <w:p w14:paraId="38D615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Borders>
              <w:bottom w:val="single" w:sz="12" w:space="0" w:color="auto"/>
            </w:tcBorders>
          </w:tcPr>
          <w:p w14:paraId="07FBB1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w:t>
            </w:r>
          </w:p>
        </w:tc>
        <w:tc>
          <w:tcPr>
            <w:tcW w:w="851" w:type="dxa"/>
            <w:tcBorders>
              <w:bottom w:val="single" w:sz="12" w:space="0" w:color="auto"/>
            </w:tcBorders>
          </w:tcPr>
          <w:p w14:paraId="5DC6A1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bl>
    <w:p w14:paraId="3551E1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маневренности на 5000 м при весе 3099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843"/>
        <w:gridCol w:w="851"/>
        <w:gridCol w:w="850"/>
        <w:gridCol w:w="851"/>
      </w:tblGrid>
      <w:tr w:rsidR="00983732" w:rsidRPr="00A3026E" w14:paraId="61EFDF26" w14:textId="77777777" w:rsidTr="00EA0DA7">
        <w:tc>
          <w:tcPr>
            <w:tcW w:w="2242" w:type="dxa"/>
            <w:tcBorders>
              <w:top w:val="single" w:sz="12" w:space="0" w:color="auto"/>
            </w:tcBorders>
          </w:tcPr>
          <w:p w14:paraId="2138355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43" w:type="dxa"/>
            <w:tcBorders>
              <w:top w:val="single" w:sz="12" w:space="0" w:color="auto"/>
            </w:tcBorders>
          </w:tcPr>
          <w:p w14:paraId="04633B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w:t>
            </w:r>
          </w:p>
        </w:tc>
        <w:tc>
          <w:tcPr>
            <w:tcW w:w="851" w:type="dxa"/>
            <w:tcBorders>
              <w:top w:val="single" w:sz="12" w:space="0" w:color="auto"/>
            </w:tcBorders>
          </w:tcPr>
          <w:p w14:paraId="6DDE14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ввода</w:t>
            </w:r>
          </w:p>
        </w:tc>
        <w:tc>
          <w:tcPr>
            <w:tcW w:w="850" w:type="dxa"/>
            <w:tcBorders>
              <w:top w:val="single" w:sz="12" w:space="0" w:color="auto"/>
            </w:tcBorders>
          </w:tcPr>
          <w:p w14:paraId="7BB33F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вывода</w:t>
            </w:r>
          </w:p>
        </w:tc>
        <w:tc>
          <w:tcPr>
            <w:tcW w:w="851" w:type="dxa"/>
            <w:tcBorders>
              <w:top w:val="single" w:sz="12" w:space="0" w:color="auto"/>
            </w:tcBorders>
          </w:tcPr>
          <w:p w14:paraId="26929F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Потеря высоты</w:t>
            </w:r>
          </w:p>
        </w:tc>
      </w:tr>
      <w:tr w:rsidR="00983732" w:rsidRPr="00A3026E" w14:paraId="6B4CE086" w14:textId="77777777" w:rsidTr="00EA0DA7">
        <w:tc>
          <w:tcPr>
            <w:tcW w:w="2242" w:type="dxa"/>
          </w:tcPr>
          <w:p w14:paraId="4A50A2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левый</w:t>
            </w:r>
          </w:p>
        </w:tc>
        <w:tc>
          <w:tcPr>
            <w:tcW w:w="843" w:type="dxa"/>
          </w:tcPr>
          <w:p w14:paraId="1265A0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851" w:type="dxa"/>
          </w:tcPr>
          <w:p w14:paraId="5FBC7F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w:t>
            </w:r>
          </w:p>
        </w:tc>
        <w:tc>
          <w:tcPr>
            <w:tcW w:w="850" w:type="dxa"/>
          </w:tcPr>
          <w:p w14:paraId="5D6511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1" w:type="dxa"/>
          </w:tcPr>
          <w:p w14:paraId="09570A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01421F9E" w14:textId="77777777" w:rsidTr="00EA0DA7">
        <w:tc>
          <w:tcPr>
            <w:tcW w:w="2242" w:type="dxa"/>
          </w:tcPr>
          <w:p w14:paraId="7F4E6E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правый</w:t>
            </w:r>
          </w:p>
        </w:tc>
        <w:tc>
          <w:tcPr>
            <w:tcW w:w="843" w:type="dxa"/>
          </w:tcPr>
          <w:p w14:paraId="7EECBF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851" w:type="dxa"/>
          </w:tcPr>
          <w:p w14:paraId="5B692F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w:t>
            </w:r>
          </w:p>
        </w:tc>
        <w:tc>
          <w:tcPr>
            <w:tcW w:w="850" w:type="dxa"/>
          </w:tcPr>
          <w:p w14:paraId="6D5FB2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w:t>
            </w:r>
          </w:p>
        </w:tc>
        <w:tc>
          <w:tcPr>
            <w:tcW w:w="851" w:type="dxa"/>
          </w:tcPr>
          <w:p w14:paraId="0B48C1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3E061D05" w14:textId="77777777" w:rsidTr="00EA0DA7">
        <w:tc>
          <w:tcPr>
            <w:tcW w:w="2242" w:type="dxa"/>
          </w:tcPr>
          <w:p w14:paraId="60C3AC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серийный левый</w:t>
            </w:r>
          </w:p>
        </w:tc>
        <w:tc>
          <w:tcPr>
            <w:tcW w:w="843" w:type="dxa"/>
          </w:tcPr>
          <w:p w14:paraId="4DB1AB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w:t>
            </w:r>
          </w:p>
        </w:tc>
        <w:tc>
          <w:tcPr>
            <w:tcW w:w="851" w:type="dxa"/>
          </w:tcPr>
          <w:p w14:paraId="34148D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137501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1" w:type="dxa"/>
          </w:tcPr>
          <w:p w14:paraId="0ACEE3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2ADC59AF" w14:textId="77777777" w:rsidTr="00EA0DA7">
        <w:tc>
          <w:tcPr>
            <w:tcW w:w="2242" w:type="dxa"/>
          </w:tcPr>
          <w:p w14:paraId="0B9411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серийный правый</w:t>
            </w:r>
          </w:p>
        </w:tc>
        <w:tc>
          <w:tcPr>
            <w:tcW w:w="843" w:type="dxa"/>
          </w:tcPr>
          <w:p w14:paraId="4A78B5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w:t>
            </w:r>
          </w:p>
        </w:tc>
        <w:tc>
          <w:tcPr>
            <w:tcW w:w="851" w:type="dxa"/>
          </w:tcPr>
          <w:p w14:paraId="13E84F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523E5B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1" w:type="dxa"/>
          </w:tcPr>
          <w:p w14:paraId="3D3810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63C7EDD1" w14:textId="77777777" w:rsidTr="00EA0DA7">
        <w:tc>
          <w:tcPr>
            <w:tcW w:w="2242" w:type="dxa"/>
          </w:tcPr>
          <w:p w14:paraId="626947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Восьмерка</w:t>
            </w:r>
          </w:p>
        </w:tc>
        <w:tc>
          <w:tcPr>
            <w:tcW w:w="843" w:type="dxa"/>
          </w:tcPr>
          <w:p w14:paraId="7BF234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c>
          <w:tcPr>
            <w:tcW w:w="851" w:type="dxa"/>
          </w:tcPr>
          <w:p w14:paraId="15D771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05347D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1" w:type="dxa"/>
          </w:tcPr>
          <w:p w14:paraId="49B946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39A59024" w14:textId="77777777" w:rsidTr="00EA0DA7">
        <w:tc>
          <w:tcPr>
            <w:tcW w:w="2242" w:type="dxa"/>
            <w:tcBorders>
              <w:bottom w:val="single" w:sz="12" w:space="0" w:color="auto"/>
            </w:tcBorders>
          </w:tcPr>
          <w:p w14:paraId="07FB67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Иммельман</w:t>
            </w:r>
          </w:p>
        </w:tc>
        <w:tc>
          <w:tcPr>
            <w:tcW w:w="843" w:type="dxa"/>
            <w:tcBorders>
              <w:bottom w:val="single" w:sz="12" w:space="0" w:color="auto"/>
            </w:tcBorders>
          </w:tcPr>
          <w:p w14:paraId="52BCC8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851" w:type="dxa"/>
            <w:tcBorders>
              <w:bottom w:val="single" w:sz="12" w:space="0" w:color="auto"/>
            </w:tcBorders>
          </w:tcPr>
          <w:p w14:paraId="2F77C2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w:t>
            </w:r>
          </w:p>
        </w:tc>
        <w:tc>
          <w:tcPr>
            <w:tcW w:w="850" w:type="dxa"/>
            <w:tcBorders>
              <w:bottom w:val="single" w:sz="12" w:space="0" w:color="auto"/>
            </w:tcBorders>
          </w:tcPr>
          <w:p w14:paraId="205FC1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851" w:type="dxa"/>
            <w:tcBorders>
              <w:bottom w:val="single" w:sz="12" w:space="0" w:color="auto"/>
            </w:tcBorders>
          </w:tcPr>
          <w:p w14:paraId="1487D2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+1100-1200</w:t>
            </w:r>
          </w:p>
        </w:tc>
      </w:tr>
    </w:tbl>
    <w:p w14:paraId="1F9786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Линейные размеры</w:t>
      </w:r>
    </w:p>
    <w:p w14:paraId="131F0C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- 10200</w:t>
      </w:r>
    </w:p>
    <w:p w14:paraId="293E00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8155</w:t>
      </w:r>
    </w:p>
    <w:p w14:paraId="4A9618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Мидель фюзеляжа 0,978 м2</w:t>
      </w:r>
    </w:p>
    <w:p w14:paraId="7B3685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Профиль крыла УН</w:t>
      </w:r>
    </w:p>
    <w:p w14:paraId="759BE1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Удлинение крыла 5,97</w:t>
      </w:r>
    </w:p>
    <w:p w14:paraId="78299C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колеи шасси - 2800</w:t>
      </w:r>
    </w:p>
    <w:p w14:paraId="6F6F04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прочности на сл. А по нормам прочности 1940 г в редакции 1939 г. - 13</w:t>
      </w:r>
    </w:p>
    <w:p w14:paraId="111A2B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17,44 м2</w:t>
      </w:r>
    </w:p>
    <w:p w14:paraId="340AC8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ГО 3,105</w:t>
      </w:r>
    </w:p>
    <w:p w14:paraId="1CBE37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киля 0,614</w:t>
      </w:r>
    </w:p>
    <w:p w14:paraId="487353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ВО 1,527</w:t>
      </w:r>
    </w:p>
    <w:p w14:paraId="0B6043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Площади стабилизатора 1,659</w:t>
      </w:r>
    </w:p>
    <w:p w14:paraId="0711A2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закрылков 2,09</w:t>
      </w:r>
    </w:p>
    <w:p w14:paraId="4A9255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Уборка шасси - пневматическая, нормальное давление 30 а</w:t>
      </w:r>
    </w:p>
    <w:p w14:paraId="6AE4C2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Давление в тормозах 4 а</w:t>
      </w:r>
    </w:p>
    <w:p w14:paraId="64FF77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не имеет запаса статической продольной устойчивости и близок к неустойчивости</w:t>
      </w:r>
    </w:p>
    <w:p w14:paraId="37921D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Продольная динамическая устойчивость на режиме горизонтального полета</w:t>
      </w:r>
    </w:p>
    <w:p w14:paraId="7B78CF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дачи импыльса на увеличение скорости на 20 км/час или на уменьшение скорости на 20 км/час, с-т соответственно уходит в пикирование или кабрирование, требуя внимания л</w:t>
      </w:r>
    </w:p>
    <w:p w14:paraId="64B000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 по уст-ти</w:t>
      </w:r>
    </w:p>
    <w:p w14:paraId="4F01E0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И-2000 на эксплуатационной центровке (25,8%) и убранных шасси обладает неудовлетворительной продольной кстойчивостью</w:t>
      </w:r>
    </w:p>
    <w:p w14:paraId="161471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отчета о полете л облета Супруна:</w:t>
      </w:r>
    </w:p>
    <w:p w14:paraId="295C17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технике взлета и посадки с-т прост, но вследствие легкого срыва в штопор при перетягивании ручки на вираже с-т в полете равняется И-16 с задней центровкой</w:t>
      </w:r>
    </w:p>
    <w:p w14:paraId="4D0EEF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полете с-т тяжел в управлении рулями. Создается впечатление вялой в управлении и затрудняется маневрирование. Необходимо увеличить компенсацию всех рулей.</w:t>
      </w:r>
    </w:p>
    <w:p w14:paraId="50F7E3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Откидной фонарь не пригоден. Необходи сдвижной.</w:t>
      </w:r>
    </w:p>
    <w:p w14:paraId="50DA00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Общее впечатление от И-200: с-т прост в технике пилотирования и вполне доступен для освоения л средней квалификации</w:t>
      </w:r>
    </w:p>
    <w:p w14:paraId="5648DA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ВМГ с-та И-200</w:t>
      </w:r>
    </w:p>
    <w:p w14:paraId="44021A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 Мотор АМ-35А № 007 за время испыфтаний наработал на земле 2:45, в полете 12:50</w:t>
      </w:r>
    </w:p>
    <w:p w14:paraId="1FBC60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Степень сжатия 7 (6,8-7)</w:t>
      </w:r>
    </w:p>
    <w:p w14:paraId="18D0C7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Передаточное число 14,6</w:t>
      </w:r>
    </w:p>
    <w:p w14:paraId="1C7CC8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Неправление вращение со стороны задней крышки - правое, винта - левое</w:t>
      </w:r>
    </w:p>
    <w:p w14:paraId="7A2493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Сухой вес 840 кг</w:t>
      </w:r>
    </w:p>
    <w:p w14:paraId="682F9D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макс. 1350</w:t>
      </w:r>
    </w:p>
    <w:p w14:paraId="05BD54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Рк 1230</w:t>
      </w:r>
    </w:p>
    <w:p w14:paraId="4B6AA6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оборотов 2050</w:t>
      </w:r>
    </w:p>
    <w:p w14:paraId="557A6E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Номинальная мощность у земли 1120 лс, Рк 1020, число обротов 2050 </w:t>
      </w:r>
    </w:p>
    <w:p w14:paraId="54DDBF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Расчетная высота 6000 м</w:t>
      </w:r>
    </w:p>
    <w:p w14:paraId="59FACC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Максимальные обороты 2250 в течение 30 сек.</w:t>
      </w:r>
    </w:p>
    <w:p w14:paraId="0571FD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Минимальные оброты 450</w:t>
      </w:r>
    </w:p>
    <w:p w14:paraId="0111A3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Рекомендуемое горючее 4Б-78 с октяновым числом не ниже 95</w:t>
      </w:r>
    </w:p>
    <w:p w14:paraId="1CCB0F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Расход горючего</w:t>
      </w:r>
    </w:p>
    <w:p w14:paraId="3510D9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номинал - 300</w:t>
      </w:r>
    </w:p>
    <w:p w14:paraId="62855C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330</w:t>
      </w:r>
    </w:p>
    <w:p w14:paraId="3139DB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эксплуатация 275-285</w:t>
      </w:r>
    </w:p>
    <w:p w14:paraId="139917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расход масла 12 г/лс/час</w:t>
      </w:r>
    </w:p>
    <w:p w14:paraId="732FE2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 Воды 115 и кратковременно 120</w:t>
      </w:r>
    </w:p>
    <w:p w14:paraId="0F1727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Карбюратор К-35х4</w:t>
      </w:r>
    </w:p>
    <w:p w14:paraId="065A71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Магнето БС-12-ПЭАх2</w:t>
      </w:r>
    </w:p>
    <w:p w14:paraId="56B062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Свечи СВ-0,8х24</w:t>
      </w:r>
    </w:p>
    <w:p w14:paraId="47C96E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Бензопомпа БНК-10х1</w:t>
      </w:r>
    </w:p>
    <w:p w14:paraId="15950C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Самопуск воздушный</w:t>
      </w:r>
    </w:p>
    <w:p w14:paraId="12169E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мотора 2,402, высота 1,089, ширина 866</w:t>
      </w:r>
    </w:p>
    <w:p w14:paraId="08D241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ВИШ-22Е 28 завода.</w:t>
      </w:r>
    </w:p>
    <w:p w14:paraId="0536A9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лопасти 260мм</w:t>
      </w:r>
    </w:p>
    <w:p w14:paraId="1CFEA2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144 кг</w:t>
      </w:r>
    </w:p>
    <w:p w14:paraId="6F9E44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Расстояние от конца лопасти до земли - 250мм</w:t>
      </w:r>
    </w:p>
    <w:p w14:paraId="25B3AF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Радиатор - воздушномасляный ВМС-9-225</w:t>
      </w:r>
    </w:p>
    <w:p w14:paraId="796C8A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Охлаждающая поверхность 2,72 м2</w:t>
      </w:r>
    </w:p>
    <w:p w14:paraId="540E90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Водорадиатор типа 229ОП с диаметром трубок 8 мм, емкость 28,5, вес 94,5</w:t>
      </w:r>
    </w:p>
    <w:p w14:paraId="4DD925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Емкость системы охлаждения 79 л</w:t>
      </w:r>
    </w:p>
    <w:p w14:paraId="1E6DC8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РО - РО-82, 8хфлейт проверено стрельбой на земле и в воздухе. Стрельба производилось одиночными и залпом по 2 на земле и по 2 и по 4 в воздухе. На элероны никакого воздействия не оказывалось.</w:t>
      </w:r>
    </w:p>
    <w:p w14:paraId="74A033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 РСИ-3, антенна с мачтой 700 мм на верхней панели фюзеляжа</w:t>
      </w:r>
    </w:p>
    <w:p w14:paraId="40EB39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действия р/с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843"/>
        <w:gridCol w:w="1701"/>
        <w:gridCol w:w="1842"/>
      </w:tblGrid>
      <w:tr w:rsidR="00983732" w:rsidRPr="00A3026E" w14:paraId="60D1648C" w14:textId="77777777" w:rsidTr="00EA0DA7">
        <w:tc>
          <w:tcPr>
            <w:tcW w:w="959" w:type="dxa"/>
            <w:tcBorders>
              <w:top w:val="single" w:sz="12" w:space="0" w:color="auto"/>
            </w:tcBorders>
          </w:tcPr>
          <w:p w14:paraId="1B1C2C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w:t>
            </w:r>
          </w:p>
        </w:tc>
        <w:tc>
          <w:tcPr>
            <w:tcW w:w="1843" w:type="dxa"/>
            <w:tcBorders>
              <w:top w:val="single" w:sz="12" w:space="0" w:color="auto"/>
            </w:tcBorders>
          </w:tcPr>
          <w:p w14:paraId="22E8B2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двусторонняя с 11АК</w:t>
            </w:r>
          </w:p>
        </w:tc>
        <w:tc>
          <w:tcPr>
            <w:tcW w:w="1701" w:type="dxa"/>
            <w:tcBorders>
              <w:top w:val="single" w:sz="12" w:space="0" w:color="auto"/>
            </w:tcBorders>
          </w:tcPr>
          <w:p w14:paraId="5420DA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одной станцией</w:t>
            </w:r>
          </w:p>
        </w:tc>
        <w:tc>
          <w:tcPr>
            <w:tcW w:w="1842" w:type="dxa"/>
            <w:tcBorders>
              <w:top w:val="single" w:sz="12" w:space="0" w:color="auto"/>
            </w:tcBorders>
          </w:tcPr>
          <w:p w14:paraId="0B7349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прием на с-те от 11АК</w:t>
            </w:r>
          </w:p>
        </w:tc>
      </w:tr>
      <w:tr w:rsidR="00983732" w:rsidRPr="00A3026E" w14:paraId="02A3C76A" w14:textId="77777777" w:rsidTr="00EA0DA7">
        <w:tc>
          <w:tcPr>
            <w:tcW w:w="959" w:type="dxa"/>
          </w:tcPr>
          <w:p w14:paraId="5C0B35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843" w:type="dxa"/>
          </w:tcPr>
          <w:p w14:paraId="351C36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 км</w:t>
            </w:r>
          </w:p>
        </w:tc>
        <w:tc>
          <w:tcPr>
            <w:tcW w:w="1701" w:type="dxa"/>
          </w:tcPr>
          <w:p w14:paraId="16530B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1842" w:type="dxa"/>
          </w:tcPr>
          <w:p w14:paraId="0AE4B2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225E3FB6" w14:textId="77777777" w:rsidTr="00EA0DA7">
        <w:tc>
          <w:tcPr>
            <w:tcW w:w="959" w:type="dxa"/>
          </w:tcPr>
          <w:p w14:paraId="6025D3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1843" w:type="dxa"/>
          </w:tcPr>
          <w:p w14:paraId="2629CC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701" w:type="dxa"/>
          </w:tcPr>
          <w:p w14:paraId="2CA10D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1842" w:type="dxa"/>
          </w:tcPr>
          <w:p w14:paraId="3994F3E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792B077" w14:textId="77777777" w:rsidTr="00EA0DA7">
        <w:tc>
          <w:tcPr>
            <w:tcW w:w="959" w:type="dxa"/>
            <w:tcBorders>
              <w:bottom w:val="single" w:sz="12" w:space="0" w:color="auto"/>
            </w:tcBorders>
          </w:tcPr>
          <w:p w14:paraId="14BEEB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843" w:type="dxa"/>
            <w:tcBorders>
              <w:bottom w:val="single" w:sz="12" w:space="0" w:color="auto"/>
            </w:tcBorders>
          </w:tcPr>
          <w:p w14:paraId="7B606B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701" w:type="dxa"/>
            <w:tcBorders>
              <w:bottom w:val="single" w:sz="12" w:space="0" w:color="auto"/>
            </w:tcBorders>
          </w:tcPr>
          <w:p w14:paraId="3CF6B2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1842" w:type="dxa"/>
            <w:tcBorders>
              <w:bottom w:val="single" w:sz="12" w:space="0" w:color="auto"/>
            </w:tcBorders>
          </w:tcPr>
          <w:p w14:paraId="5F24F33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41887C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предъявлен с электрооборудованием не полностью доработанным на заводских испытаниях (фара, освещение кабины), неполной металлизацией и рядом недостатков по монтажу</w:t>
      </w:r>
    </w:p>
    <w:p w14:paraId="2C2C82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Ведомость дефектов: по с-ту 25, по ВМГ 24 по спецоборудованию 10Ю по р/с 6, по электрооборудованию 2, по .. 4</w:t>
      </w:r>
    </w:p>
    <w:p w14:paraId="428B1D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(709,8)</w:t>
      </w:r>
    </w:p>
    <w:p w14:paraId="6E058A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программе 75 полетов продолжительностью 28 и по вооружению 22 полета продолжительностью 11:30</w:t>
      </w:r>
    </w:p>
    <w:p w14:paraId="659ECA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Дневник испытаний (с-т № 6101)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4710"/>
        <w:gridCol w:w="1102"/>
      </w:tblGrid>
      <w:tr w:rsidR="00983732" w:rsidRPr="00A3026E" w14:paraId="0442FB24" w14:textId="77777777" w:rsidTr="00EA0DA7">
        <w:tc>
          <w:tcPr>
            <w:tcW w:w="1526" w:type="dxa"/>
            <w:tcBorders>
              <w:top w:val="single" w:sz="12" w:space="0" w:color="auto"/>
            </w:tcBorders>
          </w:tcPr>
          <w:p w14:paraId="17BD43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Дата</w:t>
            </w:r>
          </w:p>
        </w:tc>
        <w:tc>
          <w:tcPr>
            <w:tcW w:w="4710" w:type="dxa"/>
            <w:tcBorders>
              <w:top w:val="single" w:sz="12" w:space="0" w:color="auto"/>
            </w:tcBorders>
          </w:tcPr>
          <w:p w14:paraId="52CFCA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w:t>
            </w:r>
          </w:p>
        </w:tc>
        <w:tc>
          <w:tcPr>
            <w:tcW w:w="1102" w:type="dxa"/>
            <w:tcBorders>
              <w:top w:val="single" w:sz="12" w:space="0" w:color="auto"/>
            </w:tcBorders>
          </w:tcPr>
          <w:p w14:paraId="08962C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Примечение</w:t>
            </w:r>
          </w:p>
        </w:tc>
      </w:tr>
      <w:tr w:rsidR="00983732" w:rsidRPr="00A3026E" w14:paraId="7D3BE5A6" w14:textId="77777777" w:rsidTr="00EA0DA7">
        <w:tc>
          <w:tcPr>
            <w:tcW w:w="1526" w:type="dxa"/>
          </w:tcPr>
          <w:p w14:paraId="18A94F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августа 1940</w:t>
            </w:r>
          </w:p>
        </w:tc>
        <w:tc>
          <w:tcPr>
            <w:tcW w:w="4710" w:type="dxa"/>
          </w:tcPr>
          <w:p w14:paraId="324A57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Перегон с-та на госиспытания в НИИ ВВС. Тарировка б/б, установка испытательной аппаратуры, взвешивание</w:t>
            </w:r>
          </w:p>
        </w:tc>
        <w:tc>
          <w:tcPr>
            <w:tcW w:w="1102" w:type="dxa"/>
          </w:tcPr>
          <w:p w14:paraId="6904EE6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250B433" w14:textId="77777777" w:rsidTr="00EA0DA7">
        <w:tc>
          <w:tcPr>
            <w:tcW w:w="1526" w:type="dxa"/>
          </w:tcPr>
          <w:p w14:paraId="7DE5FC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августа 1940</w:t>
            </w:r>
          </w:p>
        </w:tc>
        <w:tc>
          <w:tcPr>
            <w:tcW w:w="4710" w:type="dxa"/>
          </w:tcPr>
          <w:p w14:paraId="7B159E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температурных режимов. Замена 3-х стрелочных индикаторов и чистка мотора</w:t>
            </w:r>
          </w:p>
        </w:tc>
        <w:tc>
          <w:tcPr>
            <w:tcW w:w="1102" w:type="dxa"/>
          </w:tcPr>
          <w:p w14:paraId="076254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(0:25)</w:t>
            </w:r>
          </w:p>
        </w:tc>
      </w:tr>
      <w:tr w:rsidR="00983732" w:rsidRPr="00A3026E" w14:paraId="712D7307" w14:textId="77777777" w:rsidTr="00EA0DA7">
        <w:tc>
          <w:tcPr>
            <w:tcW w:w="1526" w:type="dxa"/>
          </w:tcPr>
          <w:p w14:paraId="4D1DF2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августа 1940</w:t>
            </w:r>
          </w:p>
        </w:tc>
        <w:tc>
          <w:tcPr>
            <w:tcW w:w="4710" w:type="dxa"/>
          </w:tcPr>
          <w:p w14:paraId="10EC06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Два полета на километраж После 2-го полета потек водорадиатор. После замены радиатора один полет на определение границ высотности мотора (0:30). Один полет на зубцы (0:15) прекращен </w:t>
            </w:r>
            <w:r w:rsidRPr="00A3026E">
              <w:rPr>
                <w:rFonts w:ascii="Times New Roman" w:hAnsi="Times New Roman"/>
                <w:color w:val="000000" w:themeColor="text1"/>
                <w:sz w:val="16"/>
                <w:szCs w:val="16"/>
              </w:rPr>
              <w:lastRenderedPageBreak/>
              <w:t>из-за неудовлетворительной работы мотора. Полеты были прекращены: сел амортизатор костыля Ночью установка костыля.</w:t>
            </w:r>
          </w:p>
        </w:tc>
        <w:tc>
          <w:tcPr>
            <w:tcW w:w="1102" w:type="dxa"/>
          </w:tcPr>
          <w:p w14:paraId="49AF9D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 (1:45)</w:t>
            </w:r>
          </w:p>
        </w:tc>
      </w:tr>
      <w:tr w:rsidR="00983732" w:rsidRPr="00A3026E" w14:paraId="09F8AF3D" w14:textId="77777777" w:rsidTr="00EA0DA7">
        <w:tc>
          <w:tcPr>
            <w:tcW w:w="1526" w:type="dxa"/>
          </w:tcPr>
          <w:p w14:paraId="77A2CF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августа 1940</w:t>
            </w:r>
          </w:p>
        </w:tc>
        <w:tc>
          <w:tcPr>
            <w:tcW w:w="4710" w:type="dxa"/>
          </w:tcPr>
          <w:p w14:paraId="3C09BF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4 полета. Километраж. Потек маслобак Бак заварили на с-те. Полет на зубцы - 5000 м Упало давление с 1040 до 980. Замена РПД Мотор снимался - не проворачивалась крыльчатка нагнетателя</w:t>
            </w:r>
          </w:p>
        </w:tc>
        <w:tc>
          <w:tcPr>
            <w:tcW w:w="1102" w:type="dxa"/>
          </w:tcPr>
          <w:p w14:paraId="5CF3A4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(1:05)</w:t>
            </w:r>
          </w:p>
        </w:tc>
      </w:tr>
      <w:tr w:rsidR="00983732" w:rsidRPr="00A3026E" w14:paraId="1474735E" w14:textId="77777777" w:rsidTr="00EA0DA7">
        <w:tc>
          <w:tcPr>
            <w:tcW w:w="1526" w:type="dxa"/>
          </w:tcPr>
          <w:p w14:paraId="24677A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сентября 1940</w:t>
            </w:r>
          </w:p>
        </w:tc>
        <w:tc>
          <w:tcPr>
            <w:tcW w:w="4710" w:type="dxa"/>
          </w:tcPr>
          <w:p w14:paraId="30CE65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Воскресенье. Низкая облачность, дождь. Съем мотора</w:t>
            </w:r>
          </w:p>
        </w:tc>
        <w:tc>
          <w:tcPr>
            <w:tcW w:w="1102" w:type="dxa"/>
          </w:tcPr>
          <w:p w14:paraId="79217AE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648B409" w14:textId="77777777" w:rsidTr="00EA0DA7">
        <w:tc>
          <w:tcPr>
            <w:tcW w:w="1526" w:type="dxa"/>
          </w:tcPr>
          <w:p w14:paraId="527A9E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w:t>
            </w:r>
          </w:p>
        </w:tc>
        <w:tc>
          <w:tcPr>
            <w:tcW w:w="4710" w:type="dxa"/>
          </w:tcPr>
          <w:p w14:paraId="451C04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Съем мотора</w:t>
            </w:r>
          </w:p>
        </w:tc>
        <w:tc>
          <w:tcPr>
            <w:tcW w:w="1102" w:type="dxa"/>
          </w:tcPr>
          <w:p w14:paraId="5ED2566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3E9741F" w14:textId="77777777" w:rsidTr="00EA0DA7">
        <w:tc>
          <w:tcPr>
            <w:tcW w:w="1526" w:type="dxa"/>
          </w:tcPr>
          <w:p w14:paraId="6E2F8D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w:t>
            </w:r>
          </w:p>
        </w:tc>
        <w:tc>
          <w:tcPr>
            <w:tcW w:w="4710" w:type="dxa"/>
          </w:tcPr>
          <w:p w14:paraId="31496F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мотора. Рк увеличено до 1300 на форсировке</w:t>
            </w:r>
          </w:p>
        </w:tc>
        <w:tc>
          <w:tcPr>
            <w:tcW w:w="1102" w:type="dxa"/>
          </w:tcPr>
          <w:p w14:paraId="6957447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A3092AA" w14:textId="77777777" w:rsidTr="00EA0DA7">
        <w:tc>
          <w:tcPr>
            <w:tcW w:w="1526" w:type="dxa"/>
          </w:tcPr>
          <w:p w14:paraId="3E18B7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w:t>
            </w:r>
          </w:p>
        </w:tc>
        <w:tc>
          <w:tcPr>
            <w:tcW w:w="4710" w:type="dxa"/>
          </w:tcPr>
          <w:p w14:paraId="55498A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16 полетов, из них 14 полетов “взлет-посадка” Один полет на скороподъемность и скорости по высотам. Потек водорадиатор, который заменен</w:t>
            </w:r>
          </w:p>
        </w:tc>
        <w:tc>
          <w:tcPr>
            <w:tcW w:w="1102" w:type="dxa"/>
          </w:tcPr>
          <w:p w14:paraId="015A24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(2:30)</w:t>
            </w:r>
          </w:p>
        </w:tc>
      </w:tr>
      <w:tr w:rsidR="00983732" w:rsidRPr="00A3026E" w14:paraId="5EB3C685" w14:textId="77777777" w:rsidTr="00EA0DA7">
        <w:tc>
          <w:tcPr>
            <w:tcW w:w="1526" w:type="dxa"/>
          </w:tcPr>
          <w:p w14:paraId="347770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w:t>
            </w:r>
          </w:p>
        </w:tc>
        <w:tc>
          <w:tcPr>
            <w:tcW w:w="4710" w:type="dxa"/>
          </w:tcPr>
          <w:p w14:paraId="6511B4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3 полета, из них 2 на скороподъемность и макс. скорости по высотам до 9000 м. Один полет на маневрирование на 5000 м. При посадке была пробита сетка всасювающего патрубка нагнетателя. Произведнн осмотр лопастей. Поломки</w:t>
            </w:r>
          </w:p>
        </w:tc>
        <w:tc>
          <w:tcPr>
            <w:tcW w:w="1102" w:type="dxa"/>
          </w:tcPr>
          <w:p w14:paraId="73354C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(1:50</w:t>
            </w:r>
          </w:p>
        </w:tc>
      </w:tr>
      <w:tr w:rsidR="00983732" w:rsidRPr="00A3026E" w14:paraId="7509E52E" w14:textId="77777777" w:rsidTr="00EA0DA7">
        <w:tc>
          <w:tcPr>
            <w:tcW w:w="1526" w:type="dxa"/>
          </w:tcPr>
          <w:p w14:paraId="31D3CB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w:t>
            </w:r>
          </w:p>
        </w:tc>
        <w:tc>
          <w:tcPr>
            <w:tcW w:w="4710" w:type="dxa"/>
          </w:tcPr>
          <w:p w14:paraId="254188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“наяды”. Замена пружины уборки и выпуска костыля. Установка на сетке всасывающего патрубка нагнетателя. Полет на скорость до 10000 м и скороподъемность по высотам</w:t>
            </w:r>
          </w:p>
        </w:tc>
        <w:tc>
          <w:tcPr>
            <w:tcW w:w="1102" w:type="dxa"/>
          </w:tcPr>
          <w:p w14:paraId="5E260E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(0:45)</w:t>
            </w:r>
          </w:p>
        </w:tc>
      </w:tr>
      <w:tr w:rsidR="00983732" w:rsidRPr="00A3026E" w14:paraId="378CC447" w14:textId="77777777" w:rsidTr="00EA0DA7">
        <w:tc>
          <w:tcPr>
            <w:tcW w:w="1526" w:type="dxa"/>
          </w:tcPr>
          <w:p w14:paraId="17AA16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w:t>
            </w:r>
          </w:p>
        </w:tc>
        <w:tc>
          <w:tcPr>
            <w:tcW w:w="4710" w:type="dxa"/>
          </w:tcPr>
          <w:p w14:paraId="7328C2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4 полета, из них один на километраж, один на маневренность, два на пикирование до 650 км/час по прибору</w:t>
            </w:r>
          </w:p>
        </w:tc>
        <w:tc>
          <w:tcPr>
            <w:tcW w:w="1102" w:type="dxa"/>
          </w:tcPr>
          <w:p w14:paraId="7DCCDE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(2:0)</w:t>
            </w:r>
          </w:p>
        </w:tc>
      </w:tr>
      <w:tr w:rsidR="00983732" w:rsidRPr="00A3026E" w14:paraId="77664D7E" w14:textId="77777777" w:rsidTr="00EA0DA7">
        <w:tc>
          <w:tcPr>
            <w:tcW w:w="1526" w:type="dxa"/>
          </w:tcPr>
          <w:p w14:paraId="2E52B5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сентября 1940</w:t>
            </w:r>
          </w:p>
        </w:tc>
        <w:tc>
          <w:tcPr>
            <w:tcW w:w="4710" w:type="dxa"/>
          </w:tcPr>
          <w:p w14:paraId="35FF5F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Воскресение Составление отчета</w:t>
            </w:r>
          </w:p>
        </w:tc>
        <w:tc>
          <w:tcPr>
            <w:tcW w:w="1102" w:type="dxa"/>
          </w:tcPr>
          <w:p w14:paraId="20F879D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FC0940B" w14:textId="77777777" w:rsidTr="00EA0DA7">
        <w:tc>
          <w:tcPr>
            <w:tcW w:w="1526" w:type="dxa"/>
          </w:tcPr>
          <w:p w14:paraId="2AB7E3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сентября 1940 </w:t>
            </w:r>
          </w:p>
        </w:tc>
        <w:tc>
          <w:tcPr>
            <w:tcW w:w="4710" w:type="dxa"/>
          </w:tcPr>
          <w:p w14:paraId="6BA5EB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4 полета. Исполнение штопора - 2 полета, 2 полета на макс.</w:t>
            </w:r>
          </w:p>
        </w:tc>
        <w:tc>
          <w:tcPr>
            <w:tcW w:w="1102" w:type="dxa"/>
          </w:tcPr>
          <w:p w14:paraId="574AE8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(2:15)</w:t>
            </w:r>
          </w:p>
        </w:tc>
      </w:tr>
      <w:tr w:rsidR="00983732" w:rsidRPr="00A3026E" w14:paraId="0695E7D2" w14:textId="77777777" w:rsidTr="00EA0DA7">
        <w:tc>
          <w:tcPr>
            <w:tcW w:w="1526" w:type="dxa"/>
          </w:tcPr>
          <w:p w14:paraId="49FC51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w:t>
            </w:r>
          </w:p>
        </w:tc>
        <w:tc>
          <w:tcPr>
            <w:tcW w:w="4710" w:type="dxa"/>
          </w:tcPr>
          <w:p w14:paraId="6FD142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Составление отчета и дополнительное фотографирование</w:t>
            </w:r>
          </w:p>
        </w:tc>
        <w:tc>
          <w:tcPr>
            <w:tcW w:w="1102" w:type="dxa"/>
          </w:tcPr>
          <w:p w14:paraId="4A003FA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13093F0" w14:textId="77777777" w:rsidTr="00EA0DA7">
        <w:tc>
          <w:tcPr>
            <w:tcW w:w="1526" w:type="dxa"/>
            <w:tcBorders>
              <w:bottom w:val="single" w:sz="12" w:space="0" w:color="auto"/>
            </w:tcBorders>
          </w:tcPr>
          <w:p w14:paraId="3FEB1F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w:t>
            </w:r>
          </w:p>
        </w:tc>
        <w:tc>
          <w:tcPr>
            <w:tcW w:w="4710" w:type="dxa"/>
            <w:tcBorders>
              <w:bottom w:val="single" w:sz="12" w:space="0" w:color="auto"/>
            </w:tcBorders>
          </w:tcPr>
          <w:p w14:paraId="3A1440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Полеты на расход горючего и облеты другими л</w:t>
            </w:r>
          </w:p>
        </w:tc>
        <w:tc>
          <w:tcPr>
            <w:tcW w:w="1102" w:type="dxa"/>
            <w:tcBorders>
              <w:bottom w:val="single" w:sz="12" w:space="0" w:color="auto"/>
            </w:tcBorders>
          </w:tcPr>
          <w:p w14:paraId="35FC0AA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5FA822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Дневник испытаний (с-т № 6103)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4710"/>
        <w:gridCol w:w="1102"/>
      </w:tblGrid>
      <w:tr w:rsidR="00983732" w:rsidRPr="00A3026E" w14:paraId="32851940" w14:textId="77777777" w:rsidTr="00EA0DA7">
        <w:tc>
          <w:tcPr>
            <w:tcW w:w="1526" w:type="dxa"/>
            <w:tcBorders>
              <w:top w:val="single" w:sz="12" w:space="0" w:color="auto"/>
            </w:tcBorders>
          </w:tcPr>
          <w:p w14:paraId="5046FB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Дата</w:t>
            </w:r>
          </w:p>
        </w:tc>
        <w:tc>
          <w:tcPr>
            <w:tcW w:w="4710" w:type="dxa"/>
            <w:tcBorders>
              <w:top w:val="single" w:sz="12" w:space="0" w:color="auto"/>
            </w:tcBorders>
          </w:tcPr>
          <w:p w14:paraId="4E1AD2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w:t>
            </w:r>
          </w:p>
        </w:tc>
        <w:tc>
          <w:tcPr>
            <w:tcW w:w="1102" w:type="dxa"/>
            <w:tcBorders>
              <w:top w:val="single" w:sz="12" w:space="0" w:color="auto"/>
            </w:tcBorders>
          </w:tcPr>
          <w:p w14:paraId="760B81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Примечение</w:t>
            </w:r>
          </w:p>
        </w:tc>
      </w:tr>
      <w:tr w:rsidR="00983732" w:rsidRPr="00A3026E" w14:paraId="40B7B4DA" w14:textId="77777777" w:rsidTr="00EA0DA7">
        <w:tc>
          <w:tcPr>
            <w:tcW w:w="1526" w:type="dxa"/>
          </w:tcPr>
          <w:p w14:paraId="37267B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августа 1940</w:t>
            </w:r>
          </w:p>
        </w:tc>
        <w:tc>
          <w:tcPr>
            <w:tcW w:w="4710" w:type="dxa"/>
          </w:tcPr>
          <w:p w14:paraId="5A5504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11:00 произвел посадку на аэродроме НИИ. На с-те обнаружены дефекты: обрыв левого аварийного тросса выпуска шасси. При уборке не полностью убиралась левая нога шасси. 4 полета Супруна. 3 полета Кубышкина. Не зажигалась левая сигнальная лампочка левого шасси</w:t>
            </w:r>
          </w:p>
        </w:tc>
        <w:tc>
          <w:tcPr>
            <w:tcW w:w="1102" w:type="dxa"/>
          </w:tcPr>
          <w:p w14:paraId="0AA03F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(0:40) + 3 (0:30)</w:t>
            </w:r>
          </w:p>
        </w:tc>
      </w:tr>
      <w:tr w:rsidR="00983732" w:rsidRPr="00A3026E" w14:paraId="45290171" w14:textId="77777777" w:rsidTr="00EA0DA7">
        <w:tc>
          <w:tcPr>
            <w:tcW w:w="1526" w:type="dxa"/>
          </w:tcPr>
          <w:p w14:paraId="62A1E3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августа 1940</w:t>
            </w:r>
          </w:p>
        </w:tc>
        <w:tc>
          <w:tcPr>
            <w:tcW w:w="4710" w:type="dxa"/>
          </w:tcPr>
          <w:p w14:paraId="779B59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полет на отстрел оружия воздухе. Кубышкин. Пулеметы ШКАС сожжены и закопчены</w:t>
            </w:r>
          </w:p>
        </w:tc>
        <w:tc>
          <w:tcPr>
            <w:tcW w:w="1102" w:type="dxa"/>
          </w:tcPr>
          <w:p w14:paraId="1DCFBA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(0:20)</w:t>
            </w:r>
          </w:p>
        </w:tc>
      </w:tr>
      <w:tr w:rsidR="00983732" w:rsidRPr="00A3026E" w14:paraId="1B9B935C" w14:textId="77777777" w:rsidTr="00EA0DA7">
        <w:tc>
          <w:tcPr>
            <w:tcW w:w="1526" w:type="dxa"/>
          </w:tcPr>
          <w:p w14:paraId="51291D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августа 1940</w:t>
            </w:r>
          </w:p>
        </w:tc>
        <w:tc>
          <w:tcPr>
            <w:tcW w:w="4710" w:type="dxa"/>
          </w:tcPr>
          <w:p w14:paraId="316BDB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Отстрел оружия в тире. Отказывала отдача.</w:t>
            </w:r>
          </w:p>
        </w:tc>
        <w:tc>
          <w:tcPr>
            <w:tcW w:w="1102" w:type="dxa"/>
          </w:tcPr>
          <w:p w14:paraId="11CA5E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B745E56" w14:textId="77777777" w:rsidTr="00EA0DA7">
        <w:tc>
          <w:tcPr>
            <w:tcW w:w="1526" w:type="dxa"/>
          </w:tcPr>
          <w:p w14:paraId="3A70F5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августа 1940</w:t>
            </w:r>
          </w:p>
        </w:tc>
        <w:tc>
          <w:tcPr>
            <w:tcW w:w="4710" w:type="dxa"/>
          </w:tcPr>
          <w:p w14:paraId="1A8182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Доводка бомбардировочного вооружения на земле. Произведено 2 полета на растряску бомб</w:t>
            </w:r>
          </w:p>
        </w:tc>
        <w:tc>
          <w:tcPr>
            <w:tcW w:w="1102" w:type="dxa"/>
          </w:tcPr>
          <w:p w14:paraId="7568AA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(0:20)</w:t>
            </w:r>
          </w:p>
        </w:tc>
      </w:tr>
      <w:tr w:rsidR="00983732" w:rsidRPr="00A3026E" w14:paraId="19178C90" w14:textId="77777777" w:rsidTr="00EA0DA7">
        <w:tc>
          <w:tcPr>
            <w:tcW w:w="1526" w:type="dxa"/>
          </w:tcPr>
          <w:p w14:paraId="4A53EC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сентября 1940</w:t>
            </w:r>
          </w:p>
        </w:tc>
        <w:tc>
          <w:tcPr>
            <w:tcW w:w="4710" w:type="dxa"/>
          </w:tcPr>
          <w:p w14:paraId="10A59E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Воскресенье. Низкая облачность, дождь. Съем мотора</w:t>
            </w:r>
          </w:p>
        </w:tc>
        <w:tc>
          <w:tcPr>
            <w:tcW w:w="1102" w:type="dxa"/>
          </w:tcPr>
          <w:p w14:paraId="3CAB779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F1C6571" w14:textId="77777777" w:rsidTr="00EA0DA7">
        <w:tc>
          <w:tcPr>
            <w:tcW w:w="1526" w:type="dxa"/>
          </w:tcPr>
          <w:p w14:paraId="377826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w:t>
            </w:r>
          </w:p>
        </w:tc>
        <w:tc>
          <w:tcPr>
            <w:tcW w:w="4710" w:type="dxa"/>
          </w:tcPr>
          <w:p w14:paraId="176389A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02" w:type="dxa"/>
          </w:tcPr>
          <w:p w14:paraId="60A4D8C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0EB6A5D" w14:textId="77777777" w:rsidTr="00EA0DA7">
        <w:tc>
          <w:tcPr>
            <w:tcW w:w="1526" w:type="dxa"/>
          </w:tcPr>
          <w:p w14:paraId="6F6C67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w:t>
            </w:r>
          </w:p>
        </w:tc>
        <w:tc>
          <w:tcPr>
            <w:tcW w:w="4710" w:type="dxa"/>
          </w:tcPr>
          <w:p w14:paraId="2CBE51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Закончен отстрел в тире</w:t>
            </w:r>
          </w:p>
        </w:tc>
        <w:tc>
          <w:tcPr>
            <w:tcW w:w="1102" w:type="dxa"/>
          </w:tcPr>
          <w:p w14:paraId="1C562C3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024AA56" w14:textId="77777777" w:rsidTr="00EA0DA7">
        <w:tc>
          <w:tcPr>
            <w:tcW w:w="1526" w:type="dxa"/>
          </w:tcPr>
          <w:p w14:paraId="525C3B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w:t>
            </w:r>
          </w:p>
        </w:tc>
        <w:tc>
          <w:tcPr>
            <w:tcW w:w="4710" w:type="dxa"/>
          </w:tcPr>
          <w:p w14:paraId="3766E6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6 полетов на стрельбу БС и ШКАС по земле и на растряску бомб</w:t>
            </w:r>
          </w:p>
        </w:tc>
        <w:tc>
          <w:tcPr>
            <w:tcW w:w="1102" w:type="dxa"/>
          </w:tcPr>
          <w:p w14:paraId="01A488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(1:30)</w:t>
            </w:r>
          </w:p>
        </w:tc>
      </w:tr>
      <w:tr w:rsidR="00983732" w:rsidRPr="00A3026E" w14:paraId="66F54244" w14:textId="77777777" w:rsidTr="00EA0DA7">
        <w:tc>
          <w:tcPr>
            <w:tcW w:w="1526" w:type="dxa"/>
          </w:tcPr>
          <w:p w14:paraId="39A763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w:t>
            </w:r>
          </w:p>
        </w:tc>
        <w:tc>
          <w:tcPr>
            <w:tcW w:w="4710" w:type="dxa"/>
          </w:tcPr>
          <w:p w14:paraId="659B95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утра - дождь. Во второй половине дня - 1 полет на стрельбу по конусу - стрельбы не было, т.к. неисправность мотора буксировщика. Один полет на устойчивость</w:t>
            </w:r>
          </w:p>
        </w:tc>
        <w:tc>
          <w:tcPr>
            <w:tcW w:w="1102" w:type="dxa"/>
          </w:tcPr>
          <w:p w14:paraId="1CC905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(0:10) + 1 (0:40)</w:t>
            </w:r>
          </w:p>
        </w:tc>
      </w:tr>
      <w:tr w:rsidR="00983732" w:rsidRPr="00A3026E" w14:paraId="587B3DD6" w14:textId="77777777" w:rsidTr="00EA0DA7">
        <w:tc>
          <w:tcPr>
            <w:tcW w:w="1526" w:type="dxa"/>
          </w:tcPr>
          <w:p w14:paraId="69FC1D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w:t>
            </w:r>
          </w:p>
        </w:tc>
        <w:tc>
          <w:tcPr>
            <w:tcW w:w="4710" w:type="dxa"/>
          </w:tcPr>
          <w:p w14:paraId="08044F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Два полета на устойчивость (1:20) и еще один полет на устойчивость (0:10). Не горела лампочка сигнализации шасси </w:t>
            </w:r>
          </w:p>
        </w:tc>
        <w:tc>
          <w:tcPr>
            <w:tcW w:w="1102" w:type="dxa"/>
          </w:tcPr>
          <w:p w14:paraId="285B7A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(1:30)</w:t>
            </w:r>
          </w:p>
        </w:tc>
      </w:tr>
      <w:tr w:rsidR="00983732" w:rsidRPr="00A3026E" w14:paraId="7CE76133" w14:textId="77777777" w:rsidTr="00EA0DA7">
        <w:tc>
          <w:tcPr>
            <w:tcW w:w="1526" w:type="dxa"/>
          </w:tcPr>
          <w:p w14:paraId="0B0017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w:t>
            </w:r>
          </w:p>
        </w:tc>
        <w:tc>
          <w:tcPr>
            <w:tcW w:w="4710" w:type="dxa"/>
          </w:tcPr>
          <w:p w14:paraId="1D8145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полет на продольную и боковую устойчивость. Шестой раз сорвало шплин гайки траверсы шасси</w:t>
            </w:r>
          </w:p>
        </w:tc>
        <w:tc>
          <w:tcPr>
            <w:tcW w:w="1102" w:type="dxa"/>
          </w:tcPr>
          <w:p w14:paraId="03555D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(0:45)</w:t>
            </w:r>
          </w:p>
        </w:tc>
      </w:tr>
      <w:tr w:rsidR="00983732" w:rsidRPr="00A3026E" w14:paraId="4888896A" w14:textId="77777777" w:rsidTr="00EA0DA7">
        <w:tc>
          <w:tcPr>
            <w:tcW w:w="1526" w:type="dxa"/>
          </w:tcPr>
          <w:p w14:paraId="5388D2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сентября 1940</w:t>
            </w:r>
          </w:p>
        </w:tc>
        <w:tc>
          <w:tcPr>
            <w:tcW w:w="4710" w:type="dxa"/>
          </w:tcPr>
          <w:p w14:paraId="430125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Воскресение Составление отчета</w:t>
            </w:r>
          </w:p>
        </w:tc>
        <w:tc>
          <w:tcPr>
            <w:tcW w:w="1102" w:type="dxa"/>
          </w:tcPr>
          <w:p w14:paraId="1E19381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1DC76ED" w14:textId="77777777" w:rsidTr="00EA0DA7">
        <w:tc>
          <w:tcPr>
            <w:tcW w:w="1526" w:type="dxa"/>
          </w:tcPr>
          <w:p w14:paraId="390C8B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сентября 1940 </w:t>
            </w:r>
          </w:p>
        </w:tc>
        <w:tc>
          <w:tcPr>
            <w:tcW w:w="4710" w:type="dxa"/>
          </w:tcPr>
          <w:p w14:paraId="316052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километраж (0:35) и перелет в Ногинск (0:10). В ногинске полеты на отстрел РС</w:t>
            </w:r>
          </w:p>
        </w:tc>
        <w:tc>
          <w:tcPr>
            <w:tcW w:w="1102" w:type="dxa"/>
          </w:tcPr>
          <w:p w14:paraId="575423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(0:45)</w:t>
            </w:r>
          </w:p>
        </w:tc>
      </w:tr>
      <w:tr w:rsidR="00983732" w:rsidRPr="00A3026E" w14:paraId="29037EDE" w14:textId="77777777" w:rsidTr="00EA0DA7">
        <w:tc>
          <w:tcPr>
            <w:tcW w:w="1526" w:type="dxa"/>
          </w:tcPr>
          <w:p w14:paraId="11CB56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w:t>
            </w:r>
          </w:p>
        </w:tc>
        <w:tc>
          <w:tcPr>
            <w:tcW w:w="4710" w:type="dxa"/>
          </w:tcPr>
          <w:p w14:paraId="40BDEA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полета на отстрел РС</w:t>
            </w:r>
          </w:p>
        </w:tc>
        <w:tc>
          <w:tcPr>
            <w:tcW w:w="1102" w:type="dxa"/>
          </w:tcPr>
          <w:p w14:paraId="50CECF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6FB899F2" w14:textId="77777777" w:rsidTr="00EA0DA7">
        <w:tc>
          <w:tcPr>
            <w:tcW w:w="1526" w:type="dxa"/>
            <w:tcBorders>
              <w:bottom w:val="single" w:sz="12" w:space="0" w:color="auto"/>
            </w:tcBorders>
          </w:tcPr>
          <w:p w14:paraId="0626C6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w:t>
            </w:r>
          </w:p>
        </w:tc>
        <w:tc>
          <w:tcPr>
            <w:tcW w:w="4710" w:type="dxa"/>
            <w:tcBorders>
              <w:bottom w:val="single" w:sz="12" w:space="0" w:color="auto"/>
            </w:tcBorders>
          </w:tcPr>
          <w:p w14:paraId="18A8F4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полета на бомбометание</w:t>
            </w:r>
          </w:p>
        </w:tc>
        <w:tc>
          <w:tcPr>
            <w:tcW w:w="1102" w:type="dxa"/>
            <w:tcBorders>
              <w:bottom w:val="single" w:sz="12" w:space="0" w:color="auto"/>
            </w:tcBorders>
          </w:tcPr>
          <w:p w14:paraId="24ABD93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17F6D5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(709,8).</w:t>
      </w:r>
    </w:p>
    <w:p w14:paraId="73560CA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7316B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20 сентября 1940 Самолет И-200 закончил госиспытания 13 сентября 1940 с положительной оценкой. Макс. скорость - 628 км/час. В результате испытаний выявлены мелкие дефекты, о которых даны указания ГК т. Микояну (10395,33).</w:t>
      </w:r>
    </w:p>
    <w:p w14:paraId="4DF3AE2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86E1CA4" w14:textId="77777777" w:rsidR="00C500F1" w:rsidRPr="00A3026E" w:rsidRDefault="00C500F1" w:rsidP="00A3026E">
      <w:pPr>
        <w:pStyle w:val="a3"/>
        <w:rPr>
          <w:color w:val="000000" w:themeColor="text1"/>
          <w:lang w:val="ru-RU"/>
        </w:rPr>
      </w:pPr>
      <w:r w:rsidRPr="00A3026E">
        <w:rPr>
          <w:color w:val="000000" w:themeColor="text1"/>
          <w:lang w:val="ru-RU"/>
        </w:rPr>
        <w:t>20 сентября 1940 начальник ВВС КА генерал-лейтенант авиации П.В. Рычагов утвердил отчёта по результатам госиспытаний И-200, в выводах которого, отмечалось:</w:t>
      </w:r>
      <w:r w:rsidRPr="00A3026E">
        <w:rPr>
          <w:rStyle w:val="480"/>
          <w:rFonts w:ascii="Times New Roman" w:hAnsi="Times New Roman" w:cs="Times New Roman"/>
          <w:i w:val="0"/>
          <w:color w:val="000000" w:themeColor="text1"/>
          <w:lang w:val="ru-RU"/>
        </w:rPr>
        <w:t xml:space="preserve"> «самолёт И-200 АМ-35А конструкции инженеров Микояна и Гуревича производства завода №1, по</w:t>
      </w:r>
      <w:r w:rsidRPr="00A3026E">
        <w:rPr>
          <w:color w:val="000000" w:themeColor="text1"/>
          <w:lang w:val="ru-RU"/>
        </w:rPr>
        <w:t xml:space="preserve"> своей скорости, </w:t>
      </w:r>
      <w:r w:rsidRPr="00A3026E">
        <w:rPr>
          <w:rStyle w:val="480"/>
          <w:rFonts w:ascii="Times New Roman" w:hAnsi="Times New Roman" w:cs="Times New Roman"/>
          <w:i w:val="0"/>
          <w:color w:val="000000" w:themeColor="text1"/>
          <w:lang w:val="ru-RU"/>
        </w:rPr>
        <w:t>равной 628 км/ч, является лучшим из отечественных опытных самолётов и не уступает одно</w:t>
      </w:r>
      <w:r w:rsidRPr="00A3026E">
        <w:rPr>
          <w:rStyle w:val="480"/>
          <w:rFonts w:ascii="Times New Roman" w:hAnsi="Times New Roman" w:cs="Times New Roman"/>
          <w:i w:val="0"/>
          <w:color w:val="000000" w:themeColor="text1"/>
          <w:lang w:val="ru-RU"/>
        </w:rPr>
        <w:softHyphen/>
        <w:t>типным</w:t>
      </w:r>
      <w:r w:rsidRPr="00A3026E">
        <w:rPr>
          <w:color w:val="000000" w:themeColor="text1"/>
          <w:lang w:val="ru-RU"/>
        </w:rPr>
        <w:t xml:space="preserve"> иностранным самолётам на высотах выше 5000 м» (15976).</w:t>
      </w:r>
    </w:p>
    <w:p w14:paraId="534D71B4" w14:textId="77777777" w:rsidR="00C500F1" w:rsidRPr="00A3026E" w:rsidRDefault="00C500F1" w:rsidP="00A3026E">
      <w:pPr>
        <w:pStyle w:val="a3"/>
        <w:rPr>
          <w:color w:val="000000" w:themeColor="text1"/>
          <w:lang w:val="ru-RU"/>
        </w:rPr>
      </w:pPr>
    </w:p>
    <w:p w14:paraId="5D0FF4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г. в выводах отчёта по результа</w:t>
      </w:r>
      <w:r w:rsidRPr="00A3026E">
        <w:rPr>
          <w:rFonts w:ascii="Times New Roman" w:hAnsi="Times New Roman"/>
          <w:color w:val="000000" w:themeColor="text1"/>
          <w:sz w:val="16"/>
          <w:szCs w:val="16"/>
        </w:rPr>
        <w:softHyphen/>
        <w:t>там госиспытаний, утвержденного начальником ВВС КА генерал-лейтенантом авиа</w:t>
      </w:r>
      <w:r w:rsidRPr="00A3026E">
        <w:rPr>
          <w:rFonts w:ascii="Times New Roman" w:hAnsi="Times New Roman"/>
          <w:color w:val="000000" w:themeColor="text1"/>
          <w:sz w:val="16"/>
          <w:szCs w:val="16"/>
        </w:rPr>
        <w:softHyphen/>
        <w:t>ции П.В. Рычаговым, отмечалось, что «самолёт И-200 АМ-35А конструк</w:t>
      </w:r>
      <w:r w:rsidRPr="00A3026E">
        <w:rPr>
          <w:rFonts w:ascii="Times New Roman" w:hAnsi="Times New Roman"/>
          <w:color w:val="000000" w:themeColor="text1"/>
          <w:sz w:val="16"/>
          <w:szCs w:val="16"/>
        </w:rPr>
        <w:softHyphen/>
        <w:t>ции инженеров Микояна и Гуревича производства завода №1, по своей скорости, равной 628 км/ч, является лучшим из отечественных опытных самолётов и не уступает однотипным иностранным самолё</w:t>
      </w:r>
      <w:r w:rsidRPr="00A3026E">
        <w:rPr>
          <w:rFonts w:ascii="Times New Roman" w:hAnsi="Times New Roman"/>
          <w:color w:val="000000" w:themeColor="text1"/>
          <w:sz w:val="16"/>
          <w:szCs w:val="16"/>
        </w:rPr>
        <w:softHyphen/>
        <w:t>там на высотах выше 5000 м». Стоит отметить, что в принципе ВВС КА получали истребитель, ко</w:t>
      </w:r>
      <w:r w:rsidRPr="00A3026E">
        <w:rPr>
          <w:rFonts w:ascii="Times New Roman" w:hAnsi="Times New Roman"/>
          <w:color w:val="000000" w:themeColor="text1"/>
          <w:sz w:val="16"/>
          <w:szCs w:val="16"/>
        </w:rPr>
        <w:softHyphen/>
        <w:t>торый хотели военные. Основные требования к новым боевым само</w:t>
      </w:r>
      <w:r w:rsidRPr="00A3026E">
        <w:rPr>
          <w:rFonts w:ascii="Times New Roman" w:hAnsi="Times New Roman"/>
          <w:color w:val="000000" w:themeColor="text1"/>
          <w:sz w:val="16"/>
          <w:szCs w:val="16"/>
        </w:rPr>
        <w:softHyphen/>
        <w:t>лётам они сформулировали вско</w:t>
      </w:r>
      <w:r w:rsidRPr="00A3026E">
        <w:rPr>
          <w:rFonts w:ascii="Times New Roman" w:hAnsi="Times New Roman"/>
          <w:color w:val="000000" w:themeColor="text1"/>
          <w:sz w:val="16"/>
          <w:szCs w:val="16"/>
        </w:rPr>
        <w:softHyphen/>
        <w:t>ре после нападения фашисткой Гер</w:t>
      </w:r>
      <w:r w:rsidRPr="00A3026E">
        <w:rPr>
          <w:rFonts w:ascii="Times New Roman" w:hAnsi="Times New Roman"/>
          <w:color w:val="000000" w:themeColor="text1"/>
          <w:sz w:val="16"/>
          <w:szCs w:val="16"/>
        </w:rPr>
        <w:softHyphen/>
        <w:t>мании на Польшу (11761).</w:t>
      </w:r>
    </w:p>
    <w:p w14:paraId="4813C6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9BFC7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ГИ завода 301 Алешин и 26 сентября Ст. военпред ГУВВС на заводе 301 ви2р Однолетков утвердили Временную инструкцию по уходу и эксплуатации И-26 (2950).</w:t>
      </w:r>
    </w:p>
    <w:p w14:paraId="0D4ABA7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6E10C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приказом ГУ ВВС решили провести войсковые испытания И-26 (Як-1) в 11иап в Кубинке в октябре-ноябре 1940. Сделали 1222 полета (65,42).</w:t>
      </w:r>
    </w:p>
    <w:p w14:paraId="02AF21D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B1C6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на 292 заводе был изготовлены первый серийный Як-1 (65,45).</w:t>
      </w:r>
    </w:p>
    <w:p w14:paraId="2629C7D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BE588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года Зам. начальника ВВС генерал-лейтенант авиации Астахов утвердил Заключение по эскизному проекту высотно-скоростного истребителя ИВС с М-120 и реактивно-воздушным двигателем ВРД</w:t>
      </w:r>
    </w:p>
    <w:p w14:paraId="1FC3FB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Конструкции Щербакова А.Я.</w:t>
      </w:r>
    </w:p>
    <w:p w14:paraId="3C9E63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234C88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Николаев</w:t>
      </w:r>
    </w:p>
    <w:p w14:paraId="4A120F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Назначение самолета</w:t>
      </w:r>
    </w:p>
    <w:p w14:paraId="31F22E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предложению конструктора самолет имеет назначение истребителя-перехватчика. Основным тактическим свойством самолета ИВС является его большая скорость, скороподъемность и потолок, обеспечиваемые установкой воздушно-реактивного двигателя (ВРД).</w:t>
      </w:r>
    </w:p>
    <w:p w14:paraId="32EC26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ИВС – цельнометаллический моноплан с низко-расположенным крылом и трехколесным убирающимся шасси.</w:t>
      </w:r>
    </w:p>
    <w:p w14:paraId="28871B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состоит из одной пушки калибра 23 мм, стреляющей через втулку винта с запасом снарядов 100 шт., двух синхронных крупнокалиберных пулеметов Березина с запасом патрон по 250 штук на каждый и двух пулеметов ШКАС с запасом патрон по 500 штук на пулемет.</w:t>
      </w:r>
    </w:p>
    <w:p w14:paraId="623197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 крыльями в перегрузочном варианте могут быть подвешены бомбы общим весом до 400 кг.</w:t>
      </w:r>
    </w:p>
    <w:p w14:paraId="237F86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6E533CA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Эскизный проект экспериментального высотно-скоростного истребителя с дополнительным воздушно-реактивным двигателем, предложденный инженером Щербаковым утвердить (4567).</w:t>
      </w:r>
    </w:p>
    <w:p w14:paraId="0A4BF2A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1EA975F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года Зам. начальника ВВС генерал-лейтенант авиации Астахов утвердил Заключение по эскизному проекту высотно-скоростного истребителя ИВС с М-120 и реактивно-воздушным двигателем ВРД Конструкции Щербакова А.Я. (6607).</w:t>
      </w:r>
    </w:p>
    <w:p w14:paraId="661E870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3C2DEC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Николаев</w:t>
      </w:r>
    </w:p>
    <w:p w14:paraId="48E1901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1060CD1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предложению конструктора самолет имеет назначение истребителя-перехватчика. Основным тактическим свойством самолета ИВС является его большая скорость, скороподъемность и потолок, обеспечиваемые установкой воздушно-реактивного двигателя (ВРД).</w:t>
      </w:r>
    </w:p>
    <w:p w14:paraId="6CA8E14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ИВС – цельнометаллический моноплан с низко-расположенным крылом и трехколесным убирающимся шасси.</w:t>
      </w:r>
    </w:p>
    <w:p w14:paraId="25D7D05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состоит из одной пушки калибра 23 мм, стреляющей через втулку винта с запасом снарядов 100 шт., двух синхронных крупнокалиберных пулеметов Березина с запасом патрон по 250 штук на каждый и двух пулеметов ШКАС с запасом патрон по 500 штук на пулемет.</w:t>
      </w:r>
    </w:p>
    <w:p w14:paraId="636068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 крыльями в перегрузочном варианте могут быть подвешены бомбы общим весом до 400 кг.</w:t>
      </w:r>
    </w:p>
    <w:p w14:paraId="048A81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0964FC8"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Эскизный проект экспериментального высотно-скоростного истребителя с дополнительным воздушно-реактивным двигателем, предложенный инженером Щербаковым утвердить (6607).</w:t>
      </w:r>
    </w:p>
    <w:p w14:paraId="317F8E6A"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p>
    <w:p w14:paraId="05873B6C" w14:textId="77777777" w:rsidR="00C66762" w:rsidRPr="00A3026E" w:rsidRDefault="00C66762" w:rsidP="00A3026E">
      <w:pPr>
        <w:pStyle w:val="a3"/>
        <w:widowControl/>
        <w:rPr>
          <w:color w:val="000000" w:themeColor="text1"/>
          <w:lang w:val="ru-RU"/>
        </w:rPr>
      </w:pPr>
      <w:r w:rsidRPr="00A3026E">
        <w:rPr>
          <w:color w:val="000000" w:themeColor="text1"/>
          <w:lang w:val="ru-RU"/>
        </w:rPr>
        <w:t>20 сентября 1940 года Зам. начальника ГУ ВВС генерал-лейтенант авиации Астахов утвердил:</w:t>
      </w:r>
    </w:p>
    <w:p w14:paraId="2FFF5994" w14:textId="77777777" w:rsidR="00C66762" w:rsidRPr="00A3026E" w:rsidRDefault="00C66762" w:rsidP="00A3026E">
      <w:pPr>
        <w:pStyle w:val="a3"/>
        <w:widowControl/>
        <w:rPr>
          <w:color w:val="000000" w:themeColor="text1"/>
          <w:lang w:val="ru-RU"/>
        </w:rPr>
      </w:pPr>
      <w:r w:rsidRPr="00A3026E">
        <w:rPr>
          <w:color w:val="000000" w:themeColor="text1"/>
          <w:lang w:val="ru-RU"/>
        </w:rPr>
        <w:t>Выписку из заключения по эскизному проекту высотно-скоростного истребителя И.В.С. конструкции Щербакова А.Я. с воздушно-реактивным двигателем конструкции Меркулова И.А.</w:t>
      </w:r>
    </w:p>
    <w:p w14:paraId="721C5735"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назначение самолета.</w:t>
      </w:r>
    </w:p>
    <w:p w14:paraId="444A814B" w14:textId="77777777" w:rsidR="00C66762" w:rsidRPr="00A3026E" w:rsidRDefault="00C66762" w:rsidP="00A3026E">
      <w:pPr>
        <w:pStyle w:val="a3"/>
        <w:widowControl/>
        <w:rPr>
          <w:color w:val="000000" w:themeColor="text1"/>
          <w:lang w:val="ru-RU"/>
        </w:rPr>
      </w:pPr>
      <w:r w:rsidRPr="00A3026E">
        <w:rPr>
          <w:color w:val="000000" w:themeColor="text1"/>
          <w:lang w:val="ru-RU"/>
        </w:rPr>
        <w:t>По предложению конструктора, самолет имеет назначение истребителя-перехватчика. Основным тактическим свойством самолета ИВС является его большая скорость, скороподъемность и потолок, обеспечиваемые установкой дополнительного воздушно-ракетного двигателя (ВРД).</w:t>
      </w:r>
    </w:p>
    <w:p w14:paraId="794EE998" w14:textId="77777777" w:rsidR="00C66762" w:rsidRPr="00A3026E" w:rsidRDefault="00C66762" w:rsidP="00A3026E">
      <w:pPr>
        <w:pStyle w:val="a3"/>
        <w:widowControl/>
        <w:rPr>
          <w:color w:val="000000" w:themeColor="text1"/>
          <w:lang w:val="ru-RU"/>
        </w:rPr>
      </w:pPr>
      <w:r w:rsidRPr="00A3026E">
        <w:rPr>
          <w:color w:val="000000" w:themeColor="text1"/>
          <w:lang w:val="ru-RU"/>
        </w:rPr>
        <w:t>Кратковременное использование ВРД позволяет самолету осуществить догон противника, перехват и возможность в бою иметь преимущество за счет прироста максимальной скорости с 700 км/час до 825 км/час, улучшение скороподъемности (время подъема на 8000 м 6,2 мин. вместо 7,4 без ВРД) и увеличение потолка до 14000 вместо 12000 м без ВРД.</w:t>
      </w:r>
    </w:p>
    <w:p w14:paraId="636453C5" w14:textId="77777777" w:rsidR="00C66762" w:rsidRPr="00A3026E" w:rsidRDefault="00C66762" w:rsidP="00A3026E">
      <w:pPr>
        <w:pStyle w:val="a3"/>
        <w:widowControl/>
        <w:rPr>
          <w:color w:val="000000" w:themeColor="text1"/>
          <w:lang w:val="ru-RU"/>
        </w:rPr>
      </w:pPr>
      <w:r w:rsidRPr="00A3026E">
        <w:rPr>
          <w:color w:val="000000" w:themeColor="text1"/>
          <w:lang w:val="ru-RU"/>
        </w:rPr>
        <w:t>Краткое описание конструкции самолета</w:t>
      </w:r>
    </w:p>
    <w:p w14:paraId="1AEE879B" w14:textId="77777777" w:rsidR="00C66762" w:rsidRPr="00A3026E" w:rsidRDefault="00C66762" w:rsidP="00A3026E">
      <w:pPr>
        <w:pStyle w:val="a3"/>
        <w:widowControl/>
        <w:rPr>
          <w:color w:val="000000" w:themeColor="text1"/>
          <w:lang w:val="ru-RU"/>
        </w:rPr>
      </w:pPr>
      <w:r w:rsidRPr="00A3026E">
        <w:rPr>
          <w:color w:val="000000" w:themeColor="text1"/>
          <w:lang w:val="ru-RU"/>
        </w:rPr>
        <w:t>Помимо основного мотора, в задней части фюзеляжа установлен воздушно-реактивный двигатель конструкции инженера Меркулова, входящий как органическое целое в конструкцию самолета (несъемный).</w:t>
      </w:r>
    </w:p>
    <w:p w14:paraId="4BD51362" w14:textId="77777777" w:rsidR="00C66762" w:rsidRPr="00A3026E" w:rsidRDefault="00C66762" w:rsidP="00A3026E">
      <w:pPr>
        <w:pStyle w:val="a3"/>
        <w:widowControl/>
        <w:rPr>
          <w:color w:val="000000" w:themeColor="text1"/>
          <w:lang w:val="ru-RU"/>
        </w:rPr>
      </w:pPr>
      <w:r w:rsidRPr="00A3026E">
        <w:rPr>
          <w:color w:val="000000" w:themeColor="text1"/>
          <w:lang w:val="ru-RU"/>
        </w:rPr>
        <w:t>Воздушно-реактивный двигатель. ВРД конструкции Меркулова представляет на себя тоннель переменного сечения, имеющий входное отверстие для забора воздуха снизу у задней кромки центроплана. Внутри тоннеля расположено несколько рядов форсунок распыляющих бензин. Тепло подводимое воздуху при сгорании бензина преобразуется в кинетическую энергию воздуха, в сужающейся выходной части тоннеля скорость воздуха еще более увеличивается. Выходя из тоннеля воздух создает дополнительную к основному мотору тягу (на Н=700 м и V самолета = 700 км/час Т=340 кг).</w:t>
      </w:r>
    </w:p>
    <w:p w14:paraId="48557AC8" w14:textId="77777777" w:rsidR="00C66762" w:rsidRPr="00A3026E" w:rsidRDefault="00C66762" w:rsidP="00A3026E">
      <w:pPr>
        <w:pStyle w:val="a3"/>
        <w:widowControl/>
        <w:rPr>
          <w:color w:val="000000" w:themeColor="text1"/>
          <w:lang w:val="ru-RU"/>
        </w:rPr>
      </w:pPr>
      <w:r w:rsidRPr="00A3026E">
        <w:rPr>
          <w:color w:val="000000" w:themeColor="text1"/>
          <w:lang w:val="ru-RU"/>
        </w:rPr>
        <w:t>Выхлопные газы мотора по специальным трубам также подводятся к тоннелю ВРД, что еще несколько увеличивает суммарную тягу, кроме того будет облегчать условия запуска ВРД. Мощность ВРД увеличивается с увеличением скорости самолета и высоты полета.</w:t>
      </w:r>
    </w:p>
    <w:p w14:paraId="12541EE1" w14:textId="77777777" w:rsidR="00C66762" w:rsidRPr="00A3026E" w:rsidRDefault="00C66762" w:rsidP="00A3026E">
      <w:pPr>
        <w:pStyle w:val="a3"/>
        <w:widowControl/>
        <w:rPr>
          <w:color w:val="000000" w:themeColor="text1"/>
          <w:lang w:val="ru-RU"/>
        </w:rPr>
      </w:pPr>
      <w:r w:rsidRPr="00A3026E">
        <w:rPr>
          <w:color w:val="000000" w:themeColor="text1"/>
          <w:lang w:val="ru-RU"/>
        </w:rPr>
        <w:t>В настоящее время у нас имеются некоторые экспериментальные данные по испытанию ВРД в полете.</w:t>
      </w:r>
    </w:p>
    <w:p w14:paraId="40315782" w14:textId="77777777" w:rsidR="00C66762" w:rsidRPr="00A3026E" w:rsidRDefault="00C66762" w:rsidP="00A3026E">
      <w:pPr>
        <w:pStyle w:val="a3"/>
        <w:widowControl/>
        <w:rPr>
          <w:color w:val="000000" w:themeColor="text1"/>
          <w:lang w:val="ru-RU"/>
        </w:rPr>
      </w:pPr>
      <w:r w:rsidRPr="00A3026E">
        <w:rPr>
          <w:color w:val="000000" w:themeColor="text1"/>
          <w:lang w:val="ru-RU"/>
        </w:rPr>
        <w:t>В июне 1940 года на заводе № 1 были закончены испытания ВРД состоящие из следующего:</w:t>
      </w:r>
    </w:p>
    <w:p w14:paraId="3FF6F1CA"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испытаний на земле</w:t>
      </w:r>
    </w:p>
    <w:p w14:paraId="7FA6AADF"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внешней подвеске двух маломощных ВРД под крыльями И-15 бис и испытаний в воздухе.</w:t>
      </w:r>
    </w:p>
    <w:p w14:paraId="37F61AB5" w14:textId="77777777" w:rsidR="00C66762" w:rsidRPr="00A3026E" w:rsidRDefault="00C66762" w:rsidP="00A3026E">
      <w:pPr>
        <w:pStyle w:val="a3"/>
        <w:widowControl/>
        <w:rPr>
          <w:color w:val="000000" w:themeColor="text1"/>
          <w:lang w:val="ru-RU"/>
        </w:rPr>
      </w:pPr>
      <w:r w:rsidRPr="00A3026E">
        <w:rPr>
          <w:color w:val="000000" w:themeColor="text1"/>
          <w:lang w:val="ru-RU"/>
        </w:rPr>
        <w:t>Установлено, что ВРД развивают указанные конструктором Меркуловым мощности. На земле работают надежно, после пяти часов непрерывной работы дефектов не обнаружено.</w:t>
      </w:r>
    </w:p>
    <w:p w14:paraId="776B6898" w14:textId="77777777" w:rsidR="00C66762" w:rsidRPr="00A3026E" w:rsidRDefault="00C66762" w:rsidP="00A3026E">
      <w:pPr>
        <w:pStyle w:val="a3"/>
        <w:widowControl/>
        <w:rPr>
          <w:color w:val="000000" w:themeColor="text1"/>
          <w:lang w:val="ru-RU"/>
        </w:rPr>
      </w:pPr>
      <w:r w:rsidRPr="00A3026E">
        <w:rPr>
          <w:color w:val="000000" w:themeColor="text1"/>
          <w:lang w:val="ru-RU"/>
        </w:rPr>
        <w:t>В полете 2 ВРД общим весом 25 кг развили мощность 125 л.с. на Н=2000 м и V=304,5 км/час.</w:t>
      </w:r>
    </w:p>
    <w:p w14:paraId="6E987D10" w14:textId="77777777" w:rsidR="00C66762" w:rsidRPr="00A3026E" w:rsidRDefault="00C66762" w:rsidP="00A3026E">
      <w:pPr>
        <w:pStyle w:val="a3"/>
        <w:widowControl/>
        <w:rPr>
          <w:color w:val="000000" w:themeColor="text1"/>
          <w:lang w:val="ru-RU"/>
        </w:rPr>
      </w:pPr>
      <w:r w:rsidRPr="00A3026E">
        <w:rPr>
          <w:color w:val="000000" w:themeColor="text1"/>
          <w:lang w:val="ru-RU"/>
        </w:rPr>
        <w:t>Прирост скорости получен 22 км/час.</w:t>
      </w:r>
    </w:p>
    <w:p w14:paraId="6B02B3BD" w14:textId="77777777" w:rsidR="00C66762" w:rsidRPr="00A3026E" w:rsidRDefault="00C66762" w:rsidP="00A3026E">
      <w:pPr>
        <w:pStyle w:val="a3"/>
        <w:widowControl/>
        <w:rPr>
          <w:color w:val="000000" w:themeColor="text1"/>
          <w:lang w:val="ru-RU"/>
        </w:rPr>
      </w:pPr>
      <w:r w:rsidRPr="00A3026E">
        <w:rPr>
          <w:color w:val="000000" w:themeColor="text1"/>
          <w:lang w:val="ru-RU"/>
        </w:rPr>
        <w:t>Если добавить сюда скорость, съедаемую сопротивлением самих установок ВРД, которые были установлены снаружи, прирост скорости получается 29-30 км/час.</w:t>
      </w:r>
    </w:p>
    <w:p w14:paraId="61B64D46"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Анализ запроектированных данных.</w:t>
      </w:r>
    </w:p>
    <w:p w14:paraId="29BF5AC3" w14:textId="77777777" w:rsidR="00C66762" w:rsidRPr="00A3026E" w:rsidRDefault="00C66762" w:rsidP="00A3026E">
      <w:pPr>
        <w:pStyle w:val="a3"/>
        <w:widowControl/>
        <w:rPr>
          <w:color w:val="000000" w:themeColor="text1"/>
          <w:lang w:val="ru-RU"/>
        </w:rPr>
      </w:pPr>
      <w:r w:rsidRPr="00A3026E">
        <w:rPr>
          <w:color w:val="000000" w:themeColor="text1"/>
          <w:lang w:val="ru-RU"/>
        </w:rPr>
        <w:t>Наличие дополнительного двигателя ВРД при относительной его простоте, позволяет значительно улучшить летные данные самолета (кратковременно).</w:t>
      </w:r>
    </w:p>
    <w:p w14:paraId="2D09A6A2" w14:textId="77777777" w:rsidR="00C66762" w:rsidRPr="00A3026E" w:rsidRDefault="00C66762" w:rsidP="00A3026E">
      <w:pPr>
        <w:pStyle w:val="a3"/>
        <w:widowControl/>
        <w:rPr>
          <w:color w:val="000000" w:themeColor="text1"/>
          <w:lang w:val="ru-RU"/>
        </w:rPr>
      </w:pPr>
      <w:r w:rsidRPr="00A3026E">
        <w:rPr>
          <w:color w:val="000000" w:themeColor="text1"/>
          <w:lang w:val="ru-RU"/>
        </w:rPr>
        <w:t>Г. Летные данные самолета.</w:t>
      </w:r>
    </w:p>
    <w:p w14:paraId="664A6CBE" w14:textId="77777777" w:rsidR="00C66762" w:rsidRPr="00A3026E" w:rsidRDefault="00C66762" w:rsidP="00A3026E">
      <w:pPr>
        <w:pStyle w:val="a3"/>
        <w:widowControl/>
        <w:rPr>
          <w:color w:val="000000" w:themeColor="text1"/>
          <w:lang w:val="ru-RU"/>
        </w:rPr>
      </w:pPr>
      <w:r w:rsidRPr="00A3026E">
        <w:rPr>
          <w:color w:val="000000" w:themeColor="text1"/>
          <w:lang w:val="ru-RU"/>
        </w:rPr>
        <w:t>Установка ВРД значительно улучшает максимальную скорость, потолок и немного – скороподъемность.</w:t>
      </w:r>
    </w:p>
    <w:p w14:paraId="503A9156" w14:textId="77777777" w:rsidR="00C66762" w:rsidRPr="00A3026E" w:rsidRDefault="00C66762" w:rsidP="00A3026E">
      <w:pPr>
        <w:pStyle w:val="a3"/>
        <w:widowControl/>
        <w:rPr>
          <w:color w:val="000000" w:themeColor="text1"/>
          <w:lang w:val="ru-RU"/>
        </w:rPr>
      </w:pPr>
      <w:r w:rsidRPr="00A3026E">
        <w:rPr>
          <w:color w:val="000000" w:themeColor="text1"/>
          <w:lang w:val="ru-RU"/>
        </w:rPr>
        <w:t>Эффективность ВРД, а вместе с этим и прирост скорости увеличивается с увеличением скорости и высоты полета (на V=600-700 км/час и Н=8000 м, дельта V=100-125 км/час).</w:t>
      </w:r>
    </w:p>
    <w:p w14:paraId="71E661B0" w14:textId="77777777" w:rsidR="00C66762" w:rsidRPr="00A3026E" w:rsidRDefault="00C66762" w:rsidP="00A3026E">
      <w:pPr>
        <w:pStyle w:val="a3"/>
        <w:widowControl/>
        <w:rPr>
          <w:color w:val="000000" w:themeColor="text1"/>
          <w:lang w:val="ru-RU"/>
        </w:rPr>
      </w:pPr>
      <w:r w:rsidRPr="00A3026E">
        <w:rPr>
          <w:color w:val="000000" w:themeColor="text1"/>
          <w:lang w:val="ru-RU"/>
        </w:rPr>
        <w:t>С выключенными ВРД самолет соответствует по своим летным данным уровню проектируемых современных истребителей:</w:t>
      </w:r>
    </w:p>
    <w:p w14:paraId="2E3E87C9" w14:textId="77777777" w:rsidR="00C66762" w:rsidRPr="00A3026E" w:rsidRDefault="00C66762" w:rsidP="00A3026E">
      <w:pPr>
        <w:pStyle w:val="a3"/>
        <w:widowControl/>
        <w:rPr>
          <w:color w:val="000000" w:themeColor="text1"/>
          <w:lang w:val="ru-RU"/>
        </w:rPr>
      </w:pPr>
      <w:r w:rsidRPr="00A3026E">
        <w:rPr>
          <w:color w:val="000000" w:themeColor="text1"/>
          <w:lang w:val="ru-RU"/>
        </w:rPr>
        <w:t>а) Подсчет максимальных скоростей, скороподъемности и потолка, как без ВРД, так и с его включением, сделаны правильно и полученные данные могут считаться реальными.</w:t>
      </w:r>
    </w:p>
    <w:p w14:paraId="2FEC04C2" w14:textId="77777777" w:rsidR="00C66762" w:rsidRPr="00A3026E" w:rsidRDefault="00C66762" w:rsidP="00A3026E">
      <w:pPr>
        <w:pStyle w:val="a3"/>
        <w:widowControl/>
        <w:rPr>
          <w:color w:val="000000" w:themeColor="text1"/>
          <w:lang w:val="ru-RU"/>
        </w:rPr>
      </w:pPr>
      <w:r w:rsidRPr="00A3026E">
        <w:rPr>
          <w:color w:val="000000" w:themeColor="text1"/>
          <w:lang w:val="ru-RU"/>
        </w:rPr>
        <w:t>Выводы</w:t>
      </w:r>
    </w:p>
    <w:p w14:paraId="0C7F5F0C"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Предлагаемый конструктором Щербаковым проект скоростного истребителя заслуживает серьезного внимания в части применения ВРД, как средства кратковременного повышения летных данных самолета и в части применения герметической кабины.</w:t>
      </w:r>
    </w:p>
    <w:p w14:paraId="0D6DF74D"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Самолет ИВС с включением ВРД имеет современные летно-тактические данные. Наличие экспериментальных данных по испытанию ВРД в полете дает возможность утверждать, что эффективность ВРД, входящего как органическое целое в конструкцию современного скоростного истребителя будет высокой (на V=700 км/час прирост скорости 125-130 км/час).</w:t>
      </w:r>
    </w:p>
    <w:p w14:paraId="4EB4F154" w14:textId="77777777" w:rsidR="00C66762" w:rsidRPr="00A3026E" w:rsidRDefault="00C66762" w:rsidP="00A3026E">
      <w:pPr>
        <w:pStyle w:val="a3"/>
        <w:widowControl/>
        <w:rPr>
          <w:color w:val="000000" w:themeColor="text1"/>
          <w:lang w:val="ru-RU"/>
        </w:rPr>
      </w:pPr>
      <w:r w:rsidRPr="00A3026E">
        <w:rPr>
          <w:color w:val="000000" w:themeColor="text1"/>
          <w:lang w:val="ru-RU"/>
        </w:rPr>
        <w:t>Заключение</w:t>
      </w:r>
    </w:p>
    <w:p w14:paraId="0E9B11BD"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Эскизный проект экспериментального высокоскоростного истребителя с дополнительным воздушно-реактивным двигателем, предложенный инженером Щербаковым – утвердить.</w:t>
      </w:r>
    </w:p>
    <w:p w14:paraId="6E043A8D"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Данный проект, предусматривающий получение больших скоростей при помощи воздушно-реактивного двигателя, представляет особый интерес, поскольку с дальнейшим ростом скоростей, воздушные винты становятся все более неэффективными (3377, 83-86).</w:t>
      </w:r>
    </w:p>
    <w:p w14:paraId="33472A96" w14:textId="77777777" w:rsidR="00C66762" w:rsidRPr="00A3026E" w:rsidRDefault="00C66762" w:rsidP="00A3026E">
      <w:pPr>
        <w:pStyle w:val="a3"/>
        <w:widowControl/>
        <w:tabs>
          <w:tab w:val="left" w:pos="360"/>
        </w:tabs>
        <w:rPr>
          <w:color w:val="000000" w:themeColor="text1"/>
          <w:lang w:val="ru-RU"/>
        </w:rPr>
      </w:pPr>
    </w:p>
    <w:p w14:paraId="4C397D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закончились испытания ПВРД ДМ-2 конструкции И.А.Меркулова на И-153 N 6034, которые велись с 3 сентября 1940 (366,46).</w:t>
      </w:r>
    </w:p>
    <w:p w14:paraId="5494773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AED6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года начальник Штаба ВВС генерал-майор Никишев писал письмо № 466234сс начальнику снабжения и вооружения ГУВВС генерал-лейтенанту авиации Астахову</w:t>
      </w:r>
    </w:p>
    <w:p w14:paraId="746F30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приказа НКО № 0051 от 18 сентября 1940 года к испытанию по приказу начальника ГУВВС № 0012 от 17 сентября 1940 года приступить не с 19 сентября, а с 21 сентября 1940 года и закончить к 3 октября 1940 года.</w:t>
      </w:r>
    </w:p>
    <w:p w14:paraId="689E9D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испытании самолетов И153 и И16 с мотором М-63 руководствоваться программой, утвержденной наркомом обороны (7712, 405).</w:t>
      </w:r>
    </w:p>
    <w:p w14:paraId="28064EA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03F3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года самолет И-207/3 М-63 – гл. конструкторы Флоров, Боровков, Завод № 207, в разобранном виде прибыл в НИИ. Сборка и нивеллировка самолета закончены 28 сентября. С 30 сентября 1940 года по 3 октября 1940 года на самолете произведены работы, предусмотренные программой испытаний.</w:t>
      </w:r>
    </w:p>
    <w:p w14:paraId="539F3E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3 октября 1940 года произведено 2 полета: пробный и с корпусами 100 кг бомб для определения поведения самолета с бомбовой подвеской. В результатах полета выявлено:</w:t>
      </w:r>
    </w:p>
    <w:p w14:paraId="1F331EC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Бомбовая подвеска вредного влияния на устойчивость, управляемость и взлетно-посадочные свойства самолета не оказывает.</w:t>
      </w:r>
    </w:p>
    <w:p w14:paraId="073176A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Установленные на самолете нестандартные бомбовые замки имеют крупноконструктивный дефект. Замки сняты и отправлены на завод № 207 для изменения.</w:t>
      </w:r>
    </w:p>
    <w:p w14:paraId="0FA229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 произведен полет с 100 кг бомбами для бомбометания с пикирования под углом 45 градусов. Полет прошел нормально. Всего за время заводских испытаний произведено 3 полета общей продолжительностью 3 часа 30 минут (3377, 26).</w:t>
      </w:r>
    </w:p>
    <w:p w14:paraId="5B21FA1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18430B4" w14:textId="77777777" w:rsidR="0035667A" w:rsidRPr="00A3026E" w:rsidRDefault="0035667A"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период с 20 сентября по 18 ок</w:t>
      </w:r>
      <w:r w:rsidRPr="00A3026E">
        <w:rPr>
          <w:color w:val="000000" w:themeColor="text1"/>
          <w:sz w:val="16"/>
          <w:szCs w:val="16"/>
        </w:rPr>
        <w:softHyphen/>
        <w:t>тября на заводе № 21 на втором экземпляре опыт</w:t>
      </w:r>
      <w:r w:rsidRPr="00A3026E">
        <w:rPr>
          <w:color w:val="000000" w:themeColor="text1"/>
          <w:sz w:val="16"/>
          <w:szCs w:val="16"/>
        </w:rPr>
        <w:softHyphen/>
        <w:t>ного истребителя И-21-2 была установлена первая опытно-серийная пушка ПТБ-23 (МП-6) зав. № 1 про</w:t>
      </w:r>
      <w:r w:rsidRPr="00A3026E">
        <w:rPr>
          <w:color w:val="000000" w:themeColor="text1"/>
          <w:sz w:val="16"/>
          <w:szCs w:val="16"/>
        </w:rPr>
        <w:softHyphen/>
        <w:t>изводства завода № 2 НКВ и проведен ее отстрел на земле. Пушка размещалась в развале блока ци</w:t>
      </w:r>
      <w:r w:rsidRPr="00A3026E">
        <w:rPr>
          <w:color w:val="000000" w:themeColor="text1"/>
          <w:sz w:val="16"/>
          <w:szCs w:val="16"/>
        </w:rPr>
        <w:softHyphen/>
        <w:t>линдров мотора М-105П и комплектовалась мага</w:t>
      </w:r>
      <w:r w:rsidRPr="00A3026E">
        <w:rPr>
          <w:color w:val="000000" w:themeColor="text1"/>
          <w:sz w:val="16"/>
          <w:szCs w:val="16"/>
        </w:rPr>
        <w:softHyphen/>
        <w:t>зином на 81 патрон. Стрельба в воздухе из пушки МП-6 была выполнена 11 ноября. Летал летчик-ис</w:t>
      </w:r>
      <w:r w:rsidRPr="00A3026E">
        <w:rPr>
          <w:color w:val="000000" w:themeColor="text1"/>
          <w:sz w:val="16"/>
          <w:szCs w:val="16"/>
        </w:rPr>
        <w:softHyphen/>
        <w:t>пытатель И. И. Большаков. Всего в ходе заводских испытаний И-21-2 из пушки было выполнено 612 выстрелов, из них 76 — в воздухе, остальные — на земле. Пушка и пушечная установка с мотором от</w:t>
      </w:r>
      <w:r w:rsidRPr="00A3026E">
        <w:rPr>
          <w:color w:val="000000" w:themeColor="text1"/>
          <w:sz w:val="16"/>
          <w:szCs w:val="16"/>
        </w:rPr>
        <w:softHyphen/>
        <w:t>работали нормально, без особых нареканий. Сред</w:t>
      </w:r>
      <w:r w:rsidRPr="00A3026E">
        <w:rPr>
          <w:color w:val="000000" w:themeColor="text1"/>
          <w:sz w:val="16"/>
          <w:szCs w:val="16"/>
        </w:rPr>
        <w:softHyphen/>
        <w:t>ний темп стрельбы получился 550—570 выстр./ мин. Как выяснилось позже, на этот образец пушки была поставлена возвратная пружина запирающе</w:t>
      </w:r>
      <w:r w:rsidRPr="00A3026E">
        <w:rPr>
          <w:color w:val="000000" w:themeColor="text1"/>
          <w:sz w:val="16"/>
          <w:szCs w:val="16"/>
        </w:rPr>
        <w:softHyphen/>
        <w:t>го агрегата старого образца (не увеличенной жест кости). Программу заводских испытаний самолета с полным отстрелом пушки и пушечной установки на живучесть (не менее 1000 выстрелов) завершить не удалось. По приказанию начальника ГУ ВВС КА генерал-лейтенанта П. В. Рычагова И-21-2 перегнали в НИИ ВВС на аэродром Чкаловский для производ</w:t>
      </w:r>
      <w:r w:rsidRPr="00A3026E">
        <w:rPr>
          <w:color w:val="000000" w:themeColor="text1"/>
          <w:sz w:val="16"/>
          <w:szCs w:val="16"/>
        </w:rPr>
        <w:softHyphen/>
        <w:t>ства государственных испытаний.</w:t>
      </w:r>
    </w:p>
    <w:p w14:paraId="074D35E5" w14:textId="77777777" w:rsidR="0035667A" w:rsidRPr="00A3026E" w:rsidRDefault="0035667A"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Пушка МП-6 зав. № 6 завода № 2 НКВ была пере</w:t>
      </w:r>
      <w:r w:rsidRPr="00A3026E">
        <w:rPr>
          <w:color w:val="000000" w:themeColor="text1"/>
          <w:sz w:val="16"/>
          <w:szCs w:val="16"/>
        </w:rPr>
        <w:softHyphen/>
        <w:t>дана на завод № 301 С. А. Лавочкину для установки на третий экземпляр опытного истребителя И-301-3 с целью испытаний стрельбой на земле и в воздухе (17500).</w:t>
      </w:r>
    </w:p>
    <w:p w14:paraId="38195720" w14:textId="77777777" w:rsidR="0035667A" w:rsidRPr="00A3026E" w:rsidRDefault="0035667A" w:rsidP="00A3026E">
      <w:pPr>
        <w:pStyle w:val="128"/>
        <w:shd w:val="clear" w:color="auto" w:fill="auto"/>
        <w:spacing w:after="0" w:line="240" w:lineRule="auto"/>
        <w:jc w:val="both"/>
        <w:rPr>
          <w:color w:val="000000" w:themeColor="text1"/>
          <w:sz w:val="16"/>
          <w:szCs w:val="16"/>
        </w:rPr>
      </w:pPr>
    </w:p>
    <w:p w14:paraId="3F3044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приказ НКАП N 502с поручил директорам заводов 1, 18, 21, 22, 23, 81, 135, 292, 301 выделить по два серийных самолета И-153-М63, СБ-2М103, ДБ-3М88, И16-М63, ББ22-2М103, И-26-М105П, ББ1-М87, УТ2-М11 и приступить с 1 октября к проведению летных испытаний до полного исчерпания их летного ресурса по типовой программе и завершить эти испытания в трех месячный срок. Хотели это сделать еще в августе (284,76).</w:t>
      </w:r>
    </w:p>
    <w:p w14:paraId="39C6DF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СОВ.СЕКРЕТНО</w:t>
      </w:r>
    </w:p>
    <w:p w14:paraId="1D7F2F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 НАРОДНОГО КОМИССАРА АВИАЦИОННОЙ ПРОШЛЕННОСТИ</w:t>
      </w:r>
    </w:p>
    <w:p w14:paraId="334201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г.Москва.</w:t>
      </w:r>
    </w:p>
    <w:p w14:paraId="0637ED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своевременного выявления и ликвидации дефектов самолетов, моторов и агрегатов, обычно обнаруживаемых лишь при массовой эксплоатации самолетов в строевых частях ВВС ПРИКАЗЫВАЮ:</w:t>
      </w:r>
    </w:p>
    <w:p w14:paraId="2A9FA9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Директорам заводов 1, 22, 18, 21, 81, 301, 292, 135, 23 выделить соответственно по два серийных самолета И-153-М63, СБ-2М103, ДБЗ-2М88, И16-М63, ББ22-2М103 и И26-М105П и приступить с 3 октября к проведению летных испытаний этих самолетов до полного исчерпания их летных ресурсов по прилагаемрй типовой программе.</w:t>
      </w:r>
    </w:p>
    <w:p w14:paraId="4A470C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При проведении испытаний вести тщательную фиксацию всех обнаруживаемых дефектов, производимых ремонтов, замены моторов и агрегатов, времени, затрачиваемого на устранение дефектов и всех факторов, определяющих живучесть материалы ной части.</w:t>
      </w:r>
    </w:p>
    <w:p w14:paraId="22B803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проведение испытаний устанавливаю двухмесячный срок, по истечении которого представить мне отчеты с указанием в них и систематизации всех вскрытых дефек</w:t>
      </w:r>
      <w:r w:rsidRPr="00A3026E">
        <w:rPr>
          <w:rFonts w:ascii="Times New Roman" w:hAnsi="Times New Roman"/>
          <w:color w:val="000000" w:themeColor="text1"/>
          <w:sz w:val="16"/>
          <w:szCs w:val="16"/>
        </w:rPr>
        <w:softHyphen/>
        <w:t>тов, а также мероприятий.необходимых для их устранения.</w:t>
      </w:r>
    </w:p>
    <w:p w14:paraId="0878FB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Испытания производить за счет оборотных средств заводов.</w:t>
      </w:r>
    </w:p>
    <w:p w14:paraId="246631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АВИАЦИОННОЙ ПРОМЫШЛЕННОСТИ (284,76).</w:t>
      </w:r>
    </w:p>
    <w:p w14:paraId="7F8228F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6B53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г. за N 501679 Молотову был представлен Доклад о моторе АМ-35А.</w:t>
      </w:r>
    </w:p>
    <w:p w14:paraId="136829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Календарь гос. испытаний мотора АМ-35А.</w:t>
      </w:r>
    </w:p>
    <w:p w14:paraId="1E078D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Ам-35А был предъявлен на гос. испытания 16 июля 1940 г.</w:t>
      </w:r>
    </w:p>
    <w:p w14:paraId="22CF5A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июля 1940 г. постановлением КО за N 323сс была назначена Правительственная комиссия для проведения этого испытания.</w:t>
      </w:r>
    </w:p>
    <w:p w14:paraId="07DC5E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16 по 27 июля 1940 года завод N 24 для устранения детонации мотора проводил заводские работы по подбору степени сжатия, диаметра крыльчатки нагнетателя и расходов топлива.</w:t>
      </w:r>
    </w:p>
    <w:p w14:paraId="2C2A7B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июля мотор N 170 был установлен на станок и с 31 июля по 3 августа 1940 года завод отлаживал мотор на станке с индивидуальной регулировкой карбюраторов. Поэтому гос. испытание мотора М-35А N 170 на станке началось 3 августа 1940 года. Все работы по гос. испытанию (включая испытания всех агрегатов, а также обмер деталей мотора после 100-часового испытания и их проверку на магнофлоксе и рентгене), были закончены 28 августа 1940 г.</w:t>
      </w:r>
    </w:p>
    <w:p w14:paraId="74C93D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4 сентября 1940 года было закончено составление отчета и отработаны выводы и заключение по гос. испытанию.</w:t>
      </w:r>
    </w:p>
    <w:p w14:paraId="674CDD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этого два раза (с 5 по 12 сентября и с 13 по 19 сентября) завод N 24 пытался доказать комиссии, что основные дефекты мотора (недостаточная высотность масляной помпы и разрушение задней опоры валика крыльчатки нагнетателя) им полностью устранены (3448,172).</w:t>
      </w:r>
    </w:p>
    <w:p w14:paraId="0AD611D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176DD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было подписано заключение по 100-часовым госиспытаниям на станке мотора АМ-35А</w:t>
      </w:r>
    </w:p>
    <w:p w14:paraId="581524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закончились 100-часовые госиспытания на станке мотора АМ-35А, которые проходили с 16 июля 1940</w:t>
      </w:r>
    </w:p>
    <w:p w14:paraId="3E16AB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Госкомиссия:</w:t>
      </w:r>
    </w:p>
    <w:p w14:paraId="06B84E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 нач. ОМТ НИИ ВВС КА би М.АА.Левин</w:t>
      </w:r>
    </w:p>
    <w:p w14:paraId="6799DE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Члены - вед. и НИИ ви2р М.Т.Лушин</w:t>
      </w:r>
    </w:p>
    <w:p w14:paraId="14F867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военпред на заводе № 24 ви2р М.Я.Калинников</w:t>
      </w:r>
    </w:p>
    <w:p w14:paraId="18B8C4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 8 ГУ НКАП Д.В.Королев</w:t>
      </w:r>
    </w:p>
    <w:p w14:paraId="035BDE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СКО зав. № 24 Е.М.Юдин</w:t>
      </w:r>
    </w:p>
    <w:p w14:paraId="7671E8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 8 ГУ НКАП М.П.Глаголева</w:t>
      </w:r>
    </w:p>
    <w:p w14:paraId="0AE001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по госиспытаниям:</w:t>
      </w:r>
    </w:p>
    <w:p w14:paraId="4EA1CB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Мотор АМ-25 № 170 пръявленный на ГИ удовлетворительно прошел 100-часовые ГИ на стенде, но испытания его агрегатов, а также приемочные испытания моторов малой серии и работа мотора на с-те И-200 выявили ряд дефектов. Наиболее серьезными из них являются: недостаточная высотность масляной помпы и разрушение задней опоры валика крыльчатки нагнетателя, до полного устранения которых надежность работы мотора на самолете не будет обеспечена.</w:t>
      </w:r>
    </w:p>
    <w:p w14:paraId="2FFBFD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Поэтому госиспытания мотора АМ-35А будут признаны удовлетворительными после:</w:t>
      </w:r>
    </w:p>
    <w:p w14:paraId="714458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полного устранения заводом № 24 разрушения задней втулки валика нагнетателя,</w:t>
      </w:r>
    </w:p>
    <w:p w14:paraId="65FFFA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окончательного сточасового испытания модифицированной масляной помпы с улучшеной высотностью на моторе АМ-35</w:t>
      </w:r>
    </w:p>
    <w:p w14:paraId="2826AD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повышения давления масла на с-те И-200 на высотах 8000-9000 м с 5.5 атм., имеющих место на этих высотах в настоящее время, до 6 атм. Или проверки надежности работы мотора на давлении 5,5 атм. 50-часовым испытанием 2-х моторов.</w:t>
      </w:r>
    </w:p>
    <w:p w14:paraId="6EE025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этого, Правительственной комиссией будет составлен акт об удовлетворительном окончании госиспытаний мотора АМ-35А</w:t>
      </w:r>
    </w:p>
    <w:p w14:paraId="281221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необходимость скорейшего получения серийных моторов АМ-35А для с-та И-200,Правительственная комиссия считает целесообразным запустить мотор АМ-35А в серийное производство на заводе № 24 и обязать НКАП (завод № 24 и соответствующие агреганые заводы) полностью устранить до начала серийного выпуска мотора АМ-35А разрушение задней опоры валика крыльчатки нагнетателя и недостаточную высотность масляной помпы на с-те И-200, а также другие дефекты, перечисленные в п. 8 и 10 б, г, д, ж выводов по испытанию.</w:t>
      </w:r>
    </w:p>
    <w:p w14:paraId="5A8B13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Правительственная комиссия считает, что мотор АМ-35А не обеспечен винтом, соответствующим высотности мотора, т.к. надежность мотора АМ-35А еще не проверена в условиях эксплуатации частей ВВС КА. Правительственная комиссия считает необходимым ограничить серийный выпуск мотора АМ-35А до удовлетворительных результатов войсковых испытаний 200 моторами.</w:t>
      </w:r>
    </w:p>
    <w:p w14:paraId="24812A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Правительственная комиссия считает необходимым обязать НКАП (заводы № 1 и № 24) предъявитиь НКО (ГУ ВВС КА) 10 с-тов И-200 с моторами АМ-35А на войсковые испытания не позднее 15 октября 1940 и один И-200 с АМ-35А не спец. Летные испытания не позднее 25 сентября 1940 г. НКЩ (ГУ ВВС КА) провести эти испытания в полуторомесячный срок, считая со дня предъявления.</w:t>
      </w:r>
    </w:p>
    <w:p w14:paraId="0A599E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ПК Левин</w:t>
      </w:r>
    </w:p>
    <w:p w14:paraId="2B29D4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Особое мнение тт. Королева, Глаголевой, Юдина:</w:t>
      </w:r>
    </w:p>
    <w:p w14:paraId="7EBCAC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основании приведенных длтительных 100-часовых испытаний мотор АМ-35А считать удовлетворительным</w:t>
      </w:r>
    </w:p>
    <w:p w14:paraId="27350C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целях скорейшего развертывания производства считать необходимым запуск в серийное производство мотора АМ-35А на заводе № 24</w:t>
      </w:r>
    </w:p>
    <w:p w14:paraId="3934D0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Дефекты недостаточно надежной работы опоры валика нагнетателя и недостаточной высотности маслосистемы должны быть устранены до начала выпуска из серийного производства мотора АМ-35А после нулевой серии.</w:t>
      </w:r>
    </w:p>
    <w:p w14:paraId="3A24E0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Устранение указанных дефектов проверить длительным 100-часовым комиссионным испытанием под наблюдением военного представителя ВВС на заводе № 24 не позже 15 октября 1940 г., после чего рвзрешить выпуск моторов на заводе.</w:t>
      </w:r>
    </w:p>
    <w:p w14:paraId="33B5B3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Акт об удовлетворительном окончании госиспытаний на станке мотора АМ-35А от 23 ноября 1940 г.</w:t>
      </w:r>
    </w:p>
    <w:p w14:paraId="5CC0FE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Правительственная комиссия, назначенная КО при СНК СССР для проведения госиспытаний мотора АМ-35А, рассмотрела материалы дополнительных работ, проведенных заводом № 24 в период с 20 сентября по 22 ноября 1944 для устранения основных дефектов мотора АМ-35А, указанных в заключении Правительственной комиссии по госиспытаниям мотора АМ-35А от 20 сентября 1940 г.:</w:t>
      </w:r>
    </w:p>
    <w:p w14:paraId="72F5DA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разрушение задней опоры вала нагнетателя</w:t>
      </w:r>
    </w:p>
    <w:p w14:paraId="5CDE9D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недостаточной высотности маслопомпы.</w:t>
      </w:r>
    </w:p>
    <w:p w14:paraId="6343D1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Правительственная комиссия установила, что в результате этих работ заводом № 24 проведены:</w:t>
      </w:r>
    </w:p>
    <w:p w14:paraId="3BC17F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приемояные (сдаточные и контрольные) испытания партии в 30 шт. моторов без разрушения задней опоря вала нагнетателя</w:t>
      </w:r>
    </w:p>
    <w:p w14:paraId="0944DC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совместные 80-часовые испытания мотора АМ-35А № 169 с измененной конструкцией нагнетателя (новый материал опоры, измененная конструкция валика, введена наружная смазка) и модифицированной маслопомпой с улучшенной высотностью.</w:t>
      </w:r>
    </w:p>
    <w:p w14:paraId="31D242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проходили при повышенной неуравновешенности угла крыльчатки (9,5 гр. вместо 2,5 гр., допускаемом в производстве мотора АМ-35А) и пониженном давлении масла (от 4,5 до 5,5 вместо допустимого давления 6 атм.).</w:t>
      </w:r>
    </w:p>
    <w:p w14:paraId="6A3D7D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осмотре после этого испытания задняя опора валика крыльчатки нагнетателя была в удовлетворительном состоянии.</w:t>
      </w:r>
    </w:p>
    <w:p w14:paraId="541717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положительных результатов испытаний:</w:t>
      </w:r>
    </w:p>
    <w:p w14:paraId="14E958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Правительственная комиссия признает госиспытания мотора АМ-35А на станке удовлетворительными</w:t>
      </w:r>
    </w:p>
    <w:p w14:paraId="56EC8C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Срок службы мотора АМ-35А до первой перебоки установить 100 часов</w:t>
      </w:r>
    </w:p>
    <w:p w14:paraId="4BE1D1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Ограничить выпуск мотора АМ-35А с прежней конструкцией нагнетателя - 250 моторов</w:t>
      </w:r>
    </w:p>
    <w:p w14:paraId="313153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Правительственная комиссия считает необходимым НКАП представить НКО на войсковые испытания 10 с-тов И-200 с мотором АМ-35А с нагнетателем прежней конструкции не позднее 1 декабря 1940 г. и на детные (войсковые и специальные) испытания 10 с-тов И-200 с мотором АМ-35А с нагнетателем измененной конструкции не позднее 1 января 1941 г.</w:t>
      </w:r>
    </w:p>
    <w:p w14:paraId="4C54E6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НКО (ГУ ВВС КА) закончить эти испытания в полуторомесячный срок, считая со дня предъявления.</w:t>
      </w:r>
    </w:p>
    <w:p w14:paraId="70187A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 задира поршней и гильз цилендров, растрескивания свинцовой бронзы коренных вкладышей коленвала и насечек на барабане вала и шестернях редуктора, выявленные при выпуске моторов нулевой и первой серии - устранить не позднее 1 февраля 1941 г.</w:t>
      </w:r>
    </w:p>
    <w:p w14:paraId="763296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Остальные дефекты мотора АМ-35А, указанные в выводах по результатам госиспытаний, а также при выпуске моторов нулевой и первой серий, устранить не позднее 1 мая 1941 г. и т.д...</w:t>
      </w:r>
    </w:p>
    <w:p w14:paraId="0DB414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Отработать ремонтную документацию по АМ-35А к 1 сентября 1941 г.</w:t>
      </w:r>
    </w:p>
    <w:p w14:paraId="50916A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комиссии Левин 23 ноября 1940</w:t>
      </w:r>
    </w:p>
    <w:p w14:paraId="75BE18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 мотору</w:t>
      </w:r>
    </w:p>
    <w:p w14:paraId="18C27D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Взлетная мощность 1350 л.с. +/- 2%</w:t>
      </w:r>
    </w:p>
    <w:p w14:paraId="785FE6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Давление взлетное (за карбюратором) 1250 мм +/- 10мм</w:t>
      </w:r>
    </w:p>
    <w:p w14:paraId="12271A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Давление взлетное на выходе нагнетателя 1350мм +/- 10%</w:t>
      </w:r>
    </w:p>
    <w:p w14:paraId="01419E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оборотов на взлете 2050 +/- 2%</w:t>
      </w:r>
    </w:p>
    <w:p w14:paraId="4D5C97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Удельный расход топлива 330-360 г/лс/час</w:t>
      </w:r>
    </w:p>
    <w:p w14:paraId="743E53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Температура воды на выходе не выше 120 гр</w:t>
      </w:r>
    </w:p>
    <w:p w14:paraId="161304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Минимальная температура 60 гр.</w:t>
      </w:r>
    </w:p>
    <w:p w14:paraId="72AAA5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Температура масла на выходе 85 гр. и не ниже 40 гр</w:t>
      </w:r>
    </w:p>
    <w:p w14:paraId="17981D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Номинальная мощность 1200</w:t>
      </w:r>
    </w:p>
    <w:p w14:paraId="41BE58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 1040+/- 2%</w:t>
      </w:r>
    </w:p>
    <w:p w14:paraId="3E5C40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Рк 1125 мм+/- 10%</w:t>
      </w:r>
    </w:p>
    <w:p w14:paraId="741532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Высотность - 2800-6000 м</w:t>
      </w:r>
    </w:p>
    <w:p w14:paraId="6C2D93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у земли 1120+/- 2%</w:t>
      </w:r>
    </w:p>
    <w:p w14:paraId="2B894E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Удельный расход 300-315 г/лс/ч</w:t>
      </w:r>
    </w:p>
    <w:p w14:paraId="4D97DE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обороты 2250, мин. 450</w:t>
      </w:r>
    </w:p>
    <w:p w14:paraId="563530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Сухой вес мотора (не входит Р-2, генератор, синхронизатор, выхлопные патрубки, а также помпы (Ак-4, МКЛ) - 830 кг +/- 2%</w:t>
      </w:r>
    </w:p>
    <w:p w14:paraId="519F4C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воды в системе 22 л</w:t>
      </w:r>
    </w:p>
    <w:p w14:paraId="67448E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Габариты</w:t>
      </w:r>
    </w:p>
    <w:p w14:paraId="4C2BE7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2402 м</w:t>
      </w:r>
    </w:p>
    <w:p w14:paraId="4B6E24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866 мм</w:t>
      </w:r>
    </w:p>
    <w:p w14:paraId="5B7D15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1088,8 мм (783)</w:t>
      </w:r>
    </w:p>
    <w:p w14:paraId="68BA5ED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0D56A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года постановление № 381сс КО</w:t>
      </w:r>
    </w:p>
    <w:p w14:paraId="266739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профиле, мощностях и сроках строительства заводов №№ 123, 128, 129 и 130 Наркомавиапрома</w:t>
      </w:r>
    </w:p>
    <w:p w14:paraId="6108C1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отмену постановления КО № 346сс 1939 года в части строительства заводов №№ 123, 128, 129 и 130 КО постановляет:</w:t>
      </w:r>
    </w:p>
    <w:p w14:paraId="28062C6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Разрешить Наркомавиапрому строить заводы №№ 123, 128, 129 и 130 под производство двухмоторных самолетов, вне зависимости от того какие самолеты (двухмоторные или одномоторные) будут поставлены для производства.</w:t>
      </w:r>
    </w:p>
    <w:p w14:paraId="0FE20EB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Установить следующие мощности заводов при двухсменной работе, 8 часовом рабочем дне с семидневной неделей: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18"/>
        <w:gridCol w:w="2700"/>
        <w:gridCol w:w="2790"/>
      </w:tblGrid>
      <w:tr w:rsidR="00983732" w:rsidRPr="00A3026E" w14:paraId="41CAD2D3" w14:textId="77777777" w:rsidTr="00EA0DA7">
        <w:tc>
          <w:tcPr>
            <w:tcW w:w="2718" w:type="dxa"/>
            <w:tcBorders>
              <w:top w:val="single" w:sz="12" w:space="0" w:color="auto"/>
            </w:tcBorders>
          </w:tcPr>
          <w:p w14:paraId="6E5B24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w:t>
            </w:r>
          </w:p>
        </w:tc>
        <w:tc>
          <w:tcPr>
            <w:tcW w:w="2700" w:type="dxa"/>
            <w:tcBorders>
              <w:top w:val="single" w:sz="12" w:space="0" w:color="auto"/>
            </w:tcBorders>
          </w:tcPr>
          <w:p w14:paraId="399F87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Одномоторной конструкции</w:t>
            </w:r>
          </w:p>
        </w:tc>
        <w:tc>
          <w:tcPr>
            <w:tcW w:w="2790" w:type="dxa"/>
            <w:tcBorders>
              <w:top w:val="single" w:sz="12" w:space="0" w:color="auto"/>
            </w:tcBorders>
          </w:tcPr>
          <w:p w14:paraId="381612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Двухмоторной конструкции</w:t>
            </w:r>
          </w:p>
        </w:tc>
      </w:tr>
      <w:tr w:rsidR="00983732" w:rsidRPr="00A3026E" w14:paraId="67F2C904" w14:textId="77777777" w:rsidTr="00EA0DA7">
        <w:tc>
          <w:tcPr>
            <w:tcW w:w="2718" w:type="dxa"/>
          </w:tcPr>
          <w:p w14:paraId="1D06B1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123</w:t>
            </w:r>
          </w:p>
        </w:tc>
        <w:tc>
          <w:tcPr>
            <w:tcW w:w="2700" w:type="dxa"/>
          </w:tcPr>
          <w:p w14:paraId="24C54B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w:t>
            </w:r>
          </w:p>
        </w:tc>
        <w:tc>
          <w:tcPr>
            <w:tcW w:w="2790" w:type="dxa"/>
          </w:tcPr>
          <w:p w14:paraId="3FEC51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384E4D95" w14:textId="77777777" w:rsidTr="00EA0DA7">
        <w:tc>
          <w:tcPr>
            <w:tcW w:w="2718" w:type="dxa"/>
          </w:tcPr>
          <w:p w14:paraId="68169B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128</w:t>
            </w:r>
          </w:p>
        </w:tc>
        <w:tc>
          <w:tcPr>
            <w:tcW w:w="2700" w:type="dxa"/>
          </w:tcPr>
          <w:p w14:paraId="4669E9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w:t>
            </w:r>
          </w:p>
        </w:tc>
        <w:tc>
          <w:tcPr>
            <w:tcW w:w="2790" w:type="dxa"/>
          </w:tcPr>
          <w:p w14:paraId="682A42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0C8CB7F5" w14:textId="77777777" w:rsidTr="00EA0DA7">
        <w:tc>
          <w:tcPr>
            <w:tcW w:w="2718" w:type="dxa"/>
          </w:tcPr>
          <w:p w14:paraId="2F0324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129</w:t>
            </w:r>
          </w:p>
        </w:tc>
        <w:tc>
          <w:tcPr>
            <w:tcW w:w="2700" w:type="dxa"/>
          </w:tcPr>
          <w:p w14:paraId="269ECD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w:t>
            </w:r>
          </w:p>
        </w:tc>
        <w:tc>
          <w:tcPr>
            <w:tcW w:w="2790" w:type="dxa"/>
          </w:tcPr>
          <w:p w14:paraId="354E01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00434A37" w14:textId="77777777" w:rsidTr="00EA0DA7">
        <w:tc>
          <w:tcPr>
            <w:tcW w:w="2718" w:type="dxa"/>
            <w:tcBorders>
              <w:bottom w:val="single" w:sz="12" w:space="0" w:color="auto"/>
            </w:tcBorders>
          </w:tcPr>
          <w:p w14:paraId="0D79FB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130</w:t>
            </w:r>
          </w:p>
        </w:tc>
        <w:tc>
          <w:tcPr>
            <w:tcW w:w="2700" w:type="dxa"/>
            <w:tcBorders>
              <w:bottom w:val="single" w:sz="12" w:space="0" w:color="auto"/>
            </w:tcBorders>
          </w:tcPr>
          <w:p w14:paraId="1BACCB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w:t>
            </w:r>
          </w:p>
        </w:tc>
        <w:tc>
          <w:tcPr>
            <w:tcW w:w="2790" w:type="dxa"/>
            <w:tcBorders>
              <w:bottom w:val="single" w:sz="12" w:space="0" w:color="auto"/>
            </w:tcBorders>
          </w:tcPr>
          <w:p w14:paraId="4F0B51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bl>
    <w:p w14:paraId="3082CCD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Установить следующие сроки ввода в эксплуатацию:</w:t>
      </w:r>
    </w:p>
    <w:p w14:paraId="24FA0C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123 – IV квартал 1942 года</w:t>
      </w:r>
    </w:p>
    <w:p w14:paraId="27C09C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128 – IV квартал 1942 года</w:t>
      </w:r>
    </w:p>
    <w:p w14:paraId="234A1A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129 – II квартал 1943 года</w:t>
      </w:r>
    </w:p>
    <w:p w14:paraId="6CDC66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130 – IV квартал 1942 года (7595, 218).</w:t>
      </w:r>
    </w:p>
    <w:p w14:paraId="5E5ECB7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5B138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г. Управление Авиации НКВМФ писало письмо №46966 Начальнику ЦАГИ:</w:t>
      </w:r>
    </w:p>
    <w:p w14:paraId="2AC11D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Запрашиваемые Вашим отношением за №-7/2040с от 20.8.40. «Аварийные бюллетени» Авиации ВМФ высылаться не могут. Акты летных происшествий по вине материальной части будут высылаться Вам в трех экз.</w:t>
      </w:r>
    </w:p>
    <w:p w14:paraId="4D976C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Авиации ВМФ документация для расследования летных происшествий принята та же, что и в ВВС КА, т. е. установленная приказом НКО 1938 г. – №-0133.</w:t>
      </w:r>
    </w:p>
    <w:p w14:paraId="4525D4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данному вопросу можете связаться с Начальником 9 отдела Управления Авиации ВМФ Военинженером 1 ранга тов. ПРУССАКОВЫМ. /Тел. 45-54 по 2-му дому НКО/.</w:t>
      </w:r>
    </w:p>
    <w:p w14:paraId="575057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ШТАБА АВИАЦИИ ВМФ ГЕНЕРАЛ-МАЙОР АВИАЦИИ /подпись/ /КВАДЭ/» (Там же. Л. 52.).</w:t>
      </w:r>
    </w:p>
    <w:p w14:paraId="404C4FD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A9FB7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г. прицел для низкого торпедометания ПТН-5К был сдан Наркомвоенморфлоту для испытаний (4156,87).</w:t>
      </w:r>
    </w:p>
    <w:p w14:paraId="6C42616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99EBD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вышел приказ НКАП N 280 "Об утверждении в ученых степенях, без защиты диссертации конструкторов и научно-исследовательских работников АП":</w:t>
      </w:r>
    </w:p>
    <w:p w14:paraId="69C57F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А.С.Я.;</w:t>
      </w:r>
    </w:p>
    <w:p w14:paraId="58A98A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А.А.А. - ГК завода п/я 747;</w:t>
      </w:r>
    </w:p>
    <w:p w14:paraId="7B2954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Акимову Г.В. - ВИАМ;</w:t>
      </w:r>
    </w:p>
    <w:p w14:paraId="7B8E17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Беляеву В.Н. - ГК завода п/я 116;</w:t>
      </w:r>
    </w:p>
    <w:p w14:paraId="152E90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Дмитриевскому В.И. - ЦИАМ;</w:t>
      </w:r>
    </w:p>
    <w:p w14:paraId="367AA8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С.В.И. - ГК</w:t>
      </w:r>
    </w:p>
    <w:p w14:paraId="1AA0AB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Климову В.Я. - ГК завода п/я 20;</w:t>
      </w:r>
    </w:p>
    <w:p w14:paraId="20D386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Кузьмину Г.И. - ГК;</w:t>
      </w:r>
    </w:p>
    <w:p w14:paraId="6DCF92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Мусинянцу Г.М. - ЦАГИ;</w:t>
      </w:r>
    </w:p>
    <w:p w14:paraId="4F3B4D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Н.Н.П. - ГК завода п/я 2325;</w:t>
      </w:r>
    </w:p>
    <w:p w14:paraId="31086B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Поликовскому В.И. - ЦАГИ;</w:t>
      </w:r>
    </w:p>
    <w:p w14:paraId="2AFDD9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П.О.С. - ГК;</w:t>
      </w:r>
    </w:p>
    <w:p w14:paraId="678B49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Швецову А.Д. - ГК завода п/я 211;</w:t>
      </w:r>
    </w:p>
    <w:p w14:paraId="659057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Шишкину С.Н. - ЦАГИ (1102).</w:t>
      </w:r>
    </w:p>
    <w:p w14:paraId="6D6B180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084ACB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3CE3A88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4C4082D" w14:textId="77777777" w:rsidR="0035667A" w:rsidRPr="00A3026E" w:rsidRDefault="0035667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По состоянию на 21 сентября 1940 Ф-27 не просто построили, но и установили в танк Т-28. Она прошла испытания на пяти стрельбах, в общей сложности сделав 122 выстрела. Результаты оказались удовлетворительными. Ф-30 к тому моменту произвела 68 выстрелов, в результате были выявлены недостатки в ее конструкции.</w:t>
      </w:r>
    </w:p>
    <w:p w14:paraId="6F7A595F" w14:textId="77777777" w:rsidR="0035667A" w:rsidRPr="00A3026E" w:rsidRDefault="0035667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Когда к 26 сентября Ф-27 произвела 60 выстрелов, обнаружились проблемы в работе противооткатной системы. В течение ноября завод дорабатывал обнаруженные недостатки в конструкции. В итоге работы сильно затянулись, и в Т-150 установили систему Ф-32. Всего на работы, связанные с Ф-27, было потрачено 260 тысяч рублей (17675).</w:t>
      </w:r>
    </w:p>
    <w:p w14:paraId="43C3861A" w14:textId="77777777" w:rsidR="0035667A" w:rsidRPr="00A3026E" w:rsidRDefault="0035667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EFC5F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w:t>
      </w:r>
      <w:r w:rsidRPr="00A3026E">
        <w:rPr>
          <w:rFonts w:ascii="Times New Roman" w:hAnsi="Times New Roman"/>
          <w:color w:val="000000" w:themeColor="text1"/>
          <w:sz w:val="16"/>
          <w:szCs w:val="16"/>
        </w:rPr>
        <w:softHyphen/>
        <w:t>ря 1940 г. новый начальник ГАБТУ РККА Я. Федоренко, получил грамоту следующего содержания:</w:t>
      </w:r>
    </w:p>
    <w:p w14:paraId="72DCF3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«398-4139с</w:t>
      </w:r>
    </w:p>
    <w:p w14:paraId="21767C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20/1Х-40 г.</w:t>
      </w:r>
    </w:p>
    <w:p w14:paraId="599C7F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ГАБТУ КРАСНОЙ АРМИИ Генерал-лейтенанту ФЕДОРЕНКО</w:t>
      </w:r>
    </w:p>
    <w:p w14:paraId="63E69C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Дополнения Т.Т.Т. об"екта «126»</w:t>
      </w:r>
    </w:p>
    <w:p w14:paraId="211A05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отработки последующих образцов танка «СП» с вне</w:t>
      </w:r>
      <w:r w:rsidRPr="00A3026E">
        <w:rPr>
          <w:rFonts w:ascii="Times New Roman" w:hAnsi="Times New Roman"/>
          <w:color w:val="000000" w:themeColor="text1"/>
          <w:sz w:val="16"/>
          <w:szCs w:val="16"/>
        </w:rPr>
        <w:softHyphen/>
        <w:t>сением в него корректив по опыту изучения Германского тан</w:t>
      </w:r>
      <w:r w:rsidRPr="00A3026E">
        <w:rPr>
          <w:rFonts w:ascii="Times New Roman" w:hAnsi="Times New Roman"/>
          <w:color w:val="000000" w:themeColor="text1"/>
          <w:sz w:val="16"/>
          <w:szCs w:val="16"/>
        </w:rPr>
        <w:softHyphen/>
        <w:t>ка Т-3, Главспецмаш, в целях форсирования конструкторских работ и изготовления еще 2-х образцов танка, просит вас, в срочном порядке дать дополнительные требования с последу</w:t>
      </w:r>
      <w:r w:rsidRPr="00A3026E">
        <w:rPr>
          <w:rFonts w:ascii="Times New Roman" w:hAnsi="Times New Roman"/>
          <w:color w:val="000000" w:themeColor="text1"/>
          <w:sz w:val="16"/>
          <w:szCs w:val="16"/>
        </w:rPr>
        <w:softHyphen/>
        <w:t>ющим их оформлением в Правительстве и заключить соот</w:t>
      </w:r>
      <w:r w:rsidRPr="00A3026E">
        <w:rPr>
          <w:rFonts w:ascii="Times New Roman" w:hAnsi="Times New Roman"/>
          <w:color w:val="000000" w:themeColor="text1"/>
          <w:sz w:val="16"/>
          <w:szCs w:val="16"/>
        </w:rPr>
        <w:softHyphen/>
        <w:t>ветствующий договор с заводом №174 им. Ворошилова.</w:t>
      </w:r>
    </w:p>
    <w:p w14:paraId="7E4137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В/решение прошу не задержать.</w:t>
      </w:r>
    </w:p>
    <w:p w14:paraId="26FC85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Главспецмаша НКСМ /Суренян/» (10782).</w:t>
      </w:r>
    </w:p>
    <w:p w14:paraId="408F98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Интересно, что в тот же день зам. Наркома среднего машиностроения С. Акопов также направил Я. Федоренко свои соображения по корректировке ТПГ легкого танка:</w:t>
      </w:r>
    </w:p>
    <w:p w14:paraId="5FD37F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вас включить в требования по улучшению танка Т-126 кроме увеличения подвижности также обязательное снижение массы до 14 тн, так как его стоимость должна на</w:t>
      </w:r>
      <w:r w:rsidRPr="00A3026E">
        <w:rPr>
          <w:rFonts w:ascii="Times New Roman" w:hAnsi="Times New Roman"/>
          <w:color w:val="000000" w:themeColor="text1"/>
          <w:sz w:val="16"/>
          <w:szCs w:val="16"/>
        </w:rPr>
        <w:softHyphen/>
        <w:t>ходиться в заданных правительством рамках... Снижение массы танка необходимо также и для того, чтобы не прово</w:t>
      </w:r>
      <w:r w:rsidRPr="00A3026E">
        <w:rPr>
          <w:rFonts w:ascii="Times New Roman" w:hAnsi="Times New Roman"/>
          <w:color w:val="000000" w:themeColor="text1"/>
          <w:sz w:val="16"/>
          <w:szCs w:val="16"/>
        </w:rPr>
        <w:softHyphen/>
        <w:t>дить разработку новой подвески и трансмиссии, а использо</w:t>
      </w:r>
      <w:r w:rsidRPr="00A3026E">
        <w:rPr>
          <w:rFonts w:ascii="Times New Roman" w:hAnsi="Times New Roman"/>
          <w:color w:val="000000" w:themeColor="text1"/>
          <w:sz w:val="16"/>
          <w:szCs w:val="16"/>
        </w:rPr>
        <w:softHyphen/>
        <w:t>вать уже отработанные. В случае невозможности снижения массы танка иными способами, допускается уменьшить тол</w:t>
      </w:r>
      <w:r w:rsidRPr="00A3026E">
        <w:rPr>
          <w:rFonts w:ascii="Times New Roman" w:hAnsi="Times New Roman"/>
          <w:color w:val="000000" w:themeColor="text1"/>
          <w:sz w:val="16"/>
          <w:szCs w:val="16"/>
        </w:rPr>
        <w:softHyphen/>
        <w:t>щину его вертикального бронирования до 40мм.</w:t>
      </w:r>
    </w:p>
    <w:p w14:paraId="4FE122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такое снижение ТТТ допустимым, так как про</w:t>
      </w:r>
      <w:r w:rsidRPr="00A3026E">
        <w:rPr>
          <w:rFonts w:ascii="Times New Roman" w:hAnsi="Times New Roman"/>
          <w:color w:val="000000" w:themeColor="text1"/>
          <w:sz w:val="16"/>
          <w:szCs w:val="16"/>
        </w:rPr>
        <w:softHyphen/>
        <w:t>тивотанковая артиллерия большинства иностранных армий имеет на вооружении 37-мм пушку, снаряды которой снима</w:t>
      </w:r>
      <w:r w:rsidRPr="00A3026E">
        <w:rPr>
          <w:rFonts w:ascii="Times New Roman" w:hAnsi="Times New Roman"/>
          <w:color w:val="000000" w:themeColor="text1"/>
          <w:sz w:val="16"/>
          <w:szCs w:val="16"/>
        </w:rPr>
        <w:softHyphen/>
        <w:t>ются броней указанной толщины...» (10782).</w:t>
      </w:r>
    </w:p>
    <w:p w14:paraId="0AF2F8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62AC017"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5117EA1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D7CC6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20 по 24 сентября 1940 для конно-механизирован-ной группы им. Дзержинского, дви</w:t>
      </w:r>
      <w:r w:rsidRPr="00A3026E">
        <w:rPr>
          <w:rFonts w:ascii="Times New Roman" w:hAnsi="Times New Roman"/>
          <w:color w:val="000000" w:themeColor="text1"/>
          <w:sz w:val="16"/>
          <w:szCs w:val="16"/>
        </w:rPr>
        <w:softHyphen/>
        <w:t>гавшейся на Гродно, самолеты 3-го тбап в течение четырех дней, сбросили на пара</w:t>
      </w:r>
      <w:r w:rsidRPr="00A3026E">
        <w:rPr>
          <w:rFonts w:ascii="Times New Roman" w:hAnsi="Times New Roman"/>
          <w:color w:val="000000" w:themeColor="text1"/>
          <w:sz w:val="16"/>
          <w:szCs w:val="16"/>
        </w:rPr>
        <w:softHyphen/>
        <w:t>шютах или доставили посадочным способом 100 т горючего. Сам штаб ВВС Белорусского фронта после перебазирования в Волковысск 18 суток питался продуктами, сбро</w:t>
      </w:r>
      <w:r w:rsidRPr="00A3026E">
        <w:rPr>
          <w:rFonts w:ascii="Times New Roman" w:hAnsi="Times New Roman"/>
          <w:color w:val="000000" w:themeColor="text1"/>
          <w:sz w:val="16"/>
          <w:szCs w:val="16"/>
        </w:rPr>
        <w:softHyphen/>
        <w:t>шенными на парашютах. На Укра</w:t>
      </w:r>
      <w:r w:rsidRPr="00A3026E">
        <w:rPr>
          <w:rFonts w:ascii="Times New Roman" w:hAnsi="Times New Roman"/>
          <w:color w:val="000000" w:themeColor="text1"/>
          <w:sz w:val="16"/>
          <w:szCs w:val="16"/>
        </w:rPr>
        <w:softHyphen/>
        <w:t>инском фронте подобными пере</w:t>
      </w:r>
      <w:r w:rsidRPr="00A3026E">
        <w:rPr>
          <w:rFonts w:ascii="Times New Roman" w:hAnsi="Times New Roman"/>
          <w:color w:val="000000" w:themeColor="text1"/>
          <w:sz w:val="16"/>
          <w:szCs w:val="16"/>
        </w:rPr>
        <w:softHyphen/>
        <w:t>возками занимался 14-й тбап. Опе</w:t>
      </w:r>
      <w:r w:rsidRPr="00A3026E">
        <w:rPr>
          <w:rFonts w:ascii="Times New Roman" w:hAnsi="Times New Roman"/>
          <w:color w:val="000000" w:themeColor="text1"/>
          <w:sz w:val="16"/>
          <w:szCs w:val="16"/>
        </w:rPr>
        <w:softHyphen/>
        <w:t>рации в Польше закончились к се</w:t>
      </w:r>
      <w:r w:rsidRPr="00A3026E">
        <w:rPr>
          <w:rFonts w:ascii="Times New Roman" w:hAnsi="Times New Roman"/>
          <w:color w:val="000000" w:themeColor="text1"/>
          <w:sz w:val="16"/>
          <w:szCs w:val="16"/>
        </w:rPr>
        <w:softHyphen/>
        <w:t>редине октября 1939 г. (10690).</w:t>
      </w:r>
    </w:p>
    <w:p w14:paraId="56DED5E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BFFC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20 сентября 1940 го</w:t>
      </w:r>
      <w:r w:rsidRPr="00A3026E">
        <w:rPr>
          <w:rFonts w:ascii="Times New Roman" w:hAnsi="Times New Roman"/>
          <w:color w:val="000000" w:themeColor="text1"/>
          <w:sz w:val="16"/>
          <w:szCs w:val="16"/>
        </w:rPr>
        <w:softHyphen/>
        <w:t>да в ВВС не числилось ни одного самоле</w:t>
      </w:r>
      <w:r w:rsidRPr="00A3026E">
        <w:rPr>
          <w:rFonts w:ascii="Times New Roman" w:hAnsi="Times New Roman"/>
          <w:color w:val="000000" w:themeColor="text1"/>
          <w:sz w:val="16"/>
          <w:szCs w:val="16"/>
        </w:rPr>
        <w:softHyphen/>
        <w:t>та ДБ-1 (12725).</w:t>
      </w:r>
    </w:p>
    <w:tbl>
      <w:tblPr>
        <w:tblW w:w="0" w:type="auto"/>
        <w:tblLayout w:type="fixed"/>
        <w:tblCellMar>
          <w:left w:w="10" w:type="dxa"/>
          <w:right w:w="10" w:type="dxa"/>
        </w:tblCellMar>
        <w:tblLook w:val="04A0" w:firstRow="1" w:lastRow="0" w:firstColumn="1" w:lastColumn="0" w:noHBand="0" w:noVBand="1"/>
      </w:tblPr>
      <w:tblGrid>
        <w:gridCol w:w="2657"/>
        <w:gridCol w:w="1177"/>
        <w:gridCol w:w="1174"/>
        <w:gridCol w:w="1170"/>
        <w:gridCol w:w="1174"/>
        <w:gridCol w:w="1170"/>
        <w:gridCol w:w="1148"/>
      </w:tblGrid>
      <w:tr w:rsidR="00983732" w:rsidRPr="00A3026E" w14:paraId="42808F8D" w14:textId="77777777" w:rsidTr="00EA0DA7">
        <w:trPr>
          <w:trHeight w:val="500"/>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093F98A1"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Самолет</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67CF0CDC"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ДБ-1</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0D2D52DB"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АНТ-36-</w:t>
            </w:r>
          </w:p>
          <w:p w14:paraId="1ED0437F"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РДД</w:t>
            </w:r>
            <w:r w:rsidRPr="00A3026E">
              <w:rPr>
                <w:rFonts w:ascii="Times New Roman" w:hAnsi="Times New Roman" w:cs="Times New Roman"/>
                <w:color w:val="000000" w:themeColor="text1"/>
                <w:vertAlign w:val="superscript"/>
              </w:rPr>
              <w:t>6)</w:t>
            </w:r>
          </w:p>
        </w:tc>
        <w:tc>
          <w:tcPr>
            <w:tcW w:w="2344" w:type="dxa"/>
            <w:gridSpan w:val="2"/>
            <w:tcBorders>
              <w:top w:val="single" w:sz="4" w:space="0" w:color="auto"/>
              <w:left w:val="single" w:sz="4" w:space="0" w:color="auto"/>
              <w:bottom w:val="single" w:sz="4" w:space="0" w:color="auto"/>
              <w:right w:val="single" w:sz="4" w:space="0" w:color="auto"/>
            </w:tcBorders>
            <w:shd w:val="clear" w:color="auto" w:fill="FFFFFF"/>
          </w:tcPr>
          <w:p w14:paraId="36BA31DC"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РД-1</w:t>
            </w:r>
            <w:r w:rsidRPr="00A3026E">
              <w:rPr>
                <w:rFonts w:ascii="Times New Roman" w:hAnsi="Times New Roman" w:cs="Times New Roman"/>
                <w:color w:val="000000" w:themeColor="text1"/>
                <w:vertAlign w:val="superscript"/>
              </w:rPr>
              <w:t>8</w:t>
            </w:r>
            <w:r w:rsidRPr="00A3026E">
              <w:rPr>
                <w:rFonts w:ascii="Times New Roman" w:hAnsi="Times New Roman" w:cs="Times New Roman"/>
                <w:color w:val="000000" w:themeColor="text1"/>
              </w:rPr>
              <w:t>»</w:t>
            </w:r>
          </w:p>
        </w:tc>
        <w:tc>
          <w:tcPr>
            <w:tcW w:w="2318" w:type="dxa"/>
            <w:gridSpan w:val="2"/>
            <w:tcBorders>
              <w:top w:val="single" w:sz="4" w:space="0" w:color="auto"/>
              <w:left w:val="single" w:sz="4" w:space="0" w:color="auto"/>
              <w:bottom w:val="single" w:sz="4" w:space="0" w:color="auto"/>
              <w:right w:val="single" w:sz="4" w:space="0" w:color="auto"/>
            </w:tcBorders>
            <w:shd w:val="clear" w:color="auto" w:fill="FFFFFF"/>
          </w:tcPr>
          <w:p w14:paraId="20178CC8"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РД-2</w:t>
            </w:r>
          </w:p>
        </w:tc>
      </w:tr>
      <w:tr w:rsidR="00983732" w:rsidRPr="00A3026E" w14:paraId="03AC42F0" w14:textId="77777777" w:rsidTr="00EA0DA7">
        <w:trPr>
          <w:trHeight w:val="288"/>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590FE5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Двигатель</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51D97C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М-34Р</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1F9378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АН-1</w:t>
            </w:r>
          </w:p>
        </w:tc>
        <w:tc>
          <w:tcPr>
            <w:tcW w:w="2344" w:type="dxa"/>
            <w:gridSpan w:val="2"/>
            <w:tcBorders>
              <w:top w:val="single" w:sz="4" w:space="0" w:color="auto"/>
              <w:left w:val="single" w:sz="4" w:space="0" w:color="auto"/>
              <w:bottom w:val="single" w:sz="4" w:space="0" w:color="auto"/>
              <w:right w:val="single" w:sz="4" w:space="0" w:color="auto"/>
            </w:tcBorders>
            <w:shd w:val="clear" w:color="auto" w:fill="FFFFFF"/>
          </w:tcPr>
          <w:p w14:paraId="777C69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М-34Р</w:t>
            </w:r>
          </w:p>
        </w:tc>
        <w:tc>
          <w:tcPr>
            <w:tcW w:w="2318" w:type="dxa"/>
            <w:gridSpan w:val="2"/>
            <w:tcBorders>
              <w:top w:val="single" w:sz="4" w:space="0" w:color="auto"/>
              <w:left w:val="single" w:sz="4" w:space="0" w:color="auto"/>
              <w:bottom w:val="single" w:sz="4" w:space="0" w:color="auto"/>
              <w:right w:val="single" w:sz="4" w:space="0" w:color="auto"/>
            </w:tcBorders>
            <w:shd w:val="clear" w:color="auto" w:fill="FFFFFF"/>
          </w:tcPr>
          <w:p w14:paraId="7AFAD4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М-34Р</w:t>
            </w:r>
          </w:p>
        </w:tc>
      </w:tr>
      <w:tr w:rsidR="00983732" w:rsidRPr="00A3026E" w14:paraId="7A21F92A"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029095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Степень сжатия</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7FC5398D"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4C3DCA70"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798C10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0D73AB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297D6F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4C33CB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w:t>
            </w:r>
          </w:p>
        </w:tc>
      </w:tr>
      <w:tr w:rsidR="00983732" w:rsidRPr="00A3026E" w14:paraId="68EB069D"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0460AC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Номинальная мощность, л.с.</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0BC4C313" w14:textId="77777777" w:rsidR="00C66762" w:rsidRPr="00A3026E" w:rsidRDefault="00C66762" w:rsidP="00A3026E">
            <w:pPr>
              <w:pStyle w:val="231"/>
              <w:shd w:val="clear" w:color="auto" w:fill="auto"/>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167C56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3B1787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814</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10C049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874</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3BD102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5C4F4A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w:t>
            </w:r>
          </w:p>
        </w:tc>
      </w:tr>
      <w:tr w:rsidR="00983732" w:rsidRPr="00A3026E" w14:paraId="58E53A1A"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1B69B2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крыла, м</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40F61B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3C8468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3EAD76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1FAF5E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25CC64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2D4205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w:t>
            </w:r>
          </w:p>
        </w:tc>
      </w:tr>
      <w:tr w:rsidR="00983732" w:rsidRPr="00A3026E" w14:paraId="09BA47D7"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6CF2CC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м</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39AA16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14,31"</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4D3A5C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13,4</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5303BD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13,85</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519A51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13,85</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283236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13,85</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295A56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13,85</w:t>
            </w:r>
          </w:p>
        </w:tc>
      </w:tr>
      <w:tr w:rsidR="00983732" w:rsidRPr="00A3026E" w14:paraId="0E474B4C" w14:textId="77777777" w:rsidTr="00EA0DA7">
        <w:trPr>
          <w:trHeight w:val="482"/>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4A62C5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(без учета наплывов), м</w:t>
            </w:r>
            <w:r w:rsidRPr="00A3026E">
              <w:rPr>
                <w:rFonts w:ascii="Times New Roman" w:hAnsi="Times New Roman"/>
                <w:color w:val="000000" w:themeColor="text1"/>
                <w:sz w:val="16"/>
                <w:szCs w:val="16"/>
                <w:vertAlign w:val="superscript"/>
              </w:rPr>
              <w:t>2</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4A3C6A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84,38</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0AC2CF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6E943C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47E7E4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263228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6D486B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r>
      <w:tr w:rsidR="00983732" w:rsidRPr="00A3026E" w14:paraId="694CC4D3"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60205C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кг</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5484D0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4020</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064B20F8" w14:textId="77777777" w:rsidR="00C66762" w:rsidRPr="00A3026E" w:rsidRDefault="00C66762" w:rsidP="00A3026E">
            <w:pPr>
              <w:pStyle w:val="231"/>
              <w:shd w:val="clear" w:color="auto" w:fill="auto"/>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0B3C6B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3452</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27E41BA8"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7505C3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3486,7'°&gt;</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792A5D5E"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ABB1485"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4127BF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нагрузки, кг</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2CDFCF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3786</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21196A79"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67165CC0" w14:textId="77777777" w:rsidR="00C66762" w:rsidRPr="00A3026E" w:rsidRDefault="00C66762" w:rsidP="00A3026E">
            <w:pPr>
              <w:pStyle w:val="231"/>
              <w:shd w:val="clear" w:color="auto" w:fill="auto"/>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5FF125D0"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41448443"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7C92E729"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67E4C10"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660EF9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горючего, л</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677DCC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4900-'</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602663D5" w14:textId="77777777" w:rsidR="00C66762" w:rsidRPr="00A3026E" w:rsidRDefault="00C66762"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3BD0C5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58 80</w:t>
            </w:r>
            <w:r w:rsidRPr="00A3026E">
              <w:rPr>
                <w:rFonts w:ascii="Times New Roman" w:hAnsi="Times New Roman"/>
                <w:color w:val="000000" w:themeColor="text1"/>
                <w:sz w:val="16"/>
                <w:szCs w:val="16"/>
                <w:vertAlign w:val="superscript"/>
              </w:rPr>
              <w:t>9</w:t>
            </w:r>
            <w:r w:rsidRPr="00A3026E">
              <w:rPr>
                <w:rFonts w:ascii="Times New Roman" w:hAnsi="Times New Roman"/>
                <w:color w:val="000000" w:themeColor="text1"/>
                <w:sz w:val="16"/>
                <w:szCs w:val="16"/>
              </w:rPr>
              <w:t>»</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532D525E" w14:textId="77777777" w:rsidR="00C66762" w:rsidRPr="00A3026E" w:rsidRDefault="00C66762" w:rsidP="00A3026E">
            <w:pPr>
              <w:pStyle w:val="231"/>
              <w:shd w:val="clear" w:color="auto" w:fill="auto"/>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0CBDB99E" w14:textId="77777777" w:rsidR="00C66762" w:rsidRPr="00A3026E" w:rsidRDefault="00C66762" w:rsidP="00A3026E">
            <w:pPr>
              <w:pStyle w:val="280"/>
              <w:shd w:val="clear" w:color="auto" w:fill="auto"/>
              <w:spacing w:after="0" w:line="240" w:lineRule="auto"/>
              <w:jc w:val="both"/>
              <w:rPr>
                <w:rFonts w:ascii="Times New Roman" w:hAnsi="Times New Roman" w:cs="Times New Roman"/>
                <w:color w:val="000000" w:themeColor="text1"/>
                <w:spacing w:val="0"/>
                <w:sz w:val="16"/>
                <w:szCs w:val="16"/>
              </w:rPr>
            </w:pPr>
            <w:r w:rsidRPr="00A3026E">
              <w:rPr>
                <w:rFonts w:ascii="Times New Roman" w:hAnsi="Times New Roman" w:cs="Times New Roman"/>
                <w:color w:val="000000" w:themeColor="text1"/>
                <w:spacing w:val="0"/>
                <w:sz w:val="16"/>
                <w:szCs w:val="16"/>
              </w:rPr>
              <w:t>-</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6586913A"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E4BC932" w14:textId="77777777" w:rsidTr="00EA0DA7">
        <w:trPr>
          <w:trHeight w:val="270"/>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6638F4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Взлетный вес, кг</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3209BC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7806</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3A9081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6500</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54C76B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016371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8750</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5F0F8E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9200'"</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72EAA1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ООО</w:t>
            </w:r>
            <w:r w:rsidRPr="00A3026E">
              <w:rPr>
                <w:rFonts w:ascii="Times New Roman" w:hAnsi="Times New Roman"/>
                <w:color w:val="000000" w:themeColor="text1"/>
                <w:sz w:val="16"/>
                <w:szCs w:val="16"/>
                <w:vertAlign w:val="superscript"/>
              </w:rPr>
              <w:t>13</w:t>
            </w:r>
            <w:r w:rsidRPr="00A3026E">
              <w:rPr>
                <w:rFonts w:ascii="Times New Roman" w:hAnsi="Times New Roman"/>
                <w:color w:val="000000" w:themeColor="text1"/>
                <w:sz w:val="16"/>
                <w:szCs w:val="16"/>
              </w:rPr>
              <w:t>»</w:t>
            </w:r>
          </w:p>
        </w:tc>
      </w:tr>
      <w:tr w:rsidR="00983732" w:rsidRPr="00A3026E" w14:paraId="27C36C41" w14:textId="77777777" w:rsidTr="00EA0DA7">
        <w:trPr>
          <w:trHeight w:val="914"/>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2C724E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макс., км/ч у земли на высоте, м посадочная</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383ED9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242</w:t>
            </w:r>
            <w:r w:rsidRPr="00A3026E">
              <w:rPr>
                <w:rFonts w:ascii="Times New Roman" w:hAnsi="Times New Roman"/>
                <w:color w:val="000000" w:themeColor="text1"/>
                <w:sz w:val="16"/>
                <w:szCs w:val="16"/>
                <w:vertAlign w:val="superscript"/>
              </w:rPr>
              <w:t xml:space="preserve">3) </w:t>
            </w:r>
            <w:r w:rsidRPr="00A3026E">
              <w:rPr>
                <w:rFonts w:ascii="Times New Roman" w:hAnsi="Times New Roman"/>
                <w:color w:val="000000" w:themeColor="text1"/>
                <w:sz w:val="16"/>
                <w:szCs w:val="16"/>
              </w:rPr>
              <w:t>232/3000</w:t>
            </w:r>
            <w:r w:rsidRPr="00A3026E">
              <w:rPr>
                <w:rFonts w:ascii="Times New Roman" w:hAnsi="Times New Roman"/>
                <w:color w:val="000000" w:themeColor="text1"/>
                <w:sz w:val="16"/>
                <w:szCs w:val="16"/>
                <w:vertAlign w:val="superscript"/>
              </w:rPr>
              <w:t>41</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5E38E4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200 232/2750</w:t>
            </w:r>
            <w:r w:rsidRPr="00A3026E">
              <w:rPr>
                <w:rFonts w:ascii="Times New Roman" w:hAnsi="Times New Roman"/>
                <w:color w:val="000000" w:themeColor="text1"/>
                <w:sz w:val="16"/>
                <w:szCs w:val="16"/>
                <w:vertAlign w:val="superscript"/>
              </w:rPr>
              <w:t>7</w:t>
            </w:r>
            <w:r w:rsidRPr="00A3026E">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47A8AD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195 212 105</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2D1C1C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2A849C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209 235 134</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3C83CF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35ECCFF" w14:textId="77777777" w:rsidTr="00EA0DA7">
        <w:trPr>
          <w:trHeight w:val="698"/>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0F1CC0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мин. 2000 м 5000 м</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5D1FFA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2EE8A2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10,2 25,6</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2D9E4A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2C9FF8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101C16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209BC845" w14:textId="77777777" w:rsidR="00C66762" w:rsidRPr="00A3026E" w:rsidRDefault="00C66762" w:rsidP="00A3026E">
            <w:pPr>
              <w:pStyle w:val="290"/>
              <w:shd w:val="clear" w:color="auto" w:fill="auto"/>
              <w:spacing w:after="0" w:line="240" w:lineRule="auto"/>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w:t>
            </w:r>
          </w:p>
        </w:tc>
      </w:tr>
      <w:tr w:rsidR="00983732" w:rsidRPr="00A3026E" w14:paraId="0C975C0D"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36EB02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м</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70CC5E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73305)</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6B4EE7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8580</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4D22F8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6500</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51A4759B"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2D40A81B" w14:textId="77777777" w:rsidR="00C66762" w:rsidRPr="00A3026E" w:rsidRDefault="00C66762" w:rsidP="00A3026E">
            <w:pPr>
              <w:pStyle w:val="280"/>
              <w:shd w:val="clear" w:color="auto" w:fill="auto"/>
              <w:spacing w:after="0" w:line="240" w:lineRule="auto"/>
              <w:jc w:val="both"/>
              <w:rPr>
                <w:rFonts w:ascii="Times New Roman" w:hAnsi="Times New Roman" w:cs="Times New Roman"/>
                <w:color w:val="000000" w:themeColor="text1"/>
                <w:spacing w:val="0"/>
                <w:sz w:val="16"/>
                <w:szCs w:val="16"/>
              </w:rPr>
            </w:pPr>
            <w:r w:rsidRPr="00A3026E">
              <w:rPr>
                <w:rFonts w:ascii="Times New Roman" w:hAnsi="Times New Roman" w:cs="Times New Roman"/>
                <w:color w:val="000000" w:themeColor="text1"/>
                <w:spacing w:val="0"/>
                <w:sz w:val="16"/>
                <w:szCs w:val="16"/>
              </w:rPr>
              <w:t>-</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247DE3C2"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E48E9DF"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25B318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км</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62C535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42921084"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789060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6950</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55C109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6920</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6985BC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9540</w:t>
            </w:r>
            <w:r w:rsidRPr="00A3026E">
              <w:rPr>
                <w:rFonts w:ascii="Times New Roman" w:hAnsi="Times New Roman"/>
                <w:color w:val="000000" w:themeColor="text1"/>
                <w:sz w:val="16"/>
                <w:szCs w:val="16"/>
                <w:vertAlign w:val="superscript"/>
              </w:rPr>
              <w:t>12</w:t>
            </w:r>
            <w:r w:rsidRPr="00A3026E">
              <w:rPr>
                <w:rFonts w:ascii="Times New Roman" w:hAnsi="Times New Roman"/>
                <w:color w:val="000000" w:themeColor="text1"/>
                <w:sz w:val="16"/>
                <w:szCs w:val="16"/>
              </w:rPr>
              <w:t>»</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4A93AC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10 800</w:t>
            </w:r>
          </w:p>
        </w:tc>
      </w:tr>
      <w:tr w:rsidR="00983732" w:rsidRPr="00A3026E" w14:paraId="6CB375CB"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6E40C1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Продолжительность полета, ч</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454507D5" w14:textId="77777777" w:rsidR="00C66762" w:rsidRPr="00A3026E" w:rsidRDefault="00C66762" w:rsidP="00A3026E">
            <w:pPr>
              <w:pStyle w:val="231"/>
              <w:shd w:val="clear" w:color="auto" w:fill="auto"/>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044A5445"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328F7F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46,4</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460936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43,8</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6A8D77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5033C2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65,8</w:t>
            </w:r>
          </w:p>
        </w:tc>
      </w:tr>
      <w:tr w:rsidR="00983732" w:rsidRPr="00A3026E" w14:paraId="55573591"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3BBAE6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 пробе г, м</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0C1883ED"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2389D099"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79144B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1AA47058" w14:textId="77777777" w:rsidR="00C66762" w:rsidRPr="00A3026E" w:rsidRDefault="00C66762" w:rsidP="00A3026E">
            <w:pPr>
              <w:pStyle w:val="280"/>
              <w:shd w:val="clear" w:color="auto" w:fill="auto"/>
              <w:spacing w:after="0" w:line="240" w:lineRule="auto"/>
              <w:jc w:val="both"/>
              <w:rPr>
                <w:rFonts w:ascii="Times New Roman" w:hAnsi="Times New Roman" w:cs="Times New Roman"/>
                <w:color w:val="000000" w:themeColor="text1"/>
                <w:spacing w:val="0"/>
                <w:sz w:val="16"/>
                <w:szCs w:val="16"/>
              </w:rPr>
            </w:pPr>
            <w:r w:rsidRPr="00A3026E">
              <w:rPr>
                <w:rFonts w:ascii="Times New Roman" w:hAnsi="Times New Roman" w:cs="Times New Roman"/>
                <w:color w:val="000000" w:themeColor="text1"/>
                <w:spacing w:val="0"/>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317691F2"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2CC9D0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1590</w:t>
            </w:r>
          </w:p>
        </w:tc>
      </w:tr>
      <w:tr w:rsidR="00983732" w:rsidRPr="00A3026E" w14:paraId="2DE80679" w14:textId="77777777" w:rsidTr="00EA0DA7">
        <w:trPr>
          <w:trHeight w:val="281"/>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0DAEE8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 чел.</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0A24B9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3DE8F36A"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2CCF0B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1DF0F14C" w14:textId="77777777" w:rsidR="00C66762" w:rsidRPr="00A3026E" w:rsidRDefault="00C66762" w:rsidP="00A3026E">
            <w:pPr>
              <w:pStyle w:val="242"/>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3F65BB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3CCA09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394D1E7C" w14:textId="77777777" w:rsidR="00C66762" w:rsidRPr="00A3026E" w:rsidRDefault="00C66762" w:rsidP="00A3026E">
      <w:pPr>
        <w:pStyle w:val="aff1"/>
        <w:shd w:val="clear" w:color="auto" w:fill="auto"/>
        <w:spacing w:line="240" w:lineRule="auto"/>
        <w:rPr>
          <w:rFonts w:ascii="Times New Roman" w:hAnsi="Times New Roman" w:cs="Times New Roman"/>
          <w:i w:val="0"/>
          <w:color w:val="000000" w:themeColor="text1"/>
          <w:sz w:val="16"/>
          <w:szCs w:val="16"/>
          <w:lang w:val="ru-RU"/>
        </w:rPr>
      </w:pPr>
      <w:r w:rsidRPr="00A3026E">
        <w:rPr>
          <w:rFonts w:ascii="Times New Roman" w:hAnsi="Times New Roman" w:cs="Times New Roman"/>
          <w:i w:val="0"/>
          <w:color w:val="000000" w:themeColor="text1"/>
          <w:sz w:val="16"/>
          <w:szCs w:val="16"/>
          <w:lang w:val="ru-RU"/>
        </w:rPr>
        <w:t>Примечания: 1) — по проекту — 13,4м, высота - 5,5м; 2) — запас масла макс. - 360л; 3) - с выпущенным шасси - 220 км/ч; 4) — с выпущен</w:t>
      </w:r>
      <w:r w:rsidRPr="00A3026E">
        <w:rPr>
          <w:rFonts w:ascii="Times New Roman" w:hAnsi="Times New Roman" w:cs="Times New Roman"/>
          <w:i w:val="0"/>
          <w:color w:val="000000" w:themeColor="text1"/>
          <w:sz w:val="16"/>
          <w:szCs w:val="16"/>
          <w:lang w:val="ru-RU"/>
        </w:rPr>
        <w:softHyphen/>
        <w:t xml:space="preserve">ным шасси - 215 км/ч на высоте 1000м. Полетный вес 5500кг; 5) - расчет. Полетный вес 5500кг; 6) - с выпущенным шасси; 7) - по расчету - 248 км/ч на высоте 3000м; 8) — по результатам </w:t>
      </w:r>
      <w:r w:rsidRPr="00A3026E">
        <w:rPr>
          <w:rFonts w:ascii="Times New Roman" w:hAnsi="Times New Roman" w:cs="Times New Roman"/>
          <w:i w:val="0"/>
          <w:color w:val="000000" w:themeColor="text1"/>
          <w:sz w:val="16"/>
          <w:szCs w:val="16"/>
          <w:lang w:val="ru-RU"/>
        </w:rPr>
        <w:lastRenderedPageBreak/>
        <w:t>государственных испытании, декабрь 1933 г.; 9) — запас масла — 350 кг; 10) — по результа</w:t>
      </w:r>
      <w:r w:rsidRPr="00A3026E">
        <w:rPr>
          <w:rFonts w:ascii="Times New Roman" w:hAnsi="Times New Roman" w:cs="Times New Roman"/>
          <w:i w:val="0"/>
          <w:color w:val="000000" w:themeColor="text1"/>
          <w:sz w:val="16"/>
          <w:szCs w:val="16"/>
          <w:lang w:val="ru-RU"/>
        </w:rPr>
        <w:softHyphen/>
        <w:t xml:space="preserve">там испытаний осенью 1933 года - 3674 кг; 11) — во время испытаний осенью 1933года— 9650кг; 12) - расчетная - </w:t>
      </w:r>
      <w:r w:rsidRPr="00A3026E">
        <w:rPr>
          <w:rFonts w:ascii="Times New Roman" w:hAnsi="Times New Roman" w:cs="Times New Roman"/>
          <w:i w:val="0"/>
          <w:color w:val="000000" w:themeColor="text1"/>
          <w:sz w:val="16"/>
          <w:szCs w:val="16"/>
        </w:rPr>
        <w:t>II</w:t>
      </w:r>
      <w:r w:rsidRPr="00A3026E">
        <w:rPr>
          <w:rFonts w:ascii="Times New Roman" w:hAnsi="Times New Roman" w:cs="Times New Roman"/>
          <w:i w:val="0"/>
          <w:color w:val="000000" w:themeColor="text1"/>
          <w:sz w:val="16"/>
          <w:szCs w:val="16"/>
          <w:lang w:val="ru-RU"/>
        </w:rPr>
        <w:t xml:space="preserve"> 600км; 13) - макси</w:t>
      </w:r>
      <w:r w:rsidRPr="00A3026E">
        <w:rPr>
          <w:rFonts w:ascii="Times New Roman" w:hAnsi="Times New Roman" w:cs="Times New Roman"/>
          <w:i w:val="0"/>
          <w:color w:val="000000" w:themeColor="text1"/>
          <w:sz w:val="16"/>
          <w:szCs w:val="16"/>
          <w:lang w:val="ru-RU"/>
        </w:rPr>
        <w:softHyphen/>
        <w:t>мальный взлетный вес — 10 230 кг.</w:t>
      </w:r>
    </w:p>
    <w:p w14:paraId="5E973C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(12725).</w:t>
      </w:r>
    </w:p>
    <w:p w14:paraId="6AF1848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771DF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AC5799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4D6DF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вышел приказ НКАП N 499с о назначении л-и для проведения заводских испытаний СБ (АНТ-40) "Б" - летчика 8-го отдела ЦАГИ Ю.К.Станкевича (284,63).</w:t>
      </w:r>
    </w:p>
    <w:p w14:paraId="1256EF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СЕКРЕТНО</w:t>
      </w:r>
    </w:p>
    <w:p w14:paraId="2C37DF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Р И К А 3</w:t>
      </w:r>
    </w:p>
    <w:p w14:paraId="769779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г.Москва.</w:t>
      </w:r>
    </w:p>
    <w:p w14:paraId="2C2184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 1</w:t>
      </w:r>
    </w:p>
    <w:p w14:paraId="1CE153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проведения летных заводских испытаний самолета СБ "Б" конструктора тов. АРХАНГЕЛЬСКОГО - ПРИКАЗЫВАЮ:</w:t>
      </w:r>
    </w:p>
    <w:p w14:paraId="0B5637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 2</w:t>
      </w:r>
    </w:p>
    <w:p w14:paraId="05A976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Летчиком-испытателем назначить инженера летчика 8-го отдела ЦАГИ тов. СТАНКЕВИЧА Ю.К. Летные заводские испытания провести в двухмесячный срок со дня первого вылета.</w:t>
      </w:r>
    </w:p>
    <w:p w14:paraId="5142FA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Установить тов. СТАНКЕВИЧУ Ю. К. за проведение летных испытаний в назначенный срок дополнительную зарплату в раз мере 40.000 рублей.</w:t>
      </w:r>
    </w:p>
    <w:p w14:paraId="119942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 3.</w:t>
      </w:r>
    </w:p>
    <w:p w14:paraId="3F908B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период испытаний самолета "Б" освободить тов. СТАНКЕВИЧА от работы в 8-ом отделе ЦАГИ.</w:t>
      </w:r>
    </w:p>
    <w:p w14:paraId="2732D2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 4</w:t>
      </w:r>
    </w:p>
    <w:p w14:paraId="63B036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Утвердить бригаду для обслукиаания испытаний самолета “Б" в следующем составе:</w:t>
      </w:r>
    </w:p>
    <w:p w14:paraId="7A3146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Ведущий инженер по самолету - т. ШАХАНОВ А. И.</w:t>
      </w:r>
    </w:p>
    <w:p w14:paraId="4F620C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Бортмеханик - т. БАРАБАНОВ Д. И.</w:t>
      </w:r>
    </w:p>
    <w:p w14:paraId="7F875E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Бортмеханик - т. АНИКЕЕВ . Я. В.</w:t>
      </w:r>
    </w:p>
    <w:p w14:paraId="07507E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Бортмеханик - т. БАЛАШЕВ Н.П.</w:t>
      </w:r>
    </w:p>
    <w:p w14:paraId="361DC2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Моторист - т. ИВАНОВ А.В.</w:t>
      </w:r>
    </w:p>
    <w:p w14:paraId="2EC38F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Моторист - т. КАМЕНЕЦ А. Г.</w:t>
      </w:r>
    </w:p>
    <w:p w14:paraId="1F5550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приборист - ФИЛИППОВ А.И.</w:t>
      </w:r>
    </w:p>
    <w:p w14:paraId="26FB55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Авиационной-. Промышленности СССР (284,63).</w:t>
      </w:r>
    </w:p>
    <w:p w14:paraId="12FC37F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0FC96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вышел приказ НКАП N 500с о проведении заводских испытаний ББ-22 2М105 модификации конструктора Л.П.Курбала</w:t>
      </w:r>
    </w:p>
    <w:p w14:paraId="251B836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B8C4A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комиссия НКАП рассмотрела эскизный проект модернизации самолета А.С.Я. ББ-22 в БПБ-22, разработанный на заводе 81 Л.П.Курбалой. Несмотря на то, что ВВС не утвердил проект, БПБ стали строить в варианте ББ - ББ-22бис (1759).</w:t>
      </w:r>
    </w:p>
    <w:p w14:paraId="4020578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CA90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года закончились гос. испытания 1 экземпляра учебного И-26 под названием УТИ-26 в НИИ ВВС, которые проходили с 28 августа. 21 сентября 1940 года самолет перегнан на завода № 115 для осмотра и вывозки строевых летчиков выделенных для проведения войсковых испытаний самолета И-26 (7625, 383).</w:t>
      </w:r>
    </w:p>
    <w:p w14:paraId="7D1E789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046C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года Самолет УТИ-26 был передан по акту завода № 115 для вывозки летчиков, проводящих войсковые испытания самолетов И-26 М-105, хотя Из программы остались невыполненными:</w:t>
      </w:r>
    </w:p>
    <w:p w14:paraId="65CEE6B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Стрельба по конусам и наземным мишеням.</w:t>
      </w:r>
    </w:p>
    <w:p w14:paraId="4D76BA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Облет самолета летчиками НИИ ВВС (3377, 21).</w:t>
      </w:r>
    </w:p>
    <w:p w14:paraId="5EE0720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383E5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вышел приказ НКАП № 501</w:t>
      </w:r>
    </w:p>
    <w:p w14:paraId="55FF30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Ввести классификацию летчиков АП. Установить 5 кллассов.</w:t>
      </w:r>
    </w:p>
    <w:p w14:paraId="39ECE8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комиссии ГСС М.М.Громов</w:t>
      </w:r>
    </w:p>
    <w:p w14:paraId="50A2E0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Члены комиссии И.Ф.Петров, Г.Ф.Байдуков, И.Ф.Козлов, И.И.Калинкин.</w:t>
      </w:r>
    </w:p>
    <w:p w14:paraId="1387FE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Проводить классификацию ежегодно (2233,68).</w:t>
      </w:r>
    </w:p>
    <w:p w14:paraId="634AA6D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1EEF4B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года вышел приказ НИИ ВВС № 0194</w:t>
      </w:r>
    </w:p>
    <w:p w14:paraId="072F31A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проведении войсковых испытаний 10 самолетов И-16 с М-63 (6890, 104).</w:t>
      </w:r>
    </w:p>
    <w:p w14:paraId="3890A25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FB0D9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состоялось совещание постоянной комиссии НКАП по рассмотрению эскизных проектов (протокол 13). Рассмотрели:</w:t>
      </w:r>
    </w:p>
    <w:p w14:paraId="5E8820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модификации ПС-84 за счет установки М-71 вместо М-62ИР и доведения прочности до норм 1940, а также увеличения числа пассажирских мест за счет уменьшения прохода, багажника и буфета. Сочли целесообразным, но А.С.Я. не согласился с выводами комиссии и решил, что модификация нецелесообразна (1448,108).</w:t>
      </w:r>
    </w:p>
    <w:p w14:paraId="274980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истребителя дальнего действия типа И ГК завода 293 Болховитинова - моноплана металлической конструкции с низкорасположенным крылом и со спаркой М-105 с толкающими соосными винтами на конце фюзеляжа и оперением на 2-х хвостовых балках, а также 3-х колесным шасси с носовым колесом. Заключение: "Самолет целесообразно строить в облегченном варианте или увеличить площадь крыла, необходимость высокой прочности для двухбалочной схемы и хорошей устойчивости (1448,140).</w:t>
      </w:r>
    </w:p>
    <w:p w14:paraId="49E3E9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модернизации самолета А.С.Я. ББ-22 2М-103 в БПБ-22 2М-105, разработанный на заводе 81 Л.П.Курбалой. Вывод: "Модификация целесообразна" (1448,153). Несмотря на то, что ВВС не утвердил проект, БПБ стали строить в варианте ББ - ББ-22бис.</w:t>
      </w:r>
    </w:p>
    <w:p w14:paraId="478F1D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21-25 сентября 1940 были закончены гос. испытания УТИ-26-1, которые шли с перерывами с 28 августа 1940 (65,29). Испытания, закончившиеся 19 сентября, были признаны неудовлетворительными, но на сей раз - признали удовлетворительными (3417,4).</w:t>
      </w:r>
    </w:p>
    <w:p w14:paraId="5863C2E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639E1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Зам. нач. 7 ГУ НКАП С.Шишкин писал Нач. управления морской авиации НКВМФ письмо N 23/1965сс:</w:t>
      </w:r>
    </w:p>
    <w:p w14:paraId="758DD3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Вашего запроса, направляю Вам ведомость ориентировочной стоимости работ на 1940 по опытным морским самолетам, которые намечается включить в план опытного строительства НКАП на 1940-1941." (2090,182):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392"/>
        <w:gridCol w:w="886"/>
        <w:gridCol w:w="886"/>
        <w:gridCol w:w="886"/>
        <w:gridCol w:w="3745"/>
      </w:tblGrid>
      <w:tr w:rsidR="00983732" w:rsidRPr="00A3026E" w14:paraId="3FECFB22" w14:textId="77777777" w:rsidTr="00EA0DA7">
        <w:tc>
          <w:tcPr>
            <w:tcW w:w="2802" w:type="dxa"/>
            <w:tcBorders>
              <w:top w:val="single" w:sz="12" w:space="0" w:color="auto"/>
            </w:tcBorders>
          </w:tcPr>
          <w:p w14:paraId="5CF03A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NN п/п Наименование</w:t>
            </w:r>
          </w:p>
        </w:tc>
        <w:tc>
          <w:tcPr>
            <w:tcW w:w="1392" w:type="dxa"/>
            <w:tcBorders>
              <w:top w:val="single" w:sz="12" w:space="0" w:color="auto"/>
            </w:tcBorders>
          </w:tcPr>
          <w:p w14:paraId="06FA0D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Конструктор, </w:t>
            </w:r>
          </w:p>
        </w:tc>
        <w:tc>
          <w:tcPr>
            <w:tcW w:w="886" w:type="dxa"/>
            <w:tcBorders>
              <w:top w:val="single" w:sz="12" w:space="0" w:color="auto"/>
            </w:tcBorders>
          </w:tcPr>
          <w:p w14:paraId="41DDB8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w:t>
            </w:r>
          </w:p>
        </w:tc>
        <w:tc>
          <w:tcPr>
            <w:tcW w:w="886" w:type="dxa"/>
            <w:tcBorders>
              <w:top w:val="single" w:sz="12" w:space="0" w:color="auto"/>
            </w:tcBorders>
          </w:tcPr>
          <w:p w14:paraId="7204FC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w:t>
            </w:r>
          </w:p>
        </w:tc>
        <w:tc>
          <w:tcPr>
            <w:tcW w:w="886" w:type="dxa"/>
            <w:tcBorders>
              <w:top w:val="single" w:sz="12" w:space="0" w:color="auto"/>
            </w:tcBorders>
          </w:tcPr>
          <w:p w14:paraId="444882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Ст-ть</w:t>
            </w:r>
          </w:p>
        </w:tc>
        <w:tc>
          <w:tcPr>
            <w:tcW w:w="3745" w:type="dxa"/>
            <w:tcBorders>
              <w:top w:val="single" w:sz="12" w:space="0" w:color="auto"/>
            </w:tcBorders>
          </w:tcPr>
          <w:p w14:paraId="2CC941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w:t>
            </w:r>
          </w:p>
        </w:tc>
      </w:tr>
      <w:tr w:rsidR="00983732" w:rsidRPr="00A3026E" w14:paraId="0EBDD173" w14:textId="77777777" w:rsidTr="00EA0DA7">
        <w:tc>
          <w:tcPr>
            <w:tcW w:w="2802" w:type="dxa"/>
          </w:tcPr>
          <w:p w14:paraId="016B15A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392" w:type="dxa"/>
          </w:tcPr>
          <w:p w14:paraId="042A7A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w:t>
            </w:r>
          </w:p>
        </w:tc>
        <w:tc>
          <w:tcPr>
            <w:tcW w:w="886" w:type="dxa"/>
          </w:tcPr>
          <w:p w14:paraId="6CA6162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3AADF5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ст-ть</w:t>
            </w:r>
          </w:p>
        </w:tc>
        <w:tc>
          <w:tcPr>
            <w:tcW w:w="886" w:type="dxa"/>
          </w:tcPr>
          <w:p w14:paraId="3EBC9E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1940</w:t>
            </w:r>
          </w:p>
        </w:tc>
        <w:tc>
          <w:tcPr>
            <w:tcW w:w="3745" w:type="dxa"/>
          </w:tcPr>
          <w:p w14:paraId="650869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сдачи на гос.</w:t>
            </w:r>
          </w:p>
        </w:tc>
      </w:tr>
      <w:tr w:rsidR="00983732" w:rsidRPr="00A3026E" w14:paraId="6676A917" w14:textId="77777777" w:rsidTr="00EA0DA7">
        <w:tc>
          <w:tcPr>
            <w:tcW w:w="2802" w:type="dxa"/>
          </w:tcPr>
          <w:p w14:paraId="2318EE0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392" w:type="dxa"/>
          </w:tcPr>
          <w:p w14:paraId="0E6FBCA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6FA480F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14F590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(млн.)</w:t>
            </w:r>
          </w:p>
        </w:tc>
        <w:tc>
          <w:tcPr>
            <w:tcW w:w="886" w:type="dxa"/>
          </w:tcPr>
          <w:p w14:paraId="2BC5A94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745" w:type="dxa"/>
          </w:tcPr>
          <w:p w14:paraId="58FC69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 по проектам</w:t>
            </w:r>
          </w:p>
        </w:tc>
      </w:tr>
      <w:tr w:rsidR="00983732" w:rsidRPr="00A3026E" w14:paraId="40DA02E9" w14:textId="77777777" w:rsidTr="00EA0DA7">
        <w:tc>
          <w:tcPr>
            <w:tcW w:w="2802" w:type="dxa"/>
          </w:tcPr>
          <w:p w14:paraId="7141B4B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392" w:type="dxa"/>
          </w:tcPr>
          <w:p w14:paraId="00BEB6C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2F76081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5E205AF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1A4F164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745" w:type="dxa"/>
          </w:tcPr>
          <w:p w14:paraId="67158D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 КО, присл. НКВМФ)</w:t>
            </w:r>
          </w:p>
        </w:tc>
      </w:tr>
      <w:tr w:rsidR="00983732" w:rsidRPr="00A3026E" w14:paraId="0F5CD4DD" w14:textId="77777777" w:rsidTr="00EA0DA7">
        <w:tc>
          <w:tcPr>
            <w:tcW w:w="2802" w:type="dxa"/>
          </w:tcPr>
          <w:p w14:paraId="06AE72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Морской дальний разведчик -</w:t>
            </w:r>
          </w:p>
        </w:tc>
        <w:tc>
          <w:tcPr>
            <w:tcW w:w="1392" w:type="dxa"/>
          </w:tcPr>
          <w:p w14:paraId="6D79A0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Голубков, 30</w:t>
            </w:r>
          </w:p>
        </w:tc>
        <w:tc>
          <w:tcPr>
            <w:tcW w:w="886" w:type="dxa"/>
          </w:tcPr>
          <w:p w14:paraId="6E194B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886" w:type="dxa"/>
          </w:tcPr>
          <w:p w14:paraId="5B6604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886" w:type="dxa"/>
          </w:tcPr>
          <w:p w14:paraId="73D0CF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0.5</w:t>
            </w:r>
          </w:p>
        </w:tc>
        <w:tc>
          <w:tcPr>
            <w:tcW w:w="3745" w:type="dxa"/>
          </w:tcPr>
          <w:p w14:paraId="2CB74E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1-й - 01.03.42, </w:t>
            </w:r>
          </w:p>
        </w:tc>
      </w:tr>
      <w:tr w:rsidR="00983732" w:rsidRPr="00A3026E" w14:paraId="73BA7EF2" w14:textId="77777777" w:rsidTr="00EA0DA7">
        <w:tc>
          <w:tcPr>
            <w:tcW w:w="2802" w:type="dxa"/>
          </w:tcPr>
          <w:p w14:paraId="775EDD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минный заградитель МДР-301 2М-30</w:t>
            </w:r>
          </w:p>
        </w:tc>
        <w:tc>
          <w:tcPr>
            <w:tcW w:w="1392" w:type="dxa"/>
          </w:tcPr>
          <w:p w14:paraId="0D57FEB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03D34D3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5C46A45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1D1BFB5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745" w:type="dxa"/>
          </w:tcPr>
          <w:p w14:paraId="55853E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- 10.05.42</w:t>
            </w:r>
          </w:p>
        </w:tc>
      </w:tr>
      <w:tr w:rsidR="00983732" w:rsidRPr="00A3026E" w14:paraId="53F71C10" w14:textId="77777777" w:rsidTr="00EA0DA7">
        <w:tc>
          <w:tcPr>
            <w:tcW w:w="2802" w:type="dxa"/>
          </w:tcPr>
          <w:p w14:paraId="54A505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или 2М-40</w:t>
            </w:r>
          </w:p>
        </w:tc>
        <w:tc>
          <w:tcPr>
            <w:tcW w:w="1392" w:type="dxa"/>
          </w:tcPr>
          <w:p w14:paraId="59D85A3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5C093CE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6971623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3DD2006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745" w:type="dxa"/>
          </w:tcPr>
          <w:p w14:paraId="3C66EF4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3D87105" w14:textId="77777777" w:rsidTr="00EA0DA7">
        <w:tc>
          <w:tcPr>
            <w:tcW w:w="2802" w:type="dxa"/>
          </w:tcPr>
          <w:p w14:paraId="49FC69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Морской дальний разведчик -</w:t>
            </w:r>
          </w:p>
        </w:tc>
        <w:tc>
          <w:tcPr>
            <w:tcW w:w="1392" w:type="dxa"/>
          </w:tcPr>
          <w:p w14:paraId="73647B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Самсонов, 288</w:t>
            </w:r>
          </w:p>
        </w:tc>
        <w:tc>
          <w:tcPr>
            <w:tcW w:w="886" w:type="dxa"/>
          </w:tcPr>
          <w:p w14:paraId="70D7F5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886" w:type="dxa"/>
          </w:tcPr>
          <w:p w14:paraId="27E967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886" w:type="dxa"/>
          </w:tcPr>
          <w:p w14:paraId="404205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3745" w:type="dxa"/>
          </w:tcPr>
          <w:p w14:paraId="3FE9B5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- 01.09.41</w:t>
            </w:r>
          </w:p>
        </w:tc>
      </w:tr>
      <w:tr w:rsidR="00983732" w:rsidRPr="00A3026E" w14:paraId="73AE1BE3" w14:textId="77777777" w:rsidTr="00EA0DA7">
        <w:tc>
          <w:tcPr>
            <w:tcW w:w="2802" w:type="dxa"/>
          </w:tcPr>
          <w:p w14:paraId="21746E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минный заградитель МДР-288</w:t>
            </w:r>
          </w:p>
        </w:tc>
        <w:tc>
          <w:tcPr>
            <w:tcW w:w="1392" w:type="dxa"/>
          </w:tcPr>
          <w:p w14:paraId="0AD28CC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4A701A0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49A2F63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0BCCE2B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745" w:type="dxa"/>
          </w:tcPr>
          <w:p w14:paraId="4E216F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- 01.01.42</w:t>
            </w:r>
          </w:p>
        </w:tc>
      </w:tr>
      <w:tr w:rsidR="00983732" w:rsidRPr="00A3026E" w14:paraId="5F49858A" w14:textId="77777777" w:rsidTr="00EA0DA7">
        <w:tc>
          <w:tcPr>
            <w:tcW w:w="2802" w:type="dxa"/>
          </w:tcPr>
          <w:p w14:paraId="7970CF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с 2М-71</w:t>
            </w:r>
          </w:p>
        </w:tc>
        <w:tc>
          <w:tcPr>
            <w:tcW w:w="1392" w:type="dxa"/>
          </w:tcPr>
          <w:p w14:paraId="77CE605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4353DF6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03AF140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6E9FB8D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745" w:type="dxa"/>
          </w:tcPr>
          <w:p w14:paraId="0083E7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3-й - 01.05.42</w:t>
            </w:r>
          </w:p>
        </w:tc>
      </w:tr>
      <w:tr w:rsidR="00983732" w:rsidRPr="00A3026E" w14:paraId="139DCBE4" w14:textId="77777777" w:rsidTr="00EA0DA7">
        <w:tc>
          <w:tcPr>
            <w:tcW w:w="2802" w:type="dxa"/>
          </w:tcPr>
          <w:p w14:paraId="2294DC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и 3-й с 2М-30 или 2М-40</w:t>
            </w:r>
          </w:p>
        </w:tc>
        <w:tc>
          <w:tcPr>
            <w:tcW w:w="1392" w:type="dxa"/>
          </w:tcPr>
          <w:p w14:paraId="43D0400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273552E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43B9C27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4865BCD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745" w:type="dxa"/>
          </w:tcPr>
          <w:p w14:paraId="020BA3F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280D01F" w14:textId="77777777" w:rsidTr="00EA0DA7">
        <w:tc>
          <w:tcPr>
            <w:tcW w:w="2802" w:type="dxa"/>
          </w:tcPr>
          <w:p w14:paraId="27A3B4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Морской базовый разведчик</w:t>
            </w:r>
          </w:p>
        </w:tc>
        <w:tc>
          <w:tcPr>
            <w:tcW w:w="1392" w:type="dxa"/>
          </w:tcPr>
          <w:p w14:paraId="4E435A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Самсонов, 288</w:t>
            </w:r>
          </w:p>
        </w:tc>
        <w:tc>
          <w:tcPr>
            <w:tcW w:w="886" w:type="dxa"/>
          </w:tcPr>
          <w:p w14:paraId="08F646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886" w:type="dxa"/>
          </w:tcPr>
          <w:p w14:paraId="6AEAC8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886" w:type="dxa"/>
          </w:tcPr>
          <w:p w14:paraId="4C16E3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3745" w:type="dxa"/>
          </w:tcPr>
          <w:p w14:paraId="2515DB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3-й - 01.03.41</w:t>
            </w:r>
          </w:p>
        </w:tc>
      </w:tr>
      <w:tr w:rsidR="00983732" w:rsidRPr="00A3026E" w14:paraId="38DA0E53" w14:textId="77777777" w:rsidTr="00EA0DA7">
        <w:tc>
          <w:tcPr>
            <w:tcW w:w="2802" w:type="dxa"/>
          </w:tcPr>
          <w:p w14:paraId="32BD05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МБР-301 (МДР-7 2М-88, 3-й</w:t>
            </w:r>
          </w:p>
        </w:tc>
        <w:tc>
          <w:tcPr>
            <w:tcW w:w="1392" w:type="dxa"/>
          </w:tcPr>
          <w:p w14:paraId="188EFA6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40297C1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12895D9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3AD7186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745" w:type="dxa"/>
          </w:tcPr>
          <w:p w14:paraId="68D119D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EDAEFCD" w14:textId="77777777" w:rsidTr="00EA0DA7">
        <w:tc>
          <w:tcPr>
            <w:tcW w:w="2802" w:type="dxa"/>
          </w:tcPr>
          <w:p w14:paraId="206454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Морской базовый разведчик</w:t>
            </w:r>
          </w:p>
        </w:tc>
        <w:tc>
          <w:tcPr>
            <w:tcW w:w="1392" w:type="dxa"/>
          </w:tcPr>
          <w:p w14:paraId="440019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Четвериков, 31</w:t>
            </w:r>
          </w:p>
        </w:tc>
        <w:tc>
          <w:tcPr>
            <w:tcW w:w="886" w:type="dxa"/>
          </w:tcPr>
          <w:p w14:paraId="52D580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886" w:type="dxa"/>
          </w:tcPr>
          <w:p w14:paraId="63AE5B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886" w:type="dxa"/>
          </w:tcPr>
          <w:p w14:paraId="3301CA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0.5</w:t>
            </w:r>
          </w:p>
        </w:tc>
        <w:tc>
          <w:tcPr>
            <w:tcW w:w="3745" w:type="dxa"/>
          </w:tcPr>
          <w:p w14:paraId="66B452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- 01.05.42</w:t>
            </w:r>
          </w:p>
        </w:tc>
      </w:tr>
      <w:tr w:rsidR="00983732" w:rsidRPr="00A3026E" w14:paraId="2A00C6C1" w14:textId="77777777" w:rsidTr="00EA0DA7">
        <w:tc>
          <w:tcPr>
            <w:tcW w:w="2802" w:type="dxa"/>
          </w:tcPr>
          <w:p w14:paraId="202E62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МБР-317 2М-107</w:t>
            </w:r>
          </w:p>
        </w:tc>
        <w:tc>
          <w:tcPr>
            <w:tcW w:w="1392" w:type="dxa"/>
          </w:tcPr>
          <w:p w14:paraId="2E7E84E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46BD9D0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733F2E0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59D68E4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745" w:type="dxa"/>
          </w:tcPr>
          <w:p w14:paraId="171C0B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- 01.08.42</w:t>
            </w:r>
          </w:p>
        </w:tc>
      </w:tr>
      <w:tr w:rsidR="00983732" w:rsidRPr="00A3026E" w14:paraId="772B653A" w14:textId="77777777" w:rsidTr="00EA0DA7">
        <w:tc>
          <w:tcPr>
            <w:tcW w:w="2802" w:type="dxa"/>
          </w:tcPr>
          <w:p w14:paraId="7AD591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5. Модернизация МБР-301</w:t>
            </w:r>
          </w:p>
        </w:tc>
        <w:tc>
          <w:tcPr>
            <w:tcW w:w="1392" w:type="dxa"/>
          </w:tcPr>
          <w:p w14:paraId="6E4C64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Четвериков, 31</w:t>
            </w:r>
          </w:p>
        </w:tc>
        <w:tc>
          <w:tcPr>
            <w:tcW w:w="886" w:type="dxa"/>
          </w:tcPr>
          <w:p w14:paraId="03A631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886" w:type="dxa"/>
          </w:tcPr>
          <w:p w14:paraId="19B623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886" w:type="dxa"/>
          </w:tcPr>
          <w:p w14:paraId="7B7853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3745" w:type="dxa"/>
          </w:tcPr>
          <w:p w14:paraId="521E80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- 01.05.41</w:t>
            </w:r>
          </w:p>
        </w:tc>
      </w:tr>
      <w:tr w:rsidR="00983732" w:rsidRPr="00A3026E" w14:paraId="028B75FF" w14:textId="77777777" w:rsidTr="00EA0DA7">
        <w:tc>
          <w:tcPr>
            <w:tcW w:w="2802" w:type="dxa"/>
          </w:tcPr>
          <w:p w14:paraId="56D748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(МДР-6 2М-63)</w:t>
            </w:r>
          </w:p>
        </w:tc>
        <w:tc>
          <w:tcPr>
            <w:tcW w:w="1392" w:type="dxa"/>
          </w:tcPr>
          <w:p w14:paraId="1C07F57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7860835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299B616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48F5245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745" w:type="dxa"/>
          </w:tcPr>
          <w:p w14:paraId="7F8092C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1276C88" w14:textId="77777777" w:rsidTr="00EA0DA7">
        <w:tc>
          <w:tcPr>
            <w:tcW w:w="2802" w:type="dxa"/>
          </w:tcPr>
          <w:p w14:paraId="3B3A76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Корабельный катапультный</w:t>
            </w:r>
          </w:p>
        </w:tc>
        <w:tc>
          <w:tcPr>
            <w:tcW w:w="1392" w:type="dxa"/>
          </w:tcPr>
          <w:p w14:paraId="4CEC75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Бериев, 31</w:t>
            </w:r>
          </w:p>
        </w:tc>
        <w:tc>
          <w:tcPr>
            <w:tcW w:w="886" w:type="dxa"/>
          </w:tcPr>
          <w:p w14:paraId="2652AD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886" w:type="dxa"/>
          </w:tcPr>
          <w:p w14:paraId="4CDA53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w:t>
            </w:r>
          </w:p>
        </w:tc>
        <w:tc>
          <w:tcPr>
            <w:tcW w:w="886" w:type="dxa"/>
          </w:tcPr>
          <w:p w14:paraId="6EB2A6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3745" w:type="dxa"/>
          </w:tcPr>
          <w:p w14:paraId="56A55E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- 01.09.41</w:t>
            </w:r>
          </w:p>
        </w:tc>
      </w:tr>
      <w:tr w:rsidR="00983732" w:rsidRPr="00A3026E" w14:paraId="5B0890D7" w14:textId="77777777" w:rsidTr="00EA0DA7">
        <w:tc>
          <w:tcPr>
            <w:tcW w:w="2802" w:type="dxa"/>
          </w:tcPr>
          <w:p w14:paraId="007B65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разхведчик КОР-3 М-107</w:t>
            </w:r>
          </w:p>
        </w:tc>
        <w:tc>
          <w:tcPr>
            <w:tcW w:w="1392" w:type="dxa"/>
          </w:tcPr>
          <w:p w14:paraId="19027B6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0F46239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10D0747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Pr>
          <w:p w14:paraId="2811E80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745" w:type="dxa"/>
          </w:tcPr>
          <w:p w14:paraId="51FFBD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- 01.11.41</w:t>
            </w:r>
          </w:p>
        </w:tc>
      </w:tr>
      <w:tr w:rsidR="00983732" w:rsidRPr="00A3026E" w14:paraId="7096DF50" w14:textId="77777777" w:rsidTr="00EA0DA7">
        <w:tc>
          <w:tcPr>
            <w:tcW w:w="2802" w:type="dxa"/>
          </w:tcPr>
          <w:p w14:paraId="72A980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Морской учебно-тренировочный</w:t>
            </w:r>
          </w:p>
        </w:tc>
        <w:tc>
          <w:tcPr>
            <w:tcW w:w="1392" w:type="dxa"/>
          </w:tcPr>
          <w:p w14:paraId="6BB13D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Москалев,</w:t>
            </w:r>
          </w:p>
        </w:tc>
        <w:tc>
          <w:tcPr>
            <w:tcW w:w="886" w:type="dxa"/>
          </w:tcPr>
          <w:p w14:paraId="09A277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886" w:type="dxa"/>
          </w:tcPr>
          <w:p w14:paraId="38CD97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886" w:type="dxa"/>
          </w:tcPr>
          <w:p w14:paraId="424554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3745" w:type="dxa"/>
          </w:tcPr>
          <w:p w14:paraId="78BC73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- 01.07.41</w:t>
            </w:r>
          </w:p>
        </w:tc>
      </w:tr>
      <w:tr w:rsidR="00983732" w:rsidRPr="00A3026E" w14:paraId="0194AE75" w14:textId="77777777" w:rsidTr="00EA0DA7">
        <w:tc>
          <w:tcPr>
            <w:tcW w:w="2802" w:type="dxa"/>
            <w:tcBorders>
              <w:bottom w:val="single" w:sz="12" w:space="0" w:color="auto"/>
            </w:tcBorders>
          </w:tcPr>
          <w:p w14:paraId="6701EA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УТМ-1 2МВ-6</w:t>
            </w:r>
          </w:p>
        </w:tc>
        <w:tc>
          <w:tcPr>
            <w:tcW w:w="1392" w:type="dxa"/>
            <w:tcBorders>
              <w:bottom w:val="single" w:sz="12" w:space="0" w:color="auto"/>
            </w:tcBorders>
          </w:tcPr>
          <w:p w14:paraId="4F89A8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ОКБ-31</w:t>
            </w:r>
          </w:p>
        </w:tc>
        <w:tc>
          <w:tcPr>
            <w:tcW w:w="886" w:type="dxa"/>
            <w:tcBorders>
              <w:bottom w:val="single" w:sz="12" w:space="0" w:color="auto"/>
            </w:tcBorders>
          </w:tcPr>
          <w:p w14:paraId="6F070E0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Borders>
              <w:bottom w:val="single" w:sz="12" w:space="0" w:color="auto"/>
            </w:tcBorders>
          </w:tcPr>
          <w:p w14:paraId="7CB34B9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86" w:type="dxa"/>
            <w:tcBorders>
              <w:bottom w:val="single" w:sz="12" w:space="0" w:color="auto"/>
            </w:tcBorders>
          </w:tcPr>
          <w:p w14:paraId="05688AC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745" w:type="dxa"/>
            <w:tcBorders>
              <w:bottom w:val="single" w:sz="12" w:space="0" w:color="auto"/>
            </w:tcBorders>
          </w:tcPr>
          <w:p w14:paraId="169F8A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- 01.09.41 (2090,183)</w:t>
            </w:r>
          </w:p>
        </w:tc>
      </w:tr>
    </w:tbl>
    <w:p w14:paraId="3FF56BB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A5C1DA2" w14:textId="77777777" w:rsidR="008F72C1" w:rsidRPr="00A3026E" w:rsidRDefault="008F7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21 сентября 1940</w:t>
      </w:r>
    </w:p>
    <w:p w14:paraId="5AE9911D" w14:textId="77777777" w:rsidR="008F72C1" w:rsidRPr="00A3026E" w:rsidRDefault="008F7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Решение Политбюро от 21.IX.40 г.</w:t>
      </w:r>
    </w:p>
    <w:p w14:paraId="4D70E764" w14:textId="77777777" w:rsidR="008F72C1" w:rsidRPr="00A3026E" w:rsidRDefault="008F7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245.</w:t>
      </w:r>
      <w:r w:rsidRPr="00A3026E">
        <w:rPr>
          <w:rFonts w:ascii="Times New Roman" w:hAnsi="Times New Roman"/>
          <w:color w:val="0070C0"/>
          <w:sz w:val="16"/>
          <w:szCs w:val="16"/>
        </w:rPr>
        <w:tab/>
        <w:t>О заводе № 19 (постановление ЦК ВКП(б) и СНК СССР) (20545).</w:t>
      </w:r>
    </w:p>
    <w:p w14:paraId="7F69C9B5" w14:textId="77777777" w:rsidR="008F72C1" w:rsidRPr="00A3026E" w:rsidRDefault="008F72C1" w:rsidP="00A3026E">
      <w:pPr>
        <w:spacing w:after="0" w:line="240" w:lineRule="auto"/>
        <w:jc w:val="both"/>
        <w:rPr>
          <w:rFonts w:ascii="Times New Roman" w:hAnsi="Times New Roman"/>
          <w:color w:val="0070C0"/>
          <w:sz w:val="16"/>
          <w:szCs w:val="16"/>
        </w:rPr>
      </w:pPr>
    </w:p>
    <w:p w14:paraId="453106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г. Управление Авиации НКВМФ писало письмо №46966 Начальнику ЦАГИ:</w:t>
      </w:r>
    </w:p>
    <w:p w14:paraId="04DBA6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Запрашиваемые Вашим отношением за №-7/2040с от 20.8.40. «Аварийные бюллетени» Авиации ВМФ высылаться не могут. Акты летных происшествий по вине материальной части будут высылаться Вам в трех экз.</w:t>
      </w:r>
    </w:p>
    <w:p w14:paraId="799308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Авиации ВМФ документация для расследования летных происшествий принята та же, что и в ВВС КА, т. е. установленная приказом НКО 1938 г. – №-0133.</w:t>
      </w:r>
    </w:p>
    <w:p w14:paraId="18C0F7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данному вопросу можете связаться с Начальником 9 отдела Управления Авиации ВМФ Военинженером 1 ранга тов. ПРУССАКОВЫМ. /Тел. 45-54 по 2-му дому НКО/.</w:t>
      </w:r>
    </w:p>
    <w:p w14:paraId="3DF2C9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ШТАБА АВИАЦИИ ВМФ ГЕНЕРАЛ-МАЙОР АВИАЦИИ /подпись/ /КВАДЭ/» (Там же. Л. 52.) (11672).</w:t>
      </w:r>
    </w:p>
    <w:p w14:paraId="261FC43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BB83B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вышел приказ НКАП N 501 о введении квалификации ли авиапромышленности и установили 5 классов, а председателем комиссии назначили М.М.Громова, а членами Т.Ф.Байдукова, И.Ф.Козлова, И.И.Калиншин. Классификацию решили делать ежегодно (958,68).</w:t>
      </w:r>
    </w:p>
    <w:p w14:paraId="55C1ABE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1EC458A"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0346E5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679C3B7" w14:textId="77777777" w:rsidR="00E70D80" w:rsidRPr="00A3026E" w:rsidRDefault="00E70D8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21 сентября 1940 г. В докладной записке «О строительстве крупных промышленных предприятий в Новосибирской области», направленной И. В. Сталину первым секретарем обкома Г. Н. Пуговкиным, отмечается, что </w:t>
      </w:r>
      <w:bookmarkStart w:id="0" w:name="YANDEX_12"/>
      <w:bookmarkEnd w:id="0"/>
      <w:r w:rsidRPr="00A3026E">
        <w:rPr>
          <w:rFonts w:ascii="Times New Roman" w:hAnsi="Times New Roman"/>
          <w:color w:val="000000" w:themeColor="text1"/>
          <w:sz w:val="16"/>
          <w:szCs w:val="16"/>
        </w:rPr>
        <w:t> комбинат  № </w:t>
      </w:r>
      <w:bookmarkStart w:id="1" w:name="YANDEX_13"/>
      <w:bookmarkEnd w:id="1"/>
      <w:r w:rsidRPr="00A3026E">
        <w:rPr>
          <w:rFonts w:ascii="Times New Roman" w:hAnsi="Times New Roman"/>
          <w:color w:val="000000" w:themeColor="text1"/>
          <w:sz w:val="16"/>
          <w:szCs w:val="16"/>
        </w:rPr>
        <w:t xml:space="preserve"> 179  строится с 1934 г. Общая стоимость его строительства составляет 829 млн р. С этого времени началось его технологическое оснащение для производства снарядов, с одновременным производством гражданской продукции. В 1934–1936 гг., несмотря на продолжавшееся строительство многих крупных объектов производственного назначения, коллектив «Металлстроя» освоил производство и выпускал запасные части к тракторам, автомобилям и текстильным машинам, а также различное оборудование для водного и железнодорожного транспорта и другую продукцию. В 1937 г. </w:t>
      </w:r>
      <w:bookmarkStart w:id="2" w:name="YANDEX_14"/>
      <w:bookmarkEnd w:id="2"/>
      <w:r w:rsidRPr="00A3026E">
        <w:rPr>
          <w:rFonts w:ascii="Times New Roman" w:hAnsi="Times New Roman"/>
          <w:color w:val="000000" w:themeColor="text1"/>
          <w:sz w:val="16"/>
          <w:szCs w:val="16"/>
        </w:rPr>
        <w:t xml:space="preserve"> завод  получил новое задание — освоить производство шести типов станков, в том числе токарного «161». Технологически цехи </w:t>
      </w:r>
      <w:bookmarkStart w:id="3" w:name="YANDEX_15"/>
      <w:bookmarkEnd w:id="3"/>
      <w:r w:rsidRPr="00A3026E">
        <w:rPr>
          <w:rFonts w:ascii="Times New Roman" w:hAnsi="Times New Roman"/>
          <w:color w:val="000000" w:themeColor="text1"/>
          <w:sz w:val="16"/>
          <w:szCs w:val="16"/>
        </w:rPr>
        <w:t> завода  не были готовы к выполнению этого задания, отсутствовали и инженеры-станкостроители. Но к концу года станкостроители изготовили первый токарный станок «161» и 24 станка ПЛ-25 (15733).</w:t>
      </w:r>
    </w:p>
    <w:p w14:paraId="18563899" w14:textId="77777777" w:rsidR="00E70D80" w:rsidRPr="00A3026E" w:rsidRDefault="00E70D80" w:rsidP="00A3026E">
      <w:pPr>
        <w:spacing w:after="0" w:line="240" w:lineRule="auto"/>
        <w:jc w:val="both"/>
        <w:rPr>
          <w:rFonts w:ascii="Times New Roman" w:hAnsi="Times New Roman"/>
          <w:color w:val="000000" w:themeColor="text1"/>
          <w:sz w:val="16"/>
          <w:szCs w:val="16"/>
        </w:rPr>
      </w:pPr>
    </w:p>
    <w:p w14:paraId="1C079573" w14:textId="77777777" w:rsidR="008F72C1" w:rsidRPr="00A3026E" w:rsidRDefault="008F7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21 сентября 1940 вышло Постановление Комитета обороны при СНК СССР №382сс "О заявлении наркома вооружений тов. Ванникова"</w:t>
      </w:r>
    </w:p>
    <w:p w14:paraId="69FD18CB" w14:textId="77777777" w:rsidR="008F72C1" w:rsidRPr="00A3026E" w:rsidRDefault="008F7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Рассмотрев заявление НКВ (т. Ванникова) (см. приложение) о сложившихся ненормальных взаимоотношениях между НКО и работниками ГАУ НКО Комитет обороны при СНК Союза ССР признает заявление и выводы т. Ванникова правильными и постановляет НЕМЕДЛЯ:</w:t>
      </w:r>
    </w:p>
    <w:p w14:paraId="2DAD108B" w14:textId="77777777" w:rsidR="008F72C1" w:rsidRPr="00A3026E" w:rsidRDefault="008F7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Снять т. Каюкова М.М. с работы в ГАУ;</w:t>
      </w:r>
    </w:p>
    <w:p w14:paraId="63607471" w14:textId="77777777" w:rsidR="008F72C1" w:rsidRPr="00A3026E" w:rsidRDefault="008F7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Вызвать из командировки т. Кулика Г.И. и обязать его заняться работой в ГАУ;</w:t>
      </w:r>
    </w:p>
    <w:p w14:paraId="06600BFD" w14:textId="77777777" w:rsidR="008F72C1" w:rsidRPr="00A3026E" w:rsidRDefault="008F7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Воспретить ГАУ КА и его военприемщикам привлечение к суду директоров артиллерийских заводов;</w:t>
      </w:r>
    </w:p>
    <w:p w14:paraId="2DB8A2D5" w14:textId="77777777" w:rsidR="008F72C1" w:rsidRPr="00A3026E" w:rsidRDefault="008F7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Установить, что директоров артиллерийских заводов может привлекать к суду только Комитет Обороны (лишить такого права ГАУ и его приемщиков) (22043).</w:t>
      </w:r>
    </w:p>
    <w:p w14:paraId="1F4B8884" w14:textId="77777777" w:rsidR="008F72C1" w:rsidRPr="00A3026E" w:rsidRDefault="008F72C1" w:rsidP="00A3026E">
      <w:pPr>
        <w:spacing w:after="0" w:line="240" w:lineRule="auto"/>
        <w:jc w:val="both"/>
        <w:rPr>
          <w:rFonts w:ascii="Times New Roman" w:hAnsi="Times New Roman"/>
          <w:color w:val="0070C0"/>
          <w:sz w:val="16"/>
          <w:szCs w:val="16"/>
        </w:rPr>
      </w:pPr>
    </w:p>
    <w:p w14:paraId="3EC5F5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завод 221 поставил на полигон АНИОП первую 305 мм гаубицу БР-18 (3416,34).</w:t>
      </w:r>
    </w:p>
    <w:p w14:paraId="4B63AC7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9DBE8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21 сентября по 11 декабря 1940 года на АНИОПе велась стрельба из образец 210-мм пушки Бр-17 (Шкода). Всего было сделано 110 выстрелов. Первоначально на ферме заряжания стоял механический досылатель. Но он оказался неудобен и был заменен ручным "досыльником" из разборных штанг банника, а головка "досыльника" была изготовлена в мастерских АНИОПа. "Досыльником" обычно действовало 67 человек. На малых углах возвышения система неустойчива. Скорострельность 23 минуты на один выстрел в зависимости от углов возвышения. Испытания возкой проводились по маршруту Луга Ленинград. Использовались тягачи "Ворошиловец". Средняя скорость на маршруте 7 км/час, максимальная скорость на участке 15 км составила 28,6 км/час. При движении по проселку с высоким уровнем грунтовых вод все повозки глубоко увязали (на 6090 см). Повозки, снабженные в качестве варианта уширенными шинами (11,2520 мм и 12,020 мм) против штатных заметных преимущество в отношении проходимости не выявили (3861).</w:t>
      </w:r>
    </w:p>
    <w:p w14:paraId="146076F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3C073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года первая 305-мм гаубица Бр-18 (Шкода), изготовленная на заводе № 221, прибыла на АНИОП.</w:t>
      </w:r>
    </w:p>
    <w:p w14:paraId="1929BD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Устройство ствола Бр-17</w:t>
      </w:r>
    </w:p>
    <w:p w14:paraId="7156C3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Ствол состоял из трубы моноблока, лейнера и казенника, навинченного на моноблок.</w:t>
      </w:r>
    </w:p>
    <w:p w14:paraId="288923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Затвор поршневой, двухтактный с обтюратором типа Банжа.</w:t>
      </w:r>
    </w:p>
    <w:p w14:paraId="302012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комплект каждой пушки входил запасной лейнер.</w:t>
      </w:r>
    </w:p>
    <w:p w14:paraId="597F95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Нарезы постоянной крутизны.</w:t>
      </w:r>
    </w:p>
    <w:p w14:paraId="0E9A0F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Устройство ствола Бр-18</w:t>
      </w:r>
    </w:p>
    <w:p w14:paraId="47547F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Ствол гаубицы моноблок с коническим лейнером. Казенник навинтной. Поршневое гнездо находилось во ввинтной втулке казенника. Затвор двухтактный поршневой с обтюратором тира Банжа. Крутизна нарезов постоянная.</w:t>
      </w:r>
    </w:p>
    <w:p w14:paraId="0F9FB6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Устройство лафета, общего для Бр-17 и Бр-18</w:t>
      </w:r>
    </w:p>
    <w:p w14:paraId="7D197A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Особенность конструкции качающейся части сочетание люльки обойменного типа с откатывающимися цилиндрами противооткатных устройств.</w:t>
      </w:r>
    </w:p>
    <w:p w14:paraId="558CD4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выстреле ствол откатывается в люльке, увлекая за собой связанные бугелями цилиндры противооткатных устройств. Для соединения с шестернями коренного вала подъемного механизма люлька имела два сектора (правый и левый).</w:t>
      </w:r>
    </w:p>
    <w:p w14:paraId="16D415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Люлька литая обойма.</w:t>
      </w:r>
    </w:p>
    <w:p w14:paraId="61561B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Накатник гидропневматический с плавающим поршнем, расположен сверху ствола, а тормоз отката снизу.</w:t>
      </w:r>
    </w:p>
    <w:p w14:paraId="3F7024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Станок и другие нижние части лафета (за исключением небольших отличий в сошниковой опоре и др.) 210-мм пушки и 305-мм гаубицы одинаковы. Однако замена одной качающейся части на другую может быть произведена только в заводских условиях.</w:t>
      </w:r>
    </w:p>
    <w:p w14:paraId="4C3C95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Станок пушки клепаный, соединенный с поворотной частью основания болтами.</w:t>
      </w:r>
    </w:p>
    <w:p w14:paraId="4B4540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Поворотная часть основания для облегчения горизонтального наведения опиралась на шары. При действии поворотным механизмом, смонтированным на станке с поворотной частью основания, последняя вращалась на шаровой опоре благодаря сцеплению коренной шестерни поворотного механизма с зубчатым венцом, закрепленным на неподвижной части основания.</w:t>
      </w:r>
    </w:p>
    <w:p w14:paraId="3AD936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Роль боевого штыря выполняло нижнее опорное кольцо, прикрепленное к неподвижной части и охватываемое по окружности буртом верхнего опорного кольца, приклепанного к поворотной части основания.</w:t>
      </w:r>
    </w:p>
    <w:p w14:paraId="3A03AA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Неподвижная часть основания опущена в боевом положении в котлован в грунте, причем котлован предварительно облицовывается специальными угольниками и брусьями.</w:t>
      </w:r>
    </w:p>
    <w:p w14:paraId="39C1AA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поворотная, так и неподвижная части основания клепанные. Неподвижная часть основания имела на всех четырех углах разводящиеся опорные станины. Концы станин винтами с шаровыми пятами опирались на сошниковые опоры, связываемые с грунтом забивными сошниками, и на опорные пяты.</w:t>
      </w:r>
    </w:p>
    <w:p w14:paraId="55A4BD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Винты (домкраты) на концах опорных станин служили для создания дополнительного давления пушки на опорные пяты и сошниковые опоры с целью частичной разгрузки нижней части основания.</w:t>
      </w:r>
    </w:p>
    <w:p w14:paraId="2C0724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 с независимой линией прицеливания.</w:t>
      </w:r>
    </w:p>
    <w:p w14:paraId="291BC0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Приспособления для заряжания состояли из:</w:t>
      </w:r>
    </w:p>
    <w:p w14:paraId="28C76E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наклонного рельсового пути, укрепленного на поворотной части системы;</w:t>
      </w:r>
    </w:p>
    <w:p w14:paraId="05EE72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подающей каретки, перемещаемой по рельсовому пути с помощью троса и лебедки;</w:t>
      </w:r>
    </w:p>
    <w:p w14:paraId="27B583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тележек для подноса снарядов.</w:t>
      </w:r>
    </w:p>
    <w:p w14:paraId="797CC5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Тележки для подвозки снарядов позволяли брать снаряд не прибегая к специальным подъемным средствам. Доставленный на тележке снаряд клался на каретку, а последняя лебедкой поднималась по рельсовому пути в положение для заряжания.</w:t>
      </w:r>
    </w:p>
    <w:p w14:paraId="42ACB7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приведения качающейся части в положение для заряжания (угол +8) вручную усилием 68 номеров с помощью прибойника производилась досылка снаряда.</w:t>
      </w:r>
    </w:p>
    <w:p w14:paraId="77127D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походного положения пушка разбиралась на три основные части:</w:t>
      </w:r>
    </w:p>
    <w:p w14:paraId="1B59BA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Основание вместе с опорными сошниками (повозка № 1).</w:t>
      </w:r>
    </w:p>
    <w:p w14:paraId="5C4E40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Станок с люлькой, бугелем и противооткатными устройствами (повозка № 2).</w:t>
      </w:r>
    </w:p>
    <w:p w14:paraId="4114C3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Ствол с затвором (повозка № 3).</w:t>
      </w:r>
    </w:p>
    <w:p w14:paraId="548EBA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Повозки устроены так, что корпусом повозки является сама возимая часть пушки, к которой присоединяются передние и задние хода. В большей части устройства хода являются общими для всех трех повозок, отличаясь только монтажными частями для соединения с грузами.</w:t>
      </w:r>
    </w:p>
    <w:p w14:paraId="029008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Хода имели подрессоривание из листовых рессор. На каждой полуоси насажено спаренное колесо с пневматикой.</w:t>
      </w:r>
    </w:p>
    <w:p w14:paraId="6A92CA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Соединение переднего хода с возимой частью пушки сделано так, что обеспечивается поворотливость повозок до 90 и независимость ходов 15. После снятия ствола, станка и основания, по переходе в боевое положение, передний и задний ход соединяются балками, образуя повозки без грузов.</w:t>
      </w:r>
    </w:p>
    <w:p w14:paraId="1C8269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перевозки на походе штатных объемных частей системы (кроме возимых на 3-х повозках), а также ЗИПа, на каждое орудие придаются: один трехтонный автомобиль для перевозки облицовки котлована и саперного инструмента, и четыре трехтонных прицепа для перевозки остального имущества. Прицепы возятся в виде поезда трактором &lt;Ворошиловец&gt;,</w:t>
      </w:r>
    </w:p>
    <w:p w14:paraId="5212CA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Смена лейнера может быть произведена как в артиллерийской мастерской, так и в полевых условиях.</w:t>
      </w:r>
    </w:p>
    <w:p w14:paraId="35F4EC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Боеприпасы и баллистика 210-мм пушки Бр-17</w:t>
      </w:r>
    </w:p>
    <w:p w14:paraId="1015DB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Снаряды</w:t>
      </w:r>
    </w:p>
    <w:p w14:paraId="31A13C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головного взрывателя N6-CVZR-70 4,15 кг</w:t>
      </w:r>
    </w:p>
    <w:p w14:paraId="11AA2E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донного взрывателя DZDR-58 1,8 кг</w:t>
      </w:r>
    </w:p>
    <w:p w14:paraId="48C8BF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Заряды</w:t>
      </w:r>
    </w:p>
    <w:p w14:paraId="5870EB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Заряжание картузное. Применялись советские и чешские заряды, каждый включал в себя два заряда.</w:t>
      </w:r>
    </w:p>
    <w:p w14:paraId="7EF975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Заряды &lt;Шкода&gt; приведены для фугасных снарядов. Для бетонобойных снарядов № 2 меньше на 1 кг, а № 1 на 2 кг.</w:t>
      </w:r>
    </w:p>
    <w:p w14:paraId="430A98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Заряд № 2 &lt;Шкода&gt; соответствует отечественному полному заряду, а № 1 отечественному заряду № 1.</w:t>
      </w:r>
    </w:p>
    <w:p w14:paraId="088F31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Таблицы стрельбы</w:t>
      </w:r>
    </w:p>
    <w:p w14:paraId="785ADA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210-мм фугасный снаряд на песчаном грунте образовывал воронку глубиной 1,52 м и диаметром 55,5 м.</w:t>
      </w:r>
    </w:p>
    <w:p w14:paraId="507C71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210-мм бетонобойный снаряд по нормали при начальной скорости 555 м/с пробивал 2,5-метровую бетонную стенку, а при начальной скорости 358 м/с под углом 60 пробивал бетонную стенку толщиной 2 метра.</w:t>
      </w:r>
    </w:p>
    <w:p w14:paraId="510B08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системы позволяла стрелять полным зарядом только при углах возвышения свыше +20, а при углах от +6 до +20 только в исключительных случаях.</w:t>
      </w:r>
    </w:p>
    <w:p w14:paraId="2F5A6F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Таблицы стрельбы &lt;210-мм пушки Бр-17 обр. 1939 г.&gt; и &lt;21-см тяжелой пушки Шкода&gt; были впервые выпущены в 1944 году (утверждены 5.02.1944 г.).</w:t>
      </w:r>
    </w:p>
    <w:p w14:paraId="3B7D40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Боеприпасы и баллистика 305-мм гаубицы Бр-18</w:t>
      </w:r>
    </w:p>
    <w:p w14:paraId="4F228F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305-мм гаубицы Бр-18 использовались только чешские снаряды, изготовленные в Чехословакии.</w:t>
      </w:r>
    </w:p>
    <w:p w14:paraId="7BF3B4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Заряжание картузное. Всего пять зарядов полный, № 1, № 2, № 3 и № 4.</w:t>
      </w:r>
    </w:p>
    <w:p w14:paraId="4F558E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305-мм фугасный снаряд на песчаном грунте образовывал воронку глубиной 22,5 м и диаметром 5,58 м.</w:t>
      </w:r>
    </w:p>
    <w:p w14:paraId="205338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305-мм фугасная граната разрушала вертикальные кирпичные стенки толщиной до 2-х метров.</w:t>
      </w:r>
    </w:p>
    <w:p w14:paraId="33A175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 попадание бетонобойного снаряда МИ-1063 при скорости 330335 м/с и угле падения свыше 60 разрушало железобетонное перекрытие толщиной 2 м, при скорости 255 м/с и угле 60 при двух попаданиях в одно место разрушалось железобетонное перекрытие толщиной 3 м (3861).</w:t>
      </w:r>
    </w:p>
    <w:p w14:paraId="5415FA0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FE32925" w14:textId="77777777" w:rsidR="008F72C1" w:rsidRPr="00A3026E" w:rsidRDefault="008F72C1" w:rsidP="00A3026E">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К 21 сентября 1940 был изготовлен опытный образец орудия Ф-27, его поставили в башню танка Т-28 и начали огневые испытания. На первом этапе было произведено 122 выстрела, каких-то серьёзных нареканий не обнаружилось. Но уже к 26 сентября, после 600 выстрелов, выявились проблемы в работе противооткатной системы. Это привело к тому, что первоначальные планы по установке Ф-27 в тяжелый танк Т-150 пришлось менять. На танк поставили систему Ф-32. А у Ф-27 начались проблемы, которые начали валиться, как снежный ком. Нет, поначалу всё было не так плохо. В начале декабря орудие подготовили к отправке на Гороховецкий АНИОП, построили второй образец. Но дальше началось торможение, хотя второе орудие всё же поставили в КВ-1, после чего выяснилось, что не работает ножной спуск, а сама система неуравновешенная. Несмотря на такие проблемы, работы продолжались, а в феврале 1941 года систему переименовали в ЗИС-5. Так теперь назывались новые разработки КБ завода №92. 57-мм противотанковая пушка Ф-31 стала называться ЗИС-2, а ее танковая версия стала называться ЗИС-4. А вот Ф-30 совсем не повезло. Работы по ней прекратились, зато начались работы по 107-мм танковой пушке Ф-42, которая стала именоваться ЗИС-6 (20272).</w:t>
      </w:r>
    </w:p>
    <w:p w14:paraId="78AE670D" w14:textId="77777777" w:rsidR="008F72C1" w:rsidRPr="00A3026E" w:rsidRDefault="008F72C1" w:rsidP="00A3026E">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55B44C3E" w14:textId="77777777" w:rsidR="008F72C1" w:rsidRPr="00A3026E" w:rsidRDefault="008F72C1"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По состоянию на 21 сентября 1940 года изготовили всего одну Ф-30, ее установили в Т-28 и произвели 68 выстрелов. Выявились недоработки, в связи с чем пушку пришлось доделывать. В начале октября, после 90 выстрелов, обнаружилась трещина в казеннике. С данной проблемой и связано изменение в вооружении Т-220. В итоге первый образец Ф-30 закончили испытывать только к концу октября 1940 года, а 29 октября направили на Кировский Завод. Второй образец закончили к 27 ноября, а в начале декабря поставили в Т-28. Вместе с тем, происходившие далее события явно говорят о том, что Грабин стал терять интерес к 85-мм орудиям. Отчасти потому, что упомянутая 85-мм дивизионная пушка Ф-28 УДЛ (Ф-7) явно не имела перспектив, а для Ф-30 всё равно требовалась увеличенная башня. Поэтому в декабре 1940 года появилась новая разработка - 107-мм танковая пушка Ф-42. Одновременно шли работы и по 107-мм дивизионной пушке Ф-6 (наложение ствола с баллистикой по типу М-60 на лафет Ф-28) (21243).</w:t>
      </w:r>
    </w:p>
    <w:p w14:paraId="00DDBD5F" w14:textId="77777777" w:rsidR="008F72C1" w:rsidRPr="00A3026E" w:rsidRDefault="008F72C1"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6A24BB7F"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г., заместитель начальника ГАБТУ КА И.А. Лебедев и начальник БТУ ГАБТУ КА Б.М. Коробков направили районному инженеру ГАБТУ КА на заводе № 183 военинженеру 2 ранга Д.М. Козыреву </w:t>
      </w:r>
      <w:hyperlink r:id="rId10" w:tgtFrame="_blank" w:history="1">
        <w:r w:rsidRPr="00A3026E">
          <w:rPr>
            <w:rStyle w:val="a5"/>
            <w:rFonts w:ascii="Times New Roman" w:hAnsi="Times New Roman"/>
            <w:color w:val="000000" w:themeColor="text1"/>
            <w:sz w:val="16"/>
            <w:szCs w:val="16"/>
          </w:rPr>
          <w:t>письмо № 76381с</w:t>
        </w:r>
      </w:hyperlink>
      <w:r w:rsidRPr="00A3026E">
        <w:rPr>
          <w:rFonts w:ascii="Times New Roman" w:hAnsi="Times New Roman"/>
          <w:color w:val="000000" w:themeColor="text1"/>
          <w:sz w:val="16"/>
          <w:szCs w:val="16"/>
        </w:rPr>
        <w:t> со следующим указанием: </w:t>
      </w:r>
    </w:p>
    <w:p w14:paraId="1E39EDC0"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«Выделите в распоряжение майора тов. ГЕРКЕВИЧ три танка Т-34 из числа принятых Вами (со всеми доделками и рацией, размещенной в носовой части), не допуская никаких дополнительных переделок и замен деталей.</w:t>
      </w:r>
    </w:p>
    <w:p w14:paraId="2F62A6D5"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Танки должны быть полностью укомплектованы возимым комплектом запчастей и инструмента. Помимо этого Вам надлежит снабдить танки групповым (невозимым) комплектом запчастей и инструмента. </w:t>
      </w:r>
    </w:p>
    <w:p w14:paraId="76A7092D"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Ориентировочный объем комплекта (на 3 танка) разработайте совместно с райинжем БТУ по заводу № 75. </w:t>
      </w:r>
    </w:p>
    <w:p w14:paraId="0117EE59"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Танки предназначены для испытания длительным пробегом по маршруту Харьков – Москва – Смоленск – Киев – Харьков (3000 км). Срок готовности машин – 29.9.40 г.».</w:t>
      </w:r>
    </w:p>
    <w:p w14:paraId="0E1F8E7F"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1181. Л. 256]</w:t>
      </w:r>
    </w:p>
    <w:p w14:paraId="6BAA6086"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в связи с тем, что к 29 сентября 1940 г. заводом № 183 окончательно не было отработано размещение радиостанции 71-ТК-3 в носовой части корпуса танка Т-34, руководство ГАБТУ КА было вынуждено перенести начало проведения пробега на более поздний срок. (18173).</w:t>
      </w:r>
    </w:p>
    <w:p w14:paraId="0245D77A" w14:textId="77777777" w:rsidR="000D58DE" w:rsidRPr="00A3026E" w:rsidRDefault="000D58DE" w:rsidP="00A3026E">
      <w:pPr>
        <w:spacing w:after="0" w:line="240" w:lineRule="auto"/>
        <w:jc w:val="both"/>
        <w:rPr>
          <w:rFonts w:ascii="Times New Roman" w:hAnsi="Times New Roman"/>
          <w:color w:val="000000" w:themeColor="text1"/>
          <w:sz w:val="16"/>
          <w:szCs w:val="16"/>
        </w:rPr>
      </w:pPr>
    </w:p>
    <w:p w14:paraId="4C6816A5"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г.</w:t>
      </w:r>
    </w:p>
    <w:p w14:paraId="5039A20B"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1181 лист 256 </w:t>
      </w:r>
    </w:p>
    <w:p w14:paraId="4E0A5244"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7D02E579"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2 </w:t>
      </w:r>
    </w:p>
    <w:p w14:paraId="732A4CF0"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21 Сентября 1940 г. </w:t>
      </w:r>
    </w:p>
    <w:p w14:paraId="38D6884D"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76381с </w:t>
      </w:r>
    </w:p>
    <w:p w14:paraId="1937C838"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РАЙОННОМУ ИНЖЕНЕРУ БТУ КА НА ЗАВОДЕ № 183</w:t>
      </w:r>
    </w:p>
    <w:p w14:paraId="0C08C272"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ВОЕНИНЖЕНЕРУ 2 РАНГА тов. КОЗЫРЕВУ</w:t>
      </w:r>
    </w:p>
    <w:p w14:paraId="4718486F"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Выделите в распоряжение майора тов. ГЕРКЕВИЧ три танка Т-34 из числа приняты Вами (со всеми доделками и рацией, размещенной в носовой части), не допуская никаких дополнительных переделок и замен деталей. </w:t>
      </w:r>
    </w:p>
    <w:p w14:paraId="099FACEF"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Танки должны быть полностью укомплектованы возимым комплектом запчастей и инструмента. Помимо этого Вам надлежит снабдить танки групповым (невозимым) комплектом запчастей и инструмента. </w:t>
      </w:r>
    </w:p>
    <w:p w14:paraId="4DBA01CC"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Ориентировочный объем комплекта (на 3 танка) разработайте совместно с райинжем БТУ по заводу № 75. </w:t>
      </w:r>
    </w:p>
    <w:p w14:paraId="73E3D90E"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Танки предназначены для испытания длительным пробегом по маршруту Харьков–Москва–Смоленск–Киев–Харьков (3000 км). Срок готовности машин – 29.9.40 г. </w:t>
      </w:r>
    </w:p>
    <w:p w14:paraId="070AE826"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ЗАМ. НАЧАЛЬНИКА ГАБТУ КРАСНОЙ АРМИИ</w:t>
      </w:r>
    </w:p>
    <w:p w14:paraId="4878A93C"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ГЕНЕРАЛ-МАЙОР ТЕХНИЧЕСКИХ ВОЙСК (ЛЕБЕДЕВ)</w:t>
      </w:r>
    </w:p>
    <w:p w14:paraId="58013BCF"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п/п НАЧАЛЬНИК БРОНЕТАНКОВОГО УПРАВЛЕНИЯ КРАСНОЙ АРМИИ</w:t>
      </w:r>
    </w:p>
    <w:p w14:paraId="42606C4F"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1 РАНГА (КОРОБКОВ)</w:t>
      </w:r>
    </w:p>
    <w:p w14:paraId="0827F310"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2 экз. </w:t>
      </w:r>
    </w:p>
    <w:p w14:paraId="7FA4508D"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Афонин </w:t>
      </w:r>
    </w:p>
    <w:p w14:paraId="5DB323B6" w14:textId="77777777" w:rsidR="000D58DE" w:rsidRPr="00A3026E" w:rsidRDefault="000D58D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20.9.40 г. (18176)/</w:t>
      </w:r>
    </w:p>
    <w:p w14:paraId="3C6DEBF0" w14:textId="77777777" w:rsidR="000D58DE" w:rsidRPr="00A3026E" w:rsidRDefault="000D58DE" w:rsidP="00A3026E">
      <w:pPr>
        <w:spacing w:after="0" w:line="240" w:lineRule="auto"/>
        <w:jc w:val="both"/>
        <w:rPr>
          <w:rFonts w:ascii="Times New Roman" w:hAnsi="Times New Roman"/>
          <w:color w:val="000000" w:themeColor="text1"/>
          <w:sz w:val="16"/>
          <w:szCs w:val="16"/>
        </w:rPr>
      </w:pPr>
    </w:p>
    <w:p w14:paraId="600122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г. появилась ПРОГРАММА ИСПЫТАНИИ ТАНКА Т-34 ПРОБЕГОМ ПО МАРШРУТУ ХАРЬКОВ - КУБИНКА № 0698с</w:t>
      </w:r>
    </w:p>
    <w:p w14:paraId="269405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Кубинка</w:t>
      </w:r>
    </w:p>
    <w:p w14:paraId="17A88F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Цель испытания</w:t>
      </w:r>
    </w:p>
    <w:p w14:paraId="3888EF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Определить тактико-техническую характеристику танка в целом и установить ее соответст</w:t>
      </w:r>
      <w:r w:rsidRPr="00A3026E">
        <w:rPr>
          <w:rFonts w:ascii="Times New Roman" w:hAnsi="Times New Roman"/>
          <w:color w:val="000000" w:themeColor="text1"/>
          <w:sz w:val="16"/>
          <w:szCs w:val="16"/>
        </w:rPr>
        <w:softHyphen/>
        <w:t>вие с предъявленными генштабом тактико-техническими требованиями.</w:t>
      </w:r>
    </w:p>
    <w:p w14:paraId="78470F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Определить надежность и безопасность агрегатов танка в условиях длительного пробега.</w:t>
      </w:r>
    </w:p>
    <w:p w14:paraId="592F41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Определить соответствие вооружения, боекомплекта, средств наблюдения и связи тактиче</w:t>
      </w:r>
      <w:r w:rsidRPr="00A3026E">
        <w:rPr>
          <w:rFonts w:ascii="Times New Roman" w:hAnsi="Times New Roman"/>
          <w:color w:val="000000" w:themeColor="text1"/>
          <w:sz w:val="16"/>
          <w:szCs w:val="16"/>
        </w:rPr>
        <w:softHyphen/>
        <w:t>ским задачам стоящим перед танками данного класса.</w:t>
      </w:r>
    </w:p>
    <w:p w14:paraId="04ED8D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Определить обеспеченность танка возимым комплектом запчастей и инструментов и оконча</w:t>
      </w:r>
      <w:r w:rsidRPr="00A3026E">
        <w:rPr>
          <w:rFonts w:ascii="Times New Roman" w:hAnsi="Times New Roman"/>
          <w:color w:val="000000" w:themeColor="text1"/>
          <w:sz w:val="16"/>
          <w:szCs w:val="16"/>
        </w:rPr>
        <w:softHyphen/>
        <w:t>тельно разработать комплект. Определить объем и периодичность технического обслуживания тан</w:t>
      </w:r>
      <w:r w:rsidRPr="00A3026E">
        <w:rPr>
          <w:rFonts w:ascii="Times New Roman" w:hAnsi="Times New Roman"/>
          <w:color w:val="000000" w:themeColor="text1"/>
          <w:sz w:val="16"/>
          <w:szCs w:val="16"/>
        </w:rPr>
        <w:softHyphen/>
        <w:t>ка в полевых условиях. Определить ремонтные возможности танка в полевых условиях.</w:t>
      </w:r>
    </w:p>
    <w:p w14:paraId="2848E3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Объем испытания</w:t>
      </w:r>
    </w:p>
    <w:p w14:paraId="0F56D1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Проверка соответствия представленных образцов требованиям испытания — согласно переч</w:t>
      </w:r>
      <w:r w:rsidRPr="00A3026E">
        <w:rPr>
          <w:rFonts w:ascii="Times New Roman" w:hAnsi="Times New Roman"/>
          <w:color w:val="000000" w:themeColor="text1"/>
          <w:sz w:val="16"/>
          <w:szCs w:val="16"/>
        </w:rPr>
        <w:softHyphen/>
        <w:t>ню переделок и изменений БТУ.</w:t>
      </w:r>
    </w:p>
    <w:p w14:paraId="10A8AE40"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2) Общий километраж пробега 3000 км из них по шоссейным дорогам — 1000 км, по грунтовым</w:t>
      </w:r>
    </w:p>
    <w:p w14:paraId="32318B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дорогам и бездорожью с преодолением естественных препятствий — 2000 км. Примечание:</w:t>
      </w:r>
    </w:p>
    <w:p w14:paraId="31D35D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30 процентов общего километража проходится в ночное время.</w:t>
      </w:r>
    </w:p>
    <w:p w14:paraId="14C3FC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20 процентов километража по грунтовым дорогам и целине приходится в боевом положении (с закрытыми люками).</w:t>
      </w:r>
    </w:p>
    <w:p w14:paraId="3DBB0D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Испытание вооружения — в процессе испытания должны быть выполнены основные задачи по курсу стрельб для танков данного класса с израсходованием полного боевого комплекта.</w:t>
      </w:r>
    </w:p>
    <w:p w14:paraId="4C076D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Испытание средств связи — по особой программе.</w:t>
      </w:r>
    </w:p>
    <w:p w14:paraId="540FED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Определение проходимости: а) естественные препятствия, б) искусственные препятствия.</w:t>
      </w:r>
    </w:p>
    <w:p w14:paraId="020A51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Испытание герметичности корпуса и башни танка путем обливания горючей жидкостью.</w:t>
      </w:r>
    </w:p>
    <w:p w14:paraId="60E875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Порядок испытания Испытание разбивается на следующие этапы проводимые в последовательности:</w:t>
      </w:r>
    </w:p>
    <w:p w14:paraId="50E24F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Приемка машин от военпреда завода и проверка готовности танков к испытаниям. Проводит</w:t>
      </w:r>
      <w:r w:rsidRPr="00A3026E">
        <w:rPr>
          <w:rFonts w:ascii="Times New Roman" w:hAnsi="Times New Roman"/>
          <w:color w:val="000000" w:themeColor="text1"/>
          <w:sz w:val="16"/>
          <w:szCs w:val="16"/>
        </w:rPr>
        <w:softHyphen/>
        <w:t>ся при участии специалистов по вооружению и связи.</w:t>
      </w:r>
    </w:p>
    <w:p w14:paraId="150085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Семидневный марш с дневкой после первых трех дней (общий километраж 910 км, из них 320 км по шоссе и 590 по грунтовым дорогам и бездорожью).</w:t>
      </w:r>
    </w:p>
    <w:p w14:paraId="501A44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Стрельба с решением тактической задачи. Испытание средств связи. Преодоление естествен</w:t>
      </w:r>
      <w:r w:rsidRPr="00A3026E">
        <w:rPr>
          <w:rFonts w:ascii="Times New Roman" w:hAnsi="Times New Roman"/>
          <w:color w:val="000000" w:themeColor="text1"/>
          <w:sz w:val="16"/>
          <w:szCs w:val="16"/>
        </w:rPr>
        <w:softHyphen/>
        <w:t>ных и искусственных препятствий.</w:t>
      </w:r>
    </w:p>
    <w:p w14:paraId="1ABCBE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Восьмидневный марш с дневкой после четырех дней (общий километраж 1060 км, из них 510 км по шоссе и 550 по грунтовым дорогам, и бездорожью).</w:t>
      </w:r>
    </w:p>
    <w:p w14:paraId="55DBBF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Стрельба с решением тактической задачи. Испытание средств связи.</w:t>
      </w:r>
    </w:p>
    <w:p w14:paraId="6A3EE2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Шестидневный марш с дневкой после четырех дней (общий километраж 630 км по грунтовым дорогам, и бездорожью).</w:t>
      </w:r>
    </w:p>
    <w:p w14:paraId="098D89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Стрельба с решением тактической задачи.</w:t>
      </w:r>
    </w:p>
    <w:p w14:paraId="15EE99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Оформление материалов и составление отчета.</w:t>
      </w:r>
    </w:p>
    <w:p w14:paraId="7D9343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Основные вопросы испытания: 1. По вооружению и оптике:</w:t>
      </w:r>
    </w:p>
    <w:p w14:paraId="158142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Определить удобство пользования вооружением и оптикой при стрельбе схода и с места при выполнении поставленных тактических задач.</w:t>
      </w:r>
    </w:p>
    <w:p w14:paraId="1ADCAE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Определить меткость и кучность стрельбы из танка с целью установление наиболее эффек</w:t>
      </w:r>
      <w:r w:rsidRPr="00A3026E">
        <w:rPr>
          <w:rFonts w:ascii="Times New Roman" w:hAnsi="Times New Roman"/>
          <w:color w:val="000000" w:themeColor="text1"/>
          <w:sz w:val="16"/>
          <w:szCs w:val="16"/>
        </w:rPr>
        <w:softHyphen/>
        <w:t>тивных дистанций и углов возвышения и склонения.</w:t>
      </w:r>
    </w:p>
    <w:p w14:paraId="1F0C0E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Определить удобство пользования боеукладкой и ЗИПом.</w:t>
      </w:r>
    </w:p>
    <w:p w14:paraId="2C8C1F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Определить мертвые пространства, поражаемые сектора, а так же степень обзорности из танка.</w:t>
      </w:r>
    </w:p>
    <w:p w14:paraId="16A107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Определить загрязненность воздуха в танке, СО при стрельбе.</w:t>
      </w:r>
    </w:p>
    <w:p w14:paraId="3ABBEE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Определить возможность и удобство обслуживания, ремонта и замены вооружения и оптики в полевых условиях.</w:t>
      </w:r>
    </w:p>
    <w:p w14:paraId="56BB13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Определить возможность использования вооружения для самообороны из танка и при выхо</w:t>
      </w:r>
      <w:r w:rsidRPr="00A3026E">
        <w:rPr>
          <w:rFonts w:ascii="Times New Roman" w:hAnsi="Times New Roman"/>
          <w:color w:val="000000" w:themeColor="text1"/>
          <w:sz w:val="16"/>
          <w:szCs w:val="16"/>
        </w:rPr>
        <w:softHyphen/>
        <w:t>де из танка.</w:t>
      </w:r>
    </w:p>
    <w:p w14:paraId="61E706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 радиостанции:</w:t>
      </w:r>
    </w:p>
    <w:p w14:paraId="76DE80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Установить правильность и удобство размещения радиоаппаратуры в танке.</w:t>
      </w:r>
    </w:p>
    <w:p w14:paraId="5107A3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Установить дальность надежной связи на радиостанции и удобство пользования телефоном и микрофоном.</w:t>
      </w:r>
    </w:p>
    <w:p w14:paraId="2D1E48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Определить удобство настройки и доступность аппаратуры внутри танка.</w:t>
      </w:r>
    </w:p>
    <w:p w14:paraId="7DE1D2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Определить надежность и удобство пользования ТПУ. 3. По танку в целом:</w:t>
      </w:r>
    </w:p>
    <w:p w14:paraId="5B56FB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Определить выносливость и надежность танка в целом и его отдельных агрегатов в услови напряженной эксплуатации.</w:t>
      </w:r>
    </w:p>
    <w:p w14:paraId="330607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Определить средние скорости движения (чистую, техническую и оперативную) в раз дорожных условиях.</w:t>
      </w:r>
    </w:p>
    <w:p w14:paraId="0948ED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Определить нормы расхода горючесмазочных материалов на 1 час работы двигателя и 3 км I</w:t>
      </w:r>
    </w:p>
    <w:p w14:paraId="4DC2187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г) Определить запас хода по горючему, смазке и надежности танка.</w:t>
      </w:r>
    </w:p>
    <w:p w14:paraId="2A32AA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Определить температурный режим работы двигателя.</w:t>
      </w:r>
    </w:p>
    <w:p w14:paraId="74B3E1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Определить возможности и нормативы полевого обслуживания и ремонта танка. Разработать нормы возимого комплекта запчастей и инструмента.</w:t>
      </w:r>
    </w:p>
    <w:p w14:paraId="33E5F2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Определить удобство пользования приборами наблюдения в условиях решения тактических задач.</w:t>
      </w:r>
    </w:p>
    <w:p w14:paraId="179AE9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Определить управляемость танка и проходимость при движении в различных дорожных усло</w:t>
      </w:r>
      <w:r w:rsidRPr="00A3026E">
        <w:rPr>
          <w:rFonts w:ascii="Times New Roman" w:hAnsi="Times New Roman"/>
          <w:color w:val="000000" w:themeColor="text1"/>
          <w:sz w:val="16"/>
          <w:szCs w:val="16"/>
        </w:rPr>
        <w:softHyphen/>
        <w:t>виях и в разное время суток.</w:t>
      </w:r>
    </w:p>
    <w:p w14:paraId="2CEC7A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Определить удобство размещения и работы экипажа танка.</w:t>
      </w:r>
    </w:p>
    <w:p w14:paraId="07164A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Определить суточный и трехсуточный переход танка в зависимости от надежности танка, за</w:t>
      </w:r>
      <w:r w:rsidRPr="00A3026E">
        <w:rPr>
          <w:rFonts w:ascii="Times New Roman" w:hAnsi="Times New Roman"/>
          <w:color w:val="000000" w:themeColor="text1"/>
          <w:sz w:val="16"/>
          <w:szCs w:val="16"/>
        </w:rPr>
        <w:softHyphen/>
        <w:t>паса хода и утомления экипажа.</w:t>
      </w:r>
    </w:p>
    <w:p w14:paraId="7D2E92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Определить путь и время безостановочного движения.</w:t>
      </w:r>
    </w:p>
    <w:p w14:paraId="7EC52F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 Определить возможность использования танка как буксирного средства в боевой обстановке.</w:t>
      </w:r>
    </w:p>
    <w:p w14:paraId="6DB789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Испытание на воздействие горючей жидкости:</w:t>
      </w:r>
    </w:p>
    <w:p w14:paraId="35198D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Определить герметичность танка, а так же места и степень проникновения горящей жидкости внутрь танка.</w:t>
      </w:r>
    </w:p>
    <w:p w14:paraId="3065CA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Установить степень опасности и повреждений от действия проникающей в танк горящей жидкости (выявить жизнеопасные очаги).</w:t>
      </w:r>
    </w:p>
    <w:p w14:paraId="4C17A7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Определить эффективность имеющихся противопожарных и других средств, для борьбы с ог</w:t>
      </w:r>
      <w:r w:rsidRPr="00A3026E">
        <w:rPr>
          <w:rFonts w:ascii="Times New Roman" w:hAnsi="Times New Roman"/>
          <w:color w:val="000000" w:themeColor="text1"/>
          <w:sz w:val="16"/>
          <w:szCs w:val="16"/>
        </w:rPr>
        <w:softHyphen/>
        <w:t>нем или этим видом нападения.</w:t>
      </w:r>
    </w:p>
    <w:p w14:paraId="4287D9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Установить наилучшие меры борьбы с горящей жидкостью попавшей внутрь танка. Детализированные программы по испытанию вооружения, оптике и средств связи разрабатыва</w:t>
      </w:r>
      <w:r w:rsidRPr="00A3026E">
        <w:rPr>
          <w:rFonts w:ascii="Times New Roman" w:hAnsi="Times New Roman"/>
          <w:color w:val="000000" w:themeColor="text1"/>
          <w:sz w:val="16"/>
          <w:szCs w:val="16"/>
        </w:rPr>
        <w:softHyphen/>
        <w:t>ются соответствующими отделами полигона — дополнительно.</w:t>
      </w:r>
    </w:p>
    <w:p w14:paraId="70B305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должен быть представлен через 10 дней после окончания испытаний.</w:t>
      </w:r>
    </w:p>
    <w:p w14:paraId="1ED912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НИ полигона ГАБТУ полковник Романов</w:t>
      </w:r>
    </w:p>
    <w:p w14:paraId="0894F8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w:t>
      </w:r>
    </w:p>
    <w:p w14:paraId="560E00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Организация пробега танков Т-34 по маршруту Харьков - Москва - Смоленск -</w:t>
      </w:r>
    </w:p>
    <w:p w14:paraId="722A52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Киев - Харьков</w:t>
      </w:r>
    </w:p>
    <w:p w14:paraId="5CB5B9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Расчет личного состава пробега танков Т-34</w:t>
      </w:r>
    </w:p>
    <w:tbl>
      <w:tblPr>
        <w:tblW w:w="0" w:type="auto"/>
        <w:tblInd w:w="40" w:type="dxa"/>
        <w:tblLayout w:type="fixed"/>
        <w:tblCellMar>
          <w:left w:w="40" w:type="dxa"/>
          <w:right w:w="40" w:type="dxa"/>
        </w:tblCellMar>
        <w:tblLook w:val="0000" w:firstRow="0" w:lastRow="0" w:firstColumn="0" w:lastColumn="0" w:noHBand="0" w:noVBand="0"/>
      </w:tblPr>
      <w:tblGrid>
        <w:gridCol w:w="384"/>
        <w:gridCol w:w="10"/>
        <w:gridCol w:w="1929"/>
        <w:gridCol w:w="10"/>
        <w:gridCol w:w="1766"/>
        <w:gridCol w:w="10"/>
        <w:gridCol w:w="1776"/>
        <w:gridCol w:w="10"/>
        <w:gridCol w:w="1776"/>
        <w:gridCol w:w="38"/>
      </w:tblGrid>
      <w:tr w:rsidR="00983732" w:rsidRPr="00A3026E" w14:paraId="5A7374F3" w14:textId="77777777" w:rsidTr="00EA0DA7">
        <w:trPr>
          <w:trHeight w:val="384"/>
        </w:trPr>
        <w:tc>
          <w:tcPr>
            <w:tcW w:w="394" w:type="dxa"/>
            <w:gridSpan w:val="2"/>
            <w:tcBorders>
              <w:top w:val="single" w:sz="6" w:space="0" w:color="auto"/>
              <w:left w:val="single" w:sz="6" w:space="0" w:color="auto"/>
              <w:bottom w:val="single" w:sz="6" w:space="0" w:color="auto"/>
              <w:right w:val="single" w:sz="6" w:space="0" w:color="auto"/>
            </w:tcBorders>
          </w:tcPr>
          <w:p w14:paraId="428A6E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53B6CD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w:t>
            </w:r>
          </w:p>
          <w:p w14:paraId="26F3AA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6CE7DE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Должность в пробеге</w:t>
            </w:r>
          </w:p>
          <w:p w14:paraId="164EE5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6BC86B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Военное звание</w:t>
            </w:r>
          </w:p>
          <w:p w14:paraId="02E1FF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330365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Фамилия</w:t>
            </w:r>
          </w:p>
          <w:p w14:paraId="246A0F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13EB94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Кто назначает</w:t>
            </w:r>
          </w:p>
          <w:p w14:paraId="4FAA7C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571594B" w14:textId="77777777" w:rsidTr="00EA0DA7">
        <w:trPr>
          <w:trHeight w:val="182"/>
        </w:trPr>
        <w:tc>
          <w:tcPr>
            <w:tcW w:w="394" w:type="dxa"/>
            <w:gridSpan w:val="2"/>
            <w:tcBorders>
              <w:top w:val="single" w:sz="6" w:space="0" w:color="auto"/>
              <w:left w:val="single" w:sz="6" w:space="0" w:color="auto"/>
              <w:bottom w:val="single" w:sz="6" w:space="0" w:color="auto"/>
              <w:right w:val="single" w:sz="6" w:space="0" w:color="auto"/>
            </w:tcBorders>
          </w:tcPr>
          <w:p w14:paraId="1A5A7F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1CEB2F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0587FB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 группы</w:t>
            </w:r>
          </w:p>
          <w:p w14:paraId="4CCE54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2292E8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майор</w:t>
            </w:r>
          </w:p>
          <w:p w14:paraId="78EF7D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169C44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Геркевич Е.Е.</w:t>
            </w:r>
          </w:p>
          <w:p w14:paraId="03F4C7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6095E2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712D64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07C459B"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187B93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p w14:paraId="57E794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6A4995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Его заместитель</w:t>
            </w:r>
          </w:p>
          <w:p w14:paraId="24069D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2CE047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майор</w:t>
            </w:r>
          </w:p>
          <w:p w14:paraId="33170E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16A60B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Колотушкин И. И.</w:t>
            </w:r>
          </w:p>
          <w:p w14:paraId="7B12F0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209F87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2322FE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66C380A" w14:textId="77777777" w:rsidTr="00EA0DA7">
        <w:trPr>
          <w:trHeight w:val="182"/>
        </w:trPr>
        <w:tc>
          <w:tcPr>
            <w:tcW w:w="394" w:type="dxa"/>
            <w:gridSpan w:val="2"/>
            <w:tcBorders>
              <w:top w:val="single" w:sz="6" w:space="0" w:color="auto"/>
              <w:left w:val="single" w:sz="6" w:space="0" w:color="auto"/>
              <w:bottom w:val="single" w:sz="6" w:space="0" w:color="auto"/>
              <w:right w:val="single" w:sz="6" w:space="0" w:color="auto"/>
            </w:tcBorders>
          </w:tcPr>
          <w:p w14:paraId="0A870A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p w14:paraId="79A3E2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1F3FB0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Инженер - испытатель</w:t>
            </w:r>
          </w:p>
          <w:p w14:paraId="69707C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1B719E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3 ранга</w:t>
            </w:r>
          </w:p>
          <w:p w14:paraId="70DA1A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7A3A21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Козорез М.Е.</w:t>
            </w:r>
          </w:p>
          <w:p w14:paraId="2331F8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4F1418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5103B6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784D006"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50AEA2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p w14:paraId="5693BA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7C7542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Инженер по ремонту</w:t>
            </w:r>
          </w:p>
          <w:p w14:paraId="3974A1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4A7019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2 ранга</w:t>
            </w:r>
          </w:p>
          <w:p w14:paraId="4994EF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71C3B7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Яковлев А.Я.</w:t>
            </w:r>
          </w:p>
          <w:p w14:paraId="7C6744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20AE18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51DEB2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E8EE5F2"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6D2D60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p w14:paraId="00E1C4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7046E5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по вооружению</w:t>
            </w:r>
          </w:p>
          <w:p w14:paraId="6AE040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381F75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3 ранга</w:t>
            </w:r>
          </w:p>
          <w:p w14:paraId="29E167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473A1E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Иванов П.А.</w:t>
            </w:r>
          </w:p>
          <w:p w14:paraId="1B9FE6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606875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2278C7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AA0379C"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1B183D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6</w:t>
            </w:r>
          </w:p>
          <w:p w14:paraId="0C0871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3AE464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 командира по х/ч.</w:t>
            </w:r>
          </w:p>
          <w:p w14:paraId="66E1BF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7D7E1F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воентехник 1 ранга</w:t>
            </w:r>
          </w:p>
          <w:p w14:paraId="6A9988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1F22E6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Звягинцев</w:t>
            </w:r>
          </w:p>
          <w:p w14:paraId="18E589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38DD45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1BBFDD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FC3C6CF" w14:textId="77777777" w:rsidTr="00EA0DA7">
        <w:trPr>
          <w:trHeight w:val="182"/>
        </w:trPr>
        <w:tc>
          <w:tcPr>
            <w:tcW w:w="394" w:type="dxa"/>
            <w:gridSpan w:val="2"/>
            <w:tcBorders>
              <w:top w:val="single" w:sz="6" w:space="0" w:color="auto"/>
              <w:left w:val="single" w:sz="6" w:space="0" w:color="auto"/>
              <w:bottom w:val="single" w:sz="6" w:space="0" w:color="auto"/>
              <w:right w:val="single" w:sz="6" w:space="0" w:color="auto"/>
            </w:tcBorders>
          </w:tcPr>
          <w:p w14:paraId="5F822E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p w14:paraId="204060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60BACF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Лекпом</w:t>
            </w:r>
          </w:p>
          <w:p w14:paraId="79C67C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4E9B76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военфельдшер</w:t>
            </w:r>
          </w:p>
          <w:p w14:paraId="3D1765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458FA3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Кравкин</w:t>
            </w:r>
          </w:p>
          <w:p w14:paraId="327D00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007919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40C1A4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ED184C2"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74AED9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p w14:paraId="72DCD4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1CD8FF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контролер</w:t>
            </w:r>
          </w:p>
          <w:p w14:paraId="4BD03E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0EFE82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воентехник 2 ранга</w:t>
            </w:r>
          </w:p>
          <w:p w14:paraId="54D77E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6A25AF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Варнвода М.М.</w:t>
            </w:r>
          </w:p>
          <w:p w14:paraId="42CDFD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738913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6CAB33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22FE8A6"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46DEF2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p w14:paraId="71F6B6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20C9F7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контролер</w:t>
            </w:r>
          </w:p>
          <w:p w14:paraId="7F2A3F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12C2A2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воентехник 2 ранга</w:t>
            </w:r>
          </w:p>
          <w:p w14:paraId="4FEE75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0A1387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Козлов А. П.</w:t>
            </w:r>
          </w:p>
          <w:p w14:paraId="2A483F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30BBDA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31C589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63E319D" w14:textId="77777777" w:rsidTr="00EA0DA7">
        <w:trPr>
          <w:trHeight w:val="182"/>
        </w:trPr>
        <w:tc>
          <w:tcPr>
            <w:tcW w:w="394" w:type="dxa"/>
            <w:gridSpan w:val="2"/>
            <w:tcBorders>
              <w:top w:val="single" w:sz="6" w:space="0" w:color="auto"/>
              <w:left w:val="single" w:sz="6" w:space="0" w:color="auto"/>
              <w:bottom w:val="single" w:sz="6" w:space="0" w:color="auto"/>
              <w:right w:val="single" w:sz="6" w:space="0" w:color="auto"/>
            </w:tcBorders>
          </w:tcPr>
          <w:p w14:paraId="02FCCD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p w14:paraId="3771B1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1FAEEC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контролер</w:t>
            </w:r>
          </w:p>
          <w:p w14:paraId="14A9CB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50E0C6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воентехник 2 ранга</w:t>
            </w:r>
          </w:p>
          <w:p w14:paraId="5A1FE5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14C54B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Никитин</w:t>
            </w:r>
          </w:p>
          <w:p w14:paraId="6FFAF8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0A28BD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580155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23F77E1"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5B023C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p w14:paraId="7FC8E3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58CB88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Повар</w:t>
            </w:r>
          </w:p>
          <w:p w14:paraId="1352A7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64F39A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красноармеец</w:t>
            </w:r>
          </w:p>
          <w:p w14:paraId="707CFF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066270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Мольков</w:t>
            </w:r>
          </w:p>
          <w:p w14:paraId="09893F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71576E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42423D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E0B0941"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57E6B4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p w14:paraId="48AE24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5BC294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Водитель автомашин</w:t>
            </w:r>
          </w:p>
          <w:p w14:paraId="52D962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78957D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9F2D9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148017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Акимов</w:t>
            </w:r>
          </w:p>
          <w:p w14:paraId="112023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18EF37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2C254D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D44F2B9"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786EC8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p w14:paraId="4D06E2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1C3003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Водитель автомашин</w:t>
            </w:r>
          </w:p>
          <w:p w14:paraId="7900C3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2D4D11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0933E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2BDE9D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Табалин</w:t>
            </w:r>
          </w:p>
          <w:p w14:paraId="164407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4ADCED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1894BD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52089E4" w14:textId="77777777" w:rsidTr="00EA0DA7">
        <w:trPr>
          <w:trHeight w:val="182"/>
        </w:trPr>
        <w:tc>
          <w:tcPr>
            <w:tcW w:w="394" w:type="dxa"/>
            <w:gridSpan w:val="2"/>
            <w:tcBorders>
              <w:top w:val="single" w:sz="6" w:space="0" w:color="auto"/>
              <w:left w:val="single" w:sz="6" w:space="0" w:color="auto"/>
              <w:bottom w:val="single" w:sz="6" w:space="0" w:color="auto"/>
              <w:right w:val="single" w:sz="6" w:space="0" w:color="auto"/>
            </w:tcBorders>
          </w:tcPr>
          <w:p w14:paraId="79206D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p w14:paraId="6C1421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5B668E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Водитель автомашин</w:t>
            </w:r>
          </w:p>
          <w:p w14:paraId="0869A2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578AF0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83536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7C86DD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Левашов</w:t>
            </w:r>
          </w:p>
          <w:p w14:paraId="5CE200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653C96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605F5A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24B81AF"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0C56C7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p w14:paraId="781EDB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52D0A8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Водитель автомашин</w:t>
            </w:r>
          </w:p>
          <w:p w14:paraId="29EECC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493B0E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999EA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20C104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Агеев</w:t>
            </w:r>
          </w:p>
          <w:p w14:paraId="27E787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7853FB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48F1E0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F6698A0"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25BAC7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p w14:paraId="09818A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49BB66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Водитель автомашин</w:t>
            </w:r>
          </w:p>
          <w:p w14:paraId="3567D7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6BB208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80997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130854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Кондратьев</w:t>
            </w:r>
          </w:p>
          <w:p w14:paraId="41A01B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363FA6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42F1C0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8E4956D" w14:textId="77777777" w:rsidTr="00EA0DA7">
        <w:trPr>
          <w:trHeight w:val="182"/>
        </w:trPr>
        <w:tc>
          <w:tcPr>
            <w:tcW w:w="394" w:type="dxa"/>
            <w:gridSpan w:val="2"/>
            <w:tcBorders>
              <w:top w:val="single" w:sz="6" w:space="0" w:color="auto"/>
              <w:left w:val="single" w:sz="6" w:space="0" w:color="auto"/>
              <w:bottom w:val="single" w:sz="6" w:space="0" w:color="auto"/>
              <w:right w:val="single" w:sz="6" w:space="0" w:color="auto"/>
            </w:tcBorders>
          </w:tcPr>
          <w:p w14:paraId="2DFA0B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p w14:paraId="6CA6F4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5BFFE2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Водитель автомашин</w:t>
            </w:r>
          </w:p>
          <w:p w14:paraId="02B11F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60079C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F1E29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63353A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Бекешко</w:t>
            </w:r>
          </w:p>
          <w:p w14:paraId="0C072D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0A57C9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ГАБТУ КА</w:t>
            </w:r>
          </w:p>
          <w:p w14:paraId="64D636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CEE9BA3" w14:textId="77777777" w:rsidTr="00EA0DA7">
        <w:trPr>
          <w:trHeight w:val="211"/>
        </w:trPr>
        <w:tc>
          <w:tcPr>
            <w:tcW w:w="394" w:type="dxa"/>
            <w:gridSpan w:val="2"/>
            <w:tcBorders>
              <w:top w:val="single" w:sz="6" w:space="0" w:color="auto"/>
              <w:left w:val="single" w:sz="6" w:space="0" w:color="auto"/>
              <w:bottom w:val="single" w:sz="6" w:space="0" w:color="auto"/>
              <w:right w:val="single" w:sz="6" w:space="0" w:color="auto"/>
            </w:tcBorders>
          </w:tcPr>
          <w:p w14:paraId="44451E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p w14:paraId="2A9D21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691704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по резине</w:t>
            </w:r>
          </w:p>
          <w:p w14:paraId="331075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1971DA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FE3C8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2095BB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Латкин</w:t>
            </w:r>
          </w:p>
          <w:p w14:paraId="2B3CBD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5438BC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НИЭИРП</w:t>
            </w:r>
          </w:p>
          <w:p w14:paraId="1FB48F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825B840" w14:textId="77777777" w:rsidTr="00EA0DA7">
        <w:trPr>
          <w:gridAfter w:val="1"/>
          <w:wAfter w:w="38" w:type="dxa"/>
          <w:trHeight w:val="202"/>
        </w:trPr>
        <w:tc>
          <w:tcPr>
            <w:tcW w:w="384" w:type="dxa"/>
            <w:tcBorders>
              <w:top w:val="single" w:sz="6" w:space="0" w:color="auto"/>
              <w:left w:val="single" w:sz="6" w:space="0" w:color="auto"/>
              <w:bottom w:val="single" w:sz="6" w:space="0" w:color="auto"/>
              <w:right w:val="single" w:sz="6" w:space="0" w:color="auto"/>
            </w:tcBorders>
          </w:tcPr>
          <w:p w14:paraId="18D5BD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p w14:paraId="5AC125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3ECBAA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Экипажи танков</w:t>
            </w:r>
          </w:p>
          <w:p w14:paraId="26676D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68D53A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чел.</w:t>
            </w:r>
          </w:p>
          <w:p w14:paraId="5726E6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0A6CA2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директивы</w:t>
            </w:r>
          </w:p>
          <w:p w14:paraId="04AFCE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679A67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w:t>
            </w:r>
          </w:p>
          <w:p w14:paraId="296F26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972C6CD" w14:textId="77777777" w:rsidTr="00EA0DA7">
        <w:trPr>
          <w:gridAfter w:val="1"/>
          <w:wAfter w:w="38" w:type="dxa"/>
          <w:trHeight w:val="192"/>
        </w:trPr>
        <w:tc>
          <w:tcPr>
            <w:tcW w:w="384" w:type="dxa"/>
            <w:tcBorders>
              <w:top w:val="single" w:sz="6" w:space="0" w:color="auto"/>
              <w:left w:val="single" w:sz="6" w:space="0" w:color="auto"/>
              <w:bottom w:val="single" w:sz="6" w:space="0" w:color="auto"/>
              <w:right w:val="single" w:sz="6" w:space="0" w:color="auto"/>
            </w:tcBorders>
          </w:tcPr>
          <w:p w14:paraId="4A1A33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p w14:paraId="6A312E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7BD2F6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механик</w:t>
            </w:r>
          </w:p>
          <w:p w14:paraId="674CC6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075E42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чел.</w:t>
            </w:r>
          </w:p>
          <w:p w14:paraId="462E78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7FC502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директивы</w:t>
            </w:r>
          </w:p>
          <w:p w14:paraId="43FD02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5C4281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w:t>
            </w:r>
          </w:p>
          <w:p w14:paraId="7E6590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6963760" w14:textId="77777777" w:rsidTr="00EA0DA7">
        <w:trPr>
          <w:gridAfter w:val="1"/>
          <w:wAfter w:w="38" w:type="dxa"/>
          <w:trHeight w:val="192"/>
        </w:trPr>
        <w:tc>
          <w:tcPr>
            <w:tcW w:w="384" w:type="dxa"/>
            <w:tcBorders>
              <w:top w:val="single" w:sz="6" w:space="0" w:color="auto"/>
              <w:left w:val="single" w:sz="6" w:space="0" w:color="auto"/>
              <w:bottom w:val="single" w:sz="6" w:space="0" w:color="auto"/>
              <w:right w:val="single" w:sz="6" w:space="0" w:color="auto"/>
            </w:tcBorders>
          </w:tcPr>
          <w:p w14:paraId="634164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p w14:paraId="5EBCBE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09E850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Слесарь</w:t>
            </w:r>
          </w:p>
          <w:p w14:paraId="305752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20F6F9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чел.</w:t>
            </w:r>
          </w:p>
          <w:p w14:paraId="3DCDCB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1B0BD6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директивы</w:t>
            </w:r>
          </w:p>
          <w:p w14:paraId="304076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340BD5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№183</w:t>
            </w:r>
          </w:p>
          <w:p w14:paraId="450BF3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56A7828" w14:textId="77777777" w:rsidTr="00EA0DA7">
        <w:trPr>
          <w:gridAfter w:val="1"/>
          <w:wAfter w:w="38" w:type="dxa"/>
          <w:trHeight w:val="182"/>
        </w:trPr>
        <w:tc>
          <w:tcPr>
            <w:tcW w:w="384" w:type="dxa"/>
            <w:tcBorders>
              <w:top w:val="single" w:sz="6" w:space="0" w:color="auto"/>
              <w:left w:val="single" w:sz="6" w:space="0" w:color="auto"/>
              <w:bottom w:val="single" w:sz="6" w:space="0" w:color="auto"/>
              <w:right w:val="single" w:sz="6" w:space="0" w:color="auto"/>
            </w:tcBorders>
          </w:tcPr>
          <w:p w14:paraId="7BD747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p w14:paraId="0CDFBE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7E896D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Электрик радист</w:t>
            </w:r>
          </w:p>
          <w:p w14:paraId="793318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3843F9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чел.</w:t>
            </w:r>
          </w:p>
          <w:p w14:paraId="22C3D1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4D469A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директивы</w:t>
            </w:r>
          </w:p>
          <w:p w14:paraId="28A38C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2559B6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№183</w:t>
            </w:r>
          </w:p>
          <w:p w14:paraId="7DC68F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3DBEDD1" w14:textId="77777777" w:rsidTr="00EA0DA7">
        <w:trPr>
          <w:gridAfter w:val="1"/>
          <w:wAfter w:w="38" w:type="dxa"/>
          <w:trHeight w:val="192"/>
        </w:trPr>
        <w:tc>
          <w:tcPr>
            <w:tcW w:w="384" w:type="dxa"/>
            <w:tcBorders>
              <w:top w:val="single" w:sz="6" w:space="0" w:color="auto"/>
              <w:left w:val="single" w:sz="6" w:space="0" w:color="auto"/>
              <w:bottom w:val="single" w:sz="6" w:space="0" w:color="auto"/>
              <w:right w:val="single" w:sz="6" w:space="0" w:color="auto"/>
            </w:tcBorders>
          </w:tcPr>
          <w:p w14:paraId="209064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p w14:paraId="5E67D2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5011BB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Моторист</w:t>
            </w:r>
          </w:p>
          <w:p w14:paraId="536485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524FAA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чел.</w:t>
            </w:r>
          </w:p>
          <w:p w14:paraId="5541EF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5D9E18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директивы</w:t>
            </w:r>
          </w:p>
          <w:p w14:paraId="152AA2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1FA8F8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№75</w:t>
            </w:r>
          </w:p>
          <w:p w14:paraId="3052CF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23D0972" w14:textId="77777777" w:rsidTr="00EA0DA7">
        <w:trPr>
          <w:gridAfter w:val="1"/>
          <w:wAfter w:w="38" w:type="dxa"/>
          <w:trHeight w:val="192"/>
        </w:trPr>
        <w:tc>
          <w:tcPr>
            <w:tcW w:w="384" w:type="dxa"/>
            <w:tcBorders>
              <w:top w:val="single" w:sz="6" w:space="0" w:color="auto"/>
              <w:left w:val="single" w:sz="6" w:space="0" w:color="auto"/>
              <w:bottom w:val="single" w:sz="6" w:space="0" w:color="auto"/>
              <w:right w:val="single" w:sz="6" w:space="0" w:color="auto"/>
            </w:tcBorders>
          </w:tcPr>
          <w:p w14:paraId="573F5B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p w14:paraId="349F1D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574CBF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Водители автомашин</w:t>
            </w:r>
          </w:p>
          <w:p w14:paraId="366900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754388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чел.</w:t>
            </w:r>
          </w:p>
          <w:p w14:paraId="3AE339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3A19ED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директивы</w:t>
            </w:r>
          </w:p>
          <w:p w14:paraId="0FCA7F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667EFE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w:t>
            </w:r>
          </w:p>
          <w:p w14:paraId="30FF03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6B36F25" w14:textId="77777777" w:rsidTr="00EA0DA7">
        <w:trPr>
          <w:gridAfter w:val="1"/>
          <w:wAfter w:w="38" w:type="dxa"/>
          <w:trHeight w:val="192"/>
        </w:trPr>
        <w:tc>
          <w:tcPr>
            <w:tcW w:w="384" w:type="dxa"/>
            <w:tcBorders>
              <w:top w:val="single" w:sz="6" w:space="0" w:color="auto"/>
              <w:left w:val="single" w:sz="6" w:space="0" w:color="auto"/>
              <w:bottom w:val="single" w:sz="6" w:space="0" w:color="auto"/>
              <w:right w:val="single" w:sz="6" w:space="0" w:color="auto"/>
            </w:tcBorders>
          </w:tcPr>
          <w:p w14:paraId="3AA02F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p w14:paraId="2E3B1C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2CB606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Военпред з-да №183</w:t>
            </w:r>
          </w:p>
          <w:p w14:paraId="5E226A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696B12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3 ранга</w:t>
            </w:r>
          </w:p>
          <w:p w14:paraId="4BAA08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551A27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Байков</w:t>
            </w:r>
          </w:p>
          <w:p w14:paraId="677AEA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717189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Райинж. з-да №183</w:t>
            </w:r>
          </w:p>
          <w:p w14:paraId="2BAB53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AF72F09" w14:textId="77777777" w:rsidTr="00EA0DA7">
        <w:trPr>
          <w:gridAfter w:val="1"/>
          <w:wAfter w:w="38" w:type="dxa"/>
          <w:trHeight w:val="182"/>
        </w:trPr>
        <w:tc>
          <w:tcPr>
            <w:tcW w:w="384" w:type="dxa"/>
            <w:tcBorders>
              <w:top w:val="single" w:sz="6" w:space="0" w:color="auto"/>
              <w:left w:val="single" w:sz="6" w:space="0" w:color="auto"/>
              <w:bottom w:val="single" w:sz="6" w:space="0" w:color="auto"/>
              <w:right w:val="single" w:sz="6" w:space="0" w:color="auto"/>
            </w:tcBorders>
          </w:tcPr>
          <w:p w14:paraId="0CBBD8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p w14:paraId="1D761B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571680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Военпред з-да №183</w:t>
            </w:r>
          </w:p>
          <w:p w14:paraId="153BBC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2FC700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подполковник</w:t>
            </w:r>
          </w:p>
          <w:p w14:paraId="00619A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3B638A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Панов</w:t>
            </w:r>
          </w:p>
          <w:p w14:paraId="74B7FF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51BF26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Райинж. з-да №183</w:t>
            </w:r>
          </w:p>
          <w:p w14:paraId="2D36D0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72F720E" w14:textId="77777777" w:rsidTr="00EA0DA7">
        <w:trPr>
          <w:gridAfter w:val="1"/>
          <w:wAfter w:w="38" w:type="dxa"/>
          <w:trHeight w:val="211"/>
        </w:trPr>
        <w:tc>
          <w:tcPr>
            <w:tcW w:w="384" w:type="dxa"/>
            <w:tcBorders>
              <w:top w:val="single" w:sz="6" w:space="0" w:color="auto"/>
              <w:left w:val="single" w:sz="6" w:space="0" w:color="auto"/>
              <w:bottom w:val="single" w:sz="6" w:space="0" w:color="auto"/>
              <w:right w:val="single" w:sz="6" w:space="0" w:color="auto"/>
            </w:tcBorders>
          </w:tcPr>
          <w:p w14:paraId="67D43F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p w14:paraId="54843E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704B63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Представитель БТУ КА</w:t>
            </w:r>
          </w:p>
          <w:p w14:paraId="172707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4F47BB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3 ранга</w:t>
            </w:r>
          </w:p>
          <w:p w14:paraId="0DDE9B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2FFEE6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Горюшкин</w:t>
            </w:r>
          </w:p>
          <w:p w14:paraId="60D3B3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3493C9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БТУ КА</w:t>
            </w:r>
          </w:p>
          <w:p w14:paraId="24B0A1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623747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НИ полигона ГАБТУ полковник Романов</w:t>
      </w:r>
    </w:p>
    <w:p w14:paraId="7DBBC6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Расчет автомашин обслуживающих пробег</w:t>
      </w:r>
    </w:p>
    <w:tbl>
      <w:tblPr>
        <w:tblW w:w="0" w:type="auto"/>
        <w:tblInd w:w="40" w:type="dxa"/>
        <w:tblLayout w:type="fixed"/>
        <w:tblCellMar>
          <w:left w:w="40" w:type="dxa"/>
          <w:right w:w="40" w:type="dxa"/>
        </w:tblCellMar>
        <w:tblLook w:val="0000" w:firstRow="0" w:lastRow="0" w:firstColumn="0" w:lastColumn="0" w:noHBand="0" w:noVBand="0"/>
      </w:tblPr>
      <w:tblGrid>
        <w:gridCol w:w="1968"/>
        <w:gridCol w:w="1008"/>
        <w:gridCol w:w="3034"/>
        <w:gridCol w:w="1680"/>
      </w:tblGrid>
      <w:tr w:rsidR="00983732" w:rsidRPr="00A3026E" w14:paraId="5248F080" w14:textId="77777777" w:rsidTr="00EA0DA7">
        <w:trPr>
          <w:trHeight w:val="202"/>
        </w:trPr>
        <w:tc>
          <w:tcPr>
            <w:tcW w:w="1968" w:type="dxa"/>
            <w:tcBorders>
              <w:top w:val="single" w:sz="6" w:space="0" w:color="auto"/>
              <w:left w:val="single" w:sz="6" w:space="0" w:color="auto"/>
              <w:bottom w:val="single" w:sz="6" w:space="0" w:color="auto"/>
              <w:right w:val="single" w:sz="6" w:space="0" w:color="auto"/>
            </w:tcBorders>
          </w:tcPr>
          <w:p w14:paraId="27C9C5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Марка</w:t>
            </w:r>
          </w:p>
          <w:p w14:paraId="02A44A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3BED4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Кол-во</w:t>
            </w:r>
          </w:p>
          <w:p w14:paraId="7AD8DA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6C31F6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машины</w:t>
            </w:r>
          </w:p>
          <w:p w14:paraId="53C93A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69C3EF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Кто выделяет</w:t>
            </w:r>
          </w:p>
          <w:p w14:paraId="1CCF28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07AC674" w14:textId="77777777" w:rsidTr="00EA0DA7">
        <w:trPr>
          <w:trHeight w:val="192"/>
        </w:trPr>
        <w:tc>
          <w:tcPr>
            <w:tcW w:w="1968" w:type="dxa"/>
            <w:tcBorders>
              <w:top w:val="single" w:sz="6" w:space="0" w:color="auto"/>
              <w:left w:val="single" w:sz="6" w:space="0" w:color="auto"/>
              <w:bottom w:val="single" w:sz="6" w:space="0" w:color="auto"/>
              <w:right w:val="single" w:sz="6" w:space="0" w:color="auto"/>
            </w:tcBorders>
          </w:tcPr>
          <w:p w14:paraId="533F4D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ЗИС-5</w:t>
            </w:r>
          </w:p>
          <w:p w14:paraId="3E9FED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8768E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p w14:paraId="1748D7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608F70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Доставка бензина 2 сорта и смазки</w:t>
            </w:r>
          </w:p>
          <w:p w14:paraId="79D689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66625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 Полигон</w:t>
            </w:r>
          </w:p>
          <w:p w14:paraId="07B4DC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87B4E00" w14:textId="77777777" w:rsidTr="00EA0DA7">
        <w:trPr>
          <w:trHeight w:val="192"/>
        </w:trPr>
        <w:tc>
          <w:tcPr>
            <w:tcW w:w="1968" w:type="dxa"/>
            <w:tcBorders>
              <w:top w:val="single" w:sz="6" w:space="0" w:color="auto"/>
              <w:left w:val="single" w:sz="6" w:space="0" w:color="auto"/>
              <w:bottom w:val="single" w:sz="6" w:space="0" w:color="auto"/>
              <w:right w:val="single" w:sz="6" w:space="0" w:color="auto"/>
            </w:tcBorders>
          </w:tcPr>
          <w:p w14:paraId="411C28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ЗИС-5</w:t>
            </w:r>
          </w:p>
          <w:p w14:paraId="704416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F27B8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p w14:paraId="31D841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5046EF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Запчасти машины</w:t>
            </w:r>
          </w:p>
          <w:p w14:paraId="4C5CB0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1AE048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 Полигон</w:t>
            </w:r>
          </w:p>
          <w:p w14:paraId="29485F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6A0A667" w14:textId="77777777" w:rsidTr="00EA0DA7">
        <w:trPr>
          <w:trHeight w:val="182"/>
        </w:trPr>
        <w:tc>
          <w:tcPr>
            <w:tcW w:w="1968" w:type="dxa"/>
            <w:tcBorders>
              <w:top w:val="single" w:sz="6" w:space="0" w:color="auto"/>
              <w:left w:val="single" w:sz="6" w:space="0" w:color="auto"/>
              <w:bottom w:val="single" w:sz="6" w:space="0" w:color="auto"/>
              <w:right w:val="single" w:sz="6" w:space="0" w:color="auto"/>
            </w:tcBorders>
          </w:tcPr>
          <w:p w14:paraId="0D6C4C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ЗИС-5</w:t>
            </w:r>
          </w:p>
          <w:p w14:paraId="0ECC8A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7F2EB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1D3C61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306C72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Продовольствие и личные вещи</w:t>
            </w:r>
          </w:p>
          <w:p w14:paraId="4B5F47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2153E0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 Полигон</w:t>
            </w:r>
          </w:p>
          <w:p w14:paraId="29C5DC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7F0DE56" w14:textId="77777777" w:rsidTr="00EA0DA7">
        <w:trPr>
          <w:trHeight w:val="192"/>
        </w:trPr>
        <w:tc>
          <w:tcPr>
            <w:tcW w:w="1968" w:type="dxa"/>
            <w:tcBorders>
              <w:top w:val="single" w:sz="6" w:space="0" w:color="auto"/>
              <w:left w:val="single" w:sz="6" w:space="0" w:color="auto"/>
              <w:bottom w:val="single" w:sz="6" w:space="0" w:color="auto"/>
              <w:right w:val="single" w:sz="6" w:space="0" w:color="auto"/>
            </w:tcBorders>
          </w:tcPr>
          <w:p w14:paraId="7C1C74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ЗИС-5 цистерна</w:t>
            </w:r>
          </w:p>
          <w:p w14:paraId="6AB38C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51DF0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p w14:paraId="689502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3782AD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Доставка газойля</w:t>
            </w:r>
          </w:p>
          <w:p w14:paraId="2B37B6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135AA6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w:t>
            </w:r>
          </w:p>
          <w:p w14:paraId="17ABE1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BC166CB" w14:textId="77777777" w:rsidTr="00EA0DA7">
        <w:trPr>
          <w:trHeight w:val="192"/>
        </w:trPr>
        <w:tc>
          <w:tcPr>
            <w:tcW w:w="1968" w:type="dxa"/>
            <w:tcBorders>
              <w:top w:val="single" w:sz="6" w:space="0" w:color="auto"/>
              <w:left w:val="single" w:sz="6" w:space="0" w:color="auto"/>
              <w:bottom w:val="single" w:sz="6" w:space="0" w:color="auto"/>
              <w:right w:val="single" w:sz="6" w:space="0" w:color="auto"/>
            </w:tcBorders>
          </w:tcPr>
          <w:p w14:paraId="2E8E5C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ЗИС-6 летучка «Б»</w:t>
            </w:r>
          </w:p>
          <w:p w14:paraId="26765A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56A35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768C10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766417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Обеспечение ремонта</w:t>
            </w:r>
          </w:p>
          <w:p w14:paraId="78DD52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5DC477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w:t>
            </w:r>
          </w:p>
          <w:p w14:paraId="552231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17538E1" w14:textId="77777777" w:rsidTr="00EA0DA7">
        <w:trPr>
          <w:trHeight w:val="192"/>
        </w:trPr>
        <w:tc>
          <w:tcPr>
            <w:tcW w:w="1968" w:type="dxa"/>
            <w:tcBorders>
              <w:top w:val="single" w:sz="6" w:space="0" w:color="auto"/>
              <w:left w:val="single" w:sz="6" w:space="0" w:color="auto"/>
              <w:bottom w:val="single" w:sz="6" w:space="0" w:color="auto"/>
              <w:right w:val="single" w:sz="6" w:space="0" w:color="auto"/>
            </w:tcBorders>
          </w:tcPr>
          <w:p w14:paraId="659138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 - автобус</w:t>
            </w:r>
          </w:p>
          <w:p w14:paraId="0F3B61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416D6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2B3AE4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0D6DB8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Доставка ремонтной бригады</w:t>
            </w:r>
          </w:p>
          <w:p w14:paraId="4540AE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5D642E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w:t>
            </w:r>
          </w:p>
          <w:p w14:paraId="675420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2FED53B" w14:textId="77777777" w:rsidTr="00EA0DA7">
        <w:trPr>
          <w:trHeight w:val="182"/>
        </w:trPr>
        <w:tc>
          <w:tcPr>
            <w:tcW w:w="1968" w:type="dxa"/>
            <w:tcBorders>
              <w:top w:val="single" w:sz="6" w:space="0" w:color="auto"/>
              <w:left w:val="single" w:sz="6" w:space="0" w:color="auto"/>
              <w:bottom w:val="single" w:sz="6" w:space="0" w:color="auto"/>
              <w:right w:val="single" w:sz="6" w:space="0" w:color="auto"/>
            </w:tcBorders>
          </w:tcPr>
          <w:p w14:paraId="2913C8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w:t>
            </w:r>
          </w:p>
          <w:p w14:paraId="7700FD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C08CC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789242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1DFD8A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Разведка и связь</w:t>
            </w:r>
          </w:p>
          <w:p w14:paraId="22C581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0DFB5D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 Полигон</w:t>
            </w:r>
          </w:p>
          <w:p w14:paraId="7F38D9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A740196" w14:textId="77777777" w:rsidTr="00EA0DA7">
        <w:trPr>
          <w:trHeight w:val="211"/>
        </w:trPr>
        <w:tc>
          <w:tcPr>
            <w:tcW w:w="1968" w:type="dxa"/>
            <w:tcBorders>
              <w:top w:val="single" w:sz="6" w:space="0" w:color="auto"/>
              <w:left w:val="single" w:sz="6" w:space="0" w:color="auto"/>
              <w:bottom w:val="single" w:sz="6" w:space="0" w:color="auto"/>
              <w:right w:val="single" w:sz="6" w:space="0" w:color="auto"/>
            </w:tcBorders>
          </w:tcPr>
          <w:p w14:paraId="45471E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Автокухня</w:t>
            </w:r>
          </w:p>
          <w:p w14:paraId="546C43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87569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2B6CA8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027E5C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Обеспечение горячей пищей</w:t>
            </w:r>
          </w:p>
          <w:p w14:paraId="44AA24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4E45CA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w:t>
            </w:r>
          </w:p>
          <w:p w14:paraId="667325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7F6DCB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автомашины должны быть сосредоточены на заводе № 183 к 25 сентября сего года.</w:t>
      </w:r>
    </w:p>
    <w:p w14:paraId="321B6E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НИ полигона ГАБТУ полковник Романов</w:t>
      </w:r>
    </w:p>
    <w:p w14:paraId="6176A7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Расчет горючего потребного на пробег</w:t>
      </w:r>
    </w:p>
    <w:tbl>
      <w:tblPr>
        <w:tblW w:w="0" w:type="auto"/>
        <w:tblInd w:w="40" w:type="dxa"/>
        <w:tblLayout w:type="fixed"/>
        <w:tblCellMar>
          <w:left w:w="40" w:type="dxa"/>
          <w:right w:w="40" w:type="dxa"/>
        </w:tblCellMar>
        <w:tblLook w:val="0000" w:firstRow="0" w:lastRow="0" w:firstColumn="0" w:lastColumn="0" w:noHBand="0" w:noVBand="0"/>
      </w:tblPr>
      <w:tblGrid>
        <w:gridCol w:w="1574"/>
        <w:gridCol w:w="672"/>
        <w:gridCol w:w="1075"/>
        <w:gridCol w:w="1085"/>
        <w:gridCol w:w="1085"/>
        <w:gridCol w:w="1075"/>
        <w:gridCol w:w="1133"/>
      </w:tblGrid>
      <w:tr w:rsidR="00983732" w:rsidRPr="00A3026E" w14:paraId="6663808C" w14:textId="77777777" w:rsidTr="00EA0DA7">
        <w:trPr>
          <w:trHeight w:val="394"/>
        </w:trPr>
        <w:tc>
          <w:tcPr>
            <w:tcW w:w="1574" w:type="dxa"/>
            <w:tcBorders>
              <w:top w:val="single" w:sz="6" w:space="0" w:color="auto"/>
              <w:left w:val="single" w:sz="6" w:space="0" w:color="auto"/>
              <w:bottom w:val="single" w:sz="6" w:space="0" w:color="auto"/>
              <w:right w:val="single" w:sz="6" w:space="0" w:color="auto"/>
            </w:tcBorders>
          </w:tcPr>
          <w:p w14:paraId="200F80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марка</w:t>
            </w:r>
          </w:p>
          <w:p w14:paraId="0DBE5D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B1FFA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Кол-во</w:t>
            </w:r>
          </w:p>
          <w:p w14:paraId="74D31E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258AB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Емкость заправки (кг)</w:t>
            </w:r>
          </w:p>
          <w:p w14:paraId="7EC299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A777F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хода (км)</w:t>
            </w:r>
          </w:p>
          <w:p w14:paraId="255FD5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8983B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Общее кол-во заправок</w:t>
            </w:r>
          </w:p>
          <w:p w14:paraId="3331AC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3BD06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Кол-во горючего (кг)</w:t>
            </w:r>
          </w:p>
          <w:p w14:paraId="55AAC6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37FA2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Сорт горючего</w:t>
            </w:r>
          </w:p>
          <w:p w14:paraId="228514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E625471" w14:textId="77777777" w:rsidTr="00EA0DA7">
        <w:trPr>
          <w:trHeight w:val="182"/>
        </w:trPr>
        <w:tc>
          <w:tcPr>
            <w:tcW w:w="1574" w:type="dxa"/>
            <w:tcBorders>
              <w:top w:val="single" w:sz="6" w:space="0" w:color="auto"/>
              <w:left w:val="single" w:sz="6" w:space="0" w:color="auto"/>
              <w:bottom w:val="single" w:sz="6" w:space="0" w:color="auto"/>
              <w:right w:val="single" w:sz="6" w:space="0" w:color="auto"/>
            </w:tcBorders>
          </w:tcPr>
          <w:p w14:paraId="12476D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Танк-34</w:t>
            </w:r>
          </w:p>
          <w:p w14:paraId="5937FE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422E0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p w14:paraId="590D7D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5986A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w:t>
            </w:r>
          </w:p>
          <w:p w14:paraId="73488C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130F0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p w14:paraId="0D88AB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F2F32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w:t>
            </w:r>
          </w:p>
          <w:p w14:paraId="60AAFE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AEAFA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25000</w:t>
            </w:r>
          </w:p>
          <w:p w14:paraId="438DB7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EC445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Газойль</w:t>
            </w:r>
          </w:p>
          <w:p w14:paraId="3AB936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8C1B2D2" w14:textId="77777777" w:rsidTr="00EA0DA7">
        <w:trPr>
          <w:trHeight w:val="192"/>
        </w:trPr>
        <w:tc>
          <w:tcPr>
            <w:tcW w:w="1574" w:type="dxa"/>
            <w:tcBorders>
              <w:top w:val="single" w:sz="6" w:space="0" w:color="auto"/>
              <w:left w:val="single" w:sz="6" w:space="0" w:color="auto"/>
              <w:bottom w:val="single" w:sz="6" w:space="0" w:color="auto"/>
              <w:right w:val="single" w:sz="6" w:space="0" w:color="auto"/>
            </w:tcBorders>
          </w:tcPr>
          <w:p w14:paraId="4D4E59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ЗИС-5</w:t>
            </w:r>
          </w:p>
          <w:p w14:paraId="51C003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E4DF5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p w14:paraId="1FDCA7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F0719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p w14:paraId="7E6C48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B1726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p w14:paraId="62393F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949AD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w:t>
            </w:r>
          </w:p>
          <w:p w14:paraId="2A8BDD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2CB39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9600</w:t>
            </w:r>
          </w:p>
          <w:p w14:paraId="596627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F0AB4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2 сор</w:t>
            </w:r>
          </w:p>
          <w:p w14:paraId="18B23C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EBB6C22" w14:textId="77777777" w:rsidTr="00EA0DA7">
        <w:trPr>
          <w:trHeight w:val="192"/>
        </w:trPr>
        <w:tc>
          <w:tcPr>
            <w:tcW w:w="1574" w:type="dxa"/>
            <w:tcBorders>
              <w:top w:val="single" w:sz="6" w:space="0" w:color="auto"/>
              <w:left w:val="single" w:sz="6" w:space="0" w:color="auto"/>
              <w:bottom w:val="single" w:sz="6" w:space="0" w:color="auto"/>
              <w:right w:val="single" w:sz="6" w:space="0" w:color="auto"/>
            </w:tcBorders>
          </w:tcPr>
          <w:p w14:paraId="09F5D4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ЗИС-5 цистерна</w:t>
            </w:r>
          </w:p>
          <w:p w14:paraId="36DD14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A66D1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p w14:paraId="359144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0F8DC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p w14:paraId="062991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3B925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p w14:paraId="70D8B0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3E5A0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p w14:paraId="5B541B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4C0EF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2400</w:t>
            </w:r>
          </w:p>
          <w:p w14:paraId="38C314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EEBB6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2 сор</w:t>
            </w:r>
          </w:p>
          <w:p w14:paraId="23CD1C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3821757" w14:textId="77777777" w:rsidTr="00EA0DA7">
        <w:trPr>
          <w:trHeight w:val="182"/>
        </w:trPr>
        <w:tc>
          <w:tcPr>
            <w:tcW w:w="1574" w:type="dxa"/>
            <w:tcBorders>
              <w:top w:val="single" w:sz="6" w:space="0" w:color="auto"/>
              <w:left w:val="single" w:sz="6" w:space="0" w:color="auto"/>
              <w:bottom w:val="single" w:sz="6" w:space="0" w:color="auto"/>
              <w:right w:val="single" w:sz="6" w:space="0" w:color="auto"/>
            </w:tcBorders>
          </w:tcPr>
          <w:p w14:paraId="47301C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ЗИС-6 летучка «Б»</w:t>
            </w:r>
          </w:p>
          <w:p w14:paraId="1BC83D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BF533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38D61B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8DADF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p w14:paraId="4FBD4C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C198A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p w14:paraId="6AE9A6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0B1CB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p w14:paraId="5FD099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093C4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p w14:paraId="1FED02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29635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2 сор</w:t>
            </w:r>
          </w:p>
          <w:p w14:paraId="378AD1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5FF4F58" w14:textId="77777777" w:rsidTr="00EA0DA7">
        <w:trPr>
          <w:trHeight w:val="192"/>
        </w:trPr>
        <w:tc>
          <w:tcPr>
            <w:tcW w:w="1574" w:type="dxa"/>
            <w:tcBorders>
              <w:top w:val="single" w:sz="6" w:space="0" w:color="auto"/>
              <w:left w:val="single" w:sz="6" w:space="0" w:color="auto"/>
              <w:bottom w:val="single" w:sz="6" w:space="0" w:color="auto"/>
              <w:right w:val="single" w:sz="6" w:space="0" w:color="auto"/>
            </w:tcBorders>
          </w:tcPr>
          <w:p w14:paraId="10C652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 - автобус</w:t>
            </w:r>
          </w:p>
          <w:p w14:paraId="236A09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60114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62795B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4B3AA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p w14:paraId="5BAF18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75B6B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p w14:paraId="393F8F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6782E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p w14:paraId="5BA55C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1DE61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p w14:paraId="7B46B8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32ACD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2 сор</w:t>
            </w:r>
          </w:p>
          <w:p w14:paraId="7C2A18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EF314C0" w14:textId="77777777" w:rsidTr="00EA0DA7">
        <w:trPr>
          <w:trHeight w:val="182"/>
        </w:trPr>
        <w:tc>
          <w:tcPr>
            <w:tcW w:w="1574" w:type="dxa"/>
            <w:tcBorders>
              <w:top w:val="single" w:sz="6" w:space="0" w:color="auto"/>
              <w:left w:val="single" w:sz="6" w:space="0" w:color="auto"/>
              <w:bottom w:val="single" w:sz="6" w:space="0" w:color="auto"/>
              <w:right w:val="single" w:sz="6" w:space="0" w:color="auto"/>
            </w:tcBorders>
          </w:tcPr>
          <w:p w14:paraId="5E93DD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w:t>
            </w:r>
          </w:p>
          <w:p w14:paraId="6998EB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2A7F2F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6C3C65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4007C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p w14:paraId="01AD83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89E2E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p w14:paraId="675B1A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D0DB7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p w14:paraId="0239D9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04F34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w:t>
            </w:r>
          </w:p>
          <w:p w14:paraId="79964A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5B83A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2 сор</w:t>
            </w:r>
          </w:p>
          <w:p w14:paraId="57A70E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A64E5AE" w14:textId="77777777" w:rsidTr="00EA0DA7">
        <w:trPr>
          <w:trHeight w:val="192"/>
        </w:trPr>
        <w:tc>
          <w:tcPr>
            <w:tcW w:w="1574" w:type="dxa"/>
            <w:tcBorders>
              <w:top w:val="single" w:sz="6" w:space="0" w:color="auto"/>
              <w:left w:val="single" w:sz="6" w:space="0" w:color="auto"/>
              <w:bottom w:val="single" w:sz="6" w:space="0" w:color="auto"/>
              <w:right w:val="single" w:sz="6" w:space="0" w:color="auto"/>
            </w:tcBorders>
          </w:tcPr>
          <w:p w14:paraId="0E6FCE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23F0E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782698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BC56B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FAF73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8F490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95B5F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16A79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CC033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p w14:paraId="3474EE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4FE86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14700</w:t>
            </w:r>
          </w:p>
          <w:p w14:paraId="338D54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FF656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2 сор.</w:t>
            </w:r>
          </w:p>
          <w:p w14:paraId="38651F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B07C92C" w14:textId="77777777" w:rsidTr="00EA0DA7">
        <w:trPr>
          <w:trHeight w:val="211"/>
        </w:trPr>
        <w:tc>
          <w:tcPr>
            <w:tcW w:w="1574" w:type="dxa"/>
            <w:tcBorders>
              <w:top w:val="single" w:sz="6" w:space="0" w:color="auto"/>
              <w:left w:val="single" w:sz="6" w:space="0" w:color="auto"/>
              <w:bottom w:val="single" w:sz="6" w:space="0" w:color="auto"/>
              <w:right w:val="single" w:sz="6" w:space="0" w:color="auto"/>
            </w:tcBorders>
          </w:tcPr>
          <w:p w14:paraId="2BCC01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C59DC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2E5BE8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6E2AB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0ED04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FD6F6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4CD4C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2F145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CF3D0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0836C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CE0C3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25000</w:t>
            </w:r>
          </w:p>
          <w:p w14:paraId="05A62F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3835E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Газойль</w:t>
            </w:r>
          </w:p>
          <w:p w14:paraId="71D7B3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74BDA2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Пункты сосредоточения горючего</w:t>
      </w:r>
    </w:p>
    <w:tbl>
      <w:tblPr>
        <w:tblW w:w="0" w:type="auto"/>
        <w:tblInd w:w="40" w:type="dxa"/>
        <w:tblLayout w:type="fixed"/>
        <w:tblCellMar>
          <w:left w:w="40" w:type="dxa"/>
          <w:right w:w="40" w:type="dxa"/>
        </w:tblCellMar>
        <w:tblLook w:val="0000" w:firstRow="0" w:lastRow="0" w:firstColumn="0" w:lastColumn="0" w:noHBand="0" w:noVBand="0"/>
      </w:tblPr>
      <w:tblGrid>
        <w:gridCol w:w="1056"/>
        <w:gridCol w:w="1296"/>
        <w:gridCol w:w="1853"/>
        <w:gridCol w:w="1344"/>
        <w:gridCol w:w="2083"/>
      </w:tblGrid>
      <w:tr w:rsidR="00983732" w:rsidRPr="00A3026E" w14:paraId="6AE0EFB6" w14:textId="77777777" w:rsidTr="00EA0DA7">
        <w:trPr>
          <w:trHeight w:val="211"/>
        </w:trPr>
        <w:tc>
          <w:tcPr>
            <w:tcW w:w="1056" w:type="dxa"/>
            <w:tcBorders>
              <w:top w:val="single" w:sz="6" w:space="0" w:color="auto"/>
              <w:left w:val="single" w:sz="6" w:space="0" w:color="auto"/>
              <w:bottom w:val="single" w:sz="6" w:space="0" w:color="auto"/>
              <w:right w:val="single" w:sz="6" w:space="0" w:color="auto"/>
            </w:tcBorders>
          </w:tcPr>
          <w:p w14:paraId="2A1302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Пункт</w:t>
            </w:r>
          </w:p>
          <w:p w14:paraId="36620F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AFEA5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Сорт горючего</w:t>
            </w:r>
          </w:p>
          <w:p w14:paraId="462F3F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1DA5B3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Кол-во горючего (кг)</w:t>
            </w:r>
          </w:p>
          <w:p w14:paraId="78DE67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0729F1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Сорт горючего</w:t>
            </w:r>
          </w:p>
          <w:p w14:paraId="6F2C7E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18FA61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Кол-во горючего (кг)</w:t>
            </w:r>
          </w:p>
          <w:p w14:paraId="5873BB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D335782" w14:textId="77777777" w:rsidTr="00EA0DA7">
        <w:trPr>
          <w:trHeight w:val="192"/>
        </w:trPr>
        <w:tc>
          <w:tcPr>
            <w:tcW w:w="1056" w:type="dxa"/>
            <w:tcBorders>
              <w:top w:val="single" w:sz="6" w:space="0" w:color="auto"/>
              <w:left w:val="single" w:sz="6" w:space="0" w:color="auto"/>
              <w:bottom w:val="single" w:sz="6" w:space="0" w:color="auto"/>
              <w:right w:val="single" w:sz="6" w:space="0" w:color="auto"/>
            </w:tcBorders>
          </w:tcPr>
          <w:p w14:paraId="5258F9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Кубинка</w:t>
            </w:r>
          </w:p>
          <w:p w14:paraId="3A7027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B994A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Газойль</w:t>
            </w:r>
          </w:p>
          <w:p w14:paraId="42C2FE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4DAB43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7000</w:t>
            </w:r>
          </w:p>
          <w:p w14:paraId="3E3E0A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6D2B0C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2 сорт</w:t>
            </w:r>
          </w:p>
          <w:p w14:paraId="279991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498096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4700</w:t>
            </w:r>
          </w:p>
          <w:p w14:paraId="651E79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B73EC4C" w14:textId="77777777" w:rsidTr="00EA0DA7">
        <w:trPr>
          <w:trHeight w:val="192"/>
        </w:trPr>
        <w:tc>
          <w:tcPr>
            <w:tcW w:w="1056" w:type="dxa"/>
            <w:tcBorders>
              <w:top w:val="single" w:sz="6" w:space="0" w:color="auto"/>
              <w:left w:val="single" w:sz="6" w:space="0" w:color="auto"/>
              <w:bottom w:val="single" w:sz="6" w:space="0" w:color="auto"/>
              <w:right w:val="single" w:sz="6" w:space="0" w:color="auto"/>
            </w:tcBorders>
          </w:tcPr>
          <w:p w14:paraId="15B0EC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Харьков</w:t>
            </w:r>
          </w:p>
          <w:p w14:paraId="3F63F4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8A57E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Газойль</w:t>
            </w:r>
          </w:p>
          <w:p w14:paraId="7FFE39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56F43B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p w14:paraId="72A83C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3B244B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2 сорт</w:t>
            </w:r>
          </w:p>
          <w:p w14:paraId="7A7C64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113477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w:t>
            </w:r>
          </w:p>
          <w:p w14:paraId="24C603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10EBB60" w14:textId="77777777" w:rsidTr="00EA0DA7">
        <w:trPr>
          <w:trHeight w:val="202"/>
        </w:trPr>
        <w:tc>
          <w:tcPr>
            <w:tcW w:w="1056" w:type="dxa"/>
            <w:tcBorders>
              <w:top w:val="single" w:sz="6" w:space="0" w:color="auto"/>
              <w:left w:val="single" w:sz="6" w:space="0" w:color="auto"/>
              <w:bottom w:val="single" w:sz="6" w:space="0" w:color="auto"/>
              <w:right w:val="single" w:sz="6" w:space="0" w:color="auto"/>
            </w:tcBorders>
          </w:tcPr>
          <w:p w14:paraId="093D06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Орел</w:t>
            </w:r>
          </w:p>
          <w:p w14:paraId="052EAB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A8748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62E776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64AB9C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26AAD2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024E6F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2 сорт</w:t>
            </w:r>
          </w:p>
          <w:p w14:paraId="1612A9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64FBDE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p w14:paraId="2D967B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60ED5FA" w14:textId="77777777" w:rsidTr="00EA0DA7">
        <w:trPr>
          <w:trHeight w:val="192"/>
        </w:trPr>
        <w:tc>
          <w:tcPr>
            <w:tcW w:w="1056" w:type="dxa"/>
            <w:tcBorders>
              <w:top w:val="single" w:sz="6" w:space="0" w:color="auto"/>
              <w:left w:val="single" w:sz="6" w:space="0" w:color="auto"/>
              <w:bottom w:val="single" w:sz="6" w:space="0" w:color="auto"/>
              <w:right w:val="single" w:sz="6" w:space="0" w:color="auto"/>
            </w:tcBorders>
          </w:tcPr>
          <w:p w14:paraId="2D36FB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Смоленск</w:t>
            </w:r>
          </w:p>
          <w:p w14:paraId="315F70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55F78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Газойль</w:t>
            </w:r>
          </w:p>
          <w:p w14:paraId="2A9528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373203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p w14:paraId="14BA1E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43353D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2 сорт</w:t>
            </w:r>
          </w:p>
          <w:p w14:paraId="6C7441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431463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p w14:paraId="002993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D9BB0C2" w14:textId="77777777" w:rsidTr="00EA0DA7">
        <w:trPr>
          <w:trHeight w:val="211"/>
        </w:trPr>
        <w:tc>
          <w:tcPr>
            <w:tcW w:w="1056" w:type="dxa"/>
            <w:tcBorders>
              <w:top w:val="single" w:sz="6" w:space="0" w:color="auto"/>
              <w:left w:val="single" w:sz="6" w:space="0" w:color="auto"/>
              <w:bottom w:val="single" w:sz="6" w:space="0" w:color="auto"/>
              <w:right w:val="single" w:sz="6" w:space="0" w:color="auto"/>
            </w:tcBorders>
          </w:tcPr>
          <w:p w14:paraId="1233A9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Киев</w:t>
            </w:r>
          </w:p>
          <w:p w14:paraId="62F74E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49236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Газойль</w:t>
            </w:r>
          </w:p>
          <w:p w14:paraId="384BB0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4AC2F5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p w14:paraId="343E51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5CD4E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2 сорт</w:t>
            </w:r>
          </w:p>
          <w:p w14:paraId="4054B7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0D0C0B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p w14:paraId="2215E9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18D8CC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Расчет масла потребного на пробег</w:t>
      </w:r>
    </w:p>
    <w:tbl>
      <w:tblPr>
        <w:tblW w:w="0" w:type="auto"/>
        <w:tblInd w:w="40" w:type="dxa"/>
        <w:tblLayout w:type="fixed"/>
        <w:tblCellMar>
          <w:left w:w="40" w:type="dxa"/>
          <w:right w:w="40" w:type="dxa"/>
        </w:tblCellMar>
        <w:tblLook w:val="0000" w:firstRow="0" w:lastRow="0" w:firstColumn="0" w:lastColumn="0" w:noHBand="0" w:noVBand="0"/>
      </w:tblPr>
      <w:tblGrid>
        <w:gridCol w:w="1891"/>
        <w:gridCol w:w="1498"/>
        <w:gridCol w:w="1258"/>
        <w:gridCol w:w="1507"/>
        <w:gridCol w:w="1517"/>
      </w:tblGrid>
      <w:tr w:rsidR="00983732" w:rsidRPr="00A3026E" w14:paraId="5439FAF0" w14:textId="77777777" w:rsidTr="00EA0DA7">
        <w:trPr>
          <w:trHeight w:val="221"/>
        </w:trPr>
        <w:tc>
          <w:tcPr>
            <w:tcW w:w="1891" w:type="dxa"/>
            <w:tcBorders>
              <w:top w:val="single" w:sz="6" w:space="0" w:color="auto"/>
              <w:left w:val="single" w:sz="6" w:space="0" w:color="auto"/>
              <w:bottom w:val="nil"/>
              <w:right w:val="single" w:sz="6" w:space="0" w:color="auto"/>
            </w:tcBorders>
          </w:tcPr>
          <w:p w14:paraId="50191D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Марка машины</w:t>
            </w:r>
          </w:p>
          <w:p w14:paraId="6E8093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nil"/>
              <w:right w:val="single" w:sz="6" w:space="0" w:color="auto"/>
            </w:tcBorders>
          </w:tcPr>
          <w:p w14:paraId="559BD5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Количество</w:t>
            </w:r>
          </w:p>
          <w:p w14:paraId="564E34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4282" w:type="dxa"/>
            <w:gridSpan w:val="3"/>
            <w:tcBorders>
              <w:top w:val="single" w:sz="6" w:space="0" w:color="auto"/>
              <w:left w:val="single" w:sz="6" w:space="0" w:color="auto"/>
              <w:bottom w:val="single" w:sz="6" w:space="0" w:color="auto"/>
              <w:right w:val="single" w:sz="6" w:space="0" w:color="auto"/>
            </w:tcBorders>
          </w:tcPr>
          <w:p w14:paraId="114D91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Количество масла в кг.</w:t>
            </w:r>
          </w:p>
          <w:p w14:paraId="67C6E4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F4DEFA0" w14:textId="77777777" w:rsidTr="00EA0DA7">
        <w:trPr>
          <w:trHeight w:val="211"/>
        </w:trPr>
        <w:tc>
          <w:tcPr>
            <w:tcW w:w="1891" w:type="dxa"/>
            <w:tcBorders>
              <w:top w:val="nil"/>
              <w:left w:val="single" w:sz="6" w:space="0" w:color="auto"/>
              <w:bottom w:val="single" w:sz="6" w:space="0" w:color="auto"/>
              <w:right w:val="single" w:sz="6" w:space="0" w:color="auto"/>
            </w:tcBorders>
          </w:tcPr>
          <w:p w14:paraId="4F5CB89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22EFF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98" w:type="dxa"/>
            <w:tcBorders>
              <w:top w:val="nil"/>
              <w:left w:val="single" w:sz="6" w:space="0" w:color="auto"/>
              <w:bottom w:val="single" w:sz="6" w:space="0" w:color="auto"/>
              <w:right w:val="single" w:sz="6" w:space="0" w:color="auto"/>
            </w:tcBorders>
          </w:tcPr>
          <w:p w14:paraId="5E5CD8E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F91D2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1DF82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w:t>
            </w:r>
          </w:p>
          <w:p w14:paraId="66A54B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E4FD0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Автол</w:t>
            </w:r>
          </w:p>
          <w:p w14:paraId="06FB3F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6FCCB9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Солидол</w:t>
            </w:r>
          </w:p>
          <w:p w14:paraId="1BF920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0F5D0FC" w14:textId="77777777" w:rsidTr="00EA0DA7">
        <w:trPr>
          <w:trHeight w:val="211"/>
        </w:trPr>
        <w:tc>
          <w:tcPr>
            <w:tcW w:w="1891" w:type="dxa"/>
            <w:tcBorders>
              <w:top w:val="single" w:sz="6" w:space="0" w:color="auto"/>
              <w:left w:val="single" w:sz="6" w:space="0" w:color="auto"/>
              <w:bottom w:val="single" w:sz="6" w:space="0" w:color="auto"/>
              <w:right w:val="single" w:sz="6" w:space="0" w:color="auto"/>
            </w:tcBorders>
          </w:tcPr>
          <w:p w14:paraId="2BEEB3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Танк- 34</w:t>
            </w:r>
          </w:p>
          <w:p w14:paraId="7F682D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AB213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p w14:paraId="7CA4C8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8A47D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p w14:paraId="398191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AAC1F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p w14:paraId="7850BA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4C13B6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p w14:paraId="2B4995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6B64D25" w14:textId="77777777" w:rsidTr="00EA0DA7">
        <w:trPr>
          <w:trHeight w:val="211"/>
        </w:trPr>
        <w:tc>
          <w:tcPr>
            <w:tcW w:w="1891" w:type="dxa"/>
            <w:tcBorders>
              <w:top w:val="single" w:sz="6" w:space="0" w:color="auto"/>
              <w:left w:val="single" w:sz="6" w:space="0" w:color="auto"/>
              <w:bottom w:val="single" w:sz="6" w:space="0" w:color="auto"/>
              <w:right w:val="single" w:sz="6" w:space="0" w:color="auto"/>
            </w:tcBorders>
          </w:tcPr>
          <w:p w14:paraId="315F26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ЗИС-5</w:t>
            </w:r>
          </w:p>
          <w:p w14:paraId="2A4ECC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C1364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p w14:paraId="7F1203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11C1C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E8B1C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19D238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0C83E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0D1330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44358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CF8345E" w14:textId="77777777" w:rsidTr="00EA0DA7">
        <w:trPr>
          <w:trHeight w:val="211"/>
        </w:trPr>
        <w:tc>
          <w:tcPr>
            <w:tcW w:w="1891" w:type="dxa"/>
            <w:tcBorders>
              <w:top w:val="single" w:sz="6" w:space="0" w:color="auto"/>
              <w:left w:val="single" w:sz="6" w:space="0" w:color="auto"/>
              <w:bottom w:val="single" w:sz="6" w:space="0" w:color="auto"/>
              <w:right w:val="single" w:sz="6" w:space="0" w:color="auto"/>
            </w:tcBorders>
          </w:tcPr>
          <w:p w14:paraId="6ABA32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ЗИС-5 цистерна</w:t>
            </w:r>
          </w:p>
          <w:p w14:paraId="043F6C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03A3C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p w14:paraId="2537ED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DA324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6C8CA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01A23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p w14:paraId="05E0E6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1FFF7C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p w14:paraId="275E05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82DF3AB" w14:textId="77777777" w:rsidTr="00EA0DA7">
        <w:trPr>
          <w:trHeight w:val="211"/>
        </w:trPr>
        <w:tc>
          <w:tcPr>
            <w:tcW w:w="1891" w:type="dxa"/>
            <w:tcBorders>
              <w:top w:val="single" w:sz="6" w:space="0" w:color="auto"/>
              <w:left w:val="single" w:sz="6" w:space="0" w:color="auto"/>
              <w:bottom w:val="single" w:sz="6" w:space="0" w:color="auto"/>
              <w:right w:val="single" w:sz="6" w:space="0" w:color="auto"/>
            </w:tcBorders>
          </w:tcPr>
          <w:p w14:paraId="38FDED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ЗИС-6 летучка «Б»</w:t>
            </w:r>
          </w:p>
          <w:p w14:paraId="007EC7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AADFD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1FED58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F699F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20B59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868BF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586AA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4A5AE6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C4041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C6F6B56" w14:textId="77777777" w:rsidTr="00EA0DA7">
        <w:trPr>
          <w:trHeight w:val="211"/>
        </w:trPr>
        <w:tc>
          <w:tcPr>
            <w:tcW w:w="1891" w:type="dxa"/>
            <w:tcBorders>
              <w:top w:val="single" w:sz="6" w:space="0" w:color="auto"/>
              <w:left w:val="single" w:sz="6" w:space="0" w:color="auto"/>
              <w:bottom w:val="single" w:sz="6" w:space="0" w:color="auto"/>
              <w:right w:val="single" w:sz="6" w:space="0" w:color="auto"/>
            </w:tcBorders>
          </w:tcPr>
          <w:p w14:paraId="45E9C7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 - автобус</w:t>
            </w:r>
          </w:p>
          <w:p w14:paraId="3493A3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F043E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00E321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4962B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006BA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D3559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2A63F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4ED05F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AFE64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4B3B47F" w14:textId="77777777" w:rsidTr="00EA0DA7">
        <w:trPr>
          <w:trHeight w:val="230"/>
        </w:trPr>
        <w:tc>
          <w:tcPr>
            <w:tcW w:w="1891" w:type="dxa"/>
            <w:tcBorders>
              <w:top w:val="single" w:sz="6" w:space="0" w:color="auto"/>
              <w:left w:val="single" w:sz="6" w:space="0" w:color="auto"/>
              <w:bottom w:val="single" w:sz="6" w:space="0" w:color="auto"/>
              <w:right w:val="single" w:sz="6" w:space="0" w:color="auto"/>
            </w:tcBorders>
          </w:tcPr>
          <w:p w14:paraId="5975BD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w:t>
            </w:r>
          </w:p>
          <w:p w14:paraId="14EB0A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7F197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2A544D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F327F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F5A56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7BE60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D8D13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682811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43FF5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7D200D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Пункты сосредоточения смазки</w:t>
      </w:r>
    </w:p>
    <w:tbl>
      <w:tblPr>
        <w:tblW w:w="0" w:type="auto"/>
        <w:tblInd w:w="40" w:type="dxa"/>
        <w:tblLayout w:type="fixed"/>
        <w:tblCellMar>
          <w:left w:w="40" w:type="dxa"/>
          <w:right w:w="40" w:type="dxa"/>
        </w:tblCellMar>
        <w:tblLook w:val="0000" w:firstRow="0" w:lastRow="0" w:firstColumn="0" w:lastColumn="0" w:noHBand="0" w:noVBand="0"/>
      </w:tblPr>
      <w:tblGrid>
        <w:gridCol w:w="1766"/>
        <w:gridCol w:w="2246"/>
        <w:gridCol w:w="1766"/>
        <w:gridCol w:w="1910"/>
      </w:tblGrid>
      <w:tr w:rsidR="00983732" w:rsidRPr="00A3026E" w14:paraId="7F3DFCFD" w14:textId="77777777" w:rsidTr="00EA0DA7">
        <w:trPr>
          <w:trHeight w:val="221"/>
        </w:trPr>
        <w:tc>
          <w:tcPr>
            <w:tcW w:w="1766" w:type="dxa"/>
            <w:tcBorders>
              <w:top w:val="single" w:sz="6" w:space="0" w:color="auto"/>
              <w:left w:val="single" w:sz="6" w:space="0" w:color="auto"/>
              <w:bottom w:val="single" w:sz="6" w:space="0" w:color="auto"/>
              <w:right w:val="single" w:sz="6" w:space="0" w:color="auto"/>
            </w:tcBorders>
          </w:tcPr>
          <w:p w14:paraId="51C05A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Пункты</w:t>
            </w:r>
          </w:p>
          <w:p w14:paraId="5B5740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3D4421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w:t>
            </w:r>
          </w:p>
          <w:p w14:paraId="79C550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21A6E4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Автол</w:t>
            </w:r>
          </w:p>
          <w:p w14:paraId="1AA1A1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45BD24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Солидол</w:t>
            </w:r>
          </w:p>
          <w:p w14:paraId="0420F4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96F8E6C" w14:textId="77777777" w:rsidTr="00EA0DA7">
        <w:trPr>
          <w:trHeight w:val="835"/>
        </w:trPr>
        <w:tc>
          <w:tcPr>
            <w:tcW w:w="1766" w:type="dxa"/>
            <w:tcBorders>
              <w:top w:val="single" w:sz="6" w:space="0" w:color="auto"/>
              <w:left w:val="single" w:sz="6" w:space="0" w:color="auto"/>
              <w:bottom w:val="single" w:sz="6" w:space="0" w:color="auto"/>
              <w:right w:val="single" w:sz="6" w:space="0" w:color="auto"/>
            </w:tcBorders>
          </w:tcPr>
          <w:p w14:paraId="081F77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Кубинка Харьков Смоленск Киев</w:t>
            </w:r>
          </w:p>
          <w:p w14:paraId="3A3106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05C830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500 500 500 500</w:t>
            </w:r>
          </w:p>
          <w:p w14:paraId="6C039F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2032D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250 300</w:t>
            </w:r>
          </w:p>
          <w:p w14:paraId="2EF49F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79A066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150 100</w:t>
            </w:r>
          </w:p>
          <w:p w14:paraId="19875F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47B7C6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Обтирочные материалы: Кубинка: керосин 100 кг, концы 100 кг; Харьков: керосин 100 кг, концы 100 кг.</w:t>
      </w:r>
    </w:p>
    <w:p w14:paraId="70380A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НИ полигона ГАБТУ полковник Романов</w:t>
      </w:r>
    </w:p>
    <w:p w14:paraId="30EBFA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Расчет на питание</w:t>
      </w:r>
    </w:p>
    <w:p w14:paraId="680268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Количество людей 42 человека.</w:t>
      </w:r>
    </w:p>
    <w:p w14:paraId="3F79E1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1,5 танковых пайков 1398 шт.</w:t>
      </w:r>
    </w:p>
    <w:p w14:paraId="41C12B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НЗ на 3 танка 12 человек.</w:t>
      </w:r>
    </w:p>
    <w:p w14:paraId="2AB3B1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Пункты снабжения продовольствием.</w:t>
      </w:r>
    </w:p>
    <w:p w14:paraId="4ABFB2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Кубинка</w:t>
      </w:r>
      <w:r w:rsidRPr="00A3026E">
        <w:rPr>
          <w:rFonts w:ascii="Times New Roman" w:hAnsi="Times New Roman"/>
          <w:color w:val="000000" w:themeColor="text1"/>
          <w:sz w:val="16"/>
          <w:szCs w:val="16"/>
        </w:rPr>
        <w:tab/>
        <w:t>363 пайка</w:t>
      </w:r>
    </w:p>
    <w:p w14:paraId="373509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Харьков</w:t>
      </w:r>
      <w:r w:rsidRPr="00A3026E">
        <w:rPr>
          <w:rFonts w:ascii="Times New Roman" w:hAnsi="Times New Roman"/>
          <w:color w:val="000000" w:themeColor="text1"/>
          <w:sz w:val="16"/>
          <w:szCs w:val="16"/>
        </w:rPr>
        <w:tab/>
        <w:t>237 пайков + НЗ на 3 танка — 12 человек.</w:t>
      </w:r>
    </w:p>
    <w:p w14:paraId="08C7EC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Орел</w:t>
      </w:r>
      <w:r w:rsidRPr="00A3026E">
        <w:rPr>
          <w:rFonts w:ascii="Times New Roman" w:hAnsi="Times New Roman"/>
          <w:color w:val="000000" w:themeColor="text1"/>
          <w:sz w:val="16"/>
          <w:szCs w:val="16"/>
        </w:rPr>
        <w:tab/>
        <w:t>210 пайков</w:t>
      </w:r>
    </w:p>
    <w:p w14:paraId="78DA10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Смоленск</w:t>
      </w:r>
      <w:r w:rsidRPr="00A3026E">
        <w:rPr>
          <w:rFonts w:ascii="Times New Roman" w:hAnsi="Times New Roman"/>
          <w:color w:val="000000" w:themeColor="text1"/>
          <w:sz w:val="16"/>
          <w:szCs w:val="16"/>
        </w:rPr>
        <w:tab/>
        <w:t>210 пайков</w:t>
      </w:r>
    </w:p>
    <w:p w14:paraId="60BE93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Киев</w:t>
      </w:r>
      <w:r w:rsidRPr="00A3026E">
        <w:rPr>
          <w:rFonts w:ascii="Times New Roman" w:hAnsi="Times New Roman"/>
          <w:color w:val="000000" w:themeColor="text1"/>
          <w:sz w:val="16"/>
          <w:szCs w:val="16"/>
        </w:rPr>
        <w:tab/>
        <w:t>252 пайка</w:t>
      </w:r>
    </w:p>
    <w:p w14:paraId="0A4034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Полтава</w:t>
      </w:r>
      <w:r w:rsidRPr="00A3026E">
        <w:rPr>
          <w:rFonts w:ascii="Times New Roman" w:hAnsi="Times New Roman"/>
          <w:color w:val="000000" w:themeColor="text1"/>
          <w:sz w:val="16"/>
          <w:szCs w:val="16"/>
        </w:rPr>
        <w:tab/>
        <w:t>126 пайков</w:t>
      </w:r>
    </w:p>
    <w:p w14:paraId="5C24C8D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Всего</w:t>
      </w:r>
      <w:r w:rsidRPr="00A3026E">
        <w:rPr>
          <w:i w:val="0"/>
          <w:iCs w:val="0"/>
          <w:color w:val="000000" w:themeColor="text1"/>
          <w:spacing w:val="0"/>
          <w:kern w:val="0"/>
          <w:position w:val="0"/>
          <w:sz w:val="16"/>
          <w:szCs w:val="16"/>
          <w:lang w:val="ru-RU"/>
        </w:rPr>
        <w:tab/>
        <w:t>1398 пайков</w:t>
      </w:r>
    </w:p>
    <w:p w14:paraId="0A3ACF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1181. Л. 356-367. Подлинник (11210).</w:t>
      </w:r>
    </w:p>
    <w:p w14:paraId="0D3C2B4F"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585624A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21 сентября 1940 г. была подготовлена:</w:t>
      </w:r>
    </w:p>
    <w:p w14:paraId="7BC9FCC7"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Программа испытаний танка Т-34 пробегом по маршруту Харьков-Кубинка № 0698 </w:t>
      </w:r>
    </w:p>
    <w:p w14:paraId="0EF348C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Кубинка </w:t>
      </w:r>
    </w:p>
    <w:p w14:paraId="263B6564"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1. Цель испытания</w:t>
      </w:r>
    </w:p>
    <w:p w14:paraId="4FAD6D2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1.) Определить тактико-техническую характеристику танка в целом и установить её соответствие с предъявленными генштабом тактико-техническим требованиям.</w:t>
      </w:r>
    </w:p>
    <w:p w14:paraId="4B41DB2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2.) Определить надежность и безопасность агрегатов танка в условиях длительного пробега.</w:t>
      </w:r>
    </w:p>
    <w:p w14:paraId="3881E494"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3.) Определить соответствие вооружения, боекомплекта, средств наблюдения и связи тактическим задачам, стоящими перед танками данного класса.</w:t>
      </w:r>
    </w:p>
    <w:p w14:paraId="6A2AC114"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4.) Определить обеспеченность танка возимым комплектом запчастей и инструментов и окончательно разработать комплект. Определить объем и периодичность технического обслуживания танка в полевых условиях. Определить ремонтные возможности танка в полевых условиях. </w:t>
      </w:r>
    </w:p>
    <w:p w14:paraId="053E08C4"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2. Объем испытания.</w:t>
      </w:r>
    </w:p>
    <w:p w14:paraId="37E2FB47"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1.) Проверка соответствия представленных образцов требованиям испытания – согласно перечню переделок и изменений БТУ.</w:t>
      </w:r>
    </w:p>
    <w:p w14:paraId="19CEB5DA"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2.) Общий километраж пробега 3000 км, из них по шоссейным дорогам – 1000 км, по грунтовым дорогам и бездорожью с преодолением естественных препятствий – 2000 км.</w:t>
      </w:r>
    </w:p>
    <w:p w14:paraId="2A23249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Примечание :</w:t>
      </w:r>
    </w:p>
    <w:p w14:paraId="2140929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а) 30 процентов общего километража приходится ночное время.</w:t>
      </w:r>
    </w:p>
    <w:p w14:paraId="4545B3B4"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б) 20 процентов километража по грунтовым дорогам и целине приходится в боевом положении (с закрытыми люками).</w:t>
      </w:r>
    </w:p>
    <w:p w14:paraId="1E0BE758"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3.) Испытание вооружения – в процессе испытания должны быть выполнены основные задачи по курсу стрельб для танков данного класса с израсходованием полного боевого комплекта.</w:t>
      </w:r>
    </w:p>
    <w:p w14:paraId="49B6E47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4.) Испытания средств связи – по особой программе.</w:t>
      </w:r>
    </w:p>
    <w:p w14:paraId="0867D71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5.) Определение проходимости :</w:t>
      </w:r>
    </w:p>
    <w:p w14:paraId="12B26A3D"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а) естественные препятствия,</w:t>
      </w:r>
    </w:p>
    <w:p w14:paraId="61A26F70"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б) искусственные препятствия.</w:t>
      </w:r>
    </w:p>
    <w:p w14:paraId="2F9A0E4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6.) Испытание герметичности корпуса и башни танка путем обливания горючей жидкостью.</w:t>
      </w:r>
    </w:p>
    <w:p w14:paraId="4421A30A"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3. Порядок испытания.</w:t>
      </w:r>
    </w:p>
    <w:p w14:paraId="59787ECA"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Испытание разбивается на следующие этапы, проводимые в последовательности :</w:t>
      </w:r>
    </w:p>
    <w:p w14:paraId="7EA4E22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1.) Приемка машин от военпреда завода и проверка готовности танков к испытаниям. Проводится при участии специалистов по вооружению и связи.</w:t>
      </w:r>
    </w:p>
    <w:p w14:paraId="1684B2A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lastRenderedPageBreak/>
        <w:t>2.) Семидневный марш с дневкой после первых трех дней (общий километраж 910 км, из них 320 км по шоссе и 590 км по грунтовым дорогам и бездорожью).</w:t>
      </w:r>
    </w:p>
    <w:p w14:paraId="7BC7A62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3.) Стрельба с решением тактической задачи. Испытание средств связи. Преодоление естественных и искусственных препятствий.</w:t>
      </w:r>
    </w:p>
    <w:p w14:paraId="353F4546"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4.) Восьмидневный марш с дневкой после четырех дней (общий километраж 1060 км, из них 510 км по шоссе и 550 км по грунтовым дорогам и бездорожью).</w:t>
      </w:r>
    </w:p>
    <w:p w14:paraId="57514CF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5.) Стрельба с решением тактической задачи. Испытание средств связи.</w:t>
      </w:r>
    </w:p>
    <w:p w14:paraId="65039FD0"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6.) Шестидневный марш с дневкой после четырех дней (общий километраж 630 км по грунтовым дорогам и бездорожью).</w:t>
      </w:r>
    </w:p>
    <w:p w14:paraId="5716CBD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7.) Стрельба с решением тактической задачи.</w:t>
      </w:r>
    </w:p>
    <w:p w14:paraId="2097232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8.) Оформление материалов и составление отчета.</w:t>
      </w:r>
    </w:p>
    <w:p w14:paraId="612BF7B7"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4. Основные вопросы испытания.</w:t>
      </w:r>
    </w:p>
    <w:p w14:paraId="6ECB06F0"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1.) По вооружению и оптике :</w:t>
      </w:r>
    </w:p>
    <w:p w14:paraId="7DD60EC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а) Определить удобство пользования вооружением и оптикой при стрельбе схода и с места при выполнении поставленных задач.</w:t>
      </w:r>
    </w:p>
    <w:p w14:paraId="1801262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б) Определить меткость и кучность стрельбы из танка с целью установления наиболее эффективных дистанций и углов возвышения и склонений.</w:t>
      </w:r>
    </w:p>
    <w:p w14:paraId="7F20B15A"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Определить удобство пользования боеукладкой и ЗИПом.</w:t>
      </w:r>
    </w:p>
    <w:p w14:paraId="2440C31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г) Определить мертвые пространства, поражаемые сектора, а так же степень обзорности из танка.</w:t>
      </w:r>
    </w:p>
    <w:p w14:paraId="6388B9F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д) Определить загрязненность воздуха в танке, СО при стрельбе.</w:t>
      </w:r>
    </w:p>
    <w:p w14:paraId="0F543C6A"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е) Определить возможность и удобство обслуживания, ремонта и замены вооружения и оптики в полевых условиях.</w:t>
      </w:r>
    </w:p>
    <w:p w14:paraId="2D9E5AA4"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ж) Определить возможность использования вооружения для самообороны из танка и при выходе из танка.</w:t>
      </w:r>
    </w:p>
    <w:p w14:paraId="2F081EE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2.) По радиостанции:</w:t>
      </w:r>
    </w:p>
    <w:p w14:paraId="6595FE7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а) Установить правильность и удобство размещения радиоаппаратуры внутри танка.</w:t>
      </w:r>
    </w:p>
    <w:p w14:paraId="464F51A7"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б) Установить дальность надежной связи по радиостанции и удобство пользования телефоном и микрофоном.</w:t>
      </w:r>
    </w:p>
    <w:p w14:paraId="6BFC3F4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Определить удобство настройки и доступность аппаратуры внутри танка.</w:t>
      </w:r>
    </w:p>
    <w:p w14:paraId="47141E78"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г) Определить надежность и удобство пользования ТПУ.</w:t>
      </w:r>
    </w:p>
    <w:p w14:paraId="69E1CAB7"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3.) По танку в целом:</w:t>
      </w:r>
    </w:p>
    <w:p w14:paraId="162AC89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а) Определить выносливость и надежность танка в целом и его отдельных агрегатов в условиях напряженной эксплуатации.</w:t>
      </w:r>
    </w:p>
    <w:p w14:paraId="025F0BBA"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б) Определить средние скорости движения (чистую, техническую и оперативную) в различных дорожных условия.</w:t>
      </w:r>
    </w:p>
    <w:p w14:paraId="1351862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Определить нормы расхода горюче смазочных материалов на 1 час работы двигателя и 3 км пути.</w:t>
      </w:r>
    </w:p>
    <w:p w14:paraId="39939C9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г) Определить запас хода по горючему, смазке и надежности танка.</w:t>
      </w:r>
    </w:p>
    <w:p w14:paraId="6EEB66A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д) Определить температурный режим работы двигателя.</w:t>
      </w:r>
    </w:p>
    <w:p w14:paraId="57CF1DE4"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е) Определить возможности и нормативы полевого обслуживания и ремонта танка. Разработать нормы возимого комплекта запчастей и инструмента.</w:t>
      </w:r>
    </w:p>
    <w:p w14:paraId="3FBA974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ж) Определит удобство пользования приборами наблюдения в условиях решения тактических задач.</w:t>
      </w:r>
    </w:p>
    <w:p w14:paraId="74499A3D"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з) Определить управляемость танка и проходимость при движении в различных дорожных условиях и в разное время суток.</w:t>
      </w:r>
    </w:p>
    <w:p w14:paraId="46AEF924"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и) Определить удобство размещения и работы экипажа танка.</w:t>
      </w:r>
    </w:p>
    <w:p w14:paraId="4198B1F8"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к) Определить суточный и трехсуточный переход танка в зависимости от надежности танка, запаса хода и утомления экипажа.</w:t>
      </w:r>
    </w:p>
    <w:p w14:paraId="19F05368"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л) Определить путь и время безостановочного движения.</w:t>
      </w:r>
    </w:p>
    <w:p w14:paraId="33BC8E3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м) Определить возможность использования танка как буксирного средства в боевой обстановке.</w:t>
      </w:r>
    </w:p>
    <w:p w14:paraId="63A931E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4.) Испытание на воздействие горючей жидкости :</w:t>
      </w:r>
    </w:p>
    <w:p w14:paraId="6CECDEF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а) Определить герметичность танка, а так же места и степень проникновения горящей жидкости внутрь танка.</w:t>
      </w:r>
    </w:p>
    <w:p w14:paraId="56324DF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б) Установить степень опасности и повреждений от действия проникающей в танк горящей жидкости (выявить жизнеопасные очаги).</w:t>
      </w:r>
    </w:p>
    <w:p w14:paraId="62E7062D"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Определить эффективность имеющихся противопожарных и других средств, для борьбы с огнем или этим видом нападения.</w:t>
      </w:r>
    </w:p>
    <w:p w14:paraId="53E4E4A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г) Установить наилучшие меры борьбы с горящей жидкостью попавшей внутрь танка.</w:t>
      </w:r>
    </w:p>
    <w:p w14:paraId="0F25DC7A"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Детализированные программы по испытанию вооружения, оптики и средств связи разрабатываются соответствующими отделами полигона – дополнительно. Отчет должен быть представлен через 10 дней после окончания испытаний. </w:t>
      </w:r>
    </w:p>
    <w:p w14:paraId="3A87F210"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Начальник НИ полигона ГАБТУ полковник Романов (11449).</w:t>
      </w:r>
    </w:p>
    <w:p w14:paraId="0C5E1D11"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118DD312" w14:textId="77777777" w:rsidR="005D6F1A" w:rsidRPr="00A3026E" w:rsidRDefault="005D6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первый образец ХП-2 установочной пар</w:t>
      </w:r>
      <w:r w:rsidRPr="00A3026E">
        <w:rPr>
          <w:rFonts w:ascii="Times New Roman" w:hAnsi="Times New Roman"/>
          <w:color w:val="000000" w:themeColor="text1"/>
          <w:sz w:val="16"/>
          <w:szCs w:val="16"/>
        </w:rPr>
        <w:softHyphen/>
        <w:t>тии завода ДРО в Выксе был окончательно принят представителя</w:t>
      </w:r>
      <w:r w:rsidRPr="00A3026E">
        <w:rPr>
          <w:rFonts w:ascii="Times New Roman" w:hAnsi="Times New Roman"/>
          <w:color w:val="000000" w:themeColor="text1"/>
          <w:sz w:val="16"/>
          <w:szCs w:val="16"/>
        </w:rPr>
        <w:softHyphen/>
        <w:t>ми УВХЗ. Помощник начальника УВХЗ полковник Полянский в письме директо</w:t>
      </w:r>
      <w:r w:rsidRPr="00A3026E">
        <w:rPr>
          <w:rFonts w:ascii="Times New Roman" w:hAnsi="Times New Roman"/>
          <w:color w:val="000000" w:themeColor="text1"/>
          <w:sz w:val="16"/>
          <w:szCs w:val="16"/>
        </w:rPr>
        <w:softHyphen/>
        <w:t>ру завода ДРО Пассинскому отмечал:</w:t>
      </w:r>
    </w:p>
    <w:p w14:paraId="08E70E5E" w14:textId="77777777" w:rsidR="005D6F1A" w:rsidRPr="00A3026E" w:rsidRDefault="005D6F1A" w:rsidP="00A3026E">
      <w:pPr>
        <w:pStyle w:val="40"/>
        <w:shd w:val="clear" w:color="auto" w:fill="auto"/>
        <w:spacing w:before="0" w:line="240" w:lineRule="auto"/>
        <w:jc w:val="both"/>
        <w:rPr>
          <w:rFonts w:ascii="Times New Roman" w:cs="Times New Roman"/>
          <w:color w:val="000000" w:themeColor="text1"/>
          <w:sz w:val="16"/>
          <w:szCs w:val="16"/>
        </w:rPr>
      </w:pPr>
      <w:r w:rsidRPr="00A3026E">
        <w:rPr>
          <w:rFonts w:ascii="Times New Roman" w:cs="Times New Roman"/>
          <w:color w:val="000000" w:themeColor="text1"/>
          <w:sz w:val="16"/>
          <w:szCs w:val="16"/>
        </w:rPr>
        <w:t>«Представленный образец химприцепки соответствует тактико-техническим требова</w:t>
      </w:r>
      <w:r w:rsidRPr="00A3026E">
        <w:rPr>
          <w:rFonts w:ascii="Times New Roman" w:cs="Times New Roman"/>
          <w:color w:val="000000" w:themeColor="text1"/>
          <w:sz w:val="16"/>
          <w:szCs w:val="16"/>
        </w:rPr>
        <w:softHyphen/>
        <w:t>ниям.</w:t>
      </w:r>
    </w:p>
    <w:p w14:paraId="231EE1CD" w14:textId="77777777" w:rsidR="005D6F1A" w:rsidRPr="00A3026E" w:rsidRDefault="005D6F1A" w:rsidP="00A3026E">
      <w:pPr>
        <w:pStyle w:val="40"/>
        <w:shd w:val="clear" w:color="auto" w:fill="auto"/>
        <w:spacing w:before="0" w:line="240" w:lineRule="auto"/>
        <w:jc w:val="both"/>
        <w:rPr>
          <w:rFonts w:ascii="Times New Roman" w:cs="Times New Roman"/>
          <w:color w:val="000000" w:themeColor="text1"/>
          <w:sz w:val="16"/>
          <w:szCs w:val="16"/>
        </w:rPr>
      </w:pPr>
      <w:r w:rsidRPr="00A3026E">
        <w:rPr>
          <w:rFonts w:ascii="Times New Roman" w:cs="Times New Roman"/>
          <w:color w:val="000000" w:themeColor="text1"/>
          <w:sz w:val="16"/>
          <w:szCs w:val="16"/>
        </w:rPr>
        <w:t>Валовую партию прошу изготавливать по представленному образцу и откорректирован</w:t>
      </w:r>
      <w:r w:rsidRPr="00A3026E">
        <w:rPr>
          <w:rFonts w:ascii="Times New Roman" w:cs="Times New Roman"/>
          <w:color w:val="000000" w:themeColor="text1"/>
          <w:sz w:val="16"/>
          <w:szCs w:val="16"/>
        </w:rPr>
        <w:softHyphen/>
        <w:t>ным чертежам.</w:t>
      </w:r>
    </w:p>
    <w:p w14:paraId="72C92B0B" w14:textId="77777777" w:rsidR="005D6F1A" w:rsidRPr="00A3026E" w:rsidRDefault="005D6F1A" w:rsidP="00A3026E">
      <w:pPr>
        <w:pStyle w:val="40"/>
        <w:shd w:val="clear" w:color="auto" w:fill="auto"/>
        <w:spacing w:before="0" w:line="240" w:lineRule="auto"/>
        <w:jc w:val="both"/>
        <w:rPr>
          <w:rFonts w:ascii="Times New Roman" w:cs="Times New Roman"/>
          <w:color w:val="000000" w:themeColor="text1"/>
          <w:sz w:val="16"/>
          <w:szCs w:val="16"/>
        </w:rPr>
      </w:pPr>
      <w:r w:rsidRPr="00A3026E">
        <w:rPr>
          <w:rFonts w:ascii="Times New Roman" w:cs="Times New Roman"/>
          <w:color w:val="000000" w:themeColor="text1"/>
          <w:sz w:val="16"/>
          <w:szCs w:val="16"/>
        </w:rPr>
        <w:t>Чертежи и техн. документацию прошу при</w:t>
      </w:r>
      <w:r w:rsidRPr="00A3026E">
        <w:rPr>
          <w:rFonts w:ascii="Times New Roman" w:cs="Times New Roman"/>
          <w:color w:val="000000" w:themeColor="text1"/>
          <w:sz w:val="16"/>
          <w:szCs w:val="16"/>
        </w:rPr>
        <w:softHyphen/>
        <w:t>слать на утверждение к 25.9.40 г.» (17480).</w:t>
      </w:r>
    </w:p>
    <w:p w14:paraId="2A854054" w14:textId="77777777" w:rsidR="005D6F1A" w:rsidRPr="00A3026E" w:rsidRDefault="005D6F1A" w:rsidP="00A3026E">
      <w:pPr>
        <w:pStyle w:val="40"/>
        <w:shd w:val="clear" w:color="auto" w:fill="auto"/>
        <w:spacing w:before="0" w:line="240" w:lineRule="auto"/>
        <w:jc w:val="both"/>
        <w:rPr>
          <w:rFonts w:ascii="Times New Roman" w:cs="Times New Roman"/>
          <w:color w:val="000000" w:themeColor="text1"/>
          <w:sz w:val="16"/>
          <w:szCs w:val="16"/>
        </w:rPr>
      </w:pPr>
    </w:p>
    <w:p w14:paraId="5501AF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г. первым секретарем обкома Г.Н.Пуговкиным была подготовлена докладная записка И. В. Сталину «О строительстве крупных промышленных предприятий в Новосибирской области», отмечается, что комбинат № 179 строится с 1934 г. Общая стоимость его строительства составляет 829 млн р. С этого времени началось его технологическое оснащение для производства снарядов, с одновременным производством гражданской продукции. В 1934-1936 гг., несмотря на продолжавшееся строительство многих крупных объектов производственного назначения, коллектив «Металлстроя» освоил производство и выпускал запасные части к тракторам, автомобилям и текстильным машинам, а также различное оборудование для водного и железнодорожного транспорта и другую продукцию. В 1937 г. завод получил новое задание - освоить производство шести типов станков, в том числе токарного «161». Технологически цехи завода не были готовы к выполнению этого задания, отсутствовали и инженеры-станкостроители. Но к концу года станкостроители изготовили первый токарный станок «161» и 24 станка ПЛ-25.</w:t>
      </w:r>
    </w:p>
    <w:p w14:paraId="3CC065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предвоенные годы перед коллективом строителей и производственников правительство ставило задачу пуска завода на полную мощность. В 1938-1940 гг. станкостроители продолжали осваивать выпуск новых видов станков (П-30, ЭО (электрообжиг), токарно-винторезный «161А» и др.). Но по-прежнему большое место в производстве занимали запасные части для текстильных машин, тракторов и автомобилей. В это время уже четко вырисовались основные производственные направления комбината. Крупнейший в стране строящийся комбинат боеприпасов имел в своем составе целый ряд производств:</w:t>
      </w:r>
    </w:p>
    <w:p w14:paraId="3C0CE4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первое снарядное, рассчитанное на годовой выпуск 11 млн штук 76-122-152-мм осколочно-фугасных снарядов; </w:t>
      </w:r>
    </w:p>
    <w:p w14:paraId="559B43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второе снарядное, на оборудовании фирмы «Шкода», производительностью 2 млн штук 122-152-мм снарядов; </w:t>
      </w:r>
    </w:p>
    <w:p w14:paraId="40832B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взрывательное, рассчитанное на годовой выпуск 16 млн штук взрывателей ГВМЗ; </w:t>
      </w:r>
    </w:p>
    <w:p w14:paraId="0316F6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патронное, годовая мощность 1,5 млрд 7,62-мм и 100 млн штук 12,7-мм патронов; </w:t>
      </w:r>
    </w:p>
    <w:p w14:paraId="22E82F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снаряжательное - снаряжение всего выпуска взрывателей и патронов; </w:t>
      </w:r>
    </w:p>
    <w:p w14:paraId="408252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прокатное - производство стальной и биметаллической ленты для выпуска патронов, производительностью 220 тыс. тонн биметалла в год.</w:t>
      </w:r>
    </w:p>
    <w:p w14:paraId="62A35E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создавались инструментальное, тарное, газогенераторное, компрессорное производство, ТЭЦ и многие другие объекты производственной и социально-бытовой инфраструктуры.</w:t>
      </w:r>
    </w:p>
    <w:p w14:paraId="30648D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1934 по 1940 гг. в сооружение комбината было вложено 272 млн р., однако строительство велось не по производственным направлениям. Поэтому ни на одном объекте не были закончены строительно-монтажные работы, что не позволяло ввести в эксплуатацию оборонные мощности. В незавершенном строительстве находилось 130 млн р. капитальных вложений. Однако наркомат боеприпасов не обращал на это внимания, допускал приемку в эксплуатацию производственных объектов, не увязанных между собой. Так, в систему комбината в 1939 г. было включено второе снарядное производство на основе оборудования фирмы «Шкода», которое по договору должно было начать прибывать на комбинат вместе со специалистами с апреля 1940 г., а площадей для этого производства не было - к их строительству только приступили. Тогда как для первого снарядного производства, рассчитанного на годовую производительность 11 млн штук снарядов, были построены производственные площади и фундаменты, но не было оборудования.</w:t>
      </w:r>
    </w:p>
    <w:p w14:paraId="1C9935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одного из цехов прокатного завода на площадке комбината лежало оборудование, поставленное в 1939 г. фирмой «Робертсон», а для всех других цехов было заказано оборудование американской фирмы «Места» со сроками поставки: март - август 1940 г. Однако к строительству производственных площадей для прокатного производства приступили только в 1940 г. Для этого же производства потребовалось 50 тыс. кВт электроэнергии, а между тем, еще не были начаты проектные работы по ТЭЦ, не утверждены типы ее оборудования. Других же источников питания электроэнергией прокатного производства не имелось.</w:t>
      </w:r>
    </w:p>
    <w:p w14:paraId="3CA805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Базы снабжения материалами всех производств комбината наркоматом не были определены, следовательно, потребности в металле и других материалах не учитывались. Проекты цехового и внутризаводского транспорта для комбината еще не были разработаны, что вызывало осложнения в работе комбината.</w:t>
      </w:r>
    </w:p>
    <w:p w14:paraId="14DCE2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Неотъемлемой частью комбината боеприпасов должно было быть снаряжательное производство и полигон для испытания снарядов. Это давало возможность комбинату выпускать готовую продукцию, то есть законченный выстрел. Не имея производства по снаряжению снарядов и полигона, комбинат вынужден был направлять корпуса снарядов для снаряжения в центр страны, а для испытания - на один из полигонов в Павлограде, Софрино, Нижнем Тагиле, создавая, таким образом, массу встречных перевозок и увеличивая себестоимость продукции. Однако в план строительных работ 1940 г. снаряжательный завод не был включен, а для </w:t>
      </w:r>
      <w:r w:rsidRPr="00A3026E">
        <w:rPr>
          <w:rFonts w:ascii="Times New Roman" w:hAnsi="Times New Roman"/>
          <w:color w:val="000000" w:themeColor="text1"/>
          <w:sz w:val="16"/>
          <w:szCs w:val="16"/>
        </w:rPr>
        <w:lastRenderedPageBreak/>
        <w:t>начала строительства полигона наркомат боеприпасов выделил лишь 2 млн р. Несмотря на то, что освоение некоторых изделий оборонного значения началось на комбинате в 1938 г., комплектной оборонной продукции не было выпущено и в 1939 г. Наркомат боеприпасов установил план производства на 1939 г.: 250 тыс. снарядов, 200 тыс. взрывателей, 202 млн патронов, но по существу, не принял никаких мер для выполнения этого задания. Строительно-монтажные работы в первом снарядном, патронном и взрывательном производствах завершились лишь в конце года и были приняты в эксплуатацию с крупнейшими дефектами и некомплектностью оборудования. Некомплектность оборудования, отсутствие документации и необходимых инструментов, неопытность кадров привели к тому, что до 70 % произведенной продукции оказалось бракованной (9684).</w:t>
      </w:r>
    </w:p>
    <w:p w14:paraId="78DCBD7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75D937D"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6BEFF5A7" w14:textId="77777777" w:rsidR="00C66762" w:rsidRPr="00A3026E" w:rsidRDefault="00C66762" w:rsidP="00A3026E">
      <w:pPr>
        <w:spacing w:after="0" w:line="240" w:lineRule="auto"/>
        <w:jc w:val="both"/>
        <w:rPr>
          <w:rFonts w:ascii="Times New Roman" w:hAnsi="Times New Roman"/>
          <w:i/>
          <w:color w:val="000000" w:themeColor="text1"/>
          <w:sz w:val="16"/>
          <w:szCs w:val="16"/>
        </w:rPr>
      </w:pPr>
    </w:p>
    <w:p w14:paraId="6FB000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г. вышел ПРИКАЗ НКО СССР О ПОДГОТОВКЕ СПЕЦИАЛИСТОВ ДЛЯ НОВЫХ ТИПОВ ТАНКОВ № 0053</w:t>
      </w:r>
    </w:p>
    <w:p w14:paraId="4E0874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Москва</w:t>
      </w:r>
    </w:p>
    <w:p w14:paraId="357956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поступлением на вооружение механизированных и танковых войск Красной Армии новой материальной части танков «КВ», Т-34 и Т-40 и в целях подготовки командного состава для новых типов танков приказываю:</w:t>
      </w:r>
    </w:p>
    <w:p w14:paraId="0B04AA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Харьковское танковое училище содержать по штату № 17/936 в составе четырех учебных батальонов, из них: два учебных батальона танков Т-34 и два учебных батальона танков Т-26, обще численностью в четырех батальонах 1600 человек с подготовкой лейтенантов по танкам Т-34 и Т-40</w:t>
      </w:r>
    </w:p>
    <w:p w14:paraId="4CFF86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Орловское танковое училище содержать по штату № 17/936 в составе: два учебных батальон танков БТ и два учебных батальона танков Т-34 с общей численностью училища 1600 человек. По, готовку вести лейтенантов по танкам БТ и Т-34.</w:t>
      </w:r>
    </w:p>
    <w:p w14:paraId="01E29BD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3. Ульяновское танковое училище содержать по штату № 17/936 в составе: три учебных танковых батальона танков БТ и один учебный батальон танков Т-38, Т-40 и бронемашин с общей численностью училища 1600 человек. Подготовку вести лейтенантов танков БТ, Т-38, Т-40 и бро</w:t>
      </w:r>
      <w:r w:rsidRPr="00A3026E">
        <w:rPr>
          <w:i w:val="0"/>
          <w:iCs w:val="0"/>
          <w:color w:val="000000" w:themeColor="text1"/>
          <w:spacing w:val="0"/>
          <w:kern w:val="0"/>
          <w:position w:val="0"/>
          <w:sz w:val="16"/>
          <w:szCs w:val="16"/>
          <w:lang w:val="ru-RU"/>
        </w:rPr>
        <w:softHyphen/>
        <w:t>немашин.</w:t>
      </w:r>
    </w:p>
    <w:p w14:paraId="6D818A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1-е Саратовское танковое училище содержать по штату № 17/939 в составе: два учебных ба</w:t>
      </w:r>
      <w:r w:rsidRPr="00A3026E">
        <w:rPr>
          <w:rFonts w:ascii="Times New Roman" w:hAnsi="Times New Roman"/>
          <w:color w:val="000000" w:themeColor="text1"/>
          <w:sz w:val="16"/>
          <w:szCs w:val="16"/>
        </w:rPr>
        <w:softHyphen/>
        <w:t>тальона танков Т-26, один учебный батальон огнеметных танков и один учебный батальон техников ГСМ с общей численностью 1600 человек. Подготовку вести лейтенантов танков Т-26 и огнеметных танков и техников по ГСМ.</w:t>
      </w:r>
    </w:p>
    <w:p w14:paraId="1DAF2D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2-е Саратовское танковое училище содержать по штату № 17/940 в составе: четырех учебных танковых батальонов танков «КВ» численностью 1200 человек с подготовкой лейтенантов и танко</w:t>
      </w:r>
      <w:r w:rsidRPr="00A3026E">
        <w:rPr>
          <w:rFonts w:ascii="Times New Roman" w:hAnsi="Times New Roman"/>
          <w:color w:val="000000" w:themeColor="text1"/>
          <w:sz w:val="16"/>
          <w:szCs w:val="16"/>
        </w:rPr>
        <w:softHyphen/>
        <w:t>вых техников по танкам «КВ».</w:t>
      </w:r>
    </w:p>
    <w:p w14:paraId="647867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Киевское танкотехническое училище содержать по штату № 17/937 в составе: три учебных танкотехнических батальона танков БТ и Т-26 и один батальон танков Т-34 с общей численностью 1600 человек. Подготовку вести танковых техников по танкам БТ, Т-26 и Т-34.</w:t>
      </w:r>
    </w:p>
    <w:p w14:paraId="7A1AB9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Полтавское автомобильное училище перевести на профиль подготовки тракторных техников и впредь именовать «Полтавское тракторное училище». В составе училища иметь четыре учебных тракторных батальона численностью 1600 человек. Подготовку вести тракторных техников по сис</w:t>
      </w:r>
      <w:r w:rsidRPr="00A3026E">
        <w:rPr>
          <w:rFonts w:ascii="Times New Roman" w:hAnsi="Times New Roman"/>
          <w:color w:val="000000" w:themeColor="text1"/>
          <w:sz w:val="16"/>
          <w:szCs w:val="16"/>
        </w:rPr>
        <w:softHyphen/>
        <w:t>темам, состоящим на снабжении Красной Армии.</w:t>
      </w:r>
    </w:p>
    <w:p w14:paraId="6E40F9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Начальнику Генерального штаба Красной Армии в соответствии с реорганизацией танковых и тракторного училищ внести поправки в штаты.</w:t>
      </w:r>
    </w:p>
    <w:p w14:paraId="4DBA3B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Начальнику Главного автобронетанкового управления Красной Армии к 20 октября 1940 г. разработать и разослать новые программы для танковых и тракторного училищ в соответствии с их новым профилем подготовки.</w:t>
      </w:r>
    </w:p>
    <w:p w14:paraId="7C8B73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Реорганизацию танковых и тракторного училищ закончить к 25 октября 1940 г. и 1 ноября 1940 г. приступить к занятиям по новым учебным программам.</w:t>
      </w:r>
    </w:p>
    <w:p w14:paraId="0CD529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СССР Маршал Советского Союза С. Тимошенко</w:t>
      </w:r>
    </w:p>
    <w:p w14:paraId="68A3EE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4. Оп. 15. Д. 26. Л. 20. Копия (11210).</w:t>
      </w:r>
    </w:p>
    <w:p w14:paraId="73EF66C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2477B4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4B51EEB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13F05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открыт Львовский театр оперы и балета (4962).</w:t>
      </w:r>
    </w:p>
    <w:p w14:paraId="09C582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93B17E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B11DAA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6FE26B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Уинстон Черчилль заявил, что один польский солдат стоит трех французских (4962).</w:t>
      </w:r>
    </w:p>
    <w:p w14:paraId="7F20F4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E3F9D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не началась запланированная на этот день операция Морской лев по вторжению в Англию (2244,7).</w:t>
      </w:r>
    </w:p>
    <w:p w14:paraId="598228C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1632E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в Лондоне принято решение использовать метро в качестве бомбоубежища (4962).</w:t>
      </w:r>
    </w:p>
    <w:p w14:paraId="0501F77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77F63A0"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D1DD15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BF48C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сентября 1940 закончились гос. испытания УТИ-26-1, которые шли с 28 августа 1940 (2090,232). Машину передали в 11 иап (командир Г.А.Когрушев) в Кубинку для подготовки к войсковым испытаниям 11 И-26 (Як-1) первой малой серии (65,28).</w:t>
      </w:r>
    </w:p>
    <w:p w14:paraId="1FBB6C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гос. испытания закончились 19 сентября 1940.</w:t>
      </w:r>
    </w:p>
    <w:p w14:paraId="743ECBC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81DA5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сентября 1940 вышел приказ ГУ ВВС о проведении войсковых испытаний первой малой серии И-26 (Як-1) (65,42).</w:t>
      </w:r>
    </w:p>
    <w:p w14:paraId="14614AA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379B7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закончилась доводка 11 машин Як-1 первой войсковой серии и они проходили войсковые испытания на аэродроме в Кубинке в 11 иап до ноября 1940 (65,42).</w:t>
      </w:r>
    </w:p>
    <w:p w14:paraId="1F86F9A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82444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сентября 1940 первую машину И-26 завода № 292 вывезли на аэродром, вторую - 1 октября, а третью - 3 октября 1940 г. После проверки их систем и подготовки к облету летчик-испытатель полковник П.Н. Шустов поднял эти самолеты в воздух.</w:t>
      </w:r>
    </w:p>
    <w:p w14:paraId="42730A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Дальнейшая сборка и выпуск машин задерживались из-за отсутствия моторов и винтов. К 10 октября в наличии было всего пять моторов (7 - к 28 октября), а к 10 ноября 1940 г. - три комплекта винтов. Устранялись дефекты, выявленные войсковыми испытаниями в Кубинке (установили механические указатели отклоненного положения щитков, профили на боковые фюзеляжные люки, амортизаторы фонаря, нижнюю часть подушки сиденья летчика сделали толше, увеличили угол отклонения хвостовой опоры шасси). В связи с этим 12 ноября 1940 г. план по выпуску И-26 завода № 292 (табл.2, с.25) был скорректирован: три машины головной серии следовало выпустить до 1 ноября, 20 машин - до 25 ноября, Цех начинки а 80 - к концу года. Но и этот план оказался фюзеляжей 1944 г. невыполненным. Всего в I940 г. завод № 292 Архив С. Кузнецова выпустил 16 самолетов (из них пять самолетов было принято военной приемкой в ноябре и 11 - в декабре), и ни одна машина из этого числа не была отправлена в части (12048).</w:t>
      </w:r>
    </w:p>
    <w:p w14:paraId="526AD63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7A8EA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сентября 1940 был подписан Протокол № 11 состоявшегося 13 сентября 1940 состоялось заседание Техсовета НИИ ВВС "О результатах гос. испытаний самолета И-200 с АМ-35А конструкции А.И.Микояна, построенного на заводе 1".</w:t>
      </w:r>
    </w:p>
    <w:p w14:paraId="562AA7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Слушали: О результатах госиспытаний с-та И-200 с мотором АМ-35А конструкции Микояна, постройки завода № 1</w:t>
      </w:r>
    </w:p>
    <w:p w14:paraId="3D7891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ТС при НИИ ВВС КА под председательством Нач. НИИ ВВС гма А.М.Филина в составе членов ТС и Зам. нач. вооружения и снабжения ВВС КА би Федорова в присутствии директора завода № 1 т. Дементьева и ГК т. Микояна, заслушал доклад ви НИИ ВВС КА ви1р Никитченко, содоклад вл ГСС м Супруна о результатах госиспытаний с-та И-200 с мотором АМ-35А и оценку с-та от всех участников летных и наземных испытаний.</w:t>
      </w:r>
    </w:p>
    <w:p w14:paraId="55645F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построен по Постановлению КО при СНК № 103 от 4 марта 1940.</w:t>
      </w:r>
    </w:p>
    <w:p w14:paraId="06B65A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Была задана постройка одноместного истребителя с мотором АМ-37 в 3-х экз. с предъявлением на госиспытания 1-го экз. к 1 июля 1940 г., 2-го - к 15 июля, 3-го - к 1 августа 1940.</w:t>
      </w:r>
    </w:p>
    <w:p w14:paraId="1CACF41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при СНК для с-та И-200 были заданы следующие ЛТД:</w:t>
      </w:r>
    </w:p>
    <w:p w14:paraId="321BF3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на 7000 м - 640 км/час</w:t>
      </w:r>
    </w:p>
    <w:p w14:paraId="755D93C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- 127 км/час</w:t>
      </w:r>
    </w:p>
    <w:p w14:paraId="21FBB0B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0,9 макс. - 650 км, при перегрузке - 1000 км</w:t>
      </w:r>
    </w:p>
    <w:p w14:paraId="4FB6E13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8000 м - 8,5 мин.</w:t>
      </w:r>
    </w:p>
    <w:p w14:paraId="35EA4C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- 13000 м</w:t>
      </w:r>
    </w:p>
    <w:p w14:paraId="7880D97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022374D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 пул. 7,62, 1хпул 12,7 через винт, бомбовая нагрузка - 220 кг</w:t>
      </w:r>
    </w:p>
    <w:p w14:paraId="2546F27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Самолет И-200 с мотором АМ-35А предъявлен на госиспытания в 2-х экземплярах 29 августа 1940</w:t>
      </w:r>
    </w:p>
    <w:p w14:paraId="2DD0913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заводских испытаниях с-та не было полетов выше 8500 м, не был определен практический потолок и расход горючего для определения дальности полета, испытаний РС на заводских исытаниях не проводилось ни на земле ни в воздухе.</w:t>
      </w:r>
    </w:p>
    <w:p w14:paraId="355F5D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госиспытаниях с-та в НИИ ВВС КА получены следующие ЛТД:</w:t>
      </w:r>
    </w:p>
    <w:p w14:paraId="269E0F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628 км/час</w:t>
      </w:r>
    </w:p>
    <w:p w14:paraId="18D060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141 км/час</w:t>
      </w:r>
    </w:p>
    <w:p w14:paraId="0D035C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0,8 макс. скор. - 580 км</w:t>
      </w:r>
    </w:p>
    <w:p w14:paraId="550FB7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8000 м - 8,57 мин.</w:t>
      </w:r>
    </w:p>
    <w:p w14:paraId="570A07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 на 1000 м - 20-22 сек.</w:t>
      </w:r>
    </w:p>
    <w:p w14:paraId="36BDCC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имеет вооружение: 1хБерезина 12,7 с запасом 300 патронов, 2-ШКАС 7,62 с б/з 1500 патронов</w:t>
      </w:r>
    </w:p>
    <w:p w14:paraId="2A5657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счет перегрузки на с-те предусмотрена подвеска бомб общим весом 220 кг или 8хРС-82мм</w:t>
      </w:r>
    </w:p>
    <w:p w14:paraId="4D6278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Определение дальности полета при перегрузке не проводилось, т.к. подвесные б/б на испытание предъявлены не были</w:t>
      </w:r>
    </w:p>
    <w:p w14:paraId="55B4DD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имеет два крыльевых б/б без протектора и один б/б протектированный в фюзеляже</w:t>
      </w:r>
    </w:p>
    <w:p w14:paraId="16A34B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- 12000 м</w:t>
      </w:r>
    </w:p>
    <w:p w14:paraId="119538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5000 м - 5,3 мин.</w:t>
      </w:r>
    </w:p>
    <w:p w14:paraId="24A3C6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3099 кг</w:t>
      </w:r>
    </w:p>
    <w:p w14:paraId="39F3DF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 234-305 м</w:t>
      </w:r>
    </w:p>
    <w:p w14:paraId="5BCBC4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 400 м</w:t>
      </w:r>
    </w:p>
    <w:p w14:paraId="3349CF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- 141 км/час</w:t>
      </w:r>
    </w:p>
    <w:p w14:paraId="319CED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w:t>
      </w:r>
    </w:p>
    <w:p w14:paraId="6C4F20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Предъявленный на госиспытания с-т И-200 с мотором АМ-35 конструкции т. Микояна госиспытания выдержл. Вооружение, оборудование с-та проверено на земле и в воздухзе. С-т испытан на пилотаж, пикирование до 638 км/час по приборам и штопор до 2-х витков.</w:t>
      </w:r>
    </w:p>
    <w:p w14:paraId="32A9931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С-т И-200 с мотором АМ-35А является лучшим из всех отечественных опытных с-тов по своей максимальной скорости, равной 628 км/час на высоте 7200 м Но при этом он он имеет большую посадочную скорость, достигающую 141 км/час, недостаточную нормальную дальность полета, равную 580 км и недостаточную продольную и поперечную устойчивость.</w:t>
      </w:r>
    </w:p>
    <w:p w14:paraId="2E7CABB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Учитывая, что согласно Постановлению КО СНК № 225 от 25 мая 1940, с-т запущен в серийное производство, предложить конструктору срочно провести на с-те И-200 необходимые мероприятия по улучшению продольной и поперечной устойчивости, по увеличению нормальной дальности полета до 650 км/час и по снижению посадочной скорости до 127 км/час.</w:t>
      </w:r>
    </w:p>
    <w:p w14:paraId="7FD3E3C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с внесенными изменениями предъявитиь на госиспытания 15 ноября с.г.</w:t>
      </w:r>
    </w:p>
    <w:p w14:paraId="7ED5CC1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Предложить конструкторам увеличить мощность стрелкового вооружения с-та добавлением 2-х пулеметов калибра 12,7 мм иди 7,62мм, разработать подвесные б/б для увеличения дальности и запроектировать крыльевые б/б</w:t>
      </w:r>
    </w:p>
    <w:p w14:paraId="6B0277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 целях дальнейшей доводки с-та конструктору необходимо продолжить изучение пикирования и штопорных свойств с-та, для его необходимо подобрать винт к с-ту и проработать установку предкрылком.</w:t>
      </w:r>
    </w:p>
    <w:p w14:paraId="58AA77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Учитывая острую необходимость снабжения частей ВВС КА истребителями типа И-200, считать необходимым скорейшее проведение войсковых испытаний этого с-та</w:t>
      </w:r>
    </w:p>
    <w:p w14:paraId="1EB9B9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Кабина л закрыта фонарем, ткидывающимся на правый борт</w:t>
      </w:r>
    </w:p>
    <w:p w14:paraId="560DB2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и задняя часть сбрасываются в случае авиарии при помощи спецмеханизма</w:t>
      </w:r>
    </w:p>
    <w:p w14:paraId="668B53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Хвостовое колесо управляемое и убирающееся в полете (для уборки присоединен к левой ноге шасси)</w:t>
      </w:r>
    </w:p>
    <w:p w14:paraId="0A154D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ВМГ - АМ-35А, жидкостного охлаждения мощностью 1200 лс на 6000 м, редуктор с передачей 0,902.</w:t>
      </w:r>
    </w:p>
    <w:p w14:paraId="6E4D7E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трехлопастный с шагом, изменяемым в полете ВИШ-22Е диаметром 3 м и шагом 250 производства завода № 28 с углом поворота до 20 гр.</w:t>
      </w:r>
    </w:p>
    <w:p w14:paraId="2E0D2B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имеет 3 б/б: один в фюзеляже протектированный емкостью 108 л, два в центроплане не протектированные емкостью правый 108 л, а левый - 109 л. Общий объем 359 л или 266 кг</w:t>
      </w:r>
    </w:p>
    <w:p w14:paraId="4A52DE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шли с 29 августа по 12 сентября 1940</w:t>
      </w:r>
    </w:p>
    <w:p w14:paraId="683757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 полета с налетом 24:15</w:t>
      </w:r>
    </w:p>
    <w:p w14:paraId="2E31BD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15 дней:</w:t>
      </w:r>
    </w:p>
    <w:p w14:paraId="454E34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наземные испытания - 1</w:t>
      </w:r>
    </w:p>
    <w:p w14:paraId="643B7C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нелетная погода - 1</w:t>
      </w:r>
    </w:p>
    <w:p w14:paraId="59177A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летные - 10</w:t>
      </w:r>
    </w:p>
    <w:p w14:paraId="74B5FF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ремонт - 2</w:t>
      </w:r>
    </w:p>
    <w:p w14:paraId="051DD9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выходные - 2</w:t>
      </w:r>
    </w:p>
    <w:p w14:paraId="653D2E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испытывался со следующей загрузкой:</w:t>
      </w:r>
    </w:p>
    <w:p w14:paraId="7738B3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с парашютом - 90 кг</w:t>
      </w:r>
    </w:p>
    <w:p w14:paraId="555996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горючее - 266 кг</w:t>
      </w:r>
    </w:p>
    <w:p w14:paraId="68FFFA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 - 30 кг</w:t>
      </w:r>
    </w:p>
    <w:p w14:paraId="3F3463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Патронов для БС (300) - 51</w:t>
      </w:r>
    </w:p>
    <w:p w14:paraId="57D45B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Патронов ШКАС (1500) - 48</w:t>
      </w:r>
    </w:p>
    <w:p w14:paraId="08D739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Акумулятор 12А-5 - 8,5</w:t>
      </w:r>
    </w:p>
    <w:p w14:paraId="43C9FD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- 494 кг</w:t>
      </w:r>
    </w:p>
    <w:p w14:paraId="370CEE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042"/>
        <w:gridCol w:w="2127"/>
      </w:tblGrid>
      <w:tr w:rsidR="00983732" w:rsidRPr="00A3026E" w14:paraId="138981E2" w14:textId="77777777" w:rsidTr="00EA0DA7">
        <w:tc>
          <w:tcPr>
            <w:tcW w:w="3736" w:type="dxa"/>
            <w:tcBorders>
              <w:top w:val="single" w:sz="12" w:space="0" w:color="auto"/>
            </w:tcBorders>
          </w:tcPr>
          <w:p w14:paraId="061B41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w:t>
            </w:r>
          </w:p>
        </w:tc>
        <w:tc>
          <w:tcPr>
            <w:tcW w:w="2042" w:type="dxa"/>
            <w:tcBorders>
              <w:top w:val="single" w:sz="12" w:space="0" w:color="auto"/>
            </w:tcBorders>
          </w:tcPr>
          <w:p w14:paraId="5EA886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ТТТ</w:t>
            </w:r>
          </w:p>
        </w:tc>
        <w:tc>
          <w:tcPr>
            <w:tcW w:w="2127" w:type="dxa"/>
            <w:tcBorders>
              <w:top w:val="single" w:sz="12" w:space="0" w:color="auto"/>
            </w:tcBorders>
          </w:tcPr>
          <w:p w14:paraId="024B08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результатам испытаний</w:t>
            </w:r>
          </w:p>
        </w:tc>
      </w:tr>
      <w:tr w:rsidR="00983732" w:rsidRPr="00A3026E" w14:paraId="11F29C81" w14:textId="77777777" w:rsidTr="00EA0DA7">
        <w:tc>
          <w:tcPr>
            <w:tcW w:w="3736" w:type="dxa"/>
          </w:tcPr>
          <w:p w14:paraId="1D4878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6000-7000 м</w:t>
            </w:r>
          </w:p>
        </w:tc>
        <w:tc>
          <w:tcPr>
            <w:tcW w:w="2042" w:type="dxa"/>
          </w:tcPr>
          <w:p w14:paraId="004DFA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640</w:t>
            </w:r>
          </w:p>
        </w:tc>
        <w:tc>
          <w:tcPr>
            <w:tcW w:w="2127" w:type="dxa"/>
          </w:tcPr>
          <w:p w14:paraId="4A9D5C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628/7000</w:t>
            </w:r>
          </w:p>
        </w:tc>
      </w:tr>
      <w:tr w:rsidR="00983732" w:rsidRPr="00A3026E" w14:paraId="0C735F71" w14:textId="77777777" w:rsidTr="00EA0DA7">
        <w:tc>
          <w:tcPr>
            <w:tcW w:w="3736" w:type="dxa"/>
          </w:tcPr>
          <w:p w14:paraId="236AC8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2042" w:type="dxa"/>
          </w:tcPr>
          <w:p w14:paraId="5294BC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13000</w:t>
            </w:r>
          </w:p>
        </w:tc>
        <w:tc>
          <w:tcPr>
            <w:tcW w:w="2127" w:type="dxa"/>
          </w:tcPr>
          <w:p w14:paraId="2F19D0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r>
      <w:tr w:rsidR="00983732" w:rsidRPr="00A3026E" w14:paraId="13312C04" w14:textId="77777777" w:rsidTr="00EA0DA7">
        <w:tc>
          <w:tcPr>
            <w:tcW w:w="3736" w:type="dxa"/>
          </w:tcPr>
          <w:p w14:paraId="41212A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0,9 макс.</w:t>
            </w:r>
          </w:p>
        </w:tc>
        <w:tc>
          <w:tcPr>
            <w:tcW w:w="2042" w:type="dxa"/>
          </w:tcPr>
          <w:p w14:paraId="305E95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w:t>
            </w:r>
          </w:p>
        </w:tc>
        <w:tc>
          <w:tcPr>
            <w:tcW w:w="2127" w:type="dxa"/>
          </w:tcPr>
          <w:p w14:paraId="379CBD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r>
      <w:tr w:rsidR="00983732" w:rsidRPr="00A3026E" w14:paraId="479878A3" w14:textId="77777777" w:rsidTr="00EA0DA7">
        <w:tc>
          <w:tcPr>
            <w:tcW w:w="3736" w:type="dxa"/>
          </w:tcPr>
          <w:p w14:paraId="607243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 же с подвесными б/б</w:t>
            </w:r>
          </w:p>
        </w:tc>
        <w:tc>
          <w:tcPr>
            <w:tcW w:w="2042" w:type="dxa"/>
          </w:tcPr>
          <w:p w14:paraId="1A874E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2127" w:type="dxa"/>
          </w:tcPr>
          <w:p w14:paraId="53CBAC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C4053BF" w14:textId="77777777" w:rsidTr="00EA0DA7">
        <w:tc>
          <w:tcPr>
            <w:tcW w:w="3736" w:type="dxa"/>
          </w:tcPr>
          <w:p w14:paraId="3F58D3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 на 1000 м</w:t>
            </w:r>
          </w:p>
        </w:tc>
        <w:tc>
          <w:tcPr>
            <w:tcW w:w="2042" w:type="dxa"/>
          </w:tcPr>
          <w:p w14:paraId="4DBA21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127" w:type="dxa"/>
          </w:tcPr>
          <w:p w14:paraId="78A5BB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правый 20</w:t>
            </w:r>
          </w:p>
          <w:p w14:paraId="091A97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левый 22</w:t>
            </w:r>
          </w:p>
        </w:tc>
      </w:tr>
      <w:tr w:rsidR="00983732" w:rsidRPr="00A3026E" w14:paraId="761C5C87" w14:textId="77777777" w:rsidTr="00EA0DA7">
        <w:tc>
          <w:tcPr>
            <w:tcW w:w="3736" w:type="dxa"/>
          </w:tcPr>
          <w:p w14:paraId="2AD9A0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w:t>
            </w:r>
          </w:p>
        </w:tc>
        <w:tc>
          <w:tcPr>
            <w:tcW w:w="2042" w:type="dxa"/>
          </w:tcPr>
          <w:p w14:paraId="79E1C2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200-250</w:t>
            </w:r>
          </w:p>
        </w:tc>
        <w:tc>
          <w:tcPr>
            <w:tcW w:w="2127" w:type="dxa"/>
          </w:tcPr>
          <w:p w14:paraId="64FDC2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237-305</w:t>
            </w:r>
          </w:p>
        </w:tc>
      </w:tr>
      <w:tr w:rsidR="00983732" w:rsidRPr="00A3026E" w14:paraId="7EB95F05" w14:textId="77777777" w:rsidTr="00EA0DA7">
        <w:tc>
          <w:tcPr>
            <w:tcW w:w="3736" w:type="dxa"/>
          </w:tcPr>
          <w:p w14:paraId="39169C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w:t>
            </w:r>
          </w:p>
        </w:tc>
        <w:tc>
          <w:tcPr>
            <w:tcW w:w="2042" w:type="dxa"/>
          </w:tcPr>
          <w:p w14:paraId="33859F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250-300</w:t>
            </w:r>
          </w:p>
        </w:tc>
        <w:tc>
          <w:tcPr>
            <w:tcW w:w="2127" w:type="dxa"/>
          </w:tcPr>
          <w:p w14:paraId="2855CD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r>
      <w:tr w:rsidR="00983732" w:rsidRPr="00A3026E" w14:paraId="5B6F98B9" w14:textId="77777777" w:rsidTr="00EA0DA7">
        <w:tc>
          <w:tcPr>
            <w:tcW w:w="3736" w:type="dxa"/>
          </w:tcPr>
          <w:p w14:paraId="287F33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Пасадочная скорость </w:t>
            </w:r>
          </w:p>
        </w:tc>
        <w:tc>
          <w:tcPr>
            <w:tcW w:w="2042" w:type="dxa"/>
          </w:tcPr>
          <w:p w14:paraId="32E7E3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w:t>
            </w:r>
          </w:p>
        </w:tc>
        <w:tc>
          <w:tcPr>
            <w:tcW w:w="2127" w:type="dxa"/>
          </w:tcPr>
          <w:p w14:paraId="05063D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w:t>
            </w:r>
          </w:p>
        </w:tc>
      </w:tr>
      <w:tr w:rsidR="00983732" w:rsidRPr="00A3026E" w14:paraId="0FE264BD" w14:textId="77777777" w:rsidTr="00EA0DA7">
        <w:tc>
          <w:tcPr>
            <w:tcW w:w="3736" w:type="dxa"/>
            <w:tcBorders>
              <w:bottom w:val="single" w:sz="12" w:space="0" w:color="auto"/>
            </w:tcBorders>
          </w:tcPr>
          <w:p w14:paraId="6342E3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8000 м</w:t>
            </w:r>
          </w:p>
        </w:tc>
        <w:tc>
          <w:tcPr>
            <w:tcW w:w="2042" w:type="dxa"/>
            <w:tcBorders>
              <w:bottom w:val="single" w:sz="12" w:space="0" w:color="auto"/>
            </w:tcBorders>
          </w:tcPr>
          <w:p w14:paraId="181A93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w:t>
            </w:r>
          </w:p>
        </w:tc>
        <w:tc>
          <w:tcPr>
            <w:tcW w:w="2127" w:type="dxa"/>
            <w:tcBorders>
              <w:bottom w:val="single" w:sz="12" w:space="0" w:color="auto"/>
            </w:tcBorders>
          </w:tcPr>
          <w:p w14:paraId="4E8643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8,57</w:t>
            </w:r>
          </w:p>
        </w:tc>
      </w:tr>
    </w:tbl>
    <w:p w14:paraId="7B3F52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Сравнительная таблица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682"/>
        <w:gridCol w:w="1682"/>
        <w:gridCol w:w="1682"/>
        <w:gridCol w:w="1682"/>
        <w:gridCol w:w="1682"/>
      </w:tblGrid>
      <w:tr w:rsidR="00983732" w:rsidRPr="00A3026E" w14:paraId="4B23AF82" w14:textId="77777777" w:rsidTr="00EA0DA7">
        <w:tc>
          <w:tcPr>
            <w:tcW w:w="2802" w:type="dxa"/>
            <w:tcBorders>
              <w:top w:val="single" w:sz="12" w:space="0" w:color="auto"/>
            </w:tcBorders>
          </w:tcPr>
          <w:p w14:paraId="4749AF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w:t>
            </w:r>
          </w:p>
        </w:tc>
        <w:tc>
          <w:tcPr>
            <w:tcW w:w="1682" w:type="dxa"/>
            <w:tcBorders>
              <w:top w:val="single" w:sz="12" w:space="0" w:color="auto"/>
            </w:tcBorders>
          </w:tcPr>
          <w:p w14:paraId="70E68E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 АМ-35А</w:t>
            </w:r>
          </w:p>
        </w:tc>
        <w:tc>
          <w:tcPr>
            <w:tcW w:w="1682" w:type="dxa"/>
            <w:tcBorders>
              <w:top w:val="single" w:sz="12" w:space="0" w:color="auto"/>
            </w:tcBorders>
          </w:tcPr>
          <w:p w14:paraId="57FCF1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М-105</w:t>
            </w:r>
          </w:p>
        </w:tc>
        <w:tc>
          <w:tcPr>
            <w:tcW w:w="1682" w:type="dxa"/>
            <w:tcBorders>
              <w:top w:val="single" w:sz="12" w:space="0" w:color="auto"/>
            </w:tcBorders>
          </w:tcPr>
          <w:p w14:paraId="1DC0BD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М-105</w:t>
            </w:r>
          </w:p>
        </w:tc>
        <w:tc>
          <w:tcPr>
            <w:tcW w:w="1682" w:type="dxa"/>
            <w:tcBorders>
              <w:top w:val="single" w:sz="12" w:space="0" w:color="auto"/>
            </w:tcBorders>
          </w:tcPr>
          <w:p w14:paraId="062B3F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Ме-109 ДБ-601</w:t>
            </w:r>
          </w:p>
        </w:tc>
        <w:tc>
          <w:tcPr>
            <w:tcW w:w="1682" w:type="dxa"/>
            <w:tcBorders>
              <w:top w:val="single" w:sz="12" w:space="0" w:color="auto"/>
            </w:tcBorders>
          </w:tcPr>
          <w:p w14:paraId="4442A0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Хе-100 ДБ-601</w:t>
            </w:r>
          </w:p>
        </w:tc>
      </w:tr>
      <w:tr w:rsidR="00983732" w:rsidRPr="00A3026E" w14:paraId="65199EF1" w14:textId="77777777" w:rsidTr="00EA0DA7">
        <w:tc>
          <w:tcPr>
            <w:tcW w:w="2802" w:type="dxa"/>
          </w:tcPr>
          <w:p w14:paraId="3310F6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1682" w:type="dxa"/>
          </w:tcPr>
          <w:p w14:paraId="2CC00D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3099</w:t>
            </w:r>
          </w:p>
        </w:tc>
        <w:tc>
          <w:tcPr>
            <w:tcW w:w="1682" w:type="dxa"/>
          </w:tcPr>
          <w:p w14:paraId="5ED412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2700</w:t>
            </w:r>
          </w:p>
        </w:tc>
        <w:tc>
          <w:tcPr>
            <w:tcW w:w="1682" w:type="dxa"/>
          </w:tcPr>
          <w:p w14:paraId="08DCF2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2968</w:t>
            </w:r>
          </w:p>
        </w:tc>
        <w:tc>
          <w:tcPr>
            <w:tcW w:w="1682" w:type="dxa"/>
          </w:tcPr>
          <w:p w14:paraId="1F3EC4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2605</w:t>
            </w:r>
          </w:p>
        </w:tc>
        <w:tc>
          <w:tcPr>
            <w:tcW w:w="1682" w:type="dxa"/>
          </w:tcPr>
          <w:p w14:paraId="46166B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2492</w:t>
            </w:r>
          </w:p>
        </w:tc>
      </w:tr>
      <w:tr w:rsidR="00983732" w:rsidRPr="00A3026E" w14:paraId="6BC4F4AC" w14:textId="77777777" w:rsidTr="00EA0DA7">
        <w:tc>
          <w:tcPr>
            <w:tcW w:w="2802" w:type="dxa"/>
          </w:tcPr>
          <w:p w14:paraId="22F373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 на высоте</w:t>
            </w:r>
          </w:p>
        </w:tc>
        <w:tc>
          <w:tcPr>
            <w:tcW w:w="1682" w:type="dxa"/>
          </w:tcPr>
          <w:p w14:paraId="709CD1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1200/6000</w:t>
            </w:r>
          </w:p>
        </w:tc>
        <w:tc>
          <w:tcPr>
            <w:tcW w:w="1682" w:type="dxa"/>
          </w:tcPr>
          <w:p w14:paraId="4B0EE6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c>
          <w:tcPr>
            <w:tcW w:w="1682" w:type="dxa"/>
          </w:tcPr>
          <w:p w14:paraId="15A7FA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c>
          <w:tcPr>
            <w:tcW w:w="1682" w:type="dxa"/>
          </w:tcPr>
          <w:p w14:paraId="683308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1100/3700</w:t>
            </w:r>
          </w:p>
        </w:tc>
        <w:tc>
          <w:tcPr>
            <w:tcW w:w="1682" w:type="dxa"/>
          </w:tcPr>
          <w:p w14:paraId="08CE41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1100/3700</w:t>
            </w:r>
          </w:p>
        </w:tc>
      </w:tr>
      <w:tr w:rsidR="00983732" w:rsidRPr="00A3026E" w14:paraId="25914E13" w14:textId="77777777" w:rsidTr="00EA0DA7">
        <w:tc>
          <w:tcPr>
            <w:tcW w:w="2802" w:type="dxa"/>
          </w:tcPr>
          <w:p w14:paraId="7DEB4B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скрость у земли</w:t>
            </w:r>
          </w:p>
        </w:tc>
        <w:tc>
          <w:tcPr>
            <w:tcW w:w="1682" w:type="dxa"/>
          </w:tcPr>
          <w:p w14:paraId="46C868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c>
          <w:tcPr>
            <w:tcW w:w="1682" w:type="dxa"/>
          </w:tcPr>
          <w:p w14:paraId="116FB6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c>
          <w:tcPr>
            <w:tcW w:w="1682" w:type="dxa"/>
          </w:tcPr>
          <w:p w14:paraId="05A807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1682" w:type="dxa"/>
          </w:tcPr>
          <w:p w14:paraId="1A2B56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c>
          <w:tcPr>
            <w:tcW w:w="1682" w:type="dxa"/>
          </w:tcPr>
          <w:p w14:paraId="0BA074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w:t>
            </w:r>
          </w:p>
        </w:tc>
      </w:tr>
      <w:tr w:rsidR="00983732" w:rsidRPr="00A3026E" w14:paraId="6D7B5940" w14:textId="77777777" w:rsidTr="00EA0DA7">
        <w:tc>
          <w:tcPr>
            <w:tcW w:w="2802" w:type="dxa"/>
          </w:tcPr>
          <w:p w14:paraId="526CF4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у земли на форсаже</w:t>
            </w:r>
          </w:p>
        </w:tc>
        <w:tc>
          <w:tcPr>
            <w:tcW w:w="1682" w:type="dxa"/>
          </w:tcPr>
          <w:p w14:paraId="38EFF5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c>
          <w:tcPr>
            <w:tcW w:w="1682" w:type="dxa"/>
          </w:tcPr>
          <w:p w14:paraId="68A96B7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Pr>
          <w:p w14:paraId="468C90C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Pr>
          <w:p w14:paraId="199A958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Pr>
          <w:p w14:paraId="5A68471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B736D59" w14:textId="77777777" w:rsidTr="00EA0DA7">
        <w:tc>
          <w:tcPr>
            <w:tcW w:w="2802" w:type="dxa"/>
          </w:tcPr>
          <w:p w14:paraId="301BD2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скрость на расчетной высоте</w:t>
            </w:r>
          </w:p>
        </w:tc>
        <w:tc>
          <w:tcPr>
            <w:tcW w:w="1682" w:type="dxa"/>
          </w:tcPr>
          <w:p w14:paraId="366E1C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628/7200</w:t>
            </w:r>
          </w:p>
        </w:tc>
        <w:tc>
          <w:tcPr>
            <w:tcW w:w="1682" w:type="dxa"/>
          </w:tcPr>
          <w:p w14:paraId="39436D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585/4800</w:t>
            </w:r>
          </w:p>
        </w:tc>
        <w:tc>
          <w:tcPr>
            <w:tcW w:w="1682" w:type="dxa"/>
          </w:tcPr>
          <w:p w14:paraId="6ACA1E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605/4950</w:t>
            </w:r>
          </w:p>
        </w:tc>
        <w:tc>
          <w:tcPr>
            <w:tcW w:w="1682" w:type="dxa"/>
          </w:tcPr>
          <w:p w14:paraId="66EDEE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546/4600</w:t>
            </w:r>
          </w:p>
        </w:tc>
        <w:tc>
          <w:tcPr>
            <w:tcW w:w="1682" w:type="dxa"/>
          </w:tcPr>
          <w:p w14:paraId="50E9FB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650/4950</w:t>
            </w:r>
          </w:p>
        </w:tc>
      </w:tr>
      <w:tr w:rsidR="00983732" w:rsidRPr="00A3026E" w14:paraId="00C4B193" w14:textId="77777777" w:rsidTr="00EA0DA7">
        <w:tc>
          <w:tcPr>
            <w:tcW w:w="2802" w:type="dxa"/>
          </w:tcPr>
          <w:p w14:paraId="5636C1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5000 м</w:t>
            </w:r>
          </w:p>
        </w:tc>
        <w:tc>
          <w:tcPr>
            <w:tcW w:w="1682" w:type="dxa"/>
          </w:tcPr>
          <w:p w14:paraId="0DAB3B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w:t>
            </w:r>
          </w:p>
        </w:tc>
        <w:tc>
          <w:tcPr>
            <w:tcW w:w="1682" w:type="dxa"/>
          </w:tcPr>
          <w:p w14:paraId="7D23CB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1682" w:type="dxa"/>
          </w:tcPr>
          <w:p w14:paraId="614594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1682" w:type="dxa"/>
          </w:tcPr>
          <w:p w14:paraId="456970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w:t>
            </w:r>
          </w:p>
        </w:tc>
        <w:tc>
          <w:tcPr>
            <w:tcW w:w="1682" w:type="dxa"/>
          </w:tcPr>
          <w:p w14:paraId="78FF9A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r>
      <w:tr w:rsidR="00983732" w:rsidRPr="00A3026E" w14:paraId="63A2609E" w14:textId="77777777" w:rsidTr="00EA0DA7">
        <w:tc>
          <w:tcPr>
            <w:tcW w:w="2802" w:type="dxa"/>
          </w:tcPr>
          <w:p w14:paraId="14DCFC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1682" w:type="dxa"/>
          </w:tcPr>
          <w:p w14:paraId="7CC968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c>
          <w:tcPr>
            <w:tcW w:w="1682" w:type="dxa"/>
          </w:tcPr>
          <w:p w14:paraId="55B431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10200</w:t>
            </w:r>
          </w:p>
        </w:tc>
        <w:tc>
          <w:tcPr>
            <w:tcW w:w="1682" w:type="dxa"/>
          </w:tcPr>
          <w:p w14:paraId="7CEA28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9600</w:t>
            </w:r>
          </w:p>
        </w:tc>
        <w:tc>
          <w:tcPr>
            <w:tcW w:w="1682" w:type="dxa"/>
          </w:tcPr>
          <w:p w14:paraId="3E0E83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c>
          <w:tcPr>
            <w:tcW w:w="1682" w:type="dxa"/>
          </w:tcPr>
          <w:p w14:paraId="4DDAF2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r>
      <w:tr w:rsidR="00983732" w:rsidRPr="00A3026E" w14:paraId="3B1F40AA" w14:textId="77777777" w:rsidTr="00EA0DA7">
        <w:tc>
          <w:tcPr>
            <w:tcW w:w="2802" w:type="dxa"/>
          </w:tcPr>
          <w:p w14:paraId="676170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1682" w:type="dxa"/>
          </w:tcPr>
          <w:p w14:paraId="202C90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w:t>
            </w:r>
          </w:p>
        </w:tc>
        <w:tc>
          <w:tcPr>
            <w:tcW w:w="1682" w:type="dxa"/>
          </w:tcPr>
          <w:p w14:paraId="68B1C2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682" w:type="dxa"/>
          </w:tcPr>
          <w:p w14:paraId="069261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1682" w:type="dxa"/>
          </w:tcPr>
          <w:p w14:paraId="38AD22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129</w:t>
            </w:r>
          </w:p>
        </w:tc>
        <w:tc>
          <w:tcPr>
            <w:tcW w:w="1682" w:type="dxa"/>
          </w:tcPr>
          <w:p w14:paraId="652442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149</w:t>
            </w:r>
          </w:p>
        </w:tc>
      </w:tr>
      <w:tr w:rsidR="00983732" w:rsidRPr="00A3026E" w14:paraId="0587C440" w14:textId="77777777" w:rsidTr="00EA0DA7">
        <w:tc>
          <w:tcPr>
            <w:tcW w:w="2802" w:type="dxa"/>
          </w:tcPr>
          <w:p w14:paraId="390094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w:t>
            </w:r>
          </w:p>
        </w:tc>
        <w:tc>
          <w:tcPr>
            <w:tcW w:w="1682" w:type="dxa"/>
          </w:tcPr>
          <w:p w14:paraId="665644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238</w:t>
            </w:r>
          </w:p>
        </w:tc>
        <w:tc>
          <w:tcPr>
            <w:tcW w:w="1682" w:type="dxa"/>
          </w:tcPr>
          <w:p w14:paraId="168799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682" w:type="dxa"/>
          </w:tcPr>
          <w:p w14:paraId="6B1358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w:t>
            </w:r>
          </w:p>
        </w:tc>
        <w:tc>
          <w:tcPr>
            <w:tcW w:w="1682" w:type="dxa"/>
          </w:tcPr>
          <w:p w14:paraId="603BFC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w:t>
            </w:r>
          </w:p>
        </w:tc>
        <w:tc>
          <w:tcPr>
            <w:tcW w:w="1682" w:type="dxa"/>
          </w:tcPr>
          <w:p w14:paraId="7844E1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03E75E1" w14:textId="77777777" w:rsidTr="00EA0DA7">
        <w:tc>
          <w:tcPr>
            <w:tcW w:w="2802" w:type="dxa"/>
          </w:tcPr>
          <w:p w14:paraId="448075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w:t>
            </w:r>
          </w:p>
        </w:tc>
        <w:tc>
          <w:tcPr>
            <w:tcW w:w="1682" w:type="dxa"/>
          </w:tcPr>
          <w:p w14:paraId="0F3186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1682" w:type="dxa"/>
          </w:tcPr>
          <w:p w14:paraId="7A0BBC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682" w:type="dxa"/>
          </w:tcPr>
          <w:p w14:paraId="2F396C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w:t>
            </w:r>
          </w:p>
        </w:tc>
        <w:tc>
          <w:tcPr>
            <w:tcW w:w="1682" w:type="dxa"/>
          </w:tcPr>
          <w:p w14:paraId="4913A6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223</w:t>
            </w:r>
          </w:p>
        </w:tc>
        <w:tc>
          <w:tcPr>
            <w:tcW w:w="1682" w:type="dxa"/>
          </w:tcPr>
          <w:p w14:paraId="11DE82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5C284D5" w14:textId="77777777" w:rsidTr="00EA0DA7">
        <w:tc>
          <w:tcPr>
            <w:tcW w:w="2802" w:type="dxa"/>
          </w:tcPr>
          <w:p w14:paraId="173CE9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w:t>
            </w:r>
          </w:p>
        </w:tc>
        <w:tc>
          <w:tcPr>
            <w:tcW w:w="1682" w:type="dxa"/>
          </w:tcPr>
          <w:p w14:paraId="16E5AF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c>
          <w:tcPr>
            <w:tcW w:w="1682" w:type="dxa"/>
          </w:tcPr>
          <w:p w14:paraId="0490CC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1682" w:type="dxa"/>
          </w:tcPr>
          <w:p w14:paraId="42001A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w:t>
            </w:r>
          </w:p>
        </w:tc>
        <w:tc>
          <w:tcPr>
            <w:tcW w:w="1682" w:type="dxa"/>
          </w:tcPr>
          <w:p w14:paraId="190134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682" w:type="dxa"/>
          </w:tcPr>
          <w:p w14:paraId="5E3AED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D72D6BE" w14:textId="77777777" w:rsidTr="00EA0DA7">
        <w:tc>
          <w:tcPr>
            <w:tcW w:w="2802" w:type="dxa"/>
          </w:tcPr>
          <w:p w14:paraId="626E96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Запас горючего кг</w:t>
            </w:r>
          </w:p>
        </w:tc>
        <w:tc>
          <w:tcPr>
            <w:tcW w:w="1682" w:type="dxa"/>
          </w:tcPr>
          <w:p w14:paraId="4788E7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266</w:t>
            </w:r>
          </w:p>
        </w:tc>
        <w:tc>
          <w:tcPr>
            <w:tcW w:w="1682" w:type="dxa"/>
          </w:tcPr>
          <w:p w14:paraId="6A1D90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w:t>
            </w:r>
          </w:p>
        </w:tc>
        <w:tc>
          <w:tcPr>
            <w:tcW w:w="1682" w:type="dxa"/>
          </w:tcPr>
          <w:p w14:paraId="0B489B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1682" w:type="dxa"/>
          </w:tcPr>
          <w:p w14:paraId="7B7703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276</w:t>
            </w:r>
          </w:p>
        </w:tc>
        <w:tc>
          <w:tcPr>
            <w:tcW w:w="1682" w:type="dxa"/>
          </w:tcPr>
          <w:p w14:paraId="1FCCC3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w:t>
            </w:r>
          </w:p>
        </w:tc>
      </w:tr>
      <w:tr w:rsidR="00983732" w:rsidRPr="00A3026E" w14:paraId="6A86DA8F" w14:textId="77777777" w:rsidTr="00EA0DA7">
        <w:tc>
          <w:tcPr>
            <w:tcW w:w="2802" w:type="dxa"/>
          </w:tcPr>
          <w:p w14:paraId="09A4E0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1682" w:type="dxa"/>
          </w:tcPr>
          <w:p w14:paraId="155232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2хШКАС (1500),1хБС (300)</w:t>
            </w:r>
          </w:p>
        </w:tc>
        <w:tc>
          <w:tcPr>
            <w:tcW w:w="1682" w:type="dxa"/>
          </w:tcPr>
          <w:p w14:paraId="0D75CF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2хШКАС (760), 1х20 (120)</w:t>
            </w:r>
          </w:p>
        </w:tc>
        <w:tc>
          <w:tcPr>
            <w:tcW w:w="1682" w:type="dxa"/>
          </w:tcPr>
          <w:p w14:paraId="7BA565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2хБС (460), 1х23 (81)</w:t>
            </w:r>
          </w:p>
        </w:tc>
        <w:tc>
          <w:tcPr>
            <w:tcW w:w="1682" w:type="dxa"/>
          </w:tcPr>
          <w:p w14:paraId="1344BA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2хпушки (120),2хпул (2000)</w:t>
            </w:r>
          </w:p>
        </w:tc>
        <w:tc>
          <w:tcPr>
            <w:tcW w:w="1682" w:type="dxa"/>
          </w:tcPr>
          <w:p w14:paraId="4EB756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3хпушки</w:t>
            </w:r>
          </w:p>
        </w:tc>
      </w:tr>
      <w:tr w:rsidR="00983732" w:rsidRPr="00A3026E" w14:paraId="639520D3" w14:textId="77777777" w:rsidTr="00EA0DA7">
        <w:tc>
          <w:tcPr>
            <w:tcW w:w="2802" w:type="dxa"/>
          </w:tcPr>
          <w:p w14:paraId="527B9A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на м2</w:t>
            </w:r>
          </w:p>
        </w:tc>
        <w:tc>
          <w:tcPr>
            <w:tcW w:w="1682" w:type="dxa"/>
          </w:tcPr>
          <w:p w14:paraId="6AE713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tc>
        <w:tc>
          <w:tcPr>
            <w:tcW w:w="1682" w:type="dxa"/>
          </w:tcPr>
          <w:p w14:paraId="3DE07A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154</w:t>
            </w:r>
          </w:p>
        </w:tc>
        <w:tc>
          <w:tcPr>
            <w:tcW w:w="1682" w:type="dxa"/>
          </w:tcPr>
          <w:p w14:paraId="67CBA5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168</w:t>
            </w:r>
          </w:p>
        </w:tc>
        <w:tc>
          <w:tcPr>
            <w:tcW w:w="1682" w:type="dxa"/>
          </w:tcPr>
          <w:p w14:paraId="0A965E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w:t>
            </w:r>
          </w:p>
        </w:tc>
        <w:tc>
          <w:tcPr>
            <w:tcW w:w="1682" w:type="dxa"/>
          </w:tcPr>
          <w:p w14:paraId="45A4EF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w:t>
            </w:r>
          </w:p>
        </w:tc>
      </w:tr>
      <w:tr w:rsidR="00983732" w:rsidRPr="00A3026E" w14:paraId="7A61953B" w14:textId="77777777" w:rsidTr="00EA0DA7">
        <w:tc>
          <w:tcPr>
            <w:tcW w:w="2802" w:type="dxa"/>
          </w:tcPr>
          <w:p w14:paraId="6B1934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Спуск</w:t>
            </w:r>
          </w:p>
        </w:tc>
        <w:tc>
          <w:tcPr>
            <w:tcW w:w="1682" w:type="dxa"/>
          </w:tcPr>
          <w:p w14:paraId="41063A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пневмомеханика</w:t>
            </w:r>
          </w:p>
        </w:tc>
        <w:tc>
          <w:tcPr>
            <w:tcW w:w="1682" w:type="dxa"/>
          </w:tcPr>
          <w:p w14:paraId="270B54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пневмомеханика</w:t>
            </w:r>
          </w:p>
        </w:tc>
        <w:tc>
          <w:tcPr>
            <w:tcW w:w="1682" w:type="dxa"/>
          </w:tcPr>
          <w:p w14:paraId="78C2B2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механика</w:t>
            </w:r>
          </w:p>
        </w:tc>
        <w:tc>
          <w:tcPr>
            <w:tcW w:w="1682" w:type="dxa"/>
          </w:tcPr>
          <w:p w14:paraId="603526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электоромеханика</w:t>
            </w:r>
          </w:p>
        </w:tc>
        <w:tc>
          <w:tcPr>
            <w:tcW w:w="1682" w:type="dxa"/>
          </w:tcPr>
          <w:p w14:paraId="72030EF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20AAB81" w14:textId="77777777" w:rsidTr="00EA0DA7">
        <w:tc>
          <w:tcPr>
            <w:tcW w:w="2802" w:type="dxa"/>
          </w:tcPr>
          <w:p w14:paraId="0CA6FC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w:t>
            </w:r>
          </w:p>
        </w:tc>
        <w:tc>
          <w:tcPr>
            <w:tcW w:w="1682" w:type="dxa"/>
          </w:tcPr>
          <w:p w14:paraId="7D32D0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ПАН-23</w:t>
            </w:r>
          </w:p>
        </w:tc>
        <w:tc>
          <w:tcPr>
            <w:tcW w:w="1682" w:type="dxa"/>
          </w:tcPr>
          <w:p w14:paraId="216B7E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ПАН-23</w:t>
            </w:r>
          </w:p>
        </w:tc>
        <w:tc>
          <w:tcPr>
            <w:tcW w:w="1682" w:type="dxa"/>
          </w:tcPr>
          <w:p w14:paraId="33CF235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Pr>
          <w:p w14:paraId="2C8CAFE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Pr>
          <w:p w14:paraId="2C451A3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52365B1" w14:textId="77777777" w:rsidTr="00EA0DA7">
        <w:tc>
          <w:tcPr>
            <w:tcW w:w="2802" w:type="dxa"/>
            <w:tcBorders>
              <w:bottom w:val="single" w:sz="12" w:space="0" w:color="auto"/>
            </w:tcBorders>
          </w:tcPr>
          <w:p w14:paraId="1E626E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w:t>
            </w:r>
          </w:p>
        </w:tc>
        <w:tc>
          <w:tcPr>
            <w:tcW w:w="1682" w:type="dxa"/>
            <w:tcBorders>
              <w:bottom w:val="single" w:sz="12" w:space="0" w:color="auto"/>
            </w:tcBorders>
          </w:tcPr>
          <w:p w14:paraId="413C8B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8хРС-82</w:t>
            </w:r>
          </w:p>
        </w:tc>
        <w:tc>
          <w:tcPr>
            <w:tcW w:w="1682" w:type="dxa"/>
            <w:tcBorders>
              <w:bottom w:val="single" w:sz="12" w:space="0" w:color="auto"/>
            </w:tcBorders>
          </w:tcPr>
          <w:p w14:paraId="4AB652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682" w:type="dxa"/>
            <w:tcBorders>
              <w:bottom w:val="single" w:sz="12" w:space="0" w:color="auto"/>
            </w:tcBorders>
          </w:tcPr>
          <w:p w14:paraId="4F99A3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8хРС-82</w:t>
            </w:r>
          </w:p>
        </w:tc>
        <w:tc>
          <w:tcPr>
            <w:tcW w:w="1682" w:type="dxa"/>
            <w:tcBorders>
              <w:bottom w:val="single" w:sz="12" w:space="0" w:color="auto"/>
            </w:tcBorders>
          </w:tcPr>
          <w:p w14:paraId="5417A53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82" w:type="dxa"/>
            <w:tcBorders>
              <w:bottom w:val="single" w:sz="12" w:space="0" w:color="auto"/>
            </w:tcBorders>
          </w:tcPr>
          <w:p w14:paraId="2A29EAD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5A010F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Взлетно-посадочные данные (при полетном весе 3099, ветре 1-2 м/с с аэродрома с твердым земляным грунтом с травяного покрова)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2471"/>
        <w:gridCol w:w="2471"/>
        <w:gridCol w:w="2471"/>
      </w:tblGrid>
      <w:tr w:rsidR="00983732" w:rsidRPr="00A3026E" w14:paraId="78E3ED6E" w14:textId="77777777" w:rsidTr="00EA0DA7">
        <w:tc>
          <w:tcPr>
            <w:tcW w:w="3794" w:type="dxa"/>
            <w:tcBorders>
              <w:top w:val="single" w:sz="12" w:space="0" w:color="auto"/>
            </w:tcBorders>
          </w:tcPr>
          <w:p w14:paraId="75BC269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71" w:type="dxa"/>
            <w:tcBorders>
              <w:top w:val="single" w:sz="12" w:space="0" w:color="auto"/>
            </w:tcBorders>
          </w:tcPr>
          <w:p w14:paraId="4E217C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2471" w:type="dxa"/>
            <w:tcBorders>
              <w:top w:val="single" w:sz="12" w:space="0" w:color="auto"/>
            </w:tcBorders>
          </w:tcPr>
          <w:p w14:paraId="75B3CC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w:t>
            </w:r>
          </w:p>
        </w:tc>
        <w:tc>
          <w:tcPr>
            <w:tcW w:w="2471" w:type="dxa"/>
            <w:tcBorders>
              <w:top w:val="single" w:sz="12" w:space="0" w:color="auto"/>
            </w:tcBorders>
          </w:tcPr>
          <w:p w14:paraId="0DC926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w:t>
            </w:r>
          </w:p>
        </w:tc>
      </w:tr>
      <w:tr w:rsidR="00983732" w:rsidRPr="00A3026E" w14:paraId="37C3ABAF" w14:textId="77777777" w:rsidTr="00EA0DA7">
        <w:tc>
          <w:tcPr>
            <w:tcW w:w="3794" w:type="dxa"/>
          </w:tcPr>
          <w:p w14:paraId="5B1881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w:t>
            </w:r>
          </w:p>
        </w:tc>
        <w:tc>
          <w:tcPr>
            <w:tcW w:w="2471" w:type="dxa"/>
          </w:tcPr>
          <w:p w14:paraId="5625805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71" w:type="dxa"/>
          </w:tcPr>
          <w:p w14:paraId="77B9CF9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71" w:type="dxa"/>
          </w:tcPr>
          <w:p w14:paraId="2E5CC37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E977EC7" w14:textId="77777777" w:rsidTr="00EA0DA7">
        <w:tc>
          <w:tcPr>
            <w:tcW w:w="3794" w:type="dxa"/>
          </w:tcPr>
          <w:p w14:paraId="689E31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номинале без щитков</w:t>
            </w:r>
          </w:p>
        </w:tc>
        <w:tc>
          <w:tcPr>
            <w:tcW w:w="2471" w:type="dxa"/>
          </w:tcPr>
          <w:p w14:paraId="17D5C0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171</w:t>
            </w:r>
          </w:p>
        </w:tc>
        <w:tc>
          <w:tcPr>
            <w:tcW w:w="2471" w:type="dxa"/>
          </w:tcPr>
          <w:p w14:paraId="7E382F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w:t>
            </w:r>
          </w:p>
        </w:tc>
        <w:tc>
          <w:tcPr>
            <w:tcW w:w="2471" w:type="dxa"/>
          </w:tcPr>
          <w:p w14:paraId="4C8C54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73DF2A35" w14:textId="77777777" w:rsidTr="00EA0DA7">
        <w:tc>
          <w:tcPr>
            <w:tcW w:w="3794" w:type="dxa"/>
          </w:tcPr>
          <w:p w14:paraId="54E76D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номинале со щитками 15 гр</w:t>
            </w:r>
          </w:p>
        </w:tc>
        <w:tc>
          <w:tcPr>
            <w:tcW w:w="2471" w:type="dxa"/>
          </w:tcPr>
          <w:p w14:paraId="4D5D3C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162</w:t>
            </w:r>
          </w:p>
        </w:tc>
        <w:tc>
          <w:tcPr>
            <w:tcW w:w="2471" w:type="dxa"/>
          </w:tcPr>
          <w:p w14:paraId="0CDA34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268</w:t>
            </w:r>
          </w:p>
        </w:tc>
        <w:tc>
          <w:tcPr>
            <w:tcW w:w="2471" w:type="dxa"/>
          </w:tcPr>
          <w:p w14:paraId="2A1B49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52103D87" w14:textId="77777777" w:rsidTr="00EA0DA7">
        <w:tc>
          <w:tcPr>
            <w:tcW w:w="3794" w:type="dxa"/>
          </w:tcPr>
          <w:p w14:paraId="53631F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форсажем без щитков</w:t>
            </w:r>
          </w:p>
        </w:tc>
        <w:tc>
          <w:tcPr>
            <w:tcW w:w="2471" w:type="dxa"/>
          </w:tcPr>
          <w:p w14:paraId="1CB783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163</w:t>
            </w:r>
          </w:p>
        </w:tc>
        <w:tc>
          <w:tcPr>
            <w:tcW w:w="2471" w:type="dxa"/>
          </w:tcPr>
          <w:p w14:paraId="474C59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234</w:t>
            </w:r>
          </w:p>
        </w:tc>
        <w:tc>
          <w:tcPr>
            <w:tcW w:w="2471" w:type="dxa"/>
          </w:tcPr>
          <w:p w14:paraId="572218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w:t>
            </w:r>
          </w:p>
        </w:tc>
      </w:tr>
      <w:tr w:rsidR="00983732" w:rsidRPr="00A3026E" w14:paraId="3525C332" w14:textId="77777777" w:rsidTr="00EA0DA7">
        <w:tc>
          <w:tcPr>
            <w:tcW w:w="3794" w:type="dxa"/>
          </w:tcPr>
          <w:p w14:paraId="541550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форсажем со щитками 15 гр</w:t>
            </w:r>
          </w:p>
        </w:tc>
        <w:tc>
          <w:tcPr>
            <w:tcW w:w="2471" w:type="dxa"/>
          </w:tcPr>
          <w:p w14:paraId="50C838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71" w:type="dxa"/>
          </w:tcPr>
          <w:p w14:paraId="2C2039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c>
          <w:tcPr>
            <w:tcW w:w="2471" w:type="dxa"/>
          </w:tcPr>
          <w:p w14:paraId="6B54F4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r>
      <w:tr w:rsidR="00983732" w:rsidRPr="00A3026E" w14:paraId="106FDB34" w14:textId="77777777" w:rsidTr="00EA0DA7">
        <w:tc>
          <w:tcPr>
            <w:tcW w:w="3794" w:type="dxa"/>
          </w:tcPr>
          <w:p w14:paraId="04BE13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w:t>
            </w:r>
          </w:p>
        </w:tc>
        <w:tc>
          <w:tcPr>
            <w:tcW w:w="2471" w:type="dxa"/>
          </w:tcPr>
          <w:p w14:paraId="0B07BA1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71" w:type="dxa"/>
          </w:tcPr>
          <w:p w14:paraId="427BA17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71" w:type="dxa"/>
          </w:tcPr>
          <w:p w14:paraId="1BEDE4D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D28231D" w14:textId="77777777" w:rsidTr="00EA0DA7">
        <w:tc>
          <w:tcPr>
            <w:tcW w:w="3794" w:type="dxa"/>
          </w:tcPr>
          <w:p w14:paraId="2E3912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тормозами и щитками</w:t>
            </w:r>
          </w:p>
        </w:tc>
        <w:tc>
          <w:tcPr>
            <w:tcW w:w="2471" w:type="dxa"/>
          </w:tcPr>
          <w:p w14:paraId="5E9A37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71" w:type="dxa"/>
          </w:tcPr>
          <w:p w14:paraId="5D4177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2471" w:type="dxa"/>
          </w:tcPr>
          <w:p w14:paraId="33916D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18,6</w:t>
            </w:r>
          </w:p>
        </w:tc>
      </w:tr>
      <w:tr w:rsidR="00983732" w:rsidRPr="00A3026E" w14:paraId="2C24E382" w14:textId="77777777" w:rsidTr="00EA0DA7">
        <w:tc>
          <w:tcPr>
            <w:tcW w:w="3794" w:type="dxa"/>
          </w:tcPr>
          <w:p w14:paraId="37D7F7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тормозов со щитками</w:t>
            </w:r>
          </w:p>
        </w:tc>
        <w:tc>
          <w:tcPr>
            <w:tcW w:w="2471" w:type="dxa"/>
          </w:tcPr>
          <w:p w14:paraId="732C02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w:t>
            </w:r>
          </w:p>
        </w:tc>
        <w:tc>
          <w:tcPr>
            <w:tcW w:w="2471" w:type="dxa"/>
          </w:tcPr>
          <w:p w14:paraId="7A58D1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710</w:t>
            </w:r>
          </w:p>
        </w:tc>
        <w:tc>
          <w:tcPr>
            <w:tcW w:w="2471" w:type="dxa"/>
          </w:tcPr>
          <w:p w14:paraId="3C5F39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47,0</w:t>
            </w:r>
          </w:p>
        </w:tc>
      </w:tr>
      <w:tr w:rsidR="00983732" w:rsidRPr="00A3026E" w14:paraId="7342CFDA" w14:textId="77777777" w:rsidTr="00EA0DA7">
        <w:tc>
          <w:tcPr>
            <w:tcW w:w="3794" w:type="dxa"/>
          </w:tcPr>
          <w:p w14:paraId="1E38CB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тормозами без щитков</w:t>
            </w:r>
          </w:p>
        </w:tc>
        <w:tc>
          <w:tcPr>
            <w:tcW w:w="2471" w:type="dxa"/>
          </w:tcPr>
          <w:p w14:paraId="03D41B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71" w:type="dxa"/>
          </w:tcPr>
          <w:p w14:paraId="7B30F2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2471" w:type="dxa"/>
          </w:tcPr>
          <w:p w14:paraId="1FD96D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r>
      <w:tr w:rsidR="00983732" w:rsidRPr="00A3026E" w14:paraId="4054921C" w14:textId="77777777" w:rsidTr="00EA0DA7">
        <w:tc>
          <w:tcPr>
            <w:tcW w:w="3794" w:type="dxa"/>
            <w:tcBorders>
              <w:bottom w:val="single" w:sz="12" w:space="0" w:color="auto"/>
            </w:tcBorders>
          </w:tcPr>
          <w:p w14:paraId="652CD6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тормозов и щитков</w:t>
            </w:r>
          </w:p>
        </w:tc>
        <w:tc>
          <w:tcPr>
            <w:tcW w:w="2471" w:type="dxa"/>
            <w:tcBorders>
              <w:bottom w:val="single" w:sz="12" w:space="0" w:color="auto"/>
            </w:tcBorders>
          </w:tcPr>
          <w:p w14:paraId="043A6D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71" w:type="dxa"/>
            <w:tcBorders>
              <w:bottom w:val="single" w:sz="12" w:space="0" w:color="auto"/>
            </w:tcBorders>
          </w:tcPr>
          <w:p w14:paraId="509871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2471" w:type="dxa"/>
            <w:tcBorders>
              <w:bottom w:val="single" w:sz="12" w:space="0" w:color="auto"/>
            </w:tcBorders>
          </w:tcPr>
          <w:p w14:paraId="035072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r>
    </w:tbl>
    <w:p w14:paraId="07760A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56826D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 И-200 с АМ-35А конструкции Ми и Г производства з-да № 1 по своей скорости, равной 628 км/час, является лучшим из отечественных опытных с-тов и не уступает одноместным иностранным истребителям на высотах до 5000 м</w:t>
      </w:r>
    </w:p>
    <w:p w14:paraId="64ACA5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Недостатки:</w:t>
      </w:r>
    </w:p>
    <w:p w14:paraId="4E485F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конструкции</w:t>
      </w:r>
    </w:p>
    <w:p w14:paraId="497BCA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Козырек кабины пилота искажает обзор и забрызгивается маслом, что в сильной степени усложняет ведение в/боя и утомляет л в полете.</w:t>
      </w:r>
    </w:p>
    <w:p w14:paraId="2D0D16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Колеса размером 600х180, установленные на с-те, не соответствуют его полетному весу. Тормоза не имеют достаточного охлаждения, в результате чего происходит перегрев колес т разрушение пневматиков шин (2 случая)</w:t>
      </w:r>
    </w:p>
    <w:p w14:paraId="6A1CC3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 ВМГ</w:t>
      </w:r>
    </w:p>
    <w:p w14:paraId="6C7EAB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w:t>
      </w:r>
    </w:p>
    <w:p w14:paraId="529012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бензосистема слоджная и неудобная для с-тов истребительного типа, т.к. требует большого внимания для своевременного переключения кранов б/б и не обеспечивает равномерной выработки горючего из центропланных баков.</w:t>
      </w:r>
    </w:p>
    <w:p w14:paraId="7C2007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Заливку всех б/б осоществлять через одну общую горловину, для чкго соответственно увеличить бензопровод между баками, а также обеспечения равномерности выработки из центропланных баков.</w:t>
      </w:r>
    </w:p>
    <w:p w14:paraId="73DE47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Водорадиатор з-да № 34 с трубками 10 мм и 6 мм рпаботает неудовлетворительно (течь воды). Радиатору необходимо пройти госиспытания (300 посадок и 15 полетов на расчетной высоте).</w:t>
      </w:r>
    </w:p>
    <w:p w14:paraId="317653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Техническая дальность с-та на скорости 0,9 равна 580 км и меньше на 70 км от заданной. Таким образом, с учетом пробы мотора, руления и взлета, необходимо иметь резерв в 10% с-т может практически летать на радиус 200-240 км, что явно недостаточно.</w:t>
      </w:r>
    </w:p>
    <w:p w14:paraId="23696F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Винт ВИШ-22Е с диапазоном углов поворота 20 гр совершенно не соответствует мотору АМ-53А на с-те И-200, т.к. граница высотности мотора в полете 7200 м, винт раскручивается до 2150-2200 вместо номинальных 2050 оборотов.</w:t>
      </w:r>
    </w:p>
    <w:p w14:paraId="1ED821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пикировании при скорости638 км/час обороты достигают 2400-2500</w:t>
      </w:r>
    </w:p>
    <w:p w14:paraId="6489D1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Редукция мотора не является наивыгоднейшей (с-т по расчету не добирает 14 км/час).</w:t>
      </w:r>
    </w:p>
    <w:p w14:paraId="1647C4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Выхлопные патрубки даже частично не утоплены, на чем теряется скорость.</w:t>
      </w:r>
    </w:p>
    <w:p w14:paraId="5A5D38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После 9 полетов на с-те И-200 № 2 на моторе АВ-35А № 172 произошла авария нагнетателя (разрушился подтяг валика крыльчатки). Этот эффект имел место неоднократно и при сдаточных испытаниях мотора на станке на заводе № 24</w:t>
      </w:r>
    </w:p>
    <w:p w14:paraId="454163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провести специальные 50-часовые летные испытания.</w:t>
      </w:r>
    </w:p>
    <w:p w14:paraId="78878C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Мотора на Рк 500-550 в полете на скорости 290-320 км/час имеет малую приемистость и переходы ненадежно и трясут</w:t>
      </w:r>
    </w:p>
    <w:p w14:paraId="032980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Наличие на моторе АМ-35А двух секторов газа - нормального и форсажного - весьма неудобно при взлете с форсажем (в момент взлета необходимо переключаться с ручки номинальной на форсажную и обратно).</w:t>
      </w:r>
    </w:p>
    <w:p w14:paraId="6A3C53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Сьрелковое вооружение работало ненадежно, в эксплуатации не удобно. Синхронизаторы являются опытными. Необходимо провести дополнительные испытания на живучесть.</w:t>
      </w:r>
    </w:p>
    <w:p w14:paraId="276715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стрелкового вооружения недостаточна.</w:t>
      </w:r>
    </w:p>
    <w:p w14:paraId="38A8D5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Спецоборудование соответствует ТТТ</w:t>
      </w:r>
    </w:p>
    <w:p w14:paraId="402022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эксплуатационной оценке с-та</w:t>
      </w:r>
    </w:p>
    <w:p w14:paraId="2BD18A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Съем и установка мотора требуют 130 чел/час, т.е. почти в 2 раза больше, чем на И-21 и Хе-100.</w:t>
      </w:r>
    </w:p>
    <w:p w14:paraId="20C464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Подходы к агрегатам мотора неудобны</w:t>
      </w:r>
    </w:p>
    <w:p w14:paraId="295170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обеспечить влезание л в кабину без металлической лестницы и т.д.</w:t>
      </w:r>
    </w:p>
    <w:p w14:paraId="34484B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47ADF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Самолет И-200 АМ-35А конструкции А.И.М. и Гуревича производства завода 1, как удовлетворяющий по своим ЛД ТТТ и испытанный на пилотаж и штопор до 2-х витков, гос. испытания выдержал.</w:t>
      </w:r>
    </w:p>
    <w:p w14:paraId="08E53B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Учитывая острую необходимость снабжения частей ВВС истребителями с ЛД И-200, считать необходимым скорейшее проведение войсковых испытаний в том виде, как они проходили гос. испытания, но с обязательным устранением дефектов, выявленных на гос. испытаниях и перечисленных в отчете</w:t>
      </w:r>
    </w:p>
    <w:p w14:paraId="5D2F77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Для обеспечения И-200 надежно работающими моторами необходимо провести специальные 50 час. испытания мотора АМ-35А в полете на И-200.</w:t>
      </w:r>
    </w:p>
    <w:p w14:paraId="011B60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заводу 1 надлежит провести полное исследование штопора И-200 и испытать на пикирование с новым винтом</w:t>
      </w:r>
    </w:p>
    <w:p w14:paraId="1244B5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Для того, чтобы сделать И-200 как массовый самолет, вполне доступным для л ниже средней квалификации и повысить его живучесть, боеготовность и ЛТД, конструкторам надлежит немедленно приступить к изготовлению И-200, на котором:</w:t>
      </w:r>
    </w:p>
    <w:p w14:paraId="70EC0B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повысить продольную устойчивость и вместе с тем обязательно обеспечить его управления, сделав приятным в управлении</w:t>
      </w:r>
    </w:p>
    <w:p w14:paraId="2A8188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увеличить поперечную устойчивость</w:t>
      </w:r>
    </w:p>
    <w:p w14:paraId="465C71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запроектировать центропланные бензобаки</w:t>
      </w:r>
    </w:p>
    <w:p w14:paraId="63747D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установить предкрылки, новые колеса размером согласно приказа НКАП, удовлетворяющим весу и пневматик на хвостовом колесе</w:t>
      </w:r>
    </w:p>
    <w:p w14:paraId="06F6FD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обеспечить быструю замену мотора, легкосъемность капота, удобство замены элеронов и выхлопных патрубков</w:t>
      </w:r>
    </w:p>
    <w:p w14:paraId="4C75BE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установить дополнительно 2 легкосъемных пулемета Березина</w:t>
      </w:r>
    </w:p>
    <w:p w14:paraId="5C1776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увеличить запас горючего, доведя дальность в нормальном варианте до не менее, чем 560 км на 0.9 макс. (2925).</w:t>
      </w:r>
    </w:p>
    <w:p w14:paraId="0B1D6B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 Нач. НИИ ВВС Филин</w:t>
      </w:r>
    </w:p>
    <w:p w14:paraId="02B693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Центровочные данные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559"/>
        <w:gridCol w:w="1418"/>
      </w:tblGrid>
      <w:tr w:rsidR="00983732" w:rsidRPr="00A3026E" w14:paraId="722D3DEE" w14:textId="77777777" w:rsidTr="00EA0DA7">
        <w:tc>
          <w:tcPr>
            <w:tcW w:w="3227" w:type="dxa"/>
            <w:tcBorders>
              <w:top w:val="single" w:sz="12" w:space="0" w:color="auto"/>
            </w:tcBorders>
          </w:tcPr>
          <w:p w14:paraId="313F75F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559" w:type="dxa"/>
            <w:tcBorders>
              <w:top w:val="single" w:sz="12" w:space="0" w:color="auto"/>
            </w:tcBorders>
          </w:tcPr>
          <w:p w14:paraId="6A9DDD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ЦТ шасси убраны</w:t>
            </w:r>
          </w:p>
        </w:tc>
        <w:tc>
          <w:tcPr>
            <w:tcW w:w="1418" w:type="dxa"/>
            <w:tcBorders>
              <w:top w:val="single" w:sz="12" w:space="0" w:color="auto"/>
            </w:tcBorders>
          </w:tcPr>
          <w:p w14:paraId="455893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ЦТ шасси выпущены</w:t>
            </w:r>
          </w:p>
        </w:tc>
      </w:tr>
      <w:tr w:rsidR="00983732" w:rsidRPr="00A3026E" w14:paraId="02969141" w14:textId="77777777" w:rsidTr="00EA0DA7">
        <w:tc>
          <w:tcPr>
            <w:tcW w:w="3227" w:type="dxa"/>
          </w:tcPr>
          <w:p w14:paraId="4CADB9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(с пулеметами, бронспинкой, водой в радиаторе) - 2574 кг</w:t>
            </w:r>
          </w:p>
        </w:tc>
        <w:tc>
          <w:tcPr>
            <w:tcW w:w="1559" w:type="dxa"/>
          </w:tcPr>
          <w:p w14:paraId="3FB59F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21,03</w:t>
            </w:r>
          </w:p>
        </w:tc>
        <w:tc>
          <w:tcPr>
            <w:tcW w:w="1418" w:type="dxa"/>
          </w:tcPr>
          <w:p w14:paraId="35B52D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20,63</w:t>
            </w:r>
          </w:p>
        </w:tc>
      </w:tr>
      <w:tr w:rsidR="00983732" w:rsidRPr="00A3026E" w14:paraId="4CBC2790" w14:textId="77777777" w:rsidTr="00EA0DA7">
        <w:tc>
          <w:tcPr>
            <w:tcW w:w="3227" w:type="dxa"/>
          </w:tcPr>
          <w:p w14:paraId="654F0E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Нормальный полетный - 3099 кг</w:t>
            </w:r>
          </w:p>
        </w:tc>
        <w:tc>
          <w:tcPr>
            <w:tcW w:w="1559" w:type="dxa"/>
          </w:tcPr>
          <w:p w14:paraId="24E3A5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26,3</w:t>
            </w:r>
          </w:p>
        </w:tc>
        <w:tc>
          <w:tcPr>
            <w:tcW w:w="1418" w:type="dxa"/>
          </w:tcPr>
          <w:p w14:paraId="4C49F8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25,99</w:t>
            </w:r>
          </w:p>
        </w:tc>
      </w:tr>
      <w:tr w:rsidR="00983732" w:rsidRPr="00A3026E" w14:paraId="42ED73CC" w14:textId="77777777" w:rsidTr="00EA0DA7">
        <w:tc>
          <w:tcPr>
            <w:tcW w:w="3227" w:type="dxa"/>
          </w:tcPr>
          <w:p w14:paraId="69469A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Перегрузочный (220 бомб, ухваты и замки) - 3327 кг</w:t>
            </w:r>
          </w:p>
        </w:tc>
        <w:tc>
          <w:tcPr>
            <w:tcW w:w="1559" w:type="dxa"/>
          </w:tcPr>
          <w:p w14:paraId="5490BD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25,6</w:t>
            </w:r>
          </w:p>
        </w:tc>
        <w:tc>
          <w:tcPr>
            <w:tcW w:w="1418" w:type="dxa"/>
          </w:tcPr>
          <w:p w14:paraId="4FBA8E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25,2</w:t>
            </w:r>
          </w:p>
        </w:tc>
      </w:tr>
      <w:tr w:rsidR="00983732" w:rsidRPr="00A3026E" w14:paraId="1D39E1AF" w14:textId="77777777" w:rsidTr="00EA0DA7">
        <w:tc>
          <w:tcPr>
            <w:tcW w:w="3227" w:type="dxa"/>
            <w:tcBorders>
              <w:bottom w:val="single" w:sz="12" w:space="0" w:color="auto"/>
            </w:tcBorders>
          </w:tcPr>
          <w:p w14:paraId="2A8020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Нормалььный полетный с металлическим крылом - 3133</w:t>
            </w:r>
          </w:p>
        </w:tc>
        <w:tc>
          <w:tcPr>
            <w:tcW w:w="1559" w:type="dxa"/>
            <w:tcBorders>
              <w:bottom w:val="single" w:sz="12" w:space="0" w:color="auto"/>
            </w:tcBorders>
          </w:tcPr>
          <w:p w14:paraId="107D84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26,2</w:t>
            </w:r>
          </w:p>
        </w:tc>
        <w:tc>
          <w:tcPr>
            <w:tcW w:w="1418" w:type="dxa"/>
            <w:tcBorders>
              <w:bottom w:val="single" w:sz="12" w:space="0" w:color="auto"/>
            </w:tcBorders>
          </w:tcPr>
          <w:p w14:paraId="3A63AE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25,8</w:t>
            </w:r>
          </w:p>
        </w:tc>
      </w:tr>
    </w:tbl>
    <w:p w14:paraId="5093C3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гор. скорость (с-т И-200 № 6102 с АМ-35А).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993"/>
        <w:gridCol w:w="992"/>
      </w:tblGrid>
      <w:tr w:rsidR="00983732" w:rsidRPr="00A3026E" w14:paraId="200B67C6" w14:textId="77777777" w:rsidTr="00EA0DA7">
        <w:tc>
          <w:tcPr>
            <w:tcW w:w="1809" w:type="dxa"/>
            <w:tcBorders>
              <w:top w:val="single" w:sz="12" w:space="0" w:color="auto"/>
            </w:tcBorders>
          </w:tcPr>
          <w:p w14:paraId="4FC0DA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w:t>
            </w:r>
          </w:p>
        </w:tc>
        <w:tc>
          <w:tcPr>
            <w:tcW w:w="993" w:type="dxa"/>
            <w:tcBorders>
              <w:top w:val="single" w:sz="12" w:space="0" w:color="auto"/>
            </w:tcBorders>
          </w:tcPr>
          <w:p w14:paraId="34884C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992" w:type="dxa"/>
            <w:tcBorders>
              <w:top w:val="single" w:sz="12" w:space="0" w:color="auto"/>
            </w:tcBorders>
          </w:tcPr>
          <w:p w14:paraId="6BFB3A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Рк</w:t>
            </w:r>
          </w:p>
        </w:tc>
      </w:tr>
      <w:tr w:rsidR="00983732" w:rsidRPr="00A3026E" w14:paraId="429BF1CE" w14:textId="77777777" w:rsidTr="00EA0DA7">
        <w:tc>
          <w:tcPr>
            <w:tcW w:w="1809" w:type="dxa"/>
          </w:tcPr>
          <w:p w14:paraId="7098CB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c>
          <w:tcPr>
            <w:tcW w:w="993" w:type="dxa"/>
          </w:tcPr>
          <w:p w14:paraId="30BC47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c>
          <w:tcPr>
            <w:tcW w:w="992" w:type="dxa"/>
          </w:tcPr>
          <w:p w14:paraId="421F37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2E7780D4" w14:textId="77777777" w:rsidTr="00EA0DA7">
        <w:tc>
          <w:tcPr>
            <w:tcW w:w="1809" w:type="dxa"/>
          </w:tcPr>
          <w:p w14:paraId="739851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93" w:type="dxa"/>
          </w:tcPr>
          <w:p w14:paraId="35877A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506</w:t>
            </w:r>
          </w:p>
        </w:tc>
        <w:tc>
          <w:tcPr>
            <w:tcW w:w="992" w:type="dxa"/>
          </w:tcPr>
          <w:p w14:paraId="2975FC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5E59B523" w14:textId="77777777" w:rsidTr="00EA0DA7">
        <w:tc>
          <w:tcPr>
            <w:tcW w:w="1809" w:type="dxa"/>
          </w:tcPr>
          <w:p w14:paraId="399615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993" w:type="dxa"/>
          </w:tcPr>
          <w:p w14:paraId="4DCBD9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526</w:t>
            </w:r>
          </w:p>
        </w:tc>
        <w:tc>
          <w:tcPr>
            <w:tcW w:w="992" w:type="dxa"/>
          </w:tcPr>
          <w:p w14:paraId="2050FF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21CDE1D4" w14:textId="77777777" w:rsidTr="00EA0DA7">
        <w:tc>
          <w:tcPr>
            <w:tcW w:w="1809" w:type="dxa"/>
          </w:tcPr>
          <w:p w14:paraId="3286F9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993" w:type="dxa"/>
          </w:tcPr>
          <w:p w14:paraId="7F1D77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546</w:t>
            </w:r>
          </w:p>
        </w:tc>
        <w:tc>
          <w:tcPr>
            <w:tcW w:w="992" w:type="dxa"/>
          </w:tcPr>
          <w:p w14:paraId="287168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0FDC508A" w14:textId="77777777" w:rsidTr="00EA0DA7">
        <w:tc>
          <w:tcPr>
            <w:tcW w:w="1809" w:type="dxa"/>
          </w:tcPr>
          <w:p w14:paraId="725D50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993" w:type="dxa"/>
          </w:tcPr>
          <w:p w14:paraId="00ED65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566,5</w:t>
            </w:r>
          </w:p>
        </w:tc>
        <w:tc>
          <w:tcPr>
            <w:tcW w:w="992" w:type="dxa"/>
          </w:tcPr>
          <w:p w14:paraId="2E5BB9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5DF9FFE5" w14:textId="77777777" w:rsidTr="00EA0DA7">
        <w:tc>
          <w:tcPr>
            <w:tcW w:w="1809" w:type="dxa"/>
          </w:tcPr>
          <w:p w14:paraId="120A84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w:t>
            </w:r>
          </w:p>
        </w:tc>
        <w:tc>
          <w:tcPr>
            <w:tcW w:w="993" w:type="dxa"/>
          </w:tcPr>
          <w:p w14:paraId="38996E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586</w:t>
            </w:r>
          </w:p>
        </w:tc>
        <w:tc>
          <w:tcPr>
            <w:tcW w:w="992" w:type="dxa"/>
          </w:tcPr>
          <w:p w14:paraId="711F6F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1B6F7E97" w14:textId="77777777" w:rsidTr="00EA0DA7">
        <w:tc>
          <w:tcPr>
            <w:tcW w:w="1809" w:type="dxa"/>
          </w:tcPr>
          <w:p w14:paraId="5ADAE4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993" w:type="dxa"/>
          </w:tcPr>
          <w:p w14:paraId="1A7D33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606</w:t>
            </w:r>
          </w:p>
        </w:tc>
        <w:tc>
          <w:tcPr>
            <w:tcW w:w="992" w:type="dxa"/>
          </w:tcPr>
          <w:p w14:paraId="503850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15D630FF" w14:textId="77777777" w:rsidTr="00EA0DA7">
        <w:tc>
          <w:tcPr>
            <w:tcW w:w="1809" w:type="dxa"/>
          </w:tcPr>
          <w:p w14:paraId="1F581D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7000</w:t>
            </w:r>
          </w:p>
        </w:tc>
        <w:tc>
          <w:tcPr>
            <w:tcW w:w="993" w:type="dxa"/>
          </w:tcPr>
          <w:p w14:paraId="1280FA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626,5</w:t>
            </w:r>
          </w:p>
        </w:tc>
        <w:tc>
          <w:tcPr>
            <w:tcW w:w="992" w:type="dxa"/>
          </w:tcPr>
          <w:p w14:paraId="7910D5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76BAFDAF" w14:textId="77777777" w:rsidTr="00EA0DA7">
        <w:tc>
          <w:tcPr>
            <w:tcW w:w="1809" w:type="dxa"/>
          </w:tcPr>
          <w:p w14:paraId="552262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7200</w:t>
            </w:r>
          </w:p>
        </w:tc>
        <w:tc>
          <w:tcPr>
            <w:tcW w:w="993" w:type="dxa"/>
          </w:tcPr>
          <w:p w14:paraId="23354D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w:t>
            </w:r>
          </w:p>
        </w:tc>
        <w:tc>
          <w:tcPr>
            <w:tcW w:w="992" w:type="dxa"/>
          </w:tcPr>
          <w:p w14:paraId="4EDFB1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147429A1" w14:textId="77777777" w:rsidTr="00EA0DA7">
        <w:tc>
          <w:tcPr>
            <w:tcW w:w="1809" w:type="dxa"/>
          </w:tcPr>
          <w:p w14:paraId="7EA322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c>
          <w:tcPr>
            <w:tcW w:w="993" w:type="dxa"/>
          </w:tcPr>
          <w:p w14:paraId="5362FF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614</w:t>
            </w:r>
          </w:p>
        </w:tc>
        <w:tc>
          <w:tcPr>
            <w:tcW w:w="992" w:type="dxa"/>
          </w:tcPr>
          <w:p w14:paraId="17E056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918</w:t>
            </w:r>
          </w:p>
        </w:tc>
      </w:tr>
      <w:tr w:rsidR="00983732" w:rsidRPr="00A3026E" w14:paraId="428B0C68" w14:textId="77777777" w:rsidTr="00EA0DA7">
        <w:tc>
          <w:tcPr>
            <w:tcW w:w="1809" w:type="dxa"/>
            <w:tcBorders>
              <w:bottom w:val="single" w:sz="12" w:space="0" w:color="auto"/>
            </w:tcBorders>
          </w:tcPr>
          <w:p w14:paraId="476DC3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c>
          <w:tcPr>
            <w:tcW w:w="993" w:type="dxa"/>
            <w:tcBorders>
              <w:bottom w:val="single" w:sz="12" w:space="0" w:color="auto"/>
            </w:tcBorders>
          </w:tcPr>
          <w:p w14:paraId="58EA5B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594,5</w:t>
            </w:r>
          </w:p>
        </w:tc>
        <w:tc>
          <w:tcPr>
            <w:tcW w:w="992" w:type="dxa"/>
            <w:tcBorders>
              <w:bottom w:val="single" w:sz="12" w:space="0" w:color="auto"/>
            </w:tcBorders>
          </w:tcPr>
          <w:p w14:paraId="31C736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790</w:t>
            </w:r>
          </w:p>
        </w:tc>
      </w:tr>
    </w:tbl>
    <w:p w14:paraId="6B67CA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 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134"/>
        <w:gridCol w:w="1276"/>
        <w:gridCol w:w="1134"/>
        <w:gridCol w:w="1134"/>
      </w:tblGrid>
      <w:tr w:rsidR="00983732" w:rsidRPr="00A3026E" w14:paraId="548C97FE" w14:textId="77777777" w:rsidTr="00EA0DA7">
        <w:tc>
          <w:tcPr>
            <w:tcW w:w="1526" w:type="dxa"/>
            <w:tcBorders>
              <w:top w:val="single" w:sz="12" w:space="0" w:color="auto"/>
            </w:tcBorders>
          </w:tcPr>
          <w:p w14:paraId="07C7A6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w:t>
            </w:r>
          </w:p>
        </w:tc>
        <w:tc>
          <w:tcPr>
            <w:tcW w:w="1134" w:type="dxa"/>
            <w:tcBorders>
              <w:top w:val="single" w:sz="12" w:space="0" w:color="auto"/>
            </w:tcBorders>
          </w:tcPr>
          <w:p w14:paraId="11555D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Гор.скорость</w:t>
            </w:r>
          </w:p>
        </w:tc>
        <w:tc>
          <w:tcPr>
            <w:tcW w:w="1276" w:type="dxa"/>
            <w:tcBorders>
              <w:top w:val="single" w:sz="12" w:space="0" w:color="auto"/>
            </w:tcBorders>
          </w:tcPr>
          <w:p w14:paraId="12F7CA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w:t>
            </w:r>
          </w:p>
        </w:tc>
        <w:tc>
          <w:tcPr>
            <w:tcW w:w="1134" w:type="dxa"/>
            <w:tcBorders>
              <w:top w:val="single" w:sz="12" w:space="0" w:color="auto"/>
            </w:tcBorders>
          </w:tcPr>
          <w:p w14:paraId="470F5F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Гор.скорость</w:t>
            </w:r>
          </w:p>
        </w:tc>
        <w:tc>
          <w:tcPr>
            <w:tcW w:w="1134" w:type="dxa"/>
            <w:tcBorders>
              <w:top w:val="single" w:sz="12" w:space="0" w:color="auto"/>
            </w:tcBorders>
          </w:tcPr>
          <w:p w14:paraId="33DD86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Рк</w:t>
            </w:r>
          </w:p>
        </w:tc>
      </w:tr>
      <w:tr w:rsidR="00983732" w:rsidRPr="00A3026E" w14:paraId="2CB733F6" w14:textId="77777777" w:rsidTr="00EA0DA7">
        <w:tc>
          <w:tcPr>
            <w:tcW w:w="1526" w:type="dxa"/>
          </w:tcPr>
          <w:p w14:paraId="30AFC9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c>
          <w:tcPr>
            <w:tcW w:w="1134" w:type="dxa"/>
          </w:tcPr>
          <w:p w14:paraId="62DED3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276" w:type="dxa"/>
          </w:tcPr>
          <w:p w14:paraId="1953C8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c>
          <w:tcPr>
            <w:tcW w:w="1134" w:type="dxa"/>
          </w:tcPr>
          <w:p w14:paraId="3E4979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23D7E6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0EE26A89" w14:textId="77777777" w:rsidTr="00EA0DA7">
        <w:tc>
          <w:tcPr>
            <w:tcW w:w="1526" w:type="dxa"/>
          </w:tcPr>
          <w:p w14:paraId="0B5121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134" w:type="dxa"/>
          </w:tcPr>
          <w:p w14:paraId="428AD9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1276" w:type="dxa"/>
          </w:tcPr>
          <w:p w14:paraId="63D7C0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c>
          <w:tcPr>
            <w:tcW w:w="1134" w:type="dxa"/>
          </w:tcPr>
          <w:p w14:paraId="67111D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16B092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78C74CEA" w14:textId="77777777" w:rsidTr="00EA0DA7">
        <w:tc>
          <w:tcPr>
            <w:tcW w:w="1526" w:type="dxa"/>
          </w:tcPr>
          <w:p w14:paraId="1F1DB0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134" w:type="dxa"/>
          </w:tcPr>
          <w:p w14:paraId="5117A0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15,55</w:t>
            </w:r>
          </w:p>
        </w:tc>
        <w:tc>
          <w:tcPr>
            <w:tcW w:w="1276" w:type="dxa"/>
          </w:tcPr>
          <w:p w14:paraId="128466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1134" w:type="dxa"/>
          </w:tcPr>
          <w:p w14:paraId="7C5874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687558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30697028" w14:textId="77777777" w:rsidTr="00EA0DA7">
        <w:tc>
          <w:tcPr>
            <w:tcW w:w="1526" w:type="dxa"/>
          </w:tcPr>
          <w:p w14:paraId="10DE99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1134" w:type="dxa"/>
          </w:tcPr>
          <w:p w14:paraId="46B984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15,9</w:t>
            </w:r>
          </w:p>
        </w:tc>
        <w:tc>
          <w:tcPr>
            <w:tcW w:w="1276" w:type="dxa"/>
          </w:tcPr>
          <w:p w14:paraId="561134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3,24</w:t>
            </w:r>
          </w:p>
        </w:tc>
        <w:tc>
          <w:tcPr>
            <w:tcW w:w="1134" w:type="dxa"/>
          </w:tcPr>
          <w:p w14:paraId="6D19DC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142D7E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1FC1E83C" w14:textId="77777777" w:rsidTr="00EA0DA7">
        <w:tc>
          <w:tcPr>
            <w:tcW w:w="1526" w:type="dxa"/>
          </w:tcPr>
          <w:p w14:paraId="580070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134" w:type="dxa"/>
          </w:tcPr>
          <w:p w14:paraId="23D640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16,9</w:t>
            </w:r>
          </w:p>
        </w:tc>
        <w:tc>
          <w:tcPr>
            <w:tcW w:w="1276" w:type="dxa"/>
          </w:tcPr>
          <w:p w14:paraId="6D6A53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4,28</w:t>
            </w:r>
          </w:p>
        </w:tc>
        <w:tc>
          <w:tcPr>
            <w:tcW w:w="1134" w:type="dxa"/>
          </w:tcPr>
          <w:p w14:paraId="23254B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68D072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4AFBD6E4" w14:textId="77777777" w:rsidTr="00EA0DA7">
        <w:tc>
          <w:tcPr>
            <w:tcW w:w="1526" w:type="dxa"/>
          </w:tcPr>
          <w:p w14:paraId="6CF701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w:t>
            </w:r>
          </w:p>
        </w:tc>
        <w:tc>
          <w:tcPr>
            <w:tcW w:w="1134" w:type="dxa"/>
          </w:tcPr>
          <w:p w14:paraId="5AF676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w:t>
            </w:r>
          </w:p>
        </w:tc>
        <w:tc>
          <w:tcPr>
            <w:tcW w:w="1276" w:type="dxa"/>
          </w:tcPr>
          <w:p w14:paraId="3C28CB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w:t>
            </w:r>
          </w:p>
        </w:tc>
        <w:tc>
          <w:tcPr>
            <w:tcW w:w="1134" w:type="dxa"/>
          </w:tcPr>
          <w:p w14:paraId="0409FF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0E9A27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3CC941FD" w14:textId="77777777" w:rsidTr="00EA0DA7">
        <w:tc>
          <w:tcPr>
            <w:tcW w:w="1526" w:type="dxa"/>
          </w:tcPr>
          <w:p w14:paraId="3A6FD0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134" w:type="dxa"/>
          </w:tcPr>
          <w:p w14:paraId="6E9CD3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16,8</w:t>
            </w:r>
          </w:p>
        </w:tc>
        <w:tc>
          <w:tcPr>
            <w:tcW w:w="1276" w:type="dxa"/>
          </w:tcPr>
          <w:p w14:paraId="117DC0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w:t>
            </w:r>
          </w:p>
        </w:tc>
        <w:tc>
          <w:tcPr>
            <w:tcW w:w="1134" w:type="dxa"/>
          </w:tcPr>
          <w:p w14:paraId="203C46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4362B5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156D4F3E" w14:textId="77777777" w:rsidTr="00EA0DA7">
        <w:tc>
          <w:tcPr>
            <w:tcW w:w="1526" w:type="dxa"/>
          </w:tcPr>
          <w:p w14:paraId="0FF567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6300</w:t>
            </w:r>
          </w:p>
        </w:tc>
        <w:tc>
          <w:tcPr>
            <w:tcW w:w="1134" w:type="dxa"/>
          </w:tcPr>
          <w:p w14:paraId="54930B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16,9</w:t>
            </w:r>
          </w:p>
        </w:tc>
        <w:tc>
          <w:tcPr>
            <w:tcW w:w="1276" w:type="dxa"/>
          </w:tcPr>
          <w:p w14:paraId="2832E7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w:t>
            </w:r>
          </w:p>
        </w:tc>
        <w:tc>
          <w:tcPr>
            <w:tcW w:w="1134" w:type="dxa"/>
          </w:tcPr>
          <w:p w14:paraId="43EEA1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w:t>
            </w:r>
          </w:p>
        </w:tc>
        <w:tc>
          <w:tcPr>
            <w:tcW w:w="1134" w:type="dxa"/>
          </w:tcPr>
          <w:p w14:paraId="34C21A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w:t>
            </w:r>
          </w:p>
        </w:tc>
      </w:tr>
      <w:tr w:rsidR="00983732" w:rsidRPr="00A3026E" w14:paraId="7656B6F8" w14:textId="77777777" w:rsidTr="00EA0DA7">
        <w:tc>
          <w:tcPr>
            <w:tcW w:w="1526" w:type="dxa"/>
          </w:tcPr>
          <w:p w14:paraId="1D85C9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7000</w:t>
            </w:r>
          </w:p>
        </w:tc>
        <w:tc>
          <w:tcPr>
            <w:tcW w:w="1134" w:type="dxa"/>
          </w:tcPr>
          <w:p w14:paraId="307ED5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14,85</w:t>
            </w:r>
          </w:p>
        </w:tc>
        <w:tc>
          <w:tcPr>
            <w:tcW w:w="1276" w:type="dxa"/>
          </w:tcPr>
          <w:p w14:paraId="0CC44C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7,32</w:t>
            </w:r>
          </w:p>
        </w:tc>
        <w:tc>
          <w:tcPr>
            <w:tcW w:w="1134" w:type="dxa"/>
          </w:tcPr>
          <w:p w14:paraId="61C241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247</w:t>
            </w:r>
          </w:p>
        </w:tc>
        <w:tc>
          <w:tcPr>
            <w:tcW w:w="1134" w:type="dxa"/>
          </w:tcPr>
          <w:p w14:paraId="745EDD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w:t>
            </w:r>
          </w:p>
        </w:tc>
      </w:tr>
      <w:tr w:rsidR="00983732" w:rsidRPr="00A3026E" w14:paraId="2B0709AC" w14:textId="77777777" w:rsidTr="00EA0DA7">
        <w:tc>
          <w:tcPr>
            <w:tcW w:w="1526" w:type="dxa"/>
          </w:tcPr>
          <w:p w14:paraId="77B642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c>
          <w:tcPr>
            <w:tcW w:w="1134" w:type="dxa"/>
          </w:tcPr>
          <w:p w14:paraId="263166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1276" w:type="dxa"/>
          </w:tcPr>
          <w:p w14:paraId="503C84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8,57</w:t>
            </w:r>
          </w:p>
        </w:tc>
        <w:tc>
          <w:tcPr>
            <w:tcW w:w="1134" w:type="dxa"/>
          </w:tcPr>
          <w:p w14:paraId="3CAEC0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239</w:t>
            </w:r>
          </w:p>
        </w:tc>
        <w:tc>
          <w:tcPr>
            <w:tcW w:w="1134" w:type="dxa"/>
          </w:tcPr>
          <w:p w14:paraId="171210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tc>
      </w:tr>
      <w:tr w:rsidR="00983732" w:rsidRPr="00A3026E" w14:paraId="2942710D" w14:textId="77777777" w:rsidTr="00EA0DA7">
        <w:tc>
          <w:tcPr>
            <w:tcW w:w="1526" w:type="dxa"/>
          </w:tcPr>
          <w:p w14:paraId="480AE6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c>
          <w:tcPr>
            <w:tcW w:w="1134" w:type="dxa"/>
          </w:tcPr>
          <w:p w14:paraId="6545F0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w:t>
            </w:r>
          </w:p>
        </w:tc>
        <w:tc>
          <w:tcPr>
            <w:tcW w:w="1276" w:type="dxa"/>
          </w:tcPr>
          <w:p w14:paraId="471E27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10,15</w:t>
            </w:r>
          </w:p>
        </w:tc>
        <w:tc>
          <w:tcPr>
            <w:tcW w:w="1134" w:type="dxa"/>
          </w:tcPr>
          <w:p w14:paraId="6AEBD2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1134" w:type="dxa"/>
          </w:tcPr>
          <w:p w14:paraId="73EEBF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w:t>
            </w:r>
          </w:p>
        </w:tc>
      </w:tr>
      <w:tr w:rsidR="00983732" w:rsidRPr="00A3026E" w14:paraId="1AD6EF3C" w14:textId="77777777" w:rsidTr="00EA0DA7">
        <w:tc>
          <w:tcPr>
            <w:tcW w:w="1526" w:type="dxa"/>
          </w:tcPr>
          <w:p w14:paraId="74F7C0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c>
          <w:tcPr>
            <w:tcW w:w="1134" w:type="dxa"/>
          </w:tcPr>
          <w:p w14:paraId="5F9C66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3,35</w:t>
            </w:r>
          </w:p>
        </w:tc>
        <w:tc>
          <w:tcPr>
            <w:tcW w:w="1276" w:type="dxa"/>
          </w:tcPr>
          <w:p w14:paraId="0E12B3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15,88</w:t>
            </w:r>
          </w:p>
        </w:tc>
        <w:tc>
          <w:tcPr>
            <w:tcW w:w="1134" w:type="dxa"/>
          </w:tcPr>
          <w:p w14:paraId="7E8977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222</w:t>
            </w:r>
          </w:p>
        </w:tc>
        <w:tc>
          <w:tcPr>
            <w:tcW w:w="1134" w:type="dxa"/>
          </w:tcPr>
          <w:p w14:paraId="7AA805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w:t>
            </w:r>
          </w:p>
        </w:tc>
      </w:tr>
      <w:tr w:rsidR="00983732" w:rsidRPr="00A3026E" w14:paraId="1D5DD693" w14:textId="77777777" w:rsidTr="00EA0DA7">
        <w:tc>
          <w:tcPr>
            <w:tcW w:w="1526" w:type="dxa"/>
            <w:tcBorders>
              <w:bottom w:val="single" w:sz="12" w:space="0" w:color="auto"/>
            </w:tcBorders>
          </w:tcPr>
          <w:p w14:paraId="42A4A2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c>
          <w:tcPr>
            <w:tcW w:w="1134" w:type="dxa"/>
            <w:tcBorders>
              <w:bottom w:val="single" w:sz="12" w:space="0" w:color="auto"/>
            </w:tcBorders>
          </w:tcPr>
          <w:p w14:paraId="40EB4F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0,5</w:t>
            </w:r>
          </w:p>
        </w:tc>
        <w:tc>
          <w:tcPr>
            <w:tcW w:w="1276" w:type="dxa"/>
            <w:tcBorders>
              <w:bottom w:val="single" w:sz="12" w:space="0" w:color="auto"/>
            </w:tcBorders>
          </w:tcPr>
          <w:p w14:paraId="1E5AB6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25,63</w:t>
            </w:r>
          </w:p>
        </w:tc>
        <w:tc>
          <w:tcPr>
            <w:tcW w:w="1134" w:type="dxa"/>
            <w:tcBorders>
              <w:bottom w:val="single" w:sz="12" w:space="0" w:color="auto"/>
            </w:tcBorders>
          </w:tcPr>
          <w:p w14:paraId="191131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34" w:type="dxa"/>
            <w:tcBorders>
              <w:bottom w:val="single" w:sz="12" w:space="0" w:color="auto"/>
            </w:tcBorders>
          </w:tcPr>
          <w:p w14:paraId="43AB4A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33FD90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Теоретический потолок 12180, практический - 12000, время подъема 25,63</w:t>
      </w:r>
    </w:p>
    <w:p w14:paraId="219F78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маневренности на 1000 м при весе 3099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843"/>
        <w:gridCol w:w="851"/>
        <w:gridCol w:w="850"/>
        <w:gridCol w:w="851"/>
      </w:tblGrid>
      <w:tr w:rsidR="00983732" w:rsidRPr="00A3026E" w14:paraId="76E1FA8F" w14:textId="77777777" w:rsidTr="00EA0DA7">
        <w:tc>
          <w:tcPr>
            <w:tcW w:w="2242" w:type="dxa"/>
            <w:tcBorders>
              <w:top w:val="single" w:sz="12" w:space="0" w:color="auto"/>
            </w:tcBorders>
          </w:tcPr>
          <w:p w14:paraId="7DE047F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43" w:type="dxa"/>
            <w:tcBorders>
              <w:top w:val="single" w:sz="12" w:space="0" w:color="auto"/>
            </w:tcBorders>
          </w:tcPr>
          <w:p w14:paraId="203660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w:t>
            </w:r>
          </w:p>
        </w:tc>
        <w:tc>
          <w:tcPr>
            <w:tcW w:w="851" w:type="dxa"/>
            <w:tcBorders>
              <w:top w:val="single" w:sz="12" w:space="0" w:color="auto"/>
            </w:tcBorders>
          </w:tcPr>
          <w:p w14:paraId="61105D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ввода</w:t>
            </w:r>
          </w:p>
        </w:tc>
        <w:tc>
          <w:tcPr>
            <w:tcW w:w="850" w:type="dxa"/>
            <w:tcBorders>
              <w:top w:val="single" w:sz="12" w:space="0" w:color="auto"/>
            </w:tcBorders>
          </w:tcPr>
          <w:p w14:paraId="4BF2AF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вывода</w:t>
            </w:r>
          </w:p>
        </w:tc>
        <w:tc>
          <w:tcPr>
            <w:tcW w:w="851" w:type="dxa"/>
            <w:tcBorders>
              <w:top w:val="single" w:sz="12" w:space="0" w:color="auto"/>
            </w:tcBorders>
          </w:tcPr>
          <w:p w14:paraId="384CD7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Потеря высоты</w:t>
            </w:r>
          </w:p>
        </w:tc>
      </w:tr>
      <w:tr w:rsidR="00983732" w:rsidRPr="00A3026E" w14:paraId="7F2F5420" w14:textId="77777777" w:rsidTr="00EA0DA7">
        <w:tc>
          <w:tcPr>
            <w:tcW w:w="2242" w:type="dxa"/>
          </w:tcPr>
          <w:p w14:paraId="56564A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левый</w:t>
            </w:r>
          </w:p>
        </w:tc>
        <w:tc>
          <w:tcPr>
            <w:tcW w:w="843" w:type="dxa"/>
          </w:tcPr>
          <w:p w14:paraId="476358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22,3</w:t>
            </w:r>
          </w:p>
        </w:tc>
        <w:tc>
          <w:tcPr>
            <w:tcW w:w="851" w:type="dxa"/>
          </w:tcPr>
          <w:p w14:paraId="49542F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3DBFB9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tc>
        <w:tc>
          <w:tcPr>
            <w:tcW w:w="851" w:type="dxa"/>
          </w:tcPr>
          <w:p w14:paraId="7F29BC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7A49EF25" w14:textId="77777777" w:rsidTr="00EA0DA7">
        <w:tc>
          <w:tcPr>
            <w:tcW w:w="2242" w:type="dxa"/>
          </w:tcPr>
          <w:p w14:paraId="55BB53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правый</w:t>
            </w:r>
          </w:p>
        </w:tc>
        <w:tc>
          <w:tcPr>
            <w:tcW w:w="843" w:type="dxa"/>
          </w:tcPr>
          <w:p w14:paraId="0E7C43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851" w:type="dxa"/>
          </w:tcPr>
          <w:p w14:paraId="503878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2184DE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w:t>
            </w:r>
          </w:p>
        </w:tc>
        <w:tc>
          <w:tcPr>
            <w:tcW w:w="851" w:type="dxa"/>
          </w:tcPr>
          <w:p w14:paraId="015378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3B9D7E4E" w14:textId="77777777" w:rsidTr="00EA0DA7">
        <w:tc>
          <w:tcPr>
            <w:tcW w:w="2242" w:type="dxa"/>
          </w:tcPr>
          <w:p w14:paraId="01685E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серийный левый</w:t>
            </w:r>
          </w:p>
        </w:tc>
        <w:tc>
          <w:tcPr>
            <w:tcW w:w="843" w:type="dxa"/>
          </w:tcPr>
          <w:p w14:paraId="1BF55D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70,5</w:t>
            </w:r>
          </w:p>
        </w:tc>
        <w:tc>
          <w:tcPr>
            <w:tcW w:w="851" w:type="dxa"/>
          </w:tcPr>
          <w:p w14:paraId="2F1C48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6B052A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tc>
        <w:tc>
          <w:tcPr>
            <w:tcW w:w="851" w:type="dxa"/>
          </w:tcPr>
          <w:p w14:paraId="403B3C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17344E9B" w14:textId="77777777" w:rsidTr="00EA0DA7">
        <w:tc>
          <w:tcPr>
            <w:tcW w:w="2242" w:type="dxa"/>
          </w:tcPr>
          <w:p w14:paraId="24035C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серийный правый</w:t>
            </w:r>
          </w:p>
        </w:tc>
        <w:tc>
          <w:tcPr>
            <w:tcW w:w="843" w:type="dxa"/>
          </w:tcPr>
          <w:p w14:paraId="2FF66B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64,9</w:t>
            </w:r>
          </w:p>
        </w:tc>
        <w:tc>
          <w:tcPr>
            <w:tcW w:w="851" w:type="dxa"/>
          </w:tcPr>
          <w:p w14:paraId="1B7B51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64F665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1" w:type="dxa"/>
          </w:tcPr>
          <w:p w14:paraId="5B9250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528854EF" w14:textId="77777777" w:rsidTr="00EA0DA7">
        <w:tc>
          <w:tcPr>
            <w:tcW w:w="2242" w:type="dxa"/>
            <w:tcBorders>
              <w:bottom w:val="single" w:sz="12" w:space="0" w:color="auto"/>
            </w:tcBorders>
          </w:tcPr>
          <w:p w14:paraId="4CB845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Восьмерка</w:t>
            </w:r>
          </w:p>
        </w:tc>
        <w:tc>
          <w:tcPr>
            <w:tcW w:w="843" w:type="dxa"/>
            <w:tcBorders>
              <w:bottom w:val="single" w:sz="12" w:space="0" w:color="auto"/>
            </w:tcBorders>
          </w:tcPr>
          <w:p w14:paraId="544F64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40,5</w:t>
            </w:r>
          </w:p>
        </w:tc>
        <w:tc>
          <w:tcPr>
            <w:tcW w:w="851" w:type="dxa"/>
            <w:tcBorders>
              <w:bottom w:val="single" w:sz="12" w:space="0" w:color="auto"/>
            </w:tcBorders>
          </w:tcPr>
          <w:p w14:paraId="04D7AE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Borders>
              <w:bottom w:val="single" w:sz="12" w:space="0" w:color="auto"/>
            </w:tcBorders>
          </w:tcPr>
          <w:p w14:paraId="6141CB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w:t>
            </w:r>
          </w:p>
        </w:tc>
        <w:tc>
          <w:tcPr>
            <w:tcW w:w="851" w:type="dxa"/>
            <w:tcBorders>
              <w:bottom w:val="single" w:sz="12" w:space="0" w:color="auto"/>
            </w:tcBorders>
          </w:tcPr>
          <w:p w14:paraId="341CDE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bl>
    <w:p w14:paraId="532F3A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маневренности на 5000 м при весе 3099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843"/>
        <w:gridCol w:w="851"/>
        <w:gridCol w:w="850"/>
        <w:gridCol w:w="851"/>
      </w:tblGrid>
      <w:tr w:rsidR="00983732" w:rsidRPr="00A3026E" w14:paraId="53648F19" w14:textId="77777777" w:rsidTr="00EA0DA7">
        <w:tc>
          <w:tcPr>
            <w:tcW w:w="2242" w:type="dxa"/>
            <w:tcBorders>
              <w:top w:val="single" w:sz="12" w:space="0" w:color="auto"/>
            </w:tcBorders>
          </w:tcPr>
          <w:p w14:paraId="55E14D2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43" w:type="dxa"/>
            <w:tcBorders>
              <w:top w:val="single" w:sz="12" w:space="0" w:color="auto"/>
            </w:tcBorders>
          </w:tcPr>
          <w:p w14:paraId="3F58A3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w:t>
            </w:r>
          </w:p>
        </w:tc>
        <w:tc>
          <w:tcPr>
            <w:tcW w:w="851" w:type="dxa"/>
            <w:tcBorders>
              <w:top w:val="single" w:sz="12" w:space="0" w:color="auto"/>
            </w:tcBorders>
          </w:tcPr>
          <w:p w14:paraId="467924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ввода</w:t>
            </w:r>
          </w:p>
        </w:tc>
        <w:tc>
          <w:tcPr>
            <w:tcW w:w="850" w:type="dxa"/>
            <w:tcBorders>
              <w:top w:val="single" w:sz="12" w:space="0" w:color="auto"/>
            </w:tcBorders>
          </w:tcPr>
          <w:p w14:paraId="3083E2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вывода</w:t>
            </w:r>
          </w:p>
        </w:tc>
        <w:tc>
          <w:tcPr>
            <w:tcW w:w="851" w:type="dxa"/>
            <w:tcBorders>
              <w:top w:val="single" w:sz="12" w:space="0" w:color="auto"/>
            </w:tcBorders>
          </w:tcPr>
          <w:p w14:paraId="4E9208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Потеря высоты</w:t>
            </w:r>
          </w:p>
        </w:tc>
      </w:tr>
      <w:tr w:rsidR="00983732" w:rsidRPr="00A3026E" w14:paraId="43B22608" w14:textId="77777777" w:rsidTr="00EA0DA7">
        <w:tc>
          <w:tcPr>
            <w:tcW w:w="2242" w:type="dxa"/>
          </w:tcPr>
          <w:p w14:paraId="53D284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левый</w:t>
            </w:r>
          </w:p>
        </w:tc>
        <w:tc>
          <w:tcPr>
            <w:tcW w:w="843" w:type="dxa"/>
          </w:tcPr>
          <w:p w14:paraId="4E297B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851" w:type="dxa"/>
          </w:tcPr>
          <w:p w14:paraId="287774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w:t>
            </w:r>
          </w:p>
        </w:tc>
        <w:tc>
          <w:tcPr>
            <w:tcW w:w="850" w:type="dxa"/>
          </w:tcPr>
          <w:p w14:paraId="09B662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1" w:type="dxa"/>
          </w:tcPr>
          <w:p w14:paraId="34EEAE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665CEA19" w14:textId="77777777" w:rsidTr="00EA0DA7">
        <w:tc>
          <w:tcPr>
            <w:tcW w:w="2242" w:type="dxa"/>
          </w:tcPr>
          <w:p w14:paraId="2469E2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правый</w:t>
            </w:r>
          </w:p>
        </w:tc>
        <w:tc>
          <w:tcPr>
            <w:tcW w:w="843" w:type="dxa"/>
          </w:tcPr>
          <w:p w14:paraId="0D2495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851" w:type="dxa"/>
          </w:tcPr>
          <w:p w14:paraId="4F8C54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w:t>
            </w:r>
          </w:p>
        </w:tc>
        <w:tc>
          <w:tcPr>
            <w:tcW w:w="850" w:type="dxa"/>
          </w:tcPr>
          <w:p w14:paraId="55914E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w:t>
            </w:r>
          </w:p>
        </w:tc>
        <w:tc>
          <w:tcPr>
            <w:tcW w:w="851" w:type="dxa"/>
          </w:tcPr>
          <w:p w14:paraId="427A3C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5B6F20D7" w14:textId="77777777" w:rsidTr="00EA0DA7">
        <w:tc>
          <w:tcPr>
            <w:tcW w:w="2242" w:type="dxa"/>
          </w:tcPr>
          <w:p w14:paraId="158DA4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серийный левый</w:t>
            </w:r>
          </w:p>
        </w:tc>
        <w:tc>
          <w:tcPr>
            <w:tcW w:w="843" w:type="dxa"/>
          </w:tcPr>
          <w:p w14:paraId="75FE50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w:t>
            </w:r>
          </w:p>
        </w:tc>
        <w:tc>
          <w:tcPr>
            <w:tcW w:w="851" w:type="dxa"/>
          </w:tcPr>
          <w:p w14:paraId="3852D9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5D6F9D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1" w:type="dxa"/>
          </w:tcPr>
          <w:p w14:paraId="1DF858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3A34D1B8" w14:textId="77777777" w:rsidTr="00EA0DA7">
        <w:tc>
          <w:tcPr>
            <w:tcW w:w="2242" w:type="dxa"/>
          </w:tcPr>
          <w:p w14:paraId="514BCE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Вираж серийный правый</w:t>
            </w:r>
          </w:p>
        </w:tc>
        <w:tc>
          <w:tcPr>
            <w:tcW w:w="843" w:type="dxa"/>
          </w:tcPr>
          <w:p w14:paraId="643211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w:t>
            </w:r>
          </w:p>
        </w:tc>
        <w:tc>
          <w:tcPr>
            <w:tcW w:w="851" w:type="dxa"/>
          </w:tcPr>
          <w:p w14:paraId="6FE2DE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6D84E1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1" w:type="dxa"/>
          </w:tcPr>
          <w:p w14:paraId="1DD61D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5134E618" w14:textId="77777777" w:rsidTr="00EA0DA7">
        <w:tc>
          <w:tcPr>
            <w:tcW w:w="2242" w:type="dxa"/>
          </w:tcPr>
          <w:p w14:paraId="175E4C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Восьмерка</w:t>
            </w:r>
          </w:p>
        </w:tc>
        <w:tc>
          <w:tcPr>
            <w:tcW w:w="843" w:type="dxa"/>
          </w:tcPr>
          <w:p w14:paraId="17B7D6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c>
          <w:tcPr>
            <w:tcW w:w="851" w:type="dxa"/>
          </w:tcPr>
          <w:p w14:paraId="02A76E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6C5921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1" w:type="dxa"/>
          </w:tcPr>
          <w:p w14:paraId="326113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211C452B" w14:textId="77777777" w:rsidTr="00EA0DA7">
        <w:tc>
          <w:tcPr>
            <w:tcW w:w="2242" w:type="dxa"/>
            <w:tcBorders>
              <w:bottom w:val="single" w:sz="12" w:space="0" w:color="auto"/>
            </w:tcBorders>
          </w:tcPr>
          <w:p w14:paraId="756BF8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Иммельман</w:t>
            </w:r>
          </w:p>
        </w:tc>
        <w:tc>
          <w:tcPr>
            <w:tcW w:w="843" w:type="dxa"/>
            <w:tcBorders>
              <w:bottom w:val="single" w:sz="12" w:space="0" w:color="auto"/>
            </w:tcBorders>
          </w:tcPr>
          <w:p w14:paraId="4A196E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851" w:type="dxa"/>
            <w:tcBorders>
              <w:bottom w:val="single" w:sz="12" w:space="0" w:color="auto"/>
            </w:tcBorders>
          </w:tcPr>
          <w:p w14:paraId="4CA6D2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w:t>
            </w:r>
          </w:p>
        </w:tc>
        <w:tc>
          <w:tcPr>
            <w:tcW w:w="850" w:type="dxa"/>
            <w:tcBorders>
              <w:bottom w:val="single" w:sz="12" w:space="0" w:color="auto"/>
            </w:tcBorders>
          </w:tcPr>
          <w:p w14:paraId="36E96F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851" w:type="dxa"/>
            <w:tcBorders>
              <w:bottom w:val="single" w:sz="12" w:space="0" w:color="auto"/>
            </w:tcBorders>
          </w:tcPr>
          <w:p w14:paraId="3461A5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+1100-1200</w:t>
            </w:r>
          </w:p>
        </w:tc>
      </w:tr>
    </w:tbl>
    <w:p w14:paraId="54964C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Линейные размеры</w:t>
      </w:r>
    </w:p>
    <w:p w14:paraId="24F348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- 10200</w:t>
      </w:r>
    </w:p>
    <w:p w14:paraId="243A17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8155</w:t>
      </w:r>
    </w:p>
    <w:p w14:paraId="639EED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Мидель фюзеляжа 0,978 м2</w:t>
      </w:r>
    </w:p>
    <w:p w14:paraId="6311DE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Профиль крыла УН</w:t>
      </w:r>
    </w:p>
    <w:p w14:paraId="3F953C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Удлинение крыла 5,97</w:t>
      </w:r>
    </w:p>
    <w:p w14:paraId="5B444E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колеи шасси - 2800</w:t>
      </w:r>
    </w:p>
    <w:p w14:paraId="6674EB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прочности на сл. А по нормам прочности 1940 г в редакции 1939 г. - 13</w:t>
      </w:r>
    </w:p>
    <w:p w14:paraId="2E88CA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17,44 м2</w:t>
      </w:r>
    </w:p>
    <w:p w14:paraId="50D56A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ГО 3,105</w:t>
      </w:r>
    </w:p>
    <w:p w14:paraId="26696D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киля 0,614</w:t>
      </w:r>
    </w:p>
    <w:p w14:paraId="35A9D3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ВО 1,527</w:t>
      </w:r>
    </w:p>
    <w:p w14:paraId="4F19BE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Площади стабилизатора 1,659</w:t>
      </w:r>
    </w:p>
    <w:p w14:paraId="29A756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закрылков 2,09</w:t>
      </w:r>
    </w:p>
    <w:p w14:paraId="13BFE8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Уборка шасси - пневматическая, нормальное давление 30 а</w:t>
      </w:r>
    </w:p>
    <w:p w14:paraId="445759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Давление в тормозах 4 а</w:t>
      </w:r>
    </w:p>
    <w:p w14:paraId="66035E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не имеет запаса статической продольной устойчивости и близок к неустойчивости</w:t>
      </w:r>
    </w:p>
    <w:p w14:paraId="2A4A0C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Продольная динамическая устойчивость на режиме горизонтального полета</w:t>
      </w:r>
    </w:p>
    <w:p w14:paraId="75C9D9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дачи импыльса на увеличение скорости на 20 км/час или на уменьшение скорости на 20 км/час, с-т соответственно уходит в пикирование или кабрирование, требуя внимания л</w:t>
      </w:r>
    </w:p>
    <w:p w14:paraId="5BA806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 по уст-ти</w:t>
      </w:r>
    </w:p>
    <w:p w14:paraId="580AF1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И-2000 на эксплуатационной центровке (25,8%) и убранных шасси обладает неудовлетворительной продольной кстойчивостью</w:t>
      </w:r>
    </w:p>
    <w:p w14:paraId="36D59E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отчета о полете л облета Супруна:</w:t>
      </w:r>
    </w:p>
    <w:p w14:paraId="3C1F4F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технике взлета и посадки с-т прост, но вследствие легкого срыва в штопор при перетягивании ручки на вираже с-т в полете равняется И-16 с задней центровкой</w:t>
      </w:r>
    </w:p>
    <w:p w14:paraId="184129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полете с-т тяжел в управлении рулями. Создается впечатление вялой в управлении и затрудняется маневрирование. Необходимо увеличить компенсацию всех рулей.</w:t>
      </w:r>
    </w:p>
    <w:p w14:paraId="16F4D6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Откидной фонарь не пригоден. Необходи сдвижной.</w:t>
      </w:r>
    </w:p>
    <w:p w14:paraId="49CE50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Общее впечатление от И-200: с-т прост в технике пилотирования и вполне доступен для освоения л средней квалификации</w:t>
      </w:r>
    </w:p>
    <w:p w14:paraId="0AFE49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ВМГ с-та И-200</w:t>
      </w:r>
    </w:p>
    <w:p w14:paraId="584902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 Мотор АМ-35А № 007 за время испыфтаний наработал на земле 2:45, в полете 12:50</w:t>
      </w:r>
    </w:p>
    <w:p w14:paraId="03F6D3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Степень сжатия 7 (6,8-7)</w:t>
      </w:r>
    </w:p>
    <w:p w14:paraId="2F2815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Передаточное число 14,6</w:t>
      </w:r>
    </w:p>
    <w:p w14:paraId="2FDBE0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Неправление вращение со стороны задней крышки - правое, винта - левое</w:t>
      </w:r>
    </w:p>
    <w:p w14:paraId="214FF6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Сухой вес 840 кг</w:t>
      </w:r>
    </w:p>
    <w:p w14:paraId="13ACAA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макс. 1350</w:t>
      </w:r>
    </w:p>
    <w:p w14:paraId="620C5B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Рк 1230</w:t>
      </w:r>
    </w:p>
    <w:p w14:paraId="0F1E25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оборотов 2050</w:t>
      </w:r>
    </w:p>
    <w:p w14:paraId="128A98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Номинальная мощность у земли 1120 лс, Рк 1020, число обротов 2050 </w:t>
      </w:r>
    </w:p>
    <w:p w14:paraId="69F610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Расчетная высота 6000 м</w:t>
      </w:r>
    </w:p>
    <w:p w14:paraId="1FDDB9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Максимальные обороты 2250 в течение 30 сек.</w:t>
      </w:r>
    </w:p>
    <w:p w14:paraId="181D03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Минимальные оброты 450</w:t>
      </w:r>
    </w:p>
    <w:p w14:paraId="2C2A48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Рекомендуемое горючее 4Б-78 с октяновым числом не ниже 95</w:t>
      </w:r>
    </w:p>
    <w:p w14:paraId="6D358C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Расход горючего</w:t>
      </w:r>
    </w:p>
    <w:p w14:paraId="3A6922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номинал - 300</w:t>
      </w:r>
    </w:p>
    <w:p w14:paraId="6E6D73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330</w:t>
      </w:r>
    </w:p>
    <w:p w14:paraId="77ED3A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эксплуатация 275-285</w:t>
      </w:r>
    </w:p>
    <w:p w14:paraId="62E344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расход масла 12 г/лс/час</w:t>
      </w:r>
    </w:p>
    <w:p w14:paraId="43CC19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 Воды 115 и кратковременно 120</w:t>
      </w:r>
    </w:p>
    <w:p w14:paraId="07F61F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Карбюратор К-35х4</w:t>
      </w:r>
    </w:p>
    <w:p w14:paraId="081B22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Магнето БС-12-ПЭАх2</w:t>
      </w:r>
    </w:p>
    <w:p w14:paraId="13FB70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Свечи СВ-0,8х24</w:t>
      </w:r>
    </w:p>
    <w:p w14:paraId="3009F3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Бензопомпа БНК-10х1</w:t>
      </w:r>
    </w:p>
    <w:p w14:paraId="08D776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Самопуск воздушный</w:t>
      </w:r>
    </w:p>
    <w:p w14:paraId="4CF41B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мотора 2,402, высота 1,089, ширина 866</w:t>
      </w:r>
    </w:p>
    <w:p w14:paraId="4BCB8B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ВИШ-22Е 28 завода.</w:t>
      </w:r>
    </w:p>
    <w:p w14:paraId="5AA6C1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лопасти 260мм</w:t>
      </w:r>
    </w:p>
    <w:p w14:paraId="4A4D72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144 кг</w:t>
      </w:r>
    </w:p>
    <w:p w14:paraId="183157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Расстояние от конца лопасти до земли - 250мм</w:t>
      </w:r>
    </w:p>
    <w:p w14:paraId="37E686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Радиатор - воздушномасляный ВМС-9-225</w:t>
      </w:r>
    </w:p>
    <w:p w14:paraId="21CCC1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Охлаждающая поверхность 2,72 м2</w:t>
      </w:r>
    </w:p>
    <w:p w14:paraId="471FA3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Водорадиатор типа 229ОП с диаметром трубок 8 мм, емкость 28,5, вес 94,5</w:t>
      </w:r>
    </w:p>
    <w:p w14:paraId="23DD9A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Емкость системы охлаждения 79 л</w:t>
      </w:r>
    </w:p>
    <w:p w14:paraId="078170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РО - РО-82, 8хфлейт проверено стрельбой на земле и в воздухе. Стрельба производилось одиночными и залпом по 2 на земле и по 2 и по 4 в воздухе. На элероны никакого воздействия не оказывалось.</w:t>
      </w:r>
    </w:p>
    <w:p w14:paraId="0BCA59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 РСИ-3, антенна с мачтой 700 мм на верхней панели фюзеляжа</w:t>
      </w:r>
    </w:p>
    <w:p w14:paraId="6CE035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действия р/с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843"/>
        <w:gridCol w:w="1701"/>
        <w:gridCol w:w="1842"/>
      </w:tblGrid>
      <w:tr w:rsidR="00983732" w:rsidRPr="00A3026E" w14:paraId="0900FE5A" w14:textId="77777777" w:rsidTr="00EA0DA7">
        <w:tc>
          <w:tcPr>
            <w:tcW w:w="959" w:type="dxa"/>
            <w:tcBorders>
              <w:top w:val="single" w:sz="12" w:space="0" w:color="auto"/>
            </w:tcBorders>
          </w:tcPr>
          <w:p w14:paraId="706B3A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w:t>
            </w:r>
          </w:p>
        </w:tc>
        <w:tc>
          <w:tcPr>
            <w:tcW w:w="1843" w:type="dxa"/>
            <w:tcBorders>
              <w:top w:val="single" w:sz="12" w:space="0" w:color="auto"/>
            </w:tcBorders>
          </w:tcPr>
          <w:p w14:paraId="5CAF15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двусторонняя с 11АК</w:t>
            </w:r>
          </w:p>
        </w:tc>
        <w:tc>
          <w:tcPr>
            <w:tcW w:w="1701" w:type="dxa"/>
            <w:tcBorders>
              <w:top w:val="single" w:sz="12" w:space="0" w:color="auto"/>
            </w:tcBorders>
          </w:tcPr>
          <w:p w14:paraId="43CAD0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одной станцией</w:t>
            </w:r>
          </w:p>
        </w:tc>
        <w:tc>
          <w:tcPr>
            <w:tcW w:w="1842" w:type="dxa"/>
            <w:tcBorders>
              <w:top w:val="single" w:sz="12" w:space="0" w:color="auto"/>
            </w:tcBorders>
          </w:tcPr>
          <w:p w14:paraId="56A167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прием на с-те от 11АК</w:t>
            </w:r>
          </w:p>
        </w:tc>
      </w:tr>
      <w:tr w:rsidR="00983732" w:rsidRPr="00A3026E" w14:paraId="0A5236D6" w14:textId="77777777" w:rsidTr="00EA0DA7">
        <w:tc>
          <w:tcPr>
            <w:tcW w:w="959" w:type="dxa"/>
          </w:tcPr>
          <w:p w14:paraId="062A68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843" w:type="dxa"/>
          </w:tcPr>
          <w:p w14:paraId="23FBFF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 км</w:t>
            </w:r>
          </w:p>
        </w:tc>
        <w:tc>
          <w:tcPr>
            <w:tcW w:w="1701" w:type="dxa"/>
          </w:tcPr>
          <w:p w14:paraId="1574F3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1842" w:type="dxa"/>
          </w:tcPr>
          <w:p w14:paraId="42A335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0D80961D" w14:textId="77777777" w:rsidTr="00EA0DA7">
        <w:tc>
          <w:tcPr>
            <w:tcW w:w="959" w:type="dxa"/>
          </w:tcPr>
          <w:p w14:paraId="0F0E5D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1843" w:type="dxa"/>
          </w:tcPr>
          <w:p w14:paraId="352C76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701" w:type="dxa"/>
          </w:tcPr>
          <w:p w14:paraId="05CE2F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1842" w:type="dxa"/>
          </w:tcPr>
          <w:p w14:paraId="5211BCB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AF2AB94" w14:textId="77777777" w:rsidTr="00EA0DA7">
        <w:tc>
          <w:tcPr>
            <w:tcW w:w="959" w:type="dxa"/>
            <w:tcBorders>
              <w:bottom w:val="single" w:sz="12" w:space="0" w:color="auto"/>
            </w:tcBorders>
          </w:tcPr>
          <w:p w14:paraId="190B98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843" w:type="dxa"/>
            <w:tcBorders>
              <w:bottom w:val="single" w:sz="12" w:space="0" w:color="auto"/>
            </w:tcBorders>
          </w:tcPr>
          <w:p w14:paraId="6CF0AD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701" w:type="dxa"/>
            <w:tcBorders>
              <w:bottom w:val="single" w:sz="12" w:space="0" w:color="auto"/>
            </w:tcBorders>
          </w:tcPr>
          <w:p w14:paraId="68349C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1842" w:type="dxa"/>
            <w:tcBorders>
              <w:bottom w:val="single" w:sz="12" w:space="0" w:color="auto"/>
            </w:tcBorders>
          </w:tcPr>
          <w:p w14:paraId="456BFDC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2AAD3E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предъявлен с электрооборудованием не полностью доработанным на заводских испытаниях (фара, освещение кабины), неполной металлизацией и рядом недостатков по монтажу</w:t>
      </w:r>
    </w:p>
    <w:p w14:paraId="533571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Ведомость дефектов: по с-ту 25, по ВМГ 24 по спецоборудованию 10Ю по р/с 6, по электрооборудованию 2, по .. 4 (709,8).</w:t>
      </w:r>
    </w:p>
    <w:p w14:paraId="444B2D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программе 75 полетов продолжительностью 28 и по вооружению 22 полета продолжительностью 11:30</w:t>
      </w:r>
    </w:p>
    <w:p w14:paraId="131374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Дневник испытаний (с-т № 6101)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4710"/>
        <w:gridCol w:w="1102"/>
      </w:tblGrid>
      <w:tr w:rsidR="00983732" w:rsidRPr="00A3026E" w14:paraId="7AC8470C" w14:textId="77777777" w:rsidTr="00EA0DA7">
        <w:tc>
          <w:tcPr>
            <w:tcW w:w="1526" w:type="dxa"/>
            <w:tcBorders>
              <w:top w:val="single" w:sz="12" w:space="0" w:color="auto"/>
            </w:tcBorders>
          </w:tcPr>
          <w:p w14:paraId="6C615A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Дата</w:t>
            </w:r>
          </w:p>
        </w:tc>
        <w:tc>
          <w:tcPr>
            <w:tcW w:w="4710" w:type="dxa"/>
            <w:tcBorders>
              <w:top w:val="single" w:sz="12" w:space="0" w:color="auto"/>
            </w:tcBorders>
          </w:tcPr>
          <w:p w14:paraId="6DCA97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w:t>
            </w:r>
          </w:p>
        </w:tc>
        <w:tc>
          <w:tcPr>
            <w:tcW w:w="1102" w:type="dxa"/>
            <w:tcBorders>
              <w:top w:val="single" w:sz="12" w:space="0" w:color="auto"/>
            </w:tcBorders>
          </w:tcPr>
          <w:p w14:paraId="10146D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Примечение</w:t>
            </w:r>
          </w:p>
        </w:tc>
      </w:tr>
      <w:tr w:rsidR="00983732" w:rsidRPr="00A3026E" w14:paraId="16B00166" w14:textId="77777777" w:rsidTr="00EA0DA7">
        <w:tc>
          <w:tcPr>
            <w:tcW w:w="1526" w:type="dxa"/>
          </w:tcPr>
          <w:p w14:paraId="705A90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августа 1940</w:t>
            </w:r>
          </w:p>
        </w:tc>
        <w:tc>
          <w:tcPr>
            <w:tcW w:w="4710" w:type="dxa"/>
          </w:tcPr>
          <w:p w14:paraId="5D5E6D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Перегон с-та на госиспытания в НИИ ВВС. Тарировка б/б, установка испытательной аппаратуры, взвешивание</w:t>
            </w:r>
          </w:p>
        </w:tc>
        <w:tc>
          <w:tcPr>
            <w:tcW w:w="1102" w:type="dxa"/>
          </w:tcPr>
          <w:p w14:paraId="0AA27D5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BC349E5" w14:textId="77777777" w:rsidTr="00EA0DA7">
        <w:tc>
          <w:tcPr>
            <w:tcW w:w="1526" w:type="dxa"/>
          </w:tcPr>
          <w:p w14:paraId="79326A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августа 1940</w:t>
            </w:r>
          </w:p>
        </w:tc>
        <w:tc>
          <w:tcPr>
            <w:tcW w:w="4710" w:type="dxa"/>
          </w:tcPr>
          <w:p w14:paraId="1E36AA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температурных режимов. Замена 3-х стрелочных индикаторов и чистка мотора</w:t>
            </w:r>
          </w:p>
        </w:tc>
        <w:tc>
          <w:tcPr>
            <w:tcW w:w="1102" w:type="dxa"/>
          </w:tcPr>
          <w:p w14:paraId="323163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(0:25)</w:t>
            </w:r>
          </w:p>
        </w:tc>
      </w:tr>
      <w:tr w:rsidR="00983732" w:rsidRPr="00A3026E" w14:paraId="50C7D9F3" w14:textId="77777777" w:rsidTr="00EA0DA7">
        <w:tc>
          <w:tcPr>
            <w:tcW w:w="1526" w:type="dxa"/>
          </w:tcPr>
          <w:p w14:paraId="7DF69D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августа 1940</w:t>
            </w:r>
          </w:p>
        </w:tc>
        <w:tc>
          <w:tcPr>
            <w:tcW w:w="4710" w:type="dxa"/>
          </w:tcPr>
          <w:p w14:paraId="7908D4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полета на километраж После 2-го полета потек водорадиатор. После замены радиатора один полет на определение границ высотности мотора (0:30). Один полет на зубцы (0:15) прекращен из-за неудовлетворительной работы мотора. Полеты были прекращены: сел амортизатор костыля Ночью установка костыля.</w:t>
            </w:r>
          </w:p>
        </w:tc>
        <w:tc>
          <w:tcPr>
            <w:tcW w:w="1102" w:type="dxa"/>
          </w:tcPr>
          <w:p w14:paraId="62C8EA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(1:45)</w:t>
            </w:r>
          </w:p>
        </w:tc>
      </w:tr>
      <w:tr w:rsidR="00983732" w:rsidRPr="00A3026E" w14:paraId="010FC25A" w14:textId="77777777" w:rsidTr="00EA0DA7">
        <w:tc>
          <w:tcPr>
            <w:tcW w:w="1526" w:type="dxa"/>
          </w:tcPr>
          <w:p w14:paraId="1E0128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августа 1940</w:t>
            </w:r>
          </w:p>
        </w:tc>
        <w:tc>
          <w:tcPr>
            <w:tcW w:w="4710" w:type="dxa"/>
          </w:tcPr>
          <w:p w14:paraId="2D74EB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4 полета. Километраж. Потек маслобак Бак заварили на с-те. Полет на зубцы - 5000 м Упало давление с 1040 до 980. Замена РПД Мотор снимался - не проворачивалась крыльчатка нагнетателя</w:t>
            </w:r>
          </w:p>
        </w:tc>
        <w:tc>
          <w:tcPr>
            <w:tcW w:w="1102" w:type="dxa"/>
          </w:tcPr>
          <w:p w14:paraId="797463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(1:05)</w:t>
            </w:r>
          </w:p>
        </w:tc>
      </w:tr>
      <w:tr w:rsidR="00983732" w:rsidRPr="00A3026E" w14:paraId="0E39BAAD" w14:textId="77777777" w:rsidTr="00EA0DA7">
        <w:tc>
          <w:tcPr>
            <w:tcW w:w="1526" w:type="dxa"/>
          </w:tcPr>
          <w:p w14:paraId="549FAA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сентября 1940</w:t>
            </w:r>
          </w:p>
        </w:tc>
        <w:tc>
          <w:tcPr>
            <w:tcW w:w="4710" w:type="dxa"/>
          </w:tcPr>
          <w:p w14:paraId="0C502B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Воскресенье. Низкая облачность, дождь. Съем мотора</w:t>
            </w:r>
          </w:p>
        </w:tc>
        <w:tc>
          <w:tcPr>
            <w:tcW w:w="1102" w:type="dxa"/>
          </w:tcPr>
          <w:p w14:paraId="7AA7B0E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AF703E6" w14:textId="77777777" w:rsidTr="00EA0DA7">
        <w:tc>
          <w:tcPr>
            <w:tcW w:w="1526" w:type="dxa"/>
          </w:tcPr>
          <w:p w14:paraId="57BB39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w:t>
            </w:r>
          </w:p>
        </w:tc>
        <w:tc>
          <w:tcPr>
            <w:tcW w:w="4710" w:type="dxa"/>
          </w:tcPr>
          <w:p w14:paraId="44AB9E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Съем мотора</w:t>
            </w:r>
          </w:p>
        </w:tc>
        <w:tc>
          <w:tcPr>
            <w:tcW w:w="1102" w:type="dxa"/>
          </w:tcPr>
          <w:p w14:paraId="06F187E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BDB1B23" w14:textId="77777777" w:rsidTr="00EA0DA7">
        <w:tc>
          <w:tcPr>
            <w:tcW w:w="1526" w:type="dxa"/>
          </w:tcPr>
          <w:p w14:paraId="715D99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w:t>
            </w:r>
          </w:p>
        </w:tc>
        <w:tc>
          <w:tcPr>
            <w:tcW w:w="4710" w:type="dxa"/>
          </w:tcPr>
          <w:p w14:paraId="2EC728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мотора. Рк увеличено до 1300 на форсировке</w:t>
            </w:r>
          </w:p>
        </w:tc>
        <w:tc>
          <w:tcPr>
            <w:tcW w:w="1102" w:type="dxa"/>
          </w:tcPr>
          <w:p w14:paraId="2964D20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298FBC5" w14:textId="77777777" w:rsidTr="00EA0DA7">
        <w:tc>
          <w:tcPr>
            <w:tcW w:w="1526" w:type="dxa"/>
          </w:tcPr>
          <w:p w14:paraId="3FACBC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w:t>
            </w:r>
          </w:p>
        </w:tc>
        <w:tc>
          <w:tcPr>
            <w:tcW w:w="4710" w:type="dxa"/>
          </w:tcPr>
          <w:p w14:paraId="60B8CF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16 полетов, из них 14 полетов “взлет-посадка” Один полет на скороподъемность и скорости по высотам. Потек водорадиатор, который заменен</w:t>
            </w:r>
          </w:p>
        </w:tc>
        <w:tc>
          <w:tcPr>
            <w:tcW w:w="1102" w:type="dxa"/>
          </w:tcPr>
          <w:p w14:paraId="2CF448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(2:30)</w:t>
            </w:r>
          </w:p>
        </w:tc>
      </w:tr>
      <w:tr w:rsidR="00983732" w:rsidRPr="00A3026E" w14:paraId="641036A7" w14:textId="77777777" w:rsidTr="00EA0DA7">
        <w:tc>
          <w:tcPr>
            <w:tcW w:w="1526" w:type="dxa"/>
          </w:tcPr>
          <w:p w14:paraId="31FF89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w:t>
            </w:r>
          </w:p>
        </w:tc>
        <w:tc>
          <w:tcPr>
            <w:tcW w:w="4710" w:type="dxa"/>
          </w:tcPr>
          <w:p w14:paraId="334F05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3 полета, из них 2 на скороподъемность и макс. скорости по высотам до 9000 м. Один полет на маневрирование на 5000 м. При посадке была пробита сетка всасювающего патрубка нагнетателя. Произведнн осмотр лопастей. Поломки</w:t>
            </w:r>
          </w:p>
        </w:tc>
        <w:tc>
          <w:tcPr>
            <w:tcW w:w="1102" w:type="dxa"/>
          </w:tcPr>
          <w:p w14:paraId="799BAB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(1:50</w:t>
            </w:r>
          </w:p>
        </w:tc>
      </w:tr>
      <w:tr w:rsidR="00983732" w:rsidRPr="00A3026E" w14:paraId="68EDB8EE" w14:textId="77777777" w:rsidTr="00EA0DA7">
        <w:tc>
          <w:tcPr>
            <w:tcW w:w="1526" w:type="dxa"/>
          </w:tcPr>
          <w:p w14:paraId="5D0D91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w:t>
            </w:r>
          </w:p>
        </w:tc>
        <w:tc>
          <w:tcPr>
            <w:tcW w:w="4710" w:type="dxa"/>
          </w:tcPr>
          <w:p w14:paraId="6CA671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“наяды”. Замена пружины уборки и выпуска костыля. Установка на сетке всасывающего патрубка нагнетателя. Полет на скорость до 10000 м и скороподъемность по высотам</w:t>
            </w:r>
          </w:p>
        </w:tc>
        <w:tc>
          <w:tcPr>
            <w:tcW w:w="1102" w:type="dxa"/>
          </w:tcPr>
          <w:p w14:paraId="485466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(0:45)</w:t>
            </w:r>
          </w:p>
        </w:tc>
      </w:tr>
      <w:tr w:rsidR="00983732" w:rsidRPr="00A3026E" w14:paraId="7BA23A72" w14:textId="77777777" w:rsidTr="00EA0DA7">
        <w:tc>
          <w:tcPr>
            <w:tcW w:w="1526" w:type="dxa"/>
          </w:tcPr>
          <w:p w14:paraId="02DC80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w:t>
            </w:r>
          </w:p>
        </w:tc>
        <w:tc>
          <w:tcPr>
            <w:tcW w:w="4710" w:type="dxa"/>
          </w:tcPr>
          <w:p w14:paraId="603FE8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4 полета, из них один на километраж, один на маневренность, два на пикирование до 650 км/час по прибору</w:t>
            </w:r>
          </w:p>
        </w:tc>
        <w:tc>
          <w:tcPr>
            <w:tcW w:w="1102" w:type="dxa"/>
          </w:tcPr>
          <w:p w14:paraId="0ED77B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(2:0)</w:t>
            </w:r>
          </w:p>
        </w:tc>
      </w:tr>
      <w:tr w:rsidR="00983732" w:rsidRPr="00A3026E" w14:paraId="27DACE9A" w14:textId="77777777" w:rsidTr="00EA0DA7">
        <w:tc>
          <w:tcPr>
            <w:tcW w:w="1526" w:type="dxa"/>
          </w:tcPr>
          <w:p w14:paraId="19A922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сентября 1940</w:t>
            </w:r>
          </w:p>
        </w:tc>
        <w:tc>
          <w:tcPr>
            <w:tcW w:w="4710" w:type="dxa"/>
          </w:tcPr>
          <w:p w14:paraId="08A9B2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Воскресение Составление отчета</w:t>
            </w:r>
          </w:p>
        </w:tc>
        <w:tc>
          <w:tcPr>
            <w:tcW w:w="1102" w:type="dxa"/>
          </w:tcPr>
          <w:p w14:paraId="712EB4C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F8004A4" w14:textId="77777777" w:rsidTr="00EA0DA7">
        <w:tc>
          <w:tcPr>
            <w:tcW w:w="1526" w:type="dxa"/>
          </w:tcPr>
          <w:p w14:paraId="1034B1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сентября 1940 </w:t>
            </w:r>
          </w:p>
        </w:tc>
        <w:tc>
          <w:tcPr>
            <w:tcW w:w="4710" w:type="dxa"/>
          </w:tcPr>
          <w:p w14:paraId="5084A7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4 полета. Исполнение штопора - 2 полета, 2 полета на макс.</w:t>
            </w:r>
          </w:p>
        </w:tc>
        <w:tc>
          <w:tcPr>
            <w:tcW w:w="1102" w:type="dxa"/>
          </w:tcPr>
          <w:p w14:paraId="0C1AE9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(2:15)</w:t>
            </w:r>
          </w:p>
        </w:tc>
      </w:tr>
      <w:tr w:rsidR="00983732" w:rsidRPr="00A3026E" w14:paraId="59686292" w14:textId="77777777" w:rsidTr="00EA0DA7">
        <w:tc>
          <w:tcPr>
            <w:tcW w:w="1526" w:type="dxa"/>
          </w:tcPr>
          <w:p w14:paraId="6D3F10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w:t>
            </w:r>
          </w:p>
        </w:tc>
        <w:tc>
          <w:tcPr>
            <w:tcW w:w="4710" w:type="dxa"/>
          </w:tcPr>
          <w:p w14:paraId="275687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Составление отчета и дополнительное фотографирование</w:t>
            </w:r>
          </w:p>
        </w:tc>
        <w:tc>
          <w:tcPr>
            <w:tcW w:w="1102" w:type="dxa"/>
          </w:tcPr>
          <w:p w14:paraId="3D8CB0D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3B9D96B" w14:textId="77777777" w:rsidTr="00EA0DA7">
        <w:tc>
          <w:tcPr>
            <w:tcW w:w="1526" w:type="dxa"/>
            <w:tcBorders>
              <w:bottom w:val="single" w:sz="12" w:space="0" w:color="auto"/>
            </w:tcBorders>
          </w:tcPr>
          <w:p w14:paraId="149A65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w:t>
            </w:r>
          </w:p>
        </w:tc>
        <w:tc>
          <w:tcPr>
            <w:tcW w:w="4710" w:type="dxa"/>
            <w:tcBorders>
              <w:bottom w:val="single" w:sz="12" w:space="0" w:color="auto"/>
            </w:tcBorders>
          </w:tcPr>
          <w:p w14:paraId="023AF0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Полеты на расход горючего и облеты другими л</w:t>
            </w:r>
          </w:p>
        </w:tc>
        <w:tc>
          <w:tcPr>
            <w:tcW w:w="1102" w:type="dxa"/>
            <w:tcBorders>
              <w:bottom w:val="single" w:sz="12" w:space="0" w:color="auto"/>
            </w:tcBorders>
          </w:tcPr>
          <w:p w14:paraId="2A26F60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7BD6AB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Дневник испытаний (с-т № 6103)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4710"/>
        <w:gridCol w:w="1102"/>
      </w:tblGrid>
      <w:tr w:rsidR="00983732" w:rsidRPr="00A3026E" w14:paraId="0E65A0B0" w14:textId="77777777" w:rsidTr="00EA0DA7">
        <w:tc>
          <w:tcPr>
            <w:tcW w:w="1526" w:type="dxa"/>
            <w:tcBorders>
              <w:top w:val="single" w:sz="12" w:space="0" w:color="auto"/>
            </w:tcBorders>
          </w:tcPr>
          <w:p w14:paraId="756CC8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Дата</w:t>
            </w:r>
          </w:p>
        </w:tc>
        <w:tc>
          <w:tcPr>
            <w:tcW w:w="4710" w:type="dxa"/>
            <w:tcBorders>
              <w:top w:val="single" w:sz="12" w:space="0" w:color="auto"/>
            </w:tcBorders>
          </w:tcPr>
          <w:p w14:paraId="695A41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w:t>
            </w:r>
          </w:p>
        </w:tc>
        <w:tc>
          <w:tcPr>
            <w:tcW w:w="1102" w:type="dxa"/>
            <w:tcBorders>
              <w:top w:val="single" w:sz="12" w:space="0" w:color="auto"/>
            </w:tcBorders>
          </w:tcPr>
          <w:p w14:paraId="4688EF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Примечение</w:t>
            </w:r>
          </w:p>
        </w:tc>
      </w:tr>
      <w:tr w:rsidR="00983732" w:rsidRPr="00A3026E" w14:paraId="1188ECEF" w14:textId="77777777" w:rsidTr="00EA0DA7">
        <w:tc>
          <w:tcPr>
            <w:tcW w:w="1526" w:type="dxa"/>
          </w:tcPr>
          <w:p w14:paraId="6BD23F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августа 1940</w:t>
            </w:r>
          </w:p>
        </w:tc>
        <w:tc>
          <w:tcPr>
            <w:tcW w:w="4710" w:type="dxa"/>
          </w:tcPr>
          <w:p w14:paraId="7BD726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11:00 произвел посадку на аэродроме НИИ. На с-те обнаружены дефекты: обрыв левого аварийного тросса выпуска шасси. При </w:t>
            </w:r>
            <w:r w:rsidRPr="00A3026E">
              <w:rPr>
                <w:rFonts w:ascii="Times New Roman" w:hAnsi="Times New Roman"/>
                <w:color w:val="000000" w:themeColor="text1"/>
                <w:sz w:val="16"/>
                <w:szCs w:val="16"/>
              </w:rPr>
              <w:lastRenderedPageBreak/>
              <w:t>уборке не полностью убиралась левая нога шасси. 4 полета Супруна. 3 полета Кубышкина. Не зажигалась левая сигнальная лампочка левого шасси</w:t>
            </w:r>
          </w:p>
        </w:tc>
        <w:tc>
          <w:tcPr>
            <w:tcW w:w="1102" w:type="dxa"/>
          </w:tcPr>
          <w:p w14:paraId="07EC5B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 (0:40) + 3 (0:30)</w:t>
            </w:r>
          </w:p>
        </w:tc>
      </w:tr>
      <w:tr w:rsidR="00983732" w:rsidRPr="00A3026E" w14:paraId="40458BFB" w14:textId="77777777" w:rsidTr="00EA0DA7">
        <w:tc>
          <w:tcPr>
            <w:tcW w:w="1526" w:type="dxa"/>
          </w:tcPr>
          <w:p w14:paraId="4CF63C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августа 1940</w:t>
            </w:r>
          </w:p>
        </w:tc>
        <w:tc>
          <w:tcPr>
            <w:tcW w:w="4710" w:type="dxa"/>
          </w:tcPr>
          <w:p w14:paraId="1D8C41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полет на отстрел оружия воздухе. Кубышкин. Пулеметы ШКАС сожжены и закопчены</w:t>
            </w:r>
          </w:p>
        </w:tc>
        <w:tc>
          <w:tcPr>
            <w:tcW w:w="1102" w:type="dxa"/>
          </w:tcPr>
          <w:p w14:paraId="28B845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(0:20)</w:t>
            </w:r>
          </w:p>
        </w:tc>
      </w:tr>
      <w:tr w:rsidR="00983732" w:rsidRPr="00A3026E" w14:paraId="71B9D12E" w14:textId="77777777" w:rsidTr="00EA0DA7">
        <w:tc>
          <w:tcPr>
            <w:tcW w:w="1526" w:type="dxa"/>
          </w:tcPr>
          <w:p w14:paraId="4717EC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августа 1940</w:t>
            </w:r>
          </w:p>
        </w:tc>
        <w:tc>
          <w:tcPr>
            <w:tcW w:w="4710" w:type="dxa"/>
          </w:tcPr>
          <w:p w14:paraId="7BEA45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Отстрел оружия в тире. Отказывала отдача.</w:t>
            </w:r>
          </w:p>
        </w:tc>
        <w:tc>
          <w:tcPr>
            <w:tcW w:w="1102" w:type="dxa"/>
          </w:tcPr>
          <w:p w14:paraId="657918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EF75972" w14:textId="77777777" w:rsidTr="00EA0DA7">
        <w:tc>
          <w:tcPr>
            <w:tcW w:w="1526" w:type="dxa"/>
          </w:tcPr>
          <w:p w14:paraId="009AC7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августа 1940</w:t>
            </w:r>
          </w:p>
        </w:tc>
        <w:tc>
          <w:tcPr>
            <w:tcW w:w="4710" w:type="dxa"/>
          </w:tcPr>
          <w:p w14:paraId="4CF581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Доводка бомбардировочного вооружения на земле. Произведено 2 полета на растряску бомб</w:t>
            </w:r>
          </w:p>
        </w:tc>
        <w:tc>
          <w:tcPr>
            <w:tcW w:w="1102" w:type="dxa"/>
          </w:tcPr>
          <w:p w14:paraId="0163DB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(0:20)</w:t>
            </w:r>
          </w:p>
        </w:tc>
      </w:tr>
      <w:tr w:rsidR="00983732" w:rsidRPr="00A3026E" w14:paraId="4E3219A5" w14:textId="77777777" w:rsidTr="00EA0DA7">
        <w:tc>
          <w:tcPr>
            <w:tcW w:w="1526" w:type="dxa"/>
          </w:tcPr>
          <w:p w14:paraId="222F5D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сентября 1940</w:t>
            </w:r>
          </w:p>
        </w:tc>
        <w:tc>
          <w:tcPr>
            <w:tcW w:w="4710" w:type="dxa"/>
          </w:tcPr>
          <w:p w14:paraId="0E1A63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Воскресенье. Низкая облачность, дождь. Съем мотора</w:t>
            </w:r>
          </w:p>
        </w:tc>
        <w:tc>
          <w:tcPr>
            <w:tcW w:w="1102" w:type="dxa"/>
          </w:tcPr>
          <w:p w14:paraId="256FD45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B67A9DE" w14:textId="77777777" w:rsidTr="00EA0DA7">
        <w:tc>
          <w:tcPr>
            <w:tcW w:w="1526" w:type="dxa"/>
          </w:tcPr>
          <w:p w14:paraId="730EBB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сентября 1940</w:t>
            </w:r>
          </w:p>
        </w:tc>
        <w:tc>
          <w:tcPr>
            <w:tcW w:w="4710" w:type="dxa"/>
          </w:tcPr>
          <w:p w14:paraId="1739922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02" w:type="dxa"/>
          </w:tcPr>
          <w:p w14:paraId="16A7B8C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6DF3293" w14:textId="77777777" w:rsidTr="00EA0DA7">
        <w:tc>
          <w:tcPr>
            <w:tcW w:w="1526" w:type="dxa"/>
          </w:tcPr>
          <w:p w14:paraId="12EC76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w:t>
            </w:r>
          </w:p>
        </w:tc>
        <w:tc>
          <w:tcPr>
            <w:tcW w:w="4710" w:type="dxa"/>
          </w:tcPr>
          <w:p w14:paraId="14947A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Закончен отстрел в тире</w:t>
            </w:r>
          </w:p>
        </w:tc>
        <w:tc>
          <w:tcPr>
            <w:tcW w:w="1102" w:type="dxa"/>
          </w:tcPr>
          <w:p w14:paraId="1F1BC19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F01B4BB" w14:textId="77777777" w:rsidTr="00EA0DA7">
        <w:tc>
          <w:tcPr>
            <w:tcW w:w="1526" w:type="dxa"/>
          </w:tcPr>
          <w:p w14:paraId="3BA3EE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сентября 1940</w:t>
            </w:r>
          </w:p>
        </w:tc>
        <w:tc>
          <w:tcPr>
            <w:tcW w:w="4710" w:type="dxa"/>
          </w:tcPr>
          <w:p w14:paraId="1AEF0D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6 полетов на стрельбу БС и ШКАС по земле и на растряску бомб</w:t>
            </w:r>
          </w:p>
        </w:tc>
        <w:tc>
          <w:tcPr>
            <w:tcW w:w="1102" w:type="dxa"/>
          </w:tcPr>
          <w:p w14:paraId="5FEAD5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(1:30)</w:t>
            </w:r>
          </w:p>
        </w:tc>
      </w:tr>
      <w:tr w:rsidR="00983732" w:rsidRPr="00A3026E" w14:paraId="10FBCB7C" w14:textId="77777777" w:rsidTr="00EA0DA7">
        <w:tc>
          <w:tcPr>
            <w:tcW w:w="1526" w:type="dxa"/>
          </w:tcPr>
          <w:p w14:paraId="0F7F54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сентября 1940</w:t>
            </w:r>
          </w:p>
        </w:tc>
        <w:tc>
          <w:tcPr>
            <w:tcW w:w="4710" w:type="dxa"/>
          </w:tcPr>
          <w:p w14:paraId="22D5F7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утра - дождь. Во второй половине дня - 1 полет на стрельбу по конусу - стрельбы не было, т.к. неисправность мотора буксировщика. Один полет на устойчивость</w:t>
            </w:r>
          </w:p>
        </w:tc>
        <w:tc>
          <w:tcPr>
            <w:tcW w:w="1102" w:type="dxa"/>
          </w:tcPr>
          <w:p w14:paraId="0593C5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(0:10) + 1 (0:40)</w:t>
            </w:r>
          </w:p>
        </w:tc>
      </w:tr>
      <w:tr w:rsidR="00983732" w:rsidRPr="00A3026E" w14:paraId="15E2CB94" w14:textId="77777777" w:rsidTr="00EA0DA7">
        <w:tc>
          <w:tcPr>
            <w:tcW w:w="1526" w:type="dxa"/>
          </w:tcPr>
          <w:p w14:paraId="26BA11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w:t>
            </w:r>
          </w:p>
        </w:tc>
        <w:tc>
          <w:tcPr>
            <w:tcW w:w="4710" w:type="dxa"/>
          </w:tcPr>
          <w:p w14:paraId="4B3520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Два полета на устойчивость (1:20) и еще один полет на устойчивость (0:10). Не горела лампочка сигнализации шасси </w:t>
            </w:r>
          </w:p>
        </w:tc>
        <w:tc>
          <w:tcPr>
            <w:tcW w:w="1102" w:type="dxa"/>
          </w:tcPr>
          <w:p w14:paraId="502E28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(1:30)</w:t>
            </w:r>
          </w:p>
        </w:tc>
      </w:tr>
      <w:tr w:rsidR="00983732" w:rsidRPr="00A3026E" w14:paraId="467AF567" w14:textId="77777777" w:rsidTr="00EA0DA7">
        <w:tc>
          <w:tcPr>
            <w:tcW w:w="1526" w:type="dxa"/>
          </w:tcPr>
          <w:p w14:paraId="38A8BB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w:t>
            </w:r>
          </w:p>
        </w:tc>
        <w:tc>
          <w:tcPr>
            <w:tcW w:w="4710" w:type="dxa"/>
          </w:tcPr>
          <w:p w14:paraId="3C1D4D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полет на продольную и боковую устойчивость. Шестой раз сорвало шплин гайки траверсы шасси</w:t>
            </w:r>
          </w:p>
        </w:tc>
        <w:tc>
          <w:tcPr>
            <w:tcW w:w="1102" w:type="dxa"/>
          </w:tcPr>
          <w:p w14:paraId="4B4238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(0:45)</w:t>
            </w:r>
          </w:p>
        </w:tc>
      </w:tr>
      <w:tr w:rsidR="00983732" w:rsidRPr="00A3026E" w14:paraId="0E2446F7" w14:textId="77777777" w:rsidTr="00EA0DA7">
        <w:tc>
          <w:tcPr>
            <w:tcW w:w="1526" w:type="dxa"/>
          </w:tcPr>
          <w:p w14:paraId="762541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сентября 1940</w:t>
            </w:r>
          </w:p>
        </w:tc>
        <w:tc>
          <w:tcPr>
            <w:tcW w:w="4710" w:type="dxa"/>
          </w:tcPr>
          <w:p w14:paraId="0E4B66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Воскресение Составление отчета</w:t>
            </w:r>
          </w:p>
        </w:tc>
        <w:tc>
          <w:tcPr>
            <w:tcW w:w="1102" w:type="dxa"/>
          </w:tcPr>
          <w:p w14:paraId="7DB7C59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D488E60" w14:textId="77777777" w:rsidTr="00EA0DA7">
        <w:tc>
          <w:tcPr>
            <w:tcW w:w="1526" w:type="dxa"/>
          </w:tcPr>
          <w:p w14:paraId="20C337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сентября 1940 </w:t>
            </w:r>
          </w:p>
        </w:tc>
        <w:tc>
          <w:tcPr>
            <w:tcW w:w="4710" w:type="dxa"/>
          </w:tcPr>
          <w:p w14:paraId="7C2914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километраж (0:35) и перелет в Ногинск (0:10). В ногинске полеты на отстрел РС</w:t>
            </w:r>
          </w:p>
        </w:tc>
        <w:tc>
          <w:tcPr>
            <w:tcW w:w="1102" w:type="dxa"/>
          </w:tcPr>
          <w:p w14:paraId="4F132A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(0:45)</w:t>
            </w:r>
          </w:p>
        </w:tc>
      </w:tr>
      <w:tr w:rsidR="00983732" w:rsidRPr="00A3026E" w14:paraId="3F408AAB" w14:textId="77777777" w:rsidTr="00EA0DA7">
        <w:tc>
          <w:tcPr>
            <w:tcW w:w="1526" w:type="dxa"/>
          </w:tcPr>
          <w:p w14:paraId="538ACA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w:t>
            </w:r>
          </w:p>
        </w:tc>
        <w:tc>
          <w:tcPr>
            <w:tcW w:w="4710" w:type="dxa"/>
          </w:tcPr>
          <w:p w14:paraId="0E8376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полета на отстрел РС</w:t>
            </w:r>
          </w:p>
        </w:tc>
        <w:tc>
          <w:tcPr>
            <w:tcW w:w="1102" w:type="dxa"/>
          </w:tcPr>
          <w:p w14:paraId="64662F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2A0DF51B" w14:textId="77777777" w:rsidTr="00EA0DA7">
        <w:tc>
          <w:tcPr>
            <w:tcW w:w="1526" w:type="dxa"/>
            <w:tcBorders>
              <w:bottom w:val="single" w:sz="12" w:space="0" w:color="auto"/>
            </w:tcBorders>
          </w:tcPr>
          <w:p w14:paraId="2A1495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w:t>
            </w:r>
          </w:p>
        </w:tc>
        <w:tc>
          <w:tcPr>
            <w:tcW w:w="4710" w:type="dxa"/>
            <w:tcBorders>
              <w:bottom w:val="single" w:sz="12" w:space="0" w:color="auto"/>
            </w:tcBorders>
          </w:tcPr>
          <w:p w14:paraId="72AA69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полета на бомбометание</w:t>
            </w:r>
          </w:p>
        </w:tc>
        <w:tc>
          <w:tcPr>
            <w:tcW w:w="1102" w:type="dxa"/>
            <w:tcBorders>
              <w:bottom w:val="single" w:sz="12" w:space="0" w:color="auto"/>
            </w:tcBorders>
          </w:tcPr>
          <w:p w14:paraId="0EA9FAF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7480CD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(709,8).</w:t>
      </w:r>
    </w:p>
    <w:p w14:paraId="0C600B0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B9475B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973F93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12BAA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22 сентября по 11 декабря 1940 в АНИОП проходили полигонные испытания 210 мм пушки Бр-17 и сделали 110 выстрелов. испытания возкой проводили по маршруту Луга - Ленинград за тягачами Ворошиловец. скорость - 7 км/час (3416,34).</w:t>
      </w:r>
    </w:p>
    <w:p w14:paraId="232EAD0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0B152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сентября 1940 года с завода № 352 (Новочеркасск) сообщили, что приступили к разработке эскизного проекта казематной установки с качающейся частью М-60. В связи с началом Великой Отечественной войны и прекращением производства 107-мм пушек М-60 от разработки 107-мм казематной установки отказались (3861).</w:t>
      </w:r>
    </w:p>
    <w:p w14:paraId="3DB2A68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ABB84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1BCA365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7B2B840"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22 сентября 1940 выполнил первый полет Heinkel He 280 (20795).</w:t>
      </w:r>
    </w:p>
    <w:p w14:paraId="5E5330E3" w14:textId="77777777" w:rsidR="001A7DB7" w:rsidRPr="00A3026E" w:rsidRDefault="001A7DB7" w:rsidP="00A3026E">
      <w:pPr>
        <w:spacing w:after="0" w:line="240" w:lineRule="auto"/>
        <w:jc w:val="both"/>
        <w:rPr>
          <w:rFonts w:ascii="Times New Roman" w:hAnsi="Times New Roman"/>
          <w:color w:val="0070C0"/>
          <w:sz w:val="16"/>
          <w:szCs w:val="16"/>
        </w:rPr>
      </w:pPr>
    </w:p>
    <w:p w14:paraId="379395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сентября 1940 было подписано германо-финляндское соглашение (3871).</w:t>
      </w:r>
    </w:p>
    <w:p w14:paraId="33E1E12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B8807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сентября 1940 было подписано германо-финское соглашение об участии Финляндии в войне против СССР (2443,418).</w:t>
      </w:r>
    </w:p>
    <w:p w14:paraId="2CA2699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DB9008B"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September 22 Sun. 1940 France signs pact at Hanoi ceding airfields and agreeing to admission of Japanese troops into northern Indochina (1064).</w:t>
      </w:r>
    </w:p>
    <w:p w14:paraId="6D56D406"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3710CA04"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September 22 1940 Japanese-French agreement regarding concessions in Indochina to Japan (1223).</w:t>
      </w:r>
    </w:p>
    <w:p w14:paraId="1A22BB38"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41751C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сентября 1940 Франция подписала в Ханое пакт, согласно которому в Индокитай допускались японцы (1064;1223;270).</w:t>
      </w:r>
    </w:p>
    <w:p w14:paraId="44E371C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491F780" w14:textId="77777777" w:rsidR="00E70D80" w:rsidRPr="00A3026E" w:rsidRDefault="00E70D8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сентября в 1940 году подписано соглашение между администрацией Французского Индокитая и Японией. В соответствии с соглашением японцы могли помимо перевозок войск через северные районы ввести до 6 тысяч солдат на военные базы на берегу Тонкинского залива, которые появились в тот же день (14777).</w:t>
      </w:r>
    </w:p>
    <w:p w14:paraId="4ED0D984" w14:textId="77777777" w:rsidR="00E70D80" w:rsidRPr="00A3026E" w:rsidRDefault="00E70D80" w:rsidP="00A3026E">
      <w:pPr>
        <w:spacing w:after="0" w:line="240" w:lineRule="auto"/>
        <w:jc w:val="both"/>
        <w:rPr>
          <w:rFonts w:ascii="Times New Roman" w:hAnsi="Times New Roman"/>
          <w:color w:val="000000" w:themeColor="text1"/>
          <w:sz w:val="16"/>
          <w:szCs w:val="16"/>
        </w:rPr>
      </w:pPr>
    </w:p>
    <w:p w14:paraId="3D358BFF"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22 September 1940 Japanese forces enter Indo-China (270).</w:t>
      </w:r>
    </w:p>
    <w:p w14:paraId="4A4896D2"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5DCEC0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сентября 1940 японские войска вошли в Индокитай (270).</w:t>
      </w:r>
    </w:p>
    <w:p w14:paraId="5FB4CEF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740CDB" w14:textId="77777777" w:rsidR="00E70D80" w:rsidRPr="00A3026E" w:rsidRDefault="00E70D8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сентября в 1940 году японские войска оккупируют прилегающую к Ханаю территорию во Французском Индокитае (современный Вьетнам) (14777).</w:t>
      </w:r>
    </w:p>
    <w:p w14:paraId="1D1DF977" w14:textId="77777777" w:rsidR="00E70D80" w:rsidRPr="00A3026E" w:rsidRDefault="00E70D80" w:rsidP="00A3026E">
      <w:pPr>
        <w:spacing w:after="0" w:line="240" w:lineRule="auto"/>
        <w:jc w:val="both"/>
        <w:rPr>
          <w:rFonts w:ascii="Times New Roman" w:hAnsi="Times New Roman"/>
          <w:color w:val="000000" w:themeColor="text1"/>
          <w:sz w:val="16"/>
          <w:szCs w:val="16"/>
        </w:rPr>
      </w:pPr>
    </w:p>
    <w:p w14:paraId="21F7FDC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1CFBA4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92ACA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сентября 1940 года на самолете ДБ-240 – гл. конструктор Ермолаев, Завод № 240 закончились заводские испытания вооружения, которая проходила с 16 сентября: подвеска и сбрасывание на земле бомб ФАБ-100 и отработка на земле ВАП-500 С 16 по. Сделано 5 полетов на растряску и сбрасывание корпусов бомб ФАБ-100 и выливание нейтральной жидкости из ВАП-500.</w:t>
      </w:r>
    </w:p>
    <w:p w14:paraId="59B5E8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дали течь 2 бензобака. Самолет перегнан на завод № 240 для устранения дефектов перед сдачей на госиспытания. Программа заводских испытаний вооружения была закончена (3377, 21).</w:t>
      </w:r>
    </w:p>
    <w:p w14:paraId="329F19D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AF04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сентября 1940 ГУ ВВС КА письмом N 474583сс на имя НКАП (копия Нач. ЦАГИ Петрову) просило принять меры по устранению деформации крыльев СБ при пикировании (2706,195).</w:t>
      </w:r>
    </w:p>
    <w:p w14:paraId="014B9F1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D2285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сентября 1940 на И-135 "330" М-105П – гл. конструктор Сухой, Завод № 135, был выполнен полет для определения наличия бафтинга. Вибрации типа бафтинга не обнаружено. На минимальных скоростях самолет устойчив (3377, 31).</w:t>
      </w:r>
    </w:p>
    <w:p w14:paraId="405BF10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23B85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сентября 1940 года начальник ГУ ВВС генерал-лейтенант Рычагов писал письмо наркому обороны маршалу Тимошенко</w:t>
      </w:r>
    </w:p>
    <w:p w14:paraId="60904E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о нецелесообразности перевооружения самолетов И-16 М-25В на М-62</w:t>
      </w:r>
    </w:p>
    <w:p w14:paraId="1B1878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 253сс от 8 июля 1940 года НКАП был обязан в текущем году переоборудовать в частях ВВС 750 самолетов И-16 М25В с постановкой мотора М-62.</w:t>
      </w:r>
    </w:p>
    <w:p w14:paraId="14C443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20 сентября 1940 года было переоборудовано всего лишь 42 самолета; работа проводится крайне медленно вследствие недоведенности моторов М-62 и сложности процесса переоборудования.</w:t>
      </w:r>
    </w:p>
    <w:p w14:paraId="48643F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что самолеты И-16 М25В уже достаточно изношены (эксплуатируются 2-3 года), а эффективность приращения скорости после переоборудования незначительна (было 446 км/час, стало 465 км/час), переоборудование указанных самолетов считаю нецелесообразным, тем более, что моторы М-62 и до настоящего времени еще полностью не доведены.</w:t>
      </w:r>
    </w:p>
    <w:p w14:paraId="48D49A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изложенного, прошу поставить перед КО вопрос об отменен его постановления за № 253сс от 8 июля 1940 года (7711, 83-84).</w:t>
      </w:r>
    </w:p>
    <w:p w14:paraId="1F44E2E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C185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23 сентября 1940 И.М.Сухомлин с и И.Козыркиным на АНТ-44, имея на борту 1 т контрольного груза пролетел 1000 км со скоростью 277 км/час, установив мировой рекорд для амфибий (438,788).</w:t>
      </w:r>
    </w:p>
    <w:p w14:paraId="0B2FE61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79B35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23 по 29 сентября 1940 года на НИП АВ ВВС проходили полигонные испытания зажигательных авиабомб ЗАБ-2,5Т и ЗАБ-10 ТГ суррогатного снаряжения (рецептура ОТБ НКВД) и ЗАБ-10 Ф, ЗАБ-10 ФП, ЗАБ-50 Ф и ЗАБ-50 ФП конструкции ОТБ НКВД, снаряженных заводом № 80</w:t>
      </w:r>
    </w:p>
    <w:p w14:paraId="286FE3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677912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2 ранга Дьячков</w:t>
      </w:r>
    </w:p>
    <w:p w14:paraId="2AC006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23D04B2C" w14:textId="77777777" w:rsidR="00C66762" w:rsidRPr="00A3026E" w:rsidRDefault="00C66762" w:rsidP="00A3026E">
      <w:pPr>
        <w:pStyle w:val="22"/>
        <w:widowControl/>
        <w:rPr>
          <w:color w:val="000000" w:themeColor="text1"/>
        </w:rPr>
      </w:pPr>
      <w:r w:rsidRPr="00A3026E">
        <w:rPr>
          <w:color w:val="000000" w:themeColor="text1"/>
        </w:rPr>
        <w:t>Испытание имело цель определить:</w:t>
      </w:r>
    </w:p>
    <w:p w14:paraId="08E092C8" w14:textId="77777777" w:rsidR="00C66762" w:rsidRPr="00A3026E" w:rsidRDefault="00C66762" w:rsidP="00A3026E">
      <w:pPr>
        <w:pStyle w:val="22"/>
        <w:widowControl/>
        <w:tabs>
          <w:tab w:val="left" w:pos="360"/>
        </w:tabs>
        <w:rPr>
          <w:color w:val="000000" w:themeColor="text1"/>
        </w:rPr>
      </w:pPr>
      <w:r w:rsidRPr="00A3026E">
        <w:rPr>
          <w:color w:val="000000" w:themeColor="text1"/>
        </w:rPr>
        <w:t>Зажигательную способность.</w:t>
      </w:r>
    </w:p>
    <w:p w14:paraId="2A6BB42F" w14:textId="77777777" w:rsidR="00C66762" w:rsidRPr="00A3026E" w:rsidRDefault="00C66762" w:rsidP="00A3026E">
      <w:pPr>
        <w:pStyle w:val="22"/>
        <w:widowControl/>
        <w:tabs>
          <w:tab w:val="left" w:pos="360"/>
        </w:tabs>
        <w:rPr>
          <w:color w:val="000000" w:themeColor="text1"/>
        </w:rPr>
      </w:pPr>
      <w:r w:rsidRPr="00A3026E">
        <w:rPr>
          <w:color w:val="000000" w:themeColor="text1"/>
        </w:rPr>
        <w:t>Характер и интенсивность горения.</w:t>
      </w:r>
    </w:p>
    <w:p w14:paraId="00EC4B64" w14:textId="77777777" w:rsidR="00C66762" w:rsidRPr="00A3026E" w:rsidRDefault="00C66762" w:rsidP="00A3026E">
      <w:pPr>
        <w:pStyle w:val="22"/>
        <w:widowControl/>
        <w:tabs>
          <w:tab w:val="left" w:pos="360"/>
        </w:tabs>
        <w:rPr>
          <w:color w:val="000000" w:themeColor="text1"/>
        </w:rPr>
      </w:pPr>
      <w:r w:rsidRPr="00A3026E">
        <w:rPr>
          <w:color w:val="000000" w:themeColor="text1"/>
        </w:rPr>
        <w:t>Полноту и время горения.</w:t>
      </w:r>
    </w:p>
    <w:p w14:paraId="0414E66A" w14:textId="77777777" w:rsidR="00C66762" w:rsidRPr="00A3026E" w:rsidRDefault="00C66762" w:rsidP="00A3026E">
      <w:pPr>
        <w:pStyle w:val="22"/>
        <w:widowControl/>
        <w:tabs>
          <w:tab w:val="left" w:pos="360"/>
        </w:tabs>
        <w:rPr>
          <w:color w:val="000000" w:themeColor="text1"/>
        </w:rPr>
      </w:pPr>
      <w:r w:rsidRPr="00A3026E">
        <w:rPr>
          <w:color w:val="000000" w:themeColor="text1"/>
        </w:rPr>
        <w:t>Проплавляющую способность.</w:t>
      </w:r>
    </w:p>
    <w:p w14:paraId="30D834FF" w14:textId="77777777" w:rsidR="00C66762" w:rsidRPr="00A3026E" w:rsidRDefault="00C66762" w:rsidP="00A3026E">
      <w:pPr>
        <w:pStyle w:val="22"/>
        <w:widowControl/>
        <w:tabs>
          <w:tab w:val="left" w:pos="360"/>
        </w:tabs>
        <w:rPr>
          <w:color w:val="000000" w:themeColor="text1"/>
        </w:rPr>
      </w:pPr>
      <w:r w:rsidRPr="00A3026E">
        <w:rPr>
          <w:color w:val="000000" w:themeColor="text1"/>
        </w:rPr>
        <w:t>Реагирование снаряжения на прострел пулями разного типа из 7,62 мм винтовки.</w:t>
      </w:r>
    </w:p>
    <w:p w14:paraId="7175DA5B" w14:textId="77777777" w:rsidR="00C66762" w:rsidRPr="00A3026E" w:rsidRDefault="00C66762" w:rsidP="00A3026E">
      <w:pPr>
        <w:pStyle w:val="22"/>
        <w:widowControl/>
        <w:tabs>
          <w:tab w:val="left" w:pos="360"/>
        </w:tabs>
        <w:rPr>
          <w:color w:val="000000" w:themeColor="text1"/>
        </w:rPr>
      </w:pPr>
      <w:r w:rsidRPr="00A3026E">
        <w:rPr>
          <w:color w:val="000000" w:themeColor="text1"/>
        </w:rPr>
        <w:t>Безотказность действия.</w:t>
      </w:r>
    </w:p>
    <w:p w14:paraId="5146CD0E" w14:textId="77777777" w:rsidR="00C66762" w:rsidRPr="00A3026E" w:rsidRDefault="00C66762" w:rsidP="00A3026E">
      <w:pPr>
        <w:pStyle w:val="22"/>
        <w:widowControl/>
        <w:tabs>
          <w:tab w:val="left" w:pos="360"/>
        </w:tabs>
        <w:rPr>
          <w:color w:val="000000" w:themeColor="text1"/>
        </w:rPr>
      </w:pPr>
      <w:r w:rsidRPr="00A3026E">
        <w:rPr>
          <w:color w:val="000000" w:themeColor="text1"/>
        </w:rPr>
        <w:t>Устойчивость бомб на траектории.</w:t>
      </w:r>
    </w:p>
    <w:p w14:paraId="24357B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2C49A6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ЗАБ-2,5Т полигонные испытания не выдержали, как не удовлетворяющие по ТТТ в части продолжительности горения (время горения равно 1 мин. 22 сек. вместо требуемых 2 мин. 10 сек.). Но так как эта бомба по всем другим пунктам ТТТ дала вполне удовлетворительные результаты – НИП АВ считает возможным допустить ЗАБ-2,5 Т суррогатного снаряжения по рецептуре ОТБ НКВД к войсковым испытаниям.</w:t>
      </w:r>
    </w:p>
    <w:p w14:paraId="3B63A4A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ЗАБ-10 ТГ суррогатного снаряжения (рецептура ОТБ НКВД) по зажигательной способности, полноте и времени горения ТГ, безотказности действия и устойчивости бомб в полете показали удовлетворительные результаты – полигонные испытания выдержали и могут быть допущены к войсковым испытаниям.</w:t>
      </w:r>
    </w:p>
    <w:p w14:paraId="78B0689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ЗАБ-10 Ф, ЗАБ-10 ФП, ЗАБ-50 Ф и ЗАБ-50 ФП как давшие неудовлетворительные результаты по безотказности действия, по невоспламенению воспламенительного состава и не имеющие взрывателя – полигонные испытания не выдержали. Однако, эти бомбы по зажигательной способности и интенсивности горения превосходят штатные бомбы и поэтому НИП АВ считает необходимым срочно доработать их, устранив недостатки отмеченные в отчете и предъявить вновь на повторные полигонные испытания.</w:t>
      </w:r>
    </w:p>
    <w:p w14:paraId="22A9657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АВ ВВС считает большим недостатком конструкции АБ необходимость наличия специального донного взрывателя для данной конструкции бомб.</w:t>
      </w:r>
    </w:p>
    <w:p w14:paraId="57A63C6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Вследствие того, что фонтанирующие бомбы способны воспламенять объекты действуя на расстоянии, то НИП АВ ВВС считает необходимым поручить ОТБ НКВД разработать конструкцию фонтанирующей бомбы с парашютным или другим приспособлением для того, чтобы глубина проникновения бомб в грунт не превышала полкорпуса бомбы (7586).</w:t>
      </w:r>
    </w:p>
    <w:p w14:paraId="1F6821C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8E461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сентября 1940 состоялось заседание 23 коллегии НКАП по вопросам (1161):</w:t>
      </w:r>
    </w:p>
    <w:p w14:paraId="6C6C0B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 утверждении проектного задания по строительству ЦИАМ в Раменском (1161);</w:t>
      </w:r>
    </w:p>
    <w:p w14:paraId="07FF87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решение СНК от 12 сентября 1940 о работе коллегии наркомата среднего машиностроения НКЛП и НК по строительству (1161);</w:t>
      </w:r>
    </w:p>
    <w:p w14:paraId="7107B6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 строительстве дома НКАП (1161).</w:t>
      </w:r>
    </w:p>
    <w:p w14:paraId="4FE8A05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00C1721"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23 сентября 1940 вышло </w:t>
      </w:r>
      <w:r w:rsidRPr="00A3026E">
        <w:rPr>
          <w:rFonts w:ascii="Times New Roman" w:hAnsi="Times New Roman"/>
          <w:color w:val="0070C0"/>
          <w:sz w:val="16"/>
          <w:szCs w:val="16"/>
          <w:shd w:val="clear" w:color="auto" w:fill="FFFFFF"/>
        </w:rPr>
        <w:t>Постановление Комитета обороны при СНК СССР № 383сс "О преждевременных разрывах 203-мм снарядов в канале орудия" (22044).</w:t>
      </w:r>
    </w:p>
    <w:p w14:paraId="7AE03330" w14:textId="77777777" w:rsidR="001A7DB7" w:rsidRPr="00A3026E" w:rsidRDefault="001A7DB7" w:rsidP="00A3026E">
      <w:pPr>
        <w:spacing w:after="0" w:line="240" w:lineRule="auto"/>
        <w:jc w:val="both"/>
        <w:rPr>
          <w:rFonts w:ascii="Times New Roman" w:hAnsi="Times New Roman"/>
          <w:color w:val="0070C0"/>
          <w:sz w:val="16"/>
          <w:szCs w:val="16"/>
        </w:rPr>
      </w:pPr>
    </w:p>
    <w:p w14:paraId="0618AF5A"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23 сентября 1940 вышло </w:t>
      </w:r>
      <w:r w:rsidRPr="00A3026E">
        <w:rPr>
          <w:rFonts w:ascii="Times New Roman" w:hAnsi="Times New Roman"/>
          <w:color w:val="0070C0"/>
          <w:sz w:val="16"/>
          <w:szCs w:val="16"/>
          <w:shd w:val="clear" w:color="auto" w:fill="FFFFFF"/>
        </w:rPr>
        <w:t>Постановление Комитета обороны при СНК СССР № 384сс "О преждевременных разрывах 152-мм снарядов в канале орудия" (22045).</w:t>
      </w:r>
    </w:p>
    <w:p w14:paraId="7C0BCD5C" w14:textId="77777777" w:rsidR="001A7DB7" w:rsidRPr="00A3026E" w:rsidRDefault="001A7DB7" w:rsidP="00A3026E">
      <w:pPr>
        <w:spacing w:after="0" w:line="240" w:lineRule="auto"/>
        <w:jc w:val="both"/>
        <w:rPr>
          <w:rFonts w:ascii="Times New Roman" w:hAnsi="Times New Roman"/>
          <w:color w:val="0070C0"/>
          <w:sz w:val="16"/>
          <w:szCs w:val="16"/>
        </w:rPr>
      </w:pPr>
    </w:p>
    <w:p w14:paraId="2A5C7F8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99527E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5CD5D6E"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23 сентября 1940 - британский авианосец HMS Ark Royal прибывает в район Дакара, Сенегал с лидером Свободной Франции генералом Шарлем де Голлем. Он летит на двух французских учебно- тренировочных самолетах Caudron C.270 Luciole, которые доставляют на берег офицеров Свободной Франции с просьбой, чтобы французские войска Виши присоединились к де Голлю на стороне союзников , но французы Виши отказываются (20795).</w:t>
      </w:r>
    </w:p>
    <w:p w14:paraId="22861729" w14:textId="77777777" w:rsidR="001A7DB7" w:rsidRPr="00A3026E" w:rsidRDefault="001A7DB7" w:rsidP="00A3026E">
      <w:pPr>
        <w:spacing w:after="0" w:line="240" w:lineRule="auto"/>
        <w:jc w:val="both"/>
        <w:rPr>
          <w:rFonts w:ascii="Times New Roman" w:hAnsi="Times New Roman"/>
          <w:color w:val="0070C0"/>
          <w:sz w:val="16"/>
          <w:szCs w:val="16"/>
        </w:rPr>
      </w:pPr>
    </w:p>
    <w:p w14:paraId="0D333D57"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23 и 24 сентября 1940 года в ответ на приказ Черчиля об уничтожении французских линкоров сводная группа LeO 451 из эскадрилий GB I/11, GB I/23, GB II/23 и GB II/25 выполнили налеты на британскую базу Гибралтар. Англичане явно не ожидали такого ответа, и их зенитки смогли сбить лишь одного француза, но и сами больших потерь не понесли (22813).</w:t>
      </w:r>
    </w:p>
    <w:p w14:paraId="01C4E3FD" w14:textId="77777777" w:rsidR="001A7DB7" w:rsidRPr="00A3026E" w:rsidRDefault="001A7DB7" w:rsidP="00A3026E">
      <w:pPr>
        <w:spacing w:after="0" w:line="240" w:lineRule="auto"/>
        <w:jc w:val="both"/>
        <w:rPr>
          <w:rFonts w:ascii="Times New Roman" w:hAnsi="Times New Roman"/>
          <w:color w:val="0070C0"/>
          <w:sz w:val="16"/>
          <w:szCs w:val="16"/>
        </w:rPr>
      </w:pPr>
    </w:p>
    <w:p w14:paraId="2A2966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сентября 1940 Гитлер приказал вырывать у трупов в концлагерях золотые зубы и отправлять их в Рейхсбанк на имя некоего Макса Хейлигера (4962).</w:t>
      </w:r>
    </w:p>
    <w:p w14:paraId="11472C9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28727D2"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23 September 1940 De Gaulle goes to West Africa to try and persuade the French colonies to join the Free French Army (270).</w:t>
      </w:r>
    </w:p>
    <w:p w14:paraId="460FAA9C"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6210FE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сентября 1940 Де Голь отправился в Северную Африку для того, чтобы уговорить колонии присоединится к Французской освободительной армии (270). Несмотря на поддержку английского флота так и не смог (2244,7).</w:t>
      </w:r>
    </w:p>
    <w:p w14:paraId="40F8FC2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EE74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23-24 сентября 1940 потерпел неудачу англо-французский план высадки в Дакаре в Сенегале (операция Менас). Это были французы во главе с Де Голем (3186).</w:t>
      </w:r>
    </w:p>
    <w:p w14:paraId="18E9070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EBF5B81" w14:textId="77777777" w:rsidR="00E70D80" w:rsidRPr="00A3026E" w:rsidRDefault="00E70D80"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23 сентября </w:t>
      </w:r>
      <w:r w:rsidRPr="00A3026E">
        <w:rPr>
          <w:rFonts w:ascii="Times New Roman" w:hAnsi="Times New Roman"/>
          <w:color w:val="000000" w:themeColor="text1"/>
          <w:sz w:val="16"/>
          <w:szCs w:val="16"/>
        </w:rPr>
        <w:t>в 1940 году вторжение японских войск на территорию Индокитая (14778).</w:t>
      </w:r>
    </w:p>
    <w:p w14:paraId="4E263409" w14:textId="77777777" w:rsidR="00E70D80" w:rsidRPr="00A3026E" w:rsidRDefault="00E70D80" w:rsidP="00A3026E">
      <w:pPr>
        <w:spacing w:after="0" w:line="240" w:lineRule="auto"/>
        <w:jc w:val="both"/>
        <w:rPr>
          <w:rFonts w:ascii="Times New Roman" w:hAnsi="Times New Roman"/>
          <w:color w:val="000000" w:themeColor="text1"/>
          <w:sz w:val="16"/>
          <w:szCs w:val="16"/>
        </w:rPr>
      </w:pPr>
    </w:p>
    <w:p w14:paraId="2AA724B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939874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F08A5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сентября 1940 вышел совместный приказ НКВД и НКАП N 001198/504сс о создании производственной базы для постройки опытных самолетов по проектам ОТБ. В качестве основной производственной базы предусматривалось реорганизовать завод 156 НКАП в завод закрытого типа к 10 октября. На заводе 156 должно было быть организовано единое КБ ОТБ НКВД и в состав данного бюро предполагалось перевести КБ N 16 и N 17 вместе с тематикой на правах самостоятельных бригад. Директора завода 156 тов. Лейкина от должности освободили и назначили А.В.Ляпидевского А.В. с освобождением от должности нач. 8 отд. ЦАГИ с 16 сентября. А.С.Я. вместе с А.В.Ляпидевским и Кутеповым было поручено в 10 дн. срок пересмотреть программу опытных работ 156 завода. А.В.Ляпидевский завизировал 2 октября (284,5).</w:t>
      </w:r>
    </w:p>
    <w:p w14:paraId="69D394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создания производственной базы для достройки опытных самолетов по проектам ОТБ НКВД</w:t>
      </w:r>
    </w:p>
    <w:p w14:paraId="74E38D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Р И К А З Ы В А Е М:</w:t>
      </w:r>
    </w:p>
    <w:p w14:paraId="58C07A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6B37A6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Выделить в, качестве рсновной производственной ба|зы. для постройки самолетов по проектам ОТБ НКВД завод № 156 НКАЛ и реорганизовать его в завод закрытого типа к 10 октября с.г.</w:t>
      </w:r>
    </w:p>
    <w:p w14:paraId="50EBA6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w:t>
      </w:r>
    </w:p>
    <w:p w14:paraId="7B674C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Организовать на заводе № 156 НКАП единое конструкторское бюро ОТБ НКВД и перевести в состав этого бюро конструкторские бюро № 16 и № 17, вместе с тематикой на правах самостоятельных бригад.</w:t>
      </w:r>
    </w:p>
    <w:p w14:paraId="44EA5B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w:t>
      </w:r>
    </w:p>
    <w:p w14:paraId="6DC974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Директора завода № 156 тов. Ленкина от занимаемой должности освободить, согласно его просьбе и направишь в распоряжение Отдела кадров НКАП</w:t>
      </w:r>
    </w:p>
    <w:p w14:paraId="64822E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w:t>
      </w:r>
    </w:p>
    <w:p w14:paraId="713695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Назначить директором завода №'156 тов. ЛЯПИДЕВСКОГО А.В., освободив его от должности начальника 8-го отдела ЦАГИ с 16-го сентября с.г.</w:t>
      </w:r>
    </w:p>
    <w:p w14:paraId="560BF6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w:t>
      </w:r>
    </w:p>
    <w:p w14:paraId="240B12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Яковлеву А.С. пересмотреть совместно с товарищами Ляпидевским и Кутеповым программу опытных работ завода № 156 и представить свои соображения в 10-ти дневный срок.</w:t>
      </w:r>
    </w:p>
    <w:p w14:paraId="57D715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ВНУТРЕННИХ ДЕЛ СОЮЗА С С Р Л. Б Е Р И Я</w:t>
      </w:r>
    </w:p>
    <w:p w14:paraId="717080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НАРОДНЫЙ УОМИССАР АВИАЦИОННОЙ ПРОМЫШЛЕННОСТИ СОЮЗА С С Р А. Ш А Х.У Р И Н</w:t>
      </w:r>
    </w:p>
    <w:p w14:paraId="040E28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Верно: пом.начальника отделения кодификации Секретариата НКВД СССР лейтенант гос. безопасности (284,5).</w:t>
      </w:r>
    </w:p>
    <w:p w14:paraId="2E302B3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8F6C1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сентября 1940 г. по приказу № 001198/504сс завод № 156 (Завод № 156 НКОП, НКАП, МАП, ГКАТ, Завод опытных конструкций (ЗОК) ЦАГИ, ЗОК НКТП, НКОП, п/я-116, В-2877, ММЗ «Опыт» МАП, ММЗ им. А.Н. Туполева, АНТК им. А.Н. Туполева, АООТ «АНТК им. А.Н. Туполева» /г. Москва ул. Салтыковская, 3 (1942 г.); ул. Салтыковская, 5 (1947 г.)/ /111250  г. Москва наб. Академика Туполева, 15; 105005 наб. Академика Туполева, 17 тел. 267-25-33/) преобразован в закрытый завод в системе НКВД. На заводе организовано единое КБ ОТБ НКВД.</w:t>
      </w:r>
    </w:p>
    <w:p w14:paraId="7D5FF5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НКАП № 106с от 5.03.1940 г. на заводе № 156 предоставлена опытная база для ОКБ-ЗО В.В. Шевченко.</w:t>
      </w:r>
    </w:p>
    <w:p w14:paraId="656CA0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533 от 17.06.1941 г. заводу было поручено до 15.09.1941 г. передать тех. документацию по Ту-2 на завод № 18 для организации его выпуска.</w:t>
      </w:r>
    </w:p>
    <w:p w14:paraId="135869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823с от 9.08.1941 г. основная часть коллектива ОКБ А.А. Архангельского со всем имуществом и техдокументацией переведена с завода № 32 на завод № 156 НКАП.</w:t>
      </w:r>
    </w:p>
    <w:p w14:paraId="41E2FE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группа специалистов по электросистемам была переведена для укрепления в ОКБ-2 завода № 266.</w:t>
      </w:r>
    </w:p>
    <w:p w14:paraId="3C47C1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08.1941 г. по приказу № 652сс от 9.07.1941 г. завод № 156 7ГУ НКАП эвакуирован в Омск, где вместе с заводом № 81 влит в состав завода № 166 НКАП, и выбыл из состава действующих с 07.1941 г.</w:t>
      </w:r>
    </w:p>
    <w:p w14:paraId="27D3D8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площадке эвакуированного завода в Москве по приказу № 1073с от 20.10.1941 г. образованы ремонтные мастерские по приборам и изготовлению металлических деталей винтов при Ремотделе НКАП. Далее в системе 6ГУ НКАП начал действовать завод № 156. По приказу № 1168с от 16.12.1941 г. на завод № 156 переведена часть личного состава с завода № 207 НКАП, в 1942 г. они возвращены обратно. Пост. ГКО № 1293 от 16.02.1942 г. и приказом № 150с от 24.02.1942 г. было принято решение о переброске оборудования завода № 156 из  г. Нейвинска в Москву и организации производства подвесных бензобаков для бомбардировщиков. Завод № 156 в 1942 г. действовал на старом месте (ул. Салтыковская). Производство амортизаторов для лыж, подвесных бензо- и маслобаков из целлюлозы конструкции ОКБ гл. конструктора П.В. Гулянского. Освоено производство ВАП-250 го целлюлозы.</w:t>
      </w:r>
    </w:p>
    <w:p w14:paraId="051ADE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Весной 1943 г. на территории завода № 156 размещалось КБ М.И. Гудкова (переведено с завода № 21). Работы поГу-1.</w:t>
      </w:r>
    </w:p>
    <w:p w14:paraId="72E7B4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04.1943 г. завод № 156 передан из 6ГУ в 7ГУ НКАП, и началось возобновление работ по опытному самолетостроению. По приказу № 233с от 14/19.04.1943 г. гл. конструктором/ ответственным руководителем завода назначен А.Н. Туполев. Осенью 1943 г. КБ вернулось на площадку завода № 156 и продолжило работу как ОКБ-156 НКАП. В начале 1944 г. при заводе образован филиал ОКБ-166 НКАП для доводки Ту-2.</w:t>
      </w:r>
    </w:p>
    <w:p w14:paraId="3E004F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08.1943 г. заводу дано задание освоить производство бензофильтров, бензопистолетов, арматуры к бензо- и маслозаправщикам.</w:t>
      </w:r>
    </w:p>
    <w:p w14:paraId="2CEEF0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 г. на завод передано 150 станков с завода Эрля в  г. Гройтш (Германия), а всего - 208 трофейных металлорежущих станков.</w:t>
      </w:r>
    </w:p>
    <w:p w14:paraId="659C7C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1960 г. завод № 156 - в ведении ГКАТ.</w:t>
      </w:r>
    </w:p>
    <w:p w14:paraId="3F67B9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Ответственный руководитель (04.1943 г.-)- А.Н. Туполев.</w:t>
      </w:r>
    </w:p>
    <w:p w14:paraId="0944A7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(-05-13.11.1937 г.)- А.А. Осипов, (13.11.1937-13.04.1938 г.)- А.Т. Туманов, (13.04-11.1938 г.-)- М.А. Усачев, (1939 г.)- Ленкин, (09.1940-07.1941 г.; -11.1943-02.1945 г.-)- А.В. Ляпидевский, (12.1941 г.)- П.В. Гулянский, (-07.1943 г.)- С.С. Ржыщев; И.О. директора (08.1943 г.)- Новосельский; (1955 г.)- И.Б. Иосилович.</w:t>
      </w:r>
    </w:p>
    <w:p w14:paraId="29C9ED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(06.1937 г.)- Б.А. Новосельский. Помощник директора по найму и увольнению рабочей силы (1.02.1937 г.-)- Н.Б. Суровцев.</w:t>
      </w:r>
    </w:p>
    <w:p w14:paraId="42B494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Технический директор (07.1936 г.-)- В.М. Петляков, (28.05-08.1938 г.-)- Н.Н. Поликарпов. Директор по общим вопросам (-2005-06 г.-)-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Затучный.</w:t>
      </w:r>
    </w:p>
    <w:p w14:paraId="24C174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(06.1937 г.)- Б.А. Новосельский.</w:t>
      </w:r>
    </w:p>
    <w:p w14:paraId="2C9B71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(1940 г.)- С.А. Кочеригин, (04.1943 г.-)- А.Н. Туполев.</w:t>
      </w:r>
    </w:p>
    <w:p w14:paraId="625967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гл. конструктора (07.1936 г.-)- П.О. Сухой.</w:t>
      </w:r>
    </w:p>
    <w:p w14:paraId="1AE5CF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отделов: КО (07.1936 г.-)- В.М. Петляков.</w:t>
      </w:r>
    </w:p>
    <w:p w14:paraId="7D5D29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начальника отдела: КО (07.1936 г.-)- П.О. Сухой; ОТК (07.1938 г.)- А.С. Комаленков.</w:t>
      </w:r>
    </w:p>
    <w:p w14:paraId="79FC54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КО (1937 г.-)- П.О. Сухой.</w:t>
      </w:r>
    </w:p>
    <w:p w14:paraId="6050F3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департамента по связям с общественностью (2005 г.)- Т.В. Скворцова.</w:t>
      </w:r>
    </w:p>
    <w:p w14:paraId="1C8B5C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самолеты: «Иванов» (1938)- 1, И-180 (1938)- 2, «100». (1939)- 1, ДБ-Ж (1940)- 1, «103» (1940)- 1, «ЮЗУ» (04.1941)- 1, «103В» (1941)- 1, «370» (1941)- 1, Ту-2Д («62», 1944-45)- 2, Ту-14 («73», 1947)- 3, «82» (1949)- 1, Ту-16 («88», 1952-53)- 2, Ту-91 (1954)- 1, Ту-98 («98», 1955-)- 2, «105» (1958)- 1, Ту-160 (1981)- 3 (из деталей КАПО); торпедные катера: Г-6 (1935)- 1, Г-8 (1937)- 1 (11982).</w:t>
      </w:r>
    </w:p>
    <w:p w14:paraId="29555C3F" w14:textId="77777777" w:rsidR="00E70D80" w:rsidRPr="00A3026E" w:rsidRDefault="00E70D80" w:rsidP="00A3026E">
      <w:pPr>
        <w:tabs>
          <w:tab w:val="left" w:pos="360"/>
        </w:tabs>
        <w:spacing w:after="0" w:line="240" w:lineRule="auto"/>
        <w:jc w:val="both"/>
        <w:rPr>
          <w:rFonts w:ascii="Times New Roman" w:hAnsi="Times New Roman"/>
          <w:color w:val="000000" w:themeColor="text1"/>
          <w:sz w:val="16"/>
          <w:szCs w:val="16"/>
        </w:rPr>
      </w:pPr>
    </w:p>
    <w:p w14:paraId="4AC0941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сентября 1940 второй экземпляр самолета ОКО-6 2М-88 был отгружен из Киева в Москву на аэродром ЦАГИ-Раменское (3377, 31).</w:t>
      </w:r>
    </w:p>
    <w:p w14:paraId="58FECAF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41BE3D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сентября 1940 ОКО-ббис в разобранном виде отправили из Киева железнодорож</w:t>
      </w:r>
      <w:r w:rsidRPr="00A3026E">
        <w:rPr>
          <w:rFonts w:ascii="Times New Roman" w:hAnsi="Times New Roman"/>
          <w:color w:val="000000" w:themeColor="text1"/>
          <w:sz w:val="16"/>
          <w:szCs w:val="16"/>
        </w:rPr>
        <w:softHyphen/>
        <w:t>ным транспортом в Москву (п. Раменское) в 8-й отдел ЦАГИ для прохождения заводских испытаний. В ЦАГИ самолет поступил 30 сентября (12614).</w:t>
      </w:r>
    </w:p>
    <w:p w14:paraId="3A475F8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F29A6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сентября 1940 на И-135 "330" М-105П – гл. конструктор Сухой, Завод № 135, был выполнен полет на сверхмаксимальную скорость. Получено по прибору 580 км/час на высоте 4000 м. Полет прошел нормально (3377, 31).</w:t>
      </w:r>
    </w:p>
    <w:p w14:paraId="5BD4F86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4B39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сентября 1940 состоялось совещание:</w:t>
      </w:r>
    </w:p>
    <w:p w14:paraId="24D87E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Протокол совещания у заместителя начальника ГУ ВВС КА генерал-лейтенанта авиации Астахова 24 сентября 1940 г. (ЦАМО ф.35 оп.11287 д.31 л.62-79).</w:t>
      </w:r>
    </w:p>
    <w:p w14:paraId="206DE8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Астахов: После проведения конференции по винтам в НИИ ВВС КА в течение месяца конструкторами винтов ничего не бьио дано в смысле реализации постановлений конференции. На сегодня с ВМГ не все благополучно (подбор винта, редукции и другое). Дальше это нетерпимо.</w:t>
      </w:r>
    </w:p>
    <w:p w14:paraId="3388F9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Филин (начальник НИИ ВВС КА): Вопрос о винтах для скоростных машин является актуальным, однако, винты и их подбор к самолету и мотору не соответствует тем требованиям, которые имеются на сегодня. Конструкторы самолетов подходят упрощенно к подбору винта, рассчитывая на случайную удачу.</w:t>
      </w:r>
    </w:p>
    <w:p w14:paraId="28E62A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...Меня удивляет постановка вопроса о выпуске некоторых винтов промышленностью, как, например, винт ВРШ-105 конструкции Заславского и Бас-Дубова, который прошел государственные испытания и проще в производстве, чем винт В И111-61 конструкции Кузьмина, не проходивший испытания. Винт ВРШ-105 тормозится, в то время как ВИШ-61 в таком виде с большими дефектами запущен в крупносерийное производство.</w:t>
      </w:r>
    </w:p>
    <w:p w14:paraId="20F129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Бас-Дубов (главный конструктор завода № 28 КБ № 2): У нас очень плохо увязаны параметры винта, мотора и самолета. Отсюда КПД винта</w:t>
      </w:r>
    </w:p>
    <w:p w14:paraId="5ED7E4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летные характеристики самолета ниже, чем, скажем, в Германии. Очень много зависит от качества проведенных экспериментов и испытаний. Ее- ли взять немецкий винт с обычным профилем РАФ-6 лишь с несколько снесенной максимальной толщиной, то характеристики этого винта снимаются в малой трубе на совершенных моделях. Кроме того, мы просто слепо скопированi заграничный образец Гамильтон, в то время как немцы изучили его, и, затем, дали свой, более совершенный винт. Все это дает возможность судить, почему немецкие самолеты летают быстрее и с меньшим расходом горючего.</w:t>
      </w:r>
    </w:p>
    <w:p w14:paraId="1B66E8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Бибиков (начальник 10-го управления ГУ ВВС КА): Винт, работающий по обратной схеме, впервые вводится у нас на снабжение и является опытным. Необходимо провести тщательные сравнительные испытания и сделать вывод, какой винт ВРШ-105 или ВИШ-61 внедрить в серийное производство.</w:t>
      </w:r>
    </w:p>
    <w:p w14:paraId="55ECD8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Никифоров (главный конструктор завода № 28 КБ № 3): Маслоуплотнительные кольца в большой степени влияют на уплотнение, а при увеличении температуры зазоры увеличиваются. Такая неприятность присуща гидравлической схеме. Возможно поэтому немцы учли это, отказавшись от винтов типа Гамильтон, и сконструировали свой винт с электромеханической передачей. И\я завтрашнего дня нужно взять за отправной винт с электромеханическим переключением. Нужно скопировать немецкий VDM и запустить его в производство. В настоящее время запущено только три опытных винта VDM, якобы для проверки технологии. Параллельно считаю целесообразным запустить в производство ВРШ-105, а ВИШ-61 надо снять, потому что у него большое трение в лопастном гнезде, несовершенный по конструкции узел комля лопасти, что угрожает заклинению и раскрутке мотора. Лопастное гнездо сконструировано безграмотно. Роликовый подшипник этого винта сминается, надо будет установить еще один роликовый подшипник. Мне непонятно почему завод и НКАП "протаскивают" винт ВИШ-61, а не запускают в производство ВРШ-105.</w:t>
      </w:r>
    </w:p>
    <w:p w14:paraId="7A415B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Груничев (8-е управление НКАП): т. Никифоров верно указал, что сильные конструкторы с хорошим предложением не могут осуществить свою конструкцию - это относится к винтам ВРШ-105 и ВИ1Л-52 - пушечные варианты. Я не могу сказать, почему так получилось. Те, кто работает бесплодно - их поощряют. Мы должны судить людей по делам, а не по их словам. Винт ВИШ-61 имея серьезные пороки и дефекты (наклеп, износ цилиндров, недостатки уплотнения) все же находится в производстве на полном ходу. Надо в это дело вмешаться Военведу, так как сазами отдельных лиц внедрение плохого винта в производство трудно остановить (12048).</w:t>
      </w:r>
    </w:p>
    <w:p w14:paraId="3850269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5E579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сентября 1940 и 7 ГУ Машкевич направил Зам. Нач. ЦАГИ В.И.Поликовскому письмо N 3/1987 в сопровождение эскизного проекта истребитель-перехватчик с комбинированной реактивной установкой для рассмотрения и подготовки заключения (1448,98).</w:t>
      </w:r>
    </w:p>
    <w:p w14:paraId="7F7A91C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368F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 о ходе испытаний опытных самолетов на 24 сентября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9"/>
        <w:gridCol w:w="8448"/>
      </w:tblGrid>
      <w:tr w:rsidR="00983732" w:rsidRPr="00A3026E" w14:paraId="628450A5" w14:textId="77777777" w:rsidTr="00EA0DA7">
        <w:tc>
          <w:tcPr>
            <w:tcW w:w="3119" w:type="dxa"/>
          </w:tcPr>
          <w:p w14:paraId="741D9B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самолета</w:t>
            </w:r>
          </w:p>
        </w:tc>
        <w:tc>
          <w:tcPr>
            <w:tcW w:w="8448" w:type="dxa"/>
          </w:tcPr>
          <w:p w14:paraId="2EED59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работ</w:t>
            </w:r>
          </w:p>
        </w:tc>
      </w:tr>
      <w:tr w:rsidR="00983732" w:rsidRPr="00A3026E" w14:paraId="7DCC0EAD" w14:textId="77777777" w:rsidTr="00EA0DA7">
        <w:tc>
          <w:tcPr>
            <w:tcW w:w="3119" w:type="dxa"/>
          </w:tcPr>
          <w:p w14:paraId="0916B6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И-135 "330" – гл. конструктор Сухой</w:t>
            </w:r>
          </w:p>
          <w:p w14:paraId="476780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135</w:t>
            </w:r>
          </w:p>
          <w:p w14:paraId="68C79F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на заводе заводские испытания.</w:t>
            </w:r>
          </w:p>
        </w:tc>
        <w:tc>
          <w:tcPr>
            <w:tcW w:w="8448" w:type="dxa"/>
          </w:tcPr>
          <w:p w14:paraId="4D3D51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года самолет сделал 2 полета продолжительностью 45 минут для отработки температурного режима мотора с включенными ТК-2 до высоты 5000 м. Полеты показали, что температуры воды и масла находится в пределах нормы (температура выходящей воды и масла была не выше 100 и 107 градусов соответственно). Перед второй посадкой левая нога шасси выпустилась не полностью, летчик убрал шасси, выпустил их и дотянул аварийной лебедкой, посадка произведена нормально. При осмотре шасси обнаружен конструктивный недостаток в механизме поворота колеса, который уже устранен. Кроме того, стал подтекать кран шасси, устранение течи гидравлического крана шасси к 23 сентября не было окончено. На самолете устанавливается "НАЯДА" для полетов по замеру расхода горючего.</w:t>
            </w:r>
          </w:p>
          <w:p w14:paraId="4468A6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 программы заводских испытаний находится в начальной стадии.</w:t>
            </w:r>
          </w:p>
        </w:tc>
      </w:tr>
      <w:tr w:rsidR="00983732" w:rsidRPr="00A3026E" w14:paraId="31F951E4" w14:textId="77777777" w:rsidTr="00EA0DA7">
        <w:tc>
          <w:tcPr>
            <w:tcW w:w="3119" w:type="dxa"/>
          </w:tcPr>
          <w:p w14:paraId="185BED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М-105П – гл. Конструкторы Горбунов, Лавочкин и Гудков</w:t>
            </w:r>
          </w:p>
          <w:p w14:paraId="19B4E0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301</w:t>
            </w:r>
          </w:p>
          <w:p w14:paraId="4B15D4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на заводе заводские испытания.</w:t>
            </w:r>
          </w:p>
        </w:tc>
        <w:tc>
          <w:tcPr>
            <w:tcW w:w="8448" w:type="dxa"/>
          </w:tcPr>
          <w:p w14:paraId="1F8488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начата работа по монтажу мотора. Кроме монтажа мотора производится установка гидропроводки шасси, установлен костыль, идет монтаж оборудования в кабине летчика. Подготовка обшивки центроплана закончена и готова для монтажа на центроплане. Консоли крыльев отремонтированы. Оперение установлено.</w:t>
            </w:r>
          </w:p>
          <w:p w14:paraId="3A7B94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приказом зам. наркома авиапрома на самолете производится монтаж пушки ШВАК. Предварительная примерка показывает, что боезапас пулеметов БС в связи с установкой пушки ШВАК немного уменьшится. Медленный темп ремонта самолета объясняется недостаточным количеством рабочих в опытном цехе завода № 301.</w:t>
            </w:r>
          </w:p>
        </w:tc>
      </w:tr>
      <w:tr w:rsidR="00983732" w:rsidRPr="00A3026E" w14:paraId="158C5F63" w14:textId="77777777" w:rsidTr="00EA0DA7">
        <w:tc>
          <w:tcPr>
            <w:tcW w:w="3119" w:type="dxa"/>
          </w:tcPr>
          <w:p w14:paraId="44C778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 – гл. конструктор Ермолаев</w:t>
            </w:r>
          </w:p>
          <w:p w14:paraId="335A93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240</w:t>
            </w:r>
          </w:p>
          <w:p w14:paraId="34DB07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заводские испытания.</w:t>
            </w:r>
          </w:p>
        </w:tc>
        <w:tc>
          <w:tcPr>
            <w:tcW w:w="8448" w:type="dxa"/>
          </w:tcPr>
          <w:p w14:paraId="51C04D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16 по 23 сентября 1940 года производилась подвеска и сбрасывание на земле бомб ФАБ-100 и отработка на земле ВАП-500. Сделано 5 полетов на растряску и сбрасывание корпусов бомб ФАБ-100 и выливание нейтральной жидкости из ВАП-500.</w:t>
            </w:r>
          </w:p>
          <w:p w14:paraId="596D19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дали течь 2 бензобака. Самолет перегнан на завод № 240 для устранения дефектов перед сдачей на госиспытания.</w:t>
            </w:r>
          </w:p>
          <w:p w14:paraId="497481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Программа заводских испытаний вооружения закончена.</w:t>
            </w:r>
          </w:p>
        </w:tc>
      </w:tr>
      <w:tr w:rsidR="00983732" w:rsidRPr="00A3026E" w14:paraId="08ABAF9A" w14:textId="77777777" w:rsidTr="00EA0DA7">
        <w:tc>
          <w:tcPr>
            <w:tcW w:w="3119" w:type="dxa"/>
          </w:tcPr>
          <w:p w14:paraId="453409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М-105П – гл. конструктор Яковлев</w:t>
            </w:r>
          </w:p>
          <w:p w14:paraId="7866A1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115</w:t>
            </w:r>
          </w:p>
          <w:p w14:paraId="1449DA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Производятся заводские испытания.</w:t>
            </w:r>
          </w:p>
        </w:tc>
        <w:tc>
          <w:tcPr>
            <w:tcW w:w="8448" w:type="dxa"/>
          </w:tcPr>
          <w:p w14:paraId="70517A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 № 3. На самолете производилась переделка замков и подкосов шасси и устранялась течь бензобака. Произведено 2 полета – 1 час 02 мин. на поверку работы ВМГ и шасси; второй полет – на штопор.</w:t>
            </w:r>
          </w:p>
          <w:p w14:paraId="00D884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года при взлете сдал мотор – упали обороты мотора и упало давление масла до нуля. При осмотре обнаружена стальная стружка в масле и 2 стальных обломка в маслокорыте. Мотор снят с самолета и устанавливается другой мотор.</w:t>
            </w:r>
          </w:p>
          <w:p w14:paraId="0D6176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с начала заводских испытаний произведен 21 полет – 5 часов 10 минут.</w:t>
            </w:r>
          </w:p>
          <w:p w14:paraId="6F1A59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должны производиться полеты на пикирование и стрельбы, после чего самолет будет передан на госиспытания.</w:t>
            </w:r>
          </w:p>
          <w:p w14:paraId="60F8A3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Ориентировочный срок сдачи самолета на госиспытания 1 октября 1940 года.</w:t>
            </w:r>
          </w:p>
          <w:p w14:paraId="3D9E1D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не полностью устранены дефекты, выявленные ранее при госиспытании:</w:t>
            </w:r>
          </w:p>
          <w:p w14:paraId="75EF4CE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Не улучшено охлаждение масла.</w:t>
            </w:r>
          </w:p>
          <w:p w14:paraId="786686D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Не увеличен запас продольной устойчивости.</w:t>
            </w:r>
          </w:p>
          <w:p w14:paraId="1050049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r w:rsidRPr="00A3026E">
              <w:rPr>
                <w:rFonts w:ascii="Times New Roman" w:hAnsi="Times New Roman"/>
                <w:color w:val="000000" w:themeColor="text1"/>
                <w:sz w:val="16"/>
                <w:szCs w:val="16"/>
              </w:rPr>
              <w:tab/>
              <w:t>Не обеспечена надежность работы замков шасси без противодавления в цилиндре уборки шасси и др. дефекты.</w:t>
            </w:r>
          </w:p>
          <w:p w14:paraId="68CC82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 № 2. Самолет находится в цехе завода № 115 в разобранном виде. На самолете устраняются все дефекты, выявленные на госиспытаниях, устанавливается мотор М-105П с трехскоростным нагнетателем и предкрылками.</w:t>
            </w:r>
          </w:p>
        </w:tc>
      </w:tr>
      <w:tr w:rsidR="00983732" w:rsidRPr="00A3026E" w14:paraId="1C8796E6" w14:textId="77777777" w:rsidTr="00EA0DA7">
        <w:tc>
          <w:tcPr>
            <w:tcW w:w="3119" w:type="dxa"/>
          </w:tcPr>
          <w:p w14:paraId="3D7C6E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И-21 М-105П – гл. конструктор Пашинин</w:t>
            </w:r>
          </w:p>
          <w:p w14:paraId="69B94F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21</w:t>
            </w:r>
          </w:p>
          <w:p w14:paraId="052A9D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заводские испытания.</w:t>
            </w:r>
          </w:p>
        </w:tc>
        <w:tc>
          <w:tcPr>
            <w:tcW w:w="8448" w:type="dxa"/>
          </w:tcPr>
          <w:p w14:paraId="4EF137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1 экз. – самолет перегнан на завод № 21 для переделок, связанных с улучшением продольной устойчивости самолета (увеличение стреловидности крыла в плане и удлинение моторамы), а также для устранения дефектов, выявленных при заводских испытаниях в НИИ ВВС (доводка шасси, установка баллонного колеса на костыле). Все переделки гл. конструктор предполагает закончить к 1 октября.</w:t>
            </w:r>
          </w:p>
          <w:p w14:paraId="16E217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определения продольной устойчивости на заводе, самолет будет передан на госиспытания в НИИ ВВС.</w:t>
            </w:r>
          </w:p>
          <w:p w14:paraId="7ABE97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2 экземпляру. На самолете производится отстрел пушки на земле и устранение дефектов в креплении пушки, выявленных при отстреле.</w:t>
            </w:r>
          </w:p>
          <w:p w14:paraId="7CC147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устранения дефектов, связанных с крепление пушки на моторе, будет произведен отстрел пушки в воздухе, после чего заводом самолет предположено передать на госиспытания в НИИ ВВС для проверки вооружения. Срок конструктором установлен 1 октября.</w:t>
            </w:r>
          </w:p>
          <w:p w14:paraId="1DD201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Передача на госиспытания самолета И21 1 и 2 экз. без устранения дефектов, выявленных при заводских испытаниях, в НИИ ВВС не целесообразна.</w:t>
            </w:r>
          </w:p>
        </w:tc>
      </w:tr>
      <w:tr w:rsidR="00983732" w:rsidRPr="00A3026E" w14:paraId="19F3B72F" w14:textId="77777777" w:rsidTr="00EA0DA7">
        <w:tc>
          <w:tcPr>
            <w:tcW w:w="3119" w:type="dxa"/>
          </w:tcPr>
          <w:p w14:paraId="18B4BF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 АМ-35А – гл. конструктор Микоян</w:t>
            </w:r>
          </w:p>
          <w:p w14:paraId="6920E2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заводские испытания.</w:t>
            </w:r>
          </w:p>
        </w:tc>
        <w:tc>
          <w:tcPr>
            <w:tcW w:w="8448" w:type="dxa"/>
          </w:tcPr>
          <w:p w14:paraId="2DADD9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 № 1. С 16 сентября по 25 сентября проходит заводские испытания. За время испытаний произведен один полет для проверки работы подвесных бензобаков в полете.</w:t>
            </w:r>
          </w:p>
          <w:p w14:paraId="017C75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полете произошел обрыв (потеря) обоих подвесных баков в местах их подвески.</w:t>
            </w:r>
          </w:p>
          <w:p w14:paraId="1EB011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на самолете происходило испытание заполнения бензобаков нейтральными выхлопными газами. Результат заполнения удовлетворительный, количество газов достаточное против взрыва.</w:t>
            </w:r>
          </w:p>
          <w:p w14:paraId="639E76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данное время производится детальный расчет и изготовление новой подвески бензобаков.</w:t>
            </w:r>
          </w:p>
          <w:p w14:paraId="513283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Экземпляры №№ 2 и 3. После госиспытаний переданы заводу для производства ремонта, доводки и устранения дефектов после госиспытаний.</w:t>
            </w:r>
          </w:p>
        </w:tc>
      </w:tr>
      <w:tr w:rsidR="00983732" w:rsidRPr="00A3026E" w14:paraId="009C5963" w14:textId="77777777" w:rsidTr="00EA0DA7">
        <w:tc>
          <w:tcPr>
            <w:tcW w:w="3119" w:type="dxa"/>
          </w:tcPr>
          <w:p w14:paraId="35C746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УТИ-26 М-105 – гл. конструктор Яковлев</w:t>
            </w:r>
          </w:p>
          <w:p w14:paraId="38E051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115</w:t>
            </w:r>
          </w:p>
          <w:p w14:paraId="10B326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госиспытания.</w:t>
            </w:r>
          </w:p>
        </w:tc>
        <w:tc>
          <w:tcPr>
            <w:tcW w:w="8448" w:type="dxa"/>
          </w:tcPr>
          <w:p w14:paraId="43EBC5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программы госиспытаний, на УТИ-26 произведены: пробный полет на пилотаж, полет на пикирование, полет на потолок, полет для испытания ВМГ на номинале, определение маневренности на высоте 1000 м, 2 полета на штопор, 6 полет для испытания самолета на устойчивость. Определены взлетно-посадочные свойства самолета.</w:t>
            </w:r>
          </w:p>
          <w:p w14:paraId="47110A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23 полета продолжительностью 10 часов 38 минут. С начала госиспытаний 30 полетов общей продолжительностью 13 часов 15 минут.</w:t>
            </w:r>
          </w:p>
          <w:p w14:paraId="73CE36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УТИ-26 21 сентября 1940 года передан по акту завода № 115 для вывозки летчиков, проводящих войсковые испытания самолетов И-26 М-105.</w:t>
            </w:r>
          </w:p>
          <w:p w14:paraId="4912D1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программы остались невыполненными:</w:t>
            </w:r>
          </w:p>
          <w:p w14:paraId="71F33DF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Стрельба по конусам и наземным мишеням.</w:t>
            </w:r>
          </w:p>
          <w:p w14:paraId="1B9D679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Облет самолета летчиками НИИ ВВС.</w:t>
            </w:r>
          </w:p>
        </w:tc>
      </w:tr>
      <w:tr w:rsidR="00983732" w:rsidRPr="00A3026E" w14:paraId="0354E8A0" w14:textId="77777777" w:rsidTr="00EA0DA7">
        <w:tc>
          <w:tcPr>
            <w:tcW w:w="3119" w:type="dxa"/>
          </w:tcPr>
          <w:p w14:paraId="091DE7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И-190 М-88Р – гл. конструктор Поликарпов</w:t>
            </w:r>
          </w:p>
          <w:p w14:paraId="5B4CF6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w:t>
            </w:r>
          </w:p>
          <w:p w14:paraId="32A58C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заводские испытания.</w:t>
            </w:r>
          </w:p>
        </w:tc>
        <w:tc>
          <w:tcPr>
            <w:tcW w:w="8448" w:type="dxa"/>
          </w:tcPr>
          <w:p w14:paraId="1411A0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запрещения полетов с мотором М-88 работа по доводке самолета И-190 временно преращена.</w:t>
            </w:r>
          </w:p>
        </w:tc>
      </w:tr>
    </w:tbl>
    <w:p w14:paraId="6B6CE7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(3377, 21-24).</w:t>
      </w:r>
    </w:p>
    <w:p w14:paraId="4BF1DF5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9112A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сентября 1940 вышло постановление КО N 385сс "Об увеличении мощности завода 16 по выпуску моторов М-105."</w:t>
      </w:r>
    </w:p>
    <w:p w14:paraId="429EF9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передачей в систему Наркомавиапрома дизельного завода им. Сталина в г. Ворнеже для производства маломощных авиамоторов и развития производства моторов М-105 на заводе № 16 Наркомавиапрома, Комитет Обороны при СНК Союза ССР ПОСТАНОВЛЯЕТ:</w:t>
      </w:r>
    </w:p>
    <w:p w14:paraId="67CA14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Обязать Наркомавиапром т. Шазурина организовать на за</w:t>
      </w:r>
      <w:r w:rsidRPr="00A3026E">
        <w:rPr>
          <w:rFonts w:ascii="Times New Roman" w:hAnsi="Times New Roman"/>
          <w:color w:val="000000" w:themeColor="text1"/>
          <w:sz w:val="16"/>
          <w:szCs w:val="16"/>
        </w:rPr>
        <w:softHyphen/>
        <w:t xml:space="preserve">воде им.Сталнва в г. Воронеже серийное производство маломощных авиамоторов </w:t>
      </w:r>
      <w:r w:rsidRPr="00A3026E">
        <w:rPr>
          <w:rFonts w:ascii="Times New Roman" w:hAnsi="Times New Roman"/>
          <w:color w:val="000000" w:themeColor="text1"/>
          <w:sz w:val="16"/>
          <w:szCs w:val="16"/>
          <w:u w:val="single"/>
        </w:rPr>
        <w:t>с выпуском в 1940 г.:</w:t>
      </w:r>
    </w:p>
    <w:p w14:paraId="4E7CAF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М-11 - 200 штук.</w:t>
      </w:r>
    </w:p>
    <w:p w14:paraId="206D0D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Установить для завода им. Сталива программу по выпуску маломощных моторов на 1941 г.:</w:t>
      </w:r>
    </w:p>
    <w:p w14:paraId="129B11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мотору М-11 - 2500 шт.</w:t>
      </w:r>
    </w:p>
    <w:p w14:paraId="61E826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мотору МВ-6 - 240 шт.</w:t>
      </w:r>
    </w:p>
    <w:p w14:paraId="221281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Довести мощность завода им. Сталина на 1 января </w:t>
      </w:r>
    </w:p>
    <w:p w14:paraId="3AFD60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штору М-11 - 6000 шт. в год</w:t>
      </w:r>
    </w:p>
    <w:p w14:paraId="2575EA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мотору МВ-6 - 1000 шт. в год.</w:t>
      </w:r>
    </w:p>
    <w:p w14:paraId="37C3BC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Госплану СССР и Наркомтяжмашу </w:t>
      </w:r>
      <w:r w:rsidRPr="00A3026E">
        <w:rPr>
          <w:rFonts w:ascii="Times New Roman" w:hAnsi="Times New Roman"/>
          <w:color w:val="000000" w:themeColor="text1"/>
          <w:sz w:val="16"/>
          <w:szCs w:val="16"/>
          <w:u w:val="single"/>
        </w:rPr>
        <w:t>до 1 октября</w:t>
      </w:r>
      <w:r w:rsidRPr="00A3026E">
        <w:rPr>
          <w:rFonts w:ascii="Times New Roman" w:hAnsi="Times New Roman"/>
          <w:color w:val="000000" w:themeColor="text1"/>
          <w:sz w:val="16"/>
          <w:szCs w:val="16"/>
        </w:rPr>
        <w:t xml:space="preserve"> 1940 г. разместить заказ, установленный для завода им. Сталина по дизелям и спедпродукцки на заводы Наркомтяжмаша и другие заводы и представитъ на утверждение Экономического Совета.</w:t>
      </w:r>
    </w:p>
    <w:p w14:paraId="6B17F2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Наркомавмапрому передать заводам, установленным Экономсоветом оснастку и заделы по дизелям и спецпродукции.</w:t>
      </w:r>
    </w:p>
    <w:p w14:paraId="10C8A4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Освободить завод №16 от производства маломощных мото</w:t>
      </w:r>
      <w:r w:rsidRPr="00A3026E">
        <w:rPr>
          <w:rFonts w:ascii="Times New Roman" w:hAnsi="Times New Roman"/>
          <w:color w:val="000000" w:themeColor="text1"/>
          <w:sz w:val="16"/>
          <w:szCs w:val="16"/>
        </w:rPr>
        <w:softHyphen/>
        <w:t>ров с 1 апреля 1941 г., передав полностью оборудование, оснастку и техническую документацию по маломощным моторам заводу им. Сталина.</w:t>
      </w:r>
    </w:p>
    <w:p w14:paraId="7C4CC9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Установить на 1941 г. программу заводу № 16 по выпуску моторов М-105 - 2.000 шт., моторов МВ-6 - 300 шт.</w:t>
      </w:r>
    </w:p>
    <w:p w14:paraId="28E75C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Довести мощность завода № 16 в течение 1941 г. по выпуску моторов М-105 до 4.000 шт.в год.</w:t>
      </w:r>
    </w:p>
    <w:p w14:paraId="4ED835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Закончить переоборудование заводов № 16 и им.Сталина в 1У кв. 1941 г.</w:t>
      </w:r>
    </w:p>
    <w:p w14:paraId="577E84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Работы по переоборудованию завода им. Сталина разрешить вести без утвержденных проектов и смет, а Промбанку СССР финансировать эти работы.</w:t>
      </w:r>
    </w:p>
    <w:p w14:paraId="2BB996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Выделить из резервного фонда СНК СССР на постановку производ</w:t>
      </w:r>
      <w:r w:rsidRPr="00A3026E">
        <w:rPr>
          <w:rFonts w:ascii="Times New Roman" w:hAnsi="Times New Roman"/>
          <w:color w:val="000000" w:themeColor="text1"/>
          <w:sz w:val="16"/>
          <w:szCs w:val="16"/>
        </w:rPr>
        <w:softHyphen/>
        <w:t>ства и подготовку кадров для завода № 16 - 6 млн. рублей, для завода им.Сталина - 4 млн. рублей.</w:t>
      </w:r>
    </w:p>
    <w:p w14:paraId="09BE21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Установить премиальный фонд зароду № 16 за выполнение программы по мотору М-105 - 1 млн. 500 тыс. рублей» из них:</w:t>
      </w:r>
    </w:p>
    <w:p w14:paraId="5E1AEE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- 500 тнс.рублей и за первое полугодие 1941 г.- 1 млн.рублей, заводу им.Сталина - 1 млн. рублей, из них:</w:t>
      </w:r>
    </w:p>
    <w:p w14:paraId="4A4525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- 250 тыс. рублей. 1 полугодие 1941 г. - 500 тыс. рублей.</w:t>
      </w:r>
    </w:p>
    <w:p w14:paraId="59C5D1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за выполнение плана строительства - 250 тнс.рублей.</w:t>
      </w:r>
    </w:p>
    <w:p w14:paraId="1502EF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Ваделить доподнительно из резервного фонда СНК СССР в 1940 г. на переоборудование завода им.Сталина - 5 млн.рублей.</w:t>
      </w:r>
    </w:p>
    <w:p w14:paraId="2CA7C6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Воронежскому Облисполкому обеспечить строительство заводов № 16 и им. Сталина в 1-11 кварталах 1941 г. рабочей силой в количестве 2.000 человек.</w:t>
      </w:r>
    </w:p>
    <w:p w14:paraId="3B76BB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Обязать СНК РСФСР обеспечить строительство завода № 16 и им. Сталина в г.Воронеже местными строительными материалами в количе</w:t>
      </w:r>
      <w:r w:rsidRPr="00A3026E">
        <w:rPr>
          <w:rFonts w:ascii="Times New Roman" w:hAnsi="Times New Roman"/>
          <w:color w:val="000000" w:themeColor="text1"/>
          <w:sz w:val="16"/>
          <w:szCs w:val="16"/>
        </w:rPr>
        <w:softHyphen/>
        <w:t>ствах, потребных для окончания строительства указанных заводов в 1941 г.</w:t>
      </w:r>
    </w:p>
    <w:p w14:paraId="55103E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Экономсовету выделить заводам № 16 и им. Сталина оборудование и материалы в количествах и сроки, согласно приложений №№ 1-8.</w:t>
      </w:r>
    </w:p>
    <w:p w14:paraId="6B3225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Отпустить из резервного фоцда СНК СССР 3 млн. 361 тыс.руб. на приобретение для завода № 16 и завода им. Сталина - импортного металло</w:t>
      </w:r>
      <w:r w:rsidRPr="00A3026E">
        <w:rPr>
          <w:rFonts w:ascii="Times New Roman" w:hAnsi="Times New Roman"/>
          <w:color w:val="000000" w:themeColor="text1"/>
          <w:sz w:val="16"/>
          <w:szCs w:val="16"/>
        </w:rPr>
        <w:softHyphen/>
        <w:t>режущего оборудования и приборов, согласно приложению № 9.</w:t>
      </w:r>
    </w:p>
    <w:p w14:paraId="7DD854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Разрешить заводу № 16 организовать при заводе подсобное хозяйство для нужд общественного питания.</w:t>
      </w:r>
    </w:p>
    <w:p w14:paraId="6F3F61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Разрешить Наркомавиапрому закончить строительство трамвай</w:t>
      </w:r>
      <w:r w:rsidRPr="00A3026E">
        <w:rPr>
          <w:rFonts w:ascii="Times New Roman" w:hAnsi="Times New Roman"/>
          <w:color w:val="000000" w:themeColor="text1"/>
          <w:sz w:val="16"/>
          <w:szCs w:val="16"/>
        </w:rPr>
        <w:softHyphen/>
        <w:t>ного пути от города до завода № 16 протяжением 2,5 км.</w:t>
      </w:r>
    </w:p>
    <w:p w14:paraId="6D90A9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Обязать НКАТ РСФСР и Воронежский Облисполком депутатов тру</w:t>
      </w:r>
      <w:r w:rsidRPr="00A3026E">
        <w:rPr>
          <w:rFonts w:ascii="Times New Roman" w:hAnsi="Times New Roman"/>
          <w:color w:val="000000" w:themeColor="text1"/>
          <w:sz w:val="16"/>
          <w:szCs w:val="16"/>
        </w:rPr>
        <w:softHyphen/>
        <w:t>дящихся организовать автобусную линию до завода № 16 НКАП, для чего выделить в 1У кв. 1940 г. Воронежскому Облисполкому, за счет фондов НКАТ РСФСР (1У кв.1940 г.) 6 автобусов "ЗИС-16" (10395,194).</w:t>
      </w:r>
    </w:p>
    <w:p w14:paraId="61C5D7F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DFA48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сентября 1940 года Постановлением КО заводу № 16 в Воронеже определена проектная мощность по производству боевых авиамоторов водяного охлаждения М-105 – 4000 шт. в год, с освобождением завода от производства учебных моторов и передачей на завод им. Сталина (9224).</w:t>
      </w:r>
    </w:p>
    <w:p w14:paraId="05C17A5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A804A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сентября 1940 года вышел приказ НКАП за № 507сс во исполнение постановления СНК и ЦК ВКП(б) за № 1723/692сс «О строительстве моторного завода в Тбилиси» от 19 сентября 1940 года, в соответствии с которым было начато строительство завода № 448. Было предусмотрено строительство завода по выпуску моторов типа М-105. В ноябре 1941 года завод выпустил два и в декабре 1941 года 18 ЛАГГ-3 с мотором М-105П, после чего перешел на серийный выпуск этих самолетов. С мая 1942 года по март 1944 года завод выпускал самолеты ЛАГГ-3, но уже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56B24A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10D179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4F2644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0A1532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6A421D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057C1B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завода Хведелиани</w:t>
      </w:r>
    </w:p>
    <w:p w14:paraId="052E51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Тбилиси, п/я 51. С июля 1956 года завод приступил к освоению нового самолета МИГ-21 (9821).</w:t>
      </w:r>
    </w:p>
    <w:p w14:paraId="5CFB45E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EB53A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сентября 1940 была подготовлена справка для А.С.Новикова о ходе строительства завода № 339 НКАП</w:t>
      </w:r>
    </w:p>
    <w:p w14:paraId="799073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Строительство завода начато в 1936. До 1938 г. работы производились ОКС завода № 19, затем ОКС завода № 339 и с 1 июня 1939 - 12-м стройтрестом НКАП.</w:t>
      </w:r>
    </w:p>
    <w:p w14:paraId="35A3E7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Профиль завода утвержден приказом НКАП от 10 июля 1939...(10504,208).</w:t>
      </w:r>
    </w:p>
    <w:p w14:paraId="6BF313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Срыв планов строительства трестом №12 НКАП, игнорирование им строительства завода № 339 (о работе треста см. в записке по заводу №19).</w:t>
      </w:r>
    </w:p>
    <w:p w14:paraId="673FDE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Неудовлетворительное планирование и отсутствие внимания к строительству завода № 339 со стороны 4-го Главка (т. Лихачов) и ГУКС (т.Кац).</w:t>
      </w:r>
    </w:p>
    <w:p w14:paraId="1846EB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необходимьм: предложить НКАП (4-му Глазку и ГУКС)</w:t>
      </w:r>
    </w:p>
    <w:p w14:paraId="73C661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Обеспечить окончание строительства завода в 1941 году, установив для этого соответствующий размер капвложений. Прекра</w:t>
      </w:r>
      <w:r w:rsidRPr="00A3026E">
        <w:rPr>
          <w:rFonts w:ascii="Times New Roman" w:hAnsi="Times New Roman"/>
          <w:color w:val="000000" w:themeColor="text1"/>
          <w:sz w:val="16"/>
          <w:szCs w:val="16"/>
        </w:rPr>
        <w:softHyphen/>
        <w:t>тить практику распыления средств по многочисленным об"ектам.</w:t>
      </w:r>
    </w:p>
    <w:p w14:paraId="1C9836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Привлечь к ответственности виновных за срыв сроков пред</w:t>
      </w:r>
      <w:r w:rsidRPr="00A3026E">
        <w:rPr>
          <w:rFonts w:ascii="Times New Roman" w:hAnsi="Times New Roman"/>
          <w:color w:val="000000" w:themeColor="text1"/>
          <w:sz w:val="16"/>
          <w:szCs w:val="16"/>
        </w:rPr>
        <w:softHyphen/>
        <w:t>ставления технической документации и за развал учета в ОКС"е.</w:t>
      </w:r>
    </w:p>
    <w:p w14:paraId="166E0C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Произвести документальную ревизии деятельности ОКС"а.</w:t>
      </w:r>
    </w:p>
    <w:p w14:paraId="16D62D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Обязать трест №12 немедленно приступить к устранению не</w:t>
      </w:r>
      <w:r w:rsidRPr="00A3026E">
        <w:rPr>
          <w:rFonts w:ascii="Times New Roman" w:hAnsi="Times New Roman"/>
          <w:color w:val="000000" w:themeColor="text1"/>
          <w:sz w:val="16"/>
          <w:szCs w:val="16"/>
        </w:rPr>
        <w:softHyphen/>
        <w:t>доделок по об"ектам, сданным в эксплоатацию в 1939г..предупредить его о недопустимости игнорирования строительства завода № 329.</w:t>
      </w:r>
    </w:p>
    <w:p w14:paraId="319124B2"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color w:val="000000" w:themeColor="text1"/>
          <w:sz w:val="16"/>
          <w:szCs w:val="16"/>
        </w:rPr>
        <w:t xml:space="preserve">5. Обязать директора завода т. Горлина немедленно обеспечить строительство 1940 г. техдокументацией, укрепить инспекторский аппарат ОКСа к принять меры к улучшению учета и отчетности по строительству </w:t>
      </w:r>
      <w:r w:rsidRPr="00A3026E">
        <w:rPr>
          <w:rFonts w:ascii="Times New Roman" w:hAnsi="Times New Roman"/>
          <w:smallCaps/>
          <w:color w:val="000000" w:themeColor="text1"/>
          <w:sz w:val="16"/>
          <w:szCs w:val="16"/>
        </w:rPr>
        <w:t>(10504,212).</w:t>
      </w:r>
    </w:p>
    <w:p w14:paraId="28397D5C"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408AEAD8" w14:textId="77777777" w:rsidR="00E70D80" w:rsidRPr="00A3026E" w:rsidRDefault="00E70D80" w:rsidP="00A3026E">
      <w:pPr>
        <w:pStyle w:val="27"/>
        <w:shd w:val="clear" w:color="auto" w:fill="auto"/>
        <w:spacing w:before="0"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24 сентября 1940 г. Письмо № 1022 с/ОКБ начальника ОКБ завода № А. Стеркина начальнику группы высотных установок ЦИАМ А.Е. Плотникову о командировке в Германию сотрудников института с целью изучения высотных моторных установок</w:t>
      </w:r>
    </w:p>
    <w:p w14:paraId="2C6031B1" w14:textId="77777777" w:rsidR="00E70D80" w:rsidRPr="00A3026E" w:rsidRDefault="00E70D8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Секретно</w:t>
      </w:r>
    </w:p>
    <w:p w14:paraId="015F293F" w14:textId="77777777" w:rsidR="00E70D80" w:rsidRPr="00A3026E" w:rsidRDefault="00E70D8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исполнение приказа Наркома авиационной промышленно</w:t>
      </w:r>
      <w:r w:rsidRPr="00A3026E">
        <w:rPr>
          <w:rFonts w:ascii="Times New Roman" w:hAnsi="Times New Roman"/>
          <w:color w:val="000000" w:themeColor="text1"/>
          <w:sz w:val="16"/>
          <w:szCs w:val="16"/>
        </w:rPr>
        <w:softHyphen/>
      </w:r>
      <w:r w:rsidRPr="00A3026E">
        <w:rPr>
          <w:rStyle w:val="aff8"/>
          <w:rFonts w:ascii="Times New Roman" w:hAnsi="Times New Roman" w:cs="Times New Roman"/>
          <w:b w:val="0"/>
          <w:color w:val="000000" w:themeColor="text1"/>
          <w:spacing w:val="0"/>
          <w:sz w:val="16"/>
          <w:szCs w:val="16"/>
        </w:rPr>
        <w:t>сти</w:t>
      </w:r>
      <w:r w:rsidRPr="00A3026E">
        <w:rPr>
          <w:rFonts w:ascii="Times New Roman" w:hAnsi="Times New Roman"/>
          <w:color w:val="000000" w:themeColor="text1"/>
          <w:sz w:val="16"/>
          <w:szCs w:val="16"/>
        </w:rPr>
        <w:t xml:space="preserve"> № 468с от 5-го сентября 1940 года директор завода № назна</w:t>
      </w:r>
      <w:r w:rsidRPr="00A3026E">
        <w:rPr>
          <w:rFonts w:ascii="Times New Roman" w:hAnsi="Times New Roman"/>
          <w:color w:val="000000" w:themeColor="text1"/>
          <w:sz w:val="16"/>
          <w:szCs w:val="16"/>
        </w:rPr>
        <w:softHyphen/>
      </w:r>
      <w:r w:rsidRPr="00A3026E">
        <w:rPr>
          <w:rStyle w:val="aff8"/>
          <w:rFonts w:ascii="Times New Roman" w:hAnsi="Times New Roman" w:cs="Times New Roman"/>
          <w:b w:val="0"/>
          <w:color w:val="000000" w:themeColor="text1"/>
          <w:spacing w:val="0"/>
          <w:sz w:val="16"/>
          <w:szCs w:val="16"/>
        </w:rPr>
        <w:t>чил</w:t>
      </w:r>
      <w:r w:rsidRPr="00A3026E">
        <w:rPr>
          <w:rFonts w:ascii="Times New Roman" w:hAnsi="Times New Roman"/>
          <w:color w:val="000000" w:themeColor="text1"/>
          <w:sz w:val="16"/>
          <w:szCs w:val="16"/>
        </w:rPr>
        <w:t xml:space="preserve"> начальником высотной моторной установки инженера Богомоло</w:t>
      </w:r>
      <w:r w:rsidRPr="00A3026E">
        <w:rPr>
          <w:rFonts w:ascii="Times New Roman" w:hAnsi="Times New Roman"/>
          <w:color w:val="000000" w:themeColor="text1"/>
          <w:sz w:val="16"/>
          <w:szCs w:val="16"/>
        </w:rPr>
        <w:softHyphen/>
        <w:t>ва В.К. и утвердил для изучения высотных установок и приемки обо</w:t>
      </w:r>
      <w:r w:rsidRPr="00A3026E">
        <w:rPr>
          <w:rFonts w:ascii="Times New Roman" w:hAnsi="Times New Roman"/>
          <w:color w:val="000000" w:themeColor="text1"/>
          <w:sz w:val="16"/>
          <w:szCs w:val="16"/>
        </w:rPr>
        <w:softHyphen/>
        <w:t>рудования командировать в Германию инженера Богомолова В.К. и инженера Ерчева Г.М.</w:t>
      </w:r>
    </w:p>
    <w:p w14:paraId="3ABE167A" w14:textId="77777777" w:rsidR="00E70D80" w:rsidRPr="00A3026E" w:rsidRDefault="00E70D8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Высотная моторная установка на заводе №  передается в ве</w:t>
      </w:r>
      <w:r w:rsidRPr="00A3026E">
        <w:rPr>
          <w:rFonts w:ascii="Times New Roman" w:hAnsi="Times New Roman"/>
          <w:color w:val="000000" w:themeColor="text1"/>
          <w:sz w:val="16"/>
          <w:szCs w:val="16"/>
        </w:rPr>
        <w:softHyphen/>
        <w:t>дение опытно-конструкторского бюро.</w:t>
      </w:r>
    </w:p>
    <w:p w14:paraId="29710FD4" w14:textId="77777777" w:rsidR="00E70D80" w:rsidRPr="00A3026E" w:rsidRDefault="00E70D80" w:rsidP="00A3026E">
      <w:pPr>
        <w:tabs>
          <w:tab w:val="left" w:pos="5613"/>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ОКБ Стеркин</w:t>
      </w:r>
    </w:p>
    <w:p w14:paraId="7178FE39" w14:textId="77777777" w:rsidR="00E70D80" w:rsidRPr="00A3026E" w:rsidRDefault="00E70D8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Начальнику ИНО НКАП т. Романову</w:t>
      </w:r>
    </w:p>
    <w:p w14:paraId="49BDB21D" w14:textId="77777777" w:rsidR="00E70D80" w:rsidRPr="00A3026E" w:rsidRDefault="00E70D8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РГАНТД. Ф. Р-177. Оп. 6-6. Д. 12. Л. 7. Подлинник (15633).</w:t>
      </w:r>
    </w:p>
    <w:p w14:paraId="0D66E179" w14:textId="77777777" w:rsidR="00E70D80" w:rsidRPr="00A3026E" w:rsidRDefault="00E70D80" w:rsidP="00A3026E">
      <w:pPr>
        <w:pStyle w:val="38"/>
        <w:shd w:val="clear" w:color="auto" w:fill="auto"/>
        <w:spacing w:before="0" w:after="0" w:line="240" w:lineRule="auto"/>
        <w:jc w:val="both"/>
        <w:rPr>
          <w:color w:val="000000" w:themeColor="text1"/>
          <w:spacing w:val="0"/>
          <w:sz w:val="16"/>
          <w:szCs w:val="16"/>
        </w:rPr>
      </w:pPr>
    </w:p>
    <w:p w14:paraId="3EE497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сентября 1940 года начальник НИП АВ ВВС полковник Шевченко утвердил:</w:t>
      </w:r>
    </w:p>
    <w:p w14:paraId="629E94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полигонным испытаниям ХАБ-100 конструкции ГСКБ-47</w:t>
      </w:r>
    </w:p>
    <w:p w14:paraId="78BFD7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72B20E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инженер 4 отделения опытного отдела НИИ АВ ВВС в/инженер 2 ранга Рублев</w:t>
      </w:r>
    </w:p>
    <w:p w14:paraId="33D63F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Цель испытаний</w:t>
      </w:r>
    </w:p>
    <w:p w14:paraId="3D52781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характеристическое время падения ХАБ-100, снаряженной нейтральной смесью с удельным весом 1,3 и удельным весом 0,7.</w:t>
      </w:r>
    </w:p>
    <w:p w14:paraId="1FD519D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возможность и безопасность применения ХАБ-100 штурмовой авиацией на малых высотах и на самолете И-15 бис.</w:t>
      </w:r>
    </w:p>
    <w:p w14:paraId="4D4C212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возможность применения ХАБ-100, снаряженных дымсмесью С-4 для постановки дымзавес.</w:t>
      </w:r>
    </w:p>
    <w:p w14:paraId="7CA067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химической авиационной бомбы (ХАБ-100) разработана ГСКБ-47 в 1939 году.</w:t>
      </w:r>
    </w:p>
    <w:p w14:paraId="30AD8C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ХАБ-100 изготовлена в габаритах ФАБ-100 и предназначается для поражения живой силы и заражения местности БХВ.</w:t>
      </w:r>
    </w:p>
    <w:p w14:paraId="0D0369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ХАБ-100 выдержала заводские и полигонные испытания и подана дополнительно на полигонные испытания только для определения тех данных, которые не были выявлены на предыдущих полигонных испытаниях.</w:t>
      </w:r>
    </w:p>
    <w:p w14:paraId="5703E4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B6FF9D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Применять ХАБ-100 штурмовой авиацией на малых высотах возможно, но для определения боевого эффекта необходимо провести испытания ХАБ-100 с БХВ при бомбометании с малых высот.</w:t>
      </w:r>
    </w:p>
    <w:p w14:paraId="21D02A6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Применять ХАБ-100 с дымсмесью С-4 для постановки дымзавес считать нецелесообразным из-за малой эффективности (7840).</w:t>
      </w:r>
    </w:p>
    <w:p w14:paraId="49F7C34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410C53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сентября 1940 года врид начальника НИП АВ ВВС полковник Фадеев утвердил:</w:t>
      </w:r>
    </w:p>
    <w:p w14:paraId="10FC03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полигонным испытаниям светящихся бомб (САБ-25) конструкции ГСКБ-47 на самолетах СБ и ДБ-3Ф</w:t>
      </w:r>
    </w:p>
    <w:p w14:paraId="2F2EDB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 инженер 4 отделения опытного отдела НИП АВ ВВС Комарницкий</w:t>
      </w:r>
    </w:p>
    <w:p w14:paraId="33A9D5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1573D7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боевые и конструктивно-эксплуатационные качества САБ-25 ГСКБ-47.</w:t>
      </w:r>
    </w:p>
    <w:p w14:paraId="1810B5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 САБ-25 предъявлены ГСКБ-47 на повторные полигонные испытания после доработки, согласно отчета по первичным испытаниям, проведенным в ноябре 1939 года (см. отчет НИП АВ ВВС от 11 декабря 1939 года за № 01371).</w:t>
      </w:r>
    </w:p>
    <w:p w14:paraId="54053A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Доработка бомб в основном свелась к изменению габаритов и частично, рецептуры снаряжения.</w:t>
      </w:r>
    </w:p>
    <w:p w14:paraId="679A79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габаритам бомбы уменьшены по высоте на 220 мм и увеличены в диаметре на 45 мм.</w:t>
      </w:r>
    </w:p>
    <w:p w14:paraId="2C3BF7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3931F8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 САБ-25 ГСКБ-47 полигонные испытания выдержали (7583).</w:t>
      </w:r>
    </w:p>
    <w:p w14:paraId="0E2C533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580EC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24 сентября по 5 октября 1940 г. проходил заключительный этап испытаний РО на И-153. За это время отстреляли 352 боевых снаряда. Из них 192 были окончательно снаряжены взрывателями АМ-А-РС-82, остальные - с дистанционными трубками АГДТ-А- РС-82. Как видно из таблицы, результат испытаний оказался вполне удовлетворительным. Поста</w:t>
      </w:r>
      <w:r w:rsidRPr="00A3026E">
        <w:rPr>
          <w:rFonts w:ascii="Times New Roman" w:hAnsi="Times New Roman"/>
          <w:color w:val="000000" w:themeColor="text1"/>
          <w:sz w:val="16"/>
          <w:szCs w:val="16"/>
        </w:rPr>
        <w:softHyphen/>
        <w:t>новлением Научно-технического журнала 8 управления ГУ ВВС КА №0217 от 9 декабря 1940 г., было предписано на всех самолетах И-153, оборудованных РО, в строевых частях ВВС старые плоскости заменить новыми, усиленными по образу и подобию «Чайки» с заводским номе</w:t>
      </w:r>
      <w:r w:rsidRPr="00A3026E">
        <w:rPr>
          <w:rFonts w:ascii="Times New Roman" w:hAnsi="Times New Roman"/>
          <w:color w:val="000000" w:themeColor="text1"/>
          <w:sz w:val="16"/>
          <w:szCs w:val="16"/>
        </w:rPr>
        <w:softHyphen/>
        <w:t>ром 8627.</w:t>
      </w:r>
    </w:p>
    <w:p w14:paraId="4E055D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1.59 Результаты воздушной стрельбы снарядами РОС-82 с самолета И-153 №8627 (третий этап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1202"/>
        <w:gridCol w:w="691"/>
        <w:gridCol w:w="958"/>
        <w:gridCol w:w="994"/>
        <w:gridCol w:w="864"/>
        <w:gridCol w:w="1210"/>
      </w:tblGrid>
      <w:tr w:rsidR="00983732" w:rsidRPr="00A3026E" w14:paraId="1537D537" w14:textId="77777777" w:rsidTr="00EA0DA7">
        <w:trPr>
          <w:trHeight w:val="936"/>
        </w:trPr>
        <w:tc>
          <w:tcPr>
            <w:tcW w:w="1202" w:type="dxa"/>
            <w:tcBorders>
              <w:top w:val="single" w:sz="6" w:space="0" w:color="auto"/>
              <w:left w:val="single" w:sz="6" w:space="0" w:color="auto"/>
              <w:bottom w:val="single" w:sz="6" w:space="0" w:color="auto"/>
              <w:right w:val="single" w:sz="6" w:space="0" w:color="auto"/>
            </w:tcBorders>
          </w:tcPr>
          <w:p w14:paraId="3EE891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Режим полета (угол пикирования)</w:t>
            </w:r>
          </w:p>
          <w:p w14:paraId="7B2627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1C509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полета (ввода в пике), м</w:t>
            </w:r>
          </w:p>
          <w:p w14:paraId="7F12E4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12C301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Количество вы л его в/о тс треля иных снарядов</w:t>
            </w:r>
          </w:p>
          <w:p w14:paraId="5E174F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3F604C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Режим целения огня</w:t>
            </w:r>
          </w:p>
          <w:p w14:paraId="6C6185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45917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взрывателя</w:t>
            </w:r>
          </w:p>
          <w:p w14:paraId="18EB17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E01ED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 воздействия стрельбы на планер машины</w:t>
            </w:r>
          </w:p>
          <w:p w14:paraId="7AF146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E2D4877" w14:textId="77777777" w:rsidTr="00EA0DA7">
        <w:trPr>
          <w:trHeight w:val="598"/>
        </w:trPr>
        <w:tc>
          <w:tcPr>
            <w:tcW w:w="1202" w:type="dxa"/>
            <w:tcBorders>
              <w:top w:val="single" w:sz="6" w:space="0" w:color="auto"/>
              <w:left w:val="single" w:sz="6" w:space="0" w:color="auto"/>
              <w:bottom w:val="single" w:sz="6" w:space="0" w:color="auto"/>
              <w:right w:val="single" w:sz="6" w:space="0" w:color="auto"/>
            </w:tcBorders>
          </w:tcPr>
          <w:p w14:paraId="19FB65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Горизонтальный</w:t>
            </w:r>
          </w:p>
          <w:p w14:paraId="5C7143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030BB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p w14:paraId="68A7D3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096562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p w14:paraId="1191A7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1BE4B4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залпов по 2 снаряда</w:t>
            </w:r>
          </w:p>
          <w:p w14:paraId="2FDD09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DC17F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АГДТ-А</w:t>
            </w:r>
          </w:p>
          <w:p w14:paraId="134877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5E19A9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Деформации плоскостей нет</w:t>
            </w:r>
          </w:p>
          <w:p w14:paraId="198569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F0C2E03" w14:textId="77777777" w:rsidTr="00EA0DA7">
        <w:trPr>
          <w:trHeight w:val="562"/>
        </w:trPr>
        <w:tc>
          <w:tcPr>
            <w:tcW w:w="1202" w:type="dxa"/>
            <w:tcBorders>
              <w:top w:val="single" w:sz="6" w:space="0" w:color="auto"/>
              <w:left w:val="single" w:sz="6" w:space="0" w:color="auto"/>
              <w:bottom w:val="single" w:sz="6" w:space="0" w:color="auto"/>
              <w:right w:val="single" w:sz="6" w:space="0" w:color="auto"/>
            </w:tcBorders>
          </w:tcPr>
          <w:p w14:paraId="1A41C5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Горизонтальный</w:t>
            </w:r>
          </w:p>
          <w:p w14:paraId="68411D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5197F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p w14:paraId="5E44DF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13376E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10/152</w:t>
            </w:r>
          </w:p>
          <w:p w14:paraId="509DDD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534D44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Серии залпов по 4 снаряда</w:t>
            </w:r>
          </w:p>
          <w:p w14:paraId="5651A2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4E544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АГДТ-А</w:t>
            </w:r>
          </w:p>
          <w:p w14:paraId="3A7854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557E2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Деформации плоскостей пет</w:t>
            </w:r>
          </w:p>
          <w:p w14:paraId="07A3B9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7678709" w14:textId="77777777" w:rsidTr="00EA0DA7">
        <w:trPr>
          <w:trHeight w:val="749"/>
        </w:trPr>
        <w:tc>
          <w:tcPr>
            <w:tcW w:w="1202" w:type="dxa"/>
            <w:tcBorders>
              <w:top w:val="single" w:sz="6" w:space="0" w:color="auto"/>
              <w:left w:val="single" w:sz="6" w:space="0" w:color="auto"/>
              <w:bottom w:val="single" w:sz="6" w:space="0" w:color="auto"/>
              <w:right w:val="single" w:sz="6" w:space="0" w:color="auto"/>
            </w:tcBorders>
          </w:tcPr>
          <w:p w14:paraId="014DE6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Пикирование (60")</w:t>
            </w:r>
          </w:p>
          <w:p w14:paraId="248367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031B9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p w14:paraId="6EAEF7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4968A3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8/64</w:t>
            </w:r>
          </w:p>
          <w:p w14:paraId="4E5225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407D18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залпов по 4 снаряда</w:t>
            </w:r>
          </w:p>
          <w:p w14:paraId="1A1249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A920C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АМ-А</w:t>
            </w:r>
          </w:p>
          <w:p w14:paraId="5FFA21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9DD3B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Деформации плоскостей не'г, слегка обгорела краска</w:t>
            </w:r>
          </w:p>
          <w:p w14:paraId="574183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C3A3777" w14:textId="77777777" w:rsidTr="00EA0DA7">
        <w:trPr>
          <w:trHeight w:val="569"/>
        </w:trPr>
        <w:tc>
          <w:tcPr>
            <w:tcW w:w="1202" w:type="dxa"/>
            <w:tcBorders>
              <w:top w:val="single" w:sz="6" w:space="0" w:color="auto"/>
              <w:left w:val="single" w:sz="6" w:space="0" w:color="auto"/>
              <w:bottom w:val="single" w:sz="6" w:space="0" w:color="auto"/>
              <w:right w:val="single" w:sz="6" w:space="0" w:color="auto"/>
            </w:tcBorders>
          </w:tcPr>
          <w:p w14:paraId="29B41F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Пикирование (60°)</w:t>
            </w:r>
          </w:p>
          <w:p w14:paraId="7E2ABE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8DF39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p w14:paraId="36AC7F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12A3E8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2/16</w:t>
            </w:r>
          </w:p>
          <w:p w14:paraId="3529CC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1FA9EA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Одиночная в каждом заходе</w:t>
            </w:r>
          </w:p>
          <w:p w14:paraId="548928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CE179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АМ-А</w:t>
            </w:r>
          </w:p>
          <w:p w14:paraId="60FC26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45F2A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Деформации плоскостей нет</w:t>
            </w:r>
          </w:p>
          <w:p w14:paraId="11F76D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4B884CA" w14:textId="77777777" w:rsidTr="00EA0DA7">
        <w:trPr>
          <w:trHeight w:val="619"/>
        </w:trPr>
        <w:tc>
          <w:tcPr>
            <w:tcW w:w="1202" w:type="dxa"/>
            <w:tcBorders>
              <w:top w:val="single" w:sz="6" w:space="0" w:color="auto"/>
              <w:left w:val="single" w:sz="6" w:space="0" w:color="auto"/>
              <w:bottom w:val="single" w:sz="6" w:space="0" w:color="auto"/>
              <w:right w:val="single" w:sz="6" w:space="0" w:color="auto"/>
            </w:tcBorders>
          </w:tcPr>
          <w:p w14:paraId="406EAC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Пикирование (60</w:t>
            </w:r>
            <w:r w:rsidRPr="00A3026E">
              <w:rPr>
                <w:rFonts w:ascii="Times New Roman" w:hAnsi="Times New Roman"/>
                <w:color w:val="000000" w:themeColor="text1"/>
                <w:sz w:val="16"/>
                <w:szCs w:val="16"/>
                <w:vertAlign w:val="superscript"/>
              </w:rPr>
              <w:t>е</w:t>
            </w:r>
            <w:r w:rsidRPr="00A3026E">
              <w:rPr>
                <w:rFonts w:ascii="Times New Roman" w:hAnsi="Times New Roman"/>
                <w:color w:val="000000" w:themeColor="text1"/>
                <w:sz w:val="16"/>
                <w:szCs w:val="16"/>
              </w:rPr>
              <w:t>)</w:t>
            </w:r>
          </w:p>
          <w:p w14:paraId="70DB42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6829B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800 до 400</w:t>
            </w:r>
          </w:p>
          <w:p w14:paraId="7B94A4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107831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16/112</w:t>
            </w:r>
          </w:p>
          <w:p w14:paraId="6DFF66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7A0E99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залпов по 4 снаряда</w:t>
            </w:r>
          </w:p>
          <w:p w14:paraId="1D1623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56DA5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АМ-А</w:t>
            </w:r>
          </w:p>
          <w:p w14:paraId="0A8612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547FF9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Деформации плоскостей нет</w:t>
            </w:r>
          </w:p>
          <w:p w14:paraId="4C9E6C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65CB32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(11402).</w:t>
      </w:r>
    </w:p>
    <w:p w14:paraId="3F5BED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4B13609"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5D72C84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779C0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сентября 1940 м Тимошенко прибыл в КОВО и посмотрев учения 99 дивизии отметил г Власова, наградив золотыми часами, а позже И.В.С. - ОЛ (2536,159).</w:t>
      </w:r>
    </w:p>
    <w:p w14:paraId="34CB98C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1B0393A"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090050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4240DA7"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24–26 сентября 1940 британские военно-морские силы поддерживают катастрофическую попытку Свободной Франции осуществить морское вторжение в Дакар. Французские силы Виши успешно сопротивляются, и HMS Ark Royal теряет девять самолетов Swordfish до того, как операции прекращены (20795).</w:t>
      </w:r>
    </w:p>
    <w:p w14:paraId="162C79F7" w14:textId="77777777" w:rsidR="001A7DB7" w:rsidRPr="00A3026E" w:rsidRDefault="001A7DB7" w:rsidP="00A3026E">
      <w:pPr>
        <w:spacing w:after="0" w:line="240" w:lineRule="auto"/>
        <w:jc w:val="both"/>
        <w:rPr>
          <w:rFonts w:ascii="Times New Roman" w:hAnsi="Times New Roman"/>
          <w:color w:val="0070C0"/>
          <w:sz w:val="16"/>
          <w:szCs w:val="16"/>
        </w:rPr>
      </w:pPr>
    </w:p>
    <w:p w14:paraId="434FB858"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24-25 сентября 1940 - бомбардировщики французских ВВС совершают налет на Гибралтар в ответ на нападение Великобритании и Свободной Франции на Дакар (20795).</w:t>
      </w:r>
    </w:p>
    <w:p w14:paraId="645FE9F9" w14:textId="77777777" w:rsidR="001A7DB7" w:rsidRPr="00A3026E" w:rsidRDefault="001A7DB7" w:rsidP="00A3026E">
      <w:pPr>
        <w:spacing w:after="0" w:line="240" w:lineRule="auto"/>
        <w:jc w:val="both"/>
        <w:rPr>
          <w:rFonts w:ascii="Times New Roman" w:hAnsi="Times New Roman"/>
          <w:color w:val="0070C0"/>
          <w:sz w:val="16"/>
          <w:szCs w:val="16"/>
        </w:rPr>
      </w:pPr>
    </w:p>
    <w:p w14:paraId="101D44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сентября 1940 Веллингтоны, Хэмпдены и Уитли впервые бомбили Берлин - газовые заводы, железнодорожные станции, аэродром Темпельхов. Из 119 долетело 84. В городе погибло 23 чел., а английские потери - 12 чел. (223,54).</w:t>
      </w:r>
    </w:p>
    <w:p w14:paraId="4DEBB8C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71BBC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сентября 1940 на конференции союзных держав в Лондоне подписывается Атлантическая хартия (3481).</w:t>
      </w:r>
    </w:p>
    <w:p w14:paraId="2E0AF75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5BEFD7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3B0FE2E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B7FA1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25 сентября 1940 самолет ДБ-240 – гл. конструктор Ермолаев, Завод № 240, находился на аэродроме НИИ. С 25 по 30 сентября 1940 года производились наземные испытания вооружения и оборудования. 30 сентября 1940 самолет ДБ-240 – гл. конструктор Ермолаев, Завод № 240 был принят на госиспытания (3377, 31).</w:t>
      </w:r>
    </w:p>
    <w:p w14:paraId="1A5F300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D9182BE" w14:textId="77777777" w:rsidR="001A7DB7" w:rsidRPr="00A3026E" w:rsidRDefault="001A7DB7" w:rsidP="00A3026E">
      <w:pPr>
        <w:autoSpaceDE w:val="0"/>
        <w:autoSpaceDN w:val="0"/>
        <w:adjustRightInd w:val="0"/>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С 25 сентября 1940 года самолет ДБ-240 находился на аэродроме НИИ. С 25 по 30 сен</w:t>
      </w:r>
      <w:r w:rsidRPr="00A3026E">
        <w:rPr>
          <w:rFonts w:ascii="Times New Roman" w:hAnsi="Times New Roman"/>
          <w:color w:val="0070C0"/>
          <w:sz w:val="16"/>
          <w:szCs w:val="16"/>
          <w:lang w:eastAsia="ru-RU" w:bidi="ru-RU"/>
        </w:rPr>
        <w:softHyphen/>
        <w:t>тября 1940 года производились наземные ис</w:t>
      </w:r>
      <w:r w:rsidRPr="00A3026E">
        <w:rPr>
          <w:rFonts w:ascii="Times New Roman" w:hAnsi="Times New Roman"/>
          <w:color w:val="0070C0"/>
          <w:sz w:val="16"/>
          <w:szCs w:val="16"/>
          <w:lang w:eastAsia="ru-RU" w:bidi="ru-RU"/>
        </w:rPr>
        <w:softHyphen/>
        <w:t>пытания вооружения и оборудования (21406).</w:t>
      </w:r>
    </w:p>
    <w:p w14:paraId="0251A4EB" w14:textId="77777777" w:rsidR="001A7DB7" w:rsidRPr="00A3026E" w:rsidRDefault="001A7DB7" w:rsidP="00A3026E">
      <w:pPr>
        <w:autoSpaceDE w:val="0"/>
        <w:autoSpaceDN w:val="0"/>
        <w:adjustRightInd w:val="0"/>
        <w:spacing w:after="0" w:line="240" w:lineRule="auto"/>
        <w:jc w:val="both"/>
        <w:rPr>
          <w:rFonts w:ascii="Times New Roman" w:hAnsi="Times New Roman"/>
          <w:color w:val="0070C0"/>
          <w:sz w:val="16"/>
          <w:szCs w:val="16"/>
        </w:rPr>
      </w:pPr>
    </w:p>
    <w:p w14:paraId="50C247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были закончены гос. испытания УТИ-26-1, которые шли с перерывами с 28 августа 1940. Оценка была удовлетворительной и машину рекомендовали в серию (65,29).</w:t>
      </w:r>
    </w:p>
    <w:p w14:paraId="482E59A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53258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года зам. начальника ГУ ВВС генерал-лейтенант авиации Астахов писал письмо № 501684с начальнику ГУ ВВС генерал-лейтенанту авиации Рычагову П.В.</w:t>
      </w:r>
    </w:p>
    <w:p w14:paraId="676B92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того, что полеты в ВВС на самолетах истребителях имеющих мотор М-63 из-за их плохой ненадежной работы запрещены, прошу указаний:</w:t>
      </w:r>
    </w:p>
    <w:p w14:paraId="24D2A36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Проводить ли приемку моторов М-63 на заводах выпускающих эти моторы для НКАП и для запаса ВВС.</w:t>
      </w:r>
    </w:p>
    <w:p w14:paraId="3FD494D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Проводить ли приемку самолетов И-16 и И-153 имеющие эти моторы.</w:t>
      </w:r>
    </w:p>
    <w:p w14:paraId="595DF8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 своей стороны полагал бы, что до окончательного решения с моторами М-63, поставленных на специальные войсковые испытания (в Люберцах и НИИ ВВС) приемку самолетов И-153 и И-16, а также моторов М-63, прекратить о чем сообщить военпредам заводов и наркому Авиапрома Шахурину (7712, 412).</w:t>
      </w:r>
    </w:p>
    <w:p w14:paraId="050BB52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D30A9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Яценко писал письмо № 37с К.Е.В. (входящий № 19635 от 25.9.40:</w:t>
      </w:r>
    </w:p>
    <w:p w14:paraId="3EDBC1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Авиапромышленности товарищ ШАХУРИН направил Вам проект постановления К.О. по самолету И-29.</w:t>
      </w:r>
    </w:p>
    <w:p w14:paraId="0F9CD1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 затребовали дополнительные сведения к проекту. Считаю необходимым сообщить Вам предпосылки, которые были мной заложены при проектирования этого самолета:</w:t>
      </w:r>
    </w:p>
    <w:p w14:paraId="0E28A8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основу И-29 при проработке эскизного проекта были положены следующие предпосылки:</w:t>
      </w:r>
    </w:p>
    <w:p w14:paraId="48E043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Скорость</w:t>
      </w:r>
    </w:p>
    <w:p w14:paraId="5E9D55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Мощное вооружение</w:t>
      </w:r>
    </w:p>
    <w:p w14:paraId="54EE43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Большойрадиус действия</w:t>
      </w:r>
    </w:p>
    <w:p w14:paraId="53A5D5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Безопасность полета</w:t>
      </w:r>
    </w:p>
    <w:p w14:paraId="1BFF50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Возможность массового производства, следовательно производственно простой самолет из наиболее дешевого отечественного сырья.</w:t>
      </w:r>
    </w:p>
    <w:p w14:paraId="2CD07C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 а. мной выбран мотор М-90, как единственно обеспе</w:t>
      </w:r>
      <w:r w:rsidRPr="00A3026E">
        <w:rPr>
          <w:rFonts w:ascii="Times New Roman" w:hAnsi="Times New Roman"/>
          <w:color w:val="000000" w:themeColor="text1"/>
          <w:sz w:val="16"/>
          <w:szCs w:val="16"/>
        </w:rPr>
        <w:softHyphen/>
        <w:t>чивающий скорость 700 км/час. Профиль крыла выбран наиболее отвечающий большим скоростям с более поздним наступлением волнового кризиса. Таким профилем является RAF-38. Новейшей формы капоты, материалы по лобовому сопротивлению которых имеются в ЦАГИ, лучшая форма, спрятанные, выступавшие ранее, части дали возможность быть уверенным, что V = 700 к/ч. будет получена.</w:t>
      </w:r>
    </w:p>
    <w:p w14:paraId="555268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 б. На И-29 установлены два пулемета 12,7 мм. с 250 шт. патронов на каждый и два калибром 7,62 с 625 шт. патронов на каждый.</w:t>
      </w:r>
    </w:p>
    <w:p w14:paraId="55715E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крыльях заделаны четыре балки под бомбы от 8 до 100 кг Бомбовая нагрузка в счет перегрузки - 200 кг. Самолет допускает подвеску 6 РС или 2 ВАП.</w:t>
      </w:r>
    </w:p>
    <w:p w14:paraId="794539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окончанием государственных и войсковых испытаний синхронной пушки калибра 20 мм.,- два БС могут быть заменены на две пушки Швак с 150 снарядов на каждую.</w:t>
      </w:r>
    </w:p>
    <w:p w14:paraId="6FC10A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стрелковое или пушечное вооружение сомонтированно на фюзеляже перед пилотом, что обеспечивает лучший прицел и кучность боя.</w:t>
      </w:r>
    </w:p>
    <w:p w14:paraId="5BABFE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 в. На самолете предусмотрен бак емкостью на 420 кг. при нормальной нагрузке в 340 кг.</w:t>
      </w:r>
    </w:p>
    <w:p w14:paraId="7057E3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обеспечивает соответственно на 0,9 V макс, дальность от 750 до 1100 км. и при 0,7 V макс. т.е. на скоростж 500 км/ч. соответственно дальность 1100 км. и 1500 км.</w:t>
      </w:r>
    </w:p>
    <w:p w14:paraId="76B561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Возможна подвеска сбрасываемых баков, что еще больше повысит дальность. При этих данных самолет И-29 может быть использован как истребитель сопровождения.</w:t>
      </w:r>
    </w:p>
    <w:p w14:paraId="276814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 г. для увеличения безопасности полета центровка его сдвинута сильно вперед до 20% с.а.х. Это создает безусловно устойчивую машину, по запасу устойчивости приближающуюся к самолетам Германии.</w:t>
      </w:r>
    </w:p>
    <w:p w14:paraId="5EEA34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Путем уменьшения нагрузки на м кв. и применении элеронов в качестве закрылков удалось посадочную скорость довести при нормальном весе машины до 121 км/час. Цифра эта получена на основе государственных испытаний самолета И-28, вполне реальна и можно ожидать на практике некоторого ее снижения.</w:t>
      </w:r>
    </w:p>
    <w:p w14:paraId="59E273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условии возвращения самолет после боя когда 3/4 горючего и патроны отсутствуют V пос. - 112 км/час.</w:t>
      </w:r>
    </w:p>
    <w:p w14:paraId="5F6F4A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 д. Самолет запроектирован деревянным. За исключением шасси, моторами рулей элеронов, щитков и капотов.</w:t>
      </w:r>
    </w:p>
    <w:p w14:paraId="4B910E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разрезано на три части, двухлонжеронное что упростит производство и обеспечит массовость.</w:t>
      </w:r>
    </w:p>
    <w:p w14:paraId="16E0EA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Фюзеляж,- нормальный монокок, освоенный нашими авиазаводами.</w:t>
      </w:r>
    </w:p>
    <w:p w14:paraId="4D823C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Вся клейка дерева и его покрытие делается на клею ВИАМ Б-3 являющимся антисептиком, не подверженным разбуханию и служащим идеальным, с точки зрения гладкости поверхности, покрытием.</w:t>
      </w:r>
    </w:p>
    <w:p w14:paraId="185F2A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И-29 устанавливается трехлопасной винт АВ-5 специально спроектированный под эту машину.</w:t>
      </w:r>
    </w:p>
    <w:p w14:paraId="15E276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дает коэффициент полезного действия около 0,75 при сравнительно небольшом весе.</w:t>
      </w:r>
    </w:p>
    <w:p w14:paraId="2BDA07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Применение в большинстве дерева и небольшого количества дюраля позволит строить самолет большими сериями и освоение рго не будет трудным.</w:t>
      </w:r>
    </w:p>
    <w:p w14:paraId="667113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Исходным материалом для расчетов И-29. послужили характеристик И-28 снятые на госиспытаниях.</w:t>
      </w:r>
    </w:p>
    <w:p w14:paraId="1AF3F4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июне прошлого года И-28 был лучшим истребителем, так отзывался на заседании К.О. летчик майор т. СТЕФАНОВСКИЙ. В процессе испытания И-28 принял на себя все удары, с которыми столкнулась наша авиация при освоении новых повышенных скоростей.</w:t>
      </w:r>
    </w:p>
    <w:p w14:paraId="1BF776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нашей машине решались вопроси нагрузок на капоты, определения вибраций, поведение убранных лыж, освоения мощных моторов и т.д.</w:t>
      </w:r>
    </w:p>
    <w:p w14:paraId="7F9413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 И-28 нами освоен полностью и дает нам твердую уверенност что характеристики И-29 будут получены.</w:t>
      </w:r>
    </w:p>
    <w:p w14:paraId="6EC658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Сейчас И-28 конечно отстал,отстал потому что наш коллектив работал в чрезвычайно неблагоприятных условиях. /т. ПОЛИКАРПОВ за этот отрезок времени имел возможность сделать четыре варианта И-180/.</w:t>
      </w:r>
    </w:p>
    <w:p w14:paraId="4A3890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тех пор мы потеряли базу и до сих пор ничего не сделали, хотя хотим и доказали что можем работать.</w:t>
      </w:r>
    </w:p>
    <w:p w14:paraId="770B3D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проекте постановления К.О. наш Нарком предлагает организовать для нас базу на територии цеха ширпотреба завода № 81. Это дает возможность сразу приступить к работе и в будущем иметь, вполне обеспечивающую работу производственно-конструкторскую базу.</w:t>
      </w:r>
    </w:p>
    <w:p w14:paraId="054B3B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товарищ ВОРОШИЛОВ Вашей помощи в организации для нас базы.</w:t>
      </w:r>
    </w:p>
    <w:p w14:paraId="3226E8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Утверждение проекта наркомата даёт нам возможность работать и на деле доказать что наш коллектив не последний в Союзе.</w:t>
      </w:r>
    </w:p>
    <w:p w14:paraId="19BBF0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ГЛАВНЫЙ КОНСТРУКТОР ЯЦЕНКО</w:t>
      </w:r>
    </w:p>
    <w:p w14:paraId="59FAEE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Написано: Тов. Ворошилов дал указание доложить по получении ответа (по телефону тов. Шахурину, тов. Ворошилов просил ускорить ответ). 25 октября 1940 (И.Белоусов) (4049,49).</w:t>
      </w:r>
    </w:p>
    <w:p w14:paraId="0AA26ED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83C0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и 7 ГУ НКАП Пылакин составил Таблицу средних величин трудоемкостей и цикла изготовления опытных металлических самолетов (на основе опытных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520"/>
        <w:gridCol w:w="2520"/>
        <w:gridCol w:w="2520"/>
      </w:tblGrid>
      <w:tr w:rsidR="00983732" w:rsidRPr="00A3026E" w14:paraId="66D90D23" w14:textId="77777777" w:rsidTr="00EA0DA7">
        <w:tc>
          <w:tcPr>
            <w:tcW w:w="3936" w:type="dxa"/>
            <w:tcBorders>
              <w:top w:val="single" w:sz="12" w:space="0" w:color="auto"/>
            </w:tcBorders>
          </w:tcPr>
          <w:p w14:paraId="1D8AE1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Распределение трудоемкостей по этапам:</w:t>
            </w:r>
          </w:p>
        </w:tc>
        <w:tc>
          <w:tcPr>
            <w:tcW w:w="2520" w:type="dxa"/>
            <w:tcBorders>
              <w:top w:val="single" w:sz="12" w:space="0" w:color="auto"/>
            </w:tcBorders>
          </w:tcPr>
          <w:p w14:paraId="73F64E0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20" w:type="dxa"/>
            <w:tcBorders>
              <w:top w:val="single" w:sz="12" w:space="0" w:color="auto"/>
            </w:tcBorders>
          </w:tcPr>
          <w:p w14:paraId="4B1CA7C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20" w:type="dxa"/>
            <w:tcBorders>
              <w:top w:val="single" w:sz="12" w:space="0" w:color="auto"/>
            </w:tcBorders>
          </w:tcPr>
          <w:p w14:paraId="255C73F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7A25640" w14:textId="77777777" w:rsidTr="00EA0DA7">
        <w:tc>
          <w:tcPr>
            <w:tcW w:w="3936" w:type="dxa"/>
          </w:tcPr>
          <w:p w14:paraId="2FD9EC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w:t>
            </w:r>
          </w:p>
        </w:tc>
        <w:tc>
          <w:tcPr>
            <w:tcW w:w="2520" w:type="dxa"/>
          </w:tcPr>
          <w:p w14:paraId="564298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Проектирование</w:t>
            </w:r>
          </w:p>
        </w:tc>
        <w:tc>
          <w:tcPr>
            <w:tcW w:w="2520" w:type="dxa"/>
          </w:tcPr>
          <w:p w14:paraId="53E058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Изготовление</w:t>
            </w:r>
          </w:p>
        </w:tc>
        <w:tc>
          <w:tcPr>
            <w:tcW w:w="2520" w:type="dxa"/>
          </w:tcPr>
          <w:p w14:paraId="60B62B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w:t>
            </w:r>
          </w:p>
        </w:tc>
      </w:tr>
      <w:tr w:rsidR="00983732" w:rsidRPr="00A3026E" w14:paraId="3F70B74F" w14:textId="77777777" w:rsidTr="00EA0DA7">
        <w:tc>
          <w:tcPr>
            <w:tcW w:w="3936" w:type="dxa"/>
          </w:tcPr>
          <w:p w14:paraId="39D3C2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одномоторный истребитель</w:t>
            </w:r>
          </w:p>
        </w:tc>
        <w:tc>
          <w:tcPr>
            <w:tcW w:w="2520" w:type="dxa"/>
          </w:tcPr>
          <w:p w14:paraId="0BD395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2520" w:type="dxa"/>
          </w:tcPr>
          <w:p w14:paraId="4F264E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2520" w:type="dxa"/>
          </w:tcPr>
          <w:p w14:paraId="0BAB23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r>
      <w:tr w:rsidR="00983732" w:rsidRPr="00A3026E" w14:paraId="1055C117" w14:textId="77777777" w:rsidTr="00EA0DA7">
        <w:tc>
          <w:tcPr>
            <w:tcW w:w="3936" w:type="dxa"/>
          </w:tcPr>
          <w:p w14:paraId="62351C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двухмоторный бомбардировщик</w:t>
            </w:r>
          </w:p>
        </w:tc>
        <w:tc>
          <w:tcPr>
            <w:tcW w:w="2520" w:type="dxa"/>
          </w:tcPr>
          <w:p w14:paraId="2A89B9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2520" w:type="dxa"/>
          </w:tcPr>
          <w:p w14:paraId="00923C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w:t>
            </w:r>
          </w:p>
        </w:tc>
        <w:tc>
          <w:tcPr>
            <w:tcW w:w="2520" w:type="dxa"/>
          </w:tcPr>
          <w:p w14:paraId="0528FB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r>
      <w:tr w:rsidR="00983732" w:rsidRPr="00A3026E" w14:paraId="2E05EB30" w14:textId="77777777" w:rsidTr="00EA0DA7">
        <w:tc>
          <w:tcPr>
            <w:tcW w:w="3936" w:type="dxa"/>
          </w:tcPr>
          <w:p w14:paraId="44DD56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Распределение трудоемкости по цехам</w:t>
            </w:r>
          </w:p>
        </w:tc>
        <w:tc>
          <w:tcPr>
            <w:tcW w:w="2520" w:type="dxa"/>
          </w:tcPr>
          <w:p w14:paraId="7A46575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20" w:type="dxa"/>
          </w:tcPr>
          <w:p w14:paraId="7792CF0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20" w:type="dxa"/>
          </w:tcPr>
          <w:p w14:paraId="561CE83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46E0066" w14:textId="77777777" w:rsidTr="00EA0DA7">
        <w:tc>
          <w:tcPr>
            <w:tcW w:w="3936" w:type="dxa"/>
          </w:tcPr>
          <w:p w14:paraId="341C5C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Агрегатно-сборочный</w:t>
            </w:r>
          </w:p>
        </w:tc>
        <w:tc>
          <w:tcPr>
            <w:tcW w:w="2520" w:type="dxa"/>
          </w:tcPr>
          <w:p w14:paraId="3F122F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c>
          <w:tcPr>
            <w:tcW w:w="2520" w:type="dxa"/>
          </w:tcPr>
          <w:p w14:paraId="37B0E3D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20" w:type="dxa"/>
          </w:tcPr>
          <w:p w14:paraId="1821D17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A8E9D65" w14:textId="77777777" w:rsidTr="00EA0DA7">
        <w:tc>
          <w:tcPr>
            <w:tcW w:w="3936" w:type="dxa"/>
          </w:tcPr>
          <w:p w14:paraId="6B1223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Общесборочный</w:t>
            </w:r>
          </w:p>
        </w:tc>
        <w:tc>
          <w:tcPr>
            <w:tcW w:w="2520" w:type="dxa"/>
          </w:tcPr>
          <w:p w14:paraId="31D73C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2520" w:type="dxa"/>
          </w:tcPr>
          <w:p w14:paraId="293CD77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20" w:type="dxa"/>
          </w:tcPr>
          <w:p w14:paraId="1E22727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B05AF43" w14:textId="77777777" w:rsidTr="00EA0DA7">
        <w:tc>
          <w:tcPr>
            <w:tcW w:w="3936" w:type="dxa"/>
          </w:tcPr>
          <w:p w14:paraId="3C38F4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 видам работ</w:t>
            </w:r>
          </w:p>
        </w:tc>
        <w:tc>
          <w:tcPr>
            <w:tcW w:w="2520" w:type="dxa"/>
          </w:tcPr>
          <w:p w14:paraId="701500E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20" w:type="dxa"/>
          </w:tcPr>
          <w:p w14:paraId="70D10F0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20" w:type="dxa"/>
          </w:tcPr>
          <w:p w14:paraId="1F3ABA3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E2F6D49" w14:textId="77777777" w:rsidTr="00EA0DA7">
        <w:tc>
          <w:tcPr>
            <w:tcW w:w="3936" w:type="dxa"/>
          </w:tcPr>
          <w:p w14:paraId="14215F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Агрегатная сборка</w:t>
            </w:r>
          </w:p>
        </w:tc>
        <w:tc>
          <w:tcPr>
            <w:tcW w:w="2520" w:type="dxa"/>
          </w:tcPr>
          <w:p w14:paraId="5F56BA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w:t>
            </w:r>
          </w:p>
        </w:tc>
        <w:tc>
          <w:tcPr>
            <w:tcW w:w="2520" w:type="dxa"/>
          </w:tcPr>
          <w:p w14:paraId="1D38F6A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20" w:type="dxa"/>
          </w:tcPr>
          <w:p w14:paraId="2D5B2F3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989834E" w14:textId="77777777" w:rsidTr="00EA0DA7">
        <w:tc>
          <w:tcPr>
            <w:tcW w:w="3936" w:type="dxa"/>
          </w:tcPr>
          <w:p w14:paraId="1C8039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Типовой график</w:t>
            </w:r>
          </w:p>
        </w:tc>
        <w:tc>
          <w:tcPr>
            <w:tcW w:w="2520" w:type="dxa"/>
          </w:tcPr>
          <w:p w14:paraId="7E211AC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20" w:type="dxa"/>
          </w:tcPr>
          <w:p w14:paraId="570D058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20" w:type="dxa"/>
          </w:tcPr>
          <w:p w14:paraId="299AFA8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C4F55B8" w14:textId="77777777" w:rsidTr="00EA0DA7">
        <w:tc>
          <w:tcPr>
            <w:tcW w:w="3936" w:type="dxa"/>
          </w:tcPr>
          <w:p w14:paraId="6B7F09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Агрегатная сборка</w:t>
            </w:r>
          </w:p>
        </w:tc>
        <w:tc>
          <w:tcPr>
            <w:tcW w:w="2520" w:type="dxa"/>
          </w:tcPr>
          <w:p w14:paraId="03A1F5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мес.</w:t>
            </w:r>
          </w:p>
        </w:tc>
        <w:tc>
          <w:tcPr>
            <w:tcW w:w="2520" w:type="dxa"/>
          </w:tcPr>
          <w:p w14:paraId="7758F08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20" w:type="dxa"/>
          </w:tcPr>
          <w:p w14:paraId="2A10A9D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FC6F830" w14:textId="77777777" w:rsidTr="00EA0DA7">
        <w:tc>
          <w:tcPr>
            <w:tcW w:w="3936" w:type="dxa"/>
            <w:tcBorders>
              <w:bottom w:val="single" w:sz="12" w:space="0" w:color="auto"/>
            </w:tcBorders>
          </w:tcPr>
          <w:p w14:paraId="6A9866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Общая сборка</w:t>
            </w:r>
          </w:p>
        </w:tc>
        <w:tc>
          <w:tcPr>
            <w:tcW w:w="2520" w:type="dxa"/>
            <w:tcBorders>
              <w:bottom w:val="single" w:sz="12" w:space="0" w:color="auto"/>
            </w:tcBorders>
          </w:tcPr>
          <w:p w14:paraId="73ABF8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мес. (2090,189)</w:t>
            </w:r>
          </w:p>
        </w:tc>
        <w:tc>
          <w:tcPr>
            <w:tcW w:w="2520" w:type="dxa"/>
            <w:tcBorders>
              <w:bottom w:val="single" w:sz="12" w:space="0" w:color="auto"/>
            </w:tcBorders>
          </w:tcPr>
          <w:p w14:paraId="27794FA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20" w:type="dxa"/>
            <w:tcBorders>
              <w:bottom w:val="single" w:sz="12" w:space="0" w:color="auto"/>
            </w:tcBorders>
          </w:tcPr>
          <w:p w14:paraId="73F16BF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5F2BF1D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E901D2" w14:textId="77777777" w:rsidR="0035667A" w:rsidRPr="00A3026E" w:rsidRDefault="0035667A" w:rsidP="00A3026E">
      <w:pPr>
        <w:spacing w:after="0" w:line="240" w:lineRule="auto"/>
        <w:jc w:val="both"/>
        <w:textAlignment w:val="top"/>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25 сентября 1940 В.П. Яценко обратился с письмом к К.Е. Ворошилову с просьбой выдать ему новое задание на разработку истребителя И-29 с мотором М-90. Новый самолет также планировалось делать в основном с применением дерева и клея ВИАМ Б-3. Стрелковое вооружение оставалось такое же мощное, как и у И-28, но при этом увеличивалась бомбовая нагрузка до 200 кг, и предусматривался вариант с установкой шести РО-82 для стрельбы ракетными снарядами РС-82.</w:t>
      </w:r>
    </w:p>
    <w:p w14:paraId="0CF7AAC9" w14:textId="77777777" w:rsidR="0035667A" w:rsidRPr="00A3026E" w:rsidRDefault="0035667A" w:rsidP="00A3026E">
      <w:pPr>
        <w:spacing w:after="0" w:line="240" w:lineRule="auto"/>
        <w:jc w:val="both"/>
        <w:textAlignment w:val="top"/>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Однако в выдаче нового задания В.П. Яценко отказали, а его самого было решено направить для дальнейшей работы на один из серийных заводов. В план опытных работ на 1941 г. истребитель И-29 не включили по причине... отсутствия у товарища Яценко опытной производственной базы. Вот так, вначале у КБ В.П. Яценко эту базу отобрали, предложив главному конструктору искать новую самостоятельно. Затем пообещали предоставить базу для опытного производства в случае получения нового задания. Но в итоге в выдаче задания отказали по причине отсутствия этой самой базы. Таким вот немудреным методом В.П. Яценко по сути отстранили от конструкторской работы, несмотря на одобрение военными эскизного проекта истребителя И-287.</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592"/>
        <w:gridCol w:w="1044"/>
        <w:gridCol w:w="1042"/>
        <w:gridCol w:w="1118"/>
        <w:gridCol w:w="769"/>
        <w:gridCol w:w="948"/>
        <w:gridCol w:w="769"/>
        <w:gridCol w:w="948"/>
        <w:gridCol w:w="988"/>
        <w:gridCol w:w="988"/>
        <w:gridCol w:w="1132"/>
      </w:tblGrid>
      <w:tr w:rsidR="00983732" w:rsidRPr="00A3026E" w14:paraId="33436D20" w14:textId="77777777" w:rsidTr="001A581B">
        <w:trPr>
          <w:tblCellSpacing w:w="15" w:type="dxa"/>
        </w:trPr>
        <w:tc>
          <w:tcPr>
            <w:tcW w:w="0" w:type="auto"/>
            <w:gridSpan w:val="11"/>
            <w:hideMark/>
          </w:tcPr>
          <w:p w14:paraId="145F9E2A" w14:textId="77777777" w:rsidR="0035667A" w:rsidRPr="00A3026E" w:rsidRDefault="0035667A" w:rsidP="00A3026E">
            <w:pPr>
              <w:spacing w:after="0" w:line="240" w:lineRule="auto"/>
              <w:jc w:val="both"/>
              <w:rPr>
                <w:rFonts w:ascii="Times New Roman" w:eastAsia="Times New Roman" w:hAnsi="Times New Roman"/>
                <w:bCs/>
                <w:color w:val="000000" w:themeColor="text1"/>
                <w:sz w:val="16"/>
                <w:szCs w:val="16"/>
                <w:lang w:eastAsia="ru-RU"/>
              </w:rPr>
            </w:pPr>
            <w:r w:rsidRPr="00A3026E">
              <w:rPr>
                <w:rFonts w:ascii="Times New Roman" w:eastAsia="Times New Roman" w:hAnsi="Times New Roman"/>
                <w:bCs/>
                <w:color w:val="000000" w:themeColor="text1"/>
                <w:sz w:val="16"/>
                <w:szCs w:val="16"/>
                <w:lang w:eastAsia="ru-RU"/>
              </w:rPr>
              <w:lastRenderedPageBreak/>
              <w:t>Сравнительные летно-технические характеристики скоростных истребителей 1939-1940 гг.</w:t>
            </w:r>
          </w:p>
        </w:tc>
      </w:tr>
      <w:tr w:rsidR="00983732" w:rsidRPr="00A3026E" w14:paraId="271399B8" w14:textId="77777777" w:rsidTr="001A581B">
        <w:trPr>
          <w:tblCellSpacing w:w="15" w:type="dxa"/>
        </w:trPr>
        <w:tc>
          <w:tcPr>
            <w:tcW w:w="0" w:type="auto"/>
            <w:vMerge w:val="restart"/>
            <w:tcBorders>
              <w:top w:val="single" w:sz="4" w:space="0" w:color="auto"/>
              <w:left w:val="single" w:sz="4" w:space="0" w:color="auto"/>
              <w:bottom w:val="single" w:sz="4" w:space="0" w:color="auto"/>
              <w:right w:val="single" w:sz="4" w:space="0" w:color="auto"/>
            </w:tcBorders>
            <w:hideMark/>
          </w:tcPr>
          <w:p w14:paraId="3CBE437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Характеристики</w:t>
            </w:r>
          </w:p>
        </w:tc>
        <w:tc>
          <w:tcPr>
            <w:tcW w:w="0" w:type="auto"/>
            <w:tcBorders>
              <w:top w:val="single" w:sz="4" w:space="0" w:color="auto"/>
              <w:left w:val="single" w:sz="4" w:space="0" w:color="auto"/>
              <w:bottom w:val="single" w:sz="4" w:space="0" w:color="auto"/>
              <w:right w:val="single" w:sz="4" w:space="0" w:color="auto"/>
            </w:tcBorders>
            <w:hideMark/>
          </w:tcPr>
          <w:p w14:paraId="6A2FC43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И-28-1</w:t>
            </w:r>
          </w:p>
        </w:tc>
        <w:tc>
          <w:tcPr>
            <w:tcW w:w="0" w:type="auto"/>
            <w:gridSpan w:val="2"/>
            <w:tcBorders>
              <w:top w:val="single" w:sz="4" w:space="0" w:color="auto"/>
              <w:left w:val="single" w:sz="4" w:space="0" w:color="auto"/>
              <w:bottom w:val="single" w:sz="4" w:space="0" w:color="auto"/>
              <w:right w:val="single" w:sz="4" w:space="0" w:color="auto"/>
            </w:tcBorders>
            <w:hideMark/>
          </w:tcPr>
          <w:p w14:paraId="458829FB"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И-28-2</w:t>
            </w:r>
          </w:p>
        </w:tc>
        <w:tc>
          <w:tcPr>
            <w:tcW w:w="0" w:type="auto"/>
            <w:gridSpan w:val="2"/>
            <w:tcBorders>
              <w:top w:val="single" w:sz="4" w:space="0" w:color="auto"/>
              <w:left w:val="single" w:sz="4" w:space="0" w:color="auto"/>
              <w:bottom w:val="single" w:sz="4" w:space="0" w:color="auto"/>
              <w:right w:val="single" w:sz="4" w:space="0" w:color="auto"/>
            </w:tcBorders>
            <w:hideMark/>
          </w:tcPr>
          <w:p w14:paraId="13BF698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Проект И-282</w:t>
            </w:r>
          </w:p>
        </w:tc>
        <w:tc>
          <w:tcPr>
            <w:tcW w:w="0" w:type="auto"/>
            <w:gridSpan w:val="2"/>
            <w:tcBorders>
              <w:top w:val="single" w:sz="4" w:space="0" w:color="auto"/>
              <w:left w:val="single" w:sz="4" w:space="0" w:color="auto"/>
              <w:bottom w:val="single" w:sz="4" w:space="0" w:color="auto"/>
              <w:right w:val="single" w:sz="4" w:space="0" w:color="auto"/>
            </w:tcBorders>
            <w:hideMark/>
          </w:tcPr>
          <w:p w14:paraId="313F8C9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Проект И-287</w:t>
            </w:r>
          </w:p>
        </w:tc>
        <w:tc>
          <w:tcPr>
            <w:tcW w:w="0" w:type="auto"/>
            <w:tcBorders>
              <w:top w:val="single" w:sz="4" w:space="0" w:color="auto"/>
              <w:left w:val="single" w:sz="4" w:space="0" w:color="auto"/>
              <w:bottom w:val="single" w:sz="4" w:space="0" w:color="auto"/>
              <w:right w:val="single" w:sz="4" w:space="0" w:color="auto"/>
            </w:tcBorders>
            <w:hideMark/>
          </w:tcPr>
          <w:p w14:paraId="6E00AFE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И-180-3</w:t>
            </w:r>
          </w:p>
        </w:tc>
        <w:tc>
          <w:tcPr>
            <w:tcW w:w="0" w:type="auto"/>
            <w:tcBorders>
              <w:top w:val="single" w:sz="4" w:space="0" w:color="auto"/>
              <w:left w:val="single" w:sz="4" w:space="0" w:color="auto"/>
              <w:bottom w:val="single" w:sz="4" w:space="0" w:color="auto"/>
              <w:right w:val="single" w:sz="4" w:space="0" w:color="auto"/>
            </w:tcBorders>
            <w:hideMark/>
          </w:tcPr>
          <w:p w14:paraId="2B691C3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Проект И-185</w:t>
            </w:r>
          </w:p>
        </w:tc>
        <w:tc>
          <w:tcPr>
            <w:tcW w:w="0" w:type="auto"/>
            <w:tcBorders>
              <w:top w:val="single" w:sz="4" w:space="0" w:color="auto"/>
              <w:left w:val="single" w:sz="4" w:space="0" w:color="auto"/>
              <w:bottom w:val="single" w:sz="4" w:space="0" w:color="auto"/>
              <w:right w:val="single" w:sz="4" w:space="0" w:color="auto"/>
            </w:tcBorders>
            <w:hideMark/>
          </w:tcPr>
          <w:p w14:paraId="7A6C480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И-26-2</w:t>
            </w:r>
          </w:p>
        </w:tc>
      </w:tr>
      <w:tr w:rsidR="00983732" w:rsidRPr="00A3026E" w14:paraId="4A711A74" w14:textId="77777777" w:rsidTr="001A581B">
        <w:trPr>
          <w:tblCellSpacing w:w="15"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5FD00C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tcBorders>
              <w:top w:val="single" w:sz="4" w:space="0" w:color="auto"/>
              <w:left w:val="single" w:sz="4" w:space="0" w:color="auto"/>
              <w:bottom w:val="single" w:sz="4" w:space="0" w:color="auto"/>
              <w:right w:val="single" w:sz="4" w:space="0" w:color="auto"/>
            </w:tcBorders>
            <w:hideMark/>
          </w:tcPr>
          <w:p w14:paraId="4613E9C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СЛИ</w:t>
            </w:r>
          </w:p>
        </w:tc>
        <w:tc>
          <w:tcPr>
            <w:tcW w:w="0" w:type="auto"/>
            <w:tcBorders>
              <w:top w:val="single" w:sz="4" w:space="0" w:color="auto"/>
              <w:left w:val="single" w:sz="4" w:space="0" w:color="auto"/>
              <w:bottom w:val="single" w:sz="4" w:space="0" w:color="auto"/>
              <w:right w:val="single" w:sz="4" w:space="0" w:color="auto"/>
            </w:tcBorders>
            <w:hideMark/>
          </w:tcPr>
          <w:p w14:paraId="04FD1B9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СЛИ</w:t>
            </w:r>
          </w:p>
        </w:tc>
        <w:tc>
          <w:tcPr>
            <w:tcW w:w="0" w:type="auto"/>
            <w:tcBorders>
              <w:top w:val="single" w:sz="4" w:space="0" w:color="auto"/>
              <w:left w:val="single" w:sz="4" w:space="0" w:color="auto"/>
              <w:bottom w:val="single" w:sz="4" w:space="0" w:color="auto"/>
              <w:right w:val="single" w:sz="4" w:space="0" w:color="auto"/>
            </w:tcBorders>
            <w:hideMark/>
          </w:tcPr>
          <w:p w14:paraId="7D183995"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ГЛИ</w:t>
            </w:r>
          </w:p>
        </w:tc>
        <w:tc>
          <w:tcPr>
            <w:tcW w:w="0" w:type="auto"/>
            <w:tcBorders>
              <w:top w:val="single" w:sz="4" w:space="0" w:color="auto"/>
              <w:left w:val="single" w:sz="4" w:space="0" w:color="auto"/>
              <w:bottom w:val="single" w:sz="4" w:space="0" w:color="auto"/>
              <w:right w:val="single" w:sz="4" w:space="0" w:color="auto"/>
            </w:tcBorders>
            <w:hideMark/>
          </w:tcPr>
          <w:p w14:paraId="2565FF25"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По проекту</w:t>
            </w:r>
          </w:p>
        </w:tc>
        <w:tc>
          <w:tcPr>
            <w:tcW w:w="0" w:type="auto"/>
            <w:tcBorders>
              <w:top w:val="single" w:sz="4" w:space="0" w:color="auto"/>
              <w:left w:val="single" w:sz="4" w:space="0" w:color="auto"/>
              <w:bottom w:val="single" w:sz="4" w:space="0" w:color="auto"/>
              <w:right w:val="single" w:sz="4" w:space="0" w:color="auto"/>
            </w:tcBorders>
            <w:hideMark/>
          </w:tcPr>
          <w:p w14:paraId="54F9E53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Ожидаемые</w:t>
            </w:r>
          </w:p>
        </w:tc>
        <w:tc>
          <w:tcPr>
            <w:tcW w:w="0" w:type="auto"/>
            <w:tcBorders>
              <w:top w:val="single" w:sz="4" w:space="0" w:color="auto"/>
              <w:left w:val="single" w:sz="4" w:space="0" w:color="auto"/>
              <w:bottom w:val="single" w:sz="4" w:space="0" w:color="auto"/>
              <w:right w:val="single" w:sz="4" w:space="0" w:color="auto"/>
            </w:tcBorders>
            <w:hideMark/>
          </w:tcPr>
          <w:p w14:paraId="11DB405B"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По проекту</w:t>
            </w:r>
          </w:p>
        </w:tc>
        <w:tc>
          <w:tcPr>
            <w:tcW w:w="0" w:type="auto"/>
            <w:tcBorders>
              <w:top w:val="single" w:sz="4" w:space="0" w:color="auto"/>
              <w:left w:val="single" w:sz="4" w:space="0" w:color="auto"/>
              <w:bottom w:val="single" w:sz="4" w:space="0" w:color="auto"/>
              <w:right w:val="single" w:sz="4" w:space="0" w:color="auto"/>
            </w:tcBorders>
            <w:hideMark/>
          </w:tcPr>
          <w:p w14:paraId="2340A09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Ожидаемые</w:t>
            </w:r>
          </w:p>
        </w:tc>
        <w:tc>
          <w:tcPr>
            <w:tcW w:w="0" w:type="auto"/>
            <w:tcBorders>
              <w:top w:val="single" w:sz="4" w:space="0" w:color="auto"/>
              <w:left w:val="single" w:sz="4" w:space="0" w:color="auto"/>
              <w:bottom w:val="single" w:sz="4" w:space="0" w:color="auto"/>
              <w:right w:val="single" w:sz="4" w:space="0" w:color="auto"/>
            </w:tcBorders>
            <w:hideMark/>
          </w:tcPr>
          <w:p w14:paraId="015D061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ГЛИ</w:t>
            </w:r>
          </w:p>
        </w:tc>
        <w:tc>
          <w:tcPr>
            <w:tcW w:w="0" w:type="auto"/>
            <w:tcBorders>
              <w:top w:val="single" w:sz="4" w:space="0" w:color="auto"/>
              <w:left w:val="single" w:sz="4" w:space="0" w:color="auto"/>
              <w:bottom w:val="single" w:sz="4" w:space="0" w:color="auto"/>
              <w:right w:val="single" w:sz="4" w:space="0" w:color="auto"/>
            </w:tcBorders>
            <w:hideMark/>
          </w:tcPr>
          <w:p w14:paraId="68C050C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ТТТ, ЭП</w:t>
            </w:r>
          </w:p>
        </w:tc>
        <w:tc>
          <w:tcPr>
            <w:tcW w:w="0" w:type="auto"/>
            <w:tcBorders>
              <w:top w:val="single" w:sz="4" w:space="0" w:color="auto"/>
              <w:left w:val="single" w:sz="4" w:space="0" w:color="auto"/>
              <w:bottom w:val="single" w:sz="4" w:space="0" w:color="auto"/>
              <w:right w:val="single" w:sz="4" w:space="0" w:color="auto"/>
            </w:tcBorders>
            <w:hideMark/>
          </w:tcPr>
          <w:p w14:paraId="34E82F7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ГЛИ</w:t>
            </w:r>
          </w:p>
        </w:tc>
      </w:tr>
      <w:tr w:rsidR="00983732" w:rsidRPr="00A3026E" w14:paraId="6D82378E"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7010BF8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Мотор</w:t>
            </w:r>
          </w:p>
        </w:tc>
        <w:tc>
          <w:tcPr>
            <w:tcW w:w="0" w:type="auto"/>
            <w:tcBorders>
              <w:top w:val="single" w:sz="4" w:space="0" w:color="auto"/>
              <w:left w:val="single" w:sz="4" w:space="0" w:color="auto"/>
              <w:bottom w:val="single" w:sz="4" w:space="0" w:color="auto"/>
              <w:right w:val="single" w:sz="4" w:space="0" w:color="auto"/>
            </w:tcBorders>
            <w:hideMark/>
          </w:tcPr>
          <w:p w14:paraId="4D8FE99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М-87А</w:t>
            </w:r>
          </w:p>
        </w:tc>
        <w:tc>
          <w:tcPr>
            <w:tcW w:w="0" w:type="auto"/>
            <w:tcBorders>
              <w:top w:val="single" w:sz="4" w:space="0" w:color="auto"/>
              <w:left w:val="single" w:sz="4" w:space="0" w:color="auto"/>
              <w:bottom w:val="single" w:sz="4" w:space="0" w:color="auto"/>
              <w:right w:val="single" w:sz="4" w:space="0" w:color="auto"/>
            </w:tcBorders>
            <w:hideMark/>
          </w:tcPr>
          <w:p w14:paraId="2501405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М-87Б</w:t>
            </w:r>
          </w:p>
        </w:tc>
        <w:tc>
          <w:tcPr>
            <w:tcW w:w="0" w:type="auto"/>
            <w:tcBorders>
              <w:top w:val="single" w:sz="4" w:space="0" w:color="auto"/>
              <w:left w:val="single" w:sz="4" w:space="0" w:color="auto"/>
              <w:bottom w:val="single" w:sz="4" w:space="0" w:color="auto"/>
              <w:right w:val="single" w:sz="4" w:space="0" w:color="auto"/>
            </w:tcBorders>
            <w:hideMark/>
          </w:tcPr>
          <w:p w14:paraId="3C0F08F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М-88</w:t>
            </w:r>
          </w:p>
        </w:tc>
        <w:tc>
          <w:tcPr>
            <w:tcW w:w="0" w:type="auto"/>
            <w:gridSpan w:val="2"/>
            <w:tcBorders>
              <w:top w:val="single" w:sz="4" w:space="0" w:color="auto"/>
              <w:left w:val="single" w:sz="4" w:space="0" w:color="auto"/>
              <w:bottom w:val="single" w:sz="4" w:space="0" w:color="auto"/>
              <w:right w:val="single" w:sz="4" w:space="0" w:color="auto"/>
            </w:tcBorders>
            <w:hideMark/>
          </w:tcPr>
          <w:p w14:paraId="27D731F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М-90</w:t>
            </w:r>
          </w:p>
        </w:tc>
        <w:tc>
          <w:tcPr>
            <w:tcW w:w="0" w:type="auto"/>
            <w:gridSpan w:val="2"/>
            <w:tcBorders>
              <w:top w:val="single" w:sz="4" w:space="0" w:color="auto"/>
              <w:left w:val="single" w:sz="4" w:space="0" w:color="auto"/>
              <w:bottom w:val="single" w:sz="4" w:space="0" w:color="auto"/>
              <w:right w:val="single" w:sz="4" w:space="0" w:color="auto"/>
            </w:tcBorders>
            <w:hideMark/>
          </w:tcPr>
          <w:p w14:paraId="05A4827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М-90</w:t>
            </w:r>
          </w:p>
        </w:tc>
        <w:tc>
          <w:tcPr>
            <w:tcW w:w="0" w:type="auto"/>
            <w:tcBorders>
              <w:top w:val="single" w:sz="4" w:space="0" w:color="auto"/>
              <w:left w:val="single" w:sz="4" w:space="0" w:color="auto"/>
              <w:bottom w:val="single" w:sz="4" w:space="0" w:color="auto"/>
              <w:right w:val="single" w:sz="4" w:space="0" w:color="auto"/>
            </w:tcBorders>
            <w:hideMark/>
          </w:tcPr>
          <w:p w14:paraId="132E99E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М-88</w:t>
            </w:r>
          </w:p>
        </w:tc>
        <w:tc>
          <w:tcPr>
            <w:tcW w:w="0" w:type="auto"/>
            <w:tcBorders>
              <w:top w:val="single" w:sz="4" w:space="0" w:color="auto"/>
              <w:left w:val="single" w:sz="4" w:space="0" w:color="auto"/>
              <w:bottom w:val="single" w:sz="4" w:space="0" w:color="auto"/>
              <w:right w:val="single" w:sz="4" w:space="0" w:color="auto"/>
            </w:tcBorders>
            <w:hideMark/>
          </w:tcPr>
          <w:p w14:paraId="7DD2F80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М-90</w:t>
            </w:r>
          </w:p>
        </w:tc>
        <w:tc>
          <w:tcPr>
            <w:tcW w:w="0" w:type="auto"/>
            <w:tcBorders>
              <w:top w:val="single" w:sz="4" w:space="0" w:color="auto"/>
              <w:left w:val="single" w:sz="4" w:space="0" w:color="auto"/>
              <w:bottom w:val="single" w:sz="4" w:space="0" w:color="auto"/>
              <w:right w:val="single" w:sz="4" w:space="0" w:color="auto"/>
            </w:tcBorders>
            <w:hideMark/>
          </w:tcPr>
          <w:p w14:paraId="218103F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М-105П</w:t>
            </w:r>
          </w:p>
        </w:tc>
      </w:tr>
      <w:tr w:rsidR="00983732" w:rsidRPr="00A3026E" w14:paraId="5902755D"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379A231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Взлетная мощность, л.с.</w:t>
            </w:r>
          </w:p>
        </w:tc>
        <w:tc>
          <w:tcPr>
            <w:tcW w:w="0" w:type="auto"/>
            <w:tcBorders>
              <w:top w:val="single" w:sz="4" w:space="0" w:color="auto"/>
              <w:left w:val="single" w:sz="4" w:space="0" w:color="auto"/>
              <w:bottom w:val="single" w:sz="4" w:space="0" w:color="auto"/>
              <w:right w:val="single" w:sz="4" w:space="0" w:color="auto"/>
            </w:tcBorders>
            <w:hideMark/>
          </w:tcPr>
          <w:p w14:paraId="2F4127C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998</w:t>
            </w:r>
          </w:p>
        </w:tc>
        <w:tc>
          <w:tcPr>
            <w:tcW w:w="0" w:type="auto"/>
            <w:tcBorders>
              <w:top w:val="single" w:sz="4" w:space="0" w:color="auto"/>
              <w:left w:val="single" w:sz="4" w:space="0" w:color="auto"/>
              <w:bottom w:val="single" w:sz="4" w:space="0" w:color="auto"/>
              <w:right w:val="single" w:sz="4" w:space="0" w:color="auto"/>
            </w:tcBorders>
            <w:hideMark/>
          </w:tcPr>
          <w:p w14:paraId="719F27B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998</w:t>
            </w:r>
          </w:p>
        </w:tc>
        <w:tc>
          <w:tcPr>
            <w:tcW w:w="0" w:type="auto"/>
            <w:tcBorders>
              <w:top w:val="single" w:sz="4" w:space="0" w:color="auto"/>
              <w:left w:val="single" w:sz="4" w:space="0" w:color="auto"/>
              <w:bottom w:val="single" w:sz="4" w:space="0" w:color="auto"/>
              <w:right w:val="single" w:sz="4" w:space="0" w:color="auto"/>
            </w:tcBorders>
            <w:hideMark/>
          </w:tcPr>
          <w:p w14:paraId="01C3D3C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1100</w:t>
            </w:r>
          </w:p>
        </w:tc>
        <w:tc>
          <w:tcPr>
            <w:tcW w:w="0" w:type="auto"/>
            <w:gridSpan w:val="2"/>
            <w:tcBorders>
              <w:top w:val="single" w:sz="4" w:space="0" w:color="auto"/>
              <w:left w:val="single" w:sz="4" w:space="0" w:color="auto"/>
              <w:bottom w:val="single" w:sz="4" w:space="0" w:color="auto"/>
              <w:right w:val="single" w:sz="4" w:space="0" w:color="auto"/>
            </w:tcBorders>
            <w:hideMark/>
          </w:tcPr>
          <w:p w14:paraId="50A03E9A"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1750</w:t>
            </w:r>
          </w:p>
        </w:tc>
        <w:tc>
          <w:tcPr>
            <w:tcW w:w="0" w:type="auto"/>
            <w:gridSpan w:val="2"/>
            <w:tcBorders>
              <w:top w:val="single" w:sz="4" w:space="0" w:color="auto"/>
              <w:left w:val="single" w:sz="4" w:space="0" w:color="auto"/>
              <w:bottom w:val="single" w:sz="4" w:space="0" w:color="auto"/>
              <w:right w:val="single" w:sz="4" w:space="0" w:color="auto"/>
            </w:tcBorders>
            <w:hideMark/>
          </w:tcPr>
          <w:p w14:paraId="2E8E747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1750</w:t>
            </w:r>
          </w:p>
        </w:tc>
        <w:tc>
          <w:tcPr>
            <w:tcW w:w="0" w:type="auto"/>
            <w:tcBorders>
              <w:top w:val="single" w:sz="4" w:space="0" w:color="auto"/>
              <w:left w:val="single" w:sz="4" w:space="0" w:color="auto"/>
              <w:bottom w:val="single" w:sz="4" w:space="0" w:color="auto"/>
              <w:right w:val="single" w:sz="4" w:space="0" w:color="auto"/>
            </w:tcBorders>
            <w:hideMark/>
          </w:tcPr>
          <w:p w14:paraId="2A16AD8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1100</w:t>
            </w:r>
          </w:p>
        </w:tc>
        <w:tc>
          <w:tcPr>
            <w:tcW w:w="0" w:type="auto"/>
            <w:tcBorders>
              <w:top w:val="single" w:sz="4" w:space="0" w:color="auto"/>
              <w:left w:val="single" w:sz="4" w:space="0" w:color="auto"/>
              <w:bottom w:val="single" w:sz="4" w:space="0" w:color="auto"/>
              <w:right w:val="single" w:sz="4" w:space="0" w:color="auto"/>
            </w:tcBorders>
            <w:hideMark/>
          </w:tcPr>
          <w:p w14:paraId="430C0C0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1750</w:t>
            </w:r>
          </w:p>
        </w:tc>
        <w:tc>
          <w:tcPr>
            <w:tcW w:w="0" w:type="auto"/>
            <w:tcBorders>
              <w:top w:val="single" w:sz="4" w:space="0" w:color="auto"/>
              <w:left w:val="single" w:sz="4" w:space="0" w:color="auto"/>
              <w:bottom w:val="single" w:sz="4" w:space="0" w:color="auto"/>
              <w:right w:val="single" w:sz="4" w:space="0" w:color="auto"/>
            </w:tcBorders>
            <w:hideMark/>
          </w:tcPr>
          <w:p w14:paraId="403554C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1100</w:t>
            </w:r>
          </w:p>
        </w:tc>
      </w:tr>
      <w:tr w:rsidR="00983732" w:rsidRPr="00A3026E" w14:paraId="086B3D42"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4E5D628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Мощность на границе высотности, л.с.</w:t>
            </w:r>
          </w:p>
        </w:tc>
        <w:tc>
          <w:tcPr>
            <w:tcW w:w="0" w:type="auto"/>
            <w:tcBorders>
              <w:top w:val="single" w:sz="4" w:space="0" w:color="auto"/>
              <w:left w:val="single" w:sz="4" w:space="0" w:color="auto"/>
              <w:bottom w:val="single" w:sz="4" w:space="0" w:color="auto"/>
              <w:right w:val="single" w:sz="4" w:space="0" w:color="auto"/>
            </w:tcBorders>
            <w:hideMark/>
          </w:tcPr>
          <w:p w14:paraId="6F99A48A"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950</w:t>
            </w:r>
          </w:p>
        </w:tc>
        <w:tc>
          <w:tcPr>
            <w:tcW w:w="0" w:type="auto"/>
            <w:tcBorders>
              <w:top w:val="single" w:sz="4" w:space="0" w:color="auto"/>
              <w:left w:val="single" w:sz="4" w:space="0" w:color="auto"/>
              <w:bottom w:val="single" w:sz="4" w:space="0" w:color="auto"/>
              <w:right w:val="single" w:sz="4" w:space="0" w:color="auto"/>
            </w:tcBorders>
            <w:hideMark/>
          </w:tcPr>
          <w:p w14:paraId="744A379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950</w:t>
            </w:r>
          </w:p>
        </w:tc>
        <w:tc>
          <w:tcPr>
            <w:tcW w:w="0" w:type="auto"/>
            <w:tcBorders>
              <w:top w:val="single" w:sz="4" w:space="0" w:color="auto"/>
              <w:left w:val="single" w:sz="4" w:space="0" w:color="auto"/>
              <w:bottom w:val="single" w:sz="4" w:space="0" w:color="auto"/>
              <w:right w:val="single" w:sz="4" w:space="0" w:color="auto"/>
            </w:tcBorders>
            <w:hideMark/>
          </w:tcPr>
          <w:p w14:paraId="5E44A16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1000</w:t>
            </w:r>
          </w:p>
        </w:tc>
        <w:tc>
          <w:tcPr>
            <w:tcW w:w="0" w:type="auto"/>
            <w:gridSpan w:val="2"/>
            <w:tcBorders>
              <w:top w:val="single" w:sz="4" w:space="0" w:color="auto"/>
              <w:left w:val="single" w:sz="4" w:space="0" w:color="auto"/>
              <w:bottom w:val="single" w:sz="4" w:space="0" w:color="auto"/>
              <w:right w:val="single" w:sz="4" w:space="0" w:color="auto"/>
            </w:tcBorders>
            <w:hideMark/>
          </w:tcPr>
          <w:p w14:paraId="09F0FA1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1500</w:t>
            </w:r>
          </w:p>
        </w:tc>
        <w:tc>
          <w:tcPr>
            <w:tcW w:w="0" w:type="auto"/>
            <w:gridSpan w:val="2"/>
            <w:tcBorders>
              <w:top w:val="single" w:sz="4" w:space="0" w:color="auto"/>
              <w:left w:val="single" w:sz="4" w:space="0" w:color="auto"/>
              <w:bottom w:val="single" w:sz="4" w:space="0" w:color="auto"/>
              <w:right w:val="single" w:sz="4" w:space="0" w:color="auto"/>
            </w:tcBorders>
            <w:hideMark/>
          </w:tcPr>
          <w:p w14:paraId="7CB7CA2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1500</w:t>
            </w:r>
          </w:p>
        </w:tc>
        <w:tc>
          <w:tcPr>
            <w:tcW w:w="0" w:type="auto"/>
            <w:tcBorders>
              <w:top w:val="single" w:sz="4" w:space="0" w:color="auto"/>
              <w:left w:val="single" w:sz="4" w:space="0" w:color="auto"/>
              <w:bottom w:val="single" w:sz="4" w:space="0" w:color="auto"/>
              <w:right w:val="single" w:sz="4" w:space="0" w:color="auto"/>
            </w:tcBorders>
            <w:hideMark/>
          </w:tcPr>
          <w:p w14:paraId="31D32D0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1000</w:t>
            </w:r>
          </w:p>
        </w:tc>
        <w:tc>
          <w:tcPr>
            <w:tcW w:w="0" w:type="auto"/>
            <w:tcBorders>
              <w:top w:val="single" w:sz="4" w:space="0" w:color="auto"/>
              <w:left w:val="single" w:sz="4" w:space="0" w:color="auto"/>
              <w:bottom w:val="single" w:sz="4" w:space="0" w:color="auto"/>
              <w:right w:val="single" w:sz="4" w:space="0" w:color="auto"/>
            </w:tcBorders>
            <w:hideMark/>
          </w:tcPr>
          <w:p w14:paraId="0D73774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1500</w:t>
            </w:r>
          </w:p>
        </w:tc>
        <w:tc>
          <w:tcPr>
            <w:tcW w:w="0" w:type="auto"/>
            <w:tcBorders>
              <w:top w:val="single" w:sz="4" w:space="0" w:color="auto"/>
              <w:left w:val="single" w:sz="4" w:space="0" w:color="auto"/>
              <w:bottom w:val="single" w:sz="4" w:space="0" w:color="auto"/>
              <w:right w:val="single" w:sz="4" w:space="0" w:color="auto"/>
            </w:tcBorders>
            <w:hideMark/>
          </w:tcPr>
          <w:p w14:paraId="21B3C3C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1050</w:t>
            </w:r>
          </w:p>
        </w:tc>
      </w:tr>
      <w:tr w:rsidR="00983732" w:rsidRPr="00A3026E" w14:paraId="7337FD09"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1519BFC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Длина самолета, м</w:t>
            </w:r>
          </w:p>
        </w:tc>
        <w:tc>
          <w:tcPr>
            <w:tcW w:w="0" w:type="auto"/>
            <w:tcBorders>
              <w:top w:val="single" w:sz="4" w:space="0" w:color="auto"/>
              <w:left w:val="single" w:sz="4" w:space="0" w:color="auto"/>
              <w:bottom w:val="single" w:sz="4" w:space="0" w:color="auto"/>
              <w:right w:val="single" w:sz="4" w:space="0" w:color="auto"/>
            </w:tcBorders>
            <w:hideMark/>
          </w:tcPr>
          <w:p w14:paraId="17DF14FB"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8,54</w:t>
            </w:r>
          </w:p>
        </w:tc>
        <w:tc>
          <w:tcPr>
            <w:tcW w:w="0" w:type="auto"/>
            <w:tcBorders>
              <w:top w:val="single" w:sz="4" w:space="0" w:color="auto"/>
              <w:left w:val="single" w:sz="4" w:space="0" w:color="auto"/>
              <w:bottom w:val="single" w:sz="4" w:space="0" w:color="auto"/>
              <w:right w:val="single" w:sz="4" w:space="0" w:color="auto"/>
            </w:tcBorders>
            <w:hideMark/>
          </w:tcPr>
          <w:p w14:paraId="643492E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8,54</w:t>
            </w:r>
          </w:p>
        </w:tc>
        <w:tc>
          <w:tcPr>
            <w:tcW w:w="0" w:type="auto"/>
            <w:tcBorders>
              <w:top w:val="single" w:sz="4" w:space="0" w:color="auto"/>
              <w:left w:val="single" w:sz="4" w:space="0" w:color="auto"/>
              <w:bottom w:val="single" w:sz="4" w:space="0" w:color="auto"/>
              <w:right w:val="single" w:sz="4" w:space="0" w:color="auto"/>
            </w:tcBorders>
            <w:hideMark/>
          </w:tcPr>
          <w:p w14:paraId="4FF5CC0A"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8,53</w:t>
            </w:r>
          </w:p>
        </w:tc>
        <w:tc>
          <w:tcPr>
            <w:tcW w:w="0" w:type="auto"/>
            <w:gridSpan w:val="2"/>
            <w:tcBorders>
              <w:top w:val="single" w:sz="4" w:space="0" w:color="auto"/>
              <w:left w:val="single" w:sz="4" w:space="0" w:color="auto"/>
              <w:bottom w:val="single" w:sz="4" w:space="0" w:color="auto"/>
              <w:right w:val="single" w:sz="4" w:space="0" w:color="auto"/>
            </w:tcBorders>
            <w:hideMark/>
          </w:tcPr>
          <w:p w14:paraId="23A18715"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gridSpan w:val="2"/>
            <w:tcBorders>
              <w:top w:val="single" w:sz="4" w:space="0" w:color="auto"/>
              <w:left w:val="single" w:sz="4" w:space="0" w:color="auto"/>
              <w:bottom w:val="single" w:sz="4" w:space="0" w:color="auto"/>
              <w:right w:val="single" w:sz="4" w:space="0" w:color="auto"/>
            </w:tcBorders>
            <w:hideMark/>
          </w:tcPr>
          <w:p w14:paraId="06C7F63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403E522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6,88</w:t>
            </w:r>
          </w:p>
        </w:tc>
        <w:tc>
          <w:tcPr>
            <w:tcW w:w="0" w:type="auto"/>
            <w:tcBorders>
              <w:top w:val="single" w:sz="4" w:space="0" w:color="auto"/>
              <w:left w:val="single" w:sz="4" w:space="0" w:color="auto"/>
              <w:bottom w:val="single" w:sz="4" w:space="0" w:color="auto"/>
              <w:right w:val="single" w:sz="4" w:space="0" w:color="auto"/>
            </w:tcBorders>
            <w:hideMark/>
          </w:tcPr>
          <w:p w14:paraId="31E3AE9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7,25</w:t>
            </w:r>
          </w:p>
        </w:tc>
        <w:tc>
          <w:tcPr>
            <w:tcW w:w="0" w:type="auto"/>
            <w:tcBorders>
              <w:top w:val="single" w:sz="4" w:space="0" w:color="auto"/>
              <w:left w:val="single" w:sz="4" w:space="0" w:color="auto"/>
              <w:bottom w:val="single" w:sz="4" w:space="0" w:color="auto"/>
              <w:right w:val="single" w:sz="4" w:space="0" w:color="auto"/>
            </w:tcBorders>
            <w:hideMark/>
          </w:tcPr>
          <w:p w14:paraId="06AE993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8,48</w:t>
            </w:r>
          </w:p>
        </w:tc>
      </w:tr>
      <w:tr w:rsidR="00983732" w:rsidRPr="00A3026E" w14:paraId="3B63450A"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45F3355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Высота самолета на стоянке, м</w:t>
            </w:r>
          </w:p>
        </w:tc>
        <w:tc>
          <w:tcPr>
            <w:tcW w:w="0" w:type="auto"/>
            <w:tcBorders>
              <w:top w:val="single" w:sz="4" w:space="0" w:color="auto"/>
              <w:left w:val="single" w:sz="4" w:space="0" w:color="auto"/>
              <w:bottom w:val="single" w:sz="4" w:space="0" w:color="auto"/>
              <w:right w:val="single" w:sz="4" w:space="0" w:color="auto"/>
            </w:tcBorders>
            <w:hideMark/>
          </w:tcPr>
          <w:p w14:paraId="1E52E44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2,58</w:t>
            </w:r>
          </w:p>
        </w:tc>
        <w:tc>
          <w:tcPr>
            <w:tcW w:w="0" w:type="auto"/>
            <w:tcBorders>
              <w:top w:val="single" w:sz="4" w:space="0" w:color="auto"/>
              <w:left w:val="single" w:sz="4" w:space="0" w:color="auto"/>
              <w:bottom w:val="single" w:sz="4" w:space="0" w:color="auto"/>
              <w:right w:val="single" w:sz="4" w:space="0" w:color="auto"/>
            </w:tcBorders>
            <w:hideMark/>
          </w:tcPr>
          <w:p w14:paraId="6D0BB002"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2,58</w:t>
            </w:r>
          </w:p>
        </w:tc>
        <w:tc>
          <w:tcPr>
            <w:tcW w:w="0" w:type="auto"/>
            <w:tcBorders>
              <w:top w:val="single" w:sz="4" w:space="0" w:color="auto"/>
              <w:left w:val="single" w:sz="4" w:space="0" w:color="auto"/>
              <w:bottom w:val="single" w:sz="4" w:space="0" w:color="auto"/>
              <w:right w:val="single" w:sz="4" w:space="0" w:color="auto"/>
            </w:tcBorders>
            <w:hideMark/>
          </w:tcPr>
          <w:p w14:paraId="746C3C7A"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2,60</w:t>
            </w:r>
          </w:p>
        </w:tc>
        <w:tc>
          <w:tcPr>
            <w:tcW w:w="0" w:type="auto"/>
            <w:gridSpan w:val="2"/>
            <w:tcBorders>
              <w:top w:val="single" w:sz="4" w:space="0" w:color="auto"/>
              <w:left w:val="single" w:sz="4" w:space="0" w:color="auto"/>
              <w:bottom w:val="single" w:sz="4" w:space="0" w:color="auto"/>
              <w:right w:val="single" w:sz="4" w:space="0" w:color="auto"/>
            </w:tcBorders>
            <w:hideMark/>
          </w:tcPr>
          <w:p w14:paraId="775908FB"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gridSpan w:val="2"/>
            <w:tcBorders>
              <w:top w:val="single" w:sz="4" w:space="0" w:color="auto"/>
              <w:left w:val="single" w:sz="4" w:space="0" w:color="auto"/>
              <w:bottom w:val="single" w:sz="4" w:space="0" w:color="auto"/>
              <w:right w:val="single" w:sz="4" w:space="0" w:color="auto"/>
            </w:tcBorders>
            <w:hideMark/>
          </w:tcPr>
          <w:p w14:paraId="2DBA7E5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668DC4D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67C65CC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3FE1255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r>
      <w:tr w:rsidR="00983732" w:rsidRPr="00A3026E" w14:paraId="5F3E9AAC"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6A5C6BD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Размах крыла, м</w:t>
            </w:r>
          </w:p>
        </w:tc>
        <w:tc>
          <w:tcPr>
            <w:tcW w:w="0" w:type="auto"/>
            <w:tcBorders>
              <w:top w:val="single" w:sz="4" w:space="0" w:color="auto"/>
              <w:left w:val="single" w:sz="4" w:space="0" w:color="auto"/>
              <w:bottom w:val="single" w:sz="4" w:space="0" w:color="auto"/>
              <w:right w:val="single" w:sz="4" w:space="0" w:color="auto"/>
            </w:tcBorders>
            <w:hideMark/>
          </w:tcPr>
          <w:p w14:paraId="76A1334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9,60</w:t>
            </w:r>
          </w:p>
        </w:tc>
        <w:tc>
          <w:tcPr>
            <w:tcW w:w="0" w:type="auto"/>
            <w:tcBorders>
              <w:top w:val="single" w:sz="4" w:space="0" w:color="auto"/>
              <w:left w:val="single" w:sz="4" w:space="0" w:color="auto"/>
              <w:bottom w:val="single" w:sz="4" w:space="0" w:color="auto"/>
              <w:right w:val="single" w:sz="4" w:space="0" w:color="auto"/>
            </w:tcBorders>
            <w:hideMark/>
          </w:tcPr>
          <w:p w14:paraId="2139ECE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9,60</w:t>
            </w:r>
          </w:p>
        </w:tc>
        <w:tc>
          <w:tcPr>
            <w:tcW w:w="0" w:type="auto"/>
            <w:tcBorders>
              <w:top w:val="single" w:sz="4" w:space="0" w:color="auto"/>
              <w:left w:val="single" w:sz="4" w:space="0" w:color="auto"/>
              <w:bottom w:val="single" w:sz="4" w:space="0" w:color="auto"/>
              <w:right w:val="single" w:sz="4" w:space="0" w:color="auto"/>
            </w:tcBorders>
            <w:hideMark/>
          </w:tcPr>
          <w:p w14:paraId="46427BB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9,60</w:t>
            </w:r>
          </w:p>
        </w:tc>
        <w:tc>
          <w:tcPr>
            <w:tcW w:w="0" w:type="auto"/>
            <w:gridSpan w:val="2"/>
            <w:tcBorders>
              <w:top w:val="single" w:sz="4" w:space="0" w:color="auto"/>
              <w:left w:val="single" w:sz="4" w:space="0" w:color="auto"/>
              <w:bottom w:val="single" w:sz="4" w:space="0" w:color="auto"/>
              <w:right w:val="single" w:sz="4" w:space="0" w:color="auto"/>
            </w:tcBorders>
            <w:hideMark/>
          </w:tcPr>
          <w:p w14:paraId="7F8FEEF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9,60</w:t>
            </w:r>
          </w:p>
        </w:tc>
        <w:tc>
          <w:tcPr>
            <w:tcW w:w="0" w:type="auto"/>
            <w:gridSpan w:val="2"/>
            <w:tcBorders>
              <w:top w:val="single" w:sz="4" w:space="0" w:color="auto"/>
              <w:left w:val="single" w:sz="4" w:space="0" w:color="auto"/>
              <w:bottom w:val="single" w:sz="4" w:space="0" w:color="auto"/>
              <w:right w:val="single" w:sz="4" w:space="0" w:color="auto"/>
            </w:tcBorders>
            <w:hideMark/>
          </w:tcPr>
          <w:p w14:paraId="4FD0813B"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9,60</w:t>
            </w:r>
          </w:p>
        </w:tc>
        <w:tc>
          <w:tcPr>
            <w:tcW w:w="0" w:type="auto"/>
            <w:tcBorders>
              <w:top w:val="single" w:sz="4" w:space="0" w:color="auto"/>
              <w:left w:val="single" w:sz="4" w:space="0" w:color="auto"/>
              <w:bottom w:val="single" w:sz="4" w:space="0" w:color="auto"/>
              <w:right w:val="single" w:sz="4" w:space="0" w:color="auto"/>
            </w:tcBorders>
            <w:hideMark/>
          </w:tcPr>
          <w:p w14:paraId="0CFA912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10,09</w:t>
            </w:r>
          </w:p>
        </w:tc>
        <w:tc>
          <w:tcPr>
            <w:tcW w:w="0" w:type="auto"/>
            <w:tcBorders>
              <w:top w:val="single" w:sz="4" w:space="0" w:color="auto"/>
              <w:left w:val="single" w:sz="4" w:space="0" w:color="auto"/>
              <w:bottom w:val="single" w:sz="4" w:space="0" w:color="auto"/>
              <w:right w:val="single" w:sz="4" w:space="0" w:color="auto"/>
            </w:tcBorders>
            <w:hideMark/>
          </w:tcPr>
          <w:p w14:paraId="039E203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9,80</w:t>
            </w:r>
          </w:p>
        </w:tc>
        <w:tc>
          <w:tcPr>
            <w:tcW w:w="0" w:type="auto"/>
            <w:tcBorders>
              <w:top w:val="single" w:sz="4" w:space="0" w:color="auto"/>
              <w:left w:val="single" w:sz="4" w:space="0" w:color="auto"/>
              <w:bottom w:val="single" w:sz="4" w:space="0" w:color="auto"/>
              <w:right w:val="single" w:sz="4" w:space="0" w:color="auto"/>
            </w:tcBorders>
            <w:hideMark/>
          </w:tcPr>
          <w:p w14:paraId="6445A7A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10,00</w:t>
            </w:r>
          </w:p>
        </w:tc>
      </w:tr>
      <w:tr w:rsidR="00983732" w:rsidRPr="00A3026E" w14:paraId="5AA028A4"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7FC097D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Площадь крыла, м²</w:t>
            </w:r>
          </w:p>
        </w:tc>
        <w:tc>
          <w:tcPr>
            <w:tcW w:w="0" w:type="auto"/>
            <w:tcBorders>
              <w:top w:val="single" w:sz="4" w:space="0" w:color="auto"/>
              <w:left w:val="single" w:sz="4" w:space="0" w:color="auto"/>
              <w:bottom w:val="single" w:sz="4" w:space="0" w:color="auto"/>
              <w:right w:val="single" w:sz="4" w:space="0" w:color="auto"/>
            </w:tcBorders>
            <w:hideMark/>
          </w:tcPr>
          <w:p w14:paraId="1A8F0242"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16,50</w:t>
            </w:r>
          </w:p>
        </w:tc>
        <w:tc>
          <w:tcPr>
            <w:tcW w:w="0" w:type="auto"/>
            <w:tcBorders>
              <w:top w:val="single" w:sz="4" w:space="0" w:color="auto"/>
              <w:left w:val="single" w:sz="4" w:space="0" w:color="auto"/>
              <w:bottom w:val="single" w:sz="4" w:space="0" w:color="auto"/>
              <w:right w:val="single" w:sz="4" w:space="0" w:color="auto"/>
            </w:tcBorders>
            <w:hideMark/>
          </w:tcPr>
          <w:p w14:paraId="7B5652F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16,50</w:t>
            </w:r>
          </w:p>
        </w:tc>
        <w:tc>
          <w:tcPr>
            <w:tcW w:w="0" w:type="auto"/>
            <w:tcBorders>
              <w:top w:val="single" w:sz="4" w:space="0" w:color="auto"/>
              <w:left w:val="single" w:sz="4" w:space="0" w:color="auto"/>
              <w:bottom w:val="single" w:sz="4" w:space="0" w:color="auto"/>
              <w:right w:val="single" w:sz="4" w:space="0" w:color="auto"/>
            </w:tcBorders>
            <w:hideMark/>
          </w:tcPr>
          <w:p w14:paraId="39B91E3A"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16,50</w:t>
            </w:r>
          </w:p>
        </w:tc>
        <w:tc>
          <w:tcPr>
            <w:tcW w:w="0" w:type="auto"/>
            <w:gridSpan w:val="2"/>
            <w:tcBorders>
              <w:top w:val="single" w:sz="4" w:space="0" w:color="auto"/>
              <w:left w:val="single" w:sz="4" w:space="0" w:color="auto"/>
              <w:bottom w:val="single" w:sz="4" w:space="0" w:color="auto"/>
              <w:right w:val="single" w:sz="4" w:space="0" w:color="auto"/>
            </w:tcBorders>
            <w:hideMark/>
          </w:tcPr>
          <w:p w14:paraId="0DC96AEB"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16,50</w:t>
            </w:r>
          </w:p>
        </w:tc>
        <w:tc>
          <w:tcPr>
            <w:tcW w:w="0" w:type="auto"/>
            <w:gridSpan w:val="2"/>
            <w:tcBorders>
              <w:top w:val="single" w:sz="4" w:space="0" w:color="auto"/>
              <w:left w:val="single" w:sz="4" w:space="0" w:color="auto"/>
              <w:bottom w:val="single" w:sz="4" w:space="0" w:color="auto"/>
              <w:right w:val="single" w:sz="4" w:space="0" w:color="auto"/>
            </w:tcBorders>
            <w:hideMark/>
          </w:tcPr>
          <w:p w14:paraId="031776AB"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16,50</w:t>
            </w:r>
          </w:p>
        </w:tc>
        <w:tc>
          <w:tcPr>
            <w:tcW w:w="0" w:type="auto"/>
            <w:tcBorders>
              <w:top w:val="single" w:sz="4" w:space="0" w:color="auto"/>
              <w:left w:val="single" w:sz="4" w:space="0" w:color="auto"/>
              <w:bottom w:val="single" w:sz="4" w:space="0" w:color="auto"/>
              <w:right w:val="single" w:sz="4" w:space="0" w:color="auto"/>
            </w:tcBorders>
            <w:hideMark/>
          </w:tcPr>
          <w:p w14:paraId="3630219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16,11</w:t>
            </w:r>
          </w:p>
        </w:tc>
        <w:tc>
          <w:tcPr>
            <w:tcW w:w="0" w:type="auto"/>
            <w:tcBorders>
              <w:top w:val="single" w:sz="4" w:space="0" w:color="auto"/>
              <w:left w:val="single" w:sz="4" w:space="0" w:color="auto"/>
              <w:bottom w:val="single" w:sz="4" w:space="0" w:color="auto"/>
              <w:right w:val="single" w:sz="4" w:space="0" w:color="auto"/>
            </w:tcBorders>
            <w:hideMark/>
          </w:tcPr>
          <w:p w14:paraId="6F8467E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15,53</w:t>
            </w:r>
          </w:p>
        </w:tc>
        <w:tc>
          <w:tcPr>
            <w:tcW w:w="0" w:type="auto"/>
            <w:tcBorders>
              <w:top w:val="single" w:sz="4" w:space="0" w:color="auto"/>
              <w:left w:val="single" w:sz="4" w:space="0" w:color="auto"/>
              <w:bottom w:val="single" w:sz="4" w:space="0" w:color="auto"/>
              <w:right w:val="single" w:sz="4" w:space="0" w:color="auto"/>
            </w:tcBorders>
            <w:hideMark/>
          </w:tcPr>
          <w:p w14:paraId="4594056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17,15</w:t>
            </w:r>
          </w:p>
        </w:tc>
      </w:tr>
      <w:tr w:rsidR="00983732" w:rsidRPr="00A3026E" w14:paraId="46F94FB4" w14:textId="77777777" w:rsidTr="001A581B">
        <w:trPr>
          <w:tblCellSpacing w:w="15" w:type="dxa"/>
        </w:trPr>
        <w:tc>
          <w:tcPr>
            <w:tcW w:w="0" w:type="auto"/>
            <w:gridSpan w:val="11"/>
            <w:tcBorders>
              <w:top w:val="single" w:sz="4" w:space="0" w:color="auto"/>
              <w:left w:val="single" w:sz="4" w:space="0" w:color="auto"/>
              <w:bottom w:val="single" w:sz="4" w:space="0" w:color="auto"/>
              <w:right w:val="single" w:sz="4" w:space="0" w:color="auto"/>
            </w:tcBorders>
            <w:hideMark/>
          </w:tcPr>
          <w:p w14:paraId="4D440ED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Масса, кг:</w:t>
            </w:r>
          </w:p>
        </w:tc>
      </w:tr>
      <w:tr w:rsidR="00983732" w:rsidRPr="00A3026E" w14:paraId="693A9A65"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657375D2"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пустого</w:t>
            </w:r>
          </w:p>
        </w:tc>
        <w:tc>
          <w:tcPr>
            <w:tcW w:w="0" w:type="auto"/>
            <w:tcBorders>
              <w:top w:val="single" w:sz="4" w:space="0" w:color="auto"/>
              <w:left w:val="single" w:sz="4" w:space="0" w:color="auto"/>
              <w:bottom w:val="single" w:sz="4" w:space="0" w:color="auto"/>
              <w:right w:val="single" w:sz="4" w:space="0" w:color="auto"/>
            </w:tcBorders>
            <w:hideMark/>
          </w:tcPr>
          <w:p w14:paraId="197BD36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2257</w:t>
            </w:r>
          </w:p>
        </w:tc>
        <w:tc>
          <w:tcPr>
            <w:tcW w:w="0" w:type="auto"/>
            <w:tcBorders>
              <w:top w:val="single" w:sz="4" w:space="0" w:color="auto"/>
              <w:left w:val="single" w:sz="4" w:space="0" w:color="auto"/>
              <w:bottom w:val="single" w:sz="4" w:space="0" w:color="auto"/>
              <w:right w:val="single" w:sz="4" w:space="0" w:color="auto"/>
            </w:tcBorders>
            <w:hideMark/>
          </w:tcPr>
          <w:p w14:paraId="3E6AEA25"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2257</w:t>
            </w:r>
          </w:p>
        </w:tc>
        <w:tc>
          <w:tcPr>
            <w:tcW w:w="0" w:type="auto"/>
            <w:tcBorders>
              <w:top w:val="single" w:sz="4" w:space="0" w:color="auto"/>
              <w:left w:val="single" w:sz="4" w:space="0" w:color="auto"/>
              <w:bottom w:val="single" w:sz="4" w:space="0" w:color="auto"/>
              <w:right w:val="single" w:sz="4" w:space="0" w:color="auto"/>
            </w:tcBorders>
            <w:hideMark/>
          </w:tcPr>
          <w:p w14:paraId="26A5565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2300</w:t>
            </w:r>
          </w:p>
        </w:tc>
        <w:tc>
          <w:tcPr>
            <w:tcW w:w="0" w:type="auto"/>
            <w:tcBorders>
              <w:top w:val="single" w:sz="4" w:space="0" w:color="auto"/>
              <w:left w:val="single" w:sz="4" w:space="0" w:color="auto"/>
              <w:bottom w:val="single" w:sz="4" w:space="0" w:color="auto"/>
              <w:right w:val="single" w:sz="4" w:space="0" w:color="auto"/>
            </w:tcBorders>
            <w:hideMark/>
          </w:tcPr>
          <w:p w14:paraId="2FEE640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2336</w:t>
            </w:r>
          </w:p>
        </w:tc>
        <w:tc>
          <w:tcPr>
            <w:tcW w:w="0" w:type="auto"/>
            <w:tcBorders>
              <w:top w:val="single" w:sz="4" w:space="0" w:color="auto"/>
              <w:left w:val="single" w:sz="4" w:space="0" w:color="auto"/>
              <w:bottom w:val="single" w:sz="4" w:space="0" w:color="auto"/>
              <w:right w:val="single" w:sz="4" w:space="0" w:color="auto"/>
            </w:tcBorders>
            <w:hideMark/>
          </w:tcPr>
          <w:p w14:paraId="6781511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2565</w:t>
            </w:r>
          </w:p>
        </w:tc>
        <w:tc>
          <w:tcPr>
            <w:tcW w:w="0" w:type="auto"/>
            <w:tcBorders>
              <w:top w:val="single" w:sz="4" w:space="0" w:color="auto"/>
              <w:left w:val="single" w:sz="4" w:space="0" w:color="auto"/>
              <w:bottom w:val="single" w:sz="4" w:space="0" w:color="auto"/>
              <w:right w:val="single" w:sz="4" w:space="0" w:color="auto"/>
            </w:tcBorders>
            <w:hideMark/>
          </w:tcPr>
          <w:p w14:paraId="6711B22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2282,5</w:t>
            </w:r>
          </w:p>
        </w:tc>
        <w:tc>
          <w:tcPr>
            <w:tcW w:w="0" w:type="auto"/>
            <w:tcBorders>
              <w:top w:val="single" w:sz="4" w:space="0" w:color="auto"/>
              <w:left w:val="single" w:sz="4" w:space="0" w:color="auto"/>
              <w:bottom w:val="single" w:sz="4" w:space="0" w:color="auto"/>
              <w:right w:val="single" w:sz="4" w:space="0" w:color="auto"/>
            </w:tcBorders>
            <w:hideMark/>
          </w:tcPr>
          <w:p w14:paraId="2CED771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2282,5</w:t>
            </w:r>
          </w:p>
        </w:tc>
        <w:tc>
          <w:tcPr>
            <w:tcW w:w="0" w:type="auto"/>
            <w:tcBorders>
              <w:top w:val="single" w:sz="4" w:space="0" w:color="auto"/>
              <w:left w:val="single" w:sz="4" w:space="0" w:color="auto"/>
              <w:bottom w:val="single" w:sz="4" w:space="0" w:color="auto"/>
              <w:right w:val="single" w:sz="4" w:space="0" w:color="auto"/>
            </w:tcBorders>
            <w:hideMark/>
          </w:tcPr>
          <w:p w14:paraId="2CFE61C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2020</w:t>
            </w:r>
          </w:p>
        </w:tc>
        <w:tc>
          <w:tcPr>
            <w:tcW w:w="0" w:type="auto"/>
            <w:tcBorders>
              <w:top w:val="single" w:sz="4" w:space="0" w:color="auto"/>
              <w:left w:val="single" w:sz="4" w:space="0" w:color="auto"/>
              <w:bottom w:val="single" w:sz="4" w:space="0" w:color="auto"/>
              <w:right w:val="single" w:sz="4" w:space="0" w:color="auto"/>
            </w:tcBorders>
            <w:hideMark/>
          </w:tcPr>
          <w:p w14:paraId="35FAFB5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2028,5</w:t>
            </w:r>
          </w:p>
        </w:tc>
        <w:tc>
          <w:tcPr>
            <w:tcW w:w="0" w:type="auto"/>
            <w:tcBorders>
              <w:top w:val="single" w:sz="4" w:space="0" w:color="auto"/>
              <w:left w:val="single" w:sz="4" w:space="0" w:color="auto"/>
              <w:bottom w:val="single" w:sz="4" w:space="0" w:color="auto"/>
              <w:right w:val="single" w:sz="4" w:space="0" w:color="auto"/>
            </w:tcBorders>
            <w:hideMark/>
          </w:tcPr>
          <w:p w14:paraId="788A35B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2318</w:t>
            </w:r>
          </w:p>
        </w:tc>
      </w:tr>
      <w:tr w:rsidR="00983732" w:rsidRPr="00A3026E" w14:paraId="0C53AF7E"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0841FF7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топлива</w:t>
            </w:r>
          </w:p>
        </w:tc>
        <w:tc>
          <w:tcPr>
            <w:tcW w:w="0" w:type="auto"/>
            <w:tcBorders>
              <w:top w:val="single" w:sz="4" w:space="0" w:color="auto"/>
              <w:left w:val="single" w:sz="4" w:space="0" w:color="auto"/>
              <w:bottom w:val="single" w:sz="4" w:space="0" w:color="auto"/>
              <w:right w:val="single" w:sz="4" w:space="0" w:color="auto"/>
            </w:tcBorders>
            <w:hideMark/>
          </w:tcPr>
          <w:p w14:paraId="66F24BD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215</w:t>
            </w:r>
          </w:p>
        </w:tc>
        <w:tc>
          <w:tcPr>
            <w:tcW w:w="0" w:type="auto"/>
            <w:tcBorders>
              <w:top w:val="single" w:sz="4" w:space="0" w:color="auto"/>
              <w:left w:val="single" w:sz="4" w:space="0" w:color="auto"/>
              <w:bottom w:val="single" w:sz="4" w:space="0" w:color="auto"/>
              <w:right w:val="single" w:sz="4" w:space="0" w:color="auto"/>
            </w:tcBorders>
            <w:hideMark/>
          </w:tcPr>
          <w:p w14:paraId="7854B8F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200</w:t>
            </w:r>
          </w:p>
        </w:tc>
        <w:tc>
          <w:tcPr>
            <w:tcW w:w="0" w:type="auto"/>
            <w:tcBorders>
              <w:top w:val="single" w:sz="4" w:space="0" w:color="auto"/>
              <w:left w:val="single" w:sz="4" w:space="0" w:color="auto"/>
              <w:bottom w:val="single" w:sz="4" w:space="0" w:color="auto"/>
              <w:right w:val="single" w:sz="4" w:space="0" w:color="auto"/>
            </w:tcBorders>
            <w:hideMark/>
          </w:tcPr>
          <w:p w14:paraId="6547F21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200</w:t>
            </w:r>
          </w:p>
        </w:tc>
        <w:tc>
          <w:tcPr>
            <w:tcW w:w="0" w:type="auto"/>
            <w:tcBorders>
              <w:top w:val="single" w:sz="4" w:space="0" w:color="auto"/>
              <w:left w:val="single" w:sz="4" w:space="0" w:color="auto"/>
              <w:bottom w:val="single" w:sz="4" w:space="0" w:color="auto"/>
              <w:right w:val="single" w:sz="4" w:space="0" w:color="auto"/>
            </w:tcBorders>
            <w:hideMark/>
          </w:tcPr>
          <w:p w14:paraId="141EE54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310</w:t>
            </w:r>
          </w:p>
        </w:tc>
        <w:tc>
          <w:tcPr>
            <w:tcW w:w="0" w:type="auto"/>
            <w:tcBorders>
              <w:top w:val="single" w:sz="4" w:space="0" w:color="auto"/>
              <w:left w:val="single" w:sz="4" w:space="0" w:color="auto"/>
              <w:bottom w:val="single" w:sz="4" w:space="0" w:color="auto"/>
              <w:right w:val="single" w:sz="4" w:space="0" w:color="auto"/>
            </w:tcBorders>
            <w:hideMark/>
          </w:tcPr>
          <w:p w14:paraId="004E798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310</w:t>
            </w:r>
          </w:p>
        </w:tc>
        <w:tc>
          <w:tcPr>
            <w:tcW w:w="0" w:type="auto"/>
            <w:tcBorders>
              <w:top w:val="single" w:sz="4" w:space="0" w:color="auto"/>
              <w:left w:val="single" w:sz="4" w:space="0" w:color="auto"/>
              <w:bottom w:val="single" w:sz="4" w:space="0" w:color="auto"/>
              <w:right w:val="single" w:sz="4" w:space="0" w:color="auto"/>
            </w:tcBorders>
            <w:hideMark/>
          </w:tcPr>
          <w:p w14:paraId="5D984A3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340</w:t>
            </w:r>
          </w:p>
        </w:tc>
        <w:tc>
          <w:tcPr>
            <w:tcW w:w="0" w:type="auto"/>
            <w:tcBorders>
              <w:top w:val="single" w:sz="4" w:space="0" w:color="auto"/>
              <w:left w:val="single" w:sz="4" w:space="0" w:color="auto"/>
              <w:bottom w:val="single" w:sz="4" w:space="0" w:color="auto"/>
              <w:right w:val="single" w:sz="4" w:space="0" w:color="auto"/>
            </w:tcBorders>
            <w:hideMark/>
          </w:tcPr>
          <w:p w14:paraId="3663FF9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340</w:t>
            </w:r>
          </w:p>
        </w:tc>
        <w:tc>
          <w:tcPr>
            <w:tcW w:w="0" w:type="auto"/>
            <w:tcBorders>
              <w:top w:val="single" w:sz="4" w:space="0" w:color="auto"/>
              <w:left w:val="single" w:sz="4" w:space="0" w:color="auto"/>
              <w:bottom w:val="single" w:sz="4" w:space="0" w:color="auto"/>
              <w:right w:val="single" w:sz="4" w:space="0" w:color="auto"/>
            </w:tcBorders>
            <w:hideMark/>
          </w:tcPr>
          <w:p w14:paraId="3551236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290</w:t>
            </w:r>
          </w:p>
        </w:tc>
        <w:tc>
          <w:tcPr>
            <w:tcW w:w="0" w:type="auto"/>
            <w:tcBorders>
              <w:top w:val="single" w:sz="4" w:space="0" w:color="auto"/>
              <w:left w:val="single" w:sz="4" w:space="0" w:color="auto"/>
              <w:bottom w:val="single" w:sz="4" w:space="0" w:color="auto"/>
              <w:right w:val="single" w:sz="4" w:space="0" w:color="auto"/>
            </w:tcBorders>
            <w:hideMark/>
          </w:tcPr>
          <w:p w14:paraId="04C77D8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w:t>
            </w:r>
          </w:p>
        </w:tc>
        <w:tc>
          <w:tcPr>
            <w:tcW w:w="0" w:type="auto"/>
            <w:tcBorders>
              <w:top w:val="single" w:sz="4" w:space="0" w:color="auto"/>
              <w:left w:val="single" w:sz="4" w:space="0" w:color="auto"/>
              <w:bottom w:val="single" w:sz="4" w:space="0" w:color="auto"/>
              <w:right w:val="single" w:sz="4" w:space="0" w:color="auto"/>
            </w:tcBorders>
            <w:hideMark/>
          </w:tcPr>
          <w:p w14:paraId="7426B752"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305</w:t>
            </w:r>
          </w:p>
        </w:tc>
      </w:tr>
      <w:tr w:rsidR="00983732" w:rsidRPr="00A3026E" w14:paraId="29C2B11A"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01801B1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взлетная</w:t>
            </w:r>
          </w:p>
        </w:tc>
        <w:tc>
          <w:tcPr>
            <w:tcW w:w="0" w:type="auto"/>
            <w:tcBorders>
              <w:top w:val="single" w:sz="4" w:space="0" w:color="auto"/>
              <w:left w:val="single" w:sz="4" w:space="0" w:color="auto"/>
              <w:bottom w:val="single" w:sz="4" w:space="0" w:color="auto"/>
              <w:right w:val="single" w:sz="4" w:space="0" w:color="auto"/>
            </w:tcBorders>
            <w:hideMark/>
          </w:tcPr>
          <w:p w14:paraId="2A9B07A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2666</w:t>
            </w:r>
          </w:p>
        </w:tc>
        <w:tc>
          <w:tcPr>
            <w:tcW w:w="0" w:type="auto"/>
            <w:tcBorders>
              <w:top w:val="single" w:sz="4" w:space="0" w:color="auto"/>
              <w:left w:val="single" w:sz="4" w:space="0" w:color="auto"/>
              <w:bottom w:val="single" w:sz="4" w:space="0" w:color="auto"/>
              <w:right w:val="single" w:sz="4" w:space="0" w:color="auto"/>
            </w:tcBorders>
            <w:hideMark/>
          </w:tcPr>
          <w:p w14:paraId="18829A5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2677</w:t>
            </w:r>
          </w:p>
        </w:tc>
        <w:tc>
          <w:tcPr>
            <w:tcW w:w="0" w:type="auto"/>
            <w:tcBorders>
              <w:top w:val="single" w:sz="4" w:space="0" w:color="auto"/>
              <w:left w:val="single" w:sz="4" w:space="0" w:color="auto"/>
              <w:bottom w:val="single" w:sz="4" w:space="0" w:color="auto"/>
              <w:right w:val="single" w:sz="4" w:space="0" w:color="auto"/>
            </w:tcBorders>
            <w:hideMark/>
          </w:tcPr>
          <w:p w14:paraId="6568ECAA"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2730</w:t>
            </w:r>
          </w:p>
        </w:tc>
        <w:tc>
          <w:tcPr>
            <w:tcW w:w="0" w:type="auto"/>
            <w:tcBorders>
              <w:top w:val="single" w:sz="4" w:space="0" w:color="auto"/>
              <w:left w:val="single" w:sz="4" w:space="0" w:color="auto"/>
              <w:bottom w:val="single" w:sz="4" w:space="0" w:color="auto"/>
              <w:right w:val="single" w:sz="4" w:space="0" w:color="auto"/>
            </w:tcBorders>
            <w:hideMark/>
          </w:tcPr>
          <w:p w14:paraId="054C162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3000</w:t>
            </w:r>
          </w:p>
        </w:tc>
        <w:tc>
          <w:tcPr>
            <w:tcW w:w="0" w:type="auto"/>
            <w:tcBorders>
              <w:top w:val="single" w:sz="4" w:space="0" w:color="auto"/>
              <w:left w:val="single" w:sz="4" w:space="0" w:color="auto"/>
              <w:bottom w:val="single" w:sz="4" w:space="0" w:color="auto"/>
              <w:right w:val="single" w:sz="4" w:space="0" w:color="auto"/>
            </w:tcBorders>
            <w:hideMark/>
          </w:tcPr>
          <w:p w14:paraId="52FAB6F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3120</w:t>
            </w:r>
          </w:p>
        </w:tc>
        <w:tc>
          <w:tcPr>
            <w:tcW w:w="0" w:type="auto"/>
            <w:tcBorders>
              <w:top w:val="single" w:sz="4" w:space="0" w:color="auto"/>
              <w:left w:val="single" w:sz="4" w:space="0" w:color="auto"/>
              <w:bottom w:val="single" w:sz="4" w:space="0" w:color="auto"/>
              <w:right w:val="single" w:sz="4" w:space="0" w:color="auto"/>
            </w:tcBorders>
            <w:hideMark/>
          </w:tcPr>
          <w:p w14:paraId="774A625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3000</w:t>
            </w:r>
          </w:p>
        </w:tc>
        <w:tc>
          <w:tcPr>
            <w:tcW w:w="0" w:type="auto"/>
            <w:tcBorders>
              <w:top w:val="single" w:sz="4" w:space="0" w:color="auto"/>
              <w:left w:val="single" w:sz="4" w:space="0" w:color="auto"/>
              <w:bottom w:val="single" w:sz="4" w:space="0" w:color="auto"/>
              <w:right w:val="single" w:sz="4" w:space="0" w:color="auto"/>
            </w:tcBorders>
            <w:hideMark/>
          </w:tcPr>
          <w:p w14:paraId="7BACB04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3050</w:t>
            </w:r>
          </w:p>
        </w:tc>
        <w:tc>
          <w:tcPr>
            <w:tcW w:w="0" w:type="auto"/>
            <w:tcBorders>
              <w:top w:val="single" w:sz="4" w:space="0" w:color="auto"/>
              <w:left w:val="single" w:sz="4" w:space="0" w:color="auto"/>
              <w:bottom w:val="single" w:sz="4" w:space="0" w:color="auto"/>
              <w:right w:val="single" w:sz="4" w:space="0" w:color="auto"/>
            </w:tcBorders>
            <w:hideMark/>
          </w:tcPr>
          <w:p w14:paraId="2AF35EA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2434</w:t>
            </w:r>
          </w:p>
        </w:tc>
        <w:tc>
          <w:tcPr>
            <w:tcW w:w="0" w:type="auto"/>
            <w:tcBorders>
              <w:top w:val="single" w:sz="4" w:space="0" w:color="auto"/>
              <w:left w:val="single" w:sz="4" w:space="0" w:color="auto"/>
              <w:bottom w:val="single" w:sz="4" w:space="0" w:color="auto"/>
              <w:right w:val="single" w:sz="4" w:space="0" w:color="auto"/>
            </w:tcBorders>
            <w:hideMark/>
          </w:tcPr>
          <w:p w14:paraId="5582CB7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2708</w:t>
            </w:r>
          </w:p>
        </w:tc>
        <w:tc>
          <w:tcPr>
            <w:tcW w:w="0" w:type="auto"/>
            <w:tcBorders>
              <w:top w:val="single" w:sz="4" w:space="0" w:color="auto"/>
              <w:left w:val="single" w:sz="4" w:space="0" w:color="auto"/>
              <w:bottom w:val="single" w:sz="4" w:space="0" w:color="auto"/>
              <w:right w:val="single" w:sz="4" w:space="0" w:color="auto"/>
            </w:tcBorders>
            <w:hideMark/>
          </w:tcPr>
          <w:p w14:paraId="15C460C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2700</w:t>
            </w:r>
          </w:p>
        </w:tc>
      </w:tr>
      <w:tr w:rsidR="00983732" w:rsidRPr="00A3026E" w14:paraId="3782659D"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2D110C5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Нагрузка на крыло, кг/м²</w:t>
            </w:r>
          </w:p>
        </w:tc>
        <w:tc>
          <w:tcPr>
            <w:tcW w:w="0" w:type="auto"/>
            <w:tcBorders>
              <w:top w:val="single" w:sz="4" w:space="0" w:color="auto"/>
              <w:left w:val="single" w:sz="4" w:space="0" w:color="auto"/>
              <w:bottom w:val="single" w:sz="4" w:space="0" w:color="auto"/>
              <w:right w:val="single" w:sz="4" w:space="0" w:color="auto"/>
            </w:tcBorders>
            <w:hideMark/>
          </w:tcPr>
          <w:p w14:paraId="0213FE1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162</w:t>
            </w:r>
          </w:p>
        </w:tc>
        <w:tc>
          <w:tcPr>
            <w:tcW w:w="0" w:type="auto"/>
            <w:tcBorders>
              <w:top w:val="single" w:sz="4" w:space="0" w:color="auto"/>
              <w:left w:val="single" w:sz="4" w:space="0" w:color="auto"/>
              <w:bottom w:val="single" w:sz="4" w:space="0" w:color="auto"/>
              <w:right w:val="single" w:sz="4" w:space="0" w:color="auto"/>
            </w:tcBorders>
            <w:hideMark/>
          </w:tcPr>
          <w:p w14:paraId="5406811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162,2</w:t>
            </w:r>
          </w:p>
        </w:tc>
        <w:tc>
          <w:tcPr>
            <w:tcW w:w="0" w:type="auto"/>
            <w:tcBorders>
              <w:top w:val="single" w:sz="4" w:space="0" w:color="auto"/>
              <w:left w:val="single" w:sz="4" w:space="0" w:color="auto"/>
              <w:bottom w:val="single" w:sz="4" w:space="0" w:color="auto"/>
              <w:right w:val="single" w:sz="4" w:space="0" w:color="auto"/>
            </w:tcBorders>
            <w:hideMark/>
          </w:tcPr>
          <w:p w14:paraId="1892D13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164,5</w:t>
            </w:r>
          </w:p>
        </w:tc>
        <w:tc>
          <w:tcPr>
            <w:tcW w:w="0" w:type="auto"/>
            <w:tcBorders>
              <w:top w:val="single" w:sz="4" w:space="0" w:color="auto"/>
              <w:left w:val="single" w:sz="4" w:space="0" w:color="auto"/>
              <w:bottom w:val="single" w:sz="4" w:space="0" w:color="auto"/>
              <w:right w:val="single" w:sz="4" w:space="0" w:color="auto"/>
            </w:tcBorders>
            <w:hideMark/>
          </w:tcPr>
          <w:p w14:paraId="5371A3AB"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182</w:t>
            </w:r>
          </w:p>
        </w:tc>
        <w:tc>
          <w:tcPr>
            <w:tcW w:w="0" w:type="auto"/>
            <w:tcBorders>
              <w:top w:val="single" w:sz="4" w:space="0" w:color="auto"/>
              <w:left w:val="single" w:sz="4" w:space="0" w:color="auto"/>
              <w:bottom w:val="single" w:sz="4" w:space="0" w:color="auto"/>
              <w:right w:val="single" w:sz="4" w:space="0" w:color="auto"/>
            </w:tcBorders>
            <w:hideMark/>
          </w:tcPr>
          <w:p w14:paraId="49A0ABCA"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189</w:t>
            </w:r>
          </w:p>
        </w:tc>
        <w:tc>
          <w:tcPr>
            <w:tcW w:w="0" w:type="auto"/>
            <w:tcBorders>
              <w:top w:val="single" w:sz="4" w:space="0" w:color="auto"/>
              <w:left w:val="single" w:sz="4" w:space="0" w:color="auto"/>
              <w:bottom w:val="single" w:sz="4" w:space="0" w:color="auto"/>
              <w:right w:val="single" w:sz="4" w:space="0" w:color="auto"/>
            </w:tcBorders>
            <w:hideMark/>
          </w:tcPr>
          <w:p w14:paraId="33EB47F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182</w:t>
            </w:r>
          </w:p>
        </w:tc>
        <w:tc>
          <w:tcPr>
            <w:tcW w:w="0" w:type="auto"/>
            <w:tcBorders>
              <w:top w:val="single" w:sz="4" w:space="0" w:color="auto"/>
              <w:left w:val="single" w:sz="4" w:space="0" w:color="auto"/>
              <w:bottom w:val="single" w:sz="4" w:space="0" w:color="auto"/>
              <w:right w:val="single" w:sz="4" w:space="0" w:color="auto"/>
            </w:tcBorders>
            <w:hideMark/>
          </w:tcPr>
          <w:p w14:paraId="6434919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185</w:t>
            </w:r>
          </w:p>
        </w:tc>
        <w:tc>
          <w:tcPr>
            <w:tcW w:w="0" w:type="auto"/>
            <w:tcBorders>
              <w:top w:val="single" w:sz="4" w:space="0" w:color="auto"/>
              <w:left w:val="single" w:sz="4" w:space="0" w:color="auto"/>
              <w:bottom w:val="single" w:sz="4" w:space="0" w:color="auto"/>
              <w:right w:val="single" w:sz="4" w:space="0" w:color="auto"/>
            </w:tcBorders>
            <w:hideMark/>
          </w:tcPr>
          <w:p w14:paraId="4FC1426A"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151</w:t>
            </w:r>
          </w:p>
        </w:tc>
        <w:tc>
          <w:tcPr>
            <w:tcW w:w="0" w:type="auto"/>
            <w:tcBorders>
              <w:top w:val="single" w:sz="4" w:space="0" w:color="auto"/>
              <w:left w:val="single" w:sz="4" w:space="0" w:color="auto"/>
              <w:bottom w:val="single" w:sz="4" w:space="0" w:color="auto"/>
              <w:right w:val="single" w:sz="4" w:space="0" w:color="auto"/>
            </w:tcBorders>
            <w:hideMark/>
          </w:tcPr>
          <w:p w14:paraId="441DB51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173</w:t>
            </w:r>
          </w:p>
        </w:tc>
        <w:tc>
          <w:tcPr>
            <w:tcW w:w="0" w:type="auto"/>
            <w:tcBorders>
              <w:top w:val="single" w:sz="4" w:space="0" w:color="auto"/>
              <w:left w:val="single" w:sz="4" w:space="0" w:color="auto"/>
              <w:bottom w:val="single" w:sz="4" w:space="0" w:color="auto"/>
              <w:right w:val="single" w:sz="4" w:space="0" w:color="auto"/>
            </w:tcBorders>
            <w:hideMark/>
          </w:tcPr>
          <w:p w14:paraId="42B8683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157</w:t>
            </w:r>
          </w:p>
        </w:tc>
      </w:tr>
      <w:tr w:rsidR="00983732" w:rsidRPr="00A3026E" w14:paraId="0FE5AF17" w14:textId="77777777" w:rsidTr="001A581B">
        <w:trPr>
          <w:tblCellSpacing w:w="15" w:type="dxa"/>
        </w:trPr>
        <w:tc>
          <w:tcPr>
            <w:tcW w:w="0" w:type="auto"/>
            <w:gridSpan w:val="11"/>
            <w:tcBorders>
              <w:top w:val="single" w:sz="4" w:space="0" w:color="auto"/>
              <w:left w:val="single" w:sz="4" w:space="0" w:color="auto"/>
              <w:bottom w:val="single" w:sz="4" w:space="0" w:color="auto"/>
              <w:right w:val="single" w:sz="4" w:space="0" w:color="auto"/>
            </w:tcBorders>
            <w:hideMark/>
          </w:tcPr>
          <w:p w14:paraId="2080FFE5"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Максимальная скорость, км/ч:</w:t>
            </w:r>
          </w:p>
        </w:tc>
      </w:tr>
      <w:tr w:rsidR="00983732" w:rsidRPr="00A3026E" w14:paraId="2ABAD35E"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797AAFF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у земли</w:t>
            </w:r>
          </w:p>
        </w:tc>
        <w:tc>
          <w:tcPr>
            <w:tcW w:w="0" w:type="auto"/>
            <w:tcBorders>
              <w:top w:val="single" w:sz="4" w:space="0" w:color="auto"/>
              <w:left w:val="single" w:sz="4" w:space="0" w:color="auto"/>
              <w:bottom w:val="single" w:sz="4" w:space="0" w:color="auto"/>
              <w:right w:val="single" w:sz="4" w:space="0" w:color="auto"/>
            </w:tcBorders>
            <w:hideMark/>
          </w:tcPr>
          <w:p w14:paraId="72BE644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412*</w:t>
            </w:r>
          </w:p>
        </w:tc>
        <w:tc>
          <w:tcPr>
            <w:tcW w:w="0" w:type="auto"/>
            <w:tcBorders>
              <w:top w:val="single" w:sz="4" w:space="0" w:color="auto"/>
              <w:left w:val="single" w:sz="4" w:space="0" w:color="auto"/>
              <w:bottom w:val="single" w:sz="4" w:space="0" w:color="auto"/>
              <w:right w:val="single" w:sz="4" w:space="0" w:color="auto"/>
            </w:tcBorders>
            <w:hideMark/>
          </w:tcPr>
          <w:p w14:paraId="0D1B1E0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409</w:t>
            </w:r>
          </w:p>
        </w:tc>
        <w:tc>
          <w:tcPr>
            <w:tcW w:w="0" w:type="auto"/>
            <w:tcBorders>
              <w:top w:val="single" w:sz="4" w:space="0" w:color="auto"/>
              <w:left w:val="single" w:sz="4" w:space="0" w:color="auto"/>
              <w:bottom w:val="single" w:sz="4" w:space="0" w:color="auto"/>
              <w:right w:val="single" w:sz="4" w:space="0" w:color="auto"/>
            </w:tcBorders>
            <w:hideMark/>
          </w:tcPr>
          <w:p w14:paraId="645B47E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439</w:t>
            </w:r>
          </w:p>
        </w:tc>
        <w:tc>
          <w:tcPr>
            <w:tcW w:w="0" w:type="auto"/>
            <w:tcBorders>
              <w:top w:val="single" w:sz="4" w:space="0" w:color="auto"/>
              <w:left w:val="single" w:sz="4" w:space="0" w:color="auto"/>
              <w:bottom w:val="single" w:sz="4" w:space="0" w:color="auto"/>
              <w:right w:val="single" w:sz="4" w:space="0" w:color="auto"/>
            </w:tcBorders>
            <w:hideMark/>
          </w:tcPr>
          <w:p w14:paraId="1CE281E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497</w:t>
            </w:r>
          </w:p>
        </w:tc>
        <w:tc>
          <w:tcPr>
            <w:tcW w:w="0" w:type="auto"/>
            <w:tcBorders>
              <w:top w:val="single" w:sz="4" w:space="0" w:color="auto"/>
              <w:left w:val="single" w:sz="4" w:space="0" w:color="auto"/>
              <w:bottom w:val="single" w:sz="4" w:space="0" w:color="auto"/>
              <w:right w:val="single" w:sz="4" w:space="0" w:color="auto"/>
            </w:tcBorders>
            <w:hideMark/>
          </w:tcPr>
          <w:p w14:paraId="389F112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497</w:t>
            </w:r>
          </w:p>
        </w:tc>
        <w:tc>
          <w:tcPr>
            <w:tcW w:w="0" w:type="auto"/>
            <w:tcBorders>
              <w:top w:val="single" w:sz="4" w:space="0" w:color="auto"/>
              <w:left w:val="single" w:sz="4" w:space="0" w:color="auto"/>
              <w:bottom w:val="single" w:sz="4" w:space="0" w:color="auto"/>
              <w:right w:val="single" w:sz="4" w:space="0" w:color="auto"/>
            </w:tcBorders>
            <w:hideMark/>
          </w:tcPr>
          <w:p w14:paraId="4960E30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550</w:t>
            </w:r>
          </w:p>
        </w:tc>
        <w:tc>
          <w:tcPr>
            <w:tcW w:w="0" w:type="auto"/>
            <w:tcBorders>
              <w:top w:val="single" w:sz="4" w:space="0" w:color="auto"/>
              <w:left w:val="single" w:sz="4" w:space="0" w:color="auto"/>
              <w:bottom w:val="single" w:sz="4" w:space="0" w:color="auto"/>
              <w:right w:val="single" w:sz="4" w:space="0" w:color="auto"/>
            </w:tcBorders>
            <w:hideMark/>
          </w:tcPr>
          <w:p w14:paraId="24F2345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523/530</w:t>
            </w:r>
          </w:p>
        </w:tc>
        <w:tc>
          <w:tcPr>
            <w:tcW w:w="0" w:type="auto"/>
            <w:tcBorders>
              <w:top w:val="single" w:sz="4" w:space="0" w:color="auto"/>
              <w:left w:val="single" w:sz="4" w:space="0" w:color="auto"/>
              <w:bottom w:val="single" w:sz="4" w:space="0" w:color="auto"/>
              <w:right w:val="single" w:sz="4" w:space="0" w:color="auto"/>
            </w:tcBorders>
            <w:hideMark/>
          </w:tcPr>
          <w:p w14:paraId="7ACE112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455</w:t>
            </w:r>
          </w:p>
        </w:tc>
        <w:tc>
          <w:tcPr>
            <w:tcW w:w="0" w:type="auto"/>
            <w:tcBorders>
              <w:top w:val="single" w:sz="4" w:space="0" w:color="auto"/>
              <w:left w:val="single" w:sz="4" w:space="0" w:color="auto"/>
              <w:bottom w:val="single" w:sz="4" w:space="0" w:color="auto"/>
              <w:right w:val="single" w:sz="4" w:space="0" w:color="auto"/>
            </w:tcBorders>
            <w:hideMark/>
          </w:tcPr>
          <w:p w14:paraId="4E748CB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w:t>
            </w:r>
          </w:p>
        </w:tc>
        <w:tc>
          <w:tcPr>
            <w:tcW w:w="0" w:type="auto"/>
            <w:tcBorders>
              <w:top w:val="single" w:sz="4" w:space="0" w:color="auto"/>
              <w:left w:val="single" w:sz="4" w:space="0" w:color="auto"/>
              <w:bottom w:val="single" w:sz="4" w:space="0" w:color="auto"/>
              <w:right w:val="single" w:sz="4" w:space="0" w:color="auto"/>
            </w:tcBorders>
            <w:hideMark/>
          </w:tcPr>
          <w:p w14:paraId="6847EF7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490</w:t>
            </w:r>
          </w:p>
        </w:tc>
      </w:tr>
      <w:tr w:rsidR="00983732" w:rsidRPr="00A3026E" w14:paraId="62292AEA"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5C4B91E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на высоте/м</w:t>
            </w:r>
          </w:p>
        </w:tc>
        <w:tc>
          <w:tcPr>
            <w:tcW w:w="0" w:type="auto"/>
            <w:tcBorders>
              <w:top w:val="single" w:sz="4" w:space="0" w:color="auto"/>
              <w:left w:val="single" w:sz="4" w:space="0" w:color="auto"/>
              <w:bottom w:val="single" w:sz="4" w:space="0" w:color="auto"/>
              <w:right w:val="single" w:sz="4" w:space="0" w:color="auto"/>
            </w:tcBorders>
            <w:hideMark/>
          </w:tcPr>
          <w:p w14:paraId="5A28C26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545/6000</w:t>
            </w:r>
          </w:p>
        </w:tc>
        <w:tc>
          <w:tcPr>
            <w:tcW w:w="0" w:type="auto"/>
            <w:tcBorders>
              <w:top w:val="single" w:sz="4" w:space="0" w:color="auto"/>
              <w:left w:val="single" w:sz="4" w:space="0" w:color="auto"/>
              <w:bottom w:val="single" w:sz="4" w:space="0" w:color="auto"/>
              <w:right w:val="single" w:sz="4" w:space="0" w:color="auto"/>
            </w:tcBorders>
            <w:hideMark/>
          </w:tcPr>
          <w:p w14:paraId="68B5C1F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534/6000</w:t>
            </w:r>
          </w:p>
        </w:tc>
        <w:tc>
          <w:tcPr>
            <w:tcW w:w="0" w:type="auto"/>
            <w:tcBorders>
              <w:top w:val="single" w:sz="4" w:space="0" w:color="auto"/>
              <w:left w:val="single" w:sz="4" w:space="0" w:color="auto"/>
              <w:bottom w:val="single" w:sz="4" w:space="0" w:color="auto"/>
              <w:right w:val="single" w:sz="4" w:space="0" w:color="auto"/>
            </w:tcBorders>
            <w:hideMark/>
          </w:tcPr>
          <w:p w14:paraId="1FDE88C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566/7000**</w:t>
            </w:r>
          </w:p>
        </w:tc>
        <w:tc>
          <w:tcPr>
            <w:tcW w:w="0" w:type="auto"/>
            <w:tcBorders>
              <w:top w:val="single" w:sz="4" w:space="0" w:color="auto"/>
              <w:left w:val="single" w:sz="4" w:space="0" w:color="auto"/>
              <w:bottom w:val="single" w:sz="4" w:space="0" w:color="auto"/>
              <w:right w:val="single" w:sz="4" w:space="0" w:color="auto"/>
            </w:tcBorders>
            <w:hideMark/>
          </w:tcPr>
          <w:p w14:paraId="3731292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650/7200</w:t>
            </w:r>
          </w:p>
        </w:tc>
        <w:tc>
          <w:tcPr>
            <w:tcW w:w="0" w:type="auto"/>
            <w:tcBorders>
              <w:top w:val="single" w:sz="4" w:space="0" w:color="auto"/>
              <w:left w:val="single" w:sz="4" w:space="0" w:color="auto"/>
              <w:bottom w:val="single" w:sz="4" w:space="0" w:color="auto"/>
              <w:right w:val="single" w:sz="4" w:space="0" w:color="auto"/>
            </w:tcBorders>
            <w:hideMark/>
          </w:tcPr>
          <w:p w14:paraId="7404C39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650</w:t>
            </w:r>
          </w:p>
        </w:tc>
        <w:tc>
          <w:tcPr>
            <w:tcW w:w="0" w:type="auto"/>
            <w:tcBorders>
              <w:top w:val="single" w:sz="4" w:space="0" w:color="auto"/>
              <w:left w:val="single" w:sz="4" w:space="0" w:color="auto"/>
              <w:bottom w:val="single" w:sz="4" w:space="0" w:color="auto"/>
              <w:right w:val="single" w:sz="4" w:space="0" w:color="auto"/>
            </w:tcBorders>
            <w:hideMark/>
          </w:tcPr>
          <w:p w14:paraId="75D04C72"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705/7000</w:t>
            </w:r>
          </w:p>
        </w:tc>
        <w:tc>
          <w:tcPr>
            <w:tcW w:w="0" w:type="auto"/>
            <w:tcBorders>
              <w:top w:val="single" w:sz="4" w:space="0" w:color="auto"/>
              <w:left w:val="single" w:sz="4" w:space="0" w:color="auto"/>
              <w:bottom w:val="single" w:sz="4" w:space="0" w:color="auto"/>
              <w:right w:val="single" w:sz="4" w:space="0" w:color="auto"/>
            </w:tcBorders>
            <w:hideMark/>
          </w:tcPr>
          <w:p w14:paraId="5311B47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680/7000</w:t>
            </w:r>
          </w:p>
        </w:tc>
        <w:tc>
          <w:tcPr>
            <w:tcW w:w="0" w:type="auto"/>
            <w:tcBorders>
              <w:top w:val="single" w:sz="4" w:space="0" w:color="auto"/>
              <w:left w:val="single" w:sz="4" w:space="0" w:color="auto"/>
              <w:bottom w:val="single" w:sz="4" w:space="0" w:color="auto"/>
              <w:right w:val="single" w:sz="4" w:space="0" w:color="auto"/>
            </w:tcBorders>
            <w:hideMark/>
          </w:tcPr>
          <w:p w14:paraId="6945073B"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575/7000</w:t>
            </w:r>
          </w:p>
        </w:tc>
        <w:tc>
          <w:tcPr>
            <w:tcW w:w="0" w:type="auto"/>
            <w:tcBorders>
              <w:top w:val="single" w:sz="4" w:space="0" w:color="auto"/>
              <w:left w:val="single" w:sz="4" w:space="0" w:color="auto"/>
              <w:bottom w:val="single" w:sz="4" w:space="0" w:color="auto"/>
              <w:right w:val="single" w:sz="4" w:space="0" w:color="auto"/>
            </w:tcBorders>
            <w:hideMark/>
          </w:tcPr>
          <w:p w14:paraId="18333FA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680/6000</w:t>
            </w:r>
          </w:p>
        </w:tc>
        <w:tc>
          <w:tcPr>
            <w:tcW w:w="0" w:type="auto"/>
            <w:tcBorders>
              <w:top w:val="single" w:sz="4" w:space="0" w:color="auto"/>
              <w:left w:val="single" w:sz="4" w:space="0" w:color="auto"/>
              <w:bottom w:val="single" w:sz="4" w:space="0" w:color="auto"/>
              <w:right w:val="single" w:sz="4" w:space="0" w:color="auto"/>
            </w:tcBorders>
            <w:hideMark/>
          </w:tcPr>
          <w:p w14:paraId="011D754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585,5/4800</w:t>
            </w:r>
          </w:p>
        </w:tc>
      </w:tr>
      <w:tr w:rsidR="00983732" w:rsidRPr="00A3026E" w14:paraId="656E94EA" w14:textId="77777777" w:rsidTr="001A581B">
        <w:trPr>
          <w:tblCellSpacing w:w="15" w:type="dxa"/>
        </w:trPr>
        <w:tc>
          <w:tcPr>
            <w:tcW w:w="0" w:type="auto"/>
            <w:gridSpan w:val="11"/>
            <w:tcBorders>
              <w:top w:val="single" w:sz="4" w:space="0" w:color="auto"/>
              <w:left w:val="single" w:sz="4" w:space="0" w:color="auto"/>
              <w:bottom w:val="single" w:sz="4" w:space="0" w:color="auto"/>
              <w:right w:val="single" w:sz="4" w:space="0" w:color="auto"/>
            </w:tcBorders>
            <w:hideMark/>
          </w:tcPr>
          <w:p w14:paraId="6060321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Время набора высоты, мин:</w:t>
            </w:r>
          </w:p>
        </w:tc>
      </w:tr>
      <w:tr w:rsidR="00983732" w:rsidRPr="00A3026E" w14:paraId="649E22E9"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5E53B8D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- 3000 м</w:t>
            </w:r>
          </w:p>
        </w:tc>
        <w:tc>
          <w:tcPr>
            <w:tcW w:w="0" w:type="auto"/>
            <w:tcBorders>
              <w:top w:val="single" w:sz="4" w:space="0" w:color="auto"/>
              <w:left w:val="single" w:sz="4" w:space="0" w:color="auto"/>
              <w:bottom w:val="single" w:sz="4" w:space="0" w:color="auto"/>
              <w:right w:val="single" w:sz="4" w:space="0" w:color="auto"/>
            </w:tcBorders>
            <w:hideMark/>
          </w:tcPr>
          <w:p w14:paraId="4CE5DB4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4,0</w:t>
            </w:r>
          </w:p>
        </w:tc>
        <w:tc>
          <w:tcPr>
            <w:tcW w:w="0" w:type="auto"/>
            <w:tcBorders>
              <w:top w:val="single" w:sz="4" w:space="0" w:color="auto"/>
              <w:left w:val="single" w:sz="4" w:space="0" w:color="auto"/>
              <w:bottom w:val="single" w:sz="4" w:space="0" w:color="auto"/>
              <w:right w:val="single" w:sz="4" w:space="0" w:color="auto"/>
            </w:tcBorders>
            <w:hideMark/>
          </w:tcPr>
          <w:p w14:paraId="291B0DB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4,3</w:t>
            </w:r>
          </w:p>
        </w:tc>
        <w:tc>
          <w:tcPr>
            <w:tcW w:w="0" w:type="auto"/>
            <w:tcBorders>
              <w:top w:val="single" w:sz="4" w:space="0" w:color="auto"/>
              <w:left w:val="single" w:sz="4" w:space="0" w:color="auto"/>
              <w:bottom w:val="single" w:sz="4" w:space="0" w:color="auto"/>
              <w:right w:val="single" w:sz="4" w:space="0" w:color="auto"/>
            </w:tcBorders>
            <w:hideMark/>
          </w:tcPr>
          <w:p w14:paraId="0DE9D8C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3,7</w:t>
            </w:r>
          </w:p>
        </w:tc>
        <w:tc>
          <w:tcPr>
            <w:tcW w:w="0" w:type="auto"/>
            <w:tcBorders>
              <w:top w:val="single" w:sz="4" w:space="0" w:color="auto"/>
              <w:left w:val="single" w:sz="4" w:space="0" w:color="auto"/>
              <w:bottom w:val="single" w:sz="4" w:space="0" w:color="auto"/>
              <w:right w:val="single" w:sz="4" w:space="0" w:color="auto"/>
            </w:tcBorders>
            <w:hideMark/>
          </w:tcPr>
          <w:p w14:paraId="5F2F40E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32DAF275"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4943FF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66752FB"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4E7360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050FC7D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49733AA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3,4</w:t>
            </w:r>
          </w:p>
        </w:tc>
      </w:tr>
      <w:tr w:rsidR="00983732" w:rsidRPr="00A3026E" w14:paraId="5AC668BF"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21AE235B"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- 5000 м</w:t>
            </w:r>
          </w:p>
        </w:tc>
        <w:tc>
          <w:tcPr>
            <w:tcW w:w="0" w:type="auto"/>
            <w:tcBorders>
              <w:top w:val="single" w:sz="4" w:space="0" w:color="auto"/>
              <w:left w:val="single" w:sz="4" w:space="0" w:color="auto"/>
              <w:bottom w:val="single" w:sz="4" w:space="0" w:color="auto"/>
              <w:right w:val="single" w:sz="4" w:space="0" w:color="auto"/>
            </w:tcBorders>
            <w:hideMark/>
          </w:tcPr>
          <w:p w14:paraId="308F245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6,3</w:t>
            </w:r>
          </w:p>
        </w:tc>
        <w:tc>
          <w:tcPr>
            <w:tcW w:w="0" w:type="auto"/>
            <w:tcBorders>
              <w:top w:val="single" w:sz="4" w:space="0" w:color="auto"/>
              <w:left w:val="single" w:sz="4" w:space="0" w:color="auto"/>
              <w:bottom w:val="single" w:sz="4" w:space="0" w:color="auto"/>
              <w:right w:val="single" w:sz="4" w:space="0" w:color="auto"/>
            </w:tcBorders>
            <w:hideMark/>
          </w:tcPr>
          <w:p w14:paraId="7E70EB1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7.2</w:t>
            </w:r>
          </w:p>
        </w:tc>
        <w:tc>
          <w:tcPr>
            <w:tcW w:w="0" w:type="auto"/>
            <w:tcBorders>
              <w:top w:val="single" w:sz="4" w:space="0" w:color="auto"/>
              <w:left w:val="single" w:sz="4" w:space="0" w:color="auto"/>
              <w:bottom w:val="single" w:sz="4" w:space="0" w:color="auto"/>
              <w:right w:val="single" w:sz="4" w:space="0" w:color="auto"/>
            </w:tcBorders>
            <w:hideMark/>
          </w:tcPr>
          <w:p w14:paraId="4CF9113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6,0</w:t>
            </w:r>
          </w:p>
        </w:tc>
        <w:tc>
          <w:tcPr>
            <w:tcW w:w="0" w:type="auto"/>
            <w:tcBorders>
              <w:top w:val="single" w:sz="4" w:space="0" w:color="auto"/>
              <w:left w:val="single" w:sz="4" w:space="0" w:color="auto"/>
              <w:bottom w:val="single" w:sz="4" w:space="0" w:color="auto"/>
              <w:right w:val="single" w:sz="4" w:space="0" w:color="auto"/>
            </w:tcBorders>
            <w:hideMark/>
          </w:tcPr>
          <w:p w14:paraId="0A15C4F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w:t>
            </w:r>
          </w:p>
        </w:tc>
        <w:tc>
          <w:tcPr>
            <w:tcW w:w="0" w:type="auto"/>
            <w:tcBorders>
              <w:top w:val="single" w:sz="4" w:space="0" w:color="auto"/>
              <w:left w:val="single" w:sz="4" w:space="0" w:color="auto"/>
              <w:bottom w:val="single" w:sz="4" w:space="0" w:color="auto"/>
              <w:right w:val="single" w:sz="4" w:space="0" w:color="auto"/>
            </w:tcBorders>
            <w:hideMark/>
          </w:tcPr>
          <w:p w14:paraId="00331A9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438FF64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4,8</w:t>
            </w:r>
          </w:p>
        </w:tc>
        <w:tc>
          <w:tcPr>
            <w:tcW w:w="0" w:type="auto"/>
            <w:tcBorders>
              <w:top w:val="single" w:sz="4" w:space="0" w:color="auto"/>
              <w:left w:val="single" w:sz="4" w:space="0" w:color="auto"/>
              <w:bottom w:val="single" w:sz="4" w:space="0" w:color="auto"/>
              <w:right w:val="single" w:sz="4" w:space="0" w:color="auto"/>
            </w:tcBorders>
            <w:hideMark/>
          </w:tcPr>
          <w:p w14:paraId="04E829CA"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4,7</w:t>
            </w:r>
          </w:p>
        </w:tc>
        <w:tc>
          <w:tcPr>
            <w:tcW w:w="0" w:type="auto"/>
            <w:tcBorders>
              <w:top w:val="single" w:sz="4" w:space="0" w:color="auto"/>
              <w:left w:val="single" w:sz="4" w:space="0" w:color="auto"/>
              <w:bottom w:val="single" w:sz="4" w:space="0" w:color="auto"/>
              <w:right w:val="single" w:sz="4" w:space="0" w:color="auto"/>
            </w:tcBorders>
            <w:hideMark/>
          </w:tcPr>
          <w:p w14:paraId="5997CF0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2FEDEC3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4,5</w:t>
            </w:r>
          </w:p>
        </w:tc>
        <w:tc>
          <w:tcPr>
            <w:tcW w:w="0" w:type="auto"/>
            <w:tcBorders>
              <w:top w:val="single" w:sz="4" w:space="0" w:color="auto"/>
              <w:left w:val="single" w:sz="4" w:space="0" w:color="auto"/>
              <w:bottom w:val="single" w:sz="4" w:space="0" w:color="auto"/>
              <w:right w:val="single" w:sz="4" w:space="0" w:color="auto"/>
            </w:tcBorders>
            <w:hideMark/>
          </w:tcPr>
          <w:p w14:paraId="558B4442"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6,0</w:t>
            </w:r>
          </w:p>
        </w:tc>
      </w:tr>
      <w:tr w:rsidR="00983732" w:rsidRPr="00A3026E" w14:paraId="089CE5D4"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08AD604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- 7000 м</w:t>
            </w:r>
          </w:p>
        </w:tc>
        <w:tc>
          <w:tcPr>
            <w:tcW w:w="0" w:type="auto"/>
            <w:tcBorders>
              <w:top w:val="single" w:sz="4" w:space="0" w:color="auto"/>
              <w:left w:val="single" w:sz="4" w:space="0" w:color="auto"/>
              <w:bottom w:val="single" w:sz="4" w:space="0" w:color="auto"/>
              <w:right w:val="single" w:sz="4" w:space="0" w:color="auto"/>
            </w:tcBorders>
            <w:hideMark/>
          </w:tcPr>
          <w:p w14:paraId="7E522A3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8,9</w:t>
            </w:r>
          </w:p>
        </w:tc>
        <w:tc>
          <w:tcPr>
            <w:tcW w:w="0" w:type="auto"/>
            <w:tcBorders>
              <w:top w:val="single" w:sz="4" w:space="0" w:color="auto"/>
              <w:left w:val="single" w:sz="4" w:space="0" w:color="auto"/>
              <w:bottom w:val="single" w:sz="4" w:space="0" w:color="auto"/>
              <w:right w:val="single" w:sz="4" w:space="0" w:color="auto"/>
            </w:tcBorders>
            <w:hideMark/>
          </w:tcPr>
          <w:p w14:paraId="3129D42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10,6</w:t>
            </w:r>
          </w:p>
        </w:tc>
        <w:tc>
          <w:tcPr>
            <w:tcW w:w="0" w:type="auto"/>
            <w:tcBorders>
              <w:top w:val="single" w:sz="4" w:space="0" w:color="auto"/>
              <w:left w:val="single" w:sz="4" w:space="0" w:color="auto"/>
              <w:bottom w:val="single" w:sz="4" w:space="0" w:color="auto"/>
              <w:right w:val="single" w:sz="4" w:space="0" w:color="auto"/>
            </w:tcBorders>
            <w:hideMark/>
          </w:tcPr>
          <w:p w14:paraId="2CBC85C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8,8</w:t>
            </w:r>
          </w:p>
        </w:tc>
        <w:tc>
          <w:tcPr>
            <w:tcW w:w="0" w:type="auto"/>
            <w:tcBorders>
              <w:top w:val="single" w:sz="4" w:space="0" w:color="auto"/>
              <w:left w:val="single" w:sz="4" w:space="0" w:color="auto"/>
              <w:bottom w:val="single" w:sz="4" w:space="0" w:color="auto"/>
              <w:right w:val="single" w:sz="4" w:space="0" w:color="auto"/>
            </w:tcBorders>
            <w:hideMark/>
          </w:tcPr>
          <w:p w14:paraId="57640FA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7,7</w:t>
            </w:r>
          </w:p>
        </w:tc>
        <w:tc>
          <w:tcPr>
            <w:tcW w:w="0" w:type="auto"/>
            <w:tcBorders>
              <w:top w:val="single" w:sz="4" w:space="0" w:color="auto"/>
              <w:left w:val="single" w:sz="4" w:space="0" w:color="auto"/>
              <w:bottom w:val="single" w:sz="4" w:space="0" w:color="auto"/>
              <w:right w:val="single" w:sz="4" w:space="0" w:color="auto"/>
            </w:tcBorders>
            <w:hideMark/>
          </w:tcPr>
          <w:p w14:paraId="34BA8CD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73BA970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5841EAB2"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73D59D2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64FBEAD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2F6D2122"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9,1</w:t>
            </w:r>
          </w:p>
        </w:tc>
      </w:tr>
      <w:tr w:rsidR="00983732" w:rsidRPr="00A3026E" w14:paraId="2ED867A0"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0629ACA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- 8000 м</w:t>
            </w:r>
          </w:p>
        </w:tc>
        <w:tc>
          <w:tcPr>
            <w:tcW w:w="0" w:type="auto"/>
            <w:tcBorders>
              <w:top w:val="single" w:sz="4" w:space="0" w:color="auto"/>
              <w:left w:val="single" w:sz="4" w:space="0" w:color="auto"/>
              <w:bottom w:val="single" w:sz="4" w:space="0" w:color="auto"/>
              <w:right w:val="single" w:sz="4" w:space="0" w:color="auto"/>
            </w:tcBorders>
            <w:hideMark/>
          </w:tcPr>
          <w:p w14:paraId="07D0D30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12,0</w:t>
            </w:r>
          </w:p>
        </w:tc>
        <w:tc>
          <w:tcPr>
            <w:tcW w:w="0" w:type="auto"/>
            <w:tcBorders>
              <w:top w:val="single" w:sz="4" w:space="0" w:color="auto"/>
              <w:left w:val="single" w:sz="4" w:space="0" w:color="auto"/>
              <w:bottom w:val="single" w:sz="4" w:space="0" w:color="auto"/>
              <w:right w:val="single" w:sz="4" w:space="0" w:color="auto"/>
            </w:tcBorders>
            <w:hideMark/>
          </w:tcPr>
          <w:p w14:paraId="713C0635"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13,3</w:t>
            </w:r>
          </w:p>
        </w:tc>
        <w:tc>
          <w:tcPr>
            <w:tcW w:w="0" w:type="auto"/>
            <w:tcBorders>
              <w:top w:val="single" w:sz="4" w:space="0" w:color="auto"/>
              <w:left w:val="single" w:sz="4" w:space="0" w:color="auto"/>
              <w:bottom w:val="single" w:sz="4" w:space="0" w:color="auto"/>
              <w:right w:val="single" w:sz="4" w:space="0" w:color="auto"/>
            </w:tcBorders>
            <w:hideMark/>
          </w:tcPr>
          <w:p w14:paraId="26C7239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10,6</w:t>
            </w:r>
          </w:p>
        </w:tc>
        <w:tc>
          <w:tcPr>
            <w:tcW w:w="0" w:type="auto"/>
            <w:tcBorders>
              <w:top w:val="single" w:sz="4" w:space="0" w:color="auto"/>
              <w:left w:val="single" w:sz="4" w:space="0" w:color="auto"/>
              <w:bottom w:val="single" w:sz="4" w:space="0" w:color="auto"/>
              <w:right w:val="single" w:sz="4" w:space="0" w:color="auto"/>
            </w:tcBorders>
            <w:hideMark/>
          </w:tcPr>
          <w:p w14:paraId="40ACB63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3CD7207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w:t>
            </w:r>
          </w:p>
        </w:tc>
        <w:tc>
          <w:tcPr>
            <w:tcW w:w="0" w:type="auto"/>
            <w:tcBorders>
              <w:top w:val="single" w:sz="4" w:space="0" w:color="auto"/>
              <w:left w:val="single" w:sz="4" w:space="0" w:color="auto"/>
              <w:bottom w:val="single" w:sz="4" w:space="0" w:color="auto"/>
              <w:right w:val="single" w:sz="4" w:space="0" w:color="auto"/>
            </w:tcBorders>
            <w:hideMark/>
          </w:tcPr>
          <w:p w14:paraId="24054FD2"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9</w:t>
            </w:r>
          </w:p>
        </w:tc>
        <w:tc>
          <w:tcPr>
            <w:tcW w:w="0" w:type="auto"/>
            <w:tcBorders>
              <w:top w:val="single" w:sz="4" w:space="0" w:color="auto"/>
              <w:left w:val="single" w:sz="4" w:space="0" w:color="auto"/>
              <w:bottom w:val="single" w:sz="4" w:space="0" w:color="auto"/>
              <w:right w:val="single" w:sz="4" w:space="0" w:color="auto"/>
            </w:tcBorders>
            <w:hideMark/>
          </w:tcPr>
          <w:p w14:paraId="7AD3F5EA"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9.76</w:t>
            </w:r>
          </w:p>
        </w:tc>
        <w:tc>
          <w:tcPr>
            <w:tcW w:w="0" w:type="auto"/>
            <w:tcBorders>
              <w:top w:val="single" w:sz="4" w:space="0" w:color="auto"/>
              <w:left w:val="single" w:sz="4" w:space="0" w:color="auto"/>
              <w:bottom w:val="single" w:sz="4" w:space="0" w:color="auto"/>
              <w:right w:val="single" w:sz="4" w:space="0" w:color="auto"/>
            </w:tcBorders>
            <w:hideMark/>
          </w:tcPr>
          <w:p w14:paraId="308E0EEA"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5,6</w:t>
            </w:r>
          </w:p>
        </w:tc>
        <w:tc>
          <w:tcPr>
            <w:tcW w:w="0" w:type="auto"/>
            <w:tcBorders>
              <w:top w:val="single" w:sz="4" w:space="0" w:color="auto"/>
              <w:left w:val="single" w:sz="4" w:space="0" w:color="auto"/>
              <w:bottom w:val="single" w:sz="4" w:space="0" w:color="auto"/>
              <w:right w:val="single" w:sz="4" w:space="0" w:color="auto"/>
            </w:tcBorders>
            <w:hideMark/>
          </w:tcPr>
          <w:p w14:paraId="54DEF90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w:t>
            </w:r>
          </w:p>
        </w:tc>
        <w:tc>
          <w:tcPr>
            <w:tcW w:w="0" w:type="auto"/>
            <w:tcBorders>
              <w:top w:val="single" w:sz="4" w:space="0" w:color="auto"/>
              <w:left w:val="single" w:sz="4" w:space="0" w:color="auto"/>
              <w:bottom w:val="single" w:sz="4" w:space="0" w:color="auto"/>
              <w:right w:val="single" w:sz="4" w:space="0" w:color="auto"/>
            </w:tcBorders>
            <w:hideMark/>
          </w:tcPr>
          <w:p w14:paraId="090563F5"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11.5</w:t>
            </w:r>
          </w:p>
        </w:tc>
      </w:tr>
      <w:tr w:rsidR="00983732" w:rsidRPr="00A3026E" w14:paraId="6F5C1467"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3F0C32C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Время виража на высоте/м, с</w:t>
            </w:r>
          </w:p>
        </w:tc>
        <w:tc>
          <w:tcPr>
            <w:tcW w:w="0" w:type="auto"/>
            <w:tcBorders>
              <w:top w:val="single" w:sz="4" w:space="0" w:color="auto"/>
              <w:left w:val="single" w:sz="4" w:space="0" w:color="auto"/>
              <w:bottom w:val="single" w:sz="4" w:space="0" w:color="auto"/>
              <w:right w:val="single" w:sz="4" w:space="0" w:color="auto"/>
            </w:tcBorders>
            <w:hideMark/>
          </w:tcPr>
          <w:p w14:paraId="5203D07B"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25-26/2000</w:t>
            </w:r>
          </w:p>
        </w:tc>
        <w:tc>
          <w:tcPr>
            <w:tcW w:w="0" w:type="auto"/>
            <w:tcBorders>
              <w:top w:val="single" w:sz="4" w:space="0" w:color="auto"/>
              <w:left w:val="single" w:sz="4" w:space="0" w:color="auto"/>
              <w:bottom w:val="single" w:sz="4" w:space="0" w:color="auto"/>
              <w:right w:val="single" w:sz="4" w:space="0" w:color="auto"/>
            </w:tcBorders>
            <w:hideMark/>
          </w:tcPr>
          <w:p w14:paraId="7761EBA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02995D6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26/1000</w:t>
            </w:r>
          </w:p>
        </w:tc>
        <w:tc>
          <w:tcPr>
            <w:tcW w:w="0" w:type="auto"/>
            <w:tcBorders>
              <w:top w:val="single" w:sz="4" w:space="0" w:color="auto"/>
              <w:left w:val="single" w:sz="4" w:space="0" w:color="auto"/>
              <w:bottom w:val="single" w:sz="4" w:space="0" w:color="auto"/>
              <w:right w:val="single" w:sz="4" w:space="0" w:color="auto"/>
            </w:tcBorders>
            <w:hideMark/>
          </w:tcPr>
          <w:p w14:paraId="509FF64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23B7E9C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61910615"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20/1000</w:t>
            </w:r>
          </w:p>
        </w:tc>
        <w:tc>
          <w:tcPr>
            <w:tcW w:w="0" w:type="auto"/>
            <w:tcBorders>
              <w:top w:val="single" w:sz="4" w:space="0" w:color="auto"/>
              <w:left w:val="single" w:sz="4" w:space="0" w:color="auto"/>
              <w:bottom w:val="single" w:sz="4" w:space="0" w:color="auto"/>
              <w:right w:val="single" w:sz="4" w:space="0" w:color="auto"/>
            </w:tcBorders>
            <w:hideMark/>
          </w:tcPr>
          <w:p w14:paraId="13A33EB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25/1000</w:t>
            </w:r>
          </w:p>
        </w:tc>
        <w:tc>
          <w:tcPr>
            <w:tcW w:w="0" w:type="auto"/>
            <w:tcBorders>
              <w:top w:val="single" w:sz="4" w:space="0" w:color="auto"/>
              <w:left w:val="single" w:sz="4" w:space="0" w:color="auto"/>
              <w:bottom w:val="single" w:sz="4" w:space="0" w:color="auto"/>
              <w:right w:val="single" w:sz="4" w:space="0" w:color="auto"/>
            </w:tcBorders>
            <w:hideMark/>
          </w:tcPr>
          <w:p w14:paraId="78A9488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19-20/1000</w:t>
            </w:r>
          </w:p>
        </w:tc>
        <w:tc>
          <w:tcPr>
            <w:tcW w:w="0" w:type="auto"/>
            <w:tcBorders>
              <w:top w:val="single" w:sz="4" w:space="0" w:color="auto"/>
              <w:left w:val="single" w:sz="4" w:space="0" w:color="auto"/>
              <w:bottom w:val="single" w:sz="4" w:space="0" w:color="auto"/>
              <w:right w:val="single" w:sz="4" w:space="0" w:color="auto"/>
            </w:tcBorders>
            <w:hideMark/>
          </w:tcPr>
          <w:p w14:paraId="114FFAF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445AEDA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24/1000</w:t>
            </w:r>
          </w:p>
        </w:tc>
      </w:tr>
      <w:tr w:rsidR="00983732" w:rsidRPr="00A3026E" w14:paraId="3C053C19"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3A87B37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Практический потолок,м</w:t>
            </w:r>
          </w:p>
        </w:tc>
        <w:tc>
          <w:tcPr>
            <w:tcW w:w="0" w:type="auto"/>
            <w:tcBorders>
              <w:top w:val="single" w:sz="4" w:space="0" w:color="auto"/>
              <w:left w:val="single" w:sz="4" w:space="0" w:color="auto"/>
              <w:bottom w:val="single" w:sz="4" w:space="0" w:color="auto"/>
              <w:right w:val="single" w:sz="4" w:space="0" w:color="auto"/>
            </w:tcBorders>
            <w:hideMark/>
          </w:tcPr>
          <w:p w14:paraId="02FCECC5"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10400</w:t>
            </w:r>
          </w:p>
        </w:tc>
        <w:tc>
          <w:tcPr>
            <w:tcW w:w="0" w:type="auto"/>
            <w:tcBorders>
              <w:top w:val="single" w:sz="4" w:space="0" w:color="auto"/>
              <w:left w:val="single" w:sz="4" w:space="0" w:color="auto"/>
              <w:bottom w:val="single" w:sz="4" w:space="0" w:color="auto"/>
              <w:right w:val="single" w:sz="4" w:space="0" w:color="auto"/>
            </w:tcBorders>
            <w:hideMark/>
          </w:tcPr>
          <w:p w14:paraId="3C1403C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10400</w:t>
            </w:r>
          </w:p>
        </w:tc>
        <w:tc>
          <w:tcPr>
            <w:tcW w:w="0" w:type="auto"/>
            <w:tcBorders>
              <w:top w:val="single" w:sz="4" w:space="0" w:color="auto"/>
              <w:left w:val="single" w:sz="4" w:space="0" w:color="auto"/>
              <w:bottom w:val="single" w:sz="4" w:space="0" w:color="auto"/>
              <w:right w:val="single" w:sz="4" w:space="0" w:color="auto"/>
            </w:tcBorders>
            <w:hideMark/>
          </w:tcPr>
          <w:p w14:paraId="66E2BF3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10800</w:t>
            </w:r>
          </w:p>
        </w:tc>
        <w:tc>
          <w:tcPr>
            <w:tcW w:w="0" w:type="auto"/>
            <w:tcBorders>
              <w:top w:val="single" w:sz="4" w:space="0" w:color="auto"/>
              <w:left w:val="single" w:sz="4" w:space="0" w:color="auto"/>
              <w:bottom w:val="single" w:sz="4" w:space="0" w:color="auto"/>
              <w:right w:val="single" w:sz="4" w:space="0" w:color="auto"/>
            </w:tcBorders>
            <w:hideMark/>
          </w:tcPr>
          <w:p w14:paraId="23CDA4FA"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10500</w:t>
            </w:r>
          </w:p>
        </w:tc>
        <w:tc>
          <w:tcPr>
            <w:tcW w:w="0" w:type="auto"/>
            <w:tcBorders>
              <w:top w:val="single" w:sz="4" w:space="0" w:color="auto"/>
              <w:left w:val="single" w:sz="4" w:space="0" w:color="auto"/>
              <w:bottom w:val="single" w:sz="4" w:space="0" w:color="auto"/>
              <w:right w:val="single" w:sz="4" w:space="0" w:color="auto"/>
            </w:tcBorders>
            <w:hideMark/>
          </w:tcPr>
          <w:p w14:paraId="233ECD0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10200</w:t>
            </w:r>
          </w:p>
        </w:tc>
        <w:tc>
          <w:tcPr>
            <w:tcW w:w="0" w:type="auto"/>
            <w:tcBorders>
              <w:top w:val="single" w:sz="4" w:space="0" w:color="auto"/>
              <w:left w:val="single" w:sz="4" w:space="0" w:color="auto"/>
              <w:bottom w:val="single" w:sz="4" w:space="0" w:color="auto"/>
              <w:right w:val="single" w:sz="4" w:space="0" w:color="auto"/>
            </w:tcBorders>
            <w:hideMark/>
          </w:tcPr>
          <w:p w14:paraId="3B4D81C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11900</w:t>
            </w:r>
          </w:p>
        </w:tc>
        <w:tc>
          <w:tcPr>
            <w:tcW w:w="0" w:type="auto"/>
            <w:tcBorders>
              <w:top w:val="single" w:sz="4" w:space="0" w:color="auto"/>
              <w:left w:val="single" w:sz="4" w:space="0" w:color="auto"/>
              <w:bottom w:val="single" w:sz="4" w:space="0" w:color="auto"/>
              <w:right w:val="single" w:sz="4" w:space="0" w:color="auto"/>
            </w:tcBorders>
            <w:hideMark/>
          </w:tcPr>
          <w:p w14:paraId="27798F02"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11500</w:t>
            </w:r>
          </w:p>
        </w:tc>
        <w:tc>
          <w:tcPr>
            <w:tcW w:w="0" w:type="auto"/>
            <w:tcBorders>
              <w:top w:val="single" w:sz="4" w:space="0" w:color="auto"/>
              <w:left w:val="single" w:sz="4" w:space="0" w:color="auto"/>
              <w:bottom w:val="single" w:sz="4" w:space="0" w:color="auto"/>
              <w:right w:val="single" w:sz="4" w:space="0" w:color="auto"/>
            </w:tcBorders>
            <w:hideMark/>
          </w:tcPr>
          <w:p w14:paraId="7D700B0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10250</w:t>
            </w:r>
          </w:p>
        </w:tc>
        <w:tc>
          <w:tcPr>
            <w:tcW w:w="0" w:type="auto"/>
            <w:tcBorders>
              <w:top w:val="single" w:sz="4" w:space="0" w:color="auto"/>
              <w:left w:val="single" w:sz="4" w:space="0" w:color="auto"/>
              <w:bottom w:val="single" w:sz="4" w:space="0" w:color="auto"/>
              <w:right w:val="single" w:sz="4" w:space="0" w:color="auto"/>
            </w:tcBorders>
            <w:hideMark/>
          </w:tcPr>
          <w:p w14:paraId="4E63FA7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10250</w:t>
            </w:r>
          </w:p>
        </w:tc>
        <w:tc>
          <w:tcPr>
            <w:tcW w:w="0" w:type="auto"/>
            <w:tcBorders>
              <w:top w:val="single" w:sz="4" w:space="0" w:color="auto"/>
              <w:left w:val="single" w:sz="4" w:space="0" w:color="auto"/>
              <w:bottom w:val="single" w:sz="4" w:space="0" w:color="auto"/>
              <w:right w:val="single" w:sz="4" w:space="0" w:color="auto"/>
            </w:tcBorders>
            <w:hideMark/>
          </w:tcPr>
          <w:p w14:paraId="6C8B6DE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10200</w:t>
            </w:r>
          </w:p>
        </w:tc>
      </w:tr>
      <w:tr w:rsidR="00983732" w:rsidRPr="00A3026E" w14:paraId="4EAB548A"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2FDF4FA5"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Практическая дальность полета на 0,9 V</w:t>
            </w:r>
            <w:r w:rsidRPr="00A3026E">
              <w:rPr>
                <w:rFonts w:ascii="Times New Roman" w:eastAsia="Times New Roman" w:hAnsi="Times New Roman"/>
                <w:color w:val="000000" w:themeColor="text1"/>
                <w:sz w:val="16"/>
                <w:szCs w:val="16"/>
                <w:vertAlign w:val="subscript"/>
                <w:lang w:eastAsia="ru-RU"/>
              </w:rPr>
              <w:t>max</w:t>
            </w:r>
            <w:r w:rsidRPr="00A3026E">
              <w:rPr>
                <w:rFonts w:ascii="Times New Roman" w:eastAsia="Times New Roman" w:hAnsi="Times New Roman"/>
                <w:color w:val="000000" w:themeColor="text1"/>
                <w:sz w:val="16"/>
                <w:szCs w:val="16"/>
                <w:lang w:eastAsia="ru-RU"/>
              </w:rPr>
              <w:t>, км</w:t>
            </w:r>
          </w:p>
        </w:tc>
        <w:tc>
          <w:tcPr>
            <w:tcW w:w="0" w:type="auto"/>
            <w:tcBorders>
              <w:top w:val="single" w:sz="4" w:space="0" w:color="auto"/>
              <w:left w:val="single" w:sz="4" w:space="0" w:color="auto"/>
              <w:bottom w:val="single" w:sz="4" w:space="0" w:color="auto"/>
              <w:right w:val="single" w:sz="4" w:space="0" w:color="auto"/>
            </w:tcBorders>
            <w:hideMark/>
          </w:tcPr>
          <w:p w14:paraId="24FF282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6BB38D3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623D9A9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450</w:t>
            </w:r>
          </w:p>
        </w:tc>
        <w:tc>
          <w:tcPr>
            <w:tcW w:w="0" w:type="auto"/>
            <w:tcBorders>
              <w:top w:val="single" w:sz="4" w:space="0" w:color="auto"/>
              <w:left w:val="single" w:sz="4" w:space="0" w:color="auto"/>
              <w:bottom w:val="single" w:sz="4" w:space="0" w:color="auto"/>
              <w:right w:val="single" w:sz="4" w:space="0" w:color="auto"/>
            </w:tcBorders>
            <w:hideMark/>
          </w:tcPr>
          <w:p w14:paraId="7061BA9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600</w:t>
            </w:r>
          </w:p>
        </w:tc>
        <w:tc>
          <w:tcPr>
            <w:tcW w:w="0" w:type="auto"/>
            <w:tcBorders>
              <w:top w:val="single" w:sz="4" w:space="0" w:color="auto"/>
              <w:left w:val="single" w:sz="4" w:space="0" w:color="auto"/>
              <w:bottom w:val="single" w:sz="4" w:space="0" w:color="auto"/>
              <w:right w:val="single" w:sz="4" w:space="0" w:color="auto"/>
            </w:tcBorders>
            <w:hideMark/>
          </w:tcPr>
          <w:p w14:paraId="703F7A0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550</w:t>
            </w:r>
          </w:p>
        </w:tc>
        <w:tc>
          <w:tcPr>
            <w:tcW w:w="0" w:type="auto"/>
            <w:tcBorders>
              <w:top w:val="single" w:sz="4" w:space="0" w:color="auto"/>
              <w:left w:val="single" w:sz="4" w:space="0" w:color="auto"/>
              <w:bottom w:val="single" w:sz="4" w:space="0" w:color="auto"/>
              <w:right w:val="single" w:sz="4" w:space="0" w:color="auto"/>
            </w:tcBorders>
            <w:hideMark/>
          </w:tcPr>
          <w:p w14:paraId="4E3A779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756</w:t>
            </w:r>
          </w:p>
        </w:tc>
        <w:tc>
          <w:tcPr>
            <w:tcW w:w="0" w:type="auto"/>
            <w:tcBorders>
              <w:top w:val="single" w:sz="4" w:space="0" w:color="auto"/>
              <w:left w:val="single" w:sz="4" w:space="0" w:color="auto"/>
              <w:bottom w:val="single" w:sz="4" w:space="0" w:color="auto"/>
              <w:right w:val="single" w:sz="4" w:space="0" w:color="auto"/>
            </w:tcBorders>
            <w:hideMark/>
          </w:tcPr>
          <w:p w14:paraId="340A326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756</w:t>
            </w:r>
          </w:p>
        </w:tc>
        <w:tc>
          <w:tcPr>
            <w:tcW w:w="0" w:type="auto"/>
            <w:tcBorders>
              <w:top w:val="single" w:sz="4" w:space="0" w:color="auto"/>
              <w:left w:val="single" w:sz="4" w:space="0" w:color="auto"/>
              <w:bottom w:val="single" w:sz="4" w:space="0" w:color="auto"/>
              <w:right w:val="single" w:sz="4" w:space="0" w:color="auto"/>
            </w:tcBorders>
            <w:hideMark/>
          </w:tcPr>
          <w:p w14:paraId="063D21EB"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600</w:t>
            </w:r>
          </w:p>
        </w:tc>
        <w:tc>
          <w:tcPr>
            <w:tcW w:w="0" w:type="auto"/>
            <w:tcBorders>
              <w:top w:val="single" w:sz="4" w:space="0" w:color="auto"/>
              <w:left w:val="single" w:sz="4" w:space="0" w:color="auto"/>
              <w:bottom w:val="single" w:sz="4" w:space="0" w:color="auto"/>
              <w:right w:val="single" w:sz="4" w:space="0" w:color="auto"/>
            </w:tcBorders>
            <w:hideMark/>
          </w:tcPr>
          <w:p w14:paraId="724AEF3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600</w:t>
            </w:r>
          </w:p>
        </w:tc>
        <w:tc>
          <w:tcPr>
            <w:tcW w:w="0" w:type="auto"/>
            <w:tcBorders>
              <w:top w:val="single" w:sz="4" w:space="0" w:color="auto"/>
              <w:left w:val="single" w:sz="4" w:space="0" w:color="auto"/>
              <w:bottom w:val="single" w:sz="4" w:space="0" w:color="auto"/>
              <w:right w:val="single" w:sz="4" w:space="0" w:color="auto"/>
            </w:tcBorders>
            <w:hideMark/>
          </w:tcPr>
          <w:p w14:paraId="3FC6F4D5"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700</w:t>
            </w:r>
          </w:p>
        </w:tc>
      </w:tr>
      <w:tr w:rsidR="00983732" w:rsidRPr="00A3026E" w14:paraId="28A4002F"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1DD6FEB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Посадочная скорость, км/ч</w:t>
            </w:r>
          </w:p>
        </w:tc>
        <w:tc>
          <w:tcPr>
            <w:tcW w:w="0" w:type="auto"/>
            <w:tcBorders>
              <w:top w:val="single" w:sz="4" w:space="0" w:color="auto"/>
              <w:left w:val="single" w:sz="4" w:space="0" w:color="auto"/>
              <w:bottom w:val="single" w:sz="4" w:space="0" w:color="auto"/>
              <w:right w:val="single" w:sz="4" w:space="0" w:color="auto"/>
            </w:tcBorders>
            <w:hideMark/>
          </w:tcPr>
          <w:p w14:paraId="5BF65805"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49B91B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2F328B9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140</w:t>
            </w:r>
          </w:p>
        </w:tc>
        <w:tc>
          <w:tcPr>
            <w:tcW w:w="0" w:type="auto"/>
            <w:tcBorders>
              <w:top w:val="single" w:sz="4" w:space="0" w:color="auto"/>
              <w:left w:val="single" w:sz="4" w:space="0" w:color="auto"/>
              <w:bottom w:val="single" w:sz="4" w:space="0" w:color="auto"/>
              <w:right w:val="single" w:sz="4" w:space="0" w:color="auto"/>
            </w:tcBorders>
            <w:hideMark/>
          </w:tcPr>
          <w:p w14:paraId="41215BA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126</w:t>
            </w:r>
          </w:p>
        </w:tc>
        <w:tc>
          <w:tcPr>
            <w:tcW w:w="0" w:type="auto"/>
            <w:tcBorders>
              <w:top w:val="single" w:sz="4" w:space="0" w:color="auto"/>
              <w:left w:val="single" w:sz="4" w:space="0" w:color="auto"/>
              <w:bottom w:val="single" w:sz="4" w:space="0" w:color="auto"/>
              <w:right w:val="single" w:sz="4" w:space="0" w:color="auto"/>
            </w:tcBorders>
            <w:hideMark/>
          </w:tcPr>
          <w:p w14:paraId="37C6A41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5A91A83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128</w:t>
            </w:r>
          </w:p>
        </w:tc>
        <w:tc>
          <w:tcPr>
            <w:tcW w:w="0" w:type="auto"/>
            <w:tcBorders>
              <w:top w:val="single" w:sz="4" w:space="0" w:color="auto"/>
              <w:left w:val="single" w:sz="4" w:space="0" w:color="auto"/>
              <w:bottom w:val="single" w:sz="4" w:space="0" w:color="auto"/>
              <w:right w:val="single" w:sz="4" w:space="0" w:color="auto"/>
            </w:tcBorders>
            <w:hideMark/>
          </w:tcPr>
          <w:p w14:paraId="20EF7072"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138</w:t>
            </w:r>
          </w:p>
        </w:tc>
        <w:tc>
          <w:tcPr>
            <w:tcW w:w="0" w:type="auto"/>
            <w:tcBorders>
              <w:top w:val="single" w:sz="4" w:space="0" w:color="auto"/>
              <w:left w:val="single" w:sz="4" w:space="0" w:color="auto"/>
              <w:bottom w:val="single" w:sz="4" w:space="0" w:color="auto"/>
              <w:right w:val="single" w:sz="4" w:space="0" w:color="auto"/>
            </w:tcBorders>
            <w:hideMark/>
          </w:tcPr>
          <w:p w14:paraId="1CB981C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130</w:t>
            </w:r>
          </w:p>
        </w:tc>
        <w:tc>
          <w:tcPr>
            <w:tcW w:w="0" w:type="auto"/>
            <w:tcBorders>
              <w:top w:val="single" w:sz="4" w:space="0" w:color="auto"/>
              <w:left w:val="single" w:sz="4" w:space="0" w:color="auto"/>
              <w:bottom w:val="single" w:sz="4" w:space="0" w:color="auto"/>
              <w:right w:val="single" w:sz="4" w:space="0" w:color="auto"/>
            </w:tcBorders>
            <w:hideMark/>
          </w:tcPr>
          <w:p w14:paraId="13B5A51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130</w:t>
            </w:r>
          </w:p>
        </w:tc>
        <w:tc>
          <w:tcPr>
            <w:tcW w:w="0" w:type="auto"/>
            <w:tcBorders>
              <w:top w:val="single" w:sz="4" w:space="0" w:color="auto"/>
              <w:left w:val="single" w:sz="4" w:space="0" w:color="auto"/>
              <w:bottom w:val="single" w:sz="4" w:space="0" w:color="auto"/>
              <w:right w:val="single" w:sz="4" w:space="0" w:color="auto"/>
            </w:tcBorders>
            <w:hideMark/>
          </w:tcPr>
          <w:p w14:paraId="3A8C04E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135</w:t>
            </w:r>
          </w:p>
        </w:tc>
      </w:tr>
      <w:tr w:rsidR="00983732" w:rsidRPr="00A3026E" w14:paraId="7F9255CD"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36A7D9C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Длина разбега, м</w:t>
            </w:r>
          </w:p>
        </w:tc>
        <w:tc>
          <w:tcPr>
            <w:tcW w:w="0" w:type="auto"/>
            <w:tcBorders>
              <w:top w:val="single" w:sz="4" w:space="0" w:color="auto"/>
              <w:left w:val="single" w:sz="4" w:space="0" w:color="auto"/>
              <w:bottom w:val="single" w:sz="4" w:space="0" w:color="auto"/>
              <w:right w:val="single" w:sz="4" w:space="0" w:color="auto"/>
            </w:tcBorders>
            <w:hideMark/>
          </w:tcPr>
          <w:p w14:paraId="605969F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200-250</w:t>
            </w:r>
          </w:p>
        </w:tc>
        <w:tc>
          <w:tcPr>
            <w:tcW w:w="0" w:type="auto"/>
            <w:tcBorders>
              <w:top w:val="single" w:sz="4" w:space="0" w:color="auto"/>
              <w:left w:val="single" w:sz="4" w:space="0" w:color="auto"/>
              <w:bottom w:val="single" w:sz="4" w:space="0" w:color="auto"/>
              <w:right w:val="single" w:sz="4" w:space="0" w:color="auto"/>
            </w:tcBorders>
            <w:hideMark/>
          </w:tcPr>
          <w:p w14:paraId="614268E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4BBED5F5"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325</w:t>
            </w:r>
          </w:p>
        </w:tc>
        <w:tc>
          <w:tcPr>
            <w:tcW w:w="0" w:type="auto"/>
            <w:tcBorders>
              <w:top w:val="single" w:sz="4" w:space="0" w:color="auto"/>
              <w:left w:val="single" w:sz="4" w:space="0" w:color="auto"/>
              <w:bottom w:val="single" w:sz="4" w:space="0" w:color="auto"/>
              <w:right w:val="single" w:sz="4" w:space="0" w:color="auto"/>
            </w:tcBorders>
            <w:hideMark/>
          </w:tcPr>
          <w:p w14:paraId="7322FDC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336</w:t>
            </w:r>
          </w:p>
        </w:tc>
        <w:tc>
          <w:tcPr>
            <w:tcW w:w="0" w:type="auto"/>
            <w:tcBorders>
              <w:top w:val="single" w:sz="4" w:space="0" w:color="auto"/>
              <w:left w:val="single" w:sz="4" w:space="0" w:color="auto"/>
              <w:bottom w:val="single" w:sz="4" w:space="0" w:color="auto"/>
              <w:right w:val="single" w:sz="4" w:space="0" w:color="auto"/>
            </w:tcBorders>
            <w:hideMark/>
          </w:tcPr>
          <w:p w14:paraId="206DC89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2EB4AC2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387</w:t>
            </w:r>
          </w:p>
        </w:tc>
        <w:tc>
          <w:tcPr>
            <w:tcW w:w="0" w:type="auto"/>
            <w:tcBorders>
              <w:top w:val="single" w:sz="4" w:space="0" w:color="auto"/>
              <w:left w:val="single" w:sz="4" w:space="0" w:color="auto"/>
              <w:bottom w:val="single" w:sz="4" w:space="0" w:color="auto"/>
              <w:right w:val="single" w:sz="4" w:space="0" w:color="auto"/>
            </w:tcBorders>
            <w:hideMark/>
          </w:tcPr>
          <w:p w14:paraId="643D64E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425</w:t>
            </w:r>
          </w:p>
        </w:tc>
        <w:tc>
          <w:tcPr>
            <w:tcW w:w="0" w:type="auto"/>
            <w:tcBorders>
              <w:top w:val="single" w:sz="4" w:space="0" w:color="auto"/>
              <w:left w:val="single" w:sz="4" w:space="0" w:color="auto"/>
              <w:bottom w:val="single" w:sz="4" w:space="0" w:color="auto"/>
              <w:right w:val="single" w:sz="4" w:space="0" w:color="auto"/>
            </w:tcBorders>
            <w:hideMark/>
          </w:tcPr>
          <w:p w14:paraId="2255D59B"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240</w:t>
            </w:r>
          </w:p>
        </w:tc>
        <w:tc>
          <w:tcPr>
            <w:tcW w:w="0" w:type="auto"/>
            <w:tcBorders>
              <w:top w:val="single" w:sz="4" w:space="0" w:color="auto"/>
              <w:left w:val="single" w:sz="4" w:space="0" w:color="auto"/>
              <w:bottom w:val="single" w:sz="4" w:space="0" w:color="auto"/>
              <w:right w:val="single" w:sz="4" w:space="0" w:color="auto"/>
            </w:tcBorders>
            <w:hideMark/>
          </w:tcPr>
          <w:p w14:paraId="51F0584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200-250</w:t>
            </w:r>
          </w:p>
        </w:tc>
        <w:tc>
          <w:tcPr>
            <w:tcW w:w="0" w:type="auto"/>
            <w:tcBorders>
              <w:top w:val="single" w:sz="4" w:space="0" w:color="auto"/>
              <w:left w:val="single" w:sz="4" w:space="0" w:color="auto"/>
              <w:bottom w:val="single" w:sz="4" w:space="0" w:color="auto"/>
              <w:right w:val="single" w:sz="4" w:space="0" w:color="auto"/>
            </w:tcBorders>
            <w:hideMark/>
          </w:tcPr>
          <w:p w14:paraId="0C785645"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300</w:t>
            </w:r>
          </w:p>
        </w:tc>
      </w:tr>
      <w:tr w:rsidR="00983732" w:rsidRPr="00A3026E" w14:paraId="05233F36"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2BF2974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Длина пробега, м</w:t>
            </w:r>
          </w:p>
        </w:tc>
        <w:tc>
          <w:tcPr>
            <w:tcW w:w="0" w:type="auto"/>
            <w:tcBorders>
              <w:top w:val="single" w:sz="4" w:space="0" w:color="auto"/>
              <w:left w:val="single" w:sz="4" w:space="0" w:color="auto"/>
              <w:bottom w:val="single" w:sz="4" w:space="0" w:color="auto"/>
              <w:right w:val="single" w:sz="4" w:space="0" w:color="auto"/>
            </w:tcBorders>
            <w:hideMark/>
          </w:tcPr>
          <w:p w14:paraId="14A257B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300-350</w:t>
            </w:r>
          </w:p>
        </w:tc>
        <w:tc>
          <w:tcPr>
            <w:tcW w:w="0" w:type="auto"/>
            <w:tcBorders>
              <w:top w:val="single" w:sz="4" w:space="0" w:color="auto"/>
              <w:left w:val="single" w:sz="4" w:space="0" w:color="auto"/>
              <w:bottom w:val="single" w:sz="4" w:space="0" w:color="auto"/>
              <w:right w:val="single" w:sz="4" w:space="0" w:color="auto"/>
            </w:tcBorders>
            <w:hideMark/>
          </w:tcPr>
          <w:p w14:paraId="330C921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044CC76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370</w:t>
            </w:r>
          </w:p>
        </w:tc>
        <w:tc>
          <w:tcPr>
            <w:tcW w:w="0" w:type="auto"/>
            <w:tcBorders>
              <w:top w:val="single" w:sz="4" w:space="0" w:color="auto"/>
              <w:left w:val="single" w:sz="4" w:space="0" w:color="auto"/>
              <w:bottom w:val="single" w:sz="4" w:space="0" w:color="auto"/>
              <w:right w:val="single" w:sz="4" w:space="0" w:color="auto"/>
            </w:tcBorders>
            <w:hideMark/>
          </w:tcPr>
          <w:p w14:paraId="1089C45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03DC08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2C0FD81B"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270</w:t>
            </w:r>
          </w:p>
        </w:tc>
        <w:tc>
          <w:tcPr>
            <w:tcW w:w="0" w:type="auto"/>
            <w:tcBorders>
              <w:top w:val="single" w:sz="4" w:space="0" w:color="auto"/>
              <w:left w:val="single" w:sz="4" w:space="0" w:color="auto"/>
              <w:bottom w:val="single" w:sz="4" w:space="0" w:color="auto"/>
              <w:right w:val="single" w:sz="4" w:space="0" w:color="auto"/>
            </w:tcBorders>
            <w:hideMark/>
          </w:tcPr>
          <w:p w14:paraId="76E24E3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62DF559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200</w:t>
            </w:r>
          </w:p>
        </w:tc>
        <w:tc>
          <w:tcPr>
            <w:tcW w:w="0" w:type="auto"/>
            <w:tcBorders>
              <w:top w:val="single" w:sz="4" w:space="0" w:color="auto"/>
              <w:left w:val="single" w:sz="4" w:space="0" w:color="auto"/>
              <w:bottom w:val="single" w:sz="4" w:space="0" w:color="auto"/>
              <w:right w:val="single" w:sz="4" w:space="0" w:color="auto"/>
            </w:tcBorders>
            <w:hideMark/>
          </w:tcPr>
          <w:p w14:paraId="2CE46CB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250-300</w:t>
            </w:r>
          </w:p>
        </w:tc>
        <w:tc>
          <w:tcPr>
            <w:tcW w:w="0" w:type="auto"/>
            <w:tcBorders>
              <w:top w:val="single" w:sz="4" w:space="0" w:color="auto"/>
              <w:left w:val="single" w:sz="4" w:space="0" w:color="auto"/>
              <w:bottom w:val="single" w:sz="4" w:space="0" w:color="auto"/>
              <w:right w:val="single" w:sz="4" w:space="0" w:color="auto"/>
            </w:tcBorders>
            <w:hideMark/>
          </w:tcPr>
          <w:p w14:paraId="522C3612"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540</w:t>
            </w:r>
          </w:p>
        </w:tc>
      </w:tr>
      <w:tr w:rsidR="00983732" w:rsidRPr="00A3026E" w14:paraId="64ED3002"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343CB8F5"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Вооружение:</w:t>
            </w:r>
          </w:p>
        </w:tc>
        <w:tc>
          <w:tcPr>
            <w:tcW w:w="0" w:type="auto"/>
            <w:tcBorders>
              <w:top w:val="single" w:sz="4" w:space="0" w:color="auto"/>
              <w:left w:val="single" w:sz="4" w:space="0" w:color="auto"/>
              <w:bottom w:val="single" w:sz="4" w:space="0" w:color="auto"/>
              <w:right w:val="single" w:sz="4" w:space="0" w:color="auto"/>
            </w:tcBorders>
            <w:hideMark/>
          </w:tcPr>
          <w:p w14:paraId="18906DA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2x7,62-мм ШКАС, 2x12,7-мм ШВАХ</w:t>
            </w:r>
          </w:p>
        </w:tc>
        <w:tc>
          <w:tcPr>
            <w:tcW w:w="0" w:type="auto"/>
            <w:tcBorders>
              <w:top w:val="single" w:sz="4" w:space="0" w:color="auto"/>
              <w:left w:val="single" w:sz="4" w:space="0" w:color="auto"/>
              <w:bottom w:val="single" w:sz="4" w:space="0" w:color="auto"/>
              <w:right w:val="single" w:sz="4" w:space="0" w:color="auto"/>
            </w:tcBorders>
            <w:hideMark/>
          </w:tcPr>
          <w:p w14:paraId="77CAEFD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2x7,62-мм ШКАС, 2x12,7-мм ШВАК</w:t>
            </w:r>
          </w:p>
        </w:tc>
        <w:tc>
          <w:tcPr>
            <w:tcW w:w="0" w:type="auto"/>
            <w:tcBorders>
              <w:top w:val="single" w:sz="4" w:space="0" w:color="auto"/>
              <w:left w:val="single" w:sz="4" w:space="0" w:color="auto"/>
              <w:bottom w:val="single" w:sz="4" w:space="0" w:color="auto"/>
              <w:right w:val="single" w:sz="4" w:space="0" w:color="auto"/>
            </w:tcBorders>
            <w:hideMark/>
          </w:tcPr>
          <w:p w14:paraId="3F60CF7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2x7,62-мм ШКАС, 2x12,7-мм БС</w:t>
            </w:r>
          </w:p>
        </w:tc>
        <w:tc>
          <w:tcPr>
            <w:tcW w:w="0" w:type="auto"/>
            <w:gridSpan w:val="2"/>
            <w:tcBorders>
              <w:top w:val="single" w:sz="4" w:space="0" w:color="auto"/>
              <w:left w:val="single" w:sz="4" w:space="0" w:color="auto"/>
              <w:bottom w:val="single" w:sz="4" w:space="0" w:color="auto"/>
              <w:right w:val="single" w:sz="4" w:space="0" w:color="auto"/>
            </w:tcBorders>
            <w:hideMark/>
          </w:tcPr>
          <w:p w14:paraId="000414E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2x7,62-мм ШКАС, 2x12,7-мм БС</w:t>
            </w:r>
          </w:p>
        </w:tc>
        <w:tc>
          <w:tcPr>
            <w:tcW w:w="0" w:type="auto"/>
            <w:gridSpan w:val="2"/>
            <w:tcBorders>
              <w:top w:val="single" w:sz="4" w:space="0" w:color="auto"/>
              <w:left w:val="single" w:sz="4" w:space="0" w:color="auto"/>
              <w:bottom w:val="single" w:sz="4" w:space="0" w:color="auto"/>
              <w:right w:val="single" w:sz="4" w:space="0" w:color="auto"/>
            </w:tcBorders>
            <w:hideMark/>
          </w:tcPr>
          <w:p w14:paraId="37A1868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2x7,62-мм ШКАС, 2x12,7-мм БС</w:t>
            </w:r>
          </w:p>
        </w:tc>
        <w:tc>
          <w:tcPr>
            <w:tcW w:w="0" w:type="auto"/>
            <w:tcBorders>
              <w:top w:val="single" w:sz="4" w:space="0" w:color="auto"/>
              <w:left w:val="single" w:sz="4" w:space="0" w:color="auto"/>
              <w:bottom w:val="single" w:sz="4" w:space="0" w:color="auto"/>
              <w:right w:val="single" w:sz="4" w:space="0" w:color="auto"/>
            </w:tcBorders>
            <w:hideMark/>
          </w:tcPr>
          <w:p w14:paraId="4AB2C8E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2x7,62-мм ШКАС, 2x12,7-мм БС</w:t>
            </w:r>
          </w:p>
        </w:tc>
        <w:tc>
          <w:tcPr>
            <w:tcW w:w="0" w:type="auto"/>
            <w:tcBorders>
              <w:top w:val="single" w:sz="4" w:space="0" w:color="auto"/>
              <w:left w:val="single" w:sz="4" w:space="0" w:color="auto"/>
              <w:bottom w:val="single" w:sz="4" w:space="0" w:color="auto"/>
              <w:right w:val="single" w:sz="4" w:space="0" w:color="auto"/>
            </w:tcBorders>
            <w:hideMark/>
          </w:tcPr>
          <w:p w14:paraId="47D12D4A"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2x7,62-мм ШКАС, 2x12,7-мм БС</w:t>
            </w:r>
          </w:p>
        </w:tc>
        <w:tc>
          <w:tcPr>
            <w:tcW w:w="0" w:type="auto"/>
            <w:tcBorders>
              <w:top w:val="single" w:sz="4" w:space="0" w:color="auto"/>
              <w:left w:val="single" w:sz="4" w:space="0" w:color="auto"/>
              <w:bottom w:val="single" w:sz="4" w:space="0" w:color="auto"/>
              <w:right w:val="single" w:sz="4" w:space="0" w:color="auto"/>
            </w:tcBorders>
            <w:hideMark/>
          </w:tcPr>
          <w:p w14:paraId="3EC349A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1х20-мм ШВАК, 2x7,62-мм ШКАС</w:t>
            </w:r>
          </w:p>
        </w:tc>
      </w:tr>
      <w:tr w:rsidR="00983732" w:rsidRPr="00A3026E" w14:paraId="0DC4E404" w14:textId="77777777" w:rsidTr="001A581B">
        <w:trPr>
          <w:tblCellSpacing w:w="15" w:type="dxa"/>
        </w:trPr>
        <w:tc>
          <w:tcPr>
            <w:tcW w:w="0" w:type="auto"/>
            <w:gridSpan w:val="11"/>
            <w:tcBorders>
              <w:top w:val="single" w:sz="4" w:space="0" w:color="auto"/>
              <w:left w:val="single" w:sz="4" w:space="0" w:color="auto"/>
              <w:bottom w:val="single" w:sz="4" w:space="0" w:color="auto"/>
              <w:right w:val="single" w:sz="4" w:space="0" w:color="auto"/>
            </w:tcBorders>
            <w:hideMark/>
          </w:tcPr>
          <w:p w14:paraId="7A579A3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Боезапас:</w:t>
            </w:r>
          </w:p>
        </w:tc>
      </w:tr>
      <w:tr w:rsidR="00983732" w:rsidRPr="00A3026E" w14:paraId="07E3A77D"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556C167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- 7,62 мм, шт.</w:t>
            </w:r>
          </w:p>
        </w:tc>
        <w:tc>
          <w:tcPr>
            <w:tcW w:w="0" w:type="auto"/>
            <w:tcBorders>
              <w:top w:val="single" w:sz="4" w:space="0" w:color="auto"/>
              <w:left w:val="single" w:sz="4" w:space="0" w:color="auto"/>
              <w:bottom w:val="single" w:sz="4" w:space="0" w:color="auto"/>
              <w:right w:val="single" w:sz="4" w:space="0" w:color="auto"/>
            </w:tcBorders>
            <w:hideMark/>
          </w:tcPr>
          <w:p w14:paraId="2EA5AE3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1700</w:t>
            </w:r>
          </w:p>
        </w:tc>
        <w:tc>
          <w:tcPr>
            <w:tcW w:w="0" w:type="auto"/>
            <w:tcBorders>
              <w:top w:val="single" w:sz="4" w:space="0" w:color="auto"/>
              <w:left w:val="single" w:sz="4" w:space="0" w:color="auto"/>
              <w:bottom w:val="single" w:sz="4" w:space="0" w:color="auto"/>
              <w:right w:val="single" w:sz="4" w:space="0" w:color="auto"/>
            </w:tcBorders>
            <w:hideMark/>
          </w:tcPr>
          <w:p w14:paraId="251A350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1700</w:t>
            </w:r>
          </w:p>
        </w:tc>
        <w:tc>
          <w:tcPr>
            <w:tcW w:w="0" w:type="auto"/>
            <w:tcBorders>
              <w:top w:val="single" w:sz="4" w:space="0" w:color="auto"/>
              <w:left w:val="single" w:sz="4" w:space="0" w:color="auto"/>
              <w:bottom w:val="single" w:sz="4" w:space="0" w:color="auto"/>
              <w:right w:val="single" w:sz="4" w:space="0" w:color="auto"/>
            </w:tcBorders>
            <w:hideMark/>
          </w:tcPr>
          <w:p w14:paraId="7971F3D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1500</w:t>
            </w:r>
          </w:p>
        </w:tc>
        <w:tc>
          <w:tcPr>
            <w:tcW w:w="0" w:type="auto"/>
            <w:tcBorders>
              <w:top w:val="single" w:sz="4" w:space="0" w:color="auto"/>
              <w:left w:val="single" w:sz="4" w:space="0" w:color="auto"/>
              <w:bottom w:val="single" w:sz="4" w:space="0" w:color="auto"/>
              <w:right w:val="single" w:sz="4" w:space="0" w:color="auto"/>
            </w:tcBorders>
            <w:hideMark/>
          </w:tcPr>
          <w:p w14:paraId="23A52B5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1500</w:t>
            </w:r>
          </w:p>
        </w:tc>
        <w:tc>
          <w:tcPr>
            <w:tcW w:w="0" w:type="auto"/>
            <w:tcBorders>
              <w:top w:val="single" w:sz="4" w:space="0" w:color="auto"/>
              <w:left w:val="single" w:sz="4" w:space="0" w:color="auto"/>
              <w:bottom w:val="single" w:sz="4" w:space="0" w:color="auto"/>
              <w:right w:val="single" w:sz="4" w:space="0" w:color="auto"/>
            </w:tcBorders>
            <w:hideMark/>
          </w:tcPr>
          <w:p w14:paraId="127CA28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1500</w:t>
            </w:r>
          </w:p>
        </w:tc>
        <w:tc>
          <w:tcPr>
            <w:tcW w:w="0" w:type="auto"/>
            <w:tcBorders>
              <w:top w:val="single" w:sz="4" w:space="0" w:color="auto"/>
              <w:left w:val="single" w:sz="4" w:space="0" w:color="auto"/>
              <w:bottom w:val="single" w:sz="4" w:space="0" w:color="auto"/>
              <w:right w:val="single" w:sz="4" w:space="0" w:color="auto"/>
            </w:tcBorders>
            <w:hideMark/>
          </w:tcPr>
          <w:p w14:paraId="527369B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1000</w:t>
            </w:r>
          </w:p>
        </w:tc>
        <w:tc>
          <w:tcPr>
            <w:tcW w:w="0" w:type="auto"/>
            <w:tcBorders>
              <w:top w:val="single" w:sz="4" w:space="0" w:color="auto"/>
              <w:left w:val="single" w:sz="4" w:space="0" w:color="auto"/>
              <w:bottom w:val="single" w:sz="4" w:space="0" w:color="auto"/>
              <w:right w:val="single" w:sz="4" w:space="0" w:color="auto"/>
            </w:tcBorders>
            <w:hideMark/>
          </w:tcPr>
          <w:p w14:paraId="30AC2B9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1500</w:t>
            </w:r>
          </w:p>
        </w:tc>
        <w:tc>
          <w:tcPr>
            <w:tcW w:w="0" w:type="auto"/>
            <w:tcBorders>
              <w:top w:val="single" w:sz="4" w:space="0" w:color="auto"/>
              <w:left w:val="single" w:sz="4" w:space="0" w:color="auto"/>
              <w:bottom w:val="single" w:sz="4" w:space="0" w:color="auto"/>
              <w:right w:val="single" w:sz="4" w:space="0" w:color="auto"/>
            </w:tcBorders>
            <w:hideMark/>
          </w:tcPr>
          <w:p w14:paraId="5810EE9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1000</w:t>
            </w:r>
          </w:p>
        </w:tc>
        <w:tc>
          <w:tcPr>
            <w:tcW w:w="0" w:type="auto"/>
            <w:tcBorders>
              <w:top w:val="single" w:sz="4" w:space="0" w:color="auto"/>
              <w:left w:val="single" w:sz="4" w:space="0" w:color="auto"/>
              <w:bottom w:val="single" w:sz="4" w:space="0" w:color="auto"/>
              <w:right w:val="single" w:sz="4" w:space="0" w:color="auto"/>
            </w:tcBorders>
            <w:hideMark/>
          </w:tcPr>
          <w:p w14:paraId="1C9EBDB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1300</w:t>
            </w:r>
          </w:p>
        </w:tc>
        <w:tc>
          <w:tcPr>
            <w:tcW w:w="0" w:type="auto"/>
            <w:tcBorders>
              <w:top w:val="single" w:sz="4" w:space="0" w:color="auto"/>
              <w:left w:val="single" w:sz="4" w:space="0" w:color="auto"/>
              <w:bottom w:val="single" w:sz="4" w:space="0" w:color="auto"/>
              <w:right w:val="single" w:sz="4" w:space="0" w:color="auto"/>
            </w:tcBorders>
            <w:hideMark/>
          </w:tcPr>
          <w:p w14:paraId="10E04C8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760</w:t>
            </w:r>
          </w:p>
        </w:tc>
      </w:tr>
      <w:tr w:rsidR="00983732" w:rsidRPr="00A3026E" w14:paraId="7649349D"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439D29D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- 12,7 мм, шт.</w:t>
            </w:r>
          </w:p>
        </w:tc>
        <w:tc>
          <w:tcPr>
            <w:tcW w:w="0" w:type="auto"/>
            <w:tcBorders>
              <w:top w:val="single" w:sz="4" w:space="0" w:color="auto"/>
              <w:left w:val="single" w:sz="4" w:space="0" w:color="auto"/>
              <w:bottom w:val="single" w:sz="4" w:space="0" w:color="auto"/>
              <w:right w:val="single" w:sz="4" w:space="0" w:color="auto"/>
            </w:tcBorders>
            <w:hideMark/>
          </w:tcPr>
          <w:p w14:paraId="7F5B2F9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500</w:t>
            </w:r>
          </w:p>
        </w:tc>
        <w:tc>
          <w:tcPr>
            <w:tcW w:w="0" w:type="auto"/>
            <w:tcBorders>
              <w:top w:val="single" w:sz="4" w:space="0" w:color="auto"/>
              <w:left w:val="single" w:sz="4" w:space="0" w:color="auto"/>
              <w:bottom w:val="single" w:sz="4" w:space="0" w:color="auto"/>
              <w:right w:val="single" w:sz="4" w:space="0" w:color="auto"/>
            </w:tcBorders>
            <w:hideMark/>
          </w:tcPr>
          <w:p w14:paraId="683D91D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300</w:t>
            </w:r>
          </w:p>
        </w:tc>
        <w:tc>
          <w:tcPr>
            <w:tcW w:w="0" w:type="auto"/>
            <w:tcBorders>
              <w:top w:val="single" w:sz="4" w:space="0" w:color="auto"/>
              <w:left w:val="single" w:sz="4" w:space="0" w:color="auto"/>
              <w:bottom w:val="single" w:sz="4" w:space="0" w:color="auto"/>
              <w:right w:val="single" w:sz="4" w:space="0" w:color="auto"/>
            </w:tcBorders>
            <w:hideMark/>
          </w:tcPr>
          <w:p w14:paraId="1D0FD06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300</w:t>
            </w:r>
          </w:p>
        </w:tc>
        <w:tc>
          <w:tcPr>
            <w:tcW w:w="0" w:type="auto"/>
            <w:tcBorders>
              <w:top w:val="single" w:sz="4" w:space="0" w:color="auto"/>
              <w:left w:val="single" w:sz="4" w:space="0" w:color="auto"/>
              <w:bottom w:val="single" w:sz="4" w:space="0" w:color="auto"/>
              <w:right w:val="single" w:sz="4" w:space="0" w:color="auto"/>
            </w:tcBorders>
            <w:hideMark/>
          </w:tcPr>
          <w:p w14:paraId="02B9B75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300</w:t>
            </w:r>
          </w:p>
        </w:tc>
        <w:tc>
          <w:tcPr>
            <w:tcW w:w="0" w:type="auto"/>
            <w:tcBorders>
              <w:top w:val="single" w:sz="4" w:space="0" w:color="auto"/>
              <w:left w:val="single" w:sz="4" w:space="0" w:color="auto"/>
              <w:bottom w:val="single" w:sz="4" w:space="0" w:color="auto"/>
              <w:right w:val="single" w:sz="4" w:space="0" w:color="auto"/>
            </w:tcBorders>
            <w:hideMark/>
          </w:tcPr>
          <w:p w14:paraId="29BC1F0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300</w:t>
            </w:r>
          </w:p>
        </w:tc>
        <w:tc>
          <w:tcPr>
            <w:tcW w:w="0" w:type="auto"/>
            <w:tcBorders>
              <w:top w:val="single" w:sz="4" w:space="0" w:color="auto"/>
              <w:left w:val="single" w:sz="4" w:space="0" w:color="auto"/>
              <w:bottom w:val="single" w:sz="4" w:space="0" w:color="auto"/>
              <w:right w:val="single" w:sz="4" w:space="0" w:color="auto"/>
            </w:tcBorders>
            <w:hideMark/>
          </w:tcPr>
          <w:p w14:paraId="30FE80B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400</w:t>
            </w:r>
          </w:p>
        </w:tc>
        <w:tc>
          <w:tcPr>
            <w:tcW w:w="0" w:type="auto"/>
            <w:tcBorders>
              <w:top w:val="single" w:sz="4" w:space="0" w:color="auto"/>
              <w:left w:val="single" w:sz="4" w:space="0" w:color="auto"/>
              <w:bottom w:val="single" w:sz="4" w:space="0" w:color="auto"/>
              <w:right w:val="single" w:sz="4" w:space="0" w:color="auto"/>
            </w:tcBorders>
            <w:hideMark/>
          </w:tcPr>
          <w:p w14:paraId="2E9D006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500</w:t>
            </w:r>
          </w:p>
        </w:tc>
        <w:tc>
          <w:tcPr>
            <w:tcW w:w="0" w:type="auto"/>
            <w:tcBorders>
              <w:top w:val="single" w:sz="4" w:space="0" w:color="auto"/>
              <w:left w:val="single" w:sz="4" w:space="0" w:color="auto"/>
              <w:bottom w:val="single" w:sz="4" w:space="0" w:color="auto"/>
              <w:right w:val="single" w:sz="4" w:space="0" w:color="auto"/>
            </w:tcBorders>
            <w:hideMark/>
          </w:tcPr>
          <w:p w14:paraId="5824C53B"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360</w:t>
            </w:r>
          </w:p>
        </w:tc>
        <w:tc>
          <w:tcPr>
            <w:tcW w:w="0" w:type="auto"/>
            <w:tcBorders>
              <w:top w:val="single" w:sz="4" w:space="0" w:color="auto"/>
              <w:left w:val="single" w:sz="4" w:space="0" w:color="auto"/>
              <w:bottom w:val="single" w:sz="4" w:space="0" w:color="auto"/>
              <w:right w:val="single" w:sz="4" w:space="0" w:color="auto"/>
            </w:tcBorders>
            <w:hideMark/>
          </w:tcPr>
          <w:p w14:paraId="15AF5E86"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400</w:t>
            </w:r>
          </w:p>
        </w:tc>
        <w:tc>
          <w:tcPr>
            <w:tcW w:w="0" w:type="auto"/>
            <w:tcBorders>
              <w:top w:val="single" w:sz="4" w:space="0" w:color="auto"/>
              <w:left w:val="single" w:sz="4" w:space="0" w:color="auto"/>
              <w:bottom w:val="single" w:sz="4" w:space="0" w:color="auto"/>
              <w:right w:val="single" w:sz="4" w:space="0" w:color="auto"/>
            </w:tcBorders>
            <w:hideMark/>
          </w:tcPr>
          <w:p w14:paraId="03C9F85A"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r>
      <w:tr w:rsidR="00983732" w:rsidRPr="00A3026E" w14:paraId="7F1516A5"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7174536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- 20 мм, шт.</w:t>
            </w:r>
          </w:p>
        </w:tc>
        <w:tc>
          <w:tcPr>
            <w:tcW w:w="0" w:type="auto"/>
            <w:tcBorders>
              <w:top w:val="single" w:sz="4" w:space="0" w:color="auto"/>
              <w:left w:val="single" w:sz="4" w:space="0" w:color="auto"/>
              <w:bottom w:val="single" w:sz="4" w:space="0" w:color="auto"/>
              <w:right w:val="single" w:sz="4" w:space="0" w:color="auto"/>
            </w:tcBorders>
            <w:hideMark/>
          </w:tcPr>
          <w:p w14:paraId="16B0BE0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5771F7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5FFA51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0B6C994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604013C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5447A5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7F1701E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30B1A728"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w:t>
            </w:r>
          </w:p>
        </w:tc>
        <w:tc>
          <w:tcPr>
            <w:tcW w:w="0" w:type="auto"/>
            <w:tcBorders>
              <w:top w:val="single" w:sz="4" w:space="0" w:color="auto"/>
              <w:left w:val="single" w:sz="4" w:space="0" w:color="auto"/>
              <w:bottom w:val="single" w:sz="4" w:space="0" w:color="auto"/>
              <w:right w:val="single" w:sz="4" w:space="0" w:color="auto"/>
            </w:tcBorders>
            <w:hideMark/>
          </w:tcPr>
          <w:p w14:paraId="2A667D14"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w:t>
            </w:r>
          </w:p>
        </w:tc>
        <w:tc>
          <w:tcPr>
            <w:tcW w:w="0" w:type="auto"/>
            <w:tcBorders>
              <w:top w:val="single" w:sz="4" w:space="0" w:color="auto"/>
              <w:left w:val="single" w:sz="4" w:space="0" w:color="auto"/>
              <w:bottom w:val="single" w:sz="4" w:space="0" w:color="auto"/>
              <w:right w:val="single" w:sz="4" w:space="0" w:color="auto"/>
            </w:tcBorders>
            <w:hideMark/>
          </w:tcPr>
          <w:p w14:paraId="38D9300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120</w:t>
            </w:r>
          </w:p>
        </w:tc>
      </w:tr>
      <w:tr w:rsidR="00983732" w:rsidRPr="00A3026E" w14:paraId="0ED7E4CB"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6712B36C"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Бомбовая нагрузка, кг</w:t>
            </w:r>
          </w:p>
        </w:tc>
        <w:tc>
          <w:tcPr>
            <w:tcW w:w="0" w:type="auto"/>
            <w:tcBorders>
              <w:top w:val="single" w:sz="4" w:space="0" w:color="auto"/>
              <w:left w:val="single" w:sz="4" w:space="0" w:color="auto"/>
              <w:bottom w:val="single" w:sz="4" w:space="0" w:color="auto"/>
              <w:right w:val="single" w:sz="4" w:space="0" w:color="auto"/>
            </w:tcBorders>
            <w:hideMark/>
          </w:tcPr>
          <w:p w14:paraId="537A1D43"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100</w:t>
            </w:r>
          </w:p>
        </w:tc>
        <w:tc>
          <w:tcPr>
            <w:tcW w:w="0" w:type="auto"/>
            <w:tcBorders>
              <w:top w:val="single" w:sz="4" w:space="0" w:color="auto"/>
              <w:left w:val="single" w:sz="4" w:space="0" w:color="auto"/>
              <w:bottom w:val="single" w:sz="4" w:space="0" w:color="auto"/>
              <w:right w:val="single" w:sz="4" w:space="0" w:color="auto"/>
            </w:tcBorders>
            <w:hideMark/>
          </w:tcPr>
          <w:p w14:paraId="0EC163D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100</w:t>
            </w:r>
          </w:p>
        </w:tc>
        <w:tc>
          <w:tcPr>
            <w:tcW w:w="0" w:type="auto"/>
            <w:tcBorders>
              <w:top w:val="single" w:sz="4" w:space="0" w:color="auto"/>
              <w:left w:val="single" w:sz="4" w:space="0" w:color="auto"/>
              <w:bottom w:val="single" w:sz="4" w:space="0" w:color="auto"/>
              <w:right w:val="single" w:sz="4" w:space="0" w:color="auto"/>
            </w:tcBorders>
            <w:hideMark/>
          </w:tcPr>
          <w:p w14:paraId="2C1EFF8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100</w:t>
            </w:r>
          </w:p>
        </w:tc>
        <w:tc>
          <w:tcPr>
            <w:tcW w:w="0" w:type="auto"/>
            <w:gridSpan w:val="2"/>
            <w:tcBorders>
              <w:top w:val="single" w:sz="4" w:space="0" w:color="auto"/>
              <w:left w:val="single" w:sz="4" w:space="0" w:color="auto"/>
              <w:bottom w:val="single" w:sz="4" w:space="0" w:color="auto"/>
              <w:right w:val="single" w:sz="4" w:space="0" w:color="auto"/>
            </w:tcBorders>
            <w:hideMark/>
          </w:tcPr>
          <w:p w14:paraId="3C3E87A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100</w:t>
            </w:r>
          </w:p>
        </w:tc>
        <w:tc>
          <w:tcPr>
            <w:tcW w:w="0" w:type="auto"/>
            <w:gridSpan w:val="2"/>
            <w:tcBorders>
              <w:top w:val="single" w:sz="4" w:space="0" w:color="auto"/>
              <w:left w:val="single" w:sz="4" w:space="0" w:color="auto"/>
              <w:bottom w:val="single" w:sz="4" w:space="0" w:color="auto"/>
              <w:right w:val="single" w:sz="4" w:space="0" w:color="auto"/>
            </w:tcBorders>
            <w:hideMark/>
          </w:tcPr>
          <w:p w14:paraId="45E7242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200</w:t>
            </w:r>
          </w:p>
        </w:tc>
        <w:tc>
          <w:tcPr>
            <w:tcW w:w="0" w:type="auto"/>
            <w:tcBorders>
              <w:top w:val="single" w:sz="4" w:space="0" w:color="auto"/>
              <w:left w:val="single" w:sz="4" w:space="0" w:color="auto"/>
              <w:bottom w:val="single" w:sz="4" w:space="0" w:color="auto"/>
              <w:right w:val="single" w:sz="4" w:space="0" w:color="auto"/>
            </w:tcBorders>
            <w:hideMark/>
          </w:tcPr>
          <w:p w14:paraId="4F62CA2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200</w:t>
            </w:r>
          </w:p>
        </w:tc>
        <w:tc>
          <w:tcPr>
            <w:tcW w:w="0" w:type="auto"/>
            <w:tcBorders>
              <w:top w:val="single" w:sz="4" w:space="0" w:color="auto"/>
              <w:left w:val="single" w:sz="4" w:space="0" w:color="auto"/>
              <w:bottom w:val="single" w:sz="4" w:space="0" w:color="auto"/>
              <w:right w:val="single" w:sz="4" w:space="0" w:color="auto"/>
            </w:tcBorders>
            <w:hideMark/>
          </w:tcPr>
          <w:p w14:paraId="1BF1254A"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200</w:t>
            </w:r>
          </w:p>
        </w:tc>
        <w:tc>
          <w:tcPr>
            <w:tcW w:w="0" w:type="auto"/>
            <w:tcBorders>
              <w:top w:val="single" w:sz="4" w:space="0" w:color="auto"/>
              <w:left w:val="single" w:sz="4" w:space="0" w:color="auto"/>
              <w:bottom w:val="single" w:sz="4" w:space="0" w:color="auto"/>
              <w:right w:val="single" w:sz="4" w:space="0" w:color="auto"/>
            </w:tcBorders>
            <w:hideMark/>
          </w:tcPr>
          <w:p w14:paraId="0D303E6F"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r>
      <w:tr w:rsidR="00983732" w:rsidRPr="00A3026E" w14:paraId="040ABE18"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0B7109A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Реактивные снаряды</w:t>
            </w:r>
          </w:p>
        </w:tc>
        <w:tc>
          <w:tcPr>
            <w:tcW w:w="0" w:type="auto"/>
            <w:tcBorders>
              <w:top w:val="single" w:sz="4" w:space="0" w:color="auto"/>
              <w:left w:val="single" w:sz="4" w:space="0" w:color="auto"/>
              <w:bottom w:val="single" w:sz="4" w:space="0" w:color="auto"/>
              <w:right w:val="single" w:sz="4" w:space="0" w:color="auto"/>
            </w:tcBorders>
            <w:hideMark/>
          </w:tcPr>
          <w:p w14:paraId="0A8B1CB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5D946F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4B833057"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gridSpan w:val="2"/>
            <w:tcBorders>
              <w:top w:val="single" w:sz="4" w:space="0" w:color="auto"/>
              <w:left w:val="single" w:sz="4" w:space="0" w:color="auto"/>
              <w:bottom w:val="single" w:sz="4" w:space="0" w:color="auto"/>
              <w:right w:val="single" w:sz="4" w:space="0" w:color="auto"/>
            </w:tcBorders>
            <w:hideMark/>
          </w:tcPr>
          <w:p w14:paraId="02E25A91"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gridSpan w:val="2"/>
            <w:tcBorders>
              <w:top w:val="single" w:sz="4" w:space="0" w:color="auto"/>
              <w:left w:val="single" w:sz="4" w:space="0" w:color="auto"/>
              <w:bottom w:val="single" w:sz="4" w:space="0" w:color="auto"/>
              <w:right w:val="single" w:sz="4" w:space="0" w:color="auto"/>
            </w:tcBorders>
            <w:hideMark/>
          </w:tcPr>
          <w:p w14:paraId="40B921CD"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6хРС-82</w:t>
            </w:r>
          </w:p>
        </w:tc>
        <w:tc>
          <w:tcPr>
            <w:tcW w:w="0" w:type="auto"/>
            <w:tcBorders>
              <w:top w:val="single" w:sz="4" w:space="0" w:color="auto"/>
              <w:left w:val="single" w:sz="4" w:space="0" w:color="auto"/>
              <w:bottom w:val="single" w:sz="4" w:space="0" w:color="auto"/>
              <w:right w:val="single" w:sz="4" w:space="0" w:color="auto"/>
            </w:tcBorders>
            <w:hideMark/>
          </w:tcPr>
          <w:p w14:paraId="19528700"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0E11C719"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10хРС-82</w:t>
            </w:r>
          </w:p>
        </w:tc>
        <w:tc>
          <w:tcPr>
            <w:tcW w:w="0" w:type="auto"/>
            <w:tcBorders>
              <w:top w:val="single" w:sz="4" w:space="0" w:color="auto"/>
              <w:left w:val="single" w:sz="4" w:space="0" w:color="auto"/>
              <w:bottom w:val="single" w:sz="4" w:space="0" w:color="auto"/>
              <w:right w:val="single" w:sz="4" w:space="0" w:color="auto"/>
            </w:tcBorders>
            <w:hideMark/>
          </w:tcPr>
          <w:p w14:paraId="5B0FB11E" w14:textId="77777777" w:rsidR="0035667A" w:rsidRPr="00A3026E"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r>
    </w:tbl>
    <w:p w14:paraId="2B2B4B4D" w14:textId="77777777" w:rsidR="0035667A" w:rsidRPr="00A3026E" w:rsidRDefault="0035667A" w:rsidP="00A3026E">
      <w:pPr>
        <w:spacing w:after="0" w:line="240" w:lineRule="auto"/>
        <w:jc w:val="both"/>
        <w:textAlignment w:val="top"/>
        <w:rPr>
          <w:rFonts w:ascii="Times New Roman" w:eastAsia="Times New Roman" w:hAnsi="Times New Roman"/>
          <w:color w:val="000000" w:themeColor="text1"/>
          <w:sz w:val="16"/>
          <w:szCs w:val="16"/>
          <w:lang w:eastAsia="ru-RU"/>
        </w:rPr>
      </w:pPr>
      <w:r w:rsidRPr="00A3026E">
        <w:rPr>
          <w:rFonts w:ascii="Times New Roman" w:eastAsia="Times New Roman" w:hAnsi="Times New Roman"/>
          <w:iCs/>
          <w:color w:val="000000" w:themeColor="text1"/>
          <w:sz w:val="16"/>
          <w:szCs w:val="16"/>
          <w:lang w:eastAsia="ru-RU"/>
        </w:rPr>
        <w:t xml:space="preserve">* Скорость у земли занижена вследствие неустойчивой роботы автомата винта. </w:t>
      </w:r>
    </w:p>
    <w:p w14:paraId="36F4A5BC" w14:textId="77777777" w:rsidR="0035667A" w:rsidRPr="00A3026E" w:rsidRDefault="0035667A" w:rsidP="00A3026E">
      <w:pPr>
        <w:spacing w:after="0" w:line="240" w:lineRule="auto"/>
        <w:jc w:val="both"/>
        <w:textAlignment w:val="top"/>
        <w:rPr>
          <w:rFonts w:ascii="Times New Roman" w:eastAsia="Times New Roman" w:hAnsi="Times New Roman"/>
          <w:color w:val="000000" w:themeColor="text1"/>
          <w:sz w:val="16"/>
          <w:szCs w:val="16"/>
          <w:lang w:eastAsia="ru-RU"/>
        </w:rPr>
      </w:pPr>
      <w:r w:rsidRPr="00A3026E">
        <w:rPr>
          <w:rFonts w:ascii="Times New Roman" w:eastAsia="Times New Roman" w:hAnsi="Times New Roman"/>
          <w:iCs/>
          <w:color w:val="000000" w:themeColor="text1"/>
          <w:sz w:val="16"/>
          <w:szCs w:val="16"/>
          <w:lang w:eastAsia="ru-RU"/>
        </w:rPr>
        <w:t>** Максимальные скорости сняты при полете с открытым фонарем</w:t>
      </w:r>
      <w:r w:rsidRPr="00A3026E">
        <w:rPr>
          <w:rFonts w:ascii="Times New Roman" w:eastAsia="Times New Roman" w:hAnsi="Times New Roman"/>
          <w:color w:val="000000" w:themeColor="text1"/>
          <w:sz w:val="16"/>
          <w:szCs w:val="16"/>
          <w:lang w:eastAsia="ru-RU"/>
        </w:rPr>
        <w:t xml:space="preserve"> (17738).</w:t>
      </w:r>
    </w:p>
    <w:p w14:paraId="6286F230" w14:textId="77777777" w:rsidR="0035667A" w:rsidRPr="00A3026E" w:rsidRDefault="0035667A" w:rsidP="00A3026E">
      <w:pPr>
        <w:spacing w:after="0" w:line="240" w:lineRule="auto"/>
        <w:jc w:val="both"/>
        <w:rPr>
          <w:rFonts w:ascii="Times New Roman" w:hAnsi="Times New Roman"/>
          <w:color w:val="000000" w:themeColor="text1"/>
          <w:sz w:val="16"/>
          <w:szCs w:val="16"/>
        </w:rPr>
      </w:pPr>
    </w:p>
    <w:p w14:paraId="47D7D581"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 сентября 1940 Справка Комитета обороны при СНК СССР о неудовлетворительном состоянии и развитии гидроавиации Наркомата ВМФ СССР</w:t>
      </w:r>
    </w:p>
    <w:p w14:paraId="3E269E2A"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Тов.Исаков И.С. представил проект Постановления КО о развитии гидроавиа ВВС ВМФ, которой предлагает:</w:t>
      </w:r>
    </w:p>
    <w:p w14:paraId="6A8E851A"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Создать г 1941-42 г.г. в системе НКАП мощности, обеспечивающие рез</w:t>
      </w:r>
      <w:r w:rsidRPr="00A3026E">
        <w:rPr>
          <w:rFonts w:ascii="Times New Roman" w:hAnsi="Times New Roman"/>
          <w:color w:val="0070C0"/>
          <w:sz w:val="16"/>
          <w:szCs w:val="16"/>
        </w:rPr>
        <w:softHyphen/>
        <w:t>кое увеличение выпуска современных боевых гидросамолетов.</w:t>
      </w:r>
    </w:p>
    <w:p w14:paraId="78951A19"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Закрепить заводы №№ 30, 31 и 288 НКАП как постоянные базы серийно</w:t>
      </w:r>
      <w:r w:rsidRPr="00A3026E">
        <w:rPr>
          <w:rFonts w:ascii="Times New Roman" w:hAnsi="Times New Roman"/>
          <w:color w:val="0070C0"/>
          <w:sz w:val="16"/>
          <w:szCs w:val="16"/>
        </w:rPr>
        <w:softHyphen/>
        <w:t>го и опытного гядросамолетостроения.</w:t>
      </w:r>
    </w:p>
    <w:p w14:paraId="0B172141"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Закрепить КБ тт. Бериева, Четверикова, Самсонова и Голубкова за гидросамолетостроением.</w:t>
      </w:r>
    </w:p>
    <w:p w14:paraId="11636AF2"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Построить в ЦАГИ новый гидроканал.</w:t>
      </w:r>
    </w:p>
    <w:p w14:paraId="2E0A7F76"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Одновременно тов. Кузнецов Н.Г. внес на утверждение КО проекты постановлений о создании 5-ти новых опытных гидросамолетов модернизации самолета МДР-6 и постройке 3-го экземпляра ридросамолета МБР-7.</w:t>
      </w:r>
    </w:p>
    <w:p w14:paraId="63C89886"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Докладываю:</w:t>
      </w:r>
    </w:p>
    <w:p w14:paraId="21903189"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Основные типом гидросамолета, находящегося па вооружении Военно-морского флота является гидросамолет МБР-2 с максимально скоростью 265 км/час, производство которого прекращено в 1940 году ввиду неудовлетворительных летно-тактических данных. В частях морской авиации самолетов МБР-2 – 800 шт.</w:t>
      </w:r>
    </w:p>
    <w:p w14:paraId="33C91AFA"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1940 г. принят на вооружение и запущен в серию двухмоторный гидросамолет МДР-6 с максимальней скоростью 360 км/час.</w:t>
      </w:r>
    </w:p>
    <w:p w14:paraId="451CCA3A"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По плану опытного гидросамолетостроения 1940 г. строятся следующие самолеты:</w:t>
      </w:r>
    </w:p>
    <w:tbl>
      <w:tblPr>
        <w:tblW w:w="0" w:type="auto"/>
        <w:tblLook w:val="04A0" w:firstRow="1" w:lastRow="0" w:firstColumn="1" w:lastColumn="0" w:noHBand="0" w:noVBand="1"/>
      </w:tblPr>
      <w:tblGrid>
        <w:gridCol w:w="2614"/>
        <w:gridCol w:w="2614"/>
        <w:gridCol w:w="2614"/>
        <w:gridCol w:w="2614"/>
      </w:tblGrid>
      <w:tr w:rsidR="00FA7E77" w:rsidRPr="00A3026E" w14:paraId="1CB380CC" w14:textId="77777777" w:rsidTr="007609C9">
        <w:tc>
          <w:tcPr>
            <w:tcW w:w="2614" w:type="dxa"/>
          </w:tcPr>
          <w:p w14:paraId="7C86F200" w14:textId="77777777" w:rsidR="00FA7E77" w:rsidRPr="00A3026E" w:rsidRDefault="00FA7E77" w:rsidP="00A3026E">
            <w:pPr>
              <w:spacing w:after="0" w:line="240" w:lineRule="auto"/>
              <w:jc w:val="both"/>
              <w:rPr>
                <w:rFonts w:ascii="Times New Roman" w:hAnsi="Times New Roman"/>
                <w:color w:val="0070C0"/>
                <w:sz w:val="16"/>
                <w:szCs w:val="16"/>
              </w:rPr>
            </w:pPr>
          </w:p>
        </w:tc>
        <w:tc>
          <w:tcPr>
            <w:tcW w:w="2614" w:type="dxa"/>
          </w:tcPr>
          <w:p w14:paraId="5FFEEF85"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Марсимальная скорость</w:t>
            </w:r>
          </w:p>
        </w:tc>
        <w:tc>
          <w:tcPr>
            <w:tcW w:w="2614" w:type="dxa"/>
          </w:tcPr>
          <w:p w14:paraId="5237B588"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Дальность</w:t>
            </w:r>
          </w:p>
        </w:tc>
        <w:tc>
          <w:tcPr>
            <w:tcW w:w="2614" w:type="dxa"/>
          </w:tcPr>
          <w:p w14:paraId="3E3BF1AE"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Срок предъявления на госиспытания</w:t>
            </w:r>
          </w:p>
        </w:tc>
      </w:tr>
      <w:tr w:rsidR="00FA7E77" w:rsidRPr="00A3026E" w14:paraId="72F4C46F" w14:textId="77777777" w:rsidTr="007609C9">
        <w:tc>
          <w:tcPr>
            <w:tcW w:w="2614" w:type="dxa"/>
          </w:tcPr>
          <w:p w14:paraId="2D60CAC2"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Двухмоторный разведчик Самсонова с 2хМ-88</w:t>
            </w:r>
          </w:p>
        </w:tc>
        <w:tc>
          <w:tcPr>
            <w:tcW w:w="2614" w:type="dxa"/>
          </w:tcPr>
          <w:p w14:paraId="754F343D"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450</w:t>
            </w:r>
          </w:p>
        </w:tc>
        <w:tc>
          <w:tcPr>
            <w:tcW w:w="2614" w:type="dxa"/>
          </w:tcPr>
          <w:p w14:paraId="7A93F81A"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2700</w:t>
            </w:r>
          </w:p>
        </w:tc>
        <w:tc>
          <w:tcPr>
            <w:tcW w:w="2614" w:type="dxa"/>
          </w:tcPr>
          <w:p w14:paraId="19A1E5AC"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июля 1940</w:t>
            </w:r>
          </w:p>
        </w:tc>
      </w:tr>
      <w:tr w:rsidR="00FA7E77" w:rsidRPr="00A3026E" w14:paraId="4F085F57" w14:textId="77777777" w:rsidTr="007609C9">
        <w:tc>
          <w:tcPr>
            <w:tcW w:w="2614" w:type="dxa"/>
          </w:tcPr>
          <w:p w14:paraId="3320C512"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Дальний разведчик Четверикова с 2хМ-105</w:t>
            </w:r>
          </w:p>
        </w:tc>
        <w:tc>
          <w:tcPr>
            <w:tcW w:w="2614" w:type="dxa"/>
          </w:tcPr>
          <w:p w14:paraId="0B350900"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480</w:t>
            </w:r>
          </w:p>
        </w:tc>
        <w:tc>
          <w:tcPr>
            <w:tcW w:w="2614" w:type="dxa"/>
          </w:tcPr>
          <w:p w14:paraId="0CA70717"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2000, при перегрузке 4000</w:t>
            </w:r>
          </w:p>
        </w:tc>
        <w:tc>
          <w:tcPr>
            <w:tcW w:w="2614" w:type="dxa"/>
          </w:tcPr>
          <w:p w14:paraId="7EC7B8C5"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 февраля 1941</w:t>
            </w:r>
          </w:p>
        </w:tc>
      </w:tr>
      <w:tr w:rsidR="00FA7E77" w:rsidRPr="00A3026E" w14:paraId="5E43CD4A" w14:textId="77777777" w:rsidTr="007609C9">
        <w:tc>
          <w:tcPr>
            <w:tcW w:w="2614" w:type="dxa"/>
          </w:tcPr>
          <w:p w14:paraId="0F3E7D87"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Корабельно-катапультный разведчик Бериева с М-63</w:t>
            </w:r>
          </w:p>
        </w:tc>
        <w:tc>
          <w:tcPr>
            <w:tcW w:w="2614" w:type="dxa"/>
          </w:tcPr>
          <w:p w14:paraId="6B624D40"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375</w:t>
            </w:r>
          </w:p>
        </w:tc>
        <w:tc>
          <w:tcPr>
            <w:tcW w:w="2614" w:type="dxa"/>
          </w:tcPr>
          <w:p w14:paraId="353A8CB5"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800-1000</w:t>
            </w:r>
          </w:p>
        </w:tc>
        <w:tc>
          <w:tcPr>
            <w:tcW w:w="2614" w:type="dxa"/>
          </w:tcPr>
          <w:p w14:paraId="2234CA5B"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января 1941</w:t>
            </w:r>
          </w:p>
        </w:tc>
      </w:tr>
      <w:tr w:rsidR="00FA7E77" w:rsidRPr="00A3026E" w14:paraId="6A56CCEB" w14:textId="77777777" w:rsidTr="007609C9">
        <w:tc>
          <w:tcPr>
            <w:tcW w:w="2614" w:type="dxa"/>
          </w:tcPr>
          <w:p w14:paraId="6A276D9E"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Учебно-тренировочный гидросамолет с МВ-6</w:t>
            </w:r>
          </w:p>
        </w:tc>
        <w:tc>
          <w:tcPr>
            <w:tcW w:w="2614" w:type="dxa"/>
          </w:tcPr>
          <w:p w14:paraId="05A52928"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275</w:t>
            </w:r>
          </w:p>
        </w:tc>
        <w:tc>
          <w:tcPr>
            <w:tcW w:w="2614" w:type="dxa"/>
          </w:tcPr>
          <w:p w14:paraId="2C28A672"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1000</w:t>
            </w:r>
          </w:p>
        </w:tc>
        <w:tc>
          <w:tcPr>
            <w:tcW w:w="2614" w:type="dxa"/>
          </w:tcPr>
          <w:p w14:paraId="2E861EC2"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мая 1940</w:t>
            </w:r>
          </w:p>
        </w:tc>
      </w:tr>
    </w:tbl>
    <w:p w14:paraId="1F004869"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Базой производства гидросамолетов является завод № 31 НКАП, ранее выпускавший гидросамолеты МБР-2. Завод в т.г. приступил к освоению нового гидросамолета МДР-6 и должен изготовить их в 1940 г. 50 шт. (за 9 месяцев сдан 1 самолет). Параллельно с гидросамолетом завод изготавливает сухопутный самолет ББ-1.</w:t>
      </w:r>
    </w:p>
    <w:p w14:paraId="68E6B357"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Завод № 30, намеченный для гидросамолетостроения, находится в стадии строительства.</w:t>
      </w:r>
    </w:p>
    <w:p w14:paraId="757B1094"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Над опытными образцами гидросамолетов работают 4 КБ – тт. Четверикова, Бериева, Самсонова и Москалева. Ранее работавший по гидросамолетам т. Голубков переключился на сухопутные самолеты.</w:t>
      </w:r>
    </w:p>
    <w:p w14:paraId="0D380743"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Представленный тов. Кузнецовым Н.Г. проект постановления КО о развитии гидроавиации НКВМФ и создании новых опытных образцов гидросамолетов согласован с т. Шахуриным А.И.</w:t>
      </w:r>
    </w:p>
    <w:p w14:paraId="397B54CE"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Поправка т. Шахурина к п. 6 проекта постановления КО в части программы завода № 31 по самолетам КОР-2 на 1941 г., учтена в тексте прилагаемого проект постановления.</w:t>
      </w:r>
    </w:p>
    <w:p w14:paraId="4B7136E8"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Секретариат К.О. считает целесообразным исключить из представленного тов. Кузнецовым постановления пункт о постройк при ЦАГИ нового гидроканала и обсудить его отдельно, т.к. постройка этого канала потребует 40-50 млн. руб. капвложений, завоза импортного оборудования и широкого плана материально-технического обеспечения и кооперации поставок для этого строительства. Кроме того, целесообразно в связи с этим рассмотреть в какой мере используется в настоящее время и предполагается использоваться существующий гидроканал ЦАГИ.</w:t>
      </w:r>
    </w:p>
    <w:p w14:paraId="5154347A" w14:textId="77777777" w:rsidR="00FA7E77" w:rsidRPr="00A3026E" w:rsidRDefault="00FA7E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Прошу проголосовать прилагаемые проекты постановлений КО (22047).</w:t>
      </w:r>
    </w:p>
    <w:p w14:paraId="266E1020" w14:textId="77777777" w:rsidR="00FA7E77" w:rsidRPr="00A3026E" w:rsidRDefault="00FA7E77" w:rsidP="00A3026E">
      <w:pPr>
        <w:spacing w:after="0" w:line="240" w:lineRule="auto"/>
        <w:jc w:val="both"/>
        <w:rPr>
          <w:rFonts w:ascii="Times New Roman" w:hAnsi="Times New Roman"/>
          <w:color w:val="0070C0"/>
          <w:sz w:val="16"/>
          <w:szCs w:val="16"/>
        </w:rPr>
      </w:pPr>
    </w:p>
    <w:p w14:paraId="6E0613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года Постановлением Политбюро ЦК ВКП(б) № П 20 / 285 – ОП утверждался ряд решений по вопросам Комитета Обороны, в частности, о материально-техническом обеспечении производства авиамоторов М-105 на заводе № 234 Наркомавиапрома (РГАСПИ. Ф. 17. Оп. 162. Д. 29. Л. 14.). Правительственное задание для этого завода на 1941 год составляло 2000 авиамоторов М-105 (Минаев П.П. Восстановление и развитие авиационной промышленности Ленинграда в 20-е – 30-е годы XX века. СПб., 2004. С. 34.).</w:t>
      </w:r>
    </w:p>
    <w:p w14:paraId="7A3721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Решением Политбюро ЦК ВКП(б) № П 21 / 100 – ОП от 8 октября 1940 года утверждалось Постановление ЦК ВКП(б) и СНК СССР «О строительстве в Ленинграде второго авиамоторного завода» (РГАСПИ. Ф. 17. Оп. 162. Д. 29. Л. 129.). В соответствующем Приложении к Постановлению Нарком авиапромышленности А.И. Шахурин обязывался создать в Ленинграде вторую производственную базу (кроме переданного НКАП завода № 234) по выпуску авиационных моторов типа М-105 мощностью в 5000 штук в год при двухсменной работе, восьмичасовом рабочем дне и семидневной неделе. Срок окончания работ и пуска первой очереди 2500 моторов в год определялся первым кварталом 1942 года с выпуском в 1942 году 2000 моторов, а выход на полную мощность – к четвертому кварталу 1942 года. Для строительства авиамоторного завода на ст. Саперная из резервного фонда СНК предписывалось выделить 40 млн рублей (РГАСПИ. Ф. 17. Оп. 162. Д. 29. Л. 161-162.).</w:t>
      </w:r>
    </w:p>
    <w:p w14:paraId="300FB9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Решением Политбюро ЦК ВКП(б) № П 21 / 46 – ОП от 2 октября 1940 года было утверждено Постановление СНК СССР и ЦК ВКП(б) «Об увеличении дальностей истребителей и постановке их производства на заводах». Пятый пункт данного Постановления касался завода № 23 и обязывал наркома авиапромышленности А.И. Шахурина, а также директора завода Фролова П.В.: «а) в изменение постановления № 1369-534сс от 26.VII.</w:t>
      </w:r>
    </w:p>
    <w:p w14:paraId="665E80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года заводу № 23 ограничить выпуск самолетов И-301 5 машинами к 1 января 1941 года для проверки этого самолета на войсковых испытаниях; б) перейти с января 1941 года на производство самолетов И-26 улучшенных».</w:t>
      </w:r>
    </w:p>
    <w:p w14:paraId="52827E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Восьмой пункт данного Постановления обязывал Шахурина и директора завода № 380 Баринова С.С. «с января 1941 года перейти на производство двухмоторного истребителя конструкции тов. Яковлева А.С.» (Там же. Л. 125-126.).</w:t>
      </w:r>
    </w:p>
    <w:p w14:paraId="7335CA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всего лишь неделю спустя, решением Политбюро ЦК ВКП(б) № П 21 / 117 – ОП от 9 октября 1940 года «О самолете И-301», в частности, предписывалось во изменение постановления ЦК ВКП(б) и СНК СССР от 2 октября 1940 года о постановке на серийное производство на заводе № 23 самолета И-26 поставить серийное производство самолетов И-301 на заводе № 23 с дальностью полета в 1000 км на 0,9 максимальной скорости (Там же. Л. 129-130.).</w:t>
      </w:r>
    </w:p>
    <w:p w14:paraId="71A8D2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для ленинградских авиапредприятий №№ 23, 47, 380, 381, 387 была составлена программа выпуска продукции на следующий, 1941 год, согласно которой предполагалось изготовить 4260 самолетов шести типов (см. Таблицу 8 раздела «Приложения»), однако и она не была окончательной. Так, решением Политбюро ЦК ВКП(б) от 12 февраля 1941 года утверждалось Постановление ЦК ВКП(б) и СНК СССР «О снятии с производства самолета Як-4 и постановлении на производство Ил-2 на заводе № 380» (Степанов А.С. Указ. соч. С.69.).</w:t>
      </w:r>
    </w:p>
    <w:p w14:paraId="74B095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же касается итогов производства 1940 года, то они отражены в Таблице 6 раздела «Приложения». Из нее следует, что в Ленинграде по-прежнему производилась основная часть небоевых самолетов СССР, но доля учебных машин «ленинградской генерации» составила чуть более 10% от общего числа произведенных в стране самолетов всех типов, что означало двукратное относительное снижение по сравнению с аналогичным соотношением 1939 года. В абсолютных цифрах тогда в Ленинграде было изготовлено больше учебных машин, чем в 1940 году предприятия всей страны выпустили небоевых самолетов всех типов. Это отражало общие тенденции перестройки авиапрома и означало, что резкий рост военной авиации происходит за счет снижения выпуска всех прочих категорий самолетов, в том числе и за счет недополучения учебных машин. Так, в Материалах по годовому отчету 6-го Управления ГУ ВВС КА за 1940 год сообщалось, что завод № 23 выполнил за первое полугодие программу по С-2, У-2, УТ2, но позже ситуация изменилась: «Во втором полугодии заказа на поставку 800 самолетов У-2 завод не принял, мотивируя тем, что НКАП дал указание заводу переключиться на изготовление самолета И-301. По этой же причине завод недовыполнил годовую программу по С-2 и УТ-2»( РГВА. Ф. 29. Оп. 56. Д. 182. Л. 1, 8-9.).</w:t>
      </w:r>
    </w:p>
    <w:p w14:paraId="355314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подсчетам А.Н. Щербы, в начале 1939 года в Ленинграде работало два авиазавода, подведомственных НКАП, а к началу Великой Отечественной войны в городе было развернуто уже 14 заводов НКАП, включая собственно самолетостроительные и авиаремонтные (без учета кооперировавших с ними предприятий и спеццехов других наркоматов, занимавшихся выпуском отдельных деталей, приборов и механизмов для авиапрома) (Щерба А.Н. Военная промышленность Ленинграда в 20-е – 30-е годы. СПб., 1999. С. 130.).</w:t>
      </w:r>
    </w:p>
    <w:p w14:paraId="4F473B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Подводя итоги предвоенной перестройки и расширения ленинградского авиапрома, можно отметить, что даже в существовавших планах не предусматривался крупномасштабный выпуск самолетов нового поколения в первом полугодии 1941 года, то есть к реально начавшимся боевым действиям, а практические результаты оказались еще более скромными (см. Таблицу 9 раздела «Приложения»). До начала войны заводами №№ 380 и 381 не было сдано ни одного штурмовика Ил-2, а выпуск самолета ЛаГГ-3 составил неполных три десятка. За первое полугодие 1941 года на авиамоторном заводе № 234 удалось собрать 71 двигатель М-105 и его модификаций (Подсчитано по: РГАЭ. Ф. 8044. Оп.1. Д. 3228. Л. 30 об.).</w:t>
      </w:r>
    </w:p>
    <w:p w14:paraId="7ACE59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Примечательно, что, согласно пункту 17 протокола последнего предвоенного совещания заместителей наркома авиационной промышленности от 16 июня 1941 года, первым в повестке дня очередного заседания Коллегии, намеченного на 23 июня 1941 года, был вопрос «Работа заводов № 380 и № 381 по подготовке производства к выпуску самолетов Ил-2». В числе докладчиков значились Ленкин, Филимончук, Жуков (1941 год. Документы. Кн. 2. С. 378, 380.).</w:t>
      </w:r>
    </w:p>
    <w:p w14:paraId="595DB2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нападения Германии практически сразу же началась подготовка к эвакуации самолетостроительных ленинградских предприятий и главный их вклад в оборону страны заключался в выпуске в первом полугодии около 1000 учебных машин «старых» конструкций (11672).</w:t>
      </w:r>
    </w:p>
    <w:p w14:paraId="7A9EF96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D341E8" w14:textId="77777777" w:rsidR="005F6E3A" w:rsidRPr="00A3026E" w:rsidRDefault="005F6E3A" w:rsidP="00A3026E">
      <w:pPr>
        <w:pStyle w:val="ae"/>
        <w:spacing w:before="0" w:after="0"/>
        <w:jc w:val="both"/>
        <w:textAlignment w:val="baseline"/>
        <w:rPr>
          <w:color w:val="000000" w:themeColor="text1"/>
          <w:sz w:val="16"/>
          <w:szCs w:val="16"/>
        </w:rPr>
      </w:pPr>
      <w:r w:rsidRPr="00A3026E">
        <w:rPr>
          <w:color w:val="000000" w:themeColor="text1"/>
          <w:sz w:val="16"/>
          <w:szCs w:val="16"/>
        </w:rPr>
        <w:t>25 сентября 1940 г. — председатель Совета народных комиссаров В. М. Молотов подписал приказ о создании в Куйбышевской области Управления особого строительства и приданного ему Безымянного исправительно-трудового лагеря (Безымянлага). Все это предполагалось разместить в районе железнодорожных станций Безымянка и Кряж. О важности этого объекта говорит тот факт, что его начальником был назначен старший майор госбезопасности Лепилов, занимавший до этого пост заместителя начальника печально знаменитого ГУЛАГа (Главного управления лагерей НКВД).</w:t>
      </w:r>
    </w:p>
    <w:p w14:paraId="2694386D" w14:textId="77777777" w:rsidR="005F6E3A" w:rsidRPr="00A3026E" w:rsidRDefault="005F6E3A" w:rsidP="00A3026E">
      <w:pPr>
        <w:pStyle w:val="ae"/>
        <w:spacing w:before="0" w:after="0"/>
        <w:jc w:val="both"/>
        <w:textAlignment w:val="baseline"/>
        <w:rPr>
          <w:color w:val="000000" w:themeColor="text1"/>
          <w:sz w:val="16"/>
          <w:szCs w:val="16"/>
        </w:rPr>
      </w:pPr>
      <w:r w:rsidRPr="00A3026E">
        <w:rPr>
          <w:color w:val="000000" w:themeColor="text1"/>
          <w:sz w:val="16"/>
          <w:szCs w:val="16"/>
        </w:rPr>
        <w:t>Уже осенью 1940 г. в построенных там бараках находились 22 тысячи человек, которые и занялись возведением огромных производственных корпусов, в том числе авиазавода № 122, предназначавшегося для массового строительства четырехмоторных бомбардировщиков (19522).</w:t>
      </w:r>
    </w:p>
    <w:p w14:paraId="1F456A97" w14:textId="77777777" w:rsidR="005F6E3A" w:rsidRPr="00A3026E" w:rsidRDefault="005F6E3A" w:rsidP="00A3026E">
      <w:pPr>
        <w:pStyle w:val="ae"/>
        <w:spacing w:before="0" w:after="0"/>
        <w:jc w:val="both"/>
        <w:textAlignment w:val="baseline"/>
        <w:rPr>
          <w:color w:val="000000" w:themeColor="text1"/>
          <w:sz w:val="16"/>
          <w:szCs w:val="16"/>
        </w:rPr>
      </w:pPr>
    </w:p>
    <w:p w14:paraId="4516F7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г. Костиков подписал письмо на имя директора за</w:t>
      </w:r>
      <w:r w:rsidRPr="00A3026E">
        <w:rPr>
          <w:rFonts w:ascii="Times New Roman" w:hAnsi="Times New Roman"/>
          <w:color w:val="000000" w:themeColor="text1"/>
          <w:sz w:val="16"/>
          <w:szCs w:val="16"/>
        </w:rPr>
        <w:softHyphen/>
        <w:t>вода № 59 следующего содержания: «На первую опытную партию трехканального пороха Нз-70/10 и Нз-42/6 в количестве 3 т, изготовленных на заводе № 59 на матрицах производства НИИ-3 считали возможным не ставить ТУ по допуску на разброс в толщине горящего свода. Кроме то</w:t>
      </w:r>
      <w:r w:rsidRPr="00A3026E">
        <w:rPr>
          <w:rFonts w:ascii="Times New Roman" w:hAnsi="Times New Roman"/>
          <w:color w:val="000000" w:themeColor="text1"/>
          <w:sz w:val="16"/>
          <w:szCs w:val="16"/>
        </w:rPr>
        <w:softHyphen/>
        <w:t>го, во втором квартале завод № 59 изготовил 0,5 т пороха Нз-24,5/2.5 на матрице аналогичной конструкции, и брака тогда не было.</w:t>
      </w:r>
    </w:p>
    <w:p w14:paraId="1D1453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Шашки марок Нз-70/10 и Нз-42/6 вероятно на заводе не разбраковы</w:t>
      </w:r>
      <w:r w:rsidRPr="00A3026E">
        <w:rPr>
          <w:rFonts w:ascii="Times New Roman" w:hAnsi="Times New Roman"/>
          <w:color w:val="000000" w:themeColor="text1"/>
          <w:sz w:val="16"/>
          <w:szCs w:val="16"/>
        </w:rPr>
        <w:softHyphen/>
        <w:t>вали по наружному виду, а на сборку и выверку матриц не обратили должного внимания. Итог - смешение каналов, особенно для шашек Нз-42/6 (разброс - 7-13,5 мм). Не предъявляя рекламаций к качеству первой опытной партии, так как допуск на разброс НИИ-3 не дал, считаем, что завод №59, изготавливая данную партию, отнесся к работе формально и безответственно. Отбраковано 30% шашек».</w:t>
      </w:r>
    </w:p>
    <w:p w14:paraId="2FE3C2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Костиков понимал, что это было уже вторым серьезным проколом ситуации с разработкой РБС-82, за который могли строго спросить лично с него. На фотографиях в отчете изображены торцы новых трехканальных шашек, где и без инструмента видно существенное смещение каналов. Не заметить этого пороховики на заводе не могли, но при отсутствии правил приема продукции выслали заказчику и весь брак. Пороховики тоже не желали оказаться крайними в этой ситуации, и позже был найден компромисс - они признают за НИИ-3 качественное изготовле</w:t>
      </w:r>
      <w:r w:rsidRPr="00A3026E">
        <w:rPr>
          <w:rFonts w:ascii="Times New Roman" w:hAnsi="Times New Roman"/>
          <w:color w:val="000000" w:themeColor="text1"/>
          <w:sz w:val="16"/>
          <w:szCs w:val="16"/>
        </w:rPr>
        <w:softHyphen/>
        <w:t>ние матриц для штамповки новых пороховых шашек, а виновным мож</w:t>
      </w:r>
      <w:r w:rsidRPr="00A3026E">
        <w:rPr>
          <w:rFonts w:ascii="Times New Roman" w:hAnsi="Times New Roman"/>
          <w:color w:val="000000" w:themeColor="text1"/>
          <w:sz w:val="16"/>
          <w:szCs w:val="16"/>
        </w:rPr>
        <w:softHyphen/>
        <w:t>но считать одного из рабочих, который просто неправильно собрал их на заводе после доставки из Москвы в разобранном виде (11402).</w:t>
      </w:r>
    </w:p>
    <w:p w14:paraId="4FB20C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C85F8B6"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3AA346B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4DCCA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г. орудие Ф-34 закончило про</w:t>
      </w:r>
      <w:r w:rsidRPr="00A3026E">
        <w:rPr>
          <w:rFonts w:ascii="Times New Roman" w:hAnsi="Times New Roman"/>
          <w:color w:val="000000" w:themeColor="text1"/>
          <w:sz w:val="16"/>
          <w:szCs w:val="16"/>
        </w:rPr>
        <w:softHyphen/>
        <w:t>грамму заводских испытаний с полевого станка (от орудия Ф-22 УСВ), которая проходила с 15 сентября. 1 октября опытное орудие было установлено в башне танка БТ-7А и поступило на 2-й этап заводских ис</w:t>
      </w:r>
      <w:r w:rsidRPr="00A3026E">
        <w:rPr>
          <w:rFonts w:ascii="Times New Roman" w:hAnsi="Times New Roman"/>
          <w:color w:val="000000" w:themeColor="text1"/>
          <w:sz w:val="16"/>
          <w:szCs w:val="16"/>
        </w:rPr>
        <w:softHyphen/>
        <w:t>пытаний — обкатку. По требованиям технологического ха</w:t>
      </w:r>
      <w:r w:rsidRPr="00A3026E">
        <w:rPr>
          <w:rFonts w:ascii="Times New Roman" w:hAnsi="Times New Roman"/>
          <w:color w:val="000000" w:themeColor="text1"/>
          <w:sz w:val="16"/>
          <w:szCs w:val="16"/>
        </w:rPr>
        <w:softHyphen/>
        <w:t>рактера в сентябре 1940 г. длина ствола орудия Ф-34 была уменьшена до 41 калибра, и в таком виде оно рассматри</w:t>
      </w:r>
      <w:r w:rsidRPr="00A3026E">
        <w:rPr>
          <w:rFonts w:ascii="Times New Roman" w:hAnsi="Times New Roman"/>
          <w:color w:val="000000" w:themeColor="text1"/>
          <w:sz w:val="16"/>
          <w:szCs w:val="16"/>
        </w:rPr>
        <w:softHyphen/>
        <w:t>валось для установки в башню танка Т-34 (10782).</w:t>
      </w:r>
    </w:p>
    <w:p w14:paraId="4545D9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3BD7355" w14:textId="77777777" w:rsidR="007454D3" w:rsidRPr="00A3026E" w:rsidRDefault="007454D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г. испытания дизеля М-250 № 4 в танке А-34 № 311-11-3 были возобновлены. В этот день двигатель проработал около 8 часов. После обеда на заводе № 183 было произведено техническое обслуживание танка, а утром следующего дня испытания продолжились. Результат – 10 часов работы дизеля под нагрузкой.</w:t>
      </w:r>
    </w:p>
    <w:p w14:paraId="35FE4C69" w14:textId="77777777" w:rsidR="007454D3" w:rsidRPr="00A3026E" w:rsidRDefault="007454D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 время очередного испытательного пробега, 27 сентября 1940 г., около полудня на 103 часе работы дизель М-250 № 4 вышел из строя. На следующий день дизель был демонтирован из танка и передан в отдел «1600» завода № 75 для исследования. </w:t>
      </w:r>
    </w:p>
    <w:p w14:paraId="77C62B63" w14:textId="77777777" w:rsidR="007454D3" w:rsidRPr="00A3026E" w:rsidRDefault="007454D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концу сентября 1940 г. государственные испытания дизеля М-250 больше напоминали опытные работы по доводке дизеля на машине, а не полноценную </w:t>
      </w:r>
      <w:r w:rsidRPr="00A3026E">
        <w:rPr>
          <w:rFonts w:ascii="Times New Roman" w:hAnsi="Times New Roman"/>
          <w:iCs/>
          <w:color w:val="000000" w:themeColor="text1"/>
          <w:sz w:val="16"/>
          <w:szCs w:val="16"/>
        </w:rPr>
        <w:t>«проверку по определению надежности работы дизеля типа М-250 в танке А-34 в течение гарантийного срока – 250 часов работы под нагрузкой»</w:t>
      </w:r>
      <w:r w:rsidRPr="00A3026E">
        <w:rPr>
          <w:rFonts w:ascii="Times New Roman" w:hAnsi="Times New Roman"/>
          <w:color w:val="000000" w:themeColor="text1"/>
          <w:sz w:val="16"/>
          <w:szCs w:val="16"/>
        </w:rPr>
        <w:t xml:space="preserve">. В связи с этим комиссией было принято решение: </w:t>
      </w:r>
      <w:r w:rsidRPr="00A3026E">
        <w:rPr>
          <w:rFonts w:ascii="Times New Roman" w:hAnsi="Times New Roman"/>
          <w:iCs/>
          <w:color w:val="000000" w:themeColor="text1"/>
          <w:sz w:val="16"/>
          <w:szCs w:val="16"/>
        </w:rPr>
        <w:t>«государственное испытание дизеля М-250 прекратить, все результаты работы Госкомиссии перевести в разряд внутризаводских испытаний с целью доводки двигателя»</w:t>
      </w:r>
      <w:r w:rsidRPr="00A3026E">
        <w:rPr>
          <w:rFonts w:ascii="Times New Roman" w:hAnsi="Times New Roman"/>
          <w:color w:val="000000" w:themeColor="text1"/>
          <w:sz w:val="16"/>
          <w:szCs w:val="16"/>
        </w:rPr>
        <w:t xml:space="preserve">. А в заключении по результатам проведенных государственных испытаний дизелей М-250, в частности, было записано следующее: </w:t>
      </w:r>
    </w:p>
    <w:p w14:paraId="087B6D9A" w14:textId="77777777" w:rsidR="007454D3" w:rsidRPr="00A3026E" w:rsidRDefault="007454D3"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«1. Государственные испытания дизелей М-250 прекратить. В предъявленном виде, дизель М-250 не может быть рекомендован для Т-34».</w:t>
      </w:r>
      <w:r w:rsidRPr="00A3026E">
        <w:rPr>
          <w:rFonts w:ascii="Times New Roman" w:hAnsi="Times New Roman"/>
          <w:color w:val="000000" w:themeColor="text1"/>
          <w:sz w:val="16"/>
          <w:szCs w:val="16"/>
        </w:rPr>
        <w:t xml:space="preserve"> </w:t>
      </w:r>
    </w:p>
    <w:p w14:paraId="02287182" w14:textId="77777777" w:rsidR="007454D3" w:rsidRPr="00A3026E" w:rsidRDefault="007454D3" w:rsidP="00A3026E">
      <w:pPr>
        <w:pStyle w:val="ae"/>
        <w:spacing w:before="0" w:after="0"/>
        <w:jc w:val="both"/>
        <w:rPr>
          <w:color w:val="000000" w:themeColor="text1"/>
          <w:sz w:val="16"/>
          <w:szCs w:val="16"/>
        </w:rPr>
      </w:pPr>
      <w:r w:rsidRPr="00A3026E">
        <w:rPr>
          <w:bCs/>
          <w:color w:val="000000" w:themeColor="text1"/>
          <w:sz w:val="16"/>
          <w:szCs w:val="16"/>
        </w:rPr>
        <w:t>[РГВА. Ф. 31811. Оп. 3. Д. 2035. Л. 3]</w:t>
      </w:r>
    </w:p>
    <w:p w14:paraId="6497436B" w14:textId="77777777" w:rsidR="007454D3" w:rsidRPr="00A3026E" w:rsidRDefault="007454D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выходом из строя дизеля М-250 № 4 единственной надеждой на успешное проведение заводских испытаний оставался последний из пяти изготовленных заводом № 75 двигателей М-250. Дизель с пятым порядковым номером 24 сентября 1940 г. был установлен в танк А-34 № 311-18-3. Испытания дизеля затянулись на месяц, 25 октября 1940 г. в системе смазки дизеля М-250 № 5 было обнаружено падение давления. На следующий день двигатель в опытном цехе «540» завода № 183 был демонтирован из танка и передан отделу «1600» завода № 75 для исследования. 27 октября 1940 г. при разборке дизеля М-250 № 5 в коленчатом валу в районе пятой коренной шейки была обнаружена продольная трещина. К моменту аварии двигатель проработал около 48 часов на стенде и 75 часов 21 минуту в танке. </w:t>
      </w:r>
    </w:p>
    <w:p w14:paraId="1A024CBF" w14:textId="77777777" w:rsidR="007454D3" w:rsidRPr="00A3026E" w:rsidRDefault="007454D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 А-34 № 311-11-3 после прекращения государственных испытаний также был использован в опытных работах по доводке дизеля М-250. В начале октября 1940 г. на танк был установлен дизель М-250 № 2, отработавший в период с 16 апреля по 8 мая 1940 г. на заводских стендовых испытаниях 349 часов 41 минуту. Также на машину был установлен опытный главный фрикцион, отличавшийся от серийного главного фрикциона танка Т-34 тем, что вместо восьми ведущих чугунных и десяти ведомых стальных дисков в нем имелось двенадцать ведомых и десять ведущих стальных дисков. Кроме этого диски опытного главного фрикциона имели вырезы, предназначавшиеся для уменьшения коробления дисков при их нагреве и прерывания образовывавшихся на них круговых задиров. В каждом ведомом и ведущем диске было сделано по 4 выреза глубиной 13 мм и шириной 10 мм, расположенных на равном расстоянии друг от друга на тех сторонах дисков, на которых не было зубьев. </w:t>
      </w:r>
    </w:p>
    <w:p w14:paraId="654702F1" w14:textId="77777777" w:rsidR="007454D3" w:rsidRPr="00A3026E" w:rsidRDefault="007454D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Однако завершить заводские испытания дизеля М-250 № 2 и опытного главного фрикциона в танке А-34 не удалось потому, что интенсивно эксплуатировавшиеся на протяжении 9 месяцев опытные танки А-34 в начале ноября 1940 г. было решено капитально отремонтировать. </w:t>
      </w:r>
    </w:p>
    <w:p w14:paraId="7048C34C" w14:textId="77777777" w:rsidR="007454D3" w:rsidRPr="00A3026E" w:rsidRDefault="007454D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Необходимо отметить, что, несмотря на то, что дизели М-250 государственных испытаний не выдержали, некоторые примененные в них удачные технические решения в 1941 г. были реализованы в конструкции дизеля В-2 четвертой серии. </w:t>
      </w:r>
    </w:p>
    <w:p w14:paraId="32791C18" w14:textId="77777777" w:rsidR="007454D3" w:rsidRPr="00A3026E" w:rsidRDefault="007454D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Что же касается танков А-34, то с 15 ноября и до середины декабря 1940 г. оба они находились в цехе «540» отдела «500» завода № 183, где производился их капитальный ремонт. Во время ремонта с танков А-34 были демонтированы пушки Л-11 и отправлены в Ленинград на Кировский завод для доработки их противооткатных устройств. После доработки пушки Л-11 были возвращены на завод № 183 и в дальнейшем установлены на серийные танки Т-34 с заводскими номерами 938-21 и 938-70. После капитального ремонта танки А-34 без основного оружия были готовы к новым испытаниям (17625). </w:t>
      </w:r>
    </w:p>
    <w:p w14:paraId="6B378455" w14:textId="77777777" w:rsidR="007454D3" w:rsidRPr="00A3026E" w:rsidRDefault="007454D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BDC92E2"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25 сентября 1940 г. Предложения по улучшению конструкции новых танков были отправлены народному комиссару среднего машиностроения И.А. Лихачеву </w:t>
      </w:r>
      <w:hyperlink r:id="rId11" w:tgtFrame="_blank" w:history="1">
        <w:r w:rsidRPr="00A3026E">
          <w:rPr>
            <w:rStyle w:val="a5"/>
            <w:rFonts w:ascii="Times New Roman" w:hAnsi="Times New Roman"/>
            <w:color w:val="000000" w:themeColor="text1"/>
            <w:sz w:val="16"/>
            <w:szCs w:val="16"/>
          </w:rPr>
          <w:t>письмом № 76444сс</w:t>
        </w:r>
      </w:hyperlink>
      <w:r w:rsidRPr="00A3026E">
        <w:rPr>
          <w:rFonts w:ascii="Times New Roman" w:hAnsi="Times New Roman"/>
          <w:color w:val="000000" w:themeColor="text1"/>
          <w:sz w:val="16"/>
          <w:szCs w:val="16"/>
        </w:rPr>
        <w:t>. В этом письме начальник ГАБТУ КА Я.Н. Федоренко просил И.А. Лихачева дать распоряжения соответствующим заводам о «срочной проработке нижепоименованных предложений и об установлении сроков введения их на каждый из указанных танков». Основные улучшения конструкции танка Т-34 сводились к установке командирской башенки с круговым обзором, замене бортовых фрикционов на планетарные механизмы поворота танка и пружинной подвески на торсионную. В дополнение к этому экипаж танка Т-34 предлагалось увеличить до 5 человек, освободив командира танка от обязанностей наводчика. </w:t>
      </w:r>
    </w:p>
    <w:p w14:paraId="67FBD86B"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Предложения по повышению боевых и эксплуатационных качеств новых танков также были отправлены и на рассмотрение народному комиссару обороны СССР С.К. Тимошенко. После изучения представленных материалов, 9 октября 1940 г. заместитель народного комиссара обороны СССР Г.И. Кулик обратился к руководству НКСМ с просьбой о проведении предложенных ГАБТУ КА работ по улучшению конструкции танков, в том числе и танка Т-34. В ответ на это, 19 октября 1940 г. заместитель наркома среднего машиностроения А.А. Горегляд в </w:t>
      </w:r>
      <w:hyperlink r:id="rId12" w:tgtFrame="_blank" w:history="1">
        <w:r w:rsidRPr="00A3026E">
          <w:rPr>
            <w:rStyle w:val="a5"/>
            <w:rFonts w:ascii="Times New Roman" w:hAnsi="Times New Roman"/>
            <w:color w:val="000000" w:themeColor="text1"/>
            <w:sz w:val="16"/>
            <w:szCs w:val="16"/>
          </w:rPr>
          <w:t>письме № 10/8689</w:t>
        </w:r>
      </w:hyperlink>
      <w:r w:rsidRPr="00A3026E">
        <w:rPr>
          <w:rFonts w:ascii="Times New Roman" w:hAnsi="Times New Roman"/>
          <w:color w:val="000000" w:themeColor="text1"/>
          <w:sz w:val="16"/>
          <w:szCs w:val="16"/>
        </w:rPr>
        <w:t> сообщил Г.И. Кулику, что указанные работы в текущем году не предусмотрены, но уже включены или будут включены в план научно-исследовательских и опытных работ НКСМ на 1941 г. (18206).</w:t>
      </w:r>
    </w:p>
    <w:p w14:paraId="43AA656D" w14:textId="77777777" w:rsidR="006A6329" w:rsidRPr="00A3026E" w:rsidRDefault="006A6329" w:rsidP="00A3026E">
      <w:pPr>
        <w:spacing w:after="0" w:line="240" w:lineRule="auto"/>
        <w:jc w:val="both"/>
        <w:rPr>
          <w:rFonts w:ascii="Times New Roman" w:hAnsi="Times New Roman"/>
          <w:color w:val="000000" w:themeColor="text1"/>
          <w:sz w:val="16"/>
          <w:szCs w:val="16"/>
        </w:rPr>
      </w:pPr>
    </w:p>
    <w:p w14:paraId="7B01D74B"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года в адрес наркома среднего машиностроения И.А. Лихачёва ушло письмо из ГАБТУ с предложениями по модернизации танков, где указывались 23 пункта улучшения по Т-34. В их числе было появление командирской башенки, увеличение экипажа до 5 человек, установка планетарного механизма поворота, изменение смотровых приборов, а также замена свечной подвески на торсионную с установкой гидравлических амортизаторов. Не все пункты улучшения оказались связаны именно с Pz.Kpfw.III, однако, некоторое влияние немецкой машины всё же очевидно (18281).</w:t>
      </w:r>
    </w:p>
    <w:p w14:paraId="10AD4A24" w14:textId="77777777" w:rsidR="006A6329" w:rsidRPr="00A3026E" w:rsidRDefault="006A6329" w:rsidP="00A3026E">
      <w:pPr>
        <w:spacing w:after="0" w:line="240" w:lineRule="auto"/>
        <w:jc w:val="both"/>
        <w:rPr>
          <w:rFonts w:ascii="Times New Roman" w:hAnsi="Times New Roman"/>
          <w:color w:val="000000" w:themeColor="text1"/>
          <w:sz w:val="16"/>
          <w:szCs w:val="16"/>
        </w:rPr>
      </w:pPr>
    </w:p>
    <w:p w14:paraId="6301FE26"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г.</w:t>
      </w:r>
    </w:p>
    <w:p w14:paraId="5E7FE50C"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1059 листы 115 – 117 </w:t>
      </w:r>
    </w:p>
    <w:p w14:paraId="6B82F71E"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 СЕКРЕТНО. </w:t>
      </w:r>
    </w:p>
    <w:p w14:paraId="1A4F1A1C"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2 </w:t>
      </w:r>
    </w:p>
    <w:p w14:paraId="67A96056"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25 Сентября 1940 г. </w:t>
      </w:r>
    </w:p>
    <w:p w14:paraId="67E1BDF9"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76444сс </w:t>
      </w:r>
    </w:p>
    <w:p w14:paraId="5A41E787"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НАРОДНОМУ КОМИССАРУ СРЕДНЕГО МАШИНОСТРОЕНИЯ СССР</w:t>
      </w:r>
    </w:p>
    <w:p w14:paraId="2D5BF95D"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ЛИХАЧЕВУ</w:t>
      </w:r>
    </w:p>
    <w:p w14:paraId="3C7A3E06"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Для увеличения боевой способности экипажа и материальной части танков Т-34, СП, Т-40 и "КВ", прошу Вашего распоряжения соответствующим заводам о срочной проработке нижепоименованных предложений и об установлении сроков введения их на каждый из указанных танков. </w:t>
      </w:r>
    </w:p>
    <w:p w14:paraId="38AA52D5"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НАЧАЛЬНИК ГАБТУ КРАСНОЙ АРМИИ</w:t>
      </w:r>
    </w:p>
    <w:p w14:paraId="7938895F"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ГЕНЕРАЛ-ЛЕЙТЕНАНТ ТАНКОВЫХ ВОЙСК (Федоренко)</w:t>
      </w:r>
    </w:p>
    <w:p w14:paraId="08FAF31B"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2 экз. </w:t>
      </w:r>
    </w:p>
    <w:p w14:paraId="1E4D1460"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Дорофеев </w:t>
      </w:r>
    </w:p>
    <w:p w14:paraId="0E1357E2" w14:textId="77777777" w:rsidR="006A6329" w:rsidRPr="00A3026E" w:rsidRDefault="006A632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3.9.40 г. № 99 (18207).</w:t>
      </w:r>
    </w:p>
    <w:p w14:paraId="171F24A3" w14:textId="77777777" w:rsidR="006A6329" w:rsidRPr="00A3026E" w:rsidRDefault="006A6329" w:rsidP="00A3026E">
      <w:pPr>
        <w:spacing w:after="0" w:line="240" w:lineRule="auto"/>
        <w:jc w:val="both"/>
        <w:rPr>
          <w:rFonts w:ascii="Times New Roman" w:hAnsi="Times New Roman"/>
          <w:color w:val="000000" w:themeColor="text1"/>
          <w:sz w:val="16"/>
          <w:szCs w:val="16"/>
        </w:rPr>
      </w:pPr>
    </w:p>
    <w:p w14:paraId="32E4F5C2" w14:textId="77777777" w:rsidR="001A7DB7" w:rsidRPr="00A3026E" w:rsidRDefault="001A7DB7"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25 сентября 1940 года в адрес наркома среднего машиностроения И.А. Лихачёва ушло письмо из ГАБТУ КА. В нем находился список из 23 пунктов улучшения Т-34, по итогам которых машина существенно менялась. Наиболее важными пунктами модернизации, которую требовалось завершить к 1 марта 1941 года, являлось увеличение расчета башни до 3 человек, установка командирской башенки и утолщение бортов башни до 55 мм. Также предполагалась установка торсионной подвески с гидравлическими амортизаторами и 76-мм пушки Ф-34 с двумя спаренными пулеметами ДС. Также ожидался рост скорости передвижения танка. Часть изменений явно было связано с испытаниями немецкого танка Pz.Kpfw.III, который с июня 1940 года испытывался в Советском Союзе. Приобретенный в Германии танк стал катализатором разработки танка сопровождения Т-50, модернизации КВ-1, а также работам по глубокой модернизации Т-34. Так начиналась история танка, который позже стали именовать как Т-34М (21265).</w:t>
      </w:r>
    </w:p>
    <w:p w14:paraId="14B4DF28" w14:textId="77777777" w:rsidR="001A7DB7" w:rsidRPr="00A3026E" w:rsidRDefault="001A7DB7" w:rsidP="00A3026E">
      <w:pPr>
        <w:pStyle w:val="article-renderblock"/>
        <w:shd w:val="clear" w:color="auto" w:fill="FFFFFF"/>
        <w:spacing w:before="0" w:beforeAutospacing="0" w:after="0" w:afterAutospacing="0"/>
        <w:jc w:val="both"/>
        <w:rPr>
          <w:color w:val="0070C0"/>
          <w:sz w:val="16"/>
          <w:szCs w:val="16"/>
        </w:rPr>
      </w:pPr>
    </w:p>
    <w:p w14:paraId="79E1C689"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25 сентября 1940 года был готов второй образец Т-126 с броней толщиной 55 мм, в период с 29 сентября по 20 октября он прошел 581 километр. Про массу машины завод дипломатично не упомянул, при этом часто гуляющая цифра в 18,3 тонны - это расчетная масса. По факту танк потянул на все 20 тонн. Насколько его при этом </w:t>
      </w:r>
      <w:r w:rsidRPr="00A3026E">
        <w:rPr>
          <w:rFonts w:ascii="Times New Roman" w:hAnsi="Times New Roman"/>
          <w:color w:val="0070C0"/>
          <w:sz w:val="16"/>
          <w:szCs w:val="16"/>
        </w:rPr>
        <w:lastRenderedPageBreak/>
        <w:t>можно называть легким, хороший вопрос. А-20 и А-32 по этому поводу тихо посмеиваются. Между тем, планы по танку, который также именовался как "СП", выглядели грандиозными. Называлась даже цифра ожидаемого выпуска 4800 танков в год. В плане работ на 1941 год значились химический Х-126 и вариант с 76-мм пушкой Ф-32 (очередная реинкарнация артиллерийского танка) (21824).</w:t>
      </w:r>
    </w:p>
    <w:p w14:paraId="658A8122" w14:textId="77777777" w:rsidR="001A7DB7" w:rsidRPr="00A3026E" w:rsidRDefault="001A7DB7" w:rsidP="00A3026E">
      <w:pPr>
        <w:spacing w:after="0" w:line="240" w:lineRule="auto"/>
        <w:jc w:val="both"/>
        <w:rPr>
          <w:rFonts w:ascii="Times New Roman" w:hAnsi="Times New Roman"/>
          <w:color w:val="0070C0"/>
          <w:sz w:val="16"/>
          <w:szCs w:val="16"/>
        </w:rPr>
      </w:pPr>
    </w:p>
    <w:p w14:paraId="0D88EFDD"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 сентября 1940 года была Докладная записка руководителя группы танковых приборов завода № 174 Главспецмаша Наркомата среднего машиностроения СССР Павлова И. В. Сталину и секретарю ЦК ВКП(б) и Ленинградского обкома ВКП(б) А. А. Жданову о разработке приборов, повышающих боеспособность танков</w:t>
      </w:r>
    </w:p>
    <w:p w14:paraId="5966A416"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Ознакомление нашей группы конструкторов и механиков с Германским танком Т-2 заставляет меня срочно обратиться к Вам.</w:t>
      </w:r>
    </w:p>
    <w:p w14:paraId="51B1BFAD"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Дело в том, что руководимая мною группа работала над приборами, повышающими боеспособность танков.</w:t>
      </w:r>
    </w:p>
    <w:p w14:paraId="2B1327F7"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Мы ставили перед собою две основные задачи:</w:t>
      </w:r>
    </w:p>
    <w:p w14:paraId="18F0F996"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1.-Повысить действительность артиллерийского огня при стрельбе с двигающегося танка.</w:t>
      </w:r>
    </w:p>
    <w:p w14:paraId="6FA3B493"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2.-0беспечить вождение танков и связь нейду ними в условиях плохой видимости.</w:t>
      </w:r>
    </w:p>
    <w:p w14:paraId="7653575F"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Выполнила ли группа эти задачи?</w:t>
      </w:r>
    </w:p>
    <w:p w14:paraId="764BCDF8"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Да. Еще в 1935-36 году были испытаны целым рядом комиссий наши приборы:</w:t>
      </w:r>
    </w:p>
    <w:p w14:paraId="5529AA0A"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Танковый прицел со стабилизатором и электрозапалы для танковых пушек.</w:t>
      </w:r>
    </w:p>
    <w:p w14:paraId="3A6D20B8"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Результаты испытаний показали, что благодаря нашим приборам стала возможным стрельба с танка даже на высо</w:t>
      </w:r>
      <w:r w:rsidRPr="00A3026E">
        <w:rPr>
          <w:rFonts w:ascii="Times New Roman" w:hAnsi="Times New Roman"/>
          <w:color w:val="0070C0"/>
          <w:sz w:val="16"/>
          <w:szCs w:val="16"/>
        </w:rPr>
        <w:softHyphen/>
        <w:t>ких скоростях. Попадание в цель увеличилось в 2-3 раза /процент попаданий с 20-40% возрос до 80-100%).</w:t>
      </w:r>
    </w:p>
    <w:p w14:paraId="078CF994"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Летом 1938 годе были испытаны и наши гироскопи</w:t>
      </w:r>
      <w:r w:rsidRPr="00A3026E">
        <w:rPr>
          <w:rFonts w:ascii="Times New Roman" w:hAnsi="Times New Roman"/>
          <w:color w:val="0070C0"/>
          <w:sz w:val="16"/>
          <w:szCs w:val="16"/>
        </w:rPr>
        <w:softHyphen/>
        <w:t>ческие курсоуказатели для танков, позволяющие точно выводить их в заранее намеченный равен в условиях плохой видимости /ночью, в туман и т.п./.</w:t>
      </w:r>
    </w:p>
    <w:p w14:paraId="464F6839"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Комиссия АБТУ и АУ проводившая эти испытания, считала ,что точность наших приборов более чем доста</w:t>
      </w:r>
      <w:r w:rsidRPr="00A3026E">
        <w:rPr>
          <w:rFonts w:ascii="Times New Roman" w:hAnsi="Times New Roman"/>
          <w:color w:val="0070C0"/>
          <w:sz w:val="16"/>
          <w:szCs w:val="16"/>
        </w:rPr>
        <w:softHyphen/>
        <w:t>точная для практических работ.</w:t>
      </w:r>
    </w:p>
    <w:p w14:paraId="6F5E3B28"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 это ж время нами созданы: переговорные устрой</w:t>
      </w:r>
      <w:r w:rsidRPr="00A3026E">
        <w:rPr>
          <w:rFonts w:ascii="Times New Roman" w:hAnsi="Times New Roman"/>
          <w:color w:val="0070C0"/>
          <w:sz w:val="16"/>
          <w:szCs w:val="16"/>
        </w:rPr>
        <w:softHyphen/>
        <w:t>ства для танков, гироскопические стабилизаторы башень танка, электро-моторы для вращения танковых башень и т.п.</w:t>
      </w:r>
    </w:p>
    <w:p w14:paraId="0D104F51"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Однако, несмотря на прекрасные оценки нашей рабо</w:t>
      </w:r>
      <w:r w:rsidRPr="00A3026E">
        <w:rPr>
          <w:rFonts w:ascii="Times New Roman" w:hAnsi="Times New Roman"/>
          <w:color w:val="0070C0"/>
          <w:sz w:val="16"/>
          <w:szCs w:val="16"/>
        </w:rPr>
        <w:softHyphen/>
        <w:t>ты, надо прямо сказать, что до сих пор приборы еще не освоены в Армии.</w:t>
      </w:r>
    </w:p>
    <w:p w14:paraId="45BF8B8D"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Курсоуказатели вообще не изготовляются, а прицел со стабилизатором и электрозапал для 45мм танковой пушки хотя и изготовляются в сери и устанавливаются на танки, но обучение личного состава танкистов рабо</w:t>
      </w:r>
      <w:r w:rsidRPr="00A3026E">
        <w:rPr>
          <w:rFonts w:ascii="Times New Roman" w:hAnsi="Times New Roman"/>
          <w:color w:val="0070C0"/>
          <w:sz w:val="16"/>
          <w:szCs w:val="16"/>
        </w:rPr>
        <w:softHyphen/>
        <w:t>те с этими приборами до сих пор находится в загоне, поэтому и приборы в РККА почти не используются.</w:t>
      </w:r>
    </w:p>
    <w:p w14:paraId="605971BE"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Там, где наши приборы освоены личным составом части, там лучшие результаты по стрельбе с хода, там-же где обучению прибора не уделено внимания, там и отно</w:t>
      </w:r>
      <w:r w:rsidRPr="00A3026E">
        <w:rPr>
          <w:rFonts w:ascii="Times New Roman" w:hAnsi="Times New Roman"/>
          <w:color w:val="0070C0"/>
          <w:sz w:val="16"/>
          <w:szCs w:val="16"/>
        </w:rPr>
        <w:softHyphen/>
        <w:t>шение к прибору недоверчивое. АЬТУ и АУ, как следует не руководит обучением танковых частей новому методу стрельбы с двигающегося танка, пустив на самотек его освоение.</w:t>
      </w:r>
    </w:p>
    <w:p w14:paraId="626D77D6"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Все это привело к уменьшению интереса к танко</w:t>
      </w:r>
      <w:r w:rsidRPr="00A3026E">
        <w:rPr>
          <w:rFonts w:ascii="Times New Roman" w:hAnsi="Times New Roman"/>
          <w:color w:val="0070C0"/>
          <w:sz w:val="16"/>
          <w:szCs w:val="16"/>
        </w:rPr>
        <w:softHyphen/>
        <w:t>вым приборам, и сейчас уже раздаются голоса ,что лучше всего стрелять из остановившегося танка. Настрое</w:t>
      </w:r>
      <w:r w:rsidRPr="00A3026E">
        <w:rPr>
          <w:rFonts w:ascii="Times New Roman" w:hAnsi="Times New Roman"/>
          <w:color w:val="0070C0"/>
          <w:sz w:val="16"/>
          <w:szCs w:val="16"/>
        </w:rPr>
        <w:softHyphen/>
        <w:t>ние это нашло свое отражение в решении АБТУ и АУ не устанавливать электрозапал на 76 мм танковую пушку.</w:t>
      </w:r>
    </w:p>
    <w:p w14:paraId="1C9B4993"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Такое отношение к танковым приборам со стороны руководящих организаций повлияло на то, что единствен</w:t>
      </w:r>
      <w:r w:rsidRPr="00A3026E">
        <w:rPr>
          <w:rFonts w:ascii="Times New Roman" w:hAnsi="Times New Roman"/>
          <w:color w:val="0070C0"/>
          <w:sz w:val="16"/>
          <w:szCs w:val="16"/>
        </w:rPr>
        <w:softHyphen/>
        <w:t>ная группа работающая над танковыми приборами потеря</w:t>
      </w:r>
      <w:r w:rsidRPr="00A3026E">
        <w:rPr>
          <w:rFonts w:ascii="Times New Roman" w:hAnsi="Times New Roman"/>
          <w:color w:val="0070C0"/>
          <w:sz w:val="16"/>
          <w:szCs w:val="16"/>
        </w:rPr>
        <w:softHyphen/>
        <w:t>ла всякую поддержку в своей работе.</w:t>
      </w:r>
    </w:p>
    <w:p w14:paraId="0C625769"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Нам, несмотря на лично Ваши тов. СТАЛИН указания, до сих пор не могут дать постоянной базы и перебрасы</w:t>
      </w:r>
      <w:r w:rsidRPr="00A3026E">
        <w:rPr>
          <w:rFonts w:ascii="Times New Roman" w:hAnsi="Times New Roman"/>
          <w:color w:val="0070C0"/>
          <w:sz w:val="16"/>
          <w:szCs w:val="16"/>
        </w:rPr>
        <w:softHyphen/>
        <w:t>вают с места на место, с завода на завод, и сейчас, вот уже скоро год, как группа влачит самое жалкое су</w:t>
      </w:r>
      <w:r w:rsidRPr="00A3026E">
        <w:rPr>
          <w:rFonts w:ascii="Times New Roman" w:hAnsi="Times New Roman"/>
          <w:color w:val="0070C0"/>
          <w:sz w:val="16"/>
          <w:szCs w:val="16"/>
        </w:rPr>
        <w:softHyphen/>
        <w:t>ществование.</w:t>
      </w:r>
    </w:p>
    <w:p w14:paraId="33C003CE"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Я, лично долго думал над тем, что может быть дейст</w:t>
      </w:r>
      <w:r w:rsidRPr="00A3026E">
        <w:rPr>
          <w:rFonts w:ascii="Times New Roman" w:hAnsi="Times New Roman"/>
          <w:color w:val="0070C0"/>
          <w:sz w:val="16"/>
          <w:szCs w:val="16"/>
        </w:rPr>
        <w:softHyphen/>
        <w:t>вительно, наши работы не нужны Красной Армии. Но когда говоришь с бойцами и командирами освоившими приборы- видишь, что приборы нужны и необходимы для танкистов.</w:t>
      </w:r>
    </w:p>
    <w:p w14:paraId="685EB333"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АБТУ и АУ тоже не охаивает приборы, наоборот, сотрудники АУ наблюдающие и принимающие наши приборы, даже награждены высшими Правительственными наградами , но по существу ни чем но содействуют развитию прибор</w:t>
      </w:r>
      <w:r w:rsidRPr="00A3026E">
        <w:rPr>
          <w:rFonts w:ascii="Times New Roman" w:hAnsi="Times New Roman"/>
          <w:color w:val="0070C0"/>
          <w:sz w:val="16"/>
          <w:szCs w:val="16"/>
        </w:rPr>
        <w:softHyphen/>
        <w:t>ного дела в танковой промышленности.</w:t>
      </w:r>
    </w:p>
    <w:p w14:paraId="140DA2AB"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 на конец, когда мы ознакомились с немецким танком Т-3, убедились, что приборы аналогичные нашим, широко использованы немцами в своей машине. Там уста</w:t>
      </w:r>
      <w:r w:rsidRPr="00A3026E">
        <w:rPr>
          <w:rFonts w:ascii="Times New Roman" w:hAnsi="Times New Roman"/>
          <w:color w:val="0070C0"/>
          <w:sz w:val="16"/>
          <w:szCs w:val="16"/>
        </w:rPr>
        <w:softHyphen/>
        <w:t>новлен и электрозапал в пушке, и бинокль для водителя, электрические приборы сигнализации и т.п.</w:t>
      </w:r>
    </w:p>
    <w:p w14:paraId="6A262640"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Обидно, что за рубежом танковые приборы приви</w:t>
      </w:r>
      <w:r w:rsidRPr="00A3026E">
        <w:rPr>
          <w:rFonts w:ascii="Times New Roman" w:hAnsi="Times New Roman"/>
          <w:color w:val="0070C0"/>
          <w:sz w:val="16"/>
          <w:szCs w:val="16"/>
        </w:rPr>
        <w:softHyphen/>
        <w:t>ваются гораздо быстрее, а у нас на родине к ним отно</w:t>
      </w:r>
      <w:r w:rsidRPr="00A3026E">
        <w:rPr>
          <w:rFonts w:ascii="Times New Roman" w:hAnsi="Times New Roman"/>
          <w:color w:val="0070C0"/>
          <w:sz w:val="16"/>
          <w:szCs w:val="16"/>
        </w:rPr>
        <w:softHyphen/>
        <w:t>сятся с каким то недоверием.</w:t>
      </w:r>
    </w:p>
    <w:p w14:paraId="549664ED"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Надо кончить с безразличным отношением к танко</w:t>
      </w:r>
      <w:r w:rsidRPr="00A3026E">
        <w:rPr>
          <w:rFonts w:ascii="Times New Roman" w:hAnsi="Times New Roman"/>
          <w:color w:val="0070C0"/>
          <w:sz w:val="16"/>
          <w:szCs w:val="16"/>
        </w:rPr>
        <w:softHyphen/>
        <w:t>вым приборам. Надо решить окончательно нужны они для вооружения танков или нет.</w:t>
      </w:r>
    </w:p>
    <w:p w14:paraId="28AAC5B8"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 если такие приборы нужны, надо, наконец, создать нормальные условия для работы приборщиков-танкистов, потому что существующее положение не может быть тер</w:t>
      </w:r>
      <w:r w:rsidRPr="00A3026E">
        <w:rPr>
          <w:rFonts w:ascii="Times New Roman" w:hAnsi="Times New Roman"/>
          <w:color w:val="0070C0"/>
          <w:sz w:val="16"/>
          <w:szCs w:val="16"/>
        </w:rPr>
        <w:softHyphen/>
        <w:t>пимо.</w:t>
      </w:r>
    </w:p>
    <w:p w14:paraId="3A6FF3B8"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Вопрос нашей группы разбирался и в К.О. при СНК СССР, но до сих пор никаких решении не принято. Все мы висим до сих пор в воздухе, а нам как и всем хо</w:t>
      </w:r>
      <w:r w:rsidRPr="00A3026E">
        <w:rPr>
          <w:rFonts w:ascii="Times New Roman" w:hAnsi="Times New Roman"/>
          <w:color w:val="0070C0"/>
          <w:sz w:val="16"/>
          <w:szCs w:val="16"/>
        </w:rPr>
        <w:softHyphen/>
        <w:t>чется работать, работать продуктивно для Обороны Нашей Родины.</w:t>
      </w:r>
    </w:p>
    <w:p w14:paraId="73E5A572" w14:textId="77777777" w:rsidR="001A7DB7" w:rsidRPr="00A3026E" w:rsidRDefault="001A7DB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 к Вам, Иосиф Виссарионович и Андрей Александрович большая просьба всего нашего коллектива помочь нам в этом деле (22046).</w:t>
      </w:r>
    </w:p>
    <w:p w14:paraId="4C08EAD1" w14:textId="77777777" w:rsidR="001A7DB7" w:rsidRPr="00A3026E" w:rsidRDefault="001A7DB7" w:rsidP="00A3026E">
      <w:pPr>
        <w:spacing w:after="0" w:line="240" w:lineRule="auto"/>
        <w:jc w:val="both"/>
        <w:rPr>
          <w:rFonts w:ascii="Times New Roman" w:hAnsi="Times New Roman"/>
          <w:color w:val="0070C0"/>
          <w:sz w:val="16"/>
          <w:szCs w:val="16"/>
        </w:rPr>
      </w:pPr>
    </w:p>
    <w:p w14:paraId="20CD4926"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25 сентября 1940 г. поступивший 31 мая 1940 г. крейсер «Лютцов» был переименован в «Петропавловск». Великую Отечественную войну он начал недостроенным: водоизмещение 15340 тонн; вооружение – 4-203 мм, 1 спаренное 37 мм и 8 – 20 мм орудий. При обороне г. Ленинграда использовался как плавбатарея [1, с. 19].</w:t>
      </w:r>
    </w:p>
    <w:p w14:paraId="7E7BF8AA"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Изучая проекты линкора «Бисмарк» и нового большого эсминца, вооруженного 150-мм артиллерией, наши специалисты сделали только отдельные заказы [3, д. 5, л. 95] (12700).</w:t>
      </w:r>
    </w:p>
    <w:p w14:paraId="74FF84FF"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p>
    <w:p w14:paraId="099E1291" w14:textId="77777777" w:rsidR="00C66762" w:rsidRPr="00A3026E" w:rsidRDefault="00DA4AA0" w:rsidP="00A3026E">
      <w:pPr>
        <w:shd w:val="clear" w:color="auto" w:fill="FFFFFF"/>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103AF5C2" w14:textId="77777777" w:rsidR="00C66762" w:rsidRPr="00A3026E" w:rsidRDefault="00C66762" w:rsidP="00A3026E">
      <w:pPr>
        <w:shd w:val="clear" w:color="auto" w:fill="FFFFFF"/>
        <w:spacing w:after="0" w:line="240" w:lineRule="auto"/>
        <w:jc w:val="both"/>
        <w:rPr>
          <w:rFonts w:ascii="Times New Roman" w:hAnsi="Times New Roman"/>
          <w:iCs/>
          <w:color w:val="000000" w:themeColor="text1"/>
          <w:sz w:val="16"/>
          <w:szCs w:val="16"/>
        </w:rPr>
      </w:pPr>
    </w:p>
    <w:p w14:paraId="40F2C5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25 сентября 1940 г. в ВВС Красной Армии насчи</w:t>
      </w:r>
      <w:r w:rsidRPr="00A3026E">
        <w:rPr>
          <w:rFonts w:ascii="Times New Roman" w:hAnsi="Times New Roman"/>
          <w:color w:val="000000" w:themeColor="text1"/>
          <w:sz w:val="16"/>
          <w:szCs w:val="16"/>
        </w:rPr>
        <w:softHyphen/>
        <w:t>тывалось 28 ТБ-1, из которых только 8 счита</w:t>
      </w:r>
      <w:r w:rsidRPr="00A3026E">
        <w:rPr>
          <w:rFonts w:ascii="Times New Roman" w:hAnsi="Times New Roman"/>
          <w:color w:val="000000" w:themeColor="text1"/>
          <w:sz w:val="16"/>
          <w:szCs w:val="16"/>
        </w:rPr>
        <w:softHyphen/>
        <w:t>лись исправными, а 11 оценивались как со</w:t>
      </w:r>
      <w:r w:rsidRPr="00A3026E">
        <w:rPr>
          <w:rFonts w:ascii="Times New Roman" w:hAnsi="Times New Roman"/>
          <w:color w:val="000000" w:themeColor="text1"/>
          <w:sz w:val="16"/>
          <w:szCs w:val="16"/>
        </w:rPr>
        <w:softHyphen/>
        <w:t>вершенно непригодные для эксплуатации (11286).</w:t>
      </w:r>
    </w:p>
    <w:p w14:paraId="3CA1F1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BCD85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25 сентября 1940 г. в ВВС осталось всего 28 ТБ-1 (12001).</w:t>
      </w:r>
    </w:p>
    <w:p w14:paraId="0695ABB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E9F8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25 сентября 1940 г. у морских летчиков еще сохранялись 14 ТБ-1, из которых могли летать только шесть. Все они использовались в учебных целях или для транспортных перевозок.</w:t>
      </w:r>
    </w:p>
    <w:p w14:paraId="48DFEF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Подготовка летчиков морской авиации велась в Ейске. В 1932 г. находившаяся там школа получила первые ТБ-1. К январю 1935 г. там имелось уже 26 самолетов этого типа (12001).</w:t>
      </w:r>
    </w:p>
    <w:p w14:paraId="51E4F41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77403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25 сентября 1940 г. в морской авиации осталось 14 ТБ-1, из которых исправными считались 6. Роль боевых машин они утратили, поэто</w:t>
      </w:r>
      <w:r w:rsidRPr="00A3026E">
        <w:rPr>
          <w:rFonts w:ascii="Times New Roman" w:hAnsi="Times New Roman"/>
          <w:color w:val="000000" w:themeColor="text1"/>
          <w:sz w:val="16"/>
          <w:szCs w:val="16"/>
        </w:rPr>
        <w:softHyphen/>
        <w:t>му использовались для обучения и как тран</w:t>
      </w:r>
      <w:r w:rsidRPr="00A3026E">
        <w:rPr>
          <w:rFonts w:ascii="Times New Roman" w:hAnsi="Times New Roman"/>
          <w:color w:val="000000" w:themeColor="text1"/>
          <w:sz w:val="16"/>
          <w:szCs w:val="16"/>
        </w:rPr>
        <w:softHyphen/>
        <w:t>спортные, причем преимущественно на ко</w:t>
      </w:r>
      <w:r w:rsidRPr="00A3026E">
        <w:rPr>
          <w:rFonts w:ascii="Times New Roman" w:hAnsi="Times New Roman"/>
          <w:color w:val="000000" w:themeColor="text1"/>
          <w:sz w:val="16"/>
          <w:szCs w:val="16"/>
        </w:rPr>
        <w:softHyphen/>
        <w:t>лесном шасси (11286).</w:t>
      </w:r>
    </w:p>
    <w:p w14:paraId="18B418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01CF7A3" w14:textId="77777777" w:rsidR="00C66762" w:rsidRPr="00A3026E" w:rsidRDefault="00C66762" w:rsidP="00A3026E">
      <w:pPr>
        <w:pStyle w:val="a3"/>
        <w:rPr>
          <w:color w:val="000000" w:themeColor="text1"/>
          <w:lang w:val="ru-RU"/>
        </w:rPr>
      </w:pPr>
      <w:r w:rsidRPr="00A3026E">
        <w:rPr>
          <w:color w:val="000000" w:themeColor="text1"/>
          <w:lang w:val="ru-RU"/>
        </w:rPr>
        <w:t>На 25 сентября 1940 в ВВС числились 2445 Р-5, хотя летать были способны только 1631. В морской авиации оставалось еще 1237 Р-5 (11936).</w:t>
      </w:r>
    </w:p>
    <w:p w14:paraId="0254FBD7" w14:textId="77777777" w:rsidR="00C66762" w:rsidRPr="00A3026E" w:rsidRDefault="00C66762" w:rsidP="00A3026E">
      <w:pPr>
        <w:pStyle w:val="11a"/>
        <w:shd w:val="clear" w:color="auto" w:fill="auto"/>
        <w:spacing w:after="0" w:line="240" w:lineRule="auto"/>
        <w:jc w:val="both"/>
        <w:rPr>
          <w:rFonts w:ascii="Times New Roman" w:hAnsi="Times New Roman" w:cs="Times New Roman"/>
          <w:b w:val="0"/>
          <w:noProof w:val="0"/>
          <w:color w:val="000000" w:themeColor="text1"/>
          <w:sz w:val="16"/>
          <w:szCs w:val="16"/>
          <w:lang w:val="ru-RU"/>
        </w:rPr>
      </w:pPr>
    </w:p>
    <w:p w14:paraId="114E0F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25 сентября в ВВС числились 2445 Р-5, хотя летать были способны только 1631 из них. ССС было значительно меньше - 220 (171 исправный). К этому следует добавить 1237 Р-5 морской авиации. К началу Великой Отечественной войны в штурмовых полках Р-5Ш и ССС в основном сменились устаревшими истребителями И-15бис. В войсковой же авиации, бывшей тогда довольно малочисленной, еще сохранялись и Р-5, и ССС. Всего в составе боевых частей ВВС РККА на 22 июня 1941 г. имелось 191 Р-5 и 104 ССС. В большинстве округов старых бипланов оставалось немного - по 30-50 машин. Крупные группировки имелись только в Западном особом округе и на Дальнем Востоке, где несколько полков еше летали на Р-5 и Р-5Ш. Значительная доля этих самолетов была небоеспособна. Для Р-5 процент годных к полетам машин составлял около 70%, для ССС - менее 50% (12934).</w:t>
      </w:r>
    </w:p>
    <w:p w14:paraId="7AB52AF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3D4C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года, согласно сводной ведомости наличия самолетов и авиамоторов, в авиа</w:t>
      </w:r>
      <w:r w:rsidRPr="00A3026E">
        <w:rPr>
          <w:rFonts w:ascii="Times New Roman" w:hAnsi="Times New Roman"/>
          <w:color w:val="000000" w:themeColor="text1"/>
          <w:sz w:val="16"/>
          <w:szCs w:val="16"/>
        </w:rPr>
        <w:softHyphen/>
        <w:t>ции НКВМФ на насчитывалось 3627 самолетов всех типов, в том числе 2743 - в строевых частях (РГАВМФ. Ф. Р-1379. Оп. 1. Д. 74. Л. 42.). В 1940 году флот получил 820 боевых самолетов (РГАВМФ. Ф. Р-61. Оп. 4. Д. 500. Л. 1. Данные по ВВС Тихоокеанского флота и Амурской флотилии были представлены по состоянию на 1 октября 1940 года.) (11710,353).</w:t>
      </w:r>
    </w:p>
    <w:p w14:paraId="319B42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C5E6F2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3DDB7D0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858E0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Риббентроп поручил посольству 26 сентября посетить В.М.М. и предупредить о том, что Германия и Италия подпишут тройственный союз с Японией (2536,162).</w:t>
      </w:r>
    </w:p>
    <w:p w14:paraId="749E9A4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91C97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25 сентября, 1940 г.</w:t>
      </w:r>
    </w:p>
    <w:p w14:paraId="0AEAF09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«893.24/887: Телеграмма</w:t>
      </w:r>
    </w:p>
    <w:p w14:paraId="721D7FB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Посол в Советском Союзе (Штейнгардт) - Госсекретарю Москва, 25 сентября, 1940 г. - 23.00.</w:t>
      </w:r>
    </w:p>
    <w:p w14:paraId="70B970A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[Получена 26 сентября - 01.17]</w:t>
      </w:r>
    </w:p>
    <w:p w14:paraId="1523F3D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1235. В ходе встречи с китайским послом сегодня вечером, посол заявил, что СССР продолжает отправку боеприпасов и военных материалов в Китай, в количествах меньших, чем до начала войны в Европе в сентябре 1939 г., но больших, чем весной 1940 г. Он добавил, что не так давно получил от своего правительства инструкции запросить поставки новых типов самолетов ввиду модернизации японских самолетов; советское правительство приняло этот запрос к рассмотрению, заявив, что в настоящее время некоторые из авиазаводов остановлены для переоснащения оборудования для самолетов новых типов, и когда эти авиазаводы будут вновь открыты в конце октября, это требование будет рассмотрено» (18261).</w:t>
      </w:r>
    </w:p>
    <w:p w14:paraId="1F4F317D" w14:textId="77777777" w:rsidR="005F6E3A" w:rsidRPr="00A3026E" w:rsidRDefault="005F6E3A" w:rsidP="00A3026E">
      <w:pPr>
        <w:spacing w:after="0" w:line="240" w:lineRule="auto"/>
        <w:jc w:val="both"/>
        <w:rPr>
          <w:rFonts w:ascii="Times New Roman" w:hAnsi="Times New Roman"/>
          <w:color w:val="000000" w:themeColor="text1"/>
          <w:sz w:val="16"/>
          <w:szCs w:val="16"/>
        </w:rPr>
      </w:pPr>
    </w:p>
    <w:p w14:paraId="3C2A57D6"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F7874E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8975690"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 сентября 1940 бомбардировщики Aereo Italiano (Итальянский Воздушный Корпус) прибывают на свою базу в Бельгии для участия в битве за Британию. Истребители поступят позже (20795).</w:t>
      </w:r>
    </w:p>
    <w:p w14:paraId="20E096B9" w14:textId="77777777" w:rsidR="00D073BE" w:rsidRPr="00A3026E" w:rsidRDefault="00D073BE" w:rsidP="00A3026E">
      <w:pPr>
        <w:spacing w:after="0" w:line="240" w:lineRule="auto"/>
        <w:jc w:val="both"/>
        <w:rPr>
          <w:rFonts w:ascii="Times New Roman" w:hAnsi="Times New Roman"/>
          <w:color w:val="0070C0"/>
          <w:sz w:val="16"/>
          <w:szCs w:val="16"/>
        </w:rPr>
      </w:pPr>
    </w:p>
    <w:p w14:paraId="0B2972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в Норвегии немцами запрещены все партии, кроме фашистской (4962).</w:t>
      </w:r>
    </w:p>
    <w:p w14:paraId="50139AA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B2154A9" w14:textId="77777777" w:rsidR="00E70D80" w:rsidRPr="00A3026E" w:rsidRDefault="00E70D8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в 1940 году ликвидация оккупантами норвежского Административного совета и запрещение всех политических партий, кроме квислинговской (фашистской) (14780).</w:t>
      </w:r>
    </w:p>
    <w:p w14:paraId="68B99642" w14:textId="77777777" w:rsidR="00E70D80" w:rsidRPr="00A3026E" w:rsidRDefault="00E70D80" w:rsidP="00A3026E">
      <w:pPr>
        <w:spacing w:after="0" w:line="240" w:lineRule="auto"/>
        <w:jc w:val="both"/>
        <w:rPr>
          <w:rFonts w:ascii="Times New Roman" w:hAnsi="Times New Roman"/>
          <w:color w:val="000000" w:themeColor="text1"/>
          <w:sz w:val="16"/>
          <w:szCs w:val="16"/>
        </w:rPr>
      </w:pPr>
    </w:p>
    <w:p w14:paraId="32C64B07"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September 25, 1940: An attack by Free French forces landed by ships of the Royal Navy against the west African port of Dakar is repulsed by Vichy troops (3819).</w:t>
      </w:r>
    </w:p>
    <w:p w14:paraId="7C391857"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3567C8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силы свободной Франции, высаженные с кораблей британских ВМФ, атаковали Дакар, но были отбиты вишистскими войсками (3819).</w:t>
      </w:r>
    </w:p>
    <w:p w14:paraId="698E47D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267033C"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25 September 1940 The Quisling Government in Norway is established (270).</w:t>
      </w:r>
    </w:p>
    <w:p w14:paraId="14F3DF81"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6AD20F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в Норвегии было создано про-гитлеровское правительство Квислинга (270).</w:t>
      </w:r>
    </w:p>
    <w:p w14:paraId="1796B3F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81F3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25-26 сентября 1940 англичане бомбили базу немецкого флота в Киле, но существенного ущерба не нанесли (2536,163).</w:t>
      </w:r>
    </w:p>
    <w:p w14:paraId="1376A61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9CF34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был единственный воздушный бой в ходе кампании в Индокитае. Группа Ки-27 из 84 сентая атаковала Потез-25 под защитой Морана. Сбила его, но потеряла истребитель (3942.42).</w:t>
      </w:r>
    </w:p>
    <w:p w14:paraId="2D25772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15972AF" w14:textId="77777777" w:rsidR="00E70D80" w:rsidRPr="00A3026E" w:rsidRDefault="00E70D8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в 1940 году не предусмотренные соглашением две японские дивизии перешли северную границу Французского Индокитая и двинулись к Лангшону. Французские пограничные заставы в районе Лангшона обстреляли японские колонны и в течение нескольких часов отбивали атаки японских войск (14780).</w:t>
      </w:r>
    </w:p>
    <w:p w14:paraId="2F9150AF" w14:textId="77777777" w:rsidR="00E70D80" w:rsidRPr="00A3026E" w:rsidRDefault="00E70D80" w:rsidP="00A3026E">
      <w:pPr>
        <w:spacing w:after="0" w:line="240" w:lineRule="auto"/>
        <w:jc w:val="both"/>
        <w:rPr>
          <w:rFonts w:ascii="Times New Roman" w:hAnsi="Times New Roman"/>
          <w:color w:val="000000" w:themeColor="text1"/>
          <w:sz w:val="16"/>
          <w:szCs w:val="16"/>
        </w:rPr>
      </w:pPr>
    </w:p>
    <w:p w14:paraId="74D10A6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американские дешифровальщики взломали японские военные коды (4962).</w:t>
      </w:r>
    </w:p>
    <w:p w14:paraId="1288566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366759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5CBB18F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0B8E0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в Контрольном листе учета выполнения постановления КО СНК СССР № 115сс от 4 марта 1940 г. представителем КО СНК СССР - контролером Вахрушевым была сделана запись:</w:t>
      </w:r>
    </w:p>
    <w:p w14:paraId="1F9C4B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ББ-1 М-90</w:t>
      </w:r>
    </w:p>
    <w:p w14:paraId="4A04EA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Задание сорвано из-за отсутствия М-90. Как временная мера принято решение поставить М-81. Получен один М-81 (10395,44).</w:t>
      </w:r>
    </w:p>
    <w:p w14:paraId="39922EC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819A9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в Контрольном листе учета выполнения постановления КО СНК СССР № 116сс от 4 марта 1940 г. представителем КО СНК СССР - контролером Вахрушевым была сделана запись:</w:t>
      </w:r>
    </w:p>
    <w:p w14:paraId="4B8CC8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 М-105 Стронгина</w:t>
      </w:r>
    </w:p>
    <w:p w14:paraId="72FA4F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 указанию т. Яковлева передается на завод № 81 (т. Климовицкому). Во время передачи самолета с завода № 1 выявлено низкое качество изготовления деталей (более 100 ед.), которое устраняется на заводе № 1.</w:t>
      </w:r>
    </w:p>
    <w:p w14:paraId="07BF97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Дано указание т. Алексееву (НКАП) привлечь виновных в выпуске дефектного самолета в воздух к ответственности (10395,44).</w:t>
      </w:r>
    </w:p>
    <w:p w14:paraId="5C2BB0A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23DA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начальник инспекции при наркоме Фокин писал А.И.Ш. справку N 5483 об обеспечении завода 124 колесами для ТБ-7 (1170).</w:t>
      </w:r>
    </w:p>
    <w:p w14:paraId="619424B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50C1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в Контрольном листе учета выполнения постановления КО СНК СССР № 239сс от 1 июня 1940 г. представителем КО СНК СССР - контролером Вахрушевым была сделана запись:</w:t>
      </w:r>
    </w:p>
    <w:p w14:paraId="341235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103 ОТБ НКВД</w:t>
      </w:r>
    </w:p>
    <w:p w14:paraId="39A1F2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Плазы и шаблоны изготовлены. Закончено изготовление приспособлений. Приступили к детальной сборке.</w:t>
      </w:r>
    </w:p>
    <w:p w14:paraId="14E600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готовность 1-го экз. 25%, 2-го экз. - 15%.</w:t>
      </w:r>
    </w:p>
    <w:p w14:paraId="56BF4A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Темпы производства в результате вмешательства Главного Контролера - улучшились (10395).</w:t>
      </w:r>
    </w:p>
    <w:p w14:paraId="03A4D91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627FE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в Контрольном листе учета выполнения постановления КО СНК СССР № 108сс от 4 марта 1940 г. представителем КО СНК СССР - контролером Вахрушевым была сделана запись:</w:t>
      </w:r>
    </w:p>
    <w:p w14:paraId="2762E2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СББ с М-105ТК Архангельского</w:t>
      </w:r>
    </w:p>
    <w:p w14:paraId="178DDD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Закончена общая сборка самолета. Комиссия приступила к работе по оформлению первого полета.</w:t>
      </w:r>
    </w:p>
    <w:p w14:paraId="38654F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не обеспечен винтами ВИШ-61 (з-д № 28). Винты в ближайшие дни будут доставлены на завод № 21.</w:t>
      </w:r>
    </w:p>
    <w:p w14:paraId="21A5DC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экз. Самолета не строится с согласия НКАП т. Шахурина.</w:t>
      </w:r>
    </w:p>
    <w:p w14:paraId="731924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 Архангельский взамен 2-го экз. Делает этот самолет в варианте ПБ (10395,38).</w:t>
      </w:r>
    </w:p>
    <w:p w14:paraId="2687CF4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3287D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в Контрольном листе учета выполнения постановления КО СНК СССР № 109сс от 4 марта 1940 г. представителем КО СНК СССР - контролером Вахрушевым была сделана запись:</w:t>
      </w:r>
    </w:p>
    <w:p w14:paraId="0368A6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моторный средний бомбардировщик с 2хМ-120 А.П.Голубкова СБ-30</w:t>
      </w:r>
    </w:p>
    <w:p w14:paraId="60CF8A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НКАП дал указание т. Голубкову параллельно с макетом самолета изготовить макет кабины, осуществив требования НКО. Техготовность макета самолета 90% (10395,38).</w:t>
      </w:r>
    </w:p>
    <w:p w14:paraId="1511698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80A72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в Контрольном листе учета выполнения постановления КО СНК СССР № 102сс от 4 марта 1940 г. представителем КО СНК СССР - контролером Вахрушевым была сделана запись:</w:t>
      </w:r>
    </w:p>
    <w:p w14:paraId="23D883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И-185</w:t>
      </w:r>
    </w:p>
    <w:p w14:paraId="44268E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20 сентября 1940 г.:</w:t>
      </w:r>
    </w:p>
    <w:p w14:paraId="163BC6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Отсутствуют моторы М-90 (завод № 29).</w:t>
      </w:r>
    </w:p>
    <w:p w14:paraId="0E3381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Направляются макетный мотор М-90 и М-71.</w:t>
      </w:r>
    </w:p>
    <w:p w14:paraId="68EF18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Заканчивается эскизный проект под ВМГ с М-81.</w:t>
      </w:r>
    </w:p>
    <w:p w14:paraId="378BC4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Статиспытания самолета И-185 с М-90 закончены, под моторы М-71 и М-81 - еще не проводились (10395,28).</w:t>
      </w:r>
    </w:p>
    <w:p w14:paraId="07EE54D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D387A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26 сентября 1940 в Контрольном листе учета выполнения постановления КО СНК СССР № 104сс от 4 марта 1940 г. представителем КО СНК СССР - контролером Вахрушевым была сделана запись:</w:t>
      </w:r>
    </w:p>
    <w:p w14:paraId="5AC89F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Таирова ОКО-8 с АМ-36</w:t>
      </w:r>
    </w:p>
    <w:p w14:paraId="5D9967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ГК самолета т. Таиров от задания отказался, т.к. по прикидочным расчетам заданную скорость получить не может, взамен данного самолета т. Таиров предлагает новый самолет (10395,34).</w:t>
      </w:r>
    </w:p>
    <w:p w14:paraId="6117FAD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00008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контролер Вахрушев - представитель КО СНК СССР - в журнале Учета выполнения постановлени правительства в отношении постановления КО N 103сс 1940 “О создании нового опытного одномоторного истребителя” отметил:</w:t>
      </w:r>
    </w:p>
    <w:p w14:paraId="4C5193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20 сентября 1940. Самолет закончил госиспытания 13 сентября 1940. Макс. скорость 628 км/час с положительной оценкой.</w:t>
      </w:r>
    </w:p>
    <w:p w14:paraId="709C05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испытания выявлены мелкие дефекты о которых даны указания ГК т. Микояну.</w:t>
      </w:r>
    </w:p>
    <w:p w14:paraId="2C7F96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НКАП (т. Алексеева) потребовал взять под особый контроль ход доводки самолета И-200 и доложить 15 октября 1940 (10395).</w:t>
      </w:r>
    </w:p>
    <w:p w14:paraId="35C3F9C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A5166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представитель КО СНК СССР Вахрушев от НКАП (т. Алексеева) потребовал взять под особый контроль ход доводки самолета И-200 и доложить 15 октября 1940 (10395,33).</w:t>
      </w:r>
    </w:p>
    <w:p w14:paraId="5FE6C86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A2C8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в Контрольном листе учета выполнения постановления КО СНК СССР № 105сс от 4 марта 1940 г. представителем КО СНК СССР - контролером Вахрушевым была сделана запись:</w:t>
      </w:r>
    </w:p>
    <w:p w14:paraId="06E9E9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ЭОИ М-105 2 ТК</w:t>
      </w:r>
    </w:p>
    <w:p w14:paraId="56AB71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готовность 1-го экз. 60%, 2-го экз. - 40%. Самолет фактически законсервирован.</w:t>
      </w:r>
    </w:p>
    <w:p w14:paraId="0A2E22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Комиссия НКАП, обследовавшая самолет, предлагает дальнейшую постройку самолета прекратить (10395,36).</w:t>
      </w:r>
    </w:p>
    <w:p w14:paraId="2700A4B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BCD1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в Контрольном листе учета выполнения постановления КО СНК СССР № 109сс от 4 марта 1940 г. представителем КО СНК СССР - контролером Вахрушевым была сделана запись:</w:t>
      </w:r>
    </w:p>
    <w:p w14:paraId="0CB5A3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И-21 Пашинина</w:t>
      </w:r>
    </w:p>
    <w:p w14:paraId="2F42D8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выявившихся дефектов при облете самолета в НИИ ВВС конструктор Пашинин принял решение произвести доводку самолета (устойчивость и скорость).</w:t>
      </w:r>
    </w:p>
    <w:p w14:paraId="32872B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 Самолета заканчивается переделкой. 2-й экз. Закончен постройкой (10395,36).</w:t>
      </w:r>
    </w:p>
    <w:p w14:paraId="069D69D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FF2B6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приказом НКАП № 510сс для заводских испытаний опытных образцов 207 завода И-207/3 и И-207/4 закрепили л-и Л.М.Максимова.</w:t>
      </w:r>
    </w:p>
    <w:p w14:paraId="7D51F7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проведения заводских летных испытаний опытных образцов ОКБ завода № 207, ПРИКАЗЫВАЮ:</w:t>
      </w:r>
    </w:p>
    <w:p w14:paraId="4C8AC6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Закрепить за ОКБ завода № 207, для проведения заводских испытаний самолетов И-207/3 и И-207/4 летчика-испытате</w:t>
      </w:r>
      <w:r w:rsidRPr="00A3026E">
        <w:rPr>
          <w:rFonts w:ascii="Times New Roman" w:hAnsi="Times New Roman"/>
          <w:color w:val="000000" w:themeColor="text1"/>
          <w:sz w:val="16"/>
          <w:szCs w:val="16"/>
        </w:rPr>
        <w:softHyphen/>
        <w:t>ля тов .МАКСИМОВА Л.М.</w:t>
      </w:r>
    </w:p>
    <w:p w14:paraId="02F4E7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проведение дополнительных заводских испытаний само</w:t>
      </w:r>
      <w:r w:rsidRPr="00A3026E">
        <w:rPr>
          <w:rFonts w:ascii="Times New Roman" w:hAnsi="Times New Roman"/>
          <w:color w:val="000000" w:themeColor="text1"/>
          <w:sz w:val="16"/>
          <w:szCs w:val="16"/>
        </w:rPr>
        <w:softHyphen/>
        <w:t>лета И-207/3 установить тов.Максимову дополнительную зарпла</w:t>
      </w:r>
      <w:r w:rsidRPr="00A3026E">
        <w:rPr>
          <w:rFonts w:ascii="Times New Roman" w:hAnsi="Times New Roman"/>
          <w:color w:val="000000" w:themeColor="text1"/>
          <w:sz w:val="16"/>
          <w:szCs w:val="16"/>
        </w:rPr>
        <w:softHyphen/>
        <w:t>ту в сумме 5.000 рублей (285,51).</w:t>
      </w:r>
    </w:p>
    <w:p w14:paraId="08673D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BB5A0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26 сентября по 10 декабря 1940 УТИ-26-1 дорабатывали в ОКБ А.С.Я. по результатам испытаний, сделали 119 полетов для проверки надежности замков шасси и на максимальную скорость, а т. 37 полетов в Кубинке, Раменском и на ЦА для вывозки перед полетами на МиГ-3 и потом отдали в ЛИИ, где долго использовали (198,37).</w:t>
      </w:r>
    </w:p>
    <w:p w14:paraId="01E363E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7CD1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26 сентября по 10 декабря 1940 г. на УТИ-26-1 поставили новые мотор, винт, всасывающий патрубок нагнетателя, маслорадиатор, а также устранили другие замеченные неполадки и дефекты. Затем самолет был передан в ЛИИ НКАП и долгое время использовался там для различных целей (12048).+</w:t>
      </w:r>
    </w:p>
    <w:p w14:paraId="4E842F7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01CD3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контролер Вахрушев - представитель КО СНК СССР - в журнале Учета выполнения постановлени правительства в отношении постановления КО N 325сс 1940 “О создании двухместного переходно-тренировочного истребителя с мотором М-105” отметил:</w:t>
      </w:r>
    </w:p>
    <w:p w14:paraId="2CF89D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УТИ-26</w:t>
      </w:r>
    </w:p>
    <w:p w14:paraId="58B863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 проходит госиспытания. Осталось испытать вооружение</w:t>
      </w:r>
    </w:p>
    <w:p w14:paraId="34CA2F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экз. проходит заводские испытания (10395).</w:t>
      </w:r>
    </w:p>
    <w:p w14:paraId="4B91D25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43FE6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в Контрольном листе учета выполнения постановления КО СНК СССР № 119сс от 4 марта 1940 г. представителем КО СНК СССР - контролером Вахрушевым была сделана запись:</w:t>
      </w:r>
    </w:p>
    <w:p w14:paraId="128C7F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УТ-1 модифицированный</w:t>
      </w:r>
    </w:p>
    <w:p w14:paraId="33128E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самолету УТ-1 работы в КБ-115 ведутся очень медленно. Сроки, указанные в постановлении КО, сорваны. Обратил внимание НКАП (т. Алексеев) - взять под контроль и к 15 октября - доложить (10395,74).</w:t>
      </w:r>
    </w:p>
    <w:p w14:paraId="69F7E4E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6144C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контролер Вахрушев - представитель КО СНК СССР - в журнале Учета выполнения постановлени правительства в отношении постановления КО N 117сс 1940 “О создании самолета связи “Аист” отметил:</w:t>
      </w:r>
    </w:p>
    <w:p w14:paraId="33C3DB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 Экземпляр строительством закончен, но с макетным мотором</w:t>
      </w:r>
    </w:p>
    <w:p w14:paraId="7BD796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экз. Находится в агрегатной сборке с готовностью 40%. 2-й экз. Строится в санитарном варианте. Задерживается поставка мотора МВ-6 с завода № 16 (10395).</w:t>
      </w:r>
    </w:p>
    <w:p w14:paraId="18C1935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53F1C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в Контрольном листе учета выполнения постановления КО СНК СССР № 123сс от 4 марта 1940 г. представителем КО СНК СССР - контролером Вахрушевым была сделана запись:</w:t>
      </w:r>
    </w:p>
    <w:p w14:paraId="7136DE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МДР-7 Самсонова</w:t>
      </w:r>
    </w:p>
    <w:p w14:paraId="6100FF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экз. Находится в производстве. Ставятся предкрылки (10395,82).</w:t>
      </w:r>
    </w:p>
    <w:p w14:paraId="7E62387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91CCA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в Контрольном листе учета выполнения постановления КО СНК СССР № 125сс от 4 марта 1940 г. представителем КО СНК СССР - контролером Вахрушевым была сделана запись:</w:t>
      </w:r>
    </w:p>
    <w:p w14:paraId="0089D8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КОР-2 М-63</w:t>
      </w:r>
    </w:p>
    <w:p w14:paraId="4333EE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 Заканчивается производством. Назначена комиссия по первому вылету.</w:t>
      </w:r>
    </w:p>
    <w:p w14:paraId="3A585A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экз. Находится в подетальной сборке (10395,87).</w:t>
      </w:r>
    </w:p>
    <w:p w14:paraId="6A95159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46A8F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контролер Вахрушев - представитель КО СНК СССР - в журнале Учета выполнения постановлени правительства в отношении постановления КО “О достройке двухмоторного морского дальнего разведчика и об установке на него моторов М-62” отметил:</w:t>
      </w:r>
    </w:p>
    <w:p w14:paraId="3719E5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МДР-6 с 2М-62 закончил заводские испытания, обнаружена сильная коррозия дюралевых частей самолета.</w:t>
      </w:r>
    </w:p>
    <w:p w14:paraId="77736E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Принято решение на госиспытания этот самолет не передавать.</w:t>
      </w:r>
    </w:p>
    <w:p w14:paraId="225D00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Передать один из самолетов из серийного производства на госиспытания.</w:t>
      </w:r>
    </w:p>
    <w:p w14:paraId="64D719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МДР-6 с 2М-62 к полетам допушен не был из-за ошибок в расчете на фюзеляж, которые снйчас заканчиваются проверкой (10395).</w:t>
      </w:r>
    </w:p>
    <w:p w14:paraId="2AFF36D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BE6B7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контролер Вахрушев - представитель КО СНК СССР - в журнале Учета выполнения постановлени правительства в отношении постановления КО “О достройке двухмоторного морского дальнего разведчика и об установке на него моторов М-62” отметил:</w:t>
      </w:r>
    </w:p>
    <w:p w14:paraId="7D0896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МДР-6 с 2М-6Б с 2М-105 </w:t>
      </w:r>
    </w:p>
    <w:p w14:paraId="4D7743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НКАП командировал на завод № 31 тю Злоказова, который находится сейчас на заводе (10395).</w:t>
      </w:r>
    </w:p>
    <w:p w14:paraId="7355F9C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45D71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контролер Вахрушев - представитель КО СНК СССР - в журнале Учета выполнения постановлени правительства в отношении постановления КО N 318сс 1940 “О создании двухместного самолета первоначального обучения с мотором М-11” отметил:</w:t>
      </w:r>
    </w:p>
    <w:p w14:paraId="4FD1C2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Изготавливаются рабочие чертежи (10395).</w:t>
      </w:r>
    </w:p>
    <w:p w14:paraId="3D2E65B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80102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с письмом № 26/424 Зам. Нач. ОКО Жиганова Зам. Нач. 7 ГУ НКАП Шишкину был направлен Отчет о ДВИЖЕНИИ ОПЫТНЫХ РАБОТ В ОКО ЗАВОДА № 135 на 25 сентября 1940 г.</w:t>
      </w:r>
    </w:p>
    <w:p w14:paraId="19D782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маш..330 (Заказ 360)</w:t>
      </w:r>
    </w:p>
    <w:p w14:paraId="7BB7F9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Производство: с 13/1X по 25/09 - закончен монтаж костыльной установки</w:t>
      </w:r>
    </w:p>
    <w:p w14:paraId="5BE85F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Продолжается сборка шасси, полученные колеса от 120 завода не имеют резины.</w:t>
      </w:r>
    </w:p>
    <w:p w14:paraId="7CA1C5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Получены 23/1Х- измененные чертежи 289 завода на установку водо и масдорадиаторов.</w:t>
      </w:r>
    </w:p>
    <w:p w14:paraId="652723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Окончание монтажа машины в дальнейием все так-же задерживается из-за отсутствия: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72863E60" w14:textId="77777777" w:rsidTr="00EA0DA7">
        <w:tc>
          <w:tcPr>
            <w:tcW w:w="5636" w:type="dxa"/>
            <w:tcBorders>
              <w:top w:val="single" w:sz="12" w:space="0" w:color="auto"/>
            </w:tcBorders>
            <w:shd w:val="clear" w:color="auto" w:fill="FFFFFF"/>
          </w:tcPr>
          <w:p w14:paraId="29803A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винта ВИШ-61</w:t>
            </w:r>
          </w:p>
        </w:tc>
        <w:tc>
          <w:tcPr>
            <w:tcW w:w="5636" w:type="dxa"/>
            <w:tcBorders>
              <w:top w:val="single" w:sz="12" w:space="0" w:color="auto"/>
            </w:tcBorders>
            <w:shd w:val="clear" w:color="auto" w:fill="FFFFFF"/>
          </w:tcPr>
          <w:p w14:paraId="37632B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28</w:t>
            </w:r>
          </w:p>
        </w:tc>
      </w:tr>
      <w:tr w:rsidR="00983732" w:rsidRPr="00A3026E" w14:paraId="41BDD2B9" w14:textId="77777777" w:rsidTr="00EA0DA7">
        <w:tc>
          <w:tcPr>
            <w:tcW w:w="5636" w:type="dxa"/>
            <w:shd w:val="clear" w:color="auto" w:fill="FFFFFF"/>
          </w:tcPr>
          <w:p w14:paraId="2313EF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Масло помпы 88у</w:t>
            </w:r>
          </w:p>
        </w:tc>
        <w:tc>
          <w:tcPr>
            <w:tcW w:w="5636" w:type="dxa"/>
            <w:shd w:val="clear" w:color="auto" w:fill="FFFFFF"/>
          </w:tcPr>
          <w:p w14:paraId="4ECA4B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w:t>
            </w:r>
          </w:p>
        </w:tc>
      </w:tr>
      <w:tr w:rsidR="00983732" w:rsidRPr="00A3026E" w14:paraId="5DE897F1" w14:textId="77777777" w:rsidTr="00EA0DA7">
        <w:tc>
          <w:tcPr>
            <w:tcW w:w="5636" w:type="dxa"/>
            <w:shd w:val="clear" w:color="auto" w:fill="FFFFFF"/>
          </w:tcPr>
          <w:p w14:paraId="2A49C9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РК-350</w:t>
            </w:r>
          </w:p>
        </w:tc>
        <w:tc>
          <w:tcPr>
            <w:tcW w:w="5636" w:type="dxa"/>
            <w:shd w:val="clear" w:color="auto" w:fill="FFFFFF"/>
          </w:tcPr>
          <w:p w14:paraId="6BC0C8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266</w:t>
            </w:r>
          </w:p>
        </w:tc>
      </w:tr>
      <w:tr w:rsidR="00983732" w:rsidRPr="00A3026E" w14:paraId="61D85984" w14:textId="77777777" w:rsidTr="00EA0DA7">
        <w:tc>
          <w:tcPr>
            <w:tcW w:w="5636" w:type="dxa"/>
            <w:shd w:val="clear" w:color="auto" w:fill="FFFFFF"/>
          </w:tcPr>
          <w:p w14:paraId="3F19D7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Г-350</w:t>
            </w:r>
          </w:p>
        </w:tc>
        <w:tc>
          <w:tcPr>
            <w:tcW w:w="5636" w:type="dxa"/>
            <w:shd w:val="clear" w:color="auto" w:fill="FFFFFF"/>
          </w:tcPr>
          <w:p w14:paraId="5D780E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266</w:t>
            </w:r>
          </w:p>
        </w:tc>
      </w:tr>
      <w:tr w:rsidR="00983732" w:rsidRPr="00A3026E" w14:paraId="7F7FFCD8" w14:textId="77777777" w:rsidTr="00EA0DA7">
        <w:tc>
          <w:tcPr>
            <w:tcW w:w="5636" w:type="dxa"/>
            <w:tcBorders>
              <w:bottom w:val="single" w:sz="12" w:space="0" w:color="auto"/>
            </w:tcBorders>
            <w:shd w:val="clear" w:color="auto" w:fill="FFFFFF"/>
          </w:tcPr>
          <w:p w14:paraId="43EF06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Плексигласовой части козырька</w:t>
            </w:r>
          </w:p>
        </w:tc>
        <w:tc>
          <w:tcPr>
            <w:tcW w:w="5636" w:type="dxa"/>
            <w:tcBorders>
              <w:bottom w:val="single" w:sz="12" w:space="0" w:color="auto"/>
            </w:tcBorders>
            <w:shd w:val="clear" w:color="auto" w:fill="FFFFFF"/>
          </w:tcPr>
          <w:p w14:paraId="43CBE0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156</w:t>
            </w:r>
          </w:p>
        </w:tc>
      </w:tr>
    </w:tbl>
    <w:p w14:paraId="6C13DF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Пушки под мотор М-105</w:t>
      </w:r>
    </w:p>
    <w:p w14:paraId="5163EE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Шлангов бронированных</w:t>
      </w:r>
    </w:p>
    <w:p w14:paraId="01B3F6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нами до сих пор не получено</w:t>
      </w:r>
    </w:p>
    <w:tbl>
      <w:tblPr>
        <w:tblW w:w="0" w:type="auto"/>
        <w:tblInd w:w="40" w:type="dxa"/>
        <w:tblLayout w:type="fixed"/>
        <w:tblCellMar>
          <w:left w:w="40" w:type="dxa"/>
          <w:right w:w="40" w:type="dxa"/>
        </w:tblCellMar>
        <w:tblLook w:val="0000" w:firstRow="0" w:lastRow="0" w:firstColumn="0" w:lastColumn="0" w:noHBand="0" w:noVBand="0"/>
      </w:tblPr>
      <w:tblGrid>
        <w:gridCol w:w="3658"/>
        <w:gridCol w:w="2909"/>
      </w:tblGrid>
      <w:tr w:rsidR="00983732" w:rsidRPr="00A3026E" w14:paraId="35738539" w14:textId="77777777" w:rsidTr="00EA0DA7">
        <w:trPr>
          <w:trHeight w:val="336"/>
        </w:trPr>
        <w:tc>
          <w:tcPr>
            <w:tcW w:w="3658" w:type="dxa"/>
            <w:tcBorders>
              <w:top w:val="single" w:sz="12" w:space="0" w:color="auto"/>
              <w:left w:val="single" w:sz="6" w:space="0" w:color="auto"/>
              <w:bottom w:val="single" w:sz="6" w:space="0" w:color="auto"/>
              <w:right w:val="single" w:sz="6" w:space="0" w:color="auto"/>
            </w:tcBorders>
          </w:tcPr>
          <w:p w14:paraId="700C3B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Регулятор ТК</w:t>
            </w:r>
          </w:p>
        </w:tc>
        <w:tc>
          <w:tcPr>
            <w:tcW w:w="2909" w:type="dxa"/>
            <w:tcBorders>
              <w:top w:val="single" w:sz="12" w:space="0" w:color="auto"/>
              <w:left w:val="single" w:sz="6" w:space="0" w:color="auto"/>
              <w:bottom w:val="single" w:sz="6" w:space="0" w:color="auto"/>
              <w:right w:val="single" w:sz="12" w:space="0" w:color="auto"/>
            </w:tcBorders>
          </w:tcPr>
          <w:p w14:paraId="205344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ЦИАМ</w:t>
            </w:r>
          </w:p>
        </w:tc>
      </w:tr>
      <w:tr w:rsidR="00983732" w:rsidRPr="00A3026E" w14:paraId="3124D90F" w14:textId="77777777" w:rsidTr="00EA0DA7">
        <w:trPr>
          <w:trHeight w:val="336"/>
        </w:trPr>
        <w:tc>
          <w:tcPr>
            <w:tcW w:w="3658" w:type="dxa"/>
            <w:tcBorders>
              <w:top w:val="single" w:sz="12" w:space="0" w:color="auto"/>
              <w:left w:val="single" w:sz="6" w:space="0" w:color="auto"/>
              <w:bottom w:val="single" w:sz="6" w:space="0" w:color="auto"/>
              <w:right w:val="single" w:sz="6" w:space="0" w:color="auto"/>
            </w:tcBorders>
          </w:tcPr>
          <w:p w14:paraId="2BCAAD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Сервомотор</w:t>
            </w:r>
          </w:p>
        </w:tc>
        <w:tc>
          <w:tcPr>
            <w:tcW w:w="2909" w:type="dxa"/>
            <w:tcBorders>
              <w:top w:val="single" w:sz="12" w:space="0" w:color="auto"/>
              <w:left w:val="single" w:sz="6" w:space="0" w:color="auto"/>
              <w:bottom w:val="single" w:sz="6" w:space="0" w:color="auto"/>
              <w:right w:val="single" w:sz="12" w:space="0" w:color="auto"/>
            </w:tcBorders>
          </w:tcPr>
          <w:p w14:paraId="197B7A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ЦИАМ</w:t>
            </w:r>
          </w:p>
        </w:tc>
      </w:tr>
      <w:tr w:rsidR="00983732" w:rsidRPr="00A3026E" w14:paraId="155BEC41" w14:textId="77777777" w:rsidTr="00EA0DA7">
        <w:trPr>
          <w:trHeight w:val="163"/>
        </w:trPr>
        <w:tc>
          <w:tcPr>
            <w:tcW w:w="3658" w:type="dxa"/>
            <w:tcBorders>
              <w:top w:val="single" w:sz="6" w:space="0" w:color="auto"/>
              <w:left w:val="single" w:sz="6" w:space="0" w:color="auto"/>
              <w:bottom w:val="single" w:sz="6" w:space="0" w:color="auto"/>
              <w:right w:val="single" w:sz="6" w:space="0" w:color="auto"/>
            </w:tcBorders>
          </w:tcPr>
          <w:p w14:paraId="6DA7E2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ПУ-6</w:t>
            </w:r>
          </w:p>
        </w:tc>
        <w:tc>
          <w:tcPr>
            <w:tcW w:w="2909" w:type="dxa"/>
            <w:tcBorders>
              <w:top w:val="single" w:sz="6" w:space="0" w:color="auto"/>
              <w:left w:val="single" w:sz="6" w:space="0" w:color="auto"/>
              <w:bottom w:val="single" w:sz="6" w:space="0" w:color="auto"/>
              <w:right w:val="single" w:sz="12" w:space="0" w:color="auto"/>
            </w:tcBorders>
          </w:tcPr>
          <w:p w14:paraId="5CA732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3-Д 120</w:t>
            </w:r>
          </w:p>
        </w:tc>
      </w:tr>
      <w:tr w:rsidR="00983732" w:rsidRPr="00A3026E" w14:paraId="46009C4C" w14:textId="77777777" w:rsidTr="00EA0DA7">
        <w:trPr>
          <w:trHeight w:val="173"/>
        </w:trPr>
        <w:tc>
          <w:tcPr>
            <w:tcW w:w="3658" w:type="dxa"/>
            <w:tcBorders>
              <w:top w:val="single" w:sz="6" w:space="0" w:color="auto"/>
              <w:left w:val="single" w:sz="6" w:space="0" w:color="auto"/>
              <w:bottom w:val="single" w:sz="6" w:space="0" w:color="auto"/>
              <w:right w:val="single" w:sz="6" w:space="0" w:color="auto"/>
            </w:tcBorders>
          </w:tcPr>
          <w:p w14:paraId="028333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Фильтр "Куно”</w:t>
            </w:r>
          </w:p>
        </w:tc>
        <w:tc>
          <w:tcPr>
            <w:tcW w:w="2909" w:type="dxa"/>
            <w:tcBorders>
              <w:top w:val="single" w:sz="6" w:space="0" w:color="auto"/>
              <w:left w:val="single" w:sz="6" w:space="0" w:color="auto"/>
              <w:bottom w:val="single" w:sz="6" w:space="0" w:color="auto"/>
              <w:right w:val="single" w:sz="12" w:space="0" w:color="auto"/>
            </w:tcBorders>
          </w:tcPr>
          <w:p w14:paraId="7E48B2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26</w:t>
            </w:r>
          </w:p>
        </w:tc>
      </w:tr>
      <w:tr w:rsidR="00983732" w:rsidRPr="00A3026E" w14:paraId="06D1A33C" w14:textId="77777777" w:rsidTr="00EA0DA7">
        <w:trPr>
          <w:trHeight w:val="230"/>
        </w:trPr>
        <w:tc>
          <w:tcPr>
            <w:tcW w:w="3658" w:type="dxa"/>
            <w:tcBorders>
              <w:top w:val="single" w:sz="6" w:space="0" w:color="auto"/>
              <w:left w:val="single" w:sz="6" w:space="0" w:color="auto"/>
              <w:bottom w:val="single" w:sz="6" w:space="0" w:color="auto"/>
              <w:right w:val="single" w:sz="6" w:space="0" w:color="auto"/>
            </w:tcBorders>
          </w:tcPr>
          <w:p w14:paraId="2078EC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Р-7</w:t>
            </w:r>
          </w:p>
        </w:tc>
        <w:tc>
          <w:tcPr>
            <w:tcW w:w="2909" w:type="dxa"/>
            <w:tcBorders>
              <w:top w:val="single" w:sz="6" w:space="0" w:color="auto"/>
              <w:left w:val="single" w:sz="6" w:space="0" w:color="auto"/>
              <w:bottom w:val="single" w:sz="6" w:space="0" w:color="auto"/>
              <w:right w:val="single" w:sz="12" w:space="0" w:color="auto"/>
            </w:tcBorders>
          </w:tcPr>
          <w:p w14:paraId="5A082D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2О</w:t>
            </w:r>
          </w:p>
        </w:tc>
      </w:tr>
      <w:tr w:rsidR="00983732" w:rsidRPr="00A3026E" w14:paraId="4647F11A" w14:textId="77777777" w:rsidTr="00EA0DA7">
        <w:trPr>
          <w:trHeight w:val="173"/>
        </w:trPr>
        <w:tc>
          <w:tcPr>
            <w:tcW w:w="3658" w:type="dxa"/>
            <w:tcBorders>
              <w:top w:val="single" w:sz="6" w:space="0" w:color="auto"/>
              <w:left w:val="single" w:sz="6" w:space="0" w:color="auto"/>
              <w:bottom w:val="single" w:sz="6" w:space="0" w:color="auto"/>
              <w:right w:val="single" w:sz="6" w:space="0" w:color="auto"/>
            </w:tcBorders>
          </w:tcPr>
          <w:p w14:paraId="336FEA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Обратный клапан ОКЛ</w:t>
            </w:r>
          </w:p>
        </w:tc>
        <w:tc>
          <w:tcPr>
            <w:tcW w:w="2909" w:type="dxa"/>
            <w:tcBorders>
              <w:top w:val="single" w:sz="6" w:space="0" w:color="auto"/>
              <w:left w:val="single" w:sz="6" w:space="0" w:color="auto"/>
              <w:bottom w:val="single" w:sz="6" w:space="0" w:color="auto"/>
              <w:right w:val="single" w:sz="12" w:space="0" w:color="auto"/>
            </w:tcBorders>
          </w:tcPr>
          <w:p w14:paraId="677673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120</w:t>
            </w:r>
          </w:p>
        </w:tc>
      </w:tr>
      <w:tr w:rsidR="00983732" w:rsidRPr="00A3026E" w14:paraId="6219EE78" w14:textId="77777777" w:rsidTr="00EA0DA7">
        <w:trPr>
          <w:trHeight w:val="173"/>
        </w:trPr>
        <w:tc>
          <w:tcPr>
            <w:tcW w:w="3658" w:type="dxa"/>
            <w:tcBorders>
              <w:top w:val="single" w:sz="6" w:space="0" w:color="auto"/>
              <w:left w:val="single" w:sz="6" w:space="0" w:color="auto"/>
              <w:bottom w:val="single" w:sz="6" w:space="0" w:color="auto"/>
              <w:right w:val="single" w:sz="6" w:space="0" w:color="auto"/>
            </w:tcBorders>
          </w:tcPr>
          <w:p w14:paraId="50F94A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Дистанцион. термометр воды</w:t>
            </w:r>
          </w:p>
        </w:tc>
        <w:tc>
          <w:tcPr>
            <w:tcW w:w="2909" w:type="dxa"/>
            <w:tcBorders>
              <w:top w:val="single" w:sz="6" w:space="0" w:color="auto"/>
              <w:left w:val="single" w:sz="6" w:space="0" w:color="auto"/>
              <w:bottom w:val="single" w:sz="6" w:space="0" w:color="auto"/>
              <w:right w:val="single" w:sz="12" w:space="0" w:color="auto"/>
            </w:tcBorders>
          </w:tcPr>
          <w:p w14:paraId="069A22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213</w:t>
            </w:r>
          </w:p>
        </w:tc>
      </w:tr>
      <w:tr w:rsidR="00983732" w:rsidRPr="00A3026E" w14:paraId="4ECF5965" w14:textId="77777777" w:rsidTr="00EA0DA7">
        <w:trPr>
          <w:trHeight w:val="154"/>
        </w:trPr>
        <w:tc>
          <w:tcPr>
            <w:tcW w:w="3658" w:type="dxa"/>
            <w:tcBorders>
              <w:top w:val="single" w:sz="6" w:space="0" w:color="auto"/>
              <w:left w:val="single" w:sz="6" w:space="0" w:color="auto"/>
              <w:bottom w:val="single" w:sz="6" w:space="0" w:color="auto"/>
              <w:right w:val="single" w:sz="6" w:space="0" w:color="auto"/>
            </w:tcBorders>
          </w:tcPr>
          <w:p w14:paraId="17DE5A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Дистанционный термометр масла</w:t>
            </w:r>
          </w:p>
        </w:tc>
        <w:tc>
          <w:tcPr>
            <w:tcW w:w="2909" w:type="dxa"/>
            <w:tcBorders>
              <w:top w:val="single" w:sz="6" w:space="0" w:color="auto"/>
              <w:left w:val="single" w:sz="6" w:space="0" w:color="auto"/>
              <w:bottom w:val="single" w:sz="6" w:space="0" w:color="auto"/>
              <w:right w:val="single" w:sz="12" w:space="0" w:color="auto"/>
            </w:tcBorders>
          </w:tcPr>
          <w:p w14:paraId="4853B8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213</w:t>
            </w:r>
          </w:p>
        </w:tc>
      </w:tr>
      <w:tr w:rsidR="00983732" w:rsidRPr="00A3026E" w14:paraId="34AF6867" w14:textId="77777777" w:rsidTr="00EA0DA7">
        <w:trPr>
          <w:trHeight w:val="202"/>
        </w:trPr>
        <w:tc>
          <w:tcPr>
            <w:tcW w:w="3658" w:type="dxa"/>
            <w:tcBorders>
              <w:top w:val="single" w:sz="6" w:space="0" w:color="auto"/>
              <w:left w:val="single" w:sz="6" w:space="0" w:color="auto"/>
              <w:bottom w:val="single" w:sz="6" w:space="0" w:color="auto"/>
              <w:right w:val="single" w:sz="6" w:space="0" w:color="auto"/>
            </w:tcBorders>
          </w:tcPr>
          <w:p w14:paraId="03A546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Рация</w:t>
            </w:r>
          </w:p>
        </w:tc>
        <w:tc>
          <w:tcPr>
            <w:tcW w:w="2909" w:type="dxa"/>
            <w:tcBorders>
              <w:top w:val="single" w:sz="6" w:space="0" w:color="auto"/>
              <w:left w:val="single" w:sz="6" w:space="0" w:color="auto"/>
              <w:bottom w:val="single" w:sz="6" w:space="0" w:color="auto"/>
              <w:right w:val="single" w:sz="12" w:space="0" w:color="auto"/>
            </w:tcBorders>
          </w:tcPr>
          <w:p w14:paraId="7697B2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203</w:t>
            </w:r>
          </w:p>
        </w:tc>
      </w:tr>
    </w:tbl>
    <w:p w14:paraId="4844F6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серийной машины</w:t>
      </w:r>
    </w:p>
    <w:p w14:paraId="18A351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Заканчивается проектирование ВМГ с М-81</w:t>
      </w:r>
    </w:p>
    <w:p w14:paraId="4C7917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smallCaps/>
          <w:color w:val="000000" w:themeColor="text1"/>
          <w:sz w:val="16"/>
          <w:szCs w:val="16"/>
        </w:rPr>
        <w:t xml:space="preserve">Производство: </w:t>
      </w:r>
      <w:r w:rsidRPr="00A3026E">
        <w:rPr>
          <w:rFonts w:ascii="Times New Roman" w:hAnsi="Times New Roman"/>
          <w:color w:val="000000" w:themeColor="text1"/>
          <w:sz w:val="16"/>
          <w:szCs w:val="16"/>
        </w:rPr>
        <w:t>"МН" с мотором М-9О - продолжается изготовление шасси</w:t>
      </w:r>
    </w:p>
    <w:p w14:paraId="5C7EB8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"МН" о мотором м-81 (дублер)</w:t>
      </w:r>
    </w:p>
    <w:p w14:paraId="047868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Готовность запущенных узлов</w:t>
      </w:r>
    </w:p>
    <w:p w14:paraId="1A3ACA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Моторама</w:t>
      </w:r>
    </w:p>
    <w:p w14:paraId="5C899F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Сектор 2-го пилота</w:t>
      </w:r>
    </w:p>
    <w:p w14:paraId="26C36F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Башмаки креплен. Моторамы</w:t>
      </w:r>
    </w:p>
    <w:p w14:paraId="329F5C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Переделка 1-го шпангоута</w:t>
      </w:r>
    </w:p>
    <w:p w14:paraId="269DCD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Сектор 1-го пилота</w:t>
      </w:r>
    </w:p>
    <w:p w14:paraId="0EED28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Бензинофильтр с альвеером</w:t>
      </w:r>
    </w:p>
    <w:p w14:paraId="3B3E9B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альвеером</w:t>
      </w:r>
    </w:p>
    <w:p w14:paraId="6BCEA3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Бензокран </w:t>
      </w:r>
    </w:p>
    <w:p w14:paraId="716FC3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бензокраном</w:t>
      </w:r>
    </w:p>
    <w:p w14:paraId="67B183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Отопление кабины</w:t>
      </w:r>
    </w:p>
    <w:p w14:paraId="2014A1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Маслобак</w:t>
      </w:r>
    </w:p>
    <w:p w14:paraId="52833F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 юбкой капота</w:t>
      </w:r>
    </w:p>
    <w:p w14:paraId="1026FE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Внутренний капот</w:t>
      </w:r>
    </w:p>
    <w:p w14:paraId="430692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 заслонкой маслорад.</w:t>
      </w:r>
    </w:p>
    <w:p w14:paraId="6E364C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Бензобак</w:t>
      </w:r>
    </w:p>
    <w:p w14:paraId="34206B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Бензопроводка</w:t>
      </w:r>
    </w:p>
    <w:p w14:paraId="5ADAAA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Выхлопной коллектор</w:t>
      </w:r>
    </w:p>
    <w:p w14:paraId="11CF1D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Инертные газы</w:t>
      </w:r>
    </w:p>
    <w:p w14:paraId="51B51F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Наружный капот</w:t>
      </w:r>
    </w:p>
    <w:p w14:paraId="2C8FC9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Кок на винт</w:t>
      </w:r>
    </w:p>
    <w:p w14:paraId="233D17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Люк бензобака</w:t>
      </w:r>
    </w:p>
    <w:p w14:paraId="79B506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w:t>
      </w:r>
    </w:p>
    <w:p w14:paraId="30CBED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Щитки шасси</w:t>
      </w:r>
    </w:p>
    <w:p w14:paraId="1A6095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Заливка мотора</w:t>
      </w:r>
    </w:p>
    <w:p w14:paraId="0663FC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Получен мотор М-81</w:t>
      </w:r>
    </w:p>
    <w:p w14:paraId="44DFCF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получено</w:t>
      </w:r>
    </w:p>
    <w:p w14:paraId="593217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Бензобаки</w:t>
      </w:r>
    </w:p>
    <w:p w14:paraId="71BA65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Винт АВ-5</w:t>
      </w:r>
    </w:p>
    <w:p w14:paraId="16DB81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Заливной бензошприц</w:t>
      </w:r>
    </w:p>
    <w:p w14:paraId="7E153A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Пиростартер ИС-5</w:t>
      </w:r>
    </w:p>
    <w:p w14:paraId="0F8121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Радиатор масл. ОП234</w:t>
      </w:r>
    </w:p>
    <w:p w14:paraId="67DEFD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Помпа М-88Р</w:t>
      </w:r>
    </w:p>
    <w:p w14:paraId="70C1D6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Пусковая катушка КП477</w:t>
      </w:r>
    </w:p>
    <w:p w14:paraId="5755A4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Помпа для аварийного выпуска шасси агр. 100</w:t>
      </w:r>
    </w:p>
    <w:p w14:paraId="0BA42E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Планер для стат. испытаний.</w:t>
      </w:r>
    </w:p>
    <w:p w14:paraId="348867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Проведены испытания на случаи Е и В</w:t>
      </w:r>
    </w:p>
    <w:p w14:paraId="700774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Производится подготовительная работа для испытания на случай А (874,75).</w:t>
      </w:r>
    </w:p>
    <w:p w14:paraId="68FE83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6FE45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года постановление № 387сс КО</w:t>
      </w:r>
    </w:p>
    <w:p w14:paraId="63B2C2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постройке мощного 24-х цилиндрового авиамотора МБ-100</w:t>
      </w:r>
    </w:p>
    <w:p w14:paraId="5BDC68B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Постановление КО от 15 июня 1940 года за № 264сс о проектировании мощного Н-образного мотора водяного охлаждения М-130 на заводе № 27 отменить.</w:t>
      </w:r>
    </w:p>
    <w:p w14:paraId="31AA018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НКАП Шахурина, директора завода № 27 Михайлова и гл. конструктора Ро в кооперации с заводом № 26 построить мощный 24-х цилиндровый мотор водяного охлаждения МБ-100 (на базе мотора М-105) по проекту ОТБ НКВД со следующими техническими данными: взлетная мощность 2200 л.с., номинальная мощность – 2100 л.с. на высоте 4000 м при числе оборотов 2700 об/мин., весом в 1250 кг:</w:t>
      </w:r>
    </w:p>
    <w:p w14:paraId="6208A7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спроектировать и изготовить первые два мотора с выходом их на стендовые испытания к 1 декабря 1941 года;</w:t>
      </w:r>
    </w:p>
    <w:p w14:paraId="011199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предъявить на 50-ти часовые совместные испытания к 1 марта 1942 года;</w:t>
      </w:r>
    </w:p>
    <w:p w14:paraId="1B4C00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предъявить на 100-часовые госиспытания к 1 сентября 1942 года.</w:t>
      </w:r>
    </w:p>
    <w:p w14:paraId="4DBD21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возложить под личную ответственность директоров заводоа:</w:t>
      </w:r>
    </w:p>
    <w:p w14:paraId="6BBCC9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28 и 20 - проектирование и изготовление винтов изменяемого шага с автоматикой</w:t>
      </w:r>
    </w:p>
    <w:p w14:paraId="4487F0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34 - проектирование и изготовление радиаторов</w:t>
      </w:r>
    </w:p>
    <w:p w14:paraId="2E1014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33 - проектирование и изготовление карбюраторов</w:t>
      </w:r>
    </w:p>
    <w:p w14:paraId="39F282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техническим требованиям завода № 27 и в сроки, обеспечивающие своевременное изготовление мотора МБ-100</w:t>
      </w:r>
    </w:p>
    <w:p w14:paraId="27808C7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Создать на заводе № 27 ОКБ из группы специалистов ОТБ НКВД в количестве 50 человек и 25 чедовек конструкторов и технологов, командируемых НКАП до 1 января 1941 года (7611, 243-245).</w:t>
      </w:r>
    </w:p>
    <w:p w14:paraId="0998B6A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НКВД тов. Берия обеспечить посылку группы специалистов на завод № 27 до 1 октября 1940 первых 35 чел. и до 1 ноября - остальных.</w:t>
      </w:r>
    </w:p>
    <w:p w14:paraId="42A3D1D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 Выделить в 4 кв. 1940 заводу № 27 цедевые флнды на станки для опытного цеха завода, согласно приложению № 1.</w:t>
      </w:r>
    </w:p>
    <w:p w14:paraId="21B65FF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Наркомфину СССР из резервного фонда СНК выделить валютный контингент в размере 6,5 млн. руб. для закупки за границей станочного оборудования и приборов для завода № 27.</w:t>
      </w:r>
    </w:p>
    <w:p w14:paraId="6C8CD41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НКВнешней торговли разместить заказ на импорт станочного оборудования и приборов заводу № 27 на сумму 6,5 млн. руб., обеспечив сроки завоза оборудования по спецификации НКАП без виз промышленности.</w:t>
      </w:r>
    </w:p>
    <w:p w14:paraId="71B20B4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НКАП к 15 октября 1940 г. представить в НКВнешторг спецификацию заказываемого на импорт станочного оборудования и приборов на 6,5 млн. руб.</w:t>
      </w:r>
    </w:p>
    <w:p w14:paraId="5667FCE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В целях быстрейшего изготовления специальных станков и оснастки для производства мотора МБ-100 передать завод “Красный путь” в г. Казани НКМестной промышленности ТАССР, как вспомогательный цех заводу № 27 НКАП.</w:t>
      </w:r>
    </w:p>
    <w:p w14:paraId="6E5E473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Обязать НКтяжпром изготовить заводу № 27 специальный инструмент на заводах Фрезер, Калибр и МИЗ в течение 1 кв. 1941 по чертежам завода № 27 на сумму 800 тыс. руб. в счет фондов НКАП</w:t>
      </w:r>
    </w:p>
    <w:p w14:paraId="31DE06C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Обязать НКтяжмаш (ЭНИМС) спроектировать 15 специальных станков по ТЗ завода № 27 для производства мотора МБ-100 к 1 ноября 1940.</w:t>
      </w:r>
    </w:p>
    <w:p w14:paraId="2DB5FFF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Обязать НКтяжпром (завод станкоконструкций) изготовить по чертежам ЭНИМС 15 специальных станков к 1 мая 1941 г.</w:t>
      </w:r>
    </w:p>
    <w:p w14:paraId="3A2894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Выделить из резерва СНК Союза СССР премиальный фонд директору завода № 27 НКАП в сумму 3 млн. руб. для премирования рабочих, ИТР и служащих завода № 27 и заводов-смежников, связанных с изготовлением мотора МБ-100.</w:t>
      </w:r>
    </w:p>
    <w:p w14:paraId="41DA69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Распространить положение, утвержденное ЦК ВКП (б) и СНК об оплате руководящих, технических и конструкторских кадров завода № 26 НКАП от 28 августа 1939 за № 1302-252сс на завод 27.</w:t>
      </w:r>
    </w:p>
    <w:p w14:paraId="731FBF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Обязать НКчермет тов. Тевосяна поставить заводу № 27 НКАП поковки и прокат по спецификациям, чертежам и ТУ завода № 27 для мотора МБ-100 к 1 февраля 1941 г.</w:t>
      </w:r>
    </w:p>
    <w:p w14:paraId="240E3F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Обязать НКСМ тов. Лихачева поставить заводу № 27 шариковые и роликовые подшипники для мотора МБ-100 по спецификации и ТУ завода № 27 к 1 марта 1941 г.</w:t>
      </w:r>
    </w:p>
    <w:p w14:paraId="51B7CF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Обязать НКэлектротехпром тов. Богатыревыа обеспечить поставку заводк № 27 НКАП электроматериалов и оборудования для мотора МБ-100 по спецификации и ТУ завода № 27 к 1 апреля 1941 (10395).</w:t>
      </w:r>
    </w:p>
    <w:p w14:paraId="138D13A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2637FA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вышло постановление КО N 387сс "О постройке мощных 24 цилиндровых авиамоторов МБ-100."</w:t>
      </w:r>
    </w:p>
    <w:p w14:paraId="4C7F00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Постановление КО при СНК СССР от 15 июня 1940 за № 264сс о проектировании мощного Н-образного мотора водяного охлаждения на заводе № 27 отменить.</w:t>
      </w:r>
    </w:p>
    <w:p w14:paraId="3F4BF640"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2. Обязать НКАП тов. Шахурина, директора завода № 27 тов. Михайлова и ГК завода тов. Ро, в кооперации с заводом № 26 построить мощный 24-цилиндровый мотор водяного охлаждения МБ-100 (на базе М-105) по проекту ОТБ НКВД со следующими техническими данными:</w:t>
      </w:r>
    </w:p>
    <w:p w14:paraId="6032D9CD"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взлетная мощность - 2100 л.с.</w:t>
      </w:r>
    </w:p>
    <w:p w14:paraId="19DA8489"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номинальная мощность - 2100 л.с. на высоте 4000 м при числе оборотов 2700</w:t>
      </w:r>
    </w:p>
    <w:p w14:paraId="6F1B474B"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вес - 1250 кг...</w:t>
      </w:r>
    </w:p>
    <w:p w14:paraId="048B0C0D"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3. Создать на заводе № 27 ОКБ из группы специалистов ОТБ НКВД в количестве 50 чел. и 25 чел. конструкторов и технологов, командируемых НКАП до 1 января 1941 г.</w:t>
      </w:r>
    </w:p>
    <w:p w14:paraId="6559EF51"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НКВД тов. Берия обеспечить посылку группы специалистов на завод № 27 до 1 октября 1940 первых 35 чел. и до 1 ноября - остальных...(10395,190)</w:t>
      </w:r>
    </w:p>
    <w:p w14:paraId="463ED0CA" w14:textId="77777777" w:rsidR="00C66762" w:rsidRPr="00A3026E" w:rsidRDefault="00C66762" w:rsidP="00A3026E">
      <w:pPr>
        <w:pStyle w:val="a8"/>
        <w:widowControl/>
        <w:jc w:val="both"/>
        <w:rPr>
          <w:rFonts w:ascii="Times New Roman" w:hAnsi="Times New Roman" w:cs="Times New Roman"/>
          <w:color w:val="000000" w:themeColor="text1"/>
        </w:rPr>
      </w:pPr>
    </w:p>
    <w:p w14:paraId="72DCB1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правительства от 26 сентября 1940 г. работы по М-130 прекратили, коллектив конструкторского бюро, пополнив его доставленными из Москвы заключенными, загрузили про</w:t>
      </w:r>
      <w:r w:rsidRPr="00A3026E">
        <w:rPr>
          <w:rFonts w:ascii="Times New Roman" w:hAnsi="Times New Roman"/>
          <w:color w:val="000000" w:themeColor="text1"/>
          <w:sz w:val="16"/>
          <w:szCs w:val="16"/>
        </w:rPr>
        <w:softHyphen/>
        <w:t>ектированием МБ-100. Первоначальный вариант проекта М-130 был разработан А.П. Ро в ЦИАМ в 1939-1940 гг. с использованием элементов проекта 1937 г. Дви</w:t>
      </w:r>
      <w:r w:rsidRPr="00A3026E">
        <w:rPr>
          <w:rFonts w:ascii="Times New Roman" w:hAnsi="Times New Roman"/>
          <w:color w:val="000000" w:themeColor="text1"/>
          <w:sz w:val="16"/>
          <w:szCs w:val="16"/>
        </w:rPr>
        <w:softHyphen/>
        <w:t>гатель Н-образный двухвальный с четырьмя блоками от мотора М-105. В 1940 г. сформировали конструкторское бюро при заводе № 27 в Ка</w:t>
      </w:r>
      <w:r w:rsidRPr="00A3026E">
        <w:rPr>
          <w:rFonts w:ascii="Times New Roman" w:hAnsi="Times New Roman"/>
          <w:color w:val="000000" w:themeColor="text1"/>
          <w:sz w:val="16"/>
          <w:szCs w:val="16"/>
        </w:rPr>
        <w:softHyphen/>
        <w:t>зани, где под руководством Ро создавался окончательный проект М-130. Окончание проектирования планировалось на сентябрь 1940 г., начало за</w:t>
      </w:r>
      <w:r w:rsidRPr="00A3026E">
        <w:rPr>
          <w:rFonts w:ascii="Times New Roman" w:hAnsi="Times New Roman"/>
          <w:color w:val="000000" w:themeColor="text1"/>
          <w:sz w:val="16"/>
          <w:szCs w:val="16"/>
        </w:rPr>
        <w:softHyphen/>
        <w:t>водских испытаний — на январь 1941 г.</w:t>
      </w:r>
    </w:p>
    <w:p w14:paraId="17912B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Характеристики:</w:t>
      </w:r>
    </w:p>
    <w:p w14:paraId="373E9E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24-цилиндровый, Н-образный рядный, четырехтактный, водяного охлаждения, редукторный, с ПЦН;</w:t>
      </w:r>
    </w:p>
    <w:p w14:paraId="784D95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диаметр цилиндра/ход поршня 148/170 мм;</w:t>
      </w:r>
    </w:p>
    <w:p w14:paraId="537888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степень сжатия 6,6;</w:t>
      </w:r>
    </w:p>
    <w:p w14:paraId="5211E0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объем 70,0 л;</w:t>
      </w:r>
    </w:p>
    <w:p w14:paraId="12CCD9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мощность 2300/2400 л.с. (по другим источникам, 2300/2500 л.с.);</w:t>
      </w:r>
    </w:p>
    <w:p w14:paraId="57B9D1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вес 1100 кг (проектный) (11852).</w:t>
      </w:r>
    </w:p>
    <w:p w14:paraId="0EAD4D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97F89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вышел:</w:t>
      </w:r>
    </w:p>
    <w:p w14:paraId="1CBCF5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w:t>
      </w:r>
    </w:p>
    <w:p w14:paraId="181B99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Народного Комиссара Авиационной Промышленности и Народного Комиссара Среднего Машиностроения № 594с/250с</w:t>
      </w:r>
    </w:p>
    <w:p w14:paraId="75D376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постановлением Правительства от 17.Х.1940 г.</w:t>
      </w:r>
    </w:p>
    <w:p w14:paraId="4C7DCF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ПРИКАЗЫВАЕМ:</w:t>
      </w:r>
    </w:p>
    <w:p w14:paraId="119401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Передать автосборочный завод Наркомсредмаша в г. Ростове на Дону из системы Наркомсредмаша в Наркомавиапром.</w:t>
      </w:r>
    </w:p>
    <w:p w14:paraId="761112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Для приемки-сдачи автосборочного завода назначить комиссии в составе:</w:t>
      </w:r>
    </w:p>
    <w:p w14:paraId="080665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Н К А П:</w:t>
      </w:r>
    </w:p>
    <w:p w14:paraId="78829C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МИРОНОВ М.Г. - Председатель комиссии</w:t>
      </w:r>
    </w:p>
    <w:p w14:paraId="45CC2F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СМИРНОВ А.М.</w:t>
      </w:r>
    </w:p>
    <w:p w14:paraId="4555B2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ЗОТЧИК К.М.</w:t>
      </w:r>
    </w:p>
    <w:p w14:paraId="03B3FB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КОВШЕНКО А.П.</w:t>
      </w:r>
    </w:p>
    <w:p w14:paraId="2AB5CC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w:t>
      </w:r>
    </w:p>
    <w:p w14:paraId="1B73F8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ПЕТРОВ - директор завода</w:t>
      </w:r>
    </w:p>
    <w:p w14:paraId="4B1560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АПАНАСЕНКО - ГАЗ</w:t>
      </w:r>
    </w:p>
    <w:p w14:paraId="0E3324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ТРУПАКОВ - ГАЗ</w:t>
      </w:r>
    </w:p>
    <w:p w14:paraId="5B0977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Приемку-сдачу автосборочного завода провести к 15.XI.40 г. по балансу на 1 октября 1940 года, руководствуясь постановлением СНК СССР от 5.7.1940 года № 667.</w:t>
      </w:r>
    </w:p>
    <w:p w14:paraId="154357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Поручить комиссии выявить все оборудование, оснастку и материалы, которые не могут быть использованы в системе НКАП, специально употребляемые на сборочных операциях автомобиля, для передачи их Наркомсредмашу, а также задел не могущий быть собран</w:t>
      </w:r>
      <w:r w:rsidRPr="00A3026E">
        <w:rPr>
          <w:rFonts w:ascii="Times New Roman" w:hAnsi="Times New Roman"/>
          <w:color w:val="000000" w:themeColor="text1"/>
          <w:sz w:val="16"/>
          <w:szCs w:val="16"/>
        </w:rPr>
        <w:softHyphen/>
        <w:t>ным и отоварен на заводе.</w:t>
      </w:r>
    </w:p>
    <w:p w14:paraId="5370E7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АВИАЦИОННОЙ ПРОМШШЕННОСТИ СССР (А.И.Ш.)</w:t>
      </w:r>
    </w:p>
    <w:p w14:paraId="2D6DBA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НАРОДНОГО КОМИССАРА СРЕДНЕГО МАШИНОСТРОЕНИЯ СССР (С.Акопов) (8049,98).</w:t>
      </w:r>
    </w:p>
    <w:p w14:paraId="6591A4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F6810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26 сентября по 3 октября 1940 года на Ногинском полигоне проходили Полигонные испытания и 5 октября 1940 года НИП АВ представил в 8 управление ГУ ВВС на утверждение отчет по испытаниям.</w:t>
      </w:r>
    </w:p>
    <w:p w14:paraId="764989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Полигонные испытания ФАБ-100 с корпусом из железобетона имели целью определить:</w:t>
      </w:r>
    </w:p>
    <w:p w14:paraId="7E3FC1E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Фугасный эффект бомб подрывом в земле и бомбометанием.</w:t>
      </w:r>
    </w:p>
    <w:p w14:paraId="6EFF3CE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корпусов.</w:t>
      </w:r>
    </w:p>
    <w:p w14:paraId="50D0060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бомб в полете.</w:t>
      </w:r>
    </w:p>
    <w:p w14:paraId="5783A5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испытаний</w:t>
      </w:r>
    </w:p>
    <w:p w14:paraId="707C04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Эффективность фугасного действия</w:t>
      </w:r>
    </w:p>
    <w:p w14:paraId="60B861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Эффективность фугасного действия проверялась подрывом в грунте и бомбометанием с высот 1000-2000 – 4000 и 6000 м.</w:t>
      </w:r>
    </w:p>
    <w:p w14:paraId="1C75C6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Подрывы в грунте производились одновременно со штатными ФАБ-100 ц.к. в ямах глубиною 1,5 метра. Бомбы ставились в ямы вертикально головой вниз и засыпались землей без трамбовки.</w:t>
      </w:r>
    </w:p>
    <w:p w14:paraId="6D4583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подрыва в грунте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1913"/>
        <w:gridCol w:w="1913"/>
        <w:gridCol w:w="1148"/>
        <w:gridCol w:w="2678"/>
      </w:tblGrid>
      <w:tr w:rsidR="00983732" w:rsidRPr="00A3026E" w14:paraId="16FEE422" w14:textId="77777777" w:rsidTr="00EA0DA7">
        <w:tc>
          <w:tcPr>
            <w:tcW w:w="3936" w:type="dxa"/>
          </w:tcPr>
          <w:p w14:paraId="1EE373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бомб</w:t>
            </w:r>
          </w:p>
        </w:tc>
        <w:tc>
          <w:tcPr>
            <w:tcW w:w="1913" w:type="dxa"/>
          </w:tcPr>
          <w:p w14:paraId="16DB12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Диаметр воронки в м</w:t>
            </w:r>
          </w:p>
        </w:tc>
        <w:tc>
          <w:tcPr>
            <w:tcW w:w="1913" w:type="dxa"/>
          </w:tcPr>
          <w:p w14:paraId="6D52CC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воронки в м</w:t>
            </w:r>
          </w:p>
        </w:tc>
        <w:tc>
          <w:tcPr>
            <w:tcW w:w="1148" w:type="dxa"/>
          </w:tcPr>
          <w:p w14:paraId="1C7005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Объем воронки в м куб.</w:t>
            </w:r>
          </w:p>
        </w:tc>
        <w:tc>
          <w:tcPr>
            <w:tcW w:w="2678" w:type="dxa"/>
          </w:tcPr>
          <w:p w14:paraId="10869B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грунта</w:t>
            </w:r>
          </w:p>
        </w:tc>
      </w:tr>
      <w:tr w:rsidR="00983732" w:rsidRPr="00A3026E" w14:paraId="36FCEEAD" w14:textId="77777777" w:rsidTr="00EA0DA7">
        <w:tc>
          <w:tcPr>
            <w:tcW w:w="3936" w:type="dxa"/>
          </w:tcPr>
          <w:p w14:paraId="4B82A5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ФАБ-100 штатные цельнокованные корпуса</w:t>
            </w:r>
          </w:p>
        </w:tc>
        <w:tc>
          <w:tcPr>
            <w:tcW w:w="1913" w:type="dxa"/>
          </w:tcPr>
          <w:p w14:paraId="6E204F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1913" w:type="dxa"/>
          </w:tcPr>
          <w:p w14:paraId="6890A5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w:t>
            </w:r>
          </w:p>
        </w:tc>
        <w:tc>
          <w:tcPr>
            <w:tcW w:w="1148" w:type="dxa"/>
          </w:tcPr>
          <w:p w14:paraId="102D0B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18,4</w:t>
            </w:r>
          </w:p>
        </w:tc>
        <w:tc>
          <w:tcPr>
            <w:tcW w:w="2678" w:type="dxa"/>
          </w:tcPr>
          <w:p w14:paraId="2B0D44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283DB82C" w14:textId="77777777" w:rsidTr="00EA0DA7">
        <w:tc>
          <w:tcPr>
            <w:tcW w:w="3936" w:type="dxa"/>
          </w:tcPr>
          <w:p w14:paraId="205D40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штатные цельнокованные корпуса</w:t>
            </w:r>
          </w:p>
        </w:tc>
        <w:tc>
          <w:tcPr>
            <w:tcW w:w="1913" w:type="dxa"/>
          </w:tcPr>
          <w:p w14:paraId="348097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913" w:type="dxa"/>
          </w:tcPr>
          <w:p w14:paraId="442E3B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1148" w:type="dxa"/>
          </w:tcPr>
          <w:p w14:paraId="3CACE5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2678" w:type="dxa"/>
          </w:tcPr>
          <w:p w14:paraId="4FE892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172E9BF9" w14:textId="77777777" w:rsidTr="00EA0DA7">
        <w:tc>
          <w:tcPr>
            <w:tcW w:w="3936" w:type="dxa"/>
          </w:tcPr>
          <w:p w14:paraId="62CF3D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 с железобетонным корпусом</w:t>
            </w:r>
          </w:p>
        </w:tc>
        <w:tc>
          <w:tcPr>
            <w:tcW w:w="1913" w:type="dxa"/>
          </w:tcPr>
          <w:p w14:paraId="436FEA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c>
          <w:tcPr>
            <w:tcW w:w="1913" w:type="dxa"/>
          </w:tcPr>
          <w:p w14:paraId="379436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1148" w:type="dxa"/>
          </w:tcPr>
          <w:p w14:paraId="4C0732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w:t>
            </w:r>
          </w:p>
        </w:tc>
        <w:tc>
          <w:tcPr>
            <w:tcW w:w="2678" w:type="dxa"/>
          </w:tcPr>
          <w:p w14:paraId="4B36FA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0AC67C12" w14:textId="77777777" w:rsidTr="00EA0DA7">
        <w:tc>
          <w:tcPr>
            <w:tcW w:w="3936" w:type="dxa"/>
          </w:tcPr>
          <w:p w14:paraId="722254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 с железобетонным корпусом</w:t>
            </w:r>
          </w:p>
        </w:tc>
        <w:tc>
          <w:tcPr>
            <w:tcW w:w="1913" w:type="dxa"/>
          </w:tcPr>
          <w:p w14:paraId="29FF8A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913" w:type="dxa"/>
          </w:tcPr>
          <w:p w14:paraId="4B7351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1148" w:type="dxa"/>
          </w:tcPr>
          <w:p w14:paraId="221C25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w:t>
            </w:r>
          </w:p>
        </w:tc>
        <w:tc>
          <w:tcPr>
            <w:tcW w:w="2678" w:type="dxa"/>
          </w:tcPr>
          <w:p w14:paraId="2CCB35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5E6EED20" w14:textId="77777777" w:rsidTr="00EA0DA7">
        <w:tc>
          <w:tcPr>
            <w:tcW w:w="3936" w:type="dxa"/>
          </w:tcPr>
          <w:p w14:paraId="7B926B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 с железобетонным корпусом</w:t>
            </w:r>
          </w:p>
        </w:tc>
        <w:tc>
          <w:tcPr>
            <w:tcW w:w="1913" w:type="dxa"/>
          </w:tcPr>
          <w:p w14:paraId="3B2A20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w:t>
            </w:r>
          </w:p>
        </w:tc>
        <w:tc>
          <w:tcPr>
            <w:tcW w:w="1913" w:type="dxa"/>
          </w:tcPr>
          <w:p w14:paraId="5A37CB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1148" w:type="dxa"/>
          </w:tcPr>
          <w:p w14:paraId="299463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2678" w:type="dxa"/>
          </w:tcPr>
          <w:p w14:paraId="3CB748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bl>
    <w:p w14:paraId="608BDC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таблицы видно, что фугасный эффект при подрыве в грунте практически одинаковый, что у ФАБ-100 штатной, то и ФАБ-100 с железобетонным корпусом.</w:t>
      </w:r>
    </w:p>
    <w:p w14:paraId="709FF8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Бомбометание с воздуха показало следующий эффект фугасного действия: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862"/>
        <w:gridCol w:w="1460"/>
        <w:gridCol w:w="1258"/>
        <w:gridCol w:w="1276"/>
        <w:gridCol w:w="1381"/>
        <w:gridCol w:w="3700"/>
      </w:tblGrid>
      <w:tr w:rsidR="00983732" w:rsidRPr="00A3026E" w14:paraId="64C16D00" w14:textId="77777777" w:rsidTr="00EA0DA7">
        <w:tc>
          <w:tcPr>
            <w:tcW w:w="1656" w:type="dxa"/>
          </w:tcPr>
          <w:p w14:paraId="44130F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бомб</w:t>
            </w:r>
          </w:p>
        </w:tc>
        <w:tc>
          <w:tcPr>
            <w:tcW w:w="862" w:type="dxa"/>
          </w:tcPr>
          <w:p w14:paraId="2A387D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Высотное бомбометание в м</w:t>
            </w:r>
          </w:p>
        </w:tc>
        <w:tc>
          <w:tcPr>
            <w:tcW w:w="1460" w:type="dxa"/>
          </w:tcPr>
          <w:p w14:paraId="54436F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и установка взрывателей</w:t>
            </w:r>
          </w:p>
        </w:tc>
        <w:tc>
          <w:tcPr>
            <w:tcW w:w="1258" w:type="dxa"/>
          </w:tcPr>
          <w:p w14:paraId="3A24AD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Диаметр воронки в м</w:t>
            </w:r>
          </w:p>
        </w:tc>
        <w:tc>
          <w:tcPr>
            <w:tcW w:w="1276" w:type="dxa"/>
          </w:tcPr>
          <w:p w14:paraId="2C17E0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воронки в м</w:t>
            </w:r>
          </w:p>
        </w:tc>
        <w:tc>
          <w:tcPr>
            <w:tcW w:w="1381" w:type="dxa"/>
          </w:tcPr>
          <w:p w14:paraId="2B0B42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Объем воронки в м куб.</w:t>
            </w:r>
          </w:p>
        </w:tc>
        <w:tc>
          <w:tcPr>
            <w:tcW w:w="3700" w:type="dxa"/>
          </w:tcPr>
          <w:p w14:paraId="6A01DE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грунта</w:t>
            </w:r>
          </w:p>
        </w:tc>
      </w:tr>
      <w:tr w:rsidR="00983732" w:rsidRPr="00A3026E" w14:paraId="28295457" w14:textId="77777777" w:rsidTr="00EA0DA7">
        <w:tc>
          <w:tcPr>
            <w:tcW w:w="1656" w:type="dxa"/>
          </w:tcPr>
          <w:p w14:paraId="6B7F82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862" w:type="dxa"/>
          </w:tcPr>
          <w:p w14:paraId="15ACF9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460" w:type="dxa"/>
          </w:tcPr>
          <w:p w14:paraId="27ED6A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258" w:type="dxa"/>
          </w:tcPr>
          <w:p w14:paraId="5A1DEA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w:t>
            </w:r>
          </w:p>
        </w:tc>
        <w:tc>
          <w:tcPr>
            <w:tcW w:w="1276" w:type="dxa"/>
          </w:tcPr>
          <w:p w14:paraId="48C6C3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c>
          <w:tcPr>
            <w:tcW w:w="1381" w:type="dxa"/>
          </w:tcPr>
          <w:p w14:paraId="0C3488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w:t>
            </w:r>
          </w:p>
        </w:tc>
        <w:tc>
          <w:tcPr>
            <w:tcW w:w="3700" w:type="dxa"/>
          </w:tcPr>
          <w:p w14:paraId="565C25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58EBBBE7" w14:textId="77777777" w:rsidTr="00EA0DA7">
        <w:tc>
          <w:tcPr>
            <w:tcW w:w="1656" w:type="dxa"/>
          </w:tcPr>
          <w:p w14:paraId="54955E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0160E1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460" w:type="dxa"/>
          </w:tcPr>
          <w:p w14:paraId="7CA7F4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258" w:type="dxa"/>
          </w:tcPr>
          <w:p w14:paraId="524AF9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w:t>
            </w:r>
          </w:p>
        </w:tc>
        <w:tc>
          <w:tcPr>
            <w:tcW w:w="1276" w:type="dxa"/>
          </w:tcPr>
          <w:p w14:paraId="214B15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1381" w:type="dxa"/>
          </w:tcPr>
          <w:p w14:paraId="5884CC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22,6</w:t>
            </w:r>
          </w:p>
        </w:tc>
        <w:tc>
          <w:tcPr>
            <w:tcW w:w="3700" w:type="dxa"/>
          </w:tcPr>
          <w:p w14:paraId="79A563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29EA2824" w14:textId="77777777" w:rsidTr="00EA0DA7">
        <w:tc>
          <w:tcPr>
            <w:tcW w:w="1656" w:type="dxa"/>
          </w:tcPr>
          <w:p w14:paraId="669471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862" w:type="dxa"/>
          </w:tcPr>
          <w:p w14:paraId="67D4DF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6C9005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258" w:type="dxa"/>
          </w:tcPr>
          <w:p w14:paraId="6C2DEA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276" w:type="dxa"/>
          </w:tcPr>
          <w:p w14:paraId="388D66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w:t>
            </w:r>
          </w:p>
        </w:tc>
        <w:tc>
          <w:tcPr>
            <w:tcW w:w="1381" w:type="dxa"/>
          </w:tcPr>
          <w:p w14:paraId="239731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3700" w:type="dxa"/>
          </w:tcPr>
          <w:p w14:paraId="7A47A7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12C4A9D4" w14:textId="77777777" w:rsidTr="00EA0DA7">
        <w:tc>
          <w:tcPr>
            <w:tcW w:w="1656" w:type="dxa"/>
          </w:tcPr>
          <w:p w14:paraId="1712A7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862" w:type="dxa"/>
          </w:tcPr>
          <w:p w14:paraId="41B46D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41CA54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258" w:type="dxa"/>
          </w:tcPr>
          <w:p w14:paraId="0A08C1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5,30</w:t>
            </w:r>
          </w:p>
        </w:tc>
        <w:tc>
          <w:tcPr>
            <w:tcW w:w="1276" w:type="dxa"/>
          </w:tcPr>
          <w:p w14:paraId="0CF199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1381" w:type="dxa"/>
          </w:tcPr>
          <w:p w14:paraId="2B9371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3700" w:type="dxa"/>
          </w:tcPr>
          <w:p w14:paraId="527CA4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2820970F" w14:textId="77777777" w:rsidTr="00EA0DA7">
        <w:tc>
          <w:tcPr>
            <w:tcW w:w="1656" w:type="dxa"/>
          </w:tcPr>
          <w:p w14:paraId="1DB3EE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1ADA1E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3CD89D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258" w:type="dxa"/>
          </w:tcPr>
          <w:p w14:paraId="5D250D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1276" w:type="dxa"/>
          </w:tcPr>
          <w:p w14:paraId="718B53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381" w:type="dxa"/>
          </w:tcPr>
          <w:p w14:paraId="090CA7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w:t>
            </w:r>
          </w:p>
        </w:tc>
        <w:tc>
          <w:tcPr>
            <w:tcW w:w="3700" w:type="dxa"/>
          </w:tcPr>
          <w:p w14:paraId="4574AD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плотный известняк на глуб. 1 метра</w:t>
            </w:r>
          </w:p>
        </w:tc>
      </w:tr>
      <w:tr w:rsidR="00983732" w:rsidRPr="00A3026E" w14:paraId="16448264" w14:textId="77777777" w:rsidTr="00EA0DA7">
        <w:tc>
          <w:tcPr>
            <w:tcW w:w="1656" w:type="dxa"/>
          </w:tcPr>
          <w:p w14:paraId="054FD6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62D800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1399B4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258" w:type="dxa"/>
          </w:tcPr>
          <w:p w14:paraId="0ABEDF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276" w:type="dxa"/>
          </w:tcPr>
          <w:p w14:paraId="579252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1381" w:type="dxa"/>
          </w:tcPr>
          <w:p w14:paraId="237E65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w:t>
            </w:r>
          </w:p>
        </w:tc>
        <w:tc>
          <w:tcPr>
            <w:tcW w:w="3700" w:type="dxa"/>
          </w:tcPr>
          <w:p w14:paraId="42FA45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254C1864" w14:textId="77777777" w:rsidTr="00EA0DA7">
        <w:tc>
          <w:tcPr>
            <w:tcW w:w="1656" w:type="dxa"/>
          </w:tcPr>
          <w:p w14:paraId="5D4AFC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20BB75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529EF6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258" w:type="dxa"/>
          </w:tcPr>
          <w:p w14:paraId="376BCE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5,55</w:t>
            </w:r>
          </w:p>
        </w:tc>
        <w:tc>
          <w:tcPr>
            <w:tcW w:w="1276" w:type="dxa"/>
          </w:tcPr>
          <w:p w14:paraId="3DDE06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381" w:type="dxa"/>
          </w:tcPr>
          <w:p w14:paraId="09B1FB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3700" w:type="dxa"/>
          </w:tcPr>
          <w:p w14:paraId="0C11E3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00358731" w14:textId="77777777" w:rsidTr="00EA0DA7">
        <w:tc>
          <w:tcPr>
            <w:tcW w:w="1656" w:type="dxa"/>
          </w:tcPr>
          <w:p w14:paraId="735071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70154B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7BF341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258" w:type="dxa"/>
          </w:tcPr>
          <w:p w14:paraId="3E31AC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5,70</w:t>
            </w:r>
          </w:p>
        </w:tc>
        <w:tc>
          <w:tcPr>
            <w:tcW w:w="1276" w:type="dxa"/>
          </w:tcPr>
          <w:p w14:paraId="12A9D0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1381" w:type="dxa"/>
          </w:tcPr>
          <w:p w14:paraId="17A98E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w:t>
            </w:r>
          </w:p>
        </w:tc>
        <w:tc>
          <w:tcPr>
            <w:tcW w:w="3700" w:type="dxa"/>
          </w:tcPr>
          <w:p w14:paraId="5ED3D8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226DFAEC" w14:textId="77777777" w:rsidTr="00EA0DA7">
        <w:tc>
          <w:tcPr>
            <w:tcW w:w="1656" w:type="dxa"/>
          </w:tcPr>
          <w:p w14:paraId="209011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5206FB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70E0B2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258" w:type="dxa"/>
          </w:tcPr>
          <w:p w14:paraId="772F3D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c>
          <w:tcPr>
            <w:tcW w:w="1276" w:type="dxa"/>
          </w:tcPr>
          <w:p w14:paraId="6A6A00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381" w:type="dxa"/>
          </w:tcPr>
          <w:p w14:paraId="7FA331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c>
          <w:tcPr>
            <w:tcW w:w="3700" w:type="dxa"/>
          </w:tcPr>
          <w:p w14:paraId="32A942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20E18E5F" w14:textId="77777777" w:rsidTr="00EA0DA7">
        <w:tc>
          <w:tcPr>
            <w:tcW w:w="1656" w:type="dxa"/>
          </w:tcPr>
          <w:p w14:paraId="704000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626BCD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5CAC33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258" w:type="dxa"/>
          </w:tcPr>
          <w:p w14:paraId="55337B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5,95</w:t>
            </w:r>
          </w:p>
        </w:tc>
        <w:tc>
          <w:tcPr>
            <w:tcW w:w="1276" w:type="dxa"/>
          </w:tcPr>
          <w:p w14:paraId="331A40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1381" w:type="dxa"/>
          </w:tcPr>
          <w:p w14:paraId="112682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3700" w:type="dxa"/>
          </w:tcPr>
          <w:p w14:paraId="0D5F6C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Попала вблизи старой воронки</w:t>
            </w:r>
          </w:p>
        </w:tc>
      </w:tr>
      <w:tr w:rsidR="00983732" w:rsidRPr="00A3026E" w14:paraId="0B069452" w14:textId="77777777" w:rsidTr="00EA0DA7">
        <w:tc>
          <w:tcPr>
            <w:tcW w:w="1656" w:type="dxa"/>
          </w:tcPr>
          <w:p w14:paraId="081F8B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3D3E82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222AF9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258" w:type="dxa"/>
          </w:tcPr>
          <w:p w14:paraId="65A750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1276" w:type="dxa"/>
          </w:tcPr>
          <w:p w14:paraId="5ED96D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381" w:type="dxa"/>
          </w:tcPr>
          <w:p w14:paraId="5642A9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w:t>
            </w:r>
          </w:p>
        </w:tc>
        <w:tc>
          <w:tcPr>
            <w:tcW w:w="3700" w:type="dxa"/>
          </w:tcPr>
          <w:p w14:paraId="565EB9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148B105E" w14:textId="77777777" w:rsidTr="00EA0DA7">
        <w:tc>
          <w:tcPr>
            <w:tcW w:w="1656" w:type="dxa"/>
          </w:tcPr>
          <w:p w14:paraId="1674B9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862" w:type="dxa"/>
          </w:tcPr>
          <w:p w14:paraId="16F0AD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2A36D3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258" w:type="dxa"/>
          </w:tcPr>
          <w:p w14:paraId="144C4C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276" w:type="dxa"/>
          </w:tcPr>
          <w:p w14:paraId="4E0D97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w:t>
            </w:r>
          </w:p>
        </w:tc>
        <w:tc>
          <w:tcPr>
            <w:tcW w:w="1381" w:type="dxa"/>
          </w:tcPr>
          <w:p w14:paraId="7A7497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3700" w:type="dxa"/>
          </w:tcPr>
          <w:p w14:paraId="65D417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4ECDA826" w14:textId="77777777" w:rsidTr="00EA0DA7">
        <w:tc>
          <w:tcPr>
            <w:tcW w:w="1656" w:type="dxa"/>
          </w:tcPr>
          <w:p w14:paraId="35FF9D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862" w:type="dxa"/>
          </w:tcPr>
          <w:p w14:paraId="2A5939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3BFCDF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258" w:type="dxa"/>
          </w:tcPr>
          <w:p w14:paraId="6F0E17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6,70</w:t>
            </w:r>
          </w:p>
        </w:tc>
        <w:tc>
          <w:tcPr>
            <w:tcW w:w="1276" w:type="dxa"/>
          </w:tcPr>
          <w:p w14:paraId="0AA00E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1381" w:type="dxa"/>
          </w:tcPr>
          <w:p w14:paraId="395393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w:t>
            </w:r>
          </w:p>
        </w:tc>
        <w:tc>
          <w:tcPr>
            <w:tcW w:w="3700" w:type="dxa"/>
          </w:tcPr>
          <w:p w14:paraId="5659D1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Попала в старую воронку</w:t>
            </w:r>
          </w:p>
        </w:tc>
      </w:tr>
      <w:tr w:rsidR="00983732" w:rsidRPr="00A3026E" w14:paraId="309F5973" w14:textId="77777777" w:rsidTr="00EA0DA7">
        <w:tc>
          <w:tcPr>
            <w:tcW w:w="1656" w:type="dxa"/>
          </w:tcPr>
          <w:p w14:paraId="42B88C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862" w:type="dxa"/>
          </w:tcPr>
          <w:p w14:paraId="3CF3DE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72BAFE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258" w:type="dxa"/>
          </w:tcPr>
          <w:p w14:paraId="0ACE42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w:t>
            </w:r>
          </w:p>
        </w:tc>
        <w:tc>
          <w:tcPr>
            <w:tcW w:w="1276" w:type="dxa"/>
          </w:tcPr>
          <w:p w14:paraId="25DC4F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1381" w:type="dxa"/>
          </w:tcPr>
          <w:p w14:paraId="0FDFDC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3700" w:type="dxa"/>
          </w:tcPr>
          <w:p w14:paraId="1A1B9E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Попала в густую сеть корней ………</w:t>
            </w:r>
          </w:p>
        </w:tc>
      </w:tr>
      <w:tr w:rsidR="00983732" w:rsidRPr="00A3026E" w14:paraId="53A7A3B2" w14:textId="77777777" w:rsidTr="00EA0DA7">
        <w:tc>
          <w:tcPr>
            <w:tcW w:w="1656" w:type="dxa"/>
          </w:tcPr>
          <w:p w14:paraId="6C3767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2494C5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7A7C31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258" w:type="dxa"/>
          </w:tcPr>
          <w:p w14:paraId="0973D8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1276" w:type="dxa"/>
          </w:tcPr>
          <w:p w14:paraId="3C57F3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1381" w:type="dxa"/>
          </w:tcPr>
          <w:p w14:paraId="153182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w:t>
            </w:r>
          </w:p>
        </w:tc>
        <w:tc>
          <w:tcPr>
            <w:tcW w:w="3700" w:type="dxa"/>
          </w:tcPr>
          <w:p w14:paraId="276B1F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0D938545" w14:textId="77777777" w:rsidTr="00EA0DA7">
        <w:tc>
          <w:tcPr>
            <w:tcW w:w="1656" w:type="dxa"/>
          </w:tcPr>
          <w:p w14:paraId="613FB4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63F15F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3DEC49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258" w:type="dxa"/>
          </w:tcPr>
          <w:p w14:paraId="2CD4DD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5,55</w:t>
            </w:r>
          </w:p>
        </w:tc>
        <w:tc>
          <w:tcPr>
            <w:tcW w:w="1276" w:type="dxa"/>
          </w:tcPr>
          <w:p w14:paraId="7D549A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1381" w:type="dxa"/>
          </w:tcPr>
          <w:p w14:paraId="31AEB9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17,6</w:t>
            </w:r>
          </w:p>
        </w:tc>
        <w:tc>
          <w:tcPr>
            <w:tcW w:w="3700" w:type="dxa"/>
          </w:tcPr>
          <w:p w14:paraId="16FD46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76A82743" w14:textId="77777777" w:rsidTr="00EA0DA7">
        <w:tc>
          <w:tcPr>
            <w:tcW w:w="1656" w:type="dxa"/>
          </w:tcPr>
          <w:p w14:paraId="6F6C4F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292F0A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0CA409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258" w:type="dxa"/>
          </w:tcPr>
          <w:p w14:paraId="0C15DC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5,65</w:t>
            </w:r>
          </w:p>
        </w:tc>
        <w:tc>
          <w:tcPr>
            <w:tcW w:w="1276" w:type="dxa"/>
          </w:tcPr>
          <w:p w14:paraId="3DB7AE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tc>
        <w:tc>
          <w:tcPr>
            <w:tcW w:w="1381" w:type="dxa"/>
          </w:tcPr>
          <w:p w14:paraId="4AAA71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3700" w:type="dxa"/>
          </w:tcPr>
          <w:p w14:paraId="07DE4F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22BAA6F7" w14:textId="77777777" w:rsidTr="00EA0DA7">
        <w:tc>
          <w:tcPr>
            <w:tcW w:w="1656" w:type="dxa"/>
          </w:tcPr>
          <w:p w14:paraId="2BF733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45832A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540654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258" w:type="dxa"/>
          </w:tcPr>
          <w:p w14:paraId="11ED23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5,90</w:t>
            </w:r>
          </w:p>
        </w:tc>
        <w:tc>
          <w:tcPr>
            <w:tcW w:w="1276" w:type="dxa"/>
          </w:tcPr>
          <w:p w14:paraId="518862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1381" w:type="dxa"/>
          </w:tcPr>
          <w:p w14:paraId="7842A6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21,2</w:t>
            </w:r>
          </w:p>
        </w:tc>
        <w:tc>
          <w:tcPr>
            <w:tcW w:w="3700" w:type="dxa"/>
          </w:tcPr>
          <w:p w14:paraId="2FF9F1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w:t>
            </w:r>
          </w:p>
        </w:tc>
      </w:tr>
      <w:tr w:rsidR="00983732" w:rsidRPr="00A3026E" w14:paraId="3EEBB596" w14:textId="77777777" w:rsidTr="00EA0DA7">
        <w:tc>
          <w:tcPr>
            <w:tcW w:w="1656" w:type="dxa"/>
          </w:tcPr>
          <w:p w14:paraId="6DA40F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49E122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5D07F4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258" w:type="dxa"/>
          </w:tcPr>
          <w:p w14:paraId="1531A8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1276" w:type="dxa"/>
          </w:tcPr>
          <w:p w14:paraId="2D0981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tc>
        <w:tc>
          <w:tcPr>
            <w:tcW w:w="1381" w:type="dxa"/>
          </w:tcPr>
          <w:p w14:paraId="60AE40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w:t>
            </w:r>
          </w:p>
        </w:tc>
        <w:tc>
          <w:tcPr>
            <w:tcW w:w="3700" w:type="dxa"/>
          </w:tcPr>
          <w:p w14:paraId="17DAC6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23479CF7" w14:textId="77777777" w:rsidTr="00EA0DA7">
        <w:tc>
          <w:tcPr>
            <w:tcW w:w="1656" w:type="dxa"/>
          </w:tcPr>
          <w:p w14:paraId="73A21A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2CDCA6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60" w:type="dxa"/>
          </w:tcPr>
          <w:p w14:paraId="27F62E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258" w:type="dxa"/>
          </w:tcPr>
          <w:p w14:paraId="2A5C1B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1276" w:type="dxa"/>
          </w:tcPr>
          <w:p w14:paraId="2AA2F4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381" w:type="dxa"/>
          </w:tcPr>
          <w:p w14:paraId="489C86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tc>
        <w:tc>
          <w:tcPr>
            <w:tcW w:w="3700" w:type="dxa"/>
          </w:tcPr>
          <w:p w14:paraId="37E9E6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11590EC3" w14:textId="77777777" w:rsidTr="00EA0DA7">
        <w:tc>
          <w:tcPr>
            <w:tcW w:w="1656" w:type="dxa"/>
          </w:tcPr>
          <w:p w14:paraId="0D5D71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862" w:type="dxa"/>
          </w:tcPr>
          <w:p w14:paraId="54D5E1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460" w:type="dxa"/>
          </w:tcPr>
          <w:p w14:paraId="2C3329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258" w:type="dxa"/>
          </w:tcPr>
          <w:p w14:paraId="41D41A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1276" w:type="dxa"/>
          </w:tcPr>
          <w:p w14:paraId="00FC78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1381" w:type="dxa"/>
          </w:tcPr>
          <w:p w14:paraId="709761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w:t>
            </w:r>
          </w:p>
        </w:tc>
        <w:tc>
          <w:tcPr>
            <w:tcW w:w="3700" w:type="dxa"/>
          </w:tcPr>
          <w:p w14:paraId="7A7C65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w:t>
            </w:r>
          </w:p>
        </w:tc>
      </w:tr>
      <w:tr w:rsidR="00983732" w:rsidRPr="00A3026E" w14:paraId="74BDB239" w14:textId="77777777" w:rsidTr="00EA0DA7">
        <w:tc>
          <w:tcPr>
            <w:tcW w:w="1656" w:type="dxa"/>
          </w:tcPr>
          <w:p w14:paraId="2097FA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016CFC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460" w:type="dxa"/>
          </w:tcPr>
          <w:p w14:paraId="4D2B53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258" w:type="dxa"/>
          </w:tcPr>
          <w:p w14:paraId="121E59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w:t>
            </w:r>
          </w:p>
        </w:tc>
        <w:tc>
          <w:tcPr>
            <w:tcW w:w="1276" w:type="dxa"/>
          </w:tcPr>
          <w:p w14:paraId="3163A8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1381" w:type="dxa"/>
          </w:tcPr>
          <w:p w14:paraId="5737AE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w:t>
            </w:r>
          </w:p>
        </w:tc>
        <w:tc>
          <w:tcPr>
            <w:tcW w:w="3700" w:type="dxa"/>
          </w:tcPr>
          <w:p w14:paraId="0E1FCB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Суглинок и плотный известняк</w:t>
            </w:r>
          </w:p>
        </w:tc>
      </w:tr>
      <w:tr w:rsidR="00983732" w:rsidRPr="00A3026E" w14:paraId="4D79BA20" w14:textId="77777777" w:rsidTr="00EA0DA7">
        <w:tc>
          <w:tcPr>
            <w:tcW w:w="1656" w:type="dxa"/>
          </w:tcPr>
          <w:p w14:paraId="2C6B22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862" w:type="dxa"/>
          </w:tcPr>
          <w:p w14:paraId="250DE0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460" w:type="dxa"/>
          </w:tcPr>
          <w:p w14:paraId="2070DD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258" w:type="dxa"/>
          </w:tcPr>
          <w:p w14:paraId="24F91D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7,10</w:t>
            </w:r>
          </w:p>
        </w:tc>
        <w:tc>
          <w:tcPr>
            <w:tcW w:w="1276" w:type="dxa"/>
          </w:tcPr>
          <w:p w14:paraId="03EB65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1381" w:type="dxa"/>
          </w:tcPr>
          <w:p w14:paraId="789FA7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27,8</w:t>
            </w:r>
          </w:p>
        </w:tc>
        <w:tc>
          <w:tcPr>
            <w:tcW w:w="3700" w:type="dxa"/>
          </w:tcPr>
          <w:p w14:paraId="1FF322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Рыхлый песок</w:t>
            </w:r>
          </w:p>
        </w:tc>
      </w:tr>
      <w:tr w:rsidR="00983732" w:rsidRPr="00A3026E" w14:paraId="7CEC58A6" w14:textId="77777777" w:rsidTr="00EA0DA7">
        <w:tc>
          <w:tcPr>
            <w:tcW w:w="1656" w:type="dxa"/>
          </w:tcPr>
          <w:p w14:paraId="51E638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08213F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460" w:type="dxa"/>
          </w:tcPr>
          <w:p w14:paraId="7E8BD0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258" w:type="dxa"/>
          </w:tcPr>
          <w:p w14:paraId="54C03C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1276" w:type="dxa"/>
          </w:tcPr>
          <w:p w14:paraId="6DE873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w:t>
            </w:r>
          </w:p>
        </w:tc>
        <w:tc>
          <w:tcPr>
            <w:tcW w:w="1381" w:type="dxa"/>
          </w:tcPr>
          <w:p w14:paraId="09B489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14,2</w:t>
            </w:r>
          </w:p>
        </w:tc>
        <w:tc>
          <w:tcPr>
            <w:tcW w:w="3700" w:type="dxa"/>
          </w:tcPr>
          <w:p w14:paraId="6E02CF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 на дне воронки</w:t>
            </w:r>
          </w:p>
        </w:tc>
      </w:tr>
    </w:tbl>
    <w:p w14:paraId="1211C7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видно из таблицы, фугасное действие авиабомб как штатных, так и железобетонных при попадании бомб в одинаковый грунт, примерно одинаковые.</w:t>
      </w:r>
    </w:p>
    <w:p w14:paraId="4F27E1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Прочность корпусов</w:t>
      </w:r>
    </w:p>
    <w:p w14:paraId="4813BD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корпусов поверялась путем сбрасывания снаряженных бомб без взрывателей с различных высот и кроме того, было произведено для этой же цели десять растрясочных полетов на самолете СБ с вертикально и горизонтально подвешенными бомбами (на ДЕР-34 и ДЕР-19). При осмотре бомб после десяти вылетов и посадок никаких нарушений в подвеске и прочности корпусов бомб обнаружено не было.</w:t>
      </w:r>
    </w:p>
    <w:p w14:paraId="385242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 прочность корпусов бомб при сбрасывании с различных высот дали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850"/>
        <w:gridCol w:w="9784"/>
      </w:tblGrid>
      <w:tr w:rsidR="00983732" w:rsidRPr="00A3026E" w14:paraId="37947F73" w14:textId="77777777" w:rsidTr="00EA0DA7">
        <w:tc>
          <w:tcPr>
            <w:tcW w:w="959" w:type="dxa"/>
          </w:tcPr>
          <w:p w14:paraId="46D23C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сбрасывания в м</w:t>
            </w:r>
          </w:p>
        </w:tc>
        <w:tc>
          <w:tcPr>
            <w:tcW w:w="850" w:type="dxa"/>
          </w:tcPr>
          <w:p w14:paraId="0A6329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проникания в м</w:t>
            </w:r>
          </w:p>
        </w:tc>
        <w:tc>
          <w:tcPr>
            <w:tcW w:w="9784" w:type="dxa"/>
          </w:tcPr>
          <w:p w14:paraId="1942ED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корпуса</w:t>
            </w:r>
          </w:p>
        </w:tc>
      </w:tr>
      <w:tr w:rsidR="00983732" w:rsidRPr="00A3026E" w14:paraId="0D50D63B" w14:textId="77777777" w:rsidTr="00EA0DA7">
        <w:tc>
          <w:tcPr>
            <w:tcW w:w="959" w:type="dxa"/>
          </w:tcPr>
          <w:p w14:paraId="56EA38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850" w:type="dxa"/>
          </w:tcPr>
          <w:p w14:paraId="728237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9784" w:type="dxa"/>
          </w:tcPr>
          <w:p w14:paraId="089669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0BB51C49" w14:textId="77777777" w:rsidTr="00EA0DA7">
        <w:tc>
          <w:tcPr>
            <w:tcW w:w="959" w:type="dxa"/>
          </w:tcPr>
          <w:p w14:paraId="713753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850" w:type="dxa"/>
          </w:tcPr>
          <w:p w14:paraId="728472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1,47</w:t>
            </w:r>
          </w:p>
        </w:tc>
        <w:tc>
          <w:tcPr>
            <w:tcW w:w="9784" w:type="dxa"/>
          </w:tcPr>
          <w:p w14:paraId="5E234F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09030E1C" w14:textId="77777777" w:rsidTr="00EA0DA7">
        <w:tc>
          <w:tcPr>
            <w:tcW w:w="959" w:type="dxa"/>
          </w:tcPr>
          <w:p w14:paraId="3E0ACD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850" w:type="dxa"/>
          </w:tcPr>
          <w:p w14:paraId="3F8C9E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1,57</w:t>
            </w:r>
          </w:p>
        </w:tc>
        <w:tc>
          <w:tcPr>
            <w:tcW w:w="9784" w:type="dxa"/>
          </w:tcPr>
          <w:p w14:paraId="10B4F4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32DBB167" w14:textId="77777777" w:rsidTr="00EA0DA7">
        <w:tc>
          <w:tcPr>
            <w:tcW w:w="959" w:type="dxa"/>
          </w:tcPr>
          <w:p w14:paraId="5540FF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850" w:type="dxa"/>
          </w:tcPr>
          <w:p w14:paraId="39A6B9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tc>
        <w:tc>
          <w:tcPr>
            <w:tcW w:w="9784" w:type="dxa"/>
          </w:tcPr>
          <w:p w14:paraId="4C2B43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056A8CA5" w14:textId="77777777" w:rsidTr="00EA0DA7">
        <w:tc>
          <w:tcPr>
            <w:tcW w:w="959" w:type="dxa"/>
          </w:tcPr>
          <w:p w14:paraId="31317F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850" w:type="dxa"/>
          </w:tcPr>
          <w:p w14:paraId="52EBBB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1,87</w:t>
            </w:r>
          </w:p>
        </w:tc>
        <w:tc>
          <w:tcPr>
            <w:tcW w:w="9784" w:type="dxa"/>
          </w:tcPr>
          <w:p w14:paraId="387F44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5F937F6D" w14:textId="77777777" w:rsidTr="00EA0DA7">
        <w:tc>
          <w:tcPr>
            <w:tcW w:w="959" w:type="dxa"/>
          </w:tcPr>
          <w:p w14:paraId="63A242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850" w:type="dxa"/>
          </w:tcPr>
          <w:p w14:paraId="62D64B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9784" w:type="dxa"/>
          </w:tcPr>
          <w:p w14:paraId="5227E5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983732" w:rsidRPr="00A3026E" w14:paraId="18970CA4" w14:textId="77777777" w:rsidTr="00EA0DA7">
        <w:tc>
          <w:tcPr>
            <w:tcW w:w="959" w:type="dxa"/>
          </w:tcPr>
          <w:p w14:paraId="388C60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850" w:type="dxa"/>
          </w:tcPr>
          <w:p w14:paraId="7C4BAC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9784" w:type="dxa"/>
          </w:tcPr>
          <w:p w14:paraId="7E36D5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983732" w:rsidRPr="00A3026E" w14:paraId="158C825C" w14:textId="77777777" w:rsidTr="00EA0DA7">
        <w:tc>
          <w:tcPr>
            <w:tcW w:w="959" w:type="dxa"/>
          </w:tcPr>
          <w:p w14:paraId="75CCB1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850" w:type="dxa"/>
          </w:tcPr>
          <w:p w14:paraId="48CB88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784" w:type="dxa"/>
          </w:tcPr>
          <w:p w14:paraId="433CFB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r w:rsidR="00983732" w:rsidRPr="00A3026E" w14:paraId="77D7CA4B" w14:textId="77777777" w:rsidTr="00EA0DA7">
        <w:tc>
          <w:tcPr>
            <w:tcW w:w="959" w:type="dxa"/>
          </w:tcPr>
          <w:p w14:paraId="4A71C7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850" w:type="dxa"/>
          </w:tcPr>
          <w:p w14:paraId="09F50B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9784" w:type="dxa"/>
          </w:tcPr>
          <w:p w14:paraId="18B521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bl>
    <w:p w14:paraId="2C7890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Устойчивость бомб на траектории</w:t>
      </w:r>
    </w:p>
    <w:p w14:paraId="285C29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бомб на траектории при сбрасывании с высот 1000 и 2000 м определялась визуально с земли. Бомбы на траектории вели себя устойчиво.</w:t>
      </w:r>
    </w:p>
    <w:p w14:paraId="72B546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сбрасывании с 4000 м (залп из 3-х) с горизонтальных держателей на основании рассеивания дали достаточную устойчивость.</w:t>
      </w:r>
    </w:p>
    <w:p w14:paraId="2F54D3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сбрасывании с высоты 6000 м с вертикальных бомбодержателей (залп из 4-х) рассеивание залпа по курсу получилось 275 м – это рассеивание надо считать очень большим.</w:t>
      </w:r>
    </w:p>
    <w:p w14:paraId="643EDB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результатов полигонных испытаний НИП АВ ВВС сделал следующие выводы:</w:t>
      </w:r>
    </w:p>
    <w:p w14:paraId="5A6F09D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с корпусом из железобетона при сбрасывании с высот 1000, 2000, 4000 и 6000 метров действует безотказно. По фугасному эффекту ФАБ-100 железобетонные при бомбометании с высоты 2000 м практически равноценны ФАБ-100 цельнокованным. С высоты 4000 и 6000 м получено по одному наблюдению, что является недостаточным для сравнительных выводов.</w:t>
      </w:r>
    </w:p>
    <w:p w14:paraId="70DA194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Корпуса ФАБ-100 железобетонных при бомбометании с 2000 м при скорости самолета 270 км/час по грунту средней плотности, имеют достаточную прочность.</w:t>
      </w:r>
    </w:p>
    <w:p w14:paraId="7A09C4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сбрасывании с высот 4000 и 6000 м при скорости самолета 300 км/час, корпуса ФАБ-100 железобетонных деформируются, разрушается наружный слой бетона, но при этом они проникают в грунт. Заряд взрывчатого вещества не рассеивается и при наличии взрывателей полный взрыв взрывчатого вещества обеспечен.</w:t>
      </w:r>
    </w:p>
    <w:p w14:paraId="63B57343"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Устойчивость бомб на траектории достаточная, но подлежит более детальной проверке с высот 4000 м и выше. Рекомендовать произвести расчетную проверку на устойчивость.</w:t>
      </w:r>
    </w:p>
    <w:p w14:paraId="4313AC6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проведенных испытаний ФАБ-100 с железобетонным корпусом возможно применять по целям следующего порядка: аэродромы и ангары; грунтовые дороги; ж/д станции, легкие постройки городских наземных сооружений; деревянно-земляные укрепления полевого типа, легкие промышленные здания и т.п.</w:t>
      </w:r>
    </w:p>
    <w:p w14:paraId="64C8D3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своем заключении НИП АВ указывает, что:</w:t>
      </w:r>
    </w:p>
    <w:p w14:paraId="075F883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Железобетонные авиабомбы в габаритах ФАБ-100 цельнокованных конструкций проф. Гальперина, в результате полигонных испытаний показали удовлетворительные результаты в отношении прочности, фугасности и безотказности действия при бомбометании по грунту средней плотности.</w:t>
      </w:r>
    </w:p>
    <w:p w14:paraId="76FA86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что ФАБ-100 с железобетонным корпусом полигонные испытания выдержали и могут быть допущены на войсковые испытания для всестороннего выявления боевых свойств и всех характеристических показателей.</w:t>
      </w:r>
    </w:p>
    <w:p w14:paraId="0410072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Перед подачей бомб на войсковые испытания, провести контрольные испытания ФАБ-100 железобетонных по мерзлому грунту и на устойчивость падения с больших высот, из числа бомб первой опытно-валовой партии, для чего необходимо подать на НИП АВ – 100 штук бомб.</w:t>
      </w:r>
    </w:p>
    <w:p w14:paraId="75EF652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АВ считает необходимым продолжить исследовательскую работу, как по линии дальнейшего упрочнения корпуса, так и в направлении изготовления более крупных калибров бомб данной конструкции.</w:t>
      </w:r>
    </w:p>
    <w:p w14:paraId="7C0902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8 Управления ГУ ВВС</w:t>
      </w:r>
    </w:p>
    <w:p w14:paraId="00A1A2F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Представленный НИП АВ ВВС отчет по полигонным испытаниям фугасных авиабомб с железобетонным корпусом утвердить.</w:t>
      </w:r>
    </w:p>
    <w:p w14:paraId="53F6A92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что фугасные авиабомбы с железобетонным корпусом полигонные испытания выдержали.</w:t>
      </w:r>
    </w:p>
    <w:p w14:paraId="38C38CC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Присвоить фугасным авиабомбам с железобетонным корпусом наименование ФАБ-100 НГ.</w:t>
      </w:r>
    </w:p>
    <w:p w14:paraId="40FC137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Просить Наркомат боеприпасов:</w:t>
      </w:r>
    </w:p>
    <w:p w14:paraId="2183BB63" w14:textId="77777777" w:rsidR="00C66762" w:rsidRPr="00A3026E" w:rsidRDefault="00C66762" w:rsidP="00A3026E">
      <w:pPr>
        <w:pStyle w:val="a3"/>
        <w:widowControl/>
        <w:rPr>
          <w:color w:val="000000" w:themeColor="text1"/>
          <w:lang w:val="ru-RU"/>
        </w:rPr>
      </w:pPr>
      <w:r w:rsidRPr="00A3026E">
        <w:rPr>
          <w:color w:val="000000" w:themeColor="text1"/>
          <w:lang w:val="ru-RU"/>
        </w:rPr>
        <w:t>а) Провести подготовку к валовому производству ФАБ-100 НГ в 1941 году.</w:t>
      </w:r>
    </w:p>
    <w:p w14:paraId="55B881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Изготовить к 1 января 1941 года опытно-серийные партии ФАБ-100 НГ в количестве 15000 штук.</w:t>
      </w:r>
    </w:p>
    <w:p w14:paraId="2258A88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Просить начальника КБ-35 проф. Гальперина разработать, с учетом возможного увеличения прочности корпуса, чертежи и ТУ на ФАБ-100 НГ и представить их на утверждение в 8 Управление ГУ ВВС к 20 октября 1940 года.</w:t>
      </w:r>
    </w:p>
    <w:p w14:paraId="3E473EE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НИП АВ ГУ ВВС в период январь-февраль 1941 года провести контрольные испытания ФАБ-100 НГ по мерзлому грунту, для чего из первых опытно-серийных партий 8 Управлению ГУ ВВС обеспечить подачу на НИП АВ 100 штук ФАБ-100 НГ.</w:t>
      </w:r>
    </w:p>
    <w:p w14:paraId="4E46072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наиболее полного выявления боевых свойств в 1941 году провести широкие войсковые испытания ФАБ-100 НГ по различным грунтам.</w:t>
      </w:r>
    </w:p>
    <w:p w14:paraId="6F8D431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Просить начальника КБ-35 разработать проекты и изготовить ФАБ-250, ФАБ-500 и ФАБ-1000 с корпусами из железобетона. Изготовление этих калибров желательно закончить к 1 января 1941 года.</w:t>
      </w:r>
    </w:p>
    <w:p w14:paraId="19531CE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НТЖ разослать:</w:t>
      </w:r>
    </w:p>
    <w:p w14:paraId="24896E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1и 2 – Отделение чертежей и ТУ 8 Управления ГУ ВВС</w:t>
      </w:r>
    </w:p>
    <w:p w14:paraId="47673C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3 – КО</w:t>
      </w:r>
    </w:p>
    <w:p w14:paraId="5E997A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4 – наркому боеприпасов</w:t>
      </w:r>
    </w:p>
    <w:p w14:paraId="40EE63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5 – начальнику КБ-35 НКБ</w:t>
      </w:r>
    </w:p>
    <w:p w14:paraId="146B41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6 - начальнику НИП АВ ГУ ВВС</w:t>
      </w:r>
    </w:p>
    <w:p w14:paraId="71B5C6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7 – Бюро техпомощи заводам при НКБ</w:t>
      </w:r>
    </w:p>
    <w:p w14:paraId="658348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8 2 Управлению ГУ ВВС</w:t>
      </w:r>
    </w:p>
    <w:p w14:paraId="787FAE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8 Управления ГУ ВВС в/инженер 1 ранга Никонов, начальник 1 отдела 8 Управления ГУ ВВС в/инженер 1 ранга Матаев) (3440, 236-252).</w:t>
      </w:r>
    </w:p>
    <w:p w14:paraId="554925D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3CDB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вышел приказ НКАП N 511c "О проекте типового маневренного самолетостроительного завода" (1002,3).</w:t>
      </w:r>
    </w:p>
    <w:p w14:paraId="23C570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Пожалуй, не успели к войне.</w:t>
      </w:r>
    </w:p>
    <w:p w14:paraId="686FCB1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3CE557F"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26 сентября 1940 г. куйбышевский областной исполнительный комитет советов депутатов во главе с председателем Н. Журавлевым на особом суженом заседании постановил выделить земельные участки на территории городских земель под строительство предприятий НКАП, а также специального лагерного поселка для заключенных (это решение подводило итог целой серии суженых заседаний горисполкома и облисполкома, на которых рассматривался вопрос о выделении соответствующих площадей новым авиапромышленным объектам) (9716).</w:t>
      </w:r>
    </w:p>
    <w:p w14:paraId="3DB2A874" w14:textId="77777777" w:rsidR="00C66762" w:rsidRPr="00A3026E" w:rsidRDefault="00C66762" w:rsidP="00A3026E">
      <w:pPr>
        <w:pStyle w:val="a8"/>
        <w:widowControl/>
        <w:jc w:val="both"/>
        <w:rPr>
          <w:rFonts w:ascii="Times New Roman" w:hAnsi="Times New Roman" w:cs="Times New Roman"/>
          <w:color w:val="000000" w:themeColor="text1"/>
        </w:rPr>
      </w:pPr>
    </w:p>
    <w:p w14:paraId="09F530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26 сентября 1940 Нач. Главстройстекло НКПСМ Артемьев писал письмо № 1347с в ГЛАВНЫЙ КОНТРОЛЬ КОМИТЕТА ОБОРОНЫ </w:t>
      </w:r>
      <w:r w:rsidRPr="00A3026E">
        <w:rPr>
          <w:rFonts w:ascii="Times New Roman" w:hAnsi="Times New Roman"/>
          <w:smallCaps/>
          <w:color w:val="000000" w:themeColor="text1"/>
          <w:sz w:val="16"/>
          <w:szCs w:val="16"/>
        </w:rPr>
        <w:t xml:space="preserve">при СНК Союза ССР </w:t>
      </w:r>
      <w:r w:rsidRPr="00A3026E">
        <w:rPr>
          <w:rFonts w:ascii="Times New Roman" w:hAnsi="Times New Roman"/>
          <w:color w:val="000000" w:themeColor="text1"/>
          <w:sz w:val="16"/>
          <w:szCs w:val="16"/>
        </w:rPr>
        <w:t>тов. Савельеву</w:t>
      </w:r>
    </w:p>
    <w:p w14:paraId="1E49C7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дополнение к н/письму на В/имя от 17/1Х-40 г. за № 1299с сообщаю, что указанное выше письмо было составлено без представителя ГЛАВСТРОЙСТЕКЛО, кото</w:t>
      </w:r>
      <w:r w:rsidRPr="00A3026E">
        <w:rPr>
          <w:rFonts w:ascii="Times New Roman" w:hAnsi="Times New Roman"/>
          <w:color w:val="000000" w:themeColor="text1"/>
          <w:sz w:val="16"/>
          <w:szCs w:val="16"/>
        </w:rPr>
        <w:softHyphen/>
        <w:t>рый выезжал специально на Гомельский Стеклозавод по выяснению возможностей выработки стекла для НКХП Союза ССР, главного инженера стеклозавода и представителей з-да К-4.</w:t>
      </w:r>
    </w:p>
    <w:p w14:paraId="0F8572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24 -25-го Снктября ГЛАВСТРОЙСТЕКЛО подробно обсудил вопрос о полированном стекле в составе указанных работников и согласовал с представи</w:t>
      </w:r>
      <w:r w:rsidRPr="00A3026E">
        <w:rPr>
          <w:rFonts w:ascii="Times New Roman" w:hAnsi="Times New Roman"/>
          <w:color w:val="000000" w:themeColor="text1"/>
          <w:sz w:val="16"/>
          <w:szCs w:val="16"/>
        </w:rPr>
        <w:softHyphen/>
        <w:t>телями завода К-4 технические условия на поставляемое стекло.</w:t>
      </w:r>
    </w:p>
    <w:p w14:paraId="0D8E42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разбора этого вопроса выявлено, что Гомельским стеклозаводом освоен процесс полировки стекла на конвейерной установке и удовлетворяет требованиям з-да К-4. Начиная с 27/1Х-с.г. конвейерная установка полностью переключается на выработку полированного стекла для завода К-4.</w:t>
      </w:r>
    </w:p>
    <w:p w14:paraId="258D89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испытания работы конвейера на обработке стекла, предназначенного для НКХП, максимальный объем стекла составил 214 мт2 в сутки, до конца года, за исключением остановки конвейера для планового ремонта, рабочих дней 82.</w:t>
      </w:r>
    </w:p>
    <w:p w14:paraId="41E37B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Согласно указанного </w:t>
      </w:r>
      <w:r w:rsidRPr="00A3026E">
        <w:rPr>
          <w:rFonts w:ascii="Times New Roman" w:hAnsi="Times New Roman"/>
          <w:smallCaps/>
          <w:color w:val="000000" w:themeColor="text1"/>
          <w:sz w:val="16"/>
          <w:szCs w:val="16"/>
        </w:rPr>
        <w:t xml:space="preserve">суточного </w:t>
      </w:r>
      <w:r w:rsidRPr="00A3026E">
        <w:rPr>
          <w:rFonts w:ascii="Times New Roman" w:hAnsi="Times New Roman"/>
          <w:color w:val="000000" w:themeColor="text1"/>
          <w:sz w:val="16"/>
          <w:szCs w:val="16"/>
        </w:rPr>
        <w:t>выпуска 214 мт2 до конца года будет выраоотано 17.548 мт2.</w:t>
      </w:r>
    </w:p>
    <w:p w14:paraId="4F1833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индивидуальный станки, которые в те</w:t>
      </w:r>
      <w:r w:rsidRPr="00A3026E">
        <w:rPr>
          <w:rFonts w:ascii="Times New Roman" w:hAnsi="Times New Roman"/>
          <w:color w:val="000000" w:themeColor="text1"/>
          <w:sz w:val="16"/>
          <w:szCs w:val="16"/>
        </w:rPr>
        <w:softHyphen/>
        <w:t>чение одного месяца будут обрабатывать стекло для НКХП дадут - 1650 мт2 (из расчета 55 мт2 в сутки).</w:t>
      </w:r>
    </w:p>
    <w:p w14:paraId="6E6E8F38"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color w:val="000000" w:themeColor="text1"/>
          <w:sz w:val="16"/>
          <w:szCs w:val="16"/>
        </w:rPr>
        <w:t xml:space="preserve">Таким образом, до 1/1-1941 г. будет выработано Гомельским заводом - 19196 мт2 полированного стекла для НКХП вместо указанных в высланном Вам нам графике производства 10.350 мт2 </w:t>
      </w:r>
      <w:r w:rsidRPr="00A3026E">
        <w:rPr>
          <w:rFonts w:ascii="Times New Roman" w:hAnsi="Times New Roman"/>
          <w:smallCaps/>
          <w:color w:val="000000" w:themeColor="text1"/>
          <w:sz w:val="16"/>
          <w:szCs w:val="16"/>
        </w:rPr>
        <w:t>(10512,32).</w:t>
      </w:r>
    </w:p>
    <w:p w14:paraId="22793874"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1F777D3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60AFD2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E9F4D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26-го сентября с.г. на пороховом заводе № 9 (гор. Шостка) произошла авария на фазе мешки пороха.</w:t>
      </w:r>
    </w:p>
    <w:p w14:paraId="3060F9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 время аварии погибло 13 человек рабочих, и 8 человек с тяжелыми ожогами находятся на излечении в местной больнице. </w:t>
      </w:r>
    </w:p>
    <w:p w14:paraId="135E5B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Для выявления причин аварии была немедленно назначена Комиссия под председательством заместителя НКБ тов. Хренкова. </w:t>
      </w:r>
    </w:p>
    <w:p w14:paraId="25E6D4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Комиссия установила, что наиболее вероятной причиной аварии является попадание в порох постороннего металлического предмета, который своим ударом и трением мог вызвать воспламенение пороховой пыли. </w:t>
      </w:r>
    </w:p>
    <w:p w14:paraId="237F3C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Попадание в порох постороннего металлического предмета ранее наблюдалось неоднократно, так как имели место случаи отвертывания гаек, крепящих ковши элеватора, а также отрывы и падение ковшей элеватора. </w:t>
      </w:r>
    </w:p>
    <w:p w14:paraId="634C6D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Комиссией обнаружено, что аппарат мешки пороха не был заземлен. Это обстоятельство, безусловно, способствовало воспламенению пороховой пыли. </w:t>
      </w:r>
    </w:p>
    <w:p w14:paraId="060CBA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Отсутствие заземления аппарата является грубейшим нарушением существующих правил техники безопасности со стороны дирекции завода. </w:t>
      </w:r>
    </w:p>
    <w:p w14:paraId="3164CD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Установлено также, что главный механик Управления Капитального Строительства т. Замес при сдаче аппарата в эксплуатацию (в апреле м-це с.г.) докладывал приемной Комиссии, что аппарат заземлен. </w:t>
      </w:r>
    </w:p>
    <w:p w14:paraId="03348B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Комиссией выявлено, что на данной фазе систематически нарушался график остановки агрегата, осмотра и промывки. Техническое руководство и дирекция завода грубо нарушила существующие правила хранения пороха, допуская перегруз производственных зданий и даже складывание готовой продукции около зданий. </w:t>
      </w:r>
    </w:p>
    <w:p w14:paraId="11E897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момент, предшествовавший аварии, вблизи здания мешки пороха (в 10—15 метрах от здания) находилось 117 тонн пороха, который также сгорел, чем, естественно, увеличен размер аварии. </w:t>
      </w:r>
    </w:p>
    <w:p w14:paraId="22FC8D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здании находилось 54 тонн пороха; таким образом, всего сгорело 171 тн пороха. </w:t>
      </w:r>
    </w:p>
    <w:p w14:paraId="4DC434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 грубое нарушение и преступное отношение к технической безопасности мною сняты с работы и отданы под суд следующие лица: </w:t>
      </w:r>
    </w:p>
    <w:p w14:paraId="7B0FD7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Начальник мастерской т. Аникеев. </w:t>
      </w:r>
    </w:p>
    <w:p w14:paraId="29D6FE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Начальник производства т. Колпина. </w:t>
      </w:r>
    </w:p>
    <w:p w14:paraId="37EF9B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Механик производства т. Марченко. </w:t>
      </w:r>
    </w:p>
    <w:p w14:paraId="7E31F2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Главный инженер завода т. Коршин. </w:t>
      </w:r>
    </w:p>
    <w:p w14:paraId="5D1F23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Директор завода т. Иванов. </w:t>
      </w:r>
    </w:p>
    <w:p w14:paraId="0EAF41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Материал Комиссии передается прокурору для привлечения указанных выше лиц к судебной ответственности. </w:t>
      </w:r>
    </w:p>
    <w:p w14:paraId="74682DE3" w14:textId="446DDB7E"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 результатам расследования Комиссии разрабатывались дополнительные меры по технике безопасности на всех пороховых заводах, для предотвращения каких-либо аварий, и в первую очередь дано указание о тщательной проверке наличия заземления у всех аппаратов порохового производства. </w:t>
      </w:r>
    </w:p>
    <w:p w14:paraId="5BB549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 семьям погибших рабочих выдано единовременное пособие в следующем размере: </w:t>
      </w:r>
    </w:p>
    <w:p w14:paraId="54C95E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семьям — по 1500 рублей; </w:t>
      </w:r>
    </w:p>
    <w:p w14:paraId="4C29B4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семьям — по 1000 рублей; </w:t>
      </w:r>
    </w:p>
    <w:p w14:paraId="7707DA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семьям — по 500 рублей и 1 погибшая работница не имела родственников. </w:t>
      </w:r>
    </w:p>
    <w:p w14:paraId="035D10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Решением СНК УССР — 5 семьям погибших рабочих установлены персональные пенсии. </w:t>
      </w:r>
    </w:p>
    <w:p w14:paraId="244101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Семьям остальных погибших пенсии будут установлены по соцстраху, согласно действующего законодательства. </w:t>
      </w:r>
    </w:p>
    <w:p w14:paraId="6CD536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АП РФ. Ф. 3. Оп. 58. Д. 343а. Л. 18—20. Подлинник. Машинопись (11430). </w:t>
      </w:r>
    </w:p>
    <w:p w14:paraId="4AA5A68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F178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умер М.И.Кошкин - конструктор Т-34 (3263,541).</w:t>
      </w:r>
    </w:p>
    <w:p w14:paraId="7DBA1D8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80BABAB"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26 сентября 1940 года скончался М.И. Кошкин. Его преждевременная смерть была тяжелой потерей для коллектива конструкторов и завода. Главным конструктором танкового КБ был назначен ученик и соратник М.И. Кошкина - А.А. Морозов (9154).</w:t>
      </w:r>
    </w:p>
    <w:p w14:paraId="22C5A10E" w14:textId="77777777" w:rsidR="00C66762" w:rsidRPr="00A3026E" w:rsidRDefault="00C66762" w:rsidP="00A3026E">
      <w:pPr>
        <w:pStyle w:val="a8"/>
        <w:widowControl/>
        <w:jc w:val="both"/>
        <w:rPr>
          <w:rFonts w:ascii="Times New Roman" w:hAnsi="Times New Roman" w:cs="Times New Roman"/>
          <w:color w:val="000000" w:themeColor="text1"/>
        </w:rPr>
      </w:pPr>
    </w:p>
    <w:p w14:paraId="12C059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г. в санатории скончался главный конструктор М. И. Кошкин в результате болезни легких. Главным конструктором стал А. А. Морозов. Государственной премии за создание Т-34 Кошкин (вместе с Морозовым и Кучеренко) удостоился посмертно в 1942 г. (3862).</w:t>
      </w:r>
    </w:p>
    <w:p w14:paraId="7825F03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27D3E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года М.И.Кошкин скончался. Главным конструктором танкового КБ ХПЗ назначили А.А.Морозова. Под его руководством началось проектирование двух вариантов модернизации Т-34. В первом - А-41 - была сделана попытка исправить большинство недостатков без изготовления нового корпуса и замены силового агрегата. Машина получала новую трехместную башню с диаметром погона 1700 мм (против 1420 мм у Т-34) и новую пушку Ф-34 завода №92. Но дальше "бумажной" стадии этот проект не пошел. Второй вариант - А-43, более известный под названием T-34M - был длиннее, уже и выше, чем Т-34. Одновременно с разработкой А-43 завод №183 продолжал выпуск Т-34.</w:t>
      </w:r>
    </w:p>
    <w:p w14:paraId="79CC056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2F772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года завод № 183 получил трагическое известие - умер главный конструктор Михаил Ильич Кошкин. Воспаление легких, полученное по время пробега опытных А-34 из Харькова в Москву в марте 1940 года, не долеченное до конца, дало серьезное осложнение. Во второй половине июля 1940 года его отправили в заводской санаторий, но лечение не помогло - здоровье ухудшалось, и 26 сентября Михаила Ильича Кошкина не стало.</w:t>
      </w:r>
    </w:p>
    <w:p w14:paraId="09F5E9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сомнения, Кошкину принадлежит ведущая роль в создании, принятии на вооружение и организации танка Т-34. «Он был ярый. Мы так и прозвали его: «Ярый». Именно эта ярость и помогла ему пробить танк», - так вспоминала сотрудница КБ завода № 183 Р. Матюхина о Кошкине. И с этим трудно не согласиться, когда знакомишься с документами о создании знаменитой тридцатьчетверки. И весьма символично, что умер Михаил Кошкин именно в ТОТ момент, когда было налажено производство Т-34 - его жизнь как бы перешла в этот танк. который стал символом Победы нашего народа во Второй мировой войне. Кошкина на посту главного конструктора завода № 183 сменил его заместитель А. Морозов (12217).</w:t>
      </w:r>
    </w:p>
    <w:p w14:paraId="39FC570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0A34D16" w14:textId="77777777" w:rsidR="007454D3" w:rsidRPr="00A3026E" w:rsidRDefault="007454D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По состоянию на 26 сентября Ф-27 произвела 60 выстрелов, обнаружились проблемы в работе противооткатной системы. В течение ноября завод дорабатывал обнаруженные недостатки в конструкции. В итоге работы сильно затянулись, и в Т-150 установили систему Ф-32. Всего на работы, связанные с Ф-27, было потрачено 260 тысяч рублей.</w:t>
      </w:r>
    </w:p>
    <w:p w14:paraId="33D0F88B" w14:textId="77777777" w:rsidR="007454D3" w:rsidRPr="00A3026E" w:rsidRDefault="007454D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Подобный поворот событий отнюдь не означал, что работы по Ф-27 прекратились. По состоянию на 15 января 1941 года первую пушку доработали и подготовили к отправке на Артиллерийский научно-испытательный опытный полигон (АНИОП). Также был построен второй образец, который установили в КВ-1. После этого выяснилось, что не работает ножной спуск, а сама система неуравновешенная.</w:t>
      </w:r>
    </w:p>
    <w:p w14:paraId="72DBC522" w14:textId="77777777" w:rsidR="007454D3" w:rsidRPr="00A3026E" w:rsidRDefault="007454D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К тому времени работы по Ф-30 и вовсе застопорились, поскольку завод №92 в инициативном порядке разработал систему калибра 107 мм, получившую обозначение Ф-42. Пушка выглядела более многообещающей, чем Ф-30. Что же касается Ф-27, то это обозначение исчезло из переписки ближе к концу зимы 1941 года. Причина оказалась прозаичной – пушку переименовали. На заводе №92 стала вводиться новая система индексов, которая многим исследователям запудрила голову. Ф-27 теперь стала называться ЗИС-5. Такой индекс появился не просто так, ведь полное название завода №92 выглядело как «Государственный Ордена Ленина завод №92 имени И.В. Сталина» (17675).</w:t>
      </w:r>
    </w:p>
    <w:p w14:paraId="7426A4FB" w14:textId="77777777" w:rsidR="007454D3" w:rsidRPr="00A3026E" w:rsidRDefault="007454D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6C1200B" w14:textId="77777777" w:rsidR="00D073BE" w:rsidRPr="00A3026E" w:rsidRDefault="00D073BE" w:rsidP="00A3026E">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К 26 сентября 1940, после 600 выстрелов, выявились проблемы в работе противооткатной системы Ф-27. Это привело к тому, что первоначальные планы по установке Ф-27 в тяжелый танк Т-150 пришлось менять. На танк поставили систему Ф-32. А у Ф-27 начались проблемы, которые начали валиться, как снежный ком. Нет, поначалу всё было не так плохо. В начале декабря орудие подготовили к отправке на Гороховецкий АНИОП, построили второй образец. Но дальше началось торможение, хотя второе орудие всё же поставили в КВ-1, после чего выяснилось, что не работает ножной спуск, а сама система неуравновешенная. Несмотря на такие проблемы, работы продолжались, а в феврале 1941 года систему переименовали в ЗИС-5. Так теперь назывались новые разработки КБ завода №92. 57-мм противотанковая пушка Ф-31 стала называться ЗИС-2, а ее танковая версия стала называться ЗИС-4. А вот Ф-30 совсем не повезло. Работы по ней прекратились, зато начались работы по 107-мм танковой пушке Ф-42, которая стала именоваться ЗИС-6 (20272).</w:t>
      </w:r>
    </w:p>
    <w:p w14:paraId="29F71233" w14:textId="77777777" w:rsidR="00D073BE" w:rsidRPr="00A3026E" w:rsidRDefault="00D073BE" w:rsidP="00A3026E">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458A4FDC" w14:textId="77777777" w:rsidR="00D073BE" w:rsidRPr="00A3026E" w:rsidRDefault="00D073BE"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26 сентября 1940 года, согласно приказу по Кировскому заводу №36, сборку двух образцов Т-220 ожидались закончить к 25 октября. При этом 85-мм орудие Ф-30 ставилось только на первый танк, а второй получал 76-мм пушку Ф-32.</w:t>
      </w:r>
    </w:p>
    <w:p w14:paraId="662671A7" w14:textId="77777777" w:rsidR="00D073BE" w:rsidRPr="00A3026E" w:rsidRDefault="00D073BE"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Изначально ведущим инженером машины был Л.Е.Сычев, являвшийся одним из создателей СМК-1, а затем и КВ. Выбор Сычева выглядел вполне логичным, поскольку у Леонида Ефимовича приоритетным направлением была разработка ходовой части машины. Тут она играла важную роль, поскольку масса Т-220 стремительно приближалась к 60 тоннам. Поскольку было очевидно, что машина приближается к весовым характеристикам СМК, часть концептуальных идей оказалась схожей. Это касалось, например, силовой установки. Ее мощность также предполагалась на уровне 850 л.с., но мотор АМ-34 явно не подходил для таких дел. На испытаниях он показал себя не лучшим образом, да и бензиновый двигатель уже явно не подходил. Поэтому дальнейшее развитие силовых установок пошло по линии "прокачки" В-2. Для Т-220 подготовили 850-сильный мотор В-2СН (он же В-2Ф), на который установили механический нагнетатель от авиационного двигателя АМ-38. Требовался он сразу на 2 изделия - Т-220 и 212. Также для танка была разработана 8-скоростная коробка передач, ее автором являлся Н.Ф. Шашмурин. В связи с ростом массы также поставили новую главная передача и бортовые фрикционы. Корпус танка пришлось удлинять, а заодно добавился седьмой опорный каток. Пришлось добавлять и еще один поддерживающий каток.</w:t>
      </w:r>
    </w:p>
    <w:p w14:paraId="6BE2FF7D" w14:textId="77777777" w:rsidR="00D073BE" w:rsidRPr="00A3026E" w:rsidRDefault="00D073BE"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Надо сказать, что бюджет у работ по данной теме был очень немаленький. Постройка каждого опытного образца обходилась в 1,2 миллиона рублей, даже 212 была дешевле. Общий же бюджет программы Т-220 составлял 4 миллиона рублей. При этом имелся сдерживающий фактор в виде той самой пушки, которая стала главной причиной появления Т-220 (21243).</w:t>
      </w:r>
    </w:p>
    <w:p w14:paraId="7E7046DB" w14:textId="77777777" w:rsidR="00D073BE" w:rsidRPr="00A3026E" w:rsidRDefault="00D073BE"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0994264D"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26 сентября 1940 г. </w:t>
      </w:r>
    </w:p>
    <w:p w14:paraId="138E07DB"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Из стенограммы заседания Комиссии </w:t>
      </w:r>
    </w:p>
    <w:p w14:paraId="4AD012A8"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по атомному ядру – «О работах по урану» </w:t>
      </w:r>
    </w:p>
    <w:p w14:paraId="2B68966B"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 Акад[емик] С.И. Вавилов. – 1 [...] Позвольте приступить ко второму вопросу. Мы ставим его по предложению Отделения и по предложению </w:t>
      </w:r>
    </w:p>
    <w:p w14:paraId="665F431D"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Комиссии по урану2. Прежде всего, я кратко информирую присутствующих, что это за комиссия. Дело в том, что по инициативе академиков Вернадского и Ферсмана летом текущего года Президиумом была организована Комиссия по изучению проблемы урана. Вначале она носила совсем неподходящее название: «Комиссия по использованию внутриатомной энергии урана», но потом в название была внесена поправка. Комиссия весьма многолюдная – из двадцати человек, причем там есть и специалисты, и неспециалисты. </w:t>
      </w:r>
    </w:p>
    <w:p w14:paraId="6F9E8ADF"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Составлена она из геологов, физиков и небольшого количества химиков. Какую цель ставит перед собой эта комиссия? Если можно так выразиться – координировать в Академии наук и, отчасти, вне ее работы, связанные с исследованием распада уранового ядра и с возможным использованием освобождающейся в результате цепной реакции энергии. </w:t>
      </w:r>
    </w:p>
    <w:p w14:paraId="304276F6"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Когда этот вопрос проходил в Президиуме, он вызвал довольно горячую дискуссию. В частности, мне пришлось указать, что едва ли целесообразна организация такой комиссии ввиду того, что и без нее в Академии есть Ядерная комиссия, в которой мы сейчас заседаем, и Комиссия по изотопам, так что, казалось бы, эти две комиссии вместе с избытком обеспечивают этот вопрос; и если принять еще во внимание, что у нас есть несколько институтов, которые занимаются проблемой урана, – Ленинградский физико-технический, Радиевый институт, Харьковский, то, несомненно, возможны и другие формы, помимо этой Комиссии по урану. Но оказалось, что геологи стоят в стороне от этого дела, и, в конце концов, Президиум все-таки постановил учредить такую комиссию. </w:t>
      </w:r>
    </w:p>
    <w:p w14:paraId="00DA8F37"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Комиссия эта примерно дней десять [тому] назад впервые под председательством академика Хлопина собиралась. На этом первом заседании, носившем предварительный организационный характер, было предложено Ядерной комиссии и Физико-математическому отделению представить свои соображения о работах в 1941 г. по физическому исследованию распада атомного ядра урана. Затем подобное же обращение было направлено Комиссии по изотопам, именно чтобы был подработан вопрос о методах разделения изотопов. Наконец, геологам было предложено на ближайшем же заседании Урановой комиссии сделать доклад о плане геологических поисков. В соответствии с этим повестка заседания Урановой комиссии, назначенного на 30 декабря, содержит несколько докладов, в частности, по поводу разведки урана – это закрытая часть повестки, и затем – открытые доклады: представления Физико-математического отделения о плане работ по урану, доклад Комиссии по изотопам о разработке методов разделения изотопов, доклад академика Лейпунского о работах Украинского физико-технического института по проблеме урана, и, наконец, о работах по проблеме урана на 1941–1942 гг.3 [...] </w:t>
      </w:r>
    </w:p>
    <w:p w14:paraId="5BB4EE45"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lastRenderedPageBreak/>
        <w:t xml:space="preserve">Что нам надлежит сделать? Мы для Отделения (так как представитель Отделения должен сделать доклад в этой Комиссии) должны представить наши соображения о плане работ по урану как в Академии, так и вне Академии. Эта работа ведется, как я уже говорил, в Харьковском физико-техническом институте, в Ленинградском физико-техническом институте и в Радиевом институте. Представители этих институтов должны высказаться по этому вопросу. Может быть, первым сделает сообщение Абрам Федорович? </w:t>
      </w:r>
    </w:p>
    <w:p w14:paraId="4725BD3C"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А.Ф. Иоффе. – Я вообще считаю, что постановление об этой комиссии есть дилетантское произведение этих людей, не знающих этого дела. Во-вторых, если доклад об изотопах будет делать Комиссия по изотопам, то это будет просто нелепость, потому что там не знают методов деления4 изотопов. </w:t>
      </w:r>
    </w:p>
    <w:p w14:paraId="0DD988E2"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С.И. Вавилов. – Я также считаю, что наша Комиссия имеет право и даже обязанность высказать свое мнение о целесообразности работы этой Урановой комиссии. Я лично уже два раза высказывался против создания этой комиссии. </w:t>
      </w:r>
    </w:p>
    <w:p w14:paraId="6D64F0A9"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А.Ф. Иоффе. – Может быть, Александр Ильич5 изложит, как ему представляется сейчас положение этого вопроса, тогда выяснится, что сейчас нужно делать. </w:t>
      </w:r>
    </w:p>
    <w:p w14:paraId="547163D4"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А.И. Лейпунский. – Я могу кое-что кратко рассказать, но только я не уверен, что это будет совершенно объективно, и, может быть, не все будут согласны с тем, что я изложу. </w:t>
      </w:r>
    </w:p>
    <w:p w14:paraId="1D0F8D2A"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Насколько я понимаю, я должен оценить разные возможности использования цепной реакции, главным образом, в качестве получения источника энергии, как это предполагалось. Здесь могут быть два пути: можно идти либо через быстрые нейтроны и более тяжелый изотоп урана–[уран]-238, либо – через медленные нейтроны и легкие изотопы. </w:t>
      </w:r>
    </w:p>
    <w:p w14:paraId="78A7533B"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Более или менее установившееся научное мнение гласит, что путь через быстрые нейтроны и тяжелые изотопы не совсем обоснован. Мне тоже кажется, что, по-видимому, это так, хотя и нельзя окончательно еще это сказать. Дело в том, что здесь остается невыясненным следующий вопрос, который желательно было бы разрешить, [а] именно: можно было бы думать, что в случае столкновений быстрых нейтронов с ядрами урана-238 большая часть столкновений будет идти на деление урана, и, таким образом, неупругие столкновения не будут играть большой роли. Вещь эта в высшей степени маловероятная, но все-таки для окончательного решения этого вопроса следует провести опыты по изучению количества нейтронов, которые получаются для какого-нибудь приличного слоя урана, обстрелянного быстрыми нейтронами. Это, пожалуй, все, что можно сказать о быстрых нейтронах, и если результат указанных опытов получится отрицательный, то вопрос о возможности развития цепной реакции с помощью быстрых нейтронов следует решительно отстаивать6. </w:t>
      </w:r>
    </w:p>
    <w:p w14:paraId="4630E982"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Несколько более обнадеживающим является вопрос о медленных нейтронах – в смысле развития цепной реакции. С медленными нейтронами нужно обсудить несколько путей: во-первых, самый простой путь – если бы цепная реакция пошла в смеси воды и урана. Однако те расчеты, которые были сделаны Ю.Б. Харитоном, показывают, что в смеси воды и урана реакция не пойдет7. Нужно сказать, что Флёров обратил внимание на одну очень существенную деталь в этом расчете. Дело в том, что при делении изотопов урана медленными нейтронами в результате получаются быстрые нейтроны, они обязательно будут встречать на своем пути уран-238 и опять-таки будут его делить. Отсюда получается некоторое дополнительное количество нейтронов, а так как для развития цепи условия очень жесткие, то, возможно, что эта добавка сыграет большую роль. Но это еще не подсчитано, поэтому было бы чрезвычайно желательно рассчитать эту возможность, предложенную товарищем Флёровым. </w:t>
      </w:r>
    </w:p>
    <w:p w14:paraId="5D7AE96E"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А.Ф. Иоффе. – Вы имеете в виду воду с кислородом? </w:t>
      </w:r>
    </w:p>
    <w:p w14:paraId="4F5A0C8F"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А.И. Лейпунский. – Да. </w:t>
      </w:r>
    </w:p>
    <w:p w14:paraId="4CA09D7E"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Следующая возможность – это смеси без водорода (действие замедленных нейтронов на разделенный уран-235 и 238), но для замедления нужно пользоваться тяжелыми элементами. Для подсчета этих возможностей кое-какие экспериментальные данные имеются, однако, опять-таки такие подсчеты не были до конца проведены. Очень важно поэтому проделать расчеты – можно ли в какой-нибудь смеси тяжелой воды и урана, или тяжелого гелия и урана получить развитие цепи? Если такие пути будут выявлены, то они будут более легки, нежели путь, который пойдет наверняка, но который является очень тяжелым, – я имею в виду путь обогащения урана с изотопом 235. Дело в том, что обогащение изотопов – задача настолько трудная, что, я думаю, вряд ли в физике встречались задачи такой степени трудности (если говорить о практическом использовании), потому что нужно говорить о громадных количествах обогащенного урана, о тоннах, а сейчас получаются микрограммы, т.е. здесь нужно сделать скачок [в] 10</w:t>
      </w:r>
      <w:r w:rsidRPr="00A3026E">
        <w:rPr>
          <w:color w:val="000000" w:themeColor="text1"/>
          <w:sz w:val="16"/>
          <w:szCs w:val="16"/>
          <w:vertAlign w:val="superscript"/>
        </w:rPr>
        <w:t xml:space="preserve">12 </w:t>
      </w:r>
      <w:r w:rsidRPr="00A3026E">
        <w:rPr>
          <w:color w:val="000000" w:themeColor="text1"/>
          <w:sz w:val="16"/>
          <w:szCs w:val="16"/>
        </w:rPr>
        <w:t xml:space="preserve">раз. Были сделаны какие-то расчеты относительно стоимости обогащения урана. И эти очень ориентировочные подсчеты дают фантастические цифры. Во всяком случае, полученная энергия будет стоить весьма дорого. Да и само исследование будет стоить очень дорого. Следовательно, этот путь принципиально вполне осуществим, – нет никаких сомнений, что цепная реакция здесь пойдет, но экспериментально это необычайно тяжелый путь. Поэтому если и говорить об этом пути, то только во вторую очередь, это, конечно, не первоочередная задача. </w:t>
      </w:r>
    </w:p>
    <w:p w14:paraId="48C6D8EB"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Конечно, следует заниматься разделением изотопов, потому что это чрезвычайно интересная вещь. У нас в Союзе этим почти, если не совсем, не занимаются. Между тем, разделение изотопов может дать много и для физики, и для химии, и для биологии. Но, во всяком случае, говорить о том, что для того чтобы в короткое время получить энергию из урана, необходимо разделять изотопы, – это мне кажется весьма сомнительным, и я считаю, что это будет неправильный путь. Повторяю еще раз, из этого, конечно, не следует, что работы по разделению изотопов не следует продолжать; тем! более, что полезность одной постановки этого вопроса видна уже сейчас: только после того, как стали говорить о разделении изотопов в связи с урановой проблемой, у нас сразу же появилось много интересных и остроумных предложений по разделению изотопов, которые могут принести пользу и в области исследования урана, и в других областях физики. </w:t>
      </w:r>
    </w:p>
    <w:p w14:paraId="0F7C89AA"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Для решения этих вопросов, которых я коснулся, весьма существенно иметь точные константы для всяких процессов, происходящих с ураном. Что сейчас известно недостаточно точно? Что может влиять на результат подсчетов, необходимых для урановой реакции? Так как нам желательно провести цепную реакцию лучше всего в смеси воды и урана (хуже – в смеси тяжелой воды и урана), важно хорошо знать константы, ибо небольшое изменение в константах может существенно изменить результат, так как реакция – цепная. Если говорить о бомбардировке легкими нейтронами, то сечения меняются от двух до шести-семи8. Было бы важно иметь точные сечения для урана. Затем, весьма существенно знать количество нейтронов, выделяющихся при каждом акте деления урана. Все измерения, которые в этом отношении проделывались, страдают существенными недостатками, и можно сказать, что вряд ли точность их превышает 50 %: может быть два нейтрона, может быть и три. Если есть возможность измерить это число точнее, весьма существенно это сделать. Затем нужно измерить вредный уровень урана-238, который был на 25 вольтах9, а сейчас «переехал» на пять вольт. Известно его положение на пяти вольтах, но не известна ширина уровня. Существенно знать ширину захвата. Наконец, следует отчетливо решить вопрос: выходит ли из урана больше быстрых нейтронов, чем в него входит, или нет? </w:t>
      </w:r>
    </w:p>
    <w:p w14:paraId="37B9ED84"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А.И. Алиханов. – Это необходимо и для медленных нейтронов – для поправки Флёрова. </w:t>
      </w:r>
    </w:p>
    <w:p w14:paraId="72D9A19D"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А.И. Лейпунский. – Совершенно верно. </w:t>
      </w:r>
    </w:p>
    <w:p w14:paraId="2219FAE0"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В заключение еще раз повторяю – важно, чтобы развивались различные методы разделения изотопов, которые могут принести большую пользу и по отношению к урану, но, главным образом, в других областях. Здесь идут, насколько я знаю, широким фронтом: собираются пользоваться электрическим методом10, методом термодиффузионным...11 </w:t>
      </w:r>
    </w:p>
    <w:p w14:paraId="59BA1A25"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А.Ф. Иоффе. – Кто собирается?... </w:t>
      </w:r>
      <w:r w:rsidRPr="00A3026E">
        <w:rPr>
          <w:color w:val="000000" w:themeColor="text1"/>
          <w:sz w:val="16"/>
          <w:szCs w:val="16"/>
          <w:vertAlign w:val="superscript"/>
        </w:rPr>
        <w:t>15</w:t>
      </w:r>
    </w:p>
    <w:p w14:paraId="5389F52D"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А.И. Лейпунский. – Я слышал, Виноградов в Биохимическом институте12. А.Ф. Иоффе. – Термодиффузия – способ уже давно известный. </w:t>
      </w:r>
    </w:p>
    <w:p w14:paraId="6E8FA339"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А.И. Алиханов. – Видите ли, проблема урана, несомненно, очень интересна, но не слишком ли много мы об этом говорим? По крайней мере, на нашем Отделении по поводу этой проблемы рассказывалось четыре раза: два раза об этом рассказывал Игорь Васильевич, затем я об этом говорил и сейчас – в четвертый раз. </w:t>
      </w:r>
    </w:p>
    <w:p w14:paraId="1775C6C8"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С.И .Вавилов. – Сейчас вопрос ставится совершенно конкретно. Существующее положение в этой области присутствующим хорошо известно. Но, к сожалению, оно в Президиуме в газетном освещении попало не к физикам, а к людям менее в этом отношении сведущим. </w:t>
      </w:r>
    </w:p>
    <w:p w14:paraId="1C57B0EA"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А.Ф. Иоффе. – Но если почитать все касающееся этой Урановой комиссии, то можно говорить именно о газетном освещении! </w:t>
      </w:r>
    </w:p>
    <w:p w14:paraId="6B2AB4B5"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С.И. Вавилов. – Во всяком случае, нам нужно выяснить сегодня, какие работы, прежде всего, в рамках Академии, предполагают ставить наши институты, и что намерен делать в этой области Харьковский институт, чтобы мы могли сообщить в Урановую комиссию, чем мы собираемся заниматься в 1941 г. То что изложил здесь Александр Ильич, физикам более или менее ясно. Работать, несомненно, нужно в этой области, нет надобности здесь распространяться о важности этого дела. Вот это и нужно сообщить Комиссии. </w:t>
      </w:r>
    </w:p>
    <w:p w14:paraId="60636A54"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Кроме того, можно вынести постановление относительно того, насколько целесообразна такая широковещательная Комиссия. Я считаю правильным, что ведутся геологические поиски. Я и предполагал в свое время вместо этой Комиссии организовать бригаду по поискам урана... </w:t>
      </w:r>
    </w:p>
    <w:p w14:paraId="60F30BFA"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А.И. Лейпунский. – Поскольку такая Урановая комиссия уже существует, то вряд ли следует думать, что она может быть распущена. Мне кажется, что это сомнительно. </w:t>
      </w:r>
    </w:p>
    <w:p w14:paraId="671F7280"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Корсунский. – Мне кажется, что все что говорил Александр Ильич, правильно. В то же время я считаю, что урановая проблема имеет некоторую перспективу разрешиться положительно, причем некоторые направления, в частности, использование медленных нейтронов с обогащением изотопов, наверняка сейчас имеют положительную перспективу. Поэтому я бы высказал сейчас такую точку зрения: хотя здесь перед физиками очень трудные задачи, но поскольку эти работы имеют положительную перспективу, их нужно выпятить и не рассматривать как нечто второстепенное. Более точные подсчеты, более точное определение параметров, возможно, что-нибудь и даст. Но, во всяком случае, вопрос о разделении изотопов, мне кажется, теперь нужно поставить как один из основных вопросов, тем более, что он имеет смысл и значение не только для разделения изотопов урана. Полезность таких разговоров уже оказалась очевидной. Вот Абрам Исаакович13 огорчается, что четвертый раз об этом говорят. Должен сказать, что у нас в Харькове отголоски этих разговоров привели к определенному результату: последовал целый ряд предложений о методах деления изотопов и, в частности, в перспективных планах различных лабораторий в той или иной мере запланирована работа по разделению изотопов. Мне кажется поэтому, что и нам было бы полезно подчеркнуть целесообразность этого направления. </w:t>
      </w:r>
    </w:p>
    <w:p w14:paraId="3C787BEE"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lastRenderedPageBreak/>
        <w:t xml:space="preserve">В частности, у нас на предполагаемой ядерной конференции14 вопросы разделения изотопов не фигурируют. Правда, здесь еще нет возможности поставить оригинальные доклады, но, может быть, следовало бы сделать обзорный доклад. </w:t>
      </w:r>
    </w:p>
    <w:p w14:paraId="753734B8"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С.И. Вавилов. – Я совершенно согласен с тем, что сказал т. Корсунский, причем никаких расхождений между тем, что говорил Александр Ильич, и выступлением т. Корсунского я не вижу, – это просто некоторое дополнение. Что же касается постановки доклада, то я не знаю – кроме Бродского, который работает в Днепропетровске15, никто такого доклада сделать не может, потому что фактически ведь никакой работы в этом отношении не ведется. Речь, очевидно, может идти только об обзорном докладе. </w:t>
      </w:r>
    </w:p>
    <w:p w14:paraId="61EE8030"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А.Ф. Иоффе. – Я тоже считаю, что то что перечислил Александр Ильич, правильно. Вы, Александр Ильич, перечислили все возможности и оценили их очень спокойно. А вот тов. Корсунский сейчас выпятил один момент, который ему кажется решающим. Я хотел [бы] выдвинуть второй момент. Дело в том, что перед моим отъездом мы с т. Флёровым и с Курчатовым обсуждали вопрос о возможных путях, и мое мнение таково, что вопрос об обогащении изотопов, конечно, представляет большой интерес, но, по-видимому, это заведомо невыгодно. Но здесь может быть множество способов – хотя бы тот же термодиффузионный и ряд других. В частности, и я придумал один, если хотите, я потом скажу о нем. Повторю, способы здесь могут быть разнообразные. Вот вы говорите о необычайной дороговизне наиболее легкого способа, но если речь идет о том, чтобы сбросить тонну или полтонны урана и взорвать половину Англии, – тут о дороговизне можно не говорить. Во всяком случае, наиболее реальное, что мы сейчас имеем, это – соединение урана с тяжелым водородом. </w:t>
      </w:r>
    </w:p>
    <w:p w14:paraId="15B88955"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А.И. Лейпунский. – А почему Вы боитесь кислорода? </w:t>
      </w:r>
    </w:p>
    <w:p w14:paraId="637937D3"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А.Ф. Иоффе. – Если кислород окажется безвредным, может быть, удобнее будет его взять. Но дело в том, что здесь не требуется интимной связи. Водород может быть заключен в ячейке. Как угодно это можно сделать. Примерно можно сказать так: что если взять несколько тонн урана и изготовить тонну тяжелого водорода, что должно стоить около одного миллиона рублей и, примерно, требует [работы] всего Днепростроя16 на один день, то вы могли бы провести цепную реакцию без обогащения урана, Поэтому лично я бы выдвинул это как наиболее актуальную проблему, потому что здесь уже все готово, и это не такие сумасшедшие вещи, как обогащение изотопов, где дело пахнет уже не миллионами, а черт знает чем. </w:t>
      </w:r>
    </w:p>
    <w:p w14:paraId="3C5F9177"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Таким образом, я целиком согласен с тем списком предложений, которые выдвинул Александр Ильич; все те данные, о которых он говорил, действительно нужно уточнить, чтобы с полным знанием дела подходить к этой проблеме; но если говорить о том, что нужно выдвинуть как первоочередное, что – во вторую очередь, что – в третью и т.д., то мне кажется, что первоочередной явилась бы задача точно рассчитать уран с тяжелым водородом. </w:t>
      </w:r>
    </w:p>
    <w:p w14:paraId="395C46B7"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Второй вопрос, по-моему, чрезвычайной важности, – это вопрос о разных методах разделения изотопов. Здесь нужно, во-первых, освоить имеющийся уже за границей метод термодиффузии и, кроме того, использовать ряд других способов. Вот т. Корсунский сказал, что в Харьковском институте был сделан ряд предложений в этом отношении. Я, лежа на диване, тоже кое-что придумал. Возьмите электрические методы – они возможны, но трудны. Поэтому я подумал о том – нельзя ли разделить незаряженные молекулы? Здесь можно использовать магнитные силы. Легко подсчитать, что на расстоянии одного метра, примерно, можно получить разделение на пять миллиметров, причем, это можно делать в массовых количествах. </w:t>
      </w:r>
    </w:p>
    <w:p w14:paraId="2411B512"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И.Е. Тамм. – За счет чего? </w:t>
      </w:r>
    </w:p>
    <w:p w14:paraId="565C3E2B"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А.Ф. Иоффе.– За счет того, что магнитные силы для двух изотопов одинаковы, а веса изотопов различны. </w:t>
      </w:r>
    </w:p>
    <w:p w14:paraId="2BC9CE2A"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И.Е. Тамм. – А разве магнитные моменты известны? </w:t>
      </w:r>
    </w:p>
    <w:p w14:paraId="77F6F33A"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А.Ф. Иоффе. – Известны. Я не предлагаю, конечно, непременно этот способ избрать, но, во всяком случае, я убедился, что здесь может быть целый ряд способов. Одним словом, это задача, которой физикам нужно серьезно заняться. Нельзя поэтому ограничиваться одной только термодиффузией. Исходя из всего этого, я считал бы возможным поставить такой вопрос перед нашей Ядерной комиссией: быть может, следовало бы поручить Харьковскому физико-техническому институту, Ленинградскому, может быть, Институту химической физики как-то увязать эту работу – одни методы разрабатывать в одном институте, другие – в другом, потому что это дело сложное и дорогое. Одним словом, Ядерная комиссия должна взять это в свои руки и координировать работу институтов по разработке методов деления изотопов. </w:t>
      </w:r>
    </w:p>
    <w:p w14:paraId="57DDED55"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Затем я бы предложил не обзорный доклад сделать, а собрать пять-шесть человек этим занимающихся, а через две-три недели еще раз их собрать, с тем, чтобы обсудить имеющиеся пути, проверить расчеты и, таким образом, повести эту работу в виде комплексной бригады трех-четырех институтов: Ленинградского физико-технического, Харьковского, Химической физики, Радиевого. Пусть еще Биохимический институт – Виноградов – будет включен в эту работу. Но не оставляйте эту проблему в руках Вернадского или Геохимического института. </w:t>
      </w:r>
    </w:p>
    <w:p w14:paraId="77E6BA0E"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Таким образом, мне кажется, что наиболее реально сейчас – подсчитать путь с тяжелым водородом и подумать о том, нельзя ли заготовить тяжелый водород в необходимом количестве, с тем что уран будут искать геологи. </w:t>
      </w:r>
    </w:p>
    <w:p w14:paraId="697CA5AB"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Во-вторых, нужно поручить такой бригаде, постоянно действующей по изотопам, произвести количественные расчеты и продумать имеющиеся пути деления изотопов с тем, чтобы эти работы могли войти в планы тех четырех-пяти институтов, которые я назвал. Другими словами, нужно выйти из рамок, предложенных нам этой Урановой комиссией, и сделать сообщение не только об урановой проблеме, но и о том, как организовать работу по разделению изотопов. </w:t>
      </w:r>
    </w:p>
    <w:p w14:paraId="6DEC7140"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С.И. Вавилов. – Я ничего не имею возразить Вашим предложениям, – я и сам думал, что необходимо таким бригадным порядком разрешать этот вопрос; но вот сейчас мы стоим перед тем, что на определенный день назначено заседание Урановой комиссии, и от нас просят мнения – и Отделения, и Ядерной комиссии – по этому вопросу. Поэтому я повторяю, что мы можем дать общую характеристику, и сам Александр Ильич выступит там с докладом; но, кроме того, мы можем довести до сведения Урановой комиссии, что вообще по урану – не только с целью использования его внутриатомной энергии, – делается то-то и то-то. Во-вторых, надо подчеркнуть важность опытов по разделению изотопов, – то, что Вы говорили, Абрам Федорович17, о смеси с тяжелым водородом. </w:t>
      </w:r>
    </w:p>
    <w:p w14:paraId="22C1A62E"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Что касается изотопов, то положение здесь получается, простите, неловкое. Существует, как все мы знаем, Комиссия по изотопам, казалось бы, что Академия это дело давно предусмотрела; но де-факто эта Комиссия торгуется из-за тяжелой воды, которой там нет, и больше ничем не занимается. Поэтому лучше, пожалуй, сделать так, что [бы] при каком-либо институте (либо при Вашем, Абрам Федорович, либо при Радиевом) собрать такое узкое совещание и в порядке проявления инициативы самими институтами сдвинуть этот вопрос. </w:t>
      </w:r>
    </w:p>
    <w:p w14:paraId="7A10E4FC"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А.Ф. Иоффе. – Но ведь Комиссия по изотопам будет страшным тормозом. Это означает войну. Они не позволят нам ничего включить в план, а предложат делать то, о чем они случайно узнают! </w:t>
      </w:r>
    </w:p>
    <w:p w14:paraId="752D932D"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С.И. Вавилов. – Насколько я понял, Харьковский институт серьезно берется за разделение изотопов. Вопрос этот там ставится не вообще, а конкретно. То же самое в Радиевом институте. И если Харьковский и Радиевый институты поставят эти работы, то, во всяком случае, вопрос уже беспризорным не останется. Комиссия же по изотопам нисколько не обидится, когда узнает, что институты занимаются этим вопросом. Ведь ее дело – координировать и увязывать. </w:t>
      </w:r>
    </w:p>
    <w:p w14:paraId="70741A75"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А.И. Лейпунский. – Видите ли, Сергей Иванович18, это не так просто, потому что здесь могут понадобиться значительные средства, ибо это очень сложные работы. </w:t>
      </w:r>
    </w:p>
    <w:p w14:paraId="3127F71C"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А.Ф. Иоффе. – Термодиффузионный метод – дело сравнительно простое, а вот что касается расчетов, проверки и экспериментального опробования всех других возможностей – это нужно вести координировано, ибо здесь большой и сложный комплекс задач. Вот, как Вы думаете, Александр Ильич, один Харьковский физико-технический институт справится с этим? </w:t>
      </w:r>
    </w:p>
    <w:p w14:paraId="653FC9B5"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А.И. Лейпунский. – Конечно нет. Повторяю, в институте сделано несколько предложений, и эти предложения могут быть исследованы. Но ведь возможностей может быть очень много. </w:t>
      </w:r>
    </w:p>
    <w:p w14:paraId="5B2A0B1B"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А.Ф. Иоффе. – А магнитный способ у вас предлагался? </w:t>
      </w:r>
    </w:p>
    <w:p w14:paraId="76F8E94A"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А.И. Лейпунский. – Нет. Но предлагался другой способ, тоже с незаряженными частицами. </w:t>
      </w:r>
    </w:p>
    <w:p w14:paraId="461ABDF5"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С.И. Вавилов. – Александр Ильич, Вы можете огласить на Урановой комиссии те конкретные работы по разделению изотопов, которые предполагается проводить в Харьковском физико-техническом институте? </w:t>
      </w:r>
    </w:p>
    <w:p w14:paraId="0AF6466F"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А.И. Лейпунский. – Конечно, могу. </w:t>
      </w:r>
    </w:p>
    <w:p w14:paraId="24F8CF6A"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А.И. Алиханов. – Вы, Сергей Иванович, сказали, что к тридцатому числу надлежит свести воедино все, что делается по урану. Александр Ильич перечислил работы, которые в этой области могут вестись. Нужно только указать, что все это упирается в отсутствие урана. В частности, та работа, которая должна определить непригодность или некоторую пригодность быстрых нейтронов, она требует наличия чистого урана в порядке килограмм, и вторая работа, с учетом флёровской поправки, тоже требует урана. Эти работы совершенно конкретны. </w:t>
      </w:r>
    </w:p>
    <w:p w14:paraId="7839ED19"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С.И. Вавилов. – Кроме того, в Радиевом институте ведутся работы по продуктам распада урана, которые выходят из рамок сообщения Александра Ильича. </w:t>
      </w:r>
    </w:p>
    <w:p w14:paraId="6149BEE2"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А.И. Алиханов. – Вообще, о том, что будет делаться в Академии, совершенно точно можно будет сказать: по линии физики об использовании внутриатомной энергии может сказать Александр Ильич, а о продуктах распада может сообщить Виталий Григорьевич19. </w:t>
      </w:r>
    </w:p>
    <w:p w14:paraId="652CC608"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С.И. Вавилов. – Затем, на прошлом заседании Урановой комиссии я от Физического института сказал, что ФИ АН берется работать по урану, но только по линии оптических методов разведки урана. </w:t>
      </w:r>
    </w:p>
    <w:p w14:paraId="01B60A42"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Русинов. – Наш институт20 занимается сейчас двумя задачами: выяснение вероятности реакции на быстрых нейтронах и захват умеренных нейтронов21 легкими изотопами. Нам необходим только какой-то центр, который выдвигал бы те или другие вопросы и как-то координировал бы эту работу. Если бы такой центр дал бы необходимое количество урана для проверки осуществления реакции на быстрых и медленных нейтронах – это было бы большой конкретной помощью. </w:t>
      </w:r>
    </w:p>
    <w:p w14:paraId="3FB4484A"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Необходимо также проверить теоретические расчеты Харитона, но если даже мы получим ряд экспериментальных данных для сечений и произведем расчет, все же, прежде чем говорить об опыте, нужно иметь достаточное количество урана. Отсюда – к тому времени, когда будет выяснена расчетная часть и станут известными соответствующие сечения, нужно вполне приготовиться22 к обстановке микроскопических опытов. </w:t>
      </w:r>
    </w:p>
    <w:p w14:paraId="02460F36"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lastRenderedPageBreak/>
        <w:t xml:space="preserve">Затем, Абрам Федорович говорит о тяжелой воде. Может быть, сейчас уже имело бы смысл подсчитать, какие возможности имеются в отношении создания тонны тяжелой воды. Кроме того, гелий вещь более тяжелая, чем тяжелая вода. Поэтому осуществить опыт с гелием было бы значительно легче. Отсюда интересно выяснить вопрос: можно было бы получить тонну гелия? </w:t>
      </w:r>
    </w:p>
    <w:p w14:paraId="54C24A4E"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Совершенно правильно здесь заострялся вопрос о разделении изотопов. Эти работы необходимо ставить, и не только в связи с урановой проблемой. </w:t>
      </w:r>
    </w:p>
    <w:p w14:paraId="3CA97B50"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Резюмируя, считаю, что желательно, чтобы институты работали в этом направлении и чтобы какой-то центр помогал. Считаю, что это должна делать наша Ядерная комиссия, потому что от Урановой комиссии пока помощи нет. </w:t>
      </w:r>
    </w:p>
    <w:p w14:paraId="4CEC88E6"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Между прочим, из заграничных журналов видно, что там направление, главным образом, взято на разделение. Там ничего не пишут о направлении по линии использования тяжелой воды и т.д. Может быть, и нам имеет смысл об этих вещах говорить и больше работать. </w:t>
      </w:r>
    </w:p>
    <w:p w14:paraId="294CBB6B"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Вальтер. – Мне хотелось бы указать на важность еще одного мероприятия: необходимо централизовать где-то производство продуктов урана. Эти работы не следует дробить по отдельным институтам. Нужно, чтобы этим занималась какая-то химическая лаборатория, которая снабжала бы всех ведущих эти работы. </w:t>
      </w:r>
    </w:p>
    <w:p w14:paraId="7FBEC5DE"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С.И. Вавилов. – Может быть, мы перейдем уже к некоторым выводам по урану? </w:t>
      </w:r>
    </w:p>
    <w:p w14:paraId="54B9D939"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Мне кажется, что из всего того, что здесь говорилось, следует, во-первых, что от лица Ядерной комиссии необходимо обратить внимание Урановой комиссии на то, что все физики, занимающиеся этим вопросом, чрезвычайно приветствуют то обстоятельство, что вопрос о разведке урановых месторождений поднимается серьезно, и [Ядерная комиссия] просит ускорить эту работу. </w:t>
      </w:r>
    </w:p>
    <w:p w14:paraId="78CF380B"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Далее – необходимо будет сообщить Урановой комиссии, что в планах институтов, входящих в систему Академии, а также и не входящих (я имею в виду Харьковский физико-технический институт), на 1941 г. намечена довольно большая работа по урану: в частности, в Харьковском физико-техническом институте намечен ряд работ по различным методам разделения изотопов; в РИАНе намечается ряд химических исследований, связанных с ураном, и, в частности, изучение процессов распада; работа по изотопам намечается также и в плане Ленинградского физико-технического института. </w:t>
      </w:r>
    </w:p>
    <w:p w14:paraId="40A6041E"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Физический институт Академии наук предлагает свои услуги по разработке оптического метода разведки урановых руд. </w:t>
      </w:r>
    </w:p>
    <w:p w14:paraId="3BF8D222"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А.Ф. Иоффе. – Наряду с тем, что мы всемерно приветствуем поиски урановых руд, следует указать также на необходимость обеспечения химической работы по урану. </w:t>
      </w:r>
    </w:p>
    <w:p w14:paraId="53A23705"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С.И. Вавилов. – Может быть, мы будем просить от лица Комиссии поручить эту работу Радиевому институту? </w:t>
      </w:r>
    </w:p>
    <w:p w14:paraId="11259E66"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Полесицкий. – Насколько я знаю, Лаборатория Вернадского собирается этим заниматься. </w:t>
      </w:r>
    </w:p>
    <w:p w14:paraId="6B3A71E3"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С.И. Вавилов. – Нам трудно здесь говорить об институте Вернадского, будем говорить об институтах, входящих в наше Отделение. </w:t>
      </w:r>
    </w:p>
    <w:p w14:paraId="3C301291"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М.И. Филиппов. – Относительно того, о чем говорил Абрам Федорович, – о созыве ряда узких совещаний по вопросу об изотопах – мне кажется необходимо, может быть, не заявляя об этом в Урановой комиссии, в ближайшее время созвать такое совещание. </w:t>
      </w:r>
    </w:p>
    <w:p w14:paraId="1B451D52"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С.И. Вавилов. – Мне кажется, что рациональнее всего устроить такое совещание в Ленинграде. </w:t>
      </w:r>
    </w:p>
    <w:p w14:paraId="458281B2"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М.И. Филиппов. – И второе – в Харькове. </w:t>
      </w:r>
    </w:p>
    <w:p w14:paraId="3AB65844"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С.И. Вавилов. – А могли бы харьковчане съездить в Ленинград? </w:t>
      </w:r>
    </w:p>
    <w:p w14:paraId="0064F0F0"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А.И. Лейпунский. – Если это объединить с полупроводниковой сессией23. </w:t>
      </w:r>
    </w:p>
    <w:p w14:paraId="3B7BDE8F"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С.И. Вавилов. – Может быть, мы наметим участников этого совещания. Абрам Федорович – председатель, затем Александр Ильич, от Харькова – Корсунский, Ланге, Вальтер, от Радиевого института – Алхазов, Полесицкий, от Физико-технического института – Хургин, от Института химической физики – Харитон, от Днепропетровского института – Бродский. Такое совещание мы поручим созвать в Ленинграде уже в начале ноября. </w:t>
      </w:r>
    </w:p>
    <w:p w14:paraId="1A15F6B5"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А.Ф. Иоффе. – Просьба только ко всем харьковцам – подготовить соответствующие расчеты, потому что, в конце концов, к этому сведется все дело. </w:t>
      </w:r>
    </w:p>
    <w:p w14:paraId="57A64F0D"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С.И. Вавилов. – Таким образом, повестку дня мы исчерпали и на этом можно закончить. </w:t>
      </w:r>
    </w:p>
    <w:p w14:paraId="223382A3"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Заседание закрывается. </w:t>
      </w:r>
    </w:p>
    <w:p w14:paraId="2D2763AF"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rPr>
        <w:t xml:space="preserve">Архив РАН. Ф.471, оп.1(38–41), д.73, л.9–27. Незаверенная копия. </w:t>
      </w:r>
    </w:p>
    <w:p w14:paraId="5B27FA74"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1 </w:t>
      </w:r>
      <w:r w:rsidRPr="00A3026E">
        <w:rPr>
          <w:color w:val="000000" w:themeColor="text1"/>
          <w:sz w:val="16"/>
          <w:szCs w:val="16"/>
        </w:rPr>
        <w:t xml:space="preserve">Далее опущена одна фраза С.И. Вавилова, относящаяся к первому вопросу повестки дня. </w:t>
      </w:r>
    </w:p>
    <w:p w14:paraId="27C011BA"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2 </w:t>
      </w:r>
      <w:r w:rsidRPr="00A3026E">
        <w:rPr>
          <w:color w:val="000000" w:themeColor="text1"/>
          <w:sz w:val="16"/>
          <w:szCs w:val="16"/>
        </w:rPr>
        <w:t xml:space="preserve">18 сентября 1940 г. Бюро ОФМН постановило: «Заслушать на Бюро 26.IХ.40 г. доклад о состоянии вопроса с изучением урана проф[ессора] И.В. Курчатова. Поручить Комиссии по атомному ядру созвать 26.IХ.40 г. совещание по обсуждению физических работ по проблеме урана» (Архив РАН. Ф.471, оп.1 (40–46), д.2, л.ЗО). Оба заседания состоялись в один день (см. документ № 66). </w:t>
      </w:r>
    </w:p>
    <w:p w14:paraId="0E74E164"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3 </w:t>
      </w:r>
      <w:r w:rsidRPr="00A3026E">
        <w:rPr>
          <w:color w:val="000000" w:themeColor="text1"/>
          <w:sz w:val="16"/>
          <w:szCs w:val="16"/>
        </w:rPr>
        <w:t xml:space="preserve">Далее опущена часть текста о составе Комиссии по проблеме урана. </w:t>
      </w:r>
    </w:p>
    <w:p w14:paraId="34F7847B"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4 </w:t>
      </w:r>
      <w:r w:rsidRPr="00A3026E">
        <w:rPr>
          <w:color w:val="000000" w:themeColor="text1"/>
          <w:sz w:val="16"/>
          <w:szCs w:val="16"/>
        </w:rPr>
        <w:t xml:space="preserve">Здесь и далее так в документе; следует: разделение. </w:t>
      </w:r>
    </w:p>
    <w:p w14:paraId="16A243A5"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5 </w:t>
      </w:r>
      <w:r w:rsidRPr="00A3026E">
        <w:rPr>
          <w:color w:val="000000" w:themeColor="text1"/>
          <w:sz w:val="16"/>
          <w:szCs w:val="16"/>
        </w:rPr>
        <w:t xml:space="preserve">Здесь и далее речь идет об А.И. Лейпунском. </w:t>
      </w:r>
    </w:p>
    <w:p w14:paraId="6A09C610"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6 </w:t>
      </w:r>
      <w:r w:rsidRPr="00A3026E">
        <w:rPr>
          <w:color w:val="000000" w:themeColor="text1"/>
          <w:sz w:val="16"/>
          <w:szCs w:val="16"/>
        </w:rPr>
        <w:t xml:space="preserve">Так в документе; вероятно, следует: отставить. </w:t>
      </w:r>
    </w:p>
    <w:p w14:paraId="14004BB3"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7 </w:t>
      </w:r>
      <w:r w:rsidRPr="00A3026E">
        <w:rPr>
          <w:color w:val="000000" w:themeColor="text1"/>
          <w:sz w:val="16"/>
          <w:szCs w:val="16"/>
        </w:rPr>
        <w:t xml:space="preserve">Возможно, речь идет о расчете, опубликованном в статье: Я.Б. Зельдович, Ю.Б. Харитон. О цепном распаде урана под действием медленных нейтронов //ЖЭТФ. 1940. Т. 10, вып. 1. С. 29-36. </w:t>
      </w:r>
    </w:p>
    <w:p w14:paraId="6A64DD7A"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8 </w:t>
      </w:r>
      <w:r w:rsidRPr="00A3026E">
        <w:rPr>
          <w:color w:val="000000" w:themeColor="text1"/>
          <w:sz w:val="16"/>
          <w:szCs w:val="16"/>
        </w:rPr>
        <w:t xml:space="preserve">Вероятно, речь идет о быстрых нейтронах. </w:t>
      </w:r>
    </w:p>
    <w:p w14:paraId="3A918E27"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9 </w:t>
      </w:r>
      <w:r w:rsidRPr="00A3026E">
        <w:rPr>
          <w:color w:val="000000" w:themeColor="text1"/>
          <w:sz w:val="16"/>
          <w:szCs w:val="16"/>
        </w:rPr>
        <w:t xml:space="preserve">Здесь и далее имеются в виду электронвольты. </w:t>
      </w:r>
    </w:p>
    <w:p w14:paraId="7D07392B"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10 </w:t>
      </w:r>
      <w:r w:rsidRPr="00A3026E">
        <w:rPr>
          <w:color w:val="000000" w:themeColor="text1"/>
          <w:sz w:val="16"/>
          <w:szCs w:val="16"/>
        </w:rPr>
        <w:t xml:space="preserve">Имеется в виду электромагнитный метод разделения изотопов. </w:t>
      </w:r>
    </w:p>
    <w:p w14:paraId="19292002"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11 </w:t>
      </w:r>
      <w:r w:rsidRPr="00A3026E">
        <w:rPr>
          <w:color w:val="000000" w:themeColor="text1"/>
          <w:sz w:val="16"/>
          <w:szCs w:val="16"/>
        </w:rPr>
        <w:t xml:space="preserve">Здесь и далее отточия документа – так стенографистки отмечали пропуски текста, связанные с их сменой или сделанные по другим причинам. </w:t>
      </w:r>
    </w:p>
    <w:p w14:paraId="59BDAA17"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12 </w:t>
      </w:r>
      <w:r w:rsidRPr="00A3026E">
        <w:rPr>
          <w:color w:val="000000" w:themeColor="text1"/>
          <w:sz w:val="16"/>
          <w:szCs w:val="16"/>
        </w:rPr>
        <w:t xml:space="preserve">Здесь и далее так в документе; Биохимический и Геохимический институты, упоминаемые в документе – это Биогеохимическая лаборатория АН СССР, директором которой был В.И. Вернадский. </w:t>
      </w:r>
    </w:p>
    <w:p w14:paraId="5C332B7D"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13 </w:t>
      </w:r>
      <w:r w:rsidRPr="00A3026E">
        <w:rPr>
          <w:color w:val="000000" w:themeColor="text1"/>
          <w:sz w:val="16"/>
          <w:szCs w:val="16"/>
        </w:rPr>
        <w:t xml:space="preserve">Речь идет об А.И. Алиханове. </w:t>
      </w:r>
    </w:p>
    <w:p w14:paraId="32185345"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14 </w:t>
      </w:r>
      <w:r w:rsidRPr="00A3026E">
        <w:rPr>
          <w:color w:val="000000" w:themeColor="text1"/>
          <w:sz w:val="16"/>
          <w:szCs w:val="16"/>
        </w:rPr>
        <w:t xml:space="preserve">Речь идет о 5-м совещании по физике атомного ядра, вопрос о проведении которого обсуждался на этом же заседании. </w:t>
      </w:r>
    </w:p>
    <w:p w14:paraId="6A3F5761"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15 </w:t>
      </w:r>
      <w:r w:rsidRPr="00A3026E">
        <w:rPr>
          <w:color w:val="000000" w:themeColor="text1"/>
          <w:sz w:val="16"/>
          <w:szCs w:val="16"/>
        </w:rPr>
        <w:t xml:space="preserve">См. документ № 13 и примечание 21 к документу № 37. К апрелю 1940 г. А.И. Бродский разработал простые методы расчета термодиффузионной аппаратуры, проверив их в лаборатории. Тогда же, анализируя различные методы разделения изотопов, он сказал о термодиффузии: «Метод прекрасен, но для большого промышленного применения не годен» (Архив РАН. Ф.463, оп.1 (34–47), д.113, л.29). </w:t>
      </w:r>
    </w:p>
    <w:p w14:paraId="1B0811DC"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16 </w:t>
      </w:r>
      <w:r w:rsidRPr="00A3026E">
        <w:rPr>
          <w:color w:val="000000" w:themeColor="text1"/>
          <w:sz w:val="16"/>
          <w:szCs w:val="16"/>
        </w:rPr>
        <w:t xml:space="preserve">Так в документе; вероятно, следует: Днепрогэса. </w:t>
      </w:r>
    </w:p>
    <w:p w14:paraId="1FA1F4CC"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17 </w:t>
      </w:r>
      <w:r w:rsidRPr="00A3026E">
        <w:rPr>
          <w:color w:val="000000" w:themeColor="text1"/>
          <w:sz w:val="16"/>
          <w:szCs w:val="16"/>
        </w:rPr>
        <w:t xml:space="preserve">Здесь и далее речь идет об А.Ф. Иоффе. </w:t>
      </w:r>
    </w:p>
    <w:p w14:paraId="233901B7"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18 </w:t>
      </w:r>
      <w:r w:rsidRPr="00A3026E">
        <w:rPr>
          <w:color w:val="000000" w:themeColor="text1"/>
          <w:sz w:val="16"/>
          <w:szCs w:val="16"/>
        </w:rPr>
        <w:t xml:space="preserve">Здесь и далее речь идет о С.И. Вавилове. </w:t>
      </w:r>
    </w:p>
    <w:p w14:paraId="5D038785"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19 </w:t>
      </w:r>
      <w:r w:rsidRPr="00A3026E">
        <w:rPr>
          <w:color w:val="000000" w:themeColor="text1"/>
          <w:sz w:val="16"/>
          <w:szCs w:val="16"/>
        </w:rPr>
        <w:t xml:space="preserve">Речь идет о В.Г. Хлопине. </w:t>
      </w:r>
    </w:p>
    <w:p w14:paraId="6B72E270"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20 </w:t>
      </w:r>
      <w:r w:rsidRPr="00A3026E">
        <w:rPr>
          <w:color w:val="000000" w:themeColor="text1"/>
          <w:sz w:val="16"/>
          <w:szCs w:val="16"/>
        </w:rPr>
        <w:t xml:space="preserve">Речь идет об ЛФТИ. </w:t>
      </w:r>
    </w:p>
    <w:p w14:paraId="3165DCD2"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21 </w:t>
      </w:r>
      <w:r w:rsidRPr="00A3026E">
        <w:rPr>
          <w:color w:val="000000" w:themeColor="text1"/>
          <w:sz w:val="16"/>
          <w:szCs w:val="16"/>
        </w:rPr>
        <w:t xml:space="preserve">Так в документе; речь идет о нейтронах промежуточных энергий. </w:t>
      </w:r>
    </w:p>
    <w:p w14:paraId="2BD54120"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22 </w:t>
      </w:r>
      <w:r w:rsidRPr="00A3026E">
        <w:rPr>
          <w:color w:val="000000" w:themeColor="text1"/>
          <w:sz w:val="16"/>
          <w:szCs w:val="16"/>
        </w:rPr>
        <w:t xml:space="preserve">Далее так в документе; вероятно, следует: к постановке. </w:t>
      </w:r>
    </w:p>
    <w:p w14:paraId="2F30447D" w14:textId="77777777" w:rsidR="00C66762" w:rsidRPr="00A3026E" w:rsidRDefault="00C66762" w:rsidP="00A3026E">
      <w:pPr>
        <w:pStyle w:val="Default"/>
        <w:jc w:val="both"/>
        <w:rPr>
          <w:color w:val="000000" w:themeColor="text1"/>
          <w:sz w:val="16"/>
          <w:szCs w:val="16"/>
        </w:rPr>
      </w:pPr>
      <w:r w:rsidRPr="00A3026E">
        <w:rPr>
          <w:color w:val="000000" w:themeColor="text1"/>
          <w:sz w:val="16"/>
          <w:szCs w:val="16"/>
          <w:vertAlign w:val="superscript"/>
        </w:rPr>
        <w:t xml:space="preserve">23 </w:t>
      </w:r>
      <w:r w:rsidRPr="00A3026E">
        <w:rPr>
          <w:color w:val="000000" w:themeColor="text1"/>
          <w:sz w:val="16"/>
          <w:szCs w:val="16"/>
        </w:rPr>
        <w:t>«Полупроводниковая сессия» – 6-я конференция по полупроводникам, проходившая 1–6 ноября 1940 г. в Ленинграде. Конференция была совмещена с празднованием 60-летия А.Ф. Иоффе (11323).</w:t>
      </w:r>
    </w:p>
    <w:p w14:paraId="69C03D69" w14:textId="77777777" w:rsidR="00C66762" w:rsidRPr="00A3026E" w:rsidRDefault="00C66762" w:rsidP="00A3026E">
      <w:pPr>
        <w:pStyle w:val="Default"/>
        <w:jc w:val="both"/>
        <w:rPr>
          <w:color w:val="000000" w:themeColor="text1"/>
          <w:sz w:val="16"/>
          <w:szCs w:val="16"/>
        </w:rPr>
      </w:pPr>
    </w:p>
    <w:p w14:paraId="0F00C25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2B2CF56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6CF29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на заседании Политбюро обсуждался вопрос о трудовых резервах. В ходе этого обсуждения Сталин заявил: "Есть у нас закон, запрещающий самовольный уход с предприятий, но на этом законе долго не удержимся... Основа проекта о трудовых резервах состоит в том, что парня учат, одевают, обувают, его мобилизуют и потом он обязан 4 года работать там, где нам нужно". 2 октября был принят Указ "О государственных трудовых резервах СССР", вводивший мобилизацию молодёжи в ремесленные училища и школы фабрично-заводского обучения. Совнаркому предоставлялось право ежегодно призывать от 800 тыс. до 1 млн. подростков мужского пола для обязательного профессионального обучения. Поскольку учащиеся 8-10 классов от призыва освобождались, он коснулся почти исключительно детей из бедных семей (9492).</w:t>
      </w:r>
    </w:p>
    <w:p w14:paraId="0483EFA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48D7A1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529276F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7EA9F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Молотов в беседе с поверенным в делах Германии в СССР Типпельскирхом выразил беспокойство по поводу того, что Советское правительство только из газет узнало о подписании немецко-финского договора о транзите германских войск в Норвегию через Финляндию и что, по имеющимся у него сведениям, германские войска высадились в нескольких городах Финляндии, относящейся к советской "сфере влияния" (9492).</w:t>
      </w:r>
    </w:p>
    <w:p w14:paraId="5EFD51D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738BD2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16BE6A0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1F639A1" w14:textId="77777777" w:rsidR="00573FE3" w:rsidRPr="00A3026E" w:rsidRDefault="00573F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в 1940 году бомбардировка компании по производству самолетов в Woolston, 30 погибших (14781).</w:t>
      </w:r>
    </w:p>
    <w:p w14:paraId="7E0D99F8" w14:textId="77777777" w:rsidR="00573FE3" w:rsidRPr="00A3026E" w:rsidRDefault="00573FE3" w:rsidP="00A3026E">
      <w:pPr>
        <w:spacing w:after="0" w:line="240" w:lineRule="auto"/>
        <w:jc w:val="both"/>
        <w:rPr>
          <w:rFonts w:ascii="Times New Roman" w:hAnsi="Times New Roman"/>
          <w:color w:val="000000" w:themeColor="text1"/>
          <w:sz w:val="16"/>
          <w:szCs w:val="16"/>
        </w:rPr>
      </w:pPr>
    </w:p>
    <w:p w14:paraId="6AD8C0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США запретили экспорт стали в Японию (2259).</w:t>
      </w:r>
    </w:p>
    <w:p w14:paraId="184C571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3B4DE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был подписан договор между Германией, Италией и Японией (2259).</w:t>
      </w:r>
    </w:p>
    <w:p w14:paraId="0CC4C3E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39B3386" w14:textId="77777777" w:rsidR="00573FE3" w:rsidRPr="00A3026E" w:rsidRDefault="00573F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в 1940 году японские войска атакуют Французский Индокитай (14781).</w:t>
      </w:r>
    </w:p>
    <w:p w14:paraId="2414A301" w14:textId="77777777" w:rsidR="00573FE3" w:rsidRPr="00A3026E" w:rsidRDefault="00573FE3" w:rsidP="00A3026E">
      <w:pPr>
        <w:spacing w:after="0" w:line="240" w:lineRule="auto"/>
        <w:jc w:val="both"/>
        <w:rPr>
          <w:rFonts w:ascii="Times New Roman" w:hAnsi="Times New Roman"/>
          <w:color w:val="000000" w:themeColor="text1"/>
          <w:sz w:val="16"/>
          <w:szCs w:val="16"/>
        </w:rPr>
      </w:pPr>
    </w:p>
    <w:p w14:paraId="46BE12A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4DDD6A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3460527" w14:textId="77777777" w:rsidR="00D073BE" w:rsidRPr="00A3026E" w:rsidRDefault="00D073BE" w:rsidP="00A3026E">
      <w:pPr>
        <w:pStyle w:val="171"/>
        <w:shd w:val="clear" w:color="auto" w:fill="auto"/>
        <w:spacing w:before="0" w:line="240" w:lineRule="auto"/>
        <w:ind w:firstLine="0"/>
        <w:jc w:val="both"/>
        <w:rPr>
          <w:rFonts w:ascii="Times New Roman" w:hAnsi="Times New Roman" w:cs="Times New Roman"/>
          <w:color w:val="0070C0"/>
          <w:sz w:val="16"/>
          <w:szCs w:val="16"/>
        </w:rPr>
      </w:pPr>
      <w:r w:rsidRPr="00A3026E">
        <w:rPr>
          <w:rFonts w:ascii="Times New Roman" w:hAnsi="Times New Roman" w:cs="Times New Roman"/>
          <w:color w:val="0070C0"/>
          <w:sz w:val="16"/>
          <w:szCs w:val="16"/>
        </w:rPr>
        <w:t>К 27 сентября 1940 удалось разме</w:t>
      </w:r>
      <w:r w:rsidRPr="00A3026E">
        <w:rPr>
          <w:rFonts w:ascii="Times New Roman" w:hAnsi="Times New Roman" w:cs="Times New Roman"/>
          <w:color w:val="0070C0"/>
          <w:sz w:val="16"/>
          <w:szCs w:val="16"/>
        </w:rPr>
        <w:softHyphen/>
        <w:t>стить заказы по ОБШ на 12 заводах НКАП, но к установленному сроку все равно не успели. На 10 ноября были готовы фюзе</w:t>
      </w:r>
      <w:r w:rsidRPr="00A3026E">
        <w:rPr>
          <w:rFonts w:ascii="Times New Roman" w:hAnsi="Times New Roman" w:cs="Times New Roman"/>
          <w:color w:val="0070C0"/>
          <w:sz w:val="16"/>
          <w:szCs w:val="16"/>
        </w:rPr>
        <w:softHyphen/>
        <w:t>ляж, шасси, оперение. Началась сборка 1-го экземпляра машины («самолет 81»).</w:t>
      </w:r>
    </w:p>
    <w:p w14:paraId="20406809" w14:textId="77777777" w:rsidR="00D073BE" w:rsidRPr="00A3026E" w:rsidRDefault="00D073BE" w:rsidP="00A3026E">
      <w:pPr>
        <w:pStyle w:val="171"/>
        <w:shd w:val="clear" w:color="auto" w:fill="auto"/>
        <w:spacing w:before="0" w:line="240" w:lineRule="auto"/>
        <w:ind w:firstLine="0"/>
        <w:jc w:val="both"/>
        <w:rPr>
          <w:rFonts w:ascii="Times New Roman" w:hAnsi="Times New Roman" w:cs="Times New Roman"/>
          <w:color w:val="0070C0"/>
          <w:sz w:val="16"/>
          <w:szCs w:val="16"/>
        </w:rPr>
      </w:pPr>
      <w:r w:rsidRPr="00A3026E">
        <w:rPr>
          <w:rFonts w:ascii="Times New Roman" w:hAnsi="Times New Roman" w:cs="Times New Roman"/>
          <w:color w:val="0070C0"/>
          <w:sz w:val="16"/>
          <w:szCs w:val="16"/>
        </w:rPr>
        <w:t>Тем временем на завод №289 был ко</w:t>
      </w:r>
      <w:r w:rsidRPr="00A3026E">
        <w:rPr>
          <w:rFonts w:ascii="Times New Roman" w:hAnsi="Times New Roman" w:cs="Times New Roman"/>
          <w:color w:val="0070C0"/>
          <w:sz w:val="16"/>
          <w:szCs w:val="16"/>
        </w:rPr>
        <w:softHyphen/>
        <w:t>мандирован ведущий инженер 7 ГУ НКАП О.В. Малышев, который вскрыл ряд серь</w:t>
      </w:r>
      <w:r w:rsidRPr="00A3026E">
        <w:rPr>
          <w:rFonts w:ascii="Times New Roman" w:hAnsi="Times New Roman" w:cs="Times New Roman"/>
          <w:color w:val="0070C0"/>
          <w:sz w:val="16"/>
          <w:szCs w:val="16"/>
        </w:rPr>
        <w:softHyphen/>
        <w:t>езных недостатков в производственной деятельности завода.</w:t>
      </w:r>
    </w:p>
    <w:p w14:paraId="61E3E3F4" w14:textId="77777777" w:rsidR="00D073BE" w:rsidRPr="00A3026E" w:rsidRDefault="00D073BE" w:rsidP="00A3026E">
      <w:pPr>
        <w:pStyle w:val="171"/>
        <w:shd w:val="clear" w:color="auto" w:fill="auto"/>
        <w:spacing w:before="0" w:line="240" w:lineRule="auto"/>
        <w:ind w:firstLine="0"/>
        <w:jc w:val="both"/>
        <w:rPr>
          <w:rFonts w:ascii="Times New Roman" w:hAnsi="Times New Roman" w:cs="Times New Roman"/>
          <w:color w:val="0070C0"/>
          <w:sz w:val="16"/>
          <w:szCs w:val="16"/>
        </w:rPr>
      </w:pPr>
      <w:r w:rsidRPr="00A3026E">
        <w:rPr>
          <w:rFonts w:ascii="Times New Roman" w:hAnsi="Times New Roman" w:cs="Times New Roman"/>
          <w:color w:val="0070C0"/>
          <w:sz w:val="16"/>
          <w:szCs w:val="16"/>
        </w:rPr>
        <w:t>Как следствие, 14 ноября приказом по НКАП директор завода №289 Голубков был освобожден от занимаемой должно</w:t>
      </w:r>
      <w:r w:rsidRPr="00A3026E">
        <w:rPr>
          <w:rFonts w:ascii="Times New Roman" w:hAnsi="Times New Roman" w:cs="Times New Roman"/>
          <w:color w:val="0070C0"/>
          <w:sz w:val="16"/>
          <w:szCs w:val="16"/>
        </w:rPr>
        <w:softHyphen/>
        <w:t>сти, а директором и главным конструкто</w:t>
      </w:r>
      <w:r w:rsidRPr="00A3026E">
        <w:rPr>
          <w:rFonts w:ascii="Times New Roman" w:hAnsi="Times New Roman" w:cs="Times New Roman"/>
          <w:color w:val="0070C0"/>
          <w:sz w:val="16"/>
          <w:szCs w:val="16"/>
        </w:rPr>
        <w:softHyphen/>
        <w:t>ром завода стал Сухой (19844).</w:t>
      </w:r>
    </w:p>
    <w:p w14:paraId="7EACFACD" w14:textId="77777777" w:rsidR="00D073BE" w:rsidRPr="00A3026E" w:rsidRDefault="00D073BE" w:rsidP="00A3026E">
      <w:pPr>
        <w:pStyle w:val="171"/>
        <w:shd w:val="clear" w:color="auto" w:fill="auto"/>
        <w:spacing w:before="0" w:line="240" w:lineRule="auto"/>
        <w:ind w:firstLine="0"/>
        <w:jc w:val="both"/>
        <w:rPr>
          <w:rFonts w:ascii="Times New Roman" w:hAnsi="Times New Roman" w:cs="Times New Roman"/>
          <w:color w:val="0070C0"/>
          <w:sz w:val="16"/>
          <w:szCs w:val="16"/>
        </w:rPr>
      </w:pPr>
    </w:p>
    <w:p w14:paraId="4D816E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года Зам. начальника ГУ ВВС генерал-лейтенант авиации Астахов утвердил Заключение по выпускной кабине и моторной лебедке конструкции капитана Герасимова, установленных на самолете ДБ-3 2М 87А № 180341</w:t>
      </w:r>
    </w:p>
    <w:p w14:paraId="79680C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27BAC0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2 отделения 1 отдела НИИ ВВС в/инженер 1 ранга Марков</w:t>
      </w:r>
    </w:p>
    <w:p w14:paraId="4267B5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 майор Костюк</w:t>
      </w:r>
    </w:p>
    <w:p w14:paraId="1FB940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 испытаний</w:t>
      </w:r>
    </w:p>
    <w:p w14:paraId="20F888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Выпускная кабина и моторная лебедка для ее подъема и спуска изготовлены опытным заводом НИИ ВВС, установлены на самолете ДБ-3 и приняты на испытание 1 отделом НИИ ВВС.</w:t>
      </w:r>
    </w:p>
    <w:p w14:paraId="79899E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мысли конструктора, капитана Герасимова выпускная кабина предназначается для производства бомбометания, фотографирования и визуальной разведки в условиях сплошной облачности с самолета идущего в облаках и буксирующего на тросе кабину, идущую под нижним краем облачного слоя.</w:t>
      </w:r>
    </w:p>
    <w:p w14:paraId="2FA538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7072E32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Опасность перегорания троса лебедки от действия разрядов атмосферного электричества летом, опасность обледенения троса и кабины зимой при полетах в облаках, а также изучение опыта военных действий на разных фронтах и особенно в Финляндии заставляют изменить, имевшуюся в 1938 году точку зрения на тактическую ценность и возможность применения подвесной кабины Герасимова.</w:t>
      </w:r>
    </w:p>
    <w:p w14:paraId="0281071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Применение кабины нецелесообразно из-за ухудшения летных качеств самолета, уменьшения его бомбовой отдачи, эксплуатационных и конструктивных недостатков самой кабины и приспособлений для ее подъема и спуска, а также нерациональности ее тактического использования в боевых условиях.</w:t>
      </w:r>
    </w:p>
    <w:p w14:paraId="2AF8DE2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дальнейших работ по испытаниям и доводкам выпускной кабины конструкции капитана Герасимова – прекратить (4551).</w:t>
      </w:r>
    </w:p>
    <w:p w14:paraId="286E98B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5E597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закончились заводские испытания ДБ-240 2М-105, которые шли с 15 мая 1940 (2090,232) и машину передали в НИИ ВВС на гос. испытания, которые шли до 8 октября 1940 (2090,232). По другим данным, гос. испытания ДБ-240 закончились 15 октября 1940 (2865,7), а по третьим - 1 июля (3322). Результаты рассматривал НТС НИИ ВВС под руководством П.В.Рычагова. Отметили недобор летных данных, тем не менее КО решил запустить машину в серию на заводе 18 (218,21).</w:t>
      </w:r>
    </w:p>
    <w:p w14:paraId="43F495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 начались 23 мая 1940, а по другим данным - 14 мая 1940 (3322). ОКБ В.Г.Ермолаева все еще было в Аэрофлоте и только в октябре 1940 было передано в НКАП (4,276), а по другим данным - передача произошла 26 марта (3322,7).</w:t>
      </w:r>
    </w:p>
    <w:p w14:paraId="1926AA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ДБ-240 с 2хМ1-5 продолжались по 15 октября 1940 и за 28 полетов налетали 26 час. 40 мин. Летали Дудкин и М.А.Нюхтиков, вед. в/и 3 р Фингеров (727).</w:t>
      </w:r>
    </w:p>
    <w:p w14:paraId="7B6457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до 17 октября (796,38) или даже 18 октября (822).</w:t>
      </w:r>
    </w:p>
    <w:p w14:paraId="537EF0F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7F032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27 сентября по 15 октября 1940 года в НИИ ВВС проходили гос. испытания опытного двухмоторного бомбардировщика ДБ-240 2М-105</w:t>
      </w:r>
    </w:p>
    <w:p w14:paraId="64C9F2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32617B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Отделения 1 отдела НИИ ВВС в/инженер 1 ранга Марков</w:t>
      </w:r>
    </w:p>
    <w:p w14:paraId="60C0E7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3 ранга Фингеров</w:t>
      </w:r>
    </w:p>
    <w:p w14:paraId="638BDE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летчики:</w:t>
      </w:r>
    </w:p>
    <w:p w14:paraId="07F41B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капитан Дудкин</w:t>
      </w:r>
    </w:p>
    <w:p w14:paraId="3AD157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майор Нюхтиков</w:t>
      </w:r>
    </w:p>
    <w:p w14:paraId="0C081F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построен по постановлению КО № 227 от 29 июля 1939 года.</w:t>
      </w:r>
    </w:p>
    <w:p w14:paraId="2EBB7F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Была задана постройка двух экземпляров двухмоторного бомбардировщика дальнего действия. Сроки готовности самолетов были установлены:</w:t>
      </w:r>
    </w:p>
    <w:p w14:paraId="6A0A16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экземпляр – к 1 апреля 1940 года</w:t>
      </w:r>
    </w:p>
    <w:p w14:paraId="201C2D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экземпляр – к 1 мая 1940 года</w:t>
      </w:r>
    </w:p>
    <w:p w14:paraId="7412DB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самолета предъявлен на госиспытания 27 сентября 1940 года.</w:t>
      </w:r>
    </w:p>
    <w:p w14:paraId="127556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на госиспытания самолет имеет отступления от тактико-технических требований.</w:t>
      </w:r>
    </w:p>
    <w:p w14:paraId="3A9280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 них следующие:</w:t>
      </w:r>
    </w:p>
    <w:p w14:paraId="21623A7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Отсутствует установка под фотоаппарат – АФА-"Б".</w:t>
      </w:r>
    </w:p>
    <w:p w14:paraId="506AA71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Отсутствуют антиобледенители крыла, оперения и винтов моторов.</w:t>
      </w:r>
    </w:p>
    <w:p w14:paraId="2699542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Отсутствует обогрев кабин самолета.</w:t>
      </w:r>
    </w:p>
    <w:p w14:paraId="633F4A5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Отсутствует подвеска осветительных бомб.</w:t>
      </w:r>
    </w:p>
    <w:p w14:paraId="0E13DF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2B6FEB3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соответствие самолета тактико-техническим требованиям.</w:t>
      </w:r>
    </w:p>
    <w:p w14:paraId="7F9F457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состояние и работу винтомоторной группы.</w:t>
      </w:r>
    </w:p>
    <w:p w14:paraId="1C37DD3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бомбардировочного и стрелкового вооружений.</w:t>
      </w:r>
    </w:p>
    <w:p w14:paraId="262D4BE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электрооборудования и связи.</w:t>
      </w:r>
    </w:p>
    <w:p w14:paraId="32C507F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Дать эксплуатационную оценку самолета.</w:t>
      </w:r>
    </w:p>
    <w:p w14:paraId="4BCECF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ДБ-240 с двумя моторами М-105 и винтами ВИШ-22Е Д=3,0 м конструкции Ермолаева, производства завода № 240.</w:t>
      </w:r>
    </w:p>
    <w:p w14:paraId="580942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Испытываемый самолет представляет из себя цельнометаллический моноплан с крылом "обратной чайки".</w:t>
      </w:r>
    </w:p>
    <w:p w14:paraId="764074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испытания – 19 дней, из них летных дней – 10.</w:t>
      </w:r>
    </w:p>
    <w:p w14:paraId="21BBD9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госиспытаний было произведено 28 полетов продолжительностью 26 час. 40 мин.</w:t>
      </w:r>
    </w:p>
    <w:p w14:paraId="3E88E2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454189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самолет ДБ-240 с двумя моторами М-105 конструкции инженера Ермолаева производства завода № 240 на госиспытаниях показал, что:</w:t>
      </w:r>
    </w:p>
    <w:p w14:paraId="493FF7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самолет имеет неудовлетворительную продольную и недостаточную поперечную устойчивость и весьма большие усилия на штурвал и педали;</w:t>
      </w:r>
    </w:p>
    <w:p w14:paraId="3606CE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самолет имеет большую длину разбега, требующую для эксплуатации самолета в перегрузочном варианте аэродромов размерами 2500х2500 м со взлетной дорожкой 1200-1300 м;</w:t>
      </w:r>
    </w:p>
    <w:p w14:paraId="3E2CFF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не доведено стрелковое вооружение, исключающее возможность его нормальной эксплуатации;</w:t>
      </w:r>
    </w:p>
    <w:p w14:paraId="5F3FC8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бомбардировочное вооружение не обеспечивает безопасное сбрасывание бомб и не дает возможности разгрузить бомбовый отсек от бомб калибром 250 и 500 кг;</w:t>
      </w:r>
    </w:p>
    <w:p w14:paraId="2D0AB2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перегрев масла и воды, что не обеспечивает нормальную эксплуатацию винтомоторной группы и приводит к снижению летных данных самолета при высоких температурах воздуха у земли,</w:t>
      </w:r>
    </w:p>
    <w:p w14:paraId="0E6F23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также ряд других дефектов, затрудняющих его эксплуатацию.</w:t>
      </w:r>
    </w:p>
    <w:p w14:paraId="58B9A1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устранения основных дефектов самолет ДБ-240 не может быть допущен для нормальной эксплуатации в строевых частях ВВС.</w:t>
      </w:r>
    </w:p>
    <w:p w14:paraId="6479A2C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Наряду с перечисленными недостатками, самолет ДБ-240 имеет ряд весьма положительных свойств – хороший обзор из кабин летчика и штурмана, большую емкость бензобаков, возможность подвески внутри фюзеляжа 4-х бомб по 500 кг, хорошую схему оборонительного огня и несложность взлета и посадки.</w:t>
      </w:r>
    </w:p>
    <w:p w14:paraId="2965B21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Наличие у самолета ДБ-240 с моторами М-105 большой длины разбега и низкого потолка указывает, что моторы М-105 для самолета ДБ-240 являются слабыми по своей мощности и высотности. С моторами М-105 самолет ДБ-240 считать переходным к самолету с более мощными моторами.</w:t>
      </w:r>
    </w:p>
    <w:p w14:paraId="3D6DC60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Признать целесообразным постройку самолета ДБ-240 под моторы АМ-35А и в дальнейшем под мотор АМ-37 или под дизель.</w:t>
      </w:r>
    </w:p>
    <w:p w14:paraId="375260F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экземпляр самолета ДБ-240 2М-105, находящийся в НИИ ВВС, необходимо немедленно передать на завод № 240, с целью установки на него к 15 декабря 1940 года моторов АМ-35А, доводки управляемости самолетом и выявления летно-тактических данных с мотором АМ-35А.</w:t>
      </w:r>
    </w:p>
    <w:p w14:paraId="6E5FCC6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Дефекты самолета ДБ-240, выявленные в процессе госиспытаний, подлежат устранению на самолетах ДБ-240 в порядке и по срокам, которые установит командование ГУ ВВС.</w:t>
      </w:r>
    </w:p>
    <w:p w14:paraId="6C32A8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из самолетов ДБ-240 2М-105 производства завода № 18, с устраненными дефектами, надлежит предъявить в НИИ ВВС на контрольные испытания.</w:t>
      </w:r>
    </w:p>
    <w:p w14:paraId="6E6B795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необходимым поручить гл. конструктору самолета ДБ-240 и директору завода № 18 подготовить на заводе № 18 эталон первого полугодия 1941 года самолета ДБ-240 с моторами АМ-35А, редукция которых должна быть наивыгоднейшая.</w:t>
      </w:r>
    </w:p>
    <w:p w14:paraId="2C1A6C6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быстрейшей доводки и отработки самолета ДБ-240 необходимо провести войсковые испытания самолетов ДБ-240 с моторами М-105, обязав завод № 18 предъявить самолеты ДБ-240 на войсковые испытания к 1 декабря 1940 года.</w:t>
      </w:r>
    </w:p>
    <w:p w14:paraId="0CBD59A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низкое качество заводских испытаний самолета, в результате чего основные дефекты самолета на заводских испытаниях были не вскрыты и должным образом не оценены, что привело к затяжкам в устранении дефектов самолета ДБ-240 (7763).</w:t>
      </w:r>
    </w:p>
    <w:p w14:paraId="572511E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442D2B5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27 сентября по 18 октября 1940 года самолет ДБ-240 с моторами М-105 прошел гос. испытания в НИИ ВВС (4048, 4).</w:t>
      </w:r>
    </w:p>
    <w:p w14:paraId="13E40FE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F4206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ДБ-240 перелетел на аэродром НИИ ВВС на ст. Чкаловская и гос. испытания проходили до 17 октября 1940 (3322,8).</w:t>
      </w:r>
    </w:p>
    <w:p w14:paraId="130CAF9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8B7D1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была подготовлена и подписана программа заводских испытаний ТБ-7 М-40, которую утвердил М.М.К. в качестве директора завода 124 (1295,334)'</w:t>
      </w:r>
    </w:p>
    <w:p w14:paraId="6EF8589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86AD498" w14:textId="77777777" w:rsidR="00C66762" w:rsidRPr="00A3026E" w:rsidRDefault="00C66762" w:rsidP="00A3026E">
      <w:pPr>
        <w:pStyle w:val="22"/>
        <w:widowControl/>
        <w:rPr>
          <w:color w:val="000000" w:themeColor="text1"/>
        </w:rPr>
      </w:pPr>
      <w:r w:rsidRPr="00A3026E">
        <w:rPr>
          <w:color w:val="000000" w:themeColor="text1"/>
        </w:rPr>
        <w:t>27 сентября 1940 года в Ногинске закончены были закончены воздушные испытания самолетов И-153 с 20 мм синхронными пушками ШВАК, проводимые в рамках войсковых испытаний. Самолеты №№ 6760 и 6598 выполнили все положенные по программе полеты и сверх программы сделали по два полета со стрельбой с виражей и боевых разворотов. Самолет № 6578 не выполнил программы полетов, так как пошли систематические задержки в стрельбе, которые не удалось устранить.</w:t>
      </w:r>
    </w:p>
    <w:p w14:paraId="456AB94A" w14:textId="77777777" w:rsidR="00C66762" w:rsidRPr="00A3026E" w:rsidRDefault="00C66762" w:rsidP="00A3026E">
      <w:pPr>
        <w:pStyle w:val="22"/>
        <w:widowControl/>
        <w:rPr>
          <w:color w:val="000000" w:themeColor="text1"/>
        </w:rPr>
      </w:pPr>
      <w:r w:rsidRPr="00A3026E">
        <w:rPr>
          <w:color w:val="000000" w:themeColor="text1"/>
        </w:rPr>
        <w:t>……………………..(7647, 143).</w:t>
      </w:r>
    </w:p>
    <w:p w14:paraId="2A531F34" w14:textId="77777777" w:rsidR="00C66762" w:rsidRPr="00A3026E" w:rsidRDefault="00C66762" w:rsidP="00A3026E">
      <w:pPr>
        <w:pStyle w:val="22"/>
        <w:widowControl/>
        <w:rPr>
          <w:color w:val="000000" w:themeColor="text1"/>
        </w:rPr>
      </w:pPr>
    </w:p>
    <w:p w14:paraId="51E0E7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ведущий инженер по самолету И-180-эталон 1941 г. Соколов написал письмо наркому авиационной промышленности А.И.Шахурину (копия - главному конструктору самолета И-180 Н.Н.Поликарпову), в котором указывал, что решение прекратить постройку И-180 вызывает возражение по следующим соображениям. Во-первых, самолет имеет мощное вооружение, состоящее из двух обычных и двух крупнокалиберных пулеметов, шести РС-82 или четырех бомб, неплохие летные характеристики, кото</w:t>
      </w:r>
      <w:r w:rsidRPr="00A3026E">
        <w:rPr>
          <w:rFonts w:ascii="Times New Roman" w:hAnsi="Times New Roman"/>
          <w:color w:val="000000" w:themeColor="text1"/>
          <w:sz w:val="16"/>
          <w:szCs w:val="16"/>
        </w:rPr>
        <w:softHyphen/>
        <w:t>рые могут быть повышены за счет лучшей внешней отделки самолета, отладки механизма уборки костыля -максимальная скорость 600 км/ч вместо 571 км/ч у об</w:t>
      </w:r>
      <w:r w:rsidRPr="00A3026E">
        <w:rPr>
          <w:rFonts w:ascii="Times New Roman" w:hAnsi="Times New Roman"/>
          <w:color w:val="000000" w:themeColor="text1"/>
          <w:sz w:val="16"/>
          <w:szCs w:val="16"/>
        </w:rPr>
        <w:softHyphen/>
        <w:t>разца. Во-вторых, самолет имеет неплохую устойчи</w:t>
      </w:r>
      <w:r w:rsidRPr="00A3026E">
        <w:rPr>
          <w:rFonts w:ascii="Times New Roman" w:hAnsi="Times New Roman"/>
          <w:color w:val="000000" w:themeColor="text1"/>
          <w:sz w:val="16"/>
          <w:szCs w:val="16"/>
        </w:rPr>
        <w:softHyphen/>
        <w:t>вость и управляемость, которая сохраняется на больших углах атаки, и высокую маневренность. Внедрение в се</w:t>
      </w:r>
      <w:r w:rsidRPr="00A3026E">
        <w:rPr>
          <w:rFonts w:ascii="Times New Roman" w:hAnsi="Times New Roman"/>
          <w:color w:val="000000" w:themeColor="text1"/>
          <w:sz w:val="16"/>
          <w:szCs w:val="16"/>
        </w:rPr>
        <w:softHyphen/>
        <w:t>рию эталона для серии позволит улучшить летные и эксплуатационные характеристики машины. Соколов обратил внимание на готовность производ</w:t>
      </w:r>
      <w:r w:rsidRPr="00A3026E">
        <w:rPr>
          <w:rFonts w:ascii="Times New Roman" w:hAnsi="Times New Roman"/>
          <w:color w:val="000000" w:themeColor="text1"/>
          <w:sz w:val="16"/>
          <w:szCs w:val="16"/>
        </w:rPr>
        <w:softHyphen/>
        <w:t>ства к серийной постройке первых трех машин И-180-эталонов 1941 г. по состоянию на 9 сентября 1940 г.:</w:t>
      </w:r>
    </w:p>
    <w:p w14:paraId="3C0FC3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Вся оснастка эталона 1941 г., представляющая са</w:t>
      </w:r>
      <w:r w:rsidRPr="00A3026E">
        <w:rPr>
          <w:rFonts w:ascii="Times New Roman" w:hAnsi="Times New Roman"/>
          <w:color w:val="000000" w:themeColor="text1"/>
          <w:sz w:val="16"/>
          <w:szCs w:val="16"/>
        </w:rPr>
        <w:softHyphen/>
        <w:t>мую трудоемкую работу, полностью заводом выполнена.</w:t>
      </w:r>
    </w:p>
    <w:p w14:paraId="43D13E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Шасси 11/2 комплекта со всеми узлами крепления полностью готовы. Остальные комплекты изготовления были переданы по договору заводу №51, который обес</w:t>
      </w:r>
      <w:r w:rsidRPr="00A3026E">
        <w:rPr>
          <w:rFonts w:ascii="Times New Roman" w:hAnsi="Times New Roman"/>
          <w:color w:val="000000" w:themeColor="text1"/>
          <w:sz w:val="16"/>
          <w:szCs w:val="16"/>
        </w:rPr>
        <w:softHyphen/>
        <w:t>печивал своевременность изготовления.</w:t>
      </w:r>
    </w:p>
    <w:p w14:paraId="4D5A58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Центроплан: нервюры, лонжероны, узлы готовы, сборочным стапелем цех обеспечен, время на окончание работ требовалось как максимум на 10 дней.</w:t>
      </w:r>
    </w:p>
    <w:p w14:paraId="1E0700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Вся спецустановка (лафет с вооружением. - В.И.) находилась в производстве и обеспечивала выполнение в срок.</w:t>
      </w:r>
    </w:p>
    <w:p w14:paraId="0DA7B9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Крыло готово было к сборке со всей унификацией.</w:t>
      </w:r>
    </w:p>
    <w:p w14:paraId="769298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Штампы по бензобаку и маслобаку изготовлением закончены.</w:t>
      </w:r>
    </w:p>
    <w:p w14:paraId="70E87D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Капот мотора: переднее кольцо с серийной маши</w:t>
      </w:r>
      <w:r w:rsidRPr="00A3026E">
        <w:rPr>
          <w:rFonts w:ascii="Times New Roman" w:hAnsi="Times New Roman"/>
          <w:color w:val="000000" w:themeColor="text1"/>
          <w:sz w:val="16"/>
          <w:szCs w:val="16"/>
        </w:rPr>
        <w:softHyphen/>
        <w:t>ны И-180 готово. Для изготовления крышек капота цех полностью обеспечен молотами.</w:t>
      </w:r>
    </w:p>
    <w:p w14:paraId="221E1A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Хвостовое оперение, управление мотором и само</w:t>
      </w:r>
      <w:r w:rsidRPr="00A3026E">
        <w:rPr>
          <w:rFonts w:ascii="Times New Roman" w:hAnsi="Times New Roman"/>
          <w:color w:val="000000" w:themeColor="text1"/>
          <w:sz w:val="16"/>
          <w:szCs w:val="16"/>
        </w:rPr>
        <w:softHyphen/>
        <w:t>летом берется с серийной машины И-180, деталей коих изготовлено достаточное количество.</w:t>
      </w:r>
    </w:p>
    <w:p w14:paraId="77F11F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производство эталона остановлено (9-го сентября с/г) на том этапе, когда все производст</w:t>
      </w:r>
      <w:r w:rsidRPr="00A3026E">
        <w:rPr>
          <w:rFonts w:ascii="Times New Roman" w:hAnsi="Times New Roman"/>
          <w:color w:val="000000" w:themeColor="text1"/>
          <w:sz w:val="16"/>
          <w:szCs w:val="16"/>
        </w:rPr>
        <w:softHyphen/>
        <w:t>венные трудности основных цехов-изготовителей пре</w:t>
      </w:r>
      <w:r w:rsidRPr="00A3026E">
        <w:rPr>
          <w:rFonts w:ascii="Times New Roman" w:hAnsi="Times New Roman"/>
          <w:color w:val="000000" w:themeColor="text1"/>
          <w:sz w:val="16"/>
          <w:szCs w:val="16"/>
        </w:rPr>
        <w:softHyphen/>
        <w:t>одолены и производство машин вступило в фазу сборочных и монтажных работ, на что требовалось не более 1,5-2 месяцев.</w:t>
      </w:r>
    </w:p>
    <w:p w14:paraId="7848EF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Освоение техники производства машины с коренны</w:t>
      </w:r>
      <w:r w:rsidRPr="00A3026E">
        <w:rPr>
          <w:rFonts w:ascii="Times New Roman" w:hAnsi="Times New Roman"/>
          <w:color w:val="000000" w:themeColor="text1"/>
          <w:sz w:val="16"/>
          <w:szCs w:val="16"/>
        </w:rPr>
        <w:softHyphen/>
        <w:t>ми изменениями, улучшающими летно-тактические дан</w:t>
      </w:r>
      <w:r w:rsidRPr="00A3026E">
        <w:rPr>
          <w:rFonts w:ascii="Times New Roman" w:hAnsi="Times New Roman"/>
          <w:color w:val="000000" w:themeColor="text1"/>
          <w:sz w:val="16"/>
          <w:szCs w:val="16"/>
        </w:rPr>
        <w:softHyphen/>
        <w:t>ные ее, потребовали колоссального напряжения всего коллектива завода, а потому ходатайствую перед Нарко</w:t>
      </w:r>
      <w:r w:rsidRPr="00A3026E">
        <w:rPr>
          <w:rFonts w:ascii="Times New Roman" w:hAnsi="Times New Roman"/>
          <w:color w:val="000000" w:themeColor="text1"/>
          <w:sz w:val="16"/>
          <w:szCs w:val="16"/>
        </w:rPr>
        <w:softHyphen/>
        <w:t>матом Авиапромышленности о разрешении возобно</w:t>
      </w:r>
      <w:r w:rsidRPr="00A3026E">
        <w:rPr>
          <w:rFonts w:ascii="Times New Roman" w:hAnsi="Times New Roman"/>
          <w:color w:val="000000" w:themeColor="text1"/>
          <w:sz w:val="16"/>
          <w:szCs w:val="16"/>
        </w:rPr>
        <w:softHyphen/>
        <w:t>вить работы по трем опытным машинам, по коим можно будет судить о возможности запуска ее в серию в 1941 го</w:t>
      </w:r>
      <w:r w:rsidRPr="00A3026E">
        <w:rPr>
          <w:rFonts w:ascii="Times New Roman" w:hAnsi="Times New Roman"/>
          <w:color w:val="000000" w:themeColor="text1"/>
          <w:sz w:val="16"/>
          <w:szCs w:val="16"/>
        </w:rPr>
        <w:softHyphen/>
        <w:t>ду».</w:t>
      </w:r>
    </w:p>
    <w:p w14:paraId="211361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ответа на письмо не последовало...(10667).</w:t>
      </w:r>
    </w:p>
    <w:p w14:paraId="7F9EDD4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C9B3C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27/28 сентября 1940 года зам. начальника ГУ ВВС генерал-лейтенант авиации Астахов писал письмо № 466114с в секретариат КО Белоусову</w:t>
      </w:r>
    </w:p>
    <w:p w14:paraId="3A5D15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 8190/ко</w:t>
      </w:r>
    </w:p>
    <w:p w14:paraId="201A0B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письме КО от 3 сентября 1940 года инженер ЦАГИ Ефремов, основываясь на испытаниях реакторов, проведенных в 8-ом отделе ЦАГИ в июле 1940 года на самолете И16 М62 с ТК – предлагает постройку двухмоторного истребителя, снабженного реакторами для использования реакции выхлопных газов и радиаторного тепла.</w:t>
      </w:r>
    </w:p>
    <w:p w14:paraId="224A39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рассмотрения письма инженера Ефремова в КО и результатов испытания реакторной установки на самолете И16 М62 с ТК, вытекает следующее:</w:t>
      </w:r>
    </w:p>
    <w:p w14:paraId="1491BE1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кривых, полученных при испытании реакторной установки в 8-м отделе ЦАГИ, расчетные данные не совпадают с опытными данными, поэтому заявление Ефремова в письме КО, что испытания полностью подтвердили расчеты не соответствует действительности.</w:t>
      </w:r>
    </w:p>
    <w:p w14:paraId="363641B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Использование радиаторного тепла при испытаниях реакторной установки в 8-м отделе ЦАГИ на самолете И-16 М-62, согласно отчета 8-го отдела ЦАГИ – не производилось, а использовалась лишь энергия выхлопных газов.</w:t>
      </w:r>
    </w:p>
    <w:p w14:paraId="5A83B64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реакторной установки являются не законченными, так как отчет по испытаниям, присланный в НИИ ВВС, оценки влияния реакторной установки на маневренность самолета и его поведение при подъеме, планировании, пикировании, на виражах и на фигурах высшего пилотажа не дает.</w:t>
      </w:r>
    </w:p>
    <w:p w14:paraId="09F500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вышеизложенного считаю:</w:t>
      </w:r>
    </w:p>
    <w:p w14:paraId="1714F9F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Постройку нового самолета с реакторной установкой, которая испытывалась на самолете И16 М62 с ТК в ЦАГИ – преждевременной.</w:t>
      </w:r>
    </w:p>
    <w:p w14:paraId="1AC6725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поручить ЦАГИ:</w:t>
      </w:r>
    </w:p>
    <w:p w14:paraId="4A1D45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проведение теоретических и экспериментальных работ по изысканию наивыгоднейшей формы реакторов и наивыгоднейшего расположения реакторной установки на самолетах;</w:t>
      </w:r>
    </w:p>
    <w:p w14:paraId="600E8D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проведение полных испытаний реакторной установки на самолете И-16 М63 с турбокомпрессором и без турбокомпрессора.</w:t>
      </w:r>
    </w:p>
    <w:p w14:paraId="2949BE6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тем, что вопросами использования реактивной силы газов, вытекающих через специальные насадки, занимаются ряд организаций (ЦИАМ, ЦАГИ, НИИ-3 и др.), необходимо обязать НКАП наладить систематический обмен опытом между этими организациями (7625, 358-359).</w:t>
      </w:r>
    </w:p>
    <w:p w14:paraId="0D1B2A5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66346E7F" w14:textId="77777777" w:rsidR="00C66762" w:rsidRPr="00A3026E" w:rsidRDefault="00C66762" w:rsidP="00A3026E">
      <w:pPr>
        <w:pStyle w:val="22"/>
        <w:widowControl/>
        <w:rPr>
          <w:color w:val="000000" w:themeColor="text1"/>
        </w:rPr>
      </w:pPr>
      <w:r w:rsidRPr="00A3026E">
        <w:rPr>
          <w:color w:val="000000" w:themeColor="text1"/>
        </w:rPr>
        <w:t>27 сентября 1940 года закончены воздушные испытания в Ногинске. Самолеты №№ 6760 и 6598 выполнили все положенные по программе полеты и сверх программы сделали по два полета со стрельбой с виражей и боевых разворотов. Самолет № 6578 не выполнил программы полетов, так как пошли систематические задержки в стрельбе, которые не удалось устранить.</w:t>
      </w:r>
    </w:p>
    <w:p w14:paraId="047FF9FF" w14:textId="77777777" w:rsidR="00C66762" w:rsidRPr="00A3026E" w:rsidRDefault="00C66762" w:rsidP="00A3026E">
      <w:pPr>
        <w:pStyle w:val="22"/>
        <w:widowControl/>
        <w:rPr>
          <w:color w:val="000000" w:themeColor="text1"/>
        </w:rPr>
      </w:pPr>
      <w:r w:rsidRPr="00A3026E">
        <w:rPr>
          <w:color w:val="000000" w:themeColor="text1"/>
        </w:rPr>
        <w:t>……………………..(7647, 143).</w:t>
      </w:r>
    </w:p>
    <w:p w14:paraId="3CA668C7" w14:textId="77777777" w:rsidR="00C66762" w:rsidRPr="00A3026E" w:rsidRDefault="00C66762" w:rsidP="00A3026E">
      <w:pPr>
        <w:pStyle w:val="22"/>
        <w:widowControl/>
        <w:rPr>
          <w:color w:val="000000" w:themeColor="text1"/>
        </w:rPr>
      </w:pPr>
    </w:p>
    <w:p w14:paraId="570E7C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г. (с 11 сентября) первые десять истребителей И-26 первой серии завода № 301 были облетаны и приняты военными представителями. Самолеты незамедлительно направили на войсковые испытания, которые проводились в Кубинке в 11-м истребительном авиаполку (иап) с октября по ноябрь 1940 г. включительно. Из двух других самолетов серии один не был облетан из- за аварии, а другой забракован по нивелировке - при испытаниях самолет сильно кренило. Для устранения этого явления завод наклепал на правый элерон пластину- компенсатор, без согласования доработки с Главным конструктором. По приказу наркома авиапромышленности № 518 от 2 октября 1940 г. о соблюдении технологической дисциплины И-26. выполненный с отступлением от чертежей, военная приемка не приняла. Самолет передали в НИИ ВВС КА для составления заключения о возможном его использовании.</w:t>
      </w:r>
    </w:p>
    <w:p w14:paraId="61CBFF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Проверить самолет в полном объеме на готовность к боевым действиям не удалось из-за сокращения программы государственных испытаний, и в связи с не отлаженным и не пристрелянным вооружением на всех машинах. Это не удивительно, потому что к 28 сентября завод получил всего семь мотор- пушек и еще шесть до конца месяца, которые успели только смонтировать на самолеты к началу войсковых испытаний. Самолеты первых серий завода № 301 строились по чертежам И-26-1 с многочисленными изменениями, вносимыми по ходу испытательных полетов второго и третьего экземпляров. Поэтому войсковые испытания подтвердили ряд дефектов, выявленных на госиспытаниях, и обнажили немалое количество новых, связанных с качеством изготовления. По изданному директором завода № 30I </w:t>
      </w:r>
      <w:r w:rsidRPr="00A3026E">
        <w:rPr>
          <w:rFonts w:ascii="Times New Roman" w:hAnsi="Times New Roman"/>
          <w:color w:val="000000" w:themeColor="text1"/>
          <w:sz w:val="16"/>
          <w:szCs w:val="16"/>
        </w:rPr>
        <w:lastRenderedPageBreak/>
        <w:t>приказу некоторые рабочие завода из-за допущенного брака получили в зарплату в сентябре всего 6-8 рублей. По материалам испытаний в ноябре произошла вторая доработка крыла (расширение вырезов куполов шасси) и щитков по первым трем сериям на заводе №301.</w:t>
      </w:r>
    </w:p>
    <w:p w14:paraId="6A1729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имеющиеся конструктивные и производственные недостатки войсковые испытания И-26 прошел удовлетворительно. Они показали, что самолет обладает высокими летно-тактическими качествами. По технике пилотирования на посадке, пилотаже, в облаках и ночью он оказался значительно проще находящихся на вооружении частей ВВС КА истребителей И-15 и И-16. Летный состав, освоивший И-16, без труда переучивался на новый тип самолета и вылетал самостоятельно даже без вывозных полетов на УТИ-26 (так первоначально назывался учебно-тренировочный вариант Як-1) (12048).</w:t>
      </w:r>
    </w:p>
    <w:p w14:paraId="159926F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F7905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года Зам. начальника ГУ ВВС утвердил Заключение по дополнительному материалу к эскизному проекту на учебно-пикирующий бомбардировщик УПБ конструкции инженера Бакшаева</w:t>
      </w:r>
    </w:p>
    <w:p w14:paraId="50DFB6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Проектирующая организация – ОКБ завода № 47</w:t>
      </w:r>
    </w:p>
    <w:p w14:paraId="315610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Бакшаев</w:t>
      </w:r>
    </w:p>
    <w:p w14:paraId="4DD1D9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0695072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Учебный пикирующий бомбардировщик имеет целью:</w:t>
      </w:r>
    </w:p>
    <w:p w14:paraId="1E40AE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обучение учеников-летчиков полетам на двухмоторных самолетах;</w:t>
      </w:r>
    </w:p>
    <w:p w14:paraId="327423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подготовку летчиков и учеников-летчиков бомбометанию с пикирования;</w:t>
      </w:r>
    </w:p>
    <w:p w14:paraId="2C8195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тренировку штурманов и стрелков-радистов в самолетовождении, бомбометании и стрельбе.</w:t>
      </w:r>
    </w:p>
    <w:p w14:paraId="025C9F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66C775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двух представленных вариантов эскизного проекта на учебно-тренировочный самолет (УПБ) наиболее удовлетворяющим тактико-техническим требованиям является второй вариант, т.е. модификация самолета ФОККЕ-ВУЛЬФ.</w:t>
      </w:r>
    </w:p>
    <w:p w14:paraId="7A2BDB1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наличии в серийном производстве самолета однотипного с предлагаемым (УТ-3), считать нецелесообразным заказ опытного образца однотипного самолета (4611).</w:t>
      </w:r>
    </w:p>
    <w:p w14:paraId="7F81DE7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43F9F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года зам. начальника вооружения и снабжения ВВС бригинженер П. Федоров писал письмо № 501207 сс члену Хозяйственного совета по оборонной промышленности дивинженеру Репину</w:t>
      </w:r>
    </w:p>
    <w:p w14:paraId="07D49E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Направляю сводку о ходе испытаний опытных самолетов по состоянию на 24 сентября 1940 года.</w:t>
      </w:r>
    </w:p>
    <w:p w14:paraId="02DBDA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на 4 листах (3377, 20).</w:t>
      </w:r>
    </w:p>
    <w:p w14:paraId="4769F3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 о ходе испытаний опытных самолетов на 24 сентября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9"/>
        <w:gridCol w:w="8448"/>
      </w:tblGrid>
      <w:tr w:rsidR="00983732" w:rsidRPr="00A3026E" w14:paraId="74F13BCD" w14:textId="77777777" w:rsidTr="00EA0DA7">
        <w:tc>
          <w:tcPr>
            <w:tcW w:w="3119" w:type="dxa"/>
          </w:tcPr>
          <w:p w14:paraId="46A90A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самолета</w:t>
            </w:r>
          </w:p>
        </w:tc>
        <w:tc>
          <w:tcPr>
            <w:tcW w:w="8448" w:type="dxa"/>
          </w:tcPr>
          <w:p w14:paraId="5DF757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работ</w:t>
            </w:r>
          </w:p>
        </w:tc>
      </w:tr>
      <w:tr w:rsidR="00983732" w:rsidRPr="00A3026E" w14:paraId="294622A6" w14:textId="77777777" w:rsidTr="00EA0DA7">
        <w:tc>
          <w:tcPr>
            <w:tcW w:w="3119" w:type="dxa"/>
          </w:tcPr>
          <w:p w14:paraId="659014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И-135 "330" – гл. конструктор Сухой</w:t>
            </w:r>
          </w:p>
          <w:p w14:paraId="637D69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135</w:t>
            </w:r>
          </w:p>
          <w:p w14:paraId="5D579A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на заводе заводские испытания.</w:t>
            </w:r>
          </w:p>
        </w:tc>
        <w:tc>
          <w:tcPr>
            <w:tcW w:w="8448" w:type="dxa"/>
          </w:tcPr>
          <w:p w14:paraId="04C187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года самолет сделал 2 полета продолжительностью 45 минут для отработки температурного режима мотора с включенными ТК-2 до высоты 5000 м. Полеты показали, что температуры воды и масла находится в пределах нормы (температура выходящей воды и масла была не выше 100 и 107 градусов соответственно). Перед второй посадкой левая нога шасси выпустилась не полностью, летчик убрал шасси, выпустил их и дотянул аварийной лебедкой, посадка произведена нормально. При осмотре шасси обнаружен конструктивный недостаток в механизме поворота колеса, который уже устранен. Кроме того, стал подтекать кран шасси, устранение течи гидравлического крана шасси к 23 сентября не было окончено. На самолете устанавливается "НАЯДА" для полетов по замеру расхода горючего.</w:t>
            </w:r>
          </w:p>
          <w:p w14:paraId="0F6824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 программы заводских испытаний находится в начальной стадии.</w:t>
            </w:r>
          </w:p>
        </w:tc>
      </w:tr>
      <w:tr w:rsidR="00983732" w:rsidRPr="00A3026E" w14:paraId="13451828" w14:textId="77777777" w:rsidTr="00EA0DA7">
        <w:tc>
          <w:tcPr>
            <w:tcW w:w="3119" w:type="dxa"/>
          </w:tcPr>
          <w:p w14:paraId="02AC11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М-105П – гл. Конструкторы Горбунов, Лавочкин и Гудков</w:t>
            </w:r>
          </w:p>
          <w:p w14:paraId="1E2345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301</w:t>
            </w:r>
          </w:p>
          <w:p w14:paraId="4A3D60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на заводе заводские испытания.</w:t>
            </w:r>
          </w:p>
        </w:tc>
        <w:tc>
          <w:tcPr>
            <w:tcW w:w="8448" w:type="dxa"/>
          </w:tcPr>
          <w:p w14:paraId="2FBE07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начата работа по монтажу мотора. Кроме монтажа мотора производится установка гидропроводки шасси, установлен костыль, идет монтаж оборудования в кабине летчика. Подготовка обшивки центроплана закончена и готова для монтажа на центроплане. Консоли крыльев отремонтированы. Оперение установлено.</w:t>
            </w:r>
          </w:p>
          <w:p w14:paraId="283EFB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приказом зам. наркома авиапрома на самолете производится монтаж пушки ШВАК. Предварительная примерка показывает, что боезапас пулеметов БС в связи с установкой пушки ШВАК немного уменьшится. Медленный темп ремонта самолета объясняется недостаточным количеством рабочих в опытном цехе завода № 301.</w:t>
            </w:r>
          </w:p>
        </w:tc>
      </w:tr>
      <w:tr w:rsidR="00983732" w:rsidRPr="00A3026E" w14:paraId="4AF52019" w14:textId="77777777" w:rsidTr="00EA0DA7">
        <w:tc>
          <w:tcPr>
            <w:tcW w:w="3119" w:type="dxa"/>
          </w:tcPr>
          <w:p w14:paraId="5CBC78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 – гл. конструктор Ермолаев</w:t>
            </w:r>
          </w:p>
          <w:p w14:paraId="456387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240</w:t>
            </w:r>
          </w:p>
          <w:p w14:paraId="1654AD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заводские испытания.</w:t>
            </w:r>
          </w:p>
        </w:tc>
        <w:tc>
          <w:tcPr>
            <w:tcW w:w="8448" w:type="dxa"/>
          </w:tcPr>
          <w:p w14:paraId="498F04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16 по 23 сентября 1940 года производилась подвеска и сбрасывание на земле бомб ФАБ-100 и отработка на земле ВАП-500. Сделано 5 полетов на растряску и сбрасывание корпусов бомб ФАБ-100 и выливание нейтральной жидкости из ВАП-500.</w:t>
            </w:r>
          </w:p>
          <w:p w14:paraId="0EAF2F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сентября дали течь 2 бензобака. Самолет перегнан на завод № 240 для устранения дефектов перед сдачей на госиспытания.</w:t>
            </w:r>
          </w:p>
          <w:p w14:paraId="71B1BE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Программа заводских испытаний вооружения закончена.</w:t>
            </w:r>
          </w:p>
        </w:tc>
      </w:tr>
      <w:tr w:rsidR="00983732" w:rsidRPr="00A3026E" w14:paraId="17E73999" w14:textId="77777777" w:rsidTr="00EA0DA7">
        <w:tc>
          <w:tcPr>
            <w:tcW w:w="3119" w:type="dxa"/>
          </w:tcPr>
          <w:p w14:paraId="38DD2E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М-105П – гл. конструктор Яковлев</w:t>
            </w:r>
          </w:p>
          <w:p w14:paraId="185C58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115</w:t>
            </w:r>
          </w:p>
          <w:p w14:paraId="29C50C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Производятся заводские испытания.</w:t>
            </w:r>
          </w:p>
        </w:tc>
        <w:tc>
          <w:tcPr>
            <w:tcW w:w="8448" w:type="dxa"/>
          </w:tcPr>
          <w:p w14:paraId="0789BD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 № 3. На самолете производилась переделка замков и подкосов шасси и устранялась течь бензобака. Произведено 2 полета – 1 час 02 мин. на поверку работы ВМГ и шасси; второй полет – на штопор.</w:t>
            </w:r>
          </w:p>
          <w:p w14:paraId="4A25FF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года при взлете сдал мотор – упали обороты мотора и упало давление масла до нуля. При осмотре обнаружена стальная стружка в масле и 2 стальных обломка в маслокорыте. Мотор снят с самолета и устанавливается другой мотор.</w:t>
            </w:r>
          </w:p>
          <w:p w14:paraId="2ED7F2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с начала заводских испытаний произведен 21 полет – 5 часов 10 минут.</w:t>
            </w:r>
          </w:p>
          <w:p w14:paraId="2D6CC2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должны производиться полеты на пикирование и стрельбы, после чего самолет будет передан на госиспытания.</w:t>
            </w:r>
          </w:p>
          <w:p w14:paraId="407229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Ориентировочный срок сдачи самолета на госиспытания 1 октября 1940 года.</w:t>
            </w:r>
          </w:p>
          <w:p w14:paraId="769E67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не полностью устранены дефекты, выявленные ранее при госиспытании:</w:t>
            </w:r>
          </w:p>
          <w:p w14:paraId="3606383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Не улучшено охлаждение масла.</w:t>
            </w:r>
          </w:p>
          <w:p w14:paraId="27A710D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Не увеличен запас продольной устойчивости.</w:t>
            </w:r>
          </w:p>
          <w:p w14:paraId="4F3CC0F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r w:rsidRPr="00A3026E">
              <w:rPr>
                <w:rFonts w:ascii="Times New Roman" w:hAnsi="Times New Roman"/>
                <w:color w:val="000000" w:themeColor="text1"/>
                <w:sz w:val="16"/>
                <w:szCs w:val="16"/>
              </w:rPr>
              <w:tab/>
              <w:t>Не обеспечена надежность работы замков шасси без противодавления в цилиндре уборки шасси и др. дефекты.</w:t>
            </w:r>
          </w:p>
          <w:p w14:paraId="68C2E5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 № 2. Самолет находится в цехе завода № 115 в разобранном виде. На самолете устраняются все дефекты, выявленные на госиспытаниях, устанавливается мотор М-105П с трехскоростным нагнетателем и предкрылками.</w:t>
            </w:r>
          </w:p>
        </w:tc>
      </w:tr>
      <w:tr w:rsidR="00983732" w:rsidRPr="00A3026E" w14:paraId="0D1BE8A0" w14:textId="77777777" w:rsidTr="00EA0DA7">
        <w:tc>
          <w:tcPr>
            <w:tcW w:w="3119" w:type="dxa"/>
          </w:tcPr>
          <w:p w14:paraId="1C9957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И-21 М-105П – гл. конструктор Пашинин</w:t>
            </w:r>
          </w:p>
          <w:p w14:paraId="41B54D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21</w:t>
            </w:r>
          </w:p>
          <w:p w14:paraId="6359CF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заводские испытания.</w:t>
            </w:r>
          </w:p>
        </w:tc>
        <w:tc>
          <w:tcPr>
            <w:tcW w:w="8448" w:type="dxa"/>
          </w:tcPr>
          <w:p w14:paraId="0789A5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1 экз. – самолет перегнан на завод № 21 для переделок, связанных с улучшением продольной устойчивости самолета (увеличение стреловидности крыла в плане и удлинение моторамы), а также для устранения дефектов, выявленных при заводских испытаниях в НИИ ВВС (доводка шасси, установка баллонного колеса на костыле). Все переделки гл. конструктор предполагает закончить к 1 октября.</w:t>
            </w:r>
          </w:p>
          <w:p w14:paraId="46910F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определения продольной устойчивости на заводе, самолет будет передан на госиспытания в НИИ ВВС.</w:t>
            </w:r>
          </w:p>
          <w:p w14:paraId="4619D3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2 экземпляру. На самолете производится отстрел пушки на земле и устранение дефектов в креплении пушки, выявленных при отстреле.</w:t>
            </w:r>
          </w:p>
          <w:p w14:paraId="67CFA2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устранения дефектов, связанных с крепление пушки на моторе, будет произведен отстрел пушки в воздухе, после чего заводом самолет предположено передать на госиспытания в НИИ ВВС для проверки вооружения. Срок конструктором установлен 1 октября.</w:t>
            </w:r>
          </w:p>
          <w:p w14:paraId="238DAC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Передача на госиспытания самолета И21 1 и 2 экз. без устранения дефектов, выявленных при заводских испытаниях, в НИИ ВВС не целесообразна.</w:t>
            </w:r>
          </w:p>
        </w:tc>
      </w:tr>
      <w:tr w:rsidR="00983732" w:rsidRPr="00A3026E" w14:paraId="0B0D79CB" w14:textId="77777777" w:rsidTr="00EA0DA7">
        <w:tc>
          <w:tcPr>
            <w:tcW w:w="3119" w:type="dxa"/>
          </w:tcPr>
          <w:p w14:paraId="02B809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 АМ-35А – гл. конструктор Микоян</w:t>
            </w:r>
          </w:p>
          <w:p w14:paraId="695564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заводские испытания.</w:t>
            </w:r>
          </w:p>
        </w:tc>
        <w:tc>
          <w:tcPr>
            <w:tcW w:w="8448" w:type="dxa"/>
          </w:tcPr>
          <w:p w14:paraId="0BED85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 № 1. С 16 сентября по 25 сентября проходит заводские испытания. За время испытаний произведен один полет для проверки работы подвесных бензобаков в полете.</w:t>
            </w:r>
          </w:p>
          <w:p w14:paraId="322B14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полете произошел обрыв (потеря) обоих подвесных баков в местах их подвески.</w:t>
            </w:r>
          </w:p>
          <w:p w14:paraId="39C7DF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на самолете происходило испытание заполнения бензобаков нейтральными выхлопными газами. Результат заполнения удовлетворительный, количество газов достаточное против взрыва.</w:t>
            </w:r>
          </w:p>
          <w:p w14:paraId="43CC31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данное время производится детальный расчет и изготовление новой подвески бензобаков.</w:t>
            </w:r>
          </w:p>
          <w:p w14:paraId="0B81BB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Экземпляры №№ 2 и 3. После госиспытаний переданы заводу для производства ремонта, доводки и устранения дефектов после госиспытаний.</w:t>
            </w:r>
          </w:p>
        </w:tc>
      </w:tr>
      <w:tr w:rsidR="00983732" w:rsidRPr="00A3026E" w14:paraId="156D39CB" w14:textId="77777777" w:rsidTr="00EA0DA7">
        <w:tc>
          <w:tcPr>
            <w:tcW w:w="3119" w:type="dxa"/>
          </w:tcPr>
          <w:p w14:paraId="1F0612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УТИ-26 М-105 – гл. конструктор Яковлев</w:t>
            </w:r>
          </w:p>
          <w:p w14:paraId="470363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115</w:t>
            </w:r>
          </w:p>
          <w:p w14:paraId="680269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госиспытания.</w:t>
            </w:r>
          </w:p>
        </w:tc>
        <w:tc>
          <w:tcPr>
            <w:tcW w:w="8448" w:type="dxa"/>
          </w:tcPr>
          <w:p w14:paraId="3F8444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программы госиспытаний, на УТИ-26 произведены: пробный полет на пилотаж, полет на пикирование, полет на потолок, полет для испытания ВМГ на номинале, определение маневренности на высоте 1000 м, 2 полета на штопор, 6 полет для испытания самолета на устойчивость. Определены взлетно-посадочные свойства самолета.</w:t>
            </w:r>
          </w:p>
          <w:p w14:paraId="503B3E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23 полета продолжительностью 10 часов 38 минут. С начала госиспытаний 30 полетов общей продолжительностью 13 часов 15 минут.</w:t>
            </w:r>
          </w:p>
          <w:p w14:paraId="0BCAC9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УТИ-26 21 сентября 1940 года передан по акту завода № 115 для вывозки летчиков, проводящих войсковые испытания самолетов И-26 М-105.</w:t>
            </w:r>
          </w:p>
          <w:p w14:paraId="7DADCE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программы остались невыполненными:</w:t>
            </w:r>
          </w:p>
          <w:p w14:paraId="0FD490C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Стрельба по конусам и наземным мишеням.</w:t>
            </w:r>
          </w:p>
          <w:p w14:paraId="68C2D4D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Облет самолета летчиками НИИ ВВС.</w:t>
            </w:r>
          </w:p>
        </w:tc>
      </w:tr>
      <w:tr w:rsidR="00983732" w:rsidRPr="00A3026E" w14:paraId="7AE9F6A1" w14:textId="77777777" w:rsidTr="00EA0DA7">
        <w:tc>
          <w:tcPr>
            <w:tcW w:w="3119" w:type="dxa"/>
          </w:tcPr>
          <w:p w14:paraId="1A4EDE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И-190 М-88Р – гл. конструктор Поликарпов</w:t>
            </w:r>
          </w:p>
          <w:p w14:paraId="5EC88E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w:t>
            </w:r>
          </w:p>
          <w:p w14:paraId="4EFCFF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заводские испытания.</w:t>
            </w:r>
          </w:p>
        </w:tc>
        <w:tc>
          <w:tcPr>
            <w:tcW w:w="8448" w:type="dxa"/>
          </w:tcPr>
          <w:p w14:paraId="5AD365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запрещения полетов с мотором М-88 работа по доводке самолета И-190 временно преращена.</w:t>
            </w:r>
          </w:p>
        </w:tc>
      </w:tr>
    </w:tbl>
    <w:p w14:paraId="7CA766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(3377, 21-24).</w:t>
      </w:r>
    </w:p>
    <w:p w14:paraId="3D13A7B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1718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Нач. НИИ ВВС Лосюков и Военком Холопцев писали письмо N 001484 Нач. ПГУ НКАП:</w:t>
      </w:r>
    </w:p>
    <w:p w14:paraId="2F09AB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"Препровождаю Вам для согласования проект плана опытного строительства по самолетам и авиационным материалам и конструкциям на 1940-1941, одобренный Военным Советом ВВС РККА..." (1540,1).</w:t>
      </w:r>
    </w:p>
    <w:p w14:paraId="2102A1E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D0A20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был отпечатан проект:</w:t>
      </w:r>
    </w:p>
    <w:p w14:paraId="08859D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СОВЕТА НАРОДНЫХ КОМИССАРОВ СССР И ЦЕНТРАЛЪНОГО КОМИТЕТА ВКП(б)</w:t>
      </w:r>
    </w:p>
    <w:p w14:paraId="08E545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Кремль</w:t>
      </w:r>
    </w:p>
    <w:p w14:paraId="5EB179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“___” сентября 1940 г.</w:t>
      </w:r>
    </w:p>
    <w:p w14:paraId="597E62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передаче НКАП Ростовского автосборочного завода НКСМ для организации на нем производства самолетов ДБ-240.</w:t>
      </w:r>
    </w:p>
    <w:p w14:paraId="60902D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Совет Народных Комиссаров СССР и Центральный Комитет ВКП(б) ПОСТАНОВЛЯЮТ:</w:t>
      </w:r>
    </w:p>
    <w:p w14:paraId="162C80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Передать в систему НКАП Ростовский автосборочный завод Наркомсредмаша, освободив его от сборки автомобилей с 1 ноября с.г.</w:t>
      </w:r>
    </w:p>
    <w:p w14:paraId="4442D6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Передачу завода произвести в 10-ти дневный срок по балансу на 1 октября с.г.</w:t>
      </w:r>
    </w:p>
    <w:p w14:paraId="532DAB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Народвого Комиссара Авиационной Промышленности тов. Шахурина А.И. развернуть немедленно подготовку производства самолетов ДБ-240 на Ростовском автосборочном заводе и обеспечить в 1941 году выполнение программы по этому заводу в количестве 150 штук, со следущей разбивкой по квартала»:</w:t>
      </w:r>
    </w:p>
    <w:p w14:paraId="1A0AC4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квартал - 25 штук - в т.ч. в июне 10 штук</w:t>
      </w:r>
    </w:p>
    <w:p w14:paraId="2A22BA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квартал - 50 штук - в т.ч. в сентябре 20 штук</w:t>
      </w:r>
    </w:p>
    <w:p w14:paraId="116413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 квартал - 75 штук - в т.ч. в декабре 30 штук</w:t>
      </w:r>
    </w:p>
    <w:p w14:paraId="47415A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первом квартале 1942 года обеспечить выпуск 100 штук самолетов ДБ-240, в том числе в марте месяце 35 штук.</w:t>
      </w:r>
    </w:p>
    <w:p w14:paraId="312B6C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данной программой приступить в 1У квартале 1940 года к созданию заделов, обеспечивавши: со П-го квартала 1941 года сдачу самолетов по утвержденному графику.</w:t>
      </w:r>
    </w:p>
    <w:p w14:paraId="69E37E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Обязать Народного Кошссара Авиационной Промышленности тов. Шахурина А.И. реконструировать и достроить автосборочный завод под производство самолетов, на основании типового проек</w:t>
      </w:r>
      <w:r w:rsidRPr="00A3026E">
        <w:rPr>
          <w:rFonts w:ascii="Times New Roman" w:hAnsi="Times New Roman"/>
          <w:color w:val="000000" w:themeColor="text1"/>
          <w:sz w:val="16"/>
          <w:szCs w:val="16"/>
        </w:rPr>
        <w:softHyphen/>
        <w:t>та, исходя из программы выпуска 1200 штук двухмоторных бомбар</w:t>
      </w:r>
      <w:r w:rsidRPr="00A3026E">
        <w:rPr>
          <w:rFonts w:ascii="Times New Roman" w:hAnsi="Times New Roman"/>
          <w:color w:val="000000" w:themeColor="text1"/>
          <w:sz w:val="16"/>
          <w:szCs w:val="16"/>
        </w:rPr>
        <w:softHyphen/>
        <w:t>дировщиков в год, со сроком окончания строительства - П-й квар</w:t>
      </w:r>
      <w:r w:rsidRPr="00A3026E">
        <w:rPr>
          <w:rFonts w:ascii="Times New Roman" w:hAnsi="Times New Roman"/>
          <w:color w:val="000000" w:themeColor="text1"/>
          <w:sz w:val="16"/>
          <w:szCs w:val="16"/>
        </w:rPr>
        <w:softHyphen/>
        <w:t>тал 1942 года.</w:t>
      </w:r>
    </w:p>
    <w:p w14:paraId="5768A8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 мощности вести исходя из двухсменной работы, при 8-ми часовом рабочем дне и семидневной неделе.</w:t>
      </w:r>
    </w:p>
    <w:p w14:paraId="6502B1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Для достройки авиационного завода в гор. Ростове, орга</w:t>
      </w:r>
      <w:r w:rsidRPr="00A3026E">
        <w:rPr>
          <w:rFonts w:ascii="Times New Roman" w:hAnsi="Times New Roman"/>
          <w:color w:val="000000" w:themeColor="text1"/>
          <w:sz w:val="16"/>
          <w:szCs w:val="16"/>
        </w:rPr>
        <w:softHyphen/>
        <w:t>низовать строительно-монтажный трест Наркомавяапрома, на базе 1-й конторы треста Севказтяжстрой Наркомстроя СССР, с освобож</w:t>
      </w:r>
      <w:r w:rsidRPr="00A3026E">
        <w:rPr>
          <w:rFonts w:ascii="Times New Roman" w:hAnsi="Times New Roman"/>
          <w:color w:val="000000" w:themeColor="text1"/>
          <w:sz w:val="16"/>
          <w:szCs w:val="16"/>
        </w:rPr>
        <w:softHyphen/>
        <w:t>дением этой конторы от производства подрядных работ других за</w:t>
      </w:r>
      <w:r w:rsidRPr="00A3026E">
        <w:rPr>
          <w:rFonts w:ascii="Times New Roman" w:hAnsi="Times New Roman"/>
          <w:color w:val="000000" w:themeColor="text1"/>
          <w:sz w:val="16"/>
          <w:szCs w:val="16"/>
        </w:rPr>
        <w:softHyphen/>
        <w:t>казчиков.</w:t>
      </w:r>
    </w:p>
    <w:p w14:paraId="3350A1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Обязать Наркомстрой передать Наркомаяиапрому в декадный срок Стройконтору № 1 Севкавтяжстроя с рабочими кадрами, мате</w:t>
      </w:r>
      <w:r w:rsidRPr="00A3026E">
        <w:rPr>
          <w:rFonts w:ascii="Times New Roman" w:hAnsi="Times New Roman"/>
          <w:color w:val="000000" w:themeColor="text1"/>
          <w:sz w:val="16"/>
          <w:szCs w:val="16"/>
        </w:rPr>
        <w:softHyphen/>
        <w:t>риалами, механизмами и автотранспортом, а также карьерное хо</w:t>
      </w:r>
      <w:r w:rsidRPr="00A3026E">
        <w:rPr>
          <w:rFonts w:ascii="Times New Roman" w:hAnsi="Times New Roman"/>
          <w:color w:val="000000" w:themeColor="text1"/>
          <w:sz w:val="16"/>
          <w:szCs w:val="16"/>
        </w:rPr>
        <w:softHyphen/>
        <w:t>зяйство, подсобные предприятия, складские и жилые помещения, базы материалов, находящиеся в Ростове, по балансу на 1 октября с.г.</w:t>
      </w:r>
    </w:p>
    <w:p w14:paraId="373FB7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Проектирование завода возложить на Рособлпроект, обя</w:t>
      </w:r>
      <w:r w:rsidRPr="00A3026E">
        <w:rPr>
          <w:rFonts w:ascii="Times New Roman" w:hAnsi="Times New Roman"/>
          <w:color w:val="000000" w:themeColor="text1"/>
          <w:sz w:val="16"/>
          <w:szCs w:val="16"/>
        </w:rPr>
        <w:softHyphen/>
        <w:t>зав НКАП:</w:t>
      </w:r>
    </w:p>
    <w:p w14:paraId="22662D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передать типовой проект Рособлпроекзу не позднее 1.Х1.1940 года;</w:t>
      </w:r>
    </w:p>
    <w:p w14:paraId="44F22E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командировать в г. Ростов, для оказания помощи Рособлпроекту, бригаду квалифицированных проектировщиков во главе с главным инженером проекта.</w:t>
      </w:r>
    </w:p>
    <w:p w14:paraId="19FCD4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7.Рособлпроекту закончить проектирование к 1.П.1941 года с выдачей рабочих чертекей к 1.1.1941 года.</w:t>
      </w:r>
    </w:p>
    <w:p w14:paraId="1367F1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Промбанку СССР финансировать строительство самолетного завода в г. Ростове до 1.У.1941 года без утвержденных проектов и смет, а после 1.У.1941 года по сметам на отдельнне объекты и вида работ и сметво-финансовым расчетам к утвержденным НКАП проектным заданиям.</w:t>
      </w:r>
    </w:p>
    <w:p w14:paraId="15A76E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Выделить НКАП из резервного фонда СНК СССР на 1940 год для развертывания строительства и приобретения оборудования, транспорта, механизмов и стройматериалов - 10 млн. рублей, в том числе 5 млн. рублей в оборотные средства треста.</w:t>
      </w:r>
    </w:p>
    <w:p w14:paraId="534119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Разрешить НКАП ввести поправочный коэфипиент 1,20 к тарифным ставкам рабочих и 1,25 - ИТР и служащим на строитель</w:t>
      </w:r>
      <w:r w:rsidRPr="00A3026E">
        <w:rPr>
          <w:rFonts w:ascii="Times New Roman" w:hAnsi="Times New Roman"/>
          <w:color w:val="000000" w:themeColor="text1"/>
          <w:sz w:val="16"/>
          <w:szCs w:val="16"/>
        </w:rPr>
        <w:softHyphen/>
        <w:t>стве самолетного завода в гор. Ростове.</w:t>
      </w:r>
    </w:p>
    <w:p w14:paraId="03798D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Установить 3 персональных оклада для руководящих работников стройтреста и 3 персональных оклада для руководящих работни</w:t>
      </w:r>
      <w:r w:rsidRPr="00A3026E">
        <w:rPr>
          <w:rFonts w:ascii="Times New Roman" w:hAnsi="Times New Roman"/>
          <w:color w:val="000000" w:themeColor="text1"/>
          <w:sz w:val="16"/>
          <w:szCs w:val="16"/>
        </w:rPr>
        <w:softHyphen/>
        <w:t>ков завода до 3000 рублей.</w:t>
      </w:r>
    </w:p>
    <w:p w14:paraId="693BB0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Для ведения строительства завода скоростными методами, установить размер накладных расходов в 25%, в том числе по ад</w:t>
      </w:r>
      <w:r w:rsidRPr="00A3026E">
        <w:rPr>
          <w:rFonts w:ascii="Times New Roman" w:hAnsi="Times New Roman"/>
          <w:color w:val="000000" w:themeColor="text1"/>
          <w:sz w:val="16"/>
          <w:szCs w:val="16"/>
        </w:rPr>
        <w:softHyphen/>
        <w:t>министративно-хозяйственным расходам 10,5% и аванс на приобре</w:t>
      </w:r>
      <w:r w:rsidRPr="00A3026E">
        <w:rPr>
          <w:rFonts w:ascii="Times New Roman" w:hAnsi="Times New Roman"/>
          <w:color w:val="000000" w:themeColor="text1"/>
          <w:sz w:val="16"/>
          <w:szCs w:val="16"/>
        </w:rPr>
        <w:softHyphen/>
        <w:t>тение стройматериалов и оборудования в размере 20%, от объема выполняемых работ.</w:t>
      </w:r>
    </w:p>
    <w:p w14:paraId="31DC17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Обязать Ростовский Облисполком Совета депутатов трудя</w:t>
      </w:r>
      <w:r w:rsidRPr="00A3026E">
        <w:rPr>
          <w:rFonts w:ascii="Times New Roman" w:hAnsi="Times New Roman"/>
          <w:color w:val="000000" w:themeColor="text1"/>
          <w:sz w:val="16"/>
          <w:szCs w:val="16"/>
        </w:rPr>
        <w:softHyphen/>
        <w:t>щихся:</w:t>
      </w:r>
    </w:p>
    <w:p w14:paraId="639127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выделить для рабочих, служащих и ИТР самолетного завода в 1940 году - 30 квартир я в 1941 году - 60 квартир;</w:t>
      </w:r>
    </w:p>
    <w:p w14:paraId="52B42D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построить в 1941 году своими силами за счет средств Наркомавиапрома жилые дома на 1500 человек работающих;</w:t>
      </w:r>
    </w:p>
    <w:p w14:paraId="6547E8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перевести рабочих строителей с менее важных строек на строительство авиационного завода в количестве 2000 человек, сохранив за ними занимаемую жилплощадь на время работы на стро</w:t>
      </w:r>
      <w:r w:rsidRPr="00A3026E">
        <w:rPr>
          <w:rFonts w:ascii="Times New Roman" w:hAnsi="Times New Roman"/>
          <w:color w:val="000000" w:themeColor="text1"/>
          <w:sz w:val="16"/>
          <w:szCs w:val="16"/>
        </w:rPr>
        <w:softHyphen/>
        <w:t>ительстве самолетного завода.</w:t>
      </w:r>
    </w:p>
    <w:p w14:paraId="12A70E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обеспечить полностью строительство самолетного завода местннми стройматериалами (кирпич, камень, гравий, песок, из</w:t>
      </w:r>
      <w:r w:rsidRPr="00A3026E">
        <w:rPr>
          <w:rFonts w:ascii="Times New Roman" w:hAnsi="Times New Roman"/>
          <w:color w:val="000000" w:themeColor="text1"/>
          <w:sz w:val="16"/>
          <w:szCs w:val="16"/>
        </w:rPr>
        <w:softHyphen/>
        <w:t>весть и алебастр);</w:t>
      </w:r>
    </w:p>
    <w:p w14:paraId="2DD44C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в декадный срок отвести необходимые земельные участки для расширения завода и жилищного строительства.</w:t>
      </w:r>
    </w:p>
    <w:p w14:paraId="44864F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Обязать НКАП организовать в г. Ростове подготовку авиа</w:t>
      </w:r>
      <w:r w:rsidRPr="00A3026E">
        <w:rPr>
          <w:rFonts w:ascii="Times New Roman" w:hAnsi="Times New Roman"/>
          <w:color w:val="000000" w:themeColor="text1"/>
          <w:sz w:val="16"/>
          <w:szCs w:val="16"/>
        </w:rPr>
        <w:softHyphen/>
        <w:t>ционных кадров в количестве 2000 человек, для чего Ростовскому Облисполкому выделить необходимое помещение.</w:t>
      </w:r>
    </w:p>
    <w:p w14:paraId="6F9E9B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Обязать Народного Комиссара Авиационной Промышленности тов. Шахурина А.И. обеспечить необходимую техническую помощь самолетному заводу в г. Ростове, путем посылки квалифицирован</w:t>
      </w:r>
      <w:r w:rsidRPr="00A3026E">
        <w:rPr>
          <w:rFonts w:ascii="Times New Roman" w:hAnsi="Times New Roman"/>
          <w:color w:val="000000" w:themeColor="text1"/>
          <w:sz w:val="16"/>
          <w:szCs w:val="16"/>
        </w:rPr>
        <w:softHyphen/>
        <w:t>ных кадров с действующих заводов я изготовления производствен</w:t>
      </w:r>
      <w:r w:rsidRPr="00A3026E">
        <w:rPr>
          <w:rFonts w:ascii="Times New Roman" w:hAnsi="Times New Roman"/>
          <w:color w:val="000000" w:themeColor="text1"/>
          <w:sz w:val="16"/>
          <w:szCs w:val="16"/>
        </w:rPr>
        <w:softHyphen/>
        <w:t>ной оснастки и эталонов,</w:t>
      </w:r>
    </w:p>
    <w:p w14:paraId="32CD5B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Обязать Наркомат Торговли СССР организовать закрытую форму торговли я питаниерабочих и ИТР, занятых на производст</w:t>
      </w:r>
      <w:r w:rsidRPr="00A3026E">
        <w:rPr>
          <w:rFonts w:ascii="Times New Roman" w:hAnsi="Times New Roman"/>
          <w:color w:val="000000" w:themeColor="text1"/>
          <w:sz w:val="16"/>
          <w:szCs w:val="16"/>
        </w:rPr>
        <w:softHyphen/>
        <w:t>ве и строительстве Ростовского самолетного завода.</w:t>
      </w:r>
    </w:p>
    <w:p w14:paraId="0B469E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17..Зкономсовету при СНК СССР в декадный срок выделить НКАП дополнительно к фондам 1У квартала т.г. материалы и обо</w:t>
      </w:r>
      <w:r w:rsidRPr="00A3026E">
        <w:rPr>
          <w:rFonts w:ascii="Times New Roman" w:hAnsi="Times New Roman"/>
          <w:color w:val="000000" w:themeColor="text1"/>
          <w:sz w:val="16"/>
          <w:szCs w:val="16"/>
        </w:rPr>
        <w:softHyphen/>
        <w:t>рудование , с целевым назначением для самолетостроительного завода в г. Ростове, в количествах, указанных в приложениях №№ 1 и 2.</w:t>
      </w:r>
    </w:p>
    <w:p w14:paraId="2F418A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Обязать Наркоматы-поставщики и Наркомат Путей Сообщения обеспечить строительство самолетного завода в г. Ростове вне</w:t>
      </w:r>
      <w:r w:rsidRPr="00A3026E">
        <w:rPr>
          <w:rFonts w:ascii="Times New Roman" w:hAnsi="Times New Roman"/>
          <w:color w:val="000000" w:themeColor="text1"/>
          <w:sz w:val="16"/>
          <w:szCs w:val="16"/>
        </w:rPr>
        <w:softHyphen/>
        <w:t>очередной отгрузкой материалов, автотранспорта и строймеханизмов в адрес стройтреста НКАП равными партиями в течение - ок</w:t>
      </w:r>
      <w:r w:rsidRPr="00A3026E">
        <w:rPr>
          <w:rFonts w:ascii="Times New Roman" w:hAnsi="Times New Roman"/>
          <w:color w:val="000000" w:themeColor="text1"/>
          <w:sz w:val="16"/>
          <w:szCs w:val="16"/>
        </w:rPr>
        <w:softHyphen/>
        <w:t>тября, ноября и декабря 1940 года.</w:t>
      </w:r>
    </w:p>
    <w:p w14:paraId="005E66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Реализацию фондов для строительства этого завода, отгрузку всех материалов и оборудования и подачу вагонов произво</w:t>
      </w:r>
      <w:r w:rsidRPr="00A3026E">
        <w:rPr>
          <w:rFonts w:ascii="Times New Roman" w:hAnsi="Times New Roman"/>
          <w:color w:val="000000" w:themeColor="text1"/>
          <w:sz w:val="16"/>
          <w:szCs w:val="16"/>
        </w:rPr>
        <w:softHyphen/>
        <w:t>дить наравне с грузами НКО.</w:t>
      </w:r>
    </w:p>
    <w:p w14:paraId="408066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Обязать Наркомвнешторг обеспечить реализацию заказов на импортное оборудование для Ростовского самолетного завода со сроком поставки в первом полугодия 1941 года по спесифисации НКАП.</w:t>
      </w:r>
    </w:p>
    <w:p w14:paraId="18DE13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Обязать Эконовзсовет и Ростовский Облисполком мобили</w:t>
      </w:r>
      <w:r w:rsidRPr="00A3026E">
        <w:rPr>
          <w:rFonts w:ascii="Times New Roman" w:hAnsi="Times New Roman"/>
          <w:color w:val="000000" w:themeColor="text1"/>
          <w:sz w:val="16"/>
          <w:szCs w:val="16"/>
        </w:rPr>
        <w:softHyphen/>
        <w:t>зовать на предприятиях гор. Ростова из числа неиспользованного и недостаточно загруженного оборудования не менее 150 станков для вновь организуемого самолетного завода.</w:t>
      </w:r>
    </w:p>
    <w:p w14:paraId="1A94E9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Выделить Народному Комиссару Авиационной Промышленности тов. Шазурину А.И. из резервного фонда СНК СССР на 194С год для подготовки и освоения производства бомбардировщиков на Ростовском заводе 3 млн. рублей.</w:t>
      </w:r>
    </w:p>
    <w:p w14:paraId="5DCB9B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Ответственность за организацию и своевременное обеспече</w:t>
      </w:r>
      <w:r w:rsidRPr="00A3026E">
        <w:rPr>
          <w:rFonts w:ascii="Times New Roman" w:hAnsi="Times New Roman"/>
          <w:color w:val="000000" w:themeColor="text1"/>
          <w:sz w:val="16"/>
          <w:szCs w:val="16"/>
        </w:rPr>
        <w:softHyphen/>
        <w:t>ние программы 1941 года и достройку самолетного завода в г. Ро</w:t>
      </w:r>
      <w:r w:rsidRPr="00A3026E">
        <w:rPr>
          <w:rFonts w:ascii="Times New Roman" w:hAnsi="Times New Roman"/>
          <w:color w:val="000000" w:themeColor="text1"/>
          <w:sz w:val="16"/>
          <w:szCs w:val="16"/>
        </w:rPr>
        <w:softHyphen/>
        <w:t>стове возложить на Народного Комиссара Авиационной Прошгаленности тов. Шахурина А.И., Секретаря Областного Комитета ВКП(б) тов. Двинского. Председатежя Облисполкома тов. Руденко (8049,62).</w:t>
      </w:r>
    </w:p>
    <w:p w14:paraId="6707C1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F9430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27 сентября 1940 был отпечатан проект:</w:t>
      </w:r>
    </w:p>
    <w:p w14:paraId="6317E6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СОВЕТА НАРОДНЫХ КОМИССАРОВ СССР И ЦЕНТРАЛЪНОГО КОМИТЕТА ВКП(б)</w:t>
      </w:r>
    </w:p>
    <w:p w14:paraId="26F161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Кремль</w:t>
      </w:r>
    </w:p>
    <w:p w14:paraId="1535AE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“___” сентября 1940 г.</w:t>
      </w:r>
    </w:p>
    <w:p w14:paraId="476ED0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передаче НКАП Ростовского автосборочного завода НКСМ для организации на нем производства самолетов ДБ-240.</w:t>
      </w:r>
    </w:p>
    <w:p w14:paraId="014FBF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Совет Народных Комиссаров СССР и Центральный Комитет ВКП(б) ПОСТАНОВЛЯЮТ:</w:t>
      </w:r>
    </w:p>
    <w:p w14:paraId="6B7245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Передать в систему НКАП Ростовский автосборочный завод Наркомсредмаша, освободив его от сборки автомобилей с 1 ноября с.г.</w:t>
      </w:r>
    </w:p>
    <w:p w14:paraId="19E9BB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Передачу завода произвести в 10-ти дневный срок по балансу на 1 октября с.г.</w:t>
      </w:r>
    </w:p>
    <w:p w14:paraId="36BF75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Народвого Комиссара Авиационной Промышленности тов. Шахурина А.И. развернуть немедленно подготовку производства самолетов ДБ-240 на Ростовском автосборочном заводе и обеспечить в 1941 году выполнение программы по этому заводу в количестве 150 штук, со следущей разбивкой по квартала»:</w:t>
      </w:r>
    </w:p>
    <w:p w14:paraId="6A0FB2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квартал - 25 штук - в т.ч. в июне 10 штук</w:t>
      </w:r>
    </w:p>
    <w:p w14:paraId="774351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квартал - 50 штук - в т.ч. в сентябре 20 штук</w:t>
      </w:r>
    </w:p>
    <w:p w14:paraId="6CA044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 квартал - 75 штук - в т.ч. в декабре 30 штук</w:t>
      </w:r>
    </w:p>
    <w:p w14:paraId="5B79F5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первом квартале 1942 года обеспечить выпуск 100 штук самолетов ДБ-240, в том числе в марте месяце 35 штук.</w:t>
      </w:r>
    </w:p>
    <w:p w14:paraId="70BFBC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данной программой приступить в 1У квартале 1940 года к созданию заделов, обеспечивавши: со П-го квартала 1941 года сдачу самолетов по утвержденному графику.</w:t>
      </w:r>
    </w:p>
    <w:p w14:paraId="06B15B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Обязать Народного Кошссара Авиационной Промышленности тов. Шахурина А.И. реконструировать и достроить автосборочный завод под производство самолетов, на основании типового проек</w:t>
      </w:r>
      <w:r w:rsidRPr="00A3026E">
        <w:rPr>
          <w:rFonts w:ascii="Times New Roman" w:hAnsi="Times New Roman"/>
          <w:color w:val="000000" w:themeColor="text1"/>
          <w:sz w:val="16"/>
          <w:szCs w:val="16"/>
        </w:rPr>
        <w:softHyphen/>
        <w:t>та, исходя из программы выпуска 1200 штук двухмоторных бомбар</w:t>
      </w:r>
      <w:r w:rsidRPr="00A3026E">
        <w:rPr>
          <w:rFonts w:ascii="Times New Roman" w:hAnsi="Times New Roman"/>
          <w:color w:val="000000" w:themeColor="text1"/>
          <w:sz w:val="16"/>
          <w:szCs w:val="16"/>
        </w:rPr>
        <w:softHyphen/>
        <w:t>дировщиков в год, со сроком окончания строительства - П-й квар</w:t>
      </w:r>
      <w:r w:rsidRPr="00A3026E">
        <w:rPr>
          <w:rFonts w:ascii="Times New Roman" w:hAnsi="Times New Roman"/>
          <w:color w:val="000000" w:themeColor="text1"/>
          <w:sz w:val="16"/>
          <w:szCs w:val="16"/>
        </w:rPr>
        <w:softHyphen/>
        <w:t>тал 1942 года.</w:t>
      </w:r>
    </w:p>
    <w:p w14:paraId="5CFF80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 мощности вести исходя из двухсменной работы, при 8-ми часовом рабочем дне и семидневной неделе.</w:t>
      </w:r>
    </w:p>
    <w:p w14:paraId="50E258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Для достройки авиационного завода в гор. Ростове, орга</w:t>
      </w:r>
      <w:r w:rsidRPr="00A3026E">
        <w:rPr>
          <w:rFonts w:ascii="Times New Roman" w:hAnsi="Times New Roman"/>
          <w:color w:val="000000" w:themeColor="text1"/>
          <w:sz w:val="16"/>
          <w:szCs w:val="16"/>
        </w:rPr>
        <w:softHyphen/>
        <w:t>низовать строительно-монтажный трест Наркомавяапрома, на базе 1-й конторы треста Севказтяжстрой Наркомстроя СССР, с освобож</w:t>
      </w:r>
      <w:r w:rsidRPr="00A3026E">
        <w:rPr>
          <w:rFonts w:ascii="Times New Roman" w:hAnsi="Times New Roman"/>
          <w:color w:val="000000" w:themeColor="text1"/>
          <w:sz w:val="16"/>
          <w:szCs w:val="16"/>
        </w:rPr>
        <w:softHyphen/>
        <w:t>дением этой конторы от производства подрядных работ других за</w:t>
      </w:r>
      <w:r w:rsidRPr="00A3026E">
        <w:rPr>
          <w:rFonts w:ascii="Times New Roman" w:hAnsi="Times New Roman"/>
          <w:color w:val="000000" w:themeColor="text1"/>
          <w:sz w:val="16"/>
          <w:szCs w:val="16"/>
        </w:rPr>
        <w:softHyphen/>
        <w:t>казчиков.</w:t>
      </w:r>
    </w:p>
    <w:p w14:paraId="167C98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Обязать Наркомстрой передать Наркомаяиапрому в декадный срок Стройконтору № 1 Севкавтяжстроя с рабочими кадрами, мате</w:t>
      </w:r>
      <w:r w:rsidRPr="00A3026E">
        <w:rPr>
          <w:rFonts w:ascii="Times New Roman" w:hAnsi="Times New Roman"/>
          <w:color w:val="000000" w:themeColor="text1"/>
          <w:sz w:val="16"/>
          <w:szCs w:val="16"/>
        </w:rPr>
        <w:softHyphen/>
        <w:t>риалами, механизмами и автотранспортом, а также карьерное хо</w:t>
      </w:r>
      <w:r w:rsidRPr="00A3026E">
        <w:rPr>
          <w:rFonts w:ascii="Times New Roman" w:hAnsi="Times New Roman"/>
          <w:color w:val="000000" w:themeColor="text1"/>
          <w:sz w:val="16"/>
          <w:szCs w:val="16"/>
        </w:rPr>
        <w:softHyphen/>
        <w:t>зяйство, подсобные предприятия, складские и жилые помещения, базы материалов, находящиеся в Ростове, по балансу на 1 октября с.г.</w:t>
      </w:r>
    </w:p>
    <w:p w14:paraId="450002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Проектирование завода возложить на Рособлпроект, обя</w:t>
      </w:r>
      <w:r w:rsidRPr="00A3026E">
        <w:rPr>
          <w:rFonts w:ascii="Times New Roman" w:hAnsi="Times New Roman"/>
          <w:color w:val="000000" w:themeColor="text1"/>
          <w:sz w:val="16"/>
          <w:szCs w:val="16"/>
        </w:rPr>
        <w:softHyphen/>
        <w:t>зав НКАП:</w:t>
      </w:r>
    </w:p>
    <w:p w14:paraId="2C73F5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передать типовой проект Рособлпроекзу не позднее 1.Х1.1940 года;</w:t>
      </w:r>
    </w:p>
    <w:p w14:paraId="77A0E7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командировать в г. Ростов, для оказания помощи Рособлпроекту, бригаду квалифицированных проектировщиков во главе с главным инженером проекта.</w:t>
      </w:r>
    </w:p>
    <w:p w14:paraId="72EBCC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7.Рособлпроекту закончить проектирование к 1.П.1941 года с выдачей рабочих чертекей к 1.1.1941 года.</w:t>
      </w:r>
    </w:p>
    <w:p w14:paraId="5B10FB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Промбанку СССР финансировать строительство самолетного завода в г. Ростове до 1.У.1941 года без утвержденных проектов и смет, а после 1.У.1941 года по сметам на отдельнне объекты и вида работ и сметво-финансовым расчетам к утвержденным НКАП проектным заданиям.</w:t>
      </w:r>
    </w:p>
    <w:p w14:paraId="358A75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Выделить НКАП из резервного фонда СНК СССР на 1940 год для развертывания строительства и приобретения оборудования, транспорта, механизмов и стройматериалов - 10 млн. рублей, в том числе 5 млн. рублей в оборотные средства треста.</w:t>
      </w:r>
    </w:p>
    <w:p w14:paraId="1BDC57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Разрешить НКАП ввести поправочный коэфипиент 1,20 к тарифным ставкам рабочих и 1,25 - ИТР и служащим на строитель</w:t>
      </w:r>
      <w:r w:rsidRPr="00A3026E">
        <w:rPr>
          <w:rFonts w:ascii="Times New Roman" w:hAnsi="Times New Roman"/>
          <w:color w:val="000000" w:themeColor="text1"/>
          <w:sz w:val="16"/>
          <w:szCs w:val="16"/>
        </w:rPr>
        <w:softHyphen/>
        <w:t>стве самолетного завода в гор. Ростове.</w:t>
      </w:r>
    </w:p>
    <w:p w14:paraId="6F1F44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Установить 3 персональных оклада для руководящих работников стройтреста и 3 персональных оклада для руководящих работни</w:t>
      </w:r>
      <w:r w:rsidRPr="00A3026E">
        <w:rPr>
          <w:rFonts w:ascii="Times New Roman" w:hAnsi="Times New Roman"/>
          <w:color w:val="000000" w:themeColor="text1"/>
          <w:sz w:val="16"/>
          <w:szCs w:val="16"/>
        </w:rPr>
        <w:softHyphen/>
        <w:t>ков завода до 3000 рублей.</w:t>
      </w:r>
    </w:p>
    <w:p w14:paraId="1D92F3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Для ведения строительства завода скоростными методами, установить размер накладных расходов в 25%, в том числе по ад</w:t>
      </w:r>
      <w:r w:rsidRPr="00A3026E">
        <w:rPr>
          <w:rFonts w:ascii="Times New Roman" w:hAnsi="Times New Roman"/>
          <w:color w:val="000000" w:themeColor="text1"/>
          <w:sz w:val="16"/>
          <w:szCs w:val="16"/>
        </w:rPr>
        <w:softHyphen/>
        <w:t>министративно-хозяйственным расходам 10,5% и аванс на приобре</w:t>
      </w:r>
      <w:r w:rsidRPr="00A3026E">
        <w:rPr>
          <w:rFonts w:ascii="Times New Roman" w:hAnsi="Times New Roman"/>
          <w:color w:val="000000" w:themeColor="text1"/>
          <w:sz w:val="16"/>
          <w:szCs w:val="16"/>
        </w:rPr>
        <w:softHyphen/>
        <w:t>тение стройматериалов и оборудования в размере 20%, от объема выполняемых работ.</w:t>
      </w:r>
    </w:p>
    <w:p w14:paraId="2992A2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Обязать Ростовский Облисполком Совета депутатов трудя</w:t>
      </w:r>
      <w:r w:rsidRPr="00A3026E">
        <w:rPr>
          <w:rFonts w:ascii="Times New Roman" w:hAnsi="Times New Roman"/>
          <w:color w:val="000000" w:themeColor="text1"/>
          <w:sz w:val="16"/>
          <w:szCs w:val="16"/>
        </w:rPr>
        <w:softHyphen/>
        <w:t>щихся:</w:t>
      </w:r>
    </w:p>
    <w:p w14:paraId="796373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выделить для рабочих, служащих и ИТР самолетного завода в 1940 году - 30 квартир я в 1941 году - 60 квартир;</w:t>
      </w:r>
    </w:p>
    <w:p w14:paraId="7741C5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построить в 1941 году своими силами за счет средств Наркомавиапрома жилые дома на 1500 человек работающих;</w:t>
      </w:r>
    </w:p>
    <w:p w14:paraId="314136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перевести рабочих строителей с менее важных строек на строительство авиационного завода в количестве 2000 человек, сохранив за ними занимаемую жилплощадь на время работы на стро</w:t>
      </w:r>
      <w:r w:rsidRPr="00A3026E">
        <w:rPr>
          <w:rFonts w:ascii="Times New Roman" w:hAnsi="Times New Roman"/>
          <w:color w:val="000000" w:themeColor="text1"/>
          <w:sz w:val="16"/>
          <w:szCs w:val="16"/>
        </w:rPr>
        <w:softHyphen/>
        <w:t>ительстве самолетного завода.</w:t>
      </w:r>
    </w:p>
    <w:p w14:paraId="2DE514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обеспечить полностью строительство самолетного завода местннми стройматериалами (кирпич, камень, гравий, песок, из</w:t>
      </w:r>
      <w:r w:rsidRPr="00A3026E">
        <w:rPr>
          <w:rFonts w:ascii="Times New Roman" w:hAnsi="Times New Roman"/>
          <w:color w:val="000000" w:themeColor="text1"/>
          <w:sz w:val="16"/>
          <w:szCs w:val="16"/>
        </w:rPr>
        <w:softHyphen/>
        <w:t>весть и алебастр);</w:t>
      </w:r>
    </w:p>
    <w:p w14:paraId="483F8E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в декадный срок отвести необходимые земельные участки для расширения завода и жилищного строительства.</w:t>
      </w:r>
    </w:p>
    <w:p w14:paraId="493FBD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Обязать НКАП организовать в г. Ростове подготовку авиа</w:t>
      </w:r>
      <w:r w:rsidRPr="00A3026E">
        <w:rPr>
          <w:rFonts w:ascii="Times New Roman" w:hAnsi="Times New Roman"/>
          <w:color w:val="000000" w:themeColor="text1"/>
          <w:sz w:val="16"/>
          <w:szCs w:val="16"/>
        </w:rPr>
        <w:softHyphen/>
        <w:t>ционных кадров в количестве 2000 человек, для чего Ростовскому Облисполкому выделить необходимое помещение.</w:t>
      </w:r>
    </w:p>
    <w:p w14:paraId="2D4688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Обязать Народного Комиссара Авдационной Промышленности тов. Шахурина А.И. обеспечить необходимую техническую помощь самолетному заводу в г. Ростове, путем посылки квалифицирован</w:t>
      </w:r>
      <w:r w:rsidRPr="00A3026E">
        <w:rPr>
          <w:rFonts w:ascii="Times New Roman" w:hAnsi="Times New Roman"/>
          <w:color w:val="000000" w:themeColor="text1"/>
          <w:sz w:val="16"/>
          <w:szCs w:val="16"/>
        </w:rPr>
        <w:softHyphen/>
        <w:t>ных кадров с действующих заводов я изготовления производствен</w:t>
      </w:r>
      <w:r w:rsidRPr="00A3026E">
        <w:rPr>
          <w:rFonts w:ascii="Times New Roman" w:hAnsi="Times New Roman"/>
          <w:color w:val="000000" w:themeColor="text1"/>
          <w:sz w:val="16"/>
          <w:szCs w:val="16"/>
        </w:rPr>
        <w:softHyphen/>
        <w:t>ной оснастки и эталонов,</w:t>
      </w:r>
    </w:p>
    <w:p w14:paraId="05F272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Обязать Наркомат Торговли СССР организовать закрытую форму торговли я питаниерабочих и ИТР, занятых на производст</w:t>
      </w:r>
      <w:r w:rsidRPr="00A3026E">
        <w:rPr>
          <w:rFonts w:ascii="Times New Roman" w:hAnsi="Times New Roman"/>
          <w:color w:val="000000" w:themeColor="text1"/>
          <w:sz w:val="16"/>
          <w:szCs w:val="16"/>
        </w:rPr>
        <w:softHyphen/>
        <w:t>ве и строительстве Ростовского самолетного завода.</w:t>
      </w:r>
    </w:p>
    <w:p w14:paraId="411D9A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17..Зкономсовету при СНК СССР в декадный срок выделить НКАП дополнительно к фондам 1У квартала т.г. материалы и обо</w:t>
      </w:r>
      <w:r w:rsidRPr="00A3026E">
        <w:rPr>
          <w:rFonts w:ascii="Times New Roman" w:hAnsi="Times New Roman"/>
          <w:color w:val="000000" w:themeColor="text1"/>
          <w:sz w:val="16"/>
          <w:szCs w:val="16"/>
        </w:rPr>
        <w:softHyphen/>
        <w:t>рудование , с целевым назначением для самолетостроительного завода в г. Ростове, в количествах, указанных в приложениях №№ 1 и 2.</w:t>
      </w:r>
    </w:p>
    <w:p w14:paraId="27AC54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Обязать Наркоматы-поставщики и Наркомат Путей Сообщения обеспечить строительство самолетного завода в г. Ростове вне</w:t>
      </w:r>
      <w:r w:rsidRPr="00A3026E">
        <w:rPr>
          <w:rFonts w:ascii="Times New Roman" w:hAnsi="Times New Roman"/>
          <w:color w:val="000000" w:themeColor="text1"/>
          <w:sz w:val="16"/>
          <w:szCs w:val="16"/>
        </w:rPr>
        <w:softHyphen/>
        <w:t>очередной отгрузкой материалов, автотранспорта и строймеханизмов в адрес стройтреста НКАП равными партиями в течение - ок</w:t>
      </w:r>
      <w:r w:rsidRPr="00A3026E">
        <w:rPr>
          <w:rFonts w:ascii="Times New Roman" w:hAnsi="Times New Roman"/>
          <w:color w:val="000000" w:themeColor="text1"/>
          <w:sz w:val="16"/>
          <w:szCs w:val="16"/>
        </w:rPr>
        <w:softHyphen/>
        <w:t>тября, ноября и декабря 1940 года.</w:t>
      </w:r>
    </w:p>
    <w:p w14:paraId="192F69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Реализацию фондов для строительства этого завода, отгрузку всех материалов и оборудования и подачу вагонов произво</w:t>
      </w:r>
      <w:r w:rsidRPr="00A3026E">
        <w:rPr>
          <w:rFonts w:ascii="Times New Roman" w:hAnsi="Times New Roman"/>
          <w:color w:val="000000" w:themeColor="text1"/>
          <w:sz w:val="16"/>
          <w:szCs w:val="16"/>
        </w:rPr>
        <w:softHyphen/>
        <w:t>дить наравне с грузами НКО.</w:t>
      </w:r>
    </w:p>
    <w:p w14:paraId="4AE8C1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Обязать Наркомвнешторг обеспечить реализацию заказов на импортное оборудование для Ростовского самолетного завода со сроком поставки в первом полугодия 1941 года по спесифисации НКАП.</w:t>
      </w:r>
    </w:p>
    <w:p w14:paraId="5E4B09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Обязать Эконовзсовет и Ростовский Облисполком мобили</w:t>
      </w:r>
      <w:r w:rsidRPr="00A3026E">
        <w:rPr>
          <w:rFonts w:ascii="Times New Roman" w:hAnsi="Times New Roman"/>
          <w:color w:val="000000" w:themeColor="text1"/>
          <w:sz w:val="16"/>
          <w:szCs w:val="16"/>
        </w:rPr>
        <w:softHyphen/>
        <w:t>зовать на предприятиях гор. Ростова из числа неиспользованного и недостаточно загруженного оборудования не менее 150 станков для вновь организуемого самолетного завода.</w:t>
      </w:r>
    </w:p>
    <w:p w14:paraId="7FC964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Выделить Народному Комиссару Авиационной Промышленности тов. Шазурину А.И. из резервного фонда СНК СССР на 194С год для подготовки и освоения производства бомбардировщиков на Ростовском заводе 3 млн. рублей.</w:t>
      </w:r>
    </w:p>
    <w:p w14:paraId="6C17D5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Ответственность за организацию и своевременное обеспече</w:t>
      </w:r>
      <w:r w:rsidRPr="00A3026E">
        <w:rPr>
          <w:rFonts w:ascii="Times New Roman" w:hAnsi="Times New Roman"/>
          <w:color w:val="000000" w:themeColor="text1"/>
          <w:sz w:val="16"/>
          <w:szCs w:val="16"/>
        </w:rPr>
        <w:softHyphen/>
        <w:t>ние программы 1941 года и достройку самолетного завода в г. Ро</w:t>
      </w:r>
      <w:r w:rsidRPr="00A3026E">
        <w:rPr>
          <w:rFonts w:ascii="Times New Roman" w:hAnsi="Times New Roman"/>
          <w:color w:val="000000" w:themeColor="text1"/>
          <w:sz w:val="16"/>
          <w:szCs w:val="16"/>
        </w:rPr>
        <w:softHyphen/>
        <w:t>стове возложить на Народного Комиссара Авиационной Прошгаленности тов. Шахурина А.И., Секретаря Областного Комитета ВКП(б) тов. Двинского. Председатежя Облисполкома тов. Руденко (8049,62).</w:t>
      </w:r>
    </w:p>
    <w:p w14:paraId="695AD9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D51F5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был подготовлен проект постановления СНК ССР и ЦК ВКП(б)</w:t>
      </w:r>
    </w:p>
    <w:p w14:paraId="2C3A1C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кремль</w:t>
      </w:r>
    </w:p>
    <w:p w14:paraId="4C5C62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“___"сентября 1940 года.</w:t>
      </w:r>
    </w:p>
    <w:p w14:paraId="0F2C7F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передаче НКАП Вагоно-Ремонтного завода НКПС в Лианозове для организации на нем производства самолетов ПБ-100.</w:t>
      </w:r>
    </w:p>
    <w:p w14:paraId="3915B5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Совет Народных Комиссаров Союза ССР и Центральный Комитет ВКП(б) П О С Т А Я Н О В Л Я Ю Т:</w:t>
      </w:r>
    </w:p>
    <w:p w14:paraId="10EF6E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Передать в систему НКАП Вагоно-Ремонтный завод НКПС в Лианозозе, освободив его от изготвляемой продукции с 1.Х1.40</w:t>
      </w:r>
    </w:p>
    <w:p w14:paraId="4C8138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Передачу залода произвести в 10 дневный срок, по балансу на 1.Х.1940 года.</w:t>
      </w:r>
    </w:p>
    <w:p w14:paraId="145E6B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Народного Комиссара Авиационной Промышленности тов. Шахурина А. И. развернуть немедленно подготовку произ</w:t>
      </w:r>
      <w:r w:rsidRPr="00A3026E">
        <w:rPr>
          <w:rFonts w:ascii="Times New Roman" w:hAnsi="Times New Roman"/>
          <w:color w:val="000000" w:themeColor="text1"/>
          <w:sz w:val="16"/>
          <w:szCs w:val="16"/>
        </w:rPr>
        <w:softHyphen/>
        <w:t>водств самолетов ПБ-100 на Вагоно-Ремонтном заводе в Лианозово и обеспечить в 1941 году выполнение программы по отому заводу в количестве 300 штук самолетоз, со следующей разбиакой по кварталам:</w:t>
      </w:r>
    </w:p>
    <w:p w14:paraId="055435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квартал - 40 штук - в т.ч. в июне 15 штук</w:t>
      </w:r>
    </w:p>
    <w:p w14:paraId="0A8F1E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квартал - 100 штук - в т.ч. в сентябре 40 штук</w:t>
      </w:r>
    </w:p>
    <w:p w14:paraId="2F8D25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 квартал - 160 штук - в т.ч. в декабре 55 штук.</w:t>
      </w:r>
    </w:p>
    <w:p w14:paraId="54E6D3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первом квартале 1942 года обеспечить выпуск 200 штук самолетов ПБ-100, в том числе в марте месяце 80 штук.</w:t>
      </w:r>
    </w:p>
    <w:p w14:paraId="3642A1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данной программой приступить в 1У квартале 1940 года к созданию заделов, обеспечивавши: со П-го квартала 1941 года сдачу самолетов по утвержденному графику.</w:t>
      </w:r>
    </w:p>
    <w:p w14:paraId="3536C8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Обязать Народного Кошссара Авиационной Промышленности тов. Шахурина А.И. реконструировать и достроить вагоноремонтный завод в Лианозове, под производство самолетов, на основании типового проек</w:t>
      </w:r>
      <w:r w:rsidRPr="00A3026E">
        <w:rPr>
          <w:rFonts w:ascii="Times New Roman" w:hAnsi="Times New Roman"/>
          <w:color w:val="000000" w:themeColor="text1"/>
          <w:sz w:val="16"/>
          <w:szCs w:val="16"/>
        </w:rPr>
        <w:softHyphen/>
        <w:t>та, исходя из программы выпуска 1200 штук двухмоторных бомбар</w:t>
      </w:r>
      <w:r w:rsidRPr="00A3026E">
        <w:rPr>
          <w:rFonts w:ascii="Times New Roman" w:hAnsi="Times New Roman"/>
          <w:color w:val="000000" w:themeColor="text1"/>
          <w:sz w:val="16"/>
          <w:szCs w:val="16"/>
        </w:rPr>
        <w:softHyphen/>
        <w:t>дировщиков в год, со сроком окончания строительства - П-й квар</w:t>
      </w:r>
      <w:r w:rsidRPr="00A3026E">
        <w:rPr>
          <w:rFonts w:ascii="Times New Roman" w:hAnsi="Times New Roman"/>
          <w:color w:val="000000" w:themeColor="text1"/>
          <w:sz w:val="16"/>
          <w:szCs w:val="16"/>
        </w:rPr>
        <w:softHyphen/>
        <w:t>тал 1942 года.</w:t>
      </w:r>
    </w:p>
    <w:p w14:paraId="11C53F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 мощности вести исходя из двухсменной работы, при 8-ми часовом рабочем дне и семидневной неделе.</w:t>
      </w:r>
    </w:p>
    <w:p w14:paraId="57136A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 Для достройки авиационного завода в Лианозове, орга</w:t>
      </w:r>
      <w:r w:rsidRPr="00A3026E">
        <w:rPr>
          <w:rFonts w:ascii="Times New Roman" w:hAnsi="Times New Roman"/>
          <w:color w:val="000000" w:themeColor="text1"/>
          <w:sz w:val="16"/>
          <w:szCs w:val="16"/>
        </w:rPr>
        <w:softHyphen/>
        <w:t>низовать строительно-монтажный трест Наркомавяапрома, на базе треста “Жилстрой” Наркомстроя СССР, с освобож</w:t>
      </w:r>
      <w:r w:rsidRPr="00A3026E">
        <w:rPr>
          <w:rFonts w:ascii="Times New Roman" w:hAnsi="Times New Roman"/>
          <w:color w:val="000000" w:themeColor="text1"/>
          <w:sz w:val="16"/>
          <w:szCs w:val="16"/>
        </w:rPr>
        <w:softHyphen/>
        <w:t>дением этой конторы от производства подрядных работ других за</w:t>
      </w:r>
      <w:r w:rsidRPr="00A3026E">
        <w:rPr>
          <w:rFonts w:ascii="Times New Roman" w:hAnsi="Times New Roman"/>
          <w:color w:val="000000" w:themeColor="text1"/>
          <w:sz w:val="16"/>
          <w:szCs w:val="16"/>
        </w:rPr>
        <w:softHyphen/>
        <w:t>казчиков.</w:t>
      </w:r>
    </w:p>
    <w:p w14:paraId="1EF7A1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Обязать Наркомстрой передать Наркомаяиапрому в декадный срок трест “Жилстрой” с рабочими кадрами, мате</w:t>
      </w:r>
      <w:r w:rsidRPr="00A3026E">
        <w:rPr>
          <w:rFonts w:ascii="Times New Roman" w:hAnsi="Times New Roman"/>
          <w:color w:val="000000" w:themeColor="text1"/>
          <w:sz w:val="16"/>
          <w:szCs w:val="16"/>
        </w:rPr>
        <w:softHyphen/>
        <w:t>риалами, механизмами и автотранспортом, а также карьерное хо</w:t>
      </w:r>
      <w:r w:rsidRPr="00A3026E">
        <w:rPr>
          <w:rFonts w:ascii="Times New Roman" w:hAnsi="Times New Roman"/>
          <w:color w:val="000000" w:themeColor="text1"/>
          <w:sz w:val="16"/>
          <w:szCs w:val="16"/>
        </w:rPr>
        <w:softHyphen/>
        <w:t>зяйство, подсобные предприятия, складские и жилые помещения, базы материалов, находящиеся в Ростове, по балансу на 1 октября с.г.</w:t>
      </w:r>
    </w:p>
    <w:p w14:paraId="1D0E2A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Обязать НКАП закончить проектирование заводв к 1 марта 1941 с выдачей рабочих чертекей к 1.1.1941 года.</w:t>
      </w:r>
    </w:p>
    <w:p w14:paraId="43811D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Промбанку СССР финансировать строительство самолетного завода в г. Ростове до 1.У.1941 года без утвержденных проектов и смет, а после 1.У.1941 года по сметам на отдельнне объекты и вида работ и сметво-финансовым расчетам к утвержденным НКАП проектным заданиям.</w:t>
      </w:r>
    </w:p>
    <w:p w14:paraId="4B624A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Выделить НКАП из резервного фонда СНК СССР на 1940 год для развертывания строительства Лианозовского самолетного завода и приобретения оборудования, транспорта, механизмов и стройматериалов - 10 млн. рублей, в том числе 5 млн. рублей в оборотные средства треста.</w:t>
      </w:r>
    </w:p>
    <w:p w14:paraId="14C173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Разрешить НКАП ввести поправочный коэфипиент 1,20 к тарифным ставкам рабочих и 1,25 - ИТР и служащим на строитель</w:t>
      </w:r>
      <w:r w:rsidRPr="00A3026E">
        <w:rPr>
          <w:rFonts w:ascii="Times New Roman" w:hAnsi="Times New Roman"/>
          <w:color w:val="000000" w:themeColor="text1"/>
          <w:sz w:val="16"/>
          <w:szCs w:val="16"/>
        </w:rPr>
        <w:softHyphen/>
        <w:t>стве самолетного завода в гор. Ростове.</w:t>
      </w:r>
    </w:p>
    <w:p w14:paraId="5C6A8E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Установить 3 персональных оклада для руководящих работников стройтреста и 3 персональных оклада для руководящих работни</w:t>
      </w:r>
      <w:r w:rsidRPr="00A3026E">
        <w:rPr>
          <w:rFonts w:ascii="Times New Roman" w:hAnsi="Times New Roman"/>
          <w:color w:val="000000" w:themeColor="text1"/>
          <w:sz w:val="16"/>
          <w:szCs w:val="16"/>
        </w:rPr>
        <w:softHyphen/>
        <w:t>ков завода до 3000 рублей.</w:t>
      </w:r>
    </w:p>
    <w:p w14:paraId="7EF747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Для ведения строительства завода скоростными методами, установить размер накладных расходов в 25%, в том числе по ад</w:t>
      </w:r>
      <w:r w:rsidRPr="00A3026E">
        <w:rPr>
          <w:rFonts w:ascii="Times New Roman" w:hAnsi="Times New Roman"/>
          <w:color w:val="000000" w:themeColor="text1"/>
          <w:sz w:val="16"/>
          <w:szCs w:val="16"/>
        </w:rPr>
        <w:softHyphen/>
        <w:t>министративно-хозяйственным расходам 10,5% и аванс на приобре</w:t>
      </w:r>
      <w:r w:rsidRPr="00A3026E">
        <w:rPr>
          <w:rFonts w:ascii="Times New Roman" w:hAnsi="Times New Roman"/>
          <w:color w:val="000000" w:themeColor="text1"/>
          <w:sz w:val="16"/>
          <w:szCs w:val="16"/>
        </w:rPr>
        <w:softHyphen/>
        <w:t>тение стройматериалов и оборудования в размере 20%, от объема выполняемых работ.</w:t>
      </w:r>
    </w:p>
    <w:p w14:paraId="6F806D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Обязать Московский Облисполком Совета депутатов трудя</w:t>
      </w:r>
      <w:r w:rsidRPr="00A3026E">
        <w:rPr>
          <w:rFonts w:ascii="Times New Roman" w:hAnsi="Times New Roman"/>
          <w:color w:val="000000" w:themeColor="text1"/>
          <w:sz w:val="16"/>
          <w:szCs w:val="16"/>
        </w:rPr>
        <w:softHyphen/>
        <w:t>щихся:</w:t>
      </w:r>
    </w:p>
    <w:p w14:paraId="2CE71E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выделить в г. Москве для рабочих, служащих и ИТР самолетного завода в 1940 году - 20 квартир;</w:t>
      </w:r>
    </w:p>
    <w:p w14:paraId="399CE3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построить в 1941 году своими силами за счет средств Наркомавиапрома жилые дома на 1500 человек работающих;</w:t>
      </w:r>
    </w:p>
    <w:p w14:paraId="52C899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перебросить рабочих с менее важных строек на строительство Лианозовского авиационного завода в количестве 2000 человек, сохранив за ними занимаемую жилплощадь на время работы на стро</w:t>
      </w:r>
      <w:r w:rsidRPr="00A3026E">
        <w:rPr>
          <w:rFonts w:ascii="Times New Roman" w:hAnsi="Times New Roman"/>
          <w:color w:val="000000" w:themeColor="text1"/>
          <w:sz w:val="16"/>
          <w:szCs w:val="16"/>
        </w:rPr>
        <w:softHyphen/>
        <w:t>ительстве самолетного завода.</w:t>
      </w:r>
    </w:p>
    <w:p w14:paraId="74A640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в декадный срок отвести необходимые земельные участки для расширения завода и жилищного строительства.</w:t>
      </w:r>
    </w:p>
    <w:p w14:paraId="290B28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обеспечить полностью строительство самолетного завода местными стройматериалами (кирпич, изместь, алебастр) по заказам НКАП.</w:t>
      </w:r>
    </w:p>
    <w:p w14:paraId="2C0D3F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Для обеспечения строительстэа Лианозозского самолетного завода и основных строек НКАП в г. Москве, передать Наркомавиапрому по балансу на 1.Х.194 года:</w:t>
      </w:r>
    </w:p>
    <w:p w14:paraId="1356D3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Паышинский завод железобетонных изделий Наркомата Строительных материалов СССР;</w:t>
      </w:r>
    </w:p>
    <w:p w14:paraId="050C12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Кореневский силикатный завод Наркомата Строительных материалов СССР;</w:t>
      </w:r>
    </w:p>
    <w:p w14:paraId="3B331F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Шуровский известковый завод Наркомата Строительных материалов СССР;</w:t>
      </w:r>
    </w:p>
    <w:p w14:paraId="333CEA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Трест № 35 Нарркомстроя СССР.</w:t>
      </w:r>
    </w:p>
    <w:p w14:paraId="430CA4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Обязать НКАП организовать в г. Москве и Лианозове подготовку авиа</w:t>
      </w:r>
      <w:r w:rsidRPr="00A3026E">
        <w:rPr>
          <w:rFonts w:ascii="Times New Roman" w:hAnsi="Times New Roman"/>
          <w:color w:val="000000" w:themeColor="text1"/>
          <w:sz w:val="16"/>
          <w:szCs w:val="16"/>
        </w:rPr>
        <w:softHyphen/>
        <w:t>ционных кадров в количестве 3000 человек, для чего Мособлисполкому выделить необходимое помещение.</w:t>
      </w:r>
    </w:p>
    <w:p w14:paraId="57112F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Обязать Народного Комиссара Авдационной Промышленности тов. Шахурина А.И. обеспечить необходимую техническую помощь самолетному заводу в Лианозове, путем посылки квалифицирован</w:t>
      </w:r>
      <w:r w:rsidRPr="00A3026E">
        <w:rPr>
          <w:rFonts w:ascii="Times New Roman" w:hAnsi="Times New Roman"/>
          <w:color w:val="000000" w:themeColor="text1"/>
          <w:sz w:val="16"/>
          <w:szCs w:val="16"/>
        </w:rPr>
        <w:softHyphen/>
        <w:t>ных кадров с действующих заводов я изготовления производствен</w:t>
      </w:r>
      <w:r w:rsidRPr="00A3026E">
        <w:rPr>
          <w:rFonts w:ascii="Times New Roman" w:hAnsi="Times New Roman"/>
          <w:color w:val="000000" w:themeColor="text1"/>
          <w:sz w:val="16"/>
          <w:szCs w:val="16"/>
        </w:rPr>
        <w:softHyphen/>
        <w:t>ной оснастки и эталонов,</w:t>
      </w:r>
    </w:p>
    <w:p w14:paraId="49508F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Обязать Наркомат Торговли СССР организовать закрытую форму торговли я питаниерабочих и ИТР, занятых на производст</w:t>
      </w:r>
      <w:r w:rsidRPr="00A3026E">
        <w:rPr>
          <w:rFonts w:ascii="Times New Roman" w:hAnsi="Times New Roman"/>
          <w:color w:val="000000" w:themeColor="text1"/>
          <w:sz w:val="16"/>
          <w:szCs w:val="16"/>
        </w:rPr>
        <w:softHyphen/>
        <w:t>ве и строительстве самолетного завода в Лианозове.</w:t>
      </w:r>
    </w:p>
    <w:p w14:paraId="32A810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17..Зкономсовету при СНК СССР в декадный срок выделить НКАП дополнительно к фондам 1У квартала т.г. материалы и обо</w:t>
      </w:r>
      <w:r w:rsidRPr="00A3026E">
        <w:rPr>
          <w:rFonts w:ascii="Times New Roman" w:hAnsi="Times New Roman"/>
          <w:color w:val="000000" w:themeColor="text1"/>
          <w:sz w:val="16"/>
          <w:szCs w:val="16"/>
        </w:rPr>
        <w:softHyphen/>
        <w:t>рудование , с целевым назначением для самолетостроительного завода в г. Ростове, в количествах, указанных в приложениях №№ 1 и 2.</w:t>
      </w:r>
    </w:p>
    <w:p w14:paraId="748123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Обязать Наркоматы-поставщики и Наркомат Путей Сообщения обеспечить строительство самолетного завода в г. Ростове вне</w:t>
      </w:r>
      <w:r w:rsidRPr="00A3026E">
        <w:rPr>
          <w:rFonts w:ascii="Times New Roman" w:hAnsi="Times New Roman"/>
          <w:color w:val="000000" w:themeColor="text1"/>
          <w:sz w:val="16"/>
          <w:szCs w:val="16"/>
        </w:rPr>
        <w:softHyphen/>
        <w:t>очередной отгрузкой материалов, автотранспорта и строймеханизмов в адрес стройтреста НКАП равными партиями в течение - ок</w:t>
      </w:r>
      <w:r w:rsidRPr="00A3026E">
        <w:rPr>
          <w:rFonts w:ascii="Times New Roman" w:hAnsi="Times New Roman"/>
          <w:color w:val="000000" w:themeColor="text1"/>
          <w:sz w:val="16"/>
          <w:szCs w:val="16"/>
        </w:rPr>
        <w:softHyphen/>
        <w:t>тября, ноября и декабря 1940 года.</w:t>
      </w:r>
    </w:p>
    <w:p w14:paraId="194661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Реализацию фондов для строительства этого завода, отгрузку всех материалов и оборудования и подачу вагонов произво</w:t>
      </w:r>
      <w:r w:rsidRPr="00A3026E">
        <w:rPr>
          <w:rFonts w:ascii="Times New Roman" w:hAnsi="Times New Roman"/>
          <w:color w:val="000000" w:themeColor="text1"/>
          <w:sz w:val="16"/>
          <w:szCs w:val="16"/>
        </w:rPr>
        <w:softHyphen/>
        <w:t>дить наравне с грузами НКО.</w:t>
      </w:r>
    </w:p>
    <w:p w14:paraId="3C0B24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Обязать Наркомвнешторг обеспечить реализацию заказов на импортное оборудование для Ростовского самолетного завода со сроком поставки в первом полугодия 1941 года по спесифисации НКАП.</w:t>
      </w:r>
    </w:p>
    <w:p w14:paraId="12829B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Обязать Эконовзсовет и Ростовский Облисполком мобили</w:t>
      </w:r>
      <w:r w:rsidRPr="00A3026E">
        <w:rPr>
          <w:rFonts w:ascii="Times New Roman" w:hAnsi="Times New Roman"/>
          <w:color w:val="000000" w:themeColor="text1"/>
          <w:sz w:val="16"/>
          <w:szCs w:val="16"/>
        </w:rPr>
        <w:softHyphen/>
        <w:t>зовать на предприятиях гор. Ростова из числа неиспользованного и недостаточно загруженного оборудования не менее 150 станков для вновь организуемого самолетного завода.</w:t>
      </w:r>
    </w:p>
    <w:p w14:paraId="378BFF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Выделить Народному Комиссару Авиационной Промышленности тов. Шазурину А.И. из резервного фонда СНК СССР на 194С год для подготовки и освоения производства бомбардировщиков на Лианозовском заводе 5 млн. рублей.</w:t>
      </w:r>
    </w:p>
    <w:p w14:paraId="10E45C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Ответственность за организацию и своевременное обеспече</w:t>
      </w:r>
      <w:r w:rsidRPr="00A3026E">
        <w:rPr>
          <w:rFonts w:ascii="Times New Roman" w:hAnsi="Times New Roman"/>
          <w:color w:val="000000" w:themeColor="text1"/>
          <w:sz w:val="16"/>
          <w:szCs w:val="16"/>
        </w:rPr>
        <w:softHyphen/>
        <w:t>ние программы 1941 года и достройку самолетного завода в Лианозове возложить на Народного Комиссара Авиационной Прошгаленности тов. Шахурина А.И., Секретаря Московского Комитета ВКП(б) тов. Щербакова и Председателя Московского Облисполкома тов. Тарасова (8049,62).</w:t>
      </w:r>
    </w:p>
    <w:p w14:paraId="23ACBF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533157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27-го сентября 1940 года Директора завода № 39 Вениамина Ивановича Журавлева приказом Наркома за № 386/К от освободили от должности (Прим. 48). Новым директором завода № 39 был назначен Леонид Петрович Соколов, главным инженером Мизюров (18293).</w:t>
      </w:r>
    </w:p>
    <w:p w14:paraId="03CAFD5A" w14:textId="77777777" w:rsidR="005F6E3A" w:rsidRPr="00A3026E" w:rsidRDefault="005F6E3A" w:rsidP="00A3026E">
      <w:pPr>
        <w:spacing w:after="0" w:line="240" w:lineRule="auto"/>
        <w:jc w:val="both"/>
        <w:rPr>
          <w:rFonts w:ascii="Times New Roman" w:hAnsi="Times New Roman"/>
          <w:color w:val="000000" w:themeColor="text1"/>
          <w:sz w:val="16"/>
          <w:szCs w:val="16"/>
        </w:rPr>
      </w:pPr>
    </w:p>
    <w:p w14:paraId="1D6622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Протокол № 21. Решения ПБ за 27 сентября - 28 сентября 1940 г.</w:t>
      </w:r>
    </w:p>
    <w:p w14:paraId="72590D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27.9.40 г.</w:t>
      </w:r>
    </w:p>
    <w:p w14:paraId="5D6FFC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 Вопрос КО. О постройке авиамотора МБ-100*.</w:t>
      </w:r>
    </w:p>
    <w:p w14:paraId="2C2724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30.9.40 г.</w:t>
      </w:r>
    </w:p>
    <w:p w14:paraId="749DC4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26. Об увеличении производства газового бензина (постановление СНК СССР и ЦК ВКП (б)).</w:t>
      </w:r>
    </w:p>
    <w:p w14:paraId="6399CF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02. 10.40 г.</w:t>
      </w:r>
    </w:p>
    <w:p w14:paraId="1EB991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 46. Об увеличении дальности истребителей и о поставке их производства на заводах (постановление СНК СССР и ЦК ВКП (б))*. </w:t>
      </w:r>
      <w:r w:rsidRPr="00A3026E">
        <w:rPr>
          <w:rFonts w:ascii="Times New Roman" w:hAnsi="Times New Roman"/>
          <w:color w:val="000000" w:themeColor="text1"/>
          <w:sz w:val="16"/>
          <w:szCs w:val="16"/>
          <w:u w:val="single"/>
        </w:rPr>
        <w:t>04. 10. 40 г.</w:t>
      </w:r>
    </w:p>
    <w:p w14:paraId="501D2E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60. Об изготовлении новых образцов вооружения для НКО (постановление СНК СССР и ЦК ВКП (б))*.</w:t>
      </w:r>
    </w:p>
    <w:p w14:paraId="0A99BA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u w:val="single"/>
        </w:rPr>
      </w:pPr>
      <w:r w:rsidRPr="00A3026E">
        <w:rPr>
          <w:rFonts w:ascii="Times New Roman" w:hAnsi="Times New Roman"/>
          <w:color w:val="000000" w:themeColor="text1"/>
          <w:sz w:val="16"/>
          <w:szCs w:val="16"/>
          <w:u w:val="single"/>
        </w:rPr>
        <w:t>08.10.40 г.</w:t>
      </w:r>
    </w:p>
    <w:p w14:paraId="4694B1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99. Об организации производства боевых самолетов и авиационных моторов на Украине (11773).</w:t>
      </w:r>
    </w:p>
    <w:p w14:paraId="516FC5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П.100. О строительстве в Ленинграде второго авиамоторного завода*.</w:t>
      </w:r>
    </w:p>
    <w:p w14:paraId="47E79A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09.10. 40 г.</w:t>
      </w:r>
    </w:p>
    <w:p w14:paraId="1B12A6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117. О самолетах И-301*.</w:t>
      </w:r>
    </w:p>
    <w:p w14:paraId="3584F4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15. 10.40 г.</w:t>
      </w:r>
    </w:p>
    <w:p w14:paraId="48A403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215. О постройке самолетов «100»*.</w:t>
      </w:r>
    </w:p>
    <w:p w14:paraId="57253A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17.10.40 г.</w:t>
      </w:r>
    </w:p>
    <w:p w14:paraId="4A4CC2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239. Об организации производства боевых самолетов в г. Ростове (постановление СНК СССРиЦКВКП(б))*.</w:t>
      </w:r>
    </w:p>
    <w:p w14:paraId="7DD368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240. Об организации производства боевых самолетов и авиационных моторов в Белоруссии (постановление СНК СССР и ЦК ВКП (б))*.</w:t>
      </w:r>
    </w:p>
    <w:p w14:paraId="3253C1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242. О производстве авиационных моторов М-105 на Горьковском авиазаводе им. Молотова*.</w:t>
      </w:r>
    </w:p>
    <w:p w14:paraId="52204E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18.10.40 г.</w:t>
      </w:r>
    </w:p>
    <w:p w14:paraId="3C7090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246. О постройке мастерских для снаряжения боевых патронов из стреляных гильз*.</w:t>
      </w:r>
    </w:p>
    <w:p w14:paraId="45630A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23.10.40 г.</w:t>
      </w:r>
    </w:p>
    <w:p w14:paraId="03A093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289. О производстве моторов М-63 и М-81 (постановление ЦК ВКП (б) и СНК СССР)*.</w:t>
      </w:r>
    </w:p>
    <w:p w14:paraId="4235A2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24.10.40 г.</w:t>
      </w:r>
    </w:p>
    <w:p w14:paraId="1EB926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301. О производстве винтовок на Подольском механическом заводе* (11773).</w:t>
      </w:r>
    </w:p>
    <w:p w14:paraId="400A07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BE01612" w14:textId="77777777" w:rsidR="00A27728" w:rsidRPr="00A3026E" w:rsidRDefault="00A27728" w:rsidP="00A3026E">
      <w:pPr>
        <w:pStyle w:val="a3"/>
        <w:rPr>
          <w:color w:val="000000" w:themeColor="text1"/>
          <w:lang w:val="ru-RU"/>
        </w:rPr>
      </w:pPr>
      <w:r w:rsidRPr="00A3026E">
        <w:rPr>
          <w:color w:val="000000" w:themeColor="text1"/>
          <w:lang w:val="ru-RU"/>
        </w:rPr>
        <w:t>27 сентября 1940 г. командование НИИ ВВС КА направило в НКАП для согласованный Военным Советом ВВС КА проект «Плана опытного строительства по самолётам, материалам и конструкциям на 1940-41 гг.», который просило рассмотреть и согласовать в кратчайшие сроки.</w:t>
      </w:r>
    </w:p>
    <w:p w14:paraId="3EBBA919" w14:textId="77777777" w:rsidR="00A27728" w:rsidRPr="00A3026E" w:rsidRDefault="00A27728" w:rsidP="00A3026E">
      <w:pPr>
        <w:pStyle w:val="a3"/>
        <w:rPr>
          <w:color w:val="000000" w:themeColor="text1"/>
          <w:lang w:val="ru-RU"/>
        </w:rPr>
      </w:pPr>
      <w:r w:rsidRPr="00A3026E">
        <w:rPr>
          <w:color w:val="000000" w:themeColor="text1"/>
          <w:lang w:val="ru-RU"/>
        </w:rPr>
        <w:t xml:space="preserve">План определял типаж самолётов, необходимых ВВС КА, в соответствии с решаемыми боевывыми. Главным фактором, обеспечивающим превосходство над самолётами вероятного противника, являлось наличие большой скорости полёта, большой дальности и потолка в сочетании с мощным вооружением и высокой живучестью. Что касается истребителей, то одним из основных требовааний к ним было постоянство максимальной скорости в диапазоне высот от 5000 до 9000 м. В свою очередь И-200 развивал максимальную скорость на высоте 7000 - 7200 м, середине требуемого диапазона высот, а практический потолок самолёта составлял 12000 м. </w:t>
      </w:r>
      <w:r w:rsidRPr="00A3026E">
        <w:rPr>
          <w:rStyle w:val="ArialNarrow5"/>
          <w:rFonts w:ascii="Times New Roman" w:eastAsia="Arial Unicode MS" w:hAnsi="Times New Roman" w:cs="Times New Roman"/>
          <w:b w:val="0"/>
          <w:color w:val="000000" w:themeColor="text1"/>
          <w:sz w:val="16"/>
          <w:szCs w:val="16"/>
          <w:lang w:val="ru-RU"/>
        </w:rPr>
        <w:t>В</w:t>
      </w:r>
      <w:r w:rsidRPr="00A3026E">
        <w:rPr>
          <w:color w:val="000000" w:themeColor="text1"/>
          <w:lang w:val="ru-RU"/>
        </w:rPr>
        <w:t xml:space="preserve"> дальнейшем, после пересчёта результатов испытаний по более совершенной методике скорость И-200 была признана равной 636 км/ч на высоте 7600 м (15976).</w:t>
      </w:r>
    </w:p>
    <w:p w14:paraId="405307E3" w14:textId="77777777" w:rsidR="00A27728" w:rsidRPr="00A3026E" w:rsidRDefault="00A27728" w:rsidP="00A3026E">
      <w:pPr>
        <w:pStyle w:val="a3"/>
        <w:rPr>
          <w:color w:val="000000" w:themeColor="text1"/>
          <w:lang w:val="ru-RU"/>
        </w:rPr>
      </w:pPr>
    </w:p>
    <w:p w14:paraId="4C6267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 27 сентября по 12 октября 1940 года проходили полигонные испытания осколочных авиабомб АО-10 ст. чугуна, снаряженных смесью К-2 (ТНТ+ДНН 80/20) футлярным методом, с приварными и привинтными стабилизаторами завода № 12 1940 года</w:t>
      </w:r>
    </w:p>
    <w:p w14:paraId="761E2A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 в/инженер 3 ранга Смирнов</w:t>
      </w:r>
    </w:p>
    <w:p w14:paraId="7E563C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4D4F74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имели целью определить:</w:t>
      </w:r>
    </w:p>
    <w:p w14:paraId="7C35FAF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Осколочное действие бомб.</w:t>
      </w:r>
    </w:p>
    <w:p w14:paraId="3DEAB29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Безотказность действия.</w:t>
      </w:r>
    </w:p>
    <w:p w14:paraId="6FD266A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бомб в полете.</w:t>
      </w:r>
    </w:p>
    <w:p w14:paraId="75B820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3C4C69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 АО-10 ст. чугуна, снаряженные смесью К-2 (ТНТ+ДНН 80/20) футлярным методом, завода № 12 1940 года черт. 3-0775 показали неудовлетворительные результаты по устойчивости в полете (АО-10 с приварным стабилизатором – 6,3% неустойчивых и с привинтным стабилизатором – 10% неустойчивых) и полигонные испытания не выдержали (7547).</w:t>
      </w:r>
    </w:p>
    <w:p w14:paraId="1F02755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C5BEA63" w14:textId="77777777" w:rsidR="00A27728"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D3BADC2" w14:textId="77777777" w:rsidR="00A27728" w:rsidRPr="00A3026E" w:rsidRDefault="00A27728" w:rsidP="00A3026E">
      <w:pPr>
        <w:spacing w:after="0" w:line="240" w:lineRule="auto"/>
        <w:jc w:val="both"/>
        <w:rPr>
          <w:rFonts w:ascii="Times New Roman" w:hAnsi="Times New Roman"/>
          <w:iCs/>
          <w:color w:val="000000" w:themeColor="text1"/>
          <w:sz w:val="16"/>
          <w:szCs w:val="16"/>
        </w:rPr>
      </w:pPr>
    </w:p>
    <w:p w14:paraId="6585C47D"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г. Из приказа Наркомстроя СССР М 224 Н о вводе в эксплуатацию доменной печи на заводе «Азовсталь»[12]</w:t>
      </w:r>
    </w:p>
    <w:p w14:paraId="57CFE785"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Коллектив строителей и монтажников трестов Южтяжстрой, Южспецстрой, Южэлектромонтаж и Союзэкскавация успешно закончили работы по строительству, монтажу и вводу в эксплуатацию доменной печи № 4 завода «Азовсталь».</w:t>
      </w:r>
    </w:p>
    <w:p w14:paraId="5DF1B9AC"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Пуск доменной печи является победой коллектива строителей и монтажников, достигнутой в результате применения индустриальных методов строительства и развертывания социалистического соревнования.</w:t>
      </w:r>
    </w:p>
    <w:p w14:paraId="1D6CEBF4"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успешную работу по строительству, монтажу и вводу в эксплуатацию доменной печи № 4 приказываю:</w:t>
      </w:r>
    </w:p>
    <w:p w14:paraId="76A4BBC4"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w:t>
      </w:r>
    </w:p>
    <w:p w14:paraId="28C43D06"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Объявить благодарность коллективу рабочих, инженерно-технических работников и служащих, принимавшему участие в строительстве и монтаже домны № 4.</w:t>
      </w:r>
    </w:p>
    <w:p w14:paraId="0B65DB89"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по строительству</w:t>
      </w:r>
    </w:p>
    <w:p w14:paraId="5DA3CDC4"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Гинзбург</w:t>
      </w:r>
    </w:p>
    <w:p w14:paraId="7019BE7A"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ЦГАНХ СССР, ф. 8590, on. 2, д. 48, л. 40. Типогр.экз. (15734).</w:t>
      </w:r>
    </w:p>
    <w:p w14:paraId="26AD4C34" w14:textId="77777777" w:rsidR="00A27728" w:rsidRPr="00A3026E" w:rsidRDefault="00A27728" w:rsidP="00A3026E">
      <w:pPr>
        <w:spacing w:after="0" w:line="240" w:lineRule="auto"/>
        <w:jc w:val="both"/>
        <w:rPr>
          <w:rFonts w:ascii="Times New Roman" w:hAnsi="Times New Roman"/>
          <w:color w:val="000000" w:themeColor="text1"/>
          <w:sz w:val="16"/>
          <w:szCs w:val="16"/>
        </w:rPr>
      </w:pPr>
    </w:p>
    <w:p w14:paraId="6151205C"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00534F7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71CBD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г. вышел приказ НКО О результатах инспектирования Западного особого военного округа (Директива НКО СССР) № 15119-с.</w:t>
      </w:r>
    </w:p>
    <w:p w14:paraId="44AF3F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период 28.8 — 7.9 с. г. я инспектировал в присутствии Военного совета и высшего командования округа, начальников главных управлений и генерал-инспекторов Красной Армии боевую подготовку частей вашего округа.</w:t>
      </w:r>
    </w:p>
    <w:p w14:paraId="122A03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Задачами инспектирования, помимо поверки вопросов боевой подготовки, указанных в моей директиве № 254/ш от 25.7.40 г., прежде всего ставил:</w:t>
      </w:r>
    </w:p>
    <w:p w14:paraId="70CE7D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Определить и лично убедиться — произошел ли в системе подготовки и воспитания Красной Армии решительный перелом в сторону приближения их к боевой действительности, к боевым требованиям и к конкретным формам обучения, в соответствии приказа моего № 120.</w:t>
      </w:r>
    </w:p>
    <w:p w14:paraId="3CBB90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Лично дать практические указания и пример всем звеньям командования, всем штабам и органам, ведающим боевой подготовкой, как нужно конкретно руководить и работать над вопросами боевого обучения армии, независимо от своего ранга и занимаемого положения.</w:t>
      </w:r>
    </w:p>
    <w:p w14:paraId="029B10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Проверить правильность установленной мною на основе опыта последних войн системы боевой подготовки армии, где главным стержнем является боевая выучка и сколачивание мелких подразделений и частей — взвода, роты, батальона и полка.</w:t>
      </w:r>
    </w:p>
    <w:p w14:paraId="11D39E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этих задач, и каждой проверявшейся дивизии инспектирование проводилось путем многодневных учений в масштабе батальон — полк, по основным видам современного боя — наступление и оборона. В процессе таких учений можно было полностью охватить небольшим аппаратом инспектирующего весь комплекс подготовки бойца, подразделения, части и их командования до полка включительно.</w:t>
      </w:r>
    </w:p>
    <w:p w14:paraId="7E6791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 проведенных учений подтвердил полностью целесообразность такого метода инспектирования, как богатой школы для проверявшихся частей.</w:t>
      </w:r>
    </w:p>
    <w:p w14:paraId="66475B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многодневном учении, затрагивающем почти всю сумму вопросов современного боя, бойцы, командиры, подразделения и части в целом под квалифицированным руководством совершенствовали и отшлифовывали свою боевую выучку и тренировались в перенесении всех тягот боевой службы.</w:t>
      </w:r>
    </w:p>
    <w:p w14:paraId="5A9343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проверки вождения крупных соединений (дивизия, корпус) был применен метод штабных выходов в поле без войск. Штабные учения и плюс войсковые учения в масштабе батальон — полк дали полную возможность исчерпывающе проверить подготовку таких крупных современных общевойсковых соединений, как дивизия и корпус. Полностью подтверждается правильность основной линии в подготовке войск, данной мной в приказе № 120, где определено главным — отличная подготовка бойца, командира, подразделения и части до полка включительно. При наличии отлично подготовленного батальона и полка сколачивание высших соединений (дивизия, корпус) является делом несложным и может быть достигнуто в основном путем хорошей тренировки штабов на выходах в поле со средствами связи.</w:t>
      </w:r>
    </w:p>
    <w:p w14:paraId="5E9048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Западном особом военном округе мною было проверено: три стрелковых дивизии (42, 13 и 6), один стрелковый (436) полк 155 сд, одно управление (1) стрелкового корпуса, два управления (2 и 27) стрелковых дивизий, одно управление (4) мехкорпуса, одно управление (4) танковой дивизии, одно управление (29) моторизованной дивизии, два управления (9 и 10) авиационных дивизий.</w:t>
      </w:r>
    </w:p>
    <w:p w14:paraId="6046DE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проведенных смотровых учений в указанных частях установил:</w:t>
      </w:r>
    </w:p>
    <w:p w14:paraId="19E527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Полной перестройки всей работы по боевой подготовке войск в соответствии с требованиями моего приказа № 120 в частях Западного особого военного округа еще не произошло.</w:t>
      </w:r>
    </w:p>
    <w:p w14:paraId="072C8E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смотра показали, что вопросы отработки отлично действующего на поле боя одиночного бойца и хорошо слаженных, гибких и прекрасно маневрирующих в современном бою мелких подразделений до сих пор не стоят в центре внимания руководства боевой подготовкой во всех звеньях командования.</w:t>
      </w:r>
    </w:p>
    <w:p w14:paraId="536817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Командиры дивизий, корпусов, командующие армиями и их штабы непосредственно не включились в прямую работу по обучению низших подразделений (роты, батальоны) и частей. Количество проведенных ими лично занятий с батальоном, не говоря уже о роте, невелико, причем эти учения по-прежнему проводятся накоротке, без учета природы современного боя, с большим отступлением от.выполнения всей суммы действий бойца в бою, без надлежащей закалки и без физической тренировки. Забывается старая суворовская истина: «Тяжело в учении, легко в бою».</w:t>
      </w:r>
    </w:p>
    <w:p w14:paraId="5B4DA9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подготовке бойца и мелких подразделений продолжают иметь место старый схематизм, послабления и низкая требовательность. Полного перелома в их обучении и воспитании не достигнуто потому, что старшие начальники недостаточно прониклись новыми требованиями в деле руководства боевой подготовкой и лично мало принимают участия в этом деле.</w:t>
      </w:r>
    </w:p>
    <w:p w14:paraId="4D6509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Все проверенные части с одинаковым упорством и напряжением, хотя и с разным искусством, добивались выполнения поставленных перед ними боевых задач.</w:t>
      </w:r>
    </w:p>
    <w:p w14:paraId="382F15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Наибольшие сдвиги в боевой подготовке показали части 42 сд и 172 сп 13 сд; в худшую сторону во всех отношениях выделялись на учениях части 6 сд.</w:t>
      </w:r>
    </w:p>
    <w:p w14:paraId="015393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Из тактических вопросов во всех проверенных частях (особенно в 172 сп 13 сд) лучше усвоены действия в обороне, хуже, а в некоторых частях даже совсем плохо, — действия в наступлении (119 сп 13 сд и 125 сп 6 сд).</w:t>
      </w:r>
    </w:p>
    <w:p w14:paraId="7E52A7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Организации и обороне предполья впервые уделено большое внимание. Этот вид боя, требующий особого искусства и затраты немалого труда, в отдельных частях проработан неплохо. Следует отметить удачные действия в предполье 172 сп 13 сд.</w:t>
      </w:r>
    </w:p>
    <w:p w14:paraId="43DFA6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Саперные части, работавшие по оборудованию предполья, во всех случаях заслуживают положительную оценку. Командиры саперных частей не всегда удачно сочетали искусственные препятствия с местными, например, строили проволочные заграждения там, где можно было обойтись завалами, или делали завалы, но не минировали их.</w:t>
      </w:r>
    </w:p>
    <w:p w14:paraId="760ABB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Оборудование предполья не носит еще законченного характера. Обычно заграждения группируются на двух-трех рубежах, а в промежутках между рубежами и перед передним краем ничего не делается. Старшие начальники, организующие борьбу в предполье, недопонимают, что предполье выполнит свое назначение только тогда, когда заграждения развиты на большую глубину, и что поэтому нужно заградить (минировать, взрывать мосты, закладывать фугасы) все дороги между рубежами, нужно сгущать заграждения по мере приближения к переднему краю, перед которым они достигают наибольшей плотности.</w:t>
      </w:r>
    </w:p>
    <w:p w14:paraId="14BB96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Расположение батальона в обороне на главной оборонительной полосе и оборудование батальонного района обороны во всех проверенных частях отработаны удовлетворительно. Выбор переднего края, расположение огневых точек, отрывка окопов везде делается более или менее правильно, хотя в некоторых частях 6 сд наблюдается стремление выносить расположение обороны на высоты и резко выдающиеся бугры, являющиеся хорошей мишенью для артиллерии.</w:t>
      </w:r>
    </w:p>
    <w:p w14:paraId="7B7FD4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Маскировка оборонительных сооружений, за небольшими исключениями (172 сп 13 сд), — плохая.</w:t>
      </w:r>
    </w:p>
    <w:p w14:paraId="71F945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Система пехотного и артиллерийского огня обороны обычно мало увязывается с системой препятствий, часто препятствия не прикрываются огнем.</w:t>
      </w:r>
    </w:p>
    <w:p w14:paraId="02EF58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Оборонительные работы не доводятся до конца: оборонительные сооружения при наличии времени не развиваются и не совершенствуются. Особенно плохо окапываются минометы, противотанковые и полковые орудия.</w:t>
      </w:r>
    </w:p>
    <w:p w14:paraId="3320D5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всех проверенных частей наибольшее искусство в оборудовании обороны показал 172 сп 13 сд.</w:t>
      </w:r>
    </w:p>
    <w:p w14:paraId="0DB998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Наступление как в предполье, так и на главную полосу обороны во всех частях усвоено значительно хуже, чем оборона. Полную беспомощность в наступлении показал 125 сп 6 сд, плохо также наступал 119 сп 13 сд.</w:t>
      </w:r>
    </w:p>
    <w:p w14:paraId="24143C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Боевые порядки в наступательном бою совершенно не отработаны. Наблюдается большая скученность и беспорядочность в движении пехоты, часто последняя наступает толпой; станковые пулеметы двигаются в передовых линиях пехоты, беспрерывно меняют позиции и фактически не поддерживают ее своим огнем; противотанковые орудия и отдельные орудия сопровождения, перекатываемые вручную, отстают от пехоты; управление с началом наступления теряется, взаимодействие боевых порядков пехоты с поддерживающими их средствами нарушается.</w:t>
      </w:r>
    </w:p>
    <w:p w14:paraId="375951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Старшие начальники еще плохо научились организовывать наступательный бой. Организация взаимодействия войск ведется обычно в штабах, а не на местности и занимает много времени; все вопросы, требующие согласования, не охватываются; часто решение вопросов взаимодействия перекладывается на второстепенных начальников (начальник оперативного отдела штаба, начарт).</w:t>
      </w:r>
    </w:p>
    <w:p w14:paraId="788A10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Управление в звене взвод — рота — батальон не отработано.</w:t>
      </w:r>
    </w:p>
    <w:p w14:paraId="63AB54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Командиры не умеют выбирать себе место для командного пункта: обычно располагаются в пределах линий боевого порядка, лишая себя возможности наблюдать за всем боевым порядком и подвергаясь опасности поражения при первом же огне противника.</w:t>
      </w:r>
    </w:p>
    <w:p w14:paraId="3EC790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Применяемые способы управления примитивны. Сигнализация не практикуется, да и средств сигнализации в войсках мало и они очень однообразны. Служба связных не налажена, и пользоваться ею не умеют.</w:t>
      </w:r>
    </w:p>
    <w:p w14:paraId="08F09A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Разведка ведется плохо, части действуют вслепую.</w:t>
      </w:r>
    </w:p>
    <w:p w14:paraId="116CA4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правило, наступающие боевые порядки не имеют впереди себя органов боевой разведки (разведдозоров) и охраняющих подразделений.</w:t>
      </w:r>
    </w:p>
    <w:p w14:paraId="0FF038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Наблюдение за флангами и охрана флангов отсутствуют, благодаря чему боевые порядки очень чувствительны к флангам.</w:t>
      </w:r>
    </w:p>
    <w:p w14:paraId="0DBC99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Артиллерийские части, участвовавшие в учениях, показали в целом неплохую подготовку к производству сложных стрельб. Исключение составляли 131 лап 6 сд, 5 и 9 батареи 108 лап 42 сд, оказавшиеся не подготовленными к выполнению боевых задач.</w:t>
      </w:r>
    </w:p>
    <w:p w14:paraId="1754CA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тактической подготовке артиллерии наблюдались следующие недочеты:</w:t>
      </w:r>
    </w:p>
    <w:p w14:paraId="2AD618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плохо организуется передовое артиллерийское наблюдение;</w:t>
      </w:r>
    </w:p>
    <w:p w14:paraId="7275B5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артиллерийские командиры не держат связи с пехотой, часто не знали, кого они поддерживают и где расположены пехотные подразделения.</w:t>
      </w:r>
    </w:p>
    <w:p w14:paraId="28CD07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Привлекавшиеся на учения танки действовали неплохо (165 тб), но при атаке отрывались от пехоты, увлекаясь решением дальних задач.</w:t>
      </w:r>
    </w:p>
    <w:p w14:paraId="5C9D7F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Авиационные части, привлеченные к учениям с пехотой, работали неудовлетворительно: частыми были случаи пикирования по своим войскам; взаимодействие с наземными частями не отработано; летно-техническая подготовка невысокая.</w:t>
      </w:r>
    </w:p>
    <w:p w14:paraId="212473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Удачное бомбардирование оборонительной полосы 13 спб на учениях 13-й дивизии было обусловлено предварительной многократной тренировкой.</w:t>
      </w:r>
    </w:p>
    <w:p w14:paraId="0E804D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Пехота с своей стороны показала неумение взаимодействовать с авиацией; пехотные подразделения не научены даже пользоваться полотнищами для обозначения своих боевых порядков.</w:t>
      </w:r>
    </w:p>
    <w:p w14:paraId="6B1A97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Подготовка проверенных мною на штабном учении и в процессе занятий с войсками штабов дивизий и корпусов требует дальнейшей упорной работы по их совершенствованию.</w:t>
      </w:r>
    </w:p>
    <w:p w14:paraId="763472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Особенно слабо сколочены недавно сформированные штабы 6-го мехкорпуса, 4-й танковой дивизии, 9-й и 10-й авиационных дивизий.</w:t>
      </w:r>
    </w:p>
    <w:p w14:paraId="552161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Командиры соединений и вышестоящие начальники еще мало уделяют внимания и мало занимаются подготовкой и сколачиванием своих штабов.</w:t>
      </w:r>
    </w:p>
    <w:p w14:paraId="7C94D4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Количество проведенных за лето учений со штабами невелико.</w:t>
      </w:r>
    </w:p>
    <w:p w14:paraId="74A3C6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Части связи технически небрежно и безграмотно наводят проволочные линии, благодаря чему имеют место постоянные нарушения связи.</w:t>
      </w:r>
    </w:p>
    <w:p w14:paraId="4A0EB0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Радиосвязь по-прежнему часто отказывает, радиосети работают с большими перебоями.</w:t>
      </w:r>
    </w:p>
    <w:p w14:paraId="30987B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связи в дивизиях и корпусах не умеют организовывать связь и планировать использование средств связи.</w:t>
      </w:r>
    </w:p>
    <w:p w14:paraId="64C79D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Понтонные части работают еще плохо. Мосты наводят очень медленно, затрачивая времени в три-четыре раза больше установленных норм.</w:t>
      </w:r>
    </w:p>
    <w:p w14:paraId="58E469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Вопросы форсирования речных преград до сих пор остаются неотработанными. Учение 42 сд показало, что войска еще не научились преодолевать речные рубежи, а командиры не усвоили, что успех форсирования реки зависит от организации и подготовки переправы. Дивизия не умеет выбирать пунктов переправ, организовывать разведку и быстро наводить мосты. Не лучше обстоит дело с форсированием рек и в других дивизиях.</w:t>
      </w:r>
    </w:p>
    <w:p w14:paraId="4DB559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Приказываю:</w:t>
      </w:r>
    </w:p>
    <w:p w14:paraId="4144A6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Совершить коренной перелом во всей системе боевой подготовки войск, перенеся боевую выучку одиночного бойца, подразделения и части на местность, в поле, в условия, близкие к боевым.</w:t>
      </w:r>
    </w:p>
    <w:p w14:paraId="01A836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Высшему командованию вплотную подойти к боевой выучке мелких подразделений путем личной организации и проведения поучительных занятий на опыте проведенных мною учений.</w:t>
      </w:r>
    </w:p>
    <w:p w14:paraId="2D3D26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Установить строгий контроль над организацией и проведением занятий по боевой подготовке в частях. Обнаруженные недочеты и отступления от моих указаний по этому вопросу немедленно устранять.</w:t>
      </w:r>
    </w:p>
    <w:p w14:paraId="1DFEB9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Боевую подготовку войск обеспечить материально по линии своих довольствующих отделов.</w:t>
      </w:r>
    </w:p>
    <w:p w14:paraId="501DCF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 принятых мерах донести 5.10.40 г.</w:t>
      </w:r>
    </w:p>
    <w:p w14:paraId="22A2CC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СССР Маршал Советского Союза С. Тимошенко (10608).</w:t>
      </w:r>
    </w:p>
    <w:p w14:paraId="5A81B66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400F8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5DA13E2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DDB60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заключен Тройственный пакт между Германией, Италией и Японией (4962).</w:t>
      </w:r>
    </w:p>
    <w:p w14:paraId="3403774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404B059"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27 September 1940 Japan signs a pact for aid to the Axis powers should America enter the war (270).</w:t>
      </w:r>
    </w:p>
    <w:p w14:paraId="42EE04F9"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404198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Япония подписала пакт о помощи странам оси в случае вступления в войну США (270).</w:t>
      </w:r>
    </w:p>
    <w:p w14:paraId="2F8825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был подписан трехсторонний договор (1103,226;1223).</w:t>
      </w:r>
    </w:p>
    <w:p w14:paraId="150482D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91CE3AC"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September 27 1940 German-Italian-Japanese 10-year military-economic alliance pact signed at Berlin (1223).</w:t>
      </w:r>
    </w:p>
    <w:p w14:paraId="14572EB4"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6FA774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в Берлине было подписано 10 летнее соглашение о военно-экономическом сотрудничестве между Германией, Японией и Италией (1223).</w:t>
      </w:r>
    </w:p>
    <w:p w14:paraId="062C31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Германия, Италия и Япония подписали в Берлине тройственный договор (512,10).</w:t>
      </w:r>
    </w:p>
    <w:p w14:paraId="6884478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5BA19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г. в Берлине сроком на 10 лет был подписан Тройственный пакт Германии, Италии и Японии, предусматривавший всестороннюю взаимную поддержку стран-участниц в случае, если одна из них окажется в состоянии конфликта с третьей державой, не участвовавшей в момент подписания в европейской войне или японо-китайском конфликте. То есть Япония не была обязана немедленно вступать в войну против Британии, но Германия и Италия обязывались поддержать Японию в случае ее войны с США. Кроме того, Берлин и Рим признали "руководство" Японии в деле установления "нового порядка" в "великом восточно-азиатском пространстве", что означало отказ Германии от претензий на колониальные владения побежденных ею Франции (Индокитай) и Голландии (Индонезия). За это Япония согласилась на включение в договор ст. 5, особо оговаривавшей, новый союз не был направлен против СССР. Кроме того, - чисто формально - Токио зафиксировал свое признание гегемонии Германии и Италии в Европе.</w:t>
      </w:r>
    </w:p>
    <w:p w14:paraId="3F6F75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Сообщение о военном союзе Германии, Италии и Японии поступило на фоне информации о готовящейся высадке германских войск в портах Финляндии с целью их передислокации железнодорожным путем в Норвегию через финскую территорию. По дипломатическим каналом Берлин в общем виде также информировал Москву о готовящейся акции за несколько дней до ее начала. Но и в этом случае советской стороне было отказано в просьбе ознакомить ее с текстом соответствующего германо-финляндского соглашения от 22 сентября 1940 г. Переброска германских войск в Норвегию через Финляндию могла быть объяснена военной необходимостью, вытекавшей из-за стремления Германии сохранить контроль над северной частью норвежского побережья, вблизи которого действовал британский флот. Но не вызывали сомнения и антисоветские настроения правительства Финляндии, которое оказывалось теперь уже и формально включенным в партнерство с Германией (3871).</w:t>
      </w:r>
    </w:p>
    <w:p w14:paraId="31FD3FB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B834B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 сентября 1940 г. в Берлине был подписан "Тройственный пакт". Германия и Италия признали сферу влияния Японии в Восточной Азии так, как ее очертания были очерчены в августовском заявлении правительства Коноэ. Более того, к сфере интересов Японии была отнесена так же Новая Каледония. Было оговорено и то, что со </w:t>
      </w:r>
      <w:r w:rsidRPr="00A3026E">
        <w:rPr>
          <w:rFonts w:ascii="Times New Roman" w:hAnsi="Times New Roman"/>
          <w:color w:val="000000" w:themeColor="text1"/>
          <w:sz w:val="16"/>
          <w:szCs w:val="16"/>
        </w:rPr>
        <w:lastRenderedPageBreak/>
        <w:t>временем доминирование Японии распространится на Австралию и Новую Зеландию. Вопрос о бывших германских владениях в Микронезии, находившихся под японским мандатом, специально не оговаривался. По сути дела, Германия отказалась от постановки вопроса об их возвращении. Задачей Берлина было побудить Японию скорее напасть на восточно-азиатские колонии Британии, а собственные колониальные устремления Германии были ориентированы скорее на бывшие германские владения в Африке (3871).</w:t>
      </w:r>
    </w:p>
    <w:p w14:paraId="56F7CB7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B44F4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для французских евреев введены специальные документы (4962).</w:t>
      </w:r>
    </w:p>
    <w:p w14:paraId="1F6BCBB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5732C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войска Великобритании и Свободной Франции пытались занять столицу Сенегала Дакар, колонию сохранившую верность вишистскому правительству, но были вынуждены отступить (3481).</w:t>
      </w:r>
    </w:p>
    <w:p w14:paraId="2E76A93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9465B67"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в 1940 году войска Великобритании и Свободной Франции предпринимают попытку занять Дакар, столицу Сенегала (французская колония, сохранившая лояльность правительству вишистской Франции), но вынуждены отступить (14782).</w:t>
      </w:r>
    </w:p>
    <w:p w14:paraId="3B2D4FA4" w14:textId="77777777" w:rsidR="00A27728" w:rsidRPr="00A3026E" w:rsidRDefault="00A27728" w:rsidP="00A3026E">
      <w:pPr>
        <w:spacing w:after="0" w:line="240" w:lineRule="auto"/>
        <w:jc w:val="both"/>
        <w:rPr>
          <w:rFonts w:ascii="Times New Roman" w:hAnsi="Times New Roman"/>
          <w:color w:val="000000" w:themeColor="text1"/>
          <w:sz w:val="16"/>
          <w:szCs w:val="16"/>
        </w:rPr>
      </w:pPr>
    </w:p>
    <w:p w14:paraId="54551C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черные лидеры протестовали против дискриминации в армии США (3481).</w:t>
      </w:r>
    </w:p>
    <w:p w14:paraId="6034014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6217D9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DDB2B2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C1313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сентября 1940 года закончились гос. испытания лобовых жалюзи конструкции завода № 126 для регулировки температурного режима винто-моторной группы на самолете ДБ-3Б 2М-87 с винтом ВИШ-3, которые проходили с 16 сентября 1940</w:t>
      </w:r>
    </w:p>
    <w:p w14:paraId="72EDF4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2DDA1A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по испытанию – в\инженер 1 ранга Платонов</w:t>
      </w:r>
    </w:p>
    <w:p w14:paraId="233DBB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по испытан. Летчик майор Нюхтиков</w:t>
      </w:r>
    </w:p>
    <w:p w14:paraId="1245A2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1468921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эффективность регулировки температурного режима ВМГ при помощи лобовых жалюзи конструкции завода № 126 во всех видах полетов самолета ДБ-3Б 2М-87Б.</w:t>
      </w:r>
    </w:p>
    <w:p w14:paraId="0AB9639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прочность и эксплуатационные качества лобовых жалюзи конструкции завода № 126 на самолете ДБ-3Б 2М87Б.</w:t>
      </w:r>
    </w:p>
    <w:p w14:paraId="052F16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года заводом № 39 предъявлены НИИ ВВС на испытания лобовые жалюзи конструкции завода № 126 для регулировки в полете температурного режима цилиндров мотора на самолете Дб-3Б 2М-87Б, капоты типа «Б».</w:t>
      </w:r>
    </w:p>
    <w:p w14:paraId="7A862E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Лобовые жалюзи проходили испытания с 17 сентября по 28 сентября. Всего 12 дней. Из них летные испытания – 2 дня.</w:t>
      </w:r>
    </w:p>
    <w:p w14:paraId="08B50E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50862A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Рекомендовать лобовые жалюзи конструкции завода № 126 для установки их на самолеты ДБ-3Б 2М87 с ВИШ-3 как обеспечивающие эксплуатацию самолетов при температуре наружного воздуха на земле + 10 градусов С и ниже и допускающие легкую установку их на самолеты в полевых условиях.</w:t>
      </w:r>
    </w:p>
    <w:p w14:paraId="4DBD216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заводы №№ 18, 39 и 126 установить лобовые капотные жалюзи конструкции завода № 126 на все ранее выпущенные и выпускаемые самолеты ДБ-3Б 2М87 с винтом ВИШ-3 (4395).</w:t>
      </w:r>
    </w:p>
    <w:p w14:paraId="6BB7D8A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06FFE6F3" w14:textId="77777777" w:rsidR="00C66762" w:rsidRPr="00A3026E" w:rsidRDefault="00C66762" w:rsidP="00A3026E">
      <w:pPr>
        <w:pStyle w:val="22"/>
        <w:widowControl/>
        <w:rPr>
          <w:color w:val="000000" w:themeColor="text1"/>
        </w:rPr>
      </w:pPr>
      <w:r w:rsidRPr="00A3026E">
        <w:rPr>
          <w:color w:val="000000" w:themeColor="text1"/>
        </w:rPr>
        <w:t>28 сентября 1940 года в/инженер 1 ранга Михно писал письмо зам. начальника вооружения и снабжения ГУ ВВС дивинженеру Сакриеру</w:t>
      </w:r>
    </w:p>
    <w:p w14:paraId="224BAF0D" w14:textId="77777777" w:rsidR="00C66762" w:rsidRPr="00A3026E" w:rsidRDefault="00C66762" w:rsidP="00A3026E">
      <w:pPr>
        <w:pStyle w:val="22"/>
        <w:widowControl/>
        <w:rPr>
          <w:color w:val="000000" w:themeColor="text1"/>
        </w:rPr>
      </w:pPr>
      <w:r w:rsidRPr="00A3026E">
        <w:rPr>
          <w:color w:val="000000" w:themeColor="text1"/>
        </w:rPr>
        <w:t>Докладываю о ходе войсковых испытаний самолетов И-153 с 20 мм синхронными пушками ШВАК:</w:t>
      </w:r>
    </w:p>
    <w:p w14:paraId="4C8757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сентября 1940 в Контрольном листе учета выполнения постановления КО СНК СССР № 111сс от 4 марта 1940 г. представителем КО СНК СССР - контролером Вахрушевым была сделана запись:</w:t>
      </w:r>
    </w:p>
    <w:p w14:paraId="7F2517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с М-107</w:t>
      </w:r>
    </w:p>
    <w:p w14:paraId="4D0727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находится в производстве. Ожидается окончание постройки самолета к 10 октября 1940 (10395,38).</w:t>
      </w:r>
    </w:p>
    <w:p w14:paraId="267B328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F4D32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сентября 1940 в Контрольном листе учета выполнения постановления КО СНК СССР № 114сс от 4 марта 1940 г. представителем КО СНК СССР - контролером Вахрушевым была сделана запись:</w:t>
      </w:r>
    </w:p>
    <w:p w14:paraId="2F99A4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И-207 М-65Р</w:t>
      </w:r>
    </w:p>
    <w:p w14:paraId="34578B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предъявления на госиспытания сорван из-за отсутствия мотора М-65Р.</w:t>
      </w:r>
    </w:p>
    <w:p w14:paraId="1D9D1F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сентября 1940 для И-207 был получен мотор М-63, который будет временно поставлен на самолет (10395,42).</w:t>
      </w:r>
    </w:p>
    <w:p w14:paraId="2FDDEED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0203C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сентября сборка и нивеллировка самолета И-207/3 М-63 – гл. конструкторы Флоров, Боровков, Завод № 207, были закончены. С 30 сентября 1940 года по 3 октября 1940 года на самолете произведены работы, предусмотренные программой испытаний.</w:t>
      </w:r>
    </w:p>
    <w:p w14:paraId="1FB4E3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года произведено 2 полета: пробный и с корпусами 100 кг бомб для определения поведения самолета с бомбовой подвеской. В результатах полета выявлено:</w:t>
      </w:r>
    </w:p>
    <w:p w14:paraId="797D2E4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Бомбовая подвеска вредного влияния на устойчивость, управляемость и взлетно-посадочные свойства самолета не оказывает.</w:t>
      </w:r>
    </w:p>
    <w:p w14:paraId="5266868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Установленные на самолете нестандартные бомбовые замки имеют крупноконструктивный дефект. Замки сняты и отправлены на завод № 207 для изменения.</w:t>
      </w:r>
    </w:p>
    <w:p w14:paraId="4243F6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 произведен полет с 100 кг бомбами для бомбометания с пикирования под углом 45 градусов. Полет прошел нормально. Всего за время заводских испытаний произведено 3 полета общей продолжительностью 3 часа 30 минут (3377, 26).</w:t>
      </w:r>
    </w:p>
    <w:p w14:paraId="445D504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ADDA6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сентября 1940 на АНТ-44 бис И.М.Сухомлиным и И.Козыркиным на АНТ-44 бис был установлен рекорд скорости 277 км/час с нагрузкой 1000 кг на дистанции 1000 км (4,139).</w:t>
      </w:r>
    </w:p>
    <w:p w14:paraId="344F665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515828C"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28 сентября </w:t>
      </w:r>
      <w:r w:rsidRPr="00A3026E">
        <w:rPr>
          <w:rFonts w:ascii="Times New Roman" w:hAnsi="Times New Roman"/>
          <w:color w:val="000000" w:themeColor="text1"/>
          <w:sz w:val="16"/>
          <w:szCs w:val="16"/>
        </w:rPr>
        <w:t>в 1940 году мировой рекорд скорости на участке 1000 км с полезной нагрузкой 1000 кг - 277,456 км/ч, И.Сухомлин, И.Козыркин на самолете-амфибии «АНТ-44» (14783).</w:t>
      </w:r>
    </w:p>
    <w:p w14:paraId="053E337E" w14:textId="77777777" w:rsidR="00A27728" w:rsidRPr="00A3026E" w:rsidRDefault="00A27728" w:rsidP="00A3026E">
      <w:pPr>
        <w:spacing w:after="0" w:line="240" w:lineRule="auto"/>
        <w:jc w:val="both"/>
        <w:rPr>
          <w:rFonts w:ascii="Times New Roman" w:hAnsi="Times New Roman"/>
          <w:color w:val="000000" w:themeColor="text1"/>
          <w:sz w:val="16"/>
          <w:szCs w:val="16"/>
        </w:rPr>
      </w:pPr>
    </w:p>
    <w:p w14:paraId="3E4A1B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сентября и 7 октября 1940 г. экипаж Су хомлина, в составе которого находились бортинженер Козыркин, штурман Г.Ивановский, борттехник А. Фатахутдинов, установил рекорды скорости на дистанции 1000 км - 277,4 км/ч с грузом 1000 кг и 241.9 км/ч с грузом 2000 кг. Известно, что эти достижения были утверждены в качестве национальных рекордов, с последующим ходатайством об утверждении их в качестве международных достижений (11962).</w:t>
      </w:r>
    </w:p>
    <w:p w14:paraId="3C0256B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0C630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сентября 1940 в Контрольном листе учета выполнения постановления КО СНК СССР № 120сс от 4 марта 1940 г. представителем КО СНК СССР - контролером Вахрушевым была сделана запись:</w:t>
      </w:r>
    </w:p>
    <w:p w14:paraId="0E4566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Автожир Камова</w:t>
      </w:r>
    </w:p>
    <w:p w14:paraId="176757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Эскизный проект закончен. Макет автожира находится в производстве (10395,79).</w:t>
      </w:r>
    </w:p>
    <w:p w14:paraId="729F739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16068D9"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28 сентября 1940 г.</w:t>
      </w:r>
    </w:p>
    <w:p w14:paraId="5AA31E34"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Народному комиссару внешней торговли СССР тов. Микояну А.И.</w:t>
      </w:r>
    </w:p>
    <w:p w14:paraId="3ECA94C5"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фирмой «Райт» 6 июля 1939 года заключен договор на получение техпомощи по авиационным моторам типа GR-1820 и GR-2600.</w:t>
      </w:r>
    </w:p>
    <w:p w14:paraId="7CBA2846"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Исполнение договора по мотору GR-1820 находится в следующем состоянии:</w:t>
      </w:r>
    </w:p>
    <w:p w14:paraId="0CA7F60D"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Получены все конструктивные чертежи по серии G-100 этого типа мотора. Получены все материалы по технологии производства этой же серии.</w:t>
      </w:r>
    </w:p>
    <w:p w14:paraId="22970480"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серии G-200 того же типа мотора не получены ни чертежи, ни материалы по технологии производства ввиду отсутствия разрешения американского правительства.</w:t>
      </w:r>
    </w:p>
    <w:p w14:paraId="169469AF"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Фирмой изготовлены 2 мотора G-205, но не отправлены и находятся на складах фирмы ввиду отсутствия разрешения американского правительства на вывоз.</w:t>
      </w:r>
    </w:p>
    <w:p w14:paraId="56A7277A"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27 сентября с.г. получена телеграмма от Амторга о переводе денег за эти два мотора. Можно предположить, что Амторгом получено разрешение американского правительства на вывоз этих моторов. Послан запрос о подтверждении.</w:t>
      </w:r>
    </w:p>
    <w:p w14:paraId="65A26968"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Характеристика мотора GR-1820-205.</w:t>
      </w:r>
    </w:p>
    <w:p w14:paraId="22B29ED0"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Двигатель GR-1820-205 является 9-ти цилиндровым однорядным звездообразным мотором воздушного охлаждения.</w:t>
      </w:r>
    </w:p>
    <w:p w14:paraId="398357D9"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Мощность мотора максимальная взлетная 1200 л.с. при 2500 об/мин.;</w:t>
      </w:r>
    </w:p>
    <w:p w14:paraId="7ECDE1D7"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высоте 1350 метров мощность 1000 л.с. при 2300 об/мин.</w:t>
      </w:r>
    </w:p>
    <w:p w14:paraId="3B5DF648"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Фирмой изготовлено 10 моторов GR-2600. 5 из этих моторов уже прибыли в СССР. 4 из них находятся на заводах №№ 19, 29 и ЦИАМ. 5 моторов находятся в пути на советском пароходе «Энгельс».</w:t>
      </w:r>
    </w:p>
    <w:p w14:paraId="1EBE07B1"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Характеристика мотора GR-2600</w:t>
      </w:r>
    </w:p>
    <w:p w14:paraId="7B39DB7A"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Двигатель GR-2600 является 14-ти цилиндровым звездообразным двухрядным мотором воздушного охлаждения. Мощность мотора максимальная взлетная 1600 л.с. при 2400 об/мин, на высоте 2073 метра мощность 1350 л.с. при 2300 об/мин.</w:t>
      </w:r>
    </w:p>
    <w:p w14:paraId="75A5D0C7"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Начальник инженерного отдела Маштаков</w:t>
      </w:r>
    </w:p>
    <w:p w14:paraId="75474D10"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АП РФ. Ф. 3. On. 66. Д. 294. Л. 172-173. Подлинник (20611).</w:t>
      </w:r>
    </w:p>
    <w:p w14:paraId="4B6458DF"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 октября 1940 г. телеграммы за подписью В.М. Молотова и А.И. Микояна были послан К.А. Уманскому и К.И. Лукашеву. Из текста были исключены пункты о поставке чертежей и технологических материалов 10 моторов фирмы «Аллисон» и 2 самолетов «ЭарКобра» (20611).</w:t>
      </w:r>
    </w:p>
    <w:p w14:paraId="63B238CE" w14:textId="77777777" w:rsidR="00D073BE" w:rsidRPr="00A3026E" w:rsidRDefault="00D073BE" w:rsidP="00A3026E">
      <w:pPr>
        <w:spacing w:after="0" w:line="240" w:lineRule="auto"/>
        <w:jc w:val="both"/>
        <w:rPr>
          <w:rFonts w:ascii="Times New Roman" w:hAnsi="Times New Roman"/>
          <w:color w:val="0070C0"/>
          <w:sz w:val="16"/>
          <w:szCs w:val="16"/>
        </w:rPr>
      </w:pPr>
    </w:p>
    <w:p w14:paraId="473A0FDA"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28 сентября 1940 г.</w:t>
      </w:r>
    </w:p>
    <w:p w14:paraId="197EEFF2"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Сопроводительная записка</w:t>
      </w:r>
    </w:p>
    <w:p w14:paraId="35C7D0E9"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А.И. Микояна И.В. Сталину и В.М. Молотову к документам о выполнении договора техпомощи с фирмой «Райт»</w:t>
      </w:r>
    </w:p>
    <w:p w14:paraId="4DA644C0"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61/2128</w:t>
      </w:r>
      <w:r w:rsidRPr="00A3026E">
        <w:rPr>
          <w:rFonts w:ascii="Times New Roman" w:hAnsi="Times New Roman"/>
          <w:color w:val="0070C0"/>
          <w:sz w:val="16"/>
          <w:szCs w:val="16"/>
        </w:rPr>
        <w:tab/>
        <w:t>28 сентября 1940 г.</w:t>
      </w:r>
    </w:p>
    <w:p w14:paraId="7EA845E0"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Секретно</w:t>
      </w:r>
    </w:p>
    <w:p w14:paraId="188D9132"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Экз. № 1</w:t>
      </w:r>
    </w:p>
    <w:p w14:paraId="0A07F785"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ЦК ВКП(б) - тов. Сталину И.В.</w:t>
      </w:r>
    </w:p>
    <w:p w14:paraId="6EAF6050"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СНК СССР — тов. Молотов М.В.</w:t>
      </w:r>
    </w:p>
    <w:p w14:paraId="590EC357"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Направляю при сем:</w:t>
      </w:r>
    </w:p>
    <w:p w14:paraId="2668B833"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Проект ответа тов. Уманского в связи с его переговорами с г-ном Моргентау.</w:t>
      </w:r>
    </w:p>
    <w:p w14:paraId="1A6F3CF8"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Краткую справку инженерного отдела Наркомвнешторга о выполнении договора техпомощи с фирмой “Райт”.</w:t>
      </w:r>
    </w:p>
    <w:p w14:paraId="3882B1AA"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Выдержки тех статей договора техпомощи, которые касаются обязательств фирмы «Райт» перед нами.</w:t>
      </w:r>
    </w:p>
    <w:p w14:paraId="08E689BF"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Краткую справку о технических показателях моторов и самолетов, упоминаемых в прилагаемом проекте телеграммы тов. Уманскому.</w:t>
      </w:r>
    </w:p>
    <w:p w14:paraId="0F3F26B4"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Микоян</w:t>
      </w:r>
    </w:p>
    <w:p w14:paraId="04BC715B"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АП РФ. Ф. 3. On. 66. Д. 294. Л. 170. Подлинник.</w:t>
      </w:r>
    </w:p>
    <w:p w14:paraId="4C5558BF"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Приложение № 1</w:t>
      </w:r>
    </w:p>
    <w:p w14:paraId="013A6312"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Проект телеграммы</w:t>
      </w:r>
    </w:p>
    <w:p w14:paraId="37F74830"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В.М. Молотова и А.И. Микояна К.А. Уманскому в связи с его переговорами с министром финансов США Г. Моргентау о вывозе и поставке в СССР изготовленных американскими фирмами оборудования и чертежей.</w:t>
      </w:r>
    </w:p>
    <w:p w14:paraId="24991815"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Утвержденный проект телеграммы за подписью В.М. Молотова и А.И. Микояна был послан К.А. Уманскому и К.И. Лукашеву 16 октября 1940 г. Из него были исключены пункты о поставке чертежей и технологических материалов 10 моторов фирмы «Аллисон» и 2 самолетов «Эар Кобра»</w:t>
      </w:r>
    </w:p>
    <w:p w14:paraId="203D96E0"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28 сентября 1940 г.</w:t>
      </w:r>
    </w:p>
    <w:p w14:paraId="75D1E085"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Приложение № 2</w:t>
      </w:r>
    </w:p>
    <w:p w14:paraId="0F9F43A8"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Справка начальника инженерного отдела Наркомвнешторга СССР В.Г. Маштакова о реализации договора технической помощи с фирмой «Райт»</w:t>
      </w:r>
    </w:p>
    <w:p w14:paraId="6BF348E3"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28 сентября 1940 г.</w:t>
      </w:r>
    </w:p>
    <w:p w14:paraId="6F4029E4"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Народному комиссару внешней торговли СССР тов. Микояну А.И.</w:t>
      </w:r>
    </w:p>
    <w:p w14:paraId="0B9412BB"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фирмой «Райт» 6 июля 1939 года заключен договор на получение техпомощи по авиационным моторам типа GR-1820 и GR-2600.</w:t>
      </w:r>
    </w:p>
    <w:p w14:paraId="4A9F4FFF"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Исполнение договора по мотору GR-1820 находится в следующем состоянии:</w:t>
      </w:r>
    </w:p>
    <w:p w14:paraId="5CCCCF17"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Получены все конструктивные чертежи по серии G-100 этого типа мотора. Получены все материалы по технологии производства этой же серии.</w:t>
      </w:r>
    </w:p>
    <w:p w14:paraId="38317CF3"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серии G-200 того же типа мотора не получены ни чертежи, ни материалы по технологии производства ввиду отсутствия разрешения американского правительства.</w:t>
      </w:r>
    </w:p>
    <w:p w14:paraId="5D9336B7"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Фирмой изготовлены 2 мотора G-205, но не отправлены и находятся на складах фирмы ввиду отсутствия разрешения американского правительства на вывоз.</w:t>
      </w:r>
    </w:p>
    <w:p w14:paraId="73A6EC69"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27 сентября с.г. получена телеграмма от Амторга о переводе денег за эти два мотора. Можно предположить, что Амторгом получено разрешение американского правительства на вывоз этих моторов. Послан запрос о подтверждении.</w:t>
      </w:r>
    </w:p>
    <w:p w14:paraId="65C8617E"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Характеристика мотора GR-1820-205</w:t>
      </w:r>
    </w:p>
    <w:p w14:paraId="53510799"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Двигатель GR-1820-205 является 9-ти цилиндровым однорядным звездообразным мотором воздушного охлаждения. Мощность мотора максимальная взлетная 1200 л.с. при 2500 об/мин.;</w:t>
      </w:r>
    </w:p>
    <w:p w14:paraId="669D56D7"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высоте 1350 метров мощность 1000 л.с. при 2300 об/мин.</w:t>
      </w:r>
    </w:p>
    <w:p w14:paraId="3D196347"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Фирмой изготовлено 10 моторов GR-2600. 5 из этих моторов уже прибыли в СССР. 4 из них находятся на заводах №№ 19, 29 и ЦИАМ. 5 моторов находятся в пути на советском пароходе «Энгельс».</w:t>
      </w:r>
    </w:p>
    <w:p w14:paraId="12026739"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Характеристика мотора GR-2600</w:t>
      </w:r>
    </w:p>
    <w:p w14:paraId="013EB3AD"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Двигатель GR-2600 является 14-ти цилиндровым звездообразным двухрядным мотором воздушного охлаждения. Мощность мотора максимальная взлетная 1600 л.с. при 2400 об/мин, на высоте 2073 метра мощность 1350 л.с. при 2300 об/мин.</w:t>
      </w:r>
    </w:p>
    <w:p w14:paraId="5D7FAFA4"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Начальник инженерного отдела Маштаков</w:t>
      </w:r>
    </w:p>
    <w:p w14:paraId="0681FE79"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АП РФ. Ф. 3. On. 66. Д. 294. Л. 172-173. Подлинник (20702).</w:t>
      </w:r>
    </w:p>
    <w:p w14:paraId="440C295F" w14:textId="77777777" w:rsidR="00D073BE" w:rsidRPr="00A3026E" w:rsidRDefault="00D073BE" w:rsidP="00A3026E">
      <w:pPr>
        <w:spacing w:after="0" w:line="240" w:lineRule="auto"/>
        <w:jc w:val="both"/>
        <w:rPr>
          <w:rFonts w:ascii="Times New Roman" w:hAnsi="Times New Roman"/>
          <w:color w:val="0070C0"/>
          <w:sz w:val="16"/>
          <w:szCs w:val="16"/>
        </w:rPr>
      </w:pPr>
    </w:p>
    <w:p w14:paraId="219BEAF2"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28 сентября 1940 г.</w:t>
      </w:r>
    </w:p>
    <w:p w14:paraId="7590F9B0"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Вашингтон, Уманскому</w:t>
      </w:r>
    </w:p>
    <w:p w14:paraId="55C7C27B"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Передайте г-ну Моргентау, что советское правительство, кроме марганца, хрома, асбеста и платины, согласно поставить американскому правительству также лен, как об этом просил г-н Моргентау.</w:t>
      </w:r>
    </w:p>
    <w:p w14:paraId="6B7CD81A"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 своей стороны советское правительство просит американское правительство выдать разрешение фирме «Райт» на вывоз в СССР авиамоторов и турбокомпрессора, обусловленных договором техпомощи этой фирмы, а именно:</w:t>
      </w:r>
    </w:p>
    <w:p w14:paraId="2F7B3B1B"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Авиамотор с конструктивными чертежами и материалами технологии производства G-200 в военном варианте.</w:t>
      </w:r>
    </w:p>
    <w:p w14:paraId="259756BF"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Мотор GR-2600 в военном варианте.</w:t>
      </w:r>
    </w:p>
    <w:p w14:paraId="39E7B25B"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«Дуплекс» мотор R-3350.</w:t>
      </w:r>
    </w:p>
    <w:p w14:paraId="08B22627"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Турбокомпрессор.</w:t>
      </w:r>
    </w:p>
    <w:p w14:paraId="356E5885"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Помимо этого советское правительство просит поставить с конструктивными чертежами и материалами технологии производства:</w:t>
      </w:r>
    </w:p>
    <w:p w14:paraId="6546C28D"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10 моторов «Аллисона», из них 5 24-х цилиндровые и 5 12-ти цилиндровые.</w:t>
      </w:r>
    </w:p>
    <w:p w14:paraId="66A28C10"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10 моторов фирмы «Пратт и Уитней» 18-ти цилиндровая двойная звезда с удлиненным носком.</w:t>
      </w:r>
    </w:p>
    <w:p w14:paraId="04E430C9"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2 самолета «Эар Кобра».</w:t>
      </w:r>
    </w:p>
    <w:p w14:paraId="413042DF"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10 шт. 4-х лопастных винтов электрического действия, фирмы «Кертисс» и полное техническое описание этих винтов.</w:t>
      </w:r>
    </w:p>
    <w:p w14:paraId="73823329" w14:textId="77777777" w:rsidR="00D073BE" w:rsidRPr="00A3026E" w:rsidRDefault="00D073B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АП РФ. Ф. 3. On. 66. Д. 294. Л. 171 Копия (20849).</w:t>
      </w:r>
    </w:p>
    <w:p w14:paraId="64F1970A" w14:textId="77777777" w:rsidR="00D073BE" w:rsidRPr="00A3026E" w:rsidRDefault="00D073BE" w:rsidP="00A3026E">
      <w:pPr>
        <w:spacing w:after="0" w:line="240" w:lineRule="auto"/>
        <w:jc w:val="both"/>
        <w:rPr>
          <w:rFonts w:ascii="Times New Roman" w:hAnsi="Times New Roman"/>
          <w:color w:val="0070C0"/>
          <w:sz w:val="16"/>
          <w:szCs w:val="16"/>
        </w:rPr>
      </w:pPr>
    </w:p>
    <w:p w14:paraId="6A2148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сен</w:t>
      </w:r>
      <w:r w:rsidRPr="00A3026E">
        <w:rPr>
          <w:rFonts w:ascii="Times New Roman" w:hAnsi="Times New Roman"/>
          <w:color w:val="000000" w:themeColor="text1"/>
          <w:sz w:val="16"/>
          <w:szCs w:val="16"/>
        </w:rPr>
        <w:softHyphen/>
        <w:t>тября 1940 г. из управления ВиМТС ВВС КА на завод №12 НКБ поступи</w:t>
      </w:r>
      <w:r w:rsidRPr="00A3026E">
        <w:rPr>
          <w:rFonts w:ascii="Times New Roman" w:hAnsi="Times New Roman"/>
          <w:color w:val="000000" w:themeColor="text1"/>
          <w:sz w:val="16"/>
          <w:szCs w:val="16"/>
        </w:rPr>
        <w:softHyphen/>
        <w:t>ло письмо следующего содержания: «При снаряжении очередной валовой партии РС обеспечьте снаряжение 200 штук РС-82 и 100 штук РС-132 в нейтральном снаряжении дымообразующей смесью. Срок их подачи на НИПАВ ВВС - не позже 5 октября 1940 г.». Здесь речь шла о партии полигонных вариантов снарядов РОС-82 модели 3-00497 и РОС-132 модели 3-00498 «со специальной дымовой трассой» (для на</w:t>
      </w:r>
      <w:r w:rsidRPr="00A3026E">
        <w:rPr>
          <w:rFonts w:ascii="Times New Roman" w:hAnsi="Times New Roman"/>
          <w:color w:val="000000" w:themeColor="text1"/>
          <w:sz w:val="16"/>
          <w:szCs w:val="16"/>
        </w:rPr>
        <w:softHyphen/>
        <w:t>земных отстрелов).</w:t>
      </w:r>
    </w:p>
    <w:p w14:paraId="19E0C9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№12 НКБ головные части боеприпасов снарядили смесью А-12, способной создавать контрастные дымы нескольких разных цве</w:t>
      </w:r>
      <w:r w:rsidRPr="00A3026E">
        <w:rPr>
          <w:rFonts w:ascii="Times New Roman" w:hAnsi="Times New Roman"/>
          <w:color w:val="000000" w:themeColor="text1"/>
          <w:sz w:val="16"/>
          <w:szCs w:val="16"/>
        </w:rPr>
        <w:softHyphen/>
        <w:t>тов. Для зажигания «трассы» от работающего двигателя в дне БЧ были выполнены небольшие отверстия, а в стенках БЧ - отверстия чуть боль</w:t>
      </w:r>
      <w:r w:rsidRPr="00A3026E">
        <w:rPr>
          <w:rFonts w:ascii="Times New Roman" w:hAnsi="Times New Roman"/>
          <w:color w:val="000000" w:themeColor="text1"/>
          <w:sz w:val="16"/>
          <w:szCs w:val="16"/>
        </w:rPr>
        <w:softHyphen/>
        <w:t>шего диаметра для выпуска дыма. Однако подобное новшество должно было существенно изменить внешнюю, да и внутреннюю баллистику экспериментальных боеприпасов, основное назначение которых как раз заключалось в том, чтобы исследовать баллистические характеристики этих снарядов. Вторая версия — пиротехнические клапана, смонтированные в донной части двигателя, - также имеет право на жизнь. К примеру, металлический шарик, установленный в бицилиндрическом отверстии на пороховой запрессовке, пропустив луч огня от горящего РЗ, далее под давлением закупорит этот передаточный канал.</w:t>
      </w:r>
    </w:p>
    <w:p w14:paraId="5FAAD7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2.7 Штатные ЦПП для использования в авиационных сигналах дневного действия</w:t>
      </w:r>
    </w:p>
    <w:tbl>
      <w:tblPr>
        <w:tblW w:w="0" w:type="auto"/>
        <w:tblInd w:w="40" w:type="dxa"/>
        <w:tblLayout w:type="fixed"/>
        <w:tblCellMar>
          <w:left w:w="40" w:type="dxa"/>
          <w:right w:w="40" w:type="dxa"/>
        </w:tblCellMar>
        <w:tblLook w:val="0000" w:firstRow="0" w:lastRow="0" w:firstColumn="0" w:lastColumn="0" w:noHBand="0" w:noVBand="0"/>
      </w:tblPr>
      <w:tblGrid>
        <w:gridCol w:w="619"/>
        <w:gridCol w:w="1152"/>
        <w:gridCol w:w="4041"/>
      </w:tblGrid>
      <w:tr w:rsidR="00983732" w:rsidRPr="00A3026E" w14:paraId="5D87A400" w14:textId="77777777" w:rsidTr="00EA0DA7">
        <w:trPr>
          <w:trHeight w:val="418"/>
        </w:trPr>
        <w:tc>
          <w:tcPr>
            <w:tcW w:w="619" w:type="dxa"/>
            <w:tcBorders>
              <w:top w:val="single" w:sz="6" w:space="0" w:color="auto"/>
              <w:left w:val="single" w:sz="6" w:space="0" w:color="auto"/>
              <w:bottom w:val="single" w:sz="6" w:space="0" w:color="auto"/>
              <w:right w:val="single" w:sz="6" w:space="0" w:color="auto"/>
            </w:tcBorders>
          </w:tcPr>
          <w:p w14:paraId="38155B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Марка пороха</w:t>
            </w:r>
          </w:p>
          <w:p w14:paraId="265713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5888D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Цвет дымового сигнала</w:t>
            </w:r>
          </w:p>
          <w:p w14:paraId="12AA53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4041" w:type="dxa"/>
            <w:tcBorders>
              <w:top w:val="single" w:sz="6" w:space="0" w:color="auto"/>
              <w:left w:val="single" w:sz="6" w:space="0" w:color="auto"/>
              <w:bottom w:val="single" w:sz="6" w:space="0" w:color="auto"/>
              <w:right w:val="single" w:sz="6" w:space="0" w:color="auto"/>
            </w:tcBorders>
          </w:tcPr>
          <w:p w14:paraId="2B523F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Компоненты состава и их соотношение</w:t>
            </w:r>
          </w:p>
          <w:p w14:paraId="0D5052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FD93F48" w14:textId="77777777" w:rsidTr="00EA0DA7">
        <w:trPr>
          <w:trHeight w:val="223"/>
        </w:trPr>
        <w:tc>
          <w:tcPr>
            <w:tcW w:w="619" w:type="dxa"/>
            <w:tcBorders>
              <w:top w:val="single" w:sz="6" w:space="0" w:color="auto"/>
              <w:left w:val="single" w:sz="6" w:space="0" w:color="auto"/>
              <w:bottom w:val="single" w:sz="6" w:space="0" w:color="auto"/>
              <w:right w:val="single" w:sz="6" w:space="0" w:color="auto"/>
            </w:tcBorders>
          </w:tcPr>
          <w:p w14:paraId="37AB8B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ЦПП</w:t>
            </w:r>
          </w:p>
        </w:tc>
        <w:tc>
          <w:tcPr>
            <w:tcW w:w="1152" w:type="dxa"/>
            <w:tcBorders>
              <w:top w:val="single" w:sz="6" w:space="0" w:color="auto"/>
              <w:left w:val="single" w:sz="6" w:space="0" w:color="auto"/>
              <w:bottom w:val="single" w:sz="6" w:space="0" w:color="auto"/>
              <w:right w:val="single" w:sz="6" w:space="0" w:color="auto"/>
            </w:tcBorders>
          </w:tcPr>
          <w:p w14:paraId="4B0B4F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красный</w:t>
            </w:r>
          </w:p>
          <w:p w14:paraId="0C0714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4041" w:type="dxa"/>
            <w:tcBorders>
              <w:top w:val="single" w:sz="6" w:space="0" w:color="auto"/>
              <w:left w:val="single" w:sz="6" w:space="0" w:color="auto"/>
              <w:bottom w:val="single" w:sz="6" w:space="0" w:color="auto"/>
              <w:right w:val="single" w:sz="6" w:space="0" w:color="auto"/>
            </w:tcBorders>
          </w:tcPr>
          <w:p w14:paraId="06B278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пироксилин - 56%; жирооранж Д — 44%</w:t>
            </w:r>
          </w:p>
          <w:p w14:paraId="07C51C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72D4E1D" w14:textId="77777777" w:rsidTr="00EA0DA7">
        <w:trPr>
          <w:trHeight w:val="389"/>
        </w:trPr>
        <w:tc>
          <w:tcPr>
            <w:tcW w:w="619" w:type="dxa"/>
            <w:tcBorders>
              <w:top w:val="single" w:sz="6" w:space="0" w:color="auto"/>
              <w:left w:val="single" w:sz="6" w:space="0" w:color="auto"/>
              <w:bottom w:val="single" w:sz="6" w:space="0" w:color="auto"/>
              <w:right w:val="single" w:sz="6" w:space="0" w:color="auto"/>
            </w:tcBorders>
          </w:tcPr>
          <w:p w14:paraId="3C5D6E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ЦППс</w:t>
            </w:r>
          </w:p>
        </w:tc>
        <w:tc>
          <w:tcPr>
            <w:tcW w:w="1152" w:type="dxa"/>
            <w:tcBorders>
              <w:top w:val="single" w:sz="6" w:space="0" w:color="auto"/>
              <w:left w:val="single" w:sz="6" w:space="0" w:color="auto"/>
              <w:bottom w:val="single" w:sz="6" w:space="0" w:color="auto"/>
              <w:right w:val="single" w:sz="6" w:space="0" w:color="auto"/>
            </w:tcBorders>
          </w:tcPr>
          <w:p w14:paraId="6775FF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синий</w:t>
            </w:r>
          </w:p>
          <w:p w14:paraId="34E407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4041" w:type="dxa"/>
            <w:tcBorders>
              <w:top w:val="single" w:sz="6" w:space="0" w:color="auto"/>
              <w:left w:val="single" w:sz="6" w:space="0" w:color="auto"/>
              <w:bottom w:val="single" w:sz="6" w:space="0" w:color="auto"/>
              <w:right w:val="single" w:sz="6" w:space="0" w:color="auto"/>
            </w:tcBorders>
          </w:tcPr>
          <w:p w14:paraId="2AF485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пироксилин — 56%; метиленовая голубая краска 2В — 44%</w:t>
            </w:r>
          </w:p>
          <w:p w14:paraId="01B210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9F162A5" w14:textId="77777777" w:rsidTr="00EA0DA7">
        <w:trPr>
          <w:trHeight w:val="230"/>
        </w:trPr>
        <w:tc>
          <w:tcPr>
            <w:tcW w:w="619" w:type="dxa"/>
            <w:tcBorders>
              <w:top w:val="single" w:sz="6" w:space="0" w:color="auto"/>
              <w:left w:val="single" w:sz="6" w:space="0" w:color="auto"/>
              <w:bottom w:val="single" w:sz="6" w:space="0" w:color="auto"/>
              <w:right w:val="single" w:sz="6" w:space="0" w:color="auto"/>
            </w:tcBorders>
          </w:tcPr>
          <w:p w14:paraId="101A75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ШППж1</w:t>
            </w:r>
          </w:p>
        </w:tc>
        <w:tc>
          <w:tcPr>
            <w:tcW w:w="1152" w:type="dxa"/>
            <w:tcBorders>
              <w:top w:val="single" w:sz="6" w:space="0" w:color="auto"/>
              <w:left w:val="single" w:sz="6" w:space="0" w:color="auto"/>
              <w:bottom w:val="single" w:sz="6" w:space="0" w:color="auto"/>
              <w:right w:val="single" w:sz="6" w:space="0" w:color="auto"/>
            </w:tcBorders>
          </w:tcPr>
          <w:p w14:paraId="621D34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желтый</w:t>
            </w:r>
          </w:p>
          <w:p w14:paraId="156125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4041" w:type="dxa"/>
            <w:tcBorders>
              <w:top w:val="single" w:sz="6" w:space="0" w:color="auto"/>
              <w:left w:val="single" w:sz="6" w:space="0" w:color="auto"/>
              <w:bottom w:val="single" w:sz="6" w:space="0" w:color="auto"/>
              <w:right w:val="single" w:sz="6" w:space="0" w:color="auto"/>
            </w:tcBorders>
          </w:tcPr>
          <w:p w14:paraId="4AFB3F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пироксилин — 55%: аурамин - 28%; хризоидин - 17%</w:t>
            </w:r>
          </w:p>
          <w:p w14:paraId="23AD49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946555F" w14:textId="77777777" w:rsidTr="00EA0DA7">
        <w:trPr>
          <w:trHeight w:val="230"/>
        </w:trPr>
        <w:tc>
          <w:tcPr>
            <w:tcW w:w="619" w:type="dxa"/>
            <w:tcBorders>
              <w:top w:val="single" w:sz="6" w:space="0" w:color="auto"/>
              <w:left w:val="single" w:sz="6" w:space="0" w:color="auto"/>
              <w:bottom w:val="single" w:sz="6" w:space="0" w:color="auto"/>
              <w:right w:val="single" w:sz="6" w:space="0" w:color="auto"/>
            </w:tcBorders>
          </w:tcPr>
          <w:p w14:paraId="4C622F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ЦППж2</w:t>
            </w:r>
          </w:p>
        </w:tc>
        <w:tc>
          <w:tcPr>
            <w:tcW w:w="1152" w:type="dxa"/>
            <w:tcBorders>
              <w:top w:val="single" w:sz="6" w:space="0" w:color="auto"/>
              <w:left w:val="single" w:sz="6" w:space="0" w:color="auto"/>
              <w:bottom w:val="single" w:sz="6" w:space="0" w:color="auto"/>
              <w:right w:val="single" w:sz="6" w:space="0" w:color="auto"/>
            </w:tcBorders>
          </w:tcPr>
          <w:p w14:paraId="6DB6E0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желты и</w:t>
            </w:r>
          </w:p>
          <w:p w14:paraId="1BE298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4041" w:type="dxa"/>
            <w:tcBorders>
              <w:top w:val="single" w:sz="6" w:space="0" w:color="auto"/>
              <w:left w:val="single" w:sz="6" w:space="0" w:color="auto"/>
              <w:bottom w:val="single" w:sz="6" w:space="0" w:color="auto"/>
              <w:right w:val="single" w:sz="6" w:space="0" w:color="auto"/>
            </w:tcBorders>
          </w:tcPr>
          <w:p w14:paraId="5F1204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пироксилин — 60%; метанитропаратолуидин - 40%</w:t>
            </w:r>
          </w:p>
          <w:p w14:paraId="51392B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538C6A3" w14:textId="77777777" w:rsidTr="00EA0DA7">
        <w:trPr>
          <w:trHeight w:val="418"/>
        </w:trPr>
        <w:tc>
          <w:tcPr>
            <w:tcW w:w="619" w:type="dxa"/>
            <w:tcBorders>
              <w:top w:val="single" w:sz="6" w:space="0" w:color="auto"/>
              <w:left w:val="single" w:sz="6" w:space="0" w:color="auto"/>
              <w:bottom w:val="single" w:sz="6" w:space="0" w:color="auto"/>
              <w:right w:val="single" w:sz="6" w:space="0" w:color="auto"/>
            </w:tcBorders>
          </w:tcPr>
          <w:p w14:paraId="3A45D3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ЦППз</w:t>
            </w:r>
          </w:p>
        </w:tc>
        <w:tc>
          <w:tcPr>
            <w:tcW w:w="1152" w:type="dxa"/>
            <w:tcBorders>
              <w:top w:val="single" w:sz="6" w:space="0" w:color="auto"/>
              <w:left w:val="single" w:sz="6" w:space="0" w:color="auto"/>
              <w:bottom w:val="single" w:sz="6" w:space="0" w:color="auto"/>
              <w:right w:val="single" w:sz="6" w:space="0" w:color="auto"/>
            </w:tcBorders>
          </w:tcPr>
          <w:p w14:paraId="23D9A6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чсленый</w:t>
            </w:r>
          </w:p>
          <w:p w14:paraId="6FE0BA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4041" w:type="dxa"/>
            <w:tcBorders>
              <w:top w:val="single" w:sz="6" w:space="0" w:color="auto"/>
              <w:left w:val="single" w:sz="6" w:space="0" w:color="auto"/>
              <w:bottom w:val="single" w:sz="6" w:space="0" w:color="auto"/>
              <w:right w:val="single" w:sz="6" w:space="0" w:color="auto"/>
            </w:tcBorders>
          </w:tcPr>
          <w:p w14:paraId="1B5E90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пироксилин - 55%: метиленовая голубая краска - 28-29%; метанитропаратолуидин— 16%</w:t>
            </w:r>
          </w:p>
          <w:p w14:paraId="15C8D8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7E2930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Отверстия в корпусах БЧ ракетно-трассирующих снарядов для выпуска дыма по «снаряжательным правилам» того периода времени требова</w:t>
      </w:r>
      <w:r w:rsidRPr="00A3026E">
        <w:rPr>
          <w:rFonts w:ascii="Times New Roman" w:hAnsi="Times New Roman"/>
          <w:color w:val="000000" w:themeColor="text1"/>
          <w:sz w:val="16"/>
          <w:szCs w:val="16"/>
        </w:rPr>
        <w:softHyphen/>
        <w:t>лось заделать церезином и обмотать изолентой. Хотя, с учетом непродолжительного времени их хранения, от данных правил могли и отступить.Зато, по устоявшимся традициям НИИ-3 НКБ, для обозначения цвета дымовой трассы, за БЧ (или передним центрирующим утолщением) боеприпаса наносили кольцевую полосу соответствующего цвета При стандартной емкости БЧ, дымовая смесь А-12 должна была догорать затем на месте падения снаряда еще несколько минут. Видимо, для это</w:t>
      </w:r>
      <w:r w:rsidRPr="00A3026E">
        <w:rPr>
          <w:rFonts w:ascii="Times New Roman" w:hAnsi="Times New Roman"/>
          <w:color w:val="000000" w:themeColor="text1"/>
          <w:sz w:val="16"/>
          <w:szCs w:val="16"/>
        </w:rPr>
        <w:softHyphen/>
        <w:t>го заказчику и требовались ракетно-трассирующие снаряды с дымами разных цветов, чтобы не прерывать стрельбу надолго, дожидаясь шения процесса дымообразования.</w:t>
      </w:r>
    </w:p>
    <w:p w14:paraId="0D38B3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34BB99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1B1B287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D4451B3"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28 сентября 1940 г. была Докладная записка начальника 4-го Главного управления Наркомата боеприпасов СССР Иванова И. В. Сталину и председателю Комитета обороны при СНК СССР К. Е. Ворошилову о развитии советской артиллерии и необходимости унификации боекомплектов для орудий одного калибра</w:t>
      </w:r>
    </w:p>
    <w:p w14:paraId="70FF2122"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Основной предпосылкой полного и правильного использо</w:t>
      </w:r>
      <w:r w:rsidRPr="00A3026E">
        <w:rPr>
          <w:rFonts w:ascii="Times New Roman" w:hAnsi="Times New Roman"/>
          <w:color w:val="0070C0"/>
          <w:sz w:val="16"/>
          <w:szCs w:val="16"/>
        </w:rPr>
        <w:softHyphen/>
        <w:t>вания ресурсов народного хозяйства для обеспечения боепитания артиллерии является максимальное облегчение производ</w:t>
      </w:r>
      <w:r w:rsidRPr="00A3026E">
        <w:rPr>
          <w:rFonts w:ascii="Times New Roman" w:hAnsi="Times New Roman"/>
          <w:color w:val="0070C0"/>
          <w:sz w:val="16"/>
          <w:szCs w:val="16"/>
        </w:rPr>
        <w:softHyphen/>
        <w:t>ства элементов выстрела (посредством елико возможного уни</w:t>
      </w:r>
      <w:r w:rsidRPr="00A3026E">
        <w:rPr>
          <w:rFonts w:ascii="Times New Roman" w:hAnsi="Times New Roman"/>
          <w:color w:val="0070C0"/>
          <w:sz w:val="16"/>
          <w:szCs w:val="16"/>
        </w:rPr>
        <w:softHyphen/>
        <w:t>фицирования) и комплектации их в выстрел.</w:t>
      </w:r>
    </w:p>
    <w:p w14:paraId="06A6FEC8"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Даже сейчас, в относительно мирных условиях, комплекта</w:t>
      </w:r>
      <w:r w:rsidRPr="00A3026E">
        <w:rPr>
          <w:rFonts w:ascii="Times New Roman" w:hAnsi="Times New Roman"/>
          <w:color w:val="0070C0"/>
          <w:sz w:val="16"/>
          <w:szCs w:val="16"/>
        </w:rPr>
        <w:softHyphen/>
        <w:t>ция выстрела встречает огромные трудности и приводит к омертвлению весьма больших средств, состоящих из разрознен</w:t>
      </w:r>
      <w:r w:rsidRPr="00A3026E">
        <w:rPr>
          <w:rFonts w:ascii="Times New Roman" w:hAnsi="Times New Roman"/>
          <w:color w:val="0070C0"/>
          <w:sz w:val="16"/>
          <w:szCs w:val="16"/>
        </w:rPr>
        <w:softHyphen/>
        <w:t>ных элементов выстрела.</w:t>
      </w:r>
    </w:p>
    <w:p w14:paraId="4F88E1A6"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Развитие артиллерии за последние годы идет не только без учета необходимости создания предпосылок для большей мобильности промышленности, а наоборот, приводит к более трудным условиям обеспечения армии артиллерийским выстрелом.</w:t>
      </w:r>
    </w:p>
    <w:p w14:paraId="51457079"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Совершенно не понятны и кажутся отнюдь неразумными хотя бы такие примеры из создания новых образцов орудий:</w:t>
      </w:r>
    </w:p>
    <w:p w14:paraId="6FF8C39F"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Военно-воздушные силы располагали 20 мм. пушками ШВАК, в настоящее время должно произойти перевооружение на 23 м.м. пушки.</w:t>
      </w:r>
    </w:p>
    <w:p w14:paraId="357599A8"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то же время сухопутная артиллерия отрабатывает 25 м.м. пушки, т.е. практически для одинаковых орудий (вернее орудий, которые можно по боепитанию сделать одинаковыми) промышленность должна давать три равных калибра.</w:t>
      </w:r>
    </w:p>
    <w:p w14:paraId="7B949546"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Для морских сил промышленность уже давно изготовляла 45 мм. осколочно-трассирующие корпуса. Сухопутная артиллерия в конце прошлого года ввела свою систему, для которой потребовала выстрел по своим дру</w:t>
      </w:r>
      <w:r w:rsidRPr="00A3026E">
        <w:rPr>
          <w:rFonts w:ascii="Times New Roman" w:hAnsi="Times New Roman"/>
          <w:color w:val="0070C0"/>
          <w:sz w:val="16"/>
          <w:szCs w:val="16"/>
        </w:rPr>
        <w:softHyphen/>
        <w:t>гим чертежам.</w:t>
      </w:r>
    </w:p>
    <w:p w14:paraId="0E2F9711"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В диапазоне 20-45 м.м. разные ведомства НКО и НКВМФ имеют пять калибров орудий: 20 мм., 23 мм., 25мм. 37 мм. и 45мм., причем 45 мм. имеются две разновидности.</w:t>
      </w:r>
    </w:p>
    <w:p w14:paraId="52C32BBC"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Если учесть, что каждый калибр требует различные боекомплекты ( напр. к 20 мм. требуются осколочные, за</w:t>
      </w:r>
      <w:r w:rsidRPr="00A3026E">
        <w:rPr>
          <w:rFonts w:ascii="Times New Roman" w:hAnsi="Times New Roman"/>
          <w:color w:val="0070C0"/>
          <w:sz w:val="16"/>
          <w:szCs w:val="16"/>
        </w:rPr>
        <w:softHyphen/>
        <w:t>жигательные, трассирующие и баллистические выстрелы ), то получается довольно значительная сумма номенклатур.</w:t>
      </w:r>
    </w:p>
    <w:p w14:paraId="2471ACDB"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Сухопутная артиллерия имеет две уже устано</w:t>
      </w:r>
      <w:r w:rsidRPr="00A3026E">
        <w:rPr>
          <w:rFonts w:ascii="Times New Roman" w:hAnsi="Times New Roman"/>
          <w:color w:val="0070C0"/>
          <w:sz w:val="16"/>
          <w:szCs w:val="16"/>
        </w:rPr>
        <w:softHyphen/>
        <w:t>вившихся системы, специально предназначенных для борь</w:t>
      </w:r>
      <w:r w:rsidRPr="00A3026E">
        <w:rPr>
          <w:rFonts w:ascii="Times New Roman" w:hAnsi="Times New Roman"/>
          <w:color w:val="0070C0"/>
          <w:sz w:val="16"/>
          <w:szCs w:val="16"/>
        </w:rPr>
        <w:softHyphen/>
        <w:t>бы с авиацией --76 мм. и 85 мм. зенитные пушив. Но считается, что этого недостаточно и уже ведутся работы над 100 мм. оруднями.</w:t>
      </w:r>
    </w:p>
    <w:p w14:paraId="38011411"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Сухопутная артиллерия имеет весьма неплохое 203 мм.орудие, но уже сейчас мы готовим боеприпасы для 210 мм. орудий.</w:t>
      </w:r>
    </w:p>
    <w:p w14:paraId="1C6BA718"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Примеры в отношении увеличения количества по существу равноценных калибров, не полностью характеризуют рост наименований комплектов, ибо в пределах одного и того же калибра происходит также размножение номенклатур.</w:t>
      </w:r>
    </w:p>
    <w:p w14:paraId="68F6122B"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Например, появление новой 107 мм. пушки (М-60) повлекло за собой создание нового боекомплекта.</w:t>
      </w:r>
    </w:p>
    <w:p w14:paraId="4323DC47"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Таким образом, последнее время в развитии артиллерии характерно размножение калибров и боекомплектов внутри одного калибра, что резко ухудшает условия моби</w:t>
      </w:r>
      <w:r w:rsidRPr="00A3026E">
        <w:rPr>
          <w:rFonts w:ascii="Times New Roman" w:hAnsi="Times New Roman"/>
          <w:color w:val="0070C0"/>
          <w:sz w:val="16"/>
          <w:szCs w:val="16"/>
        </w:rPr>
        <w:softHyphen/>
        <w:t>лизации промышленности, снижает ее производственные возможности и крайне затрудняет комплектацию выстрела.</w:t>
      </w:r>
    </w:p>
    <w:p w14:paraId="51C675C5"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Между тем, в развитие артиллерии, в делах обеспе</w:t>
      </w:r>
      <w:r w:rsidRPr="00A3026E">
        <w:rPr>
          <w:rFonts w:ascii="Times New Roman" w:hAnsi="Times New Roman"/>
          <w:color w:val="0070C0"/>
          <w:sz w:val="16"/>
          <w:szCs w:val="16"/>
        </w:rPr>
        <w:softHyphen/>
        <w:t>чения ее боепитания, необходим обратный процесс-макси</w:t>
      </w:r>
      <w:r w:rsidRPr="00A3026E">
        <w:rPr>
          <w:rFonts w:ascii="Times New Roman" w:hAnsi="Times New Roman"/>
          <w:color w:val="0070C0"/>
          <w:sz w:val="16"/>
          <w:szCs w:val="16"/>
        </w:rPr>
        <w:softHyphen/>
        <w:t>мальной унификации боекомплектов. Необходимость этого процесса вряд ли требует подтверждения - возможность его видна хотя бы из следующего:</w:t>
      </w:r>
    </w:p>
    <w:p w14:paraId="45A0E893"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Снаряженный 107 мм. корпус с взрывателем к пушке 10 г. весит 17,2 кгр., а к пушке новой 18,3051гр. Трудно будет доказать, что для обоих пушек не мог бы быть один и тот же снаряд, также как трудно опро</w:t>
      </w:r>
      <w:r w:rsidRPr="00A3026E">
        <w:rPr>
          <w:rFonts w:ascii="Times New Roman" w:hAnsi="Times New Roman"/>
          <w:color w:val="0070C0"/>
          <w:sz w:val="16"/>
          <w:szCs w:val="16"/>
        </w:rPr>
        <w:softHyphen/>
        <w:t>вергнуть, что гораздо легче обеспечить боепитание обоих пушек одинаковым боекомплектом, нежели чем разным. Прав</w:t>
      </w:r>
      <w:r w:rsidRPr="00A3026E">
        <w:rPr>
          <w:rFonts w:ascii="Times New Roman" w:hAnsi="Times New Roman"/>
          <w:color w:val="0070C0"/>
          <w:sz w:val="16"/>
          <w:szCs w:val="16"/>
        </w:rPr>
        <w:softHyphen/>
        <w:t>да, для этого о самого начала зарождения новой системы, необходимо было бы хотя немного подумать о боепитании.</w:t>
      </w:r>
    </w:p>
    <w:p w14:paraId="4907195B"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То же самое можно сказать по существованию двух чертежей снарядов для 152 мм. гаубиц 10/30гг. и 37 г., снабжение которых также возможно снарядами одного чер</w:t>
      </w:r>
      <w:r w:rsidRPr="00A3026E">
        <w:rPr>
          <w:rFonts w:ascii="Times New Roman" w:hAnsi="Times New Roman"/>
          <w:color w:val="0070C0"/>
          <w:sz w:val="16"/>
          <w:szCs w:val="16"/>
        </w:rPr>
        <w:softHyphen/>
        <w:t>тежа.</w:t>
      </w:r>
    </w:p>
    <w:p w14:paraId="30649C9D"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Также непонятна тенденция в создании разных калибров между минометами, сухопутными и морскими сис</w:t>
      </w:r>
      <w:r w:rsidRPr="00A3026E">
        <w:rPr>
          <w:rFonts w:ascii="Times New Roman" w:hAnsi="Times New Roman"/>
          <w:color w:val="0070C0"/>
          <w:sz w:val="16"/>
          <w:szCs w:val="16"/>
        </w:rPr>
        <w:softHyphen/>
        <w:t>темами. Так в артиллерии есть 45 мм. снаряд, а мино</w:t>
      </w:r>
      <w:r w:rsidRPr="00A3026E">
        <w:rPr>
          <w:rFonts w:ascii="Times New Roman" w:hAnsi="Times New Roman"/>
          <w:color w:val="0070C0"/>
          <w:sz w:val="16"/>
          <w:szCs w:val="16"/>
        </w:rPr>
        <w:softHyphen/>
        <w:t>меты делаем 50 мм., в артиллерии есть орудия 76 мм.-85мм., минометы делаем 82 мм.; в сухопутной артиллерии один из основных калибров 122 мм., минометы делаем 120 мм м т.д.</w:t>
      </w:r>
    </w:p>
    <w:p w14:paraId="1ED903BC"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Перечисленные примеры можно было бы умножить, но дело не в их количестве. Естественно, что каждый из этих примеров найдет свое об’яснение со стороны тех, кто являлся автором их, например, могут сшзать, что 25 мм. орудие более могущественно чем 23 мм., 85 мм. бо</w:t>
      </w:r>
      <w:r w:rsidRPr="00A3026E">
        <w:rPr>
          <w:rFonts w:ascii="Times New Roman" w:hAnsi="Times New Roman"/>
          <w:color w:val="0070C0"/>
          <w:sz w:val="16"/>
          <w:szCs w:val="16"/>
        </w:rPr>
        <w:softHyphen/>
        <w:t>лее могущественно чем 76 мм. и т.д.и т.п., но я считаю, что как бы ни казались хорошими эти мотивы и побуждения, вред, связанный с дезорганизацией боепитания, неизмеримо более велик, чем та эфемерная польза, которую ожидают от обилия систем.</w:t>
      </w:r>
    </w:p>
    <w:p w14:paraId="06710ED4"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Я обращаюсь к Вам с просьбой проверить поставленный мною вопрос, ибо есть слишком много симптомов того, что руководители артиллерии совершенно недостаточно понимают значение расширения возможностей промышленности в деле боепитания и тем самым подрубают сук, на ко</w:t>
      </w:r>
      <w:r w:rsidRPr="00A3026E">
        <w:rPr>
          <w:rFonts w:ascii="Times New Roman" w:hAnsi="Times New Roman"/>
          <w:color w:val="0070C0"/>
          <w:sz w:val="16"/>
          <w:szCs w:val="16"/>
        </w:rPr>
        <w:softHyphen/>
        <w:t>тором сидят ().</w:t>
      </w:r>
    </w:p>
    <w:p w14:paraId="3A529217" w14:textId="77777777" w:rsidR="00383D85" w:rsidRPr="00A3026E" w:rsidRDefault="00383D85" w:rsidP="00A3026E">
      <w:pPr>
        <w:spacing w:after="0" w:line="240" w:lineRule="auto"/>
        <w:jc w:val="both"/>
        <w:rPr>
          <w:rFonts w:ascii="Times New Roman" w:hAnsi="Times New Roman"/>
          <w:color w:val="0070C0"/>
          <w:sz w:val="16"/>
          <w:szCs w:val="16"/>
        </w:rPr>
      </w:pPr>
    </w:p>
    <w:p w14:paraId="7BEB9A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сентября 1940 закончились заводские ис</w:t>
      </w:r>
      <w:r w:rsidRPr="00A3026E">
        <w:rPr>
          <w:rFonts w:ascii="Times New Roman" w:hAnsi="Times New Roman"/>
          <w:color w:val="000000" w:themeColor="text1"/>
          <w:sz w:val="16"/>
          <w:szCs w:val="16"/>
        </w:rPr>
        <w:softHyphen/>
        <w:t>пытания Т-126 (СП), которые начались с 31 августа, были прерваны 9 августа и продолжились 19 августа. К их завершению 28/1Х пер</w:t>
      </w:r>
      <w:r w:rsidRPr="00A3026E">
        <w:rPr>
          <w:rFonts w:ascii="Times New Roman" w:hAnsi="Times New Roman"/>
          <w:color w:val="000000" w:themeColor="text1"/>
          <w:sz w:val="16"/>
          <w:szCs w:val="16"/>
        </w:rPr>
        <w:softHyphen/>
        <w:t>вый образец танка Т-126 (СП) прошел 973 км (10782).</w:t>
      </w:r>
    </w:p>
    <w:p w14:paraId="189D4C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AC10EBD"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28 сентября 1940 г. заместитель народного комиссара обороны Маршал Советского Союза Г.И. Кулик, отвечавший за техническое оснащение Красной Армии, </w:t>
      </w:r>
      <w:hyperlink r:id="rId13" w:tgtFrame="_blank" w:history="1">
        <w:r w:rsidRPr="00A3026E">
          <w:rPr>
            <w:rStyle w:val="a5"/>
            <w:rFonts w:ascii="Times New Roman" w:hAnsi="Times New Roman"/>
            <w:color w:val="0070C0"/>
            <w:sz w:val="16"/>
            <w:szCs w:val="16"/>
          </w:rPr>
          <w:t>письмом № 17415сс</w:t>
        </w:r>
      </w:hyperlink>
      <w:r w:rsidRPr="00A3026E">
        <w:rPr>
          <w:rFonts w:ascii="Times New Roman" w:hAnsi="Times New Roman"/>
          <w:color w:val="0070C0"/>
          <w:sz w:val="16"/>
          <w:szCs w:val="16"/>
        </w:rPr>
        <w:t> уведомил К.Е. Ворошилова о том, что им даны все необходимые указания о проектировании «планетарной трансмиссии» для танков КВ и Т-34 в ВАММ. Не многим более чем через месяц, 6 ноября 1940 г., технический проект новой однопоточной механической «планетарной трансмиссии» для танка Т-34, разработанный в двух вариантах конструкторским бюро научно-исследовательского отделения ВАММ под непосредственным руководством А.И. Благонравова, был отправлен на рассмотрение в Комитет обороны при СНК СССР и в ГАБТУ КА. В дополнение к 19 листам чертежей технического проекта 14 ноября 1940 г. в эти же организации было отправлено </w:t>
      </w:r>
      <w:hyperlink r:id="rId14" w:tgtFrame="_blank" w:history="1">
        <w:r w:rsidRPr="00A3026E">
          <w:rPr>
            <w:rStyle w:val="a5"/>
            <w:rFonts w:ascii="Times New Roman" w:hAnsi="Times New Roman"/>
            <w:color w:val="0070C0"/>
            <w:sz w:val="16"/>
            <w:szCs w:val="16"/>
          </w:rPr>
          <w:t>«Краткое описание планетарной трансмиссии для Т-34»</w:t>
        </w:r>
      </w:hyperlink>
      <w:r w:rsidRPr="00A3026E">
        <w:rPr>
          <w:rFonts w:ascii="Times New Roman" w:hAnsi="Times New Roman"/>
          <w:color w:val="0070C0"/>
          <w:sz w:val="16"/>
          <w:szCs w:val="16"/>
        </w:rPr>
        <w:t> с основными расчетами и схемами. Тяговый и прочностной расчеты «планетарной трансмиссии» в техническом проекте были выполнены для танка массой 31 т, то есть с запасом.</w:t>
      </w:r>
    </w:p>
    <w:p w14:paraId="3B5F52AF" w14:textId="77777777" w:rsidR="00383D85" w:rsidRPr="00A3026E" w:rsidRDefault="00A3026E" w:rsidP="00A3026E">
      <w:pPr>
        <w:spacing w:after="0" w:line="240" w:lineRule="auto"/>
        <w:jc w:val="both"/>
        <w:rPr>
          <w:rFonts w:ascii="Times New Roman" w:hAnsi="Times New Roman"/>
          <w:color w:val="0070C0"/>
          <w:sz w:val="16"/>
          <w:szCs w:val="16"/>
        </w:rPr>
      </w:pPr>
      <w:hyperlink r:id="rId15" w:tgtFrame="_blank" w:history="1"/>
      <w:r w:rsidR="00383D85" w:rsidRPr="00A3026E">
        <w:rPr>
          <w:rFonts w:ascii="Times New Roman" w:hAnsi="Times New Roman"/>
          <w:color w:val="0070C0"/>
          <w:sz w:val="16"/>
          <w:szCs w:val="16"/>
        </w:rPr>
        <w:t>Согласно проекту, «планетарная трансмиссия» устанавливалась в корпус серийного танка Т-34 без какой-либо существенной его переделки. В первом варианте проекта основными агрегатами трансмиссии являлись:</w:t>
      </w:r>
    </w:p>
    <w:p w14:paraId="52F3DE3D"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главный планетарный редуктор с двумя степенями свободы, позволявший при перемещении рычага кулисы (избирателя передач) получить три передачи при включении соответственно фрикционных устройств Т1, Ф или Т2 (см. схему «планетарной-трансмиссии» для танка Т-34, первый вариант);</w:t>
      </w:r>
    </w:p>
    <w:p w14:paraId="70A19BC1"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понижающая коническая передача с постоянным передаточным числом i = 1,22;</w:t>
      </w:r>
    </w:p>
    <w:p w14:paraId="02E133E7"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два планетарных бортовых редуктора (по одному на борт), дававших возможность при перемещении рычагов управления поворотом танка получить по две ступени прямого хода и одну ступень заднего хода;</w:t>
      </w:r>
    </w:p>
    <w:p w14:paraId="1490D0E7"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два серийных бортовых редуктора танка Т-34 с постоянным передаточным числом i = 5,7;</w:t>
      </w:r>
    </w:p>
    <w:p w14:paraId="12AAF94D"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 приводы управления трансмиссией.</w:t>
      </w:r>
    </w:p>
    <w:p w14:paraId="442ABF1D"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Главный планетарный редуктор размещался во вращающемся картере на носке коленчатого вала дизеля В-2 и состоял из двух эпициклических планетарных рядов. При включении ленточного тормоза Т1 нагруженным становился первый планетарный ряд. Солнечная шестерня (Z1 = 40) этого ряда являлась тормозным звеном, эпициклическая шестерня (Z1' = 72) – ведущим, а водило – ведомым. При этом передаточное отношение редуктора равнялось 1,55 (низшая передача). При включении фрикциона Ф редуктор вращался как одно целое с передаточным отношением равным 1,0 (прямая передача). При включении ленточного тормоза Т2 нагруженным становился второй планетарный ряд и передаточное отношение редуктора составляло 0,683 (высшая передача).</w:t>
      </w:r>
    </w:p>
    <w:p w14:paraId="36F28198"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Бортовой планетарный редуктор каждого борта представлял собой эпициклический планетарный ряд и имел два блокировочных фрикциона Ф1 и Фзх и два ленточных тормоза Т1 и Тост, с помощью которых на борту могли быть включены медленная или быстрая ступени редуктора, либо задний ход или режим торможения танка. Медленная ступень редуктора осуществлялась включением тормоза Т1, при этом передаточное отношение редуктора равнялось 3,288. Быстрая ступень с передаточным отношением 1,0 включалась блокировочным фрикционом Ф1. Передача заднего хода осуществлялась включением фрикциона Фзх, а режим торможения – включением тормоза Тост.</w:t>
      </w:r>
    </w:p>
    <w:p w14:paraId="106277B1"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 втором варианте проекта «планетарной трансмиссии» бортовые планетарные редукторы (правый и левый) и понижающая коническая передача были конструктивно объединены в один агрегат, что значительно упрощало монтаж и демонтаж трансмиссии. Главный планетарный редуктор и приводы управления трансмиссией оставались такими же, как и в первом варианте проекта.</w:t>
      </w:r>
    </w:p>
    <w:p w14:paraId="2C96821E"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Сочетание передач главного и бортовых редукторов в итоге давало 6 передач переднего и 3 передачи заднего хода, при этом при движении танка задним ходом в первом варианте проекта предусматривалось использование только первой передачи, а во втором варианте – первой и второй. Первые три передачи переднего хода получались при включении медленных ступеней бортовых редукторов, четвертая, пятая и шестая передачи – быстрых ступеней. Все фрикционы и тормоза трансмиссии работали в условиях сухого трения. В таблице 11 приведены расчетные скорости движения танка для двух вариантов «планетарной трансмиссии» при частоте вращения коленчатого вала двигателя 1100 и 1800 об/мин.:</w:t>
      </w:r>
    </w:p>
    <w:p w14:paraId="250A70F2"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Из таблицы видно, что в обоих вариантах трансмиссии распределение скоростей было подобрано весьма удачно – отношение скоростей соседних передач не превышало 1,56 на низших передачах и составляло 1,425 и 1,47 на высших передачах.</w:t>
      </w:r>
    </w:p>
    <w:p w14:paraId="1C9BC8A9"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Переключение передач в проекте предусматривалось осуществлять так же, как это производилось на серийном танке Т-34 – с помощью рычага кулисы (избирателя передач) и педали, выполнявшей роль педали главного фрикциона. Поворот на трех высших передачах осуществлялся включением низшей ступени планетарного бортового редуктора со стороны отстающего борта танка. Для поворота на трех низших передачах включался фрикцион заднего хода (Фзх). Для управления поворотом танка использовался левый или правый рычаг без каких-либо сервоустройств, так как данная конструкция трансмиссии предусматривала применение беспружинных фрикционов и тормозов с автоматической регулировкой зазоров между тормозным барабаном и лентой. Расчетные усилия на рычагах управления поворотами составляли 14 кгс, а на педали – не более 18 кгс. Во время движения танка при перемещении рычага управления поворотом сначала выключалась работающая ступень того борта, в сторону которого осуществлялся поворот, а затем включалась низшая ступень или передача заднего хода в зависимости от того, на какой передаче происходило прямолинейное движение танка. При перемещении одновременно двух рычагов управления поворотами в конечное положение осуществлялся режим торможения танка.</w:t>
      </w:r>
    </w:p>
    <w:p w14:paraId="1F6DBF95"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заключительной части описания «планетарной трансмиссии» разработчиками были перечислены ее преимущества перед трансмиссией серийного танка Т-34. Так, увеличение числа передач до шести (вместо четырех) способствовало повышению средней скорости движения танка, а уменьшенная скорость движения на первой передаче позволила бы танку преодолевать подъем крутизной до 45°. При переключении передач практически полностью исключалась возможность остановки танка, так как отсутствовало перемещение включаемых шестерен и каждая передача включалась с минимальным перерывом в подводе мощности к ведущим колесам. Улучшалась поворотливость танка за счет меньшей мощности, расходуемой на поворот, а также за счет возможности крутого поворота путем включения ступени заднего хода в планетарном бортовом редукторе со стороны отстающего борта. Благодаря легкому линейному перемещению рычага кулисы (избирателя передач), применению беспружинных фрикционов и тормозов, отсутствию необходимости в «перегазовке» для выравнивания скоростей шестерен при переключении передач с высшей на низшую, управление движением танка становилось значительно легче и проще.</w:t>
      </w:r>
    </w:p>
    <w:p w14:paraId="505B75D8"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Кроме этого, «планетарная трансмиссия» имела более высокий КПД и меньшие размеры, позволявшие уменьшить длину трансмиссионного отделения танка Т-34 на 110 мм. Меньшие нагрузки на узлы и детали трансмиссии, разгрузка центрального вала от радиальных усилий, а также отсутствие условий для образования торцевых сколов шестерен способствовали увеличению срока службы механизмов трансмиссии и давали возможность использовать для их изготовления менее дорогостоящие материалы.</w:t>
      </w:r>
    </w:p>
    <w:p w14:paraId="5FC4BA94" w14:textId="77777777" w:rsidR="00383D85" w:rsidRPr="00A3026E" w:rsidRDefault="00A3026E" w:rsidP="00A3026E">
      <w:pPr>
        <w:spacing w:after="0" w:line="240" w:lineRule="auto"/>
        <w:jc w:val="both"/>
        <w:rPr>
          <w:rFonts w:ascii="Times New Roman" w:hAnsi="Times New Roman"/>
          <w:color w:val="0070C0"/>
          <w:sz w:val="16"/>
          <w:szCs w:val="16"/>
        </w:rPr>
      </w:pPr>
      <w:hyperlink r:id="rId16" w:tgtFrame="_blank" w:history="1"/>
      <w:r w:rsidR="00383D85" w:rsidRPr="00A3026E">
        <w:rPr>
          <w:rFonts w:ascii="Times New Roman" w:hAnsi="Times New Roman"/>
          <w:color w:val="0070C0"/>
          <w:sz w:val="16"/>
          <w:szCs w:val="16"/>
        </w:rPr>
        <w:t>В качестве недостатка «планетарной трансмиссии» разработчиками указывалась относительная сложность ее производства, так как для изготовления отдельных деталей требовалась высокая точность механической обработки.</w:t>
      </w:r>
    </w:p>
    <w:p w14:paraId="1936BB2D" w14:textId="77777777" w:rsidR="00383D85" w:rsidRPr="00A3026E" w:rsidRDefault="00383D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Предъявленный технический проект «планетарной трансмиссии» для танка Т-34 был незамедлительно рассмотрен специалистами ГАБТУ КА с участием И.А. Благонравова и представителей НКСМ, и, несмотря на ряд недостатков, выявленных в ходе рассмотрения, в целом получил высокую оценку (20377).</w:t>
      </w:r>
    </w:p>
    <w:p w14:paraId="63B7670A" w14:textId="77777777" w:rsidR="00383D85" w:rsidRPr="00A3026E" w:rsidRDefault="00383D85" w:rsidP="00A3026E">
      <w:pPr>
        <w:spacing w:after="0" w:line="240" w:lineRule="auto"/>
        <w:jc w:val="both"/>
        <w:rPr>
          <w:rFonts w:ascii="Times New Roman" w:hAnsi="Times New Roman"/>
          <w:color w:val="0070C0"/>
          <w:sz w:val="16"/>
          <w:szCs w:val="16"/>
        </w:rPr>
      </w:pPr>
    </w:p>
    <w:p w14:paraId="659F3C15" w14:textId="77777777" w:rsidR="00A27728" w:rsidRPr="00A3026E" w:rsidRDefault="00A27728"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bCs/>
          <w:iCs/>
          <w:color w:val="000000" w:themeColor="text1"/>
          <w:sz w:val="16"/>
          <w:szCs w:val="16"/>
        </w:rPr>
        <w:t>28 сентября 1940 г.</w:t>
      </w:r>
      <w:r w:rsidRPr="00A3026E">
        <w:rPr>
          <w:rFonts w:ascii="Times New Roman" w:hAnsi="Times New Roman"/>
          <w:color w:val="000000" w:themeColor="text1"/>
          <w:sz w:val="16"/>
          <w:szCs w:val="16"/>
        </w:rPr>
        <w:t xml:space="preserve"> Приказ по Управлению артиллерийских баз и арсеналов ГАУ Красной Армии и Управлению Военно-химической защиты (УВХЗ) Красной Армии об организации уничтожения партии артхимснарядов на военно-химическом полигоне Шиханы (Саратовская область). Всего было уничтожено 275 000 снарядов, в том числе 85 000 снарядов с СОВ (17133).</w:t>
      </w:r>
    </w:p>
    <w:p w14:paraId="28D0D7FC" w14:textId="77777777" w:rsidR="00A27728" w:rsidRPr="00A3026E" w:rsidRDefault="00A27728" w:rsidP="00A3026E">
      <w:pPr>
        <w:shd w:val="clear" w:color="auto" w:fill="FFFFFF"/>
        <w:spacing w:after="0" w:line="240" w:lineRule="auto"/>
        <w:jc w:val="both"/>
        <w:rPr>
          <w:rFonts w:ascii="Times New Roman" w:hAnsi="Times New Roman"/>
          <w:color w:val="000000" w:themeColor="text1"/>
          <w:sz w:val="16"/>
          <w:szCs w:val="16"/>
        </w:rPr>
      </w:pPr>
    </w:p>
    <w:p w14:paraId="6EFA96AA"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1E72F9D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BE746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сентября 1940 года был издан совместный приказ по Управлению артиллерийских баз и арсеналов ГАУ и военно-химическому управлению РККА об организации уничтожения партии артхимснарядов на полигоне в Шиханах. Тогда было уничтожено 275000 нарядов, в том числе 85000 снарядов с СОВ (9065).</w:t>
      </w:r>
    </w:p>
    <w:p w14:paraId="3294324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A5A187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D69C0C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D14B46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сентября 1940 Гитлер отдал тайное распоряжение начать экономическую подготовку к войне против СССР (4962).</w:t>
      </w:r>
    </w:p>
    <w:p w14:paraId="6E59E3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96E318A"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28 сентября </w:t>
      </w:r>
      <w:r w:rsidRPr="00A3026E">
        <w:rPr>
          <w:rFonts w:ascii="Times New Roman" w:hAnsi="Times New Roman"/>
          <w:color w:val="000000" w:themeColor="text1"/>
          <w:sz w:val="16"/>
          <w:szCs w:val="16"/>
        </w:rPr>
        <w:t>в 1940 году приказ германского командования о переводе части военнослужащих вермахта на производство. В октябре-ноябре 1940 он коснулся 98 тысяч человек, а к апрелю 1941 из вермахта таким образом было демобилизовано 500 тысяч человек (14783).</w:t>
      </w:r>
    </w:p>
    <w:p w14:paraId="636F211F" w14:textId="77777777" w:rsidR="00A27728" w:rsidRPr="00A3026E" w:rsidRDefault="00A27728" w:rsidP="00A3026E">
      <w:pPr>
        <w:spacing w:after="0" w:line="240" w:lineRule="auto"/>
        <w:jc w:val="both"/>
        <w:rPr>
          <w:rFonts w:ascii="Times New Roman" w:hAnsi="Times New Roman"/>
          <w:color w:val="000000" w:themeColor="text1"/>
          <w:sz w:val="16"/>
          <w:szCs w:val="16"/>
        </w:rPr>
      </w:pPr>
    </w:p>
    <w:p w14:paraId="39567F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сентября 1940 были установлены контрольные цифры по производству самолетов в Германии - 345 J-88 и 60 Ju-87 в месяц (1048,40).</w:t>
      </w:r>
    </w:p>
    <w:p w14:paraId="466ADD0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CAEA0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немецкий вертолет Fa223 поднял 700 кг на высоту 7000 м (4082).</w:t>
      </w:r>
    </w:p>
    <w:p w14:paraId="2242B1A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3A5A0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сентября 1940 итальянские войска (87 тыс.) вторглись в Грецию с территории Албании, но к 7 ноября были остановлены и 14 ноября греческая армия перешла в контрнаступление и вступила в Албанию (2438,244).</w:t>
      </w:r>
    </w:p>
    <w:p w14:paraId="340239A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46B8E1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сентября 1940 итальянские войска вторглись в Грецию (4962).</w:t>
      </w:r>
    </w:p>
    <w:p w14:paraId="3D3800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8835B2B"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28 сентября </w:t>
      </w:r>
      <w:r w:rsidRPr="00A3026E">
        <w:rPr>
          <w:rFonts w:ascii="Times New Roman" w:hAnsi="Times New Roman"/>
          <w:color w:val="000000" w:themeColor="text1"/>
          <w:sz w:val="16"/>
          <w:szCs w:val="16"/>
        </w:rPr>
        <w:t>в 1940 году начинается итало-греческая война. Итальянские войска вторгаются в Грецию с территории Албании, оккупированной Италией в 1939 (14783).</w:t>
      </w:r>
    </w:p>
    <w:p w14:paraId="524D37EB" w14:textId="77777777" w:rsidR="00A27728" w:rsidRPr="00A3026E" w:rsidRDefault="00A27728" w:rsidP="00A3026E">
      <w:pPr>
        <w:spacing w:after="0" w:line="240" w:lineRule="auto"/>
        <w:jc w:val="both"/>
        <w:rPr>
          <w:rFonts w:ascii="Times New Roman" w:hAnsi="Times New Roman"/>
          <w:color w:val="000000" w:themeColor="text1"/>
          <w:sz w:val="16"/>
          <w:szCs w:val="16"/>
        </w:rPr>
      </w:pPr>
    </w:p>
    <w:p w14:paraId="77670E28"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28 сентября </w:t>
      </w:r>
      <w:r w:rsidRPr="00A3026E">
        <w:rPr>
          <w:rFonts w:ascii="Times New Roman" w:hAnsi="Times New Roman"/>
          <w:color w:val="000000" w:themeColor="text1"/>
          <w:sz w:val="16"/>
          <w:szCs w:val="16"/>
        </w:rPr>
        <w:t>в 1940 году норвежский стортинг на заседании в Осло упразднил в Норвегии монархию и утвердил новое название страны – Государство Норвегия (14783).</w:t>
      </w:r>
    </w:p>
    <w:p w14:paraId="479701ED" w14:textId="77777777" w:rsidR="00A27728" w:rsidRPr="00A3026E" w:rsidRDefault="00A27728" w:rsidP="00A3026E">
      <w:pPr>
        <w:spacing w:after="0" w:line="240" w:lineRule="auto"/>
        <w:jc w:val="both"/>
        <w:rPr>
          <w:rFonts w:ascii="Times New Roman" w:hAnsi="Times New Roman"/>
          <w:color w:val="000000" w:themeColor="text1"/>
          <w:sz w:val="16"/>
          <w:szCs w:val="16"/>
        </w:rPr>
      </w:pPr>
    </w:p>
    <w:p w14:paraId="0731C26F"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28 сентября </w:t>
      </w:r>
      <w:r w:rsidRPr="00A3026E">
        <w:rPr>
          <w:rFonts w:ascii="Times New Roman" w:hAnsi="Times New Roman"/>
          <w:color w:val="000000" w:themeColor="text1"/>
          <w:sz w:val="16"/>
          <w:szCs w:val="16"/>
        </w:rPr>
        <w:t>в 1940 году Рузвельт выступил в конгрессе по вопросу усиления мощи США в бассейне Тихого океана. Гопкинс высказался за оказание активной помощи "азиатским государствам, которые могут оказаться жертвой агрессии". Тафт заявил, что "любой ответ США на японские действия должен в первую очередь гарантировать американские интересы" (14783).</w:t>
      </w:r>
    </w:p>
    <w:p w14:paraId="1AFCCDEE" w14:textId="77777777" w:rsidR="00A27728" w:rsidRPr="00A3026E" w:rsidRDefault="00A27728" w:rsidP="00A3026E">
      <w:pPr>
        <w:spacing w:after="0" w:line="240" w:lineRule="auto"/>
        <w:jc w:val="both"/>
        <w:rPr>
          <w:rFonts w:ascii="Times New Roman" w:hAnsi="Times New Roman"/>
          <w:color w:val="000000" w:themeColor="text1"/>
          <w:sz w:val="16"/>
          <w:szCs w:val="16"/>
        </w:rPr>
      </w:pPr>
    </w:p>
    <w:p w14:paraId="6F74E060"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28 сентября </w:t>
      </w:r>
      <w:r w:rsidRPr="00A3026E">
        <w:rPr>
          <w:rFonts w:ascii="Times New Roman" w:hAnsi="Times New Roman"/>
          <w:color w:val="000000" w:themeColor="text1"/>
          <w:sz w:val="16"/>
          <w:szCs w:val="16"/>
        </w:rPr>
        <w:t>в 1940 году Таиланд потребовал от французов целиком Камбоджу и Лаос. Французское правительство не только резко отказало Таиланду, но и не преминуло заметить, что таиландское руководство "поет с чужого голоса" (14783).</w:t>
      </w:r>
    </w:p>
    <w:p w14:paraId="71D0B690" w14:textId="77777777" w:rsidR="00A27728" w:rsidRPr="00A3026E" w:rsidRDefault="00A27728" w:rsidP="00A3026E">
      <w:pPr>
        <w:spacing w:after="0" w:line="240" w:lineRule="auto"/>
        <w:jc w:val="both"/>
        <w:rPr>
          <w:rFonts w:ascii="Times New Roman" w:hAnsi="Times New Roman"/>
          <w:color w:val="000000" w:themeColor="text1"/>
          <w:sz w:val="16"/>
          <w:szCs w:val="16"/>
        </w:rPr>
      </w:pPr>
    </w:p>
    <w:p w14:paraId="6EF89D88"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52C067E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A5F39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сентября 1940 НИИ ВВС дал положительное заключение на истребитель ИВС А.Я.Щербакова (по схеме Аэрокобры с дополнительным ПВРД в хвосте), но построить так и не удалось (4,311).</w:t>
      </w:r>
    </w:p>
    <w:p w14:paraId="721D692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D58533C" w14:textId="77777777" w:rsidR="005F6E3A" w:rsidRPr="00A3026E" w:rsidRDefault="005F6E3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29 сентября 1940 г. проект высотно-ско ростного истребителя — ИВС А.Я. Щербакова по лучил положительную оценку в ВВС. Но этот проект не полу чил практического воплощения в условиях тех лет. Истреби тель одноместный по схеме «Эркобры» с дополнительным двигателем ПВРД в хвосте фюзеляжа для кратковременного увеличения скорости в бою. Поршневой двигатель ИВС — М-120 мощностью 1650 л.с. у земли и 1500 л.с. на высоте 6000 м. 18-ти цилиндровый трехрядный под 120 градусов.</w:t>
      </w:r>
    </w:p>
    <w:p w14:paraId="707E230C" w14:textId="77777777" w:rsidR="005F6E3A" w:rsidRPr="00A3026E" w:rsidRDefault="005F6E3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ПВРД разрабатывал И.А. Меркулов. Под фюзеляжем находил ся радиатор этиленгликолевого охлаждения. Нагревавшийся в нем воздух поступал к форсункам ПВРД, топливом для ко торого служил тот же бензин. Схема самолета, хороший обзор и рекордная скорость (расчетная) 700 км/ч, с включенным ПВРД — 825 км/ч, потолок — 12 000 м, с ПВРД — 14 000 м.</w:t>
      </w:r>
    </w:p>
    <w:p w14:paraId="3213861C" w14:textId="77777777" w:rsidR="005F6E3A" w:rsidRPr="00A3026E" w:rsidRDefault="005F6E3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Все это вызвало интерес у ВВС, но с началом войны и в воен ное время осуществить такой проект не было возможности.</w:t>
      </w:r>
    </w:p>
    <w:p w14:paraId="320CB8AA" w14:textId="77777777" w:rsidR="005F6E3A" w:rsidRPr="00A3026E" w:rsidRDefault="005F6E3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ПВРД разрабатывался в ОСК под руководством И.А. Мер кулова специально для ИВС. Рассматривался вариант ИВС вообще без ПД. Такой самолет методом «воздушной цепочки» должен был буксироваться на большую высоту, и после от цепки в планировании развивать скорость, обеспечивающую возможность включения и устойчивую работу ПВРД. После чего работающий ПВРД должен был развить тягу, достаточ ную для самостоятельного полета самолета с увеличением ско рости и высоты полета. К сожалению, рисунка этого самоле та найти не удалось (19586).</w:t>
      </w:r>
    </w:p>
    <w:p w14:paraId="2D151917" w14:textId="77777777" w:rsidR="005F6E3A" w:rsidRPr="00A3026E" w:rsidRDefault="005F6E3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D705E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сентября 1940 в Контрольном листе учета выполнения постановления КО СНК СССР № 325сс от 23 июля 1940 г. представителем КО СНК СССР - контролером Вахрушевым была сделана запись:</w:t>
      </w:r>
    </w:p>
    <w:p w14:paraId="7ADA92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УТИ-26</w:t>
      </w:r>
    </w:p>
    <w:p w14:paraId="2E203B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 Проходит госиспытаниям.</w:t>
      </w:r>
    </w:p>
    <w:p w14:paraId="2597A9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экз. Проходит заводские испытания (10395).</w:t>
      </w:r>
    </w:p>
    <w:p w14:paraId="464FFFA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60E9D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сентября 1940 в Контрольном листе учета выполнения постановления КО СНК СССР № 103сс от 4 марта 1940 г. представителем КО СНК СССР - контролером Вахрушевым была сделана запись:</w:t>
      </w:r>
    </w:p>
    <w:p w14:paraId="79CD70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И-200</w:t>
      </w:r>
    </w:p>
    <w:p w14:paraId="595466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20 сентября 1940.</w:t>
      </w:r>
    </w:p>
    <w:p w14:paraId="15FE6F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закончил госиспытания 13 сентября 1940 с положительной оценкой. Макс. скорость - 628 км/час.</w:t>
      </w:r>
    </w:p>
    <w:p w14:paraId="5D1927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испытаний выявлены мелкие дефекты, о которых даны указания ГК т. Микояну.</w:t>
      </w:r>
    </w:p>
    <w:p w14:paraId="28FDCC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сентября 1940 от НКАП (т. Алексеева) потребовал взять под особый контроль ход доводки самолета и доложить 15 октября 1940 (10395,33).</w:t>
      </w:r>
    </w:p>
    <w:p w14:paraId="2BAAF6E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8CE40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сентября 1940 в Контрольном листе учета выполнения постановления КО СНК СССР № 117сс от 4 марта 1940 г. представителем КО СНК СССР - контролером Вахрушевым была сделана запись:</w:t>
      </w:r>
    </w:p>
    <w:p w14:paraId="7B7C07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Аист О.К.А.</w:t>
      </w:r>
    </w:p>
    <w:p w14:paraId="603A2A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 самолета строительством закончен, но с макетными моторами.</w:t>
      </w:r>
    </w:p>
    <w:p w14:paraId="328303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экз. находится в агрегатной сборке с технической готовностью 40%. 2-й экз. Строится в санитарном варианте.</w:t>
      </w:r>
    </w:p>
    <w:p w14:paraId="6723DC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Задерживается подача мотора МВ-6 с з-да № 16 (10395,50).</w:t>
      </w:r>
    </w:p>
    <w:p w14:paraId="65D68C6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D623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сентября 1940 года врид начальника НИП АВ ВВС полковник Фадеев утвердил:</w:t>
      </w:r>
    </w:p>
    <w:p w14:paraId="1C27CF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полигонным испытаниям зажигательных авиабомб ЗАБ-2,5Т и ЗАБ-10 ТГ суррогатного снаряжения (рецептура ОТБ НКВД) и ЗАБ-10 Ф, ЗАБ-10 ФП, ЗАБ-50 Ф и ЗАБ-50 ФП конструкции ОТБ НКВД, снаряженных заводом № 80</w:t>
      </w:r>
    </w:p>
    <w:p w14:paraId="3E49A6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23 сентября 1940 года</w:t>
      </w:r>
    </w:p>
    <w:p w14:paraId="2A7FA6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29 сентября 1940 года</w:t>
      </w:r>
    </w:p>
    <w:p w14:paraId="7E2589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012A0C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2 ранга Дьячков</w:t>
      </w:r>
    </w:p>
    <w:p w14:paraId="452DEF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0E537883" w14:textId="77777777" w:rsidR="00C66762" w:rsidRPr="00A3026E" w:rsidRDefault="00C66762" w:rsidP="00A3026E">
      <w:pPr>
        <w:pStyle w:val="22"/>
        <w:widowControl/>
        <w:rPr>
          <w:color w:val="000000" w:themeColor="text1"/>
        </w:rPr>
      </w:pPr>
      <w:r w:rsidRPr="00A3026E">
        <w:rPr>
          <w:color w:val="000000" w:themeColor="text1"/>
        </w:rPr>
        <w:t>Испытание имело цель определить:</w:t>
      </w:r>
    </w:p>
    <w:p w14:paraId="3342FDC7" w14:textId="77777777" w:rsidR="00C66762" w:rsidRPr="00A3026E" w:rsidRDefault="00C66762" w:rsidP="00A3026E">
      <w:pPr>
        <w:pStyle w:val="22"/>
        <w:widowControl/>
        <w:tabs>
          <w:tab w:val="left" w:pos="360"/>
        </w:tabs>
        <w:rPr>
          <w:color w:val="000000" w:themeColor="text1"/>
        </w:rPr>
      </w:pPr>
      <w:r w:rsidRPr="00A3026E">
        <w:rPr>
          <w:color w:val="000000" w:themeColor="text1"/>
        </w:rPr>
        <w:t>Зажигательную способность.</w:t>
      </w:r>
    </w:p>
    <w:p w14:paraId="2C0E7A02" w14:textId="77777777" w:rsidR="00C66762" w:rsidRPr="00A3026E" w:rsidRDefault="00C66762" w:rsidP="00A3026E">
      <w:pPr>
        <w:pStyle w:val="22"/>
        <w:widowControl/>
        <w:tabs>
          <w:tab w:val="left" w:pos="360"/>
        </w:tabs>
        <w:rPr>
          <w:color w:val="000000" w:themeColor="text1"/>
        </w:rPr>
      </w:pPr>
      <w:r w:rsidRPr="00A3026E">
        <w:rPr>
          <w:color w:val="000000" w:themeColor="text1"/>
        </w:rPr>
        <w:t>Характер и интенсивность горения.</w:t>
      </w:r>
    </w:p>
    <w:p w14:paraId="426B79D7" w14:textId="77777777" w:rsidR="00C66762" w:rsidRPr="00A3026E" w:rsidRDefault="00C66762" w:rsidP="00A3026E">
      <w:pPr>
        <w:pStyle w:val="22"/>
        <w:widowControl/>
        <w:tabs>
          <w:tab w:val="left" w:pos="360"/>
        </w:tabs>
        <w:rPr>
          <w:color w:val="000000" w:themeColor="text1"/>
        </w:rPr>
      </w:pPr>
      <w:r w:rsidRPr="00A3026E">
        <w:rPr>
          <w:color w:val="000000" w:themeColor="text1"/>
        </w:rPr>
        <w:t>Полноту и время горения.</w:t>
      </w:r>
    </w:p>
    <w:p w14:paraId="302E0226" w14:textId="77777777" w:rsidR="00C66762" w:rsidRPr="00A3026E" w:rsidRDefault="00C66762" w:rsidP="00A3026E">
      <w:pPr>
        <w:pStyle w:val="22"/>
        <w:widowControl/>
        <w:tabs>
          <w:tab w:val="left" w:pos="360"/>
        </w:tabs>
        <w:rPr>
          <w:color w:val="000000" w:themeColor="text1"/>
        </w:rPr>
      </w:pPr>
      <w:r w:rsidRPr="00A3026E">
        <w:rPr>
          <w:color w:val="000000" w:themeColor="text1"/>
        </w:rPr>
        <w:t>Проплавляющую способность.</w:t>
      </w:r>
    </w:p>
    <w:p w14:paraId="70154BDC" w14:textId="77777777" w:rsidR="00C66762" w:rsidRPr="00A3026E" w:rsidRDefault="00C66762" w:rsidP="00A3026E">
      <w:pPr>
        <w:pStyle w:val="22"/>
        <w:widowControl/>
        <w:tabs>
          <w:tab w:val="left" w:pos="360"/>
        </w:tabs>
        <w:rPr>
          <w:color w:val="000000" w:themeColor="text1"/>
        </w:rPr>
      </w:pPr>
      <w:r w:rsidRPr="00A3026E">
        <w:rPr>
          <w:color w:val="000000" w:themeColor="text1"/>
        </w:rPr>
        <w:t>Реагирование снаряжения на прострел пулями разного типа из 7,62 мм винтовки.</w:t>
      </w:r>
    </w:p>
    <w:p w14:paraId="7C0C31E0" w14:textId="77777777" w:rsidR="00C66762" w:rsidRPr="00A3026E" w:rsidRDefault="00C66762" w:rsidP="00A3026E">
      <w:pPr>
        <w:pStyle w:val="22"/>
        <w:widowControl/>
        <w:tabs>
          <w:tab w:val="left" w:pos="360"/>
        </w:tabs>
        <w:rPr>
          <w:color w:val="000000" w:themeColor="text1"/>
        </w:rPr>
      </w:pPr>
      <w:r w:rsidRPr="00A3026E">
        <w:rPr>
          <w:color w:val="000000" w:themeColor="text1"/>
        </w:rPr>
        <w:t>Безотказность действия.</w:t>
      </w:r>
    </w:p>
    <w:p w14:paraId="7AE2616C" w14:textId="77777777" w:rsidR="00C66762" w:rsidRPr="00A3026E" w:rsidRDefault="00C66762" w:rsidP="00A3026E">
      <w:pPr>
        <w:pStyle w:val="22"/>
        <w:widowControl/>
        <w:tabs>
          <w:tab w:val="left" w:pos="360"/>
        </w:tabs>
        <w:rPr>
          <w:color w:val="000000" w:themeColor="text1"/>
        </w:rPr>
      </w:pPr>
      <w:r w:rsidRPr="00A3026E">
        <w:rPr>
          <w:color w:val="000000" w:themeColor="text1"/>
        </w:rPr>
        <w:t>Устойчивость бомб на траектории.</w:t>
      </w:r>
    </w:p>
    <w:p w14:paraId="59C060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446AAD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ЗАБ-2,5Т полигонные испытания не выдержали, как не удовлетворяющие по ТТТ в части продолжительности горения (время горения равно 1 мин. 22 сек. вместо требуемых 2 мин. 10 сек.). Но так как эта бомба по всем другим пунктам ТТТ дала вполне удовлетворительные результаты – НИП АВ считает возможным допустить ЗАБ-2,5 Т суррогатного снаряжения по рецептуре ОТБ НКВД к войсковым испытаниям.</w:t>
      </w:r>
    </w:p>
    <w:p w14:paraId="6615E5F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ЗАБ-10 ТГ суррогатного снаряжения (рецептура ОТБ НКВД) по зажигательной способности, полноте и времени горения ТГ, безотказности действия и устойчивости бомб в полете показали удовлетворительные результаты – полигонные испытания выдержали и могут быть допущены к войсковым испытаниям.</w:t>
      </w:r>
    </w:p>
    <w:p w14:paraId="7123C3A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ЗАБ-10 Ф, ЗАБ-10 ФП, ЗАБ-50 Ф и ЗАБ-50 ФП как давшие неудовлетворительные результаты по безотказности действия, по невоспламенению воспламенительного состава и не имеющие взрывателя – полигонные испытания не выдержали. Однако, эти бомбы по зажигательной способности и интенсивности горения превосходят штатные бомбы и поэтому НИП АВ считает необходимым срочно доработать их, устранив недостатки отмеченные в отчете и предъявить вновь на повторные полигонные испытания.</w:t>
      </w:r>
    </w:p>
    <w:p w14:paraId="04154A0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АВ ВВС считает большим недостатком конструкции АБ необходимость наличия специального донного взрывателя для данной конструкции бомб.</w:t>
      </w:r>
    </w:p>
    <w:p w14:paraId="3FC624F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Вследствие того, что фонтанирующие бомбы способны воспламенять объекты действуя на расстоянии, то НИП АВ ВВС считает необходимым поручить ОТБ НКВД разработать конструкцию фонтанирующей бомбы с парашютным или другим приспособлением для того, чтобы глубина проникновения бомб в грунт не превышала полкорпуса бомбы (7586).</w:t>
      </w:r>
    </w:p>
    <w:p w14:paraId="2F86096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6E0FA578" w14:textId="77777777" w:rsidR="00050AE5" w:rsidRPr="00A3026E" w:rsidRDefault="00050AE5"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94BDDA9" w14:textId="77777777" w:rsidR="00050AE5" w:rsidRPr="00A3026E" w:rsidRDefault="00050AE5" w:rsidP="00A3026E">
      <w:pPr>
        <w:spacing w:after="0" w:line="240" w:lineRule="auto"/>
        <w:jc w:val="both"/>
        <w:rPr>
          <w:rFonts w:ascii="Times New Roman" w:hAnsi="Times New Roman"/>
          <w:iCs/>
          <w:color w:val="000000" w:themeColor="text1"/>
          <w:sz w:val="16"/>
          <w:szCs w:val="16"/>
        </w:rPr>
      </w:pPr>
    </w:p>
    <w:p w14:paraId="24B6183E" w14:textId="77777777" w:rsidR="00050AE5" w:rsidRPr="00A3026E" w:rsidRDefault="00050AE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период с 29 сентября по 20 октября 1940 Т-126 с броней толщиной 55 мм,  прошел 581 километр. Про массу машины завод дипломатично не упомянул, при этом часто гуляющая цифра в 18,3 тонны - это расчетная масса. По факту танк потянул на все 20 тонн. Насколько его при этом можно называть легким, хороший вопрос. А-20 и А-32 по этому поводу тихо посмеиваются. Между тем, планы по танку, который также именовался как "СП", выглядели грандиозными. Называлась даже цифра ожидаемого выпуска 4800 танков в год. В плане работ на 1941 год значились химический Х-126 и вариант с 76-мм пушкой Ф-32 (очередная реинкарнация артиллерийского танка) (21824).</w:t>
      </w:r>
    </w:p>
    <w:p w14:paraId="78CCC641" w14:textId="77777777" w:rsidR="00050AE5" w:rsidRPr="00A3026E" w:rsidRDefault="00050AE5" w:rsidP="00A3026E">
      <w:pPr>
        <w:spacing w:after="0" w:line="240" w:lineRule="auto"/>
        <w:jc w:val="both"/>
        <w:rPr>
          <w:rFonts w:ascii="Times New Roman" w:hAnsi="Times New Roman"/>
          <w:color w:val="0070C0"/>
          <w:sz w:val="16"/>
          <w:szCs w:val="16"/>
        </w:rPr>
      </w:pPr>
    </w:p>
    <w:p w14:paraId="44247CAE"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46CFF02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23C28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сентября 1940 года в приказе по армии командующий был вынужден разбирать поражения войск при работе с СОВ во время учебных работ (официально - 4 эпизода в различных войсковых частях, общее число пострадавших - 10). Генерал был эмоционален: "командиры частей и соединений несерьезно относятся к подготовке и проведению столь важного мероприятия, как показные учения по преодолению действительных участков заражения" (9065).</w:t>
      </w:r>
    </w:p>
    <w:p w14:paraId="48F5781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B7BA20D" w14:textId="036C9B3D" w:rsidR="00783F23" w:rsidRPr="00A3026E" w:rsidRDefault="00783F23"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За рубежом:</w:t>
      </w:r>
    </w:p>
    <w:p w14:paraId="69711FC0" w14:textId="77777777" w:rsidR="00783F23" w:rsidRPr="00A3026E" w:rsidRDefault="00783F23" w:rsidP="00A3026E">
      <w:pPr>
        <w:spacing w:after="0" w:line="240" w:lineRule="auto"/>
        <w:jc w:val="both"/>
        <w:rPr>
          <w:rFonts w:ascii="Times New Roman" w:hAnsi="Times New Roman"/>
          <w:i/>
          <w:iCs/>
          <w:color w:val="000000" w:themeColor="text1"/>
          <w:sz w:val="16"/>
          <w:szCs w:val="16"/>
        </w:rPr>
      </w:pPr>
    </w:p>
    <w:p w14:paraId="788C27E8" w14:textId="77777777" w:rsidR="00783F23" w:rsidRPr="00A3026E" w:rsidRDefault="00783F2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29 сентября 1940 два авиалайнера Королевских ВВС Австралии Авро Ансона из 2-й школы служебных полетов с двумя людьми на борту каждого самолета сталкиваются в воздухе над Броклсби, Новый Южный Уэльс, Австралия, и сцепляются друг с другом. Двигатели нижнего самолета продолжают работать, и пилот верхнего самолета обнаруживает, что может управлять двумя самолетами, используя свои элероны и закрылки. Он благополучно приземляет самолеты, все еще сблокированные, в паддоке недалеко от Броклсбери, и все четверо выживают, и только один из них ранен (20795).</w:t>
      </w:r>
    </w:p>
    <w:p w14:paraId="33E3EAB0" w14:textId="77777777" w:rsidR="00783F23" w:rsidRPr="00A3026E" w:rsidRDefault="00783F23" w:rsidP="00A3026E">
      <w:pPr>
        <w:spacing w:after="0" w:line="240" w:lineRule="auto"/>
        <w:jc w:val="both"/>
        <w:rPr>
          <w:rFonts w:ascii="Times New Roman" w:hAnsi="Times New Roman"/>
          <w:color w:val="0070C0"/>
          <w:sz w:val="16"/>
          <w:szCs w:val="16"/>
        </w:rPr>
      </w:pPr>
    </w:p>
    <w:p w14:paraId="0C0CF8BA" w14:textId="41049FBE"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8AEC06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317F8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сентября 1940 года вышло решение начальника ГУ ВВС Рычагова, согласно которому заводам 18, 39 и 126 надлежало на всех выпускаемых и сдаваемых в строевые части ВВС самолетах ДБ-3 устанавливать масляные радиаторы по новой схеме - в туннелях в крыле (4380).</w:t>
      </w:r>
    </w:p>
    <w:p w14:paraId="1998982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E113C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сентября 1940 прошел гос. испытания и был принят в серию ДБ-3Ф (438,788).</w:t>
      </w:r>
    </w:p>
    <w:p w14:paraId="464F8BA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4AD9B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сентября 1940 года начальник ГУ ВВС генерал-лейтенант авиации Рычагов утвердил:</w:t>
      </w:r>
    </w:p>
    <w:p w14:paraId="433168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о госиспытании самолета ДБ3Ф-2М88 с ВИШ-23 за № 39801 эталона второй половины 1940 года</w:t>
      </w:r>
    </w:p>
    <w:p w14:paraId="59806C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2ED40B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2 отделения 1 отдела НИИ ВВС в/инженер 1 ранга Марков И.В.</w:t>
      </w:r>
    </w:p>
    <w:p w14:paraId="17BA70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НИИ ВВС в/инженер 2 ранга Кокорин Н.М.</w:t>
      </w:r>
    </w:p>
    <w:p w14:paraId="66868D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Летчик-испытатель капитан Сыроегин А.Л.</w:t>
      </w:r>
    </w:p>
    <w:p w14:paraId="52FF26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216B095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Снять летные характеристики самолета ДБ3Ф-2М88 с ВИШ-23 за № 39801 со стрелковыми установками МВ-2 и МВ-3 и с СУ-ДБ3.</w:t>
      </w:r>
    </w:p>
    <w:p w14:paraId="225323C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винтомоторной группы самолета ДБ3Ф с 2М88 и ВИШ-23 с улучшенной ВМГ.</w:t>
      </w:r>
    </w:p>
    <w:p w14:paraId="6A8F7D5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стрелкового и бомбардировочного вооружения.</w:t>
      </w:r>
    </w:p>
    <w:p w14:paraId="1DC7CDA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спецоборудования в дневных условиях.</w:t>
      </w:r>
    </w:p>
    <w:p w14:paraId="1529DD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 39 предъявлен на испытание в качестве образца для строительства самолетов 2-й половины 1940 года самолет ДБ3Ф-2М88 с ВИШ-23 за № 390801. Самолет № 390801 отличается от ранее испытанных самолетов ДБ3Ф-2М88 рядом улучшений:</w:t>
      </w:r>
    </w:p>
    <w:p w14:paraId="0232DD6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планеру самолета. Клепка крыла и фюзеляжа произведена впотай. Улучшена укладка плексигласа – в носовой части фюзеляжа – кабина штурмана. Передняя часть колпака летчика остеклена гнутым плексигласом взамен плоского. Установлен убирающийся в полете костыль. Масляные радиаторы убраны вовнутрь передней кромки крыла. Самолет окрашен по шпаклевке эмалевой краской: сверху темно зеленой, снизу – светло голубой.</w:t>
      </w:r>
    </w:p>
    <w:p w14:paraId="7463B2B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капотированию моторов. Вместо капотов типа "Ф" с уменьшенным входным сечением, установлены капоты типа "Б" с входным сечением большим, чем у капота "Ф". Всасывающий патрубок капота "Б" удлинен до переднего обреза кольца "NACA". Управление юбками капота установлено механическое, вместо гидравлического.</w:t>
      </w:r>
    </w:p>
    <w:p w14:paraId="2FCD216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системе воздушно-масляного охлаждения. На самолете поставлены 2 восьмидюймовых радиатора на мотор. Горячее масло, поступившее для охлаждения в радиаторы из мотора движется навстречу потока воздуха.</w:t>
      </w:r>
    </w:p>
    <w:p w14:paraId="6B8853D9" w14:textId="77777777" w:rsidR="00C66762" w:rsidRPr="00A3026E" w:rsidRDefault="00C66762" w:rsidP="00A3026E">
      <w:pPr>
        <w:pStyle w:val="22"/>
        <w:widowControl/>
        <w:rPr>
          <w:color w:val="000000" w:themeColor="text1"/>
        </w:rPr>
      </w:pPr>
      <w:r w:rsidRPr="00A3026E">
        <w:rPr>
          <w:color w:val="000000" w:themeColor="text1"/>
        </w:rPr>
        <w:t>Масло сперва поступает в радиатор, расположенный ближе к мотору, из этого радиатора в другой, расположенный дальше от мотора. Воздух, поступивший для охлаждения масла, в первую очередь проходит через соты радиатора, удаленного от мотора и потом только попадает в радиатор, расположенный ближе к мотору.</w:t>
      </w:r>
    </w:p>
    <w:p w14:paraId="6805925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спецоборудованию. В основном электрооборудование изменено в части устранения дефектов, указанных ранее в отчетах по испытаниям самолета ДБ3Ф. Кроме того, установлен фотоаппарат "АФА-Б" и кассеты под парашютные ракеты "КАС-8".</w:t>
      </w:r>
    </w:p>
    <w:p w14:paraId="38CBB34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вооружению. Установлены стрелковые установки МВ-2 и МВ-3 вместо СУ и ДУ.</w:t>
      </w:r>
    </w:p>
    <w:p w14:paraId="79AA64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испытания 16 июля 1940 года</w:t>
      </w:r>
    </w:p>
    <w:p w14:paraId="18DC2A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закончил испытания 23 августа 1940 года</w:t>
      </w:r>
    </w:p>
    <w:p w14:paraId="514CD1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испытаний 38 дней, из них летных испытаний 13 дней</w:t>
      </w:r>
    </w:p>
    <w:p w14:paraId="0B1010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полетов – 29 общей продолжительностью 28 час. 37 мин, из них 8 полетов свыше 8000 м</w:t>
      </w:r>
    </w:p>
    <w:p w14:paraId="024E1A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полетов вне плана по программе испытаний взлетов на 2-й скорости нагнетателя – 26 полетов продолжительностью 4 часа 33 мин.</w:t>
      </w:r>
    </w:p>
    <w:p w14:paraId="0949B0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произведено полетов за 38 дней – 55, продолжительностью 33 час. 10 мин.</w:t>
      </w:r>
    </w:p>
    <w:p w14:paraId="6B0D80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00130F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летно-тактическим данным</w:t>
      </w:r>
    </w:p>
    <w:p w14:paraId="765600E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максимальные горизонтальные скорости полета самолета ДБ3Ф-2М88 с ВИШ-23 со стрелковыми установками СУ-ДБ3 и ЛУ-ДБ3 получены:</w:t>
      </w:r>
    </w:p>
    <w:p w14:paraId="5C6EBF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на испытываемом самолете-эталоне второй половины 1940 года 448 км/час на Н=6700 м;</w:t>
      </w:r>
    </w:p>
    <w:p w14:paraId="1FC396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 серийном самолете первой половины 1940 года 425 км/час на Н=6200 м, т.е. получаем на эталоне прирост скорости на 23 км/час и высотности мотора на самолете на 500 м.</w:t>
      </w:r>
    </w:p>
    <w:p w14:paraId="2D76059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Увеличение скорости полета самолета на 23 км/час произошло за счет:</w:t>
      </w:r>
    </w:p>
    <w:p w14:paraId="23C226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улучшения всасывающей системы капота "Б";</w:t>
      </w:r>
    </w:p>
    <w:p w14:paraId="6A3FC4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нового расположения воздушно-масляных радиаторов, вписывающихся в габариты крыла и лучшей отделки фюзеляжа и крыла.</w:t>
      </w:r>
    </w:p>
    <w:p w14:paraId="2B578EC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Максимальные горизонтальные скорости полета самолета ДБ3Ф-2М88 с ВИШ-23 эталона второй половины 1940 года на высоте 6700 м, получены:</w:t>
      </w:r>
    </w:p>
    <w:p w14:paraId="590E55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 СУ-ДБ3 и ЛУ-ДБ3 в боевом положении – 448 км/час</w:t>
      </w:r>
    </w:p>
    <w:p w14:paraId="15ECE9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 МВ-2 и МВ-3 в боевом положении – 429 км/час</w:t>
      </w:r>
    </w:p>
    <w:p w14:paraId="3CB3DB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 уменьшение скорости для боевого положения за счет замены СУ-ДБ3 и ЛУ-ДБ3 на МВ-2 и МВ-3 соответствует 19 км/час, из которых за счет:</w:t>
      </w:r>
    </w:p>
    <w:p w14:paraId="5B0ACF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МВ-2 – на 6 км/час</w:t>
      </w:r>
    </w:p>
    <w:p w14:paraId="48B504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Мв-3 – на 13 км/час</w:t>
      </w:r>
    </w:p>
    <w:p w14:paraId="638519D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самолета эталона второй половины 1940 года с моторами М-88 с стрелковыми установками СУ и ЛУ, получено:</w:t>
      </w:r>
    </w:p>
    <w:p w14:paraId="043D14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5000 м – 10, 54 мин.</w:t>
      </w:r>
    </w:p>
    <w:p w14:paraId="365722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практического потолка – 40 мин.</w:t>
      </w:r>
    </w:p>
    <w:p w14:paraId="47DD1B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практического потолка – 10000 м</w:t>
      </w:r>
    </w:p>
    <w:p w14:paraId="086A8D7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этого же самолета, но со стрелковыми установками МВ02 и МВ-3:</w:t>
      </w:r>
    </w:p>
    <w:p w14:paraId="7AC1B8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5000 м</w:t>
      </w:r>
    </w:p>
    <w:p w14:paraId="74C9BE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практического потолка</w:t>
      </w:r>
    </w:p>
    <w:p w14:paraId="7AA190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практического потолка – 9700 м</w:t>
      </w:r>
    </w:p>
    <w:p w14:paraId="233A22B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походном положении МВ-2 убирается полностью вовнутрь фюзеляжа и тогда самолет увеличивает максимальную скорость полета на 6 км/час.</w:t>
      </w:r>
    </w:p>
    <w:p w14:paraId="0853672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Влияние на изменение максимальных скоростей полета от положения турели СУ в походном и боевом положении – не обнаружено в практических полетах на самолете ДБ3Ф на всем диапазоне высот.</w:t>
      </w:r>
    </w:p>
    <w:p w14:paraId="02AA243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самолета увеличился на 51 кг за счет установки:</w:t>
      </w:r>
    </w:p>
    <w:p w14:paraId="543CC1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убирающегося костыля с механическим управлением</w:t>
      </w:r>
    </w:p>
    <w:p w14:paraId="39C7E7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оборудования под фотоаппарат АФА-Б</w:t>
      </w:r>
    </w:p>
    <w:p w14:paraId="45030B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кассет "КАС-8"</w:t>
      </w:r>
    </w:p>
    <w:p w14:paraId="20EEB2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окраски и шпаклевки самолета</w:t>
      </w:r>
    </w:p>
    <w:p w14:paraId="0052669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Пилотирование самолета осталось одинаковым с ранее испытанными самолетами ДБ3Ф, за исключением того, что при повороте пулемета на стрелковой установке МВ-2 в ту или иную сторону, самолет ходит по горизонту, создавая крен до 3 градусов. Этот крен легко парируется рулем поворота.</w:t>
      </w:r>
    </w:p>
    <w:p w14:paraId="74378A4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отклонении юбок капотов выше линии капотов более чем на 5-10 градусов в горизонтальном полете и особенно на разворотах и виражах, вибрирует хвостовое оперение.</w:t>
      </w:r>
    </w:p>
    <w:p w14:paraId="11C169B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Благодаря убиранию хвостового колеса увеличились углы обстрела из МВ-2 вверх по оси самолета на 5 градусов.</w:t>
      </w:r>
    </w:p>
    <w:p w14:paraId="44016D1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Механическое управление убирающимся хвостовым колесом не отработано, так как запереть колесо в верхнем положении с мечта стрелка-радиста не всегда удается. Для запирания колеса лебедкой, расположенной на 34 раме, стрелку необходимо подлезать под лонжероны стабилизатора, для чего требуется снять парашют и вращать лебедку в положении лежа.</w:t>
      </w:r>
    </w:p>
    <w:p w14:paraId="05C3F7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винтомоторной группе</w:t>
      </w:r>
    </w:p>
    <w:p w14:paraId="49F547A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Схема последовательного включения воздушно-масляных радиаторов и расположение их внутри крыла увеличило их эффективность по сравнению с установкой на серийных самолетах ДБ3Ф.</w:t>
      </w:r>
    </w:p>
    <w:p w14:paraId="61C9E91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Система охлаждения масла обеспечивает нормальную эксплуатацию моторов М-88 на всех режимах и видах полетов.</w:t>
      </w:r>
    </w:p>
    <w:p w14:paraId="19FF1B8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Капоты типа "Б" по температурным режимам практически одинаковы как и капоты типа "Ф" при всех видах и режимах полетов.</w:t>
      </w:r>
    </w:p>
    <w:p w14:paraId="6ACECDA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Высотность мотора М-88 на самолете ДБ3Ф с капотами типа "Б" равна 6700 м, т.е. на 500 м выше, чем с капотами "Ф".</w:t>
      </w:r>
    </w:p>
    <w:p w14:paraId="1AB526F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Обтекание крыла за ВМГ при наличии капотов "Б" происходит более плавно, без срывов, что улучшает поведение самолета на всех режимах полета.</w:t>
      </w:r>
    </w:p>
    <w:p w14:paraId="32A47F5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удлинением всасывающего патрубка капота "Б", устраняется возможность засорения сетки карбюратора снегом и травой на взлете.</w:t>
      </w:r>
    </w:p>
    <w:p w14:paraId="6BB6DE0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Механическое управление юбками капотов лучше, чем гидравлическое, но требует много движений – 26-30 перехватов рукой, для открытия юбок из закрытого положения.</w:t>
      </w:r>
    </w:p>
    <w:p w14:paraId="617001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довести до 8-10 перехватов, без снижения легкости управления.</w:t>
      </w:r>
    </w:p>
    <w:p w14:paraId="20E3CDE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Газоанализаторы типа ГА-50 работали неудовлетворительно.</w:t>
      </w:r>
    </w:p>
    <w:p w14:paraId="5E5EA3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 стрелковому вооружению.</w:t>
      </w:r>
    </w:p>
    <w:p w14:paraId="6FA23A4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Носовая стрелковая установка НУ-ДБ3Ф работает безотказно на всех скоростях и высотах. Установка обладает хорошей маневренностью и удобством эксплуатации.</w:t>
      </w:r>
    </w:p>
    <w:p w14:paraId="3DA1DE9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Недостатком прицела НУ-ДБ3Ф является невозможность учета собственной скорости самолета менее 400 км/час.</w:t>
      </w:r>
    </w:p>
    <w:p w14:paraId="05E49D2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Установленная экранированная турель МВ-3имеет ряд преимуществ в сравнении с турелью СУ-ДБ3 завода № 39:</w:t>
      </w:r>
    </w:p>
    <w:p w14:paraId="2E6C81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турель легко вращается на 360 градусов при всех скоростях самолета и на всех высотах;</w:t>
      </w:r>
    </w:p>
    <w:p w14:paraId="13AE4A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обеспечивает лучший маневр оружием в горизонтальной и вертикальной плоскостях;</w:t>
      </w:r>
    </w:p>
    <w:p w14:paraId="2071CB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стрелок полностью защищен от воздушного потока;</w:t>
      </w:r>
    </w:p>
    <w:p w14:paraId="488652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ведение стрельбы вниз облегчено за счет полного экранирования стрелка при всех возможных вертикальных углах стрельбы;</w:t>
      </w:r>
    </w:p>
    <w:p w14:paraId="640702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улучшает обзор и подход к МВ-2;</w:t>
      </w:r>
    </w:p>
    <w:p w14:paraId="7BE7CA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при любом положении турели МВ-3, рации РСБ, пульт с ключом и приборы: часы, высотомер, указатель скорости, КПА-3 бис – не загораживаются патронным ящиком.</w:t>
      </w:r>
    </w:p>
    <w:p w14:paraId="064CA50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Стрелковая установка МВ-2 с оптическим прицелом ОП-2 имеет большое преимущество перед ранее установленной ЛУ-ДБ3, так как:</w:t>
      </w:r>
    </w:p>
    <w:p w14:paraId="45643F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усиливает оборону самолета от атак противника под хвост;</w:t>
      </w:r>
    </w:p>
    <w:p w14:paraId="31E068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установка позволяет вести огонь:</w:t>
      </w:r>
    </w:p>
    <w:p w14:paraId="092023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выше горизонта на +9 градусов, по вертикали строго по оси самолета от +4 градусов до – 62 градусов по горизонтали влево от оси самолета 25 градусов и вправо 30 градусов.</w:t>
      </w:r>
    </w:p>
    <w:p w14:paraId="30EDD9F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сравнению с ЛУ-ДБ3 увеличивается обстрел в задней полусфере на 5,7%.</w:t>
      </w:r>
    </w:p>
    <w:p w14:paraId="2FCF47D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требования в отчете по испытанию самолета ДБ3Ф № 204, пол в кабине стрелка-радиста не обеспечивает удобств для стрельбы лежа, вследствие чего для ведения огня с МВ-2 стрелку приходится очень сильно изгибать шею, что усугубляется отсутствием упоров для тела, как при стрельбе лежа, так и с колен.</w:t>
      </w:r>
    </w:p>
    <w:p w14:paraId="3E0514D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Установленная на 34-й раме шкворневая стрелковая установка под пулемет ШКАС калибра 7,62 мм имеет преимущество перед люковой установкой МВ-2 в том отношении, что она допускает непосредственный обзор задней полусферы. Окончательный вывод об установке дать нельзя, так как она не была полностью смонтирована.</w:t>
      </w:r>
    </w:p>
    <w:p w14:paraId="63FE87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По бомбардировочному вооружению.</w:t>
      </w:r>
    </w:p>
    <w:p w14:paraId="3695A7B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Бомбардировочное вооружение работает удовлетворительно.</w:t>
      </w:r>
    </w:p>
    <w:p w14:paraId="264FD87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увеличения вариантов загрузок бомбами ФАБ-100 и ФАБ-50 на замках Дер-19, установить переходники под бомбы ФАБ-100 и ФАБ-50 конструкции завода № 32.</w:t>
      </w:r>
    </w:p>
    <w:p w14:paraId="602F53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29F3C8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ДБ-3ф 2М-88 № 390801 с винтом ВИШ-23, с пулеметными установками МВ2 и МВ3 в боевом положении – эталон второй половины 1940 года дал прирост максимальной скорости по сравнению с аналогичным серийным самолетом, но с расположением воздушно-масляных радиаторов в носке крыла – снаружи – 19 км/час.</w:t>
      </w:r>
    </w:p>
    <w:p w14:paraId="01E2FEE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Недоведенность мотора М-88, выявленная в процессе эксплуатации в строевых частях ВВС, в НИИ ВВС и на заводах НКАП самолетов с этими моторами, ставит вопрос о невозможности принятия самолета ДБ3Ф-2М-88 в качестве эталона на вторую половину 1940 года.</w:t>
      </w:r>
    </w:p>
    <w:p w14:paraId="7C59022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доводки мотора М-88 на выпускаемые самолеты ДБ3ф устанавливать моторы М-87Б.</w:t>
      </w:r>
    </w:p>
    <w:p w14:paraId="7DB3D0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Дефекты отмеченные настоящим отчетом по планеру самолета, вооружению и оборудованию подлежат устранению в очередных сериях.</w:t>
      </w:r>
    </w:p>
    <w:p w14:paraId="76651D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Прирост максимальной скорости полета самолета в 23 км/час, на самолете ДБ3ф с установками СУ и ЛУ и 19 км/час на самолете ДБ3ф с установками МВ2 и МВ3 в боевом положении, полученный в основном за счет нового расположения воздушно-масляных радиаторов делает целесообразным установку их на всех ранее выпущенных самолетах ДБ-3ф по образцу самолета ДБ-3ф 2М-88 № 390801, о чем необходимо возбудить ходатайство перед КО при СНК.</w:t>
      </w:r>
    </w:p>
    <w:p w14:paraId="20185C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7108"/>
        <w:gridCol w:w="1256"/>
      </w:tblGrid>
      <w:tr w:rsidR="00983732" w:rsidRPr="00A3026E" w14:paraId="257DDBA0" w14:textId="77777777" w:rsidTr="00EA0DA7">
        <w:tc>
          <w:tcPr>
            <w:tcW w:w="1809" w:type="dxa"/>
          </w:tcPr>
          <w:p w14:paraId="61B0FA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Дата</w:t>
            </w:r>
          </w:p>
        </w:tc>
        <w:tc>
          <w:tcPr>
            <w:tcW w:w="7108" w:type="dxa"/>
          </w:tcPr>
          <w:p w14:paraId="5D8274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Краткое содержание работ </w:t>
            </w:r>
          </w:p>
        </w:tc>
        <w:tc>
          <w:tcPr>
            <w:tcW w:w="1256" w:type="dxa"/>
          </w:tcPr>
          <w:p w14:paraId="70AC85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Продолжительность полета</w:t>
            </w:r>
          </w:p>
        </w:tc>
      </w:tr>
      <w:tr w:rsidR="00983732" w:rsidRPr="00A3026E" w14:paraId="74513B70" w14:textId="77777777" w:rsidTr="00EA0DA7">
        <w:tc>
          <w:tcPr>
            <w:tcW w:w="1809" w:type="dxa"/>
          </w:tcPr>
          <w:p w14:paraId="685F5F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июля 1940 года</w:t>
            </w:r>
          </w:p>
        </w:tc>
        <w:tc>
          <w:tcPr>
            <w:tcW w:w="7108" w:type="dxa"/>
          </w:tcPr>
          <w:p w14:paraId="2DE5F51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Проверка работы шасси.</w:t>
            </w:r>
          </w:p>
          <w:p w14:paraId="69F8689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Проверка работы костыля.</w:t>
            </w:r>
          </w:p>
          <w:p w14:paraId="79D2598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r w:rsidRPr="00A3026E">
              <w:rPr>
                <w:rFonts w:ascii="Times New Roman" w:hAnsi="Times New Roman"/>
                <w:color w:val="000000" w:themeColor="text1"/>
                <w:sz w:val="16"/>
                <w:szCs w:val="16"/>
              </w:rPr>
              <w:tab/>
              <w:t>Полеты на опробование аппаратуры, моторов и тренировка.</w:t>
            </w:r>
          </w:p>
        </w:tc>
        <w:tc>
          <w:tcPr>
            <w:tcW w:w="1256" w:type="dxa"/>
          </w:tcPr>
          <w:p w14:paraId="15C077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полетов</w:t>
            </w:r>
          </w:p>
          <w:p w14:paraId="13A677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35 мин.</w:t>
            </w:r>
          </w:p>
        </w:tc>
      </w:tr>
      <w:tr w:rsidR="00983732" w:rsidRPr="00A3026E" w14:paraId="7E3353C4" w14:textId="77777777" w:rsidTr="00EA0DA7">
        <w:tc>
          <w:tcPr>
            <w:tcW w:w="1809" w:type="dxa"/>
          </w:tcPr>
          <w:p w14:paraId="6B6235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июля 1940 года</w:t>
            </w:r>
          </w:p>
        </w:tc>
        <w:tc>
          <w:tcPr>
            <w:tcW w:w="7108" w:type="dxa"/>
          </w:tcPr>
          <w:p w14:paraId="31BC3AF0" w14:textId="77777777" w:rsidR="00C66762" w:rsidRPr="00A3026E" w:rsidRDefault="00C66762" w:rsidP="00A3026E">
            <w:pPr>
              <w:pStyle w:val="22"/>
              <w:widowControl/>
              <w:tabs>
                <w:tab w:val="left" w:pos="360"/>
              </w:tabs>
              <w:rPr>
                <w:color w:val="000000" w:themeColor="text1"/>
              </w:rPr>
            </w:pPr>
            <w:r w:rsidRPr="00A3026E">
              <w:rPr>
                <w:color w:val="000000" w:themeColor="text1"/>
              </w:rPr>
              <w:t>1.</w:t>
            </w:r>
            <w:r w:rsidRPr="00A3026E">
              <w:rPr>
                <w:color w:val="000000" w:themeColor="text1"/>
              </w:rPr>
              <w:tab/>
              <w:t>Полет на скороподъемность и скорости по высотам с капотом "Б" и стрелковыми установками СУ и ЛУ.</w:t>
            </w:r>
          </w:p>
          <w:p w14:paraId="1D2DE1A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Полет на километраж.</w:t>
            </w:r>
          </w:p>
        </w:tc>
        <w:tc>
          <w:tcPr>
            <w:tcW w:w="1256" w:type="dxa"/>
          </w:tcPr>
          <w:p w14:paraId="043797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55 мин.</w:t>
            </w:r>
          </w:p>
          <w:p w14:paraId="63BD865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8D77F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15 мин.</w:t>
            </w:r>
          </w:p>
        </w:tc>
      </w:tr>
      <w:tr w:rsidR="00983732" w:rsidRPr="00A3026E" w14:paraId="3D87E5E0" w14:textId="77777777" w:rsidTr="00EA0DA7">
        <w:tc>
          <w:tcPr>
            <w:tcW w:w="1809" w:type="dxa"/>
          </w:tcPr>
          <w:p w14:paraId="122192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июля 1940 года</w:t>
            </w:r>
          </w:p>
        </w:tc>
        <w:tc>
          <w:tcPr>
            <w:tcW w:w="7108" w:type="dxa"/>
          </w:tcPr>
          <w:p w14:paraId="2CF44119" w14:textId="77777777" w:rsidR="00C66762" w:rsidRPr="00A3026E" w:rsidRDefault="00C66762" w:rsidP="00A3026E">
            <w:pPr>
              <w:pStyle w:val="22"/>
              <w:widowControl/>
              <w:tabs>
                <w:tab w:val="left" w:pos="360"/>
              </w:tabs>
              <w:rPr>
                <w:color w:val="000000" w:themeColor="text1"/>
              </w:rPr>
            </w:pPr>
            <w:r w:rsidRPr="00A3026E">
              <w:rPr>
                <w:color w:val="000000" w:themeColor="text1"/>
              </w:rPr>
              <w:t>1.</w:t>
            </w:r>
            <w:r w:rsidRPr="00A3026E">
              <w:rPr>
                <w:color w:val="000000" w:themeColor="text1"/>
              </w:rPr>
              <w:tab/>
              <w:t>Полет на скороподъемность и скорости по высотам.</w:t>
            </w:r>
          </w:p>
          <w:p w14:paraId="31721720" w14:textId="77777777" w:rsidR="00C66762" w:rsidRPr="00A3026E" w:rsidRDefault="00C66762" w:rsidP="00A3026E">
            <w:pPr>
              <w:pStyle w:val="22"/>
              <w:widowControl/>
              <w:tabs>
                <w:tab w:val="left" w:pos="360"/>
              </w:tabs>
              <w:rPr>
                <w:color w:val="000000" w:themeColor="text1"/>
              </w:rPr>
            </w:pPr>
            <w:r w:rsidRPr="00A3026E">
              <w:rPr>
                <w:color w:val="000000" w:themeColor="text1"/>
              </w:rPr>
              <w:t>2.</w:t>
            </w:r>
            <w:r w:rsidRPr="00A3026E">
              <w:rPr>
                <w:color w:val="000000" w:themeColor="text1"/>
              </w:rPr>
              <w:tab/>
              <w:t>Полет на стабилизацию температур.</w:t>
            </w:r>
          </w:p>
        </w:tc>
        <w:tc>
          <w:tcPr>
            <w:tcW w:w="1256" w:type="dxa"/>
          </w:tcPr>
          <w:p w14:paraId="00EE05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час. 00 мин.</w:t>
            </w:r>
          </w:p>
          <w:p w14:paraId="46581E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45 мин.</w:t>
            </w:r>
          </w:p>
        </w:tc>
      </w:tr>
      <w:tr w:rsidR="00983732" w:rsidRPr="00A3026E" w14:paraId="24477E34" w14:textId="77777777" w:rsidTr="00EA0DA7">
        <w:tc>
          <w:tcPr>
            <w:tcW w:w="1809" w:type="dxa"/>
          </w:tcPr>
          <w:p w14:paraId="218A8F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июля 1940 года</w:t>
            </w:r>
          </w:p>
        </w:tc>
        <w:tc>
          <w:tcPr>
            <w:tcW w:w="7108" w:type="dxa"/>
          </w:tcPr>
          <w:p w14:paraId="5BA39227" w14:textId="77777777" w:rsidR="00C66762" w:rsidRPr="00A3026E" w:rsidRDefault="00C66762" w:rsidP="00A3026E">
            <w:pPr>
              <w:pStyle w:val="22"/>
              <w:widowControl/>
              <w:tabs>
                <w:tab w:val="left" w:pos="360"/>
              </w:tabs>
              <w:rPr>
                <w:color w:val="000000" w:themeColor="text1"/>
              </w:rPr>
            </w:pPr>
            <w:r w:rsidRPr="00A3026E">
              <w:rPr>
                <w:color w:val="000000" w:themeColor="text1"/>
              </w:rPr>
              <w:t>1.</w:t>
            </w:r>
            <w:r w:rsidRPr="00A3026E">
              <w:rPr>
                <w:color w:val="000000" w:themeColor="text1"/>
              </w:rPr>
              <w:tab/>
              <w:t>Полет на километраж.</w:t>
            </w:r>
          </w:p>
          <w:p w14:paraId="2D2AD615" w14:textId="77777777" w:rsidR="00C66762" w:rsidRPr="00A3026E" w:rsidRDefault="00C66762" w:rsidP="00A3026E">
            <w:pPr>
              <w:pStyle w:val="22"/>
              <w:widowControl/>
              <w:tabs>
                <w:tab w:val="left" w:pos="360"/>
              </w:tabs>
              <w:rPr>
                <w:color w:val="000000" w:themeColor="text1"/>
              </w:rPr>
            </w:pPr>
            <w:r w:rsidRPr="00A3026E">
              <w:rPr>
                <w:color w:val="000000" w:themeColor="text1"/>
              </w:rPr>
              <w:t>2.</w:t>
            </w:r>
            <w:r w:rsidRPr="00A3026E">
              <w:rPr>
                <w:color w:val="000000" w:themeColor="text1"/>
              </w:rPr>
              <w:tab/>
              <w:t>Полет-перегонка на ЦА.</w:t>
            </w:r>
          </w:p>
        </w:tc>
        <w:tc>
          <w:tcPr>
            <w:tcW w:w="1256" w:type="dxa"/>
          </w:tcPr>
          <w:p w14:paraId="5F63BD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07 мин.</w:t>
            </w:r>
          </w:p>
          <w:p w14:paraId="106596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мин.</w:t>
            </w:r>
          </w:p>
        </w:tc>
      </w:tr>
      <w:tr w:rsidR="00983732" w:rsidRPr="00A3026E" w14:paraId="1AC548D0" w14:textId="77777777" w:rsidTr="00EA0DA7">
        <w:tc>
          <w:tcPr>
            <w:tcW w:w="1809" w:type="dxa"/>
          </w:tcPr>
          <w:p w14:paraId="65C15E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июля 1940 года</w:t>
            </w:r>
          </w:p>
        </w:tc>
        <w:tc>
          <w:tcPr>
            <w:tcW w:w="7108" w:type="dxa"/>
          </w:tcPr>
          <w:p w14:paraId="465C6E4C" w14:textId="77777777" w:rsidR="00C66762" w:rsidRPr="00A3026E" w:rsidRDefault="00C66762" w:rsidP="00A3026E">
            <w:pPr>
              <w:pStyle w:val="22"/>
              <w:widowControl/>
              <w:rPr>
                <w:color w:val="000000" w:themeColor="text1"/>
              </w:rPr>
            </w:pPr>
            <w:r w:rsidRPr="00A3026E">
              <w:rPr>
                <w:color w:val="000000" w:themeColor="text1"/>
              </w:rPr>
              <w:t>Полет-перегонка с ЦА в Чкаловскую.</w:t>
            </w:r>
          </w:p>
        </w:tc>
        <w:tc>
          <w:tcPr>
            <w:tcW w:w="1256" w:type="dxa"/>
          </w:tcPr>
          <w:p w14:paraId="63003A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мин.</w:t>
            </w:r>
          </w:p>
        </w:tc>
      </w:tr>
      <w:tr w:rsidR="00983732" w:rsidRPr="00A3026E" w14:paraId="4971900D" w14:textId="77777777" w:rsidTr="00EA0DA7">
        <w:tc>
          <w:tcPr>
            <w:tcW w:w="1809" w:type="dxa"/>
          </w:tcPr>
          <w:p w14:paraId="1D8713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июля 1940 года</w:t>
            </w:r>
          </w:p>
        </w:tc>
        <w:tc>
          <w:tcPr>
            <w:tcW w:w="7108" w:type="dxa"/>
          </w:tcPr>
          <w:p w14:paraId="61FD4718" w14:textId="77777777" w:rsidR="00C66762" w:rsidRPr="00A3026E" w:rsidRDefault="00C66762" w:rsidP="00A3026E">
            <w:pPr>
              <w:pStyle w:val="22"/>
              <w:widowControl/>
              <w:tabs>
                <w:tab w:val="left" w:pos="360"/>
              </w:tabs>
              <w:rPr>
                <w:color w:val="000000" w:themeColor="text1"/>
              </w:rPr>
            </w:pPr>
            <w:r w:rsidRPr="00A3026E">
              <w:rPr>
                <w:color w:val="000000" w:themeColor="text1"/>
              </w:rPr>
              <w:t>1.</w:t>
            </w:r>
            <w:r w:rsidRPr="00A3026E">
              <w:rPr>
                <w:color w:val="000000" w:themeColor="text1"/>
              </w:rPr>
              <w:tab/>
              <w:t>Полет на стабилизацию температур с капотом "Ф".</w:t>
            </w:r>
          </w:p>
        </w:tc>
        <w:tc>
          <w:tcPr>
            <w:tcW w:w="1256" w:type="dxa"/>
          </w:tcPr>
          <w:p w14:paraId="4C9D4B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50 мин.</w:t>
            </w:r>
          </w:p>
        </w:tc>
      </w:tr>
      <w:tr w:rsidR="00983732" w:rsidRPr="00A3026E" w14:paraId="0CF7B288" w14:textId="77777777" w:rsidTr="00EA0DA7">
        <w:tc>
          <w:tcPr>
            <w:tcW w:w="1809" w:type="dxa"/>
          </w:tcPr>
          <w:p w14:paraId="24B00C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июля 1940 года</w:t>
            </w:r>
          </w:p>
        </w:tc>
        <w:tc>
          <w:tcPr>
            <w:tcW w:w="7108" w:type="dxa"/>
          </w:tcPr>
          <w:p w14:paraId="10D7ADEC" w14:textId="77777777" w:rsidR="00C66762" w:rsidRPr="00A3026E" w:rsidRDefault="00C66762" w:rsidP="00A3026E">
            <w:pPr>
              <w:pStyle w:val="22"/>
              <w:widowControl/>
              <w:rPr>
                <w:color w:val="000000" w:themeColor="text1"/>
              </w:rPr>
            </w:pPr>
            <w:r w:rsidRPr="00A3026E">
              <w:rPr>
                <w:color w:val="000000" w:themeColor="text1"/>
              </w:rPr>
              <w:t>Полет на скороподъемность с капотом "Ф".</w:t>
            </w:r>
          </w:p>
        </w:tc>
        <w:tc>
          <w:tcPr>
            <w:tcW w:w="1256" w:type="dxa"/>
          </w:tcPr>
          <w:p w14:paraId="3D37F1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полета</w:t>
            </w:r>
          </w:p>
          <w:p w14:paraId="263A9E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час. 00 мин.</w:t>
            </w:r>
          </w:p>
          <w:p w14:paraId="31E3D8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40 мин.</w:t>
            </w:r>
          </w:p>
        </w:tc>
      </w:tr>
      <w:tr w:rsidR="00983732" w:rsidRPr="00A3026E" w14:paraId="1DCD404D" w14:textId="77777777" w:rsidTr="00EA0DA7">
        <w:tc>
          <w:tcPr>
            <w:tcW w:w="1809" w:type="dxa"/>
          </w:tcPr>
          <w:p w14:paraId="1588B0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июля 1940 года</w:t>
            </w:r>
          </w:p>
        </w:tc>
        <w:tc>
          <w:tcPr>
            <w:tcW w:w="7108" w:type="dxa"/>
          </w:tcPr>
          <w:p w14:paraId="37F90DD4" w14:textId="77777777" w:rsidR="00C66762" w:rsidRPr="00A3026E" w:rsidRDefault="00C66762" w:rsidP="00A3026E">
            <w:pPr>
              <w:pStyle w:val="22"/>
              <w:widowControl/>
              <w:rPr>
                <w:color w:val="000000" w:themeColor="text1"/>
              </w:rPr>
            </w:pPr>
            <w:r w:rsidRPr="00A3026E">
              <w:rPr>
                <w:color w:val="000000" w:themeColor="text1"/>
              </w:rPr>
              <w:t>Полет на скороподъемность с капотом "Ф".</w:t>
            </w:r>
          </w:p>
        </w:tc>
        <w:tc>
          <w:tcPr>
            <w:tcW w:w="1256" w:type="dxa"/>
          </w:tcPr>
          <w:p w14:paraId="689456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23 мин.</w:t>
            </w:r>
          </w:p>
        </w:tc>
      </w:tr>
      <w:tr w:rsidR="00983732" w:rsidRPr="00A3026E" w14:paraId="6AABF03F" w14:textId="77777777" w:rsidTr="00EA0DA7">
        <w:tc>
          <w:tcPr>
            <w:tcW w:w="1809" w:type="dxa"/>
          </w:tcPr>
          <w:p w14:paraId="662898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августа 1940 года</w:t>
            </w:r>
          </w:p>
        </w:tc>
        <w:tc>
          <w:tcPr>
            <w:tcW w:w="7108" w:type="dxa"/>
          </w:tcPr>
          <w:p w14:paraId="3E7207A2" w14:textId="77777777" w:rsidR="00C66762" w:rsidRPr="00A3026E" w:rsidRDefault="00C66762" w:rsidP="00A3026E">
            <w:pPr>
              <w:pStyle w:val="22"/>
              <w:widowControl/>
              <w:rPr>
                <w:color w:val="000000" w:themeColor="text1"/>
              </w:rPr>
            </w:pPr>
            <w:r w:rsidRPr="00A3026E">
              <w:rPr>
                <w:color w:val="000000" w:themeColor="text1"/>
              </w:rPr>
              <w:t>Полет-перегонка на ЦА.</w:t>
            </w:r>
          </w:p>
        </w:tc>
        <w:tc>
          <w:tcPr>
            <w:tcW w:w="1256" w:type="dxa"/>
          </w:tcPr>
          <w:p w14:paraId="379BAF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мин.</w:t>
            </w:r>
          </w:p>
        </w:tc>
      </w:tr>
      <w:tr w:rsidR="00983732" w:rsidRPr="00A3026E" w14:paraId="02A37B02" w14:textId="77777777" w:rsidTr="00EA0DA7">
        <w:tc>
          <w:tcPr>
            <w:tcW w:w="1809" w:type="dxa"/>
          </w:tcPr>
          <w:p w14:paraId="612C8A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августа 1940 года</w:t>
            </w:r>
          </w:p>
        </w:tc>
        <w:tc>
          <w:tcPr>
            <w:tcW w:w="7108" w:type="dxa"/>
          </w:tcPr>
          <w:p w14:paraId="04BD289B" w14:textId="77777777" w:rsidR="00C66762" w:rsidRPr="00A3026E" w:rsidRDefault="00C66762" w:rsidP="00A3026E">
            <w:pPr>
              <w:pStyle w:val="22"/>
              <w:widowControl/>
              <w:rPr>
                <w:color w:val="000000" w:themeColor="text1"/>
              </w:rPr>
            </w:pPr>
            <w:r w:rsidRPr="00A3026E">
              <w:rPr>
                <w:color w:val="000000" w:themeColor="text1"/>
              </w:rPr>
              <w:t>Полет-перегонка с ЦА в Чкаловскую.</w:t>
            </w:r>
          </w:p>
        </w:tc>
        <w:tc>
          <w:tcPr>
            <w:tcW w:w="1256" w:type="dxa"/>
          </w:tcPr>
          <w:p w14:paraId="67CB70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мин.</w:t>
            </w:r>
          </w:p>
        </w:tc>
      </w:tr>
      <w:tr w:rsidR="00983732" w:rsidRPr="00A3026E" w14:paraId="1D85431F" w14:textId="77777777" w:rsidTr="00EA0DA7">
        <w:tc>
          <w:tcPr>
            <w:tcW w:w="1809" w:type="dxa"/>
          </w:tcPr>
          <w:p w14:paraId="54B2A4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августа 1940 года</w:t>
            </w:r>
          </w:p>
        </w:tc>
        <w:tc>
          <w:tcPr>
            <w:tcW w:w="7108" w:type="dxa"/>
          </w:tcPr>
          <w:p w14:paraId="646001ED" w14:textId="77777777" w:rsidR="00C66762" w:rsidRPr="00A3026E" w:rsidRDefault="00C66762" w:rsidP="00A3026E">
            <w:pPr>
              <w:pStyle w:val="22"/>
              <w:widowControl/>
              <w:rPr>
                <w:color w:val="000000" w:themeColor="text1"/>
              </w:rPr>
            </w:pPr>
            <w:r w:rsidRPr="00A3026E">
              <w:rPr>
                <w:color w:val="000000" w:themeColor="text1"/>
              </w:rPr>
              <w:t>Полет на скороподъемность и скорости по высотам.</w:t>
            </w:r>
          </w:p>
        </w:tc>
        <w:tc>
          <w:tcPr>
            <w:tcW w:w="1256" w:type="dxa"/>
          </w:tcPr>
          <w:p w14:paraId="5236DB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час. 00 мин.</w:t>
            </w:r>
          </w:p>
        </w:tc>
      </w:tr>
      <w:tr w:rsidR="00983732" w:rsidRPr="00A3026E" w14:paraId="0E99E9DF" w14:textId="77777777" w:rsidTr="00EA0DA7">
        <w:tc>
          <w:tcPr>
            <w:tcW w:w="1809" w:type="dxa"/>
          </w:tcPr>
          <w:p w14:paraId="1C6CCA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августа 1940 года</w:t>
            </w:r>
          </w:p>
        </w:tc>
        <w:tc>
          <w:tcPr>
            <w:tcW w:w="7108" w:type="dxa"/>
          </w:tcPr>
          <w:p w14:paraId="149569AF" w14:textId="77777777" w:rsidR="00C66762" w:rsidRPr="00A3026E" w:rsidRDefault="00C66762" w:rsidP="00A3026E">
            <w:pPr>
              <w:pStyle w:val="22"/>
              <w:widowControl/>
              <w:rPr>
                <w:color w:val="000000" w:themeColor="text1"/>
              </w:rPr>
            </w:pPr>
            <w:r w:rsidRPr="00A3026E">
              <w:rPr>
                <w:color w:val="000000" w:themeColor="text1"/>
              </w:rPr>
              <w:t>Полет на фотографирование маршрута и опробование работ КАС-8.</w:t>
            </w:r>
          </w:p>
        </w:tc>
        <w:tc>
          <w:tcPr>
            <w:tcW w:w="1256" w:type="dxa"/>
          </w:tcPr>
          <w:p w14:paraId="430414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20 мин.</w:t>
            </w:r>
          </w:p>
        </w:tc>
      </w:tr>
      <w:tr w:rsidR="00983732" w:rsidRPr="00A3026E" w14:paraId="5D335CC4" w14:textId="77777777" w:rsidTr="00EA0DA7">
        <w:tc>
          <w:tcPr>
            <w:tcW w:w="1809" w:type="dxa"/>
          </w:tcPr>
          <w:p w14:paraId="41ADCC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августа 1940 года</w:t>
            </w:r>
          </w:p>
        </w:tc>
        <w:tc>
          <w:tcPr>
            <w:tcW w:w="7108" w:type="dxa"/>
          </w:tcPr>
          <w:p w14:paraId="4381B4F3" w14:textId="77777777" w:rsidR="00C66762" w:rsidRPr="00A3026E" w:rsidRDefault="00C66762" w:rsidP="00A3026E">
            <w:pPr>
              <w:pStyle w:val="22"/>
              <w:widowControl/>
              <w:rPr>
                <w:color w:val="000000" w:themeColor="text1"/>
              </w:rPr>
            </w:pPr>
            <w:r w:rsidRPr="00A3026E">
              <w:rPr>
                <w:color w:val="000000" w:themeColor="text1"/>
              </w:rPr>
              <w:t>Полет на километраж.</w:t>
            </w:r>
          </w:p>
        </w:tc>
        <w:tc>
          <w:tcPr>
            <w:tcW w:w="1256" w:type="dxa"/>
          </w:tcPr>
          <w:p w14:paraId="6207B8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00 мин.</w:t>
            </w:r>
          </w:p>
        </w:tc>
      </w:tr>
      <w:tr w:rsidR="00983732" w:rsidRPr="00A3026E" w14:paraId="6E2ED1CF" w14:textId="77777777" w:rsidTr="00EA0DA7">
        <w:tc>
          <w:tcPr>
            <w:tcW w:w="1809" w:type="dxa"/>
          </w:tcPr>
          <w:p w14:paraId="167AA0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августа 1940 года</w:t>
            </w:r>
          </w:p>
        </w:tc>
        <w:tc>
          <w:tcPr>
            <w:tcW w:w="7108" w:type="dxa"/>
          </w:tcPr>
          <w:p w14:paraId="797C4FC7" w14:textId="77777777" w:rsidR="00C66762" w:rsidRPr="00A3026E" w:rsidRDefault="00C66762" w:rsidP="00A3026E">
            <w:pPr>
              <w:pStyle w:val="22"/>
              <w:widowControl/>
              <w:rPr>
                <w:color w:val="000000" w:themeColor="text1"/>
              </w:rPr>
            </w:pPr>
            <w:r w:rsidRPr="00A3026E">
              <w:rPr>
                <w:color w:val="000000" w:themeColor="text1"/>
              </w:rPr>
              <w:t>Полет на скороподъемность и скорости по высотам.</w:t>
            </w:r>
          </w:p>
        </w:tc>
        <w:tc>
          <w:tcPr>
            <w:tcW w:w="1256" w:type="dxa"/>
          </w:tcPr>
          <w:p w14:paraId="310D81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час. 07 мин.</w:t>
            </w:r>
          </w:p>
        </w:tc>
      </w:tr>
      <w:tr w:rsidR="00983732" w:rsidRPr="00A3026E" w14:paraId="1CDE780F" w14:textId="77777777" w:rsidTr="00EA0DA7">
        <w:tc>
          <w:tcPr>
            <w:tcW w:w="1809" w:type="dxa"/>
          </w:tcPr>
          <w:p w14:paraId="1533F4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августа 1940 года</w:t>
            </w:r>
          </w:p>
        </w:tc>
        <w:tc>
          <w:tcPr>
            <w:tcW w:w="7108" w:type="dxa"/>
          </w:tcPr>
          <w:p w14:paraId="05294845" w14:textId="77777777" w:rsidR="00C66762" w:rsidRPr="00A3026E" w:rsidRDefault="00C66762" w:rsidP="00A3026E">
            <w:pPr>
              <w:pStyle w:val="22"/>
              <w:widowControl/>
              <w:rPr>
                <w:color w:val="000000" w:themeColor="text1"/>
              </w:rPr>
            </w:pPr>
            <w:r w:rsidRPr="00A3026E">
              <w:rPr>
                <w:color w:val="000000" w:themeColor="text1"/>
              </w:rPr>
              <w:t>Полет на стрельбу по земным мишеням.</w:t>
            </w:r>
          </w:p>
        </w:tc>
        <w:tc>
          <w:tcPr>
            <w:tcW w:w="1256" w:type="dxa"/>
          </w:tcPr>
          <w:p w14:paraId="1BC62D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10 мин.</w:t>
            </w:r>
          </w:p>
        </w:tc>
      </w:tr>
      <w:tr w:rsidR="00983732" w:rsidRPr="00A3026E" w14:paraId="1D841E66" w14:textId="77777777" w:rsidTr="00EA0DA7">
        <w:tc>
          <w:tcPr>
            <w:tcW w:w="1809" w:type="dxa"/>
          </w:tcPr>
          <w:p w14:paraId="1DB09F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августа 1940 года</w:t>
            </w:r>
          </w:p>
        </w:tc>
        <w:tc>
          <w:tcPr>
            <w:tcW w:w="7108" w:type="dxa"/>
          </w:tcPr>
          <w:p w14:paraId="1BEAB3F3" w14:textId="77777777" w:rsidR="00C66762" w:rsidRPr="00A3026E" w:rsidRDefault="00C66762" w:rsidP="00A3026E">
            <w:pPr>
              <w:pStyle w:val="22"/>
              <w:widowControl/>
              <w:rPr>
                <w:color w:val="000000" w:themeColor="text1"/>
              </w:rPr>
            </w:pPr>
            <w:r w:rsidRPr="00A3026E">
              <w:rPr>
                <w:color w:val="000000" w:themeColor="text1"/>
              </w:rPr>
              <w:t>Полеты в Ногинск для бомбометания с фотографированием и отстрелом пулеметов.</w:t>
            </w:r>
          </w:p>
        </w:tc>
        <w:tc>
          <w:tcPr>
            <w:tcW w:w="1256" w:type="dxa"/>
          </w:tcPr>
          <w:p w14:paraId="16062D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полета</w:t>
            </w:r>
          </w:p>
          <w:p w14:paraId="0612E2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45 мин.</w:t>
            </w:r>
          </w:p>
        </w:tc>
      </w:tr>
      <w:tr w:rsidR="00983732" w:rsidRPr="00A3026E" w14:paraId="6B398136" w14:textId="77777777" w:rsidTr="00EA0DA7">
        <w:tc>
          <w:tcPr>
            <w:tcW w:w="1809" w:type="dxa"/>
          </w:tcPr>
          <w:p w14:paraId="708F03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августа 1940 года</w:t>
            </w:r>
          </w:p>
        </w:tc>
        <w:tc>
          <w:tcPr>
            <w:tcW w:w="7108" w:type="dxa"/>
          </w:tcPr>
          <w:p w14:paraId="3986142D" w14:textId="77777777" w:rsidR="00C66762" w:rsidRPr="00A3026E" w:rsidRDefault="00C66762" w:rsidP="00A3026E">
            <w:pPr>
              <w:pStyle w:val="22"/>
              <w:widowControl/>
              <w:rPr>
                <w:color w:val="000000" w:themeColor="text1"/>
              </w:rPr>
            </w:pPr>
            <w:r w:rsidRPr="00A3026E">
              <w:rPr>
                <w:color w:val="000000" w:themeColor="text1"/>
              </w:rPr>
              <w:t>Полет-перегонка на ЦА для установки удлиненного подголовника летчика.</w:t>
            </w:r>
          </w:p>
        </w:tc>
        <w:tc>
          <w:tcPr>
            <w:tcW w:w="1256" w:type="dxa"/>
          </w:tcPr>
          <w:p w14:paraId="67C0D1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мин.</w:t>
            </w:r>
          </w:p>
        </w:tc>
      </w:tr>
    </w:tbl>
    <w:p w14:paraId="181EF5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(7764).</w:t>
      </w:r>
    </w:p>
    <w:p w14:paraId="76CB2C3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B6C7A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сентября 1940 г. Отчет по испытаниям с-та Ил-4 № 390801.</w:t>
      </w:r>
    </w:p>
    <w:tbl>
      <w:tblPr>
        <w:tblW w:w="4800" w:type="pct"/>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2758"/>
        <w:gridCol w:w="1497"/>
        <w:gridCol w:w="1560"/>
        <w:gridCol w:w="5060"/>
      </w:tblGrid>
      <w:tr w:rsidR="00983732" w:rsidRPr="00A3026E" w14:paraId="5972C396" w14:textId="77777777" w:rsidTr="00EA0DA7">
        <w:trPr>
          <w:tblCellSpacing w:w="7" w:type="dxa"/>
          <w:jc w:val="center"/>
        </w:trPr>
        <w:tc>
          <w:tcPr>
            <w:tcW w:w="0" w:type="auto"/>
            <w:gridSpan w:val="4"/>
            <w:vAlign w:val="center"/>
            <w:hideMark/>
          </w:tcPr>
          <w:p w14:paraId="3B94E0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Винт ВИШ-23.    Производство завода № 35.    Конструктор Кузьмин.</w:t>
            </w:r>
          </w:p>
        </w:tc>
      </w:tr>
      <w:tr w:rsidR="00983732" w:rsidRPr="00A3026E" w14:paraId="622875AF" w14:textId="77777777" w:rsidTr="00EA0DA7">
        <w:trPr>
          <w:tblCellSpacing w:w="7" w:type="dxa"/>
          <w:jc w:val="center"/>
        </w:trPr>
        <w:tc>
          <w:tcPr>
            <w:tcW w:w="0" w:type="auto"/>
            <w:vAlign w:val="center"/>
            <w:hideMark/>
          </w:tcPr>
          <w:p w14:paraId="22C633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винта</w:t>
            </w:r>
          </w:p>
        </w:tc>
        <w:tc>
          <w:tcPr>
            <w:tcW w:w="0" w:type="auto"/>
            <w:vAlign w:val="center"/>
            <w:hideMark/>
          </w:tcPr>
          <w:p w14:paraId="28ACBF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гидравлическ. автомат</w:t>
            </w:r>
          </w:p>
        </w:tc>
        <w:tc>
          <w:tcPr>
            <w:tcW w:w="0" w:type="auto"/>
            <w:vMerge w:val="restart"/>
            <w:vAlign w:val="center"/>
            <w:hideMark/>
          </w:tcPr>
          <w:p w14:paraId="064395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Предназначен для</w:t>
            </w:r>
          </w:p>
          <w:p w14:paraId="69DB01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установки на самолетах</w:t>
            </w:r>
          </w:p>
        </w:tc>
        <w:tc>
          <w:tcPr>
            <w:tcW w:w="0" w:type="auto"/>
            <w:vMerge w:val="restart"/>
            <w:vAlign w:val="center"/>
            <w:hideMark/>
          </w:tcPr>
          <w:p w14:paraId="11E6E6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Ил-4 с 2М-88Б</w:t>
            </w:r>
          </w:p>
        </w:tc>
      </w:tr>
      <w:tr w:rsidR="00983732" w:rsidRPr="00A3026E" w14:paraId="1AFB0A5A" w14:textId="77777777" w:rsidTr="00EA0DA7">
        <w:trPr>
          <w:tblCellSpacing w:w="7" w:type="dxa"/>
          <w:jc w:val="center"/>
        </w:trPr>
        <w:tc>
          <w:tcPr>
            <w:tcW w:w="0" w:type="auto"/>
            <w:vAlign w:val="center"/>
            <w:hideMark/>
          </w:tcPr>
          <w:p w14:paraId="4537A4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Схема действия</w:t>
            </w:r>
          </w:p>
        </w:tc>
        <w:tc>
          <w:tcPr>
            <w:tcW w:w="0" w:type="auto"/>
            <w:vAlign w:val="center"/>
            <w:hideMark/>
          </w:tcPr>
          <w:p w14:paraId="029E3D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прямая</w:t>
            </w:r>
          </w:p>
        </w:tc>
        <w:tc>
          <w:tcPr>
            <w:tcW w:w="0" w:type="auto"/>
            <w:vMerge/>
            <w:vAlign w:val="center"/>
            <w:hideMark/>
          </w:tcPr>
          <w:p w14:paraId="0B9CC94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0" w:type="auto"/>
            <w:vMerge/>
            <w:vAlign w:val="center"/>
            <w:hideMark/>
          </w:tcPr>
          <w:p w14:paraId="18E16C0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061DC43" w14:textId="77777777" w:rsidTr="00EA0DA7">
        <w:trPr>
          <w:tblCellSpacing w:w="7" w:type="dxa"/>
          <w:jc w:val="center"/>
        </w:trPr>
        <w:tc>
          <w:tcPr>
            <w:tcW w:w="0" w:type="auto"/>
            <w:vAlign w:val="center"/>
            <w:hideMark/>
          </w:tcPr>
          <w:p w14:paraId="2BC8EE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лопастей</w:t>
            </w:r>
          </w:p>
        </w:tc>
        <w:tc>
          <w:tcPr>
            <w:tcW w:w="0" w:type="auto"/>
            <w:vAlign w:val="center"/>
            <w:hideMark/>
          </w:tcPr>
          <w:p w14:paraId="568212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gridSpan w:val="2"/>
            <w:vMerge w:val="restart"/>
            <w:vAlign w:val="center"/>
            <w:hideMark/>
          </w:tcPr>
          <w:p w14:paraId="56FBAE7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190F6B6" w14:textId="77777777" w:rsidTr="00EA0DA7">
        <w:trPr>
          <w:tblCellSpacing w:w="7" w:type="dxa"/>
          <w:jc w:val="center"/>
        </w:trPr>
        <w:tc>
          <w:tcPr>
            <w:tcW w:w="0" w:type="auto"/>
            <w:vAlign w:val="center"/>
            <w:hideMark/>
          </w:tcPr>
          <w:p w14:paraId="154BAA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лопастей</w:t>
            </w:r>
          </w:p>
        </w:tc>
        <w:tc>
          <w:tcPr>
            <w:tcW w:w="0" w:type="auto"/>
            <w:vAlign w:val="center"/>
            <w:hideMark/>
          </w:tcPr>
          <w:p w14:paraId="12DB47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дюраль</w:t>
            </w:r>
          </w:p>
        </w:tc>
        <w:tc>
          <w:tcPr>
            <w:tcW w:w="0" w:type="auto"/>
            <w:gridSpan w:val="2"/>
            <w:vMerge/>
            <w:vAlign w:val="center"/>
            <w:hideMark/>
          </w:tcPr>
          <w:p w14:paraId="014B51E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AC18500" w14:textId="77777777" w:rsidTr="00EA0DA7">
        <w:trPr>
          <w:tblCellSpacing w:w="7" w:type="dxa"/>
          <w:jc w:val="center"/>
        </w:trPr>
        <w:tc>
          <w:tcPr>
            <w:tcW w:w="0" w:type="auto"/>
            <w:vAlign w:val="center"/>
            <w:hideMark/>
          </w:tcPr>
          <w:p w14:paraId="715573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Диаметр винта (м)</w:t>
            </w:r>
          </w:p>
        </w:tc>
        <w:tc>
          <w:tcPr>
            <w:tcW w:w="0" w:type="auto"/>
            <w:vAlign w:val="center"/>
            <w:hideMark/>
          </w:tcPr>
          <w:p w14:paraId="762A50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w:t>
            </w:r>
          </w:p>
        </w:tc>
        <w:tc>
          <w:tcPr>
            <w:tcW w:w="0" w:type="auto"/>
            <w:gridSpan w:val="2"/>
            <w:vMerge/>
            <w:vAlign w:val="center"/>
            <w:hideMark/>
          </w:tcPr>
          <w:p w14:paraId="504CBB7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ECF70A3" w14:textId="77777777" w:rsidTr="00EA0DA7">
        <w:trPr>
          <w:tblCellSpacing w:w="7" w:type="dxa"/>
          <w:jc w:val="center"/>
        </w:trPr>
        <w:tc>
          <w:tcPr>
            <w:tcW w:w="0" w:type="auto"/>
            <w:vAlign w:val="center"/>
            <w:hideMark/>
          </w:tcPr>
          <w:p w14:paraId="5D181B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ширина лопасти (мм)</w:t>
            </w:r>
          </w:p>
        </w:tc>
        <w:tc>
          <w:tcPr>
            <w:tcW w:w="0" w:type="auto"/>
            <w:vAlign w:val="center"/>
            <w:hideMark/>
          </w:tcPr>
          <w:p w14:paraId="00E8C6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226</w:t>
            </w:r>
          </w:p>
        </w:tc>
        <w:tc>
          <w:tcPr>
            <w:tcW w:w="0" w:type="auto"/>
            <w:gridSpan w:val="2"/>
            <w:vMerge/>
            <w:vAlign w:val="center"/>
            <w:hideMark/>
          </w:tcPr>
          <w:p w14:paraId="7D01F2E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66A7A15" w14:textId="77777777" w:rsidTr="00EA0DA7">
        <w:trPr>
          <w:tblCellSpacing w:w="7" w:type="dxa"/>
          <w:jc w:val="center"/>
        </w:trPr>
        <w:tc>
          <w:tcPr>
            <w:tcW w:w="0" w:type="auto"/>
            <w:vAlign w:val="center"/>
            <w:hideMark/>
          </w:tcPr>
          <w:p w14:paraId="07210C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Относительная толщина лопасти на 0,9 r (%)</w:t>
            </w:r>
          </w:p>
        </w:tc>
        <w:tc>
          <w:tcPr>
            <w:tcW w:w="0" w:type="auto"/>
            <w:vAlign w:val="center"/>
            <w:hideMark/>
          </w:tcPr>
          <w:p w14:paraId="19F9FF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w:t>
            </w:r>
          </w:p>
        </w:tc>
        <w:tc>
          <w:tcPr>
            <w:tcW w:w="0" w:type="auto"/>
            <w:gridSpan w:val="2"/>
            <w:vMerge/>
            <w:vAlign w:val="center"/>
            <w:hideMark/>
          </w:tcPr>
          <w:p w14:paraId="26DEA4F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EC8C0D7" w14:textId="77777777" w:rsidTr="00EA0DA7">
        <w:trPr>
          <w:tblCellSpacing w:w="7" w:type="dxa"/>
          <w:jc w:val="center"/>
        </w:trPr>
        <w:tc>
          <w:tcPr>
            <w:tcW w:w="0" w:type="auto"/>
            <w:vAlign w:val="center"/>
            <w:hideMark/>
          </w:tcPr>
          <w:p w14:paraId="7DDA4A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Профиль сечения лопасти</w:t>
            </w:r>
          </w:p>
        </w:tc>
        <w:tc>
          <w:tcPr>
            <w:tcW w:w="0" w:type="auto"/>
            <w:vAlign w:val="center"/>
            <w:hideMark/>
          </w:tcPr>
          <w:p w14:paraId="3A7745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Clark-Y</w:t>
            </w:r>
          </w:p>
        </w:tc>
        <w:tc>
          <w:tcPr>
            <w:tcW w:w="0" w:type="auto"/>
            <w:gridSpan w:val="2"/>
            <w:vMerge/>
            <w:vAlign w:val="center"/>
            <w:hideMark/>
          </w:tcPr>
          <w:p w14:paraId="0CB7B5D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1AF4298" w14:textId="77777777" w:rsidTr="00EA0DA7">
        <w:trPr>
          <w:tblCellSpacing w:w="7" w:type="dxa"/>
          <w:jc w:val="center"/>
        </w:trPr>
        <w:tc>
          <w:tcPr>
            <w:tcW w:w="0" w:type="auto"/>
            <w:vAlign w:val="center"/>
            <w:hideMark/>
          </w:tcPr>
          <w:p w14:paraId="769AE4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Диапазон поворота лопастей (град.)</w:t>
            </w:r>
          </w:p>
        </w:tc>
        <w:tc>
          <w:tcPr>
            <w:tcW w:w="0" w:type="auto"/>
            <w:vAlign w:val="center"/>
            <w:hideMark/>
          </w:tcPr>
          <w:p w14:paraId="2F4F21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gridSpan w:val="2"/>
            <w:vMerge/>
            <w:vAlign w:val="center"/>
            <w:hideMark/>
          </w:tcPr>
          <w:p w14:paraId="09D0FE0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3FF6B58" w14:textId="77777777" w:rsidTr="00EA0DA7">
        <w:trPr>
          <w:tblCellSpacing w:w="7" w:type="dxa"/>
          <w:jc w:val="center"/>
        </w:trPr>
        <w:tc>
          <w:tcPr>
            <w:tcW w:w="0" w:type="auto"/>
            <w:vAlign w:val="center"/>
            <w:hideMark/>
          </w:tcPr>
          <w:p w14:paraId="2B9A7D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Минимальный установочный угол</w:t>
            </w:r>
          </w:p>
          <w:p w14:paraId="60BD93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лопастей (град.)</w:t>
            </w:r>
          </w:p>
        </w:tc>
        <w:tc>
          <w:tcPr>
            <w:tcW w:w="0" w:type="auto"/>
            <w:vAlign w:val="center"/>
            <w:hideMark/>
          </w:tcPr>
          <w:p w14:paraId="63DDEA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gridSpan w:val="2"/>
            <w:vMerge/>
            <w:vAlign w:val="center"/>
            <w:hideMark/>
          </w:tcPr>
          <w:p w14:paraId="5375A9C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52AE1B9" w14:textId="77777777" w:rsidTr="00EA0DA7">
        <w:trPr>
          <w:tblCellSpacing w:w="7" w:type="dxa"/>
          <w:jc w:val="center"/>
        </w:trPr>
        <w:tc>
          <w:tcPr>
            <w:tcW w:w="0" w:type="auto"/>
            <w:vAlign w:val="center"/>
            <w:hideMark/>
          </w:tcPr>
          <w:p w14:paraId="58C5FB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лопасти (кг)</w:t>
            </w:r>
          </w:p>
        </w:tc>
        <w:tc>
          <w:tcPr>
            <w:tcW w:w="0" w:type="auto"/>
            <w:vAlign w:val="center"/>
            <w:hideMark/>
          </w:tcPr>
          <w:p w14:paraId="3E471E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w:t>
            </w:r>
          </w:p>
        </w:tc>
        <w:tc>
          <w:tcPr>
            <w:tcW w:w="0" w:type="auto"/>
            <w:gridSpan w:val="2"/>
            <w:vMerge/>
            <w:vAlign w:val="center"/>
            <w:hideMark/>
          </w:tcPr>
          <w:p w14:paraId="497A556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C30D32D" w14:textId="77777777" w:rsidTr="00EA0DA7">
        <w:trPr>
          <w:tblCellSpacing w:w="7" w:type="dxa"/>
          <w:jc w:val="center"/>
        </w:trPr>
        <w:tc>
          <w:tcPr>
            <w:tcW w:w="0" w:type="auto"/>
            <w:vAlign w:val="center"/>
            <w:hideMark/>
          </w:tcPr>
          <w:p w14:paraId="092274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винта (кг)</w:t>
            </w:r>
          </w:p>
        </w:tc>
        <w:tc>
          <w:tcPr>
            <w:tcW w:w="0" w:type="auto"/>
            <w:vAlign w:val="center"/>
            <w:hideMark/>
          </w:tcPr>
          <w:p w14:paraId="09E90E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149</w:t>
            </w:r>
          </w:p>
        </w:tc>
        <w:tc>
          <w:tcPr>
            <w:tcW w:w="0" w:type="auto"/>
            <w:gridSpan w:val="2"/>
            <w:vMerge/>
            <w:vAlign w:val="center"/>
            <w:hideMark/>
          </w:tcPr>
          <w:p w14:paraId="4CE51A5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FAE9BF2" w14:textId="77777777" w:rsidTr="00EA0DA7">
        <w:trPr>
          <w:tblCellSpacing w:w="7" w:type="dxa"/>
          <w:jc w:val="center"/>
        </w:trPr>
        <w:tc>
          <w:tcPr>
            <w:tcW w:w="0" w:type="auto"/>
            <w:vAlign w:val="center"/>
            <w:hideMark/>
          </w:tcPr>
          <w:p w14:paraId="48222F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Номинальное число оборотов мотора (об/мин)</w:t>
            </w:r>
          </w:p>
        </w:tc>
        <w:tc>
          <w:tcPr>
            <w:tcW w:w="0" w:type="auto"/>
            <w:vAlign w:val="center"/>
            <w:hideMark/>
          </w:tcPr>
          <w:p w14:paraId="6274E1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2375</w:t>
            </w:r>
          </w:p>
        </w:tc>
        <w:tc>
          <w:tcPr>
            <w:tcW w:w="0" w:type="auto"/>
            <w:gridSpan w:val="2"/>
            <w:vMerge/>
            <w:vAlign w:val="center"/>
            <w:hideMark/>
          </w:tcPr>
          <w:p w14:paraId="390BAB1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414F1E1" w14:textId="77777777" w:rsidTr="00EA0DA7">
        <w:trPr>
          <w:tblCellSpacing w:w="7" w:type="dxa"/>
          <w:jc w:val="center"/>
        </w:trPr>
        <w:tc>
          <w:tcPr>
            <w:tcW w:w="0" w:type="auto"/>
            <w:vAlign w:val="center"/>
            <w:hideMark/>
          </w:tcPr>
          <w:p w14:paraId="38A154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Редукция мотора</w:t>
            </w:r>
          </w:p>
        </w:tc>
        <w:tc>
          <w:tcPr>
            <w:tcW w:w="0" w:type="auto"/>
            <w:vAlign w:val="center"/>
            <w:hideMark/>
          </w:tcPr>
          <w:p w14:paraId="203583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0,666</w:t>
            </w:r>
          </w:p>
        </w:tc>
        <w:tc>
          <w:tcPr>
            <w:tcW w:w="0" w:type="auto"/>
            <w:gridSpan w:val="2"/>
            <w:vMerge/>
            <w:vAlign w:val="center"/>
            <w:hideMark/>
          </w:tcPr>
          <w:p w14:paraId="4004D2B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E9BBB0C" w14:textId="77777777" w:rsidTr="00EA0DA7">
        <w:trPr>
          <w:tblCellSpacing w:w="7" w:type="dxa"/>
          <w:jc w:val="center"/>
        </w:trPr>
        <w:tc>
          <w:tcPr>
            <w:tcW w:w="0" w:type="auto"/>
            <w:vAlign w:val="center"/>
            <w:hideMark/>
          </w:tcPr>
          <w:p w14:paraId="029003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Направление вращения винта</w:t>
            </w:r>
          </w:p>
        </w:tc>
        <w:tc>
          <w:tcPr>
            <w:tcW w:w="0" w:type="auto"/>
            <w:vAlign w:val="center"/>
            <w:hideMark/>
          </w:tcPr>
          <w:p w14:paraId="69D2F4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левое</w:t>
            </w:r>
          </w:p>
        </w:tc>
        <w:tc>
          <w:tcPr>
            <w:tcW w:w="0" w:type="auto"/>
            <w:vMerge w:val="restart"/>
            <w:vAlign w:val="center"/>
            <w:hideMark/>
          </w:tcPr>
          <w:p w14:paraId="5D0A05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w:t>
            </w:r>
          </w:p>
          <w:p w14:paraId="647691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винта</w:t>
            </w:r>
          </w:p>
        </w:tc>
        <w:tc>
          <w:tcPr>
            <w:tcW w:w="0" w:type="auto"/>
            <w:vMerge w:val="restart"/>
            <w:vAlign w:val="center"/>
            <w:hideMark/>
          </w:tcPr>
          <w:p w14:paraId="33A889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испытания прошел удовлетворительно</w:t>
            </w:r>
          </w:p>
          <w:p w14:paraId="63AC05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совместо с самолетом Ил-4 с 2М-88Б.</w:t>
            </w:r>
          </w:p>
          <w:p w14:paraId="5966FA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Находится в эксплоатации. С серийого производства снят и заменен винтом ВИШ-61ИФ.</w:t>
            </w:r>
          </w:p>
        </w:tc>
      </w:tr>
      <w:tr w:rsidR="00983732" w:rsidRPr="00A3026E" w14:paraId="30886283" w14:textId="77777777" w:rsidTr="00EA0DA7">
        <w:trPr>
          <w:tblCellSpacing w:w="7" w:type="dxa"/>
          <w:jc w:val="center"/>
        </w:trPr>
        <w:tc>
          <w:tcPr>
            <w:tcW w:w="0" w:type="auto"/>
            <w:vAlign w:val="center"/>
            <w:hideMark/>
          </w:tcPr>
          <w:p w14:paraId="1763AB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регулятора оборотов</w:t>
            </w:r>
          </w:p>
        </w:tc>
        <w:tc>
          <w:tcPr>
            <w:tcW w:w="0" w:type="auto"/>
            <w:vAlign w:val="center"/>
            <w:hideMark/>
          </w:tcPr>
          <w:p w14:paraId="65C96F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Р-2</w:t>
            </w:r>
          </w:p>
        </w:tc>
        <w:tc>
          <w:tcPr>
            <w:tcW w:w="0" w:type="auto"/>
            <w:vMerge/>
            <w:vAlign w:val="center"/>
            <w:hideMark/>
          </w:tcPr>
          <w:p w14:paraId="7BD617A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0" w:type="auto"/>
            <w:vMerge/>
            <w:vAlign w:val="center"/>
            <w:hideMark/>
          </w:tcPr>
          <w:p w14:paraId="5F573B3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80EB0FE" w14:textId="77777777" w:rsidTr="00EA0DA7">
        <w:trPr>
          <w:tblCellSpacing w:w="7" w:type="dxa"/>
          <w:jc w:val="center"/>
        </w:trPr>
        <w:tc>
          <w:tcPr>
            <w:tcW w:w="0" w:type="auto"/>
            <w:vAlign w:val="center"/>
            <w:hideMark/>
          </w:tcPr>
          <w:p w14:paraId="7B37FC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Носок вала редуктора мотора</w:t>
            </w:r>
          </w:p>
        </w:tc>
        <w:tc>
          <w:tcPr>
            <w:tcW w:w="0" w:type="auto"/>
            <w:vAlign w:val="center"/>
            <w:hideMark/>
          </w:tcPr>
          <w:p w14:paraId="2DE939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SAF</w:t>
            </w:r>
          </w:p>
        </w:tc>
        <w:tc>
          <w:tcPr>
            <w:tcW w:w="0" w:type="auto"/>
            <w:vMerge/>
            <w:vAlign w:val="center"/>
            <w:hideMark/>
          </w:tcPr>
          <w:p w14:paraId="6743804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0" w:type="auto"/>
            <w:vMerge/>
            <w:vAlign w:val="center"/>
            <w:hideMark/>
          </w:tcPr>
          <w:p w14:paraId="239D63E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F547B46" w14:textId="77777777" w:rsidTr="00EA0DA7">
        <w:trPr>
          <w:tblCellSpacing w:w="7" w:type="dxa"/>
          <w:jc w:val="center"/>
        </w:trPr>
        <w:tc>
          <w:tcPr>
            <w:tcW w:w="0" w:type="auto"/>
            <w:vAlign w:val="center"/>
            <w:hideMark/>
          </w:tcPr>
          <w:p w14:paraId="16A8E7D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0" w:type="auto"/>
            <w:vAlign w:val="center"/>
            <w:hideMark/>
          </w:tcPr>
          <w:p w14:paraId="68D2648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0" w:type="auto"/>
            <w:gridSpan w:val="2"/>
            <w:vAlign w:val="center"/>
            <w:hideMark/>
          </w:tcPr>
          <w:p w14:paraId="6A67E8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Источник сведений: Отчет по испытаниям с-та Ил-4 № 390801 от 30.9.40 г.</w:t>
            </w:r>
          </w:p>
        </w:tc>
      </w:tr>
    </w:tbl>
    <w:p w14:paraId="5709FF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(12227).</w:t>
      </w:r>
    </w:p>
    <w:p w14:paraId="35AB01B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C6E41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сентября 1940 самолет ДБ-240 – гл. конструктор Ермолаев, Завод № 240 был принят на госиспытания. С 25 по 30 сентября 1940 года производились наземные испытания вооружения и оборудования</w:t>
      </w:r>
    </w:p>
    <w:p w14:paraId="2CCDA1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30 сентября 1940 года начались гос. испытания в НИИ ВВС самолета И-207/3 М-63 – гл. конструкторы Флоров, Боровков, Завод № 207. По 3 октября 1940 года на самолете произведены работы, предусмотренные программой испытаний.</w:t>
      </w:r>
    </w:p>
    <w:p w14:paraId="67C1AD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года произведено 2 полета: пробный и с корпусами 100 кг бомб для определения поведения самолета с бомбовой подвеской. В результатах полета выявлено:</w:t>
      </w:r>
    </w:p>
    <w:p w14:paraId="0C3317B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Бомбовая подвеска вредного влияния на устойчивость, управляемость и взлетно-посадочные свойства самолета не оказывает.</w:t>
      </w:r>
    </w:p>
    <w:p w14:paraId="1F2151B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Установленные на самолете нестандартные бомбовые замки имеют крупноконструктивный дефект. Замки сняты и отправлены на завод № 207 для изменения.</w:t>
      </w:r>
    </w:p>
    <w:p w14:paraId="5C49E1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 произведен полет с 100 кг бомбами для бомбометания с пикирования под углом 45 градусов. Полет прошел нормально. Всего за время заводских испытаний произведено 3 полета общей продолжительностью 3 часа 30 минут (3377, 26).</w:t>
      </w:r>
    </w:p>
    <w:p w14:paraId="1968786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7600094" w14:textId="77777777" w:rsidR="00783F23" w:rsidRPr="00A3026E" w:rsidRDefault="00783F2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30 сентября 1940 года самолет ДБ-240 главного конструктора В.Г. Ермолаева по</w:t>
      </w:r>
      <w:r w:rsidRPr="00A3026E">
        <w:rPr>
          <w:rFonts w:ascii="Times New Roman" w:hAnsi="Times New Roman"/>
          <w:color w:val="0070C0"/>
          <w:sz w:val="16"/>
          <w:szCs w:val="16"/>
          <w:lang w:eastAsia="ru-RU" w:bidi="ru-RU"/>
        </w:rPr>
        <w:softHyphen/>
        <w:t>стройки завода № 240 был принят на госиспытания. Ответственные исполнители: на</w:t>
      </w:r>
      <w:r w:rsidRPr="00A3026E">
        <w:rPr>
          <w:rFonts w:ascii="Times New Roman" w:hAnsi="Times New Roman"/>
          <w:color w:val="0070C0"/>
          <w:sz w:val="16"/>
          <w:szCs w:val="16"/>
          <w:lang w:eastAsia="ru-RU" w:bidi="ru-RU"/>
        </w:rPr>
        <w:softHyphen/>
        <w:t>чальник отделения 1-го отдела НИИ ВВС военинженер 1 ранга Марков, ведущий инже</w:t>
      </w:r>
      <w:r w:rsidRPr="00A3026E">
        <w:rPr>
          <w:rFonts w:ascii="Times New Roman" w:hAnsi="Times New Roman"/>
          <w:color w:val="0070C0"/>
          <w:sz w:val="16"/>
          <w:szCs w:val="16"/>
          <w:lang w:eastAsia="ru-RU" w:bidi="ru-RU"/>
        </w:rPr>
        <w:softHyphen/>
        <w:t>нер - военинженер 3-го ранга Фингеров. Ве</w:t>
      </w:r>
      <w:r w:rsidRPr="00A3026E">
        <w:rPr>
          <w:rFonts w:ascii="Times New Roman" w:hAnsi="Times New Roman"/>
          <w:color w:val="0070C0"/>
          <w:sz w:val="16"/>
          <w:szCs w:val="16"/>
          <w:lang w:eastAsia="ru-RU" w:bidi="ru-RU"/>
        </w:rPr>
        <w:softHyphen/>
        <w:t>дущие летчики: капитан Дудкин, майор Нюх- тиков.</w:t>
      </w:r>
    </w:p>
    <w:p w14:paraId="5902F0FA" w14:textId="77777777" w:rsidR="00783F23" w:rsidRPr="00A3026E" w:rsidRDefault="00783F2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Цель испытаний - проверить соответ</w:t>
      </w:r>
      <w:r w:rsidRPr="00A3026E">
        <w:rPr>
          <w:rFonts w:ascii="Times New Roman" w:hAnsi="Times New Roman"/>
          <w:color w:val="0070C0"/>
          <w:sz w:val="16"/>
          <w:szCs w:val="16"/>
          <w:lang w:eastAsia="ru-RU" w:bidi="ru-RU"/>
        </w:rPr>
        <w:softHyphen/>
        <w:t>ствие самолета тактико-техническим требо</w:t>
      </w:r>
      <w:r w:rsidRPr="00A3026E">
        <w:rPr>
          <w:rFonts w:ascii="Times New Roman" w:hAnsi="Times New Roman"/>
          <w:color w:val="0070C0"/>
          <w:sz w:val="16"/>
          <w:szCs w:val="16"/>
          <w:lang w:eastAsia="ru-RU" w:bidi="ru-RU"/>
        </w:rPr>
        <w:softHyphen/>
        <w:t>ваниям, состояние и работу винтомоторной группы, работу бомбардировочного и стрел</w:t>
      </w:r>
      <w:r w:rsidRPr="00A3026E">
        <w:rPr>
          <w:rFonts w:ascii="Times New Roman" w:hAnsi="Times New Roman"/>
          <w:color w:val="0070C0"/>
          <w:sz w:val="16"/>
          <w:szCs w:val="16"/>
          <w:lang w:eastAsia="ru-RU" w:bidi="ru-RU"/>
        </w:rPr>
        <w:softHyphen/>
        <w:t>кового вооружений, работу электрооборудо</w:t>
      </w:r>
      <w:r w:rsidRPr="00A3026E">
        <w:rPr>
          <w:rFonts w:ascii="Times New Roman" w:hAnsi="Times New Roman"/>
          <w:color w:val="0070C0"/>
          <w:sz w:val="16"/>
          <w:szCs w:val="16"/>
          <w:lang w:eastAsia="ru-RU" w:bidi="ru-RU"/>
        </w:rPr>
        <w:softHyphen/>
        <w:t>вания и связи. Дать эксплуатационную оцен</w:t>
      </w:r>
      <w:r w:rsidRPr="00A3026E">
        <w:rPr>
          <w:rFonts w:ascii="Times New Roman" w:hAnsi="Times New Roman"/>
          <w:color w:val="0070C0"/>
          <w:sz w:val="16"/>
          <w:szCs w:val="16"/>
          <w:lang w:eastAsia="ru-RU" w:bidi="ru-RU"/>
        </w:rPr>
        <w:softHyphen/>
        <w:t>ку самолета. Общая продолжительность ис</w:t>
      </w:r>
      <w:r w:rsidRPr="00A3026E">
        <w:rPr>
          <w:rFonts w:ascii="Times New Roman" w:hAnsi="Times New Roman"/>
          <w:color w:val="0070C0"/>
          <w:sz w:val="16"/>
          <w:szCs w:val="16"/>
          <w:lang w:eastAsia="ru-RU" w:bidi="ru-RU"/>
        </w:rPr>
        <w:softHyphen/>
        <w:t>пытания составила 19 дней, из них летных дней - 10. Всего было произведено 28 поле</w:t>
      </w:r>
      <w:r w:rsidRPr="00A3026E">
        <w:rPr>
          <w:rFonts w:ascii="Times New Roman" w:hAnsi="Times New Roman"/>
          <w:color w:val="0070C0"/>
          <w:sz w:val="16"/>
          <w:szCs w:val="16"/>
          <w:lang w:eastAsia="ru-RU" w:bidi="ru-RU"/>
        </w:rPr>
        <w:softHyphen/>
        <w:t>тов продолжительностью 26 часов 40 минут.</w:t>
      </w:r>
    </w:p>
    <w:p w14:paraId="60E37E09" w14:textId="77777777" w:rsidR="00783F23" w:rsidRPr="00A3026E" w:rsidRDefault="00783F2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Заключение: «Опытный самолет ДБ-240 с двумя моторами М-105 конструкции инже</w:t>
      </w:r>
      <w:r w:rsidRPr="00A3026E">
        <w:rPr>
          <w:rFonts w:ascii="Times New Roman" w:hAnsi="Times New Roman"/>
          <w:color w:val="0070C0"/>
          <w:sz w:val="16"/>
          <w:szCs w:val="16"/>
          <w:lang w:eastAsia="ru-RU" w:bidi="ru-RU"/>
        </w:rPr>
        <w:softHyphen/>
        <w:t>нера Ермолаева производства завода № 240 на госиспытаниях показал, что:</w:t>
      </w:r>
    </w:p>
    <w:p w14:paraId="12670999" w14:textId="41E63FE5" w:rsidR="00783F23" w:rsidRPr="00A3026E" w:rsidRDefault="00783F23" w:rsidP="00A3026E">
      <w:pPr>
        <w:widowControl w:val="0"/>
        <w:tabs>
          <w:tab w:val="left" w:pos="500"/>
        </w:tabs>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а) самолет имеет неудовлетворитель</w:t>
      </w:r>
      <w:r w:rsidRPr="00A3026E">
        <w:rPr>
          <w:rFonts w:ascii="Times New Roman" w:hAnsi="Times New Roman"/>
          <w:color w:val="0070C0"/>
          <w:sz w:val="16"/>
          <w:szCs w:val="16"/>
          <w:lang w:eastAsia="ru-RU" w:bidi="ru-RU"/>
        </w:rPr>
        <w:softHyphen/>
        <w:t>ную продольную и недостаточную попереч</w:t>
      </w:r>
      <w:r w:rsidRPr="00A3026E">
        <w:rPr>
          <w:rFonts w:ascii="Times New Roman" w:hAnsi="Times New Roman"/>
          <w:color w:val="0070C0"/>
          <w:sz w:val="16"/>
          <w:szCs w:val="16"/>
          <w:lang w:eastAsia="ru-RU" w:bidi="ru-RU"/>
        </w:rPr>
        <w:softHyphen/>
        <w:t>ную устойчивость, и весьма большие усилия на штурвал и педали;</w:t>
      </w:r>
    </w:p>
    <w:p w14:paraId="15E7DC65" w14:textId="527F3B43" w:rsidR="00783F23" w:rsidRPr="00A3026E" w:rsidRDefault="00783F23" w:rsidP="00A3026E">
      <w:pPr>
        <w:widowControl w:val="0"/>
        <w:tabs>
          <w:tab w:val="left" w:pos="505"/>
        </w:tabs>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б) самолет имеет большую длину разбе</w:t>
      </w:r>
      <w:r w:rsidRPr="00A3026E">
        <w:rPr>
          <w:rFonts w:ascii="Times New Roman" w:hAnsi="Times New Roman"/>
          <w:color w:val="0070C0"/>
          <w:sz w:val="16"/>
          <w:szCs w:val="16"/>
          <w:lang w:eastAsia="ru-RU" w:bidi="ru-RU"/>
        </w:rPr>
        <w:softHyphen/>
        <w:t>га, требующую для эксплуатации самолета в перегрузочном варианте аэродромов раз</w:t>
      </w:r>
      <w:r w:rsidRPr="00A3026E">
        <w:rPr>
          <w:rFonts w:ascii="Times New Roman" w:hAnsi="Times New Roman"/>
          <w:color w:val="0070C0"/>
          <w:sz w:val="16"/>
          <w:szCs w:val="16"/>
          <w:lang w:eastAsia="ru-RU" w:bidi="ru-RU"/>
        </w:rPr>
        <w:softHyphen/>
        <w:t>мерами 2500х2500 м со взлетной дорожкой 1200-1300 м;</w:t>
      </w:r>
    </w:p>
    <w:p w14:paraId="7AFECFCD" w14:textId="33C19103" w:rsidR="00783F23" w:rsidRPr="00A3026E" w:rsidRDefault="00783F23" w:rsidP="00A3026E">
      <w:pPr>
        <w:widowControl w:val="0"/>
        <w:tabs>
          <w:tab w:val="left" w:pos="505"/>
        </w:tabs>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в) не доведено стрелковое вооружение, исключающее возможность его нормальной эксплуатации;</w:t>
      </w:r>
    </w:p>
    <w:p w14:paraId="1C76E5C2" w14:textId="2C04D3B9" w:rsidR="00783F23" w:rsidRPr="00A3026E" w:rsidRDefault="00783F23" w:rsidP="00A3026E">
      <w:pPr>
        <w:widowControl w:val="0"/>
        <w:tabs>
          <w:tab w:val="left" w:pos="481"/>
        </w:tabs>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г) бомбардировочное вооружение не обес</w:t>
      </w:r>
      <w:r w:rsidRPr="00A3026E">
        <w:rPr>
          <w:rFonts w:ascii="Times New Roman" w:hAnsi="Times New Roman"/>
          <w:color w:val="0070C0"/>
          <w:sz w:val="16"/>
          <w:szCs w:val="16"/>
          <w:lang w:eastAsia="ru-RU" w:bidi="ru-RU"/>
        </w:rPr>
        <w:softHyphen/>
        <w:t>печивает безопасное сбрасывание бомб и не дает возможности разгрузить бомбовый отсек от бомб калибром 250 и 500 кг;</w:t>
      </w:r>
    </w:p>
    <w:p w14:paraId="185907BD" w14:textId="2FF9EF64" w:rsidR="00783F23" w:rsidRPr="00A3026E" w:rsidRDefault="000C572A" w:rsidP="00A3026E">
      <w:pPr>
        <w:widowControl w:val="0"/>
        <w:tabs>
          <w:tab w:val="left" w:pos="514"/>
        </w:tabs>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 xml:space="preserve">д) </w:t>
      </w:r>
      <w:r w:rsidR="00783F23" w:rsidRPr="00A3026E">
        <w:rPr>
          <w:rFonts w:ascii="Times New Roman" w:hAnsi="Times New Roman"/>
          <w:color w:val="0070C0"/>
          <w:sz w:val="16"/>
          <w:szCs w:val="16"/>
          <w:lang w:eastAsia="ru-RU" w:bidi="ru-RU"/>
        </w:rPr>
        <w:t>перегрев масла и воды, что не обес</w:t>
      </w:r>
      <w:r w:rsidR="00783F23" w:rsidRPr="00A3026E">
        <w:rPr>
          <w:rFonts w:ascii="Times New Roman" w:hAnsi="Times New Roman"/>
          <w:color w:val="0070C0"/>
          <w:sz w:val="16"/>
          <w:szCs w:val="16"/>
          <w:lang w:eastAsia="ru-RU" w:bidi="ru-RU"/>
        </w:rPr>
        <w:softHyphen/>
        <w:t>печивает нормальную эксплуатацию вин</w:t>
      </w:r>
      <w:r w:rsidR="00783F23" w:rsidRPr="00A3026E">
        <w:rPr>
          <w:rFonts w:ascii="Times New Roman" w:hAnsi="Times New Roman"/>
          <w:color w:val="0070C0"/>
          <w:sz w:val="16"/>
          <w:szCs w:val="16"/>
          <w:lang w:eastAsia="ru-RU" w:bidi="ru-RU"/>
        </w:rPr>
        <w:softHyphen/>
        <w:t>томоторной группы и приводит к снижению летных данных самолета при высоких тем</w:t>
      </w:r>
      <w:r w:rsidR="00783F23" w:rsidRPr="00A3026E">
        <w:rPr>
          <w:rFonts w:ascii="Times New Roman" w:hAnsi="Times New Roman"/>
          <w:color w:val="0070C0"/>
          <w:sz w:val="16"/>
          <w:szCs w:val="16"/>
          <w:lang w:eastAsia="ru-RU" w:bidi="ru-RU"/>
        </w:rPr>
        <w:softHyphen/>
        <w:t>пературах воздуха у земли, а также ряд дру</w:t>
      </w:r>
      <w:r w:rsidR="00783F23" w:rsidRPr="00A3026E">
        <w:rPr>
          <w:rFonts w:ascii="Times New Roman" w:hAnsi="Times New Roman"/>
          <w:color w:val="0070C0"/>
          <w:sz w:val="16"/>
          <w:szCs w:val="16"/>
          <w:lang w:eastAsia="ru-RU" w:bidi="ru-RU"/>
        </w:rPr>
        <w:softHyphen/>
        <w:t>гих дефектов, затрудняющих его эксплуа</w:t>
      </w:r>
      <w:r w:rsidR="00783F23" w:rsidRPr="00A3026E">
        <w:rPr>
          <w:rFonts w:ascii="Times New Roman" w:hAnsi="Times New Roman"/>
          <w:color w:val="0070C0"/>
          <w:sz w:val="16"/>
          <w:szCs w:val="16"/>
          <w:lang w:eastAsia="ru-RU" w:bidi="ru-RU"/>
        </w:rPr>
        <w:softHyphen/>
        <w:t>тацию.</w:t>
      </w:r>
    </w:p>
    <w:p w14:paraId="2A8AA358" w14:textId="77777777" w:rsidR="00783F23" w:rsidRPr="00A3026E" w:rsidRDefault="00783F2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Без устранения основных дефектов само</w:t>
      </w:r>
      <w:r w:rsidRPr="00A3026E">
        <w:rPr>
          <w:rFonts w:ascii="Times New Roman" w:hAnsi="Times New Roman"/>
          <w:color w:val="0070C0"/>
          <w:sz w:val="16"/>
          <w:szCs w:val="16"/>
          <w:lang w:eastAsia="ru-RU" w:bidi="ru-RU"/>
        </w:rPr>
        <w:softHyphen/>
        <w:t>лет ДБ-240 не может быть допущен для нор</w:t>
      </w:r>
      <w:r w:rsidRPr="00A3026E">
        <w:rPr>
          <w:rFonts w:ascii="Times New Roman" w:hAnsi="Times New Roman"/>
          <w:color w:val="0070C0"/>
          <w:sz w:val="16"/>
          <w:szCs w:val="16"/>
          <w:lang w:eastAsia="ru-RU" w:bidi="ru-RU"/>
        </w:rPr>
        <w:softHyphen/>
        <w:t>мальной эксплуатации в строевых частях ВВС.</w:t>
      </w:r>
    </w:p>
    <w:p w14:paraId="23A93DF6" w14:textId="77777777" w:rsidR="00783F23" w:rsidRPr="00A3026E" w:rsidRDefault="00783F23" w:rsidP="00A3026E">
      <w:pPr>
        <w:spacing w:after="0" w:line="240" w:lineRule="auto"/>
        <w:jc w:val="both"/>
        <w:rPr>
          <w:rFonts w:ascii="Times New Roman" w:hAnsi="Times New Roman"/>
          <w:color w:val="0070C0"/>
          <w:sz w:val="16"/>
          <w:szCs w:val="16"/>
          <w:lang w:eastAsia="ru-RU" w:bidi="ru-RU"/>
        </w:rPr>
      </w:pPr>
      <w:r w:rsidRPr="00A3026E">
        <w:rPr>
          <w:rFonts w:ascii="Times New Roman" w:hAnsi="Times New Roman"/>
          <w:color w:val="0070C0"/>
          <w:sz w:val="16"/>
          <w:szCs w:val="16"/>
          <w:lang w:eastAsia="ru-RU" w:bidi="ru-RU"/>
        </w:rPr>
        <w:t>Наряду с перечисленными недостатками, самолет ДБ-240 имеет ряд весьма положи</w:t>
      </w:r>
      <w:r w:rsidRPr="00A3026E">
        <w:rPr>
          <w:rFonts w:ascii="Times New Roman" w:hAnsi="Times New Roman"/>
          <w:color w:val="0070C0"/>
          <w:sz w:val="16"/>
          <w:szCs w:val="16"/>
          <w:lang w:eastAsia="ru-RU" w:bidi="ru-RU"/>
        </w:rPr>
        <w:softHyphen/>
        <w:t>тельных свойств - хороший обзор из кабин летчика и штурмана, большую емкость бен</w:t>
      </w:r>
      <w:r w:rsidRPr="00A3026E">
        <w:rPr>
          <w:rFonts w:ascii="Times New Roman" w:hAnsi="Times New Roman"/>
          <w:color w:val="0070C0"/>
          <w:sz w:val="16"/>
          <w:szCs w:val="16"/>
          <w:lang w:eastAsia="ru-RU" w:bidi="ru-RU"/>
        </w:rPr>
        <w:softHyphen/>
        <w:t>зобаков, возможность подвески внутри фю</w:t>
      </w:r>
      <w:r w:rsidRPr="00A3026E">
        <w:rPr>
          <w:rFonts w:ascii="Times New Roman" w:hAnsi="Times New Roman"/>
          <w:color w:val="0070C0"/>
          <w:sz w:val="16"/>
          <w:szCs w:val="16"/>
          <w:lang w:eastAsia="ru-RU" w:bidi="ru-RU"/>
        </w:rPr>
        <w:softHyphen/>
        <w:t>зеляжа 4-х бомб по 500 кг, хорошую схему обо</w:t>
      </w:r>
      <w:r w:rsidRPr="00A3026E">
        <w:rPr>
          <w:rFonts w:ascii="Times New Roman" w:hAnsi="Times New Roman"/>
          <w:color w:val="0070C0"/>
          <w:sz w:val="16"/>
          <w:szCs w:val="16"/>
          <w:lang w:eastAsia="ru-RU" w:bidi="ru-RU"/>
        </w:rPr>
        <w:softHyphen/>
        <w:t>ронительного огня и несложность взлета и посадки...» (21406).</w:t>
      </w:r>
    </w:p>
    <w:p w14:paraId="2EBADBC9" w14:textId="77777777" w:rsidR="00783F23" w:rsidRPr="00A3026E" w:rsidRDefault="00783F23" w:rsidP="00A3026E">
      <w:pPr>
        <w:spacing w:after="0" w:line="240" w:lineRule="auto"/>
        <w:jc w:val="both"/>
        <w:rPr>
          <w:rFonts w:ascii="Times New Roman" w:hAnsi="Times New Roman"/>
          <w:color w:val="0070C0"/>
          <w:sz w:val="16"/>
          <w:szCs w:val="16"/>
        </w:rPr>
      </w:pPr>
    </w:p>
    <w:p w14:paraId="57DEBA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30 сентября по 5 октября 1940 г. проходили испытания И-153УД (в некоторых документах обозначался - И-153У.Д.), хвостовую часть фюзеляжа которого, начиная от 3-й рамы, изготовили в виде деревянного монокока. Летал П.Е.Логинов. В целом эти испытания прошли успешно, однако воплощения в серии машина И-153УД не нашла в связи с прекращением постройки базовой модели (6592).</w:t>
      </w:r>
    </w:p>
    <w:p w14:paraId="16B38EC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178F7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30 сентября 1940 начались заводские испытания И-153 с мотором М-62 и деревянным фюзеляжем-монококом вместо ферменного (И-153 УД-1). Они продолжались до 5 октября 1940 г. Всего на самолете выполнено 9 полетов с общим налетом 6 часов. Истреби</w:t>
      </w:r>
      <w:r w:rsidRPr="00A3026E">
        <w:rPr>
          <w:rFonts w:ascii="Times New Roman" w:hAnsi="Times New Roman"/>
          <w:color w:val="000000" w:themeColor="text1"/>
          <w:sz w:val="16"/>
          <w:szCs w:val="16"/>
        </w:rPr>
        <w:softHyphen/>
        <w:t>тель достиг максимальной скорости у земли 361 км/ч, а на высоте 4800 м - 422 км/ч. Время набора высоты 5000 м составляло 6 мин. В отчете об испытаниях отмечалось: «Уменьшение максимальной скорости можно объяснить тем, что мотор М-62 за № 1609, поставленный на У.Д., дал при контрольных испытаниях на моторном заводе номи</w:t>
      </w:r>
      <w:r w:rsidRPr="00A3026E">
        <w:rPr>
          <w:rFonts w:ascii="Times New Roman" w:hAnsi="Times New Roman"/>
          <w:color w:val="000000" w:themeColor="text1"/>
          <w:sz w:val="16"/>
          <w:szCs w:val="16"/>
        </w:rPr>
        <w:softHyphen/>
        <w:t>нальную мощность 840 л.с. при п=2120 об/мин... вместо положенной мощности на верхнем пределе 857-860 л.с., т.е. не додает 17-20 л.с.». Для проверки прочности фюзеляжа в ходе испыта</w:t>
      </w:r>
      <w:r w:rsidRPr="00A3026E">
        <w:rPr>
          <w:rFonts w:ascii="Times New Roman" w:hAnsi="Times New Roman"/>
          <w:color w:val="000000" w:themeColor="text1"/>
          <w:sz w:val="16"/>
          <w:szCs w:val="16"/>
        </w:rPr>
        <w:softHyphen/>
        <w:t>ний было выполнено 560 фигур высшего пилотажа с пе</w:t>
      </w:r>
      <w:r w:rsidRPr="00A3026E">
        <w:rPr>
          <w:rFonts w:ascii="Times New Roman" w:hAnsi="Times New Roman"/>
          <w:color w:val="000000" w:themeColor="text1"/>
          <w:sz w:val="16"/>
          <w:szCs w:val="16"/>
        </w:rPr>
        <w:softHyphen/>
        <w:t>регрузкой, доходившей до 7 единиц. При этом никаких дефектов и нарушения прочности хвостовой части фю</w:t>
      </w:r>
      <w:r w:rsidRPr="00A3026E">
        <w:rPr>
          <w:rFonts w:ascii="Times New Roman" w:hAnsi="Times New Roman"/>
          <w:color w:val="000000" w:themeColor="text1"/>
          <w:sz w:val="16"/>
          <w:szCs w:val="16"/>
        </w:rPr>
        <w:softHyphen/>
        <w:t>зеляжа не обнаружили. По результатам испытаний приняли следующее ре</w:t>
      </w:r>
      <w:r w:rsidRPr="00A3026E">
        <w:rPr>
          <w:rFonts w:ascii="Times New Roman" w:hAnsi="Times New Roman"/>
          <w:color w:val="000000" w:themeColor="text1"/>
          <w:sz w:val="16"/>
          <w:szCs w:val="16"/>
        </w:rPr>
        <w:softHyphen/>
        <w:t>шение: «Считать, что хвостовая часть фюзеляжа, выкле</w:t>
      </w:r>
      <w:r w:rsidRPr="00A3026E">
        <w:rPr>
          <w:rFonts w:ascii="Times New Roman" w:hAnsi="Times New Roman"/>
          <w:color w:val="000000" w:themeColor="text1"/>
          <w:sz w:val="16"/>
          <w:szCs w:val="16"/>
        </w:rPr>
        <w:softHyphen/>
        <w:t>енная из шпона, испытание выдержала... Самолет после окраски передать для эксплуатации ВВС КА». Работы по установке нового мотора воздушного ох</w:t>
      </w:r>
      <w:r w:rsidRPr="00A3026E">
        <w:rPr>
          <w:rFonts w:ascii="Times New Roman" w:hAnsi="Times New Roman"/>
          <w:color w:val="000000" w:themeColor="text1"/>
          <w:sz w:val="16"/>
          <w:szCs w:val="16"/>
        </w:rPr>
        <w:softHyphen/>
        <w:t>лаждения М-63 мощностью 930/1100 л.с., представляв</w:t>
      </w:r>
      <w:r w:rsidRPr="00A3026E">
        <w:rPr>
          <w:rFonts w:ascii="Times New Roman" w:hAnsi="Times New Roman"/>
          <w:color w:val="000000" w:themeColor="text1"/>
          <w:sz w:val="16"/>
          <w:szCs w:val="16"/>
        </w:rPr>
        <w:softHyphen/>
        <w:t>шего собой форсированный вариант мотора М-62, начались в 1939 г., когда были выполнены первые расче-ты и сделаны первые наброски чертежей мотоустановки (М-63 тогда еще только проходил стендовые испыта</w:t>
      </w:r>
      <w:r w:rsidRPr="00A3026E">
        <w:rPr>
          <w:rFonts w:ascii="Times New Roman" w:hAnsi="Times New Roman"/>
          <w:color w:val="000000" w:themeColor="text1"/>
          <w:sz w:val="16"/>
          <w:szCs w:val="16"/>
        </w:rPr>
        <w:softHyphen/>
        <w:t>ния). В августе 1939 г. нарком авиапромышленности М.М.Каганович предписал Н.Н.Поликарпову развер</w:t>
      </w:r>
      <w:r w:rsidRPr="00A3026E">
        <w:rPr>
          <w:rFonts w:ascii="Times New Roman" w:hAnsi="Times New Roman"/>
          <w:color w:val="000000" w:themeColor="text1"/>
          <w:sz w:val="16"/>
          <w:szCs w:val="16"/>
        </w:rPr>
        <w:softHyphen/>
        <w:t>нуть работы по проектированию И-153 с мотором М-63, а директору завода № 1 Воронину готовить производст</w:t>
      </w:r>
      <w:r w:rsidRPr="00A3026E">
        <w:rPr>
          <w:rFonts w:ascii="Times New Roman" w:hAnsi="Times New Roman"/>
          <w:color w:val="000000" w:themeColor="text1"/>
          <w:sz w:val="16"/>
          <w:szCs w:val="16"/>
        </w:rPr>
        <w:softHyphen/>
        <w:t>во к серийной постройке истребителя. При этом он под</w:t>
      </w:r>
      <w:r w:rsidRPr="00A3026E">
        <w:rPr>
          <w:rFonts w:ascii="Times New Roman" w:hAnsi="Times New Roman"/>
          <w:color w:val="000000" w:themeColor="text1"/>
          <w:sz w:val="16"/>
          <w:szCs w:val="16"/>
        </w:rPr>
        <w:softHyphen/>
        <w:t>твердил требуемые ВВС летные характеристики И-153 с М-63 (во многом нереальные): максимальная скорость полета на высоте 5000 м - 485 км/ч, нормальная даль</w:t>
      </w:r>
      <w:r w:rsidRPr="00A3026E">
        <w:rPr>
          <w:rFonts w:ascii="Times New Roman" w:hAnsi="Times New Roman"/>
          <w:color w:val="000000" w:themeColor="text1"/>
          <w:sz w:val="16"/>
          <w:szCs w:val="16"/>
        </w:rPr>
        <w:softHyphen/>
        <w:t>ность на 0,9 максимальной скорости - 600 км, практиче</w:t>
      </w:r>
      <w:r w:rsidRPr="00A3026E">
        <w:rPr>
          <w:rFonts w:ascii="Times New Roman" w:hAnsi="Times New Roman"/>
          <w:color w:val="000000" w:themeColor="text1"/>
          <w:sz w:val="16"/>
          <w:szCs w:val="16"/>
        </w:rPr>
        <w:softHyphen/>
        <w:t>ский потолок - 10000 м (10667).</w:t>
      </w:r>
    </w:p>
    <w:p w14:paraId="18B345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0735A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30 сентября по 5 октября 1940 г. проходили испытания И- 153УД. У И- 153УД, хвостовую часть фюзеляжа, начиная от 3-й рамы, выполнили в виде деревянного деревянной хвостовой монокока. Подобная конструкция была хорошо освоена промышленностью и применялась в истребителе И-16. Деревянный фрагмент стал тяжелее металлического на 8,4 кг, а по обводам они являлись абсолютно идентичными. Летал П.Е.Логинов. В целом эти испытания прошли успешно, однако воплощения в серии И-153УД не нашел в связи с прекращением серийной постройки базовой модели.</w:t>
      </w:r>
    </w:p>
    <w:p w14:paraId="546F27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Была и модификация, обозначенная И-153Б без расчалок, в которой необходимую жесткость коробки крыльев обеспечивало нижнее крыло трапециевидной формы с фанерной обшивкой и увеличенной корневой хордой. Сама идея представлялась оригинальной, реализация легко осуществимой, объем переделок базового самолета небольшим. Однако преимущества также были невелики и, по всей вероятности, именно по этой причине проект не был реализован.  (12014). </w:t>
      </w:r>
    </w:p>
    <w:p w14:paraId="473FC4F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4748D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сентября 1940 года Начальник ГУ ВВС генерал-лейтенант авиации Рычагов утвердил Отчет по испытанию серийного самолета И-16 М-63 № 24п21ж69</w:t>
      </w:r>
    </w:p>
    <w:p w14:paraId="3656EA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3F6D38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и вед. летчик – в/инженер 2 ранга Кочетков</w:t>
      </w:r>
    </w:p>
    <w:p w14:paraId="5C1521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серийного самолета И-16 М-63 тип 24, полученного для этой цели из Люберецкой авиабригады, были проведены с целью уточнения летных данных самолета И-16 М-63 типа 24 и выявления причин снижения максимальной скорости серийного самолета по сравнению с опытным самолетом И-16 М-63 тип 24.</w:t>
      </w:r>
    </w:p>
    <w:p w14:paraId="31BA16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самолет И-16 М-63 тип 24 испытывался в НИИ ВВС в 1939 году и показал максимальную скорость 485 км/час, тогда как на эталоне 1940 года самолета И-16 М-63, проходившего испытания в НИИ ВВС в мае 1940 года, была получена максимальная скорость 462 км/час).</w:t>
      </w:r>
    </w:p>
    <w:p w14:paraId="4AF4BA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2993F59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Снятие летных характеристик.</w:t>
      </w:r>
    </w:p>
    <w:p w14:paraId="2C40CD7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Определение взлетно-посадочных свойств.</w:t>
      </w:r>
    </w:p>
    <w:p w14:paraId="4D17FA0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Определение маневренности.</w:t>
      </w:r>
    </w:p>
    <w:p w14:paraId="2BDF61D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Летная оценка самолета.</w:t>
      </w:r>
    </w:p>
    <w:p w14:paraId="33B94E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Эталон самолета И-16 М-63 предполагалось получить в декабре 1939 года, фактически завод представил эталон в апреле 1940 года после того как значительная серия самолетов И-16 М-63 тип 24 уже поступила в строевые части. Конструктивные изменения эталона 1940 года будут проведены на серийных самолетах И-16 М-63 тип 29.</w:t>
      </w:r>
    </w:p>
    <w:p w14:paraId="670AEC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Летные испытания начаты 12 августа 1940 года.</w:t>
      </w:r>
    </w:p>
    <w:p w14:paraId="29108B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проведено 25 полетов с налетом 7 час. 25 мин.</w:t>
      </w:r>
    </w:p>
    <w:p w14:paraId="7ABD95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61DC2C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самолет И-16 М-63 имеет разницу в максимальной скорости на расчетной высоте по сравнению с опытным экземпляром на 11 км/час (470 км/час вместо 481 км/час).</w:t>
      </w:r>
    </w:p>
    <w:p w14:paraId="4EC6B7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24"/>
        <w:gridCol w:w="4428"/>
      </w:tblGrid>
      <w:tr w:rsidR="00983732" w:rsidRPr="00A3026E" w14:paraId="322C53A2" w14:textId="77777777" w:rsidTr="00EA0DA7">
        <w:tc>
          <w:tcPr>
            <w:tcW w:w="3024" w:type="dxa"/>
            <w:tcBorders>
              <w:top w:val="single" w:sz="12" w:space="0" w:color="auto"/>
            </w:tcBorders>
          </w:tcPr>
          <w:p w14:paraId="387A3D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августа 1940 года</w:t>
            </w:r>
          </w:p>
        </w:tc>
        <w:tc>
          <w:tcPr>
            <w:tcW w:w="4428" w:type="dxa"/>
            <w:tcBorders>
              <w:top w:val="single" w:sz="12" w:space="0" w:color="auto"/>
            </w:tcBorders>
          </w:tcPr>
          <w:p w14:paraId="44880B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Проведено три полета на скороподъемность</w:t>
            </w:r>
          </w:p>
        </w:tc>
      </w:tr>
      <w:tr w:rsidR="00983732" w:rsidRPr="00A3026E" w14:paraId="7D128D36" w14:textId="77777777" w:rsidTr="00EA0DA7">
        <w:tc>
          <w:tcPr>
            <w:tcW w:w="3024" w:type="dxa"/>
          </w:tcPr>
          <w:p w14:paraId="699136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августа 1940 года</w:t>
            </w:r>
          </w:p>
        </w:tc>
        <w:tc>
          <w:tcPr>
            <w:tcW w:w="4428" w:type="dxa"/>
          </w:tcPr>
          <w:p w14:paraId="02DD40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 один полет на километраж</w:t>
            </w:r>
          </w:p>
        </w:tc>
      </w:tr>
      <w:tr w:rsidR="00983732" w:rsidRPr="00A3026E" w14:paraId="5B9805BD" w14:textId="77777777" w:rsidTr="00EA0DA7">
        <w:tc>
          <w:tcPr>
            <w:tcW w:w="3024" w:type="dxa"/>
          </w:tcPr>
          <w:p w14:paraId="4BC03B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августа 1940 года</w:t>
            </w:r>
          </w:p>
        </w:tc>
        <w:tc>
          <w:tcPr>
            <w:tcW w:w="4428" w:type="dxa"/>
          </w:tcPr>
          <w:p w14:paraId="28A4F6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 один полет на потолок</w:t>
            </w:r>
          </w:p>
        </w:tc>
      </w:tr>
      <w:tr w:rsidR="00983732" w:rsidRPr="00A3026E" w14:paraId="27C20F4C" w14:textId="77777777" w:rsidTr="00EA0DA7">
        <w:tc>
          <w:tcPr>
            <w:tcW w:w="3024" w:type="dxa"/>
          </w:tcPr>
          <w:p w14:paraId="72211B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августа 1940 года</w:t>
            </w:r>
          </w:p>
        </w:tc>
        <w:tc>
          <w:tcPr>
            <w:tcW w:w="4428" w:type="dxa"/>
          </w:tcPr>
          <w:p w14:paraId="7B1676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 один полет на скороподъемность</w:t>
            </w:r>
          </w:p>
        </w:tc>
      </w:tr>
      <w:tr w:rsidR="00983732" w:rsidRPr="00A3026E" w14:paraId="68BA0788" w14:textId="77777777" w:rsidTr="00EA0DA7">
        <w:tc>
          <w:tcPr>
            <w:tcW w:w="3024" w:type="dxa"/>
          </w:tcPr>
          <w:p w14:paraId="5AD19F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августа 1940 года</w:t>
            </w:r>
          </w:p>
        </w:tc>
        <w:tc>
          <w:tcPr>
            <w:tcW w:w="4428" w:type="dxa"/>
          </w:tcPr>
          <w:p w14:paraId="36D01B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 один полет на засечку виражей</w:t>
            </w:r>
          </w:p>
        </w:tc>
      </w:tr>
      <w:tr w:rsidR="00983732" w:rsidRPr="00A3026E" w14:paraId="738E212C" w14:textId="77777777" w:rsidTr="00EA0DA7">
        <w:tc>
          <w:tcPr>
            <w:tcW w:w="3024" w:type="dxa"/>
          </w:tcPr>
          <w:p w14:paraId="43BFD6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августа 1940 года</w:t>
            </w:r>
          </w:p>
        </w:tc>
        <w:tc>
          <w:tcPr>
            <w:tcW w:w="4428" w:type="dxa"/>
          </w:tcPr>
          <w:p w14:paraId="31A073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 контрольный полет на скороподъемность</w:t>
            </w:r>
          </w:p>
        </w:tc>
      </w:tr>
      <w:tr w:rsidR="00983732" w:rsidRPr="00A3026E" w14:paraId="29996386" w14:textId="77777777" w:rsidTr="00EA0DA7">
        <w:tc>
          <w:tcPr>
            <w:tcW w:w="3024" w:type="dxa"/>
          </w:tcPr>
          <w:p w14:paraId="2E9B8F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августа 1940 года</w:t>
            </w:r>
          </w:p>
        </w:tc>
        <w:tc>
          <w:tcPr>
            <w:tcW w:w="4428" w:type="dxa"/>
          </w:tcPr>
          <w:p w14:paraId="20E26D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Проведено 15 полетов на замер взлетно-посадочных свойств</w:t>
            </w:r>
          </w:p>
        </w:tc>
      </w:tr>
      <w:tr w:rsidR="00983732" w:rsidRPr="00A3026E" w14:paraId="74A5D2E2" w14:textId="77777777" w:rsidTr="00EA0DA7">
        <w:tc>
          <w:tcPr>
            <w:tcW w:w="3024" w:type="dxa"/>
            <w:tcBorders>
              <w:bottom w:val="single" w:sz="12" w:space="0" w:color="auto"/>
            </w:tcBorders>
          </w:tcPr>
          <w:p w14:paraId="7C8BE0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августа 1940 года</w:t>
            </w:r>
          </w:p>
        </w:tc>
        <w:tc>
          <w:tcPr>
            <w:tcW w:w="4428" w:type="dxa"/>
            <w:tcBorders>
              <w:bottom w:val="single" w:sz="12" w:space="0" w:color="auto"/>
            </w:tcBorders>
          </w:tcPr>
          <w:p w14:paraId="1D2D79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Проведено 8 полетов на замер взлетно-посадочных свойств</w:t>
            </w:r>
          </w:p>
        </w:tc>
      </w:tr>
    </w:tbl>
    <w:p w14:paraId="189811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(4428).</w:t>
      </w:r>
    </w:p>
    <w:p w14:paraId="1CD6D21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847B7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сентября 1940 г. приказом ВВС КА был установлен порядок переучивания лётно-технического состава стро</w:t>
      </w:r>
      <w:r w:rsidRPr="00A3026E">
        <w:rPr>
          <w:rFonts w:ascii="Times New Roman" w:hAnsi="Times New Roman"/>
          <w:color w:val="000000" w:themeColor="text1"/>
          <w:sz w:val="16"/>
          <w:szCs w:val="16"/>
        </w:rPr>
        <w:softHyphen/>
        <w:t>евых частей на новую материаль</w:t>
      </w:r>
      <w:r w:rsidRPr="00A3026E">
        <w:rPr>
          <w:rFonts w:ascii="Times New Roman" w:hAnsi="Times New Roman"/>
          <w:color w:val="000000" w:themeColor="text1"/>
          <w:sz w:val="16"/>
          <w:szCs w:val="16"/>
        </w:rPr>
        <w:softHyphen/>
        <w:t>ную часть. Переучивание руководящего лётного состава организовывалось при НИИ ВВС КА со сроком обучения 15 дней. В связи с этим начальнику института генерал-майору авиации А.И. Фи</w:t>
      </w:r>
      <w:r w:rsidRPr="00A3026E">
        <w:rPr>
          <w:rFonts w:ascii="Times New Roman" w:hAnsi="Times New Roman"/>
          <w:color w:val="000000" w:themeColor="text1"/>
          <w:sz w:val="16"/>
          <w:szCs w:val="16"/>
        </w:rPr>
        <w:softHyphen/>
        <w:t>лину предписывалось по мере по</w:t>
      </w:r>
      <w:r w:rsidRPr="00A3026E">
        <w:rPr>
          <w:rFonts w:ascii="Times New Roman" w:hAnsi="Times New Roman"/>
          <w:color w:val="000000" w:themeColor="text1"/>
          <w:sz w:val="16"/>
          <w:szCs w:val="16"/>
        </w:rPr>
        <w:softHyphen/>
        <w:t>ступления техники подготовить 2-3 инструктора для каждого типа са</w:t>
      </w:r>
      <w:r w:rsidRPr="00A3026E">
        <w:rPr>
          <w:rFonts w:ascii="Times New Roman" w:hAnsi="Times New Roman"/>
          <w:color w:val="000000" w:themeColor="text1"/>
          <w:sz w:val="16"/>
          <w:szCs w:val="16"/>
        </w:rPr>
        <w:softHyphen/>
        <w:t>молёта, а само переучивание про</w:t>
      </w:r>
      <w:r w:rsidRPr="00A3026E">
        <w:rPr>
          <w:rFonts w:ascii="Times New Roman" w:hAnsi="Times New Roman"/>
          <w:color w:val="000000" w:themeColor="text1"/>
          <w:sz w:val="16"/>
          <w:szCs w:val="16"/>
        </w:rPr>
        <w:softHyphen/>
        <w:t>водить по составленным 1-м Управ</w:t>
      </w:r>
      <w:r w:rsidRPr="00A3026E">
        <w:rPr>
          <w:rFonts w:ascii="Times New Roman" w:hAnsi="Times New Roman"/>
          <w:color w:val="000000" w:themeColor="text1"/>
          <w:sz w:val="16"/>
          <w:szCs w:val="16"/>
        </w:rPr>
        <w:softHyphen/>
        <w:t>лением ГУ ВВС КА программам. После его завершения вместе с возвращающимся подготовленным лётным составом в полки надлежа</w:t>
      </w:r>
      <w:r w:rsidRPr="00A3026E">
        <w:rPr>
          <w:rFonts w:ascii="Times New Roman" w:hAnsi="Times New Roman"/>
          <w:color w:val="000000" w:themeColor="text1"/>
          <w:sz w:val="16"/>
          <w:szCs w:val="16"/>
        </w:rPr>
        <w:softHyphen/>
        <w:t>ло направлять своего инструктора и инженера по каждому типу само</w:t>
      </w:r>
      <w:r w:rsidRPr="00A3026E">
        <w:rPr>
          <w:rFonts w:ascii="Times New Roman" w:hAnsi="Times New Roman"/>
          <w:color w:val="000000" w:themeColor="text1"/>
          <w:sz w:val="16"/>
          <w:szCs w:val="16"/>
        </w:rPr>
        <w:softHyphen/>
        <w:t>лёта, где они должны были нахо</w:t>
      </w:r>
      <w:r w:rsidRPr="00A3026E">
        <w:rPr>
          <w:rFonts w:ascii="Times New Roman" w:hAnsi="Times New Roman"/>
          <w:color w:val="000000" w:themeColor="text1"/>
          <w:sz w:val="16"/>
          <w:szCs w:val="16"/>
        </w:rPr>
        <w:softHyphen/>
        <w:t>диться до окончания переучивания всего личного состава части. 21 октября 1940 г. первыми для изучения истреби</w:t>
      </w:r>
      <w:r w:rsidRPr="00A3026E">
        <w:rPr>
          <w:rFonts w:ascii="Times New Roman" w:hAnsi="Times New Roman"/>
          <w:color w:val="000000" w:themeColor="text1"/>
          <w:sz w:val="16"/>
          <w:szCs w:val="16"/>
        </w:rPr>
        <w:softHyphen/>
        <w:t>теля МиГ-1 на завод №1 им. Авиахима прибыли 11 человек из 31-го иап 8-й сад ВВС ПрибОВО, во главе со старшим инженером полка военинженером 3-го ранга Т.Е. Крупениным (11761).</w:t>
      </w:r>
    </w:p>
    <w:p w14:paraId="725CFA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3F943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сентября 1940 совершил первый полет 2-й экз. самолета И-21 Пашинина и 1 ноября хотели передавать на гос. испытания (2056,134).</w:t>
      </w:r>
    </w:p>
    <w:p w14:paraId="3CAC59C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AFE37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сентября 1940 года начальник ГУ ВВС генерал-лейтенант авиации Рычагов писал письмо № 466115с наркому обороны маршалу Тимошенко</w:t>
      </w:r>
    </w:p>
    <w:p w14:paraId="45AEEE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Постановления КО за № 325сс от 23 июля 1940 года гл. конструктор завода № 115 Яковлев должен был модифицировать самолет И-26 в двухместный переходно-тренировочный самолет с двойным управлением, вооруженный двумя пулеметами ШКАС через винт с запасом патрон 700 штук.</w:t>
      </w:r>
    </w:p>
    <w:p w14:paraId="630D79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предъявления на госиспытания 1-го экземпляра 1 августа 1940 года и второго 15 сентября 1940 года.</w:t>
      </w:r>
    </w:p>
    <w:p w14:paraId="16F1B9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 о реализации этого постановления.</w:t>
      </w:r>
    </w:p>
    <w:p w14:paraId="5276E1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Постройка 1 экземпляра под названием УТИ-26 была закончена 13 июля 1940 года. До 28 августа 1940 года самолет проходил заводские испытания. Предъявлен на госиспытания в НИИ ВВС 28 августа 1940 года.</w:t>
      </w:r>
    </w:p>
    <w:p w14:paraId="35AE8B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28 августа 1940 года по 21 сентября 1940 года самолет находился на госиспытаниях.</w:t>
      </w:r>
    </w:p>
    <w:p w14:paraId="042DC4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года самолет перегнан на завода № 115 для осмотра и вывозки строевых летчиков выделенных для проведения войсковых испытаний самолета И-26.</w:t>
      </w:r>
    </w:p>
    <w:p w14:paraId="6AE94E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по госиспытаниям самолета УТИ-26 будет дано после вывозки строевых летчиков и дачи ими летной оценки самолета.</w:t>
      </w:r>
    </w:p>
    <w:p w14:paraId="1370D0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Постройка второго УТИ-26 закончена 11 сентября 1940 года. В настоящее время самолет находится на заводских испытаниях (7625, 383).</w:t>
      </w:r>
    </w:p>
    <w:p w14:paraId="69FF9D6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E4663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сентября 1940 года маршал Тимошенко писал письмо N 7438с председателю совета Оборонпрома Вознесенскому.</w:t>
      </w:r>
    </w:p>
    <w:p w14:paraId="3D5542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N 517/соп.</w:t>
      </w:r>
    </w:p>
    <w:p w14:paraId="0AE6EE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постройке, результатах неполных заводских испытаний самолета ОКО-6 с двумя безредукторными моторами М-88 и вопросов организации серийного производства этого самолета - докладываю:</w:t>
      </w:r>
    </w:p>
    <w:p w14:paraId="5848E4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при СНК от 29 июля 1939 г. за N 253сс, гл. конструктору завода N 43 в г. Киеве Таирову было поручено построить два экземпляра опытного одноместного 2-х моторного истребителя со сроком изготовления первого экземпляра в октябре 1939 года и второго экземпляра самолета в декабре 1939 года.</w:t>
      </w:r>
    </w:p>
    <w:p w14:paraId="7F734E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Указанные сроки постройки двух опытных экземпляров самолета ОКО-6 2М-88 конструктором Таировым были не выполнены. Первый летный экземпляр был окончен в производстве в декабре 1939 г.; к заводским испытаниям приступили 31-го декабря 1939 г. на аэродроме ЦАГИ (Раменское). Второй экземпляр с переделками и с редукторными моторами в настоящее время заканчивается производством и в октябре должен поступить на заводские испытания в ЦАГИ.</w:t>
      </w:r>
    </w:p>
    <w:p w14:paraId="059B62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этап заводских испытаний самолет закончил 8 июня с.г. и для доводки был перегнан на завод N 81.</w:t>
      </w:r>
    </w:p>
    <w:p w14:paraId="350D93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заводских испытаниях первого экземпляра самолета ОКО-6 2М-88 с безредукторными моторами, с винтами АВ-2 диаметром в 2,6 метра, получены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410"/>
        <w:gridCol w:w="3969"/>
      </w:tblGrid>
      <w:tr w:rsidR="00983732" w:rsidRPr="00A3026E" w14:paraId="7781BFA8" w14:textId="77777777" w:rsidTr="00EA0DA7">
        <w:tc>
          <w:tcPr>
            <w:tcW w:w="4219" w:type="dxa"/>
            <w:tcBorders>
              <w:top w:val="single" w:sz="12" w:space="0" w:color="auto"/>
            </w:tcBorders>
          </w:tcPr>
          <w:p w14:paraId="64E1266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10" w:type="dxa"/>
            <w:tcBorders>
              <w:top w:val="single" w:sz="12" w:space="0" w:color="auto"/>
            </w:tcBorders>
          </w:tcPr>
          <w:p w14:paraId="2C8A92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полученные</w:t>
            </w:r>
          </w:p>
        </w:tc>
        <w:tc>
          <w:tcPr>
            <w:tcW w:w="3969" w:type="dxa"/>
            <w:tcBorders>
              <w:top w:val="single" w:sz="12" w:space="0" w:color="auto"/>
            </w:tcBorders>
          </w:tcPr>
          <w:p w14:paraId="5B1CB6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 Пост. КО</w:t>
            </w:r>
          </w:p>
        </w:tc>
      </w:tr>
      <w:tr w:rsidR="00983732" w:rsidRPr="00A3026E" w14:paraId="28592F78" w14:textId="77777777" w:rsidTr="00EA0DA7">
        <w:tc>
          <w:tcPr>
            <w:tcW w:w="4219" w:type="dxa"/>
          </w:tcPr>
          <w:p w14:paraId="47A2782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10" w:type="dxa"/>
          </w:tcPr>
          <w:p w14:paraId="3EE969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зав. Испытаниях</w:t>
            </w:r>
          </w:p>
        </w:tc>
        <w:tc>
          <w:tcPr>
            <w:tcW w:w="3969" w:type="dxa"/>
          </w:tcPr>
          <w:p w14:paraId="1B7310D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64A3DD2" w14:textId="77777777" w:rsidTr="00EA0DA7">
        <w:tc>
          <w:tcPr>
            <w:tcW w:w="4219" w:type="dxa"/>
          </w:tcPr>
          <w:p w14:paraId="007EC6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горизонтальная</w:t>
            </w:r>
          </w:p>
        </w:tc>
        <w:tc>
          <w:tcPr>
            <w:tcW w:w="2410" w:type="dxa"/>
          </w:tcPr>
          <w:p w14:paraId="1A97565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969" w:type="dxa"/>
          </w:tcPr>
          <w:p w14:paraId="3AD7725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B0D2670" w14:textId="77777777" w:rsidTr="00EA0DA7">
        <w:tc>
          <w:tcPr>
            <w:tcW w:w="4219" w:type="dxa"/>
          </w:tcPr>
          <w:p w14:paraId="19328B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у земли</w:t>
            </w:r>
          </w:p>
        </w:tc>
        <w:tc>
          <w:tcPr>
            <w:tcW w:w="2410" w:type="dxa"/>
          </w:tcPr>
          <w:p w14:paraId="430EB7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448 км/час</w:t>
            </w:r>
          </w:p>
        </w:tc>
        <w:tc>
          <w:tcPr>
            <w:tcW w:w="3969" w:type="dxa"/>
          </w:tcPr>
          <w:p w14:paraId="2693B17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C9E56BC" w14:textId="77777777" w:rsidTr="00EA0DA7">
        <w:tc>
          <w:tcPr>
            <w:tcW w:w="4219" w:type="dxa"/>
          </w:tcPr>
          <w:p w14:paraId="12884D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горизонтальная</w:t>
            </w:r>
          </w:p>
        </w:tc>
        <w:tc>
          <w:tcPr>
            <w:tcW w:w="2410" w:type="dxa"/>
          </w:tcPr>
          <w:p w14:paraId="1207D9A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969" w:type="dxa"/>
          </w:tcPr>
          <w:p w14:paraId="5234BF5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286CA92" w14:textId="77777777" w:rsidTr="00EA0DA7">
        <w:tc>
          <w:tcPr>
            <w:tcW w:w="4219" w:type="dxa"/>
          </w:tcPr>
          <w:p w14:paraId="71723F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на расчетной высоте</w:t>
            </w:r>
          </w:p>
        </w:tc>
        <w:tc>
          <w:tcPr>
            <w:tcW w:w="2410" w:type="dxa"/>
          </w:tcPr>
          <w:p w14:paraId="46EC2D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567,5 км/час</w:t>
            </w:r>
          </w:p>
        </w:tc>
        <w:tc>
          <w:tcPr>
            <w:tcW w:w="3969" w:type="dxa"/>
          </w:tcPr>
          <w:p w14:paraId="6D892C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600-650 км/час</w:t>
            </w:r>
          </w:p>
        </w:tc>
      </w:tr>
      <w:tr w:rsidR="00983732" w:rsidRPr="00A3026E" w14:paraId="41BB32BE" w14:textId="77777777" w:rsidTr="00EA0DA7">
        <w:tc>
          <w:tcPr>
            <w:tcW w:w="4219" w:type="dxa"/>
          </w:tcPr>
          <w:p w14:paraId="4816109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10" w:type="dxa"/>
          </w:tcPr>
          <w:p w14:paraId="11874A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7550 м</w:t>
            </w:r>
          </w:p>
        </w:tc>
        <w:tc>
          <w:tcPr>
            <w:tcW w:w="3969" w:type="dxa"/>
          </w:tcPr>
          <w:p w14:paraId="0E4680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6-7000 м</w:t>
            </w:r>
          </w:p>
        </w:tc>
      </w:tr>
      <w:tr w:rsidR="00983732" w:rsidRPr="00A3026E" w14:paraId="7A1F3378" w14:textId="77777777" w:rsidTr="00EA0DA7">
        <w:tc>
          <w:tcPr>
            <w:tcW w:w="4219" w:type="dxa"/>
          </w:tcPr>
          <w:p w14:paraId="459670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5000 м</w:t>
            </w:r>
          </w:p>
        </w:tc>
        <w:tc>
          <w:tcPr>
            <w:tcW w:w="2410" w:type="dxa"/>
          </w:tcPr>
          <w:p w14:paraId="377510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 мин.</w:t>
            </w:r>
          </w:p>
        </w:tc>
        <w:tc>
          <w:tcPr>
            <w:tcW w:w="3969" w:type="dxa"/>
          </w:tcPr>
          <w:p w14:paraId="210C90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 мин.</w:t>
            </w:r>
          </w:p>
        </w:tc>
      </w:tr>
      <w:tr w:rsidR="00983732" w:rsidRPr="00A3026E" w14:paraId="57CAF4BA" w14:textId="77777777" w:rsidTr="00EA0DA7">
        <w:tc>
          <w:tcPr>
            <w:tcW w:w="4219" w:type="dxa"/>
          </w:tcPr>
          <w:p w14:paraId="1A068F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2410" w:type="dxa"/>
          </w:tcPr>
          <w:p w14:paraId="08AC08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11100 м</w:t>
            </w:r>
          </w:p>
        </w:tc>
        <w:tc>
          <w:tcPr>
            <w:tcW w:w="3969" w:type="dxa"/>
          </w:tcPr>
          <w:p w14:paraId="4AD490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 м</w:t>
            </w:r>
          </w:p>
        </w:tc>
      </w:tr>
      <w:tr w:rsidR="00983732" w:rsidRPr="00A3026E" w14:paraId="21F563B0" w14:textId="77777777" w:rsidTr="00EA0DA7">
        <w:tc>
          <w:tcPr>
            <w:tcW w:w="4219" w:type="dxa"/>
          </w:tcPr>
          <w:p w14:paraId="201B73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0,9 макс. при</w:t>
            </w:r>
          </w:p>
        </w:tc>
        <w:tc>
          <w:tcPr>
            <w:tcW w:w="2410" w:type="dxa"/>
          </w:tcPr>
          <w:p w14:paraId="583C8FE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969" w:type="dxa"/>
          </w:tcPr>
          <w:p w14:paraId="2668EA6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4F09006" w14:textId="77777777" w:rsidTr="00EA0DA7">
        <w:tc>
          <w:tcPr>
            <w:tcW w:w="4219" w:type="dxa"/>
          </w:tcPr>
          <w:p w14:paraId="5DFE0A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запасе горючего 535 кг </w:t>
            </w:r>
          </w:p>
        </w:tc>
        <w:tc>
          <w:tcPr>
            <w:tcW w:w="2410" w:type="dxa"/>
          </w:tcPr>
          <w:p w14:paraId="75E536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 км</w:t>
            </w:r>
          </w:p>
        </w:tc>
        <w:tc>
          <w:tcPr>
            <w:tcW w:w="3969" w:type="dxa"/>
          </w:tcPr>
          <w:p w14:paraId="755765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 км</w:t>
            </w:r>
          </w:p>
        </w:tc>
      </w:tr>
      <w:tr w:rsidR="00983732" w:rsidRPr="00A3026E" w14:paraId="7F9B69F6" w14:textId="77777777" w:rsidTr="00EA0DA7">
        <w:tc>
          <w:tcPr>
            <w:tcW w:w="4219" w:type="dxa"/>
          </w:tcPr>
          <w:p w14:paraId="0BD20C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перегрузочном варианте</w:t>
            </w:r>
          </w:p>
        </w:tc>
        <w:tc>
          <w:tcPr>
            <w:tcW w:w="2410" w:type="dxa"/>
          </w:tcPr>
          <w:p w14:paraId="143367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 км</w:t>
            </w:r>
          </w:p>
        </w:tc>
        <w:tc>
          <w:tcPr>
            <w:tcW w:w="3969" w:type="dxa"/>
          </w:tcPr>
          <w:p w14:paraId="131DF7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1250 км</w:t>
            </w:r>
          </w:p>
        </w:tc>
      </w:tr>
      <w:tr w:rsidR="00983732" w:rsidRPr="00A3026E" w14:paraId="4FF30666" w14:textId="77777777" w:rsidTr="00EA0DA7">
        <w:tc>
          <w:tcPr>
            <w:tcW w:w="4219" w:type="dxa"/>
          </w:tcPr>
          <w:p w14:paraId="083D04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самолета</w:t>
            </w:r>
          </w:p>
        </w:tc>
        <w:tc>
          <w:tcPr>
            <w:tcW w:w="2410" w:type="dxa"/>
          </w:tcPr>
          <w:p w14:paraId="27D1EA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пушки ШВАК</w:t>
            </w:r>
          </w:p>
        </w:tc>
        <w:tc>
          <w:tcPr>
            <w:tcW w:w="3969" w:type="dxa"/>
          </w:tcPr>
          <w:p w14:paraId="3B1281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пуш. ШВАК с</w:t>
            </w:r>
          </w:p>
        </w:tc>
      </w:tr>
      <w:tr w:rsidR="00983732" w:rsidRPr="00A3026E" w14:paraId="5E0AB3FF" w14:textId="77777777" w:rsidTr="00EA0DA7">
        <w:tc>
          <w:tcPr>
            <w:tcW w:w="4219" w:type="dxa"/>
          </w:tcPr>
          <w:p w14:paraId="3949497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10" w:type="dxa"/>
          </w:tcPr>
          <w:p w14:paraId="4B949F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емкостью до</w:t>
            </w:r>
          </w:p>
        </w:tc>
        <w:tc>
          <w:tcPr>
            <w:tcW w:w="3969" w:type="dxa"/>
          </w:tcPr>
          <w:p w14:paraId="1FBE2E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 шт. снарядов</w:t>
            </w:r>
          </w:p>
        </w:tc>
      </w:tr>
      <w:tr w:rsidR="00983732" w:rsidRPr="00A3026E" w14:paraId="455A9BCE" w14:textId="77777777" w:rsidTr="00EA0DA7">
        <w:tc>
          <w:tcPr>
            <w:tcW w:w="4219" w:type="dxa"/>
          </w:tcPr>
          <w:p w14:paraId="5BA8331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10" w:type="dxa"/>
          </w:tcPr>
          <w:p w14:paraId="5EBE25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 шт.</w:t>
            </w:r>
          </w:p>
        </w:tc>
        <w:tc>
          <w:tcPr>
            <w:tcW w:w="3969" w:type="dxa"/>
          </w:tcPr>
          <w:p w14:paraId="3FA8AF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или 4 пулемета БС</w:t>
            </w:r>
          </w:p>
        </w:tc>
      </w:tr>
      <w:tr w:rsidR="00983732" w:rsidRPr="00A3026E" w14:paraId="36910131" w14:textId="77777777" w:rsidTr="00EA0DA7">
        <w:tc>
          <w:tcPr>
            <w:tcW w:w="4219" w:type="dxa"/>
          </w:tcPr>
          <w:p w14:paraId="4017FE7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10" w:type="dxa"/>
          </w:tcPr>
          <w:p w14:paraId="7389B9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снарядов</w:t>
            </w:r>
          </w:p>
        </w:tc>
        <w:tc>
          <w:tcPr>
            <w:tcW w:w="3969" w:type="dxa"/>
          </w:tcPr>
          <w:p w14:paraId="059B6C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кал. 12,7 мм</w:t>
            </w:r>
          </w:p>
        </w:tc>
      </w:tr>
      <w:tr w:rsidR="00983732" w:rsidRPr="00A3026E" w14:paraId="0E83AAAB" w14:textId="77777777" w:rsidTr="00EA0DA7">
        <w:tc>
          <w:tcPr>
            <w:tcW w:w="4219" w:type="dxa"/>
          </w:tcPr>
          <w:p w14:paraId="73E7734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10" w:type="dxa"/>
          </w:tcPr>
          <w:p w14:paraId="113ECA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РС-82</w:t>
            </w:r>
          </w:p>
        </w:tc>
        <w:tc>
          <w:tcPr>
            <w:tcW w:w="3969" w:type="dxa"/>
          </w:tcPr>
          <w:p w14:paraId="30E9A5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РС-82</w:t>
            </w:r>
          </w:p>
        </w:tc>
      </w:tr>
      <w:tr w:rsidR="00983732" w:rsidRPr="00A3026E" w14:paraId="2A05F293" w14:textId="77777777" w:rsidTr="00EA0DA7">
        <w:tc>
          <w:tcPr>
            <w:tcW w:w="4219" w:type="dxa"/>
            <w:tcBorders>
              <w:bottom w:val="single" w:sz="12" w:space="0" w:color="auto"/>
            </w:tcBorders>
          </w:tcPr>
          <w:p w14:paraId="6C3716C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410" w:type="dxa"/>
            <w:tcBorders>
              <w:bottom w:val="single" w:sz="12" w:space="0" w:color="auto"/>
            </w:tcBorders>
          </w:tcPr>
          <w:p w14:paraId="18725E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первом экз. установлен</w:t>
            </w:r>
          </w:p>
        </w:tc>
        <w:tc>
          <w:tcPr>
            <w:tcW w:w="3969" w:type="dxa"/>
            <w:tcBorders>
              <w:bottom w:val="single" w:sz="12" w:space="0" w:color="auto"/>
            </w:tcBorders>
          </w:tcPr>
          <w:p w14:paraId="7694156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4137C9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 самолета, выявленные на заводских испытаниях:</w:t>
      </w:r>
    </w:p>
    <w:p w14:paraId="1437DE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склонность самолета к развороту на разбеге и пробеге, вследствие того, что нет обдувки вертикального оперения;</w:t>
      </w:r>
    </w:p>
    <w:p w14:paraId="3E57F9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неустойчивость самолета на режиме подъема и виражах и недостаточная устойчивость на других режимах;</w:t>
      </w:r>
    </w:p>
    <w:p w14:paraId="4FFF1E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недоработанность конструкции костыля, который неоднократно складывался на рулежке и пробеге.</w:t>
      </w:r>
    </w:p>
    <w:p w14:paraId="0952FD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данным заводских испытаний боковая устойчивость самолета удовлетворительная. Самолет пикировал под углом 50-60 градусов до скорости 640 км/час по прибору, бафтинга на самолете не обнаружено. На штопор самолет не испытывался.</w:t>
      </w:r>
    </w:p>
    <w:p w14:paraId="4FD25F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9 июня по 23 августа 1940 года самолет ОКО-6 находился на заводе N 81. На самолете установлено новое разнесенное оперение. 23 августа самолет переправлен на аэродром ЦАГИ для окончания заводских испытаний.</w:t>
      </w:r>
    </w:p>
    <w:p w14:paraId="54AC3D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экземпляр опытного самолета ОКО-6 заканчивается в производстве. Этот самолет с дополнительным стрелковым вооружением и на котором устанавливаются редукторные моторы М-88, предполагается передать на заводские испытания в октябре.</w:t>
      </w:r>
    </w:p>
    <w:p w14:paraId="6EC3C5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полученной на заводских испытаниях максимальной горизонтальной скорости с безредукторными моторами, двухмоторный одноместный истребитель ОКО-6 2М-88 преимуществ не имеет по сравнению с одномоторными истребителями с таким же мотором (И-180).</w:t>
      </w:r>
    </w:p>
    <w:p w14:paraId="67765B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 и доводки самолета весьма затянулись, что не дает возможности дать исчерпывающую летно-тактическую оценку этому новому типу самолета, вооруженного 4-мя пушками ШВАК.</w:t>
      </w:r>
    </w:p>
    <w:p w14:paraId="429836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этого, запуск в серию самолета ОКО-6 с 2М-88 как не прошедший полностью заводских испытаний и до окончания гос. испытаний - считаю нецелесообразным (3370,102-105).</w:t>
      </w:r>
    </w:p>
    <w:p w14:paraId="647408F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289B796"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30 сентября 1940 вновь назначенный начальник ВВС КА генерал-лейтенант П. В. Рычагов, докла</w:t>
      </w:r>
      <w:r w:rsidRPr="00A3026E">
        <w:rPr>
          <w:rFonts w:ascii="Times New Roman" w:hAnsi="Times New Roman" w:cs="Times New Roman"/>
          <w:color w:val="000000" w:themeColor="text1"/>
        </w:rPr>
        <w:softHyphen/>
        <w:t>дывая новому наркому обороны маршалу С. К. Тимошенко «О построй</w:t>
      </w:r>
      <w:r w:rsidRPr="00A3026E">
        <w:rPr>
          <w:rFonts w:ascii="Times New Roman" w:hAnsi="Times New Roman" w:cs="Times New Roman"/>
          <w:color w:val="000000" w:themeColor="text1"/>
        </w:rPr>
        <w:softHyphen/>
        <w:t>ке и результатах заводских испытаний ОКО-6», констатировал: «Запуск в серию до прохождения государственных испытаний считаю нецелесообразным».</w:t>
      </w:r>
    </w:p>
    <w:p w14:paraId="0854E1FE"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r w:rsidRPr="00A3026E">
        <w:rPr>
          <w:rStyle w:val="8"/>
          <w:rFonts w:ascii="Times New Roman" w:hAnsi="Times New Roman" w:cs="Times New Roman"/>
          <w:i w:val="0"/>
          <w:color w:val="000000" w:themeColor="text1"/>
        </w:rPr>
        <w:t>Почти одновременно, 1 октября нарком авиапрома А.И. Шахурин направил Вороши</w:t>
      </w:r>
      <w:r w:rsidRPr="00A3026E">
        <w:rPr>
          <w:rStyle w:val="8"/>
          <w:rFonts w:ascii="Times New Roman" w:hAnsi="Times New Roman" w:cs="Times New Roman"/>
          <w:i w:val="0"/>
          <w:color w:val="000000" w:themeColor="text1"/>
        </w:rPr>
        <w:softHyphen/>
        <w:t>лову докладную записку, в которой также снимал вопрос о постановке серийного производства самолета ОКО-6 до про</w:t>
      </w:r>
      <w:r w:rsidRPr="00A3026E">
        <w:rPr>
          <w:rStyle w:val="8"/>
          <w:rFonts w:ascii="Times New Roman" w:hAnsi="Times New Roman" w:cs="Times New Roman"/>
          <w:i w:val="0"/>
          <w:color w:val="000000" w:themeColor="text1"/>
        </w:rPr>
        <w:softHyphen/>
        <w:t xml:space="preserve">ведения государственных испытаний: </w:t>
      </w:r>
      <w:r w:rsidRPr="00A3026E">
        <w:rPr>
          <w:rFonts w:ascii="Times New Roman" w:hAnsi="Times New Roman" w:cs="Times New Roman"/>
          <w:color w:val="000000" w:themeColor="text1"/>
        </w:rPr>
        <w:t>«Конструктивные изменения самолета ОКО-6, произведенные на 1-м экземпляре машины, улучшения устойчивости не дали. Поэтому вопрос о внедрении ОКО-6 в серию отпадает до получения результатов испытаний модифицированного дублера этого самолета, в ближайшие дни выходя</w:t>
      </w:r>
      <w:r w:rsidRPr="00A3026E">
        <w:rPr>
          <w:rFonts w:ascii="Times New Roman" w:hAnsi="Times New Roman" w:cs="Times New Roman"/>
          <w:color w:val="000000" w:themeColor="text1"/>
        </w:rPr>
        <w:softHyphen/>
        <w:t>щего на аэродром» (12614).</w:t>
      </w:r>
    </w:p>
    <w:p w14:paraId="3B6E8159"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p>
    <w:p w14:paraId="196516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сентября в ЦАГИ поступил ОКО-6бис (12614).</w:t>
      </w:r>
    </w:p>
    <w:p w14:paraId="5618B2C0" w14:textId="77777777" w:rsidR="00C66762" w:rsidRPr="00A3026E" w:rsidRDefault="00C66762" w:rsidP="00A3026E">
      <w:pPr>
        <w:pStyle w:val="ae"/>
        <w:shd w:val="clear" w:color="auto" w:fill="FFFFFF"/>
        <w:spacing w:before="0" w:after="0"/>
        <w:jc w:val="both"/>
        <w:rPr>
          <w:bCs/>
          <w:color w:val="000000" w:themeColor="text1"/>
          <w:sz w:val="16"/>
          <w:szCs w:val="16"/>
        </w:rPr>
      </w:pPr>
    </w:p>
    <w:p w14:paraId="0C8E40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 о ходе испытаний опытных самолетов на 30 сентября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9"/>
        <w:gridCol w:w="8448"/>
      </w:tblGrid>
      <w:tr w:rsidR="00983732" w:rsidRPr="00A3026E" w14:paraId="7E9F9C3A" w14:textId="77777777" w:rsidTr="00EA0DA7">
        <w:tc>
          <w:tcPr>
            <w:tcW w:w="3119" w:type="dxa"/>
          </w:tcPr>
          <w:p w14:paraId="485F66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самолета</w:t>
            </w:r>
          </w:p>
        </w:tc>
        <w:tc>
          <w:tcPr>
            <w:tcW w:w="8448" w:type="dxa"/>
          </w:tcPr>
          <w:p w14:paraId="0EE83E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работ</w:t>
            </w:r>
          </w:p>
        </w:tc>
      </w:tr>
      <w:tr w:rsidR="00983732" w:rsidRPr="00A3026E" w14:paraId="294A10BC" w14:textId="77777777" w:rsidTr="00EA0DA7">
        <w:tc>
          <w:tcPr>
            <w:tcW w:w="3119" w:type="dxa"/>
          </w:tcPr>
          <w:p w14:paraId="4C3964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И-135 "330" М-105П – гл. Конструктор Сухой</w:t>
            </w:r>
          </w:p>
          <w:p w14:paraId="50D2EB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135</w:t>
            </w:r>
          </w:p>
          <w:p w14:paraId="46A396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 (проводятся на заводе)</w:t>
            </w:r>
          </w:p>
        </w:tc>
        <w:tc>
          <w:tcPr>
            <w:tcW w:w="8448" w:type="dxa"/>
          </w:tcPr>
          <w:p w14:paraId="0CC721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возобновлены полеты после ремонта, в связи с посадкой без шасси при заводских испытаниях. Из программы заводских испытаний произведены следующие полеты: 23 сентябяр полет для определения наличия бафтинга. Вибрации типа бафтинга не обнаружено. На минимальных скоростях самолет устойчив. 24 сентября полет на сверхмаксимальную скорость. Получено по прибору 580 км/час на высоте 4000 м. Полет прошел нормально.</w:t>
            </w:r>
          </w:p>
          <w:p w14:paraId="4E6239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нелетной погоды с самолета снято шасси для осмотра и устранения дефектов. Шасси снова смонтированы 27 сентября. 28 сентября произведено убирание шасси от мотора на земле. Шасси работает нормально.</w:t>
            </w:r>
          </w:p>
        </w:tc>
      </w:tr>
      <w:tr w:rsidR="00983732" w:rsidRPr="00A3026E" w14:paraId="1E7D303F" w14:textId="77777777" w:rsidTr="00EA0DA7">
        <w:tc>
          <w:tcPr>
            <w:tcW w:w="3119" w:type="dxa"/>
          </w:tcPr>
          <w:p w14:paraId="1970D3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М-105П – гл. конструкторы Горбунов, Лавочкин и Гудков</w:t>
            </w:r>
          </w:p>
          <w:p w14:paraId="185DF3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301</w:t>
            </w:r>
          </w:p>
          <w:p w14:paraId="675A8F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 (проводятся на заводе).</w:t>
            </w:r>
          </w:p>
        </w:tc>
        <w:tc>
          <w:tcPr>
            <w:tcW w:w="8448" w:type="dxa"/>
          </w:tcPr>
          <w:p w14:paraId="184CE9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заканчивается ремонт после аварии 11 августа 1940 года. Производится монтаж вооружения (установка отводящих рукавов пулемета БС). Установка пушки ШВАК приостановлена, так как ее установка вносит большие переделки в самолете: уменьшение боезапаса БС, уменьшение емкости маслобака и др.</w:t>
            </w:r>
          </w:p>
          <w:p w14:paraId="59B8B8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госиспытание самолет готовится в четырехпулеметном варианте. Идет монтаж винтомоторной группы и приборов в кабине летчика. Произведена окраска консолей крыльев. На аэродром самолет выйдет не раньше 5 октября 1940 года. Медленный темп работы по ремонту объясняется недостаточным количеством рабочей силы, часть которой занята на втором экземпляре и часть в Ленинграде на серийных самолетах.</w:t>
            </w:r>
          </w:p>
        </w:tc>
      </w:tr>
      <w:tr w:rsidR="00983732" w:rsidRPr="00A3026E" w14:paraId="49BD1704" w14:textId="77777777" w:rsidTr="00EA0DA7">
        <w:tc>
          <w:tcPr>
            <w:tcW w:w="3119" w:type="dxa"/>
          </w:tcPr>
          <w:p w14:paraId="43B09B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 – гл. конструктор Ермолаев</w:t>
            </w:r>
          </w:p>
          <w:p w14:paraId="6943D9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240</w:t>
            </w:r>
          </w:p>
          <w:p w14:paraId="6AF92A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Госиспытания.</w:t>
            </w:r>
          </w:p>
        </w:tc>
        <w:tc>
          <w:tcPr>
            <w:tcW w:w="8448" w:type="dxa"/>
          </w:tcPr>
          <w:p w14:paraId="73E8EC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25 сентября самолет находится на аэродроме НИИ. 30 сентября самолет принят на госиспытания. С 25 по 30 сентября 1940 года производились наземные испытания вооружения и оборудования.</w:t>
            </w:r>
          </w:p>
        </w:tc>
      </w:tr>
      <w:tr w:rsidR="00983732" w:rsidRPr="00A3026E" w14:paraId="13099361" w14:textId="77777777" w:rsidTr="00EA0DA7">
        <w:tc>
          <w:tcPr>
            <w:tcW w:w="3119" w:type="dxa"/>
          </w:tcPr>
          <w:p w14:paraId="7628C9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М-105П – гл. конструктор Яковлев</w:t>
            </w:r>
          </w:p>
          <w:p w14:paraId="15C12D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115</w:t>
            </w:r>
          </w:p>
          <w:p w14:paraId="2EF997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Проводятся заводские испытания.</w:t>
            </w:r>
          </w:p>
        </w:tc>
        <w:tc>
          <w:tcPr>
            <w:tcW w:w="8448" w:type="dxa"/>
          </w:tcPr>
          <w:p w14:paraId="38482D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Полеты не производились. Производилась замена мотора после обнаруженной в моторе металлической стружки. На самолете не установлен маслорадиатор, который находится в промывке.</w:t>
            </w:r>
          </w:p>
          <w:p w14:paraId="440D60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установки маслорадиатора на самолете должны производиться полеты на пикирование и стрельбу, после чего самолет должен поступить на госиспытания.</w:t>
            </w:r>
          </w:p>
          <w:p w14:paraId="503EC4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с начала испытаний произведено 21 полет с налетом 5 часов 10 минут.</w:t>
            </w:r>
          </w:p>
        </w:tc>
      </w:tr>
      <w:tr w:rsidR="00983732" w:rsidRPr="00A3026E" w14:paraId="7769832D" w14:textId="77777777" w:rsidTr="00EA0DA7">
        <w:tc>
          <w:tcPr>
            <w:tcW w:w="3119" w:type="dxa"/>
          </w:tcPr>
          <w:p w14:paraId="7167A9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 АМ-35А – гл. конструктор Микоян</w:t>
            </w:r>
          </w:p>
          <w:p w14:paraId="30E38A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Проводятся заводские испытания.</w:t>
            </w:r>
          </w:p>
        </w:tc>
        <w:tc>
          <w:tcPr>
            <w:tcW w:w="8448" w:type="dxa"/>
          </w:tcPr>
          <w:p w14:paraId="2455DF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23 по 30 сентября на самолетах, находящихся на заводе № 1:</w:t>
            </w:r>
          </w:p>
          <w:p w14:paraId="0D7F061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Экземпляр № 1 – производились испытания колес и радиатора (водяного) при посадках. После 35 посадок обнаружена трещина покрышки. При снятии и осмотре обнаружено, что покрышка имеет 4 слоя резины вместо предполагаемых 6 слоев. Дальнейшие испытания приостановлены до получения 6 слойных покрышек.</w:t>
            </w:r>
          </w:p>
          <w:p w14:paraId="5D18782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Экземпляр № 2 – самолет готовится для летных испытаний мотора в НИИВВС.</w:t>
            </w:r>
          </w:p>
          <w:p w14:paraId="0EC5DF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передачи завод предполагает сделать 2 полета для проверки раскрутки винта на пикировании.</w:t>
            </w:r>
          </w:p>
          <w:p w14:paraId="5811D8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должен быть передан в НИИ ВВС 30 сентября.</w:t>
            </w:r>
          </w:p>
          <w:p w14:paraId="3FB2B440"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3.</w:t>
            </w:r>
            <w:r w:rsidRPr="00A3026E">
              <w:rPr>
                <w:color w:val="000000" w:themeColor="text1"/>
                <w:lang w:val="ru-RU"/>
              </w:rPr>
              <w:tab/>
              <w:t>Экземпляр № 3 – по окончании испытаний в НИИ ВВС самолет передан на завод № 1 для доводки и устранения дефектов.</w:t>
            </w:r>
          </w:p>
          <w:p w14:paraId="45B9CC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на заводе разобран и производится доводка и устранение дефектов.</w:t>
            </w:r>
          </w:p>
          <w:p w14:paraId="03EEB3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завод устанавливает две пушки Таубина под крылья. После установки пушек на самолете будут производиться в НИПАВ их заводские испытания.</w:t>
            </w:r>
          </w:p>
        </w:tc>
      </w:tr>
      <w:tr w:rsidR="00983732" w:rsidRPr="00A3026E" w14:paraId="11AC0E51" w14:textId="77777777" w:rsidTr="00EA0DA7">
        <w:tc>
          <w:tcPr>
            <w:tcW w:w="3119" w:type="dxa"/>
          </w:tcPr>
          <w:p w14:paraId="25DA46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ОКО-6 2М-88 б/р – гл. конструктор Таиров</w:t>
            </w:r>
          </w:p>
          <w:p w14:paraId="41C94E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43</w:t>
            </w:r>
          </w:p>
        </w:tc>
        <w:tc>
          <w:tcPr>
            <w:tcW w:w="8448" w:type="dxa"/>
          </w:tcPr>
          <w:p w14:paraId="62C7D9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ОКО-6 2М-88 б/р поступил на повторные заводские испытания 19 августа 1940 года. После переделок произведено 2 полета:</w:t>
            </w:r>
          </w:p>
          <w:p w14:paraId="27FA763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Устойчивость на разбеге и пробеге по заявлению летчика стала хорошей. В смысле продольной устойчивости в полете улучшений нет:</w:t>
            </w:r>
          </w:p>
          <w:p w14:paraId="4E9519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 зажатой ручкой на планировании небольшой запас устойчивости, на наборе самолет неустойчив;</w:t>
            </w:r>
          </w:p>
          <w:p w14:paraId="490FA6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со свободной ручкой и на планировании и на наборе – самолет неустойчив.</w:t>
            </w:r>
          </w:p>
          <w:p w14:paraId="787493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рулежке проворачиваются покрышки колес шасси из-за отсутствия фиксаторов покрышек.</w:t>
            </w:r>
          </w:p>
          <w:p w14:paraId="2B5195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самолет не летает в ожидании новых колес и покрышек. Кроме того, убирается стреловидность крыла в плане вперед, посредством поворота консолей вокруг одного из узлов крепления крыла (это дает на 3% более переднюю центровку). Ориентировочный срок начала заводских испытаний 5-6 октября 1940 года.</w:t>
            </w:r>
          </w:p>
          <w:p w14:paraId="73E4513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Второй экземпляр самолета ОКО-6 2М-88 24 сентября отгружен из Киева в Москву на аэродром ЦАГИ-Раменское.</w:t>
            </w:r>
          </w:p>
          <w:p w14:paraId="190C8D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прибытии будут заменены 1 скорости нагнетателей моторов, колеса и покрышки шасси, после чего будет приступлено к заводским испытаниям.</w:t>
            </w:r>
          </w:p>
        </w:tc>
      </w:tr>
    </w:tbl>
    <w:p w14:paraId="10ADEC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(3377, 31-33).</w:t>
      </w:r>
    </w:p>
    <w:p w14:paraId="7B57CC3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4307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сентября 1940 А.И.Ш. писал Морозову письмо N 1185 "По окончанию заводской доводки мотор АМ-35А N 170 16 июля 1940 был предъявлен на 100 часовые гос. испытания Правительственной комиссии, утвержденной КО 26 июля постановлением N 323сс.</w:t>
      </w:r>
    </w:p>
    <w:p w14:paraId="108EC3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Вместе с этим мотором был поставлен на стендовые 100 часовые заводские испытания АМ-35А N 171, предназначенный для совместных испытаний под наблюдением Правительственной комиссии.</w:t>
      </w:r>
    </w:p>
    <w:p w14:paraId="4FDF73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выявлено, что моторы прошли испытания без каких-либо существенных отклонений от установленных Правительством ТУ гос. испытаний (1295,88).</w:t>
      </w:r>
    </w:p>
    <w:p w14:paraId="4A5F7C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этих данных считаю возможным 100 часовые гос. стендовые испытания АМ-35А признать удовлетворительными и разрешить 24 заводу запуск серии в количестве 200 шт.</w:t>
      </w:r>
    </w:p>
    <w:p w14:paraId="4C2C83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завод устранить выявленные недостатки и форсировать гос. летные испытания АМ-35А на И-200. После испытаний разрешить заводу 24 запуск моторов в крупносерийное производство (1295,99).</w:t>
      </w:r>
    </w:p>
    <w:p w14:paraId="62CDD4F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D6F04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сентября 1940 г. в Научно-исследовательском полигоне АВ ВВС закончились полигонные испытания полуавтомата ТКБ-229 для снаряжения патронных лент пулемета "ШКАС" калибра 7,62 мм конструкции Коробова Г.А., которые проходили с 9 сентября 1940 (2972).</w:t>
      </w:r>
    </w:p>
    <w:p w14:paraId="76FC6D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в/инженер 3 ранга - Монич.</w:t>
      </w:r>
    </w:p>
    <w:p w14:paraId="4D14BD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Цель испытания</w:t>
      </w:r>
    </w:p>
    <w:p w14:paraId="2FBE9C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Определить пригодность полуавтомата для принятия на снабжение ВВС и его технические и эксплуатационные данные.</w:t>
      </w:r>
    </w:p>
    <w:p w14:paraId="3E793E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C4CDB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ЦКБ-14 полуавтомат для набивки патронов конструкции Коробова полигонные испытания выдержал и может быть допущен на войсковые испытания (2972).</w:t>
      </w:r>
    </w:p>
    <w:p w14:paraId="3B92372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359DB0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5935A1C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98BDBC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На 30 сентября 1940 г. на ХПЗ:</w:t>
      </w:r>
    </w:p>
    <w:p w14:paraId="057C547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Отработка чертежей закончена. </w:t>
      </w:r>
    </w:p>
    <w:p w14:paraId="0DC2138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Отработка технологического процесса по всем цехам закончена. </w:t>
      </w:r>
    </w:p>
    <w:p w14:paraId="697507C0"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Отстает изготовление средств контроля, приспособлений по сборке и сварке. </w:t>
      </w:r>
    </w:p>
    <w:p w14:paraId="49B7306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Внешних причин, тормозящих изготовление средств производства на СТЗ в срок, не было. Слабое руководство со стороны дирекции завода, слабая работа спецотдела. Приказ НКСМ СССР об изготовлении 15 машин к 15.09.1940 г. не выполнен. Согласно указаниям директора СТЗ цеха должны были к 01.10.1940 г. изготовить и сдать сборочному цеху все детали на 5 машин, что бы начать сборку первых машин, которые обеспечены корпусами и 10.10.1940 г. по 20 машин. </w:t>
      </w:r>
    </w:p>
    <w:p w14:paraId="13C9EA7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 настоящее время в сборочном цехе на козлах находятся поступившие 6 корпусов. СТЗ получил 6 корпусов с башнями, кроме того, получено с завода № 183 : моторов – 7, балансиров передних – 11, кривошипов – 2, картеров КПП с шестернями и валами – 16 шт. Собрана одна КПП и 4 собираются. </w:t>
      </w:r>
    </w:p>
    <w:p w14:paraId="4433BBE7"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Погоны к башням не подходят, так как первые 6 башен изготовлены по опытным чертежам установочной партии. Необходима расточка, но новых чертежей на башню нет. </w:t>
      </w:r>
    </w:p>
    <w:p w14:paraId="0FBC785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 данный момент СТЗ приступает к выполнению правительственной программы по выпуску 20 машин в октябре 1940 г. Необходимо поднять дисциплину на заводе. </w:t>
      </w:r>
    </w:p>
    <w:p w14:paraId="4C6273C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По кооперации СТЗ получает : </w:t>
      </w:r>
    </w:p>
    <w:p w14:paraId="77FFA97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 бронировка маски пушки Л-11 – завод № 183; </w:t>
      </w:r>
    </w:p>
    <w:p w14:paraId="26166D0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 стартера СТ-700 – завод ЗЭМ г. Москва; </w:t>
      </w:r>
    </w:p>
    <w:p w14:paraId="4561F4D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 радиостанция – завод № 203; </w:t>
      </w:r>
    </w:p>
    <w:p w14:paraId="59FBD97D"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 стекла триплекс – завод № 25; </w:t>
      </w:r>
    </w:p>
    <w:p w14:paraId="2DD37F6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 резиновые изделия – завод «Красный Треугольник»; </w:t>
      </w:r>
    </w:p>
    <w:p w14:paraId="25CA8674"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 корпус и башня – завод № 183. </w:t>
      </w:r>
    </w:p>
    <w:p w14:paraId="6594DE4A"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Необходимо содействие в отгрузке корпусов с завода № 183. </w:t>
      </w:r>
    </w:p>
    <w:p w14:paraId="1B20A808"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Военный представитель АБТУ РККА на СТЗ</w:t>
      </w:r>
    </w:p>
    <w:p w14:paraId="4EDB0B0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военинженер 2-го ранга Левин (11450).</w:t>
      </w:r>
    </w:p>
    <w:p w14:paraId="444205DF"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33E8140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95620F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83BB9AA" w14:textId="77777777" w:rsidR="00C66762" w:rsidRPr="00A3026E" w:rsidRDefault="00C66762" w:rsidP="00A3026E">
      <w:pPr>
        <w:pStyle w:val="ae"/>
        <w:shd w:val="clear" w:color="auto" w:fill="FFFFFF"/>
        <w:spacing w:before="0" w:after="0"/>
        <w:jc w:val="both"/>
        <w:rPr>
          <w:bCs/>
          <w:color w:val="000000" w:themeColor="text1"/>
          <w:sz w:val="16"/>
          <w:szCs w:val="16"/>
        </w:rPr>
      </w:pPr>
      <w:r w:rsidRPr="00A3026E">
        <w:rPr>
          <w:bCs/>
          <w:color w:val="000000" w:themeColor="text1"/>
          <w:sz w:val="16"/>
          <w:szCs w:val="16"/>
        </w:rPr>
        <w:t>30 сентября 1940 на «Красном Сормове» была заложена Подводная лодка «М-104» — «Малютка» (заводский номер 301, «Ярославский комсомолец»), дата спуска на воду — 24.09.1942, приемный акт подписан 10.09.1943. Капитан-лейтенант Федор Иванович Лукьянов принял «М-104» 24 февраля 1943 года. В этот день делегация Ярославской области в торжественной обстановке передала морякам Северного флота подводную лодку, построенную на средства комсомольцев области.</w:t>
      </w:r>
    </w:p>
    <w:p w14:paraId="164E73FF" w14:textId="77777777" w:rsidR="00C66762" w:rsidRPr="00A3026E" w:rsidRDefault="00C66762" w:rsidP="00A3026E">
      <w:pPr>
        <w:pStyle w:val="ae"/>
        <w:shd w:val="clear" w:color="auto" w:fill="FFFFFF"/>
        <w:spacing w:before="0" w:after="0"/>
        <w:jc w:val="both"/>
        <w:rPr>
          <w:color w:val="000000" w:themeColor="text1"/>
          <w:sz w:val="16"/>
          <w:szCs w:val="16"/>
        </w:rPr>
      </w:pPr>
      <w:r w:rsidRPr="00A3026E">
        <w:rPr>
          <w:color w:val="000000" w:themeColor="text1"/>
          <w:sz w:val="16"/>
          <w:szCs w:val="16"/>
        </w:rPr>
        <w:t>8 мая 1943 «М-104» пошла в свой второй поход и попала в беду. Вот что пишет об этом в своей книге «Подводные рейды» флагмех бригады подводных лодок Северного Флота капитан I ранга П. А. Мирошниченко. Субмарина попала под массированную бомбежку немецкой авиации. Получила повреждения, казалось бы, несовместимые с живучестью корабля, но осталась на плаву и пришла на базу. «… Трещина в прочном корпусе метр с лишним длиной, — пишет флагмех Мирошниченко, — и в комплекте с ней одна или две пробоины от авиационных снарядов. По всему видно, две-три бомбы разорвались рядом с «Малюткой». Сила гидравлического удара была такова, что — это я видел впервые — поломались чугунные лапы, на которых в лодке намертво крепился корпус помпы — компрессора, образовалась трещина во фланцах крепления дизеля. Все перекосило, заклинило, сорвало…</w:t>
      </w:r>
    </w:p>
    <w:p w14:paraId="5AC4AAD1" w14:textId="77777777" w:rsidR="00C66762" w:rsidRPr="00A3026E" w:rsidRDefault="00C66762" w:rsidP="00A3026E">
      <w:pPr>
        <w:pStyle w:val="ae"/>
        <w:shd w:val="clear" w:color="auto" w:fill="FFFFFF"/>
        <w:spacing w:before="0" w:after="0"/>
        <w:jc w:val="both"/>
        <w:rPr>
          <w:bCs/>
          <w:color w:val="000000" w:themeColor="text1"/>
          <w:sz w:val="16"/>
          <w:szCs w:val="16"/>
        </w:rPr>
      </w:pPr>
      <w:r w:rsidRPr="00A3026E">
        <w:rPr>
          <w:color w:val="000000" w:themeColor="text1"/>
          <w:sz w:val="16"/>
          <w:szCs w:val="16"/>
        </w:rPr>
        <w:t>… Изумлению моему не было предела, когда в первом отсеке я обнаружил в целости и сохранности двадцатилитровую бутыль со спиртом в плетенке, привязанную к трубопроводу по правому борту! Объяснить этот факт известными мне законами физики я не в состоянии. Я смотрел на эту двухведерную стеклянную емкость, как на восьмое чудо света. Бутыль сохранилась словно для того, чтобы озадачить каждого, кто попадал в отсек…. Трудное испытание ярославской «Малютки» подробно изучили на других лодках и «проиграли» на учениях по борьбе за живучесть. Опыт «Ярославского комсомольца» еще раз подтвердил боевую стойкость подводников и надежность небольшого, но добротно построенного корабля.</w:t>
      </w:r>
      <w:r w:rsidRPr="00A3026E">
        <w:rPr>
          <w:bCs/>
          <w:color w:val="000000" w:themeColor="text1"/>
          <w:sz w:val="16"/>
          <w:szCs w:val="16"/>
        </w:rPr>
        <w:t xml:space="preserve"> (12190).</w:t>
      </w:r>
    </w:p>
    <w:p w14:paraId="45DA0212" w14:textId="77777777" w:rsidR="00C66762" w:rsidRPr="00A3026E" w:rsidRDefault="00C66762" w:rsidP="00A3026E">
      <w:pPr>
        <w:pStyle w:val="ae"/>
        <w:shd w:val="clear" w:color="auto" w:fill="FFFFFF"/>
        <w:spacing w:before="0" w:after="0"/>
        <w:jc w:val="both"/>
        <w:rPr>
          <w:color w:val="000000" w:themeColor="text1"/>
          <w:sz w:val="16"/>
          <w:szCs w:val="16"/>
        </w:rPr>
      </w:pPr>
    </w:p>
    <w:p w14:paraId="578E46D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0840082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B84E7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сентября 1940 Правда написала о Тройственном пакте как о малозначительном событии (2536,165).</w:t>
      </w:r>
    </w:p>
    <w:p w14:paraId="54AD44B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31D71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1115EA3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0CD163E" w14:textId="77777777" w:rsidR="00E63BD2" w:rsidRPr="00A3026E" w:rsidRDefault="00E63BD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30 сентября 1940 Битва за Британию, как говорят, окончена, а запланированное вторжение Гитлера в Соединенное Королевство (операция «Морской лев» или Unternehmen Seelöwe) отложена на неопределенный срок (20795).</w:t>
      </w:r>
    </w:p>
    <w:p w14:paraId="16DB0CDC" w14:textId="77777777" w:rsidR="00E63BD2" w:rsidRPr="00A3026E" w:rsidRDefault="00E63BD2" w:rsidP="00A3026E">
      <w:pPr>
        <w:spacing w:after="0" w:line="240" w:lineRule="auto"/>
        <w:jc w:val="both"/>
        <w:rPr>
          <w:rFonts w:ascii="Times New Roman" w:hAnsi="Times New Roman"/>
          <w:color w:val="0070C0"/>
          <w:sz w:val="16"/>
          <w:szCs w:val="16"/>
        </w:rPr>
      </w:pPr>
    </w:p>
    <w:p w14:paraId="6C892092" w14:textId="77777777" w:rsidR="00E63BD2" w:rsidRPr="00A3026E" w:rsidRDefault="00E63BD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30 сентября 1940 с 1 сентября Королевские ВВС потеряли 65 бомбардировщиков (20795).</w:t>
      </w:r>
    </w:p>
    <w:p w14:paraId="63B37A45" w14:textId="77777777" w:rsidR="00E63BD2" w:rsidRPr="00A3026E" w:rsidRDefault="00E63BD2" w:rsidP="00A3026E">
      <w:pPr>
        <w:spacing w:after="0" w:line="240" w:lineRule="auto"/>
        <w:jc w:val="both"/>
        <w:rPr>
          <w:rFonts w:ascii="Times New Roman" w:hAnsi="Times New Roman"/>
          <w:color w:val="0070C0"/>
          <w:sz w:val="16"/>
          <w:szCs w:val="16"/>
        </w:rPr>
      </w:pPr>
    </w:p>
    <w:p w14:paraId="10C838A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сентября 1940 немецкая авиация начала бомбардировку Лондона (4962).</w:t>
      </w:r>
    </w:p>
    <w:p w14:paraId="6C31EFE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2CD4237" w14:textId="77777777" w:rsidR="00A27728" w:rsidRPr="00A3026E" w:rsidRDefault="00A27728"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К 30 сентября </w:t>
      </w:r>
      <w:r w:rsidRPr="00A3026E">
        <w:rPr>
          <w:rFonts w:ascii="Times New Roman" w:hAnsi="Times New Roman"/>
          <w:color w:val="000000" w:themeColor="text1"/>
          <w:sz w:val="16"/>
          <w:szCs w:val="16"/>
        </w:rPr>
        <w:t>в 1940 году в ходе военных действий Великобритания в течение сентября теряет корабли общим водоизмещением 160 тысяч тонн (14785).</w:t>
      </w:r>
    </w:p>
    <w:p w14:paraId="277214F8" w14:textId="77777777" w:rsidR="00A27728" w:rsidRPr="00A3026E" w:rsidRDefault="00A27728" w:rsidP="00A3026E">
      <w:pPr>
        <w:spacing w:after="0" w:line="240" w:lineRule="auto"/>
        <w:jc w:val="both"/>
        <w:rPr>
          <w:rFonts w:ascii="Times New Roman" w:hAnsi="Times New Roman"/>
          <w:color w:val="000000" w:themeColor="text1"/>
          <w:sz w:val="16"/>
          <w:szCs w:val="16"/>
        </w:rPr>
      </w:pPr>
    </w:p>
    <w:p w14:paraId="5E9B3187" w14:textId="77777777" w:rsidR="005F6E3A" w:rsidRPr="00A3026E" w:rsidRDefault="005F6E3A"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2C7F42B" w14:textId="77777777" w:rsidR="005F6E3A" w:rsidRPr="00A3026E" w:rsidRDefault="005F6E3A" w:rsidP="00A3026E">
      <w:pPr>
        <w:spacing w:after="0" w:line="240" w:lineRule="auto"/>
        <w:jc w:val="both"/>
        <w:rPr>
          <w:rFonts w:ascii="Times New Roman" w:hAnsi="Times New Roman"/>
          <w:iCs/>
          <w:color w:val="000000" w:themeColor="text1"/>
          <w:sz w:val="16"/>
          <w:szCs w:val="16"/>
        </w:rPr>
      </w:pPr>
    </w:p>
    <w:p w14:paraId="4BEECD3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31 сентября/2 Октября 1940 г </w:t>
      </w:r>
    </w:p>
    <w:p w14:paraId="2343AEA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Фонд 31811 Опись 3 Дело 2051 лист 1 – 97</w:t>
      </w:r>
    </w:p>
    <w:p w14:paraId="768FBD7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 Секретно.</w:t>
      </w:r>
    </w:p>
    <w:p w14:paraId="0365648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2</w:t>
      </w:r>
    </w:p>
    <w:p w14:paraId="63CECCF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31/2 Октября 1940 г.</w:t>
      </w:r>
    </w:p>
    <w:p w14:paraId="0F9ACAF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00227</w:t>
      </w:r>
    </w:p>
    <w:p w14:paraId="406A5E3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БТУ КРАСНОЙ АРМИИ</w:t>
      </w:r>
    </w:p>
    <w:p w14:paraId="4BAE66E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w:t>
      </w:r>
    </w:p>
    <w:p w14:paraId="7CAED22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испытании башни танка Т-34 пулевым и снарядным обстрелом.</w:t>
      </w:r>
    </w:p>
    <w:p w14:paraId="59C2313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Задание № 2-179 АК ГАУ / № 1656 АНИОПа.</w:t>
      </w:r>
    </w:p>
    <w:p w14:paraId="09E7B4D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башни танка Т-34 произведено АНИОПом в период с 12 по 19.IX.40 г. на основании предписания Арткома ГАУ КА № 8453785 от 26.VII.40 г.</w:t>
      </w:r>
    </w:p>
    <w:p w14:paraId="1910B6F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испытаниях присутствовали:</w:t>
      </w:r>
    </w:p>
    <w:p w14:paraId="3147803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Пом. Нач. 3-го отделения 3 отдела АБТУ Военинженер 2 ранга НЕСТЕРОВ М.Д.</w:t>
      </w:r>
    </w:p>
    <w:p w14:paraId="1F0F769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Военпред АБТУ на заводе № 183 Военинженер 3 ранга ЯЛЫШЕВ Г.Я.</w:t>
      </w:r>
    </w:p>
    <w:p w14:paraId="2F45047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Руководитель корпусной группы на заводе № 183 инженер ЧЕРНЯК Б.А.</w:t>
      </w:r>
    </w:p>
    <w:p w14:paraId="05C987B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Инженер Государственного Ижорского завода КУЛАНДИН Я.И.</w:t>
      </w:r>
    </w:p>
    <w:p w14:paraId="1F67AD8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Инженер Военного отдела Наркомата Среднего Машиностроения Военинженер 1 ранга РАЗУМОВ М.С.</w:t>
      </w:r>
    </w:p>
    <w:p w14:paraId="6778E32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Водитель танка завода № 183 НИКОЛАЕВ П.В.</w:t>
      </w:r>
    </w:p>
    <w:p w14:paraId="23AFBB4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ЦЕЛЬ ИСПЫТАНИЯ.</w:t>
      </w:r>
    </w:p>
    <w:p w14:paraId="27B006F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части испытания башни танка пулевым и снарядным обстрелом надлежало установить надежность защиты артсистемы и смотровых приборов путем обстрела башни бронебойными пулями, бронебойными и осколочно-фугасными снарядами калибра 37, 45 и 76 мм</w:t>
      </w:r>
    </w:p>
    <w:p w14:paraId="2707A40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ПРОГРАММА ИСПЫТАНИЙ.</w:t>
      </w:r>
    </w:p>
    <w:p w14:paraId="6B2C247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развитие выше поставленной задачи программа устанавливает следующий порядок испытания:</w:t>
      </w:r>
    </w:p>
    <w:p w14:paraId="177EC79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Стрельба из пулемета бронебойными пулями с дистанции 100 м по башне танка, смотровым приборам и бронезащите.</w:t>
      </w:r>
    </w:p>
    <w:p w14:paraId="75BC8D4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Обстрел башни танка снарядами 37, 45 и 76 мм калибра в порядке постепенности, как бронебойными, так и осколочно-фугасными снарядами.</w:t>
      </w:r>
    </w:p>
    <w:p w14:paraId="5D85B6C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обстреле программой устанавливается следующее количество счетных попаданий:</w:t>
      </w:r>
    </w:p>
    <w:p w14:paraId="6DC31C8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бронировке артсистемы – 3</w:t>
      </w:r>
    </w:p>
    <w:p w14:paraId="712983F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смотровые щели – 2</w:t>
      </w:r>
    </w:p>
    <w:p w14:paraId="60B955F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погон – 2</w:t>
      </w:r>
    </w:p>
    <w:p w14:paraId="412351C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ниша башни – 2</w:t>
      </w:r>
    </w:p>
    <w:p w14:paraId="0304F47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Указанное количество счетных выстрелов производится снарядами каждого калибра, при условии непробивания брони снарядами меньших калибров.</w:t>
      </w:r>
    </w:p>
    <w:p w14:paraId="70245E4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зависимости от результатов испытания АНИОПу разрешается уменьшать, или же увеличивать число счетных попаданий.</w:t>
      </w:r>
    </w:p>
    <w:p w14:paraId="3E411E0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указаний программы, обстрел башни производится по неподвижному танку с дистанции 100 м, приведенными скоростями, с соответствующими ПТП и ПСП, с определением ударных скоростей.</w:t>
      </w:r>
    </w:p>
    <w:p w14:paraId="632A2D3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Рабочая программа испытания башни танка Т-34 была составлена на АНИОПе 7.IX.40 г. совместно с представителями БТУ КА. Содержание этой программы приводится ниже.</w:t>
      </w:r>
    </w:p>
    <w:p w14:paraId="6414762F" w14:textId="77777777" w:rsidR="005F6E3A" w:rsidRPr="00A3026E" w:rsidRDefault="005F6E3A" w:rsidP="00A3026E">
      <w:pPr>
        <w:spacing w:after="0" w:line="240" w:lineRule="auto"/>
        <w:jc w:val="both"/>
        <w:rPr>
          <w:rFonts w:ascii="Times New Roman" w:hAnsi="Times New Roman"/>
          <w:color w:val="000000" w:themeColor="text1"/>
          <w:sz w:val="16"/>
          <w:szCs w:val="16"/>
        </w:rPr>
      </w:pPr>
    </w:p>
    <w:p w14:paraId="0006CA8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РАБОЧАЯ ПРОГРАММА</w:t>
      </w:r>
    </w:p>
    <w:p w14:paraId="1F958F7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Пулевой обстрел башни танка Т-34.</w:t>
      </w:r>
    </w:p>
    <w:p w14:paraId="47AE897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Снарядный обстрел башни танка Т-34.</w:t>
      </w:r>
    </w:p>
    <w:p w14:paraId="0DDBDC7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 К РАБОЧЕЙ ПРОГРАММЕ:</w:t>
      </w:r>
    </w:p>
    <w:p w14:paraId="46A68DD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При испытании башни снять пулемет и рацию.</w:t>
      </w:r>
    </w:p>
    <w:p w14:paraId="7E9C303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Точный порядок испытаний устанавливается на стрельбе руководителем опыта и представителями БТУ и завода 183.</w:t>
      </w:r>
    </w:p>
    <w:p w14:paraId="48F1C5C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Для сохранения мотора, после окончания работ 6 отдел АНИОПа, произвести броневую облицовку внутри танка.</w:t>
      </w:r>
    </w:p>
    <w:p w14:paraId="7E3C63F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После каждого выстрела проверять поворотный механизм танка.</w:t>
      </w:r>
    </w:p>
    <w:p w14:paraId="6DD4C9C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После проникновения снаряда во внутрь танка проверять ходом машину Т-34.</w:t>
      </w:r>
    </w:p>
    <w:p w14:paraId="174EEF6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Испытания 76 мм бронебойными снарядами производить при работающем моторе, а 45 мм снарядами в зависимости от характера выстрела (часть проверить при работающем моторе).</w:t>
      </w:r>
    </w:p>
    <w:p w14:paraId="4A4411B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При испытании люки башни и водителя должны быть закрыты.</w:t>
      </w:r>
    </w:p>
    <w:p w14:paraId="3068B9F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Стопор походного крепления должен быть отпущен.</w:t>
      </w:r>
    </w:p>
    <w:p w14:paraId="3CB3888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Фотографирование производится по указанию руководителя опыта.</w:t>
      </w:r>
    </w:p>
    <w:p w14:paraId="4E88B12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Материальное обеспечение опыта.</w:t>
      </w:r>
    </w:p>
    <w:p w14:paraId="6D00FB6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башни танка Т-34 производилось из следующих систем:</w:t>
      </w:r>
    </w:p>
    <w:p w14:paraId="59B9C79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7,62 мм винтовка обр. 1981 г. и станковый пулемет сист. «Максима».</w:t>
      </w:r>
    </w:p>
    <w:p w14:paraId="472B64D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12,7 мм пулемет «ДК».</w:t>
      </w:r>
    </w:p>
    <w:p w14:paraId="66C87CA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37 мм противотанковая пушка обр. 30 г.</w:t>
      </w:r>
    </w:p>
    <w:p w14:paraId="3462BF6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45 мм противотанковая пушка обр. 32 г.</w:t>
      </w:r>
    </w:p>
    <w:p w14:paraId="4B5596C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76 мм див. пушка обр. 02/30 г. в 40 клб.</w:t>
      </w:r>
    </w:p>
    <w:p w14:paraId="2D8536C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КРАТКИЕ СВЕДЕНИЯ О БОЕПРИПАСАХ.</w:t>
      </w:r>
    </w:p>
    <w:p w14:paraId="6A92D01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испытания башни танка были взяты из расходного запаса АНИОПа готовые винтовочные и пулеметные патроны. 37 , 45 и 76 мм осколочные и бронебойные снаряды были взяты так же из расходного запаса АНИОПа. Перед испытанием 37, 45 и 76 мм снаряды были залиты серой и отстреливались в чертежном весе, с охолощенными взрывателями. Заряды готовились из порохов следующих марок:</w:t>
      </w:r>
    </w:p>
    <w:p w14:paraId="1D453EB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37 мм снарядов – 9/1 труб. НГВ 6/34 Ш</w:t>
      </w:r>
    </w:p>
    <w:p w14:paraId="04830BA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45 мм снарядов – 7/7 4/31 Ш</w:t>
      </w:r>
    </w:p>
    <w:p w14:paraId="3263E3F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76 мм снарядов – 9/7 11/34 Т</w:t>
      </w:r>
    </w:p>
    <w:p w14:paraId="3D2D0E5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Условия испытания башни танка Т-34.</w:t>
      </w:r>
    </w:p>
    <w:p w14:paraId="048CCFE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башни танка производилось на 8,5 клм. Пулевой обстрел производился с дистанции 15 – 50 м готовыми штатными патронами с обыкновенной и бронебойной пулей. Снарядный обстрел производился с дистанции 63 м полными зарядами и приведенными скоростями с определением ударной скорости по хронографу. Испытания производились в полном соответствии с программой, причем сначала был произведен пулевой, а затем снарядный обстрел башни танка. Порядок испытания башни танка, как пулевым, так и снарядным обстрелом, устанавливался во время стрельбы, в зависимости от характера испытания.</w:t>
      </w:r>
    </w:p>
    <w:p w14:paraId="291029F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каждого орудийного выстрела, или группы пулевых выстрелов, производился осмотр танка, фиксировалось нанесенное поражение и производилось фотографирование испытываемого объекта. В нужных случаях производилась поверка работы механизмов башни и орудия. В зависимости от результата выстрела производилась поверка работы мотора и движение танка. В ночное время танк Т-34 охранялся караулом. Подробные результаты испытания приводятся в журнале стрельб (см. приложение к отчету).</w:t>
      </w:r>
    </w:p>
    <w:p w14:paraId="6C26647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 Результаты испытания и соответствующая оценка этих результатов.</w:t>
      </w:r>
    </w:p>
    <w:p w14:paraId="17E8CF2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фотоснимках за №№ 1, 2, 3 и 4 приводятся общие виды танка Т-34 до испытания.</w:t>
      </w:r>
    </w:p>
    <w:p w14:paraId="595F94F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1. Вид спереди. Фото № 2. Вид сзади. Фото № 3. Вид с правой стороны. Фото № 4. Вид с левой стороны.</w:t>
      </w:r>
    </w:p>
    <w:p w14:paraId="42E3598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ПУЛЕВОЙ ОБСТРЕЛ БАШНИ ТАНКА Т-34.</w:t>
      </w:r>
    </w:p>
    <w:p w14:paraId="26EE123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Смотровой прибор с левой стороны башни.</w:t>
      </w:r>
    </w:p>
    <w:p w14:paraId="163DAC1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Смотровой прибор испытывался 7,62 мм обыкновенными и бронебойными пулями с целью определения степени поражения смотрового прибора и прочности сварки основания смотрового прибора.</w:t>
      </w:r>
    </w:p>
    <w:p w14:paraId="56FF953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стеклу смотрового прибора получено одно попадание обыкновенной пулей и при этом стекло оказалось пробитым. Нижнее зеркало, частично и верхнее зеркало, опылены свинцовой пылью, и вследствие этого видимость потеряна. Рамку смотрового прибора удалось вынуть, но вставить обратно в свое гнездо не удалось. вследствие получения пробоины в верхнем зеркале и наличия заусениц по краям пробоины.</w:t>
      </w:r>
    </w:p>
    <w:p w14:paraId="260D4FC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Запасная рама смотрового прибора свободно была вставлена в сове гнездо. С внутренней стороны башни против смотрового прибора была поставлена 3-мм фанера, причем на фанерном листе не обнаружено следов поражения осколками.</w:t>
      </w:r>
    </w:p>
    <w:p w14:paraId="67BA607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Дополнительно по смотровому прибору и по сварке основания смотрового прибора было получено 8 попаданий обыкновенной пулей и 4 попадания бронебойной пулей. Эти выстрелы были сделаны с целью определения прочности сварки основания смотрового прибора и возможности проникновения осколков вовнутрь башни. В сварку попало обыкновенных пуль 5 шт. и бронебойных – 3 шт., причем сварка не нарушается и вполне устойчива. От попадания обыкновенной пулей в сварке получается вмятина глубиной до 5 мм, а бронебойная пуля углубляется на 10 – 15 мм. В разбитое стекло смотрового прибора попало 3 обыкновенных пули и при этом на 3-мм фанерном листе, расположенном с внутренней стороны башни против смотрового прибора, поражений осколками и опыления свинцовой пылью не обнаружено.</w:t>
      </w:r>
    </w:p>
    <w:p w14:paraId="74142AB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испытания смотрового прибора показывают:</w:t>
      </w:r>
    </w:p>
    <w:p w14:paraId="44B6CA9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От одного попадания обыкновенной пулей в стекло смотрового прибора последний выводится из строя.</w:t>
      </w:r>
    </w:p>
    <w:p w14:paraId="33874AF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б) Восстановить работу смотрового прибора можно путем замены поврежденной рамки запасной рамкой с зеркалами. При этом следует иметь в виду, что нанесенные повреждения в рамке смотрового прибора могут затруднить извлечение его из своего гнезда. Возможно, что потребуется необходимый инструмент, с помощью которого можно будет ускорить процесс замены рамки и восстановления работы смотрового прибора.</w:t>
      </w:r>
    </w:p>
    <w:p w14:paraId="6854ABF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 попадании в стекло смотрового прибора пулевые осколки и осколки от стекла не проникают вовнутрь башни (при настоящих испытаниях на фанерном листе, расположенном внутри башни против смотрового прибора поражений осколками не обнаружено).</w:t>
      </w:r>
    </w:p>
    <w:p w14:paraId="13561DB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Сварка основания смотрового прибора устойчива против действия 3-х линейных обыкновенных и бронебойных пуль.</w:t>
      </w:r>
    </w:p>
    <w:p w14:paraId="69BDC58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Фотоснимки левого смотрового прибора после испытания приводятся ниже (см. фото №№ 5, 6 и 7).</w:t>
      </w:r>
    </w:p>
    <w:p w14:paraId="3050792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5. Левый смотровой прибор башни после попадания в стекло обыкновенной пули.</w:t>
      </w:r>
    </w:p>
    <w:p w14:paraId="1A45B41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6. Рамка левого смотрового прибора после попадания обыкновенной пули.</w:t>
      </w:r>
    </w:p>
    <w:p w14:paraId="7F1A18F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7. Смотровой прибор после испытания обыкновенной и бронебойной 3-х линейной пулей.</w:t>
      </w:r>
    </w:p>
    <w:p w14:paraId="273D84D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8. Груша после испытания бронебойной пулей "ДК".</w:t>
      </w:r>
    </w:p>
    <w:p w14:paraId="7E1D16C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Груша с левой стороны башни.</w:t>
      </w:r>
    </w:p>
    <w:p w14:paraId="3CFF836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Груша испытывалась 3-х линейными бронебойными пулями и 12,7 мм бронебойными пулями "ДК" с целью выяснения возможности заклинения груши и проникновения осколков вовнутрь башни.</w:t>
      </w:r>
    </w:p>
    <w:p w14:paraId="31608F0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Трехлинейной бронебойной пулей в грушу получено три попадания, причем пули рикошетируют и никакого повреждения груше не наносят. От ударов пуль произошло незначительное уплотнение груши в своем гнезде, однако, от толчков рукой с внутренней стороны, груша выскочила наружу.</w:t>
      </w:r>
    </w:p>
    <w:p w14:paraId="605C21D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Бронебойной пулей "ДК" получено одно попадание под грушу, причем груша была выброшена наружу. На самой груше получились царапины от действия осколков. Запорная планка груши оказалась погнутой. В отверстие для груши проникли мелкие осколки, которые были обнаружены на фанерном листе. Кроме того на фанерном листе обнаружены пятна свинцовой пыли (3-х мм фанера проникшими осколками не пробивается).</w:t>
      </w:r>
    </w:p>
    <w:p w14:paraId="498AF93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испытании груши бронебойными пулями "ДК" получены попадания в основание смотрового прибора, сварку основания смотрового прибора и в бок башни танка. В основание смотрового прибора пуля "ДК" углубляется на 12 – 22 мм, причем глубина в 22 мм получилась в вертикальной стенке основания смотрового прибора. В верхней части основания смотрового прибора против попадания пуль "ДК" образовалась сквозная трещина на длине 60 мм. В нижнюю часть сварки основания смотрового прибора получено два попадания пулей "ДК", причем сварка не разрушается (в местах удара пуль образуется вмятина, или же входное углубление, а п краям вмятины сварка приподнимается). В бок башни танка получено 8 попаданий, причем пуля "ДК" после удара рикошетирует, и при этом в броне получаются выбоины глубиной 3 – 7 мм и диаметром 15 – 25 мм. Явление рикошетирования пули "ДК" объясняется наклоном брони башни на 30˚, и толщина брони в 45 мм является непреодолимой преградой для пули "ДК".</w:t>
      </w:r>
    </w:p>
    <w:p w14:paraId="7387911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испытания груши показывают:</w:t>
      </w:r>
    </w:p>
    <w:p w14:paraId="32D5FE9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От попадания 3-х линейных бронебойных пуль груша не заклинивается. Происходит незначительное уплотнение груши, причем от толчков рукой с внутренней стороны, груша выталкивается наружу.</w:t>
      </w:r>
    </w:p>
    <w:p w14:paraId="5694BB9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попадании пули "ДК" под грушу запорная планка оказалась погнутой и вследствие этого груша была выброшена наружу, а в отверстие для груши проникли мелкие осколки вовнутрь башни. Запорная планка груши недостаточно прочна и требует усиления.</w:t>
      </w:r>
    </w:p>
    <w:p w14:paraId="22EDC72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Сварка основания смотрового прибора не разрушается при попадании пуль "ДК" (происходит углубление пули в сварку с образованием вмятины в точке удара).</w:t>
      </w:r>
    </w:p>
    <w:p w14:paraId="16FD221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Фотоснимок груши и основания левого смотрового прибора приводятся ниже (см. фото № 7 и № 8).</w:t>
      </w:r>
    </w:p>
    <w:p w14:paraId="0810C14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Погон башни танка с левой стороны (щель).</w:t>
      </w:r>
    </w:p>
    <w:p w14:paraId="05D408E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Погон башни танка испытывался 3-х линейными бронебойными пулями и 12,7 мм бронебойными пулями "ДК" с целью выяснения возможности заклинения башни танка при попадании пуль в погон (щель). Перед испытанием танк был наклонен в сторону лобовой части на 20 – 25˚ для того, чтобы облегчить условия попадания пуль в погон (стрельба велась с земли и высота линии огня не превышала 0,5 м).</w:t>
      </w:r>
    </w:p>
    <w:p w14:paraId="32674C2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3-х линейной бронебойной пулей получено два попадания в погон (в щель). Башня вращается нормально, заклинения не происходит.</w:t>
      </w:r>
    </w:p>
    <w:p w14:paraId="3FE16F2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 мм бронебойной пулей в общей сложности получено 5 попаданий в погон, из числа которых 3 пули попало в нижнюю кромку башни и при этом в кромке образовались открытые пробоины диаметром 20 мм и глубиной 12 – 15 мм, и 2 пули попали в погон (в щель) в 20 мм друг от друга. От попадания двух последних пуль на крыше корпуса танка образовались выбоины, а в нижней кромке башни произошли выколы в виде открытых пробоин. После этих испытаний башня вращается нормально, заклинения не происходит.</w:t>
      </w:r>
    </w:p>
    <w:p w14:paraId="4670FB3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испытании погона 3-х линейной бронебойной пулей 6 пуль попало в среднюю часть сварки башни, причем сварка оказалась вполне устойчивой.</w:t>
      </w:r>
    </w:p>
    <w:p w14:paraId="77631A1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результаты испытания показывают, что при попадании в погон 3-х линейных бронебойных пуль и 12,7 мм бронебойных пуль "ДК", заклинения башни не происходит (башня вращается нормально).</w:t>
      </w:r>
    </w:p>
    <w:p w14:paraId="2FEDCB4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Фотоснимки наклонного положения танка и мест попадания пуль в погон приводятся ниже (см. фото №№ 9, 10, 11, 12).</w:t>
      </w:r>
    </w:p>
    <w:p w14:paraId="509BA59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9. Положение танка до стрельбы.</w:t>
      </w:r>
    </w:p>
    <w:p w14:paraId="7E2BE93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10. Погон после пулевого обстрела 3-х линейной бронебойной пулей.</w:t>
      </w:r>
    </w:p>
    <w:p w14:paraId="759FDE7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11. Погон после испытания 12,7-мм пулей "ДК".</w:t>
      </w:r>
    </w:p>
    <w:p w14:paraId="1127621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12 и № 13. Погон после испытания 12,7-мм пулей "ДК".</w:t>
      </w:r>
    </w:p>
    <w:p w14:paraId="2EE9D50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Верхний смотровой прибор люка.</w:t>
      </w:r>
    </w:p>
    <w:p w14:paraId="5B9D755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Верхний смотровой прибор люка испытывался 3-х линейными обыкновенными и бронебойными пулями с целью определения бронестойкости прибора и возможности проникновения осколков и свинцовой пыли во внутрь танка.</w:t>
      </w:r>
    </w:p>
    <w:p w14:paraId="42AC16C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Обыкновенной пулей в планку смотрового прибора получено 4 попадания, из числа которых одна пуля попала в стык корпуса и выдвигаемой планки, и при этом произошел откол корпуса рамки смотрового прибора на длине 90 мм и на ширине 17 – 25 мм, и 3 пули попало в переднюю пластинку, причем на пластинке образовались еле заметные следы удара. От попадания бронебойной пули на пластинке получилась вмятина глубиной до 3 мм.</w:t>
      </w:r>
    </w:p>
    <w:p w14:paraId="5EF2874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Поворот внутренней и внешней кассеты, а также выдвигание их свободное. Прибор вынут свободно. Результат: разбито смотровое стекло, причем видимость смотрового прибора не нарушена. Резина гнезда разбитого стекла выбита. С противоположной стороны щели в планку смотрового прибора было сделано 7 выстрелов. из числа которых 4 пули попало в корпус прибора, причем одна пуля попала с рикошета. От попадания одной пули получилась сквозная пробоина, а остальные пули образовали вмятины глубиной 3 – 5 мм. Фанера под смотровым прибором оказалась пораженной мелкими осколками и кроме того имеются следы закопчения.</w:t>
      </w:r>
    </w:p>
    <w:p w14:paraId="193D082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испытания смотрового прибора люка показали следующее:</w:t>
      </w:r>
    </w:p>
    <w:p w14:paraId="556EE46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Корпус смотрового прибора люка не пробивается обыкновенными 3-х линейными пулями, однако, в зависимости от места попадания пуля в состоянии нанести частичное разрушение деталей корпуса смотрового прибора (произошел откол корпуса рамки смотрового прибора).</w:t>
      </w:r>
    </w:p>
    <w:p w14:paraId="1A3D6FF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Бронебойная и 3-х линейная пуля при попадании по нормали пробивает корпус смотрового прибора при стрельбе полным зарядом с дистанции 50 м (получена одна сквозная пробоина).</w:t>
      </w:r>
    </w:p>
    <w:p w14:paraId="41FDAFD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Мелкие осколки от пуль и от брони проникают вовнутрь танка и, следовательно, могут нанести легкие ранения обслуживающему персоналу (фанера под смотровым прибором поражена мелкими осколками).</w:t>
      </w:r>
    </w:p>
    <w:p w14:paraId="3C50E6F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При наличии запасных смотровых приборов можно заменить поврежденный смотровой прибор люка (после произведенного испытания смотровой прибор был вынут свободно из своего гнезда.</w:t>
      </w:r>
    </w:p>
    <w:p w14:paraId="06BA3DB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Толщина пластинок корпуса смотрового прибора люка в 10 мм недостаточна, а поэтому требуется их утолщение и повышение пулестойкости самой брони.</w:t>
      </w:r>
    </w:p>
    <w:p w14:paraId="31DF86F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Фотоснимки смотрового прибора после испытания пулевым обстрелом приводятся ниже (см. фото №№ 14, 15, 16 и 17).</w:t>
      </w:r>
    </w:p>
    <w:p w14:paraId="67490BD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14. Корпус смотрового прибора после пулевого обстрела.</w:t>
      </w:r>
    </w:p>
    <w:p w14:paraId="78572E3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15. Тоже (отколовшаяся часть рамки отделена).</w:t>
      </w:r>
    </w:p>
    <w:p w14:paraId="4394ACE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16. На снимке показывается сорванная резина гнезда разбитого стекла.</w:t>
      </w:r>
    </w:p>
    <w:p w14:paraId="39BADBB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17. Корпус смотрового прибора после пулевого обстрела.</w:t>
      </w:r>
    </w:p>
    <w:p w14:paraId="508C9AC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Петля крышки люка башни танка.</w:t>
      </w:r>
    </w:p>
    <w:p w14:paraId="3D19C7B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Правая петля люка башни испытывалась 3-х линейными обыкновенными и бронебойными пулями и 12,7 мм бронебойными пулями "ДК" с целью определения стойкости петель и возможности заклинения люка при попадании пуль. Петля люка испытывалась в наклонном положении танка в сторону лобовой части на 30 – 35˚.</w:t>
      </w:r>
    </w:p>
    <w:p w14:paraId="210E822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Обыкновенной 3-х линейной пулей получено 6 попаданий в правую петлю люка и при этом никаких повреждений не нанесено. Люк башни открывается и закрывается нормально. На 3-х мм фанерном листе, расположенном под люком башни не обнаружено следов поражения осколками и опыления.</w:t>
      </w:r>
    </w:p>
    <w:p w14:paraId="44A3FC7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Бронебойной 3-х линейной пулей получено 6 попаданий в ту же петлю, причем от одного попадания срезана головка переднего болта петли диаметром 12 мм. Петля вполне устойчива против попадания 3-х линейных бронебойных пуль.</w:t>
      </w:r>
    </w:p>
    <w:p w14:paraId="621A3DF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процессе испытания петли 3-х линейной бронебойной пулей было получено:</w:t>
      </w:r>
    </w:p>
    <w:p w14:paraId="23C7546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попадания в основание защелки люка башни, причем основание защелки не претерпело поражений и устойчиво против поражения пуль;</w:t>
      </w:r>
    </w:p>
    <w:p w14:paraId="30FD544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 попадание в упор защелки люка, причем пуля углубилась на 15 мм;</w:t>
      </w:r>
    </w:p>
    <w:p w14:paraId="0195DF8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два попадания в сварку основания упора защелки, причем сварка не нарушена, упор прочен;</w:t>
      </w:r>
    </w:p>
    <w:p w14:paraId="6DAC6A4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попаданий по крыше люка, из числа которых 4 пули попали в лючек сигнализации и при этом все пули рикошетировали;</w:t>
      </w:r>
    </w:p>
    <w:p w14:paraId="0A75D66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попаданий в крышу башни перед правой петлей, причем все пули рикошетировали.</w:t>
      </w:r>
    </w:p>
    <w:p w14:paraId="65AFCE4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местах удара пуль под крышу люка проникли осколки от разрушающихся пуль и срываемого металла петли. На фанере под люком башни обнаружено 4 мелких осколка.</w:t>
      </w:r>
    </w:p>
    <w:p w14:paraId="2488E92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 же петля была испытана 12,7 мм бронебойными пулями "ДК". В петлю на люке получено 3 попадания и при этом петля оказалась достаточно устойчивой. Одна пуля "ДК" попала в край крыши люка и дала рикошет. На фанерном листе под люком найдено 3 мелких осколка, причем фанера следов поражения осколками не имеет. Под люком против петли выкрошена резина на участке 70 мм.</w:t>
      </w:r>
    </w:p>
    <w:p w14:paraId="3365974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испытания петли люка башни показывают следующее:</w:t>
      </w:r>
    </w:p>
    <w:p w14:paraId="5B6A0A6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петля люка башни вполне устойчива при попадании 3-х линейных обыкновенных и бронебойных пуль, а также при попадании 12,7 мм бронебойных пуль "ДК".</w:t>
      </w:r>
    </w:p>
    <w:p w14:paraId="0E1F3DA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попадании в петлю 3-х линейных бронебойных пуль и пуль "ДК" в башню танка проникают мелкие осколки, но, однако, эти осколки не могут нанести серьезного поражения, т.к. на фанере после испытания не обнаружено следов поражения.</w:t>
      </w:r>
    </w:p>
    <w:p w14:paraId="5F8C4C9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После испытания петли люка башни 3-х линейными пулями и пулями "ДК" петля не претерпела существенных поражений, и люк башни открывается и закрывается нормально.</w:t>
      </w:r>
    </w:p>
    <w:p w14:paraId="2463F7E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Фотоснимки петли люка башни приводятся ниже (см. фото №№ 18 и 19).</w:t>
      </w:r>
    </w:p>
    <w:p w14:paraId="2A2B379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Люк вентиляции на крыше башни.</w:t>
      </w:r>
    </w:p>
    <w:p w14:paraId="57002BF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Люк вентиляции испытывался 3-х линейными обыкновенными пулями с целью определения возможности поражения осколками внутри танка. С дистанции 50 м в общей сложности в колпак люка вентиляции получено 8 попаданий и 8 пуль попало под колпачок.</w:t>
      </w:r>
    </w:p>
    <w:p w14:paraId="3CA37E9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попадания пуль на колпачке образуются небольшие выбоины. Одна пуля попала в ушко петли и отколола кусочек металла; от попадания второй пули в ушко петли колпачка получилась небольшая выбоина. Колпачок открыть полностью удалось, но, однако после 5 – 6 последовательных толчков вокруг оси петли, причем открывание колпачка люка вентиляции производилось снаружи. На фанере под колпачком обнаружены мелкие осколки до 15 шт.; причем на самой фанере никаких следов поражения от осколков не обнаружено.</w:t>
      </w:r>
    </w:p>
    <w:p w14:paraId="673C5B3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произведенных испытаний позволяют сделать следующие выводы:</w:t>
      </w:r>
    </w:p>
    <w:p w14:paraId="1184508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Броня колпачка люка вентиляции вполне устойчива против попадания 3-х линейных обыкновенных пуль. Петли колпачка требуют некоторого усиления, т.к. от удара пули ушко петли претерпело разрушение и в результате испытания с трудом удалось открыть колпачок люка вентиляции.</w:t>
      </w:r>
    </w:p>
    <w:p w14:paraId="1C132FE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попадании пуль под колпачок люка вентиляции вовнутрь башни проникают мелкие осколки и свинцовая пыль. От действия этих осколков все же можно ожидать легкое ранение и ожоги лица, рук.</w:t>
      </w:r>
    </w:p>
    <w:p w14:paraId="272276D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Фотоснимок люка вентиляции после испытания приводится ниже (см. фото № 20).</w:t>
      </w:r>
    </w:p>
    <w:p w14:paraId="70368EA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18. Правая петля после испытания пулевым обстрелом. Фото № 19. Тоже. Фото № 20. Люк вентиляции на крыше башни после пулевого обстрела.</w:t>
      </w:r>
    </w:p>
    <w:p w14:paraId="780B16A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Яблоко пулемета радиста.</w:t>
      </w:r>
    </w:p>
    <w:p w14:paraId="5C71B04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Яблоко пулемета радиста испытывалось 3-х линейными обыкновенными и бронебойными пулями с целью определения возможности проникновения пуль и заклинения яблока.</w:t>
      </w:r>
    </w:p>
    <w:p w14:paraId="108588D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10 выстрелов обыкновенными пулями, 5 пуль попало в подкову (в 4-х случаях частично захвачено гнездо шара); три пули попало в передний диск шара, причем одной пулей сбита мушка и эта пуля проникла в отверстие для прицеливания и образовала вмятину в заслонке отверстия заднего диска шара; две пули попали в щель между шаром и цилиндром шара. От попадания этих пуль яблоко не заклинилось, но однако вращение было затруднено, как в горизонтальной так и в вертикальной плоскостях. Повернуть шар в обоих плоскостях удалось с помощью металлического штыря длиной 330 мм при незначительном усилии рабочего. По-видимому, в щель между шаром и его гнездом проникла свинцовая пыль, что и затруднило вращение шара. При наличии пулемета вращение шара было бы облегчено вследствие того, что пулемет обладает большей массой при наличии соответствующего плеча.</w:t>
      </w:r>
    </w:p>
    <w:p w14:paraId="6DE048A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Бронебойной 3-х линейной пулей получено 5 попаданий в яблоко пулеметной установки, из числа которых 3 пули попало в передний диск шара и 2 пули попало в щель между шаром и его гнездом. Пуля углубляется в диск на 6 – 8 мм. Две пули, попавшие в щель между шалом и его гнездом, наглухо заклинили шар (яблоко), причем места попаданий этих пуль на фотоснимке показаны стрелками. Пули, заклинившие яблоко, попали примерно в расстоянии 1/3 окр. друг от друга. В местах попадания видны куски разрушенного сердечника пули. После ряда ударов ручником по шару с внутренней и наружной стороны сдвинуть с места шар (яблоко) с помощью металлического штыря длиной 330 мм не удалось. Сдвинуть с места шар в обеих плоскостях удалость только с помощью лома длиной около метра усилием двух человек в несколько приемов.</w:t>
      </w:r>
    </w:p>
    <w:p w14:paraId="5050C5C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испытания пулеметной установки позволяют сделать следующие выводы:</w:t>
      </w:r>
    </w:p>
    <w:p w14:paraId="45C02E4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 попадании обыкновенных пуль в щель между яблоком и его гнездом заклинивания шара (яблока) не происходит. Вследствие проникания в щель мелких осколков и свинцовой пыли затрудняется работа шаровой установки.</w:t>
      </w:r>
    </w:p>
    <w:p w14:paraId="78BCECA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попадании в щель 3-х линейных бронебойных пуль, яблоко заклинивается наглухо и вследствие этого пулемет выводится из строя. Восстановить работу пулемета, по-видимому можно только после разборки и очистки шаровой установки, однако эти соображения необходимо проверить на деле, т.е. разобрать шаровую установку, очистить щель от осколков, собрать и проверить работу пулеметной установки.</w:t>
      </w:r>
    </w:p>
    <w:p w14:paraId="02CEC03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3-х линейные обыкновенные и бронебойные пули не проникают вовнутрь танка при попадании в шаровую установку пулемета радиста.</w:t>
      </w:r>
    </w:p>
    <w:p w14:paraId="50B0F53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Фотоснимки шаровой пулеметной установки до и после испытания приводятся ниже (см. фото №№ 21, 22 и 23).</w:t>
      </w:r>
    </w:p>
    <w:p w14:paraId="2FBB324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21. Шаровая пулеметная установка до испытания.</w:t>
      </w:r>
    </w:p>
    <w:p w14:paraId="3B8446E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22. Шаровая пулеметная установка после испытания 3-х линейными обыкновенными пулями.</w:t>
      </w:r>
    </w:p>
    <w:p w14:paraId="5CA0CA7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23. Шаровая пулеметная установка после испытания 3-х линейной бронебойной пулей.</w:t>
      </w:r>
    </w:p>
    <w:p w14:paraId="1F84C43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Смотровое отверстие для ТОДа.</w:t>
      </w:r>
    </w:p>
    <w:p w14:paraId="43689BF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Смотровое отверстие для ТОДа испытывалось 3-х линейными бронебойными пулями с дистанции 20 м с целью определения пулестойкости защиты и возможности проникновения осколков вовнутрь башни.</w:t>
      </w:r>
    </w:p>
    <w:p w14:paraId="1F353E9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отверстие для ТОДа получено два попадания. Первая пуля попала в нижний край заслонки и в ограничительный винт, причем штифт оказался сорванным. Заслонка не пробита, образовалась вмятина, заслонка повернулась, и открылось защитное стекло, причем на стекле после первого попадания образовались трещины – видимость потеряна. Второе попадание, по-видимому, произошло в тот же край заслонки, при этом образовалась вмятина, заслонка повернулась, а в защитном стекле образовалось два небольших отверстия. В лобовой щит системы толщиной 15 мм попало 13 пуль. Щит не пробивается (образуются выбоины глубиной 2 – 7 мм). Поставить фанерный лист с внутренней стороны башни против отверстия для ТОДа не удалось (мешает внутреннее оборудование).</w:t>
      </w:r>
    </w:p>
    <w:p w14:paraId="58AEB5C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этих испытаний показывают, что заслонка смотрового отверстия не пробивается 3-х линейной бронебойной пулей, но однако, его ее крепление, по-видимому, ненадежное, т.к. от удара пули заслонка повернулась, открылось защитное стекло, которое было повреждено и видимость прибора была потеряна, т.е. иначе говоря, смотровой прибор вышел из строя.</w:t>
      </w:r>
    </w:p>
    <w:p w14:paraId="417FFFA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Смотровые приборы водителя (на люке и один боковой) и петли люка.</w:t>
      </w:r>
    </w:p>
    <w:p w14:paraId="667FDFF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Смотровой на люке и петли люка водителя испытывались 3-х линейными бронебойными пулями и 12,7 мм бронебойными пулями "ДК", а левый смотровой прибор водителя испытывался 3-х линейной обыкновенной пулей. Испытание преследовало цель – выяснить степень поражения смотровых приборов и петлей люка водителя.</w:t>
      </w:r>
    </w:p>
    <w:p w14:paraId="52C0044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Смотровой прибор на люке оказался в неисправном состоянии (отсутствовала броневая заслонка и кроме того, отсутствовало защитное стекло).</w:t>
      </w:r>
    </w:p>
    <w:p w14:paraId="2B72350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Всмотровой прибор 3-х линейными бронебойными пулями с дистанции 15 м получено 14 попаданий и при этом зеркало оказалось в нескольких местах пробитым. В правой средней проушине петли люка водителя образовались выбоины с отрывом металла. Несколько пуль ударилось в плоскость верхней петли, в результате чего получились незначительные выбоины. Люк водителя открывается и закрывается нормально. Фанера, поставленная под смотровым прибором водителя внутри танка, имеет незначительное поражение мельчайшими осколками металла пули и, видимо, брони.</w:t>
      </w:r>
    </w:p>
    <w:p w14:paraId="5768F75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петлям люка водителя с дистанции 15 м было сделано 6 выстрелов, однако попасть в петли не удалось, т.к. нижняя кромка основания смотрового прибора почти полностью перекрывает петли люка. Испытание велось при наклонном положении танка в сторону лобовой части примерно на 25 – 30˚, и все же попасть в петли не удалось. Две пули прошли по самой кромке выреза основания смотрового прибора и все же ударились выше петли люка и дали рикошет. Остальные 4 пули попали ниже кромки выреза основания смотрового прибора, причем глубина входа двух попаданий до 30 мм. Люк водителя после отстрела бронебойными пулями "ДК" открывается и закрывается нормально.</w:t>
      </w:r>
    </w:p>
    <w:p w14:paraId="70E61F2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левый смотровой прибор водителя с дистанции 15 м сделан один выстрел 3-х линейной обыкновенной пулей. Пуля пробила зеркало в верхнем правом углу, а в перекрывающем щитке образовалась вмятина, сорвано 2 болта и щиток приподнят. Нижнее зеркало оказалось целое, с наличием царапин от мелких осколков. Видимость прибора потеряна. Рамку из своего гнезда удалось вынуть незначительным усилием руки. На фанерном листе под смотровым прибором поражений не обнаружено.</w:t>
      </w:r>
    </w:p>
    <w:p w14:paraId="4746AEE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испытания смотровых приборов и петель люка позволяют сделать следующие выводы:</w:t>
      </w:r>
    </w:p>
    <w:p w14:paraId="7DB0BE8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а) Петли люка водителя почти полностью перекрываются нижней кромкой выреза основания смотрового прибора и вследствие этого очень трудно попасть в петли, даже при наклонном положении танка в сторону лобовой части (25 – 30˚). От полученных попаданий в вертикальную плоскость – петли не пострадали и люк водителя открывается и закрывается нормально.</w:t>
      </w:r>
    </w:p>
    <w:p w14:paraId="008AA02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Судить о степени поражения смотрового прибора водителя на люке невозможно, т.к. смотровой прибор до испытания был в неисправном состоянии (отсутствовали броневая заслонка и защитное стекло).</w:t>
      </w:r>
    </w:p>
    <w:p w14:paraId="612FDBD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Левый смотровой прибор водителя при попадании одной 3-х линейной обыкновенной пули выводится из строя. Восстановить работу смотрового прибора можно заменой зеркал или же полной заменой рамки с зеркалами.</w:t>
      </w:r>
    </w:p>
    <w:p w14:paraId="04121D8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При попадании пуль в смотровые приборы вовнутрь танка могут проникнуть мелкие осколки, но однако, поражающая способность этих осколков ничтожная.</w:t>
      </w:r>
    </w:p>
    <w:p w14:paraId="460489F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Фотоснимки смотровых приборов до и после испытания приводятся ниже (см. фото №№ 25, 26, 27, 28 и 29).</w:t>
      </w:r>
    </w:p>
    <w:p w14:paraId="372E414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24. Отверстие для ТОДа после обстрела 3-х линейными бронебойными пулями.</w:t>
      </w:r>
    </w:p>
    <w:p w14:paraId="048ABAC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25. Смотровой прибор на люке водителя до испытания.</w:t>
      </w:r>
    </w:p>
    <w:p w14:paraId="592D0FE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26. Смотровой прибор на люке водителя после испытания 3-х линейной бронебойной пулей.</w:t>
      </w:r>
    </w:p>
    <w:p w14:paraId="30C905E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27. Смотровой прибор на люке водителя после испытания 12,7-мм линейной бронебойной пулей ДК.</w:t>
      </w:r>
    </w:p>
    <w:p w14:paraId="2AF49D6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28. Левый смотровой прибор водителя до испытания.</w:t>
      </w:r>
    </w:p>
    <w:p w14:paraId="05483A0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29. Левый смотровой прибор водителя после испытания 3-х линейной обыкновенной пулей.</w:t>
      </w:r>
    </w:p>
    <w:p w14:paraId="3EE64FA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Предохранительный щит впереди башни.</w:t>
      </w:r>
    </w:p>
    <w:p w14:paraId="248A3C8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Предохранительный щит толщиной 15 мм испытывался с дистанции 15 м 3-х линейными обыкновенными и бронебойными пулями и 12,7 мм бронебойными пулями "ДК" с целью определения возможности заклинивания системы и проникновения осколков вовнутрь танка.</w:t>
      </w:r>
    </w:p>
    <w:p w14:paraId="66406A0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максимальном угле возвышения в маску сделано 10 выстрелов 3-х линейными обыкновенными пулями. В маске получаются небольшие выбоины. Заклинивания системы не происходит. На 3 мм фанерных листах, поставленных вертикально у казенного среза орудия, обнаружены мелкие осколки, засевшие преимущественно в нижней части фанеры. От действия осколков 3-х мм фанера не пробивается. Поставить фанерные листы под маску не удалось, т.к. не позволяет внутреннее оборудование.</w:t>
      </w:r>
    </w:p>
    <w:p w14:paraId="50311CE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этому же месту в маску было сделано 10 выстрелов 3-х лин. бронебойными пулями, причем в маске получены вмятины глубиной 10 мм. Фанерные листы, поставленные на тоже место, получили примерно такое же поражение, как и при испытании маски обыкновенными 3-х лин. пулями. Заклинивание системы не происходит (система работает нормально).</w:t>
      </w:r>
    </w:p>
    <w:p w14:paraId="072DF1B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предохранительный щит впереди башни сделано 11 выстрелов 12,7 мм бронебойными пулями "ДК" при максимальном угле снижения орудия. В 6 случаях щит пробит, а в остальных случаях пули рикошетировали, а в щите получались незначительные выбоины. После 3-х пробитий было затруднено движение орудийного ствола в вертикальной плоскости вследствие попадания осколков и брони в зазоры между люлькой и вырезом лобового листа. После дополнительных 3-х пробитий придать системе угол возвышения не представилось возможным (система заклинилась). Между люлькой и вырезом лобового листа обнаружены осколки пуль.</w:t>
      </w:r>
    </w:p>
    <w:p w14:paraId="089F4E6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Много осколков пуль и брони обнаружено под люлькой между маской и лобовым листом. Пробившие пули ударялись во внутренний броневой щит маски. Из 5 крепительных болтов наружного броневого щита у одного болта смята верхняя часть резьбы (вывернуть и ввернуть болт на свое место не удалось).</w:t>
      </w:r>
    </w:p>
    <w:p w14:paraId="62908DF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испытания позволяют сделать следующие выводы:</w:t>
      </w:r>
    </w:p>
    <w:p w14:paraId="5EA39C9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 попадании в маску под орудие 3-х линейных обыкновенных и бронебойных пуль заклинения системы не происходит. Обыкновенные пули дают в маске незначительную выбоину, а бронебойные пули глубиной до 10 мм.</w:t>
      </w:r>
    </w:p>
    <w:p w14:paraId="45BC295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попадании 3-х линейных пуль в маску – вовнутрь башни проникают пулевые осколки, причем эти осколки могут нанести легкие ранения обслуживающему персоналу танка в случае их попадания в открытые места (лицо, руки и другие части тела, покрытые легкой тканью).</w:t>
      </w:r>
    </w:p>
    <w:p w14:paraId="5E8B0DE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12,7 мм бронебойные пули "ДТ" пробивают предохранительный щит впереди башни, но дальнейшее их движение задерживалось броневым щитом маски. После 6 пробитий система оказалась заклиненной, т.е. иначе говоря, вышла из строя. После 3-х пробитий было затруднено движение орудийного ствола в вертикальной плоскости.</w:t>
      </w:r>
    </w:p>
    <w:p w14:paraId="17A1373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Предохранительный щит впереди башни необходимо усилить.</w:t>
      </w:r>
    </w:p>
    <w:p w14:paraId="1ECF890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Фотоснимки маски и предохранительного щита впереди башни после их испытания приводятся ниже (см. фото №№ 30 и 31).</w:t>
      </w:r>
    </w:p>
    <w:p w14:paraId="1AC8A1C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30. Маска после испытания 3-х линейными обыкновенными пулями. Фото № 31. Щит после испытания 12,7-мм бронебойной пулей ДК.</w:t>
      </w:r>
    </w:p>
    <w:p w14:paraId="1DF3B0D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Жалюзи всасывающего воздуха.</w:t>
      </w:r>
    </w:p>
    <w:p w14:paraId="28D384D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Жалюзи всасывающего воздуха испытывались с дистанции 15 м 3-х линейными обыкновенными пулями с целью определения возможности проникновения осколков и поражения ими водяных радиаторов. Эти испытания были произведены в конце всего опыта. Испытание проводилось при открытой крышке жалюзи. Всего было сделано 20 выстрелов (левый борт), из числа которых 18 пуль попало вовнутрь и 2 пули попали в колпак. Перед испытанием 3-х мм фанерным листом были перекрыты баки и радиаторы (масляный и водяной). Пули попали в крышу жалюзи. На высоте тяги к задним жалюзям, в верхней части фанеры, образовалось многочисленное количество мелких пробоин и свинцовое опыление. После этих испытаний мотор был запущен и танк на собственном ходу прибыл с 8,5 км на полигон.</w:t>
      </w:r>
    </w:p>
    <w:p w14:paraId="559B0A8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СНАРЯДНЫЙ ОБСТРЕЛ БАШНИ ТАНКА Т-34.</w:t>
      </w:r>
    </w:p>
    <w:p w14:paraId="37F0F87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Левый боковой лист башни. Определение тыльной прочности (ПТП) и предела сквозного пробития (ПСП).</w:t>
      </w:r>
    </w:p>
    <w:p w14:paraId="327922B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37-мм осколочный снаряд черт № 154 весом 0,645 кг.</w:t>
      </w:r>
    </w:p>
    <w:p w14:paraId="6C35510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Дистанция стрельбы 63 м. Снаряды в серном снаряжении. Угол встречи в вертикальной плоскости 30˚ и в горизонтальной – 0˚.</w:t>
      </w:r>
    </w:p>
    <w:p w14:paraId="5473044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Снарядами черт. № 154 при скоростях удара 754,2 и 746,4 м/с было сделано два выстрела, причем снаряд выстрела № 1 попал в верхнюю кромку наклонного листа корпуса танка, а снаряд выстрела № 2 попал в лист башни в носовой части. От удара снаряда в броне получается отпечаток, не поддающийся обмеру, а снаряды разбиваются в осколки. По таблицам стрельбы скоростям удара в 754 и 764 м/с отвечает дальность стрельбы соответственно 130 и 100 м.</w:t>
      </w:r>
    </w:p>
    <w:p w14:paraId="5B7856E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32ABF6A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Броня башни танка Т-34 (45 мм) совершенно не поражается 37-мм осколочными снарядами черт. № 154. При ударе в броню снаряды разрушаются в осколки.</w:t>
      </w:r>
    </w:p>
    <w:p w14:paraId="0A231B4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37-мм остроголовый бронебойный снаряд черт. № 00129 весом 0,660 кг.</w:t>
      </w:r>
    </w:p>
    <w:p w14:paraId="7FD915E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 стр. = 63 м. Снаряды в серном снаряжении с охолощенными взрывателями МД-2. Угол встречи в вертикальной плоскости 30˚ и в горизонтальной – 0˚.</w:t>
      </w:r>
    </w:p>
    <w:p w14:paraId="462A2CD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ПТП и ПСП снарядами черт. 00129 было сделано 10 выстрелов. В результате испытания получено следующее:</w:t>
      </w:r>
    </w:p>
    <w:p w14:paraId="5B06F99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ПТП = 738,8 м/сек, что отвечает дальности 200 м при стрельбе полным зарядом;</w:t>
      </w:r>
    </w:p>
    <w:p w14:paraId="35A0F1C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ПСП = 753,8 м/сек, что отвечает дальности 160 м при стрельбе полным зарядом.</w:t>
      </w:r>
    </w:p>
    <w:p w14:paraId="7A67A79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ходу опыта снарядами черт. № 00129 башня была пробита в 3-х случаях. Подробное описание нанесенных поражений приводится в журнале стрельб (см. приложение).</w:t>
      </w:r>
    </w:p>
    <w:p w14:paraId="75965A2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выстрелов 3,4 и 10 внутреннее оборудование танка претерпело следующие наиболее существенные поражения:</w:t>
      </w:r>
    </w:p>
    <w:p w14:paraId="240E3AE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выстрела № 3 – Поворотный механизм башни может работать только от руки. Выведено из строя освещение башни около казенной части орудия (разбито стекло плафона).</w:t>
      </w:r>
    </w:p>
    <w:p w14:paraId="50F67F9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выстрела № 4 – Прибор ТСПУ разбит и выведен из строя.</w:t>
      </w:r>
    </w:p>
    <w:p w14:paraId="1B88BAB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выстрела № 10 – Повреждена спинка правого сидения, получил повреждения аккумулятор рации, однако аккумулятор работает. Антенна выведена и строя (пробит изолятор вывода антенны).</w:t>
      </w:r>
    </w:p>
    <w:p w14:paraId="6770AF1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определении ПТП и ПСП снаряд выстрела № 9 попал под кромку крышки люка башни и при этом были получены следующие поражения: люк башни выведен из строя (не закрывается), сорван броневой диск смотрового прибора люка (верхнее зеркало смотрового прибора выброшено), сорвана крышка люка сигнализации, сорван налобник, сильно поражена осколками брезентовая сумка для телефонов ТСПУ, разбито стекло правого смотрового прибора, коробка с тумблерами выведена из строя.</w:t>
      </w:r>
    </w:p>
    <w:p w14:paraId="68F8E0D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ударе в броневой лист башни 37 мм снаряды черт. № 00129 разбиваются в осколки, как при пробитии, так и при непробитии брони. В случаях пробития брони часть осколков разрушенного снаряда проходят в танк.</w:t>
      </w:r>
    </w:p>
    <w:p w14:paraId="2ED569E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4C4C6A5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45-мм броня башни танка Т-34, поставленная под углом 30˚, плохо сопротивляется действию 37-ии бронебойных снарядов черт. № 00129. С дистанции 160 м 37-мм остроголовый снаряд черт. № 00129 в состоянии пробить 45-мм броню и при этом нанести большие поражения внутри танка. Броня показала очень низкий коэффициент сопротивляемости К = 1953. В распоряжении АНИОПа не имеется механических характеристик брони башни, но результаты испытания указывают на недостаточную твердость брони, что особенно выгодно для действия остроголовых снарядов при углах встречи, исключающих явление рикошетирования.</w:t>
      </w:r>
    </w:p>
    <w:p w14:paraId="2A98073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Особенно сильное поражение произошло от попадания снаряда под крышку люка башни (выстрел № 9). По мнению АНИОПа следовало бы края крышки люка опустить в соответствующий уступ на крыше башни танка и это мероприятие, по-видимому, устранило бы возможность срывания крышки люка башни при аналогичных попаданиях снаряда.</w:t>
      </w:r>
    </w:p>
    <w:p w14:paraId="25587AC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Корпуса 37-мм бронебойных снарядов черт. № 00129 непрочны и разбиваются в осколки при ударе в 45-мм броню башни.</w:t>
      </w:r>
    </w:p>
    <w:p w14:paraId="4E6B02E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Фотоснимки башни после испытания 37-мм снарядами приводятся ниже (см. фото №№ 33, 34, 35 и 36).</w:t>
      </w:r>
    </w:p>
    <w:p w14:paraId="7A5C27B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33. Левая сторона башни после испытания 37 мм осколочным снарядом черт. № 154 (выстрелы 1 и 2).</w:t>
      </w:r>
    </w:p>
    <w:p w14:paraId="3C6DA89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34. Левая сторона башни после испытания 37-мм снарядами 00129 (выстрел № 3).</w:t>
      </w:r>
    </w:p>
    <w:p w14:paraId="55E8CF5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35. Левая сторона башни после испытания 37-мм бронебойными снарядами черт. № 00129 (выстрелы №№ 4, 5, 6, 7, 8, 9 и 10).</w:t>
      </w:r>
    </w:p>
    <w:p w14:paraId="5F662DF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36. Внутренний вид башни (в верхнем картере поворотного механизма сломано правое ушко после выстрела № 3).</w:t>
      </w:r>
    </w:p>
    <w:p w14:paraId="6DFD566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45-мм бронебойный снаряд черт. № 2-03347 с двумя подрезами, весом 1,435 кг, Х стр. = 63 м.</w:t>
      </w:r>
    </w:p>
    <w:p w14:paraId="2AE7D3A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Снаряды в серном снаряжении с охолощенными взрывателями МД-5. Угол встречи в вертикальной плоскости 30˚ и в горизонтальной – 0˚. Для определения ПТП и ПСП снарядами черт № 2-03347 с двумя подрезами было сделано 7 выстрелов. В результате испытания получено следующее:</w:t>
      </w:r>
    </w:p>
    <w:p w14:paraId="1AAF96C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ПТП = 716,4 м/сек., что отвечает дальности 180 м при стрельбе полным зарядом;</w:t>
      </w:r>
    </w:p>
    <w:p w14:paraId="5D38BD8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ПСП = 727,6 м/сек., что отвечает дальности 160 м при стрельбе полным зарядом.</w:t>
      </w:r>
    </w:p>
    <w:p w14:paraId="64CB4DA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определении предела сквозного пробития броня башни оказалась пробитой в 3-х случаях. Подробное описание поражений приводится в журнале стрельб.</w:t>
      </w:r>
    </w:p>
    <w:p w14:paraId="666E5A8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выстрелов за №№ 12, 15 и 17 башня претерпела следующие наиболее существенные поражения:</w:t>
      </w:r>
    </w:p>
    <w:p w14:paraId="3292DD1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выстрела № 12 – с тыльной стороны брони в районе пробоины откол диаметром 80 – 200 мм и глубиной 30 мм, вправо и влево от пробоины с внутренней стороны нарушена сварка на участке 360 мм, ниша башни против пробоины погнута вниз.</w:t>
      </w:r>
    </w:p>
    <w:p w14:paraId="4739314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выстрела № 15 – выбитой пробкой перебита проводка рации, нанесено дополнительное поражение брезентовой сумке для телефона ТСПУ и стеклу правого смотрового прибора.</w:t>
      </w:r>
    </w:p>
    <w:p w14:paraId="7824037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выстрела № 17 – вертикальная трещина верхней части основания правого смотрового прибора распространилась насквозь, в сварке основания смотрового прибора снизу и со стороны хвостовой части образовалась трещина (сварка расслоилась на длине 120 мм).</w:t>
      </w:r>
    </w:p>
    <w:p w14:paraId="18A5356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 выстрела № 11 попал в заднюю обечайку под нишей башни и при этом нарушена сварка на участке 600 мм с образованием трещины шириной 3 – 4 мм. Днище ниши башни погнуто вверх (зазор 6 – 7 мм). Башня танка заклинилась. С внутренней стороны разорвался сварной шов днища ниши на длине около 400 мм. Сорван кронштейн сидения стрелка. Сама броня в месте удара не пробита (вмятина глубиной 6 – 8 мм).</w:t>
      </w:r>
    </w:p>
    <w:p w14:paraId="14FDCBF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выстрелах за №№ 13, 14 и 16 в броне получились вмятины глубиной до 10 мм, а с тыльной стороны незначительные выпучины, причем повреждений внутри башни не было обнаружено.</w:t>
      </w:r>
    </w:p>
    <w:p w14:paraId="6785A02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Снаряды выстрелов 12, 15 и 17 при ударе в броню разбились в осколки, причем часть осколков оказалась в танке, а часть осколков найдено перед танком. Снаряды выстрелов 11, 13, 14 и 16 найти не удалось, т.к. эти снаряды не пробивали броню и отлетали назад и в стороны.</w:t>
      </w:r>
    </w:p>
    <w:p w14:paraId="0C5D326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 1) Броня башни плохо сопротивляется действию 45-мм тупоголовых бронебойных снарядов черт. № 2-03347 с двумя подрезами. С дистанции 160 м при угле встречи 30˚ – 45-мм броня пробивается и при этом внутри танка наносится большое поражение. По скорости предельного пробития 45-мм броня башни танка Т-34 оказалась примерно равноценной 40-мм цементированной броне на верхнем пределе, изготовляемой по ТУ-00537 (Vс = 690 – 730 м/сек, при угле встречи 30˚). На тупоголовом снаряде 45-мм калибра гомогенная броня башни показала коэффициент сопротивляемости К = 2348.</w:t>
      </w:r>
    </w:p>
    <w:p w14:paraId="6E63BBD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Сварные швы плохо сопротивляются действию 45-мм бронебойного снаряда (при ударе снаряда образуются трещины или же расслоение сварки). После выстрела № 11 башня танка заклинилась.</w:t>
      </w:r>
    </w:p>
    <w:p w14:paraId="032ADF5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Опыт показывает, что 45-мм бронебойные снаряды черт. № 2-03347 с двумя подрезами разрушаются в осколки при пробивании 45-мм брони башни танка.</w:t>
      </w:r>
    </w:p>
    <w:p w14:paraId="1EC695D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45-мм бронебойный остроголовый снаряд черт. № 2-01991, весом 1,425 кг, Х стр. = 63 м. Угол встречи в вертикальной плоскости 30˚ и в горизонтальной – 0˚.</w:t>
      </w:r>
    </w:p>
    <w:p w14:paraId="436E803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левой стороне брони башни снарядами черт. № 2-01991 было сделано 5 выстрелов и при этом было получено следующее:</w:t>
      </w:r>
    </w:p>
    <w:p w14:paraId="013AAB0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ПСП ≈ 700 м/сек., что отвечает дальности 300 м при стрельбе полным зарядом;</w:t>
      </w:r>
    </w:p>
    <w:p w14:paraId="42C029F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ПТП = 666,8 м/сек., что отвечает дальности 480 м при стрельбе полным зарядом.</w:t>
      </w:r>
    </w:p>
    <w:p w14:paraId="6116132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Описание результата каждого выстрела приводится в журнале стрельб (см. выстрелы 19, 20, 21, 22 и 23).</w:t>
      </w:r>
    </w:p>
    <w:p w14:paraId="26EA06E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 показывает, что броня башни танка Т-34 еще хуже сопротивляется действию 45-мм остроголовых снарядов черт. № 2-01991. Остроголовые снаряды пробивают 45-мм броню башни с дистанции 300 м. На 45-мм остроголовом снаряде черт. 2-01991 броня башни показала сравнительно низкий коэффициент сопротивляемости (К = 2250).</w:t>
      </w:r>
    </w:p>
    <w:p w14:paraId="7B1895A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45-мм осколочный снаряд черт. № 2-01544 весом 2,150 кг.</w:t>
      </w:r>
    </w:p>
    <w:p w14:paraId="7932F70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Снаряжение – серное. Х стр. = 63 м. Угол встречи в вертикальной плоскости 30˚ и в горизонтальной – 0˚.</w:t>
      </w:r>
    </w:p>
    <w:p w14:paraId="333C621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левую сторону башни был произведен один выстрел на полном заряде снарядом черт. № 2-01544, причем в точке удара получился отпечаток, а снаряд разбился в осколки. Таким образом, снаряды черт. № 2-01544 при стрельбе из 45-мм противотанковой пушки обр. 32 г. совершенно не наносят поражения броне башни танка Т-34. Место удара снаряда показывается на фотоснимке № 38 (см. выстрел № 18).</w:t>
      </w:r>
    </w:p>
    <w:p w14:paraId="2E8C31B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37. Левая сторона башни после испытания 45-мм бронебойными снарядами черт. № 2-03347.</w:t>
      </w:r>
    </w:p>
    <w:p w14:paraId="535C5B7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38. Левый бок башни после испытания 45-мм остроголовыми снарядами черт. № 2-01991 (выстрелы 19, 20, 21, 22, 23).</w:t>
      </w:r>
    </w:p>
    <w:p w14:paraId="192E25E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Передняя часть бронировки противооткатных приспособлений системы.</w:t>
      </w:r>
    </w:p>
    <w:p w14:paraId="1A7196F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Бронировка противооткатных приспособлений испытывалась 45-мм осколочными и бронебойными снарядами с целью определения устойчивости системы.</w:t>
      </w:r>
    </w:p>
    <w:p w14:paraId="12B95F7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Снарядами черт. № 2-01544 по бронировке противооткатных приспособлений в общей сложности было сделано 3 выстрела на полном заряде (Vс = 321,2 – 329,6 м/сек.). Снаряд выстрела № 24 попал в верхнюю часть бронировки и дал рикошет, причем в месте удара получился незначительный отпечаток. Снаряд выстрела № 25 попал в канал ствола орудия и при этом заклинился замок. После удара снаряд выскочил из канала и упал перед танком. Снаряд выстрела № 26 попал в намеченную точку (лобовая часть бронировки противооткатных приспособлений) и при движении сбил хомут кронштейна фары-искателя. Сварка в кронштейнах для крепления системы не нарушена.</w:t>
      </w:r>
    </w:p>
    <w:p w14:paraId="6C903AF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Бронебойный снаряд черт. № 2-03347 попал в переднюю часть бронировки (выстрел № 27) и образовал вмятину глубиной 15 – 25 мм, с наличием сквозной трещины. В броневой защите сорвано 3 планки. Подъемный механизм орудия работает нормально. Сварка кронштейнов не нарушена. Выстрел был произведен при Vс = 778,8 м/сек.</w:t>
      </w:r>
    </w:p>
    <w:p w14:paraId="7433BED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002C601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Осколочные 45-мм снаряды черт. № 2-01544 при стрельбе полным зарядом с дистанции 63 м не в состоянии нанести поражения броневой защите противооткатных приспособлений системы. Броне не пробивается – система устойчива.</w:t>
      </w:r>
    </w:p>
    <w:p w14:paraId="416E6E0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Бронебойные 45-мм снаряды черт. № 2-03347 в указанных выше условиях (Х = 63 м и Vc = 778,8 м/сек.) наносят существенное поражение броневой защите противооткатных приспособлений (вмятина глубиной до 25 мм со сквозной трещиной, срыв 3-х планок и повреждение крепительных болтов). Однако, не происходит нарушения сварки кронштейнов для орудийных цапф и система устойчива. Подъемный механизм системы работает нормально.</w:t>
      </w:r>
    </w:p>
    <w:p w14:paraId="447FD41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Фотоснимки бронезащиты приводятся ниже (см. фото №№ 39 и 40).</w:t>
      </w:r>
    </w:p>
    <w:p w14:paraId="76F76A0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39. Бронезащита противооткатных приспособлений после испытания 45-мм осколочным снарядом.</w:t>
      </w:r>
    </w:p>
    <w:p w14:paraId="0CAAED2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40. Тоже, после испытания 45-мм бронебойным снарядом черт. № 2-03347.</w:t>
      </w:r>
    </w:p>
    <w:p w14:paraId="1457BE2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Передняя часть башни с правой стороны (выстрел против кронштейна для орудийной цапфы).</w:t>
      </w:r>
    </w:p>
    <w:p w14:paraId="05272D6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Бронебойным 45-мм снарядом черт. № 2-03347 в переднюю часть башни был сделан один выстрел (№ 28) с дистанции 63 м на полном заряде (Vс = 779,6 м/сек.) с целью определения прочности сварки и устойчивости системы.</w:t>
      </w:r>
    </w:p>
    <w:p w14:paraId="4B064BB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точке удара образовалась сквозная пробоина, причем в начальный момент снаряд работал на отрыв правого листа башни танка, а затем повернул в сторону орудия. Снаряд прошел вовнутрь и найден между маской и лобовым листом в целом виде. Вверх и вниз от пробоины образовались трещины по сварке на длине 100 – 120 мм. Подъемный механизм системы работает нормально.</w:t>
      </w:r>
    </w:p>
    <w:p w14:paraId="4B94AB1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 показывает, что сварка в лобовой части башни устойчива против действия 45-мм бронебойного снаряда черт. № 2-03347. В кронштейнах для орудийных цапф разрушений не произошло и подъемный механизм системы работает нормально.</w:t>
      </w:r>
    </w:p>
    <w:p w14:paraId="2175516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Передняя часть башни с левой стороны (выстрел против кронштейна для орудийной цапфы).</w:t>
      </w:r>
    </w:p>
    <w:p w14:paraId="2CBFA18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передней части башни против кронштейна для орудийной цапфы было сделано два выстрела осколочно-фугасными 76-мм снарядами черт. № 2-01635, с целью поверки прочности сварного шва и устойчивости системы.</w:t>
      </w:r>
    </w:p>
    <w:p w14:paraId="4EA5514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Выстрелы №№ 29 и 31 были сделаны с дистанции 63 м полным зарядом (Vс = 676 – 670,4 м/сек.), снарядами в серном снаряжении. Снаряд выстрела № 29 попал в нижнюю часть башни под сваркой, причем от удара в броне образовался еле заметный отпечаток, а снаряд разбился в осколки. На сварке против точки удара снаряда образовалась трещина длиной около 160 мм. В сварке левого кронштейна (сверху) для цапфы образовалась трещина на длине около 120 мм. С левой стороны и спереди сорвано 12 крепительных болтов верхнего погона. В нижнем погоне сорвано 8 болтов. Ослаблены все болты крепления захватов, сами захваты не повреждены. Сорван колпак люка вентиляции. Орудие может смещаться в вертикальной плоскости только в ограниченных пределах, т.е. полного угла возвышения и снижения придать нельзя. Учитывая, что снаряд выстрела № 29 попал в наклонную часть брони башни и, следовательно, в известной мере работал на рикошет, было решено повторить выстрел в тех же условиях. Снаряд выстрела № 31 попал в намеченную точку (примерно в середину передней части башни). От удара снаряда в броне образовался отпечаток. В левом кронштейне увеличилась по длине трещина по сварке с 120 до 160 мм. В том же кронштейне образовалась трещина по сварке с другой стороны </w:t>
      </w:r>
      <w:r w:rsidRPr="00A3026E">
        <w:rPr>
          <w:rFonts w:ascii="Times New Roman" w:hAnsi="Times New Roman"/>
          <w:color w:val="000000" w:themeColor="text1"/>
          <w:sz w:val="16"/>
          <w:szCs w:val="16"/>
        </w:rPr>
        <w:lastRenderedPageBreak/>
        <w:t>на длине около 100 мм. Сорван колпак перископа. Орудийный ствол на своих цапфах перемещается в вертикальной плоскости. Снаряд выстрела № 31 разбился в осколки.</w:t>
      </w:r>
    </w:p>
    <w:p w14:paraId="372AD27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00D95E1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76-мм осколочно-фугасный снаряд черт. № 2-01635 при стрельбе полным зарядом с дистанции 63 м совершенно не поражает 45-мм броню башни, причем сам снаряд разрушается в осколки при ударе в броню.</w:t>
      </w:r>
    </w:p>
    <w:p w14:paraId="2DFACAE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Кронштейны, предназначенные для помещения орудийных цапф, оказались устойчивыми, причем после двух 76-мм выстрелов кронштейны остались на своих местах и система вращается на своих цапфах в вертикальной плоскости. Однако, от удара 76-мм снаряда черт. № 2-01635 по сварке левого кронштейна образовались трещины.</w:t>
      </w:r>
    </w:p>
    <w:p w14:paraId="0945FAA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Удары 76-мм осколочно-фугасных снарядов в сильной степени сказываются на живучесть элементов внутреннего оборудования башни танка (после выстрела № 29 было сорвано 12 болтов верхнего погона и 8 болтов нижнего погона). Сварка в нижней части башни (стык с обичайкой) оказалась достаточно устойчивой при попадании 76-мм осколочно-фугасных снарядов в переднюю часть башни.</w:t>
      </w:r>
    </w:p>
    <w:p w14:paraId="5CAC85C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переднюю часть башни с левой стороны было сделано еще 2 выстрела (№№ 64 и 65) 76-мм бронебойными снарядами черт. № 2-03545. Стрельба велась с дистанции 63 м снарядами в серном снаряжении, при скоростях удара 487 м/сек. (ПТП правой стороны башни). В обоих случаях в броне образовалась пробоина меньше калибра. Выстрел № 64 был произведен с работающим мотором. После выстрела № 64 в левом кронштейне несколько увеличилась трещина по сварке. Других повреждений после выстрелов 64 и 65 обнаружено не было. Кронштейны для цапф сохранились на месте, и орудийный ствол вращается на своих цапфах. После выстрела № 64 мотор работал нормально.</w:t>
      </w:r>
    </w:p>
    <w:p w14:paraId="61952DF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после 4-х попаданий 76-мм снарядов и одного попадания 45-мм снаряда (правая сторона), кронштейны удержались на своих местах, а орудийный ствол перемещался на своих цапфах в вертикальной плоскости.</w:t>
      </w:r>
    </w:p>
    <w:p w14:paraId="33108EC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41. Лобовая часть башни после выстрела 45-мм бронебойным снарядом черт. № 2-03347 (выстрел № 28).</w:t>
      </w:r>
    </w:p>
    <w:p w14:paraId="1D43524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42. Передняя часть башни после испытания 45 и 76 мм снарядами (выстрелы №№ 28, 29, 31, 64 и 65).</w:t>
      </w:r>
    </w:p>
    <w:p w14:paraId="3AB80E5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БРОНИРОВКА ПРОТИВООТКАТНЫХ ПРИСПОСОБЛЕНИЙ.</w:t>
      </w:r>
    </w:p>
    <w:p w14:paraId="4209E67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бронировке противооткатных приспособлений было получено одно попадание осколочно-фугасным 76-мм снарядом черт. № 2-01635 с целью определения прочности бронировки и устойчивости системы.</w:t>
      </w:r>
    </w:p>
    <w:p w14:paraId="10DAF6B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Выстрел № 30 произведен с дистанции 63 м на полном заряде при угле встречи 0° в горизонтальной плоскости и около 0° в вертикальной плоскости. Снаряд выстрела № 30 попал в торцовую часть кожуха орудийного ствола и при этом произошел откат ствола на 80 мм. От удара снаряда броневая защита противооткатных приспособлений разрушена. Оставшиеся крепительные болты броневой защиты сорваны. В казенной части орудия образовалась течь жидкости из компрессора. Кронштейны орудийных цапф удержались на своих местах. Орудийный ствол с помощью подъемного механизма перемещается в вертикальной плоскости в незначительных пределах. После выстрела № 30 был запущен мотор для проверки его работы и возможности перемещения танка. Мотор работает нормально – танк двигается (подробное описание поражений см. журнал стрельбы – выстрел № 30).</w:t>
      </w:r>
    </w:p>
    <w:p w14:paraId="3B3786A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5C3562A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Броневая защита противооткатных приспособлений слаба (разрушается при ударе 76-мм осколочно-фугасного снаряда).</w:t>
      </w:r>
    </w:p>
    <w:p w14:paraId="07174E8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Система устойчива (кронштейны орудийных цапф удержались на своих местах).</w:t>
      </w:r>
    </w:p>
    <w:p w14:paraId="242D70E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43. Броневая защита после испытания 76 мм осколочно-фугасным снарядом черт. № 2-01635 (выстрел № 30).</w:t>
      </w:r>
    </w:p>
    <w:p w14:paraId="7E514D8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44. Отколовшаяся часть от бронезащиты.</w:t>
      </w:r>
    </w:p>
    <w:p w14:paraId="1017CDF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ПРАВЫЙ БОРТ БАШНИ ТАНКА, ПРОВЕРКА ПРОЧНОСТИ СВАРНОГО ШВА ПРАВОГО БОКОВОГО ЛИСТА БАШНИ С ЛОБОВЫМ ЛИСТОМ.</w:t>
      </w:r>
    </w:p>
    <w:p w14:paraId="7C45773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37-остроголовый снаряд черт. № 00129 весом 0,660 кг, в серном снаряжении. Дистанция стрельбы 63 м. Угол встречи в вертикальной плоскости 30° и в горизонтальной 0°.</w:t>
      </w:r>
    </w:p>
    <w:p w14:paraId="0FFC385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шву сварки в общей сложности сделано 7 выстрелов, причем один выстрел (№ 32) был сделан на заряде, отвечающем ПТП брони башни с левой стороны, а остальные 6 выстрелов сделаны при скорости непробития брони (Vс = 710 – 712 м/с). Снаряды выстрелов №№ 33 и 35 прошли выше башни и оказались несчетными. Снаряд выстрела № 34 попал в кромку башни выше сварки и поэтому не является полноценным для суждения о прочности сварки. Снаряды выстрелов №№ 36 и 37 попали в бок башни ниже сварки и при этом в броне образовались вмятины глубиной до 11 мм, с тыльной стороны брони никаких повреждений не произошло. Снаряд выстрела № 38 попал в сварку стыка заднего торца лобового листа с боковым листом. В точке удара образовалась вмятина глубиной 11 мм. Сварка нарушена только в месте попадания снаряда. С внутренней стороны против точки удара образовалась мелкая трещина по сварке длиной около 25 – 30 мм.</w:t>
      </w:r>
    </w:p>
    <w:p w14:paraId="5A09A7F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сварного шва в носовой части башни была проверена стрельбой в тех же условиях 45-мм бронебойными снарядами черт. № 2-03347. При скоростях удара 720 – 724 м/с было сделано 8 выстрелов, из числа которых выстрелы за №№ 39, 40 и 41 попали в верхнюю часть башни, выстрелы №№ 42 и 43 в носовую часть башни и выстрелы №№ 44, 45 и 46 – в нижнюю часть башни. От выстрела № 39 получено смежное попадание с выстрелом № 41, а снаряд выстрела № 40 попал в кромку башни и образовал открытую вмятину. Сварной шов от падания 3-х снарядов (выстрелы №№ 39, 40 и 41) не поврежден. В новую часть башни получено 2 попадания в кромку, причем снаряды выстрелов 42 и 43 попали в одно и то же место. Сварка не нарушена (попасть в шов сварки не удалось). В нижней части башни получено 2 попадания в шов сварки, причем снаряд выстрела № 44 попал в верхний край сварного шва, а снаряд выстрела № 45 попал в сварку, частично задев переднюю нижнюю обичайку. От выстрела № 44 в броне образовалась вмятина глубиной 21 мм. С внутренней стороны против вмятины образовалась трещина по сварке на длине 170 мм. Против точки удара отлетел кусок сварки размером 30 на 15 мм. Снаряд выстрела № 45 попал в сварку и сделал сквозную пробоину (место было ослаблено выстрелом № 44). Снизу у пробоины сварка нарушена на длине 220 мм. С внутренней стороны образовался откол брони диаметром 90 на 50 мм, и кроме того по сварке в сторону лобовой части башни образовалась трещина на длине около 170 мм, а в сторону задней части – на длине около 70 мм. Снаряд выстрела № 46 попал в броню башни и сделал сквозную пробоину диаметром 46 – 55 мм. После испытания сварного шва снарядами 45-мм калибра был запущен мотор, причем мотор работает нормально и танк движется на собственном ходу.</w:t>
      </w:r>
    </w:p>
    <w:p w14:paraId="3F7E549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6C805A8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Сварка в передней части башни вполне устойчива против действия 37 мм остроголовых бронебойных снарядов черт. № 00129. Испытание производилось при скоростях удара 710 – 712 м/сек, что отвечает дальности около 250 м при стрельбе полным зарядом.</w:t>
      </w:r>
    </w:p>
    <w:p w14:paraId="131EE5C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Сварка оказалась недостаточно прочной против действия 45-мм бронебойных снарядов черт. № 2-03347. Удар снаряда по сварке или же очень близко к сварке сопровождается образованием трещин по шву сварки с частичным разрушением самой сварки с внутренней стороны против точки удара снаряда. Испытание производилось при скоростях удара 720 – 724 м/с, что отвечает дальности около 200 м при стрельбе полным зарядом.</w:t>
      </w:r>
    </w:p>
    <w:p w14:paraId="23620E9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Сопротивляемость брони с правой стороны башни примерно равноценно сопротивляемости брони с левой стороны башни. Левая сторона башни показала:</w:t>
      </w:r>
    </w:p>
    <w:p w14:paraId="03D65DA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ПСП = 752,8 м/с 37-мм снарядом черт. 00129.</w:t>
      </w:r>
    </w:p>
    <w:p w14:paraId="51D4466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ПСП = 727,6 м/с 45-мм снарядом черт. 2-03347.</w:t>
      </w:r>
    </w:p>
    <w:p w14:paraId="579DE31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Правая сторона башни показала:</w:t>
      </w:r>
    </w:p>
    <w:p w14:paraId="5F1DC4F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ПСП около 748,8 м/с 37-мм снарядом черт. 00129 (пробоина около калибра).</w:t>
      </w:r>
    </w:p>
    <w:p w14:paraId="141B23B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ПСП = 722 м/с 45-мм снарядом черт. 2-03347 (пробоина полная).</w:t>
      </w:r>
    </w:p>
    <w:p w14:paraId="7036A68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Фотоснимки башни танка после испытания сварки снарядами 37 и 45-мм калибра приводятся ниже (см. фото №№ 45 и 46).</w:t>
      </w:r>
    </w:p>
    <w:p w14:paraId="7B9EA07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45. Правая сторона башни после испытания 37-мм бронебойными снарядами черт. № 00129.</w:t>
      </w:r>
    </w:p>
    <w:p w14:paraId="0F7DF96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46. Правая сторона башни после испытания 45-мм бронебойными снарядами черт. № 2-03347.</w:t>
      </w:r>
    </w:p>
    <w:p w14:paraId="6ED4A81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ОСНОВАНИЕ ПРАВОГО СМОТРОВОГО ПРИБОРА. СТЕПЕНЬ НАДЕЖНОСТИ КРЕПЛЕНИЯ СМОТРОВОГО ПРИБОРА И ШВОВ СВАРКИ.</w:t>
      </w:r>
    </w:p>
    <w:p w14:paraId="6F429BB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37-мм бронебойный остроголовый снаряд черт. 00129 весом 0,660 кг. Снаряжение серное. Х стр. = 63 м. Угол встречи в горизонтальной плоскости 0˚.</w:t>
      </w:r>
    </w:p>
    <w:p w14:paraId="695C3EB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основание правого смотрового прибора башни было сделано 3 выстрела (№№ 47, 48 и 49) при скоростях удара 707 – 714 м/с.</w:t>
      </w:r>
    </w:p>
    <w:p w14:paraId="12DE520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 выстрела № 47 попал против бонки под основание смотрового прибора. Бонка крепления защелки сорвана. В броне башни образовалась вмятина глубиной 11 мм и диаметром 50 – 46 мм. Сварка основания смотрового разрушений не имеет.</w:t>
      </w:r>
    </w:p>
    <w:p w14:paraId="75FE0A8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 выстрела № 48 попал в основание смотрового прибора (в наклонную часть с задней стороны) и при этом сделал вмятину глубиной 21 мм. Сварка основания смотрового прибора не нарушена (трещин нет). Снаряд разбился в осколки.</w:t>
      </w:r>
    </w:p>
    <w:p w14:paraId="2DE675B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 выстрела № 49 попал в верхнюю кромку бокового листа башни, причем в броне башни образовалась вмятина глубиной 12 – 15 мм. Сорвана сверху планка, перекрывающая основание смотрового прибора. В сварке в верхней части основания смотрового прибора образовалась трещина на длине около 125 мм. С внутренней стороны по нижней кромке выреза бокового листа образовалась трещина по сварке на длине около 120 мм. Других повреждений не обнаружено.</w:t>
      </w:r>
    </w:p>
    <w:p w14:paraId="7D3DFE5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тех же условиях в основание смотрового прибора было сделано 2 выстрела 45 мм бронебойными снарядами черт. 2-03347 при скоростях удара 716 – 720 м/с (снаряды в серном снаряжении).</w:t>
      </w:r>
    </w:p>
    <w:p w14:paraId="4E54015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 выстрела № 50 попал в кромку выреза основания смотрового прибора и при этом образовал открытую пробоину глубиной 32 мм и диаметром 51 мм с отколом брони с тыльной стороны (глубина откола 15 – 20 мм, диаметр 90 мм). Несколько увеличилась трещина по сварке в верхней части основания смотрового прибора. Кроме того произошел срыв внутренней части основания смотрового прибора.</w:t>
      </w:r>
    </w:p>
    <w:p w14:paraId="07C3378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Снаряд выстрела № 51 попал в нижнюю кромку основания смотрового прибора, и при этом основание смотрового прибора было сорвано по сварке и раскололось пополам. Снаряд разбился в осколки.</w:t>
      </w:r>
    </w:p>
    <w:p w14:paraId="6734F06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74F6B2F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Основание смотрового прибора и сварка устойчивы против попадания 37-мм бронебойных снарядов черт. № 00129. В результате двух попаданий в броню башни сверху и снизу основания смотрового прибора и одного попадания в основание смотрового прибора – сварка претерпела нарушения в виде образования трещин в верхней части и с внутренней стороны, а основание смотрового прибора удержалось на месте. Испытание велось при скоростях удара 707 – 714 м/с, что отвечает дальности около 250 м при стрельбе полным зарядом.</w:t>
      </w:r>
    </w:p>
    <w:p w14:paraId="373DC0D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Основание смотрового прибора не обладает достаточной прочностью против действия 45-мм бронебойного снаряда черт. № 2-03347. Сварка не обеспечивает устойчивость основания смотрового прибора от удара 45-мм бронебойного снаряда. В результате двух попаданий основание смотрового прибора сорвано по сварке, причем от перового попадания произошло разрушение основания смотрового прибора с внутренней стороны, а от второго попадания его срыв по сварке. Испытание велось при скоростях удара 716 – 720 м/с, что отвечает дальности около 200 м при стрельбе полным зарядом.</w:t>
      </w:r>
    </w:p>
    <w:p w14:paraId="571C010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37 и 45-мм бронебойные снаряды черт. №№ 00129 и 2-03347 разрушаются в осколки при ударе в броню (были найдены осколки снарядов выстрела № 47 – 37-мм и выстрела № 51 – 45-мм).</w:t>
      </w:r>
    </w:p>
    <w:p w14:paraId="685F315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Фотоснимки правого смотрового прибора приводятся ниже (см. фото №№ 47, 48 и 49).</w:t>
      </w:r>
    </w:p>
    <w:p w14:paraId="26F5D13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47. Основание смотрового прибора после испытания 37 и 45-мм бронебойными снарядами.</w:t>
      </w:r>
    </w:p>
    <w:p w14:paraId="3F6824A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48. Разрушенная часть основания смотровго прибора с внутренней стороны после выстрела № 50 (45-мм снарядом).</w:t>
      </w:r>
    </w:p>
    <w:p w14:paraId="1953670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49. Срыв по сварке основания сотрового прибора после выстрела № 51 (45-мм снарядом).</w:t>
      </w:r>
    </w:p>
    <w:p w14:paraId="2FA32B4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БАШНЯ ТАНКА (выстрел против щита предохранителя мотора для поворота башни).</w:t>
      </w:r>
    </w:p>
    <w:p w14:paraId="21C089E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76-мм осколочно-фугасный снаряд черт. № 2-01635 весом 6,230 кг. Снаряжение серное. Х стр. = 63 м. Угол встречи в горизонтальной плоскости 0˚и в вертикальной – 30˚. Выстрел произведен при скорости удара 669 м/с с целью определения надежности крепления внутренних агрегатов.</w:t>
      </w:r>
    </w:p>
    <w:p w14:paraId="727647F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 попал против коробки тумблеров, т.е. в намеченную точку. После выстрела № 52 обнаружено следующее:</w:t>
      </w:r>
    </w:p>
    <w:p w14:paraId="3EB3B6A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максимальная стрела прогиба в точке удара 12 мм. В броне от удара получился отпечаток.</w:t>
      </w:r>
    </w:p>
    <w:p w14:paraId="0F73227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сварке крыши башни образовалась трещина, причем эта трещина соединилась с трещиной по сварке, которая образовалась после выстрела № 28. С внутренней стороны образовалась небольшая трещина по сварке крыши и бокового листа.</w:t>
      </w:r>
    </w:p>
    <w:p w14:paraId="4EFE54D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Щиток электрооборудования сорван. Оторван один захват. Срезаны болты верхнего погона (осталось 4 болта). Бонки удержались на месте. От сотрясения в момент удара предохранители вылетают. Подъемный механизм системы работает.</w:t>
      </w:r>
    </w:p>
    <w:p w14:paraId="0E08E67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работает нормально – танк двигается.</w:t>
      </w:r>
    </w:p>
    <w:p w14:paraId="067E257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 выстрела № 52 показывает, что 45-мм броня башни не пробивается осколочно-фугасным снарядом чертежа № 2-01635 при стрельбе полным зарядом с дистанции около 100 м. Однако, от удара снаряда наносятся серьезные повреждения и разрушения деталей внутреннего оборудования и это обстоятельство в сильной степени может затруднить действие танка, или же полностью вывести из строя.</w:t>
      </w:r>
    </w:p>
    <w:p w14:paraId="307035F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КРЫШКА ЛЮКА БАШНИ ДЛЯ ПРОТАЛКИВАНИЯ ОРУДИЯ.</w:t>
      </w:r>
    </w:p>
    <w:p w14:paraId="5BD27E7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Крышка люка башни для проталкивания орудия испытывалась 45-мм бронебойным снарядом и 76-мм осколочно-фугасным снарядом с целью определения надежности крепления.</w:t>
      </w:r>
    </w:p>
    <w:p w14:paraId="3549CD1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45-мм бронебойный снаряд весом 1,435 кг черт. № 2-03347. Снаряжение серное. Х стр. = 63 м. Угол встречи в горизонтальной плоскости 0˚и в вертикальной – 30˚. Ударная скорость 714 м/с, что отвечает дальности около 230 м при стрельбе полным зарядом.</w:t>
      </w:r>
    </w:p>
    <w:p w14:paraId="6B4D672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 выстрела № 53 попал в крышку люка выше груши, и при этом в месте удара образовалась пробоина около калибра. Защелка груши оказалась погнутой, а сама груша выброшена наружу. На защелке оторвалась рукоятка зажима. Сорваны два нижних болта крышки люка. В нижней части крышка люка отошла назад на 5 мм. Мотор после выстрела № 53 работал нормально.</w:t>
      </w:r>
    </w:p>
    <w:p w14:paraId="137B632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тех же условиях по крышке люка был произведен выстрел 76-мм осколочно-фугасным снарядом черт. № 2-01635 весом 6,23 кг. Снаряжение серное. Ударная скорость 672 м/с (полный заряд).</w:t>
      </w:r>
    </w:p>
    <w:p w14:paraId="7F972E6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 выстрела № 54 попал в грушу крышки люка. При ударе снаряд разбился в осколки. Крышка люка раскололась на две части в вертикальной плоскости, причем правая половина крышки осталась на совеем месте, а левая повернулась вовнутрь, примерно под углом 45˚. С внутренней стороны крепительные планки крышки люка слегка погнуты вовнутрь.</w:t>
      </w:r>
    </w:p>
    <w:p w14:paraId="65DCD6F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 Крепление крышки люка для проталкивания орудия ненадежно. От удара 45-мм снаряда нижние болты были сорваны, а от удара 76-мм осколочно-фугасного снаряда произошло полное разрушение люка. Крепление крышки люка, а также защелки груши необходимо усилить.</w:t>
      </w:r>
    </w:p>
    <w:p w14:paraId="6430047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50. Правая сторона башни после выстрела № 52 (76-мм осколочно-фугасный снаряд).</w:t>
      </w:r>
    </w:p>
    <w:p w14:paraId="21284CA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51. Крышка люка после испытания 45 и 76-мм снарядами.</w:t>
      </w:r>
    </w:p>
    <w:p w14:paraId="2211937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52. Груша дверцы люка.</w:t>
      </w:r>
    </w:p>
    <w:p w14:paraId="1751F15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БОК БАШНИ ТАНКА (выстрел против кронштейна поворотного механизма).</w:t>
      </w:r>
    </w:p>
    <w:p w14:paraId="3DA3DB7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45-мм бронебойный снаряд черт. № 2-03347, весом 1,435 кг. Снаряжение серное. Х стр. = 63 м. Угол встречи по вертикали 30˚и по горизонтали – 0˚. Ударная скорость 714 – 715,6 м/с, что отвечает дальности около 230 м при стрельбе полным зарядом.</w:t>
      </w:r>
    </w:p>
    <w:p w14:paraId="5228182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 выстрела № 55 попал в сварку в нижней части башни. Образовалась вмятина глубиной 22 мм. С наружной и внутренней стороны образовались трещины по сварке на длине 130 и 300 мм. Обнаружена трещина по сварке в верхней части основания мотора на длине около 130 мм. Основание мотора стоит на месте. По сварке сорван кронштейн сидения стрелка. Снаряд разбился в осколки.</w:t>
      </w:r>
    </w:p>
    <w:p w14:paraId="6734B1B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 выстрела № 56 попал против кронштейна поворотного механизма, т.е. в намеченную точку. В броне образовалась сквозная пробоина, причем выбитой пробкой сорван картер поворотного механизма. Снаряд разбился в осколки.</w:t>
      </w:r>
    </w:p>
    <w:p w14:paraId="6B93AAB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Выстрел № 57 был произведен в тех же условиях, что и выстрел № 56, только 45-мм бронебойным снарядом эт. 00130, с целью проверки бронепробивных качеств эт. 00130. Броня башни оказалась пробитой.</w:t>
      </w:r>
    </w:p>
    <w:p w14:paraId="1B09803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5688349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Как уже указывалось выше, сварка недостаточно прочна против действия 45-мм бронебойных снарядов.</w:t>
      </w:r>
    </w:p>
    <w:p w14:paraId="4257503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При сквозном пробитии 45-мм бронебойный снаряд выводит из строя поворотный механизм башни.</w:t>
      </w:r>
    </w:p>
    <w:p w14:paraId="2AAC238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53. Сварка в нижней части башни после попадания 45-мм снаряда черт. № 2-03347.</w:t>
      </w:r>
    </w:p>
    <w:p w14:paraId="28DB763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54. Левая сторона башни после выстрелов 45-мм снарядами 2-03347 (выстрел № 56) и эт. 00130 (выстрел № 57).</w:t>
      </w:r>
    </w:p>
    <w:p w14:paraId="0653E29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ВЫСТРЕЛ 76-мм осколочно-фугасным снарядом черт. № 2-01635 под юбку башни.</w:t>
      </w:r>
    </w:p>
    <w:p w14:paraId="5B28B24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Выстрел под юбку башни был назначен с целью определения надежности сварки и возможности проникновения снаряда через днище хвоста башни.</w:t>
      </w:r>
    </w:p>
    <w:p w14:paraId="434CAF4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 выстрела № 58 попал в нижний край ниши башни, правее пробоины выстрела № 12. В месте удара образовался пролом диаметром 100 – 140 мм с разворотом днища. В днище ниши против пробоины оторван кусок металла размером 200 – 40 × 50 – 150 мм. Край днища против пробоины погнут вниз на 80 – 90 мм и кроме того, в днище образовалась сквозная трещина длиною 410 мм. В задней части днище ниши сорвано по сварке (зазор до 5 мм). В передней части днища сварка нарушена на участке около 500 мм. Отколовшиеся половинки крышки заднего люка выброшены наружу. От удара снаряда башня танка повернулась на 30 – 35˚ и несколько подвинулась вперед. Башня наклонена в сторону передней части танка, причем в задней части образовался зазор между крышей корпуса и нижним срезом башни в 30 мм, а в передней части нижний срез башни упирается на крышу корпуса. Снаряд разбился в осколки, причем во внутрь башни проникли осколки брони и снаряда.</w:t>
      </w:r>
    </w:p>
    <w:p w14:paraId="6FEC197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работает нормально.</w:t>
      </w:r>
    </w:p>
    <w:p w14:paraId="4F98F32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Выстрел № 58 был сделан на полном заряде при скорости удара 670 м/с, с дистанции 63 м (снаряд в серном снаряжении).</w:t>
      </w:r>
    </w:p>
    <w:p w14:paraId="39B5A0D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 Пробитие брони башни 76-мм осколочно-фугасным снарядом черт. № 2-01635 произошло в силу того, что снаряд попал в край пробоины выстрела № 12 (45-мм бронебойного снаряда) и близко к нижнему срезу башни. Однако, в действительных условиях снаряд может попасть в любое места танка. Днище ниши башни претерпело большие разрушения (срыв металла днища, образование трещин, срыв днища по сварке). Днище ниши башни и его сварка требуют усиления. Явление поворота баши, смещение и наклон вперед не являются показательным, т.к. от предшествующих выстрелов внутреннее оборудование башни претерпело серьезные повреждения и разрушения (срыв болтов верхнего и нижнего погонов, разрушение захватов).</w:t>
      </w:r>
    </w:p>
    <w:p w14:paraId="07E871B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55. Ниша башни после выстрела 76-мм осколочно-фугасным снарядом черт. 2-01635.</w:t>
      </w:r>
    </w:p>
    <w:p w14:paraId="7B5F148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56. Осколки днища ниши после выстрела № 58 (76-мм осколочно-фугасный снаряд).</w:t>
      </w:r>
    </w:p>
    <w:p w14:paraId="09A36ED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ПРАВАЯ СТОРОНА БАШНИ ТАНКА. Определение ПТП и ПСП.</w:t>
      </w:r>
    </w:p>
    <w:p w14:paraId="5DDFE1E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76-мм бронебойный снаряд черт. № 2-03545 весом 6,300 кг, снаряжение серное. Х стр. = 63 м. Угол встречи по вертикали 30˚и по горизонтали – 0˚.</w:t>
      </w:r>
    </w:p>
    <w:p w14:paraId="70E9624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ПТП и ПСП было сделано 5 выстрелов, причем выстрелы за №№ 59, 60, 61 и 62 сделаны в правый борт башни, а выстрел № 63 сделан в левый борт башни. В результате испытания получено следующее:</w:t>
      </w:r>
    </w:p>
    <w:p w14:paraId="446C536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ПТП = 487,2 м/с, что отвечает дальности около 1900 м при стрельбе полным зарядом из 76-мм дивизионной пушки обр. 02/30 г. в 40 клб.</w:t>
      </w:r>
    </w:p>
    <w:p w14:paraId="0AC94C6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б) ПСП = 534 м/с, что отвечает дальности около 1250 м при стрельбе полным зарядом из той же 76-мм дивизионной пушки.</w:t>
      </w:r>
    </w:p>
    <w:p w14:paraId="6784A9B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указать, что предел сквозного пробития (ПСП) определить точно не удалось, т.к. при ударе снаряда башня перемещалась в направлении выстрела на 100 и 300 мм (см. выстрелы № 62 и 63). При скорости удара в 534 м/с в башне была получена пробоина около калибра (см. выстрел № 62), а при скорости около 545 м/с в броне башни получилась вмятина (выстрел № 63), причем после выстрела № 63 башня оказалась смещенной на 300 мм в направлении выстрела. Дальнейшие выстрелы для уточнения ПСП были бы бесцельны, а поэтому испытание было прекращено. Нанесенные поражения при определении ПТП и ПСП приводятся в журнале стрельбы в приложении к отчету.</w:t>
      </w:r>
    </w:p>
    <w:p w14:paraId="676EAD7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57. Правая сторона башни после испытания 76-мм бронебойными снарядами черт. № 2-03545 (выстрелы №№ 59, 60, 61 и 62).</w:t>
      </w:r>
    </w:p>
    <w:p w14:paraId="1C01709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58. Левая сторона башни после выстрела № 63 снарядом черт. № 2-03545.</w:t>
      </w:r>
    </w:p>
    <w:p w14:paraId="7E4A34B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59. Сварной шов после выстрела № 68 45-мм снарядом черт. № 2-03347.</w:t>
      </w:r>
    </w:p>
    <w:p w14:paraId="7FD4353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СВАРКА В БАШНЕ ПОД ОРУДИЙНЫМ СТВОЛОМ.</w:t>
      </w:r>
    </w:p>
    <w:p w14:paraId="0B0AE47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Сварной шов под орудийным стволом испытывался 45-мм бронебойными снарядами черт. № 2-03347 с целью определения прочности сварного шва и возможности проникновения снаряда внутрь танка.</w:t>
      </w:r>
    </w:p>
    <w:p w14:paraId="3BEC50F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сварке всего было сделано 3 выстрела, причем выстрелы №№ 66 и 67 были произведены с дистанции 63 м, а выстрел № 68 – с дистанции 23 м. Снаряды отстреливались в серном снаряжении. Угол встречи по горизонтали 0˚и по вертикали около 0˚. Скорость удара 723 м/с.</w:t>
      </w:r>
    </w:p>
    <w:p w14:paraId="73EB37D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Снаряды выстрелов 66 и 67 попали в кромку основания смотрового прибора водителя (правый смотровой прибор) и поэтому являются непоказательными. Снаряд выстрела № 68 попал в середину сварного шва в передней части башни. Сварка разрушена полностью на длине около 500 мм. Передняя правая часть обичайки опустилась вниз на 20 мм. С внутренней стороны произошел откол нижнего края маски на длине 110 мм и на глубину 40 мм. Орудийный ствол вращался на своих цапфах. Снаряд отскочил и найден в 25 м перед танком в целом виде.</w:t>
      </w:r>
    </w:p>
    <w:p w14:paraId="21C96B8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 Сварной шов непрочен и вследствие этого полностью разрушается 45 мм бронебойным снарядом черт. № 2-03347. Испытание велось при скорости удара 723 м/с, что отвечает дальности около 200 м при стрельбе полным зарядом из 45-мм противотанковой пушки обр. 32 г.</w:t>
      </w:r>
    </w:p>
    <w:p w14:paraId="472FC83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фотоснимках №№ 60, 61, 62 и 63 – приводятся общие виды танка Т-34 после испытания.</w:t>
      </w:r>
    </w:p>
    <w:p w14:paraId="0F21484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60. Вид спереди. Фото № 61. Вид сзади. Фото № 62. Вид с правой стороны. Фото № 63. Вид с левой стороны.</w:t>
      </w:r>
    </w:p>
    <w:p w14:paraId="0ADE217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VI. ОБЩИЕ ВЫВОДЫ.</w:t>
      </w:r>
    </w:p>
    <w:p w14:paraId="06B66DA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ПУЛЕВОЙ ОБСТРЕЛ БАШНИ ТАНКА Т-34.</w:t>
      </w:r>
    </w:p>
    <w:p w14:paraId="1F998BF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Смотровой прибор с боку башни танка.</w:t>
      </w:r>
    </w:p>
    <w:p w14:paraId="609A621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Поражение смотрового прибора и прочность сварки основания смотрового прибора.</w:t>
      </w:r>
    </w:p>
    <w:p w14:paraId="1DB1AF0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Смотровой прибор выводится из строя при одном попадании 3-х линейной обыкновенной пулей в стекло прибора.</w:t>
      </w:r>
    </w:p>
    <w:p w14:paraId="44953D0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Восстановить работу смотрового прибора можно путем замены поврежденной рамки запасной рамкой с зеркалами.</w:t>
      </w:r>
    </w:p>
    <w:p w14:paraId="2C52C49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 попадании 3-х линейных обыкновенных пуль в стекло смотрового прибора пулевые осколки не проникают во внутрь башни (число счетных наблюдений – 4).</w:t>
      </w:r>
    </w:p>
    <w:p w14:paraId="7E4D355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Сварка основания смотрового прибора устойчива против действия 3-х линейных обыкновенных и бронебойных пуль (число счетных наблюдений – 8, из них 5 пуль бронебойных и три пули обыкновенных).</w:t>
      </w:r>
    </w:p>
    <w:p w14:paraId="73042BE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ГРУША ПОД СМОТРОВЫМ ПРИБОРОМ В БАШНЕ ТАНКА.</w:t>
      </w:r>
    </w:p>
    <w:p w14:paraId="02166E3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возможность заклинивания груши и проникновение осколков во внутрь башни.</w:t>
      </w:r>
    </w:p>
    <w:p w14:paraId="318F916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Груша вполне устойчива против попадания 3-х линейных бронебойных пуль. При попадании пуль груша уплотняется в своем гнезде, но от толчков рукой с внутренней стороны выталкивается наружу (число счетных попаданий – 3).</w:t>
      </w:r>
    </w:p>
    <w:p w14:paraId="6BC99FD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Груша не устойчива против действия 12,7 мм бронебойных пуль "ДК", запорная планка груши изгибается, а сама груша выбрасывается наружу. ЗАПОРНАЯ ПЛАНКА ТРЕБУЕТ УСИЛЕНИЯ (получено одно попадание под грушу).</w:t>
      </w:r>
    </w:p>
    <w:p w14:paraId="3106DFC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Сварка основания смотрового прибора устойчива против действия пуль "ДК" (два попадания в сварку).</w:t>
      </w:r>
    </w:p>
    <w:p w14:paraId="6FC32D0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Если от удара пули груша выбрасывается наружу, то в отверстие груши проникают осколки во внутрь башни.</w:t>
      </w:r>
    </w:p>
    <w:p w14:paraId="2DA45D8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ПОГОН БАШНИ ТАНКА.</w:t>
      </w:r>
    </w:p>
    <w:p w14:paraId="15A5168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возможность заклинивания башни танка при попадании пуль в погон (через щель).</w:t>
      </w:r>
    </w:p>
    <w:p w14:paraId="795E170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 попадании в погон 3-х линейных бронебойных пуль башня танка не заклинивается и работает нормально (получено два попадания в погон).</w:t>
      </w:r>
    </w:p>
    <w:p w14:paraId="29A552A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попадании в погон 12,7 мм бронебойных пуль "ДК" башня танка не заклинивается и работает нормально (получено два попадания в погон).</w:t>
      </w:r>
    </w:p>
    <w:p w14:paraId="4660FA6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ВЕРХНИЙ СМОТРОВОЙ ПРИБОР ЛЮКА.</w:t>
      </w:r>
    </w:p>
    <w:p w14:paraId="1172450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бронестойкость прибора и возможность проникновения осколков во внутрь башни.</w:t>
      </w:r>
    </w:p>
    <w:p w14:paraId="67CF566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Корпус смотрового прибора люка не пробивается 3-х линейными обыкновенными пулями, но однако, эти пули в состоянии нанести частичное разрушение корпуса прибора в виде отколов (число попаданий – 4).</w:t>
      </w:r>
    </w:p>
    <w:p w14:paraId="1832184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Корпус смотрового прибора люка пробивается 3-х линейной бронебойной пулей (число попаданий 3, из них одна сквозная пробоина). ТРЕБУЕТСЯ УТОЛЩЕНИЕ ПЛАСТИНОК КОРПУСА СМОТРОВОГО ПРИБОРА И ПОВЫШЕНИЯ ПУЛЕСТОЙКОСТИ САМОЙ БРОНИ.</w:t>
      </w:r>
    </w:p>
    <w:p w14:paraId="54DAA02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Восстановить работу смотрового прибора можно путем замены поврежденного корпуса новым.</w:t>
      </w:r>
    </w:p>
    <w:p w14:paraId="623FE19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Вовнутрь башни проникают мелкие осколки и могут нанести легкие ранения обслуживающего персонала.</w:t>
      </w:r>
    </w:p>
    <w:p w14:paraId="47BF739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ПЕТЛИ КРЫШКИ ЛЮКА БАШНИ ТАНКА.</w:t>
      </w:r>
    </w:p>
    <w:p w14:paraId="16C2581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Стойкость петель и возможность заклинивания крышки люка.</w:t>
      </w:r>
    </w:p>
    <w:p w14:paraId="38BA94A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Петли крышки люка башни устойчивы против действия 3-х линейных обыкновенных и бронебойных пуль, а также против пуль "ДК". После испытания крышка люка башни открывается и закрывается нормально (число попаданий по 6 шт. 3-х линейных обыкновенных и бронебойных и 3 шт. пуль "ДК").</w:t>
      </w:r>
    </w:p>
    <w:p w14:paraId="68E638F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попадании в петлю 3-х линейных бронебойных пуль и 12,7 мм пуль "ДК" во внутрь башни проникают мелкие осколки, причем поражающая способность этих осколков невелика.</w:t>
      </w:r>
    </w:p>
    <w:p w14:paraId="632340B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ЛЮК ВЕНТИЛЯЦИИ НА КРЫШЕ БАШНИ.</w:t>
      </w:r>
    </w:p>
    <w:p w14:paraId="5A761A5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Возможность проникновения осколков во внутрь башни.</w:t>
      </w:r>
    </w:p>
    <w:p w14:paraId="7FDDA3D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Колпачок люка вентиляции вполне устойчив против действия 3-х линейных обыкновенных пуль (попаданий 8). ПЕТЛИ КОЛПАЧКА ВЕНТИЛЯЦИИ ТРЕБУЮТ УСИЛЕНИЯ.</w:t>
      </w:r>
    </w:p>
    <w:p w14:paraId="74E280C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Вовнутрь башни проникают мелкие осколки и свинцовая пыль при попадании 3-х линейных обыкновенных пуль под колпачок люка вентиляции (попаданий под колпачок 8). От действия этих осколков можно ожидать легкое ранение лица, рук.</w:t>
      </w:r>
    </w:p>
    <w:p w14:paraId="3074770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ЯБЛОКО ПУЛЕМЕТА РАДИСТА.</w:t>
      </w:r>
    </w:p>
    <w:p w14:paraId="7F06AAF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Заклинение яблока и возможность проникновения пуль во внутрь танка.</w:t>
      </w:r>
    </w:p>
    <w:p w14:paraId="3DDACA9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 попадании 3-х линейных обыкновенных пуль в щель между яблоком и его гнездом заклинения яблока (шара) не происходит. Затрудняется работа шаровой установки вследствие проникновения мелких осколков и свинцовой пыли в щель (получено два попадания в щель).</w:t>
      </w:r>
    </w:p>
    <w:p w14:paraId="0D9B91B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попадании в щель 3-х линейных бронебойных пуль шаровая установка заклинивается наглухо, и пулемет выводится из строя (получено два попадания в щель).</w:t>
      </w:r>
    </w:p>
    <w:p w14:paraId="243231E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3-х линейные обыкновенные и бронебойные пули не проникают во внутрь танка при попадании в шаровую установку пулемета радиста.</w:t>
      </w:r>
    </w:p>
    <w:p w14:paraId="34B0967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СМОТРОВОЕ ОТВЕРСТИЕ ДЛЯ "ТОДа"</w:t>
      </w:r>
    </w:p>
    <w:p w14:paraId="758984F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Пулестойкость защиты и возможность проникновения осколков во внутрь танка.</w:t>
      </w:r>
    </w:p>
    <w:p w14:paraId="37BEA58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результате двух попаданий 3-х линейных бронебойных пуль смотровой прибор вышел из строя. Заслонка смотрового отверстия не пробивается, но ее крепление ненадежное. Необходимо усилить крепление заслонки.</w:t>
      </w:r>
    </w:p>
    <w:p w14:paraId="27E06BD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Установить возможность проникновения осколков во внутрь башни не удалось, т.к. нельзя было поставить фанерный лист под смотровое отверстие с внутренней стороны башни (не позволяет внутреннее оборудование).</w:t>
      </w:r>
    </w:p>
    <w:p w14:paraId="67958AA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СМОТРОВЫЕ ПРИБОРЫ ВОДИТЕЛЯ И ПЕТЛИ КРЫШКИ ЛЮКА.</w:t>
      </w:r>
    </w:p>
    <w:p w14:paraId="6EF5961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Степень поражения смотровых приборов и петлей крышки люка водителя.</w:t>
      </w:r>
    </w:p>
    <w:p w14:paraId="5E8CC82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Смотровой прибор на крышке люка водителя был в неисправном состоянии до испытания (отсутствовали броневая заслонка и защитное стекло), а поэтому судить о степени поражения этого прибора невозможно.</w:t>
      </w:r>
    </w:p>
    <w:p w14:paraId="59E65B8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Боковой смотровой прибор водителя выводится из строя при попадании в стекло прибора одной 3-х линейной обыкновенной пули. Восстановить работу смотрового прибора можно заменой зеркал, или же полной заменой рамки с зеркалами.</w:t>
      </w:r>
    </w:p>
    <w:p w14:paraId="7553079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Петли крышки люка водителя вполне устойчивы против действия 3-х линейных бронебойных пуль и 12,7 мм бронебойных пуль "ДК". Устойчивость создается тем обстоятельством, что нижняя кромка выреза основания смотрового прибора почти полностью перекрывает петли. При наклоне танка на 25 – 30° в сторону лобовой части не удалось попасть в петли при стрельбе с дистанции 15 м. Нанесенные поражения не повлияли на нормальную работу крышки люка водителя (крышка люка открывается и закрывается нормально).</w:t>
      </w:r>
    </w:p>
    <w:p w14:paraId="0D56FDC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г) При попадании 3-х линейных бронебойных пуль в смотровое отверстие прибора на крышке люка водителя во внутрь танка проникают мелкие осколки, причем поражающая способность этих осколков невелика (число попаданий в смотровое отверстие – 14).</w:t>
      </w:r>
    </w:p>
    <w:p w14:paraId="5D519D1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ПРЕДОХРАНИТЕЛЬНЫЙ БРОНЕВОЙ ЩИТ ВПЕРЕДИ БАШНИ ТАНКА.</w:t>
      </w:r>
    </w:p>
    <w:p w14:paraId="1F05771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возможность заклинения системы и проникновения осколков во внутрь танка.</w:t>
      </w:r>
    </w:p>
    <w:p w14:paraId="2FB69C7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 попадании 3-х линейных обыкновенных и бронебойных пуль в маску под орудие заклинения системы не происходит. Пули во внутрь танка не проникают(число попаданий 10 шт. обыкновенных и 10 шт. бронебойных пуль).</w:t>
      </w:r>
    </w:p>
    <w:p w14:paraId="0B9DB61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Броневая защита впереди башни танка пробивается 12,7 мм бронебойными пулями "ДК" при стрельбе с дистанции 15 м (получено 6 пробитий). После 3-х пробитий было затруднено движение орудийного ствола в вертикальной плоскости, а после 5-ти пробитий орудие заклинилось, и система вышла их строя.</w:t>
      </w:r>
    </w:p>
    <w:p w14:paraId="3C60161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 попадании 3-х линейных пуль в маску под орудие во внутрь танка проникают осколки, от действия этих осколков можно ожидать легкие ранения обслуживающего персонала танка, в случаи их попадания в открытые места (лицо, руки и другие части тела, покрытые легкой тканью).</w:t>
      </w:r>
    </w:p>
    <w:p w14:paraId="4D3BE92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БРОНЕВАЯ ЗАЩИТА ВПЕРЕДИ ТАНКА ТРЕБУЕТ ЗНАЧИТЕЛЬНОГО УСИЛЕНИЯ. Кроме того должно быть усилено и само крепление броневой защиты.</w:t>
      </w:r>
    </w:p>
    <w:p w14:paraId="0E6CB95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ЖАЛЮЗИ ВСАСЫВАЮЩЕГО ВОЗДУХА.</w:t>
      </w:r>
    </w:p>
    <w:p w14:paraId="7C0E0FB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проникновение осколков и поражение ими водяных радиаторов.</w:t>
      </w:r>
    </w:p>
    <w:p w14:paraId="427E07F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испытанием баки и радиаторы были перекрыты 3 мм фанерным листом. Испытание производилось при открытой крышке жалюзи.</w:t>
      </w:r>
    </w:p>
    <w:p w14:paraId="780588B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дистанции 15 м было получено 18 попаданий во внутрь. На высоте тяги к задним жалюзям в верхней части фанеры образовалось многочисленное количество мелких пробоин и свинцовое опыление. После испытания жалюзи 3-х линейными обыкновенными пулями мотор был запущен, и танк на собственном ходу прибыл на полигон (расстояние 8,5 клм). Эти испытания были произведены в конце опыта.</w:t>
      </w:r>
    </w:p>
    <w:p w14:paraId="075BC95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СНАРЯДНЫЙ ОБСТРЕЛ БАШНИ ТАНКА Т-34.</w:t>
      </w:r>
    </w:p>
    <w:p w14:paraId="674748F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Левый боковой лист башни танка.</w:t>
      </w:r>
    </w:p>
    <w:p w14:paraId="34C8424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определение П.Т.П. и П.С.П.</w:t>
      </w:r>
    </w:p>
    <w:p w14:paraId="01A4010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w:t>
      </w:r>
    </w:p>
    <w:p w14:paraId="0BC9265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37 и 45 мм осколочные снаряды черт. 154 и 2-01544 совершенно не поражают 45 мм броню башни танка. Сами снаряды при ударе в броню разрушаются.</w:t>
      </w:r>
    </w:p>
    <w:p w14:paraId="3ED0B08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Броня башни плохо сопротивляется действию 37 и 45 мм бронебойных снарядов. 37 мм остроголовые бронебойные снаряды пробивают броню башни с дистанции 160 м, 45 мм тупые снаряды – с дистанции 160 м и 45 мм остроголовые снаряды с дистанции 300 м. Броня башни дает низкий коэффициент сопротивляемости. На 37 мм снаряде черт. № 00129 – К=1953. На 45 мм снаряде черт. № 2-03347 К=2348. На 45 мм снаряде черт. № 2-01991 К=2250.</w:t>
      </w:r>
    </w:p>
    <w:p w14:paraId="6711C12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45 мм снаряде черт. № 2-03347 броня башни толщиной 45 мм, оказалась примерно равноценной 40 мм цементированной броне, изготовляемой по ТУ-00537, применительно к верхнему пределу (ТУ-00537 – V0 = 690 – 720 м/с, при Х=30°).</w:t>
      </w:r>
    </w:p>
    <w:p w14:paraId="2F2B4EC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распоряжении АНИОПа не имеется механических характеристик брони башни, но результаты испытаний указывают на недостаточную твердость брони. ТАКИМ ОБРАЗОМ, БРОНЯ БАШНИ ТАНКА Т-34 НЕ СНИМАЕТ БРОНЕБОЙНЫЕ СНАРЯДЫ 37 и 45 мм КАЛИБРОВ (необходимо повысить бронестойкость).</w:t>
      </w:r>
    </w:p>
    <w:p w14:paraId="2B7B0EA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 сквозном пробитии брони башни 37 и 45 мм бронебойные снаряды наносят большое поражение внутри танка (см. V раздел отчета и журнал стрельбы в приложении к отчету). НЕОБХОДИМО УСИЛИТЬ ПЕТЛИ КРЫШКИ ЛЮКА БАШНИ (после выстрела № 9 – 37 мм снарядом 00129 произошел срыв левой петли).</w:t>
      </w:r>
    </w:p>
    <w:p w14:paraId="2AEED48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37 мм бронебойные снаряды черт. № 00129 разрушаются при ударе в броню башни. 45 мм бронебойные снаряды черт. № 2-03347 с 2-мя подрезами, в большинстве случаев также разрушаются при ударе в броню башни.</w:t>
      </w:r>
    </w:p>
    <w:p w14:paraId="275BCBB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Передняя часть бронировки противооткатных приспособлений системы.</w:t>
      </w:r>
    </w:p>
    <w:p w14:paraId="07A2ACF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определение устойчивости системы против действия 45 мм снарядов.</w:t>
      </w:r>
    </w:p>
    <w:p w14:paraId="06D2E4F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45 мм осколочные снаряды черт. № 2-01544 не наносят поражения бронезащите противооткатных приспособлений и система устойчива.</w:t>
      </w:r>
    </w:p>
    <w:p w14:paraId="63A5972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45 мм бронебойные снаряды черт. № 2-03347 наносят существенное поражение бронезащите противооткатных приспособлений и его креплению. Сама же систем устойчива против действия 45 мм бронебойных снарядов.</w:t>
      </w:r>
    </w:p>
    <w:p w14:paraId="62A5072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ТРЕБУЕТСЯ ЗНАЧИТЕЛЬНОЕ УСИЛЕНИЕ БРОНЕЗАЩИТЫ ПРОТИВООТКАТНЫХ ПРИСПОСОБЛЕНИЙ, а также ЭЛЕМЕНТОВ ЕГО КРЕПЛЕНИЯ.</w:t>
      </w:r>
    </w:p>
    <w:p w14:paraId="700FC49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ПЕРЕДНЯ ЧАСТЬ БАШНИ (выстрелы против кронштейнов орудийных цапф).</w:t>
      </w:r>
    </w:p>
    <w:p w14:paraId="27F5F73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устойчивость системы и прочность сварного шва кронштейна.</w:t>
      </w:r>
    </w:p>
    <w:p w14:paraId="221A373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Броня в передней части башни оказалась пробитой 45 мм снарядом черт. № 2-03347. Сварка в лобовой части башни устойчива против действия 45 мм бронебойного снаряда. Система устойчива.</w:t>
      </w:r>
    </w:p>
    <w:p w14:paraId="62C566A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переднюю часть башни с левой стороны было сделано 4 выстрела снарядами 76 мм калибра. Осколочно-фугасные снаряды черт. № 2-01635 не наносят поражения броне башни. Бронебойные снаряды черт. № 2-03545 пробивают броню башни при скорости удара 487 м/с, т.е. с дистанции около 1900 м при стрельбе полным зарядом.</w:t>
      </w:r>
    </w:p>
    <w:p w14:paraId="4A00633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левом кронштейне образовались трещины по сварке, но кронштейны орудийных цапф удержались на месте, и система оказалась устойчивой.</w:t>
      </w:r>
    </w:p>
    <w:p w14:paraId="0BEC396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После выстрела № 29 (76 мм осколочно-фугасным снарядом черт. № 2-01635) было сорвано 12 болтов верхнего погона и 8 болтов нижнего погона. ТРЕБУЕТСЯ УСИЛЕНИЕ БОЛТОВ, КРЕПЯЩИХ НИЖНИЙ И ВЕРХНИЙ ПОГОНЫ.</w:t>
      </w:r>
    </w:p>
    <w:p w14:paraId="00633C9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Бронировка противооткатных приспособлений.</w:t>
      </w:r>
    </w:p>
    <w:p w14:paraId="7A18900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прочность бронировки и устойчивость системы против действия 76 мм осколочно-фугасного снаряда черт. 2-01635.</w:t>
      </w:r>
    </w:p>
    <w:p w14:paraId="1B5B0DB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Броневая защита противооткатных приспособлений слаба. От удара 76 мм снаряда черт. № 2-01635 произошло полное разрушение броневой защиты противооткатных приспособлений.</w:t>
      </w:r>
    </w:p>
    <w:p w14:paraId="0F2A7A0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Как уже было указано выше, ТРЕБУЕТСЯ ЗНАЧИТЕЛЬНОЕ УСИЛЕНИЕ БРОНЕЗАЩИТЫ ПРОТИВООТКАТНЫХ ПРИСПОСОБЛЕНИЙ И ЭЛЕМЕНТОВ ЕГО КРЕПЛЕНИЯ.</w:t>
      </w:r>
    </w:p>
    <w:p w14:paraId="6B992A9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ПРАВЫЙ БОРТ БАШНИ ТАНКА.</w:t>
      </w:r>
    </w:p>
    <w:p w14:paraId="6E05172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прочность сварного шва правого бокового листа с лобовым листом.</w:t>
      </w:r>
    </w:p>
    <w:p w14:paraId="5456746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Сварка в передней части башни вполне устойчива против действия 37 мм бронебойных снарядов черт. № 00129.</w:t>
      </w:r>
    </w:p>
    <w:p w14:paraId="13BCA502"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Сварка бокового листа недостаточно прочна против действия 45 мм бронебойных снарядов черт. № 2-03347. Удар снаряда по сварке, или же очень близко к сварке, сопровождается образованием трещин по шву сварки, с частичным расслоением самой сварки.</w:t>
      </w:r>
    </w:p>
    <w:p w14:paraId="4712EE6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Попутная проверка показала, что сопротивляемость брони правой стороны башни примерно равноценна сопротивляемости брони левой стороны башни (см. V раздел отчета).</w:t>
      </w:r>
    </w:p>
    <w:p w14:paraId="3C51CE5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ОСНОВАНИЕ СМОТРОВОГО ПРИБОРА НА БАШНЕ ТАНКА (боковые смотровые приборы).</w:t>
      </w:r>
    </w:p>
    <w:p w14:paraId="296604C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надежность крепления смотрового прибора и швов сварки.</w:t>
      </w:r>
    </w:p>
    <w:p w14:paraId="49D0FA1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Основание смотрового прибора и сварка устойчивы против действия 37 мм бронебойных снарядов черт. № 00129.</w:t>
      </w:r>
    </w:p>
    <w:p w14:paraId="7118057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Основание смотрового прибора и сварка неустойчивы против действия 45 мм бронебойного снаряда черт. № 2-03347. После выстрела № 50 произошел откол с внутренней стороны основания смотрового прибора, а после выстрела № 51 – срыв основания по сварке. ТРЕБУЕТСЯ УСИЛЕНИЕ СВАРКИ И ПОВЫШЕНИЕ МЕХАНИЧЕСКИХ КАЧЕСТВ МЕТАЛЛА ОСНОВАНИЯ СМОТРОВОГО ПРИБОРА.</w:t>
      </w:r>
    </w:p>
    <w:p w14:paraId="4197C69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БАШНЯ ТАНКА С ЛЕВОЙ СТОРОНЫ.</w:t>
      </w:r>
    </w:p>
    <w:p w14:paraId="76AB10A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надежность крепления внутренних агрегатов.</w:t>
      </w:r>
    </w:p>
    <w:p w14:paraId="1BABE46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Выстрел № 52 был произведен 76 мм осколочно-фугасным снарядом черт. № 2-01635 при полном заряде с дистанции 63 м. Броня башни не пробита (отпечаток), но удар снаряда сопровождается:</w:t>
      </w:r>
    </w:p>
    <w:p w14:paraId="2C658980"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Образованием стрелы прогиба до 12 мм.</w:t>
      </w:r>
    </w:p>
    <w:p w14:paraId="4E58BDA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Образованием трещин по сварке крыши и бокового листа.</w:t>
      </w:r>
    </w:p>
    <w:p w14:paraId="3D718F4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Кроме того произошел отрыв щитка электрооборудования, отрыв одного захвата, и оказались срезанными болты верхнего погона. После удара снаряда вылетают предохранители зажигания, причем это явление наблюдалось не только при выстреле № 52.</w:t>
      </w:r>
    </w:p>
    <w:p w14:paraId="48938E0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 ВЫСТРЕЛА № 52 указывает на необходимость усиления захватов, крепления щитка электрооборудования, болтов верхнего и нижнего погонов, сварки и крепления предохранителей зажигания.</w:t>
      </w:r>
    </w:p>
    <w:p w14:paraId="5FBCBBEB"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КРЫШКА ЛЮКА БАШНИ ДЛЯ ПРОТАЛКИВАНИЯ ОРУДИЯ.</w:t>
      </w:r>
    </w:p>
    <w:p w14:paraId="66821F9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надежность крепления крышки люка.</w:t>
      </w:r>
    </w:p>
    <w:p w14:paraId="2903531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Крепление крышки люка для проталкивания орудия ненадежное. От удара 45 мм снаряда черт. № 2-03347 нижние болты были сорваны, а от удара 76 мм осколочно-фугасного снаряда черт. № 2-01635 произошло полное разрушение крышки люка.</w:t>
      </w:r>
    </w:p>
    <w:p w14:paraId="7F97E57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УСИЛИТЬ БРОНЕСТОЙКОСТЬ КРЫШКИ ЛЮКА И ЕГО КРЕПЛЕНИЕ. ТАКЖЕ НЕОБХОДИМО УСИЛИТЬ КРЕПЛЕНИЕ ЗАЩЕЛКИ ГРУШИ.</w:t>
      </w:r>
    </w:p>
    <w:p w14:paraId="014AB19E"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Бок башни танка с правой стороны.</w:t>
      </w:r>
    </w:p>
    <w:p w14:paraId="298CB478"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стойкость поворотного механизма башни (выстрел против кронштейна поворотного механизма).</w:t>
      </w:r>
    </w:p>
    <w:p w14:paraId="15F430A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а) При сквозном пробитии 45 мм бронебойный снаряд черт. № 2-03347 выводит из строя поворотный механизм башни.</w:t>
      </w:r>
    </w:p>
    <w:p w14:paraId="53FBE3A1"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этих испытаниях снаряд выстрела № 55 попал в сварку, причем этот выстрел вновь подтвердил недостаточную прочность сварки против действия 45 мм бронебойных снарядов.</w:t>
      </w:r>
    </w:p>
    <w:p w14:paraId="01586EF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ВЫСТРЕЛ 76 мм осколочно-фугасным снарядом черт. № 2-01653 под юбку башни.</w:t>
      </w:r>
    </w:p>
    <w:p w14:paraId="38A5E93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надежность сварки и возможность проникновения снаряда через днище хвоста башни.</w:t>
      </w:r>
    </w:p>
    <w:p w14:paraId="4FF1145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Броня ниши башни оказалась пробитой (попадание в край пробоины) и при этом днище ниши башни претерпело большие разрушения(срыв металла днища, образование трещин, срыв днища по сварке). Во внутрь башни проникли осколки брони и осколки от разрушенного снаряда. Днище ниши башни и его сварка требуют значительного усиления.</w:t>
      </w:r>
    </w:p>
    <w:p w14:paraId="6EA60A5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СВАРКА В БАШНЕ ПОД ОРУДИЙНЫМ СТВОЛОМ.</w:t>
      </w:r>
    </w:p>
    <w:p w14:paraId="72E8C443"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прочность сварного шва и возможность проникновения снаряда во внутрь башни.</w:t>
      </w:r>
    </w:p>
    <w:p w14:paraId="66BE31F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Сварной шов под орудийным стволом не прочен против действия 45 мм бронебойного снаряда черт. № 2-03347. Произошло полное разрушение сварки на участке ок. 500 мм. Передняя правая часть обичайки опустилась вниз на 20 мм. СВАРНОЙ ШОВ ТРЕБУЕТ УСИЛЕНИЯ.</w:t>
      </w:r>
    </w:p>
    <w:p w14:paraId="298F41F9"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Необходимо также усилить маску с внутренней стороны башни (произошел откол нижнего края маски на длине 110 мм и на глубину 40 мм).</w:t>
      </w:r>
    </w:p>
    <w:p w14:paraId="77E2A93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Правая сторона башни танка.</w:t>
      </w:r>
    </w:p>
    <w:p w14:paraId="4D83D424"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определение ПТП и ПСП 76 мм бронебойным снарядом черт. № 2-03545.</w:t>
      </w:r>
    </w:p>
    <w:p w14:paraId="556E4577"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испытания получено: ПТП = 487,2 м/с, что отвечает дальности ок. 1900 м при стрельбе полным зарядом из 76 мм див. пушки обр. 02/30 г. в 40 калибров.</w:t>
      </w:r>
    </w:p>
    <w:p w14:paraId="026BBEA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Предел сквозного пробития определить точно не удалось, т.к. башня танка, вследствие ранее полученных повреждений и разрушений, при ударе снаряда перемещалась на 100 – 300 мм в направлении выстрела. Приближенно можно считать ПСП=534 м/с, что отвечает дальности ок. 1250 м при стрельбе полным зарядом из 76 мм див. пушки обр. 02/30 г. в 40 калибров.</w:t>
      </w:r>
    </w:p>
    <w:p w14:paraId="7A7DA6AA"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В процессе испытания башни после выстрела № 63 при повороте танка произошел разрыв обоих гусениц. Толщина сечения трака в месте разрыва: по краям ок. 5 мм, и в средней части от 1,5 мм до 3 мм. ГУСЕНИЦЫ НЕ ПРОЧНЫ И ТРЕБУЮТ УСИЛЕНИЯ. Кроме того, наблюдается поперечный изгиб трака, причем это явление происходит, по-видимому, вследствие того, что нагрузка ложится на среднюю область трака.</w:t>
      </w:r>
    </w:p>
    <w:p w14:paraId="416FC91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В процессе испытания башни танка снарядным обстрелом производилась проверка работы мотора и возможность перемещения танка на собственном ходу. Отдельные выстрелы производились с работающим мотором. Во всех случаях мотор работал нормально и танк перемещался. После окончания всех испытаний танк Т-34 с позиции 8,5 клм прибыл на АНИОП на собственном ходу.</w:t>
      </w:r>
    </w:p>
    <w:p w14:paraId="78822F2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журнал стрельб на 27 листах.</w:t>
      </w:r>
    </w:p>
    <w:p w14:paraId="3558B78D"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 Нач. АНИОПа В/инженер 1 ранга подпись (Оглоблин)</w:t>
      </w:r>
    </w:p>
    <w:p w14:paraId="27866CC6"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8 отдела Майор подпись (Поляков)</w:t>
      </w:r>
    </w:p>
    <w:p w14:paraId="6B07A585"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Руководитель опыта В/инженер 1 ранга подпись (Бурмистров)</w:t>
      </w:r>
    </w:p>
    <w:p w14:paraId="1F65C4F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22/Х-40 г. (19580).</w:t>
      </w:r>
    </w:p>
    <w:p w14:paraId="1E4330D9" w14:textId="77777777" w:rsidR="005F6E3A" w:rsidRPr="00A3026E" w:rsidRDefault="005F6E3A" w:rsidP="00A3026E">
      <w:pPr>
        <w:spacing w:after="0" w:line="240" w:lineRule="auto"/>
        <w:jc w:val="both"/>
        <w:rPr>
          <w:rFonts w:ascii="Times New Roman" w:hAnsi="Times New Roman"/>
          <w:color w:val="000000" w:themeColor="text1"/>
          <w:sz w:val="16"/>
          <w:szCs w:val="16"/>
        </w:rPr>
      </w:pPr>
    </w:p>
    <w:p w14:paraId="12B5AFE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5F29034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370CC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сентября 1940 началась постройка ИП-201 - И-200 с 2хМП-3 - на базе И-200-3, который после испытаний в НИИ ВВС прибыл на завод 1 для доводки и устранения дефектов (4415,35).</w:t>
      </w:r>
    </w:p>
    <w:p w14:paraId="596FE19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42F78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сентября 1940 г. началась по</w:t>
      </w:r>
      <w:r w:rsidRPr="00A3026E">
        <w:rPr>
          <w:rFonts w:ascii="Times New Roman" w:hAnsi="Times New Roman"/>
          <w:color w:val="000000" w:themeColor="text1"/>
          <w:sz w:val="16"/>
          <w:szCs w:val="16"/>
        </w:rPr>
        <w:softHyphen/>
        <w:t>стройка самолета ИП—201. В качестве основы ис</w:t>
      </w:r>
      <w:r w:rsidRPr="00A3026E">
        <w:rPr>
          <w:rFonts w:ascii="Times New Roman" w:hAnsi="Times New Roman"/>
          <w:color w:val="000000" w:themeColor="text1"/>
          <w:sz w:val="16"/>
          <w:szCs w:val="16"/>
        </w:rPr>
        <w:softHyphen/>
        <w:t>пользовался опытный экземпляр истребителя И—200 № 03, который после госиспытаний прибыл из НИИ ВВС на завод № 1 для доводки и устранения выяв</w:t>
      </w:r>
      <w:r w:rsidRPr="00A3026E">
        <w:rPr>
          <w:rFonts w:ascii="Times New Roman" w:hAnsi="Times New Roman"/>
          <w:color w:val="000000" w:themeColor="text1"/>
          <w:sz w:val="16"/>
          <w:szCs w:val="16"/>
        </w:rPr>
        <w:softHyphen/>
        <w:t>ленных дефектов (9984).</w:t>
      </w:r>
    </w:p>
    <w:p w14:paraId="1C2D2F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C8B7790" w14:textId="77777777" w:rsidR="006B178C" w:rsidRPr="00A3026E" w:rsidRDefault="006B178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конце сентября 1940 г. самолет ИП-201 начал строиться. Для это</w:t>
      </w:r>
      <w:r w:rsidRPr="00A3026E">
        <w:rPr>
          <w:color w:val="000000" w:themeColor="text1"/>
          <w:sz w:val="16"/>
          <w:szCs w:val="16"/>
        </w:rPr>
        <w:softHyphen/>
        <w:t>го был задействован третий опытный экземпляр И-200 № 03 (17500).</w:t>
      </w:r>
    </w:p>
    <w:p w14:paraId="5D76961E" w14:textId="77777777" w:rsidR="006B178C" w:rsidRPr="00A3026E" w:rsidRDefault="006B178C" w:rsidP="00A3026E">
      <w:pPr>
        <w:spacing w:after="0" w:line="240" w:lineRule="auto"/>
        <w:jc w:val="both"/>
        <w:rPr>
          <w:rFonts w:ascii="Times New Roman" w:eastAsia="Times New Roman" w:hAnsi="Times New Roman"/>
          <w:color w:val="000000" w:themeColor="text1"/>
          <w:sz w:val="16"/>
          <w:szCs w:val="16"/>
          <w:lang w:eastAsia="ru-RU"/>
        </w:rPr>
      </w:pPr>
    </w:p>
    <w:p w14:paraId="2969EFB1" w14:textId="77777777" w:rsidR="005D6F1A"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01D1744" w14:textId="77777777" w:rsidR="005D6F1A" w:rsidRPr="00A3026E" w:rsidRDefault="005D6F1A" w:rsidP="00A3026E">
      <w:pPr>
        <w:spacing w:after="0" w:line="240" w:lineRule="auto"/>
        <w:jc w:val="both"/>
        <w:rPr>
          <w:rFonts w:ascii="Times New Roman" w:hAnsi="Times New Roman"/>
          <w:iCs/>
          <w:color w:val="000000" w:themeColor="text1"/>
          <w:sz w:val="16"/>
          <w:szCs w:val="16"/>
        </w:rPr>
      </w:pPr>
    </w:p>
    <w:p w14:paraId="57126DDC"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сентября 1940 г. заместителем начальника КБ-520 завода № 183 А.В. Колесниковым были разработаны документ под названием «План испытаний обстрелом корпуса и башни машины Т-34» и прилагавшийся к нему ориентировочный список мест обстрела корпуса и башни.</w:t>
      </w:r>
    </w:p>
    <w:p w14:paraId="790D68CF" w14:textId="77777777" w:rsidR="005F6E3A" w:rsidRPr="00A3026E" w:rsidRDefault="005F6E3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утверждения начальником Главспецмаша НКСМ Г.С. Суреняном план испытаний вместе с </w:t>
      </w:r>
      <w:hyperlink r:id="rId17" w:tgtFrame="_blank" w:history="1">
        <w:r w:rsidRPr="00A3026E">
          <w:rPr>
            <w:rStyle w:val="a5"/>
            <w:rFonts w:ascii="Times New Roman" w:hAnsi="Times New Roman"/>
            <w:color w:val="000000" w:themeColor="text1"/>
            <w:sz w:val="16"/>
            <w:szCs w:val="16"/>
          </w:rPr>
          <w:t>препроводительным письмом № 397-4445с</w:t>
        </w:r>
      </w:hyperlink>
      <w:r w:rsidRPr="00A3026E">
        <w:rPr>
          <w:rFonts w:ascii="Times New Roman" w:hAnsi="Times New Roman"/>
          <w:color w:val="000000" w:themeColor="text1"/>
          <w:sz w:val="16"/>
          <w:szCs w:val="16"/>
        </w:rPr>
        <w:t> был отправлен в ГАБТУ КА, но по ряду причин обстрел танка Т-34 в 1940 г. так и не был произведен (19704).</w:t>
      </w:r>
    </w:p>
    <w:p w14:paraId="127ACFE1" w14:textId="77777777" w:rsidR="005F6E3A" w:rsidRPr="00A3026E" w:rsidRDefault="005F6E3A" w:rsidP="00A3026E">
      <w:pPr>
        <w:spacing w:after="0" w:line="240" w:lineRule="auto"/>
        <w:jc w:val="both"/>
        <w:rPr>
          <w:rFonts w:ascii="Times New Roman" w:hAnsi="Times New Roman"/>
          <w:color w:val="000000" w:themeColor="text1"/>
          <w:sz w:val="16"/>
          <w:szCs w:val="16"/>
        </w:rPr>
      </w:pPr>
    </w:p>
    <w:p w14:paraId="0C8595D3" w14:textId="77777777" w:rsidR="00190FE9" w:rsidRPr="00A3026E" w:rsidRDefault="00190FE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концу сентября 1940 г. государственные испытания дизеля М-250 больше напоминали опытные работы по доводке дизеля на машине, а не полноценную </w:t>
      </w:r>
      <w:r w:rsidRPr="00A3026E">
        <w:rPr>
          <w:rFonts w:ascii="Times New Roman" w:hAnsi="Times New Roman"/>
          <w:iCs/>
          <w:color w:val="000000" w:themeColor="text1"/>
          <w:sz w:val="16"/>
          <w:szCs w:val="16"/>
        </w:rPr>
        <w:t>«проверку по определению надежности работы дизеля типа М-250 в танке А-34 в течение гарантийного срока – 250 часов работы под нагрузкой»</w:t>
      </w:r>
      <w:r w:rsidRPr="00A3026E">
        <w:rPr>
          <w:rFonts w:ascii="Times New Roman" w:hAnsi="Times New Roman"/>
          <w:color w:val="000000" w:themeColor="text1"/>
          <w:sz w:val="16"/>
          <w:szCs w:val="16"/>
        </w:rPr>
        <w:t xml:space="preserve">. В связи с этим комиссией было принято решение: </w:t>
      </w:r>
      <w:r w:rsidRPr="00A3026E">
        <w:rPr>
          <w:rFonts w:ascii="Times New Roman" w:hAnsi="Times New Roman"/>
          <w:iCs/>
          <w:color w:val="000000" w:themeColor="text1"/>
          <w:sz w:val="16"/>
          <w:szCs w:val="16"/>
        </w:rPr>
        <w:t>«государственное испытание дизеля М-250 прекратить, все результаты работы Госкомиссии перевести в разряд внутризаводских испытаний с целью доводки двигателя»</w:t>
      </w:r>
      <w:r w:rsidRPr="00A3026E">
        <w:rPr>
          <w:rFonts w:ascii="Times New Roman" w:hAnsi="Times New Roman"/>
          <w:color w:val="000000" w:themeColor="text1"/>
          <w:sz w:val="16"/>
          <w:szCs w:val="16"/>
        </w:rPr>
        <w:t xml:space="preserve">. А в заключении по результатам проведенных государственных испытаний дизелей М-250, в частности, было записано следующее: </w:t>
      </w:r>
    </w:p>
    <w:p w14:paraId="7BD18422" w14:textId="77777777" w:rsidR="00190FE9" w:rsidRPr="00A3026E" w:rsidRDefault="00190FE9"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«1. Государственные испытания дизелей М-250 прекратить. В предъявленном виде, дизель М-250 не может быть рекомендован для Т-34».</w:t>
      </w:r>
      <w:r w:rsidRPr="00A3026E">
        <w:rPr>
          <w:rFonts w:ascii="Times New Roman" w:hAnsi="Times New Roman"/>
          <w:color w:val="000000" w:themeColor="text1"/>
          <w:sz w:val="16"/>
          <w:szCs w:val="16"/>
        </w:rPr>
        <w:t xml:space="preserve"> </w:t>
      </w:r>
    </w:p>
    <w:p w14:paraId="2FC70D4E" w14:textId="77777777" w:rsidR="00190FE9" w:rsidRPr="00A3026E" w:rsidRDefault="00190FE9" w:rsidP="00A3026E">
      <w:pPr>
        <w:pStyle w:val="ae"/>
        <w:spacing w:before="0" w:after="0"/>
        <w:jc w:val="both"/>
        <w:rPr>
          <w:color w:val="000000" w:themeColor="text1"/>
          <w:sz w:val="16"/>
          <w:szCs w:val="16"/>
        </w:rPr>
      </w:pPr>
      <w:r w:rsidRPr="00A3026E">
        <w:rPr>
          <w:bCs/>
          <w:color w:val="000000" w:themeColor="text1"/>
          <w:sz w:val="16"/>
          <w:szCs w:val="16"/>
        </w:rPr>
        <w:t>[РГВА. Ф. 31811. Оп. 3. Д. 2035. Л. 3]</w:t>
      </w:r>
    </w:p>
    <w:p w14:paraId="0256340B" w14:textId="77777777" w:rsidR="00190FE9" w:rsidRPr="00A3026E" w:rsidRDefault="00190FE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выходом из строя дизеля М-250 № 4 единственной надеждой на успешное проведение заводских испытаний оставался последний из пяти изготовленных заводом № 75 двигателей М-250. Дизель с пятым порядковым номером 24 сентября 1940 г. был установлен в танк А-34 № 311-18-3. Испытания дизеля затянулись на месяц, 25 октября 1940 г. в системе смазки дизеля М-250 № 5 было обнаружено падение давления. На следующий день двигатель в опытном цехе «540» завода № 183 был демонтирован из танка и передан отделу «1600» завода № 75 для исследования. 27 октября 1940 г. при разборке дизеля М-250 № 5 в коленчатом валу в районе пятой коренной шейки была обнаружена продольная трещина. К моменту аварии двигатель проработал около 48 часов на стенде и 75 часов 21 минуту в танке. </w:t>
      </w:r>
    </w:p>
    <w:p w14:paraId="40174125" w14:textId="77777777" w:rsidR="00190FE9" w:rsidRPr="00A3026E" w:rsidRDefault="00190FE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 А-34 № 311-11-3 после прекращения государственных испытаний также был использован в опытных работах по доводке дизеля М-250. В начале октября 1940 г. на танк был установлен дизель М-250 № 2, отработавший в период с 16 апреля по 8 мая 1940 г. на заводских стендовых испытаниях 349 часов 41 минуту. Также на машину был установлен опытный главный фрикцион, отличавшийся от серийного главного фрикциона танка Т-34 тем, что вместо восьми ведущих чугунных и десяти ведомых стальных дисков в нем имелось двенадцать ведомых и десять ведущих стальных дисков. Кроме этого диски опытного главного фрикциона имели вырезы, предназначавшиеся для уменьшения коробления дисков при их нагреве и прерывания образовывавшихся на них круговых задиров. В каждом ведомом и ведущем диске было сделано по 4 выреза глубиной 13 мм и шириной 10 мм, расположенных на равном расстоянии друг от друга на тех сторонах дисков, на которых не было зубьев. </w:t>
      </w:r>
    </w:p>
    <w:p w14:paraId="572AF64B" w14:textId="77777777" w:rsidR="00190FE9" w:rsidRPr="00A3026E" w:rsidRDefault="00190FE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Однако завершить заводские испытания дизеля М-250 № 2 и опытного главного фрикциона в танке А-34 не удалось потому, что интенсивно эксплуатировавшиеся на протяжении 9 месяцев опытные танки А-34 в начале ноября 1940 г. было решено капитально отремонтировать. </w:t>
      </w:r>
    </w:p>
    <w:p w14:paraId="26378186" w14:textId="77777777" w:rsidR="00190FE9" w:rsidRPr="00A3026E" w:rsidRDefault="00190FE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Необходимо отметить, что, несмотря на то, что дизели М-250 государственных испытаний не выдержали, некоторые примененные в них удачные технические решения в 1941 г. были реализованы в конструкции дизеля В-2 четвертой серии. </w:t>
      </w:r>
    </w:p>
    <w:p w14:paraId="3A70C932" w14:textId="77777777" w:rsidR="00190FE9" w:rsidRPr="00A3026E" w:rsidRDefault="00190FE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Что же касается танков А-34, то с 15 ноября и до середины декабря 1940 г. оба они находились в цехе «540» отдела «500» завода № 183, где производился их капитальный ремонт. Во время ремонта с танков А-34 были демонтированы пушки Л-11 и отправлены в Ленинград на Кировский завод для доработки их противооткатных устройств. После доработки пушки Л-11 были возвращены на завод № 183 и в дальнейшем установлены на серийные танки Т-34 с заводскими номерами 938-21 и 938-70. После капитального ремонта танки А-34 без основного оружия были готовы к новым испытаниям (17625). </w:t>
      </w:r>
    </w:p>
    <w:p w14:paraId="13E36300" w14:textId="77777777" w:rsidR="00190FE9" w:rsidRPr="00A3026E" w:rsidRDefault="00190FE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559B6B1" w14:textId="77777777" w:rsidR="005D6F1A" w:rsidRPr="00A3026E" w:rsidRDefault="005D6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сентября 1940 г. помимо одной хиприцепки ХП-2, Выксунский завод ДРО завершил изготовление пяти бронекорпусов и подготовку рабочих чертежей. Дальнейшая судьба этого заказа пока неиз</w:t>
      </w:r>
      <w:r w:rsidRPr="00A3026E">
        <w:rPr>
          <w:rFonts w:ascii="Times New Roman" w:hAnsi="Times New Roman"/>
          <w:color w:val="000000" w:themeColor="text1"/>
          <w:sz w:val="16"/>
          <w:szCs w:val="16"/>
        </w:rPr>
        <w:softHyphen/>
        <w:t>вестна (17480).</w:t>
      </w:r>
    </w:p>
    <w:p w14:paraId="2DC266EA" w14:textId="77777777" w:rsidR="005D6F1A" w:rsidRPr="00A3026E" w:rsidRDefault="005D6F1A" w:rsidP="00A3026E">
      <w:pPr>
        <w:spacing w:after="0" w:line="240" w:lineRule="auto"/>
        <w:jc w:val="both"/>
        <w:rPr>
          <w:rFonts w:ascii="Times New Roman" w:hAnsi="Times New Roman"/>
          <w:color w:val="000000" w:themeColor="text1"/>
          <w:sz w:val="16"/>
          <w:szCs w:val="16"/>
        </w:rPr>
      </w:pPr>
    </w:p>
    <w:p w14:paraId="15F2E4D8"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241F10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6C8B3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Микулин в выступлении на совещании в НКАП говорил: "...Вся винтомоторная группа представляет собой сплошные его (Ильюшина) изобретения, абсолютно не опирающиеся на предыдущий опыт. Когда мой очень ответственный представитель пришел и сказал, что мотор не может работать без единой дырочки для продувки винтомоторной группы, он сказал: "Идите, Вам тут ничем не помочь" (9029).</w:t>
      </w:r>
    </w:p>
    <w:p w14:paraId="6C98F9B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3B027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сентябре 1940 г. состоялось совещание в НКАП, на котром Микулин очень эмоционально и выпукло обрисовал сложившуюся ситуацию с БШ-2: «-.Больше того, я, к сожалению, должен говорить в отсутствие тов. Ильюшина, но за каждое слово, которое здесь говорю, я отвечаю... О ЦКБ-55... Что сделал Сергей Владимирович? Вся винтомоторная Фуппа представляет собой сплошные его изобретения, абсолютно не опирающиеся на предыдущий опыт. Когда мой очень ответственный представитель пришел и сказал, что мотор не может работать без единой дырочки для продувки винтомоторной группы, он сказал: «Идите, Вам тут ничем не помочь»... Он пришел на другой день, ког</w:t>
      </w:r>
      <w:r w:rsidRPr="00A3026E">
        <w:rPr>
          <w:rFonts w:ascii="Times New Roman" w:hAnsi="Times New Roman"/>
          <w:color w:val="000000" w:themeColor="text1"/>
          <w:sz w:val="16"/>
          <w:szCs w:val="16"/>
        </w:rPr>
        <w:softHyphen/>
        <w:t>да запустили мотор для опробования. Провода свечные превратились в сосульки, резина поплавилась и мотор не работал. Это же издева</w:t>
      </w:r>
      <w:r w:rsidRPr="00A3026E">
        <w:rPr>
          <w:rFonts w:ascii="Times New Roman" w:hAnsi="Times New Roman"/>
          <w:color w:val="000000" w:themeColor="text1"/>
          <w:sz w:val="16"/>
          <w:szCs w:val="16"/>
        </w:rPr>
        <w:softHyphen/>
        <w:t>тельство. На это составлен акт. После этого в броневике начали кон</w:t>
      </w:r>
      <w:r w:rsidRPr="00A3026E">
        <w:rPr>
          <w:rFonts w:ascii="Times New Roman" w:hAnsi="Times New Roman"/>
          <w:color w:val="000000" w:themeColor="text1"/>
          <w:sz w:val="16"/>
          <w:szCs w:val="16"/>
        </w:rPr>
        <w:softHyphen/>
        <w:t>форки сверлить, по месяцу на дырку. Мы указали ему, какая площадь нужна для этого. Нет, делает дырку, в которую только палец можно просунуть...</w:t>
      </w:r>
    </w:p>
    <w:p w14:paraId="57E1E9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Вместо того, чтобы обратиться к специалисту по радиаторам, был сделан самодельный радиатор. Какое имеет право Ильюшин изобре</w:t>
      </w:r>
      <w:r w:rsidRPr="00A3026E">
        <w:rPr>
          <w:rFonts w:ascii="Times New Roman" w:hAnsi="Times New Roman"/>
          <w:color w:val="000000" w:themeColor="text1"/>
          <w:sz w:val="16"/>
          <w:szCs w:val="16"/>
        </w:rPr>
        <w:softHyphen/>
        <w:t>тать радиаторы, когда для этого есть соответствующие компетент</w:t>
      </w:r>
      <w:r w:rsidRPr="00A3026E">
        <w:rPr>
          <w:rFonts w:ascii="Times New Roman" w:hAnsi="Times New Roman"/>
          <w:color w:val="000000" w:themeColor="text1"/>
          <w:sz w:val="16"/>
          <w:szCs w:val="16"/>
        </w:rPr>
        <w:softHyphen/>
        <w:t>ные люди, которых можно призвать на завод для консультации... Потом сменили, все заработало. Но на это ушло больше года. А мо</w:t>
      </w:r>
      <w:r w:rsidRPr="00A3026E">
        <w:rPr>
          <w:rFonts w:ascii="Times New Roman" w:hAnsi="Times New Roman"/>
          <w:color w:val="000000" w:themeColor="text1"/>
          <w:sz w:val="16"/>
          <w:szCs w:val="16"/>
        </w:rPr>
        <w:softHyphen/>
        <w:t>тор ждет, пока происходят изобретения со стороны этого конструк</w:t>
      </w:r>
      <w:r w:rsidRPr="00A3026E">
        <w:rPr>
          <w:rFonts w:ascii="Times New Roman" w:hAnsi="Times New Roman"/>
          <w:color w:val="000000" w:themeColor="text1"/>
          <w:sz w:val="16"/>
          <w:szCs w:val="16"/>
        </w:rPr>
        <w:softHyphen/>
        <w:t>тора, который ни одного нормального требования к винтомоторной группе не соблюдал... Я считаю, что это чванство, вреднейшее с го</w:t>
      </w:r>
      <w:r w:rsidRPr="00A3026E">
        <w:rPr>
          <w:rFonts w:ascii="Times New Roman" w:hAnsi="Times New Roman"/>
          <w:color w:val="000000" w:themeColor="text1"/>
          <w:sz w:val="16"/>
          <w:szCs w:val="16"/>
        </w:rPr>
        <w:softHyphen/>
        <w:t>сударственной точки зрения... Мною был сделан большой доклад Михаилу Моисеевичу [Кагановичу, наркому авиапромышленности. — Прим, авт.], была организована специальная комиссия при 11-м Главке, которой надлежало, во главе с тов. Поликонским, создать нормы винтомоторных установок...» (10781).</w:t>
      </w:r>
    </w:p>
    <w:p w14:paraId="10D63C3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5D033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АМ-35А прошел государственные испытания, которые шли с мая. С конца 1940 г. выпускался в больших количествах. В начале 1941 г. введена уси</w:t>
      </w:r>
      <w:r w:rsidRPr="00A3026E">
        <w:rPr>
          <w:rFonts w:ascii="Times New Roman" w:hAnsi="Times New Roman"/>
          <w:color w:val="000000" w:themeColor="text1"/>
          <w:sz w:val="16"/>
          <w:szCs w:val="16"/>
        </w:rPr>
        <w:softHyphen/>
        <w:t>ленная крыльчатка ПЦН, с весны того же года — чисто механический (вместо электромеханического) привод поворотных лопаток на входе в ПЦН. К АМ-35А были спроектированы три варианта редуктора с раз</w:t>
      </w:r>
      <w:r w:rsidRPr="00A3026E">
        <w:rPr>
          <w:rFonts w:ascii="Times New Roman" w:hAnsi="Times New Roman"/>
          <w:color w:val="000000" w:themeColor="text1"/>
          <w:sz w:val="16"/>
          <w:szCs w:val="16"/>
        </w:rPr>
        <w:softHyphen/>
        <w:t>ными передаточными отношениями. Первые серии шли с редуктором с отношением 0,9, с 5-й серии — с 0,732. В январе 1941 г. изготовили, а затем подвергли испытаниям три образца с беспоплавковыми карбю</w:t>
      </w:r>
      <w:r w:rsidRPr="00A3026E">
        <w:rPr>
          <w:rFonts w:ascii="Times New Roman" w:hAnsi="Times New Roman"/>
          <w:color w:val="000000" w:themeColor="text1"/>
          <w:sz w:val="16"/>
          <w:szCs w:val="16"/>
        </w:rPr>
        <w:softHyphen/>
        <w:t>раторами, который намеревались внедрить в серии. Однако этот вари</w:t>
      </w:r>
      <w:r w:rsidRPr="00A3026E">
        <w:rPr>
          <w:rFonts w:ascii="Times New Roman" w:hAnsi="Times New Roman"/>
          <w:color w:val="000000" w:themeColor="text1"/>
          <w:sz w:val="16"/>
          <w:szCs w:val="16"/>
        </w:rPr>
        <w:softHyphen/>
        <w:t>ант серийно не выпускался. Всего до конца 1943 г. изготовили около 4500 АМ-35А, из них 4034 — в 1941 г. (11852).</w:t>
      </w:r>
    </w:p>
    <w:p w14:paraId="1F5DB0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8576B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на основании данных КБ, свидетельствующих о воз</w:t>
      </w:r>
      <w:r w:rsidRPr="00A3026E">
        <w:rPr>
          <w:rFonts w:ascii="Times New Roman" w:hAnsi="Times New Roman"/>
          <w:color w:val="000000" w:themeColor="text1"/>
          <w:sz w:val="16"/>
          <w:szCs w:val="16"/>
        </w:rPr>
        <w:softHyphen/>
        <w:t>можности существенного повышения летных характе</w:t>
      </w:r>
      <w:r w:rsidRPr="00A3026E">
        <w:rPr>
          <w:rFonts w:ascii="Times New Roman" w:hAnsi="Times New Roman"/>
          <w:color w:val="000000" w:themeColor="text1"/>
          <w:sz w:val="16"/>
          <w:szCs w:val="16"/>
        </w:rPr>
        <w:softHyphen/>
        <w:t>ристик машины при установке нового мотора М-71, было подготовлено постановление КО при СНК СССР о постройке пикирующего бомбардировщика ПБ-1 с М-71 или М-120 с предъявлением первого опытного эк</w:t>
      </w:r>
      <w:r w:rsidRPr="00A3026E">
        <w:rPr>
          <w:rFonts w:ascii="Times New Roman" w:hAnsi="Times New Roman"/>
          <w:color w:val="000000" w:themeColor="text1"/>
          <w:sz w:val="16"/>
          <w:szCs w:val="16"/>
        </w:rPr>
        <w:softHyphen/>
        <w:t>земпляра к 1 июля 1940 г. Самолет разрабатывали в двух вариантах: четырехместного скоростного бомбардиров</w:t>
      </w:r>
      <w:r w:rsidRPr="00A3026E">
        <w:rPr>
          <w:rFonts w:ascii="Times New Roman" w:hAnsi="Times New Roman"/>
          <w:color w:val="000000" w:themeColor="text1"/>
          <w:sz w:val="16"/>
          <w:szCs w:val="16"/>
        </w:rPr>
        <w:softHyphen/>
        <w:t>щика СПБ и двухместного пикирующего ПБ-1 (10667).</w:t>
      </w:r>
    </w:p>
    <w:p w14:paraId="7CCB823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64EC6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w:t>
      </w:r>
      <w:r w:rsidRPr="00A3026E">
        <w:rPr>
          <w:rFonts w:ascii="Times New Roman" w:hAnsi="Times New Roman"/>
          <w:color w:val="000000" w:themeColor="text1"/>
          <w:sz w:val="16"/>
          <w:szCs w:val="16"/>
        </w:rPr>
        <w:softHyphen/>
        <w:t>бре 1940 г. жалюзи завода № 126 с поворотными ле</w:t>
      </w:r>
      <w:r w:rsidRPr="00A3026E">
        <w:rPr>
          <w:rFonts w:ascii="Times New Roman" w:hAnsi="Times New Roman"/>
          <w:color w:val="000000" w:themeColor="text1"/>
          <w:sz w:val="16"/>
          <w:szCs w:val="16"/>
        </w:rPr>
        <w:softHyphen/>
        <w:t>пестками приняли как об</w:t>
      </w:r>
      <w:r w:rsidRPr="00A3026E">
        <w:rPr>
          <w:rFonts w:ascii="Times New Roman" w:hAnsi="Times New Roman"/>
          <w:color w:val="000000" w:themeColor="text1"/>
          <w:sz w:val="16"/>
          <w:szCs w:val="16"/>
        </w:rPr>
        <w:softHyphen/>
        <w:t>разец для всех предприятий. Завод № 126 серийно уже делал их с февраля то</w:t>
      </w:r>
      <w:r w:rsidRPr="00A3026E">
        <w:rPr>
          <w:rFonts w:ascii="Times New Roman" w:hAnsi="Times New Roman"/>
          <w:color w:val="000000" w:themeColor="text1"/>
          <w:sz w:val="16"/>
          <w:szCs w:val="16"/>
        </w:rPr>
        <w:softHyphen/>
        <w:t>го же года для ВВС 1-й Отдельной Краснознаменной армии (10734,40).</w:t>
      </w:r>
    </w:p>
    <w:p w14:paraId="370EE8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1F4DCA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жалюзи завода №126 с поворот</w:t>
      </w:r>
      <w:r w:rsidRPr="00A3026E">
        <w:rPr>
          <w:rFonts w:ascii="Times New Roman" w:hAnsi="Times New Roman"/>
          <w:color w:val="000000" w:themeColor="text1"/>
          <w:sz w:val="16"/>
          <w:szCs w:val="16"/>
        </w:rPr>
        <w:softHyphen/>
        <w:t>ными лепестками приняли как образец для всех предпри</w:t>
      </w:r>
      <w:r w:rsidRPr="00A3026E">
        <w:rPr>
          <w:rFonts w:ascii="Times New Roman" w:hAnsi="Times New Roman"/>
          <w:color w:val="000000" w:themeColor="text1"/>
          <w:sz w:val="16"/>
          <w:szCs w:val="16"/>
        </w:rPr>
        <w:softHyphen/>
        <w:t>ятий. Завод №126 серийно делал эти жалюзи с февраля того же го</w:t>
      </w:r>
      <w:r w:rsidRPr="00A3026E">
        <w:rPr>
          <w:rFonts w:ascii="Times New Roman" w:hAnsi="Times New Roman"/>
          <w:color w:val="000000" w:themeColor="text1"/>
          <w:sz w:val="16"/>
          <w:szCs w:val="16"/>
        </w:rPr>
        <w:softHyphen/>
        <w:t>да для ВВС 1-й Отдельной Краснознаменной армии. В Москве и Воронеже на последних сериях ДБ-3Б ставили жалю</w:t>
      </w:r>
      <w:r w:rsidRPr="00A3026E">
        <w:rPr>
          <w:rFonts w:ascii="Times New Roman" w:hAnsi="Times New Roman"/>
          <w:color w:val="000000" w:themeColor="text1"/>
          <w:sz w:val="16"/>
          <w:szCs w:val="16"/>
        </w:rPr>
        <w:softHyphen/>
        <w:t>зи собственных типов, конструкцию завода №126 там внедрили в производство уже в 1941 г. и досылали в части «задним числом» (6474).</w:t>
      </w:r>
    </w:p>
    <w:p w14:paraId="39C1B43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72C12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усовершенствовали стрелковое вооружение ДБ-3Ф оснастив его турелями МВ-2 и МВ-3 вместо старых ЛУ и СУ (561,10).</w:t>
      </w:r>
    </w:p>
    <w:p w14:paraId="50DA145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94C48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года в НИИ ВВС был выдан наряд-приказ № 0207</w:t>
      </w:r>
    </w:p>
    <w:p w14:paraId="5E83FF4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 лобовых жалюзи конструкции завода № 126 НКАП для самолетов ДБ-3Б 2М-87 и 88 с моторными капотами тип «Б» и определение изменения максимальной скорости самолета ДБ-3 с различным положением пулеметного экрана «СУ» (6890, 114).</w:t>
      </w:r>
    </w:p>
    <w:p w14:paraId="08E513A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7306E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сентября 1940 новый начальник ВВС РККА Рычагов приказал принимать ДБ-3 со всех заводов только с новой установкой радиаторов (7494).</w:t>
      </w:r>
    </w:p>
    <w:p w14:paraId="781B36F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7193B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на ДБ-3М начали ставить специальные ночные бомбовые прицелы НКПБ-3. В ассортимент вооружения ДБ-3М вошли бомбы БЕТАБ-150 ДС, БРАБ-1000 (для машин морской авиации). Для моряков в июле разработали чертежи установки на ДБ-3М торпедной подвески Т-18, создав таким образом модификацию торпедоносца, аналогичную ДБ-3Т.</w:t>
      </w:r>
    </w:p>
    <w:p w14:paraId="2E1396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Вместе с этим вносилось огромное количество изменений в электросистему самолета. С 7-й серии завода №39 появились трубы для сброса парашютных осветительных ракет в хвостовой части бомбардировщика (7494).</w:t>
      </w:r>
    </w:p>
    <w:p w14:paraId="4075CC0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22167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начали ставить специальные ночные бомбовые прицелы НКПБ-3. Вместе с этим вносилось огромное количество изменений в электросистему самолета. С 7-й серии завода № 39 появились трубы для сброса парашютных осветительных ракет в хвостовой части бомбардировщика (12021).</w:t>
      </w:r>
    </w:p>
    <w:p w14:paraId="56824D3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FD886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на 12-й серии на з-де 39 произошел полный переход ДБ-3М на новые турели МВ-2 и МВ-3 (7494).</w:t>
      </w:r>
    </w:p>
    <w:p w14:paraId="10B29F7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F9B85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задание по выпуску Ли-2 было снято, заводу № 124 приказывалось сосредоточиться на производстве ТБ-7. В конце концов, завод был параллельно с выпуском 4-моторных бомбардировщиков загружен произ</w:t>
      </w:r>
      <w:r w:rsidRPr="00A3026E">
        <w:rPr>
          <w:rFonts w:ascii="Times New Roman" w:hAnsi="Times New Roman"/>
          <w:color w:val="000000" w:themeColor="text1"/>
          <w:sz w:val="16"/>
          <w:szCs w:val="16"/>
        </w:rPr>
        <w:softHyphen/>
        <w:t>водством ещё и фронтового пикирующего бомбардировщика Пе-2, который в итоге и стал основной продукцией предпри</w:t>
      </w:r>
      <w:r w:rsidRPr="00A3026E">
        <w:rPr>
          <w:rFonts w:ascii="Times New Roman" w:hAnsi="Times New Roman"/>
          <w:color w:val="000000" w:themeColor="text1"/>
          <w:sz w:val="16"/>
          <w:szCs w:val="16"/>
        </w:rPr>
        <w:softHyphen/>
        <w:t>ятия. В результате отлично оснащённое предприятие так и не сыграло заметной роли в довоенном авиавыпуске. Эта история была тем более огорчительна, что завод был сравнительно не</w:t>
      </w:r>
      <w:r w:rsidRPr="00A3026E">
        <w:rPr>
          <w:rFonts w:ascii="Times New Roman" w:hAnsi="Times New Roman"/>
          <w:color w:val="000000" w:themeColor="text1"/>
          <w:sz w:val="16"/>
          <w:szCs w:val="16"/>
        </w:rPr>
        <w:softHyphen/>
        <w:t xml:space="preserve">плохо обеспечен станочным парком. Всего по проекту завод должен был быть оснащён 1457 тяжёлыми станками (РГАЭ. Ф. 8044.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xml:space="preserve">. 1. Д. 401. Л. 149), из них в 1940 г. в наличии было 1151 (79 %) (РГАЭ. Ф. 8044.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401. Л. 249). Наличие станков при от</w:t>
      </w:r>
      <w:r w:rsidRPr="00A3026E">
        <w:rPr>
          <w:rFonts w:ascii="Times New Roman" w:hAnsi="Times New Roman"/>
          <w:color w:val="000000" w:themeColor="text1"/>
          <w:sz w:val="16"/>
          <w:szCs w:val="16"/>
        </w:rPr>
        <w:softHyphen/>
        <w:t>сутствии вразумительной производственной программы вело к громадным простоям. Например, в 1939 г. простои составили 19,5 % рабочего времени. В течение первых 5 месяцев 1940 г. из 6000 рабочих завода 600 человек ежедневно простаивали.</w:t>
      </w:r>
    </w:p>
    <w:p w14:paraId="7C63E6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 влиянием этих обстоятельств трудовая дисциплина упа</w:t>
      </w:r>
      <w:r w:rsidRPr="00A3026E">
        <w:rPr>
          <w:rFonts w:ascii="Times New Roman" w:hAnsi="Times New Roman"/>
          <w:color w:val="000000" w:themeColor="text1"/>
          <w:sz w:val="16"/>
          <w:szCs w:val="16"/>
        </w:rPr>
        <w:softHyphen/>
        <w:t>ла ниже всех допустимых пределов. По отзывам сотрудников наркомата, инспектировавших завод, «в результате этого... в коллективе завода и, главным образом, руководящего соста</w:t>
      </w:r>
      <w:r w:rsidRPr="00A3026E">
        <w:rPr>
          <w:rFonts w:ascii="Times New Roman" w:hAnsi="Times New Roman"/>
          <w:color w:val="000000" w:themeColor="text1"/>
          <w:sz w:val="16"/>
          <w:szCs w:val="16"/>
        </w:rPr>
        <w:softHyphen/>
        <w:t>ва, существует растерянность. ...В цехах рабочие в рабочее время трают в шашки, организуют «борьбу» и прыжки, около производственного цеха занимаются «фотографированием» (видимо, какая-то игра. Крайне маловероятно, чтобы у казанских рабо</w:t>
      </w:r>
      <w:r w:rsidRPr="00A3026E">
        <w:rPr>
          <w:rFonts w:ascii="Times New Roman" w:hAnsi="Times New Roman"/>
          <w:color w:val="000000" w:themeColor="text1"/>
          <w:sz w:val="16"/>
          <w:szCs w:val="16"/>
        </w:rPr>
        <w:softHyphen/>
        <w:t>чих в 1940 г. были в изобилии на руках частные фотоаппараты, да и само слово «фотографирование» было в документе взято в кавычки) и т.д. На лужайке около цеха ежедневно можно было видеть от 40 до 75 спящих рабочих. 16 мая 78 человек занимались про</w:t>
      </w:r>
      <w:r w:rsidRPr="00A3026E">
        <w:rPr>
          <w:rFonts w:ascii="Times New Roman" w:hAnsi="Times New Roman"/>
          <w:color w:val="000000" w:themeColor="text1"/>
          <w:sz w:val="16"/>
          <w:szCs w:val="16"/>
        </w:rPr>
        <w:softHyphen/>
        <w:t>сеиванием сгруженного во дворе жмыха, выбирая семечки для личного потребления. Питание рабочих не организовано... Те</w:t>
      </w:r>
      <w:r w:rsidRPr="00A3026E">
        <w:rPr>
          <w:rFonts w:ascii="Times New Roman" w:hAnsi="Times New Roman"/>
          <w:color w:val="000000" w:themeColor="text1"/>
          <w:sz w:val="16"/>
          <w:szCs w:val="16"/>
        </w:rPr>
        <w:softHyphen/>
        <w:t>кучесть в 1938 г. составила 3895 человек (то есть около 60 %). Охарактеризовав такое положение завода, нет необходимости освещать вопросы соцсоревнования, стахановского и много</w:t>
      </w:r>
      <w:r w:rsidRPr="00A3026E">
        <w:rPr>
          <w:rFonts w:ascii="Times New Roman" w:hAnsi="Times New Roman"/>
          <w:color w:val="000000" w:themeColor="text1"/>
          <w:sz w:val="16"/>
          <w:szCs w:val="16"/>
        </w:rPr>
        <w:softHyphen/>
        <w:t xml:space="preserve">станочного движения» (РГАЭ. Ф. 8044.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401. Л. 253).</w:t>
      </w:r>
    </w:p>
    <w:p w14:paraId="1F8461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положение было тем более нетерпимым с учетом того, что завод № 124 входил в сравнительно небольшую группу самолетостроительных заводов, имеющих развитый станоч</w:t>
      </w:r>
      <w:r w:rsidRPr="00A3026E">
        <w:rPr>
          <w:rFonts w:ascii="Times New Roman" w:hAnsi="Times New Roman"/>
          <w:color w:val="000000" w:themeColor="text1"/>
          <w:sz w:val="16"/>
          <w:szCs w:val="16"/>
        </w:rPr>
        <w:softHyphen/>
        <w:t>ный парк для металлического авиастроения (12011).</w:t>
      </w:r>
    </w:p>
    <w:p w14:paraId="34AF166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BFA2B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было в основном завершено изготовление опытного бомбардировщика «Б-1» (одновременно в ряде документов назывался «Б») на территории авиазавода №156 (6206, 21).</w:t>
      </w:r>
    </w:p>
    <w:p w14:paraId="077509A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FFF45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в основном закончили опытный бомбардировщик "Б-1" (одновременно в ряде документов назывался "Б"), который строился на авиазаводе №156, в октябре доставили на аэродром. В связи с определенными надеждами, которые с ним связывали, а более в связи с неудачами, преследующими СПБ конструкции Поликарпова, вопрос с территорией завода №22 решился в пользу коллектива Архангельского. В соответствии с решением Московского городского комитета ВКП (б), а также в связи с соответствующими правительственными постановлениями ОКО-Д, созданное для внедрения в серию самолета СПБ ликвидировалось, а работы Поликарпова переводились на новый завод №51. На 22 авиазаводе оставалось ОКО (Опытный конструкторский отдел) Архангельского (12027).</w:t>
      </w:r>
    </w:p>
    <w:p w14:paraId="6F0AA13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5D823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года ст. военпред ГУ ВВС на заводе № 22 в/инженер 2 ранга Кутузов писал письмо № 01173с члену Совета обороны Репину, начальнику 1 отдела 6 управления ГУ ВВС в/инженеру 1 ранга Осипенко</w:t>
      </w:r>
    </w:p>
    <w:p w14:paraId="4FD338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 что 13 сентября 1940 года на совещании у технического директора завода № 22 Кобзарева по машине "К" из докладов начальников цехов выявлена следующая картина:</w:t>
      </w:r>
    </w:p>
    <w:p w14:paraId="751855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419239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по графику составленному начальником цеха 93 первую машину "К" мы будем иметь к 20 ноября 1940 года, а до конца года цех может выпустить только 7 машин.</w:t>
      </w:r>
    </w:p>
    <w:p w14:paraId="21AEE3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Учитывая все выше сказанное ясно, что при существующей планировке завод № 22 не в состоянии выполнить постановление Правительства не только в сроках выпуска первой машины, но и количество машин данное Правительством находится под угрозой срыва.</w:t>
      </w:r>
    </w:p>
    <w:p w14:paraId="4D66DC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Считая, что такое положение с машиной "К" в дальнейшем нетерпимо, прошу Вас немедленно поставить вопрос перед директором завода, чтобы иметь полную ясность какие пути намечаются им для ликвидации катастрофического положения с машиной "К". Потребовать от дирекции точных графиков разворота работы в цехах согласно решений Правительства по машине "К" (3377, 40-41).</w:t>
      </w:r>
    </w:p>
    <w:p w14:paraId="7E38866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98871CF" w14:textId="77777777" w:rsidR="00E90813" w:rsidRPr="00A3026E" w:rsidRDefault="00E90813"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на заводе № 39 было закончено изготовление первоочередной оснастки и началось сборка агрегатов ПБ-100. По плану цех окончательной сборки в сентябре должен был приступить к монтажу первой машины и в октябре передать ее на ЛИС для испытаний. Однако первые агрегаты поступили в цех сборки в следующие сроки (Отчет о работе завода № 39 им. Менжинского за 1940 год по основной деятельности. Центральный архив ИАЗ, дело № 78, лист 15.):</w:t>
      </w:r>
    </w:p>
    <w:p w14:paraId="6282F720" w14:textId="77777777" w:rsidR="00E90813" w:rsidRPr="00A3026E" w:rsidRDefault="00E90813" w:rsidP="00A3026E">
      <w:pPr>
        <w:pStyle w:val="rteindent11"/>
        <w:shd w:val="clear" w:color="auto" w:fill="FFFFFF"/>
        <w:spacing w:before="0" w:beforeAutospacing="0" w:after="0"/>
        <w:ind w:left="0" w:firstLine="0"/>
        <w:rPr>
          <w:rStyle w:val="af0"/>
          <w:i w:val="0"/>
          <w:color w:val="000000" w:themeColor="text1"/>
          <w:sz w:val="16"/>
          <w:szCs w:val="16"/>
        </w:rPr>
      </w:pPr>
      <w:r w:rsidRPr="00A3026E">
        <w:rPr>
          <w:rStyle w:val="af0"/>
          <w:i w:val="0"/>
          <w:color w:val="000000" w:themeColor="text1"/>
          <w:sz w:val="16"/>
          <w:szCs w:val="16"/>
        </w:rPr>
        <w:t>Головная часть фюзеляжа – 15 октября;</w:t>
      </w:r>
    </w:p>
    <w:p w14:paraId="554F7A2A" w14:textId="77777777" w:rsidR="00E90813" w:rsidRPr="00A3026E" w:rsidRDefault="00E90813" w:rsidP="00A3026E">
      <w:pPr>
        <w:pStyle w:val="rteindent11"/>
        <w:shd w:val="clear" w:color="auto" w:fill="FFFFFF"/>
        <w:spacing w:before="0" w:beforeAutospacing="0" w:after="0"/>
        <w:ind w:left="0" w:firstLine="0"/>
        <w:rPr>
          <w:rStyle w:val="af0"/>
          <w:i w:val="0"/>
          <w:color w:val="000000" w:themeColor="text1"/>
          <w:sz w:val="16"/>
          <w:szCs w:val="16"/>
        </w:rPr>
      </w:pPr>
      <w:r w:rsidRPr="00A3026E">
        <w:rPr>
          <w:rStyle w:val="af0"/>
          <w:i w:val="0"/>
          <w:color w:val="000000" w:themeColor="text1"/>
          <w:sz w:val="16"/>
          <w:szCs w:val="16"/>
        </w:rPr>
        <w:t>центроплан - 9 октября;</w:t>
      </w:r>
    </w:p>
    <w:p w14:paraId="650E7A8B" w14:textId="77777777" w:rsidR="00E90813" w:rsidRPr="00A3026E" w:rsidRDefault="00E90813" w:rsidP="00A3026E">
      <w:pPr>
        <w:pStyle w:val="rteindent11"/>
        <w:shd w:val="clear" w:color="auto" w:fill="FFFFFF"/>
        <w:spacing w:before="0" w:beforeAutospacing="0" w:after="0"/>
        <w:ind w:left="0" w:firstLine="0"/>
        <w:rPr>
          <w:color w:val="000000" w:themeColor="text1"/>
          <w:sz w:val="16"/>
          <w:szCs w:val="16"/>
        </w:rPr>
      </w:pPr>
      <w:r w:rsidRPr="00A3026E">
        <w:rPr>
          <w:rStyle w:val="af0"/>
          <w:i w:val="0"/>
          <w:color w:val="000000" w:themeColor="text1"/>
          <w:sz w:val="16"/>
          <w:szCs w:val="16"/>
        </w:rPr>
        <w:t>хвостовая часть фюзеляжа – 16 октября;</w:t>
      </w:r>
    </w:p>
    <w:p w14:paraId="778005CD" w14:textId="77777777" w:rsidR="00E90813" w:rsidRPr="00A3026E" w:rsidRDefault="00E90813" w:rsidP="00A3026E">
      <w:pPr>
        <w:pStyle w:val="rteindent11"/>
        <w:shd w:val="clear" w:color="auto" w:fill="FFFFFF"/>
        <w:spacing w:before="0" w:beforeAutospacing="0" w:after="0"/>
        <w:ind w:left="0" w:firstLine="0"/>
        <w:rPr>
          <w:rStyle w:val="af0"/>
          <w:i w:val="0"/>
          <w:color w:val="000000" w:themeColor="text1"/>
          <w:sz w:val="16"/>
          <w:szCs w:val="16"/>
        </w:rPr>
      </w:pPr>
      <w:r w:rsidRPr="00A3026E">
        <w:rPr>
          <w:rStyle w:val="af0"/>
          <w:i w:val="0"/>
          <w:color w:val="000000" w:themeColor="text1"/>
          <w:sz w:val="16"/>
          <w:szCs w:val="16"/>
        </w:rPr>
        <w:t>стабилизатор с килем и руль высоты – 25 октября;</w:t>
      </w:r>
    </w:p>
    <w:p w14:paraId="056B8B7A" w14:textId="77777777" w:rsidR="00E90813" w:rsidRPr="00A3026E" w:rsidRDefault="00E90813" w:rsidP="00A3026E">
      <w:pPr>
        <w:pStyle w:val="rteindent11"/>
        <w:shd w:val="clear" w:color="auto" w:fill="FFFFFF"/>
        <w:spacing w:before="0" w:beforeAutospacing="0" w:after="0"/>
        <w:ind w:left="0" w:firstLine="0"/>
        <w:rPr>
          <w:rStyle w:val="af0"/>
          <w:i w:val="0"/>
          <w:color w:val="000000" w:themeColor="text1"/>
          <w:sz w:val="16"/>
          <w:szCs w:val="16"/>
        </w:rPr>
      </w:pPr>
      <w:r w:rsidRPr="00A3026E">
        <w:rPr>
          <w:rStyle w:val="af0"/>
          <w:i w:val="0"/>
          <w:color w:val="000000" w:themeColor="text1"/>
          <w:sz w:val="16"/>
          <w:szCs w:val="16"/>
        </w:rPr>
        <w:t>руль поворота - 27 октября;</w:t>
      </w:r>
    </w:p>
    <w:p w14:paraId="09D2807F" w14:textId="77777777" w:rsidR="00E90813" w:rsidRPr="00A3026E" w:rsidRDefault="00E90813" w:rsidP="00A3026E">
      <w:pPr>
        <w:pStyle w:val="rteindent11"/>
        <w:shd w:val="clear" w:color="auto" w:fill="FFFFFF"/>
        <w:spacing w:before="0" w:beforeAutospacing="0" w:after="0"/>
        <w:ind w:left="0" w:firstLine="0"/>
        <w:rPr>
          <w:color w:val="000000" w:themeColor="text1"/>
          <w:sz w:val="16"/>
          <w:szCs w:val="16"/>
        </w:rPr>
      </w:pPr>
      <w:r w:rsidRPr="00A3026E">
        <w:rPr>
          <w:rStyle w:val="af0"/>
          <w:i w:val="0"/>
          <w:color w:val="000000" w:themeColor="text1"/>
          <w:sz w:val="16"/>
          <w:szCs w:val="16"/>
        </w:rPr>
        <w:t>крыло - 3 ноября.</w:t>
      </w:r>
    </w:p>
    <w:p w14:paraId="6B982BF3" w14:textId="77777777" w:rsidR="00E90813" w:rsidRPr="00A3026E" w:rsidRDefault="00E90813"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Особые трудности вызывало изготовление двухлонжеронного крыла с тонкой обшивкой из дюраля толщиной 0,6-0,8 мм и густым набором стрингеров – угольников и нервюр. С большими трудностями проходила и общая сборка первых машин. Обеспеченность машин комплектующими изделиями, производство которых на заводах-смежниках в большинстве случаев было организовано впервые: по программе 1940 года, обеспеченность на 31-е декабря составляло 15 машин. Особенно это касалось дистанционных электромеханизмов: с их помощью приводились в движение посадочные щитки, тормозные решетки, жалюзи и заслонки радиаторов, триммеры рулевых поверхностей, изменяли угол установки стабилизатора, выполнялось ряд других функций. Дистанционные механизмы выпускались заводом № 266. После изготовления и поставки опытных образцов этих механизмов, завод крайне медленно переходил на их серийное производство. Кроме того, мощности группы электрооборудования цеха окончательной сборки завода № 39 не были рассчитаны на большие по объему и сложности электромонтажные работы, по сравнению с бомбардировщиком ДБ-3Ф. Немало времени уходило и на отладку автомата пикирования АП-1. Долгое время от завода № 120 не поступали на сборку двухтормозные колеса. Государственные испытания на новой машине колеса не проходили, а полученные - ОТК завода № 39 не принимало, поскольку в паспортах была отметка «опытные макетные».</w:t>
      </w:r>
    </w:p>
    <w:p w14:paraId="47DB02BC" w14:textId="77777777" w:rsidR="00E90813" w:rsidRPr="00A3026E" w:rsidRDefault="00E90813"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все усилия, предпринятые серийными заводами № 22 и № 39 для обеспечения выпуска установленного количества ПБ-100 в 1940 году, выполнить планы им не удалось. Не смогли они реализовать и указание НКАП - сдать первый самолет к 7-му ноября 1940 года. Наказание за невыполнение плана по ПБ-100 последовало незамедлительно. Так, директор опытного завода № 156 Ленкин получил выговор и был снят с должности за несвоевременную сдачу на серийные заводы чертежей и технологического оборудования, директор завода № 22 Окулов получил строгий выговор от Наркома авиапромышленности А.И. Шахурина. Директора завода № 39 Вениамина Ивановича Журавлева приказом Наркома за № 386/К от 27-го сентября 1940 года освободили от должности. Новым директором завода № 39 был назначен Леонид Петрович Соколов, главным инженером Мизюров (Акт передачи завода № 39 Журавлевым тов. Соколову от 25.Х.1940 года. Центральный архив ИАЗ, инв. № 1509.). Кроме того, заменили ряд руководителей цехов завода. Руководство НКАП категорически потребовало поднять в воздух хотя бы один серийный ПБ-100 еще в 1940 году (15223).</w:t>
      </w:r>
    </w:p>
    <w:p w14:paraId="3804D112" w14:textId="77777777" w:rsidR="00E90813" w:rsidRPr="00A3026E" w:rsidRDefault="00E90813" w:rsidP="00A3026E">
      <w:pPr>
        <w:shd w:val="clear" w:color="auto" w:fill="FFFFFF"/>
        <w:spacing w:after="0" w:line="240" w:lineRule="auto"/>
        <w:jc w:val="both"/>
        <w:rPr>
          <w:rFonts w:ascii="Times New Roman" w:hAnsi="Times New Roman"/>
          <w:color w:val="000000" w:themeColor="text1"/>
          <w:sz w:val="16"/>
          <w:szCs w:val="16"/>
        </w:rPr>
      </w:pPr>
    </w:p>
    <w:p w14:paraId="2BD573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сентября 1940 г. началось серийное производство СБ 2 М-105 (6413).</w:t>
      </w:r>
    </w:p>
    <w:p w14:paraId="36AFBAA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E9822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на заводе № 22 выпустили пять машин СБ, оснащенных системой завода № 156 с использованием выхлопных газов, для войсковых испытаний, завершившихся в конце октября (9927).</w:t>
      </w:r>
    </w:p>
    <w:p w14:paraId="7D6161A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BEC9A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сентября 1940 г. началось серийное производство СБ 2 M-105. По состоянию на второе декабря 1940 г. авиазавод № 22 отправил в войсковые части 17 СБ 2 М-105,47 было сдано, но неотправлено, еше 47 готовились к военной приемке (т.е. имелось 111 самолетов). До прекращения производства, в первой половине 1941 г. 22-й авиазавод сдал последние 68 СБ. Среди этих неполных семи десятков часть перешла с 1940 г., также некоторое количество самолетов в этой группе были оснащены двигателями М-103. Не располагая на данный момент уточненными цифрами на начало 1941 г. общее количество выпущенных 22-м авиазаводом СБ 2 М-105 можно определить в полторы сотни машин (12027).</w:t>
      </w:r>
    </w:p>
    <w:p w14:paraId="5EE6DE9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9F565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закончились гос. испытания ББ-22 опытного N 1041 производства завода 1 с М-103 (1081).</w:t>
      </w:r>
    </w:p>
    <w:p w14:paraId="365300B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95071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комиссия НКАП изучила проект модер</w:t>
      </w:r>
      <w:r w:rsidRPr="00A3026E">
        <w:rPr>
          <w:rFonts w:ascii="Times New Roman" w:hAnsi="Times New Roman"/>
          <w:color w:val="000000" w:themeColor="text1"/>
          <w:sz w:val="16"/>
          <w:szCs w:val="16"/>
        </w:rPr>
        <w:softHyphen/>
        <w:t>низации ББ-22 А.С. Яковлева в пикирующий бомбарди</w:t>
      </w:r>
      <w:r w:rsidRPr="00A3026E">
        <w:rPr>
          <w:rFonts w:ascii="Times New Roman" w:hAnsi="Times New Roman"/>
          <w:color w:val="000000" w:themeColor="text1"/>
          <w:sz w:val="16"/>
          <w:szCs w:val="16"/>
        </w:rPr>
        <w:softHyphen/>
        <w:t>ровщик, а ВВС рассмотрели проект Б-2 А.А.Архангель</w:t>
      </w:r>
      <w:r w:rsidRPr="00A3026E">
        <w:rPr>
          <w:rFonts w:ascii="Times New Roman" w:hAnsi="Times New Roman"/>
          <w:color w:val="000000" w:themeColor="text1"/>
          <w:sz w:val="16"/>
          <w:szCs w:val="16"/>
        </w:rPr>
        <w:softHyphen/>
        <w:t>ского. Пикирующие бомбардировщики проектирова</w:t>
      </w:r>
      <w:r w:rsidRPr="00A3026E">
        <w:rPr>
          <w:rFonts w:ascii="Times New Roman" w:hAnsi="Times New Roman"/>
          <w:color w:val="000000" w:themeColor="text1"/>
          <w:sz w:val="16"/>
          <w:szCs w:val="16"/>
        </w:rPr>
        <w:softHyphen/>
        <w:t>лись в конструкторских бюро В.Н.Беляева, В.Ф.Болхо-витинова и др. Казалось бы, что в этих условиях КБ Поликарпова, раньше других занявшееся данной тематикой и накопив</w:t>
      </w:r>
      <w:r w:rsidRPr="00A3026E">
        <w:rPr>
          <w:rFonts w:ascii="Times New Roman" w:hAnsi="Times New Roman"/>
          <w:color w:val="000000" w:themeColor="text1"/>
          <w:sz w:val="16"/>
          <w:szCs w:val="16"/>
        </w:rPr>
        <w:softHyphen/>
        <w:t>шее ценный практический опыт, должно пользоваться поддержкой руководства ВВС и авиапромышленности, однако на деле никакой поддержки ему оказано не было, наоборот, предпринимались шаги по ограничению дея</w:t>
      </w:r>
      <w:r w:rsidRPr="00A3026E">
        <w:rPr>
          <w:rFonts w:ascii="Times New Roman" w:hAnsi="Times New Roman"/>
          <w:color w:val="000000" w:themeColor="text1"/>
          <w:sz w:val="16"/>
          <w:szCs w:val="16"/>
        </w:rPr>
        <w:softHyphen/>
        <w:t>тельности Н.Н.Поликарпова. Работы за 1939 г. долго не оплачивались наркоматом и также долго не утвержда</w:t>
      </w:r>
      <w:r w:rsidRPr="00A3026E">
        <w:rPr>
          <w:rFonts w:ascii="Times New Roman" w:hAnsi="Times New Roman"/>
          <w:color w:val="000000" w:themeColor="text1"/>
          <w:sz w:val="16"/>
          <w:szCs w:val="16"/>
        </w:rPr>
        <w:softHyphen/>
        <w:t>лись программы работ на 1940 г. и не выделялись по ним кредиты. Все это сильно тормозило не только постройку и испытания СПБ, но и реализацию целого ряда проек</w:t>
      </w:r>
      <w:r w:rsidRPr="00A3026E">
        <w:rPr>
          <w:rFonts w:ascii="Times New Roman" w:hAnsi="Times New Roman"/>
          <w:color w:val="000000" w:themeColor="text1"/>
          <w:sz w:val="16"/>
          <w:szCs w:val="16"/>
        </w:rPr>
        <w:softHyphen/>
        <w:t>тов. Принятое в ноябре 1939 г. решение о выделении из состава КБ Н.Н.Поликарпова ОКО во главе с А.И.Микоя</w:t>
      </w:r>
      <w:r w:rsidRPr="00A3026E">
        <w:rPr>
          <w:rFonts w:ascii="Times New Roman" w:hAnsi="Times New Roman"/>
          <w:color w:val="000000" w:themeColor="text1"/>
          <w:sz w:val="16"/>
          <w:szCs w:val="16"/>
        </w:rPr>
        <w:softHyphen/>
        <w:t>ном послужило толчком к фактическому разгрому КБ Поликарпова, когда менее чем за год численность коллек</w:t>
      </w:r>
      <w:r w:rsidRPr="00A3026E">
        <w:rPr>
          <w:rFonts w:ascii="Times New Roman" w:hAnsi="Times New Roman"/>
          <w:color w:val="000000" w:themeColor="text1"/>
          <w:sz w:val="16"/>
          <w:szCs w:val="16"/>
        </w:rPr>
        <w:softHyphen/>
        <w:t>тива сократилась почти в три раза (10667).</w:t>
      </w:r>
    </w:p>
    <w:p w14:paraId="0E13E5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C5B4B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была начата разработка рабочих чертежей ДИС (МиГ-5) и закончили за 2 месяца и 15 дней, а макетные чертежи сделали за 14 дней (2181,26).</w:t>
      </w:r>
    </w:p>
    <w:p w14:paraId="455D640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D398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завод № 301 посетили нарком А.И.Шахурин и начальник ВВС РККА Я.В.Смушкевич. Они осмотрели оба истребителя И-301, после чего на совещании с руководством КБ объявили о необходимости увеличения дальности полета с 600 км до 1000 км. Это была действительно беда - дополнительное топливо ухудшало летные характеристики самолета, увеличивало нагрузку (и без того предельную) на опоры шасси. Кроме того, это самое топливо требовалось где-то разместить, что на уже построенных самолетах сделать совсем не просто. Пришлось в отъемных частях крыла оборудовать два кессон-бака. В кратчайшие сроки эту работу проделали лучшие инженеры и рабочие КБ под руководством Ю.Б.Струцеля. И-301 с тремя топливными баками известен так же, как ЛаГГ-1 (4707).</w:t>
      </w:r>
    </w:p>
    <w:p w14:paraId="1290D0B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8A3AE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301 завод посетили А.И.Ш. и Я.В.Смушкевич. Увидели обе опытных машины, которые пока были не окончены и планировалось выкатить их к началу октября. Поручили увеличить дальность с 556 до 1000 км. Сделали в консолях два кессона и работал ответственный за крыло Ю.Б.Стурцель (1204,81).</w:t>
      </w:r>
    </w:p>
    <w:p w14:paraId="1A65BE6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C45E5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неожиданно изменились требования к дальности полета И-301. После осмотра И-301 и конкурировавшего с ним И-26, созданного под руководством А.С. Яковлева, новым наркомом авиапромышленности А.И. Шaxyриным и начальником ВВС РККА Я.С. Смушкевичем, конструкторам объявили о необходимости поднять максимальную дальность до 1000 км. Первоначально на истребителе было три бензобака (один в фюзеляже и два в центроплане), пришлось добавить еще два кессон-бака в консолях. Увеличение взлетного веса потребовало также некоторого усиления шасси. Второй экземпляр И-301 спешно доработали, увеличив запас топлива. На нем Никашин совершил беспосадочный перелет Москва - Курск - Москва протяженностью 850 км. Остатка бензина хватило бы еще на 250 - 300 км. Это подтвердило возможности истребителя в отношении дальности полета.</w:t>
      </w:r>
    </w:p>
    <w:p w14:paraId="30837F2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B0DD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1940-го Приказом Народного комиссара авиапромышленности Шахурина И-180 был снят с производства с заменой его истреби</w:t>
      </w:r>
      <w:r w:rsidRPr="00A3026E">
        <w:rPr>
          <w:rFonts w:ascii="Times New Roman" w:hAnsi="Times New Roman"/>
          <w:color w:val="000000" w:themeColor="text1"/>
          <w:sz w:val="16"/>
          <w:szCs w:val="16"/>
        </w:rPr>
        <w:softHyphen/>
        <w:t>телем ИП-21 конструктора Пашинина (9979).</w:t>
      </w:r>
    </w:p>
    <w:p w14:paraId="7F4049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05B83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1940-го, на момент закрытия работ по И-180, в Горьком имелось шесть гото</w:t>
      </w:r>
      <w:r w:rsidRPr="00A3026E">
        <w:rPr>
          <w:rFonts w:ascii="Times New Roman" w:hAnsi="Times New Roman"/>
          <w:color w:val="000000" w:themeColor="text1"/>
          <w:sz w:val="16"/>
          <w:szCs w:val="16"/>
        </w:rPr>
        <w:softHyphen/>
        <w:t>вых самолетов (без моторов) из состава войс</w:t>
      </w:r>
      <w:r w:rsidRPr="00A3026E">
        <w:rPr>
          <w:rFonts w:ascii="Times New Roman" w:hAnsi="Times New Roman"/>
          <w:color w:val="000000" w:themeColor="text1"/>
          <w:sz w:val="16"/>
          <w:szCs w:val="16"/>
        </w:rPr>
        <w:softHyphen/>
        <w:t>ковой серии (9979).</w:t>
      </w:r>
    </w:p>
    <w:p w14:paraId="31E108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1014B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сентябре 1940 г. приказом А.И.Шахурина самолет И - 180 сняли с производства, его место занял истребитель Пашинина. Впрочем, ИП-21 со своим появлением несколько запоздал. Практически в этот период претензии на авиазавод №21 предъявили А.С.Яковлев (И-26), А.И.Микоян (И-200). С.АЛавочкин (И-301). В отношении опытного истребителя И-301 результаты государственных испытаний свидетельствовали. что среди отечественных самолетов с двигателем М-105 он обладает наиболее высокими летными характеристиками. В частности его максимальная скорость на высоте 4950 м составила 605 км/ч. Поэтому под обозначением ЛАГГ-3 его и запустили в серийное производство на заводе №21. Здесь истребитель Лавочкина, Горбунова и Гудкова получил обозначение тип 31 и уже в декабре 1940 г. началось его изготовление. Был этот истребитель конструктивно выполнен на 36% из дерева (в И-16 деревянных деталей конструкции было 10%) и </w:t>
      </w:r>
      <w:r w:rsidRPr="00A3026E">
        <w:rPr>
          <w:rFonts w:ascii="Times New Roman" w:hAnsi="Times New Roman"/>
          <w:color w:val="000000" w:themeColor="text1"/>
          <w:sz w:val="16"/>
          <w:szCs w:val="16"/>
        </w:rPr>
        <w:lastRenderedPageBreak/>
        <w:t>поразительным образом подтверждал стародавнее утверждение Поликарпова, что в российских условиях самолет для войны должен иметь деревянную конструкцию (12015).</w:t>
      </w:r>
    </w:p>
    <w:p w14:paraId="49C3F15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D0DB8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w:t>
      </w:r>
      <w:r w:rsidRPr="00A3026E">
        <w:rPr>
          <w:rFonts w:ascii="Times New Roman" w:hAnsi="Times New Roman"/>
          <w:color w:val="000000" w:themeColor="text1"/>
          <w:sz w:val="16"/>
          <w:szCs w:val="16"/>
        </w:rPr>
        <w:softHyphen/>
        <w:t>тябре 1940 г. процессе госиспытаний И—200 проверялась работа станции РСИ—3 (РСИ — радиостанция истребителя) с приемником РСИ—4 «Малютка» на дальность 70 км, при этом бы</w:t>
      </w:r>
      <w:r w:rsidRPr="00A3026E">
        <w:rPr>
          <w:rFonts w:ascii="Times New Roman" w:hAnsi="Times New Roman"/>
          <w:color w:val="000000" w:themeColor="text1"/>
          <w:sz w:val="16"/>
          <w:szCs w:val="16"/>
        </w:rPr>
        <w:softHyphen/>
        <w:t>ли получены удовлетворительные результаты (9984).</w:t>
      </w:r>
    </w:p>
    <w:p w14:paraId="126035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FE1DF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в процессе госиспытаний И-200 проверялась работа станции PCИ-3 (PCИ - радиостанция истребителя) с приемником РСИ-4 "Малютка" на дальность 70 км, при этом были получены удовлетворительные результаты. В феврале 1941 г. в НИИ ВВС была оценена максимальная дальность уверенного приема радиостанции РСИ-3, которая составила 150 км. Однако питание передатчика РСИ-3 осуществлялось от одноразовых сухих батарей, что ухудшало их эксплуатационные свойства: батарей традиционно не хватало, их замена производилась несвоевременно, что затрудняло освоение радиообмена летным составом. Главным отличием радиостанции РСИ-4 от РСИ-3 являлся умформер - преобразователь, который, в свою очередь, получал питание от генератора постоянного тока или самолетной аккумуляторной батареи. Кроме того, РСИ-3 имела всего 6 фиксированных частот для связи, а РСИ-4 - уже 90. Начиная с 51 самолета 6-й серии каждый третий истребитель МиГ-3 выпускался с радиопередатчиком РСИ-4. Остальные машины имели только радиоприемники.</w:t>
      </w:r>
    </w:p>
    <w:p w14:paraId="6740FB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Из-за неудачного экранирования системы зажигания мотора и неаккуратной металлизации самолета в наушниках пилота возникал постоянный утомительный шум, сквозь который было почти невозможно услышать радиосообщение. Многие пилоты попросту обрезали шнуры шлемофонов, чтобы они не мешали "вертеть головой". Плохое качество связи самым негативным образом отразилось на потерях советских истребителей в начальный период войны. Но во многом были виноваты и эксплуатационники: часто они не умели как следует отрегулировать радиостанции.</w:t>
      </w:r>
    </w:p>
    <w:p w14:paraId="42EDAB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лета завод N° 1 снова стал сдавать МиГи с подкрыльевыми пулеметами (12045).</w:t>
      </w:r>
    </w:p>
    <w:p w14:paraId="32D16BC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721BE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вышел отчет НИИ ВВС по гос. испытаниям МиГ-1 (1684,168).</w:t>
      </w:r>
    </w:p>
    <w:p w14:paraId="54A6D5C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4DCB59" w14:textId="77777777" w:rsidR="006317F0" w:rsidRPr="00A3026E" w:rsidRDefault="006317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сентябре 1940 года завод № 301 посетили нарком А.И. Шахурин и начальник ВВС Я.В. Смушкевич. Они осмотрели оба истребителя И-301, после чего на совещании с руководством КБ объявили о необходимости увеличения дальности полета с 600 км до 1000 километров (23197).</w:t>
      </w:r>
    </w:p>
    <w:p w14:paraId="5A7EC92E" w14:textId="77777777" w:rsidR="006317F0" w:rsidRPr="00A3026E" w:rsidRDefault="006317F0" w:rsidP="00A3026E">
      <w:pPr>
        <w:spacing w:after="0" w:line="240" w:lineRule="auto"/>
        <w:jc w:val="both"/>
        <w:rPr>
          <w:rFonts w:ascii="Times New Roman" w:hAnsi="Times New Roman"/>
          <w:color w:val="0070C0"/>
          <w:sz w:val="16"/>
          <w:szCs w:val="16"/>
        </w:rPr>
      </w:pPr>
    </w:p>
    <w:p w14:paraId="1F631B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w:t>
      </w:r>
      <w:r w:rsidRPr="00A3026E">
        <w:rPr>
          <w:rFonts w:ascii="Times New Roman" w:hAnsi="Times New Roman"/>
          <w:color w:val="000000" w:themeColor="text1"/>
          <w:sz w:val="16"/>
          <w:szCs w:val="16"/>
        </w:rPr>
        <w:softHyphen/>
        <w:t>тября 1940 г. Макет И-185 (объект №62) с двигателем М-90 испытывался в аэродинами</w:t>
      </w:r>
      <w:r w:rsidRPr="00A3026E">
        <w:rPr>
          <w:rFonts w:ascii="Times New Roman" w:hAnsi="Times New Roman"/>
          <w:color w:val="000000" w:themeColor="text1"/>
          <w:sz w:val="16"/>
          <w:szCs w:val="16"/>
        </w:rPr>
        <w:softHyphen/>
        <w:t>ческих трубах Т-101 и Т-104 ЦАГИ. Испытывались раз</w:t>
      </w:r>
      <w:r w:rsidRPr="00A3026E">
        <w:rPr>
          <w:rFonts w:ascii="Times New Roman" w:hAnsi="Times New Roman"/>
          <w:color w:val="000000" w:themeColor="text1"/>
          <w:sz w:val="16"/>
          <w:szCs w:val="16"/>
        </w:rPr>
        <w:softHyphen/>
        <w:t>личные варианты капота с центральным вход</w:t>
      </w:r>
      <w:r w:rsidRPr="00A3026E">
        <w:rPr>
          <w:rFonts w:ascii="Times New Roman" w:hAnsi="Times New Roman"/>
          <w:color w:val="000000" w:themeColor="text1"/>
          <w:sz w:val="16"/>
          <w:szCs w:val="16"/>
        </w:rPr>
        <w:softHyphen/>
        <w:t>ным отверстием, диаметром 380,450 и 500 мм, два варианта всасывающих патрубков - наруж</w:t>
      </w:r>
      <w:r w:rsidRPr="00A3026E">
        <w:rPr>
          <w:rFonts w:ascii="Times New Roman" w:hAnsi="Times New Roman"/>
          <w:color w:val="000000" w:themeColor="text1"/>
          <w:sz w:val="16"/>
          <w:szCs w:val="16"/>
        </w:rPr>
        <w:softHyphen/>
        <w:t>ный и внутренний. Определялись аэродинами</w:t>
      </w:r>
      <w:r w:rsidRPr="00A3026E">
        <w:rPr>
          <w:rFonts w:ascii="Times New Roman" w:hAnsi="Times New Roman"/>
          <w:color w:val="000000" w:themeColor="text1"/>
          <w:sz w:val="16"/>
          <w:szCs w:val="16"/>
        </w:rPr>
        <w:softHyphen/>
        <w:t>ческие параметры капота и мотора, распреде</w:t>
      </w:r>
      <w:r w:rsidRPr="00A3026E">
        <w:rPr>
          <w:rFonts w:ascii="Times New Roman" w:hAnsi="Times New Roman"/>
          <w:color w:val="000000" w:themeColor="text1"/>
          <w:sz w:val="16"/>
          <w:szCs w:val="16"/>
        </w:rPr>
        <w:softHyphen/>
        <w:t>ление воздушного давления на различных уча</w:t>
      </w:r>
      <w:r w:rsidRPr="00A3026E">
        <w:rPr>
          <w:rFonts w:ascii="Times New Roman" w:hAnsi="Times New Roman"/>
          <w:color w:val="000000" w:themeColor="text1"/>
          <w:sz w:val="16"/>
          <w:szCs w:val="16"/>
        </w:rPr>
        <w:softHyphen/>
        <w:t>стках силовой установки. Проведенные испытания показали, что ис</w:t>
      </w:r>
      <w:r w:rsidRPr="00A3026E">
        <w:rPr>
          <w:rFonts w:ascii="Times New Roman" w:hAnsi="Times New Roman"/>
          <w:color w:val="000000" w:themeColor="text1"/>
          <w:sz w:val="16"/>
          <w:szCs w:val="16"/>
        </w:rPr>
        <w:softHyphen/>
        <w:t>пользование капота с центральным воздухоза</w:t>
      </w:r>
      <w:r w:rsidRPr="00A3026E">
        <w:rPr>
          <w:rFonts w:ascii="Times New Roman" w:hAnsi="Times New Roman"/>
          <w:color w:val="000000" w:themeColor="text1"/>
          <w:sz w:val="16"/>
          <w:szCs w:val="16"/>
        </w:rPr>
        <w:softHyphen/>
        <w:t>борником целесообразно на скоростях от 70С до 850 км/ч. Капот имеет большие потери на</w:t>
      </w:r>
      <w:r w:rsidRPr="00A3026E">
        <w:rPr>
          <w:rFonts w:ascii="Times New Roman" w:hAnsi="Times New Roman"/>
          <w:color w:val="000000" w:themeColor="text1"/>
          <w:sz w:val="16"/>
          <w:szCs w:val="16"/>
        </w:rPr>
        <w:softHyphen/>
        <w:t>пора во входной части, создает излишнее со</w:t>
      </w:r>
      <w:r w:rsidRPr="00A3026E">
        <w:rPr>
          <w:rFonts w:ascii="Times New Roman" w:hAnsi="Times New Roman"/>
          <w:color w:val="000000" w:themeColor="text1"/>
          <w:sz w:val="16"/>
          <w:szCs w:val="16"/>
        </w:rPr>
        <w:softHyphen/>
        <w:t>противление на максимальной скорости поле</w:t>
      </w:r>
      <w:r w:rsidRPr="00A3026E">
        <w:rPr>
          <w:rFonts w:ascii="Times New Roman" w:hAnsi="Times New Roman"/>
          <w:color w:val="000000" w:themeColor="text1"/>
          <w:sz w:val="16"/>
          <w:szCs w:val="16"/>
        </w:rPr>
        <w:softHyphen/>
        <w:t>та, невозможно полноценное охлаждение дви</w:t>
      </w:r>
      <w:r w:rsidRPr="00A3026E">
        <w:rPr>
          <w:rFonts w:ascii="Times New Roman" w:hAnsi="Times New Roman"/>
          <w:color w:val="000000" w:themeColor="text1"/>
          <w:sz w:val="16"/>
          <w:szCs w:val="16"/>
        </w:rPr>
        <w:softHyphen/>
        <w:t>гателя на земле при проведении рулежки и со</w:t>
      </w:r>
      <w:r w:rsidRPr="00A3026E">
        <w:rPr>
          <w:rFonts w:ascii="Times New Roman" w:hAnsi="Times New Roman"/>
          <w:color w:val="000000" w:themeColor="text1"/>
          <w:sz w:val="16"/>
          <w:szCs w:val="16"/>
        </w:rPr>
        <w:softHyphen/>
        <w:t>вершении взлета. Отчасти, применение цент</w:t>
      </w:r>
      <w:r w:rsidRPr="00A3026E">
        <w:rPr>
          <w:rFonts w:ascii="Times New Roman" w:hAnsi="Times New Roman"/>
          <w:color w:val="000000" w:themeColor="text1"/>
          <w:sz w:val="16"/>
          <w:szCs w:val="16"/>
        </w:rPr>
        <w:softHyphen/>
        <w:t>робежного вентилятора могло решить пробле</w:t>
      </w:r>
      <w:r w:rsidRPr="00A3026E">
        <w:rPr>
          <w:rFonts w:ascii="Times New Roman" w:hAnsi="Times New Roman"/>
          <w:color w:val="000000" w:themeColor="text1"/>
          <w:sz w:val="16"/>
          <w:szCs w:val="16"/>
        </w:rPr>
        <w:softHyphen/>
        <w:t>му охлаждения на взлете и избежать потерь на входе в полете. Вычислили наиболее опти</w:t>
      </w:r>
      <w:r w:rsidRPr="00A3026E">
        <w:rPr>
          <w:rFonts w:ascii="Times New Roman" w:hAnsi="Times New Roman"/>
          <w:color w:val="000000" w:themeColor="text1"/>
          <w:sz w:val="16"/>
          <w:szCs w:val="16"/>
        </w:rPr>
        <w:softHyphen/>
        <w:t>мальный размер отверстия, который состави/ 0,24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Все эти результаты исследований в ЦАП' были окончательно готовы в феврале 1941 г Впрочем, интерес к оригинальному изобрете</w:t>
      </w:r>
      <w:r w:rsidRPr="00A3026E">
        <w:rPr>
          <w:rFonts w:ascii="Times New Roman" w:hAnsi="Times New Roman"/>
          <w:color w:val="000000" w:themeColor="text1"/>
          <w:sz w:val="16"/>
          <w:szCs w:val="16"/>
        </w:rPr>
        <w:softHyphen/>
        <w:t>нию уже поугас и на практике капоты с цент</w:t>
      </w:r>
      <w:r w:rsidRPr="00A3026E">
        <w:rPr>
          <w:rFonts w:ascii="Times New Roman" w:hAnsi="Times New Roman"/>
          <w:color w:val="000000" w:themeColor="text1"/>
          <w:sz w:val="16"/>
          <w:szCs w:val="16"/>
        </w:rPr>
        <w:softHyphen/>
        <w:t>ральным входом не использовались (9979).</w:t>
      </w:r>
    </w:p>
    <w:p w14:paraId="381F84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C2093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сентября 1940 г., пока не завершилось минимально не</w:t>
      </w:r>
      <w:r w:rsidRPr="00A3026E">
        <w:rPr>
          <w:rFonts w:ascii="Times New Roman" w:hAnsi="Times New Roman"/>
          <w:color w:val="000000" w:themeColor="text1"/>
          <w:sz w:val="16"/>
          <w:szCs w:val="16"/>
        </w:rPr>
        <w:softHyphen/>
        <w:t>обходимое переоборудование ангара, Поликарпов и его КБ находились на заводе № 1 (10667).</w:t>
      </w:r>
    </w:p>
    <w:p w14:paraId="78BF5F2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0B1B913" w14:textId="77777777" w:rsidR="00190FE9" w:rsidRPr="00A3026E" w:rsidRDefault="00190FE9"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сен</w:t>
      </w:r>
      <w:r w:rsidRPr="00A3026E">
        <w:rPr>
          <w:color w:val="000000" w:themeColor="text1"/>
          <w:sz w:val="16"/>
          <w:szCs w:val="16"/>
        </w:rPr>
        <w:softHyphen/>
        <w:t>тябре 1940 г. Поликарпов приступил к техническому проектированию истребителя под 37-мм пушку Шпитального — ИТП (истребитель тяжелый пушечный). Помимо «большой» пушки, ИТП имел две пушки ШВАК. Самолет создавался как вари</w:t>
      </w:r>
      <w:r w:rsidRPr="00A3026E">
        <w:rPr>
          <w:color w:val="000000" w:themeColor="text1"/>
          <w:sz w:val="16"/>
          <w:szCs w:val="16"/>
        </w:rPr>
        <w:softHyphen/>
        <w:t>ант проекта истребителя И-174 с мотором АМ-37П с учетом опыта разработки эскизного проекта ис</w:t>
      </w:r>
      <w:r w:rsidRPr="00A3026E">
        <w:rPr>
          <w:color w:val="000000" w:themeColor="text1"/>
          <w:sz w:val="16"/>
          <w:szCs w:val="16"/>
        </w:rPr>
        <w:softHyphen/>
        <w:t>требителя И-173 с мотором М-105П.</w:t>
      </w:r>
    </w:p>
    <w:p w14:paraId="1D15F561" w14:textId="77777777" w:rsidR="00190FE9" w:rsidRPr="00A3026E" w:rsidRDefault="00190FE9"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Назначение самолета было сформулировано следующим образом: «1) Ведение активного воз</w:t>
      </w:r>
      <w:r w:rsidRPr="00A3026E">
        <w:rPr>
          <w:color w:val="000000" w:themeColor="text1"/>
          <w:sz w:val="16"/>
          <w:szCs w:val="16"/>
        </w:rPr>
        <w:softHyphen/>
        <w:t>душного боя с самолетами противника, главным образом уничтожение бомбардировщиков. 2) По</w:t>
      </w:r>
      <w:r w:rsidRPr="00A3026E">
        <w:rPr>
          <w:color w:val="000000" w:themeColor="text1"/>
          <w:sz w:val="16"/>
          <w:szCs w:val="16"/>
        </w:rPr>
        <w:softHyphen/>
        <w:t>ражение наземных целей: танков, броневиков, зе</w:t>
      </w:r>
      <w:r w:rsidRPr="00A3026E">
        <w:rPr>
          <w:color w:val="000000" w:themeColor="text1"/>
          <w:sz w:val="16"/>
          <w:szCs w:val="16"/>
        </w:rPr>
        <w:softHyphen/>
        <w:t>нитных батарей, пулеметных гнезд и т.п. 3) Сопро</w:t>
      </w:r>
      <w:r w:rsidRPr="00A3026E">
        <w:rPr>
          <w:color w:val="000000" w:themeColor="text1"/>
          <w:sz w:val="16"/>
          <w:szCs w:val="16"/>
        </w:rPr>
        <w:softHyphen/>
        <w:t>вождение бомбардировщиков».</w:t>
      </w:r>
    </w:p>
    <w:p w14:paraId="6E735E28" w14:textId="77777777" w:rsidR="00190FE9" w:rsidRPr="00A3026E" w:rsidRDefault="00190FE9"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Акцент при проектировании истребителя был сделан на мощное вооружение и большую даль</w:t>
      </w:r>
      <w:r w:rsidRPr="00A3026E">
        <w:rPr>
          <w:color w:val="000000" w:themeColor="text1"/>
          <w:sz w:val="16"/>
          <w:szCs w:val="16"/>
        </w:rPr>
        <w:softHyphen/>
        <w:t>ность полета при высоких скоростных и манев</w:t>
      </w:r>
      <w:r w:rsidRPr="00A3026E">
        <w:rPr>
          <w:color w:val="000000" w:themeColor="text1"/>
          <w:sz w:val="16"/>
          <w:szCs w:val="16"/>
        </w:rPr>
        <w:softHyphen/>
        <w:t>ренных качествах. Предполагалось, что ИТП по основным летным данным будет близок к истреби</w:t>
      </w:r>
      <w:r w:rsidRPr="00A3026E">
        <w:rPr>
          <w:color w:val="000000" w:themeColor="text1"/>
          <w:sz w:val="16"/>
          <w:szCs w:val="16"/>
        </w:rPr>
        <w:softHyphen/>
        <w:t>телям И-185 и МиГ-1, но по вооружению и дально</w:t>
      </w:r>
      <w:r w:rsidRPr="00A3026E">
        <w:rPr>
          <w:color w:val="000000" w:themeColor="text1"/>
          <w:sz w:val="16"/>
          <w:szCs w:val="16"/>
        </w:rPr>
        <w:softHyphen/>
        <w:t>сти — значительно их превосходить. Самолет имел повышенную нагрузку на крыло (215 кг/м</w:t>
      </w:r>
      <w:r w:rsidRPr="00A3026E">
        <w:rPr>
          <w:color w:val="000000" w:themeColor="text1"/>
          <w:sz w:val="16"/>
          <w:szCs w:val="16"/>
          <w:vertAlign w:val="superscript"/>
        </w:rPr>
        <w:t>2</w:t>
      </w:r>
      <w:r w:rsidRPr="00A3026E">
        <w:rPr>
          <w:color w:val="000000" w:themeColor="text1"/>
          <w:sz w:val="16"/>
          <w:szCs w:val="16"/>
        </w:rPr>
        <w:t>) при достаточно высоком для того времени значении энерговооруженности (0,395 л.с./кг) и весьма при</w:t>
      </w:r>
      <w:r w:rsidRPr="00A3026E">
        <w:rPr>
          <w:color w:val="000000" w:themeColor="text1"/>
          <w:sz w:val="16"/>
          <w:szCs w:val="16"/>
        </w:rPr>
        <w:softHyphen/>
        <w:t>личной аэродинамике. Коэффициент лобового со</w:t>
      </w:r>
      <w:r w:rsidRPr="00A3026E">
        <w:rPr>
          <w:color w:val="000000" w:themeColor="text1"/>
          <w:sz w:val="16"/>
          <w:szCs w:val="16"/>
        </w:rPr>
        <w:softHyphen/>
        <w:t>противления С</w:t>
      </w:r>
      <w:r w:rsidRPr="00A3026E">
        <w:rPr>
          <w:color w:val="000000" w:themeColor="text1"/>
          <w:sz w:val="16"/>
          <w:szCs w:val="16"/>
          <w:vertAlign w:val="subscript"/>
        </w:rPr>
        <w:t>х</w:t>
      </w:r>
      <w:r w:rsidRPr="00A3026E">
        <w:rPr>
          <w:color w:val="000000" w:themeColor="text1"/>
          <w:sz w:val="16"/>
          <w:szCs w:val="16"/>
        </w:rPr>
        <w:t xml:space="preserve"> составлял 0,0219, что было лучше, чем у истребителя МиГ-1 — 0,0230, который в аэро</w:t>
      </w:r>
      <w:r w:rsidRPr="00A3026E">
        <w:rPr>
          <w:color w:val="000000" w:themeColor="text1"/>
          <w:sz w:val="16"/>
          <w:szCs w:val="16"/>
        </w:rPr>
        <w:softHyphen/>
        <w:t>динамическом отношении считался совершенной машиной. Приемлемые взлетно-посадочные каче</w:t>
      </w:r>
      <w:r w:rsidRPr="00A3026E">
        <w:rPr>
          <w:color w:val="000000" w:themeColor="text1"/>
          <w:sz w:val="16"/>
          <w:szCs w:val="16"/>
        </w:rPr>
        <w:softHyphen/>
        <w:t>ства обеспечивались мощной механизацией крыла (С</w:t>
      </w:r>
      <w:r w:rsidRPr="00A3026E">
        <w:rPr>
          <w:color w:val="000000" w:themeColor="text1"/>
          <w:sz w:val="16"/>
          <w:szCs w:val="16"/>
          <w:vertAlign w:val="subscript"/>
        </w:rPr>
        <w:t>упос</w:t>
      </w:r>
      <w:r w:rsidRPr="00A3026E">
        <w:rPr>
          <w:color w:val="000000" w:themeColor="text1"/>
          <w:sz w:val="16"/>
          <w:szCs w:val="16"/>
        </w:rPr>
        <w:t xml:space="preserve"> составлял 2,0). По весу секундного залпа, ко</w:t>
      </w:r>
      <w:r w:rsidRPr="00A3026E">
        <w:rPr>
          <w:color w:val="000000" w:themeColor="text1"/>
          <w:sz w:val="16"/>
          <w:szCs w:val="16"/>
        </w:rPr>
        <w:softHyphen/>
        <w:t>торый достигал 5,04 кг, самолету ИТП на тот момент не было равных в ВВС КА.</w:t>
      </w:r>
    </w:p>
    <w:p w14:paraId="5AF00F27" w14:textId="77777777" w:rsidR="00190FE9" w:rsidRPr="00A3026E" w:rsidRDefault="00190FE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это позволяло реализовать на ИТП высокую вероятность сбития самолета противника в пер</w:t>
      </w:r>
      <w:r w:rsidRPr="00A3026E">
        <w:rPr>
          <w:rFonts w:ascii="Times New Roman" w:hAnsi="Times New Roman"/>
          <w:color w:val="000000" w:themeColor="text1"/>
          <w:sz w:val="16"/>
          <w:szCs w:val="16"/>
        </w:rPr>
        <w:softHyphen/>
        <w:t>вой атаке, необходимую скорость и маневренность в вертикальной плоскости, которая, по сути, и яв</w:t>
      </w:r>
      <w:r w:rsidRPr="00A3026E">
        <w:rPr>
          <w:rFonts w:ascii="Times New Roman" w:hAnsi="Times New Roman"/>
          <w:color w:val="000000" w:themeColor="text1"/>
          <w:sz w:val="16"/>
          <w:szCs w:val="16"/>
        </w:rPr>
        <w:softHyphen/>
        <w:t>лялась боевой маневренностью в современной войне. По замыслу сочетание именно этих факто</w:t>
      </w:r>
      <w:r w:rsidRPr="00A3026E">
        <w:rPr>
          <w:rFonts w:ascii="Times New Roman" w:hAnsi="Times New Roman"/>
          <w:color w:val="000000" w:themeColor="text1"/>
          <w:sz w:val="16"/>
          <w:szCs w:val="16"/>
        </w:rPr>
        <w:softHyphen/>
        <w:t>ров и должно было обеспечить ИТП повышенную эффективность в воздушном бою.</w:t>
      </w:r>
    </w:p>
    <w:p w14:paraId="4682374A" w14:textId="77777777" w:rsidR="00190FE9" w:rsidRPr="00A3026E" w:rsidRDefault="00190FE9"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Для сравнения: нагрузка на крыло у самоле</w:t>
      </w:r>
      <w:r w:rsidRPr="00A3026E">
        <w:rPr>
          <w:color w:val="000000" w:themeColor="text1"/>
          <w:sz w:val="16"/>
          <w:szCs w:val="16"/>
        </w:rPr>
        <w:softHyphen/>
        <w:t>та МиГ-1 АМ-35А равнялась 178 кг/м</w:t>
      </w:r>
      <w:r w:rsidRPr="00A3026E">
        <w:rPr>
          <w:color w:val="000000" w:themeColor="text1"/>
          <w:sz w:val="16"/>
          <w:szCs w:val="16"/>
          <w:vertAlign w:val="superscript"/>
        </w:rPr>
        <w:t>2</w:t>
      </w:r>
      <w:r w:rsidRPr="00A3026E">
        <w:rPr>
          <w:color w:val="000000" w:themeColor="text1"/>
          <w:sz w:val="16"/>
          <w:szCs w:val="16"/>
        </w:rPr>
        <w:t>, нагрузка на мощность — 0,387 л.с./кг, С</w:t>
      </w:r>
      <w:r w:rsidRPr="00A3026E">
        <w:rPr>
          <w:color w:val="000000" w:themeColor="text1"/>
          <w:sz w:val="16"/>
          <w:szCs w:val="16"/>
          <w:vertAlign w:val="subscript"/>
        </w:rPr>
        <w:t>упос</w:t>
      </w:r>
      <w:r w:rsidRPr="00A3026E">
        <w:rPr>
          <w:color w:val="000000" w:themeColor="text1"/>
          <w:sz w:val="16"/>
          <w:szCs w:val="16"/>
        </w:rPr>
        <w:t xml:space="preserve"> — 1,64, вес секундно</w:t>
      </w:r>
      <w:r w:rsidRPr="00A3026E">
        <w:rPr>
          <w:color w:val="000000" w:themeColor="text1"/>
          <w:sz w:val="16"/>
          <w:szCs w:val="16"/>
        </w:rPr>
        <w:softHyphen/>
        <w:t>го залпа — 1,29 кг, а у самолета И-185 М-71 соответ</w:t>
      </w:r>
      <w:r w:rsidRPr="00A3026E">
        <w:rPr>
          <w:color w:val="000000" w:themeColor="text1"/>
          <w:sz w:val="16"/>
          <w:szCs w:val="16"/>
        </w:rPr>
        <w:softHyphen/>
        <w:t>ственно 224 кг/м</w:t>
      </w:r>
      <w:r w:rsidRPr="00A3026E">
        <w:rPr>
          <w:color w:val="000000" w:themeColor="text1"/>
          <w:sz w:val="16"/>
          <w:szCs w:val="16"/>
          <w:vertAlign w:val="superscript"/>
        </w:rPr>
        <w:t>2</w:t>
      </w:r>
      <w:r w:rsidRPr="00A3026E">
        <w:rPr>
          <w:color w:val="000000" w:themeColor="text1"/>
          <w:sz w:val="16"/>
          <w:szCs w:val="16"/>
        </w:rPr>
        <w:t>, 0,496 (0,583 на форсаже) л.с./кг, 1,85 и 3,37 кг.</w:t>
      </w:r>
    </w:p>
    <w:p w14:paraId="0C8FEFD9" w14:textId="77777777" w:rsidR="00190FE9" w:rsidRPr="00A3026E" w:rsidRDefault="00190FE9"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Кроме этого, конструкция ИТП имела высокую производственную и эксплуатационную техноло</w:t>
      </w:r>
      <w:r w:rsidRPr="00A3026E">
        <w:rPr>
          <w:color w:val="000000" w:themeColor="text1"/>
          <w:sz w:val="16"/>
          <w:szCs w:val="16"/>
        </w:rPr>
        <w:softHyphen/>
        <w:t>гичность. При его изготовлении применялся плазо- во-шаблонный метод.</w:t>
      </w:r>
    </w:p>
    <w:p w14:paraId="08F102C5" w14:textId="77777777" w:rsidR="00190FE9" w:rsidRPr="00A3026E" w:rsidRDefault="00190FE9"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Особенностью ИТП являлась возможность уста</w:t>
      </w:r>
      <w:r w:rsidRPr="00A3026E">
        <w:rPr>
          <w:color w:val="000000" w:themeColor="text1"/>
          <w:sz w:val="16"/>
          <w:szCs w:val="16"/>
        </w:rPr>
        <w:softHyphen/>
        <w:t>новки на самолет различных моторов жидкостного охлаждения при минимуме вносимых изменений. При смене типа мотора менялись только мотоуста</w:t>
      </w:r>
      <w:r w:rsidRPr="00A3026E">
        <w:rPr>
          <w:color w:val="000000" w:themeColor="text1"/>
          <w:sz w:val="16"/>
          <w:szCs w:val="16"/>
        </w:rPr>
        <w:softHyphen/>
        <w:t>новки, а бензо- и маслопроводка, система управле</w:t>
      </w:r>
      <w:r w:rsidRPr="00A3026E">
        <w:rPr>
          <w:color w:val="000000" w:themeColor="text1"/>
          <w:sz w:val="16"/>
          <w:szCs w:val="16"/>
        </w:rPr>
        <w:softHyphen/>
        <w:t>ния мотором и даже капоты мотора оставались без изменений. Как отмечал Поликарпов, такой подход «гарантирует самолет от задержек с моторами и да</w:t>
      </w:r>
      <w:r w:rsidRPr="00A3026E">
        <w:rPr>
          <w:color w:val="000000" w:themeColor="text1"/>
          <w:sz w:val="16"/>
          <w:szCs w:val="16"/>
        </w:rPr>
        <w:softHyphen/>
        <w:t>ет возможность одному и тому же заводу выпускать практически два самолета без особых технологиче</w:t>
      </w:r>
      <w:r w:rsidRPr="00A3026E">
        <w:rPr>
          <w:color w:val="000000" w:themeColor="text1"/>
          <w:sz w:val="16"/>
          <w:szCs w:val="16"/>
        </w:rPr>
        <w:softHyphen/>
        <w:t>ских затруднений».</w:t>
      </w:r>
    </w:p>
    <w:p w14:paraId="2103F61E" w14:textId="77777777" w:rsidR="00190FE9" w:rsidRPr="00A3026E" w:rsidRDefault="00190FE9"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Вооружение ИТП включало: мотор-пушку кон</w:t>
      </w:r>
      <w:r w:rsidRPr="00A3026E">
        <w:rPr>
          <w:color w:val="000000" w:themeColor="text1"/>
          <w:sz w:val="16"/>
          <w:szCs w:val="16"/>
        </w:rPr>
        <w:softHyphen/>
        <w:t>струкции Б. Г. Шпитального калибра 37 мм Ш-37 (50 снарядов), две синхронные пушки ШВАК (400 снарядов). В перегрузку на легкосъемных держателях допускалась подвеска 200 кг бомб (2x100 кг или 4x50 кг) или двух выливных авиапри</w:t>
      </w:r>
      <w:r w:rsidRPr="00A3026E">
        <w:rPr>
          <w:color w:val="000000" w:themeColor="text1"/>
          <w:sz w:val="16"/>
          <w:szCs w:val="16"/>
        </w:rPr>
        <w:softHyphen/>
        <w:t>боров типа ВАП-6. Ракетное вооружение не пред</w:t>
      </w:r>
      <w:r w:rsidRPr="00A3026E">
        <w:rPr>
          <w:color w:val="000000" w:themeColor="text1"/>
          <w:sz w:val="16"/>
          <w:szCs w:val="16"/>
        </w:rPr>
        <w:softHyphen/>
        <w:t>усматривалось.</w:t>
      </w:r>
    </w:p>
    <w:p w14:paraId="3005995E" w14:textId="77777777" w:rsidR="00190FE9" w:rsidRPr="00A3026E" w:rsidRDefault="00190FE9"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 мотором АМ-37П самолет, по расчетам, дол</w:t>
      </w:r>
      <w:r w:rsidRPr="00A3026E">
        <w:rPr>
          <w:color w:val="000000" w:themeColor="text1"/>
          <w:sz w:val="16"/>
          <w:szCs w:val="16"/>
        </w:rPr>
        <w:softHyphen/>
        <w:t>жен был развивать максимальную скорость у зем</w:t>
      </w:r>
      <w:r w:rsidRPr="00A3026E">
        <w:rPr>
          <w:color w:val="000000" w:themeColor="text1"/>
          <w:sz w:val="16"/>
          <w:szCs w:val="16"/>
        </w:rPr>
        <w:softHyphen/>
        <w:t>ли 535 км/ч, на высоте 5000 м — 620 км/ч, на вы</w:t>
      </w:r>
      <w:r w:rsidRPr="00A3026E">
        <w:rPr>
          <w:color w:val="000000" w:themeColor="text1"/>
          <w:sz w:val="16"/>
          <w:szCs w:val="16"/>
        </w:rPr>
        <w:softHyphen/>
        <w:t>соте 7400 м — 670 км/ч. Скоростная дальность — 1030 км (в перегрузку 1350 км). Время подъема на высоту 5000 м не превышало 5,5 мин. Посадочная скорость составляла 140 км/ч.</w:t>
      </w:r>
    </w:p>
    <w:p w14:paraId="61D97507" w14:textId="77777777" w:rsidR="00190FE9" w:rsidRPr="00A3026E" w:rsidRDefault="00190FE9"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 мотором М-105П летные данные получались хуже. Максимальная скорость у земли уменьшалась на 35 км/ч, а на высоте 5000 м — на 50 км/ч. Время подъема на высоту 5000 м возрастало до 7,0 мин. Скоростная дальность — 1060 км (в перегрузку 1170 км). Посадочная скорость — 130 км/ч (17500).</w:t>
      </w:r>
    </w:p>
    <w:p w14:paraId="6E6B6B20"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p>
    <w:p w14:paraId="29F9A5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года было подготовлено Постановление КО (проект)</w:t>
      </w:r>
    </w:p>
    <w:p w14:paraId="695AC1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постановляет:</w:t>
      </w:r>
    </w:p>
    <w:p w14:paraId="59B87A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154634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изменение постановления от 4 марта 1940 года за № 113сс обязать НКАП, главного конструктора Яценко спроектировать и построить одноместный истребитель И-29 с мотором М-90 в трех экземплярах, взамен модификации самолета И-28 и предъявить на госиспытания:</w:t>
      </w:r>
    </w:p>
    <w:p w14:paraId="414BB4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 к 1 августа 1941 года</w:t>
      </w:r>
    </w:p>
    <w:p w14:paraId="104748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экземпляр – к 1 сентября 1941 года</w:t>
      </w:r>
    </w:p>
    <w:p w14:paraId="19B6AC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третий экземпляр – к 15 ноября 1941 года</w:t>
      </w:r>
    </w:p>
    <w:p w14:paraId="10085A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 следующими летно-тактическими данными:</w:t>
      </w:r>
    </w:p>
    <w:p w14:paraId="2B95EF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7300 м – 700 км/час</w:t>
      </w:r>
    </w:p>
    <w:p w14:paraId="320A1A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–130 км/час</w:t>
      </w:r>
    </w:p>
    <w:p w14:paraId="48A14C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8000 м – 9,5 минут</w:t>
      </w:r>
    </w:p>
    <w:p w14:paraId="6EFBF7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 – 11500 м</w:t>
      </w:r>
    </w:p>
    <w:p w14:paraId="535BC0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0,9 максимальной скорости – 750 км</w:t>
      </w:r>
    </w:p>
    <w:p w14:paraId="01F90E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2 пулемета Березина 12,7 мм и 2 пулемета Шкас 7,62 мм через винт; подвесные бензобаки или бомбы в перегрузку 100 кг</w:t>
      </w:r>
    </w:p>
    <w:p w14:paraId="4AA623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p w14:paraId="629E27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выполнения указанного задания, обязать НКАП организовать опытно-конструкторское бюро на базе цеха ширпотреба завода № 81, определив его как опытную базу главного конструктора Яценко.</w:t>
      </w:r>
    </w:p>
    <w:p w14:paraId="686C44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p w14:paraId="1C941A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Обязать НКФ выделить НКАП (ОКБ Яценко) из резервного фонда СНК на постройку и испытания трех экземпляров самолета 7000000 рублей, из них: 2000000 рублей на 1940 год.</w:t>
      </w:r>
    </w:p>
    <w:p w14:paraId="78C410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p w14:paraId="14A746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целью поощрения конструкторов, инженерно-технических работников, рабочих и служащих КБ, за выполнение задания в утвержденные сроки выделить под отчет и в распоряжение НКАП Шахурина</w:t>
      </w:r>
    </w:p>
    <w:p w14:paraId="7037C1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первый экземпляр – 1000000 рублей</w:t>
      </w:r>
    </w:p>
    <w:p w14:paraId="25F90F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второй экземпляр – 400000 рублей (4049,46-47).</w:t>
      </w:r>
    </w:p>
    <w:p w14:paraId="5EDCBBB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51A4C52"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сентябре 1940 заводские испытания СК-1 решили закончить, надеясь определить все недостающие данные на втором экземпляре — СК-2.</w:t>
      </w:r>
    </w:p>
    <w:p w14:paraId="6CEED4C1"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К постройке самолёта-дублёра приступили в декабре 1939 г. По мере испытаний первого самолёта в конструкцию СК-2 вносили изменения, его строительство затянулось, и он был готов только к осени 1940 г. Внешне машина отличалась от СК-1 обычной кабиной с каплевидным фонарём и выступающим наружу обтекателем маслорадиатора под мотором (17489).</w:t>
      </w:r>
    </w:p>
    <w:p w14:paraId="2164F0B1"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p>
    <w:p w14:paraId="38728474"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сентябре 1940 г. конструкторы А.А. Боровикова и И.В. Флорова на подмосковном авиазаводе № 207 (бывший «Дирижаблестрой») решили добавить к основному мотору М-71 своего истреби реактивные двигатели И.А. Меркулова. Их планировалось установить в нишах по бокам задней части фюзеляжа, выхлоп происходил через общее сопло под килем самолёта. Проект получил обозначение «самолёт № 11». По расчёту он мог развить скорость 654 км/ч на высоте 6000 м.</w:t>
      </w:r>
    </w:p>
    <w:p w14:paraId="1C501AED"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Комиссия НКАП под председательством Б.Н. Юрьева одобрила проект, посчитав постройку самолёта для эксперимента по применению ВРД целесообразной. Но тут Боровиков и Флоров обратились с новым предложением (17489).</w:t>
      </w:r>
    </w:p>
    <w:p w14:paraId="4825C632"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p>
    <w:p w14:paraId="6C314CAB"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В сентябре 1940 г. проект А.Я. Щербакова рассматривался в Управлении ВВС и получил положительную оценку: «предлагаемый конструктором Щербаковым проект скоростного истребителя заслуживает серьёзного внимания в части применения ВРД как средства кратковременного повышения лётных данных самолёта и в части применения герметической кабины» </w:t>
      </w:r>
      <w:hyperlink r:id="rId18" w:history="1">
        <w:r w:rsidRPr="00A3026E">
          <w:rPr>
            <w:rFonts w:ascii="Times New Roman" w:eastAsia="Times New Roman" w:hAnsi="Times New Roman"/>
            <w:color w:val="000000" w:themeColor="text1"/>
            <w:sz w:val="16"/>
            <w:szCs w:val="16"/>
            <w:lang w:eastAsia="ru-RU"/>
          </w:rPr>
          <w:t>[333]</w:t>
        </w:r>
      </w:hyperlink>
      <w:r w:rsidRPr="00A3026E">
        <w:rPr>
          <w:rFonts w:ascii="Times New Roman" w:eastAsia="Times New Roman" w:hAnsi="Times New Roman"/>
          <w:color w:val="000000" w:themeColor="text1"/>
          <w:sz w:val="16"/>
          <w:szCs w:val="16"/>
          <w:lang w:eastAsia="ru-RU"/>
        </w:rPr>
        <w:t>.</w:t>
      </w:r>
    </w:p>
    <w:p w14:paraId="3A573A87"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Самолёт был разработан А.Я. Щербаковым в конце 1930-х годов и назывался ИВС («Иосиф Виссарионович Сталин»), Это должен был быть низкоплан с трёхколесным шасси с носовой опорой, с поршневым двигателем М-120, с пушкой, стреляющей через вал винта, и с пулемётами на крыльях. В задней части фюзеляжа за гермокабиной лётчика находился прямоточный воздушно-реактивный двигатель. Он представлял собой тоннель переменного сечения, имеющий отверстие для забора воздуха снизу у задней кромки центроплана. Внутри тоннеля было несколько рядов форсунок, распыляющих бензин. Тепло, выделяемое при сгорании бензина, преобразовывалось в кинетическую энергию воздуха. В сужающейся выходной части тоннеля скорость воздуха ещё больше увеличивалась, и на выходе из сопла по расчёту создавала тягу 340 кгс (на Н=8000 м и V=700 км/ч). К воздушному тракту ПВРД по специальным трубам предполагалось подводить горячие выхлопные газы от поршневого мотора, что должно было дополнительно увеличить тягу. Расчётная максимальная скорость ИВС с работающим реактивным двигателем составляла 825 км/ч, потолок — 14 000 м.</w:t>
      </w:r>
    </w:p>
    <w:p w14:paraId="3F6D1101"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Вскоре ИВС был переработан под более реальный мотор AM 41, доработана конструктивная схема трёхколесного шасси. Но в связи с сокращением финансирования по экспериментальным самолётам к его постройке даже не приступали (17489).</w:t>
      </w:r>
    </w:p>
    <w:p w14:paraId="56322389"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p>
    <w:p w14:paraId="5C8A26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ДМ-2 установили на И-153 №6034. Благодаря тому, что «Чайка» обладала большей скоростью, выше оказалась и эффективность ПВРД: прирост скорости составил 30 км/ч. В октябре того же года испытали новые двигатели - ДМ-4, при включении которых скорость самолета увеличивалась на 40-50 км/ч. Всего с моторами ДМ-2 и ДМ-4 на «Чайке» произвели 74 испытательных полета. Тем не менее, в ВВС И-153 с прямоточными двигателями не передавались (6592).</w:t>
      </w:r>
    </w:p>
    <w:p w14:paraId="3AEA12C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0E053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сентября 1940 г. испытывался И-153ДМ, оснащен</w:t>
      </w:r>
      <w:r w:rsidRPr="00A3026E">
        <w:rPr>
          <w:rFonts w:ascii="Times New Roman" w:hAnsi="Times New Roman"/>
          <w:color w:val="000000" w:themeColor="text1"/>
          <w:sz w:val="16"/>
          <w:szCs w:val="16"/>
        </w:rPr>
        <w:softHyphen/>
        <w:t>ный двумя дополнительными прямоточными воздуш</w:t>
      </w:r>
      <w:r w:rsidRPr="00A3026E">
        <w:rPr>
          <w:rFonts w:ascii="Times New Roman" w:hAnsi="Times New Roman"/>
          <w:color w:val="000000" w:themeColor="text1"/>
          <w:sz w:val="16"/>
          <w:szCs w:val="16"/>
        </w:rPr>
        <w:softHyphen/>
        <w:t>но-реактивными двигателями ДМ-4 конструкции И.А.Меркулова. Они имели практическую ценность раз</w:t>
      </w:r>
      <w:r w:rsidRPr="00A3026E">
        <w:rPr>
          <w:rFonts w:ascii="Times New Roman" w:hAnsi="Times New Roman"/>
          <w:color w:val="000000" w:themeColor="text1"/>
          <w:sz w:val="16"/>
          <w:szCs w:val="16"/>
        </w:rPr>
        <w:softHyphen/>
        <w:t>ве что для отработки двигателей, так как из-за увеличе</w:t>
      </w:r>
      <w:r w:rsidRPr="00A3026E">
        <w:rPr>
          <w:rFonts w:ascii="Times New Roman" w:hAnsi="Times New Roman"/>
          <w:color w:val="000000" w:themeColor="text1"/>
          <w:sz w:val="16"/>
          <w:szCs w:val="16"/>
        </w:rPr>
        <w:softHyphen/>
        <w:t>ния лобового сопротивления скорость истребителя падала на 40 км/ч. И хотя за счет тяги, создаваемой ДМ-4 при их включении, скорость возрастала на 51 км/ч, до</w:t>
      </w:r>
      <w:r w:rsidRPr="00A3026E">
        <w:rPr>
          <w:rFonts w:ascii="Times New Roman" w:hAnsi="Times New Roman"/>
          <w:color w:val="000000" w:themeColor="text1"/>
          <w:sz w:val="16"/>
          <w:szCs w:val="16"/>
        </w:rPr>
        <w:softHyphen/>
        <w:t>стигая 440 км/ч на высоте 2000 м, общий выигрыш от их использования был незначительным (10667).</w:t>
      </w:r>
    </w:p>
    <w:p w14:paraId="78EE9B8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4D247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ДМ-2 были установлены на И-153. Благодаря тому, что "Чайка" обладала большей скоростью, выше оказалась и эффективность ПВРД: прирост скорости составил 30 км/ч. В октябре того же года на "Чайке" испытали новые двигатели ДМ-4, при включении которых скорость самолета увеличивалась на 40-50 км/ч. Всего с моторами ДМ-2 и ДМ-4 произвели 74 испытательных полета. Впоследствии двигатели ДМ испытывались на самолетах ЛаГГ-3, Як-7. Як-9. Прирост максимальной скорости на этих машинах доходил до 110 км/ч (12014).</w:t>
      </w:r>
    </w:p>
    <w:p w14:paraId="4202DE7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1DAB8A"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сентябре 1940 г. приступили к полётам на И-153 с двумя ДМ-2. Для дальнейших испытаний был выделен истребитель И-153 № 6034. Этот биплан имел более мощный двигатель, убирающееся шасси, и по скорости превосходил И-15 бис на 70 км/ч. Их выполняли П.Е. Логинов, А.И. Жуков и А.В. Давыдов. Средний прирост скорости при включении ДМ составил около 30 км/час (17489).</w:t>
      </w:r>
    </w:p>
    <w:p w14:paraId="244A8FF9"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p>
    <w:p w14:paraId="5B81F7D5"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Чтобы ликвидировать этот недостаток, требовалось «вписать» ПВРД в контуры летательного аппарата. Это попытались сделать в ОКБ. Во второй половине 1930-х годов Боровиков и Флоров спроектировали оригинальный бесстоечный истребитель-биплан И-207. Его скоростные качества оказались ниже ожидаемых, и военные утратили к нему интерес. Пытаясь спасти своё детище, </w:t>
      </w:r>
    </w:p>
    <w:p w14:paraId="240D95F3"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p>
    <w:p w14:paraId="4D96B9F9" w14:textId="77777777" w:rsidR="006317F0" w:rsidRPr="00A3026E" w:rsidRDefault="006317F0"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сентябре 1940 г. ДИ-6 входят в состав «разные само</w:t>
      </w:r>
      <w:r w:rsidRPr="00A3026E">
        <w:rPr>
          <w:rFonts w:ascii="Times New Roman" w:hAnsi="Times New Roman"/>
          <w:color w:val="0070C0"/>
          <w:sz w:val="16"/>
          <w:szCs w:val="16"/>
        </w:rPr>
        <w:softHyphen/>
        <w:t>леты» наряду с И-14, ИП-1, Р-6, ТБ-1. Всего указывалось 179 ДИ-6: из них 73 числились как исправные, 123 - требующие текущего ремонта, 22 - среднего, 58 - капитального, 13 ма</w:t>
      </w:r>
      <w:r w:rsidRPr="00A3026E">
        <w:rPr>
          <w:rFonts w:ascii="Times New Roman" w:hAnsi="Times New Roman"/>
          <w:color w:val="0070C0"/>
          <w:sz w:val="16"/>
          <w:szCs w:val="16"/>
        </w:rPr>
        <w:softHyphen/>
        <w:t>шин оценивались как непригодные для дальнейшего исполь</w:t>
      </w:r>
      <w:r w:rsidRPr="00A3026E">
        <w:rPr>
          <w:rFonts w:ascii="Times New Roman" w:hAnsi="Times New Roman"/>
          <w:color w:val="0070C0"/>
          <w:sz w:val="16"/>
          <w:szCs w:val="16"/>
        </w:rPr>
        <w:softHyphen/>
        <w:t>зования. Из этого количества 52 экземпляра определялись как четырехпулеметные, т.е. штурмовики, а 112 - как двух</w:t>
      </w:r>
      <w:r w:rsidRPr="00A3026E">
        <w:rPr>
          <w:rFonts w:ascii="Times New Roman" w:hAnsi="Times New Roman"/>
          <w:color w:val="0070C0"/>
          <w:sz w:val="16"/>
          <w:szCs w:val="16"/>
        </w:rPr>
        <w:softHyphen/>
        <w:t>пулеметные, т.е. истребители. В октябре 1940 г. 3 ДИ-6 чис</w:t>
      </w:r>
      <w:r w:rsidRPr="00A3026E">
        <w:rPr>
          <w:rFonts w:ascii="Times New Roman" w:hAnsi="Times New Roman"/>
          <w:color w:val="0070C0"/>
          <w:sz w:val="16"/>
          <w:szCs w:val="16"/>
        </w:rPr>
        <w:softHyphen/>
        <w:t>лились в составе авиации Военно-Морского Флота.</w:t>
      </w:r>
    </w:p>
    <w:p w14:paraId="2A69746D" w14:textId="77777777" w:rsidR="006317F0" w:rsidRPr="00A3026E" w:rsidRDefault="006317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Очевидно, что к лету 1941 г. количество боеспособных ДИ- 6 несколько уменьшилось, и они затерялись в общей массе со</w:t>
      </w:r>
      <w:r w:rsidRPr="00A3026E">
        <w:rPr>
          <w:rFonts w:ascii="Times New Roman" w:hAnsi="Times New Roman"/>
          <w:color w:val="0070C0"/>
          <w:sz w:val="16"/>
          <w:szCs w:val="16"/>
        </w:rPr>
        <w:softHyphen/>
        <w:t>ветской авиационной армады. Впрочем, небольшое количест</w:t>
      </w:r>
      <w:r w:rsidRPr="00A3026E">
        <w:rPr>
          <w:rFonts w:ascii="Times New Roman" w:hAnsi="Times New Roman"/>
          <w:color w:val="0070C0"/>
          <w:sz w:val="16"/>
          <w:szCs w:val="16"/>
        </w:rPr>
        <w:softHyphen/>
        <w:t>во ДИ-6 оказалось на линии боевого столкновения с против</w:t>
      </w:r>
      <w:r w:rsidRPr="00A3026E">
        <w:rPr>
          <w:rFonts w:ascii="Times New Roman" w:hAnsi="Times New Roman"/>
          <w:color w:val="0070C0"/>
          <w:sz w:val="16"/>
          <w:szCs w:val="16"/>
        </w:rPr>
        <w:softHyphen/>
        <w:t>ником. По крайней мере, несколько брошенных экземпляров оказались запечатленными немецкими фотографами (29362).</w:t>
      </w:r>
    </w:p>
    <w:p w14:paraId="2AA453D0" w14:textId="77777777" w:rsidR="006317F0" w:rsidRPr="00A3026E" w:rsidRDefault="006317F0" w:rsidP="00A3026E">
      <w:pPr>
        <w:shd w:val="clear" w:color="auto" w:fill="FFFFFF"/>
        <w:spacing w:after="0" w:line="240" w:lineRule="auto"/>
        <w:jc w:val="both"/>
        <w:rPr>
          <w:rFonts w:ascii="Times New Roman" w:hAnsi="Times New Roman"/>
          <w:color w:val="0070C0"/>
          <w:sz w:val="16"/>
          <w:szCs w:val="16"/>
        </w:rPr>
      </w:pPr>
    </w:p>
    <w:p w14:paraId="383E50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Сеньков в сентябре 1940 г. представил проект модернизации ПС-84 под отечественные мощные двухрядные 18-цилиндровые моторы воздушного охлаждения М-71 под названием ПС-84А 2М-71. Конструкция планера усиливалась в соответствии с нормами прочности 1940 г. Полезная нагрузка самолета увеличилась на 1800 кг и составляла 5400 кг. Количество пассажиров в одном варианте 26, в другом - 34. Увеличение количества мест для пассажиров достигалось за счет уменьшения размеров прохода, багажника и буфета. Груз, перевозимый в транспортном варианте, - 3000 кг. Снаружи, как и у ПС-84 К, на специальном мосту грузы до 2000 кг. Дальность полета до 1200 км. Количество десантников до 45. Количество перевозимых раненых в санитарном варианте как и в самолете ПС-84 И.</w:t>
      </w:r>
    </w:p>
    <w:p w14:paraId="49A385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улучшались аэродинамические формы и состояние поверхности планера за счет постановки обтекателей на шасси, установки юбок на капотах моторов и увеличения площади планера с применением потайной клепки. Максимальная скорость полета на высоте 5000 метров - 485 км/час. По оценке комиссии Юрьева ожидаемая максимальная скорость должна была составить 460 км/час.</w:t>
      </w:r>
    </w:p>
    <w:p w14:paraId="213757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Новым вариантом этого самолета был штабной. На нем размещалось оборудование, необходимое для работы командования в полевых условиях. В салоне была предусмотрена спальня на четырех человек, рабочий кабинет и зал заседаний на 10 лиц. Начальник "Аэрофлота" B.C. Молоков проект одобрил (3404).</w:t>
      </w:r>
    </w:p>
    <w:p w14:paraId="63247D6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EC93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Сеньков представил проект ПС-84А с моторами М-71, усиленным планером обтекателями шасси, капотами моторов с юбками и большей площадью крыла. Предусматривался пассажирский на 26-34 места, военно-транспортный (груз до 3000 кг) и десантный (45 чел.), санитарный и штабной варианты. Вооружения не предусматривалось (4141,21).</w:t>
      </w:r>
    </w:p>
    <w:p w14:paraId="53EBBA8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5EDD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О.К.А. в Ленинграде, куда он выехал в марте 1940 возглавить КБ на заводе 23, чтобы делать аналог немецкого Schtorch и сделал "Аист" ОКА-38 в сентябре 1940. Он был оснащен МВ-6 и помимо самолета связи сделали и санитарный вариант. Потом были гос. испытания (1149,36).</w:t>
      </w:r>
    </w:p>
    <w:p w14:paraId="736BF90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03CD1E4" w14:textId="77777777" w:rsidR="00220BAE" w:rsidRPr="00A3026E" w:rsidRDefault="00220BA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сентябре 1940 г. отечественный вариант Р1 156 был уже готов. Конструкцию повторили почти без изменений, даже название просто перевели с немецкого на русский: «Аист». Один из вариантов самолета предполагалось использовать для связи, транспортировки людей и мелких грузов, а также разведки и корректировки артиллерийского огня. По сравнению с У-2 и УТ-2 «Аист» был конструктивно гораздо более сложным, в том числе он располагал комплексной механизацией крыла, состоящей из фиксированного подкрылка, щелевого закрылка и зависающего элерона. Благодаря этим механизмам самолет мог взлетать с полосы длиной всего 50 </w:t>
      </w:r>
      <w:r w:rsidRPr="00A3026E">
        <w:rPr>
          <w:rFonts w:ascii="Times New Roman" w:hAnsi="Times New Roman"/>
          <w:color w:val="000000" w:themeColor="text1"/>
          <w:sz w:val="16"/>
          <w:szCs w:val="16"/>
        </w:rPr>
        <w:lastRenderedPageBreak/>
        <w:t>метров. Естественно предположить, что модифицированный «Аист» вполне мог применяться и в качестве учебно-тренировочного самолета для переподготовки летного состава ВВС. Его серийное производство на авиационных заводах Ленинграда, длительное время специализировавшихся на выпуске именно легких, в том числе учебных самолетов, позволило бы дать училищам и школам ВВС самую современную машину для обучения будущих пилотов истребителей, штурмовиков и бомбардировщиков нового поколения типа Як-3, ЛаГГ-3, Пе-2, Ил-2 и др. Однако массовое производство разработанного и получившего путевку в небо в Ленинграде самолета ОКА-38 «Аист» было решено организовать на заводе № 365 в г. Каунасе (19543).</w:t>
      </w:r>
    </w:p>
    <w:p w14:paraId="084CDD97" w14:textId="77777777" w:rsidR="00220BAE" w:rsidRPr="00A3026E" w:rsidRDefault="00220BAE" w:rsidP="00A3026E">
      <w:pPr>
        <w:spacing w:after="0" w:line="240" w:lineRule="auto"/>
        <w:jc w:val="both"/>
        <w:rPr>
          <w:rFonts w:ascii="Times New Roman" w:hAnsi="Times New Roman"/>
          <w:color w:val="000000" w:themeColor="text1"/>
          <w:sz w:val="16"/>
          <w:szCs w:val="16"/>
        </w:rPr>
      </w:pPr>
    </w:p>
    <w:p w14:paraId="07DDA175" w14:textId="77777777" w:rsidR="00E90813" w:rsidRPr="00A3026E" w:rsidRDefault="00E9081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ОКА-38, советский вариант Fi 156, был построен. Самолет повторили с небольшими изменениями, сохранив даже название «Аист». Помимо многоцелевой машины, получившей обозначение СС (самолет связи), создали и санитарную - самолет № 2. Первый предполагалось использовать для связи, перевозки людей, мелких грузов, разведки и корректировки артогня, второй - для перевозки двух раненых на носилках и одного сидя.</w:t>
      </w:r>
    </w:p>
    <w:p w14:paraId="5C87B070" w14:textId="77777777" w:rsidR="00E90813" w:rsidRPr="00A3026E" w:rsidRDefault="00E9081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Госиспытания СС в НИИ ВВС закончились успешно, и незамедлительно последовало решение о его серийном выпуске на заводе № 365 НКАП в Каунасе. Выбор был не случайным - ранее там строились литовские самолеты ANBO сходной конструкции. В марте 1941 г. Антонова назначили главным конструктором этого предприятия. Вскоре в сборочном цехе стояло несколько «Аистов», готовых к полетам. Однако в столь счастливо начавшуюся судьбу первого антоновского самолета вмешалась война. 22 июня при бомбежке каунасского аэродрома все СС были уничтожены.2 Олег Константинович вернулся в Москву и работы по ОКА-38 больше не возобновлял.</w:t>
      </w:r>
    </w:p>
    <w:p w14:paraId="5C889599" w14:textId="77777777" w:rsidR="00E90813" w:rsidRPr="00A3026E" w:rsidRDefault="00E9081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ОКА-38 смешанная. Ферменный фюзеляж выполнен заце-ло с килем из стальных (ЗОХГСА) сваренных между собой труб. Каркас двухлонжеронного крыла и стабилизатора - деревянный. Обшивка везде полотняная, предкрылки - дюралевые. Прямоугольное в плане крыло имеет профиль ЦАГИ Р-11с3. При отклонении щелевого закрылка в посадочное положение (40°) элероны автоматически опускались на 15°.</w:t>
      </w:r>
    </w:p>
    <w:p w14:paraId="7EDFF169" w14:textId="77777777" w:rsidR="00E90813" w:rsidRPr="00A3026E" w:rsidRDefault="00E9081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узлов навески крыла позволяла складывать консоли на стоянке путем поворота их назад вдоль оси фюзеляжа. Стабилизатор переставной с изменяемым в полете углом установки. Для сохранения эффективности рулей высоты при больших отклонениях вверх на их нижней поверхности под небольшим отрицательным углом устанавливались дюралевые подкрылки.</w:t>
      </w:r>
    </w:p>
    <w:p w14:paraId="703D3962" w14:textId="77777777" w:rsidR="00E90813" w:rsidRPr="00A3026E" w:rsidRDefault="00E9081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ОКА-38 устанавливался шестицилиндровый перевернутый рядный мотор воздушного охлаждения МВ-6. Он представлял собой лицензионную версию французского двигателя «Бенгали» фирмы «Рено» и с 1935 г. серийно выпускался на Воронежском авиамоторном заводе. МВ-6 для поддержания мощности до расчетной высоты 2000 м оснащался приводным центробежным нагнетателем. На «Аисте» использовался деревянный двухлопастный винт фиксированного шага диаметром 2,44 м. Четыре топливных бака общей емкостью 140 л размещались в межлонжеронном пространстве крыла (15563).</w:t>
      </w:r>
    </w:p>
    <w:p w14:paraId="77CF68B2" w14:textId="77777777" w:rsidR="00E90813" w:rsidRPr="00A3026E" w:rsidRDefault="00E90813" w:rsidP="00A3026E">
      <w:pPr>
        <w:spacing w:after="0" w:line="240" w:lineRule="auto"/>
        <w:jc w:val="both"/>
        <w:rPr>
          <w:rFonts w:ascii="Times New Roman" w:hAnsi="Times New Roman"/>
          <w:color w:val="000000" w:themeColor="text1"/>
          <w:sz w:val="16"/>
          <w:szCs w:val="16"/>
        </w:rPr>
      </w:pPr>
    </w:p>
    <w:p w14:paraId="6AF07D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О.К.А. построил в качестве ГК з-да № 23 самолет ОКА-38 Аист - копию Fi-156 Storch и его планировали выпусакть на з-де № 465 в Каунасе (7483, 8).</w:t>
      </w:r>
    </w:p>
    <w:p w14:paraId="27192AE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B3AF59D" w14:textId="77777777" w:rsidR="006317F0" w:rsidRPr="00A3026E" w:rsidRDefault="006317F0" w:rsidP="00A3026E">
      <w:pPr>
        <w:spacing w:after="0" w:line="240" w:lineRule="auto"/>
        <w:jc w:val="both"/>
        <w:rPr>
          <w:rFonts w:ascii="Times New Roman" w:hAnsi="Times New Roman"/>
          <w:color w:val="0070C0"/>
          <w:sz w:val="16"/>
          <w:szCs w:val="16"/>
          <w:lang w:eastAsia="ru-RU" w:bidi="ru-RU"/>
        </w:rPr>
      </w:pPr>
      <w:r w:rsidRPr="00A3026E">
        <w:rPr>
          <w:rFonts w:ascii="Times New Roman" w:hAnsi="Times New Roman"/>
          <w:color w:val="0070C0"/>
          <w:sz w:val="16"/>
          <w:szCs w:val="16"/>
          <w:lang w:eastAsia="ru-RU" w:bidi="ru-RU"/>
        </w:rPr>
        <w:t>В сентябре 1940 г. СНК СССР был вынужден специально разъяснять, что «отпускные цены на самолёты, моторы, авиавинты и специальные приборы утверждаются правительством... Основой для определения отпускных цен является сметная себестоимость, построенная на базе плановых расходов основных материалов и рабочего времени на еди</w:t>
      </w:r>
      <w:r w:rsidRPr="00A3026E">
        <w:rPr>
          <w:rFonts w:ascii="Times New Roman" w:hAnsi="Times New Roman"/>
          <w:color w:val="0070C0"/>
          <w:sz w:val="16"/>
          <w:szCs w:val="16"/>
          <w:lang w:eastAsia="ru-RU" w:bidi="ru-RU"/>
        </w:rPr>
        <w:softHyphen/>
        <w:t>ницу продукции и планового процента накладных расходов» (РГАЭ, ф. 8044, оп. 1, д. 2777, л. 63-64). С одной сторо</w:t>
      </w:r>
      <w:r w:rsidRPr="00A3026E">
        <w:rPr>
          <w:rFonts w:ascii="Times New Roman" w:hAnsi="Times New Roman"/>
          <w:color w:val="0070C0"/>
          <w:sz w:val="16"/>
          <w:szCs w:val="16"/>
          <w:lang w:eastAsia="ru-RU" w:bidi="ru-RU"/>
        </w:rPr>
        <w:softHyphen/>
        <w:t>ны, вероятно, этот тезис не находил понимания в НКАП и требовал специаль</w:t>
      </w:r>
      <w:r w:rsidRPr="00A3026E">
        <w:rPr>
          <w:rFonts w:ascii="Times New Roman" w:hAnsi="Times New Roman"/>
          <w:color w:val="0070C0"/>
          <w:sz w:val="16"/>
          <w:szCs w:val="16"/>
          <w:lang w:eastAsia="ru-RU" w:bidi="ru-RU"/>
        </w:rPr>
        <w:softHyphen/>
        <w:t>ных правительственных пояснений, с другой - отпускные цены определялись на основе значений «плановых расходов» и «плановых процентов», т.е. тоже имели в известном роде артефактную природу.</w:t>
      </w:r>
    </w:p>
    <w:p w14:paraId="3FED5151" w14:textId="77777777" w:rsidR="006317F0" w:rsidRPr="00A3026E" w:rsidRDefault="006317F0" w:rsidP="00A3026E">
      <w:pPr>
        <w:spacing w:after="0" w:line="240" w:lineRule="auto"/>
        <w:jc w:val="both"/>
        <w:rPr>
          <w:rFonts w:ascii="Times New Roman" w:hAnsi="Times New Roman"/>
          <w:color w:val="0070C0"/>
          <w:sz w:val="16"/>
          <w:szCs w:val="16"/>
          <w:lang w:eastAsia="ru-RU" w:bidi="ru-RU"/>
        </w:rPr>
      </w:pPr>
      <w:r w:rsidRPr="00A3026E">
        <w:rPr>
          <w:rFonts w:ascii="Times New Roman" w:hAnsi="Times New Roman"/>
          <w:color w:val="0070C0"/>
          <w:sz w:val="16"/>
          <w:szCs w:val="16"/>
          <w:lang w:eastAsia="ru-RU" w:bidi="ru-RU"/>
        </w:rPr>
        <w:t>Если сопоставить масштабы авиационного производства в годы войны в на</w:t>
      </w:r>
      <w:r w:rsidRPr="00A3026E">
        <w:rPr>
          <w:rFonts w:ascii="Times New Roman" w:hAnsi="Times New Roman"/>
          <w:color w:val="0070C0"/>
          <w:sz w:val="16"/>
          <w:szCs w:val="16"/>
          <w:lang w:eastAsia="ru-RU" w:bidi="ru-RU"/>
        </w:rPr>
        <w:softHyphen/>
        <w:t>туральном и стоимостном выражениях, динамика производства авиатехники в натуральных величинах в об</w:t>
      </w:r>
      <w:r w:rsidRPr="00A3026E">
        <w:rPr>
          <w:rFonts w:ascii="Times New Roman" w:hAnsi="Times New Roman"/>
          <w:color w:val="0070C0"/>
          <w:sz w:val="16"/>
          <w:szCs w:val="16"/>
          <w:lang w:eastAsia="ru-RU" w:bidi="ru-RU"/>
        </w:rPr>
        <w:softHyphen/>
        <w:t>щих чертах идентична динамике суммарной стоимости авиационной продукции. Рост в натуральном выражении вёл к возрастанию стоимости, да и темпы роста в обоих исчислениях были приблизительно равны. Хотя такое положение вещей, на первый взгляд, кажется единственно возможным, на самом деле, это соотно</w:t>
      </w:r>
      <w:r w:rsidRPr="00A3026E">
        <w:rPr>
          <w:rFonts w:ascii="Times New Roman" w:hAnsi="Times New Roman"/>
          <w:color w:val="0070C0"/>
          <w:sz w:val="16"/>
          <w:szCs w:val="16"/>
          <w:lang w:eastAsia="ru-RU" w:bidi="ru-RU"/>
        </w:rPr>
        <w:softHyphen/>
        <w:t>шение соблюдалось далеко не всегда. Скажем, если обратится к сопоставлению стоимости и натурального исчисления авиавыпуска в 1930-1939 гг., то в 1932 и 1937 гг. наблюдался явный «провал» авиапрома в стоимо стном выражении на фоне динамичного роста в выражении натуральном; в 1935 г. ситуация про</w:t>
      </w:r>
      <w:r w:rsidRPr="00A3026E">
        <w:rPr>
          <w:rFonts w:ascii="Times New Roman" w:hAnsi="Times New Roman"/>
          <w:color w:val="0070C0"/>
          <w:sz w:val="16"/>
          <w:szCs w:val="16"/>
          <w:lang w:eastAsia="ru-RU" w:bidi="ru-RU"/>
        </w:rPr>
        <w:softHyphen/>
        <w:t>тивоположная - натуральный выпуск падает, а стоимость его растет. Этот казус может иметь ряд объяснений: запуск в серию новых моделей самолётов с дру</w:t>
      </w:r>
      <w:r w:rsidRPr="00A3026E">
        <w:rPr>
          <w:rFonts w:ascii="Times New Roman" w:hAnsi="Times New Roman"/>
          <w:color w:val="0070C0"/>
          <w:sz w:val="16"/>
          <w:szCs w:val="16"/>
          <w:lang w:eastAsia="ru-RU" w:bidi="ru-RU"/>
        </w:rPr>
        <w:softHyphen/>
        <w:t>гой себестоимостью, начало производства на новых заводах, имевших другие (количественно) производственные издержки, изменения технологии, ведущие к изменению себестоимости единицы изделия без смены ассортимента про</w:t>
      </w:r>
      <w:r w:rsidRPr="00A3026E">
        <w:rPr>
          <w:rFonts w:ascii="Times New Roman" w:hAnsi="Times New Roman"/>
          <w:color w:val="0070C0"/>
          <w:sz w:val="16"/>
          <w:szCs w:val="16"/>
          <w:lang w:eastAsia="ru-RU" w:bidi="ru-RU"/>
        </w:rPr>
        <w:softHyphen/>
        <w:t>дукции и ввода в эксплуатацию новых предприятий, и т.п.</w:t>
      </w:r>
    </w:p>
    <w:p w14:paraId="0E555CA2" w14:textId="77777777" w:rsidR="006317F0" w:rsidRPr="00A3026E" w:rsidRDefault="006317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Несмотря на то, что общий вектор отношения советского руководства к во</w:t>
      </w:r>
      <w:r w:rsidRPr="00A3026E">
        <w:rPr>
          <w:rFonts w:ascii="Times New Roman" w:hAnsi="Times New Roman"/>
          <w:color w:val="0070C0"/>
          <w:sz w:val="16"/>
          <w:szCs w:val="16"/>
          <w:lang w:eastAsia="ru-RU" w:bidi="ru-RU"/>
        </w:rPr>
        <w:softHyphen/>
        <w:t>просам финансирования промышленности в целом и оборонной в частности определился, споры об отпускных ценах на произведённую продукцию между руководством Наркомата авиационной промышленности (НКАП) и НКО носи</w:t>
      </w:r>
      <w:r w:rsidRPr="00A3026E">
        <w:rPr>
          <w:rFonts w:ascii="Times New Roman" w:hAnsi="Times New Roman"/>
          <w:color w:val="0070C0"/>
          <w:sz w:val="16"/>
          <w:szCs w:val="16"/>
          <w:lang w:eastAsia="ru-RU" w:bidi="ru-RU"/>
        </w:rPr>
        <w:softHyphen/>
        <w:t>ли весьма напряжённый характер. Своеобразный финансовый нигилизм, ви</w:t>
      </w:r>
      <w:r w:rsidRPr="00A3026E">
        <w:rPr>
          <w:rFonts w:ascii="Times New Roman" w:hAnsi="Times New Roman"/>
          <w:color w:val="0070C0"/>
          <w:sz w:val="16"/>
          <w:szCs w:val="16"/>
          <w:lang w:eastAsia="ru-RU" w:bidi="ru-RU"/>
        </w:rPr>
        <w:softHyphen/>
        <w:t>димо, был негласно разрешён лишь во внутриведомственных расчётах. При переходе на следующий уровень взаимодействия ведомств финансовые ин</w:t>
      </w:r>
      <w:r w:rsidRPr="00A3026E">
        <w:rPr>
          <w:rFonts w:ascii="Times New Roman" w:hAnsi="Times New Roman"/>
          <w:color w:val="0070C0"/>
          <w:sz w:val="16"/>
          <w:szCs w:val="16"/>
          <w:lang w:eastAsia="ru-RU" w:bidi="ru-RU"/>
        </w:rPr>
        <w:softHyphen/>
        <w:t>струменты уже становились предметом более пристального внимания.</w:t>
      </w:r>
    </w:p>
    <w:p w14:paraId="7BCF5BE9" w14:textId="77777777" w:rsidR="006317F0" w:rsidRPr="00A3026E" w:rsidRDefault="006317F0" w:rsidP="00A3026E">
      <w:pPr>
        <w:spacing w:after="0" w:line="240" w:lineRule="auto"/>
        <w:jc w:val="both"/>
        <w:rPr>
          <w:rFonts w:ascii="Times New Roman" w:hAnsi="Times New Roman"/>
          <w:color w:val="0070C0"/>
          <w:sz w:val="16"/>
          <w:szCs w:val="16"/>
          <w:lang w:eastAsia="ru-RU" w:bidi="ru-RU"/>
        </w:rPr>
      </w:pPr>
      <w:r w:rsidRPr="00A3026E">
        <w:rPr>
          <w:rFonts w:ascii="Times New Roman" w:hAnsi="Times New Roman"/>
          <w:color w:val="0070C0"/>
          <w:sz w:val="16"/>
          <w:szCs w:val="16"/>
          <w:lang w:eastAsia="ru-RU" w:bidi="ru-RU"/>
        </w:rPr>
        <w:t>Между тем вопрос о динамике и порядке утверждения отпускных цен на продукцию авиационной промышленности (исходя из неё определялась сум</w:t>
      </w:r>
      <w:r w:rsidRPr="00A3026E">
        <w:rPr>
          <w:rFonts w:ascii="Times New Roman" w:hAnsi="Times New Roman"/>
          <w:color w:val="0070C0"/>
          <w:sz w:val="16"/>
          <w:szCs w:val="16"/>
          <w:lang w:eastAsia="ru-RU" w:bidi="ru-RU"/>
        </w:rPr>
        <w:softHyphen/>
        <w:t>марная стоимость авиавыпуска - она исчислялась путём умножения количества произведённых изделий на отпускную цену единицы изделия. Таким образом, повышая или понижая отпускные цены, можно было делать это и в отношении суммарной стоимости авиавыпуска при неизменном количестве про</w:t>
      </w:r>
      <w:r w:rsidRPr="00A3026E">
        <w:rPr>
          <w:rFonts w:ascii="Times New Roman" w:hAnsi="Times New Roman"/>
          <w:color w:val="0070C0"/>
          <w:sz w:val="16"/>
          <w:szCs w:val="16"/>
          <w:lang w:eastAsia="ru-RU" w:bidi="ru-RU"/>
        </w:rPr>
        <w:softHyphen/>
        <w:t>изведённых изделий) периодически вызывал до статочно жёсткие межведомственные баталии (22646).</w:t>
      </w:r>
    </w:p>
    <w:p w14:paraId="5D05E82A" w14:textId="77777777" w:rsidR="006317F0" w:rsidRPr="00A3026E" w:rsidRDefault="006317F0" w:rsidP="00A3026E">
      <w:pPr>
        <w:spacing w:after="0" w:line="240" w:lineRule="auto"/>
        <w:jc w:val="both"/>
        <w:rPr>
          <w:rFonts w:ascii="Times New Roman" w:hAnsi="Times New Roman"/>
          <w:color w:val="0070C0"/>
          <w:sz w:val="16"/>
          <w:szCs w:val="16"/>
        </w:rPr>
      </w:pPr>
    </w:p>
    <w:p w14:paraId="0B8EB8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А.В.Кжижевский перелетел на МА-1 в Москву (449).</w:t>
      </w:r>
    </w:p>
    <w:p w14:paraId="7D35D60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60B8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Осоавиахим объявил конкурс на ряд планеров, в т.ч. многоместный транспортный на 5 чел. Проекты принимали до 1 ноября 1940 (94,45).</w:t>
      </w:r>
    </w:p>
    <w:p w14:paraId="3A8BB2F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5CDE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в составе 118-го разведывательного полка СФ сформировали 4-ю эскадрилью на машинах типа ГСТ. К началу воины на Северном флоте было 7 машин (3457,48).</w:t>
      </w:r>
    </w:p>
    <w:p w14:paraId="31D4C15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A0A09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испытывался головной серийный МБР-6 (Че-2) И.В.Ч. Скорость - 365 км/час, но высокое брызгообразование и машину передали в ЦАГИ для повышения летных характеристик (1794,18).</w:t>
      </w:r>
    </w:p>
    <w:p w14:paraId="7E0A783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B2A1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ЛАРМ выпустили на испытание головную машину - модернизированную Ш-2, хорошее производственное выполнение которой было отмечено НИИ ГВФ. В сентябре было сдано еще 7 машин.……………….(7701).</w:t>
      </w:r>
    </w:p>
    <w:p w14:paraId="49F6552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A2D49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головной серийный автожир А-7-3а прошел испытания (8675,11).</w:t>
      </w:r>
    </w:p>
    <w:p w14:paraId="066104A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2FC6F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несмотря на трудности, с которыми пришлось столкнуться при освоении нового мотора, на Воронежском заводе № 16 начинаются заводские испытания первых собранных двигателей М-105, к серийному производству которых приступили в июле 1940 г. На испытаниях выявились дефекты, обусловленные низким качеством резиновых прокладок, что приводило к течи масла. При заводских испытаниях встречались так же и дефекты, связанные с небрежностью при сборке моторов: выпадение заглушек коленвала, попадание в цилиндры посторонних предметов. Вот почему, если за 1940 г. завод произвел 3329 моторов М-11 при плане 2400 моторов, то М-105 удалось сдать только 41 штуку (12049).</w:t>
      </w:r>
    </w:p>
    <w:p w14:paraId="393C631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CB34E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была подготовлена справка КО:</w:t>
      </w:r>
    </w:p>
    <w:p w14:paraId="65CD59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Шахурин докладывает, что НКАП не может выполнить в срок постановление КО N 42сс от 26 января 1940 г. в части изготовления и сдачи НКО образцов телемеханических самолетов ТБ-3, СБ и УТ-2.</w:t>
      </w:r>
    </w:p>
    <w:p w14:paraId="11FF6B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Шахурин просит продлить сроки окончания работ:</w:t>
      </w:r>
    </w:p>
    <w:p w14:paraId="0ECA2E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ТБ-3 без посадки - на 3 месяца</w:t>
      </w:r>
    </w:p>
    <w:p w14:paraId="7D5C9F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 без посадки - на 1,5 мес.</w:t>
      </w:r>
    </w:p>
    <w:p w14:paraId="656458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ТБ-3 с посадкой - на 1,5 мес.</w:t>
      </w:r>
    </w:p>
    <w:p w14:paraId="55B15E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 с посадкой - на 20 дней</w:t>
      </w:r>
    </w:p>
    <w:p w14:paraId="108D48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УТ-2 с посадкой - на 5 месяцев</w:t>
      </w:r>
    </w:p>
    <w:p w14:paraId="171742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Астахов по телефону сообщил, что ГУВВС не возражает против продления сроков отработки телемеханических самолетов.</w:t>
      </w:r>
    </w:p>
    <w:p w14:paraId="725022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Секретариат КО считает целесообразным удовлетворить ходатайство НКАП (3281,80).</w:t>
      </w:r>
    </w:p>
    <w:p w14:paraId="075620F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E3BBC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было написано письмо К.Е.Ворошилову:</w:t>
      </w:r>
    </w:p>
    <w:p w14:paraId="24B02F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Инженером Вахмистровым, по заданию ВВС была разработана система подвески под самолет ТБ-3 2-х самолетов И-16 с 2-мя 250 килограммовыми бомбами каждый (звено СПБ ФАБ-250). Самолет ТБ-3 использовался как матка, несущая И-16, а истребители И-16 после отрыва предназначались в качестве пикирующих бомбардировщиков.</w:t>
      </w:r>
    </w:p>
    <w:p w14:paraId="161EBB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работа по звену СПБ была передана из ВВС в НКВМФ. В настоящее время работы по звену СПБ закончены и намечено проведение войсковых испытаний.</w:t>
      </w:r>
    </w:p>
    <w:p w14:paraId="33FCA8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Дальнейшие работы в 1941 г. приказом Кузнецова сняты, т.к. самолет ТБ-3 по своим качествам является устаревшим.</w:t>
      </w:r>
    </w:p>
    <w:p w14:paraId="7EEAE1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Тимошенко считает необходимым перенести опыт звена СПБ на более современные самолеты ТБ-7 и И-180 и просит дать задание инженеру Вахмистрову и Нарокмавиапрому разработать конструкцию подвески 2-х самолетов И-180 на ТБ-7 и в I квартале 1941 г. предъявить опытный экземпляр установки на испытания (3361,25).</w:t>
      </w:r>
    </w:p>
    <w:p w14:paraId="13D4EAF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A466C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начались летные испытания самолета И-153 с ДМ-2. Их выполняли летчики-испытатели П.Е.Логинов, А.И.Зуков и А.З.Давыдов. Средний прирост скорости при включении ДМ на самоле</w:t>
      </w:r>
      <w:r w:rsidRPr="00A3026E">
        <w:rPr>
          <w:rFonts w:ascii="Times New Roman" w:hAnsi="Times New Roman"/>
          <w:color w:val="000000" w:themeColor="text1"/>
          <w:sz w:val="16"/>
          <w:szCs w:val="16"/>
        </w:rPr>
        <w:softHyphen/>
        <w:t>те "Чайка" составил около 30 км/час. Сведения о результатах поле</w:t>
      </w:r>
      <w:r w:rsidRPr="00A3026E">
        <w:rPr>
          <w:rFonts w:ascii="Times New Roman" w:hAnsi="Times New Roman"/>
          <w:color w:val="000000" w:themeColor="text1"/>
          <w:sz w:val="16"/>
          <w:szCs w:val="16"/>
        </w:rPr>
        <w:softHyphen/>
        <w:t>тов приведены в сводной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2342"/>
        <w:gridCol w:w="1085"/>
        <w:gridCol w:w="2093"/>
        <w:gridCol w:w="1766"/>
      </w:tblGrid>
      <w:tr w:rsidR="00983732" w:rsidRPr="00A3026E" w14:paraId="55153002" w14:textId="77777777" w:rsidTr="00EA0DA7">
        <w:trPr>
          <w:trHeight w:val="298"/>
        </w:trPr>
        <w:tc>
          <w:tcPr>
            <w:tcW w:w="7286" w:type="dxa"/>
            <w:gridSpan w:val="4"/>
            <w:tcBorders>
              <w:top w:val="single" w:sz="12" w:space="0" w:color="auto"/>
              <w:left w:val="single" w:sz="12" w:space="0" w:color="auto"/>
              <w:bottom w:val="single" w:sz="6" w:space="0" w:color="auto"/>
              <w:right w:val="single" w:sz="6" w:space="0" w:color="auto"/>
            </w:tcBorders>
          </w:tcPr>
          <w:p w14:paraId="2AC7FB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w:t>
            </w:r>
          </w:p>
        </w:tc>
      </w:tr>
      <w:tr w:rsidR="00983732" w:rsidRPr="00A3026E" w14:paraId="69EFBC30" w14:textId="77777777" w:rsidTr="00EA0DA7">
        <w:trPr>
          <w:trHeight w:val="403"/>
        </w:trPr>
        <w:tc>
          <w:tcPr>
            <w:tcW w:w="2342" w:type="dxa"/>
            <w:tcBorders>
              <w:top w:val="single" w:sz="6" w:space="0" w:color="auto"/>
              <w:left w:val="single" w:sz="12" w:space="0" w:color="auto"/>
              <w:bottom w:val="single" w:sz="6" w:space="0" w:color="auto"/>
              <w:right w:val="single" w:sz="6" w:space="0" w:color="auto"/>
            </w:tcBorders>
          </w:tcPr>
          <w:p w14:paraId="28DFB2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Дата полета</w:t>
            </w:r>
          </w:p>
        </w:tc>
        <w:tc>
          <w:tcPr>
            <w:tcW w:w="1085" w:type="dxa"/>
            <w:tcBorders>
              <w:top w:val="single" w:sz="6" w:space="0" w:color="auto"/>
              <w:left w:val="single" w:sz="6" w:space="0" w:color="auto"/>
              <w:bottom w:val="single" w:sz="6" w:space="0" w:color="auto"/>
              <w:right w:val="single" w:sz="6" w:space="0" w:color="auto"/>
            </w:tcBorders>
          </w:tcPr>
          <w:p w14:paraId="28DBB9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3.11</w:t>
            </w:r>
          </w:p>
        </w:tc>
        <w:tc>
          <w:tcPr>
            <w:tcW w:w="2093" w:type="dxa"/>
            <w:tcBorders>
              <w:top w:val="single" w:sz="6" w:space="0" w:color="auto"/>
              <w:left w:val="single" w:sz="6" w:space="0" w:color="auto"/>
              <w:bottom w:val="single" w:sz="6" w:space="0" w:color="auto"/>
              <w:right w:val="single" w:sz="6" w:space="0" w:color="auto"/>
            </w:tcBorders>
          </w:tcPr>
          <w:p w14:paraId="106BC2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12.11</w:t>
            </w:r>
          </w:p>
        </w:tc>
        <w:tc>
          <w:tcPr>
            <w:tcW w:w="1766" w:type="dxa"/>
            <w:tcBorders>
              <w:top w:val="single" w:sz="6" w:space="0" w:color="auto"/>
              <w:left w:val="single" w:sz="6" w:space="0" w:color="auto"/>
              <w:bottom w:val="single" w:sz="6" w:space="0" w:color="auto"/>
              <w:right w:val="single" w:sz="12" w:space="0" w:color="auto"/>
            </w:tcBorders>
          </w:tcPr>
          <w:p w14:paraId="111190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20.11</w:t>
            </w:r>
          </w:p>
        </w:tc>
      </w:tr>
      <w:tr w:rsidR="00983732" w:rsidRPr="00A3026E" w14:paraId="615C10B4" w14:textId="77777777" w:rsidTr="00EA0DA7">
        <w:trPr>
          <w:trHeight w:val="269"/>
        </w:trPr>
        <w:tc>
          <w:tcPr>
            <w:tcW w:w="2342" w:type="dxa"/>
            <w:tcBorders>
              <w:top w:val="single" w:sz="6" w:space="0" w:color="auto"/>
              <w:left w:val="single" w:sz="12" w:space="0" w:color="auto"/>
              <w:bottom w:val="single" w:sz="6" w:space="0" w:color="auto"/>
              <w:right w:val="single" w:sz="6" w:space="0" w:color="auto"/>
            </w:tcBorders>
          </w:tcPr>
          <w:p w14:paraId="2D135C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м</w:t>
            </w:r>
          </w:p>
        </w:tc>
        <w:tc>
          <w:tcPr>
            <w:tcW w:w="1085" w:type="dxa"/>
            <w:tcBorders>
              <w:top w:val="single" w:sz="6" w:space="0" w:color="auto"/>
              <w:left w:val="single" w:sz="6" w:space="0" w:color="auto"/>
              <w:bottom w:val="single" w:sz="6" w:space="0" w:color="auto"/>
              <w:right w:val="single" w:sz="6" w:space="0" w:color="auto"/>
            </w:tcBorders>
          </w:tcPr>
          <w:p w14:paraId="5AE286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2093" w:type="dxa"/>
            <w:tcBorders>
              <w:top w:val="single" w:sz="6" w:space="0" w:color="auto"/>
              <w:left w:val="single" w:sz="6" w:space="0" w:color="auto"/>
              <w:bottom w:val="single" w:sz="6" w:space="0" w:color="auto"/>
              <w:right w:val="single" w:sz="6" w:space="0" w:color="auto"/>
            </w:tcBorders>
          </w:tcPr>
          <w:p w14:paraId="3F53EE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766" w:type="dxa"/>
            <w:tcBorders>
              <w:top w:val="single" w:sz="6" w:space="0" w:color="auto"/>
              <w:left w:val="single" w:sz="6" w:space="0" w:color="auto"/>
              <w:bottom w:val="single" w:sz="6" w:space="0" w:color="auto"/>
              <w:right w:val="single" w:sz="12" w:space="0" w:color="auto"/>
            </w:tcBorders>
          </w:tcPr>
          <w:p w14:paraId="11EA37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r>
      <w:tr w:rsidR="00983732" w:rsidRPr="00A3026E" w14:paraId="55EFCE79" w14:textId="77777777" w:rsidTr="00EA0DA7">
        <w:trPr>
          <w:trHeight w:val="298"/>
        </w:trPr>
        <w:tc>
          <w:tcPr>
            <w:tcW w:w="2342" w:type="dxa"/>
            <w:tcBorders>
              <w:top w:val="single" w:sz="6" w:space="0" w:color="auto"/>
              <w:left w:val="single" w:sz="12" w:space="0" w:color="auto"/>
              <w:bottom w:val="single" w:sz="6" w:space="0" w:color="auto"/>
              <w:right w:val="single" w:sz="6" w:space="0" w:color="auto"/>
            </w:tcBorders>
          </w:tcPr>
          <w:p w14:paraId="23F9C2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км/час</w:t>
            </w:r>
          </w:p>
        </w:tc>
        <w:tc>
          <w:tcPr>
            <w:tcW w:w="1085" w:type="dxa"/>
            <w:tcBorders>
              <w:top w:val="single" w:sz="6" w:space="0" w:color="auto"/>
              <w:left w:val="single" w:sz="6" w:space="0" w:color="auto"/>
              <w:bottom w:val="single" w:sz="6" w:space="0" w:color="auto"/>
              <w:right w:val="single" w:sz="6" w:space="0" w:color="auto"/>
            </w:tcBorders>
          </w:tcPr>
          <w:p w14:paraId="3FAC49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385</w:t>
            </w:r>
          </w:p>
        </w:tc>
        <w:tc>
          <w:tcPr>
            <w:tcW w:w="2093" w:type="dxa"/>
            <w:tcBorders>
              <w:top w:val="single" w:sz="6" w:space="0" w:color="auto"/>
              <w:left w:val="single" w:sz="6" w:space="0" w:color="auto"/>
              <w:bottom w:val="single" w:sz="6" w:space="0" w:color="auto"/>
              <w:right w:val="single" w:sz="6" w:space="0" w:color="auto"/>
            </w:tcBorders>
          </w:tcPr>
          <w:p w14:paraId="4F9C95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385</w:t>
            </w:r>
          </w:p>
        </w:tc>
        <w:tc>
          <w:tcPr>
            <w:tcW w:w="1766" w:type="dxa"/>
            <w:tcBorders>
              <w:top w:val="single" w:sz="6" w:space="0" w:color="auto"/>
              <w:left w:val="single" w:sz="6" w:space="0" w:color="auto"/>
              <w:bottom w:val="single" w:sz="6" w:space="0" w:color="auto"/>
              <w:right w:val="single" w:sz="12" w:space="0" w:color="auto"/>
            </w:tcBorders>
          </w:tcPr>
          <w:p w14:paraId="451BC8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388</w:t>
            </w:r>
          </w:p>
        </w:tc>
      </w:tr>
      <w:tr w:rsidR="00983732" w:rsidRPr="00A3026E" w14:paraId="3B76BBAF" w14:textId="77777777" w:rsidTr="00EA0DA7">
        <w:trPr>
          <w:trHeight w:val="605"/>
        </w:trPr>
        <w:tc>
          <w:tcPr>
            <w:tcW w:w="2342" w:type="dxa"/>
            <w:tcBorders>
              <w:top w:val="single" w:sz="6" w:space="0" w:color="auto"/>
              <w:left w:val="single" w:sz="12" w:space="0" w:color="auto"/>
              <w:bottom w:val="single" w:sz="12" w:space="0" w:color="auto"/>
              <w:right w:val="single" w:sz="6" w:space="0" w:color="auto"/>
            </w:tcBorders>
          </w:tcPr>
          <w:p w14:paraId="6BD0E8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Прирост скорости км/час</w:t>
            </w:r>
          </w:p>
        </w:tc>
        <w:tc>
          <w:tcPr>
            <w:tcW w:w="1085" w:type="dxa"/>
            <w:tcBorders>
              <w:top w:val="single" w:sz="6" w:space="0" w:color="auto"/>
              <w:left w:val="single" w:sz="6" w:space="0" w:color="auto"/>
              <w:bottom w:val="single" w:sz="12" w:space="0" w:color="auto"/>
              <w:right w:val="single" w:sz="6" w:space="0" w:color="auto"/>
            </w:tcBorders>
          </w:tcPr>
          <w:p w14:paraId="487169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2093" w:type="dxa"/>
            <w:tcBorders>
              <w:top w:val="single" w:sz="6" w:space="0" w:color="auto"/>
              <w:left w:val="single" w:sz="6" w:space="0" w:color="auto"/>
              <w:bottom w:val="single" w:sz="12" w:space="0" w:color="auto"/>
              <w:right w:val="single" w:sz="6" w:space="0" w:color="auto"/>
            </w:tcBorders>
          </w:tcPr>
          <w:p w14:paraId="41F1CD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w:t>
            </w:r>
          </w:p>
        </w:tc>
        <w:tc>
          <w:tcPr>
            <w:tcW w:w="1766" w:type="dxa"/>
            <w:tcBorders>
              <w:top w:val="single" w:sz="6" w:space="0" w:color="auto"/>
              <w:left w:val="single" w:sz="6" w:space="0" w:color="auto"/>
              <w:bottom w:val="single" w:sz="12" w:space="0" w:color="auto"/>
              <w:right w:val="single" w:sz="12" w:space="0" w:color="auto"/>
            </w:tcBorders>
          </w:tcPr>
          <w:p w14:paraId="745351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tc>
      </w:tr>
    </w:tbl>
    <w:p w14:paraId="550AEC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(11083).</w:t>
      </w:r>
    </w:p>
    <w:p w14:paraId="1F26D3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F93BFCF" w14:textId="77777777" w:rsidR="00220BAE" w:rsidRPr="00A3026E"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сентябре 1940 Специальная комиссия, назначенная приказом Наркома, составила следующий акт:</w:t>
      </w:r>
    </w:p>
    <w:p w14:paraId="52323CDE" w14:textId="77777777" w:rsidR="00220BAE" w:rsidRPr="00A3026E"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«Акт об испытании самолета И-15 бис с воздушно-реактив ными моторами.</w:t>
      </w:r>
    </w:p>
    <w:p w14:paraId="6C55F43A" w14:textId="77777777" w:rsidR="00220BAE" w:rsidRPr="00A3026E"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На основании результатов летных испытаний, комиссия констатирует, что работами завода «Авиахим» создан авиаци онный ВРД, который работает на самолете и увеличивает ско рость полета.</w:t>
      </w:r>
    </w:p>
    <w:p w14:paraId="38873E45" w14:textId="77777777" w:rsidR="00220BAE" w:rsidRPr="00A3026E"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Безопасность, огнеупорность и долговечность двигателя проверена продолжительными испытаниями на земле и в по лете...</w:t>
      </w:r>
    </w:p>
    <w:p w14:paraId="376CB7CE" w14:textId="77777777" w:rsidR="00220BAE" w:rsidRPr="00A3026E"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Испытаниями установлено, что воздушно-реактивные дви гатели увеличивают скорость самолета при собственной его скорости 315 км/ч в среднем на 15 км/ч...</w:t>
      </w:r>
    </w:p>
    <w:p w14:paraId="60D43266" w14:textId="77777777" w:rsidR="00220BAE" w:rsidRPr="00A3026E"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Комиссия считает целесообразным провести испытание на скоростных машинах, где в силу характера воздушно-реактив ных двигателей они дадут наибольший эффект. Одновременно комиссия считает необходимым проводить доводку двигателей в направлении повышения их коэффициента полезного дей ствия и доработки зажигания, и произвести точное определе ние расхода горючего, потребляемого воздушно-реактивными двигателями.</w:t>
      </w:r>
    </w:p>
    <w:p w14:paraId="479E67B8" w14:textId="77777777" w:rsidR="00220BAE" w:rsidRPr="00A3026E"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Председатель комиссии — Шумовский, ст. военпред заво да — Францев, нач. отд. изобретений — Блайман, конструк тор — Меркулов».</w:t>
      </w:r>
    </w:p>
    <w:p w14:paraId="22FDD091" w14:textId="77777777" w:rsidR="00220BAE" w:rsidRPr="00A3026E" w:rsidRDefault="00220BAE" w:rsidP="00A3026E">
      <w:pPr>
        <w:pStyle w:val="ae"/>
        <w:shd w:val="clear" w:color="auto" w:fill="FFFFFF"/>
        <w:spacing w:before="0" w:after="0"/>
        <w:jc w:val="both"/>
        <w:rPr>
          <w:color w:val="000000" w:themeColor="text1"/>
          <w:sz w:val="16"/>
          <w:szCs w:val="16"/>
        </w:rPr>
      </w:pPr>
      <w:r w:rsidRPr="00A3026E">
        <w:rPr>
          <w:color w:val="000000" w:themeColor="text1"/>
          <w:sz w:val="16"/>
          <w:szCs w:val="16"/>
        </w:rPr>
        <w:t>Летные испытания И-152 с ДМ-2 позволили специальной комиссии сделать выводы, что создан авиационный ПВРД, работающий на самолете, и что этот ПВРД в среднем на 15 к м / ч увеличивает скорость полета самолета-лаборатории И-152. Комиссия посчитала целесообразным провести допол нительные летные испытания ПВРД на скоростных истреби телях, где они в силу особенностей своего газодинамического процесса дадут больший эффект, а также провести доводку ПВРД в направлении повышения их КПД, надежности системы зажигания и уменьшения расхода горючего. Предполагалось также провести работы по существенному уменьшению лобового сопротивления «дополнительных моторов» как за счет облагораживания формы гондол двигателей, так и за счет луч шего их сочетания с крылом, а также путем введения в кон струкцию самолета «дополнительных моторов», гондолы ко торых минимально выступали бы за аэродинамические обво ды самолета (19586).</w:t>
      </w:r>
    </w:p>
    <w:p w14:paraId="7E371287" w14:textId="77777777" w:rsidR="00220BAE" w:rsidRPr="00A3026E"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1CECCAA" w14:textId="77777777" w:rsidR="00220BAE" w:rsidRPr="00A3026E"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сентябре 1940 г. начались летные испытания самолета И-153 с ПВРД ДМ-2. Для испытания был выделен самолет И-153 за N° 6034.</w:t>
      </w:r>
    </w:p>
    <w:p w14:paraId="158E66E8" w14:textId="77777777" w:rsidR="00220BAE" w:rsidRPr="00A3026E"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Испытания проводили летчики-испытатели П.Е. Логинов, А.И. Жуков и А.В. Давыдов. Средний при рост скорости при включении ДМ-2 на самолете «Чайка» составил около 30 км/ч (19586).</w:t>
      </w:r>
    </w:p>
    <w:p w14:paraId="130EA142" w14:textId="77777777" w:rsidR="00220BAE" w:rsidRPr="00A3026E"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34D25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черноморский экипаж перегнал в Евпаторию, одно готовое "Звено", позже прибыло и второе, с оснасткой для переоборудования на месте (в мастерских евпаторийской авиабазы) еще двух комплексов. Летчики из балтийского экипажа, прошедшего обучения на СПБ, Филимонов и Ларионов, были откомандированы в 32-й ИАП.</w:t>
      </w:r>
    </w:p>
    <w:p w14:paraId="31AB9A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 2-й авиационной эскадрильи (АЭ) ИАП капитан А.В. Шубиков, как и его новый заместитель, он же командир самолетов-носителей ТБ-3, капитан Е.А. Разинко, поначалу с удивлением и недоверием встретили прибывший новый комплекс "Звено" (его тогда на ЧБ немедленно окрестили - "цирк"). Но уже после первых пробных воздушных стартов с подвески, а затем и успешных бомбометаний на полигоне, Шубиков, боевой летчик, прошедший хорошую школу в боях в Испании, буквально "заболел" новинкой. Именно ему и обязано было "Звено-СПБ" дальнейшим своим существованием.</w:t>
      </w:r>
    </w:p>
    <w:p w14:paraId="1F4262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Осеняя распутица, естественно, медленное переоборудование остальных двух носителей и "местных" И-16 в СПБ препятствовали нормальному освоению комплексов. К тому же, если летчиков-истребителей было более, чем достаточно, то экипажей ТБ-3 на Черноморском флоте не оказалось вовсе (8636).</w:t>
      </w:r>
    </w:p>
    <w:p w14:paraId="50D5508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27E2C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сентябре1940 г. Совнарком был вынужден специально разъяснять, что «от</w:t>
      </w:r>
      <w:r w:rsidRPr="00A3026E">
        <w:rPr>
          <w:rFonts w:ascii="Times New Roman" w:hAnsi="Times New Roman"/>
          <w:color w:val="000000" w:themeColor="text1"/>
          <w:sz w:val="16"/>
          <w:szCs w:val="16"/>
        </w:rPr>
        <w:softHyphen/>
        <w:t>пускные цены на самолёты, моторы, авиавинты и специаль</w:t>
      </w:r>
      <w:r w:rsidRPr="00A3026E">
        <w:rPr>
          <w:rFonts w:ascii="Times New Roman" w:hAnsi="Times New Roman"/>
          <w:color w:val="000000" w:themeColor="text1"/>
          <w:sz w:val="16"/>
          <w:szCs w:val="16"/>
        </w:rPr>
        <w:softHyphen/>
        <w:t>ные приборы утверждаются правительством. ...Основой для определения отпускных цен является сметная себестоимость, построенная на базе плановых расходов основных материа</w:t>
      </w:r>
      <w:r w:rsidRPr="00A3026E">
        <w:rPr>
          <w:rFonts w:ascii="Times New Roman" w:hAnsi="Times New Roman"/>
          <w:color w:val="000000" w:themeColor="text1"/>
          <w:sz w:val="16"/>
          <w:szCs w:val="16"/>
        </w:rPr>
        <w:softHyphen/>
        <w:t xml:space="preserve">лов и рабочего времени на единицу продукции и планового процента накладных расходов» (РГАЭ. Ф. 8044.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2777. Л. 63—64). Видимо, этот тезис не нахо</w:t>
      </w:r>
      <w:r w:rsidRPr="00A3026E">
        <w:rPr>
          <w:rFonts w:ascii="Times New Roman" w:hAnsi="Times New Roman"/>
          <w:color w:val="000000" w:themeColor="text1"/>
          <w:sz w:val="16"/>
          <w:szCs w:val="16"/>
        </w:rPr>
        <w:softHyphen/>
        <w:t>дил понимания в Наркомате авиапромышленности и требовал специальных пояснений со стороны правительства. С другой стороны, мы видим, что отпускные цены являлись, по сути, производным от таких понятий, как «плановые расходы» и «плановый процент», то есть тоже имели в известном роде артефактную природу.</w:t>
      </w:r>
    </w:p>
    <w:p w14:paraId="5D7530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Если сопоставить авиавыпуск в годы войны в натураль</w:t>
      </w:r>
      <w:r w:rsidRPr="00A3026E">
        <w:rPr>
          <w:rFonts w:ascii="Times New Roman" w:hAnsi="Times New Roman"/>
          <w:color w:val="000000" w:themeColor="text1"/>
          <w:sz w:val="16"/>
          <w:szCs w:val="16"/>
        </w:rPr>
        <w:softHyphen/>
        <w:t xml:space="preserve">ном и стоимостном выражениях, мы получим следующую картину (РГАЭ. Ф. 8044.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2976. Л. 5,24): динамика авиавыпуска в натураль</w:t>
      </w:r>
      <w:r w:rsidRPr="00A3026E">
        <w:rPr>
          <w:rFonts w:ascii="Times New Roman" w:hAnsi="Times New Roman"/>
          <w:color w:val="000000" w:themeColor="text1"/>
          <w:sz w:val="16"/>
          <w:szCs w:val="16"/>
        </w:rPr>
        <w:softHyphen/>
        <w:t>ных величинах в общих чертах идентична динамике суммар</w:t>
      </w:r>
      <w:r w:rsidRPr="00A3026E">
        <w:rPr>
          <w:rFonts w:ascii="Times New Roman" w:hAnsi="Times New Roman"/>
          <w:color w:val="000000" w:themeColor="text1"/>
          <w:sz w:val="16"/>
          <w:szCs w:val="16"/>
        </w:rPr>
        <w:softHyphen/>
        <w:t>ной стоимости авиапродукции. Рост в натуральном выражении вёл к возрастанию стоимости, да и темпы роста в обоих ис</w:t>
      </w:r>
      <w:r w:rsidRPr="00A3026E">
        <w:rPr>
          <w:rFonts w:ascii="Times New Roman" w:hAnsi="Times New Roman"/>
          <w:color w:val="000000" w:themeColor="text1"/>
          <w:sz w:val="16"/>
          <w:szCs w:val="16"/>
        </w:rPr>
        <w:softHyphen/>
        <w:t>числениях были приблизительно равны. Хотя такое положение вещей, на первый взгляд, кажется единственно возможным, на самом деле это не обязательно. Скажем, если обратиться к со</w:t>
      </w:r>
      <w:r w:rsidRPr="00A3026E">
        <w:rPr>
          <w:rFonts w:ascii="Times New Roman" w:hAnsi="Times New Roman"/>
          <w:color w:val="000000" w:themeColor="text1"/>
          <w:sz w:val="16"/>
          <w:szCs w:val="16"/>
        </w:rPr>
        <w:softHyphen/>
        <w:t>поставлению стоимости и натурального исчисления авиавыпу</w:t>
      </w:r>
      <w:r w:rsidRPr="00A3026E">
        <w:rPr>
          <w:rFonts w:ascii="Times New Roman" w:hAnsi="Times New Roman"/>
          <w:color w:val="000000" w:themeColor="text1"/>
          <w:sz w:val="16"/>
          <w:szCs w:val="16"/>
        </w:rPr>
        <w:softHyphen/>
        <w:t xml:space="preserve">ска в 1930—1939 гг. (РГАЭ. Ф. 8328. Оп. 1.Д. 1029. Л. 64,191,203об.Д. 1030. Л. 283. Д. 1170. Л. 22; там же, Д. 695. Л. 13, Д. 316. Л. 2; РГАЭ. Ф. 2097.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xml:space="preserve">. 1. Д. 316а. Л. 1, Д. 458. Л. 86 об., Д. 569. Л. 286; РГАЭ. Ф. 8328.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xml:space="preserve">. 1. Д. 633. Л. 79, Д. 829. Л. 2.; РГАЭ. Ф. 8044.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2808. Л. 1—50.), мы увидим, что в 1932 и 1937 гг. наблю</w:t>
      </w:r>
      <w:r w:rsidRPr="00A3026E">
        <w:rPr>
          <w:rFonts w:ascii="Times New Roman" w:hAnsi="Times New Roman"/>
          <w:color w:val="000000" w:themeColor="text1"/>
          <w:sz w:val="16"/>
          <w:szCs w:val="16"/>
        </w:rPr>
        <w:softHyphen/>
        <w:t>дался явный «провал» авиапрома в стоимостном выражении на фоне динамичного роста в выражении натуральном; в 1935 г. ситуация противоположная — натуральный выпуск падает, а стоимость его растёт. Этот казус может иметь целый ряд объ</w:t>
      </w:r>
      <w:r w:rsidRPr="00A3026E">
        <w:rPr>
          <w:rFonts w:ascii="Times New Roman" w:hAnsi="Times New Roman"/>
          <w:color w:val="000000" w:themeColor="text1"/>
          <w:sz w:val="16"/>
          <w:szCs w:val="16"/>
        </w:rPr>
        <w:softHyphen/>
        <w:t>яснений: запуск в серию новых моделей самолётов с другой себестоимостью, начало производства на новых заводах, имев</w:t>
      </w:r>
      <w:r w:rsidRPr="00A3026E">
        <w:rPr>
          <w:rFonts w:ascii="Times New Roman" w:hAnsi="Times New Roman"/>
          <w:color w:val="000000" w:themeColor="text1"/>
          <w:sz w:val="16"/>
          <w:szCs w:val="16"/>
        </w:rPr>
        <w:softHyphen/>
        <w:t>ших другие (количественно) производственные издержки, изменения технологии, ведущие к изменению себестоимости единицы изделия без смены ассортимента продукции и ввода в эксплуатацию новых предприятий, и т.п.</w:t>
      </w:r>
    </w:p>
    <w:p w14:paraId="73E0EB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тем исчисление отпускных цен через сметную се</w:t>
      </w:r>
      <w:r w:rsidRPr="00A3026E">
        <w:rPr>
          <w:rFonts w:ascii="Times New Roman" w:hAnsi="Times New Roman"/>
          <w:color w:val="000000" w:themeColor="text1"/>
          <w:sz w:val="16"/>
          <w:szCs w:val="16"/>
        </w:rPr>
        <w:softHyphen/>
        <w:t>бестоимость привело к довольно странной ситуации в ави</w:t>
      </w:r>
      <w:r w:rsidRPr="00A3026E">
        <w:rPr>
          <w:rFonts w:ascii="Times New Roman" w:hAnsi="Times New Roman"/>
          <w:color w:val="000000" w:themeColor="text1"/>
          <w:sz w:val="16"/>
          <w:szCs w:val="16"/>
        </w:rPr>
        <w:softHyphen/>
        <w:t>апромышленности в начале войны (см. прил. 6). Обращает на себя внимание производство ряда моделей фактически в убыток — их отпускные цены были ниже себестоимости. Вероятно, это объясняется сложностями постановки новой модели на поток. В любом случае суммарная рентабельность авиапромышленности в 1941 г. была наивысшей за весь пе</w:t>
      </w:r>
      <w:r w:rsidRPr="00A3026E">
        <w:rPr>
          <w:rFonts w:ascii="Times New Roman" w:hAnsi="Times New Roman"/>
          <w:color w:val="000000" w:themeColor="text1"/>
          <w:sz w:val="16"/>
          <w:szCs w:val="16"/>
        </w:rPr>
        <w:softHyphen/>
        <w:t>риод войны (см. ниже), поэтому такие «убыточные» модели, очевидно, составляли малозначительное меньшинство но</w:t>
      </w:r>
      <w:r w:rsidRPr="00A3026E">
        <w:rPr>
          <w:rFonts w:ascii="Times New Roman" w:hAnsi="Times New Roman"/>
          <w:color w:val="000000" w:themeColor="text1"/>
          <w:sz w:val="16"/>
          <w:szCs w:val="16"/>
        </w:rPr>
        <w:softHyphen/>
        <w:t>менклатуры выпуска.</w:t>
      </w:r>
    </w:p>
    <w:p w14:paraId="16A803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6</w:t>
      </w:r>
    </w:p>
    <w:p w14:paraId="4690F7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Отпускные цены и себестоимость некоторых моделей авиатехники в 1941—1942 гг. (тыс. руб.) (РГАЭ. Ф. 8044. </w:t>
      </w:r>
      <w:r w:rsidRPr="00A3026E">
        <w:rPr>
          <w:rFonts w:ascii="Times New Roman" w:hAnsi="Times New Roman"/>
          <w:color w:val="000000" w:themeColor="text1"/>
          <w:sz w:val="16"/>
          <w:szCs w:val="16"/>
          <w:lang w:val="en-US"/>
        </w:rPr>
        <w:t xml:space="preserve">On. </w:t>
      </w:r>
      <w:r w:rsidRPr="00A3026E">
        <w:rPr>
          <w:rFonts w:ascii="Times New Roman" w:hAnsi="Times New Roman"/>
          <w:color w:val="000000" w:themeColor="text1"/>
          <w:sz w:val="16"/>
          <w:szCs w:val="16"/>
        </w:rPr>
        <w:t xml:space="preserve">1. Д. 230. Л. </w:t>
      </w:r>
      <w:r w:rsidRPr="00A3026E">
        <w:rPr>
          <w:rFonts w:ascii="Times New Roman" w:hAnsi="Times New Roman"/>
          <w:color w:val="000000" w:themeColor="text1"/>
          <w:sz w:val="16"/>
          <w:szCs w:val="16"/>
          <w:lang w:val="en-US"/>
        </w:rPr>
        <w:t>7</w:t>
      </w:r>
      <w:r w:rsidRPr="00A3026E">
        <w:rPr>
          <w:rFonts w:ascii="Times New Roman" w:hAnsi="Times New Roman"/>
          <w:color w:val="000000" w:themeColor="text1"/>
          <w:sz w:val="16"/>
          <w:szCs w:val="16"/>
        </w:rPr>
        <w:t>5</w:t>
      </w:r>
      <w:r w:rsidRPr="00A3026E">
        <w:rPr>
          <w:rFonts w:ascii="Times New Roman" w:hAnsi="Times New Roman"/>
          <w:color w:val="000000" w:themeColor="text1"/>
          <w:sz w:val="16"/>
          <w:szCs w:val="16"/>
          <w:lang w:val="en-US"/>
        </w:rPr>
        <w:t xml:space="preserve">, </w:t>
      </w:r>
      <w:r w:rsidRPr="00A3026E">
        <w:rPr>
          <w:rFonts w:ascii="Times New Roman" w:hAnsi="Times New Roman"/>
          <w:color w:val="000000" w:themeColor="text1"/>
          <w:sz w:val="16"/>
          <w:szCs w:val="16"/>
        </w:rPr>
        <w:t>90)</w:t>
      </w:r>
    </w:p>
    <w:tbl>
      <w:tblPr>
        <w:tblW w:w="0" w:type="auto"/>
        <w:tblInd w:w="8" w:type="dxa"/>
        <w:tblLayout w:type="fixed"/>
        <w:tblCellMar>
          <w:left w:w="0" w:type="dxa"/>
          <w:right w:w="0" w:type="dxa"/>
        </w:tblCellMar>
        <w:tblLook w:val="0000" w:firstRow="0" w:lastRow="0" w:firstColumn="0" w:lastColumn="0" w:noHBand="0" w:noVBand="0"/>
      </w:tblPr>
      <w:tblGrid>
        <w:gridCol w:w="854"/>
        <w:gridCol w:w="1162"/>
        <w:gridCol w:w="878"/>
        <w:gridCol w:w="1066"/>
        <w:gridCol w:w="941"/>
        <w:gridCol w:w="1061"/>
      </w:tblGrid>
      <w:tr w:rsidR="00983732" w:rsidRPr="00A3026E" w14:paraId="20D3B52B" w14:textId="77777777" w:rsidTr="00EA0DA7">
        <w:trPr>
          <w:trHeight w:val="427"/>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4261A6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изготовитель</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373995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Модель</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72D53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Отпускная цена-1941</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60E8F0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Себестоимость 1941</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634FDB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Отпускная цена-1942</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09A1D7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Себестоимость- 1942</w:t>
            </w:r>
          </w:p>
        </w:tc>
      </w:tr>
      <w:tr w:rsidR="00983732" w:rsidRPr="00A3026E" w14:paraId="66FE1782" w14:textId="77777777" w:rsidTr="00EA0DA7">
        <w:trPr>
          <w:trHeight w:val="221"/>
        </w:trPr>
        <w:tc>
          <w:tcPr>
            <w:tcW w:w="5962" w:type="dxa"/>
            <w:gridSpan w:val="6"/>
            <w:tcBorders>
              <w:top w:val="single" w:sz="6" w:space="0" w:color="auto"/>
              <w:left w:val="single" w:sz="6" w:space="0" w:color="auto"/>
              <w:bottom w:val="single" w:sz="6" w:space="0" w:color="auto"/>
              <w:right w:val="single" w:sz="6" w:space="0" w:color="auto"/>
            </w:tcBorders>
            <w:shd w:val="clear" w:color="auto" w:fill="FFFFFF"/>
          </w:tcPr>
          <w:p w14:paraId="74D9EA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 без моторов</w:t>
            </w:r>
          </w:p>
        </w:tc>
      </w:tr>
      <w:tr w:rsidR="00983732" w:rsidRPr="00A3026E" w14:paraId="15665723"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3CD8D5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1162" w:type="dxa"/>
            <w:tcBorders>
              <w:top w:val="single" w:sz="6" w:space="0" w:color="auto"/>
              <w:left w:val="single" w:sz="6" w:space="0" w:color="auto"/>
              <w:bottom w:val="nil"/>
              <w:right w:val="single" w:sz="6" w:space="0" w:color="auto"/>
            </w:tcBorders>
            <w:shd w:val="clear" w:color="auto" w:fill="FFFFFF"/>
          </w:tcPr>
          <w:p w14:paraId="65848D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 (М-105П)</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92928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196,5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2B0599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198,3</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10D788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378C1D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132,7</w:t>
            </w:r>
          </w:p>
        </w:tc>
      </w:tr>
      <w:tr w:rsidR="00983732" w:rsidRPr="00A3026E" w14:paraId="67A6E91D"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12299B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1162" w:type="dxa"/>
            <w:tcBorders>
              <w:top w:val="nil"/>
              <w:left w:val="single" w:sz="6" w:space="0" w:color="auto"/>
              <w:bottom w:val="nil"/>
              <w:right w:val="single" w:sz="6" w:space="0" w:color="auto"/>
            </w:tcBorders>
            <w:shd w:val="clear" w:color="auto" w:fill="FFFFFF"/>
          </w:tcPr>
          <w:p w14:paraId="6139AA0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7C3CC2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216,5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42057B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310</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676E4B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0D53EC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153,8</w:t>
            </w:r>
          </w:p>
        </w:tc>
      </w:tr>
      <w:tr w:rsidR="00983732" w:rsidRPr="00A3026E" w14:paraId="42025A5A" w14:textId="77777777" w:rsidTr="00EA0DA7">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0949DC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153</w:t>
            </w:r>
          </w:p>
        </w:tc>
        <w:tc>
          <w:tcPr>
            <w:tcW w:w="1162" w:type="dxa"/>
            <w:tcBorders>
              <w:top w:val="nil"/>
              <w:left w:val="single" w:sz="6" w:space="0" w:color="auto"/>
              <w:bottom w:val="single" w:sz="6" w:space="0" w:color="auto"/>
              <w:right w:val="single" w:sz="6" w:space="0" w:color="auto"/>
            </w:tcBorders>
            <w:shd w:val="clear" w:color="auto" w:fill="FFFFFF"/>
          </w:tcPr>
          <w:p w14:paraId="718D676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58C496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318,5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08C92D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289</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8D9C4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454D4F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201,9</w:t>
            </w:r>
          </w:p>
        </w:tc>
      </w:tr>
      <w:tr w:rsidR="00983732" w:rsidRPr="00A3026E" w14:paraId="13D5D80A"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6F5106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292</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270C5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Як-1 (М-105П)</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0B44D0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208</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6A0568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159Д</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6C80AA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1F2CC6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102,9</w:t>
            </w:r>
          </w:p>
        </w:tc>
      </w:tr>
      <w:tr w:rsidR="00983732" w:rsidRPr="00A3026E" w14:paraId="0CFCF07E"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0DCDC3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29D618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Як-7 (М-105П)</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1578D4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576DE5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E085E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146</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121364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102,9</w:t>
            </w:r>
          </w:p>
        </w:tc>
      </w:tr>
      <w:tr w:rsidR="00983732" w:rsidRPr="00A3026E" w14:paraId="5ED81973" w14:textId="77777777" w:rsidTr="00EA0DA7">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5EA2BC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242888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УТ-2(М-11)</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4219B0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6EA0BE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38,9</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7B281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061140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32,7</w:t>
            </w:r>
          </w:p>
        </w:tc>
      </w:tr>
      <w:tr w:rsidR="00983732" w:rsidRPr="00A3026E" w14:paraId="443DE526" w14:textId="77777777" w:rsidTr="00EA0DA7">
        <w:trPr>
          <w:trHeight w:val="21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23552A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54B01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УТ-2(М-11</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797ED5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1C3E0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123,2</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27FFD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231DAB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60,6</w:t>
            </w:r>
          </w:p>
        </w:tc>
      </w:tr>
      <w:tr w:rsidR="00983732" w:rsidRPr="00A3026E" w14:paraId="18373474"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158CB4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lang w:val="en-US"/>
              </w:rPr>
              <w:t>3</w:t>
            </w:r>
            <w:r w:rsidRPr="00A3026E">
              <w:rPr>
                <w:rFonts w:ascii="Times New Roman" w:hAnsi="Times New Roman"/>
                <w:color w:val="000000" w:themeColor="text1"/>
                <w:sz w:val="16"/>
                <w:szCs w:val="16"/>
              </w:rPr>
              <w:t>8</w:t>
            </w:r>
            <w:r w:rsidRPr="00A3026E">
              <w:rPr>
                <w:rFonts w:ascii="Times New Roman" w:hAnsi="Times New Roman"/>
                <w:color w:val="000000" w:themeColor="text1"/>
                <w:sz w:val="16"/>
                <w:szCs w:val="16"/>
                <w:lang w:val="en-US"/>
              </w:rPr>
              <w:t>7</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5205C4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У-2(М-11)</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4260E0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9988D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ЗОЛ</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0C8A0D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2730DA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r>
      <w:tr w:rsidR="00983732" w:rsidRPr="00A3026E" w14:paraId="16FB636F" w14:textId="77777777" w:rsidTr="00EA0DA7">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18E3FE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7DB52B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 (АМ-38)</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A4024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79BC79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4E9F6E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555AC9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221,2</w:t>
            </w:r>
          </w:p>
        </w:tc>
      </w:tr>
      <w:tr w:rsidR="00983732" w:rsidRPr="00A3026E" w14:paraId="5CBFB9EF"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45225D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525BC9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 (АМ-38)</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65F5E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33CC2F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261</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3B52E3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75EE94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201,9</w:t>
            </w:r>
          </w:p>
        </w:tc>
      </w:tr>
      <w:tr w:rsidR="00983732" w:rsidRPr="00A3026E" w14:paraId="5BC63F7B" w14:textId="77777777" w:rsidTr="00EA0DA7">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424CFE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ECD99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 (2М-105Р)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507916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50597D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437,3</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142EEA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365</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66E78A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351</w:t>
            </w:r>
          </w:p>
        </w:tc>
      </w:tr>
      <w:tr w:rsidR="00983732" w:rsidRPr="00A3026E" w14:paraId="6DA8246A"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5F7E48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0AB6B3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 (2М-105Р)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1DFF8E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700CA4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551</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300003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0B9852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443,3</w:t>
            </w:r>
          </w:p>
        </w:tc>
      </w:tr>
      <w:tr w:rsidR="00983732" w:rsidRPr="00A3026E" w14:paraId="7E5B4C9A"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6689DC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51DC63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ПС-84 (2М-62ИР)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0ED3B9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6B9000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0E5FD0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0CC861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504,8**</w:t>
            </w:r>
          </w:p>
        </w:tc>
      </w:tr>
      <w:tr w:rsidR="00983732" w:rsidRPr="00A3026E" w14:paraId="4B2E6F21"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0F96BD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24E49D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ДБ-Зф (2М-88)</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7169C1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013349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692</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7981A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113221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557,7</w:t>
            </w:r>
          </w:p>
        </w:tc>
      </w:tr>
      <w:tr w:rsidR="00983732" w:rsidRPr="00A3026E" w14:paraId="37B2CF9E" w14:textId="77777777" w:rsidTr="00EA0DA7">
        <w:trPr>
          <w:trHeight w:val="221"/>
        </w:trPr>
        <w:tc>
          <w:tcPr>
            <w:tcW w:w="5962" w:type="dxa"/>
            <w:gridSpan w:val="6"/>
            <w:tcBorders>
              <w:top w:val="single" w:sz="6" w:space="0" w:color="auto"/>
              <w:left w:val="single" w:sz="6" w:space="0" w:color="auto"/>
              <w:bottom w:val="single" w:sz="6" w:space="0" w:color="auto"/>
              <w:right w:val="single" w:sz="6" w:space="0" w:color="auto"/>
            </w:tcBorders>
            <w:shd w:val="clear" w:color="auto" w:fill="FFFFFF"/>
          </w:tcPr>
          <w:p w14:paraId="4F6A2F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w:t>
            </w:r>
          </w:p>
        </w:tc>
      </w:tr>
      <w:tr w:rsidR="00983732" w:rsidRPr="00A3026E" w14:paraId="456EB6E7"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61D3B1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15A96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5B457C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3B370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84,5</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65DFAC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50DCE5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48,1</w:t>
            </w:r>
          </w:p>
        </w:tc>
      </w:tr>
      <w:tr w:rsidR="00983732" w:rsidRPr="00A3026E" w14:paraId="6EE71D59" w14:textId="77777777" w:rsidTr="00EA0DA7">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436BA0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2E6D3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М-82</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C4A07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7F03A4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95,5</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49BDE1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1485DF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55,8</w:t>
            </w:r>
          </w:p>
        </w:tc>
      </w:tr>
      <w:tr w:rsidR="00983732" w:rsidRPr="00A3026E" w14:paraId="3D60EDFD"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335DDE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33389D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М-43ИР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1E0AF1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24DBE9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50,1</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38BD3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462CBD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32,7</w:t>
            </w:r>
          </w:p>
        </w:tc>
      </w:tr>
      <w:tr w:rsidR="00983732" w:rsidRPr="00A3026E" w14:paraId="22EA6F75" w14:textId="77777777" w:rsidTr="00EA0DA7">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4A96C9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5BFA4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АМ-38</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7417BB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4D8557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0F7868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19606A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48,1</w:t>
            </w:r>
          </w:p>
        </w:tc>
      </w:tr>
      <w:tr w:rsidR="00983732" w:rsidRPr="00A3026E" w14:paraId="3764CB55"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16C29C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4307CC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1D4DA4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46B514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BCDA9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0BFB01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38,5</w:t>
            </w:r>
          </w:p>
        </w:tc>
      </w:tr>
      <w:tr w:rsidR="00983732" w:rsidRPr="00A3026E" w14:paraId="0BBB36FC" w14:textId="77777777" w:rsidTr="00EA0DA7">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30D953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C6F88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М-88Б</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7DE2F1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064B82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57,6</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19EA72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523664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46,2</w:t>
            </w:r>
          </w:p>
        </w:tc>
      </w:tr>
      <w:tr w:rsidR="00983732" w:rsidRPr="00A3026E" w14:paraId="702C110C" w14:textId="77777777" w:rsidTr="00EA0DA7">
        <w:trPr>
          <w:trHeight w:val="240"/>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28390D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154</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2FD745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М-11</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708430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A5791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10.9</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C73F6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77C8DF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w:t>
            </w:r>
          </w:p>
        </w:tc>
      </w:tr>
    </w:tbl>
    <w:p w14:paraId="6596E5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Без вооруженния (так в тексте). ** С вооружением (так в тексте) (12011).</w:t>
      </w:r>
    </w:p>
    <w:p w14:paraId="68EE7DB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059D4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года в строй частично вошел завод № 161 НКАП:</w:t>
      </w:r>
    </w:p>
    <w:p w14:paraId="312B0E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полного – реконструкция продолжается</w:t>
      </w:r>
    </w:p>
    <w:p w14:paraId="5BE9D6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Реконструируемый</w:t>
      </w:r>
    </w:p>
    <w:p w14:paraId="34D98B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производства – массовое и мелкосерийное</w:t>
      </w:r>
    </w:p>
    <w:p w14:paraId="18D380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производства – агрегатостроение</w:t>
      </w:r>
    </w:p>
    <w:p w14:paraId="0501CE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Москва 5, Баумановский район, ул. Нижняя Красносельская, д. 33, п/я 132</w:t>
      </w:r>
    </w:p>
    <w:p w14:paraId="316E53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161 построен в дореволюционное время. В 1927 году из чаеразвесочной фабрики Высоцкого он был реконструирован под мебельную фабрику, под наименованием Красносельской мебельной фабрики № 1 треста Союзмебель Наркомлеса.</w:t>
      </w:r>
    </w:p>
    <w:p w14:paraId="707686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мае 1933 года по постановлению правительства фабрика была переоборудована для изготовления деревянных самолетных винтов, что по объему производства заняло 2-ой корпус фабрики.</w:t>
      </w:r>
    </w:p>
    <w:p w14:paraId="0E0DF5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1935 года фабрика № 1 была по постановлению Экономсовета переименована в завод № 161. В июле 1940 года завод № 161 на основании Постановления Правительства от 5 июля 1940 года № 1169-456с из системы Наркомлеса был передан в систему НКАП для производства авиасвечей и магнето.</w:t>
      </w:r>
    </w:p>
    <w:p w14:paraId="4898CD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оборудование и приспособления для деревообработки были сняты. Завод подвергся полной реконструкции и 23 сентября 1940 года был пущен один цех № 6 (штамповочный) для выпуска новой продукции (9286).</w:t>
      </w:r>
    </w:p>
    <w:p w14:paraId="29087F3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605AA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Высшая аттестационная комиссия Комитета по делам высшей школы при СНК СССР при</w:t>
      </w:r>
      <w:r w:rsidRPr="00A3026E">
        <w:rPr>
          <w:rFonts w:ascii="Times New Roman" w:hAnsi="Times New Roman"/>
          <w:color w:val="000000" w:themeColor="text1"/>
          <w:sz w:val="16"/>
          <w:szCs w:val="16"/>
        </w:rPr>
        <w:softHyphen/>
        <w:t>судила ученую степень доктора технических наук без за</w:t>
      </w:r>
      <w:r w:rsidRPr="00A3026E">
        <w:rPr>
          <w:rFonts w:ascii="Times New Roman" w:hAnsi="Times New Roman"/>
          <w:color w:val="000000" w:themeColor="text1"/>
          <w:sz w:val="16"/>
          <w:szCs w:val="16"/>
        </w:rPr>
        <w:softHyphen/>
        <w:t>щиты диссертации авиаконструкторам А.А.Архангель</w:t>
      </w:r>
      <w:r w:rsidRPr="00A3026E">
        <w:rPr>
          <w:rFonts w:ascii="Times New Roman" w:hAnsi="Times New Roman"/>
          <w:color w:val="000000" w:themeColor="text1"/>
          <w:sz w:val="16"/>
          <w:szCs w:val="16"/>
        </w:rPr>
        <w:softHyphen/>
        <w:t>скому, С.В.Ильюшину, Н.Н.Поликарпову, П. О. Сухому, А.С.Яковлеву (10667).</w:t>
      </w:r>
    </w:p>
    <w:p w14:paraId="6274DAB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7F8BE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для СПК изменена мера пресечения и определено отбывание заключения в КБ-29, которым руководил заключенный А.Н. Туполев, где СПК мог работать по специальности (Ветров Г.С. С.П. Королев и космонавтика: Первые шаги. М.: Наука, 1994).</w:t>
      </w:r>
    </w:p>
    <w:p w14:paraId="5CAD80A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72CB36D" w14:textId="77777777" w:rsidR="003A67EC" w:rsidRPr="00A3026E" w:rsidRDefault="003A67EC"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сентябре 1940 года Таубин и Бабурин побывали на приеме у Сталина, который потребовал поднять темп стрельбы до 600 выстр/мин, считая, что пушка с темпом стрельбы 500 выстр/мин годится лишь для сухопутного применения. На заводе пытались поднять темп стрельбы за счет лучшей отладки. Начальник цеха В.Е. Сиберев предложил ставить более жесткую возвратную пружину, благодаря которой затвор приходил в переднее положение с большей скоростью. Благодаря этому удалось достичь скорострельности 600-610 выстр/мин.</w:t>
      </w:r>
    </w:p>
    <w:p w14:paraId="58EC17A4" w14:textId="77777777" w:rsidR="003A67EC" w:rsidRPr="00A3026E" w:rsidRDefault="003A67EC"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окончательном виде, получившим обозначение МП-6 (другое обозначение - ПТБ-23 - пушка Таубина-Бабурина), был введен рычажный ускоритель затворного узла для сохранения хода затвора на прежнюю длину и более эффективных гидравлический буфер отката вместо пружинного.</w:t>
      </w:r>
    </w:p>
    <w:p w14:paraId="7453CD82" w14:textId="77777777" w:rsidR="003A67EC" w:rsidRPr="00A3026E" w:rsidRDefault="003A67EC" w:rsidP="00A3026E">
      <w:pPr>
        <w:pStyle w:val="ae"/>
        <w:shd w:val="clear" w:color="auto" w:fill="FFFFFF"/>
        <w:spacing w:before="0" w:after="0"/>
        <w:jc w:val="both"/>
        <w:rPr>
          <w:color w:val="000000" w:themeColor="text1"/>
          <w:sz w:val="16"/>
          <w:szCs w:val="16"/>
        </w:rPr>
      </w:pPr>
      <w:r w:rsidRPr="00A3026E">
        <w:rPr>
          <w:color w:val="000000" w:themeColor="text1"/>
          <w:sz w:val="16"/>
          <w:szCs w:val="16"/>
        </w:rPr>
        <w:t>К сожалению, столь высокий темп стрельбы при использовании мощного патрона таил в себе массу проблем, которые никто не мог предвидеть. Такой параметр, как усилие отдачи не фигурировал нигде в технических требованиях на орудие. По всей видимости, ни оружейники, ни авиаконструкторы, до сего момента не сталкиваясь с установкой на самолеты столь мощного оружия, не придавали значения чудовищным силам, которые в момент отдачи воздействуют на конструкцию самолета (19193).</w:t>
      </w:r>
    </w:p>
    <w:p w14:paraId="4DFFF9C0" w14:textId="77777777" w:rsidR="003A67EC" w:rsidRPr="00A3026E" w:rsidRDefault="003A67EC" w:rsidP="00A3026E">
      <w:pPr>
        <w:pStyle w:val="ae"/>
        <w:shd w:val="clear" w:color="auto" w:fill="FFFFFF"/>
        <w:spacing w:before="0" w:after="0"/>
        <w:jc w:val="both"/>
        <w:rPr>
          <w:color w:val="000000" w:themeColor="text1"/>
          <w:sz w:val="16"/>
          <w:szCs w:val="16"/>
        </w:rPr>
      </w:pPr>
    </w:p>
    <w:p w14:paraId="701D08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года на базе СКБ-1 Центрального котлотурбинного завода образовали Научно-исследовательский институт авиационной теплотехники, а в октябре приняли решение о слиянии завода № 379 Наркомата авиационной промышленности и Научно-исследовательского института № 22 (</w:t>
      </w:r>
      <w:r w:rsidRPr="00A3026E">
        <w:rPr>
          <w:rFonts w:ascii="Times New Roman" w:hAnsi="Times New Roman"/>
          <w:iCs/>
          <w:color w:val="000000" w:themeColor="text1"/>
          <w:sz w:val="16"/>
          <w:szCs w:val="16"/>
        </w:rPr>
        <w:t>Щерба А.Н</w:t>
      </w:r>
      <w:r w:rsidRPr="00A3026E">
        <w:rPr>
          <w:rFonts w:ascii="Times New Roman" w:hAnsi="Times New Roman"/>
          <w:color w:val="000000" w:themeColor="text1"/>
          <w:sz w:val="16"/>
          <w:szCs w:val="16"/>
        </w:rPr>
        <w:t>. Военная промышленность в 20—30-е годы. СПб.: Нестор, 1999. С. 130.). (11176).</w:t>
      </w:r>
    </w:p>
    <w:p w14:paraId="24DFCB3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88404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для окончательного принятия па вооружение БРАБ-500ДС было решено провести их войсковые испытания. Испытания требовалось провести по программе 1 отдела 3 управления ГУАС КА и 7 отдела УА ВМФ. В дальнейшем дублировать заказы этого боеприпаса категорически запрещалось (11402).</w:t>
      </w:r>
    </w:p>
    <w:p w14:paraId="3B9D39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9C117B8" w14:textId="77777777" w:rsidR="003A67EC" w:rsidRPr="00A3026E" w:rsidRDefault="003A67EC" w:rsidP="00A3026E">
      <w:pPr>
        <w:pStyle w:val="p1"/>
        <w:spacing w:before="0" w:beforeAutospacing="0" w:after="0" w:afterAutospacing="0"/>
        <w:jc w:val="both"/>
        <w:rPr>
          <w:color w:val="000000" w:themeColor="text1"/>
          <w:sz w:val="16"/>
          <w:szCs w:val="16"/>
        </w:rPr>
      </w:pPr>
      <w:r w:rsidRPr="00A3026E">
        <w:rPr>
          <w:color w:val="000000" w:themeColor="text1"/>
          <w:sz w:val="16"/>
          <w:szCs w:val="16"/>
        </w:rPr>
        <w:t>В сентябре 1940 – на коллегии наркомата боеприпасов А.Г. Костиков заявил, что реактивные установки для снарядов М-13 существуют только в воображении директора Института. Этим А.Г. Костиков мстил директору Института Б.М. Слонимеру за то, что тот ограничивал его самостоятельность, использовав еще при этом на работах по приобретению автомашин. И это происходило тогда, когда А.Г. Костиков добивался возможности руководства работами без директора Института, считая себя уже автором нового оружия – третьего варианта пусковой установки (19588).</w:t>
      </w:r>
    </w:p>
    <w:p w14:paraId="1FB7B82D" w14:textId="77777777" w:rsidR="003A67EC" w:rsidRPr="00A3026E" w:rsidRDefault="003A67EC" w:rsidP="00A3026E">
      <w:pPr>
        <w:pStyle w:val="p1"/>
        <w:spacing w:before="0" w:beforeAutospacing="0" w:after="0" w:afterAutospacing="0"/>
        <w:jc w:val="both"/>
        <w:rPr>
          <w:color w:val="000000" w:themeColor="text1"/>
          <w:sz w:val="16"/>
          <w:szCs w:val="16"/>
        </w:rPr>
      </w:pPr>
    </w:p>
    <w:p w14:paraId="6621510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72DE8E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74D00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выделением из Березниковского химкомбината для производства иприта был создан Березниковский содовый завод (далее - завод № 761) (Завод № 761 НКХП, Березниковский содовый завод (БСЗ) им. В.И. Ленина, ПО «Сода», ОАО «БСЗ» /г. Березники ст. Усольская Пермской обл./ /618400  г. Березники Пермской обл. ул. Новосодовая, 19/).</w:t>
      </w:r>
    </w:p>
    <w:p w14:paraId="500798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иприта в 1941-45 г. в цехе № 10 (мощности сохранялись до 1959 г.). Всего за годы войны выпущено около 10.000 т.</w:t>
      </w:r>
      <w:r w:rsidRPr="00A3026E">
        <w:rPr>
          <w:rFonts w:ascii="Times New Roman" w:hAnsi="Times New Roman"/>
          <w:color w:val="000000" w:themeColor="text1"/>
          <w:sz w:val="16"/>
          <w:szCs w:val="16"/>
          <w:vertAlign w:val="superscript"/>
        </w:rPr>
        <w:t>71</w:t>
      </w:r>
    </w:p>
    <w:p w14:paraId="4E663C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99сс от 11.07.1941 г. на площадку завода должен был эвакуироваться Одесский химзавод.</w:t>
      </w:r>
    </w:p>
    <w:p w14:paraId="432758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286 от 26.07.1941 г. и № 511 от 19.08,1941 г. производство хлорбензола и динитрохлорбензола с Березниковского азотно-тукового комбината переведено на содовый завод. Цех хлорбензола вступил в строй в 1942 г. 30.01.1943 г. вышло постановление ГКО № 2800 о мерах по увеличению производства кальцинированной и каустической соды на заводе. Было начато строительство второго содового завода. Распоряжением ГКО № 4784 от 15.12.1943 г. для работы на содовый завод и калийный комбинат передано 600 заключенных.</w:t>
      </w:r>
    </w:p>
    <w:p w14:paraId="5775BC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1954 г. старый и новый заводы объединены, выпуск кальцинированной соды увеличен в 3 раза. В 1970-е  г. на базе завода создано ПО «Сода». К началу 1990-х  г. завод производил 26% кальцинированной соды в стране,</w:t>
      </w:r>
      <w:r w:rsidRPr="00A3026E">
        <w:rPr>
          <w:rFonts w:ascii="Times New Roman" w:hAnsi="Times New Roman"/>
          <w:iCs/>
          <w:color w:val="000000" w:themeColor="text1"/>
          <w:sz w:val="16"/>
          <w:szCs w:val="16"/>
        </w:rPr>
        <w:t xml:space="preserve"> 6% </w:t>
      </w:r>
      <w:r w:rsidRPr="00A3026E">
        <w:rPr>
          <w:rFonts w:ascii="Times New Roman" w:hAnsi="Times New Roman"/>
          <w:color w:val="000000" w:themeColor="text1"/>
          <w:sz w:val="16"/>
          <w:szCs w:val="16"/>
        </w:rPr>
        <w:t>каустической соды.</w:t>
      </w:r>
    </w:p>
    <w:p w14:paraId="5AD431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(2003 г.): сода кальцинированная, сода пищевая, хлористый барий, бертолетова соль, соляная кислота, средства моющие технические СМ-15, СМ-37, «Посудомой», известковое молоко, известь негашеная, кислород, известняк (11982).</w:t>
      </w:r>
    </w:p>
    <w:p w14:paraId="197566B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7F256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патронный завод АО «Вайрогс» был передан в ведение НКВ и получил наименование завод № 520 (Завод № 520 НКВ, НКБ, АО вагоностроительных и механических заводов «Феникс», АО «Вайрогс», Рижский вагоностроительный завод, п/я 20 /Латвия  г. Рига; н/п Бисерть Свердловской обл. п/я 20 «Сталь» (1942-43 г.)/), вскоре передан в НКБ.</w:t>
      </w:r>
    </w:p>
    <w:p w14:paraId="36E73B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Вагоностроительный завод АО «Феникс» основан в 1900 г., в 1915 г. был эвакуирован из Риги в Рыбинск (далее - это завод № 808 НКМВ).</w:t>
      </w:r>
    </w:p>
    <w:p w14:paraId="5FF476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Затем, вероятно, завод вновь организован в Риге. В 1930-е  г. на базе рижского АО вагоностроительных и механических заводов «Феникс» было создано АО «Вайрогс». Было налажено вагоностроение и производство автомобилей по лицензии Форда. Один из заводов АО «Вайрогс» выпускал патроны калибра 7,71 мм британского образца (1940 г.). В 1937-40 г. выпущено 332 легковых, более 1200 грузовых автомобилей и 200 автобусов.</w:t>
      </w:r>
    </w:p>
    <w:p w14:paraId="406B66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вероятно, завод № 520 эвакуирован в Свердловскую обл. на площадку НКМП. В 12.1942-11.1943 г. - в ведении 2ГУ НКБ, в 09.1944 г. - в ведении 8ГУ. Имел обозначение «п/я 20» (1943 г.).</w:t>
      </w:r>
    </w:p>
    <w:p w14:paraId="734EDA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составе завода цехи (1943 г.): основные: механический, термический, литейный. Количество оборудования- 217 ед.</w:t>
      </w:r>
    </w:p>
    <w:p w14:paraId="33254B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(04.1943 г.): производственная- 3972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вспомогательная- 3475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p w14:paraId="38CA28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(12.1942 г.)- 1208 чел.</w:t>
      </w:r>
    </w:p>
    <w:p w14:paraId="3E8082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(04.1943 г.)- Титов.</w:t>
      </w:r>
    </w:p>
    <w:p w14:paraId="632BA2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механик (04.1943 г.)- Булдаков.</w:t>
      </w:r>
    </w:p>
    <w:p w14:paraId="1C0311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отделов: ППО (04.1943 г.)- Ромм; 1-го (04.1943 г.)- Сидоров.</w:t>
      </w:r>
    </w:p>
    <w:p w14:paraId="3CCCF1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капсюльная втулка КВ-4 (1943) (11982).</w:t>
      </w:r>
    </w:p>
    <w:p w14:paraId="1D468FA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702B1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года началось изготовление первого опытного экземпляра 57-мм танковой пушки Грабина, но вплоть до декабря месяца работы шли крайне медленно, так как и завод и КБ были заняты доработкой и освоением массового выпуска 76-мм танкового орудия Ф-34 (3862).</w:t>
      </w:r>
    </w:p>
    <w:p w14:paraId="7D58751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590F4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сентября 1940 года велись испытания 57-мм противотанковой пушки ЗИС-2 (3861).</w:t>
      </w:r>
    </w:p>
    <w:p w14:paraId="64F9456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9E85D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года обе машины СУ-14 и СУ-14-1 после завершения войсковых испытаний в КОВО (7437, 7) передали на хранение НИБТП (научно-исследовательскому бронетанковому полигону) в Кубинке (3861).</w:t>
      </w:r>
    </w:p>
    <w:p w14:paraId="7268414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9E6957" w14:textId="77777777" w:rsidR="00E90813" w:rsidRPr="00A3026E" w:rsidRDefault="00E9081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обе машины передали на хранение НИБТПолигону. Осенью 1941 г., во время обороны Москвы, обе СУ-14, вместе с еще одной опытной САУ Т-100-Y в составе "Отдельного тяжелого дивизиона особого назначения" использовались в районе ст. Кубинка для стрельбы с закрытых позиций по наступавшим немецким войскам. До сегодняшнего дня в Кубинке сохранилась бронированная СУ-14-1, вооруженная 152-мм пушкой Бр-2, а СУ-14 в 60-е годы была пущена в металлолом...(15647).</w:t>
      </w:r>
    </w:p>
    <w:p w14:paraId="6C3BE8F9" w14:textId="77777777" w:rsidR="00E90813" w:rsidRPr="00A3026E" w:rsidRDefault="00E90813" w:rsidP="00A3026E">
      <w:pPr>
        <w:spacing w:after="0" w:line="240" w:lineRule="auto"/>
        <w:jc w:val="both"/>
        <w:rPr>
          <w:rFonts w:ascii="Times New Roman" w:hAnsi="Times New Roman"/>
          <w:color w:val="000000" w:themeColor="text1"/>
          <w:sz w:val="16"/>
          <w:szCs w:val="16"/>
        </w:rPr>
      </w:pPr>
    </w:p>
    <w:p w14:paraId="516585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были утверждены ТТТ на установку пушки Ф-34 со спаренным пулеметом ДС в Т-34 с обеспечением взаимозаменяемостью с Ф-32 (9527,24).</w:t>
      </w:r>
    </w:p>
    <w:p w14:paraId="3EBB9E7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EBAA0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ОКБ завода № 92 в Горьком была разработана 76,2-мм танковая пушка Ф-34, которая в годы войны являлась наиболее мас</w:t>
      </w:r>
      <w:r w:rsidRPr="00A3026E">
        <w:rPr>
          <w:rFonts w:ascii="Times New Roman" w:hAnsi="Times New Roman"/>
          <w:color w:val="000000" w:themeColor="text1"/>
          <w:sz w:val="16"/>
          <w:szCs w:val="16"/>
        </w:rPr>
        <w:softHyphen/>
        <w:t>совой танковой пушкой. За время серийного производства (до апре</w:t>
      </w:r>
      <w:r w:rsidRPr="00A3026E">
        <w:rPr>
          <w:rFonts w:ascii="Times New Roman" w:hAnsi="Times New Roman"/>
          <w:color w:val="000000" w:themeColor="text1"/>
          <w:sz w:val="16"/>
          <w:szCs w:val="16"/>
        </w:rPr>
        <w:softHyphen/>
        <w:t>ля 1944 г.) ее конструкция дважды подвергалась модернизации, улучав</w:t>
      </w:r>
      <w:r w:rsidRPr="00A3026E">
        <w:rPr>
          <w:rFonts w:ascii="Times New Roman" w:hAnsi="Times New Roman"/>
          <w:color w:val="000000" w:themeColor="text1"/>
          <w:sz w:val="16"/>
          <w:szCs w:val="16"/>
        </w:rPr>
        <w:softHyphen/>
        <w:t>шей боевые качества орудия. Выпуск пушки Ф-34 осуществлялся на че</w:t>
      </w:r>
      <w:r w:rsidRPr="00A3026E">
        <w:rPr>
          <w:rFonts w:ascii="Times New Roman" w:hAnsi="Times New Roman"/>
          <w:color w:val="000000" w:themeColor="text1"/>
          <w:sz w:val="16"/>
          <w:szCs w:val="16"/>
        </w:rPr>
        <w:softHyphen/>
        <w:t>тырех артиллерийских заводах НКВ (№№ 92,8,9, и 13). Всего было из</w:t>
      </w:r>
      <w:r w:rsidRPr="00A3026E">
        <w:rPr>
          <w:rFonts w:ascii="Times New Roman" w:hAnsi="Times New Roman"/>
          <w:color w:val="000000" w:themeColor="text1"/>
          <w:sz w:val="16"/>
          <w:szCs w:val="16"/>
        </w:rPr>
        <w:softHyphen/>
        <w:t>готовлено около 37 000 орудий (10703).</w:t>
      </w:r>
    </w:p>
    <w:p w14:paraId="18A88E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5725A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года орудие Ф-34 прошло заводские испытания с полевого станка, а 26 октября начальник управления вооружения наземной артиллерии Красной Армии военинженер 1-го ранга Липин доносил генерал-полковнику артиллерии Воронову:</w:t>
      </w:r>
    </w:p>
    <w:p w14:paraId="5EFCE9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докладу старшего военпреда ГАУ КА на заводе № 92 от 12 октября 1940 года, завод в настоящее время форсирует изготовление 4-х опытных пушек Ф-34. Завод намерен в 1940 году изготовить 50 штук Ф-34, чтобы в 1941 году начать их валовый выпуск. Вся эта работа является инициативой промышленности, решения ГАУ КА по изготовлению Ф-34 на сегодня нет.</w:t>
      </w:r>
    </w:p>
    <w:p w14:paraId="278CDE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что вооружение танков Ф-34 вместо Ф-32 целесообразно, имея ввиду их большую мощность, однако Ф-34 испытана недостаточно (923 выстрела на заводе и 201 выстрел на полигонном испытании), а изготовляемые сейчас образцы кроме того, еще и отличаются от первого образца. Поэтому до принятия решения об изготовлении пушек Ф-34 необходимо предварительно провести всестороннее полигонное и войсковое испытание готовящихся опытных образцов» (12217).</w:t>
      </w:r>
    </w:p>
    <w:p w14:paraId="624EC15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25C0685" w14:textId="77777777" w:rsidR="00E90813" w:rsidRPr="00A3026E" w:rsidRDefault="00E90813"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сентябре 1940 года 85-мм артиллерийскую танковую систему, получившую индекс Ф-30, которую разработал коллектив завода №92 под руководством В. Г. Грабина, испытали на танке Т-28, где она показала удовлетворительные результаты. Правда, оказалось, что в штатную башню КВ-1 Ф-30 не помещается, так что Кировский завод начал разработку увеличенной башни, которая позже была установлена на тяжёлый танк Т-220 (КВ-220). Что же касается истребителя танков на базе Т-34, то его разработкой занялся коллектив завода №8 (г. Калининград, ныне г. Королёв Московской области). С завода №183 было отгружено 2 танка Т-34 без башен, на базе которых и предполагалось изготовить опытные образцы истребителя танков. Правда, дальше задания дело так и не продвинулось (15615).</w:t>
      </w:r>
    </w:p>
    <w:p w14:paraId="1F72BC9D" w14:textId="77777777" w:rsidR="00E90813" w:rsidRPr="00A3026E" w:rsidRDefault="00E90813" w:rsidP="00A3026E">
      <w:pPr>
        <w:pStyle w:val="ae"/>
        <w:shd w:val="clear" w:color="auto" w:fill="FFFFFF"/>
        <w:spacing w:before="0" w:after="0"/>
        <w:jc w:val="both"/>
        <w:rPr>
          <w:color w:val="000000" w:themeColor="text1"/>
          <w:sz w:val="16"/>
          <w:szCs w:val="16"/>
        </w:rPr>
      </w:pPr>
    </w:p>
    <w:p w14:paraId="0FBA9188" w14:textId="77777777" w:rsidR="00190FE9" w:rsidRPr="00A3026E" w:rsidRDefault="00190FE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сентябре 1940 года 85-мм артиллерийскую танковую систему, получившую индекс Ф-30, которую разработал коллектив завода №92 под руководством В. Г. Грабина, испытали на танке Т-28, где она показала удовлетворительные результаты. Правда, оказалось, что в штатную башню КВ-1 Ф-30 не помещается, так что Кировский завод начал разработку увеличенной башни, которая позже была установлена на тяжёлый танк Т-220 (КВ-220). Что же касается истребителя танков на базе Т-34, то его разработкой занялся коллектив завода №8 (г. Калининград, ныне г. Королёв Московской области). С завода №183 было отгружено 2 танка Т-34 без башен, на базе которых и предполагалось изготовить опытные образцы истребителя танков. Правда, дальше задания дело так и не продвинулось (17641).</w:t>
      </w:r>
    </w:p>
    <w:p w14:paraId="036DC542"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p>
    <w:p w14:paraId="253526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на ХПЗ изготовили первый серийный Т-34 и задание было 600 в год, причем 500 на ХПЗ, а 100 - на СТЗ. В сентябре же Кошкин умер от воспаления легких (1031,6).</w:t>
      </w:r>
    </w:p>
    <w:p w14:paraId="03243E6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07AAE24" w14:textId="77777777" w:rsidR="00190FE9" w:rsidRPr="00A3026E" w:rsidRDefault="00190FE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сентября 1940 г. по апрель 1941 г. заводом № 183 было сделано до 200 конструктивных изменений Т-34, в том числе: а) проведена замена дисков главного фрикциона на новые, исключающая их коробление; б) введены в серийное производство новые траки; в) изготовлен, испытан и принят на серийное производство новый люк механика-водителя со стеклами триплекс. В этот период было проведено огромное количество технологических мероприятий по улучшению сборки и обработки деталей. Помимо этого танки Т</w:t>
      </w:r>
      <w:r w:rsidRPr="00A3026E">
        <w:rPr>
          <w:rFonts w:ascii="Times New Roman" w:hAnsi="Times New Roman"/>
          <w:color w:val="000000" w:themeColor="text1"/>
          <w:sz w:val="16"/>
          <w:szCs w:val="16"/>
        </w:rPr>
        <w:noBreakHyphen/>
        <w:t>34 с 1941 г. стали оснащаться 76,2</w:t>
      </w:r>
      <w:r w:rsidRPr="00A3026E">
        <w:rPr>
          <w:rFonts w:ascii="Times New Roman" w:hAnsi="Times New Roman"/>
          <w:color w:val="000000" w:themeColor="text1"/>
          <w:sz w:val="16"/>
          <w:szCs w:val="16"/>
        </w:rPr>
        <w:noBreakHyphen/>
        <w:t>мм пушками Ф</w:t>
      </w:r>
      <w:r w:rsidRPr="00A3026E">
        <w:rPr>
          <w:rFonts w:ascii="Times New Roman" w:hAnsi="Times New Roman"/>
          <w:color w:val="000000" w:themeColor="text1"/>
          <w:sz w:val="16"/>
          <w:szCs w:val="16"/>
        </w:rPr>
        <w:noBreakHyphen/>
        <w:t>34. За первое полугодие 1941 г. ХПЗ сдал 816 танков Т</w:t>
      </w:r>
      <w:r w:rsidRPr="00A3026E">
        <w:rPr>
          <w:rFonts w:ascii="Times New Roman" w:hAnsi="Times New Roman"/>
          <w:color w:val="000000" w:themeColor="text1"/>
          <w:sz w:val="16"/>
          <w:szCs w:val="16"/>
        </w:rPr>
        <w:noBreakHyphen/>
        <w:t>34 (т. е. 120,9% полугодового плана), в том числе в июне — 170 машин (130,9% плана), а СТЗ с начала производства и по июнь 1941 г. включительно — 294 танка, из них в июне — 86. (ГА РФ. Ф. Р</w:t>
      </w:r>
      <w:r w:rsidRPr="00A3026E">
        <w:rPr>
          <w:rFonts w:ascii="Times New Roman" w:hAnsi="Times New Roman"/>
          <w:color w:val="000000" w:themeColor="text1"/>
          <w:sz w:val="16"/>
          <w:szCs w:val="16"/>
        </w:rPr>
        <w:noBreakHyphen/>
        <w:t>8418. Оп. 28. Д. 121. Л. 159; Д. 122. Л. 44</w:t>
      </w:r>
      <w:r w:rsidRPr="00A3026E">
        <w:rPr>
          <w:rFonts w:ascii="Times New Roman" w:hAnsi="Times New Roman"/>
          <w:color w:val="000000" w:themeColor="text1"/>
          <w:sz w:val="16"/>
          <w:szCs w:val="16"/>
        </w:rPr>
        <w:noBreakHyphen/>
        <w:t>45, 221.) (17861).</w:t>
      </w:r>
    </w:p>
    <w:p w14:paraId="1D7761D1" w14:textId="77777777" w:rsidR="00190FE9" w:rsidRPr="00A3026E" w:rsidRDefault="00190FE9" w:rsidP="00A3026E">
      <w:pPr>
        <w:spacing w:after="0" w:line="240" w:lineRule="auto"/>
        <w:jc w:val="both"/>
        <w:rPr>
          <w:rFonts w:ascii="Times New Roman" w:hAnsi="Times New Roman"/>
          <w:color w:val="000000" w:themeColor="text1"/>
          <w:sz w:val="16"/>
          <w:szCs w:val="16"/>
        </w:rPr>
      </w:pPr>
    </w:p>
    <w:p w14:paraId="07F045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Сентябрь 1940 года можно считать месяцем, с которого фактически началось серийное производство танка Т-34 - военной приемке было сдано 37 машин. Кроме того, для полис го перехода завода № 183 на выпуск Т-34, в сентябре 1940 года прекратили изготовление танков БТ-7М (12217).</w:t>
      </w:r>
    </w:p>
    <w:p w14:paraId="2794D69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F834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в оперативной сводке за сентябрь 1940 года говорилось:</w:t>
      </w:r>
    </w:p>
    <w:p w14:paraId="3412F6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Т-34.</w:t>
      </w:r>
    </w:p>
    <w:p w14:paraId="568F67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Кроме принятых 44 машин на заводе имеется в заделе: а), прошли большой пробег 2 машины, б). Собраны и находятся на заводских испытаниях 7 машин, в). Находятся в разной стадии сборки конвейере 15 машин, г). Собрано корпусов кроме поданных на конвейер — 4. д). Собрано башен, кроме поданных на конвейер нет. е). Заложено корпусов в отделе 700 на стенде 10. ж). Заложено в 700 башен 21. з). Обеспечено броней корпусов (кроме собранных и заложенных) - 40. и). Обеспечено броней башен (кроме собранных и заложенных) — 51. Кроме того, отправлено на СТЗ корпусов — 7 и башен — 7</w:t>
      </w:r>
    </w:p>
    <w:p w14:paraId="568A38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Сентябре испытано большим пробегом 39 машин из которых 5 машин проходили повторный большой пробег и 23 машины проходили контрольный пробег от одного до трех раз.</w:t>
      </w:r>
    </w:p>
    <w:p w14:paraId="0F9679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Основными дефектами, вызывающими повторные и контрольные пробеги являются:</w:t>
      </w:r>
    </w:p>
    <w:p w14:paraId="1AC80D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а). Плохое (не чистое) выключение главного фрикциона, вызывающее стук шестерен при переключении передач и скол цементационного слоя на торцах зубьев. Для устранения данного дефекта проведен ряд экспериментов и принято решение отменить фильцевый сальник на ведомом барабане, заменив его отражательным кольцом, данное изменение находится на утверждении Главного Конструктора. Кроме этого введена зачистка зубьев дисков, в случае не получения удовлетворительных результатов от удаления сальника в Конструкторском бюро имеется разработанный и предварительно проверенный тормозок, действующий на муфту между мотором и коробкой перемены передач.</w:t>
      </w:r>
    </w:p>
    <w:p w14:paraId="07ADDA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Течи смазки через концевое уплотнение главного вала КПП. Для устранения дефекта разработан обратный сток масла в картер, сделано шлицевое кольцо для уплотнения свинцовой набивки по шлицам вала и сделано масло отражательное кольцо, одна коробка ПП с перечисленными изменениями будет испытана на машине 2— 3 Октября с.г. и при получении удовлетворительных результатов данные изменения будут введены в серию.</w:t>
      </w:r>
    </w:p>
    <w:p w14:paraId="3395DD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При испытании машин выбирался зазор между шариком и канавкой кольца включающего механизма борт, фрикциона вследствие чего фрикцион буксовал, причина установлена: не правильно производилась регулировка и слабы тонкие железные регулирующие прокладки, обеспечивающие зазор выключающего механизма. Прокладки введены стальные, толстые, регулировка отработана, дефект на испытаниях прекратился.</w:t>
      </w:r>
    </w:p>
    <w:p w14:paraId="176377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w:t>
      </w:r>
      <w:r w:rsidRPr="00A3026E">
        <w:rPr>
          <w:rFonts w:ascii="Times New Roman" w:hAnsi="Times New Roman"/>
          <w:color w:val="000000" w:themeColor="text1"/>
          <w:sz w:val="16"/>
          <w:szCs w:val="16"/>
        </w:rPr>
        <w:tab/>
        <w:t>Сколы цементационного слоя на торцах зубьев шестерен КПП и заедание подвижных шестерен на шлицах валов КПП. Причина появления этого дефекта исследуется, и после выяснения будут приняты меры, устраняющие дефекты.</w:t>
      </w:r>
    </w:p>
    <w:p w14:paraId="5DE47F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Конструктивные изменения по перечням, которые должны быть введены с 1, 11, 21, 38, 51 и 61 машины выполнены за исключением:</w:t>
      </w:r>
    </w:p>
    <w:p w14:paraId="21F619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приложению № 5 к дополнительному соглашению № 4-529 п. 3. Диски на всех машинах установлены смешанные (стальные и чугунные). Вопрос с остановкой ведомого барабана еще не решен, находится на утверждении у Главного Конструктора завода.</w:t>
      </w:r>
    </w:p>
    <w:p w14:paraId="793F14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П.4 На всех машинах установлены вентиляторы с подлопатником, которые испытания выдержали, ввиду этого крепление вентилятора к маховику изменено - введено 27 болтов вместо 15 с машины № 82, а на 81 машине оставлено с 15 болтами.</w:t>
      </w:r>
    </w:p>
    <w:p w14:paraId="03F340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П.6 Сиденья в башне только ограничены от задевания за снарядную укладку, а чертежи на переделку сидений вообще не представлены, находятся, в разработке.</w:t>
      </w:r>
    </w:p>
    <w:p w14:paraId="25FE4F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7. Защита проводов от попадания масла перенесена со 101 машины.</w:t>
      </w:r>
    </w:p>
    <w:p w14:paraId="283DF6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П.9 Полное уплотнение люка водителя сделать не удалось, разработаны чертежи отражательной рамки против прямого попадания свинцовых брызг, которая будет приварена на все машины.</w:t>
      </w:r>
    </w:p>
    <w:p w14:paraId="6C3449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11. Доведение угла возвышения до 30 град, и угла снижения до 5 град, решается сейчас при установке первых пушек на машину.</w:t>
      </w:r>
    </w:p>
    <w:p w14:paraId="2CFBB0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 Радиостанция в носу машины еще не устанавливается, в настоящее время проверяется последний вариант размещения и отрабатываются чертежи.</w:t>
      </w:r>
    </w:p>
    <w:p w14:paraId="4EB922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приложению № 8.</w:t>
      </w:r>
    </w:p>
    <w:p w14:paraId="2F5FE8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 то же, что и по п. 11 приложения 5.</w:t>
      </w:r>
    </w:p>
    <w:p w14:paraId="0D69D7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15 Вследствие переноса с 201 машины.</w:t>
      </w:r>
    </w:p>
    <w:p w14:paraId="307FCE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приложению № 9.</w:t>
      </w:r>
    </w:p>
    <w:p w14:paraId="3214D7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Т-34 со сварной башней, люк механика-водителя вырван внутренним взрывом (фото предоставил Й. Фолерт).</w:t>
      </w:r>
    </w:p>
    <w:p w14:paraId="64A4FC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1. 2 и 14 комплекты не готовы. В настоящее время находятся в стадии разработки.</w:t>
      </w:r>
    </w:p>
    <w:p w14:paraId="2882EC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3 Бочки для питьевой воды Конструкторским бюро не разработаны, есть только несколько проектов. Вообще, по этому вопросу завод затягивает и приведет к срыву, как это имело место по А-7М.</w:t>
      </w:r>
    </w:p>
    <w:p w14:paraId="41A8CB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5 Принято решение лампу и аптечку для пайки давать на 5 машин в не возимый комплект.</w:t>
      </w:r>
    </w:p>
    <w:p w14:paraId="038F46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перечню, подписанному Генерал-лейтенантом [Федоренко].</w:t>
      </w:r>
    </w:p>
    <w:p w14:paraId="2AA16B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14 В части облегчения переключения скоростей решается одновременно с гл. фрикционом, вариант переделки рычага и защелки чертежи еше не готовы.</w:t>
      </w:r>
    </w:p>
    <w:p w14:paraId="0D9E94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18 Перевернута выводная бонка на корпусе с 65 машины.</w:t>
      </w:r>
    </w:p>
    <w:p w14:paraId="17BEA9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19 Чертежи новой боеукладки не готовы. Находятся в стадии разработки.</w:t>
      </w:r>
    </w:p>
    <w:p w14:paraId="088316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Т-34 со сварной башней, изготовленный до ноября 1940года. Об этом свидетельствуетотсутствие крепление для дополнительных баков на борту, а также соединение нижнего бортового листа с днищем подкрылка при помощи клепки (АСКМ).</w:t>
      </w:r>
    </w:p>
    <w:p w14:paraId="2805C7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25 Решается вопрос при установки первых пушек, так же как по п. 11 перечня № 5.</w:t>
      </w:r>
    </w:p>
    <w:p w14:paraId="00C2E8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предусмотренного перечнем введено ряд изменений, выявленных при сборке машин.</w:t>
      </w:r>
    </w:p>
    <w:p w14:paraId="50527B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Основными причинами не выполнения плана Сентября мес. являются:</w:t>
      </w:r>
    </w:p>
    <w:p w14:paraId="074DB7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Оснащение механических и сборочных цехов по отделам и 700 кондукторами, приспособлениями и спец. инструментом полностью не обеспечено.</w:t>
      </w:r>
    </w:p>
    <w:p w14:paraId="4B86DD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Не обеспечивается завод № 183 своевременно рядом материалов и покупных изделий, особенно по легированным сталям.</w:t>
      </w:r>
    </w:p>
    <w:p w14:paraId="0FF81C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Кооперирующие заводы не выполняют своих поставок в сроки.</w:t>
      </w:r>
    </w:p>
    <w:p w14:paraId="3C618D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 Октябрь мес. запланировано сдать 205-й номер от нуля, т.е. кроме 44 принятых машин без вооружения 161 машину.</w:t>
      </w:r>
    </w:p>
    <w:p w14:paraId="05826D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Сводку составил: военпред АБТУ КА капитан /Русаков/.</w:t>
      </w:r>
    </w:p>
    <w:p w14:paraId="77BEA3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Сводку проверил: районный инженер АБТУ КА военинженер 2 ранга / Козырев/» (12217).</w:t>
      </w:r>
    </w:p>
    <w:p w14:paraId="67A4EFE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9556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сентября 1940 г. (начиная с танка № 27) ТПУ-3 была перенесена из башни в носовую часть корпу</w:t>
      </w:r>
      <w:r w:rsidRPr="00A3026E">
        <w:rPr>
          <w:rFonts w:ascii="Times New Roman" w:hAnsi="Times New Roman"/>
          <w:color w:val="000000" w:themeColor="text1"/>
          <w:sz w:val="16"/>
          <w:szCs w:val="16"/>
        </w:rPr>
        <w:softHyphen/>
        <w:t>са Т-34. В связи с установкой радиостанции боекомплект танка был изменен. Для командирских и линейных машин, оснащенных радиостанциями, боекомплект пулеметов составлял соответственно 2898 и 3906 патронов (10782).</w:t>
      </w:r>
    </w:p>
    <w:p w14:paraId="2514F8B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9653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закончились госиспытания установленного на двух опытных образцах А-34 на заводах № 75 и № 183 двенадцатицилиндрового дизеля М-250, модернизация В-2, рассчитанной на работу в 250 час., которые проходили с июля 1940. Испытаний не выдержал из-за высокой температуры масла (9527,145).</w:t>
      </w:r>
    </w:p>
    <w:p w14:paraId="11FE14D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B7319A8"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сентябре 1940 была подготовлена справка:</w:t>
      </w:r>
    </w:p>
    <w:p w14:paraId="69AC24C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Оперативная сводка по заводу № 183 за август 1940 г. </w:t>
      </w:r>
    </w:p>
    <w:p w14:paraId="0C0C1C4C"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Танк Т-34 с 76-мм пушкой надлежит поставить отделу «500» с начала года – 60, в августе 30 машин. Поставлено : с начала года 7 машин, в августе – 2 (одна оформлена 2.09). Отгружено с начала года 7 машин, с августа – 2 машины. Испытано большим пробегом 24 машины, ходило по одному разу 18 машин, по два раза – 3 машины и по три раза – 3 машины. </w:t>
      </w:r>
    </w:p>
    <w:p w14:paraId="47A64AF4"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Основные дефекты : Замена мотора по дымлению и низкому давлению масла; Плохое включение главного фрикциона; Тугое переключение 1-й и 2-й передач КПП; Течь смазки через сальник бортовой передачи; Пробуксовка бортового фрикциона; Раздутие маслобака радиатора. </w:t>
      </w:r>
    </w:p>
    <w:p w14:paraId="51964716"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 процессе сборки находится 5 машин в отделе «100». Производство машин БТ-7М свернуто, в сентябре запланировано собрать 40 машин, если будут задержки по броне с Мариупольского завода. </w:t>
      </w:r>
    </w:p>
    <w:p w14:paraId="0D31E5AC"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Районный инженер ГАБТУ РККА военинженер 2-го ранга Козырев (11450).</w:t>
      </w:r>
    </w:p>
    <w:p w14:paraId="4E44A052"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39C74367"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сентябре 1940 г. согласно Оперативной сводке по заводу № 183:</w:t>
      </w:r>
    </w:p>
    <w:p w14:paraId="2C71A98D"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Выпуск БТ-7М – 0. </w:t>
      </w:r>
    </w:p>
    <w:p w14:paraId="1F82459D"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Танк Т-34. С начала года надлежит поставить 140 машин, в сентябре – 80 машин. Поставлено с начало года окончательно 44 машины, в сентябре – 37. Отгружено с завода с начала года 8, в сентябре – 2 машины. </w:t>
      </w:r>
    </w:p>
    <w:p w14:paraId="63B5652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Кроме принятых 44 машин прошли большой пробег еще 24 машины. Собрано и находится на заводских испытаниях 7 машин. На конвейере в стадии сборки – 15 машин. </w:t>
      </w:r>
    </w:p>
    <w:p w14:paraId="40F5C608"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Обнаружен дефект : Плохое включение главного фрикциона. </w:t>
      </w:r>
    </w:p>
    <w:p w14:paraId="2FBB0456"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Районный инженер ГАБТУ РККА военинженер 2-го ранга Козырев (11450).</w:t>
      </w:r>
    </w:p>
    <w:p w14:paraId="34A23282"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4D7861D8" w14:textId="77777777" w:rsidR="00691CB5" w:rsidRPr="00A3026E" w:rsidRDefault="00691CB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на Ленинградском артиллерийском научно-исследовательском опытном полигоне (АНИОП) состоялась первая проверка на прочность броневой защиты серийного танка Т-34. В целях выяснения степени надежности защиты установленной в башне пушки Л-11, а также смотровых приборов пулевому и снарядному обстрелу был подвергнут танк Т-34 установочной партии, имевший заводской номер 311-25-3. В связи с тем, что согласно программе испытаний, обстрелу была подвергнута только башня танка, определить противоснарядную стойкость и прочность конструкции корпуса «тридцатьчетверки» в сентябре 1940 г. не представилось возможным. Еще до начала полигонных испытаний на АНИОПе, 28 августа 1940 г. начальник БТУ ГАБТУ КА военинженер 1 ранга Б.М. Коробков в </w:t>
      </w:r>
      <w:hyperlink r:id="rId19" w:tgtFrame="_blank" w:history="1">
        <w:r w:rsidRPr="00A3026E">
          <w:rPr>
            <w:rStyle w:val="a5"/>
            <w:rFonts w:ascii="Times New Roman" w:hAnsi="Times New Roman"/>
            <w:color w:val="000000" w:themeColor="text1"/>
            <w:sz w:val="16"/>
            <w:szCs w:val="16"/>
          </w:rPr>
          <w:t>письме № 76105с</w:t>
        </w:r>
      </w:hyperlink>
      <w:r w:rsidRPr="00A3026E">
        <w:rPr>
          <w:rFonts w:ascii="Times New Roman" w:hAnsi="Times New Roman"/>
          <w:color w:val="000000" w:themeColor="text1"/>
          <w:sz w:val="16"/>
          <w:szCs w:val="16"/>
        </w:rPr>
        <w:t> обратился к руководству 3-го ГУ НКСП и Главспецмаша НКСМ с просьбой:</w:t>
      </w:r>
    </w:p>
    <w:p w14:paraId="1E4E7349" w14:textId="77777777" w:rsidR="00691CB5" w:rsidRPr="00A3026E" w:rsidRDefault="00691CB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проверки качества сварки брони и снарядостойкости конструкции необходимо провести испытание обстрелом одного корпуса с башней танка Т-34.</w:t>
      </w:r>
    </w:p>
    <w:p w14:paraId="42A98CDD" w14:textId="77777777" w:rsidR="00691CB5" w:rsidRPr="00A3026E" w:rsidRDefault="00691CB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Вас:</w:t>
      </w:r>
    </w:p>
    <w:p w14:paraId="7D8DCFDA" w14:textId="77777777" w:rsidR="00691CB5" w:rsidRPr="00A3026E" w:rsidRDefault="00691CB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Составить программу испытаний обстрелом корпуса с башней Т-34 и выслать ее к 10-му сентября с.г. на утверждение.</w:t>
      </w:r>
    </w:p>
    <w:p w14:paraId="446BC8AB" w14:textId="77777777" w:rsidR="00691CB5" w:rsidRPr="00A3026E" w:rsidRDefault="00691CB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Подготовить к 20-му сентября с.г. один корпус с башней танка Т-34 и выслать все данные по этому корпусу с башней».</w:t>
      </w:r>
    </w:p>
    <w:p w14:paraId="75FE264E" w14:textId="77777777" w:rsidR="00691CB5" w:rsidRPr="00A3026E" w:rsidRDefault="00691CB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[РГВА. Ф. 31811. Оп. 2. Д. 1176. Л. 233] (19704).</w:t>
      </w:r>
    </w:p>
    <w:p w14:paraId="3210648A" w14:textId="77777777" w:rsidR="00691CB5" w:rsidRPr="00A3026E" w:rsidRDefault="00691CB5" w:rsidP="00A3026E">
      <w:pPr>
        <w:spacing w:after="0" w:line="240" w:lineRule="auto"/>
        <w:jc w:val="both"/>
        <w:rPr>
          <w:rFonts w:ascii="Times New Roman" w:hAnsi="Times New Roman"/>
          <w:color w:val="000000" w:themeColor="text1"/>
          <w:sz w:val="16"/>
          <w:szCs w:val="16"/>
        </w:rPr>
      </w:pPr>
    </w:p>
    <w:p w14:paraId="39EDD2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для КВ-1 был изготовлен опытный литой корпус с толщиной брони в лобовой и кормовой частях - 80-87 мм (9527,155).</w:t>
      </w:r>
    </w:p>
    <w:p w14:paraId="73B8412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EA8CD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выпущенные танки КВ имели почти те же недостатки, что и машины весеннего выпуска, на что указывало большое пись</w:t>
      </w:r>
      <w:r w:rsidRPr="00A3026E">
        <w:rPr>
          <w:rFonts w:ascii="Times New Roman" w:hAnsi="Times New Roman"/>
          <w:color w:val="000000" w:themeColor="text1"/>
          <w:sz w:val="16"/>
          <w:szCs w:val="16"/>
        </w:rPr>
        <w:softHyphen/>
        <w:t>мо бывшего военпреда Кировского завода военинженера 3-го ранга Каливода, направленное в наркомат государствен</w:t>
      </w:r>
      <w:r w:rsidRPr="00A3026E">
        <w:rPr>
          <w:rFonts w:ascii="Times New Roman" w:hAnsi="Times New Roman"/>
          <w:color w:val="000000" w:themeColor="text1"/>
          <w:sz w:val="16"/>
          <w:szCs w:val="16"/>
        </w:rPr>
        <w:softHyphen/>
        <w:t>ного контроля Л. Мехлису. В своем письме он писал:</w:t>
      </w:r>
    </w:p>
    <w:p w14:paraId="2CF136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материалам испытаний, проведенных в течение 10 месяцев на 5 машинах с общим километражем 5.270 км видно, что характерными дефектами, повторяющимися на каждой испытуемой машине, является:</w:t>
      </w:r>
    </w:p>
    <w:p w14:paraId="3CC0A2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Негодность воздушного фильтра мотора, фильтр необ</w:t>
      </w:r>
      <w:r w:rsidRPr="00A3026E">
        <w:rPr>
          <w:rFonts w:ascii="Times New Roman" w:hAnsi="Times New Roman"/>
          <w:color w:val="000000" w:themeColor="text1"/>
          <w:sz w:val="16"/>
          <w:szCs w:val="16"/>
        </w:rPr>
        <w:softHyphen/>
        <w:t>ходимо делать другой.</w:t>
      </w:r>
    </w:p>
    <w:p w14:paraId="451A57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Мала эффективность охлаждающей системы мотора.</w:t>
      </w:r>
    </w:p>
    <w:p w14:paraId="1EAA7A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Слаба коробка перемены передач, нужно сделать новую.</w:t>
      </w:r>
    </w:p>
    <w:p w14:paraId="0D2A74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Ненадежны в работе бортовые фрикционы.</w:t>
      </w:r>
    </w:p>
    <w:p w14:paraId="30D4FF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Недоработаны тормоза (подгорают, трудно регулиру</w:t>
      </w:r>
      <w:r w:rsidRPr="00A3026E">
        <w:rPr>
          <w:rFonts w:ascii="Times New Roman" w:hAnsi="Times New Roman"/>
          <w:color w:val="000000" w:themeColor="text1"/>
          <w:sz w:val="16"/>
          <w:szCs w:val="16"/>
        </w:rPr>
        <w:softHyphen/>
        <w:t>ются).</w:t>
      </w:r>
    </w:p>
    <w:p w14:paraId="76558D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Необходимо доработать ходовую часть в сторону ее усиления (катки, траки, торсионный вал).</w:t>
      </w:r>
    </w:p>
    <w:p w14:paraId="4B1D2F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Помимо этого, машина имеет ряд крупных дефектов, не влияющих на ее подвижность, но снижающих боевые качест</w:t>
      </w:r>
      <w:r w:rsidRPr="00A3026E">
        <w:rPr>
          <w:rFonts w:ascii="Times New Roman" w:hAnsi="Times New Roman"/>
          <w:color w:val="000000" w:themeColor="text1"/>
          <w:sz w:val="16"/>
          <w:szCs w:val="16"/>
        </w:rPr>
        <w:softHyphen/>
        <w:t>ва машины.</w:t>
      </w:r>
    </w:p>
    <w:p w14:paraId="39ABB8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Система Л-11, устанавливаемая на серийной машине, забракована и допущена для вооружения танков временно.</w:t>
      </w:r>
    </w:p>
    <w:p w14:paraId="0BDD23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Боеукладки должны быть переконструированы в сто</w:t>
      </w:r>
      <w:r w:rsidRPr="00A3026E">
        <w:rPr>
          <w:rFonts w:ascii="Times New Roman" w:hAnsi="Times New Roman"/>
          <w:color w:val="000000" w:themeColor="text1"/>
          <w:sz w:val="16"/>
          <w:szCs w:val="16"/>
        </w:rPr>
        <w:softHyphen/>
        <w:t>рону упрощения и облегчения возможности пользоваться ими, а также в сторону увеличения боекомплекта.</w:t>
      </w:r>
    </w:p>
    <w:p w14:paraId="3D9C6B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Слаб погон под нормальную башню и тем более под боль</w:t>
      </w:r>
      <w:r w:rsidRPr="00A3026E">
        <w:rPr>
          <w:rFonts w:ascii="Times New Roman" w:hAnsi="Times New Roman"/>
          <w:color w:val="000000" w:themeColor="text1"/>
          <w:sz w:val="16"/>
          <w:szCs w:val="16"/>
        </w:rPr>
        <w:softHyphen/>
        <w:t>шую башню. Его необходимо усилить.</w:t>
      </w:r>
    </w:p>
    <w:p w14:paraId="34D38B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Большая башня с системой М-10, спроектированная экстренно в период финляндского конфликта, требует боль</w:t>
      </w:r>
      <w:r w:rsidRPr="00A3026E">
        <w:rPr>
          <w:rFonts w:ascii="Times New Roman" w:hAnsi="Times New Roman"/>
          <w:color w:val="000000" w:themeColor="text1"/>
          <w:sz w:val="16"/>
          <w:szCs w:val="16"/>
        </w:rPr>
        <w:softHyphen/>
        <w:t>ших переделок и доработки.</w:t>
      </w:r>
    </w:p>
    <w:p w14:paraId="32997E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Недоработан поворотный механизм и стопора башен. Башня тяжело вращается, заедает, мотор не тянет, сто</w:t>
      </w:r>
      <w:r w:rsidRPr="00A3026E">
        <w:rPr>
          <w:rFonts w:ascii="Times New Roman" w:hAnsi="Times New Roman"/>
          <w:color w:val="000000" w:themeColor="text1"/>
          <w:sz w:val="16"/>
          <w:szCs w:val="16"/>
        </w:rPr>
        <w:softHyphen/>
        <w:t>пора не держат.</w:t>
      </w:r>
    </w:p>
    <w:p w14:paraId="459FE8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Помимо вышеуказанных, машина имеет очень много мел</w:t>
      </w:r>
      <w:r w:rsidRPr="00A3026E">
        <w:rPr>
          <w:rFonts w:ascii="Times New Roman" w:hAnsi="Times New Roman"/>
          <w:color w:val="000000" w:themeColor="text1"/>
          <w:sz w:val="16"/>
          <w:szCs w:val="16"/>
        </w:rPr>
        <w:softHyphen/>
        <w:t>ких дефектов, недоработок, отступлений от чертежей, о которых здесь говорить не приходится...</w:t>
      </w:r>
    </w:p>
    <w:p w14:paraId="22B41A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Материалы испытания показывают, что даже при су</w:t>
      </w:r>
      <w:r w:rsidRPr="00A3026E">
        <w:rPr>
          <w:rFonts w:ascii="Times New Roman" w:hAnsi="Times New Roman"/>
          <w:color w:val="000000" w:themeColor="text1"/>
          <w:sz w:val="16"/>
          <w:szCs w:val="16"/>
        </w:rPr>
        <w:softHyphen/>
        <w:t>ществующем моторе с мощностью в 600 л.с. (которую снять полностью не удавалось из-за плохой охлаждающей систе</w:t>
      </w:r>
      <w:r w:rsidRPr="00A3026E">
        <w:rPr>
          <w:rFonts w:ascii="Times New Roman" w:hAnsi="Times New Roman"/>
          <w:color w:val="000000" w:themeColor="text1"/>
          <w:sz w:val="16"/>
          <w:szCs w:val="16"/>
        </w:rPr>
        <w:softHyphen/>
        <w:t>мы), трансмиссия и ходовая часть работают на верхнем пре</w:t>
      </w:r>
      <w:r w:rsidRPr="00A3026E">
        <w:rPr>
          <w:rFonts w:ascii="Times New Roman" w:hAnsi="Times New Roman"/>
          <w:color w:val="000000" w:themeColor="text1"/>
          <w:sz w:val="16"/>
          <w:szCs w:val="16"/>
        </w:rPr>
        <w:softHyphen/>
        <w:t>деле и никаких вариантов увеличения массы и мощности дви</w:t>
      </w:r>
      <w:r w:rsidRPr="00A3026E">
        <w:rPr>
          <w:rFonts w:ascii="Times New Roman" w:hAnsi="Times New Roman"/>
          <w:color w:val="000000" w:themeColor="text1"/>
          <w:sz w:val="16"/>
          <w:szCs w:val="16"/>
        </w:rPr>
        <w:softHyphen/>
        <w:t>гателя не допускают, в то время как первое неизбежно, а второе необходимо.</w:t>
      </w:r>
    </w:p>
    <w:p w14:paraId="727717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вышеизложенного считаю, что машина КВ недо</w:t>
      </w:r>
      <w:r w:rsidRPr="00A3026E">
        <w:rPr>
          <w:rFonts w:ascii="Times New Roman" w:hAnsi="Times New Roman"/>
          <w:color w:val="000000" w:themeColor="text1"/>
          <w:sz w:val="16"/>
          <w:szCs w:val="16"/>
        </w:rPr>
        <w:softHyphen/>
        <w:t>работана и требует срочных и серьезных переделок. Большин</w:t>
      </w:r>
      <w:r w:rsidRPr="00A3026E">
        <w:rPr>
          <w:rFonts w:ascii="Times New Roman" w:hAnsi="Times New Roman"/>
          <w:color w:val="000000" w:themeColor="text1"/>
          <w:sz w:val="16"/>
          <w:szCs w:val="16"/>
        </w:rPr>
        <w:softHyphen/>
        <w:t>ство переделок нельзя провести в процессе широкого производ</w:t>
      </w:r>
      <w:r w:rsidRPr="00A3026E">
        <w:rPr>
          <w:rFonts w:ascii="Times New Roman" w:hAnsi="Times New Roman"/>
          <w:color w:val="000000" w:themeColor="text1"/>
          <w:sz w:val="16"/>
          <w:szCs w:val="16"/>
        </w:rPr>
        <w:softHyphen/>
        <w:t>ства, которое уже идет полным ходом на Кировском заводе. Подобное положение затянет освоение машины в производст</w:t>
      </w:r>
      <w:r w:rsidRPr="00A3026E">
        <w:rPr>
          <w:rFonts w:ascii="Times New Roman" w:hAnsi="Times New Roman"/>
          <w:color w:val="000000" w:themeColor="text1"/>
          <w:sz w:val="16"/>
          <w:szCs w:val="16"/>
        </w:rPr>
        <w:softHyphen/>
        <w:t>ве минимум на 1,5-2 года и внесет большую путаницу, лишние расходы и не даст ни малейшей экономии во времени. Качество же выпускаемой машины в течение 1,5-2 лет будет низким.</w:t>
      </w:r>
    </w:p>
    <w:p w14:paraId="5DCC8D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Целесообразнее снизить программу до конца 1940 года до 5—8 машин в месяц и перебросить все заводские силы на дора</w:t>
      </w:r>
      <w:r w:rsidRPr="00A3026E">
        <w:rPr>
          <w:rFonts w:ascii="Times New Roman" w:hAnsi="Times New Roman"/>
          <w:color w:val="000000" w:themeColor="text1"/>
          <w:sz w:val="16"/>
          <w:szCs w:val="16"/>
        </w:rPr>
        <w:softHyphen/>
        <w:t>ботку машины. В настоящее время все силы брошены на выпол</w:t>
      </w:r>
      <w:r w:rsidRPr="00A3026E">
        <w:rPr>
          <w:rFonts w:ascii="Times New Roman" w:hAnsi="Times New Roman"/>
          <w:color w:val="000000" w:themeColor="text1"/>
          <w:sz w:val="16"/>
          <w:szCs w:val="16"/>
        </w:rPr>
        <w:softHyphen/>
        <w:t>нение программы, а о качестве машины думают очень мало.</w:t>
      </w:r>
    </w:p>
    <w:p w14:paraId="0B6E42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что в настоящий момент назвать машину бое</w:t>
      </w:r>
      <w:r w:rsidRPr="00A3026E">
        <w:rPr>
          <w:rFonts w:ascii="Times New Roman" w:hAnsi="Times New Roman"/>
          <w:color w:val="000000" w:themeColor="text1"/>
          <w:sz w:val="16"/>
          <w:szCs w:val="16"/>
        </w:rPr>
        <w:softHyphen/>
        <w:t>способной нельзя из-за вышеуказанных дефектов. Отправ</w:t>
      </w:r>
      <w:r w:rsidRPr="00A3026E">
        <w:rPr>
          <w:rFonts w:ascii="Times New Roman" w:hAnsi="Times New Roman"/>
          <w:color w:val="000000" w:themeColor="text1"/>
          <w:sz w:val="16"/>
          <w:szCs w:val="16"/>
        </w:rPr>
        <w:softHyphen/>
        <w:t>лять ее в армию можно только как учебную, а не боевую» (10782).</w:t>
      </w:r>
    </w:p>
    <w:p w14:paraId="20009E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Помимо этого, военинженер 3-го ранга Каливода пи</w:t>
      </w:r>
      <w:r w:rsidRPr="00A3026E">
        <w:rPr>
          <w:rFonts w:ascii="Times New Roman" w:hAnsi="Times New Roman"/>
          <w:color w:val="000000" w:themeColor="text1"/>
          <w:sz w:val="16"/>
          <w:szCs w:val="16"/>
        </w:rPr>
        <w:softHyphen/>
        <w:t>сал и о якобы имеющем место очковтирательстве директо--ра завода И. Зальцмана, который для улучшения видимос</w:t>
      </w:r>
      <w:r w:rsidRPr="00A3026E">
        <w:rPr>
          <w:rFonts w:ascii="Times New Roman" w:hAnsi="Times New Roman"/>
          <w:color w:val="000000" w:themeColor="text1"/>
          <w:sz w:val="16"/>
          <w:szCs w:val="16"/>
        </w:rPr>
        <w:softHyphen/>
        <w:t>ти выполнения планов шел на подтасовки. Поднятые в письме вопросы были столь серьезны, что Наркомат госконтроля направил на Кировский завод спе</w:t>
      </w:r>
      <w:r w:rsidRPr="00A3026E">
        <w:rPr>
          <w:rFonts w:ascii="Times New Roman" w:hAnsi="Times New Roman"/>
          <w:color w:val="000000" w:themeColor="text1"/>
          <w:sz w:val="16"/>
          <w:szCs w:val="16"/>
        </w:rPr>
        <w:softHyphen/>
        <w:t>циальную комиссию, которая работала на заводе с 1 по 10 октября 1940 и в основном подтвердила выводы быв</w:t>
      </w:r>
      <w:r w:rsidRPr="00A3026E">
        <w:rPr>
          <w:rFonts w:ascii="Times New Roman" w:hAnsi="Times New Roman"/>
          <w:color w:val="000000" w:themeColor="text1"/>
          <w:sz w:val="16"/>
          <w:szCs w:val="16"/>
        </w:rPr>
        <w:softHyphen/>
        <w:t>шего военпреда (10782).</w:t>
      </w:r>
    </w:p>
    <w:p w14:paraId="52CB4C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C4ABF07" w14:textId="77777777" w:rsidR="00691CB5" w:rsidRPr="00A3026E" w:rsidRDefault="00691CB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в ГАБТУ КА был подготовлен перечень предложений по улучшению конструкции танков Т-40, Т-34 и КВ, состоявший из 26 пунктов, а также разработаны предложения по пересмотру тактико-технических требований к проектируемому в Ленинграде новому легкому танку сопровождения пехоты, в дальнейшем получившему индекс Т-50. </w:t>
      </w:r>
    </w:p>
    <w:p w14:paraId="3A8F5260" w14:textId="77777777" w:rsidR="00691CB5" w:rsidRPr="00A3026E" w:rsidRDefault="00691CB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Предложения по улучшению конструкции новых танков были отправлены народному комиссару среднего машиностроения И.А. Лихачеву 25 сентября 1940 г. </w:t>
      </w:r>
      <w:hyperlink r:id="rId20" w:tgtFrame="_blank" w:history="1">
        <w:r w:rsidRPr="00A3026E">
          <w:rPr>
            <w:rStyle w:val="a5"/>
            <w:rFonts w:ascii="Times New Roman" w:hAnsi="Times New Roman"/>
            <w:color w:val="000000" w:themeColor="text1"/>
            <w:sz w:val="16"/>
            <w:szCs w:val="16"/>
          </w:rPr>
          <w:t>письмом № 76444сс</w:t>
        </w:r>
      </w:hyperlink>
      <w:r w:rsidRPr="00A3026E">
        <w:rPr>
          <w:rFonts w:ascii="Times New Roman" w:hAnsi="Times New Roman"/>
          <w:color w:val="000000" w:themeColor="text1"/>
          <w:sz w:val="16"/>
          <w:szCs w:val="16"/>
        </w:rPr>
        <w:t>. В этом письме начальник ГАБТУ КА Я.Н. Федоренко просил И.А. Лихачева дать распоряжения соответствующим заводам о «срочной проработке нижепоименованных предложений и об установлении сроков введения их на каждый из указанных танков». Основные улучшения конструкции танка Т-34 сводились к установке командирской башенки с круговым обзором, замене бортовых фрикционов на планетарные механизмы поворота танка и пружинной подвески на торсионную. В дополнение к этому экипаж танка Т-34 предлагалось увеличить до 5 человек, освободив командира танка от обязанностей наводчика. </w:t>
      </w:r>
    </w:p>
    <w:p w14:paraId="2757F6C2" w14:textId="77777777" w:rsidR="00691CB5" w:rsidRPr="00A3026E" w:rsidRDefault="00691CB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Предложения по повышению боевых и эксплуатационных качеств новых танков также были отправлены и на рассмотрение народному комиссару обороны СССР С.К. Тимошенко. После изучения представленных материалов, 9 октября 1940 г. заместитель народного комиссара обороны СССР Г.И. Кулик обратился к руководству НКСМ с просьбой о проведении предложенных ГАБТУ КА работ по улучшению конструкции танков, в том числе и танка Т-34. В ответ на это, 19 октября 1940 г. заместитель наркома среднего машиностроения А.А. Горегляд в </w:t>
      </w:r>
      <w:hyperlink r:id="rId21" w:tgtFrame="_blank" w:history="1">
        <w:r w:rsidRPr="00A3026E">
          <w:rPr>
            <w:rStyle w:val="a5"/>
            <w:rFonts w:ascii="Times New Roman" w:hAnsi="Times New Roman"/>
            <w:color w:val="000000" w:themeColor="text1"/>
            <w:sz w:val="16"/>
            <w:szCs w:val="16"/>
          </w:rPr>
          <w:t>письме № 10/8689</w:t>
        </w:r>
      </w:hyperlink>
      <w:r w:rsidRPr="00A3026E">
        <w:rPr>
          <w:rFonts w:ascii="Times New Roman" w:hAnsi="Times New Roman"/>
          <w:color w:val="000000" w:themeColor="text1"/>
          <w:sz w:val="16"/>
          <w:szCs w:val="16"/>
        </w:rPr>
        <w:t> сообщил Г.И. Кулику, что указанные работы в текущем году не предусмотрены, но уже включены или будут включены в план научно-исследовательских и опытных работ НКСМ на 1941 г. (18206).</w:t>
      </w:r>
    </w:p>
    <w:p w14:paraId="74A227B2" w14:textId="77777777" w:rsidR="00691CB5" w:rsidRPr="00A3026E" w:rsidRDefault="00691CB5" w:rsidP="00A3026E">
      <w:pPr>
        <w:spacing w:after="0" w:line="240" w:lineRule="auto"/>
        <w:jc w:val="both"/>
        <w:rPr>
          <w:rFonts w:ascii="Times New Roman" w:hAnsi="Times New Roman"/>
          <w:color w:val="000000" w:themeColor="text1"/>
          <w:sz w:val="16"/>
          <w:szCs w:val="16"/>
        </w:rPr>
      </w:pPr>
    </w:p>
    <w:p w14:paraId="0BD9D2DA" w14:textId="77777777" w:rsidR="00190FE9" w:rsidRPr="00A3026E" w:rsidRDefault="00190FE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сентябре 1940 года Pz.Kpfw.III Ausf.G прибыл на Ижорский завод. Разумеется, никакого обстрела корпуса танка не проводилось, поскольку он имелся в одном-единственном экземпляре. Первым делом были проведены замеры листов, снята стружка с бортов и лобовой части, а также определена твердость по методу Польди. Далее специалисты провели химический анализ, из-за загрязнённости стружки содержание углерода в стали посчитали ориентировочным. Был сделан вывод, что броневые детали немецкого танка изготовлены из высокоуглеродистой стали. Твердость для такого типа брони посчитали нормальной.</w:t>
      </w:r>
    </w:p>
    <w:p w14:paraId="3E7A99FC" w14:textId="77777777" w:rsidR="00190FE9" w:rsidRPr="00A3026E" w:rsidRDefault="00190FE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Вопреки распространенной версии, толщину листов советские специалисты определили верно – 30 и 20 мм. Борта корпуса и башни изготавливались из гомогенной брони, а лобовая часть – из гетерогенной.</w:t>
      </w:r>
    </w:p>
    <w:p w14:paraId="00723982" w14:textId="77777777" w:rsidR="00190FE9" w:rsidRPr="00A3026E" w:rsidRDefault="00190FE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дальнейшем из ГАБТУ КА было получено разрешение на изъятие одной из деталей для её изучения и обстрела. В качестве образца была взята крышка эвакуационного люка. Снятую деталь заменили на такую же, изготовленную Ижорским заводом. На Кировском заводе деталь разрезали пополам, одна половина осталась на заводе, вторую передали Ижорскому заводу. Выяснилось, что люк был изготовлен из высокоуглеродистой стали, значительно отличающейся от той, что использовалась на основных броневых деталях корпуса и башни.</w:t>
      </w:r>
    </w:p>
    <w:p w14:paraId="3914E55A" w14:textId="77777777" w:rsidR="00190FE9" w:rsidRPr="00A3026E" w:rsidRDefault="00190FE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Для проверки стойкости брони было решено провести огневые испытания. Огонь велся тупоголовым бронебойным снарядом 53-БР-240 на дистанции, соответствующей пределу пробития листа толщиной 30 мм (скорость снаряда 533,8 м/с). Итоги испытаний оказались неожиданными: первое же попадание раскололо крышку люка на 8 частей. Далее был произведен обстрел из пулемета ДК калибра 12,7 мм. Выяснилось, что предельная дистанция, с которой лист не пробивался, составила 150 метров. Возникло подозрение, что столь неожиданные результаты стрельбы связаны с малыми размерами детали и термическим воздействием при разделке. Чтобы это подтвердить, на Ижорском заводе изготовили точно такую же деталь из советской броневой стали ФД 5634. Деталь точно так же сначала разрезали пополам, а затем произвели выстрел на пределе пробития (скорости снаряда 525,4 и 564,2 м/с). Пробития детали не произошло, на люке появились две вмятины. Проблема была явно не в размерах или термообработке.</w:t>
      </w:r>
    </w:p>
    <w:p w14:paraId="71AF7F37" w14:textId="77777777" w:rsidR="00190FE9" w:rsidRPr="00A3026E" w:rsidRDefault="00190FE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Ижорский завод данные испытания посчитал недостаточными, поскольку другие детали танка изготавливались из стали иного состава. Но на тот момент обстрел корпуса и башни не представлялся возможным (17700).</w:t>
      </w:r>
    </w:p>
    <w:p w14:paraId="74B05E42" w14:textId="77777777" w:rsidR="00190FE9" w:rsidRPr="00A3026E" w:rsidRDefault="00190FE9" w:rsidP="00A3026E">
      <w:pPr>
        <w:spacing w:after="0" w:line="240" w:lineRule="auto"/>
        <w:jc w:val="both"/>
        <w:rPr>
          <w:rFonts w:ascii="Times New Roman" w:eastAsia="Times New Roman" w:hAnsi="Times New Roman"/>
          <w:color w:val="000000" w:themeColor="text1"/>
          <w:sz w:val="16"/>
          <w:szCs w:val="16"/>
          <w:lang w:eastAsia="ru-RU"/>
        </w:rPr>
      </w:pPr>
    </w:p>
    <w:p w14:paraId="2D1CFE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обе самоходные установки СУ-14 и СУ-14-1 передали на Хранение НИБТПолигону. Здесь они и встретили войну (11417).</w:t>
      </w:r>
    </w:p>
    <w:p w14:paraId="4C676C1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AB81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машина Т- 100-Х прошла обширные испытания стрельбой на НИАП, после чего была передана в Кубинку (11417).</w:t>
      </w:r>
    </w:p>
    <w:p w14:paraId="6C9329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4AE90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сентября 1940-го началась сборка С-2 малыми сериями на конвейере. Производство разворачивалось буквально «из-под палки». Машина получилась тяжелая, громоздкая, какая-то некрасивая, всеми нелюбимая. До конца года с трудом было сдано армии 23 единицы. По штатам, утвержденным 1 января 1941 года, в артиллерии Красной Армии должен был находиться 951 тягач С-2. В 1941 году было выпущено уже 1 235 тягачей (по другим данным — 1 179), причем во 2-м полугодии - 859. С началом войны темп их сборки достиг шести — девяти машин в сутки. Однако в ноябре в связи с переключением ЧТЗ на выпуск тяжелых танков тракторостроение там было полностью прекращено (в декабре сделали еще девять машин). Последние пять тягачей С-2, из выпущенных 1275, сдали уже в 1942 году. По воспоминаниям Владимира Иосифовича Дурановского (1913 — 1993), это была «горе-машина», как в производстве, так и в эксплуатации (11639).</w:t>
      </w:r>
    </w:p>
    <w:p w14:paraId="17E5472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1E892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сентября месяца 1941 г. на НИ полигон ГАБТУ КА согласно указания ГАБТУ КА и НКСМ бы</w:t>
      </w:r>
      <w:r w:rsidRPr="00A3026E">
        <w:rPr>
          <w:rFonts w:ascii="Times New Roman" w:hAnsi="Times New Roman"/>
          <w:color w:val="000000" w:themeColor="text1"/>
          <w:sz w:val="16"/>
          <w:szCs w:val="16"/>
        </w:rPr>
        <w:softHyphen/>
        <w:t>ли представлены на испытания опытные образцы цепей для автомобиля ГАЗ-ЗА, спроектированные и изготовленные автозаводом им. Молотова по типу цепей «Мейдт и Вахман». Проведенные испытания показали, что цепи конструкции «ГАЗ» по всем показателям превосхо</w:t>
      </w:r>
      <w:r w:rsidRPr="00A3026E">
        <w:rPr>
          <w:rFonts w:ascii="Times New Roman" w:hAnsi="Times New Roman"/>
          <w:color w:val="000000" w:themeColor="text1"/>
          <w:sz w:val="16"/>
          <w:szCs w:val="16"/>
        </w:rPr>
        <w:softHyphen/>
        <w:t>дят цепи типа «Оверолл». Выявленные на испытании дефекты легко устранимы. Автозаводы обязаны обеспечить посыла</w:t>
      </w:r>
      <w:r w:rsidRPr="00A3026E">
        <w:rPr>
          <w:rFonts w:ascii="Times New Roman" w:hAnsi="Times New Roman"/>
          <w:color w:val="000000" w:themeColor="text1"/>
          <w:sz w:val="16"/>
          <w:szCs w:val="16"/>
        </w:rPr>
        <w:softHyphen/>
        <w:t>емые в Красную Армию 3-хосные автомашины высококачественными цепями противоскольжения. Автотракторное управление ГАБТУ КА своим письмом от 22.11.1940 г. просило зам. Народного комис</w:t>
      </w:r>
      <w:r w:rsidRPr="00A3026E">
        <w:rPr>
          <w:rFonts w:ascii="Times New Roman" w:hAnsi="Times New Roman"/>
          <w:color w:val="000000" w:themeColor="text1"/>
          <w:sz w:val="16"/>
          <w:szCs w:val="16"/>
        </w:rPr>
        <w:softHyphen/>
        <w:t>сара среднего машиностроения т. Акопова об обеспечении автомобиля ГАЗ-ЗА цепями новой конструкции (11211).</w:t>
      </w:r>
    </w:p>
    <w:p w14:paraId="623C4905"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3DCA37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на государственные испытания были представлены опытные полноприводные автомобили ЗИС-32, новые варианты ЗИС-22 и автомобили с приспосо</w:t>
      </w:r>
      <w:r w:rsidRPr="00A3026E">
        <w:rPr>
          <w:rFonts w:ascii="Times New Roman" w:hAnsi="Times New Roman"/>
          <w:color w:val="000000" w:themeColor="text1"/>
          <w:sz w:val="16"/>
          <w:szCs w:val="16"/>
        </w:rPr>
        <w:softHyphen/>
        <w:t>блением повышения проходимости ЗИС-35. Параллельно, с целью сравнения машин по проходимости и экономике, испытывались серийные ЗИС-22, ЗИС-5 с цепями Гаянт и ЗИС-6 с цепями Оверрол.</w:t>
      </w:r>
    </w:p>
    <w:p w14:paraId="11AD1A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испытаний общий километраж про</w:t>
      </w:r>
      <w:r w:rsidRPr="00A3026E">
        <w:rPr>
          <w:rFonts w:ascii="Times New Roman" w:hAnsi="Times New Roman"/>
          <w:color w:val="000000" w:themeColor="text1"/>
          <w:sz w:val="16"/>
          <w:szCs w:val="16"/>
        </w:rPr>
        <w:softHyphen/>
        <w:t>бега устанавливался в 2000 км (1000 км - по проселку, 600 км - по шоссе смешанного типа, 350 км - по бездорожью, 50 км - по болотам и топким грунтам). Предполагалось первона</w:t>
      </w:r>
      <w:r w:rsidRPr="00A3026E">
        <w:rPr>
          <w:rFonts w:ascii="Times New Roman" w:hAnsi="Times New Roman"/>
          <w:color w:val="000000" w:themeColor="text1"/>
          <w:sz w:val="16"/>
          <w:szCs w:val="16"/>
        </w:rPr>
        <w:softHyphen/>
        <w:t>чально загружать автомобиль 2500 кг груза, но фактически ЗИСы были нагружены 2000 кг, а именно -</w:t>
      </w:r>
      <w:r w:rsidRPr="00A3026E">
        <w:rPr>
          <w:rStyle w:val="aff6"/>
          <w:rFonts w:ascii="Times New Roman" w:hAnsi="Times New Roman" w:cs="Times New Roman"/>
          <w:i w:val="0"/>
          <w:color w:val="000000" w:themeColor="text1"/>
        </w:rPr>
        <w:t xml:space="preserve"> «чугунными чушками с равномерной укладкой их по всей площади грузовой плат</w:t>
      </w:r>
      <w:r w:rsidRPr="00A3026E">
        <w:rPr>
          <w:rStyle w:val="aff6"/>
          <w:rFonts w:ascii="Times New Roman" w:hAnsi="Times New Roman" w:cs="Times New Roman"/>
          <w:i w:val="0"/>
          <w:color w:val="000000" w:themeColor="text1"/>
        </w:rPr>
        <w:softHyphen/>
        <w:t>формы».</w:t>
      </w:r>
      <w:r w:rsidRPr="00A3026E">
        <w:rPr>
          <w:rFonts w:ascii="Times New Roman" w:hAnsi="Times New Roman"/>
          <w:color w:val="000000" w:themeColor="text1"/>
          <w:sz w:val="16"/>
          <w:szCs w:val="16"/>
        </w:rPr>
        <w:t xml:space="preserve"> На испытаниях</w:t>
      </w:r>
      <w:r w:rsidRPr="00A3026E">
        <w:rPr>
          <w:rStyle w:val="aff6"/>
          <w:rFonts w:ascii="Times New Roman" w:hAnsi="Times New Roman" w:cs="Times New Roman"/>
          <w:i w:val="0"/>
          <w:color w:val="000000" w:themeColor="text1"/>
        </w:rPr>
        <w:t xml:space="preserve"> «буксировка аварийных машин, а также вытаскивание засевших в грязи, производились испытуемыми автомобилями и главным образом полугусеничным ЗИС-22-50».</w:t>
      </w:r>
    </w:p>
    <w:p w14:paraId="38E515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новых модификациях ЗИС-22 говорилось следующее:</w:t>
      </w:r>
    </w:p>
    <w:p w14:paraId="476CE6C8" w14:textId="77777777" w:rsidR="00C66762" w:rsidRPr="00A3026E" w:rsidRDefault="00C66762"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«При проектировании автомобиля ЗИС-22-50 ставилось задачей перевести ав</w:t>
      </w:r>
      <w:r w:rsidRPr="00A3026E">
        <w:rPr>
          <w:rFonts w:ascii="Times New Roman" w:cs="Times New Roman"/>
          <w:color w:val="000000" w:themeColor="text1"/>
          <w:spacing w:val="0"/>
          <w:sz w:val="16"/>
          <w:szCs w:val="16"/>
        </w:rPr>
        <w:softHyphen/>
        <w:t>томобиль ЗИС-22 с фрикционного сцепления гусеницы с ведущими колесами на принуди</w:t>
      </w:r>
      <w:r w:rsidRPr="00A3026E">
        <w:rPr>
          <w:rFonts w:ascii="Times New Roman" w:cs="Times New Roman"/>
          <w:color w:val="000000" w:themeColor="text1"/>
          <w:spacing w:val="0"/>
          <w:sz w:val="16"/>
          <w:szCs w:val="16"/>
        </w:rPr>
        <w:softHyphen/>
        <w:t>тельное зацепление, также была проведена работа по усилению и конструктивной пере</w:t>
      </w:r>
      <w:r w:rsidRPr="00A3026E">
        <w:rPr>
          <w:rFonts w:ascii="Times New Roman" w:cs="Times New Roman"/>
          <w:color w:val="000000" w:themeColor="text1"/>
          <w:spacing w:val="0"/>
          <w:sz w:val="16"/>
          <w:szCs w:val="16"/>
        </w:rPr>
        <w:softHyphen/>
        <w:t>работке некоторых узлов движителя.</w:t>
      </w:r>
    </w:p>
    <w:p w14:paraId="37DE58C7" w14:textId="77777777" w:rsidR="00C66762" w:rsidRPr="00A3026E" w:rsidRDefault="00C66762"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Эти переработки были связаны с необхо</w:t>
      </w:r>
      <w:r w:rsidRPr="00A3026E">
        <w:rPr>
          <w:rFonts w:ascii="Times New Roman" w:cs="Times New Roman"/>
          <w:color w:val="000000" w:themeColor="text1"/>
          <w:spacing w:val="0"/>
          <w:sz w:val="16"/>
          <w:szCs w:val="16"/>
        </w:rPr>
        <w:softHyphen/>
        <w:t>димостью согласовать агрегаты движителя с новыми условиями работы и возможным упрощением эксплуатационного ухода за ма</w:t>
      </w:r>
      <w:r w:rsidRPr="00A3026E">
        <w:rPr>
          <w:rFonts w:ascii="Times New Roman" w:cs="Times New Roman"/>
          <w:color w:val="000000" w:themeColor="text1"/>
          <w:spacing w:val="0"/>
          <w:sz w:val="16"/>
          <w:szCs w:val="16"/>
        </w:rPr>
        <w:softHyphen/>
        <w:t>шиной».</w:t>
      </w:r>
    </w:p>
    <w:p w14:paraId="6800A7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этим в конструкцию ЗИС-22 внес</w:t>
      </w:r>
      <w:r w:rsidRPr="00A3026E">
        <w:rPr>
          <w:rFonts w:ascii="Times New Roman" w:hAnsi="Times New Roman"/>
          <w:color w:val="000000" w:themeColor="text1"/>
          <w:sz w:val="16"/>
          <w:szCs w:val="16"/>
        </w:rPr>
        <w:softHyphen/>
        <w:t>ли ряд принципиальных изменений:</w:t>
      </w:r>
    </w:p>
    <w:p w14:paraId="7C1878D9" w14:textId="77777777" w:rsidR="00C66762" w:rsidRPr="00A3026E" w:rsidRDefault="00C66762"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«1. Привод цепью осуществлен только на переднее колесо движителя (в связи с чем были устранены промежуточные дифференциалы).</w:t>
      </w:r>
    </w:p>
    <w:p w14:paraId="51E11132" w14:textId="77777777" w:rsidR="00C66762" w:rsidRPr="00A3026E" w:rsidRDefault="00C66762" w:rsidP="00A3026E">
      <w:pPr>
        <w:pStyle w:val="7"/>
        <w:shd w:val="clear" w:color="auto" w:fill="auto"/>
        <w:tabs>
          <w:tab w:val="left" w:pos="495"/>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2. Рамка движителя переконструирована. Изменена форма и боковые стороны усилены.</w:t>
      </w:r>
    </w:p>
    <w:p w14:paraId="425D8873" w14:textId="77777777" w:rsidR="00C66762" w:rsidRPr="00A3026E" w:rsidRDefault="00C66762" w:rsidP="00A3026E">
      <w:pPr>
        <w:pStyle w:val="7"/>
        <w:shd w:val="clear" w:color="auto" w:fill="auto"/>
        <w:tabs>
          <w:tab w:val="left" w:pos="476"/>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3. Введены тормоза в движитель (на осно</w:t>
      </w:r>
      <w:r w:rsidRPr="00A3026E">
        <w:rPr>
          <w:rFonts w:ascii="Times New Roman" w:cs="Times New Roman"/>
          <w:color w:val="000000" w:themeColor="text1"/>
          <w:spacing w:val="0"/>
          <w:sz w:val="16"/>
          <w:szCs w:val="16"/>
        </w:rPr>
        <w:softHyphen/>
        <w:t>ве передних тормозов ЗИС-5).</w:t>
      </w:r>
    </w:p>
    <w:p w14:paraId="19488317" w14:textId="77777777" w:rsidR="00C66762" w:rsidRPr="00A3026E" w:rsidRDefault="00C66762" w:rsidP="00A3026E">
      <w:pPr>
        <w:pStyle w:val="7"/>
        <w:shd w:val="clear" w:color="auto" w:fill="auto"/>
        <w:tabs>
          <w:tab w:val="left" w:pos="577"/>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4. Переконструированы задние колеса движителя, которые в новой конструкции вы</w:t>
      </w:r>
      <w:r w:rsidRPr="00A3026E">
        <w:rPr>
          <w:rFonts w:ascii="Times New Roman" w:cs="Times New Roman"/>
          <w:color w:val="000000" w:themeColor="text1"/>
          <w:spacing w:val="0"/>
          <w:sz w:val="16"/>
          <w:szCs w:val="16"/>
        </w:rPr>
        <w:softHyphen/>
        <w:t>полняют роль ленивца и служат для регулиров</w:t>
      </w:r>
      <w:r w:rsidRPr="00A3026E">
        <w:rPr>
          <w:rFonts w:ascii="Times New Roman" w:cs="Times New Roman"/>
          <w:color w:val="000000" w:themeColor="text1"/>
          <w:spacing w:val="0"/>
          <w:sz w:val="16"/>
          <w:szCs w:val="16"/>
        </w:rPr>
        <w:softHyphen/>
        <w:t>ки натяжения гусеницы.</w:t>
      </w:r>
    </w:p>
    <w:p w14:paraId="0DD9BEA2" w14:textId="77777777" w:rsidR="00C66762" w:rsidRPr="00A3026E" w:rsidRDefault="00C66762" w:rsidP="00A3026E">
      <w:pPr>
        <w:pStyle w:val="7"/>
        <w:shd w:val="clear" w:color="auto" w:fill="auto"/>
        <w:tabs>
          <w:tab w:val="left" w:pos="490"/>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5. Ведущие зубчатки расположены между обрезиненными поддерживающими скатами. В самих колесах размещены тормоза.</w:t>
      </w:r>
    </w:p>
    <w:p w14:paraId="757305F2" w14:textId="77777777" w:rsidR="00C66762" w:rsidRPr="00A3026E" w:rsidRDefault="00C66762" w:rsidP="00A3026E">
      <w:pPr>
        <w:pStyle w:val="7"/>
        <w:shd w:val="clear" w:color="auto" w:fill="auto"/>
        <w:tabs>
          <w:tab w:val="left" w:pos="500"/>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6. Регулировка натяжения цепи осущест</w:t>
      </w:r>
      <w:r w:rsidRPr="00A3026E">
        <w:rPr>
          <w:rFonts w:ascii="Times New Roman" w:cs="Times New Roman"/>
          <w:color w:val="000000" w:themeColor="text1"/>
          <w:spacing w:val="0"/>
          <w:sz w:val="16"/>
          <w:szCs w:val="16"/>
        </w:rPr>
        <w:softHyphen/>
        <w:t>вляется специальным приспособлением пере</w:t>
      </w:r>
      <w:r w:rsidRPr="00A3026E">
        <w:rPr>
          <w:rFonts w:ascii="Times New Roman" w:cs="Times New Roman"/>
          <w:color w:val="000000" w:themeColor="text1"/>
          <w:spacing w:val="0"/>
          <w:sz w:val="16"/>
          <w:szCs w:val="16"/>
        </w:rPr>
        <w:softHyphen/>
        <w:t>мещающим двумя винтами каждое переднее колесо.</w:t>
      </w:r>
    </w:p>
    <w:p w14:paraId="58B7FE7D" w14:textId="77777777" w:rsidR="00C66762" w:rsidRPr="00A3026E" w:rsidRDefault="00C66762" w:rsidP="00A3026E">
      <w:pPr>
        <w:pStyle w:val="7"/>
        <w:shd w:val="clear" w:color="auto" w:fill="auto"/>
        <w:tabs>
          <w:tab w:val="left" w:pos="529"/>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7. Поддерживающий верхнюю ветвь гу</w:t>
      </w:r>
      <w:r w:rsidRPr="00A3026E">
        <w:rPr>
          <w:rFonts w:ascii="Times New Roman" w:cs="Times New Roman"/>
          <w:color w:val="000000" w:themeColor="text1"/>
          <w:spacing w:val="0"/>
          <w:sz w:val="16"/>
          <w:szCs w:val="16"/>
        </w:rPr>
        <w:softHyphen/>
        <w:t>сеницы каток удерживается на рамке в двух вильчатых кронштейнах.</w:t>
      </w:r>
    </w:p>
    <w:p w14:paraId="25AAD8B4" w14:textId="77777777" w:rsidR="00C66762" w:rsidRPr="00A3026E" w:rsidRDefault="00C66762"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Эксцентриковые опоры поддерживающего катка устранены.</w:t>
      </w:r>
    </w:p>
    <w:p w14:paraId="26483C52" w14:textId="77777777" w:rsidR="00C66762" w:rsidRPr="00A3026E" w:rsidRDefault="00C66762"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Резинометаллические гусеницы зубчаткой передних колес движителя принудительно приводятся в движение, зацепление гусеницы цевочное.</w:t>
      </w:r>
    </w:p>
    <w:p w14:paraId="3C3EE1D8" w14:textId="77777777" w:rsidR="00C66762" w:rsidRPr="00A3026E" w:rsidRDefault="00C66762"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Звено гусеницы состоит из стальной пли</w:t>
      </w:r>
      <w:r w:rsidRPr="00A3026E">
        <w:rPr>
          <w:rFonts w:ascii="Times New Roman" w:cs="Times New Roman"/>
          <w:color w:val="000000" w:themeColor="text1"/>
          <w:spacing w:val="0"/>
          <w:sz w:val="16"/>
          <w:szCs w:val="16"/>
        </w:rPr>
        <w:softHyphen/>
        <w:t>цы, имеющей на одном конце два желобка в которые закладываются резиновые прокладки. Другой конец загнут крючкообразно и заце</w:t>
      </w:r>
      <w:r w:rsidRPr="00A3026E">
        <w:rPr>
          <w:rFonts w:ascii="Times New Roman" w:cs="Times New Roman"/>
          <w:color w:val="000000" w:themeColor="text1"/>
          <w:spacing w:val="0"/>
          <w:sz w:val="16"/>
          <w:szCs w:val="16"/>
        </w:rPr>
        <w:softHyphen/>
        <w:t>пляется в желобки с резиновыми прокладками следующего звена.</w:t>
      </w:r>
    </w:p>
    <w:p w14:paraId="536ADCF5" w14:textId="77777777" w:rsidR="00C66762" w:rsidRPr="00A3026E" w:rsidRDefault="00C66762"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Для лучшего сцепления с поверхностью дороги и амортизации, а также и для того чтобы звенья не расцеплялись, по наружной поверхности гусеницы крепятся болтами рези</w:t>
      </w:r>
      <w:r w:rsidRPr="00A3026E">
        <w:rPr>
          <w:rFonts w:ascii="Times New Roman" w:cs="Times New Roman"/>
          <w:color w:val="000000" w:themeColor="text1"/>
          <w:spacing w:val="0"/>
          <w:sz w:val="16"/>
          <w:szCs w:val="16"/>
        </w:rPr>
        <w:softHyphen/>
        <w:t>новые башмаки 2 шт. на каждое звено.</w:t>
      </w:r>
    </w:p>
    <w:p w14:paraId="45AB7367" w14:textId="77777777" w:rsidR="00C66762" w:rsidRPr="00A3026E" w:rsidRDefault="00C66762"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На плицах имеются зубья-реборды, кото</w:t>
      </w:r>
      <w:r w:rsidRPr="00A3026E">
        <w:rPr>
          <w:rFonts w:ascii="Times New Roman" w:cs="Times New Roman"/>
          <w:color w:val="000000" w:themeColor="text1"/>
          <w:spacing w:val="0"/>
          <w:sz w:val="16"/>
          <w:szCs w:val="16"/>
        </w:rPr>
        <w:softHyphen/>
        <w:t>рые удерживают гусеницы от спадания с дви</w:t>
      </w:r>
      <w:r w:rsidRPr="00A3026E">
        <w:rPr>
          <w:rFonts w:ascii="Times New Roman" w:cs="Times New Roman"/>
          <w:color w:val="000000" w:themeColor="text1"/>
          <w:spacing w:val="0"/>
          <w:sz w:val="16"/>
          <w:szCs w:val="16"/>
        </w:rPr>
        <w:softHyphen/>
        <w:t>жителя. Шестерни и цепь Галля «движителя» закрыты общим кожухом».</w:t>
      </w:r>
    </w:p>
    <w:p w14:paraId="5D770C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вездехода ЗИС-22-52 от</w:t>
      </w:r>
      <w:r w:rsidRPr="00A3026E">
        <w:rPr>
          <w:rFonts w:ascii="Times New Roman" w:hAnsi="Times New Roman"/>
          <w:color w:val="000000" w:themeColor="text1"/>
          <w:sz w:val="16"/>
          <w:szCs w:val="16"/>
        </w:rPr>
        <w:softHyphen/>
        <w:t>личалась от ЗИС-22-50 только устройством гусеницы, которая была выполнена в виде двух резинотканевых лент общей шириной 400 мм. Ширина каждой ленты - 155 мм. Ленты соеди</w:t>
      </w:r>
      <w:r w:rsidRPr="00A3026E">
        <w:rPr>
          <w:rFonts w:ascii="Times New Roman" w:hAnsi="Times New Roman"/>
          <w:color w:val="000000" w:themeColor="text1"/>
          <w:sz w:val="16"/>
          <w:szCs w:val="16"/>
        </w:rPr>
        <w:softHyphen/>
        <w:t>нялись между собой стальными накладками, которые крепились к лентам совместно с пли</w:t>
      </w:r>
      <w:r w:rsidRPr="00A3026E">
        <w:rPr>
          <w:rFonts w:ascii="Times New Roman" w:hAnsi="Times New Roman"/>
          <w:color w:val="000000" w:themeColor="text1"/>
          <w:sz w:val="16"/>
          <w:szCs w:val="16"/>
        </w:rPr>
        <w:softHyphen/>
        <w:t>цами и башмаками беговой дорожки болтами.</w:t>
      </w:r>
    </w:p>
    <w:p w14:paraId="3B24EC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Движитель и все остальные агрегаты у обе</w:t>
      </w:r>
      <w:r w:rsidRPr="00A3026E">
        <w:rPr>
          <w:rFonts w:ascii="Times New Roman" w:hAnsi="Times New Roman"/>
          <w:color w:val="000000" w:themeColor="text1"/>
          <w:sz w:val="16"/>
          <w:szCs w:val="16"/>
        </w:rPr>
        <w:softHyphen/>
        <w:t>их машин были одинаковыми.</w:t>
      </w:r>
    </w:p>
    <w:p w14:paraId="1287F2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результатам испытаний вездеходов во</w:t>
      </w:r>
      <w:r w:rsidRPr="00A3026E">
        <w:rPr>
          <w:rFonts w:ascii="Times New Roman" w:hAnsi="Times New Roman"/>
          <w:color w:val="000000" w:themeColor="text1"/>
          <w:sz w:val="16"/>
          <w:szCs w:val="16"/>
        </w:rPr>
        <w:softHyphen/>
        <w:t>енные сделали следующие выводы:</w:t>
      </w:r>
    </w:p>
    <w:p w14:paraId="0466228D" w14:textId="77777777" w:rsidR="00C66762" w:rsidRPr="00A3026E" w:rsidRDefault="00C66762"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«Из всех представленных на сравнитель</w:t>
      </w:r>
      <w:r w:rsidRPr="00A3026E">
        <w:rPr>
          <w:rFonts w:ascii="Times New Roman" w:cs="Times New Roman"/>
          <w:color w:val="000000" w:themeColor="text1"/>
          <w:spacing w:val="0"/>
          <w:sz w:val="16"/>
          <w:szCs w:val="16"/>
        </w:rPr>
        <w:softHyphen/>
        <w:t>ные испытания автомобилей повышенной проходимости требованиям Красной Армии удовлетворяют следующие автомобили:</w:t>
      </w:r>
    </w:p>
    <w:p w14:paraId="5D483AC3"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Общие виды усовершенствованного вездехода</w:t>
      </w:r>
    </w:p>
    <w:p w14:paraId="370325E1" w14:textId="77777777" w:rsidR="00C66762" w:rsidRPr="00A3026E" w:rsidRDefault="00C66762" w:rsidP="00A3026E">
      <w:pPr>
        <w:pStyle w:val="7"/>
        <w:shd w:val="clear" w:color="auto" w:fill="auto"/>
        <w:tabs>
          <w:tab w:val="left" w:pos="519"/>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1. Полугусеничный автомобиль на шасси ЗИС-5 конструкции НАТИ ЗИС-22-52, как сред</w:t>
      </w:r>
      <w:r w:rsidRPr="00A3026E">
        <w:rPr>
          <w:rFonts w:ascii="Times New Roman" w:cs="Times New Roman"/>
          <w:color w:val="000000" w:themeColor="text1"/>
          <w:spacing w:val="0"/>
          <w:sz w:val="16"/>
          <w:szCs w:val="16"/>
        </w:rPr>
        <w:softHyphen/>
        <w:t>ний автомобиль высокой проходимости по снегу, болотам, бездорожью, который может быть использован для перевозки грузов в без</w:t>
      </w:r>
      <w:r w:rsidRPr="00A3026E">
        <w:rPr>
          <w:rFonts w:ascii="Times New Roman" w:cs="Times New Roman"/>
          <w:color w:val="000000" w:themeColor="text1"/>
          <w:spacing w:val="0"/>
          <w:sz w:val="16"/>
          <w:szCs w:val="16"/>
        </w:rPr>
        <w:softHyphen/>
        <w:t>дорожных районах и как быстроходный артил</w:t>
      </w:r>
      <w:r w:rsidRPr="00A3026E">
        <w:rPr>
          <w:rFonts w:ascii="Times New Roman" w:cs="Times New Roman"/>
          <w:color w:val="000000" w:themeColor="text1"/>
          <w:spacing w:val="0"/>
          <w:sz w:val="16"/>
          <w:szCs w:val="16"/>
        </w:rPr>
        <w:softHyphen/>
        <w:t>лерийский тягач противотанковой и полковой артиллерии.</w:t>
      </w:r>
    </w:p>
    <w:p w14:paraId="0ED0F6D1" w14:textId="77777777" w:rsidR="00C66762" w:rsidRPr="00A3026E" w:rsidRDefault="00C66762" w:rsidP="00A3026E">
      <w:pPr>
        <w:pStyle w:val="7"/>
        <w:shd w:val="clear" w:color="auto" w:fill="auto"/>
        <w:tabs>
          <w:tab w:val="left" w:pos="471"/>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2. Двухосный автомобиль ЭИС-32Р с при</w:t>
      </w:r>
      <w:r w:rsidRPr="00A3026E">
        <w:rPr>
          <w:rFonts w:ascii="Times New Roman" w:cs="Times New Roman"/>
          <w:color w:val="000000" w:themeColor="text1"/>
          <w:spacing w:val="0"/>
          <w:sz w:val="16"/>
          <w:szCs w:val="16"/>
        </w:rPr>
        <w:softHyphen/>
        <w:t>водом на все колеса конструкции завода имени товарища Сталина, как трехтонный грузовик повышенной проходимости (в сравнении с ЗИС-5), который может быть использован в качестве нормальной транспортной машины с прицепом. В будущем должен заменить ЗИС-5.</w:t>
      </w:r>
    </w:p>
    <w:p w14:paraId="01996DBF" w14:textId="77777777" w:rsidR="00C66762" w:rsidRPr="00A3026E" w:rsidRDefault="00C66762"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В автомобиль ЗИС-22-52 необходимо вне</w:t>
      </w:r>
      <w:r w:rsidRPr="00A3026E">
        <w:rPr>
          <w:rFonts w:ascii="Times New Roman" w:cs="Times New Roman"/>
          <w:color w:val="000000" w:themeColor="text1"/>
          <w:spacing w:val="0"/>
          <w:sz w:val="16"/>
          <w:szCs w:val="16"/>
        </w:rPr>
        <w:softHyphen/>
        <w:t>сти следующие изменения:</w:t>
      </w:r>
    </w:p>
    <w:p w14:paraId="7613E63D" w14:textId="77777777" w:rsidR="00C66762" w:rsidRPr="00A3026E" w:rsidRDefault="00C66762" w:rsidP="00A3026E">
      <w:pPr>
        <w:pStyle w:val="7"/>
        <w:shd w:val="clear" w:color="auto" w:fill="auto"/>
        <w:tabs>
          <w:tab w:val="left" w:pos="534"/>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1. Нижние опорные катки переработать заново с устранением поломок траверз, под</w:t>
      </w:r>
      <w:r w:rsidRPr="00A3026E">
        <w:rPr>
          <w:rFonts w:ascii="Times New Roman" w:cs="Times New Roman"/>
          <w:color w:val="000000" w:themeColor="text1"/>
          <w:spacing w:val="0"/>
          <w:sz w:val="16"/>
          <w:szCs w:val="16"/>
        </w:rPr>
        <w:softHyphen/>
        <w:t>шипников и разрушения резины.</w:t>
      </w:r>
    </w:p>
    <w:p w14:paraId="7474B8A8" w14:textId="77777777" w:rsidR="00C66762" w:rsidRPr="00A3026E" w:rsidRDefault="00C66762" w:rsidP="00A3026E">
      <w:pPr>
        <w:pStyle w:val="7"/>
        <w:shd w:val="clear" w:color="auto" w:fill="auto"/>
        <w:tabs>
          <w:tab w:val="left" w:pos="490"/>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2. Направляющие гребни гусеницы повы</w:t>
      </w:r>
      <w:r w:rsidRPr="00A3026E">
        <w:rPr>
          <w:rFonts w:ascii="Times New Roman" w:cs="Times New Roman"/>
          <w:color w:val="000000" w:themeColor="text1"/>
          <w:spacing w:val="0"/>
          <w:sz w:val="16"/>
          <w:szCs w:val="16"/>
        </w:rPr>
        <w:softHyphen/>
        <w:t>сить по высоте и придать им более овальную форму в верней части.</w:t>
      </w:r>
    </w:p>
    <w:p w14:paraId="3CDCEC35" w14:textId="77777777" w:rsidR="00C66762" w:rsidRPr="00A3026E" w:rsidRDefault="00C66762" w:rsidP="00A3026E">
      <w:pPr>
        <w:pStyle w:val="7"/>
        <w:shd w:val="clear" w:color="auto" w:fill="auto"/>
        <w:tabs>
          <w:tab w:val="left" w:pos="500"/>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3. Направляющую реборду ленивца необ</w:t>
      </w:r>
      <w:r w:rsidRPr="00A3026E">
        <w:rPr>
          <w:rFonts w:ascii="Times New Roman" w:cs="Times New Roman"/>
          <w:color w:val="000000" w:themeColor="text1"/>
          <w:spacing w:val="0"/>
          <w:sz w:val="16"/>
          <w:szCs w:val="16"/>
        </w:rPr>
        <w:softHyphen/>
        <w:t>ходимо увеличить в диаметре с целью лучшего направления гусеницы и удержания ее от сва</w:t>
      </w:r>
      <w:r w:rsidRPr="00A3026E">
        <w:rPr>
          <w:rFonts w:ascii="Times New Roman" w:cs="Times New Roman"/>
          <w:color w:val="000000" w:themeColor="text1"/>
          <w:spacing w:val="0"/>
          <w:sz w:val="16"/>
          <w:szCs w:val="16"/>
        </w:rPr>
        <w:softHyphen/>
        <w:t>ливания.</w:t>
      </w:r>
    </w:p>
    <w:p w14:paraId="025E8BBE" w14:textId="77777777" w:rsidR="00C66762" w:rsidRPr="00A3026E" w:rsidRDefault="00C66762" w:rsidP="00A3026E">
      <w:pPr>
        <w:pStyle w:val="7"/>
        <w:shd w:val="clear" w:color="auto" w:fill="auto"/>
        <w:tabs>
          <w:tab w:val="left" w:pos="468"/>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4. Увеличить прочность цепей Галля.</w:t>
      </w:r>
    </w:p>
    <w:p w14:paraId="0023AD60" w14:textId="77777777" w:rsidR="00C66762" w:rsidRPr="00A3026E" w:rsidRDefault="00C66762" w:rsidP="00A3026E">
      <w:pPr>
        <w:pStyle w:val="7"/>
        <w:shd w:val="clear" w:color="auto" w:fill="auto"/>
        <w:tabs>
          <w:tab w:val="left" w:pos="468"/>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5. Уменьшить общий вес приспособления.</w:t>
      </w:r>
    </w:p>
    <w:p w14:paraId="73BEFBF0" w14:textId="77777777" w:rsidR="00C66762" w:rsidRPr="00A3026E" w:rsidRDefault="00C66762" w:rsidP="00A3026E">
      <w:pPr>
        <w:pStyle w:val="7"/>
        <w:shd w:val="clear" w:color="auto" w:fill="auto"/>
        <w:tabs>
          <w:tab w:val="left" w:pos="558"/>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6. Уменьшить количество применяемой резины».</w:t>
      </w:r>
    </w:p>
    <w:p w14:paraId="00D422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Заказчик также подчеркнул, что остальные образцы автомобилей по целому ряду параме</w:t>
      </w:r>
      <w:r w:rsidRPr="00A3026E">
        <w:rPr>
          <w:rFonts w:ascii="Times New Roman" w:hAnsi="Times New Roman"/>
          <w:color w:val="000000" w:themeColor="text1"/>
          <w:sz w:val="16"/>
          <w:szCs w:val="16"/>
        </w:rPr>
        <w:softHyphen/>
        <w:t>тров не удовлетворяют предъявленным ТТТ.</w:t>
      </w:r>
    </w:p>
    <w:p w14:paraId="6541AB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испытаний были утверждены в конце декабря 1940 г. Рекомендовалось после доработки принять на снабжение Красной Ар</w:t>
      </w:r>
      <w:r w:rsidRPr="00A3026E">
        <w:rPr>
          <w:rFonts w:ascii="Times New Roman" w:hAnsi="Times New Roman"/>
          <w:color w:val="000000" w:themeColor="text1"/>
          <w:sz w:val="16"/>
          <w:szCs w:val="16"/>
        </w:rPr>
        <w:softHyphen/>
        <w:t>мии полугусеничный автомобиль ЗИС-22-52 и колесный полноприводный автомобиль ЗИС-Э2Р.</w:t>
      </w:r>
    </w:p>
    <w:p w14:paraId="237014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1941 г. военные решили заказать 2000 вездеходов ЗИС-22-52. Доработанный для серии ЗИС-22-52 назвали ЗИС-22М. Зимой 1940-1941 гг. прошли испытания прототипа, а летом 1941 г. были организованы полигонные испытания эталона для серии (12729).</w:t>
      </w:r>
    </w:p>
    <w:p w14:paraId="1DDDC65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00FDAB0" w14:textId="77777777" w:rsidR="00190FE9" w:rsidRPr="00A3026E" w:rsidRDefault="00190FE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сентябре 1940 г. под Москвой прошли расширенные испытания машин повышенной проходимости с привлечением специалистов НАТИ, ЗИСа, ГАЗа и заинтересованных ведомств. Результаты испытаний показали, что из всех представленных машин требованиям РККА отвечают только полугусеничный ЗИС-22-52 (с принудительным зацеплением гусениц) и «двухосный автомобиль ЗИС-32Р с приводом на все колеса». Эти модели и были рекомендованы к серийному производству.  </w:t>
      </w:r>
    </w:p>
    <w:p w14:paraId="5B458A45" w14:textId="77777777" w:rsidR="00190FE9" w:rsidRPr="00A3026E" w:rsidRDefault="00190FE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плану работ по ЗИС-32 с октября 1940 года уже предусматривалось начало их серийного выпуска. В октябре планировалось собрать 5 машин, в ноябре –10, в декабре – 25. Последующий годовой объем выпуска должен был составить 4000 шт.  Однако освоение производства ЗИС-32 в таких количествах требовало приобретения нового оборудования и производственных площадей размером 2500 м2. Свободных на заводе не было, а существующие были заняты под ЗИС-22 и ЗИС-33. Поэтому вплоть до окончания финской кампании работы по ЗИС-32 фактически были заморожены. Первоначальный срок был отменен, и дата начала выпуска смещена на следующий год. Соответствующим постановлением московскому заводу предписывалось создать к августу 1941 г. мощности по выпуску 2000 экземпляров ЗИС-32.  Машина обещала стать действительно первым полноценным отечественным вездеходом грузоподъемностью 3 т на шоссе и 2,5 т на грунте. По всем основным параметрам она не отличалась от стандартного ЗИС-5, однако имела меньшую ширину (2215 мм), большую высоту (2330 мм) и погрузочную высоту платформы (1320 мм), иные колеи переднего и заднего мостов (1550 и 1720 мм соответственно), равный дорожный просвет под передним и задним мостами (260 мм). Масса ЗИС-32 в снаряженном состоянии возросла до 3680–3700 кг (что все равно являлось неплохим показателем), расход топлива увеличился до 35–38 л/100 км, а его эксплуатационная норма – до 38–43 л/100 км. Но несмотря на это, машина благодаря дополнительному топливному баку, расположенному сбоку под грузовой платформой (общий объем их составил 115 л) обладала в полтора раза большим (300–330 км) запасом хода, чем ЗИС-5. Наименьший радиус поворота с шарнирами «Рцеппа» составлял 8,6 м, а с шарнирами «Спайсер» – 9,1–9,5 м. «32-й», комплектовавшийся шинами 36х8 дюймов, с полной нагрузкой мог преодолевать подъемы до 30–32 градусов и брод до 0,75 м.  Надо сказать, что некоторым экземплярам ЗИС-32 все же повезло стать обладателями более мощного силового агрегата типа ЗИС-16 (85–88 л. с.), что положительно влияло на показатели. Так, максимальная скорость при обычном 73-сильном двигателе равнялась 60 км/ч, а с мотором ЗИС-16 возрастала до 65 км/ч. А вот стандартного трубчатого 3-рядного радиатора ЗИС-5 иногда для охлаждения не хватало, поэтому при возможности ЗИС-32 стремились укомплектовать 4-рядным радиатором от ЗИС-6.  Одноходовая 2-ступенчатая раздаточная коробка-демультипликатор устанавливалась за КПП на поперечине рамы. Крутящий момент от двигателя через РК на мосты передавался тремя открытыми карданными валами с шестью шарнирами «Спайсер» на игольчатых подшипниках. Задний мост практически не изменился, но передаточное число главной передачи увеличили с 6,41 до 7,67 (17499).</w:t>
      </w:r>
    </w:p>
    <w:p w14:paraId="15D66E55" w14:textId="77777777" w:rsidR="00190FE9" w:rsidRPr="00A3026E" w:rsidRDefault="00190FE9" w:rsidP="00A3026E">
      <w:pPr>
        <w:spacing w:after="0" w:line="240" w:lineRule="auto"/>
        <w:jc w:val="both"/>
        <w:rPr>
          <w:rFonts w:ascii="Times New Roman" w:hAnsi="Times New Roman"/>
          <w:color w:val="000000" w:themeColor="text1"/>
          <w:sz w:val="16"/>
          <w:szCs w:val="16"/>
        </w:rPr>
      </w:pPr>
    </w:p>
    <w:p w14:paraId="5E53709E" w14:textId="77777777" w:rsidR="003A67EC" w:rsidRPr="00A3026E" w:rsidRDefault="003A67E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Сентябрь 1940. На Минском шоссе состоялись испытания четырех легковых автомобилей. Автомобили с ходу прошли дистанцию протяжением в один километр. Как установили спортивные комиссары" машина "ЗИС-спорт" двигалась со скоростью 162,5 км в час, фаэтон "ЗИС-102" - 153,3 км в час. Два автомобиля "ЗИС-101-А" показали примерно равную скорость, близкую к 142 км в час (18701).</w:t>
      </w:r>
    </w:p>
    <w:p w14:paraId="42145103" w14:textId="77777777" w:rsidR="003A67EC" w:rsidRPr="00A3026E" w:rsidRDefault="003A67EC" w:rsidP="00A3026E">
      <w:pPr>
        <w:spacing w:after="0" w:line="240" w:lineRule="auto"/>
        <w:jc w:val="both"/>
        <w:rPr>
          <w:rFonts w:ascii="Times New Roman" w:hAnsi="Times New Roman"/>
          <w:color w:val="000000" w:themeColor="text1"/>
          <w:sz w:val="16"/>
          <w:szCs w:val="16"/>
        </w:rPr>
      </w:pPr>
    </w:p>
    <w:p w14:paraId="2074C4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сентябре 1940 г. испытания усовершенствованной установки “Зенит”, проведенные смешанной комиссией НИИИС КА, управлениями ПВО КА, ВМФ и ГАУ. выявили следующие результаты: дальность обнаружения одиночного самолета СБ 25 км, звена самолетов СБ 30 км; точность определения координат по дальности 1 км, по азимуту 3–4°, по углу места 1–2°, по высоте 10%. Это был большой успех молодого коллектива УФТИ. По сравнению с экспериментальными радиоискателями «Буря» и Б-2 НИИ-9 «Зенит» имел значительные преимущества по дальности обнаружения и возможности определять три координаты, необходимые для стрельбы ЗА. В принципе установка отвечала требованиям заказчика и с технической стороны представляла большой интерес. Однако ряд существенных недостатков станции «Зенит», вскрытых на испытаниях, а именно: невозможность непрерывного определения координат самолетов и ввод их в ПУАЗО для подготовки данных зенитной </w:t>
      </w:r>
      <w:r w:rsidRPr="00A3026E">
        <w:rPr>
          <w:rFonts w:ascii="Times New Roman" w:hAnsi="Times New Roman"/>
          <w:color w:val="000000" w:themeColor="text1"/>
          <w:sz w:val="16"/>
          <w:szCs w:val="16"/>
        </w:rPr>
        <w:lastRenderedPageBreak/>
        <w:t>стрельбы (станция определяла координату цели только периодически: азимут за 17 с, угол места за 13 с, три координаты за 38 с), трудности обнаружения самолетов вследствие узкой (конусной) диаграммы направленности параболической антенны, наличие непросматриваемой (мертвой) зоны радиусом 6 км, в пределах которой ЗА могла вести наиболее активную стрельбу орудиями 85-мм калибра, вынудили УФТИ продолжать работы над ее усовершенствованием (11026).</w:t>
      </w:r>
    </w:p>
    <w:p w14:paraId="3A9D3F2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8CBD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Управление связи КА заключило с НИИ радиопромышленности договор на разработку опытного образца «Редут-41», оговорив следующие тактико-технические требования:</w:t>
      </w:r>
    </w:p>
    <w:p w14:paraId="5B5059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совмещение передающей и приемной аппаратуры в одном автофургоне при работе на общую антенну;</w:t>
      </w:r>
    </w:p>
    <w:p w14:paraId="3483CC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вращение фургона с радиоаппаратурой должно быть заменено вращением укрепленной на нем антенны;</w:t>
      </w:r>
    </w:p>
    <w:p w14:paraId="3F4132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размещение во втором автофургоне двух агрегатов электропитания (один рабочий и один резервный);</w:t>
      </w:r>
    </w:p>
    <w:p w14:paraId="4334E5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станция должна была обнаруживать самолеты на дальности от 10 до 30 км на высоте 500 ми от 25 до 110 км на высоте 8000 м с точностью определения координат по дальности 1,5 км, по азимуту не более ±7°;</w:t>
      </w:r>
    </w:p>
    <w:p w14:paraId="5F66C4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рабочая волна станции при длительности импульса 10–12 мкс в пределах 4,0–4,3 м;</w:t>
      </w:r>
    </w:p>
    <w:p w14:paraId="048349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вся аппаратура станции должна размещаться на двух автоприцепах.</w:t>
      </w:r>
    </w:p>
    <w:p w14:paraId="3B9473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связи КА, рассмотрев разработанный НИИ аванпроект, сделало следующие выводы:</w:t>
      </w:r>
    </w:p>
    <w:p w14:paraId="4931CB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Разрешена проблема одновременной работы на общую антенну передающего и приемного устройств при передаче энергии в импульсе до 100 кВт. Это позволяет исключить сложный механизм синхронного вращения антенн, который применялся в двухантенной РЛС.</w:t>
      </w:r>
    </w:p>
    <w:p w14:paraId="165163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Разрешена задача передачи энергии высокой частоты на вращающуюся антенну, вынесенную на местность. Это позволяет отказаться от механизмов для вращения со сложными приводами, использовав взамен обычные стандартные автофургоны, и стандартизировать основные узлы аппаратуры для работы в различных условиях, на передвижной или стационарной установке, на борту корабля и т.п.</w:t>
      </w:r>
    </w:p>
    <w:p w14:paraId="4B7066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Разработано передающее устройство, в котором применены новые экономичные генераторные лампы, со смещением на сетку посредством гридлика, новая схема генерирования импульсов на тиратроне. Это позволяет в значительной степени сократить вес и габариты аппаратуры, снизить анодное напряжение на генераторных лампах и уменьшить рентгеновское излучение.</w:t>
      </w:r>
    </w:p>
    <w:p w14:paraId="322B7B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согласованию с Управлением ПВО КА Управление связи приняло решение оснащать войска ПВО станциями дальнего обнаружения в двух вариантах: в автомобильном с высокой подвижностью и в разборном с перевозкой радиоаппаратуры и агрегатов электропитания в укладочных ящиках любым видом транспорта. Целесообразность такого решения очевидна, если учесть, что значительная часть станций службы ВНОС должна дислоцироваться на территории страны и работать в стационарных условиях. В то же время высвобождение каждой автомашины во время войны было крайне важно в интересах других служб в войсках. Разработку и серийное производство автомобильных станций Управление связи возлагало на один из радиозаводов, а разборных – на НИИ радиопромышленности. Тактико-технические характеристики обоих вариантов одноантенной станции должны, были быть тождественными.</w:t>
      </w:r>
    </w:p>
    <w:p w14:paraId="492559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НИИ радиопромышленности принял предложение связистов и в декабре 1940 г. заключил с Управлением связи КА (к заключенному договору в сентябре 1940 г.) дополнительное соглашение, в котором предусматривалось:</w:t>
      </w:r>
    </w:p>
    <w:p w14:paraId="38EDA6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изготовление опытной партии из 10 разборных станций;</w:t>
      </w:r>
    </w:p>
    <w:p w14:paraId="1024CA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разработка мачты с антенной, устанавливаемой на земле и соединяемой фидером с передающим и приемным устройствами;</w:t>
      </w:r>
    </w:p>
    <w:p w14:paraId="6E73F4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прекращение конструирования варианта станции с размещением в автофургонах.</w:t>
      </w:r>
    </w:p>
    <w:p w14:paraId="717C89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Такой тип станции в институте назвали «Пегматит». Ее разработка осуществлялась коллективом инженеров в составе А. Б. Слепушкина, Л. В. Леонова, И. И. Вольмана, В. В. Тихомирова, Р. С. Буданова, Ю. К. Аделя, А. Р. Вольперта, И. Т. Зубкова, А. П. Земнорея, И. Н. Антонова и др.</w:t>
      </w:r>
    </w:p>
    <w:p w14:paraId="51BC51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Станция представляла собой коренную переделку радиоаппаратуры «Редут» с использованием инженерной схемы одноантенного устройства, предложенной инженером института Д. С. Михалевичем.</w:t>
      </w:r>
    </w:p>
    <w:p w14:paraId="409920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явных преимуществ РЛС «Пегматит» Управление связи КА решило не начинать серийное производство двухантенных РЛС РУС-2 и ограничиться направлением в войска ВНОС только опытной партии этих станций (11026).</w:t>
      </w:r>
    </w:p>
    <w:p w14:paraId="4D92AB5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EC46C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была создана Центральная лаборатория автоматики (ЦЛА) Наркомата черной металлургии СССР В феврале 1968 г. лаборатория объединена со Специальным бюро вычислительной техники (СБВТ) Государственного союзного института по проектированию агрегатов сталелитейного и прокатного производства для черной металлургии "Стальпроект" и преобразована во ВНИИАчермет (12102).</w:t>
      </w:r>
    </w:p>
    <w:p w14:paraId="208AA9B4" w14:textId="77777777" w:rsidR="00E90813" w:rsidRPr="00A3026E" w:rsidRDefault="00E90813" w:rsidP="00A3026E">
      <w:pPr>
        <w:spacing w:after="0" w:line="240" w:lineRule="auto"/>
        <w:jc w:val="both"/>
        <w:rPr>
          <w:rFonts w:ascii="Times New Roman" w:hAnsi="Times New Roman"/>
          <w:color w:val="000000" w:themeColor="text1"/>
          <w:sz w:val="16"/>
          <w:szCs w:val="16"/>
        </w:rPr>
      </w:pPr>
    </w:p>
    <w:p w14:paraId="029D2B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ГМШ ВМФ высказался за установку на но</w:t>
      </w:r>
      <w:r w:rsidRPr="00A3026E">
        <w:rPr>
          <w:rFonts w:ascii="Times New Roman" w:hAnsi="Times New Roman"/>
          <w:color w:val="000000" w:themeColor="text1"/>
          <w:sz w:val="16"/>
          <w:szCs w:val="16"/>
        </w:rPr>
        <w:softHyphen/>
        <w:t>вом охотнике одной 76-мм пушки и четырех 12,7-мм пулеметов при усилении противолодочного вооружения до 22 больших и 24 малых глубинных бомб и за увеличение мореходности до 7-8 баллов (3898).</w:t>
      </w:r>
    </w:p>
    <w:p w14:paraId="6294975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97F1D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в докладе контр-адмирала Ю. Ф. Ралля наркому ВМФ было отмечено отставание катеростроения из-за организационной лихорад</w:t>
      </w:r>
      <w:r w:rsidRPr="00A3026E">
        <w:rPr>
          <w:rFonts w:ascii="Times New Roman" w:hAnsi="Times New Roman"/>
          <w:color w:val="000000" w:themeColor="text1"/>
          <w:sz w:val="16"/>
          <w:szCs w:val="16"/>
        </w:rPr>
        <w:softHyphen/>
        <w:t>ки. Вскоре, по предложению инженеров-конструкторов завода 194, вопросы катеростроения были сосредо</w:t>
      </w:r>
      <w:r w:rsidRPr="00A3026E">
        <w:rPr>
          <w:rFonts w:ascii="Times New Roman" w:hAnsi="Times New Roman"/>
          <w:color w:val="000000" w:themeColor="text1"/>
          <w:sz w:val="16"/>
          <w:szCs w:val="16"/>
        </w:rPr>
        <w:softHyphen/>
        <w:t>точены в одном конструкторском бюро (ЦКБ-50), приняли также меры по укреплению кадров на новых заводах- строителях ленин</w:t>
      </w:r>
      <w:r w:rsidRPr="00A3026E">
        <w:rPr>
          <w:rFonts w:ascii="Times New Roman" w:hAnsi="Times New Roman"/>
          <w:color w:val="000000" w:themeColor="text1"/>
          <w:sz w:val="16"/>
          <w:szCs w:val="16"/>
        </w:rPr>
        <w:softHyphen/>
        <w:t>градскими специалистами (3898).</w:t>
      </w:r>
    </w:p>
    <w:p w14:paraId="1C88A0E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090B8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Style w:val="258pt"/>
          <w:color w:val="000000" w:themeColor="text1"/>
          <w:szCs w:val="16"/>
        </w:rPr>
        <w:t>В</w:t>
      </w:r>
      <w:r w:rsidRPr="00A3026E">
        <w:rPr>
          <w:rFonts w:ascii="Times New Roman" w:hAnsi="Times New Roman"/>
          <w:color w:val="000000" w:themeColor="text1"/>
          <w:sz w:val="16"/>
          <w:szCs w:val="16"/>
        </w:rPr>
        <w:t xml:space="preserve"> сентябре</w:t>
      </w:r>
      <w:r w:rsidRPr="00A3026E">
        <w:rPr>
          <w:rStyle w:val="251"/>
          <w:rFonts w:ascii="Times New Roman" w:hAnsi="Times New Roman"/>
          <w:color w:val="000000" w:themeColor="text1"/>
          <w:sz w:val="16"/>
          <w:szCs w:val="16"/>
        </w:rPr>
        <w:t xml:space="preserve"> 1940</w:t>
      </w:r>
      <w:r w:rsidRPr="00A3026E">
        <w:rPr>
          <w:rFonts w:ascii="Times New Roman" w:hAnsi="Times New Roman"/>
          <w:color w:val="000000" w:themeColor="text1"/>
          <w:sz w:val="16"/>
          <w:szCs w:val="16"/>
        </w:rPr>
        <w:t xml:space="preserve"> г. тяжелый крейсер «Лютцов» переименовали в «Петропавловск», однако полностью в строй в связи с началом войны он введен не был. Крейсер отбуксировали в мае</w:t>
      </w:r>
      <w:r w:rsidRPr="00A3026E">
        <w:rPr>
          <w:rStyle w:val="251"/>
          <w:rFonts w:ascii="Times New Roman" w:hAnsi="Times New Roman"/>
          <w:color w:val="000000" w:themeColor="text1"/>
          <w:sz w:val="16"/>
          <w:szCs w:val="16"/>
        </w:rPr>
        <w:t xml:space="preserve"> 1940</w:t>
      </w:r>
      <w:r w:rsidRPr="00A3026E">
        <w:rPr>
          <w:rFonts w:ascii="Times New Roman" w:hAnsi="Times New Roman"/>
          <w:color w:val="000000" w:themeColor="text1"/>
          <w:sz w:val="16"/>
          <w:szCs w:val="16"/>
        </w:rPr>
        <w:t xml:space="preserve"> г. в Ленинград, где предполагалось его после</w:t>
      </w:r>
      <w:r w:rsidRPr="00A3026E">
        <w:rPr>
          <w:rFonts w:ascii="Times New Roman" w:hAnsi="Times New Roman"/>
          <w:color w:val="000000" w:themeColor="text1"/>
          <w:sz w:val="16"/>
          <w:szCs w:val="16"/>
        </w:rPr>
        <w:softHyphen/>
        <w:t xml:space="preserve">дующее доведение до боевого состояния. </w:t>
      </w:r>
    </w:p>
    <w:p w14:paraId="0B0D40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с приобретением крейсера «Лютцов» в Германии закупили 4 поплавко</w:t>
      </w:r>
      <w:r w:rsidRPr="00A3026E">
        <w:rPr>
          <w:rFonts w:ascii="Times New Roman" w:hAnsi="Times New Roman"/>
          <w:color w:val="000000" w:themeColor="text1"/>
          <w:sz w:val="16"/>
          <w:szCs w:val="16"/>
        </w:rPr>
        <w:softHyphen/>
        <w:t>вых разведчика Аг 196. Эти самолеты (завод</w:t>
      </w:r>
      <w:r w:rsidRPr="00A3026E">
        <w:rPr>
          <w:rFonts w:ascii="Times New Roman" w:hAnsi="Times New Roman"/>
          <w:color w:val="000000" w:themeColor="text1"/>
          <w:sz w:val="16"/>
          <w:szCs w:val="16"/>
        </w:rPr>
        <w:softHyphen/>
        <w:t>ские №№ 0152, 0153, 0154, 0155), оснащен</w:t>
      </w:r>
      <w:r w:rsidRPr="00A3026E">
        <w:rPr>
          <w:rFonts w:ascii="Times New Roman" w:hAnsi="Times New Roman"/>
          <w:color w:val="000000" w:themeColor="text1"/>
          <w:sz w:val="16"/>
          <w:szCs w:val="16"/>
        </w:rPr>
        <w:softHyphen/>
        <w:t>ные двигателями ВММ132К, советская ко</w:t>
      </w:r>
      <w:r w:rsidRPr="00A3026E">
        <w:rPr>
          <w:rFonts w:ascii="Times New Roman" w:hAnsi="Times New Roman"/>
          <w:color w:val="000000" w:themeColor="text1"/>
          <w:sz w:val="16"/>
          <w:szCs w:val="16"/>
        </w:rPr>
        <w:softHyphen/>
        <w:t>манда уже ожидала принять в Ораниенбауме или Гребном порту Ленинграда, где предпо</w:t>
      </w:r>
      <w:r w:rsidRPr="00A3026E">
        <w:rPr>
          <w:rFonts w:ascii="Times New Roman" w:hAnsi="Times New Roman"/>
          <w:color w:val="000000" w:themeColor="text1"/>
          <w:sz w:val="16"/>
          <w:szCs w:val="16"/>
        </w:rPr>
        <w:softHyphen/>
        <w:t>лагались провести их оценочные испытания. Авиамастерские №35 в Ораниенбауме даже получили задание на изготовление перекат</w:t>
      </w:r>
      <w:r w:rsidRPr="00A3026E">
        <w:rPr>
          <w:rFonts w:ascii="Times New Roman" w:hAnsi="Times New Roman"/>
          <w:color w:val="000000" w:themeColor="text1"/>
          <w:sz w:val="16"/>
          <w:szCs w:val="16"/>
        </w:rPr>
        <w:softHyphen/>
        <w:t>ных тележек для этих самолетов. Все 4 Аг 196 были получены в Варнемюнде 27 мая 1941 г. Далее их предполагали отправить на парохо</w:t>
      </w:r>
      <w:r w:rsidRPr="00A3026E">
        <w:rPr>
          <w:rFonts w:ascii="Times New Roman" w:hAnsi="Times New Roman"/>
          <w:color w:val="000000" w:themeColor="text1"/>
          <w:sz w:val="16"/>
          <w:szCs w:val="16"/>
        </w:rPr>
        <w:softHyphen/>
        <w:t>де «Волга-Лес» из Штеттина в Лениград. Од</w:t>
      </w:r>
      <w:r w:rsidRPr="00A3026E">
        <w:rPr>
          <w:rFonts w:ascii="Times New Roman" w:hAnsi="Times New Roman"/>
          <w:color w:val="000000" w:themeColor="text1"/>
          <w:sz w:val="16"/>
          <w:szCs w:val="16"/>
        </w:rPr>
        <w:softHyphen/>
        <w:t>нако отправка самолетов затянулась, и даль</w:t>
      </w:r>
      <w:r w:rsidRPr="00A3026E">
        <w:rPr>
          <w:rFonts w:ascii="Times New Roman" w:hAnsi="Times New Roman"/>
          <w:color w:val="000000" w:themeColor="text1"/>
          <w:sz w:val="16"/>
          <w:szCs w:val="16"/>
        </w:rPr>
        <w:softHyphen/>
        <w:t>нейшая судьба их осталась неизвестной (12301).</w:t>
      </w:r>
    </w:p>
    <w:p w14:paraId="165DF39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D5666F5"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66B897F3" w14:textId="77777777" w:rsidR="00C66762" w:rsidRPr="00A3026E" w:rsidRDefault="00C66762" w:rsidP="00A3026E">
      <w:pPr>
        <w:spacing w:after="0" w:line="240" w:lineRule="auto"/>
        <w:jc w:val="both"/>
        <w:rPr>
          <w:rFonts w:ascii="Times New Roman" w:hAnsi="Times New Roman"/>
          <w:i/>
          <w:iCs/>
          <w:color w:val="000000" w:themeColor="text1"/>
          <w:sz w:val="16"/>
          <w:szCs w:val="16"/>
        </w:rPr>
      </w:pPr>
    </w:p>
    <w:p w14:paraId="52AA22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сентябрь 1940 г., в составе ВВС насчитывалось 1830 экземпляров И-153 с М-62 и 292 истребителя данного типа с М-63, в авиации ВМФ к концу 1940 г. - 279 И-153 с М-62 и 9 с М-63. В июне 1940 г. командование ВВС решило оснастить все находящиеся на вооружении истребители И-153 и И-16 радиостанциями РСИ-4, однако это требование не учитывало скромных возможностей нашей радиотехни</w:t>
      </w:r>
      <w:r w:rsidRPr="00A3026E">
        <w:rPr>
          <w:rFonts w:ascii="Times New Roman" w:hAnsi="Times New Roman"/>
          <w:color w:val="000000" w:themeColor="text1"/>
          <w:sz w:val="16"/>
          <w:szCs w:val="16"/>
        </w:rPr>
        <w:softHyphen/>
        <w:t>ческой промышленности тех лет и поэтому не было ре</w:t>
      </w:r>
      <w:r w:rsidRPr="00A3026E">
        <w:rPr>
          <w:rFonts w:ascii="Times New Roman" w:hAnsi="Times New Roman"/>
          <w:color w:val="000000" w:themeColor="text1"/>
          <w:sz w:val="16"/>
          <w:szCs w:val="16"/>
        </w:rPr>
        <w:softHyphen/>
        <w:t>ализовано (10667).</w:t>
      </w:r>
    </w:p>
    <w:p w14:paraId="63E8AE8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07C43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сентябрь 1940 г. в летных училищах и школах числился 251 И-16 тип 4 (227 экземпляров в ВВС КА и 26 экземпляров в авиации ВМФ) (12015).</w:t>
      </w:r>
    </w:p>
    <w:p w14:paraId="6A297F1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4FD97A8" w14:textId="77777777" w:rsidR="00691CB5" w:rsidRPr="00A3026E" w:rsidRDefault="00691CB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сентября 1940 г. задачи и масштабы деятельности Инженерного отдела (ИО) НКВТ увеличились, когда ему были переданы функции Мотоконторы Всесоюзного объединения «Техноэкспорт», осуществлявшего экспорт ВВТ в страны Азии. В целом военным экспортом в иностранные государства на первых этапах становления Советской России ведало Главное военно-инженерное управление РККА, а с 1936 г. — специально созданное подразделение в Наркомате обороны СССР. В функции последнего входило и командирование личного состава в зарубежные страны (18272).</w:t>
      </w:r>
    </w:p>
    <w:p w14:paraId="1FAFDD01" w14:textId="77777777" w:rsidR="00691CB5" w:rsidRPr="00A3026E" w:rsidRDefault="00691CB5" w:rsidP="00A3026E">
      <w:pPr>
        <w:spacing w:after="0" w:line="240" w:lineRule="auto"/>
        <w:jc w:val="both"/>
        <w:rPr>
          <w:rFonts w:ascii="Times New Roman" w:hAnsi="Times New Roman"/>
          <w:color w:val="000000" w:themeColor="text1"/>
          <w:sz w:val="16"/>
          <w:szCs w:val="16"/>
        </w:rPr>
      </w:pPr>
    </w:p>
    <w:p w14:paraId="38BE221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712EA51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8482690" w14:textId="77777777" w:rsidR="00E63BD2" w:rsidRPr="00A3026E" w:rsidRDefault="00E63BD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сентябре 1940 г. была закончена постройка прототипа He 280V-1, однако ТРД HeS 8A не были готовы. Вместо них установили обтекаемые гондолы, соответствующие по весу и размерам ТРД HeS 8A и начали испытания самолета в планирующем полете на буксире за бомбардировщиком Не 111 (22774).</w:t>
      </w:r>
    </w:p>
    <w:p w14:paraId="42FC2AC5" w14:textId="77777777" w:rsidR="00E63BD2" w:rsidRPr="00A3026E" w:rsidRDefault="00E63BD2" w:rsidP="00A3026E">
      <w:pPr>
        <w:spacing w:after="0" w:line="240" w:lineRule="auto"/>
        <w:jc w:val="both"/>
        <w:rPr>
          <w:rFonts w:ascii="Times New Roman" w:hAnsi="Times New Roman"/>
          <w:color w:val="0070C0"/>
          <w:sz w:val="16"/>
          <w:szCs w:val="16"/>
        </w:rPr>
      </w:pPr>
    </w:p>
    <w:p w14:paraId="5F0193D8" w14:textId="77777777" w:rsidR="00E63BD2" w:rsidRPr="00A3026E" w:rsidRDefault="00E63BD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Сентябрь 1940 пикирующие бомбардировщики Aichi D3A и авианосные бомбардировщики Nakajima B5N Императорского флота Японии начинают бомбардировки Чунцина  (20795).</w:t>
      </w:r>
    </w:p>
    <w:p w14:paraId="5A919BDC" w14:textId="77777777" w:rsidR="00E63BD2" w:rsidRPr="00A3026E" w:rsidRDefault="00E63BD2" w:rsidP="00A3026E">
      <w:pPr>
        <w:spacing w:after="0" w:line="240" w:lineRule="auto"/>
        <w:jc w:val="both"/>
        <w:rPr>
          <w:rFonts w:ascii="Times New Roman" w:hAnsi="Times New Roman"/>
          <w:color w:val="0070C0"/>
          <w:sz w:val="16"/>
          <w:szCs w:val="16"/>
        </w:rPr>
      </w:pPr>
    </w:p>
    <w:p w14:paraId="1F153153" w14:textId="77777777" w:rsidR="00E63BD2" w:rsidRPr="00A3026E" w:rsidRDefault="00E63BD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Сентябрь 1940 выполнил первый полет Айти H9A (20795). </w:t>
      </w:r>
    </w:p>
    <w:p w14:paraId="0B11EDEF" w14:textId="77777777" w:rsidR="00E63BD2" w:rsidRPr="00A3026E" w:rsidRDefault="00E63BD2" w:rsidP="00A3026E">
      <w:pPr>
        <w:spacing w:after="0" w:line="240" w:lineRule="auto"/>
        <w:jc w:val="both"/>
        <w:rPr>
          <w:rFonts w:ascii="Times New Roman" w:hAnsi="Times New Roman"/>
          <w:color w:val="0070C0"/>
          <w:sz w:val="16"/>
          <w:szCs w:val="16"/>
        </w:rPr>
      </w:pPr>
    </w:p>
    <w:p w14:paraId="00AB7257" w14:textId="77777777" w:rsidR="00473E70" w:rsidRPr="00A3026E" w:rsidRDefault="00473E7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В сентябре 1940 года, когда Англия испытала первые удары Люфтваффе, были сформированы требования к мине-бомбе повышенного веса Higher Capacity Mine Bomb калибра 4000 фунтов (1814 кг), которая давала мощную взрывную волну и множество осколков. Созданная в итоге бомба «Куки» была дешевой и широко применялась с апреля 1941 года с борта самолетов «Веллингтон», «Галифакс» и «Москито», но главным ее носителем стал самолет «Ланкастер». Он мог взять одну «Куки» и </w:t>
      </w:r>
      <w:r w:rsidRPr="00A3026E">
        <w:rPr>
          <w:rFonts w:ascii="Times New Roman" w:hAnsi="Times New Roman"/>
          <w:color w:val="0070C0"/>
          <w:sz w:val="16"/>
          <w:szCs w:val="16"/>
        </w:rPr>
        <w:lastRenderedPageBreak/>
        <w:t>несколько зажигательных калибра 227 или 454 кг, но эта комбинация оказалась эффективной лишь против незащищенных целей типа вокзалов или заводских цехов, и в январе 1941 года началось проектирование фугасной бомбы калибра 3630 кг. С диаметром 1220 мм она не вписалась в бомбоотсек, и сброс предлагался с переделанного грузового планера, буксируемого «галифаксом». Осознав абсурд идеи, военные потребовали уменьшить диаметр до 965 мм. До конца 1942 года сделали 28 испытательных сбросов, но положительные результаты так и не удалось получить (22887).</w:t>
      </w:r>
    </w:p>
    <w:p w14:paraId="4C4E1878" w14:textId="77777777" w:rsidR="00473E70" w:rsidRPr="00A3026E" w:rsidRDefault="00473E70" w:rsidP="00A3026E">
      <w:pPr>
        <w:spacing w:after="0" w:line="240" w:lineRule="auto"/>
        <w:jc w:val="both"/>
        <w:rPr>
          <w:rFonts w:ascii="Times New Roman" w:hAnsi="Times New Roman"/>
          <w:color w:val="0070C0"/>
          <w:sz w:val="16"/>
          <w:szCs w:val="16"/>
        </w:rPr>
      </w:pPr>
    </w:p>
    <w:p w14:paraId="257F7F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в европейской печати появились сообщения о прибытии ограниченных контингентов (3-4 эшелона) германских войск на румынскую территорию. В Берлине этот факт интерпретировали как командирование в Румынию военных советников и инструкторов по переподготовке румынской армии, хотя на самом деле германские войска должны были обеспечивать безопасность румынских нефтяных месторождений (3871).</w:t>
      </w:r>
    </w:p>
    <w:p w14:paraId="2755BFD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FADB7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сентября 1940 Лондон бомбили по расписанию с 21:00 до 6:00. 14 ноября - Ковентри - 449 бомбардировщиков (24,148).</w:t>
      </w:r>
    </w:p>
    <w:p w14:paraId="6661E6D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4E2ED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Великобритания потеряла корабли общим водоизмещением в 160 тыс. т (3907,224).</w:t>
      </w:r>
    </w:p>
    <w:p w14:paraId="20CD782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5885E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на западном фронте появились машины версий Bf E-4/N и Е-7, оборудованные двигателем DB601N, работающим на высокооктановом бензине. Возросшая мощность мотора повлекла за собой улучшение летных характеристик (8944).</w:t>
      </w:r>
    </w:p>
    <w:p w14:paraId="5BA0C30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B7C6F71" w14:textId="77777777" w:rsidR="00E63BD2" w:rsidRPr="00A3026E" w:rsidRDefault="00E63BD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сентябре 1940 года самолеты B.R.20 из 13-го полка были переброшены в оккупированную Германией Бельгию для участия в составе «Итальянского авиационного корпуса» (Corpo Aereo Italiano) в грандиозном воздушном наступлении, которое уже несколько недель вела Германия против Великобритании. При перелете через Альпы несколько «фиатов» разбились, и на аэродром Мельсборк прибыло только 38 экипажей. Во время «Битвы за Англию» полк понес значительные потери от ПВО и в авариях, и был выведен в Италию на аэродром Пьяченца в середине февраля 1941 года. Не лучше «выступила» и 98-я группа 43-го полка, ее «фиаты» бомбили Англию с бельгийского аэродрома Эвер. Она продержалась до января 1941-го и была выведена в тыл на переформирование. Та же судьба постигла и 50-й полк, чьи потери в авариях также были примерно такими же, как и от истребителей англичан (22812).</w:t>
      </w:r>
    </w:p>
    <w:p w14:paraId="6FCC3FDA" w14:textId="77777777" w:rsidR="00E63BD2" w:rsidRPr="00A3026E" w:rsidRDefault="00E63BD2" w:rsidP="00A3026E">
      <w:pPr>
        <w:spacing w:after="0" w:line="240" w:lineRule="auto"/>
        <w:jc w:val="both"/>
        <w:rPr>
          <w:rFonts w:ascii="Times New Roman" w:hAnsi="Times New Roman"/>
          <w:color w:val="0070C0"/>
          <w:sz w:val="16"/>
          <w:szCs w:val="16"/>
        </w:rPr>
      </w:pPr>
    </w:p>
    <w:p w14:paraId="4167DCE2" w14:textId="77777777" w:rsidR="00C66762" w:rsidRPr="00A3026E" w:rsidRDefault="00C66762" w:rsidP="00A3026E">
      <w:pPr>
        <w:pStyle w:val="a3"/>
        <w:tabs>
          <w:tab w:val="left" w:pos="11199"/>
        </w:tabs>
        <w:rPr>
          <w:color w:val="000000" w:themeColor="text1"/>
          <w:lang w:val="ru-RU"/>
        </w:rPr>
      </w:pPr>
      <w:r w:rsidRPr="00A3026E">
        <w:rPr>
          <w:color w:val="000000" w:themeColor="text1"/>
          <w:lang w:val="ru-RU"/>
        </w:rPr>
        <w:t>В сентябре 1940, когда Fw 189C по</w:t>
      </w:r>
      <w:r w:rsidRPr="00A3026E">
        <w:rPr>
          <w:color w:val="000000" w:themeColor="text1"/>
          <w:lang w:val="ru-RU"/>
        </w:rPr>
        <w:softHyphen/>
        <w:t>ступил в испытательный центр в Рехлине, первый предсерийный штурмо</w:t>
      </w:r>
      <w:r w:rsidRPr="00A3026E">
        <w:rPr>
          <w:color w:val="000000" w:themeColor="text1"/>
          <w:lang w:val="ru-RU"/>
        </w:rPr>
        <w:softHyphen/>
        <w:t>вик фирмы “Хеншель” Hs 129A-0 уже проходил войсковые испытания в 5 (Schlacht)/Staffel 2-й истребительной эскадры. Поэтому все работы по Fw 189C были прекращены. Однако вскоре практически остановились и работы по Hs 129A. Дело в том, что под впечатлением успехов пикировщика Ju 87 в польской и французской кам</w:t>
      </w:r>
      <w:r w:rsidRPr="00A3026E">
        <w:rPr>
          <w:color w:val="000000" w:themeColor="text1"/>
          <w:lang w:val="ru-RU"/>
        </w:rPr>
        <w:softHyphen/>
        <w:t>паниях руководство Люфтваффе поте</w:t>
      </w:r>
      <w:r w:rsidRPr="00A3026E">
        <w:rPr>
          <w:color w:val="000000" w:themeColor="text1"/>
          <w:lang w:val="ru-RU"/>
        </w:rPr>
        <w:softHyphen/>
        <w:t>ряла всякий интерес к программе со</w:t>
      </w:r>
      <w:r w:rsidRPr="00A3026E">
        <w:rPr>
          <w:color w:val="000000" w:themeColor="text1"/>
          <w:lang w:val="ru-RU"/>
        </w:rPr>
        <w:softHyphen/>
        <w:t>здания бронированных штурмовиков...Надо сказать, что военные как Гер</w:t>
      </w:r>
      <w:r w:rsidRPr="00A3026E">
        <w:rPr>
          <w:color w:val="000000" w:themeColor="text1"/>
          <w:lang w:val="ru-RU"/>
        </w:rPr>
        <w:softHyphen/>
        <w:t>мании, так и СССР, сделав к концу 30-х годов абсолютно правильные выво</w:t>
      </w:r>
      <w:r w:rsidRPr="00A3026E">
        <w:rPr>
          <w:color w:val="000000" w:themeColor="text1"/>
          <w:lang w:val="ru-RU"/>
        </w:rPr>
        <w:softHyphen/>
        <w:t>ды в отношении характера будущей войны и применения в ней крупных бронетанковых сил, не смогли, в силу принятых в каждой из стран ошибоч</w:t>
      </w:r>
      <w:r w:rsidRPr="00A3026E">
        <w:rPr>
          <w:color w:val="000000" w:themeColor="text1"/>
          <w:lang w:val="ru-RU"/>
        </w:rPr>
        <w:softHyphen/>
        <w:t>ных военных доктрин, сделать и пра</w:t>
      </w:r>
      <w:r w:rsidRPr="00A3026E">
        <w:rPr>
          <w:color w:val="000000" w:themeColor="text1"/>
          <w:lang w:val="ru-RU"/>
        </w:rPr>
        <w:softHyphen/>
        <w:t>вильные выводы в отношении назна</w:t>
      </w:r>
      <w:r w:rsidRPr="00A3026E">
        <w:rPr>
          <w:color w:val="000000" w:themeColor="text1"/>
          <w:lang w:val="ru-RU"/>
        </w:rPr>
        <w:softHyphen/>
        <w:t>чения авиации поддержки наземных войск и решаемых ею боевых задач в предстоящей войне. Поскольку обе стороны в будущей войне предполагали главным образом только наступать и не собирались обо</w:t>
      </w:r>
      <w:r w:rsidRPr="00A3026E">
        <w:rPr>
          <w:color w:val="000000" w:themeColor="text1"/>
          <w:lang w:val="ru-RU"/>
        </w:rPr>
        <w:softHyphen/>
        <w:t>роняться (во всяком случае, практичес</w:t>
      </w:r>
      <w:r w:rsidRPr="00A3026E">
        <w:rPr>
          <w:color w:val="000000" w:themeColor="text1"/>
          <w:lang w:val="ru-RU"/>
        </w:rPr>
        <w:softHyphen/>
        <w:t>кой отработкой действий частей в обо</w:t>
      </w:r>
      <w:r w:rsidRPr="00A3026E">
        <w:rPr>
          <w:color w:val="000000" w:themeColor="text1"/>
          <w:lang w:val="ru-RU"/>
        </w:rPr>
        <w:softHyphen/>
        <w:t>роне в это время никто совершенно не занимался), то различия во взглядах военных вермахта и Красной Армии на применение авиации для непосред</w:t>
      </w:r>
      <w:r w:rsidRPr="00A3026E">
        <w:rPr>
          <w:color w:val="000000" w:themeColor="text1"/>
          <w:lang w:val="ru-RU"/>
        </w:rPr>
        <w:softHyphen/>
        <w:t>ственной авиационной поддержки войск обуславливались, главным образом, разным пониманием вопроса ввода в бой крупных танковых и мотомехани</w:t>
      </w:r>
      <w:r w:rsidRPr="00A3026E">
        <w:rPr>
          <w:color w:val="000000" w:themeColor="text1"/>
          <w:lang w:val="ru-RU"/>
        </w:rPr>
        <w:softHyphen/>
        <w:t>зированных формирований. Так, если Генеральный штаб Крас</w:t>
      </w:r>
      <w:r w:rsidRPr="00A3026E">
        <w:rPr>
          <w:color w:val="000000" w:themeColor="text1"/>
          <w:lang w:val="ru-RU"/>
        </w:rPr>
        <w:softHyphen/>
        <w:t>ной Армии предусматривал ввод в сра</w:t>
      </w:r>
      <w:r w:rsidRPr="00A3026E">
        <w:rPr>
          <w:color w:val="000000" w:themeColor="text1"/>
          <w:lang w:val="ru-RU"/>
        </w:rPr>
        <w:softHyphen/>
        <w:t>жение танковых и мотомеханизирован</w:t>
      </w:r>
      <w:r w:rsidRPr="00A3026E">
        <w:rPr>
          <w:color w:val="000000" w:themeColor="text1"/>
          <w:lang w:val="ru-RU"/>
        </w:rPr>
        <w:softHyphen/>
        <w:t>ных корпусов только после прорыва стрелковыми войсками (в тесном вза</w:t>
      </w:r>
      <w:r w:rsidRPr="00A3026E">
        <w:rPr>
          <w:color w:val="000000" w:themeColor="text1"/>
          <w:lang w:val="ru-RU"/>
        </w:rPr>
        <w:softHyphen/>
        <w:t>имодействии с авиацией, танковыми частями и артиллерией) тактической обороны противника, ставя им задачи исключительно оперативного характе</w:t>
      </w:r>
      <w:r w:rsidRPr="00A3026E">
        <w:rPr>
          <w:color w:val="000000" w:themeColor="text1"/>
          <w:lang w:val="ru-RU"/>
        </w:rPr>
        <w:softHyphen/>
        <w:t>ра (уничтожение оперативных резер</w:t>
      </w:r>
      <w:r w:rsidRPr="00A3026E">
        <w:rPr>
          <w:color w:val="000000" w:themeColor="text1"/>
          <w:lang w:val="ru-RU"/>
        </w:rPr>
        <w:softHyphen/>
        <w:t>вов противника и развитие успеха опе</w:t>
      </w:r>
      <w:r w:rsidRPr="00A3026E">
        <w:rPr>
          <w:color w:val="000000" w:themeColor="text1"/>
          <w:lang w:val="ru-RU"/>
        </w:rPr>
        <w:softHyphen/>
        <w:t>ративного в стратегический), то руко</w:t>
      </w:r>
      <w:r w:rsidRPr="00A3026E">
        <w:rPr>
          <w:color w:val="000000" w:themeColor="text1"/>
          <w:lang w:val="ru-RU"/>
        </w:rPr>
        <w:softHyphen/>
        <w:t>водство вермахта предполагало исполь</w:t>
      </w:r>
      <w:r w:rsidRPr="00A3026E">
        <w:rPr>
          <w:color w:val="000000" w:themeColor="text1"/>
          <w:lang w:val="ru-RU"/>
        </w:rPr>
        <w:softHyphen/>
        <w:t>зовать свои танковые соединения в первом эшелоне, возлагая на них так</w:t>
      </w:r>
      <w:r w:rsidRPr="00A3026E">
        <w:rPr>
          <w:color w:val="000000" w:themeColor="text1"/>
          <w:lang w:val="ru-RU"/>
        </w:rPr>
        <w:softHyphen/>
        <w:t>тические и оперативные задачи. В соответствии с этими взглядами Люфтваффе, практически прекратив доводку двухмоторного бронированно</w:t>
      </w:r>
      <w:r w:rsidRPr="00A3026E">
        <w:rPr>
          <w:color w:val="000000" w:themeColor="text1"/>
          <w:lang w:val="ru-RU"/>
        </w:rPr>
        <w:softHyphen/>
        <w:t>го Hs 1 29A, лихорадочно совершенство</w:t>
      </w:r>
      <w:r w:rsidRPr="00A3026E">
        <w:rPr>
          <w:color w:val="000000" w:themeColor="text1"/>
          <w:lang w:val="ru-RU"/>
        </w:rPr>
        <w:softHyphen/>
        <w:t>вали “Штуку” - Ju 87 и тактику ее боевого применения на поле боя, а в СССР сделали акцент на идее исполь</w:t>
      </w:r>
      <w:r w:rsidRPr="00A3026E">
        <w:rPr>
          <w:color w:val="000000" w:themeColor="text1"/>
          <w:lang w:val="ru-RU"/>
        </w:rPr>
        <w:softHyphen/>
        <w:t>зования на поле боя одномоторных бро</w:t>
      </w:r>
      <w:r w:rsidRPr="00A3026E">
        <w:rPr>
          <w:color w:val="000000" w:themeColor="text1"/>
          <w:lang w:val="ru-RU"/>
        </w:rPr>
        <w:softHyphen/>
        <w:t>нированных штурмовиков - двух</w:t>
      </w:r>
      <w:r w:rsidRPr="00A3026E">
        <w:rPr>
          <w:color w:val="000000" w:themeColor="text1"/>
          <w:lang w:val="ru-RU"/>
        </w:rPr>
        <w:softHyphen/>
        <w:t>местных и одноместных. В результате, когда опыт боевых действий начального периода войны с СССР показал, что Ju87 может счи</w:t>
      </w:r>
      <w:r w:rsidRPr="00A3026E">
        <w:rPr>
          <w:color w:val="000000" w:themeColor="text1"/>
          <w:lang w:val="ru-RU"/>
        </w:rPr>
        <w:softHyphen/>
        <w:t>таться самолетом непосредственной авиационной поддержки войск лишь с большой натяжкой, оказалось, что Люфтваффе не имеет в своем составе самолета, способного эффективно со</w:t>
      </w:r>
      <w:r w:rsidRPr="00A3026E">
        <w:rPr>
          <w:color w:val="000000" w:themeColor="text1"/>
          <w:lang w:val="ru-RU"/>
        </w:rPr>
        <w:softHyphen/>
        <w:t>действовать своим войскам. В свою очередь, ВВС Красной Ар</w:t>
      </w:r>
      <w:r w:rsidRPr="00A3026E">
        <w:rPr>
          <w:color w:val="000000" w:themeColor="text1"/>
          <w:lang w:val="ru-RU"/>
        </w:rPr>
        <w:softHyphen/>
        <w:t>мии также не имели к началу войны самолета, способного эффективно бо</w:t>
      </w:r>
      <w:r w:rsidRPr="00A3026E">
        <w:rPr>
          <w:color w:val="000000" w:themeColor="text1"/>
          <w:lang w:val="ru-RU"/>
        </w:rPr>
        <w:softHyphen/>
        <w:t>роться с танковыми и моторизованны</w:t>
      </w:r>
      <w:r w:rsidRPr="00A3026E">
        <w:rPr>
          <w:color w:val="000000" w:themeColor="text1"/>
          <w:lang w:val="ru-RU"/>
        </w:rPr>
        <w:softHyphen/>
        <w:t>ми “клиньями” вермахта. Одномоторная схема, состав и раз</w:t>
      </w:r>
      <w:r w:rsidRPr="00A3026E">
        <w:rPr>
          <w:color w:val="000000" w:themeColor="text1"/>
          <w:lang w:val="ru-RU"/>
        </w:rPr>
        <w:softHyphen/>
        <w:t>мещение вооружения единственного серийного бронированного штурмови</w:t>
      </w:r>
      <w:r w:rsidRPr="00A3026E">
        <w:rPr>
          <w:color w:val="000000" w:themeColor="text1"/>
          <w:lang w:val="ru-RU"/>
        </w:rPr>
        <w:softHyphen/>
        <w:t>ка Ил-2, полностью соответствующие боевым задачам в глубокой наступа</w:t>
      </w:r>
      <w:r w:rsidRPr="00A3026E">
        <w:rPr>
          <w:color w:val="000000" w:themeColor="text1"/>
          <w:lang w:val="ru-RU"/>
        </w:rPr>
        <w:softHyphen/>
        <w:t>тельной операции, позволяли “Илу”, как показал опыт использования ма</w:t>
      </w:r>
      <w:r w:rsidRPr="00A3026E">
        <w:rPr>
          <w:color w:val="000000" w:themeColor="text1"/>
          <w:lang w:val="ru-RU"/>
        </w:rPr>
        <w:softHyphen/>
        <w:t>шины в ходе войны, эффективно дей</w:t>
      </w:r>
      <w:r w:rsidRPr="00A3026E">
        <w:rPr>
          <w:color w:val="000000" w:themeColor="text1"/>
          <w:lang w:val="ru-RU"/>
        </w:rPr>
        <w:softHyphen/>
        <w:t>ствовать лишь по слабо бронирован</w:t>
      </w:r>
      <w:r w:rsidRPr="00A3026E">
        <w:rPr>
          <w:color w:val="000000" w:themeColor="text1"/>
          <w:lang w:val="ru-RU"/>
        </w:rPr>
        <w:softHyphen/>
        <w:t>ным и небронированным целям против</w:t>
      </w:r>
      <w:r w:rsidRPr="00A3026E">
        <w:rPr>
          <w:color w:val="000000" w:themeColor="text1"/>
          <w:lang w:val="ru-RU"/>
        </w:rPr>
        <w:softHyphen/>
        <w:t>ника. Более того, ни один опытный со</w:t>
      </w:r>
      <w:r w:rsidRPr="00A3026E">
        <w:rPr>
          <w:color w:val="000000" w:themeColor="text1"/>
          <w:lang w:val="ru-RU"/>
        </w:rPr>
        <w:softHyphen/>
        <w:t>ветский штурмовик (самолет поля боя) накануне войны с Германией не отве</w:t>
      </w:r>
      <w:r w:rsidRPr="00A3026E">
        <w:rPr>
          <w:color w:val="000000" w:themeColor="text1"/>
          <w:lang w:val="ru-RU"/>
        </w:rPr>
        <w:softHyphen/>
        <w:t>чал в полном объеме требованиям не</w:t>
      </w:r>
      <w:r w:rsidRPr="00A3026E">
        <w:rPr>
          <w:color w:val="000000" w:themeColor="text1"/>
          <w:lang w:val="ru-RU"/>
        </w:rPr>
        <w:softHyphen/>
        <w:t>посредственной авиационной поддерж</w:t>
      </w:r>
      <w:r w:rsidRPr="00A3026E">
        <w:rPr>
          <w:color w:val="000000" w:themeColor="text1"/>
          <w:lang w:val="ru-RU"/>
        </w:rPr>
        <w:softHyphen/>
        <w:t>ки наземных войск в современной вой</w:t>
      </w:r>
      <w:r w:rsidRPr="00A3026E">
        <w:rPr>
          <w:color w:val="000000" w:themeColor="text1"/>
          <w:lang w:val="ru-RU"/>
        </w:rPr>
        <w:softHyphen/>
        <w:t>не. Такой результат вполне закономе</w:t>
      </w:r>
      <w:r w:rsidRPr="00A3026E">
        <w:rPr>
          <w:color w:val="000000" w:themeColor="text1"/>
          <w:lang w:val="ru-RU"/>
        </w:rPr>
        <w:softHyphen/>
        <w:t>рен, так как советская военная страте</w:t>
      </w:r>
      <w:r w:rsidRPr="00A3026E">
        <w:rPr>
          <w:color w:val="000000" w:themeColor="text1"/>
          <w:lang w:val="ru-RU"/>
        </w:rPr>
        <w:softHyphen/>
        <w:t>гия в этот период вопросам оборони</w:t>
      </w:r>
      <w:r w:rsidRPr="00A3026E">
        <w:rPr>
          <w:color w:val="000000" w:themeColor="text1"/>
          <w:lang w:val="ru-RU"/>
        </w:rPr>
        <w:softHyphen/>
        <w:t>тельных действий войск в будущей вой</w:t>
      </w:r>
      <w:r w:rsidRPr="00A3026E">
        <w:rPr>
          <w:color w:val="000000" w:themeColor="text1"/>
          <w:lang w:val="ru-RU"/>
        </w:rPr>
        <w:softHyphen/>
        <w:t xml:space="preserve">не должного внимания не уделяла. </w:t>
      </w:r>
      <w:r w:rsidRPr="00A3026E">
        <w:rPr>
          <w:iCs/>
          <w:color w:val="000000" w:themeColor="text1"/>
          <w:lang w:val="ru-RU"/>
        </w:rPr>
        <w:t>“Мы не имеем современной, обоснованной теории обороны, которую мы могли... теории и практике глубокой наступательной операции” -</w:t>
      </w:r>
      <w:r w:rsidRPr="00A3026E">
        <w:rPr>
          <w:color w:val="000000" w:themeColor="text1"/>
          <w:lang w:val="ru-RU"/>
        </w:rPr>
        <w:t xml:space="preserve"> характеризо</w:t>
      </w:r>
      <w:r w:rsidRPr="00A3026E">
        <w:rPr>
          <w:color w:val="000000" w:themeColor="text1"/>
          <w:lang w:val="ru-RU"/>
        </w:rPr>
        <w:softHyphen/>
        <w:t>вал сложившуюся ситуацию генерал армии И.В.Тюленев в своем выступле</w:t>
      </w:r>
      <w:r w:rsidRPr="00A3026E">
        <w:rPr>
          <w:color w:val="000000" w:themeColor="text1"/>
          <w:lang w:val="ru-RU"/>
        </w:rPr>
        <w:softHyphen/>
        <w:t>нии на Совещании высшего руководя</w:t>
      </w:r>
      <w:r w:rsidRPr="00A3026E">
        <w:rPr>
          <w:color w:val="000000" w:themeColor="text1"/>
          <w:lang w:val="ru-RU"/>
        </w:rPr>
        <w:softHyphen/>
        <w:t>щего состава Красной Армии в период 23-31.12.40 г (6269).</w:t>
      </w:r>
    </w:p>
    <w:p w14:paraId="48919A0D" w14:textId="77777777" w:rsidR="00C66762" w:rsidRPr="00A3026E" w:rsidRDefault="00C66762" w:rsidP="00A3026E">
      <w:pPr>
        <w:pStyle w:val="a3"/>
        <w:tabs>
          <w:tab w:val="left" w:pos="11199"/>
        </w:tabs>
        <w:rPr>
          <w:color w:val="000000" w:themeColor="text1"/>
          <w:lang w:val="ru-RU"/>
        </w:rPr>
      </w:pPr>
    </w:p>
    <w:p w14:paraId="14CFB7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японцы начали применять в Китае новейший палуб</w:t>
      </w:r>
      <w:r w:rsidRPr="00A3026E">
        <w:rPr>
          <w:rFonts w:ascii="Times New Roman" w:hAnsi="Times New Roman"/>
          <w:color w:val="000000" w:themeColor="text1"/>
          <w:sz w:val="16"/>
          <w:szCs w:val="16"/>
        </w:rPr>
        <w:softHyphen/>
        <w:t>ный истребитель АбМ («Зеро»). Его превосходство над устаревшими наши</w:t>
      </w:r>
      <w:r w:rsidRPr="00A3026E">
        <w:rPr>
          <w:rFonts w:ascii="Times New Roman" w:hAnsi="Times New Roman"/>
          <w:color w:val="000000" w:themeColor="text1"/>
          <w:sz w:val="16"/>
          <w:szCs w:val="16"/>
        </w:rPr>
        <w:softHyphen/>
        <w:t>ми истребителями было столь велико, что руководство ВВС Гоминьдана, что</w:t>
      </w:r>
      <w:r w:rsidRPr="00A3026E">
        <w:rPr>
          <w:rFonts w:ascii="Times New Roman" w:hAnsi="Times New Roman"/>
          <w:color w:val="000000" w:themeColor="text1"/>
          <w:sz w:val="16"/>
          <w:szCs w:val="16"/>
        </w:rPr>
        <w:softHyphen/>
        <w:t>бы сохранить свою авиатехнику, при</w:t>
      </w:r>
      <w:r w:rsidRPr="00A3026E">
        <w:rPr>
          <w:rFonts w:ascii="Times New Roman" w:hAnsi="Times New Roman"/>
          <w:color w:val="000000" w:themeColor="text1"/>
          <w:sz w:val="16"/>
          <w:szCs w:val="16"/>
        </w:rPr>
        <w:softHyphen/>
        <w:t>казало прекратить все полеты, разоб</w:t>
      </w:r>
      <w:r w:rsidRPr="00A3026E">
        <w:rPr>
          <w:rFonts w:ascii="Times New Roman" w:hAnsi="Times New Roman"/>
          <w:color w:val="000000" w:themeColor="text1"/>
          <w:sz w:val="16"/>
          <w:szCs w:val="16"/>
        </w:rPr>
        <w:softHyphen/>
        <w:t>рать и укрыть боевые самолеты. В кри</w:t>
      </w:r>
      <w:r w:rsidRPr="00A3026E">
        <w:rPr>
          <w:rFonts w:ascii="Times New Roman" w:hAnsi="Times New Roman"/>
          <w:color w:val="000000" w:themeColor="text1"/>
          <w:sz w:val="16"/>
          <w:szCs w:val="16"/>
        </w:rPr>
        <w:softHyphen/>
        <w:t>тической ситуации правительство Го</w:t>
      </w:r>
      <w:r w:rsidRPr="00A3026E">
        <w:rPr>
          <w:rFonts w:ascii="Times New Roman" w:hAnsi="Times New Roman"/>
          <w:color w:val="000000" w:themeColor="text1"/>
          <w:sz w:val="16"/>
          <w:szCs w:val="16"/>
        </w:rPr>
        <w:softHyphen/>
        <w:t>миньдана вновь обратилось за помо</w:t>
      </w:r>
      <w:r w:rsidRPr="00A3026E">
        <w:rPr>
          <w:rFonts w:ascii="Times New Roman" w:hAnsi="Times New Roman"/>
          <w:color w:val="000000" w:themeColor="text1"/>
          <w:sz w:val="16"/>
          <w:szCs w:val="16"/>
        </w:rPr>
        <w:softHyphen/>
        <w:t>щью к СССР. После заверений Чан Кай</w:t>
      </w:r>
      <w:r w:rsidRPr="00A3026E">
        <w:rPr>
          <w:rFonts w:ascii="Times New Roman" w:hAnsi="Times New Roman"/>
          <w:color w:val="000000" w:themeColor="text1"/>
          <w:sz w:val="16"/>
          <w:szCs w:val="16"/>
        </w:rPr>
        <w:softHyphen/>
        <w:t>ши о поддержке единого националь ного фронта борьбы с японцами и ло</w:t>
      </w:r>
      <w:r w:rsidRPr="00A3026E">
        <w:rPr>
          <w:rFonts w:ascii="Times New Roman" w:hAnsi="Times New Roman"/>
          <w:color w:val="000000" w:themeColor="text1"/>
          <w:sz w:val="16"/>
          <w:szCs w:val="16"/>
        </w:rPr>
        <w:softHyphen/>
        <w:t>яльном отношении к КПК, поставки тех</w:t>
      </w:r>
      <w:r w:rsidRPr="00A3026E">
        <w:rPr>
          <w:rFonts w:ascii="Times New Roman" w:hAnsi="Times New Roman"/>
          <w:color w:val="000000" w:themeColor="text1"/>
          <w:sz w:val="16"/>
          <w:szCs w:val="16"/>
        </w:rPr>
        <w:softHyphen/>
        <w:t>ники возобновились (10743).</w:t>
      </w:r>
    </w:p>
    <w:p w14:paraId="7FB798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1635C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Япония захватила принадлежавший Франции северный Индокитай (3871).</w:t>
      </w:r>
    </w:p>
    <w:p w14:paraId="1BE210B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AA937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в развитие общего соглашения с Петеном японская сторона выговорила себе право разместить в Северном Индокитае для защиты своих баз сухопутные войска. Фактически этот район был поставлен под японский контроль (3871).</w:t>
      </w:r>
    </w:p>
    <w:p w14:paraId="58C1C66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E4D5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Стибиц на матконференции в Ганновере, Нью Гемпшир, продемонстрировал удаленное управление калькулятором комплексных чисел с помощью телетайпа (3463).</w:t>
      </w:r>
    </w:p>
    <w:p w14:paraId="11D8B9A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2580A9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69B66E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2C66A4D" w14:textId="77777777" w:rsidR="00E90813" w:rsidRPr="00A3026E" w:rsidRDefault="00E9081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 октябре (ноябре) 1940 г. провели полигонные испытания пушки МП-6 на закупленном в Германии самолёте Ме-110. В акте испытаний отмечалось, что «пушку расстреляли до полной живучести» — из нее сделали 3710 выстрелов с горизонтального полёта, с пикирования и на вира</w:t>
      </w:r>
      <w:r w:rsidRPr="00A3026E">
        <w:rPr>
          <w:rFonts w:ascii="Times New Roman" w:hAnsi="Times New Roman"/>
          <w:color w:val="000000" w:themeColor="text1"/>
          <w:sz w:val="16"/>
          <w:szCs w:val="16"/>
        </w:rPr>
        <w:softHyphen/>
        <w:t>жах. При этом зафиксировали шесть случаев задержек в работе автоматики и несколь</w:t>
      </w:r>
      <w:r w:rsidRPr="00A3026E">
        <w:rPr>
          <w:rFonts w:ascii="Times New Roman" w:hAnsi="Times New Roman"/>
          <w:color w:val="000000" w:themeColor="text1"/>
          <w:sz w:val="16"/>
          <w:szCs w:val="16"/>
        </w:rPr>
        <w:softHyphen/>
        <w:t>ко мелких поломок. Ударник затвора выдержал 870-2159 выстрелов, а затвор пришлось заменить после 3658 выстрелов. В выводах Акта, подписанного заместителем началь</w:t>
      </w:r>
      <w:r w:rsidRPr="00A3026E">
        <w:rPr>
          <w:rFonts w:ascii="Times New Roman" w:hAnsi="Times New Roman"/>
          <w:color w:val="000000" w:themeColor="text1"/>
          <w:sz w:val="16"/>
          <w:szCs w:val="16"/>
        </w:rPr>
        <w:softHyphen/>
        <w:t>ника вооружения и снабжения ВВС КА дивинженером И.Ф. Сакриером, отмечалось: «1. Пушка МП-6 по основным показателям испытания выдержала. 2. Рекомендовать за</w:t>
      </w:r>
      <w:r w:rsidRPr="00A3026E">
        <w:rPr>
          <w:rFonts w:ascii="Times New Roman" w:hAnsi="Times New Roman"/>
          <w:color w:val="000000" w:themeColor="text1"/>
          <w:sz w:val="16"/>
          <w:szCs w:val="16"/>
        </w:rPr>
        <w:softHyphen/>
        <w:t>пуск МП-6 в валовое производство с устранением выявленных'недостатков...».</w:t>
      </w:r>
    </w:p>
    <w:p w14:paraId="20E8FE64" w14:textId="77777777" w:rsidR="00E90813" w:rsidRPr="00A3026E" w:rsidRDefault="00E9081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Вслед за МП-6 на том же самолёте прошла испытания пушка ВЯ. При одинаковой ско</w:t>
      </w:r>
      <w:r w:rsidRPr="00A3026E">
        <w:rPr>
          <w:rFonts w:ascii="Times New Roman" w:hAnsi="Times New Roman"/>
          <w:color w:val="000000" w:themeColor="text1"/>
          <w:sz w:val="16"/>
          <w:szCs w:val="16"/>
        </w:rPr>
        <w:softHyphen/>
        <w:t>рострельности и том же патроне пушка Волкова и Ярцева оказалась на 20 кг, а её уста</w:t>
      </w:r>
      <w:r w:rsidRPr="00A3026E">
        <w:rPr>
          <w:rFonts w:ascii="Times New Roman" w:hAnsi="Times New Roman"/>
          <w:color w:val="000000" w:themeColor="text1"/>
          <w:sz w:val="16"/>
          <w:szCs w:val="16"/>
        </w:rPr>
        <w:softHyphen/>
        <w:t>новка с боекомплектом из 81 снаряда — почти на 50 кг тяжелее установки МП-6 с ана</w:t>
      </w:r>
      <w:r w:rsidRPr="00A3026E">
        <w:rPr>
          <w:rFonts w:ascii="Times New Roman" w:hAnsi="Times New Roman"/>
          <w:color w:val="000000" w:themeColor="text1"/>
          <w:sz w:val="16"/>
          <w:szCs w:val="16"/>
        </w:rPr>
        <w:softHyphen/>
        <w:t>логичным запасом снарядов. Отмечалось, что расчётное усилие отдачи у ВЯ (2900 кг) больше, чем у МП-6, что для крепления ВЯ на самолёте необходим амортизатор, что пушка откатывается вся, и поэтому нужен гибкий гильзоотвод и гибкая патронная лента. Достоинством ВЯ оказался лишь более низкий процент отказов (15787).</w:t>
      </w:r>
    </w:p>
    <w:p w14:paraId="257403D1" w14:textId="77777777" w:rsidR="00E90813" w:rsidRPr="00A3026E" w:rsidRDefault="00E90813" w:rsidP="00A3026E">
      <w:pPr>
        <w:spacing w:after="0" w:line="240" w:lineRule="auto"/>
        <w:jc w:val="both"/>
        <w:rPr>
          <w:rFonts w:ascii="Times New Roman" w:hAnsi="Times New Roman"/>
          <w:color w:val="000000" w:themeColor="text1"/>
          <w:sz w:val="16"/>
          <w:szCs w:val="16"/>
        </w:rPr>
      </w:pPr>
    </w:p>
    <w:p w14:paraId="6EC33952" w14:textId="77777777" w:rsidR="00C66762" w:rsidRPr="00A3026E" w:rsidRDefault="00C66762" w:rsidP="00A3026E">
      <w:pPr>
        <w:pStyle w:val="a3"/>
        <w:tabs>
          <w:tab w:val="left" w:pos="11199"/>
        </w:tabs>
        <w:rPr>
          <w:color w:val="000000" w:themeColor="text1"/>
          <w:lang w:val="ru-RU"/>
        </w:rPr>
      </w:pPr>
      <w:r w:rsidRPr="00A3026E">
        <w:rPr>
          <w:color w:val="000000" w:themeColor="text1"/>
          <w:lang w:val="ru-RU"/>
        </w:rPr>
        <w:t>В сентябре-октябре 1940 на И-207 № 8 М-63 было успешно проведено испытание на бомбометание с пикирования бомбами ФАБ-250. С подвешенными под ниж</w:t>
      </w:r>
      <w:r w:rsidRPr="00A3026E">
        <w:rPr>
          <w:color w:val="000000" w:themeColor="text1"/>
          <w:lang w:val="ru-RU"/>
        </w:rPr>
        <w:softHyphen/>
        <w:t>ним крылом двумя ФАБ-250 “восьмер</w:t>
      </w:r>
      <w:r w:rsidRPr="00A3026E">
        <w:rPr>
          <w:color w:val="000000" w:themeColor="text1"/>
          <w:lang w:val="ru-RU"/>
        </w:rPr>
        <w:softHyphen/>
        <w:t>ка” показала вполне приемлемый взлет (время взлета - 16 с), хорошую устой</w:t>
      </w:r>
      <w:r w:rsidRPr="00A3026E">
        <w:rPr>
          <w:color w:val="000000" w:themeColor="text1"/>
          <w:lang w:val="ru-RU"/>
        </w:rPr>
        <w:softHyphen/>
        <w:t>чивость и управляемость в полете. Пикировал самолет с бомбами под уг</w:t>
      </w:r>
      <w:r w:rsidRPr="00A3026E">
        <w:rPr>
          <w:color w:val="000000" w:themeColor="text1"/>
          <w:lang w:val="ru-RU"/>
        </w:rPr>
        <w:softHyphen/>
        <w:t>лами до 70° устойчиво. То есть было доказано, что на базе И-207 № 8 мож</w:t>
      </w:r>
      <w:r w:rsidRPr="00A3026E">
        <w:rPr>
          <w:color w:val="000000" w:themeColor="text1"/>
          <w:lang w:val="ru-RU"/>
        </w:rPr>
        <w:softHyphen/>
        <w:t>но создать достаточно эффективный самолет поля боя, который мог успеш</w:t>
      </w:r>
      <w:r w:rsidRPr="00A3026E">
        <w:rPr>
          <w:color w:val="000000" w:themeColor="text1"/>
          <w:lang w:val="ru-RU"/>
        </w:rPr>
        <w:softHyphen/>
        <w:t>но действовать по точечным сильноза</w:t>
      </w:r>
      <w:r w:rsidRPr="00A3026E">
        <w:rPr>
          <w:color w:val="000000" w:themeColor="text1"/>
          <w:lang w:val="ru-RU"/>
        </w:rPr>
        <w:softHyphen/>
        <w:t>щищенным целям (калибр авиабомб в 250 кг обеспечивал разрушение долго</w:t>
      </w:r>
      <w:r w:rsidRPr="00A3026E">
        <w:rPr>
          <w:color w:val="000000" w:themeColor="text1"/>
          <w:lang w:val="ru-RU"/>
        </w:rPr>
        <w:softHyphen/>
        <w:t>временных оборонительных сооруже</w:t>
      </w:r>
      <w:r w:rsidRPr="00A3026E">
        <w:rPr>
          <w:color w:val="000000" w:themeColor="text1"/>
          <w:lang w:val="ru-RU"/>
        </w:rPr>
        <w:softHyphen/>
        <w:t>ний с толщиной железобетонных пе</w:t>
      </w:r>
      <w:r w:rsidRPr="00A3026E">
        <w:rPr>
          <w:color w:val="000000" w:themeColor="text1"/>
          <w:lang w:val="ru-RU"/>
        </w:rPr>
        <w:softHyphen/>
        <w:t>рекрытий до 50 см при удалении точки взрыва в 1,5-2 м). На самолете с не</w:t>
      </w:r>
      <w:r w:rsidRPr="00A3026E">
        <w:rPr>
          <w:color w:val="000000" w:themeColor="text1"/>
          <w:lang w:val="ru-RU"/>
        </w:rPr>
        <w:softHyphen/>
        <w:t>убирающимися шасси была опробова</w:t>
      </w:r>
      <w:r w:rsidRPr="00A3026E">
        <w:rPr>
          <w:color w:val="000000" w:themeColor="text1"/>
          <w:lang w:val="ru-RU"/>
        </w:rPr>
        <w:softHyphen/>
        <w:t>на подвеска под фюзеляжем бомбы ка</w:t>
      </w:r>
      <w:r w:rsidRPr="00A3026E">
        <w:rPr>
          <w:color w:val="000000" w:themeColor="text1"/>
          <w:lang w:val="ru-RU"/>
        </w:rPr>
        <w:softHyphen/>
        <w:t>либра 500 кг, эффективность действия которой по ДОТам была еще выше. Учитывая боевой опыт финской кам</w:t>
      </w:r>
      <w:r w:rsidRPr="00A3026E">
        <w:rPr>
          <w:color w:val="000000" w:themeColor="text1"/>
          <w:lang w:val="ru-RU"/>
        </w:rPr>
        <w:softHyphen/>
        <w:t>пании, такой самолет был крайне не</w:t>
      </w:r>
      <w:r w:rsidRPr="00A3026E">
        <w:rPr>
          <w:color w:val="000000" w:themeColor="text1"/>
          <w:lang w:val="ru-RU"/>
        </w:rPr>
        <w:softHyphen/>
        <w:t>обходим ВВС Красной Армии. Началь</w:t>
      </w:r>
      <w:r w:rsidRPr="00A3026E">
        <w:rPr>
          <w:color w:val="000000" w:themeColor="text1"/>
          <w:lang w:val="ru-RU"/>
        </w:rPr>
        <w:softHyphen/>
        <w:t>ник ВВС Я.В.Смушкевич обратил вни</w:t>
      </w:r>
      <w:r w:rsidRPr="00A3026E">
        <w:rPr>
          <w:color w:val="000000" w:themeColor="text1"/>
          <w:lang w:val="ru-RU"/>
        </w:rPr>
        <w:softHyphen/>
        <w:t>мание на высокие возможности, зало</w:t>
      </w:r>
      <w:r w:rsidRPr="00A3026E">
        <w:rPr>
          <w:color w:val="000000" w:themeColor="text1"/>
          <w:lang w:val="ru-RU"/>
        </w:rPr>
        <w:softHyphen/>
        <w:t>женные в конструкции И-207, и пред</w:t>
      </w:r>
      <w:r w:rsidRPr="00A3026E">
        <w:rPr>
          <w:color w:val="000000" w:themeColor="text1"/>
          <w:lang w:val="ru-RU"/>
        </w:rPr>
        <w:softHyphen/>
        <w:t>ложил всемерно форсировать работы по истребителю и одновременно прорабо</w:t>
      </w:r>
      <w:r w:rsidRPr="00A3026E">
        <w:rPr>
          <w:color w:val="000000" w:themeColor="text1"/>
          <w:lang w:val="ru-RU"/>
        </w:rPr>
        <w:softHyphen/>
        <w:t>тать вопрос о создании штурмовых ва</w:t>
      </w:r>
      <w:r w:rsidRPr="00A3026E">
        <w:rPr>
          <w:color w:val="000000" w:themeColor="text1"/>
          <w:lang w:val="ru-RU"/>
        </w:rPr>
        <w:softHyphen/>
        <w:t>риантов И-207 для использования его в качестве самолета поля боя. При этом он учитывал запасы прочности, зало</w:t>
      </w:r>
      <w:r w:rsidRPr="00A3026E">
        <w:rPr>
          <w:color w:val="000000" w:themeColor="text1"/>
          <w:lang w:val="ru-RU"/>
        </w:rPr>
        <w:softHyphen/>
        <w:t>женные в конструкции самолета, для обеспечения необходимой живучести штурмовика, кроме того, учитывался и определенный запас по летным ха</w:t>
      </w:r>
      <w:r w:rsidRPr="00A3026E">
        <w:rPr>
          <w:color w:val="000000" w:themeColor="text1"/>
          <w:lang w:val="ru-RU"/>
        </w:rPr>
        <w:softHyphen/>
        <w:t>рактеристикам. В варианте истребителя за летчиком располагалась цементированная бронеплита толщиной 8,5 мм</w:t>
      </w:r>
      <w:r w:rsidRPr="00A3026E">
        <w:rPr>
          <w:bCs/>
          <w:color w:val="000000" w:themeColor="text1"/>
          <w:lang w:val="ru-RU"/>
        </w:rPr>
        <w:t>,</w:t>
      </w:r>
      <w:r w:rsidRPr="00A3026E">
        <w:rPr>
          <w:color w:val="000000" w:themeColor="text1"/>
          <w:lang w:val="ru-RU"/>
        </w:rPr>
        <w:t xml:space="preserve"> обеспечи</w:t>
      </w:r>
      <w:r w:rsidRPr="00A3026E">
        <w:rPr>
          <w:color w:val="000000" w:themeColor="text1"/>
          <w:lang w:val="ru-RU"/>
        </w:rPr>
        <w:softHyphen/>
        <w:t>вающая эффективную защиту летчи</w:t>
      </w:r>
      <w:r w:rsidRPr="00A3026E">
        <w:rPr>
          <w:color w:val="000000" w:themeColor="text1"/>
          <w:lang w:val="ru-RU"/>
        </w:rPr>
        <w:softHyphen/>
        <w:t>ка от пуль нормального калибра сза</w:t>
      </w:r>
      <w:r w:rsidRPr="00A3026E">
        <w:rPr>
          <w:color w:val="000000" w:themeColor="text1"/>
          <w:lang w:val="ru-RU"/>
        </w:rPr>
        <w:softHyphen/>
        <w:t>ди-снизу. В штурмовом варианте пред</w:t>
      </w:r>
      <w:r w:rsidRPr="00A3026E">
        <w:rPr>
          <w:color w:val="000000" w:themeColor="text1"/>
          <w:lang w:val="ru-RU"/>
        </w:rPr>
        <w:softHyphen/>
        <w:t>полагалось использование дополни</w:t>
      </w:r>
      <w:r w:rsidRPr="00A3026E">
        <w:rPr>
          <w:color w:val="000000" w:themeColor="text1"/>
          <w:lang w:val="ru-RU"/>
        </w:rPr>
        <w:softHyphen/>
        <w:t xml:space="preserve">тельного </w:t>
      </w:r>
      <w:r w:rsidRPr="00A3026E">
        <w:rPr>
          <w:color w:val="000000" w:themeColor="text1"/>
          <w:lang w:val="ru-RU"/>
        </w:rPr>
        <w:lastRenderedPageBreak/>
        <w:t>бронирования и 2-х крыльевых пушек калибра 20-23 мм для борь</w:t>
      </w:r>
      <w:r w:rsidRPr="00A3026E">
        <w:rPr>
          <w:color w:val="000000" w:themeColor="text1"/>
          <w:lang w:val="ru-RU"/>
        </w:rPr>
        <w:softHyphen/>
        <w:t>бы с бронетанковой техникой. Компоновка самолета была такова, что при обстреле с земли спереди сни</w:t>
      </w:r>
      <w:r w:rsidRPr="00A3026E">
        <w:rPr>
          <w:color w:val="000000" w:themeColor="text1"/>
          <w:lang w:val="ru-RU"/>
        </w:rPr>
        <w:softHyphen/>
        <w:t>зу стрелковым оружием нормального калибра защита летчика достаточно эффективно могла обеспечиваться фюзеляжным протектированным бен</w:t>
      </w:r>
      <w:r w:rsidRPr="00A3026E">
        <w:rPr>
          <w:color w:val="000000" w:themeColor="text1"/>
          <w:lang w:val="ru-RU"/>
        </w:rPr>
        <w:softHyphen/>
        <w:t>зобаком, мотором воздушного охлаждения, элементами конструкции само</w:t>
      </w:r>
      <w:r w:rsidRPr="00A3026E">
        <w:rPr>
          <w:color w:val="000000" w:themeColor="text1"/>
          <w:lang w:val="ru-RU"/>
        </w:rPr>
        <w:softHyphen/>
        <w:t>лета. Из соображений допустимого сни</w:t>
      </w:r>
      <w:r w:rsidRPr="00A3026E">
        <w:rPr>
          <w:color w:val="000000" w:themeColor="text1"/>
          <w:lang w:val="ru-RU"/>
        </w:rPr>
        <w:softHyphen/>
        <w:t>жения маневренных характеристик в штурмовом варианте можно было вы</w:t>
      </w:r>
      <w:r w:rsidRPr="00A3026E">
        <w:rPr>
          <w:color w:val="000000" w:themeColor="text1"/>
          <w:lang w:val="ru-RU"/>
        </w:rPr>
        <w:softHyphen/>
        <w:t>делить 350-400 кг на дополнительное бронирование и постановку пушек, что было вполне достаточным По существу, было вполне реальным создание на базе И-207 достаточно эффективного самолета поля боя, ко</w:t>
      </w:r>
      <w:r w:rsidRPr="00A3026E">
        <w:rPr>
          <w:color w:val="000000" w:themeColor="text1"/>
          <w:lang w:val="ru-RU"/>
        </w:rPr>
        <w:softHyphen/>
        <w:t>торый мог успешно действовать как по протяженным, так и по точечным силь</w:t>
      </w:r>
      <w:r w:rsidRPr="00A3026E">
        <w:rPr>
          <w:color w:val="000000" w:themeColor="text1"/>
          <w:lang w:val="ru-RU"/>
        </w:rPr>
        <w:softHyphen/>
        <w:t>нозащищенным целям. Против инициативы Смушкевича выступил “выдающийся теоретик и практик авиации” Начальник ГУ АС КА комдив П.А.Алексеев. Без всякого ана</w:t>
      </w:r>
      <w:r w:rsidRPr="00A3026E">
        <w:rPr>
          <w:color w:val="000000" w:themeColor="text1"/>
          <w:lang w:val="ru-RU"/>
        </w:rPr>
        <w:softHyphen/>
        <w:t xml:space="preserve">лиза он настаивал на том, что “ </w:t>
      </w:r>
      <w:r w:rsidRPr="00A3026E">
        <w:rPr>
          <w:iCs/>
          <w:color w:val="000000" w:themeColor="text1"/>
          <w:lang w:val="ru-RU"/>
        </w:rPr>
        <w:t xml:space="preserve">все будет значительно хуже”. </w:t>
      </w:r>
      <w:r w:rsidRPr="00A3026E">
        <w:rPr>
          <w:color w:val="000000" w:themeColor="text1"/>
          <w:lang w:val="ru-RU"/>
        </w:rPr>
        <w:t>Был построен экземпляр самолета И-207 с мотором М-64, но развития работы по нему не получили (6269).</w:t>
      </w:r>
    </w:p>
    <w:p w14:paraId="527AFB2B" w14:textId="77777777" w:rsidR="00C66762" w:rsidRPr="00A3026E" w:rsidRDefault="00C66762" w:rsidP="00A3026E">
      <w:pPr>
        <w:pStyle w:val="a3"/>
        <w:tabs>
          <w:tab w:val="left" w:pos="11199"/>
        </w:tabs>
        <w:rPr>
          <w:color w:val="000000" w:themeColor="text1"/>
          <w:lang w:val="ru-RU"/>
        </w:rPr>
      </w:pPr>
    </w:p>
    <w:p w14:paraId="53028E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сентябре-октябре 1940 г. проходили испытания И-207/3, доработанного в пикирующий бомбардировщик по результатам Финской войны. В короткий срок И-207/3 оборудовали бомбодержателями для подвески двух ФАБ-250 под нижним крылом. Испытания велись Отмечался вполне приемлемый взлет с двумя бомбами, время взлета составило 16 с. В полете самолет имел хорошую устойчивость и управляемость как с бомбами, так и без них. Пикировал устойчиво, техническая эксплуатация признавалась несложной. Новый пикировщик был продемонстрирован маршалу Ворошилову, который был в восторге, и обещал добиться решения о выпуске 200 И-207. Строить, однако, не стали - признавалась малая дальность самолета как бомбардировщика. А жаль, в первый период Великой Отечественной войны удаленность целей на 100-200 км являлась вполне нормальной (3452).</w:t>
      </w:r>
    </w:p>
    <w:p w14:paraId="24232FE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4F0AC38" w14:textId="77777777" w:rsidR="003A67EC" w:rsidRPr="00A3026E" w:rsidRDefault="003A67EC" w:rsidP="00A3026E">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В течение сентября-октября 1940 г. опытный самолет И-207/3 М-63успешно отлетал программу полигонных испы</w:t>
      </w:r>
      <w:r w:rsidRPr="00A3026E">
        <w:rPr>
          <w:rFonts w:ascii="Times New Roman" w:hAnsi="Times New Roman" w:cs="Times New Roman"/>
          <w:color w:val="000000" w:themeColor="text1"/>
          <w:sz w:val="16"/>
          <w:szCs w:val="16"/>
        </w:rPr>
        <w:softHyphen/>
        <w:t>таний по бомбометанию с пикирования бомбами ФАБ-250. В серию самолет не запускался (19086).</w:t>
      </w:r>
    </w:p>
    <w:p w14:paraId="500BC63F" w14:textId="77777777" w:rsidR="003A67EC" w:rsidRPr="00A3026E" w:rsidRDefault="003A67EC" w:rsidP="00A3026E">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p>
    <w:p w14:paraId="6EC139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сентябре-октябре 1940 г. на «восьмерке» (И-207 М-63 с убирающимся шасси) было успешно проведено бомбометание с пикирования бомбами ФАБ-250.</w:t>
      </w:r>
    </w:p>
    <w:p w14:paraId="05D807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подвешенными под нижним крылом двумя ФАБ-250 И-207 М-63 показывал вполне приемлемый взлет (время взлета - 16 с), хорошую устойчивость и управляемость в полете. Пикировал самолет с бомбами под углами до 70° устойчиво.</w:t>
      </w:r>
    </w:p>
    <w:p w14:paraId="4B9807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Было доказано, что на базе И-207 М-бЗ можно создать достаточно эффективный самолет поля боя, который мог успешно действовать по точечным сильнозащищенным целям (калибр авиабомб в 250 кг обеспечивал разрушение долговременных оборонительных сооружений с толщиной железобетонных перекрытий до 50 см при удалении точки взрыва в 1,5-2 м).</w:t>
      </w:r>
    </w:p>
    <w:p w14:paraId="225D6A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Требовалось только усилить вооружение (при сохранении общей массы боевой нагрузки) за счет установки вместо ШКАСов, например, «пары» крупнокалиберных пулеметов БС, и реактивных снарядов.</w:t>
      </w:r>
    </w:p>
    <w:p w14:paraId="74C0BE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боевой опыт финской кампании, такой самолет был крайне необходим ВВС Красной армии (9649).</w:t>
      </w:r>
    </w:p>
    <w:p w14:paraId="214EE01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9F863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сентября 1940 по май 1942 серийно выпускался Як-1 с М-105П и М-105ПА и всего было построено 2947 самолетов (65,50).</w:t>
      </w:r>
    </w:p>
    <w:p w14:paraId="79128F3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80E3E79"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В сентябре-октябре 1940 проводились испытания экспериментального СБ с носовым колесом.</w:t>
      </w:r>
    </w:p>
    <w:p w14:paraId="357F9906"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Для определения различных параметров шасси с носовым колесом в ЦАГИ в 1939 г. выделили самолет СБ с двигателями М-103 (заводской № 5/0, выпуск 1939 г.). Самолет соответствующим образом переделали в мастерских 8-й лаборатории ЦАГИ. Вместо стандартной кабины штурмана машину оборудовали удлиненной и усиленной носовой частью Ф-1 с креплением для носовой стойки шасси. Переднее колесо поначалу ставилось размером 470x210 мм, затем 600x250 мм. Вынос переднего колеса от центра тяжести составил 4,65 м. Основные стойки переместили назад за центр тяжести на 520 мм, колеса остались прежние — 900x300 мм. Стояночный угол СБ с новым шасси составил 2°.</w:t>
      </w:r>
    </w:p>
    <w:p w14:paraId="7B1E58B0"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Еще одним заметным нововведением стала мощная стальная ферма, расположенная под фюзеляжем. Ферма предназначалась для усиления цетроплана, так как по условиям испытаний предполагались посадки с трехкратной перегрузкой и вертикальной скоростью до 4,8 м/сек. Работа, получившая название "Исследование 3-х колесного шасси в натуру на двухмоторном самолете" велась в 1940 г. под руководством инженера И.П. Толстых, цикл летных испытаний провел летчик М.Л. Галлай. За необычность внешнего вида СБ с носовым колесом получил аэродромное прозвище "Птеродактиль". Самолет испытывался с полетным весом 6000 кг, нагрузка на крыло составила 106 кг/м2, полетные скорости не более 220 - 230 км/ч. Посадочная скорость со щитками 140 - 150 км/ч, без щитков 190 км/ч.</w:t>
      </w:r>
    </w:p>
    <w:p w14:paraId="563D4C26"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Испытания велись в сентябре 1940</w:t>
      </w:r>
    </w:p>
    <w:p w14:paraId="089F4385"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В процессе испытаний признавалось, что СБ с новым шасси устойчив на земле, обладает упрощенной техникой пилотирования при посадке и взлете. Марк Галлай в воспоминаниях так описывал эти полеты: "По ходу испытаний приходилось выполнять немало заданий сугубо экзотических — от посадок без выравнивания — своеобразного утыкания в землю с полной вертикальной скоростью снижения, до перескакиваний на разбеге и пробеге через бревно, положенное на полосе, с целью спровоцировать — а затем, конечно, детально исследовать — вибрации типа "шимми", которым в некоторых случаях подвержено носовое колесо трехколесного шасси".</w:t>
      </w:r>
    </w:p>
    <w:p w14:paraId="60EE0681"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В одном из полетов самолет столкнулся с грачем. Птица врезалась в лобовой козырек фонаря пилота, пробила его и там застряла. При этом Марк Галлай получил удар в голову и на короткое время потерял сознание. Тем не менее, полет закончился благополучно.</w:t>
      </w:r>
    </w:p>
    <w:p w14:paraId="267C5DC1"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В феврале 1941 г. был подготовлен отчет по результатам испытаний экспериментального СБ. К этому моменту уже строилось несколько опытных самолетов с трехколесным шасси, поэтому считалось, что работу провели как нельзя кстати (12747).</w:t>
      </w:r>
    </w:p>
    <w:p w14:paraId="0C257541" w14:textId="77777777" w:rsidR="00C66762" w:rsidRPr="00A3026E" w:rsidRDefault="00C66762" w:rsidP="00A3026E">
      <w:pPr>
        <w:pStyle w:val="ae"/>
        <w:spacing w:before="0" w:after="0"/>
        <w:jc w:val="both"/>
        <w:rPr>
          <w:color w:val="000000" w:themeColor="text1"/>
          <w:sz w:val="16"/>
          <w:szCs w:val="16"/>
        </w:rPr>
      </w:pPr>
    </w:p>
    <w:p w14:paraId="141004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сентябре-октябре 1940 испытывали гидру САМ-11бис А.С.Москалева (4,115).</w:t>
      </w:r>
    </w:p>
    <w:p w14:paraId="45900DF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27430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 октябре 1940 г. мотор МВ-6 испыты</w:t>
      </w:r>
      <w:r w:rsidRPr="00A3026E">
        <w:rPr>
          <w:rFonts w:ascii="Times New Roman" w:hAnsi="Times New Roman"/>
          <w:color w:val="000000" w:themeColor="text1"/>
          <w:sz w:val="16"/>
          <w:szCs w:val="16"/>
        </w:rPr>
        <w:softHyphen/>
        <w:t>вался на самолете САМ-11 бис. Серийное производство моторов этого типа прекратили в конце 1939 г. За</w:t>
      </w:r>
      <w:r w:rsidRPr="00A3026E">
        <w:rPr>
          <w:rFonts w:ascii="Times New Roman" w:hAnsi="Times New Roman"/>
          <w:color w:val="000000" w:themeColor="text1"/>
          <w:sz w:val="16"/>
          <w:szCs w:val="16"/>
        </w:rPr>
        <w:softHyphen/>
        <w:t>тем небольшое количество моторов собирали из имевшегося задела. В 1940 г. выпустили 9 МВ-6, в 1941 г. — 8 двигателей. Всего сдано 100 экз.</w:t>
      </w:r>
    </w:p>
    <w:p w14:paraId="7E81A0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Характеристики:</w:t>
      </w:r>
    </w:p>
    <w:p w14:paraId="4DF0D7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6-цилиндровый, рядный перевернутый, четырехтактный, воздушного охлаждения, безредукторный, без наддува;</w:t>
      </w:r>
    </w:p>
    <w:p w14:paraId="2B9AC9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объем 9,5 л;</w:t>
      </w:r>
    </w:p>
    <w:p w14:paraId="6C2462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диаметр цилиндра/ход поршня 120/140 мм;</w:t>
      </w:r>
    </w:p>
    <w:p w14:paraId="4AEA11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степень сжатия 6,2;</w:t>
      </w:r>
    </w:p>
    <w:p w14:paraId="109F5B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мощность 250/270 л.с.;</w:t>
      </w:r>
    </w:p>
    <w:p w14:paraId="4C73FF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вес 235 кг (по другим данным, 250 кг). Известны модификации:</w:t>
      </w:r>
    </w:p>
    <w:p w14:paraId="190C51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МВ-6, первый серийный вариант, выпускался с начала 1939 г.</w:t>
      </w:r>
    </w:p>
    <w:p w14:paraId="08A2EC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МВ-6А с увеличенной площадью оребрения головок и пиростартером. Выпускался серийно со второй половины 1939 г.</w:t>
      </w:r>
    </w:p>
    <w:p w14:paraId="6D6000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МВ-6Б — вариант предыдущего типа для работы на низкокачествен</w:t>
      </w:r>
      <w:r w:rsidRPr="00A3026E">
        <w:rPr>
          <w:rFonts w:ascii="Times New Roman" w:hAnsi="Times New Roman"/>
          <w:color w:val="000000" w:themeColor="text1"/>
          <w:sz w:val="16"/>
          <w:szCs w:val="16"/>
        </w:rPr>
        <w:softHyphen/>
        <w:t>ном бензине. Изготовлены 2 экз. Заводские испытания проходили в сентябре 1939 г.</w:t>
      </w:r>
    </w:p>
    <w:p w14:paraId="170698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МВ-6Г под ВИШ с гидроуправлением. Изготовлены 2 экз., один из них разрушился при испытании винта.</w:t>
      </w:r>
    </w:p>
    <w:p w14:paraId="730DCF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МВ-6 с двухскоростным ПЦН, мощность 225/275 л.с., проект 1938-1939 гг. Опытный образец не строился.</w:t>
      </w:r>
    </w:p>
    <w:p w14:paraId="73E472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МВ-6 с двухскоростным ПЦН и турбонагнетателем, 230/300 л.с., про</w:t>
      </w:r>
      <w:r w:rsidRPr="00A3026E">
        <w:rPr>
          <w:rFonts w:ascii="Times New Roman" w:hAnsi="Times New Roman"/>
          <w:color w:val="000000" w:themeColor="text1"/>
          <w:sz w:val="16"/>
          <w:szCs w:val="16"/>
        </w:rPr>
        <w:softHyphen/>
        <w:t>ект 1938-1939 гг. Опытный образец не строился.</w:t>
      </w:r>
    </w:p>
    <w:p w14:paraId="1E12AF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МВ-6 и МВ-6А устанавливались на серийных самолетах УТ-3 (малая серия), опытных САМ-Юбис, Я-19, САМ-11 бис, Г-28 «Кречет», БИЧ-21 (СГ-1), УК-1Б (недостроен), ОКА-38 (советская копия немецкого самолета Физелер Р1 156 «Шторх»), вертолете «Омега» (2МГ).</w:t>
      </w:r>
    </w:p>
    <w:p w14:paraId="4DEA52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Их использование предусматривалось также в проектах самолетов МУ-5, САМ-12, Ш-7, самолета Беляева с «упругим крылом» и на со</w:t>
      </w:r>
      <w:r w:rsidRPr="00A3026E">
        <w:rPr>
          <w:rFonts w:ascii="Times New Roman" w:hAnsi="Times New Roman"/>
          <w:color w:val="000000" w:themeColor="text1"/>
          <w:sz w:val="16"/>
          <w:szCs w:val="16"/>
        </w:rPr>
        <w:softHyphen/>
        <w:t>ветской копии самолета Кодрон С.690, создававшейся в конструкторском бюро Дубровина (11852).</w:t>
      </w:r>
    </w:p>
    <w:p w14:paraId="317712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00DDA1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E75A96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2EFF1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сентябре-октябре 1940 г. танк Т-34 прохо</w:t>
      </w:r>
      <w:r w:rsidRPr="00A3026E">
        <w:rPr>
          <w:rFonts w:ascii="Times New Roman" w:hAnsi="Times New Roman"/>
          <w:color w:val="000000" w:themeColor="text1"/>
          <w:sz w:val="16"/>
          <w:szCs w:val="16"/>
        </w:rPr>
        <w:softHyphen/>
        <w:t>дил испытания «на препятствиях» в 14-й т.д. Причем по рас</w:t>
      </w:r>
      <w:r w:rsidRPr="00A3026E">
        <w:rPr>
          <w:rFonts w:ascii="Times New Roman" w:hAnsi="Times New Roman"/>
          <w:color w:val="000000" w:themeColor="text1"/>
          <w:sz w:val="16"/>
          <w:szCs w:val="16"/>
        </w:rPr>
        <w:softHyphen/>
        <w:t>поряжению начальника АБТУ все препятствия были «при</w:t>
      </w:r>
      <w:r w:rsidRPr="00A3026E">
        <w:rPr>
          <w:rFonts w:ascii="Times New Roman" w:hAnsi="Times New Roman"/>
          <w:color w:val="000000" w:themeColor="text1"/>
          <w:sz w:val="16"/>
          <w:szCs w:val="16"/>
        </w:rPr>
        <w:softHyphen/>
        <w:t>менены к местности» и сооружены «согласно действующим уставам и наставлениям», то есть с соблюдением необходи</w:t>
      </w:r>
      <w:r w:rsidRPr="00A3026E">
        <w:rPr>
          <w:rFonts w:ascii="Times New Roman" w:hAnsi="Times New Roman"/>
          <w:color w:val="000000" w:themeColor="text1"/>
          <w:sz w:val="16"/>
          <w:szCs w:val="16"/>
        </w:rPr>
        <w:softHyphen/>
        <w:t>мых мер маскировки, и усилены штатными средствами — противотанковыми орудиями, пулеметными гнездами и минными полями. Танк должен был преодолеть маршрут по проложенной на полигоне трассе длиной около двух км, причем в задание членам экипажа входило обнаруживать и условно уничтожать ведением холостой стрельбы обнару</w:t>
      </w:r>
      <w:r w:rsidRPr="00A3026E">
        <w:rPr>
          <w:rFonts w:ascii="Times New Roman" w:hAnsi="Times New Roman"/>
          <w:color w:val="000000" w:themeColor="text1"/>
          <w:sz w:val="16"/>
          <w:szCs w:val="16"/>
        </w:rPr>
        <w:softHyphen/>
        <w:t>женные «вражеские» пулеметы и орудия, которые также должны были производить холостую стрельбу по танку. Все предложенные препятствия (овраг, частокол дере</w:t>
      </w:r>
      <w:r w:rsidRPr="00A3026E">
        <w:rPr>
          <w:rFonts w:ascii="Times New Roman" w:hAnsi="Times New Roman"/>
          <w:color w:val="000000" w:themeColor="text1"/>
          <w:sz w:val="16"/>
          <w:szCs w:val="16"/>
        </w:rPr>
        <w:softHyphen/>
        <w:t>вянных надолбов, обвитый колючей проволокой, болотис</w:t>
      </w:r>
      <w:r w:rsidRPr="00A3026E">
        <w:rPr>
          <w:rFonts w:ascii="Times New Roman" w:hAnsi="Times New Roman"/>
          <w:color w:val="000000" w:themeColor="text1"/>
          <w:sz w:val="16"/>
          <w:szCs w:val="16"/>
        </w:rPr>
        <w:softHyphen/>
        <w:t>тая теснина, контрэскарп, откос) танком были преодолены с оценкой «хорошо». Механик-водитель вел танк при откры</w:t>
      </w:r>
      <w:r w:rsidRPr="00A3026E">
        <w:rPr>
          <w:rFonts w:ascii="Times New Roman" w:hAnsi="Times New Roman"/>
          <w:color w:val="000000" w:themeColor="text1"/>
          <w:sz w:val="16"/>
          <w:szCs w:val="16"/>
        </w:rPr>
        <w:softHyphen/>
        <w:t>той крышке люка и все решения принимал сам. Прочие же члены экипажа не могли сообщить о ходе испытаний практически ничего внятного, так как никто не видел ни пози</w:t>
      </w:r>
      <w:r w:rsidRPr="00A3026E">
        <w:rPr>
          <w:rFonts w:ascii="Times New Roman" w:hAnsi="Times New Roman"/>
          <w:color w:val="000000" w:themeColor="text1"/>
          <w:sz w:val="16"/>
          <w:szCs w:val="16"/>
        </w:rPr>
        <w:softHyphen/>
        <w:t xml:space="preserve">ций замаскированной 45-мм ПТА, ни окопов «вражеской пехоты», укрытых немного сбоку от маршрута. Лишь две условно уничтоженные пулеметные огневые </w:t>
      </w:r>
      <w:r w:rsidRPr="00A3026E">
        <w:rPr>
          <w:rFonts w:ascii="Times New Roman" w:hAnsi="Times New Roman"/>
          <w:color w:val="000000" w:themeColor="text1"/>
          <w:sz w:val="16"/>
          <w:szCs w:val="16"/>
        </w:rPr>
        <w:lastRenderedPageBreak/>
        <w:t>точки могли как-то подсластить горькую пилюлю. В заключении по результатам испытания вновь конста</w:t>
      </w:r>
      <w:r w:rsidRPr="00A3026E">
        <w:rPr>
          <w:rFonts w:ascii="Times New Roman" w:hAnsi="Times New Roman"/>
          <w:color w:val="000000" w:themeColor="text1"/>
          <w:sz w:val="16"/>
          <w:szCs w:val="16"/>
        </w:rPr>
        <w:softHyphen/>
        <w:t>тировались недостатки обзорности из танка и прочие недо</w:t>
      </w:r>
      <w:r w:rsidRPr="00A3026E">
        <w:rPr>
          <w:rFonts w:ascii="Times New Roman" w:hAnsi="Times New Roman"/>
          <w:color w:val="000000" w:themeColor="text1"/>
          <w:sz w:val="16"/>
          <w:szCs w:val="16"/>
        </w:rPr>
        <w:softHyphen/>
        <w:t>четы конструкции Т-34 (10784).</w:t>
      </w:r>
    </w:p>
    <w:p w14:paraId="3A0E31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D929C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сентябре—декабре 1940 г. Наркоматом ВМФ рассматривались три варианта эскизного проек</w:t>
      </w:r>
      <w:r w:rsidRPr="00A3026E">
        <w:rPr>
          <w:rFonts w:ascii="Times New Roman" w:hAnsi="Times New Roman"/>
          <w:color w:val="000000" w:themeColor="text1"/>
          <w:sz w:val="16"/>
          <w:szCs w:val="16"/>
        </w:rPr>
        <w:softHyphen/>
        <w:t>та мореходного бронекатера с различными комбинациями главных двигателей. В январе 1941 г. был утвержден вариант с дизелями М-50, который при во</w:t>
      </w:r>
      <w:r w:rsidRPr="00A3026E">
        <w:rPr>
          <w:rFonts w:ascii="Times New Roman" w:hAnsi="Times New Roman"/>
          <w:color w:val="000000" w:themeColor="text1"/>
          <w:sz w:val="16"/>
          <w:szCs w:val="16"/>
        </w:rPr>
        <w:softHyphen/>
        <w:t>доизмещении 166 т предусматривал скорость 18 уз и, в основном, удовлетворял требованиям ВМФ. Однако дальнейшая разработка и реализация проекта, из-за неясности с перспективами производст</w:t>
      </w:r>
      <w:r w:rsidRPr="00A3026E">
        <w:rPr>
          <w:rFonts w:ascii="Times New Roman" w:hAnsi="Times New Roman"/>
          <w:color w:val="000000" w:themeColor="text1"/>
          <w:sz w:val="16"/>
          <w:szCs w:val="16"/>
        </w:rPr>
        <w:softHyphen/>
        <w:t>ва двигателей, затормозились и не получили реального воплоще</w:t>
      </w:r>
      <w:r w:rsidRPr="00A3026E">
        <w:rPr>
          <w:rFonts w:ascii="Times New Roman" w:hAnsi="Times New Roman"/>
          <w:color w:val="000000" w:themeColor="text1"/>
          <w:sz w:val="16"/>
          <w:szCs w:val="16"/>
        </w:rPr>
        <w:softHyphen/>
        <w:t>ния до начала войны (3898).</w:t>
      </w:r>
    </w:p>
    <w:p w14:paraId="0C7B1DD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2D65B0D" w14:textId="4DBCE869" w:rsidR="00E63BD2" w:rsidRPr="00A3026E" w:rsidRDefault="00E63BD2"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За рубежом:</w:t>
      </w:r>
    </w:p>
    <w:p w14:paraId="30CE65ED" w14:textId="77777777" w:rsidR="00E63BD2" w:rsidRPr="00A3026E" w:rsidRDefault="00E63BD2" w:rsidP="00A3026E">
      <w:pPr>
        <w:spacing w:after="0" w:line="240" w:lineRule="auto"/>
        <w:jc w:val="both"/>
        <w:rPr>
          <w:rFonts w:ascii="Times New Roman" w:hAnsi="Times New Roman"/>
          <w:i/>
          <w:iCs/>
          <w:color w:val="000000" w:themeColor="text1"/>
          <w:sz w:val="16"/>
          <w:szCs w:val="16"/>
        </w:rPr>
      </w:pPr>
    </w:p>
    <w:p w14:paraId="632CF117" w14:textId="77777777" w:rsidR="00E63BD2" w:rsidRPr="00A3026E" w:rsidRDefault="00E63BD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сентября 1940 по май 1941 года почти лишенные ПВО Большой Лондон и другие города Южной Англии подвергались непрерывным ночным бомбежкам, Ковентри был вообще разрушен полностью, но воздушное наступление все равно провалилось. Не смогли Люфтваффе и уничтожить английскую военную базу на Мальте, решив хотя бы такую локальную задачу. А в конце мая 1941 года «хейнкели» начали перебазирование на Восток (22822).</w:t>
      </w:r>
    </w:p>
    <w:p w14:paraId="4E29DD3D" w14:textId="77777777" w:rsidR="00E63BD2" w:rsidRPr="00A3026E" w:rsidRDefault="00E63BD2" w:rsidP="00A3026E">
      <w:pPr>
        <w:spacing w:after="0" w:line="240" w:lineRule="auto"/>
        <w:jc w:val="both"/>
        <w:rPr>
          <w:rFonts w:ascii="Times New Roman" w:hAnsi="Times New Roman"/>
          <w:color w:val="0070C0"/>
          <w:sz w:val="16"/>
          <w:szCs w:val="16"/>
        </w:rPr>
      </w:pPr>
    </w:p>
    <w:p w14:paraId="6A3366E9" w14:textId="646FD1BF"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50FFFB3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7566A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первые 9 месяцев 1940 коллегия НКАП обсуждала вопросы состояния опытно-конструкторских работ 16 раз, т.е. в 8 раз чаще, чем за весь 1939 г. (302; 618,26).</w:t>
      </w:r>
    </w:p>
    <w:p w14:paraId="193B60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Коллектив НКАП в полной мере осознал свою ответственность за выполнение поставленных партией задач. В подразделениях установился деловой, здоровый настрой. Поэтому не было нужды в дальнейшей перестановке кадров. Продолжали работать на своих прежних местах заместители наркома А.И.Кузнецов, руководивший кадровой работой, а впоследствии возглавивший главк бомбардировочной авиации, В.П.Кузнецов, курировавший опытное двигателестроение, М.В.Хруничев, ведавший вопросами материально-технического снабжения, и др. Не было также необходимости заменять начальников главных управлений (302).</w:t>
      </w:r>
    </w:p>
    <w:p w14:paraId="15FBA6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Они, как и главные инженеры главков и начальники функциональных управлений - Н.Я.Балакирев, Г.Д.Брусникин, Я.Т.Гавриленко, И.Д.Домов, В.М.Дубов, В.А.Зорин, И.В.Куликов, Д.Е. Кофман, М.А.Лесечко, А.И.Михайлов, В.П.Советов, М.Н.Степин, Н.И.Сысоев, Б.Н.Тарасевич, В.Я.Тихомиров, А.А.Шехтман, А.Д. Шиц и др. составили то ядро в управлении авиационной промышленностью, опираясь на которое руководство НКАП решало в годы войны самые серьезные вопросы. Однако в отличие от других главков был в значительной мере обновлен кадровый состав главного управления, отвечавшего за организацию и проведение опытных работ. Конструктор А.С.Яковлев впоследствии вспоминал: "Фактически главк опытного самолетостроения пришлось организовывать и укомплектовывать заново, в сравнительно короткий срок удалось привлечь очень сильных работников крупных технических специалистов в своей области, главным образом из числа видных инженеров Военно-Воздушных Сил. Начальниками отделов стали преимущественно генералы инженерно-технической службы" (302).</w:t>
      </w:r>
    </w:p>
    <w:p w14:paraId="7228B2A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E5B0EE8" w14:textId="77777777" w:rsidR="00066CED" w:rsidRPr="00A3026E" w:rsidRDefault="00066CED"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657AA88" w14:textId="77777777" w:rsidR="00066CED" w:rsidRPr="00A3026E" w:rsidRDefault="00066CED" w:rsidP="00A3026E">
      <w:pPr>
        <w:spacing w:after="0" w:line="240" w:lineRule="auto"/>
        <w:jc w:val="both"/>
        <w:rPr>
          <w:rFonts w:ascii="Times New Roman" w:hAnsi="Times New Roman"/>
          <w:iCs/>
          <w:color w:val="000000" w:themeColor="text1"/>
          <w:sz w:val="16"/>
          <w:szCs w:val="16"/>
        </w:rPr>
      </w:pPr>
    </w:p>
    <w:p w14:paraId="0C35EB7E"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самом начале осени 1940 г. на Ленинградском артиллерийском научно-исследовательском опытном полигоне (далее – АНИОП) РККА состоялись первые полигонные испытания серийного танка Т-34. Более чем за два месяца до начала этих испытаний, 29 июня 1940 г. начальник Артиллерийского управления (далее – АУ) РККА Г.К. Савченко обратился к начальнику ГАБТУ КА Я.Н. Федоренко с с письмом № 447456сс, в котором просил дать распоряжение об отправке на АНИОП одного полностью укомплектованного танка Т-34. Танк был необходим для проведения отстрела пушки Л-11 и спаренного с ней пулемета ДТ в целях определения величин углов вылета (для разработки чертежей нарезки дистанционных шкал прицелов ПТ-6 и ТОД-6), а также для определения прочности установки пушки в башне. Следует отметить, что данные испытания танка Т-34 были инициированы руководством АУ РККА в связи с тем, что все вопросы, связанные с разработкой, производством танкового вооружения и установкой его в боевые машины, со стороны НКО в то время непосредственно курировались Артиллерийским управлением РККА.</w:t>
      </w:r>
    </w:p>
    <w:p w14:paraId="0B97EA36"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июля 1940 г. руководитель военной приемки на заводе № 183 Д.М. Козырев получил от помощника начальника АБТУ РККА Б.М. Коробкова указание об отправке на АНИОП одного танка Т-34. И уже 13 июля 1940 г. один из первых пяти принятых заказчиком танков Т-34 установочной партии, имевший заводской номер 311-25-3, был отправлен железнодорожным транспортом с завода № 183 на станцию Ржевка в распоряжение начальника АНИОПа. На полигон танк прибыл 24 июля 1940 г.</w:t>
      </w:r>
    </w:p>
    <w:p w14:paraId="5E00DE40"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 время, когда танк Т-34 № 311-25-3 следовал на артиллерийский полигон, руководство ГАБТУ КА и ГАУ КА (приказом НКО № 0149 от 13 июля 1940 г. АУ РККА было реорганизовано в Главное артиллерийское управление Красной Армии – ГАУ КА) приняло решение при проведении испытаний не ограничиваться только определением величин углов вылета и проверкой надежности установки пушки Л-11 в башне. В середине июля 1940 г. специалистами ГАБТУ КА и ГАУ КА была совместно разработана расширенная программа полигонных испытаний танка Т-34 с пушкой Л-11, ставившая перед испытателями следующие цели:</w:t>
      </w:r>
    </w:p>
    <w:p w14:paraId="625B25C6"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Проверить прочность крепления артиллерийской системы в башне танка.</w:t>
      </w:r>
    </w:p>
    <w:p w14:paraId="5DC505AE"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Отстрел углов вылета.</w:t>
      </w:r>
    </w:p>
    <w:p w14:paraId="6A77BB80"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Установить надежность защиты артсистемы и смотровых приборов путем обстрела башни танка бронебойными пулями, бронебойными и осколочно-фугасными снарядами калибра 37, 45 и 76 мм.</w:t>
      </w:r>
    </w:p>
    <w:p w14:paraId="0E610ECC"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Проверить вентиляцию танка при стрельбе.</w:t>
      </w:r>
    </w:p>
    <w:p w14:paraId="3C814DCD"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Установить удобство обслуживания и эксплоатации артсистемы в боевых условиях, а также монтажа и демонтажа в войсках.</w:t>
      </w:r>
    </w:p>
    <w:p w14:paraId="479272F6"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Определение мертвых пространств.</w:t>
      </w:r>
    </w:p>
    <w:p w14:paraId="585117C4"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Определение меткости стрельбы».</w:t>
      </w:r>
    </w:p>
    <w:p w14:paraId="3A099039"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1053. Л. 136 – 137]</w:t>
      </w:r>
    </w:p>
    <w:p w14:paraId="1BEEA244"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первой половине августа 1940 г. данная программа полигонных испытаний Т-34 была утверждена начальником ГАБТУ КА Я.Н. Федоренко и начальником ГАУ КА Г.К. Савченко и вместе с предписанием Артиллерийского комитета (далее – Артком) ГАУ КА № 453785с о проведении испытаний 14 августа 1940 г. отправлена начальнику АНИОПа для исполнения.</w:t>
      </w:r>
    </w:p>
    <w:p w14:paraId="2CD3D017"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Полигонные испытания танка Т-34 № 311-25-3 с пушкой Л-11 прошли на АНИОПе в период с 6 по 19 сентября 1940 г. под руководством временно исполняющего обязанности начальника полигона военинженера 1 ранга И.Н. Оглоблина. Здесь необходимо отметить, что из-за срочности вопроса, стрельба для определения углов вылета пушки Л-11 и спаренного с ней пулемета ДТ была проведена специалистами АНИОПа сразу же после прибытия танка Т-34 № 311-25-3 на полигон, в конце июля 1940 г. на основании предписания Арткома ГАУ КА. Величины углов вылета определялись для осколочно-фугасного дальнобойного стального снаряда ОФ-350, фугасной старой гранаты русского образца Ф-354 и бронебойно-трассирующего снаряда Бр-350А. Данные, полученные в результате отстрела, были незамедлительно отправлены в Артком ГАУ КА и использованы там при утверждении чертежей нарезки дистанционных шкал прицелов ПТ-6 и ТОД-6. Таким образом, один из пунктов программы полигонных испытаний вооружения танка – определение углов вылета, был выполнен до их официального начала.</w:t>
      </w:r>
    </w:p>
    <w:p w14:paraId="54E2BD79"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978. Л. 261 – 262]</w:t>
      </w:r>
    </w:p>
    <w:p w14:paraId="198BB0DD"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первый день испытаний, 6 сентября 1940 г., стрельба не проводилась, так как пушка Л-11 была демонтирована из башни танка Т-34 и разобрана. Для определения прочности установки (крепления) артиллерийской системы в башне танка установочные детали и места крепления пушки были тщательно осмотрены и обмерены, после чего специалисты полигона произвели разметку наиболее нагруженных и ответственных деталей. Затем пушка была собрана и вновь установлена в башню танка. В этот же день были определены максимальные углы возвышения и склонения пушки. При курсовом угле положения башни относительно корпуса танка равном 0° (пушка повернута вперед) максимальный угол возвышения оказался равным +24°53', а максимальный угол склонения –5°21'. При курсовом угле положения башни 90° (пушка повернута на борт) эти величины составили соответственно +24°55' и –5°23', а при курсовом угле положения башни 180° (пушка повернута на корму) – +25°32' и –1°25'.</w:t>
      </w:r>
    </w:p>
    <w:p w14:paraId="1F0CC2F6"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следующий день, 7 сентября 1940 г. на полигоне состоялась первая стрельба по определению кучности боя (точности) пушки Л-11 с места по щиту, расположенному на удалении 1000 м от танка. Стрельба велась артиллерийскими выстрелами с полным (нормальным) пороховым зарядом и осколочно-фугасным снарядом в серном снаряжении (вместо разрывного заряда в снаряд залита сера) с охолощенным взрывателем КТМ-1. Всего по щиту было сделано 50 выстрелов – двумя группами по 25 выстрелов каждая. Повторные испытания по определению кучности боя пушки Л-11 были проведены 10 сентября 1940 г. в тех же условиях и тем же количеством выстрелов.</w:t>
      </w:r>
    </w:p>
    <w:p w14:paraId="47A02571"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[РГВА. Ф. 31811. Оп. 2. Д. 978. Л. 263]</w:t>
      </w:r>
    </w:p>
    <w:p w14:paraId="65C9443A"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в ходе испытаний на кучность боя вероятные отклонения по вертикали (Вв) были получены в пределах от 0,30 до 0,46 м, а вероятные отклонения по боковому направлению (Вб) в пределах от 0,25 до 0,42 м, что являлось хорошим результатом. В итоге кучность боя пушки Л-11, установленной в башне танка Т-34, с места по щиту с дистанции 1000 м была признана специалистами АНИОПа удовлетворительной.</w:t>
      </w:r>
    </w:p>
    <w:p w14:paraId="754B5FA6"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Испытания по определению прочности крепления пушки Л-11 в башне танка Т-34 были проведены 7 и 9 сентября 1940 г., с перерывом из-за выходного дня. Стрельба велась артиллерийскими выстрелами с усиленным пороховым зарядом (масса заряда 1,15 кг, начальная скорость осколочно-фугасного снаряда 660 м/с) на различных </w:t>
      </w:r>
      <w:r w:rsidRPr="00A3026E">
        <w:rPr>
          <w:rFonts w:ascii="Times New Roman" w:hAnsi="Times New Roman"/>
          <w:color w:val="000000" w:themeColor="text1"/>
          <w:sz w:val="16"/>
          <w:szCs w:val="16"/>
        </w:rPr>
        <w:lastRenderedPageBreak/>
        <w:t>курсовых углах положения башни и при различных углах возвышения и склонения пушки. Особое внимание во время испытаний уделялось надежности работы противооткатных устройств пушки Л-11, в ходе стрельбы постоянно замерялись длины отката. Всего за два дня из пушки было произведено 225 выстрелов с усиленным зарядом:</w:t>
      </w:r>
    </w:p>
    <w:p w14:paraId="67A169CD"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978. Л. 264 – 265]</w:t>
      </w:r>
    </w:p>
    <w:p w14:paraId="3664B91C"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видно из данных, приведенных в таблице, противооткатные устройства пушки Л-11 при стрельбе при углах возвышения от 0° до +25° работали нормально, длина отката находилась в допустимых пределах. При стрельбе под углом склонения –5° с усиленным пороховым зарядом, несмотря на нормальные показатели давления воздуха и количество гидравлической жидкости (4,75 л) в противооткатных устройствах, длина отката превышала предельно допустимое значение. Когда длина отката доходила до 505 мм стрельба под углом склонения, во избежании аварии временно прекращалась. Кроме этого при испытании на прочность крепления пушки Л-11 в башне танка после 212 выстрела, из-за образовавшихся наминов на опорной плоскости стопора затвора, вышел из строя ножной спусковой механизм пушки Л-11. Затвор и полуавтоматика пушки Л-11 за все время испытаний работали надежно.</w:t>
      </w:r>
    </w:p>
    <w:p w14:paraId="511E46A1"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завершении первого этапа полигонных испытаний, после проведения всех стрельб, 11 сентября 1940 г., пушка Л-11 была снова демонтирована из башни танка Т-34 и разобрана для осмотра, проведения обмеров и проверки разметки установочных деталей и мест крепления пушки в башне. Проверка показала, что за время испытаний никаких повреждений и изменений размеров установочных деталей пушки в башне танка не произошло, за исключением незначительного увеличения диаметров (правой на 0,02 мм и левой на 0,04 мм) бронзовых втулок в отверстиях для цапф. Прочность крепления пушки Л-11 в башне танка Т-34 была признана специалистами полигона достаточной.</w:t>
      </w:r>
    </w:p>
    <w:p w14:paraId="11887811"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не простреливаемых и не просматриваемых («мертвых») пространств, при нахождении танка на горизонтальной площадке, 9 сентября 1940 г. было произведено три выстрела при наибольшем угле склонения пушки в трех положениях башни: по ходу танка (курсовой угол – 0°), в сторону борта (курсовой угол – 90°) и в сторону кормы (курсовой угол – 180°). Стрельба велась артиллерийскими выстрелами с осколочно-фугасным снарядом без разрывного заряда, приведенным с помощью песка к массе 6,23 кг и оснащенным охолощенным взрывателем. В результате проведенных испытаний были определены следующие величины «мертвых» пространств:</w:t>
      </w:r>
    </w:p>
    <w:p w14:paraId="3B72D508"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978. Л. 266]</w:t>
      </w:r>
    </w:p>
    <w:p w14:paraId="3F6357DE"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Следует отметить, что испытуемый танк Т-34 № 311-25-3 не был укомплектован перископическим прицелом ПТ-3, и при определении не просматриваемых пространств наблюдение велось только через телескопический прицел ТОД-3.</w:t>
      </w:r>
    </w:p>
    <w:p w14:paraId="612EAFD2"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процессе полигонных испытаний специалистами АНИОПа оценивались условия эксплуатации пушки Л-11 в танке Т-34. В результате проведенных стрельб, а также в процессе разборки пушки, монтажа и демонтажа ее в башню был обнаружен ряд недостатков, снижавших боевые и эксплуатационные качества танка.</w:t>
      </w:r>
    </w:p>
    <w:p w14:paraId="571BF2C4"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испытаний выяснилось, что ножной спуск очень тугой – при производстве выстрела командиру танка приходилось сильно ударять ногой по педали.</w:t>
      </w:r>
    </w:p>
    <w:p w14:paraId="663D1D1F"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Укладка артиллерийских выстрелов второй очереди в металлических ящиках («лотках») и расположение самих ящиков на полу боевого отделения танка были признаны неудобными. При загрузке ящика артиллерийскими выстрелами происходило распирание его боковых стенок, что, в свою очередь, вызывало затруднения при установке ящика на место или вынимании его.</w:t>
      </w:r>
    </w:p>
    <w:p w14:paraId="519318E2"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устранения недостатков в конструкции танка Т-34, выявленных при стрельбе в сторону кормы машины, заводу № 183 было рекомендовано:</w:t>
      </w:r>
    </w:p>
    <w:p w14:paraId="132E8227"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Задний стоп-сигнал перенести в другое место.</w:t>
      </w:r>
    </w:p>
    <w:p w14:paraId="7A43C2CB"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Сделать более надежное крепление крышки вентиляционного люка передней перегородки.</w:t>
      </w:r>
    </w:p>
    <w:p w14:paraId="1494E188"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Сделать более надежным стопор, удерживающий задние жалюзи в закрытом положении.</w:t>
      </w:r>
    </w:p>
    <w:p w14:paraId="2E9CD495"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Упрочнить откидной колпак над жалюзями или ввести ограничитель для придания наименьшего допустимого угла возвышения, при котором позволяется стрельба через корму танка».</w:t>
      </w:r>
    </w:p>
    <w:p w14:paraId="5194181E"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978. Л. 277]</w:t>
      </w:r>
    </w:p>
    <w:p w14:paraId="396E1562"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никаких замечаний о стесненном положении командира танка и заряжающего из-за относительно малого объема башни специалистами АНИОПа, проводившими полигонные испытания сделано не было.</w:t>
      </w:r>
    </w:p>
    <w:p w14:paraId="4F372C50"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испытаний выяснилось, что разборка затвора пушки Л-11 и его полуавтоматики внутри башни танка Т-34 силами экипажа вполне возможна и не вызывает затруднений. Обслуживание противооткатных устройств (доливка гидравлической жидкости и измерение давления воздуха) внутри башни также было признано возможным, но не удобным.</w:t>
      </w:r>
    </w:p>
    <w:p w14:paraId="12ABDF7E"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Монтаж пушки Л-11 в танк Т-34 и демонтаж ее из машины в условиях войсковых ремонтных мастерских, по мнению специалистов артиллерийского полигона, не должны были представлять больших затруднений. С использованием грузоподъемного крана для полного демонтажа пушки из башни танка силами двух человек в условиях полигона потребовалось 1 час 45 минут, для монтажа пушки в танк было затрачено 2 часа 30 минут. Общее время, затраченное на демонтаж и монтаж пушки в условиях полигона, составило 4 часа 15 минут.</w:t>
      </w:r>
    </w:p>
    <w:p w14:paraId="66A9A3DC"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Также в процессе полигонных испытаний специалистами физиологической лаборатории АНИОПа проводилась оценка эффективности вентиляции боевого отделения танка Т-34 при стрельбе из пушки Л-11 с закрытыми люками. Эффективность вентиляции определялась путем замеров концентрации угарного газа (окиси углерода – далее СО) в пробах воздуха, взятых во время и после интенсивной стрельбы в зонах дыхания наводчика и заряжающего. [РГВА. Ф. 31811. Оп. 2. Д. 978. Л. 272 – 273]</w:t>
      </w:r>
    </w:p>
    <w:p w14:paraId="15002CE1"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выяснилось, что при интенсивной стрельбе в боевом отделении танка Т-34 на короткое время создается концентрация СО, превышающая предельно допустимые значения. На основании полученных результатов специалистами физиологической лаборатории АНИОПа в отчете по полигонным испытаниям было отмечено следующее:</w:t>
      </w:r>
    </w:p>
    <w:p w14:paraId="42C6742D"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«Допустимая предельная концентрация СО для боевых отделений бронебашен танков и кораблей 0,2 мг/литр. Сделанные анализы показывают, что при интенсивных очередях из орудия в 5 – 10 – 15 выстрелов, создаются на короткое время концентрации пороховых газов, превышающие означенный предел. Они создаются за счет газов, выделяющихся из казенной части в момент выбрасывания гильзы, из самой гильзы, упавшей в гильзоулавливатель, и наконец, затягиваются из атмосферы, окружающей танк. При работающем моторе и, особенно при движении танка, концентрации СО получились меньшими, чем при стрельбе с места, и притом, уменьшались под влиянием вентиляции значительно быстрее.</w:t>
      </w:r>
    </w:p>
    <w:p w14:paraId="5263C447"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Концентрация СО порядка 0,18 – 0,34 мг/литр, действуя в течение 10 – 15 минут, т.е. кратковременно, не вызывает заметных явлений отравления у лиц, находившихся в танке.</w:t>
      </w:r>
    </w:p>
    <w:p w14:paraId="586DC124"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Концентрация СО порядка 0,46 – 0,97 мг/литр, действуя в течение такого же короткого времени, вызывали ощущение тяжести в голове, несколько пониженное самочувствие, небольшое учащение пульса.</w:t>
      </w:r>
    </w:p>
    <w:p w14:paraId="05976AC2"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оценке полученных результатов следует учитывать следующие обстоятельства:</w:t>
      </w:r>
    </w:p>
    <w:p w14:paraId="1CE73E70"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Возможность увеличения боевого комплекта, а, следовательно, и большую продолжительность стрельбы.</w:t>
      </w:r>
    </w:p>
    <w:p w14:paraId="6E531DBC"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Одновременно стрельбу из пулеметов радиста и башенного стрелка, что значительно повысит концентрацию СО в боевом помещении.</w:t>
      </w:r>
    </w:p>
    <w:p w14:paraId="05A8A757"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Вероятную возможность не одного, а нескольких выездов за день, с пополнением боезапаса, что увеличит общую продолжительность пребывания бойцов в атмосфере, загрязненной пороховыми газами».</w:t>
      </w:r>
    </w:p>
    <w:p w14:paraId="322879C4"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978. Л. 273 – 274]</w:t>
      </w:r>
    </w:p>
    <w:p w14:paraId="55D420C7"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Вентиляция боевого отделения танка Т-34 в условиях интенсивной стрельбы специалистами физиологической лаборатории АНИОПа была признана неудовлетворительной и нуждающейся в доработке, так как не отвечала двум основным требованиям – обеспечению подачи чистого воздуха в зоны дыхания командира танка и заряжающего и недопущению скопления газов в верхней части башни.</w:t>
      </w:r>
    </w:p>
    <w:p w14:paraId="45FA648F"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итогам первого этапа полигонных испытаний танка Т-34 с пушкой Л-11, завершившегося 11 сентября 1940 г. специалистами АНИОПа было сделано следующее заключение:</w:t>
      </w:r>
    </w:p>
    <w:p w14:paraId="31F09BDD"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проведенных полигонных испытаний танка Т-34, вооруженного 76 мм пушкой Л-11, отстрелом в количестве 343 выстрелов (из них 225 усиленных) АНИОП приходит к следующему заключению:</w:t>
      </w:r>
    </w:p>
    <w:p w14:paraId="769845EC"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Прочность крепления артсистемы в башне танка, как показали результаты испытаний, после указанного выше числа выстрелов, можно считать достаточной.</w:t>
      </w:r>
    </w:p>
    <w:p w14:paraId="4ABF6A5E"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Меткость стрельбы по щиту на дистанцию 1000 метров с места – удовлетворительная.</w:t>
      </w:r>
    </w:p>
    <w:p w14:paraId="2C6066E6"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Величина мертвых пространств при стрельбе из пушки по ходу и через борта 18 – 19 метров и через корму танка 80 метров (расстояние по горизонтали). Величина мертвых пространств по обзору, при наблюдении в телескопический прицел, соответственно равна 7 – 8 метров и 15 метров (также расстояние по горизонтали).</w:t>
      </w:r>
    </w:p>
    <w:p w14:paraId="09585BBA"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Обслуживание артсистемы в танке Т-34, а также монтаж и демонтаж ее в войсках возможен. Необходимо только устранить недостатки, отмеченные по настоящему испытанию, и указанные в общих выводах отчета.</w:t>
      </w:r>
    </w:p>
    <w:p w14:paraId="1DC39DB4"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Вентиляция боевого отделения танка при стрельбе неудовлетворительная и нуждается в доработке».</w:t>
      </w:r>
    </w:p>
    <w:p w14:paraId="7485BF87"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978. Л. 277 – 278]</w:t>
      </w:r>
    </w:p>
    <w:p w14:paraId="4A11A6A3"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Отчет по первому этапу полигонных испытаний танка Т-34 № 311-25-3, получивший номер 6Н/05456, был составлен 10 октября 1940 г. и подписан временно исполняющим обязанности начальника полигона военинженером 1 ранга И.Н. Оглоблиным, начальником 6-го отдела АНИОПа военинженером 1 ранга С.О. Гранделевским и руководителем опытов военинженером 2 ранга М.С. Довгополым. Шесть экземпляров этого отчета 16 октября 1940 г. были отправлены </w:t>
      </w:r>
      <w:r w:rsidRPr="00A3026E">
        <w:rPr>
          <w:rFonts w:ascii="Times New Roman" w:hAnsi="Times New Roman"/>
          <w:color w:val="000000" w:themeColor="text1"/>
          <w:sz w:val="16"/>
          <w:szCs w:val="16"/>
        </w:rPr>
        <w:lastRenderedPageBreak/>
        <w:t>председателю Артком ГАУ КА, начальникам УВНА ГАУ КА, ГАБТУ КА и Главспецмаша НКСМ, а также директорам Ленинградского Кировского завода и завода № 183.</w:t>
      </w:r>
    </w:p>
    <w:p w14:paraId="22329A27"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этап полигонных испытаний танка Т-34 № 311-25-3, включавший пулевой и снарядный обстрел башни танка, состоялся в период с 12 по 19 сентября 1940 г.</w:t>
      </w:r>
    </w:p>
    <w:p w14:paraId="0A5082F8"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специалистов полигона на испытаниях обстрелом присутствовали: помощник начальника 3-го отделения 3-го отдела ГАБТУ КА военинженер 2 ранга М.Д. Нестеров; военный представитель ГАБТУ КА на заводе № 183 военинженер 3 ранга Г.Я. Ялышев; руководитель корпусной группы КБ-520 завода № 183 инженер Б.А. Черняк; инженер Ижорского завода Я.И. Куландин; инженер Военного отдела НКСМ М.С. Разумов, а также водитель-испытатель завода № 183 П.В. Николаев.</w:t>
      </w:r>
    </w:p>
    <w:p w14:paraId="4DBD0B6E"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Пулевой обстрел танка производился с дистанции 15 – 50 м из 7,62-мм винтовки обр. 1981 г., 7,62-мм станкового пулемета «Максима» и 12,7-мм станкового пулемет «ДК» штатными патронами с обыкновенными и бронебойными пулями. Стрельба велась по шариковой опоре башни, боковым смотровым приборам башни, прибору кругового обзора, заглушке отверстия для стрельбы из револьвера («груше»), защите пушки Л-11 («привинтному щиту»), петлям крышки люка башни, броневому колпаку люка вентиляции на крыше башни. Кроме этого пулевому обстрелу были подвергнуты смотровые приборы механика-водителя, шаровая установка лобового пулемета ДТ и продольные жалюзи над радиаторами. Перед началом испытаний с танка были сняты пулеметы ДТ (лобовой и спаренный с пушкой Л-11) и приемник и передатчик радиостанция 71-ТК-3.</w:t>
      </w:r>
    </w:p>
    <w:p w14:paraId="686C62A9"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результатов, полученных при обстреле танка из стрелкового оружия, специалистами АНИОПа были сделаны следующие выводы:</w:t>
      </w:r>
    </w:p>
    <w:p w14:paraId="2111D639"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СМОТРОВОЙ ПРИБОР С БОКУ БАШНИ ТАНКА.</w:t>
      </w:r>
    </w:p>
    <w:p w14:paraId="4454009B"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Поражение смотрового прибора и прочность сварки основания смотрового прибора.</w:t>
      </w:r>
    </w:p>
    <w:p w14:paraId="65A8011D"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Смотровой прибор выводится из строя при одном попадании 3-х линейной обыкновенной пулей в стекло прибора.</w:t>
      </w:r>
    </w:p>
    <w:p w14:paraId="793FA852"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Восстановить работу смотрового прибора можно путем замены поврежденной рамки запасной рамкой с зеркалами.</w:t>
      </w:r>
    </w:p>
    <w:p w14:paraId="1A295C7C"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 попадании 3-х линейных обыкновенных пуль в стекло смотрового прибора пулевые осколки не проникают во внутрь башни (число счетных наблюдений – 4).</w:t>
      </w:r>
    </w:p>
    <w:p w14:paraId="3FCDBCEA"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Сварка основания смотрового прибора устойчива против действия 3-х линейных обыкновенных и бронебойных пуль (число счетных наблюдений – 8, из них 5 пуль бронебойных и 3 пули обыкновенных).</w:t>
      </w:r>
    </w:p>
    <w:p w14:paraId="52D53BDE"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ГРУША ПОД СМОТРОВЫМ ПРИБОРОМ В БАШНЕ ТАНКА [заглушка отверстия для стрельбы из револьвера].</w:t>
      </w:r>
    </w:p>
    <w:p w14:paraId="59668BD6"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возможность заклинивания груши и проникновение осколков во внутрь башни.</w:t>
      </w:r>
    </w:p>
    <w:p w14:paraId="4E0F88ED"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Груша вполне устойчива против попадания 3-х линейных бронебойных пуль. При попадании пуль груша уплотняется в своем гнезде, но от толчков рукой с внутренней стороны выталкивается наружу (число счетных попаданий – 3).</w:t>
      </w:r>
    </w:p>
    <w:p w14:paraId="4504D36C"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Груша не устойчива против действия 12,7 мм бронебойных пуль "ДК", запорная планка груши изгибается, а сама груша выбрасывается наружу. Запорная планка требует усиления (получено одно попадание под грушу).</w:t>
      </w:r>
    </w:p>
    <w:p w14:paraId="652FC294"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Сварка основания смотрового прибора устойчива против действия пуль "ДК" (два попадания в сварку).</w:t>
      </w:r>
    </w:p>
    <w:p w14:paraId="74489AA1"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Если от удара пули груша выбрасывается наружу, то в отверстие груши проникают осколки во внутрь башни.</w:t>
      </w:r>
    </w:p>
    <w:p w14:paraId="2060FDCA"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ПОГОН БАШНИ ТАНКА [шариковая опора].</w:t>
      </w:r>
    </w:p>
    <w:p w14:paraId="43F4E60E"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возможность заклинивания башни танка при попадании пуль в погон (через щель).</w:t>
      </w:r>
    </w:p>
    <w:p w14:paraId="252A7F5A"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 попадании в погон 3-х линейных бронебойных пуль башня танка не заклинивается и работает нормально (получено два попадания в погон).</w:t>
      </w:r>
    </w:p>
    <w:p w14:paraId="6A64787C"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попадании в погон 12,7 мм бронебойных пуль "ДК" башня танка не заклинивается и работает нормально (получено два попадания в погон).</w:t>
      </w:r>
    </w:p>
    <w:p w14:paraId="2B6F1041"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Смотровой прибор башни после попадания в него обыкновенной 7,62-мм пули</w:t>
      </w:r>
    </w:p>
    <w:p w14:paraId="5ECF53F8"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Смотровой прибор башни после обстрела обыкновенными и бронебойными 7,62-мм пулями</w:t>
      </w:r>
    </w:p>
    <w:p w14:paraId="52D54070"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Заглушка отверстия для стрельбы из револьвера после обстрела 12,7-мм бронебойными пулями</w:t>
      </w:r>
    </w:p>
    <w:p w14:paraId="5A15DF61"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Защита шариковой опоры башни после обстрела 7,62 и 12,7-мм бронебойными пулями</w:t>
      </w:r>
    </w:p>
    <w:p w14:paraId="14276C26"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ВЕРХНИЙ СМОТРОВОЙ ПРИБОР ЛЮКА [прибор кругового обзора].</w:t>
      </w:r>
    </w:p>
    <w:p w14:paraId="476CB476"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бронестойкость прибора и возможность проникновения осколков во внутрь башни.</w:t>
      </w:r>
    </w:p>
    <w:p w14:paraId="3053F7B9"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Корпус смотрового прибора люка не пробивается 3-х линейными обыкновенными пулями, но, однако, эти пули в состоянии нанести частичное разрушение корпуса прибора в виде отколов (число попаданий – 4).</w:t>
      </w:r>
    </w:p>
    <w:p w14:paraId="20533A6B"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Корпус смотрового прибора люка пробивается 3-х линейной бронебойной пулей (число попаданий 3, из них одна сквозная пробоина). Требуется утолщение пластинок корпуса смотрового прибора и повышение пулестойкости самой брони.</w:t>
      </w:r>
    </w:p>
    <w:p w14:paraId="33F4D5EA"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Восстановить работу смотрового прибора можно путем замены поврежденного корпуса новым.</w:t>
      </w:r>
    </w:p>
    <w:p w14:paraId="52BF50F1"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Вовнутрь башни проникают мелкие осколки и могут нанести легкие ранения обслуживающего персонала.</w:t>
      </w:r>
    </w:p>
    <w:p w14:paraId="10910CB7"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ПЕТЛИ КРЫШКИ ЛЮКА БАШНИ ТАНКА.</w:t>
      </w:r>
    </w:p>
    <w:p w14:paraId="27A16FD2"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Стойкость петель и возможность заклинивания крышки люка.</w:t>
      </w:r>
    </w:p>
    <w:p w14:paraId="774B8CA0"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Петли крышки люка башни устойчивы против действия 3-х линейных обыкновенных и бронебойных пуль, а также против пуль "ДК". После испытания крышка люка башни открывается и закрывается нормально (число попаданий по 6 шт. 3-х линейных обыкновенных и бронебойных и 3 шт. пуль "ДК").</w:t>
      </w:r>
    </w:p>
    <w:p w14:paraId="285EBEF4"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попадании в петлю 3-х линейных бронебойных пуль и 12,7 мм пуль "ДК" во внутрь башни проникают мелкие осколки, причем поражающая способность этих осколков невелика.</w:t>
      </w:r>
    </w:p>
    <w:p w14:paraId="55D04E9C"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ЛЮК ВЕНТИЛЯЦИИ НА КРЫШЕ БАШНИ.</w:t>
      </w:r>
    </w:p>
    <w:p w14:paraId="3364AAD0"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Возможность проникновения осколков во внутрь башни.</w:t>
      </w:r>
    </w:p>
    <w:p w14:paraId="37F9B5DE"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Колпак люка вентиляции вполне устойчив против действия 3-х линейных обыкновенных пуль (попаданий 8). Петли колпака вентиляции требуют усиления.</w:t>
      </w:r>
    </w:p>
    <w:p w14:paraId="01C2EA5B"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Вовнутрь башни проникают мелкие осколки и свинцовая пыль при попадании 3-х линейных обыкновенных пуль под колпак люка вентиляции (попаданий под колпачок 8). От действия этих осколков можно ожидать легкое ранение лица и рук.</w:t>
      </w:r>
    </w:p>
    <w:p w14:paraId="2DA55D55"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ЯБЛОКО ПУЛЕМЕТА РАДИСТА [шаровая установка лобового пулемета ДТ].</w:t>
      </w:r>
    </w:p>
    <w:p w14:paraId="3BFA492B"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Заклинивание яблока и возможность проникновения пуль во внутрь танка.</w:t>
      </w:r>
    </w:p>
    <w:p w14:paraId="0BD5C573"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 попадании 3-х линейных обыкновенных пуль в щель между яблоком и его гнездом заклинения яблока (шара) не происходит. Затрудняется работа шаровой установки вследствие проникновения мелких осколков и свинцовой пыли в щель (получено два попадания в щель).</w:t>
      </w:r>
    </w:p>
    <w:p w14:paraId="2304838D"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попадании в щель 3-х линейных бронебойных пуль шаровая установка заклинивается наглухо, и пулемет выводится из строя (получено два попадания в щель).</w:t>
      </w:r>
    </w:p>
    <w:p w14:paraId="7F378997"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3-х линейные обыкновенные и бронебойные пули не проникают во внутрь танка при попадании в шаровую установку пулемета радиста.</w:t>
      </w:r>
    </w:p>
    <w:p w14:paraId="10A6701A"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Петля крышки люка башни после пулевого обстрела</w:t>
      </w:r>
    </w:p>
    <w:p w14:paraId="5C274DDD"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Броневой колпак люка вентиляции после пулевого обстрела</w:t>
      </w:r>
    </w:p>
    <w:p w14:paraId="6AE30EDE"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Шаровая установлка лобового пулемета ДТ после обстрела обыкновенными и бронебойными 7,62-мм пулями</w:t>
      </w:r>
    </w:p>
    <w:p w14:paraId="23BE56F5"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СМОТРОВОЕ ОТВЕРСТИЕ ДЛЯ ТОДа.</w:t>
      </w:r>
    </w:p>
    <w:p w14:paraId="581AB5AA"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Пулестойкость защиты и возможность проникновения осколков во внутрь танка.</w:t>
      </w:r>
    </w:p>
    <w:p w14:paraId="13B83199"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результате двух попаданий 3-х линейных бронебойных пуль смотровой прибор вышел из строя. Заслонка смотрового отверстия не пробивается, но ее крепление ненадежное. Необходимо усилить крепление заслонки.</w:t>
      </w:r>
    </w:p>
    <w:p w14:paraId="1C537135"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Установить возможность проникновения осколков во внутрь башни не удалось, т.к. нельзя было поставить фанерный лист под смотровое отверстие с внутренней стороны башни (не позволяет внутреннее оборудование).</w:t>
      </w:r>
    </w:p>
    <w:p w14:paraId="482AC1B0"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СМОТРОВЫЕ ПРИБОРЫ ВОДИТЕЛЯ И ПЕТЛИ КРЫШКИ ЛЮКА.</w:t>
      </w:r>
    </w:p>
    <w:p w14:paraId="2B556910"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Степень поражения смотровых приборов и петлей крышки люка водителя.</w:t>
      </w:r>
    </w:p>
    <w:p w14:paraId="06AC426A"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Смотровой прибор на крышке люка водителя был в неисправном состоянии до испытания (отсутствовали броневая заслонка и защитное стекло), а поэтому судить о степени поражения этого прибора невозможно.</w:t>
      </w:r>
    </w:p>
    <w:p w14:paraId="197C8772"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Боковой смотровой прибор водителя выводится из строя при попадании в стекло прибора одной 3-х линейной обыкновенной пули. Восстановить работу смотрового прибора можно заменой зеркал, или же полной заменой рамки с зеркалами.</w:t>
      </w:r>
    </w:p>
    <w:p w14:paraId="5964D6F6"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Петли крышки люка водителя вполне устойчивы против действия 3-х линейных бронебойных пуль и 12,7 мм бронебойных пуль "ДК". Устойчивость создается тем обстоятельством, что нижняя кромка выреза основания смотрового прибора почти полностью перекрывает петли. При наклоне танка на 25 – 30° в сторону лобовой части не удалось попасть в петли при стрельбе с дистанции 15 м. Нанесенные поражения не повлияли на нормальную работу крышки люка водителя (крышка люка открывается и закрывается нормально).</w:t>
      </w:r>
    </w:p>
    <w:p w14:paraId="0C977E33"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При попадании 3-х линейных бронебойных пуль в смотровое отверстие прибора на крышке люка водителя во внутрь танка проникают мелкие осколки, причем поражающая способность этих осколков невелика (число попаданий в смотровое отверстие – 14).</w:t>
      </w:r>
    </w:p>
    <w:p w14:paraId="2AD13469"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ПРЕДОХРАНИТЕЛЬНЫЙ БРОНЕВОЙ ЩИТ ВПЕРЕДИ БАШНИ ТАНКА.</w:t>
      </w:r>
    </w:p>
    <w:p w14:paraId="36D4575E"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возможность заклинения системы и проникновения осколков во внутрь танка.</w:t>
      </w:r>
    </w:p>
    <w:p w14:paraId="0B2885F9"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а) При попадании 3-х линейных обыкновенных и бронебойных пуль в маску под орудие заклинения системы не происходит. Пули во внутрь танка не проникают (число попаданий 10 шт. обыкновенных и 10 шт. бронебойных пуль).</w:t>
      </w:r>
    </w:p>
    <w:p w14:paraId="2CA84640"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Броневая защита впереди башни танка пробивается 12,7 мм бронебойными пулями "ДК" при стрельбе с дистанции 15 м (получено 6 пробитий). После 3-х пробитий было затруднено движение орудийного ствола в вертикальной плоскости, а после 5-ти пробитий орудие заклинилось, и система вышла их строя.</w:t>
      </w:r>
    </w:p>
    <w:p w14:paraId="4E9BBFD8"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 попадании 3-х линейных пуль в маску под орудие во внутрь танка проникают осколки, от действия этих осколков можно ожидать легкие ранения обслуживающего персонала танка, в случаи их попадания в открытые места (лицо, руки и другие части тела, покрытые легкой тканью).</w:t>
      </w:r>
    </w:p>
    <w:p w14:paraId="481B9CF5"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Броневая защита впереди танка требует значительного усиления. Кроме того должно быть усилено и само крепление броневой защиты.</w:t>
      </w:r>
    </w:p>
    <w:p w14:paraId="66613486"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Смотровой прибор механика-водителя после обстрела 12,7-мм бронебойными пулями</w:t>
      </w:r>
    </w:p>
    <w:p w14:paraId="3A28EA7F"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Левый смотровой прибор механика-водителя после попадания в него 7,62-мм обыкновенной пули</w:t>
      </w:r>
    </w:p>
    <w:p w14:paraId="4EB8E09A"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Нижняя часть привинтного щита пушки Л-11 после обстрела 7,62-мм обыкновенными и бронебойными пулями</w:t>
      </w:r>
    </w:p>
    <w:p w14:paraId="258D6550"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Верхняя часть привинтного щита пушки Л-11 после обстрела 12,7-мм бронебойными пулями</w:t>
      </w:r>
    </w:p>
    <w:p w14:paraId="3C748115"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ЖАЛЮЗИ ВСАСЫВАЮЩЕГО ВОЗДУХА [продольные жалюзи над радиаторами].</w:t>
      </w:r>
    </w:p>
    <w:p w14:paraId="5C88E65B"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 проникновение осколков и поражение ими водяных радиаторов.</w:t>
      </w:r>
    </w:p>
    <w:p w14:paraId="0AFA2833"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испытанием баки и радиаторы были перекрыты 3 мм фанерным листом. Испытание производилось при открытой крышке жалюзи. С дистанции 15 м было получено 18 попаданий во внутрь. На высоте тяги к задним жалюзям в верхней части фанеры образовалось многочисленное количество мелких пробоин и свинцовое опыление. После испытания жалюзи 3-х линейными обыкновенными пулями мотор был запущен, и танк на собственном ходу прибыл на полигон (расстояние 8,5 клм). Эти испытания были произведены в конце опыта».</w:t>
      </w:r>
    </w:p>
    <w:p w14:paraId="39E4D8A9"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2051. Л. 85 – 90]</w:t>
      </w:r>
    </w:p>
    <w:p w14:paraId="1B58A4B6"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проверки степени уязвимости танка от огня стрелкового оружия, «подопытной» «тридцатьчетвёрке» предстояло выдержать куда более серьезное испытание – испытание огнём артиллерии.</w:t>
      </w:r>
    </w:p>
    <w:p w14:paraId="32B3A160"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Снарядный обстрел башни танка Т-34 производился с дистанции 63 м по нормали из 37-мм противотанковой пушки обр. 1930 г., 45-мм противотанковой пушки обр. 1932 г. и 76,2-мм дивизионной пушки обр. 1902/30 г. с длиной ствола в 40 калибров. Для стрельбы использовались артиллерийские выстрелы с 37, 45 и 76,2-мм бронебойными, 37 и 45-мм осколочными и 76,2-мм осколочно-фугасными снарядами. Все снаряды, как бронебойные, так и осколочные и осколочно-фугасные, использовались с охолощенными взрывателями и в серном снаряжении – вместо разрывного заряда в снаряды была залита сера. Ударная скорость снарядов регулировалась соответствующим подбором порохового заряда. При обстреле башня танка была снята со стопора.</w:t>
      </w:r>
    </w:p>
    <w:p w14:paraId="3042AFC0"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показателей противоснарядной стойкости – предела тыльной прочности (ПТП) и предела сквозного пробития (ПСП), левый бортовой лист башни танка был подвергнут обстрелу снарядами калибра 37 и 45 мм.</w:t>
      </w:r>
    </w:p>
    <w:p w14:paraId="095D245B"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Сначала огонь велся из 37-мм пушки осколочными снарядами (выстрелы № 1 и 2), которые не нанесли танку никакого ущерба. Затем в левый борт башни было выпущено 8 штатных 37-мм остроголовых бронебойных снарядов (чертеж 3882, эталон 0129) с различными ударными скоростями (выстрелы № 3 – 10), в результате попадания которых было получено три пробития (выстрелы № 3, 4 и 10). При этом показатели противоснарядной стойкости левого бортового листа башни оказались равными: по ПТП – 738,8 м/с, что соответствовало выстрелу с дистанции 200 м при стрельбе полным пороховым зарядом, и по ПСП – 752,8 м/с (выстрел с дистанции 160 м). Таким образом, опасные поражения (разрушение тыльной стороны брони) становились возможными при обстреле левого борта башни 37-мм остроголовыми бронебойными снарядами из противотанковой пушки обр. 1930 г. (с начальной скоростью снаряда 820 м/с) с дистанции 200 м и ближе. Сквозное пробитие этой броневой детали башни становилось возможным при обстреле из той же пушки тем же снарядом с дистанции 160 м.</w:t>
      </w:r>
    </w:p>
    <w:p w14:paraId="55487519"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указанных трех пробитий внутреннее оборудование башни танка получило значительные повреждения. После выстрела № 3 снарядом был разбит картер электродвигателя механизма поворота башни (вращение башни стало возможным только с помощью ручного привода) и выведено из строя освещение башни, после выстрела № 4 – разбит аппарат ТПУ командира, и после выстрела № 10 снарядом и осколками брони повреждены: спинка сиденья заряжающего, щелочной аккумулятор радиостанции и изолятор антенного ввода. Кроме этого после выстрела № 9, вследствие попадания бронебойного снаряда под кромку крышки люка башни, был выведен из строя запорный замок крышки люка, люк открылся, и осколки металла попали внутрь башни. В результате этого была разрушена верхняя часть прибора кругового обзора, сорвана крышка люка для сигнализации, налобник прицела, разбиты стекла правого смотрового прибора башни и щиток электроприборов.</w:t>
      </w:r>
    </w:p>
    <w:p w14:paraId="57C12935"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противоснарядной стойкости при обстреле 45-мм тупоголовыми бронебойными снарядами с двумя подрезами (чертеж № 2-03347) в левый бортовой лист башни было выпущено семь таких снарядов (выстрелы № 11 – 17). В результате выстрелов № 12, 15 и 17 были получены пробития броневой детали. При этом фактические показатели противоснарядной стойкости составили: по ПТП – 716,4 м/с, что соответствовало выстрелу из 45-мм противотанковой пушки обр. 1932 г. с дистанции 180 м при стрельбе полным пороховым зарядом, и по ПСП – 727,6 м/с (выстрел с дистанции 160 м).</w:t>
      </w:r>
    </w:p>
    <w:p w14:paraId="2856AA07"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этих трех пробитий башня танка получила следующие повреждения:</w:t>
      </w:r>
    </w:p>
    <w:p w14:paraId="1FC584DE"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после выстрела № 12 с тыльной стороны в районе пробоины образовался откол брони размером 80 × 120 мм и глубиной 30 мм, и на длине 360 мм разрушен сварной шов, соединявший бортовой лист с днищем ниши башни;</w:t>
      </w:r>
    </w:p>
    <w:p w14:paraId="77870692"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после выстрела № 15 снарядом была проделана пробоина диаметром меньше калибра, а выбитой из брони пробкой были повреждены электропроводка радиостанции, брезентовая сумка для головных телефонов ТПУ и стекло правого смотрового прибора башни;</w:t>
      </w:r>
    </w:p>
    <w:p w14:paraId="12140BA6"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после выстрела № 17 на длине 120 мм снарядом был разрушен сварной шов, соединявший основание правого смотрового прибора с боковой стенкой башни.</w:t>
      </w:r>
    </w:p>
    <w:p w14:paraId="260F957B"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Разрушения башни имели место также и после выстрела № 11 – снаряд, попавший в заднюю обечайку башни (под днищем ниши башни), разрушил сварной шов, соединявший заднюю обечайку с днищем ниши на длине 600 мм. В результате этого броня не была пробита, но от удара снаряда в сварном шве образовалась сквозная трещина шириной до 4 мм, был сорван кронштейн сиденья командира танка, и из-за деформации днища ниши произошло заклинивание башни.</w:t>
      </w:r>
    </w:p>
    <w:p w14:paraId="3EE64FAC"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Далее, согласно программе испытаний, в левый бортовой лист башни был произведен один выстрел 45-мм осколочным снарядом (выстрел № 18), который, как и 37-мм осколочный снаряд, не нанес башне танка никаких повреждений.</w:t>
      </w:r>
    </w:p>
    <w:p w14:paraId="248B57F9"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обстреле башни специальными остроголовыми плитопробными снарядами калибра 45 мм (чертеж № 2-01991) противоснарядная стойкость левого бортового листа башни оказалась ниже, чем при обстреле тупоголовыми снарядами этого же калибра. Всего в левый бортовой лист башни было сделано 5 выстрелов остроголовыми снарядами с различными ударными скоростями (выстрелы № 19 – 23). При этом ПТП оказался равным 666,8 м/с, что соответствовало выстрелу из 45-мм противотанковой пушки обр. 1932 г. с дистанции 480 м при стрельбе полным пороховым зарядом, а ПСП – 700 м/с (выстрел с дистанции 300 м).</w:t>
      </w:r>
    </w:p>
    <w:p w14:paraId="10BAA0CF"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отчете, составленном по итогам испытаний, относительно результатов снарядного обстрела левого бортового листа башни танка Т-34 специалистами АНИОПа были сделаны следующие выводы:</w:t>
      </w:r>
    </w:p>
    <w:p w14:paraId="62B7E543"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37 и 45 мм осколочные снаряды черт. 154 и 2-01544 совершенно не поражают 45 мм броню башни танка. Сами снаряды при ударе в броню разрушаются.</w:t>
      </w:r>
    </w:p>
    <w:p w14:paraId="43E320CB"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Броня башни плохо сопротивляется действию 37 и 45 мм бронебойных снарядов. 37 мм остроголовые бронебойные снаряды пробивают броню башни с дистанции 160 м, 45 мм тупые снаряды – с дистанции 160 м и 45 мм остроголовые снаряды с дистанции 300 м.</w:t>
      </w:r>
    </w:p>
    <w:p w14:paraId="7B6DE355"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Броня башни дает низкий коэффициент сопротивляемости. На 37 мм снаряде черт. № 00129 – К=1953. На 45 мм снаряде черт. № 2-03347 К=2348. На 45 мм снаряде черт. № 2-01991 К=2250.</w:t>
      </w:r>
    </w:p>
    <w:p w14:paraId="41B7410B"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45 мм снаряде черт. № 2-03347 броня башни толщиной 45 мм, оказалась примерно равноценной 40 мм цементированной броне, изготовляемой по ТУ-00537, применительно к верхнему пределу (ТУ-00537 – V0=690 – 720 м/с, при Х=30°).</w:t>
      </w:r>
    </w:p>
    <w:p w14:paraId="2E4724EE"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распоряжении АНИОПа не имеется механических характеристик брони башни, но результаты испытаний указывают на недостаточную твердость брони. Таким образом, броня башни танка Т-34 не снимает бронебойные снаряды 37 и 45 мм калибров (необходимо повысить бронестойкость).</w:t>
      </w:r>
    </w:p>
    <w:p w14:paraId="7A608172"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 сквозном пробитии брони башни 37 и 45 мм бронебойные снаряды наносят большое поражение внутри танка (см. V раздел отчета и журнал стрельбы в приложении к отчету). Необходимо усилить петли крышки люка башни (после выстрела № 9 – 37 мм снарядом 00129 произошел срыв левой петли).</w:t>
      </w:r>
    </w:p>
    <w:p w14:paraId="6352DB16"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37 мм бронебойные снаряды черт. № 00129 разрушаются при ударе в броню башни. 45 мм бронебойные снаряды черт. № 2-03347 с 2-мя подрезами, в большинстве случаев также разрушаются при ударе в броню башни».</w:t>
      </w:r>
    </w:p>
    <w:p w14:paraId="7CABD1C0"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2051. Л. 91 – 92]</w:t>
      </w:r>
    </w:p>
    <w:p w14:paraId="669AAF21"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полученные показатели противоснарядной стойкости левого бортового листа башни, особенно против действия 45-мм тупоголового снаряда с двумя подрезами (чертеж № 2-03347), оказались значительно ниже показателей, установленных Госкомиссией для приемки брони из стали марки «8С» («МЗ-2»). Так, например, по нормам Госкомиссии пределы тыльной прочности и сквозного пробития броневого листа толщиной 45 мм, изготовленного из стали марки «8С», для штатного 45-мм бронебойного тупоголового снаряда (чертеж 2-04830, эталон 0130) при стрельбе под углом 30˚ должны быть выше его максимальной скорости. То есть при стрельбе в упор из 45-мм противотанковой пушки обр. 1932 г. штатным бронебойным снарядом полным пороховым зарядом по бортовому листу башни танка Т-34 тыльная сторона броневой преграды не должна была разрушаться, не говоря уже о сквозном пробитии. О том, как выяснялись причины пониженной противоснарядной стойкости башни танка Т-34 будет рассказано в конце этой главы.</w:t>
      </w:r>
    </w:p>
    <w:p w14:paraId="573D72E8"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Следующим этапом испытаний снарядным обстрелом была проверка прочности крепления пушки Л-11 в башне танка Т-34. Для этого специалистами полигона был произведен обстрел броневой защиты противооткатных устройств (далее – ПОУ) пушки Л-11 сначала осколочными, а затем и бронебойными снарядами калибра 45 </w:t>
      </w:r>
      <w:r w:rsidRPr="00A3026E">
        <w:rPr>
          <w:rFonts w:ascii="Times New Roman" w:hAnsi="Times New Roman"/>
          <w:color w:val="000000" w:themeColor="text1"/>
          <w:sz w:val="16"/>
          <w:szCs w:val="16"/>
        </w:rPr>
        <w:lastRenderedPageBreak/>
        <w:t>мм. Осколочными снарядами было произведено 3 выстрела (выстрелы № 24 – 26), при этом броневой защите ПОУ каких-либо повреждений нанесено не было. При попадании 45-мм бронебойного тупоголового снаряда с двумя подрезами (выстрел № 27) в переднюю часть бронировки ПОУ в ней образовалась вмятина глубиной до 25 мм со сквозной трещиной, при этом сварка кронштейнов крепления пушки в башне нарушена не была и подъемный механизм пушки работал нормально. На основании полученных данных обстрела был сделан следующий вывод:</w:t>
      </w:r>
    </w:p>
    <w:p w14:paraId="6B6E1A07"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45 мм осколочные снаряды черт. № 2-01544 не наносят поражения бронезащите противооткатных приспособлений и система устойчива.</w:t>
      </w:r>
    </w:p>
    <w:p w14:paraId="79E96005"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45 мм бронебойные снаряды черт. № 2-03347 наносят существенное поражение бронезащите противооткатных приспособлений и его креплению. Сама же систем устойчива против действия 45 мм бронебойных снарядов.</w:t>
      </w:r>
    </w:p>
    <w:p w14:paraId="0915AC29"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Требуется значительное усиление бронезащиты противооткатных приспособлений, а также элементов его крепления».</w:t>
      </w:r>
    </w:p>
    <w:p w14:paraId="1F7A5C9D"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2051. Л. 92]</w:t>
      </w:r>
    </w:p>
    <w:p w14:paraId="343FC3F5"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Затем по броневой защите ПОУ пушки Л-11 был произведен выстрел 76,2-мм осколочно-фугасным снарядом (выстрел № 30), стрельба велась полным пороховым зарядом из 76,2-мм дивизионной пушки обр. 1902/30 г. с длиной ствола 40 калибров. В результате попадания снаряда броневая защита ПОУ была полностью разрушена, произошел откат ствола пушки на 80 мм, и появилась течь гидравлической жидкости из противооткатных устройств пушки. При этом кронштейны для крепления пушки в башне танка повреждений не получили. Относительно стойкости броневой защиты ПОУ пушки Л-11 против действия 76,2-мм осколочно-фугасного снаряда были сделаны следующие выводы:</w:t>
      </w:r>
    </w:p>
    <w:p w14:paraId="0D4D6E71"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Броневая защита противооткатных приспособлений слаба. От удара 76 мм снаряда черт. № 2-01635 произошло полное разрушение броневой защиты противооткатных приспособлений.</w:t>
      </w:r>
    </w:p>
    <w:p w14:paraId="6E928FC2"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Как уже было указано выше, требуется значительное усиление бронезащиты противооткатных приспособлений и элементов его крепления».</w:t>
      </w:r>
    </w:p>
    <w:p w14:paraId="07A1F3DA"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2051. Л. 93]</w:t>
      </w:r>
    </w:p>
    <w:p w14:paraId="6B1494BC"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прочности крепления пушки в башне танка обстрелу также был подвергнут лобовой лист башни, в правую его часть был сделан выстрел 45-мм бронебойным тупоголовым снарядом с двумя подрезами (выстрел № 28), при этом стрельба велась полным пороховым зарядом. В месте попадания снаряда образовалась сквозная пробоина, снаряд проник внутрь башни и был найден целым между лобовым листом башни и маской пушки. При осмотре башни выяснилось, что крепление пушки в башне танка не нарушено и подъемный механизм пушки работал исправно.</w:t>
      </w:r>
    </w:p>
    <w:p w14:paraId="0F9AE663"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Следующие два выстрела были произведены 76,2-мм осколочно-фугасными снарядами с полным пороховым зарядом в левую часть лобового листа башни (выстрелы № 29 и 31).</w:t>
      </w:r>
    </w:p>
    <w:p w14:paraId="448521A2"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первого попадания 76,2-мм осколочно-фугасным снарядом (выстрел № 29) в нижнюю левую часть лобового листа башни в броневой детали образовался еле заметный отпечаток, а корпус снаряда разбился на осколки. Рядом с местом попадания снаряда в сварном шве, соединявшем лобовой лист с передней обечайкой башни, образовалась трещина длиной 160 мм. Еще одна трещина, длиной 120 мм, образовалась в сварном шве, соединявшим лобовой лист башни с левым кронштейном для установки пушки. В передней и левой частях верхнего погона шариковой опоры башни было сорвано 12 болтов крепления, в нижнем погоне шариковой опоры башни – 8 болтов, также в результате попадания были ослаблены все болты крепления захватов шариковой опоры башни и сорван броневой колпак люка вентиляции на крыше башни.</w:t>
      </w:r>
    </w:p>
    <w:p w14:paraId="42680A22"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второго попадания 76,2-мм осколочно-фугасным снарядом в центральную левую часть лобового листа башни (выстрел № 31) была сорвана защита перископического прицела ПТ-3, а трещина в сварном шве, соединявшим лобовой лист башни с левым кронштейном для установки пушки, увеличилась с 120 до 160 мм. Кроме того в этом же сварном шве образовалась новая трещина длиной 100 мм.</w:t>
      </w:r>
    </w:p>
    <w:p w14:paraId="2C59A2BA"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заключительном этапе полигонных испытаний в лобовой лист башни было сделано еще два выстрела 76,2-мм бронебойными снарядами (выстрелы № 63 и 64). Стрельба велась с ударной скоростью 487 м/с, что соответствовало выстрелу из 76,2-мм дивизионной пушки обр. 1902/30 г. с длиной ствола 40 калибров с дистанции 1900 м при стрельбе полным пороховым зарядом. В обоих случаях в лобовом листе башни образовались пробоины диаметром меньше калибра, однако существенных разрушений в башне после этих попаданий снарядов обнаружено не было. При осмотре башни выяснилось, что кронштейны крепления пушки Л-11 находились на своих местах и что подъемный механизм сохранил свою работоспособность – пушка могла перемещаться в вертикальной плоскости в ограниченных пределах.</w:t>
      </w:r>
    </w:p>
    <w:p w14:paraId="05C49463"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Относительно результатов снарядного обстрела лобового листа башни танка Т-34 специалистами полигона были сделаны следующие выводы:</w:t>
      </w:r>
    </w:p>
    <w:p w14:paraId="617D5322"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Броня в передней части башни оказалась пробитой 45 мм снарядом черт. № 2-03347. Сварка в лобовой части башни устойчива против действия 45 мм бронебойного снаряда. Система [пушка Л-11] устойчива.</w:t>
      </w:r>
    </w:p>
    <w:p w14:paraId="1FEB2FE5"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переднюю часть башни с левой стороны было сделано 4 выстрела снарядами 76 мм калибра. Осколочно-фугасные снаряды черт. № 2-01635 не наносят поражения броне башни. Бронебойные снаряды черт. № 2-03545 пробивают броню башни при скорости удара 487 м/с, т.е. с дистанции около 1900 м при стрельбе полным зарядом. В левом кронштейне образовались трещины по сварке, но кронштейны орудийных цапф удержались на месте, и система оказалась устойчивой.</w:t>
      </w:r>
    </w:p>
    <w:p w14:paraId="1C99374A"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После выстрела № 29 (76 мм осколочно-фугасным снарядом черт. № 2-01635) было сорвано 12 болтов верхнего погона и 8 болтов нижнего погона. Требуется усиление болтов, крепящих нижний и верхний погоны».</w:t>
      </w:r>
    </w:p>
    <w:p w14:paraId="3CEAD638"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2051. Л. 92 – 93]</w:t>
      </w:r>
    </w:p>
    <w:p w14:paraId="1828EF00"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прочности сварного соединения бортовых листов башни с ее лобовым листом, передняя часть правого бортового листа башни в месте его соединения с лобовым листом была подвергнута обстрелу 37-мм (чертеж 3882, эталон 0129) и 45-мм (чертеж 2-03347) бронебойными снарядами. Одновременно с определением прочности сварного соединения при обстреле оценивалась противоснарядная стойкость правой стороны башни по сравнению с левой ее стороной.</w:t>
      </w:r>
    </w:p>
    <w:p w14:paraId="75657F81"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Сначала по передней части правого бортового листа башни было сделано 7 выстрелов 37-мм остроголовыми бронебойными снарядами (выстрелы № 32 – 38). Причем выстрел № 32 был произведен с ударной скоростью 748,8 м/с (близкой к ПСП для левого бортового листа башни), а остальные выстрелы с ударными скоростями 710 – 712 м/с (скорости непробития брони). При выстреле № 32 была получена пробоина диаметром около калибра. Выстрелы № 33, 34 и 35 оказались незачетными, так как в двух случаях снаряды прошли выше башни, а после выстрела № 34 снаряд попал в боковую кромку лобового листа башни. В результате выстрелов № 36 и 37 на правом бортовом листе башни в местах попадания снарядов образовались вмятины глубиной до 11 мм. Выстрел № 38 оказался наиболее метким – снаряд попал точно в сварной шов, соединявший правый бортовой лист с лобовым листом башни. В месте удара с наружной стороны сварного шва образовалась вмятина глубиной 11 мм, а с внутренней стороны – небольшая трещина длиной 25 – 30 мм. Других разрушений сварных швов после обстрела 37-мм бронебойными снарядами обнаружено не было.</w:t>
      </w:r>
    </w:p>
    <w:p w14:paraId="51D97405"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этого в переднюю часть правого бортового листа башни было сделано 8 выстрелов 45-мм бронебойными тупоголовыми снарядами с двумя подрезами с ударными скоростями 720 – 724 м/с (выстрелы № 39 – 46). Попадания первых пяти снарядов не вызвали никаких разрушений в сварных швах. После выстрела № 44 в месте попадания снаряда (в верхний край сварного шва) образовалась вмятина глубиной 21 мм, а с внутренней стороны – трещина длиной 170 мм и откол металла сварного шва размером 30 × 15 мм. Снаряд выстрела № 45 попал в сварной шов рядом с местом попадания предыдущего снаряда, в результате чего образовалась сквозная пробоина и откол брони с внутренней стороны башни размером 90 × 50 мм. Кроме этого в сварном шве образовались трещины длиной 170 мм в сторону лобовой части башни и 70 мм в сторону кормовой части башни. После выстрела № 46 в месте попадания снаряда также образовалась сквозная пробоина диаметром 46 – 55 мм.</w:t>
      </w:r>
    </w:p>
    <w:p w14:paraId="1E44BCE9"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итогам снарядного обстрела правого бортового листа башни танка Т-34 специалистами АНИОПа были сделаны следующие выводы:</w:t>
      </w:r>
    </w:p>
    <w:p w14:paraId="4E0FE8FF"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Сварка в передней части башни вполне устойчива против действия 37 мм бронебойных снарядов черт. № 00129.</w:t>
      </w:r>
    </w:p>
    <w:p w14:paraId="536A5ADF"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Сварка бокового листа недостаточно прочна против действия 45 мм бронебойных снарядов черт. № 2-03347. Удар снаряда по сварке, или же очень близко к сварке, сопровождается образованием трещин по шву сварки, с частичным расслоением самой сварки.</w:t>
      </w:r>
    </w:p>
    <w:p w14:paraId="322D0DDB"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Попутная проверка показала, что сопротивляемость брони правой стороны башни примерно равноценна сопротивляемости брони левой стороны башни».</w:t>
      </w:r>
    </w:p>
    <w:p w14:paraId="0579532B"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2051. Л. 93 – 94]</w:t>
      </w:r>
    </w:p>
    <w:p w14:paraId="1A784C79"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Далее, в соответствии с программой испытаний, обстрелу 37-мм и 45-мм бронебойными снарядами было подвергнуто основание правого смотрового прибора башни. Обстрел производился в целях определения прочности крепления основания смотрового прибора к корпусу башни.</w:t>
      </w:r>
    </w:p>
    <w:p w14:paraId="141A8C1C"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Сначала в основание правого смотрового прибора башни было сделано 3 выстрела 37-мм остроголовыми бронебойными снарядами со скоростями удара 707 – 714 м/с (выстрелы № 47, 48 и 49). В результате выстрелов № 47 и 48 в местах попадания снарядов в броне образовались вмятины глубиной 11 и 21 мм, при этом никаких разрушений сварного шва, соединявшего основание смотрового прибора с бортовым листом башни, обнаружено не было. После выстрела № 49 снаряд попал в верхнюю кромку выреза в бортовом листе башни, при этом была сорвана верхняя планка смотрового прибора. Кроме этого в двух местах сварного шва образовались трещины: одна длиной около 125 мм – с наружной стороны в верхней части основания смотрового прибора, вторая длиной около 120 мм – с внутренней стороны по нижней кромке выреза в бортовом листе башни.</w:t>
      </w:r>
    </w:p>
    <w:p w14:paraId="597DD2F4"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Затем в основание правого смотрового прибора было сделано 2 выстрела 45-мм бронебойными тупоголовыми снарядами с двумя подрезами с ударными скоростями 716 – 720 м/с (выстрелы № 50 и 51). После выстрела № 50 снаряд попал в вырез основания смотрового прибора, сделав открытую пробоину глубиной 32 мм и диаметром 51 мм с отколом брони с внутренней стороны основания диаметром около 90 мм. При этом трещины в сварном шве, соединявшем основание смотрового прибора с бортовым листом башни, несколько увеличилась. После выстрела № 51 основание правого смотрового прибора было сорвано снарядом с места и расколото пополам. Относительно прочности оснований смотровых приборов и их крепления к корпусу башни танка Т-34 в отчете, составленном по итогам обстрела, было отмечено:</w:t>
      </w:r>
    </w:p>
    <w:p w14:paraId="4B12D11A"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«а) Основание смотрового прибора и сварка устойчивы против действия 37 мм бронебойных снарядов черт. № 00129.</w:t>
      </w:r>
    </w:p>
    <w:p w14:paraId="2BECB2F4"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Основание смотрового прибора и сварка неустойчивы против действия 45 мм бронебойного снаряда черт. № 2-03347. После выстрела № 50 произошел откол с внутренней стороны основания смотрового прибора, а после выстрела № 51 – срыв основания по сварке. Требуется усиление сварки и повышение механических качеств металла основания смотрового прибора».</w:t>
      </w:r>
    </w:p>
    <w:p w14:paraId="329A12AF"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2051. Л. 94]</w:t>
      </w:r>
    </w:p>
    <w:p w14:paraId="5BCB8775"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надежности крепления оборудования, расположенного внутри башни танка, в правый бортовой лист башни, в переднюю его часть, был произведен выстрел 76,2-мм осколочно-фугасным снарядом с дистанции 63 м полным пороховым зарядом (выстрел № 52). В месте попадания снаряда в броне остался отпечаток, при этом правый бортовой лист башни прогнулся, максимальная стрела прогиба в точке удара оказалась равной 12 мм. В сварном шве, соединявшем бортовой лист башни с крышей башни, образовалась трещина. Внутри башни щиток электроприборов был сорван с креплений, так же были сорваны болты крепления верхнего погона шариковой опоры башни (на верхнем погоне осталось неповрежденными 4 болта) и один захват. В отчете было отмечено, что результат выстрела № 52 указывает на необходимость усиления захватов, крепления щитка электрооборудования, болтов верхнего и нижнего погонов, сварки и крепления предохранителей зажигания.</w:t>
      </w:r>
    </w:p>
    <w:p w14:paraId="2A188313"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Далее испытанию на прочность подвергся съемный кормовой лист башни («дверца ниши»). Обстрел этой броневой детали производился 45-мм бронебойным тупоголовым снарядом с двумя подрезами (чертеж 2-03347) с ударной скоростью 714 м/с и 76,2-мм осколочно-фугасным снарядом на полном пороховом заряде.</w:t>
      </w:r>
    </w:p>
    <w:p w14:paraId="09693524"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попадания 45-мм бронебойного снаряда (выстрел № 53) в съемном кормовом листе башни, выше и правее отверстия для стрельбы из револьвера, образовалась пробоина диаметром около калибра. Внутри башни была повреждена защелка заглушки отверстия для стрельбы из револьвера, а сама заглушка («груша») выброшена наружу башни. Кроме этого были сорваны два нижних болта крепления съемного кормового листа башни. После попадания 76,2-мм осколочно-фугасного снаряда (выстрел № 54) съемный кормовой лист раскололся на две части, причем правая половина броневой детали осталась на своем месте, а левая половина частично, под углом 45˚, вошла вовнутрь башни. Относительно прочности крепления съемного кормового листа башни специалисты АНИОПа сделали следующий вывод:</w:t>
      </w:r>
    </w:p>
    <w:p w14:paraId="24285343"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«Крепление крышки люка для проталкивания орудия [съемного кормового листа башни] ненадежное. От удара 45 мм снаряда черт. № 2-03347 нижние болты были сорваны, а от удара 76 мм осколочно-фугасного снаряда черт. № 2-01635 произошло полное разрушение крышки люка. Необходимо усилить бронестойкость крышки люка и его крепление. Также необходимо усилить крепление защелки груши».</w:t>
      </w:r>
    </w:p>
    <w:p w14:paraId="3A0EF91F"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2051. Л. 95]</w:t>
      </w:r>
    </w:p>
    <w:p w14:paraId="6B77F48C"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степени защищенности механизма поворота башни (далее – МПБ) в левый бортовой лист, в зону размещения МПБ было сделано 3 выстрела 45-мм бронебойными снарядами с ударной скоростью 714 – 715,6 м/с (выстрелы № 55, 56 и 57).</w:t>
      </w:r>
    </w:p>
    <w:p w14:paraId="73ED9A57"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выстрела № 55 снаряд попал сварной шов, соединявший левый бортовой лист с передней обечайкой башни, в результате чего в броневом листе образовалась вмятина глубиной 22 мм и две трещины в сварном шве, с наружной стороны длиной 130 мм и с внутренней – 300 мм. Кронштейн МПБ остался неповрежденным, но на сварном шве, соединявшем его с корпусом башни, была обнаружена трещина длиной около 130 мм. Снарядом следующего выстрела (№ 56) левый бортовой лист башни был пробит насквозь, при этом картер МПБ выбитой из брони пробкой был сорван с места крепления. В результате третьего выстрела (№ 57) от воздействия снаряда в левом бортовом листе башни также была образована сквозная пробоина. При этом первые два выстрела производились 45-мм бронебойными тупоголовыми снарядами с двумя подрезами (чертеж 2-03347), а третий – штатным 45-мм бронебойным тупоголовым снарядом (чертеж 2-04830, эталон 0130) для проверки его бронебойных качеств. В отчете относительно защищенности МПБ было отмечено:</w:t>
      </w:r>
    </w:p>
    <w:p w14:paraId="7D46E2A1"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 сквозном пробитии 45 мм бронебойный снаряд черт. № 2-03347 выводит из строя поворотный механизм башни.</w:t>
      </w:r>
    </w:p>
    <w:p w14:paraId="23713167"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этих испытаниях снаряд выстрела № 55 попал в сварку, причем этот выстрел вновь подтвердил недостаточную прочность сварки против действия 45 мм бронебойных снарядов».</w:t>
      </w:r>
    </w:p>
    <w:p w14:paraId="4880FA15"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2051. Л. 95]</w:t>
      </w:r>
    </w:p>
    <w:p w14:paraId="1706E447"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дополнительной проверки прочности сварного соединения бортового листа с днищем ниши башни, а также для определения возможности попадания снаряда через днище ниши внутрь башни, снарядный обстрел был продолжен. В нижний край левого бортового листа, рядом с местом его соединения с днищем ниши башни, был сделан выстрел 76,2-мм осколочно-фугасным снарядом полным пороховым зарядом (выстрел № 58). От удара снаряда о броневой лист образовался пролом размером 100 × 140 мм, при этом днище ниши башни получило серьезные повреждения, а сама башня была сорвана с шариковой опоры:</w:t>
      </w:r>
    </w:p>
    <w:p w14:paraId="7E7039CD"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днище ниши против пробоины оторван кусок металла размером 200 – 40 × 50 – 150 мм. Край днища против пробоины погнут вниз на 80 – 90 мм и кроме того, в днище образовалась сквозная трещина длиною 410 мм. В задней части днище ниши сорвано по сварке (зазор до 5 мм). В передней части днища сварка нарушена на участке около 500 мм. Отколовшиеся половинки крышки заднего люка выброшены наружу. От удара снаряда башня танка повернулась на 30 – 35˚ и несколько подвинулась вперед. Башня наклонена в сторону передней части танка, причем в задней части образовался зазор между крышей корпуса и нижним срезом башни в 30 мм, а в передней части нижний срез башни упирается на крышу корпуса. Снаряд разбился в осколки, причем вовнутрь башни проникли осколки брони и снаряда».</w:t>
      </w:r>
    </w:p>
    <w:p w14:paraId="32666EA6"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2051. Л. 76 – 77]</w:t>
      </w:r>
    </w:p>
    <w:p w14:paraId="1EAFB5D7"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Следует отметить, что столь серьезные разрушения башни после выстрела № 58 были вызваны тем, что 76,2-мм осколочно-фугасный снаряд попал в ту часть башни, которая ранее была сильно ослаблена воздействием 45-мм бронебойных снарядов. Фактически 76,2-мм осколочно-фугасный снаряд попал в край сквозной пробоины, образовавшейся после выстрела № 12. После обстрела специалистами АНИОПа был сделан вывод о том, что днище ниши башни и его сварка требуют значительного усиления.</w:t>
      </w:r>
    </w:p>
    <w:p w14:paraId="55DFC349"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то что башня танка Т-34 получила значительные повреждения, ее испытания были продолжены. В целях определения фактических показателей противоснарядной стойкости бортовые листы башни были подвергнут обстрелу 76,2-мм бронебойными снарядами (чертеж № 2-03545). В башню было произведено пять выстрелов бронебойными снарядами этого калибра с различными ударными скоростями (выстрелы № 59 – 63), из них четыре выстрела – в правый бортовой лист башни и один – в левый. При этом показатели противоснарядной стойкости бортовых листов башни оказались равными: по ПТП – 487,2 м/с, что соответствовало выстрелу с дистанции около 1900 м при стрельбе полным пороховым зарядом, и по ПСП – 534 м/с (выстрел с дистанции 1250 м). Таким образом, опасные поражения (разрушение тыльной стороны брони) становились возможными при обстреле бортов башни танка Т-34 бронебойными снарядами из 76,2-мм дивизионной пушки обр. 1902/30 г. с длиной ствола в 40 калибров с дистанции 1900 м и ближе. Сквозное пробитие бортов башни становилось возможным при обстреле из той же пушки тем же снарядом с дистанции 1250 м.</w:t>
      </w:r>
    </w:p>
    <w:p w14:paraId="04539A9E"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как было отмечено в отчете, точно определить предел сквозного пробития при обстреле 76,2-мм бронебойными снарядами специалистам АНИОПа не удалось, так как башня имела многочисленные разрушения и была сорвана с шариковой опоры, вследствие чего при ударах снарядов перемещалась в направлении выстрелов. Из отчета по обстрелу:</w:t>
      </w:r>
    </w:p>
    <w:p w14:paraId="165F63BC"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скорости удара в 534 м/с в башне была получена пробоина около калибра (см. выстрел № 62), а при скорости около 545 м/с в броне башни получилась вмятина (выстрел № 63), причем после выстрела № 63 башня оказалась смещенной на 300 мм в направлении выстрела. Дальнейшие выстрелы для уточнения ПСП были бы бесцельны, а поэтому испытание было прекращено».</w:t>
      </w:r>
    </w:p>
    <w:p w14:paraId="6481EFF2"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2051. Л. 79]</w:t>
      </w:r>
    </w:p>
    <w:p w14:paraId="67DF1025"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заключительной части испытаний башни танка Т-34 проверке на прочность было подвергнуто сварное соединение лобового листа башни с передней обечайкой. Обстрел велся 45-мм бронебойными тупоголовыми снарядами с двумя подрезами (чертеж 2-03347) с ударной скоростью 723 м/с, всего в это место башни было сделано 3 выстрела (выстрелы № 66 – 68).</w:t>
      </w:r>
    </w:p>
    <w:p w14:paraId="737B5798"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этом первые два выстрела № 66 и № 67 оказались незачетными, так как вместо указанного сварного соединения снаряды попали в верхнюю кромку основания правого смотрового прибора механика-водителя. Для получения более точного попадания дистанция стрельбы была сокращена с 63 до 23 м.</w:t>
      </w:r>
    </w:p>
    <w:p w14:paraId="5DDC6198"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выстрела № 68 снаряд попал в указанное место – в среднюю часть сварного шва, соединявшего переднюю обечайку с лобовым листом башни. В результате попадания сварной шов был полностью разрушен на длине около 500 мм, и передняя правая часть обечайки сместилась вниз на 20 мм. Кроме этого внутри башни произошел откол нижнего края маски пушки Л-11 размером 110 × 40 мм. Относительно прочности сварного соединения передней обечайки с лобовым листом башни танка Т-34 специалисты полигона сделали следующие выводы:</w:t>
      </w:r>
    </w:p>
    <w:p w14:paraId="6A98FC54"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Сварной шов под орудийным стволом не прочен против действия 45 мм бронебойного снаряда черт. № 2-03347. Произошло полное разрушение сварки на участке ок. 500 мм. Передняя правая часть обичайки опустилась вниз на 20 мм. Сварной шов требует усиления.</w:t>
      </w:r>
    </w:p>
    <w:p w14:paraId="0A1502E1"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Необходимо также усилить маску с внутренней стороны башни (произошел откол нижнего края маски на длине 110 мм и на глубину 40 мм)».</w:t>
      </w:r>
    </w:p>
    <w:p w14:paraId="631C157A"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2051. Л. 96]</w:t>
      </w:r>
    </w:p>
    <w:p w14:paraId="4770DBD0"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во время полигонных испытаний в башню танка Т-34 № 311-25-3 было произведено в общей сложности 68 выстрелов снарядами калибра 37, 45 и 76,2 мм. В процессе обстрела работниками полигона периодически производилась проверка работы дизеля В-2 и способности самостоятельного перемещения танка. Во всех случаях дизель В-2 работал нормально, и танк мог перемещаться. После завершения испытаний снарядным обстрелом танк Т-34 своим ходом, преодолев 8,5 км, прибыл со стрельбища к месту стоянки на полигоне.</w:t>
      </w:r>
    </w:p>
    <w:p w14:paraId="4FAD8304"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Общие виды танка Т-34 № 311-25-3 после завершения полигонных испытаний</w:t>
      </w:r>
    </w:p>
    <w:p w14:paraId="4E882318"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 составление отчета по пулевому и снарядному обстрелу башни танка Т-34, получившему номер 00227, у сотрудников АНИОПа ушло немногим более месяца. Шесть экземпляров отчета № 00227были отпечатаны 22 октября 1940 г., затем подписаны и 31 октября 1940 г. отправлены председателю Арткома ГАУ КА, начальнику БТУ ГАБТУ КА и директорам заводов № 183, Мариупольского им. Ильича и Ижорского. Однако анализ данных, полученных в ходе испытания башни танка Т-34 № 311-25-3 обстрелом начался задолго до того как отчеты дошли до адресатов.</w:t>
      </w:r>
    </w:p>
    <w:p w14:paraId="57B7261C"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уже было отмечено ранее, показатели противоснарядной стойкости башни, испытанной на АНИОПе оказались значительно ниже норм, установленных для приемки брони из стали марки «8С» («МЗ-2»), и тем самым не соответствовали требованиям ГАБТУ КА. Для выяснения причин возникновения пониженной противоснарядной стойкости испытанной на АНИОПе башни, во второй половине сентября 1940 г. была создана совместная комиссия из представителей ГАБТУ КА и 3-го Главного управления НКСП под председательством начальника 3-го отделения 3-го отдела БТУ ГАБТУ КА военинженера 2 ранга И.А. Бурцева.</w:t>
      </w:r>
    </w:p>
    <w:p w14:paraId="283DEA92"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деятельности этой комиссии будет рассказано отдельно, здесь же отметим, что благодаря ее работе было выяснено, что пониженная противоснарядная стойкость испытанной на АНИОПе башни явилась следствием несовершенства технологии термической обработки, используемой на Мариупольском заводе им. Ильича при изготовлении крупногабаритных броневых деталей танка Т-34. По рекомендациям комиссии под председательством И.А. Бурцева технологами Мариупольского завода в середине октября 1940 г. был разработан перечень мероприятий по повышению качества выпускаемых броневых деталей танка Т-34 и ужесточению контроля при их изготовлении на всех этапах производственного процесса. В результате внедрения этих мероприятий в производство качество выпускаемых Мариупольским заводом броневых деталей для танка Т-34 к концу 1940 г. существенно повысилось, что в дальнейшем подтвердилось многочисленными испытаниями.</w:t>
      </w:r>
    </w:p>
    <w:p w14:paraId="6A5CBA2E" w14:textId="77777777" w:rsidR="00066CED" w:rsidRPr="00A3026E" w:rsidRDefault="00066CE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в первой половине осени 1940 г. была успешно решена еще одна значительная проблема – проблема оснащения «тридцатьчетверки» средствами внешней связи. Коллективу отдела «500» завода № 183 удалось добиться приемлемого размещения радиостанции 71-ТК-3 в корпусе танка Т-34 в полном соответствии с требованиями ГАБТУ КА. О том, как это происходило, будет рассказано в следующей главе. Что же касается дальнейшей судьбы танка Т-34 № 311-25-3, то согласно распоряжению заместителя начальника ГАБТУ КА генерал-майора технических войск И.А. Лебедева после завершения полигонных испытаний эта машина была передана заводу № 183 для проведения опытных работ (19575).</w:t>
      </w:r>
    </w:p>
    <w:p w14:paraId="025F5A12" w14:textId="77777777" w:rsidR="00066CED" w:rsidRPr="00A3026E" w:rsidRDefault="00066CED" w:rsidP="00A3026E">
      <w:pPr>
        <w:spacing w:after="0" w:line="240" w:lineRule="auto"/>
        <w:jc w:val="both"/>
        <w:rPr>
          <w:rFonts w:ascii="Times New Roman" w:hAnsi="Times New Roman"/>
          <w:color w:val="000000" w:themeColor="text1"/>
          <w:sz w:val="16"/>
          <w:szCs w:val="16"/>
        </w:rPr>
      </w:pPr>
    </w:p>
    <w:p w14:paraId="1C0F2C72" w14:textId="6FC0188D" w:rsidR="00E63BD2" w:rsidRPr="00A3026E" w:rsidRDefault="00E63BD2"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За рубежом:</w:t>
      </w:r>
    </w:p>
    <w:p w14:paraId="73BC6677" w14:textId="77777777" w:rsidR="00E63BD2" w:rsidRPr="00A3026E" w:rsidRDefault="00E63BD2" w:rsidP="00A3026E">
      <w:pPr>
        <w:spacing w:after="0" w:line="240" w:lineRule="auto"/>
        <w:jc w:val="both"/>
        <w:rPr>
          <w:rFonts w:ascii="Times New Roman" w:hAnsi="Times New Roman"/>
          <w:i/>
          <w:iCs/>
          <w:color w:val="000000" w:themeColor="text1"/>
          <w:sz w:val="16"/>
          <w:szCs w:val="16"/>
        </w:rPr>
      </w:pPr>
    </w:p>
    <w:p w14:paraId="377AD4C8" w14:textId="77777777" w:rsidR="00E63BD2" w:rsidRPr="00A3026E" w:rsidRDefault="00E63BD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начале осени 1940 г. на первых строевых Не111Н-3 смонтировали два держателя PVC1006 грузоподъемностью 1000 кг для подвески торпед. Моторов Jumo211F-2 по 1350 л.с. хватало для безопасного взлета на пределе, оторвавшись же, самолет с двумя торпедами управлялся нормально. В октябре первые серийные торпедоносцы Не111Н-6 получили эскадрильи 6/KG26 и 1/KG28 (22902).</w:t>
      </w:r>
    </w:p>
    <w:p w14:paraId="7E41C45C" w14:textId="77777777" w:rsidR="00E63BD2" w:rsidRPr="00A3026E" w:rsidRDefault="00E63BD2" w:rsidP="00A3026E">
      <w:pPr>
        <w:spacing w:after="0" w:line="240" w:lineRule="auto"/>
        <w:jc w:val="both"/>
        <w:rPr>
          <w:rFonts w:ascii="Times New Roman" w:hAnsi="Times New Roman"/>
          <w:color w:val="0070C0"/>
          <w:sz w:val="16"/>
          <w:szCs w:val="16"/>
        </w:rPr>
      </w:pPr>
    </w:p>
    <w:p w14:paraId="1F0F1279" w14:textId="0D28DD3F"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0446CB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C0AD7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началось проектирование ЦКБ-60. Выполнявшийся по схеме цельнометаллического низкоплана с разнесенным двухкилевым вертикальным оперением и убирающимися в гондолы двигателей основными опорами шасси, новый штурмовик имел чистые аэродинамические формы. Самолет спроектировали под два серийных двигателя жидкостного охлаждения АМ-38 и разработали в двух вариантах - одноместном, без оборонительного вооружения, в соответствии с ТТТ ВВС, и двухместном, с защитой задней полусферы крупнокалиберным пулеметом у штурмана-стрелка. Экипаж и протектированные топливные баки разместили в центральной части фюзеляжа в броне-корпусе, воспринимавшем нагрузки от ряда элементов конструкции: пушечных и пулеметных лафетов, лонжеронов крыла, хвостовой части фюзеляжа. Двигатели, водяные и масляные радиаторы защищались броней частично. Топливные баки имели систему заполнения нейтральным газом. Очень тонкое крыло самолета оборудовалось предкрылками, зависающими элеронами и посадочными щитками. Такая мощная для своего времени механизация крыла должна была обеспечить значительно более тяжелому и скоростному штурмовику практически одинаковые с Ил-2 взлетно-посадочные характеристики. Для снижения веса проект предусматривал широкое применение в конструкции ЦКБ-6 магниевого сплава «электрон» (9528).</w:t>
      </w:r>
    </w:p>
    <w:p w14:paraId="46EB1C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Бронетехнику и мотопехоту противника новы штурмовик, в начале 1941 г. получивший обозначени Ил-6, должен был уничтожать пушечно-пулеметным огнем, бомбами и реактивными снарядами. Предусмат ривалось несколько вариантов вооружения. По одном из них на самолете стояли одна 37-мм и две 23-мм пушки и четыре 12,7-мм или 7,62-мм пулемета. Все оружи монтировали на быстросъемных креплениях и ком пактно размещали в носу фюзеляжа, это обеспечивал» высокую точность и кучность стрельбы. На внутренней подвеске в шести бомбоотсеках центроплана самоле мог нести 600 кг бомб, а его максимальная бомбовая на грузка достигала 1000 кг. Вооружение дополнялось во семью реактивными снарядами PC-132, подвешиваемы ми под крыльями.</w:t>
      </w:r>
    </w:p>
    <w:p w14:paraId="44C341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Эскизный проект Ил-6 одобрили, постройку маши ны включили в план опытного строительства (9528).</w:t>
      </w:r>
    </w:p>
    <w:p w14:paraId="11A7D7C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F0CC5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С.В.И. начал проектировать ЦКБ-60, который был выполнять те же тактические задачи, что и обычный бронированный штурмовик (173,44).</w:t>
      </w:r>
    </w:p>
    <w:p w14:paraId="57FCF1E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D918D7" w14:textId="77777777" w:rsidR="00472045" w:rsidRPr="00A3026E" w:rsidRDefault="00472045" w:rsidP="00A3026E">
      <w:pPr>
        <w:pStyle w:val="aff3"/>
        <w:shd w:val="clear" w:color="auto" w:fill="auto"/>
        <w:spacing w:line="240" w:lineRule="auto"/>
        <w:rPr>
          <w:rFonts w:ascii="Times New Roman" w:hAnsi="Times New Roman" w:cs="Times New Roman"/>
          <w:i w:val="0"/>
          <w:color w:val="000000" w:themeColor="text1"/>
          <w:sz w:val="16"/>
          <w:szCs w:val="16"/>
          <w:lang w:val="ru-RU"/>
        </w:rPr>
      </w:pPr>
      <w:r w:rsidRPr="00A3026E">
        <w:rPr>
          <w:rFonts w:ascii="Times New Roman" w:hAnsi="Times New Roman" w:cs="Times New Roman"/>
          <w:i w:val="0"/>
          <w:color w:val="000000" w:themeColor="text1"/>
          <w:sz w:val="16"/>
          <w:szCs w:val="16"/>
          <w:lang w:val="ru-RU"/>
        </w:rPr>
        <w:t>Осенью 1940 г., директор завода №381 Т.Х.Филимончук получил задание построить в 1940 г. 10 самолетов БШ-2 АМ-35. При этом выпуск войсковой серии БШ-2 АМ-35 с завода №30 не снимался.</w:t>
      </w:r>
    </w:p>
    <w:p w14:paraId="2C9AB57E" w14:textId="77777777" w:rsidR="00472045" w:rsidRPr="00A3026E" w:rsidRDefault="00472045" w:rsidP="00A3026E">
      <w:pPr>
        <w:pStyle w:val="11b"/>
        <w:shd w:val="clear" w:color="auto" w:fill="auto"/>
        <w:spacing w:after="0"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Как следует из документов, 10 штур</w:t>
      </w:r>
      <w:r w:rsidRPr="00A3026E">
        <w:rPr>
          <w:rFonts w:ascii="Times New Roman" w:hAnsi="Times New Roman" w:cs="Times New Roman"/>
          <w:color w:val="000000" w:themeColor="text1"/>
          <w:sz w:val="16"/>
          <w:szCs w:val="16"/>
        </w:rPr>
        <w:softHyphen/>
        <w:t>мовиков БШ-2 АМ-35 войсковой серии должны были строиться на заводе №381 буквально всем миром.</w:t>
      </w:r>
    </w:p>
    <w:p w14:paraId="46315DE4" w14:textId="77777777" w:rsidR="00472045" w:rsidRPr="00A3026E" w:rsidRDefault="00472045" w:rsidP="00A3026E">
      <w:pPr>
        <w:pStyle w:val="11b"/>
        <w:shd w:val="clear" w:color="auto" w:fill="auto"/>
        <w:spacing w:after="0"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Так, машиностроительный завод им. Орджоникидзе в Подольске изготавливал бронекорпуса, завод К-4 в Ленинграде - прозрачную броню, металлургический завод «Серп и Молот» в Москве - хро- мансилевые профили. На заводе №39 выполнялась термическая обработка хромансилевых профилей (тавриков) на лонжероны крыла, завод №1 покрывал бензобаки протектором, №305 - изготав</w:t>
      </w:r>
      <w:r w:rsidRPr="00A3026E">
        <w:rPr>
          <w:rFonts w:ascii="Times New Roman" w:hAnsi="Times New Roman" w:cs="Times New Roman"/>
          <w:color w:val="000000" w:themeColor="text1"/>
          <w:sz w:val="16"/>
          <w:szCs w:val="16"/>
        </w:rPr>
        <w:softHyphen/>
        <w:t>ливал нормали и арматуру, №119 - шасси, №32 - поставлял все вооружение, №34 - масляные и водяные радиаторы, №120 - колеса шасси, №24 - 10 моторов АМ-35, №150 - 10 винтов ВИШ-22Т. Кроме этого, завод № 95 обеспечивал подачу всей номенклатуры прессованных профилей, а директор ВИАМ Туманов - «отливку первых 10-ти комплектов деталей из алюминиевых и магниевых сплавов по моделям завода №381» (19087).</w:t>
      </w:r>
    </w:p>
    <w:p w14:paraId="6EEBD9BA" w14:textId="77777777" w:rsidR="00472045" w:rsidRPr="00A3026E" w:rsidRDefault="00472045" w:rsidP="00A3026E">
      <w:pPr>
        <w:pStyle w:val="11b"/>
        <w:shd w:val="clear" w:color="auto" w:fill="auto"/>
        <w:spacing w:after="0" w:line="240" w:lineRule="auto"/>
        <w:jc w:val="both"/>
        <w:rPr>
          <w:rFonts w:ascii="Times New Roman" w:hAnsi="Times New Roman" w:cs="Times New Roman"/>
          <w:color w:val="000000" w:themeColor="text1"/>
          <w:sz w:val="16"/>
          <w:szCs w:val="16"/>
        </w:rPr>
      </w:pPr>
    </w:p>
    <w:p w14:paraId="6DA53AF9" w14:textId="77777777" w:rsidR="00AC610E" w:rsidRPr="00A3026E" w:rsidRDefault="00AC61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Осенью 1940 г. в  бараках Безымянлага находились 22 тысячи человек, которые и занялись возведением огромных производственных корпусов, в том числе авиазавода № 122, предназначавшегося для массового строительства четырехмоторных бомбардировщиков (23199).</w:t>
      </w:r>
    </w:p>
    <w:p w14:paraId="76D45FF5" w14:textId="77777777" w:rsidR="00AC610E" w:rsidRPr="00A3026E" w:rsidRDefault="00AC610E" w:rsidP="00A3026E">
      <w:pPr>
        <w:spacing w:after="0" w:line="240" w:lineRule="auto"/>
        <w:jc w:val="both"/>
        <w:rPr>
          <w:rFonts w:ascii="Times New Roman" w:hAnsi="Times New Roman"/>
          <w:color w:val="0070C0"/>
          <w:sz w:val="16"/>
          <w:szCs w:val="16"/>
        </w:rPr>
      </w:pPr>
    </w:p>
    <w:p w14:paraId="7278D288" w14:textId="77777777" w:rsidR="00601238" w:rsidRPr="00A3026E" w:rsidRDefault="0060123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Осенью 1940 года. После того, как самолет Сухого, и другие конкуренты оказа</w:t>
      </w:r>
      <w:r w:rsidRPr="00A3026E">
        <w:rPr>
          <w:rFonts w:ascii="Times New Roman" w:hAnsi="Times New Roman"/>
          <w:color w:val="0070C0"/>
          <w:sz w:val="16"/>
          <w:szCs w:val="16"/>
          <w:lang w:eastAsia="ru-RU" w:bidi="ru-RU"/>
        </w:rPr>
        <w:softHyphen/>
        <w:t>лись не готовы к запуску в серийное про</w:t>
      </w:r>
      <w:r w:rsidRPr="00A3026E">
        <w:rPr>
          <w:rFonts w:ascii="Times New Roman" w:hAnsi="Times New Roman"/>
          <w:color w:val="0070C0"/>
          <w:sz w:val="16"/>
          <w:szCs w:val="16"/>
          <w:lang w:eastAsia="ru-RU" w:bidi="ru-RU"/>
        </w:rPr>
        <w:softHyphen/>
        <w:t>изводство, а согласно постановлению СНК штурмовые части в составе ВВС Красной Армии предполагалось не только увеличить численно, но и наконец-то перевооружить на современные специализированные самоле</w:t>
      </w:r>
      <w:r w:rsidRPr="00A3026E">
        <w:rPr>
          <w:rFonts w:ascii="Times New Roman" w:hAnsi="Times New Roman"/>
          <w:color w:val="0070C0"/>
          <w:sz w:val="16"/>
          <w:szCs w:val="16"/>
          <w:lang w:eastAsia="ru-RU" w:bidi="ru-RU"/>
        </w:rPr>
        <w:softHyphen/>
        <w:t>ты, наступил звездный час для БШ-2. Один из экземпляров самолета экстренно перестрои</w:t>
      </w:r>
      <w:r w:rsidRPr="00A3026E">
        <w:rPr>
          <w:rFonts w:ascii="Times New Roman" w:hAnsi="Times New Roman"/>
          <w:color w:val="0070C0"/>
          <w:sz w:val="16"/>
          <w:szCs w:val="16"/>
          <w:lang w:eastAsia="ru-RU" w:bidi="ru-RU"/>
        </w:rPr>
        <w:softHyphen/>
        <w:t>ли в одноместный, чтобы соответствовать техническому заданию, выданному П.О. Сухо</w:t>
      </w:r>
      <w:r w:rsidRPr="00A3026E">
        <w:rPr>
          <w:rFonts w:ascii="Times New Roman" w:hAnsi="Times New Roman"/>
          <w:color w:val="0070C0"/>
          <w:sz w:val="16"/>
          <w:szCs w:val="16"/>
          <w:lang w:eastAsia="ru-RU" w:bidi="ru-RU"/>
        </w:rPr>
        <w:softHyphen/>
        <w:t>му на одноместный ОБШ, после чего самолет прошел заводские испытания. Руководству страны представили характеристики новой машины и, несмотря на то, что самолет, назва</w:t>
      </w:r>
      <w:r w:rsidRPr="00A3026E">
        <w:rPr>
          <w:rFonts w:ascii="Times New Roman" w:hAnsi="Times New Roman"/>
          <w:color w:val="0070C0"/>
          <w:sz w:val="16"/>
          <w:szCs w:val="16"/>
          <w:lang w:eastAsia="ru-RU" w:bidi="ru-RU"/>
        </w:rPr>
        <w:softHyphen/>
        <w:t>ный ЦКБ-57, представлял собой откровенно демонстрационный образец, на высшем уровне было принято решение после дора</w:t>
      </w:r>
      <w:r w:rsidRPr="00A3026E">
        <w:rPr>
          <w:rFonts w:ascii="Times New Roman" w:hAnsi="Times New Roman"/>
          <w:color w:val="0070C0"/>
          <w:sz w:val="16"/>
          <w:szCs w:val="16"/>
          <w:lang w:eastAsia="ru-RU" w:bidi="ru-RU"/>
        </w:rPr>
        <w:softHyphen/>
        <w:t>ботки запустить новый штурмовик в крупно</w:t>
      </w:r>
      <w:r w:rsidRPr="00A3026E">
        <w:rPr>
          <w:rFonts w:ascii="Times New Roman" w:hAnsi="Times New Roman"/>
          <w:color w:val="0070C0"/>
          <w:sz w:val="16"/>
          <w:szCs w:val="16"/>
          <w:lang w:eastAsia="ru-RU" w:bidi="ru-RU"/>
        </w:rPr>
        <w:softHyphen/>
        <w:t>серийное производство и организовать пе</w:t>
      </w:r>
      <w:r w:rsidRPr="00A3026E">
        <w:rPr>
          <w:rFonts w:ascii="Times New Roman" w:hAnsi="Times New Roman"/>
          <w:color w:val="0070C0"/>
          <w:sz w:val="16"/>
          <w:szCs w:val="16"/>
          <w:lang w:eastAsia="ru-RU" w:bidi="ru-RU"/>
        </w:rPr>
        <w:softHyphen/>
        <w:t>ревооружение штурмовых полков именно на этот самолет (21289).</w:t>
      </w:r>
    </w:p>
    <w:p w14:paraId="2031913C" w14:textId="77777777" w:rsidR="00601238" w:rsidRPr="00A3026E" w:rsidRDefault="00601238" w:rsidP="00A3026E">
      <w:pPr>
        <w:spacing w:after="0" w:line="240" w:lineRule="auto"/>
        <w:jc w:val="both"/>
        <w:rPr>
          <w:rFonts w:ascii="Times New Roman" w:hAnsi="Times New Roman"/>
          <w:color w:val="0070C0"/>
          <w:sz w:val="16"/>
          <w:szCs w:val="16"/>
        </w:rPr>
      </w:pPr>
    </w:p>
    <w:p w14:paraId="690CB5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строился макет ПБШ-1 А.И.М., эскизный проект которого был утвержден 24 июля 1940 А.И.М., М.И.Гуревичем и директор завода 1 П.В.Дементьевым, однако, с принятием Ил-2 работы остановили (1084,28). По ПБШ-2 биплану все встало тоже (1084,30).</w:t>
      </w:r>
    </w:p>
    <w:p w14:paraId="27ADDF9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46828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внимание Сухого привлек новый двигатель М-81, разработанный под руководством АД.Швецова (5360).</w:t>
      </w:r>
    </w:p>
    <w:p w14:paraId="3AE4E09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98954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осени 1940 отношение руководства к машине ББ-1 Сухого сильно изменилось в негативном направлении. Стало высказываться мнение, что ББ-1 как тип не найдет широкого применения в будущей войне. Военные хорошо знали о беззащитности польских легких одномоторных бомбардировщиков «Карась» перед атаками немецких истребителей. Позже стало известно, что английские «Бэттлы» (наиболее близкие к ББ-1 по схеме и назначению), считавшиеся накануне войны вполне современными, в майских боях 1940 г. во Франции понесли исключительно тяжелые потери. Советская разведка сообщала, что крупнейшие заводы «Остин» в Ковентри перешли на выпуск четырехмоторных бомбардировщиков, прекратив постройку «Бэттлов» (5360).</w:t>
      </w:r>
    </w:p>
    <w:p w14:paraId="2479BE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Специалисты понимали, что нельзя приписывать успехи пикирующего бомбардировщика Ju87 только немецкой пропаганде. Однако закупили в Германии и подробно изучили в НИИ ВВС не его, а другой, двухмоторный пикирующий бомбардировщик Ju88, который оказал большое влияние на советскую авиапромышленность и даже на военную доктрину. У руководства страны не было убежденности, что в предстоящей войне удастся сразу завоевать господство в воздухе, а без него одномоторный двухместный бомбардировщик являлся весьма уязвимым. По мнению руководства ГУ ВВС и НКАП, нашей стране был нужен в массовом производстве не одномоторный «горизонтальный» бомбардировщик, а двухмоторный пикировщик. В результате самолет ББ-1 фактически перестали рассматривать как новый тип серийного бомбардировщика. И раньше руководство страны не жаловало Сухого и его творение своим вниманием. Можно привести такой факт: до войны его машины не участвовали ни в одном параде или крупном показе новой авиатехники. Теперь, после отказа Павла Осиповича переделать самолет в пикирующий бомбардировщик, интерес к ББ-1, казалось, пропал совсем (5360).</w:t>
      </w:r>
    </w:p>
    <w:p w14:paraId="6D81D50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8D68A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 осени 1940 г. внимание Сухого привлекал новый двигатель М-81, разработанный под руководством А.Д. Швецова. В постановлении СНК от 23 октября говорилось, что его доведение является "наиболее важной и первоочередной задачей завода № 19". Директору моторного завода Г. В. Кожевникову поступило указание срочно прислать в Харьков три двигателя М-81 с удлиненным валом и 25-часовым ресурсом, для установки на серийный ББ-1. К этому времени Павел Осипович успел переоборудовать второй опытный экземпляр машины МН "Дублер" с М-90 на М-81. Несмотря на вынужденную посадку "Дублера" во втором испытательном полете из-за заклинивания мотора, Сухой верил в хорошие перспективы данной работы. Однако в конце ноября 1940 г. руководство НКАП сочло мотор М-81 "тупиковым направлением развития" нашего моторостроения, его внедрение и доводку прекратили.</w:t>
      </w:r>
    </w:p>
    <w:p w14:paraId="4989F8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отношение руководства к машине Сухого сильно изменилось, причем в худшую сторону. Стали высказываться мнения, что ББ-1 как тип не найдет широкого применения в будущей войне. Советские военные специалисты уже хорошо знали, что соединения польских одномоторных бомбардировщиков "Карась" оказались беззащитны перед немецкими истребителями. Теперь стало известно, что английские "Бэттлы", недавно считавшиеся современными, в майских боях 1940 г. во Франции понесли исключительно тяжелые потери от огня "мессершмит- тов". Советская разведка сообщала о переводе крупнейших британских заводов "Остин" в Ковентри с выпуска одномоторных бомбардировщиков на четырехмоторные "Стирлинги", которые англичане признали более перспективными и живучими.</w:t>
      </w:r>
    </w:p>
    <w:p w14:paraId="4D15E6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 же время, никак нельзя было приписать успехи пикирующих бомбардировщиков Ju 87 только немецкой пропаганде. Закупленный и подробно изученный в НИИ ВВС КА пикирующий самолет Ju 88 оказал большое влияние на советскую промышленность и военную доктрину. По мнению руководителей ГУ ВВС и НКАП, и нашей стране нужен для участия в будущей войне не одномоторный горизонтальный бомбардировщик, а двухмоторный пикировщик. В результате самолет ББ-1 фактически перестали рассматривать как новый тип серийного бомбардировщика. И раньше руководство страны не жаловало Сухого и его творение своим вниманием. Например, до войны его машины не участвовали ни в одном параде или крупном показе авиатехнике. Теперь, после отказа Павла Осиповича переделать самолет в полноценный пикирующий бомбардировщик (это не позволяли запасы прочности), интерес к ББ-1 еще больше упал.</w:t>
      </w:r>
    </w:p>
    <w:p w14:paraId="5C4069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Почти до конца осени 1940 г. авиапромышленности не удалось преодолеть кризиса в развитии моторов, в особенности разработанных в КБ С.К. Туманского. На двигателях М-88 постоянно отмечались прогары поршней, тряска ВМГ, повышенный расход масла, приводивший к дымлению. Если на первой скорости нагнетателя наблюдалось обеднение смеси, то на второй - переобогащение. Неоднократно двигатели "обрезали". Пришлось даже временно приостановить их серийный выпуск. В результате в должности главного конструктора завода № 29 Туманского сменил Е.В. Урмин. Едва не арестовали директора С.А. Громова - его спасло от скорого суда лишь заступничество наркома А.И. Шахурина. Лишь 13 ноября согласно постановлению КО НКАП получил разрешение возобновить выпускать М-88 - результаты доводки специальная комиссия признала удовлетворительными. Трудно шла доводка перспективного двигателя М-90, на который НКАП возлагал большие надежды (12028).</w:t>
      </w:r>
    </w:p>
    <w:p w14:paraId="2E26975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9899ABC" w14:textId="77777777" w:rsidR="00472045" w:rsidRPr="00A3026E" w:rsidRDefault="00472045" w:rsidP="00A3026E">
      <w:pPr>
        <w:pStyle w:val="book-paragraph"/>
        <w:spacing w:before="0" w:beforeAutospacing="0" w:after="0" w:afterAutospacing="0"/>
        <w:jc w:val="both"/>
        <w:rPr>
          <w:color w:val="000000" w:themeColor="text1"/>
          <w:sz w:val="16"/>
          <w:szCs w:val="16"/>
        </w:rPr>
      </w:pPr>
      <w:r w:rsidRPr="00A3026E">
        <w:rPr>
          <w:color w:val="000000" w:themeColor="text1"/>
          <w:sz w:val="16"/>
          <w:szCs w:val="16"/>
        </w:rPr>
        <w:t>Осенью 1940 года выве</w:t>
      </w:r>
      <w:r w:rsidR="00F92307" w:rsidRPr="00A3026E">
        <w:rPr>
          <w:color w:val="000000" w:themeColor="text1"/>
          <w:sz w:val="16"/>
          <w:szCs w:val="16"/>
        </w:rPr>
        <w:t>зе</w:t>
      </w:r>
      <w:r w:rsidRPr="00A3026E">
        <w:rPr>
          <w:color w:val="000000" w:themeColor="text1"/>
          <w:sz w:val="16"/>
          <w:szCs w:val="16"/>
        </w:rPr>
        <w:t>нный в Раменское очередной самолет Грушина был с интересом принят местными специалистами. Еще до первого полета ББ-МАИ в числе других новейших самолетов стал демонстрироваться перед регулярно посещавшими аэродром специалистами различных авиационных КБ и заводов. Однажды на аэродром привезли и Туполева, находившегося тогда в заключении и работавшего в тюремном ЦКБ-29 НКВД. Одним из свидетелей этого приезда стал работавший тогда в ОКБ-301 Семен Михайлович Алексеев, участвовавший в испытаниях истребителя ЛаГГ-1.</w:t>
      </w:r>
    </w:p>
    <w:p w14:paraId="4F01F0DE" w14:textId="77777777" w:rsidR="00472045" w:rsidRPr="00A3026E" w:rsidRDefault="00472045" w:rsidP="00A3026E">
      <w:pPr>
        <w:pStyle w:val="book-paragraph"/>
        <w:spacing w:before="0" w:beforeAutospacing="0" w:after="0" w:afterAutospacing="0"/>
        <w:jc w:val="both"/>
        <w:rPr>
          <w:iCs/>
          <w:color w:val="000000" w:themeColor="text1"/>
          <w:sz w:val="16"/>
          <w:szCs w:val="16"/>
        </w:rPr>
      </w:pPr>
      <w:r w:rsidRPr="00A3026E">
        <w:rPr>
          <w:iCs/>
          <w:color w:val="000000" w:themeColor="text1"/>
          <w:sz w:val="16"/>
          <w:szCs w:val="16"/>
        </w:rPr>
        <w:t>«Андрей Николаевич знакомился с авиационными новинками не торопясь, – </w:t>
      </w:r>
      <w:r w:rsidRPr="00A3026E">
        <w:rPr>
          <w:color w:val="000000" w:themeColor="text1"/>
          <w:sz w:val="16"/>
          <w:szCs w:val="16"/>
        </w:rPr>
        <w:t>вспоминал Семен Михайлович. – </w:t>
      </w:r>
      <w:r w:rsidRPr="00A3026E">
        <w:rPr>
          <w:iCs/>
          <w:color w:val="000000" w:themeColor="text1"/>
          <w:sz w:val="16"/>
          <w:szCs w:val="16"/>
        </w:rPr>
        <w:t>Придирчиво оглядывал каждый из стоявших на аэродроме самолетов и тут же, в меру своих возможностей, высказывал их разработчикам свои суждения. Не секрет, что в своих, иногда очень обидных для создателей самолетов, высказываниях Туполев себя никогда не ограничивал. Грушина в тот день не было, и оценку Туполевым ББ-МАИ довелось выслушать одному из его помощников. Но вопреки ожиданиям, а перед этим Туполев буквально уничтожил своей репликой один из выставленных самолетов-истребителей, замечание патриарха коснулось только неудачной установки на самолете маслорадиатора. „Передай своему начальнику, что радиатор стоит неправильно“. И действительно, Туполев оказался прав. Во время первых пробежек ББ-МАИ по аэродрому разбрызгивавшиеся носовым колесом вода и грязь попадали на маслорадиатор, и уже в Раменском самолет пришлось немного „доводить“» (18995).</w:t>
      </w:r>
    </w:p>
    <w:p w14:paraId="188254EF" w14:textId="77777777" w:rsidR="00472045" w:rsidRPr="00A3026E" w:rsidRDefault="00472045" w:rsidP="00A3026E">
      <w:pPr>
        <w:pStyle w:val="book-paragraph"/>
        <w:spacing w:before="0" w:beforeAutospacing="0" w:after="0" w:afterAutospacing="0"/>
        <w:jc w:val="both"/>
        <w:rPr>
          <w:color w:val="000000" w:themeColor="text1"/>
          <w:sz w:val="16"/>
          <w:szCs w:val="16"/>
        </w:rPr>
      </w:pPr>
    </w:p>
    <w:p w14:paraId="5B0117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осени 1940 года первые строевые л, командиры кораблей -Лисачев, Горбунов и Макаренко участвовали в перегонке серийных ТБ-7 из Чкаловского и Казани в Борисполь (7685).</w:t>
      </w:r>
    </w:p>
    <w:p w14:paraId="5401089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6B45D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года летный состав 2-й эскадрильи начал совершать на ТБ-7 ознакомительные полеты (7685).</w:t>
      </w:r>
    </w:p>
    <w:p w14:paraId="1073077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7F2E4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завод № 22 начал осваивать производство СБ-РК, впоследствии переименованного в Ар-2. Но параллельно с ними в Филях продолжали собирать обычные СБ с двигателями М-103А, а с октября и с новыми моторами М-105. М-105 имел двухскоростной нагнетатель, как М-104, усиленный коленчатый вал с противовесами, ужесточенный картер, трехклапанные головки и новый карбюратор. Увеличение степени сжатия и форсирование по оборотам подняли взлетную мощность до 1100 л.с., а номинальную (на первой скорости нагнетателя) - до 1070 л.с. Согласно одному из постановлений Комитета Обороны, первые 50 бомбардировщиков с М-105 завод № 22 должен был выпустить в конце 1939 г. Предполагалось, что максимальная скорость у них достигнет 470 км/ч. С 1 января 1940 г. предприятие должно было полностью перейти на сборку таких машин. Но М-105 доводился очень долго. Раз за разом его выставляли для государственных испытаний на стенде, но двигатели неуклонно выходили из строя. Поэтому наркомату обороны пришлось согласиться на продолжение выпуска СБ с моторами М-103. Заказали 150 таких машин. На самом деле их собрали гораздо больше. Только за 1-й квартал завод № 22 сдал 481 бомбардировщик, все со старыми моторами. Правда, в это число вошли 140 самолетов, недоданных предприятием по плану прошлого года (9927).</w:t>
      </w:r>
    </w:p>
    <w:p w14:paraId="2C3BCFB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D9D48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ОКБ А.А.А. было переведено на территорию завода 32 (1076,490).</w:t>
      </w:r>
    </w:p>
    <w:p w14:paraId="65E1CBA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24E90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на полигоне под Кубинкой войсковые испытания прошли три И-153 (№8527, №8528, №8545), вооруженные одним БС и двумя ШКАС. До конца года авиазавод №1 выпустил полторы сотни «Чаек» с таким вооружением (6592).</w:t>
      </w:r>
    </w:p>
    <w:p w14:paraId="3B0E09A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9473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развернулось массовое оснащение И-15бис ра</w:t>
      </w:r>
      <w:r w:rsidRPr="00A3026E">
        <w:rPr>
          <w:rFonts w:ascii="Times New Roman" w:hAnsi="Times New Roman"/>
          <w:color w:val="000000" w:themeColor="text1"/>
          <w:sz w:val="16"/>
          <w:szCs w:val="16"/>
        </w:rPr>
        <w:softHyphen/>
        <w:t>кетным оружием.</w:t>
      </w:r>
    </w:p>
    <w:p w14:paraId="6E2790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 нижним крылом монтировались четыре (по две с каждой стороны) пусковых балки, именовавшихся «ракетными орудиями» РО-82. Пуск ракет обеспечивался электрозапалом. Чтобы за</w:t>
      </w:r>
      <w:r w:rsidRPr="00A3026E">
        <w:rPr>
          <w:rFonts w:ascii="Times New Roman" w:hAnsi="Times New Roman"/>
          <w:color w:val="000000" w:themeColor="text1"/>
          <w:sz w:val="16"/>
          <w:szCs w:val="16"/>
        </w:rPr>
        <w:softHyphen/>
        <w:t>щитить крыло от воздействия струи рас</w:t>
      </w:r>
      <w:r w:rsidRPr="00A3026E">
        <w:rPr>
          <w:rFonts w:ascii="Times New Roman" w:hAnsi="Times New Roman"/>
          <w:color w:val="000000" w:themeColor="text1"/>
          <w:sz w:val="16"/>
          <w:szCs w:val="16"/>
        </w:rPr>
        <w:softHyphen/>
        <w:t>калённых газов, его в районе размещения РО-82 снизу обшивали металлом. Реак</w:t>
      </w:r>
      <w:r w:rsidRPr="00A3026E">
        <w:rPr>
          <w:rFonts w:ascii="Times New Roman" w:hAnsi="Times New Roman"/>
          <w:color w:val="000000" w:themeColor="text1"/>
          <w:sz w:val="16"/>
          <w:szCs w:val="16"/>
        </w:rPr>
        <w:softHyphen/>
        <w:t>тивными снарядами можно было вести огонь по воздушным и наземным целям.</w:t>
      </w:r>
    </w:p>
    <w:p w14:paraId="7EEA6B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 стрельбы РС-82 показал, что жёсткость нижнего крыла недоста</w:t>
      </w:r>
      <w:r w:rsidRPr="00A3026E">
        <w:rPr>
          <w:rFonts w:ascii="Times New Roman" w:hAnsi="Times New Roman"/>
          <w:color w:val="000000" w:themeColor="text1"/>
          <w:sz w:val="16"/>
          <w:szCs w:val="16"/>
        </w:rPr>
        <w:softHyphen/>
        <w:t>точна, наблюдались вспучивание об</w:t>
      </w:r>
      <w:r w:rsidRPr="00A3026E">
        <w:rPr>
          <w:rFonts w:ascii="Times New Roman" w:hAnsi="Times New Roman"/>
          <w:color w:val="000000" w:themeColor="text1"/>
          <w:sz w:val="16"/>
          <w:szCs w:val="16"/>
        </w:rPr>
        <w:softHyphen/>
        <w:t>шивки и деформации каркаса. Поэтому с декабря 1940 г. завод № 1 выпустил значительное количество комплектов усиленных крыльев, которые затем за</w:t>
      </w:r>
      <w:r w:rsidRPr="00A3026E">
        <w:rPr>
          <w:rFonts w:ascii="Times New Roman" w:hAnsi="Times New Roman"/>
          <w:color w:val="000000" w:themeColor="text1"/>
          <w:sz w:val="16"/>
          <w:szCs w:val="16"/>
        </w:rPr>
        <w:softHyphen/>
        <w:t>водские бригады монтировали непос</w:t>
      </w:r>
      <w:r w:rsidRPr="00A3026E">
        <w:rPr>
          <w:rFonts w:ascii="Times New Roman" w:hAnsi="Times New Roman"/>
          <w:color w:val="000000" w:themeColor="text1"/>
          <w:sz w:val="16"/>
          <w:szCs w:val="16"/>
        </w:rPr>
        <w:softHyphen/>
        <w:t>редственно в строевых частях (12294).</w:t>
      </w:r>
    </w:p>
    <w:p w14:paraId="022715F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82DD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появился 4 И-207 с М-63 и с убирающимся шасси (127,18). На нем ставили прямоточные ускорители И.А.Меркулова ДМ-4 на бомбодержатели - 20 полетов (127,18).</w:t>
      </w:r>
    </w:p>
    <w:p w14:paraId="276FD53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854A4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следом за проектом №10 появился следующий проект Боровкова и Флорова - "Изделие 11 " (Самолет №11). В нем вернулись к схеме шасси с хвостовым колесом. Решение было связано с предполагаемой установкой не одного, а двух ДМ - в боковых выемках фюзеляжа. В пространстве между реактивными двигателями нашлось место для установки костыльного колеса.</w:t>
      </w:r>
    </w:p>
    <w:p w14:paraId="32303D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проекте №11 Боровков и Флоров оставили своему биплану роль только маневренного истребителя, подчинив все изменения проблеме уменьшения веса. Понимания своей любви к двукрылым истребителям, конструкторы, однако не нашли. Сказывалось отрицательное отношение в руководстве авиапромышленности и ВВС к бипланам всех видов. Уже никто не верил в возможность реанимации "крылатых этажерок". Александр Яковлев при личной встрече открыто заявил о невозможности включения новых предложений Боровкова и Флорова в план будущих работ наркомата (3453).</w:t>
      </w:r>
    </w:p>
    <w:p w14:paraId="7FA2C0B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1C8E229" w14:textId="77777777" w:rsidR="00F92307" w:rsidRPr="00A3026E" w:rsidRDefault="00F92307" w:rsidP="00A3026E">
      <w:pPr>
        <w:pStyle w:val="ae"/>
        <w:shd w:val="clear" w:color="auto" w:fill="FFFFFF"/>
        <w:spacing w:before="0" w:after="0"/>
        <w:jc w:val="both"/>
        <w:rPr>
          <w:color w:val="000000" w:themeColor="text1"/>
          <w:sz w:val="16"/>
          <w:szCs w:val="16"/>
        </w:rPr>
      </w:pPr>
      <w:r w:rsidRPr="00A3026E">
        <w:rPr>
          <w:color w:val="000000" w:themeColor="text1"/>
          <w:sz w:val="16"/>
          <w:szCs w:val="16"/>
        </w:rPr>
        <w:t>Осенью 1940 г. появился проект самолета И-207 № 11 или «Изделие 11». В этом проекте вид но возвращение к схеме шасси с хвостовым колесом. Такое решение было связано с предполагаемой установкой двух ДМ с воздухозаборником в боковых выемках фюзеляжа. В про странстве между реактивными двигателями нашлось место для установки костыльного колеса. В этом проекте конструкторы рассматривали самолет И-207 № 11 только как маневренный истребитель. С этим были связаны все изменения в конструк ции будущего самолета, которые были направлены на умень шение массы.</w:t>
      </w:r>
    </w:p>
    <w:p w14:paraId="32990E18" w14:textId="77777777" w:rsidR="00F92307" w:rsidRPr="00A3026E" w:rsidRDefault="00F92307" w:rsidP="00A3026E">
      <w:pPr>
        <w:pStyle w:val="ae"/>
        <w:shd w:val="clear" w:color="auto" w:fill="FFFFFF"/>
        <w:spacing w:before="0" w:after="0"/>
        <w:jc w:val="both"/>
        <w:rPr>
          <w:color w:val="000000" w:themeColor="text1"/>
          <w:sz w:val="16"/>
          <w:szCs w:val="16"/>
        </w:rPr>
      </w:pPr>
      <w:r w:rsidRPr="00A3026E">
        <w:rPr>
          <w:color w:val="000000" w:themeColor="text1"/>
          <w:sz w:val="16"/>
          <w:szCs w:val="16"/>
        </w:rPr>
        <w:t>Эскизный проект И-207 № 11 был переработкой проекта самолета № 10 под основное назначение, которое было выска зано в требованиях комиссии Юрьева. Основные отличия сво дились к тому, что на самолете устанавливались два двигате ля Меркулова. Мотор М-71 предполагалось использовать с уд линенным валом.</w:t>
      </w:r>
    </w:p>
    <w:p w14:paraId="34BE8856" w14:textId="77777777" w:rsidR="00F92307" w:rsidRPr="00A3026E" w:rsidRDefault="00F92307" w:rsidP="00A3026E">
      <w:pPr>
        <w:pStyle w:val="ae"/>
        <w:shd w:val="clear" w:color="auto" w:fill="FFFFFF"/>
        <w:spacing w:before="0" w:after="0"/>
        <w:jc w:val="both"/>
        <w:rPr>
          <w:color w:val="000000" w:themeColor="text1"/>
          <w:sz w:val="16"/>
          <w:szCs w:val="16"/>
        </w:rPr>
      </w:pPr>
      <w:r w:rsidRPr="00A3026E">
        <w:rPr>
          <w:color w:val="000000" w:themeColor="text1"/>
          <w:sz w:val="16"/>
          <w:szCs w:val="16"/>
        </w:rPr>
        <w:t>Бомбовое вооружение включало всего 2 бомбы по 250 кг.</w:t>
      </w:r>
    </w:p>
    <w:p w14:paraId="0C810803" w14:textId="77777777" w:rsidR="00F92307" w:rsidRPr="00A3026E" w:rsidRDefault="00F92307"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Вместо бомб предусматривалась установка двух пушек ПТБ- калибра 23 мм. Кроме того, на самолете устанавливались 2 син хронных пулемета калибра 12,7 мм и 2 калибра 7,62 мм.</w:t>
      </w:r>
    </w:p>
    <w:p w14:paraId="4D1D1A7B" w14:textId="77777777" w:rsidR="00F92307" w:rsidRPr="00A3026E" w:rsidRDefault="00F92307" w:rsidP="00A3026E">
      <w:pPr>
        <w:pStyle w:val="ae"/>
        <w:shd w:val="clear" w:color="auto" w:fill="FFFFFF"/>
        <w:spacing w:before="0" w:after="0"/>
        <w:jc w:val="both"/>
        <w:rPr>
          <w:color w:val="000000" w:themeColor="text1"/>
          <w:sz w:val="16"/>
          <w:szCs w:val="16"/>
        </w:rPr>
      </w:pPr>
      <w:r w:rsidRPr="00A3026E">
        <w:rPr>
          <w:color w:val="000000" w:themeColor="text1"/>
          <w:sz w:val="16"/>
          <w:szCs w:val="16"/>
        </w:rPr>
        <w:lastRenderedPageBreak/>
        <w:t>Максимальная скорость на высоте 5830 м по проекту без включения ПВРД — 654 км/ч, а с бомбовой нагрузкой состав ляла 611 км/ч. Время набора высоты 5 000 м, соответствен но, 3,7 и 4,5 мин.</w:t>
      </w:r>
    </w:p>
    <w:p w14:paraId="708DADC8" w14:textId="77777777" w:rsidR="00F92307" w:rsidRPr="00A3026E" w:rsidRDefault="00F92307" w:rsidP="00A3026E">
      <w:pPr>
        <w:pStyle w:val="ae"/>
        <w:shd w:val="clear" w:color="auto" w:fill="FFFFFF"/>
        <w:spacing w:before="0" w:after="0"/>
        <w:jc w:val="both"/>
        <w:rPr>
          <w:color w:val="000000" w:themeColor="text1"/>
          <w:sz w:val="16"/>
          <w:szCs w:val="16"/>
        </w:rPr>
      </w:pPr>
      <w:r w:rsidRPr="00A3026E">
        <w:rPr>
          <w:color w:val="000000" w:themeColor="text1"/>
          <w:sz w:val="16"/>
          <w:szCs w:val="16"/>
        </w:rPr>
        <w:t>По мнению комиссии, без бомб максимальная скорость могла быть равной 630 км/ч. Тогда с бомбами можно было ожидать скорость порядка 585 км/ч.</w:t>
      </w:r>
    </w:p>
    <w:p w14:paraId="0650CE57" w14:textId="77777777" w:rsidR="00F92307" w:rsidRPr="00A3026E" w:rsidRDefault="00F92307" w:rsidP="00A3026E">
      <w:pPr>
        <w:pStyle w:val="ae"/>
        <w:shd w:val="clear" w:color="auto" w:fill="FFFFFF"/>
        <w:spacing w:before="0" w:after="0"/>
        <w:jc w:val="both"/>
        <w:rPr>
          <w:color w:val="000000" w:themeColor="text1"/>
          <w:sz w:val="16"/>
          <w:szCs w:val="16"/>
        </w:rPr>
      </w:pPr>
      <w:r w:rsidRPr="00A3026E">
        <w:rPr>
          <w:color w:val="000000" w:themeColor="text1"/>
          <w:sz w:val="16"/>
          <w:szCs w:val="16"/>
        </w:rPr>
        <w:t>Комиссия посчитала для начала построить эксперименталь ный самолет. Яковлев согласился включить работу в план эк спериментальных работ (19586).</w:t>
      </w:r>
    </w:p>
    <w:p w14:paraId="65089CAC" w14:textId="77777777" w:rsidR="00F92307" w:rsidRPr="00A3026E" w:rsidRDefault="00F92307" w:rsidP="00A3026E">
      <w:pPr>
        <w:pStyle w:val="ae"/>
        <w:shd w:val="clear" w:color="auto" w:fill="FFFFFF"/>
        <w:spacing w:before="0" w:after="0"/>
        <w:jc w:val="both"/>
        <w:rPr>
          <w:color w:val="000000" w:themeColor="text1"/>
          <w:sz w:val="16"/>
          <w:szCs w:val="16"/>
        </w:rPr>
      </w:pPr>
    </w:p>
    <w:p w14:paraId="166F4D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Н.Н.Поликарпов обсудил проект самолета ТИС сначала с летчиками летной инспекции ВВС, с летчиками и инженерами НИИ ВВС, затем с представителями различных управлений ВВС и только после этого предъявил макет новой машины государственной комиссии (9649).</w:t>
      </w:r>
    </w:p>
    <w:p w14:paraId="47067B5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B79C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был построен четвертый экземпляр И-200 № 04. Он стал прототипом усовершенствованного варианта истребителя, имел значительно увеличенный объем бензобаков и впоследствии использовался для про</w:t>
      </w:r>
      <w:r w:rsidRPr="00A3026E">
        <w:rPr>
          <w:rFonts w:ascii="Times New Roman" w:hAnsi="Times New Roman"/>
          <w:color w:val="000000" w:themeColor="text1"/>
          <w:sz w:val="16"/>
          <w:szCs w:val="16"/>
        </w:rPr>
        <w:softHyphen/>
        <w:t>ведения испытаний на дальность полета (в апреле 1941 г., после их завершения, Микоян безвозмездно передал его ВВС; машину, не имевшую вооружения, отправили в качестве учебной в 146-й иап) (9984).</w:t>
      </w:r>
    </w:p>
    <w:p w14:paraId="450D85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2B6FF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в учебных заведениях ВВС числилось 1047 УТИ-4 М-25 и 22 УТИ-2 М-22. в авиации ВМФ - 129 УТИ-4 М-25 и 3 УТИ-2 М-22. Использование УТИ-4 при подготовке советских летчиков продолжалось вплоть до 1946 г. (12015).</w:t>
      </w:r>
    </w:p>
    <w:p w14:paraId="3173891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85E2F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А.А.Боровков и И.Ф.Флоров начали работать над эскизным проектом машины Д с тонким стреловидным крылом в 35 м кв. и шасси с носовым колесом, М-71 и ПВРД ДМ-12 в балках, массой 5250. Был макет. В то же время похожий И делал В.Ф.Болховитинов. Война прервала оба (173,427).</w:t>
      </w:r>
    </w:p>
    <w:p w14:paraId="1048E2C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72FDAC8" w14:textId="77777777" w:rsidR="001765CF" w:rsidRPr="00A3026E" w:rsidRDefault="001765CF" w:rsidP="00A3026E">
      <w:pPr>
        <w:spacing w:after="0" w:line="240" w:lineRule="auto"/>
        <w:jc w:val="both"/>
        <w:textAlignment w:val="top"/>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Осенью 1940 г. после непродолжительной переписки между НКАП, ВВС КА и НКО было принято решение использовать изготовленные 10 И-28 в качестве учебных пособий в авиационных учебных заведениях. Убытки, понесенные заводом №292 в связи с прекращением выпуска И-28, составили 25156000 руб. В тоже время опыт, накопленный во время его освоения в производстве, сыграл положительную роль при запуске в серию истребителя И-26. По сути, на машине В.П. Яценко завод «Саркомбайн» учился выпуску скоростных истребителей (17738).</w:t>
      </w:r>
    </w:p>
    <w:p w14:paraId="61E90E3C" w14:textId="77777777" w:rsidR="001765CF" w:rsidRPr="00A3026E" w:rsidRDefault="001765CF" w:rsidP="00A3026E">
      <w:pPr>
        <w:spacing w:after="0" w:line="240" w:lineRule="auto"/>
        <w:jc w:val="both"/>
        <w:rPr>
          <w:rFonts w:ascii="Times New Roman" w:hAnsi="Times New Roman"/>
          <w:color w:val="000000" w:themeColor="text1"/>
          <w:sz w:val="16"/>
          <w:szCs w:val="16"/>
        </w:rPr>
      </w:pPr>
    </w:p>
    <w:p w14:paraId="44D3FC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начались заводские ис</w:t>
      </w:r>
      <w:r w:rsidRPr="00A3026E">
        <w:rPr>
          <w:rFonts w:ascii="Times New Roman" w:hAnsi="Times New Roman"/>
          <w:color w:val="000000" w:themeColor="text1"/>
          <w:sz w:val="16"/>
          <w:szCs w:val="16"/>
        </w:rPr>
        <w:softHyphen/>
        <w:t>пытания первого прототипа КОР-2 (10685).</w:t>
      </w:r>
    </w:p>
    <w:p w14:paraId="139D9D6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0AB44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первый опытный экземпляр КОР-2 подготовили к проведению летных испытаний. Первый полет состоялся 8 октября, затем в течение нескольких месяцев осуществлялась доводка самолета. В период со 2 по 18 февраля 1941 г. КОР-2 про</w:t>
      </w:r>
      <w:r w:rsidRPr="00A3026E">
        <w:rPr>
          <w:rFonts w:ascii="Times New Roman" w:hAnsi="Times New Roman"/>
          <w:color w:val="000000" w:themeColor="text1"/>
          <w:sz w:val="16"/>
          <w:szCs w:val="16"/>
        </w:rPr>
        <w:softHyphen/>
        <w:t>шел государственные испытания в Севастополе на базе ЛИИ ВВС ВМФ. На заключительном этапе тестирова</w:t>
      </w:r>
      <w:r w:rsidRPr="00A3026E">
        <w:rPr>
          <w:rFonts w:ascii="Times New Roman" w:hAnsi="Times New Roman"/>
          <w:color w:val="000000" w:themeColor="text1"/>
          <w:sz w:val="16"/>
          <w:szCs w:val="16"/>
        </w:rPr>
        <w:softHyphen/>
        <w:t>ния первой машины к полетам при</w:t>
      </w:r>
      <w:r w:rsidRPr="00A3026E">
        <w:rPr>
          <w:rFonts w:ascii="Times New Roman" w:hAnsi="Times New Roman"/>
          <w:color w:val="000000" w:themeColor="text1"/>
          <w:sz w:val="16"/>
          <w:szCs w:val="16"/>
        </w:rPr>
        <w:softHyphen/>
        <w:t>ступил второй опытный экземпляр. Признавалось, что КОР-2 соответст</w:t>
      </w:r>
      <w:r w:rsidRPr="00A3026E">
        <w:rPr>
          <w:rFonts w:ascii="Times New Roman" w:hAnsi="Times New Roman"/>
          <w:color w:val="000000" w:themeColor="text1"/>
          <w:sz w:val="16"/>
          <w:szCs w:val="16"/>
        </w:rPr>
        <w:softHyphen/>
        <w:t>вует требованиям ВМФ, испытания выдержал и может быть рекомендо</w:t>
      </w:r>
      <w:r w:rsidRPr="00A3026E">
        <w:rPr>
          <w:rFonts w:ascii="Times New Roman" w:hAnsi="Times New Roman"/>
          <w:color w:val="000000" w:themeColor="text1"/>
          <w:sz w:val="16"/>
          <w:szCs w:val="16"/>
        </w:rPr>
        <w:softHyphen/>
        <w:t>ван к принятию на вооружение. По технике пилотирования самолет считался несложным и вполне мог быть освоен пилотами, имеющими навык полетов на распространенном МБР-2. Кроме ис</w:t>
      </w:r>
      <w:r w:rsidRPr="00A3026E">
        <w:rPr>
          <w:rFonts w:ascii="Times New Roman" w:hAnsi="Times New Roman"/>
          <w:color w:val="000000" w:themeColor="text1"/>
          <w:sz w:val="16"/>
          <w:szCs w:val="16"/>
        </w:rPr>
        <w:softHyphen/>
        <w:t>пользования в качестве корабельного разведчика, КОР-2 предлагалось применять как самолет охраны военно-мор</w:t>
      </w:r>
      <w:r w:rsidRPr="00A3026E">
        <w:rPr>
          <w:rFonts w:ascii="Times New Roman" w:hAnsi="Times New Roman"/>
          <w:color w:val="000000" w:themeColor="text1"/>
          <w:sz w:val="16"/>
          <w:szCs w:val="16"/>
        </w:rPr>
        <w:softHyphen/>
        <w:t>ских баз, для чего следовало увеличить емкость топлив</w:t>
      </w:r>
      <w:r w:rsidRPr="00A3026E">
        <w:rPr>
          <w:rFonts w:ascii="Times New Roman" w:hAnsi="Times New Roman"/>
          <w:color w:val="000000" w:themeColor="text1"/>
          <w:sz w:val="16"/>
          <w:szCs w:val="16"/>
        </w:rPr>
        <w:softHyphen/>
        <w:t>ных баков. В варианте пикирующего бомбардировщика бомбовую нагрузку заказчики требовали увеличить с 200 до 400 кг.</w:t>
      </w:r>
    </w:p>
    <w:p w14:paraId="656D71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Существенных проблем при испытаниях не отмеча</w:t>
      </w:r>
      <w:r w:rsidRPr="00A3026E">
        <w:rPr>
          <w:rFonts w:ascii="Times New Roman" w:hAnsi="Times New Roman"/>
          <w:color w:val="000000" w:themeColor="text1"/>
          <w:sz w:val="16"/>
          <w:szCs w:val="16"/>
        </w:rPr>
        <w:softHyphen/>
        <w:t>лось, однако летчики-испытатели Рейдель и Яковлев бы</w:t>
      </w:r>
      <w:r w:rsidRPr="00A3026E">
        <w:rPr>
          <w:rFonts w:ascii="Times New Roman" w:hAnsi="Times New Roman"/>
          <w:color w:val="000000" w:themeColor="text1"/>
          <w:sz w:val="16"/>
          <w:szCs w:val="16"/>
        </w:rPr>
        <w:softHyphen/>
        <w:t>ли обеспокоены наличием у КОР-2 крутой глиссады пла</w:t>
      </w:r>
      <w:r w:rsidRPr="00A3026E">
        <w:rPr>
          <w:rFonts w:ascii="Times New Roman" w:hAnsi="Times New Roman"/>
          <w:color w:val="000000" w:themeColor="text1"/>
          <w:sz w:val="16"/>
          <w:szCs w:val="16"/>
        </w:rPr>
        <w:softHyphen/>
        <w:t>нирования. Пилоты не без основания полагали, что при выполнении полетов в штилевую погоду и, особенно, но</w:t>
      </w:r>
      <w:r w:rsidRPr="00A3026E">
        <w:rPr>
          <w:rFonts w:ascii="Times New Roman" w:hAnsi="Times New Roman"/>
          <w:color w:val="000000" w:themeColor="text1"/>
          <w:sz w:val="16"/>
          <w:szCs w:val="16"/>
        </w:rPr>
        <w:softHyphen/>
        <w:t>чью посадка на самолете будет затруднена. В штиль при стоячей воде образуется явление «зеркала», когда летчи</w:t>
      </w:r>
      <w:r w:rsidRPr="00A3026E">
        <w:rPr>
          <w:rFonts w:ascii="Times New Roman" w:hAnsi="Times New Roman"/>
          <w:color w:val="000000" w:themeColor="text1"/>
          <w:sz w:val="16"/>
          <w:szCs w:val="16"/>
        </w:rPr>
        <w:softHyphen/>
        <w:t>ку при отсутствии ориентиров трудно определить высоту выравнивания. Данное явление хорошо известно пило</w:t>
      </w:r>
      <w:r w:rsidRPr="00A3026E">
        <w:rPr>
          <w:rFonts w:ascii="Times New Roman" w:hAnsi="Times New Roman"/>
          <w:color w:val="000000" w:themeColor="text1"/>
          <w:sz w:val="16"/>
          <w:szCs w:val="16"/>
        </w:rPr>
        <w:softHyphen/>
        <w:t>там гидросамолетов, по его причине произошло немало досадных аварий и катастроф.</w:t>
      </w:r>
    </w:p>
    <w:p w14:paraId="32A25C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Успешные испытания двух опытных КОР-2 совпали с окончанием постройки на Ленинградском заводе им. Ки</w:t>
      </w:r>
      <w:r w:rsidRPr="00A3026E">
        <w:rPr>
          <w:rFonts w:ascii="Times New Roman" w:hAnsi="Times New Roman"/>
          <w:color w:val="000000" w:themeColor="text1"/>
          <w:sz w:val="16"/>
          <w:szCs w:val="16"/>
        </w:rPr>
        <w:softHyphen/>
        <w:t>рова второй катапульты конструкции Бухвостова - ЗК-2Б. Первоначально она предполагалась для КОР-1, но затем была переделана под новый корабельный разведчик.</w:t>
      </w:r>
    </w:p>
    <w:p w14:paraId="19C03C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Основными отличиями ЗК-2Б стала новая стартовая тележка с падающими стойками и увеличение толщины стартового и тормозного тросов. Первоначально катапульту установили на плавучий стенд и опробовали при помощи 3-тонной болванки. Самолет испытывали уже по</w:t>
      </w:r>
      <w:r w:rsidRPr="00A3026E">
        <w:rPr>
          <w:rFonts w:ascii="Times New Roman" w:hAnsi="Times New Roman"/>
          <w:color w:val="000000" w:themeColor="text1"/>
          <w:sz w:val="16"/>
          <w:szCs w:val="16"/>
        </w:rPr>
        <w:softHyphen/>
        <w:t>сле начала войны, в период с 23 июля по 6 августа 1941 г. КОР-2 со взлетным весом 2440 кг стартовал с щитками, отклоненными на 30°, на скорости 115 км/ч. Катапульти</w:t>
      </w:r>
      <w:r w:rsidRPr="00A3026E">
        <w:rPr>
          <w:rFonts w:ascii="Times New Roman" w:hAnsi="Times New Roman"/>
          <w:color w:val="000000" w:themeColor="text1"/>
          <w:sz w:val="16"/>
          <w:szCs w:val="16"/>
        </w:rPr>
        <w:softHyphen/>
        <w:t>рование с плавучего стенда проводилось в районе Орани</w:t>
      </w:r>
      <w:r w:rsidRPr="00A3026E">
        <w:rPr>
          <w:rFonts w:ascii="Times New Roman" w:hAnsi="Times New Roman"/>
          <w:color w:val="000000" w:themeColor="text1"/>
          <w:sz w:val="16"/>
          <w:szCs w:val="16"/>
        </w:rPr>
        <w:softHyphen/>
        <w:t>енбаума под Ленинградом, относящегося в тот период к прифронтовой зоне (11107).</w:t>
      </w:r>
    </w:p>
    <w:p w14:paraId="7EE68C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Летные и технические характеристики КОР-2 (Бе-4)</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64"/>
        <w:gridCol w:w="1037"/>
        <w:gridCol w:w="1670"/>
      </w:tblGrid>
      <w:tr w:rsidR="00983732" w:rsidRPr="00A3026E" w14:paraId="419B7FAF" w14:textId="77777777" w:rsidTr="00EA0DA7">
        <w:trPr>
          <w:trHeight w:val="394"/>
        </w:trPr>
        <w:tc>
          <w:tcPr>
            <w:tcW w:w="2064" w:type="dxa"/>
            <w:tcBorders>
              <w:top w:val="single" w:sz="12" w:space="0" w:color="auto"/>
            </w:tcBorders>
          </w:tcPr>
          <w:p w14:paraId="6DB572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4E3C4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12" w:space="0" w:color="auto"/>
            </w:tcBorders>
          </w:tcPr>
          <w:p w14:paraId="10F8C2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КОР-2 (опытный)</w:t>
            </w:r>
          </w:p>
          <w:p w14:paraId="32510B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Borders>
              <w:top w:val="single" w:sz="12" w:space="0" w:color="auto"/>
            </w:tcBorders>
          </w:tcPr>
          <w:p w14:paraId="6A3B2D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КОР-2 (серийный №4770305)</w:t>
            </w:r>
          </w:p>
          <w:p w14:paraId="7B3BD6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DB0A79D" w14:textId="77777777" w:rsidTr="00EA0DA7">
        <w:trPr>
          <w:trHeight w:val="326"/>
        </w:trPr>
        <w:tc>
          <w:tcPr>
            <w:tcW w:w="2064" w:type="dxa"/>
          </w:tcPr>
          <w:p w14:paraId="057E24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Двигатель</w:t>
            </w:r>
          </w:p>
          <w:p w14:paraId="534E30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79B916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p w14:paraId="4C928B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2CFB27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p w14:paraId="3A29B9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5EF49A0" w14:textId="77777777" w:rsidTr="00EA0DA7">
        <w:trPr>
          <w:trHeight w:val="317"/>
        </w:trPr>
        <w:tc>
          <w:tcPr>
            <w:tcW w:w="2064" w:type="dxa"/>
          </w:tcPr>
          <w:p w14:paraId="2D1B36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(л. с.)</w:t>
            </w:r>
          </w:p>
          <w:p w14:paraId="081277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479043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p w14:paraId="046AFB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17322F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p w14:paraId="7B4234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49F3DBC" w14:textId="77777777" w:rsidTr="00EA0DA7">
        <w:trPr>
          <w:trHeight w:val="326"/>
        </w:trPr>
        <w:tc>
          <w:tcPr>
            <w:tcW w:w="2064" w:type="dxa"/>
          </w:tcPr>
          <w:p w14:paraId="37E853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крыла (м)</w:t>
            </w:r>
          </w:p>
          <w:p w14:paraId="66E656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D85A1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p w14:paraId="7A87A2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40771C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12,035</w:t>
            </w:r>
          </w:p>
          <w:p w14:paraId="3483F0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5FA63AA" w14:textId="77777777" w:rsidTr="00EA0DA7">
        <w:trPr>
          <w:trHeight w:val="326"/>
        </w:trPr>
        <w:tc>
          <w:tcPr>
            <w:tcW w:w="2064" w:type="dxa"/>
          </w:tcPr>
          <w:p w14:paraId="2C102D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в линии полета (м)</w:t>
            </w:r>
          </w:p>
          <w:p w14:paraId="03B965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7A7FF4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p w14:paraId="19CCDB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6312BA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10,435</w:t>
            </w:r>
          </w:p>
          <w:p w14:paraId="609457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BFC8378" w14:textId="77777777" w:rsidTr="00EA0DA7">
        <w:trPr>
          <w:trHeight w:val="326"/>
        </w:trPr>
        <w:tc>
          <w:tcPr>
            <w:tcW w:w="2064" w:type="dxa"/>
          </w:tcPr>
          <w:p w14:paraId="61CE50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(м</w:t>
            </w:r>
            <w:r w:rsidRPr="00A3026E">
              <w:rPr>
                <w:rFonts w:ascii="Times New Roman" w:hAnsi="Times New Roman"/>
                <w:color w:val="000000" w:themeColor="text1"/>
                <w:sz w:val="16"/>
                <w:szCs w:val="16"/>
                <w:vertAlign w:val="superscript"/>
              </w:rPr>
              <w:t>г</w:t>
            </w:r>
            <w:r w:rsidRPr="00A3026E">
              <w:rPr>
                <w:rFonts w:ascii="Times New Roman" w:hAnsi="Times New Roman"/>
                <w:color w:val="000000" w:themeColor="text1"/>
                <w:sz w:val="16"/>
                <w:szCs w:val="16"/>
              </w:rPr>
              <w:t>)</w:t>
            </w:r>
          </w:p>
          <w:p w14:paraId="42E277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51B46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25,5</w:t>
            </w:r>
          </w:p>
          <w:p w14:paraId="025A17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55402E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25,5</w:t>
            </w:r>
          </w:p>
          <w:p w14:paraId="1A4674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880496E" w14:textId="77777777" w:rsidTr="00EA0DA7">
        <w:trPr>
          <w:trHeight w:val="317"/>
        </w:trPr>
        <w:tc>
          <w:tcPr>
            <w:tcW w:w="2064" w:type="dxa"/>
          </w:tcPr>
          <w:p w14:paraId="414C4A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(кг)</w:t>
            </w:r>
          </w:p>
          <w:p w14:paraId="26D84A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52A816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2010</w:t>
            </w:r>
          </w:p>
          <w:p w14:paraId="156DC6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2F5E12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2248</w:t>
            </w:r>
          </w:p>
          <w:p w14:paraId="4707FC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B54F027" w14:textId="77777777" w:rsidTr="00EA0DA7">
        <w:trPr>
          <w:trHeight w:val="307"/>
        </w:trPr>
        <w:tc>
          <w:tcPr>
            <w:tcW w:w="2064" w:type="dxa"/>
          </w:tcPr>
          <w:p w14:paraId="0C8DAF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(кг)</w:t>
            </w:r>
          </w:p>
          <w:p w14:paraId="3286C7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779CF4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2732</w:t>
            </w:r>
          </w:p>
          <w:p w14:paraId="5B5B53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59A2CA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3458*</w:t>
            </w:r>
          </w:p>
          <w:p w14:paraId="553DB4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FC17B37" w14:textId="77777777" w:rsidTr="00EA0DA7">
        <w:trPr>
          <w:trHeight w:val="336"/>
        </w:trPr>
        <w:tc>
          <w:tcPr>
            <w:tcW w:w="2064" w:type="dxa"/>
          </w:tcPr>
          <w:p w14:paraId="448DE2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на крыло (кг/м2)</w:t>
            </w:r>
          </w:p>
          <w:p w14:paraId="123297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9F48B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w:t>
            </w:r>
          </w:p>
          <w:p w14:paraId="75A7C6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407CD5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136</w:t>
            </w:r>
          </w:p>
          <w:p w14:paraId="100AF7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02C7076" w14:textId="77777777" w:rsidTr="00EA0DA7">
        <w:trPr>
          <w:trHeight w:val="326"/>
        </w:trPr>
        <w:tc>
          <w:tcPr>
            <w:tcW w:w="2064" w:type="dxa"/>
          </w:tcPr>
          <w:p w14:paraId="0CA0B6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w:t>
            </w:r>
          </w:p>
          <w:p w14:paraId="0C7A14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4277DE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B8DA0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535A5A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C4438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837CB14" w14:textId="77777777" w:rsidTr="00EA0DA7">
        <w:trPr>
          <w:trHeight w:val="326"/>
        </w:trPr>
        <w:tc>
          <w:tcPr>
            <w:tcW w:w="2064" w:type="dxa"/>
          </w:tcPr>
          <w:p w14:paraId="73E355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земли (км/ч)</w:t>
            </w:r>
          </w:p>
          <w:p w14:paraId="735BB7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09C87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314</w:t>
            </w:r>
          </w:p>
          <w:p w14:paraId="3006B1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0BCDEB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w:t>
            </w:r>
          </w:p>
          <w:p w14:paraId="75CDEE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1994D64" w14:textId="77777777" w:rsidTr="00EA0DA7">
        <w:trPr>
          <w:trHeight w:val="307"/>
        </w:trPr>
        <w:tc>
          <w:tcPr>
            <w:tcW w:w="2064" w:type="dxa"/>
          </w:tcPr>
          <w:p w14:paraId="0F76B3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w:t>
            </w:r>
          </w:p>
          <w:p w14:paraId="57C0E6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1E6AB1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E2B7F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65B486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9A387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AAD2BCB" w14:textId="77777777" w:rsidTr="00EA0DA7">
        <w:trPr>
          <w:trHeight w:val="317"/>
        </w:trPr>
        <w:tc>
          <w:tcPr>
            <w:tcW w:w="2064" w:type="dxa"/>
          </w:tcPr>
          <w:p w14:paraId="213AE9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4700м (км/ч)</w:t>
            </w:r>
          </w:p>
          <w:p w14:paraId="6C0D09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4B36F2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w:t>
            </w:r>
          </w:p>
          <w:p w14:paraId="1608AF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664123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p w14:paraId="6C0298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B3542EC" w14:textId="77777777" w:rsidTr="00EA0DA7">
        <w:trPr>
          <w:trHeight w:val="326"/>
        </w:trPr>
        <w:tc>
          <w:tcPr>
            <w:tcW w:w="2064" w:type="dxa"/>
          </w:tcPr>
          <w:p w14:paraId="2075E8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(км/ч)</w:t>
            </w:r>
          </w:p>
          <w:p w14:paraId="666499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C5F46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125-130</w:t>
            </w:r>
          </w:p>
          <w:p w14:paraId="2E322D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55F806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271853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A3DE93D" w14:textId="77777777" w:rsidTr="00EA0DA7">
        <w:trPr>
          <w:trHeight w:val="326"/>
        </w:trPr>
        <w:tc>
          <w:tcPr>
            <w:tcW w:w="2064" w:type="dxa"/>
          </w:tcPr>
          <w:p w14:paraId="755557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(м)</w:t>
            </w:r>
          </w:p>
          <w:p w14:paraId="6612C4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78FF8A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8500</w:t>
            </w:r>
          </w:p>
          <w:p w14:paraId="7E7962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11C68D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7800</w:t>
            </w:r>
          </w:p>
          <w:p w14:paraId="0931E5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EC7A3BF" w14:textId="77777777" w:rsidTr="00EA0DA7">
        <w:trPr>
          <w:trHeight w:val="288"/>
        </w:trPr>
        <w:tc>
          <w:tcPr>
            <w:tcW w:w="2064" w:type="dxa"/>
            <w:tcBorders>
              <w:bottom w:val="single" w:sz="12" w:space="0" w:color="auto"/>
            </w:tcBorders>
          </w:tcPr>
          <w:p w14:paraId="1429BA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(км)</w:t>
            </w:r>
          </w:p>
          <w:p w14:paraId="1FE5A0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bottom w:val="single" w:sz="12" w:space="0" w:color="auto"/>
            </w:tcBorders>
          </w:tcPr>
          <w:p w14:paraId="473A69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550-730</w:t>
            </w:r>
          </w:p>
          <w:p w14:paraId="26EFCA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Borders>
              <w:bottom w:val="single" w:sz="12" w:space="0" w:color="auto"/>
            </w:tcBorders>
          </w:tcPr>
          <w:p w14:paraId="582F8B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p w14:paraId="3309EC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6BE1A6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(11107).</w:t>
      </w:r>
    </w:p>
    <w:p w14:paraId="4AB423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BD3B9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первый опыт</w:t>
      </w:r>
      <w:r w:rsidRPr="00A3026E">
        <w:rPr>
          <w:rFonts w:ascii="Times New Roman" w:hAnsi="Times New Roman"/>
          <w:color w:val="000000" w:themeColor="text1"/>
          <w:sz w:val="16"/>
          <w:szCs w:val="16"/>
        </w:rPr>
        <w:softHyphen/>
        <w:t>ный экземпляр КОР-2 закончили и подгото</w:t>
      </w:r>
      <w:r w:rsidRPr="00A3026E">
        <w:rPr>
          <w:rFonts w:ascii="Times New Roman" w:hAnsi="Times New Roman"/>
          <w:color w:val="000000" w:themeColor="text1"/>
          <w:sz w:val="16"/>
          <w:szCs w:val="16"/>
        </w:rPr>
        <w:softHyphen/>
        <w:t>вили к проведению летных испытаний. Пер</w:t>
      </w:r>
      <w:r w:rsidRPr="00A3026E">
        <w:rPr>
          <w:rFonts w:ascii="Times New Roman" w:hAnsi="Times New Roman"/>
          <w:color w:val="000000" w:themeColor="text1"/>
          <w:sz w:val="16"/>
          <w:szCs w:val="16"/>
        </w:rPr>
        <w:softHyphen/>
        <w:t>вый полет состоялся 8 октября, затем в тече</w:t>
      </w:r>
      <w:r w:rsidRPr="00A3026E">
        <w:rPr>
          <w:rFonts w:ascii="Times New Roman" w:hAnsi="Times New Roman"/>
          <w:color w:val="000000" w:themeColor="text1"/>
          <w:sz w:val="16"/>
          <w:szCs w:val="16"/>
        </w:rPr>
        <w:softHyphen/>
        <w:t>ние нескольких месяцев осуществлялась до</w:t>
      </w:r>
      <w:r w:rsidRPr="00A3026E">
        <w:rPr>
          <w:rFonts w:ascii="Times New Roman" w:hAnsi="Times New Roman"/>
          <w:color w:val="000000" w:themeColor="text1"/>
          <w:sz w:val="16"/>
          <w:szCs w:val="16"/>
        </w:rPr>
        <w:softHyphen/>
        <w:t>водка самолета. В период со 2 по 18 февра</w:t>
      </w:r>
      <w:r w:rsidRPr="00A3026E">
        <w:rPr>
          <w:rFonts w:ascii="Times New Roman" w:hAnsi="Times New Roman"/>
          <w:color w:val="000000" w:themeColor="text1"/>
          <w:sz w:val="16"/>
          <w:szCs w:val="16"/>
        </w:rPr>
        <w:softHyphen/>
        <w:t>ля 1941 г. КОР-2 прошел государственные испытания в Севастополе на базе ЛИИ ВВС ВМФ. На заключительном этапе тестирова</w:t>
      </w:r>
      <w:r w:rsidRPr="00A3026E">
        <w:rPr>
          <w:rFonts w:ascii="Times New Roman" w:hAnsi="Times New Roman"/>
          <w:color w:val="000000" w:themeColor="text1"/>
          <w:sz w:val="16"/>
          <w:szCs w:val="16"/>
        </w:rPr>
        <w:softHyphen/>
        <w:t>ния первой машины к полетам приступил второй опытный экземпляр. Признавалось, что КОР-2 соответствует требованиям ВМФ. испытания выдержал и может быть рекомен</w:t>
      </w:r>
      <w:r w:rsidRPr="00A3026E">
        <w:rPr>
          <w:rFonts w:ascii="Times New Roman" w:hAnsi="Times New Roman"/>
          <w:color w:val="000000" w:themeColor="text1"/>
          <w:sz w:val="16"/>
          <w:szCs w:val="16"/>
        </w:rPr>
        <w:softHyphen/>
        <w:t>дован к принятию на вооружение. По техни</w:t>
      </w:r>
      <w:r w:rsidRPr="00A3026E">
        <w:rPr>
          <w:rFonts w:ascii="Times New Roman" w:hAnsi="Times New Roman"/>
          <w:color w:val="000000" w:themeColor="text1"/>
          <w:sz w:val="16"/>
          <w:szCs w:val="16"/>
        </w:rPr>
        <w:softHyphen/>
        <w:t>ке пилотирования самолет признавался не</w:t>
      </w:r>
      <w:r w:rsidRPr="00A3026E">
        <w:rPr>
          <w:rFonts w:ascii="Times New Roman" w:hAnsi="Times New Roman"/>
          <w:color w:val="000000" w:themeColor="text1"/>
          <w:sz w:val="16"/>
          <w:szCs w:val="16"/>
        </w:rPr>
        <w:softHyphen/>
        <w:t>сложным и вполне мог быть освоен пило</w:t>
      </w:r>
      <w:r w:rsidRPr="00A3026E">
        <w:rPr>
          <w:rFonts w:ascii="Times New Roman" w:hAnsi="Times New Roman"/>
          <w:color w:val="000000" w:themeColor="text1"/>
          <w:sz w:val="16"/>
          <w:szCs w:val="16"/>
        </w:rPr>
        <w:softHyphen/>
        <w:t>тами, имеющими навык полетов на распро</w:t>
      </w:r>
      <w:r w:rsidRPr="00A3026E">
        <w:rPr>
          <w:rFonts w:ascii="Times New Roman" w:hAnsi="Times New Roman"/>
          <w:color w:val="000000" w:themeColor="text1"/>
          <w:sz w:val="16"/>
          <w:szCs w:val="16"/>
        </w:rPr>
        <w:softHyphen/>
        <w:t xml:space="preserve">страненном МБР-2. Кроме использования в качестве корабельного разведчика КОР-2 </w:t>
      </w:r>
      <w:r w:rsidRPr="00A3026E">
        <w:rPr>
          <w:rFonts w:ascii="Times New Roman" w:hAnsi="Times New Roman"/>
          <w:color w:val="000000" w:themeColor="text1"/>
          <w:sz w:val="16"/>
          <w:szCs w:val="16"/>
        </w:rPr>
        <w:lastRenderedPageBreak/>
        <w:t>предлагалось применять как самолет охраны военно-морских баз, для чего следовало уве</w:t>
      </w:r>
      <w:r w:rsidRPr="00A3026E">
        <w:rPr>
          <w:rFonts w:ascii="Times New Roman" w:hAnsi="Times New Roman"/>
          <w:color w:val="000000" w:themeColor="text1"/>
          <w:sz w:val="16"/>
          <w:szCs w:val="16"/>
        </w:rPr>
        <w:softHyphen/>
        <w:t>личить емкость топливных баков. В вариан</w:t>
      </w:r>
      <w:r w:rsidRPr="00A3026E">
        <w:rPr>
          <w:rFonts w:ascii="Times New Roman" w:hAnsi="Times New Roman"/>
          <w:color w:val="000000" w:themeColor="text1"/>
          <w:sz w:val="16"/>
          <w:szCs w:val="16"/>
        </w:rPr>
        <w:softHyphen/>
        <w:t>те пикирующего бомбардировщика бомбо</w:t>
      </w:r>
      <w:r w:rsidRPr="00A3026E">
        <w:rPr>
          <w:rFonts w:ascii="Times New Roman" w:hAnsi="Times New Roman"/>
          <w:color w:val="000000" w:themeColor="text1"/>
          <w:sz w:val="16"/>
          <w:szCs w:val="16"/>
        </w:rPr>
        <w:softHyphen/>
        <w:t>вую нагрузку заказчики требовали увеличить с 200 до 400 кг.</w:t>
      </w:r>
    </w:p>
    <w:p w14:paraId="046E31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Существенных проблем при испытаниях не отмечалось, однако летчики-испытатели Рейдель и Яковлев были обеспокоены нали</w:t>
      </w:r>
      <w:r w:rsidRPr="00A3026E">
        <w:rPr>
          <w:rFonts w:ascii="Times New Roman" w:hAnsi="Times New Roman"/>
          <w:color w:val="000000" w:themeColor="text1"/>
          <w:sz w:val="16"/>
          <w:szCs w:val="16"/>
        </w:rPr>
        <w:softHyphen/>
        <w:t>чием у КОР-2 крутой глиссады планирова</w:t>
      </w:r>
      <w:r w:rsidRPr="00A3026E">
        <w:rPr>
          <w:rFonts w:ascii="Times New Roman" w:hAnsi="Times New Roman"/>
          <w:color w:val="000000" w:themeColor="text1"/>
          <w:sz w:val="16"/>
          <w:szCs w:val="16"/>
        </w:rPr>
        <w:softHyphen/>
        <w:t>ния, которая ими оценивалась как недоста</w:t>
      </w:r>
      <w:r w:rsidRPr="00A3026E">
        <w:rPr>
          <w:rFonts w:ascii="Times New Roman" w:hAnsi="Times New Roman"/>
          <w:color w:val="000000" w:themeColor="text1"/>
          <w:sz w:val="16"/>
          <w:szCs w:val="16"/>
        </w:rPr>
        <w:softHyphen/>
        <w:t>ток. Пилоты не без основания полагали, что при выполнении полетов в штилевую погоду, и особенно ночью, посадка на самолете будет затруднена. В штиль, при стоячей воде обра</w:t>
      </w:r>
      <w:r w:rsidRPr="00A3026E">
        <w:rPr>
          <w:rFonts w:ascii="Times New Roman" w:hAnsi="Times New Roman"/>
          <w:color w:val="000000" w:themeColor="text1"/>
          <w:sz w:val="16"/>
          <w:szCs w:val="16"/>
        </w:rPr>
        <w:softHyphen/>
        <w:t>зуется явление «зеркала», когда летчику при отсутствии ориентиров трудно определить высоту выравнивания. Данное явление хоро</w:t>
      </w:r>
      <w:r w:rsidRPr="00A3026E">
        <w:rPr>
          <w:rFonts w:ascii="Times New Roman" w:hAnsi="Times New Roman"/>
          <w:color w:val="000000" w:themeColor="text1"/>
          <w:sz w:val="16"/>
          <w:szCs w:val="16"/>
        </w:rPr>
        <w:softHyphen/>
        <w:t>шо известно пилотам гидросамолетов, нема</w:t>
      </w:r>
      <w:r w:rsidRPr="00A3026E">
        <w:rPr>
          <w:rFonts w:ascii="Times New Roman" w:hAnsi="Times New Roman"/>
          <w:color w:val="000000" w:themeColor="text1"/>
          <w:sz w:val="16"/>
          <w:szCs w:val="16"/>
        </w:rPr>
        <w:softHyphen/>
        <w:t>ло досадных аварий и катастроф произошло по его причине (12301).</w:t>
      </w:r>
    </w:p>
    <w:p w14:paraId="127309D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24E40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на совещании в ЦК с участием И.В.Сталина представители ВВС и Осоавиахима приняли решение о разработке отечественных массовых десантных планеров и авиаконструкторов пригласили принять участие в тендере. 1 место - проект О.К.Антонова - 5 местный РФ-8 - модернизированный в А-7 на 7 десантников. Спроектировал за вечер. Мог тянуть Харрикейн. 2 - Сокол разработанный в Казани под руководством Воробьева. 3 - 10 местный Орел группы конструкторов ЦАГИ - испытали и запустили (107,9).</w:t>
      </w:r>
    </w:p>
    <w:p w14:paraId="6F0760B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16F44D" w14:textId="77777777" w:rsidR="001765CF" w:rsidRPr="00A3026E" w:rsidRDefault="001765C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Осенью 1940 г. ракетоплан 318-1 перевезли в НИИ-3 и разобрали на части. В августе следующего года, в связи с приближением немцев к Москве и намечавшейся эвакуации, аппарат сожгли (17489).</w:t>
      </w:r>
    </w:p>
    <w:p w14:paraId="50A6E5F2" w14:textId="77777777" w:rsidR="001765CF" w:rsidRPr="00A3026E" w:rsidRDefault="001765CF" w:rsidP="00A3026E">
      <w:pPr>
        <w:spacing w:after="0" w:line="240" w:lineRule="auto"/>
        <w:jc w:val="both"/>
        <w:rPr>
          <w:rFonts w:ascii="Times New Roman" w:eastAsia="Times New Roman" w:hAnsi="Times New Roman"/>
          <w:color w:val="000000" w:themeColor="text1"/>
          <w:sz w:val="16"/>
          <w:szCs w:val="16"/>
          <w:lang w:eastAsia="ru-RU"/>
        </w:rPr>
      </w:pPr>
    </w:p>
    <w:p w14:paraId="2DD042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года под председательством И.В. Сталина в ЦК ВКП(б) провели совещание, на ко</w:t>
      </w:r>
      <w:r w:rsidRPr="00A3026E">
        <w:rPr>
          <w:rFonts w:ascii="Times New Roman" w:hAnsi="Times New Roman"/>
          <w:color w:val="000000" w:themeColor="text1"/>
          <w:sz w:val="16"/>
          <w:szCs w:val="16"/>
        </w:rPr>
        <w:softHyphen/>
        <w:t>тором присутствовали представители руководства ВВС и Осоавиахима, посвященное развитию этого вида авиационной техники. Созыв этого совещания, судя по всему, обуславливался двумя факторами. Сама логика развития Воздушно-десантных войск Красной Армии требовала создания десантных пла</w:t>
      </w:r>
      <w:r w:rsidRPr="00A3026E">
        <w:rPr>
          <w:rFonts w:ascii="Times New Roman" w:hAnsi="Times New Roman"/>
          <w:color w:val="000000" w:themeColor="text1"/>
          <w:sz w:val="16"/>
          <w:szCs w:val="16"/>
        </w:rPr>
        <w:softHyphen/>
        <w:t>неров. А во-вторых, определенную роль сыграли сообщения о грандиозном успехе в применении де</w:t>
      </w:r>
      <w:r w:rsidRPr="00A3026E">
        <w:rPr>
          <w:rFonts w:ascii="Times New Roman" w:hAnsi="Times New Roman"/>
          <w:color w:val="000000" w:themeColor="text1"/>
          <w:sz w:val="16"/>
          <w:szCs w:val="16"/>
        </w:rPr>
        <w:softHyphen/>
        <w:t>сантных планеров немцами при захвате форта Эбен-Эмейл 11 мая 1940 г. В результате решили провести конкурс проектов десантных планеров с целью выяв</w:t>
      </w:r>
      <w:r w:rsidRPr="00A3026E">
        <w:rPr>
          <w:rFonts w:ascii="Times New Roman" w:hAnsi="Times New Roman"/>
          <w:color w:val="000000" w:themeColor="text1"/>
          <w:sz w:val="16"/>
          <w:szCs w:val="16"/>
        </w:rPr>
        <w:softHyphen/>
        <w:t>ления лучших конструкций для дальнейшей передачи их в серийное производство.</w:t>
      </w:r>
    </w:p>
    <w:p w14:paraId="299B48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условиям конкурса 1940 г., кроме планера гру</w:t>
      </w:r>
      <w:r w:rsidRPr="00A3026E">
        <w:rPr>
          <w:rFonts w:ascii="Times New Roman" w:hAnsi="Times New Roman"/>
          <w:color w:val="000000" w:themeColor="text1"/>
          <w:sz w:val="16"/>
          <w:szCs w:val="16"/>
        </w:rPr>
        <w:softHyphen/>
        <w:t>зоподъемностью 5 человек, предусматривалось соз</w:t>
      </w:r>
      <w:r w:rsidRPr="00A3026E">
        <w:rPr>
          <w:rFonts w:ascii="Times New Roman" w:hAnsi="Times New Roman"/>
          <w:color w:val="000000" w:themeColor="text1"/>
          <w:sz w:val="16"/>
          <w:szCs w:val="16"/>
        </w:rPr>
        <w:softHyphen/>
        <w:t>дание планера вместимостью до 11 бойцов.</w:t>
      </w:r>
    </w:p>
    <w:p w14:paraId="453D47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касается транспортных планеров, то первую премию (конкурс 1940 г.) получил О.К. Антонов, за 5-местный планер «Рот Фронт-8» (РФ-8), разрабо</w:t>
      </w:r>
      <w:r w:rsidRPr="00A3026E">
        <w:rPr>
          <w:rFonts w:ascii="Times New Roman" w:hAnsi="Times New Roman"/>
          <w:color w:val="000000" w:themeColor="text1"/>
          <w:sz w:val="16"/>
          <w:szCs w:val="16"/>
        </w:rPr>
        <w:softHyphen/>
        <w:t>танный на основе предыдущих спортивных плане</w:t>
      </w:r>
      <w:r w:rsidRPr="00A3026E">
        <w:rPr>
          <w:rFonts w:ascii="Times New Roman" w:hAnsi="Times New Roman"/>
          <w:color w:val="000000" w:themeColor="text1"/>
          <w:sz w:val="16"/>
          <w:szCs w:val="16"/>
        </w:rPr>
        <w:softHyphen/>
        <w:t>ров этого конструктора. Вторую премию получил Г.Н. Воробьёв, за 5-местный планер КАИ-5 «Сокол». Конструкторы Н.И. Афанасьев, Б.В. Кучеренко и Л.М. Роднянский получили поощрительную премию за 11-местный планер «Орел». Прототипы этих кон</w:t>
      </w:r>
      <w:r w:rsidRPr="00A3026E">
        <w:rPr>
          <w:rFonts w:ascii="Times New Roman" w:hAnsi="Times New Roman"/>
          <w:color w:val="000000" w:themeColor="text1"/>
          <w:sz w:val="16"/>
          <w:szCs w:val="16"/>
        </w:rPr>
        <w:softHyphen/>
        <w:t>струкций были построены к середине 1941 г. (12300).</w:t>
      </w:r>
    </w:p>
    <w:p w14:paraId="5ADA1CB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C8CCEDA" w14:textId="77777777" w:rsidR="00F92307" w:rsidRPr="00A3026E" w:rsidRDefault="00F9230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года под председательством И.В. Сталина в ЦК ВКП(б) провели совещание, на котором присутствовали представители руководства ВВС и Осоавиахима, посвящённое развитию планерной техники. Созыв этого совещания, по-моему, обуславливался двумя факторами: сама логика развития Воздушнодесантных войск Красной армии требовала создания десантных планеров, а во-вторых, определённую роль сыграли сообщения о грандиозном успехе в применении десантных планеров немцами при захвате бельгийского форта Эбен-Эмейл 11 мая 1940 г. В результате решили провести конкурс проектов десантных планеров с целью выявления лучших конструкций для дальнейшей передачи их в серийное производство. По результатам конкурса первую премию получил конструктор О.К. Антонов, за 5-местный планер Рот фронт, вторую премию – Г.Н. Воробьёв, за 5-местный планер КАИ-5 Сокол. Конструкторы Н.И. Афанасьев, Б.В. Кучеренко и Л.М. Роднянский за 11-местный планер Орёл получили поощрительную премию. Прототипы этих конструкций были построены к середине 1941 г. Логичного завершения конкурса в виде передачи лучших конструкций в серию – не последовало. Существенные коррективы в ход работ внесла начавшаяся Великая Отечественная война (19014).</w:t>
      </w:r>
    </w:p>
    <w:p w14:paraId="40E885BE" w14:textId="77777777" w:rsidR="00F92307" w:rsidRPr="00A3026E" w:rsidRDefault="00F92307" w:rsidP="00A3026E">
      <w:pPr>
        <w:spacing w:after="0" w:line="240" w:lineRule="auto"/>
        <w:jc w:val="both"/>
        <w:rPr>
          <w:rFonts w:ascii="Times New Roman" w:hAnsi="Times New Roman"/>
          <w:color w:val="000000" w:themeColor="text1"/>
          <w:sz w:val="16"/>
          <w:szCs w:val="16"/>
        </w:rPr>
      </w:pPr>
    </w:p>
    <w:p w14:paraId="335FB0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года на специальном совещании, на котором присутствовал Сталин, принимается решение провести конкурс для выявления наиболее удачных образцов таких летательных аппаратов с целью их последующего запуска в массовое серийное производство. В результате были созданы планеры 0. К. Антонова, В. К. Грибовского, П. В. Цыбина, Н. К. Курба-лы. Наиболее удачные - А-7 и Г-11 - строились серийно и с успехом использовались в Великой Отечественной войне (4540).</w:t>
      </w:r>
    </w:p>
    <w:p w14:paraId="78FB517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C7208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Е.В.Урмин стал ГК запорожского завода, производящего М-88, М-89 (6,58).</w:t>
      </w:r>
    </w:p>
    <w:p w14:paraId="1DB318A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AC588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осени 1940 г. доводкой М-88 руководил новый главный конструктор ОКБ-29 Е.В. Урмин (1900-1981), ранее работавший в ЦИАМ. При нем был создан ряд новых модификаций этого двигателя (М-88Б, М-88Ф).</w:t>
      </w:r>
    </w:p>
    <w:p w14:paraId="0708C0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 стал основой для оригинального проекта «блокированный мотор», выполненного в конце 1939 г. Г.П. Водолажским. Конструкция представля</w:t>
      </w:r>
      <w:r w:rsidRPr="00A3026E">
        <w:rPr>
          <w:rFonts w:ascii="Times New Roman" w:hAnsi="Times New Roman"/>
          <w:color w:val="000000" w:themeColor="text1"/>
          <w:sz w:val="16"/>
          <w:szCs w:val="16"/>
        </w:rPr>
        <w:softHyphen/>
        <w:t>ла собой два М-88, стоящих рядом друг с другом и работающих на общий вал. Полый выходной вал позволял разместить в нем ствол пушки.</w:t>
      </w:r>
    </w:p>
    <w:p w14:paraId="75DF82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Урмин руководил проектированием мотора М-89. Его главным отличи</w:t>
      </w:r>
      <w:r w:rsidRPr="00A3026E">
        <w:rPr>
          <w:rFonts w:ascii="Times New Roman" w:hAnsi="Times New Roman"/>
          <w:color w:val="000000" w:themeColor="text1"/>
          <w:sz w:val="16"/>
          <w:szCs w:val="16"/>
        </w:rPr>
        <w:softHyphen/>
        <w:t>ем стал трехскоростной нагнетатель, разработанный Водолажским перво</w:t>
      </w:r>
      <w:r w:rsidRPr="00A3026E">
        <w:rPr>
          <w:rFonts w:ascii="Times New Roman" w:hAnsi="Times New Roman"/>
          <w:color w:val="000000" w:themeColor="text1"/>
          <w:sz w:val="16"/>
          <w:szCs w:val="16"/>
        </w:rPr>
        <w:softHyphen/>
        <w:t>начально для М-88 А во второй половине 1939 г. В марте следующего года на М-89 подготовили официальное техническое задание. И наконец, 15 июня 1940 г. появилось постановление Комитета обороны, предписы</w:t>
      </w:r>
      <w:r w:rsidRPr="00A3026E">
        <w:rPr>
          <w:rFonts w:ascii="Times New Roman" w:hAnsi="Times New Roman"/>
          <w:color w:val="000000" w:themeColor="text1"/>
          <w:sz w:val="16"/>
          <w:szCs w:val="16"/>
        </w:rPr>
        <w:softHyphen/>
        <w:t>вавшее представить двигатель на госиспытания к 1 марта 1941 г.</w:t>
      </w:r>
    </w:p>
    <w:p w14:paraId="1AA7AA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Первые пять опытных экземпляров М-89 собрали еще в первом квар</w:t>
      </w:r>
      <w:r w:rsidRPr="00A3026E">
        <w:rPr>
          <w:rFonts w:ascii="Times New Roman" w:hAnsi="Times New Roman"/>
          <w:color w:val="000000" w:themeColor="text1"/>
          <w:sz w:val="16"/>
          <w:szCs w:val="16"/>
        </w:rPr>
        <w:softHyphen/>
        <w:t>тале 1941 г. В процессе доводки за счет повышения степени сжатия уда</w:t>
      </w:r>
      <w:r w:rsidRPr="00A3026E">
        <w:rPr>
          <w:rFonts w:ascii="Times New Roman" w:hAnsi="Times New Roman"/>
          <w:color w:val="000000" w:themeColor="text1"/>
          <w:sz w:val="16"/>
          <w:szCs w:val="16"/>
        </w:rPr>
        <w:softHyphen/>
        <w:t>лось существенно поднять мощность двигателя. Если у М-88А максималь</w:t>
      </w:r>
      <w:r w:rsidRPr="00A3026E">
        <w:rPr>
          <w:rFonts w:ascii="Times New Roman" w:hAnsi="Times New Roman"/>
          <w:color w:val="000000" w:themeColor="text1"/>
          <w:sz w:val="16"/>
          <w:szCs w:val="16"/>
        </w:rPr>
        <w:softHyphen/>
        <w:t>ная мощность составляла 1100 л.с., то у модернизированного М-89 — 1550 л.с. В июне 1941 г. модернизированный М-89 прошел 50-часовые испытания. В это время завод уже начал производство первой серии таких двигателей. Несмотря на эвакуацию завода в связи с подходом немецких войск в августе 1941 г., выпуск М-89 продолжался на новой площадке в Омске. До конца года собрали 107 двигателей. Но затем недостаточно доведенным М-89 решили пожертвовать для увеличения выпуска основной продукции завода — моторов М-88Б.</w:t>
      </w:r>
    </w:p>
    <w:p w14:paraId="2D31F9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М-89 стал не последним 14-цилиндровым потомком двигателя Гном-Рон 14К, созданным в Советском Союзе. В эвакуации Урмин работал над дви</w:t>
      </w:r>
      <w:r w:rsidRPr="00A3026E">
        <w:rPr>
          <w:rFonts w:ascii="Times New Roman" w:hAnsi="Times New Roman"/>
          <w:color w:val="000000" w:themeColor="text1"/>
          <w:sz w:val="16"/>
          <w:szCs w:val="16"/>
        </w:rPr>
        <w:softHyphen/>
        <w:t>гателем ЗМ на базе М-89. Но дальше опытных образцов дело не пошло.</w:t>
      </w:r>
    </w:p>
    <w:p w14:paraId="714336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Несколько дольше развивалась побочная линия, не имевшая непосред</w:t>
      </w:r>
      <w:r w:rsidRPr="00A3026E">
        <w:rPr>
          <w:rFonts w:ascii="Times New Roman" w:hAnsi="Times New Roman"/>
          <w:color w:val="000000" w:themeColor="text1"/>
          <w:sz w:val="16"/>
          <w:szCs w:val="16"/>
        </w:rPr>
        <w:softHyphen/>
        <w:t>ственного французского прародителя. Речь идет о 18-цилиндровых мо</w:t>
      </w:r>
      <w:r w:rsidRPr="00A3026E">
        <w:rPr>
          <w:rFonts w:ascii="Times New Roman" w:hAnsi="Times New Roman"/>
          <w:color w:val="000000" w:themeColor="text1"/>
          <w:sz w:val="16"/>
          <w:szCs w:val="16"/>
        </w:rPr>
        <w:softHyphen/>
        <w:t>торах на базе цилиндро-поршневой группы М-88. Первые прикидки по 18-цилиндровому двигателю на базе М-85 сделали еще в апреле 1936 г., при Назарове. Позднее предложение о создании такого двигателя включи</w:t>
      </w:r>
      <w:r w:rsidRPr="00A3026E">
        <w:rPr>
          <w:rFonts w:ascii="Times New Roman" w:hAnsi="Times New Roman"/>
          <w:color w:val="000000" w:themeColor="text1"/>
          <w:sz w:val="16"/>
          <w:szCs w:val="16"/>
        </w:rPr>
        <w:softHyphen/>
        <w:t>ли в проект плана опытных работ на 1938 г. как «18-цилиндровый мотор по образцу Гном-Рон 18Ь». Но фактически ничего сделано не было. Воз</w:t>
      </w:r>
      <w:r w:rsidRPr="00A3026E">
        <w:rPr>
          <w:rFonts w:ascii="Times New Roman" w:hAnsi="Times New Roman"/>
          <w:color w:val="000000" w:themeColor="text1"/>
          <w:sz w:val="16"/>
          <w:szCs w:val="16"/>
        </w:rPr>
        <w:softHyphen/>
        <w:t>можно, это произошло потому, что с весны 1938 г. во Франции вели переговоры с фирмой «Гном-Рон» о приобретении лицензии на более поздний мотор типа 18Р. Переговоры шли больше года, но не закончились успехом. Фирма медлила. Потом выяснилось, что двигатель так и не прошел офи</w:t>
      </w:r>
      <w:r w:rsidRPr="00A3026E">
        <w:rPr>
          <w:rFonts w:ascii="Times New Roman" w:hAnsi="Times New Roman"/>
          <w:color w:val="000000" w:themeColor="text1"/>
          <w:sz w:val="16"/>
          <w:szCs w:val="16"/>
        </w:rPr>
        <w:softHyphen/>
        <w:t>циальных сертификационных испытаний (11852).</w:t>
      </w:r>
    </w:p>
    <w:p w14:paraId="3A9C82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1527C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последовала очередная смена руководства завода № 19 и КБ. Руководителем КБ был назначен Е.В.Урмин, которому и удалось довести М-88 в 1941 г., уже в эвакуации, причем со значительным увеличением мощности -до 1375 л.с. - и движок исправно отслужил на бомбардировщиках Ил-4 всю войну. А вот истребители М-88 «утопил» вместе с собой - на сцене появились новые фавориты как среди конструкций, так и среди конструкторов (6592).</w:t>
      </w:r>
    </w:p>
    <w:p w14:paraId="7488341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842BFCE" w14:textId="77777777" w:rsidR="00F92307" w:rsidRPr="00A3026E" w:rsidRDefault="00F9230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года Е.В. Урмин пришел на завод № 29 и благополучно трудился на нем в той же должности вплоть до начала войны с Германией и позже, в эвакуации в Омске, а в мае 1944 года его перевели в Москву, где он стал главным конструктором ОКБ-41, которое занималось моторами малой мощности [26] (18619).</w:t>
      </w:r>
    </w:p>
    <w:p w14:paraId="23C501E7" w14:textId="77777777" w:rsidR="00F92307" w:rsidRPr="00A3026E" w:rsidRDefault="00F92307" w:rsidP="00A3026E">
      <w:pPr>
        <w:spacing w:after="0" w:line="240" w:lineRule="auto"/>
        <w:jc w:val="both"/>
        <w:rPr>
          <w:rFonts w:ascii="Times New Roman" w:hAnsi="Times New Roman"/>
          <w:color w:val="000000" w:themeColor="text1"/>
          <w:sz w:val="16"/>
          <w:szCs w:val="16"/>
        </w:rPr>
      </w:pPr>
    </w:p>
    <w:p w14:paraId="57E6BA0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С осени 1940 г. на МВ-6А стали ставить советские карбюраторы КВ-6. В частности, во время войсковых испытаний учебно-тренировочных самолетов УТ-3 в летной школе в Энгельсе в сентябре-октябре 1940 г. из 25 отправленных туда МВ-6А восемь уже комплектовались КВ-6. Казалось бы, к середине 1940 г. МВ-4 и МВ-6 довели до более-менее приемлемого состояния. Осталась одна проблема - перегрев мотора в жару, но это было скорее проблемой самолетостроителей, еще не освоившихся с капотированием двигателей такого типа (11479).</w:t>
      </w:r>
    </w:p>
    <w:p w14:paraId="497AB651"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03B128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на заводе № 82 в Москве изготовили отсек М-20 с четырьмя цилиндрами. Мощный дизель для тяжелых бомбардировщиков. Проектировался в ЦИАМ в 1940-1941 гг. Имел необычную ромбическую компоновку с че</w:t>
      </w:r>
      <w:r w:rsidRPr="00A3026E">
        <w:rPr>
          <w:rFonts w:ascii="Times New Roman" w:hAnsi="Times New Roman"/>
          <w:color w:val="000000" w:themeColor="text1"/>
          <w:sz w:val="16"/>
          <w:szCs w:val="16"/>
        </w:rPr>
        <w:softHyphen/>
        <w:t>тырьмя коленвалами, двумя противоположно движущимися поршнями в каждом из 48 цилиндров. С декабря того же года он проходил стендовые испытания, на которых получили большую мощность, чем рассчитывали. Если по проекту максимальная мощность М-20 составляла 2200 л.с., то по результатам испытаний ее оценили в 3000 л.с. Изготовление опытного образца М-20 должны были завершить в середине 1941 г., но его так и не сделали. Доводку четырехцилиндрового отсека продолжали в ЦИАМ до начала 1943 г.</w:t>
      </w:r>
    </w:p>
    <w:p w14:paraId="3E611B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Характеристики:</w:t>
      </w:r>
    </w:p>
    <w:p w14:paraId="2E55B8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48-цилиндровый ромбовидный, с противоположно движущимися поршнями, двухтактный, водяного охлаждения, редукторный;</w:t>
      </w:r>
    </w:p>
    <w:p w14:paraId="298E17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максимальная мощность (расчетная) 3000 л.с.</w:t>
      </w:r>
    </w:p>
    <w:p w14:paraId="4B1578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Предусматривалось использование М-20 в проекте бомбардировщика ДВБ-102ДМ (11852).</w:t>
      </w:r>
    </w:p>
    <w:p w14:paraId="11AB59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59FCC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представители КБ В.Ф.Болховитинова ознакомились с возможностями КБ Л.С.Душкина и их ЖРД (157,3).</w:t>
      </w:r>
    </w:p>
    <w:p w14:paraId="0E7941A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CD995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И.Ф.Петров снова был направлен в Германию, но так и не сумел купить ВМВ-810А. Возвращался за несколько недель до начала войны (262,53).</w:t>
      </w:r>
    </w:p>
    <w:p w14:paraId="224112F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B0D362E" w14:textId="77777777" w:rsidR="007B54E4" w:rsidRPr="00A3026E" w:rsidRDefault="007B54E4" w:rsidP="00A3026E">
      <w:pPr>
        <w:spacing w:after="0" w:line="240" w:lineRule="auto"/>
        <w:jc w:val="both"/>
        <w:rPr>
          <w:rStyle w:val="770"/>
          <w:rFonts w:ascii="Times New Roman" w:hAnsi="Times New Roman" w:cs="Times New Roman"/>
          <w:color w:val="0070C0"/>
          <w:sz w:val="16"/>
          <w:szCs w:val="16"/>
        </w:rPr>
      </w:pPr>
      <w:r w:rsidRPr="00A3026E">
        <w:rPr>
          <w:rStyle w:val="770"/>
          <w:rFonts w:ascii="Times New Roman" w:hAnsi="Times New Roman" w:cs="Times New Roman"/>
          <w:color w:val="0070C0"/>
          <w:sz w:val="16"/>
          <w:szCs w:val="16"/>
        </w:rPr>
        <w:t>Осенью 1940 года заводы были завалены рекламациями из воинских частей, которые требовали устранения недо</w:t>
      </w:r>
      <w:r w:rsidRPr="00A3026E">
        <w:rPr>
          <w:rStyle w:val="770"/>
          <w:rFonts w:ascii="Times New Roman" w:hAnsi="Times New Roman" w:cs="Times New Roman"/>
          <w:color w:val="0070C0"/>
          <w:sz w:val="16"/>
          <w:szCs w:val="16"/>
        </w:rPr>
        <w:softHyphen/>
        <w:t>статков покрытия. Эти работы неспешно выполнялись заводами согласно гарантий</w:t>
      </w:r>
      <w:r w:rsidRPr="00A3026E">
        <w:rPr>
          <w:rStyle w:val="770"/>
          <w:rFonts w:ascii="Times New Roman" w:hAnsi="Times New Roman" w:cs="Times New Roman"/>
          <w:color w:val="0070C0"/>
          <w:sz w:val="16"/>
          <w:szCs w:val="16"/>
        </w:rPr>
        <w:softHyphen/>
        <w:t>ным обязательствам вплоть до весны 1941 года.</w:t>
      </w:r>
    </w:p>
    <w:p w14:paraId="44E481A4" w14:textId="77777777" w:rsidR="007B54E4" w:rsidRPr="00A3026E" w:rsidRDefault="007B54E4" w:rsidP="00A3026E">
      <w:pPr>
        <w:spacing w:after="0" w:line="240" w:lineRule="auto"/>
        <w:jc w:val="both"/>
        <w:rPr>
          <w:rStyle w:val="770"/>
          <w:rFonts w:ascii="Times New Roman" w:hAnsi="Times New Roman" w:cs="Times New Roman"/>
          <w:color w:val="0070C0"/>
          <w:sz w:val="16"/>
          <w:szCs w:val="16"/>
        </w:rPr>
      </w:pPr>
      <w:r w:rsidRPr="00A3026E">
        <w:rPr>
          <w:rStyle w:val="770"/>
          <w:rFonts w:ascii="Times New Roman" w:hAnsi="Times New Roman" w:cs="Times New Roman"/>
          <w:color w:val="0070C0"/>
          <w:sz w:val="16"/>
          <w:szCs w:val="16"/>
        </w:rPr>
        <w:t>Выяснилось, что лакокрасочное покрытие только что выпущенных с заводов самолетов СБ и Дб-3ф, окрашенных глифталевыми эмалями А-19ф, имеет слабую устой</w:t>
      </w:r>
      <w:r w:rsidRPr="00A3026E">
        <w:rPr>
          <w:rStyle w:val="770"/>
          <w:rFonts w:ascii="Times New Roman" w:hAnsi="Times New Roman" w:cs="Times New Roman"/>
          <w:color w:val="0070C0"/>
          <w:sz w:val="16"/>
          <w:szCs w:val="16"/>
        </w:rPr>
        <w:softHyphen/>
        <w:t>чивость к внешним воздействиям. Краска быстро мутнела, желтела, начинала шелу</w:t>
      </w:r>
      <w:r w:rsidRPr="00A3026E">
        <w:rPr>
          <w:rStyle w:val="770"/>
          <w:rFonts w:ascii="Times New Roman" w:hAnsi="Times New Roman" w:cs="Times New Roman"/>
          <w:color w:val="0070C0"/>
          <w:sz w:val="16"/>
          <w:szCs w:val="16"/>
        </w:rPr>
        <w:softHyphen/>
        <w:t>шиться и растрескиваться в местах заклепоч</w:t>
      </w:r>
      <w:r w:rsidRPr="00A3026E">
        <w:rPr>
          <w:rStyle w:val="770"/>
          <w:rFonts w:ascii="Times New Roman" w:hAnsi="Times New Roman" w:cs="Times New Roman"/>
          <w:color w:val="0070C0"/>
          <w:sz w:val="16"/>
          <w:szCs w:val="16"/>
        </w:rPr>
        <w:softHyphen/>
        <w:t>ных соединений.</w:t>
      </w:r>
    </w:p>
    <w:p w14:paraId="0D4E3F08" w14:textId="77777777" w:rsidR="007B54E4" w:rsidRPr="00A3026E" w:rsidRDefault="007B54E4" w:rsidP="00A3026E">
      <w:pPr>
        <w:spacing w:after="0" w:line="240" w:lineRule="auto"/>
        <w:jc w:val="both"/>
        <w:rPr>
          <w:rFonts w:ascii="Times New Roman" w:hAnsi="Times New Roman"/>
          <w:color w:val="0070C0"/>
          <w:sz w:val="16"/>
          <w:szCs w:val="16"/>
        </w:rPr>
      </w:pPr>
      <w:r w:rsidRPr="00A3026E">
        <w:rPr>
          <w:rStyle w:val="770"/>
          <w:rFonts w:ascii="Times New Roman" w:hAnsi="Times New Roman" w:cs="Times New Roman"/>
          <w:color w:val="0070C0"/>
          <w:sz w:val="16"/>
          <w:szCs w:val="16"/>
        </w:rPr>
        <w:t>Выходом из ситуации стала разработка и освоение в производстве новой линейки мас</w:t>
      </w:r>
      <w:r w:rsidRPr="00A3026E">
        <w:rPr>
          <w:rStyle w:val="770"/>
          <w:rFonts w:ascii="Times New Roman" w:hAnsi="Times New Roman" w:cs="Times New Roman"/>
          <w:color w:val="0070C0"/>
          <w:sz w:val="16"/>
          <w:szCs w:val="16"/>
        </w:rPr>
        <w:softHyphen/>
        <w:t>ляных эмалей, предназначенных для окраски металлических деталей и поверхностей, а также нитрокрасок для деревянных и перка</w:t>
      </w:r>
      <w:r w:rsidRPr="00A3026E">
        <w:rPr>
          <w:rStyle w:val="770"/>
          <w:rFonts w:ascii="Times New Roman" w:hAnsi="Times New Roman" w:cs="Times New Roman"/>
          <w:color w:val="0070C0"/>
          <w:sz w:val="16"/>
          <w:szCs w:val="16"/>
        </w:rPr>
        <w:softHyphen/>
        <w:t>левых поверхностей. Номенклатура изна</w:t>
      </w:r>
      <w:r w:rsidRPr="00A3026E">
        <w:rPr>
          <w:rStyle w:val="770"/>
          <w:rFonts w:ascii="Times New Roman" w:hAnsi="Times New Roman" w:cs="Times New Roman"/>
          <w:color w:val="0070C0"/>
          <w:sz w:val="16"/>
          <w:szCs w:val="16"/>
        </w:rPr>
        <w:softHyphen/>
        <w:t>чально была представлена семью цветами с номерами от 1 до 7. 1 - «светло-коричне</w:t>
      </w:r>
      <w:r w:rsidRPr="00A3026E">
        <w:rPr>
          <w:rStyle w:val="770"/>
          <w:rFonts w:ascii="Times New Roman" w:hAnsi="Times New Roman" w:cs="Times New Roman"/>
          <w:color w:val="0070C0"/>
          <w:sz w:val="16"/>
          <w:szCs w:val="16"/>
        </w:rPr>
        <w:softHyphen/>
        <w:t>вый», 2 - «серый», 3 - «желтый» (светло- зеленый), 4 - «зеленый», 5 - «темно-зеле</w:t>
      </w:r>
      <w:r w:rsidRPr="00A3026E">
        <w:rPr>
          <w:rStyle w:val="770"/>
          <w:rFonts w:ascii="Times New Roman" w:hAnsi="Times New Roman" w:cs="Times New Roman"/>
          <w:color w:val="0070C0"/>
          <w:sz w:val="16"/>
          <w:szCs w:val="16"/>
        </w:rPr>
        <w:softHyphen/>
        <w:t>ный», 6 - «ахроматический» (черный), 7 - «серо-голубой». (19910).</w:t>
      </w:r>
    </w:p>
    <w:p w14:paraId="0DD4D034" w14:textId="77777777" w:rsidR="007B54E4" w:rsidRPr="00A3026E" w:rsidRDefault="007B54E4" w:rsidP="00A3026E">
      <w:pPr>
        <w:spacing w:after="0" w:line="240" w:lineRule="auto"/>
        <w:jc w:val="both"/>
        <w:rPr>
          <w:rFonts w:ascii="Times New Roman" w:hAnsi="Times New Roman"/>
          <w:color w:val="0070C0"/>
          <w:sz w:val="16"/>
          <w:szCs w:val="16"/>
        </w:rPr>
      </w:pPr>
    </w:p>
    <w:p w14:paraId="358295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Госплан, рапортуя Совнаркому о ходе выполнения 3-го пятилетнего плана, ха</w:t>
      </w:r>
      <w:r w:rsidRPr="00A3026E">
        <w:rPr>
          <w:rFonts w:ascii="Times New Roman" w:hAnsi="Times New Roman"/>
          <w:color w:val="000000" w:themeColor="text1"/>
          <w:sz w:val="16"/>
          <w:szCs w:val="16"/>
        </w:rPr>
        <w:softHyphen/>
        <w:t>рактеризовал ситуацию с развитием алюминиевой промыш</w:t>
      </w:r>
      <w:r w:rsidRPr="00A3026E">
        <w:rPr>
          <w:rFonts w:ascii="Times New Roman" w:hAnsi="Times New Roman"/>
          <w:color w:val="000000" w:themeColor="text1"/>
          <w:sz w:val="16"/>
          <w:szCs w:val="16"/>
        </w:rPr>
        <w:softHyphen/>
        <w:t>ленности весьма пессимистично. Хотя план пятилетки пред</w:t>
      </w:r>
      <w:r w:rsidRPr="00A3026E">
        <w:rPr>
          <w:rFonts w:ascii="Times New Roman" w:hAnsi="Times New Roman"/>
          <w:color w:val="000000" w:themeColor="text1"/>
          <w:sz w:val="16"/>
          <w:szCs w:val="16"/>
        </w:rPr>
        <w:softHyphen/>
        <w:t>полагал трёхкратный рост выпуска алюминия, реально за 2 истекших года производство «крылатого металла» возрос</w:t>
      </w:r>
      <w:r w:rsidRPr="00A3026E">
        <w:rPr>
          <w:rFonts w:ascii="Times New Roman" w:hAnsi="Times New Roman"/>
          <w:color w:val="000000" w:themeColor="text1"/>
          <w:sz w:val="16"/>
          <w:szCs w:val="16"/>
        </w:rPr>
        <w:softHyphen/>
        <w:t>ло лишь на 33 % (Индустриализация СССР. 1938—1941 годы. М., 1972. С. 136). При обсуждении заказа НКАП на 1941 г. НКЦМ отвечал, что его, Наркомдветмета, план на 1941 г. предусматривает выпуск 90 тыс. т алюминия, в связи с чем не представляется возможным одновременно выполнить за</w:t>
      </w:r>
      <w:r w:rsidRPr="00A3026E">
        <w:rPr>
          <w:rFonts w:ascii="Times New Roman" w:hAnsi="Times New Roman"/>
          <w:color w:val="000000" w:themeColor="text1"/>
          <w:sz w:val="16"/>
          <w:szCs w:val="16"/>
        </w:rPr>
        <w:softHyphen/>
        <w:t xml:space="preserve">каз НКАП на 87 тыс. т алюминия и заказ прочих оборонных ведомств ещё на 15—16 тыс. т (ГА РФ. Ф. 8007.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xml:space="preserve"> 1. Д. 33. Л. 96.). Так или иначе, руководство НКАП хорошо понимало важность и напряжённость положе</w:t>
      </w:r>
      <w:r w:rsidRPr="00A3026E">
        <w:rPr>
          <w:rFonts w:ascii="Times New Roman" w:hAnsi="Times New Roman"/>
          <w:color w:val="000000" w:themeColor="text1"/>
          <w:sz w:val="16"/>
          <w:szCs w:val="16"/>
        </w:rPr>
        <w:softHyphen/>
        <w:t>ния дел с производством алюминия. Анализ выпуска алюми</w:t>
      </w:r>
      <w:r w:rsidRPr="00A3026E">
        <w:rPr>
          <w:rFonts w:ascii="Times New Roman" w:hAnsi="Times New Roman"/>
          <w:color w:val="000000" w:themeColor="text1"/>
          <w:sz w:val="16"/>
          <w:szCs w:val="16"/>
        </w:rPr>
        <w:softHyphen/>
        <w:t>ния в СССР, особенно в сопоставлении с динамикой алюми</w:t>
      </w:r>
      <w:r w:rsidRPr="00A3026E">
        <w:rPr>
          <w:rFonts w:ascii="Times New Roman" w:hAnsi="Times New Roman"/>
          <w:color w:val="000000" w:themeColor="text1"/>
          <w:sz w:val="16"/>
          <w:szCs w:val="16"/>
        </w:rPr>
        <w:softHyphen/>
        <w:t>ниевого выпуска в Германии, заставлял задуматься:</w:t>
      </w:r>
    </w:p>
    <w:p w14:paraId="6DB514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Выпуск алюминия (тыс. т) (ГА РФ. Ф. 8007. </w:t>
      </w:r>
      <w:r w:rsidRPr="00A3026E">
        <w:rPr>
          <w:rFonts w:ascii="Times New Roman" w:hAnsi="Times New Roman"/>
          <w:color w:val="000000" w:themeColor="text1"/>
          <w:sz w:val="16"/>
          <w:szCs w:val="16"/>
          <w:lang w:val="en-US"/>
        </w:rPr>
        <w:t xml:space="preserve">On </w:t>
      </w:r>
      <w:r w:rsidRPr="00A3026E">
        <w:rPr>
          <w:rFonts w:ascii="Times New Roman" w:hAnsi="Times New Roman"/>
          <w:color w:val="000000" w:themeColor="text1"/>
          <w:sz w:val="16"/>
          <w:szCs w:val="16"/>
        </w:rPr>
        <w:t>1. Д. 29. Л.3)</w:t>
      </w:r>
    </w:p>
    <w:tbl>
      <w:tblPr>
        <w:tblW w:w="0" w:type="auto"/>
        <w:tblInd w:w="8" w:type="dxa"/>
        <w:tblLayout w:type="fixed"/>
        <w:tblCellMar>
          <w:left w:w="0" w:type="dxa"/>
          <w:right w:w="0" w:type="dxa"/>
        </w:tblCellMar>
        <w:tblLook w:val="0000" w:firstRow="0" w:lastRow="0" w:firstColumn="0" w:lastColumn="0" w:noHBand="0" w:noVBand="0"/>
      </w:tblPr>
      <w:tblGrid>
        <w:gridCol w:w="1541"/>
        <w:gridCol w:w="566"/>
        <w:gridCol w:w="571"/>
        <w:gridCol w:w="571"/>
        <w:gridCol w:w="1373"/>
        <w:gridCol w:w="1320"/>
      </w:tblGrid>
      <w:tr w:rsidR="00983732" w:rsidRPr="00A3026E" w14:paraId="15081BB5" w14:textId="77777777" w:rsidTr="00EA0DA7">
        <w:trPr>
          <w:trHeight w:val="235"/>
        </w:trPr>
        <w:tc>
          <w:tcPr>
            <w:tcW w:w="1541" w:type="dxa"/>
            <w:tcBorders>
              <w:top w:val="single" w:sz="6" w:space="0" w:color="auto"/>
              <w:left w:val="single" w:sz="6" w:space="0" w:color="auto"/>
              <w:bottom w:val="nil"/>
              <w:right w:val="single" w:sz="6" w:space="0" w:color="auto"/>
            </w:tcBorders>
            <w:shd w:val="clear" w:color="auto" w:fill="FFFFFF"/>
          </w:tcPr>
          <w:p w14:paraId="56D76FA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nil"/>
              <w:right w:val="single" w:sz="6" w:space="0" w:color="auto"/>
            </w:tcBorders>
            <w:shd w:val="clear" w:color="auto" w:fill="FFFFFF"/>
          </w:tcPr>
          <w:p w14:paraId="21E383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1937</w:t>
            </w:r>
          </w:p>
        </w:tc>
        <w:tc>
          <w:tcPr>
            <w:tcW w:w="571" w:type="dxa"/>
            <w:tcBorders>
              <w:top w:val="single" w:sz="6" w:space="0" w:color="auto"/>
              <w:left w:val="single" w:sz="6" w:space="0" w:color="auto"/>
              <w:bottom w:val="nil"/>
              <w:right w:val="single" w:sz="6" w:space="0" w:color="auto"/>
            </w:tcBorders>
            <w:shd w:val="clear" w:color="auto" w:fill="FFFFFF"/>
          </w:tcPr>
          <w:p w14:paraId="30288A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w:t>
            </w:r>
          </w:p>
        </w:tc>
        <w:tc>
          <w:tcPr>
            <w:tcW w:w="571" w:type="dxa"/>
            <w:tcBorders>
              <w:top w:val="single" w:sz="6" w:space="0" w:color="auto"/>
              <w:left w:val="single" w:sz="6" w:space="0" w:color="auto"/>
              <w:bottom w:val="nil"/>
              <w:right w:val="single" w:sz="6" w:space="0" w:color="auto"/>
            </w:tcBorders>
            <w:shd w:val="clear" w:color="auto" w:fill="FFFFFF"/>
          </w:tcPr>
          <w:p w14:paraId="1E583F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2693" w:type="dxa"/>
            <w:gridSpan w:val="2"/>
            <w:tcBorders>
              <w:top w:val="single" w:sz="6" w:space="0" w:color="auto"/>
              <w:left w:val="single" w:sz="6" w:space="0" w:color="auto"/>
              <w:bottom w:val="single" w:sz="6" w:space="0" w:color="auto"/>
              <w:right w:val="single" w:sz="6" w:space="0" w:color="auto"/>
            </w:tcBorders>
            <w:shd w:val="clear" w:color="auto" w:fill="FFFFFF"/>
          </w:tcPr>
          <w:p w14:paraId="3A9584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r>
      <w:tr w:rsidR="00983732" w:rsidRPr="00A3026E" w14:paraId="71197972" w14:textId="77777777" w:rsidTr="00EA0DA7">
        <w:trPr>
          <w:trHeight w:val="221"/>
        </w:trPr>
        <w:tc>
          <w:tcPr>
            <w:tcW w:w="1541" w:type="dxa"/>
            <w:tcBorders>
              <w:top w:val="nil"/>
              <w:left w:val="single" w:sz="6" w:space="0" w:color="auto"/>
              <w:bottom w:val="single" w:sz="6" w:space="0" w:color="auto"/>
              <w:right w:val="single" w:sz="6" w:space="0" w:color="auto"/>
            </w:tcBorders>
            <w:shd w:val="clear" w:color="auto" w:fill="FFFFFF"/>
          </w:tcPr>
          <w:p w14:paraId="731BAAF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66" w:type="dxa"/>
            <w:tcBorders>
              <w:top w:val="nil"/>
              <w:left w:val="single" w:sz="6" w:space="0" w:color="auto"/>
              <w:bottom w:val="single" w:sz="6" w:space="0" w:color="auto"/>
              <w:right w:val="single" w:sz="6" w:space="0" w:color="auto"/>
            </w:tcBorders>
            <w:shd w:val="clear" w:color="auto" w:fill="FFFFFF"/>
          </w:tcPr>
          <w:p w14:paraId="077BD3F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1" w:type="dxa"/>
            <w:tcBorders>
              <w:top w:val="nil"/>
              <w:left w:val="single" w:sz="6" w:space="0" w:color="auto"/>
              <w:bottom w:val="single" w:sz="6" w:space="0" w:color="auto"/>
              <w:right w:val="single" w:sz="6" w:space="0" w:color="auto"/>
            </w:tcBorders>
            <w:shd w:val="clear" w:color="auto" w:fill="FFFFFF"/>
          </w:tcPr>
          <w:p w14:paraId="347FE17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1" w:type="dxa"/>
            <w:tcBorders>
              <w:top w:val="nil"/>
              <w:left w:val="single" w:sz="6" w:space="0" w:color="auto"/>
              <w:bottom w:val="single" w:sz="6" w:space="0" w:color="auto"/>
              <w:right w:val="single" w:sz="6" w:space="0" w:color="auto"/>
            </w:tcBorders>
            <w:shd w:val="clear" w:color="auto" w:fill="FFFFFF"/>
          </w:tcPr>
          <w:p w14:paraId="28FA065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1AD255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мплапровюо</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14:paraId="12375D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вжвдегся</w:t>
            </w:r>
          </w:p>
        </w:tc>
      </w:tr>
      <w:tr w:rsidR="00983732" w:rsidRPr="00A3026E" w14:paraId="569FF10C" w14:textId="77777777" w:rsidTr="00EA0DA7">
        <w:trPr>
          <w:trHeight w:val="221"/>
        </w:trPr>
        <w:tc>
          <w:tcPr>
            <w:tcW w:w="1541" w:type="dxa"/>
            <w:tcBorders>
              <w:top w:val="single" w:sz="6" w:space="0" w:color="auto"/>
              <w:left w:val="single" w:sz="6" w:space="0" w:color="auto"/>
              <w:bottom w:val="single" w:sz="6" w:space="0" w:color="auto"/>
              <w:right w:val="single" w:sz="6" w:space="0" w:color="auto"/>
            </w:tcBorders>
            <w:shd w:val="clear" w:color="auto" w:fill="FFFFFF"/>
          </w:tcPr>
          <w:p w14:paraId="7954FC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СССР</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C5A5A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37,7</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14273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D631D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48,9</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4E6437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14:paraId="75BC5F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w:t>
            </w:r>
          </w:p>
        </w:tc>
      </w:tr>
      <w:tr w:rsidR="00983732" w:rsidRPr="00A3026E" w14:paraId="169D58B8" w14:textId="77777777" w:rsidTr="00EA0DA7">
        <w:trPr>
          <w:trHeight w:val="226"/>
        </w:trPr>
        <w:tc>
          <w:tcPr>
            <w:tcW w:w="1541" w:type="dxa"/>
            <w:tcBorders>
              <w:top w:val="single" w:sz="6" w:space="0" w:color="auto"/>
              <w:left w:val="single" w:sz="6" w:space="0" w:color="auto"/>
              <w:bottom w:val="single" w:sz="6" w:space="0" w:color="auto"/>
              <w:right w:val="single" w:sz="6" w:space="0" w:color="auto"/>
            </w:tcBorders>
            <w:shd w:val="clear" w:color="auto" w:fill="FFFFFF"/>
          </w:tcPr>
          <w:p w14:paraId="50EF33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 к прошлому году</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3977C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118,6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5970E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F1354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111,4</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5399FD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137</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14:paraId="55AADA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w:t>
            </w:r>
          </w:p>
        </w:tc>
      </w:tr>
      <w:tr w:rsidR="00983732" w:rsidRPr="00A3026E" w14:paraId="242737C5" w14:textId="77777777" w:rsidTr="00EA0DA7">
        <w:trPr>
          <w:trHeight w:val="221"/>
        </w:trPr>
        <w:tc>
          <w:tcPr>
            <w:tcW w:w="1541" w:type="dxa"/>
            <w:tcBorders>
              <w:top w:val="single" w:sz="6" w:space="0" w:color="auto"/>
              <w:left w:val="single" w:sz="6" w:space="0" w:color="auto"/>
              <w:bottom w:val="single" w:sz="6" w:space="0" w:color="auto"/>
              <w:right w:val="single" w:sz="6" w:space="0" w:color="auto"/>
            </w:tcBorders>
            <w:shd w:val="clear" w:color="auto" w:fill="FFFFFF"/>
          </w:tcPr>
          <w:p w14:paraId="2D613B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 к годовому плану</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627E6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3D1A5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CD45A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87,3</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59A7D8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14:paraId="171BE4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w:t>
            </w:r>
          </w:p>
        </w:tc>
      </w:tr>
      <w:tr w:rsidR="00983732" w:rsidRPr="00A3026E" w14:paraId="3BFA181A" w14:textId="77777777" w:rsidTr="00EA0DA7">
        <w:trPr>
          <w:trHeight w:val="245"/>
        </w:trPr>
        <w:tc>
          <w:tcPr>
            <w:tcW w:w="1541" w:type="dxa"/>
            <w:tcBorders>
              <w:top w:val="single" w:sz="6" w:space="0" w:color="auto"/>
              <w:left w:val="single" w:sz="6" w:space="0" w:color="auto"/>
              <w:bottom w:val="single" w:sz="6" w:space="0" w:color="auto"/>
              <w:right w:val="single" w:sz="6" w:space="0" w:color="auto"/>
            </w:tcBorders>
            <w:shd w:val="clear" w:color="auto" w:fill="FFFFFF"/>
          </w:tcPr>
          <w:p w14:paraId="0F9339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Германия*</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E0C72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E90E6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lang w:val="en-US"/>
              </w:rPr>
              <w:t>16S</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7F116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76EDF3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нд</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14:paraId="21B1C5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нл</w:t>
            </w:r>
          </w:p>
        </w:tc>
      </w:tr>
    </w:tbl>
    <w:p w14:paraId="047B80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 данным начальника Металлического отдела НКАП.</w:t>
      </w:r>
    </w:p>
    <w:p w14:paraId="10FD8D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видим, несмотря на постоянный и достаточно уверен</w:t>
      </w:r>
      <w:r w:rsidRPr="00A3026E">
        <w:rPr>
          <w:rFonts w:ascii="Times New Roman" w:hAnsi="Times New Roman"/>
          <w:color w:val="000000" w:themeColor="text1"/>
          <w:sz w:val="16"/>
          <w:szCs w:val="16"/>
        </w:rPr>
        <w:softHyphen/>
        <w:t>ный рост; советская авиапромышленность никак не могла не только догнать Германию, но даже предотвратить дальнейшее увеличения отставание от наиболее вероятного противника (12011).</w:t>
      </w:r>
    </w:p>
    <w:p w14:paraId="6A21FAB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49D20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для летных огневых испытаний полным комплектом из 8 штук новых ракетных орудий оборудовали истребитель И-153 №8152. При перевоо</w:t>
      </w:r>
      <w:r w:rsidRPr="00A3026E">
        <w:rPr>
          <w:rFonts w:ascii="Times New Roman" w:hAnsi="Times New Roman"/>
          <w:color w:val="000000" w:themeColor="text1"/>
          <w:sz w:val="16"/>
          <w:szCs w:val="16"/>
        </w:rPr>
        <w:softHyphen/>
        <w:t>ружении самолета техники были приятно удивлены тем, что стандарт</w:t>
      </w:r>
      <w:r w:rsidRPr="00A3026E">
        <w:rPr>
          <w:rFonts w:ascii="Times New Roman" w:hAnsi="Times New Roman"/>
          <w:color w:val="000000" w:themeColor="text1"/>
          <w:sz w:val="16"/>
          <w:szCs w:val="16"/>
        </w:rPr>
        <w:softHyphen/>
        <w:t>ные узлы крепления от прежних РО-82 и их установочная база полно</w:t>
      </w:r>
      <w:r w:rsidRPr="00A3026E">
        <w:rPr>
          <w:rFonts w:ascii="Times New Roman" w:hAnsi="Times New Roman"/>
          <w:color w:val="000000" w:themeColor="text1"/>
          <w:sz w:val="16"/>
          <w:szCs w:val="16"/>
        </w:rPr>
        <w:softHyphen/>
        <w:t>стью полностью совпали с новым РО. Это позволяло довольно б заменять орудия. Но это не спасло прежние кронштейны, - новые выполнены из более прочной стали ЗОХГСА, и на самолет переустановили орудия полностью. В ходе испытаний выполнили 28 вылетов. За ис</w:t>
      </w:r>
      <w:r w:rsidRPr="00A3026E">
        <w:rPr>
          <w:rFonts w:ascii="Times New Roman" w:hAnsi="Times New Roman"/>
          <w:color w:val="000000" w:themeColor="text1"/>
          <w:sz w:val="16"/>
          <w:szCs w:val="16"/>
        </w:rPr>
        <w:softHyphen/>
        <w:t>ключением первых четырех полетов (на растряску) и двух посл-лни (высотных), с самолета в воздухе отстреляли 152 снаряда.</w:t>
      </w:r>
    </w:p>
    <w:p w14:paraId="0B068A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этот раз испытания с пристрастием пришлось выдержать не толь</w:t>
      </w:r>
      <w:r w:rsidRPr="00A3026E">
        <w:rPr>
          <w:rFonts w:ascii="Times New Roman" w:hAnsi="Times New Roman"/>
          <w:color w:val="000000" w:themeColor="text1"/>
          <w:sz w:val="16"/>
          <w:szCs w:val="16"/>
        </w:rPr>
        <w:softHyphen/>
        <w:t>ко орудиям, но и летчику вместе с самолетом. Одна только растряска представляла собой серию полетов с двойными переворотами, виража</w:t>
      </w:r>
      <w:r w:rsidRPr="00A3026E">
        <w:rPr>
          <w:rFonts w:ascii="Times New Roman" w:hAnsi="Times New Roman"/>
          <w:color w:val="000000" w:themeColor="text1"/>
          <w:sz w:val="16"/>
          <w:szCs w:val="16"/>
        </w:rPr>
        <w:softHyphen/>
        <w:t>ми, боевыми разворотами и пикированием на самолете с полным бое-I комплектом. Именно таким образом создавали боковые нагрузки на орудия, а плоскости заставляли работать на скручивание. Помимо этого, |3шлот специально выполнил несколько довольно грубых посадок с бое</w:t>
      </w:r>
      <w:r w:rsidRPr="00A3026E">
        <w:rPr>
          <w:rFonts w:ascii="Times New Roman" w:hAnsi="Times New Roman"/>
          <w:color w:val="000000" w:themeColor="text1"/>
          <w:sz w:val="16"/>
          <w:szCs w:val="16"/>
        </w:rPr>
        <w:softHyphen/>
        <w:t>комплектом.</w:t>
      </w:r>
    </w:p>
    <w:p w14:paraId="150325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за время испытаний с новых орудий отстреляли 395 боевых нарядов. Из них 212 были окончательно снаряжены взрывателями АМ-&gt;, остальные — дистанционными трубками АГДТ-А. На каждое орудие югда не требовалось вести паспорта, учитывая число выстрелов. В среднем, из каждого отстреляли по 37 боеприпасов. И лишь из орудия №1, анее смонтированного на наземном стенде, в общей сложности выполли 195 выстрелов (11402).</w:t>
      </w:r>
    </w:p>
    <w:p w14:paraId="34B251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D05FD0A" w14:textId="77777777" w:rsidR="00601238" w:rsidRPr="00A3026E" w:rsidRDefault="00601238" w:rsidP="00A3026E">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Осенью 1940 года был согласован план экспедиции Черевичного и началась ее подготовка. Самолет АНТ-6А «Н-169», выделенный для экспедиции, был отправлен на завод для ремонта и модернизации.</w:t>
      </w:r>
    </w:p>
    <w:p w14:paraId="49C95D85" w14:textId="77777777" w:rsidR="00601238" w:rsidRPr="00A3026E" w:rsidRDefault="00601238" w:rsidP="00A3026E">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Состав экспедиции был утвержден руководством Главсевморпути. Командиром самолета был назначен И.И. Черевичный, вторым пилотом – М.Н. Каминский, штурманом – В.И. Аккуратов, бортмеханиками – Д.П. Шекуров, В.П. Барукин, А.Я. Дурманенко, бортрадистом – А.А. Макаров. В состав экспедиции также вошли: начальник научной группы Я.С. Либин, астроном-магнитолог М.Е. Острекин, метеоролог-гидролог Н.Т. Черниговский.</w:t>
      </w:r>
    </w:p>
    <w:p w14:paraId="4D159EF1" w14:textId="77777777" w:rsidR="00601238" w:rsidRPr="00A3026E" w:rsidRDefault="00601238" w:rsidP="00A3026E">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Похоже, что реальные задачи экспедиции были, на всякий случай, завуалированы, и полет был включен в планы Главсевморпути как обычная ледовая разведка. В промежутке между пролетом побережья Ледовитого океана в восточном, а затем в западном направлении, ГУСМП разрешил совершить с острова Врангеля несколько исследовательских полетов вглубь Арктики, к «полюсу недоступности». Причем, впервые по инициативе ученых Арктического института самолет должен был стать «летающей лабораторией». «Н-169» в арктических льдах стал для участников экспедиции и домом, и научным центром, оснащенным необходимым инструментарием (21249).</w:t>
      </w:r>
    </w:p>
    <w:p w14:paraId="517F6568" w14:textId="77777777" w:rsidR="00601238" w:rsidRPr="00A3026E" w:rsidRDefault="00601238" w:rsidP="00A3026E">
      <w:pPr>
        <w:spacing w:after="0" w:line="240" w:lineRule="auto"/>
        <w:jc w:val="both"/>
        <w:rPr>
          <w:rFonts w:ascii="Times New Roman" w:hAnsi="Times New Roman"/>
          <w:color w:val="0070C0"/>
          <w:sz w:val="16"/>
          <w:szCs w:val="16"/>
        </w:rPr>
      </w:pPr>
    </w:p>
    <w:p w14:paraId="5C116413" w14:textId="77777777" w:rsidR="007B54E4" w:rsidRPr="00A3026E" w:rsidRDefault="007B54E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Осенью 1940 г. в Ленинград для войсковых испытаний доставили два опытных ком</w:t>
      </w:r>
      <w:r w:rsidRPr="00A3026E">
        <w:rPr>
          <w:rFonts w:ascii="Times New Roman" w:hAnsi="Times New Roman"/>
          <w:color w:val="0070C0"/>
          <w:sz w:val="16"/>
          <w:szCs w:val="16"/>
        </w:rPr>
        <w:softHyphen/>
        <w:t>плекта высотной аэростатной системы триплет, состоявшей из трёх последовательно прикре</w:t>
      </w:r>
      <w:r w:rsidRPr="00A3026E">
        <w:rPr>
          <w:rFonts w:ascii="Times New Roman" w:hAnsi="Times New Roman"/>
          <w:color w:val="0070C0"/>
          <w:sz w:val="16"/>
          <w:szCs w:val="16"/>
        </w:rPr>
        <w:softHyphen/>
        <w:t>плённых аэростатов, способных поднять трос на высоту до 6000 м. В октябре 1941 г. два триплетных аэростатных поста подняли в воздух, причём к самому верхнему аэростату прикрепили радио</w:t>
      </w:r>
      <w:r w:rsidRPr="00A3026E">
        <w:rPr>
          <w:rFonts w:ascii="Times New Roman" w:hAnsi="Times New Roman"/>
          <w:color w:val="0070C0"/>
          <w:sz w:val="16"/>
          <w:szCs w:val="16"/>
        </w:rPr>
        <w:softHyphen/>
        <w:t>метеорограф, по сигналам которого начальник полковой метеостанции В. Катуничев определил, что верхний аэростат достиг высоты 6300 м. Эти сведения по полевому телефону передали на КП 2-го корпуса ПВО открытым текстом, в расчё</w:t>
      </w:r>
      <w:r w:rsidRPr="00A3026E">
        <w:rPr>
          <w:rFonts w:ascii="Times New Roman" w:hAnsi="Times New Roman"/>
          <w:color w:val="0070C0"/>
          <w:sz w:val="16"/>
          <w:szCs w:val="16"/>
        </w:rPr>
        <w:softHyphen/>
        <w:t>те на то, что они станут известны противнику. Вскоре противник и сам убедился, что в Ленин</w:t>
      </w:r>
      <w:r w:rsidRPr="00A3026E">
        <w:rPr>
          <w:rFonts w:ascii="Times New Roman" w:hAnsi="Times New Roman"/>
          <w:color w:val="0070C0"/>
          <w:sz w:val="16"/>
          <w:szCs w:val="16"/>
        </w:rPr>
        <w:softHyphen/>
        <w:t>граде действительно поднимаются аэростаты на высоту 6000 м. Самолёты стали летать выше, чего и добивались защитники города. Хотя триплеты не годились для массовой эксплуатации во фрон</w:t>
      </w:r>
      <w:r w:rsidRPr="00A3026E">
        <w:rPr>
          <w:rFonts w:ascii="Times New Roman" w:hAnsi="Times New Roman"/>
          <w:color w:val="0070C0"/>
          <w:sz w:val="16"/>
          <w:szCs w:val="16"/>
        </w:rPr>
        <w:softHyphen/>
        <w:t>товых условиях из-за громоздкости конструк</w:t>
      </w:r>
      <w:r w:rsidRPr="00A3026E">
        <w:rPr>
          <w:rFonts w:ascii="Times New Roman" w:hAnsi="Times New Roman"/>
          <w:color w:val="0070C0"/>
          <w:sz w:val="16"/>
          <w:szCs w:val="16"/>
        </w:rPr>
        <w:softHyphen/>
        <w:t>ции, сложности процессов подъёма и спуска, два комплекта их всё же пробыли в небе около года, сыграв свою роль в обороне Ленинграда (20120).</w:t>
      </w:r>
    </w:p>
    <w:p w14:paraId="22390E89" w14:textId="77777777" w:rsidR="007B54E4" w:rsidRPr="00A3026E" w:rsidRDefault="007B54E4"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37E892F0"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7059CA7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FB929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осени 1940 г. формирование отпускных цен на военную продукцию осуществляется на заводах-изготовителях, на основе нормативов расхода материалов, рабочего времени и планового процента накладных расходов. На все изделия устанавливаются утверждаемые правительством твердо-расчетные, то есть дирек</w:t>
      </w:r>
      <w:r w:rsidRPr="00A3026E">
        <w:rPr>
          <w:rFonts w:ascii="Times New Roman" w:hAnsi="Times New Roman"/>
          <w:color w:val="000000" w:themeColor="text1"/>
          <w:sz w:val="16"/>
          <w:szCs w:val="16"/>
        </w:rPr>
        <w:softHyphen/>
        <w:t>тивные, цены. В случае выполнения заводом внеплановых зака</w:t>
      </w:r>
      <w:r w:rsidRPr="00A3026E">
        <w:rPr>
          <w:rFonts w:ascii="Times New Roman" w:hAnsi="Times New Roman"/>
          <w:color w:val="000000" w:themeColor="text1"/>
          <w:sz w:val="16"/>
          <w:szCs w:val="16"/>
        </w:rPr>
        <w:softHyphen/>
        <w:t>зов, цены по ним устанавливались в соответствии с действующи</w:t>
      </w:r>
      <w:r w:rsidRPr="00A3026E">
        <w:rPr>
          <w:rFonts w:ascii="Times New Roman" w:hAnsi="Times New Roman"/>
          <w:color w:val="000000" w:themeColor="text1"/>
          <w:sz w:val="16"/>
          <w:szCs w:val="16"/>
        </w:rPr>
        <w:softHyphen/>
        <w:t>ми общесоюзными прейскурантами, и лишь на опытные заказы, выполняемые Наркоматом авиационной промышленности СССР, Допускалось, в порядке исключения, отклонение в пределах 50% в сторону повышения от предварительной отпускной цены (ГАРФ ф 8418, оп. 24, д. 1449, л. 360). Установление директивных цен на военную продукцию полно</w:t>
      </w:r>
      <w:r w:rsidRPr="00A3026E">
        <w:rPr>
          <w:rFonts w:ascii="Times New Roman" w:hAnsi="Times New Roman"/>
          <w:color w:val="000000" w:themeColor="text1"/>
          <w:sz w:val="16"/>
          <w:szCs w:val="16"/>
        </w:rPr>
        <w:softHyphen/>
        <w:t>стью отвечало интересам ее главного заказчика и потребителя — Наркомата Обороны СССР. Его представители также получили доступ к отчетно-сметной документации предприятий и наркома</w:t>
      </w:r>
      <w:r w:rsidRPr="00A3026E">
        <w:rPr>
          <w:rFonts w:ascii="Times New Roman" w:hAnsi="Times New Roman"/>
          <w:color w:val="000000" w:themeColor="text1"/>
          <w:sz w:val="16"/>
          <w:szCs w:val="16"/>
        </w:rPr>
        <w:softHyphen/>
        <w:t>тов, выполняющих военные заказы, и, в случае несоответствия отпускных цен на продукцию военного потребления установлен</w:t>
      </w:r>
      <w:r w:rsidRPr="00A3026E">
        <w:rPr>
          <w:rFonts w:ascii="Times New Roman" w:hAnsi="Times New Roman"/>
          <w:color w:val="000000" w:themeColor="text1"/>
          <w:sz w:val="16"/>
          <w:szCs w:val="16"/>
        </w:rPr>
        <w:softHyphen/>
        <w:t>ным нормативам, могли апеллировать к вышестоящим инстанци</w:t>
      </w:r>
      <w:r w:rsidRPr="00A3026E">
        <w:rPr>
          <w:rFonts w:ascii="Times New Roman" w:hAnsi="Times New Roman"/>
          <w:color w:val="000000" w:themeColor="text1"/>
          <w:sz w:val="16"/>
          <w:szCs w:val="16"/>
        </w:rPr>
        <w:softHyphen/>
        <w:t>ям. Контингент военных представителей Наркомата Обороны СССР на промышленных предприятиях и опытно-конструктор</w:t>
      </w:r>
      <w:r w:rsidRPr="00A3026E">
        <w:rPr>
          <w:rFonts w:ascii="Times New Roman" w:hAnsi="Times New Roman"/>
          <w:color w:val="000000" w:themeColor="text1"/>
          <w:sz w:val="16"/>
          <w:szCs w:val="16"/>
        </w:rPr>
        <w:softHyphen/>
        <w:t>ских организациях с 1938г. по 1940 г. увеличился почти в пол</w:t>
      </w:r>
      <w:r w:rsidRPr="00A3026E">
        <w:rPr>
          <w:rFonts w:ascii="Times New Roman" w:hAnsi="Times New Roman"/>
          <w:color w:val="000000" w:themeColor="text1"/>
          <w:sz w:val="16"/>
          <w:szCs w:val="16"/>
        </w:rPr>
        <w:softHyphen/>
        <w:t>тора раза и насчитывал 20281 человек, из которых 13791 пред</w:t>
      </w:r>
      <w:r w:rsidRPr="00A3026E">
        <w:rPr>
          <w:rFonts w:ascii="Times New Roman" w:hAnsi="Times New Roman"/>
          <w:color w:val="000000" w:themeColor="text1"/>
          <w:sz w:val="16"/>
          <w:szCs w:val="16"/>
        </w:rPr>
        <w:softHyphen/>
        <w:t>ставляли интересы сухопутных войск и военно-воздушных сил, 3004 человек — военно-морских сил (РГАЭ ф. 7, оп. 1, д. 384, л. 145) (1566).</w:t>
      </w:r>
    </w:p>
    <w:p w14:paraId="3D8546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CF29DCC" w14:textId="77777777" w:rsidR="00F92307" w:rsidRPr="00A3026E" w:rsidRDefault="00F9230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осени 1940 г. формирование отпускных цен на военную продукцию осуществляется на заводах-изготовителях, на основе нормативов расхода материалов, рабочего времени и планового процента накладных расходов. На все изделия устанавливаются Утверждаемые правительством твердо-расчетные, то есть директивные, цены. В случае выполнения заводом внеплановых заказов, цены по ним устанавливались в соответствии с действующими общесоюзными прейскурантами, и лишь на опытные заказы, выполняемые Наркоматом авиационной промышленности СССР. Спускалось, в порядке исключения, отклонение в пределах 50% в сторону повышения от предварительной отпускной цены.</w:t>
      </w:r>
    </w:p>
    <w:p w14:paraId="429C6DC1" w14:textId="77777777" w:rsidR="00F92307" w:rsidRPr="00A3026E" w:rsidRDefault="00F9230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Установление директивных цен на военную продукцию полностью отвечало интересам ее главного заказчика и потребителя – Наркомата Обороны СССР. Его представители также получили доступ к отчетно-сметной документации предприятий и наркоматов, выполняющих военные заказы, и, в случае несоответствия отпускных цен на продукцию военного потребления установленным нормативам, могли апеллировать к вышестоящим инстанциям. Контингент военных представителей Наркомата Обороны СССР на промышленных предприятиях и опытно-конструкторских организациях с 1938 г. по 1940 г. увеличился почти в полтора </w:t>
      </w:r>
      <w:r w:rsidRPr="00A3026E">
        <w:rPr>
          <w:rFonts w:ascii="Times New Roman" w:hAnsi="Times New Roman"/>
          <w:color w:val="000000" w:themeColor="text1"/>
          <w:sz w:val="16"/>
          <w:szCs w:val="16"/>
        </w:rPr>
        <w:lastRenderedPageBreak/>
        <w:t>раза и насчитывал 20281 человек, из которых 13791 представляли интересы сухопутных войск и военно-воздушных сил, 3004 человек – военно-морских сил. В феврале 1939 г. в Комитете Обороны был разработан проект «Положения о военизированном предприятии». Его реализация привела бы к тому, что рабочие и служащие предприятий, входящих в систему военно-промышленных наркоматов, Наркомата Обороны СССР и НКВД, сравнялись в своих правах (точнее говоря, в бесправии) с солдатами и офицерами срочной службы. Проект «Положения» узаконивал неограниченное применение сверхурочных работ и самых строгих дисциплинарных взысканий за невыполнение норм выработки, допущение брака и т.п. В какой-то мере эти идеи нашли отражение в Указе Президиума Верховного Совета СССР от 26 июня 1940 г. «О переходе на восьмичасовой рабочий день, на семидневную неделю и о запрещении самовольного ухода рабочих и служащих с предприятий и учреждений», который следует оценивать в качестве социального мероприятия, предваряющего введение всеобщей трудовой повинности и общей «военизации» режима работы всех государственных предприятий и организаций (18676).</w:t>
      </w:r>
    </w:p>
    <w:p w14:paraId="062B6C5E" w14:textId="77777777" w:rsidR="00F92307" w:rsidRPr="00A3026E" w:rsidRDefault="00F92307" w:rsidP="00A3026E">
      <w:pPr>
        <w:spacing w:after="0" w:line="240" w:lineRule="auto"/>
        <w:jc w:val="both"/>
        <w:rPr>
          <w:rFonts w:ascii="Times New Roman" w:hAnsi="Times New Roman"/>
          <w:color w:val="000000" w:themeColor="text1"/>
          <w:sz w:val="16"/>
          <w:szCs w:val="16"/>
        </w:rPr>
      </w:pPr>
    </w:p>
    <w:p w14:paraId="4AE911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немцы доставили в СССР для испытаний пушку SKG/34 № 67/1994. В ноябре начались ее испытания на НИМАПе (на Ржевке под Ленинградом). Башни по понятным причинам в СССР не попали (10670,254).</w:t>
      </w:r>
    </w:p>
    <w:p w14:paraId="6A4448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8ACCA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нарком обороны С. Тимошенко, прини</w:t>
      </w:r>
      <w:r w:rsidRPr="00A3026E">
        <w:rPr>
          <w:rFonts w:ascii="Times New Roman" w:hAnsi="Times New Roman"/>
          <w:color w:val="000000" w:themeColor="text1"/>
          <w:sz w:val="16"/>
          <w:szCs w:val="16"/>
        </w:rPr>
        <w:softHyphen/>
        <w:t>мая новую «Систему вооружения танков и бронеавтомоби</w:t>
      </w:r>
      <w:r w:rsidRPr="00A3026E">
        <w:rPr>
          <w:rFonts w:ascii="Times New Roman" w:hAnsi="Times New Roman"/>
          <w:color w:val="000000" w:themeColor="text1"/>
          <w:sz w:val="16"/>
          <w:szCs w:val="16"/>
        </w:rPr>
        <w:softHyphen/>
        <w:t>лей в 1940—1941 гг.», предписал оснастить 300 танков выпус</w:t>
      </w:r>
      <w:r w:rsidRPr="00A3026E">
        <w:rPr>
          <w:rFonts w:ascii="Times New Roman" w:hAnsi="Times New Roman"/>
          <w:color w:val="000000" w:themeColor="text1"/>
          <w:sz w:val="16"/>
          <w:szCs w:val="16"/>
        </w:rPr>
        <w:softHyphen/>
        <w:t>ка 1940 г. пушкой Л-11, а еще 300 танков 45-мм пушкой обр. 1938 г. с последующим перевооружением их в 1941 г. на Ф-32 (10782). Но к этому времени Кировский завод смог побороть трудности с; изготовлением Л-11 и вел их форсированный выпуск, параллельно осваивая Ф-32, и необходимости в вооружении Т-34 45-мм пушкой в 1940-м не возникало (10782).</w:t>
      </w:r>
    </w:p>
    <w:p w14:paraId="77E796F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8F1B43F" w14:textId="77777777" w:rsidR="00601238" w:rsidRPr="00A3026E" w:rsidRDefault="00601238"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Осенью 1940 года в КБ завода №92 были изготовлены опытные образцы 76-мм танковой пушки с баллистикой зенитки 3-К, а также 85-мм танковой пушки с баллистикой зенитки 52-К, которые прошли испытания в башне Т-28. Параллельно шли работы по буксируемым орудием такой же баллистикой. Речь идет о 76-мм противотанковой пушке Ф-26, которая базировалась на лафете дивизионной пушки Ф-22 УСВ, а также 85-мм дивизионной пушке Ф-7 (бывшая Ф-28 УДЛ). Последняя являлась попыткой спасти Ф-28. Оба орудия были построены и в конце 1940 года проходили испытания (20349).</w:t>
      </w:r>
    </w:p>
    <w:p w14:paraId="6B9CCDD2" w14:textId="77777777" w:rsidR="00601238" w:rsidRPr="00A3026E" w:rsidRDefault="00601238"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0A96D5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Осенью 1940 года КБ завода № 92 под руководством В.Грабина разработало проект 107-мм танковой пушки Ф-42, созданной на базе 95-мм танкового орудия Ф-39 (последнее успешно прошло испытания в башне танка Т-28 летом 1940 года). К началу 1941 года по решению Наркомата обороны СССР 107-мм орудие было изготовлено, успешно прошло заводские испытания на полевом лафете, а в марте 1941 года и в башне танка КВ-2. После получения задания на проектирование 107-мм танковой пушки ЗиС-6 с улучшенной баллистикой КБ Грабина, используя имевшийся задел по пушке Ф-42, уже в мае изготовило новое орудие, и оно было успешно испытано в башне КВ-2. До середины июня 1941 года пушка ЗиС-6 проходила заводские испытания, после чего ее отправили на артиллерийский научно-испытательный полигон под Ленинградом. </w:t>
      </w:r>
    </w:p>
    <w:p w14:paraId="577BE9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Любопытная деталь: в своих мемуарах «Оружие победы» В.Грабин пишет о 600 изготовленных пушках ЗиС-6, которые из-за отсутствия нужных танков осенью 1941 года пошли в переплавку. Однако тут главный конструктор завода № 92 явно лукавит: в отчете о работе своего завода за 1941 год, кстати подписанного В.Грабиным в феврале 1942 года, сказано, что «в июле — августе 1941 года было изготовлено пять серийных орудий ЗиС-6, после чего их производство было прекращено из-за неготовности тяжелого танка». В отличие от «артиллеристов», «танкисты» сильно опаздывали. Поэтому для ускорения работ по испытанию узлов и агрегатов танка КВ-3 решили использовать КВ-220 (тем более, что конструктивно они во многом были похожи). 20 апреля 1941 года на КВ-220 наконец-то установили новый двигатель, и танк, догруженный до 70 т — расчетной массы КВ-3, вышел на испытания. К середине мая 1941 года он прошел 1330 километров. В докладе заводских испытателей отмечалось, что у танка «плохо переключаются передачи, гнутся оси опорных катков и балансиры, скручиваются торсионы подвески, мощности двигателя для 70-тонного танка не хватает». 20 мая КВ-220 встал на ремонт, в ходе которого машина получила дизельный двигатель с наддувом В-2СН мощностью 850 л.с. С 30 мая танк снова вышел на испытания и к 22 июня 1941 года его общий пробег составил 1985 км. Что же касается непосредственно КВ-3, то к началу войны было готово шасси с двигателем, но из-за проблем, возникших с изготовлением штампованной башни, работа затянулась (11640).</w:t>
      </w:r>
    </w:p>
    <w:p w14:paraId="47C50C8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D7E73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в КБ завода №92 под руководством В.Г.Грабина велись работы по установке в КВ 85 мм пушки Ф-30 (ЗИС-22), спаренной с ДТ. Использовали камору и нарезную часть зенитной пушки. Не успели (9527,155).</w:t>
      </w:r>
    </w:p>
    <w:p w14:paraId="2724DB1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BF6EC88" w14:textId="77777777" w:rsidR="00AB28E8" w:rsidRPr="00A3026E" w:rsidRDefault="00AB28E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года конструкторское бюро под руководством В. Грабина, работавшее на заводе № 92 в Горьком, разработало проект 107-мм танковой пушки, получившей индекс Ф-42. При ее проектировании конструкторы взяли за основу опытное 95-мм танковое орудие Ф-39, летом 1940 года успешно прошедшее испытания в башне танка Т-28.</w:t>
      </w:r>
    </w:p>
    <w:p w14:paraId="5ADD070E" w14:textId="77777777" w:rsidR="00AB28E8" w:rsidRPr="00A3026E" w:rsidRDefault="00AB28E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1940 года заместитель начальника главного артиллерийского управления РККА генерал-майор Савченко сообщил начальнику ГАБТУ КА Я.Н. Федоренко об окончании работ по пушке Ф-42, и попросил направить на завод № 92 танк КВ, в котором можно было бы провести испытание этой артсистемы. Генерал-лейтенант Федоренко, видимо оценив перспективы новой пушки, распорядился выделить танк, и 8 января 1941 года на завод № 92 была отгружена одна машина КВ-2. Однако изготовление и доводка опытного образца 107-мм орудия Ф-42 затянулись до марта, и оно так и не было установлено в танк КВ-2.</w:t>
      </w:r>
    </w:p>
    <w:p w14:paraId="6C648245" w14:textId="77777777" w:rsidR="00AB28E8" w:rsidRPr="00A3026E" w:rsidRDefault="00AB28E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 не менее, и ГАУ, и ГАБТУ КА проявили большой интерес к новой 107-мм танковой пушке.</w:t>
      </w:r>
    </w:p>
    <w:p w14:paraId="66E67744" w14:textId="77777777" w:rsidR="00AB28E8" w:rsidRPr="00A3026E" w:rsidRDefault="00AB28E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 это было связано с тем, что весной 1941 года поступила разведывательная информация о том, что в Германии ведутся работы по созданию танков с более мощным бронированием, чем у ранее состоявших на вооружении вермахта. Источником этой информации могли быть данные о проектировании опытных шасси УК 3001 (Н) с 50 мм броней или сведения о танках В-2 (f), представлявших собой переделанные немцами в огнеметные трофейные французские В-Ibis с 60 мм броней. Может быть, все были значительно проще — при разработке тяжелых танков с броней 90-100 мм сразу изыскивались меры борьбы с аналогичными боевыми машинами противников, если такие вдруг появятся (17434).</w:t>
      </w:r>
    </w:p>
    <w:p w14:paraId="327A629E" w14:textId="77777777" w:rsidR="00AB28E8" w:rsidRPr="00A3026E" w:rsidRDefault="00AB28E8" w:rsidP="00A3026E">
      <w:pPr>
        <w:spacing w:after="0" w:line="240" w:lineRule="auto"/>
        <w:jc w:val="both"/>
        <w:rPr>
          <w:rFonts w:ascii="Times New Roman" w:hAnsi="Times New Roman"/>
          <w:color w:val="000000" w:themeColor="text1"/>
          <w:sz w:val="16"/>
          <w:szCs w:val="16"/>
        </w:rPr>
      </w:pPr>
    </w:p>
    <w:p w14:paraId="1C2604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в КБ СТЗ, Кировского завода, заводов № 174 и 37 начались изыскания в области эрзацмоторов.</w:t>
      </w:r>
    </w:p>
    <w:p w14:paraId="799A43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Т-34 была признана возможной установка бензомотора М-17 (благо габаритные размеры и частота вращения коленвала у них были близки), но приказом по НКСМ предписывалось разработать для М-17 также приспособле</w:t>
      </w:r>
      <w:r w:rsidRPr="00A3026E">
        <w:rPr>
          <w:rFonts w:ascii="Times New Roman" w:hAnsi="Times New Roman"/>
          <w:color w:val="000000" w:themeColor="text1"/>
          <w:sz w:val="16"/>
          <w:szCs w:val="16"/>
        </w:rPr>
        <w:softHyphen/>
        <w:t>ние для питания его керосином. Кроме этого, исследовался вопрос возможности форсирования автомобильных двига</w:t>
      </w:r>
      <w:r w:rsidRPr="00A3026E">
        <w:rPr>
          <w:rFonts w:ascii="Times New Roman" w:hAnsi="Times New Roman"/>
          <w:color w:val="000000" w:themeColor="text1"/>
          <w:sz w:val="16"/>
          <w:szCs w:val="16"/>
        </w:rPr>
        <w:softHyphen/>
        <w:t>телей ЗИС-5 до 85-100 л.с. .и ГАЗ-М-1 до 70 л.с. Но ничего конкретного в этом плане до начала войны сделано не было.</w:t>
      </w:r>
    </w:p>
    <w:p w14:paraId="2E1FBD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же (особенно с толстой противоснарядной броней) таил в себе большие резервы снижения цены и трудоемкости, которые были особо привлекательны ввиду недостачи в СССР в 1940—1942 гг. броневого проката средней толщины (40—100 мм) для выпуска требуемого количества танков Т-34 и КВ, которые должны были со</w:t>
      </w:r>
      <w:r w:rsidRPr="00A3026E">
        <w:rPr>
          <w:rFonts w:ascii="Times New Roman" w:hAnsi="Times New Roman"/>
          <w:color w:val="000000" w:themeColor="text1"/>
          <w:sz w:val="16"/>
          <w:szCs w:val="16"/>
        </w:rPr>
        <w:softHyphen/>
        <w:t>ставлять основу мехкорпусов. Понятно, что недостаток броневой стали стал еще одним важным фактором, подталкивавшим бронетанковое управление и Совет Народных Комиссаров к активному освоению легкого танка Т-50. Но в случае крупной войны одного перехода на выпуск Т-50 было, конечно, мало.</w:t>
      </w:r>
    </w:p>
    <w:p w14:paraId="12C86D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Пытаясь найти выход из создавшегося положения, в ОКМО исследовали своеобразный «чобхем» — многослой</w:t>
      </w:r>
      <w:r w:rsidRPr="00A3026E">
        <w:rPr>
          <w:rFonts w:ascii="Times New Roman" w:hAnsi="Times New Roman"/>
          <w:color w:val="000000" w:themeColor="text1"/>
          <w:sz w:val="16"/>
          <w:szCs w:val="16"/>
        </w:rPr>
        <w:softHyphen/>
        <w:t>ную броню. Причем наиболее предпочтительные результа</w:t>
      </w:r>
      <w:r w:rsidRPr="00A3026E">
        <w:rPr>
          <w:rFonts w:ascii="Times New Roman" w:hAnsi="Times New Roman"/>
          <w:color w:val="000000" w:themeColor="text1"/>
          <w:sz w:val="16"/>
          <w:szCs w:val="16"/>
        </w:rPr>
        <w:softHyphen/>
        <w:t>ты получались в случае применения брони в виде двух лис</w:t>
      </w:r>
      <w:r w:rsidRPr="00A3026E">
        <w:rPr>
          <w:rFonts w:ascii="Times New Roman" w:hAnsi="Times New Roman"/>
          <w:color w:val="000000" w:themeColor="text1"/>
          <w:sz w:val="16"/>
          <w:szCs w:val="16"/>
        </w:rPr>
        <w:softHyphen/>
        <w:t>тов брони высокой твердости толщиной 12-15 мм, с зазо</w:t>
      </w:r>
      <w:r w:rsidRPr="00A3026E">
        <w:rPr>
          <w:rFonts w:ascii="Times New Roman" w:hAnsi="Times New Roman"/>
          <w:color w:val="000000" w:themeColor="text1"/>
          <w:sz w:val="16"/>
          <w:szCs w:val="16"/>
        </w:rPr>
        <w:softHyphen/>
        <w:t>ром толщиной 25—30 мм, заполненным известковым рас</w:t>
      </w:r>
      <w:r w:rsidRPr="00A3026E">
        <w:rPr>
          <w:rFonts w:ascii="Times New Roman" w:hAnsi="Times New Roman"/>
          <w:color w:val="000000" w:themeColor="text1"/>
          <w:sz w:val="16"/>
          <w:szCs w:val="16"/>
        </w:rPr>
        <w:softHyphen/>
        <w:t>твором или же железобетоном. При этом преграда общей толщиной 55-60 мм показала на испытаниях в мае 1941 г. бронестойкость, эквивалентную монолитной броневой плите сходной толщины. А если учесть, что трудоемкость обработки тонких бронелистов толщиной 12—15 мм была на порядок меньше, чем таковая же у листов 45 мм, то вы</w:t>
      </w:r>
      <w:r w:rsidRPr="00A3026E">
        <w:rPr>
          <w:rFonts w:ascii="Times New Roman" w:hAnsi="Times New Roman"/>
          <w:color w:val="000000" w:themeColor="text1"/>
          <w:sz w:val="16"/>
          <w:szCs w:val="16"/>
        </w:rPr>
        <w:softHyphen/>
        <w:t>года ожидалась ощутимая. Но осуществлять сборку танков из подобной «брони» было непросто, и потому технология такого «чобхема» по-советски принята в 1940-м не была.</w:t>
      </w:r>
    </w:p>
    <w:p w14:paraId="2E17D2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Изыскания ОКБ завода № 37 шли по немного иному пу</w:t>
      </w:r>
      <w:r w:rsidRPr="00A3026E">
        <w:rPr>
          <w:rFonts w:ascii="Times New Roman" w:hAnsi="Times New Roman"/>
          <w:color w:val="000000" w:themeColor="text1"/>
          <w:sz w:val="16"/>
          <w:szCs w:val="16"/>
        </w:rPr>
        <w:softHyphen/>
        <w:t>ти. Здесь сначала сделали ставку на полную замену изделий из броневой стали деталями, отлитыми из железобетона. Для отработки конструкции бронепреград весной 1941 г. на испытания обстрелом были поданы несколько дисков диа</w:t>
      </w:r>
      <w:r w:rsidRPr="00A3026E">
        <w:rPr>
          <w:rFonts w:ascii="Times New Roman" w:hAnsi="Times New Roman"/>
          <w:color w:val="000000" w:themeColor="text1"/>
          <w:sz w:val="16"/>
          <w:szCs w:val="16"/>
        </w:rPr>
        <w:softHyphen/>
        <w:t>метром 330-335 мм и толщиной от 50 до 100 мм. Между со</w:t>
      </w:r>
      <w:r w:rsidRPr="00A3026E">
        <w:rPr>
          <w:rFonts w:ascii="Times New Roman" w:hAnsi="Times New Roman"/>
          <w:color w:val="000000" w:themeColor="text1"/>
          <w:sz w:val="16"/>
          <w:szCs w:val="16"/>
        </w:rPr>
        <w:softHyphen/>
        <w:t>бой диски отличались способом армирования и маркой бе</w:t>
      </w:r>
      <w:r w:rsidRPr="00A3026E">
        <w:rPr>
          <w:rFonts w:ascii="Times New Roman" w:hAnsi="Times New Roman"/>
          <w:color w:val="000000" w:themeColor="text1"/>
          <w:sz w:val="16"/>
          <w:szCs w:val="16"/>
        </w:rPr>
        <w:softHyphen/>
        <w:t>тона. Все диски подвергались обстрелу винтовочными бронебойными пулями, а несколько образцов — также из «круп</w:t>
      </w:r>
      <w:r w:rsidRPr="00A3026E">
        <w:rPr>
          <w:rFonts w:ascii="Times New Roman" w:hAnsi="Times New Roman"/>
          <w:color w:val="000000" w:themeColor="text1"/>
          <w:sz w:val="16"/>
          <w:szCs w:val="16"/>
        </w:rPr>
        <w:softHyphen/>
        <w:t>нокалиберной винтовки» (к сожалению, из справки нельзя понять, что за винтовка имеется в виду). Ни в одном из об</w:t>
      </w:r>
      <w:r w:rsidRPr="00A3026E">
        <w:rPr>
          <w:rFonts w:ascii="Times New Roman" w:hAnsi="Times New Roman"/>
          <w:color w:val="000000" w:themeColor="text1"/>
          <w:sz w:val="16"/>
          <w:szCs w:val="16"/>
        </w:rPr>
        <w:softHyphen/>
        <w:t>стрелянных дисков пробоин обнаружено не было.</w:t>
      </w:r>
    </w:p>
    <w:p w14:paraId="62EEFE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заключению представителя АБТУ Соловьева железо</w:t>
      </w:r>
      <w:r w:rsidRPr="00A3026E">
        <w:rPr>
          <w:rFonts w:ascii="Times New Roman" w:hAnsi="Times New Roman"/>
          <w:color w:val="000000" w:themeColor="text1"/>
          <w:sz w:val="16"/>
          <w:szCs w:val="16"/>
        </w:rPr>
        <w:softHyphen/>
        <w:t>бетонная преграда толщиной 60 мм соответствовала 20 мм листу гомогенной броневой стали высокой твердости. Благо</w:t>
      </w:r>
      <w:r w:rsidRPr="00A3026E">
        <w:rPr>
          <w:rFonts w:ascii="Times New Roman" w:hAnsi="Times New Roman"/>
          <w:color w:val="000000" w:themeColor="text1"/>
          <w:sz w:val="16"/>
          <w:szCs w:val="16"/>
        </w:rPr>
        <w:softHyphen/>
        <w:t>даря этому перед самой войной были разработаны эскизные проекты танков Т-40 и Т-34 с литым корпусом из железобе</w:t>
      </w:r>
      <w:r w:rsidRPr="00A3026E">
        <w:rPr>
          <w:rFonts w:ascii="Times New Roman" w:hAnsi="Times New Roman"/>
          <w:color w:val="000000" w:themeColor="text1"/>
          <w:sz w:val="16"/>
          <w:szCs w:val="16"/>
        </w:rPr>
        <w:softHyphen/>
        <w:t>тона. Т-40ЖБ при этом потяжелел на 200 кг и лишился воз</w:t>
      </w:r>
      <w:r w:rsidRPr="00A3026E">
        <w:rPr>
          <w:rFonts w:ascii="Times New Roman" w:hAnsi="Times New Roman"/>
          <w:color w:val="000000" w:themeColor="text1"/>
          <w:sz w:val="16"/>
          <w:szCs w:val="16"/>
        </w:rPr>
        <w:softHyphen/>
        <w:t>можности плавать, Т-34ЖБ с корпусом из железобетона с толщиной стенок 150-200 мм сохранил вес в пределах 29 т. Ожидаемая цена литого железобетонного корпуса танка Т-34 снижалась в 25—30 раз, танка Т-40 в 20 раз. При этом танк Т-40 сохранял стальную броневую башню, Т-34 — лобовую часть башни, в которую монтировалось вооружение.</w:t>
      </w:r>
    </w:p>
    <w:p w14:paraId="05AFDC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Поскольку танк Т-40 терял возможность плавания, по предложению главного конструктора Суреняна был прора</w:t>
      </w:r>
      <w:r w:rsidRPr="00A3026E">
        <w:rPr>
          <w:rFonts w:ascii="Times New Roman" w:hAnsi="Times New Roman"/>
          <w:color w:val="000000" w:themeColor="text1"/>
          <w:sz w:val="16"/>
          <w:szCs w:val="16"/>
        </w:rPr>
        <w:softHyphen/>
        <w:t>ботан вопрос создания его сухопутного варианта с усиле</w:t>
      </w:r>
      <w:r w:rsidRPr="00A3026E">
        <w:rPr>
          <w:rFonts w:ascii="Times New Roman" w:hAnsi="Times New Roman"/>
          <w:color w:val="000000" w:themeColor="text1"/>
          <w:sz w:val="16"/>
          <w:szCs w:val="16"/>
        </w:rPr>
        <w:softHyphen/>
        <w:t>нием его вооружения до уровня танков Т-26, Т-50. АБТУ, вопреки отрицательному отношению к эрзацам, очень за</w:t>
      </w:r>
      <w:r w:rsidRPr="00A3026E">
        <w:rPr>
          <w:rFonts w:ascii="Times New Roman" w:hAnsi="Times New Roman"/>
          <w:color w:val="000000" w:themeColor="text1"/>
          <w:sz w:val="16"/>
          <w:szCs w:val="16"/>
        </w:rPr>
        <w:softHyphen/>
        <w:t>интересовалось этой работой, и в результате завод получил следующее письмо:</w:t>
      </w:r>
    </w:p>
    <w:p w14:paraId="46BD12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«Включить в планы КБ завода №37на IVквартал 1941 г. разработку чертежей и изготовление танка Т-45 (неплаваю</w:t>
      </w:r>
      <w:r w:rsidRPr="00A3026E">
        <w:rPr>
          <w:rFonts w:ascii="Times New Roman" w:hAnsi="Times New Roman"/>
          <w:color w:val="000000" w:themeColor="text1"/>
          <w:sz w:val="16"/>
          <w:szCs w:val="16"/>
        </w:rPr>
        <w:softHyphen/>
        <w:t>щий вариант танка Т-40) с вооружением из 45-мм пушки и усиленной железобетонной броней... Федоренко» (10782).</w:t>
      </w:r>
    </w:p>
    <w:p w14:paraId="5E77BA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Таким образом, в начале 1942 г. ожидалось появление опытных образцов танка Т-45 и танка Т-34ЖБ с корпусом из железобетона с целью проведения испытаний обстрелом и отработки технологии массового производства (10782).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5"/>
        <w:gridCol w:w="835"/>
        <w:gridCol w:w="1277"/>
        <w:gridCol w:w="1085"/>
        <w:gridCol w:w="1056"/>
      </w:tblGrid>
      <w:tr w:rsidR="00983732" w:rsidRPr="00A3026E" w14:paraId="366DC08B" w14:textId="77777777" w:rsidTr="00EA0DA7">
        <w:trPr>
          <w:trHeight w:val="413"/>
        </w:trPr>
        <w:tc>
          <w:tcPr>
            <w:tcW w:w="5568" w:type="dxa"/>
            <w:gridSpan w:val="5"/>
            <w:tcBorders>
              <w:top w:val="single" w:sz="12" w:space="0" w:color="auto"/>
            </w:tcBorders>
          </w:tcPr>
          <w:p w14:paraId="3227A8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Проектные данные некоторых образцов предвоенных советских танков, запланированных к выпуску в 1941-42 гг.</w:t>
            </w:r>
          </w:p>
        </w:tc>
      </w:tr>
      <w:tr w:rsidR="00983732" w:rsidRPr="00A3026E" w14:paraId="75ABD23A" w14:textId="77777777" w:rsidTr="00EA0DA7">
        <w:trPr>
          <w:trHeight w:val="240"/>
        </w:trPr>
        <w:tc>
          <w:tcPr>
            <w:tcW w:w="5568" w:type="dxa"/>
            <w:gridSpan w:val="5"/>
          </w:tcPr>
          <w:p w14:paraId="2B8057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28C2313" w14:textId="77777777" w:rsidTr="00EA0DA7">
        <w:trPr>
          <w:trHeight w:val="221"/>
        </w:trPr>
        <w:tc>
          <w:tcPr>
            <w:tcW w:w="1315" w:type="dxa"/>
          </w:tcPr>
          <w:p w14:paraId="5BACED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142555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А-43</w:t>
            </w:r>
          </w:p>
        </w:tc>
        <w:tc>
          <w:tcPr>
            <w:tcW w:w="1277" w:type="dxa"/>
          </w:tcPr>
          <w:p w14:paraId="77561C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А-44</w:t>
            </w:r>
          </w:p>
        </w:tc>
        <w:tc>
          <w:tcPr>
            <w:tcW w:w="1085" w:type="dxa"/>
          </w:tcPr>
          <w:p w14:paraId="3D9438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КВ-3 («223»)</w:t>
            </w:r>
          </w:p>
        </w:tc>
        <w:tc>
          <w:tcPr>
            <w:tcW w:w="1056" w:type="dxa"/>
          </w:tcPr>
          <w:p w14:paraId="7A59CF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КВ-4</w:t>
            </w:r>
          </w:p>
        </w:tc>
      </w:tr>
      <w:tr w:rsidR="00983732" w:rsidRPr="00A3026E" w14:paraId="5EA33277" w14:textId="77777777" w:rsidTr="00EA0DA7">
        <w:trPr>
          <w:trHeight w:val="163"/>
        </w:trPr>
        <w:tc>
          <w:tcPr>
            <w:tcW w:w="1315" w:type="dxa"/>
          </w:tcPr>
          <w:p w14:paraId="352A82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ТТХ/Марка танка</w:t>
            </w:r>
          </w:p>
        </w:tc>
        <w:tc>
          <w:tcPr>
            <w:tcW w:w="835" w:type="dxa"/>
          </w:tcPr>
          <w:p w14:paraId="3AED44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1941</w:t>
            </w:r>
          </w:p>
        </w:tc>
        <w:tc>
          <w:tcPr>
            <w:tcW w:w="1277" w:type="dxa"/>
          </w:tcPr>
          <w:p w14:paraId="3B5FD4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1941</w:t>
            </w:r>
          </w:p>
        </w:tc>
        <w:tc>
          <w:tcPr>
            <w:tcW w:w="1085" w:type="dxa"/>
          </w:tcPr>
          <w:p w14:paraId="666100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1941</w:t>
            </w:r>
          </w:p>
        </w:tc>
        <w:tc>
          <w:tcPr>
            <w:tcW w:w="1056" w:type="dxa"/>
          </w:tcPr>
          <w:p w14:paraId="325AC0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1940-1941 гг</w:t>
            </w:r>
          </w:p>
        </w:tc>
      </w:tr>
      <w:tr w:rsidR="00983732" w:rsidRPr="00A3026E" w14:paraId="4AC4106A" w14:textId="77777777" w:rsidTr="00EA0DA7">
        <w:trPr>
          <w:trHeight w:val="182"/>
        </w:trPr>
        <w:tc>
          <w:tcPr>
            <w:tcW w:w="1315" w:type="dxa"/>
          </w:tcPr>
          <w:p w14:paraId="35D3EF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Боевой вес, кг</w:t>
            </w:r>
          </w:p>
        </w:tc>
        <w:tc>
          <w:tcPr>
            <w:tcW w:w="835" w:type="dxa"/>
          </w:tcPr>
          <w:p w14:paraId="1E9F72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26500</w:t>
            </w:r>
          </w:p>
        </w:tc>
        <w:tc>
          <w:tcPr>
            <w:tcW w:w="1277" w:type="dxa"/>
          </w:tcPr>
          <w:p w14:paraId="65EB30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36200</w:t>
            </w:r>
          </w:p>
        </w:tc>
        <w:tc>
          <w:tcPr>
            <w:tcW w:w="1085" w:type="dxa"/>
          </w:tcPr>
          <w:p w14:paraId="0AC326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68000</w:t>
            </w:r>
          </w:p>
        </w:tc>
        <w:tc>
          <w:tcPr>
            <w:tcW w:w="1056" w:type="dxa"/>
          </w:tcPr>
          <w:p w14:paraId="7B9CD5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90000</w:t>
            </w:r>
          </w:p>
        </w:tc>
      </w:tr>
      <w:tr w:rsidR="00983732" w:rsidRPr="00A3026E" w14:paraId="6A89D6C4" w14:textId="77777777" w:rsidTr="00EA0DA7">
        <w:trPr>
          <w:trHeight w:val="202"/>
        </w:trPr>
        <w:tc>
          <w:tcPr>
            <w:tcW w:w="1315" w:type="dxa"/>
          </w:tcPr>
          <w:p w14:paraId="5EB689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 чел.</w:t>
            </w:r>
          </w:p>
        </w:tc>
        <w:tc>
          <w:tcPr>
            <w:tcW w:w="835" w:type="dxa"/>
          </w:tcPr>
          <w:p w14:paraId="1BCB88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1277" w:type="dxa"/>
          </w:tcPr>
          <w:p w14:paraId="6A468F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1085" w:type="dxa"/>
          </w:tcPr>
          <w:p w14:paraId="30033A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w:t>
            </w:r>
          </w:p>
        </w:tc>
        <w:tc>
          <w:tcPr>
            <w:tcW w:w="1056" w:type="dxa"/>
          </w:tcPr>
          <w:p w14:paraId="06D669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r>
      <w:tr w:rsidR="00983732" w:rsidRPr="00A3026E" w14:paraId="503BB7CB" w14:textId="77777777" w:rsidTr="00EA0DA7">
        <w:trPr>
          <w:trHeight w:val="211"/>
        </w:trPr>
        <w:tc>
          <w:tcPr>
            <w:tcW w:w="1315" w:type="dxa"/>
          </w:tcPr>
          <w:p w14:paraId="450107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5384D6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77" w:type="dxa"/>
          </w:tcPr>
          <w:p w14:paraId="2A24CF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Размерения. мм</w:t>
            </w:r>
          </w:p>
        </w:tc>
        <w:tc>
          <w:tcPr>
            <w:tcW w:w="1085" w:type="dxa"/>
          </w:tcPr>
          <w:p w14:paraId="613FF3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56" w:type="dxa"/>
          </w:tcPr>
          <w:p w14:paraId="6D5AD2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B49E067" w14:textId="77777777" w:rsidTr="00EA0DA7">
        <w:trPr>
          <w:trHeight w:val="211"/>
        </w:trPr>
        <w:tc>
          <w:tcPr>
            <w:tcW w:w="1315" w:type="dxa"/>
          </w:tcPr>
          <w:p w14:paraId="1E06B9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общая</w:t>
            </w:r>
          </w:p>
        </w:tc>
        <w:tc>
          <w:tcPr>
            <w:tcW w:w="835" w:type="dxa"/>
          </w:tcPr>
          <w:p w14:paraId="031A17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6135</w:t>
            </w:r>
          </w:p>
        </w:tc>
        <w:tc>
          <w:tcPr>
            <w:tcW w:w="1277" w:type="dxa"/>
          </w:tcPr>
          <w:p w14:paraId="1B061A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6450</w:t>
            </w:r>
          </w:p>
        </w:tc>
        <w:tc>
          <w:tcPr>
            <w:tcW w:w="1085" w:type="dxa"/>
          </w:tcPr>
          <w:p w14:paraId="542A9C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7850</w:t>
            </w:r>
          </w:p>
        </w:tc>
        <w:tc>
          <w:tcPr>
            <w:tcW w:w="1056" w:type="dxa"/>
          </w:tcPr>
          <w:p w14:paraId="01C9F1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7800</w:t>
            </w:r>
          </w:p>
        </w:tc>
      </w:tr>
      <w:tr w:rsidR="00983732" w:rsidRPr="00A3026E" w14:paraId="21871CCA" w14:textId="77777777" w:rsidTr="00EA0DA7">
        <w:trPr>
          <w:trHeight w:val="173"/>
        </w:trPr>
        <w:tc>
          <w:tcPr>
            <w:tcW w:w="1315" w:type="dxa"/>
          </w:tcPr>
          <w:p w14:paraId="1C32A5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w:t>
            </w:r>
          </w:p>
        </w:tc>
        <w:tc>
          <w:tcPr>
            <w:tcW w:w="835" w:type="dxa"/>
          </w:tcPr>
          <w:p w14:paraId="5E0D17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2890</w:t>
            </w:r>
          </w:p>
        </w:tc>
        <w:tc>
          <w:tcPr>
            <w:tcW w:w="1277" w:type="dxa"/>
          </w:tcPr>
          <w:p w14:paraId="375433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3150</w:t>
            </w:r>
          </w:p>
        </w:tc>
        <w:tc>
          <w:tcPr>
            <w:tcW w:w="1085" w:type="dxa"/>
          </w:tcPr>
          <w:p w14:paraId="343A5C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3410</w:t>
            </w:r>
          </w:p>
        </w:tc>
        <w:tc>
          <w:tcPr>
            <w:tcW w:w="1056" w:type="dxa"/>
          </w:tcPr>
          <w:p w14:paraId="3E06AF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3800</w:t>
            </w:r>
          </w:p>
        </w:tc>
      </w:tr>
      <w:tr w:rsidR="00983732" w:rsidRPr="00A3026E" w14:paraId="1C931EDE" w14:textId="77777777" w:rsidTr="00EA0DA7">
        <w:trPr>
          <w:trHeight w:val="163"/>
        </w:trPr>
        <w:tc>
          <w:tcPr>
            <w:tcW w:w="1315" w:type="dxa"/>
          </w:tcPr>
          <w:p w14:paraId="576824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w:t>
            </w:r>
          </w:p>
        </w:tc>
        <w:tc>
          <w:tcPr>
            <w:tcW w:w="835" w:type="dxa"/>
          </w:tcPr>
          <w:p w14:paraId="51551D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c>
          <w:tcPr>
            <w:tcW w:w="1277" w:type="dxa"/>
          </w:tcPr>
          <w:p w14:paraId="496715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2600</w:t>
            </w:r>
          </w:p>
        </w:tc>
        <w:tc>
          <w:tcPr>
            <w:tcW w:w="1085" w:type="dxa"/>
          </w:tcPr>
          <w:p w14:paraId="12BD33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2950</w:t>
            </w:r>
          </w:p>
        </w:tc>
        <w:tc>
          <w:tcPr>
            <w:tcW w:w="1056" w:type="dxa"/>
          </w:tcPr>
          <w:p w14:paraId="7F6D3B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3400</w:t>
            </w:r>
          </w:p>
        </w:tc>
      </w:tr>
      <w:tr w:rsidR="00983732" w:rsidRPr="00A3026E" w14:paraId="69339883" w14:textId="77777777" w:rsidTr="00EA0DA7">
        <w:trPr>
          <w:trHeight w:val="182"/>
        </w:trPr>
        <w:tc>
          <w:tcPr>
            <w:tcW w:w="1315" w:type="dxa"/>
          </w:tcPr>
          <w:p w14:paraId="5313E1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Клиренс</w:t>
            </w:r>
          </w:p>
        </w:tc>
        <w:tc>
          <w:tcPr>
            <w:tcW w:w="835" w:type="dxa"/>
          </w:tcPr>
          <w:p w14:paraId="3CBBBD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1277" w:type="dxa"/>
          </w:tcPr>
          <w:p w14:paraId="0965C7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1085" w:type="dxa"/>
          </w:tcPr>
          <w:p w14:paraId="20975B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1056" w:type="dxa"/>
          </w:tcPr>
          <w:p w14:paraId="69908B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r>
      <w:tr w:rsidR="00983732" w:rsidRPr="00A3026E" w14:paraId="65494802" w14:textId="77777777" w:rsidTr="00EA0DA7">
        <w:trPr>
          <w:trHeight w:val="192"/>
        </w:trPr>
        <w:tc>
          <w:tcPr>
            <w:tcW w:w="1315" w:type="dxa"/>
          </w:tcPr>
          <w:p w14:paraId="7B6EC0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трака</w:t>
            </w:r>
          </w:p>
        </w:tc>
        <w:tc>
          <w:tcPr>
            <w:tcW w:w="835" w:type="dxa"/>
          </w:tcPr>
          <w:p w14:paraId="62CEFE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1277" w:type="dxa"/>
          </w:tcPr>
          <w:p w14:paraId="3A0BF5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w:t>
            </w:r>
          </w:p>
        </w:tc>
        <w:tc>
          <w:tcPr>
            <w:tcW w:w="1085" w:type="dxa"/>
          </w:tcPr>
          <w:p w14:paraId="77DBEF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1056" w:type="dxa"/>
          </w:tcPr>
          <w:p w14:paraId="4B7512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r>
      <w:tr w:rsidR="00983732" w:rsidRPr="00A3026E" w14:paraId="5F484C56" w14:textId="77777777" w:rsidTr="00EA0DA7">
        <w:trPr>
          <w:trHeight w:val="202"/>
        </w:trPr>
        <w:tc>
          <w:tcPr>
            <w:tcW w:w="1315" w:type="dxa"/>
          </w:tcPr>
          <w:p w14:paraId="475C68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3F1316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77" w:type="dxa"/>
          </w:tcPr>
          <w:p w14:paraId="5A4956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1085" w:type="dxa"/>
          </w:tcPr>
          <w:p w14:paraId="4A85E1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56" w:type="dxa"/>
          </w:tcPr>
          <w:p w14:paraId="0D2BAA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2D7204C" w14:textId="77777777" w:rsidTr="00EA0DA7">
        <w:trPr>
          <w:trHeight w:val="221"/>
        </w:trPr>
        <w:tc>
          <w:tcPr>
            <w:tcW w:w="1315" w:type="dxa"/>
          </w:tcPr>
          <w:p w14:paraId="73A579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Пушек, шт. х кал.</w:t>
            </w:r>
          </w:p>
        </w:tc>
        <w:tc>
          <w:tcPr>
            <w:tcW w:w="2112" w:type="dxa"/>
            <w:gridSpan w:val="2"/>
          </w:tcPr>
          <w:p w14:paraId="2E22B5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1х76,2-мм Ф-34 1х76,2-мм Ф-34*</w:t>
            </w:r>
          </w:p>
        </w:tc>
        <w:tc>
          <w:tcPr>
            <w:tcW w:w="1085" w:type="dxa"/>
          </w:tcPr>
          <w:p w14:paraId="04899E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1хЮ7-мм ЗИС-6</w:t>
            </w:r>
          </w:p>
        </w:tc>
        <w:tc>
          <w:tcPr>
            <w:tcW w:w="1056" w:type="dxa"/>
          </w:tcPr>
          <w:p w14:paraId="2E9C07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1хЮ7-мм Ф-42</w:t>
            </w:r>
          </w:p>
        </w:tc>
      </w:tr>
      <w:tr w:rsidR="00983732" w:rsidRPr="00A3026E" w14:paraId="5FEF1B4D" w14:textId="77777777" w:rsidTr="00EA0DA7">
        <w:trPr>
          <w:trHeight w:val="173"/>
        </w:trPr>
        <w:tc>
          <w:tcPr>
            <w:tcW w:w="1315" w:type="dxa"/>
          </w:tcPr>
          <w:p w14:paraId="01FEC2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Снарядов, шт.</w:t>
            </w:r>
          </w:p>
        </w:tc>
        <w:tc>
          <w:tcPr>
            <w:tcW w:w="835" w:type="dxa"/>
          </w:tcPr>
          <w:p w14:paraId="258024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277" w:type="dxa"/>
          </w:tcPr>
          <w:p w14:paraId="4009A8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1085" w:type="dxa"/>
          </w:tcPr>
          <w:p w14:paraId="4D86A5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1056" w:type="dxa"/>
          </w:tcPr>
          <w:p w14:paraId="418680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1х 45-мм 20К</w:t>
            </w:r>
          </w:p>
        </w:tc>
      </w:tr>
      <w:tr w:rsidR="00983732" w:rsidRPr="00A3026E" w14:paraId="4EE97BC9" w14:textId="77777777" w:rsidTr="00EA0DA7">
        <w:trPr>
          <w:trHeight w:val="173"/>
        </w:trPr>
        <w:tc>
          <w:tcPr>
            <w:tcW w:w="1315" w:type="dxa"/>
          </w:tcPr>
          <w:p w14:paraId="72F74F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Пулеметов, шт. х кал.</w:t>
            </w:r>
          </w:p>
        </w:tc>
        <w:tc>
          <w:tcPr>
            <w:tcW w:w="835" w:type="dxa"/>
          </w:tcPr>
          <w:p w14:paraId="14B4F5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2х7,62-мм</w:t>
            </w:r>
          </w:p>
        </w:tc>
        <w:tc>
          <w:tcPr>
            <w:tcW w:w="1277" w:type="dxa"/>
          </w:tcPr>
          <w:p w14:paraId="7D3DD8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Зх2х7,62-мм"</w:t>
            </w:r>
          </w:p>
        </w:tc>
        <w:tc>
          <w:tcPr>
            <w:tcW w:w="1085" w:type="dxa"/>
          </w:tcPr>
          <w:p w14:paraId="48A1C7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 мм</w:t>
            </w:r>
          </w:p>
        </w:tc>
        <w:tc>
          <w:tcPr>
            <w:tcW w:w="1056" w:type="dxa"/>
          </w:tcPr>
          <w:p w14:paraId="01665C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4х7,62-мм</w:t>
            </w:r>
          </w:p>
        </w:tc>
      </w:tr>
      <w:tr w:rsidR="00983732" w:rsidRPr="00A3026E" w14:paraId="4951F997" w14:textId="77777777" w:rsidTr="00EA0DA7">
        <w:trPr>
          <w:trHeight w:val="163"/>
        </w:trPr>
        <w:tc>
          <w:tcPr>
            <w:tcW w:w="1315" w:type="dxa"/>
          </w:tcPr>
          <w:p w14:paraId="6E3EBC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пулемета</w:t>
            </w:r>
          </w:p>
        </w:tc>
        <w:tc>
          <w:tcPr>
            <w:tcW w:w="835" w:type="dxa"/>
          </w:tcPr>
          <w:p w14:paraId="77CE1C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ДТ</w:t>
            </w:r>
          </w:p>
        </w:tc>
        <w:tc>
          <w:tcPr>
            <w:tcW w:w="1277" w:type="dxa"/>
          </w:tcPr>
          <w:p w14:paraId="392CE6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ДС-39 или ДТ</w:t>
            </w:r>
          </w:p>
        </w:tc>
        <w:tc>
          <w:tcPr>
            <w:tcW w:w="1085" w:type="dxa"/>
          </w:tcPr>
          <w:p w14:paraId="0AA463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ДС-39, или ДТ</w:t>
            </w:r>
          </w:p>
        </w:tc>
        <w:tc>
          <w:tcPr>
            <w:tcW w:w="1056" w:type="dxa"/>
          </w:tcPr>
          <w:p w14:paraId="5F9099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ДС или ДТ</w:t>
            </w:r>
          </w:p>
        </w:tc>
      </w:tr>
      <w:tr w:rsidR="00983732" w:rsidRPr="00A3026E" w14:paraId="1887174B" w14:textId="77777777" w:rsidTr="00EA0DA7">
        <w:trPr>
          <w:trHeight w:val="202"/>
        </w:trPr>
        <w:tc>
          <w:tcPr>
            <w:tcW w:w="1315" w:type="dxa"/>
          </w:tcPr>
          <w:p w14:paraId="68E0FB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Патронов, шт.</w:t>
            </w:r>
          </w:p>
        </w:tc>
        <w:tc>
          <w:tcPr>
            <w:tcW w:w="835" w:type="dxa"/>
          </w:tcPr>
          <w:p w14:paraId="1A15DD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4536</w:t>
            </w:r>
          </w:p>
        </w:tc>
        <w:tc>
          <w:tcPr>
            <w:tcW w:w="1277" w:type="dxa"/>
          </w:tcPr>
          <w:p w14:paraId="53D746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c>
          <w:tcPr>
            <w:tcW w:w="1085" w:type="dxa"/>
          </w:tcPr>
          <w:p w14:paraId="04BF89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 или 2772</w:t>
            </w:r>
          </w:p>
        </w:tc>
        <w:tc>
          <w:tcPr>
            <w:tcW w:w="1056" w:type="dxa"/>
          </w:tcPr>
          <w:p w14:paraId="430B03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r>
      <w:tr w:rsidR="00983732" w:rsidRPr="00A3026E" w14:paraId="1AB78A42" w14:textId="77777777" w:rsidTr="00EA0DA7">
        <w:trPr>
          <w:trHeight w:val="202"/>
        </w:trPr>
        <w:tc>
          <w:tcPr>
            <w:tcW w:w="1315" w:type="dxa"/>
          </w:tcPr>
          <w:p w14:paraId="119568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2BD978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77" w:type="dxa"/>
          </w:tcPr>
          <w:p w14:paraId="50E0D6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Толшина брони, мм</w:t>
            </w:r>
          </w:p>
        </w:tc>
        <w:tc>
          <w:tcPr>
            <w:tcW w:w="1085" w:type="dxa"/>
          </w:tcPr>
          <w:p w14:paraId="5C7FDC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56" w:type="dxa"/>
          </w:tcPr>
          <w:p w14:paraId="303274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FCB7B3D" w14:textId="77777777" w:rsidTr="00EA0DA7">
        <w:trPr>
          <w:trHeight w:val="221"/>
        </w:trPr>
        <w:tc>
          <w:tcPr>
            <w:tcW w:w="1315" w:type="dxa"/>
          </w:tcPr>
          <w:p w14:paraId="0E3FB8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Верт. корпуса</w:t>
            </w:r>
          </w:p>
        </w:tc>
        <w:tc>
          <w:tcPr>
            <w:tcW w:w="835" w:type="dxa"/>
          </w:tcPr>
          <w:p w14:paraId="3DA089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60-45-40</w:t>
            </w:r>
          </w:p>
        </w:tc>
        <w:tc>
          <w:tcPr>
            <w:tcW w:w="1277" w:type="dxa"/>
          </w:tcPr>
          <w:p w14:paraId="52DA13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75-60-45</w:t>
            </w:r>
          </w:p>
        </w:tc>
        <w:tc>
          <w:tcPr>
            <w:tcW w:w="1085" w:type="dxa"/>
          </w:tcPr>
          <w:p w14:paraId="133BA9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120-90-75</w:t>
            </w:r>
          </w:p>
        </w:tc>
        <w:tc>
          <w:tcPr>
            <w:tcW w:w="1056" w:type="dxa"/>
          </w:tcPr>
          <w:p w14:paraId="72D0D0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120-110-90</w:t>
            </w:r>
          </w:p>
        </w:tc>
      </w:tr>
      <w:tr w:rsidR="00983732" w:rsidRPr="00A3026E" w14:paraId="7D21242A" w14:textId="77777777" w:rsidTr="00EA0DA7">
        <w:trPr>
          <w:trHeight w:val="173"/>
        </w:trPr>
        <w:tc>
          <w:tcPr>
            <w:tcW w:w="1315" w:type="dxa"/>
          </w:tcPr>
          <w:p w14:paraId="4C43A3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Гориз. корпуса</w:t>
            </w:r>
          </w:p>
        </w:tc>
        <w:tc>
          <w:tcPr>
            <w:tcW w:w="835" w:type="dxa"/>
          </w:tcPr>
          <w:p w14:paraId="59DAFB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20-16</w:t>
            </w:r>
          </w:p>
        </w:tc>
        <w:tc>
          <w:tcPr>
            <w:tcW w:w="1277" w:type="dxa"/>
          </w:tcPr>
          <w:p w14:paraId="40EE9C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30-20</w:t>
            </w:r>
          </w:p>
        </w:tc>
        <w:tc>
          <w:tcPr>
            <w:tcW w:w="1085" w:type="dxa"/>
          </w:tcPr>
          <w:p w14:paraId="1CE6E2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40-30</w:t>
            </w:r>
          </w:p>
        </w:tc>
        <w:tc>
          <w:tcPr>
            <w:tcW w:w="1056" w:type="dxa"/>
          </w:tcPr>
          <w:p w14:paraId="60822D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r>
      <w:tr w:rsidR="00983732" w:rsidRPr="00A3026E" w14:paraId="7BB330AD" w14:textId="77777777" w:rsidTr="00EA0DA7">
        <w:trPr>
          <w:trHeight w:val="182"/>
        </w:trPr>
        <w:tc>
          <w:tcPr>
            <w:tcW w:w="1315" w:type="dxa"/>
          </w:tcPr>
          <w:p w14:paraId="7B7559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Башня</w:t>
            </w:r>
          </w:p>
        </w:tc>
        <w:tc>
          <w:tcPr>
            <w:tcW w:w="835" w:type="dxa"/>
          </w:tcPr>
          <w:p w14:paraId="5FEA8E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1277" w:type="dxa"/>
          </w:tcPr>
          <w:p w14:paraId="4468BF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 литая</w:t>
            </w:r>
          </w:p>
        </w:tc>
        <w:tc>
          <w:tcPr>
            <w:tcW w:w="1085" w:type="dxa"/>
          </w:tcPr>
          <w:p w14:paraId="018D41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130-90</w:t>
            </w:r>
          </w:p>
        </w:tc>
        <w:tc>
          <w:tcPr>
            <w:tcW w:w="1056" w:type="dxa"/>
          </w:tcPr>
          <w:p w14:paraId="231BC7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120-110</w:t>
            </w:r>
          </w:p>
        </w:tc>
      </w:tr>
      <w:tr w:rsidR="00983732" w:rsidRPr="00A3026E" w14:paraId="3DC98D15" w14:textId="77777777" w:rsidTr="00EA0DA7">
        <w:trPr>
          <w:trHeight w:val="230"/>
        </w:trPr>
        <w:tc>
          <w:tcPr>
            <w:tcW w:w="1315" w:type="dxa"/>
          </w:tcPr>
          <w:p w14:paraId="245F53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7815ED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77" w:type="dxa"/>
          </w:tcPr>
          <w:p w14:paraId="7C5331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Двигатель</w:t>
            </w:r>
          </w:p>
        </w:tc>
        <w:tc>
          <w:tcPr>
            <w:tcW w:w="1085" w:type="dxa"/>
          </w:tcPr>
          <w:p w14:paraId="1EA732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56" w:type="dxa"/>
          </w:tcPr>
          <w:p w14:paraId="0F3D4D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3845C5D" w14:textId="77777777" w:rsidTr="00EA0DA7">
        <w:trPr>
          <w:trHeight w:val="192"/>
        </w:trPr>
        <w:tc>
          <w:tcPr>
            <w:tcW w:w="1315" w:type="dxa"/>
          </w:tcPr>
          <w:p w14:paraId="783629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w:t>
            </w:r>
          </w:p>
        </w:tc>
        <w:tc>
          <w:tcPr>
            <w:tcW w:w="835" w:type="dxa"/>
          </w:tcPr>
          <w:p w14:paraId="50E7FE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4т/12ц/д/ж</w:t>
            </w:r>
          </w:p>
        </w:tc>
        <w:tc>
          <w:tcPr>
            <w:tcW w:w="1277" w:type="dxa"/>
          </w:tcPr>
          <w:p w14:paraId="6F2994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4т/12ц/Д/ж</w:t>
            </w:r>
          </w:p>
        </w:tc>
        <w:tc>
          <w:tcPr>
            <w:tcW w:w="1085" w:type="dxa"/>
          </w:tcPr>
          <w:p w14:paraId="293C0D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4т/12ц/д/ж</w:t>
            </w:r>
          </w:p>
        </w:tc>
        <w:tc>
          <w:tcPr>
            <w:tcW w:w="1056" w:type="dxa"/>
          </w:tcPr>
          <w:p w14:paraId="7FEA1D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4т/6ц/д/ж</w:t>
            </w:r>
          </w:p>
        </w:tc>
      </w:tr>
      <w:tr w:rsidR="00983732" w:rsidRPr="00A3026E" w14:paraId="68F7DF9B" w14:textId="77777777" w:rsidTr="00EA0DA7">
        <w:trPr>
          <w:trHeight w:val="182"/>
        </w:trPr>
        <w:tc>
          <w:tcPr>
            <w:tcW w:w="1315" w:type="dxa"/>
          </w:tcPr>
          <w:p w14:paraId="17D841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Марка</w:t>
            </w:r>
          </w:p>
        </w:tc>
        <w:tc>
          <w:tcPr>
            <w:tcW w:w="835" w:type="dxa"/>
          </w:tcPr>
          <w:p w14:paraId="5E4E78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В-5</w:t>
            </w:r>
          </w:p>
        </w:tc>
        <w:tc>
          <w:tcPr>
            <w:tcW w:w="1277" w:type="dxa"/>
          </w:tcPr>
          <w:p w14:paraId="03764E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В-5</w:t>
            </w:r>
          </w:p>
        </w:tc>
        <w:tc>
          <w:tcPr>
            <w:tcW w:w="1085" w:type="dxa"/>
          </w:tcPr>
          <w:p w14:paraId="6CAC27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В-6</w:t>
            </w:r>
          </w:p>
        </w:tc>
        <w:tc>
          <w:tcPr>
            <w:tcW w:w="1056" w:type="dxa"/>
          </w:tcPr>
          <w:p w14:paraId="236EB3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М-40Ф</w:t>
            </w:r>
          </w:p>
        </w:tc>
      </w:tr>
      <w:tr w:rsidR="00983732" w:rsidRPr="00A3026E" w14:paraId="15B4C120" w14:textId="77777777" w:rsidTr="00EA0DA7">
        <w:trPr>
          <w:trHeight w:val="154"/>
        </w:trPr>
        <w:tc>
          <w:tcPr>
            <w:tcW w:w="1315" w:type="dxa"/>
          </w:tcPr>
          <w:p w14:paraId="084A3C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макс., л.с.</w:t>
            </w:r>
          </w:p>
        </w:tc>
        <w:tc>
          <w:tcPr>
            <w:tcW w:w="835" w:type="dxa"/>
          </w:tcPr>
          <w:p w14:paraId="230CBD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1277" w:type="dxa"/>
          </w:tcPr>
          <w:p w14:paraId="3ACBD6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1085" w:type="dxa"/>
          </w:tcPr>
          <w:p w14:paraId="38F8F5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tc>
        <w:tc>
          <w:tcPr>
            <w:tcW w:w="1056" w:type="dxa"/>
          </w:tcPr>
          <w:p w14:paraId="41E8A9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443A246E" w14:textId="77777777" w:rsidTr="00EA0DA7">
        <w:trPr>
          <w:trHeight w:val="182"/>
        </w:trPr>
        <w:tc>
          <w:tcPr>
            <w:tcW w:w="1315" w:type="dxa"/>
          </w:tcPr>
          <w:p w14:paraId="5261B8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частоте об/мин</w:t>
            </w:r>
          </w:p>
        </w:tc>
        <w:tc>
          <w:tcPr>
            <w:tcW w:w="835" w:type="dxa"/>
          </w:tcPr>
          <w:p w14:paraId="09F591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w:t>
            </w:r>
          </w:p>
        </w:tc>
        <w:tc>
          <w:tcPr>
            <w:tcW w:w="1277" w:type="dxa"/>
          </w:tcPr>
          <w:p w14:paraId="2CE8E7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w:t>
            </w:r>
          </w:p>
        </w:tc>
        <w:tc>
          <w:tcPr>
            <w:tcW w:w="1085" w:type="dxa"/>
          </w:tcPr>
          <w:p w14:paraId="7E0AF5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056" w:type="dxa"/>
          </w:tcPr>
          <w:p w14:paraId="0573BD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r>
      <w:tr w:rsidR="00983732" w:rsidRPr="00A3026E" w14:paraId="283FF6FD" w14:textId="77777777" w:rsidTr="00EA0DA7">
        <w:trPr>
          <w:trHeight w:val="173"/>
        </w:trPr>
        <w:tc>
          <w:tcPr>
            <w:tcW w:w="1315" w:type="dxa"/>
          </w:tcPr>
          <w:p w14:paraId="059461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Передач КПП</w:t>
            </w:r>
          </w:p>
        </w:tc>
        <w:tc>
          <w:tcPr>
            <w:tcW w:w="835" w:type="dxa"/>
          </w:tcPr>
          <w:p w14:paraId="28725D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w:t>
            </w:r>
          </w:p>
        </w:tc>
        <w:tc>
          <w:tcPr>
            <w:tcW w:w="1277" w:type="dxa"/>
          </w:tcPr>
          <w:p w14:paraId="466FE1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w:t>
            </w:r>
          </w:p>
        </w:tc>
        <w:tc>
          <w:tcPr>
            <w:tcW w:w="1085" w:type="dxa"/>
          </w:tcPr>
          <w:p w14:paraId="4D344E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w:t>
            </w:r>
          </w:p>
        </w:tc>
        <w:tc>
          <w:tcPr>
            <w:tcW w:w="1056" w:type="dxa"/>
          </w:tcPr>
          <w:p w14:paraId="6AB476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w:t>
            </w:r>
          </w:p>
        </w:tc>
      </w:tr>
      <w:tr w:rsidR="00983732" w:rsidRPr="00A3026E" w14:paraId="3F5EA566" w14:textId="77777777" w:rsidTr="00EA0DA7">
        <w:trPr>
          <w:trHeight w:val="192"/>
        </w:trPr>
        <w:tc>
          <w:tcPr>
            <w:tcW w:w="1315" w:type="dxa"/>
          </w:tcPr>
          <w:p w14:paraId="38F31C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макс., км/ч</w:t>
            </w:r>
          </w:p>
        </w:tc>
        <w:tc>
          <w:tcPr>
            <w:tcW w:w="835" w:type="dxa"/>
          </w:tcPr>
          <w:p w14:paraId="61967D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w:t>
            </w:r>
          </w:p>
        </w:tc>
        <w:tc>
          <w:tcPr>
            <w:tcW w:w="1277" w:type="dxa"/>
          </w:tcPr>
          <w:p w14:paraId="655D6E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1085" w:type="dxa"/>
          </w:tcPr>
          <w:p w14:paraId="4C60A5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1056" w:type="dxa"/>
          </w:tcPr>
          <w:p w14:paraId="32CB61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r>
      <w:tr w:rsidR="00983732" w:rsidRPr="00A3026E" w14:paraId="4A10A693" w14:textId="77777777" w:rsidTr="00EA0DA7">
        <w:trPr>
          <w:trHeight w:val="192"/>
        </w:trPr>
        <w:tc>
          <w:tcPr>
            <w:tcW w:w="1315" w:type="dxa"/>
          </w:tcPr>
          <w:p w14:paraId="2CFC09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топлива</w:t>
            </w:r>
          </w:p>
        </w:tc>
        <w:tc>
          <w:tcPr>
            <w:tcW w:w="835" w:type="dxa"/>
          </w:tcPr>
          <w:p w14:paraId="5BF33C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Дизельное</w:t>
            </w:r>
          </w:p>
        </w:tc>
        <w:tc>
          <w:tcPr>
            <w:tcW w:w="1277" w:type="dxa"/>
          </w:tcPr>
          <w:p w14:paraId="1D6942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Дизельное</w:t>
            </w:r>
          </w:p>
        </w:tc>
        <w:tc>
          <w:tcPr>
            <w:tcW w:w="1085" w:type="dxa"/>
          </w:tcPr>
          <w:p w14:paraId="6A2A19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Дизельное</w:t>
            </w:r>
          </w:p>
        </w:tc>
        <w:tc>
          <w:tcPr>
            <w:tcW w:w="1056" w:type="dxa"/>
          </w:tcPr>
          <w:p w14:paraId="6C27B3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Дизельное</w:t>
            </w:r>
          </w:p>
        </w:tc>
      </w:tr>
      <w:tr w:rsidR="00983732" w:rsidRPr="00A3026E" w14:paraId="248CC03E" w14:textId="77777777" w:rsidTr="00EA0DA7">
        <w:trPr>
          <w:trHeight w:val="202"/>
        </w:trPr>
        <w:tc>
          <w:tcPr>
            <w:tcW w:w="1315" w:type="dxa"/>
          </w:tcPr>
          <w:p w14:paraId="7BD333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Емк. бака, л</w:t>
            </w:r>
          </w:p>
        </w:tc>
        <w:tc>
          <w:tcPr>
            <w:tcW w:w="835" w:type="dxa"/>
          </w:tcPr>
          <w:p w14:paraId="706368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1277" w:type="dxa"/>
          </w:tcPr>
          <w:p w14:paraId="30A1C0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c>
          <w:tcPr>
            <w:tcW w:w="1085" w:type="dxa"/>
          </w:tcPr>
          <w:p w14:paraId="486882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1056" w:type="dxa"/>
          </w:tcPr>
          <w:p w14:paraId="6C7020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r>
      <w:tr w:rsidR="00983732" w:rsidRPr="00A3026E" w14:paraId="632A3126" w14:textId="77777777" w:rsidTr="00EA0DA7">
        <w:trPr>
          <w:trHeight w:val="221"/>
        </w:trPr>
        <w:tc>
          <w:tcPr>
            <w:tcW w:w="1315" w:type="dxa"/>
          </w:tcPr>
          <w:p w14:paraId="46B7DD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16C960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77" w:type="dxa"/>
          </w:tcPr>
          <w:p w14:paraId="468AF0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хода, км</w:t>
            </w:r>
          </w:p>
        </w:tc>
        <w:tc>
          <w:tcPr>
            <w:tcW w:w="1085" w:type="dxa"/>
          </w:tcPr>
          <w:p w14:paraId="5B3167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56" w:type="dxa"/>
          </w:tcPr>
          <w:p w14:paraId="116ECF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3F71A83" w14:textId="77777777" w:rsidTr="00EA0DA7">
        <w:trPr>
          <w:trHeight w:val="202"/>
        </w:trPr>
        <w:tc>
          <w:tcPr>
            <w:tcW w:w="1315" w:type="dxa"/>
          </w:tcPr>
          <w:p w14:paraId="64AC58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-шоссе</w:t>
            </w:r>
          </w:p>
        </w:tc>
        <w:tc>
          <w:tcPr>
            <w:tcW w:w="835" w:type="dxa"/>
          </w:tcPr>
          <w:p w14:paraId="42BA84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tc>
        <w:tc>
          <w:tcPr>
            <w:tcW w:w="1277" w:type="dxa"/>
          </w:tcPr>
          <w:p w14:paraId="087FA8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c>
          <w:tcPr>
            <w:tcW w:w="1085" w:type="dxa"/>
          </w:tcPr>
          <w:p w14:paraId="24685D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c>
          <w:tcPr>
            <w:tcW w:w="1056" w:type="dxa"/>
          </w:tcPr>
          <w:p w14:paraId="52CC55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r>
      <w:tr w:rsidR="00983732" w:rsidRPr="00A3026E" w14:paraId="0B3B07AA" w14:textId="77777777" w:rsidTr="00EA0DA7">
        <w:trPr>
          <w:trHeight w:val="211"/>
        </w:trPr>
        <w:tc>
          <w:tcPr>
            <w:tcW w:w="1315" w:type="dxa"/>
          </w:tcPr>
          <w:p w14:paraId="39C0BF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проселок</w:t>
            </w:r>
          </w:p>
        </w:tc>
        <w:tc>
          <w:tcPr>
            <w:tcW w:w="835" w:type="dxa"/>
          </w:tcPr>
          <w:p w14:paraId="3270F6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c>
          <w:tcPr>
            <w:tcW w:w="1277" w:type="dxa"/>
          </w:tcPr>
          <w:p w14:paraId="32AF8D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1085" w:type="dxa"/>
          </w:tcPr>
          <w:p w14:paraId="13E031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056" w:type="dxa"/>
          </w:tcPr>
          <w:p w14:paraId="1AD57D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413126F4" w14:textId="77777777" w:rsidTr="00EA0DA7">
        <w:trPr>
          <w:trHeight w:val="163"/>
        </w:trPr>
        <w:tc>
          <w:tcPr>
            <w:tcW w:w="5568" w:type="dxa"/>
            <w:gridSpan w:val="5"/>
          </w:tcPr>
          <w:p w14:paraId="72A1B8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Поеодолеваемые ппепятствия</w:t>
            </w:r>
          </w:p>
        </w:tc>
      </w:tr>
      <w:tr w:rsidR="00983732" w:rsidRPr="00A3026E" w14:paraId="201A07D6" w14:textId="77777777" w:rsidTr="00EA0DA7">
        <w:trPr>
          <w:trHeight w:val="250"/>
        </w:trPr>
        <w:tc>
          <w:tcPr>
            <w:tcW w:w="1315" w:type="dxa"/>
          </w:tcPr>
          <w:p w14:paraId="15B027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 давление, кгс/см</w:t>
            </w:r>
            <w:r w:rsidRPr="00A3026E">
              <w:rPr>
                <w:rFonts w:ascii="Times New Roman" w:hAnsi="Times New Roman"/>
                <w:color w:val="000000" w:themeColor="text1"/>
                <w:sz w:val="16"/>
                <w:szCs w:val="16"/>
                <w:vertAlign w:val="superscript"/>
              </w:rPr>
              <w:t>!</w:t>
            </w:r>
          </w:p>
        </w:tc>
        <w:tc>
          <w:tcPr>
            <w:tcW w:w="835" w:type="dxa"/>
          </w:tcPr>
          <w:p w14:paraId="21EFB5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0,702</w:t>
            </w:r>
          </w:p>
        </w:tc>
        <w:tc>
          <w:tcPr>
            <w:tcW w:w="1277" w:type="dxa"/>
          </w:tcPr>
          <w:p w14:paraId="040C0C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0,72</w:t>
            </w:r>
          </w:p>
        </w:tc>
        <w:tc>
          <w:tcPr>
            <w:tcW w:w="1085" w:type="dxa"/>
          </w:tcPr>
          <w:p w14:paraId="5D5940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0,92</w:t>
            </w:r>
          </w:p>
        </w:tc>
        <w:tc>
          <w:tcPr>
            <w:tcW w:w="1056" w:type="dxa"/>
          </w:tcPr>
          <w:p w14:paraId="440F75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0,9</w:t>
            </w:r>
          </w:p>
        </w:tc>
      </w:tr>
      <w:tr w:rsidR="00983732" w:rsidRPr="00A3026E" w14:paraId="384906CD" w14:textId="77777777" w:rsidTr="00EA0DA7">
        <w:trPr>
          <w:trHeight w:val="173"/>
        </w:trPr>
        <w:tc>
          <w:tcPr>
            <w:tcW w:w="1315" w:type="dxa"/>
          </w:tcPr>
          <w:p w14:paraId="21AB59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Подъем, град.</w:t>
            </w:r>
          </w:p>
        </w:tc>
        <w:tc>
          <w:tcPr>
            <w:tcW w:w="835" w:type="dxa"/>
          </w:tcPr>
          <w:p w14:paraId="459B75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1277" w:type="dxa"/>
          </w:tcPr>
          <w:p w14:paraId="77FFFF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c>
          <w:tcPr>
            <w:tcW w:w="1085" w:type="dxa"/>
          </w:tcPr>
          <w:p w14:paraId="32E906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w:t>
            </w:r>
          </w:p>
        </w:tc>
        <w:tc>
          <w:tcPr>
            <w:tcW w:w="1056" w:type="dxa"/>
          </w:tcPr>
          <w:p w14:paraId="30A155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r>
      <w:tr w:rsidR="00983732" w:rsidRPr="00A3026E" w14:paraId="414AF344" w14:textId="77777777" w:rsidTr="00EA0DA7">
        <w:trPr>
          <w:trHeight w:val="173"/>
        </w:trPr>
        <w:tc>
          <w:tcPr>
            <w:tcW w:w="1315" w:type="dxa"/>
          </w:tcPr>
          <w:p w14:paraId="6496C4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Спуск, град.</w:t>
            </w:r>
          </w:p>
        </w:tc>
        <w:tc>
          <w:tcPr>
            <w:tcW w:w="835" w:type="dxa"/>
          </w:tcPr>
          <w:p w14:paraId="070EC6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w:t>
            </w:r>
          </w:p>
        </w:tc>
        <w:tc>
          <w:tcPr>
            <w:tcW w:w="1277" w:type="dxa"/>
          </w:tcPr>
          <w:p w14:paraId="5CEA40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c>
          <w:tcPr>
            <w:tcW w:w="1085" w:type="dxa"/>
          </w:tcPr>
          <w:p w14:paraId="21C8E9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w:t>
            </w:r>
          </w:p>
        </w:tc>
        <w:tc>
          <w:tcPr>
            <w:tcW w:w="1056" w:type="dxa"/>
          </w:tcPr>
          <w:p w14:paraId="33BBA8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r>
      <w:tr w:rsidR="00983732" w:rsidRPr="00A3026E" w14:paraId="696760FD" w14:textId="77777777" w:rsidTr="00EA0DA7">
        <w:trPr>
          <w:trHeight w:val="173"/>
        </w:trPr>
        <w:tc>
          <w:tcPr>
            <w:tcW w:w="1315" w:type="dxa"/>
          </w:tcPr>
          <w:p w14:paraId="736359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Крен, град.</w:t>
            </w:r>
          </w:p>
        </w:tc>
        <w:tc>
          <w:tcPr>
            <w:tcW w:w="835" w:type="dxa"/>
          </w:tcPr>
          <w:p w14:paraId="457285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1277" w:type="dxa"/>
          </w:tcPr>
          <w:p w14:paraId="556CDE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c>
          <w:tcPr>
            <w:tcW w:w="1085" w:type="dxa"/>
          </w:tcPr>
          <w:p w14:paraId="4C9B00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1056" w:type="dxa"/>
          </w:tcPr>
          <w:p w14:paraId="71807D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r>
      <w:tr w:rsidR="00983732" w:rsidRPr="00A3026E" w14:paraId="60A124A8" w14:textId="77777777" w:rsidTr="00EA0DA7">
        <w:trPr>
          <w:trHeight w:val="154"/>
        </w:trPr>
        <w:tc>
          <w:tcPr>
            <w:tcW w:w="1315" w:type="dxa"/>
          </w:tcPr>
          <w:p w14:paraId="3E00AE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Ров, мм</w:t>
            </w:r>
          </w:p>
        </w:tc>
        <w:tc>
          <w:tcPr>
            <w:tcW w:w="835" w:type="dxa"/>
          </w:tcPr>
          <w:p w14:paraId="3B293C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2600</w:t>
            </w:r>
          </w:p>
        </w:tc>
        <w:tc>
          <w:tcPr>
            <w:tcW w:w="1277" w:type="dxa"/>
          </w:tcPr>
          <w:p w14:paraId="37FBC7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c>
          <w:tcPr>
            <w:tcW w:w="1085" w:type="dxa"/>
          </w:tcPr>
          <w:p w14:paraId="511A4A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1056" w:type="dxa"/>
          </w:tcPr>
          <w:p w14:paraId="78B206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r>
      <w:tr w:rsidR="00983732" w:rsidRPr="00A3026E" w14:paraId="2CF5BC55" w14:textId="77777777" w:rsidTr="00EA0DA7">
        <w:trPr>
          <w:trHeight w:val="163"/>
        </w:trPr>
        <w:tc>
          <w:tcPr>
            <w:tcW w:w="1315" w:type="dxa"/>
          </w:tcPr>
          <w:p w14:paraId="21081B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Стенка, мм</w:t>
            </w:r>
          </w:p>
        </w:tc>
        <w:tc>
          <w:tcPr>
            <w:tcW w:w="835" w:type="dxa"/>
          </w:tcPr>
          <w:p w14:paraId="4F1E2D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1277" w:type="dxa"/>
          </w:tcPr>
          <w:p w14:paraId="53B63F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w:t>
            </w:r>
          </w:p>
        </w:tc>
        <w:tc>
          <w:tcPr>
            <w:tcW w:w="1085" w:type="dxa"/>
          </w:tcPr>
          <w:p w14:paraId="11B4BC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056" w:type="dxa"/>
          </w:tcPr>
          <w:p w14:paraId="5DAC10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показано</w:t>
            </w:r>
          </w:p>
        </w:tc>
      </w:tr>
      <w:tr w:rsidR="00983732" w:rsidRPr="00A3026E" w14:paraId="41682263" w14:textId="77777777" w:rsidTr="00EA0DA7">
        <w:trPr>
          <w:trHeight w:val="202"/>
        </w:trPr>
        <w:tc>
          <w:tcPr>
            <w:tcW w:w="1315" w:type="dxa"/>
            <w:tcBorders>
              <w:bottom w:val="single" w:sz="12" w:space="0" w:color="auto"/>
            </w:tcBorders>
          </w:tcPr>
          <w:p w14:paraId="6A46D9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Брод, мм</w:t>
            </w:r>
          </w:p>
        </w:tc>
        <w:tc>
          <w:tcPr>
            <w:tcW w:w="835" w:type="dxa"/>
            <w:tcBorders>
              <w:bottom w:val="single" w:sz="12" w:space="0" w:color="auto"/>
            </w:tcBorders>
          </w:tcPr>
          <w:p w14:paraId="3B214D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c>
          <w:tcPr>
            <w:tcW w:w="1277" w:type="dxa"/>
            <w:tcBorders>
              <w:bottom w:val="single" w:sz="12" w:space="0" w:color="auto"/>
            </w:tcBorders>
          </w:tcPr>
          <w:p w14:paraId="07B198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1085" w:type="dxa"/>
            <w:tcBorders>
              <w:bottom w:val="single" w:sz="12" w:space="0" w:color="auto"/>
            </w:tcBorders>
          </w:tcPr>
          <w:p w14:paraId="432A71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w:t>
            </w:r>
          </w:p>
        </w:tc>
        <w:tc>
          <w:tcPr>
            <w:tcW w:w="1056" w:type="dxa"/>
            <w:tcBorders>
              <w:bottom w:val="single" w:sz="12" w:space="0" w:color="auto"/>
            </w:tcBorders>
          </w:tcPr>
          <w:p w14:paraId="4E4829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w:t>
            </w:r>
          </w:p>
        </w:tc>
      </w:tr>
    </w:tbl>
    <w:p w14:paraId="52FC19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 зависимости от задач предполагалось вооружение также в виде 57-мм ЗИС-4 или 107-мм ЗИС-6</w:t>
      </w:r>
    </w:p>
    <w:p w14:paraId="2C7DD9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Также сдвоенная установка ППШ-41-ТП в командирской башенке (10782).</w:t>
      </w:r>
    </w:p>
    <w:p w14:paraId="7310ADF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1F0086B" w14:textId="77777777" w:rsidR="00F92307" w:rsidRPr="00A3026E" w:rsidRDefault="00F9230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когда отечественная промышленность только приступила к освоению массового выпуска новых танков Т-34, Т-40 и КВ, руководство ГАБТУ КА пришло к выводу о необходимости повышения боевых и эксплуатационных качеств этих машин. Такой вывод был сделан на основании результатов проведенных испытаний, а также опыта эксплуатации танков в Красной Армии. Немалую роль в этом вопросе также сыграло и изучения иностранных образцов бронетанкового вооружения (18206).</w:t>
      </w:r>
    </w:p>
    <w:p w14:paraId="507FE994" w14:textId="77777777" w:rsidR="00F92307" w:rsidRPr="00A3026E" w:rsidRDefault="00F92307" w:rsidP="00A3026E">
      <w:pPr>
        <w:spacing w:after="0" w:line="240" w:lineRule="auto"/>
        <w:jc w:val="both"/>
        <w:rPr>
          <w:rFonts w:ascii="Times New Roman" w:hAnsi="Times New Roman"/>
          <w:color w:val="000000" w:themeColor="text1"/>
          <w:sz w:val="16"/>
          <w:szCs w:val="16"/>
        </w:rPr>
      </w:pPr>
    </w:p>
    <w:p w14:paraId="5630C4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осени 1940 г. выпуск танков Т-34, казалось бы, норма</w:t>
      </w:r>
      <w:r w:rsidRPr="00A3026E">
        <w:rPr>
          <w:rFonts w:ascii="Times New Roman" w:hAnsi="Times New Roman"/>
          <w:color w:val="000000" w:themeColor="text1"/>
          <w:sz w:val="16"/>
          <w:szCs w:val="16"/>
        </w:rPr>
        <w:softHyphen/>
        <w:t>лизовался. И в сентябре ждали рапорта о выполнении ме</w:t>
      </w:r>
      <w:r w:rsidRPr="00A3026E">
        <w:rPr>
          <w:rFonts w:ascii="Times New Roman" w:hAnsi="Times New Roman"/>
          <w:color w:val="000000" w:themeColor="text1"/>
          <w:sz w:val="16"/>
          <w:szCs w:val="16"/>
        </w:rPr>
        <w:softHyphen/>
        <w:t>сячной нормы отгрузки. Но в сентябре последовало сообщение о смерти главного конструктора танка М. Кошкина (10782). В послевоенное время, точнее — в 1960—1970 гг., вдруг , словно завеса спала с истории создания различных образ</w:t>
      </w:r>
      <w:r w:rsidRPr="00A3026E">
        <w:rPr>
          <w:rFonts w:ascii="Times New Roman" w:hAnsi="Times New Roman"/>
          <w:color w:val="000000" w:themeColor="text1"/>
          <w:sz w:val="16"/>
          <w:szCs w:val="16"/>
        </w:rPr>
        <w:softHyphen/>
        <w:t>цов отечественной боевой техники. Впервые прозвучали и фамилии наших танкостроителей — Ж. Котина и М. Кош</w:t>
      </w:r>
      <w:r w:rsidRPr="00A3026E">
        <w:rPr>
          <w:rFonts w:ascii="Times New Roman" w:hAnsi="Times New Roman"/>
          <w:color w:val="000000" w:themeColor="text1"/>
          <w:sz w:val="16"/>
          <w:szCs w:val="16"/>
        </w:rPr>
        <w:softHyphen/>
        <w:t>кина. И тут же была озвучена легенда о «непризнанном ге</w:t>
      </w:r>
      <w:r w:rsidRPr="00A3026E">
        <w:rPr>
          <w:rFonts w:ascii="Times New Roman" w:hAnsi="Times New Roman"/>
          <w:color w:val="000000" w:themeColor="text1"/>
          <w:sz w:val="16"/>
          <w:szCs w:val="16"/>
        </w:rPr>
        <w:softHyphen/>
        <w:t>нии», что имел дар предвидения и умел настоять на своем. Что без него не было бы в истории СССР замечательной «тридцатьчетверки» - символа прошедшей войны. |После того как в стране началась гласность и пере</w:t>
      </w:r>
      <w:r w:rsidRPr="00A3026E">
        <w:rPr>
          <w:rFonts w:ascii="Times New Roman" w:hAnsi="Times New Roman"/>
          <w:color w:val="000000" w:themeColor="text1"/>
          <w:sz w:val="16"/>
          <w:szCs w:val="16"/>
        </w:rPr>
        <w:softHyphen/>
        <w:t>стройка, появились и новые, порой диаметрально противо</w:t>
      </w:r>
      <w:r w:rsidRPr="00A3026E">
        <w:rPr>
          <w:rFonts w:ascii="Times New Roman" w:hAnsi="Times New Roman"/>
          <w:color w:val="000000" w:themeColor="text1"/>
          <w:sz w:val="16"/>
          <w:szCs w:val="16"/>
        </w:rPr>
        <w:softHyphen/>
        <w:t>положные прежним оценки деятельности прежних идолов. В самом деле М. Кошкин был конструктором, который, судя по отзывам знавших его, не спроектировал ни одного танка. Как-то быстро из партийных работников он, закончив курсы, сделался заместителем главного конструктора на за</w:t>
      </w:r>
      <w:r w:rsidRPr="00A3026E">
        <w:rPr>
          <w:rFonts w:ascii="Times New Roman" w:hAnsi="Times New Roman"/>
          <w:color w:val="000000" w:themeColor="text1"/>
          <w:sz w:val="16"/>
          <w:szCs w:val="16"/>
        </w:rPr>
        <w:softHyphen/>
        <w:t>воде № 185, а позже и главным конструктором на ХПЗ. В конструкциях А-20 и А-32 угадываются разработки А. Ди</w:t>
      </w:r>
      <w:r w:rsidRPr="00A3026E">
        <w:rPr>
          <w:rFonts w:ascii="Times New Roman" w:hAnsi="Times New Roman"/>
          <w:color w:val="000000" w:themeColor="text1"/>
          <w:sz w:val="16"/>
          <w:szCs w:val="16"/>
        </w:rPr>
        <w:softHyphen/>
        <w:t>ка и пожелания АБТУ и ничего суперреволюционного... По манере руководства многие современники запомнили Михаила Ильича как типичного партийного функционера. Возможно, М. Кошкин и не был гением-конструкто</w:t>
      </w:r>
      <w:r w:rsidRPr="00A3026E">
        <w:rPr>
          <w:rFonts w:ascii="Times New Roman" w:hAnsi="Times New Roman"/>
          <w:color w:val="000000" w:themeColor="text1"/>
          <w:sz w:val="16"/>
          <w:szCs w:val="16"/>
        </w:rPr>
        <w:softHyphen/>
        <w:t>ром. Возможно, он в своей короткой жизни (он скончал</w:t>
      </w:r>
      <w:r w:rsidRPr="00A3026E">
        <w:rPr>
          <w:rFonts w:ascii="Times New Roman" w:hAnsi="Times New Roman"/>
          <w:color w:val="000000" w:themeColor="text1"/>
          <w:sz w:val="16"/>
          <w:szCs w:val="16"/>
        </w:rPr>
        <w:softHyphen/>
        <w:t>ся, когда ему был 41 год) ничего не спроектировал лично. Не был он и видящим будущее, что предвосхитил... Но это и не требовалось ему лично. «Задача главного конструкто</w:t>
      </w:r>
      <w:r w:rsidRPr="00A3026E">
        <w:rPr>
          <w:rFonts w:ascii="Times New Roman" w:hAnsi="Times New Roman"/>
          <w:color w:val="000000" w:themeColor="text1"/>
          <w:sz w:val="16"/>
          <w:szCs w:val="16"/>
        </w:rPr>
        <w:softHyphen/>
        <w:t>ра — организовать работу своего КБ и иных служб таким образом, чтобы все в нем работало, как колесики часового механизма — каждый на своем месте, особенно, когда тебе дают чужой проект, - говорил бывший главный конст</w:t>
      </w:r>
      <w:r w:rsidRPr="00A3026E">
        <w:rPr>
          <w:rFonts w:ascii="Times New Roman" w:hAnsi="Times New Roman"/>
          <w:color w:val="000000" w:themeColor="text1"/>
          <w:sz w:val="16"/>
          <w:szCs w:val="16"/>
        </w:rPr>
        <w:softHyphen/>
        <w:t>руктор САУЛ. Горлицкий. — Просто надо уметь спрятать свои амбиции и направить силы своего коллектива на наи</w:t>
      </w:r>
      <w:r w:rsidRPr="00A3026E">
        <w:rPr>
          <w:rFonts w:ascii="Times New Roman" w:hAnsi="Times New Roman"/>
          <w:color w:val="000000" w:themeColor="text1"/>
          <w:sz w:val="16"/>
          <w:szCs w:val="16"/>
        </w:rPr>
        <w:softHyphen/>
        <w:t>лучшее решение поставленной задачи! Это высказывание как нельзя лучше отражает основ</w:t>
      </w:r>
      <w:r w:rsidRPr="00A3026E">
        <w:rPr>
          <w:rFonts w:ascii="Times New Roman" w:hAnsi="Times New Roman"/>
          <w:color w:val="000000" w:themeColor="text1"/>
          <w:sz w:val="16"/>
          <w:szCs w:val="16"/>
        </w:rPr>
        <w:softHyphen/>
        <w:t>ную задачу главного конструктора. В своей конструктор</w:t>
      </w:r>
      <w:r w:rsidRPr="00A3026E">
        <w:rPr>
          <w:rFonts w:ascii="Times New Roman" w:hAnsi="Times New Roman"/>
          <w:color w:val="000000" w:themeColor="text1"/>
          <w:sz w:val="16"/>
          <w:szCs w:val="16"/>
        </w:rPr>
        <w:softHyphen/>
        <w:t>ской практике автор тоже не мог вспомнить ни одного не</w:t>
      </w:r>
      <w:r w:rsidRPr="00A3026E">
        <w:rPr>
          <w:rFonts w:ascii="Times New Roman" w:hAnsi="Times New Roman"/>
          <w:color w:val="000000" w:themeColor="text1"/>
          <w:sz w:val="16"/>
          <w:szCs w:val="16"/>
        </w:rPr>
        <w:softHyphen/>
        <w:t>признанного гения среди главных конструкторов проекта, с которыми ему приходилось общаться, но то, что все они были великолепными организаторами, — несомненно. А в этом отношении М. Кошкин явно преуспел. Он не болел излишне амбициозными планами, не пробивал во что бы то ни стало танк БТ-9/БТ-20 именно своего «разлива», взял как данное утвержденный проект А. Дика и постарался довести его до серии. Более того, несмотря на то что выпус</w:t>
      </w:r>
      <w:r w:rsidRPr="00A3026E">
        <w:rPr>
          <w:rFonts w:ascii="Times New Roman" w:hAnsi="Times New Roman"/>
          <w:color w:val="000000" w:themeColor="text1"/>
          <w:sz w:val="16"/>
          <w:szCs w:val="16"/>
        </w:rPr>
        <w:softHyphen/>
        <w:t xml:space="preserve">кать рабочие чертежи двух машин в ограниченное время для КБ — ни с чем </w:t>
      </w:r>
      <w:r w:rsidRPr="00A3026E">
        <w:rPr>
          <w:rFonts w:ascii="Times New Roman" w:hAnsi="Times New Roman"/>
          <w:color w:val="000000" w:themeColor="text1"/>
          <w:sz w:val="16"/>
          <w:szCs w:val="16"/>
        </w:rPr>
        <w:lastRenderedPageBreak/>
        <w:t>не сравнимые трудности, настоял на том, что завод справится с заданием в установленное время и не стоит ограничивать завод одной боевой машиной. Пусть о М. Кошкине (как о конструкторе) старики отзы</w:t>
      </w:r>
      <w:r w:rsidRPr="00A3026E">
        <w:rPr>
          <w:rFonts w:ascii="Times New Roman" w:hAnsi="Times New Roman"/>
          <w:color w:val="000000" w:themeColor="text1"/>
          <w:sz w:val="16"/>
          <w:szCs w:val="16"/>
        </w:rPr>
        <w:softHyphen/>
        <w:t>вались с известной долей иронии. В частности, от троих ав</w:t>
      </w:r>
      <w:r w:rsidRPr="00A3026E">
        <w:rPr>
          <w:rFonts w:ascii="Times New Roman" w:hAnsi="Times New Roman"/>
          <w:color w:val="000000" w:themeColor="text1"/>
          <w:sz w:val="16"/>
          <w:szCs w:val="16"/>
        </w:rPr>
        <w:softHyphen/>
        <w:t>тор слышал историю, как Михаил Ильич любил с палочкой : в руках тихонько подойти сзади и, легонько постукивая ею по полу, пообещать, что угостит ею поперек спины, если ра</w:t>
      </w:r>
      <w:r w:rsidRPr="00A3026E">
        <w:rPr>
          <w:rFonts w:ascii="Times New Roman" w:hAnsi="Times New Roman"/>
          <w:color w:val="000000" w:themeColor="text1"/>
          <w:sz w:val="16"/>
          <w:szCs w:val="16"/>
        </w:rPr>
        <w:softHyphen/>
        <w:t>бота не будет сдана в срок... Но те же старики очень добро отзывались о нем, когда речь шла о помощи в бытовых де</w:t>
      </w:r>
      <w:r w:rsidRPr="00A3026E">
        <w:rPr>
          <w:rFonts w:ascii="Times New Roman" w:hAnsi="Times New Roman"/>
          <w:color w:val="000000" w:themeColor="text1"/>
          <w:sz w:val="16"/>
          <w:szCs w:val="16"/>
        </w:rPr>
        <w:softHyphen/>
        <w:t>лах, а главное — в хлопотах о прекращении следствия, уверяя, что именно благодаря заступничеству главного конст</w:t>
      </w:r>
      <w:r w:rsidRPr="00A3026E">
        <w:rPr>
          <w:rFonts w:ascii="Times New Roman" w:hAnsi="Times New Roman"/>
          <w:color w:val="000000" w:themeColor="text1"/>
          <w:sz w:val="16"/>
          <w:szCs w:val="16"/>
        </w:rPr>
        <w:softHyphen/>
        <w:t>руктора КБ смогло закончить работы по А-20 и А-34. практически во-время. Таким образом, автор придерживается чет</w:t>
      </w:r>
      <w:r w:rsidRPr="00A3026E">
        <w:rPr>
          <w:rFonts w:ascii="Times New Roman" w:hAnsi="Times New Roman"/>
          <w:color w:val="000000" w:themeColor="text1"/>
          <w:sz w:val="16"/>
          <w:szCs w:val="16"/>
        </w:rPr>
        <w:softHyphen/>
        <w:t>кой позиции, что роль М. Кошкина в создании Т-34 весьма велика, и он заслуживает всемерного уважения. После смерти М. Кошкина на должность главного кон</w:t>
      </w:r>
      <w:r w:rsidRPr="00A3026E">
        <w:rPr>
          <w:rFonts w:ascii="Times New Roman" w:hAnsi="Times New Roman"/>
          <w:color w:val="000000" w:themeColor="text1"/>
          <w:sz w:val="16"/>
          <w:szCs w:val="16"/>
        </w:rPr>
        <w:softHyphen/>
        <w:t>структора Т-34 на ХПЗ должен был прибыть кто-то с не</w:t>
      </w:r>
      <w:r w:rsidRPr="00A3026E">
        <w:rPr>
          <w:rFonts w:ascii="Times New Roman" w:hAnsi="Times New Roman"/>
          <w:color w:val="000000" w:themeColor="text1"/>
          <w:sz w:val="16"/>
          <w:szCs w:val="16"/>
        </w:rPr>
        <w:softHyphen/>
        <w:t>давно расформированного КБ завода № 185, так как замес</w:t>
      </w:r>
      <w:r w:rsidRPr="00A3026E">
        <w:rPr>
          <w:rFonts w:ascii="Times New Roman" w:hAnsi="Times New Roman"/>
          <w:color w:val="000000" w:themeColor="text1"/>
          <w:sz w:val="16"/>
          <w:szCs w:val="16"/>
        </w:rPr>
        <w:softHyphen/>
        <w:t>титель М. Кошкина А. Морозов не имел высшего образова</w:t>
      </w:r>
      <w:r w:rsidRPr="00A3026E">
        <w:rPr>
          <w:rFonts w:ascii="Times New Roman" w:hAnsi="Times New Roman"/>
          <w:color w:val="000000" w:themeColor="text1"/>
          <w:sz w:val="16"/>
          <w:szCs w:val="16"/>
        </w:rPr>
        <w:softHyphen/>
        <w:t>ния. Но, по воспоминаниям И. Битенского, глава государ</w:t>
      </w:r>
      <w:r w:rsidRPr="00A3026E">
        <w:rPr>
          <w:rFonts w:ascii="Times New Roman" w:hAnsi="Times New Roman"/>
          <w:color w:val="000000" w:themeColor="text1"/>
          <w:sz w:val="16"/>
          <w:szCs w:val="16"/>
        </w:rPr>
        <w:softHyphen/>
        <w:t>ства И. Сталин лично выступил в поддержку кандидатуры бывшего заместителя главного конструктора Т-34, и таким образом новый средний танк обрел нового «впередсмотря</w:t>
      </w:r>
      <w:r w:rsidRPr="00A3026E">
        <w:rPr>
          <w:rFonts w:ascii="Times New Roman" w:hAnsi="Times New Roman"/>
          <w:color w:val="000000" w:themeColor="text1"/>
          <w:sz w:val="16"/>
          <w:szCs w:val="16"/>
        </w:rPr>
        <w:softHyphen/>
        <w:t>щего», не имевшего диплома о высшем образовании (10782).</w:t>
      </w:r>
    </w:p>
    <w:p w14:paraId="27EF7E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9DD74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 1940 г. в истории Т-34 ознаменовалась не только смертью М. Кошкина и проигрышем Т-34 ходовых испы</w:t>
      </w:r>
      <w:r w:rsidRPr="00A3026E">
        <w:rPr>
          <w:rFonts w:ascii="Times New Roman" w:hAnsi="Times New Roman"/>
          <w:color w:val="000000" w:themeColor="text1"/>
          <w:sz w:val="16"/>
          <w:szCs w:val="16"/>
        </w:rPr>
        <w:softHyphen/>
        <w:t>таний перед немецкой «тройкой», но и еще рядом больших и малых неприятностей. Так, согласно утвержденному пла</w:t>
      </w:r>
      <w:r w:rsidRPr="00A3026E">
        <w:rPr>
          <w:rFonts w:ascii="Times New Roman" w:hAnsi="Times New Roman"/>
          <w:color w:val="000000" w:themeColor="text1"/>
          <w:sz w:val="16"/>
          <w:szCs w:val="16"/>
        </w:rPr>
        <w:softHyphen/>
        <w:t>ну, к 15 сентября первые 15 серийных танков должен был выпустить СТЗ (первый опытный танк там собрали еще в середине июня), но так как целый ряд деталей к танкам в срок заводом изготовлены не были, а также вовремя не бы</w:t>
      </w:r>
      <w:r w:rsidRPr="00A3026E">
        <w:rPr>
          <w:rFonts w:ascii="Times New Roman" w:hAnsi="Times New Roman"/>
          <w:color w:val="000000" w:themeColor="text1"/>
          <w:sz w:val="16"/>
          <w:szCs w:val="16"/>
        </w:rPr>
        <w:softHyphen/>
        <w:t>ли получены от смежников или получены некачественны</w:t>
      </w:r>
      <w:r w:rsidRPr="00A3026E">
        <w:rPr>
          <w:rFonts w:ascii="Times New Roman" w:hAnsi="Times New Roman"/>
          <w:color w:val="000000" w:themeColor="text1"/>
          <w:sz w:val="16"/>
          <w:szCs w:val="16"/>
        </w:rPr>
        <w:softHyphen/>
        <w:t>ми, в сентябре и октябре завод не сдал ни одного танка (10782).</w:t>
      </w:r>
    </w:p>
    <w:p w14:paraId="2FD2A3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0C10D70" w14:textId="77777777" w:rsidR="007B54E4" w:rsidRPr="00A3026E" w:rsidRDefault="007B54E4" w:rsidP="00A3026E">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Осенью 1940 года на Т-34 поставили более мощное орудие, а с марта 1941 года Ф-34 стала ставиться на Т-34 серийно. Она была не только более совершенной, но и имела баллистику 76-мм дивизионной пушки УСВ. На дистанции в километр она могла пробить броню толщиной 61 мм, а с 500 метров — 69 мм (20272).</w:t>
      </w:r>
    </w:p>
    <w:p w14:paraId="392D850A" w14:textId="77777777" w:rsidR="007B54E4" w:rsidRPr="00A3026E" w:rsidRDefault="007B54E4" w:rsidP="00A3026E">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3ECFF4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осени 1940 на ХПЗ начали разработку Т-34М - практически новый танк с броней до 60 мм, увеличенным боекомплектом, дизелем В-2К 600 нр, размещенным поперек, 10-12 опорных катков + 6-8 поддерживающих (4404).</w:t>
      </w:r>
    </w:p>
    <w:p w14:paraId="4AF4F3A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23444A8" w14:textId="77777777" w:rsidR="001765CF" w:rsidRPr="00A3026E" w:rsidRDefault="001765C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Осенью 1940 года на Ижорском заводе обстреливали корпус и башню Pz.Kpfw.II Ausf.B. При стрельбе по правому борту из 37-мм пушки выяснилось, что немецкая броня хрупкая, при этом отмечалась высокая прочность сварных швов.</w:t>
      </w:r>
    </w:p>
    <w:p w14:paraId="1A3AA598" w14:textId="77777777" w:rsidR="001765CF" w:rsidRPr="00A3026E" w:rsidRDefault="001765C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Pz.Kpfw.III Ausf.G прибыл на Ижорский завод в сентябре 1940 года. Разумеется, никакого обстрела корпуса танка не проводилось, поскольку он имелся в одном-единственном экземпляре. Первым делом были проведены замеры листов, снята стружка с бортов и лобовой части, а также определена твердость по методу Польди. Далее специалисты провели химический анализ, из-за загрязнённости стружки содержание углерода в стали посчитали ориентировочным. Был сделан вывод, что броневые детали немецкого танка изготовлены из высокоуглеродистой стали. Твердость для такого типа брони посчитали нормальной.</w:t>
      </w:r>
    </w:p>
    <w:p w14:paraId="56EF7369" w14:textId="77777777" w:rsidR="001765CF" w:rsidRPr="00A3026E" w:rsidRDefault="001765C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Вопреки распространенной версии, толщину листов советские специалисты определили верно – 30 и 20 мм. Борта корпуса и башни изготавливались из гомогенной брони, а лобовая часть – из гетерогенной.</w:t>
      </w:r>
    </w:p>
    <w:p w14:paraId="3B2B7004" w14:textId="77777777" w:rsidR="001765CF" w:rsidRPr="00A3026E" w:rsidRDefault="001765C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дальнейшем из ГАБТУ КА было получено разрешение на изъятие одной из деталей для её изучения и обстрела. В качестве образца была взята крышка эвакуационного люка. Снятую деталь заменили на такую же, изготовленную Ижорским заводом. На Кировском заводе деталь разрезали пополам, одна половина осталась на заводе, вторую передали Ижорскому заводу. Выяснилось, что люк был изготовлен из высокоуглеродистой стали, значительно отличающейся от той, что использовалась на основных броневых деталях корпуса и башни.</w:t>
      </w:r>
    </w:p>
    <w:p w14:paraId="0C752060" w14:textId="77777777" w:rsidR="001765CF" w:rsidRPr="00A3026E" w:rsidRDefault="001765C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Для проверки стойкости брони было решено провести огневые испытания. Огонь велся тупоголовым бронебойным снарядом 53-БР-240 на дистанции, соответствующей пределу пробития листа толщиной 30 мм (скорость снаряда 533,8 м/с). Итоги испытаний оказались неожиданными: первое же попадание раскололо крышку люка на 8 частей. Далее был произведен обстрел из пулемета ДК калибра 12,7 мм. Выяснилось, что предельная дистанция, с которой лист не пробивался, составила 150 метров. Возникло подозрение, что столь неожиданные результаты стрельбы связаны с малыми размерами детали и термическим воздействием при разделке. Чтобы это подтвердить, на Ижорском заводе изготовили точно такую же деталь из советской броневой стали ФД 5634. Деталь точно так же сначала разрезали пополам, а затем произвели выстрел на пределе пробития (скорости снаряда 525,4 и 564,2 м/с). Пробития детали не произошло, на люке появились две вмятины. Проблема была явно не в размерах или термообработке.</w:t>
      </w:r>
    </w:p>
    <w:p w14:paraId="0467AAF7" w14:textId="77777777" w:rsidR="001765CF" w:rsidRPr="00A3026E" w:rsidRDefault="001765C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Ижорский завод данные испытания посчитал недостаточными, поскольку другие детали танка изготавливались из стали иного состава. Но на тот момент обстрел корпуса и башни не представлялся возможным (17700).</w:t>
      </w:r>
    </w:p>
    <w:p w14:paraId="18168007" w14:textId="77777777" w:rsidR="001765CF" w:rsidRPr="00A3026E" w:rsidRDefault="001765CF" w:rsidP="00A3026E">
      <w:pPr>
        <w:spacing w:after="0" w:line="240" w:lineRule="auto"/>
        <w:jc w:val="both"/>
        <w:rPr>
          <w:rFonts w:ascii="Times New Roman" w:eastAsia="Times New Roman" w:hAnsi="Times New Roman"/>
          <w:color w:val="000000" w:themeColor="text1"/>
          <w:sz w:val="16"/>
          <w:szCs w:val="16"/>
          <w:lang w:eastAsia="ru-RU"/>
        </w:rPr>
      </w:pPr>
    </w:p>
    <w:p w14:paraId="323A4C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ГАУ РККА выдвинуло ТТТ на самоходно-артиллерийские установки на шасси среднего танка:</w:t>
      </w:r>
    </w:p>
    <w:p w14:paraId="01887C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Средней противотанково-зенитной 85-мм пушки обр. 1939 г.</w:t>
      </w:r>
    </w:p>
    <w:p w14:paraId="6C1E84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Средней 106,7-мм пушки обр. 1910/30 гг.</w:t>
      </w:r>
    </w:p>
    <w:p w14:paraId="69BE24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Средней 122-мм гаубицы обр. 1938 г.</w:t>
      </w:r>
    </w:p>
    <w:p w14:paraId="3E8CEB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сожалению, в переписке АБТУ упоминаются только типы САУ «с цельнозабронированным корпусом и кормовым размещением артиллерии», но без указания каких бы то ни было подробностей. Работы по созданию этих машин долж</w:t>
      </w:r>
      <w:r w:rsidRPr="00A3026E">
        <w:rPr>
          <w:rFonts w:ascii="Times New Roman" w:hAnsi="Times New Roman"/>
          <w:color w:val="000000" w:themeColor="text1"/>
          <w:sz w:val="16"/>
          <w:szCs w:val="16"/>
        </w:rPr>
        <w:softHyphen/>
        <w:t>ны были начаться по готовности артиллерийской части, а до того КБ завода № 183 должно было выполнить эскизный проект гусеничного шасси по 111, согласованным с ГАУ (11417).</w:t>
      </w:r>
    </w:p>
    <w:p w14:paraId="3F23E8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F9DA4EB" w14:textId="77777777" w:rsidR="00240F17" w:rsidRPr="00A3026E" w:rsidRDefault="00240F1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года был на заводе № 75 в Харькове был разработан дизель В-5, который представлял собой форсированный до 700 л.с. за счет повышения частоты вращения и степени сжатия серийный вариант В-2К. Если учесть, что к началу 1941 года завод № 75 не гарантировал даже для серийного В-2К 100 часов работы в танке, то чего уж говорить о его форсированном варианте.</w:t>
      </w:r>
    </w:p>
    <w:p w14:paraId="3DCCA596" w14:textId="77777777" w:rsidR="00240F17" w:rsidRPr="00A3026E" w:rsidRDefault="00240F1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Более интересным по конструкции был спроектированный одновременно с В-5 вариант В-2СН, оборудованный системой наддува от приводного нагнетателя (последний заимствовали от авиамотора АМ-38). В результате, мощность удалось поднять до 850 л.с., однако надежность В-2СН на первых порах оставляла желать лучшего. Для доведения и В-5, и В-2СН до работоспособного состояния требовалось время (17434).</w:t>
      </w:r>
    </w:p>
    <w:p w14:paraId="6EF939A4" w14:textId="77777777" w:rsidR="00240F17" w:rsidRPr="00A3026E" w:rsidRDefault="00240F17" w:rsidP="00A3026E">
      <w:pPr>
        <w:spacing w:after="0" w:line="240" w:lineRule="auto"/>
        <w:jc w:val="both"/>
        <w:rPr>
          <w:rFonts w:ascii="Times New Roman" w:hAnsi="Times New Roman"/>
          <w:color w:val="000000" w:themeColor="text1"/>
          <w:sz w:val="16"/>
          <w:szCs w:val="16"/>
        </w:rPr>
      </w:pPr>
    </w:p>
    <w:p w14:paraId="6A2533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председатель Комитета Обороны К. Воро</w:t>
      </w:r>
      <w:r w:rsidRPr="00A3026E">
        <w:rPr>
          <w:rFonts w:ascii="Times New Roman" w:hAnsi="Times New Roman"/>
          <w:color w:val="000000" w:themeColor="text1"/>
          <w:sz w:val="16"/>
          <w:szCs w:val="16"/>
        </w:rPr>
        <w:softHyphen/>
        <w:t>шилов получил письмо от нового начальника АБТУ:</w:t>
      </w:r>
    </w:p>
    <w:p w14:paraId="303E36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«Изучение последних образцов иностранного танкострое</w:t>
      </w:r>
      <w:r w:rsidRPr="00A3026E">
        <w:rPr>
          <w:rFonts w:ascii="Times New Roman" w:hAnsi="Times New Roman"/>
          <w:color w:val="000000" w:themeColor="text1"/>
          <w:sz w:val="16"/>
          <w:szCs w:val="16"/>
        </w:rPr>
        <w:softHyphen/>
        <w:t>ния показывает, что наиболее удачным среди них является немецкий средний танк «Даймлер-Бенц-Т-ЗГ»... Он обладает наиболее удачным сочетанием подвижности и броневой защи</w:t>
      </w:r>
      <w:r w:rsidRPr="00A3026E">
        <w:rPr>
          <w:rFonts w:ascii="Times New Roman" w:hAnsi="Times New Roman"/>
          <w:color w:val="000000" w:themeColor="text1"/>
          <w:sz w:val="16"/>
          <w:szCs w:val="16"/>
        </w:rPr>
        <w:softHyphen/>
        <w:t>ты при небольшой боевой массе — ок. 20т... Это говорит, что указанный танк при сравнимой с Т-34 броневой защите, с бо</w:t>
      </w:r>
      <w:r w:rsidRPr="00A3026E">
        <w:rPr>
          <w:rFonts w:ascii="Times New Roman" w:hAnsi="Times New Roman"/>
          <w:color w:val="000000" w:themeColor="text1"/>
          <w:sz w:val="16"/>
          <w:szCs w:val="16"/>
        </w:rPr>
        <w:softHyphen/>
        <w:t>лее просторным боевым отделением, прекрасной подвижнос</w:t>
      </w:r>
      <w:r w:rsidRPr="00A3026E">
        <w:rPr>
          <w:rFonts w:ascii="Times New Roman" w:hAnsi="Times New Roman"/>
          <w:color w:val="000000" w:themeColor="text1"/>
          <w:sz w:val="16"/>
          <w:szCs w:val="16"/>
        </w:rPr>
        <w:softHyphen/>
        <w:t>тью, несомненно более дешевый, чем Т-34, и потому может выпускаться большой серией.</w:t>
      </w:r>
    </w:p>
    <w:p w14:paraId="5DC9DE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особому мнению тт. Гинзбург, Гаврута и Троянова, главным недостатком указанного типа танка является его вооружение т 37-мм пушки. Но согласно сент. с.г. разведобзо-ра, эти танки уже модернизируются путем усиления брони до 4^-52 мм и вооружения 47-мм или даже 55-мм пушкой...</w:t>
      </w:r>
    </w:p>
    <w:p w14:paraId="2464B2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что немецкая армия в лице указанного танка имеет сегодня наиболее удачное сочетание подвижности, ог</w:t>
      </w:r>
      <w:r w:rsidRPr="00A3026E">
        <w:rPr>
          <w:rFonts w:ascii="Times New Roman" w:hAnsi="Times New Roman"/>
          <w:color w:val="000000" w:themeColor="text1"/>
          <w:sz w:val="16"/>
          <w:szCs w:val="16"/>
        </w:rPr>
        <w:softHyphen/>
        <w:t>невой мощи и броневой защиты, подкрепленное хорошим обзо</w:t>
      </w:r>
      <w:r w:rsidRPr="00A3026E">
        <w:rPr>
          <w:rFonts w:ascii="Times New Roman" w:hAnsi="Times New Roman"/>
          <w:color w:val="000000" w:themeColor="text1"/>
          <w:sz w:val="16"/>
          <w:szCs w:val="16"/>
        </w:rPr>
        <w:softHyphen/>
        <w:t>ром с рабочих мест членов экипажа...</w:t>
      </w:r>
    </w:p>
    <w:p w14:paraId="46196B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не медля ни минуты продолжить работы по танку «126» с целью доведения всех его характеристик до уровня немецкой машины (или превосходящих ее), а также внести в конструкцию других наших новых танков наиболее удачные решения немецкого танка, как то:</w:t>
      </w:r>
    </w:p>
    <w:p w14:paraId="584574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конструкция эвакуационных люков;</w:t>
      </w:r>
    </w:p>
    <w:p w14:paraId="7B873E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схема охлаждения двигателя;</w:t>
      </w:r>
    </w:p>
    <w:p w14:paraId="0E698E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конструкция КПП;</w:t>
      </w:r>
    </w:p>
    <w:p w14:paraId="029566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схема питания с размещением двигателя и топливного бака за герметичной выгородкой от команды;</w:t>
      </w:r>
    </w:p>
    <w:p w14:paraId="389AD8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командирской наблюдательной башенки;</w:t>
      </w:r>
    </w:p>
    <w:p w14:paraId="27654C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размещение радиостанции в корпусе.</w:t>
      </w:r>
    </w:p>
    <w:p w14:paraId="744747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принять решение по проведению доработки конст</w:t>
      </w:r>
      <w:r w:rsidRPr="00A3026E">
        <w:rPr>
          <w:rFonts w:ascii="Times New Roman" w:hAnsi="Times New Roman"/>
          <w:color w:val="000000" w:themeColor="text1"/>
          <w:sz w:val="16"/>
          <w:szCs w:val="16"/>
        </w:rPr>
        <w:softHyphen/>
        <w:t>рукции новых танков в виду вновь открывшихся обстоя</w:t>
      </w:r>
      <w:r w:rsidRPr="00A3026E">
        <w:rPr>
          <w:rFonts w:ascii="Times New Roman" w:hAnsi="Times New Roman"/>
          <w:color w:val="000000" w:themeColor="text1"/>
          <w:sz w:val="16"/>
          <w:szCs w:val="16"/>
        </w:rPr>
        <w:softHyphen/>
        <w:t>тельств... Федоренко 13/1Х-40»</w:t>
      </w:r>
    </w:p>
    <w:p w14:paraId="6D8804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это определило некоторые корректировки курса, взятого в 1937-1938 гг. и подправленного в начале 1940 г. (10782).</w:t>
      </w:r>
    </w:p>
    <w:p w14:paraId="1624A2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9427776" w14:textId="77777777" w:rsidR="007B54E4" w:rsidRPr="00A3026E" w:rsidRDefault="007B54E4"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Осенью 1940 года Голтвянский и Макаров обращались в ГАБТУ КА по поводу своей машины, но безуспешно. Там проект раскритиковали, причем это происходило на фоне, скажем так, не особо убедительных испытаний опытных образцов СП-126. Машины эти оказались перетяжеленными и тесными, так что разработка на их базе Т-50 было вполне логичным решением. А вот Т-127 перспективным не выглядел, посему 8 октября 1940 года последовал отказ. Далее эта машина исчезла из переписки, но весной 1941 года Голтвянский и Макаров попытались возродить Т-127. Они предложили танк, именовавшийся как Т-45. Нет, к тому Т-45, который появился в 1942 году, данная машина вообще не имеет никакого отношения. Увы, никаких графических данных по данному проекту нет, но вырисовывается машина, похожая на помесь Т-127 и Т-50. Боевая масса снижалась до 12 тонн, использовался всё тот же дизель 744. В апреле 1941 года проект рассмотрели, но было дано однозначное "нет". На этом "облегченный СП" умер окончательно (20368).</w:t>
      </w:r>
    </w:p>
    <w:p w14:paraId="45EDBB8A" w14:textId="77777777" w:rsidR="007B54E4" w:rsidRPr="00A3026E" w:rsidRDefault="007B54E4" w:rsidP="00A3026E">
      <w:pPr>
        <w:pStyle w:val="article-renderblock"/>
        <w:shd w:val="clear" w:color="auto" w:fill="FFFFFF"/>
        <w:spacing w:before="0" w:beforeAutospacing="0" w:after="0" w:afterAutospacing="0"/>
        <w:jc w:val="both"/>
        <w:rPr>
          <w:color w:val="0070C0"/>
          <w:sz w:val="16"/>
          <w:szCs w:val="16"/>
        </w:rPr>
      </w:pPr>
    </w:p>
    <w:p w14:paraId="1671F853" w14:textId="77777777" w:rsidR="001765CF" w:rsidRPr="00A3026E" w:rsidRDefault="001765C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Осенью 1940 г. в ходе фронтовых учений, которыми руко</w:t>
      </w:r>
      <w:r w:rsidRPr="00A3026E">
        <w:rPr>
          <w:color w:val="000000" w:themeColor="text1"/>
          <w:sz w:val="16"/>
          <w:szCs w:val="16"/>
        </w:rPr>
        <w:softHyphen/>
        <w:t>водил первый заместитель начальника Генштаба Красной Армии генерал-лейтенант Н. Ф. Ватутин, согласно вводной в тыл 13 А ЗапОВО в районе г. Лиды на глубину до 80 км прорвался танковый корпус условного противника. У командующего 13А противотанковых сил в тылу оказалось недостаточ</w:t>
      </w:r>
      <w:r w:rsidRPr="00A3026E">
        <w:rPr>
          <w:color w:val="000000" w:themeColor="text1"/>
          <w:sz w:val="16"/>
          <w:szCs w:val="16"/>
        </w:rPr>
        <w:softHyphen/>
        <w:t>но, чтобы парализовать действия этих танков. Под</w:t>
      </w:r>
      <w:r w:rsidRPr="00A3026E">
        <w:rPr>
          <w:color w:val="000000" w:themeColor="text1"/>
          <w:sz w:val="16"/>
          <w:szCs w:val="16"/>
        </w:rPr>
        <w:softHyphen/>
        <w:t>счеты, что может дать в этом случае авиация, по</w:t>
      </w:r>
      <w:r w:rsidRPr="00A3026E">
        <w:rPr>
          <w:color w:val="000000" w:themeColor="text1"/>
          <w:sz w:val="16"/>
          <w:szCs w:val="16"/>
        </w:rPr>
        <w:softHyphen/>
        <w:t>казали: «2 истребительных полка с РС, 2 пушечных полка, 2 пикирующих полка» (около 360—370 само</w:t>
      </w:r>
      <w:r w:rsidRPr="00A3026E">
        <w:rPr>
          <w:color w:val="000000" w:themeColor="text1"/>
          <w:sz w:val="16"/>
          <w:szCs w:val="16"/>
        </w:rPr>
        <w:softHyphen/>
        <w:t>летов), брошенных на 500—600 танков, по самым оптимистичным подсчетам, могли вывести из строя не более 110 танков.</w:t>
      </w:r>
    </w:p>
    <w:p w14:paraId="2D505807" w14:textId="77777777" w:rsidR="001765CF" w:rsidRPr="00A3026E" w:rsidRDefault="001765C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Как оказалось, штатные авиационные сред</w:t>
      </w:r>
      <w:r w:rsidRPr="00A3026E">
        <w:rPr>
          <w:color w:val="000000" w:themeColor="text1"/>
          <w:sz w:val="16"/>
          <w:szCs w:val="16"/>
        </w:rPr>
        <w:softHyphen/>
        <w:t>ства поражения — фугасные (калибра 50—100 кг) и осколочные (калибра 10—25 кг) бомбы, ракетные осколочные снаряды калибра 82 и 132 мм и авиа</w:t>
      </w:r>
      <w:r w:rsidRPr="00A3026E">
        <w:rPr>
          <w:color w:val="000000" w:themeColor="text1"/>
          <w:sz w:val="16"/>
          <w:szCs w:val="16"/>
        </w:rPr>
        <w:softHyphen/>
        <w:t>ционные пушки ШВАК калибра 20 мм, были недо</w:t>
      </w:r>
      <w:r w:rsidRPr="00A3026E">
        <w:rPr>
          <w:color w:val="000000" w:themeColor="text1"/>
          <w:sz w:val="16"/>
          <w:szCs w:val="16"/>
        </w:rPr>
        <w:softHyphen/>
        <w:t>статочно эффективными при действии по танкам.</w:t>
      </w:r>
    </w:p>
    <w:p w14:paraId="7E4DD024" w14:textId="77777777" w:rsidR="001765CF" w:rsidRPr="00A3026E" w:rsidRDefault="001765C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 этому поводу заместитель генерал-инспек</w:t>
      </w:r>
      <w:r w:rsidRPr="00A3026E">
        <w:rPr>
          <w:color w:val="000000" w:themeColor="text1"/>
          <w:sz w:val="16"/>
          <w:szCs w:val="16"/>
        </w:rPr>
        <w:softHyphen/>
        <w:t>тора ВВС КА генерал-майор Т. Т. Хрюкин отмечал: «Почему получается такой плохой результат? Пото</w:t>
      </w:r>
      <w:r w:rsidRPr="00A3026E">
        <w:rPr>
          <w:color w:val="000000" w:themeColor="text1"/>
          <w:sz w:val="16"/>
          <w:szCs w:val="16"/>
        </w:rPr>
        <w:softHyphen/>
        <w:t>му что мы имеем на вооружении пушку 20 мм, она имеет очень маленький калибр и мало пробивает, если считать калибр снаряда на толщину брони. Поэтому самым эффективным средством для борь</w:t>
      </w:r>
      <w:r w:rsidRPr="00A3026E">
        <w:rPr>
          <w:color w:val="000000" w:themeColor="text1"/>
          <w:sz w:val="16"/>
          <w:szCs w:val="16"/>
        </w:rPr>
        <w:softHyphen/>
        <w:t>бы с танками противника, прорвавшимися в наш тыл, будут пушечные штурмовики и истребители, вооруженные пушкой в 37 мм. У нас есть такие лет</w:t>
      </w:r>
      <w:r w:rsidRPr="00A3026E">
        <w:rPr>
          <w:color w:val="000000" w:themeColor="text1"/>
          <w:sz w:val="16"/>
          <w:szCs w:val="16"/>
        </w:rPr>
        <w:softHyphen/>
        <w:t>чики, которые могут одну пулю зарядить в пулемет и эту пулю положат, куда им скажут. Поэтому каж</w:t>
      </w:r>
      <w:r w:rsidRPr="00A3026E">
        <w:rPr>
          <w:color w:val="000000" w:themeColor="text1"/>
          <w:sz w:val="16"/>
          <w:szCs w:val="16"/>
        </w:rPr>
        <w:softHyphen/>
        <w:t>дый снаряд сможет вывести танк из строя. Самым действенным противотанковым вооружением бу</w:t>
      </w:r>
      <w:r w:rsidRPr="00A3026E">
        <w:rPr>
          <w:color w:val="000000" w:themeColor="text1"/>
          <w:sz w:val="16"/>
          <w:szCs w:val="16"/>
        </w:rPr>
        <w:softHyphen/>
        <w:t>дет пушка на самолете» (17500).</w:t>
      </w:r>
    </w:p>
    <w:p w14:paraId="0A36FFD9" w14:textId="77777777" w:rsidR="001765CF" w:rsidRPr="00A3026E" w:rsidRDefault="001765CF" w:rsidP="00A3026E">
      <w:pPr>
        <w:spacing w:after="0" w:line="240" w:lineRule="auto"/>
        <w:jc w:val="both"/>
        <w:rPr>
          <w:rFonts w:ascii="Times New Roman" w:eastAsia="Times New Roman" w:hAnsi="Times New Roman"/>
          <w:color w:val="000000" w:themeColor="text1"/>
          <w:sz w:val="16"/>
          <w:szCs w:val="16"/>
          <w:lang w:eastAsia="ru-RU"/>
        </w:rPr>
      </w:pPr>
    </w:p>
    <w:p w14:paraId="7B01EA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года КБ-4 Ижорского завода под руковод</w:t>
      </w:r>
      <w:r w:rsidRPr="00A3026E">
        <w:rPr>
          <w:rFonts w:ascii="Times New Roman" w:hAnsi="Times New Roman"/>
          <w:color w:val="000000" w:themeColor="text1"/>
          <w:sz w:val="16"/>
          <w:szCs w:val="16"/>
        </w:rPr>
        <w:softHyphen/>
        <w:t>ством Ильичева разработало проект нового среднего броневого автомобиля, получившего индекс БА-13. Так как со</w:t>
      </w:r>
      <w:r w:rsidRPr="00A3026E">
        <w:rPr>
          <w:rFonts w:ascii="Times New Roman" w:hAnsi="Times New Roman"/>
          <w:color w:val="000000" w:themeColor="text1"/>
          <w:sz w:val="16"/>
          <w:szCs w:val="16"/>
        </w:rPr>
        <w:softHyphen/>
        <w:t>здание этой машины являлось инициативой КБ-4, никаких тактико-технических требований от АБТУ РККА не было, поэтому в качестве исходных данных конструкторы ис</w:t>
      </w:r>
      <w:r w:rsidRPr="00A3026E">
        <w:rPr>
          <w:rFonts w:ascii="Times New Roman" w:hAnsi="Times New Roman"/>
          <w:color w:val="000000" w:themeColor="text1"/>
          <w:sz w:val="16"/>
          <w:szCs w:val="16"/>
        </w:rPr>
        <w:softHyphen/>
        <w:t>пользовали материалы по конструкции и эксплуатации су</w:t>
      </w:r>
      <w:r w:rsidRPr="00A3026E">
        <w:rPr>
          <w:rFonts w:ascii="Times New Roman" w:hAnsi="Times New Roman"/>
          <w:color w:val="000000" w:themeColor="text1"/>
          <w:sz w:val="16"/>
          <w:szCs w:val="16"/>
        </w:rPr>
        <w:softHyphen/>
        <w:t>ществующих бронеавтомобилей, а также опыт советско-финляндской войны. В своей пояснительной записке, на</w:t>
      </w:r>
      <w:r w:rsidRPr="00A3026E">
        <w:rPr>
          <w:rFonts w:ascii="Times New Roman" w:hAnsi="Times New Roman"/>
          <w:color w:val="000000" w:themeColor="text1"/>
          <w:sz w:val="16"/>
          <w:szCs w:val="16"/>
        </w:rPr>
        <w:softHyphen/>
        <w:t>правленной в автобронетанковое управление, они писали: «Из средних бронеавтомобилей на вооружении Красной Армии состоят модели БА-6, БА-10, БА-10А, изготовлен</w:t>
      </w:r>
      <w:r w:rsidRPr="00A3026E">
        <w:rPr>
          <w:rFonts w:ascii="Times New Roman" w:hAnsi="Times New Roman"/>
          <w:color w:val="000000" w:themeColor="text1"/>
          <w:sz w:val="16"/>
          <w:szCs w:val="16"/>
        </w:rPr>
        <w:softHyphen/>
        <w:t>ные на шасси «ГАЗ-ААА». В ближайшее время в армию по</w:t>
      </w:r>
      <w:r w:rsidRPr="00A3026E">
        <w:rPr>
          <w:rFonts w:ascii="Times New Roman" w:hAnsi="Times New Roman"/>
          <w:color w:val="000000" w:themeColor="text1"/>
          <w:sz w:val="16"/>
          <w:szCs w:val="16"/>
        </w:rPr>
        <w:softHyphen/>
        <w:t>ступит новая модель БА-11 тяжелого типа. По количеству боеприпасов и бронезащите лучшим из них является БА-11. Тяговые качества БА-11 несколько выше, чем у БА-6 и БА-10, но он значительно уступает современным загра</w:t>
      </w:r>
      <w:r w:rsidRPr="00A3026E">
        <w:rPr>
          <w:rFonts w:ascii="Times New Roman" w:hAnsi="Times New Roman"/>
          <w:color w:val="000000" w:themeColor="text1"/>
          <w:sz w:val="16"/>
          <w:szCs w:val="16"/>
        </w:rPr>
        <w:softHyphen/>
        <w:t>ничным образцам. Большим недостатком бронеавтомоби</w:t>
      </w:r>
      <w:r w:rsidRPr="00A3026E">
        <w:rPr>
          <w:rFonts w:ascii="Times New Roman" w:hAnsi="Times New Roman"/>
          <w:color w:val="000000" w:themeColor="text1"/>
          <w:sz w:val="16"/>
          <w:szCs w:val="16"/>
        </w:rPr>
        <w:softHyphen/>
        <w:t>лей, состоящим на вооружении Красной Армии, является привод не на все колеса. Все это побудило КБ-4 Ижорского завода по собственной инициативе разработать проект но</w:t>
      </w:r>
      <w:r w:rsidRPr="00A3026E">
        <w:rPr>
          <w:rFonts w:ascii="Times New Roman" w:hAnsi="Times New Roman"/>
          <w:color w:val="000000" w:themeColor="text1"/>
          <w:sz w:val="16"/>
          <w:szCs w:val="16"/>
        </w:rPr>
        <w:softHyphen/>
        <w:t>вой, 13-й модели тяжелого бронеавтомобиля».</w:t>
      </w:r>
    </w:p>
    <w:p w14:paraId="13919C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качестве базы для новой боевой машины предполага</w:t>
      </w:r>
      <w:r w:rsidRPr="00A3026E">
        <w:rPr>
          <w:rFonts w:ascii="Times New Roman" w:hAnsi="Times New Roman"/>
          <w:color w:val="000000" w:themeColor="text1"/>
          <w:sz w:val="16"/>
          <w:szCs w:val="16"/>
        </w:rPr>
        <w:softHyphen/>
        <w:t>лось использовать полноприводное (6x6) шасси ГАЗ-34, ко</w:t>
      </w:r>
      <w:r w:rsidRPr="00A3026E">
        <w:rPr>
          <w:rFonts w:ascii="Times New Roman" w:hAnsi="Times New Roman"/>
          <w:color w:val="000000" w:themeColor="text1"/>
          <w:sz w:val="16"/>
          <w:szCs w:val="16"/>
        </w:rPr>
        <w:softHyphen/>
        <w:t>торое в это время проходило испытания на Горьковском ав</w:t>
      </w:r>
      <w:r w:rsidRPr="00A3026E">
        <w:rPr>
          <w:rFonts w:ascii="Times New Roman" w:hAnsi="Times New Roman"/>
          <w:color w:val="000000" w:themeColor="text1"/>
          <w:sz w:val="16"/>
          <w:szCs w:val="16"/>
        </w:rPr>
        <w:softHyphen/>
        <w:t>тозаводе. Бронекорпус состоял из прямых 6—15-мм броне-листов, башня использовалась от БА-11. Однако проект, рассмотренный в АБТУ РККА, одобрения военных не по</w:t>
      </w:r>
      <w:r w:rsidRPr="00A3026E">
        <w:rPr>
          <w:rFonts w:ascii="Times New Roman" w:hAnsi="Times New Roman"/>
          <w:color w:val="000000" w:themeColor="text1"/>
          <w:sz w:val="16"/>
          <w:szCs w:val="16"/>
        </w:rPr>
        <w:softHyphen/>
        <w:t>лучил:</w:t>
      </w:r>
    </w:p>
    <w:p w14:paraId="544072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Машина будет обладать пониженными тяговыми качествами.</w:t>
      </w:r>
    </w:p>
    <w:p w14:paraId="477EE5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Шасси ГАЗ-34 не рассчитано под нагрузку с общим весом 9 т.</w:t>
      </w:r>
    </w:p>
    <w:p w14:paraId="6A2D96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 всем качествам, за исключением толщины бро</w:t>
      </w:r>
      <w:r w:rsidRPr="00A3026E">
        <w:rPr>
          <w:rFonts w:ascii="Times New Roman" w:hAnsi="Times New Roman"/>
          <w:color w:val="000000" w:themeColor="text1"/>
          <w:sz w:val="16"/>
          <w:szCs w:val="16"/>
        </w:rPr>
        <w:softHyphen/>
        <w:t>ни, БА-13 значительно ниже БА-11.</w:t>
      </w:r>
    </w:p>
    <w:p w14:paraId="71E9F2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Заслуживает внимания компоновка корпуса из прямых не штампованных листов. Поэтому необходимо эскизно проработать вопрос о создании бронеавтомобиля с корпусом предложенной конструкции, используя новое шасси ЗИС со всеми ведущими колесами» (11284).</w:t>
      </w:r>
    </w:p>
    <w:p w14:paraId="370771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7A975A2" w14:textId="77777777" w:rsidR="007B54E4" w:rsidRPr="00A3026E" w:rsidRDefault="007B54E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shd w:val="clear" w:color="auto" w:fill="FFFFFF"/>
        </w:rPr>
        <w:t>Осенью 1940 года было построено два образцы ЗИС-36, причем каждый из них, подобно ЗИС-32, оказался в чем-то уникален. Поскольку выявилась недостаточная мощность мотора, было решено ставить автобусный мотор ЗИС-16, мощность которого выросла до 83 лошадиных сил. Впрочем, и этот мотор считался недостаточно мощным (ГАБТУ КА в этом плане как в воду глядело). Посему ожидался образец ЗИС-36 с дизельным мотором Д-7 мощностью 96 лошадиных сил. Помимо более высокой мощности, этот двигатель отличался большей экономичностью, да и с тяговитостью у него дела обстояли получше.  (20792).</w:t>
      </w:r>
    </w:p>
    <w:p w14:paraId="1B12B94C" w14:textId="77777777" w:rsidR="007B54E4" w:rsidRPr="00A3026E" w:rsidRDefault="007B54E4" w:rsidP="00A3026E">
      <w:pPr>
        <w:spacing w:after="0" w:line="240" w:lineRule="auto"/>
        <w:jc w:val="both"/>
        <w:rPr>
          <w:rFonts w:ascii="Times New Roman" w:hAnsi="Times New Roman"/>
          <w:color w:val="0070C0"/>
          <w:sz w:val="16"/>
          <w:szCs w:val="16"/>
        </w:rPr>
      </w:pPr>
    </w:p>
    <w:p w14:paraId="385B4C3C" w14:textId="77777777" w:rsidR="007B54E4" w:rsidRPr="00A3026E" w:rsidRDefault="007B54E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Осенью 1940 года в НАТИ доставили двухмоторный четырехместный Tempo с колесной формулой 4х4. Директор института И.Ф. Толкунов поручил испытания новинки молодому и весьма перспективному конструктору Александру Федоровичу Андронову, так как он слыл не только хорошим инженером, но и непревзойденным водителем.</w:t>
      </w:r>
    </w:p>
    <w:p w14:paraId="21887968" w14:textId="77777777" w:rsidR="007B54E4" w:rsidRPr="00A3026E" w:rsidRDefault="007B54E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Вот как Андронов описывал полученный для испытаний автомобиль: «Это была машина с простеньким открытым четырехдверным закамуфлированным кузовом и складным мягким верхом. Оригинальность заключалась в том, что она имела трубчатую раму, на концах которой монтировались два силовых агрегата (мотор, сцепление, коробка передач, главная передача). Двигатели — двухцилиндровые двухтактные фирмы Ilo по 16 л.с. каждый.</w:t>
      </w:r>
    </w:p>
    <w:p w14:paraId="0BA65BEF" w14:textId="77777777" w:rsidR="007B54E4" w:rsidRPr="00A3026E" w:rsidRDefault="007B54E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Германии для гражданских надобностей и главным образом для нужд мелкой торговли выпускали маленькие трехколесные грузовички Tempo с мотором Ilo. Немецкие специалисты, имея задание всю техническую продукцию подчинять требованиям армии, разработали на базе этого грузовичка двухмоторную машину с суммарной мощностью двигателей в 23,6 кВт (32 л.с.) и, естественно, получившимся приводом на все четыре колеса. Автомобиль по желанию водителя мог работать на одном или двух моторах. Германские конструкторы считали, что это увеличивало его «живучесть» в боевых условиях» (21329).</w:t>
      </w:r>
    </w:p>
    <w:p w14:paraId="08218870" w14:textId="77777777" w:rsidR="007B54E4" w:rsidRPr="00A3026E" w:rsidRDefault="007B54E4" w:rsidP="00A3026E">
      <w:pPr>
        <w:spacing w:after="0" w:line="240" w:lineRule="auto"/>
        <w:jc w:val="both"/>
        <w:rPr>
          <w:rFonts w:ascii="Times New Roman" w:hAnsi="Times New Roman"/>
          <w:color w:val="0070C0"/>
          <w:sz w:val="16"/>
          <w:szCs w:val="16"/>
        </w:rPr>
      </w:pPr>
    </w:p>
    <w:p w14:paraId="338EDE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по окончании испытаний немец</w:t>
      </w:r>
      <w:r w:rsidRPr="00A3026E">
        <w:rPr>
          <w:rFonts w:ascii="Times New Roman" w:hAnsi="Times New Roman"/>
          <w:color w:val="000000" w:themeColor="text1"/>
          <w:sz w:val="16"/>
          <w:szCs w:val="16"/>
        </w:rPr>
        <w:softHyphen/>
        <w:t>кого танка PzKpfw III и объявленного формирования в РККА 30 мехкорпусов, в отношении легкого танка в АБТУ родилось следующее предложение:</w:t>
      </w:r>
    </w:p>
    <w:p w14:paraId="0AEAD8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оснащения механизированных соединений, равно как и танковых батальонов пехотных дивизий, иметь один тип танка — Т-126, или иной аналогичный, хорошо защищенный от огня 37'-мм пушки на всех дистанциях, по подвижности не уступающий танку БТна гусеничном ходу...</w:t>
      </w:r>
    </w:p>
    <w:p w14:paraId="6E6F06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Заводу №174 осуществить доработку указанного танка согласно уточненным требованиям АБТУ и предъявить его не позднее 10/111-41 г.» (10782).</w:t>
      </w:r>
    </w:p>
    <w:p w14:paraId="346B44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227AF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первые образцы инфракрасных приборов для танкистов завода № 211 были испытаны, но не дали положительных результатов. Заводу №211 было предложено дора</w:t>
      </w:r>
      <w:r w:rsidRPr="00A3026E">
        <w:rPr>
          <w:rFonts w:ascii="Times New Roman" w:hAnsi="Times New Roman"/>
          <w:color w:val="000000" w:themeColor="text1"/>
          <w:sz w:val="16"/>
          <w:szCs w:val="16"/>
        </w:rPr>
        <w:softHyphen/>
        <w:t>ботать эти приборы, добиваясь более четкого видения и на большие дистанции. В августе 1940 г. Государственному оптическому институту (ГОИ) ГБТУ КА предложено изго</w:t>
      </w:r>
      <w:r w:rsidRPr="00A3026E">
        <w:rPr>
          <w:rFonts w:ascii="Times New Roman" w:hAnsi="Times New Roman"/>
          <w:color w:val="000000" w:themeColor="text1"/>
          <w:sz w:val="16"/>
          <w:szCs w:val="16"/>
        </w:rPr>
        <w:softHyphen/>
        <w:t>товить совместно с заводом № 211 прицел для ночной стрельбы из танка. В связи с эвакуацией предприятия г. Ленинграда в 1941 г. все работы по инфракрасной техни</w:t>
      </w:r>
      <w:r w:rsidRPr="00A3026E">
        <w:rPr>
          <w:rFonts w:ascii="Times New Roman" w:hAnsi="Times New Roman"/>
          <w:color w:val="000000" w:themeColor="text1"/>
          <w:sz w:val="16"/>
          <w:szCs w:val="16"/>
        </w:rPr>
        <w:softHyphen/>
        <w:t>ке были прерваны (11420).</w:t>
      </w:r>
    </w:p>
    <w:p w14:paraId="17908BB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F4DAE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наши специалисты познакомились с «немецким разведывательным бронеавтомобилем наземно-зенитной стрельбы» (видимо, имеется в виду SdKfz 222). Осо</w:t>
      </w:r>
      <w:r w:rsidRPr="00A3026E">
        <w:rPr>
          <w:rFonts w:ascii="Times New Roman" w:hAnsi="Times New Roman"/>
          <w:color w:val="000000" w:themeColor="text1"/>
          <w:sz w:val="16"/>
          <w:szCs w:val="16"/>
        </w:rPr>
        <w:softHyphen/>
        <w:t>бое внимание в бронеавтомобиле вызвала конструкция от</w:t>
      </w:r>
      <w:r w:rsidRPr="00A3026E">
        <w:rPr>
          <w:rFonts w:ascii="Times New Roman" w:hAnsi="Times New Roman"/>
          <w:color w:val="000000" w:themeColor="text1"/>
          <w:sz w:val="16"/>
          <w:szCs w:val="16"/>
        </w:rPr>
        <w:softHyphen/>
        <w:t>крытой сверху башни. Видимо, после этого исполнение проекта зенитных танков на базе Т-126 и Т-34 было сдвину</w:t>
      </w:r>
      <w:r w:rsidRPr="00A3026E">
        <w:rPr>
          <w:rFonts w:ascii="Times New Roman" w:hAnsi="Times New Roman"/>
          <w:color w:val="000000" w:themeColor="text1"/>
          <w:sz w:val="16"/>
          <w:szCs w:val="16"/>
        </w:rPr>
        <w:softHyphen/>
        <w:t>то на II квартал 1941 г., а в апреле 1941 г. появилось также за</w:t>
      </w:r>
      <w:r w:rsidRPr="00A3026E">
        <w:rPr>
          <w:rFonts w:ascii="Times New Roman" w:hAnsi="Times New Roman"/>
          <w:color w:val="000000" w:themeColor="text1"/>
          <w:sz w:val="16"/>
          <w:szCs w:val="16"/>
        </w:rPr>
        <w:softHyphen/>
        <w:t>дание о создании совместно с ОКБ-37 во И-П1 квартале 1941 г. зенитного танка на базе «неплавающего варианта Т-40», вооруженного спаренной установкой 12,7-мм пулеме</w:t>
      </w:r>
      <w:r w:rsidRPr="00A3026E">
        <w:rPr>
          <w:rFonts w:ascii="Times New Roman" w:hAnsi="Times New Roman"/>
          <w:color w:val="000000" w:themeColor="text1"/>
          <w:sz w:val="16"/>
          <w:szCs w:val="16"/>
        </w:rPr>
        <w:softHyphen/>
        <w:t>тов ДК-М (возможно, имеется в виду пулемет ДШК-41) (10782).</w:t>
      </w:r>
    </w:p>
    <w:p w14:paraId="023D593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694BB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года на один серийный БА-11 установили дизельный двигатель ЗИС Д-7 мощностью 97,5 л.с., при этом масса броневика возросла до 8650 кг (11284).</w:t>
      </w:r>
    </w:p>
    <w:p w14:paraId="12E3FE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FA49C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Осенью 1940 года был построен вариант С-2 с индивидуальной торсионной подвеской шести металлических (резина бандажей быстро разрушалась) опорных катков при жестких рамах тележек и увеличенной опорной базе (конструкторы В.И.Дурановский и Н.Ф.Корпачев). Машина ходила гораздо мягче, меньше раскачивалась, снизились ее масса (на 800 кг) и трудоемкость изготовления. Однако серийно осваивать новую подвеску уже не решились. </w:t>
      </w:r>
    </w:p>
    <w:p w14:paraId="7907DC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Мелкозвенчатая (шаг трака— 170 мм) облегченная гусеница, отлитая из стали Гатфильда, была аналогична по типу тракам гусениц тягачей «Коминтерн» и «Ворошиловец», но имела более высокие грунтозацепы. Может быть, поэтому она часто спадала, особенно при резком маневрировании на пересеченной местности. </w:t>
      </w:r>
    </w:p>
    <w:p w14:paraId="3DA3D9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двигателем и коробкой передач, под платформой, располагалась лебедка конструкции ЧТЗ с тяговым усилием 10 000 кгс, с выдачей через направляющую скобу назад 30-метрового троса диаметром 20 мм. Привод лебедки — от нижнего ведомого вала коробки передач через червячный и цилиндрический с внутренним зацеплением редукторы. Работала лебедка при выключенных бортовых фрикционах. Кабину, заимствованную от автомобиля ЗИС-5, расширили и дооборудовали. За ней размещались три топливных бака общей емкостью 222 л (на 15 ч работы). Грузовая платформа площадью 5,05 мг с двумя откидными сиденьями по бортам могла закрываться тентом (11639).</w:t>
      </w:r>
    </w:p>
    <w:p w14:paraId="51EED2E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21D6B10"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Осенью 1940 года на ЗИС было изготовлено шасси ЗИС-36 (6х6) с шестеренчатыми задними мостами и отправлено для бронирования в Ижору; но появлению нового, более совершенного бронеавтомобиля помешала война. Она же показала, что колесные бронемашины могут развиваться только на базе полноприводных шасси (9645).</w:t>
      </w:r>
    </w:p>
    <w:p w14:paraId="4DA136C7" w14:textId="77777777" w:rsidR="00C66762" w:rsidRPr="00A3026E" w:rsidRDefault="00C66762" w:rsidP="00A3026E">
      <w:pPr>
        <w:pStyle w:val="a8"/>
        <w:widowControl/>
        <w:jc w:val="both"/>
        <w:rPr>
          <w:rFonts w:ascii="Times New Roman" w:hAnsi="Times New Roman" w:cs="Times New Roman"/>
          <w:color w:val="000000" w:themeColor="text1"/>
        </w:rPr>
      </w:pPr>
    </w:p>
    <w:p w14:paraId="3CBF54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осени 1940 г. Главмотовелопрому предстояло осваивать серийный выпуск М-72, а также массовое производство Л-8 на СМЗ и ИЖ-12 на ИжМЗ. В связи с этим приказом № 15 Главмотовелопрома от 4 сентября 1940 г. упразднили Центральное кон-структорско-экспериментальное бюро при МВЗ, в системе Главка организовали ЦКБМ на территории мотозавода «Искра» [4.206], но позже его перевели на производственные площади ММЗ [4.207]. В процессе реорганизации наркоматов в начале 1941 г., Главмотовелопром вместе с подведомственными ему заводами из НКОМ перевели в НКСМ [4.208] и на некоторых из них ор</w:t>
      </w:r>
      <w:r w:rsidRPr="00A3026E">
        <w:rPr>
          <w:rFonts w:ascii="Times New Roman" w:hAnsi="Times New Roman"/>
          <w:color w:val="000000" w:themeColor="text1"/>
          <w:sz w:val="16"/>
          <w:szCs w:val="16"/>
        </w:rPr>
        <w:softHyphen/>
        <w:t>ганизовали специальные КБ (СКВ) в соответствии с приказом № 104/190 от 11 марта 1941 г.: на ММЗ - Ведущее конструктор-ско-технологическое бюро (ВКТБ) по М-72, на ЗИС - КБ по от</w:t>
      </w:r>
      <w:r w:rsidRPr="00A3026E">
        <w:rPr>
          <w:rFonts w:ascii="Times New Roman" w:hAnsi="Times New Roman"/>
          <w:color w:val="000000" w:themeColor="text1"/>
          <w:sz w:val="16"/>
          <w:szCs w:val="16"/>
        </w:rPr>
        <w:softHyphen/>
        <w:t xml:space="preserve">ладке производства двигателей для этого же мотоцикла, на ИжМЗ - ВКТБ по ИЖ-12 [4.187]. Для форсирования выпуска мотоциклов изменили загрузки заводов </w:t>
      </w:r>
      <w:r w:rsidRPr="00A3026E">
        <w:rPr>
          <w:rFonts w:ascii="Times New Roman" w:hAnsi="Times New Roman"/>
          <w:color w:val="000000" w:themeColor="text1"/>
          <w:sz w:val="16"/>
          <w:szCs w:val="16"/>
        </w:rPr>
        <w:lastRenderedPageBreak/>
        <w:t>Главмотовелопрома. Так, на СМЗ свернули выпуск МЛ-3 и, в соответствии с приказом № 116 от 10 мая 1941 г., докумен</w:t>
      </w:r>
      <w:r w:rsidRPr="00A3026E">
        <w:rPr>
          <w:rFonts w:ascii="Times New Roman" w:hAnsi="Times New Roman"/>
          <w:color w:val="000000" w:themeColor="text1"/>
          <w:sz w:val="16"/>
          <w:szCs w:val="16"/>
        </w:rPr>
        <w:softHyphen/>
        <w:t>тацию и «незавершенку» по нему передали на завод «Искра» [4.209]. С этим не согласился нарком НКСМ В.А. Малышев, считавший целесообразным сохранить производство МЛ-3. как соответствовавшего лучшим зарубежным моделям «Феномен-Сакс» и «Арди». Он предлагал председателю СНК В.М. Моло-тову в системе НКСМ восстановить выпуск МЛ-3 на другом заводе мощностью 15-20 тыс. мотоциклов в год [4.210]. Однако в соответствии с приказом № 362 от 8 мая 1941 г. на СМЗ вме</w:t>
      </w:r>
      <w:r w:rsidRPr="00A3026E">
        <w:rPr>
          <w:rFonts w:ascii="Times New Roman" w:hAnsi="Times New Roman"/>
          <w:color w:val="000000" w:themeColor="text1"/>
          <w:sz w:val="16"/>
          <w:szCs w:val="16"/>
        </w:rPr>
        <w:softHyphen/>
        <w:t>сто МЛ-3 планировали выпускать мотоцикл Л-8 [4.211], прика</w:t>
      </w:r>
      <w:r w:rsidRPr="00A3026E">
        <w:rPr>
          <w:rFonts w:ascii="Times New Roman" w:hAnsi="Times New Roman"/>
          <w:color w:val="000000" w:themeColor="text1"/>
          <w:sz w:val="16"/>
          <w:szCs w:val="16"/>
        </w:rPr>
        <w:softHyphen/>
        <w:t>зом НКСМ № 414 от 31 мая 1941 г. директору ЛМЗ предписыва</w:t>
      </w:r>
      <w:r w:rsidRPr="00A3026E">
        <w:rPr>
          <w:rFonts w:ascii="Times New Roman" w:hAnsi="Times New Roman"/>
          <w:color w:val="000000" w:themeColor="text1"/>
          <w:sz w:val="16"/>
          <w:szCs w:val="16"/>
        </w:rPr>
        <w:softHyphen/>
        <w:t>ли свернуть производство Л-8, на время освоения которого ко</w:t>
      </w:r>
      <w:r w:rsidRPr="00A3026E">
        <w:rPr>
          <w:rFonts w:ascii="Times New Roman" w:hAnsi="Times New Roman"/>
          <w:color w:val="000000" w:themeColor="text1"/>
          <w:sz w:val="16"/>
          <w:szCs w:val="16"/>
        </w:rPr>
        <w:softHyphen/>
        <w:t>мандировать на СМЗ квалифицированных специалистов, неза</w:t>
      </w:r>
      <w:r w:rsidRPr="00A3026E">
        <w:rPr>
          <w:rFonts w:ascii="Times New Roman" w:hAnsi="Times New Roman"/>
          <w:color w:val="000000" w:themeColor="text1"/>
          <w:sz w:val="16"/>
          <w:szCs w:val="16"/>
        </w:rPr>
        <w:softHyphen/>
        <w:t>вершенку передать на СМЗ, обеспечить выпуск М-72 с июня 1941 года. [4.212]. Раньше приказом НКСМ № 104/190 от 11 марта 1941 г. требовали свернуть на ЛМЗ производство Л-8, а доку</w:t>
      </w:r>
      <w:r w:rsidRPr="00A3026E">
        <w:rPr>
          <w:rFonts w:ascii="Times New Roman" w:hAnsi="Times New Roman"/>
          <w:color w:val="000000" w:themeColor="text1"/>
          <w:sz w:val="16"/>
          <w:szCs w:val="16"/>
        </w:rPr>
        <w:softHyphen/>
        <w:t>ментацию передать на ИжМЗ для выпуска этого мотоцикла вместо ИЖ-9 [4.213].</w:t>
      </w:r>
    </w:p>
    <w:p w14:paraId="132119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 М-72 планировали организовать на ММЗ, ЛМЗ и ХМЗ (см. гл. 4.10), а для улучшения поставок двигателей прика</w:t>
      </w:r>
      <w:r w:rsidRPr="00A3026E">
        <w:rPr>
          <w:rFonts w:ascii="Times New Roman" w:hAnsi="Times New Roman"/>
          <w:color w:val="000000" w:themeColor="text1"/>
          <w:sz w:val="16"/>
          <w:szCs w:val="16"/>
        </w:rPr>
        <w:softHyphen/>
        <w:t>зом № 142 по Главмотовелопрому от 30 мая 1941 г. директору МЗММ рекомендовали станочный парк инструментального цеха перевести на трёхсменную работу [4.214]. Приказом № 302 НКСМ от 16 апреля 1941 г. руководству Главмотовелопрома ре</w:t>
      </w:r>
      <w:r w:rsidRPr="00A3026E">
        <w:rPr>
          <w:rFonts w:ascii="Times New Roman" w:hAnsi="Times New Roman"/>
          <w:color w:val="000000" w:themeColor="text1"/>
          <w:sz w:val="16"/>
          <w:szCs w:val="16"/>
        </w:rPr>
        <w:softHyphen/>
        <w:t>комендовали организовать на МЗММ специальную группу конст</w:t>
      </w:r>
      <w:r w:rsidRPr="00A3026E">
        <w:rPr>
          <w:rFonts w:ascii="Times New Roman" w:hAnsi="Times New Roman"/>
          <w:color w:val="000000" w:themeColor="text1"/>
          <w:sz w:val="16"/>
          <w:szCs w:val="16"/>
        </w:rPr>
        <w:softHyphen/>
        <w:t>рукторов по двигателю мотоцикла М-72 [4.215]. Директора КЗММ И.И. Максимова приказом № 229 НКСМ от 25 марта 1941 г. обязали сдать на ХМЗ 100 двигателей к мотоциклу М-72 [4.189]. Руководство НКСМ было уверено в освоении выпуска этой продукции, поэтому приказом № 217 НКСМ от 21 марта 1941 г. потребовало организовать выпуск мотоколясок для М-72 на ГАЗе и поставить на ММЗ, ЛВЗ и ХВЗ в 1941 г. 32 тыс. экзем</w:t>
      </w:r>
      <w:r w:rsidRPr="00A3026E">
        <w:rPr>
          <w:rFonts w:ascii="Times New Roman" w:hAnsi="Times New Roman"/>
          <w:color w:val="000000" w:themeColor="text1"/>
          <w:sz w:val="16"/>
          <w:szCs w:val="16"/>
        </w:rPr>
        <w:softHyphen/>
        <w:t>пляров [4.216] по графику (табл. 9).</w:t>
      </w:r>
    </w:p>
    <w:p w14:paraId="77E72E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9</w:t>
      </w:r>
    </w:p>
    <w:p w14:paraId="7AE26A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поставок колясок на мотозаводы, 1941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10"/>
        <w:gridCol w:w="1210"/>
        <w:gridCol w:w="1200"/>
        <w:gridCol w:w="1200"/>
        <w:gridCol w:w="1200"/>
      </w:tblGrid>
      <w:tr w:rsidR="00983732" w:rsidRPr="00A3026E" w14:paraId="08D06715" w14:textId="77777777" w:rsidTr="00EA0DA7">
        <w:trPr>
          <w:trHeight w:val="374"/>
        </w:trPr>
        <w:tc>
          <w:tcPr>
            <w:tcW w:w="1210" w:type="dxa"/>
            <w:tcBorders>
              <w:top w:val="single" w:sz="12" w:space="0" w:color="auto"/>
            </w:tcBorders>
          </w:tcPr>
          <w:p w14:paraId="5B2A21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Месяц</w:t>
            </w:r>
          </w:p>
        </w:tc>
        <w:tc>
          <w:tcPr>
            <w:tcW w:w="1210" w:type="dxa"/>
            <w:tcBorders>
              <w:top w:val="single" w:sz="12" w:space="0" w:color="auto"/>
            </w:tcBorders>
          </w:tcPr>
          <w:p w14:paraId="7A5648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ММЗ</w:t>
            </w:r>
          </w:p>
          <w:p w14:paraId="5B1E05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29B6B8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ХМЗ</w:t>
            </w:r>
          </w:p>
          <w:p w14:paraId="61CECC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559670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ЛМЗ</w:t>
            </w:r>
          </w:p>
        </w:tc>
        <w:tc>
          <w:tcPr>
            <w:tcW w:w="1200" w:type="dxa"/>
            <w:tcBorders>
              <w:top w:val="single" w:sz="12" w:space="0" w:color="auto"/>
            </w:tcBorders>
          </w:tcPr>
          <w:p w14:paraId="076A01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r>
      <w:tr w:rsidR="00983732" w:rsidRPr="00A3026E" w14:paraId="34CEF58B" w14:textId="77777777" w:rsidTr="00EA0DA7">
        <w:trPr>
          <w:trHeight w:val="365"/>
        </w:trPr>
        <w:tc>
          <w:tcPr>
            <w:tcW w:w="1210" w:type="dxa"/>
          </w:tcPr>
          <w:p w14:paraId="3E0F3A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Июнь</w:t>
            </w:r>
          </w:p>
        </w:tc>
        <w:tc>
          <w:tcPr>
            <w:tcW w:w="1210" w:type="dxa"/>
          </w:tcPr>
          <w:p w14:paraId="6941C2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p w14:paraId="1AC299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367B3D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w:t>
            </w:r>
          </w:p>
          <w:p w14:paraId="31053F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31541F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200" w:type="dxa"/>
          </w:tcPr>
          <w:p w14:paraId="0338CA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r>
      <w:tr w:rsidR="00983732" w:rsidRPr="00A3026E" w14:paraId="5004C4B0" w14:textId="77777777" w:rsidTr="00EA0DA7">
        <w:trPr>
          <w:trHeight w:val="365"/>
        </w:trPr>
        <w:tc>
          <w:tcPr>
            <w:tcW w:w="1210" w:type="dxa"/>
          </w:tcPr>
          <w:p w14:paraId="02AE95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Июль</w:t>
            </w:r>
          </w:p>
        </w:tc>
        <w:tc>
          <w:tcPr>
            <w:tcW w:w="1210" w:type="dxa"/>
          </w:tcPr>
          <w:p w14:paraId="7EA9AB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p w14:paraId="4E2679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350CD5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p w14:paraId="487176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43CE87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w:t>
            </w:r>
          </w:p>
        </w:tc>
        <w:tc>
          <w:tcPr>
            <w:tcW w:w="1200" w:type="dxa"/>
          </w:tcPr>
          <w:p w14:paraId="65357C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4825</w:t>
            </w:r>
          </w:p>
        </w:tc>
      </w:tr>
      <w:tr w:rsidR="00983732" w:rsidRPr="00A3026E" w14:paraId="07C750FA" w14:textId="77777777" w:rsidTr="00EA0DA7">
        <w:trPr>
          <w:trHeight w:val="230"/>
        </w:trPr>
        <w:tc>
          <w:tcPr>
            <w:tcW w:w="1210" w:type="dxa"/>
          </w:tcPr>
          <w:p w14:paraId="61FA84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Август</w:t>
            </w:r>
          </w:p>
        </w:tc>
        <w:tc>
          <w:tcPr>
            <w:tcW w:w="1210" w:type="dxa"/>
          </w:tcPr>
          <w:p w14:paraId="62CA75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2050</w:t>
            </w:r>
          </w:p>
          <w:p w14:paraId="0BF779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2FF6A7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2050</w:t>
            </w:r>
          </w:p>
          <w:p w14:paraId="2476F4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02827C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w:t>
            </w:r>
          </w:p>
        </w:tc>
        <w:tc>
          <w:tcPr>
            <w:tcW w:w="1200" w:type="dxa"/>
          </w:tcPr>
          <w:p w14:paraId="62E860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4925</w:t>
            </w:r>
          </w:p>
        </w:tc>
      </w:tr>
      <w:tr w:rsidR="00983732" w:rsidRPr="00A3026E" w14:paraId="273346EB" w14:textId="77777777" w:rsidTr="00EA0DA7">
        <w:trPr>
          <w:trHeight w:val="221"/>
        </w:trPr>
        <w:tc>
          <w:tcPr>
            <w:tcW w:w="1210" w:type="dxa"/>
          </w:tcPr>
          <w:p w14:paraId="047A2D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Сентябрь</w:t>
            </w:r>
          </w:p>
        </w:tc>
        <w:tc>
          <w:tcPr>
            <w:tcW w:w="1210" w:type="dxa"/>
          </w:tcPr>
          <w:p w14:paraId="5E215E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2050</w:t>
            </w:r>
          </w:p>
          <w:p w14:paraId="4121A1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42489B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2050</w:t>
            </w:r>
          </w:p>
          <w:p w14:paraId="767E69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6AADBD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w:t>
            </w:r>
          </w:p>
        </w:tc>
        <w:tc>
          <w:tcPr>
            <w:tcW w:w="1200" w:type="dxa"/>
          </w:tcPr>
          <w:p w14:paraId="26585E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4925</w:t>
            </w:r>
          </w:p>
        </w:tc>
      </w:tr>
      <w:tr w:rsidR="00983732" w:rsidRPr="00A3026E" w14:paraId="2B301A81" w14:textId="77777777" w:rsidTr="00EA0DA7">
        <w:trPr>
          <w:trHeight w:val="221"/>
        </w:trPr>
        <w:tc>
          <w:tcPr>
            <w:tcW w:w="1210" w:type="dxa"/>
          </w:tcPr>
          <w:p w14:paraId="753465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Октябрь</w:t>
            </w:r>
          </w:p>
        </w:tc>
        <w:tc>
          <w:tcPr>
            <w:tcW w:w="1210" w:type="dxa"/>
          </w:tcPr>
          <w:p w14:paraId="7629F8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2050</w:t>
            </w:r>
          </w:p>
          <w:p w14:paraId="432FD5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1D24C2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w:t>
            </w:r>
          </w:p>
          <w:p w14:paraId="26420B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4EBE69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w:t>
            </w:r>
          </w:p>
        </w:tc>
        <w:tc>
          <w:tcPr>
            <w:tcW w:w="1200" w:type="dxa"/>
          </w:tcPr>
          <w:p w14:paraId="79F0EF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5175</w:t>
            </w:r>
          </w:p>
        </w:tc>
      </w:tr>
      <w:tr w:rsidR="00983732" w:rsidRPr="00A3026E" w14:paraId="6419955D" w14:textId="77777777" w:rsidTr="00EA0DA7">
        <w:trPr>
          <w:trHeight w:val="221"/>
        </w:trPr>
        <w:tc>
          <w:tcPr>
            <w:tcW w:w="1210" w:type="dxa"/>
          </w:tcPr>
          <w:p w14:paraId="6F7599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Ноябрь</w:t>
            </w:r>
          </w:p>
        </w:tc>
        <w:tc>
          <w:tcPr>
            <w:tcW w:w="1210" w:type="dxa"/>
          </w:tcPr>
          <w:p w14:paraId="0D8EF7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2200</w:t>
            </w:r>
          </w:p>
          <w:p w14:paraId="40B8E8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10C9AB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w:t>
            </w:r>
          </w:p>
          <w:p w14:paraId="23C0FE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3DDD75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w:t>
            </w:r>
          </w:p>
        </w:tc>
        <w:tc>
          <w:tcPr>
            <w:tcW w:w="1200" w:type="dxa"/>
          </w:tcPr>
          <w:p w14:paraId="73DF99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5325</w:t>
            </w:r>
          </w:p>
        </w:tc>
      </w:tr>
      <w:tr w:rsidR="00983732" w:rsidRPr="00A3026E" w14:paraId="59AD629C" w14:textId="77777777" w:rsidTr="00EA0DA7">
        <w:trPr>
          <w:trHeight w:val="221"/>
        </w:trPr>
        <w:tc>
          <w:tcPr>
            <w:tcW w:w="1210" w:type="dxa"/>
          </w:tcPr>
          <w:p w14:paraId="448409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Декабрь</w:t>
            </w:r>
          </w:p>
        </w:tc>
        <w:tc>
          <w:tcPr>
            <w:tcW w:w="1210" w:type="dxa"/>
          </w:tcPr>
          <w:p w14:paraId="186D18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w:t>
            </w:r>
          </w:p>
          <w:p w14:paraId="2C524F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6CBEE4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2400</w:t>
            </w:r>
          </w:p>
          <w:p w14:paraId="7247D7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491D58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w:t>
            </w:r>
          </w:p>
        </w:tc>
        <w:tc>
          <w:tcPr>
            <w:tcW w:w="1200" w:type="dxa"/>
          </w:tcPr>
          <w:p w14:paraId="05DF11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5525</w:t>
            </w:r>
          </w:p>
        </w:tc>
      </w:tr>
      <w:tr w:rsidR="00983732" w:rsidRPr="00A3026E" w14:paraId="03916BA2" w14:textId="77777777" w:rsidTr="00EA0DA7">
        <w:trPr>
          <w:trHeight w:val="230"/>
        </w:trPr>
        <w:tc>
          <w:tcPr>
            <w:tcW w:w="1210" w:type="dxa"/>
            <w:tcBorders>
              <w:bottom w:val="single" w:sz="12" w:space="0" w:color="auto"/>
            </w:tcBorders>
          </w:tcPr>
          <w:p w14:paraId="6BACE1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1210" w:type="dxa"/>
            <w:tcBorders>
              <w:bottom w:val="single" w:sz="12" w:space="0" w:color="auto"/>
            </w:tcBorders>
          </w:tcPr>
          <w:p w14:paraId="626120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13 100</w:t>
            </w:r>
          </w:p>
        </w:tc>
        <w:tc>
          <w:tcPr>
            <w:tcW w:w="1200" w:type="dxa"/>
            <w:tcBorders>
              <w:bottom w:val="single" w:sz="12" w:space="0" w:color="auto"/>
            </w:tcBorders>
          </w:tcPr>
          <w:p w14:paraId="431EBF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13659</w:t>
            </w:r>
          </w:p>
        </w:tc>
        <w:tc>
          <w:tcPr>
            <w:tcW w:w="1200" w:type="dxa"/>
            <w:tcBorders>
              <w:bottom w:val="single" w:sz="12" w:space="0" w:color="auto"/>
            </w:tcBorders>
          </w:tcPr>
          <w:p w14:paraId="0D9C7E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5250</w:t>
            </w:r>
          </w:p>
        </w:tc>
        <w:tc>
          <w:tcPr>
            <w:tcW w:w="1200" w:type="dxa"/>
            <w:tcBorders>
              <w:bottom w:val="single" w:sz="12" w:space="0" w:color="auto"/>
            </w:tcBorders>
          </w:tcPr>
          <w:p w14:paraId="47A442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32000</w:t>
            </w:r>
          </w:p>
        </w:tc>
      </w:tr>
    </w:tbl>
    <w:p w14:paraId="7CDAD4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Начавшаяся Великая Отечественная война сорвала выполне</w:t>
      </w:r>
      <w:r w:rsidRPr="00A3026E">
        <w:rPr>
          <w:rFonts w:ascii="Times New Roman" w:hAnsi="Times New Roman"/>
          <w:color w:val="000000" w:themeColor="text1"/>
          <w:sz w:val="16"/>
          <w:szCs w:val="16"/>
        </w:rPr>
        <w:softHyphen/>
        <w:t>ние этих планов (11429).</w:t>
      </w:r>
    </w:p>
    <w:p w14:paraId="7218457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82DBA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специализированному морскому конструкторскому бюро завода им.Марти удалось создать приемлемый образец малого реданного катера. Это был проект №123, который стал последним представителем реданных катеров в ВМФ СССР (6002).</w:t>
      </w:r>
    </w:p>
    <w:p w14:paraId="7D6ACD1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54A64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эсминец Серго Орджоникидзе, переименованный в "Опытный", на за</w:t>
      </w:r>
      <w:r w:rsidRPr="00A3026E">
        <w:rPr>
          <w:rFonts w:ascii="Times New Roman" w:hAnsi="Times New Roman"/>
          <w:color w:val="000000" w:themeColor="text1"/>
          <w:sz w:val="16"/>
          <w:szCs w:val="16"/>
        </w:rPr>
        <w:softHyphen/>
        <w:t>водских испытаниях показал скорость около 35 уз при ручном управлении котлами. В строй он так и не вступил, хотя во время войны, вооруженный тремя 130-мм установками Б-13, участвовал в качестве плавучей батареи в обороне Ленинграда. После войны проведенные испытания выявили необходимость модернизации машинно-котельной установки "Опытного", но ее вскоре признали нецелесообразной, и морально устаревший ко</w:t>
      </w:r>
      <w:r w:rsidRPr="00A3026E">
        <w:rPr>
          <w:rFonts w:ascii="Times New Roman" w:hAnsi="Times New Roman"/>
          <w:color w:val="000000" w:themeColor="text1"/>
          <w:sz w:val="16"/>
          <w:szCs w:val="16"/>
        </w:rPr>
        <w:softHyphen/>
        <w:t>рабль был списан и отправлен на слом (3898).</w:t>
      </w:r>
    </w:p>
    <w:p w14:paraId="11F7283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1CE36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была проведена последняя перед войной корректировка судостроительной программы, которая была вызвана как политическими, так и экономическими обстоятельст</w:t>
      </w:r>
      <w:r w:rsidRPr="00A3026E">
        <w:rPr>
          <w:rFonts w:ascii="Times New Roman" w:hAnsi="Times New Roman"/>
          <w:color w:val="000000" w:themeColor="text1"/>
          <w:sz w:val="16"/>
          <w:szCs w:val="16"/>
        </w:rPr>
        <w:softHyphen/>
        <w:t>вами. Несмотря на развитие торговых отношений с Германией и формальное соблюдение ею условий договора 1939 г., высшему партийно-политическому руководству СССР было, вероятно, ясно, что военное столкновение с Германией — лишь вопрос времени. Оценивая ситуацию, Сталин полагал, что война начнется в 1942 г. и к этому времени торопился максимально развить военную мощь СССР. Между тем выполнение программы военного судостроения значительно отставало от запланированных сроков. В постройке од</w:t>
      </w:r>
      <w:r w:rsidRPr="00A3026E">
        <w:rPr>
          <w:rFonts w:ascii="Times New Roman" w:hAnsi="Times New Roman"/>
          <w:color w:val="000000" w:themeColor="text1"/>
          <w:sz w:val="16"/>
          <w:szCs w:val="16"/>
        </w:rPr>
        <w:softHyphen/>
        <w:t>новременно находилось большое количество кораблей, для которых не хватало металла, механизмов и вооружения. Особенно остро стоял вопрос с поставками брони для строящихся кораблей. При плане выпуска Ижорским и Мариупольским заводами НКПС 45 тыс. т брони, в 1940 г. бьша произведена фактически только 31 тыс. т. Одной из причин недопоставок корабельной брони яви</w:t>
      </w:r>
      <w:r w:rsidRPr="00A3026E">
        <w:rPr>
          <w:rFonts w:ascii="Times New Roman" w:hAnsi="Times New Roman"/>
          <w:color w:val="000000" w:themeColor="text1"/>
          <w:sz w:val="16"/>
          <w:szCs w:val="16"/>
        </w:rPr>
        <w:softHyphen/>
        <w:t>лась все увеличивающаяся загрузка металлургических заводов про</w:t>
      </w:r>
      <w:r w:rsidRPr="00A3026E">
        <w:rPr>
          <w:rFonts w:ascii="Times New Roman" w:hAnsi="Times New Roman"/>
          <w:color w:val="000000" w:themeColor="text1"/>
          <w:sz w:val="16"/>
          <w:szCs w:val="16"/>
        </w:rPr>
        <w:softHyphen/>
        <w:t>изводством танковых бронекорпусов и башен. Если в 1940 г. упо</w:t>
      </w:r>
      <w:r w:rsidRPr="00A3026E">
        <w:rPr>
          <w:rFonts w:ascii="Times New Roman" w:hAnsi="Times New Roman"/>
          <w:color w:val="000000" w:themeColor="text1"/>
          <w:sz w:val="16"/>
          <w:szCs w:val="16"/>
        </w:rPr>
        <w:softHyphen/>
        <w:t>мянутые выше заводы изготовили около 1600 бронекорпусов для танков Т-26 и столько же для танков БТ-7 и бронеавтомобилей, то на 1941 г. запланировали уже производство 1150 корпусов и башен для тяжелых танков KB, 3000 — для танков Т-34 и 1200 бронекор</w:t>
      </w:r>
      <w:r w:rsidRPr="00A3026E">
        <w:rPr>
          <w:rFonts w:ascii="Times New Roman" w:hAnsi="Times New Roman"/>
          <w:color w:val="000000" w:themeColor="text1"/>
          <w:sz w:val="16"/>
          <w:szCs w:val="16"/>
        </w:rPr>
        <w:softHyphen/>
        <w:t>пусов для самолетов-штурмовиков Ил-2. Стремление уменьшить общий объем работ (сократив количество больших кораблей, одно</w:t>
      </w:r>
      <w:r w:rsidRPr="00A3026E">
        <w:rPr>
          <w:rFonts w:ascii="Times New Roman" w:hAnsi="Times New Roman"/>
          <w:color w:val="000000" w:themeColor="text1"/>
          <w:sz w:val="16"/>
          <w:szCs w:val="16"/>
        </w:rPr>
        <w:softHyphen/>
        <w:t>временно находящихся в постройке) и обеспечить своевременное вступление в строй легких крейсеров, эсминцев, подводных лодок и других кораблей с относительно малыми сроками постройки обусловило выход постановления Комитета обороны от 19 октября 1940 г. "О плане военного судостроения на 1941 г." Этим постановлением было решено отказаться от новых закладок линкоров и тяжелых крейсеров. Линкор "Советская Белорус</w:t>
      </w:r>
      <w:r w:rsidRPr="00A3026E">
        <w:rPr>
          <w:rFonts w:ascii="Times New Roman" w:hAnsi="Times New Roman"/>
          <w:color w:val="000000" w:themeColor="text1"/>
          <w:sz w:val="16"/>
          <w:szCs w:val="16"/>
        </w:rPr>
        <w:softHyphen/>
        <w:t>сия", заложенный в конце 1939 г. в день рождения Сталина (о чем Становление тактично умалчивало), подлежал разборке на стапеле. Усилия промышленности предлагалось сосредоточить на достройке линкора "Советская Россия" в Молотовске и обоих тяжелых ейсеров, заложенных в 1939 г. в Ленинграде и Николаеве. Спуск воду тяжелых крейсеров и всех трех линкоров назначался на 1942—1943 гг. Постановление отменяло новую закладку лидеров и турбинных эскадренных тральщиков (вследствии изменения взглядов на их использование), зато форсировало строительство новь1х крейсеров, эсминцев и подводных лодок последних серий. При этом в 1941 г. намечалось иметь в постройке 14 легких крей</w:t>
      </w:r>
      <w:r w:rsidRPr="00A3026E">
        <w:rPr>
          <w:rFonts w:ascii="Times New Roman" w:hAnsi="Times New Roman"/>
          <w:color w:val="000000" w:themeColor="text1"/>
          <w:sz w:val="16"/>
          <w:szCs w:val="16"/>
        </w:rPr>
        <w:softHyphen/>
        <w:t>серов, из которых б подлежали сдаче в 1942 г. В 1941 г. следовало заложить 19 новых эсминцев, а за два года (1941—1942) сдать 24 корабля этого класса. Закладке и сдаче в 1941 г. подлежали так</w:t>
      </w:r>
      <w:r w:rsidRPr="00A3026E">
        <w:rPr>
          <w:rFonts w:ascii="Times New Roman" w:hAnsi="Times New Roman"/>
          <w:color w:val="000000" w:themeColor="text1"/>
          <w:sz w:val="16"/>
          <w:szCs w:val="16"/>
        </w:rPr>
        <w:softHyphen/>
        <w:t>же соответственно 36 и 40 подводных лодок. В дополнение к уже заложенным 9 сторожевым кораблям в 1941 г. началась закладка еще 11 единиц (3898).</w:t>
      </w:r>
    </w:p>
    <w:p w14:paraId="6F03E32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2F42D1"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4722FD01" w14:textId="77777777" w:rsidR="00C66762" w:rsidRPr="00A3026E" w:rsidRDefault="00C66762" w:rsidP="00A3026E">
      <w:pPr>
        <w:spacing w:after="0" w:line="240" w:lineRule="auto"/>
        <w:jc w:val="both"/>
        <w:rPr>
          <w:rFonts w:ascii="Times New Roman" w:hAnsi="Times New Roman"/>
          <w:i/>
          <w:iCs/>
          <w:color w:val="000000" w:themeColor="text1"/>
          <w:sz w:val="16"/>
          <w:szCs w:val="16"/>
        </w:rPr>
      </w:pPr>
    </w:p>
    <w:p w14:paraId="2450E83C" w14:textId="77777777" w:rsidR="00E90813" w:rsidRPr="00A3026E" w:rsidRDefault="00E90813" w:rsidP="00A3026E">
      <w:pPr>
        <w:pStyle w:val="a3"/>
        <w:rPr>
          <w:color w:val="000000" w:themeColor="text1"/>
          <w:lang w:val="ru-RU"/>
        </w:rPr>
      </w:pPr>
      <w:r w:rsidRPr="00A3026E">
        <w:rPr>
          <w:color w:val="000000" w:themeColor="text1"/>
          <w:lang w:val="ru-RU"/>
        </w:rPr>
        <w:t>Осенью 1940 г., когда на завод № 1 для изучения новой техники начали прибывать первые группы из строевых частей, началось переучивание на МиГи. Приказом ВВС КА № 07 от 7 января 1941 г. был уточнён порядок и установлены сроки переучивания лётно-технического состава частей на новую матчасть, в том числе и на МиГ-3. Для переучивания от полков на</w:t>
      </w:r>
      <w:r w:rsidRPr="00A3026E">
        <w:rPr>
          <w:color w:val="000000" w:themeColor="text1"/>
          <w:lang w:val="ru-RU"/>
        </w:rPr>
        <w:softHyphen/>
        <w:t>правлялось в НИИ ВВС КА по три человека лётного состава (не ниже командира эскадрилий) и два человека инженерно-технического. Переучивание остального личного состава полков надлежало произвести в местах постоянного базирования силами прошедшего переподготовку руководящего состава. Кроме этого, начальнику НИИ ВВС КА предписывалось командировать в строевые части своих инструкторов (15976).</w:t>
      </w:r>
    </w:p>
    <w:p w14:paraId="4EE9FA3F" w14:textId="77777777" w:rsidR="00E90813" w:rsidRPr="00A3026E" w:rsidRDefault="00E90813" w:rsidP="00A3026E">
      <w:pPr>
        <w:pStyle w:val="a3"/>
        <w:rPr>
          <w:color w:val="000000" w:themeColor="text1"/>
          <w:lang w:val="ru-RU"/>
        </w:rPr>
      </w:pPr>
    </w:p>
    <w:p w14:paraId="0132226D" w14:textId="77777777" w:rsidR="00EE2862" w:rsidRPr="00A3026E" w:rsidRDefault="00EE2862" w:rsidP="00A3026E">
      <w:pPr>
        <w:pStyle w:val="ae"/>
        <w:spacing w:before="0" w:after="0"/>
        <w:jc w:val="both"/>
        <w:textAlignment w:val="baseline"/>
        <w:rPr>
          <w:color w:val="000000" w:themeColor="text1"/>
          <w:sz w:val="16"/>
          <w:szCs w:val="16"/>
        </w:rPr>
      </w:pPr>
      <w:r w:rsidRPr="00A3026E">
        <w:rPr>
          <w:color w:val="000000" w:themeColor="text1"/>
          <w:sz w:val="16"/>
          <w:szCs w:val="16"/>
        </w:rPr>
        <w:t>Осенью 1940 г. в Смоленске под руководством полкового комиссара П. А. Силантьева начал формироваться 215-й ббап. Весной следующего года он был преобразован в штурмовой авиаполк и его командиром был назначен майор Леонид Давыдович Рейно, эстонец по национальности. Однако при этом полк так и остался в 12-й бад полковника В. И. Аладинского, в состав которой его первоначально включили.</w:t>
      </w:r>
    </w:p>
    <w:p w14:paraId="7B5F5369" w14:textId="77777777" w:rsidR="00EE2862" w:rsidRPr="00A3026E" w:rsidRDefault="00EE2862" w:rsidP="00A3026E">
      <w:pPr>
        <w:pStyle w:val="ae"/>
        <w:spacing w:before="0" w:after="0"/>
        <w:jc w:val="both"/>
        <w:textAlignment w:val="baseline"/>
        <w:rPr>
          <w:color w:val="000000" w:themeColor="text1"/>
          <w:sz w:val="16"/>
          <w:szCs w:val="16"/>
        </w:rPr>
      </w:pPr>
      <w:r w:rsidRPr="00A3026E">
        <w:rPr>
          <w:color w:val="000000" w:themeColor="text1"/>
          <w:sz w:val="16"/>
          <w:szCs w:val="16"/>
        </w:rPr>
        <w:t>Новый 215-й шап получил безнадежно устаревшие бипланы И-15бис. По плану перевооружения все двенадцать штурмовых авиаполков, имевшихся по состоянию на 1 января 1941 г. в приграничных военных округах СССР, предполагалось до конца года оснастить новыми Ил-2. Но планы планами, а 22 июня 1941 г. полк майора Рейно встретил имея пятнадцать И-15бис и десяток пилотов, успевших к тому моменту освоить эти раритеты.</w:t>
      </w:r>
    </w:p>
    <w:p w14:paraId="130FDC9C" w14:textId="77777777" w:rsidR="00EE2862" w:rsidRPr="00A3026E" w:rsidRDefault="00EE2862" w:rsidP="00A3026E">
      <w:pPr>
        <w:pStyle w:val="ae"/>
        <w:spacing w:before="0" w:after="0"/>
        <w:jc w:val="both"/>
        <w:textAlignment w:val="baseline"/>
        <w:rPr>
          <w:color w:val="000000" w:themeColor="text1"/>
          <w:sz w:val="16"/>
          <w:szCs w:val="16"/>
        </w:rPr>
      </w:pPr>
      <w:r w:rsidRPr="00A3026E">
        <w:rPr>
          <w:color w:val="000000" w:themeColor="text1"/>
          <w:sz w:val="16"/>
          <w:szCs w:val="16"/>
        </w:rPr>
        <w:t>Вылеты в составе ВВС Западного фронта полк начал 24 июня. Его бипланы атаковали немецкие танковые и механизированные части сначала северо-западнее Минска: в районе Молодечно — Городок, а потом уже восточнее белорусской столицы: в секторе Борисов — Смиловичи. За первые десять дней боев 215-й шап совершил 284 самолето-вылетов, но при этом, как и следовало ожидать, лишился всей материальной части. Уцелевший персонал был отозван с фронта и отправлен в Воронеж для переучивания на Ил-2 (19522).</w:t>
      </w:r>
    </w:p>
    <w:p w14:paraId="628EF641" w14:textId="77777777" w:rsidR="00EE2862" w:rsidRPr="00A3026E" w:rsidRDefault="00EE2862" w:rsidP="00A3026E">
      <w:pPr>
        <w:pStyle w:val="ae"/>
        <w:spacing w:before="0" w:after="0"/>
        <w:jc w:val="both"/>
        <w:textAlignment w:val="baseline"/>
        <w:rPr>
          <w:color w:val="000000" w:themeColor="text1"/>
          <w:sz w:val="16"/>
          <w:szCs w:val="16"/>
        </w:rPr>
      </w:pPr>
    </w:p>
    <w:p w14:paraId="218A148D" w14:textId="77777777" w:rsidR="00EE2862" w:rsidRPr="00A3026E" w:rsidRDefault="00EE2862" w:rsidP="00A3026E">
      <w:pPr>
        <w:pStyle w:val="a8"/>
        <w:jc w:val="both"/>
        <w:rPr>
          <w:rFonts w:ascii="Times New Roman" w:hAnsi="Times New Roman" w:cs="Times New Roman"/>
          <w:color w:val="000000" w:themeColor="text1"/>
        </w:rPr>
      </w:pPr>
      <w:r w:rsidRPr="00A3026E">
        <w:rPr>
          <w:rFonts w:ascii="Times New Roman" w:hAnsi="Times New Roman" w:cs="Times New Roman"/>
          <w:color w:val="000000" w:themeColor="text1"/>
        </w:rPr>
        <w:t>Осенью 1940 г. в учебных заведениях ВВС числилось 1047 УТИ-4 М-25 и 22 УТИ-2 М-22, в авиации ВМФ — 129 УТИ-4 М-25 и 3 УТИ-2 М-22. Использование УТИ-4 при подготовке советских летчиков продолжалось вплоть до 1946 г. (19109).</w:t>
      </w:r>
    </w:p>
    <w:p w14:paraId="49431F24" w14:textId="77777777" w:rsidR="00EE2862" w:rsidRPr="00A3026E" w:rsidRDefault="00EE2862" w:rsidP="00A3026E">
      <w:pPr>
        <w:pStyle w:val="a8"/>
        <w:jc w:val="both"/>
        <w:rPr>
          <w:rFonts w:ascii="Times New Roman" w:hAnsi="Times New Roman" w:cs="Times New Roman"/>
          <w:color w:val="000000" w:themeColor="text1"/>
        </w:rPr>
      </w:pPr>
    </w:p>
    <w:p w14:paraId="2F0E9194" w14:textId="77777777" w:rsidR="00EE2862" w:rsidRPr="00A3026E" w:rsidRDefault="00EE2862" w:rsidP="00A3026E">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Осенью 1940 г. три самолета-носителя ТБ-ЗРН (некоторые источники говорят о пяти) поступили на вооружение 2-й специальной эскадрильи 32-го истребительного авиационного полка 62-й ави</w:t>
      </w:r>
      <w:r w:rsidRPr="00A3026E">
        <w:rPr>
          <w:rFonts w:ascii="Times New Roman" w:hAnsi="Times New Roman" w:cs="Times New Roman"/>
          <w:color w:val="000000" w:themeColor="text1"/>
          <w:sz w:val="16"/>
          <w:szCs w:val="16"/>
        </w:rPr>
        <w:softHyphen/>
        <w:t>ационной бригады ВВС Черноморского флота. Командовал 2-й эскадрильей опыт</w:t>
      </w:r>
      <w:r w:rsidRPr="00A3026E">
        <w:rPr>
          <w:rFonts w:ascii="Times New Roman" w:hAnsi="Times New Roman" w:cs="Times New Roman"/>
          <w:color w:val="000000" w:themeColor="text1"/>
          <w:sz w:val="16"/>
          <w:szCs w:val="16"/>
        </w:rPr>
        <w:softHyphen/>
        <w:t>ный летчик, участник войны в Испании, капитан А.В. Шубиков.</w:t>
      </w:r>
    </w:p>
    <w:p w14:paraId="5CF3AB03" w14:textId="77777777" w:rsidR="00EE2862" w:rsidRPr="00A3026E" w:rsidRDefault="00EE2862" w:rsidP="00A3026E">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Тактика применения «Звена-СПБ» выглядела следующим образом. «Ишачки» с двумя 250-кг авиабомбами каждый подвешивались под плоско</w:t>
      </w:r>
      <w:r w:rsidRPr="00A3026E">
        <w:rPr>
          <w:rFonts w:ascii="Times New Roman" w:hAnsi="Times New Roman" w:cs="Times New Roman"/>
          <w:color w:val="000000" w:themeColor="text1"/>
          <w:sz w:val="16"/>
          <w:szCs w:val="16"/>
        </w:rPr>
        <w:softHyphen/>
        <w:t>стями ТБ-3. Взлетев, бомбардировщик- носитель выходил в расчетную точку, где производилась отцепка истребите</w:t>
      </w:r>
      <w:r w:rsidRPr="00A3026E">
        <w:rPr>
          <w:rFonts w:ascii="Times New Roman" w:hAnsi="Times New Roman" w:cs="Times New Roman"/>
          <w:color w:val="000000" w:themeColor="text1"/>
          <w:sz w:val="16"/>
          <w:szCs w:val="16"/>
        </w:rPr>
        <w:softHyphen/>
        <w:t>лей, которые следовали к намеченной цели самостоятельно.</w:t>
      </w:r>
    </w:p>
    <w:p w14:paraId="0AF4808A" w14:textId="77777777" w:rsidR="00EE2862" w:rsidRPr="00A3026E" w:rsidRDefault="00EE2862" w:rsidP="00A3026E">
      <w:pPr>
        <w:pStyle w:val="27"/>
        <w:shd w:val="clear" w:color="auto" w:fill="auto"/>
        <w:spacing w:before="0"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«Звено- СПБ предполагалось «в морской авиации для поражения целей малых размеров, главным образом флота противника, а также в сухопутной авиации, для разру</w:t>
      </w:r>
      <w:r w:rsidRPr="00A3026E">
        <w:rPr>
          <w:rFonts w:ascii="Times New Roman" w:hAnsi="Times New Roman" w:cs="Times New Roman"/>
          <w:color w:val="000000" w:themeColor="text1"/>
          <w:sz w:val="16"/>
          <w:szCs w:val="16"/>
        </w:rPr>
        <w:softHyphen/>
        <w:t>шения мостов, электростанций и т.п.».</w:t>
      </w:r>
    </w:p>
    <w:p w14:paraId="60F3D791" w14:textId="77777777" w:rsidR="00EE2862" w:rsidRPr="00A3026E" w:rsidRDefault="00EE2862" w:rsidP="00A3026E">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Таким образом, И-16 в составе «Звена-СПБ» могли наносить удары на расстоянии, почти равной их полной дальности полета. Но, самое главное, в строю морской авиации появлялись машины, практически равные по боевой нагрузке бомбардировщикам Пе-2 и СБ. Плюс к этому обладающие возможностью наносить удары с пикирования и вести маневренный воздушный бой. Риск для самолета-носителя при тогдашних сред</w:t>
      </w:r>
      <w:r w:rsidRPr="00A3026E">
        <w:rPr>
          <w:rFonts w:ascii="Times New Roman" w:hAnsi="Times New Roman" w:cs="Times New Roman"/>
          <w:color w:val="000000" w:themeColor="text1"/>
          <w:sz w:val="16"/>
          <w:szCs w:val="16"/>
        </w:rPr>
        <w:softHyphen/>
        <w:t>ствах обнаружения воздушных целей был минимальный, особенно при дейст</w:t>
      </w:r>
      <w:r w:rsidRPr="00A3026E">
        <w:rPr>
          <w:rFonts w:ascii="Times New Roman" w:hAnsi="Times New Roman" w:cs="Times New Roman"/>
          <w:color w:val="000000" w:themeColor="text1"/>
          <w:sz w:val="16"/>
          <w:szCs w:val="16"/>
        </w:rPr>
        <w:softHyphen/>
        <w:t>виях над морем (19112).</w:t>
      </w:r>
    </w:p>
    <w:p w14:paraId="05A1C0AD" w14:textId="77777777" w:rsidR="00EE2862" w:rsidRPr="00A3026E" w:rsidRDefault="00EE2862" w:rsidP="00A3026E">
      <w:pPr>
        <w:pStyle w:val="171"/>
        <w:shd w:val="clear" w:color="auto" w:fill="auto"/>
        <w:spacing w:before="0" w:line="240" w:lineRule="auto"/>
        <w:ind w:firstLine="0"/>
        <w:jc w:val="both"/>
        <w:rPr>
          <w:rFonts w:ascii="Times New Roman" w:hAnsi="Times New Roman" w:cs="Times New Roman"/>
          <w:color w:val="000000" w:themeColor="text1"/>
          <w:sz w:val="16"/>
          <w:szCs w:val="16"/>
        </w:rPr>
      </w:pPr>
    </w:p>
    <w:p w14:paraId="29696F03" w14:textId="77777777" w:rsidR="00E90813" w:rsidRPr="00A3026E" w:rsidRDefault="00E9081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уже первые встречи японских «зеро» и совет</w:t>
      </w:r>
      <w:r w:rsidRPr="00A3026E">
        <w:rPr>
          <w:rFonts w:ascii="Times New Roman" w:hAnsi="Times New Roman"/>
          <w:color w:val="000000" w:themeColor="text1"/>
          <w:sz w:val="16"/>
          <w:szCs w:val="16"/>
        </w:rPr>
        <w:softHyphen/>
        <w:t>ских «ласточек» И-16, от которых китайцы отказывались, поскольку выявили подавляющее преимущество японцев, фактически превратившись в «погром» ВВС Китая. Недостаточ</w:t>
      </w:r>
      <w:r w:rsidRPr="00A3026E">
        <w:rPr>
          <w:rFonts w:ascii="Times New Roman" w:hAnsi="Times New Roman"/>
          <w:color w:val="000000" w:themeColor="text1"/>
          <w:sz w:val="16"/>
          <w:szCs w:val="16"/>
        </w:rPr>
        <w:softHyphen/>
        <w:t>но опытные китайские лётчики противостоять Мицубиси А6М ни на И-16, ни на И-153, поставляемых в «Под</w:t>
      </w:r>
      <w:r w:rsidRPr="00A3026E">
        <w:rPr>
          <w:rFonts w:ascii="Times New Roman" w:hAnsi="Times New Roman"/>
          <w:color w:val="000000" w:themeColor="text1"/>
          <w:sz w:val="16"/>
          <w:szCs w:val="16"/>
        </w:rPr>
        <w:softHyphen/>
        <w:t>небесную» в 1941 г., не могли (15811).</w:t>
      </w:r>
    </w:p>
    <w:p w14:paraId="4CD4887A" w14:textId="77777777" w:rsidR="00E90813" w:rsidRPr="00A3026E" w:rsidRDefault="00E90813" w:rsidP="00A3026E">
      <w:pPr>
        <w:spacing w:after="0" w:line="240" w:lineRule="auto"/>
        <w:jc w:val="both"/>
        <w:rPr>
          <w:rFonts w:ascii="Times New Roman" w:hAnsi="Times New Roman"/>
          <w:color w:val="000000" w:themeColor="text1"/>
          <w:sz w:val="16"/>
          <w:szCs w:val="16"/>
        </w:rPr>
      </w:pPr>
    </w:p>
    <w:p w14:paraId="1084879D" w14:textId="77777777" w:rsidR="00C66762" w:rsidRPr="00A3026E" w:rsidRDefault="00C66762" w:rsidP="00A3026E">
      <w:pPr>
        <w:pStyle w:val="a3"/>
        <w:tabs>
          <w:tab w:val="left" w:pos="11199"/>
        </w:tabs>
        <w:rPr>
          <w:color w:val="000000" w:themeColor="text1"/>
          <w:lang w:val="ru-RU"/>
        </w:rPr>
      </w:pPr>
      <w:r w:rsidRPr="00A3026E">
        <w:rPr>
          <w:color w:val="000000" w:themeColor="text1"/>
          <w:lang w:val="ru-RU"/>
        </w:rPr>
        <w:t>Осенью 1940 на оперативно-стра</w:t>
      </w:r>
      <w:r w:rsidRPr="00A3026E">
        <w:rPr>
          <w:color w:val="000000" w:themeColor="text1"/>
          <w:lang w:val="ru-RU"/>
        </w:rPr>
        <w:softHyphen/>
        <w:t>тегической игре на местности первый заместитель начальника Генерального штаба Н.Ф.Ватутин, руководивший этой игрой, создал условия, близкие к тем, в которых несколько месяцев спу</w:t>
      </w:r>
      <w:r w:rsidRPr="00A3026E">
        <w:rPr>
          <w:color w:val="000000" w:themeColor="text1"/>
          <w:lang w:val="ru-RU"/>
        </w:rPr>
        <w:softHyphen/>
        <w:t>стя началась действительная война. Согласно вводной, в тыл 13-й армии Западного особого военного округа на глубину до 80 км прорвался танковый корпус условного противника в соста</w:t>
      </w:r>
      <w:r w:rsidRPr="00A3026E">
        <w:rPr>
          <w:color w:val="000000" w:themeColor="text1"/>
          <w:lang w:val="ru-RU"/>
        </w:rPr>
        <w:softHyphen/>
        <w:t>ве 500-600 танков. Оказалось, что при всех расчетах у командующего армией сил в тылу было недостаточно, чтобы парализовать действия этих танков. Шесть имеющихся в наличии авиаци</w:t>
      </w:r>
      <w:r w:rsidRPr="00A3026E">
        <w:rPr>
          <w:color w:val="000000" w:themeColor="text1"/>
          <w:lang w:val="ru-RU"/>
        </w:rPr>
        <w:softHyphen/>
        <w:t>онных полков могли вывести из строя около 110 единиц бронетехники и не более... (6269).</w:t>
      </w:r>
    </w:p>
    <w:p w14:paraId="47535CF7" w14:textId="77777777" w:rsidR="00C66762" w:rsidRPr="00A3026E" w:rsidRDefault="00C66762" w:rsidP="00A3026E">
      <w:pPr>
        <w:pStyle w:val="a3"/>
        <w:tabs>
          <w:tab w:val="left" w:pos="11199"/>
        </w:tabs>
        <w:rPr>
          <w:color w:val="000000" w:themeColor="text1"/>
          <w:lang w:val="ru-RU"/>
        </w:rPr>
      </w:pPr>
    </w:p>
    <w:p w14:paraId="64223B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на оперативно-стратегической игре на местности первый заместитель начальника Генерального штаба Н.Ф.Ватутин, руководивший этой игрой, создал условия близкие к тем, в которых несколько месяцев спустя началась действительная война.</w:t>
      </w:r>
    </w:p>
    <w:p w14:paraId="105C4F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вводной, в тыл 13-й армии Западного особого Военного округа на глубину до 80 км прорвался танковый корпус условного противника в составе 500-600 танков.</w:t>
      </w:r>
    </w:p>
    <w:p w14:paraId="4062FE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Оказалось, что при всех расчетах у командующего армией сил в тылу было недостаточно, чтобы парализовать действия этих танков. Шесть имеющихся в наличии авиационных полков могли вывести из строя около 110 единиц бронетехники и не более...(9649).</w:t>
      </w:r>
    </w:p>
    <w:p w14:paraId="30CF162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9151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Генерал-майор Молоков и начальник Политуправления ГВФ Семенов рапортовали в ЦК ВКП(б) - Сталину, в СНК СССР - Молотову в НКО - Ворошилову: «По указанию Комитета Обороны, Главным Управле</w:t>
      </w:r>
      <w:r w:rsidRPr="00A3026E">
        <w:rPr>
          <w:rFonts w:ascii="Times New Roman" w:hAnsi="Times New Roman"/>
          <w:color w:val="000000" w:themeColor="text1"/>
          <w:sz w:val="16"/>
          <w:szCs w:val="16"/>
        </w:rPr>
        <w:softHyphen/>
        <w:t>нием Гражданского Воздушного Флота были организованы два специаль</w:t>
      </w:r>
      <w:r w:rsidRPr="00A3026E">
        <w:rPr>
          <w:rFonts w:ascii="Times New Roman" w:hAnsi="Times New Roman"/>
          <w:color w:val="000000" w:themeColor="text1"/>
          <w:sz w:val="16"/>
          <w:szCs w:val="16"/>
        </w:rPr>
        <w:softHyphen/>
        <w:t>ных авиаотряда при ЛВО и БВО и две авиагруппы в составе 5 отрядов при Киевском и Одесском Военных округах для обслуживания частей Красной армии при их перебазировании на территории Литвы, Латвии и Эстонии и при занятии Бессарабии и Северной Буковины. Во всех отрядах работало 161 самолет и 522 человека из числа летно-подъемного, инженерно-техни</w:t>
      </w:r>
      <w:r w:rsidRPr="00A3026E">
        <w:rPr>
          <w:rFonts w:ascii="Times New Roman" w:hAnsi="Times New Roman"/>
          <w:color w:val="000000" w:themeColor="text1"/>
          <w:sz w:val="16"/>
          <w:szCs w:val="16"/>
        </w:rPr>
        <w:softHyphen/>
        <w:t>ческого и обслуживающего состава. Отряды были сформированы в тече</w:t>
      </w:r>
      <w:r w:rsidRPr="00A3026E">
        <w:rPr>
          <w:rFonts w:ascii="Times New Roman" w:hAnsi="Times New Roman"/>
          <w:color w:val="000000" w:themeColor="text1"/>
          <w:sz w:val="16"/>
          <w:szCs w:val="16"/>
        </w:rPr>
        <w:softHyphen/>
        <w:t>ние 24 часов». Самолеты ГВФ перевезли командно-политического состава и бойцов - 3077 человек. Осуществлялось сбрасывание листовок, разведка аэродромов, доставка донесений, приказов и связь командования с пере</w:t>
      </w:r>
      <w:r w:rsidRPr="00A3026E">
        <w:rPr>
          <w:rFonts w:ascii="Times New Roman" w:hAnsi="Times New Roman"/>
          <w:color w:val="000000" w:themeColor="text1"/>
          <w:sz w:val="16"/>
          <w:szCs w:val="16"/>
        </w:rPr>
        <w:softHyphen/>
        <w:t>двигающимися частями (РГАЭ. Ф. 9527. Оп. 1. Д. 1585. Л. 25.). Итоги работы по перевозке грузов ГВФ во время операций в Румынии и в Прибалтике приведены в Таблице 88 (11710,416).</w:t>
      </w:r>
    </w:p>
    <w:p w14:paraId="48DD32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8E2BB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года в составе формируемых пулеметно-артиллерийских моторизованных бригад имелась отдельная разведывательная бронерота, включавшая в себя командо</w:t>
      </w:r>
      <w:r w:rsidRPr="00A3026E">
        <w:rPr>
          <w:rFonts w:ascii="Times New Roman" w:hAnsi="Times New Roman"/>
          <w:color w:val="000000" w:themeColor="text1"/>
          <w:sz w:val="16"/>
          <w:szCs w:val="16"/>
        </w:rPr>
        <w:softHyphen/>
        <w:t>вание, взвод средних и два взвода легких бронемашин, ре</w:t>
      </w:r>
      <w:r w:rsidRPr="00A3026E">
        <w:rPr>
          <w:rFonts w:ascii="Times New Roman" w:hAnsi="Times New Roman"/>
          <w:color w:val="000000" w:themeColor="text1"/>
          <w:sz w:val="16"/>
          <w:szCs w:val="16"/>
        </w:rPr>
        <w:softHyphen/>
        <w:t>монтную летучку и отделение боевого питания и хозяйст</w:t>
      </w:r>
      <w:r w:rsidRPr="00A3026E">
        <w:rPr>
          <w:rFonts w:ascii="Times New Roman" w:hAnsi="Times New Roman"/>
          <w:color w:val="000000" w:themeColor="text1"/>
          <w:sz w:val="16"/>
          <w:szCs w:val="16"/>
        </w:rPr>
        <w:softHyphen/>
        <w:t>венного довольствия, всего 61 человек, 7 БА-10, 10 БА-20, 4 автомобиля и 1 мотоцикл. После того как бригады стали использовать для укомплектования танковых и других час</w:t>
      </w:r>
      <w:r w:rsidRPr="00A3026E">
        <w:rPr>
          <w:rFonts w:ascii="Times New Roman" w:hAnsi="Times New Roman"/>
          <w:color w:val="000000" w:themeColor="text1"/>
          <w:sz w:val="16"/>
          <w:szCs w:val="16"/>
        </w:rPr>
        <w:softHyphen/>
        <w:t>тей, бронероты расформировали (11284).</w:t>
      </w:r>
    </w:p>
    <w:p w14:paraId="5D2FFA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4AB0E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Главный военный совет при НКО в своем постановлении по призыву в РККА предписал призвать, но не направлять в армию, а зачислять в рабочие батальоны призывников из лиц турецкой, японской, корейской, китайской и румынской национальностей, а также тех из призывников, родители или родственники которых были репрессированы за контрреволюционную и шпионско-вредительскую работу и т. п. (9844).</w:t>
      </w:r>
    </w:p>
    <w:p w14:paraId="0155F97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A51149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738FB91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BBBF9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отдельным соглашением между СССР и Финляндией решился вопрос о статусе Аландских островов, полную демилитаризацию которых должна была гарантировать Финляндия. "Народное правительство" Финляндии заявило о самороспуске (3871).</w:t>
      </w:r>
    </w:p>
    <w:p w14:paraId="255F770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A66CF3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528523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6E7BF28" w14:textId="77777777" w:rsidR="00E90813" w:rsidRPr="00A3026E" w:rsidRDefault="00E9081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12 предсерийных Hs-129 были направлены на войсковые испытания и их отказывались принимать (513,7).</w:t>
      </w:r>
    </w:p>
    <w:p w14:paraId="639D48EE" w14:textId="77777777" w:rsidR="00E90813" w:rsidRPr="00A3026E" w:rsidRDefault="00E90813" w:rsidP="00A3026E">
      <w:pPr>
        <w:spacing w:after="0" w:line="240" w:lineRule="auto"/>
        <w:jc w:val="both"/>
        <w:rPr>
          <w:rFonts w:ascii="Times New Roman" w:hAnsi="Times New Roman"/>
          <w:color w:val="000000" w:themeColor="text1"/>
          <w:sz w:val="16"/>
          <w:szCs w:val="16"/>
        </w:rPr>
      </w:pPr>
    </w:p>
    <w:p w14:paraId="2403C5C7" w14:textId="77777777" w:rsidR="00E90813" w:rsidRPr="00A3026E" w:rsidRDefault="00E9081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Министерство авиации Германии (RLM) выдало фирме Арадо флюгцойгверке ТЗ на разработку одноместного дальнего реактивного разведчика, который потом стал Ар 234 (3243,7).</w:t>
      </w:r>
    </w:p>
    <w:p w14:paraId="3FC72BAD" w14:textId="77777777" w:rsidR="00E90813" w:rsidRPr="00A3026E" w:rsidRDefault="00E90813" w:rsidP="00A3026E">
      <w:pPr>
        <w:spacing w:after="0" w:line="240" w:lineRule="auto"/>
        <w:jc w:val="both"/>
        <w:rPr>
          <w:rFonts w:ascii="Times New Roman" w:hAnsi="Times New Roman"/>
          <w:color w:val="000000" w:themeColor="text1"/>
          <w:sz w:val="16"/>
          <w:szCs w:val="16"/>
        </w:rPr>
      </w:pPr>
    </w:p>
    <w:p w14:paraId="56E351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г. большинство испанских летных И-16 передали во вновь сформированную Группу 26. базирующуюся на аэродроме Таблада. В период Второй Мировой войны это подразделение вело тренировочные полеты для поддержания летных навыков. По причине износа и аварий в декабре 1945 г. в Испании оставалось 27 И -16. из которых 21 - в составе 26-й фуппы на аэродроме Таблада, 2 - в авиационном училище в Мороне и 4 - в ремонтных мастерских в Севилье. В том же году самолет получил новое обозначение в ВВС Испании - С.8. а исправные экземпляры вошли в состав переименованной Группы 22.</w:t>
      </w:r>
    </w:p>
    <w:p w14:paraId="69AD46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1947 г. когда количество пригодных к полетам И-16 сократилось до 15 экземпляров, возник вопрос о проведении их модернизации. После оценки возможностей самолет доработали в авиамастерских в Севилье. Установили новый козырек пилота, состоящий из плоских листов оргстекла, новый кольцевой прицел, более эффективный мас- лорадиатор. Особо доработали фюзеляж - в обтекатель за головой пилота ввели про- тивокапотажную раму, сваренную из труб. И-16 после этой доработки взъерошился - верхний обтекатель поднялся вверх на 12 см выше головы летчика.</w:t>
      </w:r>
    </w:p>
    <w:p w14:paraId="3764FE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доработанный аппарат с номером С.8-4 облетали в середине августа 1947 г. Авгор модификации и одновременно летчик-испытатель капитан Тордссиллас остался доволен проделанной работой. 13 модернизированных С.8 эксплуатировались в таком виде до окончания эксплуатации.</w:t>
      </w:r>
    </w:p>
    <w:p w14:paraId="3871E0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1950 г. по одному летному экземпляру числилось на аэродромах в Табладе и Мороне. На последнем исправном И-16 с бортовым кодом "С.8-25" самые опытные инструкторы училища в Мороне летали вплоть до 15 августа 1953 г. (12015).</w:t>
      </w:r>
    </w:p>
    <w:p w14:paraId="03BDA04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BABC94" w14:textId="77777777" w:rsidR="00E90813" w:rsidRPr="00A3026E" w:rsidRDefault="00E9081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осени 1940 г. до вес</w:t>
      </w:r>
      <w:r w:rsidRPr="00A3026E">
        <w:rPr>
          <w:rFonts w:ascii="Times New Roman" w:hAnsi="Times New Roman"/>
          <w:color w:val="000000" w:themeColor="text1"/>
          <w:sz w:val="16"/>
          <w:szCs w:val="16"/>
        </w:rPr>
        <w:softHyphen/>
        <w:t>ны 1941 гг. Авиационный Комитет Китая 8 (!) раз отда</w:t>
      </w:r>
      <w:r w:rsidRPr="00A3026E">
        <w:rPr>
          <w:rFonts w:ascii="Times New Roman" w:hAnsi="Times New Roman"/>
          <w:color w:val="000000" w:themeColor="text1"/>
          <w:sz w:val="16"/>
          <w:szCs w:val="16"/>
        </w:rPr>
        <w:softHyphen/>
        <w:t>вал приказ своим ВВС на полное прекращение боевых действий. Для спасения своих самолётов от полного уничтожения их разбирали и прятали в окрестных пе</w:t>
      </w:r>
      <w:r w:rsidRPr="00A3026E">
        <w:rPr>
          <w:rFonts w:ascii="Times New Roman" w:hAnsi="Times New Roman"/>
          <w:color w:val="000000" w:themeColor="text1"/>
          <w:sz w:val="16"/>
          <w:szCs w:val="16"/>
        </w:rPr>
        <w:softHyphen/>
        <w:t>щерах. В историю китайских ВВС чёрной страницей вписан воздушный бой «314» (т.е. 14 марта 1941 г.), когда японцы подловили на перегонке эскадрилью но</w:t>
      </w:r>
      <w:r w:rsidRPr="00A3026E">
        <w:rPr>
          <w:rFonts w:ascii="Times New Roman" w:hAnsi="Times New Roman"/>
          <w:color w:val="000000" w:themeColor="text1"/>
          <w:sz w:val="16"/>
          <w:szCs w:val="16"/>
        </w:rPr>
        <w:softHyphen/>
        <w:t>веньких «чаек» (около 30 И-153) и практически полно</w:t>
      </w:r>
      <w:r w:rsidRPr="00A3026E">
        <w:rPr>
          <w:rFonts w:ascii="Times New Roman" w:hAnsi="Times New Roman"/>
          <w:color w:val="000000" w:themeColor="text1"/>
          <w:sz w:val="16"/>
          <w:szCs w:val="16"/>
        </w:rPr>
        <w:softHyphen/>
        <w:t>стью уничтожили их на дозаправке (15811).</w:t>
      </w:r>
    </w:p>
    <w:p w14:paraId="42E14C1D" w14:textId="77777777" w:rsidR="00E90813" w:rsidRPr="00A3026E" w:rsidRDefault="00E90813" w:rsidP="00A3026E">
      <w:pPr>
        <w:spacing w:after="0" w:line="240" w:lineRule="auto"/>
        <w:jc w:val="both"/>
        <w:rPr>
          <w:rFonts w:ascii="Times New Roman" w:hAnsi="Times New Roman"/>
          <w:color w:val="000000" w:themeColor="text1"/>
          <w:sz w:val="16"/>
          <w:szCs w:val="16"/>
        </w:rPr>
      </w:pPr>
    </w:p>
    <w:p w14:paraId="5831BF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шла битва за Британию и с августа по декабрь был самый пик (88,147).</w:t>
      </w:r>
    </w:p>
    <w:p w14:paraId="079C438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0D6A15B" w14:textId="77777777" w:rsidR="00E90813" w:rsidRPr="00A3026E" w:rsidRDefault="00E9081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осени 1940 г., после того, как немецкая авиация проиграла «Битву за Англию», налёты на Британские острова стали осуществляться все реже и реже. С лета 1941 г. Люфтваффе пришлось весьма осно</w:t>
      </w:r>
      <w:r w:rsidRPr="00A3026E">
        <w:rPr>
          <w:rFonts w:ascii="Times New Roman" w:hAnsi="Times New Roman"/>
          <w:color w:val="000000" w:themeColor="text1"/>
          <w:sz w:val="16"/>
          <w:szCs w:val="16"/>
        </w:rPr>
        <w:softHyphen/>
        <w:t>вательно задействовать на Восточном фронте. Англичане стали забывать о завывании сирен и грохоте бомб. Напротив, англо-американская авиация развернула так называ</w:t>
      </w:r>
      <w:r w:rsidRPr="00A3026E">
        <w:rPr>
          <w:rFonts w:ascii="Times New Roman" w:hAnsi="Times New Roman"/>
          <w:color w:val="000000" w:themeColor="text1"/>
          <w:sz w:val="16"/>
          <w:szCs w:val="16"/>
        </w:rPr>
        <w:softHyphen/>
        <w:t>емое «воздушное наступление»...(15790).</w:t>
      </w:r>
    </w:p>
    <w:p w14:paraId="14F8CC58" w14:textId="77777777" w:rsidR="00E90813" w:rsidRPr="00A3026E" w:rsidRDefault="00E90813" w:rsidP="00A3026E">
      <w:pPr>
        <w:spacing w:after="0" w:line="240" w:lineRule="auto"/>
        <w:jc w:val="both"/>
        <w:rPr>
          <w:rFonts w:ascii="Times New Roman" w:hAnsi="Times New Roman"/>
          <w:color w:val="000000" w:themeColor="text1"/>
          <w:sz w:val="16"/>
          <w:szCs w:val="16"/>
        </w:rPr>
      </w:pPr>
    </w:p>
    <w:p w14:paraId="27C40C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после ввода японских войск в Северный Индокитай, США запретили экспорт в Японию металлолома. В 1939 г. администрация США уведомила Японию в намерении денонсировать японо-американский торговый договор 1911 г., и он перестал действовать с января 1940 г (3871).</w:t>
      </w:r>
    </w:p>
    <w:p w14:paraId="272E12F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D9951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юрисконсульт Минфина США Э.Фоли и О.Кокс обнаружили в архивах закон 1892 (принятый при Президенте Гаррисоне) и согласно закону военный министр США "когда по его усмотрению это будет в интересах государства, может сдавать в аренду на срок не более 5 лет собственность армии, если в ней не нуждается страна" - это послужило правовой базой ленд-лиза (3427).</w:t>
      </w:r>
    </w:p>
    <w:p w14:paraId="6DE45D1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CD54FD1" w14:textId="77777777" w:rsidR="00C66762" w:rsidRPr="00A3026E" w:rsidRDefault="00C66762" w:rsidP="00A3026E">
      <w:pPr>
        <w:pStyle w:val="ad"/>
        <w:ind w:left="0"/>
        <w:jc w:val="both"/>
        <w:rPr>
          <w:color w:val="000000" w:themeColor="text1"/>
          <w:sz w:val="16"/>
          <w:szCs w:val="16"/>
        </w:rPr>
      </w:pPr>
      <w:r w:rsidRPr="00A3026E">
        <w:rPr>
          <w:color w:val="000000" w:themeColor="text1"/>
          <w:sz w:val="16"/>
          <w:szCs w:val="16"/>
        </w:rPr>
        <w:t xml:space="preserve">Осенью 1940 года, когда юрисконсульты министерства финансов США Э.Фоли и О.Кокс обнаружили в архивах закон 1892 года, принятый еще при президенте Бенджамине Гаррисоне. Сдув с него пыль, они прочитали, что военный министр США, "когда по его усмотрению это будет в интересах государства, может сдавать в аренду на срок не более пяти лет собственность армии, если в ней не нуждается страна". </w:t>
      </w:r>
    </w:p>
    <w:p w14:paraId="4E63F1F2" w14:textId="77777777" w:rsidR="00C66762" w:rsidRPr="00A3026E" w:rsidRDefault="00C66762" w:rsidP="00A3026E">
      <w:pPr>
        <w:pStyle w:val="ad"/>
        <w:ind w:left="0"/>
        <w:jc w:val="both"/>
        <w:rPr>
          <w:color w:val="000000" w:themeColor="text1"/>
          <w:sz w:val="16"/>
          <w:szCs w:val="16"/>
        </w:rPr>
      </w:pPr>
      <w:r w:rsidRPr="00A3026E">
        <w:rPr>
          <w:color w:val="000000" w:themeColor="text1"/>
          <w:sz w:val="16"/>
          <w:szCs w:val="16"/>
        </w:rPr>
        <w:t xml:space="preserve">На основании своей находки Фоли и Кокс подготовили билль, то есть законопроект о ленд-лизе, который в январе 1941 года они внесли в Конгресс США. На удивление быстро Палата представителей и Сенат его утвердили, и уже 11 марта 1941 года его подписал президент. Так этот билль стал законом США. </w:t>
      </w:r>
    </w:p>
    <w:p w14:paraId="6B45B5D7" w14:textId="77777777" w:rsidR="00C66762" w:rsidRPr="00A3026E" w:rsidRDefault="00C66762" w:rsidP="00A3026E">
      <w:pPr>
        <w:pStyle w:val="ad"/>
        <w:ind w:left="0"/>
        <w:jc w:val="both"/>
        <w:rPr>
          <w:color w:val="000000" w:themeColor="text1"/>
          <w:sz w:val="16"/>
          <w:szCs w:val="16"/>
        </w:rPr>
      </w:pPr>
      <w:r w:rsidRPr="00A3026E">
        <w:rPr>
          <w:color w:val="000000" w:themeColor="text1"/>
          <w:sz w:val="16"/>
          <w:szCs w:val="16"/>
        </w:rPr>
        <w:t xml:space="preserve">На первый взгляд, мистера Рузвельта втравили в явно убыточное дело. Достаточно взглянуть на порядок расчетов по ленд-лизу: </w:t>
      </w:r>
    </w:p>
    <w:p w14:paraId="6C5DECA4" w14:textId="77777777" w:rsidR="00C66762" w:rsidRPr="00A3026E" w:rsidRDefault="00C66762" w:rsidP="00A3026E">
      <w:pPr>
        <w:pStyle w:val="ad"/>
        <w:ind w:left="0"/>
        <w:jc w:val="both"/>
        <w:rPr>
          <w:color w:val="000000" w:themeColor="text1"/>
          <w:sz w:val="16"/>
          <w:szCs w:val="16"/>
        </w:rPr>
      </w:pPr>
      <w:r w:rsidRPr="00A3026E">
        <w:rPr>
          <w:color w:val="000000" w:themeColor="text1"/>
          <w:sz w:val="16"/>
          <w:szCs w:val="16"/>
        </w:rPr>
        <w:t xml:space="preserve">- материалы уничтоженные или утраченные во время войны, а также ставшие непригодными для дальнейшего употребления оплате не подлежали; </w:t>
      </w:r>
    </w:p>
    <w:p w14:paraId="6A4C5360" w14:textId="77777777" w:rsidR="00C66762" w:rsidRPr="00A3026E" w:rsidRDefault="00C66762" w:rsidP="00A3026E">
      <w:pPr>
        <w:pStyle w:val="ad"/>
        <w:ind w:left="0"/>
        <w:jc w:val="both"/>
        <w:rPr>
          <w:color w:val="000000" w:themeColor="text1"/>
          <w:sz w:val="16"/>
          <w:szCs w:val="16"/>
        </w:rPr>
      </w:pPr>
      <w:r w:rsidRPr="00A3026E">
        <w:rPr>
          <w:color w:val="000000" w:themeColor="text1"/>
          <w:sz w:val="16"/>
          <w:szCs w:val="16"/>
        </w:rPr>
        <w:t xml:space="preserve">- материалы, оказавшиеся после войны пригодными для гражданских потребностей, оплачивались полностью или на условиях долгосрочного кредита; </w:t>
      </w:r>
    </w:p>
    <w:p w14:paraId="0D277733" w14:textId="77777777" w:rsidR="00C66762" w:rsidRPr="00A3026E" w:rsidRDefault="00C66762" w:rsidP="00A3026E">
      <w:pPr>
        <w:pStyle w:val="ad"/>
        <w:ind w:left="0"/>
        <w:jc w:val="both"/>
        <w:rPr>
          <w:color w:val="000000" w:themeColor="text1"/>
          <w:sz w:val="16"/>
          <w:szCs w:val="16"/>
        </w:rPr>
      </w:pPr>
      <w:r w:rsidRPr="00A3026E">
        <w:rPr>
          <w:color w:val="000000" w:themeColor="text1"/>
          <w:sz w:val="16"/>
          <w:szCs w:val="16"/>
        </w:rPr>
        <w:t xml:space="preserve">- недополученные до конца войны материалы страна-заказчик могла приобрести, и щедрое американское правительство обещало кредитовать оплату. </w:t>
      </w:r>
    </w:p>
    <w:p w14:paraId="3E149387" w14:textId="77777777" w:rsidR="00C66762" w:rsidRPr="00A3026E" w:rsidRDefault="00C66762" w:rsidP="00A3026E">
      <w:pPr>
        <w:pStyle w:val="ad"/>
        <w:ind w:left="0"/>
        <w:jc w:val="both"/>
        <w:rPr>
          <w:color w:val="000000" w:themeColor="text1"/>
          <w:sz w:val="16"/>
          <w:szCs w:val="16"/>
        </w:rPr>
      </w:pPr>
      <w:r w:rsidRPr="00A3026E">
        <w:rPr>
          <w:color w:val="000000" w:themeColor="text1"/>
          <w:sz w:val="16"/>
          <w:szCs w:val="16"/>
        </w:rPr>
        <w:t>Единственное, что хоть как-то оправдывало американцев, так это предусмотренное "Законом о ленд-лизе" право истребовать уцелевшие военные материалы назад (11593).</w:t>
      </w:r>
    </w:p>
    <w:p w14:paraId="366C7E2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B2F9A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1940 физики потребовали от разведчиков отправки директивы резидентам по поиску атомнывх центров (3304,189).</w:t>
      </w:r>
    </w:p>
    <w:p w14:paraId="6C56140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4B9D2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8D97D3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AA5BE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второй половине 1940 на А.Л.Сильванского было заведено уголовное дело в связи с кражей директорского ЗИС-101 со 135 завода в Новосибирске. Есть сведения, что после войны работал у С.П.Королева (227,21).</w:t>
      </w:r>
    </w:p>
    <w:p w14:paraId="737E000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3D48036"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4A4765C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017FB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второй половине 1940 с учетом первого периода мировой войны и Финляндии посчитали, что 178 полков и 58 бригад - слишком много и ввели дивизии из 3-4 или 5-6 полков. Были чистые и И-Ш и И-Б соединения (66,236).</w:t>
      </w:r>
    </w:p>
    <w:p w14:paraId="23127BC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723FB4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5A6AC4A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D0724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октябрю 1940 согласно отчету НКАП возможно было произведено 10 штурмовиков (1001,47).</w:t>
      </w:r>
    </w:p>
    <w:p w14:paraId="262014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Интересно, не БШ-2 ли?</w:t>
      </w:r>
    </w:p>
    <w:p w14:paraId="37C2370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C4CE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октябрю 1940 закончились заводские и гос. испытания ДБ-240, которые начались с мая. Тут же решили запустить в серию на 18 заводе, а ОКБ передали в из ГВФ НКАП (4,276).</w:t>
      </w:r>
    </w:p>
    <w:p w14:paraId="093498A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1D0A5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октябрю 1940 г. был закончен постройкой опытный экземпляр Б-1, на котором стояли серийные моторы М-105, после чего начались заводские испытания (9660).</w:t>
      </w:r>
    </w:p>
    <w:p w14:paraId="7C780AC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41E8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ГК Пашинину к октябрю 1941 И-21 был доведен до устойчивого состояния в ходе заводских испытаний и сдан га гос. испытания (2463,257).</w:t>
      </w:r>
    </w:p>
    <w:p w14:paraId="0F76EFF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0E15423" w14:textId="77777777" w:rsidR="00D90A02" w:rsidRPr="00A3026E" w:rsidRDefault="00D90A0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октябрю 1940 г. произошло полное перебазирование ОКБ Н.Н.П. на за</w:t>
      </w:r>
      <w:r w:rsidRPr="00A3026E">
        <w:rPr>
          <w:rFonts w:ascii="Times New Roman" w:hAnsi="Times New Roman"/>
          <w:color w:val="000000" w:themeColor="text1"/>
          <w:sz w:val="16"/>
          <w:szCs w:val="16"/>
        </w:rPr>
        <w:softHyphen/>
        <w:t>вод № 51. Впервые Поликарпов получил собственную производственную базу после короткого периода завода № 25, где он был Техническим директором и Главным кон</w:t>
      </w:r>
      <w:r w:rsidRPr="00A3026E">
        <w:rPr>
          <w:rFonts w:ascii="Times New Roman" w:hAnsi="Times New Roman"/>
          <w:color w:val="000000" w:themeColor="text1"/>
          <w:sz w:val="16"/>
          <w:szCs w:val="16"/>
        </w:rPr>
        <w:softHyphen/>
        <w:t>структором, т.е. не являлся полным единоначальником.</w:t>
      </w:r>
    </w:p>
    <w:p w14:paraId="3F65A865" w14:textId="77777777" w:rsidR="00D90A02" w:rsidRPr="00A3026E" w:rsidRDefault="00D90A0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этот период основным направлением работы по истребителям становится И-185, его первые шесть экземпляров построили на заводе № 1. К этому моменту:</w:t>
      </w:r>
    </w:p>
    <w:p w14:paraId="39F9F0D3" w14:textId="77777777" w:rsidR="00D90A02" w:rsidRPr="00A3026E" w:rsidRDefault="00D90A02" w:rsidP="00A3026E">
      <w:pPr>
        <w:tabs>
          <w:tab w:val="left" w:pos="41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заводе № 1 отобрана часть КБ и истребитель «К»;</w:t>
      </w:r>
    </w:p>
    <w:p w14:paraId="4498A917" w14:textId="77777777" w:rsidR="00D90A02" w:rsidRPr="00A3026E" w:rsidRDefault="00D90A02" w:rsidP="00A3026E">
      <w:pPr>
        <w:tabs>
          <w:tab w:val="left" w:pos="458"/>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заводе № 22 прекращены все работы (как серийные, так и опытные) по пики</w:t>
      </w:r>
      <w:r w:rsidRPr="00A3026E">
        <w:rPr>
          <w:rFonts w:ascii="Times New Roman" w:hAnsi="Times New Roman"/>
          <w:color w:val="000000" w:themeColor="text1"/>
          <w:sz w:val="16"/>
          <w:szCs w:val="16"/>
        </w:rPr>
        <w:softHyphen/>
        <w:t>рующему бомбардировщику;</w:t>
      </w:r>
    </w:p>
    <w:p w14:paraId="2F9BBA69" w14:textId="77777777" w:rsidR="00D90A02" w:rsidRPr="00A3026E" w:rsidRDefault="00D90A02" w:rsidP="00A3026E">
      <w:pPr>
        <w:tabs>
          <w:tab w:val="left" w:pos="43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заводе № 21 прекращена серийная постройка истребителя И-180.</w:t>
      </w:r>
    </w:p>
    <w:p w14:paraId="044B2CEF" w14:textId="77777777" w:rsidR="00D90A02" w:rsidRPr="00A3026E" w:rsidRDefault="00D90A0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Последнее оформили приказом НКАП № 521 от 2 октября 1940 г., которым во испо</w:t>
      </w:r>
      <w:r w:rsidRPr="00A3026E">
        <w:rPr>
          <w:rFonts w:ascii="Times New Roman" w:hAnsi="Times New Roman"/>
          <w:color w:val="000000" w:themeColor="text1"/>
          <w:sz w:val="16"/>
          <w:szCs w:val="16"/>
        </w:rPr>
        <w:softHyphen/>
        <w:t>лнение постановления Правительства от 2 октября 1940 г. по вопросу «Об увеличении дальности истребителей и о постановке их производства на заводах» по заводу № 21 (или как сказано в приказе, по заводу Воронина В.П.) предписывалось:</w:t>
      </w:r>
    </w:p>
    <w:p w14:paraId="530777AF" w14:textId="77777777" w:rsidR="00D90A02" w:rsidRPr="00A3026E" w:rsidRDefault="00D90A0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Производство самолёта И-200 улучшенного поставить на заводе с декабря 1940 г., а производство самолёта И-16 прогрессивно сократить.</w:t>
      </w:r>
    </w:p>
    <w:p w14:paraId="60874A84" w14:textId="77777777" w:rsidR="00D90A02" w:rsidRPr="00A3026E" w:rsidRDefault="00D90A0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Производство самолёта И-180 на заводе прекратить»</w:t>
      </w:r>
      <w:r w:rsidRPr="00A3026E">
        <w:rPr>
          <w:rFonts w:ascii="Times New Roman" w:hAnsi="Times New Roman"/>
          <w:color w:val="000000" w:themeColor="text1"/>
          <w:sz w:val="16"/>
          <w:szCs w:val="16"/>
          <w:vertAlign w:val="superscript"/>
        </w:rPr>
        <w:t>5</w:t>
      </w:r>
      <w:r w:rsidRPr="00A3026E">
        <w:rPr>
          <w:rFonts w:ascii="Times New Roman" w:hAnsi="Times New Roman"/>
          <w:color w:val="000000" w:themeColor="text1"/>
          <w:sz w:val="16"/>
          <w:szCs w:val="16"/>
        </w:rPr>
        <w:t>.</w:t>
      </w:r>
    </w:p>
    <w:p w14:paraId="414290E8" w14:textId="77777777" w:rsidR="00D90A02" w:rsidRPr="00A3026E" w:rsidRDefault="00D90A0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Причем обратите внимание, И-16 — «сократить», а И-180 — «прекратить».</w:t>
      </w:r>
    </w:p>
    <w:p w14:paraId="31BDDDC9" w14:textId="77777777" w:rsidR="00D90A02" w:rsidRPr="00A3026E" w:rsidRDefault="00D90A0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учетом того, что серия И-153 завершалась, Поликарпов остался, не считая У-2, по</w:t>
      </w:r>
      <w:r w:rsidRPr="00A3026E">
        <w:rPr>
          <w:rFonts w:ascii="Times New Roman" w:hAnsi="Times New Roman"/>
          <w:color w:val="000000" w:themeColor="text1"/>
          <w:sz w:val="16"/>
          <w:szCs w:val="16"/>
        </w:rPr>
        <w:softHyphen/>
        <w:t>лностью без серии и с сокращенным объёмом опытных работ (15804).</w:t>
      </w:r>
    </w:p>
    <w:p w14:paraId="5BF24920" w14:textId="77777777" w:rsidR="00D90A02" w:rsidRPr="00A3026E" w:rsidRDefault="00D90A02" w:rsidP="00A3026E">
      <w:pPr>
        <w:spacing w:after="0" w:line="240" w:lineRule="auto"/>
        <w:jc w:val="both"/>
        <w:rPr>
          <w:rFonts w:ascii="Times New Roman" w:hAnsi="Times New Roman"/>
          <w:color w:val="000000" w:themeColor="text1"/>
          <w:sz w:val="16"/>
          <w:szCs w:val="16"/>
        </w:rPr>
      </w:pPr>
    </w:p>
    <w:p w14:paraId="78EC3A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октябрю 1940 года авиация ВМФ РККА насчитывала 15 ГСТ ( в том числе 14с моторами М-62 и 1 с моторами М-87) (РГАВМФ. Ф. Р-61. Оп. 4. Д. 493. Л. 17 об. - 18.). О том, что ГСТ в первую очередь предполагались к исполь</w:t>
      </w:r>
      <w:r w:rsidRPr="00A3026E">
        <w:rPr>
          <w:rFonts w:ascii="Times New Roman" w:hAnsi="Times New Roman"/>
          <w:color w:val="000000" w:themeColor="text1"/>
          <w:sz w:val="16"/>
          <w:szCs w:val="16"/>
        </w:rPr>
        <w:softHyphen/>
        <w:t>зованию в качестве военных машин, говорит и тот факт, что только в июле -августе 1940 года были проведены государственные испытания самолета ГСТ в качестве магистрально-пассажирского самолета для гражданского воздушно</w:t>
      </w:r>
      <w:r w:rsidRPr="00A3026E">
        <w:rPr>
          <w:rFonts w:ascii="Times New Roman" w:hAnsi="Times New Roman"/>
          <w:color w:val="000000" w:themeColor="text1"/>
          <w:sz w:val="16"/>
          <w:szCs w:val="16"/>
        </w:rPr>
        <w:softHyphen/>
        <w:t>го флота, в результате которых он под обозначением МП-7 допускался к при</w:t>
      </w:r>
      <w:r w:rsidRPr="00A3026E">
        <w:rPr>
          <w:rFonts w:ascii="Times New Roman" w:hAnsi="Times New Roman"/>
          <w:color w:val="000000" w:themeColor="text1"/>
          <w:sz w:val="16"/>
          <w:szCs w:val="16"/>
        </w:rPr>
        <w:softHyphen/>
        <w:t>менению (Самарский филиал РГАНТД. Ф. Р-4. Оп. 2-1. Д. 229. Л. 1, 3.). В октябре 1940 года закончились эксплуатационные испытания МП-7 (Самарский филиал РГАНТД. Ф. Р-4. Оп. 2-1. Д. 291. Л. 2.). К началу 1941 года пять этих самолетов эксплуатировались в Главсев-морпути и в Управлении гражданской авиации (Самарский филиал РГАНТД. Ф. Р-4. Оп. 2-1. Д. 291. Л. 2.) (11710,446).</w:t>
      </w:r>
    </w:p>
    <w:p w14:paraId="197BCE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D9AC8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октябрю 1940 г. был выполнен в срок заказ на изготовление 1000 корпусов ПЛАБ-100, а к концу года снаряженные боеприпасы поступили на склады и базы хранения. С 1941 г. авиабомба получила наименование ПЛАБ-100. Вместе с тем общая длина окончательно снаряженного боеприпа-са увеличилась на 220 мм.</w:t>
      </w:r>
    </w:p>
    <w:p w14:paraId="7612F1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ПЛАБ-100 состоял из тонкостенного цилиндра, свальцованного из листовой стали толщиной 3 мм с приваренными к нему сферическими передним и задним обтекателями, также отштампованными из тонкой стали. В головной части была вварена горловина с запальным стаканом, поскольку на этапе разработки авиабомбу также планировали окончательно снаряжать головными глубинными дистанционными трубками ТМ-7. На момент принятия МПЛАБ-100 на вооружение эти трубки, изготовленные на заводе № 398, проходили войсковые испытания.</w:t>
      </w:r>
    </w:p>
    <w:p w14:paraId="4FD4AB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головной запальный стакан можно было использовать в случае окончательного снаряжания боеприпаса головным взрывателем АМ-А с коротким хвостовиком для мгновенного действия авиабомбы по надводным целям. Там же приваривали и кронштейн, необходимый для подвески ПЛАБ-100 на вертикальных бомбодержателях Дер-34. Кроме того, на цилиндрической части корпуса устанавливали и бугель с подвесным ушком для транспортировки боеприпаса на горизонтальных бомбодержателях.</w:t>
      </w:r>
    </w:p>
    <w:p w14:paraId="2CBFA6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донной части был вварен запальный стакан для окончательного снаряжания взрывателями АВ-87 или ВМ-7 при необходимости «работать» по подлодкам на перископной глубине (7453).</w:t>
      </w:r>
    </w:p>
    <w:p w14:paraId="4F578C9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CB9D1E0"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2FB567B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D590D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октябрю 1940 года Авиация флота имела 4 машины типа ПС-84 (РГАВМФ. Ф. Р-61. Оп. 4. Д. 493. Л. 17 об. - 18.). Заявка ВВС ВМФ на 1941 год составляла 50 ПС-84 (проходивших под обозначением ДС-3 М-62 ИР), но Комитет Обороны санкционировал поставку лишь 14 из них (РГАВМФ. Ф. Р-61. Оп. 4. Д. 491. Л. 22 об.). По данным В. Р. Котельникова, на 22 июня 1941 года ВВС РККА принадлежало 49 ПС-84,5 - авиации ВМФ, и еще несколько машин эксплуатировалось в НКВД (Котельников В.Р. От ОС-3 ДО Ли-2. С. 21.).</w:t>
      </w:r>
    </w:p>
    <w:p w14:paraId="3C55CA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всех положительных моментах, связанных с ПС-84, отметим одно важное обстоятельство. Его выпуск в 1939 - 1940 годах составил всего 67 машин (из изготовленных авиапромом 817 транспортных всех типов). ПС-84 являлся практически единственным серийным транспортно-пасса-жирским самолетом (не считая модификаций У-2), который выпускался для советской авиации в 1939 - 1941 годах. Еще 100 таких самолетов только предполагалось изготовить в первой половине 1941 года, согласно Поста</w:t>
      </w:r>
      <w:r w:rsidRPr="00A3026E">
        <w:rPr>
          <w:rFonts w:ascii="Times New Roman" w:hAnsi="Times New Roman"/>
          <w:color w:val="000000" w:themeColor="text1"/>
          <w:sz w:val="16"/>
          <w:szCs w:val="16"/>
        </w:rPr>
        <w:softHyphen/>
        <w:t>новлению СНК СССР и ЦК ВКП(б) № 24б6-109бсс от 7 декабря 1940 года. Между тем в Германии только в 1939 году было изготовлено для люфтваф</w:t>
      </w:r>
      <w:r w:rsidRPr="00A3026E">
        <w:rPr>
          <w:rFonts w:ascii="Times New Roman" w:hAnsi="Times New Roman"/>
          <w:color w:val="000000" w:themeColor="text1"/>
          <w:sz w:val="16"/>
          <w:szCs w:val="16"/>
        </w:rPr>
        <w:softHyphen/>
        <w:t xml:space="preserve">фе 400 надежных трехмоторных транспортных самолетов «Юнкерс-52», а в течение 1936 - 1938 годов средний объем ежегодных поставок составлял 300 </w:t>
      </w:r>
      <w:r w:rsidRPr="00A3026E">
        <w:rPr>
          <w:rFonts w:ascii="Times New Roman" w:hAnsi="Times New Roman"/>
          <w:color w:val="000000" w:themeColor="text1"/>
          <w:sz w:val="16"/>
          <w:szCs w:val="16"/>
        </w:rPr>
        <w:lastRenderedPageBreak/>
        <w:t>машин. Но даже с таким количеством транспортных самолетов люф</w:t>
      </w:r>
      <w:r w:rsidRPr="00A3026E">
        <w:rPr>
          <w:rFonts w:ascii="Times New Roman" w:hAnsi="Times New Roman"/>
          <w:color w:val="000000" w:themeColor="text1"/>
          <w:sz w:val="16"/>
          <w:szCs w:val="16"/>
        </w:rPr>
        <w:softHyphen/>
        <w:t>тваффе вскоре оказались в тяжелом положении. Если к началу Второй ми</w:t>
      </w:r>
      <w:r w:rsidRPr="00A3026E">
        <w:rPr>
          <w:rFonts w:ascii="Times New Roman" w:hAnsi="Times New Roman"/>
          <w:color w:val="000000" w:themeColor="text1"/>
          <w:sz w:val="16"/>
          <w:szCs w:val="16"/>
        </w:rPr>
        <w:softHyphen/>
        <w:t>ровой войны они располагали 552 «Юнкерс-52», то уже в боях на Западе в первой половине 1940 года потери составили 214 машин и для восстанов</w:t>
      </w:r>
      <w:r w:rsidRPr="00A3026E">
        <w:rPr>
          <w:rFonts w:ascii="Times New Roman" w:hAnsi="Times New Roman"/>
          <w:color w:val="000000" w:themeColor="text1"/>
          <w:sz w:val="16"/>
          <w:szCs w:val="16"/>
        </w:rPr>
        <w:softHyphen/>
        <w:t>ления только этих потерь требовалось полгода работы авиапромышлен</w:t>
      </w:r>
      <w:r w:rsidRPr="00A3026E">
        <w:rPr>
          <w:rFonts w:ascii="Times New Roman" w:hAnsi="Times New Roman"/>
          <w:color w:val="000000" w:themeColor="text1"/>
          <w:sz w:val="16"/>
          <w:szCs w:val="16"/>
        </w:rPr>
        <w:softHyphen/>
        <w:t>ности, которая смогла выпустить в 1940 году 401 самолет этого типа. А Советский Союз еще в 1941 году только лишь приближался к подобному темпу производства современной транспортной авиации (Степанов А.С. Гражданская авиация СССР — важный резерв РККА накануне Великой Отечественной войны // Чтения по военной истории: Сборник статей. СПб, 2005. С. 443.).</w:t>
      </w:r>
    </w:p>
    <w:p w14:paraId="42399A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началом войны в течение второй половины 1941 года ГУГВФ, пере</w:t>
      </w:r>
      <w:r w:rsidRPr="00A3026E">
        <w:rPr>
          <w:rFonts w:ascii="Times New Roman" w:hAnsi="Times New Roman"/>
          <w:color w:val="000000" w:themeColor="text1"/>
          <w:sz w:val="16"/>
          <w:szCs w:val="16"/>
        </w:rPr>
        <w:softHyphen/>
        <w:t>давшему в особые подразделения практически весь свой наличный парк ПС-84, удалось задействовать в интересах фронта в общей сложности лишь около 170 ПС-84 (с учетом поступления их от промышленности). А потери только за первые четыре с небольшим месяца с начала войны (на 1 ноября 1941 года) составили 57 машин этого типа (РГАЭ.Ф.9527.Д. 1724. Л. 17,21.) (11710,447).</w:t>
      </w:r>
    </w:p>
    <w:p w14:paraId="36E63A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95ACC4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B5C3B6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C5FB6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года постановление № 388сс КО</w:t>
      </w:r>
    </w:p>
    <w:p w14:paraId="0EE1D1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финансировании производства самолетов БШ-2 на заводе № 30 НКАП</w:t>
      </w:r>
    </w:p>
    <w:p w14:paraId="081F11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дополнение к постановлению КО № 335сс от 26 июля 1940 года КО постановляет:</w:t>
      </w:r>
    </w:p>
    <w:p w14:paraId="2AEBA98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Отпустить из резервного фонда СНК НКАП 7,5 млн. рублей, в том числе:</w:t>
      </w:r>
    </w:p>
    <w:p w14:paraId="2DD2BB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на постановку производства на заводе № 30 согласно постановлению КО № 335сс 10 штук самолетов БШ-2 и изготовление в 1940 году 2-х комплектов оснастки для производства самолетов БШ заводу № 381 – 7 млн. рублей;</w:t>
      </w:r>
    </w:p>
    <w:p w14:paraId="08640D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распоряжение НКАП Шахурина А.И. на премирование рабочих, ИТР и служащих завода № 30 за выпуск 10 самолетов БШ-2 и изготовление 2-х консплектов оснастки заводу № 381 – 500000 рублей.</w:t>
      </w:r>
    </w:p>
    <w:p w14:paraId="0176659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наркома нефтяной промышленности Седина И.К. обеспечить на Подольском заводе изготовление броневых каркасов для самолета БШ-2 по ранее изготовленным образцам и чертежам завода № 39 к 1 декабря 1940 года – 10 комплектов и к 1 января 1941 года – 15 (7611, 246).</w:t>
      </w:r>
    </w:p>
    <w:p w14:paraId="3623D8F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1847AC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вышло постановления Правительства (КО при СНК Союза ССР) N 388 "О финансировании производства самолетов БШ-2 на заводе 30", которое имело отношение к постановке производства БШ-2 на заводе N 30 и выделению из резервного фонда СНК СССР 7.5 млн. руб. для поощрения завода за выпуск БШ-2 (248,18).</w:t>
      </w:r>
    </w:p>
    <w:p w14:paraId="10A2A9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Этим же постановлением Наркомат Нефтяной Промышленности обязан обеспечить на Подольском заводе изготовление броневых каркасов для самолета БШ-2 по ранее изготовленным образцам и чертежам завода N 39 к 1 декабря 1940 года - 10 комплектов и к 1 января 1941 года - 15 комплектов (248,18).</w:t>
      </w:r>
    </w:p>
    <w:p w14:paraId="4B5912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Жаль, текста нет (есть только ссылка в приказе НКАП от 12 октября) и не понятно, как это постановление соотносится с проектом от 20 июня. Приказ от 3 октября свидетельствует, что работа на 30 заводе велась во всю и не ясно, на основании какого приказа.</w:t>
      </w:r>
    </w:p>
    <w:p w14:paraId="33251A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дополнение к постановлению КО № 335сс от 26 июля 1940 КО при СНК Союза СССР постановляет:</w:t>
      </w:r>
    </w:p>
    <w:p w14:paraId="318687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Отпустить из резервного фонда СНК Союза СССР НКАП 7,5 млн. рублей, в том числе:</w:t>
      </w:r>
    </w:p>
    <w:p w14:paraId="10F9F9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на постановку производства на завлде № 30, согласно постановлению КО № 335, 10 штук самолетов БШ-2 и изготовление в 1940 2-х комплектов оснастки для производства самолетов БШ-2 заводу № 381 - 7 млн. руб.</w:t>
      </w:r>
    </w:p>
    <w:p w14:paraId="60E7F2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распоряжение НКАП т. Шахурина А.И. на премирование рабочих, ИТР и служащих завода № 30 за выпуск 10 самолетов БШ-2 и изготовление 2-х комплектов оснастки заводу № 381 - 500000 рублей.</w:t>
      </w:r>
    </w:p>
    <w:p w14:paraId="3D5246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об израсходовании премиальных сумм представить в КО к 20 января 1940.</w:t>
      </w:r>
    </w:p>
    <w:p w14:paraId="185BE6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НК нефтяной промышленности т. Седина И.К. обеспечить на Подольском заводе изготовление броневых каркасов для самолета БШ-2 по ранее изготовленным образцам и чертежам завода № 39 к 1 декабря 1940 г. - 10 комплектов и к 1 января 1940 - 15</w:t>
      </w:r>
    </w:p>
    <w:p w14:paraId="18B8AD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 КО СНК К.Ворошилов</w:t>
      </w:r>
    </w:p>
    <w:p w14:paraId="7FD6C0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Секретарь КО М.Пугаев (10395,210).</w:t>
      </w:r>
    </w:p>
    <w:p w14:paraId="6CA5BAD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CFD86E0"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1 октября 1940 г. Я. Г. Таубин доложил предсе</w:t>
      </w:r>
      <w:r w:rsidRPr="00A3026E">
        <w:rPr>
          <w:color w:val="000000" w:themeColor="text1"/>
          <w:sz w:val="16"/>
          <w:szCs w:val="16"/>
        </w:rPr>
        <w:softHyphen/>
        <w:t>дателю Комитета обороны маршалу К. Е. Вороши</w:t>
      </w:r>
      <w:r w:rsidRPr="00A3026E">
        <w:rPr>
          <w:color w:val="000000" w:themeColor="text1"/>
          <w:sz w:val="16"/>
          <w:szCs w:val="16"/>
        </w:rPr>
        <w:softHyphen/>
        <w:t>лову о работах ОКБ-16 в области автоматического оружия для авиации, армии и флота и достигнутых при этом результатах. А показать Таубину было что. В активе ОКБ-16 были такие образцы оружия, как гранатомет АПС-40,8 калибра 40,8 мм (в том числе и для штурмовой авиации), авиационная ПТБ-23 и зенитно-противотанковая АЗП-23 пушки калибра 23 мм, а также пушки калибра 37 мм — авиацион</w:t>
      </w:r>
      <w:r w:rsidRPr="00A3026E">
        <w:rPr>
          <w:color w:val="000000" w:themeColor="text1"/>
          <w:sz w:val="16"/>
          <w:szCs w:val="16"/>
        </w:rPr>
        <w:softHyphen/>
        <w:t>ная БМА-37 и зенитно-противотанковая БМЗ-37.</w:t>
      </w:r>
    </w:p>
    <w:p w14:paraId="152BFED8"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Автоматы предназначались для применения в наземных войсках (пехотные, автобронетанковые и зенитные части), в авиации, в войсках противо</w:t>
      </w:r>
      <w:r w:rsidRPr="00A3026E">
        <w:rPr>
          <w:color w:val="000000" w:themeColor="text1"/>
          <w:sz w:val="16"/>
          <w:szCs w:val="16"/>
        </w:rPr>
        <w:softHyphen/>
        <w:t>воздушной обороны, на боевых кораблях и кате</w:t>
      </w:r>
      <w:r w:rsidRPr="00A3026E">
        <w:rPr>
          <w:color w:val="000000" w:themeColor="text1"/>
          <w:sz w:val="16"/>
          <w:szCs w:val="16"/>
        </w:rPr>
        <w:softHyphen/>
        <w:t>рах, а также в пограничных войсках НКВД.</w:t>
      </w:r>
    </w:p>
    <w:p w14:paraId="53DC522D"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материалах доклада Таубин указывал, что «в основу всех автоматов ОКБ-16 положен класси</w:t>
      </w:r>
      <w:r w:rsidRPr="00A3026E">
        <w:rPr>
          <w:color w:val="000000" w:themeColor="text1"/>
          <w:sz w:val="16"/>
          <w:szCs w:val="16"/>
        </w:rPr>
        <w:softHyphen/>
        <w:t>ческий артиллерийский принцип — схема погло</w:t>
      </w:r>
      <w:r w:rsidRPr="00A3026E">
        <w:rPr>
          <w:color w:val="000000" w:themeColor="text1"/>
          <w:sz w:val="16"/>
          <w:szCs w:val="16"/>
        </w:rPr>
        <w:softHyphen/>
        <w:t>щения энергии выстрела работой откатывающихся подвижных масс и гидравлического амортизаци</w:t>
      </w:r>
      <w:r w:rsidRPr="00A3026E">
        <w:rPr>
          <w:color w:val="000000" w:themeColor="text1"/>
          <w:sz w:val="16"/>
          <w:szCs w:val="16"/>
        </w:rPr>
        <w:softHyphen/>
        <w:t>онного устройства. Проведенная опытно-исследо</w:t>
      </w:r>
      <w:r w:rsidRPr="00A3026E">
        <w:rPr>
          <w:color w:val="000000" w:themeColor="text1"/>
          <w:sz w:val="16"/>
          <w:szCs w:val="16"/>
        </w:rPr>
        <w:softHyphen/>
        <w:t>вательская и конструкторская разработка этого принципа позволила ОКБ-16, одновременно с полу</w:t>
      </w:r>
      <w:r w:rsidRPr="00A3026E">
        <w:rPr>
          <w:color w:val="000000" w:themeColor="text1"/>
          <w:sz w:val="16"/>
          <w:szCs w:val="16"/>
        </w:rPr>
        <w:softHyphen/>
        <w:t>чением мощных баллистических показателей, до</w:t>
      </w:r>
      <w:r w:rsidRPr="00A3026E">
        <w:rPr>
          <w:color w:val="000000" w:themeColor="text1"/>
          <w:sz w:val="16"/>
          <w:szCs w:val="16"/>
        </w:rPr>
        <w:softHyphen/>
        <w:t>стигнуть высоких темпов стрельбы при сравнитель</w:t>
      </w:r>
      <w:r w:rsidRPr="00A3026E">
        <w:rPr>
          <w:color w:val="000000" w:themeColor="text1"/>
          <w:sz w:val="16"/>
          <w:szCs w:val="16"/>
        </w:rPr>
        <w:softHyphen/>
        <w:t>но малых весах автоматов». По данным ОКБ-16, темп стрельбы автомата калибра 23 мм обеспечивался на уровне 600 выстр./мин при весе всего 40 кг, ка</w:t>
      </w:r>
      <w:r w:rsidRPr="00A3026E">
        <w:rPr>
          <w:color w:val="000000" w:themeColor="text1"/>
          <w:sz w:val="16"/>
          <w:szCs w:val="16"/>
        </w:rPr>
        <w:softHyphen/>
        <w:t>либра 37 мм — 300 выстр./мин и 120 кг, калибра 40,8 мм — 600 выстр./мин (в пределах обоймы) и 14 кг соответственно. Начальная скорость боепри</w:t>
      </w:r>
      <w:r w:rsidRPr="00A3026E">
        <w:rPr>
          <w:color w:val="000000" w:themeColor="text1"/>
          <w:sz w:val="16"/>
          <w:szCs w:val="16"/>
        </w:rPr>
        <w:softHyphen/>
        <w:t>пасов достигала 900 м/с — для пушек и 125 м/с — для гранатомета. Причем эти данные ОКБ-16 не счи</w:t>
      </w:r>
      <w:r w:rsidRPr="00A3026E">
        <w:rPr>
          <w:color w:val="000000" w:themeColor="text1"/>
          <w:sz w:val="16"/>
          <w:szCs w:val="16"/>
        </w:rPr>
        <w:softHyphen/>
        <w:t>тало «в настоящее время предельными».</w:t>
      </w:r>
    </w:p>
    <w:p w14:paraId="46495A8B"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Утверждалось, что «особенности автоматов ОКБ-16 при наличии баллистических данных, зна</w:t>
      </w:r>
      <w:r w:rsidRPr="00A3026E">
        <w:rPr>
          <w:color w:val="000000" w:themeColor="text1"/>
          <w:sz w:val="16"/>
          <w:szCs w:val="16"/>
        </w:rPr>
        <w:softHyphen/>
        <w:t>чительно превосходящих известные заграничные образцы, позволяют использовать их для всех ви</w:t>
      </w:r>
      <w:r w:rsidRPr="00A3026E">
        <w:rPr>
          <w:color w:val="000000" w:themeColor="text1"/>
          <w:sz w:val="16"/>
          <w:szCs w:val="16"/>
        </w:rPr>
        <w:softHyphen/>
        <w:t>дов авиационного вооружения в качестве мотор</w:t>
      </w:r>
      <w:r w:rsidRPr="00A3026E">
        <w:rPr>
          <w:color w:val="000000" w:themeColor="text1"/>
          <w:sz w:val="16"/>
          <w:szCs w:val="16"/>
        </w:rPr>
        <w:softHyphen/>
        <w:t>ных, крыльевых и турельных пушек, а также для фюзеляжных одиночных и парных установок».</w:t>
      </w:r>
    </w:p>
    <w:p w14:paraId="07236A4E"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 заявлению Таубина, «однообразие принципа и конструкций автоматов ОКБ-16 позволяет обе</w:t>
      </w:r>
      <w:r w:rsidRPr="00A3026E">
        <w:rPr>
          <w:color w:val="000000" w:themeColor="text1"/>
          <w:sz w:val="16"/>
          <w:szCs w:val="16"/>
        </w:rPr>
        <w:softHyphen/>
        <w:t>спечить их относительную дешевизну, упростить мобилизационные вопросы по малокалиберным авиационным пушкам и зенитно-противотанковым пушкам, вопросы снабжения и обеспечить в крат</w:t>
      </w:r>
      <w:r w:rsidRPr="00A3026E">
        <w:rPr>
          <w:color w:val="000000" w:themeColor="text1"/>
          <w:sz w:val="16"/>
          <w:szCs w:val="16"/>
        </w:rPr>
        <w:softHyphen/>
        <w:t>чайшие сроки освоения их в армии, что имеет большое значение, особенно в условиях военного времени».</w:t>
      </w:r>
    </w:p>
    <w:p w14:paraId="74B1E3B6"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Особое внимание обращалось на то, что «ави</w:t>
      </w:r>
      <w:r w:rsidRPr="00A3026E">
        <w:rPr>
          <w:color w:val="000000" w:themeColor="text1"/>
          <w:sz w:val="16"/>
          <w:szCs w:val="16"/>
        </w:rPr>
        <w:softHyphen/>
        <w:t>ационные автоматические пушки ОКБ-16 с непре</w:t>
      </w:r>
      <w:r w:rsidRPr="00A3026E">
        <w:rPr>
          <w:color w:val="000000" w:themeColor="text1"/>
          <w:sz w:val="16"/>
          <w:szCs w:val="16"/>
        </w:rPr>
        <w:softHyphen/>
        <w:t>рывным беззвеньевым питанием опробованы с по</w:t>
      </w:r>
      <w:r w:rsidRPr="00A3026E">
        <w:rPr>
          <w:color w:val="000000" w:themeColor="text1"/>
          <w:sz w:val="16"/>
          <w:szCs w:val="16"/>
        </w:rPr>
        <w:softHyphen/>
        <w:t>ложительными результатами как зенитно-противо- танковые и танковые установки». К тому же схема автоматики пушек ОКБ-16 «характеризуется мень</w:t>
      </w:r>
      <w:r w:rsidRPr="00A3026E">
        <w:rPr>
          <w:color w:val="000000" w:themeColor="text1"/>
          <w:sz w:val="16"/>
          <w:szCs w:val="16"/>
        </w:rPr>
        <w:softHyphen/>
        <w:t>шим усилием отдачи по сравнению с автоматиче</w:t>
      </w:r>
      <w:r w:rsidRPr="00A3026E">
        <w:rPr>
          <w:color w:val="000000" w:themeColor="text1"/>
          <w:sz w:val="16"/>
          <w:szCs w:val="16"/>
        </w:rPr>
        <w:softHyphen/>
        <w:t>скими пушками, основанными на принципе отвода газов».</w:t>
      </w:r>
    </w:p>
    <w:p w14:paraId="6779B1DA"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Получалось так, что с отработкой системы ав</w:t>
      </w:r>
      <w:r w:rsidRPr="00A3026E">
        <w:rPr>
          <w:color w:val="000000" w:themeColor="text1"/>
          <w:sz w:val="16"/>
          <w:szCs w:val="16"/>
        </w:rPr>
        <w:softHyphen/>
        <w:t>томатов ОКБ-16 калибра 23 и 37 мм появлялась реальная возможность унифицировать схемные решения автоматических пушек для наземных войск, Военно-морского флота и авиации, мини</w:t>
      </w:r>
      <w:r w:rsidRPr="00A3026E">
        <w:rPr>
          <w:color w:val="000000" w:themeColor="text1"/>
          <w:sz w:val="16"/>
          <w:szCs w:val="16"/>
        </w:rPr>
        <w:softHyphen/>
        <w:t>мизировать номенклатуру боеприпасов, упростить обслуживание, удешевить эксплуатацию и обуче</w:t>
      </w:r>
      <w:r w:rsidRPr="00A3026E">
        <w:rPr>
          <w:color w:val="000000" w:themeColor="text1"/>
          <w:sz w:val="16"/>
          <w:szCs w:val="16"/>
        </w:rPr>
        <w:softHyphen/>
        <w:t>ние личного состава. Перспектива вырисовывалась заманчивая.</w:t>
      </w:r>
    </w:p>
    <w:p w14:paraId="42A8F866"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Надо полагать, предъявленные материалы убе</w:t>
      </w:r>
      <w:r w:rsidRPr="00A3026E">
        <w:rPr>
          <w:color w:val="000000" w:themeColor="text1"/>
          <w:sz w:val="16"/>
          <w:szCs w:val="16"/>
        </w:rPr>
        <w:softHyphen/>
        <w:t>дили маршала К. Е. Ворошилова в серьезности до</w:t>
      </w:r>
      <w:r w:rsidRPr="00A3026E">
        <w:rPr>
          <w:color w:val="000000" w:themeColor="text1"/>
          <w:sz w:val="16"/>
          <w:szCs w:val="16"/>
        </w:rPr>
        <w:softHyphen/>
        <w:t>стижений ОКБ-16 и целесообразности подключе</w:t>
      </w:r>
      <w:r w:rsidRPr="00A3026E">
        <w:rPr>
          <w:color w:val="000000" w:themeColor="text1"/>
          <w:sz w:val="16"/>
          <w:szCs w:val="16"/>
        </w:rPr>
        <w:softHyphen/>
        <w:t>ния Я. Г. Таубина и его коллектива к программе соз</w:t>
      </w:r>
      <w:r w:rsidRPr="00A3026E">
        <w:rPr>
          <w:color w:val="000000" w:themeColor="text1"/>
          <w:sz w:val="16"/>
          <w:szCs w:val="16"/>
        </w:rPr>
        <w:softHyphen/>
        <w:t>дания системы стрелково-пушечного вооружения для ВВС КА.</w:t>
      </w:r>
    </w:p>
    <w:p w14:paraId="674E32B9"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Здесь следует иметь в виду, что Таубин сильно конфликтовал с начальником Главного артилле</w:t>
      </w:r>
      <w:r w:rsidRPr="00A3026E">
        <w:rPr>
          <w:color w:val="000000" w:themeColor="text1"/>
          <w:sz w:val="16"/>
          <w:szCs w:val="16"/>
        </w:rPr>
        <w:softHyphen/>
        <w:t>рийского управления Красной Армии маршалом Куликом по автоматическому гранатомету АПС-40,8. Кулик был против любого массового оружия, при изготовлении которого применялись фрезерные работы. Таубин же неоднократно пытался убе</w:t>
      </w:r>
      <w:r w:rsidRPr="00A3026E">
        <w:rPr>
          <w:color w:val="000000" w:themeColor="text1"/>
          <w:sz w:val="16"/>
          <w:szCs w:val="16"/>
        </w:rPr>
        <w:softHyphen/>
        <w:t>дить маршала Ворошилова в целесообразности постановки на вооружение гранатомета, обещая повысить технологичность и снизить стоимость АПС-40,8 в серии. Это вызывало недовольство Во</w:t>
      </w:r>
      <w:r w:rsidRPr="00A3026E">
        <w:rPr>
          <w:color w:val="000000" w:themeColor="text1"/>
          <w:sz w:val="16"/>
          <w:szCs w:val="16"/>
        </w:rPr>
        <w:softHyphen/>
        <w:t>рошилова, полностью доверявшего Кулику, и ответ</w:t>
      </w:r>
      <w:r w:rsidRPr="00A3026E">
        <w:rPr>
          <w:color w:val="000000" w:themeColor="text1"/>
          <w:sz w:val="16"/>
          <w:szCs w:val="16"/>
        </w:rPr>
        <w:softHyphen/>
        <w:t>ную негативную реакцию самого Кулика, который заявлял на совещаниях, что Таубин мешает ему работать и его надо арестовать. К тому же маршал Кулик пользовался авторитетом и доверием не только у Ворошилова, но и у Сталина, считавшего Кулика военачальником, способным решать как технические вопросы по вооружению, так и даже оперативные вопросы. В этой связи Ворошилов с опаской и недоверием относился к Таубину и его работам. Поэтому очень важно было заручиться его поддержкой (17500).</w:t>
      </w:r>
    </w:p>
    <w:p w14:paraId="3DFCE2F6" w14:textId="77777777" w:rsidR="0066319C" w:rsidRPr="00A3026E" w:rsidRDefault="0066319C" w:rsidP="00A3026E">
      <w:pPr>
        <w:spacing w:after="0" w:line="240" w:lineRule="auto"/>
        <w:jc w:val="both"/>
        <w:rPr>
          <w:rFonts w:ascii="Times New Roman" w:eastAsia="Times New Roman" w:hAnsi="Times New Roman"/>
          <w:color w:val="000000" w:themeColor="text1"/>
          <w:sz w:val="16"/>
          <w:szCs w:val="16"/>
          <w:lang w:eastAsia="ru-RU"/>
        </w:rPr>
      </w:pPr>
    </w:p>
    <w:p w14:paraId="299BC598" w14:textId="77777777" w:rsidR="00C66762" w:rsidRPr="00A3026E" w:rsidRDefault="00C66762" w:rsidP="00A3026E">
      <w:pPr>
        <w:pStyle w:val="a3"/>
        <w:widowControl/>
        <w:rPr>
          <w:color w:val="000000" w:themeColor="text1"/>
          <w:lang w:val="ru-RU"/>
        </w:rPr>
      </w:pPr>
      <w:r w:rsidRPr="00A3026E">
        <w:rPr>
          <w:color w:val="000000" w:themeColor="text1"/>
          <w:lang w:val="ru-RU"/>
        </w:rPr>
        <w:t>1 октября 1940 года секретарь Совета оборонной промышленности И. Семичастнов писал письмо № 622/соп в НКО Тимошенко С.К.</w:t>
      </w:r>
    </w:p>
    <w:p w14:paraId="57F823F8" w14:textId="77777777" w:rsidR="00C66762" w:rsidRPr="00A3026E" w:rsidRDefault="00C66762" w:rsidP="00A3026E">
      <w:pPr>
        <w:pStyle w:val="a3"/>
        <w:widowControl/>
        <w:rPr>
          <w:color w:val="000000" w:themeColor="text1"/>
          <w:lang w:val="ru-RU"/>
        </w:rPr>
      </w:pPr>
      <w:r w:rsidRPr="00A3026E">
        <w:rPr>
          <w:color w:val="000000" w:themeColor="text1"/>
          <w:lang w:val="ru-RU"/>
        </w:rPr>
        <w:t>Направляется копия заключения НКАП – Шахурина А.И. по проекту постановления КО "О доводке самолета ББ-1 с мотором М-88".</w:t>
      </w:r>
    </w:p>
    <w:p w14:paraId="6588D36F" w14:textId="77777777" w:rsidR="00C66762" w:rsidRPr="00A3026E" w:rsidRDefault="00C66762" w:rsidP="00A3026E">
      <w:pPr>
        <w:pStyle w:val="a3"/>
        <w:widowControl/>
        <w:rPr>
          <w:color w:val="000000" w:themeColor="text1"/>
          <w:lang w:val="ru-RU"/>
        </w:rPr>
      </w:pPr>
      <w:r w:rsidRPr="00A3026E">
        <w:rPr>
          <w:color w:val="000000" w:themeColor="text1"/>
          <w:lang w:val="ru-RU"/>
        </w:rPr>
        <w:t>О принятом решении по письму Шахурина просьба сообщить к 5 октября 1940 года</w:t>
      </w:r>
    </w:p>
    <w:p w14:paraId="4D242A35" w14:textId="77777777" w:rsidR="00C66762" w:rsidRPr="00A3026E" w:rsidRDefault="00C66762" w:rsidP="00A3026E">
      <w:pPr>
        <w:pStyle w:val="a3"/>
        <w:widowControl/>
        <w:rPr>
          <w:color w:val="000000" w:themeColor="text1"/>
          <w:lang w:val="ru-RU"/>
        </w:rPr>
      </w:pPr>
      <w:r w:rsidRPr="00A3026E">
        <w:rPr>
          <w:color w:val="000000" w:themeColor="text1"/>
          <w:lang w:val="ru-RU"/>
        </w:rPr>
        <w:t>Приложение: упомянутое (сов. секретно) на 3 листах, проект постановления КО (подлежит возврату) (3377, 64).</w:t>
      </w:r>
    </w:p>
    <w:p w14:paraId="7F7407C5" w14:textId="77777777" w:rsidR="00C66762" w:rsidRPr="00A3026E" w:rsidRDefault="00C66762" w:rsidP="00A3026E">
      <w:pPr>
        <w:pStyle w:val="a3"/>
        <w:widowControl/>
        <w:rPr>
          <w:color w:val="000000" w:themeColor="text1"/>
          <w:lang w:val="ru-RU"/>
        </w:rPr>
      </w:pPr>
    </w:p>
    <w:p w14:paraId="215B0C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года начальник штаба полка БП писал письмо N 0286 начальнику 1 управления ГУ ВВС генерал-лейтенанту авиации Пумпур.</w:t>
      </w:r>
    </w:p>
    <w:p w14:paraId="3CFE2E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Препровождаю Вам 1 экземпляр отчета по войсковым испытаниям самолета ББ-1 с мотором М-88.</w:t>
      </w:r>
    </w:p>
    <w:p w14:paraId="7E4CDE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660255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 в/инженер 2 ранга Часовиков</w:t>
      </w:r>
    </w:p>
    <w:p w14:paraId="02A976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Командующий летной группы капитан Пушкин</w:t>
      </w:r>
    </w:p>
    <w:p w14:paraId="3A263B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Войсковые испытания самолета ББ-1 с мотором М-88 проводились на Харьковском аэродроме летно-техническим составом 135 авиаполка и полка боевого применения НИИ.</w:t>
      </w:r>
    </w:p>
    <w:p w14:paraId="67D35F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проводились в период с 17 мая по 20 июня 1940 года.</w:t>
      </w:r>
    </w:p>
    <w:p w14:paraId="3308AC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Фактически испытания были начаты 7 мая на 4-х самолетах с мотором М-87 _</w:t>
      </w:r>
    </w:p>
    <w:p w14:paraId="6EC440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мая 1940 года с завода N 135 были получены 3 самолета с мотором М-88. Также 3 самолета были получены из 135 авиаполка.</w:t>
      </w:r>
    </w:p>
    <w:p w14:paraId="79E0E7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испытания по программе были начаты 10 мая и закончены 20 июня 1940 года.</w:t>
      </w:r>
    </w:p>
    <w:p w14:paraId="44196D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на самолетах ББ-1 произведено 616 полетов при общем налете 157 часов.</w:t>
      </w:r>
    </w:p>
    <w:p w14:paraId="1E80F1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проведены без аварий и катастроф.</w:t>
      </w:r>
    </w:p>
    <w:p w14:paraId="53B290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Войсковые испытания ББ-1 М-88 проводились на 6 самолетах 0 и 1 серии с мотором М-88.</w:t>
      </w:r>
    </w:p>
    <w:p w14:paraId="047020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конструкции самолеты ББ-1, проходившие войсковые испытания мало чем отличались от самолета ББ-1, проходившего гос. испытания за исключением того, что у серийных самолетов фюзеляж представляет собой деревянный монокок.</w:t>
      </w:r>
    </w:p>
    <w:p w14:paraId="5C9162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ББ-1 М-88 конструкции инженера Сухого продукции завода N 135 представляет собой современный тип самолета с хорошими летно-тактическими данными.</w:t>
      </w:r>
    </w:p>
    <w:p w14:paraId="50857D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Имеет:</w:t>
      </w:r>
    </w:p>
    <w:p w14:paraId="2C3E6B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Убирающиеся шасси и костыль.</w:t>
      </w:r>
    </w:p>
    <w:p w14:paraId="71A981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Закрылки с гидравлическим приводом.</w:t>
      </w:r>
    </w:p>
    <w:p w14:paraId="0ECED7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Винт-автомата.</w:t>
      </w:r>
    </w:p>
    <w:p w14:paraId="303A80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Надежно действующие тормоза.</w:t>
      </w:r>
    </w:p>
    <w:p w14:paraId="4F4DBC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Подогрев кабин, облегчающий высотные полеты.</w:t>
      </w:r>
    </w:p>
    <w:p w14:paraId="7434D5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Автокорректор высотного газа.</w:t>
      </w:r>
    </w:p>
    <w:p w14:paraId="29E518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Крыльевые фары, позволяющие обходиться в исключительных случаях без подсветки прожекторов.</w:t>
      </w:r>
    </w:p>
    <w:p w14:paraId="54E3AE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Новая ночная подсветка приборов.</w:t>
      </w:r>
    </w:p>
    <w:p w14:paraId="3DAF14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Наличие большого количества штампованных и литых деталей, облегчающих ремонт и замену.</w:t>
      </w:r>
    </w:p>
    <w:p w14:paraId="00C4A7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ББ-1 в боевой обстановке может быть использован как:</w:t>
      </w:r>
    </w:p>
    <w:p w14:paraId="135688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ближний бомбардировщик (дневной и ночной) - калибры бомб с ФАБ-50 до ФАБ-250. Нормальная бомбовая нагрузка 400 кг, в перегрузочном варианте 600 кг.</w:t>
      </w:r>
    </w:p>
    <w:p w14:paraId="79C873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штурмовик - в этом варианте самолет располагает 4 пулеметами ШКАС, установленными в крыле и 200 кг бомб любого калибра от 2,5 до 25 кг.</w:t>
      </w:r>
    </w:p>
    <w:p w14:paraId="19F989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химическое вооружение самолета состоит из 2-х ВАП-200, расположенных на наружных подвесках под крылом.</w:t>
      </w:r>
    </w:p>
    <w:p w14:paraId="150D3A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разведчик ближних целей, для чего самолет располагает специальным оборудованием.</w:t>
      </w:r>
    </w:p>
    <w:p w14:paraId="377AF6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344CF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ББ-1 М-88 продукции завода N 135 войсковые испытания прошел удовлетворительно (3833).</w:t>
      </w:r>
    </w:p>
    <w:p w14:paraId="01D6B04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35CD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контролер секретариата наркома НКАП Половноков писал справку N 4696 начальнику особой группы Фирсанову о задержке выпуска ББ-1 на 207 заводе (1170).</w:t>
      </w:r>
    </w:p>
    <w:p w14:paraId="3F2C623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C074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 октября 1940 на 18 заводе было 311 ДБ-3Ф в незавершенном производстве (включая 165 собранных) из-за задержки поставки М-87 и М-88 (1001,52).</w:t>
      </w:r>
    </w:p>
    <w:p w14:paraId="064BE05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7EB17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года начальник 6 управления ГУ ВВС бригинженер Лапин писал письмо № 510964с</w:t>
      </w:r>
    </w:p>
    <w:p w14:paraId="00FF6F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Протокол совещания проведенного зам. начальника ВВС генерал-лейтенантом авиации Астаховым в НИИ ВВС</w:t>
      </w:r>
    </w:p>
    <w:p w14:paraId="626353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возможности производства взлета и полета на самолете ДБ-3ф с М-88 на второй скорости нагнетателя.</w:t>
      </w:r>
    </w:p>
    <w:p w14:paraId="1783CB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Совещанием установлено:</w:t>
      </w:r>
    </w:p>
    <w:p w14:paraId="362953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НИИ ВВС сделано до 15 полетов на самолете ДБ-3ф с М-88 на второй скорости нагнетателя при различных полетных весах самолета.</w:t>
      </w:r>
    </w:p>
    <w:p w14:paraId="6A6ED9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на котором производились полеты имел отличную от серийных самолетов улучшенную маслосистему.</w:t>
      </w:r>
    </w:p>
    <w:p w14:paraId="399B7D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разрешения в частях ВВС производить взлет на самолете ДБ-3ф на второй скорости нагнетателя необходимо:</w:t>
      </w:r>
    </w:p>
    <w:p w14:paraId="1D2BCFC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Провести длительные эксплуатационные испытания на станке и на самолете с целью выявления надежности работы моторов.</w:t>
      </w:r>
    </w:p>
    <w:p w14:paraId="34CEEB6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эксплуатационных испытаний разработать инструкцию для частей ВВС.</w:t>
      </w:r>
    </w:p>
    <w:p w14:paraId="012A57D1" w14:textId="77777777" w:rsidR="00C66762" w:rsidRPr="00A3026E" w:rsidRDefault="00C66762" w:rsidP="00A3026E">
      <w:pPr>
        <w:pStyle w:val="22"/>
        <w:widowControl/>
        <w:rPr>
          <w:color w:val="000000" w:themeColor="text1"/>
        </w:rPr>
      </w:pPr>
      <w:r w:rsidRPr="00A3026E">
        <w:rPr>
          <w:color w:val="000000" w:themeColor="text1"/>
        </w:rPr>
        <w:t>Решение:</w:t>
      </w:r>
    </w:p>
    <w:p w14:paraId="5077AEA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6 управления ГУ ВВС бригинженеру Лапину срочно выделить, а НИИ ВВС принять два самолета ДБ-3ф с М-88 и один самолет ББ-1 с М-88 и провести на них 50-ти часовые эксплуатационные испытания с целью выявления надежности работы моторов на второй скорости нагнетателя.</w:t>
      </w:r>
    </w:p>
    <w:p w14:paraId="1A73888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НИИ ВВС организовать 50-часовые испытания мотора М-88 на станке имея целью проверки надежности мотора при работе на второй скорости и подбора наивыгоднейших режимов (7712, 425-427).</w:t>
      </w:r>
    </w:p>
    <w:p w14:paraId="5D492B6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5B1428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1939 г. Военный совет ВВС согласился получать самолеты ЦКБ-30Ф переходной модификации с М-87Б в капотах "типа Ф" и винты ВИШ-3. Некомплект ДБ-3 в войсках составлял около 40%. Запланированные резервы отсутствовали. Из-за этого многие части продолжали летать на старых ТБ-3, которым давно пора было на покой - кому в металлолом, а кому - в транспортную авиацию.</w:t>
      </w:r>
    </w:p>
    <w:p w14:paraId="2F5CD5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 не менее, заводы, получившие чертежи ЦКБ-30Ф, начали выпуск с "сырого" варианта с М-88 - сказалась инерция. В Москве производство стали разворачивать еще с июля 1939 г. До конца года рассчитывали сделать 60 машин. В ноябре из сборочного цеха завода № 39 уже появились первые ДБ- ЗМ (так они первоначально назывались, причем под этой вывеской шли потом и самолеты с М-87Б). К 10 декабря военной приемке предъявили пять машин, ни одна из которых не была принята. Руководство предприятия объяснило это отсутствием годных моторов М-88 и воздушных винтов. На заводе № 18 первый ДБ-ЗМ собрали в конце октября, а 2 ноября его передали налетные испытания. К 22 декабря на приемку там поступили 14 бомбардировщиков. К Новому году план выполнили, но военная приемка не пропустила ни одной машины. С декабря в Воронеже параллельно пошла сборка самолетов с моторами М-87 и винтами ВИШ-3 и М-88 и ВИШ-23. Кроме двигателей и винтов они ничем не отличались. Завод № 39 до марта комплектовал свои машины только М-88. Последний официально даже не был принят на вооружение, это произошло только 24 января 1940 г. (12021).</w:t>
      </w:r>
    </w:p>
    <w:p w14:paraId="176AAF9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DFB7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Дир. завода 124 М.М.К. направил в НКАП А.И.Ш. программу заводских испытаний ТБ-7 М-40 и сообщил, что полеты по этой программе на аэродроме завода 124 невозможны, т.к. он мал по размерам и быстро размокает 16 п. по наземным и 12 полетов по летным испытаниям (1295,235).</w:t>
      </w:r>
    </w:p>
    <w:p w14:paraId="0B8072E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9C5F27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года вышел приказ НИИ ВВС № 0214</w:t>
      </w:r>
    </w:p>
    <w:p w14:paraId="19F4CA6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принятии на гос. испытания самолета ДБ-240 2М-105 (6890, 119).</w:t>
      </w:r>
    </w:p>
    <w:p w14:paraId="5F05AA3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75F96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вышел приказ Нач. ГУ ВВС П.В.Рычагова, который обязал руководство НИИ ВВС в кратчайший срок провести гос. испытания ДБ-240 Ермолаева. Требовал испытать за 2 недели и представить отчет к 20 октября. Приказ требовал докладывать ежедневно. Вл были назначены Л.П.Дудкин и М.А.Нюхтиков, вш - Н.П.Цветков, С.З.Акопян, ви - Н.Н.Фингеров (3322,9).</w:t>
      </w:r>
    </w:p>
    <w:p w14:paraId="291BF33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4EC120" w14:textId="77777777" w:rsidR="00D90A02" w:rsidRPr="00A3026E" w:rsidRDefault="00D90A0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1-го октября 1940 года проходили государственные испытания Ер-2 на подмосковном аэродроме НИИ ВВС и были закончены 17-го октября (15223).</w:t>
      </w:r>
    </w:p>
    <w:p w14:paraId="5853C649" w14:textId="77777777" w:rsidR="00D90A02" w:rsidRPr="00A3026E" w:rsidRDefault="00D90A02" w:rsidP="00A3026E">
      <w:pPr>
        <w:shd w:val="clear" w:color="auto" w:fill="FFFFFF"/>
        <w:spacing w:after="0" w:line="240" w:lineRule="auto"/>
        <w:jc w:val="both"/>
        <w:rPr>
          <w:rFonts w:ascii="Times New Roman" w:hAnsi="Times New Roman"/>
          <w:color w:val="000000" w:themeColor="text1"/>
          <w:sz w:val="16"/>
          <w:szCs w:val="16"/>
        </w:rPr>
      </w:pPr>
    </w:p>
    <w:p w14:paraId="20EABA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Л.П.Б. писал письмо N 4023/б Шахурину и Воронину о ходе работы над запуском в серию ПБ 100:</w:t>
      </w:r>
    </w:p>
    <w:p w14:paraId="67FA2F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НКВД провел проверку выполнения решения Правительства от 23 июня сего года - о внедрении в серийное производство самолета ПБ-100 на заводах N 39 и N 22 НКАП.</w:t>
      </w:r>
    </w:p>
    <w:p w14:paraId="0405FA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проверки установлено, что по заводу N 39 в первый период изготовление самолетов ПБ-100 было не полностью обеспечено материалами.</w:t>
      </w:r>
    </w:p>
    <w:p w14:paraId="745EDA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Вследствие запоздания комбината 150 с подачей листового материала, завод N 39, имея подготовленные формблоки и штампы, не смог своевременно развернуть все необходимые работы из-за отсутствия материалов.</w:t>
      </w:r>
    </w:p>
    <w:p w14:paraId="75F7B5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Помимо этого, завод N 39 получил с опозданием, примерно на месяц, шаблоны с завода N 156 и литье с завода N 219.</w:t>
      </w:r>
    </w:p>
    <w:p w14:paraId="3AF6FD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работ по подготовке производства отсутствовало централизованное руководство основными цехами завода. Детали были розданы цехам без достаточной увязки их по агрегатам.</w:t>
      </w:r>
    </w:p>
    <w:p w14:paraId="30742D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Недостаточно четко была проведена планировка работ как по заводу в целом, так и по отдельным цехам.</w:t>
      </w:r>
    </w:p>
    <w:p w14:paraId="73F68A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Перечисленные недостатки задержали подготовку производства самолетов приблизительно на 15 дней.</w:t>
      </w:r>
    </w:p>
    <w:p w14:paraId="543467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дополнение к принятым мерам по устранению имевших место недочетов, необходимо обеспечить выполнение всех заказов со стороны заводов-смежников: завода N 219 - литье, Кольчугинский завод - заклепки, завод N 119 - шасси, заводы NN 266, 132, 33, 25, 20 - механизмы дистанционного управления и другие агрегаты, завод N 26 - моторы, завод N 28 - винты.</w:t>
      </w:r>
    </w:p>
    <w:p w14:paraId="7964E5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также закончить к 20 октября с.г. изготовление 2-х комплектов сборочных стапелей; форсировать изготовление штампов и литья на заводах "ЗИС", "Оргоборонпром", N 95 и N 219; обеспечить в течение октября с.г. завод N 39 фрезерными и токарными станками в количестве 25 единиц.</w:t>
      </w:r>
    </w:p>
    <w:p w14:paraId="2EC940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Нужно установить график работ по выпуску трех машин в октябре с.г., обеспечив выполнение его выделением надлежащего технического персонала, ответственного за своевременный выход машин, а также план работ на весь IV квартал сего года, с обеспечением первоочередности работ по машине ПБ-100.</w:t>
      </w:r>
    </w:p>
    <w:p w14:paraId="79CABB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заводу N 22 состояние работ совершенно не обеспечивает выхода первых 5-ти машин в ноябре с.г., так как подготовка производства запаздывает, примерно, на один месяц из-за несвоевременной подачи заводом N 156 шаблонов.</w:t>
      </w:r>
    </w:p>
    <w:p w14:paraId="719B11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N 22 своевременно не выделил для производства машин ПБ-100 достаточных производственных мощностей, обеспечивающих выполнение правительственного задания на 1940 г. по машинам ПБ-100.</w:t>
      </w:r>
    </w:p>
    <w:p w14:paraId="65023D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силу создавшегося положения возникает опасение за выполнение правительственного задания о выпуске до конца текущего года 50 машин.</w:t>
      </w:r>
    </w:p>
    <w:p w14:paraId="220678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НКВД просит, в целях устранения всех недостатков в обеспечении выпуска самолетов по заводу N 39 и для принятия неотложных мер для обеспечения выпуска машин по заводу N 22, создавать в ближайшие 1-2 дня совещание работников Наркомавиапрома, заводов N 39 и N 22, а также заводов-смежников, с участием представителей Особого технического бюро НКВД.</w:t>
      </w:r>
    </w:p>
    <w:p w14:paraId="6D595D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этом совещании необходимо установить строжайший порядок дальнейшей работы по обеспечению выпуска самолетов ПБ-100 на обоих заводах.</w:t>
      </w:r>
    </w:p>
    <w:p w14:paraId="187470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принятых Вами мерах прошу информировать НКВД (1293,130).</w:t>
      </w:r>
    </w:p>
    <w:p w14:paraId="4603923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20DBDC0"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r w:rsidRPr="00A3026E">
        <w:rPr>
          <w:rStyle w:val="8"/>
          <w:rFonts w:ascii="Times New Roman" w:hAnsi="Times New Roman" w:cs="Times New Roman"/>
          <w:i w:val="0"/>
          <w:color w:val="000000" w:themeColor="text1"/>
        </w:rPr>
        <w:t>1 октября 1940 нарком авиапрома А.И. Шахурин направил Вороши</w:t>
      </w:r>
      <w:r w:rsidRPr="00A3026E">
        <w:rPr>
          <w:rStyle w:val="8"/>
          <w:rFonts w:ascii="Times New Roman" w:hAnsi="Times New Roman" w:cs="Times New Roman"/>
          <w:i w:val="0"/>
          <w:color w:val="000000" w:themeColor="text1"/>
        </w:rPr>
        <w:softHyphen/>
        <w:t>лову докладную записку, в которой также снимал вопрос о постановке серийного производства самолета ОКО-6 до про</w:t>
      </w:r>
      <w:r w:rsidRPr="00A3026E">
        <w:rPr>
          <w:rStyle w:val="8"/>
          <w:rFonts w:ascii="Times New Roman" w:hAnsi="Times New Roman" w:cs="Times New Roman"/>
          <w:i w:val="0"/>
          <w:color w:val="000000" w:themeColor="text1"/>
        </w:rPr>
        <w:softHyphen/>
        <w:t xml:space="preserve">ведения государственных испытаний: </w:t>
      </w:r>
      <w:r w:rsidRPr="00A3026E">
        <w:rPr>
          <w:rFonts w:ascii="Times New Roman" w:hAnsi="Times New Roman" w:cs="Times New Roman"/>
          <w:color w:val="000000" w:themeColor="text1"/>
        </w:rPr>
        <w:t>«Конструктивные изменения самолета ОКО-6, произведенные на 1-м экземпляре машины, улучшения устойчивости не дали. Поэтому вопрос о внедрении ОКО-6 в серию отпадает до получения результатов испытаний модифицированного дублера этого самолета, в ближайшие дни выходя</w:t>
      </w:r>
      <w:r w:rsidRPr="00A3026E">
        <w:rPr>
          <w:rFonts w:ascii="Times New Roman" w:hAnsi="Times New Roman" w:cs="Times New Roman"/>
          <w:color w:val="000000" w:themeColor="text1"/>
        </w:rPr>
        <w:softHyphen/>
        <w:t>щего на аэродром» (12614).</w:t>
      </w:r>
    </w:p>
    <w:p w14:paraId="343519D6" w14:textId="77777777" w:rsidR="00C66762" w:rsidRPr="00A3026E" w:rsidRDefault="00C66762" w:rsidP="00A3026E">
      <w:pPr>
        <w:pStyle w:val="80"/>
        <w:shd w:val="clear" w:color="auto" w:fill="auto"/>
        <w:spacing w:line="240" w:lineRule="auto"/>
        <w:jc w:val="both"/>
        <w:rPr>
          <w:rFonts w:ascii="Times New Roman" w:hAnsi="Times New Roman" w:cs="Times New Roman"/>
          <w:color w:val="000000" w:themeColor="text1"/>
        </w:rPr>
      </w:pPr>
    </w:p>
    <w:p w14:paraId="742CEB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г. ОКО-6бис Таирова прибыл в 8-й отдел ЦАГИ для заводских испытаний и 28 октября летчик А.И.Емельянов произвел рулежки и подлеты самолета. 31 октября 1940 г. самолет совершил первый вылет. Все прошло нормально. К 14 января 41-го было совершено 45 полетов (9649).</w:t>
      </w:r>
    </w:p>
    <w:p w14:paraId="7A48EA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был устойчив по всем трем осям, устойчив на виражах, прост на посадке. Но на приборных скоростях ниже 300 км/ч продольная устойчивость оказалась недостаточной.</w:t>
      </w:r>
    </w:p>
    <w:p w14:paraId="5A5F20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Отмечались большие нагрузки на органы управления. Баффтинг не обнаружен, при полете на флаттер на высоте 4000 м до приборной скорости 565 км/ч вибраций не отмечалось.</w:t>
      </w:r>
    </w:p>
    <w:p w14:paraId="0E5F3C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у земли составила 470 км/ч, на высоте - 575 км/ч и на высоте 7050 м - 595 км/ч, посадочная скорость - 135 км/ч. Был осуществлен полет на одном моторе.</w:t>
      </w:r>
    </w:p>
    <w:p w14:paraId="76A740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Оружие работало нормально. За время заводских испытаний было произведено 2980 выстрелов из пушек, из них в тире 1804 и в воздухе - 1176 (9649).</w:t>
      </w:r>
    </w:p>
    <w:p w14:paraId="097328B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1ED62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вышел приказ НКАП N 516с во изменение приказа от 20 мая 1940 об освобождении от проведения заводских испытаний самолета И-1 М-63 летчика Кулешова В.Ф. и о назначении летчика 8-го отдела ЦАГИ тов. Шиянова Ю.М. (245,1).</w:t>
      </w:r>
    </w:p>
    <w:p w14:paraId="2AE5AB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СЕКРЕТНО</w:t>
      </w:r>
    </w:p>
    <w:p w14:paraId="47F872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 НАРОДНОГО КОМИССАРА АВИАЦИОННОЙ ПРОМЫШЛЕННОСТИ СССР</w:t>
      </w:r>
    </w:p>
    <w:p w14:paraId="21552F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 Москва.</w:t>
      </w:r>
    </w:p>
    <w:p w14:paraId="5C014A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изменение приказа за № 220/с от 20-го мая 1940 года:</w:t>
      </w:r>
    </w:p>
    <w:p w14:paraId="388BD5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Освободить от проведения заводских испытаний са</w:t>
      </w:r>
      <w:r w:rsidRPr="00A3026E">
        <w:rPr>
          <w:rFonts w:ascii="Times New Roman" w:hAnsi="Times New Roman"/>
          <w:color w:val="000000" w:themeColor="text1"/>
          <w:sz w:val="16"/>
          <w:szCs w:val="16"/>
        </w:rPr>
        <w:softHyphen/>
        <w:t>молета "ИС-1" М-63 летчика тов. КУЛЕШОВА В.Ф.</w:t>
      </w:r>
    </w:p>
    <w:p w14:paraId="678FEF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Для проведения заводских испытаний экспериментального самолета "ИС-1" М-63 назначить летчика 8-го отдела ЦАГИ тов. ШИЯНОВА Ю.М.</w:t>
      </w:r>
    </w:p>
    <w:p w14:paraId="17F0B6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Утвердить дополнительную зарплату летчику-испытателю за полное проведение заводских испытаний самолета "ИС-1" М-63 - 30.000 рублей (245,1).</w:t>
      </w:r>
    </w:p>
    <w:p w14:paraId="08A4192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A6496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закончились заводские испытания И-21 М-105, которые шли с 11 июля 1940. С 1 октября по 29 декабря 1940 проходили гос. испытания этой машины (2090,232).</w:t>
      </w:r>
    </w:p>
    <w:p w14:paraId="1FE017A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F732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1 октября 1940 года прололжались испытания ИС А.В.Сильванского в лаборатории № 8 ЦАГИ, которая занималась летными испытаниями. Указано, что это были работы для завода № 153, причем проходили они под разными индексами – «испытание самолета Сильванского» (№ работы 83007) и «испытание самолета И-220» (№ работы 83053) (Самарский филиал РГАНТД. Ф. Р-220. Оп. 2-6. Д. 3. Л. 19-20.).</w:t>
      </w:r>
    </w:p>
    <w:p w14:paraId="1052E5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И-220 попал в МАИ, второй оставался в Новосибирске до середины 1941 года Во второй половине 1940 года на Сильванского было заведено уголовное дело с весьма оригинальной формулировкой: за «несанкционипрованный увоз автомобиля ЗИС-101 с территории государственного Союзного завода № 153 им. В.П. Чкалова» (Султанов И. Указ. соч. С. 21.).</w:t>
      </w:r>
    </w:p>
    <w:p w14:paraId="573E64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Вот что пишет сам Сильванский о своей деятельности: «Моя прежняя работа в системе НКАП в должности главного конструктора истребителя И-220 при прохождении летных испытаний... потерпела фиаско. Одновременно были сняты три опытных истребителя – И-220, И-180 Поликарпова и истребитель Яценко вследствие якобы бесперспективности моторов воздушного охлаждения «двухрядная звезда». Роспуск ОКБ встретил мое сопротивление, что навлекло гонения т.т. Яковлева А.С.и Шахурина А.И.» (Цит. по: Ангельский Р....А если бы не Королев ? // Авиация и космонавтика. 1998. № 4.С. 25.).</w:t>
      </w:r>
    </w:p>
    <w:p w14:paraId="0FB417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опытной машине Сильванского ставился М-87 из-за отсутствия работоспособного М-88. Что же касается истребителей, то ясно, что из трех даже и без «происков» Шахурина и Яковлева в серии остался бы, скорее всего, только один. Об истории создания И-180, место которого на 21-ом заводе занял ЛаГГ (рожденный, кстати, не без ведома тестя Сильванского) информация уже приводилась.</w:t>
      </w:r>
    </w:p>
    <w:p w14:paraId="0AF34C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же касается И-220, то его место на заводе № 153 также занял ЛаГГ.</w:t>
      </w:r>
    </w:p>
    <w:p w14:paraId="32D7E6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Примечательно: про «свой проект» – И-220 – Сильванский скромно умалчивает, что он просто не смог оторваться от земли! Дело в том, что после автоматического переноса двигателя М-88 на поликарповский проект под иной мотор диаметр винта явно не сочетался со стойками шасси и при разбеге винт почти касался земли. «Сильванский не нашел лучшего выхода, как урезать лопасти на 10 см. От этого упала тяга, самолет едва отрывался от земли и высоты не набирал», – писал В.Б. Шавров (Шавров В.Б. Указ. соч. С. 72.).</w:t>
      </w:r>
    </w:p>
    <w:p w14:paraId="1FB8EC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Интересный факт: после расформирования ОКБ его сотрудники попали на «усиление» КБ Лавочкина (Там же. С. 72, 206.). М. Арлазоров в связи с этим даже путается – откуда были в КБ Лавочкина новые кадры – из ОКБ А.В. Сильванского или бывшие сотрудники Григоровича (Арлазоров М. Указ. соч. С. 77.) А ведь это были одни и те же люди. Он приводит свидетельство В.А. Кривякина, одного из старейших сотрудников Лавочкина: «Народ подобрался опытный. В основном бывшие сотрудники Григоровича (В этом месте стоит примечание редакции – Сильванского). Стурцель был у Дмитрия Павловича начальником группы крыла, Елистратов ведал аэродинамикой, Мосолов – группой общих видов, Князев – расчетами на прочность. Естественно, что Семен Алексеевич постарался не упустить таких работников» (Цит. по: Арлазоров М. Фронт идет через КБ. С. 77.) (11672).</w:t>
      </w:r>
    </w:p>
    <w:p w14:paraId="145CE91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B67DA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закончились заводские испытания И-26-3 М-105П, которые шли с 15 мая 1940 (2090,234).</w:t>
      </w:r>
    </w:p>
    <w:p w14:paraId="6A42899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A58E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1 октября 1940 г. всего с 1 февраля в чертежи И-26, проиводимого на заводе № 301, было внесено 3950 изменений, из них:</w:t>
      </w:r>
    </w:p>
    <w:p w14:paraId="0B4DD9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конструктивных ...300 штук;</w:t>
      </w:r>
    </w:p>
    <w:p w14:paraId="44A977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производственно-технологических изменений ...700 штук;</w:t>
      </w:r>
    </w:p>
    <w:p w14:paraId="3448DE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исправлений в чертежах по причинам выявленных неувязок размеров ...2950 штук.</w:t>
      </w:r>
    </w:p>
    <w:p w14:paraId="6A8F97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Только с 11 по 27 сентября I940 г. десять истребителей И-26 первой серии завода № 301 были облетаны и приняты военными представителями. Самолеты незамедлительно направили на войсковые испытания, которые проводились в Кубинке в 11-м истребительном авиаполку (иап) с октября по ноябрь 1940 г. включительно. Из двух других самолетов серии один не был облетан из- за аварии, а другой забракован по нивелировке - при испытаниях самолет сильно кренило. Для устранения этого явления завод наклепал на правый элерон пластину- компенсатор, без согласования доработки с Главным конструктором. По приказу наркома авиапромышленности № 518 от 2 октября 1940 г. о соблюдении технологической дисциплины И-26. выполненный с отступлением от чертежей, военная приемка не приняла. Самолет передали в НИИ ВВС КА для составления заключения о возможном его использовании.</w:t>
      </w:r>
    </w:p>
    <w:p w14:paraId="21BC8A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Проверить самолет в полном объеме на готовность к боевым действиям не удалось из-за сокращения программы государственных испытаний, и в связи с не отлаженным и не пристрелянным вооружением на всех машинах. Это не удивительно, потому что к 28 сентября завод получил всего семь мотор- пушек и еще шесть </w:t>
      </w:r>
      <w:r w:rsidRPr="00A3026E">
        <w:rPr>
          <w:rFonts w:ascii="Times New Roman" w:hAnsi="Times New Roman"/>
          <w:color w:val="000000" w:themeColor="text1"/>
          <w:sz w:val="16"/>
          <w:szCs w:val="16"/>
        </w:rPr>
        <w:lastRenderedPageBreak/>
        <w:t>до конца месяца, которые успели только смонтировать на самолеты к началу войсковых испытаний. Самолеты первых серий завода № 301 строились по чертежам И-26-1 с многочисленными изменениями, вносимыми по ходу испытательных полетов второго и третьего экземпляров. Поэтому войсковые испытания подтвердили ряд дефектов, выявленных на госиспытаниях, и обнажили немалое количество новых, связанных с качеством изготовления. По изданному директором завода № 30I приказу некоторые рабочие завода из-за допущенного брака получили в зарплату в сентябре всего 6-8 рублей. По материалам испытаний в ноябре произошла вторая доработка крыла (расширение вырезов куполов шасси) и щитков по первым трем сериям на заводе №301.</w:t>
      </w:r>
    </w:p>
    <w:p w14:paraId="592382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имеющиеся конструктивные и производственные недостатки войсковые испытания И-26 прошел удовлетворительно. Они показали, что самолет обладает высокими летно-тактическими качествами. По технике пилотирования на посадке, пилотаже, в облаках и ночью он оказался значительно проще находящихся на вооружении частей ВВС КА истребителей И-15 и И-16. Летный состав, освоивший И-16, без труда переучивался на новый тип самолета и вылетал самостоятельно даже без вывозных полетов на УТИ-26 (так первоначально назывался учебно-тренировочный вариант Як-1) (12048).</w:t>
      </w:r>
    </w:p>
    <w:p w14:paraId="42523C6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7E4BF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октября1940 вторую машину И-26 завода № 292 вывезли на аэродром, 22 сентября 1940 - первую, а третью - 3 октября 1940 г. После проверки их систем и подготовки к облету летчик-испытатель полковник П.Н. Шустов поднял эти самолеты в воздух.</w:t>
      </w:r>
    </w:p>
    <w:p w14:paraId="4D9330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Дальнейшая сборка и выпуск машин задерживались из-за отсутствия моторов и винтов. К 10 октября в наличии было всего пять моторов (7 - к 28 октября), а к 10 ноября 1940 г. - три комплекта винтов. Устранялись дефекты, выявленные войсковыми испытаниями в Кубинке (установили механические указатели отклоненного положения щитков, профили на боковые фюзеляжные люки, амортизаторы фонаря, нижнюю часть подушки сиденья летчика сделали толше, увеличили угол отклонения хвостовой опоры шасси). В связи с этим 12 ноября 1940 г. план по выпуску И-26 завода № 292 (табл.2, с.25) был скорректирован: три машины головной серии следовало выпустить до 1 ноября, 20 машин - до 25 ноября, Цех начинки а 80 - к концу года. Но и этот план оказался фюзеляжей 1944 г. невыполненным. Всего в I940 г. завод № 292 Архив С. Кузнецова выпустил 16 самолетов (из них пять самолетов было принято военной приемкой в ноябре и 11 - в декабре), и ни одна машина из этого числа не была отправлена в части (12048).</w:t>
      </w:r>
    </w:p>
    <w:p w14:paraId="22C4BF4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0EB02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закончились заводские испытания УТ-1 М-11, которые проходили с 1 июня 1940 и начались гос. испытания (2090,232).</w:t>
      </w:r>
    </w:p>
    <w:p w14:paraId="02CE9DF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B8DE6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 октября 1940 года в списке текущих программ испы</w:t>
      </w:r>
      <w:r w:rsidRPr="00A3026E">
        <w:rPr>
          <w:rFonts w:ascii="Times New Roman" w:hAnsi="Times New Roman"/>
          <w:color w:val="000000" w:themeColor="text1"/>
          <w:sz w:val="16"/>
          <w:szCs w:val="16"/>
        </w:rPr>
        <w:softHyphen/>
        <w:t>таний, которые Восьмая лаборатория выполняла для других подразделений ЦАГИ, была работа «Испытание самолета Ме-109 на штопор» для 2-й лабо</w:t>
      </w:r>
      <w:r w:rsidRPr="00A3026E">
        <w:rPr>
          <w:rFonts w:ascii="Times New Roman" w:hAnsi="Times New Roman"/>
          <w:color w:val="000000" w:themeColor="text1"/>
          <w:sz w:val="16"/>
          <w:szCs w:val="16"/>
        </w:rPr>
        <w:softHyphen/>
        <w:t>ратории (Самарский филиал РГАНТД. Ф. Р-217. Оп. 1-6. Д. 26. Л. 16.). Работа «Контрольные испытания на продольную устойчивость самолета Мессершмитт-110» для лаборатории №1 планировалась, но пока не начиналась, так как самолет еще не поступил на исследования из этой лаборатории (Самарский филиал РГАНТД. Ф. Р-217. Оп. 1-6. Д. 26. Л. 16.). Германские самолеты применялись для отработки новых систем вооружений, а их эксплуатационные характеристики сравнивались с характеристиками советских самолетов нового поколения. Так, когда в Институте летных исследований (ИЛИ) Наркомата авиационной промыш</w:t>
      </w:r>
      <w:r w:rsidRPr="00A3026E">
        <w:rPr>
          <w:rFonts w:ascii="Times New Roman" w:hAnsi="Times New Roman"/>
          <w:color w:val="000000" w:themeColor="text1"/>
          <w:sz w:val="16"/>
          <w:szCs w:val="16"/>
        </w:rPr>
        <w:softHyphen/>
        <w:t>ленности проводили испытания на самолете СБ дистанционной пулемет</w:t>
      </w:r>
      <w:r w:rsidRPr="00A3026E">
        <w:rPr>
          <w:rFonts w:ascii="Times New Roman" w:hAnsi="Times New Roman"/>
          <w:color w:val="000000" w:themeColor="text1"/>
          <w:sz w:val="16"/>
          <w:szCs w:val="16"/>
        </w:rPr>
        <w:softHyphen/>
        <w:t>ной установки «Турду», во время третьего эксперимента, проходившего 17 марта 1941 года, в качестве мишени при стрельбе из фотокинопулемета служил самолет Мессершмитт Ме-110 (Самарский филиал РГАНТД. Ф. Р-217. Оп. 4-1. Д. 1.Л. 104.) (11710,280).</w:t>
      </w:r>
    </w:p>
    <w:p w14:paraId="1DD4FA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Двухмоторные германские самолеты, испытывавшиеся в Советском Со</w:t>
      </w:r>
      <w:r w:rsidRPr="00A3026E">
        <w:rPr>
          <w:rFonts w:ascii="Times New Roman" w:hAnsi="Times New Roman"/>
          <w:color w:val="000000" w:themeColor="text1"/>
          <w:sz w:val="16"/>
          <w:szCs w:val="16"/>
        </w:rPr>
        <w:softHyphen/>
        <w:t>юзе, получили высокую оценку летчиков. Они обладали хорошими пило</w:t>
      </w:r>
      <w:r w:rsidRPr="00A3026E">
        <w:rPr>
          <w:rFonts w:ascii="Times New Roman" w:hAnsi="Times New Roman"/>
          <w:color w:val="000000" w:themeColor="text1"/>
          <w:sz w:val="16"/>
          <w:szCs w:val="16"/>
        </w:rPr>
        <w:softHyphen/>
        <w:t>тажными свойствами и были легки в управлении. Так, Мессершмитт Ме-110 получил хорошую оценку по продольной, поперечной и путевой устойчи</w:t>
      </w:r>
      <w:r w:rsidRPr="00A3026E">
        <w:rPr>
          <w:rFonts w:ascii="Times New Roman" w:hAnsi="Times New Roman"/>
          <w:color w:val="000000" w:themeColor="text1"/>
          <w:sz w:val="16"/>
          <w:szCs w:val="16"/>
        </w:rPr>
        <w:softHyphen/>
        <w:t>вости, хорошую оценку кабины, а отрицательных замечаний у летчиков по его пилотажным свойствам не было. Дорнье До-215 тоже отличался хо</w:t>
      </w:r>
      <w:r w:rsidRPr="00A3026E">
        <w:rPr>
          <w:rFonts w:ascii="Times New Roman" w:hAnsi="Times New Roman"/>
          <w:color w:val="000000" w:themeColor="text1"/>
          <w:sz w:val="16"/>
          <w:szCs w:val="16"/>
        </w:rPr>
        <w:softHyphen/>
        <w:t>рошей устойчивостью. Он также получил хорошую оценку кабины. Един</w:t>
      </w:r>
      <w:r w:rsidRPr="00A3026E">
        <w:rPr>
          <w:rFonts w:ascii="Times New Roman" w:hAnsi="Times New Roman"/>
          <w:color w:val="000000" w:themeColor="text1"/>
          <w:sz w:val="16"/>
          <w:szCs w:val="16"/>
        </w:rPr>
        <w:softHyphen/>
        <w:t>ственным его слабым местом являлась большая нагрузка на рычаги управ</w:t>
      </w:r>
      <w:r w:rsidRPr="00A3026E">
        <w:rPr>
          <w:rFonts w:ascii="Times New Roman" w:hAnsi="Times New Roman"/>
          <w:color w:val="000000" w:themeColor="text1"/>
          <w:sz w:val="16"/>
          <w:szCs w:val="16"/>
        </w:rPr>
        <w:softHyphen/>
        <w:t>ления рулями высоты, оцененная как промежуточная между удовлетвори</w:t>
      </w:r>
      <w:r w:rsidRPr="00A3026E">
        <w:rPr>
          <w:rFonts w:ascii="Times New Roman" w:hAnsi="Times New Roman"/>
          <w:color w:val="000000" w:themeColor="text1"/>
          <w:sz w:val="16"/>
          <w:szCs w:val="16"/>
        </w:rPr>
        <w:softHyphen/>
        <w:t>тельной и неудовлетворительной. «Легкое и приятное управление самоле</w:t>
      </w:r>
      <w:r w:rsidRPr="00A3026E">
        <w:rPr>
          <w:rFonts w:ascii="Times New Roman" w:hAnsi="Times New Roman"/>
          <w:color w:val="000000" w:themeColor="text1"/>
          <w:sz w:val="16"/>
          <w:szCs w:val="16"/>
        </w:rPr>
        <w:softHyphen/>
        <w:t>том. Самолет плотно сидит в воздухе», — таков отзыв летчиков о самолете Юнкере Ю-88 А-1. Отрицательные замечания по пилотажным свойствам этой машины также отсутствовали (Самарский филиал РГАНТД. Ф. Р-217.Оп. 3-1.Т.1.Д. 153.Л. 52.) (11710,281).</w:t>
      </w:r>
    </w:p>
    <w:p w14:paraId="0E9A7C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7941019" w14:textId="77777777" w:rsidR="00D90A02" w:rsidRPr="00A3026E" w:rsidRDefault="00D90A0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 октября 1940 г. в списке текущих программ испытаний, которые Восьмая лаборатория выполняла для других подразделений ЦАГИ, являлась работа «Испытание самолета Ме-109 на штопор» для Второй лаборатории. Работа «Контрольные испытания на продольную устойчивость самолёта Мессершмитт-110» для лаборатории № 1 планировалась, но еще не начиналась, так как самолёт еще не поступил на иссле</w:t>
      </w:r>
      <w:r w:rsidRPr="00A3026E">
        <w:rPr>
          <w:rFonts w:ascii="Times New Roman" w:hAnsi="Times New Roman"/>
          <w:color w:val="000000" w:themeColor="text1"/>
          <w:sz w:val="16"/>
          <w:szCs w:val="16"/>
        </w:rPr>
        <w:softHyphen/>
        <w:t>дования из этой лаборатории. Германские самолёты применялись для отработки новых систем вооружений, а их эксплуатационные характеристики сравнивались с характери</w:t>
      </w:r>
      <w:r w:rsidRPr="00A3026E">
        <w:rPr>
          <w:rFonts w:ascii="Times New Roman" w:hAnsi="Times New Roman"/>
          <w:color w:val="000000" w:themeColor="text1"/>
          <w:sz w:val="16"/>
          <w:szCs w:val="16"/>
        </w:rPr>
        <w:softHyphen/>
        <w:t>стиками советских самолётов нового поколения. Так, когда в Лётно-исследовательском институте (ЛИИ) НКАП проводили испытания на самолёте СБ дистанционной пулеметной установки «Тур-ДУ», в ходе которой оценивали сектора обстрела, скорость и точность наведения оружия, то во время третьего эксперимента, проходившего 17 марта 1941 г., роль противника при «стрельбе» из фотокинопулемета очень реалистично «сыграл» не</w:t>
      </w:r>
      <w:r w:rsidRPr="00A3026E">
        <w:rPr>
          <w:rFonts w:ascii="Times New Roman" w:hAnsi="Times New Roman"/>
          <w:color w:val="000000" w:themeColor="text1"/>
          <w:sz w:val="16"/>
          <w:szCs w:val="16"/>
        </w:rPr>
        <w:softHyphen/>
        <w:t>мецкий двухмоторный истребитель В</w:t>
      </w:r>
      <w:r w:rsidRPr="00A3026E">
        <w:rPr>
          <w:rFonts w:ascii="Times New Roman" w:hAnsi="Times New Roman"/>
          <w:color w:val="000000" w:themeColor="text1"/>
          <w:sz w:val="16"/>
          <w:szCs w:val="16"/>
          <w:lang w:val="en-US"/>
        </w:rPr>
        <w:t>f</w:t>
      </w:r>
      <w:r w:rsidRPr="00A3026E">
        <w:rPr>
          <w:rFonts w:ascii="Times New Roman" w:hAnsi="Times New Roman"/>
          <w:color w:val="000000" w:themeColor="text1"/>
          <w:sz w:val="16"/>
          <w:szCs w:val="16"/>
        </w:rPr>
        <w:t>110 (15786).</w:t>
      </w:r>
    </w:p>
    <w:p w14:paraId="663A71D6" w14:textId="77777777" w:rsidR="00D90A02" w:rsidRPr="00A3026E" w:rsidRDefault="00D90A02" w:rsidP="00A3026E">
      <w:pPr>
        <w:spacing w:after="0" w:line="240" w:lineRule="auto"/>
        <w:jc w:val="both"/>
        <w:rPr>
          <w:rFonts w:ascii="Times New Roman" w:hAnsi="Times New Roman"/>
          <w:color w:val="000000" w:themeColor="text1"/>
          <w:sz w:val="16"/>
          <w:szCs w:val="16"/>
        </w:rPr>
      </w:pPr>
    </w:p>
    <w:p w14:paraId="6B2E08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 октября 1940 была подготовлена таблица:</w:t>
      </w:r>
    </w:p>
    <w:p w14:paraId="5FF663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Обеспеченность авиастроительных заводов металлообрабатывающими станками на 1940 г. н планируемый уровень наличия металлообрабатывающего оборудования на 1941 г. (РГАЭ. Ф. 8044. Опис</w:t>
      </w:r>
      <w:r w:rsidRPr="00A3026E">
        <w:rPr>
          <w:rFonts w:ascii="Times New Roman" w:hAnsi="Times New Roman"/>
          <w:color w:val="000000" w:themeColor="text1"/>
          <w:sz w:val="16"/>
          <w:szCs w:val="16"/>
          <w:lang w:val="en-US"/>
        </w:rPr>
        <w:t xml:space="preserve">. </w:t>
      </w:r>
      <w:r w:rsidRPr="00A3026E">
        <w:rPr>
          <w:rFonts w:ascii="Times New Roman" w:hAnsi="Times New Roman"/>
          <w:color w:val="000000" w:themeColor="text1"/>
          <w:sz w:val="16"/>
          <w:szCs w:val="16"/>
        </w:rPr>
        <w:t>1. Д. 413. Л. 272)</w:t>
      </w:r>
    </w:p>
    <w:tbl>
      <w:tblPr>
        <w:tblW w:w="0" w:type="auto"/>
        <w:tblInd w:w="8" w:type="dxa"/>
        <w:tblLayout w:type="fixed"/>
        <w:tblCellMar>
          <w:left w:w="0" w:type="dxa"/>
          <w:right w:w="0" w:type="dxa"/>
        </w:tblCellMar>
        <w:tblLook w:val="0000" w:firstRow="0" w:lastRow="0" w:firstColumn="0" w:lastColumn="0" w:noHBand="0" w:noVBand="0"/>
      </w:tblPr>
      <w:tblGrid>
        <w:gridCol w:w="749"/>
        <w:gridCol w:w="1253"/>
        <w:gridCol w:w="1430"/>
        <w:gridCol w:w="1195"/>
        <w:gridCol w:w="1334"/>
      </w:tblGrid>
      <w:tr w:rsidR="00983732" w:rsidRPr="00A3026E" w14:paraId="6288B2C9" w14:textId="77777777" w:rsidTr="00EA0DA7">
        <w:trPr>
          <w:trHeight w:val="806"/>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0A46F0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завода</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5E7F08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Потребности в металлорежущемоборудовании в 1941г.</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4A6D81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Наличие металлорежушего оборудования на 01.10.1940</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660859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завода</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6964FE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Наличие металлорежушего оборудования на 01.10.1940</w:t>
            </w:r>
          </w:p>
        </w:tc>
      </w:tr>
      <w:tr w:rsidR="00983732" w:rsidRPr="00A3026E" w14:paraId="1C3D4E38" w14:textId="77777777" w:rsidTr="00EA0DA7">
        <w:trPr>
          <w:trHeight w:val="226"/>
        </w:trPr>
        <w:tc>
          <w:tcPr>
            <w:tcW w:w="3432" w:type="dxa"/>
            <w:gridSpan w:val="3"/>
            <w:tcBorders>
              <w:top w:val="single" w:sz="6" w:space="0" w:color="auto"/>
              <w:left w:val="single" w:sz="6" w:space="0" w:color="auto"/>
              <w:bottom w:val="single" w:sz="6" w:space="0" w:color="auto"/>
              <w:right w:val="single" w:sz="6" w:space="0" w:color="auto"/>
            </w:tcBorders>
            <w:shd w:val="clear" w:color="auto" w:fill="FFFFFF"/>
          </w:tcPr>
          <w:p w14:paraId="313FBC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Действующие заводы</w:t>
            </w:r>
          </w:p>
        </w:tc>
        <w:tc>
          <w:tcPr>
            <w:tcW w:w="2529" w:type="dxa"/>
            <w:gridSpan w:val="2"/>
            <w:tcBorders>
              <w:top w:val="single" w:sz="6" w:space="0" w:color="auto"/>
              <w:left w:val="single" w:sz="6" w:space="0" w:color="auto"/>
              <w:bottom w:val="single" w:sz="6" w:space="0" w:color="auto"/>
              <w:right w:val="single" w:sz="6" w:space="0" w:color="auto"/>
            </w:tcBorders>
            <w:shd w:val="clear" w:color="auto" w:fill="FFFFFF"/>
          </w:tcPr>
          <w:p w14:paraId="752EB7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Передаваемые заводы</w:t>
            </w:r>
          </w:p>
        </w:tc>
      </w:tr>
      <w:tr w:rsidR="00983732" w:rsidRPr="00A3026E" w14:paraId="360FB2F4"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76EE6F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343160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1687</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654B16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1487</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CB374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5B891C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736</w:t>
            </w:r>
          </w:p>
        </w:tc>
      </w:tr>
      <w:tr w:rsidR="00983732" w:rsidRPr="00A3026E" w14:paraId="0C451C00"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135113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86905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1722</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601479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1247</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C8FF7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381</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0A196B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1205</w:t>
            </w:r>
          </w:p>
        </w:tc>
      </w:tr>
      <w:tr w:rsidR="00983732" w:rsidRPr="00A3026E" w14:paraId="22936A53"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524FF6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60ACB5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5CB8A8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919</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3319C7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387</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7EF546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54504111"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0C62AA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4030DA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1795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2D49EE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1495</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8474C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388</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325725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r>
      <w:tr w:rsidR="00983732" w:rsidRPr="00A3026E" w14:paraId="7903FAFF" w14:textId="77777777" w:rsidTr="00EA0DA7">
        <w:trPr>
          <w:trHeight w:val="226"/>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25DD0E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C8FAD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1F0739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358</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733EEA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446</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4FBF4D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0C11BF37"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28C10B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10F2CC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lang w:val="en-US"/>
              </w:rPr>
              <w:t>3S0</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4D9B2E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123</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554838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447</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4E9D85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5578C54D" w14:textId="77777777" w:rsidTr="00EA0DA7">
        <w:trPr>
          <w:trHeight w:val="226"/>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1FE15B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382F1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1040</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718689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745</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51500D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Харьковский</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071541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r w:rsidR="00983732" w:rsidRPr="00A3026E" w14:paraId="57AC0153"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153610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5619B1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32CAB8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26082D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Ростовский</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22D4C5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tc>
      </w:tr>
      <w:tr w:rsidR="00983732" w:rsidRPr="00A3026E" w14:paraId="1629C7AF"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7CBBA9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4652AC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909</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6CA9C5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829</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480673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Минский</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3A9C38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660</w:t>
            </w:r>
          </w:p>
        </w:tc>
      </w:tr>
      <w:tr w:rsidR="00983732" w:rsidRPr="00A3026E" w14:paraId="7E8431A1"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5BDE3D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77F952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422</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32D76B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D45EB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Прибалтиский</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4E71CA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r>
      <w:tr w:rsidR="00983732" w:rsidRPr="00A3026E" w14:paraId="48B9F46D" w14:textId="77777777" w:rsidTr="00EA0DA7">
        <w:trPr>
          <w:trHeight w:val="226"/>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3070ED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775E50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174</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785043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3A4378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496F2A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8041</w:t>
            </w:r>
          </w:p>
        </w:tc>
      </w:tr>
      <w:tr w:rsidR="00983732" w:rsidRPr="00A3026E" w14:paraId="4D133E97"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20E2D8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39AAF7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6EF0DB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476</w:t>
            </w:r>
          </w:p>
        </w:tc>
        <w:tc>
          <w:tcPr>
            <w:tcW w:w="2529" w:type="dxa"/>
            <w:gridSpan w:val="2"/>
            <w:tcBorders>
              <w:top w:val="single" w:sz="6" w:space="0" w:color="auto"/>
              <w:left w:val="single" w:sz="6" w:space="0" w:color="auto"/>
              <w:bottom w:val="single" w:sz="6" w:space="0" w:color="auto"/>
              <w:right w:val="single" w:sz="6" w:space="0" w:color="auto"/>
            </w:tcBorders>
            <w:shd w:val="clear" w:color="auto" w:fill="FFFFFF"/>
          </w:tcPr>
          <w:p w14:paraId="292A0B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Новостройки</w:t>
            </w:r>
          </w:p>
        </w:tc>
      </w:tr>
      <w:tr w:rsidR="00983732" w:rsidRPr="00A3026E" w14:paraId="112CDEBE"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76550A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37810D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6CEBB2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292739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118</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60D61D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1DC7564"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0169E5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568BE9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678</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5096BC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477</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41B8B6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6634C7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E23003D"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51902C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99</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30388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312</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598A8D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222</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3352A3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122</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045D66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1740</w:t>
            </w:r>
          </w:p>
        </w:tc>
      </w:tr>
      <w:tr w:rsidR="00983732" w:rsidRPr="00A3026E" w14:paraId="195C1DB0" w14:textId="77777777" w:rsidTr="00EA0DA7">
        <w:trPr>
          <w:trHeight w:val="226"/>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6FCCE3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236E5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2F1C4F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6C3539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123</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50DBBF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r>
      <w:tr w:rsidR="00983732" w:rsidRPr="00A3026E" w14:paraId="4C56BFEB"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7DEB96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51F38A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880</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071B1D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725</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363599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413FEC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r>
      <w:tr w:rsidR="00983732" w:rsidRPr="00A3026E" w14:paraId="34D27E73"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370D79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1AF944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67BB9D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529</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239A9E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128</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7DCCCC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2EB145B"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0A49CC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4C30A8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01BB40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79C0C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129</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08918D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AA3DA9F" w14:textId="77777777" w:rsidTr="00EA0DA7">
        <w:trPr>
          <w:trHeight w:val="226"/>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1F78D7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79EF56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6DCD14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502</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6F8E68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454C49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1D68EB5F" w14:textId="77777777" w:rsidTr="00EA0DA7">
        <w:trPr>
          <w:trHeight w:val="216"/>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1B06D7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708956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1095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5FC68C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587</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5F0864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5FF38C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w:t>
            </w:r>
          </w:p>
        </w:tc>
      </w:tr>
      <w:tr w:rsidR="00983732" w:rsidRPr="00A3026E" w14:paraId="314CE121" w14:textId="77777777" w:rsidTr="00EA0DA7">
        <w:trPr>
          <w:trHeight w:val="226"/>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5D1A4E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553573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882</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7E89CD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7A5FC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295</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05CD55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1740</w:t>
            </w:r>
          </w:p>
        </w:tc>
      </w:tr>
      <w:tr w:rsidR="00983732" w:rsidRPr="00A3026E" w14:paraId="514243D4"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6D6577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68989D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41D3E1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198</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787657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6F0C98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4880</w:t>
            </w:r>
          </w:p>
        </w:tc>
      </w:tr>
      <w:tr w:rsidR="00983732" w:rsidRPr="00A3026E" w14:paraId="0A1ABB22"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76310F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292</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532038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162513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601</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2778056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42747E3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83FCA3D"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3E89AE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301</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43053D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3B1092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321</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5DD614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18EA86B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221549A" w14:textId="77777777" w:rsidTr="00EA0DA7">
        <w:trPr>
          <w:trHeight w:val="250"/>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423E6E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7017D9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18611</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5DF363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12985</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5D4F0C0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3C8CD70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53B7487F" w14:textId="77777777" w:rsidR="00C66762" w:rsidRPr="00A3026E" w:rsidRDefault="00C66762" w:rsidP="00A3026E">
      <w:pPr>
        <w:tabs>
          <w:tab w:val="left" w:pos="456"/>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приве</w:t>
      </w:r>
      <w:r w:rsidRPr="00A3026E">
        <w:rPr>
          <w:rFonts w:ascii="Times New Roman" w:hAnsi="Times New Roman"/>
          <w:color w:val="000000" w:themeColor="text1"/>
          <w:sz w:val="16"/>
          <w:szCs w:val="16"/>
        </w:rPr>
        <w:softHyphen/>
        <w:t>денной ниже таблицы следует, что по состоянию дел на октябрь 1940 г. Наркомат авиапромышленности располагал лишь девя</w:t>
      </w:r>
      <w:r w:rsidRPr="00A3026E">
        <w:rPr>
          <w:rFonts w:ascii="Times New Roman" w:hAnsi="Times New Roman"/>
          <w:color w:val="000000" w:themeColor="text1"/>
          <w:sz w:val="16"/>
          <w:szCs w:val="16"/>
        </w:rPr>
        <w:softHyphen/>
        <w:t>тью (из 25 действующих) авиазаводами, подготовленными к крупносерийному производству металлических самолетов — № 1, 18, 21, 22, 31, 39, 124, 153, 292. На этих предприятиях было сосредоточено свыше двух третей всего парка металло</w:t>
      </w:r>
      <w:r w:rsidRPr="00A3026E">
        <w:rPr>
          <w:rFonts w:ascii="Times New Roman" w:hAnsi="Times New Roman"/>
          <w:color w:val="000000" w:themeColor="text1"/>
          <w:sz w:val="16"/>
          <w:szCs w:val="16"/>
        </w:rPr>
        <w:softHyphen/>
        <w:t>обрабатывающего оборудования I Главного управления. Обра</w:t>
      </w:r>
      <w:r w:rsidRPr="00A3026E">
        <w:rPr>
          <w:rFonts w:ascii="Times New Roman" w:hAnsi="Times New Roman"/>
          <w:color w:val="000000" w:themeColor="text1"/>
          <w:sz w:val="16"/>
          <w:szCs w:val="16"/>
        </w:rPr>
        <w:softHyphen/>
        <w:t>щает на себя внимание нерациональность сосредоточения зна</w:t>
      </w:r>
      <w:r w:rsidRPr="00A3026E">
        <w:rPr>
          <w:rFonts w:ascii="Times New Roman" w:hAnsi="Times New Roman"/>
          <w:color w:val="000000" w:themeColor="text1"/>
          <w:sz w:val="16"/>
          <w:szCs w:val="16"/>
        </w:rPr>
        <w:softHyphen/>
        <w:t>чительной части такой техники на заводах № 1 и 124. Первый из них предполагался к серийному производству «Валти», но в связи с отказом от внедрения самолета в серию огромный ста</w:t>
      </w:r>
      <w:r w:rsidRPr="00A3026E">
        <w:rPr>
          <w:rFonts w:ascii="Times New Roman" w:hAnsi="Times New Roman"/>
          <w:color w:val="000000" w:themeColor="text1"/>
          <w:sz w:val="16"/>
          <w:szCs w:val="16"/>
        </w:rPr>
        <w:softHyphen/>
        <w:t>ночный парк оказался невостребованным.</w:t>
      </w:r>
    </w:p>
    <w:p w14:paraId="396524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Следует отметать, что в 1941 г. руководство наркомата со</w:t>
      </w:r>
      <w:r w:rsidRPr="00A3026E">
        <w:rPr>
          <w:rFonts w:ascii="Times New Roman" w:hAnsi="Times New Roman"/>
          <w:color w:val="000000" w:themeColor="text1"/>
          <w:sz w:val="16"/>
          <w:szCs w:val="16"/>
        </w:rPr>
        <w:softHyphen/>
        <w:t>биралось резко расширить группу металлического авиастро</w:t>
      </w:r>
      <w:r w:rsidRPr="00A3026E">
        <w:rPr>
          <w:rFonts w:ascii="Times New Roman" w:hAnsi="Times New Roman"/>
          <w:color w:val="000000" w:themeColor="text1"/>
          <w:sz w:val="16"/>
          <w:szCs w:val="16"/>
        </w:rPr>
        <w:softHyphen/>
        <w:t>ения. Ожидалось значительное увеличение количества ме</w:t>
      </w:r>
      <w:r w:rsidRPr="00A3026E">
        <w:rPr>
          <w:rFonts w:ascii="Times New Roman" w:hAnsi="Times New Roman"/>
          <w:color w:val="000000" w:themeColor="text1"/>
          <w:sz w:val="16"/>
          <w:szCs w:val="16"/>
        </w:rPr>
        <w:softHyphen/>
        <w:t>таллообрабатывающих станков на заводах № 23, 30—31 (Фактически эти два завода взаимодополняли друг друга, поэтому име</w:t>
      </w:r>
      <w:r w:rsidRPr="00A3026E">
        <w:rPr>
          <w:rFonts w:ascii="Times New Roman" w:hAnsi="Times New Roman"/>
          <w:color w:val="000000" w:themeColor="text1"/>
          <w:sz w:val="16"/>
          <w:szCs w:val="16"/>
        </w:rPr>
        <w:softHyphen/>
        <w:t>ет смысл рассматривать их как составные части единого авиастроительного комбината), 43, 153 и 165. Из передаваемых в Наркомат авиапромышленно</w:t>
      </w:r>
      <w:r w:rsidRPr="00A3026E">
        <w:rPr>
          <w:rFonts w:ascii="Times New Roman" w:hAnsi="Times New Roman"/>
          <w:color w:val="000000" w:themeColor="text1"/>
          <w:sz w:val="16"/>
          <w:szCs w:val="16"/>
        </w:rPr>
        <w:softHyphen/>
        <w:t>сти из других отраслей индустрии следует выделить заводы № 380,381,446,447, а также несколько предприятий в Харь</w:t>
      </w:r>
      <w:r w:rsidRPr="00A3026E">
        <w:rPr>
          <w:rFonts w:ascii="Times New Roman" w:hAnsi="Times New Roman"/>
          <w:color w:val="000000" w:themeColor="text1"/>
          <w:sz w:val="16"/>
          <w:szCs w:val="16"/>
        </w:rPr>
        <w:softHyphen/>
        <w:t>кове, Ростове, Минске и Прибалтике, которые также долж</w:t>
      </w:r>
      <w:r w:rsidRPr="00A3026E">
        <w:rPr>
          <w:rFonts w:ascii="Times New Roman" w:hAnsi="Times New Roman"/>
          <w:color w:val="000000" w:themeColor="text1"/>
          <w:sz w:val="16"/>
          <w:szCs w:val="16"/>
        </w:rPr>
        <w:softHyphen/>
        <w:t>ны бы стать крупными центрами металлического авиастро</w:t>
      </w:r>
      <w:r w:rsidRPr="00A3026E">
        <w:rPr>
          <w:rFonts w:ascii="Times New Roman" w:hAnsi="Times New Roman"/>
          <w:color w:val="000000" w:themeColor="text1"/>
          <w:sz w:val="16"/>
          <w:szCs w:val="16"/>
        </w:rPr>
        <w:softHyphen/>
        <w:t>ения. И, наконец, ввод в эксплуатацию заводов-новостроек (№ 121 и 295) должен был окончательно завершить радикаль</w:t>
      </w:r>
      <w:r w:rsidRPr="00A3026E">
        <w:rPr>
          <w:rFonts w:ascii="Times New Roman" w:hAnsi="Times New Roman"/>
          <w:color w:val="000000" w:themeColor="text1"/>
          <w:sz w:val="16"/>
          <w:szCs w:val="16"/>
        </w:rPr>
        <w:softHyphen/>
        <w:t>ное расширение группы заводов, производящих металличе</w:t>
      </w:r>
      <w:r w:rsidRPr="00A3026E">
        <w:rPr>
          <w:rFonts w:ascii="Times New Roman" w:hAnsi="Times New Roman"/>
          <w:color w:val="000000" w:themeColor="text1"/>
          <w:sz w:val="16"/>
          <w:szCs w:val="16"/>
        </w:rPr>
        <w:softHyphen/>
        <w:t>ские самолеты.</w:t>
      </w:r>
    </w:p>
    <w:p w14:paraId="784775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Пополнение станочным парком, помимо внутреннего про</w:t>
      </w:r>
      <w:r w:rsidRPr="00A3026E">
        <w:rPr>
          <w:rFonts w:ascii="Times New Roman" w:hAnsi="Times New Roman"/>
          <w:color w:val="000000" w:themeColor="text1"/>
          <w:sz w:val="16"/>
          <w:szCs w:val="16"/>
        </w:rPr>
        <w:softHyphen/>
        <w:t>изводства, продолжалось за счёт закупок оборудования в Германии. Это объяснялось тем, что после начала «Зимней» войны США наложили т.н. «моральное эмбарго» на поставки в СССР авиатехники и авиаоборудования (</w:t>
      </w:r>
      <w:r w:rsidRPr="00A3026E">
        <w:rPr>
          <w:rFonts w:ascii="Times New Roman" w:hAnsi="Times New Roman"/>
          <w:iCs/>
          <w:color w:val="000000" w:themeColor="text1"/>
          <w:sz w:val="16"/>
          <w:szCs w:val="16"/>
        </w:rPr>
        <w:t>Соболев ДА.</w:t>
      </w:r>
      <w:r w:rsidRPr="00A3026E">
        <w:rPr>
          <w:rFonts w:ascii="Times New Roman" w:hAnsi="Times New Roman"/>
          <w:color w:val="000000" w:themeColor="text1"/>
          <w:sz w:val="16"/>
          <w:szCs w:val="16"/>
        </w:rPr>
        <w:t xml:space="preserve"> Немецкий след в советской авиации. М., 1996. С. 54). Разумеется, гер</w:t>
      </w:r>
      <w:r w:rsidRPr="00A3026E">
        <w:rPr>
          <w:rFonts w:ascii="Times New Roman" w:hAnsi="Times New Roman"/>
          <w:color w:val="000000" w:themeColor="text1"/>
          <w:sz w:val="16"/>
          <w:szCs w:val="16"/>
        </w:rPr>
        <w:softHyphen/>
        <w:t>манское руководство отнюдь не рвалось развивать советскую экономику накануне решающего столкновения, однако толь</w:t>
      </w:r>
      <w:r w:rsidRPr="00A3026E">
        <w:rPr>
          <w:rFonts w:ascii="Times New Roman" w:hAnsi="Times New Roman"/>
          <w:color w:val="000000" w:themeColor="text1"/>
          <w:sz w:val="16"/>
          <w:szCs w:val="16"/>
        </w:rPr>
        <w:softHyphen/>
        <w:t>ко на таких условиях Сталин согласился на встречные по</w:t>
      </w:r>
      <w:r w:rsidRPr="00A3026E">
        <w:rPr>
          <w:rFonts w:ascii="Times New Roman" w:hAnsi="Times New Roman"/>
          <w:color w:val="000000" w:themeColor="text1"/>
          <w:sz w:val="16"/>
          <w:szCs w:val="16"/>
        </w:rPr>
        <w:softHyphen/>
        <w:t>ставки в Германию 2 500 000 т зерна, 970 000 т сырой нефти и 200 000 т. марганцевой руды (</w:t>
      </w:r>
      <w:r w:rsidRPr="00A3026E">
        <w:rPr>
          <w:rFonts w:ascii="Times New Roman" w:hAnsi="Times New Roman"/>
          <w:iCs/>
          <w:color w:val="000000" w:themeColor="text1"/>
          <w:sz w:val="16"/>
          <w:szCs w:val="16"/>
        </w:rPr>
        <w:t>Мюллер ЕД.</w:t>
      </w:r>
      <w:r w:rsidRPr="00A3026E">
        <w:rPr>
          <w:rFonts w:ascii="Times New Roman" w:hAnsi="Times New Roman"/>
          <w:color w:val="000000" w:themeColor="text1"/>
          <w:sz w:val="16"/>
          <w:szCs w:val="16"/>
        </w:rPr>
        <w:t xml:space="preserve"> Экономические приготовления Германии к операции «Бар</w:t>
      </w:r>
      <w:r w:rsidRPr="00A3026E">
        <w:rPr>
          <w:rFonts w:ascii="Times New Roman" w:hAnsi="Times New Roman"/>
          <w:color w:val="000000" w:themeColor="text1"/>
          <w:sz w:val="16"/>
          <w:szCs w:val="16"/>
        </w:rPr>
        <w:softHyphen/>
        <w:t>баросса» // Война и политика. 1939—1941. М., 1999. С. 347), что было немаловажно для экономического развития рейха. С другой стороны, вне за</w:t>
      </w:r>
      <w:r w:rsidRPr="00A3026E">
        <w:rPr>
          <w:rFonts w:ascii="Times New Roman" w:hAnsi="Times New Roman"/>
          <w:color w:val="000000" w:themeColor="text1"/>
          <w:sz w:val="16"/>
          <w:szCs w:val="16"/>
        </w:rPr>
        <w:softHyphen/>
        <w:t>висимости от экономических расчетов, Гитлеру требовался мирный тыл во время вторжения во Францию, так что на не</w:t>
      </w:r>
      <w:r w:rsidRPr="00A3026E">
        <w:rPr>
          <w:rFonts w:ascii="Times New Roman" w:hAnsi="Times New Roman"/>
          <w:color w:val="000000" w:themeColor="text1"/>
          <w:sz w:val="16"/>
          <w:szCs w:val="16"/>
        </w:rPr>
        <w:softHyphen/>
        <w:t>которое время от Советской России имело смысл «откупить</w:t>
      </w:r>
      <w:r w:rsidRPr="00A3026E">
        <w:rPr>
          <w:rFonts w:ascii="Times New Roman" w:hAnsi="Times New Roman"/>
          <w:color w:val="000000" w:themeColor="text1"/>
          <w:sz w:val="16"/>
          <w:szCs w:val="16"/>
        </w:rPr>
        <w:softHyphen/>
        <w:t>ся», тем более что, по мнению гитлеровского руководства, славянские «унтерменши» всё равно были не в состоянии освоить передовые технологии (</w:t>
      </w:r>
      <w:r w:rsidRPr="00A3026E">
        <w:rPr>
          <w:rFonts w:ascii="Times New Roman" w:hAnsi="Times New Roman"/>
          <w:iCs/>
          <w:color w:val="000000" w:themeColor="text1"/>
          <w:sz w:val="16"/>
          <w:szCs w:val="16"/>
        </w:rPr>
        <w:t>Фон Штрадман Х.П.</w:t>
      </w:r>
      <w:r w:rsidRPr="00A3026E">
        <w:rPr>
          <w:rFonts w:ascii="Times New Roman" w:hAnsi="Times New Roman"/>
          <w:color w:val="000000" w:themeColor="text1"/>
          <w:sz w:val="16"/>
          <w:szCs w:val="16"/>
        </w:rPr>
        <w:t xml:space="preserve"> Обостряющиеся парадоксы: Гитлер, Сталин и германо-советские экономические связи. 1939—1941 // Война и политика. 1939—1941. М., 1999. С. 374).</w:t>
      </w:r>
    </w:p>
    <w:p w14:paraId="688455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 не менее основной упор в деле обновления станочного парка предполагалось всё же делать на внутреннее производ</w:t>
      </w:r>
      <w:r w:rsidRPr="00A3026E">
        <w:rPr>
          <w:rFonts w:ascii="Times New Roman" w:hAnsi="Times New Roman"/>
          <w:color w:val="000000" w:themeColor="text1"/>
          <w:sz w:val="16"/>
          <w:szCs w:val="16"/>
        </w:rPr>
        <w:softHyphen/>
        <w:t>ство. Так, при наличии на 1 октября 1940 г. на авиастроитель</w:t>
      </w:r>
      <w:r w:rsidRPr="00A3026E">
        <w:rPr>
          <w:rFonts w:ascii="Times New Roman" w:hAnsi="Times New Roman"/>
          <w:color w:val="000000" w:themeColor="text1"/>
          <w:sz w:val="16"/>
          <w:szCs w:val="16"/>
        </w:rPr>
        <w:softHyphen/>
        <w:t>ных заводах всего 12 985 металлообрабатывающих станков, на 1941 г. требовалось 31 632 таких станка — то есть станоч</w:t>
      </w:r>
      <w:r w:rsidRPr="00A3026E">
        <w:rPr>
          <w:rFonts w:ascii="Times New Roman" w:hAnsi="Times New Roman"/>
          <w:color w:val="000000" w:themeColor="text1"/>
          <w:sz w:val="16"/>
          <w:szCs w:val="16"/>
        </w:rPr>
        <w:softHyphen/>
        <w:t>ный парк должен был вырасти в 2,4 раза. Следовательно, тре</w:t>
      </w:r>
      <w:r w:rsidRPr="00A3026E">
        <w:rPr>
          <w:rFonts w:ascii="Times New Roman" w:hAnsi="Times New Roman"/>
          <w:color w:val="000000" w:themeColor="text1"/>
          <w:sz w:val="16"/>
          <w:szCs w:val="16"/>
        </w:rPr>
        <w:softHyphen/>
        <w:t>бовалось 18 647 новых станков. При этом по импорту пред</w:t>
      </w:r>
      <w:r w:rsidRPr="00A3026E">
        <w:rPr>
          <w:rFonts w:ascii="Times New Roman" w:hAnsi="Times New Roman"/>
          <w:color w:val="000000" w:themeColor="text1"/>
          <w:sz w:val="16"/>
          <w:szCs w:val="16"/>
        </w:rPr>
        <w:softHyphen/>
        <w:t>полагалось получить лишь 4247 станков (23</w:t>
      </w:r>
      <w:r w:rsidRPr="00A3026E">
        <w:rPr>
          <w:rFonts w:ascii="Times New Roman" w:hAnsi="Times New Roman"/>
          <w:iCs/>
          <w:color w:val="000000" w:themeColor="text1"/>
          <w:sz w:val="16"/>
          <w:szCs w:val="16"/>
        </w:rPr>
        <w:t xml:space="preserve"> % от</w:t>
      </w:r>
      <w:r w:rsidRPr="00A3026E">
        <w:rPr>
          <w:rFonts w:ascii="Times New Roman" w:hAnsi="Times New Roman"/>
          <w:color w:val="000000" w:themeColor="text1"/>
          <w:sz w:val="16"/>
          <w:szCs w:val="16"/>
        </w:rPr>
        <w:t xml:space="preserve"> всех новых станков), остальные предполагалось либо передать с других предприятий (1600 станков), либо изготовить на отечествен</w:t>
      </w:r>
      <w:r w:rsidRPr="00A3026E">
        <w:rPr>
          <w:rFonts w:ascii="Times New Roman" w:hAnsi="Times New Roman"/>
          <w:color w:val="000000" w:themeColor="text1"/>
          <w:sz w:val="16"/>
          <w:szCs w:val="16"/>
        </w:rPr>
        <w:softHyphen/>
        <w:t>ных станкостроительных заводах (12011).</w:t>
      </w:r>
    </w:p>
    <w:p w14:paraId="37C182E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DAD98D4" w14:textId="77777777" w:rsidR="006F6185" w:rsidRPr="00A3026E" w:rsidRDefault="006F61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октября 1940 была Сопроводительная записка наркома авиационной промышленности СССР А. И. Шахурина в ЦК ВКП(б) с приложением проекта постановления СНК СССР и ЦК ВКП(б) "Об увеличении дальности истребителей и постановке их производства на заводах" (утвержден Политбюро ЦК ВКП(б) 2 октября 1940 г.)</w:t>
      </w:r>
    </w:p>
    <w:p w14:paraId="07CD053D" w14:textId="77777777" w:rsidR="006F6185" w:rsidRPr="00A3026E" w:rsidRDefault="006F618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Посылаю переработанный, согласно Ваших указаний, проект постановления "Об увеличении даль</w:t>
      </w:r>
      <w:r w:rsidRPr="00A3026E">
        <w:rPr>
          <w:rFonts w:ascii="Times New Roman" w:hAnsi="Times New Roman"/>
          <w:color w:val="0070C0"/>
          <w:sz w:val="16"/>
          <w:szCs w:val="16"/>
        </w:rPr>
        <w:softHyphen/>
        <w:t>ности истребителей и о постановке их производства на заводах (22049).</w:t>
      </w:r>
    </w:p>
    <w:p w14:paraId="5F4EB153" w14:textId="77777777" w:rsidR="006F6185" w:rsidRPr="00A3026E" w:rsidRDefault="006F6185" w:rsidP="00A3026E">
      <w:pPr>
        <w:spacing w:after="0" w:line="240" w:lineRule="auto"/>
        <w:jc w:val="both"/>
        <w:rPr>
          <w:rFonts w:ascii="Times New Roman" w:hAnsi="Times New Roman"/>
          <w:color w:val="0070C0"/>
          <w:sz w:val="16"/>
          <w:szCs w:val="16"/>
        </w:rPr>
      </w:pPr>
    </w:p>
    <w:p w14:paraId="15C814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года был частично введен в строй завод № 387</w:t>
      </w:r>
    </w:p>
    <w:p w14:paraId="37D626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Реконструирующийся</w:t>
      </w:r>
    </w:p>
    <w:p w14:paraId="2D7E95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производства – среднесерийное</w:t>
      </w:r>
    </w:p>
    <w:p w14:paraId="6C3BC0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производства – самолетостроение</w:t>
      </w:r>
    </w:p>
    <w:p w14:paraId="4B5A81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Ленинград 6, п/я 934</w:t>
      </w:r>
    </w:p>
    <w:p w14:paraId="6A1DC2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самолеты У-2, С-2</w:t>
      </w:r>
    </w:p>
    <w:p w14:paraId="12CDD0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Указом Президиума ВС от 26 июля 1940 года на базе завода им. Каракозова (мелкое деревянное судостроение) и машиностроительного завода Лентекстильмаш (текстильные машины) НКАП организовал самолетостроительный завод № 387 для производства самолетов типа У-2 и его модификаций.</w:t>
      </w:r>
    </w:p>
    <w:p w14:paraId="7CBC1D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вопросом реконструкции указанных заводов под самолетостроение, НКАП одновременно поставил перед заводом задачу выпуска до 1 января 1941 года машин типа ЭУ-2 из деталей завода № 23 с постепенным переходом на изготовление их собственными силами. К настоящему времени завод полностью перешел на выпуск машин из своих деталей (9342).</w:t>
      </w:r>
    </w:p>
    <w:p w14:paraId="57BF765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72CB8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НКАП А.И.Ш. писал письмо № Н-20/2293 ПРЕДСЕДАТЕЛЮ СОВЕТА ПО ОБОРОННОЙ ПРОМЫШЛЕННОСТИ ПРИ СНК СССР</w:t>
      </w:r>
    </w:p>
    <w:p w14:paraId="399FDA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ВОЗНЕСЕНСКОМУ Н.А.</w:t>
      </w:r>
    </w:p>
    <w:p w14:paraId="448849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Направляю проекта постановления СНК СССР и ЦК ВКП(б) "О передаче НКАП Ростовского автосборочного за</w:t>
      </w:r>
      <w:r w:rsidRPr="00A3026E">
        <w:rPr>
          <w:rFonts w:ascii="Times New Roman" w:hAnsi="Times New Roman"/>
          <w:color w:val="000000" w:themeColor="text1"/>
          <w:sz w:val="16"/>
          <w:szCs w:val="16"/>
        </w:rPr>
        <w:softHyphen/>
        <w:t>вода НКСМ, для организация на нем производства самоле</w:t>
      </w:r>
      <w:r w:rsidRPr="00A3026E">
        <w:rPr>
          <w:rFonts w:ascii="Times New Roman" w:hAnsi="Times New Roman"/>
          <w:color w:val="000000" w:themeColor="text1"/>
          <w:sz w:val="16"/>
          <w:szCs w:val="16"/>
        </w:rPr>
        <w:softHyphen/>
        <w:t>тов ДБ-240”;</w:t>
      </w:r>
    </w:p>
    <w:p w14:paraId="3B766E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передаче НКАП Вагоноремонтного завода НКПС в Лианозове, для организации на нем производства самоле</w:t>
      </w:r>
      <w:r w:rsidRPr="00A3026E">
        <w:rPr>
          <w:rFonts w:ascii="Times New Roman" w:hAnsi="Times New Roman"/>
          <w:color w:val="000000" w:themeColor="text1"/>
          <w:sz w:val="16"/>
          <w:szCs w:val="16"/>
        </w:rPr>
        <w:softHyphen/>
        <w:t>тов ПБ-100";</w:t>
      </w:r>
    </w:p>
    <w:p w14:paraId="49739D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дальнейшем увеличении производственных мощно</w:t>
      </w:r>
      <w:r w:rsidRPr="00A3026E">
        <w:rPr>
          <w:rFonts w:ascii="Times New Roman" w:hAnsi="Times New Roman"/>
          <w:color w:val="000000" w:themeColor="text1"/>
          <w:sz w:val="16"/>
          <w:szCs w:val="16"/>
        </w:rPr>
        <w:softHyphen/>
        <w:t>стей по авиаприборам и автоматике самолетовождения";</w:t>
      </w:r>
    </w:p>
    <w:p w14:paraId="736E23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обеспечении производственной программа 1941 года самолетными и моторными агрегатами".</w:t>
      </w:r>
    </w:p>
    <w:p w14:paraId="635688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(А.Шахурин) (8049,63).</w:t>
      </w:r>
    </w:p>
    <w:p w14:paraId="09CCE8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был отпечатан проект:</w:t>
      </w:r>
    </w:p>
    <w:p w14:paraId="15078B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СОВЕТА НАРОДНЫХ КОМИССАРОВ СССР И ЦЕНТРАЛЪНОГО КОМИТЕТА ВКП(б)</w:t>
      </w:r>
    </w:p>
    <w:p w14:paraId="5D7D50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Кремль</w:t>
      </w:r>
    </w:p>
    <w:p w14:paraId="2B7DB9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“___” сентября 1940 г.</w:t>
      </w:r>
    </w:p>
    <w:p w14:paraId="112FA6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передаче НКАП Ростовского автосборочного завода НКСМ для организации на нем производства самолетов ДБ-240.</w:t>
      </w:r>
    </w:p>
    <w:p w14:paraId="6C18D9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Совет Народных Комиссаров СССР и Центральный Комитет ВКП(б) ПОСТАНОВЛЯЮТ:</w:t>
      </w:r>
    </w:p>
    <w:p w14:paraId="1066F5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Передать в систему НКАП Ростовский автосборочный завод Наркомсредмаша, освободив его от сборки автомобилей с 1 ноября с.г.</w:t>
      </w:r>
    </w:p>
    <w:p w14:paraId="58D838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Передачу завода произвести в 10-ти дневный срок по балансу на 1 октября с.г.</w:t>
      </w:r>
    </w:p>
    <w:p w14:paraId="7A033E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Народвого Комиссара Авиационной Промышленности тов. Шахурина А.И. развернуть немедленно подготовку производства самолетов ДБ-240 на Ростовском автосборочном заводе и обеспечить в 1941 году выполнение программы по этому заводу в количестве 150 штук, со следущей разбивкой по квартала»:</w:t>
      </w:r>
    </w:p>
    <w:p w14:paraId="698880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квартал - 25 штук - в т.ч. в июне 10 штук</w:t>
      </w:r>
    </w:p>
    <w:p w14:paraId="34B234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квартал - 50 штук - в т.ч. в сентябре 20 штук</w:t>
      </w:r>
    </w:p>
    <w:p w14:paraId="3392FB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 квартал - 75 штук - в т.ч. в декабре 30 штук</w:t>
      </w:r>
    </w:p>
    <w:p w14:paraId="28C6D0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первом квартале 1942 года обеспечить выпуск 100 штук самолетов ДБ-240, в том числе в марте месяце 35 штук.</w:t>
      </w:r>
    </w:p>
    <w:p w14:paraId="6E4687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данной программой приступить в 1У квартале 1940 года к созданию заделов, обеспечивавши: со П-го квартала 1941 года сдачу самолетов по утвержденному графику.</w:t>
      </w:r>
    </w:p>
    <w:p w14:paraId="22BD60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Обязать Народного Кошссара Авиационной Промышленности тов. Шахурина А.И. реконструировать и достроить автосборочный завод под производство самолетов, на основании типового проек</w:t>
      </w:r>
      <w:r w:rsidRPr="00A3026E">
        <w:rPr>
          <w:rFonts w:ascii="Times New Roman" w:hAnsi="Times New Roman"/>
          <w:color w:val="000000" w:themeColor="text1"/>
          <w:sz w:val="16"/>
          <w:szCs w:val="16"/>
        </w:rPr>
        <w:softHyphen/>
        <w:t>та, исходя из программы выпуска 1200 штук двухмоторных бомбар</w:t>
      </w:r>
      <w:r w:rsidRPr="00A3026E">
        <w:rPr>
          <w:rFonts w:ascii="Times New Roman" w:hAnsi="Times New Roman"/>
          <w:color w:val="000000" w:themeColor="text1"/>
          <w:sz w:val="16"/>
          <w:szCs w:val="16"/>
        </w:rPr>
        <w:softHyphen/>
        <w:t>дировщиков в год, со сроком окончания строительства - П-й квар</w:t>
      </w:r>
      <w:r w:rsidRPr="00A3026E">
        <w:rPr>
          <w:rFonts w:ascii="Times New Roman" w:hAnsi="Times New Roman"/>
          <w:color w:val="000000" w:themeColor="text1"/>
          <w:sz w:val="16"/>
          <w:szCs w:val="16"/>
        </w:rPr>
        <w:softHyphen/>
        <w:t>тал 1942 года.</w:t>
      </w:r>
    </w:p>
    <w:p w14:paraId="5635B2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 мощности вести исходя из двухсменной работы, при 8-ми часовом рабочем дне и семидневной неделе.</w:t>
      </w:r>
    </w:p>
    <w:p w14:paraId="65207C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Для достройки авиационного завода в гор. Ростове, орга</w:t>
      </w:r>
      <w:r w:rsidRPr="00A3026E">
        <w:rPr>
          <w:rFonts w:ascii="Times New Roman" w:hAnsi="Times New Roman"/>
          <w:color w:val="000000" w:themeColor="text1"/>
          <w:sz w:val="16"/>
          <w:szCs w:val="16"/>
        </w:rPr>
        <w:softHyphen/>
        <w:t>низовать строительно-монтажный трест Наркомавяапрома, на базе 1-й конторы треста Севказтяжстрой Наркомстроя СССР, с освобож</w:t>
      </w:r>
      <w:r w:rsidRPr="00A3026E">
        <w:rPr>
          <w:rFonts w:ascii="Times New Roman" w:hAnsi="Times New Roman"/>
          <w:color w:val="000000" w:themeColor="text1"/>
          <w:sz w:val="16"/>
          <w:szCs w:val="16"/>
        </w:rPr>
        <w:softHyphen/>
        <w:t>дением этой конторы от производства подрядных работ других за</w:t>
      </w:r>
      <w:r w:rsidRPr="00A3026E">
        <w:rPr>
          <w:rFonts w:ascii="Times New Roman" w:hAnsi="Times New Roman"/>
          <w:color w:val="000000" w:themeColor="text1"/>
          <w:sz w:val="16"/>
          <w:szCs w:val="16"/>
        </w:rPr>
        <w:softHyphen/>
        <w:t>казчиков.</w:t>
      </w:r>
    </w:p>
    <w:p w14:paraId="2A60F6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Обязать Наркомстрой передать Наркомаяиапрому в декадный срок Стройконтору № 1 Севкавтяжстроя с рабочими кадрами, мате</w:t>
      </w:r>
      <w:r w:rsidRPr="00A3026E">
        <w:rPr>
          <w:rFonts w:ascii="Times New Roman" w:hAnsi="Times New Roman"/>
          <w:color w:val="000000" w:themeColor="text1"/>
          <w:sz w:val="16"/>
          <w:szCs w:val="16"/>
        </w:rPr>
        <w:softHyphen/>
        <w:t>риалами, механизмами и автотранспортом, а также карьерное хо</w:t>
      </w:r>
      <w:r w:rsidRPr="00A3026E">
        <w:rPr>
          <w:rFonts w:ascii="Times New Roman" w:hAnsi="Times New Roman"/>
          <w:color w:val="000000" w:themeColor="text1"/>
          <w:sz w:val="16"/>
          <w:szCs w:val="16"/>
        </w:rPr>
        <w:softHyphen/>
        <w:t>зяйство, подсобные предприятия, складские и жилые помещения, базы материалов, находящиеся в Ростове, по балансу на 1 октября с.г.</w:t>
      </w:r>
    </w:p>
    <w:p w14:paraId="64DA9C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Проектирование завода возложить на Рособлпроект, обя</w:t>
      </w:r>
      <w:r w:rsidRPr="00A3026E">
        <w:rPr>
          <w:rFonts w:ascii="Times New Roman" w:hAnsi="Times New Roman"/>
          <w:color w:val="000000" w:themeColor="text1"/>
          <w:sz w:val="16"/>
          <w:szCs w:val="16"/>
        </w:rPr>
        <w:softHyphen/>
        <w:t>зав НКАП:</w:t>
      </w:r>
    </w:p>
    <w:p w14:paraId="31B859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передать типовой проект Рособлпроекзу не позднее 1.Х1.1940 года;</w:t>
      </w:r>
    </w:p>
    <w:p w14:paraId="083F41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командировать в г. Ростов, для оказания помощи Рособлпроекту, бригаду квалифицированных проектировщиков во главе с главным инженером проекта.</w:t>
      </w:r>
    </w:p>
    <w:p w14:paraId="7DC517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7.Рособлпроекту закончить проектирование к 1.П.1941 года с выдачей рабочих чертекей к 1.1.1941 года.</w:t>
      </w:r>
    </w:p>
    <w:p w14:paraId="0D349F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Промбанку СССР финансировать строительство самолетного завода в г. Ростове до 1.У.1941 года без утвержденных проектов и смет, а после 1.У.1941 года по сметам на отдельнне объекты и вида работ и сметво-финансовым расчетам к утвержденным НКАП проектным заданиям.</w:t>
      </w:r>
    </w:p>
    <w:p w14:paraId="36C633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9. Выделить НКАП из резервного фонда СНК СССР на 1940 год для развертывания строительства и приобретения оборудования, транспорта, механизмов и стройматериалов - 10 млн. рублей, в том числе 5 млн. рублей в оборотные средства треста.</w:t>
      </w:r>
    </w:p>
    <w:p w14:paraId="6CBFF7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Разрешить НКАП ввести поправочный коэфипиент 1,20 к тарифным ставкам рабочих и 1,25 - ИТР и служащим на строитель</w:t>
      </w:r>
      <w:r w:rsidRPr="00A3026E">
        <w:rPr>
          <w:rFonts w:ascii="Times New Roman" w:hAnsi="Times New Roman"/>
          <w:color w:val="000000" w:themeColor="text1"/>
          <w:sz w:val="16"/>
          <w:szCs w:val="16"/>
        </w:rPr>
        <w:softHyphen/>
        <w:t>стве самолетного завода в гор. Ростове.</w:t>
      </w:r>
    </w:p>
    <w:p w14:paraId="1B7E4A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Установить 3 персональных оклада для руководящих работников стройтреста и 3 персональных оклада для руководящих работни</w:t>
      </w:r>
      <w:r w:rsidRPr="00A3026E">
        <w:rPr>
          <w:rFonts w:ascii="Times New Roman" w:hAnsi="Times New Roman"/>
          <w:color w:val="000000" w:themeColor="text1"/>
          <w:sz w:val="16"/>
          <w:szCs w:val="16"/>
        </w:rPr>
        <w:softHyphen/>
        <w:t>ков завода до 3000 рублей.</w:t>
      </w:r>
    </w:p>
    <w:p w14:paraId="570711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Для ведения строительства завода скоростными методами, установить размер накладных расходов в 25%, в том числе по ад</w:t>
      </w:r>
      <w:r w:rsidRPr="00A3026E">
        <w:rPr>
          <w:rFonts w:ascii="Times New Roman" w:hAnsi="Times New Roman"/>
          <w:color w:val="000000" w:themeColor="text1"/>
          <w:sz w:val="16"/>
          <w:szCs w:val="16"/>
        </w:rPr>
        <w:softHyphen/>
        <w:t>министративно-хозяйственным расходам 10,5% и аванс на приобре</w:t>
      </w:r>
      <w:r w:rsidRPr="00A3026E">
        <w:rPr>
          <w:rFonts w:ascii="Times New Roman" w:hAnsi="Times New Roman"/>
          <w:color w:val="000000" w:themeColor="text1"/>
          <w:sz w:val="16"/>
          <w:szCs w:val="16"/>
        </w:rPr>
        <w:softHyphen/>
        <w:t>тение стройматериалов и оборудования в размере 20%, от объема выполняемых работ.</w:t>
      </w:r>
    </w:p>
    <w:p w14:paraId="452F97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Обязать Ростовский Облисполком Совета депутатов трудя</w:t>
      </w:r>
      <w:r w:rsidRPr="00A3026E">
        <w:rPr>
          <w:rFonts w:ascii="Times New Roman" w:hAnsi="Times New Roman"/>
          <w:color w:val="000000" w:themeColor="text1"/>
          <w:sz w:val="16"/>
          <w:szCs w:val="16"/>
        </w:rPr>
        <w:softHyphen/>
        <w:t>щихся:</w:t>
      </w:r>
    </w:p>
    <w:p w14:paraId="4DD321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выделить для рабочих, служащих и ИТР самолетного завода в 1940 году - 30 квартир я в 1941 году - 60 квартир;</w:t>
      </w:r>
    </w:p>
    <w:p w14:paraId="37C1A0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построить в 1941 году своими силами за счет средств Наркомавиапрома жилые дома на 1500 человек работающих;</w:t>
      </w:r>
    </w:p>
    <w:p w14:paraId="1A3571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перевести рабочих строителей с менее важных строек на строительство авиационного завода в количестве 2000 человек, сохранив за ними занимаемую жилплощадь на время работы на стро</w:t>
      </w:r>
      <w:r w:rsidRPr="00A3026E">
        <w:rPr>
          <w:rFonts w:ascii="Times New Roman" w:hAnsi="Times New Roman"/>
          <w:color w:val="000000" w:themeColor="text1"/>
          <w:sz w:val="16"/>
          <w:szCs w:val="16"/>
        </w:rPr>
        <w:softHyphen/>
        <w:t>ительстве самолетного завода.</w:t>
      </w:r>
    </w:p>
    <w:p w14:paraId="0F5818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обеспечить полностью строительство самолетного завода местннми стройматериалами (кирпич, камень, гравий, песок, из</w:t>
      </w:r>
      <w:r w:rsidRPr="00A3026E">
        <w:rPr>
          <w:rFonts w:ascii="Times New Roman" w:hAnsi="Times New Roman"/>
          <w:color w:val="000000" w:themeColor="text1"/>
          <w:sz w:val="16"/>
          <w:szCs w:val="16"/>
        </w:rPr>
        <w:softHyphen/>
        <w:t>весть и алебастр);</w:t>
      </w:r>
    </w:p>
    <w:p w14:paraId="41AB08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в декадный срок отвести необходимые земельные участки для расширения завода и жилищного строительства.</w:t>
      </w:r>
    </w:p>
    <w:p w14:paraId="5967FA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Обязать НКАП организовать в г. Ростове подготовку авиа</w:t>
      </w:r>
      <w:r w:rsidRPr="00A3026E">
        <w:rPr>
          <w:rFonts w:ascii="Times New Roman" w:hAnsi="Times New Roman"/>
          <w:color w:val="000000" w:themeColor="text1"/>
          <w:sz w:val="16"/>
          <w:szCs w:val="16"/>
        </w:rPr>
        <w:softHyphen/>
        <w:t>ционных кадров в количестве 2000 человек, для чего Ростовскому Облисполкому выделить необходимое помещение.</w:t>
      </w:r>
    </w:p>
    <w:p w14:paraId="04FA5C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Обязать Народного Комиссара Авдационной Промышленности тов. Шахурина А.И. обеспечить необходимую техническую помощь самолетному заводу в г. Ростове, путем посылки квалифицирован</w:t>
      </w:r>
      <w:r w:rsidRPr="00A3026E">
        <w:rPr>
          <w:rFonts w:ascii="Times New Roman" w:hAnsi="Times New Roman"/>
          <w:color w:val="000000" w:themeColor="text1"/>
          <w:sz w:val="16"/>
          <w:szCs w:val="16"/>
        </w:rPr>
        <w:softHyphen/>
        <w:t>ных кадров с действующих заводов я изготовления производствен</w:t>
      </w:r>
      <w:r w:rsidRPr="00A3026E">
        <w:rPr>
          <w:rFonts w:ascii="Times New Roman" w:hAnsi="Times New Roman"/>
          <w:color w:val="000000" w:themeColor="text1"/>
          <w:sz w:val="16"/>
          <w:szCs w:val="16"/>
        </w:rPr>
        <w:softHyphen/>
        <w:t>ной оснастки и эталонов,</w:t>
      </w:r>
    </w:p>
    <w:p w14:paraId="13C03B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Обязать Наркомат Торговли СССР организовать закрытую форму торговли я питаниерабочих и ИТР, занятых на производст</w:t>
      </w:r>
      <w:r w:rsidRPr="00A3026E">
        <w:rPr>
          <w:rFonts w:ascii="Times New Roman" w:hAnsi="Times New Roman"/>
          <w:color w:val="000000" w:themeColor="text1"/>
          <w:sz w:val="16"/>
          <w:szCs w:val="16"/>
        </w:rPr>
        <w:softHyphen/>
        <w:t>ве и строительстве Ростовского самолетного завода.</w:t>
      </w:r>
    </w:p>
    <w:p w14:paraId="50ADA0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17..Зкономсовету при СНК СССР в декадный срок выделить НКАП дополнительно к фондам 1У квартала т.г. материалы и обо</w:t>
      </w:r>
      <w:r w:rsidRPr="00A3026E">
        <w:rPr>
          <w:rFonts w:ascii="Times New Roman" w:hAnsi="Times New Roman"/>
          <w:color w:val="000000" w:themeColor="text1"/>
          <w:sz w:val="16"/>
          <w:szCs w:val="16"/>
        </w:rPr>
        <w:softHyphen/>
        <w:t>рудование , с целевым назначением для самолетостроительного завода в г. Ростове, в количествах, указанных в приложениях №№ 1 и 2.</w:t>
      </w:r>
    </w:p>
    <w:p w14:paraId="2FF511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Обязать Наркоматы-поставщики и Наркомат Путей Сообщения обеспечить строительство самолетного завода в г. Ростове вне</w:t>
      </w:r>
      <w:r w:rsidRPr="00A3026E">
        <w:rPr>
          <w:rFonts w:ascii="Times New Roman" w:hAnsi="Times New Roman"/>
          <w:color w:val="000000" w:themeColor="text1"/>
          <w:sz w:val="16"/>
          <w:szCs w:val="16"/>
        </w:rPr>
        <w:softHyphen/>
        <w:t>очередной отгрузкой материалов, автотранспорта и строймеханизмов в адрес стройтреста НКАП равными партиями в течение - ок</w:t>
      </w:r>
      <w:r w:rsidRPr="00A3026E">
        <w:rPr>
          <w:rFonts w:ascii="Times New Roman" w:hAnsi="Times New Roman"/>
          <w:color w:val="000000" w:themeColor="text1"/>
          <w:sz w:val="16"/>
          <w:szCs w:val="16"/>
        </w:rPr>
        <w:softHyphen/>
        <w:t>тября, ноября и декабря 1940 года.</w:t>
      </w:r>
    </w:p>
    <w:p w14:paraId="67B4B6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Реализацию фондов для строительства этого завода, отгрузку всех материалов и оборудования и подачу вагонов произво</w:t>
      </w:r>
      <w:r w:rsidRPr="00A3026E">
        <w:rPr>
          <w:rFonts w:ascii="Times New Roman" w:hAnsi="Times New Roman"/>
          <w:color w:val="000000" w:themeColor="text1"/>
          <w:sz w:val="16"/>
          <w:szCs w:val="16"/>
        </w:rPr>
        <w:softHyphen/>
        <w:t>дить наравне с грузами НКО.</w:t>
      </w:r>
    </w:p>
    <w:p w14:paraId="1ACFE8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Обязать Наркомвнешторг обеспечить реализацию заказов на импортное оборудование для Ростовского самолетного завода со сроком поставки в первом полугодия 1941 года по спесифисации НКАП.</w:t>
      </w:r>
    </w:p>
    <w:p w14:paraId="350819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Обязать Эконовзсовет и Ростовский Облисполком мобили</w:t>
      </w:r>
      <w:r w:rsidRPr="00A3026E">
        <w:rPr>
          <w:rFonts w:ascii="Times New Roman" w:hAnsi="Times New Roman"/>
          <w:color w:val="000000" w:themeColor="text1"/>
          <w:sz w:val="16"/>
          <w:szCs w:val="16"/>
        </w:rPr>
        <w:softHyphen/>
        <w:t>зовать на предприятиях гор. Ростова из числа неиспользованного и недостаточно загруженного оборудования не менее 150 станков для вновь организуемого самолетного завода.</w:t>
      </w:r>
    </w:p>
    <w:p w14:paraId="12C9AD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Выделить Народному Комиссару Авиационной Промышленности тов. Шазурину А.И. из резервного фонда СНК СССР на 194С год для подготовки и освоения производства бомбардировщиков на Ростовском заводе 3 млн. рублей.</w:t>
      </w:r>
    </w:p>
    <w:p w14:paraId="5E1717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Ответственность за организацию и своевременное обеспече</w:t>
      </w:r>
      <w:r w:rsidRPr="00A3026E">
        <w:rPr>
          <w:rFonts w:ascii="Times New Roman" w:hAnsi="Times New Roman"/>
          <w:color w:val="000000" w:themeColor="text1"/>
          <w:sz w:val="16"/>
          <w:szCs w:val="16"/>
        </w:rPr>
        <w:softHyphen/>
        <w:t>ние программы 1941 года и достройку самолетного завода в г. Ро</w:t>
      </w:r>
      <w:r w:rsidRPr="00A3026E">
        <w:rPr>
          <w:rFonts w:ascii="Times New Roman" w:hAnsi="Times New Roman"/>
          <w:color w:val="000000" w:themeColor="text1"/>
          <w:sz w:val="16"/>
          <w:szCs w:val="16"/>
        </w:rPr>
        <w:softHyphen/>
        <w:t>стове возложить на Народного Комиссара Авиационной Прошгаленности тов. Шахурина А.И., Секретаря Областного Комитета ВКП(б) тов. Двинского. Председатежя Облисполкома тов. Руденко (8049,62).</w:t>
      </w:r>
    </w:p>
    <w:p w14:paraId="36EDD9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сентября 1940 был подготовлен проект постановления СНК ССР и ЦК ВКП(б)</w:t>
      </w:r>
    </w:p>
    <w:p w14:paraId="5DBDE6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кремль</w:t>
      </w:r>
    </w:p>
    <w:p w14:paraId="593A14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“___"сентября 1940 года.</w:t>
      </w:r>
    </w:p>
    <w:p w14:paraId="243B34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передаче НКАП Вагоно-Ремонтного завода НКПС в Лианозове для организации на нем производства самолетов ПБ-100.</w:t>
      </w:r>
    </w:p>
    <w:p w14:paraId="0E491E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Совет Народных Комиссаров Союза ССР и Центральный Комитет ВКП(б) П О С Т А Я Н О В Л Я Ю Т:</w:t>
      </w:r>
    </w:p>
    <w:p w14:paraId="2628F8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Передать в систему НКАП Вагоно-Ремонтный завод НКПС в Лианозозе, освободив его от изготвляемой продукции с 1.Х1.40</w:t>
      </w:r>
    </w:p>
    <w:p w14:paraId="0CBF1F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Передачу залода произвести в 10 дневный срок, по балансу на 1.Х.1940 года.</w:t>
      </w:r>
    </w:p>
    <w:p w14:paraId="1B2168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Народного Комиссара Авиационной Промышленности тов. Шахурина А. И. развернуть немедленно подготовку произ</w:t>
      </w:r>
      <w:r w:rsidRPr="00A3026E">
        <w:rPr>
          <w:rFonts w:ascii="Times New Roman" w:hAnsi="Times New Roman"/>
          <w:color w:val="000000" w:themeColor="text1"/>
          <w:sz w:val="16"/>
          <w:szCs w:val="16"/>
        </w:rPr>
        <w:softHyphen/>
        <w:t>водств самолетов ПБ-100 на Вагоно-Ремонтном заводе в Лианозово и обеспечить в 1941 году выполнение программы по отому заводу в количестве 300 штук самолетоз, со следующей разбиакой по кварталам:</w:t>
      </w:r>
    </w:p>
    <w:p w14:paraId="6BAA3D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квартал - 40 штук - в т.ч. в июне 15 штук</w:t>
      </w:r>
    </w:p>
    <w:p w14:paraId="7CFF17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квартал - 100 штук - в т.ч. в сентябре 40 штук</w:t>
      </w:r>
    </w:p>
    <w:p w14:paraId="6143E9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 квартал - 160 штук - в т.ч. в декабре 55 штук.</w:t>
      </w:r>
    </w:p>
    <w:p w14:paraId="055941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первом квартале 1942 года обеспечить выпуск 200 штук самолетов ПБ-100, в том числе в марте месяце 80 штук.</w:t>
      </w:r>
    </w:p>
    <w:p w14:paraId="4C273D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данной программой приступить в 1У квартале 1940 года к созданию заделов, обеспечивавши: со П-го квартала 1941 года сдачу самолетов по утвержденному графику.</w:t>
      </w:r>
    </w:p>
    <w:p w14:paraId="18791B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Обязать Народного Кошссара Авиационной Промышленности тов. Шахурина А.И. реконструировать и достроить вагоноремонтный завод в Лианозове, под производство самолетов, на основании типового проек</w:t>
      </w:r>
      <w:r w:rsidRPr="00A3026E">
        <w:rPr>
          <w:rFonts w:ascii="Times New Roman" w:hAnsi="Times New Roman"/>
          <w:color w:val="000000" w:themeColor="text1"/>
          <w:sz w:val="16"/>
          <w:szCs w:val="16"/>
        </w:rPr>
        <w:softHyphen/>
        <w:t>та, исходя из программы выпуска 1200 штук двухмоторных бомбар</w:t>
      </w:r>
      <w:r w:rsidRPr="00A3026E">
        <w:rPr>
          <w:rFonts w:ascii="Times New Roman" w:hAnsi="Times New Roman"/>
          <w:color w:val="000000" w:themeColor="text1"/>
          <w:sz w:val="16"/>
          <w:szCs w:val="16"/>
        </w:rPr>
        <w:softHyphen/>
        <w:t>дировщиков в год, со сроком окончания строительства - П-й квар</w:t>
      </w:r>
      <w:r w:rsidRPr="00A3026E">
        <w:rPr>
          <w:rFonts w:ascii="Times New Roman" w:hAnsi="Times New Roman"/>
          <w:color w:val="000000" w:themeColor="text1"/>
          <w:sz w:val="16"/>
          <w:szCs w:val="16"/>
        </w:rPr>
        <w:softHyphen/>
        <w:t>тал 1942 года.</w:t>
      </w:r>
    </w:p>
    <w:p w14:paraId="791F4B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 мощности вести исходя из двухсменной работы, при 8-ми часовом рабочем дне и семидневной неделе.</w:t>
      </w:r>
    </w:p>
    <w:p w14:paraId="40A001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Для достройки авиационного завода в Лианозове, орга</w:t>
      </w:r>
      <w:r w:rsidRPr="00A3026E">
        <w:rPr>
          <w:rFonts w:ascii="Times New Roman" w:hAnsi="Times New Roman"/>
          <w:color w:val="000000" w:themeColor="text1"/>
          <w:sz w:val="16"/>
          <w:szCs w:val="16"/>
        </w:rPr>
        <w:softHyphen/>
        <w:t>низовать строительно-монтажный трест Наркомавяапрома, на базе треста “Жилстрой” Наркомстроя СССР, с освобож</w:t>
      </w:r>
      <w:r w:rsidRPr="00A3026E">
        <w:rPr>
          <w:rFonts w:ascii="Times New Roman" w:hAnsi="Times New Roman"/>
          <w:color w:val="000000" w:themeColor="text1"/>
          <w:sz w:val="16"/>
          <w:szCs w:val="16"/>
        </w:rPr>
        <w:softHyphen/>
        <w:t>дением этой конторы от производства подрядных работ других за</w:t>
      </w:r>
      <w:r w:rsidRPr="00A3026E">
        <w:rPr>
          <w:rFonts w:ascii="Times New Roman" w:hAnsi="Times New Roman"/>
          <w:color w:val="000000" w:themeColor="text1"/>
          <w:sz w:val="16"/>
          <w:szCs w:val="16"/>
        </w:rPr>
        <w:softHyphen/>
        <w:t>казчиков.</w:t>
      </w:r>
    </w:p>
    <w:p w14:paraId="55669E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Обязать Наркомстрой передать Наркомаяиапрому в декадный срок трест “Жилстрой” с рабочими кадрами, мате</w:t>
      </w:r>
      <w:r w:rsidRPr="00A3026E">
        <w:rPr>
          <w:rFonts w:ascii="Times New Roman" w:hAnsi="Times New Roman"/>
          <w:color w:val="000000" w:themeColor="text1"/>
          <w:sz w:val="16"/>
          <w:szCs w:val="16"/>
        </w:rPr>
        <w:softHyphen/>
        <w:t>риалами, механизмами и автотранспортом, а также карьерное хо</w:t>
      </w:r>
      <w:r w:rsidRPr="00A3026E">
        <w:rPr>
          <w:rFonts w:ascii="Times New Roman" w:hAnsi="Times New Roman"/>
          <w:color w:val="000000" w:themeColor="text1"/>
          <w:sz w:val="16"/>
          <w:szCs w:val="16"/>
        </w:rPr>
        <w:softHyphen/>
        <w:t>зяйство, подсобные предприятия, складские и жилые помещения, базы материалов, находящиеся в Ростове, по балансу на 1 октября с.г.</w:t>
      </w:r>
    </w:p>
    <w:p w14:paraId="5CEA28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Обязать НКАП закончить проектирование заводв к 1 марта 1941 с выдачей рабочих чертекей к 1.1.1941 года.</w:t>
      </w:r>
    </w:p>
    <w:p w14:paraId="1E3205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Промбанку СССР финансировать строительство самолетного завода в г. Ростове до 1.У.1941 года без утвержденных проектов и смет, а после 1.У.1941 года по сметам на отдельнне объекты и вида работ и сметво-финансовым расчетам к утвержденным НКАП проектным заданиям.</w:t>
      </w:r>
    </w:p>
    <w:p w14:paraId="7FFECA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Выделить НКАП из резервного фонда СНК СССР на 1940 год для развертывания строительства Лианозовского самолетного завода и приобретения оборудования, транспорта, механизмов и стройматериалов - 10 млн. рублей, в том числе 5 млн. рублей в оборотные средства треста.</w:t>
      </w:r>
    </w:p>
    <w:p w14:paraId="6C9927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Разрешить НКАП ввести поправочный коэфипиент 1,20 к тарифным ставкам рабочих и 1,25 - ИТР и служащим на строитель</w:t>
      </w:r>
      <w:r w:rsidRPr="00A3026E">
        <w:rPr>
          <w:rFonts w:ascii="Times New Roman" w:hAnsi="Times New Roman"/>
          <w:color w:val="000000" w:themeColor="text1"/>
          <w:sz w:val="16"/>
          <w:szCs w:val="16"/>
        </w:rPr>
        <w:softHyphen/>
        <w:t>стве самолетного завода в гор. Ростове.</w:t>
      </w:r>
    </w:p>
    <w:p w14:paraId="4A7E62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Установить 3 персональных оклада для руководящих работников стройтреста и 3 персональных оклада для руководящих работни</w:t>
      </w:r>
      <w:r w:rsidRPr="00A3026E">
        <w:rPr>
          <w:rFonts w:ascii="Times New Roman" w:hAnsi="Times New Roman"/>
          <w:color w:val="000000" w:themeColor="text1"/>
          <w:sz w:val="16"/>
          <w:szCs w:val="16"/>
        </w:rPr>
        <w:softHyphen/>
        <w:t>ков завода до 3000 рублей.</w:t>
      </w:r>
    </w:p>
    <w:p w14:paraId="6D9FF4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Для ведения строительства завода скоростными методами, установить размер накладных расходов в 25%, в том числе по ад</w:t>
      </w:r>
      <w:r w:rsidRPr="00A3026E">
        <w:rPr>
          <w:rFonts w:ascii="Times New Roman" w:hAnsi="Times New Roman"/>
          <w:color w:val="000000" w:themeColor="text1"/>
          <w:sz w:val="16"/>
          <w:szCs w:val="16"/>
        </w:rPr>
        <w:softHyphen/>
        <w:t>министративно-хозяйственным расходам 10,5% и аванс на приобре</w:t>
      </w:r>
      <w:r w:rsidRPr="00A3026E">
        <w:rPr>
          <w:rFonts w:ascii="Times New Roman" w:hAnsi="Times New Roman"/>
          <w:color w:val="000000" w:themeColor="text1"/>
          <w:sz w:val="16"/>
          <w:szCs w:val="16"/>
        </w:rPr>
        <w:softHyphen/>
        <w:t>тение стройматериалов и оборудования в размере 20%, от объема выполняемых работ.</w:t>
      </w:r>
    </w:p>
    <w:p w14:paraId="2C6C65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Обязать Московский Облисполком Совета депутатов трудя</w:t>
      </w:r>
      <w:r w:rsidRPr="00A3026E">
        <w:rPr>
          <w:rFonts w:ascii="Times New Roman" w:hAnsi="Times New Roman"/>
          <w:color w:val="000000" w:themeColor="text1"/>
          <w:sz w:val="16"/>
          <w:szCs w:val="16"/>
        </w:rPr>
        <w:softHyphen/>
        <w:t>щихся:</w:t>
      </w:r>
    </w:p>
    <w:p w14:paraId="557507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выделить в г. Москве для рабочих, служащих и ИТР самолетного завода в 1940 году - 20 квартир;</w:t>
      </w:r>
    </w:p>
    <w:p w14:paraId="059ECC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построить в 1941 году своими силами за счет средств Наркомавиапрома жилые дома на 1500 человек работающих;</w:t>
      </w:r>
    </w:p>
    <w:p w14:paraId="381B63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перебросить рабочих с менее важных строек на строительство Лианозовского авиационного завода в количестве 2000 человек, сохранив за ними занимаемую жилплощадь на время работы на стро</w:t>
      </w:r>
      <w:r w:rsidRPr="00A3026E">
        <w:rPr>
          <w:rFonts w:ascii="Times New Roman" w:hAnsi="Times New Roman"/>
          <w:color w:val="000000" w:themeColor="text1"/>
          <w:sz w:val="16"/>
          <w:szCs w:val="16"/>
        </w:rPr>
        <w:softHyphen/>
        <w:t>ительстве самолетного завода.</w:t>
      </w:r>
    </w:p>
    <w:p w14:paraId="0DBD15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в декадный срок отвести необходимые земельные участки для расширения завода и жилищного строительства.</w:t>
      </w:r>
    </w:p>
    <w:p w14:paraId="29DD87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обеспечить полностью строительство самолетного завода местными стройматериалами (кирпич, изместь, алебастр) по заказам НКАП.</w:t>
      </w:r>
    </w:p>
    <w:p w14:paraId="32A951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Для обеспечения строительстэа Лианозозского самолетного завода и основных строек НКАП в г. Москве, передать Наркомавиапрому по балансу на 1.Х.194 года:</w:t>
      </w:r>
    </w:p>
    <w:p w14:paraId="24BAD4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Паышинский завод железобетонных изделий Наркомата Строительных материалов СССР;</w:t>
      </w:r>
    </w:p>
    <w:p w14:paraId="2E85E5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Кореневский силикатный завод Наркомата Строительных материалов СССР;</w:t>
      </w:r>
    </w:p>
    <w:p w14:paraId="61D475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Шуровский известковый завод Наркомата Строительных материалов СССР;</w:t>
      </w:r>
    </w:p>
    <w:p w14:paraId="2EB316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Трест № 35 Нарркомстроя СССР.</w:t>
      </w:r>
    </w:p>
    <w:p w14:paraId="277CF1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Обязать НКАП организовать в г. Москве и Лианозове подготовку авиа</w:t>
      </w:r>
      <w:r w:rsidRPr="00A3026E">
        <w:rPr>
          <w:rFonts w:ascii="Times New Roman" w:hAnsi="Times New Roman"/>
          <w:color w:val="000000" w:themeColor="text1"/>
          <w:sz w:val="16"/>
          <w:szCs w:val="16"/>
        </w:rPr>
        <w:softHyphen/>
        <w:t>ционных кадров в количестве 3000 человек, для чего Мособлисполкому выделить необходимое помещение.</w:t>
      </w:r>
    </w:p>
    <w:p w14:paraId="7F38AB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Обязать Народного Комиссара Авдационной Промышленности тов. Шахурина А.И. обеспечить необходимую техническую помощь самолетному заводу в Лианозове, путем посылки квалифицирован</w:t>
      </w:r>
      <w:r w:rsidRPr="00A3026E">
        <w:rPr>
          <w:rFonts w:ascii="Times New Roman" w:hAnsi="Times New Roman"/>
          <w:color w:val="000000" w:themeColor="text1"/>
          <w:sz w:val="16"/>
          <w:szCs w:val="16"/>
        </w:rPr>
        <w:softHyphen/>
        <w:t>ных кадров с действующих заводов я изготовления производствен</w:t>
      </w:r>
      <w:r w:rsidRPr="00A3026E">
        <w:rPr>
          <w:rFonts w:ascii="Times New Roman" w:hAnsi="Times New Roman"/>
          <w:color w:val="000000" w:themeColor="text1"/>
          <w:sz w:val="16"/>
          <w:szCs w:val="16"/>
        </w:rPr>
        <w:softHyphen/>
        <w:t>ной оснастки и эталонов,</w:t>
      </w:r>
    </w:p>
    <w:p w14:paraId="3C168D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Обязать Наркомат Торговли СССР организовать закрытую форму торговли я питаниерабочих и ИТР, занятых на производст</w:t>
      </w:r>
      <w:r w:rsidRPr="00A3026E">
        <w:rPr>
          <w:rFonts w:ascii="Times New Roman" w:hAnsi="Times New Roman"/>
          <w:color w:val="000000" w:themeColor="text1"/>
          <w:sz w:val="16"/>
          <w:szCs w:val="16"/>
        </w:rPr>
        <w:softHyphen/>
        <w:t>ве и строительстве самолетного завода в Лианозове.</w:t>
      </w:r>
    </w:p>
    <w:p w14:paraId="484449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17..Зкономсовету при СНК СССР в декадный срок выделить НКАП дополнительно к фондам 1У квартала т.г. материалы и обо</w:t>
      </w:r>
      <w:r w:rsidRPr="00A3026E">
        <w:rPr>
          <w:rFonts w:ascii="Times New Roman" w:hAnsi="Times New Roman"/>
          <w:color w:val="000000" w:themeColor="text1"/>
          <w:sz w:val="16"/>
          <w:szCs w:val="16"/>
        </w:rPr>
        <w:softHyphen/>
        <w:t>рудование , с целевым назначением для самолетостроительного завода в г. Ростове, в количествах, указанных в приложениях №№ 1 и 2.</w:t>
      </w:r>
    </w:p>
    <w:p w14:paraId="7EC4C8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Обязать Наркоматы-поставщики и Наркомат Путей Сообщения обеспечить строительство самолетного завода в г. Ростове вне</w:t>
      </w:r>
      <w:r w:rsidRPr="00A3026E">
        <w:rPr>
          <w:rFonts w:ascii="Times New Roman" w:hAnsi="Times New Roman"/>
          <w:color w:val="000000" w:themeColor="text1"/>
          <w:sz w:val="16"/>
          <w:szCs w:val="16"/>
        </w:rPr>
        <w:softHyphen/>
        <w:t>очередной отгрузкой материалов, автотранспорта и строймеханизмов в адрес стройтреста НКАП равными партиями в течение - ок</w:t>
      </w:r>
      <w:r w:rsidRPr="00A3026E">
        <w:rPr>
          <w:rFonts w:ascii="Times New Roman" w:hAnsi="Times New Roman"/>
          <w:color w:val="000000" w:themeColor="text1"/>
          <w:sz w:val="16"/>
          <w:szCs w:val="16"/>
        </w:rPr>
        <w:softHyphen/>
        <w:t>тября, ноября и декабря 1940 года.</w:t>
      </w:r>
    </w:p>
    <w:p w14:paraId="5E5C4D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Реализацию фондов для строительства этого завода, отгрузку всех материалов и оборудования и подачу вагонов произво</w:t>
      </w:r>
      <w:r w:rsidRPr="00A3026E">
        <w:rPr>
          <w:rFonts w:ascii="Times New Roman" w:hAnsi="Times New Roman"/>
          <w:color w:val="000000" w:themeColor="text1"/>
          <w:sz w:val="16"/>
          <w:szCs w:val="16"/>
        </w:rPr>
        <w:softHyphen/>
        <w:t>дить наравне с грузами НКО.</w:t>
      </w:r>
    </w:p>
    <w:p w14:paraId="161498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Обязать Наркомвнешторг обеспечить реализацию заказов на импортное оборудование для Ростовского самолетного завода со сроком поставки в первом полугодия 1941 года по спесифисации НКАП.</w:t>
      </w:r>
    </w:p>
    <w:p w14:paraId="2F24E7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Обязать Эконовзсовет и Ростовский Облисполком мобили</w:t>
      </w:r>
      <w:r w:rsidRPr="00A3026E">
        <w:rPr>
          <w:rFonts w:ascii="Times New Roman" w:hAnsi="Times New Roman"/>
          <w:color w:val="000000" w:themeColor="text1"/>
          <w:sz w:val="16"/>
          <w:szCs w:val="16"/>
        </w:rPr>
        <w:softHyphen/>
        <w:t>зовать на предприятиях гор. Ростова из числа неиспользованного и недостаточно загруженного оборудования не менее 150 станков для вновь организуемого самолетного завода.</w:t>
      </w:r>
    </w:p>
    <w:p w14:paraId="35CCEF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Выделить Народному Комиссару Авиационной Промышленности тов. Шазурину А.И. из резервного фонда СНК СССР на 194С год для подготовки и освоения производства бомбардировщиков на Лианозовском заводе 5 млн. рублей.</w:t>
      </w:r>
    </w:p>
    <w:p w14:paraId="121EC9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Ответственность за организацию и своевременное обеспече</w:t>
      </w:r>
      <w:r w:rsidRPr="00A3026E">
        <w:rPr>
          <w:rFonts w:ascii="Times New Roman" w:hAnsi="Times New Roman"/>
          <w:color w:val="000000" w:themeColor="text1"/>
          <w:sz w:val="16"/>
          <w:szCs w:val="16"/>
        </w:rPr>
        <w:softHyphen/>
        <w:t>ние программы 1941 года и достройку самолетного завода в Лианозове возложить на Народного Комиссара Авиационной Прошгаленности тов. Шахурина А.И., Секретаря Московского Комитета ВКП(б) тов. Щербакова и Председателя Московского Облисполкома тов. Тарасова (8049,62).</w:t>
      </w:r>
    </w:p>
    <w:p w14:paraId="422017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был напечатан проект:</w:t>
      </w:r>
    </w:p>
    <w:p w14:paraId="6441E3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СОВЕТА НАРОДНЫХ КОМИССАРОВ СССР и ЦЕНТРАЛЬНОГО КОМИТЕТА ВКП(б)</w:t>
      </w:r>
    </w:p>
    <w:p w14:paraId="4EBA71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Кремль</w:t>
      </w:r>
    </w:p>
    <w:p w14:paraId="61A3AB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“___” октября 1940 года.</w:t>
      </w:r>
    </w:p>
    <w:p w14:paraId="5EE526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программы 1941 года и дальнейшего наращивания производственннх мощностей по авиаприборам и авто</w:t>
      </w:r>
      <w:r w:rsidRPr="00A3026E">
        <w:rPr>
          <w:rFonts w:ascii="Times New Roman" w:hAnsi="Times New Roman"/>
          <w:color w:val="000000" w:themeColor="text1"/>
          <w:sz w:val="16"/>
          <w:szCs w:val="16"/>
        </w:rPr>
        <w:softHyphen/>
        <w:t>матике самолетовождения СНК СССР и ЦК ВКП(б) ПОСТАНОВЛЯЮТ:</w:t>
      </w:r>
    </w:p>
    <w:p w14:paraId="17F759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Передать НКАП под ааиаприборостроение с полным освобождением с I.XI.1940 года от выполнения неавиационных за</w:t>
      </w:r>
      <w:r w:rsidRPr="00A3026E">
        <w:rPr>
          <w:rFonts w:ascii="Times New Roman" w:hAnsi="Times New Roman"/>
          <w:color w:val="000000" w:themeColor="text1"/>
          <w:sz w:val="16"/>
          <w:szCs w:val="16"/>
        </w:rPr>
        <w:softHyphen/>
        <w:t>казов следующие заводы:</w:t>
      </w:r>
    </w:p>
    <w:p w14:paraId="07364C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Строящийся филиал московского завода "Идеал" Нарко</w:t>
      </w:r>
      <w:r w:rsidRPr="00A3026E">
        <w:rPr>
          <w:rFonts w:ascii="Times New Roman" w:hAnsi="Times New Roman"/>
          <w:color w:val="000000" w:themeColor="text1"/>
          <w:sz w:val="16"/>
          <w:szCs w:val="16"/>
        </w:rPr>
        <w:softHyphen/>
        <w:t>мата мясной и молочной промышленности СССР под производство сильфонов, с доведением мощности к 1943 году до 650000 штук сильфонов и других приборов на общую сумму до 70,0 млн.руб. (в неизменных ценах);</w:t>
      </w:r>
    </w:p>
    <w:p w14:paraId="49321F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Московский завод духовых музыкальных инструментов им. Пятилетия Октября треста Росмузинструмент НКМП РСФСР под производств бензиномеров, индикаторов кислородного потока и других авиаприборов, с доведением мощности по выпуску в 1943 году до 70,0 млн. рублей (в неизменных ценах).</w:t>
      </w:r>
    </w:p>
    <w:p w14:paraId="22E89D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Коломенский патефонный завод НКОМ СССР под производ</w:t>
      </w:r>
      <w:r w:rsidRPr="00A3026E">
        <w:rPr>
          <w:rFonts w:ascii="Times New Roman" w:hAnsi="Times New Roman"/>
          <w:color w:val="000000" w:themeColor="text1"/>
          <w:sz w:val="16"/>
          <w:szCs w:val="16"/>
        </w:rPr>
        <w:softHyphen/>
        <w:t>ство автоматов курса и автоматов вывода из пикирования с доведением моцности к 1943 году до 5000 штук автоматов курса и 1000 штук автоматов вывода из пикирования.</w:t>
      </w:r>
    </w:p>
    <w:p w14:paraId="50E861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Завод № 5 треста наглядных пособий Наркомпроса УССР а гор. Львове с передачей заводу № 5 законсервированного строительства двух корпусов Львовского Политехнического Ин</w:t>
      </w:r>
      <w:r w:rsidRPr="00A3026E">
        <w:rPr>
          <w:rFonts w:ascii="Times New Roman" w:hAnsi="Times New Roman"/>
          <w:color w:val="000000" w:themeColor="text1"/>
          <w:sz w:val="16"/>
          <w:szCs w:val="16"/>
        </w:rPr>
        <w:softHyphen/>
        <w:t>ститута под производство автоматов курса,автоматов вывода из пикирования,автоматов раскрытия парашютов и сигнализаторов падения давления масла и бензина, с доведением мощности этого завода к 1943 году на выпуск до 185,0 млн. рублей(в неизмен</w:t>
      </w:r>
      <w:r w:rsidRPr="00A3026E">
        <w:rPr>
          <w:rFonts w:ascii="Times New Roman" w:hAnsi="Times New Roman"/>
          <w:color w:val="000000" w:themeColor="text1"/>
          <w:sz w:val="16"/>
          <w:szCs w:val="16"/>
        </w:rPr>
        <w:softHyphen/>
        <w:t>ных ценах).</w:t>
      </w:r>
    </w:p>
    <w:p w14:paraId="7DFAF2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Телефонный завод в гор. Тарту Эстонской ССР под про</w:t>
      </w:r>
      <w:r w:rsidRPr="00A3026E">
        <w:rPr>
          <w:rFonts w:ascii="Times New Roman" w:hAnsi="Times New Roman"/>
          <w:color w:val="000000" w:themeColor="text1"/>
          <w:sz w:val="16"/>
          <w:szCs w:val="16"/>
        </w:rPr>
        <w:softHyphen/>
        <w:t>изводство автоматов курса и автоматов вывода из пикирования, с доведением моцности этого завода к 1943 году до 3000 штук автоматов курса и 4000 штук автоматов вывода из пикирования.</w:t>
      </w:r>
    </w:p>
    <w:p w14:paraId="1F34B8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Электромеханический завод ВЭФ в гор. Риге Латвийской ССР под производстэо автопилотов и автоматов курса,с доведе</w:t>
      </w:r>
      <w:r w:rsidRPr="00A3026E">
        <w:rPr>
          <w:rFonts w:ascii="Times New Roman" w:hAnsi="Times New Roman"/>
          <w:color w:val="000000" w:themeColor="text1"/>
          <w:sz w:val="16"/>
          <w:szCs w:val="16"/>
        </w:rPr>
        <w:softHyphen/>
        <w:t>нием моцности этого завода к 1943 году до 1500 штук автопило</w:t>
      </w:r>
      <w:r w:rsidRPr="00A3026E">
        <w:rPr>
          <w:rFonts w:ascii="Times New Roman" w:hAnsi="Times New Roman"/>
          <w:color w:val="000000" w:themeColor="text1"/>
          <w:sz w:val="16"/>
          <w:szCs w:val="16"/>
        </w:rPr>
        <w:softHyphen/>
        <w:t>тов и 3000 штук автоматов курса.</w:t>
      </w:r>
    </w:p>
    <w:p w14:paraId="44A102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Ленинградский завод "Красный Футлярщик" Ленгалкожшвейпромсоюза Всекомпросмсовета под производство морских прибо</w:t>
      </w:r>
      <w:r w:rsidRPr="00A3026E">
        <w:rPr>
          <w:rFonts w:ascii="Times New Roman" w:hAnsi="Times New Roman"/>
          <w:color w:val="000000" w:themeColor="text1"/>
          <w:sz w:val="16"/>
          <w:szCs w:val="16"/>
        </w:rPr>
        <w:softHyphen/>
        <w:t>ров с выводом их с завода № 218,специализировав последний по производству авиационных электроизмерительных приборов.</w:t>
      </w:r>
    </w:p>
    <w:p w14:paraId="6FEFBD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Московский арматурный завод № I Мосгорметсоюза, для организации на его базе производства электронного литья для авиаприборов.</w:t>
      </w:r>
    </w:p>
    <w:p w14:paraId="5B45A2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Обязать НКАП немедленно приступить к подготовке произ</w:t>
      </w:r>
      <w:r w:rsidRPr="00A3026E">
        <w:rPr>
          <w:rFonts w:ascii="Times New Roman" w:hAnsi="Times New Roman"/>
          <w:color w:val="000000" w:themeColor="text1"/>
          <w:sz w:val="16"/>
          <w:szCs w:val="16"/>
        </w:rPr>
        <w:softHyphen/>
        <w:t>водства на передаваемых заводах,обеспечив выпуск первых пар</w:t>
      </w:r>
      <w:r w:rsidRPr="00A3026E">
        <w:rPr>
          <w:rFonts w:ascii="Times New Roman" w:hAnsi="Times New Roman"/>
          <w:color w:val="000000" w:themeColor="text1"/>
          <w:sz w:val="16"/>
          <w:szCs w:val="16"/>
        </w:rPr>
        <w:softHyphen/>
        <w:t>тий приборов на заводах:</w:t>
      </w:r>
    </w:p>
    <w:p w14:paraId="197801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Коломенском патефонном заводе, им.Пятилетия Октября, Рижском электротехническом заводе ВЭФ, телефонном заводе в Тарту и зазоде "Красный футлярщик" в I квартале 1941 года.</w:t>
      </w:r>
    </w:p>
    <w:p w14:paraId="2BEFFE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 5 в городе Львове и завода "Идеал" во II квартале 1941 года.</w:t>
      </w:r>
    </w:p>
    <w:p w14:paraId="310B0C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Обязать НКАП во II квартале 1941 года закончить строительство первой очереди завода № 273.</w:t>
      </w:r>
    </w:p>
    <w:p w14:paraId="0FD9D4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 Обязать НКАП в 2-х декадный срок установить программу на 1941 год для передаваемых заводов и первой очереди за</w:t>
      </w:r>
      <w:r w:rsidRPr="00A3026E">
        <w:rPr>
          <w:rFonts w:ascii="Times New Roman" w:hAnsi="Times New Roman"/>
          <w:color w:val="000000" w:themeColor="text1"/>
          <w:sz w:val="16"/>
          <w:szCs w:val="16"/>
        </w:rPr>
        <w:softHyphen/>
        <w:t>вода № 279.</w:t>
      </w:r>
    </w:p>
    <w:p w14:paraId="32C81E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Обязать НКОМ тов. Паршина освоить в 1У квартале года производство манометрических авиаприборов на заводе "Манометр" и поставить НКАП'у в 1941 году 80000 манометроческих аэротермометров, 19000 штук манометров масла и бензина, закрепив завод “Манометр” поставщиком этих прибороз и на даль</w:t>
      </w:r>
      <w:r w:rsidRPr="00A3026E">
        <w:rPr>
          <w:rFonts w:ascii="Times New Roman" w:hAnsi="Times New Roman"/>
          <w:color w:val="000000" w:themeColor="text1"/>
          <w:sz w:val="16"/>
          <w:szCs w:val="16"/>
        </w:rPr>
        <w:softHyphen/>
        <w:t>нешие годы, как дублер этого производства.</w:t>
      </w:r>
    </w:p>
    <w:p w14:paraId="4244AE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У1. Обязать НКЭП тов. Богатырева организовать на новостроящемся заводе в городе Краснодаре производство электроизмери</w:t>
      </w:r>
      <w:r w:rsidRPr="00A3026E">
        <w:rPr>
          <w:rFonts w:ascii="Times New Roman" w:hAnsi="Times New Roman"/>
          <w:color w:val="000000" w:themeColor="text1"/>
          <w:sz w:val="16"/>
          <w:szCs w:val="16"/>
        </w:rPr>
        <w:softHyphen/>
        <w:t>тельных приборов общепромышленного назначения с полным выво</w:t>
      </w:r>
      <w:r w:rsidRPr="00A3026E">
        <w:rPr>
          <w:rFonts w:ascii="Times New Roman" w:hAnsi="Times New Roman"/>
          <w:color w:val="000000" w:themeColor="text1"/>
          <w:sz w:val="16"/>
          <w:szCs w:val="16"/>
        </w:rPr>
        <w:softHyphen/>
        <w:t>дом этого производства с завода № 218 НКАП в первом полугодии 1941 года.</w:t>
      </w:r>
    </w:p>
    <w:p w14:paraId="5FD693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У11. Установить срок вывода производства приборов теплово</w:t>
      </w:r>
      <w:r w:rsidRPr="00A3026E">
        <w:rPr>
          <w:rFonts w:ascii="Times New Roman" w:hAnsi="Times New Roman"/>
          <w:color w:val="000000" w:themeColor="text1"/>
          <w:sz w:val="16"/>
          <w:szCs w:val="16"/>
        </w:rPr>
        <w:softHyphen/>
        <w:t>го контроля с заводов №№ 230 и 218 на заводы НКЭП в соответ</w:t>
      </w:r>
      <w:r w:rsidRPr="00A3026E">
        <w:rPr>
          <w:rFonts w:ascii="Times New Roman" w:hAnsi="Times New Roman"/>
          <w:color w:val="000000" w:themeColor="text1"/>
          <w:sz w:val="16"/>
          <w:szCs w:val="16"/>
        </w:rPr>
        <w:softHyphen/>
        <w:t>ствии с постановлением ЦК ВКП(б) и СНК СССР от 26.1.1940 года за № 132-60сс не позднее I марта 1941 г., прекратив их произ</w:t>
      </w:r>
      <w:r w:rsidRPr="00A3026E">
        <w:rPr>
          <w:rFonts w:ascii="Times New Roman" w:hAnsi="Times New Roman"/>
          <w:color w:val="000000" w:themeColor="text1"/>
          <w:sz w:val="16"/>
          <w:szCs w:val="16"/>
        </w:rPr>
        <w:softHyphen/>
        <w:t>водство с этого срока на заводах №№ 230 и 218.</w:t>
      </w:r>
    </w:p>
    <w:p w14:paraId="45F5A5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УШ. Обязать Наркомхимпром тов. Денисова организовать на своих заводах производство промышленных газоанализаторов и полностьо вывести это прслзводстзо с завода № 278 НКАП к I марта 1941 года, специализируя этот завод по производству авиа</w:t>
      </w:r>
      <w:r w:rsidRPr="00A3026E">
        <w:rPr>
          <w:rFonts w:ascii="Times New Roman" w:hAnsi="Times New Roman"/>
          <w:color w:val="000000" w:themeColor="text1"/>
          <w:sz w:val="16"/>
          <w:szCs w:val="16"/>
        </w:rPr>
        <w:softHyphen/>
        <w:t>ционных газоанализаторов.</w:t>
      </w:r>
    </w:p>
    <w:p w14:paraId="7BCB53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IX. Обязать Наркомат Вооружения тоз. Ванникова:</w:t>
      </w:r>
    </w:p>
    <w:p w14:paraId="425B91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Разместить на своих заводах производство стабилизато</w:t>
      </w:r>
      <w:r w:rsidRPr="00A3026E">
        <w:rPr>
          <w:rFonts w:ascii="Times New Roman" w:hAnsi="Times New Roman"/>
          <w:color w:val="000000" w:themeColor="text1"/>
          <w:sz w:val="16"/>
          <w:szCs w:val="16"/>
        </w:rPr>
        <w:softHyphen/>
        <w:t>ров оптического танкозого прицела, освободив от производства их заводы № 213 и 214 НКАП с 1.1.1941 года.</w:t>
      </w:r>
    </w:p>
    <w:p w14:paraId="4DF46E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Обеспечить полностью перспективную потребность НКАП, НКО и НКВМФ в синхронных я калиматорных прицелах для бомбоме</w:t>
      </w:r>
      <w:r w:rsidRPr="00A3026E">
        <w:rPr>
          <w:rFonts w:ascii="Times New Roman" w:hAnsi="Times New Roman"/>
          <w:color w:val="000000" w:themeColor="text1"/>
          <w:sz w:val="16"/>
          <w:szCs w:val="16"/>
        </w:rPr>
        <w:softHyphen/>
        <w:t>тания и синхронных прицелах для торпедометания.</w:t>
      </w:r>
    </w:p>
    <w:p w14:paraId="35311A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X. Для своевременного оснащения авиации совершенными авиаприборами - обязать НКО до I ноября 1940 года утвердить образцы новых авиаприборов и согласовать с НКАП технические условия на все изделия серийного производстза 1941 года.</w:t>
      </w:r>
    </w:p>
    <w:p w14:paraId="37DE73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Х1. Гадрометеокомитету при СНК СССР до 1.1.1941 года организовать на зазоде "Гидрогеоприбор" в г. Ленинграде производство метеорологических приборов, производящихся на заводе № 224 с выпуском в 1941 году на сумму 10 млн. рублей, освободив от этого производства завод № 224 с 1.1.1941 года.</w:t>
      </w:r>
    </w:p>
    <w:p w14:paraId="6C1342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ХП. Освободить опытный завод прецизионного оборудования и школу ФЗУ завода № 213 НКАП от производства металлорежущих станков для других отраслей промышленности, полностью переключив их на производство специального прецизионного оборудо</w:t>
      </w:r>
      <w:r w:rsidRPr="00A3026E">
        <w:rPr>
          <w:rFonts w:ascii="Times New Roman" w:hAnsi="Times New Roman"/>
          <w:color w:val="000000" w:themeColor="text1"/>
          <w:sz w:val="16"/>
          <w:szCs w:val="16"/>
        </w:rPr>
        <w:softHyphen/>
        <w:t>вания для нужд авиаприборостроения.</w:t>
      </w:r>
    </w:p>
    <w:p w14:paraId="39D950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ХШ. Освободить НКАП от освоения и выпуска принимающих устройств артиллерийского оборудования, возложенных на ШКАП постанозленлением Комитета Обороны при СНК СССР от 21 августа с.г. за № 336сс, с передачей этого производства на заводы НКСП.</w:t>
      </w:r>
    </w:p>
    <w:p w14:paraId="60FC9F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Промбанку СССР финансировать строительство и рекон</w:t>
      </w:r>
      <w:r w:rsidRPr="00A3026E">
        <w:rPr>
          <w:rFonts w:ascii="Times New Roman" w:hAnsi="Times New Roman"/>
          <w:color w:val="000000" w:themeColor="text1"/>
          <w:sz w:val="16"/>
          <w:szCs w:val="16"/>
        </w:rPr>
        <w:softHyphen/>
        <w:t>струкцию заводов, передаваемых НКАП у, согласно настоящего постановления до 1.У11.41 г. без утверждения проектов и смет, а после 1.У11.41 г. по сметам на отдельные об'екты и виды работ и по сметно-финансовым расчетам; по утдержденньм НКАП проектным за</w:t>
      </w:r>
      <w:r w:rsidRPr="00A3026E">
        <w:rPr>
          <w:rFonts w:ascii="Times New Roman" w:hAnsi="Times New Roman"/>
          <w:color w:val="000000" w:themeColor="text1"/>
          <w:sz w:val="16"/>
          <w:szCs w:val="16"/>
        </w:rPr>
        <w:softHyphen/>
        <w:t>даниям.</w:t>
      </w:r>
    </w:p>
    <w:p w14:paraId="567A67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ХУ. Выделить НКАП'у дополнительно на 1940 год из резерв</w:t>
      </w:r>
      <w:r w:rsidRPr="00A3026E">
        <w:rPr>
          <w:rFonts w:ascii="Times New Roman" w:hAnsi="Times New Roman"/>
          <w:color w:val="000000" w:themeColor="text1"/>
          <w:sz w:val="16"/>
          <w:szCs w:val="16"/>
        </w:rPr>
        <w:softHyphen/>
        <w:t>ного фонда СНК СССР 15000000 рублей для переоборудоаания и оснащения заводов, передаианых иод авиаприборостроение.</w:t>
      </w:r>
    </w:p>
    <w:p w14:paraId="30E887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ХУ1. Для создания дублера заводу № 213 по анероидньм авиа-приборам и получения дополнительных моцностей разрешить НКАП'у произвестм надстйку четвертого этажа старого производственного корпуса завода № 224 с вводом в эксплоатацию во П квартрле 1941 года.</w:t>
      </w:r>
    </w:p>
    <w:p w14:paraId="63A52A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Ленинградский Городской Совет тоз. Попкова до I.Х1.1940 года передать НКАПу примыкающий участок к заводу № 224 до наберелной Невы с находящмися на нем строениями - дом № I по 18 линии и подсобное помещение института поверки.</w:t>
      </w:r>
    </w:p>
    <w:p w14:paraId="525886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ХУ11. Выделить в распоряжение Народного Комиссара Авиационной Промышленности тов. Шахурина 3 млн. рублей для рабочих и ИТР за быстрое освоение производства авиационных приборов на передаваемых заводах.</w:t>
      </w:r>
    </w:p>
    <w:p w14:paraId="2936BC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ХУШ. Обязать Наркомат Электростанций обеспечить полностью потребность в электроэнергии передаваемого под электронное литье Московского арматурного завода № 1 Мосгорметсоюза, переоборудовав к 1.Х1.40 г. его трансформаторную подстанцию за счет фондов НКАП.</w:t>
      </w:r>
    </w:p>
    <w:p w14:paraId="33E6CC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Х1Х. Моссовету прирезать передаваемому под электронное литье арматурному заводу № 1 Мосгорметсоюза примыкающий к нему свободный участок за домами № 64 и № 66 по Б.Ордьшке.</w:t>
      </w:r>
    </w:p>
    <w:p w14:paraId="3836B7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ХХ. Возложить ответственность за выполнение производственной программы по перечисленным в п. 1 заводам на Народного Комисара Авиационной Промышленности тоа. Шахурина, Секретаря Московскогоо Комитета ВКП(б) тоз. Щербакова, Секретаря Львовского Обкома КП(б)У тов. Грищук, Секретаря ЦК КП(б) Эстонии тов. Сярэ и Секретаре ЦК КП(б) Латвии тов. Калнберзина (8049,39).</w:t>
      </w:r>
    </w:p>
    <w:p w14:paraId="263313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был напечатан проект:</w:t>
      </w:r>
    </w:p>
    <w:p w14:paraId="107DAA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СОВЕТА НАРОДНЫХ КОМИССАРОВ СССР и ЦЕНТРАЛЬНОГО КОМИТЕТА ВКП(б)</w:t>
      </w:r>
    </w:p>
    <w:p w14:paraId="400B38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Кремль</w:t>
      </w:r>
    </w:p>
    <w:p w14:paraId="098070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“___” октября 1940 года.</w:t>
      </w:r>
    </w:p>
    <w:p w14:paraId="1F662D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обеспечения производственной программы 1941 года самолетными и моторными агрегатами, Совет Народных Комиссаров Союза ССР и Центральный Комитет ВКП(б) ПОСТАНОВЛЯЮТ:</w:t>
      </w:r>
    </w:p>
    <w:p w14:paraId="2DDB97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Передать НКАП под агрегатостроение с полным освобожде</w:t>
      </w:r>
      <w:r w:rsidRPr="00A3026E">
        <w:rPr>
          <w:rFonts w:ascii="Times New Roman" w:hAnsi="Times New Roman"/>
          <w:color w:val="000000" w:themeColor="text1"/>
          <w:sz w:val="16"/>
          <w:szCs w:val="16"/>
        </w:rPr>
        <w:softHyphen/>
        <w:t>нием с 1.XI.1940 года от выполнения неавиационных заказов следую</w:t>
      </w:r>
      <w:r w:rsidRPr="00A3026E">
        <w:rPr>
          <w:rFonts w:ascii="Times New Roman" w:hAnsi="Times New Roman"/>
          <w:color w:val="000000" w:themeColor="text1"/>
          <w:sz w:val="16"/>
          <w:szCs w:val="16"/>
        </w:rPr>
        <w:softHyphen/>
        <w:t>щие заводы:</w:t>
      </w:r>
    </w:p>
    <w:p w14:paraId="5C4B32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НИИ НКТМ в городе Москве под производство самолетных агрегатов.</w:t>
      </w:r>
    </w:p>
    <w:p w14:paraId="4BDEAA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Машине строительный завод № 9 НКОМ в городе Орле под производство стрелкового и бомбардировочного вооружения.</w:t>
      </w:r>
    </w:p>
    <w:p w14:paraId="384D5B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Завод автотракторного инструмента НКСМ в городе Павлове (Горьковской области) под производство стрелкового и бомбардиро</w:t>
      </w:r>
      <w:r w:rsidRPr="00A3026E">
        <w:rPr>
          <w:rFonts w:ascii="Times New Roman" w:hAnsi="Times New Roman"/>
          <w:color w:val="000000" w:themeColor="text1"/>
          <w:sz w:val="16"/>
          <w:szCs w:val="16"/>
        </w:rPr>
        <w:softHyphen/>
        <w:t>вочного вооружения.</w:t>
      </w:r>
    </w:p>
    <w:p w14:paraId="0AB8D2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Папиросную фабрику "Ява" Наркомпищепрома СССР в городе Москве под производство радиаторов.</w:t>
      </w:r>
    </w:p>
    <w:p w14:paraId="6F7A7A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Завод № 2 Наркомлегпрома СССР в городе Солнечногорске под произтодство химического вооружения, передав производство грузовых парашютов на Тушинский завод № 1 НКЛП СССР.</w:t>
      </w:r>
    </w:p>
    <w:p w14:paraId="48AEDD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1-й весовой завод НКОМ в городе Москве под производство шасси.</w:t>
      </w:r>
    </w:p>
    <w:p w14:paraId="7784C0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Завод "Арматура" НКОМ в городе Москве под производство моторных агрегатов.</w:t>
      </w:r>
    </w:p>
    <w:p w14:paraId="3AD66A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Завод им. Дзержинского НКОМ в городе Москве под произ</w:t>
      </w:r>
      <w:r w:rsidRPr="00A3026E">
        <w:rPr>
          <w:rFonts w:ascii="Times New Roman" w:hAnsi="Times New Roman"/>
          <w:color w:val="000000" w:themeColor="text1"/>
          <w:sz w:val="16"/>
          <w:szCs w:val="16"/>
        </w:rPr>
        <w:softHyphen/>
        <w:t>водство агрегатов дистанционного управления самолетов.</w:t>
      </w:r>
    </w:p>
    <w:p w14:paraId="4ECF72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3-й авторемонтный завод Моссовета под производство тяжелых радиомашин с выводом этого производства с завода № 266.</w:t>
      </w:r>
    </w:p>
    <w:p w14:paraId="076042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Гараж 10-го таксомоторного парка Мосгорисполкома - под производство радиоумформеров.</w:t>
      </w:r>
    </w:p>
    <w:p w14:paraId="12F605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Машиностроительный завод Светотехпрома НКЭП в городе Москве для организации на нем опытно-экспериментальной базы и цеха мелких серий завода № 266.</w:t>
      </w:r>
    </w:p>
    <w:p w14:paraId="034C3D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Завод им. Сталина НКМП РСФСР в городе Павлове (Горьковской области) - под производство металлических винтов изменяе</w:t>
      </w:r>
      <w:r w:rsidRPr="00A3026E">
        <w:rPr>
          <w:rFonts w:ascii="Times New Roman" w:hAnsi="Times New Roman"/>
          <w:color w:val="000000" w:themeColor="text1"/>
          <w:sz w:val="16"/>
          <w:szCs w:val="16"/>
        </w:rPr>
        <w:softHyphen/>
        <w:t>мого в полете шага, достроив на этом заводе механический цех.</w:t>
      </w:r>
    </w:p>
    <w:p w14:paraId="1EEB38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Воронежский завод им. Ленина НКОМ для изготовления инструмента и оснастки для механических цехов заводов № 16,18 и Воронежского завода им. Сталина.</w:t>
      </w:r>
    </w:p>
    <w:p w14:paraId="40F41E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Завод "Красный Путь" НКМП Татарской АССР в городе Казани для изготовления спецстанков и приспособлений.</w:t>
      </w:r>
    </w:p>
    <w:p w14:paraId="704D0B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Мастерские Волгостроя НКВД в городе Рыбинске под произ</w:t>
      </w:r>
      <w:r w:rsidRPr="00A3026E">
        <w:rPr>
          <w:rFonts w:ascii="Times New Roman" w:hAnsi="Times New Roman"/>
          <w:color w:val="000000" w:themeColor="text1"/>
          <w:sz w:val="16"/>
          <w:szCs w:val="16"/>
        </w:rPr>
        <w:softHyphen/>
        <w:t>водство спецстанков для авиамоторных заводов, приспособлений и модернизацию станочного оборудования.</w:t>
      </w:r>
    </w:p>
    <w:p w14:paraId="56CFBB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НКАПу и Госплану СССР в месячный срок подобрать до</w:t>
      </w:r>
      <w:r w:rsidRPr="00A3026E">
        <w:rPr>
          <w:rFonts w:ascii="Times New Roman" w:hAnsi="Times New Roman"/>
          <w:color w:val="000000" w:themeColor="text1"/>
          <w:sz w:val="16"/>
          <w:szCs w:val="16"/>
        </w:rPr>
        <w:softHyphen/>
        <w:t>полнительно один завод для передачи его НКАП под изготовление самолетных колес, с целью дублирования этого производства.</w:t>
      </w:r>
    </w:p>
    <w:p w14:paraId="7A5E91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Обязать НКАП:</w:t>
      </w:r>
    </w:p>
    <w:p w14:paraId="18FF6A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установить до 1.XI.1940 года программу по перечисленным в п. 1 заводам, а также провести необходимые мероприятия по подготовке этих заводов к серийному выпуску авиапродукции, начина с 1-го квартала 1941 года.</w:t>
      </w:r>
    </w:p>
    <w:p w14:paraId="19B7F6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достроить в 1941 году передававшие заводы на полную мощность, предусмотрев в титульных списках 1941 года необходи</w:t>
      </w:r>
      <w:r w:rsidRPr="00A3026E">
        <w:rPr>
          <w:rFonts w:ascii="Times New Roman" w:hAnsi="Times New Roman"/>
          <w:color w:val="000000" w:themeColor="text1"/>
          <w:sz w:val="16"/>
          <w:szCs w:val="16"/>
        </w:rPr>
        <w:softHyphen/>
        <w:t>мые для этого капитальные затраты.</w:t>
      </w:r>
    </w:p>
    <w:p w14:paraId="417D30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Реконструкцию и достройку указанных заводов возложить на НКАП;</w:t>
      </w:r>
    </w:p>
    <w:p w14:paraId="7ACD44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передать соответствувющим Наркоматам, заводы которых передаются НКАП"у, ненужное для авиационного производства обо</w:t>
      </w:r>
      <w:r w:rsidRPr="00A3026E">
        <w:rPr>
          <w:rFonts w:ascii="Times New Roman" w:hAnsi="Times New Roman"/>
          <w:color w:val="000000" w:themeColor="text1"/>
          <w:sz w:val="16"/>
          <w:szCs w:val="16"/>
        </w:rPr>
        <w:softHyphen/>
        <w:t>рудование.</w:t>
      </w:r>
    </w:p>
    <w:p w14:paraId="2FB9C2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Промбанку СССР финансировать строительство заводов, передаваемых НКАПу согласно настоящему постановлению, до 1.УЛ.1941 года, без утвержденных проектов и смет, а после 1.УП. 1941 года по сметам на отдельные объекты и виды работ и по сметно-финансовым расчетам по утвержденным НКАП проектным за</w:t>
      </w:r>
      <w:r w:rsidRPr="00A3026E">
        <w:rPr>
          <w:rFonts w:ascii="Times New Roman" w:hAnsi="Times New Roman"/>
          <w:color w:val="000000" w:themeColor="text1"/>
          <w:sz w:val="16"/>
          <w:szCs w:val="16"/>
        </w:rPr>
        <w:softHyphen/>
        <w:t>даниям.</w:t>
      </w:r>
    </w:p>
    <w:p w14:paraId="045D1A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 Выделить НКАПу из резервного фонда Совнаркома Союза ССР на 1940 год 40 млн. рублей для развертывания строительства и приобретения оборудования и материалов по заводам, перечис</w:t>
      </w:r>
      <w:r w:rsidRPr="00A3026E">
        <w:rPr>
          <w:rFonts w:ascii="Times New Roman" w:hAnsi="Times New Roman"/>
          <w:color w:val="000000" w:themeColor="text1"/>
          <w:sz w:val="16"/>
          <w:szCs w:val="16"/>
        </w:rPr>
        <w:softHyphen/>
        <w:t>ленным в п. 1 настоящего постановления.</w:t>
      </w:r>
    </w:p>
    <w:p w14:paraId="02D98A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У1. Обязать НКАП и Госплан СССР в двухнедельный срок пред</w:t>
      </w:r>
      <w:r w:rsidRPr="00A3026E">
        <w:rPr>
          <w:rFonts w:ascii="Times New Roman" w:hAnsi="Times New Roman"/>
          <w:color w:val="000000" w:themeColor="text1"/>
          <w:sz w:val="16"/>
          <w:szCs w:val="16"/>
        </w:rPr>
        <w:softHyphen/>
        <w:t>ставить в СНК СССР на утверждение план финансирования затрат на постановку новых производств по передаваемым согласно насто</w:t>
      </w:r>
      <w:r w:rsidRPr="00A3026E">
        <w:rPr>
          <w:rFonts w:ascii="Times New Roman" w:hAnsi="Times New Roman"/>
          <w:color w:val="000000" w:themeColor="text1"/>
          <w:sz w:val="16"/>
          <w:szCs w:val="16"/>
        </w:rPr>
        <w:softHyphen/>
        <w:t>ящему постановлению заводам.</w:t>
      </w:r>
    </w:p>
    <w:p w14:paraId="6EA534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УЛ. Наркомвнешторгу обеспечить реализацию заказов на импортное оборудование для указанных в п. 1 заводов, по спецификации НКАП со сроком поставки в первом полугодии 1941 года.</w:t>
      </w:r>
    </w:p>
    <w:p w14:paraId="52EAD7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УШ. Обязать Экономсовет, Московский и Горьковский Обл</w:t>
      </w:r>
      <w:r w:rsidRPr="00A3026E">
        <w:rPr>
          <w:rFonts w:ascii="Times New Roman" w:hAnsi="Times New Roman"/>
          <w:color w:val="000000" w:themeColor="text1"/>
          <w:sz w:val="16"/>
          <w:szCs w:val="16"/>
        </w:rPr>
        <w:softHyphen/>
        <w:t>исполкомы мобилизовать на предприятиях из числа неиспользован</w:t>
      </w:r>
      <w:r w:rsidRPr="00A3026E">
        <w:rPr>
          <w:rFonts w:ascii="Times New Roman" w:hAnsi="Times New Roman"/>
          <w:color w:val="000000" w:themeColor="text1"/>
          <w:sz w:val="16"/>
          <w:szCs w:val="16"/>
        </w:rPr>
        <w:softHyphen/>
        <w:t>ного и недостаточно загруженного оборудования нижеследующие количества станков для вновь организуемых агрегатных заводов НКАП:</w:t>
      </w:r>
    </w:p>
    <w:p w14:paraId="1654CE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городу Москве и области - не менее 500 станков;</w:t>
      </w:r>
    </w:p>
    <w:p w14:paraId="4E8C45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городу Горькому и области - не менее 200 станков.</w:t>
      </w:r>
    </w:p>
    <w:p w14:paraId="765566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IX. Для обеспечения рабочей силой строительной программы по передаваемым под агрегатостроение заводам в городах: Орле, Павлове (Горьковской области), Казани, Воронеже и Рыбинске обя</w:t>
      </w:r>
      <w:r w:rsidRPr="00A3026E">
        <w:rPr>
          <w:rFonts w:ascii="Times New Roman" w:hAnsi="Times New Roman"/>
          <w:color w:val="000000" w:themeColor="text1"/>
          <w:sz w:val="16"/>
          <w:szCs w:val="16"/>
        </w:rPr>
        <w:softHyphen/>
        <w:t>зать городские Комитеты ВКП(б) и Исполкомы Горсоветов депутатов трудящихся, перечисленных городов, перебросить строительных рабочих с менее важных строек в потребном НКАП'у количестве, сохранив за ними занимаемую ими жилплощадь на время работ по строительству агрегатных заводов.</w:t>
      </w:r>
    </w:p>
    <w:p w14:paraId="454737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X. Обязать Горсоветы г.г. Орла, Павлова, Казани, Воронежа, Рыбинска и Солнечногорска в месячный срок отвести необходимые земельные участки для расширения передаваемых НКАПу агрегатных заводов и постройки жилья для рабочих и ИТР этих заводов,</w:t>
      </w:r>
    </w:p>
    <w:p w14:paraId="5829AD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XI. Выделить в распоряжение Наркома Авиационной Промышлен</w:t>
      </w:r>
      <w:r w:rsidRPr="00A3026E">
        <w:rPr>
          <w:rFonts w:ascii="Times New Roman" w:hAnsi="Times New Roman"/>
          <w:color w:val="000000" w:themeColor="text1"/>
          <w:sz w:val="16"/>
          <w:szCs w:val="16"/>
        </w:rPr>
        <w:softHyphen/>
        <w:t>ности тов. Шахурина 10 млн.- рублей для премирования ИТР и ра</w:t>
      </w:r>
      <w:r w:rsidRPr="00A3026E">
        <w:rPr>
          <w:rFonts w:ascii="Times New Roman" w:hAnsi="Times New Roman"/>
          <w:color w:val="000000" w:themeColor="text1"/>
          <w:sz w:val="16"/>
          <w:szCs w:val="16"/>
        </w:rPr>
        <w:softHyphen/>
        <w:t>бочих заводов, передаваемых под агрегатостроение, за быстрейшее освоение производства самолетных и моторных агрегатов, а также за выполнение строительной программы по этим заводам.</w:t>
      </w:r>
    </w:p>
    <w:p w14:paraId="51F4CC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ХП. Обязать НКАП организовать техническую помощь передава</w:t>
      </w:r>
      <w:r w:rsidRPr="00A3026E">
        <w:rPr>
          <w:rFonts w:ascii="Times New Roman" w:hAnsi="Times New Roman"/>
          <w:color w:val="000000" w:themeColor="text1"/>
          <w:sz w:val="16"/>
          <w:szCs w:val="16"/>
        </w:rPr>
        <w:softHyphen/>
        <w:t>емым согласно настоящему постановлению заводам путем посылки квалифицированных кадров с действующих агрегатных заводов и изготовления производственной оснастки и эталонов.</w:t>
      </w:r>
    </w:p>
    <w:p w14:paraId="37542E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ХШ. Возложить ответственность за выполнение строительной и производственной программы 1941 года по перечисленным в п. 1 заводам на Наркома авиационной промышленности тов. Шахурива, Секретаря МК ВКП(б) тов. Щербакова, Секретаря Орловского Обкома ВКП(б) тов. Бойцов и Секретаря Горьковского Обкома тов. Родионова (8049,33).</w:t>
      </w:r>
    </w:p>
    <w:p w14:paraId="339310F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BFF70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г. заместителем Начальника ВВС КА генерал-майором авиации Гусевым был подписан "Акт решения по отчету об испытании деформирующей окраски самолетов", которым эти схемы предписывалось принять в качестве постоянной окраски и "для этого поставить вопрос перед НКАП о переходе заводов на деформирующую окраску верхних и боковых поверхностей самолетов с 15 декабря 1940 г." Для перекраски в камуфляж самолетов, находящихся в частях ВВС, решено было использовать быстросмываемые покрытия ВИАМ, изготовленные на основе казеинового закрепителя, однако "применение этих покрытий в частях ВВС Красной Армии допустить лишь при проведении боевых учений и при выполнении боевых операций". Наносить временные краски следовало по покрытию нового базового цвета 4БО. Инструкцию для этого предполагалось разработать также к 15 декабря 1940 г. (2771,23).</w:t>
      </w:r>
    </w:p>
    <w:p w14:paraId="017BBBF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2E76A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заместителем начальника ВВС КА генерал-майором авиа</w:t>
      </w:r>
      <w:r w:rsidRPr="00A3026E">
        <w:rPr>
          <w:rFonts w:ascii="Times New Roman" w:hAnsi="Times New Roman"/>
          <w:color w:val="000000" w:themeColor="text1"/>
          <w:sz w:val="16"/>
          <w:szCs w:val="16"/>
        </w:rPr>
        <w:softHyphen/>
        <w:t>ции Гусевым был подписан «Акт решения по отчету об испытании деформирую</w:t>
      </w:r>
      <w:r w:rsidRPr="00A3026E">
        <w:rPr>
          <w:rFonts w:ascii="Times New Roman" w:hAnsi="Times New Roman"/>
          <w:color w:val="000000" w:themeColor="text1"/>
          <w:sz w:val="16"/>
          <w:szCs w:val="16"/>
        </w:rPr>
        <w:softHyphen/>
        <w:t>щей окраски самолетов» и испытанные схемы предписывалось принять для посто</w:t>
      </w:r>
      <w:r w:rsidRPr="00A3026E">
        <w:rPr>
          <w:rFonts w:ascii="Times New Roman" w:hAnsi="Times New Roman"/>
          <w:color w:val="000000" w:themeColor="text1"/>
          <w:sz w:val="16"/>
          <w:szCs w:val="16"/>
        </w:rPr>
        <w:softHyphen/>
        <w:t>янной окраски и «поставить вопрос перед НКАП о переходе заводов на деформирующую окраску верхних и боковых по</w:t>
      </w:r>
      <w:r w:rsidRPr="00A3026E">
        <w:rPr>
          <w:rFonts w:ascii="Times New Roman" w:hAnsi="Times New Roman"/>
          <w:color w:val="000000" w:themeColor="text1"/>
          <w:sz w:val="16"/>
          <w:szCs w:val="16"/>
        </w:rPr>
        <w:softHyphen/>
        <w:t>верхностей самолетов с 15 декабря 1940 г.». Для перекрас</w:t>
      </w:r>
      <w:r w:rsidRPr="00A3026E">
        <w:rPr>
          <w:rFonts w:ascii="Times New Roman" w:hAnsi="Times New Roman"/>
          <w:color w:val="000000" w:themeColor="text1"/>
          <w:sz w:val="16"/>
          <w:szCs w:val="16"/>
        </w:rPr>
        <w:softHyphen/>
        <w:t>ки в камуфляж самолетов, находящихся в частях ВВС, ре</w:t>
      </w:r>
      <w:r w:rsidRPr="00A3026E">
        <w:rPr>
          <w:rFonts w:ascii="Times New Roman" w:hAnsi="Times New Roman"/>
          <w:color w:val="000000" w:themeColor="text1"/>
          <w:sz w:val="16"/>
          <w:szCs w:val="16"/>
        </w:rPr>
        <w:softHyphen/>
        <w:t>шили использовать быстро смываемые покрытия ВИАМа (Всесоюзный институт авиационного материаловедения). На первый взгляд все было обосновано и выполнимо, но для осуществления плана не доставало не только аэролаков и аэроэмалей для постоянного покрытия, но и временных красок, выпуск которых не могли быстро развернуть из-за отсутствия производственной базы.</w:t>
      </w:r>
    </w:p>
    <w:p w14:paraId="02F3FD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главные трудности были впереди. Для получения не</w:t>
      </w:r>
      <w:r w:rsidRPr="00A3026E">
        <w:rPr>
          <w:rFonts w:ascii="Times New Roman" w:hAnsi="Times New Roman"/>
          <w:color w:val="000000" w:themeColor="text1"/>
          <w:sz w:val="16"/>
          <w:szCs w:val="16"/>
        </w:rPr>
        <w:softHyphen/>
        <w:t>дешифрируемых красок, имитирующих растительные фоны, имелся весьма ограниченный набор пигментов.</w:t>
      </w:r>
    </w:p>
    <w:p w14:paraId="655DC6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то, что расположенные в СССР месторож</w:t>
      </w:r>
      <w:r w:rsidRPr="00A3026E">
        <w:rPr>
          <w:rFonts w:ascii="Times New Roman" w:hAnsi="Times New Roman"/>
          <w:color w:val="000000" w:themeColor="text1"/>
          <w:sz w:val="16"/>
          <w:szCs w:val="16"/>
        </w:rPr>
        <w:softHyphen/>
        <w:t>дения могли удовлетворить потребности лакокрасочной про</w:t>
      </w:r>
      <w:r w:rsidRPr="00A3026E">
        <w:rPr>
          <w:rFonts w:ascii="Times New Roman" w:hAnsi="Times New Roman"/>
          <w:color w:val="000000" w:themeColor="text1"/>
          <w:sz w:val="16"/>
          <w:szCs w:val="16"/>
        </w:rPr>
        <w:softHyphen/>
        <w:t>мышленности, все эти пигменты, за исключением зеленой окиси хрома, по качеству были непригодными для получения авиационных красок. В связи с этим, чтобы начать ка</w:t>
      </w:r>
      <w:r w:rsidRPr="00A3026E">
        <w:rPr>
          <w:rFonts w:ascii="Times New Roman" w:hAnsi="Times New Roman"/>
          <w:color w:val="000000" w:themeColor="text1"/>
          <w:sz w:val="16"/>
          <w:szCs w:val="16"/>
        </w:rPr>
        <w:softHyphen/>
        <w:t>муфляжную покраску самолетов взамен применяемой одно</w:t>
      </w:r>
      <w:r w:rsidRPr="00A3026E">
        <w:rPr>
          <w:rFonts w:ascii="Times New Roman" w:hAnsi="Times New Roman"/>
          <w:color w:val="000000" w:themeColor="text1"/>
          <w:sz w:val="16"/>
          <w:szCs w:val="16"/>
        </w:rPr>
        <w:softHyphen/>
        <w:t>цветной, было необходимо обеспечить основных поставщи</w:t>
      </w:r>
      <w:r w:rsidRPr="00A3026E">
        <w:rPr>
          <w:rFonts w:ascii="Times New Roman" w:hAnsi="Times New Roman"/>
          <w:color w:val="000000" w:themeColor="text1"/>
          <w:sz w:val="16"/>
          <w:szCs w:val="16"/>
        </w:rPr>
        <w:softHyphen/>
        <w:t>ков авиационных лакокрасочных материалов земляными пигментами требуемого качества. А для ускорения решили «временно, впредь до разработки ВИАМом матовых покры</w:t>
      </w:r>
      <w:r w:rsidRPr="00A3026E">
        <w:rPr>
          <w:rFonts w:ascii="Times New Roman" w:hAnsi="Times New Roman"/>
          <w:color w:val="000000" w:themeColor="text1"/>
          <w:sz w:val="16"/>
          <w:szCs w:val="16"/>
        </w:rPr>
        <w:softHyphen/>
        <w:t>тий, допустить изготовление недешифрируемых красок на применяющейся в настоящее время основе», т.е. глянцевых, но и эти краски нужно было доработать и, главное, наладить производство.</w:t>
      </w:r>
    </w:p>
    <w:p w14:paraId="598D7B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 цветом камуфляжной и одноцветной окраски должен был стать защитный (оливковый) цвет, оттенок ко</w:t>
      </w:r>
      <w:r w:rsidRPr="00A3026E">
        <w:rPr>
          <w:rFonts w:ascii="Times New Roman" w:hAnsi="Times New Roman"/>
          <w:color w:val="000000" w:themeColor="text1"/>
          <w:sz w:val="16"/>
          <w:szCs w:val="16"/>
        </w:rPr>
        <w:softHyphen/>
        <w:t>торого обозначили как «4БО». Для перекраски в этот цвет всего парка самолетов ВВС КА в 1941 году потребовалось бы 124 тонны глифталевой (или масляной) эмали и 266 тонн нитроцеллюлозных аэролаков, из них для боевых самолетов, подлежащих окраске в первую очередь, соответственно 118 и 196 тонн. Да еще надо было красить новые самолеты на заводах НКАП. Для выпуска такого количества красок требовалось время.</w:t>
      </w:r>
    </w:p>
    <w:p w14:paraId="23C58E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титанический труд по разработке и испы</w:t>
      </w:r>
      <w:r w:rsidRPr="00A3026E">
        <w:rPr>
          <w:rFonts w:ascii="Times New Roman" w:hAnsi="Times New Roman"/>
          <w:color w:val="000000" w:themeColor="text1"/>
          <w:sz w:val="16"/>
          <w:szCs w:val="16"/>
        </w:rPr>
        <w:softHyphen/>
        <w:t>таниям камуфляжа в 1940 году, ни одна из этих многоцвет</w:t>
      </w:r>
      <w:r w:rsidRPr="00A3026E">
        <w:rPr>
          <w:rFonts w:ascii="Times New Roman" w:hAnsi="Times New Roman"/>
          <w:color w:val="000000" w:themeColor="text1"/>
          <w:sz w:val="16"/>
          <w:szCs w:val="16"/>
        </w:rPr>
        <w:softHyphen/>
        <w:t>ных схем так и не была применена в серийном производстве самолетов (10745,320).</w:t>
      </w:r>
    </w:p>
    <w:p w14:paraId="6CF390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7031A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по 3 октября 1940 года проходили по контрольные испытания фугасных бомб ФАБ-100 снаряженных амматолом 50/50</w:t>
      </w:r>
    </w:p>
    <w:p w14:paraId="2D0CAF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 в/инженер 2 ранга Галкин</w:t>
      </w:r>
    </w:p>
    <w:p w14:paraId="5AC72E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Цель испытаний</w:t>
      </w:r>
    </w:p>
    <w:p w14:paraId="264C34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Испытанием выявить безотказность действия бомб ФАБ-100 кг снаряженных аматолом 50/50 при бомбометании с взрывателем АПУБ.</w:t>
      </w:r>
    </w:p>
    <w:p w14:paraId="54967C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C21DB6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Фугасные бомбы ФАБ-100 кг, снаряженные амматолом 50/50 методом заливки в проведенных контрольных испытаниях показали удовлетворительные результаты по безопасности действия.</w:t>
      </w:r>
    </w:p>
    <w:p w14:paraId="29EB191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Фугасные бомбы ФАБ-100 кг, снаряженные амматолом 50/50 методом шнекования, хотя и показали в проведенных испытаниях удовлетворительные результаты по безотказности действия, однако вследствие более низкого фугасного действия в сравнении с заливкой, провести дополнительные испытания с целью выявления фугасного действия в сравнении со штатным снаряжением АБ (155).</w:t>
      </w:r>
    </w:p>
    <w:p w14:paraId="3B2D9DC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600ADE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года начальник ГУ ВВС генерал-лейтенант Рычагов писал письмо наркому обороны маршалу Тимошенко</w:t>
      </w:r>
    </w:p>
    <w:p w14:paraId="1BF804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 по письму парторга ЦК ВКП(б) на заводе № 145 НКАП об изготовлении ВАП-200:</w:t>
      </w:r>
    </w:p>
    <w:p w14:paraId="14C920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Прибор ВАП-200 проходил госиспытания в 1937 году на Научно-испытательном полигоне авиавооружения на самолете СБ.</w:t>
      </w:r>
    </w:p>
    <w:p w14:paraId="02FAB4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испытаний получены были положительные, что было изложено в предварительном заключении НИПАВ ВВС за № 0447 от 16 августа 1937 года и утверждено научно-техническим журналом АВ ВВС за № 096 от 9 сентября 1937 года.</w:t>
      </w:r>
    </w:p>
    <w:p w14:paraId="66DF0C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в предварительном заключении, так и в НТЖ рекомендовалось провести окончательные испытания прибора на самолете «Иванов» (ББ-1), так как данный прибор предполагался для этого самолета.</w:t>
      </w:r>
    </w:p>
    <w:p w14:paraId="15E793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Настоящими испытаниями предполагалось определить работу прибора ВАП-200 во взаимодействии с самолетом «Иванов», проверить установку его на самолете, механизм управления, а также определить площадь и плотность заражения СОВ с данного самолета.</w:t>
      </w:r>
    </w:p>
    <w:p w14:paraId="700B04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Настоящими испытаниями предполагалось определить работу прибора ВАП-200 во взаимодействии с самолетом «Иванов», проверить установку его на самолете, механизм управления, а также определить площадь и плотность заражения СОВ с данного самолета.</w:t>
      </w:r>
    </w:p>
    <w:p w14:paraId="71A77C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заключении договора с НКАП на 1940 год на поставку самолета «Иванов» с ВАП-200, последний обязан до 1 января 1940 года подать самолет с приборами на полигонные испытания.</w:t>
      </w:r>
    </w:p>
    <w:p w14:paraId="415D5E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НКАП впервые подал самолет на НИПАВ ВВС в мае 1940 года, а необходимое вооружение к нему прибыло только в июне.</w:t>
      </w:r>
    </w:p>
    <w:p w14:paraId="360ACC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подготовке к испытаниям было обнаружено, что самолет «Иванов» имеет ряд серьезных дефектов по бомбардировочной проводке и по прочности шасси, вследствие чего полеты были прекращены.</w:t>
      </w:r>
    </w:p>
    <w:p w14:paraId="575004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полеты на самолете «Иванов» не разрешены из-за неисправности мотора М-88.</w:t>
      </w:r>
    </w:p>
    <w:p w14:paraId="33B92E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указанным причинам самолет «Иванов» с приборами ВАП-200 до сих пор еще не испытан.</w:t>
      </w:r>
    </w:p>
    <w:p w14:paraId="62354B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ускорения испытаний самолета «Иванов» таковые мною будут организованы в октябре на одном из самолетов с мотором М-87.</w:t>
      </w:r>
    </w:p>
    <w:p w14:paraId="319E6E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результатам этих испытаний будет принято окончательное решение.</w:t>
      </w:r>
    </w:p>
    <w:p w14:paraId="261161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Докладывая об этом, представляю на подпись проект ответа секретарю ЦК ВКП(б) Маленкову (7711, 85-86).</w:t>
      </w:r>
    </w:p>
    <w:p w14:paraId="03E9317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1B035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3B5CC08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053E3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октября по 1 ноября 1940 были проведены сравнительные испытания зенитного 37 мм автомата 61-К с 40 мм Бофорсом. Пришли к выводу, что Бофорс преимуществ не имеет, однако, решили заимствовать сцепное устройство, тормозную систему и прицел. На вооружение 61-К была принята еще в 1939 (1116,54).</w:t>
      </w:r>
    </w:p>
    <w:p w14:paraId="5D3E014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EC48804"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октября по 1 ноября 1940 года были проведены сравнительные испытания пушки 61-К с ее прототипом трофейной 40-мм пушкой "Бофорс". Основные выводы комиссии по результатам испытаний "40-мм пушка "Бофорс" по основным ТТД и эксплуатационным качествам преимуществ перед 61-К не имеет. В целях улучшения конструкции пушки 61-К необходимо целиком позаимствовать у "Бофорса" сцепное устройство, тормозную систему, расположение тормозного сапожка и крепление ствола. Прицел "Бофорс" уступает прицелу пушки 61-К".</w:t>
      </w:r>
    </w:p>
    <w:p w14:paraId="44A2DF43"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1939 году 61-К была принята на вооружение под названием "37-мм автоматическая зенитная пушка обр.1939 г." </w:t>
      </w:r>
    </w:p>
    <w:p w14:paraId="375BF711"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конце 1939 года на заводе № 8 была изготовлена опытная серия - 15 автоматов 61-К. Первый заказ на 37-мм пушки 61-К был дан в 1940 году в объеме 900 орудий, из которых к 1 июля 1940 года было сдано 147 штук, а к 1.01.1941 г. - 544 штуки. Цена одной пушки в 1939 году составляла 65 000 рублей. </w:t>
      </w:r>
    </w:p>
    <w:p w14:paraId="5E2205F7"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1941 году планировалось изготовить 1700 пушек 61-К (все на заводе № 4). Всего предполагалось иметь в РККА 9132 пушки 61-К, из них 1000 в мобилизационном запасе. Производство автоматов 61-К для буксируемых пушек прекращено в 1945 году. </w:t>
      </w:r>
    </w:p>
    <w:p w14:paraId="5A4BB6CF"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ТТХ УСТАНОВКИ 61-К</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29"/>
        <w:gridCol w:w="629"/>
      </w:tblGrid>
      <w:tr w:rsidR="00983732" w:rsidRPr="00A3026E" w14:paraId="5F2A2AC1" w14:textId="77777777" w:rsidTr="0055202A">
        <w:trPr>
          <w:tblCellSpacing w:w="15" w:type="dxa"/>
        </w:trPr>
        <w:tc>
          <w:tcPr>
            <w:tcW w:w="0" w:type="auto"/>
            <w:vAlign w:val="center"/>
            <w:hideMark/>
          </w:tcPr>
          <w:p w14:paraId="25B11A7D"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Калибр, мм </w:t>
            </w:r>
          </w:p>
        </w:tc>
        <w:tc>
          <w:tcPr>
            <w:tcW w:w="0" w:type="auto"/>
            <w:vAlign w:val="center"/>
            <w:hideMark/>
          </w:tcPr>
          <w:p w14:paraId="1651E77C"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w:t>
            </w:r>
          </w:p>
        </w:tc>
      </w:tr>
      <w:tr w:rsidR="00983732" w:rsidRPr="00A3026E" w14:paraId="67D2457E" w14:textId="77777777" w:rsidTr="0055202A">
        <w:trPr>
          <w:tblCellSpacing w:w="15" w:type="dxa"/>
        </w:trPr>
        <w:tc>
          <w:tcPr>
            <w:tcW w:w="0" w:type="auto"/>
            <w:vAlign w:val="center"/>
            <w:hideMark/>
          </w:tcPr>
          <w:p w14:paraId="6FB71C7B"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Длина ствола, клб </w:t>
            </w:r>
          </w:p>
        </w:tc>
        <w:tc>
          <w:tcPr>
            <w:tcW w:w="0" w:type="auto"/>
            <w:vAlign w:val="center"/>
            <w:hideMark/>
          </w:tcPr>
          <w:p w14:paraId="5ECC89E0"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62,6</w:t>
            </w:r>
          </w:p>
        </w:tc>
      </w:tr>
      <w:tr w:rsidR="00983732" w:rsidRPr="00A3026E" w14:paraId="0CF11E43" w14:textId="77777777" w:rsidTr="0055202A">
        <w:trPr>
          <w:tblCellSpacing w:w="15" w:type="dxa"/>
        </w:trPr>
        <w:tc>
          <w:tcPr>
            <w:tcW w:w="0" w:type="auto"/>
            <w:vAlign w:val="center"/>
            <w:hideMark/>
          </w:tcPr>
          <w:p w14:paraId="08C0DAED"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Масса орудия в боевом положении (без щитков), кг </w:t>
            </w:r>
          </w:p>
        </w:tc>
        <w:tc>
          <w:tcPr>
            <w:tcW w:w="0" w:type="auto"/>
            <w:vAlign w:val="center"/>
            <w:hideMark/>
          </w:tcPr>
          <w:p w14:paraId="699B7C01"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2100</w:t>
            </w:r>
          </w:p>
        </w:tc>
      </w:tr>
      <w:tr w:rsidR="00983732" w:rsidRPr="00A3026E" w14:paraId="021E997D" w14:textId="77777777" w:rsidTr="0055202A">
        <w:trPr>
          <w:tblCellSpacing w:w="15" w:type="dxa"/>
        </w:trPr>
        <w:tc>
          <w:tcPr>
            <w:tcW w:w="0" w:type="auto"/>
            <w:vAlign w:val="center"/>
            <w:hideMark/>
          </w:tcPr>
          <w:p w14:paraId="1922B966"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Масса откатных частей, кг </w:t>
            </w:r>
          </w:p>
        </w:tc>
        <w:tc>
          <w:tcPr>
            <w:tcW w:w="0" w:type="auto"/>
            <w:vAlign w:val="center"/>
            <w:hideMark/>
          </w:tcPr>
          <w:p w14:paraId="642F355A"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r>
      <w:tr w:rsidR="00983732" w:rsidRPr="00A3026E" w14:paraId="6ED4758C" w14:textId="77777777" w:rsidTr="0055202A">
        <w:trPr>
          <w:tblCellSpacing w:w="15" w:type="dxa"/>
        </w:trPr>
        <w:tc>
          <w:tcPr>
            <w:tcW w:w="0" w:type="auto"/>
            <w:vAlign w:val="center"/>
            <w:hideMark/>
          </w:tcPr>
          <w:p w14:paraId="6AF2F114"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Углы ВН, град. </w:t>
            </w:r>
          </w:p>
        </w:tc>
        <w:tc>
          <w:tcPr>
            <w:tcW w:w="0" w:type="auto"/>
            <w:vAlign w:val="center"/>
            <w:hideMark/>
          </w:tcPr>
          <w:p w14:paraId="05176D9B"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+85</w:t>
            </w:r>
          </w:p>
        </w:tc>
      </w:tr>
      <w:tr w:rsidR="00983732" w:rsidRPr="00A3026E" w14:paraId="16BBD6E4" w14:textId="77777777" w:rsidTr="0055202A">
        <w:trPr>
          <w:tblCellSpacing w:w="15" w:type="dxa"/>
        </w:trPr>
        <w:tc>
          <w:tcPr>
            <w:tcW w:w="0" w:type="auto"/>
            <w:vAlign w:val="center"/>
            <w:hideMark/>
          </w:tcPr>
          <w:p w14:paraId="67AE7C6F"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Угол ГН, град. </w:t>
            </w:r>
          </w:p>
        </w:tc>
        <w:tc>
          <w:tcPr>
            <w:tcW w:w="0" w:type="auto"/>
            <w:vAlign w:val="center"/>
            <w:hideMark/>
          </w:tcPr>
          <w:p w14:paraId="2BE8A2D7"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r>
      <w:tr w:rsidR="00983732" w:rsidRPr="00A3026E" w14:paraId="49DFDE59" w14:textId="77777777" w:rsidTr="0055202A">
        <w:trPr>
          <w:tblCellSpacing w:w="15" w:type="dxa"/>
        </w:trPr>
        <w:tc>
          <w:tcPr>
            <w:tcW w:w="0" w:type="auto"/>
            <w:vAlign w:val="center"/>
            <w:hideMark/>
          </w:tcPr>
          <w:p w14:paraId="3F2FB8ED"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Начальная скорость снаряда, м/с </w:t>
            </w:r>
          </w:p>
        </w:tc>
        <w:tc>
          <w:tcPr>
            <w:tcW w:w="0" w:type="auto"/>
            <w:vAlign w:val="center"/>
            <w:hideMark/>
          </w:tcPr>
          <w:p w14:paraId="24D63C9B"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880</w:t>
            </w:r>
          </w:p>
        </w:tc>
      </w:tr>
      <w:tr w:rsidR="00983732" w:rsidRPr="00A3026E" w14:paraId="66D4C779" w14:textId="77777777" w:rsidTr="0055202A">
        <w:trPr>
          <w:tblCellSpacing w:w="15" w:type="dxa"/>
        </w:trPr>
        <w:tc>
          <w:tcPr>
            <w:tcW w:w="0" w:type="auto"/>
            <w:vAlign w:val="center"/>
            <w:hideMark/>
          </w:tcPr>
          <w:p w14:paraId="2C61E695"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Темп стрельбы, выстр/мин </w:t>
            </w:r>
          </w:p>
        </w:tc>
        <w:tc>
          <w:tcPr>
            <w:tcW w:w="0" w:type="auto"/>
            <w:vAlign w:val="center"/>
            <w:hideMark/>
          </w:tcPr>
          <w:p w14:paraId="42D7AB56"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160-170</w:t>
            </w:r>
          </w:p>
        </w:tc>
      </w:tr>
      <w:tr w:rsidR="00983732" w:rsidRPr="00A3026E" w14:paraId="7A9AC83F" w14:textId="77777777" w:rsidTr="0055202A">
        <w:trPr>
          <w:tblCellSpacing w:w="15" w:type="dxa"/>
        </w:trPr>
        <w:tc>
          <w:tcPr>
            <w:tcW w:w="0" w:type="auto"/>
            <w:vAlign w:val="center"/>
            <w:hideMark/>
          </w:tcPr>
          <w:p w14:paraId="0BF566DE"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перевода в боевое положние, с</w:t>
            </w:r>
          </w:p>
        </w:tc>
        <w:tc>
          <w:tcPr>
            <w:tcW w:w="0" w:type="auto"/>
            <w:vAlign w:val="center"/>
            <w:hideMark/>
          </w:tcPr>
          <w:p w14:paraId="60781A6E"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25-30</w:t>
            </w:r>
          </w:p>
        </w:tc>
      </w:tr>
      <w:tr w:rsidR="00983732" w:rsidRPr="00A3026E" w14:paraId="050C2BD3" w14:textId="77777777" w:rsidTr="0055202A">
        <w:trPr>
          <w:tblCellSpacing w:w="15" w:type="dxa"/>
        </w:trPr>
        <w:tc>
          <w:tcPr>
            <w:tcW w:w="0" w:type="auto"/>
            <w:vAlign w:val="center"/>
            <w:hideMark/>
          </w:tcPr>
          <w:p w14:paraId="1F01145F"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Скорость возки по шоссе, км/ч </w:t>
            </w:r>
          </w:p>
        </w:tc>
        <w:tc>
          <w:tcPr>
            <w:tcW w:w="0" w:type="auto"/>
            <w:vAlign w:val="center"/>
            <w:hideMark/>
          </w:tcPr>
          <w:p w14:paraId="0777412E"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r>
      <w:tr w:rsidR="00983732" w:rsidRPr="00A3026E" w14:paraId="73449C30" w14:textId="77777777" w:rsidTr="0055202A">
        <w:trPr>
          <w:tblCellSpacing w:w="15" w:type="dxa"/>
        </w:trPr>
        <w:tc>
          <w:tcPr>
            <w:tcW w:w="0" w:type="auto"/>
            <w:vAlign w:val="center"/>
            <w:hideMark/>
          </w:tcPr>
          <w:p w14:paraId="3EF9F447"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Расчет, чел. </w:t>
            </w:r>
          </w:p>
        </w:tc>
        <w:tc>
          <w:tcPr>
            <w:tcW w:w="0" w:type="auto"/>
            <w:vAlign w:val="center"/>
            <w:hideMark/>
          </w:tcPr>
          <w:p w14:paraId="161D0B3B"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r>
    </w:tbl>
    <w:p w14:paraId="2A28E1C3"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(17356).</w:t>
      </w:r>
    </w:p>
    <w:p w14:paraId="7D69C749" w14:textId="77777777" w:rsidR="009A141C" w:rsidRPr="00A3026E" w:rsidRDefault="009A141C" w:rsidP="00A3026E">
      <w:pPr>
        <w:autoSpaceDE w:val="0"/>
        <w:autoSpaceDN w:val="0"/>
        <w:adjustRightInd w:val="0"/>
        <w:spacing w:after="0" w:line="240" w:lineRule="auto"/>
        <w:jc w:val="both"/>
        <w:rPr>
          <w:rFonts w:ascii="Times New Roman" w:hAnsi="Times New Roman"/>
          <w:color w:val="000000" w:themeColor="text1"/>
          <w:sz w:val="16"/>
          <w:szCs w:val="16"/>
        </w:rPr>
      </w:pPr>
    </w:p>
    <w:p w14:paraId="5E0F26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1 октября 1940 на заводе № 183 собрали 10 Т-34 установочной партии и 34 серийных (4829, 23).</w:t>
      </w:r>
    </w:p>
    <w:p w14:paraId="063FBEE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68AE3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опытное орудие Ф-34 было установлено в башне танка БТ-7А и поступило на 2-й этап заводских ис</w:t>
      </w:r>
      <w:r w:rsidRPr="00A3026E">
        <w:rPr>
          <w:rFonts w:ascii="Times New Roman" w:hAnsi="Times New Roman"/>
          <w:color w:val="000000" w:themeColor="text1"/>
          <w:sz w:val="16"/>
          <w:szCs w:val="16"/>
        </w:rPr>
        <w:softHyphen/>
        <w:t>пытаний — обкатку. По требованиям технологического ха</w:t>
      </w:r>
      <w:r w:rsidRPr="00A3026E">
        <w:rPr>
          <w:rFonts w:ascii="Times New Roman" w:hAnsi="Times New Roman"/>
          <w:color w:val="000000" w:themeColor="text1"/>
          <w:sz w:val="16"/>
          <w:szCs w:val="16"/>
        </w:rPr>
        <w:softHyphen/>
        <w:t>рактера в сентябре 1940 г. длина ствола орудия Ф-34 была уменьшена до 41 калибра, и в таком виде оно рассматри</w:t>
      </w:r>
      <w:r w:rsidRPr="00A3026E">
        <w:rPr>
          <w:rFonts w:ascii="Times New Roman" w:hAnsi="Times New Roman"/>
          <w:color w:val="000000" w:themeColor="text1"/>
          <w:sz w:val="16"/>
          <w:szCs w:val="16"/>
        </w:rPr>
        <w:softHyphen/>
        <w:t>валось для установки в башню танка Т-34 (10782).</w:t>
      </w:r>
    </w:p>
    <w:p w14:paraId="293478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CF45B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 октября 1940 опытное орудие Ф-34 было установлено в башне танка БТ-7А и поступило на заводские ис</w:t>
      </w:r>
      <w:r w:rsidRPr="00A3026E">
        <w:rPr>
          <w:rFonts w:ascii="Times New Roman" w:hAnsi="Times New Roman"/>
          <w:color w:val="000000" w:themeColor="text1"/>
          <w:sz w:val="16"/>
          <w:szCs w:val="16"/>
        </w:rPr>
        <w:softHyphen/>
        <w:t>пытания обкаткой и стрельбой. Испытания завершились 20 ноября, а поскольку никаких серьезных недоработок в конструкции пушки найдено не было, то уже 21 ноября ору</w:t>
      </w:r>
      <w:r w:rsidRPr="00A3026E">
        <w:rPr>
          <w:rFonts w:ascii="Times New Roman" w:hAnsi="Times New Roman"/>
          <w:color w:val="000000" w:themeColor="text1"/>
          <w:sz w:val="16"/>
          <w:szCs w:val="16"/>
        </w:rPr>
        <w:softHyphen/>
        <w:t>дие было рекомендовано для принятия на вооружение и предстало перед приемочной комиссией НКО (10782).</w:t>
      </w:r>
    </w:p>
    <w:p w14:paraId="25794D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9A5C7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про 10 октября 1940 на Кировском заводе работала спе</w:t>
      </w:r>
      <w:r w:rsidRPr="00A3026E">
        <w:rPr>
          <w:rFonts w:ascii="Times New Roman" w:hAnsi="Times New Roman"/>
          <w:color w:val="000000" w:themeColor="text1"/>
          <w:sz w:val="16"/>
          <w:szCs w:val="16"/>
        </w:rPr>
        <w:softHyphen/>
        <w:t>циальная комиссия наркомат госконтроля и в основном подтвердила выводы быв</w:t>
      </w:r>
      <w:r w:rsidRPr="00A3026E">
        <w:rPr>
          <w:rFonts w:ascii="Times New Roman" w:hAnsi="Times New Roman"/>
          <w:color w:val="000000" w:themeColor="text1"/>
          <w:sz w:val="16"/>
          <w:szCs w:val="16"/>
        </w:rPr>
        <w:softHyphen/>
        <w:t>шего военпреда Каливода (10782).</w:t>
      </w:r>
    </w:p>
    <w:p w14:paraId="27D427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107F1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по 10 октября 1940 г. работала вторая комиссия по поводу конструктивной недоработанности КВ. В акте комиссии отмечалось, что танк не прошел гарантированного километража вследствие выхода из строя коробки передач, бортовых фрикционов, траков, неудовлетворительной работы системы охлаждения. Между тем происходило форсированное внедрение танка КВ в серийное производство. В 1940 г. было выпущено 243 ед., в первом полугодии 1941 - 391 ед. С июня 1941 г. танки КВ-1 стали выпускаться с усиленным бронированием. На лобовые и бортовые листы башни и лобовые листы корпуса установили экраны из броневого листа толщиной 30 мм. Бронирование возросло до 105 мм, боевая масса - до 47,5 т. Это привело к снижению скоростных и маневренных показателей. А оружие осталось тем же (11224).</w:t>
      </w:r>
    </w:p>
    <w:p w14:paraId="78BE7E1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EF8E6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 октября 1940 г. работы по улучшенному варианту танка Т-126 (СП) в ОКБ-2 возглавил Л. Троянов под общим ру</w:t>
      </w:r>
      <w:r w:rsidRPr="00A3026E">
        <w:rPr>
          <w:rFonts w:ascii="Times New Roman" w:hAnsi="Times New Roman"/>
          <w:color w:val="000000" w:themeColor="text1"/>
          <w:sz w:val="16"/>
          <w:szCs w:val="16"/>
        </w:rPr>
        <w:softHyphen/>
        <w:t>ководством С. Гинзбурга. Однако уже 8 октября по просьбе начальника СКБ-2 ЛКЗ Ж. Котина в работы по созданию улучшенного Т-126(СП) была включена также группа А. Ермолаева, которая продолжила работы по «объекту 211». Кроме того, в октябре же проект боевой машины по тем же ТТТ на «легкий единый танк РККА» выполняла группа вы</w:t>
      </w:r>
      <w:r w:rsidRPr="00A3026E">
        <w:rPr>
          <w:rFonts w:ascii="Times New Roman" w:hAnsi="Times New Roman"/>
          <w:color w:val="000000" w:themeColor="text1"/>
          <w:sz w:val="16"/>
          <w:szCs w:val="16"/>
        </w:rPr>
        <w:softHyphen/>
        <w:t>пускников — слушателей Академии ВАММ им. Сталина под общим руководством Н. Астрова. Возможно, именно в это время впервые прозвучал индекс нового танка — Т-50 (10782).</w:t>
      </w:r>
    </w:p>
    <w:p w14:paraId="6DBF8A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83DCF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1940-го, Корреспондент «Известий», побывав на заводе, выдал парадную заметку о начале серийного производства КИМ-10. Автомобиль затребовали в Кремль. Легенд об этом смотре много, свидетельств, которым можно верить, – нет. Зато известны итоги: арестовали директора КИМ Кузнецова (в 1942-м его, к счастью, выпустили) и сняли с должности наркома Лихачева. Его всего лишь вернули директором на ЗИС. В январе 1941-го приняли решение все же собрать из готовых комплектов деталей 500 машин. А в Горьком уже работали над четырехдверным КИМ-10-52. Правда, машину скопировали не с «Опеля-Кадет», а с очень похожей, но более просторной «Олимпии». Очевидно, она больше подходила конструкторам, а внешне неопытный, даже начальственный взгляд вряд ли бы отличил один «Опель» от другого. Планировали построить два прототипа, но, видимо, успели сделать всего один. До начала войны в Москве выпустили примерно 450 КИМов. Осенью 1941-го построили совсем немного (вероятно, единицы) командирских машин с упрощенными кузовами, так называемых тачанок. В конце 1941-го завод фактически перестал существовать: часть оборудования вывезли, производство встало. В 1942-м заново набрали работников, которые потихоньку начали ремонтировать грузовики, в том числе полученные по ленд-лизу. В 1944-м руководство завода и немногочисленные конструкторы задумались о возобновлении производства автомобилей. Но ни оборудования, ни полного комплекта документации не было. Правда, в Горьком сохранился прототип КИМ-10-52. Шестнадцатого июня 1945-го его вместе с ЗИС-110 и «Победой» в Кремле показывали Сталину и иным руководителям страны. КИМ окончательно отправили в отставку, решив выпускать «Опель Кадет», который превратился в СССР в «Москвич-400». Немногочисленные КИМы, пережившие войну и попавшие-таки в руки частников, со временем переделывали почти до неузнаваемости, а чаще просто отправляли на свалку. Теперь редчайшие, чудом дожившие до наших дней экземпляры по карману лишь очень богатым поклонникам отечественного ретро. Тем, кто более 60 лет назад создавал неброскую малолитражку, такое не виделось даже в самом фантастическом сне... (11718).</w:t>
      </w:r>
    </w:p>
    <w:p w14:paraId="264CEA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FC0103E"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363C033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7538B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года постановлением Совета народных комиссаров вся система местной ПВО перешла в ведение Наркомата внутренних дел СССР, в составе которого образовано Главное управление местной ПВО. В декабре 1940 года начальником Главного управления ПВО Красной Армии назначен Дмитрий Козлов (10109).</w:t>
      </w:r>
    </w:p>
    <w:p w14:paraId="1B2BD91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C351B7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1C6B1CE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44012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года появилась статья в газете «Известия», в которой корреспондент, побывавший на заводе, поспешил заявить о начале массового производства малолитражек. Статья, не согласованная с руководством завода и вышестоящим наркоматом, иллюстрировалась фотоснимком финишной части заводского конвейера, при этом несколько попавших в кадр автомобилей, стоящих на нем друг за другом, создавали видимость их сплошного потока. Не отражающая истинное положение дел статья вызвала резкое недовольство И.В.Сталина и привела к снятию директора автозавода А.В.Кузнецова (отданного под суд «за введение в заблуждение советской общественности») и недавно назначенного Наркома Среднего Машиностроения И.А.Лихачева (который был возвращен на должность директора завода ЗИС). 25 октября 1940 года ЦК ВКП(б) и СНК СССР было принято Постановление, в котором заводу предлагалось представить для осмотра образец автомобиля «КИМ-10» с измененным кузовом. В первой декаде января 1941 года были проведены первые дорожные испытания опытных образцов четырехдверных КИМ-10-52, которые затем по представлению нового Наркома Среднего Машиностроения В.А.Малышева были предъявлены для осмотра членам Государственной комиссии. С рядом замечаний и новых требований к изменению конструкции автомобиля (касавшихся его приборного щитка) КИМ-10-52 был утвержден к производству. Приказом Наркома Среднего Машиностроения №55 от 23 января 1941 года предусматривалось с 1 июня начать переход на массовый выпуск автомобилей этой модели. В связи с большим объемом работ по модернизации автомобиля КИМ-10-52 первоначальные производственные планы выпуска в очередной раз были скорректированы в сторону уменьшения и до 1 июня 1941 года заводу предписывалось выпустить 500 автомобилей. За два последних месяца 1940 года заводу удалось собрать всего лишь 16 автомобилей. Однако уже в январе 1941 года с конвейера сошло 70 машин, в феврале – 50, в марте – 102, в апреле – очередные 100 автомобилей. Всего с апреля 1940 года до прекращения производства с началом Великой Отечественной войны завод успел собрать в общей сложности всего лишь около 450 автомобилей КИМ-10-50 и КИМ-10-51, а также несколько образцов автомобиля КИМ-10-52 с четырехдверным кузовом. Приказом Наркома Среднего Машиностроения от 8 мая 1941 года срок начала их выпуска переносился на 1 сентября. План производства КИМ-10-52 на IV квартал 1941 года составлял 2800 шт. (10766).</w:t>
      </w:r>
    </w:p>
    <w:p w14:paraId="3903168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6853EBF" w14:textId="77777777" w:rsidR="001C376F" w:rsidRPr="00A3026E" w:rsidRDefault="001C376F"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1 октября </w:t>
      </w:r>
      <w:r w:rsidRPr="00A3026E">
        <w:rPr>
          <w:rFonts w:ascii="Times New Roman" w:hAnsi="Times New Roman"/>
          <w:color w:val="000000" w:themeColor="text1"/>
          <w:sz w:val="16"/>
          <w:szCs w:val="16"/>
        </w:rPr>
        <w:t>в 1940 году началась опытная эксплуатация передвижной радиостанции Центрального радио, которая предназначалась для трансляции прямых репортажей. Радиостанция размещалась на автомобиле и работала на ультракоротких волнах (14786).</w:t>
      </w:r>
    </w:p>
    <w:p w14:paraId="00C4F437" w14:textId="77777777" w:rsidR="001C376F" w:rsidRPr="00A3026E" w:rsidRDefault="001C376F" w:rsidP="00A3026E">
      <w:pPr>
        <w:spacing w:after="0" w:line="240" w:lineRule="auto"/>
        <w:jc w:val="both"/>
        <w:rPr>
          <w:rFonts w:ascii="Times New Roman" w:hAnsi="Times New Roman"/>
          <w:color w:val="000000" w:themeColor="text1"/>
          <w:sz w:val="16"/>
          <w:szCs w:val="16"/>
        </w:rPr>
      </w:pPr>
    </w:p>
    <w:p w14:paraId="1ED998C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1CC5F57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167856D" w14:textId="77777777" w:rsidR="001C376F" w:rsidRPr="00A3026E" w:rsidRDefault="001C376F" w:rsidP="00A3026E">
      <w:pPr>
        <w:pStyle w:val="27"/>
        <w:shd w:val="clear" w:color="auto" w:fill="auto"/>
        <w:spacing w:before="0"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На 1 октября 1940 у Германии:</w:t>
      </w:r>
    </w:p>
    <w:p w14:paraId="2B7693F5" w14:textId="77777777" w:rsidR="001C376F" w:rsidRPr="00A3026E" w:rsidRDefault="001C376F" w:rsidP="00A3026E">
      <w:pPr>
        <w:pStyle w:val="27"/>
        <w:shd w:val="clear" w:color="auto" w:fill="auto"/>
        <w:spacing w:before="0"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 на Западном фронте было 4000 самолётов; 1 марта 1941- 8030 самолётов;</w:t>
      </w:r>
    </w:p>
    <w:p w14:paraId="7F16E8B4" w14:textId="77777777" w:rsidR="001C376F" w:rsidRPr="00A3026E" w:rsidRDefault="001C376F" w:rsidP="00A3026E">
      <w:pPr>
        <w:pStyle w:val="27"/>
        <w:shd w:val="clear" w:color="auto" w:fill="auto"/>
        <w:spacing w:before="0"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 на границах СССР  было- 700 самолётов;  1 марта 1941 -700 самолётов (15738);</w:t>
      </w:r>
    </w:p>
    <w:p w14:paraId="2CEA4544" w14:textId="77777777" w:rsidR="001C376F" w:rsidRPr="00A3026E" w:rsidRDefault="001C376F" w:rsidP="00A3026E">
      <w:pPr>
        <w:pStyle w:val="27"/>
        <w:shd w:val="clear" w:color="auto" w:fill="auto"/>
        <w:spacing w:before="0"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 Внутренние части Германии  400самолётов; 1 марта 1941- 400 самолётов;</w:t>
      </w:r>
    </w:p>
    <w:p w14:paraId="32700F8E" w14:textId="77777777" w:rsidR="001C376F" w:rsidRPr="00A3026E" w:rsidRDefault="001C376F" w:rsidP="00A3026E">
      <w:pPr>
        <w:pStyle w:val="27"/>
        <w:shd w:val="clear" w:color="auto" w:fill="auto"/>
        <w:spacing w:before="0"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Чехия, Моравия, Словакия  - 600самолётов; 1марта 1941 – 400 самолётов;</w:t>
      </w:r>
    </w:p>
    <w:p w14:paraId="101189DD" w14:textId="77777777" w:rsidR="001C376F" w:rsidRPr="00A3026E" w:rsidRDefault="001C376F" w:rsidP="00A3026E">
      <w:pPr>
        <w:pStyle w:val="27"/>
        <w:shd w:val="clear" w:color="auto" w:fill="auto"/>
        <w:spacing w:before="0"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Италия, Румыния, Болгария – не было; 1марта 1941 – 1450 самолётов (15738).</w:t>
      </w:r>
    </w:p>
    <w:p w14:paraId="0BE29D82" w14:textId="77777777" w:rsidR="001C376F" w:rsidRPr="00A3026E" w:rsidRDefault="001C376F" w:rsidP="00A3026E">
      <w:pPr>
        <w:pStyle w:val="27"/>
        <w:shd w:val="clear" w:color="auto" w:fill="auto"/>
        <w:spacing w:before="0" w:line="240" w:lineRule="auto"/>
        <w:jc w:val="both"/>
        <w:rPr>
          <w:rFonts w:ascii="Times New Roman" w:hAnsi="Times New Roman" w:cs="Times New Roman"/>
          <w:color w:val="000000" w:themeColor="text1"/>
          <w:sz w:val="16"/>
          <w:szCs w:val="16"/>
        </w:rPr>
      </w:pPr>
    </w:p>
    <w:p w14:paraId="51BE5679" w14:textId="77777777" w:rsidR="00E747F5" w:rsidRPr="00A3026E" w:rsidRDefault="00E747F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октября 1940 - британский бомбардировщик сбит немецкой зенитной артиллерией над Нидерландами после того, как его осветил прожектор, соединенный с радаром Freya. Это первый случай уничтожения самолета после того, как он был обнаружен и освещен прожектором с радарным наведением (20795).</w:t>
      </w:r>
    </w:p>
    <w:p w14:paraId="0E084B7C" w14:textId="77777777" w:rsidR="00E747F5" w:rsidRPr="00A3026E" w:rsidRDefault="00E747F5" w:rsidP="00A3026E">
      <w:pPr>
        <w:spacing w:after="0" w:line="240" w:lineRule="auto"/>
        <w:jc w:val="both"/>
        <w:rPr>
          <w:rFonts w:ascii="Times New Roman" w:hAnsi="Times New Roman"/>
          <w:color w:val="0070C0"/>
          <w:sz w:val="16"/>
          <w:szCs w:val="16"/>
        </w:rPr>
      </w:pPr>
    </w:p>
    <w:p w14:paraId="0FC13CE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затонул английский лайнер «Императрица», шедший с беженцами в Канаду (4962).</w:t>
      </w:r>
    </w:p>
    <w:p w14:paraId="03491D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6EFB7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октября 1940 немцы в Англии перешли преимущественно на ночные бомбардировки (2240).</w:t>
      </w:r>
    </w:p>
    <w:p w14:paraId="5565901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456581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Финляндия заключила с Германией союзный договор (4962).</w:t>
      </w:r>
    </w:p>
    <w:p w14:paraId="6F7F37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E807FE9" w14:textId="77777777" w:rsidR="001C376F" w:rsidRPr="00A3026E" w:rsidRDefault="001C376F"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1 октября </w:t>
      </w:r>
      <w:r w:rsidRPr="00A3026E">
        <w:rPr>
          <w:rFonts w:ascii="Times New Roman" w:hAnsi="Times New Roman"/>
          <w:color w:val="000000" w:themeColor="text1"/>
          <w:sz w:val="16"/>
          <w:szCs w:val="16"/>
        </w:rPr>
        <w:t>в 1940 году германское правительство упразднило таможенную границу между Германией и Протекторатом Богемии и Моравии (14786).</w:t>
      </w:r>
    </w:p>
    <w:p w14:paraId="22B81531" w14:textId="77777777" w:rsidR="001C376F" w:rsidRPr="00A3026E" w:rsidRDefault="001C376F" w:rsidP="00A3026E">
      <w:pPr>
        <w:tabs>
          <w:tab w:val="left" w:pos="11199"/>
        </w:tabs>
        <w:spacing w:after="0" w:line="240" w:lineRule="auto"/>
        <w:jc w:val="both"/>
        <w:rPr>
          <w:rFonts w:ascii="Times New Roman" w:hAnsi="Times New Roman"/>
          <w:color w:val="000000" w:themeColor="text1"/>
          <w:sz w:val="16"/>
          <w:szCs w:val="16"/>
        </w:rPr>
      </w:pPr>
    </w:p>
    <w:p w14:paraId="0B11C2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в Японии был организован Институт по изучению проблем тотальной войны (2443,418).</w:t>
      </w:r>
    </w:p>
    <w:p w14:paraId="436F0A6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EF269A"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2A8AE3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C30971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 2 октября по 15 декабря 1940 в Казани на заводе 124 проходили заводские испытания ТБ-7 № 4225 с 4М-40, постройки завода № 124:</w:t>
      </w:r>
    </w:p>
    <w:p w14:paraId="1F2184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 испытаний</w:t>
      </w:r>
    </w:p>
    <w:p w14:paraId="63E439D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постановлений КО от 12 мая 1940 года за № 200сс и от 25 мая 1940 года за № 227сс, завод № 124 обязан был концу 1940 года предъявить на гос. испытания самолет ТБ-7 с четырьмя моторами М-40 (авиадизель) с использованием в вариантах: военно-транспортном и бомбардировочном на дальние расстояния.</w:t>
      </w:r>
    </w:p>
    <w:p w14:paraId="458B370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является только дальним бомбардировщиком без возможности полного использования в военно-транспортном варианте, вследствие того, что планер взят из серийного производства 1940 года без изменений.</w:t>
      </w:r>
    </w:p>
    <w:p w14:paraId="08CA1C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Изменения винтомоторной группы, требуемые установкой опытных моторов, произведены не полностью. Самолет только приспособлен для проведения испытаний моторов М-40.</w:t>
      </w:r>
    </w:p>
    <w:p w14:paraId="4CA1D2E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Нормальная центровка самолета, нарушенная установкой более тяжелых моторов, восстановлена грузом весом 220 кг, помещенным в хвостовой части фюзеляжа.</w:t>
      </w:r>
    </w:p>
    <w:p w14:paraId="772558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самолета на колеса и пневматики старой конструкции размером 1600х500 ограничивает полетный вес до 27 тонн.</w:t>
      </w:r>
    </w:p>
    <w:p w14:paraId="6ECCFC6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и прочее оборудование такое же как на серийных самолетах постройки 1940 года.</w:t>
      </w:r>
    </w:p>
    <w:p w14:paraId="48FCCB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 время испытания произведено 10 полетов продолжительностью 17 час. 27 мин. и один полет 28 декабря 1940 года в ЦАГИ на определение расхода топлива продолжительностью 6 час. 30 мин.</w:t>
      </w:r>
    </w:p>
    <w:p w14:paraId="2527ECF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Общий налет за время заводских испытаний: 11 полетов продолжительностью 23 час. 57 мин.</w:t>
      </w:r>
    </w:p>
    <w:p w14:paraId="07BB47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18 января по 20 февраля 1941 этот самолет проходил гос. испытания в НИИ ВВС (4168, 24-45).</w:t>
      </w:r>
    </w:p>
    <w:p w14:paraId="36B7BB4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198CA84" w14:textId="77777777" w:rsidR="00C66762" w:rsidRPr="00A3026E" w:rsidRDefault="00C66762" w:rsidP="00A3026E">
      <w:pPr>
        <w:pStyle w:val="a3"/>
        <w:widowControl/>
        <w:rPr>
          <w:color w:val="000000" w:themeColor="text1"/>
          <w:lang w:val="ru-RU"/>
        </w:rPr>
      </w:pPr>
      <w:r w:rsidRPr="00A3026E">
        <w:rPr>
          <w:color w:val="000000" w:themeColor="text1"/>
          <w:lang w:val="ru-RU"/>
        </w:rPr>
        <w:t>2 октября 1940 года нарком внутренних дел Л. Берия писал письмо № 4026/б в СНК Молотову</w:t>
      </w:r>
    </w:p>
    <w:p w14:paraId="1D9E127B" w14:textId="77777777" w:rsidR="00C66762" w:rsidRPr="00A3026E" w:rsidRDefault="00C66762" w:rsidP="00A3026E">
      <w:pPr>
        <w:pStyle w:val="a3"/>
        <w:widowControl/>
        <w:rPr>
          <w:color w:val="000000" w:themeColor="text1"/>
          <w:lang w:val="ru-RU"/>
        </w:rPr>
      </w:pPr>
      <w:r w:rsidRPr="00A3026E">
        <w:rPr>
          <w:color w:val="000000" w:themeColor="text1"/>
          <w:lang w:val="ru-RU"/>
        </w:rPr>
        <w:t>НКВД провел проверку исполнения решения ЦК ВКП(б) и СНК о запуске в серийное производство самолета ПБ-100 заводами №№ 39 и 22 НКАП.</w:t>
      </w:r>
    </w:p>
    <w:p w14:paraId="5437BB12" w14:textId="77777777" w:rsidR="00C66762" w:rsidRPr="00A3026E" w:rsidRDefault="00C66762" w:rsidP="00A3026E">
      <w:pPr>
        <w:pStyle w:val="a3"/>
        <w:widowControl/>
        <w:rPr>
          <w:color w:val="000000" w:themeColor="text1"/>
          <w:lang w:val="ru-RU"/>
        </w:rPr>
      </w:pPr>
      <w:r w:rsidRPr="00A3026E">
        <w:rPr>
          <w:color w:val="000000" w:themeColor="text1"/>
          <w:lang w:val="ru-RU"/>
        </w:rPr>
        <w:t>В результате проверки установлено, что по заводу № 39 в первый период изготовление самолетов ПБ-100 было не полностью обеспечено материалами.</w:t>
      </w:r>
    </w:p>
    <w:p w14:paraId="791078D4" w14:textId="77777777" w:rsidR="00C66762" w:rsidRPr="00A3026E" w:rsidRDefault="00C66762" w:rsidP="00A3026E">
      <w:pPr>
        <w:pStyle w:val="a3"/>
        <w:widowControl/>
        <w:rPr>
          <w:color w:val="000000" w:themeColor="text1"/>
          <w:lang w:val="ru-RU"/>
        </w:rPr>
      </w:pPr>
      <w:r w:rsidRPr="00A3026E">
        <w:rPr>
          <w:color w:val="000000" w:themeColor="text1"/>
          <w:lang w:val="ru-RU"/>
        </w:rPr>
        <w:t>Вследствие запоздания комбината 150 с подачей листового материала, завод № 39, имея подготовленные форм-блоки и штампы не смог своевременно развернуть все необходимые работы из-за отсутствия материалов.</w:t>
      </w:r>
    </w:p>
    <w:p w14:paraId="07F84E50" w14:textId="77777777" w:rsidR="00C66762" w:rsidRPr="00A3026E" w:rsidRDefault="00C66762" w:rsidP="00A3026E">
      <w:pPr>
        <w:pStyle w:val="a3"/>
        <w:widowControl/>
        <w:rPr>
          <w:color w:val="000000" w:themeColor="text1"/>
          <w:lang w:val="ru-RU"/>
        </w:rPr>
      </w:pPr>
      <w:r w:rsidRPr="00A3026E">
        <w:rPr>
          <w:color w:val="000000" w:themeColor="text1"/>
          <w:lang w:val="ru-RU"/>
        </w:rPr>
        <w:t>Помимо этого, завод № 39 получил с опозданием. Примерно на месяц, шаблоны с завода № 156 и литье с завода № 219.</w:t>
      </w:r>
    </w:p>
    <w:p w14:paraId="5BE0F8C0" w14:textId="77777777" w:rsidR="00C66762" w:rsidRPr="00A3026E" w:rsidRDefault="00C66762" w:rsidP="00A3026E">
      <w:pPr>
        <w:pStyle w:val="a3"/>
        <w:widowControl/>
        <w:rPr>
          <w:color w:val="000000" w:themeColor="text1"/>
          <w:lang w:val="ru-RU"/>
        </w:rPr>
      </w:pPr>
      <w:r w:rsidRPr="00A3026E">
        <w:rPr>
          <w:color w:val="000000" w:themeColor="text1"/>
          <w:lang w:val="ru-RU"/>
        </w:rPr>
        <w:t>В начале работ по подготовке производства отсутствовало централизованное руководство основными цехами завода. Детали были розданы цехам без достаточной увязки их по агрегатам.</w:t>
      </w:r>
    </w:p>
    <w:p w14:paraId="60B3C599" w14:textId="77777777" w:rsidR="00C66762" w:rsidRPr="00A3026E" w:rsidRDefault="00C66762" w:rsidP="00A3026E">
      <w:pPr>
        <w:pStyle w:val="a3"/>
        <w:widowControl/>
        <w:rPr>
          <w:color w:val="000000" w:themeColor="text1"/>
          <w:lang w:val="ru-RU"/>
        </w:rPr>
      </w:pPr>
      <w:r w:rsidRPr="00A3026E">
        <w:rPr>
          <w:color w:val="000000" w:themeColor="text1"/>
          <w:lang w:val="ru-RU"/>
        </w:rPr>
        <w:t>Недостаточно четко была проведена планировка работ как по заводу в целом, так и по отдельным цехам.</w:t>
      </w:r>
    </w:p>
    <w:p w14:paraId="6BB07557" w14:textId="77777777" w:rsidR="00C66762" w:rsidRPr="00A3026E" w:rsidRDefault="00C66762" w:rsidP="00A3026E">
      <w:pPr>
        <w:pStyle w:val="a3"/>
        <w:widowControl/>
        <w:rPr>
          <w:color w:val="000000" w:themeColor="text1"/>
          <w:lang w:val="ru-RU"/>
        </w:rPr>
      </w:pPr>
      <w:r w:rsidRPr="00A3026E">
        <w:rPr>
          <w:color w:val="000000" w:themeColor="text1"/>
          <w:lang w:val="ru-RU"/>
        </w:rPr>
        <w:t>Перечисленные недостатки задержали подготовку производства самолетов приблизительно на 15 дней.</w:t>
      </w:r>
    </w:p>
    <w:p w14:paraId="6B9286FC" w14:textId="77777777" w:rsidR="00C66762" w:rsidRPr="00A3026E" w:rsidRDefault="00C66762" w:rsidP="00A3026E">
      <w:pPr>
        <w:pStyle w:val="a3"/>
        <w:widowControl/>
        <w:rPr>
          <w:color w:val="000000" w:themeColor="text1"/>
          <w:lang w:val="ru-RU"/>
        </w:rPr>
      </w:pPr>
      <w:r w:rsidRPr="00A3026E">
        <w:rPr>
          <w:color w:val="000000" w:themeColor="text1"/>
          <w:lang w:val="ru-RU"/>
        </w:rPr>
        <w:t>В дополнение к принятым заводом мерам по устранению имевших место недочетов, Наркомавиапрому необходимо обеспечить выполнение всех заказов со стороны заводов-смежников: завод № 219 – литье, Кольчугинский завод – заклепки, завод № 119 – шасси, заводы №№ 266, 132, 33, 25, 20 – механизмы дистанционного управления и другие агрегаты, завод № 26 – моторы, завод № 28 – винты.</w:t>
      </w:r>
    </w:p>
    <w:p w14:paraId="6F515F77" w14:textId="77777777" w:rsidR="00C66762" w:rsidRPr="00A3026E" w:rsidRDefault="00C66762" w:rsidP="00A3026E">
      <w:pPr>
        <w:pStyle w:val="a3"/>
        <w:widowControl/>
        <w:rPr>
          <w:color w:val="000000" w:themeColor="text1"/>
          <w:lang w:val="ru-RU"/>
        </w:rPr>
      </w:pPr>
      <w:r w:rsidRPr="00A3026E">
        <w:rPr>
          <w:color w:val="000000" w:themeColor="text1"/>
          <w:lang w:val="ru-RU"/>
        </w:rPr>
        <w:t>Кроме этого Наркомавиапрому необходимо обеспечить к 20 октября 1940 года изготовление заводом № 39 двух комплектов сборочных стапелей; добиться форсирования изготовления штампов и литья на заводах "ЗИС", "Оргоборонпром", № 95 и № 219; обеспечить в течение октября 1940 года завод № 39 фрезерными и токарными станками в количестве 25 единиц.</w:t>
      </w:r>
    </w:p>
    <w:p w14:paraId="1FC8440E" w14:textId="77777777" w:rsidR="00C66762" w:rsidRPr="00A3026E" w:rsidRDefault="00C66762" w:rsidP="00A3026E">
      <w:pPr>
        <w:pStyle w:val="a3"/>
        <w:widowControl/>
        <w:rPr>
          <w:color w:val="000000" w:themeColor="text1"/>
          <w:lang w:val="ru-RU"/>
        </w:rPr>
      </w:pPr>
      <w:r w:rsidRPr="00A3026E">
        <w:rPr>
          <w:color w:val="000000" w:themeColor="text1"/>
          <w:lang w:val="ru-RU"/>
        </w:rPr>
        <w:t>Наркомавиапрому нужно установить график работ по выпуску трех машин в октябре 1940 года, обеспечив выполнение его выделением надлежащего технического персонала, ответственного за своевременный выход машин, а также составить план работ на весь IV квартал 1940 года с обеспечением первоочередности работ</w:t>
      </w:r>
    </w:p>
    <w:p w14:paraId="60E78F3F" w14:textId="77777777" w:rsidR="00C66762" w:rsidRPr="00A3026E" w:rsidRDefault="00C66762" w:rsidP="00A3026E">
      <w:pPr>
        <w:pStyle w:val="a3"/>
        <w:widowControl/>
        <w:rPr>
          <w:color w:val="000000" w:themeColor="text1"/>
          <w:lang w:val="ru-RU"/>
        </w:rPr>
      </w:pPr>
      <w:r w:rsidRPr="00A3026E">
        <w:rPr>
          <w:color w:val="000000" w:themeColor="text1"/>
          <w:lang w:val="ru-RU"/>
        </w:rPr>
        <w:t>по машине ПБ-100.</w:t>
      </w:r>
    </w:p>
    <w:p w14:paraId="2E6F4CA3" w14:textId="77777777" w:rsidR="00C66762" w:rsidRPr="00A3026E" w:rsidRDefault="00C66762" w:rsidP="00A3026E">
      <w:pPr>
        <w:pStyle w:val="a3"/>
        <w:widowControl/>
        <w:rPr>
          <w:color w:val="000000" w:themeColor="text1"/>
          <w:lang w:val="ru-RU"/>
        </w:rPr>
      </w:pPr>
      <w:r w:rsidRPr="00A3026E">
        <w:rPr>
          <w:color w:val="000000" w:themeColor="text1"/>
          <w:lang w:val="ru-RU"/>
        </w:rPr>
        <w:t>По заводу № 22 состояние работ совершенно не обеспечивает выхода первых пяти машин в ноябре 1940 года, так как подготовка производства запаздывает, примерно, на 1 месяц из-за несвоевременной подачи заводом № 156 шаблонов.</w:t>
      </w:r>
    </w:p>
    <w:p w14:paraId="7EDBE081" w14:textId="77777777" w:rsidR="00C66762" w:rsidRPr="00A3026E" w:rsidRDefault="00C66762" w:rsidP="00A3026E">
      <w:pPr>
        <w:pStyle w:val="a3"/>
        <w:widowControl/>
        <w:rPr>
          <w:color w:val="000000" w:themeColor="text1"/>
          <w:lang w:val="ru-RU"/>
        </w:rPr>
      </w:pPr>
      <w:r w:rsidRPr="00A3026E">
        <w:rPr>
          <w:color w:val="000000" w:themeColor="text1"/>
          <w:lang w:val="ru-RU"/>
        </w:rPr>
        <w:t>Завод № 22 своевременно не выделил для производства машин ПБ-100 достаточных производственных мощностей, обеспечивающих выполнение правительственного задания на 1940 год по машинам ПБ-100.</w:t>
      </w:r>
    </w:p>
    <w:p w14:paraId="5440A627" w14:textId="77777777" w:rsidR="00C66762" w:rsidRPr="00A3026E" w:rsidRDefault="00C66762" w:rsidP="00A3026E">
      <w:pPr>
        <w:pStyle w:val="a3"/>
        <w:widowControl/>
        <w:rPr>
          <w:color w:val="000000" w:themeColor="text1"/>
          <w:lang w:val="ru-RU"/>
        </w:rPr>
      </w:pPr>
      <w:r w:rsidRPr="00A3026E">
        <w:rPr>
          <w:color w:val="000000" w:themeColor="text1"/>
          <w:lang w:val="ru-RU"/>
        </w:rPr>
        <w:t>В силу создавшегося положения возникает серьезное опасение за выполнение правительственного задания о выпуске до конца текущего года 50 машин.</w:t>
      </w:r>
    </w:p>
    <w:p w14:paraId="4F331895" w14:textId="77777777" w:rsidR="00C66762" w:rsidRPr="00A3026E" w:rsidRDefault="00C66762" w:rsidP="00A3026E">
      <w:pPr>
        <w:pStyle w:val="a3"/>
        <w:widowControl/>
        <w:rPr>
          <w:color w:val="000000" w:themeColor="text1"/>
          <w:lang w:val="ru-RU"/>
        </w:rPr>
      </w:pPr>
      <w:r w:rsidRPr="00A3026E">
        <w:rPr>
          <w:color w:val="000000" w:themeColor="text1"/>
          <w:lang w:val="ru-RU"/>
        </w:rPr>
        <w:t>В целях устранения недостатков в обеспечении выпуска самолетов по заводу № 39 и для принятия неотложных мер для обеспечения выпуска машин по заводу № 22, НКВД поставил перед НКАП вопрос о созыве совещания работников НКАП, заводов №№ 39 и 22, а также заводов-смежников, с участием представителей Особого технического бюро НКВД, с тем, чтобы установить строжайший порядок дальнейшей работы по обеспечению выпуска самолетов ПБ-100 на обоих заводах (3377, 79-81).</w:t>
      </w:r>
    </w:p>
    <w:p w14:paraId="7642F3FA" w14:textId="77777777" w:rsidR="00C66762" w:rsidRPr="00A3026E" w:rsidRDefault="00C66762" w:rsidP="00A3026E">
      <w:pPr>
        <w:pStyle w:val="a3"/>
        <w:widowControl/>
        <w:rPr>
          <w:color w:val="000000" w:themeColor="text1"/>
          <w:lang w:val="ru-RU"/>
        </w:rPr>
      </w:pPr>
    </w:p>
    <w:p w14:paraId="0196B49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начальник 1 отдела 6 управления ГУ ВВС бригинженер Осипенко писал письмо № 508349с начальнику штаба 1 отдела НИИ ВВС майору Марин-Федорову По вопросу: утверждения протокола макетной комиссии по кабинам самолета СБРК (6633).</w:t>
      </w:r>
    </w:p>
    <w:p w14:paraId="0D9A8E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Ваш № 1/0873 от 16 сентября 1940 года.</w:t>
      </w:r>
    </w:p>
    <w:p w14:paraId="7D4EEF3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Сообщаю, что на протоколе заседания макетной комиссии по макету измененных кабин штурмана и пилота для пикирующего варианта самолета СБ-РК с расположением штурмана впереди, летчика сзади (1-й вариант) имеется следующая резолюция генерал-лейтенанта авиации Алексеева «Утверждаю первый вариант для запуска в серийное производство. Разработку макета второго варианта продолжать» (6633, 15).</w:t>
      </w:r>
    </w:p>
    <w:p w14:paraId="583C9D8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87567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А.И.Ш. писал письмо N Н-20/2317 Зам. пред. СНХ Н.А.Вознесенскому о том, что постановлением правительства N 275сс от 23 июля (июня?) 1940 на заводе 22 был снят с производства СПБ 2М-105 Н.Н.П. и просил списать 33.5 млн. руб. истраченных, в т.ч. 1.2 на проектирование и 3.1 на разработку и остальное - на производство (1293,118).</w:t>
      </w:r>
    </w:p>
    <w:p w14:paraId="3B12FFB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2E9DC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Москва, Кремль вышло ПОСТАНОВЛЕНИЕ № 1854-773сс СОВЕТА НАРОДНЫХ КОМИССАРОВ СОЮЗА ССР И ЦЕНТРАЛЬНОГО КОМИТЕТА ВКП(б)</w:t>
      </w:r>
    </w:p>
    <w:p w14:paraId="40B2DD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СОВ.СЕКРЕТНО (ОСОБАЯ ПАПКА)</w:t>
      </w:r>
    </w:p>
    <w:p w14:paraId="28DC49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увеличении дальности истребителей и о постановке их производства на заводах</w:t>
      </w:r>
    </w:p>
    <w:p w14:paraId="26078B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Совет Народных Комиссаров Союза ССР и Центральный комитет ВКП(б) ПОСТАНОВЛЯЮТ:</w:t>
      </w:r>
    </w:p>
    <w:p w14:paraId="0A823A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Установить для всех внедряемых в серийное производ</w:t>
      </w:r>
      <w:r w:rsidRPr="00A3026E">
        <w:rPr>
          <w:rFonts w:ascii="Times New Roman" w:hAnsi="Times New Roman"/>
          <w:color w:val="000000" w:themeColor="text1"/>
          <w:sz w:val="16"/>
          <w:szCs w:val="16"/>
        </w:rPr>
        <w:softHyphen/>
        <w:t>ство и проектируемых вновь одномоторных истребительных самолетов дальность 1000 км. На 0,9 максимальной скоро</w:t>
      </w:r>
      <w:r w:rsidRPr="00A3026E">
        <w:rPr>
          <w:rFonts w:ascii="Times New Roman" w:hAnsi="Times New Roman"/>
          <w:color w:val="000000" w:themeColor="text1"/>
          <w:sz w:val="16"/>
          <w:szCs w:val="16"/>
        </w:rPr>
        <w:softHyphen/>
        <w:t>сти. Указанная дальность должна обеспечиваться емкостью баков, расположенных внутри самолета.</w:t>
      </w:r>
    </w:p>
    <w:p w14:paraId="411B7C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Установить для внедряемых в серийное производство и проектируемых вновь двухмоторных истребителей сопро</w:t>
      </w:r>
      <w:r w:rsidRPr="00A3026E">
        <w:rPr>
          <w:rFonts w:ascii="Times New Roman" w:hAnsi="Times New Roman"/>
          <w:color w:val="000000" w:themeColor="text1"/>
          <w:sz w:val="16"/>
          <w:szCs w:val="16"/>
        </w:rPr>
        <w:softHyphen/>
        <w:t>вождения дальность не менее 2000 км. На 0,8 максимальной скорости. Указанная дальность должна обеспечиваться ем</w:t>
      </w:r>
      <w:r w:rsidRPr="00A3026E">
        <w:rPr>
          <w:rFonts w:ascii="Times New Roman" w:hAnsi="Times New Roman"/>
          <w:color w:val="000000" w:themeColor="text1"/>
          <w:sz w:val="16"/>
          <w:szCs w:val="16"/>
        </w:rPr>
        <w:softHyphen/>
        <w:t>костью баков, расположенных внутри самолета.</w:t>
      </w:r>
    </w:p>
    <w:p w14:paraId="5687E6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Обязать Наркомавиапром внести необходимые изме</w:t>
      </w:r>
      <w:r w:rsidRPr="00A3026E">
        <w:rPr>
          <w:rFonts w:ascii="Times New Roman" w:hAnsi="Times New Roman"/>
          <w:color w:val="000000" w:themeColor="text1"/>
          <w:sz w:val="16"/>
          <w:szCs w:val="16"/>
        </w:rPr>
        <w:softHyphen/>
        <w:t>нения во все проектируемые и внедряемые в серийное про</w:t>
      </w:r>
      <w:r w:rsidRPr="00A3026E">
        <w:rPr>
          <w:rFonts w:ascii="Times New Roman" w:hAnsi="Times New Roman"/>
          <w:color w:val="000000" w:themeColor="text1"/>
          <w:sz w:val="16"/>
          <w:szCs w:val="16"/>
        </w:rPr>
        <w:softHyphen/>
        <w:t>изводство опытные самолеты.</w:t>
      </w:r>
    </w:p>
    <w:p w14:paraId="368F87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По заводу № 1.</w:t>
      </w:r>
    </w:p>
    <w:p w14:paraId="3B5ADD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Народного Комиссара авиационной промышлен</w:t>
      </w:r>
      <w:r w:rsidRPr="00A3026E">
        <w:rPr>
          <w:rFonts w:ascii="Times New Roman" w:hAnsi="Times New Roman"/>
          <w:color w:val="000000" w:themeColor="text1"/>
          <w:sz w:val="16"/>
          <w:szCs w:val="16"/>
        </w:rPr>
        <w:softHyphen/>
        <w:t>ности т. Шахурина А.И., директора завода № 1 т. Дементь</w:t>
      </w:r>
      <w:r w:rsidRPr="00A3026E">
        <w:rPr>
          <w:rFonts w:ascii="Times New Roman" w:hAnsi="Times New Roman"/>
          <w:color w:val="000000" w:themeColor="text1"/>
          <w:sz w:val="16"/>
          <w:szCs w:val="16"/>
        </w:rPr>
        <w:softHyphen/>
        <w:t>ева П.В. и главного конструктора т. Микояна А.И.:</w:t>
      </w:r>
    </w:p>
    <w:p w14:paraId="27F26E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 15.ХП-40 г. выпускать самолеты И-200 улучшенные (дальность полета 1000 км на 0,9 максимальной скорости);</w:t>
      </w:r>
    </w:p>
    <w:p w14:paraId="1A9901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после окончания государственных испытаний двух</w:t>
      </w:r>
      <w:r w:rsidRPr="00A3026E">
        <w:rPr>
          <w:rFonts w:ascii="Times New Roman" w:hAnsi="Times New Roman"/>
          <w:color w:val="000000" w:themeColor="text1"/>
          <w:sz w:val="16"/>
          <w:szCs w:val="16"/>
        </w:rPr>
        <w:softHyphen/>
        <w:t>моторного истребителя ДИС-200 конструкторов т.т. Мико</w:t>
      </w:r>
      <w:r w:rsidRPr="00A3026E">
        <w:rPr>
          <w:rFonts w:ascii="Times New Roman" w:hAnsi="Times New Roman"/>
          <w:color w:val="000000" w:themeColor="text1"/>
          <w:sz w:val="16"/>
          <w:szCs w:val="16"/>
        </w:rPr>
        <w:softHyphen/>
        <w:t>яна А.И. и Гуревича М.И. прекратить на заводе № 1 про</w:t>
      </w:r>
      <w:r w:rsidRPr="00A3026E">
        <w:rPr>
          <w:rFonts w:ascii="Times New Roman" w:hAnsi="Times New Roman"/>
          <w:color w:val="000000" w:themeColor="text1"/>
          <w:sz w:val="16"/>
          <w:szCs w:val="16"/>
        </w:rPr>
        <w:softHyphen/>
        <w:t>изводство И-200 и перейти на производство двухмоторно</w:t>
      </w:r>
      <w:r w:rsidRPr="00A3026E">
        <w:rPr>
          <w:rFonts w:ascii="Times New Roman" w:hAnsi="Times New Roman"/>
          <w:color w:val="000000" w:themeColor="text1"/>
          <w:sz w:val="16"/>
          <w:szCs w:val="16"/>
        </w:rPr>
        <w:softHyphen/>
        <w:t>го истребителя ДИС-200, при этом переходный период от одного самолета к другому ограничить 2 месяцами;</w:t>
      </w:r>
    </w:p>
    <w:p w14:paraId="7AD6D0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сократить программу выпуска самолетов ББ-22 на за</w:t>
      </w:r>
      <w:r w:rsidRPr="00A3026E">
        <w:rPr>
          <w:rFonts w:ascii="Times New Roman" w:hAnsi="Times New Roman"/>
          <w:color w:val="000000" w:themeColor="text1"/>
          <w:sz w:val="16"/>
          <w:szCs w:val="16"/>
        </w:rPr>
        <w:softHyphen/>
        <w:t>воде № 1 в 1940 году на 30 машин.</w:t>
      </w:r>
    </w:p>
    <w:p w14:paraId="1E1494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По заводу № 21.</w:t>
      </w:r>
    </w:p>
    <w:p w14:paraId="16825E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Народного Комиссара авиационной промыш</w:t>
      </w:r>
      <w:r w:rsidRPr="00A3026E">
        <w:rPr>
          <w:rFonts w:ascii="Times New Roman" w:hAnsi="Times New Roman"/>
          <w:color w:val="000000" w:themeColor="text1"/>
          <w:sz w:val="16"/>
          <w:szCs w:val="16"/>
        </w:rPr>
        <w:softHyphen/>
        <w:t>ленности т. Шахурина А.И. и директора завода т. Ворони</w:t>
      </w:r>
      <w:r w:rsidRPr="00A3026E">
        <w:rPr>
          <w:rFonts w:ascii="Times New Roman" w:hAnsi="Times New Roman"/>
          <w:color w:val="000000" w:themeColor="text1"/>
          <w:sz w:val="16"/>
          <w:szCs w:val="16"/>
        </w:rPr>
        <w:softHyphen/>
        <w:t>на В.П.:</w:t>
      </w:r>
    </w:p>
    <w:p w14:paraId="226759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производство самолета И-200 улучшенного поставить на заводе № 21 с декабря 1940 года, а производство самоле</w:t>
      </w:r>
      <w:r w:rsidRPr="00A3026E">
        <w:rPr>
          <w:rFonts w:ascii="Times New Roman" w:hAnsi="Times New Roman"/>
          <w:color w:val="000000" w:themeColor="text1"/>
          <w:sz w:val="16"/>
          <w:szCs w:val="16"/>
        </w:rPr>
        <w:softHyphen/>
        <w:t>та И-16 прогрессивно прекращать;</w:t>
      </w:r>
    </w:p>
    <w:p w14:paraId="71D130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производство самолетов И-180 на заводе № 21 прекра</w:t>
      </w:r>
      <w:r w:rsidRPr="00A3026E">
        <w:rPr>
          <w:rFonts w:ascii="Times New Roman" w:hAnsi="Times New Roman"/>
          <w:color w:val="000000" w:themeColor="text1"/>
          <w:sz w:val="16"/>
          <w:szCs w:val="16"/>
        </w:rPr>
        <w:softHyphen/>
        <w:t>тить.</w:t>
      </w:r>
    </w:p>
    <w:p w14:paraId="01330F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По заводу №301.</w:t>
      </w:r>
    </w:p>
    <w:p w14:paraId="1EF444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Народного Комиссара Авиационной Промыш</w:t>
      </w:r>
      <w:r w:rsidRPr="00A3026E">
        <w:rPr>
          <w:rFonts w:ascii="Times New Roman" w:hAnsi="Times New Roman"/>
          <w:color w:val="000000" w:themeColor="text1"/>
          <w:sz w:val="16"/>
          <w:szCs w:val="16"/>
        </w:rPr>
        <w:softHyphen/>
        <w:t>ленности т. ШахуринаА.И., главного конструктора т. Яков</w:t>
      </w:r>
      <w:r w:rsidRPr="00A3026E">
        <w:rPr>
          <w:rFonts w:ascii="Times New Roman" w:hAnsi="Times New Roman"/>
          <w:color w:val="000000" w:themeColor="text1"/>
          <w:sz w:val="16"/>
          <w:szCs w:val="16"/>
        </w:rPr>
        <w:softHyphen/>
        <w:t>лева А.С. и директора завода т. ЭскинаЮ.В.:</w:t>
      </w:r>
    </w:p>
    <w:p w14:paraId="1BE7BF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 15.Х1-1940 г. по 1.У1-1941 г. производить самолеты УТИ-26 в количестве не менее 400 машин;</w:t>
      </w:r>
    </w:p>
    <w:p w14:paraId="24AC3D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 1.У1-1941 г. перейти на производство самолета И-26 улучшенного (дальность полета 1100 км при 0,9 максималь</w:t>
      </w:r>
      <w:r w:rsidRPr="00A3026E">
        <w:rPr>
          <w:rFonts w:ascii="Times New Roman" w:hAnsi="Times New Roman"/>
          <w:color w:val="000000" w:themeColor="text1"/>
          <w:sz w:val="16"/>
          <w:szCs w:val="16"/>
        </w:rPr>
        <w:softHyphen/>
        <w:t>ной скоростью, с разъемным крылом).</w:t>
      </w:r>
    </w:p>
    <w:p w14:paraId="7EBAA5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По заводу №292.</w:t>
      </w:r>
    </w:p>
    <w:p w14:paraId="597CAA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Народного Комиссара авиационной промыш</w:t>
      </w:r>
      <w:r w:rsidRPr="00A3026E">
        <w:rPr>
          <w:rFonts w:ascii="Times New Roman" w:hAnsi="Times New Roman"/>
          <w:color w:val="000000" w:themeColor="text1"/>
          <w:sz w:val="16"/>
          <w:szCs w:val="16"/>
        </w:rPr>
        <w:softHyphen/>
        <w:t>ленности т. Шахурина А.И. и директора завода т. Леви</w:t>
      </w:r>
      <w:r w:rsidRPr="00A3026E">
        <w:rPr>
          <w:rFonts w:ascii="Times New Roman" w:hAnsi="Times New Roman"/>
          <w:color w:val="000000" w:themeColor="text1"/>
          <w:sz w:val="16"/>
          <w:szCs w:val="16"/>
        </w:rPr>
        <w:softHyphen/>
        <w:t>на И.О. с января 1941 г. перейти на производство истре</w:t>
      </w:r>
      <w:r w:rsidRPr="00A3026E">
        <w:rPr>
          <w:rFonts w:ascii="Times New Roman" w:hAnsi="Times New Roman"/>
          <w:color w:val="000000" w:themeColor="text1"/>
          <w:sz w:val="16"/>
          <w:szCs w:val="16"/>
        </w:rPr>
        <w:softHyphen/>
        <w:t>бителя И-26 улучшенного (дальность полета 1100 км при 0,9 максимальной скоростью, с разъемным крылом), лик</w:t>
      </w:r>
      <w:r w:rsidRPr="00A3026E">
        <w:rPr>
          <w:rFonts w:ascii="Times New Roman" w:hAnsi="Times New Roman"/>
          <w:color w:val="000000" w:themeColor="text1"/>
          <w:sz w:val="16"/>
          <w:szCs w:val="16"/>
        </w:rPr>
        <w:softHyphen/>
        <w:t>видировав производство самолетов И-26 старой конструк</w:t>
      </w:r>
      <w:r w:rsidRPr="00A3026E">
        <w:rPr>
          <w:rFonts w:ascii="Times New Roman" w:hAnsi="Times New Roman"/>
          <w:color w:val="000000" w:themeColor="text1"/>
          <w:sz w:val="16"/>
          <w:szCs w:val="16"/>
        </w:rPr>
        <w:softHyphen/>
        <w:t>ции.</w:t>
      </w:r>
    </w:p>
    <w:p w14:paraId="1E98D1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 По заводу № 23.</w:t>
      </w:r>
    </w:p>
    <w:p w14:paraId="67AAA0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Народного Комиссара авиационной промыш</w:t>
      </w:r>
      <w:r w:rsidRPr="00A3026E">
        <w:rPr>
          <w:rFonts w:ascii="Times New Roman" w:hAnsi="Times New Roman"/>
          <w:color w:val="000000" w:themeColor="text1"/>
          <w:sz w:val="16"/>
          <w:szCs w:val="16"/>
        </w:rPr>
        <w:softHyphen/>
        <w:t>ленности т. Шахурина А.И. и директора завода т. Фроло</w:t>
      </w:r>
      <w:r w:rsidRPr="00A3026E">
        <w:rPr>
          <w:rFonts w:ascii="Times New Roman" w:hAnsi="Times New Roman"/>
          <w:color w:val="000000" w:themeColor="text1"/>
          <w:sz w:val="16"/>
          <w:szCs w:val="16"/>
        </w:rPr>
        <w:softHyphen/>
        <w:t>ва П.В.:</w:t>
      </w:r>
    </w:p>
    <w:p w14:paraId="17EF53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во изменение Постановления ЦК ВКП(б) и Совнарко</w:t>
      </w:r>
      <w:r w:rsidRPr="00A3026E">
        <w:rPr>
          <w:rFonts w:ascii="Times New Roman" w:hAnsi="Times New Roman"/>
          <w:color w:val="000000" w:themeColor="text1"/>
          <w:sz w:val="16"/>
          <w:szCs w:val="16"/>
        </w:rPr>
        <w:softHyphen/>
        <w:t>ма СССР №1369-534сс от 26.VII.40 г., заводу № 23 ограни</w:t>
      </w:r>
      <w:r w:rsidRPr="00A3026E">
        <w:rPr>
          <w:rFonts w:ascii="Times New Roman" w:hAnsi="Times New Roman"/>
          <w:color w:val="000000" w:themeColor="text1"/>
          <w:sz w:val="16"/>
          <w:szCs w:val="16"/>
        </w:rPr>
        <w:softHyphen/>
        <w:t>чить выпуск самолетов И-301 5 машинами к 1 января 1941 года для проверки этого самолета на войсковых испы</w:t>
      </w:r>
      <w:r w:rsidRPr="00A3026E">
        <w:rPr>
          <w:rFonts w:ascii="Times New Roman" w:hAnsi="Times New Roman"/>
          <w:color w:val="000000" w:themeColor="text1"/>
          <w:sz w:val="16"/>
          <w:szCs w:val="16"/>
        </w:rPr>
        <w:softHyphen/>
        <w:t>таниях;</w:t>
      </w:r>
    </w:p>
    <w:p w14:paraId="53760C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перейти с января 1941 г. на производство самолетов И-26 улучшенных.</w:t>
      </w:r>
    </w:p>
    <w:p w14:paraId="72D1BE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VI. По заводу № 153.</w:t>
      </w:r>
    </w:p>
    <w:p w14:paraId="7392FE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Народного Комиссара авиационной промыш</w:t>
      </w:r>
      <w:r w:rsidRPr="00A3026E">
        <w:rPr>
          <w:rFonts w:ascii="Times New Roman" w:hAnsi="Times New Roman"/>
          <w:color w:val="000000" w:themeColor="text1"/>
          <w:sz w:val="16"/>
          <w:szCs w:val="16"/>
        </w:rPr>
        <w:softHyphen/>
        <w:t>ленности т. ШахуринаА.И. и директора завода т. Маланьи-на М.М. перейти с января 1941 г. на производство истре</w:t>
      </w:r>
      <w:r w:rsidRPr="00A3026E">
        <w:rPr>
          <w:rFonts w:ascii="Times New Roman" w:hAnsi="Times New Roman"/>
          <w:color w:val="000000" w:themeColor="text1"/>
          <w:sz w:val="16"/>
          <w:szCs w:val="16"/>
        </w:rPr>
        <w:softHyphen/>
        <w:t>бителей И-26 улучшенных, ликвидировав производство са</w:t>
      </w:r>
      <w:r w:rsidRPr="00A3026E">
        <w:rPr>
          <w:rFonts w:ascii="Times New Roman" w:hAnsi="Times New Roman"/>
          <w:color w:val="000000" w:themeColor="text1"/>
          <w:sz w:val="16"/>
          <w:szCs w:val="16"/>
        </w:rPr>
        <w:softHyphen/>
        <w:t>молетов И-16 путем постепенного сокращения.</w:t>
      </w:r>
    </w:p>
    <w:p w14:paraId="692ABD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VII. По заводу № 81.</w:t>
      </w:r>
    </w:p>
    <w:p w14:paraId="27AF0F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Народного Комиссара авиационной промышлен</w:t>
      </w:r>
      <w:r w:rsidRPr="00A3026E">
        <w:rPr>
          <w:rFonts w:ascii="Times New Roman" w:hAnsi="Times New Roman"/>
          <w:color w:val="000000" w:themeColor="text1"/>
          <w:sz w:val="16"/>
          <w:szCs w:val="16"/>
        </w:rPr>
        <w:softHyphen/>
        <w:t>ности т. ШахуринаА.И., главного конструктора т. Яковле</w:t>
      </w:r>
      <w:r w:rsidRPr="00A3026E">
        <w:rPr>
          <w:rFonts w:ascii="Times New Roman" w:hAnsi="Times New Roman"/>
          <w:color w:val="000000" w:themeColor="text1"/>
          <w:sz w:val="16"/>
          <w:szCs w:val="16"/>
        </w:rPr>
        <w:softHyphen/>
        <w:t>ва А.С. и директора завода т. Климовицкого Н.В.:</w:t>
      </w:r>
    </w:p>
    <w:p w14:paraId="01EF61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а) по окончании госиспытаний двухмоторного истреби</w:t>
      </w:r>
      <w:r w:rsidRPr="00A3026E">
        <w:rPr>
          <w:rFonts w:ascii="Times New Roman" w:hAnsi="Times New Roman"/>
          <w:color w:val="000000" w:themeColor="text1"/>
          <w:sz w:val="16"/>
          <w:szCs w:val="16"/>
        </w:rPr>
        <w:softHyphen/>
        <w:t>теля конструкции т. Яковлева А.С. освободить завод № 81 от производства самолетов ББ-22 и перейти на производство двухмоторного истребителя конструкции т. Яковлева А.С.;</w:t>
      </w:r>
    </w:p>
    <w:p w14:paraId="576A05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начало производства двухмоторного истребителя кон</w:t>
      </w:r>
      <w:r w:rsidRPr="00A3026E">
        <w:rPr>
          <w:rFonts w:ascii="Times New Roman" w:hAnsi="Times New Roman"/>
          <w:color w:val="000000" w:themeColor="text1"/>
          <w:sz w:val="16"/>
          <w:szCs w:val="16"/>
        </w:rPr>
        <w:softHyphen/>
        <w:t>струкции установить декабрь 1940 года.</w:t>
      </w:r>
    </w:p>
    <w:p w14:paraId="1958AC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VIII. По заводу №380.</w:t>
      </w:r>
    </w:p>
    <w:p w14:paraId="79D57D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Народного Комиссара авиационной промышленности т. ШахуринаА.И. и директора завода т. Баринова С.С. с января 1941 г. перейти на производство двухмоторного ис</w:t>
      </w:r>
      <w:r w:rsidRPr="00A3026E">
        <w:rPr>
          <w:rFonts w:ascii="Times New Roman" w:hAnsi="Times New Roman"/>
          <w:color w:val="000000" w:themeColor="text1"/>
          <w:sz w:val="16"/>
          <w:szCs w:val="16"/>
        </w:rPr>
        <w:softHyphen/>
        <w:t>требителя конструкции т. Яковлева А.С. (10745,365)</w:t>
      </w:r>
    </w:p>
    <w:p w14:paraId="0E4703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55669E0" w14:textId="77777777" w:rsidR="00EE2862" w:rsidRPr="00A3026E" w:rsidRDefault="00EE28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 вышло постановление №1854-773сс СНК СССР и ЦК ВКП(б)  «Об увеличении дально</w:t>
      </w:r>
      <w:r w:rsidRPr="00A3026E">
        <w:rPr>
          <w:rFonts w:ascii="Times New Roman" w:hAnsi="Times New Roman"/>
          <w:color w:val="000000" w:themeColor="text1"/>
          <w:sz w:val="16"/>
          <w:szCs w:val="16"/>
        </w:rPr>
        <w:softHyphen/>
        <w:t>сти истребителей и о постановке их про</w:t>
      </w:r>
      <w:r w:rsidRPr="00A3026E">
        <w:rPr>
          <w:rFonts w:ascii="Times New Roman" w:hAnsi="Times New Roman"/>
          <w:color w:val="000000" w:themeColor="text1"/>
          <w:sz w:val="16"/>
          <w:szCs w:val="16"/>
        </w:rPr>
        <w:softHyphen/>
        <w:t>изводства на заводах». В отечественной исторической литературе часто говори</w:t>
      </w:r>
      <w:r w:rsidRPr="00A3026E">
        <w:rPr>
          <w:rFonts w:ascii="Times New Roman" w:hAnsi="Times New Roman"/>
          <w:color w:val="000000" w:themeColor="text1"/>
          <w:sz w:val="16"/>
          <w:szCs w:val="16"/>
        </w:rPr>
        <w:softHyphen/>
        <w:t>лось, что инициаторами его были воен</w:t>
      </w:r>
      <w:r w:rsidRPr="00A3026E">
        <w:rPr>
          <w:rFonts w:ascii="Times New Roman" w:hAnsi="Times New Roman"/>
          <w:color w:val="000000" w:themeColor="text1"/>
          <w:sz w:val="16"/>
          <w:szCs w:val="16"/>
        </w:rPr>
        <w:softHyphen/>
        <w:t>ные. Возможно, поводом для такого мне</w:t>
      </w:r>
      <w:r w:rsidRPr="00A3026E">
        <w:rPr>
          <w:rFonts w:ascii="Times New Roman" w:hAnsi="Times New Roman"/>
          <w:color w:val="000000" w:themeColor="text1"/>
          <w:sz w:val="16"/>
          <w:szCs w:val="16"/>
        </w:rPr>
        <w:softHyphen/>
        <w:t>ния стали требования, высказанные на Техсоветах по И-301 и И-200 увеличить количество горючего. Но, как представ</w:t>
      </w:r>
      <w:r w:rsidRPr="00A3026E">
        <w:rPr>
          <w:rFonts w:ascii="Times New Roman" w:hAnsi="Times New Roman"/>
          <w:color w:val="000000" w:themeColor="text1"/>
          <w:sz w:val="16"/>
          <w:szCs w:val="16"/>
        </w:rPr>
        <w:softHyphen/>
        <w:t>ляется, эти требования были лишь реак</w:t>
      </w:r>
      <w:r w:rsidRPr="00A3026E">
        <w:rPr>
          <w:rFonts w:ascii="Times New Roman" w:hAnsi="Times New Roman"/>
          <w:color w:val="000000" w:themeColor="text1"/>
          <w:sz w:val="16"/>
          <w:szCs w:val="16"/>
        </w:rPr>
        <w:softHyphen/>
        <w:t>цией на недополучение заданной в по</w:t>
      </w:r>
      <w:r w:rsidRPr="00A3026E">
        <w:rPr>
          <w:rFonts w:ascii="Times New Roman" w:hAnsi="Times New Roman"/>
          <w:color w:val="000000" w:themeColor="text1"/>
          <w:sz w:val="16"/>
          <w:szCs w:val="16"/>
        </w:rPr>
        <w:softHyphen/>
        <w:t>становлениях КО нормальной дальности и И-301 (556 км вместо заданных 600 км), и И-200 (580 км вместо заданных 650 км), и попыткой Филина исправить это «в ра</w:t>
      </w:r>
      <w:r w:rsidRPr="00A3026E">
        <w:rPr>
          <w:rFonts w:ascii="Times New Roman" w:hAnsi="Times New Roman"/>
          <w:color w:val="000000" w:themeColor="text1"/>
          <w:sz w:val="16"/>
          <w:szCs w:val="16"/>
        </w:rPr>
        <w:softHyphen/>
        <w:t>бочем порядке».</w:t>
      </w:r>
    </w:p>
    <w:p w14:paraId="6F28AC76" w14:textId="77777777" w:rsidR="00EE2862" w:rsidRPr="00A3026E" w:rsidRDefault="00EE28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Никакой официальной постановки во</w:t>
      </w:r>
      <w:r w:rsidRPr="00A3026E">
        <w:rPr>
          <w:rFonts w:ascii="Times New Roman" w:hAnsi="Times New Roman"/>
          <w:color w:val="000000" w:themeColor="text1"/>
          <w:sz w:val="16"/>
          <w:szCs w:val="16"/>
        </w:rPr>
        <w:softHyphen/>
        <w:t>проса на уровне правительства об увели</w:t>
      </w:r>
      <w:r w:rsidRPr="00A3026E">
        <w:rPr>
          <w:rFonts w:ascii="Times New Roman" w:hAnsi="Times New Roman"/>
          <w:color w:val="000000" w:themeColor="text1"/>
          <w:sz w:val="16"/>
          <w:szCs w:val="16"/>
        </w:rPr>
        <w:softHyphen/>
        <w:t>чении дальности всех запущенных в серию истребителей (включая удовлетворивший требования по дальности И-26) со стороны ВВС в архивах обнаружить не удалось. Да и сам характер внезапного выхода этого постановления без обсуждения между ВВС и НКАП говорит о том, что инициато</w:t>
      </w:r>
      <w:r w:rsidRPr="00A3026E">
        <w:rPr>
          <w:rFonts w:ascii="Times New Roman" w:hAnsi="Times New Roman"/>
          <w:color w:val="000000" w:themeColor="text1"/>
          <w:sz w:val="16"/>
          <w:szCs w:val="16"/>
        </w:rPr>
        <w:softHyphen/>
        <w:t>ром его мог быть только один человек в стране - Сталин. И вот этой точке зрения подтверждение нашлось не в архивах, а в 18-м томе «Иосиф Виссарионович Сталин. Полное собрание сочинений». Из беседы с Г.М.Димитровым на обеде после празд</w:t>
      </w:r>
      <w:r w:rsidRPr="00A3026E">
        <w:rPr>
          <w:rFonts w:ascii="Times New Roman" w:hAnsi="Times New Roman"/>
          <w:color w:val="000000" w:themeColor="text1"/>
          <w:sz w:val="16"/>
          <w:szCs w:val="16"/>
        </w:rPr>
        <w:softHyphen/>
        <w:t xml:space="preserve">ничной демонстрации 7 ноября 1940 г.: </w:t>
      </w:r>
      <w:r w:rsidRPr="00A3026E">
        <w:rPr>
          <w:rStyle w:val="aff6"/>
          <w:rFonts w:ascii="Times New Roman" w:hAnsi="Times New Roman" w:cs="Times New Roman"/>
          <w:color w:val="000000" w:themeColor="text1"/>
        </w:rPr>
        <w:t>«...Необходимо постоянно учиться и ка</w:t>
      </w:r>
      <w:r w:rsidRPr="00A3026E">
        <w:rPr>
          <w:rStyle w:val="aff6"/>
          <w:rFonts w:ascii="Times New Roman" w:hAnsi="Times New Roman" w:cs="Times New Roman"/>
          <w:color w:val="000000" w:themeColor="text1"/>
        </w:rPr>
        <w:softHyphen/>
        <w:t>ждые 2-3 года переучиваться. Но у нас не любят учиться. Не изучают уроков войны с Финляндией, уроков войны в Европе.</w:t>
      </w:r>
    </w:p>
    <w:p w14:paraId="066D0EE6"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Мы победили японцев на Халхин-Голе. Но наши самолеты оказались ниже япон</w:t>
      </w:r>
      <w:r w:rsidRPr="00A3026E">
        <w:rPr>
          <w:rFonts w:ascii="Times New Roman" w:hAnsi="Times New Roman" w:cs="Times New Roman"/>
          <w:color w:val="000000" w:themeColor="text1"/>
        </w:rPr>
        <w:softHyphen/>
        <w:t>ских по скоростности и высотности.</w:t>
      </w:r>
    </w:p>
    <w:p w14:paraId="20E153EA"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Мы не готовы для такой войны, кото</w:t>
      </w:r>
      <w:r w:rsidRPr="00A3026E">
        <w:rPr>
          <w:rFonts w:ascii="Times New Roman" w:hAnsi="Times New Roman" w:cs="Times New Roman"/>
          <w:color w:val="000000" w:themeColor="text1"/>
        </w:rPr>
        <w:softHyphen/>
        <w:t>рая идет между Германией и Англией.</w:t>
      </w:r>
    </w:p>
    <w:p w14:paraId="7F5D00FC"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Оказалось, что наши самолеты мо</w:t>
      </w:r>
      <w:r w:rsidRPr="00A3026E">
        <w:rPr>
          <w:rFonts w:ascii="Times New Roman" w:hAnsi="Times New Roman" w:cs="Times New Roman"/>
          <w:color w:val="000000" w:themeColor="text1"/>
        </w:rPr>
        <w:softHyphen/>
        <w:t>гут задерживаться только до 35 минут в воздухе, а немецкие и английские по не</w:t>
      </w:r>
      <w:r w:rsidRPr="00A3026E">
        <w:rPr>
          <w:rFonts w:ascii="Times New Roman" w:hAnsi="Times New Roman" w:cs="Times New Roman"/>
          <w:color w:val="000000" w:themeColor="text1"/>
        </w:rPr>
        <w:softHyphen/>
        <w:t>сколько часов!</w:t>
      </w:r>
    </w:p>
    <w:p w14:paraId="2DFBC09B"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Если наши воздушные силы, транс</w:t>
      </w:r>
      <w:r w:rsidRPr="00A3026E">
        <w:rPr>
          <w:rFonts w:ascii="Times New Roman" w:hAnsi="Times New Roman" w:cs="Times New Roman"/>
          <w:color w:val="000000" w:themeColor="text1"/>
        </w:rPr>
        <w:softHyphen/>
        <w:t>порт и т.д. не будут на равной высоте наших врагов (а такие у нас все капита</w:t>
      </w:r>
      <w:r w:rsidRPr="00A3026E">
        <w:rPr>
          <w:rFonts w:ascii="Times New Roman" w:hAnsi="Times New Roman" w:cs="Times New Roman"/>
          <w:color w:val="000000" w:themeColor="text1"/>
        </w:rPr>
        <w:softHyphen/>
        <w:t>листические государства и те, которые прикрашиваются под наших друзей!), они нас съедят.</w:t>
      </w:r>
    </w:p>
    <w:p w14:paraId="2E18B3EE"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Только при равных материальных си</w:t>
      </w:r>
      <w:r w:rsidRPr="00A3026E">
        <w:rPr>
          <w:rFonts w:ascii="Times New Roman" w:hAnsi="Times New Roman" w:cs="Times New Roman"/>
          <w:color w:val="000000" w:themeColor="text1"/>
        </w:rPr>
        <w:softHyphen/>
        <w:t>лах мы можем победить, потому что опи</w:t>
      </w:r>
      <w:r w:rsidRPr="00A3026E">
        <w:rPr>
          <w:rFonts w:ascii="Times New Roman" w:hAnsi="Times New Roman" w:cs="Times New Roman"/>
          <w:color w:val="000000" w:themeColor="text1"/>
        </w:rPr>
        <w:softHyphen/>
        <w:t>раемся на народ, народ с нами.</w:t>
      </w:r>
    </w:p>
    <w:p w14:paraId="04BB7F17"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Но для этого надо учиться, надо знать, надо уметь.</w:t>
      </w:r>
    </w:p>
    <w:p w14:paraId="28074FBA"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Между тем, никто из военного ведом</w:t>
      </w:r>
      <w:r w:rsidRPr="00A3026E">
        <w:rPr>
          <w:rFonts w:ascii="Times New Roman" w:hAnsi="Times New Roman" w:cs="Times New Roman"/>
          <w:color w:val="000000" w:themeColor="text1"/>
        </w:rPr>
        <w:softHyphen/>
        <w:t>ства не сигнализировал насчет самоле</w:t>
      </w:r>
      <w:r w:rsidRPr="00A3026E">
        <w:rPr>
          <w:rFonts w:ascii="Times New Roman" w:hAnsi="Times New Roman" w:cs="Times New Roman"/>
          <w:color w:val="000000" w:themeColor="text1"/>
        </w:rPr>
        <w:softHyphen/>
        <w:t>тов. Никто из вас не думал об этом.</w:t>
      </w:r>
    </w:p>
    <w:p w14:paraId="3B8A5927"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Я вызывал наших конструкторов и спрашивал их: можно ли сделать так, чтобы и наши самолеты задерживались в воздухе дольше? Ответили: Можно, но ни</w:t>
      </w:r>
      <w:r w:rsidRPr="00A3026E">
        <w:rPr>
          <w:rFonts w:ascii="Times New Roman" w:hAnsi="Times New Roman" w:cs="Times New Roman"/>
          <w:color w:val="000000" w:themeColor="text1"/>
        </w:rPr>
        <w:softHyphen/>
        <w:t>кто нам такого задания не давал! И те</w:t>
      </w:r>
      <w:r w:rsidRPr="00A3026E">
        <w:rPr>
          <w:rFonts w:ascii="Times New Roman" w:hAnsi="Times New Roman" w:cs="Times New Roman"/>
          <w:color w:val="000000" w:themeColor="text1"/>
        </w:rPr>
        <w:softHyphen/>
        <w:t>перь этот недостаток исправляется.</w:t>
      </w:r>
    </w:p>
    <w:p w14:paraId="458B0B0E" w14:textId="77777777" w:rsidR="00EE2862" w:rsidRPr="00A3026E" w:rsidRDefault="00EE28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нас теперь пехота перестраива</w:t>
      </w:r>
      <w:r w:rsidRPr="00A3026E">
        <w:rPr>
          <w:rFonts w:ascii="Times New Roman" w:hAnsi="Times New Roman"/>
          <w:color w:val="000000" w:themeColor="text1"/>
          <w:sz w:val="16"/>
          <w:szCs w:val="16"/>
        </w:rPr>
        <w:softHyphen/>
        <w:t>ется, кавалерия была всегда хорошая, надо заняться серьезно авиацией и противово</w:t>
      </w:r>
      <w:r w:rsidRPr="00A3026E">
        <w:rPr>
          <w:rFonts w:ascii="Times New Roman" w:hAnsi="Times New Roman"/>
          <w:color w:val="000000" w:themeColor="text1"/>
          <w:sz w:val="16"/>
          <w:szCs w:val="16"/>
        </w:rPr>
        <w:softHyphen/>
        <w:t>здушной обороной.</w:t>
      </w:r>
    </w:p>
    <w:p w14:paraId="0233E26B"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С этим я сейчас каждый день занима</w:t>
      </w:r>
      <w:r w:rsidRPr="00A3026E">
        <w:rPr>
          <w:rFonts w:ascii="Times New Roman" w:hAnsi="Times New Roman" w:cs="Times New Roman"/>
          <w:color w:val="000000" w:themeColor="text1"/>
        </w:rPr>
        <w:softHyphen/>
        <w:t>юсь, принимаю конструкторов и других специалистов.</w:t>
      </w:r>
    </w:p>
    <w:p w14:paraId="1B81DD8B"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Но я один занимаюсь со всеми этими вопросами. Никто из вас об этом и не ду</w:t>
      </w:r>
      <w:r w:rsidRPr="00A3026E">
        <w:rPr>
          <w:rFonts w:ascii="Times New Roman" w:hAnsi="Times New Roman" w:cs="Times New Roman"/>
          <w:color w:val="000000" w:themeColor="text1"/>
        </w:rPr>
        <w:softHyphen/>
        <w:t>мает. Я стою один».</w:t>
      </w:r>
    </w:p>
    <w:p w14:paraId="601CD997" w14:textId="77777777" w:rsidR="00EE2862" w:rsidRPr="00A3026E" w:rsidRDefault="00EE28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Сильно сказано. На том обеде присут</w:t>
      </w:r>
      <w:r w:rsidRPr="00A3026E">
        <w:rPr>
          <w:rFonts w:ascii="Times New Roman" w:hAnsi="Times New Roman"/>
          <w:color w:val="000000" w:themeColor="text1"/>
          <w:sz w:val="16"/>
          <w:szCs w:val="16"/>
        </w:rPr>
        <w:softHyphen/>
        <w:t>ствовали Молотов, Калинин, Ворошилов, Буденный, Андреев, Каганович (видимо Л.М. -</w:t>
      </w:r>
      <w:r w:rsidRPr="00A3026E">
        <w:rPr>
          <w:rStyle w:val="aff6"/>
          <w:rFonts w:ascii="Times New Roman" w:hAnsi="Times New Roman" w:cs="Times New Roman"/>
          <w:color w:val="000000" w:themeColor="text1"/>
        </w:rPr>
        <w:t xml:space="preserve"> Прим. авт.),</w:t>
      </w:r>
      <w:r w:rsidRPr="00A3026E">
        <w:rPr>
          <w:rFonts w:ascii="Times New Roman" w:hAnsi="Times New Roman"/>
          <w:color w:val="000000" w:themeColor="text1"/>
          <w:sz w:val="16"/>
          <w:szCs w:val="16"/>
        </w:rPr>
        <w:t xml:space="preserve"> Берия, Микоян, Швер</w:t>
      </w:r>
      <w:r w:rsidRPr="00A3026E">
        <w:rPr>
          <w:rFonts w:ascii="Times New Roman" w:hAnsi="Times New Roman"/>
          <w:color w:val="000000" w:themeColor="text1"/>
          <w:sz w:val="16"/>
          <w:szCs w:val="16"/>
        </w:rPr>
        <w:softHyphen/>
        <w:t>ник, Булганин, Маленков, Щербаков, Тюле- нев,Димитров,Тимошенко. Как видим, ни</w:t>
      </w:r>
      <w:r w:rsidRPr="00A3026E">
        <w:rPr>
          <w:rFonts w:ascii="Times New Roman" w:hAnsi="Times New Roman"/>
          <w:color w:val="000000" w:themeColor="text1"/>
          <w:sz w:val="16"/>
          <w:szCs w:val="16"/>
        </w:rPr>
        <w:softHyphen/>
        <w:t>кого из авиаторов не было.</w:t>
      </w:r>
    </w:p>
    <w:p w14:paraId="4DD45A42" w14:textId="77777777" w:rsidR="00EE2862" w:rsidRPr="00A3026E" w:rsidRDefault="00EE28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Итак, наиболее вероятной причи</w:t>
      </w:r>
      <w:r w:rsidRPr="00A3026E">
        <w:rPr>
          <w:rFonts w:ascii="Times New Roman" w:hAnsi="Times New Roman"/>
          <w:color w:val="000000" w:themeColor="text1"/>
          <w:sz w:val="16"/>
          <w:szCs w:val="16"/>
        </w:rPr>
        <w:softHyphen/>
        <w:t>ной появления указанного постановле</w:t>
      </w:r>
      <w:r w:rsidRPr="00A3026E">
        <w:rPr>
          <w:rFonts w:ascii="Times New Roman" w:hAnsi="Times New Roman"/>
          <w:color w:val="000000" w:themeColor="text1"/>
          <w:sz w:val="16"/>
          <w:szCs w:val="16"/>
        </w:rPr>
        <w:softHyphen/>
        <w:t>ния стало получение Сталиным инфор</w:t>
      </w:r>
      <w:r w:rsidRPr="00A3026E">
        <w:rPr>
          <w:rFonts w:ascii="Times New Roman" w:hAnsi="Times New Roman"/>
          <w:color w:val="000000" w:themeColor="text1"/>
          <w:sz w:val="16"/>
          <w:szCs w:val="16"/>
        </w:rPr>
        <w:softHyphen/>
        <w:t>мации о разгоревшейся в августе-сентя</w:t>
      </w:r>
      <w:r w:rsidRPr="00A3026E">
        <w:rPr>
          <w:rFonts w:ascii="Times New Roman" w:hAnsi="Times New Roman"/>
          <w:color w:val="000000" w:themeColor="text1"/>
          <w:sz w:val="16"/>
          <w:szCs w:val="16"/>
        </w:rPr>
        <w:softHyphen/>
        <w:t>бре 1940 г. так называемой воздушной «битве за Англию», когда люфтваффе пытались с помощью массированных воздушных ударов подготовить почву для вторжения или, как минимум, вы</w:t>
      </w:r>
      <w:r w:rsidRPr="00A3026E">
        <w:rPr>
          <w:rFonts w:ascii="Times New Roman" w:hAnsi="Times New Roman"/>
          <w:color w:val="000000" w:themeColor="text1"/>
          <w:sz w:val="16"/>
          <w:szCs w:val="16"/>
        </w:rPr>
        <w:softHyphen/>
        <w:t>вести Англию из войны. Довольно нео</w:t>
      </w:r>
      <w:r w:rsidRPr="00A3026E">
        <w:rPr>
          <w:rFonts w:ascii="Times New Roman" w:hAnsi="Times New Roman"/>
          <w:color w:val="000000" w:themeColor="text1"/>
          <w:sz w:val="16"/>
          <w:szCs w:val="16"/>
        </w:rPr>
        <w:softHyphen/>
        <w:t>жиданным оказался тот факт, что в этой операции немцы впервые с начала Вто</w:t>
      </w:r>
      <w:r w:rsidRPr="00A3026E">
        <w:rPr>
          <w:rFonts w:ascii="Times New Roman" w:hAnsi="Times New Roman"/>
          <w:color w:val="000000" w:themeColor="text1"/>
          <w:sz w:val="16"/>
          <w:szCs w:val="16"/>
        </w:rPr>
        <w:softHyphen/>
        <w:t>рой мировой войны не смогли захватить господство в воздухе и выполнить по</w:t>
      </w:r>
      <w:r w:rsidRPr="00A3026E">
        <w:rPr>
          <w:rFonts w:ascii="Times New Roman" w:hAnsi="Times New Roman"/>
          <w:color w:val="000000" w:themeColor="text1"/>
          <w:sz w:val="16"/>
          <w:szCs w:val="16"/>
        </w:rPr>
        <w:softHyphen/>
        <w:t>ставленную задачу, англичане успешно отбились. И главной причиной стало то, что немецкие одномоторные ис</w:t>
      </w:r>
      <w:r w:rsidRPr="00A3026E">
        <w:rPr>
          <w:rFonts w:ascii="Times New Roman" w:hAnsi="Times New Roman"/>
          <w:color w:val="000000" w:themeColor="text1"/>
          <w:sz w:val="16"/>
          <w:szCs w:val="16"/>
        </w:rPr>
        <w:softHyphen/>
        <w:t>требители Ме-109Е не смогли из-за не</w:t>
      </w:r>
      <w:r w:rsidRPr="00A3026E">
        <w:rPr>
          <w:rFonts w:ascii="Times New Roman" w:hAnsi="Times New Roman"/>
          <w:color w:val="000000" w:themeColor="text1"/>
          <w:sz w:val="16"/>
          <w:szCs w:val="16"/>
        </w:rPr>
        <w:softHyphen/>
        <w:t>достаточной дальности сопровождать свои бомбардировщики вглубь англий</w:t>
      </w:r>
      <w:r w:rsidRPr="00A3026E">
        <w:rPr>
          <w:rFonts w:ascii="Times New Roman" w:hAnsi="Times New Roman"/>
          <w:color w:val="000000" w:themeColor="text1"/>
          <w:sz w:val="16"/>
          <w:szCs w:val="16"/>
        </w:rPr>
        <w:softHyphen/>
        <w:t>ской территории, а без прикрытия те не</w:t>
      </w:r>
      <w:r w:rsidRPr="00A3026E">
        <w:rPr>
          <w:rFonts w:ascii="Times New Roman" w:hAnsi="Times New Roman"/>
          <w:color w:val="000000" w:themeColor="text1"/>
          <w:sz w:val="16"/>
          <w:szCs w:val="16"/>
        </w:rPr>
        <w:softHyphen/>
        <w:t>сли большие потери. Двухмоторные же Ме-110 не могли эффективно противо</w:t>
      </w:r>
      <w:r w:rsidRPr="00A3026E">
        <w:rPr>
          <w:rFonts w:ascii="Times New Roman" w:hAnsi="Times New Roman"/>
          <w:color w:val="000000" w:themeColor="text1"/>
          <w:sz w:val="16"/>
          <w:szCs w:val="16"/>
        </w:rPr>
        <w:softHyphen/>
        <w:t>стоять английским одномоторным истре</w:t>
      </w:r>
      <w:r w:rsidRPr="00A3026E">
        <w:rPr>
          <w:rFonts w:ascii="Times New Roman" w:hAnsi="Times New Roman"/>
          <w:color w:val="000000" w:themeColor="text1"/>
          <w:sz w:val="16"/>
          <w:szCs w:val="16"/>
        </w:rPr>
        <w:softHyphen/>
        <w:t>бителям «Спитфайр» и «Харрикейн».</w:t>
      </w:r>
    </w:p>
    <w:p w14:paraId="66977F19" w14:textId="77777777" w:rsidR="00EE2862" w:rsidRPr="00A3026E" w:rsidRDefault="00EE28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сильно удивило Сталина: как из- за только одного недостаточного техниче</w:t>
      </w:r>
      <w:r w:rsidRPr="00A3026E">
        <w:rPr>
          <w:rFonts w:ascii="Times New Roman" w:hAnsi="Times New Roman"/>
          <w:color w:val="000000" w:themeColor="text1"/>
          <w:sz w:val="16"/>
          <w:szCs w:val="16"/>
        </w:rPr>
        <w:softHyphen/>
        <w:t>ского параметра (в данном случае - даль</w:t>
      </w:r>
      <w:r w:rsidRPr="00A3026E">
        <w:rPr>
          <w:rFonts w:ascii="Times New Roman" w:hAnsi="Times New Roman"/>
          <w:color w:val="000000" w:themeColor="text1"/>
          <w:sz w:val="16"/>
          <w:szCs w:val="16"/>
        </w:rPr>
        <w:softHyphen/>
        <w:t>ности) может сорваться важнейшая стра</w:t>
      </w:r>
      <w:r w:rsidRPr="00A3026E">
        <w:rPr>
          <w:rFonts w:ascii="Times New Roman" w:hAnsi="Times New Roman"/>
          <w:color w:val="000000" w:themeColor="text1"/>
          <w:sz w:val="16"/>
          <w:szCs w:val="16"/>
        </w:rPr>
        <w:softHyphen/>
        <w:t>тегическая операция? И он тут же дал за</w:t>
      </w:r>
      <w:r w:rsidRPr="00A3026E">
        <w:rPr>
          <w:rFonts w:ascii="Times New Roman" w:hAnsi="Times New Roman"/>
          <w:color w:val="000000" w:themeColor="text1"/>
          <w:sz w:val="16"/>
          <w:szCs w:val="16"/>
        </w:rPr>
        <w:softHyphen/>
        <w:t>дание исправить ситуацию с дальностью у наших новых истребителей.</w:t>
      </w:r>
    </w:p>
    <w:p w14:paraId="5CF3DC37" w14:textId="77777777" w:rsidR="00EE2862" w:rsidRPr="00A3026E" w:rsidRDefault="00EE28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Никто из ВВС и НКАП не сказал ни слова против. Напротив, руководство НКАП постаралось использовать выдви</w:t>
      </w:r>
      <w:r w:rsidRPr="00A3026E">
        <w:rPr>
          <w:rFonts w:ascii="Times New Roman" w:hAnsi="Times New Roman"/>
          <w:color w:val="000000" w:themeColor="text1"/>
          <w:sz w:val="16"/>
          <w:szCs w:val="16"/>
        </w:rPr>
        <w:softHyphen/>
        <w:t>жение нового требования в своих инте</w:t>
      </w:r>
      <w:r w:rsidRPr="00A3026E">
        <w:rPr>
          <w:rFonts w:ascii="Times New Roman" w:hAnsi="Times New Roman"/>
          <w:color w:val="000000" w:themeColor="text1"/>
          <w:sz w:val="16"/>
          <w:szCs w:val="16"/>
        </w:rPr>
        <w:softHyphen/>
        <w:t>ресах. Читаем указанное постановление №1854-773сс от 2 октября 1940 г.:</w:t>
      </w:r>
    </w:p>
    <w:p w14:paraId="125406AB"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«СНК СССР и ЦК ВКП(б) постанов</w:t>
      </w:r>
      <w:r w:rsidRPr="00A3026E">
        <w:rPr>
          <w:rFonts w:ascii="Times New Roman" w:hAnsi="Times New Roman" w:cs="Times New Roman"/>
          <w:color w:val="000000" w:themeColor="text1"/>
        </w:rPr>
        <w:softHyphen/>
        <w:t>ляют:</w:t>
      </w:r>
    </w:p>
    <w:p w14:paraId="3C909C0C" w14:textId="77777777" w:rsidR="00EE2862" w:rsidRPr="00A3026E" w:rsidRDefault="00EE2862" w:rsidP="00A3026E">
      <w:pPr>
        <w:pStyle w:val="80"/>
        <w:shd w:val="clear" w:color="auto" w:fill="auto"/>
        <w:tabs>
          <w:tab w:val="left" w:pos="482"/>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1. Установить для всех внедряемых в серийное производство и проектируемых вновь одномоторных истребительных са</w:t>
      </w:r>
      <w:r w:rsidRPr="00A3026E">
        <w:rPr>
          <w:rFonts w:ascii="Times New Roman" w:hAnsi="Times New Roman" w:cs="Times New Roman"/>
          <w:color w:val="000000" w:themeColor="text1"/>
        </w:rPr>
        <w:softHyphen/>
        <w:t>молетов дальность 1000 км на 0,9 макси</w:t>
      </w:r>
      <w:r w:rsidRPr="00A3026E">
        <w:rPr>
          <w:rFonts w:ascii="Times New Roman" w:hAnsi="Times New Roman" w:cs="Times New Roman"/>
          <w:color w:val="000000" w:themeColor="text1"/>
        </w:rPr>
        <w:softHyphen/>
        <w:t>мальной скорости. Указанная дальность должна обеспечиваться емкостью баков, расположенных внутри самолета.</w:t>
      </w:r>
    </w:p>
    <w:p w14:paraId="12BF4E9B" w14:textId="77777777" w:rsidR="00EE2862" w:rsidRPr="00A3026E" w:rsidRDefault="00EE2862" w:rsidP="00A3026E">
      <w:pPr>
        <w:pStyle w:val="80"/>
        <w:shd w:val="clear" w:color="auto" w:fill="auto"/>
        <w:tabs>
          <w:tab w:val="left" w:pos="482"/>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2. Установить для внедряемых в се</w:t>
      </w:r>
      <w:r w:rsidRPr="00A3026E">
        <w:rPr>
          <w:rFonts w:ascii="Times New Roman" w:hAnsi="Times New Roman" w:cs="Times New Roman"/>
          <w:color w:val="000000" w:themeColor="text1"/>
        </w:rPr>
        <w:softHyphen/>
        <w:t>рийное производство и проектируемых вновь двухмоторных истребителей со</w:t>
      </w:r>
      <w:r w:rsidRPr="00A3026E">
        <w:rPr>
          <w:rFonts w:ascii="Times New Roman" w:hAnsi="Times New Roman" w:cs="Times New Roman"/>
          <w:color w:val="000000" w:themeColor="text1"/>
        </w:rPr>
        <w:softHyphen/>
        <w:t>провождения дальность не менее 2000 км на 0,8 максимальной скорости. Указанная дальность должна обеспечиваться емко</w:t>
      </w:r>
      <w:r w:rsidRPr="00A3026E">
        <w:rPr>
          <w:rFonts w:ascii="Times New Roman" w:hAnsi="Times New Roman" w:cs="Times New Roman"/>
          <w:color w:val="000000" w:themeColor="text1"/>
        </w:rPr>
        <w:softHyphen/>
        <w:t>стью баков, расположенных внутри са</w:t>
      </w:r>
      <w:r w:rsidRPr="00A3026E">
        <w:rPr>
          <w:rFonts w:ascii="Times New Roman" w:hAnsi="Times New Roman" w:cs="Times New Roman"/>
          <w:color w:val="000000" w:themeColor="text1"/>
        </w:rPr>
        <w:softHyphen/>
        <w:t>молета.</w:t>
      </w:r>
    </w:p>
    <w:p w14:paraId="50374668"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3. Обязать НКАП внести необходимые изменения во все проектируемые и вне</w:t>
      </w:r>
      <w:r w:rsidRPr="00A3026E">
        <w:rPr>
          <w:rFonts w:ascii="Times New Roman" w:hAnsi="Times New Roman" w:cs="Times New Roman"/>
          <w:color w:val="000000" w:themeColor="text1"/>
        </w:rPr>
        <w:softHyphen/>
        <w:t>дряемые в серийное производство опыт</w:t>
      </w:r>
      <w:r w:rsidRPr="00A3026E">
        <w:rPr>
          <w:rFonts w:ascii="Times New Roman" w:hAnsi="Times New Roman" w:cs="Times New Roman"/>
          <w:color w:val="000000" w:themeColor="text1"/>
        </w:rPr>
        <w:softHyphen/>
        <w:t>ные самолеты.</w:t>
      </w:r>
    </w:p>
    <w:p w14:paraId="7394E32A" w14:textId="77777777" w:rsidR="00EE2862" w:rsidRPr="00A3026E" w:rsidRDefault="00EE2862" w:rsidP="00A3026E">
      <w:pPr>
        <w:pStyle w:val="140"/>
        <w:shd w:val="clear" w:color="auto" w:fill="auto"/>
        <w:tabs>
          <w:tab w:val="left" w:pos="670"/>
        </w:tabs>
        <w:autoSpaceDE/>
        <w:autoSpaceDN/>
        <w:adjustRightInd/>
        <w:spacing w:after="0" w:line="240" w:lineRule="auto"/>
        <w:rPr>
          <w:rFonts w:ascii="Times New Roman" w:hAnsi="Times New Roman" w:cs="Times New Roman"/>
          <w:color w:val="000000" w:themeColor="text1"/>
          <w:sz w:val="16"/>
          <w:szCs w:val="16"/>
        </w:rPr>
      </w:pPr>
      <w:bookmarkStart w:id="4" w:name="bookmark5"/>
      <w:r w:rsidRPr="00A3026E">
        <w:rPr>
          <w:rFonts w:ascii="Times New Roman" w:hAnsi="Times New Roman" w:cs="Times New Roman"/>
          <w:color w:val="000000" w:themeColor="text1"/>
          <w:sz w:val="16"/>
          <w:szCs w:val="16"/>
        </w:rPr>
        <w:t>По заводу №1:</w:t>
      </w:r>
      <w:bookmarkEnd w:id="4"/>
    </w:p>
    <w:p w14:paraId="31DBA4DD"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Обязать Народного Комиссара Авиаци</w:t>
      </w:r>
      <w:r w:rsidRPr="00A3026E">
        <w:rPr>
          <w:rFonts w:ascii="Times New Roman" w:hAnsi="Times New Roman" w:cs="Times New Roman"/>
          <w:color w:val="000000" w:themeColor="text1"/>
        </w:rPr>
        <w:softHyphen/>
        <w:t>онной Промышленности т. Шахурина А.И., директора завода №1 т.Дементьева П.В. и главного конструктора т. Микояна А.И.:</w:t>
      </w:r>
    </w:p>
    <w:p w14:paraId="52508D9F" w14:textId="77777777" w:rsidR="00EE2862" w:rsidRPr="00A3026E" w:rsidRDefault="00EE2862" w:rsidP="00A3026E">
      <w:pPr>
        <w:pStyle w:val="80"/>
        <w:shd w:val="clear" w:color="auto" w:fill="auto"/>
        <w:tabs>
          <w:tab w:val="left" w:pos="486"/>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а) с 15.XI1-40 г. выпускать самолеты И-200 улучшенные (дальность полета 1000 км на 0,9 макс.скорости).</w:t>
      </w:r>
    </w:p>
    <w:p w14:paraId="7755F6B5" w14:textId="77777777" w:rsidR="00EE2862" w:rsidRPr="00A3026E" w:rsidRDefault="00EE2862" w:rsidP="00A3026E">
      <w:pPr>
        <w:pStyle w:val="80"/>
        <w:shd w:val="clear" w:color="auto" w:fill="auto"/>
        <w:tabs>
          <w:tab w:val="left" w:pos="486"/>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б) после окончания госиспытаний двухмоторного истребителя ДИС-200 Ми</w:t>
      </w:r>
      <w:r w:rsidRPr="00A3026E">
        <w:rPr>
          <w:rFonts w:ascii="Times New Roman" w:hAnsi="Times New Roman" w:cs="Times New Roman"/>
          <w:color w:val="000000" w:themeColor="text1"/>
        </w:rPr>
        <w:softHyphen/>
        <w:t>кояна и Гуревича прекратить на заводе №1 производство И-200 и перейти на производство двухмоторного истреби</w:t>
      </w:r>
      <w:r w:rsidRPr="00A3026E">
        <w:rPr>
          <w:rFonts w:ascii="Times New Roman" w:hAnsi="Times New Roman" w:cs="Times New Roman"/>
          <w:color w:val="000000" w:themeColor="text1"/>
        </w:rPr>
        <w:softHyphen/>
        <w:t>теля ДИС-200, при этом переходный пе</w:t>
      </w:r>
      <w:r w:rsidRPr="00A3026E">
        <w:rPr>
          <w:rFonts w:ascii="Times New Roman" w:hAnsi="Times New Roman" w:cs="Times New Roman"/>
          <w:color w:val="000000" w:themeColor="text1"/>
        </w:rPr>
        <w:softHyphen/>
        <w:t>риод - 2 месяца;</w:t>
      </w:r>
    </w:p>
    <w:p w14:paraId="37E677D0" w14:textId="77777777" w:rsidR="00EE2862" w:rsidRPr="00A3026E" w:rsidRDefault="00EE2862" w:rsidP="00A3026E">
      <w:pPr>
        <w:pStyle w:val="80"/>
        <w:shd w:val="clear" w:color="auto" w:fill="auto"/>
        <w:tabs>
          <w:tab w:val="left" w:pos="481"/>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в) сократить программу выпуска са</w:t>
      </w:r>
      <w:r w:rsidRPr="00A3026E">
        <w:rPr>
          <w:rFonts w:ascii="Times New Roman" w:hAnsi="Times New Roman" w:cs="Times New Roman"/>
          <w:color w:val="000000" w:themeColor="text1"/>
        </w:rPr>
        <w:softHyphen/>
        <w:t>молетов ВБ-22 на заводе №1 в 1940 г. на 30 ед.</w:t>
      </w:r>
    </w:p>
    <w:p w14:paraId="1F8F3C5C" w14:textId="77777777" w:rsidR="00EE2862" w:rsidRPr="00A3026E" w:rsidRDefault="00EE2862" w:rsidP="00A3026E">
      <w:pPr>
        <w:pStyle w:val="140"/>
        <w:shd w:val="clear" w:color="auto" w:fill="auto"/>
        <w:tabs>
          <w:tab w:val="left" w:pos="483"/>
        </w:tabs>
        <w:autoSpaceDE/>
        <w:autoSpaceDN/>
        <w:adjustRightInd/>
        <w:spacing w:after="0" w:line="240" w:lineRule="auto"/>
        <w:rPr>
          <w:rFonts w:ascii="Times New Roman" w:hAnsi="Times New Roman" w:cs="Times New Roman"/>
          <w:color w:val="000000" w:themeColor="text1"/>
          <w:sz w:val="16"/>
          <w:szCs w:val="16"/>
        </w:rPr>
      </w:pPr>
      <w:bookmarkStart w:id="5" w:name="bookmark6"/>
      <w:r w:rsidRPr="00A3026E">
        <w:rPr>
          <w:rFonts w:ascii="Times New Roman" w:hAnsi="Times New Roman" w:cs="Times New Roman"/>
          <w:color w:val="000000" w:themeColor="text1"/>
          <w:sz w:val="16"/>
          <w:szCs w:val="16"/>
        </w:rPr>
        <w:t>По заводу №21:</w:t>
      </w:r>
      <w:bookmarkEnd w:id="5"/>
    </w:p>
    <w:p w14:paraId="550B4813"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Обязать Народного Комиссара Авиаци</w:t>
      </w:r>
      <w:r w:rsidRPr="00A3026E">
        <w:rPr>
          <w:rFonts w:ascii="Times New Roman" w:hAnsi="Times New Roman" w:cs="Times New Roman"/>
          <w:color w:val="000000" w:themeColor="text1"/>
        </w:rPr>
        <w:softHyphen/>
        <w:t>онной Промышленности т. Шахурина А.И. и директора завода №21 т. Воронина В.П.:</w:t>
      </w:r>
    </w:p>
    <w:p w14:paraId="2CD8D2A7" w14:textId="77777777" w:rsidR="00EE2862" w:rsidRPr="00A3026E" w:rsidRDefault="00EE2862" w:rsidP="00A3026E">
      <w:pPr>
        <w:pStyle w:val="80"/>
        <w:shd w:val="clear" w:color="auto" w:fill="auto"/>
        <w:tabs>
          <w:tab w:val="left" w:pos="486"/>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а) производство самолета И-200 улуч</w:t>
      </w:r>
      <w:r w:rsidRPr="00A3026E">
        <w:rPr>
          <w:rFonts w:ascii="Times New Roman" w:hAnsi="Times New Roman" w:cs="Times New Roman"/>
          <w:color w:val="000000" w:themeColor="text1"/>
        </w:rPr>
        <w:softHyphen/>
        <w:t>шенного поставить на заводе №21 с де</w:t>
      </w:r>
      <w:r w:rsidRPr="00A3026E">
        <w:rPr>
          <w:rFonts w:ascii="Times New Roman" w:hAnsi="Times New Roman" w:cs="Times New Roman"/>
          <w:color w:val="000000" w:themeColor="text1"/>
        </w:rPr>
        <w:softHyphen/>
        <w:t>кабря 1940 г., а производство самолета И-16 прогрессивно сокращать.</w:t>
      </w:r>
    </w:p>
    <w:p w14:paraId="15160AAA" w14:textId="77777777" w:rsidR="00EE2862" w:rsidRPr="00A3026E" w:rsidRDefault="00EE2862" w:rsidP="00A3026E">
      <w:pPr>
        <w:pStyle w:val="80"/>
        <w:shd w:val="clear" w:color="auto" w:fill="auto"/>
        <w:tabs>
          <w:tab w:val="left" w:pos="495"/>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б) производство самолетов И-180 на заводе №21 прекратить.</w:t>
      </w:r>
    </w:p>
    <w:p w14:paraId="09A3E5DE" w14:textId="77777777" w:rsidR="00EE2862" w:rsidRPr="00A3026E" w:rsidRDefault="00EE2862" w:rsidP="00A3026E">
      <w:pPr>
        <w:pStyle w:val="140"/>
        <w:shd w:val="clear" w:color="auto" w:fill="auto"/>
        <w:tabs>
          <w:tab w:val="left" w:pos="531"/>
        </w:tabs>
        <w:autoSpaceDE/>
        <w:autoSpaceDN/>
        <w:adjustRightInd/>
        <w:spacing w:after="0" w:line="240" w:lineRule="auto"/>
        <w:rPr>
          <w:rFonts w:ascii="Times New Roman" w:hAnsi="Times New Roman" w:cs="Times New Roman"/>
          <w:color w:val="000000" w:themeColor="text1"/>
          <w:sz w:val="16"/>
          <w:szCs w:val="16"/>
        </w:rPr>
      </w:pPr>
      <w:bookmarkStart w:id="6" w:name="bookmark7"/>
      <w:r w:rsidRPr="00A3026E">
        <w:rPr>
          <w:rFonts w:ascii="Times New Roman" w:hAnsi="Times New Roman" w:cs="Times New Roman"/>
          <w:color w:val="000000" w:themeColor="text1"/>
          <w:sz w:val="16"/>
          <w:szCs w:val="16"/>
        </w:rPr>
        <w:t>По заводу №301:</w:t>
      </w:r>
      <w:bookmarkEnd w:id="6"/>
    </w:p>
    <w:p w14:paraId="6FB61B69"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Обязать Народного Комиссара Авиаци</w:t>
      </w:r>
      <w:r w:rsidRPr="00A3026E">
        <w:rPr>
          <w:rFonts w:ascii="Times New Roman" w:hAnsi="Times New Roman" w:cs="Times New Roman"/>
          <w:color w:val="000000" w:themeColor="text1"/>
        </w:rPr>
        <w:softHyphen/>
        <w:t>онной Промышленности т. Шахурина А.И., главного конструктора т. Яковлева А.С. и директора завода т. Эскина Ю.Б.:</w:t>
      </w:r>
    </w:p>
    <w:p w14:paraId="384679F7" w14:textId="77777777" w:rsidR="00EE2862" w:rsidRPr="00A3026E" w:rsidRDefault="00EE2862" w:rsidP="00A3026E">
      <w:pPr>
        <w:pStyle w:val="80"/>
        <w:shd w:val="clear" w:color="auto" w:fill="auto"/>
        <w:tabs>
          <w:tab w:val="left" w:pos="486"/>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а) с 15.Х1-1940 г. по 1/</w:t>
      </w:r>
      <w:r w:rsidRPr="00A3026E">
        <w:rPr>
          <w:rFonts w:ascii="Times New Roman" w:hAnsi="Times New Roman" w:cs="Times New Roman"/>
          <w:color w:val="000000" w:themeColor="text1"/>
          <w:lang w:val="en-US"/>
        </w:rPr>
        <w:t>VI</w:t>
      </w:r>
      <w:r w:rsidRPr="00A3026E">
        <w:rPr>
          <w:rFonts w:ascii="Times New Roman" w:hAnsi="Times New Roman" w:cs="Times New Roman"/>
          <w:color w:val="000000" w:themeColor="text1"/>
        </w:rPr>
        <w:t>-1941 г. произ</w:t>
      </w:r>
      <w:r w:rsidRPr="00A3026E">
        <w:rPr>
          <w:rFonts w:ascii="Times New Roman" w:hAnsi="Times New Roman" w:cs="Times New Roman"/>
          <w:color w:val="000000" w:themeColor="text1"/>
        </w:rPr>
        <w:softHyphen/>
        <w:t>водить самолеты УТИ-26 в количестве не менее 400 машин;</w:t>
      </w:r>
    </w:p>
    <w:p w14:paraId="02C1C516" w14:textId="77777777" w:rsidR="00EE2862" w:rsidRPr="00A3026E" w:rsidRDefault="00EE2862" w:rsidP="00A3026E">
      <w:pPr>
        <w:pStyle w:val="80"/>
        <w:shd w:val="clear" w:color="auto" w:fill="auto"/>
        <w:tabs>
          <w:tab w:val="left" w:pos="490"/>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б) с 1/</w:t>
      </w:r>
      <w:r w:rsidRPr="00A3026E">
        <w:rPr>
          <w:rFonts w:ascii="Times New Roman" w:hAnsi="Times New Roman" w:cs="Times New Roman"/>
          <w:color w:val="000000" w:themeColor="text1"/>
          <w:lang w:val="en-US"/>
        </w:rPr>
        <w:t>VI</w:t>
      </w:r>
      <w:r w:rsidRPr="00A3026E">
        <w:rPr>
          <w:rFonts w:ascii="Times New Roman" w:hAnsi="Times New Roman" w:cs="Times New Roman"/>
          <w:color w:val="000000" w:themeColor="text1"/>
        </w:rPr>
        <w:t>-41 г. перейти на производ</w:t>
      </w:r>
      <w:r w:rsidRPr="00A3026E">
        <w:rPr>
          <w:rFonts w:ascii="Times New Roman" w:hAnsi="Times New Roman" w:cs="Times New Roman"/>
          <w:color w:val="000000" w:themeColor="text1"/>
        </w:rPr>
        <w:softHyphen/>
        <w:t>ство самолета И-26 улучшенного (даль</w:t>
      </w:r>
      <w:r w:rsidRPr="00A3026E">
        <w:rPr>
          <w:rFonts w:ascii="Times New Roman" w:hAnsi="Times New Roman" w:cs="Times New Roman"/>
          <w:color w:val="000000" w:themeColor="text1"/>
        </w:rPr>
        <w:softHyphen/>
        <w:t>ность полета 1100 км при 0,9 максималь</w:t>
      </w:r>
      <w:r w:rsidRPr="00A3026E">
        <w:rPr>
          <w:rFonts w:ascii="Times New Roman" w:hAnsi="Times New Roman" w:cs="Times New Roman"/>
          <w:color w:val="000000" w:themeColor="text1"/>
        </w:rPr>
        <w:softHyphen/>
        <w:t>ной скорости, с разъемным крылом).</w:t>
      </w:r>
    </w:p>
    <w:p w14:paraId="5EB293FD" w14:textId="77777777" w:rsidR="00EE2862" w:rsidRPr="00A3026E" w:rsidRDefault="00EE2862" w:rsidP="00A3026E">
      <w:pPr>
        <w:pStyle w:val="140"/>
        <w:shd w:val="clear" w:color="auto" w:fill="auto"/>
        <w:tabs>
          <w:tab w:val="left" w:pos="517"/>
        </w:tabs>
        <w:autoSpaceDE/>
        <w:autoSpaceDN/>
        <w:adjustRightInd/>
        <w:spacing w:after="0" w:line="240" w:lineRule="auto"/>
        <w:rPr>
          <w:rFonts w:ascii="Times New Roman" w:hAnsi="Times New Roman" w:cs="Times New Roman"/>
          <w:color w:val="000000" w:themeColor="text1"/>
          <w:sz w:val="16"/>
          <w:szCs w:val="16"/>
        </w:rPr>
      </w:pPr>
      <w:bookmarkStart w:id="7" w:name="bookmark8"/>
      <w:r w:rsidRPr="00A3026E">
        <w:rPr>
          <w:rFonts w:ascii="Times New Roman" w:hAnsi="Times New Roman" w:cs="Times New Roman"/>
          <w:color w:val="000000" w:themeColor="text1"/>
          <w:sz w:val="16"/>
          <w:szCs w:val="16"/>
        </w:rPr>
        <w:t>По заводу №292:</w:t>
      </w:r>
      <w:bookmarkEnd w:id="7"/>
    </w:p>
    <w:p w14:paraId="03E43732"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Обязать Народного Комиссара Авиаци</w:t>
      </w:r>
      <w:r w:rsidRPr="00A3026E">
        <w:rPr>
          <w:rFonts w:ascii="Times New Roman" w:hAnsi="Times New Roman" w:cs="Times New Roman"/>
          <w:color w:val="000000" w:themeColor="text1"/>
        </w:rPr>
        <w:softHyphen/>
        <w:t>онной Промышленности т. Шахурина А.И. и директора завода т.Левина И.С. с ян</w:t>
      </w:r>
      <w:r w:rsidRPr="00A3026E">
        <w:rPr>
          <w:rFonts w:ascii="Times New Roman" w:hAnsi="Times New Roman" w:cs="Times New Roman"/>
          <w:color w:val="000000" w:themeColor="text1"/>
        </w:rPr>
        <w:softHyphen/>
        <w:t>варя 1941 г. перейти на производство ис</w:t>
      </w:r>
      <w:r w:rsidRPr="00A3026E">
        <w:rPr>
          <w:rFonts w:ascii="Times New Roman" w:hAnsi="Times New Roman" w:cs="Times New Roman"/>
          <w:color w:val="000000" w:themeColor="text1"/>
        </w:rPr>
        <w:softHyphen/>
        <w:t>требителя И-26 улучшенного (дальность полета 1100 км при 0,9 максимальной ско</w:t>
      </w:r>
      <w:r w:rsidRPr="00A3026E">
        <w:rPr>
          <w:rFonts w:ascii="Times New Roman" w:hAnsi="Times New Roman" w:cs="Times New Roman"/>
          <w:color w:val="000000" w:themeColor="text1"/>
        </w:rPr>
        <w:softHyphen/>
        <w:t>рости, с разъемным крылом), ликвидиро</w:t>
      </w:r>
      <w:r w:rsidRPr="00A3026E">
        <w:rPr>
          <w:rFonts w:ascii="Times New Roman" w:hAnsi="Times New Roman" w:cs="Times New Roman"/>
          <w:color w:val="000000" w:themeColor="text1"/>
        </w:rPr>
        <w:softHyphen/>
        <w:t>вав производство самолетов И-26 старой конструкции.</w:t>
      </w:r>
    </w:p>
    <w:p w14:paraId="65261AF4" w14:textId="77777777" w:rsidR="00EE2862" w:rsidRPr="00A3026E" w:rsidRDefault="00EE2862" w:rsidP="00A3026E">
      <w:pPr>
        <w:pStyle w:val="140"/>
        <w:shd w:val="clear" w:color="auto" w:fill="auto"/>
        <w:tabs>
          <w:tab w:val="left" w:pos="464"/>
        </w:tabs>
        <w:autoSpaceDE/>
        <w:autoSpaceDN/>
        <w:adjustRightInd/>
        <w:spacing w:after="0" w:line="240" w:lineRule="auto"/>
        <w:rPr>
          <w:rFonts w:ascii="Times New Roman" w:hAnsi="Times New Roman" w:cs="Times New Roman"/>
          <w:color w:val="000000" w:themeColor="text1"/>
          <w:sz w:val="16"/>
          <w:szCs w:val="16"/>
        </w:rPr>
      </w:pPr>
      <w:bookmarkStart w:id="8" w:name="bookmark9"/>
      <w:r w:rsidRPr="00A3026E">
        <w:rPr>
          <w:rFonts w:ascii="Times New Roman" w:hAnsi="Times New Roman" w:cs="Times New Roman"/>
          <w:color w:val="000000" w:themeColor="text1"/>
          <w:sz w:val="16"/>
          <w:szCs w:val="16"/>
        </w:rPr>
        <w:t>По заводу №23:</w:t>
      </w:r>
      <w:bookmarkEnd w:id="8"/>
    </w:p>
    <w:p w14:paraId="01E4FFC6"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Обязать Народного Комиссара Авиаци</w:t>
      </w:r>
      <w:r w:rsidRPr="00A3026E">
        <w:rPr>
          <w:rFonts w:ascii="Times New Roman" w:hAnsi="Times New Roman" w:cs="Times New Roman"/>
          <w:color w:val="000000" w:themeColor="text1"/>
        </w:rPr>
        <w:softHyphen/>
        <w:t>онной Промышленности т. Шахурина А.И. и директора завода №23 т. Фролова П.В.:</w:t>
      </w:r>
    </w:p>
    <w:p w14:paraId="49350F71"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а) во изменение постановления ЦК ВКП/б/и Совнаркома СССР №1369-534сс от 26.</w:t>
      </w:r>
      <w:r w:rsidRPr="00A3026E">
        <w:rPr>
          <w:rFonts w:ascii="Times New Roman" w:hAnsi="Times New Roman" w:cs="Times New Roman"/>
          <w:color w:val="000000" w:themeColor="text1"/>
          <w:lang w:val="en-US"/>
        </w:rPr>
        <w:t>VII</w:t>
      </w:r>
      <w:r w:rsidRPr="00A3026E">
        <w:rPr>
          <w:rFonts w:ascii="Times New Roman" w:hAnsi="Times New Roman" w:cs="Times New Roman"/>
          <w:color w:val="000000" w:themeColor="text1"/>
        </w:rPr>
        <w:t>.40 г. заводу №23 ограничить вы</w:t>
      </w:r>
      <w:r w:rsidRPr="00A3026E">
        <w:rPr>
          <w:rFonts w:ascii="Times New Roman" w:hAnsi="Times New Roman" w:cs="Times New Roman"/>
          <w:color w:val="000000" w:themeColor="text1"/>
        </w:rPr>
        <w:softHyphen/>
        <w:t>пуск самолетов И-301 5 машинами к 1 ян</w:t>
      </w:r>
      <w:r w:rsidRPr="00A3026E">
        <w:rPr>
          <w:rFonts w:ascii="Times New Roman" w:hAnsi="Times New Roman" w:cs="Times New Roman"/>
          <w:color w:val="000000" w:themeColor="text1"/>
        </w:rPr>
        <w:softHyphen/>
        <w:t>варя 1941 г. для проверки этого самолета на войсковых испытаниях;</w:t>
      </w:r>
    </w:p>
    <w:p w14:paraId="139E4AF5"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6) перейти с января 1941 г. на произ</w:t>
      </w:r>
      <w:r w:rsidRPr="00A3026E">
        <w:rPr>
          <w:rFonts w:ascii="Times New Roman" w:hAnsi="Times New Roman" w:cs="Times New Roman"/>
          <w:color w:val="000000" w:themeColor="text1"/>
        </w:rPr>
        <w:softHyphen/>
        <w:t>водство самолетов И-26 улучшенных.</w:t>
      </w:r>
    </w:p>
    <w:p w14:paraId="3AAE4882" w14:textId="77777777" w:rsidR="00EE2862" w:rsidRPr="00A3026E" w:rsidRDefault="00EE2862" w:rsidP="00A3026E">
      <w:pPr>
        <w:pStyle w:val="140"/>
        <w:shd w:val="clear" w:color="auto" w:fill="auto"/>
        <w:tabs>
          <w:tab w:val="left" w:pos="752"/>
        </w:tabs>
        <w:autoSpaceDE/>
        <w:autoSpaceDN/>
        <w:adjustRightInd/>
        <w:spacing w:after="0" w:line="240" w:lineRule="auto"/>
        <w:rPr>
          <w:rFonts w:ascii="Times New Roman" w:hAnsi="Times New Roman" w:cs="Times New Roman"/>
          <w:color w:val="000000" w:themeColor="text1"/>
          <w:sz w:val="16"/>
          <w:szCs w:val="16"/>
        </w:rPr>
      </w:pPr>
      <w:bookmarkStart w:id="9" w:name="bookmark10"/>
      <w:r w:rsidRPr="00A3026E">
        <w:rPr>
          <w:rFonts w:ascii="Times New Roman" w:hAnsi="Times New Roman" w:cs="Times New Roman"/>
          <w:color w:val="000000" w:themeColor="text1"/>
          <w:sz w:val="16"/>
          <w:szCs w:val="16"/>
        </w:rPr>
        <w:t>П</w:t>
      </w:r>
      <w:r w:rsidRPr="00A3026E">
        <w:rPr>
          <w:rFonts w:ascii="Times New Roman" w:hAnsi="Times New Roman" w:cs="Times New Roman"/>
          <w:color w:val="000000" w:themeColor="text1"/>
          <w:sz w:val="16"/>
          <w:szCs w:val="16"/>
          <w:lang w:val="en-US"/>
        </w:rPr>
        <w:t>o</w:t>
      </w:r>
      <w:r w:rsidRPr="00A3026E">
        <w:rPr>
          <w:rFonts w:ascii="Times New Roman" w:hAnsi="Times New Roman" w:cs="Times New Roman"/>
          <w:color w:val="000000" w:themeColor="text1"/>
          <w:sz w:val="16"/>
          <w:szCs w:val="16"/>
        </w:rPr>
        <w:t xml:space="preserve"> заводу №153:</w:t>
      </w:r>
      <w:bookmarkEnd w:id="9"/>
    </w:p>
    <w:p w14:paraId="4B208336"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Обязать Народного Комиссара Авиаци</w:t>
      </w:r>
      <w:r w:rsidRPr="00A3026E">
        <w:rPr>
          <w:rFonts w:ascii="Times New Roman" w:hAnsi="Times New Roman" w:cs="Times New Roman"/>
          <w:color w:val="000000" w:themeColor="text1"/>
        </w:rPr>
        <w:softHyphen/>
        <w:t>онной Промышленности т. Шахурина А.И. и директора завода т. Маланьина М.И. пе</w:t>
      </w:r>
      <w:r w:rsidRPr="00A3026E">
        <w:rPr>
          <w:rFonts w:ascii="Times New Roman" w:hAnsi="Times New Roman" w:cs="Times New Roman"/>
          <w:color w:val="000000" w:themeColor="text1"/>
        </w:rPr>
        <w:softHyphen/>
        <w:t>рейти с января 1941 г. на производство истребителей И-26 улучшенных, ликвиди</w:t>
      </w:r>
      <w:r w:rsidRPr="00A3026E">
        <w:rPr>
          <w:rFonts w:ascii="Times New Roman" w:hAnsi="Times New Roman" w:cs="Times New Roman"/>
          <w:color w:val="000000" w:themeColor="text1"/>
        </w:rPr>
        <w:softHyphen/>
        <w:t>ровав производство самолетов И-16 пу</w:t>
      </w:r>
      <w:r w:rsidRPr="00A3026E">
        <w:rPr>
          <w:rFonts w:ascii="Times New Roman" w:hAnsi="Times New Roman" w:cs="Times New Roman"/>
          <w:color w:val="000000" w:themeColor="text1"/>
        </w:rPr>
        <w:softHyphen/>
        <w:t>тем постепенного сокращения.</w:t>
      </w:r>
    </w:p>
    <w:p w14:paraId="39567C3E" w14:textId="77777777" w:rsidR="00EE2862" w:rsidRPr="00A3026E" w:rsidRDefault="00EE2862" w:rsidP="00A3026E">
      <w:pPr>
        <w:pStyle w:val="140"/>
        <w:shd w:val="clear" w:color="auto" w:fill="auto"/>
        <w:tabs>
          <w:tab w:val="left" w:pos="570"/>
        </w:tabs>
        <w:autoSpaceDE/>
        <w:autoSpaceDN/>
        <w:adjustRightInd/>
        <w:spacing w:after="0" w:line="240" w:lineRule="auto"/>
        <w:rPr>
          <w:rFonts w:ascii="Times New Roman" w:hAnsi="Times New Roman" w:cs="Times New Roman"/>
          <w:color w:val="000000" w:themeColor="text1"/>
          <w:sz w:val="16"/>
          <w:szCs w:val="16"/>
        </w:rPr>
      </w:pPr>
      <w:bookmarkStart w:id="10" w:name="bookmark11"/>
      <w:r w:rsidRPr="00A3026E">
        <w:rPr>
          <w:rFonts w:ascii="Times New Roman" w:hAnsi="Times New Roman" w:cs="Times New Roman"/>
          <w:color w:val="000000" w:themeColor="text1"/>
          <w:sz w:val="16"/>
          <w:szCs w:val="16"/>
        </w:rPr>
        <w:t>По заводу №81:</w:t>
      </w:r>
      <w:bookmarkEnd w:id="10"/>
    </w:p>
    <w:p w14:paraId="45E93741"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Обязать Народного Комиссара Авиаци</w:t>
      </w:r>
      <w:r w:rsidRPr="00A3026E">
        <w:rPr>
          <w:rFonts w:ascii="Times New Roman" w:hAnsi="Times New Roman" w:cs="Times New Roman"/>
          <w:color w:val="000000" w:themeColor="text1"/>
        </w:rPr>
        <w:softHyphen/>
        <w:t>онной Промышленности т. Шахурина А.И., главного конструктора т. Яковлева А.С. и директора завода т. Климовицкого Н.В.:</w:t>
      </w:r>
    </w:p>
    <w:p w14:paraId="1EF9A590" w14:textId="77777777" w:rsidR="00EE2862" w:rsidRPr="00A3026E" w:rsidRDefault="00EE2862" w:rsidP="00A3026E">
      <w:pPr>
        <w:pStyle w:val="80"/>
        <w:shd w:val="clear" w:color="auto" w:fill="auto"/>
        <w:tabs>
          <w:tab w:val="left" w:pos="510"/>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а) по окончании госиспытаний двух</w:t>
      </w:r>
      <w:r w:rsidRPr="00A3026E">
        <w:rPr>
          <w:rFonts w:ascii="Times New Roman" w:hAnsi="Times New Roman" w:cs="Times New Roman"/>
          <w:color w:val="000000" w:themeColor="text1"/>
        </w:rPr>
        <w:softHyphen/>
        <w:t>моторного истребителя конструкции т. Яковлева А.С. освободить завод от про</w:t>
      </w:r>
      <w:r w:rsidRPr="00A3026E">
        <w:rPr>
          <w:rFonts w:ascii="Times New Roman" w:hAnsi="Times New Roman" w:cs="Times New Roman"/>
          <w:color w:val="000000" w:themeColor="text1"/>
        </w:rPr>
        <w:softHyphen/>
        <w:t>изводства ББ-22 и перейти на производ</w:t>
      </w:r>
      <w:r w:rsidRPr="00A3026E">
        <w:rPr>
          <w:rFonts w:ascii="Times New Roman" w:hAnsi="Times New Roman" w:cs="Times New Roman"/>
          <w:color w:val="000000" w:themeColor="text1"/>
        </w:rPr>
        <w:softHyphen/>
        <w:t>ство двухмоторного истребителя кон</w:t>
      </w:r>
      <w:r w:rsidRPr="00A3026E">
        <w:rPr>
          <w:rFonts w:ascii="Times New Roman" w:hAnsi="Times New Roman" w:cs="Times New Roman"/>
          <w:color w:val="000000" w:themeColor="text1"/>
        </w:rPr>
        <w:softHyphen/>
        <w:t>струкции т. Яковлева А.С.</w:t>
      </w:r>
    </w:p>
    <w:p w14:paraId="6A513CD5" w14:textId="77777777" w:rsidR="00EE2862" w:rsidRPr="00A3026E" w:rsidRDefault="00EE2862" w:rsidP="00A3026E">
      <w:pPr>
        <w:pStyle w:val="80"/>
        <w:shd w:val="clear" w:color="auto" w:fill="auto"/>
        <w:tabs>
          <w:tab w:val="left" w:pos="501"/>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б) начало производства двухмотор</w:t>
      </w:r>
      <w:r w:rsidRPr="00A3026E">
        <w:rPr>
          <w:rFonts w:ascii="Times New Roman" w:hAnsi="Times New Roman" w:cs="Times New Roman"/>
          <w:color w:val="000000" w:themeColor="text1"/>
        </w:rPr>
        <w:softHyphen/>
        <w:t>ного истребителя установить декабрь 1940 года.</w:t>
      </w:r>
    </w:p>
    <w:p w14:paraId="4997A812" w14:textId="77777777" w:rsidR="00EE2862" w:rsidRPr="00A3026E" w:rsidRDefault="00EE2862" w:rsidP="00A3026E">
      <w:pPr>
        <w:pStyle w:val="140"/>
        <w:shd w:val="clear" w:color="auto" w:fill="auto"/>
        <w:tabs>
          <w:tab w:val="left" w:pos="618"/>
        </w:tabs>
        <w:autoSpaceDE/>
        <w:autoSpaceDN/>
        <w:adjustRightInd/>
        <w:spacing w:after="0" w:line="240" w:lineRule="auto"/>
        <w:rPr>
          <w:rFonts w:ascii="Times New Roman" w:hAnsi="Times New Roman" w:cs="Times New Roman"/>
          <w:color w:val="000000" w:themeColor="text1"/>
          <w:sz w:val="16"/>
          <w:szCs w:val="16"/>
        </w:rPr>
      </w:pPr>
      <w:bookmarkStart w:id="11" w:name="bookmark12"/>
      <w:r w:rsidRPr="00A3026E">
        <w:rPr>
          <w:rFonts w:ascii="Times New Roman" w:hAnsi="Times New Roman" w:cs="Times New Roman"/>
          <w:color w:val="000000" w:themeColor="text1"/>
          <w:sz w:val="16"/>
          <w:szCs w:val="16"/>
        </w:rPr>
        <w:t>По заводу №380:</w:t>
      </w:r>
      <w:bookmarkEnd w:id="11"/>
    </w:p>
    <w:p w14:paraId="5A179B92"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Обязать Народного Комиссара Авиаци</w:t>
      </w:r>
      <w:r w:rsidRPr="00A3026E">
        <w:rPr>
          <w:rFonts w:ascii="Times New Roman" w:hAnsi="Times New Roman" w:cs="Times New Roman"/>
          <w:color w:val="000000" w:themeColor="text1"/>
        </w:rPr>
        <w:softHyphen/>
        <w:t>онной Промышленности т. Шахурина А.И. и директора завода т. Баринова</w:t>
      </w:r>
      <w:r w:rsidRPr="00A3026E">
        <w:rPr>
          <w:rStyle w:val="8"/>
          <w:rFonts w:ascii="Times New Roman" w:hAnsi="Times New Roman" w:cs="Times New Roman"/>
          <w:color w:val="000000" w:themeColor="text1"/>
        </w:rPr>
        <w:t xml:space="preserve"> С.С. с</w:t>
      </w:r>
      <w:r w:rsidRPr="00A3026E">
        <w:rPr>
          <w:rFonts w:ascii="Times New Roman" w:hAnsi="Times New Roman" w:cs="Times New Roman"/>
          <w:color w:val="000000" w:themeColor="text1"/>
        </w:rPr>
        <w:t xml:space="preserve"> ян</w:t>
      </w:r>
      <w:r w:rsidRPr="00A3026E">
        <w:rPr>
          <w:rFonts w:ascii="Times New Roman" w:hAnsi="Times New Roman" w:cs="Times New Roman"/>
          <w:color w:val="000000" w:themeColor="text1"/>
        </w:rPr>
        <w:softHyphen/>
        <w:t>варя 1941 года, перейти на производство двухмоторного истребителя конструкции т. Яковлева».</w:t>
      </w:r>
    </w:p>
    <w:p w14:paraId="56B8127E"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Style w:val="8"/>
          <w:rFonts w:ascii="Times New Roman" w:hAnsi="Times New Roman" w:cs="Times New Roman"/>
          <w:color w:val="000000" w:themeColor="text1"/>
        </w:rPr>
        <w:t>Из текста постановления ясно, кто го</w:t>
      </w:r>
      <w:r w:rsidRPr="00A3026E">
        <w:rPr>
          <w:rStyle w:val="8"/>
          <w:rFonts w:ascii="Times New Roman" w:hAnsi="Times New Roman" w:cs="Times New Roman"/>
          <w:color w:val="000000" w:themeColor="text1"/>
        </w:rPr>
        <w:softHyphen/>
        <w:t>товил его. Некоторое представление о НКАПовском «закулисье» дают мемуары ближайшего соратника Яковлева Е.Г.Ад</w:t>
      </w:r>
      <w:r w:rsidRPr="00A3026E">
        <w:rPr>
          <w:rStyle w:val="8"/>
          <w:rFonts w:ascii="Times New Roman" w:hAnsi="Times New Roman" w:cs="Times New Roman"/>
          <w:color w:val="000000" w:themeColor="text1"/>
        </w:rPr>
        <w:softHyphen/>
        <w:t xml:space="preserve">лера, где он так пишет о своем «патроне»: </w:t>
      </w:r>
      <w:r w:rsidRPr="00A3026E">
        <w:rPr>
          <w:rFonts w:ascii="Times New Roman" w:hAnsi="Times New Roman" w:cs="Times New Roman"/>
          <w:color w:val="000000" w:themeColor="text1"/>
        </w:rPr>
        <w:t>«Он был сам не свой, нервничал, и не му</w:t>
      </w:r>
      <w:r w:rsidRPr="00A3026E">
        <w:rPr>
          <w:rFonts w:ascii="Times New Roman" w:hAnsi="Times New Roman" w:cs="Times New Roman"/>
          <w:color w:val="000000" w:themeColor="text1"/>
        </w:rPr>
        <w:softHyphen/>
        <w:t>дрено. Кроме нас, мертвой хваткой вцепи</w:t>
      </w:r>
      <w:r w:rsidRPr="00A3026E">
        <w:rPr>
          <w:rFonts w:ascii="Times New Roman" w:hAnsi="Times New Roman" w:cs="Times New Roman"/>
          <w:color w:val="000000" w:themeColor="text1"/>
        </w:rPr>
        <w:softHyphen/>
        <w:t>лось в эту тему с десяток конструкто</w:t>
      </w:r>
      <w:r w:rsidRPr="00A3026E">
        <w:rPr>
          <w:rFonts w:ascii="Times New Roman" w:hAnsi="Times New Roman" w:cs="Times New Roman"/>
          <w:color w:val="000000" w:themeColor="text1"/>
        </w:rPr>
        <w:softHyphen/>
        <w:t>ров. Из ближайших конкурентов Яковлев больше всего опасался Лавочкина, Микояна с Гуревичем и Поликарпова».</w:t>
      </w:r>
    </w:p>
    <w:p w14:paraId="6EAA5F89" w14:textId="77777777" w:rsidR="00EE2862" w:rsidRPr="00A3026E" w:rsidRDefault="00EE28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Ну, Микоян с Гуревичем Яковлеву были «не по зубам», а вот «решить во</w:t>
      </w:r>
      <w:r w:rsidRPr="00A3026E">
        <w:rPr>
          <w:rFonts w:ascii="Times New Roman" w:hAnsi="Times New Roman"/>
          <w:color w:val="000000" w:themeColor="text1"/>
          <w:sz w:val="16"/>
          <w:szCs w:val="16"/>
        </w:rPr>
        <w:softHyphen/>
        <w:t>прос» с Лавочкиным и Поликарповым возможность появилась. В серийном про</w:t>
      </w:r>
      <w:r w:rsidRPr="00A3026E">
        <w:rPr>
          <w:rFonts w:ascii="Times New Roman" w:hAnsi="Times New Roman"/>
          <w:color w:val="000000" w:themeColor="text1"/>
          <w:sz w:val="16"/>
          <w:szCs w:val="16"/>
        </w:rPr>
        <w:softHyphen/>
        <w:t>изводстве оставались только «улучшен</w:t>
      </w:r>
      <w:r w:rsidRPr="00A3026E">
        <w:rPr>
          <w:rFonts w:ascii="Times New Roman" w:hAnsi="Times New Roman"/>
          <w:color w:val="000000" w:themeColor="text1"/>
          <w:sz w:val="16"/>
          <w:szCs w:val="16"/>
        </w:rPr>
        <w:softHyphen/>
        <w:t>ные» одномоторные и двухмоторные ис</w:t>
      </w:r>
      <w:r w:rsidRPr="00A3026E">
        <w:rPr>
          <w:rFonts w:ascii="Times New Roman" w:hAnsi="Times New Roman"/>
          <w:color w:val="000000" w:themeColor="text1"/>
          <w:sz w:val="16"/>
          <w:szCs w:val="16"/>
        </w:rPr>
        <w:softHyphen/>
        <w:t>требители Микояна и Яковлева, которых еще не существовало. И это притом, что Микоян не далее, как три недели тому на</w:t>
      </w:r>
      <w:r w:rsidRPr="00A3026E">
        <w:rPr>
          <w:rFonts w:ascii="Times New Roman" w:hAnsi="Times New Roman"/>
          <w:color w:val="000000" w:themeColor="text1"/>
          <w:sz w:val="16"/>
          <w:szCs w:val="16"/>
        </w:rPr>
        <w:softHyphen/>
        <w:t>зад говорил о невозможности увеличить дальность до 800 км, а у И-26 была недо</w:t>
      </w:r>
      <w:r w:rsidRPr="00A3026E">
        <w:rPr>
          <w:rFonts w:ascii="Times New Roman" w:hAnsi="Times New Roman"/>
          <w:color w:val="000000" w:themeColor="text1"/>
          <w:sz w:val="16"/>
          <w:szCs w:val="16"/>
        </w:rPr>
        <w:softHyphen/>
        <w:t>статочная прочность, и он не мог взять на борт лишнюю нагрузку.</w:t>
      </w:r>
    </w:p>
    <w:p w14:paraId="191FFCF7" w14:textId="77777777" w:rsidR="00EE2862" w:rsidRPr="00A3026E" w:rsidRDefault="00EE28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Интересно, что в проекте того же по</w:t>
      </w:r>
      <w:r w:rsidRPr="00A3026E">
        <w:rPr>
          <w:rFonts w:ascii="Times New Roman" w:hAnsi="Times New Roman"/>
          <w:color w:val="000000" w:themeColor="text1"/>
          <w:sz w:val="16"/>
          <w:szCs w:val="16"/>
        </w:rPr>
        <w:softHyphen/>
        <w:t>становления, подготовленном несколь</w:t>
      </w:r>
      <w:r w:rsidRPr="00A3026E">
        <w:rPr>
          <w:rFonts w:ascii="Times New Roman" w:hAnsi="Times New Roman"/>
          <w:color w:val="000000" w:themeColor="text1"/>
          <w:sz w:val="16"/>
          <w:szCs w:val="16"/>
        </w:rPr>
        <w:softHyphen/>
        <w:t>кими днями ранее, пункт про И-301 был изложен в другой редакции:</w:t>
      </w:r>
    </w:p>
    <w:p w14:paraId="7B383C4F" w14:textId="77777777" w:rsidR="00EE2862" w:rsidRPr="00A3026E" w:rsidRDefault="00EE2862" w:rsidP="00A3026E">
      <w:pPr>
        <w:pStyle w:val="140"/>
        <w:shd w:val="clear" w:color="auto" w:fill="auto"/>
        <w:spacing w:after="0" w:line="240" w:lineRule="auto"/>
        <w:rPr>
          <w:rFonts w:ascii="Times New Roman" w:hAnsi="Times New Roman" w:cs="Times New Roman"/>
          <w:color w:val="000000" w:themeColor="text1"/>
          <w:sz w:val="16"/>
          <w:szCs w:val="16"/>
        </w:rPr>
      </w:pPr>
      <w:bookmarkStart w:id="12" w:name="bookmark13"/>
      <w:r w:rsidRPr="00A3026E">
        <w:rPr>
          <w:rFonts w:ascii="Times New Roman" w:hAnsi="Times New Roman" w:cs="Times New Roman"/>
          <w:color w:val="000000" w:themeColor="text1"/>
          <w:sz w:val="16"/>
          <w:szCs w:val="16"/>
        </w:rPr>
        <w:t>«По самолету И-301:</w:t>
      </w:r>
      <w:bookmarkEnd w:id="12"/>
    </w:p>
    <w:p w14:paraId="376EA5D3" w14:textId="77777777" w:rsidR="00EE2862" w:rsidRPr="00A3026E" w:rsidRDefault="00EE28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Обязать директора завода №301 т. Эскина и главных конструкторов т.т. Лавочкина, Горбунова и Гудкова предъявить на госиспытания к 1.1.41 г. самолет И-301 с емкостью баков, обеспечивающей дальность полета 1000 км на 0,9 макси</w:t>
      </w:r>
      <w:r w:rsidRPr="00A3026E">
        <w:rPr>
          <w:rFonts w:ascii="Times New Roman" w:hAnsi="Times New Roman"/>
          <w:color w:val="000000" w:themeColor="text1"/>
          <w:sz w:val="16"/>
          <w:szCs w:val="16"/>
        </w:rPr>
        <w:softHyphen/>
        <w:t>мальной скорости.</w:t>
      </w:r>
    </w:p>
    <w:p w14:paraId="2ADC64B3"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2) Обязать НКАГ1 ограничить выпуск самолета И-301 на заводе №23 войсковой серией 25 самолетов, 10 из которых пере</w:t>
      </w:r>
      <w:r w:rsidRPr="00A3026E">
        <w:rPr>
          <w:rFonts w:ascii="Times New Roman" w:hAnsi="Times New Roman" w:cs="Times New Roman"/>
          <w:color w:val="000000" w:themeColor="text1"/>
        </w:rPr>
        <w:softHyphen/>
        <w:t>дать на войсковые испытания к 1.1.41 г.</w:t>
      </w:r>
    </w:p>
    <w:p w14:paraId="640FE0B8"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Нормированная прочность самолета должна удовлетворять полетному весу первого опытного самолета, проходив</w:t>
      </w:r>
      <w:r w:rsidRPr="00A3026E">
        <w:rPr>
          <w:rFonts w:ascii="Times New Roman" w:hAnsi="Times New Roman" w:cs="Times New Roman"/>
          <w:color w:val="000000" w:themeColor="text1"/>
        </w:rPr>
        <w:softHyphen/>
        <w:t>шего госиспытания.»</w:t>
      </w:r>
    </w:p>
    <w:p w14:paraId="502CEDCD" w14:textId="77777777" w:rsidR="00EE2862" w:rsidRPr="00A3026E" w:rsidRDefault="00EE28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 есть, сначала предполагали «вы</w:t>
      </w:r>
      <w:r w:rsidRPr="00A3026E">
        <w:rPr>
          <w:rFonts w:ascii="Times New Roman" w:hAnsi="Times New Roman"/>
          <w:color w:val="000000" w:themeColor="text1"/>
          <w:sz w:val="16"/>
          <w:szCs w:val="16"/>
        </w:rPr>
        <w:softHyphen/>
        <w:t>давливать» Лавочкина с завода №23 по</w:t>
      </w:r>
      <w:r w:rsidRPr="00A3026E">
        <w:rPr>
          <w:rFonts w:ascii="Times New Roman" w:hAnsi="Times New Roman"/>
          <w:color w:val="000000" w:themeColor="text1"/>
          <w:sz w:val="16"/>
          <w:szCs w:val="16"/>
        </w:rPr>
        <w:softHyphen/>
        <w:t>степенно, но в последний момент пе</w:t>
      </w:r>
      <w:r w:rsidRPr="00A3026E">
        <w:rPr>
          <w:rFonts w:ascii="Times New Roman" w:hAnsi="Times New Roman"/>
          <w:color w:val="000000" w:themeColor="text1"/>
          <w:sz w:val="16"/>
          <w:szCs w:val="16"/>
        </w:rPr>
        <w:softHyphen/>
        <w:t>реиграли и решили исключить И-301 из «игры» сразу полностью, хотя Лавоч</w:t>
      </w:r>
      <w:r w:rsidRPr="00A3026E">
        <w:rPr>
          <w:rFonts w:ascii="Times New Roman" w:hAnsi="Times New Roman"/>
          <w:color w:val="000000" w:themeColor="text1"/>
          <w:sz w:val="16"/>
          <w:szCs w:val="16"/>
        </w:rPr>
        <w:softHyphen/>
        <w:t>кин на Техсовете по И-301 на требова</w:t>
      </w:r>
      <w:r w:rsidRPr="00A3026E">
        <w:rPr>
          <w:rFonts w:ascii="Times New Roman" w:hAnsi="Times New Roman"/>
          <w:color w:val="000000" w:themeColor="text1"/>
          <w:sz w:val="16"/>
          <w:szCs w:val="16"/>
        </w:rPr>
        <w:softHyphen/>
        <w:t>ние увеличить запас горючего говорил, что</w:t>
      </w:r>
      <w:r w:rsidRPr="00A3026E">
        <w:rPr>
          <w:rStyle w:val="aff6"/>
          <w:rFonts w:ascii="Times New Roman" w:hAnsi="Times New Roman" w:cs="Times New Roman"/>
          <w:color w:val="000000" w:themeColor="text1"/>
        </w:rPr>
        <w:t xml:space="preserve"> «мы здесь можем сделать официаль</w:t>
      </w:r>
      <w:r w:rsidRPr="00A3026E">
        <w:rPr>
          <w:rStyle w:val="aff6"/>
          <w:rFonts w:ascii="Times New Roman" w:hAnsi="Times New Roman" w:cs="Times New Roman"/>
          <w:color w:val="000000" w:themeColor="text1"/>
        </w:rPr>
        <w:softHyphen/>
        <w:t>ное заявление о том, что можем поста</w:t>
      </w:r>
      <w:r w:rsidRPr="00A3026E">
        <w:rPr>
          <w:rStyle w:val="aff6"/>
          <w:rFonts w:ascii="Times New Roman" w:hAnsi="Times New Roman" w:cs="Times New Roman"/>
          <w:color w:val="000000" w:themeColor="text1"/>
        </w:rPr>
        <w:softHyphen/>
        <w:t>вить два бака, занять половину размаха бензобаками».</w:t>
      </w:r>
    </w:p>
    <w:p w14:paraId="66ABAE15" w14:textId="77777777" w:rsidR="00EE2862" w:rsidRPr="00A3026E" w:rsidRDefault="00EE286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Лавочкин понял, что надо предприни</w:t>
      </w:r>
      <w:r w:rsidRPr="00A3026E">
        <w:rPr>
          <w:rFonts w:ascii="Times New Roman" w:hAnsi="Times New Roman" w:cs="Times New Roman"/>
          <w:color w:val="000000" w:themeColor="text1"/>
        </w:rPr>
        <w:softHyphen/>
        <w:t>мать экстренные меры, чтобы спасти са</w:t>
      </w:r>
      <w:r w:rsidRPr="00A3026E">
        <w:rPr>
          <w:rFonts w:ascii="Times New Roman" w:hAnsi="Times New Roman" w:cs="Times New Roman"/>
          <w:color w:val="000000" w:themeColor="text1"/>
        </w:rPr>
        <w:softHyphen/>
        <w:t>молет, и бросился теперь уже единолично в «бой». (19740).</w:t>
      </w:r>
    </w:p>
    <w:p w14:paraId="634248F3" w14:textId="77777777" w:rsidR="00EE2862" w:rsidRPr="00A3026E" w:rsidRDefault="00EE2862" w:rsidP="00A3026E">
      <w:pPr>
        <w:spacing w:after="0" w:line="240" w:lineRule="auto"/>
        <w:jc w:val="both"/>
        <w:rPr>
          <w:rFonts w:ascii="Times New Roman" w:hAnsi="Times New Roman"/>
          <w:color w:val="000000" w:themeColor="text1"/>
          <w:sz w:val="16"/>
          <w:szCs w:val="16"/>
        </w:rPr>
      </w:pPr>
    </w:p>
    <w:p w14:paraId="00F56C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вышло постановление Правительства по вопросу "Об увеличении дальности истребителей и постановке их производства на заводах" (245,20).</w:t>
      </w:r>
    </w:p>
    <w:p w14:paraId="6255ABA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A77B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вышел приказ НКАП N 521 в исполнение постановления Правительства от 2 октября 1940 по вопросу "об увеличении дальности истребителей и постановке их производства на заводах". Для одномоторных истребителей, поставляемых на производство, дальность должна быть 1000 км на 0.9 максимальной скорости, а для двухмоторных - 2000 км на 0.8. (245,20).</w:t>
      </w:r>
    </w:p>
    <w:p w14:paraId="334005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Текст: </w:t>
      </w:r>
    </w:p>
    <w:p w14:paraId="3A0F54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“Об увеличении дальности истребителей и о постановке их производства на заводах, приказываю:</w:t>
      </w:r>
    </w:p>
    <w:p w14:paraId="793C32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Установить для всех внедряемых в серийное производство и проектируемых вновь одномоторных истребительных самолетов дальность 1000 км на 0.9 макс. скорости. Указанная дальность должна обеспечиваться емкостью баков, расположенных внутри самолета.</w:t>
      </w:r>
    </w:p>
    <w:p w14:paraId="156627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Установить для всех внедряемых в серийное производство и проектируемых вновь двухмоторных истребителей сопровождения дальность не менее 2000 км на 0.8 макс. скорости. Указанная дальность должна обеспечиваться емкостью баков, расположенных внутри самолета.</w:t>
      </w:r>
    </w:p>
    <w:p w14:paraId="0AFDBF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Внести необходимые изменения во все проектируемых и внедряемые в серийное производство опытные самолеты (1318,11).</w:t>
      </w:r>
    </w:p>
    <w:p w14:paraId="43B638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На заводе 1 директору П.В.Дементьеву и ГК А.И.Микояну:</w:t>
      </w:r>
    </w:p>
    <w:p w14:paraId="409FC8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 15.12.1940 выпускать И-200 с дальностью 1000 км на 0.9;</w:t>
      </w:r>
    </w:p>
    <w:p w14:paraId="4CCF35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после окончания испытаний двухмоторного истребителя ДИС прекратить на 1 заводе производство И-200 и перейти на ДИС-200;</w:t>
      </w:r>
    </w:p>
    <w:p w14:paraId="4448F5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сократить программу выпуска ББ-22 в 1940 до 50 машин (на 30 машин - 1318,11).</w:t>
      </w:r>
    </w:p>
    <w:p w14:paraId="3DF90F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На заводе 21 директору В.П.Воронину</w:t>
      </w:r>
    </w:p>
    <w:p w14:paraId="16E6CF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 декабря 1940 поставить производство И-200 улучшенной конструкции, а производство И-16 прогрессивно сократить;</w:t>
      </w:r>
    </w:p>
    <w:p w14:paraId="2FC466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производство И-180 на заводе 21 прекратить.</w:t>
      </w:r>
    </w:p>
    <w:p w14:paraId="1CAAC7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На заводе 301 директору Ю.Б.Эскину и ГК А.С.Я.</w:t>
      </w:r>
    </w:p>
    <w:p w14:paraId="5EB977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 15 ноября по 1 июня 1941 произвести УТИ-26 в количестве не менее 400;</w:t>
      </w:r>
    </w:p>
    <w:p w14:paraId="0C1D03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 1 июня 1941 перейти на производство И-26 улучшенного с дальностью 1100 на 0.9.</w:t>
      </w:r>
    </w:p>
    <w:p w14:paraId="501011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На заводе 292 директору И.С.Левину:</w:t>
      </w:r>
    </w:p>
    <w:p w14:paraId="136D8D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января перейти на производство И-26 улучшенного с дальностью 1100 на 0.9 ликвидировав производство И-26 старой конструкции.</w:t>
      </w:r>
    </w:p>
    <w:p w14:paraId="6CCA28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 На заводе 23 директору П.В.Фролову:</w:t>
      </w:r>
    </w:p>
    <w:p w14:paraId="2286A0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изменение приказа N 387 от 01.08.1940 ограничится выпуском 5 машин И-301 для проверки на войсковых испытаниях;</w:t>
      </w:r>
    </w:p>
    <w:p w14:paraId="21CA34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перейти с января 1941 на производство И-26 улучшенного.</w:t>
      </w:r>
    </w:p>
    <w:p w14:paraId="6542DB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VI На заводе 153 М.М.Маланьину:</w:t>
      </w:r>
    </w:p>
    <w:p w14:paraId="50D997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Перейти с января 1941 на производство И-26 улучшенного ликвидировав производство И-16 путем постепенного сокращения.</w:t>
      </w:r>
    </w:p>
    <w:p w14:paraId="469D87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VII На заводе 81 директору Н.В.Климовицкому и ГК А.С.Яковлеву:</w:t>
      </w:r>
    </w:p>
    <w:p w14:paraId="245282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окончанию гос. испытаний двухмоторного истребителя освободить завод от производства ББ-22 и перейти на производство двухместного истребителя;</w:t>
      </w:r>
    </w:p>
    <w:p w14:paraId="0C6E93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начало производства двухмоторного истребителя установить в декабре 1940.</w:t>
      </w:r>
    </w:p>
    <w:p w14:paraId="0918E0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VIII На заводе 380 директору С.С.Баринову:</w:t>
      </w:r>
    </w:p>
    <w:p w14:paraId="1A714B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января 1941 перейти на производство двухместного истребителя конструкции А.С.Я. (245,20).</w:t>
      </w:r>
    </w:p>
    <w:p w14:paraId="0778E5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Круто А.С.Я. начал забирать вожжи.</w:t>
      </w:r>
    </w:p>
    <w:p w14:paraId="440B6B3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51D66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Протокол № 21. Решения ПБ за 27 сентября - 28 сентября 1940 г.</w:t>
      </w:r>
    </w:p>
    <w:p w14:paraId="53F0A7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27.9.40 г.</w:t>
      </w:r>
    </w:p>
    <w:p w14:paraId="524DB2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 Вопрос КО. О постройке авиамотора МБ-100*.</w:t>
      </w:r>
    </w:p>
    <w:p w14:paraId="09D2EB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30.9.40 г.</w:t>
      </w:r>
    </w:p>
    <w:p w14:paraId="7BADD1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26. Об увеличении производства газового бензина (постановление СНК СССР и ЦК ВКП (б)).</w:t>
      </w:r>
    </w:p>
    <w:p w14:paraId="565C18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02. 10.40 г.</w:t>
      </w:r>
    </w:p>
    <w:p w14:paraId="261228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 46. Об увеличении дальности истребителей и о поставке их производства на заводах (постановление СНК СССР и ЦК ВКП (б))*. </w:t>
      </w:r>
      <w:r w:rsidRPr="00A3026E">
        <w:rPr>
          <w:rFonts w:ascii="Times New Roman" w:hAnsi="Times New Roman"/>
          <w:color w:val="000000" w:themeColor="text1"/>
          <w:sz w:val="16"/>
          <w:szCs w:val="16"/>
          <w:u w:val="single"/>
        </w:rPr>
        <w:t>04. 10. 40 г.</w:t>
      </w:r>
    </w:p>
    <w:p w14:paraId="21B7B2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60. Об изготовлении новых образцов вооружения для НКО (постановление СНК СССР и ЦК ВКП (б))*.</w:t>
      </w:r>
    </w:p>
    <w:p w14:paraId="1F36AD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u w:val="single"/>
        </w:rPr>
      </w:pPr>
      <w:r w:rsidRPr="00A3026E">
        <w:rPr>
          <w:rFonts w:ascii="Times New Roman" w:hAnsi="Times New Roman"/>
          <w:color w:val="000000" w:themeColor="text1"/>
          <w:sz w:val="16"/>
          <w:szCs w:val="16"/>
          <w:u w:val="single"/>
        </w:rPr>
        <w:t>08.10.40 г.</w:t>
      </w:r>
    </w:p>
    <w:p w14:paraId="0FA1A5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99. Об организации производства боевых самолетов и авиационных моторов на Украине (11773).</w:t>
      </w:r>
    </w:p>
    <w:p w14:paraId="4759E8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F2AC0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 Постановлением СНК было принято решение об увеличении дальности полета всех внедряемых в серийное производство и вновь проектируемых истребителей. В соответствии с этим для одномоторных машин устанавливалась дальность равная 1000 км на скорости, соответствующей 0.9 максимальной, а для двухмоторных истребителей-сопровождения - не менее 2000 км на скорости 0,8 максимальной. Причем указанные дальности необходимо было обеспечивать за счет внутренних запасов топлива самолетов (4802).</w:t>
      </w:r>
    </w:p>
    <w:p w14:paraId="06252DA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B5442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 Постановлением СНК СССР и ЦК ВКП(б) было при</w:t>
      </w:r>
      <w:r w:rsidRPr="00A3026E">
        <w:rPr>
          <w:rFonts w:ascii="Times New Roman" w:hAnsi="Times New Roman"/>
          <w:color w:val="000000" w:themeColor="text1"/>
          <w:sz w:val="16"/>
          <w:szCs w:val="16"/>
        </w:rPr>
        <w:softHyphen/>
        <w:t>нято решение об увеличении даль</w:t>
      </w:r>
      <w:r w:rsidRPr="00A3026E">
        <w:rPr>
          <w:rFonts w:ascii="Times New Roman" w:hAnsi="Times New Roman"/>
          <w:color w:val="000000" w:themeColor="text1"/>
          <w:sz w:val="16"/>
          <w:szCs w:val="16"/>
        </w:rPr>
        <w:softHyphen/>
        <w:t>ности полёта истребителей. В час</w:t>
      </w:r>
      <w:r w:rsidRPr="00A3026E">
        <w:rPr>
          <w:rFonts w:ascii="Times New Roman" w:hAnsi="Times New Roman"/>
          <w:color w:val="000000" w:themeColor="text1"/>
          <w:sz w:val="16"/>
          <w:szCs w:val="16"/>
        </w:rPr>
        <w:softHyphen/>
        <w:t>тности для всех внедряемых в се</w:t>
      </w:r>
      <w:r w:rsidRPr="00A3026E">
        <w:rPr>
          <w:rFonts w:ascii="Times New Roman" w:hAnsi="Times New Roman"/>
          <w:color w:val="000000" w:themeColor="text1"/>
          <w:sz w:val="16"/>
          <w:szCs w:val="16"/>
        </w:rPr>
        <w:softHyphen/>
        <w:t>рию и вновь проектируемых одно</w:t>
      </w:r>
      <w:r w:rsidRPr="00A3026E">
        <w:rPr>
          <w:rFonts w:ascii="Times New Roman" w:hAnsi="Times New Roman"/>
          <w:color w:val="000000" w:themeColor="text1"/>
          <w:sz w:val="16"/>
          <w:szCs w:val="16"/>
        </w:rPr>
        <w:softHyphen/>
        <w:t>моторных истребителей устанавли</w:t>
      </w:r>
      <w:r w:rsidRPr="00A3026E">
        <w:rPr>
          <w:rFonts w:ascii="Times New Roman" w:hAnsi="Times New Roman"/>
          <w:color w:val="000000" w:themeColor="text1"/>
          <w:sz w:val="16"/>
          <w:szCs w:val="16"/>
        </w:rPr>
        <w:softHyphen/>
        <w:t>валась дальность полёта равная 1000 км на скорости, соответству</w:t>
      </w:r>
      <w:r w:rsidRPr="00A3026E">
        <w:rPr>
          <w:rFonts w:ascii="Times New Roman" w:hAnsi="Times New Roman"/>
          <w:color w:val="000000" w:themeColor="text1"/>
          <w:sz w:val="16"/>
          <w:szCs w:val="16"/>
        </w:rPr>
        <w:softHyphen/>
        <w:t>ющей 0,9 от максимальной. Указан</w:t>
      </w:r>
      <w:r w:rsidRPr="00A3026E">
        <w:rPr>
          <w:rFonts w:ascii="Times New Roman" w:hAnsi="Times New Roman"/>
          <w:color w:val="000000" w:themeColor="text1"/>
          <w:sz w:val="16"/>
          <w:szCs w:val="16"/>
        </w:rPr>
        <w:softHyphen/>
        <w:t>ную дальность требовалось обес</w:t>
      </w:r>
      <w:r w:rsidRPr="00A3026E">
        <w:rPr>
          <w:rFonts w:ascii="Times New Roman" w:hAnsi="Times New Roman"/>
          <w:color w:val="000000" w:themeColor="text1"/>
          <w:sz w:val="16"/>
          <w:szCs w:val="16"/>
        </w:rPr>
        <w:softHyphen/>
        <w:t>печить за счёт внутренних запасов топлива самолётов. Вышедший в этот же день приказ НКАП №521 обязывал конструкторские бюро внести необходимые изменения во все проектируемые, опытные и вне</w:t>
      </w:r>
      <w:r w:rsidRPr="00A3026E">
        <w:rPr>
          <w:rFonts w:ascii="Times New Roman" w:hAnsi="Times New Roman"/>
          <w:color w:val="000000" w:themeColor="text1"/>
          <w:sz w:val="16"/>
          <w:szCs w:val="16"/>
        </w:rPr>
        <w:softHyphen/>
        <w:t>дрённые в серию истребители. На основании этого директору заво</w:t>
      </w:r>
      <w:r w:rsidRPr="00A3026E">
        <w:rPr>
          <w:rFonts w:ascii="Times New Roman" w:hAnsi="Times New Roman"/>
          <w:color w:val="000000" w:themeColor="text1"/>
          <w:sz w:val="16"/>
          <w:szCs w:val="16"/>
        </w:rPr>
        <w:softHyphen/>
        <w:t>да №1 П.В. Дементьеву и главному конструктору А.И. Микояну предпи</w:t>
      </w:r>
      <w:r w:rsidRPr="00A3026E">
        <w:rPr>
          <w:rFonts w:ascii="Times New Roman" w:hAnsi="Times New Roman"/>
          <w:color w:val="000000" w:themeColor="text1"/>
          <w:sz w:val="16"/>
          <w:szCs w:val="16"/>
        </w:rPr>
        <w:softHyphen/>
        <w:t>сывалось с 15 декабря ^приступить к выпуску улучшенного истребителя И-200, имеющего соответствующую дальность полёта (11761).</w:t>
      </w:r>
    </w:p>
    <w:p w14:paraId="4A758D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AB171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 Постановлением СНК было принято решение об увеличении дальности полета всех внедряемых в серийное производство и вновь проектируемых истребителей. В соответствии с этим для одномоторных машин устанавливалась даль</w:t>
      </w:r>
      <w:r w:rsidRPr="00A3026E">
        <w:rPr>
          <w:rFonts w:ascii="Times New Roman" w:hAnsi="Times New Roman"/>
          <w:color w:val="000000" w:themeColor="text1"/>
          <w:sz w:val="16"/>
          <w:szCs w:val="16"/>
        </w:rPr>
        <w:softHyphen/>
        <w:t>ность, равная 1000 км, на скорости, соответствую</w:t>
      </w:r>
      <w:r w:rsidRPr="00A3026E">
        <w:rPr>
          <w:rFonts w:ascii="Times New Roman" w:hAnsi="Times New Roman"/>
          <w:color w:val="000000" w:themeColor="text1"/>
          <w:sz w:val="16"/>
          <w:szCs w:val="16"/>
        </w:rPr>
        <w:softHyphen/>
        <w:t>щей 0,9 максимальной, а для двухмоторных истреби</w:t>
      </w:r>
      <w:r w:rsidRPr="00A3026E">
        <w:rPr>
          <w:rFonts w:ascii="Times New Roman" w:hAnsi="Times New Roman"/>
          <w:color w:val="000000" w:themeColor="text1"/>
          <w:sz w:val="16"/>
          <w:szCs w:val="16"/>
        </w:rPr>
        <w:softHyphen/>
        <w:t>телей сопровождения — не менее 2000 км на скорости 0,8 максимальной, причем указанные даль</w:t>
      </w:r>
      <w:r w:rsidRPr="00A3026E">
        <w:rPr>
          <w:rFonts w:ascii="Times New Roman" w:hAnsi="Times New Roman"/>
          <w:color w:val="000000" w:themeColor="text1"/>
          <w:sz w:val="16"/>
          <w:szCs w:val="16"/>
        </w:rPr>
        <w:softHyphen/>
        <w:t>ности необходимо было обеспечить за счет внутрен</w:t>
      </w:r>
      <w:r w:rsidRPr="00A3026E">
        <w:rPr>
          <w:rFonts w:ascii="Times New Roman" w:hAnsi="Times New Roman"/>
          <w:color w:val="000000" w:themeColor="text1"/>
          <w:sz w:val="16"/>
          <w:szCs w:val="16"/>
        </w:rPr>
        <w:softHyphen/>
        <w:t>них запасов топлива самолетов. Вышедший в этот же день приказ НКАП обязывал конструкторские бюро внести необходимые конструктивные изменения во все проектируемые, опытные и внедренные в серию истребители. Этим же приказом заводу № 1 предпи</w:t>
      </w:r>
      <w:r w:rsidRPr="00A3026E">
        <w:rPr>
          <w:rFonts w:ascii="Times New Roman" w:hAnsi="Times New Roman"/>
          <w:color w:val="000000" w:themeColor="text1"/>
          <w:sz w:val="16"/>
          <w:szCs w:val="16"/>
        </w:rPr>
        <w:softHyphen/>
        <w:t>сывалось с 15 декабря 1940 г. приступить к выпуску улучшенной модификации И—200. В ОКО и на заводе требование об увеличении дальности полета до 1000 км, сформули</w:t>
      </w:r>
      <w:r w:rsidRPr="00A3026E">
        <w:rPr>
          <w:rFonts w:ascii="Times New Roman" w:hAnsi="Times New Roman"/>
          <w:color w:val="000000" w:themeColor="text1"/>
          <w:sz w:val="16"/>
          <w:szCs w:val="16"/>
        </w:rPr>
        <w:softHyphen/>
        <w:t>рованное в акте по госиспытаниям, попросту проиг</w:t>
      </w:r>
      <w:r w:rsidRPr="00A3026E">
        <w:rPr>
          <w:rFonts w:ascii="Times New Roman" w:hAnsi="Times New Roman"/>
          <w:color w:val="000000" w:themeColor="text1"/>
          <w:sz w:val="16"/>
          <w:szCs w:val="16"/>
        </w:rPr>
        <w:softHyphen/>
        <w:t>норировали. Поэтому октябрьское постановление правительства оказалось для руководства ОКО гро</w:t>
      </w:r>
      <w:r w:rsidRPr="00A3026E">
        <w:rPr>
          <w:rFonts w:ascii="Times New Roman" w:hAnsi="Times New Roman"/>
          <w:color w:val="000000" w:themeColor="text1"/>
          <w:sz w:val="16"/>
          <w:szCs w:val="16"/>
        </w:rPr>
        <w:softHyphen/>
        <w:t>мом среди ясного неба (9984).</w:t>
      </w:r>
    </w:p>
    <w:p w14:paraId="244C1D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710CC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октября 1940 во исполнение Постановлением СНК от 2 октября 1940 г. приказом НКАП было принято решение об увеличении дальности полета всех внедряемых в серийное производство и вновь проектируемых истребителей. В соответствии с этим для одномоторных машин устанавливалась дальность, равная 1000 км, на скорости, равной 0,9 максимальной. Указанную дальность необходимо было обеспечивать за счет внутренних запасов топлива самолетов. Вышедший в этот же день </w:t>
      </w:r>
      <w:r w:rsidRPr="00A3026E">
        <w:rPr>
          <w:rFonts w:ascii="Times New Roman" w:hAnsi="Times New Roman"/>
          <w:color w:val="000000" w:themeColor="text1"/>
          <w:sz w:val="16"/>
          <w:szCs w:val="16"/>
        </w:rPr>
        <w:lastRenderedPageBreak/>
        <w:t>приказ НКАП обязывал конструкторские бюро внести изменения во все проектируемые, опытные и внедренные в серию истребители. Этим же приказом заводу № 1 предписывалось с 15 декабря 1940 г. приступить к выпуску улучшенной модификации И-200.</w:t>
      </w:r>
    </w:p>
    <w:p w14:paraId="7A706A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Любопытно, что в ОКО и на заводе требование об увеличении дальности полета до 1000 км, сформулированное в решении техсовета при НИИ ВВС, попросту проигнорировали. Поэтому октябрьское постановление правительства оказалось для руководства ОКО громом среди ясного неба. По воспоминаниям Н.З. Матюка, в один из октябрьских дней 1940 г. в помещение, где кроме него находились Я.И. Селецкий и Н.И. Андрианов, вошел директор завода П.В. Дементьев. Было около половины десятого:</w:t>
      </w:r>
    </w:p>
    <w:p w14:paraId="45AE07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"-Если вы не предложите, как довести скоростную дальность И-200 до 1000 км, то машину могут снять с серийного производства, - без лишних слов обратился Дементьев к присутствующим.</w:t>
      </w:r>
    </w:p>
    <w:p w14:paraId="406CE6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А когда требуется это решение? - спросил кто-то из нас.</w:t>
      </w:r>
    </w:p>
    <w:p w14:paraId="2CC870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Завтра к утру, - ответил директор.</w:t>
      </w:r>
    </w:p>
    <w:p w14:paraId="209836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После этого Петр Васильевич вежливо со всеми попрощался и вышел. </w:t>
      </w:r>
    </w:p>
    <w:p w14:paraId="0A7584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Очевидно, что без размещения дополнительного топливного бака увеличить дальность невозможно... к утру удалось "затолкать" необычной формы бензобак в фюзеляж под кабину летчика путем небольших перемещений водорадиатора и агрегатов системы управления самолетом".</w:t>
      </w:r>
    </w:p>
    <w:p w14:paraId="596068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работы по увеличению запаса топлива провели на четвертом опытном экземпляре истребителя И-200. Его первый полет состоялся 29 октября 1940 г., самолет пилотировал летчик-испытатель А. Н. Екатов. В конце ноября было принято решение об отправке истребителя в Крым для проведения совместных с НИИ ВВС испытаний (12045).</w:t>
      </w:r>
    </w:p>
    <w:p w14:paraId="62A6B48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6863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Решением Политбюро ЦК ВКП(б) № П 21 / 46 - ОП было утверждено Постанов</w:t>
      </w:r>
      <w:r w:rsidRPr="00A3026E">
        <w:rPr>
          <w:rFonts w:ascii="Times New Roman" w:hAnsi="Times New Roman"/>
          <w:color w:val="000000" w:themeColor="text1"/>
          <w:sz w:val="16"/>
          <w:szCs w:val="16"/>
        </w:rPr>
        <w:softHyphen/>
        <w:t>ление СНК СССР и ЦК ВКП(б) «Об увеличении дальностей истребителей и постановке их производства на заводах». Им, в частности, предписывалось «после окончания государственных испытаний двухмоторного истребите</w:t>
      </w:r>
      <w:r w:rsidRPr="00A3026E">
        <w:rPr>
          <w:rFonts w:ascii="Times New Roman" w:hAnsi="Times New Roman"/>
          <w:color w:val="000000" w:themeColor="text1"/>
          <w:sz w:val="16"/>
          <w:szCs w:val="16"/>
        </w:rPr>
        <w:softHyphen/>
        <w:t>ля ДИС-200 конструкторов тт. Микояна А.И. и Гуревича М.И. прекратить на заводе № 1 производство И-200 и перейти на производство двухмоторно</w:t>
      </w:r>
      <w:r w:rsidRPr="00A3026E">
        <w:rPr>
          <w:rFonts w:ascii="Times New Roman" w:hAnsi="Times New Roman"/>
          <w:color w:val="000000" w:themeColor="text1"/>
          <w:sz w:val="16"/>
          <w:szCs w:val="16"/>
        </w:rPr>
        <w:softHyphen/>
        <w:t>го истребителя ДИС-200, при этом переходный период от одного самолета к другому ограничить 2 месяцами» (РГАСПИ. Ф. 17. Оп. 162. Д 29. Л. 125.). Таким образом, массовый высотный перехватчик МиГ-3 по плану сменялся в серии дальним истребителем, мо</w:t>
      </w:r>
      <w:r w:rsidRPr="00A3026E">
        <w:rPr>
          <w:rFonts w:ascii="Times New Roman" w:hAnsi="Times New Roman"/>
          <w:color w:val="000000" w:themeColor="text1"/>
          <w:sz w:val="16"/>
          <w:szCs w:val="16"/>
        </w:rPr>
        <w:softHyphen/>
        <w:t>гущим нести торпедное вооружение. Вряд ли стоит сомневаться, что в ус</w:t>
      </w:r>
      <w:r w:rsidRPr="00A3026E">
        <w:rPr>
          <w:rFonts w:ascii="Times New Roman" w:hAnsi="Times New Roman"/>
          <w:color w:val="000000" w:themeColor="text1"/>
          <w:sz w:val="16"/>
          <w:szCs w:val="16"/>
        </w:rPr>
        <w:softHyphen/>
        <w:t>ловиях континентальной войны с Германией применение ДИС-200 в такой конфигурации было бы весьма специфично, в первую очередь - из-за огра</w:t>
      </w:r>
      <w:r w:rsidRPr="00A3026E">
        <w:rPr>
          <w:rFonts w:ascii="Times New Roman" w:hAnsi="Times New Roman"/>
          <w:color w:val="000000" w:themeColor="text1"/>
          <w:sz w:val="16"/>
          <w:szCs w:val="16"/>
        </w:rPr>
        <w:softHyphen/>
        <w:t>ниченного наличия соответствующих целей.</w:t>
      </w:r>
    </w:p>
    <w:p w14:paraId="2FC7AC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этом же ряду - приоритет производства авиационных вооружений для борьбы с морскими целями - находится и решение о мероприятиях по рас</w:t>
      </w:r>
      <w:r w:rsidRPr="00A3026E">
        <w:rPr>
          <w:rFonts w:ascii="Times New Roman" w:hAnsi="Times New Roman"/>
          <w:color w:val="000000" w:themeColor="text1"/>
          <w:sz w:val="16"/>
          <w:szCs w:val="16"/>
        </w:rPr>
        <w:softHyphen/>
        <w:t>ширению выпуска крупных бронебойных бомб. Решением Политбюро ЦК ВКП(б) № П 30 / 51 - ОП от 4 апреля 1941 года было утверждено Постанов</w:t>
      </w:r>
      <w:r w:rsidRPr="00A3026E">
        <w:rPr>
          <w:rFonts w:ascii="Times New Roman" w:hAnsi="Times New Roman"/>
          <w:color w:val="000000" w:themeColor="text1"/>
          <w:sz w:val="16"/>
          <w:szCs w:val="16"/>
        </w:rPr>
        <w:softHyphen/>
        <w:t>ление СНК СССР и ЦК ВКП(б) «Об авиационном бомбовом вооружении», в котором обращалось внимание на «крупные недостатки в бомбовом воору</w:t>
      </w:r>
      <w:r w:rsidRPr="00A3026E">
        <w:rPr>
          <w:rFonts w:ascii="Times New Roman" w:hAnsi="Times New Roman"/>
          <w:color w:val="000000" w:themeColor="text1"/>
          <w:sz w:val="16"/>
          <w:szCs w:val="16"/>
        </w:rPr>
        <w:softHyphen/>
        <w:t>жении военно-воздушных сил». В Постановлении, в частности, отмечалось, что «в производстве и на вооружении военно-воздушных сил Красной армии крайне недостаточно крупных бомб», в числе которых назывались БРАБ-500 и БРАВ-1000, несмотря на то, что эти бомбы являлись основными в бронебой</w:t>
      </w:r>
      <w:r w:rsidRPr="00A3026E">
        <w:rPr>
          <w:rFonts w:ascii="Times New Roman" w:hAnsi="Times New Roman"/>
          <w:color w:val="000000" w:themeColor="text1"/>
          <w:sz w:val="16"/>
          <w:szCs w:val="16"/>
        </w:rPr>
        <w:softHyphen/>
        <w:t>ной группе бомб. Согласно Приложению к П. 11 Пост. СНК и ЦК от 4 апреля за № П 30/51 (ОП) к ранее утвержденному плану, в частности, предписывалось обязать Наркомат боеприпасов выпустить дополнительно для НКО и НКВМФ в 1941 году 700 авиабомб БРАВ-1000 (в том числе 600 для ВВС РККА и 100 для авиации НКВМФ). С учетом того, что на советско-германской границе не существовало аналогов ни линии Мажино, ни даже линии Маннергейма, а ориентацию на доктрину уничтожения с воздуха крупными бронебойными боеприпасами основных кораблей германского флота можно отбросить как ирреальную, можно сделать только один вывод - о подготовке к боевым дейс</w:t>
      </w:r>
      <w:r w:rsidRPr="00A3026E">
        <w:rPr>
          <w:rFonts w:ascii="Times New Roman" w:hAnsi="Times New Roman"/>
          <w:color w:val="000000" w:themeColor="text1"/>
          <w:sz w:val="16"/>
          <w:szCs w:val="16"/>
        </w:rPr>
        <w:softHyphen/>
        <w:t>твиям против страны или группы стран, которые располагали значительными силами мощных надводных кораблей (11710,328).</w:t>
      </w:r>
    </w:p>
    <w:p w14:paraId="1A27AB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EDDCED5" w14:textId="77777777" w:rsidR="00D2328C" w:rsidRPr="00A3026E" w:rsidRDefault="00D2328C" w:rsidP="00A3026E">
      <w:pPr>
        <w:pStyle w:val="a3"/>
        <w:rPr>
          <w:color w:val="000000" w:themeColor="text1"/>
          <w:lang w:val="ru-RU"/>
        </w:rPr>
      </w:pPr>
      <w:r w:rsidRPr="00A3026E">
        <w:rPr>
          <w:color w:val="000000" w:themeColor="text1"/>
          <w:lang w:val="ru-RU"/>
        </w:rPr>
        <w:t>2 октября 1940 СНК СССР и ЦК ВКП(б) Постановлением № 1854-773 приняли решение об увеличении дальности полёта всех внедряемых в серийное производство и вновь проектируемых истребителей. Для одномоторных машин устанавливалась дальность 1000 км на скорости 0,9 максимальной. Её требовалось обеспечить за счёт внутренних запасов топлива. Вышедший в этот же день приказ НКАП № 521 обязывал конструкторские бюро внести необходимые изменения во все проектируемые, опыт</w:t>
      </w:r>
      <w:r w:rsidRPr="00A3026E">
        <w:rPr>
          <w:color w:val="000000" w:themeColor="text1"/>
          <w:lang w:val="ru-RU"/>
        </w:rPr>
        <w:softHyphen/>
        <w:t>ные и внедрённые в серию истребители. На основании этого директору завода № 1 П.В. Де</w:t>
      </w:r>
      <w:r w:rsidRPr="00A3026E">
        <w:rPr>
          <w:color w:val="000000" w:themeColor="text1"/>
          <w:lang w:val="ru-RU"/>
        </w:rPr>
        <w:softHyphen/>
        <w:t>ментьеву и главному конструктору А.И. Микояну предписывалось с 15 декабря приступить к выпуску улучшенного истребителя И-200, имеющего соответствующую дальность полёта (15976).</w:t>
      </w:r>
    </w:p>
    <w:p w14:paraId="1E54AF27" w14:textId="77777777" w:rsidR="00D2328C" w:rsidRPr="00A3026E" w:rsidRDefault="00D2328C" w:rsidP="00A3026E">
      <w:pPr>
        <w:pStyle w:val="a3"/>
        <w:rPr>
          <w:color w:val="000000" w:themeColor="text1"/>
          <w:lang w:val="ru-RU"/>
        </w:rPr>
      </w:pPr>
    </w:p>
    <w:p w14:paraId="31D022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вышел приказ НКАП №521, который обязывал конструкторские бюро внести необходимые конструктивные изменения во все проектируемые опытные и внедренные в серию потребители. Этим же приказом заводу № 1 предписывалось с 15декабря 1940 г. приступить к выпуску улученной модификации И-200. Единственным самолетом, на котором в ОКБ А.С.Яковлева для обеспечения требуемой дальности увеличили запас топлива с 305 кг (у Як-1) до 385 кг, стал опытный И-30, так и оставшийся опытным (4802).</w:t>
      </w:r>
    </w:p>
    <w:p w14:paraId="18CFAAA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1D1C3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постановление Правительства № 1854-773сс предписывало серийным заводам № 23, 153 и 292 перейти с 1 января, а заводу № 301 с I апреля 1941 г. на серийный выпуск улучшенного И-26 с разъемным крылом и дальностью полета 1100 км на скорости 0,9 максимальной. Данную задачу можно было реализовать только путем замены деревянного крыла металлическим. Поэтому работы по самолету продолжил ведущий конструктор С.Д. Трефилов, под руководством которого в рамках создания И-26-3 в периоде 26 мая по 18 июля 1940 года проводилось проектирование и изготовление металлического крыла. В связи доводкой и постановкой в серию истребителя Як-1 и его учебного варианта Як-7 работы по машине Як-3, как стал называться И-30 после смены обозначений, несколько застопорились (к концу года техническая готовность машины составляла всего 10 %). В связи с этим планы по переходу серийных заводов на изготовление новой машины были пересмотрены. В 1941 году выпуск Як-3 должен был начаться со второго квартала и уже на заводах №№ 83, 99, 292, 301.</w:t>
      </w:r>
    </w:p>
    <w:p w14:paraId="1746A7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 вобрал в себя весь накопленный в ОКБ опыт по созданию истребителей. В его конструкции были максимально учтены требования ВВС по исправлению недостатков И-26, выявленных в процессе испытаний. Главный конструктор и специалисты ОКБ считали и обещали Правительству и ВВС, что эта машина заменит собой в серийном производстве самолет Як-1. Винтомоторная группа, шасси и металлическое хвостовое оперение были целиком взяты с машины И-28. Мотор М-105ПД, большей мощности, чем М-105П, позволил не только вернуться к исходному варианту вооружения (мотор- пушка ШВАК и четыре ШКАСа), но и добавить еще две пушки ШВАК в крыло. В свою очередь металлическое разъемное крыло, состоявшее из центроплана и двух консолей, дало возможность не только увеличить запас горючего (с 305 до 383 кг), но и разместить в центроплане маслорадиаторы. Беспереплетный козырек фонаря кабины, установка радиостанции с мачтой антенны, отъемная моторама, ручка управления с кнопочными гашетками оружия, как на "Мессершмитте", тяги управления рулем высоты, проходящие над водорадиатором (а не сквозь как на Як-1), тяги управления элеронами, вынесенные за задний лонжерон, управление триммерами руля поворота и элеронов, предкрылки, посадочная фара - вот далеко не полный перечень произведенных улучшений.</w:t>
      </w:r>
    </w:p>
    <w:p w14:paraId="0C9F24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Вопрос о смене типа самолета ОКБ Яковлева для серийного производства возник в связи с требованием увеличения дальности полета серийных истребителей до 1000 км на скорости 0,9 максимальной. КБ Яковлева попыталось добавить горючего на самолет Як-1. Машина № 0412 получила на заводе дополнительный бензобак, расположенный под поляком и сиденьем пилота. Материалы испытаний этого самолета пока не найдены, но то, что распространения этот вариант не получил, позволяет предположить, что и здесь выигрыш в дальности полета вступил в противоречие с ограничением полетного веса Як-1 по прочности шасси (12048).</w:t>
      </w:r>
    </w:p>
    <w:p w14:paraId="50475C7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CB272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Зам. начальника ГУ ВВС утвердил Отчет по гос. испытаниям серийного самолета И-153 № 8609 с мотором М-63 на штопор</w:t>
      </w:r>
    </w:p>
    <w:p w14:paraId="44DEB6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2F006A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1 ранга Никитченко</w:t>
      </w:r>
    </w:p>
    <w:p w14:paraId="3DEFEA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ст. лейтенант Кубышкин</w:t>
      </w:r>
    </w:p>
    <w:p w14:paraId="380CC2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5C81312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степень безопасности производства штопора на самолете И-153 с мотором М-63 и винтом АВ-I.</w:t>
      </w:r>
    </w:p>
    <w:p w14:paraId="6348717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поведение самолета при вводе в штопор, на штопоре и при выводе из штопора в соответствии с инструкцией по штопору, составленной для самолета И-153 с мотором М-62.</w:t>
      </w:r>
    </w:p>
    <w:p w14:paraId="6D361EE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результатам проведенных испытаний внести изменения и дополнения в инструкцию по выполнению штопора на самолете И-153 с мотором М-62.</w:t>
      </w:r>
    </w:p>
    <w:p w14:paraId="504C45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основе результатов войсковых испытаний самолетов И-153 М-25В в январе-мае 1939 года в Баку заводу № 1 было поручено провести полное испытание серийного самолета с мотором М-62 на штопор совместно с ЦАГИ.</w:t>
      </w:r>
    </w:p>
    <w:p w14:paraId="191816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июле 1939 года в НИИ ВВС поступил на испытание серийный самолет И-153 М-62 № 6019 с винтом ВФШ, где одновременно со снятием летных характеристик и оценкой эксплуатационных качеств было принято решение произвести испытания на определение штопорных свойств самолета для дачи указаний строевым частям.</w:t>
      </w:r>
    </w:p>
    <w:p w14:paraId="4C3213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испытаний было выявлено “заглохание” мотора на штопоре.</w:t>
      </w:r>
    </w:p>
    <w:p w14:paraId="381A28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этого производство штопора на самолете И-153 было прекращено.</w:t>
      </w:r>
    </w:p>
    <w:p w14:paraId="5EA353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1939 года приказом по НКАП была создана комиссия при заводе № 1 (по штопору) – испытания были проведены на заводе № 1 совместно с ЦАГИ.</w:t>
      </w:r>
    </w:p>
    <w:p w14:paraId="3AC5E9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проверки рекомендуемого комиссией вывода самолета И-153 М-62 из штопора 1-м отделом НИИ ВВС в марте-апреле 1940 года были проведены испытания серийного самолета И-153 с мотором М-62 на штопор по результатам которых была составлена инструкция.</w:t>
      </w:r>
    </w:p>
    <w:p w14:paraId="558C61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 требованию НИИ ВВС завод № 1 провел проверочные испытания на штопор с мотором М-63 и в августе 1940 года предъявил на гос. испытания.</w:t>
      </w:r>
    </w:p>
    <w:p w14:paraId="057FFB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гос. испытаний произведено 10 полетов.</w:t>
      </w:r>
    </w:p>
    <w:p w14:paraId="19D60D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3CF011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Штопор на самолете И-153 М-63 не отличается от штопора на самолете И-153 М-62 и при строгом соблюдении Инструкции – безопасен.</w:t>
      </w:r>
    </w:p>
    <w:p w14:paraId="776ABD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Календарь испытаний</w:t>
      </w:r>
    </w:p>
    <w:p w14:paraId="550437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испытание 24 августа 1940 года</w:t>
      </w:r>
    </w:p>
    <w:p w14:paraId="1DC7DD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закончил испытания 27 августа 1940 года</w:t>
      </w:r>
    </w:p>
    <w:p w14:paraId="178676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испытаний – 3 дня</w:t>
      </w:r>
    </w:p>
    <w:p w14:paraId="1C73D6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Летные испытания – 1,5 дня (4429).</w:t>
      </w:r>
    </w:p>
    <w:p w14:paraId="22E9CDF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E8FFF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поступило указание НКАП ограничиться сборкой на 23 заводе в Ленинграде только пяти экземпляров для эксплуатационных испытаний (11983).</w:t>
      </w:r>
    </w:p>
    <w:p w14:paraId="75594C6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DD620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Зам. начальника ВВС утвердил Отчет по государственным испытаниям конусной установки конструкции завода N 1 на самолете И-153, которые проходили с 5 по 9 сентября 1940 (2985).</w:t>
      </w:r>
    </w:p>
    <w:p w14:paraId="1AABC68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AEBBB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ВРИД Нач. НИИ ВВС подписал и Гусев утвердил заключение по эскизному проекту одномоторного одноместного истребителя с мотором АМ-37 конструкции М.И.Гудкова (будущего Гу-1 - типа Аэрокобры). Попросили доработанный эскизный проект и решили включить в план опытного строительства на 1941 (1004).</w:t>
      </w:r>
    </w:p>
    <w:p w14:paraId="5086E4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Зам начальника ГУ ВВС генерал-лейтенант авиации Гусев утвердил Заключение по эскизному проекту одноместного одномоторного истребителя с мотором АМ-37 конструкции Гудкова</w:t>
      </w:r>
    </w:p>
    <w:p w14:paraId="6207E2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самолета разработан по инициативе автора – конструктора Гудкова</w:t>
      </w:r>
    </w:p>
    <w:p w14:paraId="638598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174AAF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Ведение активного воздушного боя для поражения и уничтожения самолетов противника мощным огнем в сочетании с большой скоростью полета.</w:t>
      </w:r>
    </w:p>
    <w:p w14:paraId="274BC9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схеме самолет является монопланом с низкорасположенным крылом и по внешнему виду напоминает американский самолет Белл-39 «Айркобра». Самолет спроектирован в двух вариантах: с 3-х колесным и 2-х колесным шасси.</w:t>
      </w:r>
    </w:p>
    <w:p w14:paraId="21765D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смешанной конструкции: металл+дерево.</w:t>
      </w:r>
    </w:p>
    <w:p w14:paraId="54E519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самолета в нормальном варианте:</w:t>
      </w:r>
    </w:p>
    <w:p w14:paraId="7402B5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 П-ТБ-23 мм – 81 снаряд</w:t>
      </w:r>
    </w:p>
    <w:p w14:paraId="26E788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БС-12,7 мм – 400-440 патрон</w:t>
      </w:r>
    </w:p>
    <w:p w14:paraId="1B6A01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ШКАС – 1200-1300 патрон</w:t>
      </w:r>
    </w:p>
    <w:p w14:paraId="4CD53D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Пушка устанавливается для стрельбы сквозь вал редуктора, пулеметы синхронизированы.</w:t>
      </w:r>
    </w:p>
    <w:p w14:paraId="2BAD80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перегрузочном варианте на самолете может быть установлено следующее оружие:</w:t>
      </w:r>
    </w:p>
    <w:p w14:paraId="3A2990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РС-82 мм – 8 шт.</w:t>
      </w:r>
    </w:p>
    <w:p w14:paraId="67A1A1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ШКАС в разъеме крыла – 1300 шт. патрон</w:t>
      </w:r>
    </w:p>
    <w:p w14:paraId="3EAE86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ФАБ-100 кг</w:t>
      </w:r>
    </w:p>
    <w:p w14:paraId="4877AD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ВАП-6</w:t>
      </w:r>
    </w:p>
    <w:p w14:paraId="324858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могут быть подвешены бензобаки для увеличения дальности полета самолета.</w:t>
      </w:r>
    </w:p>
    <w:p w14:paraId="1C742A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параметры самолета:</w:t>
      </w:r>
    </w:p>
    <w:p w14:paraId="2F99F9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крыла - 9,8 м</w:t>
      </w:r>
    </w:p>
    <w:p w14:paraId="41036C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- 9,72 м</w:t>
      </w:r>
    </w:p>
    <w:p w14:paraId="3B6615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- 3,1 м</w:t>
      </w:r>
    </w:p>
    <w:p w14:paraId="5642C0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- 17,5 м2</w:t>
      </w:r>
    </w:p>
    <w:p w14:paraId="59EE6F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Поперечное V - 7</w:t>
      </w:r>
    </w:p>
    <w:p w14:paraId="2B2BD9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Профиль NACA - 230</w:t>
      </w:r>
    </w:p>
    <w:p w14:paraId="4C3E40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- 3564 кг</w:t>
      </w:r>
    </w:p>
    <w:p w14:paraId="0B4C33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двигателя - 1400 лс</w:t>
      </w:r>
    </w:p>
    <w:p w14:paraId="0563C3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на м2 - 203 кг</w:t>
      </w:r>
    </w:p>
    <w:p w14:paraId="5F4767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на лс - 2,54</w:t>
      </w:r>
    </w:p>
    <w:p w14:paraId="5149BC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7000</w:t>
      </w:r>
    </w:p>
    <w:p w14:paraId="14D95B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- 134</w:t>
      </w:r>
    </w:p>
    <w:p w14:paraId="718B84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 - 374</w:t>
      </w:r>
    </w:p>
    <w:p w14:paraId="106C89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 304</w:t>
      </w:r>
    </w:p>
    <w:p w14:paraId="2EEC92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1000 м - 18 сек.</w:t>
      </w:r>
    </w:p>
    <w:p w14:paraId="44AB71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11300</w:t>
      </w:r>
    </w:p>
    <w:p w14:paraId="003EB1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0032D0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Предъявленный на рассмотрение эскизный проект и конструкции Горбунова представляет большой интерес для ВВС тем, что в нем нашло применение 3-х колесное шасси и удлиненный вал мотора, позволяющие значительно удлучшить аэродинамику в сочетании с хорошим обзором из кабины пилота.</w:t>
      </w:r>
    </w:p>
    <w:p w14:paraId="38802C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целом с-т получает ряд преимуществ перед самолетами обычной схемы и постройка самолета является крайне необходимой. Техническая возможность постройки самолета особых труднестей не представляет, тем более. что самолеты такой схемы имеются уже на вооружении зарубежных армий (Булл 39).</w:t>
      </w:r>
    </w:p>
    <w:p w14:paraId="2828A0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Запланированная автором проекта максимальная скорость 700 км/час на высоте 7000 м реальна и может быть признаной достаточной при условии поступления на госиспытания в первой половине 1941 г. Реальной является и максимальная скорость у земли в 560 км/час.</w:t>
      </w:r>
    </w:p>
    <w:p w14:paraId="3991C7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89C883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Эскизный проект одноместного одномоторного истребителя с мотором АМ-37 конструкции Гудкова в варианте с 3-х колесным шасси – одобрить.</w:t>
      </w:r>
    </w:p>
    <w:p w14:paraId="1822D49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необходимым включить постройку самолета в план 1941 года (1004,2).</w:t>
      </w:r>
    </w:p>
    <w:p w14:paraId="0B417AB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6A0CC5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Зам начальника ГУ ВВС генерал-лейтенант авиации Гусев утвердил Заключение по эскизному проекту одноместного одномоторного истребителя с мотором АМ-37 конструкции Гудкова</w:t>
      </w:r>
    </w:p>
    <w:p w14:paraId="06F220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самолета разработан по инициативе автора – конструктора Гудкова</w:t>
      </w:r>
    </w:p>
    <w:p w14:paraId="11C3A5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19B019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Ведение активного воздушного боя для поражения и уничтожения самолетов противника мощным огнем в сочетании с большой скоростью полета.</w:t>
      </w:r>
    </w:p>
    <w:p w14:paraId="13D312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схеме самолет является монопланом с низкорасположенным крылом и по внешнему виду напоминает американский самолет Белл-39 «Айркобра». Самолет спроектирован в двух вариантах: с 3-х колесным и 2-х колесным шасси.</w:t>
      </w:r>
    </w:p>
    <w:p w14:paraId="23776F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смешанной конструкции: металл+дерево.</w:t>
      </w:r>
    </w:p>
    <w:p w14:paraId="380394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самолета в нормальном варианте:</w:t>
      </w:r>
    </w:p>
    <w:p w14:paraId="7C71CB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 П-ТБ-23 мм – 81 снаряд</w:t>
      </w:r>
    </w:p>
    <w:p w14:paraId="34A847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БС-12,7 мм – 400-440 патрон</w:t>
      </w:r>
    </w:p>
    <w:p w14:paraId="36DBC4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ШКАС – 1200-1300 патрон</w:t>
      </w:r>
    </w:p>
    <w:p w14:paraId="280F7E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Пушка устанавливается для стрельбы сквозь вал редуктора, пулеметы синхронизированы.</w:t>
      </w:r>
    </w:p>
    <w:p w14:paraId="75679B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перегрузочном варианте на самолете может быть установлено следующее оружие:</w:t>
      </w:r>
    </w:p>
    <w:p w14:paraId="22D1B8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РС-82 мм – 8 шт.</w:t>
      </w:r>
    </w:p>
    <w:p w14:paraId="62A2F8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ШКАС в разъеме крыла – 1300 шт. патрон</w:t>
      </w:r>
    </w:p>
    <w:p w14:paraId="2117E4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ФАБ-100 кг</w:t>
      </w:r>
    </w:p>
    <w:p w14:paraId="2CA838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ВАП-6</w:t>
      </w:r>
    </w:p>
    <w:p w14:paraId="4C9474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могут быть подвешены бензобаки для увеличения дальности полета самолета.</w:t>
      </w:r>
    </w:p>
    <w:p w14:paraId="76382A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63BA84D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Эскизный проект одноместного одномоторного истребителя с мотором АМ-37 конструкции Гудкова в варианте с 3-х колесным шасси – одобрить.</w:t>
      </w:r>
    </w:p>
    <w:p w14:paraId="0586013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необходимым включить постройку самолета в план 1941 года (4628).</w:t>
      </w:r>
    </w:p>
    <w:p w14:paraId="00E8A8A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89A6E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вышел приказ НКАП N 521cc по вопросу о постановке на серийное производство на заводе 23 самолета И-26 (959,62).</w:t>
      </w:r>
    </w:p>
    <w:p w14:paraId="578927B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3C4E6B4"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 в соответствии с приказом Наркома авиационной промышленности А. И. Шахурина № 521 ленинградскому заводу № 23 было поручено изготовить пробную малую серию в количестве 5 машин перспективного истребителя И-301 [6, д. 49, л. 97]. Затем 6 декабря 1940 г. завод был полностью переключен на выпуск этого истребителя, названного впоследствии по имени его создателей авиаконструкторов С. А. Лавочкина, В. П. Горбунова и М. И. Гудкова ЛаГГ-3. При этом производство самолетов У-2 было передано на новый ленинградский авиазавод № 387, а УТ-2 – на авиазавод № 47.</w:t>
      </w:r>
    </w:p>
    <w:p w14:paraId="73D357B6"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с 1929 г. по 1940 г. авиационный завод № 23 выпустил около 14 000 легкомоторных самолетов У-2 различных модификаций [4, с. 3]. Авторами на основании архивных документов завода за 1938-1940 гг. подсчитано, что, кроме того, в течение этих лет путевку в небо здесь получили 672 новейших в то время учебно-тренировочных самолета УТ-2 (15728).</w:t>
      </w:r>
    </w:p>
    <w:p w14:paraId="0DD8D689" w14:textId="77777777" w:rsidR="00D2328C" w:rsidRPr="00A3026E" w:rsidRDefault="00D2328C" w:rsidP="00A3026E">
      <w:pPr>
        <w:spacing w:after="0" w:line="240" w:lineRule="auto"/>
        <w:jc w:val="both"/>
        <w:rPr>
          <w:rFonts w:ascii="Times New Roman" w:hAnsi="Times New Roman"/>
          <w:color w:val="000000" w:themeColor="text1"/>
          <w:sz w:val="16"/>
          <w:szCs w:val="16"/>
        </w:rPr>
      </w:pPr>
    </w:p>
    <w:p w14:paraId="52AAEB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Начальник ГУ ВВС генерал-лейтенант авиации Гусев утвердил Заключение по эскизному проекту ДИТ-185 с мотором М-90 конструкции Поликарпова Н.Н.</w:t>
      </w:r>
    </w:p>
    <w:p w14:paraId="020C4F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в/инженер 3 ранга Николаев</w:t>
      </w:r>
    </w:p>
    <w:p w14:paraId="2D60FE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7D1F6B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Настоящий проект является инициативным проектом главного конструктора Поликарпова.</w:t>
      </w:r>
    </w:p>
    <w:p w14:paraId="397411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предложению конструктора ДИТ-185 имеет назначение тренировочного переходного самолета с истребителей типа И-16 на истребители типа И-185 и И-180.</w:t>
      </w:r>
    </w:p>
    <w:p w14:paraId="34DA4E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ДИТ-185 является модификацией И-185. Переделка одноместного истребителя на двухместный.</w:t>
      </w:r>
    </w:p>
    <w:p w14:paraId="35FD2E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и бомбардировочное вооружение, установленное на самолете, соответствует его назначению и обеспечит переход летчиков на боевые самолеты типа И-180; И-185.</w:t>
      </w:r>
    </w:p>
    <w:p w14:paraId="4CEF15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B07D1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Эскизный проект переходного – тренировочного самолета ДИТ-185, представленный гл. конструктором Поликарповым Н.Н. – требованиям в основном удовлетворяет. Решение о постройке самолета ДИТ принять только после испытаний основного самолета И-185 (4558).</w:t>
      </w:r>
    </w:p>
    <w:p w14:paraId="4606321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6BBEA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Начальник ГУ ВВС генерал-лейтенант авиации Гусев утвердил Заключение по эскизному проекту ДИТ-185 с мотором М-90 конструкции Поликарпова Н.Н. (6598).</w:t>
      </w:r>
    </w:p>
    <w:p w14:paraId="2229BE8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в/инженер 3 ранга Николаев</w:t>
      </w:r>
    </w:p>
    <w:p w14:paraId="367E7D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2DA8711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Настоящий проект является инициативным проектом главного конструктора Поликарпова.</w:t>
      </w:r>
    </w:p>
    <w:p w14:paraId="3207B3B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предложению конструктора ДИТ-185 имеет назначение тренировочного переходного самолета с истребителей типа И-16 на истребители типа И-185 и И-180.</w:t>
      </w:r>
    </w:p>
    <w:p w14:paraId="6C86089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ДИТ-185 является модификацией И-185. Переделка одноместного истребителя на двухместный.</w:t>
      </w:r>
    </w:p>
    <w:p w14:paraId="6D052B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и бомбардировочное вооружение, установленное на самолете, соответствует его назначению и обеспечит переход летчиков на боевые самолеты типа И-180; И-185.</w:t>
      </w:r>
    </w:p>
    <w:p w14:paraId="7A517E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372643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Эскизный проект переходного – тренировочного самолета ДИТ-185, представленный гл. конструктором Поликарповым Н.Н. – требованиям в основном удовлетворяет. Решение о постройке самолета ДИТ принять только после испытаний основного самолета И-185 (6598).</w:t>
      </w:r>
    </w:p>
    <w:p w14:paraId="767B41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17DB2A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И-135 "330" М-105П – гл. конструктор Сухой выполнял полет на определение скоростей по высотам на 7000 и 6000 м продолжительностью 20 минут. При полете на максимальной скорости на высоте 6000 м у мотора оборвались шатуны в 4-м и 10-м цилиндрах, пробило картер и погнуло брус моторной рамы. Посадка произведена нормально. Предварительное заключение по аварии мотора – дефект мотора. Самолет в ночь с 3 по 4 октября перевезен на завод № 289 (Подлипки) для ремонта (3377, 26).</w:t>
      </w:r>
    </w:p>
    <w:p w14:paraId="7E3C791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0FDD3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на высоте 6000 м у И-135 произошло разрушение мотора из-за обрыва шатунов 4-го и 10-го цилиндров. Летчику П.М.Попельнюшенко удалось нормально посадить машину. На замену двигателя ушло много времени, потому что новые мотор и винт получили лишь 25 и 28 октября 1940 г. соответственно. Испытания возобновились 10 ноября 1940 г. (6406).</w:t>
      </w:r>
    </w:p>
    <w:p w14:paraId="549C2AC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6214F96" w14:textId="77777777" w:rsidR="00EE2862" w:rsidRPr="00A3026E" w:rsidRDefault="00EE28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на И-135 в полете разрушился мотор, замена ко</w:t>
      </w:r>
      <w:r w:rsidRPr="00A3026E">
        <w:rPr>
          <w:rFonts w:ascii="Times New Roman" w:hAnsi="Times New Roman"/>
          <w:color w:val="000000" w:themeColor="text1"/>
          <w:sz w:val="16"/>
          <w:szCs w:val="16"/>
        </w:rPr>
        <w:softHyphen/>
        <w:t>торого заняла еще почти месяц. 10 ноя</w:t>
      </w:r>
      <w:r w:rsidRPr="00A3026E">
        <w:rPr>
          <w:rFonts w:ascii="Times New Roman" w:hAnsi="Times New Roman"/>
          <w:color w:val="000000" w:themeColor="text1"/>
          <w:sz w:val="16"/>
          <w:szCs w:val="16"/>
        </w:rPr>
        <w:softHyphen/>
        <w:t>бря испытания продолжил летчик В.П. Фе</w:t>
      </w:r>
      <w:r w:rsidRPr="00A3026E">
        <w:rPr>
          <w:rFonts w:ascii="Times New Roman" w:hAnsi="Times New Roman"/>
          <w:color w:val="000000" w:themeColor="text1"/>
          <w:sz w:val="16"/>
          <w:szCs w:val="16"/>
        </w:rPr>
        <w:softHyphen/>
        <w:t>доров. В полетах была получена мак</w:t>
      </w:r>
      <w:r w:rsidRPr="00A3026E">
        <w:rPr>
          <w:rFonts w:ascii="Times New Roman" w:hAnsi="Times New Roman"/>
          <w:color w:val="000000" w:themeColor="text1"/>
          <w:sz w:val="16"/>
          <w:szCs w:val="16"/>
        </w:rPr>
        <w:softHyphen/>
        <w:t>симальная скорость 580 км/ч на высоте 4000 м, но в январе 1941 г. вышли из строя ТК-2 (обгорели лопатки турбины). Пока ТК ремонтировались в ЦИАМ, на са</w:t>
      </w:r>
      <w:r w:rsidRPr="00A3026E">
        <w:rPr>
          <w:rFonts w:ascii="Times New Roman" w:hAnsi="Times New Roman"/>
          <w:color w:val="000000" w:themeColor="text1"/>
          <w:sz w:val="16"/>
          <w:szCs w:val="16"/>
        </w:rPr>
        <w:softHyphen/>
        <w:t>молете выполнили доработку маслоси- стемы и в феврале продолжили полеты без ТК. С 10 марта на самолете устанав</w:t>
      </w:r>
      <w:r w:rsidRPr="00A3026E">
        <w:rPr>
          <w:rFonts w:ascii="Times New Roman" w:hAnsi="Times New Roman"/>
          <w:color w:val="000000" w:themeColor="text1"/>
          <w:sz w:val="16"/>
          <w:szCs w:val="16"/>
        </w:rPr>
        <w:softHyphen/>
        <w:t>ливали новые ТК, и к 21 апреля 1941 г. он был готов продолжать летные испыта</w:t>
      </w:r>
      <w:r w:rsidRPr="00A3026E">
        <w:rPr>
          <w:rFonts w:ascii="Times New Roman" w:hAnsi="Times New Roman"/>
          <w:color w:val="000000" w:themeColor="text1"/>
          <w:sz w:val="16"/>
          <w:szCs w:val="16"/>
        </w:rPr>
        <w:softHyphen/>
        <w:t>ния. К этому времени был закончен в по</w:t>
      </w:r>
      <w:r w:rsidRPr="00A3026E">
        <w:rPr>
          <w:rFonts w:ascii="Times New Roman" w:hAnsi="Times New Roman"/>
          <w:color w:val="000000" w:themeColor="text1"/>
          <w:sz w:val="16"/>
          <w:szCs w:val="16"/>
        </w:rPr>
        <w:softHyphen/>
        <w:t>стройке и подготовлен к испытаниям вто</w:t>
      </w:r>
      <w:r w:rsidRPr="00A3026E">
        <w:rPr>
          <w:rFonts w:ascii="Times New Roman" w:hAnsi="Times New Roman"/>
          <w:color w:val="000000" w:themeColor="text1"/>
          <w:sz w:val="16"/>
          <w:szCs w:val="16"/>
        </w:rPr>
        <w:softHyphen/>
        <w:t>рой экземпляр И-135. Но к этому времени они давно потеряли актуальность - все заводы НКАП были загружены выпуском более удачливых конкурентов, и в осталь</w:t>
      </w:r>
      <w:r w:rsidRPr="00A3026E">
        <w:rPr>
          <w:rFonts w:ascii="Times New Roman" w:hAnsi="Times New Roman"/>
          <w:color w:val="000000" w:themeColor="text1"/>
          <w:sz w:val="16"/>
          <w:szCs w:val="16"/>
        </w:rPr>
        <w:softHyphen/>
        <w:t>ных уже не было необходимости.</w:t>
      </w:r>
    </w:p>
    <w:p w14:paraId="46F6F1AD" w14:textId="77777777" w:rsidR="00EE2862" w:rsidRPr="00A3026E" w:rsidRDefault="00EE2862" w:rsidP="00A3026E">
      <w:pPr>
        <w:spacing w:after="0" w:line="240" w:lineRule="auto"/>
        <w:jc w:val="both"/>
        <w:rPr>
          <w:rFonts w:ascii="Times New Roman" w:hAnsi="Times New Roman"/>
          <w:color w:val="000000" w:themeColor="text1"/>
          <w:sz w:val="16"/>
          <w:szCs w:val="16"/>
        </w:rPr>
      </w:pPr>
    </w:p>
    <w:p w14:paraId="0AA25EEE"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на высоте 6000 м произошло разрушение мотора И-135 из-за обрыва шатунов 4-го и 10-го цилиндров. Летчику удалось нормально посадить машину. Новый мотор получили лишь в конце октября. Испытания возобновились 10 ноября. Из-за болезни П.М.Попельнюшенко дальнейшие полеты продолжил летчик-испытатель В.П.Федоров. До конца 1940 года по программе испытаний были выполнены следующие работы:</w:t>
      </w:r>
    </w:p>
    <w:p w14:paraId="12208537"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определены взлетно-посадочные характеристиками;</w:t>
      </w:r>
    </w:p>
    <w:p w14:paraId="04A33DAA"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сняты балансировочные кривые в горизонтальном полете, при планировании и при наборе высоты;</w:t>
      </w:r>
    </w:p>
    <w:p w14:paraId="05815C75"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сняты максимальные скорости на высотах до 6000 м. (зафиксирована максимальная скорость 580 км/ч на высоте 4000 м);</w:t>
      </w:r>
    </w:p>
    <w:p w14:paraId="4EC4A2BC"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определена скороподъемность до 5000 м;</w:t>
      </w:r>
    </w:p>
    <w:p w14:paraId="68A3E2E8"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проведено испытание на флаттер и бафтинг в диапазоне скоростей от 150 до 600 км/ч по прибору;</w:t>
      </w:r>
    </w:p>
    <w:p w14:paraId="7244CB99"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 отстрел оружия в тире.</w:t>
      </w:r>
    </w:p>
    <w:p w14:paraId="5443AD4F"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летных испытаний самолет Су-1 показал хорошую продольную и поперечную устойчивость. Взлет и посадка отличались простотой и никаких особенностей не имели. Усилия на ручку и педали – нормальные (15578).</w:t>
      </w:r>
    </w:p>
    <w:p w14:paraId="435C8BF0" w14:textId="77777777" w:rsidR="00D2328C" w:rsidRPr="00A3026E" w:rsidRDefault="00D2328C" w:rsidP="00A3026E">
      <w:pPr>
        <w:spacing w:after="0" w:line="240" w:lineRule="auto"/>
        <w:jc w:val="both"/>
        <w:rPr>
          <w:rFonts w:ascii="Times New Roman" w:hAnsi="Times New Roman"/>
          <w:color w:val="000000" w:themeColor="text1"/>
          <w:sz w:val="16"/>
          <w:szCs w:val="16"/>
        </w:rPr>
      </w:pPr>
    </w:p>
    <w:p w14:paraId="507140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в связи с поломкой мотора прервались испытания с-та И-135 М-105П 2ТК-2 конструкции т.Сухого П.О. производства з-да № 135в лаборатории № 8 ЦАГИ, которые проходили с 15 июня 1940.</w:t>
      </w:r>
    </w:p>
    <w:p w14:paraId="23CAA8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Было произведено 33 полета, самолет пробыл в воздухе 7,5 час.</w:t>
      </w:r>
    </w:p>
    <w:p w14:paraId="30B7C1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 посадка и движение самолета по земле устойчивы, тенденции к разворотам и рысканью не наблюдалось при разном открытии щитков (от 0° до 55°).</w:t>
      </w:r>
    </w:p>
    <w:p w14:paraId="14920A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предварительной (качественной) оценке летчиков т.т. Черняв</w:t>
      </w:r>
      <w:r w:rsidRPr="00A3026E">
        <w:rPr>
          <w:rFonts w:ascii="Times New Roman" w:hAnsi="Times New Roman"/>
          <w:color w:val="000000" w:themeColor="text1"/>
          <w:sz w:val="16"/>
          <w:szCs w:val="16"/>
        </w:rPr>
        <w:softHyphen/>
        <w:t>ского и Попельнушенко самолет устойчив по всем трем осям, приятен и прост в управлении. Несколько великоваты усилия на ручке управления от рулем высоты.</w:t>
      </w:r>
    </w:p>
    <w:p w14:paraId="419CFE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Вибрации типа бафтинг и флаттер на самолете отсутствуют. Испы</w:t>
      </w:r>
      <w:r w:rsidRPr="00A3026E">
        <w:rPr>
          <w:rFonts w:ascii="Times New Roman" w:hAnsi="Times New Roman"/>
          <w:color w:val="000000" w:themeColor="text1"/>
          <w:sz w:val="16"/>
          <w:szCs w:val="16"/>
        </w:rPr>
        <w:softHyphen/>
        <w:t>тания проводились в диапазоне скоростей от 150 км/час. до 600 км/ час. по прибору.</w:t>
      </w:r>
    </w:p>
    <w:p w14:paraId="3EE69B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Винто-мторная группа и шасси нуждаются в дальнейшей доводке (были случаи затирания и невыпуска шасси в воздухе гидропомпой, установленной на моторе).</w:t>
      </w:r>
    </w:p>
    <w:p w14:paraId="2FEEA9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аварией мотора испытания самолета с 2/Х-40 г. прекращены и последний отправлен на з-д №- 289 для смены мотора, установки вооружения и устранения выявленных при испытании дефектов.</w:t>
      </w:r>
    </w:p>
    <w:p w14:paraId="71E06D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испытании самолет находился 85 дней на устра</w:t>
      </w:r>
      <w:r w:rsidRPr="00A3026E">
        <w:rPr>
          <w:rFonts w:ascii="Times New Roman" w:hAnsi="Times New Roman"/>
          <w:color w:val="000000" w:themeColor="text1"/>
          <w:sz w:val="16"/>
          <w:szCs w:val="16"/>
        </w:rPr>
        <w:softHyphen/>
        <w:t>нении дефектов и в ремонте после 1-й аварии (874,75).</w:t>
      </w:r>
    </w:p>
    <w:p w14:paraId="49DEFC4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A80D2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на высоте 6000 м произошло разру</w:t>
      </w:r>
      <w:r w:rsidRPr="00A3026E">
        <w:rPr>
          <w:rFonts w:ascii="Times New Roman" w:hAnsi="Times New Roman"/>
          <w:color w:val="000000" w:themeColor="text1"/>
          <w:sz w:val="16"/>
          <w:szCs w:val="16"/>
        </w:rPr>
        <w:softHyphen/>
        <w:t>шение мотора из-за обрыва шату</w:t>
      </w:r>
      <w:r w:rsidRPr="00A3026E">
        <w:rPr>
          <w:rFonts w:ascii="Times New Roman" w:hAnsi="Times New Roman"/>
          <w:color w:val="000000" w:themeColor="text1"/>
          <w:sz w:val="16"/>
          <w:szCs w:val="16"/>
        </w:rPr>
        <w:softHyphen/>
        <w:t>нов 4-го и 10-го цилиндров и И-135. Летчи</w:t>
      </w:r>
      <w:r w:rsidRPr="00A3026E">
        <w:rPr>
          <w:rFonts w:ascii="Times New Roman" w:hAnsi="Times New Roman"/>
          <w:color w:val="000000" w:themeColor="text1"/>
          <w:sz w:val="16"/>
          <w:szCs w:val="16"/>
        </w:rPr>
        <w:softHyphen/>
        <w:t>ку удалось нормально посадить машину. Новый мотор получили лишь в конце октября. Испытания возобновились 10 ноября. Из-за болезни П.М.Попельнюшенко даль</w:t>
      </w:r>
      <w:r w:rsidRPr="00A3026E">
        <w:rPr>
          <w:rFonts w:ascii="Times New Roman" w:hAnsi="Times New Roman"/>
          <w:color w:val="000000" w:themeColor="text1"/>
          <w:sz w:val="16"/>
          <w:szCs w:val="16"/>
        </w:rPr>
        <w:softHyphen/>
        <w:t>нейшие полеты продолжил летчик-испытатель В.П.Федоров. До конца 1940 года по программе испыта</w:t>
      </w:r>
      <w:r w:rsidRPr="00A3026E">
        <w:rPr>
          <w:rFonts w:ascii="Times New Roman" w:hAnsi="Times New Roman"/>
          <w:color w:val="000000" w:themeColor="text1"/>
          <w:sz w:val="16"/>
          <w:szCs w:val="16"/>
        </w:rPr>
        <w:softHyphen/>
        <w:t>ний были выполнены следующие работы:</w:t>
      </w:r>
    </w:p>
    <w:p w14:paraId="0B233C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определены взлетно-посадоч</w:t>
      </w:r>
      <w:r w:rsidRPr="00A3026E">
        <w:rPr>
          <w:rFonts w:ascii="Times New Roman" w:hAnsi="Times New Roman"/>
          <w:color w:val="000000" w:themeColor="text1"/>
          <w:sz w:val="16"/>
          <w:szCs w:val="16"/>
        </w:rPr>
        <w:softHyphen/>
        <w:t>ные характеристиками;</w:t>
      </w:r>
    </w:p>
    <w:p w14:paraId="61C8EF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сняты балансировочные кри</w:t>
      </w:r>
      <w:r w:rsidRPr="00A3026E">
        <w:rPr>
          <w:rFonts w:ascii="Times New Roman" w:hAnsi="Times New Roman"/>
          <w:color w:val="000000" w:themeColor="text1"/>
          <w:sz w:val="16"/>
          <w:szCs w:val="16"/>
        </w:rPr>
        <w:softHyphen/>
        <w:t>вые в горизонтальном полете, при планировании и при наборе высо</w:t>
      </w:r>
      <w:r w:rsidRPr="00A3026E">
        <w:rPr>
          <w:rFonts w:ascii="Times New Roman" w:hAnsi="Times New Roman"/>
          <w:color w:val="000000" w:themeColor="text1"/>
          <w:sz w:val="16"/>
          <w:szCs w:val="16"/>
        </w:rPr>
        <w:softHyphen/>
        <w:t>ты;</w:t>
      </w:r>
    </w:p>
    <w:p w14:paraId="7489A7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сняты максимальные скорости на высотах до 6000 м. (зафиксирова</w:t>
      </w:r>
      <w:r w:rsidRPr="00A3026E">
        <w:rPr>
          <w:rFonts w:ascii="Times New Roman" w:hAnsi="Times New Roman"/>
          <w:color w:val="000000" w:themeColor="text1"/>
          <w:sz w:val="16"/>
          <w:szCs w:val="16"/>
        </w:rPr>
        <w:softHyphen/>
        <w:t>на максимальная скорость 580 км/ч на высоте 4000 м);</w:t>
      </w:r>
    </w:p>
    <w:p w14:paraId="5FE587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определена скороподъемность до 5000 м;</w:t>
      </w:r>
    </w:p>
    <w:p w14:paraId="039988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проведено испытание на флат</w:t>
      </w:r>
      <w:r w:rsidRPr="00A3026E">
        <w:rPr>
          <w:rFonts w:ascii="Times New Roman" w:hAnsi="Times New Roman"/>
          <w:color w:val="000000" w:themeColor="text1"/>
          <w:sz w:val="16"/>
          <w:szCs w:val="16"/>
        </w:rPr>
        <w:softHyphen/>
        <w:t>тер и бафтинг в диапазоне скорос</w:t>
      </w:r>
      <w:r w:rsidRPr="00A3026E">
        <w:rPr>
          <w:rFonts w:ascii="Times New Roman" w:hAnsi="Times New Roman"/>
          <w:color w:val="000000" w:themeColor="text1"/>
          <w:sz w:val="16"/>
          <w:szCs w:val="16"/>
        </w:rPr>
        <w:softHyphen/>
        <w:t>тей от 150 до 600 км/ч по прибору;</w:t>
      </w:r>
    </w:p>
    <w:p w14:paraId="341807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произведен отстрел оружия в тире.</w:t>
      </w:r>
    </w:p>
    <w:p w14:paraId="18F2EB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летных испытаний само</w:t>
      </w:r>
      <w:r w:rsidRPr="00A3026E">
        <w:rPr>
          <w:rFonts w:ascii="Times New Roman" w:hAnsi="Times New Roman"/>
          <w:color w:val="000000" w:themeColor="text1"/>
          <w:sz w:val="16"/>
          <w:szCs w:val="16"/>
        </w:rPr>
        <w:softHyphen/>
        <w:t>лет Су-1 показал хорошую продоль</w:t>
      </w:r>
      <w:r w:rsidRPr="00A3026E">
        <w:rPr>
          <w:rFonts w:ascii="Times New Roman" w:hAnsi="Times New Roman"/>
          <w:color w:val="000000" w:themeColor="text1"/>
          <w:sz w:val="16"/>
          <w:szCs w:val="16"/>
        </w:rPr>
        <w:softHyphen/>
        <w:t>ную и поперечную устойчивость. Взлет и посадка отличались просто</w:t>
      </w:r>
      <w:r w:rsidRPr="00A3026E">
        <w:rPr>
          <w:rFonts w:ascii="Times New Roman" w:hAnsi="Times New Roman"/>
          <w:color w:val="000000" w:themeColor="text1"/>
          <w:sz w:val="16"/>
          <w:szCs w:val="16"/>
        </w:rPr>
        <w:softHyphen/>
        <w:t>той и никаких особенностей не име</w:t>
      </w:r>
      <w:r w:rsidRPr="00A3026E">
        <w:rPr>
          <w:rFonts w:ascii="Times New Roman" w:hAnsi="Times New Roman"/>
          <w:color w:val="000000" w:themeColor="text1"/>
          <w:sz w:val="16"/>
          <w:szCs w:val="16"/>
        </w:rPr>
        <w:softHyphen/>
        <w:t>ли. Усилия на ручку и педали - нор</w:t>
      </w:r>
      <w:r w:rsidRPr="00A3026E">
        <w:rPr>
          <w:rFonts w:ascii="Times New Roman" w:hAnsi="Times New Roman"/>
          <w:color w:val="000000" w:themeColor="text1"/>
          <w:sz w:val="16"/>
          <w:szCs w:val="16"/>
        </w:rPr>
        <w:softHyphen/>
        <w:t>мальные (11847).</w:t>
      </w:r>
    </w:p>
    <w:p w14:paraId="3A4FBF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07264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w:t>
      </w:r>
      <w:r w:rsidRPr="00A3026E">
        <w:rPr>
          <w:rFonts w:ascii="Times New Roman" w:hAnsi="Times New Roman"/>
          <w:color w:val="000000" w:themeColor="text1"/>
          <w:sz w:val="16"/>
          <w:szCs w:val="16"/>
        </w:rPr>
        <w:softHyphen/>
        <w:t>бря 1940 в акватории гидробазы завода №31 прошли первые рулежки и пробежки КОР-2 (ЦКБ ЬС-9) (10685).</w:t>
      </w:r>
    </w:p>
    <w:p w14:paraId="5F78C6B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76B59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на КОР-2, выпущенном с завода несколько дней назад, была произведена первая рулежка на Азовском море (2555,167). Г.М.Б. призывал своих сотрудников относиться к постройке КОР-2 самым серьезным образом, т7к. от него зависела судьба всего ОКБ (2870,31).</w:t>
      </w:r>
    </w:p>
    <w:p w14:paraId="2C5C38D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8FD2E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Зам начальника ГУ ВВС утвердил Заключение по эскизному проекту геликоптера 2МГ конструкции проф. Юрьева и инженера Братухина</w:t>
      </w:r>
    </w:p>
    <w:p w14:paraId="53E621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Строящая организация – КБ-3 МАИ</w:t>
      </w:r>
    </w:p>
    <w:p w14:paraId="3EA124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геликоптер 2МГ значится в плане опытного строительства на 1939-1940 г.г.</w:t>
      </w:r>
    </w:p>
    <w:p w14:paraId="4711FB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предъявления на гос. испытания 1-го экземпляра 1 мая 1941 года, второго – 1 августа 1941 года.</w:t>
      </w:r>
    </w:p>
    <w:p w14:paraId="17FA81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геликоптера</w:t>
      </w:r>
    </w:p>
    <w:p w14:paraId="0048B8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Экспериментальный, двухместный геликоптер с двумя несущими трехлопастными винтами пропульсивного действия.</w:t>
      </w:r>
    </w:p>
    <w:p w14:paraId="00DB85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 2 человека</w:t>
      </w:r>
    </w:p>
    <w:p w14:paraId="00ADDD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схеме геликоптер 2МГ является двухмоторным аппаратом с двумя трехлопастными винтами, расположенными по сторонам фюзеляжа на боковых фермах по типу геликоптера Фокке-Вульф.</w:t>
      </w:r>
    </w:p>
    <w:p w14:paraId="29161C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0605E1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Эскизный проект геликоптера в части схемы аппарата – утвердить (4629).</w:t>
      </w:r>
    </w:p>
    <w:p w14:paraId="1C07108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561188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вышел приказ НИИ ВВС № 0248</w:t>
      </w:r>
    </w:p>
    <w:p w14:paraId="79B1231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Государственное 100-часовое испытание мотора М-40 Ф ЦИАМ на станке (6890, 156).</w:t>
      </w:r>
    </w:p>
    <w:p w14:paraId="1B9C83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E5B4A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Решением Политбюро ЦК ВКП(б) № П 21 / 46 – ОП было утверждено Постановление СНК СССР и ЦК ВКП(б) «Об увеличении дальностей истребителей и постановке их производства на заводах».</w:t>
      </w:r>
    </w:p>
    <w:p w14:paraId="6F3D82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Пятый пункт данного Постановления касался завода № 23 и обязывал наркома авиапромышленности А.И. Шахурина, а также директора завода Фролова П.В.: «а) в изменение постановления № 1369-534сс от 26.VII.</w:t>
      </w:r>
    </w:p>
    <w:p w14:paraId="25C33F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года заводу № 23 ограничить выпуск самолетов И-301 5 машинами к 1 января 1941 года для проверки этого самолета на войсковых испытаниях; б) перейти с января 1941 года на производство самолетов И-26 улучшенных».</w:t>
      </w:r>
    </w:p>
    <w:p w14:paraId="4E6394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Восьмой пункт данного Постановления обязывал Шахурина и директора завода № 380 Баринова С.С. «с января 1941 года перейти на производство двухмоторного истребителя конструкции тов. Яковлева А.С.» (Там же. Л. 125-126.).</w:t>
      </w:r>
    </w:p>
    <w:p w14:paraId="5D3D37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всего лишь неделю спустя, решением Политбюро ЦК ВКП(б) № П 21 / 117 – ОП от 9 октября 1940 года «О самолете И-301», в частности, предписывалось во изменение постановления ЦК ВКП(б) и СНК СССР от 2 октября 1940 года о постановке на серийное производство на заводе № 23 самолета И-26 поставить серийное производство самолетов И-301 на заводе № 23 с дальностью полета в 1000 км на 0,9 максимальной скорости (Там же. Л. 129-130.).</w:t>
      </w:r>
    </w:p>
    <w:p w14:paraId="10972C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для ленинградских авиапредприятий №№ 23, 47, 380, 381, 387 была составлена программа выпуска продукции на следующий, 1941 год, согласно которой предполагалось изготовить 4260 самолетов шести типов (см. Таблицу 8 раздела «Приложения»), однако и она не была окончательной. Так, решением Политбюро ЦК ВКП(б) от 12 февраля 1941 года утверждалось Постановление ЦК ВКП(б) и СНК СССР «О снятии с производства самолета Як-4 и постановлении на производство Ил-2 на заводе № 380» (Степанов А.С. Указ. соч. С.69.).</w:t>
      </w:r>
    </w:p>
    <w:p w14:paraId="12904D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же касается итогов производства 1940 года, то они отражены в Таблице 6 раздела «Приложения». Из нее следует, что в Ленинграде по-прежнему производилась основная часть небоевых самолетов СССР, но доля учебных машин «ленинградской генерации» составила чуть более 10% от общего числа произведенных в стране самолетов всех типов, что означало двукратное относительное снижение по сравнению с аналогичным соотношением 1939 года. В абсолютных цифрах тогда в Ленинграде было изготовлено больше учебных машин, чем в 1940 году предприятия всей страны выпустили небоевых самолетов всех типов. Это отражало общие тенденции перестройки авиапрома и означало, что резкий рост военной авиации происходит за счет снижения выпуска всех прочих категорий самолетов, в том числе и за счет недополучения учебных машин. Так, в Материалах по годовому отчету 6-го Управления ГУ ВВС КА за 1940 год сообщалось, что завод № 23 выполнил за первое полугодие программу по С-2, У-2, УТ2, но позже ситуация изменилась: «Во втором полугодии заказа на поставку 800 самолетов У-2 завод не принял, мотивируя тем, что НКАП дал указание заводу переключиться на изготовление самолета И-301. По этой же причине завод недовыполнил годовую программу по С-2 и УТ-2»( РГВА. Ф. 29. Оп. 56. Д. 182. Л. 1, 8-9.).</w:t>
      </w:r>
    </w:p>
    <w:p w14:paraId="4500DE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подсчетам А.Н. Щербы, в начале 1939 года в Ленинграде работало два авиазавода, подведомственных НКАП, а к началу Великой Отечественной войны в городе было развернуто уже 14 заводов НКАП, включая собственно самолетостроительные и авиаремонтные (без учета кооперировавших с ними предприятий и спеццехов других наркоматов, занимавшихся выпуском отдельных деталей, приборов и механизмов для авиапрома) (Щерба А.Н. Военная промышленность Ленинграда в 20-е – 30-е годы. СПб., 1999. С. 130.).</w:t>
      </w:r>
    </w:p>
    <w:p w14:paraId="4D5B5F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Подводя итоги предвоенной перестройки и расширения ленинградского авиапрома, можно отметить, что даже в существовавших планах не предусматривался крупномасштабный выпуск самолетов нового поколения в первом полугодии 1941 года, то есть к реально начавшимся боевым действиям, а практические результаты оказались еще более скромными (см. Таблицу 9 раздела «Приложения»). До начала войны заводами №№ 380 и 381 не было сдано ни одного штурмовика Ил-2, а выпуск самолета ЛаГГ-3 составил неполных три десятка. За первое полугодие 1941 года на авиамоторном заводе № 234 удалось собрать 71 двигатель М-105 и его модификаций (Подсчитано по: РГАЭ. Ф. 8044. Оп.1. Д. 3228. Л. 30 об.).</w:t>
      </w:r>
    </w:p>
    <w:p w14:paraId="4578C1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Примечательно, что, согласно пункту 17 протокола последнего предвоенного совещания заместителей наркома авиационной промышленности от 16 июня 1941 года, первым в повестке дня очередного заседания Коллегии, намеченного на 23 июня 1941 года, был вопрос «Работа заводов № 380 и № 381 по подготовке производства к выпуску самолетов Ил-2». В числе докладчиков значились Ленкин, Филимончук, Жуков (1941 год. Документы. Кн. 2. С. 378, 380.).</w:t>
      </w:r>
    </w:p>
    <w:p w14:paraId="44A24C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нападения Германии практически сразу же началась подготовка к эвакуации самолетостроительных ленинградских предприятий и главный их вклад в оборону страны заключался в выпуске в первом полугодии около 1000 учебных машин «старых» конструкций (11672).</w:t>
      </w:r>
    </w:p>
    <w:p w14:paraId="2167DBF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87199A7" w14:textId="77777777" w:rsidR="00E747F5" w:rsidRPr="00A3026E" w:rsidRDefault="00E747F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октября 1940</w:t>
      </w:r>
    </w:p>
    <w:p w14:paraId="692099B2" w14:textId="77777777" w:rsidR="00E747F5" w:rsidRPr="00A3026E" w:rsidRDefault="00E747F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1028. Решения ПБ за 27 сентября — 28 октября 1940 г. (протокол № 21)</w:t>
      </w:r>
    </w:p>
    <w:p w14:paraId="22B52F70" w14:textId="77777777" w:rsidR="00E747F5" w:rsidRPr="00A3026E" w:rsidRDefault="00E747F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02.Х.40 г.</w:t>
      </w:r>
    </w:p>
    <w:p w14:paraId="1BE99323" w14:textId="77777777" w:rsidR="00E747F5" w:rsidRPr="00A3026E" w:rsidRDefault="00E747F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46. Об увеличении дальности истребителей и о постановке их производства на заводах (постановление СНК СССР и ЦК ВКП(б)). — ОП (20920).</w:t>
      </w:r>
    </w:p>
    <w:p w14:paraId="6ABE6913" w14:textId="77777777" w:rsidR="00E747F5" w:rsidRPr="00A3026E" w:rsidRDefault="00E747F5" w:rsidP="00A3026E">
      <w:pPr>
        <w:spacing w:after="0" w:line="240" w:lineRule="auto"/>
        <w:jc w:val="both"/>
        <w:rPr>
          <w:rFonts w:ascii="Times New Roman" w:hAnsi="Times New Roman"/>
          <w:color w:val="0070C0"/>
          <w:sz w:val="16"/>
          <w:szCs w:val="16"/>
        </w:rPr>
      </w:pPr>
    </w:p>
    <w:p w14:paraId="286D4CC6"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2 октября 1940 г. в соответствии с приказом Наркома авиационной промышленности А. И. Шахурина № 521 ленинградскому заводу № 23 было поручено изготовить пробную малую серию в количестве 5 машин перспективного истребителя И-301 [6, д. 49, л. 97]. Затем 6 декабря 1940 г. завод был полностью переключен на выпуск этого истребителя, названного впоследствии по имени его создателей авиаконструкторов С. А. Лавочкина, В. П. Горбунова и М. И. Гудкова ЛаГГ-3.</w:t>
      </w:r>
    </w:p>
    <w:p w14:paraId="0426FF75"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При этом производство самолетов У-2 было передано на новый ленинградский авиазавод № 387, а УТ-2 – на авиазавод № 47.</w:t>
      </w:r>
    </w:p>
    <w:p w14:paraId="6722CF78"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Всего с 1929 г. по 1940 г. авиационный завод № 23 выпустил около 14 000 легкомоторных самолетов У-2 различных модификаций [4, с. 3]. Авторами на основании архивных документов завода за 1938-1940 гг. подсчитано, что, кроме того, в течение этих лет путевку в небо здесь получили 672 новейших в то время учебно-тренировочных самолета УТ-2 (12697).</w:t>
      </w:r>
    </w:p>
    <w:p w14:paraId="3D7E0FA0"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p>
    <w:p w14:paraId="282A4F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вышел Приказ НКАП N 518 (1529,50) о технологической дисциплине на заводах. Был выпущен по инициативе И.В.Сталина и утвержден СНК (6,87).</w:t>
      </w:r>
    </w:p>
    <w:p w14:paraId="7A3BD48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455313B"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Шахурин писал письмо N Н-20/2324 Вознесенскому.</w:t>
      </w:r>
    </w:p>
    <w:p w14:paraId="334E9DBE"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Вашего указания, докладываю о мерах, принятых по письму завода N 51.</w:t>
      </w:r>
    </w:p>
    <w:p w14:paraId="6A065EC8"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Директору и гл. конструктору завода Поликарпову Н.Н. представлен месячный отпуск и выданы ему и его семье путевки на курорт и денежное пособие на лечение.</w:t>
      </w:r>
    </w:p>
    <w:p w14:paraId="116F19EB"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 созданию производственной базы:</w:t>
      </w:r>
    </w:p>
    <w:p w14:paraId="6E41F820"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утверждено проектное задание по заводу N 51.</w:t>
      </w:r>
    </w:p>
    <w:p w14:paraId="73D8E6D2"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(3370,116).</w:t>
      </w:r>
    </w:p>
    <w:p w14:paraId="631C0896"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p>
    <w:p w14:paraId="45825D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 октября 1940 г. в авиационной промышленности действовал суровый приказ №118 о технологической дисциплине, который был выпущен по настоянию Сталина, лично этот приказ отредактировавшего. В соответствии с ним, изменения в конструкцию самолета или двигателя, прошедшего государственные испытания, могли вноситься только с разрешения правительства. Приказ предусматривал суровое наказание для нарушителей технологической дисциплины и сыграл положительную роль в решении задачи увеличения выпуска боевых самолетов в годы войны. В то же время из-за необходимости согласовании в правительственных инстанциях он увеличивал сроки внесения в конструкцию серийного самолета изменений, предназначенных для улучшения его летно-тактических данных (9528).</w:t>
      </w:r>
    </w:p>
    <w:p w14:paraId="3559209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744FB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 вышел приказ по НКАП № 518, согласно которому лю</w:t>
      </w:r>
      <w:r w:rsidRPr="00A3026E">
        <w:rPr>
          <w:rFonts w:ascii="Times New Roman" w:hAnsi="Times New Roman"/>
          <w:color w:val="000000" w:themeColor="text1"/>
          <w:sz w:val="16"/>
          <w:szCs w:val="16"/>
        </w:rPr>
        <w:softHyphen/>
        <w:t>бые изменения в конструкции маши</w:t>
      </w:r>
      <w:r w:rsidRPr="00A3026E">
        <w:rPr>
          <w:rFonts w:ascii="Times New Roman" w:hAnsi="Times New Roman"/>
          <w:color w:val="000000" w:themeColor="text1"/>
          <w:sz w:val="16"/>
          <w:szCs w:val="16"/>
        </w:rPr>
        <w:softHyphen/>
        <w:t>ны и технологии ее производства раз</w:t>
      </w:r>
      <w:r w:rsidRPr="00A3026E">
        <w:rPr>
          <w:rFonts w:ascii="Times New Roman" w:hAnsi="Times New Roman"/>
          <w:color w:val="000000" w:themeColor="text1"/>
          <w:sz w:val="16"/>
          <w:szCs w:val="16"/>
        </w:rPr>
        <w:softHyphen/>
        <w:t>решалось производить лишь с разре</w:t>
      </w:r>
      <w:r w:rsidRPr="00A3026E">
        <w:rPr>
          <w:rFonts w:ascii="Times New Roman" w:hAnsi="Times New Roman"/>
          <w:color w:val="000000" w:themeColor="text1"/>
          <w:sz w:val="16"/>
          <w:szCs w:val="16"/>
        </w:rPr>
        <w:softHyphen/>
        <w:t>шения Наркома Авиапрома. Невы</w:t>
      </w:r>
      <w:r w:rsidRPr="00A3026E">
        <w:rPr>
          <w:rFonts w:ascii="Times New Roman" w:hAnsi="Times New Roman"/>
          <w:color w:val="000000" w:themeColor="text1"/>
          <w:sz w:val="16"/>
          <w:szCs w:val="16"/>
        </w:rPr>
        <w:softHyphen/>
        <w:t>полнение этого требования квалифи</w:t>
      </w:r>
      <w:r w:rsidRPr="00A3026E">
        <w:rPr>
          <w:rFonts w:ascii="Times New Roman" w:hAnsi="Times New Roman"/>
          <w:color w:val="000000" w:themeColor="text1"/>
          <w:sz w:val="16"/>
          <w:szCs w:val="16"/>
        </w:rPr>
        <w:softHyphen/>
        <w:t>цировалось как “...преступление, кото</w:t>
      </w:r>
      <w:r w:rsidRPr="00A3026E">
        <w:rPr>
          <w:rFonts w:ascii="Times New Roman" w:hAnsi="Times New Roman"/>
          <w:color w:val="000000" w:themeColor="text1"/>
          <w:sz w:val="16"/>
          <w:szCs w:val="16"/>
        </w:rPr>
        <w:softHyphen/>
        <w:t>рое наносит вред государству и подрыва</w:t>
      </w:r>
      <w:r w:rsidRPr="00A3026E">
        <w:rPr>
          <w:rFonts w:ascii="Times New Roman" w:hAnsi="Times New Roman"/>
          <w:color w:val="000000" w:themeColor="text1"/>
          <w:sz w:val="16"/>
          <w:szCs w:val="16"/>
        </w:rPr>
        <w:softHyphen/>
        <w:t>ет оборону страны...” со всеми вытека</w:t>
      </w:r>
      <w:r w:rsidRPr="00A3026E">
        <w:rPr>
          <w:rFonts w:ascii="Times New Roman" w:hAnsi="Times New Roman"/>
          <w:color w:val="000000" w:themeColor="text1"/>
          <w:sz w:val="16"/>
          <w:szCs w:val="16"/>
        </w:rPr>
        <w:softHyphen/>
        <w:t>ющими последствиями.. (4140).</w:t>
      </w:r>
    </w:p>
    <w:p w14:paraId="6C762C1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C86A8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 вышел Указ Президиума Верховного Совета СССР "О государственных трудовых резервах", сыгравший очень важную роль в формировании централизованной системы воспроизводства кадров и переподготовки по новым специальностям. То, что раньше являлось индивидуальным делом каждого предприятия, стало решаться на государственном уровне с подключением всех органов власти.</w:t>
      </w:r>
    </w:p>
    <w:p w14:paraId="24F751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ведущую роль в экономике города за вода №125 и оборон н ы й ха ра кте р выпускаемой им продукции, городские власти и партийная организация Иркутска решили создать при авиазаводе ремесленное училище (РУ). Завод как базовое предприятие выделил под производственные мастерские двухэтажное здание общей площадью 1106 кв. м, три барака под общежитие, столовую, клуб и учебный корпус. Костяк нового РУ-2 сложился из преподавателей фабрично-заводского училища, а директором был назначен бывший руководитель ФЗУ П.Ф.Балберов.</w:t>
      </w:r>
    </w:p>
    <w:p w14:paraId="3F0C21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Первых учеников набрали в октябре из жителей Авиагородка и Ленинского района Иркутска. Они уже приступили к занятиям, a в окрестных селах, в военном городке, в Черемхове продолжался набор. Всего из 370 учащихся сформировали 16 групп (одна - столяров, три группы токарей и 12 групп слесарей). Учебная программа была рассчитана на два года и предусматривала подготовку рабочих 4-5 разряда по существовавшей тогда тарифной сетке.</w:t>
      </w:r>
    </w:p>
    <w:p w14:paraId="4F7262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РУ-2 (впоследствии - ПТУ-2) сыграло важнейшую роль в обеспечении завода рабочими кадрами. Молодым парням, приступившим в октябре 1940 г. к обучению, предстояло буквально через год совместить занятия с решением стратегической для страны задачи - обеспечением нарастающего по объему выпуска боевых самолетов. Их доучивали на рабочем месте кадровые работники завода и прибывшие из Москвы специалисты 39-го завода им. /Менжинского. Передвойной вступил в строй Иркутский авиационный техникум, в стенах которого готовили специалистов среднего руководящего звена для цехов и конструкторов-технологов. Принятые на государственном уровне жесткие меры дали свои результаты (12037).</w:t>
      </w:r>
    </w:p>
    <w:p w14:paraId="7245E38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E35EE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 за № 470284с было письмо ЗАМЕСТИТЕЛЮ НАЧАЛЬНИКА ЦЕНТРАЛЬНОГО АЭРОГИДРОДИНАМИЧЕСКОГО ИНСТИТУТА НКАП СССР Т. ШУМОВСКОМУ С. А.</w:t>
      </w:r>
    </w:p>
    <w:p w14:paraId="760CBE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 7/2161С Аварийный бюллетень по строевым частям ВВС Красной армии издается совершенно секретным порядком и его использование ограничено определенными частями и учреждениями в соответствии с разверсткой, утвержденной Центральной Военной Цензурой Красной армии.</w:t>
      </w:r>
    </w:p>
    <w:p w14:paraId="61F278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считаю возможным разрешить использование Аварийных бюллетеней для широкого распространения хотя бы и секретным порядком.</w:t>
      </w:r>
    </w:p>
    <w:p w14:paraId="2E13E7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специального изучения Вам могут быть предоставлены отдельные материалы по особому разрешению Начальника ГУ ВВС Красной армии, но без права помещать эти материалы в какие бы то ни было печатные издания.</w:t>
      </w:r>
    </w:p>
    <w:p w14:paraId="4C9357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1 УПРАВЛЕНИЯ ГУ ВВС КРАСНОЙ АРМИИ ГЕНЕРАЛ-ЛЕЙТЕНАНТ АВИАЦИИ /подпись/ /ПУМПУР/» (Там же. Л. 56.) (11672).</w:t>
      </w:r>
    </w:p>
    <w:p w14:paraId="4B88272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15377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начальник 8 Управления ГУ ВВС в/инженер 1 ранга Никонов писал письмо № 522469с секретарю КО Пугаеву</w:t>
      </w:r>
    </w:p>
    <w:p w14:paraId="3A19BC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 8448/КО</w:t>
      </w:r>
    </w:p>
    <w:p w14:paraId="086F0E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Всесоюзная Пром. Академия им. И.В. Сталина – для слушателя С. Петровского</w:t>
      </w:r>
    </w:p>
    <w:p w14:paraId="277CCE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Ново-Басманная, 20</w:t>
      </w:r>
    </w:p>
    <w:p w14:paraId="7A0C6E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Вопрос о изготовлении корпусов авиабомб из керамических масс не является новым.</w:t>
      </w:r>
    </w:p>
    <w:p w14:paraId="4A04AE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Управление ГУ ВВС с 1938 года занимается этим вопросом и провело ряд опытных работ по изготовлению корпусов из керамических масс.</w:t>
      </w:r>
    </w:p>
    <w:p w14:paraId="30953B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Проводимые работы дали неудовлетворительные результаты, в основном по прочности корпусов. Вследствие малой прочности, толщина стенок корпуса доходит до 20 мм, при этом корпуса тяжелы и обладают малой емкостью, при незначительных ударах друг о друга, корпуса бьются и обнажают содержимое.</w:t>
      </w:r>
    </w:p>
    <w:p w14:paraId="6825F6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изготовлены подобные оболочки для каждого снаряжения и поданы на заводские испытания. По проведении этих испытаний будет принято решение по данной работе.</w:t>
      </w:r>
    </w:p>
    <w:p w14:paraId="137FE9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(3440, 253).</w:t>
      </w:r>
    </w:p>
    <w:p w14:paraId="2D3CEEA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9D3FB0"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CA0F87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667AE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 октября по 27 ноября 1940 проводились полигонные испытания 305 мм гаубицы Бр-18, изготовленной на 221 заводе по лицензии фирмы Шкода. Сделали 108 выстрелов. Ни эта гаубица, ни 210 мм пушка из-за войны так и не производились (3416,35).</w:t>
      </w:r>
    </w:p>
    <w:p w14:paraId="62A5732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3F51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 2 октября по 27 ноября 1940 года на АНИОП велась стрельба из первой 305-мм гаубицы Бр-18 (Шкода). Всего было сделано 108 выстрелов. В ходе стрельб испытано три лейнера, из которых два было с нормальной нарезкой (один завода № 221, другой "Шкода") и один с углубленной нарезкой. Отмечено тугое закрывание затвора силами двух номеров расчета. Досылающий механизм как и у Бр-17 особых выгод не дал, поэтому его заменили "досыльником". Скорострельность при углах около 70 2,5 минуты за выстрел, а при угле 45 2,1 минуты за выстрел. Система устойчива при углах возвышения от 45 до 70, а при меньших углах из гаубицы вообще не стреляли. Руководство спешило и объявило, что испытания опытного образцы Бр-17 были не полигонными, а полигонно-войсковыми, и по результатам их пушка Бр-17 и бетонобойный выстрел к ней были рекомендованы к принятию на вооружение. Фугасный же снаряд испытаний не выдержал. С 305-мм же гаубицей Бр-18 ситуация осталась неясной. После начала войны Бр-17 и Бр-18 не изготавливались. Бр-18 со стволом № 1 и лафетом № 1 с 1960 года находится в Артмузее. В конце 80-х годов две Бр-17 поступили в Артмузей и Центральный музей вооруженных сил (3861).</w:t>
      </w:r>
    </w:p>
    <w:p w14:paraId="1818D83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C2AFB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на НИМАП закончились испытания 406 мм орудия Б-37 и боеприпасов (снаряд 1108 кг), которые проходили с 6 июня. Испытания дали положительные результаты. Сделали 173 выстрела. Предназначались для линкора Советский Союз. Баррикады сдела 12 и одно принимало участие в обороне Ленинграда (5484,198).</w:t>
      </w:r>
    </w:p>
    <w:p w14:paraId="68038B2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AFD86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была подготовлена справка:</w:t>
      </w:r>
    </w:p>
    <w:p w14:paraId="1B133A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267 – вновь вступающий в число действующих заводов НКВ (9192).</w:t>
      </w:r>
    </w:p>
    <w:p w14:paraId="4BABF21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E7448F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2 октября 1940 была подготовлена:</w:t>
      </w:r>
    </w:p>
    <w:p w14:paraId="6E1FB398"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Из оперативной сводки по СТЗ от 02.10.1940 г. </w:t>
      </w:r>
    </w:p>
    <w:p w14:paraId="5139D13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На 30.09.1940 г. </w:t>
      </w:r>
    </w:p>
    <w:p w14:paraId="321B321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Отработка чертежей закончена. </w:t>
      </w:r>
    </w:p>
    <w:p w14:paraId="585EA9A0"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Отработка технологического процесса по всем цехам закончена. </w:t>
      </w:r>
    </w:p>
    <w:p w14:paraId="429E3B36"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Отстает изготовление средств контроля, приспособлений по сборке и сварке. </w:t>
      </w:r>
    </w:p>
    <w:p w14:paraId="4B526986"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Внешних причин, тормозящих изготовление средств производства на СТЗ в срок, не было. Слабое руководство со стороны дирекции завода, слабая работа спецотдела. Приказ НКСМ СССР об изготовлении 15 машин к 15.09.1940 г. не выполнен. Согласно указаниям директора СТЗ цеха должны были к 01.10.1940 г. изготовить и сдать сборочному цеху все детали на 5 машин, что бы начать сборку первых машин, которые обеспечены корпусами и 10.10.1940 г. по 20 машин. </w:t>
      </w:r>
    </w:p>
    <w:p w14:paraId="33A70A87"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 настоящее время в сборочном цехе на козлах находятся поступившие 6 корпусов. СТЗ получил 6 корпусов с башнями, кроме того, получено с завода № 183 : моторов – 7, балансиров передних – 11, кривошипов – 2, картеров КПП с шестернями и валами – 16 шт. Собрана одна КПП и 4 собираются. </w:t>
      </w:r>
    </w:p>
    <w:p w14:paraId="2A4BB68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Погоны к башням не подходят, так как первые 6 башен изготовлены по опытным чертежам установочной партии. Необходима расточка, но новых чертежей на башню нет. </w:t>
      </w:r>
    </w:p>
    <w:p w14:paraId="35A56E6C"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 данный момент СТЗ приступает к выполнению правительственной программы по выпуску 20 машин в октябре 1940 г. Необходимо поднять дисциплину на заводе. </w:t>
      </w:r>
    </w:p>
    <w:p w14:paraId="2689ECD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По кооперации СТЗ получает : </w:t>
      </w:r>
    </w:p>
    <w:p w14:paraId="1450CD0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 бронировка маски пушки Л-11 – завод № 183; </w:t>
      </w:r>
    </w:p>
    <w:p w14:paraId="7AD5565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 стартера СТ-700 – завод ЗЭМ г. Москва; </w:t>
      </w:r>
    </w:p>
    <w:p w14:paraId="655EEDB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lastRenderedPageBreak/>
        <w:t xml:space="preserve">- радиостанция – завод № 203; </w:t>
      </w:r>
    </w:p>
    <w:p w14:paraId="05D1C39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 стекла триплекс – завод № 25; </w:t>
      </w:r>
    </w:p>
    <w:p w14:paraId="5B4A6B3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 резиновые изделия – завод «Красный Треугольник»; </w:t>
      </w:r>
    </w:p>
    <w:p w14:paraId="50FF657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 корпус и башня – завод № 183. </w:t>
      </w:r>
    </w:p>
    <w:p w14:paraId="70E422DA"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Необходимо содействие в отгрузке корпусов с завода № 183. </w:t>
      </w:r>
    </w:p>
    <w:p w14:paraId="7B19EDD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Военный представитель АБТУ РККА на СТЗ</w:t>
      </w:r>
    </w:p>
    <w:p w14:paraId="2CC7546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военинженер 2-го ранга Левин (11450).</w:t>
      </w:r>
    </w:p>
    <w:p w14:paraId="75FE163C"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2FA7F0B0" w14:textId="77777777" w:rsidR="0007544A" w:rsidRPr="00A3026E" w:rsidRDefault="000754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октября 1940-го года в Генштаб была направлена краткая пояснительная записка к плану заказов Управления связи Красной Армии на изготовление опытных образцов продукции, необходимой для войск. Документ подписали заместитель начальника Управления связи Красной Армии военинженер 1-го ранга Мальков и начальник научно-испытательного института связи и особой техники Красной Армии бригадный комиссар Муравьев. Однако лишь через несколько месяцев, а именно 25 апреля 1941 г. начальник Управления связи РККА генерал-майор Гапич, очевидно, учитывая рекомендации и итоги прошедшего в декабре совещания высшего командного и политического руководства Красной Армии, конкретизировал, какие же новшества в средствах связи нужны войскам.   В своей объяснительной записке начальнику Управления устройства тыла и снабжений Красной Армии генерал-майору Ермолину он писал: «Планом заказов опытных образцов в промышленности на 1941 г. предусматривается создание новых, более совершенных средств связи взамен уже устаревших, ныне находящихся на вооружении Красной Армии. </w:t>
      </w:r>
    </w:p>
    <w:p w14:paraId="58C95133" w14:textId="77777777" w:rsidR="0007544A" w:rsidRPr="00A3026E" w:rsidRDefault="000754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80–летию рождения завода «Радиолампа» 31 1. По радиосредствам связи Разработка образцов радиовооружения имеет целью оснастить Красную Армию современными средствами радиосвязи, повысить надежность действия их и оперативность управления применительно к современным условиям боя. Планом предусматривается разработка следующих основных образцов:  1.Радиостанция типа РА для связи в сетях: главного командования фронта, армии и тяжелой авиации. Эта радиостанция идет на замену радиостанции типа РАТ и выгодно отличается от последней как по своим электрическим показателям, мобильности, так и по удобству эксплоатации. Комплект станции вместе с приемным узлом размещается на двух автомашинах.   2.Радиостанция корпусной сети типа РКС – предназначается для связи в армейских и корпусных сетях. Монтируется в одной автомашине. Этим типом радиостанции предлагается заменить устаревшие радиостанции тт. РАФ и 11-АК, разработанные в 1934 и 1931 годах. Новый образец более совершенный как в электрическом, так и в эксплоатационном отношении. 3.Радиостанция типа РБ модернизированная. Модернизация предполагает увеличение мощности радиостанции, конструктивное и электрическое улучшение и универсальное применение как в сетях дивизии, так и в полку. Предполагается заменить этим типом устаревшие радиостанции 5-АК и 6-ПК. 4.Радиостанция РПС ультра-коротковолнового диапазона предназначена на замену коротковолновых радиостанций в стрелковом полку и в артиллерии, что позволит значительно разгрузить коротковолновый диапазон, уменьшить возникновение радиопомех.  5.Радиоузел приемный для дивизионной и корпусной сетей – предназначается на замену устаревшего радиоузла типа РУК. Узел допускает вынос аппаратуры из автомашины и установку ее в любом месте, обеспечивая тем самым прием быстро действующей работы из него работой нескольких передатчиков, удаленных от узла на расстоянии до 3-5 км. 6.Буквопечатающий телеграфный аппарат разрабатывается на основе немецкого образца типа Сименс-Хелл и является наиболее помехоустойчивым из всех известных буквопечатающих образцов для работы по радио, по обычным войсковым радиостанциям. Буквопечатающей радиоаппаратуры, обеспечивающей устойчивую радиосвязь, в Красной Армии не имеется».  Особо выделяется в документе информация об опытных образцах радиосредств в условиях действий войск в укрепрайонах.  «1.Приспособление радиостанций РСБ и РАФ к условиям УР имеет целью замену устаревших типов раций 5-АК и 11-АК, не приспособленных к длительному пребыванию в условиях повышенной влажности и к работе на типовые антенны УР (подземные и наземные). 2.Приспособление раций УКВ при работе на антенны УР имеет в виду обеспечение связи во взаимодействии ДОТ с войсками заполнения». И далее: «Таким образом, в результате 1941 г. будут разработаны: а) для КП УР и узла обороны радиостанции и коммутационные устройства, обеспечивающие тактические дальности связи и удовлетворяющие требованиям эксплоатации». В документе отмечается, что «разрабатываются образцы приборов ночного видения в инфракрасных лучах, предназначенные для светомаскировки при ночном марше танков и автомашин; для прицеливания по объектам противника, освещенным инфракрасными лучами из 45-мм пушки, пулемета «Максим» и автоматической винтовки; для ближней сигнализации инфракрасными лучами и для наблюдения в инфракрасных лучах…Таких приборов на снабжении Красной Армии не имеется.». По средствам связи ПВО планом предусматривались разработка и изготовление станции обнаружения и пеленгации самолетов. Она должна была иметь те же тактические данные, что и РУС-2, но размещаться на 2 автомашинах вместо 4-х и иметь более совершенную антенную систему. Из радиоразведывательной аппаратуры предполагалось заказать изготовление трех пеленгаторов для корпусной, армейской и фронтовой радиоразведки, которые удовлетворяли бы всем требованиям современной войны. Имеющиеся на вооружении Красной Армии пеленгаторы не отвечали им. В качестве опытного образца предлагалось изготовить всеволновый переносной радиоприемник на экономичном питании для слежки и связи в сетях корпуса и низших соединений, а также для переносных пеленгаторов. Таких приемников и пеленгаторов не было в Красной Армии. </w:t>
      </w:r>
    </w:p>
    <w:p w14:paraId="3E3CF362" w14:textId="77777777" w:rsidR="0007544A" w:rsidRPr="00A3026E" w:rsidRDefault="000754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Унифицированный автомобильный приемный радиоузел армии и фронта - еще одна опытная новинка, предназначенная для изготовления.  И, наконец, звукозаписывающий аппарат высококачественной механической звукозаписи стационарного типа и такой же – полевого типа для документации корреспонденций противника. В документе подчеркивалось: «С выполнением этого плана в текущем году при учете опытных образцов 1940 г. завершается в основном изготовление новых образцов по перевооружению радиоразведывательных частей Красной Армии современными средствами радиоразведки». В плане опытных заказов значились и образцы средств по звуковещанию и подслушиванию, в частности предлагалось разработать подслушиватель подземных инженерных работ и наземных перемещений войск. Таким образом, предполагалась большая, серьезная работа, но, к сожалению, она очень запаздывала. Сказывался низкий уровень отечественной промышленности, производящей средства связи. Напомним несколько цифр. Удельный вес радиопромышленности США перед войной составлял около 4% валового выпуска всей промышленности, а в СССР только 0,04%. Радиоламп в США было произведено 140 млн. штук, а в СССР – около 6,5 млн. Высок был уровень развития радиопромышленности и в Германии и Англии. Так, мощность только одного из радиоламповых заводов немецкой фирмы «Телефункен» составляла в 1940 году около 5 млн. штук (17423).</w:t>
      </w:r>
    </w:p>
    <w:p w14:paraId="4351D8FC" w14:textId="77777777" w:rsidR="0007544A" w:rsidRPr="00A3026E" w:rsidRDefault="0007544A" w:rsidP="00A3026E">
      <w:pPr>
        <w:spacing w:after="0" w:line="240" w:lineRule="auto"/>
        <w:jc w:val="both"/>
        <w:rPr>
          <w:rFonts w:ascii="Times New Roman" w:hAnsi="Times New Roman"/>
          <w:color w:val="000000" w:themeColor="text1"/>
          <w:sz w:val="16"/>
          <w:szCs w:val="16"/>
        </w:rPr>
      </w:pPr>
    </w:p>
    <w:p w14:paraId="35FE01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 военпред Левин догладывал в ГАБТУ КА:</w:t>
      </w:r>
    </w:p>
    <w:p w14:paraId="6C9ECA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«Отработка чертежей закончена. Отработка технологического процесса по всем цехам закончена. Отстает изготовление средств контроля, приспособлений по сборке и сварке. Внешних причин, тормозящих изготовление средств производства на СТЗ в срок, не было - слабое руководство со стороны дирекции завода, слабая работа спецотдела.</w:t>
      </w:r>
    </w:p>
    <w:p w14:paraId="22BD4C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 НКСМ об изготовлении 15 машин к 15 сентября 1940 г. не выполнен. Согласно указаниям директора СТЗ цеха должны были к 1 октября 1940 г. изготовить и сдать сборочному цеху все детали на 5 машин, чтобы начать сборку первых машин, которые обеспечены корпусами.</w:t>
      </w:r>
    </w:p>
    <w:p w14:paraId="533CDA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в сборочном цехе на козлах находятся поступившие 6 корпусов. СТЗ получил 6 корпусов с башнями, кроме того, получено с завода № 183: моторов - 7, балансиров передних - 11, кривошипов - 2, картеров коробок перемены передач с шестернями и валами - 16 шт. Собрана 1 коробка передач и 4 собираются. Погоны к башням не подходят, так как первые 6 башен изготовлены по опытным чертежам установочной партии. Необходима расточка, но новых чертежей на башню нет. В данный момент СТЗ приступает к выполнению правительственной программы по выпуску 20 машин в октябре 1940 г. Необходимо поднять дисциплину на заводе. По кооперации СТЗ получает: бронировка маски пушки Л-11 - завод № 183, стартера СТ-700 - завод ЗЭМ г. Москва, радиостанции - завод № 203, стекла «Триплекс» - завод № 25, резиновые изделия - завод «Красный треугольник», корпус и башня - завод № 183. Необходимо содействие в отгрузке корпусов с завода № 183» (12217).</w:t>
      </w:r>
    </w:p>
    <w:p w14:paraId="608A74B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AAB98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И.В.С. приказал приостановить постройку в Молотовске линкора Советская Белоруссия - не хватало металла (2536,165).</w:t>
      </w:r>
    </w:p>
    <w:p w14:paraId="640CC75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94737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 крейсеру Лютцов было присвоено название «Петропавловск». Причем «Петропавловск» был назван не легким крейсером, как «Киров», и не тяжелым крейсером, как проект 69, а просто крейсером проекта 83 (10670,256).</w:t>
      </w:r>
    </w:p>
    <w:p w14:paraId="1C1CC7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29696FC" w14:textId="77777777" w:rsidR="00E747F5" w:rsidRPr="00A3026E" w:rsidRDefault="00E747F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октября 1940 принят Указ Президиума Верховного Совета СССР "О государственных Трудовых Резервах СССР". В 1940 были созданы три типа учебных заведений:</w:t>
      </w:r>
    </w:p>
    <w:p w14:paraId="362AED15" w14:textId="77777777" w:rsidR="00E747F5" w:rsidRPr="00A3026E" w:rsidRDefault="00E747F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ремесленные училища с 2-годичным сроком обучения для подготовки квалифицированных рабочих металлистов, металлургов, химиков, горняков, нефтяников, квалифицированных рабочих для морского транспорта, предприятий связи и др.;</w:t>
      </w:r>
    </w:p>
    <w:p w14:paraId="27D60690" w14:textId="77777777" w:rsidR="00E747F5" w:rsidRPr="00A3026E" w:rsidRDefault="00E747F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ж.-д. училища с 2-годичным сроком обучения для подготовки помощников машинистов, слесарей по ремонту паровозов и вагонов, котельщиков, бригадиров по ремонту пути и др. рабочих сложных профессий ж.-д. транспорта;</w:t>
      </w:r>
    </w:p>
    <w:p w14:paraId="58C6842C" w14:textId="77777777" w:rsidR="00E747F5" w:rsidRPr="00A3026E" w:rsidRDefault="00E747F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школы фабрично-заводского обучения (ФЗО)с 6-месячным сроком обучения для подготовки рабочих массовых профессий, в первую очередь для угольной, горнорудной, металлургической, нефтяной промышленности и строительного дела (21190).</w:t>
      </w:r>
    </w:p>
    <w:p w14:paraId="52C97F39" w14:textId="77777777" w:rsidR="00E747F5" w:rsidRPr="00A3026E" w:rsidRDefault="00E747F5" w:rsidP="00A3026E">
      <w:pPr>
        <w:spacing w:after="0" w:line="240" w:lineRule="auto"/>
        <w:jc w:val="both"/>
        <w:rPr>
          <w:rFonts w:ascii="Times New Roman" w:hAnsi="Times New Roman"/>
          <w:color w:val="0070C0"/>
          <w:sz w:val="16"/>
          <w:szCs w:val="16"/>
        </w:rPr>
      </w:pPr>
    </w:p>
    <w:p w14:paraId="172C2F32"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151B56B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4D9DA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 вышел приказ НКО О ходе оборонительного строительства в укрепленных районах № 0055.</w:t>
      </w:r>
    </w:p>
    <w:p w14:paraId="449035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Хотя окончательное утверждение оборонительных работ текущего года несколько задержалось, однако округа имели все предпосылки для того, чтобы развернуть и подготовительные и основные работы по оборонительному строительству своевременно. Обеспеченность рабочей силой, материалами, механизмами и оборотными средствами при своевременном финансировании давала полную возможность вести работы широкими темпами.</w:t>
      </w:r>
    </w:p>
    <w:p w14:paraId="6B5933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тем поверка хода работ текущего года в ЗапОВО, КОВО, ЗакВО показывает, что оборонительное строительство ведется слабо, процент выполнения годового плана низкий и достигает на 1 сентября в КОВО 24% и ЗапОВО — 30%.</w:t>
      </w:r>
    </w:p>
    <w:p w14:paraId="582014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недостатки, тормозящие выполнение годового плана, заключаются в следующем:</w:t>
      </w:r>
    </w:p>
    <w:p w14:paraId="61BFED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Слабый разворот и неудовлетворительное качество проведенных работ в подготовительный к строительству период, особенно в КОВО и ЗапОВО, несмотря на то что эти округа еще в январе текущего года получили исчерпывающие указания по развертыванию подготовки к строительству.</w:t>
      </w:r>
    </w:p>
    <w:p w14:paraId="1AFEE1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Неудовлетворительное качество проведенных рекогносцировок, в результате чего строительство своевременно не было обеспечено необходимыми и точными рекогносцировочными материалами и данными для расчетов и развертывания работ.</w:t>
      </w:r>
    </w:p>
    <w:p w14:paraId="3F1D35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Неудовлетворительная система в организации работ, имеющая место в ряде УНС КОВО, ЗапОВО и ЗакВО. Низкий процент использования автомашин и механизмов на строительных участках и слабая производственная дисциплина, создавшие условия, при которых планы и производственные графики работ не выполняются ЗакВО: УНС, начальник которого полковник Савелов; ЗапОВО: УНС, начальник которого полковник Дралин; КОВО: УНС, начальник которого полковник Бердников.</w:t>
      </w:r>
    </w:p>
    <w:p w14:paraId="5E93A4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Недостаточность повседневного и конкретного руководства вопросами строительства со стороны начальников УНС и помощников их по строительству (полковник Ченцов, майор Щекатуров, майор Белов, полковник Савелов) и совершенно недостаточная требовательность со стороны ГВИУ и начальников отделов инженерных войск округов (генерал-майор Васильев, генерал-майор Шестаков) к точному и неуклонному выполнению утвержденных планов. Терпимость ко всяким срывам в работе и недовыполнениям работ по графикам, приводящая к безответственному отношению к планам и к стихийности в работе.</w:t>
      </w:r>
    </w:p>
    <w:p w14:paraId="6127B7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Несвоевременное обеспечение чертежами, проектами, инструкциями и наставлениями строительных участков и УНС. До 10 сентября, например, ГВИУ не обеспечило указаниями и проектами на буто-каменно-бетонные сооружения строительство в ЗакВО.</w:t>
      </w:r>
    </w:p>
    <w:p w14:paraId="4BB0E8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Наличие излишних запасов дефицитных строительных материалов в округах, что вызывает затоваривание и финансовые затруднения. Так, например, отдел инженерных войск ЗапОВО при норме трехмесячного запаса материалов на 15 — 17 млн. рублей имел на 1 августа запас материалов на 35 млн. рублей. Аналогичное положение имеется в КОВО и ЛВО.</w:t>
      </w:r>
    </w:p>
    <w:p w14:paraId="5CD778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Большая кредиторская задолженность округов: по ЗапОВО, например, на 1.8.40 г. кредиторская задолженность возросла до 13,2 млн. рублей, по КОВО превысила 29 млн. рублей.</w:t>
      </w:r>
    </w:p>
    <w:p w14:paraId="513738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Несвоевременность расчетов со строительными батальонами. Например, УНС (начальник генерал-майор Пузырев) затягивает расплату со строительными батальонами по 3 — 4 месяца, не отражая в учете заработанные ими суммы, чем искусственно понижает перерасход по фонду заработной платы.</w:t>
      </w:r>
    </w:p>
    <w:p w14:paraId="4E7A54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Слабая финансовая дисциплина в УНС и отсутствие систематического</w:t>
      </w:r>
    </w:p>
    <w:p w14:paraId="4616F0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контроля за финансовой деятельностью их со стороны военных советов округов.</w:t>
      </w:r>
    </w:p>
    <w:p w14:paraId="790F00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Нередки случаи безответственного отношения к государственным средствам:</w:t>
      </w:r>
    </w:p>
    <w:p w14:paraId="4F9B2E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ЗапОВО полагалось израсходовать по смете адмхозрасходов за первое полугодие 2588,2 тыс. рублей, израсходовано 2855,9 тыс. рублей. По КОВО полагалось по смете адмхозрасходов по основным строительным работам 834,5 тыс. рублей, фактически израсходовано 2202,0 тыс. рублей. Таким образом, перерасход за первое полугодие по адмхозрасходам по ЗапОВО выражается в сумме 267.7 тыс. рублей и по КОВО в сумме 1367,5 тыс. рублей.</w:t>
      </w:r>
    </w:p>
    <w:p w14:paraId="0F5092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УНС (начальник полковник Иванов) списана за счет государства задолженность подотчетных лиц в сумме 12 846 рублей и растрата зав. столовой в сумме 5555 рублей.</w:t>
      </w:r>
    </w:p>
    <w:p w14:paraId="21195A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 УНС (начальник полковник Дралин) затрачено из государственных средств на ремонт квартиры начальника УНС и приобретение мебели 14 425 рублей.Виновные в этом безобразнейшем разбазаривании государственных средств никаких наказаний не понесли.</w:t>
      </w:r>
    </w:p>
    <w:p w14:paraId="64A3BA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Приказываю:</w:t>
      </w:r>
    </w:p>
    <w:p w14:paraId="783756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Военным советам округов —</w:t>
      </w:r>
    </w:p>
    <w:p w14:paraId="7E0EE7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немедленно добиться четкой организации работ и производственной дисциплины во всех звеньях строительства, правильной эксплуатации и использования автомашин и механизмов.</w:t>
      </w:r>
    </w:p>
    <w:p w14:paraId="1CDE15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Принять все меры к тому, чтобы план строительства текущего года был полностью выполнен;</w:t>
      </w:r>
    </w:p>
    <w:p w14:paraId="0EDAA5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организовать повседневный контроль за ходом строительства и качеством выполняемых работ. Впредь виновных в нарушении производственной дисциплины, в невыполнении плана и низком качестве работ привлекать к строгой ответственности;</w:t>
      </w:r>
    </w:p>
    <w:p w14:paraId="75101E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повысить финансовую дисциплину, проверить все факты разбазаривания государственных средств и привлечь виновных к дисциплинарной и судебной ответственности. Ликвидировать задолженность войсковым частям за выполненную ими работу;</w:t>
      </w:r>
    </w:p>
    <w:p w14:paraId="066549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учесть все недостатки подготовительных к строительству работ и при развертывании подготовки к строительству 1941 года не допускать их. Подготовительные работы организовать так, чтобы строительство 1941 года могло бы развертываться на широком фронте и полными темпами.</w:t>
      </w:r>
    </w:p>
    <w:p w14:paraId="76B437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Начальнику, Главного военно-инженерного управления Красной Армии</w:t>
      </w:r>
    </w:p>
    <w:p w14:paraId="7AB4D9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обеспечить все строительство необходимыми проектами и чертежами и впредь не допускать такого положения, когда отсутствие проектов и чертежей тормозит ход оборонительного строительства.</w:t>
      </w:r>
    </w:p>
    <w:p w14:paraId="06FB0B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строительства 1941 года все необходимые проекты и чертежи, инструкции и наставления изготовить и разослать на места в достаточном количестве к 15 февраля 1941 г.;</w:t>
      </w:r>
    </w:p>
    <w:p w14:paraId="67EA7F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пересмотреть по округам наличие имеющихся материалов, учесть поступление их от промышленности и, определив потребность в них для выполнения плана 1940 и 1941 годов, выделить излишки этих материалов в запас для существующих укрепленных районов, оплатив этот запас за счет кредитов ГВИУ по § 18 сметы НКО;</w:t>
      </w:r>
    </w:p>
    <w:p w14:paraId="2A1B93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организовать округам производственно-техническую помощь, имея основной задачей полное выполнение плана 1940 года;</w:t>
      </w:r>
    </w:p>
    <w:p w14:paraId="7F0749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немедленно приступить к разработке необходимых мероприятий по подготовке строительства 1941 года.</w:t>
      </w:r>
    </w:p>
    <w:p w14:paraId="559DD7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намеченных подготовительных работ по каждому округу в отдельности доложить мне к 15 ноября с. г.</w:t>
      </w:r>
    </w:p>
    <w:p w14:paraId="23727F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Союза ССР Маршал Советского Союза С. Тимошенко (10607).</w:t>
      </w:r>
    </w:p>
    <w:p w14:paraId="7A9D1B2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828B9C1" w14:textId="77777777" w:rsidR="00D2328C"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4D6B1FAB" w14:textId="77777777" w:rsidR="00D2328C" w:rsidRPr="00A3026E" w:rsidRDefault="00D2328C" w:rsidP="00A3026E">
      <w:pPr>
        <w:spacing w:after="0" w:line="240" w:lineRule="auto"/>
        <w:jc w:val="both"/>
        <w:rPr>
          <w:rFonts w:ascii="Times New Roman" w:hAnsi="Times New Roman"/>
          <w:iCs/>
          <w:color w:val="000000" w:themeColor="text1"/>
          <w:sz w:val="16"/>
          <w:szCs w:val="16"/>
        </w:rPr>
      </w:pPr>
    </w:p>
    <w:p w14:paraId="21AAB505"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вышел указ Президиума ВС "О государственных трудовых резервах" (511).</w:t>
      </w:r>
    </w:p>
    <w:p w14:paraId="2CEF48C0" w14:textId="77777777" w:rsidR="00D2328C" w:rsidRPr="00A3026E" w:rsidRDefault="00D2328C" w:rsidP="00A3026E">
      <w:pPr>
        <w:spacing w:after="0" w:line="240" w:lineRule="auto"/>
        <w:jc w:val="both"/>
        <w:rPr>
          <w:rFonts w:ascii="Times New Roman" w:hAnsi="Times New Roman"/>
          <w:color w:val="000000" w:themeColor="text1"/>
          <w:sz w:val="16"/>
          <w:szCs w:val="16"/>
        </w:rPr>
      </w:pPr>
    </w:p>
    <w:p w14:paraId="72C6AF9C"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было отменено освобождение от платы за обучение в ВУЗах (3960, 385).</w:t>
      </w:r>
    </w:p>
    <w:p w14:paraId="4B4BE6E9" w14:textId="77777777" w:rsidR="00D2328C" w:rsidRPr="00A3026E" w:rsidRDefault="00D2328C" w:rsidP="00A3026E">
      <w:pPr>
        <w:spacing w:after="0" w:line="240" w:lineRule="auto"/>
        <w:jc w:val="both"/>
        <w:rPr>
          <w:rFonts w:ascii="Times New Roman" w:hAnsi="Times New Roman"/>
          <w:color w:val="000000" w:themeColor="text1"/>
          <w:sz w:val="16"/>
          <w:szCs w:val="16"/>
        </w:rPr>
      </w:pPr>
    </w:p>
    <w:p w14:paraId="39E66092" w14:textId="77777777" w:rsidR="00EE2862" w:rsidRPr="00A3026E" w:rsidRDefault="00EE28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Постановление СНК СССР о введении платы за обучение студентов в высших учебных заведениях и в старших (8-10) классах средней школы (19701).</w:t>
      </w:r>
    </w:p>
    <w:p w14:paraId="56139868" w14:textId="77777777" w:rsidR="00EE2862" w:rsidRPr="00A3026E" w:rsidRDefault="00EE2862" w:rsidP="00A3026E">
      <w:pPr>
        <w:spacing w:after="0" w:line="240" w:lineRule="auto"/>
        <w:jc w:val="both"/>
        <w:rPr>
          <w:rFonts w:ascii="Times New Roman" w:hAnsi="Times New Roman"/>
          <w:color w:val="000000" w:themeColor="text1"/>
          <w:sz w:val="16"/>
          <w:szCs w:val="16"/>
        </w:rPr>
      </w:pPr>
    </w:p>
    <w:p w14:paraId="48CA9FA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205C9E2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C2BB3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 в ходе разведывательного полета вблизи рейдера “Комет” разбился его гидросамолет «Арадо-196». Рейдер лишился возможности вести разведку в океане (10670,268).</w:t>
      </w:r>
    </w:p>
    <w:p w14:paraId="538A84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3FEF366" w14:textId="77777777" w:rsidR="00D2328C"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6CC331E" w14:textId="77777777" w:rsidR="00D2328C" w:rsidRPr="00A3026E" w:rsidRDefault="00D2328C" w:rsidP="00A3026E">
      <w:pPr>
        <w:spacing w:after="0" w:line="240" w:lineRule="auto"/>
        <w:jc w:val="both"/>
        <w:rPr>
          <w:rFonts w:ascii="Times New Roman" w:hAnsi="Times New Roman"/>
          <w:iCs/>
          <w:color w:val="000000" w:themeColor="text1"/>
          <w:sz w:val="16"/>
          <w:szCs w:val="16"/>
        </w:rPr>
      </w:pPr>
    </w:p>
    <w:p w14:paraId="46FBAC83" w14:textId="77777777" w:rsidR="00E747F5" w:rsidRPr="00A3026E" w:rsidRDefault="00E747F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2 октября 1940 была первая воздушная победа в ночное время с наведением наземным радаром. Метод </w:t>
      </w:r>
      <w:r w:rsidRPr="00A3026E">
        <w:rPr>
          <w:rFonts w:ascii="Times New Roman" w:hAnsi="Times New Roman"/>
          <w:color w:val="0070C0"/>
          <w:sz w:val="16"/>
          <w:szCs w:val="16"/>
          <w:lang w:val="en-US"/>
        </w:rPr>
        <w:t>D</w:t>
      </w:r>
      <w:r w:rsidRPr="00A3026E">
        <w:rPr>
          <w:rFonts w:ascii="Times New Roman" w:hAnsi="Times New Roman"/>
          <w:color w:val="0070C0"/>
          <w:sz w:val="16"/>
          <w:szCs w:val="16"/>
        </w:rPr>
        <w:t>unkele Nachtjagd (темный nightfighting“ - сокращенно Dunaja ), при котором наземная радиолокационная станция используется для контроля ночных истребителей, пока они не попадут в пределы видимости цели - имеет первый успех. РЛС Freya используется для тренировки пилотов ночного истребителя пределах дальности видимости британского Vickers Wellington бомбардировщика над Нидерландами, позволяя ему снимать его (20795).</w:t>
      </w:r>
    </w:p>
    <w:p w14:paraId="4015FD33" w14:textId="77777777" w:rsidR="00E747F5" w:rsidRPr="00A3026E" w:rsidRDefault="00E747F5" w:rsidP="00A3026E">
      <w:pPr>
        <w:spacing w:after="0" w:line="240" w:lineRule="auto"/>
        <w:jc w:val="both"/>
        <w:rPr>
          <w:rFonts w:ascii="Times New Roman" w:hAnsi="Times New Roman"/>
          <w:color w:val="0070C0"/>
          <w:sz w:val="16"/>
          <w:szCs w:val="16"/>
        </w:rPr>
      </w:pPr>
    </w:p>
    <w:p w14:paraId="7195870C" w14:textId="77777777" w:rsidR="00E747F5" w:rsidRPr="00A3026E" w:rsidRDefault="00E747F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октября 1941 г. Диттмар пошел на рекорд. Bf 110 отбуксировал его Me 163V-4 на высоту 4 000 м, и после включения ЖРД впервые в истории авиации была достигнута скорость 1 003,67 км/ч. Летчик-испытатель, а также конструкторы самолета и двигателя за этот рекорд были награждены Большими золотыми медалями Лилиенталя. Из условий секретности обозначение и информация о самолете не публиковались. Благодаря этим достижениям было принято решение об ускорении летных испытаний, для чего было задействовано10 прототипов.</w:t>
      </w:r>
    </w:p>
    <w:p w14:paraId="106AC6C8" w14:textId="77777777" w:rsidR="00E747F5" w:rsidRPr="00A3026E" w:rsidRDefault="00E747F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Все эти опытные образцы Me 163V были сведены в установочную партию и получили индекс «А», но боевыми от этого не стали, а остались опытными. Пригодными для боя должны были стать машины модификации Ме 163В (22774).</w:t>
      </w:r>
    </w:p>
    <w:p w14:paraId="6B589E07" w14:textId="77777777" w:rsidR="00E747F5" w:rsidRPr="00A3026E" w:rsidRDefault="00E747F5" w:rsidP="00A3026E">
      <w:pPr>
        <w:spacing w:after="0" w:line="240" w:lineRule="auto"/>
        <w:jc w:val="both"/>
        <w:rPr>
          <w:rFonts w:ascii="Times New Roman" w:hAnsi="Times New Roman"/>
          <w:color w:val="0070C0"/>
          <w:sz w:val="16"/>
          <w:szCs w:val="16"/>
        </w:rPr>
      </w:pPr>
    </w:p>
    <w:p w14:paraId="42D20667"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 октября </w:t>
      </w:r>
      <w:r w:rsidRPr="00A3026E">
        <w:rPr>
          <w:rFonts w:ascii="Times New Roman" w:hAnsi="Times New Roman"/>
          <w:color w:val="000000" w:themeColor="text1"/>
          <w:sz w:val="16"/>
          <w:szCs w:val="16"/>
        </w:rPr>
        <w:t>в 1940 году судно "Императрица" ("Empress"), направлявшееся в Канаду с эвакуируемыми детьми на борту, было потоплен немецкой подводной лодкой. К счастью, английские военные корабли спасли большинство из 634 человек пасажиров и экипажа (14787).</w:t>
      </w:r>
    </w:p>
    <w:p w14:paraId="0E4C649A" w14:textId="77777777" w:rsidR="00D2328C" w:rsidRPr="00A3026E" w:rsidRDefault="00D2328C" w:rsidP="00A3026E">
      <w:pPr>
        <w:spacing w:after="0" w:line="240" w:lineRule="auto"/>
        <w:jc w:val="both"/>
        <w:rPr>
          <w:rFonts w:ascii="Times New Roman" w:hAnsi="Times New Roman"/>
          <w:color w:val="000000" w:themeColor="text1"/>
          <w:sz w:val="16"/>
          <w:szCs w:val="16"/>
        </w:rPr>
      </w:pPr>
    </w:p>
    <w:p w14:paraId="23BC30DA"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5AAEAE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D2BB11B" w14:textId="77777777" w:rsidR="0026700C" w:rsidRPr="00A3026E" w:rsidRDefault="0026700C" w:rsidP="00A3026E">
      <w:pPr>
        <w:pStyle w:val="35"/>
        <w:shd w:val="clear" w:color="auto" w:fill="auto"/>
        <w:spacing w:after="0" w:line="240" w:lineRule="auto"/>
        <w:jc w:val="both"/>
        <w:rPr>
          <w:rFonts w:ascii="Times New Roman" w:cs="Times New Roman"/>
          <w:color w:val="0070C0"/>
          <w:spacing w:val="0"/>
          <w:sz w:val="16"/>
          <w:szCs w:val="16"/>
        </w:rPr>
      </w:pPr>
      <w:r w:rsidRPr="00A3026E">
        <w:rPr>
          <w:rFonts w:ascii="Times New Roman" w:cs="Times New Roman"/>
          <w:color w:val="0070C0"/>
          <w:spacing w:val="0"/>
          <w:sz w:val="16"/>
          <w:szCs w:val="16"/>
        </w:rPr>
        <w:t>3 октября 1940 г. нарком авиапромышленности А.И. Шахурин подписал Приказ о постройке на ленинградском авиазаводе № 381 серии из десяти машин БШ-2 (19854).</w:t>
      </w:r>
    </w:p>
    <w:p w14:paraId="203629E2" w14:textId="77777777" w:rsidR="0026700C" w:rsidRPr="00A3026E" w:rsidRDefault="0026700C" w:rsidP="00A3026E">
      <w:pPr>
        <w:pStyle w:val="35"/>
        <w:shd w:val="clear" w:color="auto" w:fill="auto"/>
        <w:spacing w:after="0" w:line="240" w:lineRule="auto"/>
        <w:jc w:val="both"/>
        <w:rPr>
          <w:rFonts w:ascii="Times New Roman" w:cs="Times New Roman"/>
          <w:color w:val="0070C0"/>
          <w:spacing w:val="0"/>
          <w:sz w:val="16"/>
          <w:szCs w:val="16"/>
        </w:rPr>
      </w:pPr>
    </w:p>
    <w:p w14:paraId="09031D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 А. И. Шахурин подписал приказ об организации серийного производст</w:t>
      </w:r>
      <w:r w:rsidRPr="00A3026E">
        <w:rPr>
          <w:rFonts w:ascii="Times New Roman" w:hAnsi="Times New Roman"/>
          <w:color w:val="000000" w:themeColor="text1"/>
          <w:sz w:val="16"/>
          <w:szCs w:val="16"/>
        </w:rPr>
        <w:softHyphen/>
        <w:t>ва двухместного БШ-2 с АМ-35 на за</w:t>
      </w:r>
      <w:r w:rsidRPr="00A3026E">
        <w:rPr>
          <w:rFonts w:ascii="Times New Roman" w:hAnsi="Times New Roman"/>
          <w:color w:val="000000" w:themeColor="text1"/>
          <w:sz w:val="16"/>
          <w:szCs w:val="16"/>
        </w:rPr>
        <w:softHyphen/>
        <w:t>воде № 381 в Ленинграде с выпуском в 1940 г. 10 машин. Этим же приказом Ильюшину поручалось к 1 ноября пе</w:t>
      </w:r>
      <w:r w:rsidRPr="00A3026E">
        <w:rPr>
          <w:rFonts w:ascii="Times New Roman" w:hAnsi="Times New Roman"/>
          <w:color w:val="000000" w:themeColor="text1"/>
          <w:sz w:val="16"/>
          <w:szCs w:val="16"/>
        </w:rPr>
        <w:softHyphen/>
        <w:t>редать 381-му заводу опытный БШ-2 № 2 (ЦКБ-55 № 2), а к 5 октября - ра</w:t>
      </w:r>
      <w:r w:rsidRPr="00A3026E">
        <w:rPr>
          <w:rFonts w:ascii="Times New Roman" w:hAnsi="Times New Roman"/>
          <w:color w:val="000000" w:themeColor="text1"/>
          <w:sz w:val="16"/>
          <w:szCs w:val="16"/>
        </w:rPr>
        <w:softHyphen/>
        <w:t>бочие чертежи и всю документацию к нему. Этот приказ, естественно, вы</w:t>
      </w:r>
      <w:r w:rsidRPr="00A3026E">
        <w:rPr>
          <w:rFonts w:ascii="Times New Roman" w:hAnsi="Times New Roman"/>
          <w:color w:val="000000" w:themeColor="text1"/>
          <w:sz w:val="16"/>
          <w:szCs w:val="16"/>
        </w:rPr>
        <w:softHyphen/>
        <w:t>полнен не был, так как ОКБ уже нача</w:t>
      </w:r>
      <w:r w:rsidRPr="00A3026E">
        <w:rPr>
          <w:rFonts w:ascii="Times New Roman" w:hAnsi="Times New Roman"/>
          <w:color w:val="000000" w:themeColor="text1"/>
          <w:sz w:val="16"/>
          <w:szCs w:val="16"/>
        </w:rPr>
        <w:softHyphen/>
        <w:t>ло работы по переделке БШ-2 № 2 в одноместный вариант (4140).</w:t>
      </w:r>
    </w:p>
    <w:p w14:paraId="578BBE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неделю до первого полета ЦКБ-57, 3 октября 1940 (это с 24 мая-то) А.И.Шахурин наконец-то подписал приказ N 523 (245,29), согласно которому на заводе 381 (новом и недавно запущенном в Ленинграде) должно быть выпущено 10 БШ-2 (изделие 55) (172,194).</w:t>
      </w:r>
    </w:p>
    <w:p w14:paraId="271FC1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Точная формулировка приказа N 523cc от 3 октября 1940 г (245,29):</w:t>
      </w:r>
    </w:p>
    <w:p w14:paraId="084B67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развитие моего приказа за N 379 от 29VII.1940 г. ПРИКАЗЫВАЮ:</w:t>
      </w:r>
    </w:p>
    <w:p w14:paraId="4FC421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Директору завода N 381 тов. Филимончуку Т.Х. поставить производство самолета БШ-2 (изделие 55) с выпуском в 1940 г. 10 штук, для чего:</w:t>
      </w:r>
    </w:p>
    <w:p w14:paraId="3257F1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утвердить представленный директором завода N 381 план оргтехмероприятий по подготовке производства.</w:t>
      </w:r>
    </w:p>
    <w:p w14:paraId="72CFDD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моему заместителю тов. Воронину П.А. до 5.X.с.г. утвердить технический план реконструкции и строительства завода N 381.</w:t>
      </w:r>
    </w:p>
    <w:p w14:paraId="2B7248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организовать подготовку и переквалификацию имеющихся и вновь принимаемых кадров рабочих и ИТР до 1.1.1941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983732" w:rsidRPr="00A3026E" w14:paraId="4F79B6D2" w14:textId="77777777" w:rsidTr="00EA0DA7">
        <w:tc>
          <w:tcPr>
            <w:tcW w:w="5749" w:type="dxa"/>
            <w:tcBorders>
              <w:top w:val="single" w:sz="12" w:space="0" w:color="auto"/>
            </w:tcBorders>
          </w:tcPr>
          <w:p w14:paraId="5A4F7D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N 22</w:t>
            </w:r>
          </w:p>
        </w:tc>
        <w:tc>
          <w:tcPr>
            <w:tcW w:w="5749" w:type="dxa"/>
            <w:tcBorders>
              <w:top w:val="single" w:sz="12" w:space="0" w:color="auto"/>
            </w:tcBorders>
          </w:tcPr>
          <w:p w14:paraId="369D66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- 150 чел.</w:t>
            </w:r>
          </w:p>
        </w:tc>
      </w:tr>
      <w:tr w:rsidR="00983732" w:rsidRPr="00A3026E" w14:paraId="386C66FD" w14:textId="77777777" w:rsidTr="00EA0DA7">
        <w:tc>
          <w:tcPr>
            <w:tcW w:w="5749" w:type="dxa"/>
          </w:tcPr>
          <w:p w14:paraId="0B676F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N 39</w:t>
            </w:r>
          </w:p>
        </w:tc>
        <w:tc>
          <w:tcPr>
            <w:tcW w:w="5749" w:type="dxa"/>
          </w:tcPr>
          <w:p w14:paraId="1A25D5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- 100 чел.</w:t>
            </w:r>
          </w:p>
        </w:tc>
      </w:tr>
      <w:tr w:rsidR="00983732" w:rsidRPr="00A3026E" w14:paraId="5D801F95" w14:textId="77777777" w:rsidTr="00EA0DA7">
        <w:tc>
          <w:tcPr>
            <w:tcW w:w="5749" w:type="dxa"/>
            <w:tcBorders>
              <w:bottom w:val="single" w:sz="12" w:space="0" w:color="auto"/>
            </w:tcBorders>
          </w:tcPr>
          <w:p w14:paraId="31B7C2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N 23</w:t>
            </w:r>
          </w:p>
        </w:tc>
        <w:tc>
          <w:tcPr>
            <w:tcW w:w="5749" w:type="dxa"/>
            <w:tcBorders>
              <w:bottom w:val="single" w:sz="12" w:space="0" w:color="auto"/>
            </w:tcBorders>
          </w:tcPr>
          <w:p w14:paraId="719ADF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- 200 чел.</w:t>
            </w:r>
          </w:p>
        </w:tc>
      </w:tr>
    </w:tbl>
    <w:p w14:paraId="174889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обеспечить изготовление комплекта оснастки (стапеля, кондуктора, штампы, приспособления, спец. инструмент) к 15 ноября с.г.</w:t>
      </w:r>
    </w:p>
    <w:p w14:paraId="54DD00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Главному Конструктору самолета БШ-2 тов. Ильюшину С.В.:</w:t>
      </w:r>
    </w:p>
    <w:p w14:paraId="3D75AB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передать заводу N 381 комплекта чертежей самолета БШ-2 в синьках, кальках оригиналах и всю техническую документацию к 5.Х.1940 г.</w:t>
      </w:r>
    </w:p>
    <w:p w14:paraId="663933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командировать на завод N 381 своего заместителя по самолету БШ-2 инженера Бугайского В.Н. с группой инженеров и конструкторов в составе т.т. Иванова, Юсова, Моисеева, Изотова, Алтухова, Янушенкова, Скорубского для обеспечения руководства и разработки серийных чертежей при внедрении в производство.</w:t>
      </w:r>
    </w:p>
    <w:p w14:paraId="3B839F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передать заводу N 381 к 1.Х1.с.г. опытный экземпляр самолета БШ-2, прошедший государственные испытания (как образец, по которому строить серийные самолеты - вычеркнуто).</w:t>
      </w:r>
    </w:p>
    <w:p w14:paraId="43916F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Директору завода N 30 тов. Руденко Я.К. передать заводу N 381:</w:t>
      </w:r>
    </w:p>
    <w:p w14:paraId="3D70C3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разработанный технологический процесс в одном экземпляре и материальными спецификациями к 15.Х.с.г.;</w:t>
      </w:r>
    </w:p>
    <w:p w14:paraId="2A123C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чертежи оснастки 1 очереди в 2-х экземплярах с 15.Х. по 1.Х1, очередями по мере готовности;</w:t>
      </w:r>
    </w:p>
    <w:p w14:paraId="189D15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два полных комплекта шаблонов с 15.Х. по 1.Х1, очередями по мере готовности;</w:t>
      </w:r>
    </w:p>
    <w:p w14:paraId="5D45EB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детали, изготовленные на гидропрессах в количестве 10 комплектов к 15.XI.</w:t>
      </w:r>
    </w:p>
    <w:p w14:paraId="5E6C76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Начальнику ЦИТ и Оргоборонпрома тов. Штейнбергу в обеспечение выполнения программы 1940 года и подготовки к 1941 году:</w:t>
      </w:r>
    </w:p>
    <w:p w14:paraId="020E84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организовать комплексную бригаду к 15.Х. с.г. для раз</w:t>
      </w:r>
      <w:r w:rsidRPr="00A3026E">
        <w:rPr>
          <w:rFonts w:ascii="Times New Roman" w:hAnsi="Times New Roman"/>
          <w:color w:val="000000" w:themeColor="text1"/>
          <w:sz w:val="16"/>
          <w:szCs w:val="16"/>
        </w:rPr>
        <w:softHyphen/>
        <w:t>работки технологических процессов, проектирования оснастки и внедрения плазово-шаблонного метода в производство.</w:t>
      </w:r>
    </w:p>
    <w:p w14:paraId="01FF0A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изготовить для завода № 381 в 1-м квартале 1941 г. оснастку первой очереди на 500 тыс. рублей;</w:t>
      </w:r>
    </w:p>
    <w:p w14:paraId="304994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обеспечить инструктаж по подготовке рабочих на заводе № 381 в I полугодии 1941 года по специальностям клепально-'сборочным, заготовительно-штамповочным и слесарно-сварочным.</w:t>
      </w:r>
    </w:p>
    <w:p w14:paraId="11D964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Начальнику Главснаба тов. Папернову выделить целевыми фондами светочувствительной бумаги в количестве 2.000 двойных рулонов и кальки 500 рулонов к 15.X. с.г.</w:t>
      </w:r>
    </w:p>
    <w:p w14:paraId="5BF8C7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Начальнику 1 ГПИ тов. Байдакову обеспечить завод № 381 проектными материалами:</w:t>
      </w:r>
    </w:p>
    <w:p w14:paraId="71FDB9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1940 года:</w:t>
      </w:r>
    </w:p>
    <w:p w14:paraId="2DD1A1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планировкой цехов и спецфикациями оборудования 1-й очереди к 5/10 с.г.</w:t>
      </w:r>
    </w:p>
    <w:p w14:paraId="5E2873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рабочими чертежами нестандартного оборудования 1 очереди к 5/10 с.г.</w:t>
      </w:r>
    </w:p>
    <w:p w14:paraId="50F26B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схемами всех коммуникаций к 15/10 с.г.</w:t>
      </w:r>
    </w:p>
    <w:p w14:paraId="7F19F6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Начальнику Отдела Кооперирования НКАП т. Фармананц обеспечить завод N 381 продукцией с заводов смежников: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983732" w:rsidRPr="00A3026E" w14:paraId="0E88B2A0" w14:textId="77777777" w:rsidTr="00EA0DA7">
        <w:tc>
          <w:tcPr>
            <w:tcW w:w="5749" w:type="dxa"/>
            <w:tcBorders>
              <w:top w:val="single" w:sz="12" w:space="0" w:color="auto"/>
            </w:tcBorders>
          </w:tcPr>
          <w:p w14:paraId="2210D7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Подольский завод</w:t>
            </w:r>
          </w:p>
        </w:tc>
        <w:tc>
          <w:tcPr>
            <w:tcW w:w="5749" w:type="dxa"/>
            <w:tcBorders>
              <w:top w:val="single" w:sz="12" w:space="0" w:color="auto"/>
            </w:tcBorders>
          </w:tcPr>
          <w:p w14:paraId="7B1C7A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- 10 комплектов броневых листов к 1.Х1.с.г.</w:t>
            </w:r>
          </w:p>
        </w:tc>
      </w:tr>
      <w:tr w:rsidR="00983732" w:rsidRPr="00A3026E" w14:paraId="665130B8" w14:textId="77777777" w:rsidTr="00EA0DA7">
        <w:tc>
          <w:tcPr>
            <w:tcW w:w="5749" w:type="dxa"/>
          </w:tcPr>
          <w:p w14:paraId="2D394B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К-4</w:t>
            </w:r>
          </w:p>
        </w:tc>
        <w:tc>
          <w:tcPr>
            <w:tcW w:w="5749" w:type="dxa"/>
          </w:tcPr>
          <w:p w14:paraId="0A0B15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- 10 комплектов прозрачной брони к 1.Х1.с.г.</w:t>
            </w:r>
          </w:p>
        </w:tc>
      </w:tr>
      <w:tr w:rsidR="00983732" w:rsidRPr="00A3026E" w14:paraId="1AF049EC" w14:textId="77777777" w:rsidTr="00EA0DA7">
        <w:tc>
          <w:tcPr>
            <w:tcW w:w="5749" w:type="dxa"/>
            <w:tcBorders>
              <w:bottom w:val="single" w:sz="12" w:space="0" w:color="auto"/>
            </w:tcBorders>
          </w:tcPr>
          <w:p w14:paraId="53C6E0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"Серп и Молот"</w:t>
            </w:r>
          </w:p>
        </w:tc>
        <w:tc>
          <w:tcPr>
            <w:tcW w:w="5749" w:type="dxa"/>
            <w:tcBorders>
              <w:bottom w:val="single" w:sz="12" w:space="0" w:color="auto"/>
            </w:tcBorders>
          </w:tcPr>
          <w:p w14:paraId="0F99D0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- 10 комплектов хромансилевых профилей к 1.Х1.с.г.</w:t>
            </w:r>
          </w:p>
        </w:tc>
      </w:tr>
    </w:tbl>
    <w:p w14:paraId="0F509C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Зам. Начальника Первого Главного Управления НКАП т. Шиц А.Д, и директорам заводов NN 1, 39 и 305 обеспечить:</w:t>
      </w:r>
    </w:p>
    <w:p w14:paraId="22A21B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на заводе 39 термическую обработку хромансилевых профилей (тавриков) на лонжероны крыла;</w:t>
      </w:r>
    </w:p>
    <w:p w14:paraId="400B95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протектирование баков в количестве 10 комплектов на заводе 1 - к 1.Х1.с.г.</w:t>
      </w:r>
    </w:p>
    <w:p w14:paraId="17708C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нормали и арматуру 10 комплектов на заводе 305 к 15.Х1.с.г.</w:t>
      </w:r>
    </w:p>
    <w:p w14:paraId="53DA61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Начальнику Второго Главного Управления тов. Соколову И.А. и директорам заводов обеспечить изготовление и поставку заводу N 381 на 10 самолетов:</w:t>
      </w:r>
    </w:p>
    <w:p w14:paraId="7BEE32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вооружения с завода N 32 к 1.Х11.с.г.</w:t>
      </w:r>
    </w:p>
    <w:p w14:paraId="7C1721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масляные и водяные радиаторы с завода N 34 к 1.Х11.с.г.</w:t>
      </w:r>
    </w:p>
    <w:p w14:paraId="1E69F4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колеса 800 х 260 и 300 х 125 с завода N 120 к 1.Х11.с.г.</w:t>
      </w:r>
    </w:p>
    <w:p w14:paraId="61E876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шасси по чертежам завода 39 с завода 119 к 1.Х11.с.г.</w:t>
      </w:r>
    </w:p>
    <w:p w14:paraId="2E08E9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Начальнику Третьего Главного Управления тов. Лукину М.М. и директору завода N 24 обеспечить поставку моторов АМ-35 первых 10 штук к 1.Х1.с.г.</w:t>
      </w:r>
    </w:p>
    <w:p w14:paraId="26F62D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Директору завода N 95 обеспечить подачу первых 10-ти комплектов прессованных профилей по срокам и номенклатуре завода 381 к 15.Х.с.г.</w:t>
      </w:r>
    </w:p>
    <w:p w14:paraId="4D4169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Директору завода N 150 обеспечить подачу 10 шт. винтов изменяемого шага ВИШ-22Т к 1.Х11.с.г.</w:t>
      </w:r>
    </w:p>
    <w:p w14:paraId="6170C9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Начальнику ВИАМ тов. Туманову обеспечить отливку первых 10-ти комплектов деталей из алюминиевых и магниевых сплавов по моделям завода 381 к 20.Х.с.г.</w:t>
      </w:r>
    </w:p>
    <w:p w14:paraId="3EE72F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Начальнику ЦИТ и Оргоборонпрома тов. Штейнбергу в обеспечение выполнения программы 1940 года и подготовки к 1941 году:</w:t>
      </w:r>
    </w:p>
    <w:p w14:paraId="462147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организовать комплексную бригаду к 15.Х. с.г. для раз</w:t>
      </w:r>
      <w:r w:rsidRPr="00A3026E">
        <w:rPr>
          <w:rFonts w:ascii="Times New Roman" w:hAnsi="Times New Roman"/>
          <w:color w:val="000000" w:themeColor="text1"/>
          <w:sz w:val="16"/>
          <w:szCs w:val="16"/>
        </w:rPr>
        <w:softHyphen/>
        <w:t>работки технологических процессов, проектирования оснастки и внедрения плазово-шаблонного метода в производство.</w:t>
      </w:r>
    </w:p>
    <w:p w14:paraId="05C6A1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изготовить для завода № 381 в 1-м квартале 1941 г. оснастку первой очереди на 500 тыс. рублей;</w:t>
      </w:r>
    </w:p>
    <w:p w14:paraId="302A5D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обеспечить инструктаж по подготовке рабочих на заводе № 381 в I полугодии 1941 года по специальностям клепально-'сборочным, заготовительно-штамповочным и слесарно-сварочным.</w:t>
      </w:r>
    </w:p>
    <w:p w14:paraId="644C58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Начальнику Главснаба тов. Папернову выделить целевыми фондами светочувствительной бумаги в количестве 2.000 двойных рулонов и кальки 500 рулонов к 15.X. с.г.</w:t>
      </w:r>
    </w:p>
    <w:p w14:paraId="5FF3D9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Начальнику 1 ГПИ тов. Байдакову обеспечить завод № 381 проектными материалами:</w:t>
      </w:r>
    </w:p>
    <w:p w14:paraId="28F60F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1940 года:</w:t>
      </w:r>
    </w:p>
    <w:p w14:paraId="02AAEB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планировкой цехов и спецфикациями оборудования 1-й очереди к 5/10 с.г.</w:t>
      </w:r>
    </w:p>
    <w:p w14:paraId="722C13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рабочими чертежами нестандартного оборудования 1 очереди к 5/10 с.г.</w:t>
      </w:r>
    </w:p>
    <w:p w14:paraId="1FE52C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схемами всех коммуникаций к 15/10 с.г.</w:t>
      </w:r>
    </w:p>
    <w:p w14:paraId="35E739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Моему заместителю тов. Кузнецову А.И. выделить с заводов авиационной промышленности для постоянной работы:</w:t>
      </w:r>
    </w:p>
    <w:p w14:paraId="0294E7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конструкторов - 30.чел.</w:t>
      </w:r>
    </w:p>
    <w:p w14:paraId="257915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технологов и нормировщиков - 30</w:t>
      </w:r>
    </w:p>
    <w:p w14:paraId="3144AF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конструкторов приспособленцев - 10</w:t>
      </w:r>
    </w:p>
    <w:p w14:paraId="330FEA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Для развертывания производства завода.№ 381 в 1940 г. обязать Начальника ГУКС'а тов.Кац обеспечить окончание строительства и монтаж оборудования следующих об”ектов:</w:t>
      </w:r>
    </w:p>
    <w:p w14:paraId="0490CE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корпуса филиала № 3 (завод им.Кирова) к 1.Х1.с.г.</w:t>
      </w:r>
    </w:p>
    <w:p w14:paraId="425A6F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б) корпуса филиала № 2 (з-д Красный.Металлист) к.15.Х1.с.г.</w:t>
      </w:r>
    </w:p>
    <w:p w14:paraId="226BEA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корпусов филиала № I (завод НКПС) к 1.Х1 с.г.</w:t>
      </w:r>
    </w:p>
    <w:p w14:paraId="2117FB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корпус № 2 к 1.1.1941 г. (под монтаж оборудования).</w:t>
      </w:r>
    </w:p>
    <w:p w14:paraId="3018E8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закончить строительство и сдать в эксплоатацию ко</w:t>
      </w:r>
      <w:r w:rsidRPr="00A3026E">
        <w:rPr>
          <w:rFonts w:ascii="Times New Roman" w:hAnsi="Times New Roman"/>
          <w:color w:val="000000" w:themeColor="text1"/>
          <w:sz w:val="16"/>
          <w:szCs w:val="16"/>
        </w:rPr>
        <w:softHyphen/>
        <w:t>тельную завода (Ленметаллург) - к 20.Х1 с.г.</w:t>
      </w:r>
    </w:p>
    <w:p w14:paraId="4689E5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провести новый под'ездной путь от основного шоссе к заводу - к 20.XI.с.г.</w:t>
      </w:r>
    </w:p>
    <w:p w14:paraId="332F95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закончить работы и сдать а эксплоатацию жилой дом, корпус № 5 в жилгородке к 15.Х, детские ясли к 15..Х1 и строи</w:t>
      </w:r>
      <w:r w:rsidRPr="00A3026E">
        <w:rPr>
          <w:rFonts w:ascii="Times New Roman" w:hAnsi="Times New Roman"/>
          <w:color w:val="000000" w:themeColor="text1"/>
          <w:sz w:val="16"/>
          <w:szCs w:val="16"/>
        </w:rPr>
        <w:softHyphen/>
        <w:t>тельство бараков - 30 штук к 25.XI.1940 г.</w:t>
      </w:r>
    </w:p>
    <w:p w14:paraId="438206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Разрешить директору завода № 381 тов. Филимончуку для размещения работников завода в г. Ленинграде и направляемых на переквалификацию а город Москву, арендовать жилые помещения на сумму 75 тыс.рублей из средств на переподготовку кадров.</w:t>
      </w:r>
    </w:p>
    <w:p w14:paraId="6E3D3D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Начальнику Финансового Управления тов. Хавину выделить на премирование ИТР и рабочих за освоение производства ИЛ-2 -200 тысяч рублей (245,33).</w:t>
      </w:r>
    </w:p>
    <w:p w14:paraId="3E7959E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07C0B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 А.И.Шахурин подписал приказ об организации серийного производства двухместного БШ-2 с АМ-35 на заводе №381 (г. Ленинград) с выпуском в 1940 г. 10 машин.</w:t>
      </w:r>
    </w:p>
    <w:p w14:paraId="41E359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Этим же приказом С. В. Ильюшину поручалось к 1 ноября передать 381-му заводу опытный БШ-2 № 2 (ЦКБ-55 № 2), а к 5 октября - рабочие чертежи и всю документацию к нему.</w:t>
      </w:r>
    </w:p>
    <w:p w14:paraId="49E2A1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Этот приказ выполнен, естественно, не был, так как ОКБ уже начало работы по переделке БШ-2 № 2 в одноместный вариант (9649).</w:t>
      </w:r>
    </w:p>
    <w:p w14:paraId="16576B2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2B767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 нарком авиапромышленности А.И.Шахурин подписал приказ об организации производства десяти БШ-2 АМ-35 на ленинградском заводе № 381, еще находившимся в стадии становления. Все это в конечном итоге привело к невосполнимой потере времени в организации серийного производства самолета и к задержке оснащения ВВС, как показали вскоре последовавшие события, так нужными им бронированными штурмовиками (9528).</w:t>
      </w:r>
    </w:p>
    <w:p w14:paraId="40F75A0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C4639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А.И.Шахурин подписал приказ об орга</w:t>
      </w:r>
      <w:r w:rsidRPr="00A3026E">
        <w:rPr>
          <w:rFonts w:ascii="Times New Roman" w:hAnsi="Times New Roman"/>
          <w:color w:val="000000" w:themeColor="text1"/>
          <w:sz w:val="16"/>
          <w:szCs w:val="16"/>
        </w:rPr>
        <w:softHyphen/>
        <w:t>низации серийного производства двух</w:t>
      </w:r>
      <w:r w:rsidRPr="00A3026E">
        <w:rPr>
          <w:rFonts w:ascii="Times New Roman" w:hAnsi="Times New Roman"/>
          <w:color w:val="000000" w:themeColor="text1"/>
          <w:sz w:val="16"/>
          <w:szCs w:val="16"/>
        </w:rPr>
        <w:softHyphen/>
        <w:t>местного БШ-2 АМ-35 на заводе № 381 (г. Ленинград) с выпуском в 1940 г. 10 машин. Этим же приказом С.В.Ильюши</w:t>
      </w:r>
      <w:r w:rsidRPr="00A3026E">
        <w:rPr>
          <w:rFonts w:ascii="Times New Roman" w:hAnsi="Times New Roman"/>
          <w:color w:val="000000" w:themeColor="text1"/>
          <w:sz w:val="16"/>
          <w:szCs w:val="16"/>
        </w:rPr>
        <w:softHyphen/>
        <w:t>ну поручалось к 1 ноября передать 381-му заводу опытный БШ-2 № 2, а к 5 ок</w:t>
      </w:r>
      <w:r w:rsidRPr="00A3026E">
        <w:rPr>
          <w:rFonts w:ascii="Times New Roman" w:hAnsi="Times New Roman"/>
          <w:color w:val="000000" w:themeColor="text1"/>
          <w:sz w:val="16"/>
          <w:szCs w:val="16"/>
        </w:rPr>
        <w:softHyphen/>
        <w:t>тября - рабочие чертежи и всю доку</w:t>
      </w:r>
      <w:r w:rsidRPr="00A3026E">
        <w:rPr>
          <w:rFonts w:ascii="Times New Roman" w:hAnsi="Times New Roman"/>
          <w:color w:val="000000" w:themeColor="text1"/>
          <w:sz w:val="16"/>
          <w:szCs w:val="16"/>
        </w:rPr>
        <w:softHyphen/>
        <w:t>ментацию к нему. Этот приказ выпол</w:t>
      </w:r>
      <w:r w:rsidRPr="00A3026E">
        <w:rPr>
          <w:rFonts w:ascii="Times New Roman" w:hAnsi="Times New Roman"/>
          <w:color w:val="000000" w:themeColor="text1"/>
          <w:sz w:val="16"/>
          <w:szCs w:val="16"/>
        </w:rPr>
        <w:softHyphen/>
        <w:t>нен, естественно, не был, так как ОКБ уже начало работы по переделке БШ-2 № 2 в одноместный вариант (6467).</w:t>
      </w:r>
    </w:p>
    <w:p w14:paraId="5D0C63B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5B352F" w14:textId="77777777" w:rsidR="00B82ACD" w:rsidRPr="00A3026E" w:rsidRDefault="00B82ACD" w:rsidP="00A3026E">
      <w:pPr>
        <w:pStyle w:val="11b"/>
        <w:shd w:val="clear" w:color="auto" w:fill="auto"/>
        <w:spacing w:after="0"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3 октября 1940 Приказом НКАП Ильюшину поручалось передать заводу №381 к 5 октября полный «комплект чертежей самолета БШ-2 в синьках, кальках оригиналах и всю техническую документацию», а к 1 ноября - второй опытный экземпляр самолета БШ-2 №2. При этом «для обеспечения руководства и разработки серийных чертежей при вне</w:t>
      </w:r>
      <w:r w:rsidRPr="00A3026E">
        <w:rPr>
          <w:rFonts w:ascii="Times New Roman" w:hAnsi="Times New Roman" w:cs="Times New Roman"/>
          <w:color w:val="000000" w:themeColor="text1"/>
          <w:sz w:val="16"/>
          <w:szCs w:val="16"/>
        </w:rPr>
        <w:softHyphen/>
        <w:t>дрении в производство» приказывалось командировать на завод В.Н. Бугайского (в то время заместитель Ильюшина по самолету БШ-2) и группу инженеров и кон</w:t>
      </w:r>
      <w:r w:rsidRPr="00A3026E">
        <w:rPr>
          <w:rFonts w:ascii="Times New Roman" w:hAnsi="Times New Roman" w:cs="Times New Roman"/>
          <w:color w:val="000000" w:themeColor="text1"/>
          <w:sz w:val="16"/>
          <w:szCs w:val="16"/>
        </w:rPr>
        <w:softHyphen/>
        <w:t>структоров в составе «т.т. Иванова, Юсова, Моисеева, Изотова, Алтухова, Якушенкова, Скорубского». Одновременно директор завода №30 Я.К. Руденко обязывался к 1-15 ноября передать заводу №381 разработанный технологический процесс, чертежи оснастки и всю технологическую документацию производства БШ-2, а также два полных комплекта шаблонов и все детали, изготовленные на гидропрессах, в количестве 10 комплектов (19087).</w:t>
      </w:r>
    </w:p>
    <w:p w14:paraId="291418A7" w14:textId="77777777" w:rsidR="00B82ACD" w:rsidRPr="00A3026E" w:rsidRDefault="00B82ACD" w:rsidP="00A3026E">
      <w:pPr>
        <w:pStyle w:val="11b"/>
        <w:shd w:val="clear" w:color="auto" w:fill="auto"/>
        <w:spacing w:after="0" w:line="240" w:lineRule="auto"/>
        <w:jc w:val="both"/>
        <w:rPr>
          <w:rFonts w:ascii="Times New Roman" w:hAnsi="Times New Roman" w:cs="Times New Roman"/>
          <w:color w:val="000000" w:themeColor="text1"/>
          <w:sz w:val="16"/>
          <w:szCs w:val="16"/>
        </w:rPr>
      </w:pPr>
    </w:p>
    <w:p w14:paraId="03028A93" w14:textId="77777777" w:rsidR="00B82ACD" w:rsidRPr="00A3026E" w:rsidRDefault="00B82A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shd w:val="clear" w:color="auto" w:fill="FFFFFF"/>
        </w:rPr>
        <w:t>3 октября 1940г Шахуриным был подписан приказ об организации производства двухместного штурмовика БШ-2 с мотором АМ-35 на заводе №381. Этим же приказом С.Ильюшину предписывалось передать всю документацию на штурмовик к 5 октября, а натурный образец к 1 ноября 1940г. А натурный образец ОКБ-55 в это время переделывался в одноместный, получивший обозначение ОКБ-57 (19205).</w:t>
      </w:r>
    </w:p>
    <w:p w14:paraId="138ADCF5" w14:textId="77777777" w:rsidR="00B82ACD" w:rsidRPr="00A3026E" w:rsidRDefault="00B82ACD" w:rsidP="00A3026E">
      <w:pPr>
        <w:spacing w:after="0" w:line="240" w:lineRule="auto"/>
        <w:jc w:val="both"/>
        <w:rPr>
          <w:rFonts w:ascii="Times New Roman" w:hAnsi="Times New Roman"/>
          <w:color w:val="000000" w:themeColor="text1"/>
          <w:sz w:val="16"/>
          <w:szCs w:val="16"/>
        </w:rPr>
      </w:pPr>
    </w:p>
    <w:p w14:paraId="514B55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с целью ускорения работ приказом НКАП Ильюшину поручалось к 1 ноября передать заводу №381 2-й экземпляр самолета БШ-2 с рабочими чертежами и документацией к нему, а приказом от 12 октября заводу №30 предписывалось до конца года, помимо 10 БШ-2, изготовить два комплекта оснастки и отправить их на 381-й завод. Поскольку ОКБ Ильюшина уже вело работы по переделке БШ-2 в одноместный вариант, то завод №381 опытный образец самолета так и не получил (12020).</w:t>
      </w:r>
    </w:p>
    <w:p w14:paraId="5213976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4A51C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 по приказу НКАП на заводе (Завод № 381 НКАП, МАП /г. Ленинград ст. Ижора;  г. Нижний Тагил Свердловской обл.;  г. Москва Ленинградское ш., 31/33/) запущен в серию двухместный БШ-2 с АМ-35 с выпуском в 1940 г. 10 машин. Этим же приказом Ильюшина обязали передать заводу к 1 ноября БШ-2 № 2, а к 5 ноября- всю техдокументацию. Приказ выполнен не был. Приказами НКАП от 7.01.1941 г. и от 14.02.1941 г. в серию был запущен одноместный Ил-2 с АМ-38, план на 1941 г. - 300 машин.</w:t>
      </w:r>
    </w:p>
    <w:p w14:paraId="5D42FD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262сс от 22.03.1941 г. завод передан в 10ГУ НКАП.</w:t>
      </w:r>
    </w:p>
    <w:p w14:paraId="6DF81E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06.1941 г. на завод № 381 из ОКБ завода № 39 переведена группа конструкторов во главе с В.Н. Бугайским для освоения производства Ил-2, затем из ОКБ переведено еще 30 чел. Бугайский назначен зам. гл. конструктора по Ил-2.</w:t>
      </w:r>
    </w:p>
    <w:p w14:paraId="62B570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начала войны была объединена производственная деятельность заводов № 381 и № 380 для обеспечения выполнения программы выпуска Ил-2.</w:t>
      </w:r>
    </w:p>
    <w:p w14:paraId="65AFA4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729 от 1941 г. завод был эвакуирован в Нижний Тагил на часть площадки Уралвагонзавода. Переезд проходил с 1.07 по 5.08.1941 г. По приказу № 675с от 14.07.1941 г. в состав завода № 381 был влит эвакуированный завод № 380 НКАП. По приказу № 79сс от 26.01.1942 г. на завод № 381 передана часть оборудования и кадров расформированного завода № 135 НКАП.</w:t>
      </w:r>
    </w:p>
    <w:p w14:paraId="1E38BB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559 от 22.08.1941 г. заводу поручено производство Ил-2. Пост. ГКО № 1376сс от 3.03.1942 г. заводу утвержден суточный план на 03.1942 г. по выпуску Ил-2: с 1 по 10 марта - 5 машин, с 11 по 20 - 7 и с 21 по 31 - 8 машин. Пост. ГКО № 2378 от 7.10.1942 г. и приказом НКАП № 763 от 10.10.1942 г. производство Ил-2 прекращено, и завод перешел на выпуск Ла-5.</w:t>
      </w:r>
    </w:p>
    <w:p w14:paraId="016B5C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1502 от 28.03.1942 г. на заводе запускался в серию Ил-2 с М-82ИР с выпуском 1-й серийной машины к 1.05.1942 г. Однако пост. ГКО № 1658 от 26.04.1942 г. все работы по Ил-2 с М-82ИР были прекращены, продолжен выпуск Ил-2 с АМ-38.</w:t>
      </w:r>
    </w:p>
    <w:p w14:paraId="0EC0B3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3028сс от 12.03.1943 г. и приказом № 175сс/161сс от 20.03.1943 г. площадка завода № 381 1ГУ НКАП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11AA01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4208BA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63E1A9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 это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63329E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1943 г. на заводе организован филиал ОКБ-21 С.А. Лавочкина.</w:t>
      </w:r>
    </w:p>
    <w:p w14:paraId="27EB0C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7F42B0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3C8554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61F498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7F942D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1.12.1946 г. завод передан из 1ГУ в ЮГУ, затем с 1.11.1948 г. обратно, из ЮГУ в 1ГУ.</w:t>
      </w:r>
    </w:p>
    <w:p w14:paraId="729413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35C648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12CE8C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(05.1943-10.1946 г.)- П.Д. Грушин, (1947 г.)- В.И. Засульский.</w:t>
      </w:r>
    </w:p>
    <w:p w14:paraId="18E56F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цехов: (1945 г.)- А.К. Кулагин.</w:t>
      </w:r>
    </w:p>
    <w:p w14:paraId="34EA95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 самолеты:</w:t>
      </w:r>
      <w:r w:rsidRPr="00A3026E">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267F4E2D" w14:textId="77777777" w:rsidR="00C66762" w:rsidRPr="00A3026E" w:rsidRDefault="00C66762"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Cs/>
          <w:color w:val="000000" w:themeColor="text1"/>
          <w:sz w:val="16"/>
          <w:szCs w:val="16"/>
        </w:rPr>
        <w:t>Заводской номер: Ил-2 М 381355 (11982).</w:t>
      </w:r>
    </w:p>
    <w:p w14:paraId="7CE6D80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EF99F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Зам. нач. 7 ГУ НКАП С.Шишкиным была подготовлена справка по сравнительным данным ДБ-3Ф с моторами М-88 и М-87 (2090,192):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6"/>
        <w:gridCol w:w="1916"/>
        <w:gridCol w:w="1916"/>
        <w:gridCol w:w="1916"/>
      </w:tblGrid>
      <w:tr w:rsidR="00983732" w:rsidRPr="00A3026E" w14:paraId="3C1DABD3" w14:textId="77777777" w:rsidTr="00EA0DA7">
        <w:tc>
          <w:tcPr>
            <w:tcW w:w="1916" w:type="dxa"/>
            <w:tcBorders>
              <w:top w:val="single" w:sz="12" w:space="0" w:color="auto"/>
            </w:tcBorders>
          </w:tcPr>
          <w:p w14:paraId="096491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N Характеристика</w:t>
            </w:r>
          </w:p>
        </w:tc>
        <w:tc>
          <w:tcPr>
            <w:tcW w:w="1916" w:type="dxa"/>
            <w:tcBorders>
              <w:top w:val="single" w:sz="12" w:space="0" w:color="auto"/>
            </w:tcBorders>
          </w:tcPr>
          <w:p w14:paraId="721E66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 гос.</w:t>
            </w:r>
          </w:p>
        </w:tc>
        <w:tc>
          <w:tcPr>
            <w:tcW w:w="1916" w:type="dxa"/>
            <w:tcBorders>
              <w:top w:val="single" w:sz="12" w:space="0" w:color="auto"/>
            </w:tcBorders>
          </w:tcPr>
          <w:p w14:paraId="1345E2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 гос.</w:t>
            </w:r>
          </w:p>
        </w:tc>
        <w:tc>
          <w:tcPr>
            <w:tcW w:w="1916" w:type="dxa"/>
            <w:tcBorders>
              <w:top w:val="single" w:sz="12" w:space="0" w:color="auto"/>
            </w:tcBorders>
          </w:tcPr>
          <w:p w14:paraId="7B0CFB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Ожидаемые</w:t>
            </w:r>
          </w:p>
        </w:tc>
      </w:tr>
      <w:tr w:rsidR="00983732" w:rsidRPr="00A3026E" w14:paraId="61A2237B" w14:textId="77777777" w:rsidTr="00EA0DA7">
        <w:tc>
          <w:tcPr>
            <w:tcW w:w="1916" w:type="dxa"/>
          </w:tcPr>
          <w:p w14:paraId="595585C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16" w:type="dxa"/>
          </w:tcPr>
          <w:p w14:paraId="40FB2C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испытаний</w:t>
            </w:r>
          </w:p>
        </w:tc>
        <w:tc>
          <w:tcPr>
            <w:tcW w:w="1916" w:type="dxa"/>
          </w:tcPr>
          <w:p w14:paraId="7EF8E6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испытаний</w:t>
            </w:r>
          </w:p>
        </w:tc>
        <w:tc>
          <w:tcPr>
            <w:tcW w:w="1916" w:type="dxa"/>
          </w:tcPr>
          <w:p w14:paraId="2DB3B1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серии</w:t>
            </w:r>
          </w:p>
        </w:tc>
      </w:tr>
      <w:tr w:rsidR="00983732" w:rsidRPr="00A3026E" w14:paraId="3F259D01" w14:textId="77777777" w:rsidTr="00EA0DA7">
        <w:tc>
          <w:tcPr>
            <w:tcW w:w="1916" w:type="dxa"/>
          </w:tcPr>
          <w:p w14:paraId="24380EB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16" w:type="dxa"/>
          </w:tcPr>
          <w:p w14:paraId="159A0F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М-87Б</w:t>
            </w:r>
          </w:p>
        </w:tc>
        <w:tc>
          <w:tcPr>
            <w:tcW w:w="1916" w:type="dxa"/>
          </w:tcPr>
          <w:p w14:paraId="524212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М-88</w:t>
            </w:r>
          </w:p>
        </w:tc>
        <w:tc>
          <w:tcPr>
            <w:tcW w:w="1916" w:type="dxa"/>
          </w:tcPr>
          <w:p w14:paraId="4BDB82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М-87Б</w:t>
            </w:r>
          </w:p>
        </w:tc>
      </w:tr>
      <w:tr w:rsidR="00983732" w:rsidRPr="00A3026E" w14:paraId="01BACD9E" w14:textId="77777777" w:rsidTr="00EA0DA7">
        <w:tc>
          <w:tcPr>
            <w:tcW w:w="1916" w:type="dxa"/>
          </w:tcPr>
          <w:p w14:paraId="2104FA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Мощность</w:t>
            </w:r>
          </w:p>
        </w:tc>
        <w:tc>
          <w:tcPr>
            <w:tcW w:w="1916" w:type="dxa"/>
          </w:tcPr>
          <w:p w14:paraId="56FA3B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960/4700</w:t>
            </w:r>
          </w:p>
        </w:tc>
        <w:tc>
          <w:tcPr>
            <w:tcW w:w="1916" w:type="dxa"/>
          </w:tcPr>
          <w:p w14:paraId="58D09C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1000/6000</w:t>
            </w:r>
          </w:p>
        </w:tc>
        <w:tc>
          <w:tcPr>
            <w:tcW w:w="1916" w:type="dxa"/>
          </w:tcPr>
          <w:p w14:paraId="561BC0A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E485778" w14:textId="77777777" w:rsidTr="00EA0DA7">
        <w:tc>
          <w:tcPr>
            <w:tcW w:w="1916" w:type="dxa"/>
          </w:tcPr>
          <w:p w14:paraId="766EDF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Взлетная мощность</w:t>
            </w:r>
          </w:p>
        </w:tc>
        <w:tc>
          <w:tcPr>
            <w:tcW w:w="1916" w:type="dxa"/>
          </w:tcPr>
          <w:p w14:paraId="166F8F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w:t>
            </w:r>
          </w:p>
        </w:tc>
        <w:tc>
          <w:tcPr>
            <w:tcW w:w="1916" w:type="dxa"/>
          </w:tcPr>
          <w:p w14:paraId="50D29F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916" w:type="dxa"/>
          </w:tcPr>
          <w:p w14:paraId="3B32934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6463340" w14:textId="77777777" w:rsidTr="00EA0DA7">
        <w:tc>
          <w:tcPr>
            <w:tcW w:w="1916" w:type="dxa"/>
          </w:tcPr>
          <w:p w14:paraId="585060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Макс. скорость на выс.</w:t>
            </w:r>
          </w:p>
        </w:tc>
        <w:tc>
          <w:tcPr>
            <w:tcW w:w="1916" w:type="dxa"/>
          </w:tcPr>
          <w:p w14:paraId="1E8660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445</w:t>
            </w:r>
          </w:p>
        </w:tc>
        <w:tc>
          <w:tcPr>
            <w:tcW w:w="1916" w:type="dxa"/>
          </w:tcPr>
          <w:p w14:paraId="242004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w:t>
            </w:r>
          </w:p>
        </w:tc>
        <w:tc>
          <w:tcPr>
            <w:tcW w:w="1916" w:type="dxa"/>
          </w:tcPr>
          <w:p w14:paraId="7B6329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405-410</w:t>
            </w:r>
          </w:p>
        </w:tc>
      </w:tr>
      <w:tr w:rsidR="00983732" w:rsidRPr="00A3026E" w14:paraId="73AA523A" w14:textId="77777777" w:rsidTr="00EA0DA7">
        <w:tc>
          <w:tcPr>
            <w:tcW w:w="1916" w:type="dxa"/>
          </w:tcPr>
          <w:p w14:paraId="6E28D9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Макс. скорость у земли</w:t>
            </w:r>
          </w:p>
        </w:tc>
        <w:tc>
          <w:tcPr>
            <w:tcW w:w="1916" w:type="dxa"/>
          </w:tcPr>
          <w:p w14:paraId="302211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364</w:t>
            </w:r>
          </w:p>
        </w:tc>
        <w:tc>
          <w:tcPr>
            <w:tcW w:w="1916" w:type="dxa"/>
          </w:tcPr>
          <w:p w14:paraId="25FEE7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362</w:t>
            </w:r>
          </w:p>
        </w:tc>
        <w:tc>
          <w:tcPr>
            <w:tcW w:w="1916" w:type="dxa"/>
          </w:tcPr>
          <w:p w14:paraId="3EF5B84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50C65E3" w14:textId="77777777" w:rsidTr="00EA0DA7">
        <w:tc>
          <w:tcPr>
            <w:tcW w:w="1916" w:type="dxa"/>
          </w:tcPr>
          <w:p w14:paraId="682179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Посадочная с закрылк.</w:t>
            </w:r>
          </w:p>
        </w:tc>
        <w:tc>
          <w:tcPr>
            <w:tcW w:w="1916" w:type="dxa"/>
          </w:tcPr>
          <w:p w14:paraId="673561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c>
          <w:tcPr>
            <w:tcW w:w="1916" w:type="dxa"/>
          </w:tcPr>
          <w:p w14:paraId="05EDD9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c>
          <w:tcPr>
            <w:tcW w:w="1916" w:type="dxa"/>
          </w:tcPr>
          <w:p w14:paraId="10C8DE7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5FC8504" w14:textId="77777777" w:rsidTr="00EA0DA7">
        <w:tc>
          <w:tcPr>
            <w:tcW w:w="1916" w:type="dxa"/>
          </w:tcPr>
          <w:p w14:paraId="47AD6E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Время подъема</w:t>
            </w:r>
          </w:p>
        </w:tc>
        <w:tc>
          <w:tcPr>
            <w:tcW w:w="1916" w:type="dxa"/>
          </w:tcPr>
          <w:p w14:paraId="636EAD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13.6/5000</w:t>
            </w:r>
          </w:p>
        </w:tc>
        <w:tc>
          <w:tcPr>
            <w:tcW w:w="1916" w:type="dxa"/>
          </w:tcPr>
          <w:p w14:paraId="2812A7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10.3/5000</w:t>
            </w:r>
          </w:p>
        </w:tc>
        <w:tc>
          <w:tcPr>
            <w:tcW w:w="1916" w:type="dxa"/>
          </w:tcPr>
          <w:p w14:paraId="6EA61E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r>
      <w:tr w:rsidR="00983732" w:rsidRPr="00A3026E" w14:paraId="1239BE0C" w14:textId="77777777" w:rsidTr="00EA0DA7">
        <w:tc>
          <w:tcPr>
            <w:tcW w:w="1916" w:type="dxa"/>
          </w:tcPr>
          <w:p w14:paraId="7387E9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дальность</w:t>
            </w:r>
          </w:p>
        </w:tc>
        <w:tc>
          <w:tcPr>
            <w:tcW w:w="1916" w:type="dxa"/>
          </w:tcPr>
          <w:p w14:paraId="401402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3800/325</w:t>
            </w:r>
          </w:p>
        </w:tc>
        <w:tc>
          <w:tcPr>
            <w:tcW w:w="1916" w:type="dxa"/>
          </w:tcPr>
          <w:p w14:paraId="5ABE14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3300/340</w:t>
            </w:r>
          </w:p>
        </w:tc>
        <w:tc>
          <w:tcPr>
            <w:tcW w:w="1916" w:type="dxa"/>
          </w:tcPr>
          <w:p w14:paraId="4924576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BB773D2" w14:textId="77777777" w:rsidTr="00EA0DA7">
        <w:tc>
          <w:tcPr>
            <w:tcW w:w="1916" w:type="dxa"/>
          </w:tcPr>
          <w:p w14:paraId="4C3C8B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Потолок</w:t>
            </w:r>
          </w:p>
        </w:tc>
        <w:tc>
          <w:tcPr>
            <w:tcW w:w="1916" w:type="dxa"/>
          </w:tcPr>
          <w:p w14:paraId="49C48A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c>
          <w:tcPr>
            <w:tcW w:w="1916" w:type="dxa"/>
          </w:tcPr>
          <w:p w14:paraId="140079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10500</w:t>
            </w:r>
          </w:p>
        </w:tc>
        <w:tc>
          <w:tcPr>
            <w:tcW w:w="1916" w:type="dxa"/>
          </w:tcPr>
          <w:p w14:paraId="714128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r>
      <w:tr w:rsidR="00983732" w:rsidRPr="00A3026E" w14:paraId="5883F8DE" w14:textId="77777777" w:rsidTr="00EA0DA7">
        <w:tc>
          <w:tcPr>
            <w:tcW w:w="1916" w:type="dxa"/>
          </w:tcPr>
          <w:p w14:paraId="77E323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Разбег</w:t>
            </w:r>
          </w:p>
        </w:tc>
        <w:tc>
          <w:tcPr>
            <w:tcW w:w="1916" w:type="dxa"/>
          </w:tcPr>
          <w:p w14:paraId="5FE5C6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390</w:t>
            </w:r>
          </w:p>
        </w:tc>
        <w:tc>
          <w:tcPr>
            <w:tcW w:w="1916" w:type="dxa"/>
          </w:tcPr>
          <w:p w14:paraId="0CEE14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1916" w:type="dxa"/>
          </w:tcPr>
          <w:p w14:paraId="24A7E8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r>
      <w:tr w:rsidR="00983732" w:rsidRPr="00A3026E" w14:paraId="6427C8F8" w14:textId="77777777" w:rsidTr="00EA0DA7">
        <w:tc>
          <w:tcPr>
            <w:tcW w:w="1916" w:type="dxa"/>
          </w:tcPr>
          <w:p w14:paraId="59EF3E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Пробег</w:t>
            </w:r>
          </w:p>
        </w:tc>
        <w:tc>
          <w:tcPr>
            <w:tcW w:w="1916" w:type="dxa"/>
          </w:tcPr>
          <w:p w14:paraId="4A437C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1916" w:type="dxa"/>
          </w:tcPr>
          <w:p w14:paraId="1A1EB4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230-250</w:t>
            </w:r>
          </w:p>
        </w:tc>
        <w:tc>
          <w:tcPr>
            <w:tcW w:w="1916" w:type="dxa"/>
          </w:tcPr>
          <w:p w14:paraId="26F01A2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EFB3787" w14:textId="77777777" w:rsidTr="00EA0DA7">
        <w:tc>
          <w:tcPr>
            <w:tcW w:w="1916" w:type="dxa"/>
          </w:tcPr>
          <w:p w14:paraId="6555AF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Вес пустого</w:t>
            </w:r>
          </w:p>
        </w:tc>
        <w:tc>
          <w:tcPr>
            <w:tcW w:w="1916" w:type="dxa"/>
          </w:tcPr>
          <w:p w14:paraId="233BBB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5373</w:t>
            </w:r>
          </w:p>
        </w:tc>
        <w:tc>
          <w:tcPr>
            <w:tcW w:w="1916" w:type="dxa"/>
          </w:tcPr>
          <w:p w14:paraId="458CD9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5340</w:t>
            </w:r>
          </w:p>
        </w:tc>
        <w:tc>
          <w:tcPr>
            <w:tcW w:w="1916" w:type="dxa"/>
          </w:tcPr>
          <w:p w14:paraId="4778590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45D27AD" w14:textId="77777777" w:rsidTr="00EA0DA7">
        <w:tc>
          <w:tcPr>
            <w:tcW w:w="1916" w:type="dxa"/>
          </w:tcPr>
          <w:p w14:paraId="368E30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Вес полезной нагр.</w:t>
            </w:r>
          </w:p>
        </w:tc>
        <w:tc>
          <w:tcPr>
            <w:tcW w:w="1916" w:type="dxa"/>
          </w:tcPr>
          <w:p w14:paraId="07F20A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2265</w:t>
            </w:r>
          </w:p>
        </w:tc>
        <w:tc>
          <w:tcPr>
            <w:tcW w:w="1916" w:type="dxa"/>
          </w:tcPr>
          <w:p w14:paraId="6B7C35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2560</w:t>
            </w:r>
          </w:p>
        </w:tc>
        <w:tc>
          <w:tcPr>
            <w:tcW w:w="1916" w:type="dxa"/>
          </w:tcPr>
          <w:p w14:paraId="170C77D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B07C01F" w14:textId="77777777" w:rsidTr="00EA0DA7">
        <w:tc>
          <w:tcPr>
            <w:tcW w:w="1916" w:type="dxa"/>
            <w:tcBorders>
              <w:bottom w:val="single" w:sz="12" w:space="0" w:color="auto"/>
            </w:tcBorders>
          </w:tcPr>
          <w:p w14:paraId="14C7EB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Полетный вес</w:t>
            </w:r>
          </w:p>
        </w:tc>
        <w:tc>
          <w:tcPr>
            <w:tcW w:w="1916" w:type="dxa"/>
            <w:tcBorders>
              <w:bottom w:val="single" w:sz="12" w:space="0" w:color="auto"/>
            </w:tcBorders>
          </w:tcPr>
          <w:p w14:paraId="54ACA8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7660/9777</w:t>
            </w:r>
          </w:p>
        </w:tc>
        <w:tc>
          <w:tcPr>
            <w:tcW w:w="1916" w:type="dxa"/>
            <w:tcBorders>
              <w:bottom w:val="single" w:sz="12" w:space="0" w:color="auto"/>
            </w:tcBorders>
          </w:tcPr>
          <w:p w14:paraId="7ED592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7900/10053</w:t>
            </w:r>
          </w:p>
        </w:tc>
        <w:tc>
          <w:tcPr>
            <w:tcW w:w="1916" w:type="dxa"/>
            <w:tcBorders>
              <w:bottom w:val="single" w:sz="12" w:space="0" w:color="auto"/>
            </w:tcBorders>
          </w:tcPr>
          <w:p w14:paraId="6269B4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 (2090,192).</w:t>
            </w:r>
          </w:p>
          <w:p w14:paraId="0C2BF95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E082F3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2362441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DC31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состоялся первый полет Ту-2 ("103") (274).</w:t>
      </w:r>
    </w:p>
    <w:p w14:paraId="1967C0B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C5898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завод 292 выпустил первые три И-26 (198,18). Потом в 1941 выпустил 1212 Як-1 вместо 1100 планировавшихся (711,2).</w:t>
      </w:r>
    </w:p>
    <w:p w14:paraId="2DDE47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первый серийный Як-1 был выпущен еще в сентябре 1940.</w:t>
      </w:r>
    </w:p>
    <w:p w14:paraId="4358A98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B6D21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октября1940 третью машину И-26 завода № 292 вывезли на аэродром, 22 сентября 1940 - первую, а 1 октября1940 - вторую. После проверки их систем и подготовки к облету летчик-испытатель полковник П.Н. Шустов поднял эти самолеты в воздух.</w:t>
      </w:r>
    </w:p>
    <w:p w14:paraId="64BC22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Дальнейшая сборка и выпуск машин задерживались из-за отсутствия моторов и винтов. К 10 октября в наличии было всего пять моторов (7 - к 28 октября), а к 10 ноября 1940 г. - три комплекта винтов. Устранялись дефекты, выявленные войсковыми испытаниями в Кубинке (установили механические указатели отклоненного положения щитков, профили на боковые фюзеляжные люки, амортизаторы фонаря, нижнюю часть подушки сиденья летчика сделали толше, увеличили угол отклонения хвостовой опоры шасси). В связи с этим 12 ноября 1940 г. план по выпуску И-26 завода № 292 (табл.2, с.25) был скорректирован: три машины головной серии следовало выпустить до 1 ноября, 20 машин - до 25 ноября, Цех начинки а 80 - к концу года. Но и этот план оказался фюзеляжей 1944 г. невыполненным. Всего в I940 г. завод № 292 Архив С. Кузнецова выпустил 16 самолетов (из них пять самолетов было принято военной приемкой в ноябре и 11 - в декабре), и ни одна машина из этого числа не была отправлена в части (12048).</w:t>
      </w:r>
    </w:p>
    <w:p w14:paraId="208BE21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16CE3D2"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 С.А.Л. направляет Председателю КО Ворошилову доклад</w:t>
      </w:r>
      <w:r w:rsidRPr="00A3026E">
        <w:rPr>
          <w:rFonts w:ascii="Times New Roman" w:hAnsi="Times New Roman"/>
          <w:color w:val="000000" w:themeColor="text1"/>
          <w:sz w:val="16"/>
          <w:szCs w:val="16"/>
        </w:rPr>
        <w:softHyphen/>
        <w:t>ную записку:</w:t>
      </w:r>
    </w:p>
    <w:p w14:paraId="396CBEDD"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«По решению правительства на за</w:t>
      </w:r>
      <w:r w:rsidRPr="00A3026E">
        <w:rPr>
          <w:rFonts w:ascii="Times New Roman" w:hAnsi="Times New Roman" w:cs="Times New Roman"/>
          <w:color w:val="000000" w:themeColor="text1"/>
        </w:rPr>
        <w:softHyphen/>
        <w:t>воде №23 начата серийная постройка са</w:t>
      </w:r>
      <w:r w:rsidRPr="00A3026E">
        <w:rPr>
          <w:rFonts w:ascii="Times New Roman" w:hAnsi="Times New Roman" w:cs="Times New Roman"/>
          <w:color w:val="000000" w:themeColor="text1"/>
        </w:rPr>
        <w:softHyphen/>
        <w:t>молета И-301.</w:t>
      </w:r>
    </w:p>
    <w:p w14:paraId="1BE2FA61"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Поскольку в настоящее время пере</w:t>
      </w:r>
      <w:r w:rsidRPr="00A3026E">
        <w:rPr>
          <w:rFonts w:ascii="Times New Roman" w:hAnsi="Times New Roman" w:cs="Times New Roman"/>
          <w:color w:val="000000" w:themeColor="text1"/>
        </w:rPr>
        <w:softHyphen/>
        <w:t>сматривается вопрос о серийном запуске истребителей и речь идет о запуске на заводе № 23 самолета И-26, считаю не</w:t>
      </w:r>
      <w:r w:rsidRPr="00A3026E">
        <w:rPr>
          <w:rFonts w:ascii="Times New Roman" w:hAnsi="Times New Roman" w:cs="Times New Roman"/>
          <w:color w:val="000000" w:themeColor="text1"/>
        </w:rPr>
        <w:softHyphen/>
        <w:t>обходимым уточнить некоторые сравни</w:t>
      </w:r>
      <w:r w:rsidRPr="00A3026E">
        <w:rPr>
          <w:rFonts w:ascii="Times New Roman" w:hAnsi="Times New Roman" w:cs="Times New Roman"/>
          <w:color w:val="000000" w:themeColor="text1"/>
        </w:rPr>
        <w:softHyphen/>
        <w:t>тельные данные по трем строящимся ма</w:t>
      </w:r>
      <w:r w:rsidRPr="00A3026E">
        <w:rPr>
          <w:rFonts w:ascii="Times New Roman" w:hAnsi="Times New Roman" w:cs="Times New Roman"/>
          <w:color w:val="000000" w:themeColor="text1"/>
        </w:rPr>
        <w:softHyphen/>
        <w:t>шинам, характеризующие боевые каче</w:t>
      </w:r>
      <w:r w:rsidRPr="00A3026E">
        <w:rPr>
          <w:rFonts w:ascii="Times New Roman" w:hAnsi="Times New Roman" w:cs="Times New Roman"/>
          <w:color w:val="000000" w:themeColor="text1"/>
        </w:rPr>
        <w:softHyphen/>
        <w:t>ства их.</w:t>
      </w:r>
    </w:p>
    <w:p w14:paraId="6DAC29C3"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В остальном летные качества сравни</w:t>
      </w:r>
      <w:r w:rsidRPr="00A3026E">
        <w:rPr>
          <w:rFonts w:ascii="Times New Roman" w:hAnsi="Times New Roman" w:cs="Times New Roman"/>
          <w:color w:val="000000" w:themeColor="text1"/>
        </w:rPr>
        <w:softHyphen/>
        <w:t>ваемых машин примерно одинаковы. Дан</w:t>
      </w:r>
      <w:r w:rsidRPr="00A3026E">
        <w:rPr>
          <w:rFonts w:ascii="Times New Roman" w:hAnsi="Times New Roman" w:cs="Times New Roman"/>
          <w:color w:val="000000" w:themeColor="text1"/>
        </w:rPr>
        <w:softHyphen/>
        <w:t>ные взяты по результатам госиспытаний в НИИ ВВС.</w:t>
      </w:r>
    </w:p>
    <w:p w14:paraId="00CB0578"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Превосходство в максимальной ско</w:t>
      </w:r>
      <w:r w:rsidRPr="00A3026E">
        <w:rPr>
          <w:rFonts w:ascii="Times New Roman" w:hAnsi="Times New Roman" w:cs="Times New Roman"/>
          <w:color w:val="000000" w:themeColor="text1"/>
        </w:rPr>
        <w:softHyphen/>
        <w:t>рости самолета И-200 на высоте 7000 м объясняется высотностью мотора. Если сравнивать самолеты на одинаковых вы</w:t>
      </w:r>
      <w:r w:rsidRPr="00A3026E">
        <w:rPr>
          <w:rFonts w:ascii="Times New Roman" w:hAnsi="Times New Roman" w:cs="Times New Roman"/>
          <w:color w:val="000000" w:themeColor="text1"/>
        </w:rPr>
        <w:softHyphen/>
        <w:t>сотах, то И-301 имеет преимущество в 20 км против И-200 и И-26, несмотря на то, что мощность мотора самолета И-200 на этой высоте на 200 л.с. выше мощности мотора И-301...</w:t>
      </w:r>
    </w:p>
    <w:p w14:paraId="079D882A"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Кроме того, как это видно из выше</w:t>
      </w:r>
      <w:r w:rsidRPr="00A3026E">
        <w:rPr>
          <w:rFonts w:ascii="Times New Roman" w:hAnsi="Times New Roman" w:cs="Times New Roman"/>
          <w:color w:val="000000" w:themeColor="text1"/>
        </w:rPr>
        <w:softHyphen/>
        <w:t>приведенной таблицы самолет И-301 имеет безусловные преимущества в во</w:t>
      </w:r>
      <w:r w:rsidRPr="00A3026E">
        <w:rPr>
          <w:rFonts w:ascii="Times New Roman" w:hAnsi="Times New Roman" w:cs="Times New Roman"/>
          <w:color w:val="000000" w:themeColor="text1"/>
        </w:rPr>
        <w:softHyphen/>
        <w:t>оружении по отношению к самолетам И-26, И-200...</w:t>
      </w:r>
    </w:p>
    <w:p w14:paraId="417D763F"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Самолет по своей конструкции, будучи деревянным, наилучшим образом подходит к профилю завода №23...</w:t>
      </w:r>
    </w:p>
    <w:p w14:paraId="052E1CB4"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Самолет И-301 в отличие от И-26 имеет отъем крыльев, что упрощает его транспортировку, производство и ре</w:t>
      </w:r>
      <w:r w:rsidRPr="00A3026E">
        <w:rPr>
          <w:rFonts w:ascii="Times New Roman" w:hAnsi="Times New Roman" w:cs="Times New Roman"/>
          <w:color w:val="000000" w:themeColor="text1"/>
        </w:rPr>
        <w:softHyphen/>
        <w:t>монт...</w:t>
      </w:r>
    </w:p>
    <w:p w14:paraId="550FDE09"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Наконец, на заводе №23 уже проде</w:t>
      </w:r>
      <w:r w:rsidRPr="00A3026E">
        <w:rPr>
          <w:rFonts w:ascii="Times New Roman" w:hAnsi="Times New Roman" w:cs="Times New Roman"/>
          <w:color w:val="000000" w:themeColor="text1"/>
        </w:rPr>
        <w:softHyphen/>
        <w:t>лана большая работа по запуску самолета И-301 в серию, и в 1-м квартале 1941 г. можно ожидать начала массового выпуска машины...</w:t>
      </w:r>
    </w:p>
    <w:p w14:paraId="5CC5E565"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Жизнь самолета возможна только в том случае, если им будет занят завод, заинтересованный в массовом выпуске ма</w:t>
      </w:r>
      <w:r w:rsidRPr="00A3026E">
        <w:rPr>
          <w:rFonts w:ascii="Times New Roman" w:hAnsi="Times New Roman" w:cs="Times New Roman"/>
          <w:color w:val="000000" w:themeColor="text1"/>
        </w:rPr>
        <w:softHyphen/>
        <w:t>шины, таким заводом в настоящее время является завод №23.</w:t>
      </w:r>
    </w:p>
    <w:p w14:paraId="2EFE43A3"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Прошу Вас при обсуждении вопроса учесть высокие боевые качества машины, ее производственные выгоды для завода №23, перспективы машины на ближайшее время и оставить серийное производство самолета И-301 на заводе №23».</w:t>
      </w:r>
    </w:p>
    <w:tbl>
      <w:tblPr>
        <w:tblW w:w="0" w:type="auto"/>
        <w:tblLayout w:type="fixed"/>
        <w:tblCellMar>
          <w:left w:w="10" w:type="dxa"/>
          <w:right w:w="10" w:type="dxa"/>
        </w:tblCellMar>
        <w:tblLook w:val="04A0" w:firstRow="1" w:lastRow="0" w:firstColumn="1" w:lastColumn="0" w:noHBand="0" w:noVBand="1"/>
      </w:tblPr>
      <w:tblGrid>
        <w:gridCol w:w="1862"/>
        <w:gridCol w:w="1382"/>
        <w:gridCol w:w="1646"/>
        <w:gridCol w:w="1814"/>
      </w:tblGrid>
      <w:tr w:rsidR="00983732" w:rsidRPr="00A3026E" w14:paraId="7063154F" w14:textId="77777777" w:rsidTr="00173293">
        <w:trPr>
          <w:trHeight w:val="240"/>
        </w:trPr>
        <w:tc>
          <w:tcPr>
            <w:tcW w:w="1862" w:type="dxa"/>
            <w:tcBorders>
              <w:top w:val="single" w:sz="4" w:space="0" w:color="auto"/>
              <w:left w:val="single" w:sz="4" w:space="0" w:color="auto"/>
              <w:bottom w:val="single" w:sz="4" w:space="0" w:color="auto"/>
              <w:right w:val="single" w:sz="4" w:space="0" w:color="auto"/>
            </w:tcBorders>
            <w:shd w:val="clear" w:color="auto" w:fill="FFFFFF"/>
          </w:tcPr>
          <w:p w14:paraId="6B7585ED" w14:textId="77777777" w:rsidR="0040514A" w:rsidRPr="00A3026E" w:rsidRDefault="0040514A" w:rsidP="00A3026E">
            <w:pPr>
              <w:spacing w:after="0" w:line="240" w:lineRule="auto"/>
              <w:jc w:val="both"/>
              <w:rPr>
                <w:rFonts w:ascii="Times New Roman" w:hAnsi="Times New Roman"/>
                <w:color w:val="000000" w:themeColor="text1"/>
                <w:sz w:val="16"/>
                <w:szCs w:val="16"/>
              </w:rPr>
            </w:pP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169FBA67" w14:textId="77777777" w:rsidR="0040514A" w:rsidRPr="00A3026E" w:rsidRDefault="0040514A"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И-200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8BECB14" w14:textId="77777777" w:rsidR="0040514A" w:rsidRPr="00A3026E" w:rsidRDefault="0040514A"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И-26</w:t>
            </w:r>
          </w:p>
        </w:tc>
        <w:tc>
          <w:tcPr>
            <w:tcW w:w="1814" w:type="dxa"/>
            <w:tcBorders>
              <w:top w:val="single" w:sz="4" w:space="0" w:color="auto"/>
              <w:left w:val="single" w:sz="4" w:space="0" w:color="auto"/>
              <w:bottom w:val="single" w:sz="4" w:space="0" w:color="auto"/>
              <w:right w:val="single" w:sz="4" w:space="0" w:color="auto"/>
            </w:tcBorders>
            <w:shd w:val="clear" w:color="auto" w:fill="FFFFFF"/>
          </w:tcPr>
          <w:p w14:paraId="1A816096" w14:textId="77777777" w:rsidR="0040514A" w:rsidRPr="00A3026E" w:rsidRDefault="0040514A"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И-301</w:t>
            </w:r>
          </w:p>
        </w:tc>
      </w:tr>
      <w:tr w:rsidR="00983732" w:rsidRPr="00A3026E" w14:paraId="5507A06E" w14:textId="77777777" w:rsidTr="00173293">
        <w:trPr>
          <w:trHeight w:val="240"/>
        </w:trPr>
        <w:tc>
          <w:tcPr>
            <w:tcW w:w="1862" w:type="dxa"/>
            <w:tcBorders>
              <w:top w:val="single" w:sz="4" w:space="0" w:color="auto"/>
              <w:left w:val="single" w:sz="4" w:space="0" w:color="auto"/>
              <w:bottom w:val="single" w:sz="4" w:space="0" w:color="auto"/>
              <w:right w:val="single" w:sz="4" w:space="0" w:color="auto"/>
            </w:tcBorders>
            <w:shd w:val="clear" w:color="auto" w:fill="FFFFFF"/>
          </w:tcPr>
          <w:p w14:paraId="24356818"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Макс, скорость у земли</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2FE725E1"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486</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1A4F550"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490</w:t>
            </w:r>
          </w:p>
        </w:tc>
        <w:tc>
          <w:tcPr>
            <w:tcW w:w="1814" w:type="dxa"/>
            <w:tcBorders>
              <w:top w:val="single" w:sz="4" w:space="0" w:color="auto"/>
              <w:left w:val="single" w:sz="4" w:space="0" w:color="auto"/>
              <w:bottom w:val="single" w:sz="4" w:space="0" w:color="auto"/>
              <w:right w:val="single" w:sz="4" w:space="0" w:color="auto"/>
            </w:tcBorders>
            <w:shd w:val="clear" w:color="auto" w:fill="FFFFFF"/>
          </w:tcPr>
          <w:p w14:paraId="4063F054"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515</w:t>
            </w:r>
          </w:p>
        </w:tc>
      </w:tr>
      <w:tr w:rsidR="00983732" w:rsidRPr="00A3026E" w14:paraId="106E8029" w14:textId="77777777" w:rsidTr="00173293">
        <w:trPr>
          <w:trHeight w:val="240"/>
        </w:trPr>
        <w:tc>
          <w:tcPr>
            <w:tcW w:w="1862" w:type="dxa"/>
            <w:tcBorders>
              <w:top w:val="single" w:sz="4" w:space="0" w:color="auto"/>
              <w:left w:val="single" w:sz="4" w:space="0" w:color="auto"/>
              <w:bottom w:val="single" w:sz="4" w:space="0" w:color="auto"/>
              <w:right w:val="single" w:sz="4" w:space="0" w:color="auto"/>
            </w:tcBorders>
            <w:shd w:val="clear" w:color="auto" w:fill="FFFFFF"/>
          </w:tcPr>
          <w:p w14:paraId="20A2749A"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 на 5000 м</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13600D37"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586</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6E7C594"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585</w:t>
            </w:r>
          </w:p>
        </w:tc>
        <w:tc>
          <w:tcPr>
            <w:tcW w:w="1814" w:type="dxa"/>
            <w:tcBorders>
              <w:top w:val="single" w:sz="4" w:space="0" w:color="auto"/>
              <w:left w:val="single" w:sz="4" w:space="0" w:color="auto"/>
              <w:bottom w:val="single" w:sz="4" w:space="0" w:color="auto"/>
              <w:right w:val="single" w:sz="4" w:space="0" w:color="auto"/>
            </w:tcBorders>
            <w:shd w:val="clear" w:color="auto" w:fill="FFFFFF"/>
          </w:tcPr>
          <w:p w14:paraId="6493AD5C"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605</w:t>
            </w:r>
          </w:p>
        </w:tc>
      </w:tr>
      <w:tr w:rsidR="00983732" w:rsidRPr="00A3026E" w14:paraId="527C340F" w14:textId="77777777" w:rsidTr="00173293">
        <w:trPr>
          <w:trHeight w:val="240"/>
        </w:trPr>
        <w:tc>
          <w:tcPr>
            <w:tcW w:w="1862" w:type="dxa"/>
            <w:tcBorders>
              <w:top w:val="single" w:sz="4" w:space="0" w:color="auto"/>
              <w:left w:val="single" w:sz="4" w:space="0" w:color="auto"/>
              <w:bottom w:val="single" w:sz="4" w:space="0" w:color="auto"/>
              <w:right w:val="single" w:sz="4" w:space="0" w:color="auto"/>
            </w:tcBorders>
            <w:shd w:val="clear" w:color="auto" w:fill="FFFFFF"/>
          </w:tcPr>
          <w:p w14:paraId="7A376149"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 на 7000 м</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399C16CB"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628</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4234B87"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814" w:type="dxa"/>
            <w:tcBorders>
              <w:top w:val="single" w:sz="4" w:space="0" w:color="auto"/>
              <w:left w:val="single" w:sz="4" w:space="0" w:color="auto"/>
              <w:bottom w:val="single" w:sz="4" w:space="0" w:color="auto"/>
              <w:right w:val="single" w:sz="4" w:space="0" w:color="auto"/>
            </w:tcBorders>
            <w:shd w:val="clear" w:color="auto" w:fill="FFFFFF"/>
          </w:tcPr>
          <w:p w14:paraId="49155575" w14:textId="77777777" w:rsidR="0040514A" w:rsidRPr="00A3026E" w:rsidRDefault="0040514A" w:rsidP="00A3026E">
            <w:pPr>
              <w:pStyle w:val="280"/>
              <w:shd w:val="clear" w:color="auto" w:fill="auto"/>
              <w:spacing w:after="0" w:line="240" w:lineRule="auto"/>
              <w:jc w:val="both"/>
              <w:rPr>
                <w:rFonts w:ascii="Times New Roman" w:hAnsi="Times New Roman" w:cs="Times New Roman"/>
                <w:color w:val="000000" w:themeColor="text1"/>
                <w:spacing w:val="0"/>
                <w:sz w:val="16"/>
                <w:szCs w:val="16"/>
              </w:rPr>
            </w:pPr>
            <w:r w:rsidRPr="00A3026E">
              <w:rPr>
                <w:rFonts w:ascii="Times New Roman" w:hAnsi="Times New Roman" w:cs="Times New Roman"/>
                <w:color w:val="000000" w:themeColor="text1"/>
                <w:spacing w:val="0"/>
                <w:sz w:val="16"/>
                <w:szCs w:val="16"/>
              </w:rPr>
              <w:t>-</w:t>
            </w:r>
          </w:p>
        </w:tc>
      </w:tr>
      <w:tr w:rsidR="00983732" w:rsidRPr="00A3026E" w14:paraId="6BA2F4BA" w14:textId="77777777" w:rsidTr="00173293">
        <w:trPr>
          <w:trHeight w:val="264"/>
        </w:trPr>
        <w:tc>
          <w:tcPr>
            <w:tcW w:w="1862" w:type="dxa"/>
            <w:tcBorders>
              <w:top w:val="single" w:sz="4" w:space="0" w:color="auto"/>
              <w:left w:val="single" w:sz="4" w:space="0" w:color="auto"/>
              <w:right w:val="single" w:sz="4" w:space="0" w:color="auto"/>
            </w:tcBorders>
            <w:shd w:val="clear" w:color="auto" w:fill="FFFFFF"/>
          </w:tcPr>
          <w:p w14:paraId="01E5F307"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Вооружение</w:t>
            </w:r>
          </w:p>
        </w:tc>
        <w:tc>
          <w:tcPr>
            <w:tcW w:w="1382" w:type="dxa"/>
            <w:tcBorders>
              <w:top w:val="single" w:sz="4" w:space="0" w:color="auto"/>
              <w:left w:val="single" w:sz="4" w:space="0" w:color="auto"/>
              <w:right w:val="single" w:sz="4" w:space="0" w:color="auto"/>
            </w:tcBorders>
            <w:shd w:val="clear" w:color="auto" w:fill="FFFFFF"/>
          </w:tcPr>
          <w:p w14:paraId="6DA90345"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1 тяж. пул-т</w:t>
            </w:r>
          </w:p>
        </w:tc>
        <w:tc>
          <w:tcPr>
            <w:tcW w:w="1646" w:type="dxa"/>
            <w:tcBorders>
              <w:top w:val="single" w:sz="4" w:space="0" w:color="auto"/>
              <w:left w:val="single" w:sz="4" w:space="0" w:color="auto"/>
              <w:right w:val="single" w:sz="4" w:space="0" w:color="auto"/>
            </w:tcBorders>
            <w:shd w:val="clear" w:color="auto" w:fill="FFFFFF"/>
          </w:tcPr>
          <w:p w14:paraId="07EF62F6"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1 пушка</w:t>
            </w:r>
          </w:p>
        </w:tc>
        <w:tc>
          <w:tcPr>
            <w:tcW w:w="1814" w:type="dxa"/>
            <w:tcBorders>
              <w:top w:val="single" w:sz="4" w:space="0" w:color="auto"/>
              <w:left w:val="single" w:sz="4" w:space="0" w:color="auto"/>
              <w:right w:val="single" w:sz="4" w:space="0" w:color="auto"/>
            </w:tcBorders>
            <w:shd w:val="clear" w:color="auto" w:fill="FFFFFF"/>
          </w:tcPr>
          <w:p w14:paraId="05B42959"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1 пушка</w:t>
            </w:r>
          </w:p>
        </w:tc>
      </w:tr>
      <w:tr w:rsidR="00983732" w:rsidRPr="00A3026E" w14:paraId="65200473" w14:textId="77777777" w:rsidTr="00173293">
        <w:trPr>
          <w:trHeight w:val="451"/>
        </w:trPr>
        <w:tc>
          <w:tcPr>
            <w:tcW w:w="1862" w:type="dxa"/>
            <w:tcBorders>
              <w:left w:val="single" w:sz="4" w:space="0" w:color="auto"/>
              <w:bottom w:val="single" w:sz="4" w:space="0" w:color="auto"/>
              <w:right w:val="single" w:sz="4" w:space="0" w:color="auto"/>
            </w:tcBorders>
            <w:shd w:val="clear" w:color="auto" w:fill="FFFFFF"/>
          </w:tcPr>
          <w:p w14:paraId="659362A7" w14:textId="77777777" w:rsidR="0040514A" w:rsidRPr="00A3026E" w:rsidRDefault="0040514A" w:rsidP="00A3026E">
            <w:pPr>
              <w:spacing w:after="0" w:line="240" w:lineRule="auto"/>
              <w:jc w:val="both"/>
              <w:rPr>
                <w:rFonts w:ascii="Times New Roman" w:hAnsi="Times New Roman"/>
                <w:color w:val="000000" w:themeColor="text1"/>
                <w:sz w:val="16"/>
                <w:szCs w:val="16"/>
              </w:rPr>
            </w:pPr>
          </w:p>
        </w:tc>
        <w:tc>
          <w:tcPr>
            <w:tcW w:w="1382" w:type="dxa"/>
            <w:tcBorders>
              <w:left w:val="single" w:sz="4" w:space="0" w:color="auto"/>
              <w:bottom w:val="single" w:sz="4" w:space="0" w:color="auto"/>
              <w:right w:val="single" w:sz="4" w:space="0" w:color="auto"/>
            </w:tcBorders>
            <w:shd w:val="clear" w:color="auto" w:fill="FFFFFF"/>
          </w:tcPr>
          <w:p w14:paraId="623C8DD6"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2 легк. пул-та</w:t>
            </w:r>
          </w:p>
        </w:tc>
        <w:tc>
          <w:tcPr>
            <w:tcW w:w="1646" w:type="dxa"/>
            <w:tcBorders>
              <w:left w:val="single" w:sz="4" w:space="0" w:color="auto"/>
              <w:bottom w:val="single" w:sz="4" w:space="0" w:color="auto"/>
              <w:right w:val="single" w:sz="4" w:space="0" w:color="auto"/>
            </w:tcBorders>
            <w:shd w:val="clear" w:color="auto" w:fill="FFFFFF"/>
          </w:tcPr>
          <w:p w14:paraId="481A3D88"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2 легк. пул-та</w:t>
            </w:r>
          </w:p>
        </w:tc>
        <w:tc>
          <w:tcPr>
            <w:tcW w:w="1814" w:type="dxa"/>
            <w:tcBorders>
              <w:left w:val="single" w:sz="4" w:space="0" w:color="auto"/>
              <w:bottom w:val="single" w:sz="4" w:space="0" w:color="auto"/>
              <w:right w:val="single" w:sz="4" w:space="0" w:color="auto"/>
            </w:tcBorders>
            <w:shd w:val="clear" w:color="auto" w:fill="FFFFFF"/>
          </w:tcPr>
          <w:p w14:paraId="31B76EBD"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2 тяж.пул-та 2 легк.пул-та</w:t>
            </w:r>
          </w:p>
        </w:tc>
      </w:tr>
      <w:tr w:rsidR="00983732" w:rsidRPr="00A3026E" w14:paraId="2045F7E5" w14:textId="77777777" w:rsidTr="00173293">
        <w:trPr>
          <w:trHeight w:val="485"/>
        </w:trPr>
        <w:tc>
          <w:tcPr>
            <w:tcW w:w="1862" w:type="dxa"/>
            <w:tcBorders>
              <w:top w:val="single" w:sz="4" w:space="0" w:color="auto"/>
              <w:left w:val="single" w:sz="4" w:space="0" w:color="auto"/>
              <w:bottom w:val="single" w:sz="4" w:space="0" w:color="auto"/>
              <w:right w:val="single" w:sz="4" w:space="0" w:color="auto"/>
            </w:tcBorders>
            <w:shd w:val="clear" w:color="auto" w:fill="FFFFFF"/>
          </w:tcPr>
          <w:p w14:paraId="1857AE09"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Устойчивость</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76BC4537" w14:textId="77777777" w:rsidR="0040514A" w:rsidRPr="00A3026E" w:rsidRDefault="0040514A" w:rsidP="00A3026E">
            <w:pPr>
              <w:spacing w:after="0" w:line="240" w:lineRule="auto"/>
              <w:jc w:val="both"/>
              <w:rPr>
                <w:rFonts w:ascii="Times New Roman" w:hAnsi="Times New Roman"/>
                <w:color w:val="000000" w:themeColor="text1"/>
                <w:sz w:val="16"/>
                <w:szCs w:val="16"/>
              </w:rPr>
            </w:pP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FB846CB" w14:textId="77777777" w:rsidR="0040514A" w:rsidRPr="00A3026E" w:rsidRDefault="0040514A" w:rsidP="00A3026E">
            <w:pPr>
              <w:spacing w:after="0" w:line="240" w:lineRule="auto"/>
              <w:jc w:val="both"/>
              <w:rPr>
                <w:rFonts w:ascii="Times New Roman" w:hAnsi="Times New Roman"/>
                <w:color w:val="000000" w:themeColor="text1"/>
                <w:sz w:val="16"/>
                <w:szCs w:val="16"/>
              </w:rPr>
            </w:pPr>
          </w:p>
        </w:tc>
        <w:tc>
          <w:tcPr>
            <w:tcW w:w="1814" w:type="dxa"/>
            <w:tcBorders>
              <w:top w:val="single" w:sz="4" w:space="0" w:color="auto"/>
              <w:left w:val="single" w:sz="4" w:space="0" w:color="auto"/>
              <w:bottom w:val="single" w:sz="4" w:space="0" w:color="auto"/>
              <w:right w:val="single" w:sz="4" w:space="0" w:color="auto"/>
            </w:tcBorders>
            <w:shd w:val="clear" w:color="auto" w:fill="FFFFFF"/>
          </w:tcPr>
          <w:p w14:paraId="4B809E4E"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Лучше, чем И-26, и знач. лучше, чем И-200</w:t>
            </w:r>
          </w:p>
        </w:tc>
      </w:tr>
    </w:tbl>
    <w:p w14:paraId="3743D2B3" w14:textId="77777777" w:rsidR="0040514A" w:rsidRPr="00A3026E" w:rsidRDefault="0040514A" w:rsidP="00A3026E">
      <w:pPr>
        <w:pStyle w:val="aff1"/>
        <w:shd w:val="clear" w:color="auto" w:fill="auto"/>
        <w:spacing w:line="240" w:lineRule="auto"/>
        <w:rPr>
          <w:rFonts w:ascii="Times New Roman" w:hAnsi="Times New Roman" w:cs="Times New Roman"/>
          <w:i w:val="0"/>
          <w:color w:val="000000" w:themeColor="text1"/>
          <w:sz w:val="16"/>
          <w:szCs w:val="16"/>
          <w:lang w:val="ru-RU"/>
        </w:rPr>
      </w:pPr>
      <w:r w:rsidRPr="00A3026E">
        <w:rPr>
          <w:rFonts w:ascii="Times New Roman" w:hAnsi="Times New Roman" w:cs="Times New Roman"/>
          <w:i w:val="0"/>
          <w:color w:val="000000" w:themeColor="text1"/>
          <w:sz w:val="16"/>
          <w:szCs w:val="16"/>
          <w:lang w:val="ru-RU"/>
        </w:rPr>
        <w:t>Таблица, представленная С.А. Лавочкиным в его докладной 3 октября 1940 г.</w:t>
      </w:r>
    </w:p>
    <w:p w14:paraId="3FF6F3F2"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этой же записке Лавочкин указывал, что в ближайшее время на самолете уже запланированы следующие переделки:</w:t>
      </w:r>
    </w:p>
    <w:p w14:paraId="7FF9595C" w14:textId="77777777" w:rsidR="0040514A" w:rsidRPr="00A3026E" w:rsidRDefault="0040514A" w:rsidP="00A3026E">
      <w:pPr>
        <w:tabs>
          <w:tab w:val="left" w:pos="411"/>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увеличение дальности до 1000 км;</w:t>
      </w:r>
    </w:p>
    <w:p w14:paraId="1BE62572"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в разъеме крыла еще двух</w:t>
      </w:r>
    </w:p>
    <w:p w14:paraId="6737462D"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пулеметов ШКАС;</w:t>
      </w:r>
    </w:p>
    <w:p w14:paraId="4E8C1C4A"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подвески бомб до 400 кг;</w:t>
      </w:r>
    </w:p>
    <w:p w14:paraId="70262AF5" w14:textId="77777777" w:rsidR="0040514A" w:rsidRPr="00A3026E" w:rsidRDefault="0040514A" w:rsidP="00A3026E">
      <w:pPr>
        <w:tabs>
          <w:tab w:val="left" w:pos="424"/>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возможна замена двух синхронных пулеметов 12,7 мм на две синхронные пушки ШВАК.</w:t>
      </w:r>
    </w:p>
    <w:p w14:paraId="034ADE50"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Ворошилов, конечно, не был тем че</w:t>
      </w:r>
      <w:r w:rsidRPr="00A3026E">
        <w:rPr>
          <w:rFonts w:ascii="Times New Roman" w:hAnsi="Times New Roman"/>
          <w:color w:val="000000" w:themeColor="text1"/>
          <w:sz w:val="16"/>
          <w:szCs w:val="16"/>
        </w:rPr>
        <w:softHyphen/>
        <w:t>ловеком, который мог самостоятельно ре</w:t>
      </w:r>
      <w:r w:rsidRPr="00A3026E">
        <w:rPr>
          <w:rFonts w:ascii="Times New Roman" w:hAnsi="Times New Roman"/>
          <w:color w:val="000000" w:themeColor="text1"/>
          <w:sz w:val="16"/>
          <w:szCs w:val="16"/>
        </w:rPr>
        <w:softHyphen/>
        <w:t>шить подобные вопросы, но в то время он был человеком из ближнего окруже</w:t>
      </w:r>
      <w:r w:rsidRPr="00A3026E">
        <w:rPr>
          <w:rFonts w:ascii="Times New Roman" w:hAnsi="Times New Roman"/>
          <w:color w:val="000000" w:themeColor="text1"/>
          <w:sz w:val="16"/>
          <w:szCs w:val="16"/>
        </w:rPr>
        <w:softHyphen/>
        <w:t>ния Сталина и быстро передавал тому все важные документы. Так случилось и с этой запиской. 7 октября Ворошилов на</w:t>
      </w:r>
      <w:r w:rsidRPr="00A3026E">
        <w:rPr>
          <w:rFonts w:ascii="Times New Roman" w:hAnsi="Times New Roman"/>
          <w:color w:val="000000" w:themeColor="text1"/>
          <w:sz w:val="16"/>
          <w:szCs w:val="16"/>
        </w:rPr>
        <w:softHyphen/>
        <w:t>правил ее Сталину, и тот немедленно за</w:t>
      </w:r>
      <w:r w:rsidRPr="00A3026E">
        <w:rPr>
          <w:rFonts w:ascii="Times New Roman" w:hAnsi="Times New Roman"/>
          <w:color w:val="000000" w:themeColor="text1"/>
          <w:sz w:val="16"/>
          <w:szCs w:val="16"/>
        </w:rPr>
        <w:softHyphen/>
        <w:t>просил мнение Яковлева. Весьма веро</w:t>
      </w:r>
      <w:r w:rsidRPr="00A3026E">
        <w:rPr>
          <w:rFonts w:ascii="Times New Roman" w:hAnsi="Times New Roman"/>
          <w:color w:val="000000" w:themeColor="text1"/>
          <w:sz w:val="16"/>
          <w:szCs w:val="16"/>
        </w:rPr>
        <w:softHyphen/>
        <w:t>ятно, что 8 или 9 октября Лавочкин лично был приглашен к Сталину, и доложил и о своей машине, и о дельта-древесине. Это событие имеет широкое отражение в вос</w:t>
      </w:r>
      <w:r w:rsidRPr="00A3026E">
        <w:rPr>
          <w:rFonts w:ascii="Times New Roman" w:hAnsi="Times New Roman"/>
          <w:color w:val="000000" w:themeColor="text1"/>
          <w:sz w:val="16"/>
          <w:szCs w:val="16"/>
        </w:rPr>
        <w:softHyphen/>
        <w:t>поминаниях участников событий, но не находит подтверждения в журнале по</w:t>
      </w:r>
      <w:r w:rsidRPr="00A3026E">
        <w:rPr>
          <w:rFonts w:ascii="Times New Roman" w:hAnsi="Times New Roman"/>
          <w:color w:val="000000" w:themeColor="text1"/>
          <w:sz w:val="16"/>
          <w:szCs w:val="16"/>
        </w:rPr>
        <w:softHyphen/>
        <w:t>сещений кабинета Сталина. Возможно, встреча состоялась где-то в другом месте: в ЦК партии или в Комитете Обороны у Ворошилова.</w:t>
      </w:r>
    </w:p>
    <w:p w14:paraId="6A3F465A"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Доводы Лавочкина произвели впечат</w:t>
      </w:r>
      <w:r w:rsidRPr="00A3026E">
        <w:rPr>
          <w:rFonts w:ascii="Times New Roman" w:hAnsi="Times New Roman"/>
          <w:color w:val="000000" w:themeColor="text1"/>
          <w:sz w:val="16"/>
          <w:szCs w:val="16"/>
        </w:rPr>
        <w:softHyphen/>
        <w:t>ление на вождя, и 9 октября было при</w:t>
      </w:r>
      <w:r w:rsidRPr="00A3026E">
        <w:rPr>
          <w:rFonts w:ascii="Times New Roman" w:hAnsi="Times New Roman"/>
          <w:color w:val="000000" w:themeColor="text1"/>
          <w:sz w:val="16"/>
          <w:szCs w:val="16"/>
        </w:rPr>
        <w:softHyphen/>
        <w:t>нято другое постановление КО, отменя</w:t>
      </w:r>
      <w:r w:rsidRPr="00A3026E">
        <w:rPr>
          <w:rFonts w:ascii="Times New Roman" w:hAnsi="Times New Roman"/>
          <w:color w:val="000000" w:themeColor="text1"/>
          <w:sz w:val="16"/>
          <w:szCs w:val="16"/>
        </w:rPr>
        <w:softHyphen/>
        <w:t>ющее решение от 2 октября о запуске в производство на заводе №23 самолета И-26У и предписывающее поставить там серийное производство И-301 с указан</w:t>
      </w:r>
      <w:r w:rsidRPr="00A3026E">
        <w:rPr>
          <w:rFonts w:ascii="Times New Roman" w:hAnsi="Times New Roman"/>
          <w:color w:val="000000" w:themeColor="text1"/>
          <w:sz w:val="16"/>
          <w:szCs w:val="16"/>
        </w:rPr>
        <w:softHyphen/>
        <w:t>ной дальностью. При этом Сталин дал Ла</w:t>
      </w:r>
      <w:r w:rsidRPr="00A3026E">
        <w:rPr>
          <w:rFonts w:ascii="Times New Roman" w:hAnsi="Times New Roman"/>
          <w:color w:val="000000" w:themeColor="text1"/>
          <w:sz w:val="16"/>
          <w:szCs w:val="16"/>
        </w:rPr>
        <w:softHyphen/>
        <w:t>вочкину три недели для установки на са</w:t>
      </w:r>
      <w:r w:rsidRPr="00A3026E">
        <w:rPr>
          <w:rFonts w:ascii="Times New Roman" w:hAnsi="Times New Roman"/>
          <w:color w:val="000000" w:themeColor="text1"/>
          <w:sz w:val="16"/>
          <w:szCs w:val="16"/>
        </w:rPr>
        <w:softHyphen/>
        <w:t>молет дополнительных баков и подтвер</w:t>
      </w:r>
      <w:r w:rsidRPr="00A3026E">
        <w:rPr>
          <w:rFonts w:ascii="Times New Roman" w:hAnsi="Times New Roman"/>
          <w:color w:val="000000" w:themeColor="text1"/>
          <w:sz w:val="16"/>
          <w:szCs w:val="16"/>
        </w:rPr>
        <w:softHyphen/>
        <w:t>ждения дальности 1000 км.</w:t>
      </w:r>
    </w:p>
    <w:p w14:paraId="187AD9BE"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 время первый экземпляр И-301 уже заканчивал ремонт. На нем пред</w:t>
      </w:r>
      <w:r w:rsidRPr="00A3026E">
        <w:rPr>
          <w:rFonts w:ascii="Times New Roman" w:hAnsi="Times New Roman"/>
          <w:color w:val="000000" w:themeColor="text1"/>
          <w:sz w:val="16"/>
          <w:szCs w:val="16"/>
        </w:rPr>
        <w:softHyphen/>
        <w:t>полагалось испытывать вооружение, но пушку Таубин не подал, поэтому было смонтировано только 4-пулеметное во</w:t>
      </w:r>
      <w:r w:rsidRPr="00A3026E">
        <w:rPr>
          <w:rFonts w:ascii="Times New Roman" w:hAnsi="Times New Roman"/>
          <w:color w:val="000000" w:themeColor="text1"/>
          <w:sz w:val="16"/>
          <w:szCs w:val="16"/>
        </w:rPr>
        <w:softHyphen/>
        <w:t>оружение, и 19 октября самолет был вы</w:t>
      </w:r>
      <w:r w:rsidRPr="00A3026E">
        <w:rPr>
          <w:rFonts w:ascii="Times New Roman" w:hAnsi="Times New Roman"/>
          <w:color w:val="000000" w:themeColor="text1"/>
          <w:sz w:val="16"/>
          <w:szCs w:val="16"/>
        </w:rPr>
        <w:softHyphen/>
        <w:t>веден в тир.</w:t>
      </w:r>
    </w:p>
    <w:p w14:paraId="3C001FD8"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Устанавливать дополнительные бен</w:t>
      </w:r>
      <w:r w:rsidRPr="00A3026E">
        <w:rPr>
          <w:rFonts w:ascii="Times New Roman" w:hAnsi="Times New Roman"/>
          <w:color w:val="000000" w:themeColor="text1"/>
          <w:sz w:val="16"/>
          <w:szCs w:val="16"/>
        </w:rPr>
        <w:softHyphen/>
        <w:t>зобаки в консоли крыла решено было на уже почти достроенном втором опытном экземпляре И-301, на котором предпола</w:t>
      </w:r>
      <w:r w:rsidRPr="00A3026E">
        <w:rPr>
          <w:rFonts w:ascii="Times New Roman" w:hAnsi="Times New Roman"/>
          <w:color w:val="000000" w:themeColor="text1"/>
          <w:sz w:val="16"/>
          <w:szCs w:val="16"/>
        </w:rPr>
        <w:softHyphen/>
        <w:t>галось испытывать ВМГ с турбокомпрессо</w:t>
      </w:r>
      <w:r w:rsidRPr="00A3026E">
        <w:rPr>
          <w:rFonts w:ascii="Times New Roman" w:hAnsi="Times New Roman"/>
          <w:color w:val="000000" w:themeColor="text1"/>
          <w:sz w:val="16"/>
          <w:szCs w:val="16"/>
        </w:rPr>
        <w:softHyphen/>
        <w:t>рами. Когда 10 октября на заводе №301 было получено письмо Сталина об уста</w:t>
      </w:r>
      <w:r w:rsidRPr="00A3026E">
        <w:rPr>
          <w:rFonts w:ascii="Times New Roman" w:hAnsi="Times New Roman"/>
          <w:color w:val="000000" w:themeColor="text1"/>
          <w:sz w:val="16"/>
          <w:szCs w:val="16"/>
        </w:rPr>
        <w:softHyphen/>
        <w:t>новлении срока окончания постройки ду</w:t>
      </w:r>
      <w:r w:rsidRPr="00A3026E">
        <w:rPr>
          <w:rFonts w:ascii="Times New Roman" w:hAnsi="Times New Roman"/>
          <w:color w:val="000000" w:themeColor="text1"/>
          <w:sz w:val="16"/>
          <w:szCs w:val="16"/>
        </w:rPr>
        <w:softHyphen/>
        <w:t>блера с увеличенной дальностью к 1 ноя</w:t>
      </w:r>
      <w:r w:rsidRPr="00A3026E">
        <w:rPr>
          <w:rFonts w:ascii="Times New Roman" w:hAnsi="Times New Roman"/>
          <w:color w:val="000000" w:themeColor="text1"/>
          <w:sz w:val="16"/>
          <w:szCs w:val="16"/>
        </w:rPr>
        <w:softHyphen/>
        <w:t>бря, все другие работы на нем были отло</w:t>
      </w:r>
      <w:r w:rsidRPr="00A3026E">
        <w:rPr>
          <w:rFonts w:ascii="Times New Roman" w:hAnsi="Times New Roman"/>
          <w:color w:val="000000" w:themeColor="text1"/>
          <w:sz w:val="16"/>
          <w:szCs w:val="16"/>
        </w:rPr>
        <w:softHyphen/>
        <w:t>жены, в том числе установка ТК.</w:t>
      </w:r>
    </w:p>
    <w:p w14:paraId="6BD288CB"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Задание Сталина было выполнено: к 1 ноября самолет с дополнительными баками был подготовлен к перевозке на аэродром, но при пробе мотора обнару</w:t>
      </w:r>
      <w:r w:rsidRPr="00A3026E">
        <w:rPr>
          <w:rFonts w:ascii="Times New Roman" w:hAnsi="Times New Roman"/>
          <w:color w:val="000000" w:themeColor="text1"/>
          <w:sz w:val="16"/>
          <w:szCs w:val="16"/>
        </w:rPr>
        <w:softHyphen/>
        <w:t>жилось отсутствие циркуляции воды в си</w:t>
      </w:r>
      <w:r w:rsidRPr="00A3026E">
        <w:rPr>
          <w:rFonts w:ascii="Times New Roman" w:hAnsi="Times New Roman"/>
          <w:color w:val="000000" w:themeColor="text1"/>
          <w:sz w:val="16"/>
          <w:szCs w:val="16"/>
        </w:rPr>
        <w:softHyphen/>
        <w:t>стеме охлаждения. ВМГ потребовала пе</w:t>
      </w:r>
      <w:r w:rsidRPr="00A3026E">
        <w:rPr>
          <w:rFonts w:ascii="Times New Roman" w:hAnsi="Times New Roman"/>
          <w:color w:val="000000" w:themeColor="text1"/>
          <w:sz w:val="16"/>
          <w:szCs w:val="16"/>
        </w:rPr>
        <w:softHyphen/>
        <w:t>ределки, и только 16 ноября самолет был перевезен в ЛИИ для первого вылета и полета на дальность.</w:t>
      </w:r>
    </w:p>
    <w:p w14:paraId="06D6C019"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Из-за отсутствия летной погоды зачет</w:t>
      </w:r>
      <w:r w:rsidRPr="00A3026E">
        <w:rPr>
          <w:rFonts w:ascii="Times New Roman" w:hAnsi="Times New Roman"/>
          <w:color w:val="000000" w:themeColor="text1"/>
          <w:sz w:val="16"/>
          <w:szCs w:val="16"/>
        </w:rPr>
        <w:softHyphen/>
        <w:t>ный полет на дальность состоялся лишь 29 ноября. В баки было залито 465 кг бензина, и в 13-35 летчик-испытатель А.И. Никашин ушел с аэродрома ЦАГИ в полет по маршруту Раменское-Рязань и обратно три раза. Через 1 час 55 мин по</w:t>
      </w:r>
      <w:r w:rsidRPr="00A3026E">
        <w:rPr>
          <w:rFonts w:ascii="Times New Roman" w:hAnsi="Times New Roman"/>
          <w:color w:val="000000" w:themeColor="text1"/>
          <w:sz w:val="16"/>
          <w:szCs w:val="16"/>
        </w:rPr>
        <w:softHyphen/>
        <w:t>лет завершился (последний заход был до Коломны и обратно), пройденный путь составил 840 км, из баков было слито 92,5 кг неизрасходованного горючего. Так была подтверждена заданная даль</w:t>
      </w:r>
      <w:r w:rsidRPr="00A3026E">
        <w:rPr>
          <w:rFonts w:ascii="Times New Roman" w:hAnsi="Times New Roman"/>
          <w:color w:val="000000" w:themeColor="text1"/>
          <w:sz w:val="16"/>
          <w:szCs w:val="16"/>
        </w:rPr>
        <w:softHyphen/>
        <w:t>ность 1000 км. В пересчете на штиль пол</w:t>
      </w:r>
      <w:r w:rsidRPr="00A3026E">
        <w:rPr>
          <w:rFonts w:ascii="Times New Roman" w:hAnsi="Times New Roman"/>
          <w:color w:val="000000" w:themeColor="text1"/>
          <w:sz w:val="16"/>
          <w:szCs w:val="16"/>
        </w:rPr>
        <w:softHyphen/>
        <w:t>ная скоростная дальность самолета на ре</w:t>
      </w:r>
      <w:r w:rsidRPr="00A3026E">
        <w:rPr>
          <w:rFonts w:ascii="Times New Roman" w:hAnsi="Times New Roman"/>
          <w:color w:val="000000" w:themeColor="text1"/>
          <w:sz w:val="16"/>
          <w:szCs w:val="16"/>
        </w:rPr>
        <w:softHyphen/>
        <w:t xml:space="preserve">жиме Н = 5000 м, </w:t>
      </w:r>
      <w:r w:rsidRPr="00A3026E">
        <w:rPr>
          <w:rFonts w:ascii="Times New Roman" w:hAnsi="Times New Roman"/>
          <w:color w:val="000000" w:themeColor="text1"/>
          <w:sz w:val="16"/>
          <w:szCs w:val="16"/>
          <w:lang w:val="en-US"/>
        </w:rPr>
        <w:t>V</w:t>
      </w:r>
      <w:r w:rsidRPr="00A3026E">
        <w:rPr>
          <w:rFonts w:ascii="Times New Roman" w:hAnsi="Times New Roman"/>
          <w:color w:val="000000" w:themeColor="text1"/>
          <w:sz w:val="16"/>
          <w:szCs w:val="16"/>
        </w:rPr>
        <w:t>„„ = 380 км/ч составила бы 1100-1200 км. 30 ноября акт, под</w:t>
      </w:r>
      <w:r w:rsidRPr="00A3026E">
        <w:rPr>
          <w:rFonts w:ascii="Times New Roman" w:hAnsi="Times New Roman"/>
          <w:color w:val="000000" w:themeColor="text1"/>
          <w:sz w:val="16"/>
          <w:szCs w:val="16"/>
        </w:rPr>
        <w:softHyphen/>
        <w:t>писанный Лавочкиным, зам. начальника ЦАГИ А.В. Чесаловым, летчиком-испыта</w:t>
      </w:r>
      <w:r w:rsidRPr="00A3026E">
        <w:rPr>
          <w:rFonts w:ascii="Times New Roman" w:hAnsi="Times New Roman"/>
          <w:color w:val="000000" w:themeColor="text1"/>
          <w:sz w:val="16"/>
          <w:szCs w:val="16"/>
        </w:rPr>
        <w:softHyphen/>
        <w:t>телем Никашиным и ведущим инженером НИИ ВВС в/инженером 2-го ранга М.И.Та- ракановским был направлен Сталину на</w:t>
      </w:r>
      <w:r w:rsidRPr="00A3026E">
        <w:rPr>
          <w:rFonts w:ascii="Times New Roman" w:hAnsi="Times New Roman"/>
          <w:color w:val="000000" w:themeColor="text1"/>
          <w:sz w:val="16"/>
          <w:szCs w:val="16"/>
        </w:rPr>
        <w:softHyphen/>
        <w:t>чальником ГУ ВВС П. Рычаговым и нарко</w:t>
      </w:r>
      <w:r w:rsidRPr="00A3026E">
        <w:rPr>
          <w:rFonts w:ascii="Times New Roman" w:hAnsi="Times New Roman"/>
          <w:color w:val="000000" w:themeColor="text1"/>
          <w:sz w:val="16"/>
          <w:szCs w:val="16"/>
        </w:rPr>
        <w:softHyphen/>
        <w:t>мом А. Шахуриным.</w:t>
      </w:r>
    </w:p>
    <w:p w14:paraId="7794255E"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уже и без этого акта было ясно, что Лавочкин первым из конкурентов выпол</w:t>
      </w:r>
      <w:r w:rsidRPr="00A3026E">
        <w:rPr>
          <w:rFonts w:ascii="Times New Roman" w:hAnsi="Times New Roman"/>
          <w:color w:val="000000" w:themeColor="text1"/>
          <w:sz w:val="16"/>
          <w:szCs w:val="16"/>
        </w:rPr>
        <w:softHyphen/>
        <w:t>нил «сталинское задание» об увеличении дальности полета.</w:t>
      </w:r>
    </w:p>
    <w:p w14:paraId="096A8063"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Микояну пришлось серьезно работать, чтобы разместить на уже строящейся се</w:t>
      </w:r>
      <w:r w:rsidRPr="00A3026E">
        <w:rPr>
          <w:rFonts w:ascii="Times New Roman" w:hAnsi="Times New Roman"/>
          <w:color w:val="000000" w:themeColor="text1"/>
          <w:sz w:val="16"/>
          <w:szCs w:val="16"/>
        </w:rPr>
        <w:softHyphen/>
        <w:t>рийно машине дополнительный бензо</w:t>
      </w:r>
      <w:r w:rsidRPr="00A3026E">
        <w:rPr>
          <w:rFonts w:ascii="Times New Roman" w:hAnsi="Times New Roman"/>
          <w:color w:val="000000" w:themeColor="text1"/>
          <w:sz w:val="16"/>
          <w:szCs w:val="16"/>
        </w:rPr>
        <w:softHyphen/>
        <w:t>бак («каракатицу») и одновременно про</w:t>
      </w:r>
      <w:r w:rsidRPr="00A3026E">
        <w:rPr>
          <w:rFonts w:ascii="Times New Roman" w:hAnsi="Times New Roman"/>
          <w:color w:val="000000" w:themeColor="text1"/>
          <w:sz w:val="16"/>
          <w:szCs w:val="16"/>
        </w:rPr>
        <w:softHyphen/>
        <w:t>рабатывать вопрос об усилении стрелко</w:t>
      </w:r>
      <w:r w:rsidRPr="00A3026E">
        <w:rPr>
          <w:rFonts w:ascii="Times New Roman" w:hAnsi="Times New Roman"/>
          <w:color w:val="000000" w:themeColor="text1"/>
          <w:sz w:val="16"/>
          <w:szCs w:val="16"/>
        </w:rPr>
        <w:softHyphen/>
        <w:t>вого вооружения, что отложило проверку выполнения сталинского задания до фев</w:t>
      </w:r>
      <w:r w:rsidRPr="00A3026E">
        <w:rPr>
          <w:rFonts w:ascii="Times New Roman" w:hAnsi="Times New Roman"/>
          <w:color w:val="000000" w:themeColor="text1"/>
          <w:sz w:val="16"/>
          <w:szCs w:val="16"/>
        </w:rPr>
        <w:softHyphen/>
        <w:t>раля 1941 г.</w:t>
      </w:r>
    </w:p>
    <w:p w14:paraId="55CC058B"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вообще из-за низкой прочности не мог увеличить полетный вес, и Яков</w:t>
      </w:r>
      <w:r w:rsidRPr="00A3026E">
        <w:rPr>
          <w:rFonts w:ascii="Times New Roman" w:hAnsi="Times New Roman"/>
          <w:color w:val="000000" w:themeColor="text1"/>
          <w:sz w:val="16"/>
          <w:szCs w:val="16"/>
        </w:rPr>
        <w:softHyphen/>
        <w:t>леву под маркой «И-26У» пришлось раз</w:t>
      </w:r>
      <w:r w:rsidRPr="00A3026E">
        <w:rPr>
          <w:rFonts w:ascii="Times New Roman" w:hAnsi="Times New Roman"/>
          <w:color w:val="000000" w:themeColor="text1"/>
          <w:sz w:val="16"/>
          <w:szCs w:val="16"/>
        </w:rPr>
        <w:softHyphen/>
        <w:t>рабатывать фактически новый опытный самолет И-30 с цельнометаллическим крылом, что еще сильнее затянуло реше</w:t>
      </w:r>
      <w:r w:rsidRPr="00A3026E">
        <w:rPr>
          <w:rFonts w:ascii="Times New Roman" w:hAnsi="Times New Roman"/>
          <w:color w:val="000000" w:themeColor="text1"/>
          <w:sz w:val="16"/>
          <w:szCs w:val="16"/>
        </w:rPr>
        <w:softHyphen/>
        <w:t>ние вопроса, и до начала войны этот са</w:t>
      </w:r>
      <w:r w:rsidRPr="00A3026E">
        <w:rPr>
          <w:rFonts w:ascii="Times New Roman" w:hAnsi="Times New Roman"/>
          <w:color w:val="000000" w:themeColor="text1"/>
          <w:sz w:val="16"/>
          <w:szCs w:val="16"/>
        </w:rPr>
        <w:softHyphen/>
        <w:t>молет так и не был доведен до серийного производства.</w:t>
      </w:r>
    </w:p>
    <w:p w14:paraId="0EFD8C73"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Быстрое выполнение Лавочкиным задания Сталина вынудило руководство НКАП менять отношение к И-301. Так, 2 ноября 1940 г. вышел приказ НКАП №169сс «Об организации производства боевых самолетов в Эстонской, Латвий</w:t>
      </w:r>
      <w:r w:rsidRPr="00A3026E">
        <w:rPr>
          <w:rFonts w:ascii="Times New Roman" w:hAnsi="Times New Roman"/>
          <w:color w:val="000000" w:themeColor="text1"/>
          <w:sz w:val="16"/>
          <w:szCs w:val="16"/>
        </w:rPr>
        <w:softHyphen/>
        <w:t>ской и Литовской ССР», в котором гово</w:t>
      </w:r>
      <w:r w:rsidRPr="00A3026E">
        <w:rPr>
          <w:rFonts w:ascii="Times New Roman" w:hAnsi="Times New Roman"/>
          <w:color w:val="000000" w:themeColor="text1"/>
          <w:sz w:val="16"/>
          <w:szCs w:val="16"/>
        </w:rPr>
        <w:softHyphen/>
        <w:t>рилось:</w:t>
      </w:r>
    </w:p>
    <w:p w14:paraId="3001E149"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«а) организовать в Эстонской ССР в г. Талине самолетостроительный завод по производству истребителей И-301, с доведением годовой мощности завода до 350 самолетов к 1.12.41 г. Выпуск в 1941 г. определить в количестве 50 самолетов».</w:t>
      </w:r>
    </w:p>
    <w:p w14:paraId="532C6843" w14:textId="77777777" w:rsidR="0040514A" w:rsidRPr="00A3026E" w:rsidRDefault="004051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основным заводом по производ</w:t>
      </w:r>
      <w:r w:rsidRPr="00A3026E">
        <w:rPr>
          <w:rFonts w:ascii="Times New Roman" w:hAnsi="Times New Roman"/>
          <w:color w:val="000000" w:themeColor="text1"/>
          <w:sz w:val="16"/>
          <w:szCs w:val="16"/>
        </w:rPr>
        <w:softHyphen/>
        <w:t>ству И-301 пока оставался ленинградский завод №23.10 ноября Шахурин подписал еще один приказ НКАП №624сс:</w:t>
      </w:r>
    </w:p>
    <w:p w14:paraId="69A8BBC3"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«В связи с постановкой в серийное производство на заводе №23 самолета И-301 конструкторов т.т. Горбунова, Ла</w:t>
      </w:r>
      <w:r w:rsidRPr="00A3026E">
        <w:rPr>
          <w:rFonts w:ascii="Times New Roman" w:hAnsi="Times New Roman" w:cs="Times New Roman"/>
          <w:color w:val="000000" w:themeColor="text1"/>
        </w:rPr>
        <w:softHyphen/>
        <w:t>вочкина и Гудкова, ПРИКАЗЫВАЮ:</w:t>
      </w:r>
    </w:p>
    <w:p w14:paraId="0938177D" w14:textId="77777777" w:rsidR="0040514A" w:rsidRPr="00A3026E" w:rsidRDefault="0040514A"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Назначить главным конструктором завода №23 т.Лавочкина С.А.» (19740).</w:t>
      </w:r>
    </w:p>
    <w:p w14:paraId="47E9BC40" w14:textId="77777777" w:rsidR="0040514A" w:rsidRPr="00A3026E" w:rsidRDefault="0040514A" w:rsidP="00A3026E">
      <w:pPr>
        <w:spacing w:after="0" w:line="240" w:lineRule="auto"/>
        <w:jc w:val="both"/>
        <w:rPr>
          <w:rFonts w:ascii="Times New Roman" w:hAnsi="Times New Roman"/>
          <w:color w:val="000000" w:themeColor="text1"/>
          <w:sz w:val="16"/>
          <w:szCs w:val="16"/>
        </w:rPr>
      </w:pPr>
    </w:p>
    <w:p w14:paraId="6CE7B2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года закончились контрольные испытания фугасных бомб ФАБ-100 снаряженных амматолом 50/50, которые проходили с 1 октября 1940.</w:t>
      </w:r>
    </w:p>
    <w:p w14:paraId="0FBE5F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 в/инженер 2 ранга Галкин</w:t>
      </w:r>
    </w:p>
    <w:p w14:paraId="154F80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25F638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Испытанием выявить безотказность действия бомб ФАБ-100 кг снаряженных аматолом 50/50 при бомбометании с взрывателем АПУБ.</w:t>
      </w:r>
    </w:p>
    <w:p w14:paraId="71EB69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6F2AE38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Фугасные бомбы ФАБ-100 кг, снаряженные амматолом 50/50 методом заливки в проведенных контрольных испытаниях показали удовлетворительные результаты по безопасности действия.</w:t>
      </w:r>
    </w:p>
    <w:p w14:paraId="5B66B16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Фугасные бомбы ФАБ-100 кг, снаряженные амматолом 50/50 методом шнекования, хотя и показали в проведенных испытаниях удовлетворительные результаты по безотказности действия, однако вследствие более низкого фугасного действия в сравнении с заливкой, провести дополнительные испытания с целью выявления фугасного действия в сравнении со штатным снаряжением АБ (155).</w:t>
      </w:r>
    </w:p>
    <w:p w14:paraId="0DB027F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9F9F2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3 по 28 октября 1940 проходили гос. испытания И-26-3 М-105 (2090,234).</w:t>
      </w:r>
    </w:p>
    <w:p w14:paraId="44C661A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9C90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состоялся первый полет И-153 N 6034, оснащенного на заводе им. Авиахима ПВРД ДМ-4 конструкции И.А.Меркулова. Прирост скорости был 42 км/ч и 40 в среднем, хотя 27 октября на скорости 389 получили прирост 51 км/ч (366,47).</w:t>
      </w:r>
    </w:p>
    <w:p w14:paraId="565D296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0AD1D3"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 октября 1940 г. состоялся первый полет самолета И-152 с ПВРД ДМ-4. Самолет поднялся на высоту 2000 м и при собственной скорости 388 км/ч, благодаря вклю чению ПВРД, увеличил скорость на 42 км/ч, доведя ее до 430 км/ч.</w:t>
      </w:r>
    </w:p>
    <w:p w14:paraId="6D207154"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Во время последующих полетов с двигателями ДМ-4 сред ний прирост скорости составил примерно 40 км/ч по сравне нию с полетом, когда ПВРД не работал.</w:t>
      </w:r>
    </w:p>
    <w:p w14:paraId="10A89004"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27 октября 1940 г. на самолете И-153 с ПВРД ДМ-4 на вы соте 2000 км было получено увеличение скорости с 389 км/ч до 440 км/ч, т.е. прирост скорости составил 51 км/ч. Но при этом расход бензина у ПВРД оказался большим, чем у ПД и составил около 20 кг/мин.</w:t>
      </w:r>
    </w:p>
    <w:p w14:paraId="2DA99D88"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По результатам летных испытаний самолета И-153 с ПВРД был составлен акт, в котором говорилось: «В октябре 1940 г.</w:t>
      </w:r>
    </w:p>
    <w:p w14:paraId="5F0D2719"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отдел изобретений завода провел летные испытания самолета И-153 с воздушно-реактивными двигателями конструкции инженера Меркулова И.А. Воздушно-реактивные двигатели были установлены на самолете в качестве дополнительных моторов под нижними плоскостями и укреплены на существу ющих бомбовых балках.</w:t>
      </w:r>
    </w:p>
    <w:p w14:paraId="16A1C8DF"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Вес двух дополнительных моторов составил 60 кг.</w:t>
      </w:r>
    </w:p>
    <w:p w14:paraId="57A3BDDF"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Питание горючим дополнительные моторы получали из име ющегося на самолете бензобака одновременно с мотором М-62.</w:t>
      </w:r>
    </w:p>
    <w:p w14:paraId="3FB7E9F4"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Управление дополнительными моторами осуществлялось одной ручкой, установленной в кабине пилота.</w:t>
      </w:r>
    </w:p>
    <w:p w14:paraId="0D971C98"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Испытание самолета И-153 производил летчик Логинов П.Е. на Центральном аэродроме им. Фрунзе. Программа ис пытаний состояла из 20 полетов, предусматривающих провер ку прочности самолета с дополнительными моторами, испы тание работы дополнительных моторов и определения прирос та максимальных скоростей.</w:t>
      </w:r>
    </w:p>
    <w:p w14:paraId="7930BCB8"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Летные испытания позволили полностью установить факт эффективной работы воздушно-реактивных двигателей и увели чения благодаря их действию максимальной скорости полета.</w:t>
      </w:r>
    </w:p>
    <w:p w14:paraId="5DC4E650"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Испытанные воздушно-реактивные двигатели обладают способностью работать на любом сорте авиационного бензина независимо от дозировки этиловой жидкости.</w:t>
      </w:r>
    </w:p>
    <w:p w14:paraId="65C4747C"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Долговечность двигателей проверена продолжительными испытаниями на земле и в полете.</w:t>
      </w:r>
    </w:p>
    <w:p w14:paraId="3CB5A8B1"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Летные испытания установили, что самолет И-153 при по лете на высоте 2000 метров при работе воздушно-реактивных двигателей, увеличивает свою максимальную скорость с 389 км/ч до 440 км/ч, т.е. увеличивает максимальную ско рость полета на 51 км/ч» [36].</w:t>
      </w:r>
    </w:p>
    <w:p w14:paraId="20155A81"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Результаты летных испытаний получили положительную оценку в приказе Наркома авиационной промышленности № 391 от 16 декабря 1940 г.</w:t>
      </w:r>
    </w:p>
    <w:p w14:paraId="6E3DD649"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то же время летные испытания позволили выявить ос новные недостатки двигателей и задачи дальнейшей исследо вательской и конструкторской работы в области их совершен ствования. Этими задачами, как ясно показали летные испы тания, являлись исследования процесса горения в камере ПВРД и его улучшение в целях повышения полноты сгорания, усо вершенствование системы зажигания и доводка конструкции ПВРД в отношении ее дальнейшего облегчения, а также осна щение двигателей контрольно-измерительной аппаратурой и автоматикой.</w:t>
      </w:r>
    </w:p>
    <w:p w14:paraId="55529D0A"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Всего при испытании обоих самолетов с ПВРД ДМ- и ДМ-4 было сделано 74 полета, выполненных без единой аварии.</w:t>
      </w:r>
    </w:p>
    <w:p w14:paraId="5D5F5F79"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Работа по проектированию и летным испытаниям ПВРД на самолетах Н.Н. Поликарпова была начата в Отделе специ альных конструкций руководимым А.Я. Щербаковым и про должена в Отделе изобретений завода «Авиахим» под руко водством В.В. Кольцова и Блаймана.</w:t>
      </w:r>
    </w:p>
    <w:p w14:paraId="2EDE92CE"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Ее выполняла конструкторская группа, в состав которой вхо дили конструкторы И.А. Меркулов, А.П. Масолов, А.А. Мель ников, Б.А. Никольский, техники А.А. Гонсовская, З.В. Тол стикова, авиамеханики И.А. Чарный, П.В. Карев, А.Н. Ильин и моторист Г.П. Рыбаков.</w:t>
      </w:r>
    </w:p>
    <w:p w14:paraId="2BB2A741"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Параллельно с испытаниями ПВРД, успешно проходили работы этого коллектива и в области освоения высотных по летов в стратосфере.</w:t>
      </w:r>
    </w:p>
    <w:p w14:paraId="7FC727D9"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К концу 1940 г. эти работы завершались созданием ряда герметических кабин, в которых были осуществлены полеты на высотах свыше 12 000 м.</w:t>
      </w:r>
    </w:p>
    <w:p w14:paraId="1650BBBA"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На самолете И-153 была установлена герметическая каби на отечественной конструкции. Она прошла государственные испытания в НИИ ВВС и была рекомендована для установки на ряд боевых самолетов.</w:t>
      </w:r>
    </w:p>
    <w:p w14:paraId="323E86D8"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Этот успех с созданием герметических кабин, высотные полеты на планерах, освещенные в отечественной и зарубеж ной прессе, и успешные испытания ПВРД послужили основа нием выхода важного решения ЦК ВКП (б) и СНК СССР об организации опытного завода, на котором должны были быть продолжены работы по освоению высокоскоростных самоле тов (19586).</w:t>
      </w:r>
    </w:p>
    <w:p w14:paraId="23C7CFC2" w14:textId="77777777" w:rsidR="00B82ACD" w:rsidRPr="00A3026E"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379FD4C" w14:textId="77777777" w:rsidR="0066319C" w:rsidRPr="00A3026E" w:rsidRDefault="0066319C"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 октября 1940 г. прошёл первый полёт на И-153 с ДМ-4. Самолёт поднялся на высоту двух тысяч метров и при собственной скорости 388 км/ч после включения ПВРД увеличил скорость на 42 км/ч. Во время последующих полётов средний прирост скорости составил примерно 40 км/час по сравнению с полётом при неработающих воздушно-реактивных двигателях. 27 октября было достигнуто увеличение скорости на 51 км/ч.</w:t>
      </w:r>
    </w:p>
    <w:p w14:paraId="39F732D0" w14:textId="77777777" w:rsidR="0066319C" w:rsidRPr="00A3026E" w:rsidRDefault="0066319C"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По результатам лётных испытаний самолёта И-153 с дополнительными моторами ДМ-4 был составлен следующий документ:</w:t>
      </w:r>
    </w:p>
    <w:p w14:paraId="5B65261C" w14:textId="77777777" w:rsidR="0066319C" w:rsidRPr="00A3026E" w:rsidRDefault="0066319C"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октябре 1940 года отдел изобретений завода № 1 провёл лётные испытания самолёта И-153 с воздушно-реактивными двигателями конструкции инженера Меркулова И.А. Воздушно-реактивные двигатели были установлены на самолёте в качестве дополнительных моторов под нижними плоскостями и укреплены на существующих бомбовых балках. Вес двух дополнительных моторов составил 60 кг.</w:t>
      </w:r>
    </w:p>
    <w:p w14:paraId="5273E420" w14:textId="77777777" w:rsidR="0066319C" w:rsidRPr="00A3026E" w:rsidRDefault="0066319C"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lastRenderedPageBreak/>
        <w:t>Питание горючим дополнительные моторы получали из того же бензобака, что и основной М-62. Управление дополнительными моторами осуществлялось одной ручкой, установленной в кабине пилота.</w:t>
      </w:r>
    </w:p>
    <w:p w14:paraId="4303854E" w14:textId="77777777" w:rsidR="0066319C" w:rsidRPr="00A3026E" w:rsidRDefault="0066319C"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Испытание самолёта И-153 производил лётчик Логинов П.Б. на Центральном аэродроме им. Фрунзе. Программа испытаний состояла из 20 полётов, предусматривающих проверку прочности самолёта с дополнительными моторами, испытания работы дополнительных моторов и определения прироста максимальных скоростей.</w:t>
      </w:r>
    </w:p>
    <w:p w14:paraId="791DC777" w14:textId="77777777" w:rsidR="0066319C" w:rsidRPr="00A3026E" w:rsidRDefault="0066319C"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Лётные испытания позволили полностью установить факт эффективной работы воздушно-ракетных двигателей и увеличения благодаря их действию максимальной скорости полёта.</w:t>
      </w:r>
    </w:p>
    <w:p w14:paraId="067A2109" w14:textId="77777777" w:rsidR="0066319C" w:rsidRPr="00A3026E" w:rsidRDefault="0066319C"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Испытанные воздушно-ракетные двигатели обладают способностью работать на любом сорте авиационного бензина…Долговечность двигателей проверена продолжительными испытаниями на земле и в полёте.</w:t>
      </w:r>
    </w:p>
    <w:p w14:paraId="1652130A" w14:textId="77777777" w:rsidR="0066319C" w:rsidRPr="00A3026E" w:rsidRDefault="0066319C"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Лётные испытания установили, что самолёт И-153 при полёте на высоте 2 тыс. метров при работе воздушно-ракетных двигателей увеличивает свою максимальную скорость с 389 км/час до 440 км/час, т. е. увеличивает максимальную скорость полёта на 51 км/час» </w:t>
      </w:r>
      <w:hyperlink r:id="rId22" w:history="1">
        <w:r w:rsidRPr="00A3026E">
          <w:rPr>
            <w:rFonts w:ascii="Times New Roman" w:eastAsia="Times New Roman" w:hAnsi="Times New Roman"/>
            <w:color w:val="000000" w:themeColor="text1"/>
            <w:sz w:val="16"/>
            <w:szCs w:val="16"/>
            <w:lang w:eastAsia="ru-RU"/>
          </w:rPr>
          <w:t>[329]</w:t>
        </w:r>
      </w:hyperlink>
      <w:r w:rsidRPr="00A3026E">
        <w:rPr>
          <w:rFonts w:ascii="Times New Roman" w:eastAsia="Times New Roman" w:hAnsi="Times New Roman"/>
          <w:color w:val="000000" w:themeColor="text1"/>
          <w:sz w:val="16"/>
          <w:szCs w:val="16"/>
          <w:lang w:eastAsia="ru-RU"/>
        </w:rPr>
        <w:t xml:space="preserve"> (17489).</w:t>
      </w:r>
    </w:p>
    <w:p w14:paraId="65B12605" w14:textId="77777777" w:rsidR="0066319C" w:rsidRPr="00A3026E" w:rsidRDefault="0066319C" w:rsidP="00A3026E">
      <w:pPr>
        <w:spacing w:after="0" w:line="240" w:lineRule="auto"/>
        <w:jc w:val="both"/>
        <w:rPr>
          <w:rFonts w:ascii="Times New Roman" w:eastAsia="Times New Roman" w:hAnsi="Times New Roman"/>
          <w:color w:val="000000" w:themeColor="text1"/>
          <w:sz w:val="16"/>
          <w:szCs w:val="16"/>
          <w:lang w:eastAsia="ru-RU"/>
        </w:rPr>
      </w:pPr>
    </w:p>
    <w:p w14:paraId="580C81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 состоялся первый полет самолета 11-153 с дополнительными моторами ДМ-4. Самолет поднялся на высоту двух тысяч метров и при собственной скорости 388 км/час, благодаря включению ПВРД, увеличил скорость на 42 км/час, доведя ее до 430 км/час. Во время последующих полетов с двигателями ДМ-4 средний прирост скорости составил примерно 40 км/час по сравнении с поле</w:t>
      </w:r>
      <w:r w:rsidRPr="00A3026E">
        <w:rPr>
          <w:rFonts w:ascii="Times New Roman" w:hAnsi="Times New Roman"/>
          <w:color w:val="000000" w:themeColor="text1"/>
          <w:sz w:val="16"/>
          <w:szCs w:val="16"/>
        </w:rPr>
        <w:softHyphen/>
        <w:t>том при неработающих воздушно-реактивных двигателях. 27 октября 1940 г. на самолете И-153 с воздушно-реактивными двигателями ДМ-4 на высоте 2 тысяч метров бал получен прирост скорости с 389 км/час до 440 км/час, т.е. на 51 км/час.</w:t>
      </w:r>
    </w:p>
    <w:p w14:paraId="72C87D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результатам летных испытаний самолета И-153 с дополнитель</w:t>
      </w:r>
      <w:r w:rsidRPr="00A3026E">
        <w:rPr>
          <w:rFonts w:ascii="Times New Roman" w:hAnsi="Times New Roman"/>
          <w:color w:val="000000" w:themeColor="text1"/>
          <w:sz w:val="16"/>
          <w:szCs w:val="16"/>
        </w:rPr>
        <w:softHyphen/>
        <w:t>ными моторами был составлен акт, в котором говорилось:</w:t>
      </w:r>
    </w:p>
    <w:p w14:paraId="10826E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отдел изобретений завода провел лет</w:t>
      </w:r>
      <w:r w:rsidRPr="00A3026E">
        <w:rPr>
          <w:rFonts w:ascii="Times New Roman" w:hAnsi="Times New Roman"/>
          <w:color w:val="000000" w:themeColor="text1"/>
          <w:sz w:val="16"/>
          <w:szCs w:val="16"/>
        </w:rPr>
        <w:softHyphen/>
        <w:t>ные испытания самолета И-153 с воздушно-реактивными двигате</w:t>
      </w:r>
      <w:r w:rsidRPr="00A3026E">
        <w:rPr>
          <w:rFonts w:ascii="Times New Roman" w:hAnsi="Times New Roman"/>
          <w:color w:val="000000" w:themeColor="text1"/>
          <w:sz w:val="16"/>
          <w:szCs w:val="16"/>
        </w:rPr>
        <w:softHyphen/>
        <w:t>лями конструкции инженера Меркулова И.А. Воздушно-реактивные двигатели были установлены на самолете в качестве дополни</w:t>
      </w:r>
      <w:r w:rsidRPr="00A3026E">
        <w:rPr>
          <w:rFonts w:ascii="Times New Roman" w:hAnsi="Times New Roman"/>
          <w:color w:val="000000" w:themeColor="text1"/>
          <w:sz w:val="16"/>
          <w:szCs w:val="16"/>
        </w:rPr>
        <w:softHyphen/>
        <w:t>тельных моторов под нижними плоскостями и укреплены ва су</w:t>
      </w:r>
      <w:r w:rsidRPr="00A3026E">
        <w:rPr>
          <w:rFonts w:ascii="Times New Roman" w:hAnsi="Times New Roman"/>
          <w:color w:val="000000" w:themeColor="text1"/>
          <w:sz w:val="16"/>
          <w:szCs w:val="16"/>
        </w:rPr>
        <w:softHyphen/>
        <w:t>ществующих бомбовых балках. Вес двух дополнительных моторов составил 60 кг.</w:t>
      </w:r>
    </w:p>
    <w:p w14:paraId="76D1A7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Питание горшим дополнительные моторы получал из имею</w:t>
      </w:r>
      <w:r w:rsidRPr="00A3026E">
        <w:rPr>
          <w:rFonts w:ascii="Times New Roman" w:hAnsi="Times New Roman"/>
          <w:color w:val="000000" w:themeColor="text1"/>
          <w:sz w:val="16"/>
          <w:szCs w:val="16"/>
        </w:rPr>
        <w:softHyphen/>
        <w:t>щегося на самолете бензобака одновременно с мотором М-62. Управление дополнительными моторами осуществлялось одной руч</w:t>
      </w:r>
      <w:r w:rsidRPr="00A3026E">
        <w:rPr>
          <w:rFonts w:ascii="Times New Roman" w:hAnsi="Times New Roman"/>
          <w:color w:val="000000" w:themeColor="text1"/>
          <w:sz w:val="16"/>
          <w:szCs w:val="16"/>
        </w:rPr>
        <w:softHyphen/>
        <w:t>кой, установленной в кабине пилота.</w:t>
      </w:r>
    </w:p>
    <w:p w14:paraId="640C1E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самолета И-153 производил летчик Логинв П.Е. на Центральном аэродроме им .Фрунзе. Программа испытаний сос</w:t>
      </w:r>
      <w:r w:rsidRPr="00A3026E">
        <w:rPr>
          <w:rFonts w:ascii="Times New Roman" w:hAnsi="Times New Roman"/>
          <w:color w:val="000000" w:themeColor="text1"/>
          <w:sz w:val="16"/>
          <w:szCs w:val="16"/>
        </w:rPr>
        <w:softHyphen/>
        <w:t>тояла из 20 полетов, предусматривающих проверку прочности самолета с дополнительными моторами, испытания работы допол</w:t>
      </w:r>
      <w:r w:rsidRPr="00A3026E">
        <w:rPr>
          <w:rFonts w:ascii="Times New Roman" w:hAnsi="Times New Roman"/>
          <w:color w:val="000000" w:themeColor="text1"/>
          <w:sz w:val="16"/>
          <w:szCs w:val="16"/>
        </w:rPr>
        <w:softHyphen/>
        <w:t>нительных моторов и определения прироста максимальных ско</w:t>
      </w:r>
      <w:r w:rsidRPr="00A3026E">
        <w:rPr>
          <w:rFonts w:ascii="Times New Roman" w:hAnsi="Times New Roman"/>
          <w:color w:val="000000" w:themeColor="text1"/>
          <w:sz w:val="16"/>
          <w:szCs w:val="16"/>
        </w:rPr>
        <w:softHyphen/>
        <w:t>ростей.</w:t>
      </w:r>
    </w:p>
    <w:p w14:paraId="400B17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Летные испытания позволили полностью установить факт эффективной работы воздушно-ракетных двигателей и увеличения благодаря их действию максимальной скорости полета.</w:t>
      </w:r>
    </w:p>
    <w:p w14:paraId="04946C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Испытанные воздушно-ракетные двигатели обладает способ</w:t>
      </w:r>
      <w:r w:rsidRPr="00A3026E">
        <w:rPr>
          <w:rFonts w:ascii="Times New Roman" w:hAnsi="Times New Roman"/>
          <w:color w:val="000000" w:themeColor="text1"/>
          <w:sz w:val="16"/>
          <w:szCs w:val="16"/>
        </w:rPr>
        <w:softHyphen/>
        <w:t>ностью работать на любом сорте авиационного бензина незави</w:t>
      </w:r>
      <w:r w:rsidRPr="00A3026E">
        <w:rPr>
          <w:rFonts w:ascii="Times New Roman" w:hAnsi="Times New Roman"/>
          <w:color w:val="000000" w:themeColor="text1"/>
          <w:sz w:val="16"/>
          <w:szCs w:val="16"/>
        </w:rPr>
        <w:softHyphen/>
        <w:t>симо от дозировки этиловой жидкости.</w:t>
      </w:r>
    </w:p>
    <w:p w14:paraId="4D1035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Долговечность двигателей проверена продолжительными испы</w:t>
      </w:r>
      <w:r w:rsidRPr="00A3026E">
        <w:rPr>
          <w:rFonts w:ascii="Times New Roman" w:hAnsi="Times New Roman"/>
          <w:color w:val="000000" w:themeColor="text1"/>
          <w:sz w:val="16"/>
          <w:szCs w:val="16"/>
        </w:rPr>
        <w:softHyphen/>
        <w:t>таниями на земле и в полете.</w:t>
      </w:r>
    </w:p>
    <w:p w14:paraId="01CF97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Летные испытания установили, что самолет И-153 при полете на высоте 2 тыс.метров при работе воздушно-ракетных двига</w:t>
      </w:r>
      <w:r w:rsidRPr="00A3026E">
        <w:rPr>
          <w:rFonts w:ascii="Times New Roman" w:hAnsi="Times New Roman"/>
          <w:color w:val="000000" w:themeColor="text1"/>
          <w:sz w:val="16"/>
          <w:szCs w:val="16"/>
        </w:rPr>
        <w:softHyphen/>
        <w:t>телей, увеличивает свое максимальную скорость о 389 км/час до 440 км/час, т.е. увеличивает максимальную скорость полета на 51 км/час." (11083).</w:t>
      </w:r>
    </w:p>
    <w:p w14:paraId="13EA4B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E536195" w14:textId="77777777" w:rsidR="00B82ACD" w:rsidRPr="00A3026E" w:rsidRDefault="00B82A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 замнаркома Яковлев направил Народному комиссару Госконтроля Л.З. Мехлису докладную та</w:t>
      </w:r>
      <w:r w:rsidRPr="00A3026E">
        <w:rPr>
          <w:rFonts w:ascii="Times New Roman" w:hAnsi="Times New Roman"/>
          <w:color w:val="000000" w:themeColor="text1"/>
          <w:sz w:val="16"/>
          <w:szCs w:val="16"/>
        </w:rPr>
        <w:softHyphen/>
        <w:t>кого содержания:</w:t>
      </w:r>
    </w:p>
    <w:p w14:paraId="7FD3663E" w14:textId="77777777" w:rsidR="00B82ACD" w:rsidRPr="00A3026E" w:rsidRDefault="00B82ACD"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«Сообщаю о недостатках работы смежных Наркоматов, влияющих отрица</w:t>
      </w:r>
      <w:r w:rsidRPr="00A3026E">
        <w:rPr>
          <w:rFonts w:ascii="Times New Roman" w:hAnsi="Times New Roman" w:cs="Times New Roman"/>
          <w:color w:val="000000" w:themeColor="text1"/>
        </w:rPr>
        <w:softHyphen/>
        <w:t>тельно на опытное самолетостроение:</w:t>
      </w:r>
    </w:p>
    <w:p w14:paraId="6C0665E9" w14:textId="77777777" w:rsidR="00B82ACD" w:rsidRPr="00A3026E" w:rsidRDefault="00B82ACD" w:rsidP="00A3026E">
      <w:pPr>
        <w:pStyle w:val="80"/>
        <w:shd w:val="clear" w:color="auto" w:fill="auto"/>
        <w:tabs>
          <w:tab w:val="left" w:pos="457"/>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1. Отсутствует перспективный план НКО-ВВС, в котором должны быть изло</w:t>
      </w:r>
      <w:r w:rsidRPr="00A3026E">
        <w:rPr>
          <w:rFonts w:ascii="Times New Roman" w:hAnsi="Times New Roman" w:cs="Times New Roman"/>
          <w:color w:val="000000" w:themeColor="text1"/>
        </w:rPr>
        <w:softHyphen/>
        <w:t>жены тактико-технические требования, предъявляемые к новым самолетам</w:t>
      </w:r>
    </w:p>
    <w:p w14:paraId="4C80928E" w14:textId="77777777" w:rsidR="00B82ACD" w:rsidRPr="00A3026E" w:rsidRDefault="00B82ACD"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41 -42 года, исходя из условий ведения боевых действий авиации.</w:t>
      </w:r>
    </w:p>
    <w:p w14:paraId="7B83359D" w14:textId="77777777" w:rsidR="00B82ACD" w:rsidRPr="00A3026E" w:rsidRDefault="00B82ACD"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Отсутствие этих требований не по</w:t>
      </w:r>
      <w:r w:rsidRPr="00A3026E">
        <w:rPr>
          <w:rFonts w:ascii="Times New Roman" w:hAnsi="Times New Roman" w:cs="Times New Roman"/>
          <w:color w:val="000000" w:themeColor="text1"/>
        </w:rPr>
        <w:softHyphen/>
        <w:t>зволяет составить целеустремленный тематический план опытного самолето</w:t>
      </w:r>
      <w:r w:rsidRPr="00A3026E">
        <w:rPr>
          <w:rFonts w:ascii="Times New Roman" w:hAnsi="Times New Roman" w:cs="Times New Roman"/>
          <w:color w:val="000000" w:themeColor="text1"/>
        </w:rPr>
        <w:softHyphen/>
        <w:t>строения НКАП и подчинить ему работу научно-исследовательских институтов по разрешению проблемных вопросов.</w:t>
      </w:r>
    </w:p>
    <w:p w14:paraId="73ACB4AE" w14:textId="77777777" w:rsidR="00B82ACD" w:rsidRPr="00A3026E" w:rsidRDefault="00B82ACD" w:rsidP="00A3026E">
      <w:pPr>
        <w:pStyle w:val="80"/>
        <w:shd w:val="clear" w:color="auto" w:fill="auto"/>
        <w:tabs>
          <w:tab w:val="left" w:pos="458"/>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2. Требования, предъявляемые ВВС КА к самолетам и их вооружению, постоянно меняются...</w:t>
      </w:r>
    </w:p>
    <w:p w14:paraId="439C5FBC" w14:textId="77777777" w:rsidR="00B82ACD" w:rsidRPr="00A3026E" w:rsidRDefault="00B82ACD"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6. Заключения, даваемые по госиспы</w:t>
      </w:r>
      <w:r w:rsidRPr="00A3026E">
        <w:rPr>
          <w:rFonts w:ascii="Times New Roman" w:hAnsi="Times New Roman" w:cs="Times New Roman"/>
          <w:color w:val="000000" w:themeColor="text1"/>
        </w:rPr>
        <w:softHyphen/>
        <w:t>таниям опытных самолетов, не имеют устойчивого характера и не отражают какой-либо доктрины, принятой для раз</w:t>
      </w:r>
      <w:r w:rsidRPr="00A3026E">
        <w:rPr>
          <w:rFonts w:ascii="Times New Roman" w:hAnsi="Times New Roman" w:cs="Times New Roman"/>
          <w:color w:val="000000" w:themeColor="text1"/>
        </w:rPr>
        <w:softHyphen/>
        <w:t>вития боевой авиации. Эти заключения меняются вследствие субъективного и узкого рассмотрения результатов испы</w:t>
      </w:r>
      <w:r w:rsidRPr="00A3026E">
        <w:rPr>
          <w:rFonts w:ascii="Times New Roman" w:hAnsi="Times New Roman" w:cs="Times New Roman"/>
          <w:color w:val="000000" w:themeColor="text1"/>
        </w:rPr>
        <w:softHyphen/>
        <w:t>таний, проведенных НИИ ВВС. Было бы весьма целесообразно ввести в состав Технического Совета при НИИ ВВС пред</w:t>
      </w:r>
      <w:r w:rsidRPr="00A3026E">
        <w:rPr>
          <w:rFonts w:ascii="Times New Roman" w:hAnsi="Times New Roman" w:cs="Times New Roman"/>
          <w:color w:val="000000" w:themeColor="text1"/>
        </w:rPr>
        <w:softHyphen/>
        <w:t>ставителя НКАП и в качестве перемен</w:t>
      </w:r>
      <w:r w:rsidRPr="00A3026E">
        <w:rPr>
          <w:rFonts w:ascii="Times New Roman" w:hAnsi="Times New Roman" w:cs="Times New Roman"/>
          <w:color w:val="000000" w:themeColor="text1"/>
        </w:rPr>
        <w:softHyphen/>
        <w:t>ного его члена, главного конструктора самолета» (19740).</w:t>
      </w:r>
    </w:p>
    <w:p w14:paraId="6111981F" w14:textId="77777777" w:rsidR="00B82ACD" w:rsidRPr="00A3026E" w:rsidRDefault="00B82ACD" w:rsidP="00A3026E">
      <w:pPr>
        <w:pStyle w:val="80"/>
        <w:shd w:val="clear" w:color="auto" w:fill="auto"/>
        <w:spacing w:line="240" w:lineRule="auto"/>
        <w:jc w:val="both"/>
        <w:rPr>
          <w:rFonts w:ascii="Times New Roman" w:hAnsi="Times New Roman" w:cs="Times New Roman"/>
          <w:color w:val="000000" w:themeColor="text1"/>
        </w:rPr>
      </w:pPr>
    </w:p>
    <w:p w14:paraId="7B05BB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Зам. Нач. Управления ж/д строительства НКПС писал письмо № 417с в НК Госконтроля Союза ССР:</w:t>
      </w:r>
    </w:p>
    <w:p w14:paraId="25F7CA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экономсовета при СНК Союза ССР от 24/6-с.г. за № 1140-325-с на НКПС возложено строитель</w:t>
      </w:r>
      <w:r w:rsidRPr="00A3026E">
        <w:rPr>
          <w:rFonts w:ascii="Times New Roman" w:hAnsi="Times New Roman"/>
          <w:color w:val="000000" w:themeColor="text1"/>
          <w:sz w:val="16"/>
          <w:szCs w:val="16"/>
        </w:rPr>
        <w:softHyphen/>
        <w:t>ство ветвей, протяжением 3,5 километра, к заводу № 338 Наркомата Авиационной промышленности, за счет средств последнего, с окончанием к 1/9-с.г.</w:t>
      </w:r>
    </w:p>
    <w:p w14:paraId="2E1FE9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smallCaps/>
          <w:color w:val="000000" w:themeColor="text1"/>
          <w:sz w:val="16"/>
          <w:szCs w:val="16"/>
        </w:rPr>
        <w:t>Из-</w:t>
      </w:r>
      <w:r w:rsidRPr="00A3026E">
        <w:rPr>
          <w:rFonts w:ascii="Times New Roman" w:hAnsi="Times New Roman"/>
          <w:color w:val="000000" w:themeColor="text1"/>
          <w:sz w:val="16"/>
          <w:szCs w:val="16"/>
        </w:rPr>
        <w:t>за отсутствия проекта и сметы договор на производство работ Государственный Союзный Трест № 3 НКАП (заказчик) заключил с Волжским Строительно-монтажным трестом НКПС (субподрядчик) только 24 августа 1940 г.</w:t>
      </w:r>
    </w:p>
    <w:p w14:paraId="195D7A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Окончание работ по ветке, протяжением 3,5 км договором предусмотрено 15.11.40 г.</w:t>
      </w:r>
    </w:p>
    <w:p w14:paraId="32424D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срочность задания НКПС в ущерб строи</w:t>
      </w:r>
      <w:r w:rsidRPr="00A3026E">
        <w:rPr>
          <w:rFonts w:ascii="Times New Roman" w:hAnsi="Times New Roman"/>
          <w:color w:val="000000" w:themeColor="text1"/>
          <w:sz w:val="16"/>
          <w:szCs w:val="16"/>
        </w:rPr>
        <w:softHyphen/>
        <w:t>тельству транспортннх объектов, еще до заключения договора, направил на стройплощадку 2 экскаватора ЛК, автомашины, 100 чел. рабочих, которые к 1-му сентября были уже на стройплощадке. Одновременно, часть рабочих (176 человек ) навербованных для строек ДВК, были временно направлены также на строительство ветвей к заводу № 338.</w:t>
      </w:r>
    </w:p>
    <w:p w14:paraId="34A74B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земляное полотно для укладки 3,5 клм. путей в основном закончено, но самой укладки производить нельзя так как заказчик (трест № 3 НКАП) не выполняет своих договорных обязательств.</w:t>
      </w:r>
    </w:p>
    <w:p w14:paraId="11122A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До настоящего времени не доставлены на стройплощадку материалы верхнего строения пути, в результате при наличии законченного земляного полотна путь не укладывается, командированные 100 человек рабочих - путейцев непроизводительно использовались на вспомогательных работах и, наконец, были отправлены обратно.</w:t>
      </w:r>
    </w:p>
    <w:p w14:paraId="00EC55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 переносится линия связи и электропередачи, не осво</w:t>
      </w:r>
      <w:r w:rsidRPr="00A3026E">
        <w:rPr>
          <w:rFonts w:ascii="Times New Roman" w:hAnsi="Times New Roman"/>
          <w:color w:val="000000" w:themeColor="text1"/>
          <w:sz w:val="16"/>
          <w:szCs w:val="16"/>
        </w:rPr>
        <w:softHyphen/>
        <w:t>бождается трасса путей от сложенных по ней строительных материалов завода № 338 и других организаций, что мешает постройке ветвей.</w:t>
      </w:r>
    </w:p>
    <w:p w14:paraId="05A892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До сих пор нет проекта примыкания нового пути ЦЭС на территории фанерного завода и проекта переноса платформы, в проекте были пропущена водоотводы.</w:t>
      </w:r>
    </w:p>
    <w:p w14:paraId="2EF5F9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 выявленные внесметние работы наряды-заказы не выдают</w:t>
      </w:r>
      <w:r w:rsidRPr="00A3026E">
        <w:rPr>
          <w:rFonts w:ascii="Times New Roman" w:hAnsi="Times New Roman"/>
          <w:color w:val="000000" w:themeColor="text1"/>
          <w:sz w:val="16"/>
          <w:szCs w:val="16"/>
        </w:rPr>
        <w:softHyphen/>
        <w:t>ся, от финансирования таких работ заказчик отказывается и за выполненные уже работы расчетов не производит.</w:t>
      </w:r>
    </w:p>
    <w:p w14:paraId="2D6B87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Несмотря на наступившие холода палатки для рабочих, как это предусмотрено договором, заказчик не отепляет.</w:t>
      </w:r>
    </w:p>
    <w:p w14:paraId="112CF0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это создало такие условия при которых закончить строительство ветви в ближайшие дни не представляется возможным.</w:t>
      </w:r>
    </w:p>
    <w:p w14:paraId="04111E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понудить Начальника 1-го Главного Управления Наркомавиапрома тов. Лукина немедленно обеспечить строительство всеми необходимыми материалами (рельсы, скрепления, шпалы, стре</w:t>
      </w:r>
      <w:r w:rsidRPr="00A3026E">
        <w:rPr>
          <w:rFonts w:ascii="Times New Roman" w:hAnsi="Times New Roman"/>
          <w:color w:val="000000" w:themeColor="text1"/>
          <w:sz w:val="16"/>
          <w:szCs w:val="16"/>
        </w:rPr>
        <w:softHyphen/>
        <w:t>лочные переводы и переводные брусья), т.к. несмотря на неоднократные нанаши по этому вопросу просьбы до сих пор положитель</w:t>
      </w:r>
      <w:r w:rsidRPr="00A3026E">
        <w:rPr>
          <w:rFonts w:ascii="Times New Roman" w:hAnsi="Times New Roman"/>
          <w:color w:val="000000" w:themeColor="text1"/>
          <w:sz w:val="16"/>
          <w:szCs w:val="16"/>
        </w:rPr>
        <w:softHyphen/>
        <w:t>ных результатов не достигли (10498,69).</w:t>
      </w:r>
    </w:p>
    <w:p w14:paraId="1FD063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8818F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года постановление № 1622-480с Экономического совета</w:t>
      </w:r>
    </w:p>
    <w:p w14:paraId="3D77F6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расширении завода "Красный автоген" № 2 в Ленинграде</w:t>
      </w:r>
    </w:p>
    <w:p w14:paraId="3E2AD3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Экономический совет постановляет:</w:t>
      </w:r>
    </w:p>
    <w:p w14:paraId="0BF2678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Отменить постановление Экономического совета № 1230-291сс от 28 октября 1939 года в части строительства кислородного завода в районе Ораниенбаума.</w:t>
      </w:r>
    </w:p>
    <w:p w14:paraId="6D79F43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Наркомтяжмаш расширить к 1 июня 1941 года завод "Красный автоген" № 2 в Ленинграде на мощность 250 м куб. в час. (7622, 30).</w:t>
      </w:r>
    </w:p>
    <w:p w14:paraId="7A9AC3D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1E57CB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года на Ногинском полигоне закончились Полигонные испытания авиабомб, которые проходили с 26 сентября по и 5 октября 1940 года НИП АВ представил в 8 управление ГУ ВВС на утверждение отчет по испытаниям.</w:t>
      </w:r>
    </w:p>
    <w:p w14:paraId="291E10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Полигонные испытания ФАБ-100 с корпусом из железобетона имели целью определить:</w:t>
      </w:r>
    </w:p>
    <w:p w14:paraId="017A300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Фугасный эффект бомб подрывом в земле и бомбометанием.</w:t>
      </w:r>
    </w:p>
    <w:p w14:paraId="479231E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корпусов.</w:t>
      </w:r>
    </w:p>
    <w:p w14:paraId="4E92045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бомб в полете.</w:t>
      </w:r>
    </w:p>
    <w:p w14:paraId="52BDB8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испытаний</w:t>
      </w:r>
    </w:p>
    <w:p w14:paraId="536C39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Эффективность фугасного действия</w:t>
      </w:r>
    </w:p>
    <w:p w14:paraId="79F383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Эффективность фугасного действия проверялась подрывом в грунте и бомбометанием с высот 1000-2000 – 4000 и 6000 м.</w:t>
      </w:r>
    </w:p>
    <w:p w14:paraId="0DFA98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Подрывы в грунте производились одновременно со штатными ФАБ-100 ц.к. в ямах глубиною 1,5 метра. Бомбы ставились в ямы вертикально головой вниз и засыпались землей без трамбовки.</w:t>
      </w:r>
    </w:p>
    <w:p w14:paraId="61BE13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Результаты подрыва в грунте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983732" w:rsidRPr="00A3026E" w14:paraId="230573BE" w14:textId="77777777" w:rsidTr="00EA0DA7">
        <w:tc>
          <w:tcPr>
            <w:tcW w:w="2318" w:type="dxa"/>
          </w:tcPr>
          <w:p w14:paraId="540E86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бомб</w:t>
            </w:r>
          </w:p>
        </w:tc>
        <w:tc>
          <w:tcPr>
            <w:tcW w:w="2318" w:type="dxa"/>
          </w:tcPr>
          <w:p w14:paraId="4C5225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Диаметр воронки в м</w:t>
            </w:r>
          </w:p>
        </w:tc>
        <w:tc>
          <w:tcPr>
            <w:tcW w:w="2318" w:type="dxa"/>
          </w:tcPr>
          <w:p w14:paraId="066AA4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воронки в м</w:t>
            </w:r>
          </w:p>
        </w:tc>
        <w:tc>
          <w:tcPr>
            <w:tcW w:w="2318" w:type="dxa"/>
          </w:tcPr>
          <w:p w14:paraId="4445A1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Объем воронки в м куб.</w:t>
            </w:r>
          </w:p>
        </w:tc>
        <w:tc>
          <w:tcPr>
            <w:tcW w:w="2318" w:type="dxa"/>
          </w:tcPr>
          <w:p w14:paraId="3E5020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грунта</w:t>
            </w:r>
          </w:p>
        </w:tc>
      </w:tr>
      <w:tr w:rsidR="00983732" w:rsidRPr="00A3026E" w14:paraId="58DE597E" w14:textId="77777777" w:rsidTr="00EA0DA7">
        <w:tc>
          <w:tcPr>
            <w:tcW w:w="2318" w:type="dxa"/>
          </w:tcPr>
          <w:p w14:paraId="2335FB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штатные цельнокованные корпуса</w:t>
            </w:r>
          </w:p>
        </w:tc>
        <w:tc>
          <w:tcPr>
            <w:tcW w:w="2318" w:type="dxa"/>
          </w:tcPr>
          <w:p w14:paraId="68FED9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2318" w:type="dxa"/>
          </w:tcPr>
          <w:p w14:paraId="13E47E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w:t>
            </w:r>
          </w:p>
        </w:tc>
        <w:tc>
          <w:tcPr>
            <w:tcW w:w="2318" w:type="dxa"/>
          </w:tcPr>
          <w:p w14:paraId="3FDC82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18,4</w:t>
            </w:r>
          </w:p>
        </w:tc>
        <w:tc>
          <w:tcPr>
            <w:tcW w:w="2318" w:type="dxa"/>
          </w:tcPr>
          <w:p w14:paraId="09929E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5B2FBA2B" w14:textId="77777777" w:rsidTr="00EA0DA7">
        <w:tc>
          <w:tcPr>
            <w:tcW w:w="2318" w:type="dxa"/>
          </w:tcPr>
          <w:p w14:paraId="651C20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штатные цельнокованные корпуса</w:t>
            </w:r>
          </w:p>
        </w:tc>
        <w:tc>
          <w:tcPr>
            <w:tcW w:w="2318" w:type="dxa"/>
          </w:tcPr>
          <w:p w14:paraId="030EED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2318" w:type="dxa"/>
          </w:tcPr>
          <w:p w14:paraId="6EC0F4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2318" w:type="dxa"/>
          </w:tcPr>
          <w:p w14:paraId="7B68B1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2318" w:type="dxa"/>
          </w:tcPr>
          <w:p w14:paraId="7A5CF4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125680B3" w14:textId="77777777" w:rsidTr="00EA0DA7">
        <w:tc>
          <w:tcPr>
            <w:tcW w:w="2318" w:type="dxa"/>
          </w:tcPr>
          <w:p w14:paraId="5105F4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 с железобетонным корпусом</w:t>
            </w:r>
          </w:p>
        </w:tc>
        <w:tc>
          <w:tcPr>
            <w:tcW w:w="2318" w:type="dxa"/>
          </w:tcPr>
          <w:p w14:paraId="6C77A2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c>
          <w:tcPr>
            <w:tcW w:w="2318" w:type="dxa"/>
          </w:tcPr>
          <w:p w14:paraId="44974B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2318" w:type="dxa"/>
          </w:tcPr>
          <w:p w14:paraId="7B2FFC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w:t>
            </w:r>
          </w:p>
        </w:tc>
        <w:tc>
          <w:tcPr>
            <w:tcW w:w="2318" w:type="dxa"/>
          </w:tcPr>
          <w:p w14:paraId="7AFB36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6ED7F08F" w14:textId="77777777" w:rsidTr="00EA0DA7">
        <w:tc>
          <w:tcPr>
            <w:tcW w:w="2318" w:type="dxa"/>
          </w:tcPr>
          <w:p w14:paraId="1B9408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 с железобетонным корпусом</w:t>
            </w:r>
          </w:p>
        </w:tc>
        <w:tc>
          <w:tcPr>
            <w:tcW w:w="2318" w:type="dxa"/>
          </w:tcPr>
          <w:p w14:paraId="1903D1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2318" w:type="dxa"/>
          </w:tcPr>
          <w:p w14:paraId="429A2A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2318" w:type="dxa"/>
          </w:tcPr>
          <w:p w14:paraId="2F6F68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w:t>
            </w:r>
          </w:p>
        </w:tc>
        <w:tc>
          <w:tcPr>
            <w:tcW w:w="2318" w:type="dxa"/>
          </w:tcPr>
          <w:p w14:paraId="5FFC58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6EE1C8E9" w14:textId="77777777" w:rsidTr="00EA0DA7">
        <w:tc>
          <w:tcPr>
            <w:tcW w:w="2318" w:type="dxa"/>
          </w:tcPr>
          <w:p w14:paraId="6D347D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 с железобетонным корпусом</w:t>
            </w:r>
          </w:p>
        </w:tc>
        <w:tc>
          <w:tcPr>
            <w:tcW w:w="2318" w:type="dxa"/>
          </w:tcPr>
          <w:p w14:paraId="11D007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w:t>
            </w:r>
          </w:p>
        </w:tc>
        <w:tc>
          <w:tcPr>
            <w:tcW w:w="2318" w:type="dxa"/>
          </w:tcPr>
          <w:p w14:paraId="74BD87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2318" w:type="dxa"/>
          </w:tcPr>
          <w:p w14:paraId="26025C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2318" w:type="dxa"/>
          </w:tcPr>
          <w:p w14:paraId="43B416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bl>
    <w:p w14:paraId="66E581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таблицы видно, что фугасный эффект при подрыве в грунте практически одинаковый, что у ФАБ-100 штатной, то и ФАБ-100 с железобетонным корпусом.</w:t>
      </w:r>
    </w:p>
    <w:p w14:paraId="0DB5BD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Бомбометание с воздуха показало следующий эффект фугасного действия: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983732" w:rsidRPr="00A3026E" w14:paraId="7C0EF1B9" w14:textId="77777777" w:rsidTr="00EA0DA7">
        <w:tc>
          <w:tcPr>
            <w:tcW w:w="1656" w:type="dxa"/>
          </w:tcPr>
          <w:p w14:paraId="103F72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бомб</w:t>
            </w:r>
          </w:p>
        </w:tc>
        <w:tc>
          <w:tcPr>
            <w:tcW w:w="1656" w:type="dxa"/>
          </w:tcPr>
          <w:p w14:paraId="6D253D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Высотное бомбометание в м</w:t>
            </w:r>
          </w:p>
        </w:tc>
        <w:tc>
          <w:tcPr>
            <w:tcW w:w="1656" w:type="dxa"/>
          </w:tcPr>
          <w:p w14:paraId="48C4AF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и установка взрывателей</w:t>
            </w:r>
          </w:p>
        </w:tc>
        <w:tc>
          <w:tcPr>
            <w:tcW w:w="1656" w:type="dxa"/>
          </w:tcPr>
          <w:p w14:paraId="3C940A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Диаметр воронки в м</w:t>
            </w:r>
          </w:p>
        </w:tc>
        <w:tc>
          <w:tcPr>
            <w:tcW w:w="1656" w:type="dxa"/>
          </w:tcPr>
          <w:p w14:paraId="16660F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воронки в м</w:t>
            </w:r>
          </w:p>
        </w:tc>
        <w:tc>
          <w:tcPr>
            <w:tcW w:w="1656" w:type="dxa"/>
          </w:tcPr>
          <w:p w14:paraId="64611B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Объем воронки в м куб.</w:t>
            </w:r>
          </w:p>
        </w:tc>
        <w:tc>
          <w:tcPr>
            <w:tcW w:w="1656" w:type="dxa"/>
          </w:tcPr>
          <w:p w14:paraId="7C69A5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грунта</w:t>
            </w:r>
          </w:p>
        </w:tc>
      </w:tr>
      <w:tr w:rsidR="00983732" w:rsidRPr="00A3026E" w14:paraId="45B9FA25" w14:textId="77777777" w:rsidTr="00EA0DA7">
        <w:tc>
          <w:tcPr>
            <w:tcW w:w="1656" w:type="dxa"/>
          </w:tcPr>
          <w:p w14:paraId="645C3F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656" w:type="dxa"/>
          </w:tcPr>
          <w:p w14:paraId="420907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656" w:type="dxa"/>
          </w:tcPr>
          <w:p w14:paraId="6F68D3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23927B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w:t>
            </w:r>
          </w:p>
        </w:tc>
        <w:tc>
          <w:tcPr>
            <w:tcW w:w="1656" w:type="dxa"/>
          </w:tcPr>
          <w:p w14:paraId="45A051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c>
          <w:tcPr>
            <w:tcW w:w="1656" w:type="dxa"/>
          </w:tcPr>
          <w:p w14:paraId="3258F7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w:t>
            </w:r>
          </w:p>
        </w:tc>
        <w:tc>
          <w:tcPr>
            <w:tcW w:w="1656" w:type="dxa"/>
          </w:tcPr>
          <w:p w14:paraId="1A22D7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42311962" w14:textId="77777777" w:rsidTr="00EA0DA7">
        <w:tc>
          <w:tcPr>
            <w:tcW w:w="1656" w:type="dxa"/>
          </w:tcPr>
          <w:p w14:paraId="0ABE2A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3C72EC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656" w:type="dxa"/>
          </w:tcPr>
          <w:p w14:paraId="1FF3CA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66BF4D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w:t>
            </w:r>
          </w:p>
        </w:tc>
        <w:tc>
          <w:tcPr>
            <w:tcW w:w="1656" w:type="dxa"/>
          </w:tcPr>
          <w:p w14:paraId="540E63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1656" w:type="dxa"/>
          </w:tcPr>
          <w:p w14:paraId="471594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22,6</w:t>
            </w:r>
          </w:p>
        </w:tc>
        <w:tc>
          <w:tcPr>
            <w:tcW w:w="1656" w:type="dxa"/>
          </w:tcPr>
          <w:p w14:paraId="21F154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414DD7F9" w14:textId="77777777" w:rsidTr="00EA0DA7">
        <w:tc>
          <w:tcPr>
            <w:tcW w:w="1656" w:type="dxa"/>
          </w:tcPr>
          <w:p w14:paraId="70A7AF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656" w:type="dxa"/>
          </w:tcPr>
          <w:p w14:paraId="6BF44A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15C834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3C8C28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656" w:type="dxa"/>
          </w:tcPr>
          <w:p w14:paraId="6809C3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w:t>
            </w:r>
          </w:p>
        </w:tc>
        <w:tc>
          <w:tcPr>
            <w:tcW w:w="1656" w:type="dxa"/>
          </w:tcPr>
          <w:p w14:paraId="59A70E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1656" w:type="dxa"/>
          </w:tcPr>
          <w:p w14:paraId="78ED43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019C19AF" w14:textId="77777777" w:rsidTr="00EA0DA7">
        <w:tc>
          <w:tcPr>
            <w:tcW w:w="1656" w:type="dxa"/>
          </w:tcPr>
          <w:p w14:paraId="62634B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656" w:type="dxa"/>
          </w:tcPr>
          <w:p w14:paraId="1657BB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3EBDD0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12EF47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5,30</w:t>
            </w:r>
          </w:p>
        </w:tc>
        <w:tc>
          <w:tcPr>
            <w:tcW w:w="1656" w:type="dxa"/>
          </w:tcPr>
          <w:p w14:paraId="008820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1656" w:type="dxa"/>
          </w:tcPr>
          <w:p w14:paraId="015CE0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1656" w:type="dxa"/>
          </w:tcPr>
          <w:p w14:paraId="631D99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19845E1B" w14:textId="77777777" w:rsidTr="00EA0DA7">
        <w:tc>
          <w:tcPr>
            <w:tcW w:w="1656" w:type="dxa"/>
          </w:tcPr>
          <w:p w14:paraId="5C9205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68E6D8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7B0F6A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197A53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1656" w:type="dxa"/>
          </w:tcPr>
          <w:p w14:paraId="04D65B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656" w:type="dxa"/>
          </w:tcPr>
          <w:p w14:paraId="2E7AD8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w:t>
            </w:r>
          </w:p>
        </w:tc>
        <w:tc>
          <w:tcPr>
            <w:tcW w:w="1656" w:type="dxa"/>
          </w:tcPr>
          <w:p w14:paraId="39D41D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плотный известняк на глуб. 1 метра</w:t>
            </w:r>
          </w:p>
        </w:tc>
      </w:tr>
      <w:tr w:rsidR="00983732" w:rsidRPr="00A3026E" w14:paraId="3EB5BE38" w14:textId="77777777" w:rsidTr="00EA0DA7">
        <w:tc>
          <w:tcPr>
            <w:tcW w:w="1656" w:type="dxa"/>
          </w:tcPr>
          <w:p w14:paraId="061AF1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52BDDD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58E5F5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091460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656" w:type="dxa"/>
          </w:tcPr>
          <w:p w14:paraId="6DB734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1656" w:type="dxa"/>
          </w:tcPr>
          <w:p w14:paraId="285DBD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w:t>
            </w:r>
          </w:p>
        </w:tc>
        <w:tc>
          <w:tcPr>
            <w:tcW w:w="1656" w:type="dxa"/>
          </w:tcPr>
          <w:p w14:paraId="2F49D6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23065433" w14:textId="77777777" w:rsidTr="00EA0DA7">
        <w:tc>
          <w:tcPr>
            <w:tcW w:w="1656" w:type="dxa"/>
          </w:tcPr>
          <w:p w14:paraId="5D4F31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421D71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7E9BB8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3703B5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5,55</w:t>
            </w:r>
          </w:p>
        </w:tc>
        <w:tc>
          <w:tcPr>
            <w:tcW w:w="1656" w:type="dxa"/>
          </w:tcPr>
          <w:p w14:paraId="244432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656" w:type="dxa"/>
          </w:tcPr>
          <w:p w14:paraId="6751F6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1656" w:type="dxa"/>
          </w:tcPr>
          <w:p w14:paraId="4E580D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019A0D79" w14:textId="77777777" w:rsidTr="00EA0DA7">
        <w:tc>
          <w:tcPr>
            <w:tcW w:w="1656" w:type="dxa"/>
          </w:tcPr>
          <w:p w14:paraId="44D8FC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534B2C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05FE0F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7EB366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5,70</w:t>
            </w:r>
          </w:p>
        </w:tc>
        <w:tc>
          <w:tcPr>
            <w:tcW w:w="1656" w:type="dxa"/>
          </w:tcPr>
          <w:p w14:paraId="436C64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1656" w:type="dxa"/>
          </w:tcPr>
          <w:p w14:paraId="305639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w:t>
            </w:r>
          </w:p>
        </w:tc>
        <w:tc>
          <w:tcPr>
            <w:tcW w:w="1656" w:type="dxa"/>
          </w:tcPr>
          <w:p w14:paraId="76FA76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3245AD7C" w14:textId="77777777" w:rsidTr="00EA0DA7">
        <w:tc>
          <w:tcPr>
            <w:tcW w:w="1656" w:type="dxa"/>
          </w:tcPr>
          <w:p w14:paraId="0E037A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368AEB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0A8801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1EA1E2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c>
          <w:tcPr>
            <w:tcW w:w="1656" w:type="dxa"/>
          </w:tcPr>
          <w:p w14:paraId="4387C3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656" w:type="dxa"/>
          </w:tcPr>
          <w:p w14:paraId="4A6F28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c>
          <w:tcPr>
            <w:tcW w:w="1656" w:type="dxa"/>
          </w:tcPr>
          <w:p w14:paraId="256BC3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19E5FC54" w14:textId="77777777" w:rsidTr="00EA0DA7">
        <w:tc>
          <w:tcPr>
            <w:tcW w:w="1656" w:type="dxa"/>
          </w:tcPr>
          <w:p w14:paraId="361D2A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17EF14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49E29C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158E8B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5,95</w:t>
            </w:r>
          </w:p>
        </w:tc>
        <w:tc>
          <w:tcPr>
            <w:tcW w:w="1656" w:type="dxa"/>
          </w:tcPr>
          <w:p w14:paraId="187CDC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1656" w:type="dxa"/>
          </w:tcPr>
          <w:p w14:paraId="09293D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1656" w:type="dxa"/>
          </w:tcPr>
          <w:p w14:paraId="0E16C0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Попала вблизи старой воронки</w:t>
            </w:r>
          </w:p>
        </w:tc>
      </w:tr>
      <w:tr w:rsidR="00983732" w:rsidRPr="00A3026E" w14:paraId="709563CC" w14:textId="77777777" w:rsidTr="00EA0DA7">
        <w:tc>
          <w:tcPr>
            <w:tcW w:w="1656" w:type="dxa"/>
          </w:tcPr>
          <w:p w14:paraId="270DD5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58D183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78A343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2A6239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1656" w:type="dxa"/>
          </w:tcPr>
          <w:p w14:paraId="153786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656" w:type="dxa"/>
          </w:tcPr>
          <w:p w14:paraId="0E2ED3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w:t>
            </w:r>
          </w:p>
        </w:tc>
        <w:tc>
          <w:tcPr>
            <w:tcW w:w="1656" w:type="dxa"/>
          </w:tcPr>
          <w:p w14:paraId="3564A1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05EE94CA" w14:textId="77777777" w:rsidTr="00EA0DA7">
        <w:tc>
          <w:tcPr>
            <w:tcW w:w="1656" w:type="dxa"/>
          </w:tcPr>
          <w:p w14:paraId="2E228C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656" w:type="dxa"/>
          </w:tcPr>
          <w:p w14:paraId="7E6D8E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4C05D8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17435C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656" w:type="dxa"/>
          </w:tcPr>
          <w:p w14:paraId="0E394F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w:t>
            </w:r>
          </w:p>
        </w:tc>
        <w:tc>
          <w:tcPr>
            <w:tcW w:w="1656" w:type="dxa"/>
          </w:tcPr>
          <w:p w14:paraId="47B3F3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1656" w:type="dxa"/>
          </w:tcPr>
          <w:p w14:paraId="5D905A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502844FD" w14:textId="77777777" w:rsidTr="00EA0DA7">
        <w:tc>
          <w:tcPr>
            <w:tcW w:w="1656" w:type="dxa"/>
          </w:tcPr>
          <w:p w14:paraId="2CCEBA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656" w:type="dxa"/>
          </w:tcPr>
          <w:p w14:paraId="11D139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22A59B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464075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6,70</w:t>
            </w:r>
          </w:p>
        </w:tc>
        <w:tc>
          <w:tcPr>
            <w:tcW w:w="1656" w:type="dxa"/>
          </w:tcPr>
          <w:p w14:paraId="31DD3F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1656" w:type="dxa"/>
          </w:tcPr>
          <w:p w14:paraId="0FCBBC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w:t>
            </w:r>
          </w:p>
        </w:tc>
        <w:tc>
          <w:tcPr>
            <w:tcW w:w="1656" w:type="dxa"/>
          </w:tcPr>
          <w:p w14:paraId="161574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Попала в старую воронку</w:t>
            </w:r>
          </w:p>
        </w:tc>
      </w:tr>
      <w:tr w:rsidR="00983732" w:rsidRPr="00A3026E" w14:paraId="034FE6F0" w14:textId="77777777" w:rsidTr="00EA0DA7">
        <w:tc>
          <w:tcPr>
            <w:tcW w:w="1656" w:type="dxa"/>
          </w:tcPr>
          <w:p w14:paraId="33EB8B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656" w:type="dxa"/>
          </w:tcPr>
          <w:p w14:paraId="6E51D0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53B51B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65FAF7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w:t>
            </w:r>
          </w:p>
        </w:tc>
        <w:tc>
          <w:tcPr>
            <w:tcW w:w="1656" w:type="dxa"/>
          </w:tcPr>
          <w:p w14:paraId="67FC94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1656" w:type="dxa"/>
          </w:tcPr>
          <w:p w14:paraId="5FD98E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1656" w:type="dxa"/>
          </w:tcPr>
          <w:p w14:paraId="382F22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Попала в густую сеть корней ………</w:t>
            </w:r>
          </w:p>
        </w:tc>
      </w:tr>
      <w:tr w:rsidR="00983732" w:rsidRPr="00A3026E" w14:paraId="1704C298" w14:textId="77777777" w:rsidTr="00EA0DA7">
        <w:tc>
          <w:tcPr>
            <w:tcW w:w="1656" w:type="dxa"/>
          </w:tcPr>
          <w:p w14:paraId="2B5B29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6340DE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4AA330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717D24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1656" w:type="dxa"/>
          </w:tcPr>
          <w:p w14:paraId="68FB1F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1656" w:type="dxa"/>
          </w:tcPr>
          <w:p w14:paraId="04FFD1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w:t>
            </w:r>
          </w:p>
        </w:tc>
        <w:tc>
          <w:tcPr>
            <w:tcW w:w="1656" w:type="dxa"/>
          </w:tcPr>
          <w:p w14:paraId="650BF6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53B7F251" w14:textId="77777777" w:rsidTr="00EA0DA7">
        <w:tc>
          <w:tcPr>
            <w:tcW w:w="1656" w:type="dxa"/>
          </w:tcPr>
          <w:p w14:paraId="2CA9FB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101737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65A913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224F54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5,55</w:t>
            </w:r>
          </w:p>
        </w:tc>
        <w:tc>
          <w:tcPr>
            <w:tcW w:w="1656" w:type="dxa"/>
          </w:tcPr>
          <w:p w14:paraId="5871E3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1656" w:type="dxa"/>
          </w:tcPr>
          <w:p w14:paraId="2422F2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17,6</w:t>
            </w:r>
          </w:p>
        </w:tc>
        <w:tc>
          <w:tcPr>
            <w:tcW w:w="1656" w:type="dxa"/>
          </w:tcPr>
          <w:p w14:paraId="6BC3DB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53DA9824" w14:textId="77777777" w:rsidTr="00EA0DA7">
        <w:tc>
          <w:tcPr>
            <w:tcW w:w="1656" w:type="dxa"/>
          </w:tcPr>
          <w:p w14:paraId="52D7F0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413FDC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4A0747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1445F9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5,65</w:t>
            </w:r>
          </w:p>
        </w:tc>
        <w:tc>
          <w:tcPr>
            <w:tcW w:w="1656" w:type="dxa"/>
          </w:tcPr>
          <w:p w14:paraId="5B9028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tc>
        <w:tc>
          <w:tcPr>
            <w:tcW w:w="1656" w:type="dxa"/>
          </w:tcPr>
          <w:p w14:paraId="446C72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1656" w:type="dxa"/>
          </w:tcPr>
          <w:p w14:paraId="0F83F1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6D7C1625" w14:textId="77777777" w:rsidTr="00EA0DA7">
        <w:tc>
          <w:tcPr>
            <w:tcW w:w="1656" w:type="dxa"/>
          </w:tcPr>
          <w:p w14:paraId="040B7C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47ACDD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4DC332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5475B4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5,90</w:t>
            </w:r>
          </w:p>
        </w:tc>
        <w:tc>
          <w:tcPr>
            <w:tcW w:w="1656" w:type="dxa"/>
          </w:tcPr>
          <w:p w14:paraId="42A584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1656" w:type="dxa"/>
          </w:tcPr>
          <w:p w14:paraId="62CA71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21,2</w:t>
            </w:r>
          </w:p>
        </w:tc>
        <w:tc>
          <w:tcPr>
            <w:tcW w:w="1656" w:type="dxa"/>
          </w:tcPr>
          <w:p w14:paraId="0B7DA0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w:t>
            </w:r>
          </w:p>
        </w:tc>
      </w:tr>
      <w:tr w:rsidR="00983732" w:rsidRPr="00A3026E" w14:paraId="5B0A05B3" w14:textId="77777777" w:rsidTr="00EA0DA7">
        <w:tc>
          <w:tcPr>
            <w:tcW w:w="1656" w:type="dxa"/>
          </w:tcPr>
          <w:p w14:paraId="4C6A77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2B7D6F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06340A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15850D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1656" w:type="dxa"/>
          </w:tcPr>
          <w:p w14:paraId="2C5279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tc>
        <w:tc>
          <w:tcPr>
            <w:tcW w:w="1656" w:type="dxa"/>
          </w:tcPr>
          <w:p w14:paraId="72FAAC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w:t>
            </w:r>
          </w:p>
        </w:tc>
        <w:tc>
          <w:tcPr>
            <w:tcW w:w="1656" w:type="dxa"/>
          </w:tcPr>
          <w:p w14:paraId="15BBA7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3C9AE0B8" w14:textId="77777777" w:rsidTr="00EA0DA7">
        <w:tc>
          <w:tcPr>
            <w:tcW w:w="1656" w:type="dxa"/>
          </w:tcPr>
          <w:p w14:paraId="2A898A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798E89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6C4659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61F472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1656" w:type="dxa"/>
          </w:tcPr>
          <w:p w14:paraId="79E4E1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656" w:type="dxa"/>
          </w:tcPr>
          <w:p w14:paraId="5CB108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tc>
        <w:tc>
          <w:tcPr>
            <w:tcW w:w="1656" w:type="dxa"/>
          </w:tcPr>
          <w:p w14:paraId="0EAA76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3FC1BEEB" w14:textId="77777777" w:rsidTr="00EA0DA7">
        <w:tc>
          <w:tcPr>
            <w:tcW w:w="1656" w:type="dxa"/>
          </w:tcPr>
          <w:p w14:paraId="1CABD0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656" w:type="dxa"/>
          </w:tcPr>
          <w:p w14:paraId="0667E0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656" w:type="dxa"/>
          </w:tcPr>
          <w:p w14:paraId="5A2723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2A959D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1656" w:type="dxa"/>
          </w:tcPr>
          <w:p w14:paraId="48BAE3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1656" w:type="dxa"/>
          </w:tcPr>
          <w:p w14:paraId="44A408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w:t>
            </w:r>
          </w:p>
        </w:tc>
        <w:tc>
          <w:tcPr>
            <w:tcW w:w="1656" w:type="dxa"/>
          </w:tcPr>
          <w:p w14:paraId="63E0BD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w:t>
            </w:r>
          </w:p>
        </w:tc>
      </w:tr>
      <w:tr w:rsidR="00983732" w:rsidRPr="00A3026E" w14:paraId="462727A2" w14:textId="77777777" w:rsidTr="00EA0DA7">
        <w:tc>
          <w:tcPr>
            <w:tcW w:w="1656" w:type="dxa"/>
          </w:tcPr>
          <w:p w14:paraId="06C608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763C1D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656" w:type="dxa"/>
          </w:tcPr>
          <w:p w14:paraId="7B53BD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56A9D7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w:t>
            </w:r>
          </w:p>
        </w:tc>
        <w:tc>
          <w:tcPr>
            <w:tcW w:w="1656" w:type="dxa"/>
          </w:tcPr>
          <w:p w14:paraId="4CC048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1656" w:type="dxa"/>
          </w:tcPr>
          <w:p w14:paraId="07B0A4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w:t>
            </w:r>
          </w:p>
        </w:tc>
        <w:tc>
          <w:tcPr>
            <w:tcW w:w="1656" w:type="dxa"/>
          </w:tcPr>
          <w:p w14:paraId="1E9B48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Суглинок и плотный известняк</w:t>
            </w:r>
          </w:p>
        </w:tc>
      </w:tr>
      <w:tr w:rsidR="00983732" w:rsidRPr="00A3026E" w14:paraId="21C3FD0B" w14:textId="77777777" w:rsidTr="00EA0DA7">
        <w:tc>
          <w:tcPr>
            <w:tcW w:w="1656" w:type="dxa"/>
          </w:tcPr>
          <w:p w14:paraId="67284B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656" w:type="dxa"/>
          </w:tcPr>
          <w:p w14:paraId="0FEC96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656" w:type="dxa"/>
          </w:tcPr>
          <w:p w14:paraId="0268A7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03FBFE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7,10</w:t>
            </w:r>
          </w:p>
        </w:tc>
        <w:tc>
          <w:tcPr>
            <w:tcW w:w="1656" w:type="dxa"/>
          </w:tcPr>
          <w:p w14:paraId="754E51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1656" w:type="dxa"/>
          </w:tcPr>
          <w:p w14:paraId="588E1A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27,8</w:t>
            </w:r>
          </w:p>
        </w:tc>
        <w:tc>
          <w:tcPr>
            <w:tcW w:w="1656" w:type="dxa"/>
          </w:tcPr>
          <w:p w14:paraId="5EA958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Рыхлый песок</w:t>
            </w:r>
          </w:p>
        </w:tc>
      </w:tr>
      <w:tr w:rsidR="00983732" w:rsidRPr="00A3026E" w14:paraId="252B56EB" w14:textId="77777777" w:rsidTr="00EA0DA7">
        <w:tc>
          <w:tcPr>
            <w:tcW w:w="1656" w:type="dxa"/>
          </w:tcPr>
          <w:p w14:paraId="76CF5D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0C353F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656" w:type="dxa"/>
          </w:tcPr>
          <w:p w14:paraId="71D554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200857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1656" w:type="dxa"/>
          </w:tcPr>
          <w:p w14:paraId="7B2095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w:t>
            </w:r>
          </w:p>
        </w:tc>
        <w:tc>
          <w:tcPr>
            <w:tcW w:w="1656" w:type="dxa"/>
          </w:tcPr>
          <w:p w14:paraId="2C1EC5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14,2</w:t>
            </w:r>
          </w:p>
        </w:tc>
        <w:tc>
          <w:tcPr>
            <w:tcW w:w="1656" w:type="dxa"/>
          </w:tcPr>
          <w:p w14:paraId="33998F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 на дне воронки</w:t>
            </w:r>
          </w:p>
        </w:tc>
      </w:tr>
    </w:tbl>
    <w:p w14:paraId="0AB23D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видно из таблицы, фугасное действие авиабомб как штатных, так и железобетонных при попадании бомб в одинаковый грунт, примерно одинаковые.</w:t>
      </w:r>
    </w:p>
    <w:p w14:paraId="72E97B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Прочность корпусов</w:t>
      </w:r>
    </w:p>
    <w:p w14:paraId="02232A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корпусов поверялась путем сбрасывания снаряженных бомб без взрывателей с различных высот и кроме того, было произведено для этой же цели десять растрясочных полетов на самолете СБ с вертикально и горизонтально подвешенными бомбами (на ДЕР-34 и ДЕР-19). При осмотре бомб после десяти вылетов и посадок никаких нарушений в подвеске и прочности корпусов бомб обнаружено не было.</w:t>
      </w:r>
    </w:p>
    <w:p w14:paraId="1A1A67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 прочность корпусов бомб при сбрасывании с различных высот дали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992"/>
        <w:gridCol w:w="9500"/>
      </w:tblGrid>
      <w:tr w:rsidR="00983732" w:rsidRPr="00A3026E" w14:paraId="7E817DF0" w14:textId="77777777" w:rsidTr="00EA0DA7">
        <w:tc>
          <w:tcPr>
            <w:tcW w:w="1101" w:type="dxa"/>
          </w:tcPr>
          <w:p w14:paraId="020059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сбрасывания в м</w:t>
            </w:r>
          </w:p>
        </w:tc>
        <w:tc>
          <w:tcPr>
            <w:tcW w:w="992" w:type="dxa"/>
          </w:tcPr>
          <w:p w14:paraId="62833F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проникания в м</w:t>
            </w:r>
          </w:p>
        </w:tc>
        <w:tc>
          <w:tcPr>
            <w:tcW w:w="9500" w:type="dxa"/>
          </w:tcPr>
          <w:p w14:paraId="601AC8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корпуса</w:t>
            </w:r>
          </w:p>
        </w:tc>
      </w:tr>
      <w:tr w:rsidR="00983732" w:rsidRPr="00A3026E" w14:paraId="08DE6A4C" w14:textId="77777777" w:rsidTr="00EA0DA7">
        <w:tc>
          <w:tcPr>
            <w:tcW w:w="1101" w:type="dxa"/>
          </w:tcPr>
          <w:p w14:paraId="48C96A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92" w:type="dxa"/>
          </w:tcPr>
          <w:p w14:paraId="7218FB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9500" w:type="dxa"/>
          </w:tcPr>
          <w:p w14:paraId="437F61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1217DE82" w14:textId="77777777" w:rsidTr="00EA0DA7">
        <w:tc>
          <w:tcPr>
            <w:tcW w:w="1101" w:type="dxa"/>
          </w:tcPr>
          <w:p w14:paraId="57A09B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992" w:type="dxa"/>
          </w:tcPr>
          <w:p w14:paraId="476B4F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1,47</w:t>
            </w:r>
          </w:p>
        </w:tc>
        <w:tc>
          <w:tcPr>
            <w:tcW w:w="9500" w:type="dxa"/>
          </w:tcPr>
          <w:p w14:paraId="7AC928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184E1357" w14:textId="77777777" w:rsidTr="00EA0DA7">
        <w:tc>
          <w:tcPr>
            <w:tcW w:w="1101" w:type="dxa"/>
          </w:tcPr>
          <w:p w14:paraId="38BFDA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992" w:type="dxa"/>
          </w:tcPr>
          <w:p w14:paraId="3335C4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1,57</w:t>
            </w:r>
          </w:p>
        </w:tc>
        <w:tc>
          <w:tcPr>
            <w:tcW w:w="9500" w:type="dxa"/>
          </w:tcPr>
          <w:p w14:paraId="30C889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57363605" w14:textId="77777777" w:rsidTr="00EA0DA7">
        <w:tc>
          <w:tcPr>
            <w:tcW w:w="1101" w:type="dxa"/>
          </w:tcPr>
          <w:p w14:paraId="0648AF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992" w:type="dxa"/>
          </w:tcPr>
          <w:p w14:paraId="2D74F8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tc>
        <w:tc>
          <w:tcPr>
            <w:tcW w:w="9500" w:type="dxa"/>
          </w:tcPr>
          <w:p w14:paraId="7B611A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151816C0" w14:textId="77777777" w:rsidTr="00EA0DA7">
        <w:tc>
          <w:tcPr>
            <w:tcW w:w="1101" w:type="dxa"/>
          </w:tcPr>
          <w:p w14:paraId="55C339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992" w:type="dxa"/>
          </w:tcPr>
          <w:p w14:paraId="3D7FF6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1,87</w:t>
            </w:r>
          </w:p>
        </w:tc>
        <w:tc>
          <w:tcPr>
            <w:tcW w:w="9500" w:type="dxa"/>
          </w:tcPr>
          <w:p w14:paraId="712435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6698CC57" w14:textId="77777777" w:rsidTr="00EA0DA7">
        <w:tc>
          <w:tcPr>
            <w:tcW w:w="1101" w:type="dxa"/>
          </w:tcPr>
          <w:p w14:paraId="582D87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992" w:type="dxa"/>
          </w:tcPr>
          <w:p w14:paraId="65BC21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9500" w:type="dxa"/>
          </w:tcPr>
          <w:p w14:paraId="7D55FB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983732" w:rsidRPr="00A3026E" w14:paraId="05EE7640" w14:textId="77777777" w:rsidTr="00EA0DA7">
        <w:tc>
          <w:tcPr>
            <w:tcW w:w="1101" w:type="dxa"/>
          </w:tcPr>
          <w:p w14:paraId="0EE410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992" w:type="dxa"/>
          </w:tcPr>
          <w:p w14:paraId="5E4F6D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9500" w:type="dxa"/>
          </w:tcPr>
          <w:p w14:paraId="2819EE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983732" w:rsidRPr="00A3026E" w14:paraId="172F9E89" w14:textId="77777777" w:rsidTr="00EA0DA7">
        <w:tc>
          <w:tcPr>
            <w:tcW w:w="1101" w:type="dxa"/>
          </w:tcPr>
          <w:p w14:paraId="283B2B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992" w:type="dxa"/>
          </w:tcPr>
          <w:p w14:paraId="00FDB4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500" w:type="dxa"/>
          </w:tcPr>
          <w:p w14:paraId="2005BC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r w:rsidR="00983732" w:rsidRPr="00A3026E" w14:paraId="57D25305" w14:textId="77777777" w:rsidTr="00EA0DA7">
        <w:tc>
          <w:tcPr>
            <w:tcW w:w="1101" w:type="dxa"/>
          </w:tcPr>
          <w:p w14:paraId="18E1B9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992" w:type="dxa"/>
          </w:tcPr>
          <w:p w14:paraId="268FE5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9500" w:type="dxa"/>
          </w:tcPr>
          <w:p w14:paraId="7976A6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bl>
    <w:p w14:paraId="3AC7C5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Устойчивость бомб на траектории</w:t>
      </w:r>
    </w:p>
    <w:p w14:paraId="1CE8F6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бомб на траектории при сбрасывании с высот 1000 и 2000 м определялась визуально с земли. Бомбы на траектории вели себя устойчиво.</w:t>
      </w:r>
    </w:p>
    <w:p w14:paraId="304C7E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сбрасывании с 4000 м (залп из 3-х) с горизонтальных держателей на основании рассеивания дали достаточную устойчивость.</w:t>
      </w:r>
    </w:p>
    <w:p w14:paraId="018AAB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При сбрасывании с высоты 6000 м с вертикальных бомбодержателей (залп из 4-х) рассеивание залпа по курсу получилось 275 м – это рассеивание надо считать очень большим.</w:t>
      </w:r>
    </w:p>
    <w:p w14:paraId="3FE058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результатов полигонных испытаний НИП АВ ВВС сделал следующие выводы:</w:t>
      </w:r>
    </w:p>
    <w:p w14:paraId="1CB8E4B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с корпусом из железобетона при сбрасывании с высот 1000, 2000, 4000 и 6000 метров действует безотказно. По фугасному эффекту ФАБ-100 железобетонные при бомбометании с высоты 2000 м практически равноценны ФАБ-100 цельнокованным. С высоты 4000 и 6000 м получено по одному наблюдению, что является недостаточным для сравнительных выводов.</w:t>
      </w:r>
    </w:p>
    <w:p w14:paraId="7C2BEDB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Корпуса ФАБ-100 железобетонных при бомбометании с 2000 м при скорости самолета 270 км/час по грунту средней плотности, имеют достаточную прочность.</w:t>
      </w:r>
    </w:p>
    <w:p w14:paraId="3C4A80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сбрасывании с высот 4000 и 6000 м при скорости самолета 300 км/час, корпуса ФАБ-100 железобетонных деформируются, разрушается наружный слой бетона, но при этом они проникают в грунт. Заряд взрывчатого вещества не рассеивается и при наличии взрывателей полный взрыв взрывчатого вещества обеспечен.</w:t>
      </w:r>
    </w:p>
    <w:p w14:paraId="11359EE5"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Устойчивость бомб на траектории достаточная, но подлежит более детальной проверке с высот 4000 м и выше. Рекомендовать произвести расчетную проверку на устойчивость.</w:t>
      </w:r>
    </w:p>
    <w:p w14:paraId="511D7B1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проведенных испытаний ФАБ-100 с железобетонным корпусом возможно применять по целям следующего порядка: аэродромы и ангары; грунтовые дороги; ж/д станции, легкие постройки городских наземных сооружений; деревянно-земляные укрепления полевого типа, легкие промышленные здания и т.п.</w:t>
      </w:r>
    </w:p>
    <w:p w14:paraId="730777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своем заключении НИП АВ указывает, что:</w:t>
      </w:r>
    </w:p>
    <w:p w14:paraId="007F223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Железобетонные авиабомбы в габаритах ФАБ-100 цельнокованных конструкций проф. Гальперина, в результате полигонных испытаний показали удовлетворительные результаты в отношении прочности, фугасности и безотказности действия при бомбометании по грунту средней плотности.</w:t>
      </w:r>
    </w:p>
    <w:p w14:paraId="284F85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что ФАБ-100 с железобетонным корпусом полигонные испытания выдержали и могут быть допущены на войсковые испытания для всестороннего выявления боевых свойств и всех характеристических показателей.</w:t>
      </w:r>
    </w:p>
    <w:p w14:paraId="0DBB6F1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подачей бомб на войсковые испытания, провести контрольные испытания ФАБ-100 железобетонных по мерзлому грунту и на устойчивость падения с больших высот, из числа бомб первой опытно-валовой партии, для чего необходимо подать на НИП АВ – 100 штук бомб.</w:t>
      </w:r>
    </w:p>
    <w:p w14:paraId="6AA2915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АВ считает необходимым продолжить исследовательскую работу, как по линии дальнейшего упрочнения корпуса, так и в направлении изготовления более крупных калибров бомб данной конструкции.</w:t>
      </w:r>
    </w:p>
    <w:p w14:paraId="79AE00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8 Управления ГУ ВВС</w:t>
      </w:r>
    </w:p>
    <w:p w14:paraId="23661EC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Представленный НИП АВ ВВС отчет по полигонным испытаниям фугасных авиабомб с железобетонным корпусом утвердить.</w:t>
      </w:r>
    </w:p>
    <w:p w14:paraId="1FB75EE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что фугасные авиабомбы с железобетонным корпусом полигонные испытания выдержали.</w:t>
      </w:r>
    </w:p>
    <w:p w14:paraId="58BFCC7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Присвоить фугасным авиабомбам с железобетонным корпусом наименование ФАБ-100 НГ.</w:t>
      </w:r>
    </w:p>
    <w:p w14:paraId="5114765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Просить Наркомат боеприпасов:</w:t>
      </w:r>
    </w:p>
    <w:p w14:paraId="190D5B93" w14:textId="77777777" w:rsidR="00C66762" w:rsidRPr="00A3026E" w:rsidRDefault="00C66762" w:rsidP="00A3026E">
      <w:pPr>
        <w:pStyle w:val="a3"/>
        <w:widowControl/>
        <w:rPr>
          <w:color w:val="000000" w:themeColor="text1"/>
          <w:lang w:val="ru-RU"/>
        </w:rPr>
      </w:pPr>
      <w:r w:rsidRPr="00A3026E">
        <w:rPr>
          <w:color w:val="000000" w:themeColor="text1"/>
          <w:lang w:val="ru-RU"/>
        </w:rPr>
        <w:t>а) Провести подготовку к валовому производству ФАБ-100 НГ в 1941 году.</w:t>
      </w:r>
    </w:p>
    <w:p w14:paraId="307EDA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Изготовить к 1 января 1941 года опытно-серийные партии ФАБ-100 НГ в количестве 15000 штук.</w:t>
      </w:r>
    </w:p>
    <w:p w14:paraId="0D80727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Просить начальника КБ-35 проф. Гальперина разработать, с учетом возможного увеличения прочности корпуса, чертежи и ТУ на ФАБ-100 НГ и представить их на утверждение в 8 Управление ГУ ВВС к 20 октября 1940 года.</w:t>
      </w:r>
    </w:p>
    <w:p w14:paraId="13B483E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НИП АВ ГУ ВВС в период январь-февраль 1941 года провести контрольные испытания ФАБ-100 НГ по мерзлому грунту, для чего из первых опытно-серийных партий 8 Управлению ГУ ВВС обеспечить подачу на НИП АВ 100 штук ФАБ-100 НГ.</w:t>
      </w:r>
    </w:p>
    <w:p w14:paraId="0F35A0C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наиболее полного выявления боевых свойств в 1941 году провести широкие войсковые испытания ФАБ-100 НГ по различным грунтам.</w:t>
      </w:r>
    </w:p>
    <w:p w14:paraId="17665E1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Просить начальника КБ-35 разработать проекты и изготовить ФАБ-250, ФАБ-500 и ФАБ-1000 с корпусами из железобетона. Изготовление этих калибров желательно закончить к 1 января 1941 года.</w:t>
      </w:r>
    </w:p>
    <w:p w14:paraId="4D348A1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НТЖ разослать:</w:t>
      </w:r>
    </w:p>
    <w:p w14:paraId="73A2B0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1и 2 – Отделение чертежей и ТУ 8 Управления ГУ ВВС</w:t>
      </w:r>
    </w:p>
    <w:p w14:paraId="435D13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3 – КО</w:t>
      </w:r>
    </w:p>
    <w:p w14:paraId="64B877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4 – наркому боеприпасов</w:t>
      </w:r>
    </w:p>
    <w:p w14:paraId="13C406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5 – начальнику КБ-35 НКБ</w:t>
      </w:r>
    </w:p>
    <w:p w14:paraId="622FC4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6 - начальнику НИП АВ ГУ ВВС</w:t>
      </w:r>
    </w:p>
    <w:p w14:paraId="5D9040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7 – Бюро техпомощи заводам при НКБ</w:t>
      </w:r>
    </w:p>
    <w:p w14:paraId="020373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8 2 Управлению ГУ ВВС</w:t>
      </w:r>
    </w:p>
    <w:p w14:paraId="59851F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8 Управления ГУ ВВС в/инженер 1 ранга Никонов, начальник 1 отдела 8 Управления ГУ ВВС в/инженер 1 ранга Матаев) (3440, 236-252).</w:t>
      </w:r>
    </w:p>
    <w:p w14:paraId="631192B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437974F" w14:textId="77777777" w:rsidR="00B82ACD" w:rsidRPr="00A3026E" w:rsidRDefault="00B82A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А.И.Рощин на аэростате ВР-70 объемом 883 м поднялся на 8448 и установил сразу 3 мировых рекорда (438,789).</w:t>
      </w:r>
    </w:p>
    <w:p w14:paraId="53B47715" w14:textId="77777777" w:rsidR="00B82ACD" w:rsidRPr="00A3026E" w:rsidRDefault="00B82ACD" w:rsidP="00A3026E">
      <w:pPr>
        <w:spacing w:after="0" w:line="240" w:lineRule="auto"/>
        <w:jc w:val="both"/>
        <w:rPr>
          <w:rFonts w:ascii="Times New Roman" w:hAnsi="Times New Roman"/>
          <w:color w:val="000000" w:themeColor="text1"/>
          <w:sz w:val="16"/>
          <w:szCs w:val="16"/>
        </w:rPr>
      </w:pPr>
    </w:p>
    <w:p w14:paraId="071E03A8" w14:textId="77777777" w:rsidR="00142E51" w:rsidRPr="00A3026E" w:rsidRDefault="00142E51"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57EEFCB" w14:textId="77777777" w:rsidR="00142E51" w:rsidRPr="00A3026E" w:rsidRDefault="00142E51" w:rsidP="00A3026E">
      <w:pPr>
        <w:spacing w:after="0" w:line="240" w:lineRule="auto"/>
        <w:jc w:val="both"/>
        <w:rPr>
          <w:rFonts w:ascii="Times New Roman" w:hAnsi="Times New Roman"/>
          <w:iCs/>
          <w:color w:val="000000" w:themeColor="text1"/>
          <w:sz w:val="16"/>
          <w:szCs w:val="16"/>
        </w:rPr>
      </w:pPr>
    </w:p>
    <w:p w14:paraId="6C2D962E" w14:textId="77777777" w:rsidR="00142E51" w:rsidRPr="00A3026E" w:rsidRDefault="00142E51"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3 октября 1940 года в планах опытных работ на 1941 год пунктом 2 шел "Танк сопровождения пехоты, химический, Х-126". Долго он не прожил, поскольку Т-126 скончался (20878).</w:t>
      </w:r>
    </w:p>
    <w:p w14:paraId="2BE7652A" w14:textId="77777777" w:rsidR="00142E51" w:rsidRPr="00A3026E" w:rsidRDefault="00142E51" w:rsidP="00A3026E">
      <w:pPr>
        <w:pStyle w:val="article-renderblock"/>
        <w:shd w:val="clear" w:color="auto" w:fill="FFFFFF"/>
        <w:spacing w:before="0" w:beforeAutospacing="0" w:after="0" w:afterAutospacing="0"/>
        <w:jc w:val="both"/>
        <w:rPr>
          <w:color w:val="0070C0"/>
          <w:sz w:val="16"/>
          <w:szCs w:val="16"/>
        </w:rPr>
      </w:pPr>
    </w:p>
    <w:p w14:paraId="4D49421C" w14:textId="77777777" w:rsidR="00D2328C"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0E7A1214" w14:textId="77777777" w:rsidR="00D2328C" w:rsidRPr="00A3026E" w:rsidRDefault="00D2328C" w:rsidP="00A3026E">
      <w:pPr>
        <w:spacing w:after="0" w:line="240" w:lineRule="auto"/>
        <w:jc w:val="both"/>
        <w:rPr>
          <w:rFonts w:ascii="Times New Roman" w:hAnsi="Times New Roman"/>
          <w:iCs/>
          <w:color w:val="000000" w:themeColor="text1"/>
          <w:sz w:val="16"/>
          <w:szCs w:val="16"/>
        </w:rPr>
      </w:pPr>
    </w:p>
    <w:p w14:paraId="7C143DF0"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3 октября </w:t>
      </w:r>
      <w:r w:rsidRPr="00A3026E">
        <w:rPr>
          <w:rFonts w:ascii="Times New Roman" w:hAnsi="Times New Roman"/>
          <w:color w:val="000000" w:themeColor="text1"/>
          <w:sz w:val="16"/>
          <w:szCs w:val="16"/>
        </w:rPr>
        <w:t>в 1939 году группа Кулишенко на 9 «ДБ-3», поставленных Китаю, выполнила налет на аэродром морской авиации ("база W") в Ханькоу (дальность рейда 1500 км), использовавшуюся и летчиками армейской авиации. В тот день на авиабазе готовилась торжественная встреча новых самолетов, перегонявшихся из Японии, собрались представители командования флота и городских властей. Точное расположение объектов на вражеском аэродроме было неизвестно, система ПВО - тоже. Вылет решено было производить днем с доразведкой на месте, рассчитывая на внезапность и большую высоту. «ДБ-З» появились над Ханькоу на эшелоне 8700 м. На аэродроме не было никакой маскировки, самолеты стояли в четыре ряда крылом к крылу. Отбомбившись "сотками", летчики Кулишенко уничтожили, по японским данным, 50 самолетов и 130 человек личного состава. Еще 300 было ранено. Пожар бензохранилища продолжался более трех часов. Зенитки не доставали «ДБ-З», а единственный взлетевший истребитель (Сабуро Сакаи) не смог их догнать. Погибли семь высших офицеров от капитана 1-го ранга и выше, 12 ранено. В числе последних оказался контр-адмирал Цукахара, командующий японской авиафлотилией. Был объявлен траур, коменданта аэродрома расстреляли. Во втором налете на Ханькоу (14 октября) ударная группа из 12 «ДБ-3» была атакована на большой высоте, едва успев отбомбиться. Возможно, советские бомбардировщики были атакованы истребителями «A8V-1», или, как называли их наши пилоты, «И-98 - 2РА-ВЗ», проданные японцам американской фирмой «Северский». В рейдах на Ханькоу, по данным противника, было сожжено не менее 140 самолетов, наши потери составили 3 машины (14788).</w:t>
      </w:r>
    </w:p>
    <w:p w14:paraId="2F9914A1" w14:textId="77777777" w:rsidR="00D2328C" w:rsidRPr="00A3026E" w:rsidRDefault="00D2328C" w:rsidP="00A3026E">
      <w:pPr>
        <w:spacing w:after="0" w:line="240" w:lineRule="auto"/>
        <w:jc w:val="both"/>
        <w:rPr>
          <w:rFonts w:ascii="Times New Roman" w:hAnsi="Times New Roman"/>
          <w:color w:val="000000" w:themeColor="text1"/>
          <w:sz w:val="16"/>
          <w:szCs w:val="16"/>
        </w:rPr>
      </w:pPr>
    </w:p>
    <w:p w14:paraId="1EB9227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3F6B9E4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EA4A1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3 октября и 6 ноября 1940. Протокол заседания Политбюро № 22, 1940 г.</w:t>
      </w:r>
    </w:p>
    <w:p w14:paraId="2CD487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 организации специальных военно-воздушных сил средних школ </w:t>
      </w:r>
    </w:p>
    <w:p w14:paraId="706B08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В целях подготовки кадров для комплектования военных авиационных училищ летчиков... организовать в системе народных комиссариатов просвещения 20 специальных военно-воздушных сил средних школ в составе восьмого, девятого и десятого классов. </w:t>
      </w:r>
    </w:p>
    <w:p w14:paraId="551F1F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Установить общее количество учащихся во всех трех классах каждой специальной военно-воздушных сил средней школы 500 человек (11652).</w:t>
      </w:r>
    </w:p>
    <w:p w14:paraId="260B252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9CAEA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59E4BE3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76323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Н.Чемберлен вышел из британского правительства (3481).</w:t>
      </w:r>
    </w:p>
    <w:p w14:paraId="714BEFB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392D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в США появились воздушно-десантные войска (2100).</w:t>
      </w:r>
    </w:p>
    <w:p w14:paraId="718AF44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ACB234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5E1678E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F29CC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 закончились гос. испытания головного серийного самолета ДБ-3Ф 2М-87Б № 180630 с винтами ВИШ-23А Производства завода № 18, которые проходили с 5 сентября 1940</w:t>
      </w:r>
    </w:p>
    <w:p w14:paraId="21A590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Отв. исполнители:</w:t>
      </w:r>
    </w:p>
    <w:p w14:paraId="67AE2A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НИИ ВВС майор Костюк М.Н.</w:t>
      </w:r>
    </w:p>
    <w:p w14:paraId="1F96DA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НИИ ВВС капитан Сыроегин А.Д.</w:t>
      </w:r>
    </w:p>
    <w:p w14:paraId="793CA1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2609AB7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летно-технические данные серийного самолета ДБ-3Ф 2М-87Б с ВИШ-23 постройки завода НКАП № 18.</w:t>
      </w:r>
    </w:p>
    <w:p w14:paraId="5C03B83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температурные режимы винто-моторной группы самолета с моторами М-87Б, винтами ВИШ-23 и двумя воздушно-масляными радиаторами на каждом моторе.</w:t>
      </w:r>
    </w:p>
    <w:p w14:paraId="15BDFFF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вооружения и специального оборудования.</w:t>
      </w:r>
    </w:p>
    <w:p w14:paraId="3511DAE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возможность выполнения ночных полетов.</w:t>
      </w:r>
    </w:p>
    <w:p w14:paraId="0908D6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 18 предъявлен на гос. испытания головной серийный самолет ДБ-3Ф 2М-87Б с винтами ВИШ-23А.</w:t>
      </w:r>
    </w:p>
    <w:p w14:paraId="332321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сравнению с опытным самолетом ДБ-3Ф 2М87 с ВИШ-3 завода № 39, предъявленный самолет имеет следующие изменения:</w:t>
      </w:r>
    </w:p>
    <w:p w14:paraId="65CEA2F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Винты ВИШ-3 заменены винтами ВИШ-23А.</w:t>
      </w:r>
    </w:p>
    <w:p w14:paraId="434F9AE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Вместо турели типа СУ ДБ-3 установлена турель типа МВ-3, а вместо ЛУ-ДБ-3, люковая установка типа МВ-2.</w:t>
      </w:r>
    </w:p>
    <w:p w14:paraId="5FF6655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Взамен одного 8-ми дюймового воздушно-масляного радиатора, расположенного в носке крыла и невыходящего из габаритов носка крыла, установлено на каждый мотор по 2 воздушно-масляных радиатора, расположенных в носке крыла перпендикулярно переднему лонжерону и выступающим из габаритов носка крыла.</w:t>
      </w:r>
    </w:p>
    <w:p w14:paraId="0A9A70C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Воздушно-масляные радиаторы имеют синхронно работающие жалюзи на входе и заслонки на выходе из туннелей радиаторов.</w:t>
      </w:r>
    </w:p>
    <w:p w14:paraId="61E568A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Установлены 2 кассеты типа КАС-8 под парашютные ракеты ПР-8.</w:t>
      </w:r>
    </w:p>
    <w:p w14:paraId="38EC606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Предусмотрено гнездо для установки фотоаппарата АФА-Б.</w:t>
      </w:r>
    </w:p>
    <w:p w14:paraId="5F3C114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Антенна РПК-2 вынесена под фюзеляж в специальный обтекатель.</w:t>
      </w:r>
    </w:p>
    <w:p w14:paraId="1E70EA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6CD2B3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испытания 5 сентября 1940 года</w:t>
      </w:r>
    </w:p>
    <w:p w14:paraId="6A2CDD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окончил испытания 4 октября 1940 года</w:t>
      </w:r>
    </w:p>
    <w:p w14:paraId="564801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испытаний 30 дней, из них летные испытания – 10 дней.</w:t>
      </w:r>
    </w:p>
    <w:p w14:paraId="236BE8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произведено 59 полетов общей продолжительностью 27 час. 49 мин., из них:</w:t>
      </w:r>
    </w:p>
    <w:p w14:paraId="7DB8B7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Высотных – 6 полетов продолжительностью 14 час. 18 мин.</w:t>
      </w:r>
    </w:p>
    <w:p w14:paraId="327534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Ночных – 7 полетов продолжительностью 1 час. 20 мин.</w:t>
      </w:r>
    </w:p>
    <w:p w14:paraId="557A42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дальность – 1 полет продолжительностью 4 час. 40 мин.</w:t>
      </w:r>
    </w:p>
    <w:p w14:paraId="4E4F58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51234D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самолет ДБ-3Ф 2М-87Б с ВИШ-23 № 180630 производства завода НКАП № 18 на гос. испытаниях показал максимальную скорость 405 км/час на высоте 4900 м.</w:t>
      </w:r>
    </w:p>
    <w:p w14:paraId="3682DCCD" w14:textId="77777777" w:rsidR="00C66762" w:rsidRPr="00A3026E" w:rsidRDefault="00C66762" w:rsidP="00A3026E">
      <w:pPr>
        <w:pStyle w:val="a3"/>
        <w:widowControl/>
        <w:rPr>
          <w:color w:val="000000" w:themeColor="text1"/>
          <w:lang w:val="ru-RU"/>
        </w:rPr>
      </w:pPr>
      <w:r w:rsidRPr="00A3026E">
        <w:rPr>
          <w:color w:val="000000" w:themeColor="text1"/>
          <w:lang w:val="ru-RU"/>
        </w:rPr>
        <w:t>Согласно постановления КО за № 222 сс от 1939 года, максимальная скорость самолета ДБ-3Ф 2М-88 должна быть 485 км/час на высоте 7000 м (4554).</w:t>
      </w:r>
    </w:p>
    <w:p w14:paraId="555D6822" w14:textId="77777777" w:rsidR="00C66762" w:rsidRPr="00A3026E" w:rsidRDefault="00C66762" w:rsidP="00A3026E">
      <w:pPr>
        <w:pStyle w:val="a3"/>
        <w:widowControl/>
        <w:rPr>
          <w:color w:val="000000" w:themeColor="text1"/>
          <w:lang w:val="ru-RU"/>
        </w:rPr>
      </w:pPr>
    </w:p>
    <w:p w14:paraId="7B70BB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закончились гос. испытания серийного ДБ-3Ф N 180630 производства 18 завода, которые проходили с 5 сентября 1940 (796,29).</w:t>
      </w:r>
    </w:p>
    <w:p w14:paraId="2EC35A0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76277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Зам. нач. 7 ГУ С.Шишкин писал заключение N 3542 "О замене моторов М-88 на М-87 на самолете ДБ-3Ф"</w:t>
      </w:r>
    </w:p>
    <w:p w14:paraId="378478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установке моторов М-87Б на серийные самолеты ДБ-3Ф взамен моторов М-88 следует ожидать следующих изменений летных данных самолета:</w:t>
      </w:r>
    </w:p>
    <w:p w14:paraId="7015B2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Уменьшение максимальной скорости до 405-410 км/час против 425 км/час с моторами М-88</w:t>
      </w:r>
    </w:p>
    <w:p w14:paraId="0B7380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Увеличение времени подъема на высоту 5000 м с 10.2 мин. до 14 мин. и уменьшение потолка с 10000 м до 9000 м (1295,10).</w:t>
      </w:r>
    </w:p>
    <w:p w14:paraId="691720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Значительное увеличение разбега самолета за счет меньшей взлетной мощности. Величина разбега будет не менее 400 м при нормальном полетном весе;</w:t>
      </w:r>
    </w:p>
    <w:p w14:paraId="373D03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Серийные самолеты с моторами М-87Б будут иметь больший полетный вес в сравнении с опытным самолетом с М-87Б, проходившим гос. испытания. Поэтому улучшение летных качество потребует уменьшения полезной нагрузки (1295,10).</w:t>
      </w:r>
    </w:p>
    <w:p w14:paraId="3AB1A8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что установка моторов М-87Б на самолеты ДБ-3Ф может быть применена только как временная мера и по окончанию доводки моторов М-88 они должны быть установлены взамен М-87Б (1295,10).</w:t>
      </w:r>
    </w:p>
    <w:p w14:paraId="4CAB6D2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1B06D4" w14:textId="77777777" w:rsidR="00142E51" w:rsidRPr="00A3026E" w:rsidRDefault="00142E51"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4 октября 1940 г. А.С.Я. в письме Наркому госконтроля Мехлису №23/2072 писал: «…Требования, предъявляемые ВВС КА к самолетам и их вооружению, постоянно меняются и не увязаны между собой. По одному и тому же самолету заключения ВВС зачастую прямо противоположны… Так по опытному самолету ДБ-240 конструкции Ермолаева требования по вооружению были изменены 3 раза в течение 1-1,5 месяцев… Существующая система финансирования опытных работ предусматривает отпуск средств Наркомфином только по утверждению заданий КО при СНК и не позволяет вести проектирование новых объектов в случаях, когда конструкторами окончены имевшиеся плановые задания и когда освободившиеся мощности КБ обеспечивают выполнение новых работ… Этот порядок финансирования заставляет входить в КО с ходатайством об утверждении новых заданий по новым опытным самолетам, проектные данные которых не проработаны в достаточной степени и не обоснованы предварительными экспериментами… Сообщая об этих основных ненормальностях, прошу Вас оказать содействие в их устранении».</w:t>
      </w:r>
    </w:p>
    <w:p w14:paraId="6CE1A4FE" w14:textId="77777777" w:rsidR="00142E51" w:rsidRPr="00A3026E" w:rsidRDefault="00142E51"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Обращение возымело дело, и из ЦК поступило требование НКАП и штабу ВВС определиться с техническими требованиями к ДБ240 окончательно и дать решение о возможности принять самолет с М-105 на вооружение. Упростили и порядок финансирования опытных работ (22833).</w:t>
      </w:r>
    </w:p>
    <w:p w14:paraId="27838409" w14:textId="77777777" w:rsidR="00142E51" w:rsidRPr="00A3026E" w:rsidRDefault="00142E51" w:rsidP="00A3026E">
      <w:pPr>
        <w:pStyle w:val="article-renderblock"/>
        <w:shd w:val="clear" w:color="auto" w:fill="FFFFFF"/>
        <w:spacing w:before="0" w:beforeAutospacing="0" w:after="0" w:afterAutospacing="0"/>
        <w:jc w:val="both"/>
        <w:rPr>
          <w:color w:val="0070C0"/>
          <w:sz w:val="16"/>
          <w:szCs w:val="16"/>
        </w:rPr>
      </w:pPr>
    </w:p>
    <w:p w14:paraId="678793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вышел приказ НКАП N 525с о создании комиссии под пред. Нач. 3-й лаборатории ЦАГИ Дубровина для определения мер обеспечения прочности и вибростойкости СБ. С 4 октября по 3 января 1941 комиссия пришла к выводу, что "при весе самолета СБ 6350 кг по данным статиспытаний в ЦАГИ прочность крыла в случае Ак соответствует 7.5, а по новым нормам для ПБ требуется 8.7 и т.о. прочность СБ для пикирования недостаточна (2706,195).</w:t>
      </w:r>
    </w:p>
    <w:p w14:paraId="5733E03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C2D51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дир. завода 125 Иосилович подписал приказ N 28с о проведении зав. летных испытаний СБ 2М-103А N 47/20. Л Бушкевич, ви Отченашенко. Программа - замер макс. скорости на расчетной высоте, проверка работы механизма наружной подвески, проверка работы системы гидроподъема шасси и щитков, проверка монтажа вооружения. Выводы:</w:t>
      </w:r>
    </w:p>
    <w:p w14:paraId="71A086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СБ 2М-103А N 47/20 типа 34/51 серии, изготовленный заводом 125, по своим ЛХ отличается от машины N 47/12 типа 34/50 серии снижением скорости на 4000 м на 35 км/час.</w:t>
      </w:r>
    </w:p>
    <w:p w14:paraId="3664B6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Снижение скорости объясняется увеличением лобового сопротивления из-за подвески 2-х ФАБ-500 (2698,129).</w:t>
      </w:r>
    </w:p>
    <w:p w14:paraId="50BADB5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B7E70D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ночь с 3 по 4 октября 1940 И-135 "330" М-105П – гл. конструктор Сухой был перевезен на завод № 289 (Подлипки) для ремонта из-за поломки мотора (3377, 26).</w:t>
      </w:r>
    </w:p>
    <w:p w14:paraId="2CBB3A0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25ADDD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 в НИИ ВВС на самолете И-207/3 М-63 – гл. конструкторы Флоров, Боровков, Завод № 207. Был произведен полет с 100 кг бомбами для бомбометания с пикирования под углом 45 градусов. Полет прошел нормально (3377, 26).</w:t>
      </w:r>
    </w:p>
    <w:p w14:paraId="1A0B283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912C5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 закончились гос. испытания серийного самолета И-16 с М-63 тип 29 № 292116 постройки завода № 21, которые проходили с 27 августа 1940</w:t>
      </w:r>
    </w:p>
    <w:p w14:paraId="202FEB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697A21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1 отделения 1 отдела НИИ в/инженер 1 ранга Воеводин</w:t>
      </w:r>
    </w:p>
    <w:p w14:paraId="0D6E00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 в/инженер 3 ранга Рабкин</w:t>
      </w:r>
    </w:p>
    <w:p w14:paraId="501D71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 майор Груздев</w:t>
      </w:r>
    </w:p>
    <w:p w14:paraId="14A198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165ED1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Дать оценку самолету И16 М63 тип 29, как эталону 2-й половины 1940 года с точки зрения соответствия самолета т.т.т. и выполнения заводом указанных данных НИИ ВВС в предшествующих отчетах о гос. испытаниях И-16 для чего:</w:t>
      </w:r>
    </w:p>
    <w:p w14:paraId="4E95DBF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летные данные самолета.</w:t>
      </w:r>
    </w:p>
    <w:p w14:paraId="6623FBC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вооружения самолета.</w:t>
      </w:r>
    </w:p>
    <w:p w14:paraId="0D7FD15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установки РСИ-3.</w:t>
      </w:r>
    </w:p>
    <w:p w14:paraId="7B8F100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спецоборудования самолета.</w:t>
      </w:r>
    </w:p>
    <w:p w14:paraId="3A67E94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устранение ранее обнаруженных на самолете И-16 дефектов.</w:t>
      </w:r>
    </w:p>
    <w:p w14:paraId="3F6D8D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И-16 типа «29» с мотором М-63 представляет собой дальнейшую модификацию серийного самолета И-16.</w:t>
      </w:r>
    </w:p>
    <w:p w14:paraId="68DF39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Основные отличия заключаются в вооружении (имеется новая установка пулемета БС) и в спецоборудовании (имеется приемная радиостанция с жесткой антенной). Последнее повлекло за собой ряд конструктивных изменений по самолету в целом.</w:t>
      </w:r>
    </w:p>
    <w:p w14:paraId="56BB03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самолета И-16 тип «29» состоит из: 2-х синхронных пулеметов Шкас калибра 7,62 мм, синхронного пулемета БС калибра 12,7 мм, 6-ти реактивных орудий для РС-ов калибра 82 мм и фотокинопулемета ПАУ-22.</w:t>
      </w:r>
    </w:p>
    <w:p w14:paraId="5F92DA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И-16 № 292116 проходил испытания в трех вариантах:</w:t>
      </w:r>
    </w:p>
    <w:p w14:paraId="1FCE1D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вариант – с радиомачтой и антенной, с РО, без РС (реактивных снарядов) и без подвесных бензобаков. Полетный вес при этом – 1966 кг. В этом варианте сделано 39 полетов общей продолжительностью 13 час. 24 мин.</w:t>
      </w:r>
    </w:p>
    <w:p w14:paraId="415D33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вариант – с радиомачтой и антенной, с РО, без РС, с подвесными бензобаками. Полетный вес при этом – 2115 кг. В этом варианте сделано 4 полета, общей продолжительностью 3 час. 32 мин.</w:t>
      </w:r>
    </w:p>
    <w:p w14:paraId="2F88E6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3-й вариант – без радиомачты и антенны, без РО, без РС, без подвесных бензобаков. Полетный вес при этом 1940 кг. В этом варианте сделано 12 полетов, общей продолжительностью 6 час. 28 мин.</w:t>
      </w:r>
    </w:p>
    <w:p w14:paraId="320498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сделано 55 полетов продолжительностью 23 час. 24 мин.</w:t>
      </w:r>
    </w:p>
    <w:p w14:paraId="756A13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17F04A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что самолет И-16 с М-63 тип «29», эталон для 2-й половины 1940 года испытания выдержал.</w:t>
      </w:r>
    </w:p>
    <w:p w14:paraId="00E2C2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Календарь испытаний самолета И-16 тип 29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983732" w:rsidRPr="00A3026E" w14:paraId="49E84022" w14:textId="77777777" w:rsidTr="00EA0DA7">
        <w:tc>
          <w:tcPr>
            <w:tcW w:w="1951" w:type="dxa"/>
            <w:tcBorders>
              <w:top w:val="single" w:sz="12" w:space="0" w:color="auto"/>
            </w:tcBorders>
          </w:tcPr>
          <w:p w14:paraId="164113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августа 1940 года</w:t>
            </w:r>
          </w:p>
        </w:tc>
        <w:tc>
          <w:tcPr>
            <w:tcW w:w="8647" w:type="dxa"/>
            <w:tcBorders>
              <w:top w:val="single" w:sz="12" w:space="0" w:color="auto"/>
            </w:tcBorders>
          </w:tcPr>
          <w:p w14:paraId="59987C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летом перегнан с завода № 21 в Чкаловскую. Полет продолжительностью 1 час. 37 мин.</w:t>
            </w:r>
          </w:p>
        </w:tc>
      </w:tr>
      <w:tr w:rsidR="00983732" w:rsidRPr="00A3026E" w14:paraId="40DBF4FA" w14:textId="77777777" w:rsidTr="00EA0DA7">
        <w:tc>
          <w:tcPr>
            <w:tcW w:w="1951" w:type="dxa"/>
          </w:tcPr>
          <w:p w14:paraId="6DF144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августа 1940 года</w:t>
            </w:r>
          </w:p>
        </w:tc>
        <w:tc>
          <w:tcPr>
            <w:tcW w:w="8647" w:type="dxa"/>
          </w:tcPr>
          <w:p w14:paraId="5BF0D3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Сделан полет по выявлению регулировки самолета.</w:t>
            </w:r>
          </w:p>
        </w:tc>
      </w:tr>
      <w:tr w:rsidR="00983732" w:rsidRPr="00A3026E" w14:paraId="54615216" w14:textId="77777777" w:rsidTr="00EA0DA7">
        <w:tc>
          <w:tcPr>
            <w:tcW w:w="1951" w:type="dxa"/>
          </w:tcPr>
          <w:p w14:paraId="515201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августа 1940 года</w:t>
            </w:r>
          </w:p>
        </w:tc>
        <w:tc>
          <w:tcPr>
            <w:tcW w:w="8647" w:type="dxa"/>
          </w:tcPr>
          <w:p w14:paraId="520993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Сделан полет на скороподъемность до Н=5000 м и скорости по площадкам.</w:t>
            </w:r>
          </w:p>
        </w:tc>
      </w:tr>
      <w:tr w:rsidR="00983732" w:rsidRPr="00A3026E" w14:paraId="5547BCA6" w14:textId="77777777" w:rsidTr="00EA0DA7">
        <w:tc>
          <w:tcPr>
            <w:tcW w:w="1951" w:type="dxa"/>
          </w:tcPr>
          <w:p w14:paraId="3496FD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августа 1940 года</w:t>
            </w:r>
          </w:p>
        </w:tc>
        <w:tc>
          <w:tcPr>
            <w:tcW w:w="8647" w:type="dxa"/>
          </w:tcPr>
          <w:p w14:paraId="1F7B39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километраж.</w:t>
            </w:r>
          </w:p>
        </w:tc>
      </w:tr>
      <w:tr w:rsidR="00983732" w:rsidRPr="00A3026E" w14:paraId="5418EE8B" w14:textId="77777777" w:rsidTr="00EA0DA7">
        <w:tc>
          <w:tcPr>
            <w:tcW w:w="1951" w:type="dxa"/>
          </w:tcPr>
          <w:p w14:paraId="3C1D16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августа 1940 года</w:t>
            </w:r>
          </w:p>
        </w:tc>
        <w:tc>
          <w:tcPr>
            <w:tcW w:w="8647" w:type="dxa"/>
          </w:tcPr>
          <w:p w14:paraId="43028E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скороподъемность.</w:t>
            </w:r>
          </w:p>
        </w:tc>
      </w:tr>
      <w:tr w:rsidR="00983732" w:rsidRPr="00A3026E" w14:paraId="77F81964" w14:textId="77777777" w:rsidTr="00EA0DA7">
        <w:tc>
          <w:tcPr>
            <w:tcW w:w="1951" w:type="dxa"/>
          </w:tcPr>
          <w:p w14:paraId="5B841F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года</w:t>
            </w:r>
          </w:p>
        </w:tc>
        <w:tc>
          <w:tcPr>
            <w:tcW w:w="8647" w:type="dxa"/>
          </w:tcPr>
          <w:p w14:paraId="76BAD1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скороподъемности до Н=5000 м и скоростей на площадках.</w:t>
            </w:r>
          </w:p>
        </w:tc>
      </w:tr>
      <w:tr w:rsidR="00983732" w:rsidRPr="00A3026E" w14:paraId="7E8D505E" w14:textId="77777777" w:rsidTr="00EA0DA7">
        <w:tc>
          <w:tcPr>
            <w:tcW w:w="1951" w:type="dxa"/>
          </w:tcPr>
          <w:p w14:paraId="03F314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года</w:t>
            </w:r>
          </w:p>
        </w:tc>
        <w:tc>
          <w:tcPr>
            <w:tcW w:w="8647" w:type="dxa"/>
          </w:tcPr>
          <w:p w14:paraId="1F619B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маневренности в горизонтальной плоскости.</w:t>
            </w:r>
          </w:p>
        </w:tc>
      </w:tr>
      <w:tr w:rsidR="00983732" w:rsidRPr="00A3026E" w14:paraId="04377132" w14:textId="77777777" w:rsidTr="00EA0DA7">
        <w:tc>
          <w:tcPr>
            <w:tcW w:w="1951" w:type="dxa"/>
          </w:tcPr>
          <w:p w14:paraId="0E5124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года</w:t>
            </w:r>
          </w:p>
        </w:tc>
        <w:tc>
          <w:tcPr>
            <w:tcW w:w="8647" w:type="dxa"/>
          </w:tcPr>
          <w:p w14:paraId="59FF9F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Тренировочные полеты Стефановского – 2 посадки.</w:t>
            </w:r>
          </w:p>
          <w:p w14:paraId="3E84B5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Тренировочные полеты Груздева – 3 посадки.</w:t>
            </w:r>
          </w:p>
        </w:tc>
      </w:tr>
      <w:tr w:rsidR="00983732" w:rsidRPr="00A3026E" w14:paraId="507226DA" w14:textId="77777777" w:rsidTr="00EA0DA7">
        <w:tc>
          <w:tcPr>
            <w:tcW w:w="1951" w:type="dxa"/>
          </w:tcPr>
          <w:p w14:paraId="5DFE50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года</w:t>
            </w:r>
          </w:p>
        </w:tc>
        <w:tc>
          <w:tcPr>
            <w:tcW w:w="8647" w:type="dxa"/>
          </w:tcPr>
          <w:p w14:paraId="00762B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отстрел пулеметов Шкас.</w:t>
            </w:r>
          </w:p>
        </w:tc>
      </w:tr>
      <w:tr w:rsidR="00983732" w:rsidRPr="00A3026E" w14:paraId="1ACA3720" w14:textId="77777777" w:rsidTr="00EA0DA7">
        <w:tc>
          <w:tcPr>
            <w:tcW w:w="1951" w:type="dxa"/>
          </w:tcPr>
          <w:p w14:paraId="464956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года</w:t>
            </w:r>
          </w:p>
        </w:tc>
        <w:tc>
          <w:tcPr>
            <w:tcW w:w="8647" w:type="dxa"/>
          </w:tcPr>
          <w:p w14:paraId="068797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отстрел пулеметов Шкас на автоматику.</w:t>
            </w:r>
          </w:p>
        </w:tc>
      </w:tr>
      <w:tr w:rsidR="00983732" w:rsidRPr="00A3026E" w14:paraId="79D72D7C" w14:textId="77777777" w:rsidTr="00EA0DA7">
        <w:tc>
          <w:tcPr>
            <w:tcW w:w="1951" w:type="dxa"/>
          </w:tcPr>
          <w:p w14:paraId="5AB195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года</w:t>
            </w:r>
          </w:p>
        </w:tc>
        <w:tc>
          <w:tcPr>
            <w:tcW w:w="8647" w:type="dxa"/>
          </w:tcPr>
          <w:p w14:paraId="69BC5A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полета на отстрел пулемета БС по мишени.</w:t>
            </w:r>
          </w:p>
        </w:tc>
      </w:tr>
      <w:tr w:rsidR="00983732" w:rsidRPr="00A3026E" w14:paraId="32683905" w14:textId="77777777" w:rsidTr="00EA0DA7">
        <w:tc>
          <w:tcPr>
            <w:tcW w:w="1951" w:type="dxa"/>
          </w:tcPr>
          <w:p w14:paraId="4EF8F7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года</w:t>
            </w:r>
          </w:p>
        </w:tc>
        <w:tc>
          <w:tcPr>
            <w:tcW w:w="8647" w:type="dxa"/>
          </w:tcPr>
          <w:p w14:paraId="404BAE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тренировочный на определение скороподъемности до Н=4000 м и отстрел из пулемета БС.</w:t>
            </w:r>
          </w:p>
        </w:tc>
      </w:tr>
      <w:tr w:rsidR="00983732" w:rsidRPr="00A3026E" w14:paraId="73CF3D2F" w14:textId="77777777" w:rsidTr="00EA0DA7">
        <w:tc>
          <w:tcPr>
            <w:tcW w:w="1951" w:type="dxa"/>
          </w:tcPr>
          <w:p w14:paraId="63604D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года</w:t>
            </w:r>
          </w:p>
        </w:tc>
        <w:tc>
          <w:tcPr>
            <w:tcW w:w="8647" w:type="dxa"/>
          </w:tcPr>
          <w:p w14:paraId="007717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отстрел пулеметов Шкас на автоматику Н=6000 м.</w:t>
            </w:r>
          </w:p>
        </w:tc>
      </w:tr>
      <w:tr w:rsidR="00983732" w:rsidRPr="00A3026E" w14:paraId="7E6912C0" w14:textId="77777777" w:rsidTr="00EA0DA7">
        <w:tc>
          <w:tcPr>
            <w:tcW w:w="1951" w:type="dxa"/>
          </w:tcPr>
          <w:p w14:paraId="706B20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года</w:t>
            </w:r>
          </w:p>
        </w:tc>
        <w:tc>
          <w:tcPr>
            <w:tcW w:w="8647" w:type="dxa"/>
          </w:tcPr>
          <w:p w14:paraId="58C7A7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сопровождение самолета И-200 выполнявшего задание по штопору.</w:t>
            </w:r>
          </w:p>
        </w:tc>
      </w:tr>
      <w:tr w:rsidR="00983732" w:rsidRPr="00A3026E" w14:paraId="4879DB4C" w14:textId="77777777" w:rsidTr="00EA0DA7">
        <w:tc>
          <w:tcPr>
            <w:tcW w:w="1951" w:type="dxa"/>
          </w:tcPr>
          <w:p w14:paraId="200146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года</w:t>
            </w:r>
          </w:p>
        </w:tc>
        <w:tc>
          <w:tcPr>
            <w:tcW w:w="8647" w:type="dxa"/>
          </w:tcPr>
          <w:p w14:paraId="6BF246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Н=6000 м на отстрел пулеметов Шкас на автоматику.</w:t>
            </w:r>
          </w:p>
        </w:tc>
      </w:tr>
      <w:tr w:rsidR="00983732" w:rsidRPr="00A3026E" w14:paraId="2F68F57C" w14:textId="77777777" w:rsidTr="00EA0DA7">
        <w:tc>
          <w:tcPr>
            <w:tcW w:w="1951" w:type="dxa"/>
          </w:tcPr>
          <w:p w14:paraId="05DED5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года</w:t>
            </w:r>
          </w:p>
        </w:tc>
        <w:tc>
          <w:tcPr>
            <w:tcW w:w="8647" w:type="dxa"/>
          </w:tcPr>
          <w:p w14:paraId="50A39A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дальности радиостанции.</w:t>
            </w:r>
          </w:p>
        </w:tc>
      </w:tr>
      <w:tr w:rsidR="00983732" w:rsidRPr="00A3026E" w14:paraId="6244009D" w14:textId="77777777" w:rsidTr="00EA0DA7">
        <w:tc>
          <w:tcPr>
            <w:tcW w:w="1951" w:type="dxa"/>
          </w:tcPr>
          <w:p w14:paraId="689E69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года</w:t>
            </w:r>
          </w:p>
        </w:tc>
        <w:tc>
          <w:tcPr>
            <w:tcW w:w="8647" w:type="dxa"/>
          </w:tcPr>
          <w:p w14:paraId="203D14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отстрел пулемета БС.</w:t>
            </w:r>
          </w:p>
        </w:tc>
      </w:tr>
      <w:tr w:rsidR="00983732" w:rsidRPr="00A3026E" w14:paraId="26BD814C" w14:textId="77777777" w:rsidTr="00EA0DA7">
        <w:tc>
          <w:tcPr>
            <w:tcW w:w="1951" w:type="dxa"/>
          </w:tcPr>
          <w:p w14:paraId="65D881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 года</w:t>
            </w:r>
          </w:p>
        </w:tc>
        <w:tc>
          <w:tcPr>
            <w:tcW w:w="8647" w:type="dxa"/>
          </w:tcPr>
          <w:p w14:paraId="3DE8CA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скороподъемности до Н=8000 м и скоростей по площадкам и отстрел Шкас на Н=8000 м.</w:t>
            </w:r>
          </w:p>
        </w:tc>
      </w:tr>
      <w:tr w:rsidR="00983732" w:rsidRPr="00A3026E" w14:paraId="036F91C7" w14:textId="77777777" w:rsidTr="00EA0DA7">
        <w:tc>
          <w:tcPr>
            <w:tcW w:w="1951" w:type="dxa"/>
          </w:tcPr>
          <w:p w14:paraId="4F1617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года</w:t>
            </w:r>
          </w:p>
        </w:tc>
        <w:tc>
          <w:tcPr>
            <w:tcW w:w="8647" w:type="dxa"/>
          </w:tcPr>
          <w:p w14:paraId="1DA2A3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вертикальную маневренность Н=3000 м.</w:t>
            </w:r>
          </w:p>
        </w:tc>
      </w:tr>
      <w:tr w:rsidR="00983732" w:rsidRPr="00A3026E" w14:paraId="283A458F" w14:textId="77777777" w:rsidTr="00EA0DA7">
        <w:tc>
          <w:tcPr>
            <w:tcW w:w="1951" w:type="dxa"/>
          </w:tcPr>
          <w:p w14:paraId="6A3841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года</w:t>
            </w:r>
          </w:p>
        </w:tc>
        <w:tc>
          <w:tcPr>
            <w:tcW w:w="8647" w:type="dxa"/>
          </w:tcPr>
          <w:p w14:paraId="0B2868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скороподъемность и скорость по высотам до Н=5000 м без РО.</w:t>
            </w:r>
          </w:p>
        </w:tc>
      </w:tr>
      <w:tr w:rsidR="00983732" w:rsidRPr="00A3026E" w14:paraId="4C43CF6B" w14:textId="77777777" w:rsidTr="00EA0DA7">
        <w:tc>
          <w:tcPr>
            <w:tcW w:w="1951" w:type="dxa"/>
          </w:tcPr>
          <w:p w14:paraId="5E8B48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года</w:t>
            </w:r>
          </w:p>
        </w:tc>
        <w:tc>
          <w:tcPr>
            <w:tcW w:w="8647" w:type="dxa"/>
          </w:tcPr>
          <w:p w14:paraId="20648B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Тренировочный полет Прошакова – 2 посадки.</w:t>
            </w:r>
          </w:p>
        </w:tc>
      </w:tr>
      <w:tr w:rsidR="00983732" w:rsidRPr="00A3026E" w14:paraId="6D624380" w14:textId="77777777" w:rsidTr="00EA0DA7">
        <w:tc>
          <w:tcPr>
            <w:tcW w:w="1951" w:type="dxa"/>
          </w:tcPr>
          <w:p w14:paraId="60792B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года</w:t>
            </w:r>
          </w:p>
        </w:tc>
        <w:tc>
          <w:tcPr>
            <w:tcW w:w="8647" w:type="dxa"/>
          </w:tcPr>
          <w:p w14:paraId="2378D3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километраж без РО.</w:t>
            </w:r>
          </w:p>
        </w:tc>
      </w:tr>
      <w:tr w:rsidR="00983732" w:rsidRPr="00A3026E" w14:paraId="735F358D" w14:textId="77777777" w:rsidTr="00EA0DA7">
        <w:tc>
          <w:tcPr>
            <w:tcW w:w="1951" w:type="dxa"/>
          </w:tcPr>
          <w:p w14:paraId="6DC472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года</w:t>
            </w:r>
          </w:p>
        </w:tc>
        <w:tc>
          <w:tcPr>
            <w:tcW w:w="8647" w:type="dxa"/>
          </w:tcPr>
          <w:p w14:paraId="245BDD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скороподъемность и скорость по площадкам до Н=5000 м с подвесными бензобаками.</w:t>
            </w:r>
          </w:p>
        </w:tc>
      </w:tr>
      <w:tr w:rsidR="00983732" w:rsidRPr="00A3026E" w14:paraId="232574C0" w14:textId="77777777" w:rsidTr="00EA0DA7">
        <w:tc>
          <w:tcPr>
            <w:tcW w:w="1951" w:type="dxa"/>
          </w:tcPr>
          <w:p w14:paraId="269666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сентября 1940 года</w:t>
            </w:r>
          </w:p>
        </w:tc>
        <w:tc>
          <w:tcPr>
            <w:tcW w:w="8647" w:type="dxa"/>
          </w:tcPr>
          <w:p w14:paraId="72F459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скороподъемности с подвесными бензобаками до Н=5000 м.</w:t>
            </w:r>
          </w:p>
        </w:tc>
      </w:tr>
      <w:tr w:rsidR="00983732" w:rsidRPr="00A3026E" w14:paraId="33530E11" w14:textId="77777777" w:rsidTr="00EA0DA7">
        <w:tc>
          <w:tcPr>
            <w:tcW w:w="1951" w:type="dxa"/>
          </w:tcPr>
          <w:p w14:paraId="6EFC9F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сентября 1940 года</w:t>
            </w:r>
          </w:p>
        </w:tc>
        <w:tc>
          <w:tcPr>
            <w:tcW w:w="8647" w:type="dxa"/>
          </w:tcPr>
          <w:p w14:paraId="6C8487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скороподъемности без РО и без подвесных бензобаков до Н=5000 м.</w:t>
            </w:r>
          </w:p>
        </w:tc>
      </w:tr>
      <w:tr w:rsidR="00983732" w:rsidRPr="00A3026E" w14:paraId="39C38301" w14:textId="77777777" w:rsidTr="00EA0DA7">
        <w:tc>
          <w:tcPr>
            <w:tcW w:w="1951" w:type="dxa"/>
          </w:tcPr>
          <w:p w14:paraId="144F64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сентября 1940 года</w:t>
            </w:r>
          </w:p>
        </w:tc>
        <w:tc>
          <w:tcPr>
            <w:tcW w:w="8647" w:type="dxa"/>
          </w:tcPr>
          <w:p w14:paraId="44BDA0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Километраж с подвесными бензобаками.</w:t>
            </w:r>
          </w:p>
        </w:tc>
      </w:tr>
      <w:tr w:rsidR="00983732" w:rsidRPr="00A3026E" w14:paraId="58E912A5" w14:textId="77777777" w:rsidTr="00EA0DA7">
        <w:tc>
          <w:tcPr>
            <w:tcW w:w="1951" w:type="dxa"/>
          </w:tcPr>
          <w:p w14:paraId="1C8586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года</w:t>
            </w:r>
          </w:p>
        </w:tc>
        <w:tc>
          <w:tcPr>
            <w:tcW w:w="8647" w:type="dxa"/>
          </w:tcPr>
          <w:p w14:paraId="4990F3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взлетно-посадочных свойств – 15 посадок (с доливкой горючего после первых 8 посадок).</w:t>
            </w:r>
          </w:p>
        </w:tc>
      </w:tr>
      <w:tr w:rsidR="00983732" w:rsidRPr="00A3026E" w14:paraId="69EFE3A2" w14:textId="77777777" w:rsidTr="00EA0DA7">
        <w:tc>
          <w:tcPr>
            <w:tcW w:w="1951" w:type="dxa"/>
          </w:tcPr>
          <w:p w14:paraId="007D33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года</w:t>
            </w:r>
          </w:p>
        </w:tc>
        <w:tc>
          <w:tcPr>
            <w:tcW w:w="8647" w:type="dxa"/>
          </w:tcPr>
          <w:p w14:paraId="5E226E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отстрел БС.</w:t>
            </w:r>
          </w:p>
        </w:tc>
      </w:tr>
      <w:tr w:rsidR="00983732" w:rsidRPr="00A3026E" w14:paraId="03536FAE" w14:textId="77777777" w:rsidTr="00EA0DA7">
        <w:tc>
          <w:tcPr>
            <w:tcW w:w="1951" w:type="dxa"/>
          </w:tcPr>
          <w:p w14:paraId="32FCB5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года</w:t>
            </w:r>
          </w:p>
        </w:tc>
        <w:tc>
          <w:tcPr>
            <w:tcW w:w="8647" w:type="dxa"/>
          </w:tcPr>
          <w:p w14:paraId="23DD7E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теплового режима на высотном номинале. Полет без РО.</w:t>
            </w:r>
          </w:p>
        </w:tc>
      </w:tr>
      <w:tr w:rsidR="00983732" w:rsidRPr="00A3026E" w14:paraId="5D4A0D12" w14:textId="77777777" w:rsidTr="00EA0DA7">
        <w:tc>
          <w:tcPr>
            <w:tcW w:w="1951" w:type="dxa"/>
          </w:tcPr>
          <w:p w14:paraId="32F00B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года</w:t>
            </w:r>
          </w:p>
        </w:tc>
        <w:tc>
          <w:tcPr>
            <w:tcW w:w="8647" w:type="dxa"/>
          </w:tcPr>
          <w:p w14:paraId="3E083E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километраж и отстрел пулемета БС.</w:t>
            </w:r>
          </w:p>
        </w:tc>
      </w:tr>
      <w:tr w:rsidR="00983732" w:rsidRPr="00A3026E" w14:paraId="318B5764" w14:textId="77777777" w:rsidTr="00EA0DA7">
        <w:tc>
          <w:tcPr>
            <w:tcW w:w="1951" w:type="dxa"/>
          </w:tcPr>
          <w:p w14:paraId="7CE45F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w:t>
            </w:r>
          </w:p>
        </w:tc>
        <w:tc>
          <w:tcPr>
            <w:tcW w:w="8647" w:type="dxa"/>
          </w:tcPr>
          <w:p w14:paraId="60261F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пикирование с высоты 5500 м до скорости Vпик=550 км/час.</w:t>
            </w:r>
          </w:p>
        </w:tc>
      </w:tr>
      <w:tr w:rsidR="00983732" w:rsidRPr="00A3026E" w14:paraId="7DADE6BA" w14:textId="77777777" w:rsidTr="00EA0DA7">
        <w:tc>
          <w:tcPr>
            <w:tcW w:w="1951" w:type="dxa"/>
          </w:tcPr>
          <w:p w14:paraId="49A454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w:t>
            </w:r>
          </w:p>
        </w:tc>
        <w:tc>
          <w:tcPr>
            <w:tcW w:w="8647" w:type="dxa"/>
          </w:tcPr>
          <w:p w14:paraId="4043A2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стрельбу на цель по щитам.</w:t>
            </w:r>
          </w:p>
        </w:tc>
      </w:tr>
      <w:tr w:rsidR="00983732" w:rsidRPr="00A3026E" w14:paraId="42268EB4" w14:textId="77777777" w:rsidTr="00EA0DA7">
        <w:tc>
          <w:tcPr>
            <w:tcW w:w="1951" w:type="dxa"/>
          </w:tcPr>
          <w:p w14:paraId="13796B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года</w:t>
            </w:r>
          </w:p>
        </w:tc>
        <w:tc>
          <w:tcPr>
            <w:tcW w:w="8647" w:type="dxa"/>
          </w:tcPr>
          <w:p w14:paraId="34191A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дальности радиостанции.</w:t>
            </w:r>
          </w:p>
        </w:tc>
      </w:tr>
      <w:tr w:rsidR="00983732" w:rsidRPr="00A3026E" w14:paraId="6DD077AB" w14:textId="77777777" w:rsidTr="00EA0DA7">
        <w:tc>
          <w:tcPr>
            <w:tcW w:w="1951" w:type="dxa"/>
          </w:tcPr>
          <w:p w14:paraId="5C3D73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года</w:t>
            </w:r>
          </w:p>
        </w:tc>
        <w:tc>
          <w:tcPr>
            <w:tcW w:w="8647" w:type="dxa"/>
          </w:tcPr>
          <w:p w14:paraId="3C92FB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отстрел пулемета БС на автоматику.</w:t>
            </w:r>
          </w:p>
        </w:tc>
      </w:tr>
      <w:tr w:rsidR="00983732" w:rsidRPr="00A3026E" w14:paraId="05569129" w14:textId="77777777" w:rsidTr="00EA0DA7">
        <w:tc>
          <w:tcPr>
            <w:tcW w:w="1951" w:type="dxa"/>
          </w:tcPr>
          <w:p w14:paraId="718BDE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w:t>
            </w:r>
          </w:p>
        </w:tc>
        <w:tc>
          <w:tcPr>
            <w:tcW w:w="8647" w:type="dxa"/>
          </w:tcPr>
          <w:p w14:paraId="1DE56B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пикирование с высоты 7000 м до скорости пикирования 600 км/час.</w:t>
            </w:r>
          </w:p>
        </w:tc>
      </w:tr>
      <w:tr w:rsidR="00983732" w:rsidRPr="00A3026E" w14:paraId="100C30C4" w14:textId="77777777" w:rsidTr="00EA0DA7">
        <w:tc>
          <w:tcPr>
            <w:tcW w:w="1951" w:type="dxa"/>
            <w:tcBorders>
              <w:bottom w:val="single" w:sz="12" w:space="0" w:color="auto"/>
            </w:tcBorders>
          </w:tcPr>
          <w:p w14:paraId="650B88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w:t>
            </w:r>
          </w:p>
        </w:tc>
        <w:tc>
          <w:tcPr>
            <w:tcW w:w="8647" w:type="dxa"/>
            <w:tcBorders>
              <w:bottom w:val="single" w:sz="12" w:space="0" w:color="auto"/>
            </w:tcBorders>
          </w:tcPr>
          <w:p w14:paraId="0683F9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Контрольный полет на определение границы высотности – скоростей по площадкам с загрузкой в 3-м варианте.</w:t>
            </w:r>
          </w:p>
        </w:tc>
      </w:tr>
    </w:tbl>
    <w:p w14:paraId="3EB787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(4534).</w:t>
      </w:r>
    </w:p>
    <w:p w14:paraId="21C9972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DB76E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 в Чкаловской закончились госиспытания И-16 с полностью введенными изменениями - И-16 №292116, с двигателем М-63 №631698, который поступил на испытания в НИИ ВВС 27 августа:</w:t>
      </w:r>
    </w:p>
    <w:p w14:paraId="112785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который стал именоваться И-16 тип 29, имел следующие основные отличия:</w:t>
      </w:r>
    </w:p>
    <w:p w14:paraId="342C7A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 ВС разместили в пространстве между нишами шасси, ниже пояса переднего лонжерона центроплана, и сместили на 17 мм. Для установки магазина на 230-240 патронов вторую раму фюзеляжа передвинули на 54 мм. Для размещения пулемета ВС ниши шасси раздвинули - расстояние от вертикальной оси до оси колес в убранном положении увеличилось с 380 до 421 мм. Соответственно стойки шасси укоротили на 32 мм. а диаметр воздушною винта для обеспечения необходимого зазора с землей (268 мм) уменьшился до 2,7 м. Заметного изменения в тяге не наблюдалось, так как использовались лопасти шириной 250 мм ("уширенные"). Пространство между нишами шасси закрыли съемным обтекателем. который крепился шомполами и замками "Фейри". В связи с перечисленными переделками, изменилась обшивка центроплана.</w:t>
      </w:r>
    </w:p>
    <w:p w14:paraId="297366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Маслораднатор, ранее размешенный по оси самолета, установили в пространстве между четвертым и пятым цилиндром мотора. Подводящий патрубок маслорадиатора перенесли соответственно в пространство между окнами этих цилиндров. Часть машин более поздних выпусков не имела патрубка, подвод воздуха осуществлялся через прорезные отверстия. В связи с переносом маслорадиатора снят ручной запуск мотора от инерционного стартера "РИ". </w:t>
      </w:r>
    </w:p>
    <w:p w14:paraId="4B2F34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Радиофицированные самолеты имели мачтовую антенну, установленную на правой части капота.</w:t>
      </w:r>
    </w:p>
    <w:p w14:paraId="6CFE1F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И-16 к тип 29 полностью освободили от стрелкового и артиллерийского вооружения. Однако теперь под крылом устанавливали замки для подвесных баков и шесть ракетных орудий типа "флейта" (по три с каждой стороны) для установки ракетных неуправляемых снарядов РС-82</w:t>
      </w:r>
    </w:p>
    <w:p w14:paraId="6BFA9F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День, в который машину перегнали с завода №21 в Чкаловскую, считался началом испытаний.</w:t>
      </w:r>
    </w:p>
    <w:p w14:paraId="08CE60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этот период ведущий летчик майор Груздев. летчики облета Никашин и Стсфанов- ский всего выполнили 55 полетов.</w:t>
      </w:r>
    </w:p>
    <w:p w14:paraId="704ECA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отчете по испытаниям указывались все основные отличия от предыдущих типов И-16. Кроме тех, что уже были перечислены, отмечалось, что пулемет ВС имеет запас патронов 130-230 штук. ШКАСы: левый 475 патронов, правый 500 патронов. Радиостанция РСИ-3 с жесткой антенной, приемник радиостанции размещен под приборной доской. Самолет был оборудован подвесными баками (ПБ). ракетными орудиями (РО) на шесть реактивных снарядов (PC), кинофо- топулсметом ПАУ-22. Центровка для полетного веса 1966 кг составила 29.15% САХ.</w:t>
      </w:r>
    </w:p>
    <w:p w14:paraId="19BC19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испытаний зафиксировали следующие летные данные в зависимости от установки оборудования и снаряжения (1 вариант (антенна, РО без PC). 2 вариант (антенна, ПБ, РОбсз PC), 3 вариант (без антенны, ПБ. РО)):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983732" w:rsidRPr="00A3026E" w14:paraId="1A153CD4" w14:textId="77777777" w:rsidTr="00EA0DA7">
        <w:tc>
          <w:tcPr>
            <w:tcW w:w="2802" w:type="dxa"/>
            <w:tcBorders>
              <w:top w:val="single" w:sz="12" w:space="0" w:color="auto"/>
            </w:tcBorders>
          </w:tcPr>
          <w:p w14:paraId="60234F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кг</w:t>
            </w:r>
          </w:p>
        </w:tc>
        <w:tc>
          <w:tcPr>
            <w:tcW w:w="2802" w:type="dxa"/>
            <w:tcBorders>
              <w:top w:val="single" w:sz="12" w:space="0" w:color="auto"/>
            </w:tcBorders>
          </w:tcPr>
          <w:p w14:paraId="45ABDC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1966</w:t>
            </w:r>
          </w:p>
        </w:tc>
        <w:tc>
          <w:tcPr>
            <w:tcW w:w="2802" w:type="dxa"/>
            <w:tcBorders>
              <w:top w:val="single" w:sz="12" w:space="0" w:color="auto"/>
            </w:tcBorders>
          </w:tcPr>
          <w:p w14:paraId="6D3BA4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2115</w:t>
            </w:r>
          </w:p>
        </w:tc>
        <w:tc>
          <w:tcPr>
            <w:tcW w:w="2802" w:type="dxa"/>
            <w:tcBorders>
              <w:top w:val="single" w:sz="12" w:space="0" w:color="auto"/>
            </w:tcBorders>
          </w:tcPr>
          <w:p w14:paraId="242427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r>
      <w:tr w:rsidR="00983732" w:rsidRPr="00A3026E" w14:paraId="7A2AF74F" w14:textId="77777777" w:rsidTr="00EA0DA7">
        <w:tc>
          <w:tcPr>
            <w:tcW w:w="2802" w:type="dxa"/>
          </w:tcPr>
          <w:p w14:paraId="3BCB49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на крыло. кг/м?</w:t>
            </w:r>
          </w:p>
        </w:tc>
        <w:tc>
          <w:tcPr>
            <w:tcW w:w="2802" w:type="dxa"/>
          </w:tcPr>
          <w:p w14:paraId="00C47F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135.2</w:t>
            </w:r>
          </w:p>
        </w:tc>
        <w:tc>
          <w:tcPr>
            <w:tcW w:w="2802" w:type="dxa"/>
          </w:tcPr>
          <w:p w14:paraId="0D5468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146,1</w:t>
            </w:r>
          </w:p>
        </w:tc>
        <w:tc>
          <w:tcPr>
            <w:tcW w:w="2802" w:type="dxa"/>
          </w:tcPr>
          <w:p w14:paraId="7A49BE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133,5</w:t>
            </w:r>
          </w:p>
        </w:tc>
      </w:tr>
      <w:tr w:rsidR="00983732" w:rsidRPr="00A3026E" w14:paraId="31F8C22D" w14:textId="77777777" w:rsidTr="00EA0DA7">
        <w:tc>
          <w:tcPr>
            <w:tcW w:w="2802" w:type="dxa"/>
          </w:tcPr>
          <w:p w14:paraId="5D5E98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макс., Н=0, км/ч</w:t>
            </w:r>
          </w:p>
        </w:tc>
        <w:tc>
          <w:tcPr>
            <w:tcW w:w="2802" w:type="dxa"/>
          </w:tcPr>
          <w:p w14:paraId="111E50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408</w:t>
            </w:r>
          </w:p>
        </w:tc>
        <w:tc>
          <w:tcPr>
            <w:tcW w:w="2802" w:type="dxa"/>
          </w:tcPr>
          <w:p w14:paraId="530367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382</w:t>
            </w:r>
          </w:p>
        </w:tc>
        <w:tc>
          <w:tcPr>
            <w:tcW w:w="2802" w:type="dxa"/>
          </w:tcPr>
          <w:p w14:paraId="44B36A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419</w:t>
            </w:r>
          </w:p>
        </w:tc>
      </w:tr>
      <w:tr w:rsidR="00983732" w:rsidRPr="00A3026E" w14:paraId="502E94D3" w14:textId="77777777" w:rsidTr="00EA0DA7">
        <w:tc>
          <w:tcPr>
            <w:tcW w:w="2802" w:type="dxa"/>
          </w:tcPr>
          <w:p w14:paraId="2F3E14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макс.*, км/ч</w:t>
            </w:r>
          </w:p>
        </w:tc>
        <w:tc>
          <w:tcPr>
            <w:tcW w:w="2802" w:type="dxa"/>
          </w:tcPr>
          <w:p w14:paraId="7BA2C9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461</w:t>
            </w:r>
          </w:p>
        </w:tc>
        <w:tc>
          <w:tcPr>
            <w:tcW w:w="2802" w:type="dxa"/>
          </w:tcPr>
          <w:p w14:paraId="2F0EAD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429</w:t>
            </w:r>
          </w:p>
        </w:tc>
        <w:tc>
          <w:tcPr>
            <w:tcW w:w="2802" w:type="dxa"/>
          </w:tcPr>
          <w:p w14:paraId="611A7C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470</w:t>
            </w:r>
          </w:p>
        </w:tc>
      </w:tr>
      <w:tr w:rsidR="00983732" w:rsidRPr="00A3026E" w14:paraId="65206CAE" w14:textId="77777777" w:rsidTr="00EA0DA7">
        <w:tc>
          <w:tcPr>
            <w:tcW w:w="2802" w:type="dxa"/>
          </w:tcPr>
          <w:p w14:paraId="26104C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Время набора высоты 5000 м. мин</w:t>
            </w:r>
          </w:p>
        </w:tc>
        <w:tc>
          <w:tcPr>
            <w:tcW w:w="2802" w:type="dxa"/>
          </w:tcPr>
          <w:p w14:paraId="5A54A3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w:t>
            </w:r>
          </w:p>
        </w:tc>
        <w:tc>
          <w:tcPr>
            <w:tcW w:w="2802" w:type="dxa"/>
          </w:tcPr>
          <w:p w14:paraId="7C1B96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7,25</w:t>
            </w:r>
          </w:p>
        </w:tc>
        <w:tc>
          <w:tcPr>
            <w:tcW w:w="2802" w:type="dxa"/>
          </w:tcPr>
          <w:p w14:paraId="4965E5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r>
      <w:tr w:rsidR="00983732" w:rsidRPr="00A3026E" w14:paraId="786A21BF" w14:textId="77777777" w:rsidTr="00EA0DA7">
        <w:tc>
          <w:tcPr>
            <w:tcW w:w="2802" w:type="dxa"/>
          </w:tcPr>
          <w:p w14:paraId="27F62B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м</w:t>
            </w:r>
          </w:p>
        </w:tc>
        <w:tc>
          <w:tcPr>
            <w:tcW w:w="2802" w:type="dxa"/>
          </w:tcPr>
          <w:p w14:paraId="29EAC5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802" w:type="dxa"/>
          </w:tcPr>
          <w:p w14:paraId="2EA333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9800</w:t>
            </w:r>
          </w:p>
        </w:tc>
        <w:tc>
          <w:tcPr>
            <w:tcW w:w="2802" w:type="dxa"/>
          </w:tcPr>
          <w:p w14:paraId="4602E7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6E92AF7" w14:textId="77777777" w:rsidTr="00EA0DA7">
        <w:tc>
          <w:tcPr>
            <w:tcW w:w="2802" w:type="dxa"/>
          </w:tcPr>
          <w:p w14:paraId="1A9D9C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 скорость со щитками, км/ч</w:t>
            </w:r>
          </w:p>
        </w:tc>
        <w:tc>
          <w:tcPr>
            <w:tcW w:w="2802" w:type="dxa"/>
          </w:tcPr>
          <w:p w14:paraId="2B7BDF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802" w:type="dxa"/>
          </w:tcPr>
          <w:p w14:paraId="4A355E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2802" w:type="dxa"/>
          </w:tcPr>
          <w:p w14:paraId="7C88CB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B423C17" w14:textId="77777777" w:rsidTr="00EA0DA7">
        <w:tc>
          <w:tcPr>
            <w:tcW w:w="2802" w:type="dxa"/>
          </w:tcPr>
          <w:p w14:paraId="5A2216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 скорость без щитков, км/ч</w:t>
            </w:r>
          </w:p>
        </w:tc>
        <w:tc>
          <w:tcPr>
            <w:tcW w:w="2802" w:type="dxa"/>
          </w:tcPr>
          <w:p w14:paraId="68D484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802" w:type="dxa"/>
          </w:tcPr>
          <w:p w14:paraId="3BF425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135,5</w:t>
            </w:r>
          </w:p>
        </w:tc>
        <w:tc>
          <w:tcPr>
            <w:tcW w:w="2802" w:type="dxa"/>
          </w:tcPr>
          <w:p w14:paraId="204391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EB3C7E5" w14:textId="77777777" w:rsidTr="00EA0DA7">
        <w:tc>
          <w:tcPr>
            <w:tcW w:w="2802" w:type="dxa"/>
          </w:tcPr>
          <w:p w14:paraId="170816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 на 1000 м. сек</w:t>
            </w:r>
          </w:p>
        </w:tc>
        <w:tc>
          <w:tcPr>
            <w:tcW w:w="2802" w:type="dxa"/>
          </w:tcPr>
          <w:p w14:paraId="2C41AB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802" w:type="dxa"/>
          </w:tcPr>
          <w:p w14:paraId="6E6077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2802" w:type="dxa"/>
          </w:tcPr>
          <w:p w14:paraId="05CDAE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595EE36" w14:textId="77777777" w:rsidTr="00EA0DA7">
        <w:tc>
          <w:tcPr>
            <w:tcW w:w="2802" w:type="dxa"/>
          </w:tcPr>
          <w:p w14:paraId="12085E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 с убранными щитками, м</w:t>
            </w:r>
          </w:p>
        </w:tc>
        <w:tc>
          <w:tcPr>
            <w:tcW w:w="2802" w:type="dxa"/>
          </w:tcPr>
          <w:p w14:paraId="662CAA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802" w:type="dxa"/>
          </w:tcPr>
          <w:p w14:paraId="5A9750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243</w:t>
            </w:r>
          </w:p>
        </w:tc>
        <w:tc>
          <w:tcPr>
            <w:tcW w:w="2802" w:type="dxa"/>
          </w:tcPr>
          <w:p w14:paraId="7A08FB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7A3765E" w14:textId="77777777" w:rsidTr="00EA0DA7">
        <w:tc>
          <w:tcPr>
            <w:tcW w:w="2802" w:type="dxa"/>
          </w:tcPr>
          <w:p w14:paraId="23E058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 со щитками на 10°. м</w:t>
            </w:r>
          </w:p>
        </w:tc>
        <w:tc>
          <w:tcPr>
            <w:tcW w:w="2802" w:type="dxa"/>
          </w:tcPr>
          <w:p w14:paraId="70AEDF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802" w:type="dxa"/>
          </w:tcPr>
          <w:p w14:paraId="7FAF6E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201</w:t>
            </w:r>
          </w:p>
        </w:tc>
        <w:tc>
          <w:tcPr>
            <w:tcW w:w="2802" w:type="dxa"/>
          </w:tcPr>
          <w:p w14:paraId="083300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6A894C9" w14:textId="77777777" w:rsidTr="00EA0DA7">
        <w:tc>
          <w:tcPr>
            <w:tcW w:w="2802" w:type="dxa"/>
          </w:tcPr>
          <w:p w14:paraId="4500AC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 со щитками и томозами, м</w:t>
            </w:r>
          </w:p>
        </w:tc>
        <w:tc>
          <w:tcPr>
            <w:tcW w:w="2802" w:type="dxa"/>
          </w:tcPr>
          <w:p w14:paraId="45F1CD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802" w:type="dxa"/>
          </w:tcPr>
          <w:p w14:paraId="6873D3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2802" w:type="dxa"/>
          </w:tcPr>
          <w:p w14:paraId="3E971F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9154A9A" w14:textId="77777777" w:rsidTr="00EA0DA7">
        <w:tc>
          <w:tcPr>
            <w:tcW w:w="2802" w:type="dxa"/>
          </w:tcPr>
          <w:p w14:paraId="4C60AC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Достигнутая скорость пикирования, км/ч</w:t>
            </w:r>
          </w:p>
        </w:tc>
        <w:tc>
          <w:tcPr>
            <w:tcW w:w="2802" w:type="dxa"/>
          </w:tcPr>
          <w:p w14:paraId="33CD31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802" w:type="dxa"/>
          </w:tcPr>
          <w:p w14:paraId="61F1E9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c>
          <w:tcPr>
            <w:tcW w:w="2802" w:type="dxa"/>
          </w:tcPr>
          <w:p w14:paraId="188D20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D1545D0" w14:textId="77777777" w:rsidTr="00EA0DA7">
        <w:tc>
          <w:tcPr>
            <w:tcW w:w="2802" w:type="dxa"/>
            <w:tcBorders>
              <w:bottom w:val="single" w:sz="12" w:space="0" w:color="auto"/>
            </w:tcBorders>
          </w:tcPr>
          <w:p w14:paraId="40DBE8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без ПБ на высоте 4700 м при 0.9 макс, скорости</w:t>
            </w:r>
          </w:p>
        </w:tc>
        <w:tc>
          <w:tcPr>
            <w:tcW w:w="2802" w:type="dxa"/>
            <w:tcBorders>
              <w:bottom w:val="single" w:sz="12" w:space="0" w:color="auto"/>
            </w:tcBorders>
          </w:tcPr>
          <w:p w14:paraId="4F8218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802" w:type="dxa"/>
            <w:tcBorders>
              <w:bottom w:val="single" w:sz="12" w:space="0" w:color="auto"/>
            </w:tcBorders>
          </w:tcPr>
          <w:p w14:paraId="4CF367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 км"*</w:t>
            </w:r>
          </w:p>
        </w:tc>
        <w:tc>
          <w:tcPr>
            <w:tcW w:w="2802" w:type="dxa"/>
            <w:tcBorders>
              <w:bottom w:val="single" w:sz="12" w:space="0" w:color="auto"/>
            </w:tcBorders>
          </w:tcPr>
          <w:p w14:paraId="30E21A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64242A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границе высотности двигателя (в первом случае 4350 м. затем 4150 м. И затем 4480 м)</w:t>
      </w:r>
    </w:p>
    <w:p w14:paraId="5A7E9C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отчете указана дальность для тип 24 М-63 </w:t>
      </w:r>
    </w:p>
    <w:p w14:paraId="4646E9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процессе испытаний не обошлось без происшествий. 11 сентября I940 г. в полете на максимальной скорости оторвалась часть капота, которая разбила козырек кабины пилота.</w:t>
      </w:r>
    </w:p>
    <w:p w14:paraId="297183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выводах по результатам испытаний указывалось, чю максимальная скорость с радиоантенной снизилась с 48I км/ч (И-16 тип 24) до 470 км/ч. Уменьшение скорости объяснялось ухудшением аэродинамики крыла, на котором появились дополнительные вырезы и люки. На пикировании скорость предлагалось ограничить до 550км/ч в связи с опасностью затягивания в пикирование.</w:t>
      </w:r>
    </w:p>
    <w:p w14:paraId="02DBD0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целом считалось, что И-16 тип 29 государственные испытания выдержал и может внедряться в войска. Практически все построенные машины поступили на снабжение ВВС в зиму 1940-41 гг. Учит ывая, что эта зима оказалась на редкость снежная и слякотная. И-16 тип 29 в основной массе осваивались в войсках весной I94I г. Данное обстоятельство позволяет расценивать его в начальный период войны как один из новых истребителей воздушных сил Красной Армии (12015).</w:t>
      </w:r>
    </w:p>
    <w:p w14:paraId="45E938A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F2F54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 самолет И-26 М-105П – гл. конструктор Яковлев, Завод № 115 был перегнан в НИИ ВВС для заводского отстрела в тире.</w:t>
      </w:r>
    </w:p>
    <w:p w14:paraId="75CDAB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отстреле в тире выяснилось, что стрелковое вооружение работает очень плохо и требуются большие переделки в монтаже вооружения (3377, 26).</w:t>
      </w:r>
    </w:p>
    <w:p w14:paraId="6E357A3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9F5E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 И-26-3 перегнали в НИИ ВВС для заводского отстрела вооружения в тире НИИ. 26 мая 1940 г. в соответствии с журналом заказов, были открыты заводские испытания И-26-3. Третий прототип И-26 был построен на заводе № 115 для удовлетворения требований военных, потому что резервы улучшения конструкции И-26-11 были исчерпаны. Пока доподлинно неизвестно когда И-26-III выполнил свой первый полет. Третий прототип также не избежал доводки винтомоторной группы и замены моторов. Во время заводских испытаний И-26-3 выполнил 24 полета (в том числе на пикирование до скорости 628 км/ч) (12048).</w:t>
      </w:r>
    </w:p>
    <w:p w14:paraId="4100486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2E64F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Приказом НКАП от испол</w:t>
      </w:r>
      <w:r w:rsidRPr="00A3026E">
        <w:rPr>
          <w:rFonts w:ascii="Times New Roman" w:hAnsi="Times New Roman"/>
          <w:color w:val="000000" w:themeColor="text1"/>
          <w:sz w:val="16"/>
          <w:szCs w:val="16"/>
        </w:rPr>
        <w:softHyphen/>
        <w:t>няющий обязанности начальника 8-го отдела ЦАГИ Н.С. Строев и главный конструктор самолета В.К. Таиров обя</w:t>
      </w:r>
      <w:r w:rsidRPr="00A3026E">
        <w:rPr>
          <w:rFonts w:ascii="Times New Roman" w:hAnsi="Times New Roman"/>
          <w:color w:val="000000" w:themeColor="text1"/>
          <w:sz w:val="16"/>
          <w:szCs w:val="16"/>
        </w:rPr>
        <w:softHyphen/>
        <w:t>зывались провести заводские испытания модифицированного самолета ОКО-ббис с М-88р в течение двух месяцев со дня первого полета. Ведущим инженером по самолету назначался В.М. Елагин (завод №43), ведущим летчиком-испытателем - А.И. Емельянов. Ответственным исполните</w:t>
      </w:r>
      <w:r w:rsidRPr="00A3026E">
        <w:rPr>
          <w:rFonts w:ascii="Times New Roman" w:hAnsi="Times New Roman"/>
          <w:color w:val="000000" w:themeColor="text1"/>
          <w:sz w:val="16"/>
          <w:szCs w:val="16"/>
        </w:rPr>
        <w:softHyphen/>
        <w:t>лем от 8-го отдела ЦАГИ был З.М. Гвоздев.</w:t>
      </w:r>
    </w:p>
    <w:p w14:paraId="187D9D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собрали, провели наземные испытания и 28 октября Емельянов выпол</w:t>
      </w:r>
      <w:r w:rsidRPr="00A3026E">
        <w:rPr>
          <w:rFonts w:ascii="Times New Roman" w:hAnsi="Times New Roman"/>
          <w:color w:val="000000" w:themeColor="text1"/>
          <w:sz w:val="16"/>
          <w:szCs w:val="16"/>
        </w:rPr>
        <w:softHyphen/>
        <w:t>нил на нем рулежки и подлеты. Поведение самолета на разбеге и пробеге оказалось вполне нормальным, никаких тенденций к разворотам не наблюдалось. Безопасный противокапотажный угол был достаточным, что позволяло летчику резко тормозить. Проворачивание покрышек, которое имело место на первом экземпляре самолета, не отмечалось. Полетный вес самолета ограничивался 5000 кг по условиям проч</w:t>
      </w:r>
      <w:r w:rsidRPr="00A3026E">
        <w:rPr>
          <w:rFonts w:ascii="Times New Roman" w:hAnsi="Times New Roman"/>
          <w:color w:val="000000" w:themeColor="text1"/>
          <w:sz w:val="16"/>
          <w:szCs w:val="16"/>
        </w:rPr>
        <w:softHyphen/>
        <w:t>ности шасси.</w:t>
      </w:r>
    </w:p>
    <w:p w14:paraId="2605D3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Утром 31 октября на моторах заменили нагнетатели. В этот же день после гонки моторов Емельянов поднял ОКО-ббис в воздух. Первый полет продолжительностью 27 мин прошел нормально. Скорость полета доводилась до 340-350 км/ч на высоте 2000-2500 м. По заявлению летчика самолет устойчив относительно всех трех осей, на виражах (неглубоких) самолет вел себя устойчиво, посадка проста - «сам садится».</w:t>
      </w:r>
    </w:p>
    <w:p w14:paraId="488516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этому времени на первом экземпляре ОКО-6 с безредукторными моторами М-88б/р после его переделки и доводки было выполнено четыре полета по про</w:t>
      </w:r>
      <w:r w:rsidRPr="00A3026E">
        <w:rPr>
          <w:rFonts w:ascii="Times New Roman" w:hAnsi="Times New Roman"/>
          <w:color w:val="000000" w:themeColor="text1"/>
          <w:sz w:val="16"/>
          <w:szCs w:val="16"/>
        </w:rPr>
        <w:softHyphen/>
        <w:t>грамме второго этапа заводских испы</w:t>
      </w:r>
      <w:r w:rsidRPr="00A3026E">
        <w:rPr>
          <w:rFonts w:ascii="Times New Roman" w:hAnsi="Times New Roman"/>
          <w:color w:val="000000" w:themeColor="text1"/>
          <w:sz w:val="16"/>
          <w:szCs w:val="16"/>
        </w:rPr>
        <w:softHyphen/>
        <w:t>таний. Предполагалось более детально исследовать устойчивость самолета, подобрать реактивные патрубки наилучшей формы, снять поляру крыла.</w:t>
      </w:r>
    </w:p>
    <w:p w14:paraId="34AB39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то, что погода была вполне благоприятной, к 14 ноября на ОКО-ббис удалось выполнить всего пять испытатель</w:t>
      </w:r>
      <w:r w:rsidRPr="00A3026E">
        <w:rPr>
          <w:rFonts w:ascii="Times New Roman" w:hAnsi="Times New Roman"/>
          <w:color w:val="000000" w:themeColor="text1"/>
          <w:sz w:val="16"/>
          <w:szCs w:val="16"/>
        </w:rPr>
        <w:softHyphen/>
        <w:t>ных полетов с суммарным налетом 3 ч.</w:t>
      </w:r>
    </w:p>
    <w:p w14:paraId="27C6E2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Дело в том, что летчик-испытатель Емельянов одновременно был задейство</w:t>
      </w:r>
      <w:r w:rsidRPr="00A3026E">
        <w:rPr>
          <w:rFonts w:ascii="Times New Roman" w:hAnsi="Times New Roman"/>
          <w:color w:val="000000" w:themeColor="text1"/>
          <w:sz w:val="16"/>
          <w:szCs w:val="16"/>
        </w:rPr>
        <w:softHyphen/>
        <w:t>ван еще на двух опытных самолетах. В частности, в ноябре он летал на само</w:t>
      </w:r>
      <w:r w:rsidRPr="00A3026E">
        <w:rPr>
          <w:rFonts w:ascii="Times New Roman" w:hAnsi="Times New Roman"/>
          <w:color w:val="000000" w:themeColor="text1"/>
          <w:sz w:val="16"/>
          <w:szCs w:val="16"/>
        </w:rPr>
        <w:softHyphen/>
        <w:t>лете ББ-1 Сухого вместо выполнения программы заводских испытаний ОКО- ббис.</w:t>
      </w:r>
    </w:p>
    <w:p w14:paraId="13EBB1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Ведущий инженер по самолету от НИИ ВВС военинженер 1-го ранга И.Г. Лазарев был вынужден обратиться непосред</w:t>
      </w:r>
      <w:r w:rsidRPr="00A3026E">
        <w:rPr>
          <w:rFonts w:ascii="Times New Roman" w:hAnsi="Times New Roman"/>
          <w:color w:val="000000" w:themeColor="text1"/>
          <w:sz w:val="16"/>
          <w:szCs w:val="16"/>
        </w:rPr>
        <w:softHyphen/>
        <w:t>ственно к начальнику 8-й лаборатории ЦАГИ А.В. Че салову с требованием возвратить Емелья</w:t>
      </w:r>
      <w:r w:rsidRPr="00A3026E">
        <w:rPr>
          <w:rFonts w:ascii="Times New Roman" w:hAnsi="Times New Roman"/>
          <w:color w:val="000000" w:themeColor="text1"/>
          <w:sz w:val="16"/>
          <w:szCs w:val="16"/>
        </w:rPr>
        <w:softHyphen/>
        <w:t>нова и сделать все возможное, чтобы не допустить срыва летных испытаний боевого самолета, в котором очень заинтересованы ВВС. После весьма «напряженной» беседы с Лазаревым, Чесалов обещал «переключить летчика Емельянова целиком на самолет ОКО-ббис». Как показали дальнейшие события, своего обещания Чесалов не выполнил. Емельянов продолжал при</w:t>
      </w:r>
      <w:r w:rsidRPr="00A3026E">
        <w:rPr>
          <w:rFonts w:ascii="Times New Roman" w:hAnsi="Times New Roman"/>
          <w:color w:val="000000" w:themeColor="text1"/>
          <w:sz w:val="16"/>
          <w:szCs w:val="16"/>
        </w:rPr>
        <w:softHyphen/>
        <w:t>влекаться к полетам на других самолетах в ущерб программе ОКО-ббис.</w:t>
      </w:r>
    </w:p>
    <w:p w14:paraId="540DD7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первых полетов ОКО-ббис исследовался на бафтинг и флаттер. Ни того, ни другого не обнаружили. При полете на флаттер скорость самолета при пикировании с высоты 5000 м до 4000 м доводилась до 575 км/ч по прибору. Опре</w:t>
      </w:r>
      <w:r w:rsidRPr="00A3026E">
        <w:rPr>
          <w:rFonts w:ascii="Times New Roman" w:hAnsi="Times New Roman"/>
          <w:color w:val="000000" w:themeColor="text1"/>
          <w:sz w:val="16"/>
          <w:szCs w:val="16"/>
        </w:rPr>
        <w:softHyphen/>
        <w:t>делили 1-ю границу высотности и сняли балансировочные кривые. На приборной скорости менее 300 км/ч продольная устойчивость оказалась недостаточной. Отмечались большие нагрузки на органы управления. Обнаружилась значительная разница в величине нагрузки на ручку управления (8-10 кг) между моторным и безмоторным полетом. При одном работающем моторе самолет допускал полет без снижения.</w:t>
      </w:r>
    </w:p>
    <w:p w14:paraId="32170C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25 ноября было выполнено еще два полета. Определялась максимальная скорость по высотам полета. Скорость у земли с учетом всех поправок получилась равной 470 км/ч.</w:t>
      </w:r>
    </w:p>
    <w:p w14:paraId="3947FE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Произвели отстрел стрелково- пушечного вооружения в тире. Из каждой пушки и пулемета выпустили по одному боекомплекту. Обнаружились незначи</w:t>
      </w:r>
      <w:r w:rsidRPr="00A3026E">
        <w:rPr>
          <w:rFonts w:ascii="Times New Roman" w:hAnsi="Times New Roman"/>
          <w:color w:val="000000" w:themeColor="text1"/>
          <w:sz w:val="16"/>
          <w:szCs w:val="16"/>
        </w:rPr>
        <w:softHyphen/>
        <w:t>тельные огрехи монтажа оружия и системы управления огнем, но в целом вооружение работало нормально.</w:t>
      </w:r>
    </w:p>
    <w:p w14:paraId="19FCE5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самолет облетал летчик- испытатель Ю.К. Станкевич, который летал и на ОКО-6. По его мнению, «бис» был значительно более устойчив, чем его предшественник. Нагрузки на руль высоты выше, особенно при изменении режима полета. При перекладывании из одного виража в другой самолет на действие рулей реагировал медленно:</w:t>
      </w:r>
      <w:r w:rsidRPr="00A3026E">
        <w:rPr>
          <w:rStyle w:val="aff6"/>
          <w:rFonts w:ascii="Times New Roman" w:hAnsi="Times New Roman" w:cs="Times New Roman"/>
          <w:i w:val="0"/>
          <w:color w:val="000000" w:themeColor="text1"/>
        </w:rPr>
        <w:t xml:space="preserve"> «чувствуется также нагрузка</w:t>
      </w:r>
      <w:r w:rsidRPr="00A3026E">
        <w:rPr>
          <w:rFonts w:ascii="Times New Roman" w:hAnsi="Times New Roman"/>
          <w:color w:val="000000" w:themeColor="text1"/>
          <w:sz w:val="16"/>
          <w:szCs w:val="16"/>
        </w:rPr>
        <w:t>, а</w:t>
      </w:r>
      <w:r w:rsidRPr="00A3026E">
        <w:rPr>
          <w:rStyle w:val="aff6"/>
          <w:rFonts w:ascii="Times New Roman" w:hAnsi="Times New Roman" w:cs="Times New Roman"/>
          <w:i w:val="0"/>
          <w:color w:val="000000" w:themeColor="text1"/>
        </w:rPr>
        <w:t xml:space="preserve"> вместе с ней недостаточная </w:t>
      </w:r>
      <w:r w:rsidRPr="00A3026E">
        <w:rPr>
          <w:rStyle w:val="8MicrosoftSansSerif8pt"/>
          <w:rFonts w:ascii="Times New Roman" w:hAnsi="Times New Roman" w:cs="Times New Roman"/>
          <w:i w:val="0"/>
          <w:color w:val="000000" w:themeColor="text1"/>
          <w:lang w:val="ru-RU"/>
        </w:rPr>
        <w:t>для</w:t>
      </w:r>
      <w:r w:rsidRPr="00A3026E">
        <w:rPr>
          <w:rStyle w:val="81"/>
          <w:rFonts w:ascii="Times New Roman" w:hAnsi="Times New Roman" w:cs="Times New Roman"/>
          <w:color w:val="000000" w:themeColor="text1"/>
        </w:rPr>
        <w:t xml:space="preserve"> истребителя энергичность пере</w:t>
      </w:r>
      <w:r w:rsidRPr="00A3026E">
        <w:rPr>
          <w:rStyle w:val="81"/>
          <w:rFonts w:ascii="Times New Roman" w:hAnsi="Times New Roman" w:cs="Times New Roman"/>
          <w:color w:val="000000" w:themeColor="text1"/>
        </w:rPr>
        <w:softHyphen/>
        <w:t>кладывания».</w:t>
      </w:r>
    </w:p>
    <w:p w14:paraId="15EED3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этот день повторно отстреляли в тире все вооружение. После устранения выявленных дефектов, пушки и пулеметы работали хорошо, отказов не было.</w:t>
      </w:r>
    </w:p>
    <w:p w14:paraId="0627EA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следует из сводки НИИ ВВС по опытным работам, для завершения заводских испытаний ОКО-ббис 2М-88р необходимо было 6-7 летных дней для исследования устойчивости самолета, его маневренности, испытаний вооружения в воздухе и пикирование.</w:t>
      </w:r>
    </w:p>
    <w:p w14:paraId="445F98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этому дню официально завершился второй этап заводских испытаний первого экземпляра ОКО-6 2М-88б/р. Вследствие недостаточной максимальной скорости и устойчивости было принято решение не предъявлять самолет на государственные испытания, а использовать машину в интересах испытаний второго экземпляра ОКО-ббис 2М-88р, в том числе, для отра</w:t>
      </w:r>
      <w:r w:rsidRPr="00A3026E">
        <w:rPr>
          <w:rFonts w:ascii="Times New Roman" w:hAnsi="Times New Roman"/>
          <w:color w:val="000000" w:themeColor="text1"/>
          <w:sz w:val="16"/>
          <w:szCs w:val="16"/>
        </w:rPr>
        <w:softHyphen/>
        <w:t>ботки реактивных выхлопных патрубков, бомбодержателей, ракетного оружия. Как следует из документов, после отработки реактивных выхлопных патрубков само</w:t>
      </w:r>
      <w:r w:rsidRPr="00A3026E">
        <w:rPr>
          <w:rFonts w:ascii="Times New Roman" w:hAnsi="Times New Roman"/>
          <w:color w:val="000000" w:themeColor="text1"/>
          <w:sz w:val="16"/>
          <w:szCs w:val="16"/>
        </w:rPr>
        <w:softHyphen/>
        <w:t>лет планировалось</w:t>
      </w:r>
      <w:r w:rsidRPr="00A3026E">
        <w:rPr>
          <w:rStyle w:val="aff6"/>
          <w:rFonts w:ascii="Times New Roman" w:hAnsi="Times New Roman" w:cs="Times New Roman"/>
          <w:i w:val="0"/>
          <w:color w:val="000000" w:themeColor="text1"/>
        </w:rPr>
        <w:t xml:space="preserve"> «поставить в цех для модификации под новую винтомоторную группу - мотор М-90».</w:t>
      </w:r>
      <w:r w:rsidRPr="00A3026E">
        <w:rPr>
          <w:rFonts w:ascii="Times New Roman" w:hAnsi="Times New Roman"/>
          <w:color w:val="000000" w:themeColor="text1"/>
          <w:sz w:val="16"/>
          <w:szCs w:val="16"/>
        </w:rPr>
        <w:t xml:space="preserve"> Ожидалось, что после замены моторов (в масле обнаружена металлическая стружка) ОКО-6 будет готов к полетам 10 декабря.</w:t>
      </w:r>
    </w:p>
    <w:p w14:paraId="225B9B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 же время на ОКО-ббис усилили каркасы коков винтов, так как на них появи</w:t>
      </w:r>
      <w:r w:rsidRPr="00A3026E">
        <w:rPr>
          <w:rFonts w:ascii="Times New Roman" w:hAnsi="Times New Roman"/>
          <w:color w:val="000000" w:themeColor="text1"/>
          <w:sz w:val="16"/>
          <w:szCs w:val="16"/>
        </w:rPr>
        <w:softHyphen/>
        <w:t>лись трещины. На выхлопные патрубки установили специальные реактивные насадки. Рассчитывали получить прибавку в скорости полета. Одновременно смонтиро</w:t>
      </w:r>
      <w:r w:rsidRPr="00A3026E">
        <w:rPr>
          <w:rFonts w:ascii="Times New Roman" w:hAnsi="Times New Roman"/>
          <w:color w:val="000000" w:themeColor="text1"/>
          <w:sz w:val="16"/>
          <w:szCs w:val="16"/>
        </w:rPr>
        <w:softHyphen/>
        <w:t>вали бомбодержатель для подвески 500-кг бомбы и электропроводку управления сбросом бомб.</w:t>
      </w:r>
    </w:p>
    <w:p w14:paraId="2F5642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обработке результатов предыду</w:t>
      </w:r>
      <w:r w:rsidRPr="00A3026E">
        <w:rPr>
          <w:rFonts w:ascii="Times New Roman" w:hAnsi="Times New Roman"/>
          <w:color w:val="000000" w:themeColor="text1"/>
          <w:sz w:val="16"/>
          <w:szCs w:val="16"/>
        </w:rPr>
        <w:softHyphen/>
        <w:t>щих полетов обнаружился исключительно большой разброс точек скорости, не позволявший построить кривые скорости по высотам. Предположили, что причина заключается в негерметичности испы</w:t>
      </w:r>
      <w:r w:rsidRPr="00A3026E">
        <w:rPr>
          <w:rFonts w:ascii="Times New Roman" w:hAnsi="Times New Roman"/>
          <w:color w:val="000000" w:themeColor="text1"/>
          <w:sz w:val="16"/>
          <w:szCs w:val="16"/>
        </w:rPr>
        <w:softHyphen/>
        <w:t>тательной аппаратуры, которая привела к ошибкам тарировочной кривой. Для выяснения истинных причин требовалось повторить все полеты на определение максимальных скоростей по высотам полета. Ведущему инженеру по самолету В.М. Елагину пришлось докладывать наверх, что программа летных испытаний на 6 декабря отработана только на 30-35% (выполнены полеты на устойчивость, кило</w:t>
      </w:r>
      <w:r w:rsidRPr="00A3026E">
        <w:rPr>
          <w:rFonts w:ascii="Times New Roman" w:hAnsi="Times New Roman"/>
          <w:color w:val="000000" w:themeColor="text1"/>
          <w:sz w:val="16"/>
          <w:szCs w:val="16"/>
        </w:rPr>
        <w:softHyphen/>
        <w:t>метраж, на дальность, скорости по высотам не обработаны). Однако возможность уложиться в заданные сроки окончания заводских испытаний еще оставалась.</w:t>
      </w:r>
    </w:p>
    <w:p w14:paraId="1B4665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23 декабря были проведены дополни</w:t>
      </w:r>
      <w:r w:rsidRPr="00A3026E">
        <w:rPr>
          <w:rFonts w:ascii="Times New Roman" w:hAnsi="Times New Roman"/>
          <w:color w:val="000000" w:themeColor="text1"/>
          <w:sz w:val="16"/>
          <w:szCs w:val="16"/>
        </w:rPr>
        <w:softHyphen/>
        <w:t>тельные полеты на определение скорости по высотам, взлетно-посадочных свойств и повторно снята балансировочная кривая. Удалось установить, что причиной раз</w:t>
      </w:r>
      <w:r w:rsidRPr="00A3026E">
        <w:rPr>
          <w:rFonts w:ascii="Times New Roman" w:hAnsi="Times New Roman"/>
          <w:color w:val="000000" w:themeColor="text1"/>
          <w:sz w:val="16"/>
          <w:szCs w:val="16"/>
        </w:rPr>
        <w:softHyphen/>
        <w:t>броса точек максимальной скорости по высотам являлось различное положение юбок моторных капотов, которые само</w:t>
      </w:r>
      <w:r w:rsidRPr="00A3026E">
        <w:rPr>
          <w:rFonts w:ascii="Times New Roman" w:hAnsi="Times New Roman"/>
          <w:color w:val="000000" w:themeColor="text1"/>
          <w:sz w:val="16"/>
          <w:szCs w:val="16"/>
        </w:rPr>
        <w:softHyphen/>
        <w:t>произвольно смещались в полете при определении скоростей, а вовсе не неис</w:t>
      </w:r>
      <w:r w:rsidRPr="00A3026E">
        <w:rPr>
          <w:rFonts w:ascii="Times New Roman" w:hAnsi="Times New Roman"/>
          <w:color w:val="000000" w:themeColor="text1"/>
          <w:sz w:val="16"/>
          <w:szCs w:val="16"/>
        </w:rPr>
        <w:softHyphen/>
        <w:t>правность испытательной аппаратуры, как считалось ранее. Замеренные после устранения дефекта скорости полета и скороподъемности почти совпали с расчет</w:t>
      </w:r>
      <w:r w:rsidRPr="00A3026E">
        <w:rPr>
          <w:rFonts w:ascii="Times New Roman" w:hAnsi="Times New Roman"/>
          <w:color w:val="000000" w:themeColor="text1"/>
          <w:sz w:val="16"/>
          <w:szCs w:val="16"/>
        </w:rPr>
        <w:softHyphen/>
        <w:t>ными значениями.Балансировочная кривая имела такой же вид, что и полученная до этого. Посадочная скорость получилась равной 135 км/ч.</w:t>
      </w:r>
    </w:p>
    <w:p w14:paraId="76A8A3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 самолет был установлен дополни</w:t>
      </w:r>
      <w:r w:rsidRPr="00A3026E">
        <w:rPr>
          <w:rFonts w:ascii="Times New Roman" w:hAnsi="Times New Roman"/>
          <w:color w:val="000000" w:themeColor="text1"/>
          <w:sz w:val="16"/>
          <w:szCs w:val="16"/>
        </w:rPr>
        <w:softHyphen/>
        <w:t>тельный фюзеляжный бензобак емкостью 467 л, но в воздухе его так и не опробовали. Изменили схему управления пушечным огнем, после чего испытали (в третий раз) все вооружение стрельбой в тире и затем в воздухе. Стреляли по щитам на НИП АВ ВВС. Задержек и отказов не было.</w:t>
      </w:r>
    </w:p>
    <w:p w14:paraId="3E84C5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ОКО-ббис к этому времени было выполнено 28 полетов с суммарным нале</w:t>
      </w:r>
      <w:r w:rsidRPr="00A3026E">
        <w:rPr>
          <w:rFonts w:ascii="Times New Roman" w:hAnsi="Times New Roman"/>
          <w:color w:val="000000" w:themeColor="text1"/>
          <w:sz w:val="16"/>
          <w:szCs w:val="16"/>
        </w:rPr>
        <w:softHyphen/>
        <w:t>том 16 ч, из них 11 полетов на определение взлетно-посадочных свойств самолета. За время полетов никаких крупных дефектов не наблюдалось. По программе испытаний оставались полеты: на маневренность, устойчивость с предельно задней цен</w:t>
      </w:r>
      <w:r w:rsidRPr="00A3026E">
        <w:rPr>
          <w:rFonts w:ascii="Times New Roman" w:hAnsi="Times New Roman"/>
          <w:color w:val="000000" w:themeColor="text1"/>
          <w:sz w:val="16"/>
          <w:szCs w:val="16"/>
        </w:rPr>
        <w:softHyphen/>
        <w:t>тровкой, на пикирование и на определение скоростей и скороподъемности до 9000 м. Всего требовалось выполнить 6-7 полетов. Как докладывал помощник ведущего инже</w:t>
      </w:r>
      <w:r w:rsidRPr="00A3026E">
        <w:rPr>
          <w:rFonts w:ascii="Times New Roman" w:hAnsi="Times New Roman"/>
          <w:color w:val="000000" w:themeColor="text1"/>
          <w:sz w:val="16"/>
          <w:szCs w:val="16"/>
        </w:rPr>
        <w:softHyphen/>
        <w:t>нера по самолету от НИИ ВВС военинженер 3-го ранга Николаев, «срок окончания заводских испытаний может быть обе</w:t>
      </w:r>
      <w:r w:rsidRPr="00A3026E">
        <w:rPr>
          <w:rFonts w:ascii="Times New Roman" w:hAnsi="Times New Roman"/>
          <w:color w:val="000000" w:themeColor="text1"/>
          <w:sz w:val="16"/>
          <w:szCs w:val="16"/>
        </w:rPr>
        <w:softHyphen/>
        <w:t>спечен при наличии летной погоды».</w:t>
      </w:r>
    </w:p>
    <w:p w14:paraId="069B8E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следующей недели удалось выполнить шесть полетов. Определили скорости горизонтального полета и скороподъемность до высоты 9000 м. Сняли балансировочные кривые при предельно задней центровке самолета. Исследовали «бис» на штопор и виражи с открытым фонарем (для этого сняли колпак фонаря). Выполнили полет с подвесными бензобаками.</w:t>
      </w:r>
    </w:p>
    <w:p w14:paraId="18A98F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полетах выяснилось, что самолет в штопор входит неохотно и выходит из него без задержки. Ввод в штоп'ор выполнялся на высоте 5000 м на скорости 170-180 км/ч. На виражах, «очевидно из-за отсутствия фонаря летчика, имелись потряхивания». Нагрузки на руль высоты по-прежнему были значительными. Полученные данные по расходам горючего позволяли сделать вывод, что дальность полета в 1200 км для самолета вполне реальная.</w:t>
      </w:r>
    </w:p>
    <w:p w14:paraId="3C00EA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при выполнении полета на фигуры пилотажа - виражи, боевые развороты, перевороты, бочки и т.д., установили что при виражах на малой ско</w:t>
      </w:r>
      <w:r w:rsidRPr="00A3026E">
        <w:rPr>
          <w:rFonts w:ascii="Times New Roman" w:hAnsi="Times New Roman"/>
          <w:color w:val="000000" w:themeColor="text1"/>
          <w:sz w:val="16"/>
          <w:szCs w:val="16"/>
        </w:rPr>
        <w:softHyphen/>
        <w:t>рости наблюдаются значительные нагрузки на элероны. В конце полета на фигуры обрезало мотор. Летчик благополучно произвел вынужденную посадку на аэро</w:t>
      </w:r>
      <w:r w:rsidRPr="00A3026E">
        <w:rPr>
          <w:rFonts w:ascii="Times New Roman" w:hAnsi="Times New Roman"/>
          <w:color w:val="000000" w:themeColor="text1"/>
          <w:sz w:val="16"/>
          <w:szCs w:val="16"/>
        </w:rPr>
        <w:softHyphen/>
        <w:t>дром Быково. Как оказалось, Емельянов забыл переключиться на фюзеляжный бензобак. В результате бензин перестал поступать в карбюратор. Перелететь на аэродром Раменское удалось только 6 января следующего года. До завершения программы оставалось выполнить еще только два полета - на пикирование и отстрел вооружения.</w:t>
      </w:r>
    </w:p>
    <w:p w14:paraId="0A2C3D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января 1941 г. программа полетов была полностью выполнена и заводские испытания официально завершили. К этому времени самолет налетал около 30 ч (всего 38 полетов). Помимо А.И. Емельянова и Ю.К. Станкевича, самолет облетали А.Б. Юмашев и Н.В. Гаврилов.</w:t>
      </w:r>
    </w:p>
    <w:p w14:paraId="5E43A6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полета соста</w:t>
      </w:r>
      <w:r w:rsidRPr="00A3026E">
        <w:rPr>
          <w:rFonts w:ascii="Times New Roman" w:hAnsi="Times New Roman"/>
          <w:color w:val="000000" w:themeColor="text1"/>
          <w:sz w:val="16"/>
          <w:szCs w:val="16"/>
        </w:rPr>
        <w:softHyphen/>
        <w:t>вила 595 км/ч - на 2-й границе высотности 7200 м, 575 км/ч - на 1 -й границе высотно</w:t>
      </w:r>
      <w:r w:rsidRPr="00A3026E">
        <w:rPr>
          <w:rFonts w:ascii="Times New Roman" w:hAnsi="Times New Roman"/>
          <w:color w:val="000000" w:themeColor="text1"/>
          <w:sz w:val="16"/>
          <w:szCs w:val="16"/>
        </w:rPr>
        <w:softHyphen/>
        <w:t>сти 5000 м, и 470 км/ч - у земли. Посадочная скорость - 144 км/ч. Время подъема на высоту 5000 м - 6,3 мин. Практический потолок - 10000 м. Дальность на высоте 1000 м на скорости 0,9 максимальной скорости - 1200 км. Разбег с бетона с выпущенными на 23° щитками - 324 м. Про</w:t>
      </w:r>
      <w:r w:rsidRPr="00A3026E">
        <w:rPr>
          <w:rFonts w:ascii="Times New Roman" w:hAnsi="Times New Roman"/>
          <w:color w:val="000000" w:themeColor="text1"/>
          <w:sz w:val="16"/>
          <w:szCs w:val="16"/>
        </w:rPr>
        <w:softHyphen/>
        <w:t>бег по бетону с использованием тормозов и с отклоненными на 45° щитками - 406 м.</w:t>
      </w:r>
    </w:p>
    <w:p w14:paraId="6447B1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самолета составлял около 5 т.</w:t>
      </w:r>
    </w:p>
    <w:p w14:paraId="2D65BA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качестве основных недостатков самолета отмечались следующие. Большие нагрузки на рули высоты и элероны. Тугое управление триммерами рулей высоты и направления, а также юбками капота мотора на высоте 8000-9000 м. Отсасывание в полете щитков. Самопро</w:t>
      </w:r>
      <w:r w:rsidRPr="00A3026E">
        <w:rPr>
          <w:rFonts w:ascii="Times New Roman" w:hAnsi="Times New Roman"/>
          <w:color w:val="000000" w:themeColor="text1"/>
          <w:sz w:val="16"/>
          <w:szCs w:val="16"/>
        </w:rPr>
        <w:softHyphen/>
        <w:t>извольное перемещение в полете секторов газа, высотного корректора и управления винтами, которые плохо фиксировались. Неудовлетворительная работа автоматов высотных корректоров. При стрельбе из пушек и пулеметов пороховые газы проникали в кабину летчика. Кроме того, отстрелянные гильзы пулеметов попадали по винтам. К концу испытаний в выхлоп</w:t>
      </w:r>
      <w:r w:rsidRPr="00A3026E">
        <w:rPr>
          <w:rFonts w:ascii="Times New Roman" w:hAnsi="Times New Roman"/>
          <w:color w:val="000000" w:themeColor="text1"/>
          <w:sz w:val="16"/>
          <w:szCs w:val="16"/>
        </w:rPr>
        <w:softHyphen/>
        <w:t>ных коллекторах моторов образовались трещины (12614).</w:t>
      </w:r>
    </w:p>
    <w:p w14:paraId="32A2849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FC47CD4" w14:textId="77777777" w:rsidR="00C66762" w:rsidRPr="00A3026E" w:rsidRDefault="00C66762" w:rsidP="00A3026E">
      <w:pPr>
        <w:pStyle w:val="a3"/>
        <w:widowControl/>
        <w:rPr>
          <w:color w:val="000000" w:themeColor="text1"/>
          <w:lang w:val="ru-RU"/>
        </w:rPr>
      </w:pPr>
      <w:r w:rsidRPr="00A3026E">
        <w:rPr>
          <w:color w:val="000000" w:themeColor="text1"/>
          <w:lang w:val="ru-RU"/>
        </w:rPr>
        <w:t>4 октября 1940 года Репин писал письмо председателю КО маршалу Ворошилову К.Е., председателю Совета оборонной промышленности Вознесенскому Н.А.</w:t>
      </w:r>
    </w:p>
    <w:p w14:paraId="4FF595CD" w14:textId="77777777" w:rsidR="00C66762" w:rsidRPr="00A3026E" w:rsidRDefault="00C66762" w:rsidP="00A3026E">
      <w:pPr>
        <w:pStyle w:val="a3"/>
        <w:widowControl/>
        <w:rPr>
          <w:color w:val="000000" w:themeColor="text1"/>
          <w:lang w:val="ru-RU"/>
        </w:rPr>
      </w:pPr>
      <w:r w:rsidRPr="00A3026E">
        <w:rPr>
          <w:color w:val="000000" w:themeColor="text1"/>
          <w:lang w:val="ru-RU"/>
        </w:rPr>
        <w:t>Постановлением СНК и ЦК ВКП(б) за № 1854-773 от 2 октября 1940 года установлена дальность, необходимая для современных истребителей:</w:t>
      </w:r>
    </w:p>
    <w:p w14:paraId="1B80A993" w14:textId="77777777" w:rsidR="00C66762" w:rsidRPr="00A3026E" w:rsidRDefault="00C66762" w:rsidP="00A3026E">
      <w:pPr>
        <w:pStyle w:val="a3"/>
        <w:widowControl/>
        <w:rPr>
          <w:color w:val="000000" w:themeColor="text1"/>
          <w:lang w:val="ru-RU"/>
        </w:rPr>
      </w:pPr>
      <w:r w:rsidRPr="00A3026E">
        <w:rPr>
          <w:color w:val="000000" w:themeColor="text1"/>
          <w:lang w:val="ru-RU"/>
        </w:rPr>
        <w:t>1000 км для одномоторных и</w:t>
      </w:r>
    </w:p>
    <w:p w14:paraId="31F6268C" w14:textId="77777777" w:rsidR="00C66762" w:rsidRPr="00A3026E" w:rsidRDefault="00C66762" w:rsidP="00A3026E">
      <w:pPr>
        <w:pStyle w:val="a3"/>
        <w:widowControl/>
        <w:rPr>
          <w:color w:val="000000" w:themeColor="text1"/>
          <w:lang w:val="ru-RU"/>
        </w:rPr>
      </w:pPr>
      <w:r w:rsidRPr="00A3026E">
        <w:rPr>
          <w:color w:val="000000" w:themeColor="text1"/>
          <w:lang w:val="ru-RU"/>
        </w:rPr>
        <w:t>2000 км для двухмоторных истребителей.</w:t>
      </w:r>
    </w:p>
    <w:p w14:paraId="4B31A0E6" w14:textId="77777777" w:rsidR="00C66762" w:rsidRPr="00A3026E" w:rsidRDefault="00C66762" w:rsidP="00A3026E">
      <w:pPr>
        <w:pStyle w:val="a3"/>
        <w:widowControl/>
        <w:rPr>
          <w:color w:val="000000" w:themeColor="text1"/>
          <w:lang w:val="ru-RU"/>
        </w:rPr>
      </w:pPr>
      <w:r w:rsidRPr="00A3026E">
        <w:rPr>
          <w:color w:val="000000" w:themeColor="text1"/>
          <w:lang w:val="ru-RU"/>
        </w:rPr>
        <w:t>Такого типа истребители крайне необходимы для ВВС.</w:t>
      </w:r>
    </w:p>
    <w:p w14:paraId="49F681CD" w14:textId="77777777" w:rsidR="00C66762" w:rsidRPr="00A3026E" w:rsidRDefault="00C66762" w:rsidP="00A3026E">
      <w:pPr>
        <w:pStyle w:val="a3"/>
        <w:widowControl/>
        <w:rPr>
          <w:color w:val="000000" w:themeColor="text1"/>
          <w:lang w:val="ru-RU"/>
        </w:rPr>
      </w:pPr>
      <w:r w:rsidRPr="00A3026E">
        <w:rPr>
          <w:color w:val="000000" w:themeColor="text1"/>
          <w:lang w:val="ru-RU"/>
        </w:rPr>
        <w:t>Но в постановлении не указаны остальные летно-тактические характеристики истребителей.</w:t>
      </w:r>
    </w:p>
    <w:p w14:paraId="10DE850B" w14:textId="77777777" w:rsidR="00C66762" w:rsidRPr="00A3026E" w:rsidRDefault="00C66762" w:rsidP="00A3026E">
      <w:pPr>
        <w:pStyle w:val="a3"/>
        <w:widowControl/>
        <w:rPr>
          <w:color w:val="000000" w:themeColor="text1"/>
          <w:lang w:val="ru-RU"/>
        </w:rPr>
      </w:pPr>
      <w:r w:rsidRPr="00A3026E">
        <w:rPr>
          <w:color w:val="000000" w:themeColor="text1"/>
          <w:lang w:val="ru-RU"/>
        </w:rPr>
        <w:t>В то же время известно, что дальность может быть легко получена за счет значительного снижения скорости и ухудшения маневренности, этих основных качеств истребителя.</w:t>
      </w:r>
    </w:p>
    <w:p w14:paraId="43A2BC3B" w14:textId="77777777" w:rsidR="00C66762" w:rsidRPr="00A3026E" w:rsidRDefault="00C66762" w:rsidP="00A3026E">
      <w:pPr>
        <w:pStyle w:val="a3"/>
        <w:widowControl/>
        <w:rPr>
          <w:color w:val="000000" w:themeColor="text1"/>
          <w:lang w:val="ru-RU"/>
        </w:rPr>
      </w:pPr>
      <w:r w:rsidRPr="00A3026E">
        <w:rPr>
          <w:color w:val="000000" w:themeColor="text1"/>
          <w:lang w:val="ru-RU"/>
        </w:rPr>
        <w:t>Считаю, что необходимо специальным постановлением указать по каждому типу истребителя его летно-технические характеристики.</w:t>
      </w:r>
    </w:p>
    <w:p w14:paraId="551BF6FA" w14:textId="77777777" w:rsidR="00C66762" w:rsidRPr="00A3026E" w:rsidRDefault="00C66762" w:rsidP="00A3026E">
      <w:pPr>
        <w:pStyle w:val="a3"/>
        <w:widowControl/>
        <w:rPr>
          <w:color w:val="000000" w:themeColor="text1"/>
          <w:lang w:val="ru-RU"/>
        </w:rPr>
      </w:pPr>
      <w:r w:rsidRPr="00A3026E">
        <w:rPr>
          <w:color w:val="000000" w:themeColor="text1"/>
          <w:lang w:val="ru-RU"/>
        </w:rPr>
        <w:t>Для истребителей, находящихся в серийном производстве и их модификаций, эти характеристики (при увеличенной дальности) не должны быть ниже ранее установленных постановлениями КО, а для двухмоторного истребителя Яковлева (бывшего бомбардировщика ББ-22) характеристики должны быть повышены в соответствии с названием (истребитель).</w:t>
      </w:r>
    </w:p>
    <w:p w14:paraId="2CDEC2F7" w14:textId="77777777" w:rsidR="00C66762" w:rsidRPr="00A3026E" w:rsidRDefault="00C66762" w:rsidP="00A3026E">
      <w:pPr>
        <w:pStyle w:val="a3"/>
        <w:widowControl/>
        <w:rPr>
          <w:color w:val="000000" w:themeColor="text1"/>
          <w:lang w:val="ru-RU"/>
        </w:rPr>
      </w:pPr>
      <w:r w:rsidRPr="00A3026E">
        <w:rPr>
          <w:color w:val="000000" w:themeColor="text1"/>
          <w:lang w:val="ru-RU"/>
        </w:rPr>
        <w:t>Без установленных летно-технических характеристик могут быть разработаны истребители с нужной дальностью, но с малой скоростью, плохой маневренностью, слабым огнем и т.п., чем будет сведено на нет своевременное постановление ЦК ВКП(б) и СНК (3377, 98).</w:t>
      </w:r>
    </w:p>
    <w:p w14:paraId="78EA5804" w14:textId="77777777" w:rsidR="00C66762" w:rsidRPr="00A3026E" w:rsidRDefault="00C66762" w:rsidP="00A3026E">
      <w:pPr>
        <w:pStyle w:val="a3"/>
        <w:widowControl/>
        <w:rPr>
          <w:color w:val="000000" w:themeColor="text1"/>
          <w:lang w:val="ru-RU"/>
        </w:rPr>
      </w:pPr>
    </w:p>
    <w:p w14:paraId="513F8C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руководству Аэрофлота в Химках у Речного вокзала демонстрировались МА-1 и Ш-7 и МА-1 летала немного лучше (4,148).</w:t>
      </w:r>
    </w:p>
    <w:p w14:paraId="0E0E93D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04AE2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 закончились испытания головного серийного самолета «МДР-6 – 2 М-63 (Морской дальний разведчик конструкции И.В. Четверикова.)», которые в соответствии с программой, утвержденной Начальником авиации ВМФ за № 023 от 20 апреля 1940 года, проходили в Севастополе с 3 сентября. Цель испытаний заключалась, помимо прочего, и в допуске и приемке серийных самолетов Военно-Морским Флотом. Экземпляр показал удовлетворительные летные качества, устойчивость в полете, достаточную прочность. Был сделан вывод, что машины этого типа могут быть переданы в части при условии устранения всех дефектов. Отчет подписали начальник Летно-испытательного института (ЛИИ) авиации ВМФ полковник Хныкин, начальник ЛИГ АВ ЛИИ авиации ВМФ военинженер 2-го ранга Мельников и начальник ЛИГОС ЛИИ авиации ВМФ военинженер 2-го ранга Козыркин (РГАЭ. Ф. 8328. Оп. 1. Д. 1408. Л. 1, 8, 21.) (11672).</w:t>
      </w:r>
    </w:p>
    <w:p w14:paraId="33E6971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3FD0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А.С.Я. писал письмо Наркому Госконтроля Мехлису письмо N 23/2072:</w:t>
      </w:r>
    </w:p>
    <w:p w14:paraId="1B32B6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"Сообщаю о недостатках работы смежных наркоматов, влияющих отрицательно на опытное самолетостроение.</w:t>
      </w:r>
    </w:p>
    <w:p w14:paraId="038D77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Отсутствует перспективный план НКО-ВВС, в котором д.б. четко изложены ТТТ, предъявляемые к новым самолетам 41-42 года, исходя из условий боевых действий авиации.</w:t>
      </w:r>
    </w:p>
    <w:p w14:paraId="653E6A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Отсутствие этих требований не позволяет составить целеустремленный темплан опытного самолетостроения НКАП и подчинить ему работу НИИ по разрешению проблемных вопросов.</w:t>
      </w:r>
    </w:p>
    <w:p w14:paraId="267691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Требования, предъявляемые ВВС КА к самолетам и их вооружению, постоянно меняются и не увязаны между собой. По одному и тому же самолету заключения ВВС зачастую прямо противоположны. Так например,</w:t>
      </w:r>
    </w:p>
    <w:p w14:paraId="2DC4E1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ш, спроектированному конструкторами тт. МиГ, командование ВВС дало заключение о нецелесообразности его постройки. По прошествии же полутора месяцев утвердило макет самолета и предложило осуществить его постройку.</w:t>
      </w:r>
    </w:p>
    <w:p w14:paraId="751599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опытному самолету 100 сначала были поставлены требования о выпуске его как высотного многоцелевого и с бомбовой нагрузкой 100-400 кг и макетная комиссия ВВС утвердила макет самолета в этом варианте. При внедрении же его в серию УВВС потребовало переделать его в пб, с общей бомбовой нагрузкой 1000 кг. и выпускать без высотных гермокабин и без ТК.</w:t>
      </w:r>
    </w:p>
    <w:p w14:paraId="58A915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Особенно часто меняются требования в части вооружения самолетов.</w:t>
      </w:r>
    </w:p>
    <w:p w14:paraId="69B02F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по опытному самолету ДБ-240 конструкции Ермолаева, требования по вооружению были изменены 3 раза в течение 1-1.5 месяцев.</w:t>
      </w:r>
    </w:p>
    <w:p w14:paraId="2727F6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требования были:</w:t>
      </w:r>
    </w:p>
    <w:p w14:paraId="433659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установить в хвосте самолета 4 подвижных пулемета</w:t>
      </w:r>
    </w:p>
    <w:p w14:paraId="1705D6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установить в верхней средней части п Таубина 23 мм вместо 20 мм</w:t>
      </w:r>
    </w:p>
    <w:p w14:paraId="55F457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установить в верхней части спарку БТ-ШКАС и в люковой спарку ШКАС.</w:t>
      </w:r>
    </w:p>
    <w:p w14:paraId="19D272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Предъявления со стороны ВВС несогласованных между собой требований и частые изменения их, дезориентируют конструкторов в их работе и затрудняют осуществление действительно необходимых требований, вытекающих из условия ведения боевых операций.</w:t>
      </w:r>
    </w:p>
    <w:p w14:paraId="397925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НКВ не отработаны БТ. до сих пор имеют место поломки частей пулемета, отказы в стрельбе и отдельные дефекты. Несмотря на то, что БТ не прошел гос. испытания и не внедрен в массовое производство, ВВС требуют его установки на опытные самолеты.</w:t>
      </w:r>
    </w:p>
    <w:p w14:paraId="77A3A4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 снабжении ВВС имеется 84 разных калибров бомб, поставляемых НКБ. Такое большое количество типов бомб, по нашему мнению, не вызывается необходимостью. Оно сильно затрудняет осуществление универсальных бомбовых установок на самолетах, требуемых ВВС. Необходимо обязать НКО ВВС пересмотреть типаж бомб и сократить его до разумного минимума.</w:t>
      </w:r>
    </w:p>
    <w:p w14:paraId="5BF977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Наркомат ХП не обеспечивает поставку резины для с колес, необходимых размеров и требуемого качества. В течение 3 кв7 с.г. испытания опытного самолетов постоянно задерживались из-за неподачи пневматиков для колес размером 800х260 и 1100х400.</w:t>
      </w:r>
    </w:p>
    <w:p w14:paraId="0C6C23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Заключения, даваемые по гос. испытаниям опытных самолетов, не имеют устойчивого характера и не отражают какой-либо доктрины, принятой для развития боевой авиации. Эти заключения меняются вследствие субъективного и узкого рассмотрения результатов испытаний, проводимых НИИ ВВС. было бы весьма целесообразным ввести в состав техсовета при НИИ представителя НКАП и в качестве его непременного члена - ГК самолета.</w:t>
      </w:r>
    </w:p>
    <w:p w14:paraId="2B88B6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7. Существующая система финансирования опытных работ предусматривает отпуск средств Наркомфином только по утверждению заданий КО при СНК и не позволяет вести проектирование новых объектов в случаях, когда конструкторами окончены имевшиеся плановые задания и когда освободившиеся мощности КБ обеспечивают выполнение новых работ.</w:t>
      </w:r>
    </w:p>
    <w:p w14:paraId="36C7BF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Этот порядок финансирования заставляет входить в КО с ходатайством об утверждении новых заданий по новым опытным самолетам, проектные данные которых не проработаны в достаточной степени и не обоснованы предварительными экспериментами.</w:t>
      </w:r>
    </w:p>
    <w:p w14:paraId="27FF36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существующая система финансирования заставляет ОКБ относить стоимость работ по новым проектам за счет ранее спроектированных объектов и этим искажать фактическое распределение затрат по опытному строительству.</w:t>
      </w:r>
    </w:p>
    <w:p w14:paraId="04D732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предоставить под отчет НКАП маневренный фонд средств, который даст возможность более планомерно загружать КБ работами и вносить на утверждение КО новые задания по проектированию и постройке опытных самолетов, ТД которых будут обоснованы предварительной проработкой.</w:t>
      </w:r>
    </w:p>
    <w:p w14:paraId="4EA75F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Сообщая об этих основных ненормальностях, прошу Вас оказать содействие в их устранении." (2090,194).</w:t>
      </w:r>
    </w:p>
    <w:p w14:paraId="060AA89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1F1FA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Зам. НКАП А.С.Я. писал письмо № 23/2072 Наркому Госконтроля тов. Мехлису</w:t>
      </w:r>
    </w:p>
    <w:p w14:paraId="1B1A43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Сообщаю о недостатках работы смежных Наркоматов, влияющих отрицательно на опытное самолетостроение:</w:t>
      </w:r>
    </w:p>
    <w:p w14:paraId="59A959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Отсутствует перспективный план НКО-ВВС, в котором должны быть изложены тактико-технические требования, предъяв</w:t>
      </w:r>
      <w:r w:rsidRPr="00A3026E">
        <w:rPr>
          <w:rFonts w:ascii="Times New Roman" w:hAnsi="Times New Roman"/>
          <w:color w:val="000000" w:themeColor="text1"/>
          <w:sz w:val="16"/>
          <w:szCs w:val="16"/>
        </w:rPr>
        <w:softHyphen/>
        <w:t>ляемые к новым самолетам 41-42 года, исходя из условий ведения боезых действий авиации.</w:t>
      </w:r>
    </w:p>
    <w:p w14:paraId="50E457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Отсутствие этих требований не позволяет составить целеустремленный тематический план опытного сомолетостроения НКАП и подчинить ему работу научно-исследовательских институ</w:t>
      </w:r>
      <w:r w:rsidRPr="00A3026E">
        <w:rPr>
          <w:rFonts w:ascii="Times New Roman" w:hAnsi="Times New Roman"/>
          <w:color w:val="000000" w:themeColor="text1"/>
          <w:sz w:val="16"/>
          <w:szCs w:val="16"/>
        </w:rPr>
        <w:softHyphen/>
        <w:t>тов по разрешению проблемных вопросов.</w:t>
      </w:r>
    </w:p>
    <w:p w14:paraId="630AA5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Треобования, предъявляемые ВВС КА к самолетам и их вооружению, постоянно меняются и не увязаны между собою. По одному и тому же самолету заключения ВВС зачастую прямо противоположны. Так например:</w:t>
      </w:r>
    </w:p>
    <w:p w14:paraId="2A6BBF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штурмовику, спроектированному конструкторами т.т. МИКОЯНОМ, ГУРЕВИЧЕМ, командование ВВС дало заключение о нецеле</w:t>
      </w:r>
      <w:r w:rsidRPr="00A3026E">
        <w:rPr>
          <w:rFonts w:ascii="Times New Roman" w:hAnsi="Times New Roman"/>
          <w:color w:val="000000" w:themeColor="text1"/>
          <w:sz w:val="16"/>
          <w:szCs w:val="16"/>
        </w:rPr>
        <w:softHyphen/>
        <w:t>сообразности его постройки. По прошествии же полутора месяцев утвердило макет самолета и предложило осуществить его постройку.</w:t>
      </w:r>
    </w:p>
    <w:p w14:paraId="029192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опытному самолету "100" сначала были поставлены требования о выпуске его как высотного многоцелевого истреби</w:t>
      </w:r>
      <w:r w:rsidRPr="00A3026E">
        <w:rPr>
          <w:rFonts w:ascii="Times New Roman" w:hAnsi="Times New Roman"/>
          <w:color w:val="000000" w:themeColor="text1"/>
          <w:sz w:val="16"/>
          <w:szCs w:val="16"/>
        </w:rPr>
        <w:softHyphen/>
        <w:t>теля с бомбовой нагрузкой 100-400 кг. и макетная комлссля ВВС утвердила макет самолета з этом варианте. При внедрении же в серию Управленае ВВС потребовало переделать его под пики</w:t>
      </w:r>
      <w:r w:rsidRPr="00A3026E">
        <w:rPr>
          <w:rFonts w:ascii="Times New Roman" w:hAnsi="Times New Roman"/>
          <w:color w:val="000000" w:themeColor="text1"/>
          <w:sz w:val="16"/>
          <w:szCs w:val="16"/>
        </w:rPr>
        <w:softHyphen/>
        <w:t>рующий бомбггрдлровдик, с общей бомбовой нагрузкой 1000 кг. и выпускать без высотных, герметических кабин и без турбо-компрессоров.</w:t>
      </w:r>
    </w:p>
    <w:p w14:paraId="25A8C7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Особенно часто меняется тресоваиня в части вооружения самолетов.</w:t>
      </w:r>
    </w:p>
    <w:p w14:paraId="56E888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по опытному самолету ДБ240 конструкции тов. ЕРМОЛАЕВА, требования по вооружению были изменены 3 раза в течение одного-полутора месяцев.</w:t>
      </w:r>
    </w:p>
    <w:p w14:paraId="31CA6E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требования были:</w:t>
      </w:r>
    </w:p>
    <w:p w14:paraId="3E0C33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установить в хвосте самолета 4 подвижных пулемета.</w:t>
      </w:r>
    </w:p>
    <w:p w14:paraId="75321A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установить в верхней средней точке пушку Таубина 23 мм вместо пушки 20 мм.</w:t>
      </w:r>
    </w:p>
    <w:p w14:paraId="1E39A6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установить в средней верхней точке-спарку БТ-ШКАС и в люковой точке спарку ШКАС.</w:t>
      </w:r>
    </w:p>
    <w:p w14:paraId="24A5DF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Пред"явленния со стороны ВВС несогласованных между со</w:t>
      </w:r>
      <w:r w:rsidRPr="00A3026E">
        <w:rPr>
          <w:rFonts w:ascii="Times New Roman" w:hAnsi="Times New Roman"/>
          <w:color w:val="000000" w:themeColor="text1"/>
          <w:sz w:val="16"/>
          <w:szCs w:val="16"/>
        </w:rPr>
        <w:softHyphen/>
        <w:t>бой требовании и частые изменения их, дезориентируют конструк</w:t>
      </w:r>
      <w:r w:rsidRPr="00A3026E">
        <w:rPr>
          <w:rFonts w:ascii="Times New Roman" w:hAnsi="Times New Roman"/>
          <w:color w:val="000000" w:themeColor="text1"/>
          <w:sz w:val="16"/>
          <w:szCs w:val="16"/>
        </w:rPr>
        <w:softHyphen/>
        <w:t>торов в их работе и затрудняют осуществление действительно необходимых требований, вытекающих из условия ведензя боевых операций.</w:t>
      </w:r>
    </w:p>
    <w:p w14:paraId="0A738A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Наркоматом вооружения не отработаны крупно-калиберные пулеметы БТ. До сих пор имеют место -поломки частей пуле</w:t>
      </w:r>
      <w:r w:rsidRPr="00A3026E">
        <w:rPr>
          <w:rFonts w:ascii="Times New Roman" w:hAnsi="Times New Roman"/>
          <w:color w:val="000000" w:themeColor="text1"/>
          <w:sz w:val="16"/>
          <w:szCs w:val="16"/>
        </w:rPr>
        <w:softHyphen/>
        <w:t>метов, отказа в стрельбе н отдельные дефекты. Несмотря на то, что пулемет БТ не прошел госиспытания и не внедрен в массовое производстзо, ВВС требуют его установки на опытных самолетах.</w:t>
      </w:r>
    </w:p>
    <w:p w14:paraId="0D98E7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 снабжении имеются 84 разных калибров бомб, поставляемых Наркоматом блеприпасов. Такое бодьшое количество типов бомб, по но.шему мнению, не вызывается необходимостью. Оно сильно затрудняет осуществление универсальных бомбовых установок на самолетах, требуемых ВВС. Необходимо обязать НКО и ВВС пересмотреть типаж авиабомб и сократить его до ра</w:t>
      </w:r>
      <w:r w:rsidRPr="00A3026E">
        <w:rPr>
          <w:rFonts w:ascii="Times New Roman" w:hAnsi="Times New Roman"/>
          <w:color w:val="000000" w:themeColor="text1"/>
          <w:sz w:val="16"/>
          <w:szCs w:val="16"/>
        </w:rPr>
        <w:softHyphen/>
        <w:t>зумного минимума.</w:t>
      </w:r>
    </w:p>
    <w:p w14:paraId="3DEF29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Наркомат химической промышленности-не обеспечивает поставку резины для самолетных колес, необходимых размеров и требуемого качества.</w:t>
      </w:r>
    </w:p>
    <w:p w14:paraId="1B18F9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третьего квартала сего года испытания опытных са</w:t>
      </w:r>
      <w:r w:rsidRPr="00A3026E">
        <w:rPr>
          <w:rFonts w:ascii="Times New Roman" w:hAnsi="Times New Roman"/>
          <w:color w:val="000000" w:themeColor="text1"/>
          <w:sz w:val="16"/>
          <w:szCs w:val="16"/>
        </w:rPr>
        <w:softHyphen/>
        <w:t>молетов постоянно задерживались из-за неподача пневматиков для колес размеров 500x250 мм и 1100х400 мм.</w:t>
      </w:r>
    </w:p>
    <w:p w14:paraId="283165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I6. Заключения, даваемые по государственным испытаниям опытных самолетов, не имеют устойчивого характера и не отражают какой либо доктрины, принятой для развития боевой авиа</w:t>
      </w:r>
      <w:r w:rsidRPr="00A3026E">
        <w:rPr>
          <w:rFonts w:ascii="Times New Roman" w:hAnsi="Times New Roman"/>
          <w:color w:val="000000" w:themeColor="text1"/>
          <w:sz w:val="16"/>
          <w:szCs w:val="16"/>
        </w:rPr>
        <w:softHyphen/>
        <w:t>ции. Эти заключения меняются вследствие субъективного и узкого рассмотрения результатов испытаний, проводимых НИИ ВВС. Было бы весьма целесообразным ввестн в состав технического совета при НИИ ВВС представителя НКАП и в качестве перемен</w:t>
      </w:r>
      <w:r w:rsidRPr="00A3026E">
        <w:rPr>
          <w:rFonts w:ascii="Times New Roman" w:hAnsi="Times New Roman"/>
          <w:color w:val="000000" w:themeColor="text1"/>
          <w:sz w:val="16"/>
          <w:szCs w:val="16"/>
        </w:rPr>
        <w:softHyphen/>
        <w:t>ного его члена, главного конструктора самолета.</w:t>
      </w:r>
    </w:p>
    <w:p w14:paraId="09FDC5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Существующая система финансирования опытных ра</w:t>
      </w:r>
      <w:r w:rsidRPr="00A3026E">
        <w:rPr>
          <w:rFonts w:ascii="Times New Roman" w:hAnsi="Times New Roman"/>
          <w:color w:val="000000" w:themeColor="text1"/>
          <w:sz w:val="16"/>
          <w:szCs w:val="16"/>
        </w:rPr>
        <w:softHyphen/>
        <w:t>бот предусматривает отпуск средств Наркоматом только по утверждению заданий Комитетом Обороны при СНК СССР и не поз</w:t>
      </w:r>
      <w:r w:rsidRPr="00A3026E">
        <w:rPr>
          <w:rFonts w:ascii="Times New Roman" w:hAnsi="Times New Roman"/>
          <w:color w:val="000000" w:themeColor="text1"/>
          <w:sz w:val="16"/>
          <w:szCs w:val="16"/>
        </w:rPr>
        <w:softHyphen/>
        <w:t>воляет вести проектирование новых об"ектов в случаях, когда конструкторами окончены имевшиеся плановые задания и когда освободившиеся мощности КБ обеспечивают выполнение новых ра</w:t>
      </w:r>
      <w:r w:rsidRPr="00A3026E">
        <w:rPr>
          <w:rFonts w:ascii="Times New Roman" w:hAnsi="Times New Roman"/>
          <w:color w:val="000000" w:themeColor="text1"/>
          <w:sz w:val="16"/>
          <w:szCs w:val="16"/>
        </w:rPr>
        <w:softHyphen/>
        <w:t>бот.</w:t>
      </w:r>
    </w:p>
    <w:p w14:paraId="67900C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Этот порядок финансирования заставляет входить в Комитет Обороны с ходатайством об утверждении новых заданий по новым опытным самолетам, проектные данные которых не прора</w:t>
      </w:r>
      <w:r w:rsidRPr="00A3026E">
        <w:rPr>
          <w:rFonts w:ascii="Times New Roman" w:hAnsi="Times New Roman"/>
          <w:color w:val="000000" w:themeColor="text1"/>
          <w:sz w:val="16"/>
          <w:szCs w:val="16"/>
        </w:rPr>
        <w:softHyphen/>
        <w:t>ботаны в достаточной степени и не обоснованы предваритель</w:t>
      </w:r>
      <w:r w:rsidRPr="00A3026E">
        <w:rPr>
          <w:rFonts w:ascii="Times New Roman" w:hAnsi="Times New Roman"/>
          <w:color w:val="000000" w:themeColor="text1"/>
          <w:sz w:val="16"/>
          <w:szCs w:val="16"/>
        </w:rPr>
        <w:softHyphen/>
        <w:t>ными экспериментами.</w:t>
      </w:r>
    </w:p>
    <w:p w14:paraId="1C408F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существующая система финансирования застав</w:t>
      </w:r>
      <w:r w:rsidRPr="00A3026E">
        <w:rPr>
          <w:rFonts w:ascii="Times New Roman" w:hAnsi="Times New Roman"/>
          <w:color w:val="000000" w:themeColor="text1"/>
          <w:sz w:val="16"/>
          <w:szCs w:val="16"/>
        </w:rPr>
        <w:softHyphen/>
        <w:t>ляет опытно-конструкторские бюро относить стоимость работ по новым проектам за счет ранее спроектированных объектов и этим искажать фактическое распределение затрат по опытному строительству.</w:t>
      </w:r>
    </w:p>
    <w:p w14:paraId="73CCBD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предоставить под отчет НКАП маневренный фонд средств, который даст возможность более планомерно загружать конструкторские бюро работами и вносить на утзерадение Комитета Обороны иовые задания по проектированию и постройке опытных самолетов, технические данные которых будут обоснованы предварительной проработкой.</w:t>
      </w:r>
    </w:p>
    <w:p w14:paraId="108B8F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Сообщая об этих основных ненормальностях, прошу оказать содействие в их устранении (10493,199).</w:t>
      </w:r>
    </w:p>
    <w:p w14:paraId="54FA11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871AF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вышел приказ НКАП и начальника Главного Управления ВВС Красной Армии N 527cc/0013 о том, что приказ N 341сс от 28 августа 1938, запрещающий проектирование новых самолетов под непроверенное и неиспытанное ВВС вооружение, грубо нарушается главными конструкторами самолетостроения (245,63-69).</w:t>
      </w:r>
    </w:p>
    <w:p w14:paraId="5C7358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частности, на ДВБ-102 предусмотрели новое вооружение и наружную подвеску торпеды, герметическую носовую кабину со стрелковой установкой (354).</w:t>
      </w:r>
    </w:p>
    <w:p w14:paraId="5028EC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бомбардировочному вооружению</w:t>
      </w:r>
    </w:p>
    <w:p w14:paraId="4D0E4B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Торпедодержатель Т-18</w:t>
      </w:r>
    </w:p>
    <w:p w14:paraId="387CD6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p w14:paraId="284646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 15 декабря 1940 закончить отработку типового ящика для мелких бомб</w:t>
      </w:r>
    </w:p>
    <w:p w14:paraId="2AFC5D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к 1 декабря 1940 отработать по 1 типу аварийного сбрасывателя для самолетов истребителей, АС пилота и штурмана для бомбардировщиков и поставщиков</w:t>
      </w:r>
    </w:p>
    <w:p w14:paraId="2EABA7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стрелковому вооружению</w:t>
      </w:r>
    </w:p>
    <w:p w14:paraId="0A3C73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Оставить в серийном производстве в 1941 только следующие объекты:</w:t>
      </w:r>
    </w:p>
    <w:p w14:paraId="4C1D79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для подвижных носовых стрелковых точек бомбардировщиков - установку ЛБ-3Ф</w:t>
      </w:r>
    </w:p>
    <w:p w14:paraId="21CFA4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для люковых стрелковых установок - установку ЛУМВ-2, МВ-2с, КЛУ-2 и люковую шкворневую ЛБ-3</w:t>
      </w:r>
    </w:p>
    <w:p w14:paraId="35F11B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для верхних стрелковых точек - установки МВ-3, МВ-5, МВ-3с и ТСС. Предусмотреть замену полудуги ПБ-100 турелью ТСС-1</w:t>
      </w:r>
    </w:p>
    <w:p w14:paraId="7DC6E8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установки тяжелого оружия ТАТ-20 и ТАТ-БТ</w:t>
      </w:r>
    </w:p>
    <w:p w14:paraId="52D6CE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установки РО-82 и РО-132 (универс. для РБС-82 и для РБС-132).</w:t>
      </w:r>
    </w:p>
    <w:p w14:paraId="15BC6A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конусные установки типа И-16, СБ и ДБ-3...</w:t>
      </w:r>
    </w:p>
    <w:p w14:paraId="784309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 прицелам</w:t>
      </w:r>
    </w:p>
    <w:p w14:paraId="3ED937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принять к постановке на самолеты в 1941 только следующие прицелы:</w:t>
      </w:r>
    </w:p>
    <w:p w14:paraId="2E38F1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бомбардировочные - ПС-1 (или СПБ-21), ОПБ-2М, ОПБ-2АМ (укороченный), ОПБ-1М, ОПБ-1АМ (укороченный), НКПБ-3</w:t>
      </w:r>
    </w:p>
    <w:p w14:paraId="5985B6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стрелковые - МПТ-1, ОПТ-2 (К-8Т), ОП-2Л</w:t>
      </w:r>
    </w:p>
    <w:p w14:paraId="79BD00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целевого назначения - ПБП-1, ПТН-1</w:t>
      </w:r>
    </w:p>
    <w:p w14:paraId="62C74F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Сохранить в производстве агрегаты вооружения самолетов И-153, И-16, СБ, ДБ-3Ф и ТБ-7 до прекращения их производства. Вопрос об установках вооружения ДБ-4 и ПБ-100 решить в зависимости от результатов гос. и войсковых испытаний...(1293,114).</w:t>
      </w:r>
    </w:p>
    <w:p w14:paraId="13431C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было подготовлено Краткое техническое описание люковой установки МВ</w:t>
      </w:r>
    </w:p>
    <w:p w14:paraId="1099E9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установки</w:t>
      </w:r>
    </w:p>
    <w:p w14:paraId="7B9C44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Люковая установка ЛУМВ-2 монтируется в нижнем люке фюзеляжа и служит в основном для обстрела нижней задней зоны самолета. Следовательно, основное назначение ЛУМВ-2 обеспечить защиту хвоста самолета.</w:t>
      </w:r>
    </w:p>
    <w:p w14:paraId="34F9D6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ЛУМВ-2 поставлен пулемет Шкас кал. 7,62 мм и оптический прицел ОП-2Л (3560).</w:t>
      </w:r>
    </w:p>
    <w:p w14:paraId="6FB706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6788367"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октября 1940 г.</w:t>
      </w:r>
    </w:p>
    <w:p w14:paraId="5855C9C7"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ПОСТАНОВЛЕНИЕ СНК СССР И ЦК ВКП(б) ОБ ИЗГОТОВЛЕНИИ ОПЫТНЫХ ОБРАЗЦОВ ВООРУЖЕНИЯ ДЛЯ НКО Nо 1882-779сс</w:t>
      </w:r>
    </w:p>
    <w:p w14:paraId="6E2ABC72"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октября 1940 г.</w:t>
      </w:r>
    </w:p>
    <w:p w14:paraId="788C437E"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 секретно</w:t>
      </w:r>
    </w:p>
    <w:p w14:paraId="38063023"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Особой важности</w:t>
      </w:r>
    </w:p>
    <w:p w14:paraId="60716FD3"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 пистолете-пулемете т.Шпагина</w:t>
      </w:r>
    </w:p>
    <w:p w14:paraId="7ADBEBEF"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Пистолет-пулемет т.Шпагина изготовить в количестве 50 шт. в течение 3 недель и испытать в войсках, после чего принять решение о приеме его на вооружение.</w:t>
      </w:r>
    </w:p>
    <w:p w14:paraId="61F71A72"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 пистолете-пулемете т.Шпитального</w:t>
      </w:r>
    </w:p>
    <w:p w14:paraId="5FBE7389"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Пистолет-пулемет т.Шпитального после заводских испытаний и испытаний на полигоне передать в количестве 11 штук не позже 7 ноября 1940 года на войсковые испытания, после чего принять решение о приеме его на вооружение.</w:t>
      </w:r>
    </w:p>
    <w:p w14:paraId="28632CBB"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 20 мм пушке т.Шпитального</w:t>
      </w:r>
    </w:p>
    <w:p w14:paraId="7FB7D33A"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Поручить т.Шпитальному в 20-дневный срок изготовить 50 бронебойных снарядов и провести заводские испытания, после чего решить вопрос о заказе опытной партии для полигонных испытаний. Предъявить требование к снаряду - пробивать 20 мм броню на 200 метров.</w:t>
      </w:r>
    </w:p>
    <w:p w14:paraId="4A2F5B58"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 23 мм пушке т.Таубина</w:t>
      </w:r>
    </w:p>
    <w:p w14:paraId="15D021CD"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Пушки т.Таубина с темпом стрельбы не менее 550 выстрелов в минуту испытать на самолетах СБ. Одновременно обязать т.Шахурина к 1 ноября 1940 года: подать два мотора М-105 с приспособленными картерами для 23 мм пушки, имеющей темп не менее 600 выстрелов в минуту, и произвести совместный отстрел пушек с моторами для определения прочности крепления.</w:t>
      </w:r>
    </w:p>
    <w:p w14:paraId="6CAD7F59"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О 37 мм авиационной пушке т.Таубина.</w:t>
      </w:r>
    </w:p>
    <w:p w14:paraId="56FB7D48"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Поручить т.Таубину сконструировать 37 мм авиационную пушку с показателями:</w:t>
      </w:r>
    </w:p>
    <w:p w14:paraId="0902080E"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вес системы - 130 кг,</w:t>
      </w:r>
    </w:p>
    <w:p w14:paraId="2DFBACD8"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усилия отдачи - не более 2 тонн,</w:t>
      </w:r>
    </w:p>
    <w:p w14:paraId="2B22B74E"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темп стрельбы - 330 - 350 выстрелов в минуту,</w:t>
      </w:r>
    </w:p>
    <w:p w14:paraId="6DDF0732"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начальная скорость не менее 900 м/сек.</w:t>
      </w:r>
    </w:p>
    <w:p w14:paraId="2023FD88"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вес снаряда - 700 гр,</w:t>
      </w:r>
    </w:p>
    <w:p w14:paraId="1FC20155"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 магазин - на 48 патронов,</w:t>
      </w:r>
    </w:p>
    <w:p w14:paraId="70B9D2D2"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ж) режим стрельбы - возможность непрерывной очереди не менее 48 патронов.</w:t>
      </w:r>
    </w:p>
    <w:p w14:paraId="23D9C44B"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Пушку подать на испытания не позже 25 декабря с. г.</w:t>
      </w:r>
    </w:p>
    <w:p w14:paraId="744C2A6A"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О 37 мм авиационной мотрр-пушке т.Шпитального.</w:t>
      </w:r>
    </w:p>
    <w:p w14:paraId="2904150D"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Поручить т.Шпитальному сконструировать 37 мм авиационную моторпушку с показателями:</w:t>
      </w:r>
    </w:p>
    <w:p w14:paraId="1CA866F8"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вес системы - 130 - 150 кг,</w:t>
      </w:r>
    </w:p>
    <w:p w14:paraId="03830A5E"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усилия отдачи - 1300 - 1500 кг,</w:t>
      </w:r>
    </w:p>
    <w:p w14:paraId="55317C8F"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темп стрельбы -300 - 320 выстрелов в минуту,</w:t>
      </w:r>
    </w:p>
    <w:p w14:paraId="66844D91"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начальная скорость - 900 метр/секунд.</w:t>
      </w:r>
    </w:p>
    <w:p w14:paraId="7CA0A8C9"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вес снаряда - 700 гр,</w:t>
      </w:r>
    </w:p>
    <w:p w14:paraId="3A78238D"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 магазин - на 50 патронов,</w:t>
      </w:r>
    </w:p>
    <w:p w14:paraId="2DF8ADDE"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ж) режим стрельбы - возможность непрерывной очереди - 20 - 50 патронов.</w:t>
      </w:r>
    </w:p>
    <w:p w14:paraId="3832E8BA" w14:textId="2C9ACF2B"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Приспособить мотор-пушку под самолет И-26, обязав тов.</w:t>
      </w:r>
      <w:r w:rsidR="004226E1" w:rsidRPr="00A3026E">
        <w:rPr>
          <w:rFonts w:ascii="Times New Roman" w:hAnsi="Times New Roman"/>
          <w:color w:val="0070C0"/>
          <w:sz w:val="16"/>
          <w:szCs w:val="16"/>
        </w:rPr>
        <w:t xml:space="preserve"> </w:t>
      </w:r>
      <w:r w:rsidRPr="00A3026E">
        <w:rPr>
          <w:rFonts w:ascii="Times New Roman" w:hAnsi="Times New Roman"/>
          <w:color w:val="0070C0"/>
          <w:sz w:val="16"/>
          <w:szCs w:val="16"/>
        </w:rPr>
        <w:t>Шахурина и тов.</w:t>
      </w:r>
      <w:r w:rsidR="004226E1" w:rsidRPr="00A3026E">
        <w:rPr>
          <w:rFonts w:ascii="Times New Roman" w:hAnsi="Times New Roman"/>
          <w:color w:val="0070C0"/>
          <w:sz w:val="16"/>
          <w:szCs w:val="16"/>
        </w:rPr>
        <w:t xml:space="preserve"> </w:t>
      </w:r>
      <w:r w:rsidRPr="00A3026E">
        <w:rPr>
          <w:rFonts w:ascii="Times New Roman" w:hAnsi="Times New Roman"/>
          <w:color w:val="0070C0"/>
          <w:sz w:val="16"/>
          <w:szCs w:val="16"/>
        </w:rPr>
        <w:t>Яковлева оказать т.Шпитальному в этом содействие.</w:t>
      </w:r>
    </w:p>
    <w:p w14:paraId="14170190"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Пушку подать на испытания не позже 25 декабря с. г.</w:t>
      </w:r>
    </w:p>
    <w:p w14:paraId="51A3AA8F"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О крупнокалиберном пулемете т.Таубина.</w:t>
      </w:r>
    </w:p>
    <w:p w14:paraId="0ED3011A"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Поручить т.Таубину сконструировать и подать не позже 25 декабря с.г. на полигонные испытания 12,7 мм пулемет с показателями:</w:t>
      </w:r>
    </w:p>
    <w:p w14:paraId="4FDDEB0E"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вес пулемета равен половине веса пулемета Березина,</w:t>
      </w:r>
    </w:p>
    <w:p w14:paraId="0F8F6329"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живучесть - вдвое больше живучести пулемета Березина,</w:t>
      </w:r>
    </w:p>
    <w:p w14:paraId="0ADBE507"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скорострельность патронов и начальная скорость, как у пулемета Березина,</w:t>
      </w:r>
    </w:p>
    <w:p w14:paraId="30EDFBCF"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емкость магазина - по предложенному объему в самолете не менее, чем у пулемета Березина,</w:t>
      </w:r>
    </w:p>
    <w:p w14:paraId="34E20BDE"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пулемет должен обеспечивать синхронную стрельбу.</w:t>
      </w:r>
    </w:p>
    <w:p w14:paraId="5EEE0B0E"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Председатель</w:t>
      </w:r>
    </w:p>
    <w:p w14:paraId="6D2AF5E5"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Совета Народных Комиссаров Союза ССР В. Молотов</w:t>
      </w:r>
    </w:p>
    <w:p w14:paraId="24283BEB"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Секретарь Центрального Комитета ВКП(б) И. Сталин</w:t>
      </w:r>
    </w:p>
    <w:p w14:paraId="368F653D" w14:textId="77777777" w:rsidR="00163AAF" w:rsidRPr="00A3026E" w:rsidRDefault="00163AA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АП РФ. Ф.93. Коллекция документов. Машинопись, заверенная копия (20613).</w:t>
      </w:r>
    </w:p>
    <w:p w14:paraId="362B97D9" w14:textId="77777777" w:rsidR="00163AAF" w:rsidRPr="00A3026E" w:rsidRDefault="00163AAF" w:rsidP="00A3026E">
      <w:pPr>
        <w:spacing w:after="0" w:line="240" w:lineRule="auto"/>
        <w:jc w:val="both"/>
        <w:rPr>
          <w:rFonts w:ascii="Times New Roman" w:hAnsi="Times New Roman"/>
          <w:color w:val="0070C0"/>
          <w:sz w:val="16"/>
          <w:szCs w:val="16"/>
        </w:rPr>
      </w:pPr>
    </w:p>
    <w:p w14:paraId="5B92BC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вышел приказ НКАП и начальника Главного Управления ВВС Красной Армии N 527cc/0013</w:t>
      </w:r>
    </w:p>
    <w:p w14:paraId="2745DB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 № 341сс от 28.УШ.1938 года, запрещающий проектиро</w:t>
      </w:r>
      <w:r w:rsidRPr="00A3026E">
        <w:rPr>
          <w:rFonts w:ascii="Times New Roman" w:hAnsi="Times New Roman"/>
          <w:color w:val="000000" w:themeColor="text1"/>
          <w:sz w:val="16"/>
          <w:szCs w:val="16"/>
        </w:rPr>
        <w:softHyphen/>
        <w:t>вание новых самолетов под непроверенное и неиспытанное ВВС во</w:t>
      </w:r>
      <w:r w:rsidRPr="00A3026E">
        <w:rPr>
          <w:rFonts w:ascii="Times New Roman" w:hAnsi="Times New Roman"/>
          <w:color w:val="000000" w:themeColor="text1"/>
          <w:sz w:val="16"/>
          <w:szCs w:val="16"/>
        </w:rPr>
        <w:softHyphen/>
        <w:t>оружение, грубо нарушается главными конструкторами самолето</w:t>
      </w:r>
      <w:r w:rsidRPr="00A3026E">
        <w:rPr>
          <w:rFonts w:ascii="Times New Roman" w:hAnsi="Times New Roman"/>
          <w:color w:val="000000" w:themeColor="text1"/>
          <w:sz w:val="16"/>
          <w:szCs w:val="16"/>
        </w:rPr>
        <w:softHyphen/>
        <w:t>строения.</w:t>
      </w:r>
    </w:p>
    <w:p w14:paraId="3DF24E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сих пор продолжает иметь место бессистемное проектиро</w:t>
      </w:r>
      <w:r w:rsidRPr="00A3026E">
        <w:rPr>
          <w:rFonts w:ascii="Times New Roman" w:hAnsi="Times New Roman"/>
          <w:color w:val="000000" w:themeColor="text1"/>
          <w:sz w:val="16"/>
          <w:szCs w:val="16"/>
        </w:rPr>
        <w:softHyphen/>
        <w:t>вание опытных установок вооружения для опытных самолетов всеми конструкторскими бюро Специализированные КБ завода № 32 про</w:t>
      </w:r>
      <w:r w:rsidRPr="00A3026E">
        <w:rPr>
          <w:rFonts w:ascii="Times New Roman" w:hAnsi="Times New Roman"/>
          <w:color w:val="000000" w:themeColor="text1"/>
          <w:sz w:val="16"/>
          <w:szCs w:val="16"/>
        </w:rPr>
        <w:softHyphen/>
        <w:t>должают рекомендовать конструкторам самолетов неиспытанные уста</w:t>
      </w:r>
      <w:r w:rsidRPr="00A3026E">
        <w:rPr>
          <w:rFonts w:ascii="Times New Roman" w:hAnsi="Times New Roman"/>
          <w:color w:val="000000" w:themeColor="text1"/>
          <w:sz w:val="16"/>
          <w:szCs w:val="16"/>
        </w:rPr>
        <w:softHyphen/>
        <w:t>новки вооружения (носовая установка Можаровского-Виневидова для машин Ермолаева, Четверикова и др.). Имеет место даже заказ опыт</w:t>
      </w:r>
      <w:r w:rsidRPr="00A3026E">
        <w:rPr>
          <w:rFonts w:ascii="Times New Roman" w:hAnsi="Times New Roman"/>
          <w:color w:val="000000" w:themeColor="text1"/>
          <w:sz w:val="16"/>
          <w:szCs w:val="16"/>
        </w:rPr>
        <w:softHyphen/>
        <w:t>ных прицелов (зав. № 156, КБ-4 и др.).</w:t>
      </w:r>
    </w:p>
    <w:p w14:paraId="13B0F2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подобного бессистемного проектирования соз</w:t>
      </w:r>
      <w:r w:rsidRPr="00A3026E">
        <w:rPr>
          <w:rFonts w:ascii="Times New Roman" w:hAnsi="Times New Roman"/>
          <w:color w:val="000000" w:themeColor="text1"/>
          <w:sz w:val="16"/>
          <w:szCs w:val="16"/>
        </w:rPr>
        <w:softHyphen/>
        <w:t>дано чрезвычайно большое число различных агрегатов; вооружения, предназначенных для одной и той же цели (27 типов бомбардиро</w:t>
      </w:r>
      <w:r w:rsidRPr="00A3026E">
        <w:rPr>
          <w:rFonts w:ascii="Times New Roman" w:hAnsi="Times New Roman"/>
          <w:color w:val="000000" w:themeColor="text1"/>
          <w:sz w:val="16"/>
          <w:szCs w:val="16"/>
        </w:rPr>
        <w:softHyphen/>
        <w:t>вочных замков, 20 типов механических сбрасывателей и т.п.).</w:t>
      </w:r>
    </w:p>
    <w:p w14:paraId="064484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одном лишь заводе № 32 имеется в производстве 86 наиме</w:t>
      </w:r>
      <w:r w:rsidRPr="00A3026E">
        <w:rPr>
          <w:rFonts w:ascii="Times New Roman" w:hAnsi="Times New Roman"/>
          <w:color w:val="000000" w:themeColor="text1"/>
          <w:sz w:val="16"/>
          <w:szCs w:val="16"/>
        </w:rPr>
        <w:softHyphen/>
        <w:t>нований различных видов установок авиационного вооружения. Все это делает невозможным массовое серийное производство и оснастку технологического процесса инструментом и приспособлениями, затрудняет комплектацию, снабжение и обеспечение запасными частя</w:t>
      </w:r>
      <w:r w:rsidRPr="00A3026E">
        <w:rPr>
          <w:rFonts w:ascii="Times New Roman" w:hAnsi="Times New Roman"/>
          <w:color w:val="000000" w:themeColor="text1"/>
          <w:sz w:val="16"/>
          <w:szCs w:val="16"/>
        </w:rPr>
        <w:softHyphen/>
        <w:t>ми и срывает мобготовность промышленности.</w:t>
      </w:r>
    </w:p>
    <w:p w14:paraId="0DA746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проведения жесткой стандартизации и типизации об'ектов вооружения — ПРИКАЗЫВАЕМ:</w:t>
      </w:r>
    </w:p>
    <w:p w14:paraId="653BEB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бомбардировочному вооружению.</w:t>
      </w:r>
    </w:p>
    <w:p w14:paraId="46C3FF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Снять с производства в 1941 году следующие пять типов замков:</w:t>
      </w:r>
    </w:p>
    <w:p w14:paraId="68252D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Дер-32 соленоидный</w:t>
      </w:r>
    </w:p>
    <w:p w14:paraId="755302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Дер-32 механический</w:t>
      </w:r>
    </w:p>
    <w:p w14:paraId="0C8655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Дер-32 мх.</w:t>
      </w:r>
    </w:p>
    <w:p w14:paraId="187DA1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Дер-31 механический</w:t>
      </w:r>
    </w:p>
    <w:p w14:paraId="26BC6B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Дер-31 пиротехнический.</w:t>
      </w:r>
    </w:p>
    <w:p w14:paraId="25762D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Прекратить работу по следующим семи типам Опытных замков:</w:t>
      </w:r>
    </w:p>
    <w:p w14:paraId="41BF53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Д-2 МА</w:t>
      </w:r>
    </w:p>
    <w:p w14:paraId="63E763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Д-2 ББ-МАИ</w:t>
      </w:r>
    </w:p>
    <w:p w14:paraId="3ED2CB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Д-3 ВИТ</w:t>
      </w:r>
    </w:p>
    <w:p w14:paraId="37C822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Д-4 ВИТ</w:t>
      </w:r>
    </w:p>
    <w:p w14:paraId="13D9F3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Д-4 зав. № 32</w:t>
      </w:r>
    </w:p>
    <w:p w14:paraId="2B5370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Дер-И-135 и ОБШ</w:t>
      </w:r>
    </w:p>
    <w:p w14:paraId="3B060B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Дер-207.</w:t>
      </w:r>
    </w:p>
    <w:p w14:paraId="71FD05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Заводу № 32 доработать и организовать серийный выпуск типового замка Д-3 с 1.ХП.1940 года.</w:t>
      </w:r>
    </w:p>
    <w:p w14:paraId="12D7A0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Заводу № 22 и заводу № 1 не позднее 1-го января 1941 года перейти на установку типового замка Д-3 на самолеты СБ-РК и И-200.</w:t>
      </w:r>
    </w:p>
    <w:p w14:paraId="75258F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Главному конструктору КБ-1 завода № 32 тов. Шульгину и 29-му отделу завода № 156 в месячный срок отработать необхо</w:t>
      </w:r>
      <w:r w:rsidRPr="00A3026E">
        <w:rPr>
          <w:rFonts w:ascii="Times New Roman" w:hAnsi="Times New Roman"/>
          <w:color w:val="000000" w:themeColor="text1"/>
          <w:sz w:val="16"/>
          <w:szCs w:val="16"/>
        </w:rPr>
        <w:softHyphen/>
        <w:t>димые конструктивные изменения и усиление замков Дер-19п, Дер-20п и Дер-21 с таким расчетом, чтобы обеспечить взаимозаме</w:t>
      </w:r>
      <w:r w:rsidRPr="00A3026E">
        <w:rPr>
          <w:rFonts w:ascii="Times New Roman" w:hAnsi="Times New Roman"/>
          <w:color w:val="000000" w:themeColor="text1"/>
          <w:sz w:val="16"/>
          <w:szCs w:val="16"/>
        </w:rPr>
        <w:softHyphen/>
        <w:t>няемость их с замками изготовленными ранее и возможность се</w:t>
      </w:r>
      <w:r w:rsidRPr="00A3026E">
        <w:rPr>
          <w:rFonts w:ascii="Times New Roman" w:hAnsi="Times New Roman"/>
          <w:color w:val="000000" w:themeColor="text1"/>
          <w:sz w:val="16"/>
          <w:szCs w:val="16"/>
        </w:rPr>
        <w:softHyphen/>
        <w:t>рийного производства единого типа замка в 1941 году на заводе № 32.</w:t>
      </w:r>
    </w:p>
    <w:p w14:paraId="3CF5CF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Снять с производства в 1941 году кассеты ПК-2 и КД-2-438, заменив их единой кассетой ВД-2-439 для самолетов ТБ-7, ББ-1 и ББ-22.</w:t>
      </w:r>
    </w:p>
    <w:p w14:paraId="3D1EFF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Оставить в серийном производстве в 1941 году только следующие объекты бомбардировочного вооружения:</w:t>
      </w:r>
    </w:p>
    <w:p w14:paraId="692DC7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замкам: 1. Дер-31 соленоидный</w:t>
      </w:r>
    </w:p>
    <w:p w14:paraId="1C404D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Д-2-250</w:t>
      </w:r>
    </w:p>
    <w:p w14:paraId="69FCC7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3. Д-3</w:t>
      </w:r>
    </w:p>
    <w:p w14:paraId="218E30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 Дер-19п</w:t>
      </w:r>
    </w:p>
    <w:p w14:paraId="66DA21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Дер-20п</w:t>
      </w:r>
    </w:p>
    <w:p w14:paraId="593D99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Дер-21п</w:t>
      </w:r>
    </w:p>
    <w:p w14:paraId="2B3901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злектросбрасыватедям: 1. ЭСБР-5 (или ЭСБР-6)</w:t>
      </w:r>
    </w:p>
    <w:p w14:paraId="44F8A3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ЭСБР-ЗПА</w:t>
      </w:r>
    </w:p>
    <w:p w14:paraId="11B14E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 лебедкам - БЛ-4</w:t>
      </w:r>
    </w:p>
    <w:p w14:paraId="5A0A8E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Торпедодержатель Т18.</w:t>
      </w:r>
    </w:p>
    <w:p w14:paraId="621139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5-му отделу 7-го Главного Управления: совместно со 2-м Главным Управлением:</w:t>
      </w:r>
    </w:p>
    <w:p w14:paraId="49C681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месячный срок установить 1 тип пикирующего держателя для серии из имеющихся ПБ-З, ПБ-5 и ПБ-6.</w:t>
      </w:r>
    </w:p>
    <w:p w14:paraId="5F59C3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 15.ХП.40 г. закончить отработку типовых балок и кас</w:t>
      </w:r>
      <w:r w:rsidRPr="00A3026E">
        <w:rPr>
          <w:rFonts w:ascii="Times New Roman" w:hAnsi="Times New Roman"/>
          <w:color w:val="000000" w:themeColor="text1"/>
          <w:sz w:val="16"/>
          <w:szCs w:val="16"/>
        </w:rPr>
        <w:softHyphen/>
        <w:t>сетных держателей, взяв за основу Дер-21, КД-1, КД-2-439 и КД-3 с таким расчетом, чтобы в зависимости от габаритов фюзеляжа ме</w:t>
      </w:r>
      <w:r w:rsidRPr="00A3026E">
        <w:rPr>
          <w:rFonts w:ascii="Times New Roman" w:hAnsi="Times New Roman"/>
          <w:color w:val="000000" w:themeColor="text1"/>
          <w:sz w:val="16"/>
          <w:szCs w:val="16"/>
        </w:rPr>
        <w:softHyphen/>
        <w:t>нялись только длины кассет, с сохранением конструкции и принци</w:t>
      </w:r>
      <w:r w:rsidRPr="00A3026E">
        <w:rPr>
          <w:rFonts w:ascii="Times New Roman" w:hAnsi="Times New Roman"/>
          <w:color w:val="000000" w:themeColor="text1"/>
          <w:sz w:val="16"/>
          <w:szCs w:val="16"/>
        </w:rPr>
        <w:softHyphen/>
        <w:t>па управления,</w:t>
      </w:r>
    </w:p>
    <w:p w14:paraId="11ADEF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 15.ХП.40 г. закончить отработку типового ящика для мелких бомб,</w:t>
      </w:r>
    </w:p>
    <w:p w14:paraId="58C502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к 1.ХП.40 г. отработать по 1 типу аварийного сбрасыва</w:t>
      </w:r>
      <w:r w:rsidRPr="00A3026E">
        <w:rPr>
          <w:rFonts w:ascii="Times New Roman" w:hAnsi="Times New Roman"/>
          <w:color w:val="000000" w:themeColor="text1"/>
          <w:sz w:val="16"/>
          <w:szCs w:val="16"/>
        </w:rPr>
        <w:softHyphen/>
        <w:t>теля для самолетов истребителеи, аварийного сбрасывателя пилота и штурмана для бомбардировщиков и штурмовиков.</w:t>
      </w:r>
    </w:p>
    <w:p w14:paraId="1901A7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стрелковому вооружению.</w:t>
      </w:r>
    </w:p>
    <w:p w14:paraId="6F8E9B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Оставить в серийном производстве в 1941 году только следующие объекты:</w:t>
      </w:r>
    </w:p>
    <w:p w14:paraId="4CF7AE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для подвижных носовых стрелковых точек, бомбардировщи</w:t>
      </w:r>
      <w:r w:rsidRPr="00A3026E">
        <w:rPr>
          <w:rFonts w:ascii="Times New Roman" w:hAnsi="Times New Roman"/>
          <w:color w:val="000000" w:themeColor="text1"/>
          <w:sz w:val="16"/>
          <w:szCs w:val="16"/>
        </w:rPr>
        <w:softHyphen/>
        <w:t>ков - установку ДБ-З-Ф;</w:t>
      </w:r>
    </w:p>
    <w:p w14:paraId="54F58A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для люковых стрелковых точек - установки ЛУМВ-2, МВ-2с, КЛУ-2 и люковую шкворневую установку ДБ-3;</w:t>
      </w:r>
    </w:p>
    <w:p w14:paraId="6AD308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для верхних стрелковых точек— установки МВ-3, МВ-5, МВ-Зс и ТСС-1. Предусмотреть замену полудуги ПБ-100 турелью ТСС-1;</w:t>
      </w:r>
    </w:p>
    <w:p w14:paraId="3D004F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установки тяжелого оружия ТАТ-20 и ТАТ-БТ;</w:t>
      </w:r>
    </w:p>
    <w:p w14:paraId="50090B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установки РО-82 и РО-132 (универ. И для РБС-82, РБС-132)</w:t>
      </w:r>
    </w:p>
    <w:p w14:paraId="05FDAF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конусные установки типа И-16, СБ и ДБ-3</w:t>
      </w:r>
    </w:p>
    <w:p w14:paraId="70348E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Второму Главному Управлению внедрить в серийное произ</w:t>
      </w:r>
      <w:r w:rsidRPr="00A3026E">
        <w:rPr>
          <w:rFonts w:ascii="Times New Roman" w:hAnsi="Times New Roman"/>
          <w:color w:val="000000" w:themeColor="text1"/>
          <w:sz w:val="16"/>
          <w:szCs w:val="16"/>
        </w:rPr>
        <w:softHyphen/>
        <w:t>водство пневмомеханический спуск конструкции завода № 1 и электроспуски завода № 32 и совместно с 5 отделом 7-го Главного Управления отработать их как нормали НКАП, обязательные для всех заводов НКАП.</w:t>
      </w:r>
    </w:p>
    <w:p w14:paraId="2B50AA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5 отделу 7-го Главного Управления совместно со 2-м Главным Управлением в 3-х месячный срок отработать счетчики патронов и стандартные лафеты для неподвижных установок под пулеметы калибра 7,62 и 12,7, как нормали НКАП, обязательные для всех заводов НКАП. •</w:t>
      </w:r>
    </w:p>
    <w:p w14:paraId="509D6B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 приделам</w:t>
      </w:r>
    </w:p>
    <w:p w14:paraId="423497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Принять к постановке на самолеты в 1941 году только следующие прицелы:</w:t>
      </w:r>
    </w:p>
    <w:p w14:paraId="7695C3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бомбардировочные:</w:t>
      </w:r>
    </w:p>
    <w:p w14:paraId="6A6E2D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ПС-1 (или СПБ-21)</w:t>
      </w:r>
    </w:p>
    <w:p w14:paraId="1FD76D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ОПБ-2М</w:t>
      </w:r>
    </w:p>
    <w:p w14:paraId="269055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ОПБ-2АМ (укорочеиный)</w:t>
      </w:r>
    </w:p>
    <w:p w14:paraId="0A35FA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ОПБ-1М</w:t>
      </w:r>
    </w:p>
    <w:p w14:paraId="53E219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ОПБ-1АМ (укороченный)</w:t>
      </w:r>
    </w:p>
    <w:p w14:paraId="23F93D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НКПБ-3</w:t>
      </w:r>
    </w:p>
    <w:p w14:paraId="2BC12C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стрелковые: 1. МПТ-1</w:t>
      </w:r>
    </w:p>
    <w:p w14:paraId="2CD181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ОПТ-2 (К8-Т)</w:t>
      </w:r>
    </w:p>
    <w:p w14:paraId="7C731D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ОП-2Л</w:t>
      </w:r>
    </w:p>
    <w:p w14:paraId="674EB3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целевого назначения:</w:t>
      </w:r>
    </w:p>
    <w:p w14:paraId="513AEA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ПБП-1</w:t>
      </w:r>
    </w:p>
    <w:p w14:paraId="5C37B8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ПТН-5.</w:t>
      </w:r>
    </w:p>
    <w:p w14:paraId="60A7A7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Сохранить в производстве агрегаты вооружения самолетов И-15 И-16, СБ, ДБ-ЗФ и ТБ-7 до прекращения их производства. Вопрос об установках вооружения самолета ДБ-4 и ПБ-100 решить в зависимости от результатов государственных и войсковых испы</w:t>
      </w:r>
      <w:r w:rsidRPr="00A3026E">
        <w:rPr>
          <w:rFonts w:ascii="Times New Roman" w:hAnsi="Times New Roman"/>
          <w:color w:val="000000" w:themeColor="text1"/>
          <w:sz w:val="16"/>
          <w:szCs w:val="16"/>
        </w:rPr>
        <w:softHyphen/>
        <w:t>таний.</w:t>
      </w:r>
    </w:p>
    <w:p w14:paraId="1AC6B9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Главному конструктору ПБ-100 тов. Петлякову к главному конструктору КБ-1 завода № 32 тов. Шульгину в месячный срок проработать возможность максимальной замены опытных установок бомбардировочного вооружения серийными изделиями завода № 32.</w:t>
      </w:r>
    </w:p>
    <w:p w14:paraId="54B434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Запретить главным конструкторам самолетостроения и специализированных КБ заводов №, КПГ и 145 устанавливать на опытные самолеты агрегаты вооружения, кроме перечисленных в п. 6 раздела "А" и п.1 разделов "Б" и "В".</w:t>
      </w:r>
    </w:p>
    <w:p w14:paraId="205E5E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нового агрегата вооружения допускается только после проведения государственных испытаний и принятии на во</w:t>
      </w:r>
      <w:r w:rsidRPr="00A3026E">
        <w:rPr>
          <w:rFonts w:ascii="Times New Roman" w:hAnsi="Times New Roman"/>
          <w:color w:val="000000" w:themeColor="text1"/>
          <w:sz w:val="16"/>
          <w:szCs w:val="16"/>
        </w:rPr>
        <w:softHyphen/>
        <w:t>оружение НКО и НКВМФ.</w:t>
      </w:r>
    </w:p>
    <w:p w14:paraId="5F4C0F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Обязать главных конструкторов самолетостроения согла</w:t>
      </w:r>
      <w:r w:rsidRPr="00A3026E">
        <w:rPr>
          <w:rFonts w:ascii="Times New Roman" w:hAnsi="Times New Roman"/>
          <w:color w:val="000000" w:themeColor="text1"/>
          <w:sz w:val="16"/>
          <w:szCs w:val="16"/>
        </w:rPr>
        <w:softHyphen/>
        <w:t>совывать схему вооружения опытных самолетов с 5 отделом 7-го Главного Управления до предъявления эскизного проекта.</w:t>
      </w:r>
    </w:p>
    <w:p w14:paraId="03EDA4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Перечень вооружения опытного самолета должен быть утверж</w:t>
      </w:r>
      <w:r w:rsidRPr="00A3026E">
        <w:rPr>
          <w:rFonts w:ascii="Times New Roman" w:hAnsi="Times New Roman"/>
          <w:color w:val="000000" w:themeColor="text1"/>
          <w:sz w:val="16"/>
          <w:szCs w:val="16"/>
        </w:rPr>
        <w:softHyphen/>
        <w:t>ден 5-м отделом 7-го Главного Управления до предъявления ма</w:t>
      </w:r>
      <w:r w:rsidRPr="00A3026E">
        <w:rPr>
          <w:rFonts w:ascii="Times New Roman" w:hAnsi="Times New Roman"/>
          <w:color w:val="000000" w:themeColor="text1"/>
          <w:sz w:val="16"/>
          <w:szCs w:val="16"/>
        </w:rPr>
        <w:softHyphen/>
        <w:t>кета.</w:t>
      </w:r>
    </w:p>
    <w:p w14:paraId="4ED84C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Директорам заводов №№ 32 и 145 не позднее 1.XII.1940 г.</w:t>
      </w:r>
    </w:p>
    <w:p w14:paraId="5B025A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выпустить каталоги изделие серийного производства и прошедших госиспытания. Перечень изделий, подл ежащих включению в каталог подлежит утверждению 5 отделом 7-го Главного Управления.</w:t>
      </w:r>
    </w:p>
    <w:p w14:paraId="045779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Директорам заводов №№ 32 и 145 одновременно с проведе</w:t>
      </w:r>
      <w:r w:rsidRPr="00A3026E">
        <w:rPr>
          <w:rFonts w:ascii="Times New Roman" w:hAnsi="Times New Roman"/>
          <w:color w:val="000000" w:themeColor="text1"/>
          <w:sz w:val="16"/>
          <w:szCs w:val="16"/>
        </w:rPr>
        <w:softHyphen/>
        <w:t>нием типизации установок вооружения, проверить все чертежи, отработать технологию и технологическую оснастку и не позднее 1.У.1941 года утвердить чертежи во 2-м Главном Управлении НКАП, ГК ВВС и УА НКВМФ.</w:t>
      </w:r>
    </w:p>
    <w:p w14:paraId="2AE4E2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1-го июня 1941 года изменения чертежей по принятым на снабжение ВВС установкам авиационного вооружения могут быть вносимы в каждом отдельном случае с особого разрешения 2-го Главного Управления НКАП, ГУ ВВС и УА НКВМФ.</w:t>
      </w:r>
    </w:p>
    <w:p w14:paraId="29E482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Установить, как правило, что представление чертежей по модернизации изделий, а также изменения должны происходить один раз в год по представлению НКАП, ГУ ВВС и НКВМФ.</w:t>
      </w:r>
    </w:p>
    <w:p w14:paraId="3E7FFD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Предупредить главных конструкторов по вооружению (Можаровского, Виневидова, Торопова, Шебанова, Картукова и Шульгина), что оценка качества их работы в 1940-1941 г .т. будет произво</w:t>
      </w:r>
      <w:r w:rsidRPr="00A3026E">
        <w:rPr>
          <w:rFonts w:ascii="Times New Roman" w:hAnsi="Times New Roman"/>
          <w:color w:val="000000" w:themeColor="text1"/>
          <w:sz w:val="16"/>
          <w:szCs w:val="16"/>
        </w:rPr>
        <w:softHyphen/>
        <w:t>дится НКАПом в зависимости от результатов работ по стандарти</w:t>
      </w:r>
      <w:r w:rsidRPr="00A3026E">
        <w:rPr>
          <w:rFonts w:ascii="Times New Roman" w:hAnsi="Times New Roman"/>
          <w:color w:val="000000" w:themeColor="text1"/>
          <w:sz w:val="16"/>
          <w:szCs w:val="16"/>
        </w:rPr>
        <w:softHyphen/>
        <w:t>зации и типизации вооружения. Установить, что выдача премий должна производиться только за выполнение в срок заданий по стандартизации и за создание опытных конструкций, принятых на вооружение.</w:t>
      </w:r>
    </w:p>
    <w:p w14:paraId="4F2015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Премирование групп вооружения самолетостроительных КБ производить в основном за максимальное внедрение серийных аг</w:t>
      </w:r>
      <w:r w:rsidRPr="00A3026E">
        <w:rPr>
          <w:rFonts w:ascii="Times New Roman" w:hAnsi="Times New Roman"/>
          <w:color w:val="000000" w:themeColor="text1"/>
          <w:sz w:val="16"/>
          <w:szCs w:val="16"/>
        </w:rPr>
        <w:softHyphen/>
        <w:t>регатов вооружения на опытных самолетах-и за обеспечение простоты эксплоатации и производства</w:t>
      </w:r>
    </w:p>
    <w:p w14:paraId="1CD7DA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Всякое отклонение от системы, предусматриваемой данным приказом,допускается только с нашего личного разрешения (145,29).</w:t>
      </w:r>
    </w:p>
    <w:p w14:paraId="1FE9F53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D717D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вышло Постановление СНК СССР и ЦК ВКП(б) N 1882-779сс "Об изготовлении опытных образцов вооружения для НКО" (3894).</w:t>
      </w:r>
    </w:p>
    <w:p w14:paraId="35DAF4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Там было:</w:t>
      </w:r>
    </w:p>
    <w:p w14:paraId="2BEDEF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 пистолете-пулемете т. Шпагина - изготовить 50 в течение 3-х недель и испытать в войсках</w:t>
      </w:r>
    </w:p>
    <w:p w14:paraId="620727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 пистолете-пулемете т. Шпитального - после заводских и полигонных испытаний передать 11 на войсковые испытания</w:t>
      </w:r>
    </w:p>
    <w:p w14:paraId="4772F5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 20-мм пушке т. Шпитального</w:t>
      </w:r>
    </w:p>
    <w:p w14:paraId="20326B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Поручить т. Шпитальному в 20-дневный срок изготовить 50 бронебойных снарядов и провести заводские испытания... Предъявить требование к снаряду - пробивать 20-мм броню на 200 м</w:t>
      </w:r>
    </w:p>
    <w:p w14:paraId="494CFA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 23-мм пушке Таубина</w:t>
      </w:r>
    </w:p>
    <w:p w14:paraId="2943BF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"Пушки т. Таубина с темпом стрельбы не менее 550 выстрелов в минуту испытать на самолете СБ. Одновременно обязать т. Шахурина к 1 ноября 1940: подать два мотора М-105 с приспособленными картерами для 23-мм пушки, имеющей темп не менее 600 выстрелов в минуту, и произвести совместный отстрел пушек с моторами для определения прочности крепления."</w:t>
      </w:r>
    </w:p>
    <w:p w14:paraId="271943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 37-мм авиапушке т. Таубина</w:t>
      </w:r>
    </w:p>
    <w:p w14:paraId="0F5050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"Поручить т. Таубину сконструировать 37-мм авиационную пушку с показателями:</w:t>
      </w:r>
    </w:p>
    <w:p w14:paraId="17353F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вес системы - 130 кг</w:t>
      </w:r>
    </w:p>
    <w:p w14:paraId="70E4BF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усилия отдачи - не более 2 т</w:t>
      </w:r>
    </w:p>
    <w:p w14:paraId="12A699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темп стрельбы - 330-350 выстрелов в минуту</w:t>
      </w:r>
    </w:p>
    <w:p w14:paraId="1C689E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начальная скорость не менее 900 м/с</w:t>
      </w:r>
    </w:p>
    <w:p w14:paraId="74A2F1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д) вес снаряда - 700 г</w:t>
      </w:r>
    </w:p>
    <w:p w14:paraId="2A199E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магазин - на 48 патронов</w:t>
      </w:r>
    </w:p>
    <w:p w14:paraId="33E9B8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режим стрельбы - возможность непрерывной очереди не менее 48 патронов.</w:t>
      </w:r>
    </w:p>
    <w:p w14:paraId="2857FC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пушку подать на испытания не позже 25 декабря с.г.</w:t>
      </w:r>
    </w:p>
    <w:p w14:paraId="52766B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 37-мм авиапушке т. Шпитального</w:t>
      </w:r>
    </w:p>
    <w:p w14:paraId="23F535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"Поручить т. Таубину сконструировать 37-мм авиационную пушку с показателями:</w:t>
      </w:r>
    </w:p>
    <w:p w14:paraId="110E70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вес системы - 130-150 кг</w:t>
      </w:r>
    </w:p>
    <w:p w14:paraId="720F43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усилия отдачи - 1300-1500 кг</w:t>
      </w:r>
    </w:p>
    <w:p w14:paraId="4E9805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темп стрельбы - 300-320 выстрелов в минуту</w:t>
      </w:r>
    </w:p>
    <w:p w14:paraId="391D9A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начальная скорость - 900 м/с</w:t>
      </w:r>
    </w:p>
    <w:p w14:paraId="3FBA41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вес снаряда - 700 г</w:t>
      </w:r>
    </w:p>
    <w:p w14:paraId="67787F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магазин - на 50 патронов</w:t>
      </w:r>
    </w:p>
    <w:p w14:paraId="14C4C4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режим стрельбы - возможность непрерывной очереди не менее 30-50 патронов.</w:t>
      </w:r>
    </w:p>
    <w:p w14:paraId="5BBA6A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Приспособить мотор-пушку под И-26, обязав А.И.Ш. и А.С.Я. оказать т. Шпитальному в этом содействие.</w:t>
      </w:r>
    </w:p>
    <w:p w14:paraId="198843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Пушку подать на испытания не позже 25 декабря с.г.</w:t>
      </w:r>
    </w:p>
    <w:p w14:paraId="1B85CE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 крупнокалиберном пулемете т. Таубина</w:t>
      </w:r>
    </w:p>
    <w:p w14:paraId="774ACE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Поручить т. Таубину сконструировать и подать не позже 25 декабря с.г. на полигонные испытания 12.7 мм пулемет с показателями:</w:t>
      </w:r>
    </w:p>
    <w:p w14:paraId="0BEA9D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вес пулемета равен половине веса пулемета Березина</w:t>
      </w:r>
    </w:p>
    <w:p w14:paraId="42A72E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живучесть - вдвое больше живучести пулемета Березина</w:t>
      </w:r>
    </w:p>
    <w:p w14:paraId="22BB49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скорострельность и начальная скорость - как у Березина</w:t>
      </w:r>
    </w:p>
    <w:p w14:paraId="05F195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емкость магазина - не менее, чем у п Березина</w:t>
      </w:r>
    </w:p>
    <w:p w14:paraId="1FF9F0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 должен обеспечивать синхронную стрельбу (3894).</w:t>
      </w:r>
    </w:p>
    <w:p w14:paraId="528B976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03BC912"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4 октября 1940 г. вышло ПОСТАНОВЛЕНИЕ СНК СССР И ЦК ВКП(б) ОБ ИЗГОТОВЛЕНИИ ОПЫТНЫХ ОБРАЗЦОВ ВООРУЖЕНИЯ ДЛЯ НКО № 1882-779сс</w:t>
      </w:r>
    </w:p>
    <w:p w14:paraId="209D87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 секретно </w:t>
      </w:r>
    </w:p>
    <w:p w14:paraId="565259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Особой важности </w:t>
      </w:r>
    </w:p>
    <w:p w14:paraId="304A3A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 пистолете-пулемете т.Шпагина </w:t>
      </w:r>
    </w:p>
    <w:p w14:paraId="2AA49E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Пистолет-пулемет т.Шпагина изготовить в количестве 50 шт. в течение 3 недель и испытать в войсках, после чего принять решение о приеме его на вооружение.</w:t>
      </w:r>
    </w:p>
    <w:p w14:paraId="0861EC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 пистолете-пулемете т.Шпитального </w:t>
      </w:r>
    </w:p>
    <w:p w14:paraId="2FCCB6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Пистолет-пулемет т.Шпитального после заводских испытаний и испытаний на полигоне передать в количестве 11 штук не позже 7 ноября 1940 года на войсковые испытания, после чего принять решение о приеме его на вооружение.</w:t>
      </w:r>
    </w:p>
    <w:p w14:paraId="5B8A75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О 20 мм пушке т.Шпитального </w:t>
      </w:r>
    </w:p>
    <w:p w14:paraId="69C6D1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Поручить т.Шпитальному в 20-дневный срок изготовить 50 бронебойных снарядов и провести заводские испытания, после чего решить вопрос о заказе опытной партии для полигонных испытаний. Предъявить требование к снаряду - пробивать 20 мм броню на 200 метров.</w:t>
      </w:r>
    </w:p>
    <w:p w14:paraId="0B722A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О 23 мм пушке т.Таубина </w:t>
      </w:r>
    </w:p>
    <w:p w14:paraId="35CEAF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Пушки т.Таубина с темпом стрельбы не менее 550 выстрелов в минуту испытать на самолетах СБ. Одновременно обязать т.Шахурина к 1 ноября 1940 года: подать два мотора М-105 с приспособленными картерами для 23 мм пушки, имеющей темп не менее 600 выстрелов в минуту, и произвести совместный отстрел пушек с моторами для определения прочности крепления.</w:t>
      </w:r>
    </w:p>
    <w:p w14:paraId="552D03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 37 мм авиационной пушке т.Таубина.</w:t>
      </w:r>
    </w:p>
    <w:p w14:paraId="3AF6A3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Поручить т.Таубину сконструировать 37 мм авиационную пушку с показателями: </w:t>
      </w:r>
    </w:p>
    <w:p w14:paraId="22EE97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вес системы - 130 кг, </w:t>
      </w:r>
    </w:p>
    <w:p w14:paraId="3635B8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усилия отдачи - не более 2 тонн, </w:t>
      </w:r>
    </w:p>
    <w:p w14:paraId="45F7B5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темп стрельбы - 330 - 350 выстрелов в минуту, </w:t>
      </w:r>
    </w:p>
    <w:p w14:paraId="4B0A1D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начальная скорость не менее 900 м/сек.</w:t>
      </w:r>
    </w:p>
    <w:p w14:paraId="5E0B8B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вес снаряда - 700 гр, </w:t>
      </w:r>
    </w:p>
    <w:p w14:paraId="7C01B5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магазин - на 48 патронов, </w:t>
      </w:r>
    </w:p>
    <w:p w14:paraId="689E4C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режим стрельбы - возможность непрерывной очереди не менее 48 патронов.</w:t>
      </w:r>
    </w:p>
    <w:p w14:paraId="1BEC44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Пушку подать на испытания не позже 25 декабря с. г.</w:t>
      </w:r>
    </w:p>
    <w:p w14:paraId="51F968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 37 мм авиационной мотор-пушке т.Шпитального.</w:t>
      </w:r>
    </w:p>
    <w:p w14:paraId="6817A4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Поручить т.Шпитальному сконструировать 37 мм авиационную мотор-пушку с показателями: </w:t>
      </w:r>
    </w:p>
    <w:p w14:paraId="6DFEC2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вес системы - 130-150 кг, </w:t>
      </w:r>
    </w:p>
    <w:p w14:paraId="6187C2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усилия отдачи - 1300-1500 кг, </w:t>
      </w:r>
    </w:p>
    <w:p w14:paraId="3039C2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темп стрельбы - 300-320 выстрелов в минуту, </w:t>
      </w:r>
    </w:p>
    <w:p w14:paraId="32F90D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начальная скорость - 900 метр/секунд.</w:t>
      </w:r>
    </w:p>
    <w:p w14:paraId="177AEE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вес снаряда - 700 гр, </w:t>
      </w:r>
    </w:p>
    <w:p w14:paraId="620E5B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магазин - на 50 патронов, </w:t>
      </w:r>
    </w:p>
    <w:p w14:paraId="5BC8E8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режим стрельбы - возможность непрерывной очереди - 20-50 патронов.</w:t>
      </w:r>
    </w:p>
    <w:p w14:paraId="457D25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Приспособить мотор-пушку под самолет И-26, обязав тов.Шахурина и тов.Яковлева оказать т.Шпитальному в этом содействие.</w:t>
      </w:r>
    </w:p>
    <w:p w14:paraId="6D13B9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Пушку подать на испытания не позже 25 декабря с.г.</w:t>
      </w:r>
    </w:p>
    <w:p w14:paraId="28AFDC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 крупнокалиберном пулемете т.Таубина.</w:t>
      </w:r>
    </w:p>
    <w:p w14:paraId="7D9CA9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Поручить т.Таубину сконструировать и подать не позже 25 декабря с.г. на полигонные испытания 12,7 мм пулемет с показателями: </w:t>
      </w:r>
    </w:p>
    <w:p w14:paraId="7E28A9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вес пулемета равен половине веса пулемета Березина, </w:t>
      </w:r>
    </w:p>
    <w:p w14:paraId="790EA3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живучесть - вдвое больше живучести пулемета Березина, </w:t>
      </w:r>
    </w:p>
    <w:p w14:paraId="41914C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скорострельность патронов и начальная скорость, как у пулемета Березина, </w:t>
      </w:r>
    </w:p>
    <w:p w14:paraId="7E2E39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емкость магазина - по предложенному объему в самолете не менее, чем у пулемета Березина, </w:t>
      </w:r>
    </w:p>
    <w:p w14:paraId="4E529C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пулемет должен обеспечивать синхронную стрельбу.</w:t>
      </w:r>
    </w:p>
    <w:p w14:paraId="523887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Председатель Совета Народных Комиссаров Союза ССР В. Молотов </w:t>
      </w:r>
    </w:p>
    <w:p w14:paraId="5DC21D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Секретарь Центрального Комитета ВКП(б) И.Сталин </w:t>
      </w:r>
    </w:p>
    <w:p w14:paraId="7AEDED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 РФ. Ф.93. Коллекция документов. Машинопись, заверенная копия (10694).</w:t>
      </w:r>
    </w:p>
    <w:p w14:paraId="14AECB2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0B377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 вышло постановление Совнаркома № 1882-799сс, которым предусматривалось создание 37-мм авиационных пушек. Создание таких пушек поручалось Таубину и Шпитальному.</w:t>
      </w:r>
    </w:p>
    <w:p w14:paraId="4FEADA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6-м пункте постановления говорилось:</w:t>
      </w:r>
    </w:p>
    <w:p w14:paraId="7FD9DE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«Поручить т. Шпитальному сконструировать 37 мм авиацион</w:t>
      </w:r>
      <w:r w:rsidRPr="00A3026E">
        <w:rPr>
          <w:rFonts w:ascii="Times New Roman" w:hAnsi="Times New Roman"/>
          <w:color w:val="000000" w:themeColor="text1"/>
          <w:sz w:val="16"/>
          <w:szCs w:val="16"/>
        </w:rPr>
        <w:softHyphen/>
        <w:t>ную мотор-пушку с показателями:</w:t>
      </w:r>
    </w:p>
    <w:p w14:paraId="642DDC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вес системы — 130—150 кг,</w:t>
      </w:r>
    </w:p>
    <w:p w14:paraId="4E65D8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усилие отдачи — 1300-1500 кг,</w:t>
      </w:r>
    </w:p>
    <w:p w14:paraId="342A2B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темп стрельбы — 300-200 выстрелов в минуту,</w:t>
      </w:r>
    </w:p>
    <w:p w14:paraId="50E5AE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начальная скорость — 900 метр/секунд.</w:t>
      </w:r>
    </w:p>
    <w:p w14:paraId="1657A9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вес снаряда — 70 гр,</w:t>
      </w:r>
    </w:p>
    <w:p w14:paraId="3BFEF9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магазин — на 50 патронов,</w:t>
      </w:r>
    </w:p>
    <w:p w14:paraId="3FA820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режим стрельбы — возможность непрерывной очереди — 20-50 патронов.</w:t>
      </w:r>
    </w:p>
    <w:p w14:paraId="2FFAAE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Приспособить мотор-пушку под самолет И-26, обязав тов. Шахурина и тов. Яковлева оказать т. Шпитальному в этом содействие.</w:t>
      </w:r>
    </w:p>
    <w:p w14:paraId="3EF884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подать на испытание не позже 25 декабря с. г.» (10695).</w:t>
      </w:r>
    </w:p>
    <w:p w14:paraId="5EF5B8C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BD9E7B" w14:textId="77777777" w:rsidR="00477E8C" w:rsidRPr="00A3026E" w:rsidRDefault="00477E8C" w:rsidP="00A3026E">
      <w:pPr>
        <w:pStyle w:val="5e"/>
        <w:shd w:val="clear" w:color="auto" w:fill="auto"/>
        <w:spacing w:line="240" w:lineRule="auto"/>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lastRenderedPageBreak/>
        <w:t>4 октября 1940 г. Постановлением СНК СССР и ЦК ВКП(б) «Об изготовлении опытных образцов вооружения для НКО», согласно которому ОКБ-15 (Б.Г. Шпи тальный) и ОКБ-16 (Я.Г. Таубин и М.Н. Бабурин) должны были к 25 декабря предоставить установ</w:t>
      </w:r>
      <w:r w:rsidRPr="00A3026E">
        <w:rPr>
          <w:rFonts w:ascii="Times New Roman" w:hAnsi="Times New Roman" w:cs="Times New Roman"/>
          <w:color w:val="000000" w:themeColor="text1"/>
          <w:sz w:val="16"/>
          <w:szCs w:val="16"/>
        </w:rPr>
        <w:softHyphen/>
        <w:t>ленные на двигатели М-105П 37-мм пушки Ш-37 и БМА-37 соответственно. Они предназначались для Як-1, но уже в январе 1941 г. А.С. Яковлев, ко</w:t>
      </w:r>
      <w:r w:rsidRPr="00A3026E">
        <w:rPr>
          <w:rFonts w:ascii="Times New Roman" w:hAnsi="Times New Roman" w:cs="Times New Roman"/>
          <w:color w:val="000000" w:themeColor="text1"/>
          <w:sz w:val="16"/>
          <w:szCs w:val="16"/>
        </w:rPr>
        <w:softHyphen/>
        <w:t>торый, кроме руководства своим ОКБ, был еще и замом наркома авиапрома, поручил Шпитальному установить свое орудие на ЛаГГ-3 (19106).</w:t>
      </w:r>
    </w:p>
    <w:p w14:paraId="6C758A68" w14:textId="77777777" w:rsidR="00477E8C" w:rsidRPr="00A3026E" w:rsidRDefault="00477E8C" w:rsidP="00A3026E">
      <w:pPr>
        <w:pStyle w:val="5e"/>
        <w:shd w:val="clear" w:color="auto" w:fill="auto"/>
        <w:spacing w:line="240" w:lineRule="auto"/>
        <w:rPr>
          <w:rFonts w:ascii="Times New Roman" w:hAnsi="Times New Roman" w:cs="Times New Roman"/>
          <w:color w:val="000000" w:themeColor="text1"/>
          <w:sz w:val="16"/>
          <w:szCs w:val="16"/>
        </w:rPr>
      </w:pPr>
    </w:p>
    <w:p w14:paraId="744B9A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 решением СНК СССР и ЦК ВКП/б/ от за № 1882-779сс т. Шпитальному было поручено сконструировать и построить 37 мм. авиационную мотор-пушку со следующими показателями: вес системы-130-150 кгр., усилие отдачи 1300-1500 кгр., темп стрельбы 300-320 выстр./мин, начальная Скорость 900 мт/сек., вес снаряда- 700 гр., магазин на 20-50 патронов, непрерыв-очередь 20-50 патронов. Кроме того, в постановлении записано:</w:t>
      </w:r>
    </w:p>
    <w:p w14:paraId="137A22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"Приспособить мотор-пушку под самолет И-26, обязав т. Шахурина и т. Яковлева оказать т. Шпиталъному в этом содействие. Пушку подать на испытания не позднее 25 декабря с.г." Тем же постановлением поручено так же и т. Таубину сконструировать и построить 37 мм. пушку с теми же, приблизительно, данными и предъявить на испытания к 25 декабря (4156,1).</w:t>
      </w:r>
    </w:p>
    <w:p w14:paraId="4F9552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E8D141D"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4 октября 1940 Таубин сообщил заме</w:t>
      </w:r>
      <w:r w:rsidRPr="00A3026E">
        <w:rPr>
          <w:color w:val="000000" w:themeColor="text1"/>
          <w:sz w:val="16"/>
          <w:szCs w:val="16"/>
        </w:rPr>
        <w:softHyphen/>
        <w:t>стителю начальника вооружений и технического снабжения ГУ ВВС дивинженеру Сакриеру, что «за</w:t>
      </w:r>
      <w:r w:rsidRPr="00A3026E">
        <w:rPr>
          <w:color w:val="000000" w:themeColor="text1"/>
          <w:sz w:val="16"/>
          <w:szCs w:val="16"/>
        </w:rPr>
        <w:softHyphen/>
        <w:t>дание тов. Сталина о доведении темпа 23-мм пушки ОКБ-16 до 600 выстр./мин выполнено, с сохранени</w:t>
      </w:r>
      <w:r w:rsidRPr="00A3026E">
        <w:rPr>
          <w:color w:val="000000" w:themeColor="text1"/>
          <w:sz w:val="16"/>
          <w:szCs w:val="16"/>
        </w:rPr>
        <w:softHyphen/>
        <w:t>ем начальной скорости снаряда 900—910 м/с». При этом пушка МП-6 обеспечивает гарантированный темп стрельбы в диапазоне 600—650 выстр./мин. Таубин просил доложить генерал-лейтенанту Рыча- гову для личного доклада Сталину. Одновременно представлялся альбом фотографий опытных раз</w:t>
      </w:r>
      <w:r w:rsidRPr="00A3026E">
        <w:rPr>
          <w:color w:val="000000" w:themeColor="text1"/>
          <w:sz w:val="16"/>
          <w:szCs w:val="16"/>
        </w:rPr>
        <w:softHyphen/>
        <w:t>работок ОКБ-16, первый экземпляр которого был направлен И. В. Сталину.</w:t>
      </w:r>
    </w:p>
    <w:p w14:paraId="7549600B"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Вечером 4 октября у И. В. Сталина состоялось большое совещание по вопросу оснащения Крас</w:t>
      </w:r>
      <w:r w:rsidRPr="00A3026E">
        <w:rPr>
          <w:color w:val="000000" w:themeColor="text1"/>
          <w:sz w:val="16"/>
          <w:szCs w:val="16"/>
        </w:rPr>
        <w:softHyphen/>
        <w:t>ной Армии современными автоматическими образ</w:t>
      </w:r>
      <w:r w:rsidRPr="00A3026E">
        <w:rPr>
          <w:color w:val="000000" w:themeColor="text1"/>
          <w:sz w:val="16"/>
          <w:szCs w:val="16"/>
        </w:rPr>
        <w:softHyphen/>
        <w:t>цами стрелкового и пушечного вооружения.</w:t>
      </w:r>
    </w:p>
    <w:p w14:paraId="1AF67917"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работе совещания участвовали нарком обо</w:t>
      </w:r>
      <w:r w:rsidRPr="00A3026E">
        <w:rPr>
          <w:color w:val="000000" w:themeColor="text1"/>
          <w:sz w:val="16"/>
          <w:szCs w:val="16"/>
        </w:rPr>
        <w:softHyphen/>
        <w:t>роны маршал С. К. Тимошенко, замнаркома маршал Г. А. Кулик, начальник Генерального штаба генерал армии К. А. Мерецков, замначальника оперативно</w:t>
      </w:r>
      <w:r w:rsidRPr="00A3026E">
        <w:rPr>
          <w:color w:val="000000" w:themeColor="text1"/>
          <w:sz w:val="16"/>
          <w:szCs w:val="16"/>
        </w:rPr>
        <w:softHyphen/>
        <w:t>го управления комдив А. М. Василевский, нарком вооружений Б. Л. Ванников, конструкторы-оружей</w:t>
      </w:r>
      <w:r w:rsidRPr="00A3026E">
        <w:rPr>
          <w:color w:val="000000" w:themeColor="text1"/>
          <w:sz w:val="16"/>
          <w:szCs w:val="16"/>
        </w:rPr>
        <w:softHyphen/>
        <w:t>ники Я. Г. Таубин, Б. Г. Шпитальный и Г. С. Шпагин. В кабинет Сталина они вошли в 20.15. Там уже на</w:t>
      </w:r>
      <w:r w:rsidRPr="00A3026E">
        <w:rPr>
          <w:color w:val="000000" w:themeColor="text1"/>
          <w:sz w:val="16"/>
          <w:szCs w:val="16"/>
        </w:rPr>
        <w:softHyphen/>
        <w:t>ходились: председатель СНК СССР В. М. Молотов, председатель Комитета обороны маршал К. Е. Во</w:t>
      </w:r>
      <w:r w:rsidRPr="00A3026E">
        <w:rPr>
          <w:color w:val="000000" w:themeColor="text1"/>
          <w:sz w:val="16"/>
          <w:szCs w:val="16"/>
        </w:rPr>
        <w:softHyphen/>
        <w:t>рошилов, начальник ГУ ВВС генерал-лейтенант П. В. Рычагов. Позже подошли нарком внутренних дел Л. П. Берия, дивинженер И. Ф. Сакриер, член Политбюро ЦК ВКП(б) Н. С. Хрущев и член Комитета обороны А. А. Жданов.</w:t>
      </w:r>
    </w:p>
    <w:p w14:paraId="7C901AD4"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 результатам докладов оружейников о состо</w:t>
      </w:r>
      <w:r w:rsidRPr="00A3026E">
        <w:rPr>
          <w:color w:val="000000" w:themeColor="text1"/>
          <w:sz w:val="16"/>
          <w:szCs w:val="16"/>
        </w:rPr>
        <w:softHyphen/>
        <w:t>янии текущих и перспективных разработок авто</w:t>
      </w:r>
      <w:r w:rsidRPr="00A3026E">
        <w:rPr>
          <w:color w:val="000000" w:themeColor="text1"/>
          <w:sz w:val="16"/>
          <w:szCs w:val="16"/>
        </w:rPr>
        <w:softHyphen/>
        <w:t>матического вооружения, обмена мнениями и об</w:t>
      </w:r>
      <w:r w:rsidRPr="00A3026E">
        <w:rPr>
          <w:color w:val="000000" w:themeColor="text1"/>
          <w:sz w:val="16"/>
          <w:szCs w:val="16"/>
        </w:rPr>
        <w:softHyphen/>
        <w:t>суждения ряда связанных вопросов было принято постановление СНК СССР и ЦК ВКП(б) «Об изготов</w:t>
      </w:r>
      <w:r w:rsidRPr="00A3026E">
        <w:rPr>
          <w:color w:val="000000" w:themeColor="text1"/>
          <w:sz w:val="16"/>
          <w:szCs w:val="16"/>
        </w:rPr>
        <w:softHyphen/>
        <w:t>лении опытных образцов вооружения для НКО». Помимо представителей НКВ и ВВС, активное уча</w:t>
      </w:r>
      <w:r w:rsidRPr="00A3026E">
        <w:rPr>
          <w:color w:val="000000" w:themeColor="text1"/>
          <w:sz w:val="16"/>
          <w:szCs w:val="16"/>
        </w:rPr>
        <w:softHyphen/>
        <w:t>стие в обсуждении приняли маршалы Ворошилов, Тимошенко, Кулик.</w:t>
      </w:r>
    </w:p>
    <w:p w14:paraId="3F622F0D"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Согласно постановлению Б. Г. Шпитальному (ОКБ-15) и Я. Г. Таубину (ОКБ-16) поручалась раз</w:t>
      </w:r>
      <w:r w:rsidRPr="00A3026E">
        <w:rPr>
          <w:color w:val="000000" w:themeColor="text1"/>
          <w:sz w:val="16"/>
          <w:szCs w:val="16"/>
        </w:rPr>
        <w:softHyphen/>
        <w:t>работка 37-мм авиационной мотор-пушки. Срок предъявления пушек на испытания устанавливался «не позже 25 декабря с.г.». По заданию оба образца пушки имели магазинное питание и примерно оди</w:t>
      </w:r>
      <w:r w:rsidRPr="00A3026E">
        <w:rPr>
          <w:color w:val="000000" w:themeColor="text1"/>
          <w:sz w:val="16"/>
          <w:szCs w:val="16"/>
        </w:rPr>
        <w:softHyphen/>
        <w:t>наковые технические параметры.</w:t>
      </w:r>
    </w:p>
    <w:p w14:paraId="34B3DF43"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Вес пушки Шпитального (ОКБ-15) не должен был превышать 130—150 кг, усилие отдачи при стрельбе — не более 1300—1500 кг, темп стрель</w:t>
      </w:r>
      <w:r w:rsidRPr="00A3026E">
        <w:rPr>
          <w:color w:val="000000" w:themeColor="text1"/>
          <w:sz w:val="16"/>
          <w:szCs w:val="16"/>
        </w:rPr>
        <w:softHyphen/>
        <w:t>бы — 300—320 выстр./мин, начальная скорость снаряда — 900 м/с, магазин — 50 патронов. Режим стрельбы — возможность непрерывной очередью в 20—50 патронов.</w:t>
      </w:r>
    </w:p>
    <w:p w14:paraId="7388E980"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Пушка Таубина (ОКБ-16) имела следующие харак</w:t>
      </w:r>
      <w:r w:rsidRPr="00A3026E">
        <w:rPr>
          <w:color w:val="000000" w:themeColor="text1"/>
          <w:sz w:val="16"/>
          <w:szCs w:val="16"/>
        </w:rPr>
        <w:softHyphen/>
        <w:t>теристики: вес пушки — 130 кг, усилие отдачи при стрельбе — не более 2000 кг, начальная скорость снаряда — не менее 900 м/с, темп стрельбы — 330—350 выстр./мин, емкость магазина — 48 пат</w:t>
      </w:r>
      <w:r w:rsidRPr="00A3026E">
        <w:rPr>
          <w:color w:val="000000" w:themeColor="text1"/>
          <w:sz w:val="16"/>
          <w:szCs w:val="16"/>
        </w:rPr>
        <w:softHyphen/>
        <w:t>ронов. Необходимо было обеспечить «возможность непрерывной очереди не менее 48 патронов».</w:t>
      </w:r>
    </w:p>
    <w:p w14:paraId="6672BD5F"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При этом Б. Г. Шпитальный должен был устано</w:t>
      </w:r>
      <w:r w:rsidRPr="00A3026E">
        <w:rPr>
          <w:color w:val="000000" w:themeColor="text1"/>
          <w:sz w:val="16"/>
          <w:szCs w:val="16"/>
        </w:rPr>
        <w:softHyphen/>
        <w:t>вить мотор-пушку своей конструкции на запущен</w:t>
      </w:r>
      <w:r w:rsidRPr="00A3026E">
        <w:rPr>
          <w:color w:val="000000" w:themeColor="text1"/>
          <w:sz w:val="16"/>
          <w:szCs w:val="16"/>
        </w:rPr>
        <w:softHyphen/>
        <w:t>ный к этому времени в серийное производство истребитель И-26 М-105П, а нарком авиапромыш</w:t>
      </w:r>
      <w:r w:rsidRPr="00A3026E">
        <w:rPr>
          <w:color w:val="000000" w:themeColor="text1"/>
          <w:sz w:val="16"/>
          <w:szCs w:val="16"/>
        </w:rPr>
        <w:softHyphen/>
        <w:t>ленности А. И. Шахурин и главный конструктор самолета А. С. Яковлев обязывались оказать ему в этом содействие.</w:t>
      </w:r>
    </w:p>
    <w:p w14:paraId="5AD7D8AD"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дополнение Таубину поручалось сконструи</w:t>
      </w:r>
      <w:r w:rsidRPr="00A3026E">
        <w:rPr>
          <w:color w:val="000000" w:themeColor="text1"/>
          <w:sz w:val="16"/>
          <w:szCs w:val="16"/>
        </w:rPr>
        <w:softHyphen/>
        <w:t>ровать и подать не позже 25 декабря 1940 г. на по</w:t>
      </w:r>
      <w:r w:rsidRPr="00A3026E">
        <w:rPr>
          <w:color w:val="000000" w:themeColor="text1"/>
          <w:sz w:val="16"/>
          <w:szCs w:val="16"/>
        </w:rPr>
        <w:softHyphen/>
        <w:t>лигонные испытания 12,7-мм пулемет (в том числе в синхронном варианте) с темпом стрельбы и на</w:t>
      </w:r>
      <w:r w:rsidRPr="00A3026E">
        <w:rPr>
          <w:color w:val="000000" w:themeColor="text1"/>
          <w:sz w:val="16"/>
          <w:szCs w:val="16"/>
        </w:rPr>
        <w:softHyphen/>
        <w:t>чальной скоростью пули не хуже, чем у пулемета конструкции М. Е. Березина (ЦКБ-14), но вдвое лег</w:t>
      </w:r>
      <w:r w:rsidRPr="00A3026E">
        <w:rPr>
          <w:color w:val="000000" w:themeColor="text1"/>
          <w:sz w:val="16"/>
          <w:szCs w:val="16"/>
        </w:rPr>
        <w:softHyphen/>
        <w:t>че и с большей живучестью.</w:t>
      </w:r>
    </w:p>
    <w:p w14:paraId="25A045A8"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Отдельным распоряжением СНК СССР и ЦК ВКП(б), состоявшимся в этот же день, наркоматам авиапромышленности и вооружений ставилась за</w:t>
      </w:r>
      <w:r w:rsidRPr="00A3026E">
        <w:rPr>
          <w:color w:val="000000" w:themeColor="text1"/>
          <w:sz w:val="16"/>
          <w:szCs w:val="16"/>
        </w:rPr>
        <w:softHyphen/>
        <w:t>дача установить на закупленный в Германии и про</w:t>
      </w:r>
      <w:r w:rsidRPr="00A3026E">
        <w:rPr>
          <w:color w:val="000000" w:themeColor="text1"/>
          <w:sz w:val="16"/>
          <w:szCs w:val="16"/>
        </w:rPr>
        <w:softHyphen/>
        <w:t xml:space="preserve">ходивший в НИИ ВВС испытания двухмоторный истребитель </w:t>
      </w:r>
      <w:r w:rsidRPr="00A3026E">
        <w:rPr>
          <w:color w:val="000000" w:themeColor="text1"/>
          <w:sz w:val="16"/>
          <w:szCs w:val="16"/>
          <w:lang w:val="en-US"/>
        </w:rPr>
        <w:t>Bf</w:t>
      </w:r>
      <w:r w:rsidRPr="00A3026E">
        <w:rPr>
          <w:color w:val="000000" w:themeColor="text1"/>
          <w:sz w:val="16"/>
          <w:szCs w:val="16"/>
        </w:rPr>
        <w:t>110</w:t>
      </w:r>
      <w:r w:rsidRPr="00A3026E">
        <w:rPr>
          <w:color w:val="000000" w:themeColor="text1"/>
          <w:sz w:val="16"/>
          <w:szCs w:val="16"/>
          <w:lang w:val="en-US"/>
        </w:rPr>
        <w:t>C</w:t>
      </w:r>
      <w:r w:rsidRPr="00A3026E">
        <w:rPr>
          <w:color w:val="000000" w:themeColor="text1"/>
          <w:sz w:val="16"/>
          <w:szCs w:val="16"/>
        </w:rPr>
        <w:t xml:space="preserve"> пушки МП-6 и провести испы</w:t>
      </w:r>
      <w:r w:rsidRPr="00A3026E">
        <w:rPr>
          <w:color w:val="000000" w:themeColor="text1"/>
          <w:sz w:val="16"/>
          <w:szCs w:val="16"/>
        </w:rPr>
        <w:softHyphen/>
        <w:t>тания стрельбой боевыми снарядами по реальным целям на земле и с воздуха. Срок окончания рабо</w:t>
      </w:r>
      <w:r w:rsidRPr="00A3026E">
        <w:rPr>
          <w:color w:val="000000" w:themeColor="text1"/>
          <w:sz w:val="16"/>
          <w:szCs w:val="16"/>
        </w:rPr>
        <w:softHyphen/>
        <w:t>ты устанавливался не позже ноября 1940 г. (17500)</w:t>
      </w:r>
    </w:p>
    <w:p w14:paraId="109D0B96" w14:textId="77777777" w:rsidR="0066319C" w:rsidRPr="00A3026E" w:rsidRDefault="0066319C" w:rsidP="00A3026E">
      <w:pPr>
        <w:spacing w:after="0" w:line="240" w:lineRule="auto"/>
        <w:jc w:val="both"/>
        <w:rPr>
          <w:rFonts w:ascii="Times New Roman" w:hAnsi="Times New Roman"/>
          <w:color w:val="000000" w:themeColor="text1"/>
          <w:sz w:val="16"/>
          <w:szCs w:val="16"/>
        </w:rPr>
      </w:pPr>
    </w:p>
    <w:p w14:paraId="73D22C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вышел приказ НКАП N 302, которым завод им. Красина наркомата автомобильного транспорта УССР вошел в НКАП под номером 449 сначала во 2 ГУ, а потом в 4 ГУ (1647,30).</w:t>
      </w:r>
    </w:p>
    <w:p w14:paraId="611117E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7CE89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 был организован первый инструментальный завод треста Оргавиапром в соответствии с приказом НКАП за № 299 на базе трех заводов, а именно Завода штампов и приспособлений, переданного в систему НКАП в 1938 году, завода № 1 треста Оргавиапром созданного в 1939 году и завода № 2 «ЦИТ», переданного в систему НКАП в 1938 году. Основное назначение завода изготовление узлов ротора и крыльчатки к трубокомпрессорам, изготовление штампов, приспособлений и прессформ, а также пневмоизделий.</w:t>
      </w:r>
    </w:p>
    <w:p w14:paraId="79886C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год основания завода принят год начала строительства корпусов, в которых в настоящее время располагается завод, причем год начала строительства корпусов установлен опросным методом так как документальных данных нет.</w:t>
      </w:r>
    </w:p>
    <w:p w14:paraId="01A85F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год ввода в эксплуатацию принят год передачи Завода штампов и приспособлений в систему НКАП (9371).</w:t>
      </w:r>
    </w:p>
    <w:p w14:paraId="336BC3F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849E3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4 октя</w:t>
      </w:r>
      <w:r w:rsidRPr="00A3026E">
        <w:rPr>
          <w:rFonts w:ascii="Times New Roman" w:hAnsi="Times New Roman"/>
          <w:color w:val="000000" w:themeColor="text1"/>
          <w:sz w:val="16"/>
          <w:szCs w:val="16"/>
        </w:rPr>
        <w:softHyphen/>
        <w:t>бря по 15 ноября 1940 г. на НИПАВ ГУ ВВС КА проходила широкая программа полигонных испытаний облегченных РО-82 конструкции Огородникова. Этап исследования живучести потребовал от</w:t>
      </w:r>
      <w:r w:rsidRPr="00A3026E">
        <w:rPr>
          <w:rFonts w:ascii="Times New Roman" w:hAnsi="Times New Roman"/>
          <w:color w:val="000000" w:themeColor="text1"/>
          <w:sz w:val="16"/>
          <w:szCs w:val="16"/>
        </w:rPr>
        <w:softHyphen/>
        <w:t>стрела 163 боевых снарядов на наземном стенде. После каждого выстре</w:t>
      </w:r>
      <w:r w:rsidRPr="00A3026E">
        <w:rPr>
          <w:rFonts w:ascii="Times New Roman" w:hAnsi="Times New Roman"/>
          <w:color w:val="000000" w:themeColor="text1"/>
          <w:sz w:val="16"/>
          <w:szCs w:val="16"/>
        </w:rPr>
        <w:softHyphen/>
        <w:t>ла пусковую осматривали с пристрастием. Еще бы, - заводчане в очеред</w:t>
      </w:r>
      <w:r w:rsidRPr="00A3026E">
        <w:rPr>
          <w:rFonts w:ascii="Times New Roman" w:hAnsi="Times New Roman"/>
          <w:color w:val="000000" w:themeColor="text1"/>
          <w:sz w:val="16"/>
          <w:szCs w:val="16"/>
        </w:rPr>
        <w:softHyphen/>
        <w:t>ной раз решили превзойти конструкторов из могущественного НИИ-3 НКБ! Но, за исключением прогара трубки пиропистолета на 61-м выст</w:t>
      </w:r>
      <w:r w:rsidRPr="00A3026E">
        <w:rPr>
          <w:rFonts w:ascii="Times New Roman" w:hAnsi="Times New Roman"/>
          <w:color w:val="000000" w:themeColor="text1"/>
          <w:sz w:val="16"/>
          <w:szCs w:val="16"/>
        </w:rPr>
        <w:softHyphen/>
        <w:t>реле, неполадок больше не возникло. Заменив пиропистолсты новыми, из жаропрочной стали, военные до окончания всей программы испыта</w:t>
      </w:r>
      <w:r w:rsidRPr="00A3026E">
        <w:rPr>
          <w:rFonts w:ascii="Times New Roman" w:hAnsi="Times New Roman"/>
          <w:color w:val="000000" w:themeColor="text1"/>
          <w:sz w:val="16"/>
          <w:szCs w:val="16"/>
        </w:rPr>
        <w:softHyphen/>
        <w:t>ний с подобными неприятностями больше не сталкивались (11402).</w:t>
      </w:r>
    </w:p>
    <w:p w14:paraId="55AB71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2B0A2F1" w14:textId="77777777" w:rsidR="004226E1" w:rsidRPr="00A3026E" w:rsidRDefault="004226E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октября 1940 г. А.И. Рощин на аэроста</w:t>
      </w:r>
      <w:r w:rsidRPr="00A3026E">
        <w:rPr>
          <w:rFonts w:ascii="Times New Roman" w:hAnsi="Times New Roman"/>
          <w:color w:val="0070C0"/>
          <w:sz w:val="16"/>
          <w:szCs w:val="16"/>
        </w:rPr>
        <w:softHyphen/>
        <w:t>те «СССР ВР-70» объёмом 555 м3 достиг вы</w:t>
      </w:r>
      <w:r w:rsidRPr="00A3026E">
        <w:rPr>
          <w:rFonts w:ascii="Times New Roman" w:hAnsi="Times New Roman"/>
          <w:color w:val="0070C0"/>
          <w:sz w:val="16"/>
          <w:szCs w:val="16"/>
        </w:rPr>
        <w:softHyphen/>
        <w:t>соты 8370 м. Ранее он поднимался с Г.И. Голышевым на высоту 7500 м, а в сентябре 1940 г. с А.Ф. Крикуном при испытаниях аэро</w:t>
      </w:r>
      <w:r w:rsidRPr="00A3026E">
        <w:rPr>
          <w:rFonts w:ascii="Times New Roman" w:hAnsi="Times New Roman"/>
          <w:color w:val="0070C0"/>
          <w:sz w:val="16"/>
          <w:szCs w:val="16"/>
        </w:rPr>
        <w:softHyphen/>
        <w:t>стата объёмом в 2700 м3 — на 8500 м. Аэро</w:t>
      </w:r>
      <w:r w:rsidRPr="00A3026E">
        <w:rPr>
          <w:rFonts w:ascii="Times New Roman" w:hAnsi="Times New Roman"/>
          <w:color w:val="0070C0"/>
          <w:sz w:val="16"/>
          <w:szCs w:val="16"/>
        </w:rPr>
        <w:softHyphen/>
        <w:t>стат максимально облегчили для полёта, масса гондолы составила лишь 8 кг. А.И. Рощин имел кислородную маску, был одет в брюки на га</w:t>
      </w:r>
      <w:r w:rsidRPr="00A3026E">
        <w:rPr>
          <w:rFonts w:ascii="Times New Roman" w:hAnsi="Times New Roman"/>
          <w:color w:val="0070C0"/>
          <w:sz w:val="16"/>
          <w:szCs w:val="16"/>
        </w:rPr>
        <w:softHyphen/>
        <w:t>гачьем пуху и кожаное пальто. Старт состоялся в 13.27. Начав подъём со скоростью 5,5 м/с, Рощин увеличил её, выбросив на высоте 300 м 40 кг бал</w:t>
      </w:r>
      <w:r w:rsidRPr="00A3026E">
        <w:rPr>
          <w:rFonts w:ascii="Times New Roman" w:hAnsi="Times New Roman"/>
          <w:color w:val="0070C0"/>
          <w:sz w:val="16"/>
          <w:szCs w:val="16"/>
        </w:rPr>
        <w:softHyphen/>
        <w:t>ласта. Постоянно поднимаясь, аэростат пролетел над центром Москвы. На высоте 6000 м Рощин выбросил последний взлётный балласт. В гондо</w:t>
      </w:r>
      <w:r w:rsidRPr="00A3026E">
        <w:rPr>
          <w:rFonts w:ascii="Times New Roman" w:hAnsi="Times New Roman"/>
          <w:color w:val="0070C0"/>
          <w:sz w:val="16"/>
          <w:szCs w:val="16"/>
        </w:rPr>
        <w:softHyphen/>
        <w:t>ле осталось 20 кг посадочного и 40 кг резервного балласта. В районе Оки аэростат шёл уже на вы</w:t>
      </w:r>
      <w:r w:rsidRPr="00A3026E">
        <w:rPr>
          <w:rFonts w:ascii="Times New Roman" w:hAnsi="Times New Roman"/>
          <w:color w:val="0070C0"/>
          <w:sz w:val="16"/>
          <w:szCs w:val="16"/>
        </w:rPr>
        <w:softHyphen/>
        <w:t>соте 6500 м. Начиная с высоты 7000 м аэронавт испытывал холод. Ему приходилось рукой про</w:t>
      </w:r>
      <w:r w:rsidRPr="00A3026E">
        <w:rPr>
          <w:rFonts w:ascii="Times New Roman" w:hAnsi="Times New Roman"/>
          <w:color w:val="0070C0"/>
          <w:sz w:val="16"/>
          <w:szCs w:val="16"/>
        </w:rPr>
        <w:softHyphen/>
        <w:t>тирать заиндевевшие стёкла приборов и выды</w:t>
      </w:r>
      <w:r w:rsidRPr="00A3026E">
        <w:rPr>
          <w:rFonts w:ascii="Times New Roman" w:hAnsi="Times New Roman"/>
          <w:color w:val="0070C0"/>
          <w:sz w:val="16"/>
          <w:szCs w:val="16"/>
        </w:rPr>
        <w:softHyphen/>
        <w:t>хательный клапан кислородной аппаратуры. На высоте более 8000 м подъём прекратился. Открыв клапан оболочки аэростата и выпустив 10 м3 газа, Рощин направил «СССР ВР-70» на снижение. На высоте 4000 м он выключил кислородный при</w:t>
      </w:r>
      <w:r w:rsidRPr="00A3026E">
        <w:rPr>
          <w:rFonts w:ascii="Times New Roman" w:hAnsi="Times New Roman"/>
          <w:color w:val="0070C0"/>
          <w:sz w:val="16"/>
          <w:szCs w:val="16"/>
        </w:rPr>
        <w:softHyphen/>
        <w:t>бор и снял маску. Для снижения скорости спуска аэронавт на высоте 200 м спустил на грузовом па</w:t>
      </w:r>
      <w:r w:rsidRPr="00A3026E">
        <w:rPr>
          <w:rFonts w:ascii="Times New Roman" w:hAnsi="Times New Roman"/>
          <w:color w:val="0070C0"/>
          <w:sz w:val="16"/>
          <w:szCs w:val="16"/>
        </w:rPr>
        <w:softHyphen/>
        <w:t>рашюте уложенные в парашютный чехол кисло</w:t>
      </w:r>
      <w:r w:rsidRPr="00A3026E">
        <w:rPr>
          <w:rFonts w:ascii="Times New Roman" w:hAnsi="Times New Roman"/>
          <w:color w:val="0070C0"/>
          <w:sz w:val="16"/>
          <w:szCs w:val="16"/>
        </w:rPr>
        <w:softHyphen/>
        <w:t>родный баллон, маску и другие вещи, а с высоты 50 м с другим грузовым парашютом выбросил свой парашют и гайдроп. В 2 м от поверхности земли он выпустил с помощью разрывного при</w:t>
      </w:r>
      <w:r w:rsidRPr="00A3026E">
        <w:rPr>
          <w:rFonts w:ascii="Times New Roman" w:hAnsi="Times New Roman"/>
          <w:color w:val="0070C0"/>
          <w:sz w:val="16"/>
          <w:szCs w:val="16"/>
        </w:rPr>
        <w:softHyphen/>
        <w:t>способления газ из оболочки, но сильный ветер всё-таки протащил гондолу 300-400 м по полю. В 15.28 полёт завершился в 9 км от г. Михайло</w:t>
      </w:r>
      <w:r w:rsidRPr="00A3026E">
        <w:rPr>
          <w:rFonts w:ascii="Times New Roman" w:hAnsi="Times New Roman"/>
          <w:color w:val="0070C0"/>
          <w:sz w:val="16"/>
          <w:szCs w:val="16"/>
        </w:rPr>
        <w:softHyphen/>
        <w:t>ва Рязанской области. За 2 ч 1 мин полёта, достиг</w:t>
      </w:r>
      <w:r w:rsidRPr="00A3026E">
        <w:rPr>
          <w:rFonts w:ascii="Times New Roman" w:hAnsi="Times New Roman"/>
          <w:color w:val="0070C0"/>
          <w:sz w:val="16"/>
          <w:szCs w:val="16"/>
        </w:rPr>
        <w:softHyphen/>
        <w:t>нув рекордной высоты в 8370 м, аэростат проле</w:t>
      </w:r>
      <w:r w:rsidRPr="00A3026E">
        <w:rPr>
          <w:rFonts w:ascii="Times New Roman" w:hAnsi="Times New Roman"/>
          <w:color w:val="0070C0"/>
          <w:sz w:val="16"/>
          <w:szCs w:val="16"/>
        </w:rPr>
        <w:softHyphen/>
        <w:t>тел 222 км (20120).</w:t>
      </w:r>
    </w:p>
    <w:p w14:paraId="6D67B750" w14:textId="77777777" w:rsidR="004226E1" w:rsidRPr="00A3026E" w:rsidRDefault="004226E1" w:rsidP="00A3026E">
      <w:pPr>
        <w:spacing w:after="0" w:line="240" w:lineRule="auto"/>
        <w:jc w:val="both"/>
        <w:rPr>
          <w:rFonts w:ascii="Times New Roman" w:hAnsi="Times New Roman"/>
          <w:color w:val="0070C0"/>
          <w:sz w:val="16"/>
          <w:szCs w:val="16"/>
        </w:rPr>
      </w:pPr>
    </w:p>
    <w:p w14:paraId="2D1FB32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34282FB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4BC4054"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 и</w:t>
      </w:r>
      <w:r w:rsidRPr="00A3026E">
        <w:rPr>
          <w:rStyle w:val="a7"/>
          <w:rFonts w:ascii="Times New Roman" w:hAnsi="Times New Roman"/>
          <w:b w:val="0"/>
          <w:bCs w:val="0"/>
          <w:color w:val="000000" w:themeColor="text1"/>
          <w:sz w:val="16"/>
          <w:szCs w:val="16"/>
        </w:rPr>
        <w:t>з докладной записки Госплана СССР в СНК СССР о ходе выполнения третьего пятилетнего плана развития народного хозяйства</w:t>
      </w:r>
    </w:p>
    <w:p w14:paraId="44FC81C0"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III. Выполнение плана нового капитального строительства и его размещение</w:t>
      </w:r>
    </w:p>
    <w:p w14:paraId="260A752C"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Капитальные работы</w:t>
      </w:r>
    </w:p>
    <w:p w14:paraId="7A3DEB54"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Общий объем капитальных работ по народному хозяйству СССР за три года (1938-1940) составит, по предварительной оценке, примерно 107 млрд. руб., в том числе по основному плану капитальных работ (без внелимитных затрат) около 90 млрд. руб.; из них за 1938 г.-28,4 млрд. руб., за 1939 г.-30,6 млрд. руб. и за 1940 г., по предварительной оценке, около 31 млрд. руб.</w:t>
      </w:r>
    </w:p>
    <w:p w14:paraId="3479E742"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промышленность вложено в 1938 г. 14,3 млрд. руб. и в 1939 г.-16,6 млрд. руб. В 1940 г. годовым планом предусмотрены вложения в размере 22,7 млрд. руб. Общая сумма вложений в промышленность за три года составит 53,6 млрд. руб., или 48% по отношению к плану III пятилетки.</w:t>
      </w:r>
    </w:p>
    <w:p w14:paraId="43A99EA0"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транспорт вложено в 1938 г. 6,4 млрд. руб. и в 1939 г. 5,9 млрд. руб. В 1940 г. годовым планом предусмотрены вложения в размере 9,2 млрд. руб. Всего за три года сумма вложений в транспорт составит 21,5 млрд. руб., или 58% от плана III пятилетки.</w:t>
      </w:r>
    </w:p>
    <w:p w14:paraId="5D373D2F"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 сельское хозяйство вложено в 1938 г. 1,9 млрд. руб., в 1939 г.-1,6 млрд. руб. и в 1940 г. по плану 1,4 млрд. руб. За три года объем капиталовложений составит в сельское хозяйство 4,9 млрд. руб., или 44% от плана III пятилетки.</w:t>
      </w:r>
    </w:p>
    <w:p w14:paraId="2B3324D8"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Ввод в действие новых и реконструированных предприятий составил в 1938 г. 24,5 млрд. руб. и в 1939 г.-26,2 млрд. руб., а включая внелимитное строительство, соответственно, 29,3 млрд. руб. и 35,6 млрд. руб., или 64,9 млрд. руб. за два года (по фактической стоимости).</w:t>
      </w:r>
    </w:p>
    <w:p w14:paraId="6419341B"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важнейшим отраслям производственные мощности за 1»оо 1940 гг., по предварительной оценке, возрастают в следующих размерах: по электростанциям с 8,1 млн. квт в 1937 г. до П млн. квт в 1940 г. при задании третьей пятилетки о доведении мощности электростанций к концу 1942 г. до 17,2 млн. квт. По угольной промышленности НКугля со 180 млн. т в 1937 г. до 235 млн. т угля в 1940 г. По хлопчатобумажной промышленности количество хлопкопрядильных веретен возросло за 1938-1940 гг. в 1,15 раза при задании третьего пятилетнего плана об увеличении за 5 лет в 1,5 раза.</w:t>
      </w:r>
    </w:p>
    <w:p w14:paraId="35F0CE25"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Значительно отстает также выполнение плана по увеличению производственных мощностей по черной металлургии, нефтяной промышленности, в частности по первичной переработке нефти, торфяной промышленности, химической промышленности, цементной, по вагоностроению, паровозостроению, автомобилестроению и текстильному машиностроению, по бумажной промышленности, сахарной, по вводу в действие новых железнодорожных путей и по школьному и больничному строительству.</w:t>
      </w:r>
    </w:p>
    <w:p w14:paraId="72212F37"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color w:val="000000" w:themeColor="text1"/>
          <w:sz w:val="16"/>
          <w:szCs w:val="16"/>
        </w:rPr>
        <w:t>Размещение нового строительства</w:t>
      </w:r>
    </w:p>
    <w:p w14:paraId="7E1D3FA5"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истекшие годы третьей пятилетки по ряду отраслей хозяйства достигнуты значительные изменения в размещении производства по районам СССР в обеспечение выполнения директив XVIII съезда ВКП(б) о комплексном развитии основных экономических районов страны, о создании дублеров в ряде отраслей промышленности и о сокращении нерациональных и чрезмерно дальних перевозок [15].</w:t>
      </w:r>
    </w:p>
    <w:p w14:paraId="431FA815"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основным экономическим районам необходимо отметить следующее:</w:t>
      </w:r>
    </w:p>
    <w:p w14:paraId="3080134F"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Значительно возросла добыча угля в новых районах. По бассейнам Восточной Сибири добыча выросла почти до 8 млн. т в 1939 г. против 5,7 млн. т в 1937 г.; по Уралу - до 9,6 млн. т в 1939 г. против 8 млн. т в 1937 г.; по Дальнему Востоку добыча в 1939 г. по сравнению с 1937 г. выросла на 1 млн. т.</w:t>
      </w:r>
    </w:p>
    <w:p w14:paraId="3C7183D5"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ряде областей (Ивановской, Калининской, Кировской) за 1938-1940 гг. наблюдается значительный рост добычи торфа. Впервые в 1939 г. и в 1940 г. начинается добыча торфа в Казахской ССР, в Алтайском крае, в Молотовской области, Сталинградской [области], в Марийской АССР, в Чувашской АССР и в других. В ряде областей уже за 1938 и 1939 гг. добыча угля по новым месторождениям увеличилась в несколько раз. Заново начала развиваться добыча угля по Домбаровскому, Полтаво-Брединскому, Берчогурскому, Соль-Илецкому, Чокпакскому, Мангышлакскому и другим месторождениям.</w:t>
      </w:r>
    </w:p>
    <w:p w14:paraId="69DB5CD1"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Начато строительство ряда предприятий черной и цветной металлургии, машиностроения и других отраслей в новых экономических районах СССР: ферросплавные заводы в Кузбассе и на Урале, Халиловский завод на Урале, алюминиевые комбинаты в Каменске, Сталинске и Кандалакше, завод вторичного цветного металла на Урале, ряд котельных заводов, заводов по производству турбин, трансформаторов, электромоторов, электроизмерительных приборов, заводов тяжелого машиностроения и станкостроения в Поволжье, на Урале, в Западной и Восточной Сибири.</w:t>
      </w:r>
    </w:p>
    <w:p w14:paraId="1F84A0FC"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в размещении нового строительства по районам СССР имеется ряд серьезных недостатков, основными из которых являются: необеспеченность в должных масштабах комплексного развития хозяйства ряда экономических районов СССР, в результате чего их зависимость от дальнепривозного топлива, цемента и других продуктов за первые годы пятилетки не уменьшилась, а увеличилась.</w:t>
      </w:r>
    </w:p>
    <w:p w14:paraId="3E209BF8"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Создание новых производственных баз в угольной, нефтяной, цементной и других отраслях промышленности отстает от задания III пятилетнего плана, в результате чего не обеспечивается в должных размерах комплексное развитие ряда экономических районов страны. В частности, увеличился завоз угля в районы Средней Азии, Урала, Дальнего Востока, Центра в 1939 г. по сравнению с 1938 г. По районам Центра это увеличение составило 3 млн. т, по Дальнему Востоку-400 тыс. т, по Средней Азии и Казахской ССР -366 тыс. т.</w:t>
      </w:r>
    </w:p>
    <w:p w14:paraId="040C4A52"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Рост добычи нефти за 1938 и 1939 гг. по новым районам также отстает от заданий третьего пятилетнего плана и особенно в районах Второго Баку.</w:t>
      </w:r>
    </w:p>
    <w:p w14:paraId="668BDB5E"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Неудовлетворительно выполняется также план развития черной металлургии в районах Центра. За последние два года III пятилетки выплавка чугуна на металлургических заводах Центра уменьшилась на 240 тыс. т, или на 21% по сравнению с 1937 г. В результате сокращения выплавки чугуна по районам Центра увеличился завоз чугуна с юга.</w:t>
      </w:r>
    </w:p>
    <w:p w14:paraId="1E6B8C1A"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лесной промышленности отсутствие строительства ряда новых лесовозных дорог привело к срыву установленного XVIII съездом ВКП(б) перемещения лесозаготовок в районы Европейского Севера, Урала и Дальнего Востока [16]. Наркомлес в 1939 г. снизил объем лесозаготовок по Европейскому Северу на 4% и по Дальнему Востоку на 8% по сравнению с 1937 г. Наркомлес также не обеспечил выполнение решения XVIII съезда ВКП(б) об усилении производственной базы лесопиления в районах Европейского Севера, Сибири и Дальнего Востока путем строительства новых заводов и переноса лесопильных рам из малолесных районов.</w:t>
      </w:r>
    </w:p>
    <w:p w14:paraId="1EEA8AF4"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резкое увеличение перевозок цемента, вследствие того что план нового строительства цементных заводов в ряде районов выполнялся совершенно неудовлетворительно. В частности, в восточных районах производство цемента за 1939 г. составило лишь 773,1 тыс. т по сравнению с 915 тыс. т за 1937 г., т.е. снизилось на 15%, в то время как общее уменьшение по стране размеров производства цемента составило 5%. В результате этого обеспеченность строительства цементом в восточных районах снизилась, а дальние перевозки цемента резко возросли.</w:t>
      </w:r>
    </w:p>
    <w:p w14:paraId="26E16D63"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Неудовлетворительно выполняется задача III пятилетнего плана об организации производства в каждом крае, области и республике в достаточном количестве массовых наиболее нетранспортабельных изделий легкой и пищевой промышленности и особенно в таких экономических районах, как Дальний Восток, Восточная Сибирь, Урал и Европейский Север. Производство соли по Уралу снизилось с 77 тыс. т в 1937 г. до 42 тыс. т в 1939 г., по Туркменской ССР соответственно - с 95 тыс. т до 48 тыс. т, по Крымской АССР - с 64 тыс. т до 58 тыс. т.</w:t>
      </w:r>
    </w:p>
    <w:p w14:paraId="312E3207"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Прирост продукции за истекшие три года пятилетки по макаронам, кондитерским изделиям идет главным образом за счет старых, наиболее обеспеченных районов. Из намеченных пятилетним планом 38 предприятий пищевой промышленности в районах Востока строятся не все, причем строительство ведется чрезвычайно медленно.</w:t>
      </w:r>
    </w:p>
    <w:p w14:paraId="5441FFD2"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таких экономических очагах страны, как восточные районы, Урал и Поволжье за первые годы пятилетки отчасти созданы и строятся предприятия-дублеры по ряду отраслей промышленности: ферросплавные заводы в Кузбассе и на Урале, алюминиевые комбинаты на Урале и в Западной Сибири, а также на Европейском Севере, ряд заводов котлостроения, турбостроения, электромашиностроения, станкостроения в Поволжье, на Урале, в Западной и Восточной Сибири, цементные заводы в Восточной Сибири, на Дальнем Востоке и др. Осуществляется строительство предприятий нефтепереработки и химической промышленности в новых районах.</w:t>
      </w:r>
    </w:p>
    <w:p w14:paraId="03000DDC"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Развитие восточных районов СССР отстает от заданий пятилетки по всем отраслям хозяйства и в первую очередь по топливной, металлургической промышленности, промышленности строительных материалов и текстильной, а также по сельскому хозяйству. В первые два года пятилетки капиталовложения в восточные районы СССР осуществлялись на более низком уровне, чем это предусмотрено III пятилетним планом. Так, в 1938 г. объем работ по восточным районам составил лишь 25% к общему объему капитальных работ по СССР и в 1939 г.-24% к общему объему работ по СССР против 34%, предусмотренных третьим пятилетним планом. Валовая продукция промышленности за первые годы пятилетки в районах Европейской части СССР росла также быстрее, чем</w:t>
      </w:r>
    </w:p>
    <w:p w14:paraId="342059FC"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восточных районах. Если за 1938-1939 гг. выплавка чугуна в СССР осталась на уровне 1937 г., то в восточных районах она сократилась на 225 тыс. т, или на 5,5%. Особенно необходимо отметить уменьшение добычи железной руды на Урале (добыча железной руды на Урале в 1939 г. была на 873 тыс. т меньше, чем в 1937 г.). В соответствии с этим удельный вес Востока в общем производстве чугуна снизился с 28,3% в 1937 г. до 26,7% в 1939 г. Рост производственных мощностей на заводах черной металлургии в восточных районах отстает от задания III пятилетки также более значительно, чем в целом по СССР. В восточных районах за 1938-1940 гг. не было введено ни одной доменной печи. Отстает от заданий пятилетки и создание собственной железорудной базы в Западной Сибири. Строительство рудников и дорог к ним не обеспечивает ввода соответствующих мощностей в 1942 г.</w:t>
      </w:r>
    </w:p>
    <w:p w14:paraId="5828E0B4"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выполняется задание пятилетки о создании на Урале и в Западной Сибири своей собственной марганцевой базы. Завоз марганцевой руды на Урал и в Новосибирскую область в первые годы пятилетки не сократился.</w:t>
      </w:r>
    </w:p>
    <w:p w14:paraId="33414729"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Неудовлетворительно выполняется также задача создания второй текстильной базы на Востоке СССР. В III пятилетнем плане предусмотрен ввод в действие новых хлопчатобумажных комбинатов в Барнауле, Новосибирске и Кузбассе, вторая очередь Ташкентского хлопчатобумажного комбината, строительство ряда новых предприятий в Кемерово, Сталинске и других городах Западной Сибири, строительство двух фабрик в Казахской ССР.</w:t>
      </w:r>
    </w:p>
    <w:p w14:paraId="6A53CDB4"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за исключением строительства второй очереди Барна</w:t>
      </w:r>
      <w:r w:rsidRPr="00A3026E">
        <w:rPr>
          <w:rFonts w:ascii="Times New Roman" w:hAnsi="Times New Roman"/>
          <w:color w:val="000000" w:themeColor="text1"/>
          <w:sz w:val="16"/>
          <w:szCs w:val="16"/>
        </w:rPr>
        <w:softHyphen/>
        <w:t>ульского и Ташкентского комбинатов, которые также строятся неудовлетворительно, работа по остальным предприятиям почти не производилась. За 3 года пятилетки 65% всех вложений в текстильную промышленность Союза было направлено в районы Центра и Северо-Запада и только 16% в текстильную промышленность Западной Сибири, среднеазиатских республик и Казахской ССР. Вследствие этого план прироста мощностей по хлопчатобумажной промышленности в новых районах не выполняется.</w:t>
      </w:r>
    </w:p>
    <w:p w14:paraId="2C075C1E"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За годы третьей пятилетки повысился хозяйственный и культурный уровень национальных республик и областей. Огромное значение для хозяйственного и культурного подъема имеют:</w:t>
      </w:r>
    </w:p>
    <w:p w14:paraId="3165A9B1"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Казахской ССР - ввод в действие Балхашского медеплавильного комбината, начало строительства Джезказганского медного комбината, ввод в действие угольных шахт мощностью более 2,5 млн. т, железнодорожных линий Караганда-Балхаш, Рубцовка-Риддер, Уральск-Елецк, Гурьев-Косчагыльского водопровода протяженностью в 183 км, строительство крупного оперного театра в Алма-Ате.</w:t>
      </w:r>
    </w:p>
    <w:p w14:paraId="242BA705"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Киргизской ССР - ввод в действие шелкомотальной фабрики в Оше, ряда угольных шахт и строительство театра на тысячу мест во Фрунзе.</w:t>
      </w:r>
    </w:p>
    <w:p w14:paraId="39B33BBD"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Узбекской ССР - ввод в действие Чирчикской ГЭС, азотно тукового комбината, Кувасайской ГЭС на 12 тыс. квт, вторая очередь Ташкентского текстильного комбината, мясоконсервный комбинат в г. Муйнаке Кара-Калпакской АССР.</w:t>
      </w:r>
    </w:p>
    <w:p w14:paraId="2C07A218"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 Таджикской ССР - ввод в действие хлопкоочистительных заводов в Мельникове и Регаре, мясокомбината в Сталинаба-де, строительство хлопчатобумажного комбината, цементного завода, а также крупного театра в Сталинабаде.</w:t>
      </w:r>
    </w:p>
    <w:p w14:paraId="3BE243CB"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Туркменской ССР - строительство цементного завода в Ашхабаде.</w:t>
      </w:r>
    </w:p>
    <w:p w14:paraId="724F8AC0"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Огромное значение для хозяйственного развития среднеазиатских республик имеет также строительство ирригационных сооружений и дорог, осуществляемых методом строительства Ферганского канала.</w:t>
      </w:r>
    </w:p>
    <w:p w14:paraId="708AD6F1"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Грузинской ССР - ввод в действие электростанций АцГЭС мощностью в 16 тыс. квт, ЗАГЭС на 24 тыс. квт, литопончого завода в Кутаиси на 12 тыс. т барита, цитрусового комбината на 9,5 млн. банок, трикотажного комбината в Тбилиси, частично введенного в действие.</w:t>
      </w:r>
    </w:p>
    <w:p w14:paraId="1964CAAC"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Армянской ССР - ввод в действие первой очереди КанакирГЭС и СК-Совпреи, открытие (частичное) Дома правительства в Еревани, а также открытие в Еревани оперного театра.</w:t>
      </w:r>
    </w:p>
    <w:p w14:paraId="4ABFEA59"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Азербайджанской ССР - ввод в действие Кирова-бадского хлопчатобумажного комбината на 18 тыс. веретен, пуск турбины в 25 тыс. квт на Сумгаитской ТЭЦ, частичный ввод консервного завода в Хамчасе, открытие музыкального училища в Баку.</w:t>
      </w:r>
    </w:p>
    <w:p w14:paraId="3F8E2535"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и вводу в действие важнейших объектов, предусмотренных третьим пятилетним планом, необходимо отметить следующее:</w:t>
      </w:r>
    </w:p>
    <w:p w14:paraId="4B364A07"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машиностроению. Горьковский завод тяжелых станков введен в действие на полную мощность в I квартале 1940 г. Краматорский завод тяжелых станков вступит в действие на полную мощность в IV квартале 1940 г. Начат строительством в 1938 г. Свердловский завод тяжелых станков с вводом в действие в 1942 г.</w:t>
      </w:r>
    </w:p>
    <w:p w14:paraId="7CC2DE55"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Заводы фрезерных станков в Горьком и станков-автоматов - в Киеве заканчиваются строительством в 1940-1941 гг. В 1940 г. начаты строительством: завод шлифовальных станков в Воронеже, расточных станков в Новосибирске, крупных токарных станков в Ульяновске, прецизионных станков в Пензе, автоматов и револьверных станков - в Алапаевске.</w:t>
      </w:r>
    </w:p>
    <w:p w14:paraId="5AD86361"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Ведутся проектно-изыскательские работы и проектирование по строительству заводов тяжелого станкостроения, протяжных станков - в Поволжье, агрегатных станков - во Владимире и универсальных станков - в районе Новосибирска.</w:t>
      </w:r>
    </w:p>
    <w:p w14:paraId="3A696DDC"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заводам кузнечно-прессового оборудования начато строительство в Троицке. Проведены проектно-изыскательские работы по строительству завода в Балашове. Завод паровых турбин в районе Свердловска будет закончен строительством к концу третьей пятилетки. В 1940 г. он вводится на половину мощности.</w:t>
      </w:r>
    </w:p>
    <w:p w14:paraId="79A860CB"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этом же году начинается строительство завода паровых турбин в Калуге.</w:t>
      </w:r>
    </w:p>
    <w:p w14:paraId="4B963DB6" w14:textId="77777777" w:rsidR="00DF0BAC" w:rsidRPr="00A3026E" w:rsidRDefault="00DF0BAC" w:rsidP="00A3026E">
      <w:pPr>
        <w:pStyle w:val="ae"/>
        <w:spacing w:before="0" w:after="0"/>
        <w:jc w:val="both"/>
        <w:rPr>
          <w:color w:val="000000" w:themeColor="text1"/>
          <w:sz w:val="16"/>
          <w:szCs w:val="16"/>
        </w:rPr>
      </w:pPr>
      <w:r w:rsidRPr="00A3026E">
        <w:rPr>
          <w:color w:val="000000" w:themeColor="text1"/>
          <w:sz w:val="16"/>
          <w:szCs w:val="16"/>
        </w:rPr>
        <w:t>К строительству заводов в районе Уфы и Новосибирска не преступлено, и по этим заводам ведутся проектные работы. Не приступлено также к строительству заводов паровых турбин в Новочеркасске и гидротурбин в Сталинграде (вместо предполагавшегося строительства в Куйбышеве), по которым ведутся проектные работы.</w:t>
      </w:r>
    </w:p>
    <w:p w14:paraId="5DCA5398"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Начаты строительством заводы: вспомогательного и комплектующего энергетического оборудования, котлов нормального давления в Белгороде, котлов повышенного давления в Сталинске, трансформаторный завод в Свердловске, турбогенераторный в Лысьве, электромоторный в Томске, электроизмерительных приборов в Саранске и завод электроосветительной арматуры в Ворошилове.</w:t>
      </w:r>
    </w:p>
    <w:p w14:paraId="35F5DE50"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Продолжается строительство заводов, перешедших со второго пятилетия: высоковольтной аппаратуры в Свердловске, электроизоляционных материалов в Хотькове, электролампового завода в Рязани. Ведутся проектные работы по организации массового производства ветродвигателей.</w:t>
      </w:r>
    </w:p>
    <w:p w14:paraId="345E72B6"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осуществление задания пятилетки об окончании строительства Горьковского и Московского автозаводов введено в действиг на 1 января 1940 г. мощностей: по Горьковскому автозаводу - 180 тыс. штук автомобилей и по Московскому автозаводу - 84 тыс. автомобилей. Вступает в действие в 1940 г. завод малолитражных автомобилей. По автосборочным заводам введен в действие Ростовский завод, строится Омский завод и планом проектно-изыска-тельских работ на 1940 г. предусмотрено проектирование заводов в Кременчуге, Ташкенте, Комсомольске и Иркутске. К строительству нового завода грузовых автомашин не приступлено. Ведется проектирование завода грузовых машин по строительству его в Новосибирске.</w:t>
      </w:r>
    </w:p>
    <w:p w14:paraId="26638D2E"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смежным предприятиям автопромышленности ведется проектирование: завода автотракторных деталей в Новосибирске, Казани, Чите; Чусовского рессорного завода; заводов поковок и изделий из прутка в Краснодаре; завода запасных частей холодно-штамповых и из прутка в Рязани.</w:t>
      </w:r>
    </w:p>
    <w:p w14:paraId="542BE81D"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обеспечение заданий пятилетки о создании на Востоке базы по производству сельскохозяйственного машиностроения, по сборке и ремонту тракторов планом 1940 г. предусмотрены проектно-изыскательские работы для строительства в 1941 г. в Красноярске завода сельскохозяйственного машиностроения и проектируется завод по сборке тракторов.</w:t>
      </w:r>
    </w:p>
    <w:p w14:paraId="33748889"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первые три года третьей пятилетки зазоды сельскохозяйственного машиностроения на Востоке не строились. Начат строительством в 1938 г. Курский завод текстильных машин. По Западно-Сибирскому заводу ткацких и отделочных машин ведутся проектно-изыскательские работы. Первая очередь Саратовского завода шарикоподшипников мощностью в 6,5 млн. штук войдет в действие в конце 1941 г. По новым заводам шарико- и роликоподшипников ведется проектирование для строительства одного завода в районе Урала и второго в районе Новосибирска. Завод бумагоделательных машин начат строительством в Уфе. В настоящее время это строительство почти приостановлено.</w:t>
      </w:r>
    </w:p>
    <w:p w14:paraId="18A6CE1B"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Новый паровозостроительный завод, предусмотренный планом третьей пятилетки, строительством не начат. В 1940 г. предусмотрено проведение проектно-изыскательских работ.</w:t>
      </w:r>
    </w:p>
    <w:p w14:paraId="523DAF95"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заводов химического машиностроения строятся: завод тяжелого химического машиностроения в ;Свердловске с расчетом ввода его в действие в конце третьей пятилетки. По заводу среднего химического машиностроения в 1940 г. проводятся проектно-изыскательские работы. Ведется также проектирование заводов специального машиностроения, несложного химического оборудования и др.</w:t>
      </w:r>
    </w:p>
    <w:p w14:paraId="2385D5CD"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электрификации. Фактический прирост мощностей за 1938-1939 гг. по тепловым электростанциям Наркомэлектро составляет 751 мвт, из них на 15 расширяемых тепловых электростанциях 612 мвт и на пяти новостроящихся тепловых станциях 159 мвт. При этом удельный вес мощности малых агрегатов (от 3 до 12 мвт) в общей мощности, вводимой в действие, повышается с 3,5% в 1938-1939 гг. до 8% в 1940 г. и в 1941 г. ориентировочно до 30-35%. В 1938 г. начато строительство трех электростанций мощностью до 25 мвт каждая, в 1939 г. - также трех станций и в 1940 г. - 12 станций. В стадии проектирования находится 41 электростанция мощностью до 25 мвт. Средняя мощность начатых строительством электростанций составляет: в 1938 г. - 24 мвт, в 1939 г. - 30,5 мвт и в 1940 г. - по плану 27,8 мвт.</w:t>
      </w:r>
    </w:p>
    <w:p w14:paraId="6067D7D0"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Недостаточно выполняется директива третьей пятилетки об усилении строительства гидростанций. Из общего количества введенных в 1938-1939 гг. по Наркомэлектро мощностей в- размере 953 мвт - 209 мвт введено по гидростанциям, в то время как, согласно третьему пятилетнему плану, ежегодный ввод по гидростанциям должен был составлять 262 мвт.</w:t>
      </w:r>
    </w:p>
    <w:p w14:paraId="0ACF2533"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гидростанций, предусмотренных третьим пятилетним планом, необходимо отметить следующее: составляется технический проект Калужской гидростанции на р. Оке мощностью 150 мвт; окончено проектирование намеченной на 1941 г. Угличской ГЭС; Рыбинская ГЭС будет пущена в 1941 -1942 гг.; первые две турбины Чирчикской ГЭС вступят в действие в 1940 г.; Канакирская ГЭС заканчивается строительством в 1941 г.; пуск Свирь ГЭС II и Храмской ГЭС намечен на 1942 г.</w:t>
      </w:r>
    </w:p>
    <w:p w14:paraId="47D2D8D0"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1942 г. намечен также пуск Нива-З. Строятся также Сухумская и другие гидростанции, предусмотренные третьей пятилеткой.</w:t>
      </w:r>
    </w:p>
    <w:p w14:paraId="7ED481BE"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новым гидростанциям, предусмотренным третьим пятилетним планом, составляется проект Верхне-Камской гидростанции и составляется проект Гюмушской станции.</w:t>
      </w:r>
    </w:p>
    <w:p w14:paraId="39826297"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осуществление директивы третьего пятилетнего плана о широком развертывании строительства небольших гидростанций за 1938 г. построено 47 мелких сельскохозяйственных коммунальных гидростанций общей мощностью 2100 тыс. квт в 1939 г., 56 станций общей мощностью 4370 тыс. квт, и в 1940 г. по плану - 208 станций общей мощностью в 19500 тыс. квт. Кроме того, планом 1940 г. предусмотрено начало строительства небольших гидростанций: Серебрянской на р. Миас, Северо-Донецкой, Сясьской, Свистухинской.</w:t>
      </w:r>
    </w:p>
    <w:p w14:paraId="5A0D0B67"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Серьезно отстает строительство тепловых электростанций Наркомэлектро. Третьим пятилетним планом предусматривалась закладка в течение 1938-1940 гг. 38 ТЭЦ; фактически за этот период заложена 21 ТЭЦ. По ТЭЦ переходящим строительством со второй пятилетки на третью за 1938-1940 гг. предусматривались вложения в размере 1486 млн. руб., тогда как фактически за этот период вкладывается 1184 млн. руб. Строятся Кураховская и Несветаевская ТЭЦ, намеченные пуском в 1942 г., Сызранская - с пуском в 1940 г. Орская ТЭЦ пущена в 1938 г., вторая очередь должна войти в действие в 1940 г. Пуск Карагандинской и Красноярской ТЭЦ намечается очередями в 1941 г. и в 1942 г. Проектируется Хабаровская ТЭЦ. Пущена в 1939 г. первая очередь Кувасайской ТЭЦ. Начата строительством в 1940 г. Краснодарская ТЭЦ. По Иванову проектируется новая станция на торфу для текстильной промышленности и расширяется на 25 мвт старая станция.</w:t>
      </w:r>
    </w:p>
    <w:p w14:paraId="417B525F"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 угольной промышленности. По Наркомуглю в 1938 г. заложены 74 новые шахты общей мощностью в 10,2 млн. т, в 1939 г. - 145 шахт общей мощностью 24,1 млн. т и в 1940 г. ожидается 93 шахты общей мощностью 21,7 тыс. т. Осваиваются и расширяются новые районы. Подавляющее количество угольных шахт в третьей пятилетке закладывается в Подмосковном районе, в Донбассе, на Урале и на Дальнем Востоке. Выполняется в общем директива XVIII съезда ВКП(б) о строительстве средних и небольших по мощности шахт [17]. Средняя мощность заложенных шахт составила 138 тыс. т в 1938 г. и 166 тыс. с 1939 г. против 485 тыс. т средней мощности шахты за вторую пятилетку.</w:t>
      </w:r>
    </w:p>
    <w:p w14:paraId="3313EC31"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целом, однако, третий пятилетний план по закладке новых шахт выполняется неудовлетворительно. За три года выполнение третьего пятилетнего плана определяется примерно в размере 36%. Слабо выполняется также план по вводу в действие новых мощностей угольных шахт. По Наркомуглю за три года будет введено, по предварительной оценке, 53-55 млн. т, или 38% от задания третьей пятилетки.</w:t>
      </w:r>
    </w:p>
    <w:p w14:paraId="1E58D9F0"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нефтяной промышленности. Неудовлетворительно выполняется третий пятилетний план по вводу в действие новых мощностей в нефтяной и нефтеперерабатывающей промышленности. Из намеченных третьим пятилетним планом к вводу в действие заводов первичной переработки нефти общей мощностью 15 млн. т. за три года пятилетки будет введено лишь 1,9 млн. т, или 13% от плана. По крекинг-установкам план ввода в 10,3 млн. т за три года будет выполнен в </w:t>
      </w:r>
      <w:r w:rsidRPr="00A3026E">
        <w:rPr>
          <w:rFonts w:ascii="Times New Roman" w:hAnsi="Times New Roman"/>
          <w:color w:val="000000" w:themeColor="text1"/>
          <w:sz w:val="16"/>
          <w:szCs w:val="16"/>
        </w:rPr>
        <w:lastRenderedPageBreak/>
        <w:t>размере 3,3 т, или 32% от плана. Неудовлетворительно выполняется задание третьей пятилетки о создании мощной нефтяной базы в Урало-Волжских районах. При плане ввода в действие за пятилетие нефтеперерабатывающих заводов мощностью 6 млн. т фактически за три года будет введено всего лишь 1,5 млн. т, или 25% от задания третьего пятилетнего плана. Вся мощность нефтеперерабатывающих.заводов в Урало-Волжских районах (Второе Баку) составитна1 января 1941 г. 2 млн. т. Темпы геологоразведочных и поисковых работ не обеспечивают подготовки новых нефтяных месторождений в районах между Волгой и Уралом, на Украине, в Крыму, в Восточной и Западной Сибири, в Якутии, Средней Азии и Казахской ССР.</w:t>
      </w:r>
    </w:p>
    <w:p w14:paraId="51AD8043"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торфяной промышленности. По искусственному обезвоживанию торфа строится Бокситогорский завод в Ленинградской области, причем первая очередь этого завода будет введена в действие в конце 1940 г. Задание о строительстве коксовых заводов не выполняется. Предусмотренные третьим пятилетним планом заводы строительством не начаты. Переработка химических отходов торфа, предусмотренная на Ново-Тагильском комбинате, вводится в 1940 г.</w:t>
      </w:r>
    </w:p>
    <w:p w14:paraId="081E6D66"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По черной металлургии. В течение 1938 и 1940 гг. на строительство предусмотренных третьим пятилетним планом объектов по Магнитогорскому, Ново-Тагильскому, Петровско-Забайкальскому, Аыурстальстрою, Запорожстали, Азовстали, Криворожскому, Новомосковскому жестекатальному заводу, Ново-Уральскому и Никопольскому заводам затрачено, считая и план 1940 г., 4,6 млрд. руб., причем для выполнения третьего пятилетнего плана по этим заводам потребуется вложений за' 1940- 1942:гг. в размере 3,3 млрд. руб.</w:t>
      </w:r>
    </w:p>
    <w:p w14:paraId="12579A7B"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Строительство новых металлургических заводов на Южном Урале (на халиловских и бакальских рудах) и в Восточной Сибири не начато. По Халиловскому заводу произведены проектно-изыскательские работы и в 1940 г. лишь начата подготовка к строительству. По Бакальскому и Восточно-Сибирскому заводам проводятся проектно-изыскательские работы. По трубопрокатному заводу в Кемерове в 1940 г. предусмотрены окончание проектных работ и подготовка к началу строительства. Не осуществляется директива третьего пятилетнего плана о строительстве небольшого передельного завода для местных потребностей в районе Средней Азии на базе использования лома и металлоотходов. В Закавказье (Баку) в 1940 г. начато строительство трубопрокатного завода на базе использования местного лома.</w:t>
      </w:r>
    </w:p>
    <w:p w14:paraId="45CE0B8B"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намеченных к вводу в действие в III пятилетии 20 доменных печей введено за 2 года 8 месяцев всего 5 общей мощностью 2330 тыс. т чугуна; из них две на Азовстали - домна № 3 и домна № 4 мощностью 390 тыс. т каждая, на Запорожстали домна № 3- 560 тыс. т, на Криворожском комбинате домна № 3-560 тыс. т и на Ново-Тагильском заводе - домна № 1 мощностью 430 тыс. т.</w:t>
      </w:r>
    </w:p>
    <w:p w14:paraId="0C9DA971" w14:textId="77777777" w:rsidR="00DF0BAC" w:rsidRPr="00A3026E" w:rsidRDefault="00DF0BAC" w:rsidP="00A3026E">
      <w:pPr>
        <w:pStyle w:val="ae"/>
        <w:spacing w:before="0" w:after="0"/>
        <w:jc w:val="both"/>
        <w:rPr>
          <w:color w:val="000000" w:themeColor="text1"/>
          <w:sz w:val="16"/>
          <w:szCs w:val="16"/>
        </w:rPr>
      </w:pPr>
      <w:r w:rsidRPr="00A3026E">
        <w:rPr>
          <w:color w:val="000000" w:themeColor="text1"/>
          <w:sz w:val="16"/>
          <w:szCs w:val="16"/>
        </w:rPr>
        <w:t>На Магнитогорском комбинате предусмотренные вводом в третьей пятилетке 2 доменные печи до сих пор не введены. Введено в действие 10 мартеновских печей общей мощностью 1323 тыс. т стали; из них 3 печи на Магнитогорском комбинате общей мощностью 495 тыс. т, 3 печи на Запорожстали общей мощностью 450 тыс. т, 1 печь на Сталинском заводе- 100 тыс. т, 1 печь на Азовстали- 178 тыс. т, 2 печи на Петровск-Забайкальском заводе мощностью 100 тыс. т.</w:t>
      </w:r>
    </w:p>
    <w:p w14:paraId="177A14A4"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Осуществлен ввод в действие 6 коксохимических батарей мощностью 2,6 млн. т кокса. Из намеченных к вводу в действие 17 агломерационных лент введено 4.</w:t>
      </w:r>
    </w:p>
    <w:p w14:paraId="4176A115"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осуществление задания третьего пятилетнего плана о строительстве шахт в районе Курской магнитной аномалии как дополнительной базы черной металлургии Центра начаты подготовительные работы по организации строительства и углублению шахты на Коробковском руднике мощностью 300 тыс. т руды с вводом в действие в 1941 г.</w:t>
      </w:r>
    </w:p>
    <w:p w14:paraId="7F0E83BC"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Разведочные работы по Атасуйскому и Карсакпайскому месторождениям не производятся.</w:t>
      </w:r>
    </w:p>
    <w:p w14:paraId="6AE0ACB8"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По цветной металлургии. В первом году третьей пятилетки начали работать Балхашский медеплавильный комбинат (часть первой очереди строительства), Тихвинский глиноземный завод, обогатительная фабрика Средне-Уральского медного комбината.</w:t>
      </w:r>
    </w:p>
    <w:p w14:paraId="484EFE90"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1939 г. пущены северный и южный Уральские никелевые комбинаты и Уральский алюминиевый комбинат. Начал работать Блявинский медпосерный завод. Находятся в стадии строительства Джезказганский медеплавильный комбинат, Кандалакшский алюминиевый завод. Развертывается строительство Алмалыкского медеплавильного комбината.</w:t>
      </w:r>
    </w:p>
    <w:p w14:paraId="1988AD8F"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По химической промышленности. Указания третьего пятилетнего плана по строительству ряда сернокислотных заводов не выполняются, и к строительству этих заводов еще не приступлено. Особенно плохо выполняются, решения XVIII съезда ВКП(б) в части строительства заводов на базе отходящих газов [18].</w:t>
      </w:r>
    </w:p>
    <w:p w14:paraId="2B771939"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Строительство туковых комбинатов, хотя и ведется, но не достигло еще размеров, предусмотренных третьим пятилетним планом. По содовым заводам из общей мощности по плану третьей пятилетки 595 тыс. т соды введено в действие за 1938-1939 лг. 55 тыс. т и намечено ввести по плану 1940 г. 141 тыс. т, в том числе по Повославяиско.му заводу 166 тыс. т. В 1940 г. кроме Славянского ведется строительство Стерлитамакского содового завода.</w:t>
      </w:r>
    </w:p>
    <w:p w14:paraId="130F641F"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13-15 заводов синтетического каучука, предусмотренных строительством по третьему пятилетнему плану, в настоящее время строятся 6 заводов (СК-5, СК - 6, СК-7, СК-Баку, СК - Совпрен № 2, СК - Совпрен № 1), причем один из них частично введен в действие. Из 16 шинных заводов До настоящего времени начато строительство только четырех заводов: Омского, Тамбовского, Ташкентского и Московского.</w:t>
      </w:r>
    </w:p>
    <w:p w14:paraId="5080A685"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выполняются задания третьего пятилетнего плана по строительству 2-3 заводов асбестовых изделий. Начато строительство лишь одного завода. Из намеченных по плану третьей пятилетки четырех заводов натурального каучука строится два завода - в Данкове и Ливнах. Из двух регенераторных заводов в настоящее время строится один завод в Лоиасне.</w:t>
      </w:r>
    </w:p>
    <w:p w14:paraId="72810B10"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По цементной промышленности. В течение 1938-1939 гг. введено новых производственных мощностей на 655 тыс. т цемента. В том числе введены заводы: «Гигант» в Московской области, Хилковский завод в Средней Азии, Орджоникидзевский завод на Украине, одна печь на Новоспасском заводе Хабаровского края и Магнитогорская помольная установка. Осуществляется строительство цементных заводов в районах Сибири: Тимлюйский, Красноярский и Кузнецкий завод; в Казахской ССР - Опасс-Тюбинский завод, в Туркменской ССР - Безмеинский завод, в Таджикской ССР - Сталинабадский завод. На Урале строятся: Пашийский завод, Ново-Салдинская помольная установка, Кушвинская помольная установка, Свердловский завод, Челябинский завод и Уфимский завод.</w:t>
      </w:r>
    </w:p>
    <w:p w14:paraId="5B926158"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Из числа важнейших цементных заводов, намеченных строительством в 1938-1940 гг., до сих пор не начаты строительством: Карагандинский завод, Рухловский (Читинская область), Нижнетагильская помольная установка и цементный завод в Поволжье.</w:t>
      </w:r>
    </w:p>
    <w:p w14:paraId="19AD429D"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По лесной промышленности. Из предусмотренных III пятилетним планом заводов строятся и вводятся в действие следующие предприятия лесной и бумажной промышленности: Соликамский целлюлозно-бумажный комбинат - вводится в действие на полную мощность в 1940 г; Камский целлюлозно-бумажный комбинат - введен в действие на полную мощность в 1938- 1939 гг.; по Конаковскому целлюлозно-бумажному комбинату в 1940 г. вводится дополнительная мощность по газетной бумаге и по целлюлозе, причем мощность комбината доводится до проектной; по Марийскому целлюлозно-бумажному комбинату в 1940 г. мощность комбината доводится до проектной, а полное окончание строительства намечается в 1941 г.; по Красноярскому целлюлозно-бумажному комбинату ввод в действие на полную мощность намечается в 1942 г., полное же окончание строительства переходит за пределы третьей пятилетки; Соломбальский сульфатно-целлюлозный завод в 1941 г. будет доведен до полной мощности по производству крафт-целлюлозы и оберточной бумаги, полное окончание строительства намечается в 1942 г.; по Архангельскому целлюлозно-бумажному комбинату намечен ввод в действие целлюлозной части на полную мощность в 1942 г., бумажная фабрика будет введена не ранее 1942 г.; ввод в действие Льговской целлюлозно-бумажной фабрики на полную мощность намечается в 1942 г. Строительство Котласского целлюлозного завода в настоящее время законсервировано; строительство Черепецкой бумажной фабрики предполагается начать в 1941 г.</w:t>
      </w:r>
    </w:p>
    <w:p w14:paraId="26E14C1D" w14:textId="77777777" w:rsidR="00DF0BAC" w:rsidRPr="00A3026E" w:rsidRDefault="00DF0BAC" w:rsidP="00A3026E">
      <w:pPr>
        <w:pStyle w:val="ae"/>
        <w:spacing w:before="0" w:after="0"/>
        <w:jc w:val="both"/>
        <w:rPr>
          <w:color w:val="000000" w:themeColor="text1"/>
          <w:sz w:val="16"/>
          <w:szCs w:val="16"/>
        </w:rPr>
      </w:pPr>
      <w:r w:rsidRPr="00A3026E">
        <w:rPr>
          <w:color w:val="000000" w:themeColor="text1"/>
          <w:sz w:val="16"/>
          <w:szCs w:val="16"/>
        </w:rPr>
        <w:t>За первые 3 года пятилетки производилось переоборудованш.' спичечных фабрик под производство фанеры (Волковский фанерный завод, Тюменский фанерный завод и завод «Власть труда»), а также осуществлялось строительство перешедшего со второго пятилетия Тавдннского фанерного завода. Строительство новых лесопильных заводов за истекший период третьей пятилетки не велось, поскольку существующая мощность лесопильных заводов используется не полностью ввиду недостатка пиловочного сырья. В районах Дальневосточного края продолжалось строительство лесопильного завода в Совгавани, перешедшего со второго пятилетия, и восстановление Уссурийского деревообрабатывающего комбината.</w:t>
      </w:r>
    </w:p>
    <w:p w14:paraId="2C31CE87"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По легкой промышленности. За 1938-1940 гг. введены в действие: Ленинаканская прядильная фабрика, 1-я очередь хлопчатобумажной фабрики в Барнауле и 1-я очередь Ташкентского хлопчатобумажного комбината. Из 2-й очереди Ташкентского комбината введено в действие в 1939 г. и 1940 г. 63,8 тыс. прядильных веретен. Введены в действие завод резиновой подошвы в Калинине мощностью 16 тыс. т резиновой подошвы и заводы искусственных кож в Казани мощностью 3 тыс. т стелечного материала.</w:t>
      </w:r>
    </w:p>
    <w:p w14:paraId="0DCCCA4B"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Строительство Новосибирского хлопчатобумажного комбината отложено ввиду наличия более удобных точек в районе Кузбасса и перегрузки Новосибирска промышленными предприятиями. В 1940 г. начато строительство хлопчатобумажного комбинат в Сталинске мощностью в 78 тыс. веретен, причем ввод в действие комбината в части прядения намечается в 1941 г. В соответствии с решением XVIII съезда ВКП(б) о строительстве небольших прядильных фабрик [19] в старых текстильных районах строятся Люберецкая прядильная фабрика и прядильная фабрика «Красный луч».</w:t>
      </w:r>
    </w:p>
    <w:p w14:paraId="04794A09"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Киевский суконный комбинат намечается вводом в действие на полную мощность в 1942 г. Строительство Семипалатинского суконного комбината отсрочено в связи с тем, что группа Белостокских суконных фабрик позволяет выполнить намеченную пятилеткой производственную программу по выпуску шерстяных тканеи без строительства этого комбината.</w:t>
      </w:r>
    </w:p>
    <w:p w14:paraId="3C19E3E2"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Средней Азии начато строительство пряднльно-ткаикои фабрики в Ташкенте с вводом в действие ее и окончанием строительства в 1942 г. По Западной Сибири, помимо начатого в 1940 г. строительства хлопчатобумажного комбината в Сталинске, подготовлены проектно-сметные задания по строительству комбинатов в Белове и Прокопьевске, а также заканчивается проектирование комбината в Кемерове. По Казахской ССР в 1940 г. заканчивается проектное задание по хлопчатобумажной фабрике в Алма-Ате. В соответствии с решением XVIII съезда ВКП(б) осуществляется строительство небольших трикотажных фабрик в Кировакане и Степановакане Армянской ССР, а также чулочной фабрики в Феодосии, Орле и Куйбышеве.</w:t>
      </w:r>
    </w:p>
    <w:p w14:paraId="484819D0"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области кожевенно-обувной промышленности ведется реконструкция кожевенных заводов в Одессе,- Семипалатинске, Самарканде. Намечается начало строительства кожзавода в Новосибирске, расширение кожзавода в Василькове (УССР), реконструкция кожзаводов в Харькове, Ереване и Баку, а также начато строительство небольшой обувной фабрики в Станиславе (УССР).</w:t>
      </w:r>
    </w:p>
    <w:p w14:paraId="111309B2"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Начаты исследовательские проектные работы по строительству завода сортовой посуды и стеклянной тары в Хабаровском крае.</w:t>
      </w:r>
    </w:p>
    <w:p w14:paraId="2267AFEE"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По пищевой промышленности. Из намеченных к вводу в действие в III пятилетке 19 мясокомбинатов за 2 года 8 месяцев полностью закончено строительство двух: Сталинабадского и Уланудэнского. По остальным мясокомбинатам осуществлен частичный ввод. Из намеченных к вводу 8 сахарных заводов введены 3: в Жердевке, Елань-Коленовский и в Шполе,- общей мощностью 74 тыс. ц переработки свеклы в сутки. Широко развернуто в третьей пятилетке строительство новых хлебозаводов, кондитерских и чайных фабрик, маслозаводов, заводов сгущенного и сухого молока, холодильников, табачных фабрик, мыловаренных заводов.</w:t>
      </w:r>
    </w:p>
    <w:p w14:paraId="7ED51520"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спиртовой промышленности строятся спиртозаводы в г. Грязи Воронежской области, Мариинский спиртозавод в Новосибирске (производственные мощности которого уже введены в действие).</w:t>
      </w:r>
    </w:p>
    <w:p w14:paraId="4F985A65"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рыбной промышленности увеличен морской рыболовный флот, закончено строительство рыбного комбината в Москве и трех холодильников: Муйнакского, Балхашского и Озерпаховского.</w:t>
      </w:r>
    </w:p>
    <w:p w14:paraId="22D0B294"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 По местной промышленности. За 1938-1940 гг. организовано до 3 тыс. мелких предприятий районной промышленности Наркомместпромов союзных республик в основном на базе местного сырья, как, например, мебельное и бондарное производство, производство обоза, его ремонт, гончарное дело и др.</w:t>
      </w:r>
    </w:p>
    <w:p w14:paraId="3B5FA218"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 За 1938-1940 гг. построены водопроводы в 28 городах и канализации в 12 городах против 50 городов по водопроводу и 45 городов по канализации по третьему пятилетнему плану за 5 лет. Развитие газификации городов как в части расширения круга охвата их газификацией, так и в части увеличения газоподачи проходит неудовлетворительно. Недостаточное выделение средств на газификацию в Донбассе, а также плохое обеспечение работ трубами не позволяют в достаточной мере использовать отходящие от промышленности газы в городах Донбасса, Днепропетровске, Баку и др. Медленными темпами - осуществляется также строительство Московского газового завода, к строительству же Ленинградского газового завода до сих пор не приступлено.</w:t>
      </w:r>
    </w:p>
    <w:p w14:paraId="5EDA53C0"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Количество трамвайных вагонов увеличено за 1938-1939 гг. на 684 штуки, или 24% к плану III пятилетки. Прирост троллейбусов за 1938-1939 гг. составил 399 единиц.</w:t>
      </w:r>
    </w:p>
    <w:p w14:paraId="78CBCF34"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Резко отстает строительство бань и прачечных. За 1938- 1939 гг. введено в действие 87 бань, или 15% к плану III пятилетки. За два года III пятилетки построено 25 прачечных, что составляет 11 % к пятилетнему плану.</w:t>
      </w:r>
    </w:p>
    <w:p w14:paraId="3DD8F1A8"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Вахшская оросительная система построена в 1940 г. и сдана в постоянную эксплуатацию. По осушению Колхидской низменности выполнено работ до 1940 г. на сумму 68,87 млн. руб. при сметной стоимости в 184,9 млн. руб. Объем работ по осушению Колхидской низменности на 1940 г. утвержден в сумме 17 млн. руб. и на 1941 г. - 30 млн. руб. По Невинномысскому каналу при сметной стоимости строительства на 189,5 млн. руб. выполнено работ до 1940 г. на сумму 47,1 млн. руб. В 1940 г. колхозами выполнено работ (до 15.IX) на сумму 18,2 млн. руб. Объем капиталовложений по госбюджету на строительство канала определен: на 1940 г.- 45 млн. руб., на 1941 г.- 55 млн. руб. и на 1942 г.- 15 млн. руб. По Мургабскому оазису заканчивается в 1940 г. строительство Ташкепринокого водохранилища и в соответствии с.постановлением СНК СССР и ВКП(б) № 564 от 21 апреля 1940 г. [20] намечено расширение поливной площади в Мургабском оазисе на 16 тыс. га.</w:t>
      </w:r>
    </w:p>
    <w:p w14:paraId="46BB85EF"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Заволжью построены оросительные системы: Пугачевская, Толстовская и Домашкинская. Намечено закончить в 1941 г. строительство Кутулукской системы и Энгельской системы. Кроме того, колхозами Заволжья проводится строительство мелких оросительных систем с получением госбюджетных средств на строительство сложных сооружений по колхозному орошению и на техническое руководство строительством.</w:t>
      </w:r>
    </w:p>
    <w:p w14:paraId="230DFBBE"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Третий пятилетний план по строительству зернохранилищ и элеваторов за 1938-1940 гг. выполняется удовлетворительно. Объем капитальных работ за три года, по предварительной оценке, выполнен на 63%. Новой элеваторно-складской емкости создано за эти годы 7639 тыс. т, или 70% по отношению к заданию III пятилетнего плана в 10955 тыс. т. Отстает, однако, строительство механизированной складской емкости. НКзаг недостаточно учитывает районное размещение хлебооборота, в связи с чем в отдельных районах, особенно в восточных, имеется дефицит складской емкости, вызывающий хранение хлеба в бунтах.</w:t>
      </w:r>
    </w:p>
    <w:p w14:paraId="6A7F5A4C"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Приведенные выше данные о размерах строительства предприятий в угольной промышленности, электростанций, текстильной и других свидетельствуют о наличии поворота к строительству средних и небольших предприятий в результате указаний партии и правительства о решительной борьбе с гигантоманией. Директива XVIII съезда ВКП(б) о внедрении в практику скоростных методов строительства и развитии в связи с этим строительной индустрии [21] осуществлялась недостаточно. На протяжении 1938-1940 гг. Наркомат строительных материалов не начал ни одного завода строительной индустрии. По Наркомстрою прирост мощностей по предприятиям строительной индустрии, особенно по заводам металлоконструкций, гипсовых деталей и изделий отстает от заданий третьего пятилетнего плана.</w:t>
      </w:r>
    </w:p>
    <w:p w14:paraId="32B8113E"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Отстает также механизация строительных работ, особенно по земляным работам, укладке бетона п штукатурным работам (по штукатурным работам степень механизации составляла в 1939 г. 8% вместо предусмотренных планом третьей пятилетки на конец 1942 г. 40%, по земляным работам, соответственно, 43% при 75% и по укладке бетона 44% при 70%.).</w:t>
      </w:r>
    </w:p>
    <w:p w14:paraId="5A7A461F"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выполняется задание третьей пятилетки по снижению стоимости строительства. Третьим пятилетним планом установлено задание по снижению стоимости строительства в размере 12% в среднем по народному хозяйству против уровня конца второй пятилетки. Фактически стоимость строительства в 1938 г. составила 106,9%, в 1939 г. - 110,2%, включая удорожания, и 104,9% - без удорожаний стройматериалов и оборудования. Производительность труда строительных рабочих в капитальном строительстве за 2 года и 7 месяцев третьей пятилетки, по предварительным данным, увеличилась на 28,9% по отношению к фактическому уровню производительности труда в 1937 г.</w:t>
      </w:r>
    </w:p>
    <w:p w14:paraId="1FE101DC"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Госплана при СНК СССР Н. А. Вознесенский</w:t>
      </w:r>
    </w:p>
    <w:p w14:paraId="16110C4C" w14:textId="77777777" w:rsidR="00DF0BAC" w:rsidRPr="00A3026E" w:rsidRDefault="00DF0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ЦГАНХ СССР, ф. 4372, on. 38, д. 79, лл. 28-42. Отпуск (17395).</w:t>
      </w:r>
    </w:p>
    <w:p w14:paraId="27117C01" w14:textId="77777777" w:rsidR="00DF0BAC" w:rsidRPr="00A3026E" w:rsidRDefault="00DF0BAC" w:rsidP="00A3026E">
      <w:pPr>
        <w:shd w:val="clear" w:color="auto" w:fill="FFFFFF"/>
        <w:spacing w:after="0" w:line="240" w:lineRule="auto"/>
        <w:jc w:val="both"/>
        <w:rPr>
          <w:rFonts w:ascii="Times New Roman" w:hAnsi="Times New Roman"/>
          <w:color w:val="000000" w:themeColor="text1"/>
          <w:sz w:val="16"/>
          <w:szCs w:val="16"/>
        </w:rPr>
      </w:pPr>
    </w:p>
    <w:p w14:paraId="64CEF546"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w:t>
      </w:r>
    </w:p>
    <w:p w14:paraId="72A46022"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160. Докладная записка начальника Главного управления государственных резервов при СНК СССР М. В. Данченко секретарю ЦК ВКП(б) И. В. Сталину о мероприятиях по реорганизации танковой промышленности[</w:t>
      </w:r>
      <w:hyperlink r:id="rId23" w:anchor="p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w:t>
      </w:r>
    </w:p>
    <w:p w14:paraId="2708F329"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Источник: </w:t>
      </w:r>
    </w:p>
    <w:p w14:paraId="1D653AA6"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642-645.</w:t>
      </w:r>
    </w:p>
    <w:p w14:paraId="4F87A21C"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Архив: </w:t>
      </w:r>
    </w:p>
    <w:p w14:paraId="2162E1AB"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 РФ. Ф. 3. Оп. 46. Д. 385. Л. 40-45 Подлинник.</w:t>
      </w:r>
    </w:p>
    <w:p w14:paraId="69781A43"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Секретно.</w:t>
      </w:r>
    </w:p>
    <w:p w14:paraId="3F945E92"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Война на Западе, а также польско-финские события подтвердили громадное боевое значение танков как боевых машин современного боя.</w:t>
      </w:r>
    </w:p>
    <w:p w14:paraId="39FCE5E6"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современной обороны — степень развития военно-инженерной техники, “насыщенность” огневыми средствами (пулеметы, мелкокалиберные пушки и полевые орудия) — требует массового применения танков различных боевых и ударно-огневых качеств. Эти события также выявили качественную сторону современных танков.</w:t>
      </w:r>
    </w:p>
    <w:p w14:paraId="360C80BF"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Современные танки оказались слабы как по своей броневой защите, так и по огневой мощи, а также несовершенны по техническому состоянию.</w:t>
      </w:r>
    </w:p>
    <w:p w14:paraId="18B3F136"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изменяя самой системы танкового вооружения, которая состоит из сочетания определенных типов боевых машин, тем не менее современный бой требует новых боевых, защитных и маневренных качеств тяжелых, средних и легких танков.</w:t>
      </w:r>
    </w:p>
    <w:p w14:paraId="4A396594"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Германия, применяя во Франции в соответствующем сочетании среднетяжелого и легкого типа танки: первые — с достаточной ударно-огневой силой и броневой защитой, а вторые — с хорошей маневренностью и скоростью движения, имела колоссальное преимущество перед французскими танками, хотя и более мощными по броневой защите с малой маневренностью и подвижностью. Французские танки, будучи обойденными, часто плелись в хвосте быстро движущихся немецких танков; появлялись на поле боя тогда, когда немцы наносили основным войскам разгром, и сами сдавались на милость победителей.</w:t>
      </w:r>
    </w:p>
    <w:p w14:paraId="16FACB1D"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Касаясь танкового вооружения  РККА, мы находим, что Красная армия обладает неплохими легкими танками типа Т</w:t>
      </w:r>
      <w:r w:rsidRPr="00A3026E">
        <w:rPr>
          <w:rFonts w:ascii="Times New Roman" w:hAnsi="Times New Roman"/>
          <w:color w:val="000000" w:themeColor="text1"/>
          <w:sz w:val="16"/>
          <w:szCs w:val="16"/>
        </w:rPr>
        <w:noBreakHyphen/>
        <w:t>26 и БТ, но на сегодня, с учетом последних военных событий; они должны быть модернизированы. Легкие танки типа БТ при соответствующей модернизации должны получить и дальнейшее развитие. Танки этого типа должны быть массовыми. Это механическая тяжелая кавалерия современного боя.</w:t>
      </w:r>
    </w:p>
    <w:p w14:paraId="2E4EE40A"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Тяжелые и средние танки уже слабо отвечают своему назначению и должны быть немедленно модернизированы.</w:t>
      </w:r>
    </w:p>
    <w:p w14:paraId="238F1892"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Созданная в настоящее время боевая машина КВ по своей идее, вооружению, весу, боевой защите, подвижности в основном отвечает боевым требованиям, но техническая сторона — трансмиссия, ходовая часть — далеко несовершенны. Трансмиссия в таком виде, как мы ее до сих пор применяем и применяли в КВ, себя изжила и необходима принципиально новая. Двигатель этого танка, при устранении отмеченных недостатков, будет вполне отвечать требованиям.</w:t>
      </w:r>
    </w:p>
    <w:p w14:paraId="43AE50B6"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Необходимость в таком танке на сегодня чрезвычайно большая. Конструктивное же и техническое состояние таково, что танк не может быть принят на массовое вооружение Красной армии. Поэтому, до разработки более совершенного образца, на ближайшее время можно допустить применение на вооружение этого танка, постепенно устраняя недостатки в посерийных выпусках.</w:t>
      </w:r>
    </w:p>
    <w:p w14:paraId="115B2E63"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прекращая работы по выпуску этих танков, необходимо срочно приступить к проектированию танка на принципиально новой технической основе.</w:t>
      </w:r>
    </w:p>
    <w:p w14:paraId="720F3E64"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боевой опыт действия танков в последних военных событиях, мною и преподавателем Академии механизации и моторизации Красной армии т. Благонравовым разработана новая схема танковой трансмиссии, которая исключает целый ряд недостатков, присущих современным трансмиссиям и, в частности, трансмиссии танка КВ. Предлагаемая трансмиссия устраняет недостатки существующего механизма управления и дает совершенно новое конструктивное решение коробки перемены передач и др. Предлагаемая трансмиссия дает возможность танку совершать поворот вокруг своей оси путем перекатывания гусениц в разные стороны, а это дает танку чрезвычайную гибкость при маневрировании.</w:t>
      </w:r>
    </w:p>
    <w:p w14:paraId="4DD96588"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Предлагаемая нами схема трансмиссии была обсуждена в Комитете обороны на совещании представителей Наркомсредмаша, Наркомтяжмаша и НКО, признана вполне целесообразной и необходимой для применения в новых танках КВ и Т</w:t>
      </w:r>
      <w:r w:rsidRPr="00A3026E">
        <w:rPr>
          <w:rFonts w:ascii="Times New Roman" w:hAnsi="Times New Roman"/>
          <w:color w:val="000000" w:themeColor="text1"/>
          <w:sz w:val="16"/>
          <w:szCs w:val="16"/>
        </w:rPr>
        <w:noBreakHyphen/>
        <w:t xml:space="preserve">34. Поэтому 7 июня с. г. КО было дано распоряжение Наркомтяжмашу и </w:t>
      </w:r>
      <w:r w:rsidRPr="00A3026E">
        <w:rPr>
          <w:rFonts w:ascii="Times New Roman" w:hAnsi="Times New Roman"/>
          <w:color w:val="000000" w:themeColor="text1"/>
          <w:sz w:val="16"/>
          <w:szCs w:val="16"/>
        </w:rPr>
        <w:lastRenderedPageBreak/>
        <w:t>Наркомсредмашу изготовить к 1 августа с. г. технический проект предложенного нами механизма: первому — применительно к танку КВ на Кировском заводе, второму — применительно к танку Т</w:t>
      </w:r>
      <w:r w:rsidRPr="00A3026E">
        <w:rPr>
          <w:rFonts w:ascii="Times New Roman" w:hAnsi="Times New Roman"/>
          <w:color w:val="000000" w:themeColor="text1"/>
          <w:sz w:val="16"/>
          <w:szCs w:val="16"/>
        </w:rPr>
        <w:noBreakHyphen/>
        <w:t>34 на заводе № 185.</w:t>
      </w:r>
    </w:p>
    <w:p w14:paraId="2818FF21"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Конструкторские бюро этих заводов, давая высокую оценку предложенному механизму и считая необходимым применение его для существующих танков, тем не менее не приступили к разработке технического проекта по следующим причинам.</w:t>
      </w:r>
    </w:p>
    <w:p w14:paraId="62005DF7"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Большая занятость конструкторских бюро по доработке танков КВ и Т</w:t>
      </w:r>
      <w:r w:rsidRPr="00A3026E">
        <w:rPr>
          <w:rFonts w:ascii="Times New Roman" w:hAnsi="Times New Roman"/>
          <w:color w:val="000000" w:themeColor="text1"/>
          <w:sz w:val="16"/>
          <w:szCs w:val="16"/>
        </w:rPr>
        <w:noBreakHyphen/>
        <w:t>34.</w:t>
      </w:r>
    </w:p>
    <w:p w14:paraId="4321C9C9"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Большой недостаток конструкторских сил.</w:t>
      </w:r>
    </w:p>
    <w:p w14:paraId="024703EF"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 конструктивным особенностям предложенного механизма и сложности расчетов.</w:t>
      </w:r>
    </w:p>
    <w:p w14:paraId="796E881D"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выполнения задания Комитета обороны заводы  потребовали постоянного присутствия при проектировании авторов. Распоряжение КО также предусматривало участие авторов при проектировании этого механизма. Я по роду своей работы постоянного и непосредственного участия принять не могу, т. Благонравов также в настоящее время не может принять непосредственного участия в проектировании, так как он является основным преподавателем, ведущим академический курс “Расчет и конструкция танков”. Читаемые им лекции по этому курсу будут закончены только в декабре.</w:t>
      </w:r>
    </w:p>
    <w:p w14:paraId="2068CBC2"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Такое положение заставило меня обратиться к председателю Комитета обороны т. Ворошилову К. Е. с предложением — как выход из создавшегося положения и для ускорения проектирования — передать изготовление технического проекта Академии механизации и моторизации Красной армии им. т. Сталина. Тов. Ворошиловым дано согласие и предложено академии принять изготовление технического проекта трансмиссии для танков КВ и Т</w:t>
      </w:r>
      <w:r w:rsidRPr="00A3026E">
        <w:rPr>
          <w:rFonts w:ascii="Times New Roman" w:hAnsi="Times New Roman"/>
          <w:color w:val="000000" w:themeColor="text1"/>
          <w:sz w:val="16"/>
          <w:szCs w:val="16"/>
        </w:rPr>
        <w:noBreakHyphen/>
        <w:t>34.</w:t>
      </w:r>
    </w:p>
    <w:p w14:paraId="6F5D8865"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НКО (ГАБТУ)[</w:t>
      </w:r>
      <w:hyperlink r:id="rId24" w:anchor="p2" w:history="1">
        <w:r w:rsidRPr="00A3026E">
          <w:rPr>
            <w:rFonts w:ascii="Times New Roman" w:hAnsi="Times New Roman"/>
            <w:color w:val="000000" w:themeColor="text1"/>
            <w:sz w:val="16"/>
            <w:szCs w:val="16"/>
          </w:rPr>
          <w:t>2</w:t>
        </w:r>
      </w:hyperlink>
      <w:r w:rsidRPr="00A3026E">
        <w:rPr>
          <w:rFonts w:ascii="Times New Roman" w:hAnsi="Times New Roman"/>
          <w:color w:val="000000" w:themeColor="text1"/>
          <w:sz w:val="16"/>
          <w:szCs w:val="16"/>
        </w:rPr>
        <w:t>], находя предложение важным, считает целесообразным для ускорения дела проектирование вести в академии. Сроки проектирования академией установлены: по танку Т</w:t>
      </w:r>
      <w:r w:rsidRPr="00A3026E">
        <w:rPr>
          <w:rFonts w:ascii="Times New Roman" w:hAnsi="Times New Roman"/>
          <w:color w:val="000000" w:themeColor="text1"/>
          <w:sz w:val="16"/>
          <w:szCs w:val="16"/>
        </w:rPr>
        <w:noBreakHyphen/>
        <w:t>34 — к 20 октября с. г., КВ — к 1 декабря с. г., после чего технические проекты будут представлены в КО для обсуждения и передачи на заводы для изготовления самих механизмов.</w:t>
      </w:r>
    </w:p>
    <w:p w14:paraId="7246905C"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Танковое производство</w:t>
      </w:r>
    </w:p>
    <w:p w14:paraId="181D1B6D"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Мне кажется, что современная организация нашего танкового производства не вполне обеспечивает оборонные требования в области танкового вооружения. Танковое производство сосредоточено по нескольким наркоматам, в основном — НКСМ, НКТМ, НКСП и др. Работа заводов и конструкторских бюро этих заводов находится в изолированном друг от друга положении и нет органа, обобщающего опыт танкового производства и конструирования.</w:t>
      </w:r>
    </w:p>
    <w:p w14:paraId="2FB1DDC5"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Конструкторские бюро на заводах имеют в основном молодых конструкторов, правда, способных, но еще слабо усвоивших танковое дело, а главное — недостаточное их количество.</w:t>
      </w:r>
    </w:p>
    <w:p w14:paraId="559598BF"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Конструкторские бюро варятся в собственном соку, заняты по горло текущей производственной работой и не имеют перспективы. Отсутствие центрального проектно-конструкторского органа танковой мысли, работающего в области перспективы и развития, привело к тому, что на предъявленные требования со стороны армии по созданию мощных танков с сильным вооружением и защитой промышленность ответила образцом танка КВ, своей идеей отвечающего этим требованиям, но по своему техническому состоянию этот танк, без  ввода принципиально новой схемы трансмиссии, полностью боевым требованиям отвечать не будет.</w:t>
      </w:r>
    </w:p>
    <w:p w14:paraId="6711AA7B"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того чтобы поднять танковую промышленность и проектное дело на должную высоту, необходимо принципиально реорганизовать последние. Эту реорганизацию я мыслю созданием специального Наркомата танко-тракторной промышленности, т. е. необходимо создать наркомат по производству танков и гусеничных тракторов, отвечающих военным требованиям. Такой наркомат, кроме заводов и конструкторско-производственных бюро на них, должен иметь центральный танково-проектный и опытно-производственный институт, обобщающий опыт танкостроения. Этот наркомат должен иметь и учебный танко-тракторный институт, готовящий инженеров — производственников и конструкторов танкового дела.</w:t>
      </w:r>
    </w:p>
    <w:p w14:paraId="2BC61B62"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Успехи немцев в танкостроении можно отчасти объяснить и тем, что три основные фирмы по танкостроению “Даймлер”, “Рейн-металл” и “Крупп” обобщали свой опыт, совместно испытывая и совершенствуя свои танки. (Это было в СССР, в Казани, в 1929</w:t>
      </w:r>
      <w:r w:rsidRPr="00A3026E">
        <w:rPr>
          <w:rFonts w:ascii="Times New Roman" w:hAnsi="Times New Roman"/>
          <w:color w:val="000000" w:themeColor="text1"/>
          <w:sz w:val="16"/>
          <w:szCs w:val="16"/>
        </w:rPr>
        <w:noBreakHyphen/>
        <w:t>32 гг.).</w:t>
      </w:r>
    </w:p>
    <w:p w14:paraId="6A154B40"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собрать всех лучших конструкторов промышленных наркоматов и НКО. Наша страна должна и может стать передовой танковой страной. Мне кажется, это необходимо сделать в кратчайший срок.</w:t>
      </w:r>
    </w:p>
    <w:p w14:paraId="4DF4CF7C"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Нам нужны десятки тысяч современных танков, а теперь наркоматы танковым вопросам, наверное, больше 10</w:t>
      </w:r>
      <w:r w:rsidRPr="00A3026E">
        <w:rPr>
          <w:rFonts w:ascii="Times New Roman" w:hAnsi="Times New Roman"/>
          <w:color w:val="000000" w:themeColor="text1"/>
          <w:sz w:val="16"/>
          <w:szCs w:val="16"/>
        </w:rPr>
        <w:noBreakHyphen/>
        <w:t>15% от своих производственных задач внимания не уделяют. Создание специального Наркомата танко-тракторной промышленности разрешит целый ряд производственно-организационных вопросов.</w:t>
      </w:r>
    </w:p>
    <w:p w14:paraId="43C89DD7"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Докладывая Вам, т. Сталин, о нашем предложении, я также считал необходимым высказать мои мысли Вам и в отношении самого танкового вооружения, которому Вы также отдаете много времени.</w:t>
      </w:r>
    </w:p>
    <w:p w14:paraId="025C1A20"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Управления госрезервов при СНК СССРМ. Данченко.</w:t>
      </w:r>
    </w:p>
    <w:p w14:paraId="2262E903"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w:t>
      </w:r>
    </w:p>
    <w:p w14:paraId="4791D216"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25" w:anchor="s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 Докладная записка аналогичного содержания была также направлена В. М. Молотову (см.: РГАСПИ Ф. 82. Оп. 2. Д. 572. Л. 7—10). См. об этом также документ № 171.</w:t>
      </w:r>
    </w:p>
    <w:p w14:paraId="40357719"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26" w:anchor="s2" w:history="1">
        <w:r w:rsidRPr="00A3026E">
          <w:rPr>
            <w:rFonts w:ascii="Times New Roman" w:hAnsi="Times New Roman"/>
            <w:color w:val="000000" w:themeColor="text1"/>
            <w:sz w:val="16"/>
            <w:szCs w:val="16"/>
          </w:rPr>
          <w:t>2</w:t>
        </w:r>
      </w:hyperlink>
      <w:r w:rsidRPr="00A3026E">
        <w:rPr>
          <w:rFonts w:ascii="Times New Roman" w:hAnsi="Times New Roman"/>
          <w:color w:val="000000" w:themeColor="text1"/>
          <w:sz w:val="16"/>
          <w:szCs w:val="16"/>
        </w:rPr>
        <w:t>] Главное автобронетанковое управление (ГАБТУ) Красной армии было создано 26 июня 1940 г. путем реорганизации Автобронетанкового управления РККА и подчинялось непосредственно наркому обороны. Его структура выглядела следующим образом: управления — боевой подготовки автобронетанковых войск, бронетанковое, автотракторное, эксплуатации и ремонта автобронетанкового и тракторного парка, отделы — мобилизационно-плановый, кадров, финансовый, а также общая и секретная части. 7 декабря 1942 г. ГАБТУ было реорганизовано в два главных управления: Главное управление формирования и боевой подготовки бронетанковых и механизированных войск Красной армии и Главное бронетанковое управление Красной армии. Задачи, связанные с организацией снабжения, эксплуатацией, ремонтом автомашин и подготовкой автомобильных кадров Красной армии, были переданы тогда же созданному Главному автомобильному управлению. Задачи, связанные с организацией снабжения, эксплуатацией, ремонтом тракторов и подготовкой кадров для них, переданы Главному управлению командующего артиллерией Красной армии и Главному артиллерийскому управлению Красной армии.</w:t>
      </w:r>
    </w:p>
    <w:p w14:paraId="5E26E381" w14:textId="77777777" w:rsidR="0066319C" w:rsidRPr="00A3026E" w:rsidRDefault="0066319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 РФ. Ф. 3. Оп. 46. Д. 385. Л. 40-45 Подлинник (18002).</w:t>
      </w:r>
    </w:p>
    <w:p w14:paraId="14F2BB82" w14:textId="77777777" w:rsidR="0066319C" w:rsidRPr="00A3026E" w:rsidRDefault="0066319C" w:rsidP="00A3026E">
      <w:pPr>
        <w:spacing w:after="0" w:line="240" w:lineRule="auto"/>
        <w:jc w:val="both"/>
        <w:rPr>
          <w:rFonts w:ascii="Times New Roman" w:hAnsi="Times New Roman"/>
          <w:color w:val="000000" w:themeColor="text1"/>
          <w:sz w:val="16"/>
          <w:szCs w:val="16"/>
        </w:rPr>
      </w:pPr>
    </w:p>
    <w:p w14:paraId="3F1036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 Автотракторное управление своим письмом просило НКСМ окончательно доработать и из</w:t>
      </w:r>
      <w:r w:rsidRPr="00A3026E">
        <w:rPr>
          <w:rFonts w:ascii="Times New Roman" w:hAnsi="Times New Roman"/>
          <w:color w:val="000000" w:themeColor="text1"/>
          <w:sz w:val="16"/>
          <w:szCs w:val="16"/>
        </w:rPr>
        <w:softHyphen/>
        <w:t>готовить в текущем году 300 комплектов цепей типа «Гаянт» и подготовиться к производству цепей в 1941 г. Испытание цепей показало, что цепи надежно обеспечивают проходимость 2-хосного автомоби</w:t>
      </w:r>
      <w:r w:rsidRPr="00A3026E">
        <w:rPr>
          <w:rFonts w:ascii="Times New Roman" w:hAnsi="Times New Roman"/>
          <w:color w:val="000000" w:themeColor="text1"/>
          <w:sz w:val="16"/>
          <w:szCs w:val="16"/>
        </w:rPr>
        <w:softHyphen/>
        <w:t>ля в тяжелых дорожных условиях. Конструктивно и производственно цепи не сложны (11211).</w:t>
      </w:r>
    </w:p>
    <w:p w14:paraId="6C04E962"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137A43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Style w:val="af0"/>
          <w:rFonts w:ascii="Times New Roman" w:hAnsi="Times New Roman"/>
          <w:i w:val="0"/>
          <w:iCs w:val="0"/>
          <w:color w:val="000000" w:themeColor="text1"/>
          <w:sz w:val="16"/>
          <w:szCs w:val="16"/>
        </w:rPr>
        <w:t>04 октября 1940</w:t>
      </w:r>
      <w:r w:rsidRPr="00A3026E">
        <w:rPr>
          <w:rFonts w:ascii="Times New Roman" w:hAnsi="Times New Roman"/>
          <w:color w:val="000000" w:themeColor="text1"/>
          <w:sz w:val="16"/>
          <w:szCs w:val="16"/>
        </w:rPr>
        <w:t xml:space="preserve"> вышло Постановление политюбро ЦК ВКП(б) "о проверке работы НКПС по производству минно-торпедного вооружения"</w:t>
      </w:r>
    </w:p>
    <w:p w14:paraId="546DD3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Строго секретно </w:t>
      </w:r>
    </w:p>
    <w:p w14:paraId="14487A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57 — О проверке работы НКПС по производству минно-торпедного вооружения </w:t>
      </w:r>
    </w:p>
    <w:p w14:paraId="3B884D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Поручить т. Мехлису (Наркомат Госконтроля) с привлечением представителей НКВД проверить работу Наркомата Судостроительной промышленности по производству минно-торпедного вооружения. </w:t>
      </w:r>
    </w:p>
    <w:p w14:paraId="771831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РГАСПИ. Ф. 17. Оп. 162. Д. 29. Л. 126. Подлинник. Машинопись. </w:t>
      </w:r>
    </w:p>
    <w:p w14:paraId="7642E9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Протокол № 21. </w:t>
      </w:r>
    </w:p>
    <w:p w14:paraId="7FF7CE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тексте имеется машинописная помета о рассылке: «Выписки посланы: т.т. Мехлису, Берия, Хломову» (11430). </w:t>
      </w:r>
    </w:p>
    <w:p w14:paraId="60C8EA8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DB0874" w14:textId="77777777" w:rsidR="00D2328C"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6BE00CD3" w14:textId="77777777" w:rsidR="00D2328C" w:rsidRPr="00A3026E" w:rsidRDefault="00D2328C" w:rsidP="00A3026E">
      <w:pPr>
        <w:spacing w:after="0" w:line="240" w:lineRule="auto"/>
        <w:jc w:val="both"/>
        <w:rPr>
          <w:rFonts w:ascii="Times New Roman" w:hAnsi="Times New Roman"/>
          <w:iCs/>
          <w:color w:val="000000" w:themeColor="text1"/>
          <w:sz w:val="16"/>
          <w:szCs w:val="16"/>
        </w:rPr>
      </w:pPr>
    </w:p>
    <w:p w14:paraId="0D58EDD2"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4 октября </w:t>
      </w:r>
      <w:r w:rsidRPr="00A3026E">
        <w:rPr>
          <w:rFonts w:ascii="Times New Roman" w:hAnsi="Times New Roman"/>
          <w:color w:val="000000" w:themeColor="text1"/>
          <w:sz w:val="16"/>
          <w:szCs w:val="16"/>
        </w:rPr>
        <w:t>в 1940 году Нарком обороны СССР и начальник Генштаба докладывали в Политбюро и СНК, что формирование 8 мехкорпусов, 18 танковых и 8 моторизованных дивизий в основном завершено. На их формирование было обращено 12 танковых бригад БТ, 4 бригады Т-35 и Т-28, 3 химические бригады, 2 танковых полка Т-26 и танковые батальоны стрелковых дивизий, кроме дислоцированных на Дальнем Востоке (14789).</w:t>
      </w:r>
    </w:p>
    <w:p w14:paraId="27A84BCF" w14:textId="77777777" w:rsidR="00D2328C" w:rsidRPr="00A3026E" w:rsidRDefault="00D2328C" w:rsidP="00A3026E">
      <w:pPr>
        <w:spacing w:after="0" w:line="240" w:lineRule="auto"/>
        <w:jc w:val="both"/>
        <w:rPr>
          <w:rFonts w:ascii="Times New Roman" w:hAnsi="Times New Roman"/>
          <w:color w:val="000000" w:themeColor="text1"/>
          <w:sz w:val="16"/>
          <w:szCs w:val="16"/>
        </w:rPr>
      </w:pPr>
    </w:p>
    <w:p w14:paraId="7E7118B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53CE207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5C126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 взлетевший по тревоге ДБ-3 из 6-й эскадрильи с китайским экипажем из-за неполадок слишком рано вернулся на базу Тайпинсы и был сбит над аэродромом. 2 января 1941 г. над Ченду потерпел аварию и погиб вместе с самолетом экипаж командира 14-й эскадрильи Ли Чансюна. 13 февраля 1941 г. у зам. командира 8-й группы Лян Гочжана во время тренировочного полета отказал мотор. На вынужденной посадке в уезде Цзяньян самолет сгорел вместе с экипажем. 18 июня 1941 г. из-за неисправности самолета потерпел аварию взлетевший по тревоге в Лань-чжоу ДБ-3 летчика Мэн Цзунжао из 14-й эскадрильи, штурман и радист погибли. 1 октября 1942 г. во время дальнего тренировочного полета в районе Цзя-юйгуань исчез вместе с экипажем ДБ-3 командира 6-й эскадрильи Чжоу Шию-на (2958).</w:t>
      </w:r>
    </w:p>
    <w:p w14:paraId="7DF1434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BAE89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 взлетевший по тревоге ДБ-3 из 6-й эскадрильи с китай</w:t>
      </w:r>
      <w:r w:rsidRPr="00A3026E">
        <w:rPr>
          <w:rFonts w:ascii="Times New Roman" w:hAnsi="Times New Roman"/>
          <w:color w:val="000000" w:themeColor="text1"/>
          <w:sz w:val="16"/>
          <w:szCs w:val="16"/>
        </w:rPr>
        <w:softHyphen/>
        <w:t>ским экипажем из-за неполадок слиш</w:t>
      </w:r>
      <w:r w:rsidRPr="00A3026E">
        <w:rPr>
          <w:rFonts w:ascii="Times New Roman" w:hAnsi="Times New Roman"/>
          <w:color w:val="000000" w:themeColor="text1"/>
          <w:sz w:val="16"/>
          <w:szCs w:val="16"/>
        </w:rPr>
        <w:softHyphen/>
        <w:t>ком рано вернулся на базу Тайпинсы и был сбит над аэродромом. 2 января 1941 г. над Ченду потерпел аварию и по</w:t>
      </w:r>
      <w:r w:rsidRPr="00A3026E">
        <w:rPr>
          <w:rFonts w:ascii="Times New Roman" w:hAnsi="Times New Roman"/>
          <w:color w:val="000000" w:themeColor="text1"/>
          <w:sz w:val="16"/>
          <w:szCs w:val="16"/>
        </w:rPr>
        <w:softHyphen/>
        <w:t>гиб вместе с самолетом экипаж коман</w:t>
      </w:r>
      <w:r w:rsidRPr="00A3026E">
        <w:rPr>
          <w:rFonts w:ascii="Times New Roman" w:hAnsi="Times New Roman"/>
          <w:color w:val="000000" w:themeColor="text1"/>
          <w:sz w:val="16"/>
          <w:szCs w:val="16"/>
        </w:rPr>
        <w:softHyphen/>
        <w:t>дира 14-й эскадрильи Ли Чансюна. 13 февраля 1941 г. у заместителя команди</w:t>
      </w:r>
      <w:r w:rsidRPr="00A3026E">
        <w:rPr>
          <w:rFonts w:ascii="Times New Roman" w:hAnsi="Times New Roman"/>
          <w:color w:val="000000" w:themeColor="text1"/>
          <w:sz w:val="16"/>
          <w:szCs w:val="16"/>
        </w:rPr>
        <w:softHyphen/>
        <w:t xml:space="preserve">ра 8-й группы Лян Гочжана во время тренировочного полета отказал мотор. При вынужденной посадке в уезде Цзя-ньян самолет сгорел вместе с экипажем. </w:t>
      </w:r>
      <w:r w:rsidRPr="00A3026E">
        <w:rPr>
          <w:rFonts w:ascii="Times New Roman" w:hAnsi="Times New Roman"/>
          <w:color w:val="000000" w:themeColor="text1"/>
          <w:sz w:val="16"/>
          <w:szCs w:val="16"/>
        </w:rPr>
        <w:lastRenderedPageBreak/>
        <w:t>18 июня 1941 г. из-за неисправности потерпел аварию взлетевший по трево</w:t>
      </w:r>
      <w:r w:rsidRPr="00A3026E">
        <w:rPr>
          <w:rFonts w:ascii="Times New Roman" w:hAnsi="Times New Roman"/>
          <w:color w:val="000000" w:themeColor="text1"/>
          <w:sz w:val="16"/>
          <w:szCs w:val="16"/>
        </w:rPr>
        <w:softHyphen/>
        <w:t>ге в Ланьчжоу ДБ-3 летчика Мэн Цзун-жао из 14-й эскадрильи, штурман и ра</w:t>
      </w:r>
      <w:r w:rsidRPr="00A3026E">
        <w:rPr>
          <w:rFonts w:ascii="Times New Roman" w:hAnsi="Times New Roman"/>
          <w:color w:val="000000" w:themeColor="text1"/>
          <w:sz w:val="16"/>
          <w:szCs w:val="16"/>
        </w:rPr>
        <w:softHyphen/>
        <w:t>дист погибли. 1 октября 1942 г. во вре</w:t>
      </w:r>
      <w:r w:rsidRPr="00A3026E">
        <w:rPr>
          <w:rFonts w:ascii="Times New Roman" w:hAnsi="Times New Roman"/>
          <w:color w:val="000000" w:themeColor="text1"/>
          <w:sz w:val="16"/>
          <w:szCs w:val="16"/>
        </w:rPr>
        <w:softHyphen/>
        <w:t>мя дальнего тренировочного полета в районе Цзяюйгуань исчез вместе с эки</w:t>
      </w:r>
      <w:r w:rsidRPr="00A3026E">
        <w:rPr>
          <w:rFonts w:ascii="Times New Roman" w:hAnsi="Times New Roman"/>
          <w:color w:val="000000" w:themeColor="text1"/>
          <w:sz w:val="16"/>
          <w:szCs w:val="16"/>
        </w:rPr>
        <w:softHyphen/>
        <w:t>пажем бомбардировщик командира 6-й эскадрильи Чжоу Шиюна (10734,39).</w:t>
      </w:r>
    </w:p>
    <w:p w14:paraId="61DFDE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45B837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25D0717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89E6D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А.Г. и Б.М. встретились для переговоров на альпийском перевале Бреннер (3907,224).</w:t>
      </w:r>
    </w:p>
    <w:p w14:paraId="00D8BE1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0194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А.Г. и Б.М. встретились для переговоров на альпийском перевале Бреннер (3481).</w:t>
      </w:r>
    </w:p>
    <w:p w14:paraId="559F87E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42D754E"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4 октября </w:t>
      </w:r>
      <w:r w:rsidRPr="00A3026E">
        <w:rPr>
          <w:rFonts w:ascii="Times New Roman" w:hAnsi="Times New Roman"/>
          <w:color w:val="000000" w:themeColor="text1"/>
          <w:sz w:val="16"/>
          <w:szCs w:val="16"/>
        </w:rPr>
        <w:t>в 1940 году немецкие оккупационные власти запретили французам пересекать линию, разделяющую оккупированную и неоккупированную части Франции (14789).</w:t>
      </w:r>
    </w:p>
    <w:p w14:paraId="3EFA2553" w14:textId="77777777" w:rsidR="00D2328C" w:rsidRPr="00A3026E" w:rsidRDefault="00D2328C" w:rsidP="00A3026E">
      <w:pPr>
        <w:spacing w:after="0" w:line="240" w:lineRule="auto"/>
        <w:jc w:val="both"/>
        <w:rPr>
          <w:rFonts w:ascii="Times New Roman" w:hAnsi="Times New Roman"/>
          <w:color w:val="000000" w:themeColor="text1"/>
          <w:sz w:val="16"/>
          <w:szCs w:val="16"/>
        </w:rPr>
      </w:pPr>
    </w:p>
    <w:p w14:paraId="1D76C1E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FF8E80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AEAF2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5 октября 1940 переделка БШ-2 в одноместный вариант была закончена и С.В.Ильюшин обратился к руководству НКАП за разрешением начать заводские летные испытания новой машины.</w:t>
      </w:r>
    </w:p>
    <w:p w14:paraId="625C25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«Мудрое руководство» наркомата, в лице А.И.Шахурина и А.С.Яковлева, понимая, что задача создания двухместного бронированного штурмовика БШ-2, как это предусматривалось Постановлением Комитета Обороны, военными не снималась, а И.В.Сталин, по их мнению, склонен согласиться на соломоново решение, предусмотрели в приказе проведение заводских летных испытаний БШ-2 одновременно в одноместном и двухместном вариантах.</w:t>
      </w:r>
    </w:p>
    <w:p w14:paraId="040F6F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надежнее, благо, что в это время специалистами ВВС прорабатывались две концепции боевого примене-ния на поле боя бронированных штурмовых самолетов - двухместных и одноместных.</w:t>
      </w:r>
    </w:p>
    <w:p w14:paraId="5F440F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Другими словами, этим приказом Наркомат авиапромышленности прикрыл самовольство С.В.Ильюшина, рассчитывая в будущем отвести от наркомата и Главного конструктора штурмовика возможный «удар» военных, а если что и случится - на известное расположение И.В.Сталина к А.С.Яковлеву.</w:t>
      </w:r>
    </w:p>
    <w:p w14:paraId="511109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сожалению, УВВС КА должной принципиальности по поводу переделки БШ-2 АМ-38 из двухместного в одноместный все-таки не проявило, во всяком случае активной «перебранки» по этому вопросу между двумя ведомствами в это время не отмечается... (9649).</w:t>
      </w:r>
    </w:p>
    <w:p w14:paraId="15A4E28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19386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с письмом 25/2085 С.Шишкин направил Нач. Особой группу Фирсаеву заключение о замене М-88 на М-87 на ДБ-3Ф, подготовленное 4 октября (1295,11).</w:t>
      </w:r>
    </w:p>
    <w:p w14:paraId="439AAE9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028C0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был собран И-16 N 28213-95 с М-63 N 632707(1) - переделанный в тип 28 тип 14, на котором летал Б.Сафонов и который сейчас стоит в Морском музее (1840,19).</w:t>
      </w:r>
    </w:p>
    <w:p w14:paraId="5670D2E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15863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был выпущен на летные испытания И-21-2 опять с М-105П, т.к. М-107 не было. Мотораму хотели удлинить для повышения продольной устойчивости, но не стали (8280,26).</w:t>
      </w:r>
    </w:p>
    <w:p w14:paraId="76EC2A0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D1688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с письмом № 26/432 Зам. Нач. ОКО Жиганова Зам. Нач. 7 ГУ НКАП Шишкину был направлен Отчет о ДВИЖЕНИИ ОПЫТНЫХ РАБОТ В ОКО ЗАВОДА № 135 на 5 октября 1940 г.</w:t>
      </w:r>
    </w:p>
    <w:p w14:paraId="4475AA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маш. 330 (Заказ 360)</w:t>
      </w:r>
    </w:p>
    <w:p w14:paraId="7108EA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Запущено в производство по измененным чертежам:</w:t>
      </w:r>
    </w:p>
    <w:p w14:paraId="7E0F37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Установка водяного радиатора</w:t>
      </w:r>
    </w:p>
    <w:p w14:paraId="28D4B1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Установка масляного радиатора</w:t>
      </w:r>
    </w:p>
    <w:p w14:paraId="02B557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Капот</w:t>
      </w:r>
    </w:p>
    <w:p w14:paraId="01F1FB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 собраны, проводятся испытания.</w:t>
      </w:r>
    </w:p>
    <w:p w14:paraId="3B5644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числа готовых деталей поступил только Г-350.</w:t>
      </w:r>
    </w:p>
    <w:p w14:paraId="779220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Отсутствие остальных агрегатов все также задерживает окончание монтажа.</w:t>
      </w:r>
    </w:p>
    <w:p w14:paraId="3BE85F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серийной машины</w:t>
      </w:r>
    </w:p>
    <w:p w14:paraId="5CA171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Закончено проектирование ВМГ с М-81</w:t>
      </w:r>
    </w:p>
    <w:p w14:paraId="388834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Приступили к продолжению проектирования ВМГ с М-90</w:t>
      </w:r>
    </w:p>
    <w:p w14:paraId="5C574D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smallCaps/>
          <w:color w:val="000000" w:themeColor="text1"/>
          <w:sz w:val="16"/>
          <w:szCs w:val="16"/>
        </w:rPr>
        <w:t xml:space="preserve">Производство: </w:t>
      </w:r>
      <w:r w:rsidRPr="00A3026E">
        <w:rPr>
          <w:rFonts w:ascii="Times New Roman" w:hAnsi="Times New Roman"/>
          <w:color w:val="000000" w:themeColor="text1"/>
          <w:sz w:val="16"/>
          <w:szCs w:val="16"/>
        </w:rPr>
        <w:t>"МН" с мотором М-9О - продолжается изготовление шасси и щитков шасси</w:t>
      </w:r>
    </w:p>
    <w:p w14:paraId="1C4D47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"МН" о мотором м-81 (дублер)</w:t>
      </w:r>
    </w:p>
    <w:p w14:paraId="5BC7CF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производство спущены все узлы за исключением запуска мотора.</w:t>
      </w:r>
    </w:p>
    <w:p w14:paraId="1B7D8B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готовность узлов</w:t>
      </w:r>
    </w:p>
    <w:p w14:paraId="3A6CEF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Противопожарная перегородка</w:t>
      </w:r>
    </w:p>
    <w:p w14:paraId="001E0F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Сектор 2-го пилота</w:t>
      </w:r>
    </w:p>
    <w:p w14:paraId="1C3F54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Переделка 1-го шпангоута</w:t>
      </w:r>
    </w:p>
    <w:p w14:paraId="4493A8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Сектор 1-го пилота</w:t>
      </w:r>
    </w:p>
    <w:p w14:paraId="6FBC0F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Бензинофильтр с альвеером</w:t>
      </w:r>
    </w:p>
    <w:p w14:paraId="1CB81D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альвеером</w:t>
      </w:r>
    </w:p>
    <w:p w14:paraId="5E499C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Бензокран </w:t>
      </w:r>
    </w:p>
    <w:p w14:paraId="49038A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бензокраном</w:t>
      </w:r>
    </w:p>
    <w:p w14:paraId="27D59B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Отопление кабины</w:t>
      </w:r>
    </w:p>
    <w:p w14:paraId="48CAB6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Огнетушитель</w:t>
      </w:r>
    </w:p>
    <w:p w14:paraId="23D94D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Газоанализатор (крепление)</w:t>
      </w:r>
    </w:p>
    <w:p w14:paraId="627C8E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Маслобак</w:t>
      </w:r>
    </w:p>
    <w:p w14:paraId="5F6A92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Моторама</w:t>
      </w:r>
    </w:p>
    <w:p w14:paraId="16871E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мотора на планер</w:t>
      </w:r>
    </w:p>
    <w:p w14:paraId="589F49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Кольцо управлен. юбкой капота</w:t>
      </w:r>
    </w:p>
    <w:p w14:paraId="71CDB0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Внутренний капот</w:t>
      </w:r>
    </w:p>
    <w:p w14:paraId="7AFCD2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Маслорадиатор</w:t>
      </w:r>
    </w:p>
    <w:p w14:paraId="50260D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 заслонкой маслорад.</w:t>
      </w:r>
    </w:p>
    <w:p w14:paraId="5ED3E9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мотором</w:t>
      </w:r>
    </w:p>
    <w:p w14:paraId="029FE3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Маслопроводка</w:t>
      </w:r>
    </w:p>
    <w:p w14:paraId="4AF5C7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Бензобак в фюзеляже</w:t>
      </w:r>
    </w:p>
    <w:p w14:paraId="51F4D7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Бензопроводка</w:t>
      </w:r>
    </w:p>
    <w:p w14:paraId="39039A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Выхлопной коллектор</w:t>
      </w:r>
    </w:p>
    <w:p w14:paraId="5A5D8E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Инертные газы</w:t>
      </w:r>
    </w:p>
    <w:p w14:paraId="523B9B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Наружный капот</w:t>
      </w:r>
    </w:p>
    <w:p w14:paraId="53CFE9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Юбка капота</w:t>
      </w:r>
    </w:p>
    <w:p w14:paraId="6A3CDE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Всасывающий патрубок карбюратора</w:t>
      </w:r>
    </w:p>
    <w:p w14:paraId="3C4078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Кок на винт</w:t>
      </w:r>
    </w:p>
    <w:p w14:paraId="105E50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Люк бензобака</w:t>
      </w:r>
    </w:p>
    <w:p w14:paraId="0D3F77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w:t>
      </w:r>
    </w:p>
    <w:p w14:paraId="56DF16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Щитки шасси</w:t>
      </w:r>
    </w:p>
    <w:p w14:paraId="47614B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Заливка мотора</w:t>
      </w:r>
    </w:p>
    <w:p w14:paraId="7A92BC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Все также не получено</w:t>
      </w:r>
    </w:p>
    <w:p w14:paraId="6A4B4B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Фибровые бензобаки</w:t>
      </w:r>
    </w:p>
    <w:p w14:paraId="65982B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Винт АВ-5</w:t>
      </w:r>
    </w:p>
    <w:p w14:paraId="19BDFE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Заливной бензошприц</w:t>
      </w:r>
    </w:p>
    <w:p w14:paraId="28D086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Пиростартер ИС-5</w:t>
      </w:r>
    </w:p>
    <w:p w14:paraId="62C459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Радиатор масл. ОП234</w:t>
      </w:r>
    </w:p>
    <w:p w14:paraId="21993A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Помпа М-88Р</w:t>
      </w:r>
    </w:p>
    <w:p w14:paraId="0E5DF8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Пусковая катушка КП477</w:t>
      </w:r>
    </w:p>
    <w:p w14:paraId="460BB6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Помпа для аварийного выпуска шасси агр. 100</w:t>
      </w:r>
    </w:p>
    <w:p w14:paraId="4A72C6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Планер для стат. испытаний.</w:t>
      </w:r>
    </w:p>
    <w:p w14:paraId="302F45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Планер представлен для испытания на случай А. Произведена обтяжка</w:t>
      </w:r>
    </w:p>
    <w:p w14:paraId="207806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ББ-МАИ</w:t>
      </w:r>
    </w:p>
    <w:p w14:paraId="379C02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Приступили к проектированию данного объекта (874,75).</w:t>
      </w:r>
    </w:p>
    <w:p w14:paraId="771046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67A99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и 7 ГУ НКАП Локтев писал Заключение Зам. Нач. 7 ГУ тов. Шишкину С.Н.</w:t>
      </w:r>
    </w:p>
    <w:p w14:paraId="6856CC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о снятии ограничений веса при летных испытаниях самолета И-135 М-105П 2ТК-2</w:t>
      </w:r>
    </w:p>
    <w:p w14:paraId="65015A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00519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Ограничение веса самолета самолета при летных испытаниях было обусловлено тем, что</w:t>
      </w:r>
    </w:p>
    <w:p w14:paraId="5EB9CC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Полученная при статическом испытании прочность крыла при пересчете для действительного полетного веса составляла 88,3%</w:t>
      </w:r>
    </w:p>
    <w:p w14:paraId="18DB4D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Прочность верхнего подкоса моторамы была равна 91% по расчету.</w:t>
      </w:r>
    </w:p>
    <w:p w14:paraId="30442B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представленных ГК завода № 289 НКАП тов. Сухим материалов за № 25/1713 от 21 сентября 1940 г. следует, что:</w:t>
      </w:r>
    </w:p>
    <w:p w14:paraId="425332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Недостаточная прочность опытной конструкции крыла при повторном испытании получилась из-за неправильной закалки оси шасси (она же - нижний пояс лонжерона центроплана. Проверка креписти матариала по Роквеллу показала 85-90 ммкв...</w:t>
      </w:r>
    </w:p>
    <w:p w14:paraId="0CC505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изложенного считаю, что ограничение веса для самолета И-135 М-105П 2ТК-2 должны быть сняты (874,73).</w:t>
      </w:r>
    </w:p>
    <w:p w14:paraId="7D8351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1E76E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закончились заводские испытания И-153 с мотором М-62 и деревянным фюзеляжем-монококом вместо ферменного (И-153 УД-1), которые проходили с 30 сентября 1940. Всего на самолете выполнено 9 полетов с общим налетом 6 часов. Истреби</w:t>
      </w:r>
      <w:r w:rsidRPr="00A3026E">
        <w:rPr>
          <w:rFonts w:ascii="Times New Roman" w:hAnsi="Times New Roman"/>
          <w:color w:val="000000" w:themeColor="text1"/>
          <w:sz w:val="16"/>
          <w:szCs w:val="16"/>
        </w:rPr>
        <w:softHyphen/>
        <w:t>тель достиг максимальной скорости у земли 361 км/ч, а на высоте 4800 м - 422 км/ч. Время набора высоты 5000 м составляло 6 мин. В отчете об испытаниях отмечалось: «Уменьшение максимальной скорости можно объяснить тем, что мотор М-62 за № 1609, поставленный на У.Д., дал при контрольных испытаниях на моторном заводе номи</w:t>
      </w:r>
      <w:r w:rsidRPr="00A3026E">
        <w:rPr>
          <w:rFonts w:ascii="Times New Roman" w:hAnsi="Times New Roman"/>
          <w:color w:val="000000" w:themeColor="text1"/>
          <w:sz w:val="16"/>
          <w:szCs w:val="16"/>
        </w:rPr>
        <w:softHyphen/>
        <w:t>нальную мощность 840 л.с. при п=2120 об/мин... вместо положенной мощности на верхнем пределе 857-860 л.с., т.е. не додает 17-20 л.с.». Для проверки прочности фюзеляжа в ходе испыта</w:t>
      </w:r>
      <w:r w:rsidRPr="00A3026E">
        <w:rPr>
          <w:rFonts w:ascii="Times New Roman" w:hAnsi="Times New Roman"/>
          <w:color w:val="000000" w:themeColor="text1"/>
          <w:sz w:val="16"/>
          <w:szCs w:val="16"/>
        </w:rPr>
        <w:softHyphen/>
        <w:t>ний было выполнено 560 фигур высшего пилотажа с пе</w:t>
      </w:r>
      <w:r w:rsidRPr="00A3026E">
        <w:rPr>
          <w:rFonts w:ascii="Times New Roman" w:hAnsi="Times New Roman"/>
          <w:color w:val="000000" w:themeColor="text1"/>
          <w:sz w:val="16"/>
          <w:szCs w:val="16"/>
        </w:rPr>
        <w:softHyphen/>
        <w:t>регрузкой, доходившей до 7 единиц. При этом никаких дефектов и нарушения прочности хвостовой части фю</w:t>
      </w:r>
      <w:r w:rsidRPr="00A3026E">
        <w:rPr>
          <w:rFonts w:ascii="Times New Roman" w:hAnsi="Times New Roman"/>
          <w:color w:val="000000" w:themeColor="text1"/>
          <w:sz w:val="16"/>
          <w:szCs w:val="16"/>
        </w:rPr>
        <w:softHyphen/>
        <w:t>зеляжа не обнаружили. По результатам испытаний приняли следующее ре</w:t>
      </w:r>
      <w:r w:rsidRPr="00A3026E">
        <w:rPr>
          <w:rFonts w:ascii="Times New Roman" w:hAnsi="Times New Roman"/>
          <w:color w:val="000000" w:themeColor="text1"/>
          <w:sz w:val="16"/>
          <w:szCs w:val="16"/>
        </w:rPr>
        <w:softHyphen/>
        <w:t>шение: «Считать, что хвостовая часть фюзеляжа, выкле</w:t>
      </w:r>
      <w:r w:rsidRPr="00A3026E">
        <w:rPr>
          <w:rFonts w:ascii="Times New Roman" w:hAnsi="Times New Roman"/>
          <w:color w:val="000000" w:themeColor="text1"/>
          <w:sz w:val="16"/>
          <w:szCs w:val="16"/>
        </w:rPr>
        <w:softHyphen/>
        <w:t>енная из шпона, испытание выдержала... Самолет после окраски передать для эксплуатации ВВС КА». Работы по установке нового мотора воздушного ох</w:t>
      </w:r>
      <w:r w:rsidRPr="00A3026E">
        <w:rPr>
          <w:rFonts w:ascii="Times New Roman" w:hAnsi="Times New Roman"/>
          <w:color w:val="000000" w:themeColor="text1"/>
          <w:sz w:val="16"/>
          <w:szCs w:val="16"/>
        </w:rPr>
        <w:softHyphen/>
        <w:t>лаждения М-63 мощностью 930/1100 л.с., представляв</w:t>
      </w:r>
      <w:r w:rsidRPr="00A3026E">
        <w:rPr>
          <w:rFonts w:ascii="Times New Roman" w:hAnsi="Times New Roman"/>
          <w:color w:val="000000" w:themeColor="text1"/>
          <w:sz w:val="16"/>
          <w:szCs w:val="16"/>
        </w:rPr>
        <w:softHyphen/>
        <w:t>шего собой форсированный вариант мотора М-62, начались в 1939 г., когда были выполнены первые расче-ты и сделаны первые наброски чертежей мотоустановки (М-63 тогда еще только проходил стендовые испыта</w:t>
      </w:r>
      <w:r w:rsidRPr="00A3026E">
        <w:rPr>
          <w:rFonts w:ascii="Times New Roman" w:hAnsi="Times New Roman"/>
          <w:color w:val="000000" w:themeColor="text1"/>
          <w:sz w:val="16"/>
          <w:szCs w:val="16"/>
        </w:rPr>
        <w:softHyphen/>
        <w:t>ния). В августе 1939 г. нарком авиапромышленности М.М.Каганович предписал Н.Н.Поликарпову развер</w:t>
      </w:r>
      <w:r w:rsidRPr="00A3026E">
        <w:rPr>
          <w:rFonts w:ascii="Times New Roman" w:hAnsi="Times New Roman"/>
          <w:color w:val="000000" w:themeColor="text1"/>
          <w:sz w:val="16"/>
          <w:szCs w:val="16"/>
        </w:rPr>
        <w:softHyphen/>
        <w:t>нуть работы по проектированию И-153 с мотором М-63, а директору завода № 1 Воронину готовить производст</w:t>
      </w:r>
      <w:r w:rsidRPr="00A3026E">
        <w:rPr>
          <w:rFonts w:ascii="Times New Roman" w:hAnsi="Times New Roman"/>
          <w:color w:val="000000" w:themeColor="text1"/>
          <w:sz w:val="16"/>
          <w:szCs w:val="16"/>
        </w:rPr>
        <w:softHyphen/>
        <w:t>во к серийной постройке истребителя. При этом он под</w:t>
      </w:r>
      <w:r w:rsidRPr="00A3026E">
        <w:rPr>
          <w:rFonts w:ascii="Times New Roman" w:hAnsi="Times New Roman"/>
          <w:color w:val="000000" w:themeColor="text1"/>
          <w:sz w:val="16"/>
          <w:szCs w:val="16"/>
        </w:rPr>
        <w:softHyphen/>
        <w:t>твердил требуемые ВВС летные характеристики И-153 с М-63 (во многом нереальные): максимальная скорость полета на высоте 5000 м - 485 км/ч, нормальная даль</w:t>
      </w:r>
      <w:r w:rsidRPr="00A3026E">
        <w:rPr>
          <w:rFonts w:ascii="Times New Roman" w:hAnsi="Times New Roman"/>
          <w:color w:val="000000" w:themeColor="text1"/>
          <w:sz w:val="16"/>
          <w:szCs w:val="16"/>
        </w:rPr>
        <w:softHyphen/>
        <w:t>ность на 0,9 максимальной скорости - 600 км, практиче</w:t>
      </w:r>
      <w:r w:rsidRPr="00A3026E">
        <w:rPr>
          <w:rFonts w:ascii="Times New Roman" w:hAnsi="Times New Roman"/>
          <w:color w:val="000000" w:themeColor="text1"/>
          <w:sz w:val="16"/>
          <w:szCs w:val="16"/>
        </w:rPr>
        <w:softHyphen/>
        <w:t>ский потолок - 10000 м (10667).</w:t>
      </w:r>
    </w:p>
    <w:p w14:paraId="1696B7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F043E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г. закончились испытания И-153УД (в некоторых документах обозначался - И-153У.Д.), хвостовую часть фюзеляжа которого, начиная от 3-й рамы, изготовили в виде деревянного монокока. Проходили с 30 сентября и летал П.Е.Логинов. В целом эти испытания прошли успешно, однако воплощения в серии машина И-153УД не нашла в связи с прекращением постройки базовой модели (6592).</w:t>
      </w:r>
    </w:p>
    <w:p w14:paraId="50D124D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27E97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года Зам. начальника Главного управления ВВС утвердил Отчет по войсковым испытаниям самолетов УТ-3 с двумя моторами МВ-6 конструкции инженера Яковлева, производства завода № 301</w:t>
      </w:r>
    </w:p>
    <w:p w14:paraId="4D871C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535AAF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2 ранга Лысков</w:t>
      </w:r>
    </w:p>
    <w:p w14:paraId="59148E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04B9D71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качество самолета УТ-3 как учебного для двухмоторных самолетов, условия работы инструктора-летчика и курсанта-летчика.</w:t>
      </w:r>
    </w:p>
    <w:p w14:paraId="687DF55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время необходимое для обучения курсантов-летчиков на самолете УТ-3, окончивших самолеты У-2 и Р-5, а также только У-2 или УТ-2.</w:t>
      </w:r>
    </w:p>
    <w:p w14:paraId="4339A58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продолжительность обучения курсанта-летчика на самолете УТ-3 для перехода на самолете СБ и быстроту освоения техники пилотирования на самолете СБ.</w:t>
      </w:r>
    </w:p>
    <w:p w14:paraId="158F27B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возможность самостоятельного вылета на самолете СБ курсантов-летчиков, окончивших курс обучения на самолете УТ-3.</w:t>
      </w:r>
    </w:p>
    <w:p w14:paraId="2FF3A03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Дать оценку летно-пилотажным качествам самолета УТ-3.</w:t>
      </w:r>
    </w:p>
    <w:p w14:paraId="3056978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устранение заводом и качество устранения конструктивных и производственных дефектов, выявленных при гос. испытаниях головного серийного самолета и выявить новые дефекты.</w:t>
      </w:r>
    </w:p>
    <w:p w14:paraId="04FEFFD1" w14:textId="77777777" w:rsidR="00C66762" w:rsidRPr="00A3026E" w:rsidRDefault="00C66762" w:rsidP="00A3026E">
      <w:pPr>
        <w:pStyle w:val="a3"/>
        <w:widowControl/>
        <w:rPr>
          <w:color w:val="000000" w:themeColor="text1"/>
          <w:lang w:val="ru-RU"/>
        </w:rPr>
      </w:pPr>
      <w:r w:rsidRPr="00A3026E">
        <w:rPr>
          <w:color w:val="000000" w:themeColor="text1"/>
          <w:lang w:val="ru-RU"/>
        </w:rPr>
        <w:t>Установить практически межремонтные ресурсы самолета и мотора и основных агрегатов.</w:t>
      </w:r>
    </w:p>
    <w:p w14:paraId="45A8A12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Дать анализ эксплуатационным качествам самолета УТ-3.</w:t>
      </w:r>
    </w:p>
    <w:p w14:paraId="713A75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испытании находились 9 самолетов УТ-3 с двумя моторами МВ-6, производства завода № 301 за №№ 102, 103, 201, 202, 203, 204, 301, 302 и 303.</w:t>
      </w:r>
    </w:p>
    <w:p w14:paraId="6ABFB1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УТ-3 моноплан, смешанной конструкции, с убирающимися в полете шасси, крыло деревянное, состоит из трех частей: центроплана и консолей. Фюзеляж металлический.</w:t>
      </w:r>
    </w:p>
    <w:p w14:paraId="570399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 предъявленные на войсковые испытания отличаются от головного серийного следующим:</w:t>
      </w:r>
    </w:p>
    <w:p w14:paraId="4035A0F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переоборудован только для вывозного варианта, для чего снято все вооружение.</w:t>
      </w:r>
    </w:p>
    <w:p w14:paraId="646E266F" w14:textId="77777777" w:rsidR="00C66762" w:rsidRPr="00A3026E" w:rsidRDefault="00C66762" w:rsidP="00A3026E">
      <w:pPr>
        <w:pStyle w:val="a3"/>
        <w:widowControl/>
        <w:rPr>
          <w:color w:val="000000" w:themeColor="text1"/>
          <w:lang w:val="ru-RU"/>
        </w:rPr>
      </w:pPr>
      <w:r w:rsidRPr="00A3026E">
        <w:rPr>
          <w:color w:val="000000" w:themeColor="text1"/>
          <w:lang w:val="ru-RU"/>
        </w:rPr>
        <w:t>…………………..</w:t>
      </w:r>
    </w:p>
    <w:p w14:paraId="70C55B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15 мая по 15 августа 1940 года самолеты выходили в полеты 54 дня. Всего налет на 9 самолетов 436 час. 49 мин.</w:t>
      </w:r>
    </w:p>
    <w:p w14:paraId="5E4D41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Средний налет на все самолеты в 1 летный день – 8 час. 50 мин.</w:t>
      </w:r>
    </w:p>
    <w:p w14:paraId="54CF82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Общее число полетов на все самолеты – 2270.</w:t>
      </w:r>
    </w:p>
    <w:p w14:paraId="37DD1C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Среднее число полетов на все самолеты за 1 летный день – 42 полета.</w:t>
      </w:r>
    </w:p>
    <w:p w14:paraId="38A3D2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Среднее число полетов на один самолет за 1 летный день – 4,7 полета.</w:t>
      </w:r>
    </w:p>
    <w:p w14:paraId="7FCA9F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B5C211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 УТ-3 2МВ-6 конструкции инженера Яковлева в предъявленном варианте войсковые испытания не выдержали (4603).</w:t>
      </w:r>
    </w:p>
    <w:p w14:paraId="386E2B3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57D0890"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года появилась директива №364259 маршала Советского Союза Г.И. Кулика. Два автожира выделялись для прохождения испытаний на Житомирском артиллерийском полигоне. Туда своим ходом перегнали два А-7-3а с серийными номерами 2 и 4. Машину №2 пилотировал командир звена 1-й КАЭ старший лейтенант Рябов, а машину №4 — помощник командира 50-й КАЭ старший лейтенант Кнуров. Участие в испытаниях принимали Камов и Миль. Оба автожира прибыли полностью укомплектованными приборами для аэрофотосъёмки. Помимо камер АФА-27А, прибыл прибор ПУАОС (прибор управления артогнём с самолёта), а также другая аппаратура для испытаний автожиров в качестве разведчика и корректировщика (18227).</w:t>
      </w:r>
    </w:p>
    <w:p w14:paraId="58BE7ADD" w14:textId="77777777" w:rsidR="00DD4EE2" w:rsidRPr="00A3026E" w:rsidRDefault="00DD4EE2" w:rsidP="00A3026E">
      <w:pPr>
        <w:spacing w:after="0" w:line="240" w:lineRule="auto"/>
        <w:jc w:val="both"/>
        <w:rPr>
          <w:rFonts w:ascii="Times New Roman" w:hAnsi="Times New Roman"/>
          <w:color w:val="000000" w:themeColor="text1"/>
          <w:sz w:val="16"/>
          <w:szCs w:val="16"/>
        </w:rPr>
      </w:pPr>
    </w:p>
    <w:p w14:paraId="1E7C68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Четвериков в письме Зам. наркома А.С.Я. N 2829с пытался оспорить выводы комиссии по рассмотрению эскизного проекта МБР-6Б 2М-105 о нецелесообразности продолжения работы от августа 1940 (1448,156).</w:t>
      </w:r>
    </w:p>
    <w:p w14:paraId="25C38AC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9B04F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года врид начальника Группы контроля ВВС полковник Илюхин</w:t>
      </w:r>
    </w:p>
    <w:p w14:paraId="5BEAE0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Справка о ходе выполнения постановлений КО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2694"/>
        <w:gridCol w:w="2835"/>
        <w:gridCol w:w="2693"/>
      </w:tblGrid>
      <w:tr w:rsidR="00983732" w:rsidRPr="00A3026E" w14:paraId="4134D478" w14:textId="77777777" w:rsidTr="00EA0DA7">
        <w:tc>
          <w:tcPr>
            <w:tcW w:w="1809" w:type="dxa"/>
          </w:tcPr>
          <w:p w14:paraId="5CB542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и дата постановлений</w:t>
            </w:r>
          </w:p>
        </w:tc>
        <w:tc>
          <w:tcPr>
            <w:tcW w:w="2694" w:type="dxa"/>
          </w:tcPr>
          <w:p w14:paraId="30CA30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Содержание проверяемого вопроса постановления КО</w:t>
            </w:r>
          </w:p>
        </w:tc>
        <w:tc>
          <w:tcPr>
            <w:tcW w:w="2835" w:type="dxa"/>
          </w:tcPr>
          <w:p w14:paraId="57B904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исполнения данного вопроса постановления</w:t>
            </w:r>
          </w:p>
        </w:tc>
        <w:tc>
          <w:tcPr>
            <w:tcW w:w="2693" w:type="dxa"/>
          </w:tcPr>
          <w:p w14:paraId="6FDE60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Положение по состоянию на 1 октября 1940 года</w:t>
            </w:r>
          </w:p>
        </w:tc>
      </w:tr>
      <w:tr w:rsidR="00983732" w:rsidRPr="00A3026E" w14:paraId="66F8BF4D" w14:textId="77777777" w:rsidTr="00EA0DA7">
        <w:tc>
          <w:tcPr>
            <w:tcW w:w="1809" w:type="dxa"/>
          </w:tcPr>
          <w:p w14:paraId="22C7CF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102 сс</w:t>
            </w:r>
          </w:p>
          <w:p w14:paraId="666C1A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марта 1940 года</w:t>
            </w:r>
          </w:p>
        </w:tc>
        <w:tc>
          <w:tcPr>
            <w:tcW w:w="2694" w:type="dxa"/>
          </w:tcPr>
          <w:p w14:paraId="5C3ACA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создании нового опытного одноместного истребителя (конструктор Поликарпов)</w:t>
            </w:r>
          </w:p>
        </w:tc>
        <w:tc>
          <w:tcPr>
            <w:tcW w:w="2835" w:type="dxa"/>
          </w:tcPr>
          <w:p w14:paraId="567E37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экземпляр сдать на госиспытания к 1 сентября 1940 года.</w:t>
            </w:r>
          </w:p>
        </w:tc>
        <w:tc>
          <w:tcPr>
            <w:tcW w:w="2693" w:type="dxa"/>
          </w:tcPr>
          <w:p w14:paraId="4327BF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выполнено. Выпуск самолетов задерживается отсутствием моторов М-90.</w:t>
            </w:r>
          </w:p>
        </w:tc>
      </w:tr>
      <w:tr w:rsidR="00983732" w:rsidRPr="00A3026E" w14:paraId="31B61D49" w14:textId="77777777" w:rsidTr="00EA0DA7">
        <w:tc>
          <w:tcPr>
            <w:tcW w:w="1809" w:type="dxa"/>
          </w:tcPr>
          <w:p w14:paraId="6FCFDF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 сс</w:t>
            </w:r>
          </w:p>
          <w:p w14:paraId="14B9C0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марта 1940 года</w:t>
            </w:r>
          </w:p>
        </w:tc>
        <w:tc>
          <w:tcPr>
            <w:tcW w:w="2694" w:type="dxa"/>
          </w:tcPr>
          <w:p w14:paraId="3526E2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создании нового опытного одномоторного истребителя (конструктор Микоян).</w:t>
            </w:r>
          </w:p>
        </w:tc>
        <w:tc>
          <w:tcPr>
            <w:tcW w:w="2835" w:type="dxa"/>
          </w:tcPr>
          <w:p w14:paraId="2FCB1F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экземпляр сдать на госиспытания к 1 июля 1940 года.</w:t>
            </w:r>
          </w:p>
        </w:tc>
        <w:tc>
          <w:tcPr>
            <w:tcW w:w="2693" w:type="dxa"/>
          </w:tcPr>
          <w:p w14:paraId="1E9413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Госиспытания закончены 13 сентября 1940 года, т.е. с опозданием на 3,5 месяца.</w:t>
            </w:r>
          </w:p>
        </w:tc>
      </w:tr>
      <w:tr w:rsidR="00983732" w:rsidRPr="00A3026E" w14:paraId="7810C86D" w14:textId="77777777" w:rsidTr="00EA0DA7">
        <w:tc>
          <w:tcPr>
            <w:tcW w:w="1809" w:type="dxa"/>
          </w:tcPr>
          <w:p w14:paraId="328E53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 сс</w:t>
            </w:r>
          </w:p>
          <w:p w14:paraId="1937C1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марта 1940 года</w:t>
            </w:r>
          </w:p>
        </w:tc>
        <w:tc>
          <w:tcPr>
            <w:tcW w:w="2694" w:type="dxa"/>
          </w:tcPr>
          <w:p w14:paraId="0AF63B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создании нового одномоторного истребителя (конструктор Пашинин)</w:t>
            </w:r>
          </w:p>
        </w:tc>
        <w:tc>
          <w:tcPr>
            <w:tcW w:w="2835" w:type="dxa"/>
          </w:tcPr>
          <w:p w14:paraId="234B3E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экземпляр сдать на госиспытания к 15 сентября 1940 года</w:t>
            </w:r>
          </w:p>
        </w:tc>
        <w:tc>
          <w:tcPr>
            <w:tcW w:w="2693" w:type="dxa"/>
          </w:tcPr>
          <w:p w14:paraId="18971B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на госиспытания не сдан.</w:t>
            </w:r>
          </w:p>
        </w:tc>
      </w:tr>
      <w:tr w:rsidR="00983732" w:rsidRPr="00A3026E" w14:paraId="048C5590" w14:textId="77777777" w:rsidTr="00EA0DA7">
        <w:tc>
          <w:tcPr>
            <w:tcW w:w="1809" w:type="dxa"/>
          </w:tcPr>
          <w:p w14:paraId="36E5ED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112сс</w:t>
            </w:r>
          </w:p>
          <w:p w14:paraId="2DD3CF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марта 1940 года</w:t>
            </w:r>
          </w:p>
        </w:tc>
        <w:tc>
          <w:tcPr>
            <w:tcW w:w="2694" w:type="dxa"/>
          </w:tcPr>
          <w:p w14:paraId="31C8DF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модификации одноместного истребителя с мотором М-105 конструкции Яковлева в 2-х местный с двойным управлением.</w:t>
            </w:r>
          </w:p>
        </w:tc>
        <w:tc>
          <w:tcPr>
            <w:tcW w:w="2835" w:type="dxa"/>
          </w:tcPr>
          <w:p w14:paraId="023476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экземпляр сдать на госиспытания к 1августа 1940 года.</w:t>
            </w:r>
          </w:p>
        </w:tc>
        <w:tc>
          <w:tcPr>
            <w:tcW w:w="2693" w:type="dxa"/>
          </w:tcPr>
          <w:p w14:paraId="31AAE7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Сдан на госиспытания на 1,5 месяца позже намеченного срока.</w:t>
            </w:r>
          </w:p>
        </w:tc>
      </w:tr>
      <w:tr w:rsidR="00983732" w:rsidRPr="00A3026E" w14:paraId="2C63BF2D" w14:textId="77777777" w:rsidTr="00EA0DA7">
        <w:tc>
          <w:tcPr>
            <w:tcW w:w="1809" w:type="dxa"/>
          </w:tcPr>
          <w:p w14:paraId="16BB19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206сс</w:t>
            </w:r>
          </w:p>
          <w:p w14:paraId="22CE39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марта 1940 года</w:t>
            </w:r>
          </w:p>
        </w:tc>
        <w:tc>
          <w:tcPr>
            <w:tcW w:w="2694" w:type="dxa"/>
          </w:tcPr>
          <w:p w14:paraId="5C7E53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организации серийного производства И-26 конструкции Яковлева на заводе № 301</w:t>
            </w:r>
          </w:p>
        </w:tc>
        <w:tc>
          <w:tcPr>
            <w:tcW w:w="2835" w:type="dxa"/>
          </w:tcPr>
          <w:p w14:paraId="7560EE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Обеспечить выпуск в 1940 году в количестве 100 штук.</w:t>
            </w:r>
          </w:p>
        </w:tc>
        <w:tc>
          <w:tcPr>
            <w:tcW w:w="2693" w:type="dxa"/>
          </w:tcPr>
          <w:p w14:paraId="229E42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ряду конструктивных недочетов самолет не предъявлен НИИ ВВС и не прошел госиспытаний.</w:t>
            </w:r>
          </w:p>
        </w:tc>
      </w:tr>
      <w:tr w:rsidR="00983732" w:rsidRPr="00A3026E" w14:paraId="4CFB09FA" w14:textId="77777777" w:rsidTr="00EA0DA7">
        <w:tc>
          <w:tcPr>
            <w:tcW w:w="1809" w:type="dxa"/>
          </w:tcPr>
          <w:p w14:paraId="09A9E4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222сс</w:t>
            </w:r>
          </w:p>
          <w:p w14:paraId="55A979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мая 1940 года</w:t>
            </w:r>
          </w:p>
        </w:tc>
        <w:tc>
          <w:tcPr>
            <w:tcW w:w="2694" w:type="dxa"/>
          </w:tcPr>
          <w:p w14:paraId="61A90C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постройке новых авиамоторов на заводе № 24 НКАП (АМ-37).</w:t>
            </w:r>
          </w:p>
        </w:tc>
        <w:tc>
          <w:tcPr>
            <w:tcW w:w="2835" w:type="dxa"/>
          </w:tcPr>
          <w:p w14:paraId="2D6115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Провести госиспытания к 1 сентября 1940 года.</w:t>
            </w:r>
          </w:p>
        </w:tc>
        <w:tc>
          <w:tcPr>
            <w:tcW w:w="2693" w:type="dxa"/>
          </w:tcPr>
          <w:p w14:paraId="008A19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на госиспытания не сдан.</w:t>
            </w:r>
          </w:p>
        </w:tc>
      </w:tr>
      <w:tr w:rsidR="00983732" w:rsidRPr="00A3026E" w14:paraId="6ACAB0DE" w14:textId="77777777" w:rsidTr="00EA0DA7">
        <w:tc>
          <w:tcPr>
            <w:tcW w:w="1809" w:type="dxa"/>
          </w:tcPr>
          <w:p w14:paraId="55BAA0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209сс</w:t>
            </w:r>
          </w:p>
          <w:p w14:paraId="73B89E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мая 1940 года</w:t>
            </w:r>
          </w:p>
        </w:tc>
        <w:tc>
          <w:tcPr>
            <w:tcW w:w="2694" w:type="dxa"/>
          </w:tcPr>
          <w:p w14:paraId="0C9C41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постройке и внедрении в серийное производство мотора АМ-35А на заводе № 24 НКАП.</w:t>
            </w:r>
          </w:p>
        </w:tc>
        <w:tc>
          <w:tcPr>
            <w:tcW w:w="2835" w:type="dxa"/>
          </w:tcPr>
          <w:p w14:paraId="618927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Сдать 50 моторов до 1 сентября.</w:t>
            </w:r>
          </w:p>
        </w:tc>
        <w:tc>
          <w:tcPr>
            <w:tcW w:w="2693" w:type="dxa"/>
          </w:tcPr>
          <w:p w14:paraId="65BBA5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выполнено.</w:t>
            </w:r>
          </w:p>
        </w:tc>
      </w:tr>
    </w:tbl>
    <w:p w14:paraId="7CF019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(7713, 108-109)</w:t>
      </w:r>
    </w:p>
    <w:p w14:paraId="2214EFD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840D7C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года вышел приказ НИИ ВВС № 0217</w:t>
      </w:r>
    </w:p>
    <w:p w14:paraId="0AA3BA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проведении специальных летных 50-ти часовых испытаний опытного мотора АМ-35А на самолете И-200 (6890, 131).</w:t>
      </w:r>
    </w:p>
    <w:p w14:paraId="4628319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F046B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5 по 29 октября 1940 года на НИП АВ ВВС проходили заводские испытания авиационно-дымовых шашек (АДШ) конструкции завода № 145</w:t>
      </w:r>
    </w:p>
    <w:p w14:paraId="37AFB0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 ст. инженер 4 отделения опытного отдела НИП АВ ВВС в/инженер 2 ранга Рублев</w:t>
      </w:r>
    </w:p>
    <w:p w14:paraId="6A1FD9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62D8D91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безотказность действия авиационных дымовых шашек и эффективность полученной при этом дымзавесы.</w:t>
      </w:r>
    </w:p>
    <w:p w14:paraId="340C4F7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возможность и безопасность применения дымшашек из кассет АБК-1 и АБК-3.</w:t>
      </w:r>
    </w:p>
    <w:p w14:paraId="575196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7013C3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Авиционно-дымовые шашки конструкции завода № 145 заводские испытания выдержали (7540).</w:t>
      </w:r>
    </w:p>
    <w:p w14:paraId="41330A0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14C4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года НИП АВ представил в 8 управление ГУ ВВС на утверждение отчет по полигонным испытаниям авиабомб, которые прохродили с 26 сентября по 3 октября 1940.</w:t>
      </w:r>
    </w:p>
    <w:p w14:paraId="5DCDC1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Полигонные испытания ФАБ-100 с корпусом из железобетона имели целью определить:</w:t>
      </w:r>
    </w:p>
    <w:p w14:paraId="39735FB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Фугасный эффект бомб подрывом в земле и бомбометанием.</w:t>
      </w:r>
    </w:p>
    <w:p w14:paraId="1A2AF8F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корпусов.</w:t>
      </w:r>
    </w:p>
    <w:p w14:paraId="7D9D281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бомб в полете.</w:t>
      </w:r>
    </w:p>
    <w:p w14:paraId="1118D6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испытаний</w:t>
      </w:r>
    </w:p>
    <w:p w14:paraId="00E2F6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Эффективность фугасного действия</w:t>
      </w:r>
    </w:p>
    <w:p w14:paraId="1E100B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Эффективность фугасного действия проверялась подрывом в грунте и бомбометанием с высот 1000-2000 – 4000 и 6000 м.</w:t>
      </w:r>
    </w:p>
    <w:p w14:paraId="6894BB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Подрывы в грунте производились одновременно со штатными ФАБ-100 ц.к. в ямах глубиною 1,5 метра. Бомбы ставились в ямы вертикально головой вниз и засыпались землей без трамбовки.</w:t>
      </w:r>
    </w:p>
    <w:p w14:paraId="2CDAEF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подрыва в грунте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055"/>
        <w:gridCol w:w="2055"/>
        <w:gridCol w:w="2055"/>
        <w:gridCol w:w="2055"/>
      </w:tblGrid>
      <w:tr w:rsidR="00983732" w:rsidRPr="00A3026E" w14:paraId="683FA1C2" w14:textId="77777777" w:rsidTr="00EA0DA7">
        <w:tc>
          <w:tcPr>
            <w:tcW w:w="3369" w:type="dxa"/>
          </w:tcPr>
          <w:p w14:paraId="6617B8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бомб</w:t>
            </w:r>
          </w:p>
        </w:tc>
        <w:tc>
          <w:tcPr>
            <w:tcW w:w="2055" w:type="dxa"/>
          </w:tcPr>
          <w:p w14:paraId="36FE43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Диаметр воронки в м</w:t>
            </w:r>
          </w:p>
        </w:tc>
        <w:tc>
          <w:tcPr>
            <w:tcW w:w="2055" w:type="dxa"/>
          </w:tcPr>
          <w:p w14:paraId="5370ED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воронки в м</w:t>
            </w:r>
          </w:p>
        </w:tc>
        <w:tc>
          <w:tcPr>
            <w:tcW w:w="2055" w:type="dxa"/>
          </w:tcPr>
          <w:p w14:paraId="2E5EC8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Объем воронки в м куб.</w:t>
            </w:r>
          </w:p>
        </w:tc>
        <w:tc>
          <w:tcPr>
            <w:tcW w:w="2055" w:type="dxa"/>
          </w:tcPr>
          <w:p w14:paraId="053BF5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грунта</w:t>
            </w:r>
          </w:p>
        </w:tc>
      </w:tr>
      <w:tr w:rsidR="00983732" w:rsidRPr="00A3026E" w14:paraId="6814FDDB" w14:textId="77777777" w:rsidTr="00EA0DA7">
        <w:tc>
          <w:tcPr>
            <w:tcW w:w="3369" w:type="dxa"/>
          </w:tcPr>
          <w:p w14:paraId="6C2D6E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штатные цельнокованные корпуса</w:t>
            </w:r>
          </w:p>
        </w:tc>
        <w:tc>
          <w:tcPr>
            <w:tcW w:w="2055" w:type="dxa"/>
          </w:tcPr>
          <w:p w14:paraId="25E8F1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2055" w:type="dxa"/>
          </w:tcPr>
          <w:p w14:paraId="748CED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w:t>
            </w:r>
          </w:p>
        </w:tc>
        <w:tc>
          <w:tcPr>
            <w:tcW w:w="2055" w:type="dxa"/>
          </w:tcPr>
          <w:p w14:paraId="5D7DCF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18,4</w:t>
            </w:r>
          </w:p>
        </w:tc>
        <w:tc>
          <w:tcPr>
            <w:tcW w:w="2055" w:type="dxa"/>
          </w:tcPr>
          <w:p w14:paraId="3E83F9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78DBCAD1" w14:textId="77777777" w:rsidTr="00EA0DA7">
        <w:tc>
          <w:tcPr>
            <w:tcW w:w="3369" w:type="dxa"/>
          </w:tcPr>
          <w:p w14:paraId="085B96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штатные цельнокованные корпуса</w:t>
            </w:r>
          </w:p>
        </w:tc>
        <w:tc>
          <w:tcPr>
            <w:tcW w:w="2055" w:type="dxa"/>
          </w:tcPr>
          <w:p w14:paraId="3CA39B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2055" w:type="dxa"/>
          </w:tcPr>
          <w:p w14:paraId="6B8C20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2055" w:type="dxa"/>
          </w:tcPr>
          <w:p w14:paraId="79B8F6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2055" w:type="dxa"/>
          </w:tcPr>
          <w:p w14:paraId="47E35F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2759E2F4" w14:textId="77777777" w:rsidTr="00EA0DA7">
        <w:tc>
          <w:tcPr>
            <w:tcW w:w="3369" w:type="dxa"/>
          </w:tcPr>
          <w:p w14:paraId="23009D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 с железобетонным корпусом</w:t>
            </w:r>
          </w:p>
        </w:tc>
        <w:tc>
          <w:tcPr>
            <w:tcW w:w="2055" w:type="dxa"/>
          </w:tcPr>
          <w:p w14:paraId="69B56E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c>
          <w:tcPr>
            <w:tcW w:w="2055" w:type="dxa"/>
          </w:tcPr>
          <w:p w14:paraId="70523D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2055" w:type="dxa"/>
          </w:tcPr>
          <w:p w14:paraId="1E214F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w:t>
            </w:r>
          </w:p>
        </w:tc>
        <w:tc>
          <w:tcPr>
            <w:tcW w:w="2055" w:type="dxa"/>
          </w:tcPr>
          <w:p w14:paraId="7EFF68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520C124A" w14:textId="77777777" w:rsidTr="00EA0DA7">
        <w:tc>
          <w:tcPr>
            <w:tcW w:w="3369" w:type="dxa"/>
          </w:tcPr>
          <w:p w14:paraId="3E6471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 с железобетонным корпусом</w:t>
            </w:r>
          </w:p>
        </w:tc>
        <w:tc>
          <w:tcPr>
            <w:tcW w:w="2055" w:type="dxa"/>
          </w:tcPr>
          <w:p w14:paraId="2E5B55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2055" w:type="dxa"/>
          </w:tcPr>
          <w:p w14:paraId="00EA7C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2055" w:type="dxa"/>
          </w:tcPr>
          <w:p w14:paraId="3EB4B6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w:t>
            </w:r>
          </w:p>
        </w:tc>
        <w:tc>
          <w:tcPr>
            <w:tcW w:w="2055" w:type="dxa"/>
          </w:tcPr>
          <w:p w14:paraId="35BA95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02EAF08B" w14:textId="77777777" w:rsidTr="00EA0DA7">
        <w:tc>
          <w:tcPr>
            <w:tcW w:w="3369" w:type="dxa"/>
          </w:tcPr>
          <w:p w14:paraId="34268C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 с железобетонным корпусом</w:t>
            </w:r>
          </w:p>
        </w:tc>
        <w:tc>
          <w:tcPr>
            <w:tcW w:w="2055" w:type="dxa"/>
          </w:tcPr>
          <w:p w14:paraId="45F95D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w:t>
            </w:r>
          </w:p>
        </w:tc>
        <w:tc>
          <w:tcPr>
            <w:tcW w:w="2055" w:type="dxa"/>
          </w:tcPr>
          <w:p w14:paraId="0A8300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2055" w:type="dxa"/>
          </w:tcPr>
          <w:p w14:paraId="5EB94A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2055" w:type="dxa"/>
          </w:tcPr>
          <w:p w14:paraId="056B5D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bl>
    <w:p w14:paraId="0A1AB9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таблицы видно, что фугасный эффект при подрыве в грунте практически одинаковый, что у ФАБ-100 штатной, то и ФАБ-100 с железобетонным корпусом.</w:t>
      </w:r>
    </w:p>
    <w:p w14:paraId="3E5879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Бомбометание с воздуха показало следующий эффект фугасного действия: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714"/>
        <w:gridCol w:w="774"/>
        <w:gridCol w:w="3480"/>
      </w:tblGrid>
      <w:tr w:rsidR="00983732" w:rsidRPr="00A3026E" w14:paraId="6A929ADC" w14:textId="77777777" w:rsidTr="00EA0DA7">
        <w:tc>
          <w:tcPr>
            <w:tcW w:w="1656" w:type="dxa"/>
          </w:tcPr>
          <w:p w14:paraId="634942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бомб</w:t>
            </w:r>
          </w:p>
        </w:tc>
        <w:tc>
          <w:tcPr>
            <w:tcW w:w="1656" w:type="dxa"/>
          </w:tcPr>
          <w:p w14:paraId="0C8E4C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Высотное бомбометание в м</w:t>
            </w:r>
          </w:p>
        </w:tc>
        <w:tc>
          <w:tcPr>
            <w:tcW w:w="1656" w:type="dxa"/>
          </w:tcPr>
          <w:p w14:paraId="4A25D3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и установка взрывателей</w:t>
            </w:r>
          </w:p>
        </w:tc>
        <w:tc>
          <w:tcPr>
            <w:tcW w:w="1656" w:type="dxa"/>
          </w:tcPr>
          <w:p w14:paraId="282DE7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Диаметр воронки в м</w:t>
            </w:r>
          </w:p>
        </w:tc>
        <w:tc>
          <w:tcPr>
            <w:tcW w:w="714" w:type="dxa"/>
          </w:tcPr>
          <w:p w14:paraId="041EA0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воронки в м</w:t>
            </w:r>
          </w:p>
        </w:tc>
        <w:tc>
          <w:tcPr>
            <w:tcW w:w="774" w:type="dxa"/>
          </w:tcPr>
          <w:p w14:paraId="260822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Объем воронки в м куб.</w:t>
            </w:r>
          </w:p>
        </w:tc>
        <w:tc>
          <w:tcPr>
            <w:tcW w:w="3480" w:type="dxa"/>
          </w:tcPr>
          <w:p w14:paraId="210F7F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грунта</w:t>
            </w:r>
          </w:p>
        </w:tc>
      </w:tr>
      <w:tr w:rsidR="00983732" w:rsidRPr="00A3026E" w14:paraId="54C3FC47" w14:textId="77777777" w:rsidTr="00EA0DA7">
        <w:tc>
          <w:tcPr>
            <w:tcW w:w="1656" w:type="dxa"/>
          </w:tcPr>
          <w:p w14:paraId="154BE2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656" w:type="dxa"/>
          </w:tcPr>
          <w:p w14:paraId="1B3C6C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656" w:type="dxa"/>
          </w:tcPr>
          <w:p w14:paraId="781ACF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3789D9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w:t>
            </w:r>
          </w:p>
        </w:tc>
        <w:tc>
          <w:tcPr>
            <w:tcW w:w="714" w:type="dxa"/>
          </w:tcPr>
          <w:p w14:paraId="3E6B83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c>
          <w:tcPr>
            <w:tcW w:w="774" w:type="dxa"/>
          </w:tcPr>
          <w:p w14:paraId="3D9A4B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w:t>
            </w:r>
          </w:p>
        </w:tc>
        <w:tc>
          <w:tcPr>
            <w:tcW w:w="3480" w:type="dxa"/>
          </w:tcPr>
          <w:p w14:paraId="635F29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6E275697" w14:textId="77777777" w:rsidTr="00EA0DA7">
        <w:tc>
          <w:tcPr>
            <w:tcW w:w="1656" w:type="dxa"/>
          </w:tcPr>
          <w:p w14:paraId="7DB221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35CBB3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656" w:type="dxa"/>
          </w:tcPr>
          <w:p w14:paraId="62B6BB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174F3D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w:t>
            </w:r>
          </w:p>
        </w:tc>
        <w:tc>
          <w:tcPr>
            <w:tcW w:w="714" w:type="dxa"/>
          </w:tcPr>
          <w:p w14:paraId="55EBC1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774" w:type="dxa"/>
          </w:tcPr>
          <w:p w14:paraId="506326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22,6</w:t>
            </w:r>
          </w:p>
        </w:tc>
        <w:tc>
          <w:tcPr>
            <w:tcW w:w="3480" w:type="dxa"/>
          </w:tcPr>
          <w:p w14:paraId="06B879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4E6E6024" w14:textId="77777777" w:rsidTr="00EA0DA7">
        <w:tc>
          <w:tcPr>
            <w:tcW w:w="1656" w:type="dxa"/>
          </w:tcPr>
          <w:p w14:paraId="7631DA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656" w:type="dxa"/>
          </w:tcPr>
          <w:p w14:paraId="71895C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3DB755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3D63EB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714" w:type="dxa"/>
          </w:tcPr>
          <w:p w14:paraId="3D4886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w:t>
            </w:r>
          </w:p>
        </w:tc>
        <w:tc>
          <w:tcPr>
            <w:tcW w:w="774" w:type="dxa"/>
          </w:tcPr>
          <w:p w14:paraId="225ECB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3480" w:type="dxa"/>
          </w:tcPr>
          <w:p w14:paraId="29B2E0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5A1B0434" w14:textId="77777777" w:rsidTr="00EA0DA7">
        <w:tc>
          <w:tcPr>
            <w:tcW w:w="1656" w:type="dxa"/>
          </w:tcPr>
          <w:p w14:paraId="7B6B26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656" w:type="dxa"/>
          </w:tcPr>
          <w:p w14:paraId="58A4C2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43C671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2F0AB1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5,30</w:t>
            </w:r>
          </w:p>
        </w:tc>
        <w:tc>
          <w:tcPr>
            <w:tcW w:w="714" w:type="dxa"/>
          </w:tcPr>
          <w:p w14:paraId="48511E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774" w:type="dxa"/>
          </w:tcPr>
          <w:p w14:paraId="6B01D2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3480" w:type="dxa"/>
          </w:tcPr>
          <w:p w14:paraId="3FFCA3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2829B46C" w14:textId="77777777" w:rsidTr="00EA0DA7">
        <w:tc>
          <w:tcPr>
            <w:tcW w:w="1656" w:type="dxa"/>
          </w:tcPr>
          <w:p w14:paraId="597D30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32BF86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7891F9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1329BF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714" w:type="dxa"/>
          </w:tcPr>
          <w:p w14:paraId="43B51B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774" w:type="dxa"/>
          </w:tcPr>
          <w:p w14:paraId="15DF6D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w:t>
            </w:r>
          </w:p>
        </w:tc>
        <w:tc>
          <w:tcPr>
            <w:tcW w:w="3480" w:type="dxa"/>
          </w:tcPr>
          <w:p w14:paraId="376B3D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плотный известняк на глуб. 1 метра</w:t>
            </w:r>
          </w:p>
        </w:tc>
      </w:tr>
      <w:tr w:rsidR="00983732" w:rsidRPr="00A3026E" w14:paraId="6FCCF807" w14:textId="77777777" w:rsidTr="00EA0DA7">
        <w:tc>
          <w:tcPr>
            <w:tcW w:w="1656" w:type="dxa"/>
          </w:tcPr>
          <w:p w14:paraId="62FB4A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5D757E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7F8499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1D0758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714" w:type="dxa"/>
          </w:tcPr>
          <w:p w14:paraId="3DDB5F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774" w:type="dxa"/>
          </w:tcPr>
          <w:p w14:paraId="23FCB6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w:t>
            </w:r>
          </w:p>
        </w:tc>
        <w:tc>
          <w:tcPr>
            <w:tcW w:w="3480" w:type="dxa"/>
          </w:tcPr>
          <w:p w14:paraId="30E8D8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4315F5EA" w14:textId="77777777" w:rsidTr="00EA0DA7">
        <w:tc>
          <w:tcPr>
            <w:tcW w:w="1656" w:type="dxa"/>
          </w:tcPr>
          <w:p w14:paraId="255411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2532A6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232065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2CEA61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5,55</w:t>
            </w:r>
          </w:p>
        </w:tc>
        <w:tc>
          <w:tcPr>
            <w:tcW w:w="714" w:type="dxa"/>
          </w:tcPr>
          <w:p w14:paraId="36A419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774" w:type="dxa"/>
          </w:tcPr>
          <w:p w14:paraId="506E2D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3480" w:type="dxa"/>
          </w:tcPr>
          <w:p w14:paraId="2DC6EA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2D39D8E6" w14:textId="77777777" w:rsidTr="00EA0DA7">
        <w:tc>
          <w:tcPr>
            <w:tcW w:w="1656" w:type="dxa"/>
          </w:tcPr>
          <w:p w14:paraId="3C87E9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450B1A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55F275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518267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5,70</w:t>
            </w:r>
          </w:p>
        </w:tc>
        <w:tc>
          <w:tcPr>
            <w:tcW w:w="714" w:type="dxa"/>
          </w:tcPr>
          <w:p w14:paraId="12D2B7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774" w:type="dxa"/>
          </w:tcPr>
          <w:p w14:paraId="38E783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w:t>
            </w:r>
          </w:p>
        </w:tc>
        <w:tc>
          <w:tcPr>
            <w:tcW w:w="3480" w:type="dxa"/>
          </w:tcPr>
          <w:p w14:paraId="24A01B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38ADF161" w14:textId="77777777" w:rsidTr="00EA0DA7">
        <w:tc>
          <w:tcPr>
            <w:tcW w:w="1656" w:type="dxa"/>
          </w:tcPr>
          <w:p w14:paraId="1F42C4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5F8B60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0114D6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177A96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c>
          <w:tcPr>
            <w:tcW w:w="714" w:type="dxa"/>
          </w:tcPr>
          <w:p w14:paraId="54F0BA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774" w:type="dxa"/>
          </w:tcPr>
          <w:p w14:paraId="322B33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c>
          <w:tcPr>
            <w:tcW w:w="3480" w:type="dxa"/>
          </w:tcPr>
          <w:p w14:paraId="3E64B6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7A5FFCE5" w14:textId="77777777" w:rsidTr="00EA0DA7">
        <w:tc>
          <w:tcPr>
            <w:tcW w:w="1656" w:type="dxa"/>
          </w:tcPr>
          <w:p w14:paraId="0411FA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40D4CE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3EF6CA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1CCBF9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5,95</w:t>
            </w:r>
          </w:p>
        </w:tc>
        <w:tc>
          <w:tcPr>
            <w:tcW w:w="714" w:type="dxa"/>
          </w:tcPr>
          <w:p w14:paraId="582B57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774" w:type="dxa"/>
          </w:tcPr>
          <w:p w14:paraId="11C9CC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3480" w:type="dxa"/>
          </w:tcPr>
          <w:p w14:paraId="05C890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Попала вблизи старой воронки</w:t>
            </w:r>
          </w:p>
        </w:tc>
      </w:tr>
      <w:tr w:rsidR="00983732" w:rsidRPr="00A3026E" w14:paraId="0D976987" w14:textId="77777777" w:rsidTr="00EA0DA7">
        <w:tc>
          <w:tcPr>
            <w:tcW w:w="1656" w:type="dxa"/>
          </w:tcPr>
          <w:p w14:paraId="4F75C9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74C73F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1AD728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4B4A11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714" w:type="dxa"/>
          </w:tcPr>
          <w:p w14:paraId="738A2E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774" w:type="dxa"/>
          </w:tcPr>
          <w:p w14:paraId="17342E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w:t>
            </w:r>
          </w:p>
        </w:tc>
        <w:tc>
          <w:tcPr>
            <w:tcW w:w="3480" w:type="dxa"/>
          </w:tcPr>
          <w:p w14:paraId="47F7EE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46CE8602" w14:textId="77777777" w:rsidTr="00EA0DA7">
        <w:tc>
          <w:tcPr>
            <w:tcW w:w="1656" w:type="dxa"/>
          </w:tcPr>
          <w:p w14:paraId="04B813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656" w:type="dxa"/>
          </w:tcPr>
          <w:p w14:paraId="24DD26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5319B8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1CD5C6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714" w:type="dxa"/>
          </w:tcPr>
          <w:p w14:paraId="501A1E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w:t>
            </w:r>
          </w:p>
        </w:tc>
        <w:tc>
          <w:tcPr>
            <w:tcW w:w="774" w:type="dxa"/>
          </w:tcPr>
          <w:p w14:paraId="151ABE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3480" w:type="dxa"/>
          </w:tcPr>
          <w:p w14:paraId="3E1500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61720FA3" w14:textId="77777777" w:rsidTr="00EA0DA7">
        <w:tc>
          <w:tcPr>
            <w:tcW w:w="1656" w:type="dxa"/>
          </w:tcPr>
          <w:p w14:paraId="7BF7DA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656" w:type="dxa"/>
          </w:tcPr>
          <w:p w14:paraId="6E7D06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4D6FEF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5A4639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6,70</w:t>
            </w:r>
          </w:p>
        </w:tc>
        <w:tc>
          <w:tcPr>
            <w:tcW w:w="714" w:type="dxa"/>
          </w:tcPr>
          <w:p w14:paraId="531ED3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774" w:type="dxa"/>
          </w:tcPr>
          <w:p w14:paraId="60AF22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w:t>
            </w:r>
          </w:p>
        </w:tc>
        <w:tc>
          <w:tcPr>
            <w:tcW w:w="3480" w:type="dxa"/>
          </w:tcPr>
          <w:p w14:paraId="39C8A5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Попала в старую воронку</w:t>
            </w:r>
          </w:p>
        </w:tc>
      </w:tr>
      <w:tr w:rsidR="00983732" w:rsidRPr="00A3026E" w14:paraId="64991644" w14:textId="77777777" w:rsidTr="00EA0DA7">
        <w:tc>
          <w:tcPr>
            <w:tcW w:w="1656" w:type="dxa"/>
          </w:tcPr>
          <w:p w14:paraId="6FCEC7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656" w:type="dxa"/>
          </w:tcPr>
          <w:p w14:paraId="6AC705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702F02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567AC2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w:t>
            </w:r>
          </w:p>
        </w:tc>
        <w:tc>
          <w:tcPr>
            <w:tcW w:w="714" w:type="dxa"/>
          </w:tcPr>
          <w:p w14:paraId="3E75B7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774" w:type="dxa"/>
          </w:tcPr>
          <w:p w14:paraId="44FADE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3480" w:type="dxa"/>
          </w:tcPr>
          <w:p w14:paraId="672A80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Попала в густую сеть корней ………</w:t>
            </w:r>
          </w:p>
        </w:tc>
      </w:tr>
      <w:tr w:rsidR="00983732" w:rsidRPr="00A3026E" w14:paraId="736EE22A" w14:textId="77777777" w:rsidTr="00EA0DA7">
        <w:tc>
          <w:tcPr>
            <w:tcW w:w="1656" w:type="dxa"/>
          </w:tcPr>
          <w:p w14:paraId="5FF81F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4CDC26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34C173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7C7ADC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714" w:type="dxa"/>
          </w:tcPr>
          <w:p w14:paraId="1064A4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774" w:type="dxa"/>
          </w:tcPr>
          <w:p w14:paraId="7FF7EB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w:t>
            </w:r>
          </w:p>
        </w:tc>
        <w:tc>
          <w:tcPr>
            <w:tcW w:w="3480" w:type="dxa"/>
          </w:tcPr>
          <w:p w14:paraId="65045C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7BD3E6C1" w14:textId="77777777" w:rsidTr="00EA0DA7">
        <w:tc>
          <w:tcPr>
            <w:tcW w:w="1656" w:type="dxa"/>
          </w:tcPr>
          <w:p w14:paraId="7FE76A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6BE149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3CCF23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718FD7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5,55</w:t>
            </w:r>
          </w:p>
        </w:tc>
        <w:tc>
          <w:tcPr>
            <w:tcW w:w="714" w:type="dxa"/>
          </w:tcPr>
          <w:p w14:paraId="364788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774" w:type="dxa"/>
          </w:tcPr>
          <w:p w14:paraId="714A6B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17,6</w:t>
            </w:r>
          </w:p>
        </w:tc>
        <w:tc>
          <w:tcPr>
            <w:tcW w:w="3480" w:type="dxa"/>
          </w:tcPr>
          <w:p w14:paraId="4F0487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6BBE4010" w14:textId="77777777" w:rsidTr="00EA0DA7">
        <w:tc>
          <w:tcPr>
            <w:tcW w:w="1656" w:type="dxa"/>
          </w:tcPr>
          <w:p w14:paraId="0B486D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74AEFC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781CE3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074709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5,65</w:t>
            </w:r>
          </w:p>
        </w:tc>
        <w:tc>
          <w:tcPr>
            <w:tcW w:w="714" w:type="dxa"/>
          </w:tcPr>
          <w:p w14:paraId="4B4A52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tc>
        <w:tc>
          <w:tcPr>
            <w:tcW w:w="774" w:type="dxa"/>
          </w:tcPr>
          <w:p w14:paraId="7D3EF0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3480" w:type="dxa"/>
          </w:tcPr>
          <w:p w14:paraId="72A980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73609B2F" w14:textId="77777777" w:rsidTr="00EA0DA7">
        <w:tc>
          <w:tcPr>
            <w:tcW w:w="1656" w:type="dxa"/>
          </w:tcPr>
          <w:p w14:paraId="7CAC83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014534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56F948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344D66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5,90</w:t>
            </w:r>
          </w:p>
        </w:tc>
        <w:tc>
          <w:tcPr>
            <w:tcW w:w="714" w:type="dxa"/>
          </w:tcPr>
          <w:p w14:paraId="1864EA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774" w:type="dxa"/>
          </w:tcPr>
          <w:p w14:paraId="7285D7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21,2</w:t>
            </w:r>
          </w:p>
        </w:tc>
        <w:tc>
          <w:tcPr>
            <w:tcW w:w="3480" w:type="dxa"/>
          </w:tcPr>
          <w:p w14:paraId="13A31B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w:t>
            </w:r>
          </w:p>
        </w:tc>
      </w:tr>
      <w:tr w:rsidR="00983732" w:rsidRPr="00A3026E" w14:paraId="0D2C1310" w14:textId="77777777" w:rsidTr="00EA0DA7">
        <w:tc>
          <w:tcPr>
            <w:tcW w:w="1656" w:type="dxa"/>
          </w:tcPr>
          <w:p w14:paraId="5C2E51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780556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7FC9DB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7DFEE4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714" w:type="dxa"/>
          </w:tcPr>
          <w:p w14:paraId="367DE3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tc>
        <w:tc>
          <w:tcPr>
            <w:tcW w:w="774" w:type="dxa"/>
          </w:tcPr>
          <w:p w14:paraId="168186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w:t>
            </w:r>
          </w:p>
        </w:tc>
        <w:tc>
          <w:tcPr>
            <w:tcW w:w="3480" w:type="dxa"/>
          </w:tcPr>
          <w:p w14:paraId="021C27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31C1FF73" w14:textId="77777777" w:rsidTr="00EA0DA7">
        <w:tc>
          <w:tcPr>
            <w:tcW w:w="1656" w:type="dxa"/>
          </w:tcPr>
          <w:p w14:paraId="6EE40B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3D8CCC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656" w:type="dxa"/>
          </w:tcPr>
          <w:p w14:paraId="5D997F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656" w:type="dxa"/>
          </w:tcPr>
          <w:p w14:paraId="64BF55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714" w:type="dxa"/>
          </w:tcPr>
          <w:p w14:paraId="1B3D5D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774" w:type="dxa"/>
          </w:tcPr>
          <w:p w14:paraId="1C48A4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tc>
        <w:tc>
          <w:tcPr>
            <w:tcW w:w="3480" w:type="dxa"/>
          </w:tcPr>
          <w:p w14:paraId="29E0D7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51ED4CF6" w14:textId="77777777" w:rsidTr="00EA0DA7">
        <w:tc>
          <w:tcPr>
            <w:tcW w:w="1656" w:type="dxa"/>
          </w:tcPr>
          <w:p w14:paraId="7A71AD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656" w:type="dxa"/>
          </w:tcPr>
          <w:p w14:paraId="7620A9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656" w:type="dxa"/>
          </w:tcPr>
          <w:p w14:paraId="5E24C2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435589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714" w:type="dxa"/>
          </w:tcPr>
          <w:p w14:paraId="437BA5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774" w:type="dxa"/>
          </w:tcPr>
          <w:p w14:paraId="799028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w:t>
            </w:r>
          </w:p>
        </w:tc>
        <w:tc>
          <w:tcPr>
            <w:tcW w:w="3480" w:type="dxa"/>
          </w:tcPr>
          <w:p w14:paraId="2A7B29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w:t>
            </w:r>
          </w:p>
        </w:tc>
      </w:tr>
      <w:tr w:rsidR="00983732" w:rsidRPr="00A3026E" w14:paraId="19E064F4" w14:textId="77777777" w:rsidTr="00EA0DA7">
        <w:tc>
          <w:tcPr>
            <w:tcW w:w="1656" w:type="dxa"/>
          </w:tcPr>
          <w:p w14:paraId="17AE64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18476C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656" w:type="dxa"/>
          </w:tcPr>
          <w:p w14:paraId="071CE7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7AF061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w:t>
            </w:r>
          </w:p>
        </w:tc>
        <w:tc>
          <w:tcPr>
            <w:tcW w:w="714" w:type="dxa"/>
          </w:tcPr>
          <w:p w14:paraId="72DF88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774" w:type="dxa"/>
          </w:tcPr>
          <w:p w14:paraId="048D3C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w:t>
            </w:r>
          </w:p>
        </w:tc>
        <w:tc>
          <w:tcPr>
            <w:tcW w:w="3480" w:type="dxa"/>
          </w:tcPr>
          <w:p w14:paraId="39695B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Суглинок и плотный известняк</w:t>
            </w:r>
          </w:p>
        </w:tc>
      </w:tr>
      <w:tr w:rsidR="00983732" w:rsidRPr="00A3026E" w14:paraId="144068A4" w14:textId="77777777" w:rsidTr="00EA0DA7">
        <w:tc>
          <w:tcPr>
            <w:tcW w:w="1656" w:type="dxa"/>
          </w:tcPr>
          <w:p w14:paraId="508D9F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656" w:type="dxa"/>
          </w:tcPr>
          <w:p w14:paraId="641FBC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656" w:type="dxa"/>
          </w:tcPr>
          <w:p w14:paraId="308C04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068817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7,10</w:t>
            </w:r>
          </w:p>
        </w:tc>
        <w:tc>
          <w:tcPr>
            <w:tcW w:w="714" w:type="dxa"/>
          </w:tcPr>
          <w:p w14:paraId="2DF0A5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774" w:type="dxa"/>
          </w:tcPr>
          <w:p w14:paraId="041861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27,8</w:t>
            </w:r>
          </w:p>
        </w:tc>
        <w:tc>
          <w:tcPr>
            <w:tcW w:w="3480" w:type="dxa"/>
          </w:tcPr>
          <w:p w14:paraId="3673D1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Рыхлый песок</w:t>
            </w:r>
          </w:p>
        </w:tc>
      </w:tr>
      <w:tr w:rsidR="00983732" w:rsidRPr="00A3026E" w14:paraId="0CDBB847" w14:textId="77777777" w:rsidTr="00EA0DA7">
        <w:tc>
          <w:tcPr>
            <w:tcW w:w="1656" w:type="dxa"/>
          </w:tcPr>
          <w:p w14:paraId="05FB20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656" w:type="dxa"/>
          </w:tcPr>
          <w:p w14:paraId="0E1280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656" w:type="dxa"/>
          </w:tcPr>
          <w:p w14:paraId="76C5D7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656" w:type="dxa"/>
          </w:tcPr>
          <w:p w14:paraId="1EF185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714" w:type="dxa"/>
          </w:tcPr>
          <w:p w14:paraId="329BBA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w:t>
            </w:r>
          </w:p>
        </w:tc>
        <w:tc>
          <w:tcPr>
            <w:tcW w:w="774" w:type="dxa"/>
          </w:tcPr>
          <w:p w14:paraId="1B4109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14,2</w:t>
            </w:r>
          </w:p>
        </w:tc>
        <w:tc>
          <w:tcPr>
            <w:tcW w:w="3480" w:type="dxa"/>
          </w:tcPr>
          <w:p w14:paraId="290A57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 на дне воронки</w:t>
            </w:r>
          </w:p>
        </w:tc>
      </w:tr>
    </w:tbl>
    <w:p w14:paraId="643930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Как видно из таблицы, фугасное действие авиабомб как штатных, так и железобетонных при попадании бомб в одинаковый грунт, примерно одинаковые.</w:t>
      </w:r>
    </w:p>
    <w:p w14:paraId="010539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Прочность корпусов</w:t>
      </w:r>
    </w:p>
    <w:p w14:paraId="408239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корпусов поверялась путем сбрасывания снаряженных бомб без взрывателей с различных высот и кроме того, было произведено для этой же цели десять растрясочных полетов на самолете СБ с вертикально и горизонтально подвешенными бомбами (на ДЕР-34 и ДЕР-19). При осмотре бомб после десяти вылетов и посадок никаких нарушений в подвеске и прочности корпусов бомб обнаружено не было.</w:t>
      </w:r>
    </w:p>
    <w:p w14:paraId="5EDD13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 прочность корпусов бомб при сбрасывании с различных высот дали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985"/>
        <w:gridCol w:w="7657"/>
      </w:tblGrid>
      <w:tr w:rsidR="00983732" w:rsidRPr="00A3026E" w14:paraId="114E16DD" w14:textId="77777777" w:rsidTr="00EA0DA7">
        <w:tc>
          <w:tcPr>
            <w:tcW w:w="1951" w:type="dxa"/>
          </w:tcPr>
          <w:p w14:paraId="62362A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сбрасывания в м</w:t>
            </w:r>
          </w:p>
        </w:tc>
        <w:tc>
          <w:tcPr>
            <w:tcW w:w="1985" w:type="dxa"/>
          </w:tcPr>
          <w:p w14:paraId="53055E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проникания в м</w:t>
            </w:r>
          </w:p>
        </w:tc>
        <w:tc>
          <w:tcPr>
            <w:tcW w:w="7657" w:type="dxa"/>
          </w:tcPr>
          <w:p w14:paraId="100B01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корпуса</w:t>
            </w:r>
          </w:p>
        </w:tc>
      </w:tr>
      <w:tr w:rsidR="00983732" w:rsidRPr="00A3026E" w14:paraId="2D80C595" w14:textId="77777777" w:rsidTr="00EA0DA7">
        <w:tc>
          <w:tcPr>
            <w:tcW w:w="1951" w:type="dxa"/>
          </w:tcPr>
          <w:p w14:paraId="7BCFCB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985" w:type="dxa"/>
          </w:tcPr>
          <w:p w14:paraId="6DAD25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7657" w:type="dxa"/>
          </w:tcPr>
          <w:p w14:paraId="268A94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15C4F186" w14:textId="77777777" w:rsidTr="00EA0DA7">
        <w:tc>
          <w:tcPr>
            <w:tcW w:w="1951" w:type="dxa"/>
          </w:tcPr>
          <w:p w14:paraId="4028AB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985" w:type="dxa"/>
          </w:tcPr>
          <w:p w14:paraId="7344C3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1,47</w:t>
            </w:r>
          </w:p>
        </w:tc>
        <w:tc>
          <w:tcPr>
            <w:tcW w:w="7657" w:type="dxa"/>
          </w:tcPr>
          <w:p w14:paraId="300DA0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5D3B12D1" w14:textId="77777777" w:rsidTr="00EA0DA7">
        <w:tc>
          <w:tcPr>
            <w:tcW w:w="1951" w:type="dxa"/>
          </w:tcPr>
          <w:p w14:paraId="3F726B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985" w:type="dxa"/>
          </w:tcPr>
          <w:p w14:paraId="23A0AA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1,57</w:t>
            </w:r>
          </w:p>
        </w:tc>
        <w:tc>
          <w:tcPr>
            <w:tcW w:w="7657" w:type="dxa"/>
          </w:tcPr>
          <w:p w14:paraId="65A746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2A262D64" w14:textId="77777777" w:rsidTr="00EA0DA7">
        <w:tc>
          <w:tcPr>
            <w:tcW w:w="1951" w:type="dxa"/>
          </w:tcPr>
          <w:p w14:paraId="3E4DD5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985" w:type="dxa"/>
          </w:tcPr>
          <w:p w14:paraId="4AF75B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tc>
        <w:tc>
          <w:tcPr>
            <w:tcW w:w="7657" w:type="dxa"/>
          </w:tcPr>
          <w:p w14:paraId="0E8547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120F9944" w14:textId="77777777" w:rsidTr="00EA0DA7">
        <w:tc>
          <w:tcPr>
            <w:tcW w:w="1951" w:type="dxa"/>
          </w:tcPr>
          <w:p w14:paraId="15A80F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985" w:type="dxa"/>
          </w:tcPr>
          <w:p w14:paraId="6B60AD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1,87</w:t>
            </w:r>
          </w:p>
        </w:tc>
        <w:tc>
          <w:tcPr>
            <w:tcW w:w="7657" w:type="dxa"/>
          </w:tcPr>
          <w:p w14:paraId="76E389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66164C8E" w14:textId="77777777" w:rsidTr="00EA0DA7">
        <w:tc>
          <w:tcPr>
            <w:tcW w:w="1951" w:type="dxa"/>
          </w:tcPr>
          <w:p w14:paraId="7B7792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985" w:type="dxa"/>
          </w:tcPr>
          <w:p w14:paraId="352B00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7657" w:type="dxa"/>
          </w:tcPr>
          <w:p w14:paraId="4DBCFB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983732" w:rsidRPr="00A3026E" w14:paraId="374323ED" w14:textId="77777777" w:rsidTr="00EA0DA7">
        <w:tc>
          <w:tcPr>
            <w:tcW w:w="1951" w:type="dxa"/>
          </w:tcPr>
          <w:p w14:paraId="0083E1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985" w:type="dxa"/>
          </w:tcPr>
          <w:p w14:paraId="5E7051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7657" w:type="dxa"/>
          </w:tcPr>
          <w:p w14:paraId="16041F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983732" w:rsidRPr="00A3026E" w14:paraId="0157A6BE" w14:textId="77777777" w:rsidTr="00EA0DA7">
        <w:tc>
          <w:tcPr>
            <w:tcW w:w="1951" w:type="dxa"/>
          </w:tcPr>
          <w:p w14:paraId="25C61B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985" w:type="dxa"/>
          </w:tcPr>
          <w:p w14:paraId="3C23A1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7657" w:type="dxa"/>
          </w:tcPr>
          <w:p w14:paraId="3DE7D1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r w:rsidR="00983732" w:rsidRPr="00A3026E" w14:paraId="2BF1A93F" w14:textId="77777777" w:rsidTr="00EA0DA7">
        <w:tc>
          <w:tcPr>
            <w:tcW w:w="1951" w:type="dxa"/>
          </w:tcPr>
          <w:p w14:paraId="1AA485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985" w:type="dxa"/>
          </w:tcPr>
          <w:p w14:paraId="34975F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7657" w:type="dxa"/>
          </w:tcPr>
          <w:p w14:paraId="2E3E6D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bl>
    <w:p w14:paraId="70F69D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Устойчивость бомб на траектории</w:t>
      </w:r>
    </w:p>
    <w:p w14:paraId="3FF8D4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бомб на траектории при сбрасывании с высот 1000 и 2000 м определялась визуально с земли. Бомбы на траектории вели себя устойчиво.</w:t>
      </w:r>
    </w:p>
    <w:p w14:paraId="47F378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сбрасывании с 4000 м (залп из 3-х) с горизонтальных держателей на основании рассеивания дали достаточную устойчивость.</w:t>
      </w:r>
    </w:p>
    <w:p w14:paraId="6252BF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сбрасывании с высоты 6000 м с вертикальных бомбодержателей (залп из 4-х) рассеивание залпа по курсу получилось 275 м – это рассеивание надо считать очень большим.</w:t>
      </w:r>
    </w:p>
    <w:p w14:paraId="1B9702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результатов полигонных испытаний НИП АВ ВВС сделал следующие выводы:</w:t>
      </w:r>
    </w:p>
    <w:p w14:paraId="0B4A052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с корпусом из железобетона при сбрасывании с высот 1000, 2000, 4000 и 6000 метров действует безотказно. По фугасному эффекту ФАБ-100 железобетонные при бомбометании с высоты 2000 м практически равноценны ФАБ-100 цельнокованным. С высоты 4000 и 6000 м получено по одному наблюдению, что является недостаточным для сравнительных выводов.</w:t>
      </w:r>
    </w:p>
    <w:p w14:paraId="31B4CE3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Корпуса ФАБ-100 железобетонных при бомбометании с 2000 м при скорости самолета 270 км/час по грунту средней плотности, имеют достаточную прочность.</w:t>
      </w:r>
    </w:p>
    <w:p w14:paraId="0058B3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сбрасывании с высот 4000 и 6000 м при скорости самолета 300 км/час, корпуса ФАБ-100 железобетонных деформируются, разрушается наружный слой бетона, но при этом они проникают в грунт. Заряд взрывчатого вещества не рассеивается и при наличии взрывателей полный взрыв взрывчатого вещества обеспечен.</w:t>
      </w:r>
    </w:p>
    <w:p w14:paraId="65ED2DAB"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Устойчивость бомб на траектории достаточная, но подлежит более детальной проверке с высот 4000 м и выше. Рекомендовать произвести расчетную проверку на устойчивость.</w:t>
      </w:r>
    </w:p>
    <w:p w14:paraId="56FDE63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проведенных испытаний ФАБ-100 с железобетонным корпусом возможно применять по целям следующего порядка: аэродромы и ангары; грунтовые дороги; ж/д станции, легкие постройки городских наземных сооружений; деревянно-земляные укрепления полевого типа, легкие промышленные здания и т.п.</w:t>
      </w:r>
    </w:p>
    <w:p w14:paraId="6575C6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своем заключении НИП АВ указывает, что:</w:t>
      </w:r>
    </w:p>
    <w:p w14:paraId="7241031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Железобетонные авиабомбы в габаритах ФАБ-100 цельнокованных конструкций проф. Гальперина, в результате полигонных испытаний показали удовлетворительные результаты в отношении прочности, фугасности и безотказности действия при бомбометании по грунту средней плотности.</w:t>
      </w:r>
    </w:p>
    <w:p w14:paraId="432079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что ФАБ-100 с железобетонным корпусом полигонные испытания выдержали и могут быть допущены на войсковые испытания для всестороннего выявления боевых свойств и всех характеристических показателей.</w:t>
      </w:r>
    </w:p>
    <w:p w14:paraId="4FE2E05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подачей бомб на войсковые испытания, провести контрольные испытания ФАБ-100 железобетонных по мерзлому грунту и на устойчивость падения с больших высот, из числа бомб первой опытно-валовой партии, для чего необходимо подать на НИП АВ – 100 штук бомб.</w:t>
      </w:r>
    </w:p>
    <w:p w14:paraId="4DC67C6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АВ считает необходимым продолжить исследовательскую работу, как по линии дальнейшего упрочнения корпуса, так и в направлении изготовления более крупных калибров бомб данной конструкции.</w:t>
      </w:r>
    </w:p>
    <w:p w14:paraId="52A001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8 Управления ГУ ВВС</w:t>
      </w:r>
    </w:p>
    <w:p w14:paraId="5F756CA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Представленный НИП АВ ВВС отчет по полигонным испытаниям фугасных авиабомб с железобетонным корпусом утвердить.</w:t>
      </w:r>
    </w:p>
    <w:p w14:paraId="36D73BC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что фугасные авиабомбы с железобетонным корпусом полигонные испытания выдержали.</w:t>
      </w:r>
    </w:p>
    <w:p w14:paraId="7A1D490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Присвоить фугасным авиабомбам с железобетонным корпусом наименование ФАБ-100 НГ.</w:t>
      </w:r>
    </w:p>
    <w:p w14:paraId="5088C9B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Просить Наркомат боеприпасов:</w:t>
      </w:r>
    </w:p>
    <w:p w14:paraId="2AB0839F" w14:textId="77777777" w:rsidR="00C66762" w:rsidRPr="00A3026E" w:rsidRDefault="00C66762" w:rsidP="00A3026E">
      <w:pPr>
        <w:pStyle w:val="a3"/>
        <w:widowControl/>
        <w:rPr>
          <w:color w:val="000000" w:themeColor="text1"/>
          <w:lang w:val="ru-RU"/>
        </w:rPr>
      </w:pPr>
      <w:r w:rsidRPr="00A3026E">
        <w:rPr>
          <w:color w:val="000000" w:themeColor="text1"/>
          <w:lang w:val="ru-RU"/>
        </w:rPr>
        <w:t>а) Провести подготовку к валовому производству ФАБ-100 НГ в 1941 году.</w:t>
      </w:r>
    </w:p>
    <w:p w14:paraId="50B63F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Изготовить к 1 января 1941 года опытно-серийные партии ФАБ-100 НГ в количестве 15000 штук.</w:t>
      </w:r>
    </w:p>
    <w:p w14:paraId="7AAC428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Просить начальника КБ-35 проф. Гальперина разработать, с учетом возможного увеличения прочности корпуса, чертежи и ТУ на ФАБ-100 НГ и представить их на утверждение в 8 Управление ГУ ВВС к 20 октября 1940 года.</w:t>
      </w:r>
    </w:p>
    <w:p w14:paraId="3D81915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НИП АВ ГУ ВВС в период январь-февраль 1941 года провести контрольные испытания ФАБ-100 НГ по мерзлому грунту, для чего из первых опытно-серийных партий 8 Управлению ГУ ВВС обеспечить подачу на НИП АВ 100 штук ФАБ-100 НГ.</w:t>
      </w:r>
    </w:p>
    <w:p w14:paraId="2EB1449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наиболее полного выявления боевых свойств в 1941 году провести широкие войсковые испытания ФАБ-100 НГ по различным грунтам.</w:t>
      </w:r>
    </w:p>
    <w:p w14:paraId="61A239F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Просить начальника КБ-35 разработать проекты и изготовить ФАБ-250, ФАБ-500 и ФАБ-1000 с корпусами из железобетона. Изготовление этих калибров желательно закончить к 1 января 1941 года.</w:t>
      </w:r>
    </w:p>
    <w:p w14:paraId="2796870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НТЖ разослать:</w:t>
      </w:r>
    </w:p>
    <w:p w14:paraId="54C710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1и 2 – Отделение чертежей и ТУ 8 Управления ГУ ВВС</w:t>
      </w:r>
    </w:p>
    <w:p w14:paraId="73D5B8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3 – КО</w:t>
      </w:r>
    </w:p>
    <w:p w14:paraId="690DE9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4 – наркому боеприпасов</w:t>
      </w:r>
    </w:p>
    <w:p w14:paraId="55B927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5 – начальнику КБ-35 НКБ</w:t>
      </w:r>
    </w:p>
    <w:p w14:paraId="3B225E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6 - начальнику НИП АВ ГУ ВВС</w:t>
      </w:r>
    </w:p>
    <w:p w14:paraId="308934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7 – Бюро техпомощи заводам при НКБ</w:t>
      </w:r>
    </w:p>
    <w:p w14:paraId="1AAFDB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8 2 Управлению ГУ ВВС</w:t>
      </w:r>
    </w:p>
    <w:p w14:paraId="678994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8 Управления ГУ ВВС в/инженер 1 ранга Никонов, начальник 1 отдела 8 Управления ГУ ВВС в/инженер 1 ранга Матаев) (3440, 236-252).</w:t>
      </w:r>
    </w:p>
    <w:p w14:paraId="24041A9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C7BF415" w14:textId="77777777" w:rsidR="00D2328C"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A4FA770" w14:textId="77777777" w:rsidR="00D2328C" w:rsidRPr="00A3026E" w:rsidRDefault="00D2328C" w:rsidP="00A3026E">
      <w:pPr>
        <w:spacing w:after="0" w:line="240" w:lineRule="auto"/>
        <w:jc w:val="both"/>
        <w:rPr>
          <w:rFonts w:ascii="Times New Roman" w:hAnsi="Times New Roman"/>
          <w:iCs/>
          <w:color w:val="000000" w:themeColor="text1"/>
          <w:sz w:val="16"/>
          <w:szCs w:val="16"/>
        </w:rPr>
      </w:pPr>
    </w:p>
    <w:p w14:paraId="6CD75D69"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г. на Кировский завод с Ижорского завода прибыла башня под монтаж первого опытного образца качающейся ча</w:t>
      </w:r>
      <w:r w:rsidRPr="00A3026E">
        <w:rPr>
          <w:rFonts w:ascii="Times New Roman" w:hAnsi="Times New Roman"/>
          <w:color w:val="000000" w:themeColor="text1"/>
          <w:sz w:val="16"/>
          <w:szCs w:val="16"/>
        </w:rPr>
        <w:softHyphen/>
        <w:t>сти артиллерийской системы М-10 (проект 402) завода №172 им. Молотова (15767).</w:t>
      </w:r>
    </w:p>
    <w:p w14:paraId="1D276A4D" w14:textId="77777777" w:rsidR="00D2328C" w:rsidRPr="00A3026E" w:rsidRDefault="00D2328C" w:rsidP="00A3026E">
      <w:pPr>
        <w:spacing w:after="0" w:line="240" w:lineRule="auto"/>
        <w:jc w:val="both"/>
        <w:rPr>
          <w:rFonts w:ascii="Times New Roman" w:hAnsi="Times New Roman"/>
          <w:color w:val="000000" w:themeColor="text1"/>
          <w:sz w:val="16"/>
          <w:szCs w:val="16"/>
        </w:rPr>
      </w:pPr>
    </w:p>
    <w:p w14:paraId="0C25C7D8"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г. начальник БТУ ГАБТУ КА Б.М. Коробков в </w:t>
      </w:r>
      <w:hyperlink r:id="rId27" w:tgtFrame="_blank" w:history="1">
        <w:r w:rsidRPr="00A3026E">
          <w:rPr>
            <w:rStyle w:val="a5"/>
            <w:rFonts w:ascii="Times New Roman" w:hAnsi="Times New Roman"/>
            <w:color w:val="000000" w:themeColor="text1"/>
            <w:sz w:val="16"/>
            <w:szCs w:val="16"/>
          </w:rPr>
          <w:t>письме № 76533с</w:t>
        </w:r>
      </w:hyperlink>
      <w:r w:rsidRPr="00A3026E">
        <w:rPr>
          <w:rFonts w:ascii="Times New Roman" w:hAnsi="Times New Roman"/>
          <w:color w:val="000000" w:themeColor="text1"/>
          <w:sz w:val="16"/>
          <w:szCs w:val="16"/>
        </w:rPr>
        <w:t> обратились к заместителю начальника Главспецмаша НКСМ Г.С. Хламову с просьбой оказать содействие в подготовке к проведению испытаний. В частности Б.М. Коробков просил дать распоряжение директору завода № 183 о внесении ряда изменений в конструкцию трёх танков Т-34, предназначенных для проведения испытаний, а также выделить бригаду слесарей для обслуживания танков в пробеге (18173).</w:t>
      </w:r>
    </w:p>
    <w:p w14:paraId="207061F8" w14:textId="77777777" w:rsidR="00DD4EE2" w:rsidRPr="00A3026E" w:rsidRDefault="00DD4EE2" w:rsidP="00A3026E">
      <w:pPr>
        <w:spacing w:after="0" w:line="240" w:lineRule="auto"/>
        <w:jc w:val="both"/>
        <w:rPr>
          <w:rFonts w:ascii="Times New Roman" w:hAnsi="Times New Roman"/>
          <w:color w:val="000000" w:themeColor="text1"/>
          <w:sz w:val="16"/>
          <w:szCs w:val="16"/>
        </w:rPr>
      </w:pPr>
    </w:p>
    <w:p w14:paraId="126B18ED"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Октября 1940 г. </w:t>
      </w:r>
    </w:p>
    <w:p w14:paraId="31A7E78F"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1181 лист 302 </w:t>
      </w:r>
    </w:p>
    <w:p w14:paraId="116B19EA"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 СЕКРЕТНО. </w:t>
      </w:r>
    </w:p>
    <w:p w14:paraId="54CDEBFD"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2 </w:t>
      </w:r>
    </w:p>
    <w:p w14:paraId="7AE33BC6"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5 Октября 1940 г. </w:t>
      </w:r>
    </w:p>
    <w:p w14:paraId="7A790639"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76533сс </w:t>
      </w:r>
    </w:p>
    <w:p w14:paraId="0FF0BD1C"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НАЧАЛЬНИКА ГЛАВСПЕЦМАШ</w:t>
      </w:r>
    </w:p>
    <w:p w14:paraId="21938D27"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ХЛАМОВУ</w:t>
      </w:r>
    </w:p>
    <w:p w14:paraId="349ACA90"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Начальник ГАБТУ Красной Армии Генерал-лейтенант Танковых войск тов. ФЕДОРЕНКО приказал провести пробег трех танков Т-34 на 3000 км с боевыми стрельбами на фоне решения тактических задач. </w:t>
      </w:r>
    </w:p>
    <w:p w14:paraId="3159D566"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Прошу Вашего распоряжения Директору завода № 183 тов. МАКСАРЕВУ: </w:t>
      </w:r>
    </w:p>
    <w:p w14:paraId="5E5C70C9"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Изменить боеукладку обеспечивающую ведение нормального огня. </w:t>
      </w:r>
    </w:p>
    <w:p w14:paraId="1B5FBAD8"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Изменить положение приборов стрельбы, так как в данной конструкции при нулевом положении орудия сеток не видно. </w:t>
      </w:r>
    </w:p>
    <w:p w14:paraId="428FB28E"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Установить рацию в носу в полном соответствии с требованиями по третьему варианту. </w:t>
      </w:r>
    </w:p>
    <w:p w14:paraId="1DC1D35F"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Выделить бригаду слесарей три человека и представителя. </w:t>
      </w:r>
    </w:p>
    <w:p w14:paraId="2FD69890"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Полная укомплектовка танков и невозимыми запчастями по нормам договора и сверх договора по особому списку. </w:t>
      </w:r>
    </w:p>
    <w:p w14:paraId="56A796DD"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НАЧАЛЬНИК БРОНЕТАНКОВОГО УПРАВЛЕНИЯ КРАСНОЙ АРМИИ</w:t>
      </w:r>
    </w:p>
    <w:p w14:paraId="76539238"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1-го РАНГА (КОРОБКОВ)</w:t>
      </w:r>
    </w:p>
    <w:p w14:paraId="7F1D6ACC"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НАЧАЛЬНИК 3 ОТДЕЛА БРУ КР. АРМИИ</w:t>
      </w:r>
    </w:p>
    <w:p w14:paraId="26970913"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1 РАНГА (АФОНИН)</w:t>
      </w:r>
    </w:p>
    <w:p w14:paraId="0B43E636"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2 экз. </w:t>
      </w:r>
    </w:p>
    <w:p w14:paraId="46E363F5"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Афонин </w:t>
      </w:r>
    </w:p>
    <w:p w14:paraId="1C7E8CA4"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5.10.40 г. № 499</w:t>
      </w:r>
    </w:p>
    <w:p w14:paraId="3DE632DD" w14:textId="77777777" w:rsidR="00DD4EE2" w:rsidRPr="00A3026E" w:rsidRDefault="00DD4EE2" w:rsidP="00A3026E">
      <w:pPr>
        <w:spacing w:after="0" w:line="240" w:lineRule="auto"/>
        <w:jc w:val="both"/>
        <w:rPr>
          <w:rFonts w:ascii="Times New Roman" w:hAnsi="Times New Roman"/>
          <w:color w:val="000000" w:themeColor="text1"/>
          <w:sz w:val="16"/>
          <w:szCs w:val="16"/>
        </w:rPr>
      </w:pPr>
    </w:p>
    <w:p w14:paraId="433A2678"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28E2AFC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B7EF5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года Решением Политбюро ЦК ВКП(б) № П 21 / 64 - ОП «Вопрос НКВТ» утверждался проект ответной телеграммы К Уманскому (в Вашингтон) и К Лукашеву (в Нью-Йорк) в связи с их переговорами с С. Уэл</w:t>
      </w:r>
      <w:r w:rsidRPr="00A3026E">
        <w:rPr>
          <w:rFonts w:ascii="Times New Roman" w:hAnsi="Times New Roman"/>
          <w:color w:val="000000" w:themeColor="text1"/>
          <w:sz w:val="16"/>
          <w:szCs w:val="16"/>
        </w:rPr>
        <w:softHyphen/>
        <w:t>лесом по торговым вопросам. В этом тексте говорилось, что по вопросу о лицензиях на станки Госдепартаменту необходимо было передать сооб</w:t>
      </w:r>
      <w:r w:rsidRPr="00A3026E">
        <w:rPr>
          <w:rFonts w:ascii="Times New Roman" w:hAnsi="Times New Roman"/>
          <w:color w:val="000000" w:themeColor="text1"/>
          <w:sz w:val="16"/>
          <w:szCs w:val="16"/>
        </w:rPr>
        <w:softHyphen/>
        <w:t>щение из шести пунктов. В пункте первом сообщалось о том, что советс</w:t>
      </w:r>
      <w:r w:rsidRPr="00A3026E">
        <w:rPr>
          <w:rFonts w:ascii="Times New Roman" w:hAnsi="Times New Roman"/>
          <w:color w:val="000000" w:themeColor="text1"/>
          <w:sz w:val="16"/>
          <w:szCs w:val="16"/>
        </w:rPr>
        <w:softHyphen/>
        <w:t>кое правительство считает, что Указ от 6 июля 1940 года не должен иметь применения к советским заказам, которые были выданы фирмам до его опубликования. Подчеркивалось, что применение Указа есть частичное аннулирование торгового соглашения США и СССР. В пунктах 2-5 указыва</w:t>
      </w:r>
      <w:r w:rsidRPr="00A3026E">
        <w:rPr>
          <w:rFonts w:ascii="Times New Roman" w:hAnsi="Times New Roman"/>
          <w:color w:val="000000" w:themeColor="text1"/>
          <w:sz w:val="16"/>
          <w:szCs w:val="16"/>
        </w:rPr>
        <w:softHyphen/>
        <w:t>лось, что советская сторона частично согласна отказаться от вывоза части станков, на которые нет лицензий. Также ставился вопрос о компенсации. Пункт шестой проекта гласил: «Все лицензии на вывоз, выдаваемые Пра</w:t>
      </w:r>
      <w:r w:rsidRPr="00A3026E">
        <w:rPr>
          <w:rFonts w:ascii="Times New Roman" w:hAnsi="Times New Roman"/>
          <w:color w:val="000000" w:themeColor="text1"/>
          <w:sz w:val="16"/>
          <w:szCs w:val="16"/>
        </w:rPr>
        <w:softHyphen/>
        <w:t>вительством США по размещенным советским заказам на станки и другие предметы и по заказам, которые будут размещены, не могут быть аннулиро</w:t>
      </w:r>
      <w:r w:rsidRPr="00A3026E">
        <w:rPr>
          <w:rFonts w:ascii="Times New Roman" w:hAnsi="Times New Roman"/>
          <w:color w:val="000000" w:themeColor="text1"/>
          <w:sz w:val="16"/>
          <w:szCs w:val="16"/>
        </w:rPr>
        <w:softHyphen/>
        <w:t>ваны». В тексте подчеркивалось: «Обращаем Ваше внимание на то, что, как видно из содержания пунктов первого и шестого, они относятся не только к станкам, но и к другому оборудованию». Проект ответной телеграммы был подписан В.М. Молотовым и А.И. Микояном (11710,242).</w:t>
      </w:r>
    </w:p>
    <w:p w14:paraId="70A311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AF5D6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в Правде была статья о защитниках Лондонского неба с теплой тональностью (2536,166).</w:t>
      </w:r>
    </w:p>
    <w:p w14:paraId="0428354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90C63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E10717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7DD9B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октября 1940 500 кг бомба взорвалась на площади перед Парламентом. Выбила витраж, погнала меч у Ричарда Львиное Сердце. Другая пробила купол собора св. Павла (2536,165).</w:t>
      </w:r>
    </w:p>
    <w:p w14:paraId="5B91296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AEDD6F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15CA25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9CBB6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А.А.А. направил письмо на имя Нач. серийного бюро завода 22 с указанием необходимости усиления крыльев СБ вплоть до постановки бужей на лонжеронах крыла в местах телескопического стыка (2706,194).</w:t>
      </w:r>
    </w:p>
    <w:p w14:paraId="3717968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EF6F198"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октября 1940 начались рулежки второго ИП-21 по аэродрому, а 8 октября 1940 г. состоялся первый полет Фокина, продолжавшийся 17 минут. В полете произошел отказ левого магнето, поэтому его решили заменить, для чего летали за ним на У-2 в Рыбинск на завод № 26. 12 октября состоялся второй полет, который выявил некондиционность установленного на самолете двигателя — при его осмотре механики обнаружили металлическую стружку в маслофильтре. Двигатель пришлось заменить. 17 октября, после замены двигателя, состоялся ознакомительный полет заводского летчика Большакова. 20-го и 24-го выполнялись полеты на высоту 5000 м, 1 ноября — полеты на определение скорости, 2 ноября — на пилотаж. По заключению заводских пилотов Фокина и Большакова, второй экземпляр в воздухе вел себя устойчиво (15561).</w:t>
      </w:r>
    </w:p>
    <w:p w14:paraId="029F164F" w14:textId="77777777" w:rsidR="00D2328C" w:rsidRPr="00A3026E" w:rsidRDefault="00D2328C" w:rsidP="00A3026E">
      <w:pPr>
        <w:spacing w:after="0" w:line="240" w:lineRule="auto"/>
        <w:jc w:val="both"/>
        <w:rPr>
          <w:rFonts w:ascii="Times New Roman" w:hAnsi="Times New Roman"/>
          <w:color w:val="000000" w:themeColor="text1"/>
          <w:sz w:val="16"/>
          <w:szCs w:val="16"/>
        </w:rPr>
      </w:pPr>
    </w:p>
    <w:p w14:paraId="2C27901E" w14:textId="77777777" w:rsidR="00D2328C"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04D0AA51" w14:textId="77777777" w:rsidR="00D2328C" w:rsidRPr="00A3026E" w:rsidRDefault="00D2328C" w:rsidP="00A3026E">
      <w:pPr>
        <w:spacing w:after="0" w:line="240" w:lineRule="auto"/>
        <w:jc w:val="both"/>
        <w:rPr>
          <w:rFonts w:ascii="Times New Roman" w:hAnsi="Times New Roman"/>
          <w:iCs/>
          <w:color w:val="000000" w:themeColor="text1"/>
          <w:sz w:val="16"/>
          <w:szCs w:val="16"/>
        </w:rPr>
      </w:pPr>
    </w:p>
    <w:p w14:paraId="5422A09E"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6 октября </w:t>
      </w:r>
      <w:r w:rsidRPr="00A3026E">
        <w:rPr>
          <w:rFonts w:ascii="Times New Roman" w:hAnsi="Times New Roman"/>
          <w:color w:val="000000" w:themeColor="text1"/>
          <w:sz w:val="16"/>
          <w:szCs w:val="16"/>
        </w:rPr>
        <w:t>в 1940 году германские и итальянские войска вошли в Румынию, чтобы взять под контроль стратегически важные нефтяные месторождения, фактически оккупировав страну (14791).</w:t>
      </w:r>
    </w:p>
    <w:p w14:paraId="4F78BA45" w14:textId="77777777" w:rsidR="00D2328C" w:rsidRPr="00A3026E" w:rsidRDefault="00D2328C" w:rsidP="00A3026E">
      <w:pPr>
        <w:spacing w:after="0" w:line="240" w:lineRule="auto"/>
        <w:jc w:val="both"/>
        <w:rPr>
          <w:rFonts w:ascii="Times New Roman" w:hAnsi="Times New Roman"/>
          <w:color w:val="000000" w:themeColor="text1"/>
          <w:sz w:val="16"/>
          <w:szCs w:val="16"/>
        </w:rPr>
      </w:pPr>
    </w:p>
    <w:p w14:paraId="658EBFF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3067F50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F2EBB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октября 1940 года П.О.Сухой направил на рассмот</w:t>
      </w:r>
      <w:r w:rsidRPr="00A3026E">
        <w:rPr>
          <w:rFonts w:ascii="Times New Roman" w:hAnsi="Times New Roman"/>
          <w:color w:val="000000" w:themeColor="text1"/>
          <w:sz w:val="16"/>
          <w:szCs w:val="16"/>
        </w:rPr>
        <w:softHyphen/>
        <w:t>рение в вышестоящие инстанции эскизный проект одноместного двух</w:t>
      </w:r>
      <w:r w:rsidRPr="00A3026E">
        <w:rPr>
          <w:rFonts w:ascii="Times New Roman" w:hAnsi="Times New Roman"/>
          <w:color w:val="000000" w:themeColor="text1"/>
          <w:sz w:val="16"/>
          <w:szCs w:val="16"/>
        </w:rPr>
        <w:softHyphen/>
        <w:t>моторного истребителя с мотора</w:t>
      </w:r>
      <w:r w:rsidRPr="00A3026E">
        <w:rPr>
          <w:rFonts w:ascii="Times New Roman" w:hAnsi="Times New Roman"/>
          <w:color w:val="000000" w:themeColor="text1"/>
          <w:sz w:val="16"/>
          <w:szCs w:val="16"/>
        </w:rPr>
        <w:softHyphen/>
        <w:t>ми АМ-37. Основное назначение истребителя - оборона пунктов, т.е. уничтожение бомбардировщиков противника, пытающихся наносить удары по особо важным тыловым объектам: крупным административ</w:t>
      </w:r>
      <w:r w:rsidRPr="00A3026E">
        <w:rPr>
          <w:rFonts w:ascii="Times New Roman" w:hAnsi="Times New Roman"/>
          <w:color w:val="000000" w:themeColor="text1"/>
          <w:sz w:val="16"/>
          <w:szCs w:val="16"/>
        </w:rPr>
        <w:softHyphen/>
        <w:t>ным центрам, железнодорожным узлам, портам, стратегическим про</w:t>
      </w:r>
      <w:r w:rsidRPr="00A3026E">
        <w:rPr>
          <w:rFonts w:ascii="Times New Roman" w:hAnsi="Times New Roman"/>
          <w:color w:val="000000" w:themeColor="text1"/>
          <w:sz w:val="16"/>
          <w:szCs w:val="16"/>
        </w:rPr>
        <w:softHyphen/>
        <w:t>мышленным предприятиям.</w:t>
      </w:r>
    </w:p>
    <w:p w14:paraId="5ED412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НИИ ВВС дали сравнительно высокую оценку инициативному проекту ИОП 2АМ-37, отметив ре</w:t>
      </w:r>
      <w:r w:rsidRPr="00A3026E">
        <w:rPr>
          <w:rFonts w:ascii="Times New Roman" w:hAnsi="Times New Roman"/>
          <w:color w:val="000000" w:themeColor="text1"/>
          <w:sz w:val="16"/>
          <w:szCs w:val="16"/>
        </w:rPr>
        <w:softHyphen/>
        <w:t>альность его воплощения, но ори</w:t>
      </w:r>
      <w:r w:rsidRPr="00A3026E">
        <w:rPr>
          <w:rFonts w:ascii="Times New Roman" w:hAnsi="Times New Roman"/>
          <w:color w:val="000000" w:themeColor="text1"/>
          <w:sz w:val="16"/>
          <w:szCs w:val="16"/>
        </w:rPr>
        <w:softHyphen/>
        <w:t>гинальную основную идею - созда</w:t>
      </w:r>
      <w:r w:rsidRPr="00A3026E">
        <w:rPr>
          <w:rFonts w:ascii="Times New Roman" w:hAnsi="Times New Roman"/>
          <w:color w:val="000000" w:themeColor="text1"/>
          <w:sz w:val="16"/>
          <w:szCs w:val="16"/>
        </w:rPr>
        <w:softHyphen/>
        <w:t>ние эффективного истребителя-пе</w:t>
      </w:r>
      <w:r w:rsidRPr="00A3026E">
        <w:rPr>
          <w:rFonts w:ascii="Times New Roman" w:hAnsi="Times New Roman"/>
          <w:color w:val="000000" w:themeColor="text1"/>
          <w:sz w:val="16"/>
          <w:szCs w:val="16"/>
        </w:rPr>
        <w:softHyphen/>
        <w:t>рехватчика, все же не сумели по</w:t>
      </w:r>
      <w:r w:rsidRPr="00A3026E">
        <w:rPr>
          <w:rFonts w:ascii="Times New Roman" w:hAnsi="Times New Roman"/>
          <w:color w:val="000000" w:themeColor="text1"/>
          <w:sz w:val="16"/>
          <w:szCs w:val="16"/>
        </w:rPr>
        <w:softHyphen/>
        <w:t>нять. В заключении было отмечено: «...Учитывая большой опыт т. Сухо</w:t>
      </w:r>
      <w:r w:rsidRPr="00A3026E">
        <w:rPr>
          <w:rFonts w:ascii="Times New Roman" w:hAnsi="Times New Roman"/>
          <w:color w:val="000000" w:themeColor="text1"/>
          <w:sz w:val="16"/>
          <w:szCs w:val="16"/>
        </w:rPr>
        <w:softHyphen/>
        <w:t>го в конструировании самолетов типа «двухмоторный бомбардиров</w:t>
      </w:r>
      <w:r w:rsidRPr="00A3026E">
        <w:rPr>
          <w:rFonts w:ascii="Times New Roman" w:hAnsi="Times New Roman"/>
          <w:color w:val="000000" w:themeColor="text1"/>
          <w:sz w:val="16"/>
          <w:szCs w:val="16"/>
        </w:rPr>
        <w:softHyphen/>
        <w:t>щик» и то, что по этому типу новых самолетов на 1941 год никому из конструкторов разработать и по</w:t>
      </w:r>
      <w:r w:rsidRPr="00A3026E">
        <w:rPr>
          <w:rFonts w:ascii="Times New Roman" w:hAnsi="Times New Roman"/>
          <w:color w:val="000000" w:themeColor="text1"/>
          <w:sz w:val="16"/>
          <w:szCs w:val="16"/>
        </w:rPr>
        <w:softHyphen/>
        <w:t>строить не предложено, считать целесообразным поручить т. Сухо</w:t>
      </w:r>
      <w:r w:rsidRPr="00A3026E">
        <w:rPr>
          <w:rFonts w:ascii="Times New Roman" w:hAnsi="Times New Roman"/>
          <w:color w:val="000000" w:themeColor="text1"/>
          <w:sz w:val="16"/>
          <w:szCs w:val="16"/>
        </w:rPr>
        <w:softHyphen/>
        <w:t>му разработку и постройку опыт</w:t>
      </w:r>
      <w:r w:rsidRPr="00A3026E">
        <w:rPr>
          <w:rFonts w:ascii="Times New Roman" w:hAnsi="Times New Roman"/>
          <w:color w:val="000000" w:themeColor="text1"/>
          <w:sz w:val="16"/>
          <w:szCs w:val="16"/>
        </w:rPr>
        <w:softHyphen/>
        <w:t>ного двухмоторного среднего бом</w:t>
      </w:r>
      <w:r w:rsidRPr="00A3026E">
        <w:rPr>
          <w:rFonts w:ascii="Times New Roman" w:hAnsi="Times New Roman"/>
          <w:color w:val="000000" w:themeColor="text1"/>
          <w:sz w:val="16"/>
          <w:szCs w:val="16"/>
        </w:rPr>
        <w:softHyphen/>
        <w:t>бардировщика».</w:t>
      </w:r>
    </w:p>
    <w:p w14:paraId="08CBF6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Истребитель обороны пункта представлял собой цельнометалли</w:t>
      </w:r>
      <w:r w:rsidRPr="00A3026E">
        <w:rPr>
          <w:rFonts w:ascii="Times New Roman" w:hAnsi="Times New Roman"/>
          <w:color w:val="000000" w:themeColor="text1"/>
          <w:sz w:val="16"/>
          <w:szCs w:val="16"/>
        </w:rPr>
        <w:softHyphen/>
        <w:t>ческий низкоплан с разнесенным двухкилевым хвостовым оперением,</w:t>
      </w:r>
    </w:p>
    <w:p w14:paraId="13C494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Фюзеляж овального сечения, по конструктивной схеме - монокок с вырезами. Летчик располагался в носовой части, что обеспечивало ему хороший обзор вперед и в сто</w:t>
      </w:r>
      <w:r w:rsidRPr="00A3026E">
        <w:rPr>
          <w:rFonts w:ascii="Times New Roman" w:hAnsi="Times New Roman"/>
          <w:color w:val="000000" w:themeColor="text1"/>
          <w:sz w:val="16"/>
          <w:szCs w:val="16"/>
        </w:rPr>
        <w:softHyphen/>
        <w:t>роны. Для обзора задней полусфе</w:t>
      </w:r>
      <w:r w:rsidRPr="00A3026E">
        <w:rPr>
          <w:rFonts w:ascii="Times New Roman" w:hAnsi="Times New Roman"/>
          <w:color w:val="000000" w:themeColor="text1"/>
          <w:sz w:val="16"/>
          <w:szCs w:val="16"/>
        </w:rPr>
        <w:softHyphen/>
        <w:t>ры, за спинкой кресла пилота, по бортам фюзеляжа имелись окна. Предусматривалось специальное окно для обзора вперед - вниз. Сдвижной фонарь кабины летчика имел форточку.</w:t>
      </w:r>
    </w:p>
    <w:p w14:paraId="777F4AE0" w14:textId="77777777" w:rsidR="00C66762" w:rsidRPr="00A3026E" w:rsidRDefault="00C66762" w:rsidP="00A3026E">
      <w:pPr>
        <w:pStyle w:val="af9"/>
        <w:spacing w:before="0" w:after="0"/>
        <w:jc w:val="both"/>
        <w:rPr>
          <w:color w:val="000000" w:themeColor="text1"/>
          <w:sz w:val="16"/>
          <w:szCs w:val="16"/>
        </w:rPr>
      </w:pPr>
      <w:r w:rsidRPr="00A3026E">
        <w:rPr>
          <w:color w:val="000000" w:themeColor="text1"/>
          <w:sz w:val="16"/>
          <w:szCs w:val="16"/>
        </w:rPr>
        <w:t>В передней части фюзеляжа, под полом кабины летчика и за спин</w:t>
      </w:r>
      <w:r w:rsidRPr="00A3026E">
        <w:rPr>
          <w:color w:val="000000" w:themeColor="text1"/>
          <w:sz w:val="16"/>
          <w:szCs w:val="16"/>
        </w:rPr>
        <w:softHyphen/>
        <w:t>кой кресла размещалось вооруже</w:t>
      </w:r>
      <w:r w:rsidRPr="00A3026E">
        <w:rPr>
          <w:color w:val="000000" w:themeColor="text1"/>
          <w:sz w:val="16"/>
          <w:szCs w:val="16"/>
        </w:rPr>
        <w:softHyphen/>
        <w:t>ние. В средней части фюзеляжа по</w:t>
      </w:r>
      <w:r w:rsidRPr="00A3026E">
        <w:rPr>
          <w:color w:val="000000" w:themeColor="text1"/>
          <w:sz w:val="16"/>
          <w:szCs w:val="16"/>
        </w:rPr>
        <w:softHyphen/>
        <w:t>мещались топливные баки, а под ними бомбовый отсек. В хвостовой части фюзеляжа монтировалось оборудование.</w:t>
      </w:r>
    </w:p>
    <w:p w14:paraId="69686A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трапециевидной формы в плане было выполнено по однолонжеронной схеме и имело автома</w:t>
      </w:r>
      <w:r w:rsidRPr="00A3026E">
        <w:rPr>
          <w:rFonts w:ascii="Times New Roman" w:hAnsi="Times New Roman"/>
          <w:color w:val="000000" w:themeColor="text1"/>
          <w:sz w:val="16"/>
          <w:szCs w:val="16"/>
        </w:rPr>
        <w:softHyphen/>
        <w:t>тические предкрылки, элероны с триммером и посадочные щитки.</w:t>
      </w:r>
    </w:p>
    <w:p w14:paraId="65C816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Хвостовое оперение двухкиле-вое. Конструктивно стабилизатор составлял одно целое с задним от</w:t>
      </w:r>
      <w:r w:rsidRPr="00A3026E">
        <w:rPr>
          <w:rFonts w:ascii="Times New Roman" w:hAnsi="Times New Roman"/>
          <w:color w:val="000000" w:themeColor="text1"/>
          <w:sz w:val="16"/>
          <w:szCs w:val="16"/>
        </w:rPr>
        <w:softHyphen/>
        <w:t>секом фюзеляжа и крепился к нему по контуру обшивки. Рули высоты и направления были снабжены трим</w:t>
      </w:r>
      <w:r w:rsidRPr="00A3026E">
        <w:rPr>
          <w:rFonts w:ascii="Times New Roman" w:hAnsi="Times New Roman"/>
          <w:color w:val="000000" w:themeColor="text1"/>
          <w:sz w:val="16"/>
          <w:szCs w:val="16"/>
        </w:rPr>
        <w:softHyphen/>
        <w:t>мерами.</w:t>
      </w:r>
    </w:p>
    <w:p w14:paraId="480BF9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 - трехопорное с хвосто</w:t>
      </w:r>
      <w:r w:rsidRPr="00A3026E">
        <w:rPr>
          <w:rFonts w:ascii="Times New Roman" w:hAnsi="Times New Roman"/>
          <w:color w:val="000000" w:themeColor="text1"/>
          <w:sz w:val="16"/>
          <w:szCs w:val="16"/>
        </w:rPr>
        <w:softHyphen/>
        <w:t>вым колесом. Основные опоры уби</w:t>
      </w:r>
      <w:r w:rsidRPr="00A3026E">
        <w:rPr>
          <w:rFonts w:ascii="Times New Roman" w:hAnsi="Times New Roman"/>
          <w:color w:val="000000" w:themeColor="text1"/>
          <w:sz w:val="16"/>
          <w:szCs w:val="16"/>
        </w:rPr>
        <w:softHyphen/>
        <w:t>рались в мотогондолы, а хвостовое колесо - в фюзеляж. Уборка и вы</w:t>
      </w:r>
      <w:r w:rsidRPr="00A3026E">
        <w:rPr>
          <w:rFonts w:ascii="Times New Roman" w:hAnsi="Times New Roman"/>
          <w:color w:val="000000" w:themeColor="text1"/>
          <w:sz w:val="16"/>
          <w:szCs w:val="16"/>
        </w:rPr>
        <w:softHyphen/>
        <w:t>пуск шасси осуществлялись при по</w:t>
      </w:r>
      <w:r w:rsidRPr="00A3026E">
        <w:rPr>
          <w:rFonts w:ascii="Times New Roman" w:hAnsi="Times New Roman"/>
          <w:color w:val="000000" w:themeColor="text1"/>
          <w:sz w:val="16"/>
          <w:szCs w:val="16"/>
        </w:rPr>
        <w:softHyphen/>
        <w:t>мощи гидросистемы, давление в ко</w:t>
      </w:r>
      <w:r w:rsidRPr="00A3026E">
        <w:rPr>
          <w:rFonts w:ascii="Times New Roman" w:hAnsi="Times New Roman"/>
          <w:color w:val="000000" w:themeColor="text1"/>
          <w:sz w:val="16"/>
          <w:szCs w:val="16"/>
        </w:rPr>
        <w:softHyphen/>
        <w:t>торой создавалось гидронасосом, установленным на одном из двига</w:t>
      </w:r>
      <w:r w:rsidRPr="00A3026E">
        <w:rPr>
          <w:rFonts w:ascii="Times New Roman" w:hAnsi="Times New Roman"/>
          <w:color w:val="000000" w:themeColor="text1"/>
          <w:sz w:val="16"/>
          <w:szCs w:val="16"/>
        </w:rPr>
        <w:softHyphen/>
        <w:t>телей. Предусматривался аварий</w:t>
      </w:r>
      <w:r w:rsidRPr="00A3026E">
        <w:rPr>
          <w:rFonts w:ascii="Times New Roman" w:hAnsi="Times New Roman"/>
          <w:color w:val="000000" w:themeColor="text1"/>
          <w:sz w:val="16"/>
          <w:szCs w:val="16"/>
        </w:rPr>
        <w:softHyphen/>
        <w:t>ный выпуск шасси от ручного гид</w:t>
      </w:r>
      <w:r w:rsidRPr="00A3026E">
        <w:rPr>
          <w:rFonts w:ascii="Times New Roman" w:hAnsi="Times New Roman"/>
          <w:color w:val="000000" w:themeColor="text1"/>
          <w:sz w:val="16"/>
          <w:szCs w:val="16"/>
        </w:rPr>
        <w:softHyphen/>
        <w:t>ронасоса.</w:t>
      </w:r>
    </w:p>
    <w:p w14:paraId="0E674E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Силовая установка включала в себя два двигателя водяного охлаж</w:t>
      </w:r>
      <w:r w:rsidRPr="00A3026E">
        <w:rPr>
          <w:rFonts w:ascii="Times New Roman" w:hAnsi="Times New Roman"/>
          <w:color w:val="000000" w:themeColor="text1"/>
          <w:sz w:val="16"/>
          <w:szCs w:val="16"/>
        </w:rPr>
        <w:softHyphen/>
        <w:t>дения АМ-37, с взлетной мощнос</w:t>
      </w:r>
      <w:r w:rsidRPr="00A3026E">
        <w:rPr>
          <w:rFonts w:ascii="Times New Roman" w:hAnsi="Times New Roman"/>
          <w:color w:val="000000" w:themeColor="text1"/>
          <w:sz w:val="16"/>
          <w:szCs w:val="16"/>
        </w:rPr>
        <w:softHyphen/>
        <w:t>тью по 1400 л.с. Винты изменяемо</w:t>
      </w:r>
      <w:r w:rsidRPr="00A3026E">
        <w:rPr>
          <w:rFonts w:ascii="Times New Roman" w:hAnsi="Times New Roman"/>
          <w:color w:val="000000" w:themeColor="text1"/>
          <w:sz w:val="16"/>
          <w:szCs w:val="16"/>
        </w:rPr>
        <w:softHyphen/>
        <w:t>го шага, металлические, трехлопа</w:t>
      </w:r>
      <w:r w:rsidRPr="00A3026E">
        <w:rPr>
          <w:rFonts w:ascii="Times New Roman" w:hAnsi="Times New Roman"/>
          <w:color w:val="000000" w:themeColor="text1"/>
          <w:sz w:val="16"/>
          <w:szCs w:val="16"/>
        </w:rPr>
        <w:softHyphen/>
        <w:t>стные, диаметром 3,4 м. Водо- и мас-лорадиаторы располагались в кры</w:t>
      </w:r>
      <w:r w:rsidRPr="00A3026E">
        <w:rPr>
          <w:rFonts w:ascii="Times New Roman" w:hAnsi="Times New Roman"/>
          <w:color w:val="000000" w:themeColor="text1"/>
          <w:sz w:val="16"/>
          <w:szCs w:val="16"/>
        </w:rPr>
        <w:softHyphen/>
        <w:t>ле, со входом охлаждающего воз</w:t>
      </w:r>
      <w:r w:rsidRPr="00A3026E">
        <w:rPr>
          <w:rFonts w:ascii="Times New Roman" w:hAnsi="Times New Roman"/>
          <w:color w:val="000000" w:themeColor="text1"/>
          <w:sz w:val="16"/>
          <w:szCs w:val="16"/>
        </w:rPr>
        <w:softHyphen/>
        <w:t>духа в передней кромке и с выхо</w:t>
      </w:r>
      <w:r w:rsidRPr="00A3026E">
        <w:rPr>
          <w:rFonts w:ascii="Times New Roman" w:hAnsi="Times New Roman"/>
          <w:color w:val="000000" w:themeColor="text1"/>
          <w:sz w:val="16"/>
          <w:szCs w:val="16"/>
        </w:rPr>
        <w:softHyphen/>
        <w:t>дом в задней части крыла на его верхней поверхности.</w:t>
      </w:r>
    </w:p>
    <w:p w14:paraId="2C40E3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(1000 кг) размещался в четырех протектированных баках, расположенных в фюзеляже (600 кг) и в мотогондолах (400 кг). В пере</w:t>
      </w:r>
      <w:r w:rsidRPr="00A3026E">
        <w:rPr>
          <w:rFonts w:ascii="Times New Roman" w:hAnsi="Times New Roman"/>
          <w:color w:val="000000" w:themeColor="text1"/>
          <w:sz w:val="16"/>
          <w:szCs w:val="16"/>
        </w:rPr>
        <w:softHyphen/>
        <w:t>грузочном варианте без бомбовой нагрузки предусматривалось разме</w:t>
      </w:r>
      <w:r w:rsidRPr="00A3026E">
        <w:rPr>
          <w:rFonts w:ascii="Times New Roman" w:hAnsi="Times New Roman"/>
          <w:color w:val="000000" w:themeColor="text1"/>
          <w:sz w:val="16"/>
          <w:szCs w:val="16"/>
        </w:rPr>
        <w:softHyphen/>
        <w:t>щение в бомбовом отсеке допол</w:t>
      </w:r>
      <w:r w:rsidRPr="00A3026E">
        <w:rPr>
          <w:rFonts w:ascii="Times New Roman" w:hAnsi="Times New Roman"/>
          <w:color w:val="000000" w:themeColor="text1"/>
          <w:sz w:val="16"/>
          <w:szCs w:val="16"/>
        </w:rPr>
        <w:softHyphen/>
        <w:t>нительного топливного бака.</w:t>
      </w:r>
    </w:p>
    <w:p w14:paraId="506C99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Стрелково-пушечное вооруже</w:t>
      </w:r>
      <w:r w:rsidRPr="00A3026E">
        <w:rPr>
          <w:rFonts w:ascii="Times New Roman" w:hAnsi="Times New Roman"/>
          <w:color w:val="000000" w:themeColor="text1"/>
          <w:sz w:val="16"/>
          <w:szCs w:val="16"/>
        </w:rPr>
        <w:softHyphen/>
        <w:t>ние включало две 23-мм пушки Я.Г. Таубина с суммарным боезапасом 280 патронов и шесть пулеметов ШКАС с суммарным боезапасом 4500 патронов, установленных на общем поворотном мосту в фюзе</w:t>
      </w:r>
      <w:r w:rsidRPr="00A3026E">
        <w:rPr>
          <w:rFonts w:ascii="Times New Roman" w:hAnsi="Times New Roman"/>
          <w:color w:val="000000" w:themeColor="text1"/>
          <w:sz w:val="16"/>
          <w:szCs w:val="16"/>
        </w:rPr>
        <w:softHyphen/>
        <w:t>ляже В перегрузочном варианте предусматривалась бомбовая на</w:t>
      </w:r>
      <w:r w:rsidRPr="00A3026E">
        <w:rPr>
          <w:rFonts w:ascii="Times New Roman" w:hAnsi="Times New Roman"/>
          <w:color w:val="000000" w:themeColor="text1"/>
          <w:sz w:val="16"/>
          <w:szCs w:val="16"/>
        </w:rPr>
        <w:softHyphen/>
        <w:t>грузка до 400 кг.</w:t>
      </w:r>
    </w:p>
    <w:p w14:paraId="715541C2" w14:textId="77777777" w:rsidR="00C66762" w:rsidRPr="00A3026E" w:rsidRDefault="00C66762" w:rsidP="00A3026E">
      <w:pPr>
        <w:pStyle w:val="af9"/>
        <w:spacing w:before="0" w:after="0"/>
        <w:jc w:val="both"/>
        <w:rPr>
          <w:color w:val="000000" w:themeColor="text1"/>
          <w:sz w:val="16"/>
          <w:szCs w:val="16"/>
        </w:rPr>
      </w:pPr>
      <w:r w:rsidRPr="00A3026E">
        <w:rPr>
          <w:color w:val="000000" w:themeColor="text1"/>
          <w:sz w:val="16"/>
          <w:szCs w:val="16"/>
        </w:rPr>
        <w:lastRenderedPageBreak/>
        <w:t>Летчик спереди был защищен прозрачной броней, а сзади - бро-неспинкой толщиной 8,65 мм. Для защиты головы при сохранении об</w:t>
      </w:r>
      <w:r w:rsidRPr="00A3026E">
        <w:rPr>
          <w:color w:val="000000" w:themeColor="text1"/>
          <w:sz w:val="16"/>
          <w:szCs w:val="16"/>
        </w:rPr>
        <w:softHyphen/>
        <w:t>зора назад, верхняя часть бронес-пинки срезалась и заменялась про</w:t>
      </w:r>
      <w:r w:rsidRPr="00A3026E">
        <w:rPr>
          <w:color w:val="000000" w:themeColor="text1"/>
          <w:sz w:val="16"/>
          <w:szCs w:val="16"/>
        </w:rPr>
        <w:softHyphen/>
        <w:t>зрачной броней. Кабина летчика имела бронированный пол.</w:t>
      </w:r>
    </w:p>
    <w:p w14:paraId="6EC8AC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расчетные данные самолета:</w:t>
      </w:r>
    </w:p>
    <w:p w14:paraId="237E7E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самолета, мм............... 11100</w:t>
      </w:r>
    </w:p>
    <w:p w14:paraId="46BAF7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крыла, мм .................... 15200</w:t>
      </w:r>
    </w:p>
    <w:p w14:paraId="0DBCDA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xml:space="preserve"> ........................ 34</w:t>
      </w:r>
    </w:p>
    <w:p w14:paraId="210516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Масса самолета, кг: пустого.......................................... 5022</w:t>
      </w:r>
    </w:p>
    <w:p w14:paraId="5B2EFD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нормальная полетная............. 6476</w:t>
      </w:r>
    </w:p>
    <w:p w14:paraId="34B2A3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км/ч: у земли........................................... 540</w:t>
      </w:r>
    </w:p>
    <w:p w14:paraId="4427DF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Н=6000м ................................. 670</w:t>
      </w:r>
    </w:p>
    <w:p w14:paraId="48B367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(Н=7000м.............................. 650-670)</w:t>
      </w:r>
    </w:p>
    <w:p w14:paraId="259BA8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w:t>
      </w:r>
    </w:p>
    <w:p w14:paraId="5F9D85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10000м, мин .........................7,5 (9-11)</w:t>
      </w:r>
    </w:p>
    <w:p w14:paraId="390B27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p w14:paraId="7C00DC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Н=1000м, с.................. 19 (22-24)</w:t>
      </w:r>
    </w:p>
    <w:p w14:paraId="480976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м..... 12100</w:t>
      </w:r>
    </w:p>
    <w:p w14:paraId="2E0AE2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(У=0.9Угтюх., Н=6000м): нормальная ........................900 (800)</w:t>
      </w:r>
    </w:p>
    <w:p w14:paraId="72AD77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перегрузочном</w:t>
      </w:r>
    </w:p>
    <w:p w14:paraId="03E151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варианте ........................ 1860 (1550)</w:t>
      </w:r>
    </w:p>
    <w:p w14:paraId="75F98E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 м....... 248 (300-320)</w:t>
      </w:r>
    </w:p>
    <w:p w14:paraId="01EF05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В скобках указа</w:t>
      </w:r>
      <w:r w:rsidRPr="00A3026E">
        <w:rPr>
          <w:rFonts w:ascii="Times New Roman" w:hAnsi="Times New Roman"/>
          <w:color w:val="000000" w:themeColor="text1"/>
          <w:sz w:val="16"/>
          <w:szCs w:val="16"/>
        </w:rPr>
        <w:softHyphen/>
        <w:t>ны данные, ожидаемые по расче</w:t>
      </w:r>
      <w:r w:rsidRPr="00A3026E">
        <w:rPr>
          <w:rFonts w:ascii="Times New Roman" w:hAnsi="Times New Roman"/>
          <w:color w:val="000000" w:themeColor="text1"/>
          <w:sz w:val="16"/>
          <w:szCs w:val="16"/>
        </w:rPr>
        <w:softHyphen/>
        <w:t>там специалистов НИИ ВВС (11754).</w:t>
      </w:r>
    </w:p>
    <w:p w14:paraId="499FDE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52EF2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октября 1940 года за</w:t>
      </w:r>
      <w:r w:rsidRPr="00A3026E">
        <w:rPr>
          <w:rFonts w:ascii="Times New Roman" w:hAnsi="Times New Roman"/>
          <w:color w:val="000000" w:themeColor="text1"/>
          <w:sz w:val="16"/>
          <w:szCs w:val="16"/>
        </w:rPr>
        <w:softHyphen/>
        <w:t>вод №156 по акту передал самолет ББ-2 М-88 заводу №289 (11849).</w:t>
      </w:r>
    </w:p>
    <w:p w14:paraId="4511BE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4B3CE69" w14:textId="77777777" w:rsidR="00DD4EE2" w:rsidRPr="00A3026E" w:rsidRDefault="00DD4EE2"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В начале октября 1940 г. завод № 156 по акту передал ББ-2 заводу № 289 (19102).</w:t>
      </w:r>
    </w:p>
    <w:p w14:paraId="11027102" w14:textId="77777777" w:rsidR="00DD4EE2" w:rsidRPr="00A3026E" w:rsidRDefault="00DD4EE2" w:rsidP="00A3026E">
      <w:pPr>
        <w:spacing w:after="0" w:line="240" w:lineRule="auto"/>
        <w:jc w:val="both"/>
        <w:rPr>
          <w:rFonts w:ascii="Times New Roman" w:hAnsi="Times New Roman"/>
          <w:color w:val="000000" w:themeColor="text1"/>
          <w:sz w:val="16"/>
          <w:szCs w:val="16"/>
        </w:rPr>
      </w:pPr>
    </w:p>
    <w:p w14:paraId="25B60B8E" w14:textId="77777777" w:rsidR="0066319C" w:rsidRPr="00A3026E" w:rsidRDefault="0066319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К началу октября 1940 г. на за</w:t>
      </w:r>
      <w:r w:rsidRPr="00A3026E">
        <w:rPr>
          <w:color w:val="000000" w:themeColor="text1"/>
          <w:sz w:val="16"/>
          <w:szCs w:val="16"/>
        </w:rPr>
        <w:softHyphen/>
        <w:t>воде № 156 совместно с ОКБ-16 была построена и в целом успешно испытана стрельбой пушечная установка для двух пушек ПТБ-23 с магазинами на 81 патрон. Монтировалась ли «спарка» на самолет, неизвестно. К началу войны готовность ЭОИ по</w:t>
      </w:r>
      <w:r w:rsidRPr="00A3026E">
        <w:rPr>
          <w:color w:val="000000" w:themeColor="text1"/>
          <w:sz w:val="16"/>
          <w:szCs w:val="16"/>
        </w:rPr>
        <w:softHyphen/>
        <w:t>стройкой по</w:t>
      </w:r>
      <w:r w:rsidRPr="00A3026E">
        <w:rPr>
          <w:color w:val="000000" w:themeColor="text1"/>
          <w:sz w:val="16"/>
          <w:szCs w:val="16"/>
        </w:rPr>
        <w:softHyphen/>
        <w:t>стройкой оценивалась в 90%. В связи с эвакуацией завода № 156 самолет и всю техническую докумен</w:t>
      </w:r>
      <w:r w:rsidRPr="00A3026E">
        <w:rPr>
          <w:color w:val="000000" w:themeColor="text1"/>
          <w:sz w:val="16"/>
          <w:szCs w:val="16"/>
        </w:rPr>
        <w:softHyphen/>
        <w:t>тацию по нему уничтожили (17500).</w:t>
      </w:r>
    </w:p>
    <w:p w14:paraId="53E61868" w14:textId="77777777" w:rsidR="0066319C" w:rsidRPr="00A3026E" w:rsidRDefault="0066319C" w:rsidP="00A3026E">
      <w:pPr>
        <w:spacing w:after="0" w:line="240" w:lineRule="auto"/>
        <w:jc w:val="both"/>
        <w:rPr>
          <w:rFonts w:ascii="Times New Roman" w:eastAsia="Times New Roman" w:hAnsi="Times New Roman"/>
          <w:color w:val="000000" w:themeColor="text1"/>
          <w:sz w:val="16"/>
          <w:szCs w:val="16"/>
          <w:lang w:eastAsia="ru-RU"/>
        </w:rPr>
      </w:pPr>
    </w:p>
    <w:p w14:paraId="3D4335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октября 1940 года в КБ П.О.С. завершили разработку эскизно</w:t>
      </w:r>
      <w:r w:rsidRPr="00A3026E">
        <w:rPr>
          <w:rFonts w:ascii="Times New Roman" w:hAnsi="Times New Roman"/>
          <w:color w:val="000000" w:themeColor="text1"/>
          <w:sz w:val="16"/>
          <w:szCs w:val="16"/>
        </w:rPr>
        <w:softHyphen/>
        <w:t>го проекта самолета ББ-3 с мото</w:t>
      </w:r>
      <w:r w:rsidRPr="00A3026E">
        <w:rPr>
          <w:rFonts w:ascii="Times New Roman" w:hAnsi="Times New Roman"/>
          <w:color w:val="000000" w:themeColor="text1"/>
          <w:sz w:val="16"/>
          <w:szCs w:val="16"/>
        </w:rPr>
        <w:softHyphen/>
        <w:t>ром АМ-37. В пояснительной запис</w:t>
      </w:r>
      <w:r w:rsidRPr="00A3026E">
        <w:rPr>
          <w:rFonts w:ascii="Times New Roman" w:hAnsi="Times New Roman"/>
          <w:color w:val="000000" w:themeColor="text1"/>
          <w:sz w:val="16"/>
          <w:szCs w:val="16"/>
        </w:rPr>
        <w:softHyphen/>
        <w:t>ке к проекту отмечалось, что:</w:t>
      </w:r>
    </w:p>
    <w:p w14:paraId="565939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ББ-3 является модифи</w:t>
      </w:r>
      <w:r w:rsidRPr="00A3026E">
        <w:rPr>
          <w:rFonts w:ascii="Times New Roman" w:hAnsi="Times New Roman"/>
          <w:color w:val="000000" w:themeColor="text1"/>
          <w:sz w:val="16"/>
          <w:szCs w:val="16"/>
        </w:rPr>
        <w:softHyphen/>
        <w:t>кацией самолета ББ-1 М-81. Изме</w:t>
      </w:r>
      <w:r w:rsidRPr="00A3026E">
        <w:rPr>
          <w:rFonts w:ascii="Times New Roman" w:hAnsi="Times New Roman"/>
          <w:color w:val="000000" w:themeColor="text1"/>
          <w:sz w:val="16"/>
          <w:szCs w:val="16"/>
        </w:rPr>
        <w:softHyphen/>
        <w:t>нения касаются только винтомотор</w:t>
      </w:r>
      <w:r w:rsidRPr="00A3026E">
        <w:rPr>
          <w:rFonts w:ascii="Times New Roman" w:hAnsi="Times New Roman"/>
          <w:color w:val="000000" w:themeColor="text1"/>
          <w:sz w:val="16"/>
          <w:szCs w:val="16"/>
        </w:rPr>
        <w:softHyphen/>
        <w:t>ной группы" и в небольшой части фюзеляжа. Капотирование мотора АМ-37 несколько улучшает обзор лет</w:t>
      </w:r>
      <w:r w:rsidRPr="00A3026E">
        <w:rPr>
          <w:rFonts w:ascii="Times New Roman" w:hAnsi="Times New Roman"/>
          <w:color w:val="000000" w:themeColor="text1"/>
          <w:sz w:val="16"/>
          <w:szCs w:val="16"/>
        </w:rPr>
        <w:softHyphen/>
        <w:t>чика сравнительно с мотором М-81...</w:t>
      </w:r>
    </w:p>
    <w:p w14:paraId="37F280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АМ-37 требует примене</w:t>
      </w:r>
      <w:r w:rsidRPr="00A3026E">
        <w:rPr>
          <w:rFonts w:ascii="Times New Roman" w:hAnsi="Times New Roman"/>
          <w:color w:val="000000" w:themeColor="text1"/>
          <w:sz w:val="16"/>
          <w:szCs w:val="16"/>
        </w:rPr>
        <w:softHyphen/>
        <w:t>ния помимо нормальных радиаторов для воды и масла также радиатора для охлаждения воздуха, поступаю</w:t>
      </w:r>
      <w:r w:rsidRPr="00A3026E">
        <w:rPr>
          <w:rFonts w:ascii="Times New Roman" w:hAnsi="Times New Roman"/>
          <w:color w:val="000000" w:themeColor="text1"/>
          <w:sz w:val="16"/>
          <w:szCs w:val="16"/>
        </w:rPr>
        <w:softHyphen/>
        <w:t>щего в карбюратор. Предусмотре</w:t>
      </w:r>
      <w:r w:rsidRPr="00A3026E">
        <w:rPr>
          <w:rFonts w:ascii="Times New Roman" w:hAnsi="Times New Roman"/>
          <w:color w:val="000000" w:themeColor="text1"/>
          <w:sz w:val="16"/>
          <w:szCs w:val="16"/>
        </w:rPr>
        <w:softHyphen/>
        <w:t>на установка водяного радиатора площадью 28 дм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воздушного ради</w:t>
      </w:r>
      <w:r w:rsidRPr="00A3026E">
        <w:rPr>
          <w:rFonts w:ascii="Times New Roman" w:hAnsi="Times New Roman"/>
          <w:color w:val="000000" w:themeColor="text1"/>
          <w:sz w:val="16"/>
          <w:szCs w:val="16"/>
        </w:rPr>
        <w:softHyphen/>
        <w:t>атора 12 дм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xml:space="preserve"> и масляного - 9 дм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p w14:paraId="6D269E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условий минимальных переде</w:t>
      </w:r>
      <w:r w:rsidRPr="00A3026E">
        <w:rPr>
          <w:rFonts w:ascii="Times New Roman" w:hAnsi="Times New Roman"/>
          <w:color w:val="000000" w:themeColor="text1"/>
          <w:sz w:val="16"/>
          <w:szCs w:val="16"/>
        </w:rPr>
        <w:softHyphen/>
        <w:t>лок самолета ББ-1 и невозможности размещения радиаторов в крыле, все радиаторы установлены под мотором в общем туннеле; Туннель имеет об</w:t>
      </w:r>
      <w:r w:rsidRPr="00A3026E">
        <w:rPr>
          <w:rFonts w:ascii="Times New Roman" w:hAnsi="Times New Roman"/>
          <w:color w:val="000000" w:themeColor="text1"/>
          <w:sz w:val="16"/>
          <w:szCs w:val="16"/>
        </w:rPr>
        <w:softHyphen/>
        <w:t>щий вход и выходы, отдельно регули</w:t>
      </w:r>
      <w:r w:rsidRPr="00A3026E">
        <w:rPr>
          <w:rFonts w:ascii="Times New Roman" w:hAnsi="Times New Roman"/>
          <w:color w:val="000000" w:themeColor="text1"/>
          <w:sz w:val="16"/>
          <w:szCs w:val="16"/>
        </w:rPr>
        <w:softHyphen/>
        <w:t>руемые для каждого радиатора.</w:t>
      </w:r>
    </w:p>
    <w:p w14:paraId="7D900E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Такая установка мотора и ради</w:t>
      </w:r>
      <w:r w:rsidRPr="00A3026E">
        <w:rPr>
          <w:rFonts w:ascii="Times New Roman" w:hAnsi="Times New Roman"/>
          <w:color w:val="000000" w:themeColor="text1"/>
          <w:sz w:val="16"/>
          <w:szCs w:val="16"/>
        </w:rPr>
        <w:softHyphen/>
        <w:t>аторов позволяет с минимальными переделками конструкции и приспо</w:t>
      </w:r>
      <w:r w:rsidRPr="00A3026E">
        <w:rPr>
          <w:rFonts w:ascii="Times New Roman" w:hAnsi="Times New Roman"/>
          <w:color w:val="000000" w:themeColor="text1"/>
          <w:sz w:val="16"/>
          <w:szCs w:val="16"/>
        </w:rPr>
        <w:softHyphen/>
        <w:t>соблений серийного завода выпус</w:t>
      </w:r>
      <w:r w:rsidRPr="00A3026E">
        <w:rPr>
          <w:rFonts w:ascii="Times New Roman" w:hAnsi="Times New Roman"/>
          <w:color w:val="000000" w:themeColor="text1"/>
          <w:sz w:val="16"/>
          <w:szCs w:val="16"/>
        </w:rPr>
        <w:softHyphen/>
        <w:t>кать самолет с любым из моторов АМ-37, М-81 и М-90 в зависимости от требований заказчика и возмож</w:t>
      </w:r>
      <w:r w:rsidRPr="00A3026E">
        <w:rPr>
          <w:rFonts w:ascii="Times New Roman" w:hAnsi="Times New Roman"/>
          <w:color w:val="000000" w:themeColor="text1"/>
          <w:sz w:val="16"/>
          <w:szCs w:val="16"/>
        </w:rPr>
        <w:softHyphen/>
        <w:t>ностей промышленности. Единствен</w:t>
      </w:r>
      <w:r w:rsidRPr="00A3026E">
        <w:rPr>
          <w:rFonts w:ascii="Times New Roman" w:hAnsi="Times New Roman"/>
          <w:color w:val="000000" w:themeColor="text1"/>
          <w:sz w:val="16"/>
          <w:szCs w:val="16"/>
        </w:rPr>
        <w:softHyphen/>
        <w:t>ными изменениями планера самолета при переходе с АМ-37 на воз</w:t>
      </w:r>
      <w:r w:rsidRPr="00A3026E">
        <w:rPr>
          <w:rFonts w:ascii="Times New Roman" w:hAnsi="Times New Roman"/>
          <w:color w:val="000000" w:themeColor="text1"/>
          <w:sz w:val="16"/>
          <w:szCs w:val="16"/>
        </w:rPr>
        <w:softHyphen/>
        <w:t>душные моторы будет установка об</w:t>
      </w:r>
      <w:r w:rsidRPr="00A3026E">
        <w:rPr>
          <w:rFonts w:ascii="Times New Roman" w:hAnsi="Times New Roman"/>
          <w:color w:val="000000" w:themeColor="text1"/>
          <w:sz w:val="16"/>
          <w:szCs w:val="16"/>
        </w:rPr>
        <w:softHyphen/>
        <w:t>текателя в передней нижней части фюзеляжа и смещения киля в проти</w:t>
      </w:r>
      <w:r w:rsidRPr="00A3026E">
        <w:rPr>
          <w:rFonts w:ascii="Times New Roman" w:hAnsi="Times New Roman"/>
          <w:color w:val="000000" w:themeColor="text1"/>
          <w:sz w:val="16"/>
          <w:szCs w:val="16"/>
        </w:rPr>
        <w:softHyphen/>
        <w:t>воположную сторону, так как вра</w:t>
      </w:r>
      <w:r w:rsidRPr="00A3026E">
        <w:rPr>
          <w:rFonts w:ascii="Times New Roman" w:hAnsi="Times New Roman"/>
          <w:color w:val="000000" w:themeColor="text1"/>
          <w:sz w:val="16"/>
          <w:szCs w:val="16"/>
        </w:rPr>
        <w:softHyphen/>
        <w:t>щение винта мотора АМ-37 и М-81 и М-90 противоположны.</w:t>
      </w:r>
    </w:p>
    <w:p w14:paraId="1A9972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Емкость бензобаков 850 литров, что обеспечивает дальность полета в перегрузочном варианте 1200 км.</w:t>
      </w:r>
    </w:p>
    <w:p w14:paraId="0BC812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Нормальная заливка бензина -525 кг (710 л - прим. авт.), обеспе</w:t>
      </w:r>
      <w:r w:rsidRPr="00A3026E">
        <w:rPr>
          <w:rFonts w:ascii="Times New Roman" w:hAnsi="Times New Roman"/>
          <w:color w:val="000000" w:themeColor="text1"/>
          <w:sz w:val="16"/>
          <w:szCs w:val="16"/>
        </w:rPr>
        <w:softHyphen/>
        <w:t>чивает дальность 1000км.</w:t>
      </w:r>
    </w:p>
    <w:p w14:paraId="157B5E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Фюзеляж серийного самолета ББ-1 изменяется в нижней передней части, куда заходит туннель радиа</w:t>
      </w:r>
      <w:r w:rsidRPr="00A3026E">
        <w:rPr>
          <w:rFonts w:ascii="Times New Roman" w:hAnsi="Times New Roman"/>
          <w:color w:val="000000" w:themeColor="text1"/>
          <w:sz w:val="16"/>
          <w:szCs w:val="16"/>
        </w:rPr>
        <w:softHyphen/>
        <w:t>торов.</w:t>
      </w:r>
    </w:p>
    <w:p w14:paraId="38E025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крыло самолета устанавли</w:t>
      </w:r>
      <w:r w:rsidRPr="00A3026E">
        <w:rPr>
          <w:rFonts w:ascii="Times New Roman" w:hAnsi="Times New Roman"/>
          <w:color w:val="000000" w:themeColor="text1"/>
          <w:sz w:val="16"/>
          <w:szCs w:val="16"/>
        </w:rPr>
        <w:softHyphen/>
        <w:t>ваются автоматические предкрылки для улучшения поперечной управля</w:t>
      </w:r>
      <w:r w:rsidRPr="00A3026E">
        <w:rPr>
          <w:rFonts w:ascii="Times New Roman" w:hAnsi="Times New Roman"/>
          <w:color w:val="000000" w:themeColor="text1"/>
          <w:sz w:val="16"/>
          <w:szCs w:val="16"/>
        </w:rPr>
        <w:softHyphen/>
        <w:t>емости.</w:t>
      </w:r>
    </w:p>
    <w:p w14:paraId="09FD02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Оборудование сохраняется по самолету ББ-1; добавляются РПК-2 и бронированная спинка стрелка для защиты от стрельбы сзади.</w:t>
      </w:r>
    </w:p>
    <w:p w14:paraId="4A5427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сохраняется по са</w:t>
      </w:r>
      <w:r w:rsidRPr="00A3026E">
        <w:rPr>
          <w:rFonts w:ascii="Times New Roman" w:hAnsi="Times New Roman"/>
          <w:color w:val="000000" w:themeColor="text1"/>
          <w:sz w:val="16"/>
          <w:szCs w:val="16"/>
        </w:rPr>
        <w:softHyphen/>
        <w:t>молету ББ-1 с добавлением люковой установки.</w:t>
      </w:r>
    </w:p>
    <w:p w14:paraId="19799A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данные самолета</w:t>
      </w:r>
    </w:p>
    <w:p w14:paraId="6928FD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Взлетная мощность АМ-37 и мощ</w:t>
      </w:r>
      <w:r w:rsidRPr="00A3026E">
        <w:rPr>
          <w:rFonts w:ascii="Times New Roman" w:hAnsi="Times New Roman"/>
          <w:color w:val="000000" w:themeColor="text1"/>
          <w:sz w:val="16"/>
          <w:szCs w:val="16"/>
        </w:rPr>
        <w:softHyphen/>
        <w:t>ность на высоте 6000м - 1400 л.с.</w:t>
      </w:r>
    </w:p>
    <w:p w14:paraId="649CE7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самолета - 4620 кг Время подъема на 6000м - 10,5 мин</w:t>
      </w:r>
    </w:p>
    <w:p w14:paraId="72635D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- 9500 м Максимальная скорость у земли - 450 км/ч</w:t>
      </w:r>
    </w:p>
    <w:p w14:paraId="68F980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w:t>
      </w:r>
      <w:r w:rsidRPr="00A3026E">
        <w:rPr>
          <w:rFonts w:ascii="Times New Roman" w:hAnsi="Times New Roman"/>
          <w:color w:val="000000" w:themeColor="text1"/>
          <w:sz w:val="16"/>
          <w:szCs w:val="16"/>
        </w:rPr>
        <w:softHyphen/>
        <w:t>те 6000 м - 550 км/ч</w:t>
      </w:r>
    </w:p>
    <w:p w14:paraId="46C863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-116 км/ч</w:t>
      </w:r>
    </w:p>
    <w:p w14:paraId="10AB60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 - 350 м...»</w:t>
      </w:r>
    </w:p>
    <w:p w14:paraId="19B485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заключении по эскизному про</w:t>
      </w:r>
      <w:r w:rsidRPr="00A3026E">
        <w:rPr>
          <w:rFonts w:ascii="Times New Roman" w:hAnsi="Times New Roman"/>
          <w:color w:val="000000" w:themeColor="text1"/>
          <w:sz w:val="16"/>
          <w:szCs w:val="16"/>
        </w:rPr>
        <w:softHyphen/>
        <w:t>екту, утвержденному П.В.Рычаговым 9 декабря 1940 года, отмечалось:</w:t>
      </w:r>
    </w:p>
    <w:p w14:paraId="3D7742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 Эскизный проект самолета ББ-3 АМ-37... - одобрить с добавле</w:t>
      </w:r>
      <w:r w:rsidRPr="00A3026E">
        <w:rPr>
          <w:rFonts w:ascii="Times New Roman" w:hAnsi="Times New Roman"/>
          <w:color w:val="000000" w:themeColor="text1"/>
          <w:sz w:val="16"/>
          <w:szCs w:val="16"/>
        </w:rPr>
        <w:softHyphen/>
        <w:t>ниями, указанными в настоящих вы</w:t>
      </w:r>
      <w:r w:rsidRPr="00A3026E">
        <w:rPr>
          <w:rFonts w:ascii="Times New Roman" w:hAnsi="Times New Roman"/>
          <w:color w:val="000000" w:themeColor="text1"/>
          <w:sz w:val="16"/>
          <w:szCs w:val="16"/>
        </w:rPr>
        <w:softHyphen/>
        <w:t>водах и рекомендовать постройку самолета по проекту, включив в план опытного самолетостроения на 1941 год.</w:t>
      </w:r>
    </w:p>
    <w:p w14:paraId="233B96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связи с отсутствием отрабо</w:t>
      </w:r>
      <w:r w:rsidRPr="00A3026E">
        <w:rPr>
          <w:rFonts w:ascii="Times New Roman" w:hAnsi="Times New Roman"/>
          <w:color w:val="000000" w:themeColor="text1"/>
          <w:sz w:val="16"/>
          <w:szCs w:val="16"/>
        </w:rPr>
        <w:softHyphen/>
        <w:t>танного экземпляра мотора АМ-37, считать допустимым установку на первом экземпляре самолета мото</w:t>
      </w:r>
      <w:r w:rsidRPr="00A3026E">
        <w:rPr>
          <w:rFonts w:ascii="Times New Roman" w:hAnsi="Times New Roman"/>
          <w:color w:val="000000" w:themeColor="text1"/>
          <w:sz w:val="16"/>
          <w:szCs w:val="16"/>
        </w:rPr>
        <w:softHyphen/>
        <w:t>ра АМ-35...» (11849).</w:t>
      </w:r>
    </w:p>
    <w:p w14:paraId="400C7C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A1E0C1D" w14:textId="77777777" w:rsidR="00D2328C" w:rsidRPr="00A3026E" w:rsidRDefault="00D2328C" w:rsidP="00A3026E">
      <w:pPr>
        <w:pStyle w:val="a3"/>
        <w:rPr>
          <w:color w:val="000000" w:themeColor="text1"/>
          <w:lang w:val="ru-RU"/>
        </w:rPr>
      </w:pPr>
      <w:r w:rsidRPr="00A3026E">
        <w:rPr>
          <w:color w:val="000000" w:themeColor="text1"/>
          <w:lang w:val="ru-RU"/>
        </w:rPr>
        <w:t>В начале октября 1940 г. в КБ завершили разработку эскизного проекта самолёта ББ-3 с мотором АМ-37. В пояснительной записке к проекту отмечалось:</w:t>
      </w:r>
    </w:p>
    <w:p w14:paraId="2DC37D5E" w14:textId="77777777" w:rsidR="00D2328C" w:rsidRPr="00A3026E"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 Самолёт ББ-3 является модификацией самолёта ББ-1 М-81. Изменения касаются</w:t>
      </w:r>
      <w:r w:rsidRPr="00A3026E">
        <w:rPr>
          <w:rStyle w:val="237"/>
          <w:rFonts w:ascii="Times New Roman" w:eastAsia="Arial Unicode MS" w:hAnsi="Times New Roman" w:cs="Times New Roman"/>
          <w:i w:val="0"/>
          <w:iCs w:val="0"/>
          <w:color w:val="000000" w:themeColor="text1"/>
        </w:rPr>
        <w:t xml:space="preserve"> толь</w:t>
      </w:r>
      <w:r w:rsidRPr="00A3026E">
        <w:rPr>
          <w:rStyle w:val="237"/>
          <w:rFonts w:ascii="Times New Roman" w:eastAsia="Arial Unicode MS" w:hAnsi="Times New Roman" w:cs="Times New Roman"/>
          <w:i w:val="0"/>
          <w:iCs w:val="0"/>
          <w:color w:val="000000" w:themeColor="text1"/>
        </w:rPr>
        <w:softHyphen/>
        <w:t>ко винтомоторной группы и, в небольшой части фюзеляжа. Капотирование мотора АМ-37 не</w:t>
      </w:r>
      <w:r w:rsidRPr="00A3026E">
        <w:rPr>
          <w:rStyle w:val="237"/>
          <w:rFonts w:ascii="Times New Roman" w:eastAsia="Arial Unicode MS" w:hAnsi="Times New Roman" w:cs="Times New Roman"/>
          <w:i w:val="0"/>
          <w:iCs w:val="0"/>
          <w:color w:val="000000" w:themeColor="text1"/>
        </w:rPr>
        <w:softHyphen/>
        <w:t>сколько</w:t>
      </w:r>
      <w:r w:rsidRPr="00A3026E">
        <w:rPr>
          <w:rFonts w:ascii="Times New Roman" w:hAnsi="Times New Roman" w:cs="Times New Roman"/>
          <w:i w:val="0"/>
          <w:color w:val="000000" w:themeColor="text1"/>
          <w:sz w:val="16"/>
          <w:szCs w:val="16"/>
        </w:rPr>
        <w:t xml:space="preserve"> улучшает обзор лётчика сравнительно с мотором М-81. ...</w:t>
      </w:r>
    </w:p>
    <w:p w14:paraId="3FAD47E7" w14:textId="77777777" w:rsidR="00D2328C" w:rsidRPr="00A3026E"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Мотор АМ-37 требует применения помимо нормальных радиаторов для воды и масла так</w:t>
      </w:r>
      <w:r w:rsidRPr="00A3026E">
        <w:rPr>
          <w:rFonts w:ascii="Times New Roman" w:hAnsi="Times New Roman" w:cs="Times New Roman"/>
          <w:i w:val="0"/>
          <w:color w:val="000000" w:themeColor="text1"/>
          <w:sz w:val="16"/>
          <w:szCs w:val="16"/>
        </w:rPr>
        <w:softHyphen/>
        <w:t>же радиатора для охлаждения воздуха, поступающего в карбюратор. Предусмотрена установ</w:t>
      </w:r>
      <w:r w:rsidRPr="00A3026E">
        <w:rPr>
          <w:rFonts w:ascii="Times New Roman" w:hAnsi="Times New Roman" w:cs="Times New Roman"/>
          <w:i w:val="0"/>
          <w:color w:val="000000" w:themeColor="text1"/>
          <w:sz w:val="16"/>
          <w:szCs w:val="16"/>
        </w:rPr>
        <w:softHyphen/>
        <w:t>ка водяного радиатора площадью 28 дм</w:t>
      </w:r>
      <w:r w:rsidRPr="00A3026E">
        <w:rPr>
          <w:rFonts w:ascii="Times New Roman" w:hAnsi="Times New Roman" w:cs="Times New Roman"/>
          <w:i w:val="0"/>
          <w:color w:val="000000" w:themeColor="text1"/>
          <w:sz w:val="16"/>
          <w:szCs w:val="16"/>
          <w:vertAlign w:val="superscript"/>
        </w:rPr>
        <w:t>2</w:t>
      </w:r>
      <w:r w:rsidRPr="00A3026E">
        <w:rPr>
          <w:rFonts w:ascii="Times New Roman" w:hAnsi="Times New Roman" w:cs="Times New Roman"/>
          <w:i w:val="0"/>
          <w:color w:val="000000" w:themeColor="text1"/>
          <w:sz w:val="16"/>
          <w:szCs w:val="16"/>
        </w:rPr>
        <w:t>,</w:t>
      </w:r>
      <w:r w:rsidRPr="00A3026E">
        <w:rPr>
          <w:rStyle w:val="237"/>
          <w:rFonts w:ascii="Times New Roman" w:eastAsia="Arial Unicode MS" w:hAnsi="Times New Roman" w:cs="Times New Roman"/>
          <w:i w:val="0"/>
          <w:iCs w:val="0"/>
          <w:color w:val="000000" w:themeColor="text1"/>
        </w:rPr>
        <w:t xml:space="preserve"> воздушного</w:t>
      </w:r>
      <w:r w:rsidRPr="00A3026E">
        <w:rPr>
          <w:rFonts w:ascii="Times New Roman" w:hAnsi="Times New Roman" w:cs="Times New Roman"/>
          <w:i w:val="0"/>
          <w:color w:val="000000" w:themeColor="text1"/>
          <w:sz w:val="16"/>
          <w:szCs w:val="16"/>
        </w:rPr>
        <w:t xml:space="preserve"> радиатора 12 дм</w:t>
      </w:r>
      <w:r w:rsidRPr="00A3026E">
        <w:rPr>
          <w:rFonts w:ascii="Times New Roman" w:hAnsi="Times New Roman" w:cs="Times New Roman"/>
          <w:i w:val="0"/>
          <w:color w:val="000000" w:themeColor="text1"/>
          <w:sz w:val="16"/>
          <w:szCs w:val="16"/>
          <w:vertAlign w:val="superscript"/>
        </w:rPr>
        <w:t>2</w:t>
      </w:r>
      <w:r w:rsidRPr="00A3026E">
        <w:rPr>
          <w:rFonts w:ascii="Times New Roman" w:hAnsi="Times New Roman" w:cs="Times New Roman"/>
          <w:i w:val="0"/>
          <w:color w:val="000000" w:themeColor="text1"/>
          <w:sz w:val="16"/>
          <w:szCs w:val="16"/>
        </w:rPr>
        <w:t xml:space="preserve"> и масляного</w:t>
      </w:r>
      <w:r w:rsidRPr="00A3026E">
        <w:rPr>
          <w:rStyle w:val="237"/>
          <w:rFonts w:ascii="Times New Roman" w:eastAsia="Arial Unicode MS" w:hAnsi="Times New Roman" w:cs="Times New Roman"/>
          <w:i w:val="0"/>
          <w:iCs w:val="0"/>
          <w:color w:val="000000" w:themeColor="text1"/>
        </w:rPr>
        <w:t xml:space="preserve"> - 9 дм</w:t>
      </w:r>
      <w:r w:rsidRPr="00A3026E">
        <w:rPr>
          <w:rStyle w:val="237"/>
          <w:rFonts w:ascii="Times New Roman" w:eastAsia="Arial Unicode MS" w:hAnsi="Times New Roman" w:cs="Times New Roman"/>
          <w:i w:val="0"/>
          <w:iCs w:val="0"/>
          <w:color w:val="000000" w:themeColor="text1"/>
          <w:vertAlign w:val="superscript"/>
        </w:rPr>
        <w:t>2</w:t>
      </w:r>
      <w:r w:rsidRPr="00A3026E">
        <w:rPr>
          <w:rStyle w:val="237"/>
          <w:rFonts w:ascii="Times New Roman" w:eastAsia="Arial Unicode MS" w:hAnsi="Times New Roman" w:cs="Times New Roman"/>
          <w:i w:val="0"/>
          <w:iCs w:val="0"/>
          <w:color w:val="000000" w:themeColor="text1"/>
        </w:rPr>
        <w:t>.</w:t>
      </w:r>
    </w:p>
    <w:p w14:paraId="75AC5111" w14:textId="77777777" w:rsidR="00D2328C" w:rsidRPr="00A3026E"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Из условий минимальных переделок самолёта ББ-1 и невозможности размещения радиато</w:t>
      </w:r>
      <w:r w:rsidRPr="00A3026E">
        <w:rPr>
          <w:rFonts w:ascii="Times New Roman" w:hAnsi="Times New Roman" w:cs="Times New Roman"/>
          <w:i w:val="0"/>
          <w:color w:val="000000" w:themeColor="text1"/>
          <w:sz w:val="16"/>
          <w:szCs w:val="16"/>
        </w:rPr>
        <w:softHyphen/>
        <w:t>ров в крыле, все радиаторы установлены под мотором в общем туннеле. Туннель имеет общий вход и выходы, отдельно регулируемые для каждого радиатора.</w:t>
      </w:r>
    </w:p>
    <w:p w14:paraId="6EAEE572" w14:textId="77777777" w:rsidR="00D2328C" w:rsidRPr="00A3026E"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Такая установка мотора и радиаторов позволяет с минимальными переделками конструкции и приспособлений серийного завода выпускать самолёт с любым из моторов АМ-37, М-8 1 и М-90 в зависимости от требований заказчика и возможностей промышленности. Единственны</w:t>
      </w:r>
      <w:r w:rsidRPr="00A3026E">
        <w:rPr>
          <w:rFonts w:ascii="Times New Roman" w:hAnsi="Times New Roman" w:cs="Times New Roman"/>
          <w:i w:val="0"/>
          <w:color w:val="000000" w:themeColor="text1"/>
          <w:sz w:val="16"/>
          <w:szCs w:val="16"/>
        </w:rPr>
        <w:softHyphen/>
        <w:t>ми изменениями планера самолёта при переходе с АМ-37 на воздушные моторы будет уста</w:t>
      </w:r>
      <w:r w:rsidRPr="00A3026E">
        <w:rPr>
          <w:rFonts w:ascii="Times New Roman" w:hAnsi="Times New Roman" w:cs="Times New Roman"/>
          <w:i w:val="0"/>
          <w:color w:val="000000" w:themeColor="text1"/>
          <w:sz w:val="16"/>
          <w:szCs w:val="16"/>
        </w:rPr>
        <w:softHyphen/>
        <w:t>новка обтекателя в передней нижней части фюзеляжа и смещение киля в противоположную сторону, так как вращение винта мотора АМ-37 и М-8 1 и М-90 противоположны.</w:t>
      </w:r>
    </w:p>
    <w:p w14:paraId="46A53263" w14:textId="77777777" w:rsidR="00D2328C" w:rsidRPr="00A3026E"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Емкость бензобаков 850 литров, что обеспечивает дальность полёта в перегрузочном ва</w:t>
      </w:r>
      <w:r w:rsidRPr="00A3026E">
        <w:rPr>
          <w:rFonts w:ascii="Times New Roman" w:hAnsi="Times New Roman" w:cs="Times New Roman"/>
          <w:i w:val="0"/>
          <w:color w:val="000000" w:themeColor="text1"/>
          <w:sz w:val="16"/>
          <w:szCs w:val="16"/>
        </w:rPr>
        <w:softHyphen/>
        <w:t>рианте 1200 км.</w:t>
      </w:r>
    </w:p>
    <w:p w14:paraId="4A8AD010" w14:textId="77777777" w:rsidR="00D2328C" w:rsidRPr="00A3026E"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Нормальная заливка бензина - 525</w:t>
      </w:r>
      <w:r w:rsidRPr="00A3026E">
        <w:rPr>
          <w:rStyle w:val="237"/>
          <w:rFonts w:ascii="Times New Roman" w:eastAsia="Arial Unicode MS" w:hAnsi="Times New Roman" w:cs="Times New Roman"/>
          <w:i w:val="0"/>
          <w:iCs w:val="0"/>
          <w:color w:val="000000" w:themeColor="text1"/>
        </w:rPr>
        <w:t xml:space="preserve"> кг'</w:t>
      </w:r>
      <w:r w:rsidRPr="00A3026E">
        <w:rPr>
          <w:rStyle w:val="237"/>
          <w:rFonts w:ascii="Times New Roman" w:eastAsia="Arial Unicode MS" w:hAnsi="Times New Roman" w:cs="Times New Roman"/>
          <w:i w:val="0"/>
          <w:iCs w:val="0"/>
          <w:color w:val="000000" w:themeColor="text1"/>
          <w:vertAlign w:val="superscript"/>
        </w:rPr>
        <w:t>2</w:t>
      </w:r>
      <w:r w:rsidRPr="00A3026E">
        <w:rPr>
          <w:rStyle w:val="237"/>
          <w:rFonts w:ascii="Times New Roman" w:eastAsia="Arial Unicode MS" w:hAnsi="Times New Roman" w:cs="Times New Roman"/>
          <w:i w:val="0"/>
          <w:iCs w:val="0"/>
          <w:color w:val="000000" w:themeColor="text1"/>
        </w:rPr>
        <w:t>,</w:t>
      </w:r>
      <w:r w:rsidRPr="00A3026E">
        <w:rPr>
          <w:rFonts w:ascii="Times New Roman" w:hAnsi="Times New Roman" w:cs="Times New Roman"/>
          <w:i w:val="0"/>
          <w:color w:val="000000" w:themeColor="text1"/>
          <w:sz w:val="16"/>
          <w:szCs w:val="16"/>
        </w:rPr>
        <w:t xml:space="preserve"> обеспечивает дальность 1000 км.</w:t>
      </w:r>
    </w:p>
    <w:p w14:paraId="4A5CD652" w14:textId="77777777" w:rsidR="00D2328C" w:rsidRPr="00A3026E"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Фюзеляж серийного самолёта ББ-1 изменяется в нижней передней части, куда заходит тун</w:t>
      </w:r>
      <w:r w:rsidRPr="00A3026E">
        <w:rPr>
          <w:rFonts w:ascii="Times New Roman" w:hAnsi="Times New Roman" w:cs="Times New Roman"/>
          <w:i w:val="0"/>
          <w:color w:val="000000" w:themeColor="text1"/>
          <w:sz w:val="16"/>
          <w:szCs w:val="16"/>
        </w:rPr>
        <w:softHyphen/>
        <w:t>нель радиаторов.</w:t>
      </w:r>
    </w:p>
    <w:p w14:paraId="6696DFD4" w14:textId="77777777" w:rsidR="00D2328C" w:rsidRPr="00A3026E"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На крыло самолёта устанавливаются автоматические предкрылки для улучшения попереч</w:t>
      </w:r>
      <w:r w:rsidRPr="00A3026E">
        <w:rPr>
          <w:rFonts w:ascii="Times New Roman" w:hAnsi="Times New Roman" w:cs="Times New Roman"/>
          <w:i w:val="0"/>
          <w:color w:val="000000" w:themeColor="text1"/>
          <w:sz w:val="16"/>
          <w:szCs w:val="16"/>
        </w:rPr>
        <w:softHyphen/>
        <w:t>ной управляемости.</w:t>
      </w:r>
    </w:p>
    <w:p w14:paraId="4515B244" w14:textId="77777777" w:rsidR="00D2328C" w:rsidRPr="00A3026E"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Оборудование сохраняется по самолёту ББ-1; добавляются РПК-2 и бронированная спин</w:t>
      </w:r>
      <w:r w:rsidRPr="00A3026E">
        <w:rPr>
          <w:rFonts w:ascii="Times New Roman" w:hAnsi="Times New Roman" w:cs="Times New Roman"/>
          <w:i w:val="0"/>
          <w:color w:val="000000" w:themeColor="text1"/>
          <w:sz w:val="16"/>
          <w:szCs w:val="16"/>
        </w:rPr>
        <w:softHyphen/>
        <w:t>ка стрелка для защиты от стрельбы сзади.</w:t>
      </w:r>
    </w:p>
    <w:p w14:paraId="6C64A3E8" w14:textId="77777777" w:rsidR="00D2328C" w:rsidRPr="00A3026E"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Вооружение сохраняется по самолёту ББ-1 с добавлением люковой установки.</w:t>
      </w:r>
    </w:p>
    <w:p w14:paraId="6BF0E6E0" w14:textId="77777777" w:rsidR="00D2328C" w:rsidRPr="00A3026E"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Основные данные самолёта:</w:t>
      </w:r>
    </w:p>
    <w:p w14:paraId="13D61949" w14:textId="77777777" w:rsidR="00D2328C" w:rsidRPr="00A3026E" w:rsidRDefault="00D2328C" w:rsidP="00A3026E">
      <w:pPr>
        <w:pStyle w:val="212"/>
        <w:shd w:val="clear" w:color="auto" w:fill="auto"/>
        <w:tabs>
          <w:tab w:val="left" w:pos="6252"/>
        </w:tabs>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Взлётная мощность АМ-37 и мощность на высоте 6000 м</w:t>
      </w:r>
      <w:r w:rsidRPr="00A3026E">
        <w:rPr>
          <w:rFonts w:ascii="Times New Roman" w:hAnsi="Times New Roman" w:cs="Times New Roman"/>
          <w:i w:val="0"/>
          <w:color w:val="000000" w:themeColor="text1"/>
          <w:sz w:val="16"/>
          <w:szCs w:val="16"/>
        </w:rPr>
        <w:tab/>
        <w:t>- 1400 л.с.</w:t>
      </w:r>
    </w:p>
    <w:p w14:paraId="1794CD61" w14:textId="77777777" w:rsidR="00D2328C" w:rsidRPr="00A3026E" w:rsidRDefault="00D2328C" w:rsidP="00A3026E">
      <w:pPr>
        <w:pStyle w:val="212"/>
        <w:shd w:val="clear" w:color="auto" w:fill="auto"/>
        <w:tabs>
          <w:tab w:val="left" w:pos="6252"/>
        </w:tabs>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Полётный вес самолёта</w:t>
      </w:r>
      <w:r w:rsidRPr="00A3026E">
        <w:rPr>
          <w:rFonts w:ascii="Times New Roman" w:hAnsi="Times New Roman" w:cs="Times New Roman"/>
          <w:i w:val="0"/>
          <w:color w:val="000000" w:themeColor="text1"/>
          <w:sz w:val="16"/>
          <w:szCs w:val="16"/>
        </w:rPr>
        <w:tab/>
        <w:t>- 4620 кг</w:t>
      </w:r>
    </w:p>
    <w:p w14:paraId="4297BD22" w14:textId="77777777" w:rsidR="00D2328C" w:rsidRPr="00A3026E" w:rsidRDefault="00D2328C" w:rsidP="00A3026E">
      <w:pPr>
        <w:pStyle w:val="212"/>
        <w:shd w:val="clear" w:color="auto" w:fill="auto"/>
        <w:tabs>
          <w:tab w:val="left" w:pos="6262"/>
        </w:tabs>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Время подъёма на 6000 м</w:t>
      </w:r>
      <w:r w:rsidRPr="00A3026E">
        <w:rPr>
          <w:rFonts w:ascii="Times New Roman" w:hAnsi="Times New Roman" w:cs="Times New Roman"/>
          <w:i w:val="0"/>
          <w:color w:val="000000" w:themeColor="text1"/>
          <w:sz w:val="16"/>
          <w:szCs w:val="16"/>
        </w:rPr>
        <w:tab/>
        <w:t>- 10,5 мин</w:t>
      </w:r>
    </w:p>
    <w:p w14:paraId="523F9259" w14:textId="77777777" w:rsidR="00D2328C" w:rsidRPr="00A3026E" w:rsidRDefault="00D2328C" w:rsidP="00A3026E">
      <w:pPr>
        <w:pStyle w:val="212"/>
        <w:shd w:val="clear" w:color="auto" w:fill="auto"/>
        <w:tabs>
          <w:tab w:val="left" w:pos="6257"/>
        </w:tabs>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Практический потолок</w:t>
      </w:r>
      <w:r w:rsidRPr="00A3026E">
        <w:rPr>
          <w:rFonts w:ascii="Times New Roman" w:hAnsi="Times New Roman" w:cs="Times New Roman"/>
          <w:i w:val="0"/>
          <w:color w:val="000000" w:themeColor="text1"/>
          <w:sz w:val="16"/>
          <w:szCs w:val="16"/>
        </w:rPr>
        <w:tab/>
        <w:t>- 9500 м</w:t>
      </w:r>
    </w:p>
    <w:p w14:paraId="6BDE47BB" w14:textId="77777777" w:rsidR="00D2328C" w:rsidRPr="00A3026E" w:rsidRDefault="00D2328C" w:rsidP="00A3026E">
      <w:pPr>
        <w:pStyle w:val="212"/>
        <w:shd w:val="clear" w:color="auto" w:fill="auto"/>
        <w:tabs>
          <w:tab w:val="left" w:pos="6257"/>
        </w:tabs>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Максимальная скорость у земли</w:t>
      </w:r>
      <w:r w:rsidRPr="00A3026E">
        <w:rPr>
          <w:rFonts w:ascii="Times New Roman" w:hAnsi="Times New Roman" w:cs="Times New Roman"/>
          <w:i w:val="0"/>
          <w:color w:val="000000" w:themeColor="text1"/>
          <w:sz w:val="16"/>
          <w:szCs w:val="16"/>
        </w:rPr>
        <w:tab/>
        <w:t>- 450 км/ч</w:t>
      </w:r>
    </w:p>
    <w:p w14:paraId="4972C43F" w14:textId="77777777" w:rsidR="00D2328C" w:rsidRPr="00A3026E" w:rsidRDefault="00D2328C" w:rsidP="00A3026E">
      <w:pPr>
        <w:pStyle w:val="212"/>
        <w:shd w:val="clear" w:color="auto" w:fill="auto"/>
        <w:tabs>
          <w:tab w:val="left" w:pos="6257"/>
        </w:tabs>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Максимальная скорость на</w:t>
      </w:r>
      <w:r w:rsidRPr="00A3026E">
        <w:rPr>
          <w:rStyle w:val="236"/>
          <w:rFonts w:ascii="Times New Roman" w:eastAsia="Arial Unicode MS" w:hAnsi="Times New Roman" w:cs="Times New Roman"/>
          <w:i w:val="0"/>
          <w:iCs w:val="0"/>
          <w:color w:val="000000" w:themeColor="text1"/>
        </w:rPr>
        <w:t xml:space="preserve"> высоте</w:t>
      </w:r>
      <w:r w:rsidRPr="00A3026E">
        <w:rPr>
          <w:rFonts w:ascii="Times New Roman" w:hAnsi="Times New Roman" w:cs="Times New Roman"/>
          <w:i w:val="0"/>
          <w:color w:val="000000" w:themeColor="text1"/>
          <w:sz w:val="16"/>
          <w:szCs w:val="16"/>
        </w:rPr>
        <w:t xml:space="preserve"> 6000 м</w:t>
      </w:r>
      <w:r w:rsidRPr="00A3026E">
        <w:rPr>
          <w:rFonts w:ascii="Times New Roman" w:hAnsi="Times New Roman" w:cs="Times New Roman"/>
          <w:i w:val="0"/>
          <w:color w:val="000000" w:themeColor="text1"/>
          <w:sz w:val="16"/>
          <w:szCs w:val="16"/>
        </w:rPr>
        <w:tab/>
        <w:t>- 550 км/ч</w:t>
      </w:r>
    </w:p>
    <w:p w14:paraId="52DF93B4" w14:textId="77777777" w:rsidR="00D2328C" w:rsidRPr="00A3026E" w:rsidRDefault="00D2328C" w:rsidP="00A3026E">
      <w:pPr>
        <w:pStyle w:val="212"/>
        <w:shd w:val="clear" w:color="auto" w:fill="auto"/>
        <w:tabs>
          <w:tab w:val="left" w:pos="6257"/>
        </w:tabs>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Посадочная скорость</w:t>
      </w:r>
      <w:r w:rsidRPr="00A3026E">
        <w:rPr>
          <w:rFonts w:ascii="Times New Roman" w:hAnsi="Times New Roman" w:cs="Times New Roman"/>
          <w:i w:val="0"/>
          <w:color w:val="000000" w:themeColor="text1"/>
          <w:sz w:val="16"/>
          <w:szCs w:val="16"/>
        </w:rPr>
        <w:tab/>
        <w:t>- 116 км/ч</w:t>
      </w:r>
    </w:p>
    <w:p w14:paraId="66325307" w14:textId="77777777" w:rsidR="00D2328C" w:rsidRPr="00A3026E" w:rsidRDefault="00D2328C" w:rsidP="00A3026E">
      <w:pPr>
        <w:pStyle w:val="212"/>
        <w:shd w:val="clear" w:color="auto" w:fill="auto"/>
        <w:tabs>
          <w:tab w:val="left" w:pos="6271"/>
        </w:tabs>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lastRenderedPageBreak/>
        <w:t>Длина разбега</w:t>
      </w:r>
      <w:r w:rsidRPr="00A3026E">
        <w:rPr>
          <w:rFonts w:ascii="Times New Roman" w:hAnsi="Times New Roman" w:cs="Times New Roman"/>
          <w:i w:val="0"/>
          <w:color w:val="000000" w:themeColor="text1"/>
          <w:sz w:val="16"/>
          <w:szCs w:val="16"/>
        </w:rPr>
        <w:tab/>
        <w:t>- 350 м...» (15975).</w:t>
      </w:r>
    </w:p>
    <w:p w14:paraId="33A8304D" w14:textId="77777777" w:rsidR="00D2328C" w:rsidRPr="00A3026E" w:rsidRDefault="00D2328C" w:rsidP="00A3026E">
      <w:pPr>
        <w:pStyle w:val="a3"/>
        <w:rPr>
          <w:color w:val="000000" w:themeColor="text1"/>
          <w:lang w:val="ru-RU"/>
        </w:rPr>
      </w:pPr>
    </w:p>
    <w:p w14:paraId="31BA6780" w14:textId="77777777" w:rsidR="00BC35CB" w:rsidRPr="00A3026E" w:rsidRDefault="00BC35C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начале октября 1940 года И-301 № 1 снова отремонтировали, но пальма первенства в испытаниях отошла ко второй машине, на которой и был выполнен решающий полет в истории фирмы Лавочкина. А первый прототип во время второго этапа госиспытаний на штопор и пикирование в НИИ ВВС 4 января 1941 года при вынужденной посадке был разбит и не восстанавливался (23183).</w:t>
      </w:r>
    </w:p>
    <w:p w14:paraId="572166D3" w14:textId="77777777" w:rsidR="00BC35CB" w:rsidRPr="00A3026E" w:rsidRDefault="00BC35CB" w:rsidP="00A3026E">
      <w:pPr>
        <w:spacing w:after="0" w:line="240" w:lineRule="auto"/>
        <w:jc w:val="both"/>
        <w:rPr>
          <w:rFonts w:ascii="Times New Roman" w:hAnsi="Times New Roman"/>
          <w:color w:val="0070C0"/>
          <w:sz w:val="16"/>
          <w:szCs w:val="16"/>
        </w:rPr>
      </w:pPr>
    </w:p>
    <w:p w14:paraId="5651BE02"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октября 1940 вторая опытная машина ИП-21 была полностью закончена, ее рулежки по аэродрому начались 6 октября, а 8 октября 1940 г. состоялся первый полет Фокина, продолжавшийся 17 минут. В полете произошел отказ левого магнето, поэтому его решили заменить, для чего летали за ним на У-2 в Рыбинск на завод № 26. 12 октября состоялся второй полет, который выявил некондиционность установленного на самолете двигателя — при его осмотре механики обнаружили металлическую стружку в маслофильтре. Двигатель пришлось заменить. 17 октября, после замены двигателя, состоялся ознакомительный полет заводского летчика Большакова. 20-го и 24-го выполнялись полеты на высоту 5000 м, 1 ноября — полеты на определение скорости, 2 ноября — на пилотаж. По заключению заводских пилотов Фокина и Большакова, второй экземпляр в воздухе вел себя устойчиво (15561).</w:t>
      </w:r>
    </w:p>
    <w:p w14:paraId="18F329DF" w14:textId="77777777" w:rsidR="00226974" w:rsidRPr="00A3026E" w:rsidRDefault="00226974" w:rsidP="00A3026E">
      <w:pPr>
        <w:spacing w:after="0" w:line="240" w:lineRule="auto"/>
        <w:jc w:val="both"/>
        <w:rPr>
          <w:rFonts w:ascii="Times New Roman" w:hAnsi="Times New Roman"/>
          <w:color w:val="000000" w:themeColor="text1"/>
          <w:sz w:val="16"/>
          <w:szCs w:val="16"/>
        </w:rPr>
      </w:pPr>
    </w:p>
    <w:p w14:paraId="439A0D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начало октября 1940</w:t>
      </w:r>
    </w:p>
    <w:p w14:paraId="07F1B3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Список летчиков и инженеров-летчиков 8-й лаборатории ЦАГИ по состоянию на начало октября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97"/>
        <w:gridCol w:w="1757"/>
        <w:gridCol w:w="1174"/>
        <w:gridCol w:w="1253"/>
        <w:gridCol w:w="1346"/>
      </w:tblGrid>
      <w:tr w:rsidR="00983732" w:rsidRPr="00A3026E" w14:paraId="6CEFB2C3" w14:textId="77777777" w:rsidTr="00EA0DA7">
        <w:trPr>
          <w:trHeight w:val="569"/>
        </w:trPr>
        <w:tc>
          <w:tcPr>
            <w:tcW w:w="1397" w:type="dxa"/>
            <w:tcBorders>
              <w:top w:val="single" w:sz="12" w:space="0" w:color="auto"/>
            </w:tcBorders>
          </w:tcPr>
          <w:p w14:paraId="5E861B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должность</w:t>
            </w:r>
          </w:p>
        </w:tc>
        <w:tc>
          <w:tcPr>
            <w:tcW w:w="1757" w:type="dxa"/>
            <w:tcBorders>
              <w:top w:val="single" w:sz="12" w:space="0" w:color="auto"/>
            </w:tcBorders>
          </w:tcPr>
          <w:p w14:paraId="59CBBE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фамилия и инициалы</w:t>
            </w:r>
          </w:p>
        </w:tc>
        <w:tc>
          <w:tcPr>
            <w:tcW w:w="1174" w:type="dxa"/>
            <w:tcBorders>
              <w:top w:val="single" w:sz="12" w:space="0" w:color="auto"/>
            </w:tcBorders>
          </w:tcPr>
          <w:p w14:paraId="78634A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стаж летн. раб. (общ.)</w:t>
            </w:r>
          </w:p>
        </w:tc>
        <w:tc>
          <w:tcPr>
            <w:tcW w:w="1253" w:type="dxa"/>
            <w:tcBorders>
              <w:top w:val="single" w:sz="12" w:space="0" w:color="auto"/>
            </w:tcBorders>
          </w:tcPr>
          <w:p w14:paraId="14322C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стаж раб. В 8-й лаб.</w:t>
            </w:r>
          </w:p>
        </w:tc>
        <w:tc>
          <w:tcPr>
            <w:tcW w:w="1346" w:type="dxa"/>
            <w:tcBorders>
              <w:top w:val="single" w:sz="12" w:space="0" w:color="auto"/>
            </w:tcBorders>
          </w:tcPr>
          <w:p w14:paraId="63EF43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 произв. стаж</w:t>
            </w:r>
          </w:p>
        </w:tc>
      </w:tr>
      <w:tr w:rsidR="00983732" w:rsidRPr="00A3026E" w14:paraId="40F46F08" w14:textId="77777777" w:rsidTr="00EA0DA7">
        <w:trPr>
          <w:trHeight w:val="302"/>
        </w:trPr>
        <w:tc>
          <w:tcPr>
            <w:tcW w:w="1397" w:type="dxa"/>
          </w:tcPr>
          <w:p w14:paraId="42A9D8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w:t>
            </w:r>
          </w:p>
        </w:tc>
        <w:tc>
          <w:tcPr>
            <w:tcW w:w="1757" w:type="dxa"/>
          </w:tcPr>
          <w:p w14:paraId="08DA01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Белозеров И.П.</w:t>
            </w:r>
          </w:p>
        </w:tc>
        <w:tc>
          <w:tcPr>
            <w:tcW w:w="1174" w:type="dxa"/>
          </w:tcPr>
          <w:p w14:paraId="2E733F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1924</w:t>
            </w:r>
          </w:p>
        </w:tc>
        <w:tc>
          <w:tcPr>
            <w:tcW w:w="1253" w:type="dxa"/>
          </w:tcPr>
          <w:p w14:paraId="16498F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c>
          <w:tcPr>
            <w:tcW w:w="1346" w:type="dxa"/>
          </w:tcPr>
          <w:p w14:paraId="1F1342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1922</w:t>
            </w:r>
          </w:p>
        </w:tc>
      </w:tr>
      <w:tr w:rsidR="00983732" w:rsidRPr="00A3026E" w14:paraId="4D35B076" w14:textId="77777777" w:rsidTr="00EA0DA7">
        <w:trPr>
          <w:trHeight w:val="281"/>
        </w:trPr>
        <w:tc>
          <w:tcPr>
            <w:tcW w:w="1397" w:type="dxa"/>
          </w:tcPr>
          <w:p w14:paraId="7C5450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w:t>
            </w:r>
          </w:p>
        </w:tc>
        <w:tc>
          <w:tcPr>
            <w:tcW w:w="1757" w:type="dxa"/>
          </w:tcPr>
          <w:p w14:paraId="49B3AD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Гаврилов Н.В.</w:t>
            </w:r>
          </w:p>
        </w:tc>
        <w:tc>
          <w:tcPr>
            <w:tcW w:w="1174" w:type="dxa"/>
          </w:tcPr>
          <w:p w14:paraId="0D1540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1935</w:t>
            </w:r>
          </w:p>
        </w:tc>
        <w:tc>
          <w:tcPr>
            <w:tcW w:w="1253" w:type="dxa"/>
          </w:tcPr>
          <w:p w14:paraId="03567A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c>
          <w:tcPr>
            <w:tcW w:w="1346" w:type="dxa"/>
          </w:tcPr>
          <w:p w14:paraId="279D00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1925</w:t>
            </w:r>
          </w:p>
        </w:tc>
      </w:tr>
      <w:tr w:rsidR="00983732" w:rsidRPr="00A3026E" w14:paraId="4EFA9FAC" w14:textId="77777777" w:rsidTr="00EA0DA7">
        <w:trPr>
          <w:trHeight w:val="274"/>
        </w:trPr>
        <w:tc>
          <w:tcPr>
            <w:tcW w:w="1397" w:type="dxa"/>
          </w:tcPr>
          <w:p w14:paraId="1FBF8A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w:t>
            </w:r>
          </w:p>
        </w:tc>
        <w:tc>
          <w:tcPr>
            <w:tcW w:w="1757" w:type="dxa"/>
          </w:tcPr>
          <w:p w14:paraId="123E2A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Галата ЕЯ.</w:t>
            </w:r>
          </w:p>
        </w:tc>
        <w:tc>
          <w:tcPr>
            <w:tcW w:w="1174" w:type="dxa"/>
          </w:tcPr>
          <w:p w14:paraId="75E30D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1935</w:t>
            </w:r>
          </w:p>
        </w:tc>
        <w:tc>
          <w:tcPr>
            <w:tcW w:w="1253" w:type="dxa"/>
          </w:tcPr>
          <w:p w14:paraId="228AD0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c>
          <w:tcPr>
            <w:tcW w:w="1346" w:type="dxa"/>
          </w:tcPr>
          <w:p w14:paraId="426244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1923</w:t>
            </w:r>
          </w:p>
        </w:tc>
      </w:tr>
      <w:tr w:rsidR="00983732" w:rsidRPr="00A3026E" w14:paraId="3FFE1D23" w14:textId="77777777" w:rsidTr="00EA0DA7">
        <w:trPr>
          <w:trHeight w:val="288"/>
        </w:trPr>
        <w:tc>
          <w:tcPr>
            <w:tcW w:w="1397" w:type="dxa"/>
          </w:tcPr>
          <w:p w14:paraId="7FCC5B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w:t>
            </w:r>
          </w:p>
        </w:tc>
        <w:tc>
          <w:tcPr>
            <w:tcW w:w="1757" w:type="dxa"/>
          </w:tcPr>
          <w:p w14:paraId="5DCF07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Емельянов А.И.</w:t>
            </w:r>
          </w:p>
        </w:tc>
        <w:tc>
          <w:tcPr>
            <w:tcW w:w="1174" w:type="dxa"/>
          </w:tcPr>
          <w:p w14:paraId="6A4E50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1927</w:t>
            </w:r>
          </w:p>
        </w:tc>
        <w:tc>
          <w:tcPr>
            <w:tcW w:w="1253" w:type="dxa"/>
          </w:tcPr>
          <w:p w14:paraId="59628D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c>
          <w:tcPr>
            <w:tcW w:w="1346" w:type="dxa"/>
          </w:tcPr>
          <w:p w14:paraId="34EB3F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1925</w:t>
            </w:r>
          </w:p>
        </w:tc>
      </w:tr>
      <w:tr w:rsidR="00983732" w:rsidRPr="00A3026E" w14:paraId="17B0B673" w14:textId="77777777" w:rsidTr="00EA0DA7">
        <w:trPr>
          <w:trHeight w:val="295"/>
        </w:trPr>
        <w:tc>
          <w:tcPr>
            <w:tcW w:w="1397" w:type="dxa"/>
          </w:tcPr>
          <w:p w14:paraId="12B09A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w:t>
            </w:r>
          </w:p>
        </w:tc>
        <w:tc>
          <w:tcPr>
            <w:tcW w:w="1757" w:type="dxa"/>
          </w:tcPr>
          <w:p w14:paraId="1C1EA2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Муштаев П.Ф.</w:t>
            </w:r>
          </w:p>
        </w:tc>
        <w:tc>
          <w:tcPr>
            <w:tcW w:w="1174" w:type="dxa"/>
          </w:tcPr>
          <w:p w14:paraId="5E5385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1925</w:t>
            </w:r>
          </w:p>
        </w:tc>
        <w:tc>
          <w:tcPr>
            <w:tcW w:w="1253" w:type="dxa"/>
          </w:tcPr>
          <w:p w14:paraId="45433F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w:t>
            </w:r>
          </w:p>
        </w:tc>
        <w:tc>
          <w:tcPr>
            <w:tcW w:w="1346" w:type="dxa"/>
          </w:tcPr>
          <w:p w14:paraId="3FF792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1919</w:t>
            </w:r>
          </w:p>
        </w:tc>
      </w:tr>
      <w:tr w:rsidR="00983732" w:rsidRPr="00A3026E" w14:paraId="5A92183B" w14:textId="77777777" w:rsidTr="00EA0DA7">
        <w:trPr>
          <w:trHeight w:val="274"/>
        </w:trPr>
        <w:tc>
          <w:tcPr>
            <w:tcW w:w="1397" w:type="dxa"/>
          </w:tcPr>
          <w:p w14:paraId="715420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w:t>
            </w:r>
          </w:p>
        </w:tc>
        <w:tc>
          <w:tcPr>
            <w:tcW w:w="1757" w:type="dxa"/>
          </w:tcPr>
          <w:p w14:paraId="436767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Пальчиков АС</w:t>
            </w:r>
          </w:p>
        </w:tc>
        <w:tc>
          <w:tcPr>
            <w:tcW w:w="1174" w:type="dxa"/>
          </w:tcPr>
          <w:p w14:paraId="70F802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3" w:type="dxa"/>
          </w:tcPr>
          <w:p w14:paraId="7576D9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c>
          <w:tcPr>
            <w:tcW w:w="1346" w:type="dxa"/>
          </w:tcPr>
          <w:p w14:paraId="6B7DF7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76B0C3C" w14:textId="77777777" w:rsidTr="00EA0DA7">
        <w:trPr>
          <w:trHeight w:val="281"/>
        </w:trPr>
        <w:tc>
          <w:tcPr>
            <w:tcW w:w="1397" w:type="dxa"/>
          </w:tcPr>
          <w:p w14:paraId="31B87E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w:t>
            </w:r>
          </w:p>
        </w:tc>
        <w:tc>
          <w:tcPr>
            <w:tcW w:w="1757" w:type="dxa"/>
          </w:tcPr>
          <w:p w14:paraId="0DDBCF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Попельнушенко П.М.</w:t>
            </w:r>
          </w:p>
        </w:tc>
        <w:tc>
          <w:tcPr>
            <w:tcW w:w="1174" w:type="dxa"/>
          </w:tcPr>
          <w:p w14:paraId="44AF5B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1929</w:t>
            </w:r>
          </w:p>
        </w:tc>
        <w:tc>
          <w:tcPr>
            <w:tcW w:w="1253" w:type="dxa"/>
          </w:tcPr>
          <w:p w14:paraId="1660F3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c>
          <w:tcPr>
            <w:tcW w:w="1346" w:type="dxa"/>
          </w:tcPr>
          <w:p w14:paraId="206C57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1929</w:t>
            </w:r>
          </w:p>
        </w:tc>
      </w:tr>
      <w:tr w:rsidR="00983732" w:rsidRPr="00A3026E" w14:paraId="7B77E9F0" w14:textId="77777777" w:rsidTr="00EA0DA7">
        <w:trPr>
          <w:trHeight w:val="295"/>
        </w:trPr>
        <w:tc>
          <w:tcPr>
            <w:tcW w:w="1397" w:type="dxa"/>
          </w:tcPr>
          <w:p w14:paraId="60C15B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w:t>
            </w:r>
          </w:p>
        </w:tc>
        <w:tc>
          <w:tcPr>
            <w:tcW w:w="1757" w:type="dxa"/>
          </w:tcPr>
          <w:p w14:paraId="74F140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Самусев МА</w:t>
            </w:r>
          </w:p>
        </w:tc>
        <w:tc>
          <w:tcPr>
            <w:tcW w:w="1174" w:type="dxa"/>
          </w:tcPr>
          <w:p w14:paraId="663FD7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1936</w:t>
            </w:r>
          </w:p>
        </w:tc>
        <w:tc>
          <w:tcPr>
            <w:tcW w:w="1253" w:type="dxa"/>
          </w:tcPr>
          <w:p w14:paraId="3A4A8C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1346" w:type="dxa"/>
          </w:tcPr>
          <w:p w14:paraId="5906F8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1930</w:t>
            </w:r>
          </w:p>
        </w:tc>
      </w:tr>
      <w:tr w:rsidR="00983732" w:rsidRPr="00A3026E" w14:paraId="6931D079" w14:textId="77777777" w:rsidTr="00EA0DA7">
        <w:trPr>
          <w:trHeight w:val="274"/>
        </w:trPr>
        <w:tc>
          <w:tcPr>
            <w:tcW w:w="1397" w:type="dxa"/>
          </w:tcPr>
          <w:p w14:paraId="425699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w:t>
            </w:r>
          </w:p>
        </w:tc>
        <w:tc>
          <w:tcPr>
            <w:tcW w:w="1757" w:type="dxa"/>
          </w:tcPr>
          <w:p w14:paraId="0F3EDF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Селезнев ИД</w:t>
            </w:r>
          </w:p>
        </w:tc>
        <w:tc>
          <w:tcPr>
            <w:tcW w:w="1174" w:type="dxa"/>
          </w:tcPr>
          <w:p w14:paraId="7A1362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1932</w:t>
            </w:r>
          </w:p>
        </w:tc>
        <w:tc>
          <w:tcPr>
            <w:tcW w:w="1253" w:type="dxa"/>
          </w:tcPr>
          <w:p w14:paraId="54A6F0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c>
          <w:tcPr>
            <w:tcW w:w="1346" w:type="dxa"/>
          </w:tcPr>
          <w:p w14:paraId="23720B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1924</w:t>
            </w:r>
          </w:p>
        </w:tc>
      </w:tr>
      <w:tr w:rsidR="00983732" w:rsidRPr="00A3026E" w14:paraId="6134DE15" w14:textId="77777777" w:rsidTr="00EA0DA7">
        <w:trPr>
          <w:trHeight w:val="295"/>
        </w:trPr>
        <w:tc>
          <w:tcPr>
            <w:tcW w:w="1397" w:type="dxa"/>
          </w:tcPr>
          <w:p w14:paraId="3717B1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w:t>
            </w:r>
          </w:p>
        </w:tc>
        <w:tc>
          <w:tcPr>
            <w:tcW w:w="1757" w:type="dxa"/>
          </w:tcPr>
          <w:p w14:paraId="22F822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Терехин В.Н.</w:t>
            </w:r>
          </w:p>
        </w:tc>
        <w:tc>
          <w:tcPr>
            <w:tcW w:w="1174" w:type="dxa"/>
          </w:tcPr>
          <w:p w14:paraId="2441BD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1930</w:t>
            </w:r>
          </w:p>
        </w:tc>
        <w:tc>
          <w:tcPr>
            <w:tcW w:w="1253" w:type="dxa"/>
          </w:tcPr>
          <w:p w14:paraId="090AFB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1346" w:type="dxa"/>
          </w:tcPr>
          <w:p w14:paraId="057128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1919</w:t>
            </w:r>
          </w:p>
        </w:tc>
      </w:tr>
      <w:tr w:rsidR="00983732" w:rsidRPr="00A3026E" w14:paraId="191D3E79" w14:textId="77777777" w:rsidTr="00EA0DA7">
        <w:trPr>
          <w:trHeight w:val="281"/>
        </w:trPr>
        <w:tc>
          <w:tcPr>
            <w:tcW w:w="1397" w:type="dxa"/>
          </w:tcPr>
          <w:p w14:paraId="4438BC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w:t>
            </w:r>
          </w:p>
        </w:tc>
        <w:tc>
          <w:tcPr>
            <w:tcW w:w="1757" w:type="dxa"/>
          </w:tcPr>
          <w:p w14:paraId="4FA056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Фельдшеров Д Г.</w:t>
            </w:r>
          </w:p>
        </w:tc>
        <w:tc>
          <w:tcPr>
            <w:tcW w:w="1174" w:type="dxa"/>
          </w:tcPr>
          <w:p w14:paraId="552AA2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1932</w:t>
            </w:r>
          </w:p>
        </w:tc>
        <w:tc>
          <w:tcPr>
            <w:tcW w:w="1253" w:type="dxa"/>
          </w:tcPr>
          <w:p w14:paraId="5FAE14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1346" w:type="dxa"/>
          </w:tcPr>
          <w:p w14:paraId="34681C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1919</w:t>
            </w:r>
          </w:p>
        </w:tc>
      </w:tr>
      <w:tr w:rsidR="00983732" w:rsidRPr="00A3026E" w14:paraId="63E2D8DA" w14:textId="77777777" w:rsidTr="00EA0DA7">
        <w:trPr>
          <w:trHeight w:val="288"/>
        </w:trPr>
        <w:tc>
          <w:tcPr>
            <w:tcW w:w="1397" w:type="dxa"/>
          </w:tcPr>
          <w:p w14:paraId="11F260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w:t>
            </w:r>
          </w:p>
        </w:tc>
        <w:tc>
          <w:tcPr>
            <w:tcW w:w="1757" w:type="dxa"/>
          </w:tcPr>
          <w:p w14:paraId="1A627A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ЧернавскийАП.</w:t>
            </w:r>
          </w:p>
        </w:tc>
        <w:tc>
          <w:tcPr>
            <w:tcW w:w="1174" w:type="dxa"/>
          </w:tcPr>
          <w:p w14:paraId="4F0AC3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1924</w:t>
            </w:r>
          </w:p>
        </w:tc>
        <w:tc>
          <w:tcPr>
            <w:tcW w:w="1253" w:type="dxa"/>
          </w:tcPr>
          <w:p w14:paraId="6AE8C9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1935</w:t>
            </w:r>
          </w:p>
        </w:tc>
        <w:tc>
          <w:tcPr>
            <w:tcW w:w="1346" w:type="dxa"/>
          </w:tcPr>
          <w:p w14:paraId="7F9074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1918</w:t>
            </w:r>
          </w:p>
        </w:tc>
      </w:tr>
      <w:tr w:rsidR="00983732" w:rsidRPr="00A3026E" w14:paraId="36A1AEC3" w14:textId="77777777" w:rsidTr="00EA0DA7">
        <w:trPr>
          <w:trHeight w:val="252"/>
        </w:trPr>
        <w:tc>
          <w:tcPr>
            <w:tcW w:w="1397" w:type="dxa"/>
          </w:tcPr>
          <w:p w14:paraId="10A60F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w:t>
            </w:r>
          </w:p>
        </w:tc>
        <w:tc>
          <w:tcPr>
            <w:tcW w:w="1757" w:type="dxa"/>
          </w:tcPr>
          <w:p w14:paraId="4DBD73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Шиянов ЕМ.</w:t>
            </w:r>
          </w:p>
        </w:tc>
        <w:tc>
          <w:tcPr>
            <w:tcW w:w="1174" w:type="dxa"/>
          </w:tcPr>
          <w:p w14:paraId="77FF1A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1934</w:t>
            </w:r>
          </w:p>
        </w:tc>
        <w:tc>
          <w:tcPr>
            <w:tcW w:w="1253" w:type="dxa"/>
          </w:tcPr>
          <w:p w14:paraId="10A427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1932</w:t>
            </w:r>
          </w:p>
        </w:tc>
        <w:tc>
          <w:tcPr>
            <w:tcW w:w="1346" w:type="dxa"/>
          </w:tcPr>
          <w:p w14:paraId="049A83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1929</w:t>
            </w:r>
          </w:p>
        </w:tc>
      </w:tr>
      <w:tr w:rsidR="00983732" w:rsidRPr="00A3026E" w14:paraId="49D24C58" w14:textId="77777777" w:rsidTr="00EA0DA7">
        <w:trPr>
          <w:trHeight w:val="317"/>
        </w:trPr>
        <w:tc>
          <w:tcPr>
            <w:tcW w:w="1397" w:type="dxa"/>
          </w:tcPr>
          <w:p w14:paraId="73BA35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инженер-летчик</w:t>
            </w:r>
          </w:p>
        </w:tc>
        <w:tc>
          <w:tcPr>
            <w:tcW w:w="1757" w:type="dxa"/>
          </w:tcPr>
          <w:p w14:paraId="4991EE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ГАЛЛАЙМЛ.</w:t>
            </w:r>
          </w:p>
        </w:tc>
        <w:tc>
          <w:tcPr>
            <w:tcW w:w="1174" w:type="dxa"/>
          </w:tcPr>
          <w:p w14:paraId="7E81B4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1937</w:t>
            </w:r>
          </w:p>
        </w:tc>
        <w:tc>
          <w:tcPr>
            <w:tcW w:w="1253" w:type="dxa"/>
          </w:tcPr>
          <w:p w14:paraId="50E881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1936</w:t>
            </w:r>
          </w:p>
        </w:tc>
        <w:tc>
          <w:tcPr>
            <w:tcW w:w="1346" w:type="dxa"/>
          </w:tcPr>
          <w:p w14:paraId="02CB3C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1930</w:t>
            </w:r>
          </w:p>
        </w:tc>
      </w:tr>
      <w:tr w:rsidR="00983732" w:rsidRPr="00A3026E" w14:paraId="437C4581" w14:textId="77777777" w:rsidTr="00EA0DA7">
        <w:trPr>
          <w:trHeight w:val="281"/>
        </w:trPr>
        <w:tc>
          <w:tcPr>
            <w:tcW w:w="1397" w:type="dxa"/>
          </w:tcPr>
          <w:p w14:paraId="23C7AC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инженер-летчик</w:t>
            </w:r>
          </w:p>
        </w:tc>
        <w:tc>
          <w:tcPr>
            <w:tcW w:w="1757" w:type="dxa"/>
          </w:tcPr>
          <w:p w14:paraId="3E3393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ГРИНЧИКАН.</w:t>
            </w:r>
          </w:p>
        </w:tc>
        <w:tc>
          <w:tcPr>
            <w:tcW w:w="1174" w:type="dxa"/>
          </w:tcPr>
          <w:p w14:paraId="5BA441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1937</w:t>
            </w:r>
          </w:p>
        </w:tc>
        <w:tc>
          <w:tcPr>
            <w:tcW w:w="1253" w:type="dxa"/>
          </w:tcPr>
          <w:p w14:paraId="477F5F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1937</w:t>
            </w:r>
          </w:p>
        </w:tc>
        <w:tc>
          <w:tcPr>
            <w:tcW w:w="1346" w:type="dxa"/>
          </w:tcPr>
          <w:p w14:paraId="7C78DB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1934</w:t>
            </w:r>
          </w:p>
        </w:tc>
      </w:tr>
      <w:tr w:rsidR="00983732" w:rsidRPr="00A3026E" w14:paraId="255AB782" w14:textId="77777777" w:rsidTr="00EA0DA7">
        <w:trPr>
          <w:trHeight w:val="281"/>
        </w:trPr>
        <w:tc>
          <w:tcPr>
            <w:tcW w:w="1397" w:type="dxa"/>
          </w:tcPr>
          <w:p w14:paraId="118333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инженер-летчик</w:t>
            </w:r>
          </w:p>
        </w:tc>
        <w:tc>
          <w:tcPr>
            <w:tcW w:w="1757" w:type="dxa"/>
          </w:tcPr>
          <w:p w14:paraId="7163C2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ЕЖОВФ.И.</w:t>
            </w:r>
          </w:p>
        </w:tc>
        <w:tc>
          <w:tcPr>
            <w:tcW w:w="1174" w:type="dxa"/>
          </w:tcPr>
          <w:p w14:paraId="1B3346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1934</w:t>
            </w:r>
          </w:p>
        </w:tc>
        <w:tc>
          <w:tcPr>
            <w:tcW w:w="1253" w:type="dxa"/>
          </w:tcPr>
          <w:p w14:paraId="192BF9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1935</w:t>
            </w:r>
          </w:p>
        </w:tc>
        <w:tc>
          <w:tcPr>
            <w:tcW w:w="1346" w:type="dxa"/>
          </w:tcPr>
          <w:p w14:paraId="471901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1921</w:t>
            </w:r>
          </w:p>
        </w:tc>
      </w:tr>
      <w:tr w:rsidR="00983732" w:rsidRPr="00A3026E" w14:paraId="223C3767" w14:textId="77777777" w:rsidTr="00EA0DA7">
        <w:trPr>
          <w:trHeight w:val="281"/>
        </w:trPr>
        <w:tc>
          <w:tcPr>
            <w:tcW w:w="1397" w:type="dxa"/>
          </w:tcPr>
          <w:p w14:paraId="243EB8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инженер-летчик</w:t>
            </w:r>
          </w:p>
        </w:tc>
        <w:tc>
          <w:tcPr>
            <w:tcW w:w="1757" w:type="dxa"/>
          </w:tcPr>
          <w:p w14:paraId="1531B6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ЗОСИМДС</w:t>
            </w:r>
          </w:p>
        </w:tc>
        <w:tc>
          <w:tcPr>
            <w:tcW w:w="1174" w:type="dxa"/>
          </w:tcPr>
          <w:p w14:paraId="2F4057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w:t>
            </w:r>
          </w:p>
        </w:tc>
        <w:tc>
          <w:tcPr>
            <w:tcW w:w="1253" w:type="dxa"/>
          </w:tcPr>
          <w:p w14:paraId="527843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1929</w:t>
            </w:r>
          </w:p>
        </w:tc>
        <w:tc>
          <w:tcPr>
            <w:tcW w:w="1346" w:type="dxa"/>
          </w:tcPr>
          <w:p w14:paraId="6AC853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1915</w:t>
            </w:r>
          </w:p>
        </w:tc>
      </w:tr>
      <w:tr w:rsidR="00983732" w:rsidRPr="00A3026E" w14:paraId="34DA6A24" w14:textId="77777777" w:rsidTr="00EA0DA7">
        <w:trPr>
          <w:trHeight w:val="288"/>
        </w:trPr>
        <w:tc>
          <w:tcPr>
            <w:tcW w:w="1397" w:type="dxa"/>
          </w:tcPr>
          <w:p w14:paraId="7B2639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инженер-летчик</w:t>
            </w:r>
          </w:p>
        </w:tc>
        <w:tc>
          <w:tcPr>
            <w:tcW w:w="1757" w:type="dxa"/>
          </w:tcPr>
          <w:p w14:paraId="04663D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ПАНКРАТОВ В.С.</w:t>
            </w:r>
          </w:p>
        </w:tc>
        <w:tc>
          <w:tcPr>
            <w:tcW w:w="1174" w:type="dxa"/>
          </w:tcPr>
          <w:p w14:paraId="6140D3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1934</w:t>
            </w:r>
          </w:p>
        </w:tc>
        <w:tc>
          <w:tcPr>
            <w:tcW w:w="1253" w:type="dxa"/>
          </w:tcPr>
          <w:p w14:paraId="0EEF22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1935</w:t>
            </w:r>
          </w:p>
        </w:tc>
        <w:tc>
          <w:tcPr>
            <w:tcW w:w="1346" w:type="dxa"/>
          </w:tcPr>
          <w:p w14:paraId="070A65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1926</w:t>
            </w:r>
          </w:p>
        </w:tc>
      </w:tr>
      <w:tr w:rsidR="00983732" w:rsidRPr="00A3026E" w14:paraId="0526BB32" w14:textId="77777777" w:rsidTr="00EA0DA7">
        <w:trPr>
          <w:trHeight w:val="288"/>
        </w:trPr>
        <w:tc>
          <w:tcPr>
            <w:tcW w:w="1397" w:type="dxa"/>
            <w:tcBorders>
              <w:bottom w:val="single" w:sz="12" w:space="0" w:color="auto"/>
            </w:tcBorders>
          </w:tcPr>
          <w:p w14:paraId="3A26BB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инженер-летчик</w:t>
            </w:r>
          </w:p>
        </w:tc>
        <w:tc>
          <w:tcPr>
            <w:tcW w:w="1757" w:type="dxa"/>
            <w:tcBorders>
              <w:bottom w:val="single" w:sz="12" w:space="0" w:color="auto"/>
            </w:tcBorders>
          </w:tcPr>
          <w:p w14:paraId="7AF4D2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СТАНКЕВИЧ Ю.К</w:t>
            </w:r>
          </w:p>
        </w:tc>
        <w:tc>
          <w:tcPr>
            <w:tcW w:w="1174" w:type="dxa"/>
            <w:tcBorders>
              <w:bottom w:val="single" w:sz="12" w:space="0" w:color="auto"/>
            </w:tcBorders>
          </w:tcPr>
          <w:p w14:paraId="1D36BC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1935</w:t>
            </w:r>
          </w:p>
        </w:tc>
        <w:tc>
          <w:tcPr>
            <w:tcW w:w="1253" w:type="dxa"/>
            <w:tcBorders>
              <w:bottom w:val="single" w:sz="12" w:space="0" w:color="auto"/>
            </w:tcBorders>
          </w:tcPr>
          <w:p w14:paraId="57E109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1932</w:t>
            </w:r>
          </w:p>
        </w:tc>
        <w:tc>
          <w:tcPr>
            <w:tcW w:w="1346" w:type="dxa"/>
            <w:tcBorders>
              <w:bottom w:val="single" w:sz="12" w:space="0" w:color="auto"/>
            </w:tcBorders>
          </w:tcPr>
          <w:p w14:paraId="6F3CA8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1930</w:t>
            </w:r>
          </w:p>
        </w:tc>
      </w:tr>
    </w:tbl>
    <w:p w14:paraId="39E814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Составлена по: Самарский филиал РГАНТД. Ф. Р-220. Оп. 2-6. Д. 3. Л. 29. (11672,504).</w:t>
      </w:r>
    </w:p>
    <w:p w14:paraId="17619A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66F6B9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B7E9D8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36EF8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октября 1940 был выпущен опытный образец КВ-3 (Объект 150) без утвержденных ГАБТУ ТТТ, построенный по постановлени Правительства от 17 июня 1940 (9527,173).</w:t>
      </w:r>
    </w:p>
    <w:p w14:paraId="632FC02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10ACDE7" w14:textId="77777777" w:rsidR="007E5973" w:rsidRPr="00A3026E" w:rsidRDefault="007E5973"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В начале октября 1940, после 90 выстрелов, обнаружилась трещина в казеннике Ф-30. С данной проблемой и связано изменение в вооружении Т-220. В итоге первый образец Ф-30 закончили испытывать только к концу октября 1940 года, а 29 октября направили на Кировский Завод. Второй образец закончили к 27 ноября, а в начале декабря поставили в Т-28. Вместе с тем, происходившие далее события явно говорят о том, что Грабин стал терять интерес к 85-мм орудиям. Отчасти потому, что упомянутая 85-мм дивизионная пушка Ф-28 УДЛ (Ф-7) явно не имела перспектив, а для Ф-30 всё равно требовалась увеличенная башня. Поэтому в декабре 1940 года появилась новая разработка - 107-мм танковая пушка Ф-42. Одновременно шли работы и по 107-мм дивизионной пушке Ф-6 (наложение ствола с баллистикой по типу М-60 на лафет Ф-28) (21243).</w:t>
      </w:r>
    </w:p>
    <w:p w14:paraId="0689EAC4" w14:textId="77777777" w:rsidR="007E5973" w:rsidRPr="00A3026E" w:rsidRDefault="007E5973"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39EC5E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началу октября 1940 Мариупольский завод при помощи НИИ № 48 разработал процесс изготовления литой башни и носовой балки корпуса для танка Т-34. После испытаний эти элементы приняли к серийному производству. По постанов. Комитета обор. при СНК СССР № 390сс от- октября 1940 года Мариупольский завод имени Ильича к 1 января 1941 года должен был изготовить 300 литых башен для Т-34, и с 1 января выпускать 200 таких башен ежемесячно. Для подготовки этого на заводе развернули работы по реконструкции мартеновского и сталелитейного цехов. Переход наиспользование броневого литься был связан как с дефицитом броневого проката, так и с упрощением технологии производства сварной башни. Для изготовления последней требовалось вырезать из бронелиста заготовки деталей, закалить их, подвергнуть высокому отпуску, выправить на специальных прессах и провести механическую обработку. После этого детали отправляли на завод № 183, где их собирали и сваривали, причем очень часто из-за несоответствия размеров перед окончательной сборкой требовалась дополнительная подгонка деталей.</w:t>
      </w:r>
    </w:p>
    <w:p w14:paraId="3C02AF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вариант литой башни из брони марки МЗ-2 толщиной 52 мм выполнялся без крыши и днища ниши (приваривались позже). При этом бронировка бортовых смотровых приборов отливалась вместе с корпусом башни. Однако широкого распространения этот вариант не получил из-за проблемой с термообработкой (по некоторым данным, могло быть отлито до 30 таких башен). Более массовой стала литая башня с приварной бронировкой бортовых смотровых приборов (12217).</w:t>
      </w:r>
    </w:p>
    <w:p w14:paraId="4E1274B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514A6CA"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744F551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2805F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октября 1940 китайские самолеты ДБ-3 разбрасывали листовки над оккупированным японцами Пекином (2958).</w:t>
      </w:r>
    </w:p>
    <w:p w14:paraId="31CA32D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50D04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октября 1940 самоле</w:t>
      </w:r>
      <w:r w:rsidRPr="00A3026E">
        <w:rPr>
          <w:rFonts w:ascii="Times New Roman" w:hAnsi="Times New Roman"/>
          <w:color w:val="000000" w:themeColor="text1"/>
          <w:sz w:val="16"/>
          <w:szCs w:val="16"/>
        </w:rPr>
        <w:softHyphen/>
        <w:t>ты ДБ-3, управляемые китайскими летчиками 6 эскадрильи, разбрасывали листовки над оккупи</w:t>
      </w:r>
      <w:r w:rsidRPr="00A3026E">
        <w:rPr>
          <w:rFonts w:ascii="Times New Roman" w:hAnsi="Times New Roman"/>
          <w:color w:val="000000" w:themeColor="text1"/>
          <w:sz w:val="16"/>
          <w:szCs w:val="16"/>
        </w:rPr>
        <w:softHyphen/>
        <w:t>рованным японцами Пекином. 18 нояб</w:t>
      </w:r>
      <w:r w:rsidRPr="00A3026E">
        <w:rPr>
          <w:rFonts w:ascii="Times New Roman" w:hAnsi="Times New Roman"/>
          <w:color w:val="000000" w:themeColor="text1"/>
          <w:sz w:val="16"/>
          <w:szCs w:val="16"/>
        </w:rPr>
        <w:softHyphen/>
        <w:t>ря эту эскадрилью вновь вернули в Чэн</w:t>
      </w:r>
      <w:r w:rsidRPr="00A3026E">
        <w:rPr>
          <w:rFonts w:ascii="Times New Roman" w:hAnsi="Times New Roman"/>
          <w:color w:val="000000" w:themeColor="text1"/>
          <w:sz w:val="16"/>
          <w:szCs w:val="16"/>
        </w:rPr>
        <w:softHyphen/>
        <w:t>ду для дополнительных тренировок. На ДБ-3 хотели перевооружить также 9-ю и 11-ю эскадрильи, которые даже на</w:t>
      </w:r>
      <w:r w:rsidRPr="00A3026E">
        <w:rPr>
          <w:rFonts w:ascii="Times New Roman" w:hAnsi="Times New Roman"/>
          <w:color w:val="000000" w:themeColor="text1"/>
          <w:sz w:val="16"/>
          <w:szCs w:val="16"/>
        </w:rPr>
        <w:softHyphen/>
        <w:t>правили в Чэнду, но позднее их вновь доукомплектовали СБ. По отзывам наших инструкторов, ки</w:t>
      </w:r>
      <w:r w:rsidRPr="00A3026E">
        <w:rPr>
          <w:rFonts w:ascii="Times New Roman" w:hAnsi="Times New Roman"/>
          <w:color w:val="000000" w:themeColor="text1"/>
          <w:sz w:val="16"/>
          <w:szCs w:val="16"/>
        </w:rPr>
        <w:softHyphen/>
        <w:t>тайские экипажи были подготовлены слабо. Систематическая боевая учеба практически отсутствовала, летали ма</w:t>
      </w:r>
      <w:r w:rsidRPr="00A3026E">
        <w:rPr>
          <w:rFonts w:ascii="Times New Roman" w:hAnsi="Times New Roman"/>
          <w:color w:val="000000" w:themeColor="text1"/>
          <w:sz w:val="16"/>
          <w:szCs w:val="16"/>
        </w:rPr>
        <w:softHyphen/>
        <w:t>ло, высотные полеты не осваивались. При этом китайцы несли довольно большие потери, в основном не боевые. Так, 4 октября 1940 г. взлетевший по тревоге ДБ-3 из 6-й эскадрильи с китай</w:t>
      </w:r>
      <w:r w:rsidRPr="00A3026E">
        <w:rPr>
          <w:rFonts w:ascii="Times New Roman" w:hAnsi="Times New Roman"/>
          <w:color w:val="000000" w:themeColor="text1"/>
          <w:sz w:val="16"/>
          <w:szCs w:val="16"/>
        </w:rPr>
        <w:softHyphen/>
        <w:t>ским экипажем из-за неполадок слиш</w:t>
      </w:r>
      <w:r w:rsidRPr="00A3026E">
        <w:rPr>
          <w:rFonts w:ascii="Times New Roman" w:hAnsi="Times New Roman"/>
          <w:color w:val="000000" w:themeColor="text1"/>
          <w:sz w:val="16"/>
          <w:szCs w:val="16"/>
        </w:rPr>
        <w:softHyphen/>
        <w:t>ком рано вернулся на базу Тайпинсы и был сбит над аэродромом. 2 января 1941 г. над Ченду потерпел аварию и по</w:t>
      </w:r>
      <w:r w:rsidRPr="00A3026E">
        <w:rPr>
          <w:rFonts w:ascii="Times New Roman" w:hAnsi="Times New Roman"/>
          <w:color w:val="000000" w:themeColor="text1"/>
          <w:sz w:val="16"/>
          <w:szCs w:val="16"/>
        </w:rPr>
        <w:softHyphen/>
        <w:t>гиб вместе с самолетом экипаж коман</w:t>
      </w:r>
      <w:r w:rsidRPr="00A3026E">
        <w:rPr>
          <w:rFonts w:ascii="Times New Roman" w:hAnsi="Times New Roman"/>
          <w:color w:val="000000" w:themeColor="text1"/>
          <w:sz w:val="16"/>
          <w:szCs w:val="16"/>
        </w:rPr>
        <w:softHyphen/>
        <w:t>дира 14-й эскадрильи Ли Чансюна. 13 февраля 1941 г. у заместителя команди</w:t>
      </w:r>
      <w:r w:rsidRPr="00A3026E">
        <w:rPr>
          <w:rFonts w:ascii="Times New Roman" w:hAnsi="Times New Roman"/>
          <w:color w:val="000000" w:themeColor="text1"/>
          <w:sz w:val="16"/>
          <w:szCs w:val="16"/>
        </w:rPr>
        <w:softHyphen/>
        <w:t xml:space="preserve">ра </w:t>
      </w:r>
      <w:r w:rsidRPr="00A3026E">
        <w:rPr>
          <w:rFonts w:ascii="Times New Roman" w:hAnsi="Times New Roman"/>
          <w:color w:val="000000" w:themeColor="text1"/>
          <w:sz w:val="16"/>
          <w:szCs w:val="16"/>
        </w:rPr>
        <w:lastRenderedPageBreak/>
        <w:t>8-й группы Лян Гочжана во время тренировочного полета отказал мотор. При вынужденной посадке в уезде Цзя-ньян самолет сгорел вместе с экипажем. 18 июня 1941 г. из-за неисправности потерпел аварию взлетевший по трево</w:t>
      </w:r>
      <w:r w:rsidRPr="00A3026E">
        <w:rPr>
          <w:rFonts w:ascii="Times New Roman" w:hAnsi="Times New Roman"/>
          <w:color w:val="000000" w:themeColor="text1"/>
          <w:sz w:val="16"/>
          <w:szCs w:val="16"/>
        </w:rPr>
        <w:softHyphen/>
        <w:t>ге в Ланьчжоу ДБ-3 летчика Мэн Цзун-жао из 14-й эскадрильи, штурман и ра</w:t>
      </w:r>
      <w:r w:rsidRPr="00A3026E">
        <w:rPr>
          <w:rFonts w:ascii="Times New Roman" w:hAnsi="Times New Roman"/>
          <w:color w:val="000000" w:themeColor="text1"/>
          <w:sz w:val="16"/>
          <w:szCs w:val="16"/>
        </w:rPr>
        <w:softHyphen/>
        <w:t>дист погибли. 1 октября 1942 г. во вре</w:t>
      </w:r>
      <w:r w:rsidRPr="00A3026E">
        <w:rPr>
          <w:rFonts w:ascii="Times New Roman" w:hAnsi="Times New Roman"/>
          <w:color w:val="000000" w:themeColor="text1"/>
          <w:sz w:val="16"/>
          <w:szCs w:val="16"/>
        </w:rPr>
        <w:softHyphen/>
        <w:t>мя дальнего тренировочного полета в районе Цзяюйгуань исчез вместе с эки</w:t>
      </w:r>
      <w:r w:rsidRPr="00A3026E">
        <w:rPr>
          <w:rFonts w:ascii="Times New Roman" w:hAnsi="Times New Roman"/>
          <w:color w:val="000000" w:themeColor="text1"/>
          <w:sz w:val="16"/>
          <w:szCs w:val="16"/>
        </w:rPr>
        <w:softHyphen/>
        <w:t>пажем бомбардировщик командира 6-й эскадрильи Чжоу Шиюна (10734,39).</w:t>
      </w:r>
    </w:p>
    <w:p w14:paraId="4F6F84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437C6E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AD6511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AF138D8" w14:textId="77777777" w:rsidR="00C66762" w:rsidRPr="00A3026E" w:rsidRDefault="00C66762" w:rsidP="00A3026E">
      <w:pPr>
        <w:pStyle w:val="a3"/>
        <w:widowControl/>
        <w:rPr>
          <w:color w:val="000000" w:themeColor="text1"/>
          <w:lang w:val="ru-RU"/>
        </w:rPr>
      </w:pPr>
      <w:r w:rsidRPr="00A3026E">
        <w:rPr>
          <w:color w:val="000000" w:themeColor="text1"/>
          <w:lang w:val="ru-RU"/>
        </w:rPr>
        <w:t>7 октября 1940 года маршал С. Буденный писал письмо № 17527сс председателю Совета оборонной промышленности Вознесенскому</w:t>
      </w:r>
    </w:p>
    <w:p w14:paraId="531E8285" w14:textId="77777777" w:rsidR="00C66762" w:rsidRPr="00A3026E" w:rsidRDefault="00C66762" w:rsidP="00A3026E">
      <w:pPr>
        <w:pStyle w:val="a3"/>
        <w:widowControl/>
        <w:rPr>
          <w:color w:val="000000" w:themeColor="text1"/>
          <w:lang w:val="ru-RU"/>
        </w:rPr>
      </w:pPr>
      <w:r w:rsidRPr="00A3026E">
        <w:rPr>
          <w:color w:val="000000" w:themeColor="text1"/>
          <w:lang w:val="ru-RU"/>
        </w:rPr>
        <w:t>докладываю, что с проектом Постановления КО "О доводке самолета ББ-1 с мотором М-88" полностью согласен при внесении изменений в пункт первый абзац "а" и "в", т.е. установив новый срок исполнения к 20 ноября 1940 года.</w:t>
      </w:r>
    </w:p>
    <w:p w14:paraId="5482102B" w14:textId="77777777" w:rsidR="00C66762" w:rsidRPr="00A3026E" w:rsidRDefault="00C66762" w:rsidP="00A3026E">
      <w:pPr>
        <w:pStyle w:val="a3"/>
        <w:widowControl/>
        <w:rPr>
          <w:color w:val="000000" w:themeColor="text1"/>
          <w:lang w:val="ru-RU"/>
        </w:rPr>
      </w:pPr>
      <w:r w:rsidRPr="00A3026E">
        <w:rPr>
          <w:color w:val="000000" w:themeColor="text1"/>
          <w:lang w:val="ru-RU"/>
        </w:rPr>
        <w:t>Приложение: № 622/соп (вх. УД № 2865/3019сс) на 4 листах (3377, 65).</w:t>
      </w:r>
    </w:p>
    <w:p w14:paraId="1CB31206" w14:textId="77777777" w:rsidR="00C66762" w:rsidRPr="00A3026E" w:rsidRDefault="00C66762" w:rsidP="00A3026E">
      <w:pPr>
        <w:pStyle w:val="a3"/>
        <w:widowControl/>
        <w:rPr>
          <w:color w:val="000000" w:themeColor="text1"/>
          <w:lang w:val="ru-RU"/>
        </w:rPr>
      </w:pPr>
    </w:p>
    <w:p w14:paraId="1CC71F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октября 1940 Коллегия НКАП рассмотрела вопрос (прот. 24) "О подготовке производства и запуска в серию самолета ПБ-100 на заводах 22 и 39 (1002,4). Были приложены: - докладная записка директора завода 22 В.А.Окулова на имя А.И.Шахурина о внедрении в серию самолета ПБ-100 N 6450 от 4 октября 1940; - краткая записка о ходе внедрения ПБ-100 ГИ завода 39 Морозова N 5013 от 5 октября 1940; - докладная записка зам. нач. 1 ГУ А.Д.Шиц по вопросу о выполнении постановления правительства и приказов наркома за NN 306 и 309 1940 за N 7891 от 5 октября 1940; - докладная записка нач. инспекции при наркоме Фокина по вопросам подготовки производства и запуска в серию самолета ПБ-100 на заводах 22 и 39 N 5956 от 4 октября 1940; - справка по тем же вопросам о выполнении приказа НКВД и НКАП N00757/306сс от 22 июня 1940 об обеспечении серийного производства самолета ПБ-100 за N 5678 от 5 октября 1940; - проект постановления коллегии по вопросам подготовки производства и запуска в серию самолета ПБ-100 на заводах 22 и 39 за N 5660 от 5 октября 1940; - черновик секретного приказа наркома по решению коллегии о подготовке производства и запуска в серию самолета ПБ-100 на заводах 22 и 39 N 4936 от 17 октября 1940. Потом вышел приказ 573 от 23 октября 1940 по вопросу подготовки производства и запуска в серию самолета ПБ-100 на заводах 22 и 39 (1159).</w:t>
      </w:r>
    </w:p>
    <w:p w14:paraId="1E1D1C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w:t>
      </w:r>
    </w:p>
    <w:p w14:paraId="5DD37B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 кооперации в системе НКАП (ГИ 1 ПГИ С.В.Аврутин, пред. техсовета НКАП Д.В.Голеев (1159);</w:t>
      </w:r>
    </w:p>
    <w:p w14:paraId="153033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 организации контроля за выполнением приказа НКАП N 518 от 2 октября 1940 о технологической дисциплине на заводах НКАП (1159);</w:t>
      </w:r>
    </w:p>
    <w:p w14:paraId="75361B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 начальнике 1 ПГИ - Байдакова освободили от должности и приказом 590/к от 17 декабря назначили Г.В.Вазирян (1159).</w:t>
      </w:r>
    </w:p>
    <w:p w14:paraId="37B8034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963BB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октября 1940 на гос. испытания поступил И-26-3 и 13 и они начались, а 13 ноября - закончились (198,12).</w:t>
      </w:r>
    </w:p>
    <w:p w14:paraId="722A5EF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8A93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октября 1940 после доводки вооружения третий опытный И-26 поступил на государственные испытания. Испытания на пикирование, штопор, отстрел вооружения, устойчивость и пилотаж начались 13 октября и закончились 12 ноября. Судя по материалам испытаний, определение максимальной скорости не производилось, но увеличение полетного веса по сравнению с И-26-11 на 110 кг позволяет предположить ее уменьшение на 2-5 км/ч. Процесс испытаний еше более ускорился. За месяц было выполнено 23 полета, несмотря на перерыв для подготовки и участия самолета в параде 7 ноября.</w:t>
      </w:r>
    </w:p>
    <w:p w14:paraId="054111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Вот небольшая часть хроники испытаний:</w:t>
      </w:r>
    </w:p>
    <w:p w14:paraId="2C525E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октября - выполнено два полета на сложный пилотаж.</w:t>
      </w:r>
    </w:p>
    <w:p w14:paraId="6F06AC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 П.М. Стефановский выполнил полет на штопор и пикирование.</w:t>
      </w:r>
    </w:p>
    <w:p w14:paraId="6E0ADC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16 по 24 октября - доведено вооружение. </w:t>
      </w:r>
    </w:p>
    <w:p w14:paraId="31C699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 при выводе из пикирования с углом 46-50° на приборной скорости 570 км/ч деформировались щиток стойки шасси и каркас подвижной части фонаря кабины, которые тут же были сняты и отправлены на завод для усиления.</w:t>
      </w:r>
    </w:p>
    <w:p w14:paraId="2AF1AC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стал заметно лучше. Прочность носков крыла была доведена до 107 %, кабина пилота оборудована вентиляцией, конструкция вооружения изменена, шасси усилено и устранены другие более мелкие недостатки. А в отношении ВМ Г (перегрев масла при работе мотора на номинальных оборотах, неравномерная выработка горючего) и шасси (невозможность уборки его после взлета на скорости 250 км/ч, соответствующей максимальной скороподъемности) самолет остался недоведенным.</w:t>
      </w:r>
    </w:p>
    <w:p w14:paraId="14728C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результатам государственных испытаний утвердили 9 декабря 1940 г. В нем отмечалось, что "самолет И-26-III с мотором М-105П и винтом ВИШ-61 конструкции тов. Яковлева прошел государственные испытания удовлетворительно, но недове- денность конструкции самолета (шасси, воздушная система), ВМГ (перегрев масла, плохая работа карбюраторов на оборотах мотора 1600-1900 об/мин), а также несоответствие специального оборудования ТТТ ВВС КА (отсутствуют радиооборудование, ночные посадочные средства, генератор, бензиномер) снижают летные, эксплуатационные и боевые качества машины".</w:t>
      </w:r>
    </w:p>
    <w:p w14:paraId="098C9A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не обладал такой большой максимальной скоростью, как И-200, таким мошным вооружением, как И-301 (табл. I, с. 24), но выгодно отличался от них тем, что раньше вышел на стадию испытаний. Соответственно, весь цикл доводки и внедрения в серию у него проходил с опережением. Кроме того, если сравнить все опытные истребители этого периода, то можно сделать вывод, что истребители И-21 конструктора М.М. Пашинина и И-330 П.О. Сухого с аналогичным мотором и вооружением вышли на испытания значительно позже (И-21 - в декабре 1940 г., а И-ЗЗО - летом 1941 г.). Причем, И-21 имел несколько худшие летные данные и проблемы с устойчивостью, а на И-330, обладавшем лучшими данными, чем И-26, был установлен турбокомпрессор, на доводку которого требовалось время. Все другие конкурсные истребители (как и предусматривалось ТТТ) не имели пушки. Машины И-28 конструктора В.П. Яценко, И-180 Н.Н. Поликарпова. ИС-1 В.В. Никитина, И-207 № 3 А.А. Боровкова и И.Ф. Флорова уступали И-26 в скорости. САМ-13 С.А. Москалева, СК-2 М.Р. Бисновата, И-185 Н.Н. Поликарпова, превосходившие истребитель Яковлева в скорости, появились на испытаниях гораздо позже. При этом опытные САМ-13 и СК-2 испытывались без вооружения. Правда, по указанию А.С. Яковлева, как заместителя наркома по опытному самолетостроению, на самолет СК-2 установили два синхронных пулемета БС с боекомплектом по 200 патронов на пулемет и прицел ПАН-23. Импровизированную стрелковую установку разместили по бортам самолета и закрыли специальными обтекателями, но перед летными испытаниями ее демонтировали (позже, по материалам испытаний, было признано нецелесообразным передавать машину СК-2 на государственные испытания из-за невозможности ее и O.K. Антонов. использования в качестве истребителя).</w:t>
      </w:r>
    </w:p>
    <w:p w14:paraId="72179F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Архив Г. Петрова Процесс доводки многих опытных истребителей затянулся до начала войны, а потери, понесенные авиацией в первые дни войны, и эвакуация заводов сократили сроки внедрения опытных машин в серию с шести до трех месяцев и сделали невозможным их серийный выпуск.</w:t>
      </w:r>
    </w:p>
    <w:p w14:paraId="0F505B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Проектирование и изготовление опытных И-26 обошлось в 5.948 тысяч рублей. Перерасход был небольшим. На два прототипа было выделено пять миллионов рублей (в том числе два - в качестве премиального фонда). Дополнительные средства были изысканы за счет снятия из задания ОКБ третьей опытной машины Р-12 (обозначение ВВС разведывательного самолета № 22). </w:t>
      </w:r>
    </w:p>
    <w:p w14:paraId="18C5E8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 1. Сравнительные характеристики опытных истребителей плана постройки 1939-1940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983732" w:rsidRPr="00A3026E" w14:paraId="4B4E36CC" w14:textId="77777777" w:rsidTr="00EA0DA7">
        <w:tc>
          <w:tcPr>
            <w:tcW w:w="1245" w:type="dxa"/>
            <w:tcBorders>
              <w:top w:val="single" w:sz="12" w:space="0" w:color="auto"/>
            </w:tcBorders>
          </w:tcPr>
          <w:p w14:paraId="7B6C77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Истребители</w:t>
            </w:r>
          </w:p>
        </w:tc>
        <w:tc>
          <w:tcPr>
            <w:tcW w:w="1245" w:type="dxa"/>
            <w:tcBorders>
              <w:top w:val="single" w:sz="12" w:space="0" w:color="auto"/>
            </w:tcBorders>
          </w:tcPr>
          <w:p w14:paraId="0B3650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И-21</w:t>
            </w:r>
          </w:p>
        </w:tc>
        <w:tc>
          <w:tcPr>
            <w:tcW w:w="1245" w:type="dxa"/>
            <w:tcBorders>
              <w:top w:val="single" w:sz="12" w:space="0" w:color="auto"/>
            </w:tcBorders>
          </w:tcPr>
          <w:p w14:paraId="3DADBA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w:t>
            </w:r>
          </w:p>
        </w:tc>
        <w:tc>
          <w:tcPr>
            <w:tcW w:w="1245" w:type="dxa"/>
            <w:tcBorders>
              <w:top w:val="single" w:sz="12" w:space="0" w:color="auto"/>
            </w:tcBorders>
          </w:tcPr>
          <w:p w14:paraId="4CEA64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И-28</w:t>
            </w:r>
          </w:p>
        </w:tc>
        <w:tc>
          <w:tcPr>
            <w:tcW w:w="1245" w:type="dxa"/>
            <w:tcBorders>
              <w:top w:val="single" w:sz="12" w:space="0" w:color="auto"/>
            </w:tcBorders>
          </w:tcPr>
          <w:p w14:paraId="572078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И-180-3</w:t>
            </w:r>
          </w:p>
        </w:tc>
        <w:tc>
          <w:tcPr>
            <w:tcW w:w="1245" w:type="dxa"/>
            <w:tcBorders>
              <w:top w:val="single" w:sz="12" w:space="0" w:color="auto"/>
            </w:tcBorders>
          </w:tcPr>
          <w:p w14:paraId="13C422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w:t>
            </w:r>
          </w:p>
        </w:tc>
        <w:tc>
          <w:tcPr>
            <w:tcW w:w="1245" w:type="dxa"/>
            <w:tcBorders>
              <w:top w:val="single" w:sz="12" w:space="0" w:color="auto"/>
            </w:tcBorders>
          </w:tcPr>
          <w:p w14:paraId="666F6B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И-270 №3</w:t>
            </w:r>
          </w:p>
        </w:tc>
        <w:tc>
          <w:tcPr>
            <w:tcW w:w="1245" w:type="dxa"/>
            <w:tcBorders>
              <w:top w:val="single" w:sz="12" w:space="0" w:color="auto"/>
            </w:tcBorders>
          </w:tcPr>
          <w:p w14:paraId="5B8177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w:t>
            </w:r>
          </w:p>
        </w:tc>
        <w:tc>
          <w:tcPr>
            <w:tcW w:w="1245" w:type="dxa"/>
            <w:tcBorders>
              <w:top w:val="single" w:sz="12" w:space="0" w:color="auto"/>
            </w:tcBorders>
          </w:tcPr>
          <w:p w14:paraId="10D80B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И-330</w:t>
            </w:r>
          </w:p>
        </w:tc>
      </w:tr>
      <w:tr w:rsidR="00983732" w:rsidRPr="00A3026E" w14:paraId="72D9B971" w14:textId="77777777" w:rsidTr="00EA0DA7">
        <w:tc>
          <w:tcPr>
            <w:tcW w:w="1245" w:type="dxa"/>
          </w:tcPr>
          <w:p w14:paraId="129916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мотора</w:t>
            </w:r>
          </w:p>
        </w:tc>
        <w:tc>
          <w:tcPr>
            <w:tcW w:w="1245" w:type="dxa"/>
          </w:tcPr>
          <w:p w14:paraId="16082A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245" w:type="dxa"/>
          </w:tcPr>
          <w:p w14:paraId="526515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245" w:type="dxa"/>
          </w:tcPr>
          <w:p w14:paraId="0AE687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c>
          <w:tcPr>
            <w:tcW w:w="1245" w:type="dxa"/>
          </w:tcPr>
          <w:p w14:paraId="48F537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c>
          <w:tcPr>
            <w:tcW w:w="1245" w:type="dxa"/>
          </w:tcPr>
          <w:p w14:paraId="026B0D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w:t>
            </w:r>
          </w:p>
        </w:tc>
        <w:tc>
          <w:tcPr>
            <w:tcW w:w="1245" w:type="dxa"/>
          </w:tcPr>
          <w:p w14:paraId="5FE10B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c>
          <w:tcPr>
            <w:tcW w:w="1245" w:type="dxa"/>
          </w:tcPr>
          <w:p w14:paraId="5778D0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245" w:type="dxa"/>
          </w:tcPr>
          <w:p w14:paraId="50DABE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 с ТК</w:t>
            </w:r>
          </w:p>
        </w:tc>
      </w:tr>
      <w:tr w:rsidR="00983732" w:rsidRPr="00A3026E" w14:paraId="39534C1E" w14:textId="77777777" w:rsidTr="00EA0DA7">
        <w:tc>
          <w:tcPr>
            <w:tcW w:w="1245" w:type="dxa"/>
          </w:tcPr>
          <w:p w14:paraId="25AC1F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л.с.</w:t>
            </w:r>
          </w:p>
        </w:tc>
        <w:tc>
          <w:tcPr>
            <w:tcW w:w="1245" w:type="dxa"/>
          </w:tcPr>
          <w:p w14:paraId="5753CA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1245" w:type="dxa"/>
          </w:tcPr>
          <w:p w14:paraId="44982C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1245" w:type="dxa"/>
          </w:tcPr>
          <w:p w14:paraId="1CFEB1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245" w:type="dxa"/>
          </w:tcPr>
          <w:p w14:paraId="71DCBB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245" w:type="dxa"/>
          </w:tcPr>
          <w:p w14:paraId="3C040A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1245" w:type="dxa"/>
          </w:tcPr>
          <w:p w14:paraId="020A1F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w:t>
            </w:r>
          </w:p>
        </w:tc>
        <w:tc>
          <w:tcPr>
            <w:tcW w:w="1245" w:type="dxa"/>
          </w:tcPr>
          <w:p w14:paraId="596E15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1245" w:type="dxa"/>
          </w:tcPr>
          <w:p w14:paraId="6F3402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r>
      <w:tr w:rsidR="00983732" w:rsidRPr="00A3026E" w14:paraId="31BF17AA" w14:textId="77777777" w:rsidTr="00EA0DA7">
        <w:tc>
          <w:tcPr>
            <w:tcW w:w="1245" w:type="dxa"/>
          </w:tcPr>
          <w:p w14:paraId="4B9BF3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Взлетный вес, кг</w:t>
            </w:r>
          </w:p>
        </w:tc>
        <w:tc>
          <w:tcPr>
            <w:tcW w:w="1245" w:type="dxa"/>
          </w:tcPr>
          <w:p w14:paraId="38E649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2754</w:t>
            </w:r>
          </w:p>
        </w:tc>
        <w:tc>
          <w:tcPr>
            <w:tcW w:w="1245" w:type="dxa"/>
          </w:tcPr>
          <w:p w14:paraId="75AD47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2700</w:t>
            </w:r>
          </w:p>
        </w:tc>
        <w:tc>
          <w:tcPr>
            <w:tcW w:w="1245" w:type="dxa"/>
          </w:tcPr>
          <w:p w14:paraId="139FE8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2730</w:t>
            </w:r>
          </w:p>
        </w:tc>
        <w:tc>
          <w:tcPr>
            <w:tcW w:w="1245" w:type="dxa"/>
          </w:tcPr>
          <w:p w14:paraId="78B50F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2424</w:t>
            </w:r>
          </w:p>
        </w:tc>
        <w:tc>
          <w:tcPr>
            <w:tcW w:w="1245" w:type="dxa"/>
          </w:tcPr>
          <w:p w14:paraId="552331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2988</w:t>
            </w:r>
          </w:p>
        </w:tc>
        <w:tc>
          <w:tcPr>
            <w:tcW w:w="1245" w:type="dxa"/>
          </w:tcPr>
          <w:p w14:paraId="421F7D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1879</w:t>
            </w:r>
          </w:p>
        </w:tc>
        <w:tc>
          <w:tcPr>
            <w:tcW w:w="1245" w:type="dxa"/>
          </w:tcPr>
          <w:p w14:paraId="4D0B38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2968</w:t>
            </w:r>
          </w:p>
        </w:tc>
        <w:tc>
          <w:tcPr>
            <w:tcW w:w="1245" w:type="dxa"/>
          </w:tcPr>
          <w:p w14:paraId="428635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2875</w:t>
            </w:r>
          </w:p>
        </w:tc>
      </w:tr>
      <w:tr w:rsidR="00983732" w:rsidRPr="00A3026E" w14:paraId="0877319B" w14:textId="77777777" w:rsidTr="00EA0DA7">
        <w:tc>
          <w:tcPr>
            <w:tcW w:w="1245" w:type="dxa"/>
          </w:tcPr>
          <w:p w14:paraId="0AFB96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у земли, км/ч</w:t>
            </w:r>
          </w:p>
        </w:tc>
        <w:tc>
          <w:tcPr>
            <w:tcW w:w="1245" w:type="dxa"/>
          </w:tcPr>
          <w:p w14:paraId="70B71F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488</w:t>
            </w:r>
          </w:p>
        </w:tc>
        <w:tc>
          <w:tcPr>
            <w:tcW w:w="1245" w:type="dxa"/>
          </w:tcPr>
          <w:p w14:paraId="3C46EB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c>
          <w:tcPr>
            <w:tcW w:w="1245" w:type="dxa"/>
          </w:tcPr>
          <w:p w14:paraId="07D36A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439</w:t>
            </w:r>
          </w:p>
        </w:tc>
        <w:tc>
          <w:tcPr>
            <w:tcW w:w="1245" w:type="dxa"/>
          </w:tcPr>
          <w:p w14:paraId="549C57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456</w:t>
            </w:r>
          </w:p>
        </w:tc>
        <w:tc>
          <w:tcPr>
            <w:tcW w:w="1245" w:type="dxa"/>
          </w:tcPr>
          <w:p w14:paraId="0CD3A5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c>
          <w:tcPr>
            <w:tcW w:w="1245" w:type="dxa"/>
          </w:tcPr>
          <w:p w14:paraId="2E7682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427</w:t>
            </w:r>
          </w:p>
        </w:tc>
        <w:tc>
          <w:tcPr>
            <w:tcW w:w="1245" w:type="dxa"/>
          </w:tcPr>
          <w:p w14:paraId="1381FF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503</w:t>
            </w:r>
          </w:p>
        </w:tc>
        <w:tc>
          <w:tcPr>
            <w:tcW w:w="1245" w:type="dxa"/>
          </w:tcPr>
          <w:p w14:paraId="7D357F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r>
      <w:tr w:rsidR="00983732" w:rsidRPr="00A3026E" w14:paraId="45E7218F" w14:textId="77777777" w:rsidTr="00EA0DA7">
        <w:tc>
          <w:tcPr>
            <w:tcW w:w="1245" w:type="dxa"/>
          </w:tcPr>
          <w:p w14:paraId="5FB6C5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км/ч</w:t>
            </w:r>
          </w:p>
        </w:tc>
        <w:tc>
          <w:tcPr>
            <w:tcW w:w="1245" w:type="dxa"/>
          </w:tcPr>
          <w:p w14:paraId="01C670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573</w:t>
            </w:r>
          </w:p>
        </w:tc>
        <w:tc>
          <w:tcPr>
            <w:tcW w:w="1245" w:type="dxa"/>
          </w:tcPr>
          <w:p w14:paraId="34C629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585.5</w:t>
            </w:r>
          </w:p>
        </w:tc>
        <w:tc>
          <w:tcPr>
            <w:tcW w:w="1245" w:type="dxa"/>
          </w:tcPr>
          <w:p w14:paraId="314406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w:t>
            </w:r>
          </w:p>
        </w:tc>
        <w:tc>
          <w:tcPr>
            <w:tcW w:w="1245" w:type="dxa"/>
          </w:tcPr>
          <w:p w14:paraId="19C2E7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245" w:type="dxa"/>
          </w:tcPr>
          <w:p w14:paraId="654897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636</w:t>
            </w:r>
          </w:p>
        </w:tc>
        <w:tc>
          <w:tcPr>
            <w:tcW w:w="1245" w:type="dxa"/>
          </w:tcPr>
          <w:p w14:paraId="2CF8A8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c>
          <w:tcPr>
            <w:tcW w:w="1245" w:type="dxa"/>
          </w:tcPr>
          <w:p w14:paraId="5A66FA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w:t>
            </w:r>
          </w:p>
        </w:tc>
        <w:tc>
          <w:tcPr>
            <w:tcW w:w="1245" w:type="dxa"/>
          </w:tcPr>
          <w:p w14:paraId="3B945E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641</w:t>
            </w:r>
          </w:p>
        </w:tc>
      </w:tr>
      <w:tr w:rsidR="00983732" w:rsidRPr="00A3026E" w14:paraId="517213FC" w14:textId="77777777" w:rsidTr="00EA0DA7">
        <w:tc>
          <w:tcPr>
            <w:tcW w:w="1245" w:type="dxa"/>
          </w:tcPr>
          <w:p w14:paraId="4EFF32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5000 м, мин</w:t>
            </w:r>
          </w:p>
        </w:tc>
        <w:tc>
          <w:tcPr>
            <w:tcW w:w="1245" w:type="dxa"/>
          </w:tcPr>
          <w:p w14:paraId="2F444A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245" w:type="dxa"/>
          </w:tcPr>
          <w:p w14:paraId="69EA2E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245" w:type="dxa"/>
          </w:tcPr>
          <w:p w14:paraId="57F542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245" w:type="dxa"/>
          </w:tcPr>
          <w:p w14:paraId="76FC4E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c>
          <w:tcPr>
            <w:tcW w:w="1245" w:type="dxa"/>
          </w:tcPr>
          <w:p w14:paraId="486D79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w:t>
            </w:r>
          </w:p>
        </w:tc>
        <w:tc>
          <w:tcPr>
            <w:tcW w:w="1245" w:type="dxa"/>
          </w:tcPr>
          <w:p w14:paraId="2AE47A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w:t>
            </w:r>
          </w:p>
        </w:tc>
        <w:tc>
          <w:tcPr>
            <w:tcW w:w="1245" w:type="dxa"/>
          </w:tcPr>
          <w:p w14:paraId="1A3CE3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w:t>
            </w:r>
          </w:p>
        </w:tc>
        <w:tc>
          <w:tcPr>
            <w:tcW w:w="1245" w:type="dxa"/>
          </w:tcPr>
          <w:p w14:paraId="2CF1C0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w:t>
            </w:r>
          </w:p>
        </w:tc>
      </w:tr>
      <w:tr w:rsidR="00983732" w:rsidRPr="00A3026E" w14:paraId="49C02DBD" w14:textId="77777777" w:rsidTr="00EA0DA7">
        <w:tc>
          <w:tcPr>
            <w:tcW w:w="1245" w:type="dxa"/>
          </w:tcPr>
          <w:p w14:paraId="20759A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м</w:t>
            </w:r>
          </w:p>
        </w:tc>
        <w:tc>
          <w:tcPr>
            <w:tcW w:w="1245" w:type="dxa"/>
          </w:tcPr>
          <w:p w14:paraId="5AB775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10 600</w:t>
            </w:r>
          </w:p>
        </w:tc>
        <w:tc>
          <w:tcPr>
            <w:tcW w:w="1245" w:type="dxa"/>
          </w:tcPr>
          <w:p w14:paraId="4B1E05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10 200</w:t>
            </w:r>
          </w:p>
        </w:tc>
        <w:tc>
          <w:tcPr>
            <w:tcW w:w="1245" w:type="dxa"/>
          </w:tcPr>
          <w:p w14:paraId="59BBE5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10 800</w:t>
            </w:r>
          </w:p>
        </w:tc>
        <w:tc>
          <w:tcPr>
            <w:tcW w:w="1245" w:type="dxa"/>
          </w:tcPr>
          <w:p w14:paraId="18623D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10 250</w:t>
            </w:r>
          </w:p>
        </w:tc>
        <w:tc>
          <w:tcPr>
            <w:tcW w:w="1245" w:type="dxa"/>
          </w:tcPr>
          <w:p w14:paraId="0BE794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12 000</w:t>
            </w:r>
          </w:p>
        </w:tc>
        <w:tc>
          <w:tcPr>
            <w:tcW w:w="1245" w:type="dxa"/>
          </w:tcPr>
          <w:p w14:paraId="4E4A93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10 200</w:t>
            </w:r>
          </w:p>
        </w:tc>
        <w:tc>
          <w:tcPr>
            <w:tcW w:w="1245" w:type="dxa"/>
          </w:tcPr>
          <w:p w14:paraId="1E0E87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9600</w:t>
            </w:r>
          </w:p>
        </w:tc>
        <w:tc>
          <w:tcPr>
            <w:tcW w:w="1245" w:type="dxa"/>
          </w:tcPr>
          <w:p w14:paraId="2E7B42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12 500*</w:t>
            </w:r>
          </w:p>
        </w:tc>
      </w:tr>
      <w:tr w:rsidR="00983732" w:rsidRPr="00A3026E" w14:paraId="153B23C2" w14:textId="77777777" w:rsidTr="00EA0DA7">
        <w:tc>
          <w:tcPr>
            <w:tcW w:w="1245" w:type="dxa"/>
          </w:tcPr>
          <w:p w14:paraId="6CA77A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км</w:t>
            </w:r>
          </w:p>
        </w:tc>
        <w:tc>
          <w:tcPr>
            <w:tcW w:w="1245" w:type="dxa"/>
          </w:tcPr>
          <w:p w14:paraId="700A24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w:t>
            </w:r>
          </w:p>
        </w:tc>
        <w:tc>
          <w:tcPr>
            <w:tcW w:w="1245" w:type="dxa"/>
          </w:tcPr>
          <w:p w14:paraId="5029D2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1245" w:type="dxa"/>
          </w:tcPr>
          <w:p w14:paraId="6F87D8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1245" w:type="dxa"/>
          </w:tcPr>
          <w:p w14:paraId="49937A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1245" w:type="dxa"/>
          </w:tcPr>
          <w:p w14:paraId="39D7C2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c>
          <w:tcPr>
            <w:tcW w:w="1245" w:type="dxa"/>
          </w:tcPr>
          <w:p w14:paraId="25508A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245" w:type="dxa"/>
          </w:tcPr>
          <w:p w14:paraId="1DDEF9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w:t>
            </w:r>
          </w:p>
        </w:tc>
        <w:tc>
          <w:tcPr>
            <w:tcW w:w="1245" w:type="dxa"/>
          </w:tcPr>
          <w:p w14:paraId="0E19F7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w:t>
            </w:r>
          </w:p>
        </w:tc>
      </w:tr>
      <w:tr w:rsidR="00983732" w:rsidRPr="00A3026E" w14:paraId="06FA7899" w14:textId="77777777" w:rsidTr="00EA0DA7">
        <w:tc>
          <w:tcPr>
            <w:tcW w:w="1245" w:type="dxa"/>
          </w:tcPr>
          <w:p w14:paraId="18D798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топлива, кг</w:t>
            </w:r>
          </w:p>
        </w:tc>
        <w:tc>
          <w:tcPr>
            <w:tcW w:w="1245" w:type="dxa"/>
          </w:tcPr>
          <w:p w14:paraId="21F4DF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w:t>
            </w:r>
          </w:p>
        </w:tc>
        <w:tc>
          <w:tcPr>
            <w:tcW w:w="1245" w:type="dxa"/>
          </w:tcPr>
          <w:p w14:paraId="4A29F2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w:t>
            </w:r>
          </w:p>
        </w:tc>
        <w:tc>
          <w:tcPr>
            <w:tcW w:w="1245" w:type="dxa"/>
          </w:tcPr>
          <w:p w14:paraId="465305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245" w:type="dxa"/>
          </w:tcPr>
          <w:p w14:paraId="7A18E0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1245" w:type="dxa"/>
          </w:tcPr>
          <w:p w14:paraId="2776B1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1245" w:type="dxa"/>
          </w:tcPr>
          <w:p w14:paraId="0F94F43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6069CC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280</w:t>
            </w:r>
          </w:p>
        </w:tc>
        <w:tc>
          <w:tcPr>
            <w:tcW w:w="1245" w:type="dxa"/>
          </w:tcPr>
          <w:p w14:paraId="55D27C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2323FDD2" w14:textId="77777777" w:rsidTr="00EA0DA7">
        <w:tc>
          <w:tcPr>
            <w:tcW w:w="1245" w:type="dxa"/>
          </w:tcPr>
          <w:p w14:paraId="51F133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 кг</w:t>
            </w:r>
          </w:p>
        </w:tc>
        <w:tc>
          <w:tcPr>
            <w:tcW w:w="1245" w:type="dxa"/>
          </w:tcPr>
          <w:p w14:paraId="2D520F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4030D0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2BC4E1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245" w:type="dxa"/>
          </w:tcPr>
          <w:p w14:paraId="3B1AAB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245" w:type="dxa"/>
          </w:tcPr>
          <w:p w14:paraId="093774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1245" w:type="dxa"/>
          </w:tcPr>
          <w:p w14:paraId="2F893F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245" w:type="dxa"/>
          </w:tcPr>
          <w:p w14:paraId="3F4D80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1B40E1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0BB0F5C3" w14:textId="77777777" w:rsidTr="00EA0DA7">
        <w:tc>
          <w:tcPr>
            <w:tcW w:w="1245" w:type="dxa"/>
          </w:tcPr>
          <w:p w14:paraId="36CD34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Пулеметы</w:t>
            </w:r>
          </w:p>
        </w:tc>
        <w:tc>
          <w:tcPr>
            <w:tcW w:w="1245" w:type="dxa"/>
          </w:tcPr>
          <w:p w14:paraId="79653E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3C09F0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645899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2x12.7</w:t>
            </w:r>
          </w:p>
        </w:tc>
        <w:tc>
          <w:tcPr>
            <w:tcW w:w="1245" w:type="dxa"/>
          </w:tcPr>
          <w:p w14:paraId="3604B3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2x12.7</w:t>
            </w:r>
          </w:p>
        </w:tc>
        <w:tc>
          <w:tcPr>
            <w:tcW w:w="1245" w:type="dxa"/>
          </w:tcPr>
          <w:p w14:paraId="6D5558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1x12.7</w:t>
            </w:r>
          </w:p>
        </w:tc>
        <w:tc>
          <w:tcPr>
            <w:tcW w:w="1245" w:type="dxa"/>
          </w:tcPr>
          <w:p w14:paraId="7E37E1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4x7.62</w:t>
            </w:r>
          </w:p>
        </w:tc>
        <w:tc>
          <w:tcPr>
            <w:tcW w:w="1245" w:type="dxa"/>
          </w:tcPr>
          <w:p w14:paraId="40C29C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1x12.7</w:t>
            </w:r>
          </w:p>
        </w:tc>
        <w:tc>
          <w:tcPr>
            <w:tcW w:w="1245" w:type="dxa"/>
          </w:tcPr>
          <w:p w14:paraId="04F6D0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o 2x7.62</w:t>
            </w:r>
          </w:p>
        </w:tc>
      </w:tr>
      <w:tr w:rsidR="00983732" w:rsidRPr="00A3026E" w14:paraId="69930910" w14:textId="77777777" w:rsidTr="00EA0DA7">
        <w:tc>
          <w:tcPr>
            <w:tcW w:w="1245" w:type="dxa"/>
          </w:tcPr>
          <w:p w14:paraId="1ED0FD0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5288B2F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61458B8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4405F0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32F250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150007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3D26A59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0EAB7DE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6409DDE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10F3195" w14:textId="77777777" w:rsidTr="00EA0DA7">
        <w:tc>
          <w:tcPr>
            <w:tcW w:w="1245" w:type="dxa"/>
          </w:tcPr>
          <w:p w14:paraId="48CF87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Боекомплект пулеметов, патр.</w:t>
            </w:r>
          </w:p>
        </w:tc>
        <w:tc>
          <w:tcPr>
            <w:tcW w:w="1245" w:type="dxa"/>
          </w:tcPr>
          <w:p w14:paraId="5C8847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245" w:type="dxa"/>
          </w:tcPr>
          <w:p w14:paraId="7332E3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w:t>
            </w:r>
          </w:p>
        </w:tc>
        <w:tc>
          <w:tcPr>
            <w:tcW w:w="1245" w:type="dxa"/>
          </w:tcPr>
          <w:p w14:paraId="023D92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245" w:type="dxa"/>
          </w:tcPr>
          <w:p w14:paraId="0F1D15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c>
          <w:tcPr>
            <w:tcW w:w="1245" w:type="dxa"/>
          </w:tcPr>
          <w:p w14:paraId="69C7D0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245" w:type="dxa"/>
          </w:tcPr>
          <w:p w14:paraId="318CC9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2200</w:t>
            </w:r>
          </w:p>
        </w:tc>
        <w:tc>
          <w:tcPr>
            <w:tcW w:w="1245" w:type="dxa"/>
          </w:tcPr>
          <w:p w14:paraId="010C61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w:t>
            </w:r>
          </w:p>
        </w:tc>
        <w:tc>
          <w:tcPr>
            <w:tcW w:w="1245" w:type="dxa"/>
          </w:tcPr>
          <w:p w14:paraId="530A66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w:t>
            </w:r>
          </w:p>
        </w:tc>
      </w:tr>
      <w:tr w:rsidR="00983732" w:rsidRPr="00A3026E" w14:paraId="6381326C" w14:textId="77777777" w:rsidTr="00EA0DA7">
        <w:tc>
          <w:tcPr>
            <w:tcW w:w="1245" w:type="dxa"/>
          </w:tcPr>
          <w:p w14:paraId="4EEE0E4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1DA76C6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3AF6696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1A35B6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1245" w:type="dxa"/>
          </w:tcPr>
          <w:p w14:paraId="19B108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245" w:type="dxa"/>
          </w:tcPr>
          <w:p w14:paraId="379ADA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1245" w:type="dxa"/>
          </w:tcPr>
          <w:p w14:paraId="4ABBB25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1DB491E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334E723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C24B54A" w14:textId="77777777" w:rsidTr="00EA0DA7">
        <w:tc>
          <w:tcPr>
            <w:tcW w:w="1245" w:type="dxa"/>
          </w:tcPr>
          <w:p w14:paraId="6E7856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Пушки</w:t>
            </w:r>
          </w:p>
        </w:tc>
        <w:tc>
          <w:tcPr>
            <w:tcW w:w="1245" w:type="dxa"/>
          </w:tcPr>
          <w:p w14:paraId="198D75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1x20</w:t>
            </w:r>
          </w:p>
        </w:tc>
        <w:tc>
          <w:tcPr>
            <w:tcW w:w="1245" w:type="dxa"/>
          </w:tcPr>
          <w:p w14:paraId="62D042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1x20</w:t>
            </w:r>
          </w:p>
        </w:tc>
        <w:tc>
          <w:tcPr>
            <w:tcW w:w="1245" w:type="dxa"/>
          </w:tcPr>
          <w:p w14:paraId="6A9E71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5B7932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539A22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5B1F6C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5F83E0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1x23</w:t>
            </w:r>
          </w:p>
        </w:tc>
        <w:tc>
          <w:tcPr>
            <w:tcW w:w="1245" w:type="dxa"/>
          </w:tcPr>
          <w:p w14:paraId="615385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1x20</w:t>
            </w:r>
          </w:p>
        </w:tc>
      </w:tr>
      <w:tr w:rsidR="00983732" w:rsidRPr="00A3026E" w14:paraId="6ECFB228" w14:textId="77777777" w:rsidTr="00EA0DA7">
        <w:tc>
          <w:tcPr>
            <w:tcW w:w="1245" w:type="dxa"/>
          </w:tcPr>
          <w:p w14:paraId="074BC9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Боекомплект пушек, снарядов</w:t>
            </w:r>
          </w:p>
        </w:tc>
        <w:tc>
          <w:tcPr>
            <w:tcW w:w="1245" w:type="dxa"/>
          </w:tcPr>
          <w:p w14:paraId="016EAF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tc>
        <w:tc>
          <w:tcPr>
            <w:tcW w:w="1245" w:type="dxa"/>
          </w:tcPr>
          <w:p w14:paraId="0E50BA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1245" w:type="dxa"/>
          </w:tcPr>
          <w:p w14:paraId="49FCFB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09485C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380C20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443ED1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38FDE4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tc>
        <w:tc>
          <w:tcPr>
            <w:tcW w:w="1245" w:type="dxa"/>
          </w:tcPr>
          <w:p w14:paraId="7F39FD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06FE7CCC" w14:textId="77777777" w:rsidTr="00EA0DA7">
        <w:tc>
          <w:tcPr>
            <w:tcW w:w="1245" w:type="dxa"/>
            <w:tcBorders>
              <w:bottom w:val="single" w:sz="12" w:space="0" w:color="auto"/>
            </w:tcBorders>
          </w:tcPr>
          <w:p w14:paraId="30F29D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Дата первого полета</w:t>
            </w:r>
          </w:p>
        </w:tc>
        <w:tc>
          <w:tcPr>
            <w:tcW w:w="1245" w:type="dxa"/>
            <w:tcBorders>
              <w:bottom w:val="single" w:sz="12" w:space="0" w:color="auto"/>
            </w:tcBorders>
          </w:tcPr>
          <w:p w14:paraId="66A218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11.7.40</w:t>
            </w:r>
          </w:p>
        </w:tc>
        <w:tc>
          <w:tcPr>
            <w:tcW w:w="1245" w:type="dxa"/>
            <w:tcBorders>
              <w:bottom w:val="single" w:sz="12" w:space="0" w:color="auto"/>
            </w:tcBorders>
          </w:tcPr>
          <w:p w14:paraId="739924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13.1.40</w:t>
            </w:r>
          </w:p>
        </w:tc>
        <w:tc>
          <w:tcPr>
            <w:tcW w:w="1245" w:type="dxa"/>
            <w:tcBorders>
              <w:bottom w:val="single" w:sz="12" w:space="0" w:color="auto"/>
            </w:tcBorders>
          </w:tcPr>
          <w:p w14:paraId="550AB3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10.6.39</w:t>
            </w:r>
          </w:p>
        </w:tc>
        <w:tc>
          <w:tcPr>
            <w:tcW w:w="1245" w:type="dxa"/>
            <w:tcBorders>
              <w:bottom w:val="single" w:sz="12" w:space="0" w:color="auto"/>
            </w:tcBorders>
          </w:tcPr>
          <w:p w14:paraId="16A6DF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10.2.40</w:t>
            </w:r>
          </w:p>
        </w:tc>
        <w:tc>
          <w:tcPr>
            <w:tcW w:w="1245" w:type="dxa"/>
            <w:tcBorders>
              <w:bottom w:val="single" w:sz="12" w:space="0" w:color="auto"/>
            </w:tcBorders>
          </w:tcPr>
          <w:p w14:paraId="1AD24F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5.4.40</w:t>
            </w:r>
          </w:p>
        </w:tc>
        <w:tc>
          <w:tcPr>
            <w:tcW w:w="1245" w:type="dxa"/>
            <w:tcBorders>
              <w:bottom w:val="single" w:sz="12" w:space="0" w:color="auto"/>
            </w:tcBorders>
          </w:tcPr>
          <w:p w14:paraId="114AD9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23.4.40</w:t>
            </w:r>
          </w:p>
        </w:tc>
        <w:tc>
          <w:tcPr>
            <w:tcW w:w="1245" w:type="dxa"/>
            <w:tcBorders>
              <w:bottom w:val="single" w:sz="12" w:space="0" w:color="auto"/>
            </w:tcBorders>
          </w:tcPr>
          <w:p w14:paraId="7F79D4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31.3.40</w:t>
            </w:r>
          </w:p>
        </w:tc>
        <w:tc>
          <w:tcPr>
            <w:tcW w:w="1245" w:type="dxa"/>
            <w:tcBorders>
              <w:bottom w:val="single" w:sz="12" w:space="0" w:color="auto"/>
            </w:tcBorders>
          </w:tcPr>
          <w:p w14:paraId="7FD0C4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15.6.40</w:t>
            </w:r>
          </w:p>
        </w:tc>
      </w:tr>
    </w:tbl>
    <w:p w14:paraId="6C064F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 расчетные данные (12048).</w:t>
      </w:r>
    </w:p>
    <w:p w14:paraId="4929FC8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B036F3E" w14:textId="77777777" w:rsidR="007E5973" w:rsidRPr="00A3026E" w:rsidRDefault="007E5973"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hAnsi="Times New Roman"/>
          <w:color w:val="0070C0"/>
          <w:sz w:val="16"/>
          <w:szCs w:val="16"/>
        </w:rPr>
        <w:t>7 октября 1940 года в сводке наркомата от о ходе испытаний опытных самолетов значилось: «На втором экземпляре самолета (И-301 №2) заканчивается монтаж винтомоторной группы и управления. На самолете начата работа по установке дополнительных бензобаков в консолях крыльев (общее количество горючего будет 400 кг), а также установка двух пулеметов ШКАС в разъеме крыла… Кроме того, предусмотрена установка РС и подвесных бензобаков» (23197).</w:t>
      </w:r>
    </w:p>
    <w:p w14:paraId="0DCF7D6F" w14:textId="77777777" w:rsidR="007E5973" w:rsidRPr="00A3026E" w:rsidRDefault="007E5973"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6AC9987D" w14:textId="77777777" w:rsidR="00C66762" w:rsidRPr="00A3026E" w:rsidRDefault="00C66762"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7 октября 1940 в контрольном листе № учета выполнения постановления правительства № от 29 июля 1939 контролером Вахрушевым была сделана запись:</w:t>
      </w:r>
    </w:p>
    <w:p w14:paraId="52EBDE42" w14:textId="77777777" w:rsidR="00C66762" w:rsidRPr="00A3026E" w:rsidRDefault="00C66762"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Изготовленный самолет И-190 с М-88 при  заводских испытангиях показал неудовлетворительные данные и на госиспытания на предъявлялся.</w:t>
      </w:r>
    </w:p>
    <w:p w14:paraId="3DBA64B7" w14:textId="77777777" w:rsidR="00C66762" w:rsidRPr="00A3026E" w:rsidRDefault="00C66762"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2-й экз. Самолета И-190 с М-88ТК снят с постройки согласно Пост. № 127сс от 4 марта 1940.</w:t>
      </w:r>
    </w:p>
    <w:p w14:paraId="32B6990C" w14:textId="77777777" w:rsidR="00C66762" w:rsidRPr="00A3026E" w:rsidRDefault="00C66762"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Снят с постройки 4-й экз. Самолета И-180 с М-88ТК согласно Пост. № 127сс от 4 марта 1940 (9990).</w:t>
      </w:r>
    </w:p>
    <w:p w14:paraId="221A2FA9" w14:textId="77777777" w:rsidR="00C66762" w:rsidRPr="00A3026E" w:rsidRDefault="00C66762" w:rsidP="00A3026E">
      <w:pPr>
        <w:pStyle w:val="26"/>
        <w:shd w:val="clear" w:color="auto" w:fill="auto"/>
        <w:spacing w:after="0" w:line="240" w:lineRule="auto"/>
        <w:ind w:firstLine="0"/>
        <w:rPr>
          <w:rFonts w:ascii="Times New Roman" w:cs="Times New Roman"/>
          <w:color w:val="000000" w:themeColor="text1"/>
          <w:spacing w:val="0"/>
        </w:rPr>
      </w:pPr>
    </w:p>
    <w:p w14:paraId="61A339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октября 1940 состоялось совещание постоянной комиссии НКАП по рассмотрению эскизных проектов (протокол 14). Рассмотрели:</w:t>
      </w:r>
    </w:p>
    <w:p w14:paraId="4DD2FB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дальнего истребителя сопровождения ДИС П.Д.Грушина, завод 135 с 2хАМ-37 - одноместного свободнонесущего моноплана смешанной конструкции (деревянная хвостовая часть). Сделали вывод: "Самолет сопровождения на 1941 еще никому не поручался и поэтому его как весьма актуальный тип целесообразно строить" В примечании указано, что в момент принятия выводов в комиссию поступило 7 аналогичных проектов (1448,113).</w:t>
      </w:r>
    </w:p>
    <w:p w14:paraId="3210FC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дальнего истребителя сопровождения (ДИС) с 2хАМ-37 ГК завода 1 А.И.М. - низкоплана смешанной конструкции с деревянными консолями, оперением и средней частью фюзеляжа. Пушка, БС и ШКАС, бомбометание с пикирования (есть тормоза). Заключение: Ввиду того, что весьма близких проектов этого типа представлено уже 7, следует поручить постройку таких машин не более как 3-м ГК, а именно Н.Н.П., А.И.М. и П.Д.Грушину (1448,119).</w:t>
      </w:r>
    </w:p>
    <w:p w14:paraId="50AE99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тяжелого истребителя сопровождения (ТИС) под 2хАМ-35А или АМ-37 ГК завода 51 Н.Н.П. - цельнометаллического моноплана с низкорасположенным крылом и разнесенным оперением. Заключение: Ввиду того, что весьма близких проектов этого типа представлено уже 7, следует поручить постройку таких машин не более как 3-м ГК, а именно Н.Н.П., А.И.М. и П.Д.Грушину (1448,123).</w:t>
      </w:r>
    </w:p>
    <w:p w14:paraId="5543F7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эскизные проекты Кочеригина с просьбой дать указания по работе над любым одним из них:</w:t>
      </w:r>
    </w:p>
    <w:p w14:paraId="2B7FA8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ab/>
        <w:t>- двухмоторного 2хАМ-37 истребителя танков в трех вариантах вооружения (пушечный, ПБ, торпедоносец).</w:t>
      </w:r>
    </w:p>
    <w:p w14:paraId="5B6DBF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ab/>
        <w:t>- одноместного ПБ с М-37</w:t>
      </w:r>
    </w:p>
    <w:p w14:paraId="1C55CA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ab/>
        <w:t>- летающего танка (одноместного бронированного штурмовика с мотором АМ-38</w:t>
      </w:r>
    </w:p>
    <w:p w14:paraId="224B83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Общее заключение: Ввиду отсутствия расчетов и обоснований к предложениям дать заключение о выборе одного из них для реализации не представляется возможным (1448,138).</w:t>
      </w:r>
    </w:p>
    <w:p w14:paraId="45FB70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одноместного учебно-тренировочного самолета с МВ-6 конструкции Гоцелюк - одномоторного моноплана смешанной конструкции (металлический фюзеляж и оперение) с низкорасположенным крылом, открытой кабиной и полуубирающимся шасси, одним пулеметом через винт и ФП. Вывод: "Ввиду того, что задание по аналогичному самолету утверждено т. Грибовскому, самолет которого находится в производстве, считать постройку нецелесообразной (1448,106).</w:t>
      </w:r>
    </w:p>
    <w:p w14:paraId="5A238F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самолета СК-3 увеличенной дальности - истребителя сопровождения и дальнего быстроходного разведчика - нач. 26 отдела ЦАГИ Бисноват - самолета, близкого по схеме к М-110. Заключение: ЛД завышены. У автора нет базы для постройки. Аналогичные задания даны КБ с мощными базами. Поэтому постройка нецелесообразна (1449,175).</w:t>
      </w:r>
    </w:p>
    <w:p w14:paraId="2152E2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одномоторного корабельного разведчика и легкого катапультного ПБ конструкции Москалева САМ-19. Одномоторный лодочный свободнонесущий моноплан с крылом типа чайка, убирающимися в лодку поплавками и двумя толкающими соосными винтами. Мотор водяного охлаждения. В перегруз - до 200 кг. По схеме подобен морскому ближнему разведчику МБР-7 М-103 Г.М.Б. Вывод: "Несоответствие требованиям в части максимальной скорости, примерно, на 30 км/час, большой реактивный момент, обнаруженный у МБР-7 М-103 Г.М.Б., а также из-за отсутствия в отечественной промышленности моторов с соосными винтами, от постройки воздержаться." (1448,191).</w:t>
      </w:r>
    </w:p>
    <w:p w14:paraId="03D6CA8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2244906" w14:textId="77777777" w:rsidR="00DD4EE2" w:rsidRPr="00A3026E" w:rsidRDefault="00DD4EE2" w:rsidP="00A3026E">
      <w:pPr>
        <w:pStyle w:val="book-paragraph"/>
        <w:spacing w:before="0" w:beforeAutospacing="0" w:after="0" w:afterAutospacing="0"/>
        <w:jc w:val="both"/>
        <w:rPr>
          <w:color w:val="000000" w:themeColor="text1"/>
          <w:sz w:val="16"/>
          <w:szCs w:val="16"/>
        </w:rPr>
      </w:pPr>
      <w:r w:rsidRPr="00A3026E">
        <w:rPr>
          <w:color w:val="000000" w:themeColor="text1"/>
          <w:sz w:val="16"/>
          <w:szCs w:val="16"/>
        </w:rPr>
        <w:t>7 октября 1940 года Грушин представил подготовленный харьковчанами проект самолета ДИС-135 на рассмотрение комиссии, возглавляемой Б. И. Юрьевым, а одним из членов комиссии, как уже говорилось, являлся Грушин. Комиссия представленный эскизный проект самолета одобрила, и спустя три дня протокол ее заседания был утвержден заместителем наркома А. С. Яковлевым с резолюцией: «Включить задание Грушину на ДИС-135 в план 1941 года» (18995).</w:t>
      </w:r>
    </w:p>
    <w:p w14:paraId="25125CEC" w14:textId="77777777" w:rsidR="00DD4EE2" w:rsidRPr="00A3026E" w:rsidRDefault="00DD4EE2" w:rsidP="00A3026E">
      <w:pPr>
        <w:pStyle w:val="book-paragraph"/>
        <w:spacing w:before="0" w:beforeAutospacing="0" w:after="0" w:afterAutospacing="0"/>
        <w:jc w:val="both"/>
        <w:rPr>
          <w:color w:val="000000" w:themeColor="text1"/>
          <w:sz w:val="16"/>
          <w:szCs w:val="16"/>
        </w:rPr>
      </w:pPr>
    </w:p>
    <w:p w14:paraId="4C83993C" w14:textId="77777777" w:rsidR="00D2328C" w:rsidRPr="00A3026E" w:rsidRDefault="00D2328C" w:rsidP="00A3026E">
      <w:pPr>
        <w:pStyle w:val="26"/>
        <w:shd w:val="clear" w:color="auto" w:fill="auto"/>
        <w:spacing w:after="0" w:line="240" w:lineRule="auto"/>
        <w:ind w:firstLine="0"/>
        <w:rPr>
          <w:rStyle w:val="aff6"/>
          <w:rFonts w:ascii="Times New Roman" w:eastAsia="Arial Narrow" w:hAnsi="Times New Roman" w:cs="Times New Roman"/>
          <w:i w:val="0"/>
          <w:color w:val="000000" w:themeColor="text1"/>
          <w:spacing w:val="0"/>
        </w:rPr>
      </w:pPr>
      <w:r w:rsidRPr="00A3026E">
        <w:rPr>
          <w:rFonts w:ascii="Times New Roman" w:cs="Times New Roman"/>
          <w:color w:val="000000" w:themeColor="text1"/>
          <w:spacing w:val="0"/>
        </w:rPr>
        <w:t>7 октя</w:t>
      </w:r>
      <w:r w:rsidRPr="00A3026E">
        <w:rPr>
          <w:rFonts w:ascii="Times New Roman" w:cs="Times New Roman"/>
          <w:color w:val="000000" w:themeColor="text1"/>
          <w:spacing w:val="0"/>
        </w:rPr>
        <w:softHyphen/>
        <w:t>бря 1940 г. в заключении протокола от по рассмотрению эскизно</w:t>
      </w:r>
      <w:r w:rsidRPr="00A3026E">
        <w:rPr>
          <w:rFonts w:ascii="Times New Roman" w:cs="Times New Roman"/>
          <w:color w:val="000000" w:themeColor="text1"/>
          <w:spacing w:val="0"/>
        </w:rPr>
        <w:softHyphen/>
        <w:t>го проекта дальнего истребителя сопро</w:t>
      </w:r>
      <w:r w:rsidRPr="00A3026E">
        <w:rPr>
          <w:rFonts w:ascii="Times New Roman" w:cs="Times New Roman"/>
          <w:color w:val="000000" w:themeColor="text1"/>
          <w:spacing w:val="0"/>
        </w:rPr>
        <w:softHyphen/>
        <w:t>вождения ДИС-200 ОКБ А.И. Микояна председатель Экспертной комиссии ака</w:t>
      </w:r>
      <w:r w:rsidRPr="00A3026E">
        <w:rPr>
          <w:rFonts w:ascii="Times New Roman" w:cs="Times New Roman"/>
          <w:color w:val="000000" w:themeColor="text1"/>
          <w:spacing w:val="0"/>
        </w:rPr>
        <w:softHyphen/>
        <w:t>демик Б.Н. Юрьев собственноручно на</w:t>
      </w:r>
      <w:r w:rsidRPr="00A3026E">
        <w:rPr>
          <w:rFonts w:ascii="Times New Roman" w:cs="Times New Roman"/>
          <w:color w:val="000000" w:themeColor="text1"/>
          <w:spacing w:val="0"/>
        </w:rPr>
        <w:softHyphen/>
        <w:t>чертал:</w:t>
      </w:r>
      <w:r w:rsidRPr="00A3026E">
        <w:rPr>
          <w:rStyle w:val="aff6"/>
          <w:rFonts w:ascii="Times New Roman" w:eastAsia="Arial Narrow" w:hAnsi="Times New Roman" w:cs="Times New Roman"/>
          <w:i w:val="0"/>
          <w:color w:val="000000" w:themeColor="text1"/>
          <w:spacing w:val="0"/>
        </w:rPr>
        <w:t xml:space="preserve"> «В виду того, что весьма близ</w:t>
      </w:r>
      <w:r w:rsidRPr="00A3026E">
        <w:rPr>
          <w:rStyle w:val="aff6"/>
          <w:rFonts w:ascii="Times New Roman" w:eastAsia="Arial Narrow" w:hAnsi="Times New Roman" w:cs="Times New Roman"/>
          <w:i w:val="0"/>
          <w:color w:val="000000" w:themeColor="text1"/>
          <w:spacing w:val="0"/>
        </w:rPr>
        <w:softHyphen/>
        <w:t>ких проектов этого типа самолетов уже представлено 7, следует поручить по</w:t>
      </w:r>
      <w:r w:rsidRPr="00A3026E">
        <w:rPr>
          <w:rStyle w:val="aff6"/>
          <w:rFonts w:ascii="Times New Roman" w:eastAsia="Arial Narrow" w:hAnsi="Times New Roman" w:cs="Times New Roman"/>
          <w:i w:val="0"/>
          <w:color w:val="000000" w:themeColor="text1"/>
          <w:spacing w:val="0"/>
        </w:rPr>
        <w:softHyphen/>
        <w:t>стройку таких машин не более как трем главным конструкторам, а именно Поли</w:t>
      </w:r>
      <w:r w:rsidRPr="00A3026E">
        <w:rPr>
          <w:rStyle w:val="aff6"/>
          <w:rFonts w:ascii="Times New Roman" w:eastAsia="Arial Narrow" w:hAnsi="Times New Roman" w:cs="Times New Roman"/>
          <w:i w:val="0"/>
          <w:color w:val="000000" w:themeColor="text1"/>
          <w:spacing w:val="0"/>
        </w:rPr>
        <w:softHyphen/>
        <w:t>карпову, Микояну и Грушину» (15755).</w:t>
      </w:r>
    </w:p>
    <w:p w14:paraId="6F9A61EB" w14:textId="77777777" w:rsidR="00D2328C" w:rsidRPr="00A3026E" w:rsidRDefault="00D2328C" w:rsidP="00A3026E">
      <w:pPr>
        <w:pStyle w:val="26"/>
        <w:shd w:val="clear" w:color="auto" w:fill="auto"/>
        <w:spacing w:after="0" w:line="240" w:lineRule="auto"/>
        <w:ind w:firstLine="0"/>
        <w:rPr>
          <w:rFonts w:ascii="Times New Roman" w:cs="Times New Roman"/>
          <w:color w:val="000000" w:themeColor="text1"/>
          <w:spacing w:val="0"/>
        </w:rPr>
      </w:pPr>
    </w:p>
    <w:p w14:paraId="10AB6D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октября 1940 на АНТ-44 бис И.М.Сухомлиным и И.Козыркиным на АНТ-44 бис был установлен рекорд скорости 241.9 км/час с нагрузкой 2000 кг на дистанции 1000 км (4,139).</w:t>
      </w:r>
    </w:p>
    <w:p w14:paraId="1B90099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CBC5A8" w14:textId="77777777" w:rsidR="00D2328C" w:rsidRPr="00A3026E" w:rsidRDefault="00D2328C" w:rsidP="00A3026E">
      <w:pPr>
        <w:spacing w:after="0" w:line="240" w:lineRule="auto"/>
        <w:jc w:val="both"/>
        <w:rPr>
          <w:rStyle w:val="ucoz-forum-post"/>
          <w:rFonts w:ascii="Times New Roman" w:eastAsia="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7 октября 1940 года</w:t>
      </w:r>
      <w:r w:rsidRPr="00A3026E">
        <w:rPr>
          <w:rStyle w:val="ucoz-forum-post"/>
          <w:rFonts w:ascii="Times New Roman" w:eastAsia="Times New Roman" w:hAnsi="Times New Roman"/>
          <w:color w:val="000000" w:themeColor="text1"/>
          <w:sz w:val="16"/>
          <w:szCs w:val="16"/>
        </w:rPr>
        <w:t xml:space="preserve"> На АНТ-44Д экипажем И.М.Сухомлина был установлен мировой рекорд скорости 241,909 км/ч на дистанции 1000 км с грузом 2000 кг. Этот рекорд был утвержден ФАИ после окончания ВОВ и не был перекрыт за рубежом до 1957 года (14792).</w:t>
      </w:r>
    </w:p>
    <w:p w14:paraId="476AB0E5" w14:textId="77777777" w:rsidR="00D2328C" w:rsidRPr="00A3026E" w:rsidRDefault="00D2328C" w:rsidP="00A3026E">
      <w:pPr>
        <w:spacing w:after="0" w:line="240" w:lineRule="auto"/>
        <w:jc w:val="both"/>
        <w:rPr>
          <w:rStyle w:val="ucoz-forum-post"/>
          <w:rFonts w:ascii="Times New Roman" w:eastAsia="Times New Roman" w:hAnsi="Times New Roman"/>
          <w:color w:val="000000" w:themeColor="text1"/>
          <w:sz w:val="16"/>
          <w:szCs w:val="16"/>
        </w:rPr>
      </w:pPr>
    </w:p>
    <w:p w14:paraId="63112C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октября 1940 года Зам начальника НИИ ВВС утвердил Заключение по рационализаторскому предложению Самофалова К.С.</w:t>
      </w:r>
    </w:p>
    <w:p w14:paraId="24E775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Исполнитель в/инженер 3 ранга Панюшкин М.</w:t>
      </w:r>
    </w:p>
    <w:p w14:paraId="5E8C78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заключается в переносе места борттехника.</w:t>
      </w:r>
    </w:p>
    <w:p w14:paraId="4DFA52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730749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как снижающее боеспособность корабля – отклонить (4631).</w:t>
      </w:r>
    </w:p>
    <w:p w14:paraId="38F5038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94D0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 о ходе испытаний опытных самолетов на 7 октября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9"/>
        <w:gridCol w:w="8448"/>
      </w:tblGrid>
      <w:tr w:rsidR="00983732" w:rsidRPr="00A3026E" w14:paraId="33C62ED4" w14:textId="77777777" w:rsidTr="00EA0DA7">
        <w:tc>
          <w:tcPr>
            <w:tcW w:w="3119" w:type="dxa"/>
          </w:tcPr>
          <w:p w14:paraId="2A02ED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самолета</w:t>
            </w:r>
          </w:p>
        </w:tc>
        <w:tc>
          <w:tcPr>
            <w:tcW w:w="8448" w:type="dxa"/>
          </w:tcPr>
          <w:p w14:paraId="4D4D91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работ</w:t>
            </w:r>
          </w:p>
        </w:tc>
      </w:tr>
      <w:tr w:rsidR="00983732" w:rsidRPr="00A3026E" w14:paraId="69267594" w14:textId="77777777" w:rsidTr="00EA0DA7">
        <w:tc>
          <w:tcPr>
            <w:tcW w:w="3119" w:type="dxa"/>
          </w:tcPr>
          <w:p w14:paraId="54FF54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И-135 "330" М-105П – гл. конструктор Сухой</w:t>
            </w:r>
          </w:p>
          <w:p w14:paraId="625BA7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135</w:t>
            </w:r>
          </w:p>
          <w:p w14:paraId="713F34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w:t>
            </w:r>
          </w:p>
        </w:tc>
        <w:tc>
          <w:tcPr>
            <w:tcW w:w="8448" w:type="dxa"/>
          </w:tcPr>
          <w:p w14:paraId="20C4BB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продолжал заводские испытания и до 5 октября на нем были произведены полеты на сверхмаксимальную скорость и исследование баффинтинга (см. предыдущую сводку).</w:t>
            </w:r>
          </w:p>
          <w:p w14:paraId="3649550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4F4C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период с 30 сентября по 5 октября были произведены следующие работы:</w:t>
            </w:r>
          </w:p>
          <w:p w14:paraId="1B28410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Определение взлетно-посадочных свойств самолета – 15 полетов 40 минут – 1 октября 1940 года.</w:t>
            </w:r>
          </w:p>
          <w:p w14:paraId="725304A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2 октября 1940 года – полет на определение скоростей по высотам на 7000 и 6000 м продолжительностью 20 минут.</w:t>
            </w:r>
          </w:p>
          <w:p w14:paraId="75E752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полете на максимальной скорости на высоте 6000 м у мотора оборвались шатуны в 4-м и 10-м цилиндрах, пробило картер и погнуло брус моторной рамы. Посадка произведена нормально. Предварительное заключение по аварии мотора – дефект мотора.</w:t>
            </w:r>
          </w:p>
          <w:p w14:paraId="466699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в ночь с 3 по 4 октября перевезен на завод № 289 (Подлипки) для ремонта.</w:t>
            </w:r>
          </w:p>
        </w:tc>
      </w:tr>
      <w:tr w:rsidR="00983732" w:rsidRPr="00A3026E" w14:paraId="75F323DB" w14:textId="77777777" w:rsidTr="00EA0DA7">
        <w:tc>
          <w:tcPr>
            <w:tcW w:w="3119" w:type="dxa"/>
          </w:tcPr>
          <w:p w14:paraId="0379AC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М-105П – гл. конструкторы Горбунов, Лавочкин и Гудков</w:t>
            </w:r>
          </w:p>
          <w:p w14:paraId="6DDB56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301</w:t>
            </w:r>
          </w:p>
          <w:p w14:paraId="12805F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Заводские испытания.</w:t>
            </w:r>
          </w:p>
        </w:tc>
        <w:tc>
          <w:tcPr>
            <w:tcW w:w="8448" w:type="dxa"/>
          </w:tcPr>
          <w:p w14:paraId="61D10F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Ремонт самолета заканчивается. За период с 30 сентября по 5 октября произведены следующие работы: обшивка центроплана приклеена к каркасу, закончена установка шасси, окончен монтаж винтомоторной группы, утсановлены </w:t>
            </w:r>
            <w:r w:rsidRPr="00A3026E">
              <w:rPr>
                <w:rFonts w:ascii="Times New Roman" w:hAnsi="Times New Roman"/>
                <w:color w:val="000000" w:themeColor="text1"/>
                <w:sz w:val="16"/>
                <w:szCs w:val="16"/>
              </w:rPr>
              <w:lastRenderedPageBreak/>
              <w:t>отводящие рукава пулеметов БС, установлены звеньеулавливатели пулеметов ШКАС, сделано отверстие в хвостовой части для поднятия хвоста самолета, увеличен вырез для уборки костыля, заканчивается монтаж радиостанции.</w:t>
            </w:r>
          </w:p>
          <w:p w14:paraId="2C562B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производится покраска самолета, так как маляров в опытном цехе нет, а с серийных самолетов И-26 маляров не дают.</w:t>
            </w:r>
          </w:p>
          <w:p w14:paraId="00E270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Покраска же машины потребует не меньше трех дней.</w:t>
            </w:r>
          </w:p>
          <w:p w14:paraId="0A09D9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Ориентировочный срок выхода самолета на заводские испытания 12-15 октября 1940 года.</w:t>
            </w:r>
          </w:p>
          <w:p w14:paraId="36E4C5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втором экземпляре самолета заканчивается монтаж винтомоторной группы и управления. На самолете начата работа по установке дополнительных бензобаков в консолях крыльев (общее количество горючего будет 400 кг), а также установка двух пулеметов ШКАС в разъеме крыла.</w:t>
            </w:r>
          </w:p>
          <w:p w14:paraId="01717A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дублера таким образом будет:</w:t>
            </w:r>
          </w:p>
          <w:p w14:paraId="7977E4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 калибра 23 мм</w:t>
            </w:r>
          </w:p>
          <w:p w14:paraId="077A0B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пулеметов БС калибра 12,7 мм</w:t>
            </w:r>
          </w:p>
          <w:p w14:paraId="701D37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пулеметов ШКАС (синхронные).</w:t>
            </w:r>
          </w:p>
          <w:p w14:paraId="2BE7B1D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9EA5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пулеметов ШКАС (в разъеме крыла).</w:t>
            </w:r>
          </w:p>
          <w:p w14:paraId="4B2FC28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246EC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предусмотрена установка РС и подвесных бензобаков.</w:t>
            </w:r>
          </w:p>
        </w:tc>
      </w:tr>
      <w:tr w:rsidR="00983732" w:rsidRPr="00A3026E" w14:paraId="608AED94" w14:textId="77777777" w:rsidTr="00EA0DA7">
        <w:tc>
          <w:tcPr>
            <w:tcW w:w="3119" w:type="dxa"/>
          </w:tcPr>
          <w:p w14:paraId="0BB375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ДБ-240 – гл. конструктор Ермолаев</w:t>
            </w:r>
          </w:p>
          <w:p w14:paraId="7EACEA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240</w:t>
            </w:r>
          </w:p>
          <w:p w14:paraId="4ABBA5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Госиспытания.</w:t>
            </w:r>
          </w:p>
        </w:tc>
        <w:tc>
          <w:tcPr>
            <w:tcW w:w="8448" w:type="dxa"/>
          </w:tcPr>
          <w:p w14:paraId="1BC867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10 полетов продолжительностью 15 часов 40 минут, что составляет 40% программы госиспытаний.</w:t>
            </w:r>
          </w:p>
          <w:p w14:paraId="723E4B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Определены: скороподъемность, потолок, максимальные скорости по высотам и у земли, поведение самолета на сверхмаксимальной скорости. Исследована статическая и динамическая устойчивость самолета на трех центровках.</w:t>
            </w:r>
          </w:p>
          <w:p w14:paraId="5AEA71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Выявлено большое количество дефектов, из которых основнымиявляются:</w:t>
            </w:r>
          </w:p>
          <w:p w14:paraId="6F1A083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недостаточная прочность колес, резины шасси и резины хвостового колеса.</w:t>
            </w:r>
          </w:p>
          <w:p w14:paraId="54B94A4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Резкое захватывание тормозов колес шасси, что исключает возможность пользоваться ими при пробеге (дефект конструктивный).</w:t>
            </w:r>
          </w:p>
          <w:p w14:paraId="6363065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68F635A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r w:rsidRPr="00A3026E">
              <w:rPr>
                <w:rFonts w:ascii="Times New Roman" w:hAnsi="Times New Roman"/>
                <w:color w:val="000000" w:themeColor="text1"/>
                <w:sz w:val="16"/>
                <w:szCs w:val="16"/>
              </w:rPr>
              <w:tab/>
              <w:t>Недоведенность бомбардировочного вооружения.</w:t>
            </w:r>
          </w:p>
          <w:p w14:paraId="48762F6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r w:rsidRPr="00A3026E">
              <w:rPr>
                <w:rFonts w:ascii="Times New Roman" w:hAnsi="Times New Roman"/>
                <w:color w:val="000000" w:themeColor="text1"/>
                <w:sz w:val="16"/>
                <w:szCs w:val="16"/>
              </w:rPr>
              <w:tab/>
              <w:t>Частый прогар выхлопных патрубков.</w:t>
            </w:r>
          </w:p>
          <w:p w14:paraId="7905381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r w:rsidRPr="00A3026E">
              <w:rPr>
                <w:rFonts w:ascii="Times New Roman" w:hAnsi="Times New Roman"/>
                <w:color w:val="000000" w:themeColor="text1"/>
                <w:sz w:val="16"/>
                <w:szCs w:val="16"/>
              </w:rPr>
              <w:tab/>
              <w:t>Частый отказ тахометров, бензоманометров, газоанализаторов и др.</w:t>
            </w:r>
          </w:p>
          <w:p w14:paraId="5844C0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каждого полета, при осмотре самолета выявляются дефекты, на устранение которых затрачиваются 5-8 часов работы всей бригады.</w:t>
            </w:r>
          </w:p>
        </w:tc>
      </w:tr>
      <w:tr w:rsidR="00983732" w:rsidRPr="00A3026E" w14:paraId="275B6C81" w14:textId="77777777" w:rsidTr="00EA0DA7">
        <w:tc>
          <w:tcPr>
            <w:tcW w:w="3119" w:type="dxa"/>
          </w:tcPr>
          <w:p w14:paraId="4CC926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М-105П – гл. конструктор Яковлев</w:t>
            </w:r>
          </w:p>
          <w:p w14:paraId="5BE341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115</w:t>
            </w:r>
          </w:p>
          <w:p w14:paraId="384AEA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w:t>
            </w:r>
          </w:p>
        </w:tc>
        <w:tc>
          <w:tcPr>
            <w:tcW w:w="8448" w:type="dxa"/>
          </w:tcPr>
          <w:p w14:paraId="2D12F7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экземпляр самолета находится в цехе завода № 115. Производятся работы по переделке самолета. Устанавливается отъемная моторама, предкрылки, переделываются шасси и устанавливается мотор М-105П с трехскоростным нагнетателем. Производятся монтажные работы.</w:t>
            </w:r>
          </w:p>
          <w:p w14:paraId="4BAC1D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Третий экземпляр. На самолете произведено для полета на опробывание винтомоторной группы и пикирование до – 628 км/час.</w:t>
            </w:r>
          </w:p>
          <w:p w14:paraId="2502A9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 самолет перегнан в НИИ ВВС для заводского отстрела в тире.</w:t>
            </w:r>
          </w:p>
          <w:p w14:paraId="723674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отстреле в тире выяснилось, что стрелковое вооружение работает очень плохо и требуются большие переделки в монтаже вооружения.</w:t>
            </w:r>
          </w:p>
          <w:p w14:paraId="2E14BF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доводки и отстрела вооружения на земле и в воздухе, самолет будет передан на госиспытания.</w:t>
            </w:r>
          </w:p>
          <w:p w14:paraId="6D0C8F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на самолете произведено 24 полета 6 часов 27 минут.</w:t>
            </w:r>
          </w:p>
          <w:p w14:paraId="15DE73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Головной серийный самолет постройки завода № 301 4 октября 1940 года принят на госиспытания.</w:t>
            </w:r>
          </w:p>
          <w:p w14:paraId="120910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 один ознакомительный полет во время которого при давлении в воздушной системе 40 атм. шасси не убрались, в силу чего полет был прерван.</w:t>
            </w:r>
          </w:p>
          <w:p w14:paraId="00DC88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Уборку шасси возможно производить при давлении не менее 45 атм. при условии открытой полотняной части купола, а при закрытой части купола шасси вовсе не убирается.</w:t>
            </w:r>
          </w:p>
        </w:tc>
      </w:tr>
      <w:tr w:rsidR="00983732" w:rsidRPr="00A3026E" w14:paraId="521736DA" w14:textId="77777777" w:rsidTr="00EA0DA7">
        <w:tc>
          <w:tcPr>
            <w:tcW w:w="3119" w:type="dxa"/>
          </w:tcPr>
          <w:p w14:paraId="795E63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 АМ-35А – гл. конструктор Микоян</w:t>
            </w:r>
          </w:p>
          <w:p w14:paraId="3513C5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w:t>
            </w:r>
          </w:p>
          <w:p w14:paraId="528781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w:t>
            </w:r>
          </w:p>
        </w:tc>
        <w:tc>
          <w:tcPr>
            <w:tcW w:w="8448" w:type="dxa"/>
          </w:tcPr>
          <w:p w14:paraId="3377BB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 № 1. На самолете производятся (на заводе) испытания колес и заводские испытания заполнения бензобаков нейтральным газом. После замены 4-х слойной резины на 6-ти слойную произведено 137 полетов, после которых закончено разрушение 6-ти слойной резины. Самолет в нелетном состоянии, производится замена резины. Самолет готовится для предъявления на госиспытания установки нейтрального газа к 12 октября 1940 года.</w:t>
            </w:r>
          </w:p>
          <w:p w14:paraId="135044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 № 2. В НИИ ВВС на самолете производятся 50-ти часовые летные госиспытания мотора АМ-35А.</w:t>
            </w:r>
          </w:p>
          <w:p w14:paraId="0950A9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11 полетов. Потек водорадиатор. Самолет в нелетном состоянии ………………………</w:t>
            </w:r>
          </w:p>
          <w:p w14:paraId="767DC5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 № 03. Самолет на заводе № 1. Заменены металлические крылья на новые. Производятся установки и подгонка двух пушек Таубина под крыльями, после чего самолет направится на заводские испытания вооружения в НИИПАВ.</w:t>
            </w:r>
          </w:p>
        </w:tc>
      </w:tr>
      <w:tr w:rsidR="00983732" w:rsidRPr="00A3026E" w14:paraId="3820F5A8" w14:textId="77777777" w:rsidTr="00EA0DA7">
        <w:tc>
          <w:tcPr>
            <w:tcW w:w="3119" w:type="dxa"/>
          </w:tcPr>
          <w:p w14:paraId="5FA031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ОКО-6 2М-88 ред. – гл. конструктор Таиров</w:t>
            </w:r>
          </w:p>
          <w:p w14:paraId="1FA048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43</w:t>
            </w:r>
          </w:p>
          <w:p w14:paraId="630DC6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w:t>
            </w:r>
          </w:p>
        </w:tc>
        <w:tc>
          <w:tcPr>
            <w:tcW w:w="8448" w:type="dxa"/>
          </w:tcPr>
          <w:p w14:paraId="22855A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доставлен по ж/д в разобранном виде на аэродром Раменское-ЦАГИ для прохождения заводских испытаний. Начата сборка самолета, после чего предстоит работа:</w:t>
            </w:r>
          </w:p>
          <w:p w14:paraId="70EE6C5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Определение V кр. (тряска самолета силами ЦАГИ).</w:t>
            </w:r>
          </w:p>
          <w:p w14:paraId="05C03A0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A7DE28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Выяснение и решение вопроса о возможности работы моторов М-88 с редукторами (положение с нагнетателем не ясно).</w:t>
            </w:r>
          </w:p>
          <w:p w14:paraId="0A68F8D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81E293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r w:rsidRPr="00A3026E">
              <w:rPr>
                <w:rFonts w:ascii="Times New Roman" w:hAnsi="Times New Roman"/>
                <w:color w:val="000000" w:themeColor="text1"/>
                <w:sz w:val="16"/>
                <w:szCs w:val="16"/>
              </w:rPr>
              <w:tab/>
              <w:t>Подбор колес шасси.</w:t>
            </w:r>
          </w:p>
        </w:tc>
      </w:tr>
      <w:tr w:rsidR="00983732" w:rsidRPr="00A3026E" w14:paraId="1DF78C46" w14:textId="77777777" w:rsidTr="00EA0DA7">
        <w:tc>
          <w:tcPr>
            <w:tcW w:w="3119" w:type="dxa"/>
          </w:tcPr>
          <w:p w14:paraId="637D08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И-207/3 М-63 – гл. конструкторы Флоров, Боровков</w:t>
            </w:r>
          </w:p>
          <w:p w14:paraId="4EBAC6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207</w:t>
            </w:r>
          </w:p>
          <w:p w14:paraId="6E63AD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w:t>
            </w:r>
          </w:p>
        </w:tc>
        <w:tc>
          <w:tcPr>
            <w:tcW w:w="8448" w:type="dxa"/>
          </w:tcPr>
          <w:p w14:paraId="00F41C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года самолет в разобранном виде прибыл в НИИ. Сборка и нивеллировка самолета закончены 28 сентября. С 30 сентября 1940 года по 3 октября 1940 года на самолете произведены работы, предусмотренные программой испытаний.</w:t>
            </w:r>
          </w:p>
          <w:p w14:paraId="2FF92F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года произведено 2 полета: пробный и с корпусами 100 кг бомб для определения поведения самолета с бомбовой подвеской. В результатах полета выявлено:</w:t>
            </w:r>
          </w:p>
          <w:p w14:paraId="05A819B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Бомбовая подвеска вредного влияния на устойчивость, управляемость и взлетно-посадочные свойства самолета не оказывает.</w:t>
            </w:r>
          </w:p>
          <w:p w14:paraId="1CEF09C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Установленные на самолете нестандартные бомбовые замки имеют крупноконструктивный дефект. Замки сняты и отправлены на завод № 207 для изменения.</w:t>
            </w:r>
          </w:p>
          <w:p w14:paraId="195647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 произведен полет с 100 кг бомбами для бомбометания с пикирования под углом 45 градусов. Полет прошел нормально. Всего за время заводских испытаний произведено 3 полета общей продолжительностью 3 часа 30 минут.</w:t>
            </w:r>
          </w:p>
        </w:tc>
      </w:tr>
    </w:tbl>
    <w:p w14:paraId="3CCD0F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(3377, 26-29).</w:t>
      </w:r>
    </w:p>
    <w:p w14:paraId="21D81D7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AF03C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октября 1940 года зам. начальника вооружения и снабжения ВВС бригинженер П. Федоров писал письмо № 501213сс члену Хозяйственного совета по оборонной промышленности дивинженеру Репину</w:t>
      </w:r>
    </w:p>
    <w:p w14:paraId="6D45FB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Направляю сводку о ходе испытаний опытных самолетов по состоянию на 30 сентября 1940 года.</w:t>
      </w:r>
    </w:p>
    <w:p w14:paraId="30BD6B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упомянутое на 3 листах (3377, 30).</w:t>
      </w:r>
    </w:p>
    <w:p w14:paraId="6DCC54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 о ходе испытаний опытных самолетов на 30 сентября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9"/>
        <w:gridCol w:w="8448"/>
      </w:tblGrid>
      <w:tr w:rsidR="00983732" w:rsidRPr="00A3026E" w14:paraId="528DE1BF" w14:textId="77777777" w:rsidTr="00EA0DA7">
        <w:tc>
          <w:tcPr>
            <w:tcW w:w="3119" w:type="dxa"/>
          </w:tcPr>
          <w:p w14:paraId="52C365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самолета</w:t>
            </w:r>
          </w:p>
        </w:tc>
        <w:tc>
          <w:tcPr>
            <w:tcW w:w="8448" w:type="dxa"/>
          </w:tcPr>
          <w:p w14:paraId="2D207D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работ</w:t>
            </w:r>
          </w:p>
        </w:tc>
      </w:tr>
      <w:tr w:rsidR="00983732" w:rsidRPr="00A3026E" w14:paraId="3BAE2363" w14:textId="77777777" w:rsidTr="00EA0DA7">
        <w:tc>
          <w:tcPr>
            <w:tcW w:w="3119" w:type="dxa"/>
          </w:tcPr>
          <w:p w14:paraId="281A34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И-135 "330" М-105П – гл. конструктор Сухой</w:t>
            </w:r>
          </w:p>
          <w:p w14:paraId="106B63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135</w:t>
            </w:r>
          </w:p>
          <w:p w14:paraId="02C480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Заводские испытания (проводятся на заводе)</w:t>
            </w:r>
          </w:p>
        </w:tc>
        <w:tc>
          <w:tcPr>
            <w:tcW w:w="8448" w:type="dxa"/>
          </w:tcPr>
          <w:p w14:paraId="477DF7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 самолете возобновлены полеты после ремонта, в связи с посадкой без шасси при заводских испытаниях. Из программы заводских испытаний произведены следующие полеты: 23 сентябяр полет для определения наличия бафтинга. Вибрации типа бафтинга не обнаружено. На минимальных скоростях самолет устойчив. 24 сентября полет на сверхмаксимальную скорость. Получено по прибору 580 км/час на высоте 4000 м. Полет прошел нормально.</w:t>
            </w:r>
          </w:p>
          <w:p w14:paraId="467CC5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Ввиду нелетной погоды с самолета снято шасси для осмотра и устранения дефектов. Шасси снова смонтированы 27 сентября. 28 сентября произведено убирание шасси от мотора на земле. Шасси работает нормально.</w:t>
            </w:r>
          </w:p>
        </w:tc>
      </w:tr>
      <w:tr w:rsidR="00983732" w:rsidRPr="00A3026E" w14:paraId="7C898F70" w14:textId="77777777" w:rsidTr="00EA0DA7">
        <w:tc>
          <w:tcPr>
            <w:tcW w:w="3119" w:type="dxa"/>
          </w:tcPr>
          <w:p w14:paraId="229069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И-301 М-105П – гл. конструкторы Горбунов, Лавочкин и Гудков</w:t>
            </w:r>
          </w:p>
          <w:p w14:paraId="192959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301</w:t>
            </w:r>
          </w:p>
          <w:p w14:paraId="626DD4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 (проводятся на заводе).</w:t>
            </w:r>
          </w:p>
        </w:tc>
        <w:tc>
          <w:tcPr>
            <w:tcW w:w="8448" w:type="dxa"/>
          </w:tcPr>
          <w:p w14:paraId="2A8924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заканчивается ремонт после аварии 11 августа 1940 года. Производится монтаж вооружения (установка отводящих рукавов пулемета БС). Установка пушки ШВАК приостановлена, так как ее установка вносит большие переделки в самолете: уменьшение боезапаса БС, уменьшение емкости маслобака и др.</w:t>
            </w:r>
          </w:p>
          <w:p w14:paraId="6A5290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госиспытание самолет готовится в четырехпулеметном варианте. Идет монтаж винтомоторной группы и приборов в кабине летчика. Произведена окраска консолей крыльев. На аэродром самолет выйдет не раньше 5 октября 1940 года. Медленный темп работы по ремонту объясняется недостаточным количеством рабочей силы, часть которой занята на втором экземпляре и часть в Ленинграде на серийных самолетах.</w:t>
            </w:r>
          </w:p>
        </w:tc>
      </w:tr>
      <w:tr w:rsidR="00983732" w:rsidRPr="00A3026E" w14:paraId="43C82A8B" w14:textId="77777777" w:rsidTr="00EA0DA7">
        <w:tc>
          <w:tcPr>
            <w:tcW w:w="3119" w:type="dxa"/>
          </w:tcPr>
          <w:p w14:paraId="4450B7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 – гл. конструктор Ермолаев</w:t>
            </w:r>
          </w:p>
          <w:p w14:paraId="67A6D2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240</w:t>
            </w:r>
          </w:p>
          <w:p w14:paraId="05EAA6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Госиспытания.</w:t>
            </w:r>
          </w:p>
        </w:tc>
        <w:tc>
          <w:tcPr>
            <w:tcW w:w="8448" w:type="dxa"/>
          </w:tcPr>
          <w:p w14:paraId="1611CB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25 сентября самолет находится на аэродроме НИИ. 30 сентября самолет принят на госиспытания. С 25 по 30 сентября 1940 года производились наземные испытания вооружения и оборудования.</w:t>
            </w:r>
          </w:p>
        </w:tc>
      </w:tr>
      <w:tr w:rsidR="00983732" w:rsidRPr="00A3026E" w14:paraId="67891D97" w14:textId="77777777" w:rsidTr="00EA0DA7">
        <w:tc>
          <w:tcPr>
            <w:tcW w:w="3119" w:type="dxa"/>
          </w:tcPr>
          <w:p w14:paraId="7114F7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М-105П – гл. конструктор Яковлев</w:t>
            </w:r>
          </w:p>
          <w:p w14:paraId="4C5D59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115</w:t>
            </w:r>
          </w:p>
          <w:p w14:paraId="342CCC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Проводятся заводские испытания.</w:t>
            </w:r>
          </w:p>
        </w:tc>
        <w:tc>
          <w:tcPr>
            <w:tcW w:w="8448" w:type="dxa"/>
          </w:tcPr>
          <w:p w14:paraId="35ADAF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Полеты не производились. Производилась замена мотора после обнаруженной в моторе металлической стружки. На самолете не установлен маслорадиатор, который находится в промывке.</w:t>
            </w:r>
          </w:p>
          <w:p w14:paraId="633958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установки маслорадиатора на самолете должны производиться полеты на пикирование и стрельбу, после чего самолет должен поступить на госиспытания.</w:t>
            </w:r>
          </w:p>
          <w:p w14:paraId="2A0A48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с начала испытаний произведено 21 полет с налетом 5 часов 10 минут.</w:t>
            </w:r>
          </w:p>
        </w:tc>
      </w:tr>
      <w:tr w:rsidR="00983732" w:rsidRPr="00A3026E" w14:paraId="72164D6C" w14:textId="77777777" w:rsidTr="00EA0DA7">
        <w:tc>
          <w:tcPr>
            <w:tcW w:w="3119" w:type="dxa"/>
          </w:tcPr>
          <w:p w14:paraId="124119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 АМ-35А – гл. конструктор Микоян</w:t>
            </w:r>
          </w:p>
          <w:p w14:paraId="667090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Проводятся заводские испытания.</w:t>
            </w:r>
          </w:p>
        </w:tc>
        <w:tc>
          <w:tcPr>
            <w:tcW w:w="8448" w:type="dxa"/>
          </w:tcPr>
          <w:p w14:paraId="075994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23 по 30 сентября на самолетах, находящихся на заводе № 1:</w:t>
            </w:r>
          </w:p>
          <w:p w14:paraId="1299484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Экземпляр № 1 – производились испытания колес и радиатора (водяного) при посадках. После 35 посадок обнаружена трещина покрышки. При снятии и осмотре обнаружено, что покрышка имеет 4 слоя резины вместо предполагаемых 6 слоев. Дальнейшие испытания приостановлены до получения 6 слойных покрышек.</w:t>
            </w:r>
          </w:p>
          <w:p w14:paraId="1D7663E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Экземпляр № 2 – самолет готовится для летных испытаний мотора в НИИВВС.</w:t>
            </w:r>
          </w:p>
          <w:p w14:paraId="61E41A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передачи завод предполагает сделать 2 полета для проверки раскрутки винта на пикировании.</w:t>
            </w:r>
          </w:p>
          <w:p w14:paraId="06EA70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должен быть передан в НИИ ВВС 30 сентября.</w:t>
            </w:r>
          </w:p>
          <w:p w14:paraId="6AFC45F0"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3.</w:t>
            </w:r>
            <w:r w:rsidRPr="00A3026E">
              <w:rPr>
                <w:color w:val="000000" w:themeColor="text1"/>
                <w:lang w:val="ru-RU"/>
              </w:rPr>
              <w:tab/>
              <w:t>Экземпляр № 3 – по окончании испытаний в НИИ ВВС самолет передан на завод № 1 для доводки и устранения дефектов.</w:t>
            </w:r>
          </w:p>
          <w:p w14:paraId="6B13E7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на заводе разобран и производится доводка и устранение дефектов.</w:t>
            </w:r>
          </w:p>
          <w:p w14:paraId="759F0F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завод устанавливает две пушки Таубина под крылья. После установки пушек на самолете будут производиться в НИПАВ их заводские испытания.</w:t>
            </w:r>
          </w:p>
        </w:tc>
      </w:tr>
      <w:tr w:rsidR="00983732" w:rsidRPr="00A3026E" w14:paraId="0FBA3F4F" w14:textId="77777777" w:rsidTr="00EA0DA7">
        <w:tc>
          <w:tcPr>
            <w:tcW w:w="3119" w:type="dxa"/>
          </w:tcPr>
          <w:p w14:paraId="5CA50F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ОКО-6 2М-88 б/р – гл. конструктор Таиров</w:t>
            </w:r>
          </w:p>
          <w:p w14:paraId="435E4C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43</w:t>
            </w:r>
          </w:p>
        </w:tc>
        <w:tc>
          <w:tcPr>
            <w:tcW w:w="8448" w:type="dxa"/>
          </w:tcPr>
          <w:p w14:paraId="13B730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ОКО-6 2М-88 б/р поступил на повторные заводские испытания 19 августа 1940 года. После переделок произведено 2 полета:</w:t>
            </w:r>
          </w:p>
          <w:p w14:paraId="75CE2D2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Устойчивость на разбеге и пробеге по заявлению летчика стала хорошей. В смысле продольной устойчивости в полете улучшений нет:</w:t>
            </w:r>
          </w:p>
          <w:p w14:paraId="01A7C1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 зажатой ручкой на планировании небольшой запас устойчивости, на наборе самолет неустойчив;</w:t>
            </w:r>
          </w:p>
          <w:p w14:paraId="1BAFC2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со свободной ручкой и на планировании и на наборе – самолет неустойчив.</w:t>
            </w:r>
          </w:p>
          <w:p w14:paraId="40CF0B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рулежке проворачиваются покрышки колес шасси из-за отсутствия фиксаторов покрышек.</w:t>
            </w:r>
          </w:p>
          <w:p w14:paraId="61F64B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самолет не летает в ожидании новых колес и покрышек. Кроме того, убирается стреловидность крыла в плане вперед, посредством поворота консолей вокруг одного из узлов крепления крыла (это дает на 3% более переднюю центровку). Ориентировочный срок начала заводских испытаний 5-6 октября 1940 года.</w:t>
            </w:r>
          </w:p>
          <w:p w14:paraId="40BA2E4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Второй экземпляр самолета ОКО-6 2М-88 24 сентября отгружен из Киева в Москву на аэродром ЦАГИ-Раменское.</w:t>
            </w:r>
          </w:p>
          <w:p w14:paraId="418E6B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прибытии будут заменены 1 скорости нагнетателей моторов, колеса и покрышки шасси, после чего будет приступлено к заводским испытаниям.</w:t>
            </w:r>
          </w:p>
        </w:tc>
      </w:tr>
    </w:tbl>
    <w:p w14:paraId="771B6F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(3377, 31-33).</w:t>
      </w:r>
    </w:p>
    <w:p w14:paraId="7299E49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E48E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октября 1940 на 24-м заседании Коллегии НКАП:</w:t>
      </w:r>
    </w:p>
    <w:p w14:paraId="1F3B2C7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освободили Нач. 1 ГПИ Байдакова от должности и назначении Г.В.Вазиряна,</w:t>
      </w:r>
    </w:p>
    <w:p w14:paraId="3C2505D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назначили И.В.Окунева директором комбината № 150 (1160, 21).</w:t>
      </w:r>
    </w:p>
    <w:p w14:paraId="735E605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06A417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7-14 октября 1940 состоялось совещание представителей Главного Морского Штаба, морской авиации и ВМ академии. В выступлении г-м авиации С.Э.Склянский предложил для начала тренировки л построить наземную палубу типового авианосца (3412,3).</w:t>
      </w:r>
    </w:p>
    <w:p w14:paraId="6016D3D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6CA2D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октября 1940 для тов. Вознесенского была подготовлена Справка о положении на строительстве завода № 334 НКАП в г. Иркутске</w:t>
      </w:r>
    </w:p>
    <w:p w14:paraId="754A43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Комитета Обороны № 154сс от 11.6.39 г. НКАП был обязан построить скоростными методами моторный завод в г. Иркутске.</w:t>
      </w:r>
    </w:p>
    <w:p w14:paraId="3D1E48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Стролтелъно-монтажные работы были возложены на 32-ю строительную контору Наркомстроя, организованную в сентяоре месяце 1939 года в г. Иркутске.</w:t>
      </w:r>
    </w:p>
    <w:p w14:paraId="4DCD54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Ориентировочная сметная стоимость зааода № 334 определена в 350 млн. рублей. Срок окончания строительства - 1942 год. Об''ем строительных работ на 1940 определен постановлением СНК СССР № 395 от 23 марта 1940 в 3,5 млн. руб.</w:t>
      </w:r>
    </w:p>
    <w:p w14:paraId="592D3A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Проверкой строительства на месте, произведенной в связи с пись</w:t>
      </w:r>
      <w:r w:rsidRPr="00A3026E">
        <w:rPr>
          <w:rFonts w:ascii="Times New Roman" w:hAnsi="Times New Roman"/>
          <w:color w:val="000000" w:themeColor="text1"/>
          <w:sz w:val="16"/>
          <w:szCs w:val="16"/>
        </w:rPr>
        <w:softHyphen/>
        <w:t>мом бывшего упразляющего конторой Балашова на имя тов. Сталлна, уста</w:t>
      </w:r>
      <w:r w:rsidRPr="00A3026E">
        <w:rPr>
          <w:rFonts w:ascii="Times New Roman" w:hAnsi="Times New Roman"/>
          <w:color w:val="000000" w:themeColor="text1"/>
          <w:sz w:val="16"/>
          <w:szCs w:val="16"/>
        </w:rPr>
        <w:softHyphen/>
        <w:t>новлено:</w:t>
      </w:r>
    </w:p>
    <w:p w14:paraId="372B5830"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color w:val="000000" w:themeColor="text1"/>
          <w:sz w:val="16"/>
          <w:szCs w:val="16"/>
        </w:rPr>
        <w:t>В 1939 году контора № 32 должна была освоить 810 тыс. рублей на подготовку временного жилья, складов и заготовку матэриалов. План на 1939 года конторой выполнен только на 30% (за счет заготовки материалов). План 1940 г. также систематически не выполнялся, однако, управляющий конторой Балашов в целях скрытия безобразной работы конторы и создания видимости благополучия на строительстве сообщал Главдальстрою завышенные показатели...</w:t>
      </w:r>
      <w:r w:rsidRPr="00A3026E">
        <w:rPr>
          <w:rFonts w:ascii="Times New Roman" w:hAnsi="Times New Roman"/>
          <w:smallCaps/>
          <w:color w:val="000000" w:themeColor="text1"/>
          <w:sz w:val="16"/>
          <w:szCs w:val="16"/>
        </w:rPr>
        <w:t>(10504,230).</w:t>
      </w:r>
    </w:p>
    <w:p w14:paraId="14E2E8AE"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60051A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октября 1940 г. вышло дополнение к инструкции завода №32 по монтажу ракет</w:t>
      </w:r>
      <w:r w:rsidRPr="00A3026E">
        <w:rPr>
          <w:rFonts w:ascii="Times New Roman" w:hAnsi="Times New Roman"/>
          <w:color w:val="000000" w:themeColor="text1"/>
          <w:sz w:val="16"/>
          <w:szCs w:val="16"/>
        </w:rPr>
        <w:softHyphen/>
        <w:t>ных орудий на бомбардировщике СБ гласило: «Установка РО на машине 8/314 пикирующего варианта отличается от непикирующего варианта тем, что имеется дополнительный переключатель электротока с ЭСБР-3 на ЭСБР-2 (связанный с кнопкой пилота). Таким образом, в зависимо</w:t>
      </w:r>
      <w:r w:rsidRPr="00A3026E">
        <w:rPr>
          <w:rFonts w:ascii="Times New Roman" w:hAnsi="Times New Roman"/>
          <w:color w:val="000000" w:themeColor="text1"/>
          <w:sz w:val="16"/>
          <w:szCs w:val="16"/>
        </w:rPr>
        <w:softHyphen/>
        <w:t>сти от задания - сбросить бомбы или отстрелять РС, пилот ставит пере</w:t>
      </w:r>
      <w:r w:rsidRPr="00A3026E">
        <w:rPr>
          <w:rFonts w:ascii="Times New Roman" w:hAnsi="Times New Roman"/>
          <w:color w:val="000000" w:themeColor="text1"/>
          <w:sz w:val="16"/>
          <w:szCs w:val="16"/>
        </w:rPr>
        <w:softHyphen/>
        <w:t>ключатель в положение «ПБ-3» или «РО». Монтаж самой установки РО и оборудование ее на машинах пикирующего варианта в остальном ни</w:t>
      </w:r>
      <w:r w:rsidRPr="00A3026E">
        <w:rPr>
          <w:rFonts w:ascii="Times New Roman" w:hAnsi="Times New Roman"/>
          <w:color w:val="000000" w:themeColor="text1"/>
          <w:sz w:val="16"/>
          <w:szCs w:val="16"/>
        </w:rPr>
        <w:softHyphen/>
        <w:t>чем не отличается от установки их на непикирующих вариантах, поэто</w:t>
      </w:r>
      <w:r w:rsidRPr="00A3026E">
        <w:rPr>
          <w:rFonts w:ascii="Times New Roman" w:hAnsi="Times New Roman"/>
          <w:color w:val="000000" w:themeColor="text1"/>
          <w:sz w:val="16"/>
          <w:szCs w:val="16"/>
        </w:rPr>
        <w:softHyphen/>
        <w:t>му инструкция завода 1940 г. для самолетов действительна и на пикиру</w:t>
      </w:r>
      <w:r w:rsidRPr="00A3026E">
        <w:rPr>
          <w:rFonts w:ascii="Times New Roman" w:hAnsi="Times New Roman"/>
          <w:color w:val="000000" w:themeColor="text1"/>
          <w:sz w:val="16"/>
          <w:szCs w:val="16"/>
        </w:rPr>
        <w:softHyphen/>
        <w:t>ющих вариантах» (11402).</w:t>
      </w:r>
    </w:p>
    <w:p w14:paraId="3ED1B3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DDD8C0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750E4A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56159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и 10 октября 1940 не удались попытки вооружить 210-мм пушку Бр-17 (Шкода) в районе АНИОПа ввиду слабого болотистого грунта. Вооружение удалось в 7 км от АНИОПа на мягком глинистом грунте. Руководство спешило и объявило, что испытания опытного образцы Бр-17 были не полигонными, а полигонно-войсковыми, и по результатам их пушка Бр-17 и бетонобойный выстрел к ней были рекомендованы к принятию на вооружение. Фугасный же снаряд испытаний не выдержал (3861).</w:t>
      </w:r>
    </w:p>
    <w:p w14:paraId="42C4935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A558F88" w14:textId="77777777" w:rsidR="001E2CF4" w:rsidRPr="00A3026E" w:rsidRDefault="001E2CF4" w:rsidP="00A3026E">
      <w:pPr>
        <w:pStyle w:val="ae"/>
        <w:shd w:val="clear" w:color="auto" w:fill="FFFFFF"/>
        <w:spacing w:before="0" w:after="0"/>
        <w:jc w:val="both"/>
        <w:rPr>
          <w:color w:val="000000" w:themeColor="text1"/>
          <w:sz w:val="16"/>
          <w:szCs w:val="16"/>
        </w:rPr>
      </w:pPr>
      <w:r w:rsidRPr="00A3026E">
        <w:rPr>
          <w:color w:val="000000" w:themeColor="text1"/>
          <w:sz w:val="16"/>
          <w:szCs w:val="16"/>
        </w:rPr>
        <w:t>С 7 по 11 октября 1940 года после восстановления танка 7ТП и составления технического описания проводились ходовые испытания. Машина прошла 312 километров, из них — 135 по шоссе, 118 — по просёлку, остальной километраж был пройден в ходе специспытаний. Максимальная скорость машины достигла 34,7 км/ч. Это оказалось чуть меньше, чем у Т-26, который развивал в тех же условиях 38 км/ч. Зато средняя скорость оказалась выше — 25 км/ч против 23,8 км/ч у Т-26. Запас хода составил 195 километров. Это оказалось больше, чем у Vickers Mk.E, но меньше, чем у Т-26 (269 километров), который имел топливные баки большего объёма. Вместе с тем, по расходу топлива дизельный двигатель польского танка был более экономичным.</w:t>
      </w:r>
    </w:p>
    <w:p w14:paraId="0F7011DA" w14:textId="77777777" w:rsidR="001E2CF4" w:rsidRPr="00A3026E" w:rsidRDefault="001E2CF4" w:rsidP="00A3026E">
      <w:pPr>
        <w:pStyle w:val="ae"/>
        <w:shd w:val="clear" w:color="auto" w:fill="FFFFFF"/>
        <w:spacing w:before="0" w:after="0"/>
        <w:jc w:val="both"/>
        <w:rPr>
          <w:color w:val="000000" w:themeColor="text1"/>
          <w:sz w:val="16"/>
          <w:szCs w:val="16"/>
        </w:rPr>
      </w:pPr>
      <w:r w:rsidRPr="00A3026E">
        <w:rPr>
          <w:color w:val="000000" w:themeColor="text1"/>
          <w:sz w:val="16"/>
          <w:szCs w:val="16"/>
        </w:rPr>
        <w:t>Преимущество дизеля особенно хорошо проявилось в ходе движения по просёлочной дороге. Средняя скорость 7TP по просёлку составила 17,2 км/ч, а Т-26 — 15,5 км/ч. Запас хода танков по просёлку составил 130 километров у 7TP и 159 километров у Т-26. При этом у 7TP общий объём баков составлял 110 литров, у Vickers Mk.E — 180 литров, а у Т-26 — 290 литров! Неудивительно, что советские военные тоже хотели для своих танков дизельные двигатели. Разница по массе между польским и советским танками оказалась очень небольшой (9,9 и 10,5 тонн соответственно).</w:t>
      </w:r>
    </w:p>
    <w:p w14:paraId="59698992" w14:textId="77777777" w:rsidR="001E2CF4" w:rsidRPr="00A3026E" w:rsidRDefault="001E2CF4" w:rsidP="00A3026E">
      <w:pPr>
        <w:pStyle w:val="ae"/>
        <w:shd w:val="clear" w:color="auto" w:fill="FFFFFF"/>
        <w:spacing w:before="0" w:after="0"/>
        <w:jc w:val="both"/>
        <w:rPr>
          <w:color w:val="000000" w:themeColor="text1"/>
          <w:sz w:val="16"/>
          <w:szCs w:val="16"/>
        </w:rPr>
      </w:pPr>
      <w:r w:rsidRPr="00A3026E">
        <w:rPr>
          <w:color w:val="000000" w:themeColor="text1"/>
          <w:sz w:val="16"/>
          <w:szCs w:val="16"/>
        </w:rPr>
        <w:t xml:space="preserve">Максимальный угол подъёма составил 32 градуса, дальше у польского танка начинали буксовать гусеницы. Сцепление гусениц оказалось ограничивающим фактором </w:t>
      </w:r>
      <w:r w:rsidRPr="00A3026E">
        <w:rPr>
          <w:color w:val="000000" w:themeColor="text1"/>
          <w:sz w:val="16"/>
          <w:szCs w:val="16"/>
        </w:rPr>
        <w:lastRenderedPageBreak/>
        <w:t xml:space="preserve">и при езде по косогорам. Максимальный уровень крена составил 20 градусов. Из-за проблем со сцеплением с поверхностью танк не смог преодолеть ров длиной 1,6 метра. Стоит отметить, что подобные характеристики Т-26 были не лучше. Подвеска Vickers Mk.E имела не только достоинства, но и недостатки. Именно поэтому американцы на </w:t>
      </w:r>
      <w:hyperlink r:id="rId28" w:history="1">
        <w:r w:rsidRPr="00A3026E">
          <w:rPr>
            <w:rStyle w:val="a5"/>
            <w:rFonts w:eastAsiaTheme="majorEastAsia"/>
            <w:color w:val="000000" w:themeColor="text1"/>
            <w:sz w:val="16"/>
            <w:szCs w:val="16"/>
          </w:rPr>
          <w:t>Light Tank T2</w:t>
        </w:r>
      </w:hyperlink>
      <w:r w:rsidRPr="00A3026E">
        <w:rPr>
          <w:color w:val="000000" w:themeColor="text1"/>
          <w:sz w:val="16"/>
          <w:szCs w:val="16"/>
        </w:rPr>
        <w:t xml:space="preserve"> от неё отказались, сделав новую подвеску с увеличенным диаметром опорных катков.</w:t>
      </w:r>
    </w:p>
    <w:p w14:paraId="40CF9AC7" w14:textId="77777777" w:rsidR="001E2CF4" w:rsidRPr="00A3026E" w:rsidRDefault="001E2CF4"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Ров шириной 1,6 метра и глубиной 0,5 метра польский танк преодолеть не смог </w:t>
      </w:r>
    </w:p>
    <w:p w14:paraId="77719DFB" w14:textId="77777777" w:rsidR="001E2CF4" w:rsidRPr="00A3026E" w:rsidRDefault="001E2CF4" w:rsidP="00A3026E">
      <w:pPr>
        <w:pStyle w:val="ae"/>
        <w:shd w:val="clear" w:color="auto" w:fill="FFFFFF"/>
        <w:spacing w:before="0" w:after="0"/>
        <w:jc w:val="both"/>
        <w:rPr>
          <w:color w:val="000000" w:themeColor="text1"/>
          <w:sz w:val="16"/>
          <w:szCs w:val="16"/>
        </w:rPr>
      </w:pPr>
      <w:r w:rsidRPr="00A3026E">
        <w:rPr>
          <w:color w:val="000000" w:themeColor="text1"/>
          <w:sz w:val="16"/>
          <w:szCs w:val="16"/>
        </w:rPr>
        <w:t xml:space="preserve">В отличие от японского лёгкого танка «Ха-Го», которому советские специалисты </w:t>
      </w:r>
      <w:hyperlink r:id="rId29" w:history="1">
        <w:r w:rsidRPr="00A3026E">
          <w:rPr>
            <w:rStyle w:val="a5"/>
            <w:rFonts w:eastAsiaTheme="majorEastAsia"/>
            <w:color w:val="000000" w:themeColor="text1"/>
            <w:sz w:val="16"/>
            <w:szCs w:val="16"/>
          </w:rPr>
          <w:t>дали негативную оценку</w:t>
        </w:r>
      </w:hyperlink>
      <w:r w:rsidRPr="00A3026E">
        <w:rPr>
          <w:color w:val="000000" w:themeColor="text1"/>
          <w:sz w:val="16"/>
          <w:szCs w:val="16"/>
        </w:rPr>
        <w:t>, 7TP удостоился нейтральных отзывов. Да, для советского танкостроения его конструкция была вчерашним днём, но и плохой польскую машину не назвали. Похвалы удостоились смотровые приборы, было отмечено улучшение подвески. Также отмечалось высокое качество изготовления танка. Интересной для танковой промышленности была признана и конструкция главного фрикциона.</w:t>
      </w:r>
    </w:p>
    <w:p w14:paraId="5CC69048" w14:textId="77777777" w:rsidR="001E2CF4" w:rsidRPr="00A3026E" w:rsidRDefault="001E2CF4" w:rsidP="00A3026E">
      <w:pPr>
        <w:pStyle w:val="ae"/>
        <w:shd w:val="clear" w:color="auto" w:fill="FFFFFF"/>
        <w:spacing w:before="0" w:after="0"/>
        <w:jc w:val="both"/>
        <w:rPr>
          <w:color w:val="000000" w:themeColor="text1"/>
          <w:sz w:val="16"/>
          <w:szCs w:val="16"/>
        </w:rPr>
      </w:pPr>
      <w:r w:rsidRPr="00A3026E">
        <w:rPr>
          <w:color w:val="000000" w:themeColor="text1"/>
          <w:sz w:val="16"/>
          <w:szCs w:val="16"/>
        </w:rPr>
        <w:t xml:space="preserve">Помимо изучения отдельных узлов и агрегатов, на НИБТ Полигоне изучалась и броня польского танка. Благодаря тому, что в распоряжении испытателей имелось несколько однотипных машин, удалось провести полноценное изучение, включавшие и обстрел. Польские конструкторы смогли несколько усилить броневую защиту танка по сравнению с Vickers Mk.E. Толщина лобового листа корпуса и лба подбашенной коробки увеличилась до 17 миллиметров. Часть листов была изготовлена из гомогенной брони, часть — из цементированной. Это позволило гарантированно обезопасить танк от пуль винтовочного калибра, а также значительно уменьшить дистанцию поражения танка из </w:t>
      </w:r>
      <w:hyperlink r:id="rId30" w:history="1">
        <w:r w:rsidRPr="00A3026E">
          <w:rPr>
            <w:rStyle w:val="a5"/>
            <w:rFonts w:eastAsiaTheme="majorEastAsia"/>
            <w:color w:val="000000" w:themeColor="text1"/>
            <w:sz w:val="16"/>
            <w:szCs w:val="16"/>
            <w:u w:val="none"/>
          </w:rPr>
          <w:t>крупнокалиберных пулеметов</w:t>
        </w:r>
      </w:hyperlink>
      <w:r w:rsidRPr="00A3026E">
        <w:rPr>
          <w:color w:val="000000" w:themeColor="text1"/>
          <w:sz w:val="16"/>
          <w:szCs w:val="16"/>
        </w:rPr>
        <w:t>. Правда, при этом пришлось пойти на снижение толщины бортовых листов корпуса в районе моторного отделения до 10 мм. Толщина брони башни составляла 15 мм.</w:t>
      </w:r>
    </w:p>
    <w:p w14:paraId="4899FBCA" w14:textId="77777777" w:rsidR="001E2CF4" w:rsidRPr="00A3026E" w:rsidRDefault="001E2CF4" w:rsidP="00A3026E">
      <w:pPr>
        <w:pStyle w:val="ae"/>
        <w:shd w:val="clear" w:color="auto" w:fill="FFFFFF"/>
        <w:spacing w:before="0" w:after="0"/>
        <w:jc w:val="both"/>
        <w:rPr>
          <w:color w:val="000000" w:themeColor="text1"/>
          <w:sz w:val="16"/>
          <w:szCs w:val="16"/>
        </w:rPr>
      </w:pPr>
      <w:r w:rsidRPr="00A3026E">
        <w:rPr>
          <w:color w:val="000000" w:themeColor="text1"/>
          <w:sz w:val="16"/>
          <w:szCs w:val="16"/>
        </w:rPr>
        <w:t xml:space="preserve">Для изучения брони разукомплектованный корпус танка 5057 подвергли обстрелу из винтовки Мосина лёгкой и бронебойной пулей, а также из пулемёта ДК калибра 12,7 мм. Результаты испытаний показали более высокую, по сравнению с Т-26, стойкость брони. Лобовой лист корпуса пробивался бронебойной пулей пулемёта ДК на дистанции 100 метров, а броня толщиной 15 мм пробивалась на дистанции 200-250 метров. Также испытания показали, что при обстреле подвижной бронировки орудийной установки та не заклинивается. Безусловно, этот факт говорит в пользу решения польских конструкторов. Другой вопрос, что в немецкой армии крупнокалиберные пулемёты не получили большого распространения. Чаще всего осенью 1939 года 7TP приходилось иметь дело с </w:t>
      </w:r>
      <w:hyperlink r:id="rId31" w:history="1">
        <w:r w:rsidRPr="00A3026E">
          <w:rPr>
            <w:rStyle w:val="a5"/>
            <w:rFonts w:eastAsiaTheme="majorEastAsia"/>
            <w:color w:val="000000" w:themeColor="text1"/>
            <w:sz w:val="16"/>
            <w:szCs w:val="16"/>
            <w:u w:val="none"/>
          </w:rPr>
          <w:t>3,7 cm Pak</w:t>
        </w:r>
      </w:hyperlink>
      <w:r w:rsidRPr="00A3026E">
        <w:rPr>
          <w:color w:val="000000" w:themeColor="text1"/>
          <w:sz w:val="16"/>
          <w:szCs w:val="16"/>
        </w:rPr>
        <w:t>, для которой пробитие брони толщиной 17 мм не было проблемой.</w:t>
      </w:r>
    </w:p>
    <w:p w14:paraId="565D41DC" w14:textId="77777777" w:rsidR="001E2CF4" w:rsidRPr="00A3026E" w:rsidRDefault="001E2CF4" w:rsidP="00A3026E">
      <w:pPr>
        <w:pStyle w:val="ae"/>
        <w:shd w:val="clear" w:color="auto" w:fill="FFFFFF"/>
        <w:spacing w:before="0" w:after="0"/>
        <w:jc w:val="both"/>
        <w:rPr>
          <w:color w:val="000000" w:themeColor="text1"/>
          <w:sz w:val="16"/>
          <w:szCs w:val="16"/>
        </w:rPr>
      </w:pPr>
      <w:r w:rsidRPr="00A3026E">
        <w:rPr>
          <w:color w:val="000000" w:themeColor="text1"/>
          <w:sz w:val="16"/>
          <w:szCs w:val="16"/>
        </w:rPr>
        <w:t>НИБТ Полигон оказался не единственным местом, в котором проводился обстрел польских танков. Филиал НИИ-48 в Мариуполе провел испытания обстрелом башни 7TP, а также Vickers Mk.E. Испытатели высоко оценили качество польской брони. В то же время отмечалось более низкое качество брони и узлов соединения башни Vikcers Mk.E. При обстреле из 45 мм пушки английская броня раскалывалась. В отличие от английской, польская броня отколов не давала (17703).</w:t>
      </w:r>
    </w:p>
    <w:p w14:paraId="52B467B8" w14:textId="77777777" w:rsidR="001E2CF4" w:rsidRPr="00A3026E" w:rsidRDefault="001E2CF4" w:rsidP="00A3026E">
      <w:pPr>
        <w:spacing w:after="0" w:line="240" w:lineRule="auto"/>
        <w:jc w:val="both"/>
        <w:rPr>
          <w:rFonts w:ascii="Times New Roman" w:eastAsia="Times New Roman" w:hAnsi="Times New Roman"/>
          <w:color w:val="000000" w:themeColor="text1"/>
          <w:sz w:val="16"/>
          <w:szCs w:val="16"/>
          <w:lang w:eastAsia="ru-RU"/>
        </w:rPr>
      </w:pPr>
    </w:p>
    <w:p w14:paraId="6DFBCCAA"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октября 1940</w:t>
      </w:r>
    </w:p>
    <w:p w14:paraId="6FE79941"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Фонд 31811 Опись 2 Дело 1059 листы 148 – 150 </w:t>
      </w:r>
    </w:p>
    <w:p w14:paraId="22EF4A6D"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СОВ.СЕКРЕТНО </w:t>
      </w:r>
    </w:p>
    <w:p w14:paraId="5106FC28"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___</w:t>
      </w:r>
    </w:p>
    <w:p w14:paraId="14046C17"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СПРАВКА</w:t>
      </w:r>
    </w:p>
    <w:p w14:paraId="08B374DE"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письму Главного конструктора завода № 174</w:t>
      </w:r>
    </w:p>
    <w:p w14:paraId="67971933"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ГИНЗБУРГ от 7.8.1940 года.</w:t>
      </w:r>
    </w:p>
    <w:p w14:paraId="2AAEAE58"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Утверждение автора письма о том, что у нас в танкостроении не учитывается опыт заграничной техники, не совсем отвечает действительности. Со всеми приобретенными, как ранее, так и за последнее время образцами машин ознакомлена вся руководящая часть танковых конструкторов. Некоторые образцы трофейных танков и машин разосланы по заводам. </w:t>
      </w:r>
    </w:p>
    <w:p w14:paraId="0A632044"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Купленный образец немецкого танка Т-3 послан на танковые заводы (в том числе и на завод № 174) для детального ознакомления с ним широкого круга конструкторов и производственников. По своей бронезащите и вооружению танк Т-3 уступает нашим аналогичным средним танкам Т-34 и СП, не говоря уже о "КВ", но превосходит наши танки по культуре оформления агрегатов, по сроку их службы, по оборудованию танка, а также по удобству работы экипажа. Изучение этого танка конструкторами поможет нам поднять культуру и оформление танков, строящихся сейчас на заводах, как в опытных образцах, так и пущенных в серию. </w:t>
      </w:r>
    </w:p>
    <w:p w14:paraId="17D99052"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Слабая осведомленность о перспективном развитии танкового вооружения и недостаточная связь с техническими управлениями Красной Армии не могут служить оправданием для отставания танковых заводов в деле создания современных танковых конструкций. О всем, что имеется по линии иностранного вооружения завод № 174, наравне с другими заводами, ставится в известность через БТУ Красной Армии. </w:t>
      </w:r>
    </w:p>
    <w:p w14:paraId="1082556F"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Наши конструкторы часто не используют уже имеющийся иностранный опыт и в постройке современных танков. Например: не плохое решение вопроса по обзорности из танка III-2а (Чехословакия) и создание планетарной трансмиссии до сих пор не использованы нашими конструкторами. Несмотря на настойчивые требования НКО, до сих пор еще не создано ни одного образца планетарных трансмиссий танков. Ниши конструкторы (в том числе и тов. ГИНЗБУРГ) идут по пути повторения старых схем трансмиссии, не выдвигают новых решений, повышающих боевую характеристику танков. </w:t>
      </w:r>
    </w:p>
    <w:p w14:paraId="73144D47"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своей статье тов. ГИНЗБУРГ правильно ставит вопросы: </w:t>
      </w:r>
    </w:p>
    <w:p w14:paraId="6CE58158"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 типе массового танка . </w:t>
      </w:r>
    </w:p>
    <w:p w14:paraId="3BA0042E"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 перспективах развития ПТ артиллерии. </w:t>
      </w:r>
    </w:p>
    <w:p w14:paraId="04CD3241"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все это уже учтено и проводится в жизнь по созданию массового танка "СП". </w:t>
      </w:r>
    </w:p>
    <w:p w14:paraId="4F0D9D69"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Мнение тов. ГИНЗБУРГА о том, что танк Т-34 является "быстро стареющим" танком основано на непонимании автором роли быстроходных танков в современной маневренной войне. Отбрасывать или недооценивать фактор скорости танков нельзя. Создание на базе Т-34 танка с 75 мм. бронированием нецелесообразно, так как мы имеем уже подобный танк – танк "КВ". </w:t>
      </w:r>
    </w:p>
    <w:p w14:paraId="585CAF04"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Увеличение снарядостойкости танковой брони надо ставить не просто увеличивая толщину брони, а путем поднятия качества этой брони. Это выгодно со всех точек зрения, как по скорости танков, их веса и запасов брони. Перед броневой промышленностью стоит вопрос о полном освоении всей технологии производства корпусов и башен из твердой брони (обработка листов, сварка и т.п.), а не из мягкой, как указывает на это автор письма. Не следует ссылаться на трудности производства корпусов танков с нужной твердостью, направлять производство корпусов по линии наименьшего сопротивления. Нам нужно, чтобы уже сейчас броневые заводы обеспечивали нас корпусами танков в нужном количестве и высокого качества. Качество изготовления корпусов и башен необходимо в ближайшее время улучшить, подняв культуру отделки их до уровня иностранных образцов, с которыми наши броневые заводы знакомы. </w:t>
      </w:r>
    </w:p>
    <w:p w14:paraId="76B31F8A"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оценке роли танков прорыва типа "КВ" и развития на его базе самоходных установок автор подходит правильно, но это уже реализуется на Кировском заводе по заданиям Правительства. </w:t>
      </w:r>
    </w:p>
    <w:p w14:paraId="50CDF156"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танковыми заводами сейчас стоит насущная задача – создание таких конструкций агрегатов строящихся танков, которые позволили бы повысить: </w:t>
      </w:r>
    </w:p>
    <w:p w14:paraId="07B041FE"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боевые качества танков, </w:t>
      </w:r>
    </w:p>
    <w:p w14:paraId="0FE06745"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надежность и срок работы агрегатов танка, </w:t>
      </w:r>
    </w:p>
    <w:p w14:paraId="2EE68C2C"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удобство эксплоатации танков и удешевление их в производстве. </w:t>
      </w:r>
    </w:p>
    <w:p w14:paraId="5D9C401C"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Стоит задача повышения культуры танкового производства, на основе использования известного иностранного опыта танкостроения. </w:t>
      </w:r>
    </w:p>
    <w:p w14:paraId="4E5460FE"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более своевременного получения материалов по иностранной технике необходимо обязать РУ КА рассылать в адреса танковых заводов издаваемые бюллетени по танковой, автомобильной, артиллерийской и авиационной технике. </w:t>
      </w:r>
    </w:p>
    <w:p w14:paraId="1619BC8E"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создания танкового отдела НАТИ позволит в будущем усилить контроль за деятельностью конструкторских бюро заводов и объединить работу танковых заводов по повышению боевых качеств наших танков. </w:t>
      </w:r>
    </w:p>
    <w:p w14:paraId="7463439D"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Письмо тов. ГИНЗБУРГ на 28-ми листах.</w:t>
      </w:r>
    </w:p>
    <w:p w14:paraId="1F25C870"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ГАБТУ КРАСНОЙ АРМИИ</w:t>
      </w:r>
    </w:p>
    <w:p w14:paraId="07872178"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ГЕНЕРАЛ-ЛЕЙТЕНАНТ ТАНКОВЫХ ВОЙСК (ФЕДОРЕНКО)</w:t>
      </w:r>
    </w:p>
    <w:p w14:paraId="661BB595" w14:textId="77777777" w:rsidR="00DD4EE2" w:rsidRPr="00A3026E" w:rsidRDefault="00DD4EE2" w:rsidP="00A3026E">
      <w:pPr>
        <w:spacing w:after="0" w:line="240" w:lineRule="auto"/>
        <w:jc w:val="both"/>
        <w:rPr>
          <w:rFonts w:ascii="Times New Roman" w:hAnsi="Times New Roman"/>
          <w:color w:val="000000" w:themeColor="text1"/>
          <w:sz w:val="16"/>
          <w:szCs w:val="16"/>
        </w:rPr>
      </w:pPr>
    </w:p>
    <w:p w14:paraId="50120FC9"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БРОНЕТАНКОВОГО УПРАВЛЕНИЯ КРАСНОЙ АРМИИ</w:t>
      </w:r>
    </w:p>
    <w:p w14:paraId="5FF4791F"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1 РАНГА подпись (КОРОБКОВ)</w:t>
      </w:r>
    </w:p>
    <w:p w14:paraId="40D771B4"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3 ОТДЕЛА БТУ КРАСНОЙ АРМИИ</w:t>
      </w:r>
    </w:p>
    <w:p w14:paraId="2431DF42"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1 РАНГА подпись (АФОНИН)</w:t>
      </w:r>
    </w:p>
    <w:p w14:paraId="284EAACA"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 2 экз. </w:t>
      </w:r>
    </w:p>
    <w:p w14:paraId="6CFAC99E"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 Ковалев </w:t>
      </w:r>
    </w:p>
    <w:p w14:paraId="6C15A21D" w14:textId="77777777" w:rsidR="00DD4EE2" w:rsidRPr="00A3026E" w:rsidRDefault="00DD4EE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п.м. 7.10.1940 г. № 78 (18204).</w:t>
      </w:r>
    </w:p>
    <w:p w14:paraId="14F92C26" w14:textId="77777777" w:rsidR="00DD4EE2" w:rsidRPr="00A3026E" w:rsidRDefault="00DD4EE2" w:rsidP="00A3026E">
      <w:pPr>
        <w:spacing w:after="0" w:line="240" w:lineRule="auto"/>
        <w:jc w:val="both"/>
        <w:rPr>
          <w:rFonts w:ascii="Times New Roman" w:hAnsi="Times New Roman"/>
          <w:color w:val="000000" w:themeColor="text1"/>
          <w:sz w:val="16"/>
          <w:szCs w:val="16"/>
        </w:rPr>
      </w:pPr>
    </w:p>
    <w:p w14:paraId="361F59CA"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7-14 октября 1940 г. на проходившем совещании представителей Главного Морского штаба, морской авиации и Военно-морской академии по вопросу авианосцев не было никаких дискуссий, их необходимость понималась как нечто само собой разумеющееся. Необходимость авиационного прикрытия кораблей в море также не вызывала сомнений. В выступлении генерал-майора авиации С.Э. Столярского (единственного из присутствовавших, имевшего опыт действий с плавучих носителей авиации) прозвучало предложение «построить палубу типового авианосца, на ней нужно тренировать летчиков, на ней нужно отрабатывать самолеты».</w:t>
      </w:r>
    </w:p>
    <w:p w14:paraId="6BC465C2"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Таким образом, требовался корабль, способный действовать совместно с эскадрой, обеспечивающий ее авиационное прикрытие (истребители). Поначалу таким виделся гибрид линкора и авианосца. Проекты кораблей такого типа с 1935 года разрабатывались в ЦКБС -1. При водоизмещении 29 800 т, мощности машин 210 000 л. с, скорости 35-39 уз, вооружении: 9—305, 16—130, 18—45 и авиагруппе в 60 машин, корабль имел 200-мм бортовую и 125-мм палубную броню. Данные явно завышенные, особенно по скорости и защите. Довольно быстро стало ясно, что советская судостроительная промышленность не в состоянии построить корабль столь сложной конструкции, кроме того, появились сомнения в самой идее гибридного корабля.</w:t>
      </w:r>
    </w:p>
    <w:p w14:paraId="6880B956"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1937 года в США по советским техническим заданиям разрабатываются проекты линейных кораблей-авианосцев. Самым любопытным оказался линкор фирмы Гиббс энд Кокс проекта 10581 (варианты «А», «В» и «С»). Проект создал владелец фирмы В.Ф. Гиббс, никогда ранее не занимавшийся подобными работами. Неудивительно, что получился весьма экстравагантный корабль: водоизмещением 73 003 т, мощностью машин 304 160 л.с., скоростью 34 уз, вооружением 8—457/12—406, 28—127, 32—28, 36 колесных и четыре катапультных гидросамолета, две катапульты; бронирование: борта 330 мм, палубы 197 мм.</w:t>
      </w:r>
    </w:p>
    <w:p w14:paraId="2D530DCE"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Техническое обеспечение столь грандиозного корабля отсутствовало: не было стапелей и доков, отсутствовали орудия и башни главного калибра, машинно-котельная установка. Не уделили внимания вопросам аэродинамики корабля: надстройки и орудийные башни в сочетании с угловатыми очертаниями полетной палубы должны были создавать мощные завихрения воздуха, препятствующие взлетно-посадочным операциям. Советским конструкторам для решения этой проблемы в своем проекте пришлось создать палубу особо обтекаемой формы и произвести исследование ряда моделей в аэродинамических трубах ЦАГИ. (Автор располагает сведениями о наличии таких моделей).</w:t>
      </w:r>
    </w:p>
    <w:p w14:paraId="66457173" w14:textId="77777777" w:rsidR="00D2328C" w:rsidRPr="00A3026E" w:rsidRDefault="00D2328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Попытки создать корабль приемлемого водоизмещения (вариант «С») не дали положительного результата, советская сторона совершенно разочаровалась в гибридных кораблях. Это не удивительно, так как хорошо смотрелись они только на бумаге, для строительства такого «линкора-авианосца» требовались затраты, как на два отдельных корабля, боевая устойчивость представляется весьма сомнительной: в бою артиллерийских кораблей велика вероятность выхода из строя полетной палубы и возгорании авиационного топлива; при атаке с воздуха это большая и уязвимая цель (15527).</w:t>
      </w:r>
    </w:p>
    <w:p w14:paraId="111E2BE9" w14:textId="77777777" w:rsidR="00D2328C" w:rsidRPr="00A3026E" w:rsidRDefault="00D2328C" w:rsidP="00A3026E">
      <w:pPr>
        <w:spacing w:after="0" w:line="240" w:lineRule="auto"/>
        <w:jc w:val="both"/>
        <w:rPr>
          <w:rFonts w:ascii="Times New Roman" w:hAnsi="Times New Roman"/>
          <w:color w:val="000000" w:themeColor="text1"/>
          <w:sz w:val="16"/>
          <w:szCs w:val="16"/>
        </w:rPr>
      </w:pPr>
    </w:p>
    <w:p w14:paraId="4D874909"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5A09AB5F" w14:textId="77777777" w:rsidR="00C66762" w:rsidRPr="00A3026E" w:rsidRDefault="00C66762" w:rsidP="00A3026E">
      <w:pPr>
        <w:spacing w:after="0" w:line="240" w:lineRule="auto"/>
        <w:jc w:val="both"/>
        <w:rPr>
          <w:rFonts w:ascii="Times New Roman" w:hAnsi="Times New Roman"/>
          <w:i/>
          <w:iCs/>
          <w:color w:val="000000" w:themeColor="text1"/>
          <w:sz w:val="16"/>
          <w:szCs w:val="16"/>
        </w:rPr>
      </w:pPr>
    </w:p>
    <w:p w14:paraId="400031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7 октября 1940 в ВВС числилось: 8576 истребителей, 7147 бомбардировщиков и 3640 развед</w:t>
      </w:r>
      <w:r w:rsidRPr="00A3026E">
        <w:rPr>
          <w:rFonts w:ascii="Times New Roman" w:hAnsi="Times New Roman"/>
          <w:color w:val="000000" w:themeColor="text1"/>
          <w:sz w:val="16"/>
          <w:szCs w:val="16"/>
        </w:rPr>
        <w:softHyphen/>
        <w:t>чиков и штурмовиков, включая 2110 истребителей, 1733 бомбардировщика и 290 разведчиков и штурмовиков в частях Дальневосточного фронта и Забайкальского воен</w:t>
      </w:r>
      <w:r w:rsidRPr="00A3026E">
        <w:rPr>
          <w:rFonts w:ascii="Times New Roman" w:hAnsi="Times New Roman"/>
          <w:color w:val="000000" w:themeColor="text1"/>
          <w:sz w:val="16"/>
          <w:szCs w:val="16"/>
        </w:rPr>
        <w:softHyphen/>
        <w:t>ного округа. Исходя из этого получается, что за девять ме</w:t>
      </w:r>
      <w:r w:rsidRPr="00A3026E">
        <w:rPr>
          <w:rFonts w:ascii="Times New Roman" w:hAnsi="Times New Roman"/>
          <w:color w:val="000000" w:themeColor="text1"/>
          <w:sz w:val="16"/>
          <w:szCs w:val="16"/>
        </w:rPr>
        <w:softHyphen/>
        <w:t>сяцев 1940 года боевой состав ВВС возрос на 8245 машин и составил 19 363 самолетов. Численность самолетного пар</w:t>
      </w:r>
      <w:r w:rsidRPr="00A3026E">
        <w:rPr>
          <w:rFonts w:ascii="Times New Roman" w:hAnsi="Times New Roman"/>
          <w:color w:val="000000" w:themeColor="text1"/>
          <w:sz w:val="16"/>
          <w:szCs w:val="16"/>
        </w:rPr>
        <w:softHyphen/>
        <w:t>ка продолжала расти, и всем этим надо было грамотно рас</w:t>
      </w:r>
      <w:r w:rsidRPr="00A3026E">
        <w:rPr>
          <w:rFonts w:ascii="Times New Roman" w:hAnsi="Times New Roman"/>
          <w:color w:val="000000" w:themeColor="text1"/>
          <w:sz w:val="16"/>
          <w:szCs w:val="16"/>
        </w:rPr>
        <w:softHyphen/>
        <w:t>порядиться, выработать тактику и стратегию применения ВВС с учетом опыта последних войн и соответственно го</w:t>
      </w:r>
      <w:r w:rsidRPr="00A3026E">
        <w:rPr>
          <w:rFonts w:ascii="Times New Roman" w:hAnsi="Times New Roman"/>
          <w:color w:val="000000" w:themeColor="text1"/>
          <w:sz w:val="16"/>
          <w:szCs w:val="16"/>
        </w:rPr>
        <w:softHyphen/>
        <w:t>товить летный состав (10745,294).</w:t>
      </w:r>
    </w:p>
    <w:p w14:paraId="628475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300B6A4" w14:textId="7232E07F" w:rsidR="00C40533" w:rsidRPr="00A3026E" w:rsidRDefault="00C40533"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02857166" w14:textId="77777777" w:rsidR="00C40533" w:rsidRPr="00A3026E" w:rsidRDefault="00C40533" w:rsidP="00A3026E">
      <w:pPr>
        <w:spacing w:after="0" w:line="240" w:lineRule="auto"/>
        <w:jc w:val="both"/>
        <w:rPr>
          <w:rFonts w:ascii="Times New Roman" w:hAnsi="Times New Roman"/>
          <w:i/>
          <w:iCs/>
          <w:color w:val="000000" w:themeColor="text1"/>
          <w:sz w:val="16"/>
          <w:szCs w:val="16"/>
        </w:rPr>
      </w:pPr>
    </w:p>
    <w:p w14:paraId="24DB4C18" w14:textId="77777777" w:rsidR="00C40533" w:rsidRPr="00A3026E" w:rsidRDefault="00C40533"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hAnsi="Times New Roman"/>
          <w:color w:val="0070C0"/>
          <w:sz w:val="16"/>
          <w:szCs w:val="16"/>
          <w:shd w:val="clear" w:color="auto" w:fill="FFFFFF"/>
        </w:rPr>
        <w:t>7 октября 1940 вышло Постановление СНК СССР № 1904-704сс "О противовоздушной обороне СССР" (22050).</w:t>
      </w:r>
    </w:p>
    <w:p w14:paraId="0C02F430" w14:textId="77777777" w:rsidR="00C40533" w:rsidRPr="00A3026E" w:rsidRDefault="00C40533"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0E9A71AE" w14:textId="5D6B9023"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5607DCD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6AF88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октября 1940 года К А Уманским была отправлена телеграмма В.М. Молотову с сообщением о его шестой встрече с С. Уэллесом, имевшей место в тот же день. «В устной форме я точно передал ему порученное вами заявление», -сообщал КА Уманский. В данном заявлении в первую очередь вопрос шел о задержанных станках. «Уэллес заявил, что он рассчитывает, что сможет скоро передать мне решение Американского правительства по предложе</w:t>
      </w:r>
      <w:r w:rsidRPr="00A3026E">
        <w:rPr>
          <w:rFonts w:ascii="Times New Roman" w:hAnsi="Times New Roman"/>
          <w:color w:val="000000" w:themeColor="text1"/>
          <w:sz w:val="16"/>
          <w:szCs w:val="16"/>
        </w:rPr>
        <w:softHyphen/>
        <w:t>ниям советского правительства о станках. Вопроса «морального» эмбарго и других нерешенных вопросов, фигурировавших в переговорах, ни Уэллес, ни я сегодня не касались», - подводил Уманский итоги своей встречи. При</w:t>
      </w:r>
      <w:r w:rsidRPr="00A3026E">
        <w:rPr>
          <w:rFonts w:ascii="Times New Roman" w:hAnsi="Times New Roman"/>
          <w:color w:val="000000" w:themeColor="text1"/>
          <w:sz w:val="16"/>
          <w:szCs w:val="16"/>
        </w:rPr>
        <w:softHyphen/>
        <w:t>мечательно, что на документе рукою В.М. Молотова была сделана пометка, свидетельствующая о том внимании, которое уделялось советским прави</w:t>
      </w:r>
      <w:r w:rsidRPr="00A3026E">
        <w:rPr>
          <w:rFonts w:ascii="Times New Roman" w:hAnsi="Times New Roman"/>
          <w:color w:val="000000" w:themeColor="text1"/>
          <w:sz w:val="16"/>
          <w:szCs w:val="16"/>
        </w:rPr>
        <w:softHyphen/>
        <w:t>тельством ходу переговоров с американской стороной: «Тов. Шлякову. Где задержалась телеграмма с 7 по 9 октября? В. Молотов» (11710,242).</w:t>
      </w:r>
    </w:p>
    <w:p w14:paraId="172128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E2416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октября 1940 года состоялась шестая встреча К.А.Уманского и С.Уэллеса. Согласно телеграмме К А Уманского В.М. Молотову: «В устной форме я точно передал ему порученное вами заявление», -сообщал КА Уманский. В данном заявлении в первую очередь вопрос шел о задержанных станках. «Уэллес заявил, что он рассчитывает, что сможет скоро передать мне решение Американского правительства по предложе</w:t>
      </w:r>
      <w:r w:rsidRPr="00A3026E">
        <w:rPr>
          <w:rFonts w:ascii="Times New Roman" w:hAnsi="Times New Roman"/>
          <w:color w:val="000000" w:themeColor="text1"/>
          <w:sz w:val="16"/>
          <w:szCs w:val="16"/>
        </w:rPr>
        <w:softHyphen/>
        <w:t>ниям советского правительства о станках. Вопроса «морального» эмбарго и других нерешенных вопросов, фигурировавших в переговорах, ни Уэллес, ни я сегодня не касались», - подводил Уманский итоги своей встречи. При</w:t>
      </w:r>
      <w:r w:rsidRPr="00A3026E">
        <w:rPr>
          <w:rFonts w:ascii="Times New Roman" w:hAnsi="Times New Roman"/>
          <w:color w:val="000000" w:themeColor="text1"/>
          <w:sz w:val="16"/>
          <w:szCs w:val="16"/>
        </w:rPr>
        <w:softHyphen/>
        <w:t>мечательно, что на документе рукою В.М. Молотова была сделана пометка, свидетельствующая о том внимании, которое уделялось советским прави</w:t>
      </w:r>
      <w:r w:rsidRPr="00A3026E">
        <w:rPr>
          <w:rFonts w:ascii="Times New Roman" w:hAnsi="Times New Roman"/>
          <w:color w:val="000000" w:themeColor="text1"/>
          <w:sz w:val="16"/>
          <w:szCs w:val="16"/>
        </w:rPr>
        <w:softHyphen/>
        <w:t>тельством ходу переговоров с американской стороной: «Тов. Шлякову. Где задержалась телеграмма с 7 по 9 октября? В. Молотов».</w:t>
      </w:r>
    </w:p>
    <w:p w14:paraId="798A94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Материалы седьмой и восьмой встречи в отечественном сборнике от</w:t>
      </w:r>
      <w:r w:rsidRPr="00A3026E">
        <w:rPr>
          <w:rFonts w:ascii="Times New Roman" w:hAnsi="Times New Roman"/>
          <w:color w:val="000000" w:themeColor="text1"/>
          <w:sz w:val="16"/>
          <w:szCs w:val="16"/>
        </w:rPr>
        <w:softHyphen/>
        <w:t>сутствуют. В американских документах нет материалов восьмой встречи, но наличествуют материалы встречи советского полпреда с американски</w:t>
      </w:r>
      <w:r w:rsidRPr="00A3026E">
        <w:rPr>
          <w:rFonts w:ascii="Times New Roman" w:hAnsi="Times New Roman"/>
          <w:color w:val="000000" w:themeColor="text1"/>
          <w:sz w:val="16"/>
          <w:szCs w:val="16"/>
        </w:rPr>
        <w:softHyphen/>
        <w:t>ми представителями, состоявшейся 15 октября 1939 года. Встреча прошла без участия Уэллеса. С американской стороны присутствовали Аттертон и Эдвард Пейдж из Отдела европейских связей</w:t>
      </w:r>
      <w:r w:rsidRPr="00A3026E">
        <w:rPr>
          <w:rFonts w:ascii="Times New Roman" w:hAnsi="Times New Roman"/>
          <w:color w:val="000000" w:themeColor="text1"/>
          <w:sz w:val="16"/>
          <w:szCs w:val="16"/>
          <w:vertAlign w:val="superscript"/>
        </w:rPr>
        <w:t>108</w:t>
      </w:r>
      <w:r w:rsidRPr="00A3026E">
        <w:rPr>
          <w:rFonts w:ascii="Times New Roman" w:hAnsi="Times New Roman"/>
          <w:color w:val="000000" w:themeColor="text1"/>
          <w:sz w:val="16"/>
          <w:szCs w:val="16"/>
        </w:rPr>
        <w:t>. На этой встрече затраги</w:t>
      </w:r>
      <w:r w:rsidRPr="00A3026E">
        <w:rPr>
          <w:rFonts w:ascii="Times New Roman" w:hAnsi="Times New Roman"/>
          <w:color w:val="000000" w:themeColor="text1"/>
          <w:sz w:val="16"/>
          <w:szCs w:val="16"/>
        </w:rPr>
        <w:softHyphen/>
        <w:t>вались разные вопросы. Уманский, в частности, потребовал расследовать дело о заявке на экспорт катализатора для крекинга на сумму 74 тысячи долларов. С этим делом американская сторона обещала разобраться.</w:t>
      </w:r>
    </w:p>
    <w:p w14:paraId="546C11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Девятая встреча КА Уманского с С. Уэллесом и рядом американских представителей (Аттертоном, полковником Максуэллом, Пейджем) состо</w:t>
      </w:r>
      <w:r w:rsidRPr="00A3026E">
        <w:rPr>
          <w:rFonts w:ascii="Times New Roman" w:hAnsi="Times New Roman"/>
          <w:color w:val="000000" w:themeColor="text1"/>
          <w:sz w:val="16"/>
          <w:szCs w:val="16"/>
        </w:rPr>
        <w:softHyphen/>
        <w:t>ялась 24.10.1940 года. С советской стороны присутствовали также Лукашев (на первой части беседы) и Сельдяков.</w:t>
      </w:r>
    </w:p>
    <w:p w14:paraId="50EC27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советским источникам, С. Уэллес вручил КА Уманскому список, из которого следовало: из числа станков и оборудования на сумму 2001000 долларов, изготовленных по заказу СССР, но реквизированных американской стороной, освобождалось заказов на сумму 489000 долларов. «Иными слова</w:t>
      </w:r>
      <w:r w:rsidRPr="00A3026E">
        <w:rPr>
          <w:rFonts w:ascii="Times New Roman" w:hAnsi="Times New Roman"/>
          <w:color w:val="000000" w:themeColor="text1"/>
          <w:sz w:val="16"/>
          <w:szCs w:val="16"/>
        </w:rPr>
        <w:softHyphen/>
        <w:t>ми, - констатировал КА Уманский в телеграмме В.М. Молотову и АИ. Мико</w:t>
      </w:r>
      <w:r w:rsidRPr="00A3026E">
        <w:rPr>
          <w:rFonts w:ascii="Times New Roman" w:hAnsi="Times New Roman"/>
          <w:color w:val="000000" w:themeColor="text1"/>
          <w:sz w:val="16"/>
          <w:szCs w:val="16"/>
        </w:rPr>
        <w:softHyphen/>
        <w:t>яну от 24.10.1940 года, - Американское правительство освободило в ценнос</w:t>
      </w:r>
      <w:r w:rsidRPr="00A3026E">
        <w:rPr>
          <w:rFonts w:ascii="Times New Roman" w:hAnsi="Times New Roman"/>
          <w:color w:val="000000" w:themeColor="text1"/>
          <w:sz w:val="16"/>
          <w:szCs w:val="16"/>
        </w:rPr>
        <w:softHyphen/>
        <w:t>тном выражении на этот раз одну четверть изготовленного оборудования, реквизировав основное». Касаясь запрещенного к вывозу оборудования, он отмечал: «В число реквизированных станков вошли в основном тяжелые и резьбо-фрезерные станки. По машиноимпорту... реквизированы правильные валки и один гидропресс «Фаррель-Бирмингхэм». В лицензиях на авиачасти отказано». КА Уманский подчеркнул: «Я и Лукашев выразили наше глубокое неудовлетворение этим списком. ..Я заявил, что доложу Советскому прави</w:t>
      </w:r>
      <w:r w:rsidRPr="00A3026E">
        <w:rPr>
          <w:rFonts w:ascii="Times New Roman" w:hAnsi="Times New Roman"/>
          <w:color w:val="000000" w:themeColor="text1"/>
          <w:sz w:val="16"/>
          <w:szCs w:val="16"/>
        </w:rPr>
        <w:softHyphen/>
        <w:t>тельству о неудовлетворительном решении Американского правительства по вопросу об изготовленном оборудовании, указав, что решение противоречит и его, Уэллеса, заверениям при прошлой встрече (речь идет о восьмой встрече, состоявшейся между 7.10 и 24.10.1940 года, информации о которой в сборни</w:t>
      </w:r>
      <w:r w:rsidRPr="00A3026E">
        <w:rPr>
          <w:rFonts w:ascii="Times New Roman" w:hAnsi="Times New Roman"/>
          <w:color w:val="000000" w:themeColor="text1"/>
          <w:sz w:val="16"/>
          <w:szCs w:val="16"/>
        </w:rPr>
        <w:softHyphen/>
        <w:t>ке не приводится. - Прим. авт), и его сегодняшнему заявлению о стремлении Американского правительства «максимально» учитывать интересы Советско</w:t>
      </w:r>
      <w:r w:rsidRPr="00A3026E">
        <w:rPr>
          <w:rFonts w:ascii="Times New Roman" w:hAnsi="Times New Roman"/>
          <w:color w:val="000000" w:themeColor="text1"/>
          <w:sz w:val="16"/>
          <w:szCs w:val="16"/>
        </w:rPr>
        <w:softHyphen/>
        <w:t>го правительства». Во время дальнейшей полемики с С. Уэллесом КА Уманский настаивал на этой точке зрения - «как пример того состояния неопределен</w:t>
      </w:r>
      <w:r w:rsidRPr="00A3026E">
        <w:rPr>
          <w:rFonts w:ascii="Times New Roman" w:hAnsi="Times New Roman"/>
          <w:color w:val="000000" w:themeColor="text1"/>
          <w:sz w:val="16"/>
          <w:szCs w:val="16"/>
        </w:rPr>
        <w:softHyphen/>
        <w:t>ности, которое мешает развитию торговли, привел вопрос о каталитическом крекинговом оборудовании, по которому не могу получить ясного ответа, хотя возвращаюсь к нему третий раз» (Уманский, в частности, поднимал вопрос об этом оборудовании еще во время второй встречи, происходившей 1.08.1940 года, то есть почти три месяца назад.).</w:t>
      </w:r>
    </w:p>
    <w:p w14:paraId="0EA98D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Вопрос о крекинговом оборудовании был поднят сразу же во второй час</w:t>
      </w:r>
      <w:r w:rsidRPr="00A3026E">
        <w:rPr>
          <w:rFonts w:ascii="Times New Roman" w:hAnsi="Times New Roman"/>
          <w:color w:val="000000" w:themeColor="text1"/>
          <w:sz w:val="16"/>
          <w:szCs w:val="16"/>
        </w:rPr>
        <w:softHyphen/>
        <w:t>ти беседы, проходившей уже без участия Лукашева и полковника Максуэлла с американской стороны. По этому поводу С Уэллес заявил, что «американское правительство в принципе не возражает против изготовления этого оборудо</w:t>
      </w:r>
      <w:r w:rsidRPr="00A3026E">
        <w:rPr>
          <w:rFonts w:ascii="Times New Roman" w:hAnsi="Times New Roman"/>
          <w:color w:val="000000" w:themeColor="text1"/>
          <w:sz w:val="16"/>
          <w:szCs w:val="16"/>
        </w:rPr>
        <w:softHyphen/>
        <w:t>вания фирмой Келлога для СССР», но первой важной предпосылкой для офор</w:t>
      </w:r>
      <w:r w:rsidRPr="00A3026E">
        <w:rPr>
          <w:rFonts w:ascii="Times New Roman" w:hAnsi="Times New Roman"/>
          <w:color w:val="000000" w:themeColor="text1"/>
          <w:sz w:val="16"/>
          <w:szCs w:val="16"/>
        </w:rPr>
        <w:softHyphen/>
        <w:t>мления этого разрешения должно стать «снятие морального эмбарго, которое распространяется на оборудование по производству высокооктанового бен</w:t>
      </w:r>
      <w:r w:rsidRPr="00A3026E">
        <w:rPr>
          <w:rFonts w:ascii="Times New Roman" w:hAnsi="Times New Roman"/>
          <w:color w:val="000000" w:themeColor="text1"/>
          <w:sz w:val="16"/>
          <w:szCs w:val="16"/>
        </w:rPr>
        <w:softHyphen/>
        <w:t>зина»; после того как в переговорах будет достигнуто соглашение по вопро</w:t>
      </w:r>
      <w:r w:rsidRPr="00A3026E">
        <w:rPr>
          <w:rFonts w:ascii="Times New Roman" w:hAnsi="Times New Roman"/>
          <w:color w:val="000000" w:themeColor="text1"/>
          <w:sz w:val="16"/>
          <w:szCs w:val="16"/>
        </w:rPr>
        <w:softHyphen/>
        <w:t>сам, фигурировавшим в этих переговорах, и, как отметил С. Уэллес, «в случае, если тем временем в международной обстановке не произойдет ничего не</w:t>
      </w:r>
      <w:r w:rsidRPr="00A3026E">
        <w:rPr>
          <w:rFonts w:ascii="Times New Roman" w:hAnsi="Times New Roman"/>
          <w:color w:val="000000" w:themeColor="text1"/>
          <w:sz w:val="16"/>
          <w:szCs w:val="16"/>
        </w:rPr>
        <w:softHyphen/>
        <w:t>предвиденного», американское правительство «готово завершить переговоры публичным заявлением о том, что причины, вызвавшие введение морального эмбарго, в отношении СССР отпали». Уманский отметил ряд неопределенных формулировок в заявлении Уэллеса, включая «оговорку о «непредвиденных» событиях». В заключение встречи С. Уэллес «предложил встретиться с ним 28 октября для разработки проектов нотами по остальным вопросам».</w:t>
      </w:r>
    </w:p>
    <w:p w14:paraId="199BA3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Подробных американских материалов об этой встрече нет. Имеющийся советский документ о ней дает важную информацию о состоянии советско-американских торгово-экономических контактов, в первую очередь в военной области (о чем, в частности, свидетельствует присутствие на переговорах пред</w:t>
      </w:r>
      <w:r w:rsidRPr="00A3026E">
        <w:rPr>
          <w:rFonts w:ascii="Times New Roman" w:hAnsi="Times New Roman"/>
          <w:color w:val="000000" w:themeColor="text1"/>
          <w:sz w:val="16"/>
          <w:szCs w:val="16"/>
        </w:rPr>
        <w:softHyphen/>
        <w:t>ставителя американских вооруженных сил), по состоянию на конец октября 1940 года. С одной стороны, налицо отрицательное действие американских санкций, включая и моральное эмбарго, на поставки в СССР целой гаммы обору</w:t>
      </w:r>
      <w:r w:rsidRPr="00A3026E">
        <w:rPr>
          <w:rFonts w:ascii="Times New Roman" w:hAnsi="Times New Roman"/>
          <w:color w:val="000000" w:themeColor="text1"/>
          <w:sz w:val="16"/>
          <w:szCs w:val="16"/>
        </w:rPr>
        <w:softHyphen/>
        <w:t>дования, готовых частей и технологии, необходимых для производства и функ</w:t>
      </w:r>
      <w:r w:rsidRPr="00A3026E">
        <w:rPr>
          <w:rFonts w:ascii="Times New Roman" w:hAnsi="Times New Roman"/>
          <w:color w:val="000000" w:themeColor="text1"/>
          <w:sz w:val="16"/>
          <w:szCs w:val="16"/>
        </w:rPr>
        <w:softHyphen/>
        <w:t>ционирования авиации (станки, авиачасти, крекинговое оборудование для про</w:t>
      </w:r>
      <w:r w:rsidRPr="00A3026E">
        <w:rPr>
          <w:rFonts w:ascii="Times New Roman" w:hAnsi="Times New Roman"/>
          <w:color w:val="000000" w:themeColor="text1"/>
          <w:sz w:val="16"/>
          <w:szCs w:val="16"/>
        </w:rPr>
        <w:softHyphen/>
        <w:t>изводства высокооктанового авиабензина). С другой стороны, американскими представителями отмечается не только вероятность поставок в СССР, в частнос</w:t>
      </w:r>
      <w:r w:rsidRPr="00A3026E">
        <w:rPr>
          <w:rFonts w:ascii="Times New Roman" w:hAnsi="Times New Roman"/>
          <w:color w:val="000000" w:themeColor="text1"/>
          <w:sz w:val="16"/>
          <w:szCs w:val="16"/>
        </w:rPr>
        <w:softHyphen/>
        <w:t>ти, крекингового оборудования, но и возможность в этом случае (пусть даже и со множеством оговорок) отмены как такового морального эмбарго, блокиру</w:t>
      </w:r>
      <w:r w:rsidRPr="00A3026E">
        <w:rPr>
          <w:rFonts w:ascii="Times New Roman" w:hAnsi="Times New Roman"/>
          <w:color w:val="000000" w:themeColor="text1"/>
          <w:sz w:val="16"/>
          <w:szCs w:val="16"/>
        </w:rPr>
        <w:softHyphen/>
        <w:t>ющего эту и множество других заявок Приходится также констатировать, что моральное эмбарго, действующее на момент этой встречи почти 11 месяцев и не отмененное до сих пор, уже сумело нанести существенный ущерб оборонос</w:t>
      </w:r>
      <w:r w:rsidRPr="00A3026E">
        <w:rPr>
          <w:rFonts w:ascii="Times New Roman" w:hAnsi="Times New Roman"/>
          <w:color w:val="000000" w:themeColor="text1"/>
          <w:sz w:val="16"/>
          <w:szCs w:val="16"/>
        </w:rPr>
        <w:softHyphen/>
        <w:t>пособности СССР вообще и в области военной авиации в частности.</w:t>
      </w:r>
    </w:p>
    <w:p w14:paraId="02DDCB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Десятая встреча Уманского с Уэллесом, на которой больше никто не присутствовал ни с советской, ни с американской стороны, состоялась 1.11.1940 года. Уэллес констатировал достижение по ряду вопросов в резуль</w:t>
      </w:r>
      <w:r w:rsidRPr="00A3026E">
        <w:rPr>
          <w:rFonts w:ascii="Times New Roman" w:hAnsi="Times New Roman"/>
          <w:color w:val="000000" w:themeColor="text1"/>
          <w:sz w:val="16"/>
          <w:szCs w:val="16"/>
        </w:rPr>
        <w:softHyphen/>
        <w:t xml:space="preserve">тате хода переговоров, но Уманский не согласился с этой формулировкой. «Я возразил ему: соглашение по четвертому пункту о задержанных станках и будущих заказах я пока не могу считать достигнутым... Я напомнил Уэл-лесу, что... имеется предусмотренный проектом Микояна обмен нотами о недискриминационном режиме, включая отмену морального эмбарго, и заявил, что... продолжаю считать вопрос о станках нерешенным», - отмечал Уманский в телеграмме Молотову от 1.11.1940 года. По данным Уманского, «Уэллес обещал принять все меры к ускорению решения по всем спискам </w:t>
      </w:r>
      <w:r w:rsidRPr="00A3026E">
        <w:rPr>
          <w:rFonts w:ascii="Times New Roman" w:hAnsi="Times New Roman"/>
          <w:color w:val="000000" w:themeColor="text1"/>
          <w:sz w:val="16"/>
          <w:szCs w:val="16"/>
        </w:rPr>
        <w:lastRenderedPageBreak/>
        <w:t>станков, в отношении же морального эмбарго снова заявил, что оно будет отменено по подписании обмена нотами, и по своей инициативе добавил, что это автоматически будет означать и разрешение американского пра</w:t>
      </w:r>
      <w:r w:rsidRPr="00A3026E">
        <w:rPr>
          <w:rFonts w:ascii="Times New Roman" w:hAnsi="Times New Roman"/>
          <w:color w:val="000000" w:themeColor="text1"/>
          <w:sz w:val="16"/>
          <w:szCs w:val="16"/>
        </w:rPr>
        <w:softHyphen/>
        <w:t>вительства на заказ катализаторных крекингов». Важная деталь: Уэллес за</w:t>
      </w:r>
      <w:r w:rsidRPr="00A3026E">
        <w:rPr>
          <w:rFonts w:ascii="Times New Roman" w:hAnsi="Times New Roman"/>
          <w:color w:val="000000" w:themeColor="text1"/>
          <w:sz w:val="16"/>
          <w:szCs w:val="16"/>
        </w:rPr>
        <w:softHyphen/>
        <w:t>явил Уманскому: «В наших переговорах мы настолько были поглощены ликвидацией накопившихся трудностей, что не обменивались мнениями о происходящих и предстоящих событиях». Этот факт говорит о том, что в центр ведущихся переговоров стали выходить, помимо разрешения прак</w:t>
      </w:r>
      <w:r w:rsidRPr="00A3026E">
        <w:rPr>
          <w:rFonts w:ascii="Times New Roman" w:hAnsi="Times New Roman"/>
          <w:color w:val="000000" w:themeColor="text1"/>
          <w:sz w:val="16"/>
          <w:szCs w:val="16"/>
        </w:rPr>
        <w:softHyphen/>
        <w:t>тических вопросов советско-американских связей и прежде всего технико-экономических контактов, также и проблемы обсуждения международной ситуации в целом и частные внешнеполитические вопросы.</w:t>
      </w:r>
    </w:p>
    <w:p w14:paraId="11C8B3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целом же, по сравнению с предшествующей встречей, десятая не вне</w:t>
      </w:r>
      <w:r w:rsidRPr="00A3026E">
        <w:rPr>
          <w:rFonts w:ascii="Times New Roman" w:hAnsi="Times New Roman"/>
          <w:color w:val="000000" w:themeColor="text1"/>
          <w:sz w:val="16"/>
          <w:szCs w:val="16"/>
        </w:rPr>
        <w:softHyphen/>
        <w:t>сла ничего существенно нового ни в проблему морального эмбарго, ни в способы разрешения проблем экономических связей СССР с США.</w:t>
      </w:r>
    </w:p>
    <w:p w14:paraId="5B89BF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Интересен подготовленный Отделом европейских дел Меморандум от 26 ноября, где рассмотрено текущее состояние переговоров с советским послом. В нем отмечается существующая «проблема станков», а также указы</w:t>
      </w:r>
      <w:r w:rsidRPr="00A3026E">
        <w:rPr>
          <w:rFonts w:ascii="Times New Roman" w:hAnsi="Times New Roman"/>
          <w:color w:val="000000" w:themeColor="text1"/>
          <w:sz w:val="16"/>
          <w:szCs w:val="16"/>
        </w:rPr>
        <w:softHyphen/>
        <w:t>вается, что посол еще раз подчеркнул необходимость отмены морального эмбарго и в связи с этим потребовал, «чтобы мы дали гарантии, что позво</w:t>
      </w:r>
      <w:r w:rsidRPr="00A3026E">
        <w:rPr>
          <w:rFonts w:ascii="Times New Roman" w:hAnsi="Times New Roman"/>
          <w:color w:val="000000" w:themeColor="text1"/>
          <w:sz w:val="16"/>
          <w:szCs w:val="16"/>
        </w:rPr>
        <w:softHyphen/>
        <w:t>лим компании Келлог продать советскому правительству оборудование для крекинга бензина стоимостью примерно в 12,5 миллионов долларов».</w:t>
      </w:r>
    </w:p>
    <w:p w14:paraId="4E86A6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28.11.1940 года состоялась одиннадцатая встреча К.А. Уманского с С. Уэллесом, на которой кроме них никто не присутствовал. Она состояла из четырех частей, причем первым из обсуждавшихся был вопрос о стан</w:t>
      </w:r>
      <w:r w:rsidRPr="00A3026E">
        <w:rPr>
          <w:rFonts w:ascii="Times New Roman" w:hAnsi="Times New Roman"/>
          <w:color w:val="000000" w:themeColor="text1"/>
          <w:sz w:val="16"/>
          <w:szCs w:val="16"/>
        </w:rPr>
        <w:softHyphen/>
        <w:t>ках и машинах. Уманский выразил недовольство результатами работы ко</w:t>
      </w:r>
      <w:r w:rsidRPr="00A3026E">
        <w:rPr>
          <w:rFonts w:ascii="Times New Roman" w:hAnsi="Times New Roman"/>
          <w:color w:val="000000" w:themeColor="text1"/>
          <w:sz w:val="16"/>
          <w:szCs w:val="16"/>
        </w:rPr>
        <w:softHyphen/>
        <w:t>миссии Максуэлла, которая должна была пересмотреть запрет на вывоз материалов и оборудования, заказанных СССР: «Я в решительной форме настаивал на освобождении всего оборудования в порту, аннулировании ордеров на реквизицию и радикальном пересмотре списка запретов на оборудование, находящееся в производстве, в духе предложений советс</w:t>
      </w:r>
      <w:r w:rsidRPr="00A3026E">
        <w:rPr>
          <w:rFonts w:ascii="Times New Roman" w:hAnsi="Times New Roman"/>
          <w:color w:val="000000" w:themeColor="text1"/>
          <w:sz w:val="16"/>
          <w:szCs w:val="16"/>
        </w:rPr>
        <w:softHyphen/>
        <w:t>кого правительства, переданных мною Уэллесу 7 октября. Уэллес отве</w:t>
      </w:r>
      <w:r w:rsidRPr="00A3026E">
        <w:rPr>
          <w:rFonts w:ascii="Times New Roman" w:hAnsi="Times New Roman"/>
          <w:color w:val="000000" w:themeColor="text1"/>
          <w:sz w:val="16"/>
          <w:szCs w:val="16"/>
        </w:rPr>
        <w:softHyphen/>
        <w:t>тил, что поставит перед полковником Максуэллом вопрос о пересмотре принятых решений, сообщит мне на днях результаты. Он-де сам не ожи</w:t>
      </w:r>
      <w:r w:rsidRPr="00A3026E">
        <w:rPr>
          <w:rFonts w:ascii="Times New Roman" w:hAnsi="Times New Roman"/>
          <w:color w:val="000000" w:themeColor="text1"/>
          <w:sz w:val="16"/>
          <w:szCs w:val="16"/>
        </w:rPr>
        <w:softHyphen/>
        <w:t>дал, что комиссия не сможет пойти нам в большей степени навстречу», -сообщал К.А. Уманский в телеграмме В.М. Молотову от 28.11.1940 года. Он приводил важные факты о режиме работы советских авиамоторных специалистов на американском авиамоторном заводе. «Как пример про</w:t>
      </w:r>
      <w:r w:rsidRPr="00A3026E">
        <w:rPr>
          <w:rFonts w:ascii="Times New Roman" w:hAnsi="Times New Roman"/>
          <w:color w:val="000000" w:themeColor="text1"/>
          <w:sz w:val="16"/>
          <w:szCs w:val="16"/>
        </w:rPr>
        <w:softHyphen/>
        <w:t>должающейся дискриминации против наших граждан, я вынужден снова назвать вопрос об условии работы членов комиссии завода имени Стали</w:t>
      </w:r>
      <w:r w:rsidRPr="00A3026E">
        <w:rPr>
          <w:rFonts w:ascii="Times New Roman" w:hAnsi="Times New Roman"/>
          <w:color w:val="000000" w:themeColor="text1"/>
          <w:sz w:val="16"/>
          <w:szCs w:val="16"/>
        </w:rPr>
        <w:softHyphen/>
        <w:t>на на заводе Райта; несмотря на обещание его, Уэллеса, о допуске к озна</w:t>
      </w:r>
      <w:r w:rsidRPr="00A3026E">
        <w:rPr>
          <w:rFonts w:ascii="Times New Roman" w:hAnsi="Times New Roman"/>
          <w:color w:val="000000" w:themeColor="text1"/>
          <w:sz w:val="16"/>
          <w:szCs w:val="16"/>
        </w:rPr>
        <w:softHyphen/>
        <w:t>комлению с технологическим процессом, за три месяца в результате этого обещания было проведено всего четыре экскурсии в цеха для семи членов комиссии со всякими ограничениями, отказано в устройстве четырех дру</w:t>
      </w:r>
      <w:r w:rsidRPr="00A3026E">
        <w:rPr>
          <w:rFonts w:ascii="Times New Roman" w:hAnsi="Times New Roman"/>
          <w:color w:val="000000" w:themeColor="text1"/>
          <w:sz w:val="16"/>
          <w:szCs w:val="16"/>
        </w:rPr>
        <w:softHyphen/>
        <w:t>гих экскурсий, между тем как договор о техпомощи предусматривает не осмотры, а текущее ознакомление с технологическим процессом. Поэто</w:t>
      </w:r>
      <w:r w:rsidRPr="00A3026E">
        <w:rPr>
          <w:rFonts w:ascii="Times New Roman" w:hAnsi="Times New Roman"/>
          <w:color w:val="000000" w:themeColor="text1"/>
          <w:sz w:val="16"/>
          <w:szCs w:val="16"/>
        </w:rPr>
        <w:softHyphen/>
        <w:t>му я вынужден снова считать вопрос о режиме комиссии на заводе Райта неурегулированным. Как доказательство, я передал Уэллесу официально полученную нашей комиссией копию письма представителя морской раз</w:t>
      </w:r>
      <w:r w:rsidRPr="00A3026E">
        <w:rPr>
          <w:rFonts w:ascii="Times New Roman" w:hAnsi="Times New Roman"/>
          <w:color w:val="000000" w:themeColor="text1"/>
          <w:sz w:val="16"/>
          <w:szCs w:val="16"/>
        </w:rPr>
        <w:softHyphen/>
        <w:t>ведки при заводе, в которой последний, игнорируя договор о техничес</w:t>
      </w:r>
      <w:r w:rsidRPr="00A3026E">
        <w:rPr>
          <w:rFonts w:ascii="Times New Roman" w:hAnsi="Times New Roman"/>
          <w:color w:val="000000" w:themeColor="text1"/>
          <w:sz w:val="16"/>
          <w:szCs w:val="16"/>
        </w:rPr>
        <w:softHyphen/>
        <w:t>кой помощи, заявляет директору завода, что американское правительство не может позволить использовать завод для целей обучения». Уэллес со</w:t>
      </w:r>
      <w:r w:rsidRPr="00A3026E">
        <w:rPr>
          <w:rFonts w:ascii="Times New Roman" w:hAnsi="Times New Roman"/>
          <w:color w:val="000000" w:themeColor="text1"/>
          <w:sz w:val="16"/>
          <w:szCs w:val="16"/>
        </w:rPr>
        <w:softHyphen/>
        <w:t>гласился с этим и «обещал добиться у морского министерства улучшения режима комиссии на заводе Райта»</w:t>
      </w:r>
      <w:r w:rsidRPr="00A3026E">
        <w:rPr>
          <w:rFonts w:ascii="Times New Roman" w:hAnsi="Times New Roman"/>
          <w:color w:val="000000" w:themeColor="text1"/>
          <w:sz w:val="16"/>
          <w:szCs w:val="16"/>
          <w:vertAlign w:val="superscript"/>
        </w:rPr>
        <w:t>115</w:t>
      </w:r>
      <w:r w:rsidRPr="00A3026E">
        <w:rPr>
          <w:rFonts w:ascii="Times New Roman" w:hAnsi="Times New Roman"/>
          <w:color w:val="000000" w:themeColor="text1"/>
          <w:sz w:val="16"/>
          <w:szCs w:val="16"/>
        </w:rPr>
        <w:t>. Таким образом, итог одиннадцатой встречи не содержал каких-либо положительных тенденций в советско-американских экономических контактах.</w:t>
      </w:r>
    </w:p>
    <w:p w14:paraId="1EAF00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состоялась 12-я встреча с Уэллесом, длившаяся 2 часа», - со</w:t>
      </w:r>
      <w:r w:rsidRPr="00A3026E">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A3026E">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A3026E">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A3026E">
        <w:rPr>
          <w:rFonts w:ascii="Times New Roman" w:hAnsi="Times New Roman"/>
          <w:color w:val="000000" w:themeColor="text1"/>
          <w:sz w:val="16"/>
          <w:szCs w:val="16"/>
        </w:rPr>
        <w:softHyphen/>
        <w:t>ны США. В пересмотре списка участвовали представители промышленнос</w:t>
      </w:r>
      <w:r w:rsidRPr="00A3026E">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A3026E">
        <w:rPr>
          <w:rFonts w:ascii="Times New Roman" w:hAnsi="Times New Roman"/>
          <w:color w:val="000000" w:themeColor="text1"/>
          <w:sz w:val="16"/>
          <w:szCs w:val="16"/>
        </w:rPr>
        <w:softHyphen/>
        <w:t>ти, авиационной, морской и артиллерийской, в этом оборудовании, аме</w:t>
      </w:r>
      <w:r w:rsidRPr="00A3026E">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A3026E">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A3026E">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A3026E">
        <w:rPr>
          <w:rFonts w:ascii="Times New Roman" w:hAnsi="Times New Roman"/>
          <w:color w:val="000000" w:themeColor="text1"/>
          <w:sz w:val="16"/>
          <w:szCs w:val="16"/>
        </w:rPr>
        <w:softHyphen/>
        <w:t>ходящихся в производстве, американское правительство сочло возможным лицензировать на экспорт советских заказов на сумму 495 тысяч долларов. К.А. Уманский ответил, что передаст эту информацию советскому прави</w:t>
      </w:r>
      <w:r w:rsidRPr="00A3026E">
        <w:rPr>
          <w:rFonts w:ascii="Times New Roman" w:hAnsi="Times New Roman"/>
          <w:color w:val="000000" w:themeColor="text1"/>
          <w:sz w:val="16"/>
          <w:szCs w:val="16"/>
        </w:rPr>
        <w:softHyphen/>
        <w:t>тельству. Он отметил: «Однако, при этой передаче я должен буду разъяснить своему правительству, что в ценностном выражении американское прави</w:t>
      </w:r>
      <w:r w:rsidRPr="00A3026E">
        <w:rPr>
          <w:rFonts w:ascii="Times New Roman" w:hAnsi="Times New Roman"/>
          <w:color w:val="000000" w:themeColor="text1"/>
          <w:sz w:val="16"/>
          <w:szCs w:val="16"/>
        </w:rPr>
        <w:softHyphen/>
        <w:t>тельство освобождает лишь около 60% принятого и в основном отгружен</w:t>
      </w:r>
      <w:r w:rsidRPr="00A3026E">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A3026E">
        <w:rPr>
          <w:rFonts w:ascii="Times New Roman" w:hAnsi="Times New Roman"/>
          <w:color w:val="000000" w:themeColor="text1"/>
          <w:sz w:val="16"/>
          <w:szCs w:val="16"/>
        </w:rPr>
        <w:softHyphen/>
        <w:t>ких заказов, находящихся в производстве, К.А. Уманский подчеркнул: «Кон</w:t>
      </w:r>
      <w:r w:rsidRPr="00A3026E">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A3026E">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A3026E">
        <w:rPr>
          <w:rFonts w:ascii="Times New Roman" w:hAnsi="Times New Roman"/>
          <w:color w:val="000000" w:themeColor="text1"/>
          <w:sz w:val="16"/>
          <w:szCs w:val="16"/>
        </w:rPr>
        <w:softHyphen/>
        <w:t>листы видят оборонный характер освобожденных станков и машин, вклю</w:t>
      </w:r>
      <w:r w:rsidRPr="00A3026E">
        <w:rPr>
          <w:rFonts w:ascii="Times New Roman" w:hAnsi="Times New Roman"/>
          <w:color w:val="000000" w:themeColor="text1"/>
          <w:sz w:val="16"/>
          <w:szCs w:val="16"/>
        </w:rPr>
        <w:softHyphen/>
        <w:t>чающих тяжелые станки, снарядные прессы, авиамоторы и т.д., безуслов</w:t>
      </w:r>
      <w:r w:rsidRPr="00A3026E">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A3026E">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A3026E">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3AB033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A3026E">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A3026E">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A3026E">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A3026E">
        <w:rPr>
          <w:rFonts w:ascii="Times New Roman" w:hAnsi="Times New Roman"/>
          <w:color w:val="000000" w:themeColor="text1"/>
          <w:sz w:val="16"/>
          <w:szCs w:val="16"/>
        </w:rPr>
        <w:softHyphen/>
        <w:t>цией определенного числа станков и машин за компенсацию; обязательство американского правительства в форме обмена нотами рассматривать все со</w:t>
      </w:r>
      <w:r w:rsidRPr="00A3026E">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A3026E">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A3026E">
        <w:rPr>
          <w:rFonts w:ascii="Times New Roman" w:hAnsi="Times New Roman"/>
          <w:color w:val="000000" w:themeColor="text1"/>
          <w:sz w:val="16"/>
          <w:szCs w:val="16"/>
        </w:rPr>
        <w:softHyphen/>
        <w:t>тво не может дать нам ни гарантии неаннулирования выдаваемых лицензий, ни автоматического возобновления договоров на запрещаемое к вывозу обо</w:t>
      </w:r>
      <w:r w:rsidRPr="00A3026E">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A3026E">
        <w:rPr>
          <w:rFonts w:ascii="Times New Roman" w:hAnsi="Times New Roman"/>
          <w:color w:val="000000" w:themeColor="text1"/>
          <w:sz w:val="16"/>
          <w:szCs w:val="16"/>
        </w:rPr>
        <w:softHyphen/>
        <w:t>роительной и машиностроительной промышленности это исключают».</w:t>
      </w:r>
    </w:p>
    <w:p w14:paraId="14BC85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Пятый вопрос встречи касался поездок в СССР американских специалис</w:t>
      </w:r>
      <w:r w:rsidRPr="00A3026E">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A3026E">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A3026E">
        <w:rPr>
          <w:rFonts w:ascii="Times New Roman" w:hAnsi="Times New Roman"/>
          <w:color w:val="000000" w:themeColor="text1"/>
          <w:sz w:val="16"/>
          <w:szCs w:val="16"/>
        </w:rPr>
        <w:softHyphen/>
        <w:t>га будут рассмотрены», на что К.А. Уманский, комментируя в телеграмме его слова, отметил: «Это является ответом с опозданием на четыре с половиной месяца на поднятый мной при второй встрече</w:t>
      </w:r>
      <w:r w:rsidRPr="00A3026E">
        <w:rPr>
          <w:rFonts w:ascii="Times New Roman" w:hAnsi="Times New Roman"/>
          <w:color w:val="000000" w:themeColor="text1"/>
          <w:sz w:val="16"/>
          <w:szCs w:val="16"/>
          <w:vertAlign w:val="superscript"/>
        </w:rPr>
        <w:t>118</w:t>
      </w:r>
      <w:r w:rsidRPr="00A3026E">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1F6D0F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A3026E">
        <w:rPr>
          <w:rFonts w:ascii="Times New Roman" w:hAnsi="Times New Roman"/>
          <w:color w:val="000000" w:themeColor="text1"/>
          <w:sz w:val="16"/>
          <w:szCs w:val="16"/>
          <w:vertAlign w:val="superscript"/>
        </w:rPr>
        <w:t>119</w:t>
      </w:r>
      <w:r w:rsidRPr="00A3026E">
        <w:rPr>
          <w:rFonts w:ascii="Times New Roman" w:hAnsi="Times New Roman"/>
          <w:color w:val="000000" w:themeColor="text1"/>
          <w:sz w:val="16"/>
          <w:szCs w:val="16"/>
        </w:rPr>
        <w:t>.</w:t>
      </w:r>
    </w:p>
    <w:p w14:paraId="35FB84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Телеграмма Уманского от 17.12.1940 года, вероятно, является самым важ</w:t>
      </w:r>
      <w:r w:rsidRPr="00A3026E">
        <w:rPr>
          <w:rFonts w:ascii="Times New Roman" w:hAnsi="Times New Roman"/>
          <w:color w:val="000000" w:themeColor="text1"/>
          <w:sz w:val="16"/>
          <w:szCs w:val="16"/>
        </w:rPr>
        <w:softHyphen/>
        <w:t>ным документом, освещающим переговоры советского полпреда с замес</w:t>
      </w:r>
      <w:r w:rsidRPr="00A3026E">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A3026E">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A3026E">
        <w:rPr>
          <w:rFonts w:ascii="Times New Roman" w:hAnsi="Times New Roman"/>
          <w:color w:val="000000" w:themeColor="text1"/>
          <w:sz w:val="16"/>
          <w:szCs w:val="16"/>
        </w:rPr>
        <w:softHyphen/>
        <w:t>ных советско-американских переговоров, проводившихся в 1940 году в пе</w:t>
      </w:r>
      <w:r w:rsidRPr="00A3026E">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A3026E">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A3026E">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0D110D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Американская сторона отразила ход переговоров встречи в Меморанду</w:t>
      </w:r>
      <w:r w:rsidRPr="00A3026E">
        <w:rPr>
          <w:rFonts w:ascii="Times New Roman" w:hAnsi="Times New Roman"/>
          <w:color w:val="000000" w:themeColor="text1"/>
          <w:sz w:val="16"/>
          <w:szCs w:val="16"/>
        </w:rPr>
        <w:softHyphen/>
        <w:t>ме о переговорах, составленном Гендерсоном 16 декабря 1940 года. С аме</w:t>
      </w:r>
      <w:r w:rsidRPr="00A3026E">
        <w:rPr>
          <w:rFonts w:ascii="Times New Roman" w:hAnsi="Times New Roman"/>
          <w:color w:val="000000" w:themeColor="text1"/>
          <w:sz w:val="16"/>
          <w:szCs w:val="16"/>
        </w:rPr>
        <w:softHyphen/>
        <w:t>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A3026E">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A3026E">
        <w:rPr>
          <w:rFonts w:ascii="Times New Roman" w:hAnsi="Times New Roman"/>
          <w:color w:val="000000" w:themeColor="text1"/>
          <w:sz w:val="16"/>
          <w:szCs w:val="16"/>
        </w:rPr>
        <w:softHyphen/>
        <w:t>ки. Обсуждение проблемы морального эмбарго текстуально почти до</w:t>
      </w:r>
      <w:r w:rsidRPr="00A3026E">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A3026E">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623305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A3026E">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A3026E">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A3026E">
        <w:rPr>
          <w:rFonts w:ascii="Times New Roman" w:hAnsi="Times New Roman"/>
          <w:color w:val="000000" w:themeColor="text1"/>
          <w:sz w:val="16"/>
          <w:szCs w:val="16"/>
        </w:rPr>
        <w:softHyphen/>
        <w:t xml:space="preserve">лучить часть заказанного в США </w:t>
      </w:r>
      <w:r w:rsidRPr="00A3026E">
        <w:rPr>
          <w:rFonts w:ascii="Times New Roman" w:hAnsi="Times New Roman"/>
          <w:color w:val="000000" w:themeColor="text1"/>
          <w:sz w:val="16"/>
          <w:szCs w:val="16"/>
        </w:rPr>
        <w:lastRenderedPageBreak/>
        <w:t>промышленного оборудования. Более того, не было никаких гарантий в связи с целым комплексом причин, что вновь за</w:t>
      </w:r>
      <w:r w:rsidRPr="00A3026E">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5A6172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A3026E">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678522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оборудованию, находящемуся в производстве, можно сказать следу</w:t>
      </w:r>
      <w:r w:rsidRPr="00A3026E">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A3026E">
        <w:rPr>
          <w:rFonts w:ascii="Times New Roman" w:hAnsi="Times New Roman"/>
          <w:color w:val="000000" w:themeColor="text1"/>
          <w:sz w:val="16"/>
          <w:szCs w:val="16"/>
        </w:rPr>
        <w:softHyphen/>
        <w:t>ветственно, 87,5 % не могло быть получено СССР.</w:t>
      </w:r>
    </w:p>
    <w:p w14:paraId="797E44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7C1085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поводу режима комиссии НКАПа на заводе Райта: по первую полови</w:t>
      </w:r>
      <w:r w:rsidRPr="00A3026E">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A3026E">
        <w:rPr>
          <w:rFonts w:ascii="Times New Roman" w:hAnsi="Times New Roman"/>
          <w:color w:val="000000" w:themeColor="text1"/>
          <w:sz w:val="16"/>
          <w:szCs w:val="16"/>
        </w:rPr>
        <w:softHyphen/>
        <w:t>ты комиссии американская сторона не сообщила.</w:t>
      </w:r>
    </w:p>
    <w:p w14:paraId="20DCE1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A3026E">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54B839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A3026E">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A3026E">
        <w:rPr>
          <w:rFonts w:ascii="Times New Roman" w:hAnsi="Times New Roman"/>
          <w:color w:val="000000" w:themeColor="text1"/>
          <w:sz w:val="16"/>
          <w:szCs w:val="16"/>
        </w:rPr>
        <w:softHyphen/>
        <w:t>нии СССР как в экономической, так и в политической области, и послед</w:t>
      </w:r>
      <w:r w:rsidRPr="00A3026E">
        <w:rPr>
          <w:rFonts w:ascii="Times New Roman" w:hAnsi="Times New Roman"/>
          <w:color w:val="000000" w:themeColor="text1"/>
          <w:sz w:val="16"/>
          <w:szCs w:val="16"/>
        </w:rPr>
        <w:softHyphen/>
        <w:t>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конста</w:t>
      </w:r>
      <w:r w:rsidRPr="00A3026E">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3A8559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8D7A24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737A4F9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64B67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October 1940 Germans enter Romania (270) по взаимному соглашению (3907,224).</w:t>
      </w:r>
    </w:p>
    <w:p w14:paraId="05D1AD5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7F410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октября 1940 немцы вошли в Румынию (270) для защиты нефтяных месторождений (2244,7) по взаимному согласию с румынском правительством (3481).</w:t>
      </w:r>
    </w:p>
    <w:p w14:paraId="492D41D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8442F98"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AE2CD8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9F3C9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летчик-испытатель В.К.Коккинаки выполнил первую рулежку на ДБ-4. По его оценке, самолет вел себя устойчиво, без каких-либо тенденций к разворачиванию, нормально слушался тормозов шасси и органов управления (9528).</w:t>
      </w:r>
    </w:p>
    <w:p w14:paraId="6878A27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6FDFC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закончились заводские испытания ДБ-240 2М-105, которые шли с 27 сентября 1940 (2090,232), а по другим данным 15 или 17 октября 1940.</w:t>
      </w:r>
    </w:p>
    <w:p w14:paraId="08D9616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7A87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началось проектирование цельнометаллического крыла для И-30 (198,37).</w:t>
      </w:r>
    </w:p>
    <w:p w14:paraId="759FE21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1B1A7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г. в инициативном порядке (официальное задание на создание И-30 ОКБ получило только 21 апреля 1941 г.) возобновились работы по истребителю И-30. Вышедшее 2 октября постановление Правительства № 1854-773сс предписывало серийным заводам № 23, 153 и 292 перейти с 1 января, а заводу № 301 с I апреля 1941 г. на серийный выпуск улучшенного И-26 с разъемным крылом и дальностью полета 1100 км на скорости 0,9 максимальной. Данную задачу можно было реализовать только путем замены деревянного крыла металлическим. Поэтому работы по самолету продолжил ведущий конструктор С.Д. Трефилов, под руководством которого в рамках создания И-26-3 в периоде 26 мая по 18 июля 1940 года проводилось проектирование и изготовление металлического крыла. В связи доводкой и постановкой в серию истребителя Як-1 и его учебного варианта Як-7 работы по машине Як-3, как стал называться И-30 после смены обозначений, несколько застопорились (к концу года техническая готовность машины составляла всего 10 %). В связи с этим планы по переходу серийных заводов на изготовление новой машины были пересмотрены. В 1941 году выпуск Як-3 должен был начаться со второго квартала и уже на заводах №№ 83, 99, 292, 301.</w:t>
      </w:r>
    </w:p>
    <w:p w14:paraId="676F2D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 вобрал в себя весь накопленный в ОКБ опыт по созданию истребителей. В его конструкции были максимально учтены требования ВВС по исправлению недостатков И-26, выявленных в процессе испытаний. Главный конструктор и специалисты ОКБ считали и обещали Правительству и ВВС, что эта машина заменит собой в серийном производстве самолет Як-1. Винтомоторная группа, шасси и металлическое хвостовое оперение были целиком взяты с машины И-28. Мотор М-105ПД, большей мощности, чем М-105П, позволил не только вернуться к исходному варианту вооружения (мотор- пушка ШВАК и четыре ШКАСа), но и добавить еще две пушки ШВАК в крыло. В свою очередь металлическое разъемное крыло, состоявшее из центроплана и двух консолей, дало возможность не только увеличить запас горючего (с 305 до 383 кг), но и разместить в центроплане маслорадиаторы. Беспереплетный козырек фонаря кабины, установка радиостанции с мачтой антенны, отъемная моторама, ручка управления с кнопочными гашетками оружия, как на "Мессершмитте", тяги управления рулем высоты, проходящие над водорадиатором (а не сквозь как на Як-1), тяги управления элеронами, вынесенные за задний лонжерон, управление триммерами руля поворота и элеронов, предкрылки, посадочная фара - вот далеко не полный перечень произведенных улучшений.</w:t>
      </w:r>
    </w:p>
    <w:p w14:paraId="2F2D70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Вопрос о смене типа самолета ОКБ Яковлева для серийного производства возник в связи с требованием увеличения дальности полета серийных истребителей до 1000 км на скорости 0,9 максимальной. КБ Яковлева попыталось добавить горючего на самолет Як-1. Машина № 0412 получила на заводе дополнительный бензобак, расположенный под поляком и сиденьем пилота. Материалы испытаний этого самолета пока не найдены, но то, что распространения этот вариант не получил, позволяет предположить, что и здесь выигрыш в дальности полета вступил в противоречие с ограничением полетного веса Як-1 по прочности шасси (12048).</w:t>
      </w:r>
    </w:p>
    <w:p w14:paraId="7D5044D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6F16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г. военпредом были отклонены к приемке И-16 с моторами М-63 по причине того, что 90 % двигателей при наборе высоты до 4500 метров имели давление наддува значительно меньше расчетного. Основными причинами оказались плохое качество карбюраторов, а также неудачное размещение маслорадиатора (11741).</w:t>
      </w:r>
    </w:p>
    <w:p w14:paraId="3FC881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A19AC28"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г. состоялся первый полет Фокина на втором ИП-21, продолжавшийся 17 минут. В полете произошел отказ левого магнето, поэтому его решили заменить, для чего летали за ним на У-2 в Рыбинск на завод № 26. 12 октября состоялся второй полет, который выявил некондиционность установленного на самолете двигателя — при его осмотре механики обнаружили металлическую стружку в маслофильтре. Двигатель пришлось заменить. 17 октября, после замены двигателя, состоялся ознакомительный полет заводского летчика Большакова. 20-го и 24-го выполнялись полеты на высоту 5000 м, 1 ноября — полеты на определение скорости, 2 ноября — на пилотаж. По заключению заводских пилотов Фокина и Большакова, второй экземпляр в воздухе вел себя устойчиво (15561).</w:t>
      </w:r>
    </w:p>
    <w:p w14:paraId="15EE3C8C" w14:textId="77777777" w:rsidR="00226974" w:rsidRPr="00A3026E" w:rsidRDefault="00226974" w:rsidP="00A3026E">
      <w:pPr>
        <w:spacing w:after="0" w:line="240" w:lineRule="auto"/>
        <w:jc w:val="both"/>
        <w:rPr>
          <w:rFonts w:ascii="Times New Roman" w:hAnsi="Times New Roman"/>
          <w:color w:val="000000" w:themeColor="text1"/>
          <w:sz w:val="16"/>
          <w:szCs w:val="16"/>
        </w:rPr>
      </w:pPr>
    </w:p>
    <w:p w14:paraId="6F957B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была окончена постройка и начались заводские испытания КОР-2 Г.М.Б. (2555,170). Был выполнен первый полет (9079,33).</w:t>
      </w:r>
    </w:p>
    <w:p w14:paraId="54A8653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B4079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состоялся первый полет КОР-2, затем в течение нескольких месяцев осуществлялась доводка самолета. В период со 2 по 18 февраля 1941 г. КОР-2 про</w:t>
      </w:r>
      <w:r w:rsidRPr="00A3026E">
        <w:rPr>
          <w:rFonts w:ascii="Times New Roman" w:hAnsi="Times New Roman"/>
          <w:color w:val="000000" w:themeColor="text1"/>
          <w:sz w:val="16"/>
          <w:szCs w:val="16"/>
        </w:rPr>
        <w:softHyphen/>
        <w:t>шел государственные испытания в Севастополе на базе ЛИИ ВВС ВМФ. На заключительном этапе тестирова</w:t>
      </w:r>
      <w:r w:rsidRPr="00A3026E">
        <w:rPr>
          <w:rFonts w:ascii="Times New Roman" w:hAnsi="Times New Roman"/>
          <w:color w:val="000000" w:themeColor="text1"/>
          <w:sz w:val="16"/>
          <w:szCs w:val="16"/>
        </w:rPr>
        <w:softHyphen/>
        <w:t>ния первой машины к полетам при</w:t>
      </w:r>
      <w:r w:rsidRPr="00A3026E">
        <w:rPr>
          <w:rFonts w:ascii="Times New Roman" w:hAnsi="Times New Roman"/>
          <w:color w:val="000000" w:themeColor="text1"/>
          <w:sz w:val="16"/>
          <w:szCs w:val="16"/>
        </w:rPr>
        <w:softHyphen/>
        <w:t>ступил второй опытный экземпляр. Признавалось, что КОР-2 соответст</w:t>
      </w:r>
      <w:r w:rsidRPr="00A3026E">
        <w:rPr>
          <w:rFonts w:ascii="Times New Roman" w:hAnsi="Times New Roman"/>
          <w:color w:val="000000" w:themeColor="text1"/>
          <w:sz w:val="16"/>
          <w:szCs w:val="16"/>
        </w:rPr>
        <w:softHyphen/>
        <w:t>вует требованиям ВМФ, испытания выдержал и может быть рекомендо</w:t>
      </w:r>
      <w:r w:rsidRPr="00A3026E">
        <w:rPr>
          <w:rFonts w:ascii="Times New Roman" w:hAnsi="Times New Roman"/>
          <w:color w:val="000000" w:themeColor="text1"/>
          <w:sz w:val="16"/>
          <w:szCs w:val="16"/>
        </w:rPr>
        <w:softHyphen/>
        <w:t>ван к принятию на вооружение. По технике пилотирования самолет считался несложным и вполне мог быть освоен пилотами, имеющими навык полетов на распространенном МБР-2. Кроме ис</w:t>
      </w:r>
      <w:r w:rsidRPr="00A3026E">
        <w:rPr>
          <w:rFonts w:ascii="Times New Roman" w:hAnsi="Times New Roman"/>
          <w:color w:val="000000" w:themeColor="text1"/>
          <w:sz w:val="16"/>
          <w:szCs w:val="16"/>
        </w:rPr>
        <w:softHyphen/>
        <w:t>пользования в качестве корабельного разведчика, КОР-2 предлагалось применять как самолет охраны военно-мор</w:t>
      </w:r>
      <w:r w:rsidRPr="00A3026E">
        <w:rPr>
          <w:rFonts w:ascii="Times New Roman" w:hAnsi="Times New Roman"/>
          <w:color w:val="000000" w:themeColor="text1"/>
          <w:sz w:val="16"/>
          <w:szCs w:val="16"/>
        </w:rPr>
        <w:softHyphen/>
        <w:t>ских баз, для чего следовало увеличить емкость топлив</w:t>
      </w:r>
      <w:r w:rsidRPr="00A3026E">
        <w:rPr>
          <w:rFonts w:ascii="Times New Roman" w:hAnsi="Times New Roman"/>
          <w:color w:val="000000" w:themeColor="text1"/>
          <w:sz w:val="16"/>
          <w:szCs w:val="16"/>
        </w:rPr>
        <w:softHyphen/>
        <w:t>ных баков. В варианте пикирующего бомбардировщика бомбовую нагрузку заказчики требовали увеличить с 200 до 400 кг.</w:t>
      </w:r>
    </w:p>
    <w:p w14:paraId="5370C1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Существенных проблем при испытаниях не отмеча</w:t>
      </w:r>
      <w:r w:rsidRPr="00A3026E">
        <w:rPr>
          <w:rFonts w:ascii="Times New Roman" w:hAnsi="Times New Roman"/>
          <w:color w:val="000000" w:themeColor="text1"/>
          <w:sz w:val="16"/>
          <w:szCs w:val="16"/>
        </w:rPr>
        <w:softHyphen/>
        <w:t>лось, однако летчики-испытатели Рейдель и Яковлев бы</w:t>
      </w:r>
      <w:r w:rsidRPr="00A3026E">
        <w:rPr>
          <w:rFonts w:ascii="Times New Roman" w:hAnsi="Times New Roman"/>
          <w:color w:val="000000" w:themeColor="text1"/>
          <w:sz w:val="16"/>
          <w:szCs w:val="16"/>
        </w:rPr>
        <w:softHyphen/>
        <w:t>ли обеспокоены наличием у КОР-2 крутой глиссады пла</w:t>
      </w:r>
      <w:r w:rsidRPr="00A3026E">
        <w:rPr>
          <w:rFonts w:ascii="Times New Roman" w:hAnsi="Times New Roman"/>
          <w:color w:val="000000" w:themeColor="text1"/>
          <w:sz w:val="16"/>
          <w:szCs w:val="16"/>
        </w:rPr>
        <w:softHyphen/>
        <w:t>нирования. Пилоты не без основания полагали, что при выполнении полетов в штилевую погоду и, особенно, но</w:t>
      </w:r>
      <w:r w:rsidRPr="00A3026E">
        <w:rPr>
          <w:rFonts w:ascii="Times New Roman" w:hAnsi="Times New Roman"/>
          <w:color w:val="000000" w:themeColor="text1"/>
          <w:sz w:val="16"/>
          <w:szCs w:val="16"/>
        </w:rPr>
        <w:softHyphen/>
        <w:t>чью посадка на самолете будет затруднена. В штиль при стоячей воде образуется явление «зеркала», когда летчи</w:t>
      </w:r>
      <w:r w:rsidRPr="00A3026E">
        <w:rPr>
          <w:rFonts w:ascii="Times New Roman" w:hAnsi="Times New Roman"/>
          <w:color w:val="000000" w:themeColor="text1"/>
          <w:sz w:val="16"/>
          <w:szCs w:val="16"/>
        </w:rPr>
        <w:softHyphen/>
        <w:t>ку при отсутствии ориентиров трудно определить высоту выравнивания. Данное явление хорошо известно пило</w:t>
      </w:r>
      <w:r w:rsidRPr="00A3026E">
        <w:rPr>
          <w:rFonts w:ascii="Times New Roman" w:hAnsi="Times New Roman"/>
          <w:color w:val="000000" w:themeColor="text1"/>
          <w:sz w:val="16"/>
          <w:szCs w:val="16"/>
        </w:rPr>
        <w:softHyphen/>
        <w:t>там гидросамолетов, по его причине произошло немало досадных аварий и катастроф.</w:t>
      </w:r>
    </w:p>
    <w:p w14:paraId="27C722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Успешные испытания двух опытных КОР-2 совпали с окончанием постройки на Ленинградском заводе им. Ки</w:t>
      </w:r>
      <w:r w:rsidRPr="00A3026E">
        <w:rPr>
          <w:rFonts w:ascii="Times New Roman" w:hAnsi="Times New Roman"/>
          <w:color w:val="000000" w:themeColor="text1"/>
          <w:sz w:val="16"/>
          <w:szCs w:val="16"/>
        </w:rPr>
        <w:softHyphen/>
        <w:t>рова второй катапульты конструкции Бухвостова - ЗК-2Б. Первоначально она предполагалась для КОР-1, но затем была переделана под новый корабельный разведчик.</w:t>
      </w:r>
    </w:p>
    <w:p w14:paraId="1D8714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Основными отличиями ЗК-2Б стала новая стартовая тележка с падающими стойками и увеличение толщины стартового и тормозного тросов. Первоначально катапульту установили на плавучий стенд и опробовали при помощи 3-тонной болванки. Самолет испытывали уже по</w:t>
      </w:r>
      <w:r w:rsidRPr="00A3026E">
        <w:rPr>
          <w:rFonts w:ascii="Times New Roman" w:hAnsi="Times New Roman"/>
          <w:color w:val="000000" w:themeColor="text1"/>
          <w:sz w:val="16"/>
          <w:szCs w:val="16"/>
        </w:rPr>
        <w:softHyphen/>
        <w:t xml:space="preserve">сле начала войны, в период с 23 июля по 6 </w:t>
      </w:r>
      <w:r w:rsidRPr="00A3026E">
        <w:rPr>
          <w:rFonts w:ascii="Times New Roman" w:hAnsi="Times New Roman"/>
          <w:color w:val="000000" w:themeColor="text1"/>
          <w:sz w:val="16"/>
          <w:szCs w:val="16"/>
        </w:rPr>
        <w:lastRenderedPageBreak/>
        <w:t>августа 1941 г. КОР-2 со взлетным весом 2440 кг стартовал с щитками, отклоненными на 30°, на скорости 115 км/ч. Катапульти</w:t>
      </w:r>
      <w:r w:rsidRPr="00A3026E">
        <w:rPr>
          <w:rFonts w:ascii="Times New Roman" w:hAnsi="Times New Roman"/>
          <w:color w:val="000000" w:themeColor="text1"/>
          <w:sz w:val="16"/>
          <w:szCs w:val="16"/>
        </w:rPr>
        <w:softHyphen/>
        <w:t>рование с плавучего стенда проводилось в районе Орани</w:t>
      </w:r>
      <w:r w:rsidRPr="00A3026E">
        <w:rPr>
          <w:rFonts w:ascii="Times New Roman" w:hAnsi="Times New Roman"/>
          <w:color w:val="000000" w:themeColor="text1"/>
          <w:sz w:val="16"/>
          <w:szCs w:val="16"/>
        </w:rPr>
        <w:softHyphen/>
        <w:t>енбаума под Ленинградом, относящегося в тот период к прифронтовой зоне (11107).</w:t>
      </w:r>
    </w:p>
    <w:p w14:paraId="622E74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Летные и технические характеристики КОР-2 (Бе-4)</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64"/>
        <w:gridCol w:w="1037"/>
        <w:gridCol w:w="1670"/>
      </w:tblGrid>
      <w:tr w:rsidR="00983732" w:rsidRPr="00A3026E" w14:paraId="70B869EA" w14:textId="77777777" w:rsidTr="00EA0DA7">
        <w:trPr>
          <w:trHeight w:val="394"/>
        </w:trPr>
        <w:tc>
          <w:tcPr>
            <w:tcW w:w="2064" w:type="dxa"/>
            <w:tcBorders>
              <w:top w:val="single" w:sz="12" w:space="0" w:color="auto"/>
            </w:tcBorders>
          </w:tcPr>
          <w:p w14:paraId="2B25CB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3F7B0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12" w:space="0" w:color="auto"/>
            </w:tcBorders>
          </w:tcPr>
          <w:p w14:paraId="30292F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КОР-2 (опытный)</w:t>
            </w:r>
          </w:p>
          <w:p w14:paraId="371A84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Borders>
              <w:top w:val="single" w:sz="12" w:space="0" w:color="auto"/>
            </w:tcBorders>
          </w:tcPr>
          <w:p w14:paraId="0F6CB1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КОР-2 (серийный №4770305)</w:t>
            </w:r>
          </w:p>
          <w:p w14:paraId="57DDBD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F9A434B" w14:textId="77777777" w:rsidTr="00EA0DA7">
        <w:trPr>
          <w:trHeight w:val="326"/>
        </w:trPr>
        <w:tc>
          <w:tcPr>
            <w:tcW w:w="2064" w:type="dxa"/>
          </w:tcPr>
          <w:p w14:paraId="6DC431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Двигатель</w:t>
            </w:r>
          </w:p>
          <w:p w14:paraId="1A9D10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1681BA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p w14:paraId="09E276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4FEDCF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p w14:paraId="71492E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CC43663" w14:textId="77777777" w:rsidTr="00EA0DA7">
        <w:trPr>
          <w:trHeight w:val="317"/>
        </w:trPr>
        <w:tc>
          <w:tcPr>
            <w:tcW w:w="2064" w:type="dxa"/>
          </w:tcPr>
          <w:p w14:paraId="7C145E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(л. с.)</w:t>
            </w:r>
          </w:p>
          <w:p w14:paraId="346EAF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153F89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p w14:paraId="4189E6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626782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p w14:paraId="37FB3F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E3F9262" w14:textId="77777777" w:rsidTr="00EA0DA7">
        <w:trPr>
          <w:trHeight w:val="326"/>
        </w:trPr>
        <w:tc>
          <w:tcPr>
            <w:tcW w:w="2064" w:type="dxa"/>
          </w:tcPr>
          <w:p w14:paraId="4E6751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крыла (м)</w:t>
            </w:r>
          </w:p>
          <w:p w14:paraId="6CA7C3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7B012A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p w14:paraId="76C76A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5B4040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12,035</w:t>
            </w:r>
          </w:p>
          <w:p w14:paraId="4AEF6D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C1DAD4A" w14:textId="77777777" w:rsidTr="00EA0DA7">
        <w:trPr>
          <w:trHeight w:val="326"/>
        </w:trPr>
        <w:tc>
          <w:tcPr>
            <w:tcW w:w="2064" w:type="dxa"/>
          </w:tcPr>
          <w:p w14:paraId="47DF9A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в линии полета (м)</w:t>
            </w:r>
          </w:p>
          <w:p w14:paraId="6841DB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417D46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p w14:paraId="7E1518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0A6097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10,435</w:t>
            </w:r>
          </w:p>
          <w:p w14:paraId="36920D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247F964" w14:textId="77777777" w:rsidTr="00EA0DA7">
        <w:trPr>
          <w:trHeight w:val="326"/>
        </w:trPr>
        <w:tc>
          <w:tcPr>
            <w:tcW w:w="2064" w:type="dxa"/>
          </w:tcPr>
          <w:p w14:paraId="398DC1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(м</w:t>
            </w:r>
            <w:r w:rsidRPr="00A3026E">
              <w:rPr>
                <w:rFonts w:ascii="Times New Roman" w:hAnsi="Times New Roman"/>
                <w:color w:val="000000" w:themeColor="text1"/>
                <w:sz w:val="16"/>
                <w:szCs w:val="16"/>
                <w:vertAlign w:val="superscript"/>
              </w:rPr>
              <w:t>г</w:t>
            </w:r>
            <w:r w:rsidRPr="00A3026E">
              <w:rPr>
                <w:rFonts w:ascii="Times New Roman" w:hAnsi="Times New Roman"/>
                <w:color w:val="000000" w:themeColor="text1"/>
                <w:sz w:val="16"/>
                <w:szCs w:val="16"/>
              </w:rPr>
              <w:t>)</w:t>
            </w:r>
          </w:p>
          <w:p w14:paraId="0E331E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5A3488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25,5</w:t>
            </w:r>
          </w:p>
          <w:p w14:paraId="2C715C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13FDD6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25,5</w:t>
            </w:r>
          </w:p>
          <w:p w14:paraId="0C2B40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26F66B7" w14:textId="77777777" w:rsidTr="00EA0DA7">
        <w:trPr>
          <w:trHeight w:val="317"/>
        </w:trPr>
        <w:tc>
          <w:tcPr>
            <w:tcW w:w="2064" w:type="dxa"/>
          </w:tcPr>
          <w:p w14:paraId="4E3775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(кг)</w:t>
            </w:r>
          </w:p>
          <w:p w14:paraId="40A399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5F3A04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2010</w:t>
            </w:r>
          </w:p>
          <w:p w14:paraId="4FD94E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5E924D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2248</w:t>
            </w:r>
          </w:p>
          <w:p w14:paraId="2DABC9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2D13F7F" w14:textId="77777777" w:rsidTr="00EA0DA7">
        <w:trPr>
          <w:trHeight w:val="307"/>
        </w:trPr>
        <w:tc>
          <w:tcPr>
            <w:tcW w:w="2064" w:type="dxa"/>
          </w:tcPr>
          <w:p w14:paraId="76C442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(кг)</w:t>
            </w:r>
          </w:p>
          <w:p w14:paraId="62377E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5F2D9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2732</w:t>
            </w:r>
          </w:p>
          <w:p w14:paraId="508660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4E41E9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3458*</w:t>
            </w:r>
          </w:p>
          <w:p w14:paraId="51B409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48CA3BC" w14:textId="77777777" w:rsidTr="00EA0DA7">
        <w:trPr>
          <w:trHeight w:val="336"/>
        </w:trPr>
        <w:tc>
          <w:tcPr>
            <w:tcW w:w="2064" w:type="dxa"/>
          </w:tcPr>
          <w:p w14:paraId="307DA2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на крыло (кг/м2)</w:t>
            </w:r>
          </w:p>
          <w:p w14:paraId="5ECD58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6BA2E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w:t>
            </w:r>
          </w:p>
          <w:p w14:paraId="2F996F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2C4FDC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136</w:t>
            </w:r>
          </w:p>
          <w:p w14:paraId="0EBC9A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EE662CE" w14:textId="77777777" w:rsidTr="00EA0DA7">
        <w:trPr>
          <w:trHeight w:val="326"/>
        </w:trPr>
        <w:tc>
          <w:tcPr>
            <w:tcW w:w="2064" w:type="dxa"/>
          </w:tcPr>
          <w:p w14:paraId="527252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w:t>
            </w:r>
          </w:p>
          <w:p w14:paraId="06D934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55BCDA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91F83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58FB60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EB4F3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0471127" w14:textId="77777777" w:rsidTr="00EA0DA7">
        <w:trPr>
          <w:trHeight w:val="326"/>
        </w:trPr>
        <w:tc>
          <w:tcPr>
            <w:tcW w:w="2064" w:type="dxa"/>
          </w:tcPr>
          <w:p w14:paraId="27695B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земли (км/ч)</w:t>
            </w:r>
          </w:p>
          <w:p w14:paraId="0FE8B9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6E17FE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314</w:t>
            </w:r>
          </w:p>
          <w:p w14:paraId="2996F8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1FD7AE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w:t>
            </w:r>
          </w:p>
          <w:p w14:paraId="305321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6EF5132" w14:textId="77777777" w:rsidTr="00EA0DA7">
        <w:trPr>
          <w:trHeight w:val="307"/>
        </w:trPr>
        <w:tc>
          <w:tcPr>
            <w:tcW w:w="2064" w:type="dxa"/>
          </w:tcPr>
          <w:p w14:paraId="4169AD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w:t>
            </w:r>
          </w:p>
          <w:p w14:paraId="0E4256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1EE3F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C04D8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71058D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D17D9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73CA0DF" w14:textId="77777777" w:rsidTr="00EA0DA7">
        <w:trPr>
          <w:trHeight w:val="317"/>
        </w:trPr>
        <w:tc>
          <w:tcPr>
            <w:tcW w:w="2064" w:type="dxa"/>
          </w:tcPr>
          <w:p w14:paraId="760AB3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4700м (км/ч)</w:t>
            </w:r>
          </w:p>
          <w:p w14:paraId="13A526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41C3A8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w:t>
            </w:r>
          </w:p>
          <w:p w14:paraId="0A2D2E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024F8F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p w14:paraId="41341C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3DC151B" w14:textId="77777777" w:rsidTr="00EA0DA7">
        <w:trPr>
          <w:trHeight w:val="326"/>
        </w:trPr>
        <w:tc>
          <w:tcPr>
            <w:tcW w:w="2064" w:type="dxa"/>
          </w:tcPr>
          <w:p w14:paraId="3BF43F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(км/ч)</w:t>
            </w:r>
          </w:p>
          <w:p w14:paraId="2441D0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BF258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125-130</w:t>
            </w:r>
          </w:p>
          <w:p w14:paraId="6B28BF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154EC2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09844F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CC3E64C" w14:textId="77777777" w:rsidTr="00EA0DA7">
        <w:trPr>
          <w:trHeight w:val="326"/>
        </w:trPr>
        <w:tc>
          <w:tcPr>
            <w:tcW w:w="2064" w:type="dxa"/>
          </w:tcPr>
          <w:p w14:paraId="1D2273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(м)</w:t>
            </w:r>
          </w:p>
          <w:p w14:paraId="4DA901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67AF47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8500</w:t>
            </w:r>
          </w:p>
          <w:p w14:paraId="4A5C18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4A164A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7800</w:t>
            </w:r>
          </w:p>
          <w:p w14:paraId="542C91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3192613" w14:textId="77777777" w:rsidTr="00EA0DA7">
        <w:trPr>
          <w:trHeight w:val="288"/>
        </w:trPr>
        <w:tc>
          <w:tcPr>
            <w:tcW w:w="2064" w:type="dxa"/>
            <w:tcBorders>
              <w:bottom w:val="single" w:sz="12" w:space="0" w:color="auto"/>
            </w:tcBorders>
          </w:tcPr>
          <w:p w14:paraId="1266D3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(км)</w:t>
            </w:r>
          </w:p>
          <w:p w14:paraId="0DBA1F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bottom w:val="single" w:sz="12" w:space="0" w:color="auto"/>
            </w:tcBorders>
          </w:tcPr>
          <w:p w14:paraId="3852F8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550-730</w:t>
            </w:r>
          </w:p>
          <w:p w14:paraId="6205B1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Borders>
              <w:bottom w:val="single" w:sz="12" w:space="0" w:color="auto"/>
            </w:tcBorders>
          </w:tcPr>
          <w:p w14:paraId="0F70A4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p w14:paraId="6F7128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56D694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(11107).</w:t>
      </w:r>
    </w:p>
    <w:p w14:paraId="010129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49173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состоялся пер</w:t>
      </w:r>
      <w:r w:rsidRPr="00A3026E">
        <w:rPr>
          <w:rFonts w:ascii="Times New Roman" w:hAnsi="Times New Roman"/>
          <w:color w:val="000000" w:themeColor="text1"/>
          <w:sz w:val="16"/>
          <w:szCs w:val="16"/>
        </w:rPr>
        <w:softHyphen/>
        <w:t>вый полет КОР-2 Бериева, затем в тече</w:t>
      </w:r>
      <w:r w:rsidRPr="00A3026E">
        <w:rPr>
          <w:rFonts w:ascii="Times New Roman" w:hAnsi="Times New Roman"/>
          <w:color w:val="000000" w:themeColor="text1"/>
          <w:sz w:val="16"/>
          <w:szCs w:val="16"/>
        </w:rPr>
        <w:softHyphen/>
        <w:t>ние нескольких месяцев осуществлялась до</w:t>
      </w:r>
      <w:r w:rsidRPr="00A3026E">
        <w:rPr>
          <w:rFonts w:ascii="Times New Roman" w:hAnsi="Times New Roman"/>
          <w:color w:val="000000" w:themeColor="text1"/>
          <w:sz w:val="16"/>
          <w:szCs w:val="16"/>
        </w:rPr>
        <w:softHyphen/>
        <w:t>водка самолета. В период со 2 по 18 февра</w:t>
      </w:r>
      <w:r w:rsidRPr="00A3026E">
        <w:rPr>
          <w:rFonts w:ascii="Times New Roman" w:hAnsi="Times New Roman"/>
          <w:color w:val="000000" w:themeColor="text1"/>
          <w:sz w:val="16"/>
          <w:szCs w:val="16"/>
        </w:rPr>
        <w:softHyphen/>
        <w:t>ля 1941 г. КОР-2 прошел государственные испытания в Севастополе на базе ЛИИ ВВС ВМФ. На заключительном этапе тестирова</w:t>
      </w:r>
      <w:r w:rsidRPr="00A3026E">
        <w:rPr>
          <w:rFonts w:ascii="Times New Roman" w:hAnsi="Times New Roman"/>
          <w:color w:val="000000" w:themeColor="text1"/>
          <w:sz w:val="16"/>
          <w:szCs w:val="16"/>
        </w:rPr>
        <w:softHyphen/>
        <w:t>ния первой машины к полетам приступил второй опытный экземпляр. Признавалось, что КОР-2 соответствует требованиям ВМФ. испытания выдержал и может быть рекомен</w:t>
      </w:r>
      <w:r w:rsidRPr="00A3026E">
        <w:rPr>
          <w:rFonts w:ascii="Times New Roman" w:hAnsi="Times New Roman"/>
          <w:color w:val="000000" w:themeColor="text1"/>
          <w:sz w:val="16"/>
          <w:szCs w:val="16"/>
        </w:rPr>
        <w:softHyphen/>
        <w:t>дован к принятию на вооружение. По техни</w:t>
      </w:r>
      <w:r w:rsidRPr="00A3026E">
        <w:rPr>
          <w:rFonts w:ascii="Times New Roman" w:hAnsi="Times New Roman"/>
          <w:color w:val="000000" w:themeColor="text1"/>
          <w:sz w:val="16"/>
          <w:szCs w:val="16"/>
        </w:rPr>
        <w:softHyphen/>
        <w:t>ке пилотирования самолет признавался не</w:t>
      </w:r>
      <w:r w:rsidRPr="00A3026E">
        <w:rPr>
          <w:rFonts w:ascii="Times New Roman" w:hAnsi="Times New Roman"/>
          <w:color w:val="000000" w:themeColor="text1"/>
          <w:sz w:val="16"/>
          <w:szCs w:val="16"/>
        </w:rPr>
        <w:softHyphen/>
        <w:t>сложным и вполне мог быть освоен пило</w:t>
      </w:r>
      <w:r w:rsidRPr="00A3026E">
        <w:rPr>
          <w:rFonts w:ascii="Times New Roman" w:hAnsi="Times New Roman"/>
          <w:color w:val="000000" w:themeColor="text1"/>
          <w:sz w:val="16"/>
          <w:szCs w:val="16"/>
        </w:rPr>
        <w:softHyphen/>
        <w:t>тами, имеющими навык полетов на распро</w:t>
      </w:r>
      <w:r w:rsidRPr="00A3026E">
        <w:rPr>
          <w:rFonts w:ascii="Times New Roman" w:hAnsi="Times New Roman"/>
          <w:color w:val="000000" w:themeColor="text1"/>
          <w:sz w:val="16"/>
          <w:szCs w:val="16"/>
        </w:rPr>
        <w:softHyphen/>
        <w:t>страненном МБР-2. Кроме использования в качестве корабельного разведчика КОР-2 предлагалось применять как самолет охраны военно-морских баз, для чего следовало уве</w:t>
      </w:r>
      <w:r w:rsidRPr="00A3026E">
        <w:rPr>
          <w:rFonts w:ascii="Times New Roman" w:hAnsi="Times New Roman"/>
          <w:color w:val="000000" w:themeColor="text1"/>
          <w:sz w:val="16"/>
          <w:szCs w:val="16"/>
        </w:rPr>
        <w:softHyphen/>
        <w:t>личить емкость топливных баков. В вариан</w:t>
      </w:r>
      <w:r w:rsidRPr="00A3026E">
        <w:rPr>
          <w:rFonts w:ascii="Times New Roman" w:hAnsi="Times New Roman"/>
          <w:color w:val="000000" w:themeColor="text1"/>
          <w:sz w:val="16"/>
          <w:szCs w:val="16"/>
        </w:rPr>
        <w:softHyphen/>
        <w:t>те пикирующего бомбардировщика бомбо</w:t>
      </w:r>
      <w:r w:rsidRPr="00A3026E">
        <w:rPr>
          <w:rFonts w:ascii="Times New Roman" w:hAnsi="Times New Roman"/>
          <w:color w:val="000000" w:themeColor="text1"/>
          <w:sz w:val="16"/>
          <w:szCs w:val="16"/>
        </w:rPr>
        <w:softHyphen/>
        <w:t>вую нагрузку заказчики требовали увеличить с 200 до 400 кг.</w:t>
      </w:r>
    </w:p>
    <w:p w14:paraId="7B0DA4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Существенных проблем при испытаниях не отмечалось, однако летчики-испытатели Рейдель и Яковлев были обеспокоены нали</w:t>
      </w:r>
      <w:r w:rsidRPr="00A3026E">
        <w:rPr>
          <w:rFonts w:ascii="Times New Roman" w:hAnsi="Times New Roman"/>
          <w:color w:val="000000" w:themeColor="text1"/>
          <w:sz w:val="16"/>
          <w:szCs w:val="16"/>
        </w:rPr>
        <w:softHyphen/>
        <w:t>чием у КОР-2 крутой глиссады планирова</w:t>
      </w:r>
      <w:r w:rsidRPr="00A3026E">
        <w:rPr>
          <w:rFonts w:ascii="Times New Roman" w:hAnsi="Times New Roman"/>
          <w:color w:val="000000" w:themeColor="text1"/>
          <w:sz w:val="16"/>
          <w:szCs w:val="16"/>
        </w:rPr>
        <w:softHyphen/>
        <w:t>ния, которая ими оценивалась как недоста</w:t>
      </w:r>
      <w:r w:rsidRPr="00A3026E">
        <w:rPr>
          <w:rFonts w:ascii="Times New Roman" w:hAnsi="Times New Roman"/>
          <w:color w:val="000000" w:themeColor="text1"/>
          <w:sz w:val="16"/>
          <w:szCs w:val="16"/>
        </w:rPr>
        <w:softHyphen/>
        <w:t>ток. Пилоты не без основания полагали, что при выполнении полетов в штилевую погоду, и особенно ночью, посадка на самолете будет затруднена. В штиль, при стоячей воде обра</w:t>
      </w:r>
      <w:r w:rsidRPr="00A3026E">
        <w:rPr>
          <w:rFonts w:ascii="Times New Roman" w:hAnsi="Times New Roman"/>
          <w:color w:val="000000" w:themeColor="text1"/>
          <w:sz w:val="16"/>
          <w:szCs w:val="16"/>
        </w:rPr>
        <w:softHyphen/>
        <w:t>зуется явление «зеркала», когда летчику при отсутствии ориентиров трудно определить высоту выравнивания. Данное явление хоро</w:t>
      </w:r>
      <w:r w:rsidRPr="00A3026E">
        <w:rPr>
          <w:rFonts w:ascii="Times New Roman" w:hAnsi="Times New Roman"/>
          <w:color w:val="000000" w:themeColor="text1"/>
          <w:sz w:val="16"/>
          <w:szCs w:val="16"/>
        </w:rPr>
        <w:softHyphen/>
        <w:t>шо известно пилотам гидросамолетов, нема</w:t>
      </w:r>
      <w:r w:rsidRPr="00A3026E">
        <w:rPr>
          <w:rFonts w:ascii="Times New Roman" w:hAnsi="Times New Roman"/>
          <w:color w:val="000000" w:themeColor="text1"/>
          <w:sz w:val="16"/>
          <w:szCs w:val="16"/>
        </w:rPr>
        <w:softHyphen/>
        <w:t>ло досадных аварий и катастроф произошло по его причине (12301).</w:t>
      </w:r>
    </w:p>
    <w:p w14:paraId="555AA341" w14:textId="77777777" w:rsidR="00C66762" w:rsidRPr="00A3026E" w:rsidRDefault="00C66762" w:rsidP="00A3026E">
      <w:pPr>
        <w:pStyle w:val="2d"/>
        <w:shd w:val="clear" w:color="auto" w:fill="auto"/>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Летные и технические характеристики</w:t>
      </w:r>
      <w:r w:rsidRPr="00A3026E">
        <w:rPr>
          <w:rStyle w:val="26pt"/>
          <w:rFonts w:ascii="Times New Roman" w:hAnsi="Times New Roman" w:cs="Times New Roman"/>
          <w:b w:val="0"/>
          <w:color w:val="000000" w:themeColor="text1"/>
          <w:sz w:val="16"/>
          <w:szCs w:val="16"/>
        </w:rPr>
        <w:t xml:space="preserve"> КОР-2 (Бе-4)</w:t>
      </w:r>
    </w:p>
    <w:tbl>
      <w:tblPr>
        <w:tblW w:w="0" w:type="auto"/>
        <w:tblInd w:w="-18" w:type="dxa"/>
        <w:tblLayout w:type="fixed"/>
        <w:tblCellMar>
          <w:left w:w="10" w:type="dxa"/>
          <w:right w:w="10" w:type="dxa"/>
        </w:tblCellMar>
        <w:tblLook w:val="0000" w:firstRow="0" w:lastRow="0" w:firstColumn="0" w:lastColumn="0" w:noHBand="0" w:noVBand="0"/>
      </w:tblPr>
      <w:tblGrid>
        <w:gridCol w:w="3629"/>
        <w:gridCol w:w="1948"/>
        <w:gridCol w:w="1976"/>
      </w:tblGrid>
      <w:tr w:rsidR="00983732" w:rsidRPr="00A3026E" w14:paraId="485D0ACC" w14:textId="77777777" w:rsidTr="00EA0DA7">
        <w:trPr>
          <w:trHeight w:val="432"/>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1135DCD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5A65F0FB" w14:textId="77777777" w:rsidR="00C66762" w:rsidRPr="00A3026E" w:rsidRDefault="00C66762" w:rsidP="00A3026E">
            <w:pPr>
              <w:pStyle w:val="280"/>
              <w:shd w:val="clear" w:color="auto" w:fill="auto"/>
              <w:spacing w:after="0" w:line="240" w:lineRule="auto"/>
              <w:jc w:val="both"/>
              <w:rPr>
                <w:rFonts w:ascii="Times New Roman" w:hAnsi="Times New Roman" w:cs="Times New Roman"/>
                <w:color w:val="000000" w:themeColor="text1"/>
                <w:spacing w:val="0"/>
                <w:sz w:val="16"/>
                <w:szCs w:val="16"/>
              </w:rPr>
            </w:pPr>
            <w:r w:rsidRPr="00A3026E">
              <w:rPr>
                <w:rStyle w:val="28TimesNewRoman"/>
                <w:rFonts w:cs="Times New Roman"/>
                <w:b w:val="0"/>
                <w:color w:val="000000" w:themeColor="text1"/>
                <w:spacing w:val="0"/>
                <w:sz w:val="16"/>
                <w:szCs w:val="16"/>
              </w:rPr>
              <w:t>КОР-2</w:t>
            </w:r>
            <w:r w:rsidRPr="00A3026E">
              <w:rPr>
                <w:rFonts w:ascii="Times New Roman" w:hAnsi="Times New Roman" w:cs="Times New Roman"/>
                <w:color w:val="000000" w:themeColor="text1"/>
                <w:spacing w:val="0"/>
                <w:sz w:val="16"/>
                <w:szCs w:val="16"/>
              </w:rPr>
              <w:t xml:space="preserve"> (опытный)</w:t>
            </w:r>
          </w:p>
        </w:tc>
        <w:tc>
          <w:tcPr>
            <w:tcW w:w="1976" w:type="dxa"/>
            <w:tcBorders>
              <w:top w:val="single" w:sz="6" w:space="0" w:color="auto"/>
              <w:left w:val="single" w:sz="6" w:space="0" w:color="auto"/>
              <w:bottom w:val="single" w:sz="6" w:space="0" w:color="auto"/>
            </w:tcBorders>
            <w:shd w:val="clear" w:color="auto" w:fill="FFFFFF"/>
          </w:tcPr>
          <w:p w14:paraId="13DAB4F6" w14:textId="77777777" w:rsidR="00C66762" w:rsidRPr="00A3026E" w:rsidRDefault="00C66762" w:rsidP="00A3026E">
            <w:pPr>
              <w:pStyle w:val="301"/>
              <w:shd w:val="clear" w:color="auto" w:fill="auto"/>
              <w:spacing w:line="240" w:lineRule="auto"/>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КОР-2 (серийный №4770305)</w:t>
            </w:r>
          </w:p>
        </w:tc>
      </w:tr>
      <w:tr w:rsidR="00983732" w:rsidRPr="00A3026E" w14:paraId="77D19A27" w14:textId="77777777" w:rsidTr="00EA0DA7">
        <w:trPr>
          <w:trHeight w:val="245"/>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34740E40"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Двигатель</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6353746E"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13A68F3C"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r>
      <w:tr w:rsidR="00983732" w:rsidRPr="00A3026E" w14:paraId="76C86D12" w14:textId="77777777" w:rsidTr="00EA0DA7">
        <w:trPr>
          <w:trHeight w:val="238"/>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3F13D490"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(л.с)</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76CE5EAB" w14:textId="77777777" w:rsidR="00C66762" w:rsidRPr="00A3026E" w:rsidRDefault="00C66762" w:rsidP="00A3026E">
            <w:pPr>
              <w:pStyle w:val="280"/>
              <w:shd w:val="clear" w:color="auto" w:fill="auto"/>
              <w:spacing w:after="0" w:line="240" w:lineRule="auto"/>
              <w:jc w:val="both"/>
              <w:rPr>
                <w:rFonts w:ascii="Times New Roman" w:hAnsi="Times New Roman" w:cs="Times New Roman"/>
                <w:color w:val="000000" w:themeColor="text1"/>
                <w:spacing w:val="0"/>
                <w:sz w:val="16"/>
                <w:szCs w:val="16"/>
              </w:rPr>
            </w:pPr>
            <w:r w:rsidRPr="00A3026E">
              <w:rPr>
                <w:rFonts w:ascii="Times New Roman" w:hAnsi="Times New Roman" w:cs="Times New Roman"/>
                <w:color w:val="000000" w:themeColor="text1"/>
                <w:spacing w:val="0"/>
                <w:sz w:val="16"/>
                <w:szCs w:val="16"/>
              </w:rPr>
              <w:t>поо</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6612B576"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r>
      <w:tr w:rsidR="00983732" w:rsidRPr="00A3026E" w14:paraId="4DBA4F6B" w14:textId="77777777" w:rsidTr="00EA0DA7">
        <w:trPr>
          <w:trHeight w:val="248"/>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020D3963"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в линии полета (м)</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505F4988"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7294B395"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10,435</w:t>
            </w:r>
          </w:p>
        </w:tc>
      </w:tr>
      <w:tr w:rsidR="00983732" w:rsidRPr="00A3026E" w14:paraId="7F780E29" w14:textId="77777777" w:rsidTr="00EA0DA7">
        <w:trPr>
          <w:trHeight w:val="245"/>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7F85921C"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42433EFF"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25,5</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28D49C2C"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25,5</w:t>
            </w:r>
          </w:p>
        </w:tc>
      </w:tr>
      <w:tr w:rsidR="00983732" w:rsidRPr="00A3026E" w14:paraId="763B22BA" w14:textId="77777777" w:rsidTr="00EA0DA7">
        <w:trPr>
          <w:trHeight w:val="245"/>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3BC4345B"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(кг)</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71194B77"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2010</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72710E36"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2248</w:t>
            </w:r>
          </w:p>
        </w:tc>
      </w:tr>
      <w:tr w:rsidR="00983732" w:rsidRPr="00A3026E" w14:paraId="65EA6CA0" w14:textId="77777777" w:rsidTr="00EA0DA7">
        <w:trPr>
          <w:trHeight w:val="241"/>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55B0362D"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(кг)</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641B38E2"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2732</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03621C75"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3458*</w:t>
            </w:r>
          </w:p>
        </w:tc>
      </w:tr>
      <w:tr w:rsidR="00983732" w:rsidRPr="00A3026E" w14:paraId="4460385D" w14:textId="77777777" w:rsidTr="00EA0DA7">
        <w:trPr>
          <w:trHeight w:val="241"/>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6D5611D6"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на крыло (кг/м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19F7252C"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3959C826"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136</w:t>
            </w:r>
          </w:p>
        </w:tc>
      </w:tr>
      <w:tr w:rsidR="00983732" w:rsidRPr="00A3026E" w14:paraId="085ADBBB" w14:textId="77777777" w:rsidTr="00EA0DA7">
        <w:trPr>
          <w:trHeight w:val="245"/>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3A5F2A77"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у земли (км/ч)</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6FECF989"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314</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712DE298"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w:t>
            </w:r>
          </w:p>
        </w:tc>
      </w:tr>
      <w:tr w:rsidR="00983732" w:rsidRPr="00A3026E" w14:paraId="12452C08" w14:textId="77777777" w:rsidTr="00EA0DA7">
        <w:trPr>
          <w:trHeight w:val="245"/>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20AC47D0"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на высоте 4700 м (км/ч)</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0C4BB6DB"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4FB29D30"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r>
      <w:tr w:rsidR="00983732" w:rsidRPr="00A3026E" w14:paraId="5F6D34A3" w14:textId="77777777" w:rsidTr="00EA0DA7">
        <w:trPr>
          <w:trHeight w:val="248"/>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02B6F079"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(км/ч)</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3F3402F6"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125-130</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49626944" w14:textId="77777777" w:rsidR="00C66762" w:rsidRPr="00A3026E" w:rsidRDefault="00C66762" w:rsidP="00A3026E">
            <w:pPr>
              <w:pStyle w:val="290"/>
              <w:shd w:val="clear" w:color="auto" w:fill="auto"/>
              <w:spacing w:after="0" w:line="240" w:lineRule="auto"/>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w:t>
            </w:r>
          </w:p>
        </w:tc>
      </w:tr>
      <w:tr w:rsidR="00983732" w:rsidRPr="00A3026E" w14:paraId="78352123" w14:textId="77777777" w:rsidTr="00EA0DA7">
        <w:trPr>
          <w:trHeight w:val="245"/>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7B89305F"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(м)</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5911A093"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8500</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144A0F2E"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7800</w:t>
            </w:r>
          </w:p>
        </w:tc>
      </w:tr>
      <w:tr w:rsidR="00983732" w:rsidRPr="00A3026E" w14:paraId="1D7FA9E5" w14:textId="77777777" w:rsidTr="00EA0DA7">
        <w:trPr>
          <w:trHeight w:val="256"/>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29453C38"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(км)</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6023F799"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550-730</w:t>
            </w:r>
          </w:p>
        </w:tc>
        <w:tc>
          <w:tcPr>
            <w:tcW w:w="1976" w:type="dxa"/>
            <w:tcBorders>
              <w:top w:val="single" w:sz="6" w:space="0" w:color="auto"/>
              <w:left w:val="single" w:sz="6" w:space="0" w:color="auto"/>
              <w:bottom w:val="single" w:sz="6" w:space="0" w:color="auto"/>
            </w:tcBorders>
            <w:shd w:val="clear" w:color="auto" w:fill="FFFFFF"/>
          </w:tcPr>
          <w:p w14:paraId="5EDE9ED1" w14:textId="77777777" w:rsidR="00C66762" w:rsidRPr="00A3026E" w:rsidRDefault="00C66762"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r>
    </w:tbl>
    <w:p w14:paraId="45A5743B" w14:textId="77777777" w:rsidR="00C66762" w:rsidRPr="00A3026E" w:rsidRDefault="00C66762" w:rsidP="00A3026E">
      <w:pPr>
        <w:pStyle w:val="aff1"/>
        <w:shd w:val="clear" w:color="auto" w:fill="auto"/>
        <w:spacing w:line="240" w:lineRule="auto"/>
        <w:rPr>
          <w:rFonts w:ascii="Times New Roman" w:hAnsi="Times New Roman" w:cs="Times New Roman"/>
          <w:i w:val="0"/>
          <w:color w:val="000000" w:themeColor="text1"/>
          <w:sz w:val="16"/>
          <w:szCs w:val="16"/>
          <w:lang w:val="ru-RU"/>
        </w:rPr>
      </w:pPr>
      <w:r w:rsidRPr="00A3026E">
        <w:rPr>
          <w:rFonts w:ascii="Times New Roman" w:hAnsi="Times New Roman" w:cs="Times New Roman"/>
          <w:i w:val="0"/>
          <w:color w:val="000000" w:themeColor="text1"/>
          <w:sz w:val="16"/>
          <w:szCs w:val="16"/>
          <w:lang w:val="ru-RU"/>
        </w:rPr>
        <w:t>* Максимальный полетный вес с 400 кг бомб.</w:t>
      </w:r>
    </w:p>
    <w:p w14:paraId="7768E48E" w14:textId="77777777" w:rsidR="00C66762" w:rsidRPr="00A3026E" w:rsidRDefault="00C66762" w:rsidP="00A3026E">
      <w:pPr>
        <w:pStyle w:val="aff1"/>
        <w:shd w:val="clear" w:color="auto" w:fill="auto"/>
        <w:spacing w:line="240" w:lineRule="auto"/>
        <w:rPr>
          <w:rFonts w:ascii="Times New Roman" w:hAnsi="Times New Roman" w:cs="Times New Roman"/>
          <w:i w:val="0"/>
          <w:color w:val="000000" w:themeColor="text1"/>
          <w:sz w:val="16"/>
          <w:szCs w:val="16"/>
          <w:lang w:val="ru-RU"/>
        </w:rPr>
      </w:pPr>
      <w:r w:rsidRPr="00A3026E">
        <w:rPr>
          <w:rFonts w:ascii="Times New Roman" w:hAnsi="Times New Roman" w:cs="Times New Roman"/>
          <w:i w:val="0"/>
          <w:color w:val="000000" w:themeColor="text1"/>
          <w:sz w:val="16"/>
          <w:szCs w:val="16"/>
          <w:lang w:val="ru-RU"/>
        </w:rPr>
        <w:t>** Техническая дальность на скорости 250 км/ч. Значение взято из результатов испытаний эталонной машины 1944 г (КОР-2 №4770305). По другим источникам. КОР-2 мог обеспечивать разведку на максимальном радиусе действия 575 км (12301).</w:t>
      </w:r>
    </w:p>
    <w:p w14:paraId="0E1515B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9EF10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в составе самолетного парка 8-й лаборатории ЦАГИ было 6 немецких самолетов: Bf110, Do215, поступившие в апреле, He100, два типа Bucker (двухместный и одноместный и FW, поступившие в июне (7491, 20).</w:t>
      </w:r>
    </w:p>
    <w:p w14:paraId="435FBF1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B3209E7"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г., согласно акту, в составе самолётного парка 8-й лаборатории ЦАГИ насчитывалось шесть германских самолётов: В</w:t>
      </w:r>
      <w:r w:rsidRPr="00A3026E">
        <w:rPr>
          <w:rFonts w:ascii="Times New Roman" w:hAnsi="Times New Roman"/>
          <w:color w:val="000000" w:themeColor="text1"/>
          <w:sz w:val="16"/>
          <w:szCs w:val="16"/>
          <w:lang w:val="en-US"/>
        </w:rPr>
        <w:t>f</w:t>
      </w:r>
      <w:r w:rsidRPr="00A3026E">
        <w:rPr>
          <w:rFonts w:ascii="Times New Roman" w:hAnsi="Times New Roman"/>
          <w:color w:val="000000" w:themeColor="text1"/>
          <w:sz w:val="16"/>
          <w:szCs w:val="16"/>
        </w:rPr>
        <w:t xml:space="preserve"> 110 и </w:t>
      </w:r>
      <w:r w:rsidRPr="00A3026E">
        <w:rPr>
          <w:rFonts w:ascii="Times New Roman" w:hAnsi="Times New Roman"/>
          <w:color w:val="000000" w:themeColor="text1"/>
          <w:sz w:val="16"/>
          <w:szCs w:val="16"/>
          <w:lang w:val="en-US"/>
        </w:rPr>
        <w:t>D</w:t>
      </w:r>
      <w:r w:rsidRPr="00A3026E">
        <w:rPr>
          <w:rFonts w:ascii="Times New Roman" w:hAnsi="Times New Roman"/>
          <w:color w:val="000000" w:themeColor="text1"/>
          <w:sz w:val="16"/>
          <w:szCs w:val="16"/>
        </w:rPr>
        <w:t>о 215, опытный истреби</w:t>
      </w:r>
      <w:r w:rsidRPr="00A3026E">
        <w:rPr>
          <w:rFonts w:ascii="Times New Roman" w:hAnsi="Times New Roman"/>
          <w:color w:val="000000" w:themeColor="text1"/>
          <w:sz w:val="16"/>
          <w:szCs w:val="16"/>
        </w:rPr>
        <w:softHyphen/>
        <w:t>тель Не 100, выпущенные в 1940 г., два типа учебных самолётов — «Бюккер» (двухмест</w:t>
      </w:r>
      <w:r w:rsidRPr="00A3026E">
        <w:rPr>
          <w:rFonts w:ascii="Times New Roman" w:hAnsi="Times New Roman"/>
          <w:color w:val="000000" w:themeColor="text1"/>
          <w:sz w:val="16"/>
          <w:szCs w:val="16"/>
        </w:rPr>
        <w:softHyphen/>
        <w:t xml:space="preserve">ный и одноместный, изготовленные в 1939 г.) и «Фокке-Вульф». </w:t>
      </w:r>
      <w:r w:rsidRPr="00A3026E">
        <w:rPr>
          <w:rFonts w:ascii="Times New Roman" w:hAnsi="Times New Roman"/>
          <w:color w:val="000000" w:themeColor="text1"/>
          <w:sz w:val="16"/>
          <w:szCs w:val="16"/>
          <w:lang w:val="en-US"/>
        </w:rPr>
        <w:t>Bf</w:t>
      </w:r>
      <w:r w:rsidRPr="00A3026E">
        <w:rPr>
          <w:rFonts w:ascii="Times New Roman" w:hAnsi="Times New Roman"/>
          <w:color w:val="000000" w:themeColor="text1"/>
          <w:sz w:val="16"/>
          <w:szCs w:val="16"/>
        </w:rPr>
        <w:t xml:space="preserve"> 110 и </w:t>
      </w:r>
      <w:r w:rsidRPr="00A3026E">
        <w:rPr>
          <w:rFonts w:ascii="Times New Roman" w:hAnsi="Times New Roman"/>
          <w:color w:val="000000" w:themeColor="text1"/>
          <w:sz w:val="16"/>
          <w:szCs w:val="16"/>
          <w:lang w:val="en-US"/>
        </w:rPr>
        <w:t>D</w:t>
      </w:r>
      <w:r w:rsidRPr="00A3026E">
        <w:rPr>
          <w:rFonts w:ascii="Times New Roman" w:hAnsi="Times New Roman"/>
          <w:color w:val="000000" w:themeColor="text1"/>
          <w:sz w:val="16"/>
          <w:szCs w:val="16"/>
        </w:rPr>
        <w:t>о 215 прибыли в лабораторию в апреле 1940 г., а все остальные машины — в июне 1940 г. (15786).</w:t>
      </w:r>
    </w:p>
    <w:p w14:paraId="59B2C021" w14:textId="77777777" w:rsidR="00226974" w:rsidRPr="00A3026E" w:rsidRDefault="00226974" w:rsidP="00A3026E">
      <w:pPr>
        <w:spacing w:after="0" w:line="240" w:lineRule="auto"/>
        <w:jc w:val="both"/>
        <w:rPr>
          <w:rFonts w:ascii="Times New Roman" w:hAnsi="Times New Roman"/>
          <w:color w:val="000000" w:themeColor="text1"/>
          <w:sz w:val="16"/>
          <w:szCs w:val="16"/>
        </w:rPr>
      </w:pPr>
    </w:p>
    <w:p w14:paraId="39818A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акту от 8 октября 1940 года, в составе самолетного парка 8-й лаборатории ЦАГИ насчитывалось шесть германских самолетов: Мессер-шмитт Ме-110 и Дорнье До-215, опытный истребитель Хейнкель Хе-100, выпущенные в 1940 году, два типа учебных самолетов - Бюккер (двухмест</w:t>
      </w:r>
      <w:r w:rsidRPr="00A3026E">
        <w:rPr>
          <w:rFonts w:ascii="Times New Roman" w:hAnsi="Times New Roman"/>
          <w:color w:val="000000" w:themeColor="text1"/>
          <w:sz w:val="16"/>
          <w:szCs w:val="16"/>
        </w:rPr>
        <w:softHyphen/>
        <w:t>ный и одноместный, изготовленные в 1939 году) и Фокке-Вульф. Ме-110 и До-215 прибыли в лабораторию в апреле 1940года, а все остальные маши</w:t>
      </w:r>
      <w:r w:rsidRPr="00A3026E">
        <w:rPr>
          <w:rFonts w:ascii="Times New Roman" w:hAnsi="Times New Roman"/>
          <w:color w:val="000000" w:themeColor="text1"/>
          <w:sz w:val="16"/>
          <w:szCs w:val="16"/>
        </w:rPr>
        <w:softHyphen/>
        <w:t>ны - в июне 1940 года (Самарский филиал РГАНТД. Ф. Р-217. Оп. 1-6. Д. 26. Л. 3.) (11710,282).</w:t>
      </w:r>
    </w:p>
    <w:p w14:paraId="39A498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A72948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На 8 октября 1940 г. польская авиатехника из состава самолетного парка 8-й лаборатории ЦАГИ было представлено два типа польских машин:</w:t>
      </w:r>
    </w:p>
    <w:p w14:paraId="18B852B0"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Одной из них был ПЗЛ "Лось", выпущенный в 1938 г, который находился в лаборатории с апреля 1940 г. К этому времени он налетал 127 часов и один раз побывал в ремонте. Эти данные практически полностью совпадают с описывавшимся В.Р.Котельниковым PZL P.37A bis из НИИ ВВС: во-первых, он был также выпущен в первой половине 1938 г., во-вторых также имел налет более 100 часов, а в третьих работы по его обследованию в НИИ ВВС завершились именно в конце весны 1940 г Так как других самолетов типа "Лось" в авиапарке ЦАГИ не было, с уверенностью можно сказать, что он был передан туда из НИИ ВВС и, в отличии от версии В.Р.Котельникова, его изучение, включая летные испытания, все-таки было продолжено. </w:t>
      </w:r>
    </w:p>
    <w:p w14:paraId="7248EF6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Еще одним типом был учебный самолет RWD-8, попавший в лабораторию в июне 1940 г. в двух экземплярах. В документе указано, что они налетали по 34 часа каждый, хотя, вероятно, в данном случае его составители ошиблись - такой одинаковый синхронный налет маловероятен и, по всей видимости, эта цифра относилась только к одной из двух машин (11465).</w:t>
      </w:r>
    </w:p>
    <w:p w14:paraId="7314DE23"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029AED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Протокол № 21. Решения ПБ за 27 сентября - 28 сентября 1940 г.</w:t>
      </w:r>
    </w:p>
    <w:p w14:paraId="0C834F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27.9.40 г.</w:t>
      </w:r>
    </w:p>
    <w:p w14:paraId="248054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 Вопрос КО. О постройке авиамотора МБ-100*.</w:t>
      </w:r>
    </w:p>
    <w:p w14:paraId="6A34A2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30.9.40 г.</w:t>
      </w:r>
    </w:p>
    <w:p w14:paraId="005D07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26. Об увеличении производства газового бензина (постановление СНК СССР и ЦК ВКП (б)).</w:t>
      </w:r>
    </w:p>
    <w:p w14:paraId="0C0612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02. 10.40 г.</w:t>
      </w:r>
    </w:p>
    <w:p w14:paraId="6012A8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 46. Об увеличении дальности истребителей и о поставке их производства на заводах (постановление СНК СССР и ЦК ВКП (б))*. </w:t>
      </w:r>
      <w:r w:rsidRPr="00A3026E">
        <w:rPr>
          <w:rFonts w:ascii="Times New Roman" w:hAnsi="Times New Roman"/>
          <w:color w:val="000000" w:themeColor="text1"/>
          <w:sz w:val="16"/>
          <w:szCs w:val="16"/>
          <w:u w:val="single"/>
        </w:rPr>
        <w:t>04. 10. 40 г.</w:t>
      </w:r>
    </w:p>
    <w:p w14:paraId="46CFBC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60. Об изготовлении новых образцов вооружения для НКО (постановление СНК СССР и ЦК ВКП (б))*.</w:t>
      </w:r>
    </w:p>
    <w:p w14:paraId="2A7995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u w:val="single"/>
        </w:rPr>
      </w:pPr>
      <w:r w:rsidRPr="00A3026E">
        <w:rPr>
          <w:rFonts w:ascii="Times New Roman" w:hAnsi="Times New Roman"/>
          <w:color w:val="000000" w:themeColor="text1"/>
          <w:sz w:val="16"/>
          <w:szCs w:val="16"/>
          <w:u w:val="single"/>
        </w:rPr>
        <w:t>08.10.40 г.</w:t>
      </w:r>
    </w:p>
    <w:p w14:paraId="155D8A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99. Об организации производства боевых самолетов и авиационных моторов на Украине (11773).</w:t>
      </w:r>
    </w:p>
    <w:p w14:paraId="4095AE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П.100. О строительстве в Ленинграде второго авиамоторного завода*.</w:t>
      </w:r>
    </w:p>
    <w:p w14:paraId="4963AC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09.10. 40 г.</w:t>
      </w:r>
    </w:p>
    <w:p w14:paraId="0FD15F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117. О самолетах И-301*.</w:t>
      </w:r>
    </w:p>
    <w:p w14:paraId="6E5784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15. 10.40 г.</w:t>
      </w:r>
    </w:p>
    <w:p w14:paraId="2E829C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215. О постройке самолетов «100»*.</w:t>
      </w:r>
    </w:p>
    <w:p w14:paraId="63AC8D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17.10.40 г.</w:t>
      </w:r>
    </w:p>
    <w:p w14:paraId="6DB9AC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239. Об организации производства боевых самолетов в г. Ростове (постановление СНК СССРиЦКВКП(б))*.</w:t>
      </w:r>
    </w:p>
    <w:p w14:paraId="071946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240. Об организации производства боевых самолетов и авиационных моторов в Белоруссии (постановление СНК СССР и ЦК ВКП (б))*.</w:t>
      </w:r>
    </w:p>
    <w:p w14:paraId="6FBF6D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242. О производстве авиационных моторов М-105 на Горьковском авиазаводе им. Молотова*.</w:t>
      </w:r>
    </w:p>
    <w:p w14:paraId="1DCD98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18.10.40 г.</w:t>
      </w:r>
    </w:p>
    <w:p w14:paraId="737043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246. О постройке мастерских для снаряжения боевых патронов из стреляных гильз*.</w:t>
      </w:r>
    </w:p>
    <w:p w14:paraId="34CF78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23.10.40 г.</w:t>
      </w:r>
    </w:p>
    <w:p w14:paraId="1653CF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289. О производстве моторов М-63 и М-81 (постановление ЦК ВКП (б) и СНК СССР)*.</w:t>
      </w:r>
    </w:p>
    <w:p w14:paraId="283F89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24.10.40 г.</w:t>
      </w:r>
    </w:p>
    <w:p w14:paraId="287E54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301. О производстве винтовок на Подольском механическом заводе* (11773).</w:t>
      </w:r>
    </w:p>
    <w:p w14:paraId="116B1B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519B0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года решением Политбюро ЦК ВКП(б) № П 21 / 99 – ОП было утверждено совместное постановление СНК СССР и ЦК ВКП(б) «Об организации производства боевых самолетов и авиационных моторов на Украине», которое предусматривало строительство заводов в Киеве, Харькове, Днепропетровске. Помимо этого к производству также привлекались Запорожье и Полтава (РГАСПИ. Ф. 17. Оп. 162. Д. 29. Л. 129, 151-152.). В том же месяце решением Политбюро ЦК ВКП(б) № П 21 / 240 – ОП от 17 октября 1940 года было утверждено аналогичное постановление СНК СССР и ЦК ВКП(б) «Об организации производства боевых самолетов и авиационных моторов в Белоруссии». Оно, в частности, касалось постройки новых самолетостроительных и моторостроительных заводов в Минске и Могилеве (Там же. Л. 136, 181.). Согласно «Плану авиавыпуска самолетостроительных заводов НКАП», принятому 21 марта 1941 года, в западных районах страны только в стадии пуска, в частности, находились заводы № 35 в Смоленске, № 450 в Харькове, № 458 в Ростове из состава бомбардировочного главка и № 165 в Днепропетровске из состава истребительного главка (не считая заводов в Прибалтике и в Ленинграде) (РГАЭ. Ф. 8044. Оп. 1. Д. 673. Л. 111-114.). Довольно скоро все они оказались в зоне боевых действий. Очень точно оценила сложившуюся ситуацию директор РГАЭ Е.А. Тюрина: «Военные специалисты еще в 1920-е годы обращали внимание на неправильное геостратегическое размещение военных заводов и указывали на необходимость их перемещения на Восток, но новые и реконструированные в ходе предвоенных пятилеток заводы по-прежнему концентрировались по линии Ленинград – Москва – Тула – Брянск – Харьков – Днепропетровск. Последствия этой непродуманной политики оказались катастрофическими: летом 1941 года свыше 80% всех предприятий оборонной промышленности, в том числе 94% авиационных заводов, оказалось в зоне боевых действий или в прифронтовых зонах» (Тюрина Е.А. Уникальный опыт эвакуации промышленных предприятий на Восток в годы Великой отечественной войны 1941– 1945 гг. (на примере Наркомата авиационной промышленности СССР) // Единство фронта и тыла в Великой Отечественной войне (1941 – 1945). Материалы Всероссийской научно-практической конференции 21-22 апреля 2005 г. / Отв. редактор А.А. Чернобаев. М., 2007.).</w:t>
      </w:r>
    </w:p>
    <w:p w14:paraId="55A454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как к началу 1930-х годов основные авиазаводы располагались в европейской части СССР, было принято решение развивать строительство заводов-дублеров в его азиатской части (Самолетостроение в СССР. 1917 – 1945. Кн. II. С. 204.), однако, баз для этого там было не много, а европейская часть СССР была более «индустриализирована». Ситуация была отягощена решениями о строительстве заводов в западных районах СССР (11672).</w:t>
      </w:r>
    </w:p>
    <w:p w14:paraId="1C560FD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4AB29F" w14:textId="77777777" w:rsidR="008F2143" w:rsidRPr="00A3026E" w:rsidRDefault="008F2143" w:rsidP="00A3026E">
      <w:pPr>
        <w:spacing w:after="0" w:line="240" w:lineRule="auto"/>
        <w:jc w:val="both"/>
        <w:rPr>
          <w:rFonts w:ascii="Times New Roman" w:hAnsi="Times New Roman"/>
          <w:color w:val="0070C0"/>
          <w:sz w:val="16"/>
          <w:szCs w:val="16"/>
        </w:rPr>
      </w:pPr>
      <w:bookmarkStart w:id="13" w:name="_Hlk85045081"/>
      <w:r w:rsidRPr="00A3026E">
        <w:rPr>
          <w:rFonts w:ascii="Times New Roman" w:hAnsi="Times New Roman"/>
          <w:color w:val="0070C0"/>
          <w:sz w:val="16"/>
          <w:szCs w:val="16"/>
        </w:rPr>
        <w:t>8 октября 1940 вышло Постановление СНК СССР и ЦК ВКП(б) "Об организации производства боевых самолетов и авиационных моторов на Украине"</w:t>
      </w:r>
    </w:p>
    <w:p w14:paraId="7FB3550D"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Наркомат Авиационной Промышленности организовать на Украине производство и выпуск боевых самолетов и авиа</w:t>
      </w:r>
      <w:r w:rsidRPr="00A3026E">
        <w:rPr>
          <w:rFonts w:ascii="Times New Roman" w:hAnsi="Times New Roman"/>
          <w:color w:val="0070C0"/>
          <w:sz w:val="16"/>
          <w:szCs w:val="16"/>
        </w:rPr>
        <w:softHyphen/>
        <w:t>ционных моторов, именно:</w:t>
      </w:r>
    </w:p>
    <w:p w14:paraId="1DD2C504"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a) в Киеве организовать производство двухмоторных само</w:t>
      </w:r>
      <w:r w:rsidRPr="00A3026E">
        <w:rPr>
          <w:rFonts w:ascii="Times New Roman" w:hAnsi="Times New Roman"/>
          <w:color w:val="0070C0"/>
          <w:sz w:val="16"/>
          <w:szCs w:val="16"/>
        </w:rPr>
        <w:softHyphen/>
        <w:t>летов на мощность з 1200 штук в год, по сроком ввода в дейст</w:t>
      </w:r>
      <w:r w:rsidRPr="00A3026E">
        <w:rPr>
          <w:rFonts w:ascii="Times New Roman" w:hAnsi="Times New Roman"/>
          <w:color w:val="0070C0"/>
          <w:sz w:val="16"/>
          <w:szCs w:val="16"/>
        </w:rPr>
        <w:softHyphen/>
        <w:t>вие указанной мощности в Ш квартале 1942 года;</w:t>
      </w:r>
    </w:p>
    <w:p w14:paraId="39DCF682"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в Харькове организовать производство двухмоторных само</w:t>
      </w:r>
      <w:r w:rsidRPr="00A3026E">
        <w:rPr>
          <w:rFonts w:ascii="Times New Roman" w:hAnsi="Times New Roman"/>
          <w:color w:val="0070C0"/>
          <w:sz w:val="16"/>
          <w:szCs w:val="16"/>
        </w:rPr>
        <w:softHyphen/>
        <w:t>летов на мощность в 1200 штук в год, со сроком ввода в дейст</w:t>
      </w:r>
      <w:r w:rsidRPr="00A3026E">
        <w:rPr>
          <w:rFonts w:ascii="Times New Roman" w:hAnsi="Times New Roman"/>
          <w:color w:val="0070C0"/>
          <w:sz w:val="16"/>
          <w:szCs w:val="16"/>
        </w:rPr>
        <w:softHyphen/>
        <w:t>вие указанной мощности в П квартале 1942 года;</w:t>
      </w:r>
    </w:p>
    <w:p w14:paraId="6CE99AB6"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в Днепропетровске - производство двухмоторных самоле</w:t>
      </w:r>
      <w:r w:rsidRPr="00A3026E">
        <w:rPr>
          <w:rFonts w:ascii="Times New Roman" w:hAnsi="Times New Roman"/>
          <w:color w:val="0070C0"/>
          <w:sz w:val="16"/>
          <w:szCs w:val="16"/>
        </w:rPr>
        <w:softHyphen/>
        <w:t>тов на мощность в 1200 штук в год, с вводом в действие указан</w:t>
      </w:r>
      <w:r w:rsidRPr="00A3026E">
        <w:rPr>
          <w:rFonts w:ascii="Times New Roman" w:hAnsi="Times New Roman"/>
          <w:color w:val="0070C0"/>
          <w:sz w:val="16"/>
          <w:szCs w:val="16"/>
        </w:rPr>
        <w:softHyphen/>
        <w:t>ной мощности в 1 квартале 1942 года;</w:t>
      </w:r>
    </w:p>
    <w:p w14:paraId="58E12EE1"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в Днепропетровске организовать производство моторов типа АМ-35А и АМ-37 на мощность в 3000 штук в год с вводом в действие указанной мощности во II квартале 1942 года.</w:t>
      </w:r>
    </w:p>
    <w:p w14:paraId="51D043D5"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Расчет мощностей заводов вести, исходя из 2-сменной ра</w:t>
      </w:r>
      <w:r w:rsidRPr="00A3026E">
        <w:rPr>
          <w:rFonts w:ascii="Times New Roman" w:hAnsi="Times New Roman"/>
          <w:color w:val="0070C0"/>
          <w:sz w:val="16"/>
          <w:szCs w:val="16"/>
        </w:rPr>
        <w:softHyphen/>
        <w:t>боты, 8-часового рабочего дня и 7-дневной недели.</w:t>
      </w:r>
    </w:p>
    <w:p w14:paraId="3DC710E7"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Для организации производства боевых самолетов и мото</w:t>
      </w:r>
      <w:r w:rsidRPr="00A3026E">
        <w:rPr>
          <w:rFonts w:ascii="Times New Roman" w:hAnsi="Times New Roman"/>
          <w:color w:val="0070C0"/>
          <w:sz w:val="16"/>
          <w:szCs w:val="16"/>
        </w:rPr>
        <w:softHyphen/>
        <w:t>ров на Украине, в соответствии с пунктом 1-м настоящего Поста</w:t>
      </w:r>
      <w:r w:rsidRPr="00A3026E">
        <w:rPr>
          <w:rFonts w:ascii="Times New Roman" w:hAnsi="Times New Roman"/>
          <w:color w:val="0070C0"/>
          <w:sz w:val="16"/>
          <w:szCs w:val="16"/>
        </w:rPr>
        <w:softHyphen/>
        <w:t>новления, передать Наркомату Авиационной Промышленности следующие предприятия:</w:t>
      </w:r>
    </w:p>
    <w:p w14:paraId="18E0558C"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городе Киеве - для расширения завода № 43 НКАП и по</w:t>
      </w:r>
      <w:r w:rsidRPr="00A3026E">
        <w:rPr>
          <w:rFonts w:ascii="Times New Roman" w:hAnsi="Times New Roman"/>
          <w:color w:val="0070C0"/>
          <w:sz w:val="16"/>
          <w:szCs w:val="16"/>
        </w:rPr>
        <w:softHyphen/>
        <w:t>становки на нем производства двухмоторных самолетов:</w:t>
      </w:r>
    </w:p>
    <w:p w14:paraId="713E975A"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фабрику клавишных инструментов Наркомместпрома (находящуюся в консервации);</w:t>
      </w:r>
    </w:p>
    <w:p w14:paraId="09413A14"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весовой завод им. Дзержинского Наркомобщмаша;</w:t>
      </w:r>
    </w:p>
    <w:p w14:paraId="265DD7C6"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аэродром Осоавиахима;</w:t>
      </w:r>
    </w:p>
    <w:p w14:paraId="792B9DD8"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экспериментальный завод № 8 Наркомтекстильпрома для организации на ней производства авиационного стрелкового и бомбардировочного вооружения;</w:t>
      </w:r>
    </w:p>
    <w:p w14:paraId="19535C49"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завод имени Артема Наркомобщмаша для организации на нем производства химического вооружения.</w:t>
      </w:r>
    </w:p>
    <w:p w14:paraId="2E0816E4"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городе Харькове:</w:t>
      </w:r>
    </w:p>
    <w:p w14:paraId="0762EF6A"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ГАРЗ № 1 Наркомата Автомобильной Промышленности УССР для постановки на нем производства ПБ-100;</w:t>
      </w:r>
    </w:p>
    <w:p w14:paraId="79876D07"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строяциеся рядом с ГАРЗ № 1 столярные мастерские Наркомстроя, приключив их к заводу ГАРЗ № 1 для производства самолетов ПБ-100;</w:t>
      </w:r>
    </w:p>
    <w:p w14:paraId="5B6E963C"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завод Гидропривод Наркомтяжмаша для постановки на нем производства шасси;</w:t>
      </w:r>
    </w:p>
    <w:p w14:paraId="3C865CD4"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Комбинат НКВД (отделение электроинструмента) для по</w:t>
      </w:r>
      <w:r w:rsidRPr="00A3026E">
        <w:rPr>
          <w:rFonts w:ascii="Times New Roman" w:hAnsi="Times New Roman"/>
          <w:color w:val="0070C0"/>
          <w:sz w:val="16"/>
          <w:szCs w:val="16"/>
        </w:rPr>
        <w:softHyphen/>
        <w:t>становки на тем производства авианормалей и арматуры.</w:t>
      </w:r>
    </w:p>
    <w:p w14:paraId="09A4137A"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городе Днепропетровске:</w:t>
      </w:r>
    </w:p>
    <w:p w14:paraId="768BD65B"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паровозо-ремонтный завод Наркомтяжмаша, для постанов</w:t>
      </w:r>
      <w:r w:rsidRPr="00A3026E">
        <w:rPr>
          <w:rFonts w:ascii="Times New Roman" w:hAnsi="Times New Roman"/>
          <w:color w:val="0070C0"/>
          <w:sz w:val="16"/>
          <w:szCs w:val="16"/>
        </w:rPr>
        <w:softHyphen/>
        <w:t>ки на нем производства моторов АМ-35А;</w:t>
      </w:r>
    </w:p>
    <w:p w14:paraId="6DAB533F"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завод - Станкошколу Наркомместпрома УССР, организовав на нем производство спецстанков для моторного завода.</w:t>
      </w:r>
    </w:p>
    <w:p w14:paraId="60A59132"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городе Запорожье:</w:t>
      </w:r>
    </w:p>
    <w:p w14:paraId="4AC00800"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механический завод Наркомата Электростанций, для по</w:t>
      </w:r>
      <w:r w:rsidRPr="00A3026E">
        <w:rPr>
          <w:rFonts w:ascii="Times New Roman" w:hAnsi="Times New Roman"/>
          <w:color w:val="0070C0"/>
          <w:sz w:val="16"/>
          <w:szCs w:val="16"/>
        </w:rPr>
        <w:softHyphen/>
        <w:t>становки на чем производства шасси.</w:t>
      </w:r>
    </w:p>
    <w:p w14:paraId="43FFC3DD"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городе Полтаве:</w:t>
      </w:r>
    </w:p>
    <w:p w14:paraId="4609C349"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Завод № 1 Наркомобщмаша, для организации на нем производства моторных агрегатов, освободив его с 1.XI.1940г . от изготовляемой им продукции.</w:t>
      </w:r>
    </w:p>
    <w:p w14:paraId="7F95A4BA"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Размещение продукции, снимаемой с перечисленных в п.2 предприятий, произвести следующим образом:</w:t>
      </w:r>
    </w:p>
    <w:p w14:paraId="2ADD7247"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ремонт грузовых машин с завода ГАРЗ № 1 передать в механические мастерские Главсахара в г. Купянске и на заводы ГАРЗ №№ 2 и 3 в гор. Харькове;</w:t>
      </w:r>
    </w:p>
    <w:p w14:paraId="0C75C744"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гидроприводы и другию продукцию завода «Гидропривод» передать на Харьковский завод им. Молотова НКТМ</w:t>
      </w:r>
    </w:p>
    <w:p w14:paraId="1D6A3B65"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ремонт паровозов с паровозоремонтного завода НКТМ в городе Днепропетровске передать на заводы НКПС.</w:t>
      </w:r>
    </w:p>
    <w:p w14:paraId="0F75544E"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сохранить на Харьковском заводе "Гидропривод" производство гидроприводов в размере 50% до освоения этой продукции на заводе им. Молотова</w:t>
      </w:r>
    </w:p>
    <w:p w14:paraId="232FFA2C"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Обязать Харьковский облисполком разместить программу по электроинструменту Комбината НКВД на заводах местной промышленности г. Харькова.</w:t>
      </w:r>
    </w:p>
    <w:p w14:paraId="029D288E"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5.Обязать Наркомобщмаш и Наркомтекстиль СССР совместно Госпланом СССР в 2-х недельный срок разместить снимаемую с заводов (весового им. Дзержинского, им. Артема и № 8 в г. Киеве, завода № 1 Наркомобщмаш в г. Полтаве), переданных в НКАП, на других своих предприятиях.</w:t>
      </w:r>
    </w:p>
    <w:p w14:paraId="62297666"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Обязать наркома Авиационной промышленности тов. Шахурина:</w:t>
      </w:r>
    </w:p>
    <w:p w14:paraId="6BB00457"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завод им. Красина, переданный в НКАП для производства шасси, во изменение постановления КО № 335сс, перевести на производство агрегатов и деталей к моторам АМ-35А в кооперации с Днепропетровским паровозоремонтным заводом.</w:t>
      </w:r>
    </w:p>
    <w:p w14:paraId="5AA373EA"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завод № 165 НКАП с производства запасных частей перевести на производство двухмоторных самолетов.</w:t>
      </w:r>
    </w:p>
    <w:p w14:paraId="4BA2D104"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передать Наркоматам, заводы которых передаются в НКАП, не нужное для производства оборудование.</w:t>
      </w:r>
    </w:p>
    <w:p w14:paraId="40396DB4"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Обязать Народного Комиссара Авиационной Промышленности тов. Шахурина А.И., директоров Киевского самолетостроительного завода № 43, Харьковского самолетостроительного завода, Днепропетровского самолетостроительного завода № 165 и Днепропетровского моторостроительного завода развернуть немедленно подготовку производства самолетов и моторов на указанных заводах и обеспечить в 1941 г. и в первом квартале 1942 выполнение программы по этим заводам в нижеследующих количест</w:t>
      </w:r>
      <w:r w:rsidRPr="00A3026E">
        <w:rPr>
          <w:rFonts w:ascii="Times New Roman" w:hAnsi="Times New Roman"/>
          <w:color w:val="0070C0"/>
          <w:sz w:val="16"/>
          <w:szCs w:val="16"/>
        </w:rPr>
        <w:softHyphen/>
        <w:t>вах, с разбивкой по кварталам:</w:t>
      </w:r>
    </w:p>
    <w:tbl>
      <w:tblPr>
        <w:tblOverlap w:val="never"/>
        <w:tblW w:w="0" w:type="auto"/>
        <w:jc w:val="right"/>
        <w:tblLayout w:type="fixed"/>
        <w:tblCellMar>
          <w:left w:w="10" w:type="dxa"/>
          <w:right w:w="10" w:type="dxa"/>
        </w:tblCellMar>
        <w:tblLook w:val="04A0" w:firstRow="1" w:lastRow="0" w:firstColumn="1" w:lastColumn="0" w:noHBand="0" w:noVBand="1"/>
      </w:tblPr>
      <w:tblGrid>
        <w:gridCol w:w="2085"/>
        <w:gridCol w:w="1096"/>
        <w:gridCol w:w="964"/>
        <w:gridCol w:w="952"/>
        <w:gridCol w:w="1421"/>
      </w:tblGrid>
      <w:tr w:rsidR="008F2143" w:rsidRPr="00A3026E" w14:paraId="6A23BB4A" w14:textId="77777777" w:rsidTr="007609C9">
        <w:trPr>
          <w:trHeight w:hRule="exact" w:val="269"/>
          <w:jc w:val="right"/>
        </w:trPr>
        <w:tc>
          <w:tcPr>
            <w:tcW w:w="2085" w:type="dxa"/>
            <w:vMerge w:val="restart"/>
            <w:tcBorders>
              <w:top w:val="single" w:sz="4" w:space="0" w:color="auto"/>
              <w:left w:val="nil"/>
              <w:bottom w:val="nil"/>
              <w:right w:val="nil"/>
            </w:tcBorders>
            <w:vAlign w:val="bottom"/>
            <w:hideMark/>
          </w:tcPr>
          <w:p w14:paraId="763277C4"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Программа.</w:t>
            </w:r>
          </w:p>
        </w:tc>
        <w:tc>
          <w:tcPr>
            <w:tcW w:w="1096" w:type="dxa"/>
            <w:vMerge w:val="restart"/>
            <w:tcBorders>
              <w:top w:val="single" w:sz="4" w:space="0" w:color="auto"/>
              <w:left w:val="nil"/>
              <w:bottom w:val="nil"/>
              <w:right w:val="nil"/>
            </w:tcBorders>
            <w:hideMark/>
          </w:tcPr>
          <w:p w14:paraId="09299131"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Завод № 43 г.Киев.</w:t>
            </w:r>
          </w:p>
        </w:tc>
        <w:tc>
          <w:tcPr>
            <w:tcW w:w="964" w:type="dxa"/>
            <w:vMerge w:val="restart"/>
            <w:tcBorders>
              <w:top w:val="single" w:sz="4" w:space="0" w:color="auto"/>
              <w:left w:val="nil"/>
              <w:bottom w:val="nil"/>
              <w:right w:val="nil"/>
            </w:tcBorders>
            <w:hideMark/>
          </w:tcPr>
          <w:p w14:paraId="1AB3C95D"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завод</w:t>
            </w:r>
          </w:p>
          <w:p w14:paraId="7E40AFFA"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ГАРЗ г. Харькове</w:t>
            </w:r>
          </w:p>
        </w:tc>
        <w:tc>
          <w:tcPr>
            <w:tcW w:w="2373" w:type="dxa"/>
            <w:gridSpan w:val="2"/>
            <w:tcBorders>
              <w:top w:val="single" w:sz="4" w:space="0" w:color="auto"/>
              <w:left w:val="nil"/>
              <w:bottom w:val="nil"/>
              <w:right w:val="nil"/>
            </w:tcBorders>
            <w:hideMark/>
          </w:tcPr>
          <w:p w14:paraId="12ABF6B2"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Завод №. 165</w:t>
            </w:r>
            <w:r w:rsidRPr="00A3026E">
              <w:rPr>
                <w:rFonts w:ascii="Times New Roman" w:hAnsi="Times New Roman"/>
                <w:color w:val="0070C0"/>
                <w:sz w:val="16"/>
                <w:szCs w:val="16"/>
              </w:rPr>
              <w:tab/>
              <w:t>Пapoвозо</w:t>
            </w:r>
            <w:r w:rsidRPr="00A3026E">
              <w:rPr>
                <w:rFonts w:ascii="Times New Roman" w:hAnsi="Times New Roman"/>
                <w:color w:val="0070C0"/>
                <w:sz w:val="16"/>
                <w:szCs w:val="16"/>
              </w:rPr>
              <w:tab/>
              <w:t>ремонтный</w:t>
            </w:r>
          </w:p>
        </w:tc>
      </w:tr>
      <w:tr w:rsidR="008F2143" w:rsidRPr="00A3026E" w14:paraId="4ED90EA6" w14:textId="77777777" w:rsidTr="007609C9">
        <w:trPr>
          <w:trHeight w:hRule="exact" w:val="470"/>
          <w:jc w:val="right"/>
        </w:trPr>
        <w:tc>
          <w:tcPr>
            <w:tcW w:w="2085" w:type="dxa"/>
            <w:vMerge/>
            <w:tcBorders>
              <w:top w:val="single" w:sz="4" w:space="0" w:color="auto"/>
              <w:left w:val="nil"/>
              <w:bottom w:val="nil"/>
              <w:right w:val="nil"/>
            </w:tcBorders>
            <w:vAlign w:val="center"/>
            <w:hideMark/>
          </w:tcPr>
          <w:p w14:paraId="77D501A9" w14:textId="77777777" w:rsidR="008F2143" w:rsidRPr="00A3026E" w:rsidRDefault="008F2143" w:rsidP="00A3026E">
            <w:pPr>
              <w:spacing w:after="0" w:line="240" w:lineRule="auto"/>
              <w:jc w:val="both"/>
              <w:rPr>
                <w:rFonts w:ascii="Times New Roman" w:hAnsi="Times New Roman"/>
                <w:color w:val="0070C0"/>
                <w:sz w:val="16"/>
                <w:szCs w:val="16"/>
              </w:rPr>
            </w:pPr>
          </w:p>
        </w:tc>
        <w:tc>
          <w:tcPr>
            <w:tcW w:w="1096" w:type="dxa"/>
            <w:vMerge/>
            <w:tcBorders>
              <w:top w:val="single" w:sz="4" w:space="0" w:color="auto"/>
              <w:left w:val="nil"/>
              <w:bottom w:val="nil"/>
              <w:right w:val="nil"/>
            </w:tcBorders>
            <w:vAlign w:val="center"/>
            <w:hideMark/>
          </w:tcPr>
          <w:p w14:paraId="41ADB34B" w14:textId="77777777" w:rsidR="008F2143" w:rsidRPr="00A3026E" w:rsidRDefault="008F2143" w:rsidP="00A3026E">
            <w:pPr>
              <w:spacing w:after="0" w:line="240" w:lineRule="auto"/>
              <w:jc w:val="both"/>
              <w:rPr>
                <w:rFonts w:ascii="Times New Roman" w:hAnsi="Times New Roman"/>
                <w:color w:val="0070C0"/>
                <w:sz w:val="16"/>
                <w:szCs w:val="16"/>
              </w:rPr>
            </w:pPr>
          </w:p>
        </w:tc>
        <w:tc>
          <w:tcPr>
            <w:tcW w:w="964" w:type="dxa"/>
            <w:vMerge/>
            <w:tcBorders>
              <w:top w:val="single" w:sz="4" w:space="0" w:color="auto"/>
              <w:left w:val="nil"/>
              <w:bottom w:val="nil"/>
              <w:right w:val="nil"/>
            </w:tcBorders>
            <w:vAlign w:val="center"/>
            <w:hideMark/>
          </w:tcPr>
          <w:p w14:paraId="3FC42AAC" w14:textId="77777777" w:rsidR="008F2143" w:rsidRPr="00A3026E" w:rsidRDefault="008F2143" w:rsidP="00A3026E">
            <w:pPr>
              <w:spacing w:after="0" w:line="240" w:lineRule="auto"/>
              <w:jc w:val="both"/>
              <w:rPr>
                <w:rFonts w:ascii="Times New Roman" w:hAnsi="Times New Roman"/>
                <w:color w:val="0070C0"/>
                <w:sz w:val="16"/>
                <w:szCs w:val="16"/>
              </w:rPr>
            </w:pPr>
          </w:p>
        </w:tc>
        <w:tc>
          <w:tcPr>
            <w:tcW w:w="952" w:type="dxa"/>
            <w:hideMark/>
          </w:tcPr>
          <w:p w14:paraId="63A5EDEF"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г.Днепропетровске</w:t>
            </w:r>
          </w:p>
        </w:tc>
        <w:tc>
          <w:tcPr>
            <w:tcW w:w="1421" w:type="dxa"/>
            <w:hideMark/>
          </w:tcPr>
          <w:p w14:paraId="6FA5E7C7"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завод</w:t>
            </w:r>
          </w:p>
          <w:p w14:paraId="4AB9A418"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г.Днепропетровске</w:t>
            </w:r>
          </w:p>
        </w:tc>
      </w:tr>
      <w:tr w:rsidR="008F2143" w:rsidRPr="00A3026E" w14:paraId="00B13D19" w14:textId="77777777" w:rsidTr="007609C9">
        <w:trPr>
          <w:trHeight w:hRule="exact" w:val="188"/>
          <w:jc w:val="right"/>
        </w:trPr>
        <w:tc>
          <w:tcPr>
            <w:tcW w:w="2085" w:type="dxa"/>
            <w:tcBorders>
              <w:top w:val="single" w:sz="4" w:space="0" w:color="auto"/>
              <w:left w:val="nil"/>
              <w:bottom w:val="nil"/>
              <w:right w:val="nil"/>
            </w:tcBorders>
          </w:tcPr>
          <w:p w14:paraId="7813DFA7" w14:textId="77777777" w:rsidR="008F2143" w:rsidRPr="00A3026E" w:rsidRDefault="008F2143" w:rsidP="00A3026E">
            <w:pPr>
              <w:spacing w:after="0" w:line="240" w:lineRule="auto"/>
              <w:jc w:val="both"/>
              <w:rPr>
                <w:rFonts w:ascii="Times New Roman" w:hAnsi="Times New Roman"/>
                <w:color w:val="0070C0"/>
                <w:sz w:val="16"/>
                <w:szCs w:val="16"/>
              </w:rPr>
            </w:pPr>
          </w:p>
        </w:tc>
        <w:tc>
          <w:tcPr>
            <w:tcW w:w="1096" w:type="dxa"/>
            <w:tcBorders>
              <w:top w:val="single" w:sz="4" w:space="0" w:color="auto"/>
              <w:left w:val="nil"/>
              <w:bottom w:val="nil"/>
              <w:right w:val="nil"/>
            </w:tcBorders>
            <w:vAlign w:val="bottom"/>
            <w:hideMark/>
          </w:tcPr>
          <w:p w14:paraId="2D77F258"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Самолеты</w:t>
            </w:r>
          </w:p>
        </w:tc>
        <w:tc>
          <w:tcPr>
            <w:tcW w:w="964" w:type="dxa"/>
            <w:tcBorders>
              <w:top w:val="single" w:sz="4" w:space="0" w:color="auto"/>
              <w:left w:val="nil"/>
              <w:bottom w:val="nil"/>
              <w:right w:val="nil"/>
            </w:tcBorders>
            <w:vAlign w:val="bottom"/>
            <w:hideMark/>
          </w:tcPr>
          <w:p w14:paraId="6D98EA5D"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Самолеты</w:t>
            </w:r>
          </w:p>
        </w:tc>
        <w:tc>
          <w:tcPr>
            <w:tcW w:w="952" w:type="dxa"/>
            <w:tcBorders>
              <w:top w:val="single" w:sz="4" w:space="0" w:color="auto"/>
              <w:left w:val="nil"/>
              <w:bottom w:val="nil"/>
              <w:right w:val="nil"/>
            </w:tcBorders>
            <w:vAlign w:val="bottom"/>
            <w:hideMark/>
          </w:tcPr>
          <w:p w14:paraId="1E63EE2B"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Самолеты</w:t>
            </w:r>
          </w:p>
        </w:tc>
        <w:tc>
          <w:tcPr>
            <w:tcW w:w="1421" w:type="dxa"/>
            <w:tcBorders>
              <w:top w:val="single" w:sz="4" w:space="0" w:color="auto"/>
              <w:left w:val="nil"/>
              <w:bottom w:val="nil"/>
              <w:right w:val="nil"/>
            </w:tcBorders>
            <w:vAlign w:val="bottom"/>
            <w:hideMark/>
          </w:tcPr>
          <w:p w14:paraId="7AB4AF2D"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Мотор</w:t>
            </w:r>
          </w:p>
        </w:tc>
      </w:tr>
      <w:tr w:rsidR="008F2143" w:rsidRPr="00A3026E" w14:paraId="4AB876BB" w14:textId="77777777" w:rsidTr="007609C9">
        <w:trPr>
          <w:trHeight w:hRule="exact" w:val="175"/>
          <w:jc w:val="right"/>
        </w:trPr>
        <w:tc>
          <w:tcPr>
            <w:tcW w:w="2085" w:type="dxa"/>
          </w:tcPr>
          <w:p w14:paraId="2A81A35A" w14:textId="77777777" w:rsidR="008F2143" w:rsidRPr="00A3026E" w:rsidRDefault="008F2143" w:rsidP="00A3026E">
            <w:pPr>
              <w:spacing w:after="0" w:line="240" w:lineRule="auto"/>
              <w:jc w:val="both"/>
              <w:rPr>
                <w:rFonts w:ascii="Times New Roman" w:hAnsi="Times New Roman"/>
                <w:color w:val="0070C0"/>
                <w:sz w:val="16"/>
                <w:szCs w:val="16"/>
              </w:rPr>
            </w:pPr>
          </w:p>
        </w:tc>
        <w:tc>
          <w:tcPr>
            <w:tcW w:w="1096" w:type="dxa"/>
            <w:hideMark/>
          </w:tcPr>
          <w:p w14:paraId="4A64812C"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И-200</w:t>
            </w:r>
          </w:p>
        </w:tc>
        <w:tc>
          <w:tcPr>
            <w:tcW w:w="964" w:type="dxa"/>
            <w:hideMark/>
          </w:tcPr>
          <w:p w14:paraId="0CBC5349"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ПБ-100</w:t>
            </w:r>
          </w:p>
        </w:tc>
        <w:tc>
          <w:tcPr>
            <w:tcW w:w="952" w:type="dxa"/>
            <w:hideMark/>
          </w:tcPr>
          <w:p w14:paraId="2FD3CEAB"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И-200</w:t>
            </w:r>
            <w:r w:rsidRPr="00A3026E">
              <w:rPr>
                <w:rFonts w:ascii="Times New Roman" w:hAnsi="Times New Roman"/>
                <w:color w:val="0070C0"/>
                <w:sz w:val="16"/>
                <w:szCs w:val="16"/>
              </w:rPr>
              <w:tab/>
            </w:r>
          </w:p>
        </w:tc>
        <w:tc>
          <w:tcPr>
            <w:tcW w:w="1421" w:type="dxa"/>
            <w:hideMark/>
          </w:tcPr>
          <w:p w14:paraId="6BAC43F8"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AM-35А</w:t>
            </w:r>
          </w:p>
        </w:tc>
      </w:tr>
      <w:tr w:rsidR="008F2143" w:rsidRPr="00A3026E" w14:paraId="52068297" w14:textId="77777777" w:rsidTr="007609C9">
        <w:trPr>
          <w:trHeight w:hRule="exact" w:val="376"/>
          <w:jc w:val="right"/>
        </w:trPr>
        <w:tc>
          <w:tcPr>
            <w:tcW w:w="2085" w:type="dxa"/>
            <w:tcBorders>
              <w:top w:val="single" w:sz="4" w:space="0" w:color="auto"/>
              <w:left w:val="nil"/>
              <w:bottom w:val="nil"/>
              <w:right w:val="nil"/>
            </w:tcBorders>
            <w:vAlign w:val="center"/>
            <w:hideMark/>
          </w:tcPr>
          <w:p w14:paraId="21AFC4AB"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Всего в 1941 г.</w:t>
            </w:r>
          </w:p>
        </w:tc>
        <w:tc>
          <w:tcPr>
            <w:tcW w:w="1096" w:type="dxa"/>
            <w:tcBorders>
              <w:top w:val="single" w:sz="4" w:space="0" w:color="auto"/>
              <w:left w:val="nil"/>
              <w:bottom w:val="nil"/>
              <w:right w:val="nil"/>
            </w:tcBorders>
            <w:vAlign w:val="center"/>
            <w:hideMark/>
          </w:tcPr>
          <w:p w14:paraId="6F189AB3"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150</w:t>
            </w:r>
          </w:p>
        </w:tc>
        <w:tc>
          <w:tcPr>
            <w:tcW w:w="964" w:type="dxa"/>
            <w:tcBorders>
              <w:top w:val="single" w:sz="4" w:space="0" w:color="auto"/>
              <w:left w:val="nil"/>
              <w:bottom w:val="nil"/>
              <w:right w:val="nil"/>
            </w:tcBorders>
            <w:vAlign w:val="center"/>
            <w:hideMark/>
          </w:tcPr>
          <w:p w14:paraId="1DF3C947"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1С0</w:t>
            </w:r>
          </w:p>
        </w:tc>
        <w:tc>
          <w:tcPr>
            <w:tcW w:w="952" w:type="dxa"/>
            <w:tcBorders>
              <w:top w:val="single" w:sz="4" w:space="0" w:color="auto"/>
              <w:left w:val="nil"/>
              <w:bottom w:val="nil"/>
              <w:right w:val="nil"/>
            </w:tcBorders>
            <w:vAlign w:val="center"/>
            <w:hideMark/>
          </w:tcPr>
          <w:p w14:paraId="2C7D7333"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25С</w:t>
            </w:r>
          </w:p>
        </w:tc>
        <w:tc>
          <w:tcPr>
            <w:tcW w:w="1421" w:type="dxa"/>
            <w:tcBorders>
              <w:top w:val="single" w:sz="4" w:space="0" w:color="auto"/>
              <w:left w:val="nil"/>
              <w:bottom w:val="nil"/>
              <w:right w:val="nil"/>
            </w:tcBorders>
            <w:vAlign w:val="center"/>
            <w:hideMark/>
          </w:tcPr>
          <w:p w14:paraId="63B92D2A"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250</w:t>
            </w:r>
          </w:p>
        </w:tc>
      </w:tr>
      <w:tr w:rsidR="008F2143" w:rsidRPr="00A3026E" w14:paraId="3CC3B1F4" w14:textId="77777777" w:rsidTr="007609C9">
        <w:trPr>
          <w:trHeight w:hRule="exact" w:val="232"/>
          <w:jc w:val="right"/>
        </w:trPr>
        <w:tc>
          <w:tcPr>
            <w:tcW w:w="2085" w:type="dxa"/>
            <w:vAlign w:val="center"/>
            <w:hideMark/>
          </w:tcPr>
          <w:p w14:paraId="5ECCCEFE"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квартал</w:t>
            </w:r>
          </w:p>
        </w:tc>
        <w:tc>
          <w:tcPr>
            <w:tcW w:w="1096" w:type="dxa"/>
            <w:hideMark/>
          </w:tcPr>
          <w:p w14:paraId="722DD4F1"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w:t>
            </w:r>
          </w:p>
        </w:tc>
        <w:tc>
          <w:tcPr>
            <w:tcW w:w="964" w:type="dxa"/>
            <w:hideMark/>
          </w:tcPr>
          <w:p w14:paraId="634F0641"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w:t>
            </w:r>
          </w:p>
        </w:tc>
        <w:tc>
          <w:tcPr>
            <w:tcW w:w="952" w:type="dxa"/>
          </w:tcPr>
          <w:p w14:paraId="69AFCA3F" w14:textId="77777777" w:rsidR="008F2143" w:rsidRPr="00A3026E" w:rsidRDefault="008F2143" w:rsidP="00A3026E">
            <w:pPr>
              <w:spacing w:after="0" w:line="240" w:lineRule="auto"/>
              <w:jc w:val="both"/>
              <w:rPr>
                <w:rFonts w:ascii="Times New Roman" w:hAnsi="Times New Roman"/>
                <w:color w:val="0070C0"/>
                <w:sz w:val="16"/>
                <w:szCs w:val="16"/>
              </w:rPr>
            </w:pPr>
          </w:p>
        </w:tc>
        <w:tc>
          <w:tcPr>
            <w:tcW w:w="1421" w:type="dxa"/>
          </w:tcPr>
          <w:p w14:paraId="17EEBC8A" w14:textId="77777777" w:rsidR="008F2143" w:rsidRPr="00A3026E" w:rsidRDefault="008F2143" w:rsidP="00A3026E">
            <w:pPr>
              <w:spacing w:after="0" w:line="240" w:lineRule="auto"/>
              <w:jc w:val="both"/>
              <w:rPr>
                <w:rFonts w:ascii="Times New Roman" w:hAnsi="Times New Roman"/>
                <w:color w:val="0070C0"/>
                <w:sz w:val="16"/>
                <w:szCs w:val="16"/>
              </w:rPr>
            </w:pPr>
          </w:p>
        </w:tc>
      </w:tr>
      <w:tr w:rsidR="008F2143" w:rsidRPr="00A3026E" w14:paraId="7CBD456F" w14:textId="77777777" w:rsidTr="007609C9">
        <w:trPr>
          <w:trHeight w:hRule="exact" w:val="163"/>
          <w:jc w:val="right"/>
        </w:trPr>
        <w:tc>
          <w:tcPr>
            <w:tcW w:w="2085" w:type="dxa"/>
            <w:vAlign w:val="bottom"/>
            <w:hideMark/>
          </w:tcPr>
          <w:p w14:paraId="3A8EC3D8"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т.ч. в марте</w:t>
            </w:r>
          </w:p>
        </w:tc>
        <w:tc>
          <w:tcPr>
            <w:tcW w:w="1096" w:type="dxa"/>
            <w:vAlign w:val="center"/>
            <w:hideMark/>
          </w:tcPr>
          <w:p w14:paraId="11FC0605"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w:t>
            </w:r>
          </w:p>
        </w:tc>
        <w:tc>
          <w:tcPr>
            <w:tcW w:w="964" w:type="dxa"/>
            <w:hideMark/>
          </w:tcPr>
          <w:p w14:paraId="0C7FAB69"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w:t>
            </w:r>
          </w:p>
        </w:tc>
        <w:tc>
          <w:tcPr>
            <w:tcW w:w="952" w:type="dxa"/>
          </w:tcPr>
          <w:p w14:paraId="18DF9A76" w14:textId="77777777" w:rsidR="008F2143" w:rsidRPr="00A3026E" w:rsidRDefault="008F2143" w:rsidP="00A3026E">
            <w:pPr>
              <w:spacing w:after="0" w:line="240" w:lineRule="auto"/>
              <w:jc w:val="both"/>
              <w:rPr>
                <w:rFonts w:ascii="Times New Roman" w:hAnsi="Times New Roman"/>
                <w:color w:val="0070C0"/>
                <w:sz w:val="16"/>
                <w:szCs w:val="16"/>
              </w:rPr>
            </w:pPr>
          </w:p>
        </w:tc>
        <w:tc>
          <w:tcPr>
            <w:tcW w:w="1421" w:type="dxa"/>
          </w:tcPr>
          <w:p w14:paraId="55356700" w14:textId="77777777" w:rsidR="008F2143" w:rsidRPr="00A3026E" w:rsidRDefault="008F2143" w:rsidP="00A3026E">
            <w:pPr>
              <w:spacing w:after="0" w:line="240" w:lineRule="auto"/>
              <w:jc w:val="both"/>
              <w:rPr>
                <w:rFonts w:ascii="Times New Roman" w:hAnsi="Times New Roman"/>
                <w:color w:val="0070C0"/>
                <w:sz w:val="16"/>
                <w:szCs w:val="16"/>
              </w:rPr>
            </w:pPr>
          </w:p>
        </w:tc>
      </w:tr>
      <w:tr w:rsidR="008F2143" w:rsidRPr="00A3026E" w14:paraId="1FD82138" w14:textId="77777777" w:rsidTr="007609C9">
        <w:trPr>
          <w:trHeight w:hRule="exact" w:val="225"/>
          <w:jc w:val="right"/>
        </w:trPr>
        <w:tc>
          <w:tcPr>
            <w:tcW w:w="2085" w:type="dxa"/>
            <w:hideMark/>
          </w:tcPr>
          <w:p w14:paraId="041DBCBF"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 квартал</w:t>
            </w:r>
          </w:p>
        </w:tc>
        <w:tc>
          <w:tcPr>
            <w:tcW w:w="1096" w:type="dxa"/>
            <w:hideMark/>
          </w:tcPr>
          <w:p w14:paraId="03DEA3F6"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28</w:t>
            </w:r>
          </w:p>
        </w:tc>
        <w:tc>
          <w:tcPr>
            <w:tcW w:w="964" w:type="dxa"/>
            <w:hideMark/>
          </w:tcPr>
          <w:p w14:paraId="0F44CD2B"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1С</w:t>
            </w:r>
          </w:p>
        </w:tc>
        <w:tc>
          <w:tcPr>
            <w:tcW w:w="952" w:type="dxa"/>
            <w:hideMark/>
          </w:tcPr>
          <w:p w14:paraId="5D7F91F5"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40</w:t>
            </w:r>
          </w:p>
        </w:tc>
        <w:tc>
          <w:tcPr>
            <w:tcW w:w="1421" w:type="dxa"/>
            <w:hideMark/>
          </w:tcPr>
          <w:p w14:paraId="020F4BB5"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w:t>
            </w:r>
          </w:p>
        </w:tc>
      </w:tr>
      <w:tr w:rsidR="008F2143" w:rsidRPr="00A3026E" w14:paraId="6E7C252E" w14:textId="77777777" w:rsidTr="007609C9">
        <w:trPr>
          <w:trHeight w:hRule="exact" w:val="213"/>
          <w:jc w:val="right"/>
        </w:trPr>
        <w:tc>
          <w:tcPr>
            <w:tcW w:w="2085" w:type="dxa"/>
            <w:hideMark/>
          </w:tcPr>
          <w:p w14:paraId="417F193E"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т.ч. в июне</w:t>
            </w:r>
          </w:p>
        </w:tc>
        <w:tc>
          <w:tcPr>
            <w:tcW w:w="1096" w:type="dxa"/>
            <w:hideMark/>
          </w:tcPr>
          <w:p w14:paraId="43F83D55"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w:t>
            </w:r>
          </w:p>
        </w:tc>
        <w:tc>
          <w:tcPr>
            <w:tcW w:w="964" w:type="dxa"/>
            <w:hideMark/>
          </w:tcPr>
          <w:p w14:paraId="2555CF9B"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w:t>
            </w:r>
          </w:p>
        </w:tc>
        <w:tc>
          <w:tcPr>
            <w:tcW w:w="952" w:type="dxa"/>
            <w:hideMark/>
          </w:tcPr>
          <w:p w14:paraId="680A2C19"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w:t>
            </w:r>
          </w:p>
        </w:tc>
        <w:tc>
          <w:tcPr>
            <w:tcW w:w="1421" w:type="dxa"/>
            <w:hideMark/>
          </w:tcPr>
          <w:p w14:paraId="694A9D29"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w:t>
            </w:r>
          </w:p>
        </w:tc>
      </w:tr>
      <w:tr w:rsidR="008F2143" w:rsidRPr="00A3026E" w14:paraId="0A605DAE" w14:textId="77777777" w:rsidTr="007609C9">
        <w:trPr>
          <w:trHeight w:hRule="exact" w:val="238"/>
          <w:jc w:val="right"/>
        </w:trPr>
        <w:tc>
          <w:tcPr>
            <w:tcW w:w="2085" w:type="dxa"/>
            <w:hideMark/>
          </w:tcPr>
          <w:p w14:paraId="2BAB3625"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Ш квартал</w:t>
            </w:r>
          </w:p>
        </w:tc>
        <w:tc>
          <w:tcPr>
            <w:tcW w:w="1096" w:type="dxa"/>
            <w:hideMark/>
          </w:tcPr>
          <w:p w14:paraId="6248FA96"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40</w:t>
            </w:r>
          </w:p>
        </w:tc>
        <w:tc>
          <w:tcPr>
            <w:tcW w:w="964" w:type="dxa"/>
            <w:hideMark/>
          </w:tcPr>
          <w:p w14:paraId="24C241D5"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40</w:t>
            </w:r>
          </w:p>
        </w:tc>
        <w:tc>
          <w:tcPr>
            <w:tcW w:w="952" w:type="dxa"/>
            <w:hideMark/>
          </w:tcPr>
          <w:p w14:paraId="4B644D16"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70</w:t>
            </w:r>
          </w:p>
        </w:tc>
        <w:tc>
          <w:tcPr>
            <w:tcW w:w="1421" w:type="dxa"/>
            <w:hideMark/>
          </w:tcPr>
          <w:p w14:paraId="61EE347C"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75</w:t>
            </w:r>
          </w:p>
        </w:tc>
      </w:tr>
      <w:tr w:rsidR="008F2143" w:rsidRPr="00A3026E" w14:paraId="222EA6A8" w14:textId="77777777" w:rsidTr="007609C9">
        <w:trPr>
          <w:trHeight w:hRule="exact" w:val="200"/>
          <w:jc w:val="right"/>
        </w:trPr>
        <w:tc>
          <w:tcPr>
            <w:tcW w:w="2085" w:type="dxa"/>
            <w:hideMark/>
          </w:tcPr>
          <w:p w14:paraId="2DF68D84"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т.ч. в сентябре</w:t>
            </w:r>
          </w:p>
        </w:tc>
        <w:tc>
          <w:tcPr>
            <w:tcW w:w="1096" w:type="dxa"/>
            <w:hideMark/>
          </w:tcPr>
          <w:p w14:paraId="669FC85C"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w:t>
            </w:r>
          </w:p>
        </w:tc>
        <w:tc>
          <w:tcPr>
            <w:tcW w:w="964" w:type="dxa"/>
            <w:hideMark/>
          </w:tcPr>
          <w:p w14:paraId="1AD64F3C"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w:t>
            </w:r>
          </w:p>
        </w:tc>
        <w:tc>
          <w:tcPr>
            <w:tcW w:w="952" w:type="dxa"/>
            <w:hideMark/>
          </w:tcPr>
          <w:p w14:paraId="2AAA7429"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w:t>
            </w:r>
          </w:p>
        </w:tc>
        <w:tc>
          <w:tcPr>
            <w:tcW w:w="1421" w:type="dxa"/>
            <w:hideMark/>
          </w:tcPr>
          <w:p w14:paraId="683707AF"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35</w:t>
            </w:r>
          </w:p>
        </w:tc>
      </w:tr>
      <w:tr w:rsidR="008F2143" w:rsidRPr="00A3026E" w14:paraId="0E5F81CB" w14:textId="77777777" w:rsidTr="007609C9">
        <w:trPr>
          <w:trHeight w:hRule="exact" w:val="232"/>
          <w:jc w:val="right"/>
        </w:trPr>
        <w:tc>
          <w:tcPr>
            <w:tcW w:w="2085" w:type="dxa"/>
            <w:hideMark/>
          </w:tcPr>
          <w:p w14:paraId="72BC4BF3"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1У квартал</w:t>
            </w:r>
          </w:p>
        </w:tc>
        <w:tc>
          <w:tcPr>
            <w:tcW w:w="1096" w:type="dxa"/>
            <w:hideMark/>
          </w:tcPr>
          <w:p w14:paraId="3CBAB013"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82</w:t>
            </w:r>
          </w:p>
        </w:tc>
        <w:tc>
          <w:tcPr>
            <w:tcW w:w="964" w:type="dxa"/>
            <w:hideMark/>
          </w:tcPr>
          <w:p w14:paraId="61019A0C"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5С</w:t>
            </w:r>
          </w:p>
        </w:tc>
        <w:tc>
          <w:tcPr>
            <w:tcW w:w="952" w:type="dxa"/>
            <w:hideMark/>
          </w:tcPr>
          <w:p w14:paraId="157FB3B3"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140</w:t>
            </w:r>
          </w:p>
        </w:tc>
        <w:tc>
          <w:tcPr>
            <w:tcW w:w="1421" w:type="dxa"/>
            <w:hideMark/>
          </w:tcPr>
          <w:p w14:paraId="5F1D9EBC"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150</w:t>
            </w:r>
          </w:p>
        </w:tc>
      </w:tr>
      <w:tr w:rsidR="008F2143" w:rsidRPr="00A3026E" w14:paraId="643F115A" w14:textId="77777777" w:rsidTr="007609C9">
        <w:trPr>
          <w:trHeight w:hRule="exact" w:val="219"/>
          <w:jc w:val="right"/>
        </w:trPr>
        <w:tc>
          <w:tcPr>
            <w:tcW w:w="2085" w:type="dxa"/>
            <w:hideMark/>
          </w:tcPr>
          <w:p w14:paraId="01030704"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т.ч. в декабре</w:t>
            </w:r>
          </w:p>
        </w:tc>
        <w:tc>
          <w:tcPr>
            <w:tcW w:w="1096" w:type="dxa"/>
            <w:hideMark/>
          </w:tcPr>
          <w:p w14:paraId="6C30D5C1"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30</w:t>
            </w:r>
          </w:p>
        </w:tc>
        <w:tc>
          <w:tcPr>
            <w:tcW w:w="964" w:type="dxa"/>
            <w:hideMark/>
          </w:tcPr>
          <w:p w14:paraId="28853AE3"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2С</w:t>
            </w:r>
          </w:p>
        </w:tc>
        <w:tc>
          <w:tcPr>
            <w:tcW w:w="952" w:type="dxa"/>
            <w:hideMark/>
          </w:tcPr>
          <w:p w14:paraId="1A30D987"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50</w:t>
            </w:r>
          </w:p>
        </w:tc>
        <w:tc>
          <w:tcPr>
            <w:tcW w:w="1421" w:type="dxa"/>
            <w:hideMark/>
          </w:tcPr>
          <w:p w14:paraId="5F15D952"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60</w:t>
            </w:r>
          </w:p>
        </w:tc>
      </w:tr>
      <w:tr w:rsidR="008F2143" w:rsidRPr="00A3026E" w14:paraId="4060D2F0" w14:textId="77777777" w:rsidTr="007609C9">
        <w:trPr>
          <w:trHeight w:hRule="exact" w:val="213"/>
          <w:jc w:val="right"/>
        </w:trPr>
        <w:tc>
          <w:tcPr>
            <w:tcW w:w="2085" w:type="dxa"/>
            <w:hideMark/>
          </w:tcPr>
          <w:p w14:paraId="62899F7B"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квартал 1942 г.</w:t>
            </w:r>
          </w:p>
        </w:tc>
        <w:tc>
          <w:tcPr>
            <w:tcW w:w="1096" w:type="dxa"/>
            <w:hideMark/>
          </w:tcPr>
          <w:p w14:paraId="54B82034"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90</w:t>
            </w:r>
          </w:p>
        </w:tc>
        <w:tc>
          <w:tcPr>
            <w:tcW w:w="964" w:type="dxa"/>
            <w:hideMark/>
          </w:tcPr>
          <w:p w14:paraId="36B841A9"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100</w:t>
            </w:r>
          </w:p>
        </w:tc>
        <w:tc>
          <w:tcPr>
            <w:tcW w:w="952" w:type="dxa"/>
            <w:hideMark/>
          </w:tcPr>
          <w:p w14:paraId="55BBB0E8"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150</w:t>
            </w:r>
          </w:p>
        </w:tc>
        <w:tc>
          <w:tcPr>
            <w:tcW w:w="1421" w:type="dxa"/>
            <w:hideMark/>
          </w:tcPr>
          <w:p w14:paraId="1C7E9D2F"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250</w:t>
            </w:r>
          </w:p>
        </w:tc>
      </w:tr>
      <w:tr w:rsidR="008F2143" w:rsidRPr="00A3026E" w14:paraId="33FC2CA5" w14:textId="77777777" w:rsidTr="007609C9">
        <w:trPr>
          <w:trHeight w:hRule="exact" w:val="269"/>
          <w:jc w:val="right"/>
        </w:trPr>
        <w:tc>
          <w:tcPr>
            <w:tcW w:w="2085" w:type="dxa"/>
            <w:hideMark/>
          </w:tcPr>
          <w:p w14:paraId="5D892A3C"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т . ч. в ма рте</w:t>
            </w:r>
          </w:p>
        </w:tc>
        <w:tc>
          <w:tcPr>
            <w:tcW w:w="1096" w:type="dxa"/>
            <w:hideMark/>
          </w:tcPr>
          <w:p w14:paraId="722632F5"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30</w:t>
            </w:r>
          </w:p>
        </w:tc>
        <w:tc>
          <w:tcPr>
            <w:tcW w:w="964" w:type="dxa"/>
            <w:hideMark/>
          </w:tcPr>
          <w:p w14:paraId="3E7DE82D"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40</w:t>
            </w:r>
          </w:p>
        </w:tc>
        <w:tc>
          <w:tcPr>
            <w:tcW w:w="952" w:type="dxa"/>
            <w:hideMark/>
          </w:tcPr>
          <w:p w14:paraId="7F40D3E5"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50 ‘</w:t>
            </w:r>
          </w:p>
        </w:tc>
        <w:tc>
          <w:tcPr>
            <w:tcW w:w="1421" w:type="dxa"/>
            <w:hideMark/>
          </w:tcPr>
          <w:p w14:paraId="750DF851"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100</w:t>
            </w:r>
          </w:p>
        </w:tc>
      </w:tr>
    </w:tbl>
    <w:p w14:paraId="6C497B19"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соответствии с этой программой приступить в 1У квартале 1940 года к созданию заделов, обеспечивающих сдачу самолетов и моторов по утвержденному графику.</w:t>
      </w:r>
    </w:p>
    <w:p w14:paraId="5A046105"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8.Обязать Народный Комиссариат Авиационной Промышленности:</w:t>
      </w:r>
    </w:p>
    <w:p w14:paraId="750AEF3B"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создать специализированные строительные тресты в г.г. Киеве, Харькове, Днепропетровске;</w:t>
      </w:r>
    </w:p>
    <w:p w14:paraId="3F889249"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создать филиал Первого Госпроектного Института в г. Харькове для обеспечения проектами и рабочими чертежами строи</w:t>
      </w:r>
      <w:r w:rsidRPr="00A3026E">
        <w:rPr>
          <w:rFonts w:ascii="Times New Roman" w:hAnsi="Times New Roman"/>
          <w:color w:val="0070C0"/>
          <w:sz w:val="16"/>
          <w:szCs w:val="16"/>
        </w:rPr>
        <w:softHyphen/>
        <w:t>тельства означенных заводов со сроками окончания к 31 декабря 1940 года.</w:t>
      </w:r>
    </w:p>
    <w:p w14:paraId="7560CB11"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Обязать Киевский, Харьковский и Днепропетровский обл</w:t>
      </w:r>
      <w:r w:rsidRPr="00A3026E">
        <w:rPr>
          <w:rFonts w:ascii="Times New Roman" w:hAnsi="Times New Roman"/>
          <w:color w:val="0070C0"/>
          <w:sz w:val="16"/>
          <w:szCs w:val="16"/>
        </w:rPr>
        <w:softHyphen/>
        <w:t>исполкомы немедленно предоставить вновь создаваемым специали</w:t>
      </w:r>
      <w:r w:rsidRPr="00A3026E">
        <w:rPr>
          <w:rFonts w:ascii="Times New Roman" w:hAnsi="Times New Roman"/>
          <w:color w:val="0070C0"/>
          <w:sz w:val="16"/>
          <w:szCs w:val="16"/>
        </w:rPr>
        <w:softHyphen/>
        <w:t>зированным строительным трестам:</w:t>
      </w:r>
    </w:p>
    <w:p w14:paraId="1D5B2F22"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складские помещения, площадьюб по 5.000 кв. м, с подъездными железнодорожными путями;</w:t>
      </w:r>
    </w:p>
    <w:p w14:paraId="4E2BEAD1"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конторские помещения площадью по 350 кв.м.</w:t>
      </w:r>
    </w:p>
    <w:p w14:paraId="05DC2800"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Обязать Харьковский облисполком для организации филиа</w:t>
      </w:r>
      <w:r w:rsidRPr="00A3026E">
        <w:rPr>
          <w:rFonts w:ascii="Times New Roman" w:hAnsi="Times New Roman"/>
          <w:color w:val="0070C0"/>
          <w:sz w:val="16"/>
          <w:szCs w:val="16"/>
        </w:rPr>
        <w:softHyphen/>
        <w:t>ла 1-го Госпроектного Института выделить не позднее 15 октяб</w:t>
      </w:r>
      <w:r w:rsidRPr="00A3026E">
        <w:rPr>
          <w:rFonts w:ascii="Times New Roman" w:hAnsi="Times New Roman"/>
          <w:color w:val="0070C0"/>
          <w:sz w:val="16"/>
          <w:szCs w:val="16"/>
        </w:rPr>
        <w:softHyphen/>
        <w:t>ря 1940 г. оборудованые помещения в 800 кв.м.</w:t>
      </w:r>
    </w:p>
    <w:p w14:paraId="69F733D5"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На подчиненные Наркомату Авиационной Промышленности специализированные строительные тресты и управления капиталь</w:t>
      </w:r>
      <w:r w:rsidRPr="00A3026E">
        <w:rPr>
          <w:rFonts w:ascii="Times New Roman" w:hAnsi="Times New Roman"/>
          <w:color w:val="0070C0"/>
          <w:sz w:val="16"/>
          <w:szCs w:val="16"/>
        </w:rPr>
        <w:softHyphen/>
        <w:t>ного строительства в гор. Киеве, Харькове и Днепропетровске возложить строительство и оборудование авиационных заводов.</w:t>
      </w:r>
    </w:p>
    <w:p w14:paraId="4B8C562F"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12. Обязать нижеследующие Наркоматы в течение октября 1940 г. перевести из Харьковских проектных организаций в Харь</w:t>
      </w:r>
      <w:r w:rsidRPr="00A3026E">
        <w:rPr>
          <w:rFonts w:ascii="Times New Roman" w:hAnsi="Times New Roman"/>
          <w:color w:val="0070C0"/>
          <w:sz w:val="16"/>
          <w:szCs w:val="16"/>
        </w:rPr>
        <w:softHyphen/>
        <w:t>ковский филиал 1-го Госпроектного Института НКАП квалифицированных инженеров и техников-проектировщиков:</w:t>
      </w:r>
    </w:p>
    <w:p w14:paraId="61D320D0"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Наркомсредмаш (из Гипросредмаша) - 25 человек техно</w:t>
      </w:r>
      <w:r w:rsidRPr="00A3026E">
        <w:rPr>
          <w:rFonts w:ascii="Times New Roman" w:hAnsi="Times New Roman"/>
          <w:color w:val="0070C0"/>
          <w:sz w:val="16"/>
          <w:szCs w:val="16"/>
        </w:rPr>
        <w:softHyphen/>
        <w:t>логов по холодней обработке металлов, термической обработке и обработке дерева; 10 человек тепломехаников; 5 человек сантех</w:t>
      </w:r>
      <w:r w:rsidRPr="00A3026E">
        <w:rPr>
          <w:rFonts w:ascii="Times New Roman" w:hAnsi="Times New Roman"/>
          <w:color w:val="0070C0"/>
          <w:sz w:val="16"/>
          <w:szCs w:val="16"/>
        </w:rPr>
        <w:softHyphen/>
        <w:t>ников; 5 человек электриков;</w:t>
      </w:r>
    </w:p>
    <w:p w14:paraId="7B9EC04C"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Наркомстрой (из Промстройпроекта) 55 человек строите</w:t>
      </w:r>
      <w:r w:rsidRPr="00A3026E">
        <w:rPr>
          <w:rFonts w:ascii="Times New Roman" w:hAnsi="Times New Roman"/>
          <w:color w:val="0070C0"/>
          <w:sz w:val="16"/>
          <w:szCs w:val="16"/>
        </w:rPr>
        <w:softHyphen/>
        <w:t>лей, сантехников и теплофикаторов;</w:t>
      </w:r>
    </w:p>
    <w:p w14:paraId="144423AA"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Наркомтяжмаш (из Гипротяжмаша) 10 человек технологов, сборщиков, термистов, кузнецов и литейщикоз; 3 человека по ген</w:t>
      </w:r>
      <w:r w:rsidRPr="00A3026E">
        <w:rPr>
          <w:rFonts w:ascii="Times New Roman" w:hAnsi="Times New Roman"/>
          <w:color w:val="0070C0"/>
          <w:sz w:val="16"/>
          <w:szCs w:val="16"/>
        </w:rPr>
        <w:softHyphen/>
        <w:t>планам заводов; 10 человек тепломехаников; 5 человек сантех</w:t>
      </w:r>
      <w:r w:rsidRPr="00A3026E">
        <w:rPr>
          <w:rFonts w:ascii="Times New Roman" w:hAnsi="Times New Roman"/>
          <w:color w:val="0070C0"/>
          <w:sz w:val="16"/>
          <w:szCs w:val="16"/>
        </w:rPr>
        <w:softHyphen/>
        <w:t>ников и 5 человек электротехников;</w:t>
      </w:r>
    </w:p>
    <w:p w14:paraId="1518F492"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Нарксмстрой (из Центроэнергомонтажа) 20 человек электро</w:t>
      </w:r>
      <w:r w:rsidRPr="00A3026E">
        <w:rPr>
          <w:rFonts w:ascii="Times New Roman" w:hAnsi="Times New Roman"/>
          <w:color w:val="0070C0"/>
          <w:sz w:val="16"/>
          <w:szCs w:val="16"/>
        </w:rPr>
        <w:softHyphen/>
        <w:t>техников по эл. снабжению, силовому оборудованию и электроосве</w:t>
      </w:r>
      <w:r w:rsidRPr="00A3026E">
        <w:rPr>
          <w:rFonts w:ascii="Times New Roman" w:hAnsi="Times New Roman"/>
          <w:color w:val="0070C0"/>
          <w:sz w:val="16"/>
          <w:szCs w:val="16"/>
        </w:rPr>
        <w:softHyphen/>
        <w:t>щению;</w:t>
      </w:r>
    </w:p>
    <w:p w14:paraId="796B4746"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Наркомсредмаша (из Союзпроммеханизации) 10 человек проектантов и конструкторов по внутрицеховому транспорту (22051).</w:t>
      </w:r>
    </w:p>
    <w:bookmarkEnd w:id="13"/>
    <w:p w14:paraId="239A3826" w14:textId="77777777" w:rsidR="008F2143" w:rsidRPr="00A3026E" w:rsidRDefault="008F2143" w:rsidP="00A3026E">
      <w:pPr>
        <w:spacing w:after="0" w:line="240" w:lineRule="auto"/>
        <w:jc w:val="both"/>
        <w:rPr>
          <w:rFonts w:ascii="Times New Roman" w:hAnsi="Times New Roman"/>
          <w:color w:val="0070C0"/>
          <w:sz w:val="16"/>
          <w:szCs w:val="16"/>
        </w:rPr>
      </w:pPr>
    </w:p>
    <w:p w14:paraId="6E68DD0C"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октября 1940</w:t>
      </w:r>
    </w:p>
    <w:p w14:paraId="47F50DFE"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1028. Решения ПБ за 27 сентября — 28 октября 1940 г. (протокол № 21)</w:t>
      </w:r>
    </w:p>
    <w:p w14:paraId="1F26B433"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08.Х.40 г.</w:t>
      </w:r>
    </w:p>
    <w:p w14:paraId="2ADBC3B9"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99. Об организации производства боевых самолетов и авиационных моторов на Украине (постановление СНК СССР и ЦК ВКП(б)). — 077.</w:t>
      </w:r>
    </w:p>
    <w:p w14:paraId="4BF056B7"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100. О строительстве в Ленинграде второго авиамоторного завода (постановление СНК СССР и ЦК ВКП(б)). — 077 (20920).</w:t>
      </w:r>
    </w:p>
    <w:p w14:paraId="5E3B8165" w14:textId="77777777" w:rsidR="008F2143" w:rsidRPr="00A3026E" w:rsidRDefault="008F2143" w:rsidP="00A3026E">
      <w:pPr>
        <w:spacing w:after="0" w:line="240" w:lineRule="auto"/>
        <w:jc w:val="both"/>
        <w:rPr>
          <w:rFonts w:ascii="Times New Roman" w:hAnsi="Times New Roman"/>
          <w:color w:val="0070C0"/>
          <w:sz w:val="16"/>
          <w:szCs w:val="16"/>
        </w:rPr>
      </w:pPr>
    </w:p>
    <w:p w14:paraId="2BDFF482"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октября 1940 вышло Постановление СНК СССР и ЦК ВКП(б) "О строительстве в Ленинграде второго авиамоторного завода"</w:t>
      </w:r>
    </w:p>
    <w:p w14:paraId="49B3D985"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Наркомавиапром тов. Шахурина создать в Ле</w:t>
      </w:r>
      <w:r w:rsidRPr="00A3026E">
        <w:rPr>
          <w:rFonts w:ascii="Times New Roman" w:hAnsi="Times New Roman"/>
          <w:color w:val="0070C0"/>
          <w:sz w:val="16"/>
          <w:szCs w:val="16"/>
        </w:rPr>
        <w:softHyphen/>
        <w:t>нинграде вторую производственную базу (кроме переданного НКАП завода № 234) по выпуску авиационных моторов типа М-105 мощностью в 5000 штук в год при двухсменной работе, 8-ми часовой рабочем дне и семидневной неделе.</w:t>
      </w:r>
    </w:p>
    <w:p w14:paraId="13ACA94C"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Для обеспечения этой задачи передать в систему Наркомавиапрома законсервированное строительство ликероводоч</w:t>
      </w:r>
      <w:r w:rsidRPr="00A3026E">
        <w:rPr>
          <w:rFonts w:ascii="Times New Roman" w:hAnsi="Times New Roman"/>
          <w:color w:val="0070C0"/>
          <w:sz w:val="16"/>
          <w:szCs w:val="16"/>
        </w:rPr>
        <w:softHyphen/>
        <w:t>ного завода Наркомпищепрома на Саперная Ленинградской области и прилегающее к нему законсервированное строитель</w:t>
      </w:r>
      <w:r w:rsidRPr="00A3026E">
        <w:rPr>
          <w:rFonts w:ascii="Times New Roman" w:hAnsi="Times New Roman"/>
          <w:color w:val="0070C0"/>
          <w:sz w:val="16"/>
          <w:szCs w:val="16"/>
        </w:rPr>
        <w:softHyphen/>
        <w:t>ство завода динансового кирпича местной промышленности по балансу на 1 октября 1940 года.</w:t>
      </w:r>
    </w:p>
    <w:p w14:paraId="61E78440"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Кроме того, в целях ускорения выпуска моторов и своевременной подготовки производства, передать Наркомавиапрому-следующие предприятия в г.Ленинграде:</w:t>
      </w:r>
    </w:p>
    <w:p w14:paraId="09C97B92"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завод "Лентекстильмаш" Hapкомобщмаша;</w:t>
      </w:r>
    </w:p>
    <w:p w14:paraId="11964E3C"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завод ”ВСП-1" ЦС Осоавиахима;</w:t>
      </w:r>
    </w:p>
    <w:p w14:paraId="4E43FE21"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примыкающий к нему механический завод Наркомрыбпрома</w:t>
      </w:r>
    </w:p>
    <w:p w14:paraId="217929E2"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Установить следующие сроки окончания строительст</w:t>
      </w:r>
      <w:r w:rsidRPr="00A3026E">
        <w:rPr>
          <w:rFonts w:ascii="Times New Roman" w:hAnsi="Times New Roman"/>
          <w:color w:val="0070C0"/>
          <w:sz w:val="16"/>
          <w:szCs w:val="16"/>
        </w:rPr>
        <w:softHyphen/>
        <w:t>ва и пуска в действие второго завода авиамоторов в Ленин</w:t>
      </w:r>
      <w:r w:rsidRPr="00A3026E">
        <w:rPr>
          <w:rFonts w:ascii="Times New Roman" w:hAnsi="Times New Roman"/>
          <w:color w:val="0070C0"/>
          <w:sz w:val="16"/>
          <w:szCs w:val="16"/>
        </w:rPr>
        <w:softHyphen/>
        <w:t>граде на базе предприятий, передаваемых НКАП, согласно пп. 2 и 3 настоящего постановления.</w:t>
      </w:r>
    </w:p>
    <w:p w14:paraId="40487A2D"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очередь завода, мощностью 2300 моторов в год 1 кв.1942 года, с выпусков в 1942 году 2000 моторов и на полную мощность 5000 моторов в гол - 1У квартал 1942 г.</w:t>
      </w:r>
    </w:p>
    <w:p w14:paraId="3783D73B"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Обязать Наркомобщмаш т. Паршина, Наркомрыбпром т. Ишкова и ЦС Осоавиахима т. Кобелева разместить снимае</w:t>
      </w:r>
      <w:r w:rsidRPr="00A3026E">
        <w:rPr>
          <w:rFonts w:ascii="Times New Roman" w:hAnsi="Times New Roman"/>
          <w:color w:val="0070C0"/>
          <w:sz w:val="16"/>
          <w:szCs w:val="16"/>
        </w:rPr>
        <w:softHyphen/>
        <w:t>мую продукцию заводов, переданных НКАП, на своих предприя</w:t>
      </w:r>
      <w:r w:rsidRPr="00A3026E">
        <w:rPr>
          <w:rFonts w:ascii="Times New Roman" w:hAnsi="Times New Roman"/>
          <w:color w:val="0070C0"/>
          <w:sz w:val="16"/>
          <w:szCs w:val="16"/>
        </w:rPr>
        <w:softHyphen/>
        <w:t>тиях.</w:t>
      </w:r>
    </w:p>
    <w:p w14:paraId="57E4C5D4"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Наркомавиапром т. Шахурину передать:</w:t>
      </w:r>
    </w:p>
    <w:p w14:paraId="7E863638"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наркоматам оборудование, приспособления, оснастку и инвентарь, которые не могут быть использованы в авиа</w:t>
      </w:r>
      <w:r w:rsidRPr="00A3026E">
        <w:rPr>
          <w:rFonts w:ascii="Times New Roman" w:hAnsi="Times New Roman"/>
          <w:color w:val="0070C0"/>
          <w:sz w:val="16"/>
          <w:szCs w:val="16"/>
        </w:rPr>
        <w:softHyphen/>
        <w:t>моторном производстве, на заводах, перечисленных в п.п.2 и 3.</w:t>
      </w:r>
    </w:p>
    <w:p w14:paraId="7DDB0B3C"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конструкторское бюро Текстильного Машиностроения завода ’’Лентекстильмаш" - на завод им. Энгельса в составе 10 человек.</w:t>
      </w:r>
    </w:p>
    <w:p w14:paraId="574AF79A"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6. Возложить строительство завода на станции Сапер</w:t>
      </w:r>
      <w:r w:rsidRPr="00A3026E">
        <w:rPr>
          <w:rFonts w:ascii="Times New Roman" w:hAnsi="Times New Roman"/>
          <w:color w:val="0070C0"/>
          <w:sz w:val="16"/>
          <w:szCs w:val="16"/>
        </w:rPr>
        <w:softHyphen/>
        <w:t>ная на НКАП.</w:t>
      </w:r>
    </w:p>
    <w:p w14:paraId="7209C40E"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Выделить для строительства авиамоторного заводя на ст. Саперная из резервного фонда Совнаркома СССР 40 млн. рублей, в том числе:</w:t>
      </w:r>
    </w:p>
    <w:p w14:paraId="7BB3499D"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на финансирование строительства в 1У квартале 1940 года и на подготовительные работы 10 млн.рублей;</w:t>
      </w:r>
    </w:p>
    <w:p w14:paraId="281C080B"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в оборотные средства 15 млн.рублей с отпуском их в 1У квартале 1940 года;</w:t>
      </w:r>
    </w:p>
    <w:p w14:paraId="566D5926"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аванс на заготовку материалов и оборудования для обеспечения программы работ на 1940 год и 1941 год в сум</w:t>
      </w:r>
      <w:r w:rsidRPr="00A3026E">
        <w:rPr>
          <w:rFonts w:ascii="Times New Roman" w:hAnsi="Times New Roman"/>
          <w:color w:val="0070C0"/>
          <w:sz w:val="16"/>
          <w:szCs w:val="16"/>
        </w:rPr>
        <w:softHyphen/>
        <w:t>ме 15 млн.руб.</w:t>
      </w:r>
    </w:p>
    <w:p w14:paraId="3C01E7C3"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Проектирование завода возложить на НКАП (1 гос- проектный институт). НКАП при проектировании использовать типовые проекты строящихся моторных заводов и преду</w:t>
      </w:r>
      <w:r w:rsidRPr="00A3026E">
        <w:rPr>
          <w:rFonts w:ascii="Times New Roman" w:hAnsi="Times New Roman"/>
          <w:color w:val="0070C0"/>
          <w:sz w:val="16"/>
          <w:szCs w:val="16"/>
        </w:rPr>
        <w:softHyphen/>
        <w:t>смотреть возможность кооперирования по нормалям и отдель</w:t>
      </w:r>
      <w:r w:rsidRPr="00A3026E">
        <w:rPr>
          <w:rFonts w:ascii="Times New Roman" w:hAnsi="Times New Roman"/>
          <w:color w:val="0070C0"/>
          <w:sz w:val="16"/>
          <w:szCs w:val="16"/>
        </w:rPr>
        <w:softHyphen/>
        <w:t>ным агрегатам завода на ст. Саперная с цехами завода № 234.</w:t>
      </w:r>
    </w:p>
    <w:p w14:paraId="3024FF54"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Разрешить проектирование и строительство основных цехов в металлоконструкциях.</w:t>
      </w:r>
    </w:p>
    <w:p w14:paraId="16640B0A"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Обязать Наркомавиапром т. Шахурина закончить тех</w:t>
      </w:r>
      <w:r w:rsidRPr="00A3026E">
        <w:rPr>
          <w:rFonts w:ascii="Times New Roman" w:hAnsi="Times New Roman"/>
          <w:color w:val="0070C0"/>
          <w:sz w:val="16"/>
          <w:szCs w:val="16"/>
        </w:rPr>
        <w:softHyphen/>
        <w:t>нический проект завода и обеспечить выдачу рабочих чертежей к 15 февраля 1941 года. Чертежи 1 очереди (на окон</w:t>
      </w:r>
      <w:r w:rsidRPr="00A3026E">
        <w:rPr>
          <w:rFonts w:ascii="Times New Roman" w:hAnsi="Times New Roman"/>
          <w:color w:val="0070C0"/>
          <w:sz w:val="16"/>
          <w:szCs w:val="16"/>
        </w:rPr>
        <w:softHyphen/>
        <w:t>чание строящегося корпуса и типовые проекты испытательной станции и переборочного цеха) выдать к 1 ноября 1940 года.</w:t>
      </w:r>
    </w:p>
    <w:p w14:paraId="17084A17"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Промбанку СССР финансировать строительство взвода до 1 мая 1941 года без проектов и смет, а после 1 мая 1941 года по проектам и сметам на отдельные об"екты и ви</w:t>
      </w:r>
      <w:r w:rsidRPr="00A3026E">
        <w:rPr>
          <w:rFonts w:ascii="Times New Roman" w:hAnsi="Times New Roman"/>
          <w:color w:val="0070C0"/>
          <w:sz w:val="16"/>
          <w:szCs w:val="16"/>
        </w:rPr>
        <w:softHyphen/>
        <w:t>ды работ, утвержденным НКАП.</w:t>
      </w:r>
    </w:p>
    <w:p w14:paraId="340F0476"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Обязать Наркомэлектростанций обеспечить авиамо</w:t>
      </w:r>
      <w:r w:rsidRPr="00A3026E">
        <w:rPr>
          <w:rFonts w:ascii="Times New Roman" w:hAnsi="Times New Roman"/>
          <w:color w:val="0070C0"/>
          <w:sz w:val="16"/>
          <w:szCs w:val="16"/>
        </w:rPr>
        <w:softHyphen/>
        <w:t>торный завод на ст. Саперная в период строительства необ</w:t>
      </w:r>
      <w:r w:rsidRPr="00A3026E">
        <w:rPr>
          <w:rFonts w:ascii="Times New Roman" w:hAnsi="Times New Roman"/>
          <w:color w:val="0070C0"/>
          <w:sz w:val="16"/>
          <w:szCs w:val="16"/>
        </w:rPr>
        <w:softHyphen/>
        <w:t>ходимым количеством электроэнергии.</w:t>
      </w:r>
    </w:p>
    <w:p w14:paraId="3F2AEDDF"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12. Выделить целевым назначением на 1У квартал авиа</w:t>
      </w:r>
      <w:r w:rsidRPr="00A3026E">
        <w:rPr>
          <w:rFonts w:ascii="Times New Roman" w:hAnsi="Times New Roman"/>
          <w:color w:val="0070C0"/>
          <w:sz w:val="16"/>
          <w:szCs w:val="16"/>
        </w:rPr>
        <w:softHyphen/>
        <w:t>моторному заводу на ст. Саперная материалы и оборудование.</w:t>
      </w:r>
    </w:p>
    <w:p w14:paraId="6CF45708"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 Обязать НКАП предусмотреть в годовом и кварталь</w:t>
      </w:r>
      <w:r w:rsidRPr="00A3026E">
        <w:rPr>
          <w:rFonts w:ascii="Times New Roman" w:hAnsi="Times New Roman"/>
          <w:color w:val="0070C0"/>
          <w:sz w:val="16"/>
          <w:szCs w:val="16"/>
        </w:rPr>
        <w:softHyphen/>
        <w:t>ных планах 1941 года выделение фондов на материалы и обо</w:t>
      </w:r>
      <w:r w:rsidRPr="00A3026E">
        <w:rPr>
          <w:rFonts w:ascii="Times New Roman" w:hAnsi="Times New Roman"/>
          <w:color w:val="0070C0"/>
          <w:sz w:val="16"/>
          <w:szCs w:val="16"/>
        </w:rPr>
        <w:softHyphen/>
        <w:t>рудование целевым назначением для строительства завода в соответствии с утвержденными сроками строительства.</w:t>
      </w:r>
    </w:p>
    <w:p w14:paraId="74BBB1A2"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 Обязать Наркомавиапром т. Шахурина к 20 октября 1940 г. представить в Экономсовет при Совнаркоме Союза ССР заявку на отечественное и импортное оборудование, не</w:t>
      </w:r>
      <w:r w:rsidRPr="00A3026E">
        <w:rPr>
          <w:rFonts w:ascii="Times New Roman" w:hAnsi="Times New Roman"/>
          <w:color w:val="0070C0"/>
          <w:sz w:val="16"/>
          <w:szCs w:val="16"/>
        </w:rPr>
        <w:softHyphen/>
        <w:t>обходимое для авиамоторного завода. Экономсовету рассмот</w:t>
      </w:r>
      <w:r w:rsidRPr="00A3026E">
        <w:rPr>
          <w:rFonts w:ascii="Times New Roman" w:hAnsi="Times New Roman"/>
          <w:color w:val="0070C0"/>
          <w:sz w:val="16"/>
          <w:szCs w:val="16"/>
        </w:rPr>
        <w:softHyphen/>
        <w:t>реть эту заявку и принять меры к ее размещению.</w:t>
      </w:r>
    </w:p>
    <w:p w14:paraId="5F9A8B10"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 Разрешить Наркомвнешторгу произвести импорт обо</w:t>
      </w:r>
      <w:r w:rsidRPr="00A3026E">
        <w:rPr>
          <w:rFonts w:ascii="Times New Roman" w:hAnsi="Times New Roman"/>
          <w:color w:val="0070C0"/>
          <w:sz w:val="16"/>
          <w:szCs w:val="16"/>
        </w:rPr>
        <w:softHyphen/>
        <w:t>рудования в об”еме утвержденном Экономсоветом и по спе</w:t>
      </w:r>
      <w:r w:rsidRPr="00A3026E">
        <w:rPr>
          <w:rFonts w:ascii="Times New Roman" w:hAnsi="Times New Roman"/>
          <w:color w:val="0070C0"/>
          <w:sz w:val="16"/>
          <w:szCs w:val="16"/>
        </w:rPr>
        <w:softHyphen/>
        <w:t>цификации НКАП в сроки, обеспечивающие пуск завода в соответствии с п.4 настоящего постановлении.</w:t>
      </w:r>
    </w:p>
    <w:p w14:paraId="46D5BE5A"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 Наркомфину СССР выделить в 1У квартале 1940 г. НКАП 10 млн.рублей для увеличения оборотных средств пере</w:t>
      </w:r>
      <w:r w:rsidRPr="00A3026E">
        <w:rPr>
          <w:rFonts w:ascii="Times New Roman" w:hAnsi="Times New Roman"/>
          <w:color w:val="0070C0"/>
          <w:sz w:val="16"/>
          <w:szCs w:val="16"/>
        </w:rPr>
        <w:softHyphen/>
        <w:t>данных в НКАП заводов.</w:t>
      </w:r>
    </w:p>
    <w:p w14:paraId="10F45EDC" w14:textId="77777777" w:rsidR="008F2143" w:rsidRPr="00A3026E" w:rsidRDefault="008F214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 Установить для строительства авиамоторного заво</w:t>
      </w:r>
      <w:r w:rsidRPr="00A3026E">
        <w:rPr>
          <w:rFonts w:ascii="Times New Roman" w:hAnsi="Times New Roman"/>
          <w:color w:val="0070C0"/>
          <w:sz w:val="16"/>
          <w:szCs w:val="16"/>
        </w:rPr>
        <w:softHyphen/>
        <w:t>да накладные расходы в размере 25% с плановым накоплением, в т.ч. административно-хозяйственные расходы 10,5% (22052).</w:t>
      </w:r>
    </w:p>
    <w:p w14:paraId="09E7E170" w14:textId="77777777" w:rsidR="008F2143" w:rsidRPr="00A3026E" w:rsidRDefault="008F2143" w:rsidP="00A3026E">
      <w:pPr>
        <w:spacing w:after="0" w:line="240" w:lineRule="auto"/>
        <w:jc w:val="both"/>
        <w:rPr>
          <w:rFonts w:ascii="Times New Roman" w:hAnsi="Times New Roman"/>
          <w:color w:val="0070C0"/>
          <w:sz w:val="16"/>
          <w:szCs w:val="16"/>
        </w:rPr>
      </w:pPr>
    </w:p>
    <w:p w14:paraId="2CAB97DC" w14:textId="05F71343"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г. совместным приказом двух наркомов (авиационной промышленности и внутренних дел) авиационную часть ОТБ переименовали в ЦКБ-29 НКВД, руководимое Г.Я. Кутеповым. Прежние отделы превратили в конструкторские бюро. Туполевский отдел стал называться КБ-1(при сохранении формальным начальником Балашова). В состав ЦКБ-29 входили и два конструкторских бюро, где заключенных не было. Ими руководили В.Н. Беляев и Н.Н. Кочеригин. Поз же их убрали с завода № 156, поскольку такое соседство чекисты посчитали неудобным.</w:t>
      </w:r>
    </w:p>
    <w:p w14:paraId="4DED8F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Начались испытания отдельных узлов и агрегатов. Мотоустановка в сборе запускалась на стенде, располагавшемся на московском Центральном аэродроме, довольно далеко от ЦКБ-29. Там возникли неприятности с перегревом масла. Туполеву разрешили прибыть туда и осмотреть установку. После запуска двигателя он попросил дать длинную палку. Нашлась ручка от метлы. Туполев привязал к ней свой носовой платок и стал водить в струе за винтом. Вот так он быстро доказал испытателям, что перегрев радиатора связан с плохим обдувом. Радиатор переставили, и температура масла пришла в норму (11988).</w:t>
      </w:r>
    </w:p>
    <w:p w14:paraId="2D9739B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504C7B6" w14:textId="77777777" w:rsidR="00F22532" w:rsidRPr="00A3026E" w:rsidRDefault="00F22532" w:rsidP="00A3026E">
      <w:pPr>
        <w:spacing w:after="0" w:line="240" w:lineRule="auto"/>
        <w:jc w:val="both"/>
        <w:rPr>
          <w:rFonts w:ascii="Times New Roman" w:hAnsi="Times New Roman"/>
          <w:color w:val="0070C0"/>
          <w:sz w:val="16"/>
          <w:szCs w:val="16"/>
          <w:lang w:eastAsia="ru-RU" w:bidi="ru-RU"/>
        </w:rPr>
      </w:pPr>
      <w:r w:rsidRPr="00A3026E">
        <w:rPr>
          <w:rFonts w:ascii="Times New Roman" w:hAnsi="Times New Roman"/>
          <w:color w:val="0070C0"/>
          <w:sz w:val="16"/>
          <w:szCs w:val="16"/>
          <w:lang w:eastAsia="ru-RU" w:bidi="ru-RU"/>
        </w:rPr>
        <w:t>8 октября 1940 г. совместным прика</w:t>
      </w:r>
      <w:r w:rsidRPr="00A3026E">
        <w:rPr>
          <w:rFonts w:ascii="Times New Roman" w:hAnsi="Times New Roman"/>
          <w:color w:val="0070C0"/>
          <w:sz w:val="16"/>
          <w:szCs w:val="16"/>
          <w:lang w:eastAsia="ru-RU" w:bidi="ru-RU"/>
        </w:rPr>
        <w:softHyphen/>
        <w:t>зом двух наркомов (авиационной про</w:t>
      </w:r>
      <w:r w:rsidRPr="00A3026E">
        <w:rPr>
          <w:rFonts w:ascii="Times New Roman" w:hAnsi="Times New Roman"/>
          <w:color w:val="0070C0"/>
          <w:sz w:val="16"/>
          <w:szCs w:val="16"/>
          <w:lang w:eastAsia="ru-RU" w:bidi="ru-RU"/>
        </w:rPr>
        <w:softHyphen/>
        <w:t>мышленности и внутренних дел) ави</w:t>
      </w:r>
      <w:r w:rsidRPr="00A3026E">
        <w:rPr>
          <w:rFonts w:ascii="Times New Roman" w:hAnsi="Times New Roman"/>
          <w:color w:val="0070C0"/>
          <w:sz w:val="16"/>
          <w:szCs w:val="16"/>
          <w:lang w:eastAsia="ru-RU" w:bidi="ru-RU"/>
        </w:rPr>
        <w:softHyphen/>
        <w:t>ационную часть ОТБ переименовали в ЦКБ-29 НКВД, руководимое Г.Я. Кутепо</w:t>
      </w:r>
      <w:r w:rsidRPr="00A3026E">
        <w:rPr>
          <w:rFonts w:ascii="Times New Roman" w:hAnsi="Times New Roman"/>
          <w:color w:val="0070C0"/>
          <w:sz w:val="16"/>
          <w:szCs w:val="16"/>
          <w:lang w:eastAsia="ru-RU" w:bidi="ru-RU"/>
        </w:rPr>
        <w:softHyphen/>
        <w:t>вым. Прежние отделы превратили в кон</w:t>
      </w:r>
      <w:r w:rsidRPr="00A3026E">
        <w:rPr>
          <w:rFonts w:ascii="Times New Roman" w:hAnsi="Times New Roman"/>
          <w:color w:val="0070C0"/>
          <w:sz w:val="16"/>
          <w:szCs w:val="16"/>
          <w:lang w:eastAsia="ru-RU" w:bidi="ru-RU"/>
        </w:rPr>
        <w:softHyphen/>
        <w:t>структорские бюро. Туполевский отдел стал называться КБ-1 (при сохранении формальным начальником Балашова) (21061).</w:t>
      </w:r>
    </w:p>
    <w:p w14:paraId="636E7538" w14:textId="77777777" w:rsidR="00F22532" w:rsidRPr="00A3026E" w:rsidRDefault="00F22532" w:rsidP="00A3026E">
      <w:pPr>
        <w:spacing w:after="0" w:line="240" w:lineRule="auto"/>
        <w:jc w:val="both"/>
        <w:rPr>
          <w:rFonts w:ascii="Times New Roman" w:hAnsi="Times New Roman"/>
          <w:color w:val="0070C0"/>
          <w:sz w:val="16"/>
          <w:szCs w:val="16"/>
          <w:lang w:eastAsia="ru-RU" w:bidi="ru-RU"/>
        </w:rPr>
      </w:pPr>
    </w:p>
    <w:p w14:paraId="1D8E5C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вышло постановление СНК и ЦК о расширении завода 43 в Киеве и его перепрофилировании на серийное производство. Возобновили работы по ОКО-1 1938 г. (1363,36).</w:t>
      </w:r>
    </w:p>
    <w:p w14:paraId="7976E31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0F3A8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года согласно Постановления Правительства за № 1929-807сс и приказа НКАП от 14 октября 1940 года за № 541сс реконструируется в серийный (9240).</w:t>
      </w:r>
    </w:p>
    <w:p w14:paraId="7E9E9AA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59FF9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года Решением Политбюро ЦК ВКП(б) № П 21 / 100 – ОП утверждалось Постановление ЦК ВКП(б) и СНК СССР «О строительстве в Ленинграде второго авиамоторного завода» (РГАСПИ. Ф. 17. Оп. 162. Д. 29. Л. 129.). В соответствующем Приложении к Постановлению Нарком авиапромышленности А.И. Шахурин обязывался создать в Ленинграде вторую производственную базу (кроме переданного НКАП завода № 234) по выпуску авиационных моторов типа М-105 мощностью в 5000 штук в год при двухсменной работе, восьмичасовом рабочем дне и семидневной неделе. Срок окончания работ и пуска первой очереди 2500 моторов в год определялся первым кварталом 1942 года с выпуском в 1942 году 2000 моторов, а выход на полную мощность – к четвертому кварталу 1942 года. Для строительства авиамоторного завода на ст. Саперная из резервного фонда СНК предписывалось выделить 40 млн рублей (РГАСПИ. Ф. 17. Оп. 162. Д. 29. Л. 161-162.).</w:t>
      </w:r>
    </w:p>
    <w:p w14:paraId="054672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Решением Политбюро ЦК ВКП(б) № П 21 / 46 – ОП от 2 октября 1940 года было утверждено Постановление СНК СССР и ЦК ВКП(б) «Об увеличении дальностей истребителей и постановке их производства на заводах». Пятый пункт данного Постановления касался завода № 23 и обязывал наркома авиапромышленности А.И. Шахурина, а также директора завода Фролова П.В.: «а) в изменение постановления № 1369-534сс от 26.VII.</w:t>
      </w:r>
    </w:p>
    <w:p w14:paraId="7AB28B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года заводу № 23 ограничить выпуск самолетов И-301 5 машинами к 1 января 1941 года для проверки этого самолета на войсковых испытаниях; б) перейти с января 1941 года на производство самолетов И-26 улучшенных».</w:t>
      </w:r>
    </w:p>
    <w:p w14:paraId="2E8DD6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Восьмой пункт данного Постановления обязывал Шахурина и директора завода № 380 Баринова С.С. «с января 1941 года перейти на производство двухмоторного истребителя конструкции тов. Яковлева А.С.» (Там же. Л. 125-126.).</w:t>
      </w:r>
    </w:p>
    <w:p w14:paraId="127574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всего лишь неделю спустя, решением Политбюро ЦК ВКП(б) № П 21 / 117 – ОП от 9 октября 1940 года «О самолете И-301», в частности, предписывалось во изменение постановления ЦК ВКП(б) и СНК СССР от 2 октября 1940 года о постановке на серийное производство на заводе № 23 самолета И-26 поставить серийное производство самолетов И-301 на заводе № 23 с дальностью полета в 1000 км на 0,9 максимальной скорости (Там же. Л. 129-130.).</w:t>
      </w:r>
    </w:p>
    <w:p w14:paraId="3F0D99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для ленинградских авиапредприятий №№ 23, 47, 380, 381, 387 была составлена программа выпуска продукции на следующий, 1941 год, согласно которой предполагалось изготовить 4260 самолетов шести типов (см. Таблицу 8 раздела «Приложения»), однако и она не была окончательной. Так, решением Политбюро ЦК ВКП(б) от 12 февраля 1941 года утверждалось Постановление ЦК ВКП(б) и СНК СССР «О снятии с производства самолета Як-4 и постановлении на производство Ил-2 на заводе № 380» (Степанов А.С. Указ. соч. С.69.).</w:t>
      </w:r>
    </w:p>
    <w:p w14:paraId="07CCB8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же касается итогов производства 1940 года, то они отражены в Таблице 6 раздела «Приложения». Из нее следует, что в Ленинграде по-прежнему производилась основная часть небоевых самолетов СССР, но доля учебных машин «ленинградской генерации» составила чуть более 10% от общего числа произведенных в стране самолетов всех типов, что означало двукратное относительное снижение по сравнению с аналогичным соотношением 1939 года. В абсолютных цифрах тогда в Ленинграде было изготовлено больше учебных машин, чем в 1940 году предприятия всей страны выпустили небоевых самолетов всех типов. Это отражало общие тенденции перестройки авиапрома и означало, что резкий рост военной авиации происходит за счет снижения выпуска всех прочих категорий самолетов, в том числе и за счет недополучения учебных машин. Так, в Материалах по годовому отчету 6-го Управления ГУ ВВС КА за 1940 год сообщалось, что завод № 23 выполнил за первое полугодие программу по С-2, У-2, УТ2, но позже ситуация изменилась: «Во втором полугодии заказа на поставку 800 самолетов У-2 завод не принял, мотивируя тем, что НКАП дал указание заводу переключиться на изготовление самолета И-301. По этой же причине завод недовыполнил годовую программу по С-2 и УТ-2»( РГВА. Ф. 29. Оп. 56. Д. 182. Л. 1, 8-9.).</w:t>
      </w:r>
    </w:p>
    <w:p w14:paraId="53BD5B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подсчетам А.Н. Щербы, в начале 1939 года в Ленинграде работало два авиазавода, подведомственных НКАП, а к началу Великой Отечественной войны в городе было развернуто уже 14 заводов НКАП, включая собственно самолетостроительные и авиаремонтные (без учета кооперировавших с ними предприятий и спеццехов других наркоматов, занимавшихся выпуском отдельных деталей, приборов и механизмов для авиапрома) (Щерба А.Н. Военная промышленность Ленинграда в 20-е – 30-е годы. СПб., 1999. С. 130.).</w:t>
      </w:r>
    </w:p>
    <w:p w14:paraId="225B18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Подводя итоги предвоенной перестройки и расширения ленинградского авиапрома, можно отметить, что даже в существовавших планах не предусматривался крупномасштабный выпуск самолетов нового поколения в первом полугодии 1941 года, то есть к реально начавшимся боевым действиям, а практические результаты оказались еще более скромными (см. Таблицу 9 раздела «Приложения»). До начала войны заводами №№ 380 и 381 не было сдано ни одного штурмовика Ил-2, а выпуск самолета ЛаГГ-3 составил неполных три десятка. За первое полугодие 1941 года на авиамоторном заводе № 234 удалось собрать 71 двигатель М-105 и его модификаций (Подсчитано по: РГАЭ. Ф. 8044. Оп.1. Д. 3228. Л. 30 об.).</w:t>
      </w:r>
    </w:p>
    <w:p w14:paraId="1BD54B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Примечательно, что, согласно пункту 17 протокола последнего предвоенного совещания заместителей наркома авиационной промышленности от 16 июня 1941 года, первым в повестке дня очередного заседания Коллегии, намеченного на 23 июня 1941 года, был вопрос «Работа заводов № 380 и № 381 по подготовке производства к выпуску самолетов Ил-2». В числе докладчиков значились Ленкин, Филимончук, Жуков (1941 год. Документы. Кн. 2. С. 378, 380.).</w:t>
      </w:r>
    </w:p>
    <w:p w14:paraId="60B29B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После нападения Германии практически сразу же началась подготовка к эвакуации самолетостроительных ленинградских предприятий и главный их вклад в оборону страны заключался в выпуске в первом полугодии около 1000 учебных машин «старых» конструкций (11672).</w:t>
      </w:r>
    </w:p>
    <w:p w14:paraId="3F044B4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2C8AB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октября 1940 был составлен акт о смене руководства 8-й лабораторией ЦАГИ, который подписали председатель комиссии А. Чесалов и ее члены – Антонов, Зосим, Рахманин, Гиллер, Уткин, Морозов: </w:t>
      </w:r>
    </w:p>
    <w:p w14:paraId="0758C2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«АКТ Поселок Стаханово 1940 г. Октября 8 дня.</w:t>
      </w:r>
    </w:p>
    <w:p w14:paraId="733577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приказа Наркома Авиационной Промышленности тов. ШАХУРИНА А.И. от 24/IX – с.г. за № 504/ сс и приказа по Центральному Аэродинамическому Институту имени проф. Жуковского от 1/X-40 г. за № 161 об освобождении Героя Советского Союза Полковника ЛЯПИДЕВСКОГО А.В. от должности Нач-ка лаборатории № 8, в связи с переходом на другую работу и передаче дел Заместителю Начальника ЦАГИ профессору т. ЧЕСАЛОВУ А.В. составлен настоящий акт о состоянии 8-й лаборатории в части основных средств, материальных ценностей, имущества, оборудования, финансов, штата» (Самарский филиал РГАНТД. Ф. Р-220. Оп. 2-6. Д. 3. Л. 1.).</w:t>
      </w:r>
    </w:p>
    <w:p w14:paraId="653C2B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7 октября 1940 года, согласно штатной ведомости, количество работающих в 26 ее подразделениях составляло 440 человек (Там же. Л. 26.). Помимо начальника лаборатории и заместителя начальника лаборатории по научноисследовательской части, насчитывался 41 инженер и 12 и.о. инженера (Там же. Л. 27.). В 8-й лаборатории имелся высококвалифицированный летный состав (Там же. Л. 29.).</w:t>
      </w:r>
    </w:p>
    <w:p w14:paraId="5056A0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8 октября 1940 года самолетный парк лаборатории № 8 ЦАГИ, которая занималась летными испытаниями, насчитывал более сорока летательных аппаратов, включая модификации практически всех образцов состоявших на вооружении отечественных самолетов, а также машины производства Германии, Польши, США (Там же. Л. 3-4.). До 1 октября 1940 года эта лаборатория для промышленности провела испытания самолета ДБ-3Ф с мотором М-88 для завода № 39, самолета ОКО-6 В.К. Таирова для завода № 43, самолета П.О. Сухого ББ-2 с мотором М-88 для завода № 89, самолета С.А. Кочерыгина для завода № 156, а также автожиров (летательных аппаратов тяжелее воздуха, у которых подъемная сила возникает на свободно вращающемся несущем винте, а тяга создается силовой установкой) для завода № 156 (Там же. Л. 18.).</w:t>
      </w:r>
    </w:p>
    <w:p w14:paraId="266226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Были прекращены испытания самолета А.В. Сильванского И-220. В производстве находились работы по испытанию самолета ИС с мотором М-63 В.В. Шевченко для ОКБ-30, самолета ББ-МАИ П.Д. Грушина для конструкторского бюро при Московском авиационном институте (МАИ), самолетов И-15 бис, И-153 и Р-Z с турбокомпрессорами для Центрального института авиамоторостроения (ЦИАМ), самолета И-16 с двигателем М-63 с турбокомпрессором для завода № 21, самолета СБ-Б А.А. Архангельского для завода № 22, самолетов ОКО-6 (переделанного и его дублера) для завода № 43, самолетов ББ-1 с моторами М-63 ТК и М-88 для завода № 289, а также наземные и летные испытания геликоптера для ОКБ им. проф. Юрьева при МАИ (Там же. Л. 19-21.) (11672).</w:t>
      </w:r>
    </w:p>
    <w:p w14:paraId="1E7043B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3E235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8 октября 1940 года в составе самолетного парка 8-ой лаборатории ЦАГИ значился ПЗЛ «Лось», выпущенный в 1938 году, который находился в лаборатории с апреля 1940 года. К этому времени он налетал 127 часов и один раз побывал в ремонте (Самарский филиал РГАНТД. Ф. Р-220. Оп. 2-6. Д. 3. Л. 4 323 Там же.). Эти данные практически полностью совпадают с описывавшимся В.Р. Котельниковым PZL P.37A bis из НИИ ВВС: во-первых, он был также выпущен в первой половине 1938 года, во-вторых, также имел налет более 100 часов, а в-третьих, работы по его обследованию в НИИ ВВС завершились именно в конце весны 1940 года. Так как других самолетов типа «Лось» в авиапарке ЦАГИ не было, с уверенностью можно сказать, что он был передан туда из НИИ ВВС и его изучение, включая летные испытания, всетаки было продолжено.</w:t>
      </w:r>
    </w:p>
    <w:p w14:paraId="281BB8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Польская авиатехника из состава самолетного парка 8-й лаборатории ЦАГИ на 8 октября 1940 года была также представлена еще одним типом.</w:t>
      </w:r>
    </w:p>
    <w:p w14:paraId="4A7C3E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был учебный самолет RWD-8 (РВД-8), попавший в лабораторию в июне 1940 года в двух экземплярах. В документе указано, что они налетали по 34 часа каждый, хотя, вероятно, в данном случае его составители ошиблись – такой одинаковый синхронный налет маловероятен, и, по всей видимости, эта цифра относилась только к одной из двух машин.</w:t>
      </w:r>
    </w:p>
    <w:p w14:paraId="1B7094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1939 года был захвачен принадлежавший Польше американский пассажирский самолет Локхид Электра (Lockheed L-10A «Electra»). Согласно отчету об испытаниях Локхид Электра, проводившихся с 31 марта по 12 апреля 1941 года, начальником НИИ ГВФ Авербахом и начальником летного отдела института Табаровским констатировалась «полная возможность эксплуатации самолета без ограничений» и было решено эту машину «отнести ко второму классу самолетного парка ГВФ» (Там же. Ф. Р-4. Оп. 2-1. Д. 290. Л. 1, 1а.).</w:t>
      </w:r>
    </w:p>
    <w:p w14:paraId="48F082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Секретный отдел Научно-исследовательского Химического института (НИХИ) РККА направил письмо 15 мая 1940 года на имя директора Всесоюзного института авиационных материалов (ВИАМ) за подписями замначальника НИХИ и начальника секретного отдела института военинженера 3-го ранга Кондратьева. В нем сообщалось: «Направляю вам образец польского авиационного клея и его анализ для изучения и возможного использования в Вашей работе». К письму прилагалась банка с клеем и анализ №8 на одном листе «Испытание польского авиационного клея», который был подписан начальником 1-го отдела НИХИ РККА военинженером 2-го ранга Рулиным и научным сотрудником Ю.Н. Дагаевой. Последняя вместе с лаборантом Кузьминовой произвела анализ клея в марте 1940 года. Эти материалы 25 мая 1940 года передавались замначальника 9-й лаборатории ВИАМ Чеботаревскому (Там же. Ф. Р-124. Д. 86. Л. 54.) (11672).</w:t>
      </w:r>
    </w:p>
    <w:p w14:paraId="4DC6470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AA0EE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года, в составе самолетного парка восьмой лаборатории ЦАГИ на</w:t>
      </w:r>
      <w:r w:rsidRPr="00A3026E">
        <w:rPr>
          <w:rFonts w:ascii="Times New Roman" w:hAnsi="Times New Roman"/>
          <w:color w:val="000000" w:themeColor="text1"/>
          <w:sz w:val="16"/>
          <w:szCs w:val="16"/>
        </w:rPr>
        <w:softHyphen/>
        <w:t>ходились два самолета «Северский» выпуска 1937 года в вариантах сухопутного истребителя и амфибии (Самарский филиал РГАНТД. Ф. Р-217. Ф. Р-220. Оп. 2-6. Д. 3. Л. 3. Там же. Ф. Р-217. Оп. 3-1. Д. 65. Л. 36.). По архивным данным, в качестве образцов к внедре</w:t>
      </w:r>
      <w:r w:rsidRPr="00A3026E">
        <w:rPr>
          <w:rFonts w:ascii="Times New Roman" w:hAnsi="Times New Roman"/>
          <w:color w:val="000000" w:themeColor="text1"/>
          <w:sz w:val="16"/>
          <w:szCs w:val="16"/>
        </w:rPr>
        <w:softHyphen/>
        <w:t>нию были взяты некоторые элементы конструкции этого самолета. Например, во второй части «Тактико-технических требований к одноместному истребителю плана опытного строительства 1939 - 1940 годов» говорилось, что «на самолете должна быть закрытая кабина по типу самолетов «Северский»» (Самарский филиал РГАНТД. Ф. Р-217. Ф. Р-220. Оп. 2-6. Д. 3. Л. 3. Там же. Ф. Р-217. Оп. 3-1. Д. 65. Л. 36.) (11710,217).</w:t>
      </w:r>
    </w:p>
    <w:p w14:paraId="1AE6CB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30A4438"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5BE7CC6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69A07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по просьбе начальника СКБ-2 ЛКЗ Ж. Котина в работы по созданию улучшенного Т-126(СП) была включена также группа А. Ермолаева, которая продолжила работы по «объекту 211». Кроме того, в октябре же проект боевой машины по тем же ТТТ на «легкий единый танк РККА» выполняла группа вы</w:t>
      </w:r>
      <w:r w:rsidRPr="00A3026E">
        <w:rPr>
          <w:rFonts w:ascii="Times New Roman" w:hAnsi="Times New Roman"/>
          <w:color w:val="000000" w:themeColor="text1"/>
          <w:sz w:val="16"/>
          <w:szCs w:val="16"/>
        </w:rPr>
        <w:softHyphen/>
        <w:t>пускников — слушателей Академии ВАММ им. Сталина под общим руководством Н. Астрова. Возможно, именно в это время впервые прозвучал индекс нового танка — Т-50 (10782).</w:t>
      </w:r>
    </w:p>
    <w:p w14:paraId="3E2EED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968C853"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33D9EE1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A8FF5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октября 1940 года </w:t>
      </w:r>
      <w:r w:rsidR="00226974"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ременно исполняющий обязанности начальника 1-го отдела штаба авиации ВМФ майор Климашин информировал на</w:t>
      </w:r>
      <w:r w:rsidRPr="00A3026E">
        <w:rPr>
          <w:rFonts w:ascii="Times New Roman" w:hAnsi="Times New Roman"/>
          <w:color w:val="000000" w:themeColor="text1"/>
          <w:sz w:val="16"/>
          <w:szCs w:val="16"/>
        </w:rPr>
        <w:softHyphen/>
        <w:t>чальника разведотдела штаба ВВС КБФ капитана Семишина о своем учас</w:t>
      </w:r>
      <w:r w:rsidRPr="00A3026E">
        <w:rPr>
          <w:rFonts w:ascii="Times New Roman" w:hAnsi="Times New Roman"/>
          <w:color w:val="000000" w:themeColor="text1"/>
          <w:sz w:val="16"/>
          <w:szCs w:val="16"/>
        </w:rPr>
        <w:softHyphen/>
        <w:t>тии в инспекторской поездке на Черное море, которая проходила под ру</w:t>
      </w:r>
      <w:r w:rsidRPr="00A3026E">
        <w:rPr>
          <w:rFonts w:ascii="Times New Roman" w:hAnsi="Times New Roman"/>
          <w:color w:val="000000" w:themeColor="text1"/>
          <w:sz w:val="16"/>
          <w:szCs w:val="16"/>
        </w:rPr>
        <w:softHyphen/>
        <w:t>ководством генерал-лейтенанта авиации Жаворонкова. Один из выводов заключался в максимальном использовании в случае наступления против наземных целей всех видов авиации, в том числе истребительной. Руко</w:t>
      </w:r>
      <w:r w:rsidRPr="00A3026E">
        <w:rPr>
          <w:rFonts w:ascii="Times New Roman" w:hAnsi="Times New Roman"/>
          <w:color w:val="000000" w:themeColor="text1"/>
          <w:sz w:val="16"/>
          <w:szCs w:val="16"/>
        </w:rPr>
        <w:softHyphen/>
        <w:t>водство истребительной авиации ошибалось, полагая, что их не будут использовать против береговых целей, но генерал-лейтенант Жаворон</w:t>
      </w:r>
      <w:r w:rsidRPr="00A3026E">
        <w:rPr>
          <w:rFonts w:ascii="Times New Roman" w:hAnsi="Times New Roman"/>
          <w:color w:val="000000" w:themeColor="text1"/>
          <w:sz w:val="16"/>
          <w:szCs w:val="16"/>
        </w:rPr>
        <w:softHyphen/>
        <w:t>ков лично указал, что необходимо «заводить дела на объекты, лежащие в пределах радиуса действия истребительной авиации», как указывалось в документе. Отмечалось, что «самолеты противника изучаются нецелеус</w:t>
      </w:r>
      <w:r w:rsidRPr="00A3026E">
        <w:rPr>
          <w:rFonts w:ascii="Times New Roman" w:hAnsi="Times New Roman"/>
          <w:color w:val="000000" w:themeColor="text1"/>
          <w:sz w:val="16"/>
          <w:szCs w:val="16"/>
        </w:rPr>
        <w:softHyphen/>
        <w:t>тремленно». «Сообщите использование в Ваших частях тренера по изу</w:t>
      </w:r>
      <w:r w:rsidRPr="00A3026E">
        <w:rPr>
          <w:rFonts w:ascii="Times New Roman" w:hAnsi="Times New Roman"/>
          <w:color w:val="000000" w:themeColor="text1"/>
          <w:sz w:val="16"/>
          <w:szCs w:val="16"/>
        </w:rPr>
        <w:softHyphen/>
        <w:t>чению вероятного противника, чертежи которого были Вам высланы из ВВС ЧФ еще весной. В ВВС ЧФ этот электротренер пользуется большим успехом», - указал в конце Климашин</w:t>
      </w:r>
      <w:r w:rsidRPr="00A3026E">
        <w:rPr>
          <w:rFonts w:ascii="Times New Roman" w:hAnsi="Times New Roman"/>
          <w:color w:val="000000" w:themeColor="text1"/>
          <w:sz w:val="16"/>
          <w:szCs w:val="16"/>
          <w:vertAlign w:val="superscript"/>
        </w:rPr>
        <w:t>472</w:t>
      </w:r>
      <w:r w:rsidRPr="00A3026E">
        <w:rPr>
          <w:rFonts w:ascii="Times New Roman" w:hAnsi="Times New Roman"/>
          <w:color w:val="000000" w:themeColor="text1"/>
          <w:sz w:val="16"/>
          <w:szCs w:val="16"/>
        </w:rPr>
        <w:t>. Из анализа этого документа мож</w:t>
      </w:r>
      <w:r w:rsidRPr="00A3026E">
        <w:rPr>
          <w:rFonts w:ascii="Times New Roman" w:hAnsi="Times New Roman"/>
          <w:color w:val="000000" w:themeColor="text1"/>
          <w:sz w:val="16"/>
          <w:szCs w:val="16"/>
        </w:rPr>
        <w:softHyphen/>
        <w:t>но сделать следующие выводы: Черноморский флот еще с весны был на переднем крае подготовки к боям с предполагаемыми противниками; осенью этот процесс находился в детальном совершенствовании, причем проводилась отработка наступательных действий; происходил активный процесс обмена опыта с другими флотами (11710,321).</w:t>
      </w:r>
    </w:p>
    <w:p w14:paraId="0FD090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F571B04" w14:textId="77777777" w:rsidR="00C66762"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За</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рубежом</w:t>
      </w:r>
      <w:r w:rsidRPr="00A3026E">
        <w:rPr>
          <w:rFonts w:ascii="Times New Roman" w:hAnsi="Times New Roman"/>
          <w:i/>
          <w:iCs/>
          <w:color w:val="000000" w:themeColor="text1"/>
          <w:sz w:val="16"/>
          <w:szCs w:val="16"/>
          <w:lang w:val="en-US"/>
        </w:rPr>
        <w:t>:</w:t>
      </w:r>
    </w:p>
    <w:p w14:paraId="5BB451E0" w14:textId="77777777" w:rsidR="00C66762" w:rsidRPr="00A3026E" w:rsidRDefault="00C66762" w:rsidP="00A3026E">
      <w:pPr>
        <w:spacing w:after="0" w:line="240" w:lineRule="auto"/>
        <w:jc w:val="both"/>
        <w:rPr>
          <w:rFonts w:ascii="Times New Roman" w:hAnsi="Times New Roman"/>
          <w:iCs/>
          <w:color w:val="000000" w:themeColor="text1"/>
          <w:sz w:val="16"/>
          <w:szCs w:val="16"/>
          <w:lang w:val="en-US"/>
        </w:rPr>
      </w:pPr>
    </w:p>
    <w:p w14:paraId="508F803E" w14:textId="77777777" w:rsidR="00EF7BAC" w:rsidRPr="00A3026E" w:rsidRDefault="00EF7BAC"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October 8, 1940. The Royal Air Force announces formation of the first Eagle Squadron, A Fighter Command unit to consist of volunteer pilots from the United States (1089).</w:t>
      </w:r>
    </w:p>
    <w:p w14:paraId="2C37AC88" w14:textId="77777777" w:rsidR="00EF7BAC" w:rsidRPr="00A3026E" w:rsidRDefault="00EF7BAC" w:rsidP="00A3026E">
      <w:pPr>
        <w:spacing w:after="0" w:line="240" w:lineRule="auto"/>
        <w:jc w:val="both"/>
        <w:rPr>
          <w:rFonts w:ascii="Times New Roman" w:hAnsi="Times New Roman"/>
          <w:color w:val="000000" w:themeColor="text1"/>
          <w:sz w:val="16"/>
          <w:szCs w:val="16"/>
          <w:lang w:val="en-US"/>
        </w:rPr>
      </w:pPr>
    </w:p>
    <w:p w14:paraId="6EE2A75C" w14:textId="77777777" w:rsidR="00EF7BAC" w:rsidRPr="00A3026E" w:rsidRDefault="00EF7BA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Королевские ВВС объявили о формировании первого эскадрона из американских добровольцев (1089).</w:t>
      </w:r>
    </w:p>
    <w:p w14:paraId="083B58FB" w14:textId="77777777" w:rsidR="00EF7BAC" w:rsidRPr="00A3026E" w:rsidRDefault="00EF7BAC" w:rsidP="00A3026E">
      <w:pPr>
        <w:spacing w:after="0" w:line="240" w:lineRule="auto"/>
        <w:jc w:val="both"/>
        <w:rPr>
          <w:rFonts w:ascii="Times New Roman" w:hAnsi="Times New Roman"/>
          <w:color w:val="000000" w:themeColor="text1"/>
          <w:sz w:val="16"/>
          <w:szCs w:val="16"/>
        </w:rPr>
      </w:pPr>
    </w:p>
    <w:p w14:paraId="673A3CD6" w14:textId="77777777" w:rsidR="00EF7BAC" w:rsidRPr="00A3026E" w:rsidRDefault="00EF7BA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октября 1940 1940 Королевские ВВС формируют 71-ю эскадрилью, «Орлиную эскадрилью», состоящую из американских добровольцев (20795).</w:t>
      </w:r>
    </w:p>
    <w:p w14:paraId="403CDD58" w14:textId="77777777" w:rsidR="00EF7BAC" w:rsidRPr="00A3026E" w:rsidRDefault="00EF7BAC" w:rsidP="00A3026E">
      <w:pPr>
        <w:spacing w:after="0" w:line="240" w:lineRule="auto"/>
        <w:jc w:val="both"/>
        <w:rPr>
          <w:rFonts w:ascii="Times New Roman" w:hAnsi="Times New Roman"/>
          <w:color w:val="0070C0"/>
          <w:sz w:val="16"/>
          <w:szCs w:val="16"/>
        </w:rPr>
      </w:pPr>
    </w:p>
    <w:p w14:paraId="7A045F9E" w14:textId="77777777" w:rsidR="00EF7BAC" w:rsidRPr="00A3026E" w:rsidRDefault="00EF7BA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октября 1940 Йозеф Франтишек, чехословацкий ас (17 побед) и самый эффективный пилот союзников в битве за Британию, погиб в авиакатастрофе (20795).</w:t>
      </w:r>
    </w:p>
    <w:p w14:paraId="14D52AC2" w14:textId="77777777" w:rsidR="00EF7BAC" w:rsidRPr="00A3026E" w:rsidRDefault="00EF7BAC" w:rsidP="00A3026E">
      <w:pPr>
        <w:spacing w:after="0" w:line="240" w:lineRule="auto"/>
        <w:jc w:val="both"/>
        <w:rPr>
          <w:rFonts w:ascii="Times New Roman" w:hAnsi="Times New Roman"/>
          <w:color w:val="0070C0"/>
          <w:sz w:val="16"/>
          <w:szCs w:val="16"/>
        </w:rPr>
      </w:pPr>
    </w:p>
    <w:p w14:paraId="2FB5EE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октября 1940 немецкие войска оккупировали Румынию (3481).</w:t>
      </w:r>
    </w:p>
    <w:p w14:paraId="7179020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A4F493D"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lastRenderedPageBreak/>
        <w:t xml:space="preserve">8 октября </w:t>
      </w:r>
      <w:r w:rsidRPr="00A3026E">
        <w:rPr>
          <w:rFonts w:ascii="Times New Roman" w:hAnsi="Times New Roman"/>
          <w:color w:val="000000" w:themeColor="text1"/>
          <w:sz w:val="16"/>
          <w:szCs w:val="16"/>
        </w:rPr>
        <w:t>в 1940 году Норвегия объявлена корпоративным государством (14793).</w:t>
      </w:r>
    </w:p>
    <w:p w14:paraId="5EB997AE" w14:textId="77777777" w:rsidR="00226974" w:rsidRPr="00A3026E" w:rsidRDefault="00226974" w:rsidP="00A3026E">
      <w:pPr>
        <w:spacing w:after="0" w:line="240" w:lineRule="auto"/>
        <w:jc w:val="both"/>
        <w:rPr>
          <w:rFonts w:ascii="Times New Roman" w:hAnsi="Times New Roman"/>
          <w:color w:val="000000" w:themeColor="text1"/>
          <w:sz w:val="16"/>
          <w:szCs w:val="16"/>
        </w:rPr>
      </w:pPr>
    </w:p>
    <w:p w14:paraId="638E5E2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7BFFDE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B7B5B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Зам. Наркома А.С.Я. писал письмо N 54/2133 директору завода 156 ГСС Ляпидевскому по вопросу о прекращении работ по самолету Ш:</w:t>
      </w:r>
    </w:p>
    <w:p w14:paraId="5665E7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Предлагаю прекратить в производстве и КБ Кочеригина все работы по самолету Ш и его модификации.</w:t>
      </w:r>
    </w:p>
    <w:p w14:paraId="1E73BE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произведенных затратах представьте в адрес 7 ГУ НКАП подробный отчет." (2062,88).</w:t>
      </w:r>
    </w:p>
    <w:p w14:paraId="596EFB8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9AE3B80" w14:textId="77777777" w:rsidR="00EF7BAC" w:rsidRPr="00A3026E" w:rsidRDefault="00EF7BA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октября 1940 г. заместитель наркома Яков</w:t>
      </w:r>
      <w:r w:rsidRPr="00A3026E">
        <w:rPr>
          <w:rFonts w:ascii="Times New Roman" w:hAnsi="Times New Roman"/>
          <w:color w:val="0070C0"/>
          <w:sz w:val="16"/>
          <w:szCs w:val="16"/>
        </w:rPr>
        <w:softHyphen/>
        <w:t>лев направил на имя директора завода №156 письмо, в ко</w:t>
      </w:r>
      <w:r w:rsidRPr="00A3026E">
        <w:rPr>
          <w:rFonts w:ascii="Times New Roman" w:hAnsi="Times New Roman"/>
          <w:color w:val="0070C0"/>
          <w:sz w:val="16"/>
          <w:szCs w:val="16"/>
        </w:rPr>
        <w:softHyphen/>
        <w:t>тором предлагал прекратить в КБ Кочеригина все работы по самолету «Ш» и его модификации. Таким образом, второй опытный «Ш», который начали переделывать в так называемый ММШ (о нем далее), так и остался в разобран</w:t>
      </w:r>
      <w:r w:rsidRPr="00A3026E">
        <w:rPr>
          <w:rFonts w:ascii="Times New Roman" w:hAnsi="Times New Roman"/>
          <w:color w:val="0070C0"/>
          <w:sz w:val="16"/>
          <w:szCs w:val="16"/>
        </w:rPr>
        <w:softHyphen/>
        <w:t>ном состоянии.</w:t>
      </w:r>
    </w:p>
    <w:p w14:paraId="1C2D56F9" w14:textId="77777777" w:rsidR="00EF7BAC" w:rsidRPr="00A3026E" w:rsidRDefault="00EF7BA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Что касается первого опытного экземпляра, то в 1940 г. он числился за летным отделом ЦАГИ. Назывался: опыт</w:t>
      </w:r>
      <w:r w:rsidRPr="00A3026E">
        <w:rPr>
          <w:rFonts w:ascii="Times New Roman" w:hAnsi="Times New Roman"/>
          <w:color w:val="0070C0"/>
          <w:sz w:val="16"/>
          <w:szCs w:val="16"/>
        </w:rPr>
        <w:softHyphen/>
        <w:t>ный штурмовик Кочеригина «Ш-1» выпуска 1938 г., был ос</w:t>
      </w:r>
      <w:r w:rsidRPr="00A3026E">
        <w:rPr>
          <w:rFonts w:ascii="Times New Roman" w:hAnsi="Times New Roman"/>
          <w:color w:val="0070C0"/>
          <w:sz w:val="16"/>
          <w:szCs w:val="16"/>
        </w:rPr>
        <w:softHyphen/>
        <w:t>нащен двигателем М-87Б, установленном вместо М-88. 20 января 1941 г. самолет подготовили для испытания новых тормозных колес, экипаж - летчик А.С. Пальчиков, на</w:t>
      </w:r>
      <w:r w:rsidRPr="00A3026E">
        <w:rPr>
          <w:rFonts w:ascii="Times New Roman" w:hAnsi="Times New Roman"/>
          <w:color w:val="0070C0"/>
          <w:sz w:val="16"/>
          <w:szCs w:val="16"/>
        </w:rPr>
        <w:softHyphen/>
        <w:t>блюдатель А.М. Тютерев (20362).</w:t>
      </w:r>
    </w:p>
    <w:p w14:paraId="126E4E26" w14:textId="77777777" w:rsidR="00EF7BAC" w:rsidRPr="00A3026E" w:rsidRDefault="00EF7BAC" w:rsidP="00A3026E">
      <w:pPr>
        <w:shd w:val="clear" w:color="auto" w:fill="FFFFFF"/>
        <w:spacing w:after="0" w:line="240" w:lineRule="auto"/>
        <w:jc w:val="both"/>
        <w:rPr>
          <w:rFonts w:ascii="Times New Roman" w:hAnsi="Times New Roman"/>
          <w:color w:val="0070C0"/>
          <w:sz w:val="16"/>
          <w:szCs w:val="16"/>
        </w:rPr>
      </w:pPr>
    </w:p>
    <w:p w14:paraId="11B46D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Нач. ОКС завода № 18 подготовил:</w:t>
      </w:r>
    </w:p>
    <w:p w14:paraId="51E99E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ДОКЛАДНАЯ ЗАПИСКА.</w:t>
      </w:r>
    </w:p>
    <w:p w14:paraId="0A67BF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обследовании завода № 18 им. Ворошилова НКАП, в части выполнения плана капитального строительства по реконструкции завода, выяснилось следующее:</w:t>
      </w:r>
    </w:p>
    <w:p w14:paraId="493CE0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Реконструкция завода № 18 им. Ворошилова начата в 1937 году.</w:t>
      </w:r>
    </w:p>
    <w:p w14:paraId="3F879E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Технический проект и генеральная смета на реконструкцию завода были утверждены Наркомом Авиационной Промышленности в декабре месяце 1937 года.</w:t>
      </w:r>
    </w:p>
    <w:p w14:paraId="50CD63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 января 1937г. завод имел основных фондов в сумке 49.410 тыс.руб. По проекту реконструкции сумма определилась в 210.800 тыс руб., в том числе возвратных 2.393 тыс.руб. Таким образом, инвен</w:t>
      </w:r>
      <w:r w:rsidRPr="00A3026E">
        <w:rPr>
          <w:rFonts w:ascii="Times New Roman" w:hAnsi="Times New Roman"/>
          <w:color w:val="000000" w:themeColor="text1"/>
          <w:sz w:val="16"/>
          <w:szCs w:val="16"/>
        </w:rPr>
        <w:softHyphen/>
        <w:t>тарная стоимость завода по генеральной смете составляет 257.817,2 тыс.руб.</w:t>
      </w:r>
    </w:p>
    <w:p w14:paraId="72785F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сегодняшний день данные генсметы не соответствуют действи</w:t>
      </w:r>
      <w:r w:rsidRPr="00A3026E">
        <w:rPr>
          <w:rFonts w:ascii="Times New Roman" w:hAnsi="Times New Roman"/>
          <w:color w:val="000000" w:themeColor="text1"/>
          <w:sz w:val="16"/>
          <w:szCs w:val="16"/>
        </w:rPr>
        <w:softHyphen/>
        <w:t>тельности. После утверждения проекта реконструкции завода, выявилась необходимость дополнительного строительства. К ним относятся: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3383"/>
      </w:tblGrid>
      <w:tr w:rsidR="00983732" w:rsidRPr="00A3026E" w14:paraId="1655A09B" w14:textId="77777777" w:rsidTr="00EA0DA7">
        <w:tc>
          <w:tcPr>
            <w:tcW w:w="5635" w:type="dxa"/>
            <w:tcBorders>
              <w:top w:val="single" w:sz="12" w:space="0" w:color="auto"/>
            </w:tcBorders>
            <w:shd w:val="clear" w:color="auto" w:fill="FFFFFF"/>
          </w:tcPr>
          <w:p w14:paraId="0F066E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об'ектов.</w:t>
            </w:r>
          </w:p>
        </w:tc>
        <w:tc>
          <w:tcPr>
            <w:tcW w:w="3383" w:type="dxa"/>
            <w:tcBorders>
              <w:top w:val="single" w:sz="12" w:space="0" w:color="auto"/>
            </w:tcBorders>
            <w:shd w:val="clear" w:color="auto" w:fill="FFFFFF"/>
          </w:tcPr>
          <w:p w14:paraId="04D5BA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Стоимость об'екта в т.р.</w:t>
            </w:r>
          </w:p>
        </w:tc>
      </w:tr>
      <w:tr w:rsidR="00983732" w:rsidRPr="00A3026E" w14:paraId="6CF113E9" w14:textId="77777777" w:rsidTr="00EA0DA7">
        <w:tc>
          <w:tcPr>
            <w:tcW w:w="5635" w:type="dxa"/>
            <w:shd w:val="clear" w:color="auto" w:fill="FFFFFF"/>
          </w:tcPr>
          <w:p w14:paraId="6DFF1E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Пролет пресса "Бердсборо" 5000 тн.</w:t>
            </w:r>
          </w:p>
        </w:tc>
        <w:tc>
          <w:tcPr>
            <w:tcW w:w="3383" w:type="dxa"/>
            <w:shd w:val="clear" w:color="auto" w:fill="FFFFFF"/>
          </w:tcPr>
          <w:p w14:paraId="6F500C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2.545 Сметная стоимость</w:t>
            </w:r>
          </w:p>
        </w:tc>
      </w:tr>
      <w:tr w:rsidR="00983732" w:rsidRPr="00A3026E" w14:paraId="582ED4FF" w14:textId="77777777" w:rsidTr="00EA0DA7">
        <w:tc>
          <w:tcPr>
            <w:tcW w:w="5635" w:type="dxa"/>
            <w:shd w:val="clear" w:color="auto" w:fill="FFFFFF"/>
          </w:tcPr>
          <w:p w14:paraId="7795B6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Наладочно-испытательные площадки, взлетно-посадочные полосы, якорные стоянки</w:t>
            </w:r>
          </w:p>
        </w:tc>
        <w:tc>
          <w:tcPr>
            <w:tcW w:w="3383" w:type="dxa"/>
            <w:shd w:val="clear" w:color="auto" w:fill="FFFFFF"/>
          </w:tcPr>
          <w:p w14:paraId="4589F2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16.000 Ориентировочн. стоим.</w:t>
            </w:r>
          </w:p>
        </w:tc>
      </w:tr>
      <w:tr w:rsidR="00983732" w:rsidRPr="00A3026E" w14:paraId="6C2E9C86" w14:textId="77777777" w:rsidTr="00EA0DA7">
        <w:tc>
          <w:tcPr>
            <w:tcW w:w="5635" w:type="dxa"/>
            <w:shd w:val="clear" w:color="auto" w:fill="FFFFFF"/>
          </w:tcPr>
          <w:p w14:paraId="17AE1C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Литейная цветных металлов</w:t>
            </w:r>
          </w:p>
        </w:tc>
        <w:tc>
          <w:tcPr>
            <w:tcW w:w="3383" w:type="dxa"/>
            <w:shd w:val="clear" w:color="auto" w:fill="FFFFFF"/>
          </w:tcPr>
          <w:p w14:paraId="0D936F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3.500 Сметная стоимость</w:t>
            </w:r>
          </w:p>
        </w:tc>
      </w:tr>
      <w:tr w:rsidR="00983732" w:rsidRPr="00A3026E" w14:paraId="69D4646F" w14:textId="77777777" w:rsidTr="00EA0DA7">
        <w:tc>
          <w:tcPr>
            <w:tcW w:w="5635" w:type="dxa"/>
            <w:shd w:val="clear" w:color="auto" w:fill="FFFFFF"/>
          </w:tcPr>
          <w:p w14:paraId="5337B8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Ангар малярный </w:t>
            </w:r>
          </w:p>
        </w:tc>
        <w:tc>
          <w:tcPr>
            <w:tcW w:w="3383" w:type="dxa"/>
            <w:shd w:val="clear" w:color="auto" w:fill="FFFFFF"/>
          </w:tcPr>
          <w:p w14:paraId="1BAD7E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1.268 Сметная стоимость</w:t>
            </w:r>
          </w:p>
        </w:tc>
      </w:tr>
      <w:tr w:rsidR="00983732" w:rsidRPr="00A3026E" w14:paraId="2F1F1015" w14:textId="77777777" w:rsidTr="00EA0DA7">
        <w:tc>
          <w:tcPr>
            <w:tcW w:w="5635" w:type="dxa"/>
            <w:shd w:val="clear" w:color="auto" w:fill="FFFFFF"/>
          </w:tcPr>
          <w:p w14:paraId="141DE3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Проходная 2-а</w:t>
            </w:r>
          </w:p>
        </w:tc>
        <w:tc>
          <w:tcPr>
            <w:tcW w:w="3383" w:type="dxa"/>
            <w:shd w:val="clear" w:color="auto" w:fill="FFFFFF"/>
          </w:tcPr>
          <w:p w14:paraId="59A1CC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 Сметная стоимость</w:t>
            </w:r>
          </w:p>
        </w:tc>
      </w:tr>
      <w:tr w:rsidR="00983732" w:rsidRPr="00A3026E" w14:paraId="5DD6E61F" w14:textId="77777777" w:rsidTr="00EA0DA7">
        <w:tc>
          <w:tcPr>
            <w:tcW w:w="5635" w:type="dxa"/>
            <w:shd w:val="clear" w:color="auto" w:fill="FFFFFF"/>
          </w:tcPr>
          <w:p w14:paraId="55B8AF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Протекторный корпус</w:t>
            </w:r>
          </w:p>
        </w:tc>
        <w:tc>
          <w:tcPr>
            <w:tcW w:w="3383" w:type="dxa"/>
            <w:shd w:val="clear" w:color="auto" w:fill="FFFFFF"/>
          </w:tcPr>
          <w:p w14:paraId="2941D6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4.289 Сметная стоимость</w:t>
            </w:r>
          </w:p>
        </w:tc>
      </w:tr>
      <w:tr w:rsidR="00983732" w:rsidRPr="00A3026E" w14:paraId="5D341F7C" w14:textId="77777777" w:rsidTr="00EA0DA7">
        <w:tc>
          <w:tcPr>
            <w:tcW w:w="5635" w:type="dxa"/>
            <w:shd w:val="clear" w:color="auto" w:fill="FFFFFF"/>
          </w:tcPr>
          <w:p w14:paraId="184723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Времен. Протект</w:t>
            </w:r>
          </w:p>
        </w:tc>
        <w:tc>
          <w:tcPr>
            <w:tcW w:w="3383" w:type="dxa"/>
            <w:shd w:val="clear" w:color="auto" w:fill="FFFFFF"/>
          </w:tcPr>
          <w:p w14:paraId="7C2CC9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 Сметная стоимость</w:t>
            </w:r>
          </w:p>
        </w:tc>
      </w:tr>
      <w:tr w:rsidR="00983732" w:rsidRPr="00A3026E" w14:paraId="4C8AFFE6" w14:textId="77777777" w:rsidTr="00EA0DA7">
        <w:tc>
          <w:tcPr>
            <w:tcW w:w="5635" w:type="dxa"/>
            <w:shd w:val="clear" w:color="auto" w:fill="FFFFFF"/>
          </w:tcPr>
          <w:p w14:paraId="33A8CA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Углекислотная</w:t>
            </w:r>
          </w:p>
        </w:tc>
        <w:tc>
          <w:tcPr>
            <w:tcW w:w="3383" w:type="dxa"/>
            <w:shd w:val="clear" w:color="auto" w:fill="FFFFFF"/>
          </w:tcPr>
          <w:p w14:paraId="6D5AB9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r>
      <w:tr w:rsidR="00983732" w:rsidRPr="00A3026E" w14:paraId="1D5BE9ED" w14:textId="77777777" w:rsidTr="00EA0DA7">
        <w:tc>
          <w:tcPr>
            <w:tcW w:w="5635" w:type="dxa"/>
            <w:shd w:val="clear" w:color="auto" w:fill="FFFFFF"/>
          </w:tcPr>
          <w:p w14:paraId="0B87EE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Летно-испытательная станция</w:t>
            </w:r>
          </w:p>
        </w:tc>
        <w:tc>
          <w:tcPr>
            <w:tcW w:w="3383" w:type="dxa"/>
            <w:shd w:val="clear" w:color="auto" w:fill="FFFFFF"/>
          </w:tcPr>
          <w:p w14:paraId="78D1A2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 Сметная стоимость</w:t>
            </w:r>
          </w:p>
        </w:tc>
      </w:tr>
      <w:tr w:rsidR="00983732" w:rsidRPr="00A3026E" w14:paraId="71AAE3E2" w14:textId="77777777" w:rsidTr="00EA0DA7">
        <w:tc>
          <w:tcPr>
            <w:tcW w:w="5635" w:type="dxa"/>
            <w:tcBorders>
              <w:bottom w:val="single" w:sz="12" w:space="0" w:color="auto"/>
            </w:tcBorders>
            <w:shd w:val="clear" w:color="auto" w:fill="FFFFFF"/>
          </w:tcPr>
          <w:p w14:paraId="6A29D9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3383" w:type="dxa"/>
            <w:tcBorders>
              <w:bottom w:val="single" w:sz="12" w:space="0" w:color="auto"/>
            </w:tcBorders>
            <w:shd w:val="clear" w:color="auto" w:fill="FFFFFF"/>
          </w:tcPr>
          <w:p w14:paraId="62870A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29.418</w:t>
            </w:r>
          </w:p>
        </w:tc>
      </w:tr>
    </w:tbl>
    <w:p w14:paraId="43F539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Капиталовложения по годам осваивались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1170"/>
        <w:gridCol w:w="900"/>
        <w:gridCol w:w="900"/>
        <w:gridCol w:w="990"/>
        <w:gridCol w:w="1080"/>
        <w:gridCol w:w="1440"/>
      </w:tblGrid>
      <w:tr w:rsidR="00983732" w:rsidRPr="00A3026E" w14:paraId="3833322E" w14:textId="77777777" w:rsidTr="00EA0DA7">
        <w:trPr>
          <w:trHeight w:val="240"/>
        </w:trPr>
        <w:tc>
          <w:tcPr>
            <w:tcW w:w="1170" w:type="dxa"/>
            <w:tcBorders>
              <w:top w:val="single" w:sz="12" w:space="0" w:color="auto"/>
              <w:left w:val="single" w:sz="12" w:space="0" w:color="auto"/>
              <w:bottom w:val="single" w:sz="6" w:space="0" w:color="auto"/>
              <w:right w:val="single" w:sz="6" w:space="0" w:color="auto"/>
            </w:tcBorders>
          </w:tcPr>
          <w:p w14:paraId="31BD32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Выполнено в тыс. руб.</w:t>
            </w:r>
          </w:p>
        </w:tc>
        <w:tc>
          <w:tcPr>
            <w:tcW w:w="900" w:type="dxa"/>
            <w:tcBorders>
              <w:top w:val="single" w:sz="12" w:space="0" w:color="auto"/>
              <w:left w:val="single" w:sz="6" w:space="0" w:color="auto"/>
              <w:bottom w:val="single" w:sz="6" w:space="0" w:color="auto"/>
              <w:right w:val="single" w:sz="6" w:space="0" w:color="auto"/>
            </w:tcBorders>
          </w:tcPr>
          <w:p w14:paraId="4241E2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1937 г.</w:t>
            </w:r>
          </w:p>
        </w:tc>
        <w:tc>
          <w:tcPr>
            <w:tcW w:w="900" w:type="dxa"/>
            <w:tcBorders>
              <w:top w:val="single" w:sz="12" w:space="0" w:color="auto"/>
              <w:left w:val="single" w:sz="6" w:space="0" w:color="auto"/>
              <w:bottom w:val="single" w:sz="6" w:space="0" w:color="auto"/>
              <w:right w:val="single" w:sz="6" w:space="0" w:color="auto"/>
            </w:tcBorders>
          </w:tcPr>
          <w:p w14:paraId="74A54F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 г.</w:t>
            </w:r>
          </w:p>
        </w:tc>
        <w:tc>
          <w:tcPr>
            <w:tcW w:w="990" w:type="dxa"/>
            <w:tcBorders>
              <w:top w:val="single" w:sz="12" w:space="0" w:color="auto"/>
              <w:left w:val="single" w:sz="6" w:space="0" w:color="auto"/>
              <w:bottom w:val="single" w:sz="6" w:space="0" w:color="auto"/>
              <w:right w:val="single" w:sz="12" w:space="0" w:color="auto"/>
            </w:tcBorders>
          </w:tcPr>
          <w:p w14:paraId="04F6E4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 г.</w:t>
            </w:r>
          </w:p>
        </w:tc>
        <w:tc>
          <w:tcPr>
            <w:tcW w:w="1080" w:type="dxa"/>
            <w:tcBorders>
              <w:top w:val="single" w:sz="12" w:space="0" w:color="auto"/>
              <w:left w:val="single" w:sz="6" w:space="0" w:color="auto"/>
              <w:bottom w:val="single" w:sz="6" w:space="0" w:color="auto"/>
              <w:right w:val="single" w:sz="12" w:space="0" w:color="auto"/>
            </w:tcBorders>
          </w:tcPr>
          <w:p w14:paraId="0E9980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w:t>
            </w:r>
          </w:p>
        </w:tc>
        <w:tc>
          <w:tcPr>
            <w:tcW w:w="1440" w:type="dxa"/>
            <w:tcBorders>
              <w:top w:val="single" w:sz="12" w:space="0" w:color="auto"/>
              <w:left w:val="single" w:sz="6" w:space="0" w:color="auto"/>
              <w:bottom w:val="single" w:sz="6" w:space="0" w:color="auto"/>
              <w:right w:val="single" w:sz="12" w:space="0" w:color="auto"/>
            </w:tcBorders>
          </w:tcPr>
          <w:p w14:paraId="31D44A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EA51D9E" w14:textId="77777777" w:rsidTr="00EA0DA7">
        <w:trPr>
          <w:trHeight w:val="653"/>
        </w:trPr>
        <w:tc>
          <w:tcPr>
            <w:tcW w:w="1170" w:type="dxa"/>
            <w:tcBorders>
              <w:top w:val="single" w:sz="6" w:space="0" w:color="auto"/>
              <w:left w:val="single" w:sz="12" w:space="0" w:color="auto"/>
              <w:bottom w:val="single" w:sz="6" w:space="0" w:color="auto"/>
              <w:right w:val="single" w:sz="6" w:space="0" w:color="auto"/>
            </w:tcBorders>
          </w:tcPr>
          <w:p w14:paraId="1F18F01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1AC08D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38.772</w:t>
            </w:r>
          </w:p>
        </w:tc>
        <w:tc>
          <w:tcPr>
            <w:tcW w:w="900" w:type="dxa"/>
            <w:tcBorders>
              <w:top w:val="single" w:sz="6" w:space="0" w:color="auto"/>
              <w:left w:val="single" w:sz="6" w:space="0" w:color="auto"/>
              <w:bottom w:val="single" w:sz="6" w:space="0" w:color="auto"/>
              <w:right w:val="single" w:sz="6" w:space="0" w:color="auto"/>
            </w:tcBorders>
          </w:tcPr>
          <w:p w14:paraId="680E03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33.711</w:t>
            </w:r>
          </w:p>
        </w:tc>
        <w:tc>
          <w:tcPr>
            <w:tcW w:w="990" w:type="dxa"/>
            <w:tcBorders>
              <w:top w:val="single" w:sz="6" w:space="0" w:color="auto"/>
              <w:left w:val="single" w:sz="6" w:space="0" w:color="auto"/>
              <w:bottom w:val="single" w:sz="6" w:space="0" w:color="auto"/>
              <w:right w:val="single" w:sz="12" w:space="0" w:color="auto"/>
            </w:tcBorders>
          </w:tcPr>
          <w:p w14:paraId="7CAA92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42.778</w:t>
            </w:r>
          </w:p>
        </w:tc>
        <w:tc>
          <w:tcPr>
            <w:tcW w:w="1080" w:type="dxa"/>
            <w:tcBorders>
              <w:top w:val="single" w:sz="6" w:space="0" w:color="auto"/>
              <w:left w:val="single" w:sz="6" w:space="0" w:color="auto"/>
              <w:bottom w:val="single" w:sz="6" w:space="0" w:color="auto"/>
              <w:right w:val="single" w:sz="12" w:space="0" w:color="auto"/>
            </w:tcBorders>
          </w:tcPr>
          <w:p w14:paraId="36CFDD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18.397</w:t>
            </w:r>
          </w:p>
        </w:tc>
        <w:tc>
          <w:tcPr>
            <w:tcW w:w="1440" w:type="dxa"/>
            <w:tcBorders>
              <w:top w:val="single" w:sz="6" w:space="0" w:color="auto"/>
              <w:left w:val="single" w:sz="6" w:space="0" w:color="auto"/>
              <w:bottom w:val="single" w:sz="6" w:space="0" w:color="auto"/>
              <w:right w:val="single" w:sz="12" w:space="0" w:color="auto"/>
            </w:tcBorders>
          </w:tcPr>
          <w:p w14:paraId="5F6131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на 1 сен- тября 1940 г. выполнено по реконстоукции 133.658 тыс. руб.</w:t>
            </w:r>
          </w:p>
        </w:tc>
      </w:tr>
    </w:tbl>
    <w:p w14:paraId="0F6DFD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сдачи в эксплоатацию по годам</w:t>
      </w:r>
    </w:p>
    <w:tbl>
      <w:tblPr>
        <w:tblW w:w="0" w:type="auto"/>
        <w:tblInd w:w="40" w:type="dxa"/>
        <w:tblLayout w:type="fixed"/>
        <w:tblCellMar>
          <w:left w:w="40" w:type="dxa"/>
          <w:right w:w="40" w:type="dxa"/>
        </w:tblCellMar>
        <w:tblLook w:val="0000" w:firstRow="0" w:lastRow="0" w:firstColumn="0" w:lastColumn="0" w:noHBand="0" w:noVBand="0"/>
      </w:tblPr>
      <w:tblGrid>
        <w:gridCol w:w="1574"/>
        <w:gridCol w:w="1210"/>
        <w:gridCol w:w="1680"/>
        <w:gridCol w:w="1656"/>
      </w:tblGrid>
      <w:tr w:rsidR="00983732" w:rsidRPr="00A3026E" w14:paraId="2B2D673E" w14:textId="77777777" w:rsidTr="00EA0DA7">
        <w:trPr>
          <w:trHeight w:val="403"/>
        </w:trPr>
        <w:tc>
          <w:tcPr>
            <w:tcW w:w="1574" w:type="dxa"/>
            <w:tcBorders>
              <w:top w:val="single" w:sz="12" w:space="0" w:color="auto"/>
              <w:left w:val="single" w:sz="12" w:space="0" w:color="auto"/>
              <w:bottom w:val="single" w:sz="6" w:space="0" w:color="auto"/>
              <w:right w:val="single" w:sz="6" w:space="0" w:color="auto"/>
            </w:tcBorders>
          </w:tcPr>
          <w:p w14:paraId="0997A6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Периоды</w:t>
            </w:r>
          </w:p>
        </w:tc>
        <w:tc>
          <w:tcPr>
            <w:tcW w:w="1210" w:type="dxa"/>
            <w:tcBorders>
              <w:top w:val="single" w:sz="12" w:space="0" w:color="auto"/>
              <w:left w:val="single" w:sz="6" w:space="0" w:color="auto"/>
              <w:bottom w:val="single" w:sz="6" w:space="0" w:color="auto"/>
              <w:right w:val="single" w:sz="6" w:space="0" w:color="auto"/>
            </w:tcBorders>
          </w:tcPr>
          <w:p w14:paraId="19E245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1680" w:type="dxa"/>
            <w:tcBorders>
              <w:top w:val="single" w:sz="12" w:space="0" w:color="auto"/>
              <w:left w:val="single" w:sz="6" w:space="0" w:color="auto"/>
              <w:bottom w:val="single" w:sz="6" w:space="0" w:color="auto"/>
              <w:right w:val="single" w:sz="6" w:space="0" w:color="auto"/>
            </w:tcBorders>
          </w:tcPr>
          <w:p w14:paraId="1892A1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w:t>
            </w:r>
          </w:p>
        </w:tc>
        <w:tc>
          <w:tcPr>
            <w:tcW w:w="1656" w:type="dxa"/>
            <w:tcBorders>
              <w:top w:val="single" w:sz="12" w:space="0" w:color="auto"/>
              <w:left w:val="single" w:sz="6" w:space="0" w:color="auto"/>
              <w:bottom w:val="single" w:sz="6" w:space="0" w:color="auto"/>
              <w:right w:val="single" w:sz="6" w:space="0" w:color="auto"/>
            </w:tcBorders>
          </w:tcPr>
          <w:p w14:paraId="4C426B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47A6B2C" w14:textId="77777777" w:rsidTr="00EA0DA7">
        <w:trPr>
          <w:trHeight w:val="470"/>
        </w:trPr>
        <w:tc>
          <w:tcPr>
            <w:tcW w:w="1574" w:type="dxa"/>
            <w:tcBorders>
              <w:top w:val="single" w:sz="6" w:space="0" w:color="auto"/>
              <w:left w:val="single" w:sz="12" w:space="0" w:color="auto"/>
              <w:bottom w:val="single" w:sz="6" w:space="0" w:color="auto"/>
              <w:right w:val="single" w:sz="6" w:space="0" w:color="auto"/>
            </w:tcBorders>
          </w:tcPr>
          <w:p w14:paraId="07DE86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1937 г.</w:t>
            </w:r>
          </w:p>
        </w:tc>
        <w:tc>
          <w:tcPr>
            <w:tcW w:w="1210" w:type="dxa"/>
            <w:tcBorders>
              <w:top w:val="single" w:sz="6" w:space="0" w:color="auto"/>
              <w:left w:val="single" w:sz="6" w:space="0" w:color="auto"/>
              <w:bottom w:val="single" w:sz="6" w:space="0" w:color="auto"/>
              <w:right w:val="single" w:sz="6" w:space="0" w:color="auto"/>
            </w:tcBorders>
          </w:tcPr>
          <w:p w14:paraId="7EECC2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42.747</w:t>
            </w:r>
          </w:p>
        </w:tc>
        <w:tc>
          <w:tcPr>
            <w:tcW w:w="1680" w:type="dxa"/>
            <w:tcBorders>
              <w:top w:val="single" w:sz="6" w:space="0" w:color="auto"/>
              <w:left w:val="single" w:sz="6" w:space="0" w:color="auto"/>
              <w:bottom w:val="single" w:sz="6" w:space="0" w:color="auto"/>
              <w:right w:val="single" w:sz="6" w:space="0" w:color="auto"/>
            </w:tcBorders>
          </w:tcPr>
          <w:p w14:paraId="5BFF72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26.200</w:t>
            </w:r>
          </w:p>
        </w:tc>
        <w:tc>
          <w:tcPr>
            <w:tcW w:w="1656" w:type="dxa"/>
            <w:tcBorders>
              <w:top w:val="single" w:sz="6" w:space="0" w:color="auto"/>
              <w:left w:val="single" w:sz="6" w:space="0" w:color="auto"/>
              <w:bottom w:val="single" w:sz="6" w:space="0" w:color="auto"/>
              <w:right w:val="single" w:sz="6" w:space="0" w:color="auto"/>
            </w:tcBorders>
          </w:tcPr>
          <w:p w14:paraId="71CA99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w:t>
            </w:r>
          </w:p>
        </w:tc>
      </w:tr>
      <w:tr w:rsidR="00983732" w:rsidRPr="00A3026E" w14:paraId="5993D7FE" w14:textId="77777777" w:rsidTr="00EA0DA7">
        <w:trPr>
          <w:trHeight w:val="288"/>
        </w:trPr>
        <w:tc>
          <w:tcPr>
            <w:tcW w:w="1574" w:type="dxa"/>
            <w:tcBorders>
              <w:top w:val="single" w:sz="6" w:space="0" w:color="auto"/>
              <w:left w:val="single" w:sz="12" w:space="0" w:color="auto"/>
              <w:bottom w:val="single" w:sz="6" w:space="0" w:color="auto"/>
              <w:right w:val="single" w:sz="6" w:space="0" w:color="auto"/>
            </w:tcBorders>
          </w:tcPr>
          <w:p w14:paraId="676E1E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 г.</w:t>
            </w:r>
          </w:p>
        </w:tc>
        <w:tc>
          <w:tcPr>
            <w:tcW w:w="1210" w:type="dxa"/>
            <w:tcBorders>
              <w:top w:val="single" w:sz="6" w:space="0" w:color="auto"/>
              <w:left w:val="single" w:sz="6" w:space="0" w:color="auto"/>
              <w:bottom w:val="single" w:sz="6" w:space="0" w:color="auto"/>
              <w:right w:val="single" w:sz="6" w:space="0" w:color="auto"/>
            </w:tcBorders>
          </w:tcPr>
          <w:p w14:paraId="0693D7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42.891</w:t>
            </w:r>
          </w:p>
        </w:tc>
        <w:tc>
          <w:tcPr>
            <w:tcW w:w="1680" w:type="dxa"/>
            <w:tcBorders>
              <w:top w:val="single" w:sz="6" w:space="0" w:color="auto"/>
              <w:left w:val="single" w:sz="6" w:space="0" w:color="auto"/>
              <w:bottom w:val="single" w:sz="6" w:space="0" w:color="auto"/>
              <w:right w:val="single" w:sz="6" w:space="0" w:color="auto"/>
            </w:tcBorders>
          </w:tcPr>
          <w:p w14:paraId="70B4D3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38.710</w:t>
            </w:r>
          </w:p>
        </w:tc>
        <w:tc>
          <w:tcPr>
            <w:tcW w:w="1656" w:type="dxa"/>
            <w:tcBorders>
              <w:top w:val="single" w:sz="6" w:space="0" w:color="auto"/>
              <w:left w:val="single" w:sz="6" w:space="0" w:color="auto"/>
              <w:bottom w:val="single" w:sz="6" w:space="0" w:color="auto"/>
              <w:right w:val="single" w:sz="6" w:space="0" w:color="auto"/>
            </w:tcBorders>
          </w:tcPr>
          <w:p w14:paraId="64101F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w:t>
            </w:r>
          </w:p>
        </w:tc>
      </w:tr>
      <w:tr w:rsidR="00983732" w:rsidRPr="00A3026E" w14:paraId="2051543B" w14:textId="77777777" w:rsidTr="00EA0DA7">
        <w:trPr>
          <w:trHeight w:val="278"/>
        </w:trPr>
        <w:tc>
          <w:tcPr>
            <w:tcW w:w="1574" w:type="dxa"/>
            <w:tcBorders>
              <w:top w:val="single" w:sz="6" w:space="0" w:color="auto"/>
              <w:left w:val="single" w:sz="12" w:space="0" w:color="auto"/>
              <w:bottom w:val="single" w:sz="6" w:space="0" w:color="auto"/>
              <w:right w:val="single" w:sz="6" w:space="0" w:color="auto"/>
            </w:tcBorders>
          </w:tcPr>
          <w:p w14:paraId="17D21B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 г.</w:t>
            </w:r>
          </w:p>
        </w:tc>
        <w:tc>
          <w:tcPr>
            <w:tcW w:w="1210" w:type="dxa"/>
            <w:tcBorders>
              <w:top w:val="single" w:sz="6" w:space="0" w:color="auto"/>
              <w:left w:val="single" w:sz="6" w:space="0" w:color="auto"/>
              <w:bottom w:val="single" w:sz="6" w:space="0" w:color="auto"/>
              <w:right w:val="single" w:sz="6" w:space="0" w:color="auto"/>
            </w:tcBorders>
          </w:tcPr>
          <w:p w14:paraId="726AF5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39.500</w:t>
            </w:r>
          </w:p>
        </w:tc>
        <w:tc>
          <w:tcPr>
            <w:tcW w:w="1680" w:type="dxa"/>
            <w:tcBorders>
              <w:top w:val="single" w:sz="6" w:space="0" w:color="auto"/>
              <w:left w:val="single" w:sz="6" w:space="0" w:color="auto"/>
              <w:bottom w:val="single" w:sz="6" w:space="0" w:color="auto"/>
              <w:right w:val="single" w:sz="6" w:space="0" w:color="auto"/>
            </w:tcBorders>
          </w:tcPr>
          <w:p w14:paraId="0C47FF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43.242</w:t>
            </w:r>
          </w:p>
        </w:tc>
        <w:tc>
          <w:tcPr>
            <w:tcW w:w="1656" w:type="dxa"/>
            <w:tcBorders>
              <w:top w:val="single" w:sz="6" w:space="0" w:color="auto"/>
              <w:left w:val="single" w:sz="6" w:space="0" w:color="auto"/>
              <w:bottom w:val="single" w:sz="6" w:space="0" w:color="auto"/>
              <w:right w:val="single" w:sz="6" w:space="0" w:color="auto"/>
            </w:tcBorders>
          </w:tcPr>
          <w:p w14:paraId="411D68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109,5</w:t>
            </w:r>
          </w:p>
        </w:tc>
      </w:tr>
      <w:tr w:rsidR="00983732" w:rsidRPr="00A3026E" w14:paraId="57FBAC15" w14:textId="77777777" w:rsidTr="00EA0DA7">
        <w:trPr>
          <w:trHeight w:val="317"/>
        </w:trPr>
        <w:tc>
          <w:tcPr>
            <w:tcW w:w="1574" w:type="dxa"/>
            <w:tcBorders>
              <w:top w:val="single" w:sz="6" w:space="0" w:color="auto"/>
              <w:left w:val="single" w:sz="12" w:space="0" w:color="auto"/>
              <w:bottom w:val="single" w:sz="12" w:space="0" w:color="auto"/>
              <w:right w:val="single" w:sz="6" w:space="0" w:color="auto"/>
            </w:tcBorders>
          </w:tcPr>
          <w:p w14:paraId="6B1916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w:t>
            </w:r>
          </w:p>
        </w:tc>
        <w:tc>
          <w:tcPr>
            <w:tcW w:w="1210" w:type="dxa"/>
            <w:tcBorders>
              <w:top w:val="single" w:sz="6" w:space="0" w:color="auto"/>
              <w:left w:val="single" w:sz="6" w:space="0" w:color="auto"/>
              <w:bottom w:val="single" w:sz="12" w:space="0" w:color="auto"/>
              <w:right w:val="single" w:sz="6" w:space="0" w:color="auto"/>
            </w:tcBorders>
          </w:tcPr>
          <w:p w14:paraId="3C7785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35.500</w:t>
            </w:r>
          </w:p>
        </w:tc>
        <w:tc>
          <w:tcPr>
            <w:tcW w:w="1680" w:type="dxa"/>
            <w:tcBorders>
              <w:top w:val="single" w:sz="6" w:space="0" w:color="auto"/>
              <w:left w:val="single" w:sz="6" w:space="0" w:color="auto"/>
              <w:bottom w:val="single" w:sz="12" w:space="0" w:color="auto"/>
              <w:right w:val="single" w:sz="6" w:space="0" w:color="auto"/>
            </w:tcBorders>
          </w:tcPr>
          <w:p w14:paraId="504ED0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14.740</w:t>
            </w:r>
          </w:p>
        </w:tc>
        <w:tc>
          <w:tcPr>
            <w:tcW w:w="1656" w:type="dxa"/>
            <w:tcBorders>
              <w:top w:val="single" w:sz="6" w:space="0" w:color="auto"/>
              <w:left w:val="single" w:sz="6" w:space="0" w:color="auto"/>
              <w:bottom w:val="single" w:sz="12" w:space="0" w:color="auto"/>
              <w:right w:val="single" w:sz="6" w:space="0" w:color="auto"/>
            </w:tcBorders>
          </w:tcPr>
          <w:p w14:paraId="7A9242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w:t>
            </w:r>
          </w:p>
        </w:tc>
      </w:tr>
    </w:tbl>
    <w:p w14:paraId="6D057B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 в 1940 году указано по состоянию на 1-ое августа:</w:t>
      </w:r>
    </w:p>
    <w:tbl>
      <w:tblPr>
        <w:tblW w:w="0" w:type="auto"/>
        <w:tblInd w:w="40" w:type="dxa"/>
        <w:tblLayout w:type="fixed"/>
        <w:tblCellMar>
          <w:left w:w="40" w:type="dxa"/>
          <w:right w:w="40" w:type="dxa"/>
        </w:tblCellMar>
        <w:tblLook w:val="0000" w:firstRow="0" w:lastRow="0" w:firstColumn="0" w:lastColumn="0" w:noHBand="0" w:noVBand="0"/>
      </w:tblPr>
      <w:tblGrid>
        <w:gridCol w:w="1574"/>
        <w:gridCol w:w="1210"/>
        <w:gridCol w:w="6"/>
        <w:gridCol w:w="2250"/>
      </w:tblGrid>
      <w:tr w:rsidR="00983732" w:rsidRPr="00A3026E" w14:paraId="4EBD1267" w14:textId="77777777" w:rsidTr="00EA0DA7">
        <w:trPr>
          <w:trHeight w:val="365"/>
        </w:trPr>
        <w:tc>
          <w:tcPr>
            <w:tcW w:w="1574" w:type="dxa"/>
            <w:tcBorders>
              <w:top w:val="single" w:sz="12" w:space="0" w:color="auto"/>
              <w:left w:val="single" w:sz="12" w:space="0" w:color="auto"/>
              <w:bottom w:val="single" w:sz="6" w:space="0" w:color="auto"/>
              <w:right w:val="single" w:sz="6" w:space="0" w:color="auto"/>
            </w:tcBorders>
          </w:tcPr>
          <w:p w14:paraId="06643C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12" w:space="0" w:color="auto"/>
              <w:left w:val="single" w:sz="6" w:space="0" w:color="auto"/>
              <w:bottom w:val="single" w:sz="6" w:space="0" w:color="auto"/>
              <w:right w:val="single" w:sz="6" w:space="0" w:color="auto"/>
            </w:tcBorders>
          </w:tcPr>
          <w:p w14:paraId="4E5EE9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 мстроительство</w:t>
            </w:r>
          </w:p>
        </w:tc>
        <w:tc>
          <w:tcPr>
            <w:tcW w:w="2256" w:type="dxa"/>
            <w:gridSpan w:val="2"/>
            <w:tcBorders>
              <w:top w:val="single" w:sz="12" w:space="0" w:color="auto"/>
              <w:left w:val="single" w:sz="6" w:space="0" w:color="auto"/>
              <w:bottom w:val="single" w:sz="6" w:space="0" w:color="auto"/>
              <w:right w:val="single" w:sz="12" w:space="0" w:color="auto"/>
            </w:tcBorders>
          </w:tcPr>
          <w:p w14:paraId="2A3F05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Жилстроительство</w:t>
            </w:r>
          </w:p>
        </w:tc>
      </w:tr>
      <w:tr w:rsidR="00983732" w:rsidRPr="00A3026E" w14:paraId="441C767D" w14:textId="77777777" w:rsidTr="00EA0DA7">
        <w:trPr>
          <w:trHeight w:val="355"/>
        </w:trPr>
        <w:tc>
          <w:tcPr>
            <w:tcW w:w="1574" w:type="dxa"/>
            <w:tcBorders>
              <w:top w:val="single" w:sz="6" w:space="0" w:color="auto"/>
              <w:left w:val="single" w:sz="12" w:space="0" w:color="auto"/>
              <w:bottom w:val="single" w:sz="6" w:space="0" w:color="auto"/>
              <w:right w:val="single" w:sz="6" w:space="0" w:color="auto"/>
            </w:tcBorders>
          </w:tcPr>
          <w:p w14:paraId="4677E8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1937 г.</w:t>
            </w:r>
          </w:p>
        </w:tc>
        <w:tc>
          <w:tcPr>
            <w:tcW w:w="1216" w:type="dxa"/>
            <w:gridSpan w:val="2"/>
            <w:tcBorders>
              <w:top w:val="single" w:sz="6" w:space="0" w:color="auto"/>
              <w:left w:val="single" w:sz="6" w:space="0" w:color="auto"/>
              <w:bottom w:val="single" w:sz="6" w:space="0" w:color="auto"/>
              <w:right w:val="single" w:sz="6" w:space="0" w:color="auto"/>
            </w:tcBorders>
          </w:tcPr>
          <w:p w14:paraId="012F17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20400 м</w:t>
            </w:r>
            <w:r w:rsidRPr="00A3026E">
              <w:rPr>
                <w:rFonts w:ascii="Times New Roman" w:hAnsi="Times New Roman"/>
                <w:color w:val="000000" w:themeColor="text1"/>
                <w:sz w:val="16"/>
                <w:szCs w:val="16"/>
                <w:vertAlign w:val="superscript"/>
              </w:rPr>
              <w:t>2</w:t>
            </w:r>
          </w:p>
        </w:tc>
        <w:tc>
          <w:tcPr>
            <w:tcW w:w="2250" w:type="dxa"/>
            <w:tcBorders>
              <w:top w:val="single" w:sz="6" w:space="0" w:color="auto"/>
              <w:left w:val="single" w:sz="6" w:space="0" w:color="auto"/>
              <w:bottom w:val="single" w:sz="6" w:space="0" w:color="auto"/>
              <w:right w:val="single" w:sz="12" w:space="0" w:color="auto"/>
            </w:tcBorders>
          </w:tcPr>
          <w:p w14:paraId="069CB0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8745 м</w:t>
            </w:r>
            <w:r w:rsidRPr="00A3026E">
              <w:rPr>
                <w:rFonts w:ascii="Times New Roman" w:hAnsi="Times New Roman"/>
                <w:color w:val="000000" w:themeColor="text1"/>
                <w:sz w:val="16"/>
                <w:szCs w:val="16"/>
                <w:vertAlign w:val="superscript"/>
              </w:rPr>
              <w:t>2</w:t>
            </w:r>
          </w:p>
        </w:tc>
      </w:tr>
      <w:tr w:rsidR="00983732" w:rsidRPr="00A3026E" w14:paraId="002B69CE" w14:textId="77777777" w:rsidTr="00EA0DA7">
        <w:trPr>
          <w:trHeight w:val="278"/>
        </w:trPr>
        <w:tc>
          <w:tcPr>
            <w:tcW w:w="1574" w:type="dxa"/>
            <w:tcBorders>
              <w:top w:val="single" w:sz="6" w:space="0" w:color="auto"/>
              <w:left w:val="single" w:sz="12" w:space="0" w:color="auto"/>
              <w:bottom w:val="single" w:sz="6" w:space="0" w:color="auto"/>
              <w:right w:val="single" w:sz="6" w:space="0" w:color="auto"/>
            </w:tcBorders>
          </w:tcPr>
          <w:p w14:paraId="12FA82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1938 г. </w:t>
            </w:r>
          </w:p>
        </w:tc>
        <w:tc>
          <w:tcPr>
            <w:tcW w:w="1216" w:type="dxa"/>
            <w:gridSpan w:val="2"/>
            <w:tcBorders>
              <w:top w:val="single" w:sz="6" w:space="0" w:color="auto"/>
              <w:left w:val="single" w:sz="6" w:space="0" w:color="auto"/>
              <w:bottom w:val="single" w:sz="6" w:space="0" w:color="auto"/>
              <w:right w:val="single" w:sz="6" w:space="0" w:color="auto"/>
            </w:tcBorders>
          </w:tcPr>
          <w:p w14:paraId="2F7597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26500 </w:t>
            </w:r>
          </w:p>
        </w:tc>
        <w:tc>
          <w:tcPr>
            <w:tcW w:w="2250" w:type="dxa"/>
            <w:tcBorders>
              <w:top w:val="single" w:sz="6" w:space="0" w:color="auto"/>
              <w:left w:val="single" w:sz="6" w:space="0" w:color="auto"/>
              <w:bottom w:val="single" w:sz="6" w:space="0" w:color="auto"/>
              <w:right w:val="single" w:sz="12" w:space="0" w:color="auto"/>
            </w:tcBorders>
          </w:tcPr>
          <w:p w14:paraId="4D3833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9296</w:t>
            </w:r>
          </w:p>
        </w:tc>
      </w:tr>
      <w:tr w:rsidR="00983732" w:rsidRPr="00A3026E" w14:paraId="6A1EC6AF" w14:textId="77777777" w:rsidTr="00EA0DA7">
        <w:trPr>
          <w:trHeight w:val="307"/>
        </w:trPr>
        <w:tc>
          <w:tcPr>
            <w:tcW w:w="1574" w:type="dxa"/>
            <w:tcBorders>
              <w:top w:val="single" w:sz="6" w:space="0" w:color="auto"/>
              <w:left w:val="single" w:sz="12" w:space="0" w:color="auto"/>
              <w:bottom w:val="single" w:sz="6" w:space="0" w:color="auto"/>
              <w:right w:val="single" w:sz="6" w:space="0" w:color="auto"/>
            </w:tcBorders>
          </w:tcPr>
          <w:p w14:paraId="1C86AB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 г.</w:t>
            </w:r>
          </w:p>
        </w:tc>
        <w:tc>
          <w:tcPr>
            <w:tcW w:w="1216" w:type="dxa"/>
            <w:gridSpan w:val="2"/>
            <w:tcBorders>
              <w:top w:val="single" w:sz="6" w:space="0" w:color="auto"/>
              <w:left w:val="single" w:sz="6" w:space="0" w:color="auto"/>
              <w:bottom w:val="single" w:sz="6" w:space="0" w:color="auto"/>
              <w:right w:val="single" w:sz="6" w:space="0" w:color="auto"/>
            </w:tcBorders>
          </w:tcPr>
          <w:p w14:paraId="75647E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11000</w:t>
            </w:r>
          </w:p>
        </w:tc>
        <w:tc>
          <w:tcPr>
            <w:tcW w:w="2250" w:type="dxa"/>
            <w:tcBorders>
              <w:top w:val="single" w:sz="6" w:space="0" w:color="auto"/>
              <w:left w:val="single" w:sz="6" w:space="0" w:color="auto"/>
              <w:bottom w:val="single" w:sz="6" w:space="0" w:color="auto"/>
              <w:right w:val="single" w:sz="12" w:space="0" w:color="auto"/>
            </w:tcBorders>
          </w:tcPr>
          <w:p w14:paraId="2B5800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7033</w:t>
            </w:r>
          </w:p>
        </w:tc>
      </w:tr>
      <w:tr w:rsidR="00983732" w:rsidRPr="00A3026E" w14:paraId="53655462" w14:textId="77777777" w:rsidTr="00EA0DA7">
        <w:trPr>
          <w:trHeight w:val="288"/>
        </w:trPr>
        <w:tc>
          <w:tcPr>
            <w:tcW w:w="1574" w:type="dxa"/>
            <w:tcBorders>
              <w:top w:val="single" w:sz="6" w:space="0" w:color="auto"/>
              <w:left w:val="single" w:sz="12" w:space="0" w:color="auto"/>
              <w:bottom w:val="single" w:sz="12" w:space="0" w:color="auto"/>
              <w:right w:val="single" w:sz="6" w:space="0" w:color="auto"/>
            </w:tcBorders>
          </w:tcPr>
          <w:p w14:paraId="39B91F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01.08.1940 г.</w:t>
            </w:r>
          </w:p>
        </w:tc>
        <w:tc>
          <w:tcPr>
            <w:tcW w:w="1216" w:type="dxa"/>
            <w:gridSpan w:val="2"/>
            <w:tcBorders>
              <w:top w:val="single" w:sz="6" w:space="0" w:color="auto"/>
              <w:left w:val="single" w:sz="6" w:space="0" w:color="auto"/>
              <w:bottom w:val="single" w:sz="12" w:space="0" w:color="auto"/>
              <w:right w:val="single" w:sz="6" w:space="0" w:color="auto"/>
            </w:tcBorders>
          </w:tcPr>
          <w:p w14:paraId="0DFE7D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3550</w:t>
            </w:r>
          </w:p>
        </w:tc>
        <w:tc>
          <w:tcPr>
            <w:tcW w:w="2250" w:type="dxa"/>
            <w:tcBorders>
              <w:top w:val="single" w:sz="6" w:space="0" w:color="auto"/>
              <w:left w:val="single" w:sz="6" w:space="0" w:color="auto"/>
              <w:bottom w:val="single" w:sz="12" w:space="0" w:color="auto"/>
              <w:right w:val="single" w:sz="12" w:space="0" w:color="auto"/>
            </w:tcBorders>
          </w:tcPr>
          <w:p w14:paraId="77109D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r>
    </w:tbl>
    <w:p w14:paraId="716326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Уменьшение ввода в эксплоатацию производственных плащадей с 1939 года объясняется тем, что к этому времени были закончены строительной частью основные цеха завода и капвложения в после</w:t>
      </w:r>
      <w:r w:rsidRPr="00A3026E">
        <w:rPr>
          <w:rFonts w:ascii="Times New Roman" w:hAnsi="Times New Roman"/>
          <w:color w:val="000000" w:themeColor="text1"/>
          <w:sz w:val="16"/>
          <w:szCs w:val="16"/>
        </w:rPr>
        <w:softHyphen/>
        <w:t>дующие годы шли на оснащение этих цехов современным оборудовани</w:t>
      </w:r>
      <w:r w:rsidRPr="00A3026E">
        <w:rPr>
          <w:rFonts w:ascii="Times New Roman" w:hAnsi="Times New Roman"/>
          <w:color w:val="000000" w:themeColor="text1"/>
          <w:sz w:val="16"/>
          <w:szCs w:val="16"/>
        </w:rPr>
        <w:softHyphen/>
        <w:t>ем.</w:t>
      </w:r>
    </w:p>
    <w:p w14:paraId="03B64F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капитальных работ на 1940 год первоначально был утверж</w:t>
      </w:r>
      <w:r w:rsidRPr="00A3026E">
        <w:rPr>
          <w:rFonts w:ascii="Times New Roman" w:hAnsi="Times New Roman"/>
          <w:color w:val="000000" w:themeColor="text1"/>
          <w:sz w:val="16"/>
          <w:szCs w:val="16"/>
        </w:rPr>
        <w:softHyphen/>
        <w:t>ден в сумме 29.500 тыс.руб., в последующем увеличился до 33.494 тыс.руб.</w:t>
      </w:r>
    </w:p>
    <w:p w14:paraId="040D33E3"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color w:val="000000" w:themeColor="text1"/>
          <w:sz w:val="16"/>
          <w:szCs w:val="16"/>
        </w:rPr>
        <w:t>На 1.9.40 г. план выполнен в сумме 18.397 тыс. руб. или 54,9%</w:t>
      </w:r>
    </w:p>
    <w:p w14:paraId="098C49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получено средств из Банка на 1.9.40 г. - 20.983,7, тыс. руб., выполнено работ на 18.397 тыс. руб., а 258,7 тыс. руб. нахо</w:t>
      </w:r>
      <w:r w:rsidRPr="00A3026E">
        <w:rPr>
          <w:rFonts w:ascii="Times New Roman" w:hAnsi="Times New Roman"/>
          <w:color w:val="000000" w:themeColor="text1"/>
          <w:sz w:val="16"/>
          <w:szCs w:val="16"/>
        </w:rPr>
        <w:softHyphen/>
        <w:t>дится в мобилях.</w:t>
      </w:r>
    </w:p>
    <w:p w14:paraId="65DB83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Строительство выполняется 2-й стройконторой 20 стройтреста НКАП. Контора ведет работы безубыточно и даже имеет прибыль, кото</w:t>
      </w:r>
      <w:r w:rsidRPr="00A3026E">
        <w:rPr>
          <w:rFonts w:ascii="Times New Roman" w:hAnsi="Times New Roman"/>
          <w:color w:val="000000" w:themeColor="text1"/>
          <w:sz w:val="16"/>
          <w:szCs w:val="16"/>
        </w:rPr>
        <w:softHyphen/>
        <w:t>рая на 1 августа составила 675 тыс. руб., но по зарплате имеется перерасход 86,7 тыс. руб.</w:t>
      </w:r>
    </w:p>
    <w:p w14:paraId="315ABC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обеспечению технической документацией были задеонки: по строительству литейной - техническая документация поступила с опозданием на 5 месяцев и по аэродрому - на 4 месяца.</w:t>
      </w:r>
    </w:p>
    <w:p w14:paraId="00F809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 утвержденных смет по реконструкции главного коопуса и литейной цветных металлов.</w:t>
      </w:r>
    </w:p>
    <w:p w14:paraId="46983B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Стройконтора квалифицированными рабочими кадрами обеспечена удовлетворительно, требуется пополнить несколько подсобных рабочих.</w:t>
      </w:r>
    </w:p>
    <w:p w14:paraId="59267E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Низкое выполнение плана строительства об'ясняется недостаточ</w:t>
      </w:r>
      <w:r w:rsidRPr="00A3026E">
        <w:rPr>
          <w:rFonts w:ascii="Times New Roman" w:hAnsi="Times New Roman"/>
          <w:color w:val="000000" w:themeColor="text1"/>
          <w:sz w:val="16"/>
          <w:szCs w:val="16"/>
        </w:rPr>
        <w:softHyphen/>
        <w:t>ностью строительных материалов, особенно лимитируют местные мате</w:t>
      </w:r>
      <w:r w:rsidRPr="00A3026E">
        <w:rPr>
          <w:rFonts w:ascii="Times New Roman" w:hAnsi="Times New Roman"/>
          <w:color w:val="000000" w:themeColor="text1"/>
          <w:sz w:val="16"/>
          <w:szCs w:val="16"/>
        </w:rPr>
        <w:softHyphen/>
        <w:t>риалы.</w:t>
      </w:r>
    </w:p>
    <w:p w14:paraId="34CF5E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постановлению КО № 236сс от 29.5.40 г. Воронежский Облис</w:t>
      </w:r>
      <w:r w:rsidRPr="00A3026E">
        <w:rPr>
          <w:rFonts w:ascii="Times New Roman" w:hAnsi="Times New Roman"/>
          <w:color w:val="000000" w:themeColor="text1"/>
          <w:sz w:val="16"/>
          <w:szCs w:val="16"/>
        </w:rPr>
        <w:softHyphen/>
        <w:t>полком обеспечил выделение местных материалов на 1.9.40 г. неудов</w:t>
      </w:r>
      <w:r w:rsidRPr="00A3026E">
        <w:rPr>
          <w:rFonts w:ascii="Times New Roman" w:hAnsi="Times New Roman"/>
          <w:color w:val="000000" w:themeColor="text1"/>
          <w:sz w:val="16"/>
          <w:szCs w:val="16"/>
        </w:rPr>
        <w:softHyphen/>
        <w:t>летворительно:</w:t>
      </w:r>
    </w:p>
    <w:p w14:paraId="1259B3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кирпичу удовлетворено на 37%</w:t>
      </w:r>
    </w:p>
    <w:p w14:paraId="163529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камню бутовому -"- на 41,7%</w:t>
      </w:r>
    </w:p>
    <w:p w14:paraId="1097EB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алебастру -"- " 5%</w:t>
      </w:r>
    </w:p>
    <w:p w14:paraId="2F3485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извести -"- " 33,1%</w:t>
      </w:r>
    </w:p>
    <w:p w14:paraId="0D045DB4"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color w:val="000000" w:themeColor="text1"/>
          <w:sz w:val="16"/>
          <w:szCs w:val="16"/>
        </w:rPr>
        <w:lastRenderedPageBreak/>
        <w:t>Монтажные работы по заводу выполняются самим заводом, своими заводскими кадрами, при чем на этих работах завод имеет убытки, так как тарифная ставка рабочих завода является выше тарифной ставки строительных рабочих и эта разница списывается заводом на убыток основной деятельности, по статье потерь по услугам капитальному строительству...</w:t>
      </w:r>
      <w:r w:rsidRPr="00A3026E">
        <w:rPr>
          <w:rFonts w:ascii="Times New Roman" w:hAnsi="Times New Roman"/>
          <w:smallCaps/>
          <w:color w:val="000000" w:themeColor="text1"/>
          <w:sz w:val="16"/>
          <w:szCs w:val="16"/>
        </w:rPr>
        <w:t xml:space="preserve"> (10504,196).</w:t>
      </w:r>
    </w:p>
    <w:p w14:paraId="7B8B775D"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306F14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года Вр. начальник НИИ ВВС в/инженер 1 ранга Лосюков утвердил Отчет испытания самолета СБ 2М105 с винтами ВИШ-22Е № 1/227</w:t>
      </w:r>
    </w:p>
    <w:p w14:paraId="307B44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03F1FC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 в/инженер 3 ранга Мальцев</w:t>
      </w:r>
    </w:p>
    <w:p w14:paraId="757982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капитан майор Автономов</w:t>
      </w:r>
    </w:p>
    <w:p w14:paraId="5180F6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5B6C9CC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летные характеристики самолета СБ с моторами М-105 и винтами ВИШ-22Е.</w:t>
      </w:r>
    </w:p>
    <w:p w14:paraId="70C662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Испытанию подвергался самолет СБ 2М-105 с винтами ВИШ-22Е № 1/227 ранее проходивший испытание по снятию летных характеристик на лыжах в 1 отделе НИИ ВВС в марте 1940 года.</w:t>
      </w:r>
    </w:p>
    <w:p w14:paraId="05CCA9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 момента выхода с завода № 22 с 11 декабря 1939 года по 10 августа 1940 года работал в воздухе 156 час. 25 мин. и имел 159 посадок. Сменено 11 моторов – из них правых – 4, левых – 7.</w:t>
      </w:r>
    </w:p>
    <w:p w14:paraId="178805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начато 16 июля 1940 года</w:t>
      </w:r>
    </w:p>
    <w:p w14:paraId="5847FC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закончено 13 августа 1940 года</w:t>
      </w:r>
    </w:p>
    <w:p w14:paraId="5CADD3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самолет произвел 18 полетов с количеством налета в воздухе – 9 час. 21 мин.</w:t>
      </w:r>
    </w:p>
    <w:p w14:paraId="139C6B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72E4616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Полученные летные данные самолета СБ 2М105 № 1/227 с ВИШ-22Е не являются максимальными для самолетов СБ 2М-105 и требуют проверки их на другом самолете СБ с мотором М-105 (4481).</w:t>
      </w:r>
    </w:p>
    <w:p w14:paraId="3E794FC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B6B4E51" w14:textId="77777777" w:rsidR="00EF7BAC" w:rsidRPr="00A3026E" w:rsidRDefault="00EF7BA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октября 1940 года решением Политбюро ЦК ВКП(б) № П 21/117- ОП «О самолете И-301» всего лишь неделю спустя после выхода постановления ЦК ВКП(б) и СНК СССР от 2 октября 1940 года, во изменение предыдущего постановления, предписывалось поставить серийное производство самолетов И-301 с дальностью полета в 1000 км на 0,9 максимальной скорости на заводе № 23 (23197).</w:t>
      </w:r>
    </w:p>
    <w:p w14:paraId="5EA86CF7" w14:textId="77777777" w:rsidR="00EF7BAC" w:rsidRPr="00A3026E" w:rsidRDefault="00EF7BAC" w:rsidP="00A3026E">
      <w:pPr>
        <w:spacing w:after="0" w:line="240" w:lineRule="auto"/>
        <w:jc w:val="both"/>
        <w:rPr>
          <w:rFonts w:ascii="Times New Roman" w:hAnsi="Times New Roman"/>
          <w:color w:val="0070C0"/>
          <w:sz w:val="16"/>
          <w:szCs w:val="16"/>
        </w:rPr>
      </w:pPr>
    </w:p>
    <w:p w14:paraId="4EF6A1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года А.И.Шахурин был непре</w:t>
      </w:r>
      <w:r w:rsidRPr="00A3026E">
        <w:rPr>
          <w:rFonts w:ascii="Times New Roman" w:hAnsi="Times New Roman"/>
          <w:color w:val="000000" w:themeColor="text1"/>
          <w:sz w:val="16"/>
          <w:szCs w:val="16"/>
        </w:rPr>
        <w:softHyphen/>
        <w:t>клонен и в письме сообщил ведуще</w:t>
      </w:r>
      <w:r w:rsidRPr="00A3026E">
        <w:rPr>
          <w:rFonts w:ascii="Times New Roman" w:hAnsi="Times New Roman"/>
          <w:color w:val="000000" w:themeColor="text1"/>
          <w:sz w:val="16"/>
          <w:szCs w:val="16"/>
        </w:rPr>
        <w:softHyphen/>
        <w:t>му конструктору по самолету Соколову и директору завода № 21 Воронину:</w:t>
      </w:r>
    </w:p>
    <w:p w14:paraId="66A4FA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Возобновлениеработ по трем самолетам И-180, стро</w:t>
      </w:r>
      <w:r w:rsidRPr="00A3026E">
        <w:rPr>
          <w:rFonts w:ascii="Times New Roman" w:hAnsi="Times New Roman"/>
          <w:color w:val="000000" w:themeColor="text1"/>
          <w:sz w:val="16"/>
          <w:szCs w:val="16"/>
        </w:rPr>
        <w:softHyphen/>
        <w:t>ившимся как эталоны для серийного производства завода № 21, не может быть разрешено.</w:t>
      </w:r>
    </w:p>
    <w:p w14:paraId="621EA7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Продолжать дальнейшие работы по доводкам и испыта</w:t>
      </w:r>
      <w:r w:rsidRPr="00A3026E">
        <w:rPr>
          <w:rFonts w:ascii="Times New Roman" w:hAnsi="Times New Roman"/>
          <w:color w:val="000000" w:themeColor="text1"/>
          <w:sz w:val="16"/>
          <w:szCs w:val="16"/>
        </w:rPr>
        <w:softHyphen/>
        <w:t>ниям этих самолетов нецелесообразно ввиду имеющегося ре</w:t>
      </w:r>
      <w:r w:rsidRPr="00A3026E">
        <w:rPr>
          <w:rFonts w:ascii="Times New Roman" w:hAnsi="Times New Roman"/>
          <w:color w:val="000000" w:themeColor="text1"/>
          <w:sz w:val="16"/>
          <w:szCs w:val="16"/>
        </w:rPr>
        <w:softHyphen/>
        <w:t>шения по программе завода на 1941 г.» (10745,72).</w:t>
      </w:r>
    </w:p>
    <w:p w14:paraId="4D0BDB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AE9B7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года решением Политбюро ЦК ВКП(б) № П 21 / 117 – ОП «О самолете И-301», в частности, предписывалось во изменение постановления ЦК ВКП(б) и СНК СССР от 2 октября 1940 года о постановке на серийное производство на заводе № 23 самолета И-26 поставить серийное производство самолетов И-301 на заводе № 23 с дальностью полета в 1000 км на 0,9 максимальной скорости (Там же. Л. 129-130.).</w:t>
      </w:r>
    </w:p>
    <w:p w14:paraId="532314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для ленинградских авиапредприятий №№ 23, 47, 380, 381, 387 была составлена программа выпуска продукции на следующий, 1941 год, согласно которой предполагалось изготовить 4260 самолетов шести типов (см. Таблицу 8 раздела «Приложения»), однако и она не была окончательной. Так, решением Политбюро ЦК ВКП(б) от 12 февраля 1941 года утверждалось Постановление ЦК ВКП(б) и СНК СССР «О снятии с производства самолета Як-4 и постановлении на производство Ил-2 на заводе № 380» (Степанов А.С. Указ. соч. С.69.).</w:t>
      </w:r>
    </w:p>
    <w:p w14:paraId="03D27B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же касается итогов производства 1940 года, то они отражены в Таблице 6 раздела «Приложения». Из нее следует, что в Ленинграде по-прежнему производилась основная часть небоевых самолетов СССР, но доля учебных машин «ленинградской генерации» составила чуть более 10% от общего числа произведенных в стране самолетов всех типов, что означало двукратное относительное снижение по сравнению с аналогичным соотношением 1939 года. В абсолютных цифрах тогда в Ленинграде было изготовлено больше учебных машин, чем в 1940 году предприятия всей страны выпустили небоевых самолетов всех типов. Это отражало общие тенденции перестройки авиапрома и означало, что резкий рост военной авиации происходит за счет снижения выпуска всех прочих категорий самолетов, в том числе и за счет недополучения учебных машин. Так, в Материалах по годовому отчету 6-го Управления ГУ ВВС КА за 1940 год сообщалось, что завод № 23 выполнил за первое полугодие программу по С-2, У-2, УТ2, но позже ситуация изменилась: «Во втором полугодии заказа на поставку 800 самолетов У-2 завод не принял, мотивируя тем, что НКАП дал указание заводу переключиться на изготовление самолета И-301. По этой же причине завод недовыполнил годовую программу по С-2 и УТ-2»( РГВА. Ф. 29. Оп. 56. Д. 182. Л. 1, 8-9.).</w:t>
      </w:r>
    </w:p>
    <w:p w14:paraId="3CE14C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подсчетам А.Н. Щербы, в начале 1939 года в Ленинграде работало два авиазавода, подведомственных НКАП, а к началу Великой Отечественной войны в городе было развернуто уже 14 заводов НКАП, включая собственно самолетостроительные и авиаремонтные (без учета кооперировавших с ними предприятий и спеццехов других наркоматов, занимавшихся выпуском отдельных деталей, приборов и механизмов для авиапрома) (Щерба А.Н. Военная промышленность Ленинграда в 20-е – 30-е годы. СПб., 1999. С. 130.).</w:t>
      </w:r>
    </w:p>
    <w:p w14:paraId="2A5065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Подводя итоги предвоенной перестройки и расширения ленинградского авиапрома, можно отметить, что даже в существовавших планах не предусматривался крупномасштабный выпуск самолетов нового поколения в первом полугодии 1941 года, то есть к реально начавшимся боевым действиям, а практические результаты оказались еще более скромными (см. Таблицу 9 раздела «Приложения»). До начала войны заводами №№ 380 и 381 не было сдано ни одного штурмовика Ил-2, а выпуск самолета ЛаГГ-3 составил неполных три десятка. За первое полугодие 1941 года на авиамоторном заводе № 234 удалось собрать 71 двигатель М-105 и его модификаций (Подсчитано по: РГАЭ. Ф. 8044. Оп.1. Д. 3228. Л. 30 об.).</w:t>
      </w:r>
    </w:p>
    <w:p w14:paraId="694A3E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Примечательно, что, согласно пункту 17 протокола последнего предвоенного совещания заместителей наркома авиационной промышленности от 16 июня 1941 года, первым в повестке дня очередного заседания Коллегии, намеченного на 23 июня 1941 года, был вопрос «Работа заводов № 380 и № 381 по подготовке производства к выпуску самолетов Ил-2». В числе докладчиков значились Ленкин, Филимончук, Жуков (1941 год. Документы. Кн. 2. С. 378, 380.).</w:t>
      </w:r>
    </w:p>
    <w:p w14:paraId="604A53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нападения Германии практически сразу же началась подготовка к эвакуации самолетостроительных ленинградских предприятий и главный их вклад в оборону страны заключался в выпуске в первом полугодии около 1000 учебных машин «старых» конструкций (11672).</w:t>
      </w:r>
    </w:p>
    <w:p w14:paraId="1E680B0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87ACF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Протокол № 21. Решения ПБ за 27 сентября - 28 октября 1940 г.</w:t>
      </w:r>
    </w:p>
    <w:p w14:paraId="3A7911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27.9.40 г.</w:t>
      </w:r>
    </w:p>
    <w:p w14:paraId="51AD3E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 Вопрос КО. О постройке авиамотора МБ-100*.</w:t>
      </w:r>
    </w:p>
    <w:p w14:paraId="7E3996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30.9.40 г.</w:t>
      </w:r>
    </w:p>
    <w:p w14:paraId="025585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26. Об увеличении производства газового бензина (постановление СНК СССР и ЦК ВКП (б)).</w:t>
      </w:r>
    </w:p>
    <w:p w14:paraId="25EE2F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02. 10.40 г.</w:t>
      </w:r>
    </w:p>
    <w:p w14:paraId="3DA9B1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 46. Об увеличении дальности истребителей и о поставке их производства на заводах (постановление СНК СССР и ЦК ВКП (б))*. </w:t>
      </w:r>
      <w:r w:rsidRPr="00A3026E">
        <w:rPr>
          <w:rFonts w:ascii="Times New Roman" w:hAnsi="Times New Roman"/>
          <w:color w:val="000000" w:themeColor="text1"/>
          <w:sz w:val="16"/>
          <w:szCs w:val="16"/>
          <w:u w:val="single"/>
        </w:rPr>
        <w:t>04. 10. 40 г.</w:t>
      </w:r>
    </w:p>
    <w:p w14:paraId="321D0E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60. Об изготовлении новых образцов вооружения для НКО (постановление СНК СССР и ЦК ВКП (б))*.</w:t>
      </w:r>
    </w:p>
    <w:p w14:paraId="1FC105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u w:val="single"/>
        </w:rPr>
      </w:pPr>
      <w:r w:rsidRPr="00A3026E">
        <w:rPr>
          <w:rFonts w:ascii="Times New Roman" w:hAnsi="Times New Roman"/>
          <w:color w:val="000000" w:themeColor="text1"/>
          <w:sz w:val="16"/>
          <w:szCs w:val="16"/>
          <w:u w:val="single"/>
        </w:rPr>
        <w:t>08.10.40 г.</w:t>
      </w:r>
    </w:p>
    <w:p w14:paraId="4AF1A6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99. Об организации производства боевых самолетов и авиационных моторов на Украине (11773).</w:t>
      </w:r>
    </w:p>
    <w:p w14:paraId="338DA4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П.100. О строительстве в Ленинграде второго авиамоторного завода*.</w:t>
      </w:r>
    </w:p>
    <w:p w14:paraId="5BE952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09.10. 40 г.</w:t>
      </w:r>
    </w:p>
    <w:p w14:paraId="210F94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117. О самолетах И-301*.</w:t>
      </w:r>
    </w:p>
    <w:p w14:paraId="6DB756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15. 10.40 г.</w:t>
      </w:r>
    </w:p>
    <w:p w14:paraId="2D816B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215. О постройке самолетов «100»*.</w:t>
      </w:r>
    </w:p>
    <w:p w14:paraId="58FB1C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17.10.40 г.</w:t>
      </w:r>
    </w:p>
    <w:p w14:paraId="347327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239. Об организации производства боевых самолетов в г. Ростове (постановление СНК СССРиЦКВКП(б))*.</w:t>
      </w:r>
    </w:p>
    <w:p w14:paraId="40C15F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240. Об организации производства боевых самолетов и авиационных моторов в Белоруссии (постановление СНК СССР и ЦК ВКП (б))*.</w:t>
      </w:r>
    </w:p>
    <w:p w14:paraId="557222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242. О производстве авиационных моторов М-105 на Горьковском авиазаводе им. Молотова*.</w:t>
      </w:r>
    </w:p>
    <w:p w14:paraId="16A943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18.10.40 г.</w:t>
      </w:r>
    </w:p>
    <w:p w14:paraId="769ED4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246. О постройке мастерских для снаряжения боевых патронов из стреляных гильз*.</w:t>
      </w:r>
    </w:p>
    <w:p w14:paraId="46578F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23.10.40 г.</w:t>
      </w:r>
    </w:p>
    <w:p w14:paraId="282F9E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289. О производстве моторов М-63 и М-81 (постановление ЦК ВКП (б) и СНК СССР)*.</w:t>
      </w:r>
    </w:p>
    <w:p w14:paraId="45DD15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24.10.40 г.</w:t>
      </w:r>
    </w:p>
    <w:p w14:paraId="4D95B7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301. О производстве винтовок на Подольском механическом заводе* (11773).</w:t>
      </w:r>
    </w:p>
    <w:p w14:paraId="03BB52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44E7D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вышло постановление КО о постановке на серийное производство И-301 на 23 заводе (959,62).</w:t>
      </w:r>
    </w:p>
    <w:p w14:paraId="1220FB0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49F2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П.О.С. подписал эскизный проект одноместного истребителя с 2хАМ-37 (577,14).</w:t>
      </w:r>
    </w:p>
    <w:p w14:paraId="2DDDD8D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2D44D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П.О.С. напраивил в НКАП, а чуть позже - и в НИИ ВВС эскизный проект одноместного истребителя обороны пункта с 2хАМ-37 (9537,15).</w:t>
      </w:r>
    </w:p>
    <w:p w14:paraId="15B5C29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8F5F5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Нач. ЦАГИ гма И.Ф.Петров и Нач. Лаборатории № 8 ЦАГИ А.В.Чесалов писали письмо № 32/745с Зам. НКАП тов. А.С.Я.</w:t>
      </w:r>
    </w:p>
    <w:p w14:paraId="0EE31A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Настоящим сообщаем предварительные данные испытания с-та И-135 М-105П 2ТК-2 конструкции т.Сухого П.О. производства з-да № 135</w:t>
      </w:r>
    </w:p>
    <w:p w14:paraId="3974E6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За время испытаний с 15/6-40 г. по 2.10—40 г. произведено 33 полета, самолет пробыл в воздухе 7,5 час.</w:t>
      </w:r>
    </w:p>
    <w:p w14:paraId="54BF41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Взлет, посадка и движение самолета по земле устойчивы, тенденции к разворотам и рысканью не наблюдалось при разном открытии щитков (от 0° до 55°).</w:t>
      </w:r>
    </w:p>
    <w:p w14:paraId="4837A4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 предварительной (качественной) оценке летчиков т.т. Черняв</w:t>
      </w:r>
      <w:r w:rsidRPr="00A3026E">
        <w:rPr>
          <w:rFonts w:ascii="Times New Roman" w:hAnsi="Times New Roman"/>
          <w:color w:val="000000" w:themeColor="text1"/>
          <w:sz w:val="16"/>
          <w:szCs w:val="16"/>
        </w:rPr>
        <w:softHyphen/>
        <w:t>ского и Попельнушенко самолет устойчив по всем трем осям, приятен и прост в управлении. Несколько великоваты усилия на ручке управления от рулем высоты.</w:t>
      </w:r>
    </w:p>
    <w:p w14:paraId="19B616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Вибрации типа бафтинг и флаттер на самолете отсутствуют. Испы</w:t>
      </w:r>
      <w:r w:rsidRPr="00A3026E">
        <w:rPr>
          <w:rFonts w:ascii="Times New Roman" w:hAnsi="Times New Roman"/>
          <w:color w:val="000000" w:themeColor="text1"/>
          <w:sz w:val="16"/>
          <w:szCs w:val="16"/>
        </w:rPr>
        <w:softHyphen/>
        <w:t>тания проводились в диапазоне скоростей от 150 км/час. до 600 км/ час. по прибору.</w:t>
      </w:r>
    </w:p>
    <w:p w14:paraId="797A00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Винто-мторная группа и шасси нуждаются в дальнейшей доводке (были случаи затирания и невыпуска шасси в воздухе гидропомпой, установленной на моторе).</w:t>
      </w:r>
    </w:p>
    <w:p w14:paraId="586531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аварией мотора испытания самолета с 2/Х-40 г. прекращены и последний отправлен на з-д №- 289 для смены мотора, установки вооружения и устранения выявленных при испытании дефектов.</w:t>
      </w:r>
    </w:p>
    <w:p w14:paraId="3D2D0C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испытании самолет находился 85 дней на устра</w:t>
      </w:r>
      <w:r w:rsidRPr="00A3026E">
        <w:rPr>
          <w:rFonts w:ascii="Times New Roman" w:hAnsi="Times New Roman"/>
          <w:color w:val="000000" w:themeColor="text1"/>
          <w:sz w:val="16"/>
          <w:szCs w:val="16"/>
        </w:rPr>
        <w:softHyphen/>
        <w:t>нении дефектов и в ремонте после 1-й аварии (874,75).</w:t>
      </w:r>
    </w:p>
    <w:p w14:paraId="043DF5F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812A2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года Врид. начальника НИИ ВВС в/инженер 1 ранга Лосюков утвердил Заключение по предложению воентехника 1 ранга Наумычева А.В. «Самолет с раздвижным крылом»</w:t>
      </w:r>
    </w:p>
    <w:p w14:paraId="5DF9C6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Увеличение диапазона скоростей за счет изменения площади крыла в воздухе имеет давнюю историю и многих последователей.</w:t>
      </w:r>
    </w:p>
    <w:p w14:paraId="5232FD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этой области известны работы:</w:t>
      </w:r>
    </w:p>
    <w:p w14:paraId="092AD74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Махонина – выдвигается консоль крыла (телескопическая конструкция).</w:t>
      </w:r>
    </w:p>
    <w:p w14:paraId="4B923DE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Медведева (США) – складывающееся в полете крыло. Нижняя плоскость биплана прижимается к фюзеляжу.</w:t>
      </w:r>
    </w:p>
    <w:p w14:paraId="445E733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Шмейдлера – выдвигающаяся поверхность из основного крыла.</w:t>
      </w:r>
    </w:p>
    <w:p w14:paraId="767778D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Бакшаева - выдвигающаяся консоль в направлении размаха крыла (телескопическая конструкция).</w:t>
      </w:r>
    </w:p>
    <w:p w14:paraId="6064E6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ряда других иностранных конструкторов.</w:t>
      </w:r>
    </w:p>
    <w:p w14:paraId="19DAF9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Махонина постройки 1931 года имел неубирающиеся шасси, в то время как самолет постройки 1939 года имеет убирающееся шасси.</w:t>
      </w:r>
    </w:p>
    <w:p w14:paraId="009386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695389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Постройка самолета с раздвижным крылом, предложенного Наумычевым нецелесообразна (4630).</w:t>
      </w:r>
    </w:p>
    <w:p w14:paraId="15A86D7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97C62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года зам. начальника вооружения и снабжения ВВС бригинженер П. Федоров писал письмо № 501218сс члену Хозяйственного совета по оборонной промышленности дивинженеру Репину</w:t>
      </w:r>
    </w:p>
    <w:p w14:paraId="33DC5E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Направляю Вам сводку о ходе испытаний опытных самолетов по состоянию на 7 октября 1940 года.</w:t>
      </w:r>
    </w:p>
    <w:p w14:paraId="282470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упомянутое на 4 листах (3377, 25).</w:t>
      </w:r>
    </w:p>
    <w:p w14:paraId="18FC2B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 о ходе испытаний опытных самолетов на 7 октября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9"/>
        <w:gridCol w:w="8448"/>
      </w:tblGrid>
      <w:tr w:rsidR="00983732" w:rsidRPr="00A3026E" w14:paraId="0B1C7FE6" w14:textId="77777777" w:rsidTr="00EA0DA7">
        <w:tc>
          <w:tcPr>
            <w:tcW w:w="3119" w:type="dxa"/>
          </w:tcPr>
          <w:p w14:paraId="1D19C6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самолета</w:t>
            </w:r>
          </w:p>
        </w:tc>
        <w:tc>
          <w:tcPr>
            <w:tcW w:w="8448" w:type="dxa"/>
          </w:tcPr>
          <w:p w14:paraId="00E277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работ</w:t>
            </w:r>
          </w:p>
        </w:tc>
      </w:tr>
      <w:tr w:rsidR="00983732" w:rsidRPr="00A3026E" w14:paraId="2BA2D0B5" w14:textId="77777777" w:rsidTr="00EA0DA7">
        <w:tc>
          <w:tcPr>
            <w:tcW w:w="3119" w:type="dxa"/>
          </w:tcPr>
          <w:p w14:paraId="5F6359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И-135 "330" М-105П – гл. конструктор Сухой</w:t>
            </w:r>
          </w:p>
          <w:p w14:paraId="0172F2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135</w:t>
            </w:r>
          </w:p>
          <w:p w14:paraId="31BC12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w:t>
            </w:r>
          </w:p>
        </w:tc>
        <w:tc>
          <w:tcPr>
            <w:tcW w:w="8448" w:type="dxa"/>
          </w:tcPr>
          <w:p w14:paraId="171A7F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продолжал заводские испытания и до 5 октября на нем были произведены полеты на сверхмаксимальную скорость и исследование баффинтинга (см. предыдущую сводку).</w:t>
            </w:r>
          </w:p>
          <w:p w14:paraId="6E93F8F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C41C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период с 30 сентября по 5 октября были произведены следующие работы:</w:t>
            </w:r>
          </w:p>
          <w:p w14:paraId="277E871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Определение взлетно-посадочных свойств самолета – 15 полетов 40 минут – 1 октября 1940 года.</w:t>
            </w:r>
          </w:p>
          <w:p w14:paraId="3C127F3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2 октября 1940 года – полет на определение скоростей по высотам на 7000 и 6000 м продолжительностью 20 минут.</w:t>
            </w:r>
          </w:p>
          <w:p w14:paraId="2CA80B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полете на максимальной скорости на высоте 6000 м у мотора оборвались шатуны в 4-м и 10-м цилиндрах, пробило картер и погнуло брус моторной рамы. Посадка произведена нормально. Предварительное заключение по аварии мотора – дефект мотора.</w:t>
            </w:r>
          </w:p>
          <w:p w14:paraId="45DC33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в ночь с 3 по 4 октября перевезен на завод № 289 (Подлипки) для ремонта.</w:t>
            </w:r>
          </w:p>
        </w:tc>
      </w:tr>
      <w:tr w:rsidR="00983732" w:rsidRPr="00A3026E" w14:paraId="01EA2627" w14:textId="77777777" w:rsidTr="00EA0DA7">
        <w:tc>
          <w:tcPr>
            <w:tcW w:w="3119" w:type="dxa"/>
          </w:tcPr>
          <w:p w14:paraId="202D87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М-105П – гл. конструкторы Горбунов, Лавочкин и Гудков</w:t>
            </w:r>
          </w:p>
          <w:p w14:paraId="0DB101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301</w:t>
            </w:r>
          </w:p>
          <w:p w14:paraId="5A98CE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w:t>
            </w:r>
          </w:p>
        </w:tc>
        <w:tc>
          <w:tcPr>
            <w:tcW w:w="8448" w:type="dxa"/>
          </w:tcPr>
          <w:p w14:paraId="333295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Ремонт самолета заканчивается. За период с 30 сентября по 5 октября произведены следующие работы: обшивка центроплана приклеена к каркасу, закончена установка шасси, окончен монтаж винтомоторной группы, утсановлены отводящие рукава пулеметов БС, установлены звеньеулавливатели пулеметов ШКАС, сделано отверстие в хвостовой части для поднятия хвоста самолета, увеличен вырез для уборки костыля, заканчивается монтаж радиостанции.</w:t>
            </w:r>
          </w:p>
          <w:p w14:paraId="36A566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производится покраска самолета, так как маляров в опытном цехе нет, а с серийных самолетов И-26 маляров не дают.</w:t>
            </w:r>
          </w:p>
          <w:p w14:paraId="024A62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Покраска же машины потребует не меньше трех дней.</w:t>
            </w:r>
          </w:p>
          <w:p w14:paraId="7AAF33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Ориентировочный срок выхода самолета на заводские испытания 12-15 октября 1940 года.</w:t>
            </w:r>
          </w:p>
          <w:p w14:paraId="2E5BC8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втором экземпляре самолета заканчивается монтаж винтомоторной группы и управления. На самолете начата работа по установке дополнительных бензобаков в консолях крыльев (общее количество горючего будет 400 кг), а также установка двух пулеметов ШКАС в разъеме крыла.</w:t>
            </w:r>
          </w:p>
          <w:p w14:paraId="12189B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дублера таким образом будет:</w:t>
            </w:r>
          </w:p>
          <w:p w14:paraId="552112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 калибра 23 мм</w:t>
            </w:r>
          </w:p>
          <w:p w14:paraId="70CBE9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пулеметов БС калибра 12,7 мм</w:t>
            </w:r>
          </w:p>
          <w:p w14:paraId="59C736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пулеметов ШКАС (синхронные).</w:t>
            </w:r>
          </w:p>
          <w:p w14:paraId="4A7D957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DC67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пулеметов ШКАС (в разъеме крыла).</w:t>
            </w:r>
          </w:p>
          <w:p w14:paraId="78812E9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EE4FD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предусмотрена установка РС и подвесных бензобаков.</w:t>
            </w:r>
          </w:p>
        </w:tc>
      </w:tr>
      <w:tr w:rsidR="00983732" w:rsidRPr="00A3026E" w14:paraId="76D31B00" w14:textId="77777777" w:rsidTr="00EA0DA7">
        <w:tc>
          <w:tcPr>
            <w:tcW w:w="3119" w:type="dxa"/>
          </w:tcPr>
          <w:p w14:paraId="0EC656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 – гл. конструктор Ермолаев</w:t>
            </w:r>
          </w:p>
          <w:p w14:paraId="69FF85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240</w:t>
            </w:r>
          </w:p>
          <w:p w14:paraId="0AAD89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Госиспытания.</w:t>
            </w:r>
          </w:p>
        </w:tc>
        <w:tc>
          <w:tcPr>
            <w:tcW w:w="8448" w:type="dxa"/>
          </w:tcPr>
          <w:p w14:paraId="3E7FC4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10 полетов продолжительностью 15 часов 40 минут, что составляет 40% программы госиспытаний.</w:t>
            </w:r>
          </w:p>
          <w:p w14:paraId="46A6BD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Определены: скороподъемность, потолок, максимальные скорости по высотам и у земли, поведение самолета на сверхмаксимальной скорости. Исследована статическая и динамическая устойчивость самолета на трех центровках.</w:t>
            </w:r>
          </w:p>
          <w:p w14:paraId="05B4A1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Выявлено большое количество дефектов, из которых основнымиявляются:</w:t>
            </w:r>
          </w:p>
          <w:p w14:paraId="7DA359E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недостаточная прочность колес, резины шасси и резины хвостового колеса.</w:t>
            </w:r>
          </w:p>
          <w:p w14:paraId="7EBDB10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Резкое захватывание тормозов колес шасси, что исключает возможность пользоваться ими при пробеге (дефект конструктивный).</w:t>
            </w:r>
          </w:p>
          <w:p w14:paraId="4E3E963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5216A3D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r w:rsidRPr="00A3026E">
              <w:rPr>
                <w:rFonts w:ascii="Times New Roman" w:hAnsi="Times New Roman"/>
                <w:color w:val="000000" w:themeColor="text1"/>
                <w:sz w:val="16"/>
                <w:szCs w:val="16"/>
              </w:rPr>
              <w:tab/>
              <w:t>Недоведенность бомбардировочного вооружения.</w:t>
            </w:r>
          </w:p>
          <w:p w14:paraId="499918D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r w:rsidRPr="00A3026E">
              <w:rPr>
                <w:rFonts w:ascii="Times New Roman" w:hAnsi="Times New Roman"/>
                <w:color w:val="000000" w:themeColor="text1"/>
                <w:sz w:val="16"/>
                <w:szCs w:val="16"/>
              </w:rPr>
              <w:tab/>
              <w:t>Частый прогар выхлопных патрубков.</w:t>
            </w:r>
          </w:p>
          <w:p w14:paraId="115BF6B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r w:rsidRPr="00A3026E">
              <w:rPr>
                <w:rFonts w:ascii="Times New Roman" w:hAnsi="Times New Roman"/>
                <w:color w:val="000000" w:themeColor="text1"/>
                <w:sz w:val="16"/>
                <w:szCs w:val="16"/>
              </w:rPr>
              <w:tab/>
              <w:t>Частый отказ тахометров, бензоманометров, газоанализаторов и др.</w:t>
            </w:r>
          </w:p>
          <w:p w14:paraId="101453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каждого полета, при осмотре самолета выявляются дефекты, на устранение которых затрачиваются 5-8 часов работы всей бригады.</w:t>
            </w:r>
          </w:p>
        </w:tc>
      </w:tr>
      <w:tr w:rsidR="00983732" w:rsidRPr="00A3026E" w14:paraId="58256DD2" w14:textId="77777777" w:rsidTr="00EA0DA7">
        <w:tc>
          <w:tcPr>
            <w:tcW w:w="3119" w:type="dxa"/>
          </w:tcPr>
          <w:p w14:paraId="1BBFCB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М-105П – гл. конструктор Яковлев</w:t>
            </w:r>
          </w:p>
          <w:p w14:paraId="27E476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115</w:t>
            </w:r>
          </w:p>
          <w:p w14:paraId="02A574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w:t>
            </w:r>
          </w:p>
        </w:tc>
        <w:tc>
          <w:tcPr>
            <w:tcW w:w="8448" w:type="dxa"/>
          </w:tcPr>
          <w:p w14:paraId="206920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экземпляр самолета находится в цехе завода № 115. Производятся работы по переделке самолета. Устанавливается отъемная моторама, предкрылки, переделываются шасси и устанавливается мотор М-105П с трехскоростным нагнетателем. Производятся монтажные работы.</w:t>
            </w:r>
          </w:p>
          <w:p w14:paraId="7C166E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Третий экземпляр. На самолете произведено для полета на опробывание винтомоторной группы и пикирование до – 628 км/час.</w:t>
            </w:r>
          </w:p>
          <w:p w14:paraId="0386E3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 октября 1940 года самолет перегнан в НИИ ВВС для заводского отстрела в тире.</w:t>
            </w:r>
          </w:p>
          <w:p w14:paraId="68DFBA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отстреле в тире выяснилось, что стрелковое вооружение работает очень плохо и требуются большие переделки в монтаже вооружения.</w:t>
            </w:r>
          </w:p>
          <w:p w14:paraId="69FEA8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доводки и отстрела вооружения на земле и в воздухе, самолет будет передан на госиспытания.</w:t>
            </w:r>
          </w:p>
          <w:p w14:paraId="6988BC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на самолете произведено 24 полета 6 часов 27 минут.</w:t>
            </w:r>
          </w:p>
          <w:p w14:paraId="3DBCBE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Головной серийный самолет постройки завода № 301 4 октября 1940 года принят на госиспытания.</w:t>
            </w:r>
          </w:p>
          <w:p w14:paraId="0CD7B9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 один ознакомительный полет во время которого при давлении в воздушной системе 40 атм. шасси не убрались, в силу чего полет был прерван.</w:t>
            </w:r>
          </w:p>
          <w:p w14:paraId="4AFFF3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Уборку шасси возможно производить при давлении не менее 45 атм. при условии открытой полотняной части купола, а при закрытой части купола шасси вовсе не убирается.</w:t>
            </w:r>
          </w:p>
        </w:tc>
      </w:tr>
      <w:tr w:rsidR="00983732" w:rsidRPr="00A3026E" w14:paraId="40C801CE" w14:textId="77777777" w:rsidTr="00EA0DA7">
        <w:tc>
          <w:tcPr>
            <w:tcW w:w="3119" w:type="dxa"/>
          </w:tcPr>
          <w:p w14:paraId="2EF2E8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И-200 АМ-35А – гл. конструктор Микоян</w:t>
            </w:r>
          </w:p>
          <w:p w14:paraId="37CE87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w:t>
            </w:r>
          </w:p>
          <w:p w14:paraId="09250C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w:t>
            </w:r>
          </w:p>
        </w:tc>
        <w:tc>
          <w:tcPr>
            <w:tcW w:w="8448" w:type="dxa"/>
          </w:tcPr>
          <w:p w14:paraId="6D61A4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 № 1. На самолете производятся (на заводе) испытания колес и заводские испытания заполнения бензобаков нейтральным газом. После замены 4-х слойной резины на 6-ти слойную произведено 137 полетов, после которых закончено разрушение 6-ти слойной резины. Самолет в нелетном состоянии, производится замена резины. Самолет готовится для предъявления на госиспытания установки нейтрального газа к 12 октября 1940 года.</w:t>
            </w:r>
          </w:p>
          <w:p w14:paraId="55E319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 № 2. В НИИ ВВС на самолете производятся 50-ти часовые летные госиспытания мотора АМ-35А.</w:t>
            </w:r>
          </w:p>
          <w:p w14:paraId="045EB8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11 полетов. Потек водорадиатор. Самолет в нелетном состоянии ………………………</w:t>
            </w:r>
          </w:p>
          <w:p w14:paraId="40E589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 № 03. Самолет на заводе № 1. Заменены металлические крылья на новые. Производятся установки и подгонка двух пушек Таубина под крыльями, после чего самолет направится на заводские испытания вооружения в НИИПАВ.</w:t>
            </w:r>
          </w:p>
        </w:tc>
      </w:tr>
      <w:tr w:rsidR="00983732" w:rsidRPr="00A3026E" w14:paraId="1DA0821A" w14:textId="77777777" w:rsidTr="00EA0DA7">
        <w:tc>
          <w:tcPr>
            <w:tcW w:w="3119" w:type="dxa"/>
          </w:tcPr>
          <w:p w14:paraId="53FA11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ОКО-6 2М-88 ред. – гл. конструктор Таиров</w:t>
            </w:r>
          </w:p>
          <w:p w14:paraId="3B74C7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43</w:t>
            </w:r>
          </w:p>
          <w:p w14:paraId="0A08E3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w:t>
            </w:r>
          </w:p>
        </w:tc>
        <w:tc>
          <w:tcPr>
            <w:tcW w:w="8448" w:type="dxa"/>
          </w:tcPr>
          <w:p w14:paraId="11FF54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доставлен по ж/д в разобранном виде на аэродром Раменское-ЦАГИ для прохождения заводских испытаний. Начата сборка самолета, после чего предстоит работа:</w:t>
            </w:r>
          </w:p>
          <w:p w14:paraId="0B46F92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Определение V кр. (тряска самолета силами ЦАГИ).</w:t>
            </w:r>
          </w:p>
          <w:p w14:paraId="3CD1A6A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51F46D0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Выяснение и решение вопроса о возможности работы моторов М-88 с редукторами (положение с нагнетателем не ясно).</w:t>
            </w:r>
          </w:p>
          <w:p w14:paraId="29077D2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1F58682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r w:rsidRPr="00A3026E">
              <w:rPr>
                <w:rFonts w:ascii="Times New Roman" w:hAnsi="Times New Roman"/>
                <w:color w:val="000000" w:themeColor="text1"/>
                <w:sz w:val="16"/>
                <w:szCs w:val="16"/>
              </w:rPr>
              <w:tab/>
              <w:t>Подбор колес шасси.</w:t>
            </w:r>
          </w:p>
        </w:tc>
      </w:tr>
      <w:tr w:rsidR="00983732" w:rsidRPr="00A3026E" w14:paraId="403B5AFF" w14:textId="77777777" w:rsidTr="00EA0DA7">
        <w:tc>
          <w:tcPr>
            <w:tcW w:w="3119" w:type="dxa"/>
          </w:tcPr>
          <w:p w14:paraId="31ABE2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И-207/3 М-63 – гл. Конструкторы Флоров, Боровков</w:t>
            </w:r>
          </w:p>
          <w:p w14:paraId="2A1A7E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207</w:t>
            </w:r>
          </w:p>
          <w:p w14:paraId="557903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w:t>
            </w:r>
          </w:p>
        </w:tc>
        <w:tc>
          <w:tcPr>
            <w:tcW w:w="8448" w:type="dxa"/>
          </w:tcPr>
          <w:p w14:paraId="1E8994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года самолет в разобранном виде прибыл в НИИ. Сборка и нивеллировка самолета закончены 28 сентября. С 30 сентября 1940 года по 3 октября 1940 года на самолете произведены работы, предусмотренные программой испытаний.</w:t>
            </w:r>
          </w:p>
          <w:p w14:paraId="1F069A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года произведено 2 полета: пробный и с корпусами 100 кг бомб для определения поведения самолета с бомбовой подвеской. В результатах полета выявлено:</w:t>
            </w:r>
          </w:p>
          <w:p w14:paraId="5B6BA31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Бомбовая подвеска вредного влияния на устойчивость, управляемость и взлетно-посадочные свойства самолета не оказывает.</w:t>
            </w:r>
          </w:p>
          <w:p w14:paraId="4B5DC14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Установленные на самолете нестандартные бомбовые замки имеют крупноконструктивный дефект. Замки сняты и отправлены на завод № 207 для изменения.</w:t>
            </w:r>
          </w:p>
          <w:p w14:paraId="66CC21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 произведен полет с 100 кг бомбами для бомбометания с пикирования под углом 45 градусов. Полет прошел нормально. Всего за время заводских испытаний произведено 3 полета общей продолжительностью 3 часа 30 минут.</w:t>
            </w:r>
          </w:p>
        </w:tc>
      </w:tr>
    </w:tbl>
    <w:p w14:paraId="401EC8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(3377, 26-29).</w:t>
      </w:r>
    </w:p>
    <w:p w14:paraId="77F7C9E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80994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особая группа (Фирсаев) писала Докладную справку по выполнению задания от 28 июля 1940 на 213 заводе об изготовлении автоматического прибора для вывода самолета из пикирования по образцу, установленному на Ю-88 (1293,275).</w:t>
      </w:r>
    </w:p>
    <w:p w14:paraId="2284C7E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AF4A9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был подготовлен Доклад для тов. Новикова:</w:t>
      </w:r>
    </w:p>
    <w:p w14:paraId="770544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обследовании завода № 16 НКАП в части выполнения плана работ по реконструкции завода, выяснялось следующее:</w:t>
      </w:r>
    </w:p>
    <w:p w14:paraId="201E6C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16 организовался на базе недостроенного в период империалистической войны завода "Взрыватель", общей площадью около 40.000 мкв.</w:t>
      </w:r>
    </w:p>
    <w:p w14:paraId="4A2D9F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1934 года зазод был приспособлен для изготовления предметов вооружения самолетов и бортового инструмента.</w:t>
      </w:r>
    </w:p>
    <w:p w14:paraId="533C01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1934 году, согласно приказу ГУАП НКТП № 22, был составлен комплексный технический проект реконструкции завода с рассчетом изготовления на этом заводе легких учебных моторов, с годовой программой в 10000 шт. по типам:</w:t>
      </w:r>
    </w:p>
    <w:p w14:paraId="401374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М-51</w:t>
      </w:r>
      <w:r w:rsidRPr="00A3026E">
        <w:rPr>
          <w:rFonts w:ascii="Times New Roman" w:hAnsi="Times New Roman"/>
          <w:color w:val="000000" w:themeColor="text1"/>
          <w:sz w:val="16"/>
          <w:szCs w:val="16"/>
        </w:rPr>
        <w:tab/>
        <w:t>6000</w:t>
      </w:r>
    </w:p>
    <w:p w14:paraId="4560B8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М-48</w:t>
      </w:r>
      <w:r w:rsidRPr="00A3026E">
        <w:rPr>
          <w:rFonts w:ascii="Times New Roman" w:hAnsi="Times New Roman"/>
          <w:color w:val="000000" w:themeColor="text1"/>
          <w:sz w:val="16"/>
          <w:szCs w:val="16"/>
        </w:rPr>
        <w:tab/>
        <w:t>3000</w:t>
      </w:r>
    </w:p>
    <w:p w14:paraId="2A980D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М-49</w:t>
      </w:r>
      <w:r w:rsidRPr="00A3026E">
        <w:rPr>
          <w:rFonts w:ascii="Times New Roman" w:hAnsi="Times New Roman"/>
          <w:color w:val="000000" w:themeColor="text1"/>
          <w:sz w:val="16"/>
          <w:szCs w:val="16"/>
        </w:rPr>
        <w:tab/>
        <w:t>1000</w:t>
      </w:r>
    </w:p>
    <w:p w14:paraId="26570B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Генеральный план этого проекта был утвержден Зам. Нач. ГУАП 8 сентября 1935. Генсмета по тому же проекту была утверждена зам. НКТП 15 апреля 1936 в сумме 62227,9 тыс. руб. При утверждении генсметы было предложено пересчитать мощность завода на больший выпуск моторов. Согласно пересчетам, мощность была увеличена с 10000 до 14530 шт.</w:t>
      </w:r>
    </w:p>
    <w:p w14:paraId="746122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этом, разбивка моторов по типам была принята следующая:</w:t>
      </w:r>
    </w:p>
    <w:p w14:paraId="4D62B8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М-51</w:t>
      </w:r>
      <w:r w:rsidRPr="00A3026E">
        <w:rPr>
          <w:rFonts w:ascii="Times New Roman" w:hAnsi="Times New Roman"/>
          <w:color w:val="000000" w:themeColor="text1"/>
          <w:sz w:val="16"/>
          <w:szCs w:val="16"/>
        </w:rPr>
        <w:tab/>
        <w:t>8730</w:t>
      </w:r>
    </w:p>
    <w:p w14:paraId="5F42CC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М-48</w:t>
      </w:r>
      <w:r w:rsidRPr="00A3026E">
        <w:rPr>
          <w:rFonts w:ascii="Times New Roman" w:hAnsi="Times New Roman"/>
          <w:color w:val="000000" w:themeColor="text1"/>
          <w:sz w:val="16"/>
          <w:szCs w:val="16"/>
        </w:rPr>
        <w:tab/>
        <w:t>4360</w:t>
      </w:r>
    </w:p>
    <w:p w14:paraId="20A8A0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М-49</w:t>
      </w:r>
      <w:r w:rsidRPr="00A3026E">
        <w:rPr>
          <w:rFonts w:ascii="Times New Roman" w:hAnsi="Times New Roman"/>
          <w:color w:val="000000" w:themeColor="text1"/>
          <w:sz w:val="16"/>
          <w:szCs w:val="16"/>
        </w:rPr>
        <w:tab/>
        <w:t>1440</w:t>
      </w:r>
    </w:p>
    <w:p w14:paraId="0017A0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июня 1937 постановлением КО № 28 было решено сосредоточить на заводе № 16 изготовление моторов “Рено” всех типов. Этим же постановлением была установлена полная мощность заворда в 14000 моторов. Типы моторов были установлены следующие:</w:t>
      </w:r>
    </w:p>
    <w:p w14:paraId="25834F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М-11</w:t>
      </w:r>
      <w:r w:rsidRPr="00A3026E">
        <w:rPr>
          <w:rFonts w:ascii="Times New Roman" w:hAnsi="Times New Roman"/>
          <w:color w:val="000000" w:themeColor="text1"/>
          <w:sz w:val="16"/>
          <w:szCs w:val="16"/>
        </w:rPr>
        <w:tab/>
        <w:t>5000</w:t>
      </w:r>
    </w:p>
    <w:p w14:paraId="399355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МВ-6</w:t>
      </w:r>
      <w:r w:rsidRPr="00A3026E">
        <w:rPr>
          <w:rFonts w:ascii="Times New Roman" w:hAnsi="Times New Roman"/>
          <w:color w:val="000000" w:themeColor="text1"/>
          <w:sz w:val="16"/>
          <w:szCs w:val="16"/>
        </w:rPr>
        <w:tab/>
        <w:t>5000</w:t>
      </w:r>
    </w:p>
    <w:p w14:paraId="6442AC9E"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A3026E">
        <w:rPr>
          <w:rFonts w:ascii="Times New Roman" w:hAnsi="Times New Roman"/>
          <w:color w:val="000000" w:themeColor="text1"/>
          <w:sz w:val="16"/>
          <w:szCs w:val="16"/>
        </w:rPr>
        <w:t>ВМ-12</w:t>
      </w:r>
      <w:r w:rsidRPr="00A3026E">
        <w:rPr>
          <w:rFonts w:ascii="Times New Roman" w:hAnsi="Times New Roman"/>
          <w:color w:val="000000" w:themeColor="text1"/>
          <w:sz w:val="16"/>
          <w:szCs w:val="16"/>
        </w:rPr>
        <w:tab/>
        <w:t xml:space="preserve">4000.... </w:t>
      </w:r>
      <w:r w:rsidRPr="00A3026E">
        <w:rPr>
          <w:rFonts w:ascii="Times New Roman" w:hAnsi="Times New Roman"/>
          <w:smallCaps/>
          <w:color w:val="000000" w:themeColor="text1"/>
          <w:sz w:val="16"/>
          <w:szCs w:val="16"/>
        </w:rPr>
        <w:t>(10504,199).</w:t>
      </w:r>
    </w:p>
    <w:p w14:paraId="6CE502EF"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28AE8D5A" w14:textId="77777777" w:rsidR="00226974" w:rsidRPr="00A3026E" w:rsidRDefault="00226974" w:rsidP="00A3026E">
      <w:pPr>
        <w:pStyle w:val="38"/>
        <w:shd w:val="clear" w:color="auto" w:fill="auto"/>
        <w:spacing w:before="0" w:after="0" w:line="240" w:lineRule="auto"/>
        <w:jc w:val="both"/>
        <w:rPr>
          <w:color w:val="000000" w:themeColor="text1"/>
          <w:spacing w:val="0"/>
          <w:sz w:val="16"/>
          <w:szCs w:val="16"/>
        </w:rPr>
      </w:pPr>
      <w:r w:rsidRPr="00A3026E">
        <w:rPr>
          <w:color w:val="000000" w:themeColor="text1"/>
          <w:spacing w:val="0"/>
          <w:sz w:val="16"/>
          <w:szCs w:val="16"/>
        </w:rPr>
        <w:t>9 октября 1940 г. Письмо № 01997 Народного Комиссариата внешней торговли СССР начальнику ЦИАМ А.В. Каширину о сотрудничестве с немецкой фирмой «Кий ОШ Меуег»</w:t>
      </w:r>
    </w:p>
    <w:p w14:paraId="4B71795B"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сем препровождаем Вам копии писем фирмы «Киё ОИо Меуег» (Руд Отто Мауер), переведенных на русский язык. По этим письмам необходи</w:t>
      </w:r>
      <w:r w:rsidRPr="00A3026E">
        <w:rPr>
          <w:rFonts w:ascii="Times New Roman" w:hAnsi="Times New Roman"/>
          <w:color w:val="000000" w:themeColor="text1"/>
          <w:sz w:val="16"/>
          <w:szCs w:val="16"/>
        </w:rPr>
        <w:softHyphen/>
        <w:t>мо дать ответы.</w:t>
      </w:r>
    </w:p>
    <w:p w14:paraId="5B4972B8" w14:textId="77777777" w:rsidR="00226974" w:rsidRPr="00A3026E" w:rsidRDefault="00226974" w:rsidP="00A3026E">
      <w:pPr>
        <w:tabs>
          <w:tab w:val="left" w:pos="798"/>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 ответ на письмо от 5 сентября 1940 г. необходимо сообщить в Торгпредство Ваши ориентировочные сроки о продолжительности приемки по указанным фирмой объемам.</w:t>
      </w:r>
    </w:p>
    <w:p w14:paraId="2BC2F4CE" w14:textId="77777777" w:rsidR="00226974" w:rsidRPr="00A3026E" w:rsidRDefault="00226974" w:rsidP="00A3026E">
      <w:pPr>
        <w:tabs>
          <w:tab w:val="left" w:pos="793"/>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Второе письмо от 5 сентября 1940 г. посылаем для Вашего све</w:t>
      </w:r>
      <w:r w:rsidRPr="00A3026E">
        <w:rPr>
          <w:rFonts w:ascii="Times New Roman" w:hAnsi="Times New Roman"/>
          <w:color w:val="000000" w:themeColor="text1"/>
          <w:sz w:val="16"/>
          <w:szCs w:val="16"/>
        </w:rPr>
        <w:softHyphen/>
        <w:t>дения об объеме чертежей, которые фирма берется нам поставить.</w:t>
      </w:r>
    </w:p>
    <w:p w14:paraId="71365541" w14:textId="77777777" w:rsidR="00226974" w:rsidRPr="00A3026E" w:rsidRDefault="00226974" w:rsidP="00A3026E">
      <w:pPr>
        <w:tabs>
          <w:tab w:val="left" w:pos="798"/>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Ответ на письмо от 6 сентября 1940 г. об использовании элек</w:t>
      </w:r>
      <w:r w:rsidRPr="00A3026E">
        <w:rPr>
          <w:rFonts w:ascii="Times New Roman" w:hAnsi="Times New Roman"/>
          <w:color w:val="000000" w:themeColor="text1"/>
          <w:sz w:val="16"/>
          <w:szCs w:val="16"/>
        </w:rPr>
        <w:softHyphen/>
        <w:t>тромоторов, предназначенных для запуска моторов, также и для при</w:t>
      </w:r>
      <w:r w:rsidRPr="00A3026E">
        <w:rPr>
          <w:rFonts w:ascii="Times New Roman" w:hAnsi="Times New Roman"/>
          <w:color w:val="000000" w:themeColor="text1"/>
          <w:sz w:val="16"/>
          <w:szCs w:val="16"/>
        </w:rPr>
        <w:softHyphen/>
        <w:t>вода вентиляторов, необходимо дать Торгпредству срочно, т.к. на ме</w:t>
      </w:r>
      <w:r w:rsidRPr="00A3026E">
        <w:rPr>
          <w:rFonts w:ascii="Times New Roman" w:hAnsi="Times New Roman"/>
          <w:color w:val="000000" w:themeColor="text1"/>
          <w:sz w:val="16"/>
          <w:szCs w:val="16"/>
        </w:rPr>
        <w:softHyphen/>
        <w:t>сте полностью для всех установок этот вопрос решить не представля</w:t>
      </w:r>
      <w:r w:rsidRPr="00A3026E">
        <w:rPr>
          <w:rFonts w:ascii="Times New Roman" w:hAnsi="Times New Roman"/>
          <w:color w:val="000000" w:themeColor="text1"/>
          <w:sz w:val="16"/>
          <w:szCs w:val="16"/>
        </w:rPr>
        <w:softHyphen/>
        <w:t>ется возможным.</w:t>
      </w:r>
    </w:p>
    <w:p w14:paraId="4C719753" w14:textId="77777777" w:rsidR="00226974" w:rsidRPr="00A3026E" w:rsidRDefault="00226974" w:rsidP="00A3026E">
      <w:pPr>
        <w:tabs>
          <w:tab w:val="left" w:pos="793"/>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Письмо от 13 сентября 1940 г. примите к руководству для свое</w:t>
      </w:r>
      <w:r w:rsidRPr="00A3026E">
        <w:rPr>
          <w:rFonts w:ascii="Times New Roman" w:hAnsi="Times New Roman"/>
          <w:color w:val="000000" w:themeColor="text1"/>
          <w:sz w:val="16"/>
          <w:szCs w:val="16"/>
        </w:rPr>
        <w:softHyphen/>
        <w:t>временной заготовки кавказского пиролюзита. Количество его ука</w:t>
      </w:r>
      <w:r w:rsidRPr="00A3026E">
        <w:rPr>
          <w:rFonts w:ascii="Times New Roman" w:hAnsi="Times New Roman"/>
          <w:color w:val="000000" w:themeColor="text1"/>
          <w:sz w:val="16"/>
          <w:szCs w:val="16"/>
        </w:rPr>
        <w:softHyphen/>
        <w:t>зать в письме.</w:t>
      </w:r>
    </w:p>
    <w:p w14:paraId="3CC7169B"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доводим до Вашего сведения о том, что 23 сентя</w:t>
      </w:r>
      <w:r w:rsidRPr="00A3026E">
        <w:rPr>
          <w:rFonts w:ascii="Times New Roman" w:hAnsi="Times New Roman"/>
          <w:color w:val="000000" w:themeColor="text1"/>
          <w:sz w:val="16"/>
          <w:szCs w:val="16"/>
        </w:rPr>
        <w:softHyphen/>
        <w:t>бря 1940 г. группа товарищей, находящихся в Германии по высотным установкам, приступила к обучению у фирмы «Юнкере». Срок обуче</w:t>
      </w:r>
      <w:r w:rsidRPr="00A3026E">
        <w:rPr>
          <w:rFonts w:ascii="Times New Roman" w:hAnsi="Times New Roman"/>
          <w:color w:val="000000" w:themeColor="text1"/>
          <w:sz w:val="16"/>
          <w:szCs w:val="16"/>
        </w:rPr>
        <w:softHyphen/>
        <w:t>ния 14-17 дней. Программа обучения состоит из 2-х основных момен</w:t>
      </w:r>
      <w:r w:rsidRPr="00A3026E">
        <w:rPr>
          <w:rFonts w:ascii="Times New Roman" w:hAnsi="Times New Roman"/>
          <w:color w:val="000000" w:themeColor="text1"/>
          <w:sz w:val="16"/>
          <w:szCs w:val="16"/>
        </w:rPr>
        <w:softHyphen/>
        <w:t>тов:</w:t>
      </w:r>
    </w:p>
    <w:p w14:paraId="3CBB0EC7" w14:textId="77777777" w:rsidR="00226974" w:rsidRPr="00A3026E" w:rsidRDefault="00226974" w:rsidP="00A3026E">
      <w:pPr>
        <w:tabs>
          <w:tab w:val="left" w:pos="802"/>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Освоение схемы и конструкции установки, т.е. общее знаком</w:t>
      </w:r>
      <w:r w:rsidRPr="00A3026E">
        <w:rPr>
          <w:rFonts w:ascii="Times New Roman" w:hAnsi="Times New Roman"/>
          <w:color w:val="000000" w:themeColor="text1"/>
          <w:sz w:val="16"/>
          <w:szCs w:val="16"/>
        </w:rPr>
        <w:softHyphen/>
        <w:t>ство с установкой — 5-6 дней.</w:t>
      </w:r>
    </w:p>
    <w:p w14:paraId="6F32B34B" w14:textId="77777777" w:rsidR="00226974" w:rsidRPr="00A3026E" w:rsidRDefault="00226974" w:rsidP="00A3026E">
      <w:pPr>
        <w:tabs>
          <w:tab w:val="left" w:pos="81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Специализация по методике испытаний — остальное время.</w:t>
      </w:r>
    </w:p>
    <w:p w14:paraId="07153DA2"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Группа, как Вам известно, состоит исключительно из мотори</w:t>
      </w:r>
      <w:r w:rsidRPr="00A3026E">
        <w:rPr>
          <w:rFonts w:ascii="Times New Roman" w:hAnsi="Times New Roman"/>
          <w:color w:val="000000" w:themeColor="text1"/>
          <w:sz w:val="16"/>
          <w:szCs w:val="16"/>
        </w:rPr>
        <w:softHyphen/>
        <w:t>стов, что является упущением. В группе необходимо было бы преду</w:t>
      </w:r>
      <w:r w:rsidRPr="00A3026E">
        <w:rPr>
          <w:rFonts w:ascii="Times New Roman" w:hAnsi="Times New Roman"/>
          <w:color w:val="000000" w:themeColor="text1"/>
          <w:sz w:val="16"/>
          <w:szCs w:val="16"/>
        </w:rPr>
        <w:softHyphen/>
        <w:t xml:space="preserve">смотреть инженера-электрика, т.к. за такой короткий срок полностью освоить электрочасть мотористам не удастся. </w:t>
      </w:r>
    </w:p>
    <w:p w14:paraId="54EA2D38" w14:textId="77777777" w:rsidR="00226974" w:rsidRPr="00A3026E" w:rsidRDefault="00226974" w:rsidP="00A3026E">
      <w:pPr>
        <w:pStyle w:val="5b"/>
        <w:shd w:val="clear" w:color="auto" w:fill="auto"/>
        <w:spacing w:line="240" w:lineRule="auto"/>
        <w:jc w:val="both"/>
        <w:rPr>
          <w:rFonts w:ascii="Times New Roman" w:hAnsi="Times New Roman" w:cs="Times New Roman"/>
          <w:color w:val="000000" w:themeColor="text1"/>
          <w:sz w:val="16"/>
          <w:szCs w:val="16"/>
          <w:lang w:val="ru-RU"/>
        </w:rPr>
      </w:pPr>
      <w:r w:rsidRPr="00A3026E">
        <w:rPr>
          <w:rFonts w:ascii="Times New Roman" w:hAnsi="Times New Roman" w:cs="Times New Roman"/>
          <w:color w:val="000000" w:themeColor="text1"/>
          <w:sz w:val="16"/>
          <w:szCs w:val="16"/>
          <w:lang w:val="ru-RU"/>
        </w:rPr>
        <w:t>Развитие авиационной науки и техники в</w:t>
      </w:r>
      <w:r w:rsidRPr="00A3026E">
        <w:rPr>
          <w:rStyle w:val="5d"/>
          <w:b w:val="0"/>
          <w:color w:val="000000" w:themeColor="text1"/>
          <w:sz w:val="16"/>
          <w:szCs w:val="16"/>
          <w:lang w:val="ru-RU"/>
        </w:rPr>
        <w:t>СССР.</w:t>
      </w:r>
      <w:r w:rsidRPr="00A3026E">
        <w:rPr>
          <w:rFonts w:ascii="Times New Roman" w:hAnsi="Times New Roman" w:cs="Times New Roman"/>
          <w:color w:val="000000" w:themeColor="text1"/>
          <w:sz w:val="16"/>
          <w:szCs w:val="16"/>
          <w:lang w:val="ru-RU"/>
        </w:rPr>
        <w:t xml:space="preserve"> 1920—1946 гг.</w:t>
      </w:r>
    </w:p>
    <w:p w14:paraId="36D58E1E"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Торгпредство просит подобрать 2-х специалистов электриков и немедленно командировать в Берлин к 12 октября 1940 г.</w:t>
      </w:r>
    </w:p>
    <w:p w14:paraId="39B9E765"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Начало занятий 2-й группы 12 октября 1940 г., о чем своевре</w:t>
      </w:r>
      <w:r w:rsidRPr="00A3026E">
        <w:rPr>
          <w:rFonts w:ascii="Times New Roman" w:hAnsi="Times New Roman"/>
          <w:color w:val="000000" w:themeColor="text1"/>
          <w:sz w:val="16"/>
          <w:szCs w:val="16"/>
        </w:rPr>
        <w:softHyphen/>
        <w:t>менно поставлен в известность НКАП.</w:t>
      </w:r>
    </w:p>
    <w:p w14:paraId="2BEEE702"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 2 письма фирмы от 5 сентября 1940 г.</w:t>
      </w:r>
    </w:p>
    <w:p w14:paraId="0720FEFD"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письмо фирмы от 6 сентября 1940 г. письмо фирмы от 13 сентября 1940 г.</w:t>
      </w:r>
    </w:p>
    <w:p w14:paraId="17E2D96C"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2-го отделения, инженерного отдела В. Рябченко</w:t>
      </w:r>
    </w:p>
    <w:p w14:paraId="74BBCFD6" w14:textId="77777777" w:rsidR="00226974" w:rsidRPr="00A3026E" w:rsidRDefault="00226974" w:rsidP="00A3026E">
      <w:pPr>
        <w:tabs>
          <w:tab w:val="left" w:pos="5266"/>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Старший инженер Смирнова</w:t>
      </w:r>
    </w:p>
    <w:p w14:paraId="64212925"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РГАНТД. Ф. Р-177. Оп. 1-6. Д. 12. Л. 57, 58. Подлинник (15633).</w:t>
      </w:r>
    </w:p>
    <w:p w14:paraId="67345990" w14:textId="77777777" w:rsidR="00226974" w:rsidRPr="00A3026E" w:rsidRDefault="00226974" w:rsidP="00A3026E">
      <w:pPr>
        <w:pStyle w:val="27"/>
        <w:shd w:val="clear" w:color="auto" w:fill="auto"/>
        <w:spacing w:before="0" w:line="240" w:lineRule="auto"/>
        <w:jc w:val="both"/>
        <w:rPr>
          <w:rStyle w:val="21pt"/>
          <w:rFonts w:ascii="Times New Roman" w:hAnsi="Times New Roman" w:cs="Times New Roman"/>
          <w:color w:val="000000" w:themeColor="text1"/>
          <w:spacing w:val="0"/>
          <w:sz w:val="16"/>
          <w:szCs w:val="16"/>
        </w:rPr>
      </w:pPr>
    </w:p>
    <w:p w14:paraId="5E5CE37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C8E691A" w14:textId="77777777" w:rsidR="00C66762" w:rsidRPr="00A3026E"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6E62D8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Style w:val="af0"/>
          <w:rFonts w:ascii="Times New Roman" w:hAnsi="Times New Roman"/>
          <w:i w:val="0"/>
          <w:iCs w:val="0"/>
          <w:color w:val="000000" w:themeColor="text1"/>
          <w:sz w:val="16"/>
          <w:szCs w:val="16"/>
        </w:rPr>
        <w:t>9 октября 1940</w:t>
      </w:r>
      <w:r w:rsidRPr="00A3026E">
        <w:rPr>
          <w:rFonts w:ascii="Times New Roman" w:hAnsi="Times New Roman"/>
          <w:color w:val="000000" w:themeColor="text1"/>
          <w:sz w:val="16"/>
          <w:szCs w:val="16"/>
        </w:rPr>
        <w:t xml:space="preserve"> было подготовлено Письмо И.В. Сталину из НКБ о расследовании аварии на пороховом заводе № 1242с </w:t>
      </w:r>
    </w:p>
    <w:p w14:paraId="61138A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Секретно</w:t>
      </w:r>
    </w:p>
    <w:p w14:paraId="45BEEA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СЕКРЕТАРЮ ЦК ВКП(б) товарищу Сталину И.В.</w:t>
      </w:r>
    </w:p>
    <w:p w14:paraId="483CC8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*26-го сентября с.г. на пороховом заводе № 9 (гор. Шостка) произошла авария на фазе мешки пороха*. </w:t>
      </w:r>
    </w:p>
    <w:p w14:paraId="5EEAB3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 время аварии погибло 13 человек рабочих, и 8 человек с тяжелыми ожогами находятся на излечении в местной больнице. </w:t>
      </w:r>
    </w:p>
    <w:p w14:paraId="6CF5AA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Для выявления причин аварии мною была немедленно назначена Комиссия под председательством моего заместителя тов. *Хренкова*. </w:t>
      </w:r>
    </w:p>
    <w:p w14:paraId="27A122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*Комиссия установила, что наиболее вероятной причиной аварии является попадание в порох постороннего металлического предмета, который своим ударом и трением мог вызвать воспламенение пороховой пыли*. </w:t>
      </w:r>
    </w:p>
    <w:p w14:paraId="6BA94A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Попадание в порох постороннего металлического предмета ранее наблюдалось неоднократно, так как имели место случаи отвертывания гаек, крепящих ковши элеватора, а также отрывы и падение ковшей элеватора. </w:t>
      </w:r>
    </w:p>
    <w:p w14:paraId="589FD4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Комиссией обнаружено, что аппарат мешки пороха не был заземлен. Это обстоятельство, безусловно, способствовало воспламенению пороховой пыли. </w:t>
      </w:r>
    </w:p>
    <w:p w14:paraId="06A83B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Отсутствие заземления аппарата является грубейшим нарушением существующих правил техники безопасности со стороны дирекции завода. </w:t>
      </w:r>
    </w:p>
    <w:p w14:paraId="7F06E5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Установлено также, что главный механик Управления Капитального Строительства т. Замес при сдаче аппарата в эксплуатацию (в апреле м-це с.г.) докладывал приемной Комиссии, что аппарат заземлен. </w:t>
      </w:r>
    </w:p>
    <w:p w14:paraId="46A0E3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Комиссией выявлено, что на данной фазе систематически нарушался график остановки агрегата, осмотра и промывки. Техническое руководство и дирекция завода грубо нарушила существующие правила хранения пороха, допуская перегруз производственных зданий и даже складывание готовой продукции около зданий. </w:t>
      </w:r>
    </w:p>
    <w:p w14:paraId="253471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момент, предшествовавший аварии, вблизи здания мешки пороха (в 10—15 метрах от здания) находилось 117 тонн пороха, который также сгорел, чем, естественно, увеличен размер аварии. </w:t>
      </w:r>
    </w:p>
    <w:p w14:paraId="67F3F3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здании находилось 54 тонн пороха; таким образом, всего сгорело 171 тн пороха. </w:t>
      </w:r>
    </w:p>
    <w:p w14:paraId="14DCDC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 грубое нарушение и преступное отношение к технической безопасности мною сняты с работы и *отданы под суд следующие лица*: </w:t>
      </w:r>
    </w:p>
    <w:p w14:paraId="77FC9E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Начальник мастерской т. Аникеев. </w:t>
      </w:r>
    </w:p>
    <w:p w14:paraId="315BC8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Начальник производства т. Колпина. </w:t>
      </w:r>
    </w:p>
    <w:p w14:paraId="292082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Механик производства т. Марченко. </w:t>
      </w:r>
    </w:p>
    <w:p w14:paraId="5F356F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Главный инженер завода т. Коршин. </w:t>
      </w:r>
    </w:p>
    <w:p w14:paraId="2008C2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Директор завода т. Иванов. </w:t>
      </w:r>
    </w:p>
    <w:p w14:paraId="0B0F97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Материал Комиссии передается прокурору для привлечения указанных выше лиц к судебной ответственности. </w:t>
      </w:r>
    </w:p>
    <w:p w14:paraId="70318D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результатам расследования Комиссии мною разрабатываются дополнительные меры по технике безопасности на всех пороховых заводах, для предотвращения каких-либо аварий, и в первую очередь дано указание о тщательной проверке наличия заземления у всех аппаратов порохового производства. </w:t>
      </w:r>
    </w:p>
    <w:p w14:paraId="38051A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 семьям погибших рабочих выдано единовременное пособие в следующем размере: </w:t>
      </w:r>
    </w:p>
    <w:p w14:paraId="36D8A3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семьям — по 1500 рублей; </w:t>
      </w:r>
    </w:p>
    <w:p w14:paraId="3014F1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семьям — по 1000 рублей; </w:t>
      </w:r>
    </w:p>
    <w:p w14:paraId="2E8DC6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семьям — по 500 рублей и 1 погибшая работница не имела родственников. </w:t>
      </w:r>
    </w:p>
    <w:p w14:paraId="100131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Решением СНК УССР — 5 семьям погибших рабочих установлены персональные пенсии. </w:t>
      </w:r>
    </w:p>
    <w:p w14:paraId="18CE9A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Семьям остальных погибших пенсии будут установлены по соцстраху, согласно действующего законодательства. </w:t>
      </w:r>
    </w:p>
    <w:p w14:paraId="4917FC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Сергеев И.П. </w:t>
      </w:r>
    </w:p>
    <w:p w14:paraId="38381F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АП РФ. Ф. 3. Оп. 58. Д. 343а. Л. 18—20. Подлинник. Машинопись. </w:t>
      </w:r>
    </w:p>
    <w:p w14:paraId="5C2B83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первом листе имеется резолюция: «Т-щу Мехлису. «Комиссия» т. Сергеева едва ли заслуживает большого доверия. Хотелось бы Вам вместе с Берия послать для расследования группу в 3—4 человека. И. Ст.». </w:t>
      </w:r>
    </w:p>
    <w:p w14:paraId="0C5DEF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Подчеркнуто карандашом (11430). </w:t>
      </w:r>
    </w:p>
    <w:p w14:paraId="0AB9C17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40B6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Постановлением КО № 330сс, 28 мая 1939 Постановление КО № 124сс, 29 августа 1940 г. Постановлением КО № 373сс и 19 ноября 1940 Постановлением КО №428сс перед бронетанковой промышленностью были поставлены следующие за</w:t>
      </w:r>
      <w:r w:rsidRPr="00A3026E">
        <w:rPr>
          <w:rFonts w:ascii="Times New Roman" w:hAnsi="Times New Roman"/>
          <w:color w:val="000000" w:themeColor="text1"/>
          <w:sz w:val="16"/>
          <w:szCs w:val="16"/>
        </w:rPr>
        <w:softHyphen/>
        <w:t>дачи:</w:t>
      </w:r>
    </w:p>
    <w:p w14:paraId="34B54A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Изыскание и внедрение в производство брони повышенной бронестойкости (без увеличения толщин) и создание литых конструкций из броневой стали.</w:t>
      </w:r>
    </w:p>
    <w:p w14:paraId="2A0766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Увеличение сроков службы основных агрегатов танка (двигатель, коробка перемены передач, бортовые фрикционы, гусеницы и др.).</w:t>
      </w:r>
    </w:p>
    <w:p w14:paraId="78EE23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Разработка и освоение в производстве улучшенной трансмиссии и ходовой части танка (пла</w:t>
      </w:r>
      <w:r w:rsidRPr="00A3026E">
        <w:rPr>
          <w:rFonts w:ascii="Times New Roman" w:hAnsi="Times New Roman"/>
          <w:color w:val="000000" w:themeColor="text1"/>
          <w:sz w:val="16"/>
          <w:szCs w:val="16"/>
        </w:rPr>
        <w:softHyphen/>
        <w:t>нетарные передачи, торсионная подвеска, металлические катки с внутренней резиновой амортиза</w:t>
      </w:r>
      <w:r w:rsidRPr="00A3026E">
        <w:rPr>
          <w:rFonts w:ascii="Times New Roman" w:hAnsi="Times New Roman"/>
          <w:color w:val="000000" w:themeColor="text1"/>
          <w:sz w:val="16"/>
          <w:szCs w:val="16"/>
        </w:rPr>
        <w:softHyphen/>
        <w:t>цией, резино-металлические гусеницы и пр.).</w:t>
      </w:r>
    </w:p>
    <w:p w14:paraId="62D1BD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Усовершенствование систем управления танками (удобство работы экипажей, снижение уси</w:t>
      </w:r>
      <w:r w:rsidRPr="00A3026E">
        <w:rPr>
          <w:rFonts w:ascii="Times New Roman" w:hAnsi="Times New Roman"/>
          <w:color w:val="000000" w:themeColor="text1"/>
          <w:sz w:val="16"/>
          <w:szCs w:val="16"/>
        </w:rPr>
        <w:softHyphen/>
        <w:t>лий на рычагах и пр.).</w:t>
      </w:r>
    </w:p>
    <w:p w14:paraId="236C2E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БТУ ГАБТУ КА военинженер 1 ранга Коробков</w:t>
      </w:r>
    </w:p>
    <w:p w14:paraId="0841D9F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ЦАМО. Ф. 38. Оп. 11569. Д. 300. Л. 16-24. Подлинник (11211).</w:t>
      </w:r>
    </w:p>
    <w:p w14:paraId="6152D7C7"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422CD658" w14:textId="77777777" w:rsidR="001A581B" w:rsidRPr="00A3026E" w:rsidRDefault="001A581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г. вышло Постановление Комитета обороны при СНК СССР № 390сс “О производстве литых башен к танку Т</w:t>
      </w:r>
      <w:r w:rsidRPr="00A3026E">
        <w:rPr>
          <w:rFonts w:ascii="Times New Roman" w:hAnsi="Times New Roman"/>
          <w:color w:val="000000" w:themeColor="text1"/>
          <w:sz w:val="16"/>
          <w:szCs w:val="16"/>
        </w:rPr>
        <w:noBreakHyphen/>
        <w:t>34 из гомогенной брони марки МЗ</w:t>
      </w:r>
      <w:r w:rsidRPr="00A3026E">
        <w:rPr>
          <w:rFonts w:ascii="Times New Roman" w:hAnsi="Times New Roman"/>
          <w:color w:val="000000" w:themeColor="text1"/>
          <w:sz w:val="16"/>
          <w:szCs w:val="16"/>
        </w:rPr>
        <w:noBreakHyphen/>
        <w:t>2” они были приняты на вооружение. Наркомату судостроительной промышленности было поручено организовать на Мариупольском заводе производство литых башен и изготовить 300 шт. в 1940 г., а с 1 января 1941 г. начать ежемесячный выпуск литых башен по 200 шт. На том же заводе планировалось организовать опытные работы по уменьшению толщины литых башен и носовой части Т</w:t>
      </w:r>
      <w:r w:rsidRPr="00A3026E">
        <w:rPr>
          <w:rFonts w:ascii="Times New Roman" w:hAnsi="Times New Roman"/>
          <w:color w:val="000000" w:themeColor="text1"/>
          <w:sz w:val="16"/>
          <w:szCs w:val="16"/>
        </w:rPr>
        <w:noBreakHyphen/>
        <w:t>34, сохранив установленную бронестойкость.</w:t>
      </w:r>
    </w:p>
    <w:p w14:paraId="4D27BAC5" w14:textId="77777777" w:rsidR="001A581B" w:rsidRPr="00A3026E" w:rsidRDefault="001A581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усовершенствованию танка продолжались несмотря на его серийный выпуск. Так, с сентября 1940 г. по апрель 1941 г. заводом № 183 было сделано до 200 конструктивных изменений, в том числе: а) проведена замена дисков главного фрикциона на новые, исключающая их коробление; б) введены в серийное производство новые траки; в) изготовлен, испытан и принят на серийное производство новый люк механика-водителя со стеклами триплекс. В этот период было проведено огромное количество технологических мероприятий по улучшению сборки и обработки деталей. Помимо этого танки Т</w:t>
      </w:r>
      <w:r w:rsidRPr="00A3026E">
        <w:rPr>
          <w:rFonts w:ascii="Times New Roman" w:hAnsi="Times New Roman"/>
          <w:color w:val="000000" w:themeColor="text1"/>
          <w:sz w:val="16"/>
          <w:szCs w:val="16"/>
        </w:rPr>
        <w:noBreakHyphen/>
        <w:t>34 с 1941 г. стали оснащаться 76,2</w:t>
      </w:r>
      <w:r w:rsidRPr="00A3026E">
        <w:rPr>
          <w:rFonts w:ascii="Times New Roman" w:hAnsi="Times New Roman"/>
          <w:color w:val="000000" w:themeColor="text1"/>
          <w:sz w:val="16"/>
          <w:szCs w:val="16"/>
        </w:rPr>
        <w:noBreakHyphen/>
        <w:t>мм пушками Ф</w:t>
      </w:r>
      <w:r w:rsidRPr="00A3026E">
        <w:rPr>
          <w:rFonts w:ascii="Times New Roman" w:hAnsi="Times New Roman"/>
          <w:color w:val="000000" w:themeColor="text1"/>
          <w:sz w:val="16"/>
          <w:szCs w:val="16"/>
        </w:rPr>
        <w:noBreakHyphen/>
        <w:t>34. За первое полугодие 1941 г. ХПЗ сдал 816 танков Т</w:t>
      </w:r>
      <w:r w:rsidRPr="00A3026E">
        <w:rPr>
          <w:rFonts w:ascii="Times New Roman" w:hAnsi="Times New Roman"/>
          <w:color w:val="000000" w:themeColor="text1"/>
          <w:sz w:val="16"/>
          <w:szCs w:val="16"/>
        </w:rPr>
        <w:noBreakHyphen/>
        <w:t>34 (т. е. 120,9% полугодового плана), в том числе в июне — 170 машин (130,9% плана), а СТЗ с начала производства и по июнь 1941 г. включительно — 294 танка, из них в июне — 86. (ГА РФ. Ф. Р</w:t>
      </w:r>
      <w:r w:rsidRPr="00A3026E">
        <w:rPr>
          <w:rFonts w:ascii="Times New Roman" w:hAnsi="Times New Roman"/>
          <w:color w:val="000000" w:themeColor="text1"/>
          <w:sz w:val="16"/>
          <w:szCs w:val="16"/>
        </w:rPr>
        <w:noBreakHyphen/>
        <w:t>8418. Оп. 28. Д. 121. Л. 159; Д. 122. Л. 44</w:t>
      </w:r>
      <w:r w:rsidRPr="00A3026E">
        <w:rPr>
          <w:rFonts w:ascii="Times New Roman" w:hAnsi="Times New Roman"/>
          <w:color w:val="000000" w:themeColor="text1"/>
          <w:sz w:val="16"/>
          <w:szCs w:val="16"/>
        </w:rPr>
        <w:noBreakHyphen/>
        <w:t>45, 221.) (17861).</w:t>
      </w:r>
    </w:p>
    <w:p w14:paraId="0834F861" w14:textId="77777777" w:rsidR="001A581B" w:rsidRPr="00A3026E" w:rsidRDefault="001A581B" w:rsidP="00A3026E">
      <w:pPr>
        <w:spacing w:after="0" w:line="240" w:lineRule="auto"/>
        <w:jc w:val="both"/>
        <w:rPr>
          <w:rFonts w:ascii="Times New Roman" w:hAnsi="Times New Roman"/>
          <w:color w:val="000000" w:themeColor="text1"/>
          <w:sz w:val="16"/>
          <w:szCs w:val="16"/>
        </w:rPr>
      </w:pPr>
    </w:p>
    <w:p w14:paraId="3037BDE8" w14:textId="77777777" w:rsidR="00DE6360" w:rsidRPr="00A3026E" w:rsidRDefault="00DE636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октября 1940 вышло Постановление Комитета обороны при СНК СССР № 390сс "О производстве литых башен к танку Т-34 из гомогенной брони марки МЗ-2"</w:t>
      </w:r>
    </w:p>
    <w:p w14:paraId="657D48EB" w14:textId="77777777" w:rsidR="00DE6360" w:rsidRPr="00A3026E" w:rsidRDefault="00DE636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Комитет Обороны при СНК Союза ССР lICCTAEOBJtfwT:</w:t>
      </w:r>
    </w:p>
    <w:p w14:paraId="12633ED5" w14:textId="77777777" w:rsidR="00DE6360" w:rsidRPr="00A3026E" w:rsidRDefault="00DE636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Одобрить работы, проведенные Мариупольским заводом им. Иль</w:t>
      </w:r>
      <w:r w:rsidRPr="00A3026E">
        <w:rPr>
          <w:rFonts w:ascii="Times New Roman" w:hAnsi="Times New Roman"/>
          <w:color w:val="0070C0"/>
          <w:sz w:val="16"/>
          <w:szCs w:val="16"/>
        </w:rPr>
        <w:softHyphen/>
        <w:t>ича и НИИ-48 по литым башням и носовой детали для танка Т-34 из литой гомогенной брони марки стали L3-2 ( И-8с).</w:t>
      </w:r>
    </w:p>
    <w:p w14:paraId="046E3498" w14:textId="77777777" w:rsidR="00DE6360" w:rsidRPr="00A3026E" w:rsidRDefault="00DE636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Принять с 10 октября 1940 года на вооружение литые башни и носовую деталь для корпуса танка Т-34 из марки стали 1Z3—2(й—8с)</w:t>
      </w:r>
    </w:p>
    <w:p w14:paraId="12E45C13" w14:textId="77777777" w:rsidR="00DE6360" w:rsidRPr="00A3026E" w:rsidRDefault="00DE636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Обязать Наркомеудпром:</w:t>
      </w:r>
    </w:p>
    <w:p w14:paraId="5DAD08DC" w14:textId="77777777" w:rsidR="00DE6360" w:rsidRPr="00A3026E" w:rsidRDefault="00DE636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организовать на Мариупольском заводе производство башен к танку Т-34 и изготовить в 1940 году, в счет заказа 300 литых механически обработанных башен, а Наркомередиашу установить их на серийные танки Т-34. Остальные танки Т-34, по программе 1940г., выпустить с башнями из катаной брони;</w:t>
      </w:r>
    </w:p>
    <w:p w14:paraId="5239D675" w14:textId="77777777" w:rsidR="00DE6360" w:rsidRPr="00A3026E" w:rsidRDefault="00DE636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создать к 1 января 1941 года на Мариупольском заводе мощность по производству литых башен к танкам Т-34 на выпуск 200 штук в месяц.</w:t>
      </w:r>
    </w:p>
    <w:p w14:paraId="0FE52DFC" w14:textId="77777777" w:rsidR="00DE6360" w:rsidRPr="00A3026E" w:rsidRDefault="00DE636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Испытанием установлено, что бронестойкость литых башен несколько ниже, чем башен из катаной брони при одинаковой толщине. В целях получения одинаковой бронестойкости литой башни с корпу</w:t>
      </w:r>
      <w:r w:rsidRPr="00A3026E">
        <w:rPr>
          <w:rFonts w:ascii="Times New Roman" w:hAnsi="Times New Roman"/>
          <w:color w:val="0070C0"/>
          <w:sz w:val="16"/>
          <w:szCs w:val="16"/>
        </w:rPr>
        <w:softHyphen/>
        <w:t>сом танка, признать возможным допускать увеличение толщин стенок этих литых башен до 52 мм., с допуском плюс 3 мм. и минус 1 мм., при этом:</w:t>
      </w:r>
    </w:p>
    <w:p w14:paraId="6621CA1A" w14:textId="77777777" w:rsidR="00DE6360" w:rsidRPr="00A3026E" w:rsidRDefault="00DE636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увеличение веса башни из литой брони не должно превышать 200 кг. веса башни из катаной брони;</w:t>
      </w:r>
    </w:p>
    <w:p w14:paraId="39533212" w14:textId="77777777" w:rsidR="00DE6360" w:rsidRPr="00A3026E" w:rsidRDefault="00DE636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бронестойкость литой башни должна быть не ниже броне- стойкости башни из 45 мм. катаной брони.</w:t>
      </w:r>
    </w:p>
    <w:p w14:paraId="47B4A239" w14:textId="77777777" w:rsidR="00DE6360" w:rsidRPr="00A3026E" w:rsidRDefault="00DE636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Предложить Наркомсудпрому организовать опытные работы на Мариупольском заводе с задачей добиться уменьшения толщины ли</w:t>
      </w:r>
      <w:r w:rsidRPr="00A3026E">
        <w:rPr>
          <w:rFonts w:ascii="Times New Roman" w:hAnsi="Times New Roman"/>
          <w:color w:val="0070C0"/>
          <w:sz w:val="16"/>
          <w:szCs w:val="16"/>
        </w:rPr>
        <w:softHyphen/>
        <w:t>тых башен и носовой части танка Т-34 при сохранении установленной бронестойкости.</w:t>
      </w:r>
    </w:p>
    <w:p w14:paraId="77C03BB2" w14:textId="77777777" w:rsidR="00DE6360" w:rsidRPr="00A3026E" w:rsidRDefault="00DE636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 xml:space="preserve">6. Разрешить Наркомсудпром – тов. Носенко премировать работников Мариупольского завода и НИИ-48, принимавших участие в разработке и изготовлении литых башен и носовой части танка Т-34 (22053). </w:t>
      </w:r>
    </w:p>
    <w:p w14:paraId="24BF1773" w14:textId="77777777" w:rsidR="00DE6360" w:rsidRPr="00A3026E" w:rsidRDefault="00DE6360" w:rsidP="00A3026E">
      <w:pPr>
        <w:spacing w:after="0" w:line="240" w:lineRule="auto"/>
        <w:jc w:val="both"/>
        <w:rPr>
          <w:rFonts w:ascii="Times New Roman" w:hAnsi="Times New Roman"/>
          <w:color w:val="0070C0"/>
          <w:sz w:val="16"/>
          <w:szCs w:val="16"/>
        </w:rPr>
      </w:pPr>
    </w:p>
    <w:p w14:paraId="7329486C"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г. заместитель народного комиссара обороны СССР Г.И. Кулик обратился к руководству НКСМ с просьбой о проведении предложенных ГАБТУ КА работ по улучшению конструкции танков, в том числе и танка Т-34. В ответ на это, 19 октября 1940 г. заместитель наркома среднего машиностроения А.А. Горегляд в </w:t>
      </w:r>
      <w:hyperlink r:id="rId32" w:tgtFrame="_blank" w:history="1">
        <w:r w:rsidRPr="00A3026E">
          <w:rPr>
            <w:rStyle w:val="a5"/>
            <w:rFonts w:ascii="Times New Roman" w:hAnsi="Times New Roman"/>
            <w:color w:val="000000" w:themeColor="text1"/>
            <w:sz w:val="16"/>
            <w:szCs w:val="16"/>
          </w:rPr>
          <w:t>письме № 10/8689</w:t>
        </w:r>
      </w:hyperlink>
      <w:r w:rsidRPr="00A3026E">
        <w:rPr>
          <w:rFonts w:ascii="Times New Roman" w:hAnsi="Times New Roman"/>
          <w:color w:val="000000" w:themeColor="text1"/>
          <w:sz w:val="16"/>
          <w:szCs w:val="16"/>
        </w:rPr>
        <w:t> сообщил Г.И. Кулику, что указанные работы в текущем году не предусмотрены, но уже включены или будут включены в план научно-исследовательских и опытных работ НКСМ на 1941 г. (18206).</w:t>
      </w:r>
    </w:p>
    <w:p w14:paraId="11CC575D" w14:textId="77777777" w:rsidR="00C81F54" w:rsidRPr="00A3026E" w:rsidRDefault="00C81F54" w:rsidP="00A3026E">
      <w:pPr>
        <w:spacing w:after="0" w:line="240" w:lineRule="auto"/>
        <w:jc w:val="both"/>
        <w:rPr>
          <w:rFonts w:ascii="Times New Roman" w:hAnsi="Times New Roman"/>
          <w:color w:val="000000" w:themeColor="text1"/>
          <w:sz w:val="16"/>
          <w:szCs w:val="16"/>
        </w:rPr>
      </w:pPr>
    </w:p>
    <w:p w14:paraId="674055A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2A2239A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E0AF45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в ходе налета немецкой авиации на Лондон пострадал собор Святого Павла (4962).</w:t>
      </w:r>
    </w:p>
    <w:p w14:paraId="054D8A2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ABA938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октября 1940 лидером Консервативной партии Британии стал Уинстон Черчилль (4962).</w:t>
      </w:r>
    </w:p>
    <w:p w14:paraId="32BA57D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1C8BCF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7D06B5E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57D85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полет нового самолета с двигателем АМ-38, вновь подготовленного на базе первого экземпляра машины и получившего обозначение ЦКБ-57 был выполнен 10 октября (12 - 438, 789) 1940 г., а по другим данным - 12 тем же В.К.Коккинаки (182,240) и начались его заводские испытания.</w:t>
      </w:r>
    </w:p>
    <w:p w14:paraId="3B76B7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По-видимому, в середине октября 1940 у ЦКБ было две машины:</w:t>
      </w:r>
    </w:p>
    <w:p w14:paraId="5475C7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ЦКБ-55 все еще двухместного с АМ-35А;</w:t>
      </w:r>
    </w:p>
    <w:p w14:paraId="456420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ЦКБ-57 по-прежнему с четырьмя пулеметами и с АМ-38 и не известно двухместный или уже одноместный.</w:t>
      </w:r>
    </w:p>
    <w:p w14:paraId="2D4F7D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полет ДБ-4 был выполнен В.К.Коккинаки 15 октября 1940. Оказалась низкой путевая устойчивость и недостаточная жесткость фюзеляжа на кручение из-за выреза (5,50).</w:t>
      </w:r>
    </w:p>
    <w:p w14:paraId="5D8070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Проблему решили заменив оперение и установив 4 наружных лонжерона (5,50). Второй самолет, построенный к концу ноября, показал хорошие результаты, но работу прекратили после первых полетов (24,147) сосредоточившись на Ил-2 и ДБ-3Ф, а также бронированного штурмовика ЦКБ-60 (5,50).</w:t>
      </w:r>
    </w:p>
    <w:p w14:paraId="235C14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в серию пошел ДБ-240, который с М-105 показал скорость 500 км/ч и заданную дальность (5,50).</w:t>
      </w:r>
    </w:p>
    <w:p w14:paraId="1E8224B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1C804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года вышел приказ НИИ ВВС № 0219</w:t>
      </w:r>
    </w:p>
    <w:p w14:paraId="715B080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колпака для слепого полета на самолете ДБ3-Ф 2М-87 конструкции завода № 39 (6890, 132).</w:t>
      </w:r>
    </w:p>
    <w:p w14:paraId="4C4F8B2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29B025C" w14:textId="77777777" w:rsidR="001A581B" w:rsidRPr="00A3026E" w:rsidRDefault="001A581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10 октября 1940 г. директор завода № 156 А.В. Ляпидевский обратился с письмом к замнаркома авиапромышленности А.С. Яковлеву. Он писал: «Макет самолёта ДБЛК с внесёнными в него изменениями после госиспытаний не даёт возможности провести на самолёте указанные выше изменения, так как последние потребуют коренной переделки самолёта, равнозначной постройке нового образца… Учитывая большую перегрузку завода работами ЦКБ НКВД-29 („102“ и „103“ машина) </w:t>
      </w:r>
      <w:hyperlink r:id="rId33" w:history="1">
        <w:r w:rsidRPr="00A3026E">
          <w:rPr>
            <w:rFonts w:ascii="Times New Roman" w:eastAsia="Times New Roman" w:hAnsi="Times New Roman"/>
            <w:color w:val="000000" w:themeColor="text1"/>
            <w:sz w:val="16"/>
            <w:szCs w:val="16"/>
            <w:lang w:eastAsia="ru-RU"/>
          </w:rPr>
          <w:t>[300]</w:t>
        </w:r>
      </w:hyperlink>
      <w:r w:rsidRPr="00A3026E">
        <w:rPr>
          <w:rFonts w:ascii="Times New Roman" w:eastAsia="Times New Roman" w:hAnsi="Times New Roman"/>
          <w:color w:val="000000" w:themeColor="text1"/>
          <w:sz w:val="16"/>
          <w:szCs w:val="16"/>
          <w:lang w:eastAsia="ru-RU"/>
        </w:rPr>
        <w:t xml:space="preserve"> , считаю необходимым работу по переделкам самолёта ДБЛК прекратить… Прошу Вашего распоряжения о прекращении работ по переделкам самолёта ДБЛК, передачи его в музей ЦАГИ (имеется в виду выставочный зал Бюро новой техники ЦАГИ. — Д.С.) и списания затрат с баланса завода» </w:t>
      </w:r>
      <w:hyperlink r:id="rId34" w:history="1">
        <w:r w:rsidRPr="00A3026E">
          <w:rPr>
            <w:rFonts w:ascii="Times New Roman" w:eastAsia="Times New Roman" w:hAnsi="Times New Roman"/>
            <w:color w:val="000000" w:themeColor="text1"/>
            <w:sz w:val="16"/>
            <w:szCs w:val="16"/>
            <w:lang w:eastAsia="ru-RU"/>
          </w:rPr>
          <w:t>[301]</w:t>
        </w:r>
      </w:hyperlink>
      <w:r w:rsidRPr="00A3026E">
        <w:rPr>
          <w:rFonts w:ascii="Times New Roman" w:eastAsia="Times New Roman" w:hAnsi="Times New Roman"/>
          <w:color w:val="000000" w:themeColor="text1"/>
          <w:sz w:val="16"/>
          <w:szCs w:val="16"/>
          <w:lang w:eastAsia="ru-RU"/>
        </w:rPr>
        <w:t xml:space="preserve"> .</w:t>
      </w:r>
    </w:p>
    <w:p w14:paraId="2FB64210" w14:textId="77777777" w:rsidR="001A581B" w:rsidRPr="00A3026E" w:rsidRDefault="001A581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По результатам госиспытаний ДБ-ЛК В.Н. Беляеву рекомендовалось усовершенствовать бомбардировщик и затем вновь передать на испытания. Вскоре конструктор представил новый вариант. Для улучшения обзора кабину экипажа решили разместить у передней кромки в центральной части крыла. В соответствии с пожеланиями военных, конструкцию самолёта переработали, чтобы производить бомбометание с пикирования. По расчёту, с новыми моторами А.Д. Швецова М-71 с взлётной мощностью 1800 л. с. модернизированный ДБ-ЛК мог развивать скорость 590 км/ч и нести вдвое большую бомбовую нагрузку </w:t>
      </w:r>
      <w:hyperlink r:id="rId35" w:history="1">
        <w:r w:rsidRPr="00A3026E">
          <w:rPr>
            <w:rFonts w:ascii="Times New Roman" w:eastAsia="Times New Roman" w:hAnsi="Times New Roman"/>
            <w:color w:val="000000" w:themeColor="text1"/>
            <w:sz w:val="16"/>
            <w:szCs w:val="16"/>
            <w:lang w:eastAsia="ru-RU"/>
          </w:rPr>
          <w:t>[299]</w:t>
        </w:r>
      </w:hyperlink>
      <w:r w:rsidRPr="00A3026E">
        <w:rPr>
          <w:rFonts w:ascii="Times New Roman" w:eastAsia="Times New Roman" w:hAnsi="Times New Roman"/>
          <w:color w:val="000000" w:themeColor="text1"/>
          <w:sz w:val="16"/>
          <w:szCs w:val="16"/>
          <w:lang w:eastAsia="ru-RU"/>
        </w:rPr>
        <w:t xml:space="preserve"> .</w:t>
      </w:r>
    </w:p>
    <w:p w14:paraId="7E1133F4" w14:textId="77777777" w:rsidR="001A581B" w:rsidRPr="00A3026E" w:rsidRDefault="001A581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Был изготовлен полноразмерный макет нового варианта бомбардировщика. Но воплотить самолёт в жизнь не удалось (17489). </w:t>
      </w:r>
    </w:p>
    <w:p w14:paraId="7503172A" w14:textId="77777777" w:rsidR="001A581B" w:rsidRPr="00A3026E" w:rsidRDefault="001A581B" w:rsidP="00A3026E">
      <w:pPr>
        <w:spacing w:after="0" w:line="240" w:lineRule="auto"/>
        <w:jc w:val="both"/>
        <w:rPr>
          <w:rFonts w:ascii="Times New Roman" w:eastAsia="Times New Roman" w:hAnsi="Times New Roman"/>
          <w:color w:val="000000" w:themeColor="text1"/>
          <w:sz w:val="16"/>
          <w:szCs w:val="16"/>
          <w:lang w:eastAsia="ru-RU"/>
        </w:rPr>
      </w:pPr>
    </w:p>
    <w:p w14:paraId="129CAC7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года начальник НИИ ВВС генерал-майор авиации Филин писал письмо № 1/01015 врид начальника ГУ ВВС генерал-лейтенанту авиации Рычагову (6633).</w:t>
      </w:r>
    </w:p>
    <w:p w14:paraId="1F90C44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 о ходе работ по самолету «РК» на заводе № 22 по состоянию на 4 сентября 1940 года.</w:t>
      </w:r>
    </w:p>
    <w:p w14:paraId="0FC654A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постановления КО от 1 июня 1940 года № 240 п. 3, завод № 22 должен был построить к 15 августа 1940 года эталон самолета «РК» в трех экземплярах. Уже в начале июля 1940 года было видно, что правительственный срок будет сорван, т.к. в это время начиналось только подготовление чертежей, поэтому завод разработал план производства этих самолетов к 10 сентября 1940 года. Однако и этот срок срывается и руководство завода считает, что к концу сентября первые три самолета будут выпущены.</w:t>
      </w:r>
    </w:p>
    <w:p w14:paraId="46AA260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проводится на заводе № 22 отработка следующих основных изменений:</w:t>
      </w:r>
    </w:p>
    <w:p w14:paraId="08814CC3"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СБ № 1/281 с уменьшенным крылом проведено 5 полетов для проверки работы щитков с пикированием.</w:t>
      </w:r>
    </w:p>
    <w:p w14:paraId="636A78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последнем полете 3 сентября 1940 года была получена установившаяся скорость пикирования 500-510 км/час.</w:t>
      </w:r>
    </w:p>
    <w:p w14:paraId="068F7909"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СБ № 2/282 с радиаторами в крыле сделан ряд изменений по винто-моторной группе.</w:t>
      </w:r>
    </w:p>
    <w:p w14:paraId="4923091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изменений самолет летал до высоты 8000 м. Полеты продолжаются.</w:t>
      </w:r>
    </w:p>
    <w:p w14:paraId="60208162"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одном из серийных самолетов СБ смонтирована новая задняя стрелковая точка типа самолета № 100, вместо МВ-3 (6633, 16-17).</w:t>
      </w:r>
    </w:p>
    <w:p w14:paraId="5A10781F"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p>
    <w:p w14:paraId="44DD30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нач. инспекции при наркоме Фокин докладывал наркому (справка N 5820) о состоянии выполнения приказа N 282сс от 16 июня о постройке ближнего бомбардировщика с М-105 ТК-2 (1170).</w:t>
      </w:r>
    </w:p>
    <w:p w14:paraId="748F06C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E0473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на 301 завод пришло письмо руководства о решении запустить И-301 в массовое серийное производство и было поручено в кратчайшие сроки предъявить две машины на гос. испытания (1204,83).</w:t>
      </w:r>
    </w:p>
    <w:p w14:paraId="7BD5F30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9D97589"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г. приказом НКАП за № 623сс ОКБ и опытное производство завода № 21 передавалось главному конструктору С.А. Лавочкину (15561).</w:t>
      </w:r>
    </w:p>
    <w:p w14:paraId="067EFDE3" w14:textId="77777777" w:rsidR="00226974" w:rsidRPr="00A3026E" w:rsidRDefault="00226974" w:rsidP="00A3026E">
      <w:pPr>
        <w:spacing w:after="0" w:line="240" w:lineRule="auto"/>
        <w:jc w:val="both"/>
        <w:rPr>
          <w:rFonts w:ascii="Times New Roman" w:hAnsi="Times New Roman"/>
          <w:color w:val="000000" w:themeColor="text1"/>
          <w:sz w:val="16"/>
          <w:szCs w:val="16"/>
        </w:rPr>
      </w:pPr>
    </w:p>
    <w:p w14:paraId="50DE9D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г. Правительство приняло решение запустить под обозначением ЛаГГ-3 истребитель И-301 в массовое производство на нескольких заводах (№21 в Горьком, № 31 в Таганроге, № 23 в Ленинграде и № 153 в Новосибирске (4707).</w:t>
      </w:r>
    </w:p>
    <w:p w14:paraId="0744359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C792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г. по решению правительства прекратили производство МБР-2 на заводе № 31 и предприятие полностью переходило на выпуск истребителей ЛаГГ-3. Поэтому модернизация уже построенных МБР-2 под двигатели М-103 так и не состоялась. Последовавший за этим перевод коллектива Г.М. Бериева на завод № 288 в Савёлово под Москвой, а потом и начавшаяся война окончательно поставили крест на планах модернизации МБР-2.</w:t>
      </w:r>
    </w:p>
    <w:p w14:paraId="294A4E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Таганроге на заводе № 31 построили 1365 летающих лодок МБР-2 всех модификаций (не считая построенный на московском заводе № 39 первый опытный образец). В ряде публикаций встречается другое число -1400. Вероятно, это связано с тем, что завод ежегодно получал план не только по выпуску самолётов, но и на изготовление групповых комплектов запчастей для находящихся в строю машин. Эта работа ложилась дополнительным бременем на заготовительные, механические и агрегатные цеха, не затрагивая цеха окончательной сборки, наземной отработки и лётно-испы- тательную станцию. Потому экономические службы завода и ГУАП считали трикомплек- та запчастей за один самолёт.</w:t>
      </w:r>
    </w:p>
    <w:p w14:paraId="22AD71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выпуск МБР-2 на заводе №31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983732" w:rsidRPr="00A3026E" w14:paraId="6D06309F" w14:textId="77777777" w:rsidTr="00EA0DA7">
        <w:tc>
          <w:tcPr>
            <w:tcW w:w="1401" w:type="dxa"/>
            <w:tcBorders>
              <w:top w:val="single" w:sz="12" w:space="0" w:color="auto"/>
            </w:tcBorders>
          </w:tcPr>
          <w:p w14:paraId="72E321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1934 г.</w:t>
            </w:r>
          </w:p>
        </w:tc>
        <w:tc>
          <w:tcPr>
            <w:tcW w:w="1401" w:type="dxa"/>
            <w:tcBorders>
              <w:top w:val="single" w:sz="12" w:space="0" w:color="auto"/>
            </w:tcBorders>
          </w:tcPr>
          <w:p w14:paraId="0E90C8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1935 г.</w:t>
            </w:r>
          </w:p>
        </w:tc>
        <w:tc>
          <w:tcPr>
            <w:tcW w:w="1401" w:type="dxa"/>
            <w:tcBorders>
              <w:top w:val="single" w:sz="12" w:space="0" w:color="auto"/>
            </w:tcBorders>
          </w:tcPr>
          <w:p w14:paraId="635DA6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1936 г.</w:t>
            </w:r>
          </w:p>
        </w:tc>
        <w:tc>
          <w:tcPr>
            <w:tcW w:w="1401" w:type="dxa"/>
            <w:tcBorders>
              <w:top w:val="single" w:sz="12" w:space="0" w:color="auto"/>
            </w:tcBorders>
          </w:tcPr>
          <w:p w14:paraId="1ADA57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1937 г.</w:t>
            </w:r>
          </w:p>
        </w:tc>
        <w:tc>
          <w:tcPr>
            <w:tcW w:w="1401" w:type="dxa"/>
            <w:tcBorders>
              <w:top w:val="single" w:sz="12" w:space="0" w:color="auto"/>
            </w:tcBorders>
          </w:tcPr>
          <w:p w14:paraId="456ADF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 г.</w:t>
            </w:r>
          </w:p>
        </w:tc>
        <w:tc>
          <w:tcPr>
            <w:tcW w:w="1401" w:type="dxa"/>
            <w:tcBorders>
              <w:top w:val="single" w:sz="12" w:space="0" w:color="auto"/>
            </w:tcBorders>
          </w:tcPr>
          <w:p w14:paraId="2FFC07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 г.</w:t>
            </w:r>
          </w:p>
        </w:tc>
        <w:tc>
          <w:tcPr>
            <w:tcW w:w="1401" w:type="dxa"/>
            <w:tcBorders>
              <w:top w:val="single" w:sz="12" w:space="0" w:color="auto"/>
            </w:tcBorders>
          </w:tcPr>
          <w:p w14:paraId="72B418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w:t>
            </w:r>
          </w:p>
        </w:tc>
        <w:tc>
          <w:tcPr>
            <w:tcW w:w="1401" w:type="dxa"/>
            <w:tcBorders>
              <w:top w:val="single" w:sz="12" w:space="0" w:color="auto"/>
            </w:tcBorders>
          </w:tcPr>
          <w:p w14:paraId="0221FD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r>
      <w:tr w:rsidR="00983732" w:rsidRPr="00A3026E" w14:paraId="729507EE" w14:textId="77777777" w:rsidTr="00EA0DA7">
        <w:tc>
          <w:tcPr>
            <w:tcW w:w="1401" w:type="dxa"/>
            <w:tcBorders>
              <w:bottom w:val="single" w:sz="12" w:space="0" w:color="auto"/>
            </w:tcBorders>
          </w:tcPr>
          <w:p w14:paraId="218434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w:t>
            </w:r>
          </w:p>
        </w:tc>
        <w:tc>
          <w:tcPr>
            <w:tcW w:w="1401" w:type="dxa"/>
            <w:tcBorders>
              <w:bottom w:val="single" w:sz="12" w:space="0" w:color="auto"/>
            </w:tcBorders>
          </w:tcPr>
          <w:p w14:paraId="67EE7D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1401" w:type="dxa"/>
            <w:tcBorders>
              <w:bottom w:val="single" w:sz="12" w:space="0" w:color="auto"/>
            </w:tcBorders>
          </w:tcPr>
          <w:p w14:paraId="435078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109</w:t>
            </w:r>
          </w:p>
        </w:tc>
        <w:tc>
          <w:tcPr>
            <w:tcW w:w="1401" w:type="dxa"/>
            <w:tcBorders>
              <w:bottom w:val="single" w:sz="12" w:space="0" w:color="auto"/>
            </w:tcBorders>
          </w:tcPr>
          <w:p w14:paraId="013CF4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c>
          <w:tcPr>
            <w:tcW w:w="1401" w:type="dxa"/>
            <w:tcBorders>
              <w:bottom w:val="single" w:sz="12" w:space="0" w:color="auto"/>
            </w:tcBorders>
          </w:tcPr>
          <w:p w14:paraId="1A8F91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364</w:t>
            </w:r>
          </w:p>
        </w:tc>
        <w:tc>
          <w:tcPr>
            <w:tcW w:w="1401" w:type="dxa"/>
            <w:tcBorders>
              <w:bottom w:val="single" w:sz="12" w:space="0" w:color="auto"/>
            </w:tcBorders>
          </w:tcPr>
          <w:p w14:paraId="10D2DA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w:t>
            </w:r>
          </w:p>
        </w:tc>
        <w:tc>
          <w:tcPr>
            <w:tcW w:w="1401" w:type="dxa"/>
            <w:tcBorders>
              <w:bottom w:val="single" w:sz="12" w:space="0" w:color="auto"/>
            </w:tcBorders>
          </w:tcPr>
          <w:p w14:paraId="040707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w:t>
            </w:r>
          </w:p>
        </w:tc>
        <w:tc>
          <w:tcPr>
            <w:tcW w:w="1401" w:type="dxa"/>
            <w:tcBorders>
              <w:bottom w:val="single" w:sz="12" w:space="0" w:color="auto"/>
            </w:tcBorders>
          </w:tcPr>
          <w:p w14:paraId="1CA49F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1365</w:t>
            </w:r>
          </w:p>
        </w:tc>
      </w:tr>
    </w:tbl>
    <w:p w14:paraId="5A5E31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(12003).</w:t>
      </w:r>
    </w:p>
    <w:p w14:paraId="6AA0E39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947F6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10 октября 1940 на заводе № 292 в наличии было всего пять моторов (7 - к 28 октября), а к 10 ноября 1940 г. - три комплекта винтов. Устранялись дефекты, выявленные войсковыми испытаниями в Кубинке (установили механические указатели отклоненного положения щитков, профили на боковые фюзеляжные люки, амортизаторы фонаря, нижнюю часть подушки сиденья летчика сделали толше, увеличили угол отклонения хвостовой опоры шасси). В связи с этим 12 ноября 1940 г. план по выпуску И-26 завода № 292 был скорректирован: три машины головной серии следовало выпустить до 1 ноября, 20 машин - до 25 ноября, Цех начинки а </w:t>
      </w:r>
      <w:r w:rsidRPr="00A3026E">
        <w:rPr>
          <w:rFonts w:ascii="Times New Roman" w:hAnsi="Times New Roman"/>
          <w:color w:val="000000" w:themeColor="text1"/>
          <w:sz w:val="16"/>
          <w:szCs w:val="16"/>
        </w:rPr>
        <w:lastRenderedPageBreak/>
        <w:t>80 - к концу года. Но и этот план оказался фюзеляжей 1944 г. невыполненным. Всего в I940 г. завод № 292 Архив С. Кузнецова выпустил 16 самолетов (из них пять самолетов было принято военной приемкой в ноябре и 11 - в декабре), и ни одна машина из этого числа не была отправлена в части (12048).</w:t>
      </w:r>
    </w:p>
    <w:p w14:paraId="18B9A3B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CA23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П.О.С. направил в НКАП эскизный проект истребителя пункта обороны. Чуть позже его же направил в НИИ ВВС (3484,31).</w:t>
      </w:r>
    </w:p>
    <w:p w14:paraId="79B4800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A0E1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года из НИИ ВВС Начальник НИИ ВВС генерал-майор авиации Филиным зам. начальника ГУ ВВС генерал-лейтенанту авиации Гусеву за № 3/00140 сс и в секретариат КО при СНК Осипенко 16 октября за № 3/00154 сс (6630) были представлены Данные для справок по серийным и опытным самолетам. Только данные по самолетам – эталонам 1940 года должны были даваться при всех справках и сравнительных сопоставлениях в отчетах (6630).</w:t>
      </w:r>
    </w:p>
    <w:p w14:paraId="6302DA6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Истребители</w:t>
      </w:r>
    </w:p>
    <w:p w14:paraId="7F824B7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 с М-25В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78D3B73F" w14:textId="77777777" w:rsidTr="00EA0DA7">
        <w:tc>
          <w:tcPr>
            <w:tcW w:w="5636" w:type="dxa"/>
            <w:tcBorders>
              <w:top w:val="single" w:sz="12" w:space="0" w:color="auto"/>
            </w:tcBorders>
          </w:tcPr>
          <w:p w14:paraId="44969D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611B8B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750/2900</w:t>
            </w:r>
          </w:p>
        </w:tc>
      </w:tr>
      <w:tr w:rsidR="00983732" w:rsidRPr="00A3026E" w14:paraId="15CD563F" w14:textId="77777777" w:rsidTr="00EA0DA7">
        <w:tc>
          <w:tcPr>
            <w:tcW w:w="5636" w:type="dxa"/>
          </w:tcPr>
          <w:p w14:paraId="6D29D5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7900266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1726,5</w:t>
            </w:r>
          </w:p>
        </w:tc>
      </w:tr>
      <w:tr w:rsidR="00983732" w:rsidRPr="00A3026E" w14:paraId="47249F74" w14:textId="77777777" w:rsidTr="00EA0DA7">
        <w:tc>
          <w:tcPr>
            <w:tcW w:w="5636" w:type="dxa"/>
          </w:tcPr>
          <w:p w14:paraId="01725DD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1B87E33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3F2B0FF" w14:textId="77777777" w:rsidTr="00EA0DA7">
        <w:tc>
          <w:tcPr>
            <w:tcW w:w="5636" w:type="dxa"/>
          </w:tcPr>
          <w:p w14:paraId="63060E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7A70C9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398</w:t>
            </w:r>
          </w:p>
        </w:tc>
      </w:tr>
      <w:tr w:rsidR="00983732" w:rsidRPr="00A3026E" w14:paraId="6DCF5963" w14:textId="77777777" w:rsidTr="00EA0DA7">
        <w:tc>
          <w:tcPr>
            <w:tcW w:w="5636" w:type="dxa"/>
          </w:tcPr>
          <w:p w14:paraId="207D0C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784E45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448/3160</w:t>
            </w:r>
          </w:p>
        </w:tc>
      </w:tr>
      <w:tr w:rsidR="00983732" w:rsidRPr="00A3026E" w14:paraId="27C192EE" w14:textId="77777777" w:rsidTr="00EA0DA7">
        <w:tc>
          <w:tcPr>
            <w:tcW w:w="5636" w:type="dxa"/>
          </w:tcPr>
          <w:p w14:paraId="46A50E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451A948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448/3160</w:t>
            </w:r>
          </w:p>
        </w:tc>
      </w:tr>
      <w:tr w:rsidR="00983732" w:rsidRPr="00A3026E" w14:paraId="1DD5EF7C" w14:textId="77777777" w:rsidTr="00EA0DA7">
        <w:tc>
          <w:tcPr>
            <w:tcW w:w="5636" w:type="dxa"/>
          </w:tcPr>
          <w:p w14:paraId="482E86A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3BF0BED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 без щитков</w:t>
            </w:r>
          </w:p>
        </w:tc>
      </w:tr>
      <w:tr w:rsidR="00983732" w:rsidRPr="00A3026E" w14:paraId="4D8D95D5" w14:textId="77777777" w:rsidTr="00EA0DA7">
        <w:tc>
          <w:tcPr>
            <w:tcW w:w="5636" w:type="dxa"/>
          </w:tcPr>
          <w:p w14:paraId="3351366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4DA1A6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16-18/1000</w:t>
            </w:r>
          </w:p>
        </w:tc>
      </w:tr>
      <w:tr w:rsidR="00983732" w:rsidRPr="00A3026E" w14:paraId="3224AB79" w14:textId="77777777" w:rsidTr="00EA0DA7">
        <w:tc>
          <w:tcPr>
            <w:tcW w:w="5636" w:type="dxa"/>
          </w:tcPr>
          <w:p w14:paraId="4BB9EE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36ECB69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6,8/5000</w:t>
            </w:r>
          </w:p>
        </w:tc>
      </w:tr>
      <w:tr w:rsidR="00983732" w:rsidRPr="00A3026E" w14:paraId="1922651F" w14:textId="77777777" w:rsidTr="00EA0DA7">
        <w:tc>
          <w:tcPr>
            <w:tcW w:w="5636" w:type="dxa"/>
          </w:tcPr>
          <w:p w14:paraId="43D30F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131148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8260</w:t>
            </w:r>
          </w:p>
        </w:tc>
      </w:tr>
      <w:tr w:rsidR="00983732" w:rsidRPr="00A3026E" w14:paraId="1F69289F" w14:textId="77777777" w:rsidTr="00EA0DA7">
        <w:tc>
          <w:tcPr>
            <w:tcW w:w="5636" w:type="dxa"/>
          </w:tcPr>
          <w:p w14:paraId="578E13C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0099980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DB80697" w14:textId="77777777" w:rsidTr="00EA0DA7">
        <w:tc>
          <w:tcPr>
            <w:tcW w:w="5636" w:type="dxa"/>
          </w:tcPr>
          <w:p w14:paraId="20480F7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078613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440/3160</w:t>
            </w:r>
          </w:p>
        </w:tc>
      </w:tr>
      <w:tr w:rsidR="00983732" w:rsidRPr="00A3026E" w14:paraId="565E3846" w14:textId="77777777" w:rsidTr="00EA0DA7">
        <w:tc>
          <w:tcPr>
            <w:tcW w:w="5636" w:type="dxa"/>
          </w:tcPr>
          <w:p w14:paraId="57E19E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058EE7C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525/3160</w:t>
            </w:r>
          </w:p>
        </w:tc>
      </w:tr>
      <w:tr w:rsidR="00983732" w:rsidRPr="00A3026E" w14:paraId="45BA1EA3" w14:textId="77777777" w:rsidTr="00EA0DA7">
        <w:tc>
          <w:tcPr>
            <w:tcW w:w="5636" w:type="dxa"/>
          </w:tcPr>
          <w:p w14:paraId="77A1A8B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22" w:type="dxa"/>
          </w:tcPr>
          <w:p w14:paraId="0FD3A6F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9337739" w14:textId="77777777" w:rsidTr="00EA0DA7">
        <w:tc>
          <w:tcPr>
            <w:tcW w:w="5636" w:type="dxa"/>
          </w:tcPr>
          <w:p w14:paraId="10362E2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099661D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260/14,2</w:t>
            </w:r>
          </w:p>
        </w:tc>
      </w:tr>
      <w:tr w:rsidR="00983732" w:rsidRPr="00A3026E" w14:paraId="141BDEB7" w14:textId="77777777" w:rsidTr="00EA0DA7">
        <w:tc>
          <w:tcPr>
            <w:tcW w:w="5636" w:type="dxa"/>
          </w:tcPr>
          <w:p w14:paraId="7671BFE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04DC57A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288/23,3</w:t>
            </w:r>
          </w:p>
        </w:tc>
      </w:tr>
      <w:tr w:rsidR="00983732" w:rsidRPr="00A3026E" w14:paraId="2609019B" w14:textId="77777777" w:rsidTr="00EA0DA7">
        <w:tc>
          <w:tcPr>
            <w:tcW w:w="5636" w:type="dxa"/>
          </w:tcPr>
          <w:p w14:paraId="0C3BD0A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6DC1272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8B78471" w14:textId="77777777" w:rsidTr="00EA0DA7">
        <w:tc>
          <w:tcPr>
            <w:tcW w:w="5636" w:type="dxa"/>
          </w:tcPr>
          <w:p w14:paraId="428F4E6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0EBECC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27BA5899" w14:textId="77777777" w:rsidTr="00EA0DA7">
        <w:tc>
          <w:tcPr>
            <w:tcW w:w="5636" w:type="dxa"/>
            <w:tcBorders>
              <w:bottom w:val="single" w:sz="12" w:space="0" w:color="auto"/>
            </w:tcBorders>
          </w:tcPr>
          <w:p w14:paraId="4360C34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722F9D8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32E5AD7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03B82F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 с М-62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2818"/>
        <w:gridCol w:w="2003"/>
      </w:tblGrid>
      <w:tr w:rsidR="00983732" w:rsidRPr="00A3026E" w14:paraId="5C2AC271" w14:textId="77777777" w:rsidTr="00EA0DA7">
        <w:tc>
          <w:tcPr>
            <w:tcW w:w="5637" w:type="dxa"/>
            <w:tcBorders>
              <w:top w:val="single" w:sz="12" w:space="0" w:color="auto"/>
            </w:tcBorders>
          </w:tcPr>
          <w:p w14:paraId="761B4EE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2818" w:type="dxa"/>
            <w:tcBorders>
              <w:top w:val="single" w:sz="12" w:space="0" w:color="auto"/>
            </w:tcBorders>
          </w:tcPr>
          <w:p w14:paraId="10AF280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800/4200</w:t>
            </w:r>
          </w:p>
        </w:tc>
        <w:tc>
          <w:tcPr>
            <w:tcW w:w="2003" w:type="dxa"/>
            <w:tcBorders>
              <w:top w:val="single" w:sz="12" w:space="0" w:color="auto"/>
            </w:tcBorders>
          </w:tcPr>
          <w:p w14:paraId="2AA0215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A893A50" w14:textId="77777777" w:rsidTr="00EA0DA7">
        <w:tc>
          <w:tcPr>
            <w:tcW w:w="5637" w:type="dxa"/>
          </w:tcPr>
          <w:p w14:paraId="6F7254B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2818" w:type="dxa"/>
          </w:tcPr>
          <w:p w14:paraId="102917B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1830/1938</w:t>
            </w:r>
          </w:p>
        </w:tc>
        <w:tc>
          <w:tcPr>
            <w:tcW w:w="2003" w:type="dxa"/>
          </w:tcPr>
          <w:p w14:paraId="137FD7D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F86C9CE" w14:textId="77777777" w:rsidTr="00EA0DA7">
        <w:tc>
          <w:tcPr>
            <w:tcW w:w="5637" w:type="dxa"/>
          </w:tcPr>
          <w:p w14:paraId="6D8EE0A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2818" w:type="dxa"/>
          </w:tcPr>
          <w:p w14:paraId="1D4D85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2003" w:type="dxa"/>
          </w:tcPr>
          <w:p w14:paraId="4213754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0958D94" w14:textId="77777777" w:rsidTr="00EA0DA7">
        <w:tc>
          <w:tcPr>
            <w:tcW w:w="5637" w:type="dxa"/>
          </w:tcPr>
          <w:p w14:paraId="70F8D9B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2818" w:type="dxa"/>
          </w:tcPr>
          <w:p w14:paraId="15C4773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411</w:t>
            </w:r>
          </w:p>
        </w:tc>
        <w:tc>
          <w:tcPr>
            <w:tcW w:w="2003" w:type="dxa"/>
          </w:tcPr>
          <w:p w14:paraId="2D1EC5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8C1C3E6" w14:textId="77777777" w:rsidTr="00EA0DA7">
        <w:tc>
          <w:tcPr>
            <w:tcW w:w="5637" w:type="dxa"/>
          </w:tcPr>
          <w:p w14:paraId="546522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2818" w:type="dxa"/>
          </w:tcPr>
          <w:p w14:paraId="46D780B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464/4400</w:t>
            </w:r>
          </w:p>
        </w:tc>
        <w:tc>
          <w:tcPr>
            <w:tcW w:w="2003" w:type="dxa"/>
          </w:tcPr>
          <w:p w14:paraId="5472F22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4B2B680" w14:textId="77777777" w:rsidTr="00EA0DA7">
        <w:tc>
          <w:tcPr>
            <w:tcW w:w="5637" w:type="dxa"/>
          </w:tcPr>
          <w:p w14:paraId="1C852B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2818" w:type="dxa"/>
          </w:tcPr>
          <w:p w14:paraId="3BE9F6A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458/4400</w:t>
            </w:r>
          </w:p>
        </w:tc>
        <w:tc>
          <w:tcPr>
            <w:tcW w:w="2003" w:type="dxa"/>
          </w:tcPr>
          <w:p w14:paraId="19A908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E856150" w14:textId="77777777" w:rsidTr="00EA0DA7">
        <w:tc>
          <w:tcPr>
            <w:tcW w:w="5637" w:type="dxa"/>
          </w:tcPr>
          <w:p w14:paraId="570FF06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2818" w:type="dxa"/>
          </w:tcPr>
          <w:p w14:paraId="198606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 без щитков</w:t>
            </w:r>
          </w:p>
        </w:tc>
        <w:tc>
          <w:tcPr>
            <w:tcW w:w="2003" w:type="dxa"/>
          </w:tcPr>
          <w:p w14:paraId="45B010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881D2E8" w14:textId="77777777" w:rsidTr="00EA0DA7">
        <w:tc>
          <w:tcPr>
            <w:tcW w:w="5637" w:type="dxa"/>
          </w:tcPr>
          <w:p w14:paraId="2DF2E3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2818" w:type="dxa"/>
          </w:tcPr>
          <w:p w14:paraId="59FD2AE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16-18/1000</w:t>
            </w:r>
          </w:p>
        </w:tc>
        <w:tc>
          <w:tcPr>
            <w:tcW w:w="2003" w:type="dxa"/>
          </w:tcPr>
          <w:p w14:paraId="606407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6DF1862" w14:textId="77777777" w:rsidTr="00EA0DA7">
        <w:tc>
          <w:tcPr>
            <w:tcW w:w="5637" w:type="dxa"/>
          </w:tcPr>
          <w:p w14:paraId="2784FAB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2818" w:type="dxa"/>
          </w:tcPr>
          <w:p w14:paraId="33929E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5,2/5000</w:t>
            </w:r>
          </w:p>
        </w:tc>
        <w:tc>
          <w:tcPr>
            <w:tcW w:w="2003" w:type="dxa"/>
          </w:tcPr>
          <w:p w14:paraId="1AE824F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43D0E08" w14:textId="77777777" w:rsidTr="00EA0DA7">
        <w:tc>
          <w:tcPr>
            <w:tcW w:w="5637" w:type="dxa"/>
          </w:tcPr>
          <w:p w14:paraId="47B73CB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2818" w:type="dxa"/>
          </w:tcPr>
          <w:p w14:paraId="5BA145D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9470</w:t>
            </w:r>
          </w:p>
        </w:tc>
        <w:tc>
          <w:tcPr>
            <w:tcW w:w="2003" w:type="dxa"/>
          </w:tcPr>
          <w:p w14:paraId="55024C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1CEDC86" w14:textId="77777777" w:rsidTr="00EA0DA7">
        <w:tc>
          <w:tcPr>
            <w:tcW w:w="5637" w:type="dxa"/>
          </w:tcPr>
          <w:p w14:paraId="455032B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2818" w:type="dxa"/>
          </w:tcPr>
          <w:p w14:paraId="30B60F8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2003" w:type="dxa"/>
          </w:tcPr>
          <w:p w14:paraId="537DF28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EC6D8B2" w14:textId="77777777" w:rsidTr="00EA0DA7">
        <w:tc>
          <w:tcPr>
            <w:tcW w:w="5637" w:type="dxa"/>
          </w:tcPr>
          <w:p w14:paraId="17EEB73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2818" w:type="dxa"/>
          </w:tcPr>
          <w:p w14:paraId="3BF80EE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485/4400</w:t>
            </w:r>
          </w:p>
        </w:tc>
        <w:tc>
          <w:tcPr>
            <w:tcW w:w="2003" w:type="dxa"/>
          </w:tcPr>
          <w:p w14:paraId="36607D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B9FFE88" w14:textId="77777777" w:rsidTr="00EA0DA7">
        <w:tc>
          <w:tcPr>
            <w:tcW w:w="5637" w:type="dxa"/>
          </w:tcPr>
          <w:p w14:paraId="1D73F9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2818" w:type="dxa"/>
          </w:tcPr>
          <w:p w14:paraId="0536D5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485/4400</w:t>
            </w:r>
          </w:p>
        </w:tc>
        <w:tc>
          <w:tcPr>
            <w:tcW w:w="2003" w:type="dxa"/>
          </w:tcPr>
          <w:p w14:paraId="239DE6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4639B24" w14:textId="77777777" w:rsidTr="00EA0DA7">
        <w:tc>
          <w:tcPr>
            <w:tcW w:w="5637" w:type="dxa"/>
          </w:tcPr>
          <w:p w14:paraId="43F49F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2818" w:type="dxa"/>
          </w:tcPr>
          <w:p w14:paraId="1A8FCBB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003" w:type="dxa"/>
          </w:tcPr>
          <w:p w14:paraId="1986687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AEF16BD" w14:textId="77777777" w:rsidTr="00EA0DA7">
        <w:tc>
          <w:tcPr>
            <w:tcW w:w="5637" w:type="dxa"/>
          </w:tcPr>
          <w:p w14:paraId="0C43871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2818" w:type="dxa"/>
          </w:tcPr>
          <w:p w14:paraId="15A2AD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150/8,5 без фор.</w:t>
            </w:r>
          </w:p>
        </w:tc>
        <w:tc>
          <w:tcPr>
            <w:tcW w:w="2003" w:type="dxa"/>
          </w:tcPr>
          <w:p w14:paraId="1CF2D5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100/6,2 с фор.</w:t>
            </w:r>
          </w:p>
        </w:tc>
      </w:tr>
      <w:tr w:rsidR="00983732" w:rsidRPr="00A3026E" w14:paraId="1E33DEAF" w14:textId="77777777" w:rsidTr="00EA0DA7">
        <w:tc>
          <w:tcPr>
            <w:tcW w:w="5637" w:type="dxa"/>
          </w:tcPr>
          <w:p w14:paraId="314829F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2818" w:type="dxa"/>
          </w:tcPr>
          <w:p w14:paraId="387F231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2003" w:type="dxa"/>
          </w:tcPr>
          <w:p w14:paraId="007186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BC55D98" w14:textId="77777777" w:rsidTr="00EA0DA7">
        <w:tc>
          <w:tcPr>
            <w:tcW w:w="5637" w:type="dxa"/>
          </w:tcPr>
          <w:p w14:paraId="46F29D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2818" w:type="dxa"/>
          </w:tcPr>
          <w:p w14:paraId="649584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2003" w:type="dxa"/>
          </w:tcPr>
          <w:p w14:paraId="570F29D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B7DD7CA" w14:textId="77777777" w:rsidTr="00EA0DA7">
        <w:tc>
          <w:tcPr>
            <w:tcW w:w="5637" w:type="dxa"/>
          </w:tcPr>
          <w:p w14:paraId="5DA4826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2818" w:type="dxa"/>
          </w:tcPr>
          <w:p w14:paraId="0B2BC9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c>
          <w:tcPr>
            <w:tcW w:w="2003" w:type="dxa"/>
          </w:tcPr>
          <w:p w14:paraId="29CE541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E8E09A4" w14:textId="77777777" w:rsidTr="00EA0DA7">
        <w:tc>
          <w:tcPr>
            <w:tcW w:w="5637" w:type="dxa"/>
            <w:tcBorders>
              <w:bottom w:val="single" w:sz="12" w:space="0" w:color="auto"/>
            </w:tcBorders>
          </w:tcPr>
          <w:p w14:paraId="55CC58D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2818" w:type="dxa"/>
            <w:tcBorders>
              <w:bottom w:val="single" w:sz="12" w:space="0" w:color="auto"/>
            </w:tcBorders>
          </w:tcPr>
          <w:p w14:paraId="1B7A19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003" w:type="dxa"/>
            <w:tcBorders>
              <w:bottom w:val="single" w:sz="12" w:space="0" w:color="auto"/>
            </w:tcBorders>
          </w:tcPr>
          <w:p w14:paraId="363085E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2A14DC2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7D4E9C8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 с М-63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2835"/>
        <w:gridCol w:w="1986"/>
      </w:tblGrid>
      <w:tr w:rsidR="00983732" w:rsidRPr="00A3026E" w14:paraId="58521CBB" w14:textId="77777777" w:rsidTr="00EA0DA7">
        <w:tc>
          <w:tcPr>
            <w:tcW w:w="5637" w:type="dxa"/>
            <w:tcBorders>
              <w:top w:val="single" w:sz="12" w:space="0" w:color="auto"/>
            </w:tcBorders>
          </w:tcPr>
          <w:p w14:paraId="4BD706F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2835" w:type="dxa"/>
            <w:tcBorders>
              <w:top w:val="single" w:sz="12" w:space="0" w:color="auto"/>
            </w:tcBorders>
          </w:tcPr>
          <w:p w14:paraId="1333D0C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900/4500</w:t>
            </w:r>
          </w:p>
        </w:tc>
        <w:tc>
          <w:tcPr>
            <w:tcW w:w="1986" w:type="dxa"/>
            <w:tcBorders>
              <w:top w:val="single" w:sz="12" w:space="0" w:color="auto"/>
            </w:tcBorders>
          </w:tcPr>
          <w:p w14:paraId="45DD5D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D676009" w14:textId="77777777" w:rsidTr="00EA0DA7">
        <w:tc>
          <w:tcPr>
            <w:tcW w:w="5637" w:type="dxa"/>
          </w:tcPr>
          <w:p w14:paraId="61251B2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2835" w:type="dxa"/>
          </w:tcPr>
          <w:p w14:paraId="678EC2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1941/2115</w:t>
            </w:r>
          </w:p>
        </w:tc>
        <w:tc>
          <w:tcPr>
            <w:tcW w:w="1986" w:type="dxa"/>
          </w:tcPr>
          <w:p w14:paraId="6AB8C4E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529B7E2" w14:textId="77777777" w:rsidTr="00EA0DA7">
        <w:tc>
          <w:tcPr>
            <w:tcW w:w="5637" w:type="dxa"/>
          </w:tcPr>
          <w:p w14:paraId="11DC0BF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2835" w:type="dxa"/>
          </w:tcPr>
          <w:p w14:paraId="41C4D7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1986" w:type="dxa"/>
          </w:tcPr>
          <w:p w14:paraId="377DEE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A123701" w14:textId="77777777" w:rsidTr="00EA0DA7">
        <w:tc>
          <w:tcPr>
            <w:tcW w:w="5637" w:type="dxa"/>
          </w:tcPr>
          <w:p w14:paraId="5C8040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2835" w:type="dxa"/>
          </w:tcPr>
          <w:p w14:paraId="3F3761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w:t>
            </w:r>
          </w:p>
        </w:tc>
        <w:tc>
          <w:tcPr>
            <w:tcW w:w="1986" w:type="dxa"/>
          </w:tcPr>
          <w:p w14:paraId="4AB0574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3C1FD42" w14:textId="77777777" w:rsidTr="00EA0DA7">
        <w:tc>
          <w:tcPr>
            <w:tcW w:w="5637" w:type="dxa"/>
          </w:tcPr>
          <w:p w14:paraId="57D522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2835" w:type="dxa"/>
          </w:tcPr>
          <w:p w14:paraId="268F68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462/4700</w:t>
            </w:r>
          </w:p>
        </w:tc>
        <w:tc>
          <w:tcPr>
            <w:tcW w:w="1986" w:type="dxa"/>
          </w:tcPr>
          <w:p w14:paraId="669CAD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8D4C19B" w14:textId="77777777" w:rsidTr="00EA0DA7">
        <w:tc>
          <w:tcPr>
            <w:tcW w:w="5637" w:type="dxa"/>
          </w:tcPr>
          <w:p w14:paraId="641D9F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2835" w:type="dxa"/>
          </w:tcPr>
          <w:p w14:paraId="5F78DE6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462/4700</w:t>
            </w:r>
          </w:p>
        </w:tc>
        <w:tc>
          <w:tcPr>
            <w:tcW w:w="1986" w:type="dxa"/>
          </w:tcPr>
          <w:p w14:paraId="3AF8E0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 429/4150</w:t>
            </w:r>
          </w:p>
        </w:tc>
      </w:tr>
      <w:tr w:rsidR="00983732" w:rsidRPr="00A3026E" w14:paraId="11497C2B" w14:textId="77777777" w:rsidTr="00EA0DA7">
        <w:tc>
          <w:tcPr>
            <w:tcW w:w="5637" w:type="dxa"/>
          </w:tcPr>
          <w:p w14:paraId="15144CC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2835" w:type="dxa"/>
          </w:tcPr>
          <w:p w14:paraId="46D300C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 без щитков</w:t>
            </w:r>
          </w:p>
        </w:tc>
        <w:tc>
          <w:tcPr>
            <w:tcW w:w="1986" w:type="dxa"/>
          </w:tcPr>
          <w:p w14:paraId="27D0D3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A5B3026" w14:textId="77777777" w:rsidTr="00EA0DA7">
        <w:tc>
          <w:tcPr>
            <w:tcW w:w="5637" w:type="dxa"/>
          </w:tcPr>
          <w:p w14:paraId="4B2D27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2835" w:type="dxa"/>
          </w:tcPr>
          <w:p w14:paraId="1E5FCDA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18-19/1000</w:t>
            </w:r>
          </w:p>
        </w:tc>
        <w:tc>
          <w:tcPr>
            <w:tcW w:w="1986" w:type="dxa"/>
          </w:tcPr>
          <w:p w14:paraId="5C61AD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3C3D5E9" w14:textId="77777777" w:rsidTr="00EA0DA7">
        <w:tc>
          <w:tcPr>
            <w:tcW w:w="5637" w:type="dxa"/>
          </w:tcPr>
          <w:p w14:paraId="0752F8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2835" w:type="dxa"/>
          </w:tcPr>
          <w:p w14:paraId="151C9F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6,0/5000</w:t>
            </w:r>
          </w:p>
        </w:tc>
        <w:tc>
          <w:tcPr>
            <w:tcW w:w="1986" w:type="dxa"/>
          </w:tcPr>
          <w:p w14:paraId="0625D0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F836517" w14:textId="77777777" w:rsidTr="00EA0DA7">
        <w:tc>
          <w:tcPr>
            <w:tcW w:w="5637" w:type="dxa"/>
          </w:tcPr>
          <w:p w14:paraId="3AF2540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2835" w:type="dxa"/>
          </w:tcPr>
          <w:p w14:paraId="7D8DE76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9700</w:t>
            </w:r>
          </w:p>
        </w:tc>
        <w:tc>
          <w:tcPr>
            <w:tcW w:w="1986" w:type="dxa"/>
          </w:tcPr>
          <w:p w14:paraId="47F365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5A6AC91" w14:textId="77777777" w:rsidTr="00EA0DA7">
        <w:tc>
          <w:tcPr>
            <w:tcW w:w="5637" w:type="dxa"/>
          </w:tcPr>
          <w:p w14:paraId="4EC9FCD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2835" w:type="dxa"/>
          </w:tcPr>
          <w:p w14:paraId="35F4D9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1986" w:type="dxa"/>
          </w:tcPr>
          <w:p w14:paraId="0D4831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955FFE4" w14:textId="77777777" w:rsidTr="00EA0DA7">
        <w:tc>
          <w:tcPr>
            <w:tcW w:w="5637" w:type="dxa"/>
          </w:tcPr>
          <w:p w14:paraId="0636EDA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2835" w:type="dxa"/>
          </w:tcPr>
          <w:p w14:paraId="0448C5C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445/4700</w:t>
            </w:r>
          </w:p>
        </w:tc>
        <w:tc>
          <w:tcPr>
            <w:tcW w:w="1986" w:type="dxa"/>
          </w:tcPr>
          <w:p w14:paraId="76D7A1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C609232" w14:textId="77777777" w:rsidTr="00EA0DA7">
        <w:tc>
          <w:tcPr>
            <w:tcW w:w="5637" w:type="dxa"/>
          </w:tcPr>
          <w:p w14:paraId="0346B3F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2835" w:type="dxa"/>
          </w:tcPr>
          <w:p w14:paraId="4A72879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445/4700</w:t>
            </w:r>
          </w:p>
        </w:tc>
        <w:tc>
          <w:tcPr>
            <w:tcW w:w="1986" w:type="dxa"/>
          </w:tcPr>
          <w:p w14:paraId="26C8473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A7394E4" w14:textId="77777777" w:rsidTr="00EA0DA7">
        <w:tc>
          <w:tcPr>
            <w:tcW w:w="5637" w:type="dxa"/>
          </w:tcPr>
          <w:p w14:paraId="4FD56F1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2835" w:type="dxa"/>
          </w:tcPr>
          <w:p w14:paraId="4A149B8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625/4700</w:t>
            </w:r>
          </w:p>
        </w:tc>
        <w:tc>
          <w:tcPr>
            <w:tcW w:w="1986" w:type="dxa"/>
          </w:tcPr>
          <w:p w14:paraId="13A05F4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F103C57" w14:textId="77777777" w:rsidTr="00EA0DA7">
        <w:tc>
          <w:tcPr>
            <w:tcW w:w="5637" w:type="dxa"/>
          </w:tcPr>
          <w:p w14:paraId="0F23927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2835" w:type="dxa"/>
          </w:tcPr>
          <w:p w14:paraId="62B7D7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260/10 без фор.</w:t>
            </w:r>
          </w:p>
        </w:tc>
        <w:tc>
          <w:tcPr>
            <w:tcW w:w="1986" w:type="dxa"/>
          </w:tcPr>
          <w:p w14:paraId="41CB4B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220/8с фор.</w:t>
            </w:r>
          </w:p>
        </w:tc>
      </w:tr>
      <w:tr w:rsidR="00983732" w:rsidRPr="00A3026E" w14:paraId="5E07092E" w14:textId="77777777" w:rsidTr="00EA0DA7">
        <w:tc>
          <w:tcPr>
            <w:tcW w:w="5637" w:type="dxa"/>
          </w:tcPr>
          <w:p w14:paraId="1CE7AF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2835" w:type="dxa"/>
          </w:tcPr>
          <w:p w14:paraId="7F4559F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300/19,5</w:t>
            </w:r>
          </w:p>
        </w:tc>
        <w:tc>
          <w:tcPr>
            <w:tcW w:w="1986" w:type="dxa"/>
          </w:tcPr>
          <w:p w14:paraId="2298E14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B671B6C" w14:textId="77777777" w:rsidTr="00EA0DA7">
        <w:tc>
          <w:tcPr>
            <w:tcW w:w="5637" w:type="dxa"/>
          </w:tcPr>
          <w:p w14:paraId="4EF7FF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2835" w:type="dxa"/>
          </w:tcPr>
          <w:p w14:paraId="1B20303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1986" w:type="dxa"/>
          </w:tcPr>
          <w:p w14:paraId="3CE72A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AE0E1BD" w14:textId="77777777" w:rsidTr="00EA0DA7">
        <w:tc>
          <w:tcPr>
            <w:tcW w:w="5637" w:type="dxa"/>
          </w:tcPr>
          <w:p w14:paraId="0D93B6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2835" w:type="dxa"/>
          </w:tcPr>
          <w:p w14:paraId="76D5FC1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c>
          <w:tcPr>
            <w:tcW w:w="1986" w:type="dxa"/>
          </w:tcPr>
          <w:p w14:paraId="0A36297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0FF3B92" w14:textId="77777777" w:rsidTr="00EA0DA7">
        <w:tc>
          <w:tcPr>
            <w:tcW w:w="5637" w:type="dxa"/>
            <w:tcBorders>
              <w:bottom w:val="single" w:sz="12" w:space="0" w:color="auto"/>
            </w:tcBorders>
          </w:tcPr>
          <w:p w14:paraId="0040FC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2835" w:type="dxa"/>
            <w:tcBorders>
              <w:bottom w:val="single" w:sz="12" w:space="0" w:color="auto"/>
            </w:tcBorders>
          </w:tcPr>
          <w:p w14:paraId="5810A5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986" w:type="dxa"/>
            <w:tcBorders>
              <w:bottom w:val="single" w:sz="12" w:space="0" w:color="auto"/>
            </w:tcBorders>
          </w:tcPr>
          <w:p w14:paraId="119F8D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4A9D23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968196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 бис с М-25В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57B58419" w14:textId="77777777" w:rsidTr="00EA0DA7">
        <w:tc>
          <w:tcPr>
            <w:tcW w:w="5636" w:type="dxa"/>
            <w:tcBorders>
              <w:top w:val="single" w:sz="12" w:space="0" w:color="auto"/>
            </w:tcBorders>
          </w:tcPr>
          <w:p w14:paraId="79A362D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0C1333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750/2900</w:t>
            </w:r>
          </w:p>
        </w:tc>
      </w:tr>
      <w:tr w:rsidR="00983732" w:rsidRPr="00A3026E" w14:paraId="0958F19B" w14:textId="77777777" w:rsidTr="00EA0DA7">
        <w:tc>
          <w:tcPr>
            <w:tcW w:w="5636" w:type="dxa"/>
          </w:tcPr>
          <w:p w14:paraId="69999F2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457A8BF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1700/1880</w:t>
            </w:r>
          </w:p>
        </w:tc>
      </w:tr>
      <w:tr w:rsidR="00983732" w:rsidRPr="00A3026E" w14:paraId="517A3DC1" w14:textId="77777777" w:rsidTr="00EA0DA7">
        <w:tc>
          <w:tcPr>
            <w:tcW w:w="5636" w:type="dxa"/>
          </w:tcPr>
          <w:p w14:paraId="34397D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1C8FBE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8BDA5B9" w14:textId="77777777" w:rsidTr="00EA0DA7">
        <w:tc>
          <w:tcPr>
            <w:tcW w:w="5636" w:type="dxa"/>
          </w:tcPr>
          <w:p w14:paraId="599FF0D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67E6B51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327</w:t>
            </w:r>
          </w:p>
        </w:tc>
      </w:tr>
      <w:tr w:rsidR="00983732" w:rsidRPr="00A3026E" w14:paraId="39BBE58F" w14:textId="77777777" w:rsidTr="00EA0DA7">
        <w:tc>
          <w:tcPr>
            <w:tcW w:w="5636" w:type="dxa"/>
          </w:tcPr>
          <w:p w14:paraId="3E8B5B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033F98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379/3500</w:t>
            </w:r>
          </w:p>
        </w:tc>
      </w:tr>
      <w:tr w:rsidR="00983732" w:rsidRPr="00A3026E" w14:paraId="4096D51F" w14:textId="77777777" w:rsidTr="00EA0DA7">
        <w:tc>
          <w:tcPr>
            <w:tcW w:w="5636" w:type="dxa"/>
          </w:tcPr>
          <w:p w14:paraId="786261E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71540D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3D919DF" w14:textId="77777777" w:rsidTr="00EA0DA7">
        <w:tc>
          <w:tcPr>
            <w:tcW w:w="5636" w:type="dxa"/>
          </w:tcPr>
          <w:p w14:paraId="757AD63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Посадочная скорость</w:t>
            </w:r>
          </w:p>
        </w:tc>
        <w:tc>
          <w:tcPr>
            <w:tcW w:w="4822" w:type="dxa"/>
          </w:tcPr>
          <w:p w14:paraId="0478A83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7A3AA5D4" w14:textId="77777777" w:rsidTr="00EA0DA7">
        <w:tc>
          <w:tcPr>
            <w:tcW w:w="5636" w:type="dxa"/>
          </w:tcPr>
          <w:p w14:paraId="5AC2511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6BAD80F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10,5/1000</w:t>
            </w:r>
          </w:p>
        </w:tc>
      </w:tr>
      <w:tr w:rsidR="00983732" w:rsidRPr="00A3026E" w14:paraId="72B787A4" w14:textId="77777777" w:rsidTr="00EA0DA7">
        <w:tc>
          <w:tcPr>
            <w:tcW w:w="5636" w:type="dxa"/>
          </w:tcPr>
          <w:p w14:paraId="36F8A5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7BE3F1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3,5/2900</w:t>
            </w:r>
          </w:p>
        </w:tc>
      </w:tr>
      <w:tr w:rsidR="00983732" w:rsidRPr="00A3026E" w14:paraId="619ABB33" w14:textId="77777777" w:rsidTr="00EA0DA7">
        <w:tc>
          <w:tcPr>
            <w:tcW w:w="5636" w:type="dxa"/>
          </w:tcPr>
          <w:p w14:paraId="05DB86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51C3DA4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2B6CFDD8" w14:textId="77777777" w:rsidTr="00EA0DA7">
        <w:tc>
          <w:tcPr>
            <w:tcW w:w="5636" w:type="dxa"/>
          </w:tcPr>
          <w:p w14:paraId="080C7DB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623F24A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C2736A2" w14:textId="77777777" w:rsidTr="00EA0DA7">
        <w:tc>
          <w:tcPr>
            <w:tcW w:w="5636" w:type="dxa"/>
          </w:tcPr>
          <w:p w14:paraId="0F531AA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0231D0E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340/3500</w:t>
            </w:r>
          </w:p>
        </w:tc>
      </w:tr>
      <w:tr w:rsidR="00983732" w:rsidRPr="00A3026E" w14:paraId="245F04C4" w14:textId="77777777" w:rsidTr="00EA0DA7">
        <w:tc>
          <w:tcPr>
            <w:tcW w:w="5636" w:type="dxa"/>
          </w:tcPr>
          <w:p w14:paraId="1767B81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010E805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520/3500</w:t>
            </w:r>
          </w:p>
        </w:tc>
      </w:tr>
      <w:tr w:rsidR="00983732" w:rsidRPr="00A3026E" w14:paraId="5733FD91" w14:textId="77777777" w:rsidTr="00EA0DA7">
        <w:tc>
          <w:tcPr>
            <w:tcW w:w="5636" w:type="dxa"/>
          </w:tcPr>
          <w:p w14:paraId="6C46A7A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22" w:type="dxa"/>
          </w:tcPr>
          <w:p w14:paraId="6D9A65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710/3500</w:t>
            </w:r>
          </w:p>
        </w:tc>
      </w:tr>
      <w:tr w:rsidR="00983732" w:rsidRPr="00A3026E" w14:paraId="36F3200F" w14:textId="77777777" w:rsidTr="00EA0DA7">
        <w:tc>
          <w:tcPr>
            <w:tcW w:w="5636" w:type="dxa"/>
          </w:tcPr>
          <w:p w14:paraId="0093947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38B29B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90/6,2</w:t>
            </w:r>
          </w:p>
        </w:tc>
      </w:tr>
      <w:tr w:rsidR="00983732" w:rsidRPr="00A3026E" w14:paraId="7C1D5AD9" w14:textId="77777777" w:rsidTr="00EA0DA7">
        <w:tc>
          <w:tcPr>
            <w:tcW w:w="5636" w:type="dxa"/>
          </w:tcPr>
          <w:p w14:paraId="2821B8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30B71E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270/23</w:t>
            </w:r>
          </w:p>
        </w:tc>
      </w:tr>
      <w:tr w:rsidR="00983732" w:rsidRPr="00A3026E" w14:paraId="3FC0BF43" w14:textId="77777777" w:rsidTr="00EA0DA7">
        <w:tc>
          <w:tcPr>
            <w:tcW w:w="5636" w:type="dxa"/>
          </w:tcPr>
          <w:p w14:paraId="0D33286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7EA29F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9F6615D" w14:textId="77777777" w:rsidTr="00EA0DA7">
        <w:tc>
          <w:tcPr>
            <w:tcW w:w="5636" w:type="dxa"/>
          </w:tcPr>
          <w:p w14:paraId="60763F6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336A8E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ПВ-1</w:t>
            </w:r>
          </w:p>
        </w:tc>
      </w:tr>
      <w:tr w:rsidR="00983732" w:rsidRPr="00A3026E" w14:paraId="2CDA7452" w14:textId="77777777" w:rsidTr="00EA0DA7">
        <w:tc>
          <w:tcPr>
            <w:tcW w:w="5636" w:type="dxa"/>
            <w:tcBorders>
              <w:bottom w:val="single" w:sz="12" w:space="0" w:color="auto"/>
            </w:tcBorders>
          </w:tcPr>
          <w:p w14:paraId="1C01FA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12F06E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0/150</w:t>
            </w:r>
          </w:p>
        </w:tc>
      </w:tr>
    </w:tbl>
    <w:p w14:paraId="53AD4BA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A3CF62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И-153 с М-25В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4819"/>
      </w:tblGrid>
      <w:tr w:rsidR="00983732" w:rsidRPr="00A3026E" w14:paraId="6B2AFE10" w14:textId="77777777" w:rsidTr="00EA0DA7">
        <w:tc>
          <w:tcPr>
            <w:tcW w:w="5637" w:type="dxa"/>
            <w:tcBorders>
              <w:top w:val="single" w:sz="12" w:space="0" w:color="auto"/>
            </w:tcBorders>
          </w:tcPr>
          <w:p w14:paraId="4FBCFD6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19" w:type="dxa"/>
            <w:tcBorders>
              <w:top w:val="single" w:sz="12" w:space="0" w:color="auto"/>
            </w:tcBorders>
          </w:tcPr>
          <w:p w14:paraId="205154B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750/2900</w:t>
            </w:r>
          </w:p>
        </w:tc>
      </w:tr>
      <w:tr w:rsidR="00983732" w:rsidRPr="00A3026E" w14:paraId="1F10368A" w14:textId="77777777" w:rsidTr="00EA0DA7">
        <w:tc>
          <w:tcPr>
            <w:tcW w:w="5637" w:type="dxa"/>
          </w:tcPr>
          <w:p w14:paraId="6B619E0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19" w:type="dxa"/>
          </w:tcPr>
          <w:p w14:paraId="1AF75F5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1650/1890</w:t>
            </w:r>
          </w:p>
        </w:tc>
      </w:tr>
      <w:tr w:rsidR="00983732" w:rsidRPr="00A3026E" w14:paraId="106C9569" w14:textId="77777777" w:rsidTr="00EA0DA7">
        <w:tc>
          <w:tcPr>
            <w:tcW w:w="5637" w:type="dxa"/>
          </w:tcPr>
          <w:p w14:paraId="4C0901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19" w:type="dxa"/>
          </w:tcPr>
          <w:p w14:paraId="109071D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83836E6" w14:textId="77777777" w:rsidTr="00EA0DA7">
        <w:tc>
          <w:tcPr>
            <w:tcW w:w="5637" w:type="dxa"/>
          </w:tcPr>
          <w:p w14:paraId="30AC8F1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19" w:type="dxa"/>
          </w:tcPr>
          <w:p w14:paraId="66FB780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r>
      <w:tr w:rsidR="00983732" w:rsidRPr="00A3026E" w14:paraId="2A676227" w14:textId="77777777" w:rsidTr="00EA0DA7">
        <w:tc>
          <w:tcPr>
            <w:tcW w:w="5637" w:type="dxa"/>
          </w:tcPr>
          <w:p w14:paraId="7F9F02A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19" w:type="dxa"/>
          </w:tcPr>
          <w:p w14:paraId="123586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425/2900</w:t>
            </w:r>
          </w:p>
        </w:tc>
      </w:tr>
      <w:tr w:rsidR="00983732" w:rsidRPr="00A3026E" w14:paraId="48E93CAB" w14:textId="77777777" w:rsidTr="00EA0DA7">
        <w:tc>
          <w:tcPr>
            <w:tcW w:w="5637" w:type="dxa"/>
          </w:tcPr>
          <w:p w14:paraId="5B2D34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19" w:type="dxa"/>
          </w:tcPr>
          <w:p w14:paraId="704602E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415/2900</w:t>
            </w:r>
          </w:p>
        </w:tc>
      </w:tr>
      <w:tr w:rsidR="00983732" w:rsidRPr="00A3026E" w14:paraId="3070FD24" w14:textId="77777777" w:rsidTr="00EA0DA7">
        <w:tc>
          <w:tcPr>
            <w:tcW w:w="5637" w:type="dxa"/>
          </w:tcPr>
          <w:p w14:paraId="36C9382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19" w:type="dxa"/>
          </w:tcPr>
          <w:p w14:paraId="607CD7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100-105</w:t>
            </w:r>
          </w:p>
        </w:tc>
      </w:tr>
      <w:tr w:rsidR="00983732" w:rsidRPr="00A3026E" w14:paraId="5EC64B09" w14:textId="77777777" w:rsidTr="00EA0DA7">
        <w:tc>
          <w:tcPr>
            <w:tcW w:w="5637" w:type="dxa"/>
          </w:tcPr>
          <w:p w14:paraId="79AC24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19" w:type="dxa"/>
          </w:tcPr>
          <w:p w14:paraId="5BF19A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12/1000</w:t>
            </w:r>
          </w:p>
        </w:tc>
      </w:tr>
      <w:tr w:rsidR="00983732" w:rsidRPr="00A3026E" w14:paraId="52B4799D" w14:textId="77777777" w:rsidTr="00EA0DA7">
        <w:tc>
          <w:tcPr>
            <w:tcW w:w="5637" w:type="dxa"/>
          </w:tcPr>
          <w:p w14:paraId="783980B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19" w:type="dxa"/>
          </w:tcPr>
          <w:p w14:paraId="510BF4A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4/2900</w:t>
            </w:r>
          </w:p>
        </w:tc>
      </w:tr>
      <w:tr w:rsidR="00983732" w:rsidRPr="00A3026E" w14:paraId="2E906FF6" w14:textId="77777777" w:rsidTr="00EA0DA7">
        <w:tc>
          <w:tcPr>
            <w:tcW w:w="5637" w:type="dxa"/>
          </w:tcPr>
          <w:p w14:paraId="70AA4D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19" w:type="dxa"/>
          </w:tcPr>
          <w:p w14:paraId="506E326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8600</w:t>
            </w:r>
          </w:p>
        </w:tc>
      </w:tr>
      <w:tr w:rsidR="00983732" w:rsidRPr="00A3026E" w14:paraId="1F53430B" w14:textId="77777777" w:rsidTr="00EA0DA7">
        <w:tc>
          <w:tcPr>
            <w:tcW w:w="5637" w:type="dxa"/>
          </w:tcPr>
          <w:p w14:paraId="762402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19" w:type="dxa"/>
          </w:tcPr>
          <w:p w14:paraId="5E7A928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A993318" w14:textId="77777777" w:rsidTr="00EA0DA7">
        <w:tc>
          <w:tcPr>
            <w:tcW w:w="5637" w:type="dxa"/>
          </w:tcPr>
          <w:p w14:paraId="583FD1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19" w:type="dxa"/>
          </w:tcPr>
          <w:p w14:paraId="234A0B1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390/2900</w:t>
            </w:r>
          </w:p>
        </w:tc>
      </w:tr>
      <w:tr w:rsidR="00983732" w:rsidRPr="00A3026E" w14:paraId="17B96724" w14:textId="77777777" w:rsidTr="00EA0DA7">
        <w:tc>
          <w:tcPr>
            <w:tcW w:w="5637" w:type="dxa"/>
          </w:tcPr>
          <w:p w14:paraId="124A1E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19" w:type="dxa"/>
          </w:tcPr>
          <w:p w14:paraId="4083B4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625/2900</w:t>
            </w:r>
          </w:p>
        </w:tc>
      </w:tr>
      <w:tr w:rsidR="00983732" w:rsidRPr="00A3026E" w14:paraId="42A41E2C" w14:textId="77777777" w:rsidTr="00EA0DA7">
        <w:tc>
          <w:tcPr>
            <w:tcW w:w="5637" w:type="dxa"/>
          </w:tcPr>
          <w:p w14:paraId="3EB6978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19" w:type="dxa"/>
          </w:tcPr>
          <w:p w14:paraId="7DE12DB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840/2900</w:t>
            </w:r>
          </w:p>
        </w:tc>
      </w:tr>
      <w:tr w:rsidR="00983732" w:rsidRPr="00A3026E" w14:paraId="701BCF7C" w14:textId="77777777" w:rsidTr="00EA0DA7">
        <w:tc>
          <w:tcPr>
            <w:tcW w:w="5637" w:type="dxa"/>
          </w:tcPr>
          <w:p w14:paraId="2D26638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19" w:type="dxa"/>
          </w:tcPr>
          <w:p w14:paraId="34C4772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130/10</w:t>
            </w:r>
          </w:p>
        </w:tc>
      </w:tr>
      <w:tr w:rsidR="00983732" w:rsidRPr="00A3026E" w14:paraId="3514FCD3" w14:textId="77777777" w:rsidTr="00EA0DA7">
        <w:tc>
          <w:tcPr>
            <w:tcW w:w="5637" w:type="dxa"/>
          </w:tcPr>
          <w:p w14:paraId="75F3AA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19" w:type="dxa"/>
          </w:tcPr>
          <w:p w14:paraId="1FDB24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250/15</w:t>
            </w:r>
          </w:p>
        </w:tc>
      </w:tr>
      <w:tr w:rsidR="00983732" w:rsidRPr="00A3026E" w14:paraId="1E8560CB" w14:textId="77777777" w:rsidTr="00EA0DA7">
        <w:tc>
          <w:tcPr>
            <w:tcW w:w="5637" w:type="dxa"/>
          </w:tcPr>
          <w:p w14:paraId="013403D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19" w:type="dxa"/>
          </w:tcPr>
          <w:p w14:paraId="4383489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5F194D8" w14:textId="77777777" w:rsidTr="00EA0DA7">
        <w:tc>
          <w:tcPr>
            <w:tcW w:w="5637" w:type="dxa"/>
          </w:tcPr>
          <w:p w14:paraId="7DDEFBB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19" w:type="dxa"/>
          </w:tcPr>
          <w:p w14:paraId="6E6AE57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40C68A6A" w14:textId="77777777" w:rsidTr="00EA0DA7">
        <w:tc>
          <w:tcPr>
            <w:tcW w:w="5637" w:type="dxa"/>
            <w:tcBorders>
              <w:bottom w:val="single" w:sz="12" w:space="0" w:color="auto"/>
            </w:tcBorders>
          </w:tcPr>
          <w:p w14:paraId="6FE7E62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19" w:type="dxa"/>
            <w:tcBorders>
              <w:bottom w:val="single" w:sz="12" w:space="0" w:color="auto"/>
            </w:tcBorders>
          </w:tcPr>
          <w:p w14:paraId="2E745A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0/150</w:t>
            </w:r>
          </w:p>
        </w:tc>
      </w:tr>
    </w:tbl>
    <w:p w14:paraId="1BB8E4D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1F30E2C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И-153 с М-62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3400D576" w14:textId="77777777" w:rsidTr="00EA0DA7">
        <w:tc>
          <w:tcPr>
            <w:tcW w:w="5636" w:type="dxa"/>
            <w:tcBorders>
              <w:top w:val="single" w:sz="12" w:space="0" w:color="auto"/>
            </w:tcBorders>
          </w:tcPr>
          <w:p w14:paraId="3177D23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5CC95CF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800/4200</w:t>
            </w:r>
          </w:p>
        </w:tc>
      </w:tr>
      <w:tr w:rsidR="00983732" w:rsidRPr="00A3026E" w14:paraId="1C8BA605" w14:textId="77777777" w:rsidTr="00EA0DA7">
        <w:tc>
          <w:tcPr>
            <w:tcW w:w="5636" w:type="dxa"/>
          </w:tcPr>
          <w:p w14:paraId="1F09E64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59D35C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1765/2005</w:t>
            </w:r>
          </w:p>
        </w:tc>
      </w:tr>
      <w:tr w:rsidR="00983732" w:rsidRPr="00A3026E" w14:paraId="2CD037E0" w14:textId="77777777" w:rsidTr="00EA0DA7">
        <w:tc>
          <w:tcPr>
            <w:tcW w:w="5636" w:type="dxa"/>
          </w:tcPr>
          <w:p w14:paraId="346CCA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4CAD3B7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AB32C8F" w14:textId="77777777" w:rsidTr="00EA0DA7">
        <w:tc>
          <w:tcPr>
            <w:tcW w:w="5636" w:type="dxa"/>
          </w:tcPr>
          <w:p w14:paraId="4AFC63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4F8E21C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364</w:t>
            </w:r>
          </w:p>
        </w:tc>
      </w:tr>
      <w:tr w:rsidR="00983732" w:rsidRPr="00A3026E" w14:paraId="07B09CEC" w14:textId="77777777" w:rsidTr="00EA0DA7">
        <w:tc>
          <w:tcPr>
            <w:tcW w:w="5636" w:type="dxa"/>
          </w:tcPr>
          <w:p w14:paraId="66C12C2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1BC8F6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424/5000</w:t>
            </w:r>
          </w:p>
        </w:tc>
      </w:tr>
      <w:tr w:rsidR="00983732" w:rsidRPr="00A3026E" w14:paraId="3387BB7C" w14:textId="77777777" w:rsidTr="00EA0DA7">
        <w:tc>
          <w:tcPr>
            <w:tcW w:w="5636" w:type="dxa"/>
          </w:tcPr>
          <w:p w14:paraId="1D80AEA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6CB9EB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415/5000</w:t>
            </w:r>
          </w:p>
        </w:tc>
      </w:tr>
      <w:tr w:rsidR="00983732" w:rsidRPr="00A3026E" w14:paraId="19FA7E31" w14:textId="77777777" w:rsidTr="00EA0DA7">
        <w:tc>
          <w:tcPr>
            <w:tcW w:w="5636" w:type="dxa"/>
          </w:tcPr>
          <w:p w14:paraId="7930566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4E6F2C1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110-115</w:t>
            </w:r>
          </w:p>
        </w:tc>
      </w:tr>
      <w:tr w:rsidR="00983732" w:rsidRPr="00A3026E" w14:paraId="460611EB" w14:textId="77777777" w:rsidTr="00EA0DA7">
        <w:tc>
          <w:tcPr>
            <w:tcW w:w="5636" w:type="dxa"/>
          </w:tcPr>
          <w:p w14:paraId="39C7D4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422FFCE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13,0-13,5/1000</w:t>
            </w:r>
          </w:p>
        </w:tc>
      </w:tr>
      <w:tr w:rsidR="00983732" w:rsidRPr="00A3026E" w14:paraId="077814DE" w14:textId="77777777" w:rsidTr="00EA0DA7">
        <w:tc>
          <w:tcPr>
            <w:tcW w:w="5636" w:type="dxa"/>
          </w:tcPr>
          <w:p w14:paraId="71EA42B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430DE7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5,7/5000</w:t>
            </w:r>
          </w:p>
        </w:tc>
      </w:tr>
      <w:tr w:rsidR="00983732" w:rsidRPr="00A3026E" w14:paraId="562B83CA" w14:textId="77777777" w:rsidTr="00EA0DA7">
        <w:tc>
          <w:tcPr>
            <w:tcW w:w="5636" w:type="dxa"/>
          </w:tcPr>
          <w:p w14:paraId="24C52E9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3B9820B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10700</w:t>
            </w:r>
          </w:p>
        </w:tc>
      </w:tr>
      <w:tr w:rsidR="00983732" w:rsidRPr="00A3026E" w14:paraId="0D8ED091" w14:textId="77777777" w:rsidTr="00EA0DA7">
        <w:tc>
          <w:tcPr>
            <w:tcW w:w="5636" w:type="dxa"/>
          </w:tcPr>
          <w:p w14:paraId="5E6BB3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64D2FF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6421B25" w14:textId="77777777" w:rsidTr="00EA0DA7">
        <w:tc>
          <w:tcPr>
            <w:tcW w:w="5636" w:type="dxa"/>
          </w:tcPr>
          <w:p w14:paraId="3AE40B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5996B8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350/5000</w:t>
            </w:r>
          </w:p>
        </w:tc>
      </w:tr>
      <w:tr w:rsidR="00983732" w:rsidRPr="00A3026E" w14:paraId="0549258E" w14:textId="77777777" w:rsidTr="00EA0DA7">
        <w:tc>
          <w:tcPr>
            <w:tcW w:w="5636" w:type="dxa"/>
          </w:tcPr>
          <w:p w14:paraId="31181E4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054D65D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560/5000</w:t>
            </w:r>
          </w:p>
        </w:tc>
      </w:tr>
      <w:tr w:rsidR="00983732" w:rsidRPr="00A3026E" w14:paraId="42A8652B" w14:textId="77777777" w:rsidTr="00EA0DA7">
        <w:tc>
          <w:tcPr>
            <w:tcW w:w="5636" w:type="dxa"/>
          </w:tcPr>
          <w:p w14:paraId="6232656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22" w:type="dxa"/>
          </w:tcPr>
          <w:p w14:paraId="42689EF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760/5000</w:t>
            </w:r>
          </w:p>
        </w:tc>
      </w:tr>
      <w:tr w:rsidR="00983732" w:rsidRPr="00A3026E" w14:paraId="24B87D25" w14:textId="77777777" w:rsidTr="00EA0DA7">
        <w:tc>
          <w:tcPr>
            <w:tcW w:w="5636" w:type="dxa"/>
          </w:tcPr>
          <w:p w14:paraId="513DF5D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510E17E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106/6,8</w:t>
            </w:r>
          </w:p>
        </w:tc>
      </w:tr>
      <w:tr w:rsidR="00983732" w:rsidRPr="00A3026E" w14:paraId="4432567B" w14:textId="77777777" w:rsidTr="00EA0DA7">
        <w:tc>
          <w:tcPr>
            <w:tcW w:w="5636" w:type="dxa"/>
          </w:tcPr>
          <w:p w14:paraId="54A5C80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76F8DC8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325/15,25</w:t>
            </w:r>
          </w:p>
        </w:tc>
      </w:tr>
      <w:tr w:rsidR="00983732" w:rsidRPr="00A3026E" w14:paraId="5EADF035" w14:textId="77777777" w:rsidTr="00EA0DA7">
        <w:tc>
          <w:tcPr>
            <w:tcW w:w="5636" w:type="dxa"/>
          </w:tcPr>
          <w:p w14:paraId="5A2C82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78909B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85AAE31" w14:textId="77777777" w:rsidTr="00EA0DA7">
        <w:tc>
          <w:tcPr>
            <w:tcW w:w="5636" w:type="dxa"/>
          </w:tcPr>
          <w:p w14:paraId="51E500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5961CF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28366CED" w14:textId="77777777" w:rsidTr="00EA0DA7">
        <w:tc>
          <w:tcPr>
            <w:tcW w:w="5636" w:type="dxa"/>
            <w:tcBorders>
              <w:bottom w:val="single" w:sz="12" w:space="0" w:color="auto"/>
            </w:tcBorders>
          </w:tcPr>
          <w:p w14:paraId="69D952E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514D941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0/150</w:t>
            </w:r>
          </w:p>
        </w:tc>
      </w:tr>
    </w:tbl>
    <w:p w14:paraId="4AFD99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7DFBDE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И-153 с М-63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2817"/>
        <w:gridCol w:w="2004"/>
      </w:tblGrid>
      <w:tr w:rsidR="00983732" w:rsidRPr="00A3026E" w14:paraId="64FD1675" w14:textId="77777777" w:rsidTr="00EA0DA7">
        <w:tc>
          <w:tcPr>
            <w:tcW w:w="5637" w:type="dxa"/>
            <w:tcBorders>
              <w:top w:val="single" w:sz="12" w:space="0" w:color="auto"/>
            </w:tcBorders>
          </w:tcPr>
          <w:p w14:paraId="428EF2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2817" w:type="dxa"/>
            <w:tcBorders>
              <w:top w:val="single" w:sz="12" w:space="0" w:color="auto"/>
            </w:tcBorders>
          </w:tcPr>
          <w:p w14:paraId="01037C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900/4500</w:t>
            </w:r>
          </w:p>
        </w:tc>
        <w:tc>
          <w:tcPr>
            <w:tcW w:w="2004" w:type="dxa"/>
            <w:tcBorders>
              <w:top w:val="single" w:sz="12" w:space="0" w:color="auto"/>
            </w:tcBorders>
          </w:tcPr>
          <w:p w14:paraId="7DCE0E0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B831C8B" w14:textId="77777777" w:rsidTr="00EA0DA7">
        <w:tc>
          <w:tcPr>
            <w:tcW w:w="5637" w:type="dxa"/>
          </w:tcPr>
          <w:p w14:paraId="5C536B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2817" w:type="dxa"/>
          </w:tcPr>
          <w:p w14:paraId="075E8D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1902/2142</w:t>
            </w:r>
          </w:p>
        </w:tc>
        <w:tc>
          <w:tcPr>
            <w:tcW w:w="2004" w:type="dxa"/>
          </w:tcPr>
          <w:p w14:paraId="516FDD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2F042DC" w14:textId="77777777" w:rsidTr="00EA0DA7">
        <w:tc>
          <w:tcPr>
            <w:tcW w:w="5637" w:type="dxa"/>
          </w:tcPr>
          <w:p w14:paraId="7FEAED5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2817" w:type="dxa"/>
          </w:tcPr>
          <w:p w14:paraId="72A1061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2004" w:type="dxa"/>
          </w:tcPr>
          <w:p w14:paraId="267288A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2C30A4C" w14:textId="77777777" w:rsidTr="00EA0DA7">
        <w:tc>
          <w:tcPr>
            <w:tcW w:w="5637" w:type="dxa"/>
          </w:tcPr>
          <w:p w14:paraId="2641B8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2817" w:type="dxa"/>
          </w:tcPr>
          <w:p w14:paraId="42500A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365</w:t>
            </w:r>
          </w:p>
        </w:tc>
        <w:tc>
          <w:tcPr>
            <w:tcW w:w="2004" w:type="dxa"/>
          </w:tcPr>
          <w:p w14:paraId="13B9321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CFA782B" w14:textId="77777777" w:rsidTr="00EA0DA7">
        <w:tc>
          <w:tcPr>
            <w:tcW w:w="5637" w:type="dxa"/>
          </w:tcPr>
          <w:p w14:paraId="4F6EE81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2817" w:type="dxa"/>
          </w:tcPr>
          <w:p w14:paraId="6CC9A1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427/5100</w:t>
            </w:r>
          </w:p>
        </w:tc>
        <w:tc>
          <w:tcPr>
            <w:tcW w:w="2004" w:type="dxa"/>
          </w:tcPr>
          <w:p w14:paraId="0E48769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18A8CF0" w14:textId="77777777" w:rsidTr="00EA0DA7">
        <w:tc>
          <w:tcPr>
            <w:tcW w:w="5637" w:type="dxa"/>
          </w:tcPr>
          <w:p w14:paraId="7FE0C00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2817" w:type="dxa"/>
          </w:tcPr>
          <w:p w14:paraId="6C3354B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420</w:t>
            </w:r>
          </w:p>
        </w:tc>
        <w:tc>
          <w:tcPr>
            <w:tcW w:w="2004" w:type="dxa"/>
          </w:tcPr>
          <w:p w14:paraId="08459C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DA7B99A" w14:textId="77777777" w:rsidTr="00EA0DA7">
        <w:tc>
          <w:tcPr>
            <w:tcW w:w="5637" w:type="dxa"/>
          </w:tcPr>
          <w:p w14:paraId="6B4DD84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2817" w:type="dxa"/>
          </w:tcPr>
          <w:p w14:paraId="246E4C9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110-115</w:t>
            </w:r>
          </w:p>
        </w:tc>
        <w:tc>
          <w:tcPr>
            <w:tcW w:w="2004" w:type="dxa"/>
          </w:tcPr>
          <w:p w14:paraId="367D3D5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735F569" w14:textId="77777777" w:rsidTr="00EA0DA7">
        <w:tc>
          <w:tcPr>
            <w:tcW w:w="5637" w:type="dxa"/>
          </w:tcPr>
          <w:p w14:paraId="268838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2817" w:type="dxa"/>
          </w:tcPr>
          <w:p w14:paraId="52E165C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14,5/1000</w:t>
            </w:r>
          </w:p>
        </w:tc>
        <w:tc>
          <w:tcPr>
            <w:tcW w:w="2004" w:type="dxa"/>
          </w:tcPr>
          <w:p w14:paraId="2C0A6E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1EEFF0E" w14:textId="77777777" w:rsidTr="00EA0DA7">
        <w:tc>
          <w:tcPr>
            <w:tcW w:w="5637" w:type="dxa"/>
          </w:tcPr>
          <w:p w14:paraId="5C147F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2817" w:type="dxa"/>
          </w:tcPr>
          <w:p w14:paraId="196D5BB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5,7/5000</w:t>
            </w:r>
          </w:p>
        </w:tc>
        <w:tc>
          <w:tcPr>
            <w:tcW w:w="2004" w:type="dxa"/>
          </w:tcPr>
          <w:p w14:paraId="1363AC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29D9ACD" w14:textId="77777777" w:rsidTr="00EA0DA7">
        <w:tc>
          <w:tcPr>
            <w:tcW w:w="5637" w:type="dxa"/>
          </w:tcPr>
          <w:p w14:paraId="78BBA3E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2817" w:type="dxa"/>
          </w:tcPr>
          <w:p w14:paraId="518CFE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10600</w:t>
            </w:r>
          </w:p>
        </w:tc>
        <w:tc>
          <w:tcPr>
            <w:tcW w:w="2004" w:type="dxa"/>
          </w:tcPr>
          <w:p w14:paraId="2915565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31AB0C3" w14:textId="77777777" w:rsidTr="00EA0DA7">
        <w:tc>
          <w:tcPr>
            <w:tcW w:w="5637" w:type="dxa"/>
          </w:tcPr>
          <w:p w14:paraId="63486C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2817" w:type="dxa"/>
          </w:tcPr>
          <w:p w14:paraId="6C76ABD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2004" w:type="dxa"/>
          </w:tcPr>
          <w:p w14:paraId="1FABF67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0DFC1CB" w14:textId="77777777" w:rsidTr="00EA0DA7">
        <w:tc>
          <w:tcPr>
            <w:tcW w:w="5637" w:type="dxa"/>
          </w:tcPr>
          <w:p w14:paraId="51FBDC8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2817" w:type="dxa"/>
          </w:tcPr>
          <w:p w14:paraId="464880B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315/5100</w:t>
            </w:r>
          </w:p>
        </w:tc>
        <w:tc>
          <w:tcPr>
            <w:tcW w:w="2004" w:type="dxa"/>
          </w:tcPr>
          <w:p w14:paraId="667E932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F4545D2" w14:textId="77777777" w:rsidTr="00EA0DA7">
        <w:tc>
          <w:tcPr>
            <w:tcW w:w="5637" w:type="dxa"/>
          </w:tcPr>
          <w:p w14:paraId="431A49E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2817" w:type="dxa"/>
          </w:tcPr>
          <w:p w14:paraId="629330B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510/5100</w:t>
            </w:r>
          </w:p>
        </w:tc>
        <w:tc>
          <w:tcPr>
            <w:tcW w:w="2004" w:type="dxa"/>
          </w:tcPr>
          <w:p w14:paraId="43C09C9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9615202" w14:textId="77777777" w:rsidTr="00EA0DA7">
        <w:tc>
          <w:tcPr>
            <w:tcW w:w="5637" w:type="dxa"/>
          </w:tcPr>
          <w:p w14:paraId="2F945C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2817" w:type="dxa"/>
          </w:tcPr>
          <w:p w14:paraId="69B765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690/5100</w:t>
            </w:r>
          </w:p>
        </w:tc>
        <w:tc>
          <w:tcPr>
            <w:tcW w:w="2004" w:type="dxa"/>
          </w:tcPr>
          <w:p w14:paraId="3BC3961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8FF13A5" w14:textId="77777777" w:rsidTr="00EA0DA7">
        <w:tc>
          <w:tcPr>
            <w:tcW w:w="5637" w:type="dxa"/>
          </w:tcPr>
          <w:p w14:paraId="0594014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2817" w:type="dxa"/>
          </w:tcPr>
          <w:p w14:paraId="1A01BF8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145/7,3 без фор.</w:t>
            </w:r>
          </w:p>
        </w:tc>
        <w:tc>
          <w:tcPr>
            <w:tcW w:w="2004" w:type="dxa"/>
          </w:tcPr>
          <w:p w14:paraId="501CB95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118/6,5 с фор.</w:t>
            </w:r>
          </w:p>
        </w:tc>
      </w:tr>
      <w:tr w:rsidR="00983732" w:rsidRPr="00A3026E" w14:paraId="3706FDCE" w14:textId="77777777" w:rsidTr="00EA0DA7">
        <w:tc>
          <w:tcPr>
            <w:tcW w:w="5637" w:type="dxa"/>
          </w:tcPr>
          <w:p w14:paraId="6CA1A75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2817" w:type="dxa"/>
          </w:tcPr>
          <w:p w14:paraId="109E6F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373/21</w:t>
            </w:r>
          </w:p>
        </w:tc>
        <w:tc>
          <w:tcPr>
            <w:tcW w:w="2004" w:type="dxa"/>
          </w:tcPr>
          <w:p w14:paraId="292978A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811A446" w14:textId="77777777" w:rsidTr="00EA0DA7">
        <w:tc>
          <w:tcPr>
            <w:tcW w:w="5637" w:type="dxa"/>
          </w:tcPr>
          <w:p w14:paraId="22439ED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2817" w:type="dxa"/>
          </w:tcPr>
          <w:p w14:paraId="1731007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2004" w:type="dxa"/>
          </w:tcPr>
          <w:p w14:paraId="4DEA7ED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F8D2884" w14:textId="77777777" w:rsidTr="00EA0DA7">
        <w:tc>
          <w:tcPr>
            <w:tcW w:w="5637" w:type="dxa"/>
          </w:tcPr>
          <w:p w14:paraId="17D7EFE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2817" w:type="dxa"/>
          </w:tcPr>
          <w:p w14:paraId="521BBFB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c>
          <w:tcPr>
            <w:tcW w:w="2004" w:type="dxa"/>
          </w:tcPr>
          <w:p w14:paraId="0D96DC4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BD31031" w14:textId="77777777" w:rsidTr="00EA0DA7">
        <w:tc>
          <w:tcPr>
            <w:tcW w:w="5637" w:type="dxa"/>
            <w:tcBorders>
              <w:bottom w:val="single" w:sz="12" w:space="0" w:color="auto"/>
            </w:tcBorders>
          </w:tcPr>
          <w:p w14:paraId="15584DE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2817" w:type="dxa"/>
            <w:tcBorders>
              <w:bottom w:val="single" w:sz="12" w:space="0" w:color="auto"/>
            </w:tcBorders>
          </w:tcPr>
          <w:p w14:paraId="77B1A4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0/150</w:t>
            </w:r>
          </w:p>
        </w:tc>
        <w:tc>
          <w:tcPr>
            <w:tcW w:w="2004" w:type="dxa"/>
            <w:tcBorders>
              <w:bottom w:val="single" w:sz="12" w:space="0" w:color="auto"/>
            </w:tcBorders>
          </w:tcPr>
          <w:p w14:paraId="74F37B6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2B20EA9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8D36A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с М-105П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0AEC83F1" w14:textId="77777777" w:rsidTr="00EA0DA7">
        <w:tc>
          <w:tcPr>
            <w:tcW w:w="5636" w:type="dxa"/>
            <w:tcBorders>
              <w:top w:val="single" w:sz="12" w:space="0" w:color="auto"/>
            </w:tcBorders>
          </w:tcPr>
          <w:p w14:paraId="519984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Мощность мотора/на высоте</w:t>
            </w:r>
          </w:p>
        </w:tc>
        <w:tc>
          <w:tcPr>
            <w:tcW w:w="4822" w:type="dxa"/>
            <w:tcBorders>
              <w:top w:val="single" w:sz="12" w:space="0" w:color="auto"/>
            </w:tcBorders>
          </w:tcPr>
          <w:p w14:paraId="0975E55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5A4ADF8B" w14:textId="77777777" w:rsidTr="00EA0DA7">
        <w:tc>
          <w:tcPr>
            <w:tcW w:w="5636" w:type="dxa"/>
          </w:tcPr>
          <w:p w14:paraId="2E8E6A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289E41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2700</w:t>
            </w:r>
          </w:p>
        </w:tc>
      </w:tr>
      <w:tr w:rsidR="00983732" w:rsidRPr="00A3026E" w14:paraId="6D548D35" w14:textId="77777777" w:rsidTr="00EA0DA7">
        <w:tc>
          <w:tcPr>
            <w:tcW w:w="5636" w:type="dxa"/>
          </w:tcPr>
          <w:p w14:paraId="056EB2D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02CF7F5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8F7DBEB" w14:textId="77777777" w:rsidTr="00EA0DA7">
        <w:tc>
          <w:tcPr>
            <w:tcW w:w="5636" w:type="dxa"/>
          </w:tcPr>
          <w:p w14:paraId="5FBA26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035D9A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r>
      <w:tr w:rsidR="00983732" w:rsidRPr="00A3026E" w14:paraId="2FF3ED1E" w14:textId="77777777" w:rsidTr="00EA0DA7">
        <w:tc>
          <w:tcPr>
            <w:tcW w:w="5636" w:type="dxa"/>
          </w:tcPr>
          <w:p w14:paraId="17BCA30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3AC844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586/4800</w:t>
            </w:r>
          </w:p>
        </w:tc>
      </w:tr>
      <w:tr w:rsidR="00983732" w:rsidRPr="00A3026E" w14:paraId="3685DD71" w14:textId="77777777" w:rsidTr="00EA0DA7">
        <w:tc>
          <w:tcPr>
            <w:tcW w:w="5636" w:type="dxa"/>
          </w:tcPr>
          <w:p w14:paraId="3BDC745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1368CC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586/4800</w:t>
            </w:r>
          </w:p>
        </w:tc>
      </w:tr>
      <w:tr w:rsidR="00983732" w:rsidRPr="00A3026E" w14:paraId="5D6932B4" w14:textId="77777777" w:rsidTr="00EA0DA7">
        <w:tc>
          <w:tcPr>
            <w:tcW w:w="5636" w:type="dxa"/>
          </w:tcPr>
          <w:p w14:paraId="488D136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672DA6E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r>
      <w:tr w:rsidR="00983732" w:rsidRPr="00A3026E" w14:paraId="560E2F36" w14:textId="77777777" w:rsidTr="00EA0DA7">
        <w:tc>
          <w:tcPr>
            <w:tcW w:w="5636" w:type="dxa"/>
          </w:tcPr>
          <w:p w14:paraId="27CAF9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30C3793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24/1000</w:t>
            </w:r>
          </w:p>
        </w:tc>
      </w:tr>
      <w:tr w:rsidR="00983732" w:rsidRPr="00A3026E" w14:paraId="516158C5" w14:textId="77777777" w:rsidTr="00EA0DA7">
        <w:tc>
          <w:tcPr>
            <w:tcW w:w="5636" w:type="dxa"/>
          </w:tcPr>
          <w:p w14:paraId="79360A9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294183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6/5000</w:t>
            </w:r>
          </w:p>
        </w:tc>
      </w:tr>
      <w:tr w:rsidR="00983732" w:rsidRPr="00A3026E" w14:paraId="2CEB6FA7" w14:textId="77777777" w:rsidTr="00EA0DA7">
        <w:tc>
          <w:tcPr>
            <w:tcW w:w="5636" w:type="dxa"/>
          </w:tcPr>
          <w:p w14:paraId="1E976A8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31DE01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10200</w:t>
            </w:r>
          </w:p>
        </w:tc>
      </w:tr>
      <w:tr w:rsidR="00983732" w:rsidRPr="00A3026E" w14:paraId="4234E56E" w14:textId="77777777" w:rsidTr="00EA0DA7">
        <w:tc>
          <w:tcPr>
            <w:tcW w:w="5636" w:type="dxa"/>
          </w:tcPr>
          <w:p w14:paraId="5F2714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794409B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AEFCD2C" w14:textId="77777777" w:rsidTr="00EA0DA7">
        <w:tc>
          <w:tcPr>
            <w:tcW w:w="5636" w:type="dxa"/>
          </w:tcPr>
          <w:p w14:paraId="025278D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30F3903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700/5000</w:t>
            </w:r>
          </w:p>
        </w:tc>
      </w:tr>
      <w:tr w:rsidR="00983732" w:rsidRPr="00A3026E" w14:paraId="6F3BAC9F" w14:textId="77777777" w:rsidTr="00EA0DA7">
        <w:tc>
          <w:tcPr>
            <w:tcW w:w="5636" w:type="dxa"/>
          </w:tcPr>
          <w:p w14:paraId="2C9ED6E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64A6D4B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700/500</w:t>
            </w:r>
          </w:p>
        </w:tc>
      </w:tr>
      <w:tr w:rsidR="00983732" w:rsidRPr="00A3026E" w14:paraId="551C88F9" w14:textId="77777777" w:rsidTr="00EA0DA7">
        <w:tc>
          <w:tcPr>
            <w:tcW w:w="5636" w:type="dxa"/>
          </w:tcPr>
          <w:p w14:paraId="5F5A53C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22" w:type="dxa"/>
          </w:tcPr>
          <w:p w14:paraId="274D21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13463A5" w14:textId="77777777" w:rsidTr="00EA0DA7">
        <w:tc>
          <w:tcPr>
            <w:tcW w:w="5636" w:type="dxa"/>
          </w:tcPr>
          <w:p w14:paraId="42BF918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4A3F80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300/12,3</w:t>
            </w:r>
          </w:p>
        </w:tc>
      </w:tr>
      <w:tr w:rsidR="00983732" w:rsidRPr="00A3026E" w14:paraId="3FCFA3C4" w14:textId="77777777" w:rsidTr="00EA0DA7">
        <w:tc>
          <w:tcPr>
            <w:tcW w:w="5636" w:type="dxa"/>
          </w:tcPr>
          <w:p w14:paraId="51DF550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7FCEE9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FA34529" w14:textId="77777777" w:rsidTr="00EA0DA7">
        <w:tc>
          <w:tcPr>
            <w:tcW w:w="5636" w:type="dxa"/>
          </w:tcPr>
          <w:p w14:paraId="1BCA5C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3D48098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BDF49B4" w14:textId="77777777" w:rsidTr="00EA0DA7">
        <w:tc>
          <w:tcPr>
            <w:tcW w:w="5636" w:type="dxa"/>
          </w:tcPr>
          <w:p w14:paraId="05A0EEB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09F1CA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ШВАК</w:t>
            </w:r>
          </w:p>
        </w:tc>
      </w:tr>
      <w:tr w:rsidR="00983732" w:rsidRPr="00A3026E" w14:paraId="10A45450" w14:textId="77777777" w:rsidTr="00EA0DA7">
        <w:tc>
          <w:tcPr>
            <w:tcW w:w="5636" w:type="dxa"/>
          </w:tcPr>
          <w:p w14:paraId="601B40D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1093C97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21F06CD2" w14:textId="77777777" w:rsidTr="00EA0DA7">
        <w:tc>
          <w:tcPr>
            <w:tcW w:w="5636" w:type="dxa"/>
            <w:tcBorders>
              <w:bottom w:val="single" w:sz="12" w:space="0" w:color="auto"/>
            </w:tcBorders>
          </w:tcPr>
          <w:p w14:paraId="0B434D7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300098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1F8B65D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1CDDF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Миг-1 опытный с АМ-35А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060E0220" w14:textId="77777777" w:rsidTr="00EA0DA7">
        <w:tc>
          <w:tcPr>
            <w:tcW w:w="5636" w:type="dxa"/>
            <w:tcBorders>
              <w:top w:val="single" w:sz="12" w:space="0" w:color="auto"/>
            </w:tcBorders>
          </w:tcPr>
          <w:p w14:paraId="11F9F89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3DC33D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1200/6000</w:t>
            </w:r>
          </w:p>
        </w:tc>
      </w:tr>
      <w:tr w:rsidR="00983732" w:rsidRPr="00A3026E" w14:paraId="1BCD9C7C" w14:textId="77777777" w:rsidTr="00EA0DA7">
        <w:tc>
          <w:tcPr>
            <w:tcW w:w="5636" w:type="dxa"/>
          </w:tcPr>
          <w:p w14:paraId="627429E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1D77E6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3099/3319</w:t>
            </w:r>
          </w:p>
        </w:tc>
      </w:tr>
      <w:tr w:rsidR="00983732" w:rsidRPr="00A3026E" w14:paraId="5D78DC11" w14:textId="77777777" w:rsidTr="00EA0DA7">
        <w:tc>
          <w:tcPr>
            <w:tcW w:w="5636" w:type="dxa"/>
          </w:tcPr>
          <w:p w14:paraId="39F90FF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22E59B0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7B064D2" w14:textId="77777777" w:rsidTr="00EA0DA7">
        <w:tc>
          <w:tcPr>
            <w:tcW w:w="5636" w:type="dxa"/>
          </w:tcPr>
          <w:p w14:paraId="009F5C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7CA9C3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r>
      <w:tr w:rsidR="00983732" w:rsidRPr="00A3026E" w14:paraId="59AFD9DD" w14:textId="77777777" w:rsidTr="00EA0DA7">
        <w:tc>
          <w:tcPr>
            <w:tcW w:w="5636" w:type="dxa"/>
          </w:tcPr>
          <w:p w14:paraId="65188D6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79F57C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628/7200</w:t>
            </w:r>
          </w:p>
        </w:tc>
      </w:tr>
      <w:tr w:rsidR="00983732" w:rsidRPr="00A3026E" w14:paraId="75102851" w14:textId="77777777" w:rsidTr="00EA0DA7">
        <w:tc>
          <w:tcPr>
            <w:tcW w:w="5636" w:type="dxa"/>
          </w:tcPr>
          <w:p w14:paraId="4A45DF6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759876B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628/7200</w:t>
            </w:r>
          </w:p>
        </w:tc>
      </w:tr>
      <w:tr w:rsidR="00983732" w:rsidRPr="00A3026E" w14:paraId="5E1F6A90" w14:textId="77777777" w:rsidTr="00EA0DA7">
        <w:tc>
          <w:tcPr>
            <w:tcW w:w="5636" w:type="dxa"/>
          </w:tcPr>
          <w:p w14:paraId="07E7AEC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5E28CBC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w:t>
            </w:r>
          </w:p>
        </w:tc>
      </w:tr>
      <w:tr w:rsidR="00983732" w:rsidRPr="00A3026E" w14:paraId="40B5E6A5" w14:textId="77777777" w:rsidTr="00EA0DA7">
        <w:tc>
          <w:tcPr>
            <w:tcW w:w="5636" w:type="dxa"/>
          </w:tcPr>
          <w:p w14:paraId="7647F02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40D4D9D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20-22/1000</w:t>
            </w:r>
          </w:p>
        </w:tc>
      </w:tr>
      <w:tr w:rsidR="00983732" w:rsidRPr="00A3026E" w14:paraId="5A6C8D84" w14:textId="77777777" w:rsidTr="00EA0DA7">
        <w:tc>
          <w:tcPr>
            <w:tcW w:w="5636" w:type="dxa"/>
          </w:tcPr>
          <w:p w14:paraId="1D5E24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3F9BE3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8,57/8000</w:t>
            </w:r>
          </w:p>
        </w:tc>
      </w:tr>
      <w:tr w:rsidR="00983732" w:rsidRPr="00A3026E" w14:paraId="30A23543" w14:textId="77777777" w:rsidTr="00EA0DA7">
        <w:tc>
          <w:tcPr>
            <w:tcW w:w="5636" w:type="dxa"/>
          </w:tcPr>
          <w:p w14:paraId="117DDA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243F6F6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r>
      <w:tr w:rsidR="00983732" w:rsidRPr="00A3026E" w14:paraId="3C8696F0" w14:textId="77777777" w:rsidTr="00EA0DA7">
        <w:tc>
          <w:tcPr>
            <w:tcW w:w="5636" w:type="dxa"/>
          </w:tcPr>
          <w:p w14:paraId="59E2199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51FB9B6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45FA618" w14:textId="77777777" w:rsidTr="00EA0DA7">
        <w:tc>
          <w:tcPr>
            <w:tcW w:w="5636" w:type="dxa"/>
          </w:tcPr>
          <w:p w14:paraId="1259561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0847C51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580/7000</w:t>
            </w:r>
          </w:p>
        </w:tc>
      </w:tr>
      <w:tr w:rsidR="00983732" w:rsidRPr="00A3026E" w14:paraId="0361D3B2" w14:textId="77777777" w:rsidTr="00EA0DA7">
        <w:tc>
          <w:tcPr>
            <w:tcW w:w="5636" w:type="dxa"/>
          </w:tcPr>
          <w:p w14:paraId="2473B1C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0578B91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580/7000</w:t>
            </w:r>
          </w:p>
        </w:tc>
      </w:tr>
      <w:tr w:rsidR="00983732" w:rsidRPr="00A3026E" w14:paraId="176EC0D3" w14:textId="77777777" w:rsidTr="00EA0DA7">
        <w:tc>
          <w:tcPr>
            <w:tcW w:w="5636" w:type="dxa"/>
          </w:tcPr>
          <w:p w14:paraId="5B02FE7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22" w:type="dxa"/>
          </w:tcPr>
          <w:p w14:paraId="1CE850C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889B030" w14:textId="77777777" w:rsidTr="00EA0DA7">
        <w:tc>
          <w:tcPr>
            <w:tcW w:w="5636" w:type="dxa"/>
          </w:tcPr>
          <w:p w14:paraId="0EE827C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7B4B084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268/12,5</w:t>
            </w:r>
          </w:p>
        </w:tc>
      </w:tr>
      <w:tr w:rsidR="00983732" w:rsidRPr="00A3026E" w14:paraId="62F1554C" w14:textId="77777777" w:rsidTr="00EA0DA7">
        <w:tc>
          <w:tcPr>
            <w:tcW w:w="5636" w:type="dxa"/>
          </w:tcPr>
          <w:p w14:paraId="2538E8F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134F44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400/18,6</w:t>
            </w:r>
          </w:p>
        </w:tc>
      </w:tr>
      <w:tr w:rsidR="00983732" w:rsidRPr="00A3026E" w14:paraId="7B6EF48F" w14:textId="77777777" w:rsidTr="00EA0DA7">
        <w:tc>
          <w:tcPr>
            <w:tcW w:w="5636" w:type="dxa"/>
          </w:tcPr>
          <w:p w14:paraId="5F622A8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5405BEA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70B8D47" w14:textId="77777777" w:rsidTr="00EA0DA7">
        <w:tc>
          <w:tcPr>
            <w:tcW w:w="5636" w:type="dxa"/>
          </w:tcPr>
          <w:p w14:paraId="6AA91C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74B6E21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w:t>
            </w:r>
          </w:p>
        </w:tc>
      </w:tr>
      <w:tr w:rsidR="00983732" w:rsidRPr="00A3026E" w14:paraId="10794F93" w14:textId="77777777" w:rsidTr="00EA0DA7">
        <w:tc>
          <w:tcPr>
            <w:tcW w:w="5636" w:type="dxa"/>
          </w:tcPr>
          <w:p w14:paraId="0137B4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510A3A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0777ED40" w14:textId="77777777" w:rsidTr="00EA0DA7">
        <w:tc>
          <w:tcPr>
            <w:tcW w:w="5636" w:type="dxa"/>
          </w:tcPr>
          <w:p w14:paraId="18EE61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Pr>
          <w:p w14:paraId="0C28775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0/220</w:t>
            </w:r>
          </w:p>
        </w:tc>
      </w:tr>
      <w:tr w:rsidR="00983732" w:rsidRPr="00A3026E" w14:paraId="0A009377" w14:textId="77777777" w:rsidTr="00EA0DA7">
        <w:tc>
          <w:tcPr>
            <w:tcW w:w="5636" w:type="dxa"/>
            <w:tcBorders>
              <w:bottom w:val="single" w:sz="12" w:space="0" w:color="auto"/>
            </w:tcBorders>
          </w:tcPr>
          <w:p w14:paraId="1ED5682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7C09409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перегрузку 8 РО-82</w:t>
            </w:r>
          </w:p>
        </w:tc>
      </w:tr>
    </w:tbl>
    <w:p w14:paraId="5325FA3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72FC32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с М-105П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2ED77C00" w14:textId="77777777" w:rsidTr="00EA0DA7">
        <w:tc>
          <w:tcPr>
            <w:tcW w:w="5636" w:type="dxa"/>
            <w:tcBorders>
              <w:top w:val="single" w:sz="12" w:space="0" w:color="auto"/>
            </w:tcBorders>
          </w:tcPr>
          <w:p w14:paraId="50234BA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751B2E9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4BB91ADB" w14:textId="77777777" w:rsidTr="00EA0DA7">
        <w:tc>
          <w:tcPr>
            <w:tcW w:w="5636" w:type="dxa"/>
          </w:tcPr>
          <w:p w14:paraId="1BBCCC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34F8E6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2968</w:t>
            </w:r>
          </w:p>
        </w:tc>
      </w:tr>
      <w:tr w:rsidR="00983732" w:rsidRPr="00A3026E" w14:paraId="6B57C4DB" w14:textId="77777777" w:rsidTr="00EA0DA7">
        <w:tc>
          <w:tcPr>
            <w:tcW w:w="5636" w:type="dxa"/>
          </w:tcPr>
          <w:p w14:paraId="17482BD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46C76AC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725653F" w14:textId="77777777" w:rsidTr="00EA0DA7">
        <w:tc>
          <w:tcPr>
            <w:tcW w:w="5636" w:type="dxa"/>
          </w:tcPr>
          <w:p w14:paraId="2127F5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150AB7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r>
      <w:tr w:rsidR="00983732" w:rsidRPr="00A3026E" w14:paraId="625367EC" w14:textId="77777777" w:rsidTr="00EA0DA7">
        <w:tc>
          <w:tcPr>
            <w:tcW w:w="5636" w:type="dxa"/>
          </w:tcPr>
          <w:p w14:paraId="50AA0E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270ABF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605/4950</w:t>
            </w:r>
          </w:p>
        </w:tc>
      </w:tr>
      <w:tr w:rsidR="00983732" w:rsidRPr="00A3026E" w14:paraId="18458040" w14:textId="77777777" w:rsidTr="00EA0DA7">
        <w:tc>
          <w:tcPr>
            <w:tcW w:w="5636" w:type="dxa"/>
          </w:tcPr>
          <w:p w14:paraId="34C6AA2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447A06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605/4950</w:t>
            </w:r>
          </w:p>
        </w:tc>
      </w:tr>
      <w:tr w:rsidR="00983732" w:rsidRPr="00A3026E" w14:paraId="7BE6D0A4" w14:textId="77777777" w:rsidTr="00EA0DA7">
        <w:tc>
          <w:tcPr>
            <w:tcW w:w="5636" w:type="dxa"/>
          </w:tcPr>
          <w:p w14:paraId="3D55E4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233D25F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r>
      <w:tr w:rsidR="00983732" w:rsidRPr="00A3026E" w14:paraId="26EA7433" w14:textId="77777777" w:rsidTr="00EA0DA7">
        <w:tc>
          <w:tcPr>
            <w:tcW w:w="5636" w:type="dxa"/>
          </w:tcPr>
          <w:p w14:paraId="60DF283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6C1619D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20/1000</w:t>
            </w:r>
          </w:p>
        </w:tc>
      </w:tr>
      <w:tr w:rsidR="00983732" w:rsidRPr="00A3026E" w14:paraId="1D86E32A" w14:textId="77777777" w:rsidTr="00EA0DA7">
        <w:tc>
          <w:tcPr>
            <w:tcW w:w="5636" w:type="dxa"/>
          </w:tcPr>
          <w:p w14:paraId="0B787E6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2895FFE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5,85/5000</w:t>
            </w:r>
          </w:p>
        </w:tc>
      </w:tr>
      <w:tr w:rsidR="00983732" w:rsidRPr="00A3026E" w14:paraId="0D6DDAF1" w14:textId="77777777" w:rsidTr="00EA0DA7">
        <w:tc>
          <w:tcPr>
            <w:tcW w:w="5636" w:type="dxa"/>
          </w:tcPr>
          <w:p w14:paraId="5AC576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6450DE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9600</w:t>
            </w:r>
          </w:p>
        </w:tc>
      </w:tr>
      <w:tr w:rsidR="00983732" w:rsidRPr="00A3026E" w14:paraId="14675296" w14:textId="77777777" w:rsidTr="00EA0DA7">
        <w:tc>
          <w:tcPr>
            <w:tcW w:w="5636" w:type="dxa"/>
          </w:tcPr>
          <w:p w14:paraId="4A74F94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048C46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BBCECA6" w14:textId="77777777" w:rsidTr="00EA0DA7">
        <w:tc>
          <w:tcPr>
            <w:tcW w:w="5636" w:type="dxa"/>
          </w:tcPr>
          <w:p w14:paraId="5AD808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2CC63A7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556/4950</w:t>
            </w:r>
          </w:p>
        </w:tc>
      </w:tr>
      <w:tr w:rsidR="00983732" w:rsidRPr="00A3026E" w14:paraId="0371E21D" w14:textId="77777777" w:rsidTr="00EA0DA7">
        <w:tc>
          <w:tcPr>
            <w:tcW w:w="5636" w:type="dxa"/>
          </w:tcPr>
          <w:p w14:paraId="29CF6FD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1602C5F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556/4950</w:t>
            </w:r>
          </w:p>
        </w:tc>
      </w:tr>
      <w:tr w:rsidR="00983732" w:rsidRPr="00A3026E" w14:paraId="5DC78D1E" w14:textId="77777777" w:rsidTr="00EA0DA7">
        <w:tc>
          <w:tcPr>
            <w:tcW w:w="5636" w:type="dxa"/>
          </w:tcPr>
          <w:p w14:paraId="42FC214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22" w:type="dxa"/>
          </w:tcPr>
          <w:p w14:paraId="5D95FA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494E2AD" w14:textId="77777777" w:rsidTr="00EA0DA7">
        <w:tc>
          <w:tcPr>
            <w:tcW w:w="5636" w:type="dxa"/>
          </w:tcPr>
          <w:p w14:paraId="4B7D94E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2BC58BE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355/14,1</w:t>
            </w:r>
          </w:p>
        </w:tc>
      </w:tr>
      <w:tr w:rsidR="00983732" w:rsidRPr="00A3026E" w14:paraId="63DFA71F" w14:textId="77777777" w:rsidTr="00EA0DA7">
        <w:tc>
          <w:tcPr>
            <w:tcW w:w="5636" w:type="dxa"/>
          </w:tcPr>
          <w:p w14:paraId="6EC8E4C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2BFEAA7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400/22,4</w:t>
            </w:r>
          </w:p>
        </w:tc>
      </w:tr>
      <w:tr w:rsidR="00983732" w:rsidRPr="00A3026E" w14:paraId="6B39E7FF" w14:textId="77777777" w:rsidTr="00EA0DA7">
        <w:tc>
          <w:tcPr>
            <w:tcW w:w="5636" w:type="dxa"/>
          </w:tcPr>
          <w:p w14:paraId="161B3A1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2D8F3D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C319205" w14:textId="77777777" w:rsidTr="00EA0DA7">
        <w:tc>
          <w:tcPr>
            <w:tcW w:w="5636" w:type="dxa"/>
          </w:tcPr>
          <w:p w14:paraId="278619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5E85559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 23 мм</w:t>
            </w:r>
          </w:p>
        </w:tc>
      </w:tr>
      <w:tr w:rsidR="00983732" w:rsidRPr="00A3026E" w14:paraId="559C3915" w14:textId="77777777" w:rsidTr="00EA0DA7">
        <w:tc>
          <w:tcPr>
            <w:tcW w:w="5636" w:type="dxa"/>
          </w:tcPr>
          <w:p w14:paraId="54BB8F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3A7FD85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БС</w:t>
            </w:r>
          </w:p>
        </w:tc>
      </w:tr>
      <w:tr w:rsidR="00983732" w:rsidRPr="00A3026E" w14:paraId="3463CC9C" w14:textId="77777777" w:rsidTr="00EA0DA7">
        <w:tc>
          <w:tcPr>
            <w:tcW w:w="5636" w:type="dxa"/>
          </w:tcPr>
          <w:p w14:paraId="6546B78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4FC0BF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перегрузку 2 ШКАС</w:t>
            </w:r>
          </w:p>
        </w:tc>
      </w:tr>
      <w:tr w:rsidR="00983732" w:rsidRPr="00A3026E" w14:paraId="4649DF43" w14:textId="77777777" w:rsidTr="00EA0DA7">
        <w:tc>
          <w:tcPr>
            <w:tcW w:w="5636" w:type="dxa"/>
            <w:tcBorders>
              <w:bottom w:val="single" w:sz="12" w:space="0" w:color="auto"/>
            </w:tcBorders>
          </w:tcPr>
          <w:p w14:paraId="73AD5A4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5C6C6A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1B06EE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73F0B5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Миг-3 АМ-35А серийный (исп. в марте 1941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3A6A7962" w14:textId="77777777" w:rsidTr="00EA0DA7">
        <w:tc>
          <w:tcPr>
            <w:tcW w:w="5636" w:type="dxa"/>
            <w:tcBorders>
              <w:top w:val="single" w:sz="12" w:space="0" w:color="auto"/>
            </w:tcBorders>
          </w:tcPr>
          <w:p w14:paraId="7460519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2E2772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1200/6000</w:t>
            </w:r>
          </w:p>
        </w:tc>
      </w:tr>
      <w:tr w:rsidR="00983732" w:rsidRPr="00A3026E" w14:paraId="05F5D215" w14:textId="77777777" w:rsidTr="00EA0DA7">
        <w:tc>
          <w:tcPr>
            <w:tcW w:w="5636" w:type="dxa"/>
          </w:tcPr>
          <w:p w14:paraId="21BF76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4934B4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3355/3555</w:t>
            </w:r>
          </w:p>
        </w:tc>
      </w:tr>
      <w:tr w:rsidR="00983732" w:rsidRPr="00A3026E" w14:paraId="2C5B8E71" w14:textId="77777777" w:rsidTr="00EA0DA7">
        <w:tc>
          <w:tcPr>
            <w:tcW w:w="5636" w:type="dxa"/>
          </w:tcPr>
          <w:p w14:paraId="4289168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2031AA3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05760B8" w14:textId="77777777" w:rsidTr="00EA0DA7">
        <w:tc>
          <w:tcPr>
            <w:tcW w:w="5636" w:type="dxa"/>
          </w:tcPr>
          <w:p w14:paraId="4F74611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3EBC7E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495</w:t>
            </w:r>
          </w:p>
        </w:tc>
      </w:tr>
      <w:tr w:rsidR="00983732" w:rsidRPr="00A3026E" w14:paraId="7854D25E" w14:textId="77777777" w:rsidTr="00EA0DA7">
        <w:tc>
          <w:tcPr>
            <w:tcW w:w="5636" w:type="dxa"/>
          </w:tcPr>
          <w:p w14:paraId="13264B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3F3BE88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640/7800</w:t>
            </w:r>
          </w:p>
        </w:tc>
      </w:tr>
      <w:tr w:rsidR="00983732" w:rsidRPr="00A3026E" w14:paraId="721A99B1" w14:textId="77777777" w:rsidTr="00EA0DA7">
        <w:tc>
          <w:tcPr>
            <w:tcW w:w="5636" w:type="dxa"/>
          </w:tcPr>
          <w:p w14:paraId="691750F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3E8AE90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640/7800</w:t>
            </w:r>
          </w:p>
        </w:tc>
      </w:tr>
      <w:tr w:rsidR="00983732" w:rsidRPr="00A3026E" w14:paraId="3D4F3B1D" w14:textId="77777777" w:rsidTr="00EA0DA7">
        <w:tc>
          <w:tcPr>
            <w:tcW w:w="5636" w:type="dxa"/>
          </w:tcPr>
          <w:p w14:paraId="0187079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343A58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144,5</w:t>
            </w:r>
          </w:p>
        </w:tc>
      </w:tr>
      <w:tr w:rsidR="00983732" w:rsidRPr="00A3026E" w14:paraId="5DEA67D6" w14:textId="77777777" w:rsidTr="00EA0DA7">
        <w:tc>
          <w:tcPr>
            <w:tcW w:w="5636" w:type="dxa"/>
          </w:tcPr>
          <w:p w14:paraId="239BAC9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26386E4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25-26/4000</w:t>
            </w:r>
          </w:p>
        </w:tc>
      </w:tr>
      <w:tr w:rsidR="00983732" w:rsidRPr="00A3026E" w14:paraId="793B5913" w14:textId="77777777" w:rsidTr="00EA0DA7">
        <w:tc>
          <w:tcPr>
            <w:tcW w:w="5636" w:type="dxa"/>
          </w:tcPr>
          <w:p w14:paraId="049E6DB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4CE49BD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10,28/8000</w:t>
            </w:r>
          </w:p>
        </w:tc>
      </w:tr>
      <w:tr w:rsidR="00983732" w:rsidRPr="00A3026E" w14:paraId="7D3F2AFA" w14:textId="77777777" w:rsidTr="00EA0DA7">
        <w:tc>
          <w:tcPr>
            <w:tcW w:w="5636" w:type="dxa"/>
          </w:tcPr>
          <w:p w14:paraId="74D5232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2FB2E67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5887750" w14:textId="77777777" w:rsidTr="00EA0DA7">
        <w:tc>
          <w:tcPr>
            <w:tcW w:w="5636" w:type="dxa"/>
          </w:tcPr>
          <w:p w14:paraId="7B60C64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Техническая дальность на 0,9 Vmax/на высоте:</w:t>
            </w:r>
          </w:p>
        </w:tc>
        <w:tc>
          <w:tcPr>
            <w:tcW w:w="4822" w:type="dxa"/>
          </w:tcPr>
          <w:p w14:paraId="4AA3B5F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7DC3A33" w14:textId="77777777" w:rsidTr="00EA0DA7">
        <w:tc>
          <w:tcPr>
            <w:tcW w:w="5636" w:type="dxa"/>
          </w:tcPr>
          <w:p w14:paraId="5F55DC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7BF818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820/7860</w:t>
            </w:r>
          </w:p>
        </w:tc>
      </w:tr>
      <w:tr w:rsidR="00983732" w:rsidRPr="00A3026E" w14:paraId="0264B371" w14:textId="77777777" w:rsidTr="00EA0DA7">
        <w:tc>
          <w:tcPr>
            <w:tcW w:w="5636" w:type="dxa"/>
          </w:tcPr>
          <w:p w14:paraId="56B1AC8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793507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820/7860</w:t>
            </w:r>
          </w:p>
        </w:tc>
      </w:tr>
      <w:tr w:rsidR="00983732" w:rsidRPr="00A3026E" w14:paraId="3D07AB14" w14:textId="77777777" w:rsidTr="00EA0DA7">
        <w:tc>
          <w:tcPr>
            <w:tcW w:w="5636" w:type="dxa"/>
          </w:tcPr>
          <w:p w14:paraId="6C44B3B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22" w:type="dxa"/>
          </w:tcPr>
          <w:p w14:paraId="22AF602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45214B6" w14:textId="77777777" w:rsidTr="00EA0DA7">
        <w:tc>
          <w:tcPr>
            <w:tcW w:w="5636" w:type="dxa"/>
          </w:tcPr>
          <w:p w14:paraId="6A3AF6F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7321D76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347/-</w:t>
            </w:r>
          </w:p>
        </w:tc>
      </w:tr>
      <w:tr w:rsidR="00983732" w:rsidRPr="00A3026E" w14:paraId="2013420F" w14:textId="77777777" w:rsidTr="00EA0DA7">
        <w:tc>
          <w:tcPr>
            <w:tcW w:w="5636" w:type="dxa"/>
          </w:tcPr>
          <w:p w14:paraId="0BF179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49C4DB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w:t>
            </w:r>
          </w:p>
        </w:tc>
      </w:tr>
      <w:tr w:rsidR="00983732" w:rsidRPr="00A3026E" w14:paraId="2ED67B9F" w14:textId="77777777" w:rsidTr="00EA0DA7">
        <w:tc>
          <w:tcPr>
            <w:tcW w:w="5636" w:type="dxa"/>
          </w:tcPr>
          <w:p w14:paraId="1DD9FAD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4E79B9B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A7CF516" w14:textId="77777777" w:rsidTr="00EA0DA7">
        <w:tc>
          <w:tcPr>
            <w:tcW w:w="5636" w:type="dxa"/>
          </w:tcPr>
          <w:p w14:paraId="755149F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4A8E91D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w:t>
            </w:r>
          </w:p>
        </w:tc>
      </w:tr>
      <w:tr w:rsidR="00983732" w:rsidRPr="00A3026E" w14:paraId="5C310413" w14:textId="77777777" w:rsidTr="00EA0DA7">
        <w:tc>
          <w:tcPr>
            <w:tcW w:w="5636" w:type="dxa"/>
          </w:tcPr>
          <w:p w14:paraId="06D337F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7017CD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5928018D" w14:textId="77777777" w:rsidTr="00EA0DA7">
        <w:tc>
          <w:tcPr>
            <w:tcW w:w="5636" w:type="dxa"/>
            <w:tcBorders>
              <w:bottom w:val="single" w:sz="12" w:space="0" w:color="auto"/>
            </w:tcBorders>
          </w:tcPr>
          <w:p w14:paraId="5F76245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525D1C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0/200</w:t>
            </w:r>
          </w:p>
        </w:tc>
      </w:tr>
    </w:tbl>
    <w:p w14:paraId="6ED066D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C05760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ЯК-1 М-105П экз.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7DE6C957" w14:textId="77777777" w:rsidTr="00EA0DA7">
        <w:tc>
          <w:tcPr>
            <w:tcW w:w="5636" w:type="dxa"/>
            <w:tcBorders>
              <w:top w:val="single" w:sz="12" w:space="0" w:color="auto"/>
            </w:tcBorders>
          </w:tcPr>
          <w:p w14:paraId="088CFDF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23F80B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5FAAAB79" w14:textId="77777777" w:rsidTr="00EA0DA7">
        <w:tc>
          <w:tcPr>
            <w:tcW w:w="5636" w:type="dxa"/>
          </w:tcPr>
          <w:p w14:paraId="19C708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03A1579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2700/-</w:t>
            </w:r>
          </w:p>
        </w:tc>
      </w:tr>
      <w:tr w:rsidR="00983732" w:rsidRPr="00A3026E" w14:paraId="100EFD69" w14:textId="77777777" w:rsidTr="00EA0DA7">
        <w:tc>
          <w:tcPr>
            <w:tcW w:w="5636" w:type="dxa"/>
          </w:tcPr>
          <w:p w14:paraId="31813C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4606DB1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9923B63" w14:textId="77777777" w:rsidTr="00EA0DA7">
        <w:tc>
          <w:tcPr>
            <w:tcW w:w="5636" w:type="dxa"/>
          </w:tcPr>
          <w:p w14:paraId="2A1C5DA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1D4134C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r>
      <w:tr w:rsidR="00983732" w:rsidRPr="00A3026E" w14:paraId="388446F0" w14:textId="77777777" w:rsidTr="00EA0DA7">
        <w:tc>
          <w:tcPr>
            <w:tcW w:w="5636" w:type="dxa"/>
          </w:tcPr>
          <w:p w14:paraId="29FD2C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7098FF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592/4960</w:t>
            </w:r>
          </w:p>
        </w:tc>
      </w:tr>
      <w:tr w:rsidR="00983732" w:rsidRPr="00A3026E" w14:paraId="338236C4" w14:textId="77777777" w:rsidTr="00EA0DA7">
        <w:tc>
          <w:tcPr>
            <w:tcW w:w="5636" w:type="dxa"/>
          </w:tcPr>
          <w:p w14:paraId="45A22A3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7939A52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592/4960</w:t>
            </w:r>
          </w:p>
        </w:tc>
      </w:tr>
      <w:tr w:rsidR="00983732" w:rsidRPr="00A3026E" w14:paraId="67D53462" w14:textId="77777777" w:rsidTr="00EA0DA7">
        <w:tc>
          <w:tcPr>
            <w:tcW w:w="5636" w:type="dxa"/>
          </w:tcPr>
          <w:p w14:paraId="257BD67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1ADE93B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r>
      <w:tr w:rsidR="00983732" w:rsidRPr="00A3026E" w14:paraId="34360703" w14:textId="77777777" w:rsidTr="00EA0DA7">
        <w:tc>
          <w:tcPr>
            <w:tcW w:w="5636" w:type="dxa"/>
          </w:tcPr>
          <w:p w14:paraId="7947853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47CD90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20-21/1000</w:t>
            </w:r>
          </w:p>
        </w:tc>
      </w:tr>
      <w:tr w:rsidR="00983732" w:rsidRPr="00A3026E" w14:paraId="56966C29" w14:textId="77777777" w:rsidTr="00EA0DA7">
        <w:tc>
          <w:tcPr>
            <w:tcW w:w="5636" w:type="dxa"/>
          </w:tcPr>
          <w:p w14:paraId="17B7D6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02BE38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6/5000</w:t>
            </w:r>
          </w:p>
        </w:tc>
      </w:tr>
      <w:tr w:rsidR="00983732" w:rsidRPr="00A3026E" w14:paraId="5D26B6DA" w14:textId="77777777" w:rsidTr="00EA0DA7">
        <w:tc>
          <w:tcPr>
            <w:tcW w:w="5636" w:type="dxa"/>
          </w:tcPr>
          <w:p w14:paraId="63C050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63E1813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10200</w:t>
            </w:r>
          </w:p>
        </w:tc>
      </w:tr>
      <w:tr w:rsidR="00983732" w:rsidRPr="00A3026E" w14:paraId="10C2FC04" w14:textId="77777777" w:rsidTr="00EA0DA7">
        <w:tc>
          <w:tcPr>
            <w:tcW w:w="5636" w:type="dxa"/>
          </w:tcPr>
          <w:p w14:paraId="3141B8E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415FBC2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89CD104" w14:textId="77777777" w:rsidTr="00EA0DA7">
        <w:tc>
          <w:tcPr>
            <w:tcW w:w="5636" w:type="dxa"/>
          </w:tcPr>
          <w:p w14:paraId="234AEDF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0C98AF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700/5000</w:t>
            </w:r>
          </w:p>
        </w:tc>
      </w:tr>
      <w:tr w:rsidR="00983732" w:rsidRPr="00A3026E" w14:paraId="58F9020D" w14:textId="77777777" w:rsidTr="00EA0DA7">
        <w:tc>
          <w:tcPr>
            <w:tcW w:w="5636" w:type="dxa"/>
          </w:tcPr>
          <w:p w14:paraId="130B713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390391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700/5000</w:t>
            </w:r>
          </w:p>
        </w:tc>
      </w:tr>
      <w:tr w:rsidR="00983732" w:rsidRPr="00A3026E" w14:paraId="41DC3F4B" w14:textId="77777777" w:rsidTr="00EA0DA7">
        <w:tc>
          <w:tcPr>
            <w:tcW w:w="5636" w:type="dxa"/>
          </w:tcPr>
          <w:p w14:paraId="63D082E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22" w:type="dxa"/>
          </w:tcPr>
          <w:p w14:paraId="513A3A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28779E8" w14:textId="77777777" w:rsidTr="00EA0DA7">
        <w:tc>
          <w:tcPr>
            <w:tcW w:w="5636" w:type="dxa"/>
          </w:tcPr>
          <w:p w14:paraId="397502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58ECE12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r>
      <w:tr w:rsidR="00983732" w:rsidRPr="00A3026E" w14:paraId="3400E8F8" w14:textId="77777777" w:rsidTr="00EA0DA7">
        <w:tc>
          <w:tcPr>
            <w:tcW w:w="5636" w:type="dxa"/>
          </w:tcPr>
          <w:p w14:paraId="725C64B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5D918DF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540/33</w:t>
            </w:r>
          </w:p>
        </w:tc>
      </w:tr>
      <w:tr w:rsidR="00983732" w:rsidRPr="00A3026E" w14:paraId="0B3575D3" w14:textId="77777777" w:rsidTr="00EA0DA7">
        <w:tc>
          <w:tcPr>
            <w:tcW w:w="5636" w:type="dxa"/>
          </w:tcPr>
          <w:p w14:paraId="21F6459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7FD78C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FA18E37" w14:textId="77777777" w:rsidTr="00EA0DA7">
        <w:tc>
          <w:tcPr>
            <w:tcW w:w="5636" w:type="dxa"/>
          </w:tcPr>
          <w:p w14:paraId="1CF5CE0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1CEDF37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ШВАК</w:t>
            </w:r>
          </w:p>
        </w:tc>
      </w:tr>
      <w:tr w:rsidR="00983732" w:rsidRPr="00A3026E" w14:paraId="5A40E0EB" w14:textId="77777777" w:rsidTr="00EA0DA7">
        <w:tc>
          <w:tcPr>
            <w:tcW w:w="5636" w:type="dxa"/>
          </w:tcPr>
          <w:p w14:paraId="23D9D57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76DEBE8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58212DB5" w14:textId="77777777" w:rsidTr="00EA0DA7">
        <w:tc>
          <w:tcPr>
            <w:tcW w:w="5636" w:type="dxa"/>
            <w:tcBorders>
              <w:bottom w:val="single" w:sz="12" w:space="0" w:color="auto"/>
            </w:tcBorders>
          </w:tcPr>
          <w:p w14:paraId="06016C1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7F9D7F1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0BE353F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B18209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ЯК-1 М-105П серийный № 0406 производства завода № 301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21750970" w14:textId="77777777" w:rsidTr="00EA0DA7">
        <w:tc>
          <w:tcPr>
            <w:tcW w:w="5636" w:type="dxa"/>
            <w:tcBorders>
              <w:top w:val="single" w:sz="12" w:space="0" w:color="auto"/>
            </w:tcBorders>
          </w:tcPr>
          <w:p w14:paraId="57A610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18CA3C3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652D047D" w14:textId="77777777" w:rsidTr="00EA0DA7">
        <w:tc>
          <w:tcPr>
            <w:tcW w:w="5636" w:type="dxa"/>
          </w:tcPr>
          <w:p w14:paraId="21F7C00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388F1BD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2858/-</w:t>
            </w:r>
          </w:p>
        </w:tc>
      </w:tr>
      <w:tr w:rsidR="00983732" w:rsidRPr="00A3026E" w14:paraId="7822B54A" w14:textId="77777777" w:rsidTr="00EA0DA7">
        <w:tc>
          <w:tcPr>
            <w:tcW w:w="5636" w:type="dxa"/>
          </w:tcPr>
          <w:p w14:paraId="0B121E6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5124497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604F89D" w14:textId="77777777" w:rsidTr="00EA0DA7">
        <w:tc>
          <w:tcPr>
            <w:tcW w:w="5636" w:type="dxa"/>
          </w:tcPr>
          <w:p w14:paraId="6691C30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00F3DA2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w:t>
            </w:r>
          </w:p>
        </w:tc>
      </w:tr>
      <w:tr w:rsidR="00983732" w:rsidRPr="00A3026E" w14:paraId="78C0A38C" w14:textId="77777777" w:rsidTr="00EA0DA7">
        <w:tc>
          <w:tcPr>
            <w:tcW w:w="5636" w:type="dxa"/>
          </w:tcPr>
          <w:p w14:paraId="27C26ED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6922D7E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577,5/4950</w:t>
            </w:r>
          </w:p>
        </w:tc>
      </w:tr>
      <w:tr w:rsidR="00983732" w:rsidRPr="00A3026E" w14:paraId="5077AF01" w14:textId="77777777" w:rsidTr="00EA0DA7">
        <w:tc>
          <w:tcPr>
            <w:tcW w:w="5636" w:type="dxa"/>
          </w:tcPr>
          <w:p w14:paraId="114F1B1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22CDE93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577,5/4950</w:t>
            </w:r>
          </w:p>
        </w:tc>
      </w:tr>
      <w:tr w:rsidR="00983732" w:rsidRPr="00A3026E" w14:paraId="50AED18A" w14:textId="77777777" w:rsidTr="00EA0DA7">
        <w:tc>
          <w:tcPr>
            <w:tcW w:w="5636" w:type="dxa"/>
          </w:tcPr>
          <w:p w14:paraId="1A8187A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763E57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137</w:t>
            </w:r>
          </w:p>
        </w:tc>
      </w:tr>
      <w:tr w:rsidR="00983732" w:rsidRPr="00A3026E" w14:paraId="31859672" w14:textId="77777777" w:rsidTr="00EA0DA7">
        <w:tc>
          <w:tcPr>
            <w:tcW w:w="5636" w:type="dxa"/>
          </w:tcPr>
          <w:p w14:paraId="5DA97C7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4A18B93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20-21/1000</w:t>
            </w:r>
          </w:p>
        </w:tc>
      </w:tr>
      <w:tr w:rsidR="00983732" w:rsidRPr="00A3026E" w14:paraId="07543E3F" w14:textId="77777777" w:rsidTr="00EA0DA7">
        <w:tc>
          <w:tcPr>
            <w:tcW w:w="5636" w:type="dxa"/>
          </w:tcPr>
          <w:p w14:paraId="6CE960B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50311DE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5,7/5000</w:t>
            </w:r>
          </w:p>
        </w:tc>
      </w:tr>
      <w:tr w:rsidR="00983732" w:rsidRPr="00A3026E" w14:paraId="29768102" w14:textId="77777777" w:rsidTr="00EA0DA7">
        <w:tc>
          <w:tcPr>
            <w:tcW w:w="5636" w:type="dxa"/>
          </w:tcPr>
          <w:p w14:paraId="45E4B3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71D593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521B2A38" w14:textId="77777777" w:rsidTr="00EA0DA7">
        <w:tc>
          <w:tcPr>
            <w:tcW w:w="5636" w:type="dxa"/>
          </w:tcPr>
          <w:p w14:paraId="4240012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2C79A7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603614F" w14:textId="77777777" w:rsidTr="00EA0DA7">
        <w:tc>
          <w:tcPr>
            <w:tcW w:w="5636" w:type="dxa"/>
          </w:tcPr>
          <w:p w14:paraId="772F8EF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768BA3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700/5000</w:t>
            </w:r>
          </w:p>
        </w:tc>
      </w:tr>
      <w:tr w:rsidR="00983732" w:rsidRPr="00A3026E" w14:paraId="4DAE5B2E" w14:textId="77777777" w:rsidTr="00EA0DA7">
        <w:tc>
          <w:tcPr>
            <w:tcW w:w="5636" w:type="dxa"/>
          </w:tcPr>
          <w:p w14:paraId="2AB90C6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181DE3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700/5000</w:t>
            </w:r>
          </w:p>
        </w:tc>
      </w:tr>
      <w:tr w:rsidR="00983732" w:rsidRPr="00A3026E" w14:paraId="3B60E337" w14:textId="77777777" w:rsidTr="00EA0DA7">
        <w:tc>
          <w:tcPr>
            <w:tcW w:w="5636" w:type="dxa"/>
          </w:tcPr>
          <w:p w14:paraId="34ECC2D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22" w:type="dxa"/>
          </w:tcPr>
          <w:p w14:paraId="79FB5E6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1CD40B4" w14:textId="77777777" w:rsidTr="00EA0DA7">
        <w:tc>
          <w:tcPr>
            <w:tcW w:w="5636" w:type="dxa"/>
          </w:tcPr>
          <w:p w14:paraId="0EF99A8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18A94BC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340</w:t>
            </w:r>
          </w:p>
        </w:tc>
      </w:tr>
      <w:tr w:rsidR="00983732" w:rsidRPr="00A3026E" w14:paraId="02542AD4" w14:textId="77777777" w:rsidTr="00EA0DA7">
        <w:tc>
          <w:tcPr>
            <w:tcW w:w="5636" w:type="dxa"/>
          </w:tcPr>
          <w:p w14:paraId="2A37F5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3FCBA3B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560/34</w:t>
            </w:r>
          </w:p>
        </w:tc>
      </w:tr>
      <w:tr w:rsidR="00983732" w:rsidRPr="00A3026E" w14:paraId="571CE608" w14:textId="77777777" w:rsidTr="00EA0DA7">
        <w:tc>
          <w:tcPr>
            <w:tcW w:w="5636" w:type="dxa"/>
          </w:tcPr>
          <w:p w14:paraId="71FBB2D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600912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F11F9A7" w14:textId="77777777" w:rsidTr="00EA0DA7">
        <w:tc>
          <w:tcPr>
            <w:tcW w:w="5636" w:type="dxa"/>
          </w:tcPr>
          <w:p w14:paraId="0AB1B38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5E41D8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ШВАК</w:t>
            </w:r>
          </w:p>
        </w:tc>
      </w:tr>
      <w:tr w:rsidR="00983732" w:rsidRPr="00A3026E" w14:paraId="7A76FDDC" w14:textId="77777777" w:rsidTr="00EA0DA7">
        <w:tc>
          <w:tcPr>
            <w:tcW w:w="5636" w:type="dxa"/>
          </w:tcPr>
          <w:p w14:paraId="0FA32C7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1ECF4C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7347B5CB" w14:textId="77777777" w:rsidTr="00EA0DA7">
        <w:tc>
          <w:tcPr>
            <w:tcW w:w="5636" w:type="dxa"/>
            <w:tcBorders>
              <w:bottom w:val="single" w:sz="12" w:space="0" w:color="auto"/>
            </w:tcBorders>
          </w:tcPr>
          <w:p w14:paraId="41F5C80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0D077CB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211613A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66FBA3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ЯК-1 М-105П серийный № 0511 производства завода № 292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3254BB91" w14:textId="77777777" w:rsidTr="00EA0DA7">
        <w:tc>
          <w:tcPr>
            <w:tcW w:w="5636" w:type="dxa"/>
            <w:tcBorders>
              <w:top w:val="single" w:sz="12" w:space="0" w:color="auto"/>
            </w:tcBorders>
          </w:tcPr>
          <w:p w14:paraId="5EC54F7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528779B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2D834A7D" w14:textId="77777777" w:rsidTr="00EA0DA7">
        <w:tc>
          <w:tcPr>
            <w:tcW w:w="5636" w:type="dxa"/>
          </w:tcPr>
          <w:p w14:paraId="77AC86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30C26AA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2847/-</w:t>
            </w:r>
          </w:p>
        </w:tc>
      </w:tr>
      <w:tr w:rsidR="00983732" w:rsidRPr="00A3026E" w14:paraId="42BEABE7" w14:textId="77777777" w:rsidTr="00EA0DA7">
        <w:tc>
          <w:tcPr>
            <w:tcW w:w="5636" w:type="dxa"/>
          </w:tcPr>
          <w:p w14:paraId="20CD56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007C7C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7CDF15A" w14:textId="77777777" w:rsidTr="00EA0DA7">
        <w:tc>
          <w:tcPr>
            <w:tcW w:w="5636" w:type="dxa"/>
          </w:tcPr>
          <w:p w14:paraId="27D5A7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4A7DD12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r>
      <w:tr w:rsidR="00983732" w:rsidRPr="00A3026E" w14:paraId="00AD357C" w14:textId="77777777" w:rsidTr="00EA0DA7">
        <w:tc>
          <w:tcPr>
            <w:tcW w:w="5636" w:type="dxa"/>
          </w:tcPr>
          <w:p w14:paraId="12B0F34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2971754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586,5/5100</w:t>
            </w:r>
          </w:p>
        </w:tc>
      </w:tr>
      <w:tr w:rsidR="00983732" w:rsidRPr="00A3026E" w14:paraId="663824B0" w14:textId="77777777" w:rsidTr="00EA0DA7">
        <w:tc>
          <w:tcPr>
            <w:tcW w:w="5636" w:type="dxa"/>
          </w:tcPr>
          <w:p w14:paraId="0FE97FD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0BDADC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586,5/5100</w:t>
            </w:r>
          </w:p>
        </w:tc>
      </w:tr>
      <w:tr w:rsidR="00983732" w:rsidRPr="00A3026E" w14:paraId="575E7E30" w14:textId="77777777" w:rsidTr="00EA0DA7">
        <w:tc>
          <w:tcPr>
            <w:tcW w:w="5636" w:type="dxa"/>
          </w:tcPr>
          <w:p w14:paraId="12E46D3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603E76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137</w:t>
            </w:r>
          </w:p>
        </w:tc>
      </w:tr>
      <w:tr w:rsidR="00983732" w:rsidRPr="00A3026E" w14:paraId="0EFB292D" w14:textId="77777777" w:rsidTr="00EA0DA7">
        <w:tc>
          <w:tcPr>
            <w:tcW w:w="5636" w:type="dxa"/>
          </w:tcPr>
          <w:p w14:paraId="5F1BDA7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4A99F28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20-21/1000</w:t>
            </w:r>
          </w:p>
        </w:tc>
      </w:tr>
      <w:tr w:rsidR="00983732" w:rsidRPr="00A3026E" w14:paraId="6630FD3A" w14:textId="77777777" w:rsidTr="00EA0DA7">
        <w:tc>
          <w:tcPr>
            <w:tcW w:w="5636" w:type="dxa"/>
          </w:tcPr>
          <w:p w14:paraId="546752E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1AE535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5,7/5000</w:t>
            </w:r>
          </w:p>
        </w:tc>
      </w:tr>
      <w:tr w:rsidR="00983732" w:rsidRPr="00A3026E" w14:paraId="466EB336" w14:textId="77777777" w:rsidTr="00EA0DA7">
        <w:tc>
          <w:tcPr>
            <w:tcW w:w="5636" w:type="dxa"/>
          </w:tcPr>
          <w:p w14:paraId="006F7B2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4FD556C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10500</w:t>
            </w:r>
          </w:p>
        </w:tc>
      </w:tr>
      <w:tr w:rsidR="00983732" w:rsidRPr="00A3026E" w14:paraId="65DC02E8" w14:textId="77777777" w:rsidTr="00EA0DA7">
        <w:tc>
          <w:tcPr>
            <w:tcW w:w="5636" w:type="dxa"/>
          </w:tcPr>
          <w:p w14:paraId="1FDDF64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213E15E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1415109" w14:textId="77777777" w:rsidTr="00EA0DA7">
        <w:tc>
          <w:tcPr>
            <w:tcW w:w="5636" w:type="dxa"/>
          </w:tcPr>
          <w:p w14:paraId="446868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746AD38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700/5000</w:t>
            </w:r>
          </w:p>
        </w:tc>
      </w:tr>
      <w:tr w:rsidR="00983732" w:rsidRPr="00A3026E" w14:paraId="79B41FC2" w14:textId="77777777" w:rsidTr="00EA0DA7">
        <w:tc>
          <w:tcPr>
            <w:tcW w:w="5636" w:type="dxa"/>
          </w:tcPr>
          <w:p w14:paraId="01CE974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6D8DF31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700/5000</w:t>
            </w:r>
          </w:p>
        </w:tc>
      </w:tr>
      <w:tr w:rsidR="00983732" w:rsidRPr="00A3026E" w14:paraId="1593C446" w14:textId="77777777" w:rsidTr="00EA0DA7">
        <w:tc>
          <w:tcPr>
            <w:tcW w:w="5636" w:type="dxa"/>
          </w:tcPr>
          <w:p w14:paraId="0E335B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22" w:type="dxa"/>
          </w:tcPr>
          <w:p w14:paraId="633F7C6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4423D8A" w14:textId="77777777" w:rsidTr="00EA0DA7">
        <w:tc>
          <w:tcPr>
            <w:tcW w:w="5636" w:type="dxa"/>
          </w:tcPr>
          <w:p w14:paraId="60DD70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2A40D54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340</w:t>
            </w:r>
          </w:p>
        </w:tc>
      </w:tr>
      <w:tr w:rsidR="00983732" w:rsidRPr="00A3026E" w14:paraId="5E0690D1" w14:textId="77777777" w:rsidTr="00EA0DA7">
        <w:tc>
          <w:tcPr>
            <w:tcW w:w="5636" w:type="dxa"/>
          </w:tcPr>
          <w:p w14:paraId="4C3F94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3E33A3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560/34</w:t>
            </w:r>
          </w:p>
        </w:tc>
      </w:tr>
      <w:tr w:rsidR="00983732" w:rsidRPr="00A3026E" w14:paraId="0D2299FD" w14:textId="77777777" w:rsidTr="00EA0DA7">
        <w:tc>
          <w:tcPr>
            <w:tcW w:w="5636" w:type="dxa"/>
          </w:tcPr>
          <w:p w14:paraId="3CEE7B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240920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B73F3A5" w14:textId="77777777" w:rsidTr="00EA0DA7">
        <w:tc>
          <w:tcPr>
            <w:tcW w:w="5636" w:type="dxa"/>
          </w:tcPr>
          <w:p w14:paraId="037A260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001186F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ШВАК</w:t>
            </w:r>
          </w:p>
        </w:tc>
      </w:tr>
      <w:tr w:rsidR="00983732" w:rsidRPr="00A3026E" w14:paraId="0CE9578F" w14:textId="77777777" w:rsidTr="00EA0DA7">
        <w:tc>
          <w:tcPr>
            <w:tcW w:w="5636" w:type="dxa"/>
          </w:tcPr>
          <w:p w14:paraId="6A56DE1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2192844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3C4BFD47" w14:textId="77777777" w:rsidTr="00EA0DA7">
        <w:tc>
          <w:tcPr>
            <w:tcW w:w="5636" w:type="dxa"/>
            <w:tcBorders>
              <w:bottom w:val="single" w:sz="12" w:space="0" w:color="auto"/>
            </w:tcBorders>
          </w:tcPr>
          <w:p w14:paraId="6ED0D28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5C296D1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4A405D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24C96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ЯК-3 М-105П опытный экземпляр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4E2BCCA5" w14:textId="77777777" w:rsidTr="00EA0DA7">
        <w:tc>
          <w:tcPr>
            <w:tcW w:w="5636" w:type="dxa"/>
            <w:tcBorders>
              <w:top w:val="single" w:sz="12" w:space="0" w:color="auto"/>
            </w:tcBorders>
          </w:tcPr>
          <w:p w14:paraId="6F33DB8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Мощность мотора/на высоте</w:t>
            </w:r>
          </w:p>
        </w:tc>
        <w:tc>
          <w:tcPr>
            <w:tcW w:w="4822" w:type="dxa"/>
            <w:tcBorders>
              <w:top w:val="single" w:sz="12" w:space="0" w:color="auto"/>
            </w:tcBorders>
          </w:tcPr>
          <w:p w14:paraId="337943D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06A8D15C" w14:textId="77777777" w:rsidTr="00EA0DA7">
        <w:tc>
          <w:tcPr>
            <w:tcW w:w="5636" w:type="dxa"/>
          </w:tcPr>
          <w:p w14:paraId="0156AB5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74F8C4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3130</w:t>
            </w:r>
          </w:p>
        </w:tc>
      </w:tr>
      <w:tr w:rsidR="00983732" w:rsidRPr="00A3026E" w14:paraId="2C6DD8D8" w14:textId="77777777" w:rsidTr="00EA0DA7">
        <w:tc>
          <w:tcPr>
            <w:tcW w:w="5636" w:type="dxa"/>
          </w:tcPr>
          <w:p w14:paraId="15747A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307C52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E835ABA" w14:textId="77777777" w:rsidTr="00EA0DA7">
        <w:tc>
          <w:tcPr>
            <w:tcW w:w="5636" w:type="dxa"/>
          </w:tcPr>
          <w:p w14:paraId="0D24A8E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5270052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478</w:t>
            </w:r>
          </w:p>
        </w:tc>
      </w:tr>
      <w:tr w:rsidR="00983732" w:rsidRPr="00A3026E" w14:paraId="5EF35267" w14:textId="77777777" w:rsidTr="00EA0DA7">
        <w:tc>
          <w:tcPr>
            <w:tcW w:w="5636" w:type="dxa"/>
          </w:tcPr>
          <w:p w14:paraId="003C611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2764BEA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571/4900</w:t>
            </w:r>
          </w:p>
        </w:tc>
      </w:tr>
      <w:tr w:rsidR="00983732" w:rsidRPr="00A3026E" w14:paraId="4C39DB21" w14:textId="77777777" w:rsidTr="00EA0DA7">
        <w:tc>
          <w:tcPr>
            <w:tcW w:w="5636" w:type="dxa"/>
          </w:tcPr>
          <w:p w14:paraId="37AD2F0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09F30CA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571/4900</w:t>
            </w:r>
          </w:p>
        </w:tc>
      </w:tr>
      <w:tr w:rsidR="00983732" w:rsidRPr="00A3026E" w14:paraId="47CA3765" w14:textId="77777777" w:rsidTr="00EA0DA7">
        <w:tc>
          <w:tcPr>
            <w:tcW w:w="5636" w:type="dxa"/>
          </w:tcPr>
          <w:p w14:paraId="6298671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0BB8B37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142</w:t>
            </w:r>
          </w:p>
        </w:tc>
      </w:tr>
      <w:tr w:rsidR="00983732" w:rsidRPr="00A3026E" w14:paraId="78B697EC" w14:textId="77777777" w:rsidTr="00EA0DA7">
        <w:tc>
          <w:tcPr>
            <w:tcW w:w="5636" w:type="dxa"/>
          </w:tcPr>
          <w:p w14:paraId="33BC02F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4ECBBA4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7B8DA77" w14:textId="77777777" w:rsidTr="00EA0DA7">
        <w:tc>
          <w:tcPr>
            <w:tcW w:w="5636" w:type="dxa"/>
          </w:tcPr>
          <w:p w14:paraId="0FEF404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6881D44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7,0/5000</w:t>
            </w:r>
          </w:p>
        </w:tc>
      </w:tr>
      <w:tr w:rsidR="00983732" w:rsidRPr="00A3026E" w14:paraId="2C8A5F65" w14:textId="77777777" w:rsidTr="00EA0DA7">
        <w:tc>
          <w:tcPr>
            <w:tcW w:w="5636" w:type="dxa"/>
          </w:tcPr>
          <w:p w14:paraId="69A1F60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05691D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r>
      <w:tr w:rsidR="00983732" w:rsidRPr="00A3026E" w14:paraId="4597B879" w14:textId="77777777" w:rsidTr="00EA0DA7">
        <w:tc>
          <w:tcPr>
            <w:tcW w:w="5636" w:type="dxa"/>
          </w:tcPr>
          <w:p w14:paraId="537A69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1A36DBB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59DD824" w14:textId="77777777" w:rsidTr="00EA0DA7">
        <w:tc>
          <w:tcPr>
            <w:tcW w:w="5636" w:type="dxa"/>
          </w:tcPr>
          <w:p w14:paraId="688CCE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7CD1545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975/5000</w:t>
            </w:r>
          </w:p>
        </w:tc>
      </w:tr>
      <w:tr w:rsidR="00983732" w:rsidRPr="00A3026E" w14:paraId="54A4EBAD" w14:textId="77777777" w:rsidTr="00EA0DA7">
        <w:tc>
          <w:tcPr>
            <w:tcW w:w="5636" w:type="dxa"/>
          </w:tcPr>
          <w:p w14:paraId="13798FA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3988EA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975/5000</w:t>
            </w:r>
          </w:p>
        </w:tc>
      </w:tr>
      <w:tr w:rsidR="00983732" w:rsidRPr="00A3026E" w14:paraId="14C7ED97" w14:textId="77777777" w:rsidTr="00EA0DA7">
        <w:tc>
          <w:tcPr>
            <w:tcW w:w="5636" w:type="dxa"/>
          </w:tcPr>
          <w:p w14:paraId="55F23B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22" w:type="dxa"/>
          </w:tcPr>
          <w:p w14:paraId="48F25C3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E79B829" w14:textId="77777777" w:rsidTr="00EA0DA7">
        <w:tc>
          <w:tcPr>
            <w:tcW w:w="5636" w:type="dxa"/>
          </w:tcPr>
          <w:p w14:paraId="54F2844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76C8BFF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303</w:t>
            </w:r>
          </w:p>
        </w:tc>
      </w:tr>
      <w:tr w:rsidR="00983732" w:rsidRPr="00A3026E" w14:paraId="675DFC1B" w14:textId="77777777" w:rsidTr="00EA0DA7">
        <w:tc>
          <w:tcPr>
            <w:tcW w:w="5636" w:type="dxa"/>
          </w:tcPr>
          <w:p w14:paraId="6E9AA46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3DA112E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525/17,3</w:t>
            </w:r>
          </w:p>
        </w:tc>
      </w:tr>
      <w:tr w:rsidR="00983732" w:rsidRPr="00A3026E" w14:paraId="2257D055" w14:textId="77777777" w:rsidTr="00EA0DA7">
        <w:tc>
          <w:tcPr>
            <w:tcW w:w="5636" w:type="dxa"/>
          </w:tcPr>
          <w:p w14:paraId="1B9D84C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04FABE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044B8D4" w14:textId="77777777" w:rsidTr="00EA0DA7">
        <w:tc>
          <w:tcPr>
            <w:tcW w:w="5636" w:type="dxa"/>
          </w:tcPr>
          <w:p w14:paraId="1DE0078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368E68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ШВАК</w:t>
            </w:r>
          </w:p>
        </w:tc>
      </w:tr>
      <w:tr w:rsidR="00983732" w:rsidRPr="00A3026E" w14:paraId="05323446" w14:textId="77777777" w:rsidTr="00EA0DA7">
        <w:tc>
          <w:tcPr>
            <w:tcW w:w="5636" w:type="dxa"/>
          </w:tcPr>
          <w:p w14:paraId="377368D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189F9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7FB0F23E" w14:textId="77777777" w:rsidTr="00EA0DA7">
        <w:tc>
          <w:tcPr>
            <w:tcW w:w="5636" w:type="dxa"/>
            <w:tcBorders>
              <w:bottom w:val="single" w:sz="12" w:space="0" w:color="auto"/>
            </w:tcBorders>
          </w:tcPr>
          <w:p w14:paraId="720C0F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53CD22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424A36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42331E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МИГ-3 АМ-35А серийный № 3262 ред. 0,902 б/предкр.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37EF87EB" w14:textId="77777777" w:rsidTr="00EA0DA7">
        <w:tc>
          <w:tcPr>
            <w:tcW w:w="5636" w:type="dxa"/>
            <w:tcBorders>
              <w:top w:val="single" w:sz="12" w:space="0" w:color="auto"/>
            </w:tcBorders>
          </w:tcPr>
          <w:p w14:paraId="453E2FB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7DB8DC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1200/6000</w:t>
            </w:r>
          </w:p>
        </w:tc>
      </w:tr>
      <w:tr w:rsidR="00983732" w:rsidRPr="00A3026E" w14:paraId="381CA40C" w14:textId="77777777" w:rsidTr="00EA0DA7">
        <w:tc>
          <w:tcPr>
            <w:tcW w:w="5636" w:type="dxa"/>
          </w:tcPr>
          <w:p w14:paraId="7B3E1A6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188818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3285/3485</w:t>
            </w:r>
          </w:p>
        </w:tc>
      </w:tr>
      <w:tr w:rsidR="00983732" w:rsidRPr="00A3026E" w14:paraId="324A15A6" w14:textId="77777777" w:rsidTr="00EA0DA7">
        <w:tc>
          <w:tcPr>
            <w:tcW w:w="5636" w:type="dxa"/>
          </w:tcPr>
          <w:p w14:paraId="3DCE33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2A9BB3B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E22078B" w14:textId="77777777" w:rsidTr="00EA0DA7">
        <w:tc>
          <w:tcPr>
            <w:tcW w:w="5636" w:type="dxa"/>
          </w:tcPr>
          <w:p w14:paraId="5F2D548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6911777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462</w:t>
            </w:r>
          </w:p>
        </w:tc>
      </w:tr>
      <w:tr w:rsidR="00983732" w:rsidRPr="00A3026E" w14:paraId="3E47827E" w14:textId="77777777" w:rsidTr="00EA0DA7">
        <w:tc>
          <w:tcPr>
            <w:tcW w:w="5636" w:type="dxa"/>
          </w:tcPr>
          <w:p w14:paraId="5A8859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3BDD92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603/7800</w:t>
            </w:r>
          </w:p>
        </w:tc>
      </w:tr>
      <w:tr w:rsidR="00983732" w:rsidRPr="00A3026E" w14:paraId="5966507C" w14:textId="77777777" w:rsidTr="00EA0DA7">
        <w:tc>
          <w:tcPr>
            <w:tcW w:w="5636" w:type="dxa"/>
          </w:tcPr>
          <w:p w14:paraId="5865F1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59E5A13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AAA7AC7" w14:textId="77777777" w:rsidTr="00EA0DA7">
        <w:tc>
          <w:tcPr>
            <w:tcW w:w="5636" w:type="dxa"/>
          </w:tcPr>
          <w:p w14:paraId="452A83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0B1333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r>
      <w:tr w:rsidR="00983732" w:rsidRPr="00A3026E" w14:paraId="6EF283D5" w14:textId="77777777" w:rsidTr="00EA0DA7">
        <w:tc>
          <w:tcPr>
            <w:tcW w:w="5636" w:type="dxa"/>
          </w:tcPr>
          <w:p w14:paraId="79350B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030B98D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23/1000</w:t>
            </w:r>
          </w:p>
        </w:tc>
      </w:tr>
      <w:tr w:rsidR="00983732" w:rsidRPr="00A3026E" w14:paraId="5071BD61" w14:textId="77777777" w:rsidTr="00EA0DA7">
        <w:tc>
          <w:tcPr>
            <w:tcW w:w="5636" w:type="dxa"/>
          </w:tcPr>
          <w:p w14:paraId="68B870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06C1B6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11,4/8000</w:t>
            </w:r>
          </w:p>
        </w:tc>
      </w:tr>
      <w:tr w:rsidR="00983732" w:rsidRPr="00A3026E" w14:paraId="37966625" w14:textId="77777777" w:rsidTr="00EA0DA7">
        <w:tc>
          <w:tcPr>
            <w:tcW w:w="5636" w:type="dxa"/>
          </w:tcPr>
          <w:p w14:paraId="367B15F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2B069BD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10850</w:t>
            </w:r>
          </w:p>
        </w:tc>
      </w:tr>
      <w:tr w:rsidR="00983732" w:rsidRPr="00A3026E" w14:paraId="4877532C" w14:textId="77777777" w:rsidTr="00EA0DA7">
        <w:tc>
          <w:tcPr>
            <w:tcW w:w="5636" w:type="dxa"/>
          </w:tcPr>
          <w:p w14:paraId="1FD972C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741443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F058E1A" w14:textId="77777777" w:rsidTr="00EA0DA7">
        <w:tc>
          <w:tcPr>
            <w:tcW w:w="5636" w:type="dxa"/>
          </w:tcPr>
          <w:p w14:paraId="24BE8AB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3CDD40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15B41F0" w14:textId="77777777" w:rsidTr="00EA0DA7">
        <w:tc>
          <w:tcPr>
            <w:tcW w:w="5636" w:type="dxa"/>
          </w:tcPr>
          <w:p w14:paraId="6329299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3D2DCE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4FD2722" w14:textId="77777777" w:rsidTr="00EA0DA7">
        <w:tc>
          <w:tcPr>
            <w:tcW w:w="5636" w:type="dxa"/>
          </w:tcPr>
          <w:p w14:paraId="44FD47D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22" w:type="dxa"/>
          </w:tcPr>
          <w:p w14:paraId="43B8D62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CD0AB34" w14:textId="77777777" w:rsidTr="00EA0DA7">
        <w:tc>
          <w:tcPr>
            <w:tcW w:w="5636" w:type="dxa"/>
          </w:tcPr>
          <w:p w14:paraId="1ED3125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2272E5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320/12,4</w:t>
            </w:r>
          </w:p>
        </w:tc>
      </w:tr>
      <w:tr w:rsidR="00983732" w:rsidRPr="00A3026E" w14:paraId="36A011EF" w14:textId="77777777" w:rsidTr="00EA0DA7">
        <w:tc>
          <w:tcPr>
            <w:tcW w:w="5636" w:type="dxa"/>
          </w:tcPr>
          <w:p w14:paraId="5C44A8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50F3DE3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9DC4F8E" w14:textId="77777777" w:rsidTr="00EA0DA7">
        <w:tc>
          <w:tcPr>
            <w:tcW w:w="5636" w:type="dxa"/>
          </w:tcPr>
          <w:p w14:paraId="35DCDB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74E2BF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2752337" w14:textId="77777777" w:rsidTr="00EA0DA7">
        <w:tc>
          <w:tcPr>
            <w:tcW w:w="5636" w:type="dxa"/>
          </w:tcPr>
          <w:p w14:paraId="53E4DC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0DF81CC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w:t>
            </w:r>
          </w:p>
        </w:tc>
      </w:tr>
      <w:tr w:rsidR="00983732" w:rsidRPr="00A3026E" w14:paraId="50080670" w14:textId="77777777" w:rsidTr="00EA0DA7">
        <w:tc>
          <w:tcPr>
            <w:tcW w:w="5636" w:type="dxa"/>
          </w:tcPr>
          <w:p w14:paraId="62D4A07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121BD00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6E3E0C94" w14:textId="77777777" w:rsidTr="00EA0DA7">
        <w:tc>
          <w:tcPr>
            <w:tcW w:w="5636" w:type="dxa"/>
            <w:tcBorders>
              <w:bottom w:val="single" w:sz="12" w:space="0" w:color="auto"/>
            </w:tcBorders>
          </w:tcPr>
          <w:p w14:paraId="5EEBE0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1A0FE12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0/200</w:t>
            </w:r>
          </w:p>
        </w:tc>
      </w:tr>
    </w:tbl>
    <w:p w14:paraId="5D75816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7FF30F9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МИГ-3 АМ-35А серийный № 3943 ред. 0,732 с предкр.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4279224E" w14:textId="77777777" w:rsidTr="00EA0DA7">
        <w:tc>
          <w:tcPr>
            <w:tcW w:w="5636" w:type="dxa"/>
            <w:tcBorders>
              <w:top w:val="single" w:sz="12" w:space="0" w:color="auto"/>
            </w:tcBorders>
          </w:tcPr>
          <w:p w14:paraId="2AA9B0E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4AF5603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1200/6000</w:t>
            </w:r>
          </w:p>
        </w:tc>
      </w:tr>
      <w:tr w:rsidR="00983732" w:rsidRPr="00A3026E" w14:paraId="0C41C5AC" w14:textId="77777777" w:rsidTr="00EA0DA7">
        <w:tc>
          <w:tcPr>
            <w:tcW w:w="5636" w:type="dxa"/>
          </w:tcPr>
          <w:p w14:paraId="3C25DB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1367B2C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3299/3499</w:t>
            </w:r>
          </w:p>
        </w:tc>
      </w:tr>
      <w:tr w:rsidR="00983732" w:rsidRPr="00A3026E" w14:paraId="260D7355" w14:textId="77777777" w:rsidTr="00EA0DA7">
        <w:tc>
          <w:tcPr>
            <w:tcW w:w="5636" w:type="dxa"/>
          </w:tcPr>
          <w:p w14:paraId="5249215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5A91CA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7ABE7ED" w14:textId="77777777" w:rsidTr="00EA0DA7">
        <w:tc>
          <w:tcPr>
            <w:tcW w:w="5636" w:type="dxa"/>
          </w:tcPr>
          <w:p w14:paraId="6D0E4F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58FAC6D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466</w:t>
            </w:r>
          </w:p>
        </w:tc>
      </w:tr>
      <w:tr w:rsidR="00983732" w:rsidRPr="00A3026E" w14:paraId="63D93F17" w14:textId="77777777" w:rsidTr="00EA0DA7">
        <w:tc>
          <w:tcPr>
            <w:tcW w:w="5636" w:type="dxa"/>
          </w:tcPr>
          <w:p w14:paraId="08ED283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0D2BC96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615,5/7800</w:t>
            </w:r>
          </w:p>
        </w:tc>
      </w:tr>
      <w:tr w:rsidR="00983732" w:rsidRPr="00A3026E" w14:paraId="4F288514" w14:textId="77777777" w:rsidTr="00EA0DA7">
        <w:tc>
          <w:tcPr>
            <w:tcW w:w="5636" w:type="dxa"/>
          </w:tcPr>
          <w:p w14:paraId="20563FA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27D5C66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5ABDDB7" w14:textId="77777777" w:rsidTr="00EA0DA7">
        <w:tc>
          <w:tcPr>
            <w:tcW w:w="5636" w:type="dxa"/>
          </w:tcPr>
          <w:p w14:paraId="6086242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152709B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r>
      <w:tr w:rsidR="00983732" w:rsidRPr="00A3026E" w14:paraId="62481E64" w14:textId="77777777" w:rsidTr="00EA0DA7">
        <w:tc>
          <w:tcPr>
            <w:tcW w:w="5636" w:type="dxa"/>
          </w:tcPr>
          <w:p w14:paraId="7D6566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360B15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22/1000</w:t>
            </w:r>
          </w:p>
        </w:tc>
      </w:tr>
      <w:tr w:rsidR="00983732" w:rsidRPr="00A3026E" w14:paraId="39AA1D61" w14:textId="77777777" w:rsidTr="00EA0DA7">
        <w:tc>
          <w:tcPr>
            <w:tcW w:w="5636" w:type="dxa"/>
          </w:tcPr>
          <w:p w14:paraId="03C2C8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629999B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12,4/8000</w:t>
            </w:r>
          </w:p>
        </w:tc>
      </w:tr>
      <w:tr w:rsidR="00983732" w:rsidRPr="00A3026E" w14:paraId="65C36230" w14:textId="77777777" w:rsidTr="00EA0DA7">
        <w:tc>
          <w:tcPr>
            <w:tcW w:w="5636" w:type="dxa"/>
          </w:tcPr>
          <w:p w14:paraId="4E35D2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01D1B96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11500</w:t>
            </w:r>
          </w:p>
        </w:tc>
      </w:tr>
      <w:tr w:rsidR="00983732" w:rsidRPr="00A3026E" w14:paraId="2246C401" w14:textId="77777777" w:rsidTr="00EA0DA7">
        <w:tc>
          <w:tcPr>
            <w:tcW w:w="5636" w:type="dxa"/>
          </w:tcPr>
          <w:p w14:paraId="139AB2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30B4C7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22698D5" w14:textId="77777777" w:rsidTr="00EA0DA7">
        <w:tc>
          <w:tcPr>
            <w:tcW w:w="5636" w:type="dxa"/>
          </w:tcPr>
          <w:p w14:paraId="0FDA1D8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3DAA87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628/7250</w:t>
            </w:r>
          </w:p>
        </w:tc>
      </w:tr>
      <w:tr w:rsidR="00983732" w:rsidRPr="00A3026E" w14:paraId="4703487E" w14:textId="77777777" w:rsidTr="00EA0DA7">
        <w:tc>
          <w:tcPr>
            <w:tcW w:w="5636" w:type="dxa"/>
          </w:tcPr>
          <w:p w14:paraId="2DC1F32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049AF05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E717C63" w14:textId="77777777" w:rsidTr="00EA0DA7">
        <w:tc>
          <w:tcPr>
            <w:tcW w:w="5636" w:type="dxa"/>
          </w:tcPr>
          <w:p w14:paraId="6400F28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22" w:type="dxa"/>
          </w:tcPr>
          <w:p w14:paraId="1364D5F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289FBBC" w14:textId="77777777" w:rsidTr="00EA0DA7">
        <w:tc>
          <w:tcPr>
            <w:tcW w:w="5636" w:type="dxa"/>
          </w:tcPr>
          <w:p w14:paraId="02BDAE0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41C9B74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398/16,5</w:t>
            </w:r>
          </w:p>
        </w:tc>
      </w:tr>
      <w:tr w:rsidR="00983732" w:rsidRPr="00A3026E" w14:paraId="65E5E03C" w14:textId="77777777" w:rsidTr="00EA0DA7">
        <w:tc>
          <w:tcPr>
            <w:tcW w:w="5636" w:type="dxa"/>
          </w:tcPr>
          <w:p w14:paraId="328B48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2462305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455/20,5</w:t>
            </w:r>
          </w:p>
        </w:tc>
      </w:tr>
      <w:tr w:rsidR="00983732" w:rsidRPr="00A3026E" w14:paraId="50EF99D3" w14:textId="77777777" w:rsidTr="00EA0DA7">
        <w:tc>
          <w:tcPr>
            <w:tcW w:w="5636" w:type="dxa"/>
          </w:tcPr>
          <w:p w14:paraId="3ED83B1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085F73F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A8D309B" w14:textId="77777777" w:rsidTr="00EA0DA7">
        <w:tc>
          <w:tcPr>
            <w:tcW w:w="5636" w:type="dxa"/>
          </w:tcPr>
          <w:p w14:paraId="12ED131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2C0302B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w:t>
            </w:r>
          </w:p>
        </w:tc>
      </w:tr>
      <w:tr w:rsidR="00983732" w:rsidRPr="00A3026E" w14:paraId="585394A3" w14:textId="77777777" w:rsidTr="00EA0DA7">
        <w:tc>
          <w:tcPr>
            <w:tcW w:w="5636" w:type="dxa"/>
          </w:tcPr>
          <w:p w14:paraId="658E6E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24291D3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6E87E380" w14:textId="77777777" w:rsidTr="00EA0DA7">
        <w:tc>
          <w:tcPr>
            <w:tcW w:w="5636" w:type="dxa"/>
            <w:tcBorders>
              <w:bottom w:val="single" w:sz="12" w:space="0" w:color="auto"/>
            </w:tcBorders>
          </w:tcPr>
          <w:p w14:paraId="197A05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7923D3F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0/200</w:t>
            </w:r>
          </w:p>
        </w:tc>
      </w:tr>
    </w:tbl>
    <w:p w14:paraId="6E2FA3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48D40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ЛАГГ-3 М-105П серийный № 312112 с закр. совк. водорад.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345A7376" w14:textId="77777777" w:rsidTr="00EA0DA7">
        <w:tc>
          <w:tcPr>
            <w:tcW w:w="5636" w:type="dxa"/>
            <w:tcBorders>
              <w:top w:val="single" w:sz="12" w:space="0" w:color="auto"/>
            </w:tcBorders>
          </w:tcPr>
          <w:p w14:paraId="29FB87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317A1A9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7B4202FF" w14:textId="77777777" w:rsidTr="00EA0DA7">
        <w:tc>
          <w:tcPr>
            <w:tcW w:w="5636" w:type="dxa"/>
          </w:tcPr>
          <w:p w14:paraId="0D0C4B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2BBC8B8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3346/-</w:t>
            </w:r>
          </w:p>
        </w:tc>
      </w:tr>
      <w:tr w:rsidR="00983732" w:rsidRPr="00A3026E" w14:paraId="105B2B97" w14:textId="77777777" w:rsidTr="00EA0DA7">
        <w:tc>
          <w:tcPr>
            <w:tcW w:w="5636" w:type="dxa"/>
          </w:tcPr>
          <w:p w14:paraId="2E79F6F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1804EF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1A215BE" w14:textId="77777777" w:rsidTr="00EA0DA7">
        <w:tc>
          <w:tcPr>
            <w:tcW w:w="5636" w:type="dxa"/>
          </w:tcPr>
          <w:p w14:paraId="14A402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72F9BB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498</w:t>
            </w:r>
          </w:p>
        </w:tc>
      </w:tr>
      <w:tr w:rsidR="00983732" w:rsidRPr="00A3026E" w14:paraId="56CA35D2" w14:textId="77777777" w:rsidTr="00EA0DA7">
        <w:tc>
          <w:tcPr>
            <w:tcW w:w="5636" w:type="dxa"/>
          </w:tcPr>
          <w:p w14:paraId="72290CE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2BE04BD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575/5000</w:t>
            </w:r>
          </w:p>
        </w:tc>
      </w:tr>
      <w:tr w:rsidR="00983732" w:rsidRPr="00A3026E" w14:paraId="7CEA76EC" w14:textId="77777777" w:rsidTr="00EA0DA7">
        <w:tc>
          <w:tcPr>
            <w:tcW w:w="5636" w:type="dxa"/>
          </w:tcPr>
          <w:p w14:paraId="267F946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076D087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1BEB7D5" w14:textId="77777777" w:rsidTr="00EA0DA7">
        <w:tc>
          <w:tcPr>
            <w:tcW w:w="5636" w:type="dxa"/>
          </w:tcPr>
          <w:p w14:paraId="49E136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5FFC00F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143</w:t>
            </w:r>
          </w:p>
        </w:tc>
      </w:tr>
      <w:tr w:rsidR="00983732" w:rsidRPr="00A3026E" w14:paraId="12AF3E43" w14:textId="77777777" w:rsidTr="00EA0DA7">
        <w:tc>
          <w:tcPr>
            <w:tcW w:w="5636" w:type="dxa"/>
          </w:tcPr>
          <w:p w14:paraId="6C9F62F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39A53A0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27/4000</w:t>
            </w:r>
          </w:p>
        </w:tc>
      </w:tr>
      <w:tr w:rsidR="00983732" w:rsidRPr="00A3026E" w14:paraId="7DF56DD7" w14:textId="77777777" w:rsidTr="00EA0DA7">
        <w:tc>
          <w:tcPr>
            <w:tcW w:w="5636" w:type="dxa"/>
          </w:tcPr>
          <w:p w14:paraId="67F45A8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244173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6,8/5000</w:t>
            </w:r>
          </w:p>
        </w:tc>
      </w:tr>
      <w:tr w:rsidR="00983732" w:rsidRPr="00A3026E" w14:paraId="56664A04" w14:textId="77777777" w:rsidTr="00EA0DA7">
        <w:tc>
          <w:tcPr>
            <w:tcW w:w="5636" w:type="dxa"/>
          </w:tcPr>
          <w:p w14:paraId="4B83C41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1907AC3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71F96FB" w14:textId="77777777" w:rsidTr="00EA0DA7">
        <w:tc>
          <w:tcPr>
            <w:tcW w:w="5636" w:type="dxa"/>
          </w:tcPr>
          <w:p w14:paraId="2D32505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7E41387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37B2981" w14:textId="77777777" w:rsidTr="00EA0DA7">
        <w:tc>
          <w:tcPr>
            <w:tcW w:w="5636" w:type="dxa"/>
          </w:tcPr>
          <w:p w14:paraId="01EFD0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682877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870/5000</w:t>
            </w:r>
          </w:p>
        </w:tc>
      </w:tr>
      <w:tr w:rsidR="00983732" w:rsidRPr="00A3026E" w14:paraId="4DA39125" w14:textId="77777777" w:rsidTr="00EA0DA7">
        <w:tc>
          <w:tcPr>
            <w:tcW w:w="5636" w:type="dxa"/>
          </w:tcPr>
          <w:p w14:paraId="56F4299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 полностью залитыми баками</w:t>
            </w:r>
          </w:p>
        </w:tc>
        <w:tc>
          <w:tcPr>
            <w:tcW w:w="4822" w:type="dxa"/>
          </w:tcPr>
          <w:p w14:paraId="6FEC0C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BF45E7A" w14:textId="77777777" w:rsidTr="00EA0DA7">
        <w:tc>
          <w:tcPr>
            <w:tcW w:w="5636" w:type="dxa"/>
          </w:tcPr>
          <w:p w14:paraId="170423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22" w:type="dxa"/>
          </w:tcPr>
          <w:p w14:paraId="14CD885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9915854" w14:textId="77777777" w:rsidTr="00EA0DA7">
        <w:tc>
          <w:tcPr>
            <w:tcW w:w="5636" w:type="dxa"/>
          </w:tcPr>
          <w:p w14:paraId="58D9453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224203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CCBAD9D" w14:textId="77777777" w:rsidTr="00EA0DA7">
        <w:tc>
          <w:tcPr>
            <w:tcW w:w="5636" w:type="dxa"/>
          </w:tcPr>
          <w:p w14:paraId="37F6747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04DFE7C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AADBC17" w14:textId="77777777" w:rsidTr="00EA0DA7">
        <w:tc>
          <w:tcPr>
            <w:tcW w:w="5636" w:type="dxa"/>
          </w:tcPr>
          <w:p w14:paraId="4CD01E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672467C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F7E78D9" w14:textId="77777777" w:rsidTr="00EA0DA7">
        <w:tc>
          <w:tcPr>
            <w:tcW w:w="5636" w:type="dxa"/>
          </w:tcPr>
          <w:p w14:paraId="7615C22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3BC63F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БК</w:t>
            </w:r>
          </w:p>
        </w:tc>
      </w:tr>
      <w:tr w:rsidR="00983732" w:rsidRPr="00A3026E" w14:paraId="18BA168D" w14:textId="77777777" w:rsidTr="00EA0DA7">
        <w:tc>
          <w:tcPr>
            <w:tcW w:w="5636" w:type="dxa"/>
          </w:tcPr>
          <w:p w14:paraId="71EEFFE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78DB86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БС</w:t>
            </w:r>
          </w:p>
        </w:tc>
      </w:tr>
      <w:tr w:rsidR="00983732" w:rsidRPr="00A3026E" w14:paraId="645981D3" w14:textId="77777777" w:rsidTr="00EA0DA7">
        <w:tc>
          <w:tcPr>
            <w:tcW w:w="5636" w:type="dxa"/>
          </w:tcPr>
          <w:p w14:paraId="35FFD5D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32BBA94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435E72CA" w14:textId="77777777" w:rsidTr="00EA0DA7">
        <w:tc>
          <w:tcPr>
            <w:tcW w:w="5636" w:type="dxa"/>
            <w:tcBorders>
              <w:bottom w:val="single" w:sz="12" w:space="0" w:color="auto"/>
            </w:tcBorders>
          </w:tcPr>
          <w:p w14:paraId="58D6599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3238AD5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196692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F0411D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 М-105П серийный № 312126 с закр. совк. водорад.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55453983" w14:textId="77777777" w:rsidTr="00EA0DA7">
        <w:tc>
          <w:tcPr>
            <w:tcW w:w="5636" w:type="dxa"/>
            <w:tcBorders>
              <w:top w:val="single" w:sz="12" w:space="0" w:color="auto"/>
            </w:tcBorders>
          </w:tcPr>
          <w:p w14:paraId="2A2E02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42230A0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008B14DC" w14:textId="77777777" w:rsidTr="00EA0DA7">
        <w:tc>
          <w:tcPr>
            <w:tcW w:w="5636" w:type="dxa"/>
          </w:tcPr>
          <w:p w14:paraId="5BBC378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5EABD15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3340</w:t>
            </w:r>
          </w:p>
        </w:tc>
      </w:tr>
      <w:tr w:rsidR="00983732" w:rsidRPr="00A3026E" w14:paraId="34DC727E" w14:textId="77777777" w:rsidTr="00EA0DA7">
        <w:tc>
          <w:tcPr>
            <w:tcW w:w="5636" w:type="dxa"/>
          </w:tcPr>
          <w:p w14:paraId="72ABE10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46E4068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6E18FA0" w14:textId="77777777" w:rsidTr="00EA0DA7">
        <w:tc>
          <w:tcPr>
            <w:tcW w:w="5636" w:type="dxa"/>
          </w:tcPr>
          <w:p w14:paraId="08211D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797EF74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76FA22C" w14:textId="77777777" w:rsidTr="00EA0DA7">
        <w:tc>
          <w:tcPr>
            <w:tcW w:w="5636" w:type="dxa"/>
          </w:tcPr>
          <w:p w14:paraId="664FBA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1BADD92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578/5000</w:t>
            </w:r>
          </w:p>
        </w:tc>
      </w:tr>
      <w:tr w:rsidR="00983732" w:rsidRPr="00A3026E" w14:paraId="1B1AA365" w14:textId="77777777" w:rsidTr="00EA0DA7">
        <w:tc>
          <w:tcPr>
            <w:tcW w:w="5636" w:type="dxa"/>
          </w:tcPr>
          <w:p w14:paraId="10AD745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6955C95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DFF7FBB" w14:textId="77777777" w:rsidTr="00EA0DA7">
        <w:tc>
          <w:tcPr>
            <w:tcW w:w="5636" w:type="dxa"/>
          </w:tcPr>
          <w:p w14:paraId="67FB0C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25183D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143</w:t>
            </w:r>
          </w:p>
        </w:tc>
      </w:tr>
      <w:tr w:rsidR="00983732" w:rsidRPr="00A3026E" w14:paraId="08AE1CC1" w14:textId="77777777" w:rsidTr="00EA0DA7">
        <w:tc>
          <w:tcPr>
            <w:tcW w:w="5636" w:type="dxa"/>
          </w:tcPr>
          <w:p w14:paraId="3DD3F3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072DF21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26,5/4000</w:t>
            </w:r>
          </w:p>
        </w:tc>
      </w:tr>
      <w:tr w:rsidR="00983732" w:rsidRPr="00A3026E" w14:paraId="7B5C5A7C" w14:textId="77777777" w:rsidTr="00EA0DA7">
        <w:tc>
          <w:tcPr>
            <w:tcW w:w="5636" w:type="dxa"/>
          </w:tcPr>
          <w:p w14:paraId="1A91BFE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647BC5B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7,5/5000</w:t>
            </w:r>
          </w:p>
        </w:tc>
      </w:tr>
      <w:tr w:rsidR="00983732" w:rsidRPr="00A3026E" w14:paraId="21298E65" w14:textId="77777777" w:rsidTr="00EA0DA7">
        <w:tc>
          <w:tcPr>
            <w:tcW w:w="5636" w:type="dxa"/>
          </w:tcPr>
          <w:p w14:paraId="21084D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56A2086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9650</w:t>
            </w:r>
          </w:p>
        </w:tc>
      </w:tr>
      <w:tr w:rsidR="00983732" w:rsidRPr="00A3026E" w14:paraId="5F662DED" w14:textId="77777777" w:rsidTr="00EA0DA7">
        <w:tc>
          <w:tcPr>
            <w:tcW w:w="5636" w:type="dxa"/>
          </w:tcPr>
          <w:p w14:paraId="524881E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42AC19C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DE977C2" w14:textId="77777777" w:rsidTr="00EA0DA7">
        <w:tc>
          <w:tcPr>
            <w:tcW w:w="5636" w:type="dxa"/>
          </w:tcPr>
          <w:p w14:paraId="6DFCCB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160DE3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830/5000</w:t>
            </w:r>
          </w:p>
        </w:tc>
      </w:tr>
      <w:tr w:rsidR="00983732" w:rsidRPr="00A3026E" w14:paraId="3556B51E" w14:textId="77777777" w:rsidTr="00EA0DA7">
        <w:tc>
          <w:tcPr>
            <w:tcW w:w="5636" w:type="dxa"/>
          </w:tcPr>
          <w:p w14:paraId="70A415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61CA9F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67CA4EE" w14:textId="77777777" w:rsidTr="00EA0DA7">
        <w:tc>
          <w:tcPr>
            <w:tcW w:w="5636" w:type="dxa"/>
          </w:tcPr>
          <w:p w14:paraId="5A6F06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22" w:type="dxa"/>
          </w:tcPr>
          <w:p w14:paraId="7063FA0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B8375A6" w14:textId="77777777" w:rsidTr="00EA0DA7">
        <w:tc>
          <w:tcPr>
            <w:tcW w:w="5636" w:type="dxa"/>
          </w:tcPr>
          <w:p w14:paraId="36D020F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698E84A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427/17,6</w:t>
            </w:r>
          </w:p>
        </w:tc>
      </w:tr>
      <w:tr w:rsidR="00983732" w:rsidRPr="00A3026E" w14:paraId="4D875170" w14:textId="77777777" w:rsidTr="00EA0DA7">
        <w:tc>
          <w:tcPr>
            <w:tcW w:w="5636" w:type="dxa"/>
          </w:tcPr>
          <w:p w14:paraId="1D4534A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0300B7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460/22</w:t>
            </w:r>
          </w:p>
        </w:tc>
      </w:tr>
      <w:tr w:rsidR="00983732" w:rsidRPr="00A3026E" w14:paraId="4EBA9DB2" w14:textId="77777777" w:rsidTr="00EA0DA7">
        <w:tc>
          <w:tcPr>
            <w:tcW w:w="5636" w:type="dxa"/>
          </w:tcPr>
          <w:p w14:paraId="5B4C09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0F1C60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6A95C90" w14:textId="77777777" w:rsidTr="00EA0DA7">
        <w:tc>
          <w:tcPr>
            <w:tcW w:w="5636" w:type="dxa"/>
          </w:tcPr>
          <w:p w14:paraId="68408DD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0F8EDC6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БК</w:t>
            </w:r>
          </w:p>
        </w:tc>
      </w:tr>
      <w:tr w:rsidR="00983732" w:rsidRPr="00A3026E" w14:paraId="5C6D8B3B" w14:textId="77777777" w:rsidTr="00EA0DA7">
        <w:tc>
          <w:tcPr>
            <w:tcW w:w="5636" w:type="dxa"/>
          </w:tcPr>
          <w:p w14:paraId="5A50ECA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D93DC0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БС</w:t>
            </w:r>
          </w:p>
        </w:tc>
      </w:tr>
      <w:tr w:rsidR="00983732" w:rsidRPr="00A3026E" w14:paraId="4C659FAB" w14:textId="77777777" w:rsidTr="00EA0DA7">
        <w:tc>
          <w:tcPr>
            <w:tcW w:w="5636" w:type="dxa"/>
          </w:tcPr>
          <w:p w14:paraId="71832C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504A45D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32AA1728" w14:textId="77777777" w:rsidTr="00EA0DA7">
        <w:tc>
          <w:tcPr>
            <w:tcW w:w="5636" w:type="dxa"/>
            <w:tcBorders>
              <w:bottom w:val="single" w:sz="12" w:space="0" w:color="auto"/>
            </w:tcBorders>
          </w:tcPr>
          <w:p w14:paraId="71AB522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547BF67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424725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E7C8CD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 М-105П серийный № 3121422 с закр. совк. водорад. с РО и РС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288683BB" w14:textId="77777777" w:rsidTr="00EA0DA7">
        <w:tc>
          <w:tcPr>
            <w:tcW w:w="5636" w:type="dxa"/>
            <w:tcBorders>
              <w:top w:val="single" w:sz="12" w:space="0" w:color="auto"/>
            </w:tcBorders>
          </w:tcPr>
          <w:p w14:paraId="4B3453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31731F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00ED1846" w14:textId="77777777" w:rsidTr="00EA0DA7">
        <w:tc>
          <w:tcPr>
            <w:tcW w:w="5636" w:type="dxa"/>
          </w:tcPr>
          <w:p w14:paraId="4B78741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6709E04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3400</w:t>
            </w:r>
          </w:p>
        </w:tc>
      </w:tr>
      <w:tr w:rsidR="00983732" w:rsidRPr="00A3026E" w14:paraId="054DF52F" w14:textId="77777777" w:rsidTr="00EA0DA7">
        <w:tc>
          <w:tcPr>
            <w:tcW w:w="5636" w:type="dxa"/>
          </w:tcPr>
          <w:p w14:paraId="22C8F62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1298A71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B0C4D5A" w14:textId="77777777" w:rsidTr="00EA0DA7">
        <w:tc>
          <w:tcPr>
            <w:tcW w:w="5636" w:type="dxa"/>
          </w:tcPr>
          <w:p w14:paraId="1AC3B82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617D32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421</w:t>
            </w:r>
          </w:p>
        </w:tc>
      </w:tr>
      <w:tr w:rsidR="00983732" w:rsidRPr="00A3026E" w14:paraId="3FE04D33" w14:textId="77777777" w:rsidTr="00EA0DA7">
        <w:tc>
          <w:tcPr>
            <w:tcW w:w="5636" w:type="dxa"/>
          </w:tcPr>
          <w:p w14:paraId="4200456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1F73FDE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503/4650</w:t>
            </w:r>
          </w:p>
        </w:tc>
      </w:tr>
      <w:tr w:rsidR="00983732" w:rsidRPr="00A3026E" w14:paraId="5C3EEA77" w14:textId="77777777" w:rsidTr="00EA0DA7">
        <w:tc>
          <w:tcPr>
            <w:tcW w:w="5636" w:type="dxa"/>
          </w:tcPr>
          <w:p w14:paraId="1AFE85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3163C9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7FC32F5" w14:textId="77777777" w:rsidTr="00EA0DA7">
        <w:tc>
          <w:tcPr>
            <w:tcW w:w="5636" w:type="dxa"/>
          </w:tcPr>
          <w:p w14:paraId="74B5C7C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7CBDCA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w:t>
            </w:r>
          </w:p>
        </w:tc>
      </w:tr>
      <w:tr w:rsidR="00983732" w:rsidRPr="00A3026E" w14:paraId="66720569" w14:textId="77777777" w:rsidTr="00EA0DA7">
        <w:tc>
          <w:tcPr>
            <w:tcW w:w="5636" w:type="dxa"/>
          </w:tcPr>
          <w:p w14:paraId="413B8E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24D04EF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867508B" w14:textId="77777777" w:rsidTr="00EA0DA7">
        <w:tc>
          <w:tcPr>
            <w:tcW w:w="5636" w:type="dxa"/>
          </w:tcPr>
          <w:p w14:paraId="3F4689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101107D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8,6/5000</w:t>
            </w:r>
          </w:p>
        </w:tc>
      </w:tr>
      <w:tr w:rsidR="00983732" w:rsidRPr="00A3026E" w14:paraId="6FCF323A" w14:textId="77777777" w:rsidTr="00EA0DA7">
        <w:tc>
          <w:tcPr>
            <w:tcW w:w="5636" w:type="dxa"/>
          </w:tcPr>
          <w:p w14:paraId="2E89EB9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7C1FECD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392B936" w14:textId="77777777" w:rsidTr="00EA0DA7">
        <w:tc>
          <w:tcPr>
            <w:tcW w:w="5636" w:type="dxa"/>
          </w:tcPr>
          <w:p w14:paraId="7AC6C7C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36EB7FC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22190B4" w14:textId="77777777" w:rsidTr="00EA0DA7">
        <w:tc>
          <w:tcPr>
            <w:tcW w:w="5636" w:type="dxa"/>
          </w:tcPr>
          <w:p w14:paraId="2ED809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30DE7B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B3EC517" w14:textId="77777777" w:rsidTr="00EA0DA7">
        <w:tc>
          <w:tcPr>
            <w:tcW w:w="5636" w:type="dxa"/>
          </w:tcPr>
          <w:p w14:paraId="3CB9443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2A7A27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77DE575" w14:textId="77777777" w:rsidTr="00EA0DA7">
        <w:tc>
          <w:tcPr>
            <w:tcW w:w="5636" w:type="dxa"/>
          </w:tcPr>
          <w:p w14:paraId="221BDCF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822" w:type="dxa"/>
          </w:tcPr>
          <w:p w14:paraId="21F8F9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861AB94" w14:textId="77777777" w:rsidTr="00EA0DA7">
        <w:tc>
          <w:tcPr>
            <w:tcW w:w="5636" w:type="dxa"/>
          </w:tcPr>
          <w:p w14:paraId="63D8ACF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0A707C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500/19,0</w:t>
            </w:r>
          </w:p>
        </w:tc>
      </w:tr>
      <w:tr w:rsidR="00983732" w:rsidRPr="00A3026E" w14:paraId="0F7E5F8E" w14:textId="77777777" w:rsidTr="00EA0DA7">
        <w:tc>
          <w:tcPr>
            <w:tcW w:w="5636" w:type="dxa"/>
          </w:tcPr>
          <w:p w14:paraId="760001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794CB9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4D767B8" w14:textId="77777777" w:rsidTr="00EA0DA7">
        <w:tc>
          <w:tcPr>
            <w:tcW w:w="5636" w:type="dxa"/>
          </w:tcPr>
          <w:p w14:paraId="7E24809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5966B9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E2D4CA3" w14:textId="77777777" w:rsidTr="00EA0DA7">
        <w:tc>
          <w:tcPr>
            <w:tcW w:w="5636" w:type="dxa"/>
          </w:tcPr>
          <w:p w14:paraId="66B2D8C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7634444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ШВАК</w:t>
            </w:r>
          </w:p>
        </w:tc>
      </w:tr>
      <w:tr w:rsidR="00983732" w:rsidRPr="00A3026E" w14:paraId="0D42119E" w14:textId="77777777" w:rsidTr="00EA0DA7">
        <w:tc>
          <w:tcPr>
            <w:tcW w:w="5636" w:type="dxa"/>
          </w:tcPr>
          <w:p w14:paraId="3AE1DD0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5EA6C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w:t>
            </w:r>
          </w:p>
        </w:tc>
      </w:tr>
      <w:tr w:rsidR="00983732" w:rsidRPr="00A3026E" w14:paraId="04C88874" w14:textId="77777777" w:rsidTr="00EA0DA7">
        <w:tc>
          <w:tcPr>
            <w:tcW w:w="5636" w:type="dxa"/>
          </w:tcPr>
          <w:p w14:paraId="3AAA8A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3B96019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12849068" w14:textId="77777777" w:rsidTr="00EA0DA7">
        <w:tc>
          <w:tcPr>
            <w:tcW w:w="5636" w:type="dxa"/>
            <w:tcBorders>
              <w:bottom w:val="single" w:sz="12" w:space="0" w:color="auto"/>
            </w:tcBorders>
          </w:tcPr>
          <w:p w14:paraId="1C27884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33A315B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РС 82 мм</w:t>
            </w:r>
          </w:p>
        </w:tc>
      </w:tr>
    </w:tbl>
    <w:p w14:paraId="02A49C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013E51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Бомбардировщики</w:t>
      </w:r>
    </w:p>
    <w:p w14:paraId="164864F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 с 2М-103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7C79B822" w14:textId="77777777" w:rsidTr="00EA0DA7">
        <w:tc>
          <w:tcPr>
            <w:tcW w:w="5636" w:type="dxa"/>
            <w:tcBorders>
              <w:top w:val="single" w:sz="12" w:space="0" w:color="auto"/>
            </w:tcBorders>
          </w:tcPr>
          <w:p w14:paraId="7257599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1C1569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960/4000</w:t>
            </w:r>
          </w:p>
        </w:tc>
      </w:tr>
      <w:tr w:rsidR="00983732" w:rsidRPr="00A3026E" w14:paraId="4F02DAD1" w14:textId="77777777" w:rsidTr="00EA0DA7">
        <w:tc>
          <w:tcPr>
            <w:tcW w:w="5636" w:type="dxa"/>
          </w:tcPr>
          <w:p w14:paraId="6499EC2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0004B0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6380/7880</w:t>
            </w:r>
          </w:p>
        </w:tc>
      </w:tr>
      <w:tr w:rsidR="00983732" w:rsidRPr="00A3026E" w14:paraId="6D8E4D0F" w14:textId="77777777" w:rsidTr="00EA0DA7">
        <w:tc>
          <w:tcPr>
            <w:tcW w:w="5636" w:type="dxa"/>
          </w:tcPr>
          <w:p w14:paraId="3B9162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53793FB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6066ACB" w14:textId="77777777" w:rsidTr="00EA0DA7">
        <w:tc>
          <w:tcPr>
            <w:tcW w:w="5636" w:type="dxa"/>
          </w:tcPr>
          <w:p w14:paraId="072F22C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3655D62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w:t>
            </w:r>
          </w:p>
        </w:tc>
      </w:tr>
      <w:tr w:rsidR="00983732" w:rsidRPr="00A3026E" w14:paraId="0C2C924D" w14:textId="77777777" w:rsidTr="00EA0DA7">
        <w:tc>
          <w:tcPr>
            <w:tcW w:w="5636" w:type="dxa"/>
          </w:tcPr>
          <w:p w14:paraId="0F3BBD8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01E3687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450/4100</w:t>
            </w:r>
          </w:p>
        </w:tc>
      </w:tr>
      <w:tr w:rsidR="00983732" w:rsidRPr="00A3026E" w14:paraId="3A24F9BB" w14:textId="77777777" w:rsidTr="00EA0DA7">
        <w:tc>
          <w:tcPr>
            <w:tcW w:w="5636" w:type="dxa"/>
          </w:tcPr>
          <w:p w14:paraId="24F5565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72FEF5B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440/4100</w:t>
            </w:r>
          </w:p>
        </w:tc>
      </w:tr>
      <w:tr w:rsidR="00983732" w:rsidRPr="00A3026E" w14:paraId="592A7B2E" w14:textId="77777777" w:rsidTr="00EA0DA7">
        <w:tc>
          <w:tcPr>
            <w:tcW w:w="5636" w:type="dxa"/>
          </w:tcPr>
          <w:p w14:paraId="378D5C6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451F346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52C780C4" w14:textId="77777777" w:rsidTr="00EA0DA7">
        <w:tc>
          <w:tcPr>
            <w:tcW w:w="5636" w:type="dxa"/>
          </w:tcPr>
          <w:p w14:paraId="4DC4882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07A7FDF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24/3000</w:t>
            </w:r>
          </w:p>
        </w:tc>
      </w:tr>
      <w:tr w:rsidR="00983732" w:rsidRPr="00A3026E" w14:paraId="454DB454" w14:textId="77777777" w:rsidTr="00EA0DA7">
        <w:tc>
          <w:tcPr>
            <w:tcW w:w="5636" w:type="dxa"/>
          </w:tcPr>
          <w:p w14:paraId="4AA3BF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06F021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9,5/5000</w:t>
            </w:r>
          </w:p>
        </w:tc>
      </w:tr>
      <w:tr w:rsidR="00983732" w:rsidRPr="00A3026E" w14:paraId="04DA4C55" w14:textId="77777777" w:rsidTr="00EA0DA7">
        <w:tc>
          <w:tcPr>
            <w:tcW w:w="5636" w:type="dxa"/>
          </w:tcPr>
          <w:p w14:paraId="510BC1D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Практический потолок </w:t>
            </w:r>
          </w:p>
        </w:tc>
        <w:tc>
          <w:tcPr>
            <w:tcW w:w="4822" w:type="dxa"/>
          </w:tcPr>
          <w:p w14:paraId="4B1878A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2B71D35D" w14:textId="77777777" w:rsidTr="00EA0DA7">
        <w:tc>
          <w:tcPr>
            <w:tcW w:w="5636" w:type="dxa"/>
          </w:tcPr>
          <w:p w14:paraId="45AF17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691D7DD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8A96198" w14:textId="77777777" w:rsidTr="00EA0DA7">
        <w:tc>
          <w:tcPr>
            <w:tcW w:w="5636" w:type="dxa"/>
          </w:tcPr>
          <w:p w14:paraId="48C64EF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7AD0D5D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600/4100</w:t>
            </w:r>
          </w:p>
        </w:tc>
      </w:tr>
      <w:tr w:rsidR="00983732" w:rsidRPr="00A3026E" w14:paraId="292C6024" w14:textId="77777777" w:rsidTr="00EA0DA7">
        <w:tc>
          <w:tcPr>
            <w:tcW w:w="5636" w:type="dxa"/>
          </w:tcPr>
          <w:p w14:paraId="5511C3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258CE4A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1350/4100</w:t>
            </w:r>
          </w:p>
        </w:tc>
      </w:tr>
      <w:tr w:rsidR="00983732" w:rsidRPr="00A3026E" w14:paraId="6E8F8DD2" w14:textId="77777777" w:rsidTr="00EA0DA7">
        <w:tc>
          <w:tcPr>
            <w:tcW w:w="5636" w:type="dxa"/>
          </w:tcPr>
          <w:p w14:paraId="2671028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587A800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300/14,3</w:t>
            </w:r>
          </w:p>
        </w:tc>
      </w:tr>
      <w:tr w:rsidR="00983732" w:rsidRPr="00A3026E" w14:paraId="0621FAE6" w14:textId="77777777" w:rsidTr="00EA0DA7">
        <w:tc>
          <w:tcPr>
            <w:tcW w:w="5636" w:type="dxa"/>
          </w:tcPr>
          <w:p w14:paraId="1440B15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10E040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397/29,3</w:t>
            </w:r>
          </w:p>
        </w:tc>
      </w:tr>
      <w:tr w:rsidR="00983732" w:rsidRPr="00A3026E" w14:paraId="37112036" w14:textId="77777777" w:rsidTr="00EA0DA7">
        <w:tc>
          <w:tcPr>
            <w:tcW w:w="5636" w:type="dxa"/>
          </w:tcPr>
          <w:p w14:paraId="60A2EC8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65598A0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1A095FE" w14:textId="77777777" w:rsidTr="00EA0DA7">
        <w:tc>
          <w:tcPr>
            <w:tcW w:w="5636" w:type="dxa"/>
          </w:tcPr>
          <w:p w14:paraId="270D802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4BFA05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39FD2AEF" w14:textId="77777777" w:rsidTr="00EA0DA7">
        <w:tc>
          <w:tcPr>
            <w:tcW w:w="5636" w:type="dxa"/>
          </w:tcPr>
          <w:p w14:paraId="18A71C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Pr>
          <w:p w14:paraId="5DEBCBF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600/1500</w:t>
            </w:r>
          </w:p>
        </w:tc>
      </w:tr>
      <w:tr w:rsidR="00983732" w:rsidRPr="00A3026E" w14:paraId="31279BB6" w14:textId="77777777" w:rsidTr="00EA0DA7">
        <w:tc>
          <w:tcPr>
            <w:tcW w:w="5636" w:type="dxa"/>
            <w:tcBorders>
              <w:bottom w:val="single" w:sz="12" w:space="0" w:color="auto"/>
            </w:tcBorders>
          </w:tcPr>
          <w:p w14:paraId="4064E8F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w:t>
            </w:r>
          </w:p>
        </w:tc>
        <w:tc>
          <w:tcPr>
            <w:tcW w:w="4822" w:type="dxa"/>
            <w:tcBorders>
              <w:bottom w:val="single" w:sz="12" w:space="0" w:color="auto"/>
            </w:tcBorders>
          </w:tcPr>
          <w:p w14:paraId="7A4B2D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 год</w:t>
            </w:r>
          </w:p>
        </w:tc>
      </w:tr>
    </w:tbl>
    <w:p w14:paraId="578D50F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6368B26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СБ-РК с 2 М-105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783FF41E" w14:textId="77777777" w:rsidTr="00EA0DA7">
        <w:tc>
          <w:tcPr>
            <w:tcW w:w="5636" w:type="dxa"/>
            <w:tcBorders>
              <w:top w:val="single" w:sz="12" w:space="0" w:color="auto"/>
            </w:tcBorders>
          </w:tcPr>
          <w:p w14:paraId="429117F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53517D4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1CCF7102" w14:textId="77777777" w:rsidTr="00EA0DA7">
        <w:tc>
          <w:tcPr>
            <w:tcW w:w="5636" w:type="dxa"/>
          </w:tcPr>
          <w:p w14:paraId="48850F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33A6B08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6300/7800</w:t>
            </w:r>
          </w:p>
        </w:tc>
      </w:tr>
      <w:tr w:rsidR="00983732" w:rsidRPr="00A3026E" w14:paraId="5776F89B" w14:textId="77777777" w:rsidTr="00EA0DA7">
        <w:tc>
          <w:tcPr>
            <w:tcW w:w="5636" w:type="dxa"/>
          </w:tcPr>
          <w:p w14:paraId="5D2F09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707F1C8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5A9AB18" w14:textId="77777777" w:rsidTr="00EA0DA7">
        <w:tc>
          <w:tcPr>
            <w:tcW w:w="5636" w:type="dxa"/>
          </w:tcPr>
          <w:p w14:paraId="0A2C32B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5CA374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w:t>
            </w:r>
          </w:p>
        </w:tc>
      </w:tr>
      <w:tr w:rsidR="00983732" w:rsidRPr="00A3026E" w14:paraId="43A7BBF4" w14:textId="77777777" w:rsidTr="00EA0DA7">
        <w:tc>
          <w:tcPr>
            <w:tcW w:w="5636" w:type="dxa"/>
          </w:tcPr>
          <w:p w14:paraId="59155A2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2331AC3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480/4700</w:t>
            </w:r>
          </w:p>
        </w:tc>
      </w:tr>
      <w:tr w:rsidR="00983732" w:rsidRPr="00A3026E" w14:paraId="6C379687" w14:textId="77777777" w:rsidTr="00EA0DA7">
        <w:tc>
          <w:tcPr>
            <w:tcW w:w="5636" w:type="dxa"/>
          </w:tcPr>
          <w:p w14:paraId="14E2458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4792F7C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475/4700</w:t>
            </w:r>
          </w:p>
        </w:tc>
      </w:tr>
      <w:tr w:rsidR="00983732" w:rsidRPr="00A3026E" w14:paraId="3EFD5A81" w14:textId="77777777" w:rsidTr="00EA0DA7">
        <w:tc>
          <w:tcPr>
            <w:tcW w:w="5636" w:type="dxa"/>
          </w:tcPr>
          <w:p w14:paraId="2B96BD1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50E0111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4962BB4C" w14:textId="77777777" w:rsidTr="00EA0DA7">
        <w:tc>
          <w:tcPr>
            <w:tcW w:w="5636" w:type="dxa"/>
          </w:tcPr>
          <w:p w14:paraId="1885DF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62ED6C5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35/3000</w:t>
            </w:r>
          </w:p>
        </w:tc>
      </w:tr>
      <w:tr w:rsidR="00983732" w:rsidRPr="00A3026E" w14:paraId="7CAA8EA7" w14:textId="77777777" w:rsidTr="00EA0DA7">
        <w:tc>
          <w:tcPr>
            <w:tcW w:w="5636" w:type="dxa"/>
          </w:tcPr>
          <w:p w14:paraId="6BB81D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1140C3F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7,25/5000</w:t>
            </w:r>
          </w:p>
        </w:tc>
      </w:tr>
      <w:tr w:rsidR="00983732" w:rsidRPr="00A3026E" w14:paraId="4A144BDA" w14:textId="77777777" w:rsidTr="00EA0DA7">
        <w:tc>
          <w:tcPr>
            <w:tcW w:w="5636" w:type="dxa"/>
          </w:tcPr>
          <w:p w14:paraId="362F982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5AECD0D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10100</w:t>
            </w:r>
          </w:p>
        </w:tc>
      </w:tr>
      <w:tr w:rsidR="00983732" w:rsidRPr="00A3026E" w14:paraId="6C0B7C59" w14:textId="77777777" w:rsidTr="00EA0DA7">
        <w:tc>
          <w:tcPr>
            <w:tcW w:w="5636" w:type="dxa"/>
          </w:tcPr>
          <w:p w14:paraId="07AEC72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571C19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A08C726" w14:textId="77777777" w:rsidTr="00EA0DA7">
        <w:tc>
          <w:tcPr>
            <w:tcW w:w="5636" w:type="dxa"/>
          </w:tcPr>
          <w:p w14:paraId="0FAE404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2AE54EB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560/4700</w:t>
            </w:r>
          </w:p>
        </w:tc>
      </w:tr>
      <w:tr w:rsidR="00983732" w:rsidRPr="00A3026E" w14:paraId="02FC0856" w14:textId="77777777" w:rsidTr="00EA0DA7">
        <w:tc>
          <w:tcPr>
            <w:tcW w:w="5636" w:type="dxa"/>
          </w:tcPr>
          <w:p w14:paraId="7DCCD76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367008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960/4700</w:t>
            </w:r>
          </w:p>
        </w:tc>
      </w:tr>
      <w:tr w:rsidR="00983732" w:rsidRPr="00A3026E" w14:paraId="5EC48BD3" w14:textId="77777777" w:rsidTr="00EA0DA7">
        <w:tc>
          <w:tcPr>
            <w:tcW w:w="5636" w:type="dxa"/>
          </w:tcPr>
          <w:p w14:paraId="19D876D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2054581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500/19,0</w:t>
            </w:r>
          </w:p>
        </w:tc>
      </w:tr>
      <w:tr w:rsidR="00983732" w:rsidRPr="00A3026E" w14:paraId="637B226B" w14:textId="77777777" w:rsidTr="00EA0DA7">
        <w:tc>
          <w:tcPr>
            <w:tcW w:w="5636" w:type="dxa"/>
          </w:tcPr>
          <w:p w14:paraId="353508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4E88719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665/30</w:t>
            </w:r>
          </w:p>
        </w:tc>
      </w:tr>
      <w:tr w:rsidR="00983732" w:rsidRPr="00A3026E" w14:paraId="4BDDE4CA" w14:textId="77777777" w:rsidTr="00EA0DA7">
        <w:tc>
          <w:tcPr>
            <w:tcW w:w="5636" w:type="dxa"/>
          </w:tcPr>
          <w:p w14:paraId="05E45E4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2501A9D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AE6E796" w14:textId="77777777" w:rsidTr="00EA0DA7">
        <w:tc>
          <w:tcPr>
            <w:tcW w:w="5636" w:type="dxa"/>
          </w:tcPr>
          <w:p w14:paraId="1A9EF5F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5F4FFE9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7DA6A84F" w14:textId="77777777" w:rsidTr="00EA0DA7">
        <w:tc>
          <w:tcPr>
            <w:tcW w:w="5636" w:type="dxa"/>
          </w:tcPr>
          <w:p w14:paraId="274F1B3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Pr>
          <w:p w14:paraId="20D3EFE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600/1500</w:t>
            </w:r>
          </w:p>
        </w:tc>
      </w:tr>
      <w:tr w:rsidR="00983732" w:rsidRPr="00A3026E" w14:paraId="447DC99C" w14:textId="77777777" w:rsidTr="00EA0DA7">
        <w:tc>
          <w:tcPr>
            <w:tcW w:w="5636" w:type="dxa"/>
            <w:tcBorders>
              <w:bottom w:val="single" w:sz="12" w:space="0" w:color="auto"/>
            </w:tcBorders>
          </w:tcPr>
          <w:p w14:paraId="7D93DE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w:t>
            </w:r>
          </w:p>
        </w:tc>
        <w:tc>
          <w:tcPr>
            <w:tcW w:w="4822" w:type="dxa"/>
            <w:tcBorders>
              <w:bottom w:val="single" w:sz="12" w:space="0" w:color="auto"/>
            </w:tcBorders>
          </w:tcPr>
          <w:p w14:paraId="2CCCB66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год</w:t>
            </w:r>
          </w:p>
        </w:tc>
      </w:tr>
    </w:tbl>
    <w:p w14:paraId="28AC30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70D70F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 с 2М-87А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4821"/>
      </w:tblGrid>
      <w:tr w:rsidR="00983732" w:rsidRPr="00A3026E" w14:paraId="029C21F5" w14:textId="77777777" w:rsidTr="00EA0DA7">
        <w:tc>
          <w:tcPr>
            <w:tcW w:w="5637" w:type="dxa"/>
            <w:tcBorders>
              <w:top w:val="single" w:sz="12" w:space="0" w:color="auto"/>
            </w:tcBorders>
          </w:tcPr>
          <w:p w14:paraId="0583A54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1" w:type="dxa"/>
            <w:tcBorders>
              <w:top w:val="single" w:sz="12" w:space="0" w:color="auto"/>
            </w:tcBorders>
          </w:tcPr>
          <w:p w14:paraId="266819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950/4700</w:t>
            </w:r>
          </w:p>
        </w:tc>
      </w:tr>
      <w:tr w:rsidR="00983732" w:rsidRPr="00A3026E" w14:paraId="511AD54E" w14:textId="77777777" w:rsidTr="00EA0DA7">
        <w:tc>
          <w:tcPr>
            <w:tcW w:w="5637" w:type="dxa"/>
          </w:tcPr>
          <w:p w14:paraId="3ACF78B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1" w:type="dxa"/>
          </w:tcPr>
          <w:p w14:paraId="4456CD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7500/9500</w:t>
            </w:r>
          </w:p>
        </w:tc>
      </w:tr>
      <w:tr w:rsidR="00983732" w:rsidRPr="00A3026E" w14:paraId="305B609C" w14:textId="77777777" w:rsidTr="00EA0DA7">
        <w:tc>
          <w:tcPr>
            <w:tcW w:w="5637" w:type="dxa"/>
          </w:tcPr>
          <w:p w14:paraId="0D75DF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1" w:type="dxa"/>
          </w:tcPr>
          <w:p w14:paraId="7E1CC2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42CEF97" w14:textId="77777777" w:rsidTr="00EA0DA7">
        <w:tc>
          <w:tcPr>
            <w:tcW w:w="5637" w:type="dxa"/>
          </w:tcPr>
          <w:p w14:paraId="3C95FD2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1" w:type="dxa"/>
          </w:tcPr>
          <w:p w14:paraId="611D17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345</w:t>
            </w:r>
          </w:p>
        </w:tc>
      </w:tr>
      <w:tr w:rsidR="00983732" w:rsidRPr="00A3026E" w14:paraId="1B3E40F6" w14:textId="77777777" w:rsidTr="00EA0DA7">
        <w:tc>
          <w:tcPr>
            <w:tcW w:w="5637" w:type="dxa"/>
          </w:tcPr>
          <w:p w14:paraId="3AF048A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1" w:type="dxa"/>
          </w:tcPr>
          <w:p w14:paraId="2F20E0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439/4900</w:t>
            </w:r>
          </w:p>
        </w:tc>
      </w:tr>
      <w:tr w:rsidR="00983732" w:rsidRPr="00A3026E" w14:paraId="751B180F" w14:textId="77777777" w:rsidTr="00EA0DA7">
        <w:tc>
          <w:tcPr>
            <w:tcW w:w="5637" w:type="dxa"/>
          </w:tcPr>
          <w:p w14:paraId="3E4ED27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1" w:type="dxa"/>
          </w:tcPr>
          <w:p w14:paraId="70EDFD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429/4900</w:t>
            </w:r>
          </w:p>
        </w:tc>
      </w:tr>
      <w:tr w:rsidR="00983732" w:rsidRPr="00A3026E" w14:paraId="5F94F6AD" w14:textId="77777777" w:rsidTr="00EA0DA7">
        <w:tc>
          <w:tcPr>
            <w:tcW w:w="5637" w:type="dxa"/>
          </w:tcPr>
          <w:p w14:paraId="2B76F45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1" w:type="dxa"/>
          </w:tcPr>
          <w:p w14:paraId="0D8919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47ED3618" w14:textId="77777777" w:rsidTr="00EA0DA7">
        <w:tc>
          <w:tcPr>
            <w:tcW w:w="5637" w:type="dxa"/>
          </w:tcPr>
          <w:p w14:paraId="70C82AD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1" w:type="dxa"/>
          </w:tcPr>
          <w:p w14:paraId="4A1FFB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1F89A59" w14:textId="77777777" w:rsidTr="00EA0DA7">
        <w:tc>
          <w:tcPr>
            <w:tcW w:w="5637" w:type="dxa"/>
          </w:tcPr>
          <w:p w14:paraId="724123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1" w:type="dxa"/>
          </w:tcPr>
          <w:p w14:paraId="48020EA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10,6/5000</w:t>
            </w:r>
          </w:p>
        </w:tc>
      </w:tr>
      <w:tr w:rsidR="00983732" w:rsidRPr="00A3026E" w14:paraId="1D1C42BD" w14:textId="77777777" w:rsidTr="00EA0DA7">
        <w:tc>
          <w:tcPr>
            <w:tcW w:w="5637" w:type="dxa"/>
          </w:tcPr>
          <w:p w14:paraId="094609F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1" w:type="dxa"/>
          </w:tcPr>
          <w:p w14:paraId="5EF94D6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01437CF6" w14:textId="77777777" w:rsidTr="00EA0DA7">
        <w:tc>
          <w:tcPr>
            <w:tcW w:w="5637" w:type="dxa"/>
          </w:tcPr>
          <w:p w14:paraId="603914F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1" w:type="dxa"/>
          </w:tcPr>
          <w:p w14:paraId="08E62C7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8117CE6" w14:textId="77777777" w:rsidTr="00EA0DA7">
        <w:tc>
          <w:tcPr>
            <w:tcW w:w="5637" w:type="dxa"/>
          </w:tcPr>
          <w:p w14:paraId="151DACA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1" w:type="dxa"/>
          </w:tcPr>
          <w:p w14:paraId="2E7560D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770/4900</w:t>
            </w:r>
          </w:p>
        </w:tc>
      </w:tr>
      <w:tr w:rsidR="00983732" w:rsidRPr="00A3026E" w14:paraId="0251754C" w14:textId="77777777" w:rsidTr="00EA0DA7">
        <w:tc>
          <w:tcPr>
            <w:tcW w:w="5637" w:type="dxa"/>
          </w:tcPr>
          <w:p w14:paraId="01F162C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1" w:type="dxa"/>
          </w:tcPr>
          <w:p w14:paraId="246644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2870/4900</w:t>
            </w:r>
          </w:p>
        </w:tc>
      </w:tr>
      <w:tr w:rsidR="00983732" w:rsidRPr="00A3026E" w14:paraId="045CC66F" w14:textId="77777777" w:rsidTr="00EA0DA7">
        <w:tc>
          <w:tcPr>
            <w:tcW w:w="5637" w:type="dxa"/>
          </w:tcPr>
          <w:p w14:paraId="0A0DA9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1" w:type="dxa"/>
          </w:tcPr>
          <w:p w14:paraId="4919F87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395/22,0</w:t>
            </w:r>
          </w:p>
        </w:tc>
      </w:tr>
      <w:tr w:rsidR="00983732" w:rsidRPr="00A3026E" w14:paraId="019D36BF" w14:textId="77777777" w:rsidTr="00EA0DA7">
        <w:tc>
          <w:tcPr>
            <w:tcW w:w="5637" w:type="dxa"/>
          </w:tcPr>
          <w:p w14:paraId="76354E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1" w:type="dxa"/>
          </w:tcPr>
          <w:p w14:paraId="76038F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460/30,0</w:t>
            </w:r>
          </w:p>
        </w:tc>
      </w:tr>
      <w:tr w:rsidR="00983732" w:rsidRPr="00A3026E" w14:paraId="0232CC46" w14:textId="77777777" w:rsidTr="00EA0DA7">
        <w:tc>
          <w:tcPr>
            <w:tcW w:w="5637" w:type="dxa"/>
          </w:tcPr>
          <w:p w14:paraId="0749F2A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1" w:type="dxa"/>
          </w:tcPr>
          <w:p w14:paraId="3AEF1CD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7E3E66D" w14:textId="77777777" w:rsidTr="00EA0DA7">
        <w:tc>
          <w:tcPr>
            <w:tcW w:w="5637" w:type="dxa"/>
          </w:tcPr>
          <w:p w14:paraId="71D358F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1" w:type="dxa"/>
          </w:tcPr>
          <w:p w14:paraId="5408FD2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ШКАС</w:t>
            </w:r>
          </w:p>
        </w:tc>
      </w:tr>
      <w:tr w:rsidR="00983732" w:rsidRPr="00A3026E" w14:paraId="14F8CA0D" w14:textId="77777777" w:rsidTr="00EA0DA7">
        <w:tc>
          <w:tcPr>
            <w:tcW w:w="5637" w:type="dxa"/>
          </w:tcPr>
          <w:p w14:paraId="7D0BE51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1" w:type="dxa"/>
          </w:tcPr>
          <w:p w14:paraId="4C5FDEF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1000/2500</w:t>
            </w:r>
          </w:p>
        </w:tc>
      </w:tr>
      <w:tr w:rsidR="00983732" w:rsidRPr="00A3026E" w14:paraId="11152768" w14:textId="77777777" w:rsidTr="00EA0DA7">
        <w:tc>
          <w:tcPr>
            <w:tcW w:w="5637" w:type="dxa"/>
            <w:tcBorders>
              <w:bottom w:val="single" w:sz="12" w:space="0" w:color="auto"/>
            </w:tcBorders>
          </w:tcPr>
          <w:p w14:paraId="276C09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 эталона</w:t>
            </w:r>
          </w:p>
        </w:tc>
        <w:tc>
          <w:tcPr>
            <w:tcW w:w="4821" w:type="dxa"/>
            <w:tcBorders>
              <w:bottom w:val="single" w:sz="12" w:space="0" w:color="auto"/>
            </w:tcBorders>
          </w:tcPr>
          <w:p w14:paraId="76C57B3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 год</w:t>
            </w:r>
          </w:p>
        </w:tc>
      </w:tr>
    </w:tbl>
    <w:p w14:paraId="7395714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726DED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 с М-88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4BC9F39A" w14:textId="77777777" w:rsidTr="00EA0DA7">
        <w:tc>
          <w:tcPr>
            <w:tcW w:w="5636" w:type="dxa"/>
            <w:tcBorders>
              <w:top w:val="single" w:sz="12" w:space="0" w:color="auto"/>
            </w:tcBorders>
          </w:tcPr>
          <w:p w14:paraId="393F033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416B488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1000/6000</w:t>
            </w:r>
          </w:p>
        </w:tc>
      </w:tr>
      <w:tr w:rsidR="00983732" w:rsidRPr="00A3026E" w14:paraId="7D6C95B5" w14:textId="77777777" w:rsidTr="00EA0DA7">
        <w:tc>
          <w:tcPr>
            <w:tcW w:w="5636" w:type="dxa"/>
          </w:tcPr>
          <w:p w14:paraId="1D933A4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342EAB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8000/10000</w:t>
            </w:r>
          </w:p>
        </w:tc>
      </w:tr>
      <w:tr w:rsidR="00983732" w:rsidRPr="00A3026E" w14:paraId="68316320" w14:textId="77777777" w:rsidTr="00EA0DA7">
        <w:tc>
          <w:tcPr>
            <w:tcW w:w="5636" w:type="dxa"/>
          </w:tcPr>
          <w:p w14:paraId="49B82A5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393CAF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627ED71" w14:textId="77777777" w:rsidTr="00EA0DA7">
        <w:tc>
          <w:tcPr>
            <w:tcW w:w="5636" w:type="dxa"/>
          </w:tcPr>
          <w:p w14:paraId="49B4B5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349228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359-345</w:t>
            </w:r>
          </w:p>
        </w:tc>
      </w:tr>
      <w:tr w:rsidR="00983732" w:rsidRPr="00A3026E" w14:paraId="0F5FEC7D" w14:textId="77777777" w:rsidTr="00EA0DA7">
        <w:tc>
          <w:tcPr>
            <w:tcW w:w="5636" w:type="dxa"/>
          </w:tcPr>
          <w:p w14:paraId="24CD04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682FDD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448-429/6800</w:t>
            </w:r>
          </w:p>
        </w:tc>
      </w:tr>
      <w:tr w:rsidR="00983732" w:rsidRPr="00A3026E" w14:paraId="320B00F4" w14:textId="77777777" w:rsidTr="00EA0DA7">
        <w:tc>
          <w:tcPr>
            <w:tcW w:w="5636" w:type="dxa"/>
          </w:tcPr>
          <w:p w14:paraId="6E00328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189F4A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438-418/6800</w:t>
            </w:r>
          </w:p>
        </w:tc>
      </w:tr>
      <w:tr w:rsidR="00983732" w:rsidRPr="00A3026E" w14:paraId="750B05B0" w14:textId="77777777" w:rsidTr="00EA0DA7">
        <w:tc>
          <w:tcPr>
            <w:tcW w:w="5636" w:type="dxa"/>
          </w:tcPr>
          <w:p w14:paraId="6B305EB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39AE76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5E9024C4" w14:textId="77777777" w:rsidTr="00EA0DA7">
        <w:tc>
          <w:tcPr>
            <w:tcW w:w="5636" w:type="dxa"/>
          </w:tcPr>
          <w:p w14:paraId="42E618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10350F1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53455AD" w14:textId="77777777" w:rsidTr="00EA0DA7">
        <w:tc>
          <w:tcPr>
            <w:tcW w:w="5636" w:type="dxa"/>
          </w:tcPr>
          <w:p w14:paraId="5ADF5D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460E14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10,54/5000</w:t>
            </w:r>
          </w:p>
        </w:tc>
      </w:tr>
      <w:tr w:rsidR="00983732" w:rsidRPr="00A3026E" w14:paraId="4A3955CB" w14:textId="77777777" w:rsidTr="00EA0DA7">
        <w:tc>
          <w:tcPr>
            <w:tcW w:w="5636" w:type="dxa"/>
          </w:tcPr>
          <w:p w14:paraId="63C7A10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7C79081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r>
      <w:tr w:rsidR="00983732" w:rsidRPr="00A3026E" w14:paraId="5A6A3045" w14:textId="77777777" w:rsidTr="00EA0DA7">
        <w:tc>
          <w:tcPr>
            <w:tcW w:w="5636" w:type="dxa"/>
          </w:tcPr>
          <w:p w14:paraId="149D1FF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6AE1258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6423FFF" w14:textId="77777777" w:rsidTr="00EA0DA7">
        <w:tc>
          <w:tcPr>
            <w:tcW w:w="5636" w:type="dxa"/>
          </w:tcPr>
          <w:p w14:paraId="36CA9A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15A0009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720/6800</w:t>
            </w:r>
          </w:p>
        </w:tc>
      </w:tr>
      <w:tr w:rsidR="00983732" w:rsidRPr="00A3026E" w14:paraId="7A0BDD74" w14:textId="77777777" w:rsidTr="00EA0DA7">
        <w:tc>
          <w:tcPr>
            <w:tcW w:w="5636" w:type="dxa"/>
          </w:tcPr>
          <w:p w14:paraId="269DEF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баками/С подвесными баками</w:t>
            </w:r>
          </w:p>
        </w:tc>
        <w:tc>
          <w:tcPr>
            <w:tcW w:w="4822" w:type="dxa"/>
          </w:tcPr>
          <w:p w14:paraId="13FA07D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2540/6800</w:t>
            </w:r>
          </w:p>
        </w:tc>
      </w:tr>
      <w:tr w:rsidR="00983732" w:rsidRPr="00A3026E" w14:paraId="1626FAC8" w14:textId="77777777" w:rsidTr="00EA0DA7">
        <w:tc>
          <w:tcPr>
            <w:tcW w:w="5636" w:type="dxa"/>
          </w:tcPr>
          <w:p w14:paraId="343BB2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713194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360/15,0</w:t>
            </w:r>
          </w:p>
        </w:tc>
      </w:tr>
      <w:tr w:rsidR="00983732" w:rsidRPr="00A3026E" w14:paraId="402BEC2B" w14:textId="77777777" w:rsidTr="00EA0DA7">
        <w:tc>
          <w:tcPr>
            <w:tcW w:w="5636" w:type="dxa"/>
          </w:tcPr>
          <w:p w14:paraId="706F91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031B0F7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400/22</w:t>
            </w:r>
          </w:p>
        </w:tc>
      </w:tr>
      <w:tr w:rsidR="00983732" w:rsidRPr="00A3026E" w14:paraId="0105A79C" w14:textId="77777777" w:rsidTr="00EA0DA7">
        <w:tc>
          <w:tcPr>
            <w:tcW w:w="5636" w:type="dxa"/>
          </w:tcPr>
          <w:p w14:paraId="700FF51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2F3AE2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2E5CEEB" w14:textId="77777777" w:rsidTr="00EA0DA7">
        <w:tc>
          <w:tcPr>
            <w:tcW w:w="5636" w:type="dxa"/>
          </w:tcPr>
          <w:p w14:paraId="50FBCB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66C0F0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ШКАС</w:t>
            </w:r>
          </w:p>
        </w:tc>
      </w:tr>
      <w:tr w:rsidR="00983732" w:rsidRPr="00A3026E" w14:paraId="7BF16794" w14:textId="77777777" w:rsidTr="00EA0DA7">
        <w:tc>
          <w:tcPr>
            <w:tcW w:w="5636" w:type="dxa"/>
          </w:tcPr>
          <w:p w14:paraId="153FC56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Pr>
          <w:p w14:paraId="4A856E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1000/2500</w:t>
            </w:r>
          </w:p>
        </w:tc>
      </w:tr>
      <w:tr w:rsidR="00983732" w:rsidRPr="00A3026E" w14:paraId="47DFAB23" w14:textId="77777777" w:rsidTr="00EA0DA7">
        <w:tc>
          <w:tcPr>
            <w:tcW w:w="5636" w:type="dxa"/>
            <w:tcBorders>
              <w:bottom w:val="single" w:sz="12" w:space="0" w:color="auto"/>
            </w:tcBorders>
          </w:tcPr>
          <w:p w14:paraId="771FA4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w:t>
            </w:r>
          </w:p>
        </w:tc>
        <w:tc>
          <w:tcPr>
            <w:tcW w:w="4822" w:type="dxa"/>
            <w:tcBorders>
              <w:bottom w:val="single" w:sz="12" w:space="0" w:color="auto"/>
            </w:tcBorders>
          </w:tcPr>
          <w:p w14:paraId="13EB607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год</w:t>
            </w:r>
          </w:p>
        </w:tc>
      </w:tr>
    </w:tbl>
    <w:p w14:paraId="6AB540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67CE49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 с 2М-105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52669746" w14:textId="77777777" w:rsidTr="00EA0DA7">
        <w:tc>
          <w:tcPr>
            <w:tcW w:w="5636" w:type="dxa"/>
            <w:tcBorders>
              <w:top w:val="single" w:sz="12" w:space="0" w:color="auto"/>
            </w:tcBorders>
          </w:tcPr>
          <w:p w14:paraId="405B0E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003A29E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088330EC" w14:textId="77777777" w:rsidTr="00EA0DA7">
        <w:tc>
          <w:tcPr>
            <w:tcW w:w="5636" w:type="dxa"/>
          </w:tcPr>
          <w:p w14:paraId="44C64B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063DB63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11300/13700</w:t>
            </w:r>
          </w:p>
        </w:tc>
      </w:tr>
      <w:tr w:rsidR="00983732" w:rsidRPr="00A3026E" w14:paraId="22E976AC" w14:textId="77777777" w:rsidTr="00EA0DA7">
        <w:tc>
          <w:tcPr>
            <w:tcW w:w="5636" w:type="dxa"/>
          </w:tcPr>
          <w:p w14:paraId="2BF88D4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7950917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EE023DD" w14:textId="77777777" w:rsidTr="00EA0DA7">
        <w:tc>
          <w:tcPr>
            <w:tcW w:w="5636" w:type="dxa"/>
          </w:tcPr>
          <w:p w14:paraId="717A627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7F1FB7E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w:t>
            </w:r>
          </w:p>
        </w:tc>
      </w:tr>
      <w:tr w:rsidR="00983732" w:rsidRPr="00A3026E" w14:paraId="103A8CE5" w14:textId="77777777" w:rsidTr="00EA0DA7">
        <w:tc>
          <w:tcPr>
            <w:tcW w:w="5636" w:type="dxa"/>
          </w:tcPr>
          <w:p w14:paraId="77CCBF9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04DF93E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430/4200</w:t>
            </w:r>
          </w:p>
        </w:tc>
      </w:tr>
      <w:tr w:rsidR="00983732" w:rsidRPr="00A3026E" w14:paraId="00043C9F" w14:textId="77777777" w:rsidTr="00EA0DA7">
        <w:tc>
          <w:tcPr>
            <w:tcW w:w="5636" w:type="dxa"/>
          </w:tcPr>
          <w:p w14:paraId="313BDD9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60B0F7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430/4200</w:t>
            </w:r>
          </w:p>
        </w:tc>
      </w:tr>
      <w:tr w:rsidR="00983732" w:rsidRPr="00A3026E" w14:paraId="71A1DE02" w14:textId="77777777" w:rsidTr="00EA0DA7">
        <w:tc>
          <w:tcPr>
            <w:tcW w:w="5636" w:type="dxa"/>
          </w:tcPr>
          <w:p w14:paraId="3D965EA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4CB9092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w:t>
            </w:r>
          </w:p>
        </w:tc>
      </w:tr>
      <w:tr w:rsidR="00983732" w:rsidRPr="00A3026E" w14:paraId="35FE5FA4" w14:textId="77777777" w:rsidTr="00EA0DA7">
        <w:tc>
          <w:tcPr>
            <w:tcW w:w="5636" w:type="dxa"/>
          </w:tcPr>
          <w:p w14:paraId="69CEEA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420E34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2CDBB27" w14:textId="77777777" w:rsidTr="00EA0DA7">
        <w:tc>
          <w:tcPr>
            <w:tcW w:w="5636" w:type="dxa"/>
          </w:tcPr>
          <w:p w14:paraId="7AA7DD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14F62A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18/5000</w:t>
            </w:r>
          </w:p>
        </w:tc>
      </w:tr>
      <w:tr w:rsidR="00983732" w:rsidRPr="00A3026E" w14:paraId="36A5EBAC" w14:textId="77777777" w:rsidTr="00EA0DA7">
        <w:tc>
          <w:tcPr>
            <w:tcW w:w="5636" w:type="dxa"/>
          </w:tcPr>
          <w:p w14:paraId="699193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10C6D35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6600</w:t>
            </w:r>
          </w:p>
        </w:tc>
      </w:tr>
      <w:tr w:rsidR="00983732" w:rsidRPr="00A3026E" w14:paraId="2AE1222B" w14:textId="77777777" w:rsidTr="00EA0DA7">
        <w:tc>
          <w:tcPr>
            <w:tcW w:w="5636" w:type="dxa"/>
          </w:tcPr>
          <w:p w14:paraId="164EFB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6F04EC1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D510FFA" w14:textId="77777777" w:rsidTr="00EA0DA7">
        <w:tc>
          <w:tcPr>
            <w:tcW w:w="5636" w:type="dxa"/>
          </w:tcPr>
          <w:p w14:paraId="19E884F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0840E9A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2600/4700 по зав.</w:t>
            </w:r>
          </w:p>
        </w:tc>
      </w:tr>
      <w:tr w:rsidR="00983732" w:rsidRPr="00A3026E" w14:paraId="62165DDA" w14:textId="77777777" w:rsidTr="00EA0DA7">
        <w:tc>
          <w:tcPr>
            <w:tcW w:w="5636" w:type="dxa"/>
          </w:tcPr>
          <w:p w14:paraId="69DEAEE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1EE8BF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4100/4700 исп.</w:t>
            </w:r>
          </w:p>
        </w:tc>
      </w:tr>
      <w:tr w:rsidR="00983732" w:rsidRPr="00A3026E" w14:paraId="077ECF62" w14:textId="77777777" w:rsidTr="00EA0DA7">
        <w:tc>
          <w:tcPr>
            <w:tcW w:w="5636" w:type="dxa"/>
          </w:tcPr>
          <w:p w14:paraId="0F1B4DB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2582017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590/24</w:t>
            </w:r>
          </w:p>
        </w:tc>
      </w:tr>
      <w:tr w:rsidR="00983732" w:rsidRPr="00A3026E" w14:paraId="1876C3B7" w14:textId="77777777" w:rsidTr="00EA0DA7">
        <w:tc>
          <w:tcPr>
            <w:tcW w:w="5636" w:type="dxa"/>
          </w:tcPr>
          <w:p w14:paraId="26E688F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Длина пробега/время пробега</w:t>
            </w:r>
          </w:p>
        </w:tc>
        <w:tc>
          <w:tcPr>
            <w:tcW w:w="4822" w:type="dxa"/>
          </w:tcPr>
          <w:p w14:paraId="7521459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750/38</w:t>
            </w:r>
          </w:p>
        </w:tc>
      </w:tr>
      <w:tr w:rsidR="00983732" w:rsidRPr="00A3026E" w14:paraId="2B48ACAD" w14:textId="77777777" w:rsidTr="00EA0DA7">
        <w:tc>
          <w:tcPr>
            <w:tcW w:w="5636" w:type="dxa"/>
          </w:tcPr>
          <w:p w14:paraId="1F3EF6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4D89673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5EF7631" w14:textId="77777777" w:rsidTr="00EA0DA7">
        <w:tc>
          <w:tcPr>
            <w:tcW w:w="5636" w:type="dxa"/>
          </w:tcPr>
          <w:p w14:paraId="1E15359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2EB5223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59BF1542" w14:textId="77777777" w:rsidTr="00EA0DA7">
        <w:tc>
          <w:tcPr>
            <w:tcW w:w="5636" w:type="dxa"/>
          </w:tcPr>
          <w:p w14:paraId="7E96358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39156E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w:t>
            </w:r>
          </w:p>
        </w:tc>
      </w:tr>
      <w:tr w:rsidR="00983732" w:rsidRPr="00A3026E" w14:paraId="2B4A4611" w14:textId="77777777" w:rsidTr="00EA0DA7">
        <w:tc>
          <w:tcPr>
            <w:tcW w:w="5636" w:type="dxa"/>
          </w:tcPr>
          <w:p w14:paraId="129F7A2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Pr>
          <w:p w14:paraId="0B1E7A6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1000/4000</w:t>
            </w:r>
          </w:p>
        </w:tc>
      </w:tr>
      <w:tr w:rsidR="00983732" w:rsidRPr="00A3026E" w14:paraId="61639D58" w14:textId="77777777" w:rsidTr="00EA0DA7">
        <w:tc>
          <w:tcPr>
            <w:tcW w:w="5636" w:type="dxa"/>
            <w:tcBorders>
              <w:bottom w:val="single" w:sz="12" w:space="0" w:color="auto"/>
            </w:tcBorders>
          </w:tcPr>
          <w:p w14:paraId="5B6EB7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w:t>
            </w:r>
          </w:p>
        </w:tc>
        <w:tc>
          <w:tcPr>
            <w:tcW w:w="4822" w:type="dxa"/>
            <w:tcBorders>
              <w:bottom w:val="single" w:sz="12" w:space="0" w:color="auto"/>
            </w:tcBorders>
          </w:tcPr>
          <w:p w14:paraId="4189E0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год</w:t>
            </w:r>
          </w:p>
        </w:tc>
      </w:tr>
    </w:tbl>
    <w:p w14:paraId="459813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761F007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 с 2М-105 2ТК-2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5E4F78CD" w14:textId="77777777" w:rsidTr="00EA0DA7">
        <w:tc>
          <w:tcPr>
            <w:tcW w:w="5636" w:type="dxa"/>
            <w:tcBorders>
              <w:top w:val="single" w:sz="12" w:space="0" w:color="auto"/>
            </w:tcBorders>
          </w:tcPr>
          <w:p w14:paraId="1E62621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3F5942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1050/4500</w:t>
            </w:r>
          </w:p>
        </w:tc>
      </w:tr>
      <w:tr w:rsidR="00983732" w:rsidRPr="00A3026E" w14:paraId="6CE6A027" w14:textId="77777777" w:rsidTr="00EA0DA7">
        <w:tc>
          <w:tcPr>
            <w:tcW w:w="5636" w:type="dxa"/>
          </w:tcPr>
          <w:p w14:paraId="29DA2B5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31BE4EE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7200/8000</w:t>
            </w:r>
          </w:p>
        </w:tc>
      </w:tr>
      <w:tr w:rsidR="00983732" w:rsidRPr="00A3026E" w14:paraId="5B65497F" w14:textId="77777777" w:rsidTr="00EA0DA7">
        <w:tc>
          <w:tcPr>
            <w:tcW w:w="5636" w:type="dxa"/>
          </w:tcPr>
          <w:p w14:paraId="669AF20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6142D1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C1920A6" w14:textId="77777777" w:rsidTr="00EA0DA7">
        <w:tc>
          <w:tcPr>
            <w:tcW w:w="5636" w:type="dxa"/>
          </w:tcPr>
          <w:p w14:paraId="57C1800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35586B4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455</w:t>
            </w:r>
          </w:p>
        </w:tc>
      </w:tr>
      <w:tr w:rsidR="00983732" w:rsidRPr="00A3026E" w14:paraId="105F2D34" w14:textId="77777777" w:rsidTr="00EA0DA7">
        <w:tc>
          <w:tcPr>
            <w:tcW w:w="5636" w:type="dxa"/>
          </w:tcPr>
          <w:p w14:paraId="0B06323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07C0F40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535/6000</w:t>
            </w:r>
          </w:p>
        </w:tc>
      </w:tr>
      <w:tr w:rsidR="00983732" w:rsidRPr="00A3026E" w14:paraId="29AD4821" w14:textId="77777777" w:rsidTr="00EA0DA7">
        <w:tc>
          <w:tcPr>
            <w:tcW w:w="5636" w:type="dxa"/>
          </w:tcPr>
          <w:p w14:paraId="2E55EA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3108623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525/6000</w:t>
            </w:r>
          </w:p>
        </w:tc>
      </w:tr>
      <w:tr w:rsidR="00983732" w:rsidRPr="00A3026E" w14:paraId="518B3B86" w14:textId="77777777" w:rsidTr="00EA0DA7">
        <w:tc>
          <w:tcPr>
            <w:tcW w:w="5636" w:type="dxa"/>
          </w:tcPr>
          <w:p w14:paraId="77B4D3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6F23F56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r>
      <w:tr w:rsidR="00983732" w:rsidRPr="00A3026E" w14:paraId="2E7175B0" w14:textId="77777777" w:rsidTr="00EA0DA7">
        <w:tc>
          <w:tcPr>
            <w:tcW w:w="5636" w:type="dxa"/>
          </w:tcPr>
          <w:p w14:paraId="657777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33285C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32,5-41,4/3000</w:t>
            </w:r>
          </w:p>
        </w:tc>
      </w:tr>
      <w:tr w:rsidR="00983732" w:rsidRPr="00A3026E" w14:paraId="145B1CF4" w14:textId="77777777" w:rsidTr="00EA0DA7">
        <w:tc>
          <w:tcPr>
            <w:tcW w:w="5636" w:type="dxa"/>
          </w:tcPr>
          <w:p w14:paraId="51BCBC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50A992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6,8/4000</w:t>
            </w:r>
          </w:p>
        </w:tc>
      </w:tr>
      <w:tr w:rsidR="00983732" w:rsidRPr="00A3026E" w14:paraId="50169785" w14:textId="77777777" w:rsidTr="00EA0DA7">
        <w:tc>
          <w:tcPr>
            <w:tcW w:w="5636" w:type="dxa"/>
          </w:tcPr>
          <w:p w14:paraId="06726F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6F2741D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r>
      <w:tr w:rsidR="00983732" w:rsidRPr="00A3026E" w14:paraId="4C4F959B" w14:textId="77777777" w:rsidTr="00EA0DA7">
        <w:tc>
          <w:tcPr>
            <w:tcW w:w="5636" w:type="dxa"/>
          </w:tcPr>
          <w:p w14:paraId="0DBFBA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0F585F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BCFE037" w14:textId="77777777" w:rsidTr="00EA0DA7">
        <w:tc>
          <w:tcPr>
            <w:tcW w:w="5636" w:type="dxa"/>
          </w:tcPr>
          <w:p w14:paraId="242B29D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26F0B80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5E97A42" w14:textId="77777777" w:rsidTr="00EA0DA7">
        <w:tc>
          <w:tcPr>
            <w:tcW w:w="5636" w:type="dxa"/>
          </w:tcPr>
          <w:p w14:paraId="70D9A6B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68DDF41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166DD6C" w14:textId="77777777" w:rsidTr="00EA0DA7">
        <w:tc>
          <w:tcPr>
            <w:tcW w:w="5636" w:type="dxa"/>
          </w:tcPr>
          <w:p w14:paraId="09040B6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7B35FE3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380/14,8</w:t>
            </w:r>
          </w:p>
        </w:tc>
      </w:tr>
      <w:tr w:rsidR="00983732" w:rsidRPr="00A3026E" w14:paraId="2FC57DCC" w14:textId="77777777" w:rsidTr="00EA0DA7">
        <w:tc>
          <w:tcPr>
            <w:tcW w:w="5636" w:type="dxa"/>
          </w:tcPr>
          <w:p w14:paraId="424956D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12966C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435/23,4</w:t>
            </w:r>
          </w:p>
        </w:tc>
      </w:tr>
      <w:tr w:rsidR="00983732" w:rsidRPr="00A3026E" w14:paraId="48FD9E9B" w14:textId="77777777" w:rsidTr="00EA0DA7">
        <w:tc>
          <w:tcPr>
            <w:tcW w:w="5636" w:type="dxa"/>
          </w:tcPr>
          <w:p w14:paraId="4677BA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7A4BCCD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4C8B137" w14:textId="77777777" w:rsidTr="00EA0DA7">
        <w:tc>
          <w:tcPr>
            <w:tcW w:w="5636" w:type="dxa"/>
          </w:tcPr>
          <w:p w14:paraId="44BA86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42B8C0C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5B70C337" w14:textId="77777777" w:rsidTr="00EA0DA7">
        <w:tc>
          <w:tcPr>
            <w:tcW w:w="5636" w:type="dxa"/>
          </w:tcPr>
          <w:p w14:paraId="62436E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4FFDEC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ШВАК</w:t>
            </w:r>
          </w:p>
        </w:tc>
      </w:tr>
      <w:tr w:rsidR="00983732" w:rsidRPr="00A3026E" w14:paraId="49A745FA" w14:textId="77777777" w:rsidTr="00EA0DA7">
        <w:tc>
          <w:tcPr>
            <w:tcW w:w="5636" w:type="dxa"/>
          </w:tcPr>
          <w:p w14:paraId="0FFDEEA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Pr>
          <w:p w14:paraId="1BBA003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0/1000</w:t>
            </w:r>
          </w:p>
        </w:tc>
      </w:tr>
      <w:tr w:rsidR="00983732" w:rsidRPr="00A3026E" w14:paraId="3AC3BF9B" w14:textId="77777777" w:rsidTr="00EA0DA7">
        <w:tc>
          <w:tcPr>
            <w:tcW w:w="5636" w:type="dxa"/>
            <w:tcBorders>
              <w:bottom w:val="single" w:sz="12" w:space="0" w:color="auto"/>
            </w:tcBorders>
          </w:tcPr>
          <w:p w14:paraId="3134554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гос. испытаниям 1940 года и расчетам</w:t>
            </w:r>
          </w:p>
        </w:tc>
        <w:tc>
          <w:tcPr>
            <w:tcW w:w="4822" w:type="dxa"/>
            <w:tcBorders>
              <w:bottom w:val="single" w:sz="12" w:space="0" w:color="auto"/>
            </w:tcBorders>
          </w:tcPr>
          <w:p w14:paraId="3FB9176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029A7A7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7B5838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 с 2 М-103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15375B42" w14:textId="77777777" w:rsidTr="00EA0DA7">
        <w:tc>
          <w:tcPr>
            <w:tcW w:w="5636" w:type="dxa"/>
            <w:tcBorders>
              <w:top w:val="single" w:sz="12" w:space="0" w:color="auto"/>
            </w:tcBorders>
          </w:tcPr>
          <w:p w14:paraId="02875A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1DB71F4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960/4000</w:t>
            </w:r>
          </w:p>
        </w:tc>
      </w:tr>
      <w:tr w:rsidR="00983732" w:rsidRPr="00A3026E" w14:paraId="7C65A8DA" w14:textId="77777777" w:rsidTr="00EA0DA7">
        <w:tc>
          <w:tcPr>
            <w:tcW w:w="5636" w:type="dxa"/>
          </w:tcPr>
          <w:p w14:paraId="07B4BE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3BFD38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5660</w:t>
            </w:r>
          </w:p>
        </w:tc>
      </w:tr>
      <w:tr w:rsidR="00983732" w:rsidRPr="00A3026E" w14:paraId="08EC033D" w14:textId="77777777" w:rsidTr="00EA0DA7">
        <w:tc>
          <w:tcPr>
            <w:tcW w:w="5636" w:type="dxa"/>
          </w:tcPr>
          <w:p w14:paraId="630BACF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51F6EC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08A4FDA" w14:textId="77777777" w:rsidTr="00EA0DA7">
        <w:tc>
          <w:tcPr>
            <w:tcW w:w="5636" w:type="dxa"/>
          </w:tcPr>
          <w:p w14:paraId="6144E50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2B13C5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399</w:t>
            </w:r>
          </w:p>
        </w:tc>
      </w:tr>
      <w:tr w:rsidR="00983732" w:rsidRPr="00A3026E" w14:paraId="6C1521E1" w14:textId="77777777" w:rsidTr="00EA0DA7">
        <w:tc>
          <w:tcPr>
            <w:tcW w:w="5636" w:type="dxa"/>
          </w:tcPr>
          <w:p w14:paraId="452622D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6313078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478/4600</w:t>
            </w:r>
          </w:p>
        </w:tc>
      </w:tr>
      <w:tr w:rsidR="00983732" w:rsidRPr="00A3026E" w14:paraId="48F95AB0" w14:textId="77777777" w:rsidTr="00EA0DA7">
        <w:tc>
          <w:tcPr>
            <w:tcW w:w="5636" w:type="dxa"/>
          </w:tcPr>
          <w:p w14:paraId="01C1B26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7EE597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478/4600</w:t>
            </w:r>
          </w:p>
        </w:tc>
      </w:tr>
      <w:tr w:rsidR="00983732" w:rsidRPr="00A3026E" w14:paraId="0122CEFF" w14:textId="77777777" w:rsidTr="00EA0DA7">
        <w:tc>
          <w:tcPr>
            <w:tcW w:w="5636" w:type="dxa"/>
          </w:tcPr>
          <w:p w14:paraId="2118E66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534B0C4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r>
      <w:tr w:rsidR="00983732" w:rsidRPr="00A3026E" w14:paraId="3A139A79" w14:textId="77777777" w:rsidTr="00EA0DA7">
        <w:tc>
          <w:tcPr>
            <w:tcW w:w="5636" w:type="dxa"/>
          </w:tcPr>
          <w:p w14:paraId="2F6BBF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53AD4A9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25/1000</w:t>
            </w:r>
          </w:p>
        </w:tc>
      </w:tr>
      <w:tr w:rsidR="00983732" w:rsidRPr="00A3026E" w14:paraId="7FD4354F" w14:textId="77777777" w:rsidTr="00EA0DA7">
        <w:tc>
          <w:tcPr>
            <w:tcW w:w="5636" w:type="dxa"/>
          </w:tcPr>
          <w:p w14:paraId="1D19EFA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070C598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9,5/1000</w:t>
            </w:r>
          </w:p>
        </w:tc>
      </w:tr>
      <w:tr w:rsidR="00983732" w:rsidRPr="00A3026E" w14:paraId="57A65365" w14:textId="77777777" w:rsidTr="00EA0DA7">
        <w:tc>
          <w:tcPr>
            <w:tcW w:w="5636" w:type="dxa"/>
          </w:tcPr>
          <w:p w14:paraId="0B0E15A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36618E8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8100</w:t>
            </w:r>
          </w:p>
        </w:tc>
      </w:tr>
      <w:tr w:rsidR="00983732" w:rsidRPr="00A3026E" w14:paraId="639CBA09" w14:textId="77777777" w:rsidTr="00EA0DA7">
        <w:tc>
          <w:tcPr>
            <w:tcW w:w="5636" w:type="dxa"/>
          </w:tcPr>
          <w:p w14:paraId="22DA2E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2746D66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E8E73B0" w14:textId="77777777" w:rsidTr="00EA0DA7">
        <w:tc>
          <w:tcPr>
            <w:tcW w:w="5636" w:type="dxa"/>
          </w:tcPr>
          <w:p w14:paraId="0E99CC1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3D36E8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845/4600</w:t>
            </w:r>
          </w:p>
        </w:tc>
      </w:tr>
      <w:tr w:rsidR="00983732" w:rsidRPr="00A3026E" w14:paraId="30A92E19" w14:textId="77777777" w:rsidTr="00EA0DA7">
        <w:tc>
          <w:tcPr>
            <w:tcW w:w="5636" w:type="dxa"/>
          </w:tcPr>
          <w:p w14:paraId="39F918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241ABB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845/4600</w:t>
            </w:r>
          </w:p>
        </w:tc>
      </w:tr>
      <w:tr w:rsidR="00983732" w:rsidRPr="00A3026E" w14:paraId="262BAD9A" w14:textId="77777777" w:rsidTr="00EA0DA7">
        <w:tc>
          <w:tcPr>
            <w:tcW w:w="5636" w:type="dxa"/>
          </w:tcPr>
          <w:p w14:paraId="655A403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525F1EC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515-520/16</w:t>
            </w:r>
          </w:p>
        </w:tc>
      </w:tr>
      <w:tr w:rsidR="00983732" w:rsidRPr="00A3026E" w14:paraId="26091BE7" w14:textId="77777777" w:rsidTr="00EA0DA7">
        <w:tc>
          <w:tcPr>
            <w:tcW w:w="5636" w:type="dxa"/>
          </w:tcPr>
          <w:p w14:paraId="74AFBE7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152ACD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370-380/16</w:t>
            </w:r>
          </w:p>
        </w:tc>
      </w:tr>
      <w:tr w:rsidR="00983732" w:rsidRPr="00A3026E" w14:paraId="3EA5E6AD" w14:textId="77777777" w:rsidTr="00EA0DA7">
        <w:tc>
          <w:tcPr>
            <w:tcW w:w="5636" w:type="dxa"/>
          </w:tcPr>
          <w:p w14:paraId="46803E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40F97F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DFE7D94" w14:textId="77777777" w:rsidTr="00EA0DA7">
        <w:tc>
          <w:tcPr>
            <w:tcW w:w="5636" w:type="dxa"/>
          </w:tcPr>
          <w:p w14:paraId="7D8F48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7CCDCB5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0EA49DD5" w14:textId="77777777" w:rsidTr="00EA0DA7">
        <w:tc>
          <w:tcPr>
            <w:tcW w:w="5636" w:type="dxa"/>
          </w:tcPr>
          <w:p w14:paraId="272480C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Pr>
          <w:p w14:paraId="3E6DA01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400/600</w:t>
            </w:r>
          </w:p>
        </w:tc>
      </w:tr>
      <w:tr w:rsidR="00983732" w:rsidRPr="00A3026E" w14:paraId="5E0D53A9" w14:textId="77777777" w:rsidTr="00EA0DA7">
        <w:tc>
          <w:tcPr>
            <w:tcW w:w="5636" w:type="dxa"/>
            <w:tcBorders>
              <w:bottom w:val="single" w:sz="12" w:space="0" w:color="auto"/>
            </w:tcBorders>
          </w:tcPr>
          <w:p w14:paraId="5C479C5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 серийного самолета</w:t>
            </w:r>
          </w:p>
        </w:tc>
        <w:tc>
          <w:tcPr>
            <w:tcW w:w="4822" w:type="dxa"/>
            <w:tcBorders>
              <w:bottom w:val="single" w:sz="12" w:space="0" w:color="auto"/>
            </w:tcBorders>
          </w:tcPr>
          <w:p w14:paraId="4244A22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год</w:t>
            </w:r>
          </w:p>
        </w:tc>
      </w:tr>
    </w:tbl>
    <w:p w14:paraId="404F5B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F7BE6A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ТБ-7 с 4АМ-34 ФНР без АЦН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61AF8136" w14:textId="77777777" w:rsidTr="00EA0DA7">
        <w:tc>
          <w:tcPr>
            <w:tcW w:w="5636" w:type="dxa"/>
            <w:tcBorders>
              <w:top w:val="single" w:sz="12" w:space="0" w:color="auto"/>
            </w:tcBorders>
          </w:tcPr>
          <w:p w14:paraId="0F4CEF2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157FC4D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1050/3500</w:t>
            </w:r>
          </w:p>
        </w:tc>
      </w:tr>
      <w:tr w:rsidR="00983732" w:rsidRPr="00A3026E" w14:paraId="5C8079B7" w14:textId="77777777" w:rsidTr="00EA0DA7">
        <w:tc>
          <w:tcPr>
            <w:tcW w:w="5636" w:type="dxa"/>
          </w:tcPr>
          <w:p w14:paraId="24FCE0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1435516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24000/32000</w:t>
            </w:r>
          </w:p>
        </w:tc>
      </w:tr>
      <w:tr w:rsidR="00983732" w:rsidRPr="00A3026E" w14:paraId="1A9D370E" w14:textId="77777777" w:rsidTr="00EA0DA7">
        <w:tc>
          <w:tcPr>
            <w:tcW w:w="5636" w:type="dxa"/>
          </w:tcPr>
          <w:p w14:paraId="47CA3C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347229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745F7E4" w14:textId="77777777" w:rsidTr="00EA0DA7">
        <w:tc>
          <w:tcPr>
            <w:tcW w:w="5636" w:type="dxa"/>
          </w:tcPr>
          <w:p w14:paraId="1C55E6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2675FBB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315</w:t>
            </w:r>
          </w:p>
        </w:tc>
      </w:tr>
      <w:tr w:rsidR="00983732" w:rsidRPr="00A3026E" w14:paraId="4FC722D8" w14:textId="77777777" w:rsidTr="00EA0DA7">
        <w:tc>
          <w:tcPr>
            <w:tcW w:w="5636" w:type="dxa"/>
          </w:tcPr>
          <w:p w14:paraId="7243B4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2A81C74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375/3650</w:t>
            </w:r>
          </w:p>
        </w:tc>
      </w:tr>
      <w:tr w:rsidR="00983732" w:rsidRPr="00A3026E" w14:paraId="2A3CEAE6" w14:textId="77777777" w:rsidTr="00EA0DA7">
        <w:tc>
          <w:tcPr>
            <w:tcW w:w="5636" w:type="dxa"/>
          </w:tcPr>
          <w:p w14:paraId="2590A4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390FB26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355/3650</w:t>
            </w:r>
          </w:p>
        </w:tc>
      </w:tr>
      <w:tr w:rsidR="00983732" w:rsidRPr="00A3026E" w14:paraId="2B01FA2F" w14:textId="77777777" w:rsidTr="00EA0DA7">
        <w:tc>
          <w:tcPr>
            <w:tcW w:w="5636" w:type="dxa"/>
          </w:tcPr>
          <w:p w14:paraId="7E0C313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34C956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001AC895" w14:textId="77777777" w:rsidTr="00EA0DA7">
        <w:tc>
          <w:tcPr>
            <w:tcW w:w="5636" w:type="dxa"/>
          </w:tcPr>
          <w:p w14:paraId="05E7A7D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231F3AA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3F5A9D4" w14:textId="77777777" w:rsidTr="00EA0DA7">
        <w:tc>
          <w:tcPr>
            <w:tcW w:w="5636" w:type="dxa"/>
          </w:tcPr>
          <w:p w14:paraId="1E8DA56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3B0FB0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17/5000</w:t>
            </w:r>
          </w:p>
        </w:tc>
      </w:tr>
      <w:tr w:rsidR="00983732" w:rsidRPr="00A3026E" w14:paraId="6CBFF727" w14:textId="77777777" w:rsidTr="00EA0DA7">
        <w:tc>
          <w:tcPr>
            <w:tcW w:w="5636" w:type="dxa"/>
          </w:tcPr>
          <w:p w14:paraId="62810D3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0BE50A1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8240</w:t>
            </w:r>
          </w:p>
        </w:tc>
      </w:tr>
      <w:tr w:rsidR="00983732" w:rsidRPr="00A3026E" w14:paraId="616CE5ED" w14:textId="77777777" w:rsidTr="00EA0DA7">
        <w:tc>
          <w:tcPr>
            <w:tcW w:w="5636" w:type="dxa"/>
          </w:tcPr>
          <w:p w14:paraId="1B7990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219EBA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48F0542" w14:textId="77777777" w:rsidTr="00EA0DA7">
        <w:tc>
          <w:tcPr>
            <w:tcW w:w="5636" w:type="dxa"/>
          </w:tcPr>
          <w:p w14:paraId="29BD95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6929D2F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2B194A9" w14:textId="77777777" w:rsidTr="00EA0DA7">
        <w:tc>
          <w:tcPr>
            <w:tcW w:w="5636" w:type="dxa"/>
          </w:tcPr>
          <w:p w14:paraId="7DC958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3065F69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4FB0EF8" w14:textId="77777777" w:rsidTr="00EA0DA7">
        <w:tc>
          <w:tcPr>
            <w:tcW w:w="5636" w:type="dxa"/>
          </w:tcPr>
          <w:p w14:paraId="01A0EBC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158185E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320/18,7</w:t>
            </w:r>
          </w:p>
        </w:tc>
      </w:tr>
      <w:tr w:rsidR="00983732" w:rsidRPr="00A3026E" w14:paraId="3D5AC390" w14:textId="77777777" w:rsidTr="00EA0DA7">
        <w:tc>
          <w:tcPr>
            <w:tcW w:w="5636" w:type="dxa"/>
          </w:tcPr>
          <w:p w14:paraId="4E79FE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392436E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370/25,2</w:t>
            </w:r>
          </w:p>
        </w:tc>
      </w:tr>
      <w:tr w:rsidR="00983732" w:rsidRPr="00A3026E" w14:paraId="16D689F5" w14:textId="77777777" w:rsidTr="00EA0DA7">
        <w:tc>
          <w:tcPr>
            <w:tcW w:w="5636" w:type="dxa"/>
          </w:tcPr>
          <w:p w14:paraId="5E0D330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3B6B1A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5445EC1" w14:textId="77777777" w:rsidTr="00EA0DA7">
        <w:tc>
          <w:tcPr>
            <w:tcW w:w="5636" w:type="dxa"/>
          </w:tcPr>
          <w:p w14:paraId="3F773C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5C50DD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ШКАС</w:t>
            </w:r>
          </w:p>
        </w:tc>
      </w:tr>
      <w:tr w:rsidR="00983732" w:rsidRPr="00A3026E" w14:paraId="0279EEE2" w14:textId="77777777" w:rsidTr="00EA0DA7">
        <w:tc>
          <w:tcPr>
            <w:tcW w:w="5636" w:type="dxa"/>
          </w:tcPr>
          <w:p w14:paraId="4AF3D3A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70C6B3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ШВАК</w:t>
            </w:r>
          </w:p>
        </w:tc>
      </w:tr>
      <w:tr w:rsidR="00983732" w:rsidRPr="00A3026E" w14:paraId="14DFFF37" w14:textId="77777777" w:rsidTr="00EA0DA7">
        <w:tc>
          <w:tcPr>
            <w:tcW w:w="5636" w:type="dxa"/>
          </w:tcPr>
          <w:p w14:paraId="1ACDF5A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Pr>
          <w:p w14:paraId="6A56895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2000/4000</w:t>
            </w:r>
          </w:p>
        </w:tc>
      </w:tr>
      <w:tr w:rsidR="00983732" w:rsidRPr="00A3026E" w14:paraId="134D60B5" w14:textId="77777777" w:rsidTr="00EA0DA7">
        <w:tc>
          <w:tcPr>
            <w:tcW w:w="5636" w:type="dxa"/>
            <w:tcBorders>
              <w:bottom w:val="single" w:sz="12" w:space="0" w:color="auto"/>
            </w:tcBorders>
          </w:tcPr>
          <w:p w14:paraId="704E99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w:t>
            </w:r>
          </w:p>
        </w:tc>
        <w:tc>
          <w:tcPr>
            <w:tcW w:w="4822" w:type="dxa"/>
            <w:tcBorders>
              <w:bottom w:val="single" w:sz="12" w:space="0" w:color="auto"/>
            </w:tcBorders>
          </w:tcPr>
          <w:p w14:paraId="125CF5C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1938-1939 г.г.</w:t>
            </w:r>
          </w:p>
        </w:tc>
      </w:tr>
    </w:tbl>
    <w:p w14:paraId="1A83C6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C73AE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 2М-105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1F13A0EA" w14:textId="77777777" w:rsidTr="00EA0DA7">
        <w:tc>
          <w:tcPr>
            <w:tcW w:w="5636" w:type="dxa"/>
            <w:tcBorders>
              <w:top w:val="single" w:sz="12" w:space="0" w:color="auto"/>
            </w:tcBorders>
          </w:tcPr>
          <w:p w14:paraId="0CEA9E7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1FCD391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58A7BD05" w14:textId="77777777" w:rsidTr="00EA0DA7">
        <w:tc>
          <w:tcPr>
            <w:tcW w:w="5636" w:type="dxa"/>
          </w:tcPr>
          <w:p w14:paraId="4F10F30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5847E1A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7500/8500</w:t>
            </w:r>
          </w:p>
        </w:tc>
      </w:tr>
      <w:tr w:rsidR="00983732" w:rsidRPr="00A3026E" w14:paraId="1D913FA7" w14:textId="77777777" w:rsidTr="00EA0DA7">
        <w:tc>
          <w:tcPr>
            <w:tcW w:w="5636" w:type="dxa"/>
          </w:tcPr>
          <w:p w14:paraId="360B595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6C6FF18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1F53B30" w14:textId="77777777" w:rsidTr="00EA0DA7">
        <w:tc>
          <w:tcPr>
            <w:tcW w:w="5636" w:type="dxa"/>
          </w:tcPr>
          <w:p w14:paraId="6843B6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08B63AA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r>
      <w:tr w:rsidR="00983732" w:rsidRPr="00A3026E" w14:paraId="45B96CD3" w14:textId="77777777" w:rsidTr="00EA0DA7">
        <w:tc>
          <w:tcPr>
            <w:tcW w:w="5636" w:type="dxa"/>
          </w:tcPr>
          <w:p w14:paraId="47EC797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55FC28E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540/2080</w:t>
            </w:r>
          </w:p>
        </w:tc>
      </w:tr>
      <w:tr w:rsidR="00983732" w:rsidRPr="00A3026E" w14:paraId="23F26CC4" w14:textId="77777777" w:rsidTr="00EA0DA7">
        <w:tc>
          <w:tcPr>
            <w:tcW w:w="5636" w:type="dxa"/>
          </w:tcPr>
          <w:p w14:paraId="7590A4C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Максимальная с полностью залитыми баками/на высоте</w:t>
            </w:r>
          </w:p>
        </w:tc>
        <w:tc>
          <w:tcPr>
            <w:tcW w:w="4822" w:type="dxa"/>
          </w:tcPr>
          <w:p w14:paraId="490D729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0A0B34D" w14:textId="77777777" w:rsidTr="00EA0DA7">
        <w:tc>
          <w:tcPr>
            <w:tcW w:w="5636" w:type="dxa"/>
          </w:tcPr>
          <w:p w14:paraId="2643677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02E5B01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 с щитками</w:t>
            </w:r>
          </w:p>
        </w:tc>
      </w:tr>
      <w:tr w:rsidR="00983732" w:rsidRPr="00A3026E" w14:paraId="7F628E7E" w14:textId="77777777" w:rsidTr="00EA0DA7">
        <w:tc>
          <w:tcPr>
            <w:tcW w:w="5636" w:type="dxa"/>
          </w:tcPr>
          <w:p w14:paraId="700B681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0A61AE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 без щитков</w:t>
            </w:r>
          </w:p>
        </w:tc>
      </w:tr>
      <w:tr w:rsidR="00983732" w:rsidRPr="00A3026E" w14:paraId="2D467182" w14:textId="77777777" w:rsidTr="00EA0DA7">
        <w:tc>
          <w:tcPr>
            <w:tcW w:w="5636" w:type="dxa"/>
          </w:tcPr>
          <w:p w14:paraId="030166A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67CC8CE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6ABCB53" w14:textId="77777777" w:rsidTr="00EA0DA7">
        <w:tc>
          <w:tcPr>
            <w:tcW w:w="5636" w:type="dxa"/>
          </w:tcPr>
          <w:p w14:paraId="027D4ED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1C4539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9,3/5000</w:t>
            </w:r>
          </w:p>
        </w:tc>
      </w:tr>
      <w:tr w:rsidR="00983732" w:rsidRPr="00A3026E" w14:paraId="47CA0C39" w14:textId="77777777" w:rsidTr="00EA0DA7">
        <w:tc>
          <w:tcPr>
            <w:tcW w:w="5636" w:type="dxa"/>
          </w:tcPr>
          <w:p w14:paraId="27A400D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59C078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8800</w:t>
            </w:r>
          </w:p>
        </w:tc>
      </w:tr>
      <w:tr w:rsidR="00983732" w:rsidRPr="00A3026E" w14:paraId="4DEC535A" w14:textId="77777777" w:rsidTr="00EA0DA7">
        <w:tc>
          <w:tcPr>
            <w:tcW w:w="5636" w:type="dxa"/>
          </w:tcPr>
          <w:p w14:paraId="2D43B27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192224D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68AE447" w14:textId="77777777" w:rsidTr="00EA0DA7">
        <w:tc>
          <w:tcPr>
            <w:tcW w:w="5636" w:type="dxa"/>
          </w:tcPr>
          <w:p w14:paraId="7E46783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707EAB9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222F494" w14:textId="77777777" w:rsidTr="00EA0DA7">
        <w:tc>
          <w:tcPr>
            <w:tcW w:w="5636" w:type="dxa"/>
          </w:tcPr>
          <w:p w14:paraId="596458D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79B079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7DEA17E4" w14:textId="77777777" w:rsidTr="00EA0DA7">
        <w:tc>
          <w:tcPr>
            <w:tcW w:w="5636" w:type="dxa"/>
          </w:tcPr>
          <w:p w14:paraId="120D774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29A6C54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360/15</w:t>
            </w:r>
          </w:p>
        </w:tc>
      </w:tr>
      <w:tr w:rsidR="00983732" w:rsidRPr="00A3026E" w14:paraId="2A1848ED" w14:textId="77777777" w:rsidTr="00EA0DA7">
        <w:tc>
          <w:tcPr>
            <w:tcW w:w="5636" w:type="dxa"/>
          </w:tcPr>
          <w:p w14:paraId="18A378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524E8A3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462/15,8</w:t>
            </w:r>
          </w:p>
        </w:tc>
      </w:tr>
      <w:tr w:rsidR="00983732" w:rsidRPr="00A3026E" w14:paraId="728A30CE" w14:textId="77777777" w:rsidTr="00EA0DA7">
        <w:tc>
          <w:tcPr>
            <w:tcW w:w="5636" w:type="dxa"/>
          </w:tcPr>
          <w:p w14:paraId="00B27EB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5AB5264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7DD4651" w14:textId="77777777" w:rsidTr="00EA0DA7">
        <w:tc>
          <w:tcPr>
            <w:tcW w:w="5636" w:type="dxa"/>
          </w:tcPr>
          <w:p w14:paraId="3A7F514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415E40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48AC27D3" w14:textId="77777777" w:rsidTr="00EA0DA7">
        <w:tc>
          <w:tcPr>
            <w:tcW w:w="5636" w:type="dxa"/>
            <w:tcBorders>
              <w:bottom w:val="single" w:sz="12" w:space="0" w:color="auto"/>
            </w:tcBorders>
          </w:tcPr>
          <w:p w14:paraId="5EDF66C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3B7669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600/1000</w:t>
            </w:r>
          </w:p>
        </w:tc>
      </w:tr>
    </w:tbl>
    <w:p w14:paraId="0F80A7C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55B0C31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 2М-105 перегрузочный вариант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02B16EAD" w14:textId="77777777" w:rsidTr="00EA0DA7">
        <w:tc>
          <w:tcPr>
            <w:tcW w:w="5636" w:type="dxa"/>
            <w:tcBorders>
              <w:top w:val="single" w:sz="12" w:space="0" w:color="auto"/>
            </w:tcBorders>
          </w:tcPr>
          <w:p w14:paraId="7938849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0842B89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78BB6090" w14:textId="77777777" w:rsidTr="00EA0DA7">
        <w:tc>
          <w:tcPr>
            <w:tcW w:w="5636" w:type="dxa"/>
          </w:tcPr>
          <w:p w14:paraId="6BEF9E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629492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ФАБ-50 наруж. 8000</w:t>
            </w:r>
          </w:p>
        </w:tc>
      </w:tr>
      <w:tr w:rsidR="00983732" w:rsidRPr="00A3026E" w14:paraId="226EB346" w14:textId="77777777" w:rsidTr="00EA0DA7">
        <w:tc>
          <w:tcPr>
            <w:tcW w:w="5636" w:type="dxa"/>
          </w:tcPr>
          <w:p w14:paraId="477460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56B2BF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E6606D0" w14:textId="77777777" w:rsidTr="00EA0DA7">
        <w:tc>
          <w:tcPr>
            <w:tcW w:w="5636" w:type="dxa"/>
          </w:tcPr>
          <w:p w14:paraId="0BE03CD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348B486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428</w:t>
            </w:r>
          </w:p>
        </w:tc>
      </w:tr>
      <w:tr w:rsidR="00983732" w:rsidRPr="00A3026E" w14:paraId="170B569D" w14:textId="77777777" w:rsidTr="00EA0DA7">
        <w:tc>
          <w:tcPr>
            <w:tcW w:w="5636" w:type="dxa"/>
          </w:tcPr>
          <w:p w14:paraId="0B20408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6F57D17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510/5000</w:t>
            </w:r>
          </w:p>
        </w:tc>
      </w:tr>
      <w:tr w:rsidR="00983732" w:rsidRPr="00A3026E" w14:paraId="64D4EBFC" w14:textId="77777777" w:rsidTr="00EA0DA7">
        <w:tc>
          <w:tcPr>
            <w:tcW w:w="5636" w:type="dxa"/>
          </w:tcPr>
          <w:p w14:paraId="2906881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7A9FF05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64080B7" w14:textId="77777777" w:rsidTr="00EA0DA7">
        <w:tc>
          <w:tcPr>
            <w:tcW w:w="5636" w:type="dxa"/>
          </w:tcPr>
          <w:p w14:paraId="576E186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35AB434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7370FBF" w14:textId="77777777" w:rsidTr="00EA0DA7">
        <w:tc>
          <w:tcPr>
            <w:tcW w:w="5636" w:type="dxa"/>
          </w:tcPr>
          <w:p w14:paraId="7396AD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7685D4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BDF792A" w14:textId="77777777" w:rsidTr="00EA0DA7">
        <w:tc>
          <w:tcPr>
            <w:tcW w:w="5636" w:type="dxa"/>
          </w:tcPr>
          <w:p w14:paraId="6663B7A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1A8859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11,2/5000</w:t>
            </w:r>
          </w:p>
        </w:tc>
      </w:tr>
      <w:tr w:rsidR="00983732" w:rsidRPr="00A3026E" w14:paraId="4A5E861F" w14:textId="77777777" w:rsidTr="00EA0DA7">
        <w:tc>
          <w:tcPr>
            <w:tcW w:w="5636" w:type="dxa"/>
          </w:tcPr>
          <w:p w14:paraId="47383A6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5324EB2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7950</w:t>
            </w:r>
          </w:p>
        </w:tc>
      </w:tr>
      <w:tr w:rsidR="00983732" w:rsidRPr="00A3026E" w14:paraId="06E0CD91" w14:textId="77777777" w:rsidTr="00EA0DA7">
        <w:tc>
          <w:tcPr>
            <w:tcW w:w="5636" w:type="dxa"/>
          </w:tcPr>
          <w:p w14:paraId="274C21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2EA4E48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28F82EF" w14:textId="77777777" w:rsidTr="00EA0DA7">
        <w:tc>
          <w:tcPr>
            <w:tcW w:w="5636" w:type="dxa"/>
          </w:tcPr>
          <w:p w14:paraId="793AED1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64A5AA9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9018DEC" w14:textId="77777777" w:rsidTr="00EA0DA7">
        <w:tc>
          <w:tcPr>
            <w:tcW w:w="5636" w:type="dxa"/>
          </w:tcPr>
          <w:p w14:paraId="169ED74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66B4969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46DB622" w14:textId="77777777" w:rsidTr="00EA0DA7">
        <w:tc>
          <w:tcPr>
            <w:tcW w:w="5636" w:type="dxa"/>
          </w:tcPr>
          <w:p w14:paraId="0BAE6EA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3DD6CC7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5131545" w14:textId="77777777" w:rsidTr="00EA0DA7">
        <w:tc>
          <w:tcPr>
            <w:tcW w:w="5636" w:type="dxa"/>
          </w:tcPr>
          <w:p w14:paraId="2FF1213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50937C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9A8F0DD" w14:textId="77777777" w:rsidTr="00EA0DA7">
        <w:tc>
          <w:tcPr>
            <w:tcW w:w="5636" w:type="dxa"/>
          </w:tcPr>
          <w:p w14:paraId="0823C6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5F7DD6D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ADD28F0" w14:textId="77777777" w:rsidTr="00EA0DA7">
        <w:tc>
          <w:tcPr>
            <w:tcW w:w="5636" w:type="dxa"/>
          </w:tcPr>
          <w:p w14:paraId="612D55E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2345766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CB4F934" w14:textId="77777777" w:rsidTr="00EA0DA7">
        <w:tc>
          <w:tcPr>
            <w:tcW w:w="5636" w:type="dxa"/>
            <w:tcBorders>
              <w:bottom w:val="single" w:sz="12" w:space="0" w:color="auto"/>
            </w:tcBorders>
          </w:tcPr>
          <w:p w14:paraId="517843E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0DD197B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600/1000</w:t>
            </w:r>
          </w:p>
        </w:tc>
      </w:tr>
    </w:tbl>
    <w:p w14:paraId="05C9179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E99905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 2М-105 серийный № 10\35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1F8427AB" w14:textId="77777777" w:rsidTr="00EA0DA7">
        <w:tc>
          <w:tcPr>
            <w:tcW w:w="5636" w:type="dxa"/>
            <w:tcBorders>
              <w:top w:val="single" w:sz="12" w:space="0" w:color="auto"/>
            </w:tcBorders>
          </w:tcPr>
          <w:p w14:paraId="3443D0D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28B0BE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321967FA" w14:textId="77777777" w:rsidTr="00EA0DA7">
        <w:tc>
          <w:tcPr>
            <w:tcW w:w="5636" w:type="dxa"/>
          </w:tcPr>
          <w:p w14:paraId="2BF286D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122BB7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7700/8000</w:t>
            </w:r>
          </w:p>
        </w:tc>
      </w:tr>
      <w:tr w:rsidR="00983732" w:rsidRPr="00A3026E" w14:paraId="22C2445C" w14:textId="77777777" w:rsidTr="00EA0DA7">
        <w:tc>
          <w:tcPr>
            <w:tcW w:w="5636" w:type="dxa"/>
          </w:tcPr>
          <w:p w14:paraId="13B6B2E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62F9C33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E793869" w14:textId="77777777" w:rsidTr="00EA0DA7">
        <w:tc>
          <w:tcPr>
            <w:tcW w:w="5636" w:type="dxa"/>
          </w:tcPr>
          <w:p w14:paraId="11C5462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5822147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446</w:t>
            </w:r>
          </w:p>
        </w:tc>
      </w:tr>
      <w:tr w:rsidR="00983732" w:rsidRPr="00A3026E" w14:paraId="14995B71" w14:textId="77777777" w:rsidTr="00EA0DA7">
        <w:tc>
          <w:tcPr>
            <w:tcW w:w="5636" w:type="dxa"/>
          </w:tcPr>
          <w:p w14:paraId="7B75D9A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732CB14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530/5000</w:t>
            </w:r>
          </w:p>
        </w:tc>
      </w:tr>
      <w:tr w:rsidR="00983732" w:rsidRPr="00A3026E" w14:paraId="4EE83DC0" w14:textId="77777777" w:rsidTr="00EA0DA7">
        <w:tc>
          <w:tcPr>
            <w:tcW w:w="5636" w:type="dxa"/>
          </w:tcPr>
          <w:p w14:paraId="5A55BA8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25E14A3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DC1CFC2" w14:textId="77777777" w:rsidTr="00EA0DA7">
        <w:tc>
          <w:tcPr>
            <w:tcW w:w="5636" w:type="dxa"/>
          </w:tcPr>
          <w:p w14:paraId="3E95C3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127C833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8340A12" w14:textId="77777777" w:rsidTr="00EA0DA7">
        <w:tc>
          <w:tcPr>
            <w:tcW w:w="5636" w:type="dxa"/>
          </w:tcPr>
          <w:p w14:paraId="1F4C20F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4699754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0AC2EEF" w14:textId="77777777" w:rsidTr="00EA0DA7">
        <w:tc>
          <w:tcPr>
            <w:tcW w:w="5636" w:type="dxa"/>
          </w:tcPr>
          <w:p w14:paraId="4F7304A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0A85F8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10/5000</w:t>
            </w:r>
          </w:p>
        </w:tc>
      </w:tr>
      <w:tr w:rsidR="00983732" w:rsidRPr="00A3026E" w14:paraId="217B8E12" w14:textId="77777777" w:rsidTr="00EA0DA7">
        <w:tc>
          <w:tcPr>
            <w:tcW w:w="5636" w:type="dxa"/>
          </w:tcPr>
          <w:p w14:paraId="78916A8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7DB19A5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8800</w:t>
            </w:r>
          </w:p>
        </w:tc>
      </w:tr>
      <w:tr w:rsidR="00983732" w:rsidRPr="00A3026E" w14:paraId="6614D455" w14:textId="77777777" w:rsidTr="00EA0DA7">
        <w:tc>
          <w:tcPr>
            <w:tcW w:w="5636" w:type="dxa"/>
          </w:tcPr>
          <w:p w14:paraId="1C06098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2EA75FD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A983FDD" w14:textId="77777777" w:rsidTr="00EA0DA7">
        <w:tc>
          <w:tcPr>
            <w:tcW w:w="5636" w:type="dxa"/>
          </w:tcPr>
          <w:p w14:paraId="4822AC2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7534186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1B40A7B" w14:textId="77777777" w:rsidTr="00EA0DA7">
        <w:tc>
          <w:tcPr>
            <w:tcW w:w="5636" w:type="dxa"/>
          </w:tcPr>
          <w:p w14:paraId="6DD7009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6C3E6B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28A0925" w14:textId="77777777" w:rsidTr="00EA0DA7">
        <w:tc>
          <w:tcPr>
            <w:tcW w:w="5636" w:type="dxa"/>
          </w:tcPr>
          <w:p w14:paraId="6302E86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019B6BF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EE5F5E5" w14:textId="77777777" w:rsidTr="00EA0DA7">
        <w:tc>
          <w:tcPr>
            <w:tcW w:w="5636" w:type="dxa"/>
          </w:tcPr>
          <w:p w14:paraId="448DBA8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0C3A2D3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74EE7D1" w14:textId="77777777" w:rsidTr="00EA0DA7">
        <w:tc>
          <w:tcPr>
            <w:tcW w:w="5636" w:type="dxa"/>
          </w:tcPr>
          <w:p w14:paraId="4717144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5B71C9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0F4BF13" w14:textId="77777777" w:rsidTr="00EA0DA7">
        <w:tc>
          <w:tcPr>
            <w:tcW w:w="5636" w:type="dxa"/>
          </w:tcPr>
          <w:p w14:paraId="692007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0CCBC94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4C83B302" w14:textId="77777777" w:rsidTr="00EA0DA7">
        <w:tc>
          <w:tcPr>
            <w:tcW w:w="5636" w:type="dxa"/>
          </w:tcPr>
          <w:p w14:paraId="4852E41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2F0421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Березина</w:t>
            </w:r>
          </w:p>
        </w:tc>
      </w:tr>
      <w:tr w:rsidR="00983732" w:rsidRPr="00A3026E" w14:paraId="53274608" w14:textId="77777777" w:rsidTr="00EA0DA7">
        <w:tc>
          <w:tcPr>
            <w:tcW w:w="5636" w:type="dxa"/>
            <w:tcBorders>
              <w:bottom w:val="single" w:sz="12" w:space="0" w:color="auto"/>
            </w:tcBorders>
          </w:tcPr>
          <w:p w14:paraId="73772E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3E3004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600/1000</w:t>
            </w:r>
          </w:p>
        </w:tc>
      </w:tr>
    </w:tbl>
    <w:p w14:paraId="24B678B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74226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 2АМ-37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711AA6AA" w14:textId="77777777" w:rsidTr="00EA0DA7">
        <w:tc>
          <w:tcPr>
            <w:tcW w:w="5636" w:type="dxa"/>
            <w:tcBorders>
              <w:top w:val="single" w:sz="12" w:space="0" w:color="auto"/>
            </w:tcBorders>
          </w:tcPr>
          <w:p w14:paraId="0FCDC4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640363D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1400/6000</w:t>
            </w:r>
          </w:p>
        </w:tc>
      </w:tr>
      <w:tr w:rsidR="00983732" w:rsidRPr="00A3026E" w14:paraId="38A4D305" w14:textId="77777777" w:rsidTr="00EA0DA7">
        <w:tc>
          <w:tcPr>
            <w:tcW w:w="5636" w:type="dxa"/>
          </w:tcPr>
          <w:p w14:paraId="2678CD5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036AF0C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10130/10992</w:t>
            </w:r>
          </w:p>
        </w:tc>
      </w:tr>
      <w:tr w:rsidR="00983732" w:rsidRPr="00A3026E" w14:paraId="709D6460" w14:textId="77777777" w:rsidTr="00EA0DA7">
        <w:tc>
          <w:tcPr>
            <w:tcW w:w="5636" w:type="dxa"/>
          </w:tcPr>
          <w:p w14:paraId="26404BE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0BAC6B4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C74243D" w14:textId="77777777" w:rsidTr="00EA0DA7">
        <w:tc>
          <w:tcPr>
            <w:tcW w:w="5636" w:type="dxa"/>
          </w:tcPr>
          <w:p w14:paraId="6120BD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400AE15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482</w:t>
            </w:r>
          </w:p>
        </w:tc>
      </w:tr>
      <w:tr w:rsidR="00983732" w:rsidRPr="00A3026E" w14:paraId="591C625D" w14:textId="77777777" w:rsidTr="00EA0DA7">
        <w:tc>
          <w:tcPr>
            <w:tcW w:w="5636" w:type="dxa"/>
          </w:tcPr>
          <w:p w14:paraId="0E9F439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0EF146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635/8000</w:t>
            </w:r>
          </w:p>
        </w:tc>
      </w:tr>
      <w:tr w:rsidR="00983732" w:rsidRPr="00A3026E" w14:paraId="32E97A70" w14:textId="77777777" w:rsidTr="00EA0DA7">
        <w:tc>
          <w:tcPr>
            <w:tcW w:w="5636" w:type="dxa"/>
          </w:tcPr>
          <w:p w14:paraId="30F665B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77A93F2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2D56B66" w14:textId="77777777" w:rsidTr="00EA0DA7">
        <w:tc>
          <w:tcPr>
            <w:tcW w:w="5636" w:type="dxa"/>
          </w:tcPr>
          <w:p w14:paraId="420AF3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392B728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152</w:t>
            </w:r>
          </w:p>
        </w:tc>
      </w:tr>
      <w:tr w:rsidR="00983732" w:rsidRPr="00A3026E" w14:paraId="123DD14C" w14:textId="77777777" w:rsidTr="00EA0DA7">
        <w:tc>
          <w:tcPr>
            <w:tcW w:w="5636" w:type="dxa"/>
          </w:tcPr>
          <w:p w14:paraId="608617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133C7A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C1AE428" w14:textId="77777777" w:rsidTr="00EA0DA7">
        <w:tc>
          <w:tcPr>
            <w:tcW w:w="5636" w:type="dxa"/>
          </w:tcPr>
          <w:p w14:paraId="689317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6DF070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14/8000</w:t>
            </w:r>
          </w:p>
        </w:tc>
      </w:tr>
      <w:tr w:rsidR="00983732" w:rsidRPr="00A3026E" w14:paraId="55F4374F" w14:textId="77777777" w:rsidTr="00EA0DA7">
        <w:tc>
          <w:tcPr>
            <w:tcW w:w="5636" w:type="dxa"/>
          </w:tcPr>
          <w:p w14:paraId="6EAFB4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6599BCF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10600</w:t>
            </w:r>
          </w:p>
        </w:tc>
      </w:tr>
      <w:tr w:rsidR="00983732" w:rsidRPr="00A3026E" w14:paraId="78E4F568" w14:textId="77777777" w:rsidTr="00EA0DA7">
        <w:tc>
          <w:tcPr>
            <w:tcW w:w="5636" w:type="dxa"/>
          </w:tcPr>
          <w:p w14:paraId="14FAC62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739010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703C36B" w14:textId="77777777" w:rsidTr="00EA0DA7">
        <w:tc>
          <w:tcPr>
            <w:tcW w:w="5636" w:type="dxa"/>
          </w:tcPr>
          <w:p w14:paraId="02A79D4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7349886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591FE22" w14:textId="77777777" w:rsidTr="00EA0DA7">
        <w:tc>
          <w:tcPr>
            <w:tcW w:w="5636" w:type="dxa"/>
          </w:tcPr>
          <w:p w14:paraId="166CE08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69EE49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1900/расч.</w:t>
            </w:r>
          </w:p>
        </w:tc>
      </w:tr>
      <w:tr w:rsidR="00983732" w:rsidRPr="00A3026E" w14:paraId="670AABD9" w14:textId="77777777" w:rsidTr="00EA0DA7">
        <w:tc>
          <w:tcPr>
            <w:tcW w:w="5636" w:type="dxa"/>
          </w:tcPr>
          <w:p w14:paraId="7CCF552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3903EF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440/18</w:t>
            </w:r>
          </w:p>
        </w:tc>
      </w:tr>
      <w:tr w:rsidR="00983732" w:rsidRPr="00A3026E" w14:paraId="3BEA1A1A" w14:textId="77777777" w:rsidTr="00EA0DA7">
        <w:tc>
          <w:tcPr>
            <w:tcW w:w="5636" w:type="dxa"/>
          </w:tcPr>
          <w:p w14:paraId="1F6F8E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15C183C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730/35</w:t>
            </w:r>
          </w:p>
        </w:tc>
      </w:tr>
      <w:tr w:rsidR="00983732" w:rsidRPr="00A3026E" w14:paraId="2172F101" w14:textId="77777777" w:rsidTr="00EA0DA7">
        <w:tc>
          <w:tcPr>
            <w:tcW w:w="5636" w:type="dxa"/>
          </w:tcPr>
          <w:p w14:paraId="1EF82DF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320914E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45DB1B4" w14:textId="77777777" w:rsidTr="00EA0DA7">
        <w:tc>
          <w:tcPr>
            <w:tcW w:w="5636" w:type="dxa"/>
          </w:tcPr>
          <w:p w14:paraId="5194711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46C3E60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пушки 20 мм</w:t>
            </w:r>
          </w:p>
        </w:tc>
      </w:tr>
      <w:tr w:rsidR="00983732" w:rsidRPr="00A3026E" w14:paraId="1B20DC3C" w14:textId="77777777" w:rsidTr="00EA0DA7">
        <w:tc>
          <w:tcPr>
            <w:tcW w:w="5636" w:type="dxa"/>
          </w:tcPr>
          <w:p w14:paraId="797721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A5006C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пулемета 7,62 мм</w:t>
            </w:r>
          </w:p>
        </w:tc>
      </w:tr>
      <w:tr w:rsidR="00983732" w:rsidRPr="00A3026E" w14:paraId="469AD3F1" w14:textId="77777777" w:rsidTr="00EA0DA7">
        <w:tc>
          <w:tcPr>
            <w:tcW w:w="5636" w:type="dxa"/>
            <w:tcBorders>
              <w:bottom w:val="single" w:sz="12" w:space="0" w:color="auto"/>
            </w:tcBorders>
          </w:tcPr>
          <w:p w14:paraId="56AD986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5CBC80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1000/2000</w:t>
            </w:r>
          </w:p>
        </w:tc>
      </w:tr>
    </w:tbl>
    <w:p w14:paraId="3CC1A0C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6B422FD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 2АМ-37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53BEA604" w14:textId="77777777" w:rsidTr="00EA0DA7">
        <w:tc>
          <w:tcPr>
            <w:tcW w:w="5636" w:type="dxa"/>
            <w:tcBorders>
              <w:top w:val="single" w:sz="12" w:space="0" w:color="auto"/>
            </w:tcBorders>
          </w:tcPr>
          <w:p w14:paraId="6532F9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Мощность мотора/на высоте</w:t>
            </w:r>
          </w:p>
        </w:tc>
        <w:tc>
          <w:tcPr>
            <w:tcW w:w="4822" w:type="dxa"/>
            <w:tcBorders>
              <w:top w:val="single" w:sz="12" w:space="0" w:color="auto"/>
            </w:tcBorders>
          </w:tcPr>
          <w:p w14:paraId="6FA97A1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1400/6000</w:t>
            </w:r>
          </w:p>
        </w:tc>
      </w:tr>
      <w:tr w:rsidR="00983732" w:rsidRPr="00A3026E" w14:paraId="34497C85" w14:textId="77777777" w:rsidTr="00EA0DA7">
        <w:tc>
          <w:tcPr>
            <w:tcW w:w="5636" w:type="dxa"/>
          </w:tcPr>
          <w:p w14:paraId="53F3CE7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4B4515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10448/11498</w:t>
            </w:r>
          </w:p>
        </w:tc>
      </w:tr>
      <w:tr w:rsidR="00983732" w:rsidRPr="00A3026E" w14:paraId="4A40FAF9" w14:textId="77777777" w:rsidTr="00EA0DA7">
        <w:tc>
          <w:tcPr>
            <w:tcW w:w="5636" w:type="dxa"/>
          </w:tcPr>
          <w:p w14:paraId="023ABDC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228E5AE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BD09572" w14:textId="77777777" w:rsidTr="00EA0DA7">
        <w:tc>
          <w:tcPr>
            <w:tcW w:w="5636" w:type="dxa"/>
          </w:tcPr>
          <w:p w14:paraId="39E90AC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3C4E88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469</w:t>
            </w:r>
          </w:p>
        </w:tc>
      </w:tr>
      <w:tr w:rsidR="00983732" w:rsidRPr="00A3026E" w14:paraId="7015C84E" w14:textId="77777777" w:rsidTr="00EA0DA7">
        <w:tc>
          <w:tcPr>
            <w:tcW w:w="5636" w:type="dxa"/>
          </w:tcPr>
          <w:p w14:paraId="7C0200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73CF3A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610/7800</w:t>
            </w:r>
          </w:p>
        </w:tc>
      </w:tr>
      <w:tr w:rsidR="00983732" w:rsidRPr="00A3026E" w14:paraId="253018F7" w14:textId="77777777" w:rsidTr="00EA0DA7">
        <w:tc>
          <w:tcPr>
            <w:tcW w:w="5636" w:type="dxa"/>
          </w:tcPr>
          <w:p w14:paraId="0EB249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68BC91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005D6D8" w14:textId="77777777" w:rsidTr="00EA0DA7">
        <w:tc>
          <w:tcPr>
            <w:tcW w:w="5636" w:type="dxa"/>
          </w:tcPr>
          <w:p w14:paraId="413A87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7D722B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w:t>
            </w:r>
          </w:p>
        </w:tc>
      </w:tr>
      <w:tr w:rsidR="00983732" w:rsidRPr="00A3026E" w14:paraId="55A57276" w14:textId="77777777" w:rsidTr="00EA0DA7">
        <w:tc>
          <w:tcPr>
            <w:tcW w:w="5636" w:type="dxa"/>
          </w:tcPr>
          <w:p w14:paraId="1B0FF1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4DBC8E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4BF51C2" w14:textId="77777777" w:rsidTr="00EA0DA7">
        <w:tc>
          <w:tcPr>
            <w:tcW w:w="5636" w:type="dxa"/>
          </w:tcPr>
          <w:p w14:paraId="4724F6F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7023B4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15,5/8000</w:t>
            </w:r>
          </w:p>
        </w:tc>
      </w:tr>
      <w:tr w:rsidR="00983732" w:rsidRPr="00A3026E" w14:paraId="44254C05" w14:textId="77777777" w:rsidTr="00EA0DA7">
        <w:tc>
          <w:tcPr>
            <w:tcW w:w="5636" w:type="dxa"/>
          </w:tcPr>
          <w:p w14:paraId="5AB03CD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361AFB3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10500</w:t>
            </w:r>
          </w:p>
        </w:tc>
      </w:tr>
      <w:tr w:rsidR="00983732" w:rsidRPr="00A3026E" w14:paraId="2278D08C" w14:textId="77777777" w:rsidTr="00EA0DA7">
        <w:tc>
          <w:tcPr>
            <w:tcW w:w="5636" w:type="dxa"/>
          </w:tcPr>
          <w:p w14:paraId="65E235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321D209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4932D30" w14:textId="77777777" w:rsidTr="00EA0DA7">
        <w:tc>
          <w:tcPr>
            <w:tcW w:w="5636" w:type="dxa"/>
          </w:tcPr>
          <w:p w14:paraId="0FE5567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6C32D14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1BB4442" w14:textId="77777777" w:rsidTr="00EA0DA7">
        <w:tc>
          <w:tcPr>
            <w:tcW w:w="5636" w:type="dxa"/>
          </w:tcPr>
          <w:p w14:paraId="4D3984A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32A291A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1898/расч.</w:t>
            </w:r>
          </w:p>
        </w:tc>
      </w:tr>
      <w:tr w:rsidR="00983732" w:rsidRPr="00A3026E" w14:paraId="6395ADAF" w14:textId="77777777" w:rsidTr="00EA0DA7">
        <w:tc>
          <w:tcPr>
            <w:tcW w:w="5636" w:type="dxa"/>
          </w:tcPr>
          <w:p w14:paraId="28366A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4A9F7D4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435/19</w:t>
            </w:r>
          </w:p>
        </w:tc>
      </w:tr>
      <w:tr w:rsidR="00983732" w:rsidRPr="00A3026E" w14:paraId="494132AA" w14:textId="77777777" w:rsidTr="00EA0DA7">
        <w:tc>
          <w:tcPr>
            <w:tcW w:w="5636" w:type="dxa"/>
          </w:tcPr>
          <w:p w14:paraId="003508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0D9FDF2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765/37</w:t>
            </w:r>
          </w:p>
        </w:tc>
      </w:tr>
      <w:tr w:rsidR="00983732" w:rsidRPr="00A3026E" w14:paraId="4EA8412E" w14:textId="77777777" w:rsidTr="00EA0DA7">
        <w:tc>
          <w:tcPr>
            <w:tcW w:w="5636" w:type="dxa"/>
          </w:tcPr>
          <w:p w14:paraId="654174E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1B2DFF4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B6FEB9F" w14:textId="77777777" w:rsidTr="00EA0DA7">
        <w:tc>
          <w:tcPr>
            <w:tcW w:w="5636" w:type="dxa"/>
          </w:tcPr>
          <w:p w14:paraId="27D9667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5A3DAF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пушки 20 мм</w:t>
            </w:r>
          </w:p>
        </w:tc>
      </w:tr>
      <w:tr w:rsidR="00983732" w:rsidRPr="00A3026E" w14:paraId="31F96AE2" w14:textId="77777777" w:rsidTr="00EA0DA7">
        <w:tc>
          <w:tcPr>
            <w:tcW w:w="5636" w:type="dxa"/>
          </w:tcPr>
          <w:p w14:paraId="5FAEEA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54789B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пулеметов 7,62 мм</w:t>
            </w:r>
          </w:p>
        </w:tc>
      </w:tr>
      <w:tr w:rsidR="00983732" w:rsidRPr="00A3026E" w14:paraId="2EFC5E96" w14:textId="77777777" w:rsidTr="00EA0DA7">
        <w:tc>
          <w:tcPr>
            <w:tcW w:w="5636" w:type="dxa"/>
            <w:tcBorders>
              <w:bottom w:val="single" w:sz="12" w:space="0" w:color="auto"/>
            </w:tcBorders>
          </w:tcPr>
          <w:p w14:paraId="48861F9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5C75D1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1000\2000</w:t>
            </w:r>
          </w:p>
        </w:tc>
      </w:tr>
    </w:tbl>
    <w:p w14:paraId="22C55DE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8B171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 АМ-38 (серийный завода № 18).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14C6883F" w14:textId="77777777" w:rsidTr="00EA0DA7">
        <w:tc>
          <w:tcPr>
            <w:tcW w:w="5636" w:type="dxa"/>
            <w:tcBorders>
              <w:top w:val="single" w:sz="12" w:space="0" w:color="auto"/>
            </w:tcBorders>
          </w:tcPr>
          <w:p w14:paraId="1A5E960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39AF4A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1600/1750</w:t>
            </w:r>
          </w:p>
        </w:tc>
      </w:tr>
      <w:tr w:rsidR="00983732" w:rsidRPr="00A3026E" w14:paraId="4C2E6F86" w14:textId="77777777" w:rsidTr="00EA0DA7">
        <w:tc>
          <w:tcPr>
            <w:tcW w:w="5636" w:type="dxa"/>
          </w:tcPr>
          <w:p w14:paraId="1F6594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16F190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5336/5536</w:t>
            </w:r>
          </w:p>
        </w:tc>
      </w:tr>
      <w:tr w:rsidR="00983732" w:rsidRPr="00A3026E" w14:paraId="6F34615F" w14:textId="77777777" w:rsidTr="00EA0DA7">
        <w:tc>
          <w:tcPr>
            <w:tcW w:w="5636" w:type="dxa"/>
          </w:tcPr>
          <w:p w14:paraId="2C79368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412CD00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06BBDC2" w14:textId="77777777" w:rsidTr="00EA0DA7">
        <w:tc>
          <w:tcPr>
            <w:tcW w:w="5636" w:type="dxa"/>
          </w:tcPr>
          <w:p w14:paraId="47885D6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5573A41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423</w:t>
            </w:r>
          </w:p>
        </w:tc>
      </w:tr>
      <w:tr w:rsidR="00983732" w:rsidRPr="00A3026E" w14:paraId="211B1429" w14:textId="77777777" w:rsidTr="00EA0DA7">
        <w:tc>
          <w:tcPr>
            <w:tcW w:w="5636" w:type="dxa"/>
          </w:tcPr>
          <w:p w14:paraId="505B916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63E69CD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451/2500</w:t>
            </w:r>
          </w:p>
        </w:tc>
      </w:tr>
      <w:tr w:rsidR="00983732" w:rsidRPr="00A3026E" w14:paraId="5D1515DB" w14:textId="77777777" w:rsidTr="00EA0DA7">
        <w:tc>
          <w:tcPr>
            <w:tcW w:w="5636" w:type="dxa"/>
          </w:tcPr>
          <w:p w14:paraId="26E123A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26210DA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451/2500</w:t>
            </w:r>
          </w:p>
        </w:tc>
      </w:tr>
      <w:tr w:rsidR="00983732" w:rsidRPr="00A3026E" w14:paraId="02EA56E2" w14:textId="77777777" w:rsidTr="00EA0DA7">
        <w:tc>
          <w:tcPr>
            <w:tcW w:w="5636" w:type="dxa"/>
          </w:tcPr>
          <w:p w14:paraId="0CF465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16D84C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 (пол. вес 4950 кг)</w:t>
            </w:r>
          </w:p>
        </w:tc>
      </w:tr>
      <w:tr w:rsidR="00983732" w:rsidRPr="00A3026E" w14:paraId="6AC7ED8F" w14:textId="77777777" w:rsidTr="00EA0DA7">
        <w:tc>
          <w:tcPr>
            <w:tcW w:w="5636" w:type="dxa"/>
          </w:tcPr>
          <w:p w14:paraId="7313CC8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599957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9E507D8" w14:textId="77777777" w:rsidTr="00EA0DA7">
        <w:tc>
          <w:tcPr>
            <w:tcW w:w="5636" w:type="dxa"/>
          </w:tcPr>
          <w:p w14:paraId="12F189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5733D0F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10,6/5000</w:t>
            </w:r>
          </w:p>
        </w:tc>
      </w:tr>
      <w:tr w:rsidR="00983732" w:rsidRPr="00A3026E" w14:paraId="5B5F60D1" w14:textId="77777777" w:rsidTr="00EA0DA7">
        <w:tc>
          <w:tcPr>
            <w:tcW w:w="5636" w:type="dxa"/>
          </w:tcPr>
          <w:p w14:paraId="626AE16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39570B7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7500</w:t>
            </w:r>
          </w:p>
        </w:tc>
      </w:tr>
      <w:tr w:rsidR="00983732" w:rsidRPr="00A3026E" w14:paraId="6788B10C" w14:textId="77777777" w:rsidTr="00EA0DA7">
        <w:tc>
          <w:tcPr>
            <w:tcW w:w="5636" w:type="dxa"/>
          </w:tcPr>
          <w:p w14:paraId="75121F8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53510D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2FA692A" w14:textId="77777777" w:rsidTr="00EA0DA7">
        <w:tc>
          <w:tcPr>
            <w:tcW w:w="5636" w:type="dxa"/>
          </w:tcPr>
          <w:p w14:paraId="01FD0BB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63B6B2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508/200</w:t>
            </w:r>
          </w:p>
        </w:tc>
      </w:tr>
      <w:tr w:rsidR="00983732" w:rsidRPr="00A3026E" w14:paraId="6FE2C1CC" w14:textId="77777777" w:rsidTr="00EA0DA7">
        <w:tc>
          <w:tcPr>
            <w:tcW w:w="5636" w:type="dxa"/>
          </w:tcPr>
          <w:p w14:paraId="0BA15C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4875F2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553/2400</w:t>
            </w:r>
          </w:p>
        </w:tc>
      </w:tr>
      <w:tr w:rsidR="00983732" w:rsidRPr="00A3026E" w14:paraId="539E1246" w14:textId="77777777" w:rsidTr="00EA0DA7">
        <w:tc>
          <w:tcPr>
            <w:tcW w:w="5636" w:type="dxa"/>
          </w:tcPr>
          <w:p w14:paraId="6931AC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31BDA63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E85F6C5" w14:textId="77777777" w:rsidTr="00EA0DA7">
        <w:tc>
          <w:tcPr>
            <w:tcW w:w="5636" w:type="dxa"/>
          </w:tcPr>
          <w:p w14:paraId="722FEB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335D54A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410/17</w:t>
            </w:r>
          </w:p>
        </w:tc>
      </w:tr>
      <w:tr w:rsidR="00983732" w:rsidRPr="00A3026E" w14:paraId="3A574DF1" w14:textId="77777777" w:rsidTr="00EA0DA7">
        <w:tc>
          <w:tcPr>
            <w:tcW w:w="5636" w:type="dxa"/>
          </w:tcPr>
          <w:p w14:paraId="1458A47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27A9DB8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360/18</w:t>
            </w:r>
          </w:p>
        </w:tc>
      </w:tr>
      <w:tr w:rsidR="00983732" w:rsidRPr="00A3026E" w14:paraId="5646A671" w14:textId="77777777" w:rsidTr="00EA0DA7">
        <w:tc>
          <w:tcPr>
            <w:tcW w:w="5636" w:type="dxa"/>
          </w:tcPr>
          <w:p w14:paraId="4255DB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72C3A2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841220B" w14:textId="77777777" w:rsidTr="00EA0DA7">
        <w:tc>
          <w:tcPr>
            <w:tcW w:w="5636" w:type="dxa"/>
          </w:tcPr>
          <w:p w14:paraId="6F6C14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2049BF6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ШВАК (420 сн.)</w:t>
            </w:r>
          </w:p>
        </w:tc>
      </w:tr>
      <w:tr w:rsidR="00983732" w:rsidRPr="00A3026E" w14:paraId="1906A7A4" w14:textId="77777777" w:rsidTr="00EA0DA7">
        <w:tc>
          <w:tcPr>
            <w:tcW w:w="5636" w:type="dxa"/>
          </w:tcPr>
          <w:p w14:paraId="05C3E6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4768C2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 (1500 п.)</w:t>
            </w:r>
          </w:p>
        </w:tc>
      </w:tr>
      <w:tr w:rsidR="00983732" w:rsidRPr="00A3026E" w14:paraId="27CF6D80" w14:textId="77777777" w:rsidTr="00EA0DA7">
        <w:tc>
          <w:tcPr>
            <w:tcW w:w="5636" w:type="dxa"/>
            <w:tcBorders>
              <w:bottom w:val="single" w:sz="12" w:space="0" w:color="auto"/>
            </w:tcBorders>
          </w:tcPr>
          <w:p w14:paraId="2F59FEA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2A8ABF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400/600</w:t>
            </w:r>
          </w:p>
        </w:tc>
      </w:tr>
    </w:tbl>
    <w:p w14:paraId="5BA887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6B73E41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Су-2-88Б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05529562" w14:textId="77777777" w:rsidTr="00EA0DA7">
        <w:tc>
          <w:tcPr>
            <w:tcW w:w="5636" w:type="dxa"/>
            <w:tcBorders>
              <w:top w:val="single" w:sz="12" w:space="0" w:color="auto"/>
            </w:tcBorders>
          </w:tcPr>
          <w:p w14:paraId="58033C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0F2B25B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1000/6000</w:t>
            </w:r>
          </w:p>
        </w:tc>
      </w:tr>
      <w:tr w:rsidR="00983732" w:rsidRPr="00A3026E" w14:paraId="2A8EF45A" w14:textId="77777777" w:rsidTr="00EA0DA7">
        <w:tc>
          <w:tcPr>
            <w:tcW w:w="5636" w:type="dxa"/>
          </w:tcPr>
          <w:p w14:paraId="4C39710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52B2A5C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4310/4520</w:t>
            </w:r>
          </w:p>
        </w:tc>
      </w:tr>
      <w:tr w:rsidR="00983732" w:rsidRPr="00A3026E" w14:paraId="2FBB8949" w14:textId="77777777" w:rsidTr="00EA0DA7">
        <w:tc>
          <w:tcPr>
            <w:tcW w:w="5636" w:type="dxa"/>
          </w:tcPr>
          <w:p w14:paraId="4940DC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58577F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06FB45B" w14:textId="77777777" w:rsidTr="00EA0DA7">
        <w:tc>
          <w:tcPr>
            <w:tcW w:w="5636" w:type="dxa"/>
          </w:tcPr>
          <w:p w14:paraId="488E86F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1EDC9C9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w:t>
            </w:r>
          </w:p>
        </w:tc>
      </w:tr>
      <w:tr w:rsidR="00983732" w:rsidRPr="00A3026E" w14:paraId="5A68F7A7" w14:textId="77777777" w:rsidTr="00EA0DA7">
        <w:tc>
          <w:tcPr>
            <w:tcW w:w="5636" w:type="dxa"/>
          </w:tcPr>
          <w:p w14:paraId="2866D1B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0B8723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512/7100</w:t>
            </w:r>
          </w:p>
        </w:tc>
      </w:tr>
      <w:tr w:rsidR="00983732" w:rsidRPr="00A3026E" w14:paraId="2B0003EE" w14:textId="77777777" w:rsidTr="00EA0DA7">
        <w:tc>
          <w:tcPr>
            <w:tcW w:w="5636" w:type="dxa"/>
          </w:tcPr>
          <w:p w14:paraId="07F1B6E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822" w:type="dxa"/>
          </w:tcPr>
          <w:p w14:paraId="5F03AC9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512/7100</w:t>
            </w:r>
          </w:p>
        </w:tc>
      </w:tr>
      <w:tr w:rsidR="00983732" w:rsidRPr="00A3026E" w14:paraId="5CCC0C1D" w14:textId="77777777" w:rsidTr="00EA0DA7">
        <w:tc>
          <w:tcPr>
            <w:tcW w:w="5636" w:type="dxa"/>
          </w:tcPr>
          <w:p w14:paraId="3AA37F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2D597AE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136 (пол. вес 3600 кг)</w:t>
            </w:r>
          </w:p>
        </w:tc>
      </w:tr>
      <w:tr w:rsidR="00983732" w:rsidRPr="00A3026E" w14:paraId="6B35CB2F" w14:textId="77777777" w:rsidTr="00EA0DA7">
        <w:tc>
          <w:tcPr>
            <w:tcW w:w="5636" w:type="dxa"/>
          </w:tcPr>
          <w:p w14:paraId="1AF990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822" w:type="dxa"/>
          </w:tcPr>
          <w:p w14:paraId="732846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21/1000</w:t>
            </w:r>
          </w:p>
        </w:tc>
      </w:tr>
      <w:tr w:rsidR="00983732" w:rsidRPr="00A3026E" w14:paraId="19ABDF06" w14:textId="77777777" w:rsidTr="00EA0DA7">
        <w:tc>
          <w:tcPr>
            <w:tcW w:w="5636" w:type="dxa"/>
          </w:tcPr>
          <w:p w14:paraId="09C0C93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822" w:type="dxa"/>
          </w:tcPr>
          <w:p w14:paraId="43F499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11,3/5000</w:t>
            </w:r>
          </w:p>
        </w:tc>
      </w:tr>
      <w:tr w:rsidR="00983732" w:rsidRPr="00A3026E" w14:paraId="0DAE8B91" w14:textId="77777777" w:rsidTr="00EA0DA7">
        <w:tc>
          <w:tcPr>
            <w:tcW w:w="5636" w:type="dxa"/>
          </w:tcPr>
          <w:p w14:paraId="7197AE0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822" w:type="dxa"/>
          </w:tcPr>
          <w:p w14:paraId="62FC8CB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9120</w:t>
            </w:r>
          </w:p>
        </w:tc>
      </w:tr>
      <w:tr w:rsidR="00983732" w:rsidRPr="00A3026E" w14:paraId="23389F50" w14:textId="77777777" w:rsidTr="00EA0DA7">
        <w:tc>
          <w:tcPr>
            <w:tcW w:w="5636" w:type="dxa"/>
          </w:tcPr>
          <w:p w14:paraId="7C2CF9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822" w:type="dxa"/>
          </w:tcPr>
          <w:p w14:paraId="6472CD3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6A01BB1" w14:textId="77777777" w:rsidTr="00EA0DA7">
        <w:tc>
          <w:tcPr>
            <w:tcW w:w="5636" w:type="dxa"/>
          </w:tcPr>
          <w:p w14:paraId="4E4487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822" w:type="dxa"/>
          </w:tcPr>
          <w:p w14:paraId="35FF85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850/670</w:t>
            </w:r>
          </w:p>
        </w:tc>
      </w:tr>
      <w:tr w:rsidR="00983732" w:rsidRPr="00A3026E" w14:paraId="79A27A57" w14:textId="77777777" w:rsidTr="00EA0DA7">
        <w:tc>
          <w:tcPr>
            <w:tcW w:w="5636" w:type="dxa"/>
          </w:tcPr>
          <w:p w14:paraId="675312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78EEBBA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815/630</w:t>
            </w:r>
          </w:p>
        </w:tc>
      </w:tr>
      <w:tr w:rsidR="00983732" w:rsidRPr="00A3026E" w14:paraId="0E8D7136" w14:textId="77777777" w:rsidTr="00EA0DA7">
        <w:tc>
          <w:tcPr>
            <w:tcW w:w="5636" w:type="dxa"/>
          </w:tcPr>
          <w:p w14:paraId="693C59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822" w:type="dxa"/>
          </w:tcPr>
          <w:p w14:paraId="4B336A9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B9A6660" w14:textId="77777777" w:rsidTr="00EA0DA7">
        <w:tc>
          <w:tcPr>
            <w:tcW w:w="5636" w:type="dxa"/>
          </w:tcPr>
          <w:p w14:paraId="633CE13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822" w:type="dxa"/>
          </w:tcPr>
          <w:p w14:paraId="319992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474/18</w:t>
            </w:r>
          </w:p>
        </w:tc>
      </w:tr>
      <w:tr w:rsidR="00983732" w:rsidRPr="00A3026E" w14:paraId="6473458C" w14:textId="77777777" w:rsidTr="00EA0DA7">
        <w:tc>
          <w:tcPr>
            <w:tcW w:w="5636" w:type="dxa"/>
          </w:tcPr>
          <w:p w14:paraId="1D566C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822" w:type="dxa"/>
          </w:tcPr>
          <w:p w14:paraId="1799057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425/22,5</w:t>
            </w:r>
          </w:p>
        </w:tc>
      </w:tr>
      <w:tr w:rsidR="00983732" w:rsidRPr="00A3026E" w14:paraId="5F821D97" w14:textId="77777777" w:rsidTr="00EA0DA7">
        <w:tc>
          <w:tcPr>
            <w:tcW w:w="5636" w:type="dxa"/>
          </w:tcPr>
          <w:p w14:paraId="354009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822" w:type="dxa"/>
          </w:tcPr>
          <w:p w14:paraId="74AE58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47B5B44" w14:textId="77777777" w:rsidTr="00EA0DA7">
        <w:tc>
          <w:tcPr>
            <w:tcW w:w="5636" w:type="dxa"/>
          </w:tcPr>
          <w:p w14:paraId="1DB6104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822" w:type="dxa"/>
          </w:tcPr>
          <w:p w14:paraId="6C9B7F9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ШКАС (2600 патр.)</w:t>
            </w:r>
          </w:p>
        </w:tc>
      </w:tr>
      <w:tr w:rsidR="00983732" w:rsidRPr="00A3026E" w14:paraId="2FF26AF8" w14:textId="77777777" w:rsidTr="00EA0DA7">
        <w:tc>
          <w:tcPr>
            <w:tcW w:w="5636" w:type="dxa"/>
            <w:tcBorders>
              <w:bottom w:val="single" w:sz="12" w:space="0" w:color="auto"/>
            </w:tcBorders>
          </w:tcPr>
          <w:p w14:paraId="2B69003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763A26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400/600</w:t>
            </w:r>
          </w:p>
        </w:tc>
      </w:tr>
    </w:tbl>
    <w:p w14:paraId="01FE6ED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18EF9B5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B26C2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вышло постановление СНК о создании ОК бызы для десантно-транспортных объектов (9650).</w:t>
      </w:r>
    </w:p>
    <w:p w14:paraId="58F529D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0522A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г. принимает</w:t>
      </w:r>
      <w:r w:rsidRPr="00A3026E">
        <w:rPr>
          <w:rFonts w:ascii="Times New Roman" w:hAnsi="Times New Roman"/>
          <w:color w:val="000000" w:themeColor="text1"/>
          <w:sz w:val="16"/>
          <w:szCs w:val="16"/>
        </w:rPr>
        <w:softHyphen/>
        <w:t>ся постановление СНК СССР о созда</w:t>
      </w:r>
      <w:r w:rsidRPr="00A3026E">
        <w:rPr>
          <w:rFonts w:ascii="Times New Roman" w:hAnsi="Times New Roman"/>
          <w:color w:val="000000" w:themeColor="text1"/>
          <w:sz w:val="16"/>
          <w:szCs w:val="16"/>
        </w:rPr>
        <w:softHyphen/>
        <w:t>нии опытно-конструкторской базы для десантно-транспортных объектов, а 30 ноября того же года на основании этого постановления появляется при</w:t>
      </w:r>
      <w:r w:rsidRPr="00A3026E">
        <w:rPr>
          <w:rFonts w:ascii="Times New Roman" w:hAnsi="Times New Roman"/>
          <w:color w:val="000000" w:themeColor="text1"/>
          <w:sz w:val="16"/>
          <w:szCs w:val="16"/>
        </w:rPr>
        <w:softHyphen/>
        <w:t>каз наркома авиационной промыш</w:t>
      </w:r>
      <w:r w:rsidRPr="00A3026E">
        <w:rPr>
          <w:rFonts w:ascii="Times New Roman" w:hAnsi="Times New Roman"/>
          <w:color w:val="000000" w:themeColor="text1"/>
          <w:sz w:val="16"/>
          <w:szCs w:val="16"/>
        </w:rPr>
        <w:softHyphen/>
        <w:t>ленности №680 об организации опыт</w:t>
      </w:r>
      <w:r w:rsidRPr="00A3026E">
        <w:rPr>
          <w:rFonts w:ascii="Times New Roman" w:hAnsi="Times New Roman"/>
          <w:color w:val="000000" w:themeColor="text1"/>
          <w:sz w:val="16"/>
          <w:szCs w:val="16"/>
        </w:rPr>
        <w:softHyphen/>
        <w:t>ного завода 1-й категории №468 (пол</w:t>
      </w:r>
      <w:r w:rsidRPr="00A3026E">
        <w:rPr>
          <w:rFonts w:ascii="Times New Roman" w:hAnsi="Times New Roman"/>
          <w:color w:val="000000" w:themeColor="text1"/>
          <w:sz w:val="16"/>
          <w:szCs w:val="16"/>
        </w:rPr>
        <w:softHyphen/>
        <w:t>ное наименование - Государственный союзный завод №468 НКАП, с 1966 г. -«Агрегатный завод «Универсал»). Глав</w:t>
      </w:r>
      <w:r w:rsidRPr="00A3026E">
        <w:rPr>
          <w:rFonts w:ascii="Times New Roman" w:hAnsi="Times New Roman"/>
          <w:color w:val="000000" w:themeColor="text1"/>
          <w:sz w:val="16"/>
          <w:szCs w:val="16"/>
        </w:rPr>
        <w:softHyphen/>
        <w:t>ным конструктором и директором за</w:t>
      </w:r>
      <w:r w:rsidRPr="00A3026E">
        <w:rPr>
          <w:rFonts w:ascii="Times New Roman" w:hAnsi="Times New Roman"/>
          <w:color w:val="000000" w:themeColor="text1"/>
          <w:sz w:val="16"/>
          <w:szCs w:val="16"/>
        </w:rPr>
        <w:softHyphen/>
        <w:t>вода стал Алексей Иванович Привалов.</w:t>
      </w:r>
    </w:p>
    <w:p w14:paraId="7B33F4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подчинялся 7-му Главному управлению Наркомата авиационной промышленности, а в качестве произ</w:t>
      </w:r>
      <w:r w:rsidRPr="00A3026E">
        <w:rPr>
          <w:rFonts w:ascii="Times New Roman" w:hAnsi="Times New Roman"/>
          <w:color w:val="000000" w:themeColor="text1"/>
          <w:sz w:val="16"/>
          <w:szCs w:val="16"/>
        </w:rPr>
        <w:softHyphen/>
        <w:t>водственной базы получил недостро</w:t>
      </w:r>
      <w:r w:rsidRPr="00A3026E">
        <w:rPr>
          <w:rFonts w:ascii="Times New Roman" w:hAnsi="Times New Roman"/>
          <w:color w:val="000000" w:themeColor="text1"/>
          <w:sz w:val="16"/>
          <w:szCs w:val="16"/>
        </w:rPr>
        <w:softHyphen/>
        <w:t>енную фабрику им. Воровского по об</w:t>
      </w:r>
      <w:r w:rsidRPr="00A3026E">
        <w:rPr>
          <w:rFonts w:ascii="Times New Roman" w:hAnsi="Times New Roman"/>
          <w:color w:val="000000" w:themeColor="text1"/>
          <w:sz w:val="16"/>
          <w:szCs w:val="16"/>
        </w:rPr>
        <w:softHyphen/>
        <w:t>работке стройматериалов на окраине поселка Бескудниково под Москвой. До приведения этой территории в пригодное для работы состояние кон</w:t>
      </w:r>
      <w:r w:rsidRPr="00A3026E">
        <w:rPr>
          <w:rFonts w:ascii="Times New Roman" w:hAnsi="Times New Roman"/>
          <w:color w:val="000000" w:themeColor="text1"/>
          <w:sz w:val="16"/>
          <w:szCs w:val="16"/>
        </w:rPr>
        <w:softHyphen/>
        <w:t>структорская группа до мая 1941 г. ба</w:t>
      </w:r>
      <w:r w:rsidRPr="00A3026E">
        <w:rPr>
          <w:rFonts w:ascii="Times New Roman" w:hAnsi="Times New Roman"/>
          <w:color w:val="000000" w:themeColor="text1"/>
          <w:sz w:val="16"/>
          <w:szCs w:val="16"/>
        </w:rPr>
        <w:softHyphen/>
        <w:t>зировалась на заводе №84 в Химках. Интересно, что на этом заводе выпус</w:t>
      </w:r>
      <w:r w:rsidRPr="00A3026E">
        <w:rPr>
          <w:rFonts w:ascii="Times New Roman" w:hAnsi="Times New Roman"/>
          <w:color w:val="000000" w:themeColor="text1"/>
          <w:sz w:val="16"/>
          <w:szCs w:val="16"/>
        </w:rPr>
        <w:softHyphen/>
        <w:t>кался пассажирский самолет ПС-84 (лицензионная версия американско</w:t>
      </w:r>
      <w:r w:rsidRPr="00A3026E">
        <w:rPr>
          <w:rFonts w:ascii="Times New Roman" w:hAnsi="Times New Roman"/>
          <w:color w:val="000000" w:themeColor="text1"/>
          <w:sz w:val="16"/>
          <w:szCs w:val="16"/>
        </w:rPr>
        <w:softHyphen/>
        <w:t>го ОС-3), впоследствии известный как Ли-2, и именно специалисты завода №468 стали заниматься его примене</w:t>
      </w:r>
      <w:r w:rsidRPr="00A3026E">
        <w:rPr>
          <w:rFonts w:ascii="Times New Roman" w:hAnsi="Times New Roman"/>
          <w:color w:val="000000" w:themeColor="text1"/>
          <w:sz w:val="16"/>
          <w:szCs w:val="16"/>
        </w:rPr>
        <w:softHyphen/>
        <w:t>нием для проведения воздушно-де</w:t>
      </w:r>
      <w:r w:rsidRPr="00A3026E">
        <w:rPr>
          <w:rFonts w:ascii="Times New Roman" w:hAnsi="Times New Roman"/>
          <w:color w:val="000000" w:themeColor="text1"/>
          <w:sz w:val="16"/>
          <w:szCs w:val="16"/>
        </w:rPr>
        <w:softHyphen/>
        <w:t>сантных операций.</w:t>
      </w:r>
    </w:p>
    <w:p w14:paraId="13384B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ограниченные произ</w:t>
      </w:r>
      <w:r w:rsidRPr="00A3026E">
        <w:rPr>
          <w:rFonts w:ascii="Times New Roman" w:hAnsi="Times New Roman"/>
          <w:color w:val="000000" w:themeColor="text1"/>
          <w:sz w:val="16"/>
          <w:szCs w:val="16"/>
        </w:rPr>
        <w:softHyphen/>
        <w:t>водственные возможности, конструк</w:t>
      </w:r>
      <w:r w:rsidRPr="00A3026E">
        <w:rPr>
          <w:rFonts w:ascii="Times New Roman" w:hAnsi="Times New Roman"/>
          <w:color w:val="000000" w:themeColor="text1"/>
          <w:sz w:val="16"/>
          <w:szCs w:val="16"/>
        </w:rPr>
        <w:softHyphen/>
        <w:t>торы завода №468 продолжили опыт</w:t>
      </w:r>
      <w:r w:rsidRPr="00A3026E">
        <w:rPr>
          <w:rFonts w:ascii="Times New Roman" w:hAnsi="Times New Roman"/>
          <w:color w:val="000000" w:themeColor="text1"/>
          <w:sz w:val="16"/>
          <w:szCs w:val="16"/>
        </w:rPr>
        <w:softHyphen/>
        <w:t>но-конструкторские работы. В апреле 1941 г. в НИИ ВВС завершились испытания доработанных подвесок и плат</w:t>
      </w:r>
      <w:r w:rsidRPr="00A3026E">
        <w:rPr>
          <w:rFonts w:ascii="Times New Roman" w:hAnsi="Times New Roman"/>
          <w:color w:val="000000" w:themeColor="text1"/>
          <w:sz w:val="16"/>
          <w:szCs w:val="16"/>
        </w:rPr>
        <w:softHyphen/>
        <w:t>форм для транспортировки и пара</w:t>
      </w:r>
      <w:r w:rsidRPr="00A3026E">
        <w:rPr>
          <w:rFonts w:ascii="Times New Roman" w:hAnsi="Times New Roman"/>
          <w:color w:val="000000" w:themeColor="text1"/>
          <w:sz w:val="16"/>
          <w:szCs w:val="16"/>
        </w:rPr>
        <w:softHyphen/>
        <w:t>шютного сброса 45-мм противотанко</w:t>
      </w:r>
      <w:r w:rsidRPr="00A3026E">
        <w:rPr>
          <w:rFonts w:ascii="Times New Roman" w:hAnsi="Times New Roman"/>
          <w:color w:val="000000" w:themeColor="text1"/>
          <w:sz w:val="16"/>
          <w:szCs w:val="16"/>
        </w:rPr>
        <w:softHyphen/>
        <w:t>вой (подвеска Д-16) и 76-мм полковой пушек, мотоциклов с коляской (под</w:t>
      </w:r>
      <w:r w:rsidRPr="00A3026E">
        <w:rPr>
          <w:rFonts w:ascii="Times New Roman" w:hAnsi="Times New Roman"/>
          <w:color w:val="000000" w:themeColor="text1"/>
          <w:sz w:val="16"/>
          <w:szCs w:val="16"/>
        </w:rPr>
        <w:softHyphen/>
        <w:t>веска Д-11) и других грузов. Была су</w:t>
      </w:r>
      <w:r w:rsidRPr="00A3026E">
        <w:rPr>
          <w:rFonts w:ascii="Times New Roman" w:hAnsi="Times New Roman"/>
          <w:color w:val="000000" w:themeColor="text1"/>
          <w:sz w:val="16"/>
          <w:szCs w:val="16"/>
        </w:rPr>
        <w:softHyphen/>
        <w:t>щественно усовершенствована уни</w:t>
      </w:r>
      <w:r w:rsidRPr="00A3026E">
        <w:rPr>
          <w:rFonts w:ascii="Times New Roman" w:hAnsi="Times New Roman"/>
          <w:color w:val="000000" w:themeColor="text1"/>
          <w:sz w:val="16"/>
          <w:szCs w:val="16"/>
        </w:rPr>
        <w:softHyphen/>
        <w:t>версальная стержневая подвеска ПГ-12 Гроховского.</w:t>
      </w:r>
    </w:p>
    <w:p w14:paraId="71AC24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Новая подвеска ДПТ-2, созданная под руководством А.И. Привалова, также крепилась на бомбовые замки ТБ-3-4М-34Р и ТБ-3-4М-34РН и слу</w:t>
      </w:r>
      <w:r w:rsidRPr="00A3026E">
        <w:rPr>
          <w:rFonts w:ascii="Times New Roman" w:hAnsi="Times New Roman"/>
          <w:color w:val="000000" w:themeColor="text1"/>
          <w:sz w:val="16"/>
          <w:szCs w:val="16"/>
        </w:rPr>
        <w:softHyphen/>
        <w:t>жила для переброски крупногабарит</w:t>
      </w:r>
      <w:r w:rsidRPr="00A3026E">
        <w:rPr>
          <w:rFonts w:ascii="Times New Roman" w:hAnsi="Times New Roman"/>
          <w:color w:val="000000" w:themeColor="text1"/>
          <w:sz w:val="16"/>
          <w:szCs w:val="16"/>
        </w:rPr>
        <w:softHyphen/>
        <w:t>ных грузов: автомобилей ГАЗ-А с ра</w:t>
      </w:r>
      <w:r w:rsidRPr="00A3026E">
        <w:rPr>
          <w:rFonts w:ascii="Times New Roman" w:hAnsi="Times New Roman"/>
          <w:color w:val="000000" w:themeColor="text1"/>
          <w:sz w:val="16"/>
          <w:szCs w:val="16"/>
        </w:rPr>
        <w:softHyphen/>
        <w:t>цией 5-АК, ГАЗ-АА с установленной на нем 76-мм полковой или 45-мм пуш</w:t>
      </w:r>
      <w:r w:rsidRPr="00A3026E">
        <w:rPr>
          <w:rFonts w:ascii="Times New Roman" w:hAnsi="Times New Roman"/>
          <w:color w:val="000000" w:themeColor="text1"/>
          <w:sz w:val="16"/>
          <w:szCs w:val="16"/>
        </w:rPr>
        <w:softHyphen/>
        <w:t>кой, М-1 и М-1 «Пикап», бронеавто</w:t>
      </w:r>
      <w:r w:rsidRPr="00A3026E">
        <w:rPr>
          <w:rFonts w:ascii="Times New Roman" w:hAnsi="Times New Roman"/>
          <w:color w:val="000000" w:themeColor="text1"/>
          <w:sz w:val="16"/>
          <w:szCs w:val="16"/>
        </w:rPr>
        <w:softHyphen/>
        <w:t>мобиля БА-20 или ФАЙ, плавающего танка Т-38, грузовой платформы ГП-1 (на груз до 3,5 т). От ПГ-12 подвеска ДПТ-2 отличалась крепежными узла</w:t>
      </w:r>
      <w:r w:rsidRPr="00A3026E">
        <w:rPr>
          <w:rFonts w:ascii="Times New Roman" w:hAnsi="Times New Roman"/>
          <w:color w:val="000000" w:themeColor="text1"/>
          <w:sz w:val="16"/>
          <w:szCs w:val="16"/>
        </w:rPr>
        <w:softHyphen/>
        <w:t>ми и устройством стержней, она ста</w:t>
      </w:r>
      <w:r w:rsidRPr="00A3026E">
        <w:rPr>
          <w:rFonts w:ascii="Times New Roman" w:hAnsi="Times New Roman"/>
          <w:color w:val="000000" w:themeColor="text1"/>
          <w:sz w:val="16"/>
          <w:szCs w:val="16"/>
        </w:rPr>
        <w:softHyphen/>
        <w:t>ла надежнее и безопаснее в полото. Замена в креплении стержней «ушка » на шаровой кронштейн придала до</w:t>
      </w:r>
      <w:r w:rsidRPr="00A3026E">
        <w:rPr>
          <w:rFonts w:ascii="Times New Roman" w:hAnsi="Times New Roman"/>
          <w:color w:val="000000" w:themeColor="text1"/>
          <w:sz w:val="16"/>
          <w:szCs w:val="16"/>
        </w:rPr>
        <w:softHyphen/>
        <w:t>полнительную степень свободы, сни</w:t>
      </w:r>
      <w:r w:rsidRPr="00A3026E">
        <w:rPr>
          <w:rFonts w:ascii="Times New Roman" w:hAnsi="Times New Roman"/>
          <w:color w:val="000000" w:themeColor="text1"/>
          <w:sz w:val="16"/>
          <w:szCs w:val="16"/>
        </w:rPr>
        <w:softHyphen/>
        <w:t>зила риск поломки при боковом из] 'и -бе, уменьшила нагрузки, передавае</w:t>
      </w:r>
      <w:r w:rsidRPr="00A3026E">
        <w:rPr>
          <w:rFonts w:ascii="Times New Roman" w:hAnsi="Times New Roman"/>
          <w:color w:val="000000" w:themeColor="text1"/>
          <w:sz w:val="16"/>
          <w:szCs w:val="16"/>
        </w:rPr>
        <w:softHyphen/>
        <w:t>мые на фюзеляж. Для присоединения стержней подвески на перебрасыва</w:t>
      </w:r>
      <w:r w:rsidRPr="00A3026E">
        <w:rPr>
          <w:rFonts w:ascii="Times New Roman" w:hAnsi="Times New Roman"/>
          <w:color w:val="000000" w:themeColor="text1"/>
          <w:sz w:val="16"/>
          <w:szCs w:val="16"/>
        </w:rPr>
        <w:softHyphen/>
        <w:t>емый объект нужно было специально крепить шаровые кронштейны. Уни</w:t>
      </w:r>
      <w:r w:rsidRPr="00A3026E">
        <w:rPr>
          <w:rFonts w:ascii="Times New Roman" w:hAnsi="Times New Roman"/>
          <w:color w:val="000000" w:themeColor="text1"/>
          <w:sz w:val="16"/>
          <w:szCs w:val="16"/>
        </w:rPr>
        <w:softHyphen/>
        <w:t>версальные подвески оставались на вооружении ВДВ РККА до начала вой</w:t>
      </w:r>
      <w:r w:rsidRPr="00A3026E">
        <w:rPr>
          <w:rFonts w:ascii="Times New Roman" w:hAnsi="Times New Roman"/>
          <w:color w:val="000000" w:themeColor="text1"/>
          <w:sz w:val="16"/>
          <w:szCs w:val="16"/>
        </w:rPr>
        <w:softHyphen/>
        <w:t>ны - последние наставления по ним из</w:t>
      </w:r>
      <w:r w:rsidRPr="00A3026E">
        <w:rPr>
          <w:rFonts w:ascii="Times New Roman" w:hAnsi="Times New Roman"/>
          <w:color w:val="000000" w:themeColor="text1"/>
          <w:sz w:val="16"/>
          <w:szCs w:val="16"/>
        </w:rPr>
        <w:softHyphen/>
        <w:t>дали в 1941 г. (11752)</w:t>
      </w:r>
    </w:p>
    <w:p w14:paraId="74136A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7E10F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зам. наркома В.П.Кузнецов писал пред. техсовета НКАП Голееву (N 1283, 1282, 1298) представление на Сталинскую премию в отношении А.А.М., В.К.Климова и А.С.Я. (1170).</w:t>
      </w:r>
    </w:p>
    <w:p w14:paraId="001D202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8686D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года по постановлению Правительства и 30 ноября 1940 года на основании приказа НКАП за № 680 на базе фабрики им. Воровского был организован завод № 468, как опытно-производственная база по проектированию парашютно-десантной техники.</w:t>
      </w:r>
    </w:p>
    <w:p w14:paraId="59479E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Профиль – опытное производство парашютно-десантной техники и аэродромного оборудования.</w:t>
      </w:r>
    </w:p>
    <w:p w14:paraId="2B9DE8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1941 года завод был эвакуирован на площадку Билимбаевского трубного завода по изготовлению опытной и серийной продукции парашютно-десантной техники.</w:t>
      </w:r>
    </w:p>
    <w:p w14:paraId="63FA9C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июле 1943 года ОКБ Привалова и часть завода были реэвакуированы на свою прежнюю базу в Бескудниково, где до 1945 года изготовляли серийную и опытную продукцию парашютно-десантной техники.</w:t>
      </w:r>
    </w:p>
    <w:p w14:paraId="2054D7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сентября 1945 года завод был переключен на проектирование и изготовление образцов экспериментальных планеров для ЛИИ МАП и объектов парашютно-десантной техники ОКБ Привалова.</w:t>
      </w:r>
    </w:p>
    <w:p w14:paraId="71E08E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МАП за № 260-с от 25 января 1947 года завод был перебазирован на промплощадку производственного предприятия № 2 Авиамаштехснаба, затем в соответствии с приказом за № 1-с от 3 января 1948 года завод был возвращен на прежнюю промплощадку в Бескудниково, где вновь приступил к реконструкции завода.</w:t>
      </w:r>
    </w:p>
    <w:p w14:paraId="4ECE91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ст. Бескудниково Московской области, п/я 2</w:t>
      </w:r>
    </w:p>
    <w:p w14:paraId="65B402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октября 1940 года по август 1943 года – директор и гл. конструктор Привалов А.И.</w:t>
      </w:r>
    </w:p>
    <w:p w14:paraId="45CC29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сентября 1943 года по 7 марта 1944 года – директор Байдаков Г.И.</w:t>
      </w:r>
    </w:p>
    <w:p w14:paraId="446A24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7 марта 1944 года по 7 апреля 1945 года – директор Горьковенко Н.И.</w:t>
      </w:r>
    </w:p>
    <w:p w14:paraId="36F70D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7 апреля 1945 года по 19 ноября 1945 года – директор Крупнов В.И.</w:t>
      </w:r>
    </w:p>
    <w:p w14:paraId="3EBE5F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сентября 1943 года по 19 ноября 1945 года – гл. конструктор Привалов А.И.</w:t>
      </w:r>
    </w:p>
    <w:p w14:paraId="285945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 ноября 1945 года по 19 марта 1955 года – директор и гл. конструктор Привалов А.И.</w:t>
      </w:r>
    </w:p>
    <w:p w14:paraId="03C7BB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 марта 1955 года - гл. конструктор и отв. руководитель завода Привалов А.И.</w:t>
      </w:r>
    </w:p>
    <w:p w14:paraId="2078F9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 марта 1955 года – директор Горбунов М.П. (9606).</w:t>
      </w:r>
    </w:p>
    <w:p w14:paraId="5C00E40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6BF42B"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октября 1940 была Докладная записка заместителя наркома обороны СССР Г. И. Кулика председателю Комитета обороны при СНК СССР К. Е. Ворошилову о принятии на вооружение Красной Армии патронов калибра 12,7-мм с разрывной пулей мгновенного действия "МД"</w:t>
      </w:r>
    </w:p>
    <w:p w14:paraId="4882D3F6"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 8755/ко.</w:t>
      </w:r>
    </w:p>
    <w:p w14:paraId="5E0A6300"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настоящее время все серийные истребители выпус</w:t>
      </w:r>
      <w:r w:rsidRPr="00A3026E">
        <w:rPr>
          <w:rFonts w:ascii="Times New Roman" w:hAnsi="Times New Roman"/>
          <w:color w:val="0070C0"/>
          <w:sz w:val="16"/>
          <w:szCs w:val="16"/>
        </w:rPr>
        <w:softHyphen/>
        <w:t>каются с крупнокалиберными синхронными пулеметами си</w:t>
      </w:r>
      <w:r w:rsidRPr="00A3026E">
        <w:rPr>
          <w:rFonts w:ascii="Times New Roman" w:hAnsi="Times New Roman"/>
          <w:color w:val="0070C0"/>
          <w:sz w:val="16"/>
          <w:szCs w:val="16"/>
        </w:rPr>
        <w:softHyphen/>
        <w:t>стемы БЕРЕЗИНА калибра 12,7мм в сочетании с 7,62мм пуле</w:t>
      </w:r>
      <w:r w:rsidRPr="00A3026E">
        <w:rPr>
          <w:rFonts w:ascii="Times New Roman" w:hAnsi="Times New Roman"/>
          <w:color w:val="0070C0"/>
          <w:sz w:val="16"/>
          <w:szCs w:val="16"/>
        </w:rPr>
        <w:softHyphen/>
        <w:t>метами ШКАС.</w:t>
      </w:r>
    </w:p>
    <w:p w14:paraId="4F84EC1D"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Кроме того, большинство вновь строящихся самолетов - истребителей вооружаются пулеметами БЕРЕЗИНА, а также сейчас проходит испытания турельний, он же крыльевой, ва</w:t>
      </w:r>
      <w:r w:rsidRPr="00A3026E">
        <w:rPr>
          <w:rFonts w:ascii="Times New Roman" w:hAnsi="Times New Roman"/>
          <w:color w:val="0070C0"/>
          <w:sz w:val="16"/>
          <w:szCs w:val="16"/>
        </w:rPr>
        <w:softHyphen/>
        <w:t>риант пулемета БЕРЕЗИНА, предназначаемый для вооружения бомбардировщиков и штурмовиков.</w:t>
      </w:r>
    </w:p>
    <w:p w14:paraId="3962EAB4"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Основным видом боеприпасов для этого пулемета явля</w:t>
      </w:r>
      <w:r w:rsidRPr="00A3026E">
        <w:rPr>
          <w:rFonts w:ascii="Times New Roman" w:hAnsi="Times New Roman"/>
          <w:color w:val="0070C0"/>
          <w:sz w:val="16"/>
          <w:szCs w:val="16"/>
        </w:rPr>
        <w:softHyphen/>
        <w:t>ются патроны с разрывной пулей мгновенного действия -МД, обладающие хорошим разрушительным и зажигательным свойством.</w:t>
      </w:r>
    </w:p>
    <w:p w14:paraId="22D2D0E3"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Полигонные испытания показали, что пуля "МД" при по</w:t>
      </w:r>
      <w:r w:rsidRPr="00A3026E">
        <w:rPr>
          <w:rFonts w:ascii="Times New Roman" w:hAnsi="Times New Roman"/>
          <w:color w:val="0070C0"/>
          <w:sz w:val="16"/>
          <w:szCs w:val="16"/>
        </w:rPr>
        <w:softHyphen/>
        <w:t>падании а) в перкалевое крыло самолета, разрывается и дела</w:t>
      </w:r>
      <w:r w:rsidRPr="00A3026E">
        <w:rPr>
          <w:rFonts w:ascii="Times New Roman" w:hAnsi="Times New Roman"/>
          <w:color w:val="0070C0"/>
          <w:sz w:val="16"/>
          <w:szCs w:val="16"/>
        </w:rPr>
        <w:softHyphen/>
        <w:t>ет рванину до 600 см2; б) в дюралевое крыло, производит рванину до 500 см2; в) в мотор водяного или воздушного охлаждения, делает пробоину в картере или капоте мотора до 30 см2</w:t>
      </w:r>
    </w:p>
    <w:p w14:paraId="0CA4519C"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Все это показывает, что пуля "МД" обладает хорошим разрушительным действием и приближается по своим качест</w:t>
      </w:r>
      <w:r w:rsidRPr="00A3026E">
        <w:rPr>
          <w:rFonts w:ascii="Times New Roman" w:hAnsi="Times New Roman"/>
          <w:color w:val="0070C0"/>
          <w:sz w:val="16"/>
          <w:szCs w:val="16"/>
        </w:rPr>
        <w:softHyphen/>
        <w:t>вам к мелкокалиберному арт. снаряду.</w:t>
      </w:r>
    </w:p>
    <w:p w14:paraId="16DB898B"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Прошу:</w:t>
      </w:r>
    </w:p>
    <w:p w14:paraId="7F3851FD"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разрешить принять на вооружение Красной Армии патроны калибра 12,7мм с разрывной пулей мгновенного дей</w:t>
      </w:r>
      <w:r w:rsidRPr="00A3026E">
        <w:rPr>
          <w:rFonts w:ascii="Times New Roman" w:hAnsi="Times New Roman"/>
          <w:color w:val="0070C0"/>
          <w:sz w:val="16"/>
          <w:szCs w:val="16"/>
        </w:rPr>
        <w:softHyphen/>
        <w:t>ствия "МД";</w:t>
      </w:r>
    </w:p>
    <w:p w14:paraId="2EAE5577"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обязать промышленность поставить НКО в 1941 году 30 млн. патронов с пулей "МД"</w:t>
      </w:r>
    </w:p>
    <w:p w14:paraId="71118820"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утвердить прилагаемый проект постановления (20054).</w:t>
      </w:r>
    </w:p>
    <w:p w14:paraId="48A021EB" w14:textId="77777777" w:rsidR="00ED44D8" w:rsidRPr="00A3026E" w:rsidRDefault="00ED44D8" w:rsidP="00A3026E">
      <w:pPr>
        <w:spacing w:after="0" w:line="240" w:lineRule="auto"/>
        <w:jc w:val="both"/>
        <w:rPr>
          <w:rFonts w:ascii="Times New Roman" w:hAnsi="Times New Roman"/>
          <w:color w:val="0070C0"/>
          <w:sz w:val="16"/>
          <w:szCs w:val="16"/>
        </w:rPr>
      </w:pPr>
    </w:p>
    <w:p w14:paraId="42421C99"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октября 1940 вышло Постановление Комитета обороны при СНК СССР № 395сс "О постройке 50 торпедных катеров типа ТК-ДШ"</w:t>
      </w:r>
    </w:p>
    <w:p w14:paraId="7D4FE674"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цель» обеспечения в 1941 году подачи на КБФ, ЧФ и ТОФ деревянных торпедных катеров дальнего действия, Комитет Оборони при СНК Союза ССР ПОСТАНОВИЛ:</w:t>
      </w:r>
    </w:p>
    <w:p w14:paraId="7D48FE47"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НКСП построить на заводе № 5 в г. Ленинграде 50 торпедных катеров типа ТК-ДШ и сдать их НКВМФ в 1941 году.</w:t>
      </w:r>
    </w:p>
    <w:p w14:paraId="744FD9A8"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Сократить программу строительства катеров МО-1У с 50 до 40 катеров.</w:t>
      </w:r>
    </w:p>
    <w:p w14:paraId="365E0994"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Программу строительства катеров МО для погранохраны НКВД оставить без изменения-(25 катеров).</w:t>
      </w:r>
    </w:p>
    <w:p w14:paraId="50A23CDE"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Обязать Наркомавиапром изготовить на 24 заводе и поста</w:t>
      </w:r>
      <w:r w:rsidRPr="00A3026E">
        <w:rPr>
          <w:rFonts w:ascii="Times New Roman" w:hAnsi="Times New Roman"/>
          <w:color w:val="0070C0"/>
          <w:sz w:val="16"/>
          <w:szCs w:val="16"/>
        </w:rPr>
        <w:softHyphen/>
        <w:t>вить заводу 5 НКВД 150 моторов ГАМ-35ФН в срок и, обеспечиваю</w:t>
      </w:r>
      <w:r w:rsidRPr="00A3026E">
        <w:rPr>
          <w:rFonts w:ascii="Times New Roman" w:hAnsi="Times New Roman"/>
          <w:color w:val="0070C0"/>
          <w:sz w:val="16"/>
          <w:szCs w:val="16"/>
        </w:rPr>
        <w:softHyphen/>
        <w:t>щие сдачу катеров в 1941 году.</w:t>
      </w:r>
    </w:p>
    <w:p w14:paraId="7B060323"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Обязать Наркомсудпром поставить на завод № 5 НКВД 50 комплектов торпедных аппаратов бортового сбрасывания (БС), в сроки, согласованные с графиком строительства катеров.</w:t>
      </w:r>
    </w:p>
    <w:p w14:paraId="30B34489" w14:textId="77777777" w:rsidR="00ED44D8" w:rsidRPr="00A3026E" w:rsidRDefault="00ED44D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Обязать Наркомвооружения поставить на завод № 5 НКВД 100 пулеметов ДШК на турели МТУ-2 (22055).</w:t>
      </w:r>
    </w:p>
    <w:p w14:paraId="6859081F" w14:textId="77777777" w:rsidR="00ED44D8" w:rsidRPr="00A3026E" w:rsidRDefault="00ED44D8" w:rsidP="00A3026E">
      <w:pPr>
        <w:spacing w:after="0" w:line="240" w:lineRule="auto"/>
        <w:jc w:val="both"/>
        <w:rPr>
          <w:rFonts w:ascii="Times New Roman" w:hAnsi="Times New Roman"/>
          <w:color w:val="0070C0"/>
          <w:sz w:val="16"/>
          <w:szCs w:val="16"/>
        </w:rPr>
      </w:pPr>
    </w:p>
    <w:p w14:paraId="2939A1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г. начальник Гл. управления ВВС генерал-лейтенант авиации Рычагов писал письмо N 522689сс председателю КО при СНК маршалу Ворошилову.</w:t>
      </w:r>
    </w:p>
    <w:p w14:paraId="230263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w:t>
      </w:r>
    </w:p>
    <w:p w14:paraId="2DBAF6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течении 1937-39 г.г. были разработаны и представлены на испытания несколько образцов бронебойных бомб с дополнительной скоростью.</w:t>
      </w:r>
    </w:p>
    <w:p w14:paraId="787F31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результатам проведенных полигонных испытаний, из предложенных образцов бронебойных и бетонобойных бомб с дополнительной скоростью.</w:t>
      </w:r>
    </w:p>
    <w:p w14:paraId="42A8A1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результатам проведенных полигонных испытаний из предложенных образцов были отобраны для дальнейших испытаний следующие бетонобойные - БРАБ-200 д.с. и БРАБ-500 д.с.</w:t>
      </w:r>
    </w:p>
    <w:p w14:paraId="5A49CB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бомбы должны были быть изготовлены в промышленности еще в августе с.г. и поданы на войсковые испытания. Однако, до сих пор эти бомбы еще не изготовлены и ожидаются к поступлению в конце 1940 г.</w:t>
      </w:r>
    </w:p>
    <w:p w14:paraId="5C1978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1939-1940 г.г. по заданию НКВМФ в промышленности была разработана и сейчас испытана в полигонных условиях бетонобойная бомба БЕТАБ-45--д.с. По расчетным данным бомба способна пробить до 3,7 м железобетона, т.е. по своему пробивному действию близка к БРАБ-750 д.с. НКВМФ принял эту бомбу на вооружение.</w:t>
      </w:r>
    </w:p>
    <w:p w14:paraId="584144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целесообразным БЕТАБ-450 д.с. проверить на войсковых испытаниях, после чего решить вопрос о принятии ее на вооружение ВВС.</w:t>
      </w:r>
    </w:p>
    <w:p w14:paraId="5AFD81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Наконец, по заданию НКВМФ разработан проект бронебойной бомбы БРАБ-800 д.с., рассчитанной на пробивание брони до 150 мм. Изготовляемая для войсковых испытаний ГУ ВВС БРАБ-500 д.с. пробивает толщину брони до 120 мм. Вследствие этого целесообразно БРАБ-800 д.с. изготовить в опытных образцах и испытать (3354,11-12).</w:t>
      </w:r>
    </w:p>
    <w:p w14:paraId="4A5FCF1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897BF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года начальник ГУ ВВС генерал-лейтенант авиации Рычагов утвердил:</w:t>
      </w:r>
    </w:p>
    <w:p w14:paraId="50875E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Научно-технический журнал 8-го управления ГУ ВВС (по 1 Отделу) № 0153</w:t>
      </w:r>
    </w:p>
    <w:p w14:paraId="74435B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утверждения проекта по полигонным испытаниям фугасных 100 кг авиабомб с корпусом из железобетона для запуска в производство</w:t>
      </w:r>
    </w:p>
    <w:p w14:paraId="571D2F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Фугасные авиабомбы имеют своим назначением разрушение объектов как военного, так и мирного значения, силой фугасного действия получающегося при взрыве авиабомбы.</w:t>
      </w:r>
    </w:p>
    <w:p w14:paraId="15B35F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 современной войны между Германией и Италией с одной стороны и Англией с другой стороны показывает, что воздушные силы обоих сторон производят бомбардирование объектов как военного, так и мирного значения, в основном по своей прочности не отличающихся от построек обычного городского типа. По имеющимся сведения бомбардирование производится обычными фугасными бомбами.</w:t>
      </w:r>
    </w:p>
    <w:p w14:paraId="1D54EF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Корпуса фугасных бомб, как правило, изготовляются из металла – сталь и чугун. Назначение корпуса фугасной бомбы – это донести взрывчатое вещество от самолета до цели и пробить перекрытие.</w:t>
      </w:r>
    </w:p>
    <w:p w14:paraId="5E6731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взрыве бомбы основное разрушение цели наносит взрывная волна. Осколки же корпуса, получающиеся при взрыве, мало участвуют в разрушении цели. Поэтому целесообразно по не особо прочным целям применять фугасные бомбы, корпуса которых изготовлены из какого-либо заменителя металла, обладающего достаточной прочностью. К этому выводу приводит еще и следующее очень важное обстоятельство:</w:t>
      </w:r>
    </w:p>
    <w:p w14:paraId="37EFBE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Металлические корпуса, для своего изготовления, требуют сложной производственной базы – литейных и механических заводов со сложным оборудованием (станки, пресса и проч.). Потребность же современных войн в боеприпасах колоссальна, о чем свидетельствует наш расход боеприпасов во время войны с финской белогвардейщиной, удовлетворить эту потребность со стороны промышленности будет нелегко и может создаться положение недостатка в боеприпасах. Поэтому вопрос о заменителях металла приобретает очень большое значение.</w:t>
      </w:r>
    </w:p>
    <w:p w14:paraId="037D52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сравнению со сварными и цельнокованными корпусами для фугасных бомб, требующими для своего изготовления мартеновской стали, трубопрокатного и ковочного оборудования -–значительно более простым делом является производство корпусов из сталистого чугуна. Корпуса таких фугасных бомб несомненно окажутся достаточно прочными во многом ряде случаев, отвечая своему прямому назначению. В настоящее время корпуса из сталистого чугуна прошли испытание и будут изготовляться промышленностью в 1941 году.</w:t>
      </w:r>
    </w:p>
    <w:p w14:paraId="79DEA3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чугунные корпуса требуют для своего изготовления того же черного металла, а главное весьма сложной и даже громоздкой производственной базы. Кроме того, формовка корпусов бомб является операцией ручной, очень трудоемкой и является серьезным препятствием в деле налаживания массового производства.</w:t>
      </w:r>
    </w:p>
    <w:p w14:paraId="6D35DF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материалов не металлических, напрашивающихся для изготовления из них корпусов, нужно прежде всего упомянуть о каменном литье (диабаз, базальт). Литой диабаз или базальт обладает очень высоким временным сопротивлением сжатию (порядка 6000 км/см кв.) и допускает получение корпусов с весьма тонкой стенкой.</w:t>
      </w:r>
    </w:p>
    <w:p w14:paraId="46D575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применение каменного литья для массового производства корпусов бомб наталкивается на ряд серьезных трудностей, практически обесценивающих этот материал.</w:t>
      </w:r>
    </w:p>
    <w:p w14:paraId="061459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Прежде всего, здесь требуется значительное оборудование для плавки диабаза или базальта при высокой температуре (порядка 1300-1400 градусов). Кроме того, каждый литой корпус требует изготовления разовой индивидуальной формы.</w:t>
      </w:r>
    </w:p>
    <w:p w14:paraId="55CB35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Наконец, изделия из литого камня очень хрупки, чувствительны к удару, плохо сопротивляются разрыву и вряд ли могут выдерживать резкое колебание температуры, неизбежное при снаряжении корпусов горячим расплавленным взрывчатым веществом (тротил, амматол и др.). При этом нельзя игнорировать также высокую стоимость корпусов из плавленного камня и ограниченность наличной производственной базы.</w:t>
      </w:r>
    </w:p>
    <w:p w14:paraId="6FD771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Применение керамики, фарфора или специальных видов стекла для изготовления корпусов фугасных бомб должно быть признано невозможным, вследствие низкой прочности, что подтверждено соответствующей опытной работой проводимой 8 Управлением ГУ ВВС.</w:t>
      </w:r>
    </w:p>
    <w:p w14:paraId="371E06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Попытки упрочнения таких корпусов за счет резкого увеличения толщины стенок, приводят к большему уменьшению объема разрывного заряда и, следовательно, к резкому понижению боевой эффективности бомбы.</w:t>
      </w:r>
    </w:p>
    <w:p w14:paraId="15ECEC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применение керамики, фарфора и стекла неизбежно связано опять таки с разовой формовкой корпусов и с печами для термообработки, не считая при этом весьма сложного основного производственного оборудования.</w:t>
      </w:r>
    </w:p>
    <w:p w14:paraId="3D30BF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технологическом отношении весьма подходящим материалом для корпусов ФАБ кажутся некоторые пластические материалы (на основе фенола, мочевины и др.). Применению этих материалов препятствует, однако, высокая стоимость их, незначительный объем производства и сравнительно невысокие механические свойства.</w:t>
      </w:r>
    </w:p>
    <w:p w14:paraId="1226C0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Потенциально-приемлемыми материалами для изготовления корпусов ФАБ ограниченной области применения являются целлюлозная масса, прессованный картон и цементные растворы. Область применения таких ФАБ ограничивается, по всей вероятности, двумя условиями, вытекающими из низких механических свойств данных материалов.</w:t>
      </w:r>
    </w:p>
    <w:p w14:paraId="73BBEF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Первым ограничивающим условием является невысокая прочность бомбардируемых объектов, ибо только в этом случае оболочки целлюлозных, картонных и бетонных ФАБ могут донести разрывной заряд до цели без его рассеивания. Отсюда можно предполагать, что такие ФАБ вряд ли могут рассчитывать на проникание в грунт и на полный последующий взрыв, что показывает наблюдение при испытаниях при испытаниях ФАБ-250 с целлюлозным корпусом.</w:t>
      </w:r>
    </w:p>
    <w:p w14:paraId="0BE450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Вторым ограничивающим условием является вероятная возможность эффективного применения целлюлозных, картонных и бетонных ФАБ только со взрывателями мгновенного действия.</w:t>
      </w:r>
    </w:p>
    <w:p w14:paraId="50F6B8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Перечисленные два ограничительных условия не исключают, но естественно сильно суживают область возможного и эффективного применения авиабомб из указанных материалов.</w:t>
      </w:r>
    </w:p>
    <w:p w14:paraId="240F5D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необходимо отметить, что изготовление литых целлюлозных и прессованных картонных корпусов для ФАБ не обеспечено наличной или широко освоенной производственной базой.</w:t>
      </w:r>
    </w:p>
    <w:p w14:paraId="7C87F6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ряду перечисленных и других вероятных материалов для изготовления корпусов ФАБ приобретает особое значение железобетон, по праву занимающий второе место после чугунного литья. Металлический проволочный каркас, так называемая арматура железобетонных оболочек является главным и значительным фактором прочности. Бетонный покров, ограничивающий внутреннее пространство бомбы непроницаемыми стенками, является одновременно вторым фактором механической прочности корпусов. Задача заключается здесь, главным образом, в подборе оптимальных размеров арматуры и толщины стенки, а также в определении наивыгоднейшего состава бетонного или цементного раствора.</w:t>
      </w:r>
    </w:p>
    <w:p w14:paraId="071126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Легко видеть, что при большой толщине и достаточной густоте арматуры, оболочка ФАБ может быть сообщена прочность равноценная прочности металлических ФАБ. Однако, в этом случае резко уменьшился бы вес разрывного заряда и кроме того, настолько увеличилась бы металлоемкость железобетонных ФАБ и сложность их изготовления, что вряд ли они могли бы конкурировать с цельнометаллическими ФАБ.</w:t>
      </w:r>
    </w:p>
    <w:p w14:paraId="37FDAE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другой стороны, при чрезмерном ослаблении арматуры железобетонные ФАБ могут оказаться чрезвычайно непрочными и применимыми в очень узком диапазоне.</w:t>
      </w:r>
    </w:p>
    <w:p w14:paraId="1A2897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Критерием для оптимального выбора размеров арматуры и толщины стенки железобетонных ФАБ следует считать, как минимум, их проникание в грунт средней плотности при сбрасывании с высоты 6000 метров – без рассеивания разрывного заряда. ФАБ, удовлетворяющие этому условию, будучи недостаточно прочными для бомбардировки очень прочных преград (бронированные стенки, мощные железобетонные здания, мосты и сооружения, сильно укрепленные огневые точки и т.д.) могут иметь в то же время чрезвычайно широкий диапазон эффективного применения. Такие ФАБ можно считать пригодными для разрушения аэродромов и ангаров, торговых пристаней, доков, барж и пароходов; железных дорог, станций и ж/д строений; шоссейных и грунтовых дорог; деревянно-земляных полевых укреплений; складов, гаражей и скоплений автотранспорта; легких мостов и гидромеханических сооружений; нефтехранилищ и газгольдеров; многочисленных промышленных и городских сооружений, наружных газовых, паровых и электротехнических коммуникаций и т.п.</w:t>
      </w:r>
    </w:p>
    <w:p w14:paraId="2242B1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указанного критерия, конструктивные размеры железобетонных корпусов ФАБ должны конкретно определяться для каждого отдельного калибра. В частности, для ФАБ-100 в габаритах одноименной цельнокованной ФАБ оказалась оптимальной стенка толщиною около 16-17 мм (в цилиндрической части), армированная проволочной сеткой из продольных и поперечных прутьев диаметром 3-4 мм. Оба конца арматурной сетки позволяют при этом крепить достаточно надежно две небольшие металлические втулки в головке и в хвосте корпуса, служащие соответственно для ввертывания запального стакана и для крепления штатного стабилизатора от ФАБ-100 ц.к.</w:t>
      </w:r>
    </w:p>
    <w:p w14:paraId="739CC3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касается состава цементного раствора, то подбор его происходил в процессе ряда испытаний с самыми разнообразными материалами.</w:t>
      </w:r>
    </w:p>
    <w:p w14:paraId="600845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среды испытанных материалов были по разным соображениям отброшены добавки ускорителей и присадок вроде азбестита и др. (азбестит – вследствие дефицитности и трудного заполнения формы тонкостенной оболочки). Экспериментальным путем состав цементного раствора определен следующий:</w:t>
      </w:r>
    </w:p>
    <w:p w14:paraId="385B80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часть цемента (глиноземистого, тампонажного или портланд М-600).</w:t>
      </w:r>
    </w:p>
    <w:p w14:paraId="296225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часть речного песка</w:t>
      </w:r>
    </w:p>
    <w:p w14:paraId="3542EC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 хлористого кальция – по весу цемента</w:t>
      </w:r>
    </w:p>
    <w:p w14:paraId="637FF6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38-42% воды – по весу цемента</w:t>
      </w:r>
    </w:p>
    <w:p w14:paraId="3F2849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Раствор такого состава хорошо заполняет форму, не расслаивается при заливке и имеет период схватывания порядка 3,5-4 час. В целях упрочнения стенки и плотного заполнения формы, заливка раствора должна производиться при вибрации в течение 15-30 секунд. Наконец, значительное увеличение прочности стенки достигается за счет первоначального натяжения арматуры (по типу напряженного бетона).</w:t>
      </w:r>
    </w:p>
    <w:p w14:paraId="0798CC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приведенных основаниях начальником КБ-35 НКБ проф. Гальпериным были разработаны чертежи и изготовлена опытная партия железобетонных корпусов (32 шт.) фугасных авиабомб в габаритах ФАБ-1—цельнокованной.</w:t>
      </w:r>
    </w:p>
    <w:p w14:paraId="0BDEC7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размерные и весовые характеристики изготовленных бомб были следующие:</w:t>
      </w:r>
    </w:p>
    <w:p w14:paraId="7CA2CB7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Наружные габаритные размеры точно по чертежу ФАБ-100 цельнокованных.</w:t>
      </w:r>
    </w:p>
    <w:p w14:paraId="0C63D06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Толщина стенок в цилиндрической части корпуса – 16 мм.</w:t>
      </w:r>
    </w:p>
    <w:p w14:paraId="6C3F8A6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корпуса бомбы вместе со стабилизатором, запальным стаканом и бугелем – 36-38 кг.</w:t>
      </w:r>
    </w:p>
    <w:p w14:paraId="5CACD8E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Полный вес снаряженной авиабомбы 76-78 кг.</w:t>
      </w:r>
    </w:p>
    <w:p w14:paraId="6E0AB15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взрывчатого вещества (тротил) от 40,5 кг до 41,6 кг.</w:t>
      </w:r>
    </w:p>
    <w:p w14:paraId="2B4368F9" w14:textId="77777777" w:rsidR="00C66762" w:rsidRPr="00A3026E" w:rsidRDefault="00C66762" w:rsidP="00A3026E">
      <w:pPr>
        <w:pStyle w:val="a3"/>
        <w:widowControl/>
        <w:rPr>
          <w:color w:val="000000" w:themeColor="text1"/>
          <w:lang w:val="ru-RU"/>
        </w:rPr>
      </w:pPr>
      <w:r w:rsidRPr="00A3026E">
        <w:rPr>
          <w:color w:val="000000" w:themeColor="text1"/>
          <w:lang w:val="ru-RU"/>
        </w:rPr>
        <w:t>Для изготовления одного корпуса требуется:</w:t>
      </w:r>
    </w:p>
    <w:p w14:paraId="541EDB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кг цемента</w:t>
      </w:r>
    </w:p>
    <w:p w14:paraId="3EE3C6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9 кг речного песка</w:t>
      </w:r>
    </w:p>
    <w:p w14:paraId="4332CF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 гр хлористого кальция</w:t>
      </w:r>
    </w:p>
    <w:p w14:paraId="0F495A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литра воды</w:t>
      </w:r>
    </w:p>
    <w:p w14:paraId="0C1850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кг проволоки</w:t>
      </w:r>
    </w:p>
    <w:p w14:paraId="1BC3AD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металлических втулки (сталистый чугун) весом около 9 кг</w:t>
      </w:r>
    </w:p>
    <w:p w14:paraId="3CE143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при изготовлении одного корпуса из железобетона получается экономия металла от 30 до 36 кг по сравнению с цельнокованным корпусом ФАБ-100. При этом для производства железобетонных ФАБ-100 требуется весьма примитивное оборудование (бетономешалки, вибраторы и постоянные модели) в зданиях простейшего типа. При необходимости изготовление железобетонных корпусов может быть организовано на любом из многочисленных и действующих заводах бетоностройдеталей.</w:t>
      </w:r>
    </w:p>
    <w:p w14:paraId="28E0DC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изготовление одного миллиона железобетонных корпусов в габаритах ФАБ-100 требуется следующий расход материалов:</w:t>
      </w:r>
    </w:p>
    <w:p w14:paraId="557FFA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Цемент – 9000 тонн</w:t>
      </w:r>
    </w:p>
    <w:p w14:paraId="29C825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 9000 тонн</w:t>
      </w:r>
    </w:p>
    <w:p w14:paraId="7E4682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Хлористый кальций – 250 тонн</w:t>
      </w:r>
    </w:p>
    <w:p w14:paraId="71FC71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Проволока около – 3000 тонн</w:t>
      </w:r>
    </w:p>
    <w:p w14:paraId="7C8DD4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Чугунного литья около 10000 тонн</w:t>
      </w:r>
    </w:p>
    <w:p w14:paraId="68215C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для производства одного миллиона цельнокованных корпусов требуется около 50000 тонн мартеновской стали в виде цельнотянутых труб и для производства этого же количества корпусов ФАБ-100 сварной конструкции требуется около 77000 тонн стального проката и литья.</w:t>
      </w:r>
    </w:p>
    <w:p w14:paraId="62DBFF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Изготовленная опытная партия железобетонных корпусов была снаряжена на заводе № 12 литым тротилом кусковым методом. При этом снаряжение железобетонных корпусов по своей технологии не отличается от снаряжения цельнокованных ФАБ-100.</w:t>
      </w:r>
    </w:p>
    <w:p w14:paraId="2CF50A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проведения полигонных испытаний, ФАБ-100 с железобетонным корпусом были, во второй половине сентября 1940 года, поданы на НИП АВ ГУ ВВС.</w:t>
      </w:r>
    </w:p>
    <w:p w14:paraId="4FAC11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были поданы 10 штук ФАБ-100 с цельнокованным корпусом, для сравнительных испытаний.</w:t>
      </w:r>
    </w:p>
    <w:p w14:paraId="172FAE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Полигонные испытания происходили на Ногинском полигоне в период с 26 сентября по 3 октября 1940 года и 5 октября 1940 года НИП АВ представил в 8 управление ГУ ВВС на утверждение отчет по испытаниям.</w:t>
      </w:r>
    </w:p>
    <w:p w14:paraId="1B4596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Полигонные испытания ФАБ-100 с корпусом из железобетона имели целью определить:</w:t>
      </w:r>
    </w:p>
    <w:p w14:paraId="57A0037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Фугасный эффект бомб подрывом в земле и бомбометанием.</w:t>
      </w:r>
    </w:p>
    <w:p w14:paraId="30B2878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корпусов.</w:t>
      </w:r>
    </w:p>
    <w:p w14:paraId="4C06644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бомб в полете.</w:t>
      </w:r>
    </w:p>
    <w:p w14:paraId="2C425C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испытаний</w:t>
      </w:r>
    </w:p>
    <w:p w14:paraId="08EB15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Эффективность фугасного действия</w:t>
      </w:r>
    </w:p>
    <w:p w14:paraId="3DA474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Эффективность фугасного действия проверялась подрывом в грунте и бомбометанием с высот 1000-2000 – 4000 и 6000 м.</w:t>
      </w:r>
    </w:p>
    <w:p w14:paraId="69085C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Подрывы в грунте производились одновременно со штатными ФАБ-100 ц.к. в ямах глубиною 1,5 метра. Бомбы ставились в ямы вертикально головой вниз и засыпались землей без трамбовки.</w:t>
      </w:r>
    </w:p>
    <w:p w14:paraId="00C20E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подрыва в грунте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1949"/>
        <w:gridCol w:w="1949"/>
        <w:gridCol w:w="1949"/>
        <w:gridCol w:w="1949"/>
      </w:tblGrid>
      <w:tr w:rsidR="00983732" w:rsidRPr="00A3026E" w14:paraId="7B3339EF" w14:textId="77777777" w:rsidTr="00EA0DA7">
        <w:tc>
          <w:tcPr>
            <w:tcW w:w="3794" w:type="dxa"/>
          </w:tcPr>
          <w:p w14:paraId="2FBF12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бомб</w:t>
            </w:r>
          </w:p>
        </w:tc>
        <w:tc>
          <w:tcPr>
            <w:tcW w:w="1949" w:type="dxa"/>
          </w:tcPr>
          <w:p w14:paraId="502F3F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Диаметр воронки в м</w:t>
            </w:r>
          </w:p>
        </w:tc>
        <w:tc>
          <w:tcPr>
            <w:tcW w:w="1949" w:type="dxa"/>
          </w:tcPr>
          <w:p w14:paraId="3FAD1A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воронки в м</w:t>
            </w:r>
          </w:p>
        </w:tc>
        <w:tc>
          <w:tcPr>
            <w:tcW w:w="1949" w:type="dxa"/>
          </w:tcPr>
          <w:p w14:paraId="6EDD90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Объем воронки в м куб.</w:t>
            </w:r>
          </w:p>
        </w:tc>
        <w:tc>
          <w:tcPr>
            <w:tcW w:w="1949" w:type="dxa"/>
          </w:tcPr>
          <w:p w14:paraId="44F161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грунта</w:t>
            </w:r>
          </w:p>
        </w:tc>
      </w:tr>
      <w:tr w:rsidR="00983732" w:rsidRPr="00A3026E" w14:paraId="08CE0749" w14:textId="77777777" w:rsidTr="00EA0DA7">
        <w:tc>
          <w:tcPr>
            <w:tcW w:w="3794" w:type="dxa"/>
          </w:tcPr>
          <w:p w14:paraId="77426D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штатные цельнокованные корпуса</w:t>
            </w:r>
          </w:p>
        </w:tc>
        <w:tc>
          <w:tcPr>
            <w:tcW w:w="1949" w:type="dxa"/>
          </w:tcPr>
          <w:p w14:paraId="4A7096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1949" w:type="dxa"/>
          </w:tcPr>
          <w:p w14:paraId="5C4AB1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w:t>
            </w:r>
          </w:p>
        </w:tc>
        <w:tc>
          <w:tcPr>
            <w:tcW w:w="1949" w:type="dxa"/>
          </w:tcPr>
          <w:p w14:paraId="387CBF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18,4</w:t>
            </w:r>
          </w:p>
        </w:tc>
        <w:tc>
          <w:tcPr>
            <w:tcW w:w="1949" w:type="dxa"/>
          </w:tcPr>
          <w:p w14:paraId="24C3DB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035F7518" w14:textId="77777777" w:rsidTr="00EA0DA7">
        <w:tc>
          <w:tcPr>
            <w:tcW w:w="3794" w:type="dxa"/>
          </w:tcPr>
          <w:p w14:paraId="62FA33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штатные цельнокованные корпуса</w:t>
            </w:r>
          </w:p>
        </w:tc>
        <w:tc>
          <w:tcPr>
            <w:tcW w:w="1949" w:type="dxa"/>
          </w:tcPr>
          <w:p w14:paraId="33A1B6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949" w:type="dxa"/>
          </w:tcPr>
          <w:p w14:paraId="5DD12F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1949" w:type="dxa"/>
          </w:tcPr>
          <w:p w14:paraId="3D086B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1949" w:type="dxa"/>
          </w:tcPr>
          <w:p w14:paraId="07131D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6FB25A84" w14:textId="77777777" w:rsidTr="00EA0DA7">
        <w:tc>
          <w:tcPr>
            <w:tcW w:w="3794" w:type="dxa"/>
          </w:tcPr>
          <w:p w14:paraId="001BD9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 с железобетонным корпусом</w:t>
            </w:r>
          </w:p>
        </w:tc>
        <w:tc>
          <w:tcPr>
            <w:tcW w:w="1949" w:type="dxa"/>
          </w:tcPr>
          <w:p w14:paraId="4761F4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c>
          <w:tcPr>
            <w:tcW w:w="1949" w:type="dxa"/>
          </w:tcPr>
          <w:p w14:paraId="13E9ED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1949" w:type="dxa"/>
          </w:tcPr>
          <w:p w14:paraId="1056DC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w:t>
            </w:r>
          </w:p>
        </w:tc>
        <w:tc>
          <w:tcPr>
            <w:tcW w:w="1949" w:type="dxa"/>
          </w:tcPr>
          <w:p w14:paraId="6F42C5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0CB7F243" w14:textId="77777777" w:rsidTr="00EA0DA7">
        <w:tc>
          <w:tcPr>
            <w:tcW w:w="3794" w:type="dxa"/>
          </w:tcPr>
          <w:p w14:paraId="284771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 с железобетонным корпусом</w:t>
            </w:r>
          </w:p>
        </w:tc>
        <w:tc>
          <w:tcPr>
            <w:tcW w:w="1949" w:type="dxa"/>
          </w:tcPr>
          <w:p w14:paraId="57D8B1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949" w:type="dxa"/>
          </w:tcPr>
          <w:p w14:paraId="2F15E2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1949" w:type="dxa"/>
          </w:tcPr>
          <w:p w14:paraId="75ABF0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w:t>
            </w:r>
          </w:p>
        </w:tc>
        <w:tc>
          <w:tcPr>
            <w:tcW w:w="1949" w:type="dxa"/>
          </w:tcPr>
          <w:p w14:paraId="603FDA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1ADB7356" w14:textId="77777777" w:rsidTr="00EA0DA7">
        <w:tc>
          <w:tcPr>
            <w:tcW w:w="3794" w:type="dxa"/>
          </w:tcPr>
          <w:p w14:paraId="07D5A7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 с железобетонным корпусом</w:t>
            </w:r>
          </w:p>
        </w:tc>
        <w:tc>
          <w:tcPr>
            <w:tcW w:w="1949" w:type="dxa"/>
          </w:tcPr>
          <w:p w14:paraId="2A79EF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w:t>
            </w:r>
          </w:p>
        </w:tc>
        <w:tc>
          <w:tcPr>
            <w:tcW w:w="1949" w:type="dxa"/>
          </w:tcPr>
          <w:p w14:paraId="22EFE3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1949" w:type="dxa"/>
          </w:tcPr>
          <w:p w14:paraId="6808F8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1949" w:type="dxa"/>
          </w:tcPr>
          <w:p w14:paraId="3B3FD5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bl>
    <w:p w14:paraId="6FE47A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таблицы видно, что фугасный эффект при подрыве в грунте практически одинаковый, что у ФАБ-100 штатной, то и ФАБ-100 с железобетонным корпусом.</w:t>
      </w:r>
    </w:p>
    <w:p w14:paraId="2B335C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Бомбометание с воздуха показало следующий эффект фугасного действия: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146"/>
        <w:gridCol w:w="1417"/>
        <w:gridCol w:w="1134"/>
        <w:gridCol w:w="1276"/>
        <w:gridCol w:w="1276"/>
        <w:gridCol w:w="3687"/>
      </w:tblGrid>
      <w:tr w:rsidR="00983732" w:rsidRPr="00A3026E" w14:paraId="71C17BCA" w14:textId="77777777" w:rsidTr="00EA0DA7">
        <w:tc>
          <w:tcPr>
            <w:tcW w:w="1656" w:type="dxa"/>
          </w:tcPr>
          <w:p w14:paraId="6C6692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бомб</w:t>
            </w:r>
          </w:p>
        </w:tc>
        <w:tc>
          <w:tcPr>
            <w:tcW w:w="1146" w:type="dxa"/>
          </w:tcPr>
          <w:p w14:paraId="36190D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Высотное бомбометание в м</w:t>
            </w:r>
          </w:p>
        </w:tc>
        <w:tc>
          <w:tcPr>
            <w:tcW w:w="1417" w:type="dxa"/>
          </w:tcPr>
          <w:p w14:paraId="7A20CB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и установка взрывателей</w:t>
            </w:r>
          </w:p>
        </w:tc>
        <w:tc>
          <w:tcPr>
            <w:tcW w:w="1134" w:type="dxa"/>
          </w:tcPr>
          <w:p w14:paraId="572D7B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Диаметр воронки в м</w:t>
            </w:r>
          </w:p>
        </w:tc>
        <w:tc>
          <w:tcPr>
            <w:tcW w:w="1276" w:type="dxa"/>
          </w:tcPr>
          <w:p w14:paraId="06ED55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воронки в м</w:t>
            </w:r>
          </w:p>
        </w:tc>
        <w:tc>
          <w:tcPr>
            <w:tcW w:w="1276" w:type="dxa"/>
          </w:tcPr>
          <w:p w14:paraId="59F0A4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Объем воронки в м куб.</w:t>
            </w:r>
          </w:p>
        </w:tc>
        <w:tc>
          <w:tcPr>
            <w:tcW w:w="3687" w:type="dxa"/>
          </w:tcPr>
          <w:p w14:paraId="7FDA38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грунта</w:t>
            </w:r>
          </w:p>
        </w:tc>
      </w:tr>
      <w:tr w:rsidR="00983732" w:rsidRPr="00A3026E" w14:paraId="5BA3A94C" w14:textId="77777777" w:rsidTr="00EA0DA7">
        <w:tc>
          <w:tcPr>
            <w:tcW w:w="1656" w:type="dxa"/>
          </w:tcPr>
          <w:p w14:paraId="26B6EF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146" w:type="dxa"/>
          </w:tcPr>
          <w:p w14:paraId="530E79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417" w:type="dxa"/>
          </w:tcPr>
          <w:p w14:paraId="6D4613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134" w:type="dxa"/>
          </w:tcPr>
          <w:p w14:paraId="34784E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w:t>
            </w:r>
          </w:p>
        </w:tc>
        <w:tc>
          <w:tcPr>
            <w:tcW w:w="1276" w:type="dxa"/>
          </w:tcPr>
          <w:p w14:paraId="066D72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c>
          <w:tcPr>
            <w:tcW w:w="1276" w:type="dxa"/>
          </w:tcPr>
          <w:p w14:paraId="2FC87D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w:t>
            </w:r>
          </w:p>
        </w:tc>
        <w:tc>
          <w:tcPr>
            <w:tcW w:w="3687" w:type="dxa"/>
          </w:tcPr>
          <w:p w14:paraId="39826D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38903889" w14:textId="77777777" w:rsidTr="00EA0DA7">
        <w:tc>
          <w:tcPr>
            <w:tcW w:w="1656" w:type="dxa"/>
          </w:tcPr>
          <w:p w14:paraId="30A2A0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146" w:type="dxa"/>
          </w:tcPr>
          <w:p w14:paraId="69FFAA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417" w:type="dxa"/>
          </w:tcPr>
          <w:p w14:paraId="1034E6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134" w:type="dxa"/>
          </w:tcPr>
          <w:p w14:paraId="587E5B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w:t>
            </w:r>
          </w:p>
        </w:tc>
        <w:tc>
          <w:tcPr>
            <w:tcW w:w="1276" w:type="dxa"/>
          </w:tcPr>
          <w:p w14:paraId="0284B1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1276" w:type="dxa"/>
          </w:tcPr>
          <w:p w14:paraId="37990D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22,6</w:t>
            </w:r>
          </w:p>
        </w:tc>
        <w:tc>
          <w:tcPr>
            <w:tcW w:w="3687" w:type="dxa"/>
          </w:tcPr>
          <w:p w14:paraId="05A8D2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52C7AAC9" w14:textId="77777777" w:rsidTr="00EA0DA7">
        <w:tc>
          <w:tcPr>
            <w:tcW w:w="1656" w:type="dxa"/>
          </w:tcPr>
          <w:p w14:paraId="0FD5AF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146" w:type="dxa"/>
          </w:tcPr>
          <w:p w14:paraId="13BA58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6EED9D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134" w:type="dxa"/>
          </w:tcPr>
          <w:p w14:paraId="2CB170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276" w:type="dxa"/>
          </w:tcPr>
          <w:p w14:paraId="2E2D08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w:t>
            </w:r>
          </w:p>
        </w:tc>
        <w:tc>
          <w:tcPr>
            <w:tcW w:w="1276" w:type="dxa"/>
          </w:tcPr>
          <w:p w14:paraId="10A4F1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3687" w:type="dxa"/>
          </w:tcPr>
          <w:p w14:paraId="22E1FD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532AA1C4" w14:textId="77777777" w:rsidTr="00EA0DA7">
        <w:tc>
          <w:tcPr>
            <w:tcW w:w="1656" w:type="dxa"/>
          </w:tcPr>
          <w:p w14:paraId="50EFC8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146" w:type="dxa"/>
          </w:tcPr>
          <w:p w14:paraId="19E004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421C50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134" w:type="dxa"/>
          </w:tcPr>
          <w:p w14:paraId="533B85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5,30</w:t>
            </w:r>
          </w:p>
        </w:tc>
        <w:tc>
          <w:tcPr>
            <w:tcW w:w="1276" w:type="dxa"/>
          </w:tcPr>
          <w:p w14:paraId="2D901F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1276" w:type="dxa"/>
          </w:tcPr>
          <w:p w14:paraId="0D2808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3687" w:type="dxa"/>
          </w:tcPr>
          <w:p w14:paraId="53C8A3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1CDF38B2" w14:textId="77777777" w:rsidTr="00EA0DA7">
        <w:tc>
          <w:tcPr>
            <w:tcW w:w="1656" w:type="dxa"/>
          </w:tcPr>
          <w:p w14:paraId="258CB0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146" w:type="dxa"/>
          </w:tcPr>
          <w:p w14:paraId="21675E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15A9A6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134" w:type="dxa"/>
          </w:tcPr>
          <w:p w14:paraId="285873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1276" w:type="dxa"/>
          </w:tcPr>
          <w:p w14:paraId="645876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276" w:type="dxa"/>
          </w:tcPr>
          <w:p w14:paraId="30D445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w:t>
            </w:r>
          </w:p>
        </w:tc>
        <w:tc>
          <w:tcPr>
            <w:tcW w:w="3687" w:type="dxa"/>
          </w:tcPr>
          <w:p w14:paraId="5A8434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плотный известняк на глуб. 1 метра</w:t>
            </w:r>
          </w:p>
        </w:tc>
      </w:tr>
      <w:tr w:rsidR="00983732" w:rsidRPr="00A3026E" w14:paraId="5AAC8320" w14:textId="77777777" w:rsidTr="00EA0DA7">
        <w:tc>
          <w:tcPr>
            <w:tcW w:w="1656" w:type="dxa"/>
          </w:tcPr>
          <w:p w14:paraId="3A8EB3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146" w:type="dxa"/>
          </w:tcPr>
          <w:p w14:paraId="0F88D6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0FA40F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134" w:type="dxa"/>
          </w:tcPr>
          <w:p w14:paraId="240387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276" w:type="dxa"/>
          </w:tcPr>
          <w:p w14:paraId="367AF7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1276" w:type="dxa"/>
          </w:tcPr>
          <w:p w14:paraId="266AAA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w:t>
            </w:r>
          </w:p>
        </w:tc>
        <w:tc>
          <w:tcPr>
            <w:tcW w:w="3687" w:type="dxa"/>
          </w:tcPr>
          <w:p w14:paraId="650DBA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2FEFEF0B" w14:textId="77777777" w:rsidTr="00EA0DA7">
        <w:tc>
          <w:tcPr>
            <w:tcW w:w="1656" w:type="dxa"/>
          </w:tcPr>
          <w:p w14:paraId="272F4B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146" w:type="dxa"/>
          </w:tcPr>
          <w:p w14:paraId="5C7418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6CE76F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134" w:type="dxa"/>
          </w:tcPr>
          <w:p w14:paraId="05A2AA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5,55</w:t>
            </w:r>
          </w:p>
        </w:tc>
        <w:tc>
          <w:tcPr>
            <w:tcW w:w="1276" w:type="dxa"/>
          </w:tcPr>
          <w:p w14:paraId="4C827D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276" w:type="dxa"/>
          </w:tcPr>
          <w:p w14:paraId="4516DE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3687" w:type="dxa"/>
          </w:tcPr>
          <w:p w14:paraId="195012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4EE18569" w14:textId="77777777" w:rsidTr="00EA0DA7">
        <w:tc>
          <w:tcPr>
            <w:tcW w:w="1656" w:type="dxa"/>
          </w:tcPr>
          <w:p w14:paraId="22B235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146" w:type="dxa"/>
          </w:tcPr>
          <w:p w14:paraId="29AE60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21BDC8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134" w:type="dxa"/>
          </w:tcPr>
          <w:p w14:paraId="08B5F9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5,70</w:t>
            </w:r>
          </w:p>
        </w:tc>
        <w:tc>
          <w:tcPr>
            <w:tcW w:w="1276" w:type="dxa"/>
          </w:tcPr>
          <w:p w14:paraId="4830E3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1276" w:type="dxa"/>
          </w:tcPr>
          <w:p w14:paraId="168C4E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w:t>
            </w:r>
          </w:p>
        </w:tc>
        <w:tc>
          <w:tcPr>
            <w:tcW w:w="3687" w:type="dxa"/>
          </w:tcPr>
          <w:p w14:paraId="1F9FC1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0020E1A0" w14:textId="77777777" w:rsidTr="00EA0DA7">
        <w:tc>
          <w:tcPr>
            <w:tcW w:w="1656" w:type="dxa"/>
          </w:tcPr>
          <w:p w14:paraId="3CC7F5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146" w:type="dxa"/>
          </w:tcPr>
          <w:p w14:paraId="5E118A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620AB8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134" w:type="dxa"/>
          </w:tcPr>
          <w:p w14:paraId="504884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c>
          <w:tcPr>
            <w:tcW w:w="1276" w:type="dxa"/>
          </w:tcPr>
          <w:p w14:paraId="09156F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276" w:type="dxa"/>
          </w:tcPr>
          <w:p w14:paraId="166EFE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c>
          <w:tcPr>
            <w:tcW w:w="3687" w:type="dxa"/>
          </w:tcPr>
          <w:p w14:paraId="3B2E73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61A53132" w14:textId="77777777" w:rsidTr="00EA0DA7">
        <w:tc>
          <w:tcPr>
            <w:tcW w:w="1656" w:type="dxa"/>
          </w:tcPr>
          <w:p w14:paraId="087C6A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146" w:type="dxa"/>
          </w:tcPr>
          <w:p w14:paraId="281DE7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1E37A7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134" w:type="dxa"/>
          </w:tcPr>
          <w:p w14:paraId="582A6C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5,95</w:t>
            </w:r>
          </w:p>
        </w:tc>
        <w:tc>
          <w:tcPr>
            <w:tcW w:w="1276" w:type="dxa"/>
          </w:tcPr>
          <w:p w14:paraId="6E95A3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1276" w:type="dxa"/>
          </w:tcPr>
          <w:p w14:paraId="7DB433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3687" w:type="dxa"/>
          </w:tcPr>
          <w:p w14:paraId="052118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Попала вблизи старой воронки</w:t>
            </w:r>
          </w:p>
        </w:tc>
      </w:tr>
      <w:tr w:rsidR="00983732" w:rsidRPr="00A3026E" w14:paraId="73CC2162" w14:textId="77777777" w:rsidTr="00EA0DA7">
        <w:tc>
          <w:tcPr>
            <w:tcW w:w="1656" w:type="dxa"/>
          </w:tcPr>
          <w:p w14:paraId="195D30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146" w:type="dxa"/>
          </w:tcPr>
          <w:p w14:paraId="2707F6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777625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134" w:type="dxa"/>
          </w:tcPr>
          <w:p w14:paraId="0A8CCA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1276" w:type="dxa"/>
          </w:tcPr>
          <w:p w14:paraId="563E96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276" w:type="dxa"/>
          </w:tcPr>
          <w:p w14:paraId="3A2D3E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w:t>
            </w:r>
          </w:p>
        </w:tc>
        <w:tc>
          <w:tcPr>
            <w:tcW w:w="3687" w:type="dxa"/>
          </w:tcPr>
          <w:p w14:paraId="74B235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422C7455" w14:textId="77777777" w:rsidTr="00EA0DA7">
        <w:tc>
          <w:tcPr>
            <w:tcW w:w="1656" w:type="dxa"/>
          </w:tcPr>
          <w:p w14:paraId="7929AD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146" w:type="dxa"/>
          </w:tcPr>
          <w:p w14:paraId="4EF9AB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5B2327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134" w:type="dxa"/>
          </w:tcPr>
          <w:p w14:paraId="6EA597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276" w:type="dxa"/>
          </w:tcPr>
          <w:p w14:paraId="61BE17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w:t>
            </w:r>
          </w:p>
        </w:tc>
        <w:tc>
          <w:tcPr>
            <w:tcW w:w="1276" w:type="dxa"/>
          </w:tcPr>
          <w:p w14:paraId="549482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3687" w:type="dxa"/>
          </w:tcPr>
          <w:p w14:paraId="605544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55A5771E" w14:textId="77777777" w:rsidTr="00EA0DA7">
        <w:tc>
          <w:tcPr>
            <w:tcW w:w="1656" w:type="dxa"/>
          </w:tcPr>
          <w:p w14:paraId="3E77C4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146" w:type="dxa"/>
          </w:tcPr>
          <w:p w14:paraId="13C705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5519D6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134" w:type="dxa"/>
          </w:tcPr>
          <w:p w14:paraId="5B49EC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6,70</w:t>
            </w:r>
          </w:p>
        </w:tc>
        <w:tc>
          <w:tcPr>
            <w:tcW w:w="1276" w:type="dxa"/>
          </w:tcPr>
          <w:p w14:paraId="3E0559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1276" w:type="dxa"/>
          </w:tcPr>
          <w:p w14:paraId="6E5039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w:t>
            </w:r>
          </w:p>
        </w:tc>
        <w:tc>
          <w:tcPr>
            <w:tcW w:w="3687" w:type="dxa"/>
          </w:tcPr>
          <w:p w14:paraId="16C319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Попала в старую воронку</w:t>
            </w:r>
          </w:p>
        </w:tc>
      </w:tr>
      <w:tr w:rsidR="00983732" w:rsidRPr="00A3026E" w14:paraId="386DD474" w14:textId="77777777" w:rsidTr="00EA0DA7">
        <w:tc>
          <w:tcPr>
            <w:tcW w:w="1656" w:type="dxa"/>
          </w:tcPr>
          <w:p w14:paraId="47D7A0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146" w:type="dxa"/>
          </w:tcPr>
          <w:p w14:paraId="364294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334F78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134" w:type="dxa"/>
          </w:tcPr>
          <w:p w14:paraId="0AC099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w:t>
            </w:r>
          </w:p>
        </w:tc>
        <w:tc>
          <w:tcPr>
            <w:tcW w:w="1276" w:type="dxa"/>
          </w:tcPr>
          <w:p w14:paraId="19D830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1276" w:type="dxa"/>
          </w:tcPr>
          <w:p w14:paraId="15CC43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3687" w:type="dxa"/>
          </w:tcPr>
          <w:p w14:paraId="584A60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Попала в густую сеть корней ………</w:t>
            </w:r>
          </w:p>
        </w:tc>
      </w:tr>
      <w:tr w:rsidR="00983732" w:rsidRPr="00A3026E" w14:paraId="60427C37" w14:textId="77777777" w:rsidTr="00EA0DA7">
        <w:tc>
          <w:tcPr>
            <w:tcW w:w="1656" w:type="dxa"/>
          </w:tcPr>
          <w:p w14:paraId="687C3C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146" w:type="dxa"/>
          </w:tcPr>
          <w:p w14:paraId="013977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149D22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134" w:type="dxa"/>
          </w:tcPr>
          <w:p w14:paraId="6B3EBB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1276" w:type="dxa"/>
          </w:tcPr>
          <w:p w14:paraId="60A014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1276" w:type="dxa"/>
          </w:tcPr>
          <w:p w14:paraId="785209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w:t>
            </w:r>
          </w:p>
        </w:tc>
        <w:tc>
          <w:tcPr>
            <w:tcW w:w="3687" w:type="dxa"/>
          </w:tcPr>
          <w:p w14:paraId="7E3F5F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27E99176" w14:textId="77777777" w:rsidTr="00EA0DA7">
        <w:tc>
          <w:tcPr>
            <w:tcW w:w="1656" w:type="dxa"/>
          </w:tcPr>
          <w:p w14:paraId="71A446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146" w:type="dxa"/>
          </w:tcPr>
          <w:p w14:paraId="464044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2A8E4B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134" w:type="dxa"/>
          </w:tcPr>
          <w:p w14:paraId="2FFC5D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5,55</w:t>
            </w:r>
          </w:p>
        </w:tc>
        <w:tc>
          <w:tcPr>
            <w:tcW w:w="1276" w:type="dxa"/>
          </w:tcPr>
          <w:p w14:paraId="7F9597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1276" w:type="dxa"/>
          </w:tcPr>
          <w:p w14:paraId="28E647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17,6</w:t>
            </w:r>
          </w:p>
        </w:tc>
        <w:tc>
          <w:tcPr>
            <w:tcW w:w="3687" w:type="dxa"/>
          </w:tcPr>
          <w:p w14:paraId="25401E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0EF7F2EE" w14:textId="77777777" w:rsidTr="00EA0DA7">
        <w:tc>
          <w:tcPr>
            <w:tcW w:w="1656" w:type="dxa"/>
          </w:tcPr>
          <w:p w14:paraId="467E15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146" w:type="dxa"/>
          </w:tcPr>
          <w:p w14:paraId="6DFFAA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043ED4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134" w:type="dxa"/>
          </w:tcPr>
          <w:p w14:paraId="7968B8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5,65</w:t>
            </w:r>
          </w:p>
        </w:tc>
        <w:tc>
          <w:tcPr>
            <w:tcW w:w="1276" w:type="dxa"/>
          </w:tcPr>
          <w:p w14:paraId="416FBC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tc>
        <w:tc>
          <w:tcPr>
            <w:tcW w:w="1276" w:type="dxa"/>
          </w:tcPr>
          <w:p w14:paraId="769396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3687" w:type="dxa"/>
          </w:tcPr>
          <w:p w14:paraId="16F6A3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3F4854B6" w14:textId="77777777" w:rsidTr="00EA0DA7">
        <w:tc>
          <w:tcPr>
            <w:tcW w:w="1656" w:type="dxa"/>
          </w:tcPr>
          <w:p w14:paraId="592F52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146" w:type="dxa"/>
          </w:tcPr>
          <w:p w14:paraId="076BA2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47420F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134" w:type="dxa"/>
          </w:tcPr>
          <w:p w14:paraId="4C5B6E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5,90</w:t>
            </w:r>
          </w:p>
        </w:tc>
        <w:tc>
          <w:tcPr>
            <w:tcW w:w="1276" w:type="dxa"/>
          </w:tcPr>
          <w:p w14:paraId="6AB12C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1276" w:type="dxa"/>
          </w:tcPr>
          <w:p w14:paraId="2A0316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21,2</w:t>
            </w:r>
          </w:p>
        </w:tc>
        <w:tc>
          <w:tcPr>
            <w:tcW w:w="3687" w:type="dxa"/>
          </w:tcPr>
          <w:p w14:paraId="538563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w:t>
            </w:r>
          </w:p>
        </w:tc>
      </w:tr>
      <w:tr w:rsidR="00983732" w:rsidRPr="00A3026E" w14:paraId="04AB710D" w14:textId="77777777" w:rsidTr="00EA0DA7">
        <w:tc>
          <w:tcPr>
            <w:tcW w:w="1656" w:type="dxa"/>
          </w:tcPr>
          <w:p w14:paraId="54E6B1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146" w:type="dxa"/>
          </w:tcPr>
          <w:p w14:paraId="3123C9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44E48C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134" w:type="dxa"/>
          </w:tcPr>
          <w:p w14:paraId="0EDFAA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1276" w:type="dxa"/>
          </w:tcPr>
          <w:p w14:paraId="35AAF6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tc>
        <w:tc>
          <w:tcPr>
            <w:tcW w:w="1276" w:type="dxa"/>
          </w:tcPr>
          <w:p w14:paraId="7AB767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w:t>
            </w:r>
          </w:p>
        </w:tc>
        <w:tc>
          <w:tcPr>
            <w:tcW w:w="3687" w:type="dxa"/>
          </w:tcPr>
          <w:p w14:paraId="690876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3694EBBE" w14:textId="77777777" w:rsidTr="00EA0DA7">
        <w:tc>
          <w:tcPr>
            <w:tcW w:w="1656" w:type="dxa"/>
          </w:tcPr>
          <w:p w14:paraId="401CB0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146" w:type="dxa"/>
          </w:tcPr>
          <w:p w14:paraId="279DA2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7" w:type="dxa"/>
          </w:tcPr>
          <w:p w14:paraId="656FF1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134" w:type="dxa"/>
          </w:tcPr>
          <w:p w14:paraId="128CBB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1276" w:type="dxa"/>
          </w:tcPr>
          <w:p w14:paraId="3BF9A2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276" w:type="dxa"/>
          </w:tcPr>
          <w:p w14:paraId="72D098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tc>
        <w:tc>
          <w:tcPr>
            <w:tcW w:w="3687" w:type="dxa"/>
          </w:tcPr>
          <w:p w14:paraId="476631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0D929AE5" w14:textId="77777777" w:rsidTr="00EA0DA7">
        <w:tc>
          <w:tcPr>
            <w:tcW w:w="1656" w:type="dxa"/>
          </w:tcPr>
          <w:p w14:paraId="0A24B1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146" w:type="dxa"/>
          </w:tcPr>
          <w:p w14:paraId="3CC55D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417" w:type="dxa"/>
          </w:tcPr>
          <w:p w14:paraId="7A90F2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134" w:type="dxa"/>
          </w:tcPr>
          <w:p w14:paraId="25B40C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1276" w:type="dxa"/>
          </w:tcPr>
          <w:p w14:paraId="075897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1276" w:type="dxa"/>
          </w:tcPr>
          <w:p w14:paraId="6CC587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w:t>
            </w:r>
          </w:p>
        </w:tc>
        <w:tc>
          <w:tcPr>
            <w:tcW w:w="3687" w:type="dxa"/>
          </w:tcPr>
          <w:p w14:paraId="70EEA0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w:t>
            </w:r>
          </w:p>
        </w:tc>
      </w:tr>
      <w:tr w:rsidR="00983732" w:rsidRPr="00A3026E" w14:paraId="3C765982" w14:textId="77777777" w:rsidTr="00EA0DA7">
        <w:tc>
          <w:tcPr>
            <w:tcW w:w="1656" w:type="dxa"/>
          </w:tcPr>
          <w:p w14:paraId="4C4CE9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146" w:type="dxa"/>
          </w:tcPr>
          <w:p w14:paraId="3DB725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417" w:type="dxa"/>
          </w:tcPr>
          <w:p w14:paraId="363126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134" w:type="dxa"/>
          </w:tcPr>
          <w:p w14:paraId="16A762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w:t>
            </w:r>
          </w:p>
        </w:tc>
        <w:tc>
          <w:tcPr>
            <w:tcW w:w="1276" w:type="dxa"/>
          </w:tcPr>
          <w:p w14:paraId="2E7978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1276" w:type="dxa"/>
          </w:tcPr>
          <w:p w14:paraId="051377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w:t>
            </w:r>
          </w:p>
        </w:tc>
        <w:tc>
          <w:tcPr>
            <w:tcW w:w="3687" w:type="dxa"/>
          </w:tcPr>
          <w:p w14:paraId="56D174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Суглинок и плотный известняк</w:t>
            </w:r>
          </w:p>
        </w:tc>
      </w:tr>
      <w:tr w:rsidR="00983732" w:rsidRPr="00A3026E" w14:paraId="20BC5379" w14:textId="77777777" w:rsidTr="00EA0DA7">
        <w:tc>
          <w:tcPr>
            <w:tcW w:w="1656" w:type="dxa"/>
          </w:tcPr>
          <w:p w14:paraId="235494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1146" w:type="dxa"/>
          </w:tcPr>
          <w:p w14:paraId="7ECB85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417" w:type="dxa"/>
          </w:tcPr>
          <w:p w14:paraId="60C7AC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134" w:type="dxa"/>
          </w:tcPr>
          <w:p w14:paraId="6741FB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7,10</w:t>
            </w:r>
          </w:p>
        </w:tc>
        <w:tc>
          <w:tcPr>
            <w:tcW w:w="1276" w:type="dxa"/>
          </w:tcPr>
          <w:p w14:paraId="694EE4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1276" w:type="dxa"/>
          </w:tcPr>
          <w:p w14:paraId="129E81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27,8</w:t>
            </w:r>
          </w:p>
        </w:tc>
        <w:tc>
          <w:tcPr>
            <w:tcW w:w="3687" w:type="dxa"/>
          </w:tcPr>
          <w:p w14:paraId="65E517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Рыхлый песок</w:t>
            </w:r>
          </w:p>
        </w:tc>
      </w:tr>
      <w:tr w:rsidR="00983732" w:rsidRPr="00A3026E" w14:paraId="0BC8770A" w14:textId="77777777" w:rsidTr="00EA0DA7">
        <w:tc>
          <w:tcPr>
            <w:tcW w:w="1656" w:type="dxa"/>
          </w:tcPr>
          <w:p w14:paraId="73DB02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1146" w:type="dxa"/>
          </w:tcPr>
          <w:p w14:paraId="340195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417" w:type="dxa"/>
          </w:tcPr>
          <w:p w14:paraId="3BC808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1134" w:type="dxa"/>
          </w:tcPr>
          <w:p w14:paraId="03E8C2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1276" w:type="dxa"/>
          </w:tcPr>
          <w:p w14:paraId="13794B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w:t>
            </w:r>
          </w:p>
        </w:tc>
        <w:tc>
          <w:tcPr>
            <w:tcW w:w="1276" w:type="dxa"/>
          </w:tcPr>
          <w:p w14:paraId="2F5F2D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14,2</w:t>
            </w:r>
          </w:p>
        </w:tc>
        <w:tc>
          <w:tcPr>
            <w:tcW w:w="3687" w:type="dxa"/>
          </w:tcPr>
          <w:p w14:paraId="715603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 на дне воронки</w:t>
            </w:r>
          </w:p>
        </w:tc>
      </w:tr>
    </w:tbl>
    <w:p w14:paraId="248B6F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видно из таблицы, фугасное действие авиабомб как штатных, так и железобетонных при попадании бомб в одинаковый грунт, примерно одинаковые.</w:t>
      </w:r>
    </w:p>
    <w:p w14:paraId="144577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Прочность корпусов</w:t>
      </w:r>
    </w:p>
    <w:p w14:paraId="47FCF2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корпусов поверялась путем сбрасывания снаряженных бомб без взрывателей с различных высот и кроме того, было произведено для этой же цели десять растрясочных полетов на самолете СБ с вертикально и горизонтально подвешенными бомбами (на ДЕР-34 и ДЕР-19). При осмотре бомб после десяти вылетов и посадок никаких нарушений в подвеске и прочности корпусов бомб обнаружено не было.</w:t>
      </w:r>
    </w:p>
    <w:p w14:paraId="4DF686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 прочность корпусов бомб при сбрасывании с различных высот дали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985"/>
        <w:gridCol w:w="7657"/>
      </w:tblGrid>
      <w:tr w:rsidR="00983732" w:rsidRPr="00A3026E" w14:paraId="47945C2A" w14:textId="77777777" w:rsidTr="00EA0DA7">
        <w:tc>
          <w:tcPr>
            <w:tcW w:w="1951" w:type="dxa"/>
          </w:tcPr>
          <w:p w14:paraId="05874A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сбрасывания в м</w:t>
            </w:r>
          </w:p>
        </w:tc>
        <w:tc>
          <w:tcPr>
            <w:tcW w:w="1985" w:type="dxa"/>
          </w:tcPr>
          <w:p w14:paraId="3252AF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проникания в м</w:t>
            </w:r>
          </w:p>
        </w:tc>
        <w:tc>
          <w:tcPr>
            <w:tcW w:w="7657" w:type="dxa"/>
          </w:tcPr>
          <w:p w14:paraId="29128C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корпуса</w:t>
            </w:r>
          </w:p>
        </w:tc>
      </w:tr>
      <w:tr w:rsidR="00983732" w:rsidRPr="00A3026E" w14:paraId="62B36BBE" w14:textId="77777777" w:rsidTr="00EA0DA7">
        <w:tc>
          <w:tcPr>
            <w:tcW w:w="1951" w:type="dxa"/>
          </w:tcPr>
          <w:p w14:paraId="21A097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985" w:type="dxa"/>
          </w:tcPr>
          <w:p w14:paraId="28F3B1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7657" w:type="dxa"/>
          </w:tcPr>
          <w:p w14:paraId="27FAFC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3004F062" w14:textId="77777777" w:rsidTr="00EA0DA7">
        <w:tc>
          <w:tcPr>
            <w:tcW w:w="1951" w:type="dxa"/>
          </w:tcPr>
          <w:p w14:paraId="183939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985" w:type="dxa"/>
          </w:tcPr>
          <w:p w14:paraId="664EB0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1,47</w:t>
            </w:r>
          </w:p>
        </w:tc>
        <w:tc>
          <w:tcPr>
            <w:tcW w:w="7657" w:type="dxa"/>
          </w:tcPr>
          <w:p w14:paraId="73D791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76655039" w14:textId="77777777" w:rsidTr="00EA0DA7">
        <w:tc>
          <w:tcPr>
            <w:tcW w:w="1951" w:type="dxa"/>
          </w:tcPr>
          <w:p w14:paraId="4886B2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985" w:type="dxa"/>
          </w:tcPr>
          <w:p w14:paraId="727C81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1,57</w:t>
            </w:r>
          </w:p>
        </w:tc>
        <w:tc>
          <w:tcPr>
            <w:tcW w:w="7657" w:type="dxa"/>
          </w:tcPr>
          <w:p w14:paraId="2D8585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3EB5F51F" w14:textId="77777777" w:rsidTr="00EA0DA7">
        <w:tc>
          <w:tcPr>
            <w:tcW w:w="1951" w:type="dxa"/>
          </w:tcPr>
          <w:p w14:paraId="27C3A4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985" w:type="dxa"/>
          </w:tcPr>
          <w:p w14:paraId="1798FD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tc>
        <w:tc>
          <w:tcPr>
            <w:tcW w:w="7657" w:type="dxa"/>
          </w:tcPr>
          <w:p w14:paraId="633336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3E6EA04B" w14:textId="77777777" w:rsidTr="00EA0DA7">
        <w:tc>
          <w:tcPr>
            <w:tcW w:w="1951" w:type="dxa"/>
          </w:tcPr>
          <w:p w14:paraId="658969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985" w:type="dxa"/>
          </w:tcPr>
          <w:p w14:paraId="63B43D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1,87</w:t>
            </w:r>
          </w:p>
        </w:tc>
        <w:tc>
          <w:tcPr>
            <w:tcW w:w="7657" w:type="dxa"/>
          </w:tcPr>
          <w:p w14:paraId="149F4D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54AF7139" w14:textId="77777777" w:rsidTr="00EA0DA7">
        <w:tc>
          <w:tcPr>
            <w:tcW w:w="1951" w:type="dxa"/>
          </w:tcPr>
          <w:p w14:paraId="35082C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985" w:type="dxa"/>
          </w:tcPr>
          <w:p w14:paraId="158F8B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7657" w:type="dxa"/>
          </w:tcPr>
          <w:p w14:paraId="3EEE3D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983732" w:rsidRPr="00A3026E" w14:paraId="339C30AA" w14:textId="77777777" w:rsidTr="00EA0DA7">
        <w:tc>
          <w:tcPr>
            <w:tcW w:w="1951" w:type="dxa"/>
          </w:tcPr>
          <w:p w14:paraId="699776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4000</w:t>
            </w:r>
          </w:p>
        </w:tc>
        <w:tc>
          <w:tcPr>
            <w:tcW w:w="1985" w:type="dxa"/>
          </w:tcPr>
          <w:p w14:paraId="72A6B1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7657" w:type="dxa"/>
          </w:tcPr>
          <w:p w14:paraId="7FE5F2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983732" w:rsidRPr="00A3026E" w14:paraId="10EF98D6" w14:textId="77777777" w:rsidTr="00EA0DA7">
        <w:tc>
          <w:tcPr>
            <w:tcW w:w="1951" w:type="dxa"/>
          </w:tcPr>
          <w:p w14:paraId="0A03C4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985" w:type="dxa"/>
          </w:tcPr>
          <w:p w14:paraId="4DA194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7657" w:type="dxa"/>
          </w:tcPr>
          <w:p w14:paraId="4ABEB3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r w:rsidR="00983732" w:rsidRPr="00A3026E" w14:paraId="54163EBA" w14:textId="77777777" w:rsidTr="00EA0DA7">
        <w:tc>
          <w:tcPr>
            <w:tcW w:w="1951" w:type="dxa"/>
          </w:tcPr>
          <w:p w14:paraId="52C703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985" w:type="dxa"/>
          </w:tcPr>
          <w:p w14:paraId="37DE94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7657" w:type="dxa"/>
          </w:tcPr>
          <w:p w14:paraId="70E674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bl>
    <w:p w14:paraId="74713C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Устойчивость бомб на траектории</w:t>
      </w:r>
    </w:p>
    <w:p w14:paraId="372775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бомб на траектории при сбрасывании с высот 1000 и 2000 м определялась визуально с земли. Бомбы на траектории вели себя устойчиво.</w:t>
      </w:r>
    </w:p>
    <w:p w14:paraId="7FE64F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сбрасывании с 4000 м (залп из 3-х) с горизонтальных держателей на основании рассеивания дали достаточную устойчивость.</w:t>
      </w:r>
    </w:p>
    <w:p w14:paraId="4191B8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сбрасывании с высоты 6000 м с вертикальных бомбодержателей (залп из 4-х) рассеивание залпа по курсу получилось 275 м – это рассеивание надо считать очень большим.</w:t>
      </w:r>
    </w:p>
    <w:p w14:paraId="0E577F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результатов полигонных испытаний НИП АВ ВВС сделал следующие выводы:</w:t>
      </w:r>
    </w:p>
    <w:p w14:paraId="4DC6B11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с корпусом из железобетона при сбрасывании с высот 1000, 2000, 4000 и 6000 метров действует безотказно. По фугасному эффекту ФАБ-100 железобетонные при бомбометании с высоты 2000 м практически равноценны ФАБ-100 цельнокованным. С высоты 4000 и 6000 м получено по одному наблюдению, что является недостаточным для сравнительных выводов.</w:t>
      </w:r>
    </w:p>
    <w:p w14:paraId="5A8505D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Корпуса ФАБ-100 железобетонных при бомбометании с 2000 м при скорости самолета 270 км/час по грунту средней плотности, имеют достаточную прочность.</w:t>
      </w:r>
    </w:p>
    <w:p w14:paraId="3C3DE9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сбрасывании с высот 4000 и 6000 м при скорости самолета 300 км/час, корпуса ФАБ-100 железобетонных деформируются, разрушается наружный слой бетона, но при этом они проникают в грунт. Заряд взрывчатого вещества не рассеивается и при наличии взрывателей полный взрыв взрывчатого вещества обеспечен.</w:t>
      </w:r>
    </w:p>
    <w:p w14:paraId="2E2C8498"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Устойчивость бомб на траектории достаточная, но подлежит более детальной проверке с высот 4000 м и выше. Рекомендовать произвести расчетную проверку на устойчивость.</w:t>
      </w:r>
    </w:p>
    <w:p w14:paraId="7CE78F9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проведенных испытаний ФАБ-100 с железобетонным корпусом возможно применять по целям следующего порядка: аэродромы и ангары; грунтовые дороги; ж/д станции, легкие постройки городских наземных сооружений; деревянно-земляные укрепления полевого типа, легкие промышленные здания и т.п.</w:t>
      </w:r>
    </w:p>
    <w:p w14:paraId="5A7C5B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своем заключении НИП АВ указывает, что:</w:t>
      </w:r>
    </w:p>
    <w:p w14:paraId="6FD176B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Железобетонные авиабомбы в габаритах ФАБ-100 цельнокованных конструкций проф. Гальперина, в результате полигонных испытаний показали удовлетворительные результаты в отношении прочности, фугасности и безотказности действия при бомбометании по грунту средней плотности.</w:t>
      </w:r>
    </w:p>
    <w:p w14:paraId="51C3DD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что ФАБ-100 с железобетонным корпусом полигонные испытания выдержали и могут быть допущены на войсковые испытания для всестороннего выявления боевых свойств и всех характеристических показателей.</w:t>
      </w:r>
    </w:p>
    <w:p w14:paraId="622708E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подачей бомб на войсковые испытания, провести контрольные испытания ФАБ-100 железобетонных по мерзлому грунту и на устойчивость падения с больших высот, из числа бомб первой опытно-валовой партии, для чего необходимо подать на НИП АВ – 100 штук бомб.</w:t>
      </w:r>
    </w:p>
    <w:p w14:paraId="0E8D33E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АВ считает необходимым продолжить исследовательскую работу, как по линии дальнейшего упрочнения корпуса, так и в направлении изготовления более крупных калибров бомб данной конструкции.</w:t>
      </w:r>
    </w:p>
    <w:p w14:paraId="5A0DD2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8 Управления ГУ ВВС</w:t>
      </w:r>
    </w:p>
    <w:p w14:paraId="5F5CFC2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Представленный НИП АВ ВВС отчет по полигонным испытаниям фугасных авиабомб с железобетонным корпусом утвердить.</w:t>
      </w:r>
    </w:p>
    <w:p w14:paraId="0D4263C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что фугасные авиабомбы с железобетонным корпусом полигонные испытания выдержали.</w:t>
      </w:r>
    </w:p>
    <w:p w14:paraId="46FA633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Присвоить фугасным авиабомбам с железобетонным корпусом наименование ФАБ-100 НГ.</w:t>
      </w:r>
    </w:p>
    <w:p w14:paraId="0EBD2F5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Просить Наркомат боеприпасов:</w:t>
      </w:r>
    </w:p>
    <w:p w14:paraId="0ACDE7D6" w14:textId="77777777" w:rsidR="00C66762" w:rsidRPr="00A3026E" w:rsidRDefault="00C66762" w:rsidP="00A3026E">
      <w:pPr>
        <w:pStyle w:val="a3"/>
        <w:widowControl/>
        <w:rPr>
          <w:color w:val="000000" w:themeColor="text1"/>
          <w:lang w:val="ru-RU"/>
        </w:rPr>
      </w:pPr>
      <w:r w:rsidRPr="00A3026E">
        <w:rPr>
          <w:color w:val="000000" w:themeColor="text1"/>
          <w:lang w:val="ru-RU"/>
        </w:rPr>
        <w:t>а) Провести подготовку к валовому производству ФАБ-100 НГ в 1941 году.</w:t>
      </w:r>
    </w:p>
    <w:p w14:paraId="1843BE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Изготовить к 1 января 1941 года опытно-серийные партии ФАБ-100 НГ в количестве 15000 штук.</w:t>
      </w:r>
    </w:p>
    <w:p w14:paraId="79E88DB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Просить начальника КБ-35 проф. Гальперина разработать, с учетом возможного увеличения прочности корпуса, чертежи и ТУ на ФАБ-100 НГ и представить их на утверждение в 8 Управление ГУ ВВС к 20 октября 1940 года.</w:t>
      </w:r>
    </w:p>
    <w:p w14:paraId="6991044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НИП АВ ГУ ВВС в период январь-февраль 1941 года провести контрольные испытания ФАБ-100 НГ по мерзлому грунту, для чего из первых опытно-серийных партий 8 Управлению ГУ ВВС обеспечить подачу на НИП АВ 100 штук ФАБ-100 НГ.</w:t>
      </w:r>
    </w:p>
    <w:p w14:paraId="7B5E52E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наиболее полного выявления боевых свойств в 1941 году провести широкие войсковые испытания ФАБ-100 НГ по различным грунтам.</w:t>
      </w:r>
    </w:p>
    <w:p w14:paraId="6C9EBDA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Просить начальника КБ-35 разработать проекты и изготовить ФАБ-250, ФАБ-500 и ФАБ-1000 с корпусами из железобетона. Изготовление этих калибров желательно закончить к 1 января 1941 года.</w:t>
      </w:r>
    </w:p>
    <w:p w14:paraId="20DEC52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НТЖ разослать:</w:t>
      </w:r>
    </w:p>
    <w:p w14:paraId="1D3E2B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1и 2 – Отделение чертежей и ТУ 8 Управления ГУ ВВС</w:t>
      </w:r>
    </w:p>
    <w:p w14:paraId="75059E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3 – КО</w:t>
      </w:r>
    </w:p>
    <w:p w14:paraId="73A946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4 – наркому боеприпасов</w:t>
      </w:r>
    </w:p>
    <w:p w14:paraId="3FFFD9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5 – начальнику КБ-35 НКБ</w:t>
      </w:r>
    </w:p>
    <w:p w14:paraId="55547B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6 - начальнику НИП АВ ГУ ВВС</w:t>
      </w:r>
    </w:p>
    <w:p w14:paraId="25071D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7 – Бюро техпомощи заводам при НКБ</w:t>
      </w:r>
    </w:p>
    <w:p w14:paraId="1D05BC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8 2 Управлению ГУ ВВС</w:t>
      </w:r>
    </w:p>
    <w:p w14:paraId="000E4A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8 Управления ГУ ВВС в/инженер 1 ранга Никонов, начальник 1 отдела 8 Управления ГУ ВВС в/инженер 1 ранга Матаев) (3440, 236-252).</w:t>
      </w:r>
    </w:p>
    <w:p w14:paraId="3F5673A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9FA79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71ECE56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8299E60"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w:t>
      </w:r>
    </w:p>
    <w:p w14:paraId="5FAD8963"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Стенограмма выступления наркома НКВ Б.Л.Ванникова на заседании коллегии НКВ 14.10.1940 (18627).</w:t>
      </w:r>
    </w:p>
    <w:p w14:paraId="1F7C83DE" w14:textId="77777777" w:rsidR="00C81F54" w:rsidRPr="00A3026E" w:rsidRDefault="00C81F54" w:rsidP="00A3026E">
      <w:pPr>
        <w:spacing w:after="0" w:line="240" w:lineRule="auto"/>
        <w:jc w:val="both"/>
        <w:rPr>
          <w:rFonts w:ascii="Times New Roman" w:hAnsi="Times New Roman"/>
          <w:color w:val="000000" w:themeColor="text1"/>
          <w:sz w:val="16"/>
          <w:szCs w:val="16"/>
        </w:rPr>
      </w:pPr>
    </w:p>
    <w:p w14:paraId="024F5989"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октября 1940</w:t>
      </w:r>
    </w:p>
    <w:p w14:paraId="392A89CE"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1028. Решения ПБ за 27 сентября — 28 октября 1940 г. (протокол № 21)</w:t>
      </w:r>
    </w:p>
    <w:p w14:paraId="2FF5692E"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10.Х.40 г.</w:t>
      </w:r>
    </w:p>
    <w:p w14:paraId="74D0E3EC"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120. О состоянии строительства завода № 179 (записка Микояна) (20920).</w:t>
      </w:r>
    </w:p>
    <w:p w14:paraId="0CC4C940" w14:textId="77777777" w:rsidR="002947D3" w:rsidRPr="00A3026E" w:rsidRDefault="002947D3" w:rsidP="00A3026E">
      <w:pPr>
        <w:spacing w:after="0" w:line="240" w:lineRule="auto"/>
        <w:jc w:val="both"/>
        <w:rPr>
          <w:rFonts w:ascii="Times New Roman" w:hAnsi="Times New Roman"/>
          <w:color w:val="0070C0"/>
          <w:sz w:val="16"/>
          <w:szCs w:val="16"/>
        </w:rPr>
      </w:pPr>
    </w:p>
    <w:p w14:paraId="06DB9A84"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г. был составлен Отчет по первому этапу полигонных испытаний танка Т-34 № 311-25-3, получивший номер 6Н/05456, и подписан временно исполняющим обязанности начальника полигона военинженером 1 ранга И.Н. Оглоблиным, начальником 6-го отдела АНИОПа военинженером 1 ранга С.О. Гранделевским и руководителем опытов военинженером 2 ранга М.С. Довгополым. Шесть экземпляров этого отчета 16 октября 1940 г. были отправлены председателю Артком ГАУ КА, начальникам УВНА ГАУ КА, ГАБТУ КА и Главспецмаша НКСМ, а также директорам Ленинградского Кировского завода и завода № 183 (19575).</w:t>
      </w:r>
    </w:p>
    <w:p w14:paraId="31C37CA4" w14:textId="77777777" w:rsidR="00C81F54" w:rsidRPr="00A3026E" w:rsidRDefault="00C81F54" w:rsidP="00A3026E">
      <w:pPr>
        <w:spacing w:after="0" w:line="240" w:lineRule="auto"/>
        <w:jc w:val="both"/>
        <w:rPr>
          <w:rFonts w:ascii="Times New Roman" w:hAnsi="Times New Roman"/>
          <w:color w:val="000000" w:themeColor="text1"/>
          <w:sz w:val="16"/>
          <w:szCs w:val="16"/>
        </w:rPr>
      </w:pPr>
    </w:p>
    <w:p w14:paraId="33916C61"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г. Г.С. Хламов направил директору завода № 183 Ю.Е. Максарёву </w:t>
      </w:r>
      <w:hyperlink r:id="rId36" w:tgtFrame="_blank" w:history="1">
        <w:r w:rsidRPr="00A3026E">
          <w:rPr>
            <w:rStyle w:val="a5"/>
            <w:rFonts w:ascii="Times New Roman" w:hAnsi="Times New Roman"/>
            <w:color w:val="000000" w:themeColor="text1"/>
            <w:sz w:val="16"/>
            <w:szCs w:val="16"/>
          </w:rPr>
          <w:t>письмо № 397-4446с</w:t>
        </w:r>
      </w:hyperlink>
      <w:r w:rsidRPr="00A3026E">
        <w:rPr>
          <w:rFonts w:ascii="Times New Roman" w:hAnsi="Times New Roman"/>
          <w:color w:val="000000" w:themeColor="text1"/>
          <w:sz w:val="16"/>
          <w:szCs w:val="16"/>
        </w:rPr>
        <w:t> со следующими указаниями: </w:t>
      </w:r>
    </w:p>
    <w:p w14:paraId="6CF7A60B"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согласованию мною с начальником ГАБТУ Кр. Армии Генерал-лейтенантом тов. Федоренко проведите пробег 3-х танков Т-34 на 3000 км с боевыми стрельбами. Для чего немедленно приступите к подготовке машин Т-34, выделяемых военпредом на В/заводе из числа окончательно принятых и оформленных заводу для оплаты. </w:t>
      </w:r>
    </w:p>
    <w:p w14:paraId="73A9E7E8"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выделенных машинах осуществить необходимые конструктивные изменения по перечню отдельных недоработок, согласованных с военпредом на В/завод, в том числе: </w:t>
      </w:r>
    </w:p>
    <w:p w14:paraId="5832AF7B"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изменение боеукладки </w:t>
      </w:r>
    </w:p>
    <w:p w14:paraId="2B82F9CC"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изменение положения приборов стрельбы </w:t>
      </w:r>
    </w:p>
    <w:p w14:paraId="5AB5C11A"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установка рации в носовой части корпуса и др. </w:t>
      </w:r>
    </w:p>
    <w:p w14:paraId="09BDF2EB"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Указанные машины укомплектовать запчастями по особому списку, согласованному с Военпредом. Выделить для обслуживания в пробеге соответствующее количество персонала и представителя от завода. На работы, связанные с подготовкой машин к пробегу, заключить с ГАБТУ Кр. Армии договор. </w:t>
      </w:r>
    </w:p>
    <w:p w14:paraId="571CC722"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Обеспечение танков во время пробега горючим, сопровождающими и др. не входит в круг обязанностей завода. </w:t>
      </w:r>
    </w:p>
    <w:p w14:paraId="0610522D"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выхода машин в пробег устанавливаем 13/Х-с/г.».</w:t>
      </w:r>
    </w:p>
    <w:p w14:paraId="3B2D2E43"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[РГВА. Ф. 31811. Оп. 2. Д. 1181. Л. 316] (18173).</w:t>
      </w:r>
    </w:p>
    <w:p w14:paraId="4F5496BB" w14:textId="77777777" w:rsidR="00C81F54" w:rsidRPr="00A3026E" w:rsidRDefault="00C81F54" w:rsidP="00A3026E">
      <w:pPr>
        <w:spacing w:after="0" w:line="240" w:lineRule="auto"/>
        <w:jc w:val="both"/>
        <w:rPr>
          <w:rFonts w:ascii="Times New Roman" w:hAnsi="Times New Roman"/>
          <w:color w:val="000000" w:themeColor="text1"/>
          <w:sz w:val="16"/>
          <w:szCs w:val="16"/>
        </w:rPr>
      </w:pPr>
    </w:p>
    <w:p w14:paraId="7B276E54"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w:t>
      </w:r>
    </w:p>
    <w:p w14:paraId="32C08A06"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1181 лист 316 </w:t>
      </w:r>
    </w:p>
    <w:p w14:paraId="1F7BC540"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6A4ADD26"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X 1940 г. </w:t>
      </w:r>
    </w:p>
    <w:p w14:paraId="5512DDC9"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397-4446с </w:t>
      </w:r>
    </w:p>
    <w:p w14:paraId="4FD33FD6"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Директору завода № 183 тов. МАКСАРЕВУ</w:t>
      </w:r>
    </w:p>
    <w:p w14:paraId="7644CA15"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Начальнику ГАБТУ Красной Армии</w:t>
      </w:r>
    </w:p>
    <w:p w14:paraId="4809838F"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Генерал-лейтенанту тов. ФЕДОРЕНКО</w:t>
      </w:r>
    </w:p>
    <w:p w14:paraId="3008EF93"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вопросу: проведения пробега трех машин Т-34. </w:t>
      </w:r>
    </w:p>
    <w:p w14:paraId="61DBA015"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согласованию мною с начальником ГАБТУ Кр. Армии Генерал-лейтенантом тов. Федоренко проведите пробег 3-х танков Т-34 на 3000 км с боевыми стрельбами. Для чего немедленно приступите к подготовке машин Т-34, выделяемых военпредом на В/заводе из числа окончательно принятых и оформленных заводу для оплаты. </w:t>
      </w:r>
    </w:p>
    <w:p w14:paraId="419942FC"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выделенных машинах осуществить необходимые конструктивные изменения по перечню отдельных недоработок, согласованных с военпредом на В/заводе, в том числе: </w:t>
      </w:r>
    </w:p>
    <w:p w14:paraId="2FAB92F7"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изменение боеукладки </w:t>
      </w:r>
    </w:p>
    <w:p w14:paraId="6431EA44"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изменение положения приборов стрельбы </w:t>
      </w:r>
    </w:p>
    <w:p w14:paraId="69F5190E"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установка рации в носовой части корпуса и др. </w:t>
      </w:r>
    </w:p>
    <w:p w14:paraId="7ACF0C91"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Указанные машины укомплектовать запчастями по особому списку, согласованному с Военпредом. Выделить для обслуживания в пробеге соответствующее количество персонала и представителя от завода. </w:t>
      </w:r>
    </w:p>
    <w:p w14:paraId="742218C0"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работы, связанные с подготовкой машин к пробегу, заключить с ГАБТУ Кр. Армии договор. </w:t>
      </w:r>
    </w:p>
    <w:p w14:paraId="5B1C642D"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Обеспечение танков во время пробега горючим, сопровождающими и др. не входит в круг обязанностей завода. </w:t>
      </w:r>
    </w:p>
    <w:p w14:paraId="6B3BF7E0"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выхода машин в пробег устанавливаем 13/Х-с/г. </w:t>
      </w:r>
    </w:p>
    <w:p w14:paraId="76A12AEE"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И.О. Нач. Главспецмаша НКСМ (Хламов)</w:t>
      </w:r>
    </w:p>
    <w:p w14:paraId="1FF8F5A8"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3 экз. </w:t>
      </w:r>
    </w:p>
    <w:p w14:paraId="2CF4F7FD"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 Юрасов (18178).</w:t>
      </w:r>
    </w:p>
    <w:p w14:paraId="4CDA631A" w14:textId="77777777" w:rsidR="00C81F54" w:rsidRPr="00A3026E" w:rsidRDefault="00C81F54" w:rsidP="00A3026E">
      <w:pPr>
        <w:spacing w:after="0" w:line="240" w:lineRule="auto"/>
        <w:jc w:val="both"/>
        <w:rPr>
          <w:rFonts w:ascii="Times New Roman" w:hAnsi="Times New Roman"/>
          <w:color w:val="000000" w:themeColor="text1"/>
          <w:sz w:val="16"/>
          <w:szCs w:val="16"/>
        </w:rPr>
      </w:pPr>
    </w:p>
    <w:p w14:paraId="7118AD24"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w:t>
      </w:r>
    </w:p>
    <w:p w14:paraId="5AB72FF8"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bCs/>
          <w:iCs/>
          <w:color w:val="000000" w:themeColor="text1"/>
          <w:sz w:val="16"/>
          <w:szCs w:val="16"/>
          <w:lang w:eastAsia="ru-RU"/>
        </w:rPr>
        <w:t>ЦАМО Фонд 38 Опись 11355 Дело 47 Лист 19</w:t>
      </w:r>
      <w:r w:rsidRPr="00A3026E">
        <w:rPr>
          <w:rFonts w:ascii="Times New Roman" w:eastAsia="Times New Roman" w:hAnsi="Times New Roman"/>
          <w:color w:val="000000" w:themeColor="text1"/>
          <w:sz w:val="16"/>
          <w:szCs w:val="16"/>
          <w:lang w:eastAsia="ru-RU"/>
        </w:rPr>
        <w:t xml:space="preserve"> </w:t>
      </w:r>
    </w:p>
    <w:p w14:paraId="40B81A88"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Секретно. </w:t>
      </w:r>
    </w:p>
    <w:p w14:paraId="71DE9A49"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Экз. № 1 </w:t>
      </w:r>
    </w:p>
    <w:p w14:paraId="03D1DC48"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 397-4445с </w:t>
      </w:r>
    </w:p>
    <w:p w14:paraId="24FC7014"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10/Х-40 г. </w:t>
      </w:r>
    </w:p>
    <w:p w14:paraId="03647268"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НАЧАЛЬНИКУ ГАБТУ КРАСНОЙ АРМИИ</w:t>
      </w:r>
    </w:p>
    <w:p w14:paraId="3F85A9AB"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Генерал-лейтенанту </w:t>
      </w:r>
      <w:r w:rsidRPr="00A3026E">
        <w:rPr>
          <w:rFonts w:ascii="Times New Roman" w:eastAsia="Times New Roman" w:hAnsi="Times New Roman"/>
          <w:color w:val="000000" w:themeColor="text1"/>
          <w:sz w:val="16"/>
          <w:szCs w:val="16"/>
          <w:u w:val="single"/>
          <w:lang w:eastAsia="ru-RU"/>
        </w:rPr>
        <w:t>тов. ФЕДОРЕНКО</w:t>
      </w:r>
    </w:p>
    <w:p w14:paraId="05CACD35"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u w:val="single"/>
          <w:lang w:eastAsia="ru-RU"/>
        </w:rPr>
        <w:t>По вопросу:</w:t>
      </w:r>
      <w:r w:rsidRPr="00A3026E">
        <w:rPr>
          <w:rFonts w:ascii="Times New Roman" w:eastAsia="Times New Roman" w:hAnsi="Times New Roman"/>
          <w:color w:val="000000" w:themeColor="text1"/>
          <w:sz w:val="16"/>
          <w:szCs w:val="16"/>
          <w:lang w:eastAsia="ru-RU"/>
        </w:rPr>
        <w:t xml:space="preserve"> испытаний корпуса маш. Т-34. </w:t>
      </w:r>
    </w:p>
    <w:p w14:paraId="502F13B0"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Настоящим препровождаем на утверждение три экземпляра: </w:t>
      </w:r>
    </w:p>
    <w:p w14:paraId="391331F0"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"План испытаний обстрелом корпуса и башни машины Т-34 и список мест обстрела корпуса и башни машины Т-34". </w:t>
      </w:r>
    </w:p>
    <w:p w14:paraId="306F865A"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После утверждения два экземпляра указанного материала просим прислать к нам обратно. </w:t>
      </w:r>
    </w:p>
    <w:p w14:paraId="4181ED15"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u w:val="single"/>
          <w:lang w:eastAsia="ru-RU"/>
        </w:rPr>
        <w:t>Приложение:</w:t>
      </w:r>
      <w:r w:rsidRPr="00A3026E">
        <w:rPr>
          <w:rFonts w:ascii="Times New Roman" w:eastAsia="Times New Roman" w:hAnsi="Times New Roman"/>
          <w:color w:val="000000" w:themeColor="text1"/>
          <w:sz w:val="16"/>
          <w:szCs w:val="16"/>
          <w:lang w:eastAsia="ru-RU"/>
        </w:rPr>
        <w:t xml:space="preserve"> упомянутое всего на 21 лист. </w:t>
      </w:r>
    </w:p>
    <w:p w14:paraId="307115EC"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Начальник Техотдела Главспецмаша НКСМ подпись (Терехин)</w:t>
      </w:r>
    </w:p>
    <w:p w14:paraId="7D62C9A9"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Отп. 2 экз. </w:t>
      </w:r>
    </w:p>
    <w:p w14:paraId="51DF4ACF"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 5562 </w:t>
      </w:r>
    </w:p>
    <w:p w14:paraId="7E45CF1F"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исп. т. Юрасов </w:t>
      </w:r>
    </w:p>
    <w:p w14:paraId="5727D5FE"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9/Х-40 г. </w:t>
      </w:r>
    </w:p>
    <w:p w14:paraId="2E494352"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iCs/>
          <w:color w:val="000000" w:themeColor="text1"/>
          <w:sz w:val="16"/>
          <w:szCs w:val="16"/>
          <w:lang w:eastAsia="ru-RU"/>
        </w:rPr>
        <w:t>На документе пометы:</w:t>
      </w:r>
      <w:r w:rsidRPr="00A3026E">
        <w:rPr>
          <w:rFonts w:ascii="Times New Roman" w:eastAsia="Times New Roman" w:hAnsi="Times New Roman"/>
          <w:color w:val="000000" w:themeColor="text1"/>
          <w:sz w:val="16"/>
          <w:szCs w:val="16"/>
          <w:lang w:eastAsia="ru-RU"/>
        </w:rPr>
        <w:t xml:space="preserve"> </w:t>
      </w:r>
    </w:p>
    <w:p w14:paraId="4BA876A8"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«Материал использован для составления программы испытания. Программа находится на подписи. 20.1.41 подпись В.И. Недогреева» </w:t>
      </w:r>
    </w:p>
    <w:p w14:paraId="18DCEB04"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bCs/>
          <w:iCs/>
          <w:color w:val="000000" w:themeColor="text1"/>
          <w:sz w:val="16"/>
          <w:szCs w:val="16"/>
          <w:lang w:eastAsia="ru-RU"/>
        </w:rPr>
        <w:t>ЦАМО Фонд 38 Опись 11355 Дело 47 Листы 20 – 22</w:t>
      </w:r>
      <w:r w:rsidRPr="00A3026E">
        <w:rPr>
          <w:rFonts w:ascii="Times New Roman" w:eastAsia="Times New Roman" w:hAnsi="Times New Roman"/>
          <w:color w:val="000000" w:themeColor="text1"/>
          <w:sz w:val="16"/>
          <w:szCs w:val="16"/>
          <w:lang w:eastAsia="ru-RU"/>
        </w:rPr>
        <w:t xml:space="preserve"> </w:t>
      </w:r>
    </w:p>
    <w:p w14:paraId="6E30C614"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СЕКРЕТНО. </w:t>
      </w:r>
    </w:p>
    <w:p w14:paraId="602BCDFF"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"УТВЕРЖДАЮ"</w:t>
      </w:r>
    </w:p>
    <w:p w14:paraId="0B8A9CA9"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НАЧАЛЬНИК ГАБТУ КА (ФЕДОРЕНКО) </w:t>
      </w:r>
    </w:p>
    <w:p w14:paraId="5FA8BDE2"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"УТВЕРЖДАЮ"</w:t>
      </w:r>
    </w:p>
    <w:p w14:paraId="678973AC"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НАЧ. ГЛАВСПЕЦМАША НКСМ подпись (СУРЕНЯН) </w:t>
      </w:r>
    </w:p>
    <w:p w14:paraId="1F276EE5"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u w:val="single"/>
          <w:lang w:eastAsia="ru-RU"/>
        </w:rPr>
      </w:pPr>
      <w:r w:rsidRPr="00A3026E">
        <w:rPr>
          <w:rFonts w:ascii="Times New Roman" w:eastAsia="Times New Roman" w:hAnsi="Times New Roman"/>
          <w:color w:val="000000" w:themeColor="text1"/>
          <w:sz w:val="16"/>
          <w:szCs w:val="16"/>
          <w:u w:val="single"/>
          <w:lang w:eastAsia="ru-RU"/>
        </w:rPr>
        <w:t>ПЛАН</w:t>
      </w:r>
    </w:p>
    <w:p w14:paraId="46D5FFC3"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u w:val="single"/>
          <w:lang w:eastAsia="ru-RU"/>
        </w:rPr>
        <w:t>испытания обстрелом корпуса и башни маш. Т-34.</w:t>
      </w:r>
    </w:p>
    <w:p w14:paraId="1AC1BB00"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"СОГЛАСЕН"</w:t>
      </w:r>
    </w:p>
    <w:p w14:paraId="152FBCB4"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НАЧАЛЬНИК БТУ КА Военинженер 1 ранга (КОРОБКОВ) </w:t>
      </w:r>
    </w:p>
    <w:p w14:paraId="636706BA"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"СОГЛАСЕН"</w:t>
      </w:r>
    </w:p>
    <w:p w14:paraId="0279F666"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ДИРЕКТОР ЗАВОДА № 183 подпись С.Н. Махонина 2/Х-40 г. (МАКСАРЕВ) (Махонин) </w:t>
      </w:r>
    </w:p>
    <w:p w14:paraId="1BEE5EF4"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u w:val="single"/>
          <w:lang w:eastAsia="ru-RU"/>
        </w:rPr>
      </w:pPr>
      <w:r w:rsidRPr="00A3026E">
        <w:rPr>
          <w:rFonts w:ascii="Times New Roman" w:eastAsia="Times New Roman" w:hAnsi="Times New Roman"/>
          <w:color w:val="000000" w:themeColor="text1"/>
          <w:sz w:val="16"/>
          <w:szCs w:val="16"/>
          <w:u w:val="single"/>
          <w:lang w:eastAsia="ru-RU"/>
        </w:rPr>
        <w:t>ПЛАН</w:t>
      </w:r>
    </w:p>
    <w:p w14:paraId="22BD7D74"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u w:val="single"/>
          <w:lang w:eastAsia="ru-RU"/>
        </w:rPr>
        <w:t>испытания обстрелом корпуса и башни маш. Т-34.</w:t>
      </w:r>
    </w:p>
    <w:p w14:paraId="5A828835"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u w:val="single"/>
          <w:lang w:eastAsia="ru-RU"/>
        </w:rPr>
        <w:t>ОСНОВАНИЕ:</w:t>
      </w:r>
      <w:r w:rsidRPr="00A3026E">
        <w:rPr>
          <w:rFonts w:ascii="Times New Roman" w:eastAsia="Times New Roman" w:hAnsi="Times New Roman"/>
          <w:color w:val="000000" w:themeColor="text1"/>
          <w:sz w:val="16"/>
          <w:szCs w:val="16"/>
          <w:lang w:eastAsia="ru-RU"/>
        </w:rPr>
        <w:t xml:space="preserve"> Письмо начальника БТУ КА за № 76105 от 28/VIII-с.г. </w:t>
      </w:r>
    </w:p>
    <w:p w14:paraId="5CB03484"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u w:val="single"/>
          <w:lang w:eastAsia="ru-RU"/>
        </w:rPr>
        <w:t>I. Цель испытания.</w:t>
      </w:r>
    </w:p>
    <w:p w14:paraId="6EDB8EEE"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Определить снарядостойкость конструкции, надежность соединения отдельных деталей и узлов корпуса и башни (сварные соединения, крепление съемных деталей и люков). </w:t>
      </w:r>
    </w:p>
    <w:p w14:paraId="78073EA3"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u w:val="single"/>
          <w:lang w:eastAsia="ru-RU"/>
        </w:rPr>
        <w:t>II. Характеристика испытуемого объекта.</w:t>
      </w:r>
    </w:p>
    <w:p w14:paraId="48FAEEEC"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Испытанию обстрелом подвергаются серийный корпус с установленной на нем серийной башней. Корпус должен быть собран по серийным чертежам согласно детальной описи заказа 260001, кроме этого на него должны быть поставлены: </w:t>
      </w:r>
    </w:p>
    <w:p w14:paraId="5DACA960"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1. Бракованные колеса с балансирами и пружинными подвесками, ведущее колесо, ленивец и гусеница. </w:t>
      </w:r>
    </w:p>
    <w:p w14:paraId="43EAB951"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2. Крышка бортовой передачи дет. 34-16-003. </w:t>
      </w:r>
    </w:p>
    <w:p w14:paraId="1ED4326B"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3. Шар пулемета ДТ дет. 34-29-20сб (без пулемета). </w:t>
      </w:r>
    </w:p>
    <w:p w14:paraId="4D9EEC1E"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4. Смотровые приборы дет. 34-36-18сб и 34-36-21сб. </w:t>
      </w:r>
    </w:p>
    <w:p w14:paraId="64D50C0B"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5. Полностью заряженные воздушные баллоны. </w:t>
      </w:r>
    </w:p>
    <w:p w14:paraId="5C3BF755"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6. Бракованный или фанерный макет одного радиатора. </w:t>
      </w:r>
    </w:p>
    <w:p w14:paraId="038C62F5"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7. Бракованные: масляный бак – один и задние топливные баки. </w:t>
      </w:r>
    </w:p>
    <w:p w14:paraId="3BBCF3C5"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Башня должна быть собрана по серийным чертежам согласно детальной описи заказа № 260001 и установлена на корпус на погонах, кроме этого на башню должно быть установлено: </w:t>
      </w:r>
    </w:p>
    <w:p w14:paraId="5AE0B132"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1. Бракованная маска на цапфах с сектором подъемного механизма дет. 34-31-сб-1. </w:t>
      </w:r>
    </w:p>
    <w:p w14:paraId="78FAA2D4"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2. Бронировка пушки и маски дет. 34-32-1сб. </w:t>
      </w:r>
    </w:p>
    <w:p w14:paraId="42458CC9"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3. Смотровые приборы дет. 34-36-24сб и 34-47-сб-1. </w:t>
      </w:r>
    </w:p>
    <w:p w14:paraId="0136D8E9"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4. Заглушка стрельбы из револьвера дет. 34-30-7сб. </w:t>
      </w:r>
    </w:p>
    <w:p w14:paraId="302C069D"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5. Бракованный подъемный механизм. </w:t>
      </w:r>
    </w:p>
    <w:p w14:paraId="24066FB5"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6. Поворотный механизм без электромотора (бракованный). </w:t>
      </w:r>
    </w:p>
    <w:p w14:paraId="25F83A5A"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7. Захваты дет. 34-30-034. </w:t>
      </w:r>
    </w:p>
    <w:p w14:paraId="3EE34462"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8. Стопор башни дет. 34-30-6сб. </w:t>
      </w:r>
    </w:p>
    <w:p w14:paraId="2FC32FD8"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lastRenderedPageBreak/>
        <w:t xml:space="preserve">Внутри корпуса и башни на рабочих местах должны быть установлены макеты команды. </w:t>
      </w:r>
    </w:p>
    <w:p w14:paraId="6E0F3128"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u w:val="single"/>
          <w:lang w:eastAsia="ru-RU"/>
        </w:rPr>
        <w:t>III. Условия испытания.</w:t>
      </w:r>
    </w:p>
    <w:p w14:paraId="57DDB481"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Испытания производятся снарядами калибра 45 мм с дистанции 50 метров и пулеметным обстрелом щелей люков и смотровых приборов. Перед пулеметным обстрелом под люки необходимо укрепить фанерные листы для определения попадания брызг во внутрь машины. </w:t>
      </w:r>
    </w:p>
    <w:p w14:paraId="6F62A522"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Начальные скорости снарядов принимаются штатные скорости данной пушки. </w:t>
      </w:r>
    </w:p>
    <w:p w14:paraId="3665F540"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Обстрел производится при конструктивных углах, образуемых деталями на машине. </w:t>
      </w:r>
    </w:p>
    <w:p w14:paraId="007E614F"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В зависимости от характера испытаний комиссии представляется право снижать начальную скорость снарядов, но не ниже ПТП. </w:t>
      </w:r>
    </w:p>
    <w:p w14:paraId="0B67CB00"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Ориентировочное количество попаданий в каждый испытуемый узел согласно приложенного списка № 1. Количество попаданий может быть увеличено, но не превышая количества попаданий установленного на 1 кв. метр данной толщины брони. </w:t>
      </w:r>
    </w:p>
    <w:p w14:paraId="27E3746D"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Зачетными считаются попадания, расположенные на расстоянии между центрами не менее 3-х калибров. </w:t>
      </w:r>
    </w:p>
    <w:p w14:paraId="5BF64C21"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После каждого попадания снаряда производится осмотр поражения, результаты фиксируются комиссией в специальном журнале. </w:t>
      </w:r>
    </w:p>
    <w:p w14:paraId="12D37DF9"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На основании результатов испытаний комиссией составляется окончательный отчет и выводы по испытываемой конструкции. </w:t>
      </w:r>
    </w:p>
    <w:p w14:paraId="56946B82"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За главного конструктора завода подпись 1.Х.40 (МОРОЗОВ) </w:t>
      </w:r>
    </w:p>
    <w:p w14:paraId="16ED40F5"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СОГЛАСЕН:</w:t>
      </w:r>
    </w:p>
    <w:p w14:paraId="26E1AB9B"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Райинж. ГАБТУ Военинженер 2 ранга подпись 2/Х-40 (КОЗЫРЕВ)</w:t>
      </w:r>
    </w:p>
    <w:p w14:paraId="3A81206B"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Отп. 4 экз. </w:t>
      </w:r>
    </w:p>
    <w:p w14:paraId="06C56AD0"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исп. Колесников </w:t>
      </w:r>
    </w:p>
    <w:p w14:paraId="5E9F5B0B"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 4601 </w:t>
      </w:r>
    </w:p>
    <w:p w14:paraId="227498A7"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24.IX.40 г. </w:t>
      </w:r>
    </w:p>
    <w:p w14:paraId="6E110878"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bCs/>
          <w:iCs/>
          <w:color w:val="000000" w:themeColor="text1"/>
          <w:sz w:val="16"/>
          <w:szCs w:val="16"/>
          <w:lang w:eastAsia="ru-RU"/>
        </w:rPr>
        <w:t>ЦАМО Фонд 38 Опись 11355 Дело 47 Листы 23 – 26</w:t>
      </w:r>
      <w:r w:rsidRPr="00A3026E">
        <w:rPr>
          <w:rFonts w:ascii="Times New Roman" w:eastAsia="Times New Roman" w:hAnsi="Times New Roman"/>
          <w:color w:val="000000" w:themeColor="text1"/>
          <w:sz w:val="16"/>
          <w:szCs w:val="16"/>
          <w:lang w:eastAsia="ru-RU"/>
        </w:rPr>
        <w:t xml:space="preserve"> </w:t>
      </w:r>
    </w:p>
    <w:p w14:paraId="1E7EE094"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СЕКРЕТНО. </w:t>
      </w:r>
    </w:p>
    <w:p w14:paraId="047A4059"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СПИСОК (ориентировочный)</w:t>
      </w:r>
    </w:p>
    <w:p w14:paraId="61033ABF"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мест обстрела корпуса и башни машины Т-34. </w:t>
      </w:r>
    </w:p>
    <w:p w14:paraId="53F195DD"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ЗАМ. ГЛАВНОГО КОНСТРУКТОРА ЗАВОДА подпись 1.Х.40 (МОРОЗОВ) </w:t>
      </w:r>
    </w:p>
    <w:p w14:paraId="760F2F60"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СОГЛАСЕН:</w:t>
      </w:r>
    </w:p>
    <w:p w14:paraId="3F996BE3"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Райинженер ГАБТУ Военинженер 2 ранга подпись 2/Х-40 (КОЗЫРЕВ)</w:t>
      </w:r>
    </w:p>
    <w:p w14:paraId="7BCCC099"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Отп. 4 экз. </w:t>
      </w:r>
    </w:p>
    <w:p w14:paraId="7905A550"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Исп. Колесников </w:t>
      </w:r>
    </w:p>
    <w:p w14:paraId="68A3F874" w14:textId="77777777" w:rsidR="00C81F54" w:rsidRPr="00A3026E"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 4601 </w:t>
      </w:r>
    </w:p>
    <w:p w14:paraId="757F66DC" w14:textId="77777777" w:rsidR="00C81F54" w:rsidRPr="00A3026E" w:rsidRDefault="00C81F54" w:rsidP="00A3026E">
      <w:pPr>
        <w:spacing w:after="0" w:line="240" w:lineRule="auto"/>
        <w:jc w:val="both"/>
        <w:rPr>
          <w:rFonts w:ascii="Times New Roman" w:hAnsi="Times New Roman"/>
          <w:color w:val="000000" w:themeColor="text1"/>
          <w:sz w:val="16"/>
          <w:szCs w:val="16"/>
        </w:rPr>
      </w:pPr>
      <w:r w:rsidRPr="00A3026E">
        <w:rPr>
          <w:rFonts w:ascii="Times New Roman" w:eastAsia="Times New Roman" w:hAnsi="Times New Roman"/>
          <w:color w:val="000000" w:themeColor="text1"/>
          <w:sz w:val="16"/>
          <w:szCs w:val="16"/>
          <w:lang w:eastAsia="ru-RU"/>
        </w:rPr>
        <w:t>25/IX-40 г. (19708).</w:t>
      </w:r>
    </w:p>
    <w:p w14:paraId="3399F544" w14:textId="77777777" w:rsidR="00C81F54" w:rsidRPr="00A3026E" w:rsidRDefault="00C81F54" w:rsidP="00A3026E">
      <w:pPr>
        <w:spacing w:after="0" w:line="240" w:lineRule="auto"/>
        <w:jc w:val="both"/>
        <w:rPr>
          <w:rFonts w:ascii="Times New Roman" w:hAnsi="Times New Roman"/>
          <w:color w:val="000000" w:themeColor="text1"/>
          <w:sz w:val="16"/>
          <w:szCs w:val="16"/>
        </w:rPr>
      </w:pPr>
    </w:p>
    <w:p w14:paraId="346308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Style w:val="af0"/>
          <w:rFonts w:ascii="Times New Roman" w:hAnsi="Times New Roman"/>
          <w:i w:val="0"/>
          <w:iCs w:val="0"/>
          <w:color w:val="000000" w:themeColor="text1"/>
          <w:sz w:val="16"/>
          <w:szCs w:val="16"/>
        </w:rPr>
        <w:t>10 октября 1940</w:t>
      </w:r>
      <w:r w:rsidRPr="00A3026E">
        <w:rPr>
          <w:rFonts w:ascii="Times New Roman" w:hAnsi="Times New Roman"/>
          <w:color w:val="000000" w:themeColor="text1"/>
          <w:sz w:val="16"/>
          <w:szCs w:val="16"/>
        </w:rPr>
        <w:t xml:space="preserve"> вышло Постановление политбюро ЦК ВКП (б) "об обеспечении военно-морского флота дизелями"</w:t>
      </w:r>
    </w:p>
    <w:p w14:paraId="564BAA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121 — Об обеспечении Военно-Морского Флота дизелями (записка т. Берия) </w:t>
      </w:r>
    </w:p>
    <w:p w14:paraId="2FD2B0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Поручить Наркомату Государственного Контроля виновников срыва выполнения заданий правительства по обеспечению Военно-Морского Флота дизелями, — привлечь к ответственности. </w:t>
      </w:r>
    </w:p>
    <w:p w14:paraId="40C585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РГАСПИ. Ф. 17. Оп. 3. Д. 1028. Л. 31. Подлинник. Машинопись. </w:t>
      </w:r>
    </w:p>
    <w:p w14:paraId="749401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Протокол № 21 (11430). </w:t>
      </w:r>
    </w:p>
    <w:p w14:paraId="6D07446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AD912CB" w14:textId="77777777" w:rsidR="00226974"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04B2BFB4" w14:textId="77777777" w:rsidR="00226974" w:rsidRPr="00A3026E" w:rsidRDefault="00226974" w:rsidP="00A3026E">
      <w:pPr>
        <w:spacing w:after="0" w:line="240" w:lineRule="auto"/>
        <w:jc w:val="both"/>
        <w:rPr>
          <w:rFonts w:ascii="Times New Roman" w:hAnsi="Times New Roman"/>
          <w:iCs/>
          <w:color w:val="000000" w:themeColor="text1"/>
          <w:sz w:val="16"/>
          <w:szCs w:val="16"/>
        </w:rPr>
      </w:pPr>
    </w:p>
    <w:p w14:paraId="58711A94"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10 октября </w:t>
      </w:r>
      <w:r w:rsidRPr="00A3026E">
        <w:rPr>
          <w:rFonts w:ascii="Times New Roman" w:hAnsi="Times New Roman"/>
          <w:color w:val="000000" w:themeColor="text1"/>
          <w:sz w:val="16"/>
          <w:szCs w:val="16"/>
        </w:rPr>
        <w:t>в 1940 году подводная лодка «Щ-423» (командир старший лейтенант А.М.Быстров) вошла в бухту Золотой Рог (Владивосток), удачно завершив первый в истории полярного мореплавания переход подводной лодки через Северный Ледовитый океан (14795).</w:t>
      </w:r>
    </w:p>
    <w:p w14:paraId="061596D5" w14:textId="77777777" w:rsidR="00226974" w:rsidRPr="00A3026E" w:rsidRDefault="00226974" w:rsidP="00A3026E">
      <w:pPr>
        <w:spacing w:after="0" w:line="240" w:lineRule="auto"/>
        <w:jc w:val="both"/>
        <w:rPr>
          <w:rFonts w:ascii="Times New Roman" w:hAnsi="Times New Roman"/>
          <w:color w:val="000000" w:themeColor="text1"/>
          <w:sz w:val="16"/>
          <w:szCs w:val="16"/>
        </w:rPr>
      </w:pPr>
    </w:p>
    <w:p w14:paraId="05480E8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3862C7E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09CE2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А.С.Я. - зам. Наркома АП выпустил приказ, поручив С.В.И. как ГК к 15 октября 1940 передать на заводские испытания БШ-2 с мотором АМ-38 как в одноместном, так и в двухместном варианте (172,194).</w:t>
      </w:r>
    </w:p>
    <w:p w14:paraId="5DB20D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Точный текст приказа НКАП N 534сс (248,9):</w:t>
      </w:r>
    </w:p>
    <w:p w14:paraId="12AF4B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 1</w:t>
      </w:r>
    </w:p>
    <w:p w14:paraId="69DD94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ГК завода 39 тов. Ильюшину С.В. выпустить на заводские летные испытания самолет БШ-2 N 1 с мотором АМ-38 в одноместном и двухместном вариантах - 15 октября 1940 г.</w:t>
      </w:r>
    </w:p>
    <w:p w14:paraId="749B6C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очень понятно, как один первый экз. можно выпустить в двух вариантах).</w:t>
      </w:r>
    </w:p>
    <w:p w14:paraId="09901C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 2.</w:t>
      </w:r>
    </w:p>
    <w:p w14:paraId="78913E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проведения заводских летных испытаний самолета БШ-2 N 1 с АМ-38 назначить ли тов. В.К.Коккинаки. Заводские испытания закончить в течение (2-х - зачеркнуто) полутора месяцев (248,10).</w:t>
      </w:r>
    </w:p>
    <w:p w14:paraId="7724C4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 3.</w:t>
      </w:r>
    </w:p>
    <w:p w14:paraId="589A03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проведение заводских испытаний самолета БШ-2 АМ-38 летчику-испытателю тов. Коккинаки установить дополнительную зарплату в сумме 15000 рублей (25000 - зачеркнуто).</w:t>
      </w:r>
    </w:p>
    <w:p w14:paraId="278074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 4</w:t>
      </w:r>
    </w:p>
    <w:p w14:paraId="06092C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проведения заводских летных испытаний к самолету прикрепить: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tblGrid>
      <w:tr w:rsidR="00983732" w:rsidRPr="00A3026E" w14:paraId="60997275" w14:textId="77777777" w:rsidTr="00EA0DA7">
        <w:tc>
          <w:tcPr>
            <w:tcW w:w="3833" w:type="dxa"/>
            <w:tcBorders>
              <w:top w:val="single" w:sz="12" w:space="0" w:color="auto"/>
            </w:tcBorders>
          </w:tcPr>
          <w:p w14:paraId="28F362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борт-механика</w:t>
            </w:r>
          </w:p>
        </w:tc>
        <w:tc>
          <w:tcPr>
            <w:tcW w:w="3833" w:type="dxa"/>
            <w:tcBorders>
              <w:top w:val="single" w:sz="12" w:space="0" w:color="auto"/>
            </w:tcBorders>
          </w:tcPr>
          <w:p w14:paraId="1C14AF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тов. Лупичева И.И.</w:t>
            </w:r>
          </w:p>
        </w:tc>
      </w:tr>
      <w:tr w:rsidR="00983732" w:rsidRPr="00A3026E" w14:paraId="5EBDBAA8" w14:textId="77777777" w:rsidTr="00EA0DA7">
        <w:tc>
          <w:tcPr>
            <w:tcW w:w="3833" w:type="dxa"/>
          </w:tcPr>
          <w:p w14:paraId="79C8D8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механика</w:t>
            </w:r>
          </w:p>
        </w:tc>
        <w:tc>
          <w:tcPr>
            <w:tcW w:w="3833" w:type="dxa"/>
          </w:tcPr>
          <w:p w14:paraId="291D29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тов. Кюсс И.Б.</w:t>
            </w:r>
          </w:p>
        </w:tc>
      </w:tr>
      <w:tr w:rsidR="00983732" w:rsidRPr="00A3026E" w14:paraId="48F1A0CD" w14:textId="77777777" w:rsidTr="00EA0DA7">
        <w:tc>
          <w:tcPr>
            <w:tcW w:w="3833" w:type="dxa"/>
            <w:tcBorders>
              <w:bottom w:val="single" w:sz="12" w:space="0" w:color="auto"/>
            </w:tcBorders>
          </w:tcPr>
          <w:p w14:paraId="2FAEA9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моториста</w:t>
            </w:r>
          </w:p>
        </w:tc>
        <w:tc>
          <w:tcPr>
            <w:tcW w:w="3833" w:type="dxa"/>
            <w:tcBorders>
              <w:bottom w:val="single" w:sz="12" w:space="0" w:color="auto"/>
            </w:tcBorders>
          </w:tcPr>
          <w:p w14:paraId="5AA6B8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тов. Кирсанова М.Г.</w:t>
            </w:r>
          </w:p>
        </w:tc>
      </w:tr>
    </w:tbl>
    <w:p w14:paraId="78B2AC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 5 (вычеркнут).</w:t>
      </w:r>
    </w:p>
    <w:p w14:paraId="799AC2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проведения заводских летных и государственных испытаний самолета БШ-2 с АМ-38, Главному конструктору тов. Ильюшину установить на этот самолет вооружение согласно моего приказа за N 484сс от 12.IX.с.г. 2 пушки Я.Г.Таубина с 162 снарядами, 2 крыльевых пулемета Шкас с 1500 патронами, 1 турельный Шкас с 500 патронами, для чего построить новые консоли.</w:t>
      </w:r>
    </w:p>
    <w:p w14:paraId="411D01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(162 снаряда - значит не ленточное питание, а кассеты по 81 снаряду).</w:t>
      </w:r>
    </w:p>
    <w:p w14:paraId="10DA08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Народный Комиссар Авиационной</w:t>
      </w:r>
    </w:p>
    <w:p w14:paraId="177AB0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Промышленности СССР</w:t>
      </w:r>
    </w:p>
    <w:p w14:paraId="58D4DB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С.Яковлев</w:t>
      </w:r>
      <w:r w:rsidRPr="00A3026E">
        <w:rPr>
          <w:rFonts w:ascii="Times New Roman" w:hAnsi="Times New Roman"/>
          <w:color w:val="000000" w:themeColor="text1"/>
          <w:sz w:val="16"/>
          <w:szCs w:val="16"/>
        </w:rPr>
        <w:tab/>
        <w:t>(А.Шахурин)" (248,9).</w:t>
      </w:r>
    </w:p>
    <w:p w14:paraId="790436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Здесь надо отметить, что это был не приказ А.С.Я., как это следует из воспоминаний ветерана НИИ ВВС (187), а приказ наркома А.И.Шахурина, по-видимому, подписанный А.С.Я. из-за отсутствия самого А.И.Шахурина.</w:t>
      </w:r>
    </w:p>
    <w:p w14:paraId="31B8590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83C3E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г. заместитель нарко</w:t>
      </w:r>
      <w:r w:rsidRPr="00A3026E">
        <w:rPr>
          <w:rFonts w:ascii="Times New Roman" w:hAnsi="Times New Roman"/>
          <w:color w:val="000000" w:themeColor="text1"/>
          <w:sz w:val="16"/>
          <w:szCs w:val="16"/>
        </w:rPr>
        <w:softHyphen/>
        <w:t>ма авиационной промышленности по опытному строительству и науке А.С. Яковлев узаконил переделку БШ-2 в одноместный лишь накануне (!) его первого вылета. С.В.Ильюшину поручалось к 15 (!) октября 1940 г. выпустить на за</w:t>
      </w:r>
      <w:r w:rsidRPr="00A3026E">
        <w:rPr>
          <w:rFonts w:ascii="Times New Roman" w:hAnsi="Times New Roman"/>
          <w:color w:val="000000" w:themeColor="text1"/>
          <w:sz w:val="16"/>
          <w:szCs w:val="16"/>
        </w:rPr>
        <w:softHyphen/>
        <w:t>водские летные испытания самолет БШ-2 № 1 с АМ-38 в одноместном и в двух</w:t>
      </w:r>
      <w:r w:rsidRPr="00A3026E">
        <w:rPr>
          <w:rFonts w:ascii="Times New Roman" w:hAnsi="Times New Roman"/>
          <w:color w:val="000000" w:themeColor="text1"/>
          <w:sz w:val="16"/>
          <w:szCs w:val="16"/>
        </w:rPr>
        <w:softHyphen/>
        <w:t>местном вариантах. Этим же приказом для проведения летных испытаний на</w:t>
      </w:r>
      <w:r w:rsidRPr="00A3026E">
        <w:rPr>
          <w:rFonts w:ascii="Times New Roman" w:hAnsi="Times New Roman"/>
          <w:color w:val="000000" w:themeColor="text1"/>
          <w:sz w:val="16"/>
          <w:szCs w:val="16"/>
        </w:rPr>
        <w:softHyphen/>
        <w:t>значался летчик-испытатель В.К.Коккинаки, а сами испытания требовалось за</w:t>
      </w:r>
      <w:r w:rsidRPr="00A3026E">
        <w:rPr>
          <w:rFonts w:ascii="Times New Roman" w:hAnsi="Times New Roman"/>
          <w:color w:val="000000" w:themeColor="text1"/>
          <w:sz w:val="16"/>
          <w:szCs w:val="16"/>
        </w:rPr>
        <w:softHyphen/>
        <w:t>вершить в течение 1,5 месяцев. Содержание этого приказа вызывает недоумение. Во-первых, как можно было в один и тот же день передать один и тот же экземпляр самолета на заводс</w:t>
      </w:r>
      <w:r w:rsidRPr="00A3026E">
        <w:rPr>
          <w:rFonts w:ascii="Times New Roman" w:hAnsi="Times New Roman"/>
          <w:color w:val="000000" w:themeColor="text1"/>
          <w:sz w:val="16"/>
          <w:szCs w:val="16"/>
        </w:rPr>
        <w:softHyphen/>
        <w:t>кие испытания в одноместном и в двух</w:t>
      </w:r>
      <w:r w:rsidRPr="00A3026E">
        <w:rPr>
          <w:rFonts w:ascii="Times New Roman" w:hAnsi="Times New Roman"/>
          <w:color w:val="000000" w:themeColor="text1"/>
          <w:sz w:val="16"/>
          <w:szCs w:val="16"/>
        </w:rPr>
        <w:softHyphen/>
        <w:t>местном вариантах. Во-вторых, в прика</w:t>
      </w:r>
      <w:r w:rsidRPr="00A3026E">
        <w:rPr>
          <w:rFonts w:ascii="Times New Roman" w:hAnsi="Times New Roman"/>
          <w:color w:val="000000" w:themeColor="text1"/>
          <w:sz w:val="16"/>
          <w:szCs w:val="16"/>
        </w:rPr>
        <w:softHyphen/>
        <w:t>зе заделана подпись Наркома А.И.Шахурина, однако подписал приказ А.С.Я</w:t>
      </w:r>
      <w:r w:rsidRPr="00A3026E">
        <w:rPr>
          <w:rFonts w:ascii="Times New Roman" w:hAnsi="Times New Roman"/>
          <w:color w:val="000000" w:themeColor="text1"/>
          <w:sz w:val="16"/>
          <w:szCs w:val="16"/>
        </w:rPr>
        <w:softHyphen/>
        <w:t>ковлев - третье лицо в табели о рангах наркомата. Он же и завизировал при</w:t>
      </w:r>
      <w:r w:rsidRPr="00A3026E">
        <w:rPr>
          <w:rFonts w:ascii="Times New Roman" w:hAnsi="Times New Roman"/>
          <w:color w:val="000000" w:themeColor="text1"/>
          <w:sz w:val="16"/>
          <w:szCs w:val="16"/>
        </w:rPr>
        <w:softHyphen/>
        <w:t>каз (!). То есть, отсутствие на приказе подписи наркома - непростая случай</w:t>
      </w:r>
      <w:r w:rsidRPr="00A3026E">
        <w:rPr>
          <w:rFonts w:ascii="Times New Roman" w:hAnsi="Times New Roman"/>
          <w:color w:val="000000" w:themeColor="text1"/>
          <w:sz w:val="16"/>
          <w:szCs w:val="16"/>
        </w:rPr>
        <w:softHyphen/>
        <w:t>ность. В-третьих, в тексте приказа не указан номер Постановления Комитета обороны при СНК, "во исполнение" ко</w:t>
      </w:r>
      <w:r w:rsidRPr="00A3026E">
        <w:rPr>
          <w:rFonts w:ascii="Times New Roman" w:hAnsi="Times New Roman"/>
          <w:color w:val="000000" w:themeColor="text1"/>
          <w:sz w:val="16"/>
          <w:szCs w:val="16"/>
        </w:rPr>
        <w:softHyphen/>
        <w:t>торого должен был бы выйти этот при</w:t>
      </w:r>
      <w:r w:rsidRPr="00A3026E">
        <w:rPr>
          <w:rFonts w:ascii="Times New Roman" w:hAnsi="Times New Roman"/>
          <w:color w:val="000000" w:themeColor="text1"/>
          <w:sz w:val="16"/>
          <w:szCs w:val="16"/>
        </w:rPr>
        <w:softHyphen/>
        <w:t>каз. Номер же Постановления КО являл</w:t>
      </w:r>
      <w:r w:rsidRPr="00A3026E">
        <w:rPr>
          <w:rFonts w:ascii="Times New Roman" w:hAnsi="Times New Roman"/>
          <w:color w:val="000000" w:themeColor="text1"/>
          <w:sz w:val="16"/>
          <w:szCs w:val="16"/>
        </w:rPr>
        <w:softHyphen/>
        <w:t>ся в то время неотъемлемой частью любого приказа по НКАП, изменяющего техническое задание конструктору, и не мог быть "случайно забыт" тогдашними бюрократами. По существующему в то время порядку новый вариант самолета мог быть задан только через Постанов</w:t>
      </w:r>
      <w:r w:rsidRPr="00A3026E">
        <w:rPr>
          <w:rFonts w:ascii="Times New Roman" w:hAnsi="Times New Roman"/>
          <w:color w:val="000000" w:themeColor="text1"/>
          <w:sz w:val="16"/>
          <w:szCs w:val="16"/>
        </w:rPr>
        <w:softHyphen/>
        <w:t>ление, в крайнем случае, через Решение Комитета обороны при СНК. В Поста</w:t>
      </w:r>
      <w:r w:rsidRPr="00A3026E">
        <w:rPr>
          <w:rFonts w:ascii="Times New Roman" w:hAnsi="Times New Roman"/>
          <w:color w:val="000000" w:themeColor="text1"/>
          <w:sz w:val="16"/>
          <w:szCs w:val="16"/>
        </w:rPr>
        <w:softHyphen/>
        <w:t xml:space="preserve">новлении в обязательном порядке для НКАП определялись количество опытных образцов и сроки их </w:t>
      </w:r>
      <w:r w:rsidRPr="00A3026E">
        <w:rPr>
          <w:rFonts w:ascii="Times New Roman" w:hAnsi="Times New Roman"/>
          <w:color w:val="000000" w:themeColor="text1"/>
          <w:sz w:val="16"/>
          <w:szCs w:val="16"/>
        </w:rPr>
        <w:lastRenderedPageBreak/>
        <w:t>предъявления на испытания, а Главному управлению ВВС КА ставилась задача к определенному сроку разработать ТТТ на новый вари</w:t>
      </w:r>
      <w:r w:rsidRPr="00A3026E">
        <w:rPr>
          <w:rFonts w:ascii="Times New Roman" w:hAnsi="Times New Roman"/>
          <w:color w:val="000000" w:themeColor="text1"/>
          <w:sz w:val="16"/>
          <w:szCs w:val="16"/>
        </w:rPr>
        <w:softHyphen/>
        <w:t>ант самолета. Только после этого изда</w:t>
      </w:r>
      <w:r w:rsidRPr="00A3026E">
        <w:rPr>
          <w:rFonts w:ascii="Times New Roman" w:hAnsi="Times New Roman"/>
          <w:color w:val="000000" w:themeColor="text1"/>
          <w:sz w:val="16"/>
          <w:szCs w:val="16"/>
        </w:rPr>
        <w:softHyphen/>
        <w:t>вался Приказ по НКАП. В упомянутом выше приказе никакой ссылки на По</w:t>
      </w:r>
      <w:r w:rsidRPr="00A3026E">
        <w:rPr>
          <w:rFonts w:ascii="Times New Roman" w:hAnsi="Times New Roman"/>
          <w:color w:val="000000" w:themeColor="text1"/>
          <w:sz w:val="16"/>
          <w:szCs w:val="16"/>
        </w:rPr>
        <w:softHyphen/>
        <w:t>становление Комитета Обороны нет. В-четвертых, из текста приказа следует, что наркомат ничего не знал о проделанной в ОКБ С.В.Ильюшина работе по пере</w:t>
      </w:r>
      <w:r w:rsidRPr="00A3026E">
        <w:rPr>
          <w:rFonts w:ascii="Times New Roman" w:hAnsi="Times New Roman"/>
          <w:color w:val="000000" w:themeColor="text1"/>
          <w:sz w:val="16"/>
          <w:szCs w:val="16"/>
        </w:rPr>
        <w:softHyphen/>
        <w:t>делке БШ-2 в одноместный вариант, что само по себе маловероятно. Переделка находящего</w:t>
      </w:r>
      <w:r w:rsidRPr="00A3026E">
        <w:rPr>
          <w:rFonts w:ascii="Times New Roman" w:hAnsi="Times New Roman"/>
          <w:color w:val="000000" w:themeColor="text1"/>
          <w:sz w:val="16"/>
          <w:szCs w:val="16"/>
        </w:rPr>
        <w:softHyphen/>
        <w:t>ся пока вне конкуренции бронирован</w:t>
      </w:r>
      <w:r w:rsidRPr="00A3026E">
        <w:rPr>
          <w:rFonts w:ascii="Times New Roman" w:hAnsi="Times New Roman"/>
          <w:color w:val="000000" w:themeColor="text1"/>
          <w:sz w:val="16"/>
          <w:szCs w:val="16"/>
        </w:rPr>
        <w:softHyphen/>
        <w:t>ного штурмовика БШ-2 из двухместно</w:t>
      </w:r>
      <w:r w:rsidRPr="00A3026E">
        <w:rPr>
          <w:rFonts w:ascii="Times New Roman" w:hAnsi="Times New Roman"/>
          <w:color w:val="000000" w:themeColor="text1"/>
          <w:sz w:val="16"/>
          <w:szCs w:val="16"/>
        </w:rPr>
        <w:softHyphen/>
        <w:t>го в одноместный (с последующим пе</w:t>
      </w:r>
      <w:r w:rsidRPr="00A3026E">
        <w:rPr>
          <w:rFonts w:ascii="Times New Roman" w:hAnsi="Times New Roman"/>
          <w:color w:val="000000" w:themeColor="text1"/>
          <w:sz w:val="16"/>
          <w:szCs w:val="16"/>
        </w:rPr>
        <w:softHyphen/>
        <w:t>реходом, по мере совершенствования АМ-38-го, к двухместному варианту, как это требовалось по заданию) и форси</w:t>
      </w:r>
      <w:r w:rsidRPr="00A3026E">
        <w:rPr>
          <w:rFonts w:ascii="Times New Roman" w:hAnsi="Times New Roman"/>
          <w:color w:val="000000" w:themeColor="text1"/>
          <w:sz w:val="16"/>
          <w:szCs w:val="16"/>
        </w:rPr>
        <w:softHyphen/>
        <w:t>рование по нему доводочных работ впол</w:t>
      </w:r>
      <w:r w:rsidRPr="00A3026E">
        <w:rPr>
          <w:rFonts w:ascii="Times New Roman" w:hAnsi="Times New Roman"/>
          <w:color w:val="000000" w:themeColor="text1"/>
          <w:sz w:val="16"/>
          <w:szCs w:val="16"/>
        </w:rPr>
        <w:softHyphen/>
        <w:t>не логичны. Этот шаг позволял весьма быстро решить как проблему запуска нового штурмовика в серию и вооруже</w:t>
      </w:r>
      <w:r w:rsidRPr="00A3026E">
        <w:rPr>
          <w:rFonts w:ascii="Times New Roman" w:hAnsi="Times New Roman"/>
          <w:color w:val="000000" w:themeColor="text1"/>
          <w:sz w:val="16"/>
          <w:szCs w:val="16"/>
        </w:rPr>
        <w:softHyphen/>
        <w:t>ние ВВС КА столь нужным современным типом боевого самолета, так и пробле</w:t>
      </w:r>
      <w:r w:rsidRPr="00A3026E">
        <w:rPr>
          <w:rFonts w:ascii="Times New Roman" w:hAnsi="Times New Roman"/>
          <w:color w:val="000000" w:themeColor="text1"/>
          <w:sz w:val="16"/>
          <w:szCs w:val="16"/>
        </w:rPr>
        <w:softHyphen/>
        <w:t>му сохранения для ОКБ мощной опыт</w:t>
      </w:r>
      <w:r w:rsidRPr="00A3026E">
        <w:rPr>
          <w:rFonts w:ascii="Times New Roman" w:hAnsi="Times New Roman"/>
          <w:color w:val="000000" w:themeColor="text1"/>
          <w:sz w:val="16"/>
          <w:szCs w:val="16"/>
        </w:rPr>
        <w:softHyphen/>
        <w:t>но-производственной базы. О цене же такого решения, измеряемого в услови</w:t>
      </w:r>
      <w:r w:rsidRPr="00A3026E">
        <w:rPr>
          <w:rFonts w:ascii="Times New Roman" w:hAnsi="Times New Roman"/>
          <w:color w:val="000000" w:themeColor="text1"/>
          <w:sz w:val="16"/>
          <w:szCs w:val="16"/>
        </w:rPr>
        <w:softHyphen/>
        <w:t>ях большой войны многими сотнями жизней летчиков, тогда, по-видимому, особо не задумывались... (6467).</w:t>
      </w:r>
    </w:p>
    <w:p w14:paraId="0A3D6A9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12EBA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11 октября 1940 пере</w:t>
      </w:r>
      <w:r w:rsidRPr="00A3026E">
        <w:rPr>
          <w:rFonts w:ascii="Times New Roman" w:hAnsi="Times New Roman"/>
          <w:color w:val="000000" w:themeColor="text1"/>
          <w:sz w:val="16"/>
          <w:szCs w:val="16"/>
        </w:rPr>
        <w:softHyphen/>
        <w:t>делка БШ-2 в одноместный вариант (ЦКБ-57) была уже закончена и С.В.Ильюшин об</w:t>
      </w:r>
      <w:r w:rsidRPr="00A3026E">
        <w:rPr>
          <w:rFonts w:ascii="Times New Roman" w:hAnsi="Times New Roman"/>
          <w:color w:val="000000" w:themeColor="text1"/>
          <w:sz w:val="16"/>
          <w:szCs w:val="16"/>
        </w:rPr>
        <w:softHyphen/>
        <w:t>ратился к руководству НКАП за разре</w:t>
      </w:r>
      <w:r w:rsidRPr="00A3026E">
        <w:rPr>
          <w:rFonts w:ascii="Times New Roman" w:hAnsi="Times New Roman"/>
          <w:color w:val="000000" w:themeColor="text1"/>
          <w:sz w:val="16"/>
          <w:szCs w:val="16"/>
        </w:rPr>
        <w:softHyphen/>
        <w:t>шением начать заводские летные испы</w:t>
      </w:r>
      <w:r w:rsidRPr="00A3026E">
        <w:rPr>
          <w:rFonts w:ascii="Times New Roman" w:hAnsi="Times New Roman"/>
          <w:color w:val="000000" w:themeColor="text1"/>
          <w:sz w:val="16"/>
          <w:szCs w:val="16"/>
        </w:rPr>
        <w:softHyphen/>
        <w:t>тания новой машины. "Мудрое руковод</w:t>
      </w:r>
      <w:r w:rsidRPr="00A3026E">
        <w:rPr>
          <w:rFonts w:ascii="Times New Roman" w:hAnsi="Times New Roman"/>
          <w:color w:val="000000" w:themeColor="text1"/>
          <w:sz w:val="16"/>
          <w:szCs w:val="16"/>
        </w:rPr>
        <w:softHyphen/>
        <w:t>ство" наркомата, в лице А.И.Шахурина и А.С.Яковлева, понимая, что задача со</w:t>
      </w:r>
      <w:r w:rsidRPr="00A3026E">
        <w:rPr>
          <w:rFonts w:ascii="Times New Roman" w:hAnsi="Times New Roman"/>
          <w:color w:val="000000" w:themeColor="text1"/>
          <w:sz w:val="16"/>
          <w:szCs w:val="16"/>
        </w:rPr>
        <w:softHyphen/>
        <w:t>здания двухместного бронированного штурмовика БШ-2, как это предусматри</w:t>
      </w:r>
      <w:r w:rsidRPr="00A3026E">
        <w:rPr>
          <w:rFonts w:ascii="Times New Roman" w:hAnsi="Times New Roman"/>
          <w:color w:val="000000" w:themeColor="text1"/>
          <w:sz w:val="16"/>
          <w:szCs w:val="16"/>
        </w:rPr>
        <w:softHyphen/>
        <w:t>валось Постановлением Комитета Обо</w:t>
      </w:r>
      <w:r w:rsidRPr="00A3026E">
        <w:rPr>
          <w:rFonts w:ascii="Times New Roman" w:hAnsi="Times New Roman"/>
          <w:color w:val="000000" w:themeColor="text1"/>
          <w:sz w:val="16"/>
          <w:szCs w:val="16"/>
        </w:rPr>
        <w:softHyphen/>
        <w:t>роны, военными не снималась, а И.В. Сталин, по имеющимся у них сведениям, склонен согласиться на соломоново ре</w:t>
      </w:r>
      <w:r w:rsidRPr="00A3026E">
        <w:rPr>
          <w:rFonts w:ascii="Times New Roman" w:hAnsi="Times New Roman"/>
          <w:color w:val="000000" w:themeColor="text1"/>
          <w:sz w:val="16"/>
          <w:szCs w:val="16"/>
        </w:rPr>
        <w:softHyphen/>
        <w:t>шение, предусмотрели в приказе про</w:t>
      </w:r>
      <w:r w:rsidRPr="00A3026E">
        <w:rPr>
          <w:rFonts w:ascii="Times New Roman" w:hAnsi="Times New Roman"/>
          <w:color w:val="000000" w:themeColor="text1"/>
          <w:sz w:val="16"/>
          <w:szCs w:val="16"/>
        </w:rPr>
        <w:softHyphen/>
        <w:t>ведение заводских летных испытаний БШ-2 одновременно в одноместном и двухместном вариантах. Так надежнее, благо, что в это время специалистами ВВС прорабатывались две концепции боевого применения на поле боя бро</w:t>
      </w:r>
      <w:r w:rsidRPr="00A3026E">
        <w:rPr>
          <w:rFonts w:ascii="Times New Roman" w:hAnsi="Times New Roman"/>
          <w:color w:val="000000" w:themeColor="text1"/>
          <w:sz w:val="16"/>
          <w:szCs w:val="16"/>
        </w:rPr>
        <w:softHyphen/>
        <w:t>нированных штурмовых самолетов -двухместных и одноместных. Другими словами, этим приказом Наркомат авиапромышленности при</w:t>
      </w:r>
      <w:r w:rsidRPr="00A3026E">
        <w:rPr>
          <w:rFonts w:ascii="Times New Roman" w:hAnsi="Times New Roman"/>
          <w:color w:val="000000" w:themeColor="text1"/>
          <w:sz w:val="16"/>
          <w:szCs w:val="16"/>
        </w:rPr>
        <w:softHyphen/>
        <w:t>крыл самовольство С.В.Ильюшина, рас</w:t>
      </w:r>
      <w:r w:rsidRPr="00A3026E">
        <w:rPr>
          <w:rFonts w:ascii="Times New Roman" w:hAnsi="Times New Roman"/>
          <w:color w:val="000000" w:themeColor="text1"/>
          <w:sz w:val="16"/>
          <w:szCs w:val="16"/>
        </w:rPr>
        <w:softHyphen/>
        <w:t>считывая в будущем отвести от нарко</w:t>
      </w:r>
      <w:r w:rsidRPr="00A3026E">
        <w:rPr>
          <w:rFonts w:ascii="Times New Roman" w:hAnsi="Times New Roman"/>
          <w:color w:val="000000" w:themeColor="text1"/>
          <w:sz w:val="16"/>
          <w:szCs w:val="16"/>
        </w:rPr>
        <w:softHyphen/>
        <w:t>мата и Главного конструктора штурмо</w:t>
      </w:r>
      <w:r w:rsidRPr="00A3026E">
        <w:rPr>
          <w:rFonts w:ascii="Times New Roman" w:hAnsi="Times New Roman"/>
          <w:color w:val="000000" w:themeColor="text1"/>
          <w:sz w:val="16"/>
          <w:szCs w:val="16"/>
        </w:rPr>
        <w:softHyphen/>
        <w:t>вика возможный "удар" военных, а если что и случится - на известное располо</w:t>
      </w:r>
      <w:r w:rsidRPr="00A3026E">
        <w:rPr>
          <w:rFonts w:ascii="Times New Roman" w:hAnsi="Times New Roman"/>
          <w:color w:val="000000" w:themeColor="text1"/>
          <w:sz w:val="16"/>
          <w:szCs w:val="16"/>
        </w:rPr>
        <w:softHyphen/>
        <w:t>жение И.В.Сталина к А.С. Яковлеву. УВВС КА должной принципиальности по поводу переделки БШ-2 из двухмес</w:t>
      </w:r>
      <w:r w:rsidRPr="00A3026E">
        <w:rPr>
          <w:rFonts w:ascii="Times New Roman" w:hAnsi="Times New Roman"/>
          <w:color w:val="000000" w:themeColor="text1"/>
          <w:sz w:val="16"/>
          <w:szCs w:val="16"/>
        </w:rPr>
        <w:softHyphen/>
        <w:t>тного в одноместный также не прояви</w:t>
      </w:r>
      <w:r w:rsidRPr="00A3026E">
        <w:rPr>
          <w:rFonts w:ascii="Times New Roman" w:hAnsi="Times New Roman"/>
          <w:color w:val="000000" w:themeColor="text1"/>
          <w:sz w:val="16"/>
          <w:szCs w:val="16"/>
        </w:rPr>
        <w:softHyphen/>
        <w:t>ло, во всяком случае, активной "пере</w:t>
      </w:r>
      <w:r w:rsidRPr="00A3026E">
        <w:rPr>
          <w:rFonts w:ascii="Times New Roman" w:hAnsi="Times New Roman"/>
          <w:color w:val="000000" w:themeColor="text1"/>
          <w:sz w:val="16"/>
          <w:szCs w:val="16"/>
        </w:rPr>
        <w:softHyphen/>
        <w:t>бранки" по этому вопросу между двумя ведомствами в это время не отмечается...(6467).</w:t>
      </w:r>
    </w:p>
    <w:p w14:paraId="28A2BD7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64A3B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согласно приказу НКАП Ильюшин обязывался к 15 (!) октября 1940 г. выпустить на заводские испытания самолет БШ-2 №1 с АМ-38 в одноместном и в двухместном вариантах. Этим же приказом, для проведения летных испытаний назначался летчик-испытатель В.К.Коккинаки, а сами испытания требовалось завершить в течение 1,5 месяцев.</w:t>
      </w:r>
    </w:p>
    <w:p w14:paraId="68EA66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Содержание этого приказа вызывает недоумение. Во-первых, как можно было в один и тот же день передать один и тот же экземпляр самолета на заводские испытания в одноместном и в двухместном вариантах. Во-вторых, в приказе заделана подпись наркома Шахурина, однако подписал приказ А.С. Яковлев - второе лицо в табели о рангах наркомата. Он же и завизировал приказ (!). То есть, отсутствие на приказе подписи наркома - непростая случайность. В-третьих, в тексте приказа не указан номер Постановления КО, "во исполнение" которого должен был бы выйти этот приказ. Номер же Постановления являлся в то время неотъемлемой частью любого приказа по НКАП, изменяющего техническое задание конструктору, и не мог быть случайно забыт тогдашними бюрократами. По существующему в то время порядку новый вариант самолета мог быть задан только через Постановление, в крайнем случае, через Распоряжение КО. В Постановлении в обязательном порядке для НКАП определялись количество опытных образцов и сроки их предъявления на испытания, а Главному управлению ВВС КА ставилась задача к определенному сроку разработать ТТТ на новый вариант самолета. Только после этого издавался приказ НКАП. В упомянутом выше приказе никакой ссылки на Постановление КО нет. В-четвертых, из текста приказа следует, что наркомат ничего не знал о проделанной в ОКБ Ильюшина работе по переделке БШ-2 в одноместный вариант, что само по себе маловероятно.</w:t>
      </w:r>
    </w:p>
    <w:p w14:paraId="036F7B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Надо полагать, к 11 октября работы по усекновению БШ-2 завершились, и Ильюшин обратился к руководству НКАП за разрешением начать полеты.</w:t>
      </w:r>
    </w:p>
    <w:p w14:paraId="66E603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"Мудрое руководство" наркомата, в лице Шахурина и Яковлева, понимая, что задача создания двухместного бронированного штурмовика БШ-2, как это предусматривалось Постановлением КО, военными не снималась, а Сталин, по их мнению, склонен согласиться на соломоново решение, предусмотрели в приказе проведение заводских летных испытаний БШ-2 одновременно в одноместном и двухместном вариантах.</w:t>
      </w:r>
    </w:p>
    <w:p w14:paraId="21104C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Другими словами, этим приказом НКАП прикрыл самовольство Ильюшина, рассчитывая в будущем отвести от наркомата и Главного конструктора штурмовика возможный "удар" военных, а если что и случится - на известное расположение Сталина к Яковлеву.</w:t>
      </w:r>
    </w:p>
    <w:p w14:paraId="0946A8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Уже на следующий день после выхода приказа НКАП одноместный БШ-2 №1 впервые был поднят в воздух (12020).</w:t>
      </w:r>
    </w:p>
    <w:p w14:paraId="76B8F84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11A887A" w14:textId="77777777" w:rsidR="00F22B23" w:rsidRPr="00A3026E" w:rsidRDefault="00F22B2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11 октября 1940 приказом НКАП одноместный БШ-2 был узаконен. Согласно приказу Ильюшин обязывался к 15 октября 1940 г. выпустить на за</w:t>
      </w:r>
      <w:r w:rsidRPr="00A3026E">
        <w:rPr>
          <w:color w:val="000000" w:themeColor="text1"/>
          <w:sz w:val="16"/>
          <w:szCs w:val="16"/>
        </w:rPr>
        <w:softHyphen/>
        <w:t>водские испытания самолет БШ-2 № 1 с АМ-38 в од</w:t>
      </w:r>
      <w:r w:rsidRPr="00A3026E">
        <w:rPr>
          <w:color w:val="000000" w:themeColor="text1"/>
          <w:sz w:val="16"/>
          <w:szCs w:val="16"/>
        </w:rPr>
        <w:softHyphen/>
        <w:t>номестном и в двухместном вариантах.</w:t>
      </w:r>
    </w:p>
    <w:p w14:paraId="61F27660" w14:textId="77777777" w:rsidR="00F22B23" w:rsidRPr="00A3026E" w:rsidRDefault="00F22B2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Можно предположить, что к 11 октября работы по усекновению БШ-2 завершились и Ильюшин об</w:t>
      </w:r>
      <w:r w:rsidRPr="00A3026E">
        <w:rPr>
          <w:color w:val="000000" w:themeColor="text1"/>
          <w:sz w:val="16"/>
          <w:szCs w:val="16"/>
        </w:rPr>
        <w:softHyphen/>
        <w:t>ратился к руководству НКАП за разрешением на</w:t>
      </w:r>
      <w:r w:rsidRPr="00A3026E">
        <w:rPr>
          <w:color w:val="000000" w:themeColor="text1"/>
          <w:sz w:val="16"/>
          <w:szCs w:val="16"/>
        </w:rPr>
        <w:softHyphen/>
        <w:t>чать полеты.</w:t>
      </w:r>
    </w:p>
    <w:p w14:paraId="2DB43AB6" w14:textId="77777777" w:rsidR="00F22B23" w:rsidRPr="00A3026E" w:rsidRDefault="00F22B2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Руководство наркомата, в лице А. И. Шахурина и А. С. Яковлева, понимая, что задача созда</w:t>
      </w:r>
      <w:r w:rsidRPr="00A3026E">
        <w:rPr>
          <w:color w:val="000000" w:themeColor="text1"/>
          <w:sz w:val="16"/>
          <w:szCs w:val="16"/>
        </w:rPr>
        <w:softHyphen/>
        <w:t>ния двухместного БШ-2 военными не снималась, а И. В. Сталин, по их мнению, склонен согласиться на соломоново решение, предусмотрели в приказе проведение заводских испытаний БШ-2 одновре</w:t>
      </w:r>
      <w:r w:rsidRPr="00A3026E">
        <w:rPr>
          <w:color w:val="000000" w:themeColor="text1"/>
          <w:sz w:val="16"/>
          <w:szCs w:val="16"/>
        </w:rPr>
        <w:softHyphen/>
        <w:t>менно в одноместном и двухместном вариантах.</w:t>
      </w:r>
    </w:p>
    <w:p w14:paraId="763D18ED" w14:textId="77777777" w:rsidR="00F22B23" w:rsidRPr="00A3026E" w:rsidRDefault="00F22B2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Уже на следующий день (!) после выхода при</w:t>
      </w:r>
      <w:r w:rsidRPr="00A3026E">
        <w:rPr>
          <w:color w:val="000000" w:themeColor="text1"/>
          <w:sz w:val="16"/>
          <w:szCs w:val="16"/>
        </w:rPr>
        <w:softHyphen/>
        <w:t>каза одноместный БШ-2 № 1 впервые был поднят в воздух. Как и ожидалось, летные данные стали лучше двухместного БШ-2. Однако в НИИ ВВС он не передавался ввиду неудовлетворительной работы мотора. Стало ясно, что АМ-38 требует длительной доводки (17500).</w:t>
      </w:r>
    </w:p>
    <w:p w14:paraId="20F240DF" w14:textId="77777777" w:rsidR="00F22B23" w:rsidRPr="00A3026E" w:rsidRDefault="00F22B23" w:rsidP="00A3026E">
      <w:pPr>
        <w:pStyle w:val="128"/>
        <w:shd w:val="clear" w:color="auto" w:fill="auto"/>
        <w:spacing w:after="0" w:line="240" w:lineRule="auto"/>
        <w:jc w:val="both"/>
        <w:rPr>
          <w:color w:val="000000" w:themeColor="text1"/>
          <w:sz w:val="16"/>
          <w:szCs w:val="16"/>
        </w:rPr>
      </w:pPr>
    </w:p>
    <w:p w14:paraId="08AF7FC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года вышел приказ НИИ ВВС № 0228</w:t>
      </w:r>
    </w:p>
    <w:p w14:paraId="4FC4F9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 серийного самолета ББ-22 с 2-мя моторами М-103 и винтами ВИШ-2К производства завода № 81 (6890, 141).</w:t>
      </w:r>
    </w:p>
    <w:p w14:paraId="52AAAD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8CDD6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вышло постановление КО N 401 "О модификации самолета 103" о постройке 103У (774,3).</w:t>
      </w:r>
    </w:p>
    <w:p w14:paraId="0B9A459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86C45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года постановление № 401сс КО</w:t>
      </w:r>
    </w:p>
    <w:p w14:paraId="2CA9F6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модификации самолета "103"</w:t>
      </w:r>
    </w:p>
    <w:p w14:paraId="0F71D4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изменение постановления КО № 239сс от 1 июня 1940 года "О создании пикирующего бомбардировщика "103", КО постановляет:</w:t>
      </w:r>
    </w:p>
    <w:p w14:paraId="1CEE877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первый экземпляр самолета "103" установить моторы АМ-37.</w:t>
      </w:r>
    </w:p>
    <w:p w14:paraId="05D02A2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Второй и третий экземпляры самолета "103" выпустить в улучшенном виде с совместным размещением летчика и штурмана в передней кабине.</w:t>
      </w:r>
    </w:p>
    <w:p w14:paraId="1DEE54B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Второй экземпляр самолета "103" с двумя моторами АМ-37 выпустить со следующими летно-тактическими данными:</w:t>
      </w:r>
    </w:p>
    <w:p w14:paraId="5B35BB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 – 3 человека</w:t>
      </w:r>
    </w:p>
    <w:p w14:paraId="37649D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7000 м – 580-600 км/час</w:t>
      </w:r>
    </w:p>
    <w:p w14:paraId="29F305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нормальная на 0,9 макс. скорости с 1000 кг бомб – 1000 км</w:t>
      </w:r>
    </w:p>
    <w:p w14:paraId="6B236B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максимальная с 1000 кг бомб – 2500 км</w:t>
      </w:r>
    </w:p>
    <w:p w14:paraId="48E7BB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 – 10000 м</w:t>
      </w:r>
    </w:p>
    <w:p w14:paraId="7D0083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17D1BB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 2 пушки ШВАК калибра 20 мм, 5 пулеметов ШКАС калибра 7,62 мм</w:t>
      </w:r>
    </w:p>
    <w:p w14:paraId="640630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 нормальное – 1000 кг, максимальное – 2000 кг</w:t>
      </w:r>
    </w:p>
    <w:p w14:paraId="5C82239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Третий экземпляр самолета "103" с двумя моторами М-120 ТК выпустить со следующими летно-тактическими данными:</w:t>
      </w:r>
    </w:p>
    <w:p w14:paraId="079CF7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 – 3 человека</w:t>
      </w:r>
    </w:p>
    <w:p w14:paraId="2BE135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7000 м –600 км/час</w:t>
      </w:r>
    </w:p>
    <w:p w14:paraId="79C076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нормальная на 0,9 макс. скорости с 1000 кг бомб – 1000 км</w:t>
      </w:r>
    </w:p>
    <w:p w14:paraId="67883C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максимальная с 1000 кг бомб – 2500 км</w:t>
      </w:r>
    </w:p>
    <w:p w14:paraId="708989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676DF8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 2 пушки ШВАК калибра 20 мм, 5 пулеметов ШКАС калибра 7,62 мм</w:t>
      </w:r>
    </w:p>
    <w:p w14:paraId="00F56F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 нормальное – 1000 кг, максимальное – 2000 кг</w:t>
      </w:r>
    </w:p>
    <w:p w14:paraId="62B9E1A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Установить на самолете "103" воздушные тормоза, обеспечивающие скорости пикирования и автомат вывода из пикирования, как при сбросе бомб, так и без сброса.</w:t>
      </w:r>
    </w:p>
    <w:p w14:paraId="1013E4F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Подтвердить ранее установленные сроки предъявления всех трех экземпляров самолета "103" на госиспытания (7595, 232-233).</w:t>
      </w:r>
    </w:p>
    <w:p w14:paraId="6642EC3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06C94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г. вышло Постановление КО № 401, согласно которому максимальная скорость этих вариантов самолета "103" должна была составлять 580-600 км/ч на высоте 7000 м, нормальная бомбовая нагрузка -1000 кг (в перегрузку до 3000 кг), дальность полета с нормальной бомбовой нагрузкой - 2500 км, стрелково-пушечное вооружение - 2 пушки ШВАК и 5 пулеметов ШКАС. Первые результаты заводских испытаний самолета "103" вселяли надежду, что вскоре ВВС смогут получить ударный самолет, который по своим летно-боевым данным превосходит все известные на начало 1941 г. боевые машины этого класса и полностью разрешит "задачу вооружения ВВС Красной Армии фронтовыми пикирующими бомбардировщиками" (9660).</w:t>
      </w:r>
    </w:p>
    <w:p w14:paraId="50843E8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C5E8D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11 и 25 октября 1940 г. выходят соответственно, Постановление ГКО №401 и Приказ N 588 НКАП, учиты</w:t>
      </w:r>
      <w:r w:rsidRPr="00A3026E">
        <w:rPr>
          <w:rFonts w:ascii="Times New Roman" w:hAnsi="Times New Roman"/>
          <w:color w:val="000000" w:themeColor="text1"/>
          <w:sz w:val="16"/>
          <w:szCs w:val="16"/>
        </w:rPr>
        <w:softHyphen/>
        <w:t>вавшие последний изменения в тре</w:t>
      </w:r>
      <w:r w:rsidRPr="00A3026E">
        <w:rPr>
          <w:rFonts w:ascii="Times New Roman" w:hAnsi="Times New Roman"/>
          <w:color w:val="000000" w:themeColor="text1"/>
          <w:sz w:val="16"/>
          <w:szCs w:val="16"/>
        </w:rPr>
        <w:softHyphen/>
        <w:t>бованиях ВВС к самолетам «103» и пе</w:t>
      </w:r>
      <w:r w:rsidRPr="00A3026E">
        <w:rPr>
          <w:rFonts w:ascii="Times New Roman" w:hAnsi="Times New Roman"/>
          <w:color w:val="000000" w:themeColor="text1"/>
          <w:sz w:val="16"/>
          <w:szCs w:val="16"/>
        </w:rPr>
        <w:softHyphen/>
        <w:t>реход на новый тип двигателей для первых двух экземпляров:</w:t>
      </w:r>
    </w:p>
    <w:p w14:paraId="526212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на первый экземпляр самолета «103» должны были устанавливаться двигатели АМ-37;</w:t>
      </w:r>
    </w:p>
    <w:p w14:paraId="177E29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второй и третий экземпляры са</w:t>
      </w:r>
      <w:r w:rsidRPr="00A3026E">
        <w:rPr>
          <w:rFonts w:ascii="Times New Roman" w:hAnsi="Times New Roman"/>
          <w:color w:val="000000" w:themeColor="text1"/>
          <w:sz w:val="16"/>
          <w:szCs w:val="16"/>
        </w:rPr>
        <w:softHyphen/>
        <w:t>молета «103» выпустить в улучшенном виде с совместным размещением лет</w:t>
      </w:r>
      <w:r w:rsidRPr="00A3026E">
        <w:rPr>
          <w:rFonts w:ascii="Times New Roman" w:hAnsi="Times New Roman"/>
          <w:color w:val="000000" w:themeColor="text1"/>
          <w:sz w:val="16"/>
          <w:szCs w:val="16"/>
        </w:rPr>
        <w:softHyphen/>
        <w:t>чика и штурмана в передней кабине (10728).</w:t>
      </w:r>
    </w:p>
    <w:p w14:paraId="5E11C8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B46FE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1939 г. Заключение на эскизный проект СББ было утверждено Начальником ВВС КА командармом 2-го ранга А. Д. Локтионовым и Членом Военного совета ВВС КА дивизионным комиссаром Ф. А. Агальцовым с поправкой: "Увеличить запас горючего - нормальную дальность 1000 км, с перегрузкой 1500 км без наружной подвески на скорости 0,9V ". Согласно дополнительным материалам максимальная скорость СББ 2М-105ТК-2 на высоте 8500 м должна была составлять 600 км/ч, дальность полета с 600 кг бомб на 0,8 максимальной скорости - 800 км и потолок - 10500 м. Но и эти цифры вызвали сомнения. Начальник самолетного отдела 7 ГУ НКАП И. И. Машкевич в своем письме на имя Заместителя начальника 11 ГУ Леонтье-ва указывал, что: "...По летным данным следует сделать замечание в отношении скорости. Коэффициенты лобовых сопротивлений взяты заниженные, и поэтому их необходимо повысить......тогда максимальная скорость при КПД - 0,7 вместо 0,76 получается на 9000 м следующая:...570 км/ч. Остальные данные замечаний не вызывают" (9660).</w:t>
      </w:r>
    </w:p>
    <w:p w14:paraId="1DAA89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ЛЕТНО-ТАКТИЧЕСКИЕ ДАННЫЕ САМОЛЕТА СББ</w:t>
      </w:r>
    </w:p>
    <w:p w14:paraId="327BB4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эскизного проекта,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983732" w:rsidRPr="00A3026E" w14:paraId="7D3350F9" w14:textId="77777777" w:rsidTr="00EA0DA7">
        <w:tc>
          <w:tcPr>
            <w:tcW w:w="2840" w:type="dxa"/>
            <w:tcBorders>
              <w:top w:val="single" w:sz="12" w:space="0" w:color="auto"/>
            </w:tcBorders>
          </w:tcPr>
          <w:p w14:paraId="4EBEEE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показателя</w:t>
            </w:r>
          </w:p>
        </w:tc>
        <w:tc>
          <w:tcPr>
            <w:tcW w:w="2840" w:type="dxa"/>
            <w:tcBorders>
              <w:top w:val="single" w:sz="12" w:space="0" w:color="auto"/>
            </w:tcBorders>
          </w:tcPr>
          <w:p w14:paraId="0DC499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М-105ТК-2</w:t>
            </w:r>
          </w:p>
        </w:tc>
        <w:tc>
          <w:tcPr>
            <w:tcW w:w="2840" w:type="dxa"/>
            <w:tcBorders>
              <w:top w:val="single" w:sz="12" w:space="0" w:color="auto"/>
            </w:tcBorders>
          </w:tcPr>
          <w:p w14:paraId="4A4968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М-106</w:t>
            </w:r>
          </w:p>
        </w:tc>
      </w:tr>
      <w:tr w:rsidR="00983732" w:rsidRPr="00A3026E" w14:paraId="03E9DE51" w14:textId="77777777" w:rsidTr="00EA0DA7">
        <w:tc>
          <w:tcPr>
            <w:tcW w:w="2840" w:type="dxa"/>
          </w:tcPr>
          <w:p w14:paraId="34B65C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самолета, м</w:t>
            </w:r>
          </w:p>
        </w:tc>
        <w:tc>
          <w:tcPr>
            <w:tcW w:w="2840" w:type="dxa"/>
          </w:tcPr>
          <w:p w14:paraId="52F7AD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12,27</w:t>
            </w:r>
          </w:p>
        </w:tc>
        <w:tc>
          <w:tcPr>
            <w:tcW w:w="2840" w:type="dxa"/>
          </w:tcPr>
          <w:p w14:paraId="02B8BA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12,27</w:t>
            </w:r>
          </w:p>
        </w:tc>
      </w:tr>
      <w:tr w:rsidR="00983732" w:rsidRPr="00A3026E" w14:paraId="1E4EA985" w14:textId="77777777" w:rsidTr="00EA0DA7">
        <w:tc>
          <w:tcPr>
            <w:tcW w:w="2840" w:type="dxa"/>
          </w:tcPr>
          <w:p w14:paraId="3E0286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крыла, м</w:t>
            </w:r>
          </w:p>
        </w:tc>
        <w:tc>
          <w:tcPr>
            <w:tcW w:w="2840" w:type="dxa"/>
          </w:tcPr>
          <w:p w14:paraId="01F161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w:t>
            </w:r>
          </w:p>
        </w:tc>
        <w:tc>
          <w:tcPr>
            <w:tcW w:w="2840" w:type="dxa"/>
          </w:tcPr>
          <w:p w14:paraId="2445A1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w:t>
            </w:r>
          </w:p>
        </w:tc>
      </w:tr>
      <w:tr w:rsidR="00983732" w:rsidRPr="00A3026E" w14:paraId="3DF384FF" w14:textId="77777777" w:rsidTr="00EA0DA7">
        <w:tc>
          <w:tcPr>
            <w:tcW w:w="2840" w:type="dxa"/>
          </w:tcPr>
          <w:p w14:paraId="4ACA12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м2</w:t>
            </w:r>
          </w:p>
        </w:tc>
        <w:tc>
          <w:tcPr>
            <w:tcW w:w="2840" w:type="dxa"/>
          </w:tcPr>
          <w:p w14:paraId="4530F7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2840" w:type="dxa"/>
          </w:tcPr>
          <w:p w14:paraId="028EDE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r>
      <w:tr w:rsidR="00983732" w:rsidRPr="00A3026E" w14:paraId="6E0A10A5" w14:textId="77777777" w:rsidTr="00EA0DA7">
        <w:tc>
          <w:tcPr>
            <w:tcW w:w="2840" w:type="dxa"/>
          </w:tcPr>
          <w:p w14:paraId="4241ED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самолета, кг</w:t>
            </w:r>
          </w:p>
        </w:tc>
        <w:tc>
          <w:tcPr>
            <w:tcW w:w="2840" w:type="dxa"/>
          </w:tcPr>
          <w:p w14:paraId="7645EC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4415,14</w:t>
            </w:r>
          </w:p>
        </w:tc>
        <w:tc>
          <w:tcPr>
            <w:tcW w:w="2840" w:type="dxa"/>
          </w:tcPr>
          <w:p w14:paraId="738C72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4305,14</w:t>
            </w:r>
          </w:p>
        </w:tc>
      </w:tr>
      <w:tr w:rsidR="00983732" w:rsidRPr="00A3026E" w14:paraId="14252CC0" w14:textId="77777777" w:rsidTr="00EA0DA7">
        <w:tc>
          <w:tcPr>
            <w:tcW w:w="2840" w:type="dxa"/>
          </w:tcPr>
          <w:p w14:paraId="132D82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Полная нагрузка, кг, в том числе:</w:t>
            </w:r>
          </w:p>
        </w:tc>
        <w:tc>
          <w:tcPr>
            <w:tcW w:w="2840" w:type="dxa"/>
          </w:tcPr>
          <w:p w14:paraId="54058B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1546,2</w:t>
            </w:r>
          </w:p>
        </w:tc>
        <w:tc>
          <w:tcPr>
            <w:tcW w:w="2840" w:type="dxa"/>
          </w:tcPr>
          <w:p w14:paraId="73C97F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1546,2</w:t>
            </w:r>
          </w:p>
        </w:tc>
      </w:tr>
      <w:tr w:rsidR="00983732" w:rsidRPr="00A3026E" w14:paraId="524E252E" w14:textId="77777777" w:rsidTr="00EA0DA7">
        <w:tc>
          <w:tcPr>
            <w:tcW w:w="2840" w:type="dxa"/>
          </w:tcPr>
          <w:p w14:paraId="713286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горючее</w:t>
            </w:r>
          </w:p>
        </w:tc>
        <w:tc>
          <w:tcPr>
            <w:tcW w:w="2840" w:type="dxa"/>
          </w:tcPr>
          <w:p w14:paraId="3A68A5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c>
          <w:tcPr>
            <w:tcW w:w="2840" w:type="dxa"/>
          </w:tcPr>
          <w:p w14:paraId="5BA133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r>
      <w:tr w:rsidR="00983732" w:rsidRPr="00A3026E" w14:paraId="3894C12C" w14:textId="77777777" w:rsidTr="00EA0DA7">
        <w:tc>
          <w:tcPr>
            <w:tcW w:w="2840" w:type="dxa"/>
          </w:tcPr>
          <w:p w14:paraId="1AF535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w:t>
            </w:r>
          </w:p>
        </w:tc>
        <w:tc>
          <w:tcPr>
            <w:tcW w:w="2840" w:type="dxa"/>
          </w:tcPr>
          <w:p w14:paraId="4C0E3B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w:t>
            </w:r>
          </w:p>
        </w:tc>
        <w:tc>
          <w:tcPr>
            <w:tcW w:w="2840" w:type="dxa"/>
          </w:tcPr>
          <w:p w14:paraId="59193F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w:t>
            </w:r>
          </w:p>
        </w:tc>
      </w:tr>
      <w:tr w:rsidR="00983732" w:rsidRPr="00A3026E" w14:paraId="740046F9" w14:textId="77777777" w:rsidTr="00EA0DA7">
        <w:tc>
          <w:tcPr>
            <w:tcW w:w="2840" w:type="dxa"/>
          </w:tcPr>
          <w:p w14:paraId="3DC37A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 3 человека</w:t>
            </w:r>
          </w:p>
        </w:tc>
        <w:tc>
          <w:tcPr>
            <w:tcW w:w="2840" w:type="dxa"/>
          </w:tcPr>
          <w:p w14:paraId="0F42E9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c>
          <w:tcPr>
            <w:tcW w:w="2840" w:type="dxa"/>
          </w:tcPr>
          <w:p w14:paraId="14FAC9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r>
      <w:tr w:rsidR="00983732" w:rsidRPr="00A3026E" w14:paraId="3C4C0A5E" w14:textId="77777777" w:rsidTr="00EA0DA7">
        <w:tc>
          <w:tcPr>
            <w:tcW w:w="2840" w:type="dxa"/>
          </w:tcPr>
          <w:p w14:paraId="49AFA8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вооружение</w:t>
            </w:r>
          </w:p>
        </w:tc>
        <w:tc>
          <w:tcPr>
            <w:tcW w:w="2840" w:type="dxa"/>
          </w:tcPr>
          <w:p w14:paraId="72D991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69,2</w:t>
            </w:r>
          </w:p>
        </w:tc>
        <w:tc>
          <w:tcPr>
            <w:tcW w:w="2840" w:type="dxa"/>
          </w:tcPr>
          <w:p w14:paraId="1FB6A1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69,2</w:t>
            </w:r>
          </w:p>
        </w:tc>
      </w:tr>
      <w:tr w:rsidR="00983732" w:rsidRPr="00A3026E" w14:paraId="21866D57" w14:textId="77777777" w:rsidTr="00EA0DA7">
        <w:tc>
          <w:tcPr>
            <w:tcW w:w="2840" w:type="dxa"/>
          </w:tcPr>
          <w:p w14:paraId="4C3691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w:t>
            </w:r>
          </w:p>
        </w:tc>
        <w:tc>
          <w:tcPr>
            <w:tcW w:w="2840" w:type="dxa"/>
          </w:tcPr>
          <w:p w14:paraId="648888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2840" w:type="dxa"/>
          </w:tcPr>
          <w:p w14:paraId="64F18B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r w:rsidR="00983732" w:rsidRPr="00A3026E" w14:paraId="29E78D3D" w14:textId="77777777" w:rsidTr="00EA0DA7">
        <w:tc>
          <w:tcPr>
            <w:tcW w:w="2840" w:type="dxa"/>
          </w:tcPr>
          <w:p w14:paraId="3D1D71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Нормальный полетный вес, кг</w:t>
            </w:r>
          </w:p>
        </w:tc>
        <w:tc>
          <w:tcPr>
            <w:tcW w:w="2840" w:type="dxa"/>
          </w:tcPr>
          <w:p w14:paraId="2DA6A5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5961,34</w:t>
            </w:r>
          </w:p>
        </w:tc>
        <w:tc>
          <w:tcPr>
            <w:tcW w:w="2840" w:type="dxa"/>
          </w:tcPr>
          <w:p w14:paraId="6D2119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5851,34</w:t>
            </w:r>
          </w:p>
        </w:tc>
      </w:tr>
      <w:tr w:rsidR="00983732" w:rsidRPr="00A3026E" w14:paraId="1D6CA2CE" w14:textId="77777777" w:rsidTr="00EA0DA7">
        <w:tc>
          <w:tcPr>
            <w:tcW w:w="2840" w:type="dxa"/>
          </w:tcPr>
          <w:p w14:paraId="332226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км/ч</w:t>
            </w:r>
          </w:p>
        </w:tc>
        <w:tc>
          <w:tcPr>
            <w:tcW w:w="2840" w:type="dxa"/>
          </w:tcPr>
          <w:p w14:paraId="4037E89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840" w:type="dxa"/>
          </w:tcPr>
          <w:p w14:paraId="3BE3637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58388C2" w14:textId="77777777" w:rsidTr="00EA0DA7">
        <w:tc>
          <w:tcPr>
            <w:tcW w:w="2840" w:type="dxa"/>
          </w:tcPr>
          <w:p w14:paraId="6BAE7D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земли</w:t>
            </w:r>
          </w:p>
        </w:tc>
        <w:tc>
          <w:tcPr>
            <w:tcW w:w="2840" w:type="dxa"/>
          </w:tcPr>
          <w:p w14:paraId="20246C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455</w:t>
            </w:r>
          </w:p>
        </w:tc>
        <w:tc>
          <w:tcPr>
            <w:tcW w:w="2840" w:type="dxa"/>
          </w:tcPr>
          <w:p w14:paraId="305846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455</w:t>
            </w:r>
          </w:p>
        </w:tc>
      </w:tr>
      <w:tr w:rsidR="00983732" w:rsidRPr="00A3026E" w14:paraId="3DEBAFA2" w14:textId="77777777" w:rsidTr="00EA0DA7">
        <w:tc>
          <w:tcPr>
            <w:tcW w:w="2840" w:type="dxa"/>
          </w:tcPr>
          <w:p w14:paraId="62224A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4000 м</w:t>
            </w:r>
          </w:p>
        </w:tc>
        <w:tc>
          <w:tcPr>
            <w:tcW w:w="2840" w:type="dxa"/>
          </w:tcPr>
          <w:p w14:paraId="589F49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w:t>
            </w:r>
          </w:p>
        </w:tc>
        <w:tc>
          <w:tcPr>
            <w:tcW w:w="2840" w:type="dxa"/>
          </w:tcPr>
          <w:p w14:paraId="71CF6F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544</w:t>
            </w:r>
          </w:p>
        </w:tc>
      </w:tr>
      <w:tr w:rsidR="00983732" w:rsidRPr="00A3026E" w14:paraId="35279B25" w14:textId="77777777" w:rsidTr="00EA0DA7">
        <w:tc>
          <w:tcPr>
            <w:tcW w:w="2840" w:type="dxa"/>
          </w:tcPr>
          <w:p w14:paraId="15BDBB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5000 м</w:t>
            </w:r>
          </w:p>
        </w:tc>
        <w:tc>
          <w:tcPr>
            <w:tcW w:w="2840" w:type="dxa"/>
          </w:tcPr>
          <w:p w14:paraId="2ACE51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568</w:t>
            </w:r>
          </w:p>
        </w:tc>
        <w:tc>
          <w:tcPr>
            <w:tcW w:w="2840" w:type="dxa"/>
          </w:tcPr>
          <w:p w14:paraId="481A54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564</w:t>
            </w:r>
          </w:p>
        </w:tc>
      </w:tr>
      <w:tr w:rsidR="00983732" w:rsidRPr="00A3026E" w14:paraId="5CD1C9ED" w14:textId="77777777" w:rsidTr="00EA0DA7">
        <w:tc>
          <w:tcPr>
            <w:tcW w:w="2840" w:type="dxa"/>
          </w:tcPr>
          <w:p w14:paraId="4B77B7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7000 м</w:t>
            </w:r>
          </w:p>
        </w:tc>
        <w:tc>
          <w:tcPr>
            <w:tcW w:w="2840" w:type="dxa"/>
          </w:tcPr>
          <w:p w14:paraId="4ACA7A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 (граница высотности)</w:t>
            </w:r>
          </w:p>
        </w:tc>
        <w:tc>
          <w:tcPr>
            <w:tcW w:w="2840" w:type="dxa"/>
          </w:tcPr>
          <w:p w14:paraId="54BC74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587</w:t>
            </w:r>
          </w:p>
        </w:tc>
      </w:tr>
      <w:tr w:rsidR="00983732" w:rsidRPr="00A3026E" w14:paraId="0E1BA7AC" w14:textId="77777777" w:rsidTr="00EA0DA7">
        <w:tc>
          <w:tcPr>
            <w:tcW w:w="2840" w:type="dxa"/>
          </w:tcPr>
          <w:p w14:paraId="773C79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9000 м</w:t>
            </w:r>
          </w:p>
        </w:tc>
        <w:tc>
          <w:tcPr>
            <w:tcW w:w="2840" w:type="dxa"/>
          </w:tcPr>
          <w:p w14:paraId="66163B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612</w:t>
            </w:r>
          </w:p>
        </w:tc>
        <w:tc>
          <w:tcPr>
            <w:tcW w:w="2840" w:type="dxa"/>
          </w:tcPr>
          <w:p w14:paraId="7DF72A3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66ED9EF" w14:textId="77777777" w:rsidTr="00EA0DA7">
        <w:tc>
          <w:tcPr>
            <w:tcW w:w="2840" w:type="dxa"/>
          </w:tcPr>
          <w:p w14:paraId="55FC38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(граница высотности)</w:t>
            </w:r>
          </w:p>
        </w:tc>
        <w:tc>
          <w:tcPr>
            <w:tcW w:w="2840" w:type="dxa"/>
          </w:tcPr>
          <w:p w14:paraId="4819A0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w:t>
            </w:r>
          </w:p>
        </w:tc>
        <w:tc>
          <w:tcPr>
            <w:tcW w:w="2840" w:type="dxa"/>
          </w:tcPr>
          <w:p w14:paraId="1A3E632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031734A" w14:textId="77777777" w:rsidTr="00EA0DA7">
        <w:tc>
          <w:tcPr>
            <w:tcW w:w="2840" w:type="dxa"/>
          </w:tcPr>
          <w:p w14:paraId="45AB8E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Скороподъемность на Н=5000 м, минут</w:t>
            </w:r>
          </w:p>
        </w:tc>
        <w:tc>
          <w:tcPr>
            <w:tcW w:w="2840" w:type="dxa"/>
          </w:tcPr>
          <w:p w14:paraId="6197D4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w:t>
            </w:r>
          </w:p>
        </w:tc>
        <w:tc>
          <w:tcPr>
            <w:tcW w:w="2840" w:type="dxa"/>
          </w:tcPr>
          <w:p w14:paraId="18AEAD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r>
      <w:tr w:rsidR="00983732" w:rsidRPr="00A3026E" w14:paraId="5F0C45E4" w14:textId="77777777" w:rsidTr="00EA0DA7">
        <w:tc>
          <w:tcPr>
            <w:tcW w:w="2840" w:type="dxa"/>
          </w:tcPr>
          <w:p w14:paraId="04208D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м</w:t>
            </w:r>
          </w:p>
        </w:tc>
        <w:tc>
          <w:tcPr>
            <w:tcW w:w="2840" w:type="dxa"/>
          </w:tcPr>
          <w:p w14:paraId="6FEB4E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14100</w:t>
            </w:r>
          </w:p>
        </w:tc>
        <w:tc>
          <w:tcPr>
            <w:tcW w:w="2840" w:type="dxa"/>
          </w:tcPr>
          <w:p w14:paraId="3127CD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12700</w:t>
            </w:r>
          </w:p>
        </w:tc>
      </w:tr>
      <w:tr w:rsidR="00983732" w:rsidRPr="00A3026E" w14:paraId="368F513B" w14:textId="77777777" w:rsidTr="00EA0DA7">
        <w:tc>
          <w:tcPr>
            <w:tcW w:w="2840" w:type="dxa"/>
          </w:tcPr>
          <w:p w14:paraId="74E216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при 0,8V на высоте 7000 м с запасом топлива 580 кг, км</w:t>
            </w:r>
          </w:p>
        </w:tc>
        <w:tc>
          <w:tcPr>
            <w:tcW w:w="2840" w:type="dxa"/>
          </w:tcPr>
          <w:p w14:paraId="207A31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880</w:t>
            </w:r>
          </w:p>
        </w:tc>
        <w:tc>
          <w:tcPr>
            <w:tcW w:w="2840" w:type="dxa"/>
          </w:tcPr>
          <w:p w14:paraId="0AD8B4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970</w:t>
            </w:r>
          </w:p>
        </w:tc>
      </w:tr>
      <w:tr w:rsidR="00983732" w:rsidRPr="00A3026E" w14:paraId="437FB6CD" w14:textId="77777777" w:rsidTr="00EA0DA7">
        <w:tc>
          <w:tcPr>
            <w:tcW w:w="2840" w:type="dxa"/>
          </w:tcPr>
          <w:p w14:paraId="332C19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 самолета при нормальном полетном весе, м</w:t>
            </w:r>
          </w:p>
        </w:tc>
        <w:tc>
          <w:tcPr>
            <w:tcW w:w="2840" w:type="dxa"/>
          </w:tcPr>
          <w:p w14:paraId="3DE5BC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2840" w:type="dxa"/>
          </w:tcPr>
          <w:p w14:paraId="318B2E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r>
      <w:tr w:rsidR="00983732" w:rsidRPr="00A3026E" w14:paraId="6B39BBC2" w14:textId="77777777" w:rsidTr="00EA0DA7">
        <w:tc>
          <w:tcPr>
            <w:tcW w:w="2840" w:type="dxa"/>
            <w:tcBorders>
              <w:bottom w:val="single" w:sz="12" w:space="0" w:color="auto"/>
            </w:tcBorders>
          </w:tcPr>
          <w:p w14:paraId="1594B5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Посадочная скорость с полностью открытыми щитками (45°), км/ч </w:t>
            </w:r>
          </w:p>
        </w:tc>
        <w:tc>
          <w:tcPr>
            <w:tcW w:w="2840" w:type="dxa"/>
            <w:tcBorders>
              <w:bottom w:val="single" w:sz="12" w:space="0" w:color="auto"/>
            </w:tcBorders>
          </w:tcPr>
          <w:p w14:paraId="050BB5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118</w:t>
            </w:r>
          </w:p>
        </w:tc>
        <w:tc>
          <w:tcPr>
            <w:tcW w:w="2840" w:type="dxa"/>
            <w:tcBorders>
              <w:bottom w:val="single" w:sz="12" w:space="0" w:color="auto"/>
            </w:tcBorders>
          </w:tcPr>
          <w:p w14:paraId="2D3BD3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117</w:t>
            </w:r>
          </w:p>
        </w:tc>
      </w:tr>
    </w:tbl>
    <w:p w14:paraId="20E502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(9660)</w:t>
      </w:r>
    </w:p>
    <w:p w14:paraId="0CA0C06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A64AB2A" w14:textId="77777777" w:rsidR="002947D3" w:rsidRPr="00A3026E" w:rsidRDefault="002947D3"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ноября 1940 начальник 6 управления ГУ ВВС КА бригинженер А.А. Лапин направил начальнику 10 управления генерал-майору интендантской службы Константинову письмо №508778с с просьбой разнарядить 10 самолетов первой войсковой серии ББ-22 находящиеся на заводе №1. В тексте были перечислены все самолеты, принимавшие участие в войсковых испыта</w:t>
      </w:r>
      <w:r w:rsidRPr="00A3026E">
        <w:rPr>
          <w:rFonts w:ascii="Times New Roman" w:hAnsi="Times New Roman"/>
          <w:color w:val="0070C0"/>
          <w:sz w:val="16"/>
          <w:szCs w:val="16"/>
        </w:rPr>
        <w:softHyphen/>
        <w:t>ниях, а также 1005 и 1006. Там отмечалось, что самолеты готовы к вылету и могут быть использованы как учебно-тренировочные в частях и вузах ГУ ВВС КА (19867).</w:t>
      </w:r>
    </w:p>
    <w:p w14:paraId="63074B23" w14:textId="77777777" w:rsidR="002947D3" w:rsidRPr="00A3026E" w:rsidRDefault="002947D3" w:rsidP="00A3026E">
      <w:pPr>
        <w:shd w:val="clear" w:color="auto" w:fill="FFFFFF"/>
        <w:spacing w:after="0" w:line="240" w:lineRule="auto"/>
        <w:jc w:val="both"/>
        <w:rPr>
          <w:rFonts w:ascii="Times New Roman" w:hAnsi="Times New Roman"/>
          <w:color w:val="0070C0"/>
          <w:sz w:val="16"/>
          <w:szCs w:val="16"/>
        </w:rPr>
      </w:pPr>
    </w:p>
    <w:p w14:paraId="0E022B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вышло постановление КО N 398с "О прекращении работ по перевооружению самолетов И-16." (3284).</w:t>
      </w:r>
    </w:p>
    <w:p w14:paraId="043A605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8E18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года постановление № 398сс КО</w:t>
      </w:r>
    </w:p>
    <w:p w14:paraId="3C4A45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прекращении работ по перевооружению самолетов И-16</w:t>
      </w:r>
    </w:p>
    <w:p w14:paraId="0852D7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тем, что перевооружение самолетов И-16 с моторами М-25А и М-25В, находящихся в строевых частях ВВС, на моторы М-62, не позволяет полностью использовать мощность моторов М-62 без усиления отдельных узлов самолетов, КО постановляет:</w:t>
      </w:r>
    </w:p>
    <w:p w14:paraId="6D0EDDE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Прекратить в частях ВВС и ВМФ все работы по перевооружению самолетов И-16 с М-25А и М-25В на моторы М-62.</w:t>
      </w:r>
    </w:p>
    <w:p w14:paraId="6E6415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Постановления КО № 280сс от 5 августа 1939 года и № 41сс от 26 января 1940 года, а также п. 8 постановления КО № 77сс от 19 февраля 1940 года – отменить.</w:t>
      </w:r>
    </w:p>
    <w:p w14:paraId="1093F22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Запланированные на перевооружение моторы М-62 и освободившиеся в связи с отменой этой работы передать заводу № 1 на перевыполнение программы 1940 года по самолетам И-153 (7595, 224).</w:t>
      </w:r>
    </w:p>
    <w:p w14:paraId="16BD1DD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242F59A3"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октября 1940 вышло Постановление Комитета обороны при СНК СССР № 398сс "О прекращении работ по перевооружению самолетов И-16"</w:t>
      </w:r>
    </w:p>
    <w:p w14:paraId="478E99CE"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связи с тем, что перевооружение самолетов И-16 с мотора</w:t>
      </w:r>
      <w:r w:rsidRPr="00A3026E">
        <w:rPr>
          <w:rFonts w:ascii="Times New Roman" w:hAnsi="Times New Roman"/>
          <w:color w:val="0070C0"/>
          <w:sz w:val="16"/>
          <w:szCs w:val="16"/>
        </w:rPr>
        <w:softHyphen/>
        <w:t>ми М-25А и М-25В, находящихся в строевых частях ВВС КА, на мото</w:t>
      </w:r>
      <w:r w:rsidRPr="00A3026E">
        <w:rPr>
          <w:rFonts w:ascii="Times New Roman" w:hAnsi="Times New Roman"/>
          <w:color w:val="0070C0"/>
          <w:sz w:val="16"/>
          <w:szCs w:val="16"/>
        </w:rPr>
        <w:softHyphen/>
        <w:t>ры М-62, не позволяет полностью использовать мощность моторов М-62 без усиления отдельных узлов самолета, Комитет Обороны при СНК Союза ССР ПОСТАНОВЛЯЕТ:</w:t>
      </w:r>
    </w:p>
    <w:p w14:paraId="44AF5AA3"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Прекратить в частях ВВС КА и НКВМФ все работы по перево</w:t>
      </w:r>
      <w:r w:rsidRPr="00A3026E">
        <w:rPr>
          <w:rFonts w:ascii="Times New Roman" w:hAnsi="Times New Roman"/>
          <w:color w:val="0070C0"/>
          <w:sz w:val="16"/>
          <w:szCs w:val="16"/>
        </w:rPr>
        <w:softHyphen/>
        <w:t>оружению самолетов И-16 с М-25А и М-25В на моторы М-62.</w:t>
      </w:r>
    </w:p>
    <w:p w14:paraId="16350126"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Постановления Комитета Обороны № 280сс от 5 августа 1939г. и № 41сс от 26 января 1940 г., а также п. 8 постановления К.О. № 77сс от 19 февраля 1940г. - отменить.</w:t>
      </w:r>
    </w:p>
    <w:p w14:paraId="0A79D1CB"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Запланированные на перевооружение моторы М-62 и освобо</w:t>
      </w:r>
      <w:r w:rsidRPr="00A3026E">
        <w:rPr>
          <w:rFonts w:ascii="Times New Roman" w:hAnsi="Times New Roman"/>
          <w:color w:val="0070C0"/>
          <w:sz w:val="16"/>
          <w:szCs w:val="16"/>
        </w:rPr>
        <w:softHyphen/>
        <w:t>дившиеся в связи с отменой этой работы передать заводу № 1 на перевыполнение программы 1940г. по самолетам И-153.</w:t>
      </w:r>
    </w:p>
    <w:p w14:paraId="7E721B0E"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договор, заключенный между заводом № 24 и ГУ ВВС КА, внести изменения согласно 1 и 2 п.п. настоящего постановления (22056).</w:t>
      </w:r>
    </w:p>
    <w:p w14:paraId="7A84DEC5" w14:textId="77777777" w:rsidR="002947D3" w:rsidRPr="00A3026E" w:rsidRDefault="002947D3" w:rsidP="00A3026E">
      <w:pPr>
        <w:spacing w:after="0" w:line="240" w:lineRule="auto"/>
        <w:jc w:val="both"/>
        <w:rPr>
          <w:rFonts w:ascii="Times New Roman" w:hAnsi="Times New Roman"/>
          <w:color w:val="0070C0"/>
          <w:sz w:val="16"/>
          <w:szCs w:val="16"/>
        </w:rPr>
      </w:pPr>
    </w:p>
    <w:p w14:paraId="702E24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г. Комитет Обо</w:t>
      </w:r>
      <w:r w:rsidRPr="00A3026E">
        <w:rPr>
          <w:rFonts w:ascii="Times New Roman" w:hAnsi="Times New Roman"/>
          <w:color w:val="000000" w:themeColor="text1"/>
          <w:sz w:val="16"/>
          <w:szCs w:val="16"/>
        </w:rPr>
        <w:softHyphen/>
        <w:t>роны при СНК СССР издал постанов</w:t>
      </w:r>
      <w:r w:rsidRPr="00A3026E">
        <w:rPr>
          <w:rFonts w:ascii="Times New Roman" w:hAnsi="Times New Roman"/>
          <w:color w:val="000000" w:themeColor="text1"/>
          <w:sz w:val="16"/>
          <w:szCs w:val="16"/>
        </w:rPr>
        <w:softHyphen/>
        <w:t>ление о прекращении работ по замене на И-16 моторов М-25 на М-62, все ранее подписанные соглашения анну</w:t>
      </w:r>
      <w:r w:rsidRPr="00A3026E">
        <w:rPr>
          <w:rFonts w:ascii="Times New Roman" w:hAnsi="Times New Roman"/>
          <w:color w:val="000000" w:themeColor="text1"/>
          <w:sz w:val="16"/>
          <w:szCs w:val="16"/>
        </w:rPr>
        <w:softHyphen/>
        <w:t>лировались (10667).</w:t>
      </w:r>
    </w:p>
    <w:p w14:paraId="352EF49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5694241" w14:textId="77777777" w:rsidR="00F72578" w:rsidRPr="00A3026E" w:rsidRDefault="00F72578" w:rsidP="00A3026E">
      <w:pPr>
        <w:pStyle w:val="a8"/>
        <w:jc w:val="both"/>
        <w:rPr>
          <w:rFonts w:ascii="Times New Roman" w:hAnsi="Times New Roman" w:cs="Times New Roman"/>
          <w:color w:val="000000" w:themeColor="text1"/>
        </w:rPr>
      </w:pPr>
      <w:r w:rsidRPr="00A3026E">
        <w:rPr>
          <w:rFonts w:ascii="Times New Roman" w:hAnsi="Times New Roman" w:cs="Times New Roman"/>
          <w:color w:val="000000" w:themeColor="text1"/>
        </w:rPr>
        <w:t>11 октября 1940 г. постановлением КО от все работы по переоборудованию И-16 с М-25А и М-25В на М-62 были прекращены (19109).</w:t>
      </w:r>
    </w:p>
    <w:p w14:paraId="121FA0D1" w14:textId="77777777" w:rsidR="00F72578" w:rsidRPr="00A3026E" w:rsidRDefault="00F72578" w:rsidP="00A3026E">
      <w:pPr>
        <w:pStyle w:val="a8"/>
        <w:jc w:val="both"/>
        <w:rPr>
          <w:rFonts w:ascii="Times New Roman" w:hAnsi="Times New Roman" w:cs="Times New Roman"/>
          <w:color w:val="000000" w:themeColor="text1"/>
        </w:rPr>
      </w:pPr>
    </w:p>
    <w:p w14:paraId="626926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г. Шахурин писал письмо N Н-20/2460 Ворошилову:</w:t>
      </w:r>
    </w:p>
    <w:p w14:paraId="76EF30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Конструктивные изменения самолета ОКО-6, произведенные на первом экземпляре машины, улучшения устойчивости самолета не дали; поэтому вопрос о внедрении ОКО-6 в серию отпадает до получения результатов испытаний модифицированного дублера этого самолета, в ближайшие дни выходящего на аэродром (3361,32).</w:t>
      </w:r>
    </w:p>
    <w:p w14:paraId="5125EC6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EC31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А.И.Ш. писал К.Е.В. письмо N Н-20/2460:</w:t>
      </w:r>
    </w:p>
    <w:p w14:paraId="1E2541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"Конструктивные изменения самолета ОКО-6, произведенные на первом экз. машины, улучшения устойчивости не дали. Поэтому вопрос о внедрении ОКО-6 в серию отпадает до получения результатов испытаний модифицированного дублера этого самолета, в ближайшие дни выходящего на аэродром." (1296,277).</w:t>
      </w:r>
    </w:p>
    <w:p w14:paraId="163EC62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143B1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11 октября 1940 года Начальник ГУ ВВС генерал-лейтенант авиации Рычагов утвердил Отчет по гос. испытаниям опытного самолета УТИ-26 с мотором М-105П конструкции инженера Яковлева, постройки завода № 115</w:t>
      </w:r>
    </w:p>
    <w:p w14:paraId="1CF7FA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704A3A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1 отделения 1 отдела НИИ в/инженер 1 ранга Воеводин</w:t>
      </w:r>
    </w:p>
    <w:p w14:paraId="6ABA21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3 ранга Степанец</w:t>
      </w:r>
    </w:p>
    <w:p w14:paraId="019D7C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летчики:</w:t>
      </w:r>
    </w:p>
    <w:p w14:paraId="11B7F3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Подполковник Стефановский</w:t>
      </w:r>
    </w:p>
    <w:p w14:paraId="591352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лейтенант Кубышкин</w:t>
      </w:r>
    </w:p>
    <w:p w14:paraId="554F2A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гос. испытания 28 августа 1940 года</w:t>
      </w:r>
    </w:p>
    <w:p w14:paraId="591BB0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Временно снят с гос. испытаний для проведения ремонта после его поломки 30 августа 1940 года</w:t>
      </w:r>
    </w:p>
    <w:p w14:paraId="165E59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Поступил для продолжения гос. испытаний 11 сентября 1940 года</w:t>
      </w:r>
    </w:p>
    <w:p w14:paraId="3CA8A7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Закончил гос. испытания 19 сентября 1940 года</w:t>
      </w:r>
    </w:p>
    <w:p w14:paraId="2D234E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испытан за 10 дней, из летных дней – 5</w:t>
      </w:r>
    </w:p>
    <w:p w14:paraId="3E888C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178997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соответствие данных самолета УТИ-26, предназначенного для работы в условиях авиашкол и строевых частей требованиям ВВС к такого типа самолету, особенно в отношении его пилотажных, взлетно-посадочных и эксплуатационных свойств.</w:t>
      </w:r>
    </w:p>
    <w:p w14:paraId="1483DF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гос. испытаний самолета УТИ-26 произведено 30 полетов, общей продолжительностью 13 час. 15 мин.</w:t>
      </w:r>
    </w:p>
    <w:p w14:paraId="220F2D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B4FEAA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 испытания удовлетворительно (4385).</w:t>
      </w:r>
    </w:p>
    <w:p w14:paraId="03E8BF0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2F59D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года Начальник ГУ ВВС генерал-лейтенант авиации Рычагов утвердил Отчет по гос. испытаниям опытного самолета УТИ-26 с мотором М-105П конструкции и А.С.Я., постройки завода № 115</w:t>
      </w:r>
    </w:p>
    <w:p w14:paraId="73BA54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ВИШ-61П диаметром 3 м</w:t>
      </w:r>
    </w:p>
    <w:p w14:paraId="4E3F83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759FEF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Воеводин, Степанец, Стефановский, Кубышкин</w:t>
      </w:r>
    </w:p>
    <w:p w14:paraId="13B735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Участники испытаний: Хвостовский, Аронов, Саманов, Цветаев, Стечнев, НаумовАверьянов, Королев</w:t>
      </w:r>
    </w:p>
    <w:p w14:paraId="767AC2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гос. испытания 28 августа 1940 года</w:t>
      </w:r>
    </w:p>
    <w:p w14:paraId="5E72A1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Закончил гос. испытания 19 сентября 1940 года</w:t>
      </w:r>
    </w:p>
    <w:p w14:paraId="6EA491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30 августа снят временно из-за поломкм и по 11 сентября 1940 был на ремонте после поломки</w:t>
      </w:r>
    </w:p>
    <w:p w14:paraId="3A66F2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Летных - 5 дней</w:t>
      </w:r>
    </w:p>
    <w:p w14:paraId="1A7C21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Наземные испытания 3 дня</w:t>
      </w:r>
    </w:p>
    <w:p w14:paraId="271431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Нелетная погода 2 дня</w:t>
      </w:r>
    </w:p>
    <w:p w14:paraId="4CC642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сдвинуто назад на 100 мм, в фюзкляже - вторая кабина и 2-е управление</w:t>
      </w:r>
    </w:p>
    <w:p w14:paraId="6CE3FD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2181 кг, полетный - 2750 кг</w:t>
      </w:r>
    </w:p>
    <w:p w14:paraId="019226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у земли 500 км/час</w:t>
      </w:r>
    </w:p>
    <w:p w14:paraId="5EE834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на 2540 м 560 км/час</w:t>
      </w:r>
    </w:p>
    <w:p w14:paraId="0D3340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5000 м 5,5 мин.</w:t>
      </w:r>
    </w:p>
    <w:p w14:paraId="023DB1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 310 м, пробег 750 м</w:t>
      </w:r>
    </w:p>
    <w:p w14:paraId="13CFA79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05DEE4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УТИ-26 считать прошедшим госиспытания удовлетворительно (Самолет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 испытания удовлетворительно)</w:t>
      </w:r>
    </w:p>
    <w:p w14:paraId="4E8B0C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целесообрасным быстрейшую серийную постройку самолета</w:t>
      </w:r>
    </w:p>
    <w:p w14:paraId="475D55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ГК и завод № 115 устранить на с-тах для войсковых испытаний следующие дефекты:</w:t>
      </w:r>
    </w:p>
    <w:p w14:paraId="629BB3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ненадежность конструкции запирающей системы уборки и выпуска шасси</w:t>
      </w:r>
    </w:p>
    <w:p w14:paraId="0A3B00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нельзя тормозить (большой пробег)</w:t>
      </w:r>
    </w:p>
    <w:p w14:paraId="147E7D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недоведенность синхронизирующей установки (прострел винта)</w:t>
      </w:r>
    </w:p>
    <w:p w14:paraId="53A5F0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исправить направления действия рычагов в кабине л-ка</w:t>
      </w:r>
    </w:p>
    <w:p w14:paraId="2003E5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(726,1).</w:t>
      </w:r>
    </w:p>
    <w:p w14:paraId="508B098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FA35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Нач. ГУ ВВС г-л Рычагов утвердил Отчет по гос. испытаниям опытного самолета УТИ-26 с М-105П конструкции А.С.Я постройки завода 115, которые проходили с 28 августа по 19 сентября 1940 (2944).</w:t>
      </w:r>
    </w:p>
    <w:p w14:paraId="19D7AA3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1AAAF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с письмом Врид Нач. вооружения и снабжения ВВС КА би Федорова N 3/00150 направил план на опытные заказы ГУ ВВС КА на 1941 и там впервые появилось задание на планера (2463,205).</w:t>
      </w:r>
    </w:p>
    <w:p w14:paraId="0C139A0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7084B68" w14:textId="77777777" w:rsidR="00C911E0" w:rsidRPr="00A3026E" w:rsidRDefault="00C911E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 xml:space="preserve">К 11 октября 1940 стрельбовые летные испытания на НИП АВ ВВС в Ногинске на двухмоторном истребителе </w:t>
      </w:r>
      <w:r w:rsidRPr="00A3026E">
        <w:rPr>
          <w:color w:val="000000" w:themeColor="text1"/>
          <w:sz w:val="16"/>
          <w:szCs w:val="16"/>
          <w:lang w:val="en-US"/>
        </w:rPr>
        <w:t>Bf</w:t>
      </w:r>
      <w:r w:rsidRPr="00A3026E">
        <w:rPr>
          <w:color w:val="000000" w:themeColor="text1"/>
          <w:sz w:val="16"/>
          <w:szCs w:val="16"/>
        </w:rPr>
        <w:t xml:space="preserve"> 110</w:t>
      </w:r>
      <w:r w:rsidRPr="00A3026E">
        <w:rPr>
          <w:color w:val="000000" w:themeColor="text1"/>
          <w:sz w:val="16"/>
          <w:szCs w:val="16"/>
          <w:lang w:val="en-US"/>
        </w:rPr>
        <w:t>C</w:t>
      </w:r>
      <w:r w:rsidRPr="00A3026E">
        <w:rPr>
          <w:color w:val="000000" w:themeColor="text1"/>
          <w:sz w:val="16"/>
          <w:szCs w:val="16"/>
        </w:rPr>
        <w:t xml:space="preserve"> завершила пушка Волко</w:t>
      </w:r>
      <w:r w:rsidRPr="00A3026E">
        <w:rPr>
          <w:color w:val="000000" w:themeColor="text1"/>
          <w:sz w:val="16"/>
          <w:szCs w:val="16"/>
        </w:rPr>
        <w:softHyphen/>
        <w:t>ва—Ярцева, а к 12 ноября — пушка Таубина—Бабурина.</w:t>
      </w:r>
    </w:p>
    <w:p w14:paraId="4441B398" w14:textId="77777777" w:rsidR="00C911E0" w:rsidRPr="00A3026E" w:rsidRDefault="00C911E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Съемные пушечные установки для них в корот</w:t>
      </w:r>
      <w:r w:rsidRPr="00A3026E">
        <w:rPr>
          <w:color w:val="000000" w:themeColor="text1"/>
          <w:sz w:val="16"/>
          <w:szCs w:val="16"/>
        </w:rPr>
        <w:softHyphen/>
        <w:t>кий срок были разработаны в ОКО завода № 1 под руководством Н. И. Волкова.</w:t>
      </w:r>
    </w:p>
    <w:p w14:paraId="2793A6DC" w14:textId="77777777" w:rsidR="00C911E0" w:rsidRPr="00A3026E" w:rsidRDefault="00C911E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 баллистике (начальная скорость), темпу стрельбы, эффективности снаряда (вес снаряда, вес разрывного заряда) обе пушки были вполне равноценными образцами. Однако пушка ТКБ-201 и ее установка на самолете с боезапасом 81 пат</w:t>
      </w:r>
      <w:r w:rsidRPr="00A3026E">
        <w:rPr>
          <w:color w:val="000000" w:themeColor="text1"/>
          <w:sz w:val="16"/>
          <w:szCs w:val="16"/>
        </w:rPr>
        <w:softHyphen/>
        <w:t>рон оказалась тяжелее на 49,7 кг. Дело в том, что ТКБ-201 требовала установки на лафете аморти</w:t>
      </w:r>
      <w:r w:rsidRPr="00A3026E">
        <w:rPr>
          <w:color w:val="000000" w:themeColor="text1"/>
          <w:sz w:val="16"/>
          <w:szCs w:val="16"/>
        </w:rPr>
        <w:softHyphen/>
        <w:t>затора силы отдачи. У пушки ПТБ-23 устройства амортизации силы отдачи входили в конструкцию пушки. Собственно, именно по этой причине лафе</w:t>
      </w:r>
      <w:r w:rsidRPr="00A3026E">
        <w:rPr>
          <w:color w:val="000000" w:themeColor="text1"/>
          <w:sz w:val="16"/>
          <w:szCs w:val="16"/>
        </w:rPr>
        <w:softHyphen/>
        <w:t>ты для пушек ПТБ-23 и ТКБ-201, спроектированные и изготовленные одним и тем же заводом (№ 1) для проведения испытаний на одном и том же само</w:t>
      </w:r>
      <w:r w:rsidRPr="00A3026E">
        <w:rPr>
          <w:color w:val="000000" w:themeColor="text1"/>
          <w:sz w:val="16"/>
          <w:szCs w:val="16"/>
        </w:rPr>
        <w:softHyphen/>
        <w:t>лете (</w:t>
      </w:r>
      <w:r w:rsidRPr="00A3026E">
        <w:rPr>
          <w:color w:val="000000" w:themeColor="text1"/>
          <w:sz w:val="16"/>
          <w:szCs w:val="16"/>
          <w:lang w:val="en-US"/>
        </w:rPr>
        <w:t>Bf</w:t>
      </w:r>
      <w:r w:rsidRPr="00A3026E">
        <w:rPr>
          <w:color w:val="000000" w:themeColor="text1"/>
          <w:sz w:val="16"/>
          <w:szCs w:val="16"/>
        </w:rPr>
        <w:t>110</w:t>
      </w:r>
      <w:r w:rsidRPr="00A3026E">
        <w:rPr>
          <w:color w:val="000000" w:themeColor="text1"/>
          <w:sz w:val="16"/>
          <w:szCs w:val="16"/>
          <w:lang w:val="en-US"/>
        </w:rPr>
        <w:t>C</w:t>
      </w:r>
      <w:r w:rsidRPr="00A3026E">
        <w:rPr>
          <w:color w:val="000000" w:themeColor="text1"/>
          <w:sz w:val="16"/>
          <w:szCs w:val="16"/>
        </w:rPr>
        <w:t>), отличались по весу на 23,5 кг. Кроме этого, поскольку пушка ТКБ-201 при стрельбе от</w:t>
      </w:r>
      <w:r w:rsidRPr="00A3026E">
        <w:rPr>
          <w:color w:val="000000" w:themeColor="text1"/>
          <w:sz w:val="16"/>
          <w:szCs w:val="16"/>
        </w:rPr>
        <w:softHyphen/>
        <w:t>катывалась вся (на 9,5 мм), для надежной работы автоматики пушки требовалось отработать гибкий гильзоотвод и гибкий патронный рукав.</w:t>
      </w:r>
    </w:p>
    <w:p w14:paraId="66751B30" w14:textId="77777777" w:rsidR="00C911E0" w:rsidRPr="00A3026E" w:rsidRDefault="00C911E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К числу несомненных достоинств пушки ТКБ-201 относили непрерывное питание (рассыпное зве</w:t>
      </w:r>
      <w:r w:rsidRPr="00A3026E">
        <w:rPr>
          <w:color w:val="000000" w:themeColor="text1"/>
          <w:sz w:val="16"/>
          <w:szCs w:val="16"/>
        </w:rPr>
        <w:softHyphen/>
        <w:t>но), меньшее количество деталей (109 против 170 у ПТБ-23) и более низкий процент отказов. На- стрел на одну поломку у пушки ТКБ-201 был почти вдвое выше, чем у пушки ПТБ-23, — 1415 выстре</w:t>
      </w:r>
      <w:r w:rsidRPr="00A3026E">
        <w:rPr>
          <w:color w:val="000000" w:themeColor="text1"/>
          <w:sz w:val="16"/>
          <w:szCs w:val="16"/>
        </w:rPr>
        <w:softHyphen/>
        <w:t>лов против 720 выстрелов. Общий процент задер</w:t>
      </w:r>
      <w:r w:rsidRPr="00A3026E">
        <w:rPr>
          <w:color w:val="000000" w:themeColor="text1"/>
          <w:sz w:val="16"/>
          <w:szCs w:val="16"/>
        </w:rPr>
        <w:softHyphen/>
        <w:t>жек при стрельбе в ходе испытаний не превысил 0,65%, в том числе 0,05% по вине пушки. На 6567 выстрелов пришлось 16 поломок.</w:t>
      </w:r>
    </w:p>
    <w:p w14:paraId="35A0F567" w14:textId="77777777" w:rsidR="00C911E0" w:rsidRPr="00A3026E" w:rsidRDefault="00C911E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ходе испытаний пушку ПТБ-23 расстреляли до полной живучести. В общей сложности на раз</w:t>
      </w:r>
      <w:r w:rsidRPr="00A3026E">
        <w:rPr>
          <w:color w:val="000000" w:themeColor="text1"/>
          <w:sz w:val="16"/>
          <w:szCs w:val="16"/>
        </w:rPr>
        <w:softHyphen/>
        <w:t>личных режимах полета (горизонтальный полет, пикирование, виражи) из пушки было выполнено 3710 выстрелов. Зафиксировали 31 поломку де</w:t>
      </w:r>
      <w:r w:rsidRPr="00A3026E">
        <w:rPr>
          <w:color w:val="000000" w:themeColor="text1"/>
          <w:sz w:val="16"/>
          <w:szCs w:val="16"/>
        </w:rPr>
        <w:softHyphen/>
        <w:t>талей пушки и 47 случаев задержек в стрельбе, из них 8 задержек — по вине автоматики пушки. Ударник затвора выдержал 870—2159 выстрелов, затвор — 3658 выстрелов.</w:t>
      </w:r>
    </w:p>
    <w:p w14:paraId="7AF338A5" w14:textId="77777777" w:rsidR="00C911E0" w:rsidRPr="00A3026E" w:rsidRDefault="00C911E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Тогда же пушку ПТБ-23 задействовали в испы</w:t>
      </w:r>
      <w:r w:rsidRPr="00A3026E">
        <w:rPr>
          <w:color w:val="000000" w:themeColor="text1"/>
          <w:sz w:val="16"/>
          <w:szCs w:val="16"/>
        </w:rPr>
        <w:softHyphen/>
        <w:t>таниях по определению фактической эффективно</w:t>
      </w:r>
      <w:r w:rsidRPr="00A3026E">
        <w:rPr>
          <w:color w:val="000000" w:themeColor="text1"/>
          <w:sz w:val="16"/>
          <w:szCs w:val="16"/>
        </w:rPr>
        <w:softHyphen/>
        <w:t>сти боеприпасов авиационного вооружения при действии по наземным целям. Стрельбы произво</w:t>
      </w:r>
      <w:r w:rsidRPr="00A3026E">
        <w:rPr>
          <w:color w:val="000000" w:themeColor="text1"/>
          <w:sz w:val="16"/>
          <w:szCs w:val="16"/>
        </w:rPr>
        <w:softHyphen/>
        <w:t>дились на НИП АВ ВВС на земле и с воздуха. Наи</w:t>
      </w:r>
      <w:r w:rsidRPr="00A3026E">
        <w:rPr>
          <w:color w:val="000000" w:themeColor="text1"/>
          <w:sz w:val="16"/>
          <w:szCs w:val="16"/>
        </w:rPr>
        <w:softHyphen/>
        <w:t>более «серьезной» целью был паровоз. Помимо ПТБ-23, по нему стреляли из пулеметов ШКАС и БС, пушек ШВАК и ракетными осколочными снарядами РС-82. Использовались самолеты: И-153, вооружен</w:t>
      </w:r>
      <w:r w:rsidRPr="00A3026E">
        <w:rPr>
          <w:color w:val="000000" w:themeColor="text1"/>
          <w:sz w:val="16"/>
          <w:szCs w:val="16"/>
        </w:rPr>
        <w:softHyphen/>
        <w:t>ный синхронным пулеметом БС калибра 12,7 мм и ракетными орудиями РО-82, И-16 с двумя син</w:t>
      </w:r>
      <w:r w:rsidRPr="00A3026E">
        <w:rPr>
          <w:color w:val="000000" w:themeColor="text1"/>
          <w:sz w:val="16"/>
          <w:szCs w:val="16"/>
        </w:rPr>
        <w:softHyphen/>
        <w:t xml:space="preserve">хронными пулеметами ШКАС и двумя крыльевыми пушками ШВАК, а также немецкий </w:t>
      </w:r>
      <w:r w:rsidRPr="00A3026E">
        <w:rPr>
          <w:color w:val="000000" w:themeColor="text1"/>
          <w:sz w:val="16"/>
          <w:szCs w:val="16"/>
          <w:lang w:val="en-US"/>
        </w:rPr>
        <w:t>Bf</w:t>
      </w:r>
      <w:r w:rsidRPr="00A3026E">
        <w:rPr>
          <w:color w:val="000000" w:themeColor="text1"/>
          <w:sz w:val="16"/>
          <w:szCs w:val="16"/>
        </w:rPr>
        <w:t>110</w:t>
      </w:r>
      <w:r w:rsidRPr="00A3026E">
        <w:rPr>
          <w:color w:val="000000" w:themeColor="text1"/>
          <w:sz w:val="16"/>
          <w:szCs w:val="16"/>
          <w:lang w:val="en-US"/>
        </w:rPr>
        <w:t>C</w:t>
      </w:r>
      <w:r w:rsidRPr="00A3026E">
        <w:rPr>
          <w:color w:val="000000" w:themeColor="text1"/>
          <w:sz w:val="16"/>
          <w:szCs w:val="16"/>
        </w:rPr>
        <w:t xml:space="preserve"> с пушкой ПТБ-23 на подфюзеляжной установке. Обстрел про</w:t>
      </w:r>
      <w:r w:rsidRPr="00A3026E">
        <w:rPr>
          <w:color w:val="000000" w:themeColor="text1"/>
          <w:sz w:val="16"/>
          <w:szCs w:val="16"/>
        </w:rPr>
        <w:softHyphen/>
        <w:t>изводился под углом 90 и 30° к направлению дви</w:t>
      </w:r>
      <w:r w:rsidRPr="00A3026E">
        <w:rPr>
          <w:color w:val="000000" w:themeColor="text1"/>
          <w:sz w:val="16"/>
          <w:szCs w:val="16"/>
        </w:rPr>
        <w:softHyphen/>
        <w:t>жения паровоза. Угол пикирования при стрельбе составлял 30—50°, дистанция стрельбы во всех случаях — 500—700 м.</w:t>
      </w:r>
    </w:p>
    <w:p w14:paraId="5FD1160A" w14:textId="77777777" w:rsidR="00C911E0" w:rsidRPr="00A3026E" w:rsidRDefault="00C911E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Надежное поражение паровоза получалось только при сквозном пробитии стенки котла. Для немедленной остановки паровоза необходимо бы</w:t>
      </w:r>
      <w:r w:rsidRPr="00A3026E">
        <w:rPr>
          <w:color w:val="000000" w:themeColor="text1"/>
          <w:sz w:val="16"/>
          <w:szCs w:val="16"/>
        </w:rPr>
        <w:softHyphen/>
        <w:t>ло обеспечить одну пробоину от снарядов калибра 20—23 мм или прямое попадание одного ракетно</w:t>
      </w:r>
      <w:r w:rsidRPr="00A3026E">
        <w:rPr>
          <w:color w:val="000000" w:themeColor="text1"/>
          <w:sz w:val="16"/>
          <w:szCs w:val="16"/>
        </w:rPr>
        <w:softHyphen/>
        <w:t>го снаряда РС-82 либо две пробоины от пуль кали</w:t>
      </w:r>
      <w:r w:rsidRPr="00A3026E">
        <w:rPr>
          <w:color w:val="000000" w:themeColor="text1"/>
          <w:sz w:val="16"/>
          <w:szCs w:val="16"/>
        </w:rPr>
        <w:softHyphen/>
        <w:t>бра 12,7 мм. Эти поражения «лишают возможности поддерживать в котле требуемого для хода рабоче</w:t>
      </w:r>
      <w:r w:rsidRPr="00A3026E">
        <w:rPr>
          <w:color w:val="000000" w:themeColor="text1"/>
          <w:sz w:val="16"/>
          <w:szCs w:val="16"/>
        </w:rPr>
        <w:softHyphen/>
        <w:t>го давления (11 —12 атм.)».</w:t>
      </w:r>
    </w:p>
    <w:p w14:paraId="73476076" w14:textId="77777777" w:rsidR="00C911E0" w:rsidRPr="00A3026E" w:rsidRDefault="00C911E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Наилучшие результаты показала пушка ПТБ-23, бронебойные и бронебойно-зажигательные снаря</w:t>
      </w:r>
      <w:r w:rsidRPr="00A3026E">
        <w:rPr>
          <w:color w:val="000000" w:themeColor="text1"/>
          <w:sz w:val="16"/>
          <w:szCs w:val="16"/>
        </w:rPr>
        <w:softHyphen/>
        <w:t>ды которой надежно поражали паровоз уже в пер</w:t>
      </w:r>
      <w:r w:rsidRPr="00A3026E">
        <w:rPr>
          <w:color w:val="000000" w:themeColor="text1"/>
          <w:sz w:val="16"/>
          <w:szCs w:val="16"/>
        </w:rPr>
        <w:softHyphen/>
        <w:t>вой атаке. Наиболее эффективной была атака с пи</w:t>
      </w:r>
      <w:r w:rsidRPr="00A3026E">
        <w:rPr>
          <w:color w:val="000000" w:themeColor="text1"/>
          <w:sz w:val="16"/>
          <w:szCs w:val="16"/>
        </w:rPr>
        <w:softHyphen/>
        <w:t>кирования под углом 45—50° при стрельбе очере</w:t>
      </w:r>
      <w:r w:rsidRPr="00A3026E">
        <w:rPr>
          <w:color w:val="000000" w:themeColor="text1"/>
          <w:sz w:val="16"/>
          <w:szCs w:val="16"/>
        </w:rPr>
        <w:softHyphen/>
        <w:t>дями по 10—15 выстрелов.</w:t>
      </w:r>
    </w:p>
    <w:p w14:paraId="144C7F1D" w14:textId="77777777" w:rsidR="00C911E0" w:rsidRPr="00A3026E" w:rsidRDefault="00C911E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lastRenderedPageBreak/>
        <w:t>Отмечалось, что бронебойные снаряды к пуш</w:t>
      </w:r>
      <w:r w:rsidRPr="00A3026E">
        <w:rPr>
          <w:color w:val="000000" w:themeColor="text1"/>
          <w:sz w:val="16"/>
          <w:szCs w:val="16"/>
        </w:rPr>
        <w:softHyphen/>
        <w:t>ке ШВАК дают большое число рикошетов, поэтому для нанесения паровозу требуемого поражения необходимо выполнить несколько прицельных за</w:t>
      </w:r>
      <w:r w:rsidRPr="00A3026E">
        <w:rPr>
          <w:color w:val="000000" w:themeColor="text1"/>
          <w:sz w:val="16"/>
          <w:szCs w:val="16"/>
        </w:rPr>
        <w:softHyphen/>
        <w:t>ходов.</w:t>
      </w:r>
    </w:p>
    <w:p w14:paraId="55B532E8" w14:textId="77777777" w:rsidR="00C911E0" w:rsidRPr="00A3026E" w:rsidRDefault="00C911E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Ракетные снаряды имели достаточную эффек</w:t>
      </w:r>
      <w:r w:rsidRPr="00A3026E">
        <w:rPr>
          <w:color w:val="000000" w:themeColor="text1"/>
          <w:sz w:val="16"/>
          <w:szCs w:val="16"/>
        </w:rPr>
        <w:softHyphen/>
        <w:t>тивность при стрельбе с дистанции не более 600— 700 м, но по сравнению с пушками калибра 23 мм «меткость стрельбы хуже». По этой причине их при</w:t>
      </w:r>
      <w:r w:rsidRPr="00A3026E">
        <w:rPr>
          <w:color w:val="000000" w:themeColor="text1"/>
          <w:sz w:val="16"/>
          <w:szCs w:val="16"/>
        </w:rPr>
        <w:softHyphen/>
        <w:t>менение по паровозам считалось целесообразным «только при отсутствии свободных самолетов, во</w:t>
      </w:r>
      <w:r w:rsidRPr="00A3026E">
        <w:rPr>
          <w:color w:val="000000" w:themeColor="text1"/>
          <w:sz w:val="16"/>
          <w:szCs w:val="16"/>
        </w:rPr>
        <w:softHyphen/>
        <w:t>оруженных пушками 20—23 мм».</w:t>
      </w:r>
    </w:p>
    <w:p w14:paraId="236ED10A" w14:textId="77777777" w:rsidR="00C911E0" w:rsidRPr="00A3026E" w:rsidRDefault="00C911E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Стрельба по котлу паровоза из крупнокалибер</w:t>
      </w:r>
      <w:r w:rsidRPr="00A3026E">
        <w:rPr>
          <w:color w:val="000000" w:themeColor="text1"/>
          <w:sz w:val="16"/>
          <w:szCs w:val="16"/>
        </w:rPr>
        <w:softHyphen/>
        <w:t>ного пулемета БС бронебойной пулей Б-32 с боль</w:t>
      </w:r>
      <w:r w:rsidRPr="00A3026E">
        <w:rPr>
          <w:color w:val="000000" w:themeColor="text1"/>
          <w:sz w:val="16"/>
          <w:szCs w:val="16"/>
        </w:rPr>
        <w:softHyphen/>
        <w:t>шой дистанции (600—700 м) давала неудовлет</w:t>
      </w:r>
      <w:r w:rsidRPr="00A3026E">
        <w:rPr>
          <w:color w:val="000000" w:themeColor="text1"/>
          <w:sz w:val="16"/>
          <w:szCs w:val="16"/>
        </w:rPr>
        <w:softHyphen/>
        <w:t>ворительные результаты из-за малой пробивной способности пули. Поэтому применять для борьбы с паровозами самолеты с тяжелыми пулеметами допускалось только в самых крайних случаях при отсутствии других средств.</w:t>
      </w:r>
    </w:p>
    <w:p w14:paraId="6D562F8B" w14:textId="77777777" w:rsidR="00C911E0" w:rsidRPr="00A3026E" w:rsidRDefault="00C911E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Пулеметы ШКАС при действии по паровозу оказа</w:t>
      </w:r>
      <w:r w:rsidRPr="00A3026E">
        <w:rPr>
          <w:color w:val="000000" w:themeColor="text1"/>
          <w:sz w:val="16"/>
          <w:szCs w:val="16"/>
        </w:rPr>
        <w:softHyphen/>
        <w:t>лись совершенно неэффективными. Поэтому приме</w:t>
      </w:r>
      <w:r w:rsidRPr="00A3026E">
        <w:rPr>
          <w:color w:val="000000" w:themeColor="text1"/>
          <w:sz w:val="16"/>
          <w:szCs w:val="16"/>
        </w:rPr>
        <w:softHyphen/>
        <w:t>нение их против паровозов считалось бесполезным.</w:t>
      </w:r>
    </w:p>
    <w:p w14:paraId="1E6AC934" w14:textId="77777777" w:rsidR="00C911E0" w:rsidRPr="00A3026E" w:rsidRDefault="00C911E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После сравнительной оценки результатов по</w:t>
      </w:r>
      <w:r w:rsidRPr="00A3026E">
        <w:rPr>
          <w:color w:val="000000" w:themeColor="text1"/>
          <w:sz w:val="16"/>
          <w:szCs w:val="16"/>
        </w:rPr>
        <w:softHyphen/>
        <w:t>лигонных испытаний и учитывая, что ПТБ-23 по техническим решениям более передовая и имеет большую перспективу развития, пушка рекомендо</w:t>
      </w:r>
      <w:r w:rsidRPr="00A3026E">
        <w:rPr>
          <w:color w:val="000000" w:themeColor="text1"/>
          <w:sz w:val="16"/>
          <w:szCs w:val="16"/>
        </w:rPr>
        <w:softHyphen/>
        <w:t>валась в валовое производство при обязательном устранении выявленных в ходе стрельб дефектов и недостатков.</w:t>
      </w:r>
    </w:p>
    <w:p w14:paraId="01B5A457" w14:textId="77777777" w:rsidR="00C911E0" w:rsidRPr="00A3026E" w:rsidRDefault="00C911E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Постановлением Комитета обороны при СНК СССР от 16 ноября 1940 г. авиационную пушку ПТБ-23 приняли на вооружение ВВС КА (17500).</w:t>
      </w:r>
    </w:p>
    <w:p w14:paraId="306E45EB" w14:textId="77777777" w:rsidR="00C911E0" w:rsidRPr="00A3026E" w:rsidRDefault="00C911E0" w:rsidP="00A3026E">
      <w:pPr>
        <w:spacing w:after="0" w:line="240" w:lineRule="auto"/>
        <w:jc w:val="both"/>
        <w:rPr>
          <w:rFonts w:ascii="Times New Roman" w:eastAsia="Times New Roman" w:hAnsi="Times New Roman"/>
          <w:color w:val="000000" w:themeColor="text1"/>
          <w:sz w:val="16"/>
          <w:szCs w:val="16"/>
          <w:lang w:eastAsia="ru-RU"/>
        </w:rPr>
      </w:pPr>
    </w:p>
    <w:p w14:paraId="117D17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вышло постановление КО N 399сс "О строительстве завода 82."</w:t>
      </w:r>
    </w:p>
    <w:p w14:paraId="06FE2CA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00403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была подготовлена Ведомость опытных самолетов и проектов по ним (к составлению плана опытных работ на 1941) (2090,202):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165"/>
        <w:gridCol w:w="1649"/>
        <w:gridCol w:w="2199"/>
        <w:gridCol w:w="3492"/>
      </w:tblGrid>
      <w:tr w:rsidR="00983732" w:rsidRPr="00A3026E" w14:paraId="5FEC2A60" w14:textId="77777777" w:rsidTr="00EA0DA7">
        <w:tc>
          <w:tcPr>
            <w:tcW w:w="2093" w:type="dxa"/>
            <w:tcBorders>
              <w:top w:val="single" w:sz="12" w:space="0" w:color="auto"/>
            </w:tcBorders>
          </w:tcPr>
          <w:p w14:paraId="14F796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N Конструктор</w:t>
            </w:r>
          </w:p>
        </w:tc>
        <w:tc>
          <w:tcPr>
            <w:tcW w:w="1165" w:type="dxa"/>
            <w:tcBorders>
              <w:top w:val="single" w:sz="12" w:space="0" w:color="auto"/>
            </w:tcBorders>
          </w:tcPr>
          <w:p w14:paraId="794DAE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w:t>
            </w:r>
          </w:p>
        </w:tc>
        <w:tc>
          <w:tcPr>
            <w:tcW w:w="1649" w:type="dxa"/>
            <w:tcBorders>
              <w:top w:val="single" w:sz="12" w:space="0" w:color="auto"/>
            </w:tcBorders>
          </w:tcPr>
          <w:p w14:paraId="343172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пер.</w:t>
            </w:r>
          </w:p>
        </w:tc>
        <w:tc>
          <w:tcPr>
            <w:tcW w:w="2199" w:type="dxa"/>
            <w:tcBorders>
              <w:top w:val="single" w:sz="12" w:space="0" w:color="auto"/>
            </w:tcBorders>
          </w:tcPr>
          <w:p w14:paraId="6804E5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Новый сам.</w:t>
            </w:r>
          </w:p>
        </w:tc>
        <w:tc>
          <w:tcPr>
            <w:tcW w:w="3492" w:type="dxa"/>
            <w:tcBorders>
              <w:top w:val="single" w:sz="12" w:space="0" w:color="auto"/>
            </w:tcBorders>
          </w:tcPr>
          <w:p w14:paraId="1EF60A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Налич. эск.</w:t>
            </w:r>
          </w:p>
        </w:tc>
      </w:tr>
      <w:tr w:rsidR="00983732" w:rsidRPr="00A3026E" w14:paraId="08588B8B" w14:textId="77777777" w:rsidTr="00EA0DA7">
        <w:tc>
          <w:tcPr>
            <w:tcW w:w="2093" w:type="dxa"/>
          </w:tcPr>
          <w:p w14:paraId="022291A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033B437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1396CB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1941</w:t>
            </w:r>
          </w:p>
        </w:tc>
        <w:tc>
          <w:tcPr>
            <w:tcW w:w="2199" w:type="dxa"/>
          </w:tcPr>
          <w:p w14:paraId="1B19077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492" w:type="dxa"/>
          </w:tcPr>
          <w:p w14:paraId="2A4085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вкл. в план</w:t>
            </w:r>
          </w:p>
        </w:tc>
      </w:tr>
      <w:tr w:rsidR="00983732" w:rsidRPr="00A3026E" w14:paraId="05F7766A" w14:textId="77777777" w:rsidTr="00EA0DA7">
        <w:tc>
          <w:tcPr>
            <w:tcW w:w="2093" w:type="dxa"/>
          </w:tcPr>
          <w:p w14:paraId="47EE17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группа</w:t>
            </w:r>
          </w:p>
        </w:tc>
        <w:tc>
          <w:tcPr>
            <w:tcW w:w="1165" w:type="dxa"/>
          </w:tcPr>
          <w:p w14:paraId="13F8545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38C7C9D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6398420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492" w:type="dxa"/>
          </w:tcPr>
          <w:p w14:paraId="632B0F5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B6649BB" w14:textId="77777777" w:rsidTr="00EA0DA7">
        <w:tc>
          <w:tcPr>
            <w:tcW w:w="2093" w:type="dxa"/>
          </w:tcPr>
          <w:p w14:paraId="018667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Н.Н.П.</w:t>
            </w:r>
          </w:p>
        </w:tc>
        <w:tc>
          <w:tcPr>
            <w:tcW w:w="1165" w:type="dxa"/>
          </w:tcPr>
          <w:p w14:paraId="1C47D1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w:t>
            </w:r>
          </w:p>
        </w:tc>
        <w:tc>
          <w:tcPr>
            <w:tcW w:w="1649" w:type="dxa"/>
          </w:tcPr>
          <w:p w14:paraId="0A353D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И-185 М-90</w:t>
            </w:r>
          </w:p>
        </w:tc>
        <w:tc>
          <w:tcPr>
            <w:tcW w:w="2199" w:type="dxa"/>
          </w:tcPr>
          <w:p w14:paraId="378759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ТИС АМ-35</w:t>
            </w:r>
          </w:p>
        </w:tc>
        <w:tc>
          <w:tcPr>
            <w:tcW w:w="3492" w:type="dxa"/>
          </w:tcPr>
          <w:p w14:paraId="5E937E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есть</w:t>
            </w:r>
          </w:p>
        </w:tc>
      </w:tr>
      <w:tr w:rsidR="00983732" w:rsidRPr="00A3026E" w14:paraId="1C2C0E5B" w14:textId="77777777" w:rsidTr="00EA0DA7">
        <w:tc>
          <w:tcPr>
            <w:tcW w:w="2093" w:type="dxa"/>
          </w:tcPr>
          <w:p w14:paraId="7E2769D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491548C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5096FB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И-185 М-71</w:t>
            </w:r>
          </w:p>
        </w:tc>
        <w:tc>
          <w:tcPr>
            <w:tcW w:w="2199" w:type="dxa"/>
          </w:tcPr>
          <w:p w14:paraId="4B29F0F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492" w:type="dxa"/>
          </w:tcPr>
          <w:p w14:paraId="230F473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7E23242" w14:textId="77777777" w:rsidTr="00EA0DA7">
        <w:tc>
          <w:tcPr>
            <w:tcW w:w="2093" w:type="dxa"/>
          </w:tcPr>
          <w:p w14:paraId="612F78D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753B003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7384BF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И-185 М-81</w:t>
            </w:r>
          </w:p>
        </w:tc>
        <w:tc>
          <w:tcPr>
            <w:tcW w:w="2199" w:type="dxa"/>
          </w:tcPr>
          <w:p w14:paraId="46B3C39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492" w:type="dxa"/>
          </w:tcPr>
          <w:p w14:paraId="7963E20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83AC8E8" w14:textId="77777777" w:rsidTr="00EA0DA7">
        <w:tc>
          <w:tcPr>
            <w:tcW w:w="2093" w:type="dxa"/>
          </w:tcPr>
          <w:p w14:paraId="0BAEC5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А.А.А.</w:t>
            </w:r>
          </w:p>
        </w:tc>
        <w:tc>
          <w:tcPr>
            <w:tcW w:w="1165" w:type="dxa"/>
          </w:tcPr>
          <w:p w14:paraId="4ACA4A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1649" w:type="dxa"/>
          </w:tcPr>
          <w:p w14:paraId="4D9CEF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 Б 2М-105ТК</w:t>
            </w:r>
          </w:p>
        </w:tc>
        <w:tc>
          <w:tcPr>
            <w:tcW w:w="2199" w:type="dxa"/>
          </w:tcPr>
          <w:p w14:paraId="18A4AC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2М-105 ПБ</w:t>
            </w:r>
          </w:p>
        </w:tc>
        <w:tc>
          <w:tcPr>
            <w:tcW w:w="3492" w:type="dxa"/>
          </w:tcPr>
          <w:p w14:paraId="007E4C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17FF5F63" w14:textId="77777777" w:rsidTr="00EA0DA7">
        <w:tc>
          <w:tcPr>
            <w:tcW w:w="2093" w:type="dxa"/>
          </w:tcPr>
          <w:p w14:paraId="523A33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А.С.Я.</w:t>
            </w:r>
          </w:p>
        </w:tc>
        <w:tc>
          <w:tcPr>
            <w:tcW w:w="1165" w:type="dxa"/>
          </w:tcPr>
          <w:p w14:paraId="1DE94F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c>
          <w:tcPr>
            <w:tcW w:w="1649" w:type="dxa"/>
          </w:tcPr>
          <w:p w14:paraId="1AA4A0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199" w:type="dxa"/>
          </w:tcPr>
          <w:p w14:paraId="38B90F6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492" w:type="dxa"/>
          </w:tcPr>
          <w:p w14:paraId="2E9151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232CC22" w14:textId="77777777" w:rsidTr="00EA0DA7">
        <w:tc>
          <w:tcPr>
            <w:tcW w:w="2093" w:type="dxa"/>
          </w:tcPr>
          <w:p w14:paraId="3AFB1E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П.О.С.</w:t>
            </w:r>
          </w:p>
        </w:tc>
        <w:tc>
          <w:tcPr>
            <w:tcW w:w="1165" w:type="dxa"/>
          </w:tcPr>
          <w:p w14:paraId="4EC81D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289</w:t>
            </w:r>
          </w:p>
        </w:tc>
        <w:tc>
          <w:tcPr>
            <w:tcW w:w="1649" w:type="dxa"/>
          </w:tcPr>
          <w:p w14:paraId="6E2C9A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ОБШ М-71</w:t>
            </w:r>
          </w:p>
        </w:tc>
        <w:tc>
          <w:tcPr>
            <w:tcW w:w="2199" w:type="dxa"/>
          </w:tcPr>
          <w:p w14:paraId="402EA2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2АМ-37</w:t>
            </w:r>
          </w:p>
        </w:tc>
        <w:tc>
          <w:tcPr>
            <w:tcW w:w="3492" w:type="dxa"/>
          </w:tcPr>
          <w:p w14:paraId="5813FF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21654A6F" w14:textId="77777777" w:rsidTr="00EA0DA7">
        <w:tc>
          <w:tcPr>
            <w:tcW w:w="2093" w:type="dxa"/>
          </w:tcPr>
          <w:p w14:paraId="41CDDE1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11CDD28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201150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ББ-3 М-89</w:t>
            </w:r>
          </w:p>
        </w:tc>
        <w:tc>
          <w:tcPr>
            <w:tcW w:w="2199" w:type="dxa"/>
          </w:tcPr>
          <w:p w14:paraId="534BA8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ББ-3 АМ-37(в)</w:t>
            </w:r>
          </w:p>
        </w:tc>
        <w:tc>
          <w:tcPr>
            <w:tcW w:w="3492" w:type="dxa"/>
          </w:tcPr>
          <w:p w14:paraId="188780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6CD905BE" w14:textId="77777777" w:rsidTr="00EA0DA7">
        <w:tc>
          <w:tcPr>
            <w:tcW w:w="2093" w:type="dxa"/>
          </w:tcPr>
          <w:p w14:paraId="45E557D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0A68CDC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71ABBF0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64CC91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ББ-1 М-89(в)</w:t>
            </w:r>
          </w:p>
        </w:tc>
        <w:tc>
          <w:tcPr>
            <w:tcW w:w="3492" w:type="dxa"/>
          </w:tcPr>
          <w:p w14:paraId="16F269F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CDD1625" w14:textId="77777777" w:rsidTr="00EA0DA7">
        <w:tc>
          <w:tcPr>
            <w:tcW w:w="2093" w:type="dxa"/>
          </w:tcPr>
          <w:p w14:paraId="5CBE4D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С.В.И.</w:t>
            </w:r>
          </w:p>
        </w:tc>
        <w:tc>
          <w:tcPr>
            <w:tcW w:w="1165" w:type="dxa"/>
          </w:tcPr>
          <w:p w14:paraId="0BAB1F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c>
          <w:tcPr>
            <w:tcW w:w="1649" w:type="dxa"/>
          </w:tcPr>
          <w:p w14:paraId="3EDFE5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ДБ-4 2АМ-37</w:t>
            </w:r>
          </w:p>
        </w:tc>
        <w:tc>
          <w:tcPr>
            <w:tcW w:w="2199" w:type="dxa"/>
          </w:tcPr>
          <w:p w14:paraId="2E7B91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ОБШ 2М-71 или</w:t>
            </w:r>
          </w:p>
        </w:tc>
        <w:tc>
          <w:tcPr>
            <w:tcW w:w="3492" w:type="dxa"/>
          </w:tcPr>
          <w:p w14:paraId="557BE3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3DBE4BF0" w14:textId="77777777" w:rsidTr="00EA0DA7">
        <w:tc>
          <w:tcPr>
            <w:tcW w:w="2093" w:type="dxa"/>
          </w:tcPr>
          <w:p w14:paraId="18A7314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611B491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6ECFC35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338574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ОБШ 2АМ-37</w:t>
            </w:r>
          </w:p>
        </w:tc>
        <w:tc>
          <w:tcPr>
            <w:tcW w:w="3492" w:type="dxa"/>
          </w:tcPr>
          <w:p w14:paraId="21DD317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3AC1311" w14:textId="77777777" w:rsidTr="00EA0DA7">
        <w:tc>
          <w:tcPr>
            <w:tcW w:w="2093" w:type="dxa"/>
          </w:tcPr>
          <w:p w14:paraId="4873FD2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24C34EC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73B310E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379D10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2АМ-37(в)</w:t>
            </w:r>
          </w:p>
        </w:tc>
        <w:tc>
          <w:tcPr>
            <w:tcW w:w="3492" w:type="dxa"/>
          </w:tcPr>
          <w:p w14:paraId="1F9434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59342D7C" w14:textId="77777777" w:rsidTr="00EA0DA7">
        <w:tc>
          <w:tcPr>
            <w:tcW w:w="2093" w:type="dxa"/>
          </w:tcPr>
          <w:p w14:paraId="4B6422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МиГ</w:t>
            </w:r>
          </w:p>
        </w:tc>
        <w:tc>
          <w:tcPr>
            <w:tcW w:w="1165" w:type="dxa"/>
          </w:tcPr>
          <w:p w14:paraId="5B796E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1649" w:type="dxa"/>
          </w:tcPr>
          <w:p w14:paraId="5C8B8B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199" w:type="dxa"/>
          </w:tcPr>
          <w:p w14:paraId="707E08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ДИС 2АМ-37</w:t>
            </w:r>
          </w:p>
        </w:tc>
        <w:tc>
          <w:tcPr>
            <w:tcW w:w="3492" w:type="dxa"/>
          </w:tcPr>
          <w:p w14:paraId="2E10E5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есть</w:t>
            </w:r>
          </w:p>
        </w:tc>
      </w:tr>
      <w:tr w:rsidR="00983732" w:rsidRPr="00A3026E" w14:paraId="78F1ECF8" w14:textId="77777777" w:rsidTr="00EA0DA7">
        <w:tc>
          <w:tcPr>
            <w:tcW w:w="2093" w:type="dxa"/>
          </w:tcPr>
          <w:p w14:paraId="41C1D4D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440F6AC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1E7FA43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21CAAE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ПБШ-1 АМ-38(в)</w:t>
            </w:r>
          </w:p>
        </w:tc>
        <w:tc>
          <w:tcPr>
            <w:tcW w:w="3492" w:type="dxa"/>
          </w:tcPr>
          <w:p w14:paraId="77865ED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7B8FE86" w14:textId="77777777" w:rsidTr="00EA0DA7">
        <w:tc>
          <w:tcPr>
            <w:tcW w:w="2093" w:type="dxa"/>
          </w:tcPr>
          <w:p w14:paraId="741CD83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119F5BA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298C970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118B7E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 АМ-38ТК</w:t>
            </w:r>
          </w:p>
        </w:tc>
        <w:tc>
          <w:tcPr>
            <w:tcW w:w="3492" w:type="dxa"/>
          </w:tcPr>
          <w:p w14:paraId="2F89777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F8B6E2C" w14:textId="77777777" w:rsidTr="00EA0DA7">
        <w:tc>
          <w:tcPr>
            <w:tcW w:w="2093" w:type="dxa"/>
          </w:tcPr>
          <w:p w14:paraId="1F0942E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41588B2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7CDF654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213E51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ПБШ-1 АМ-38 с</w:t>
            </w:r>
          </w:p>
        </w:tc>
        <w:tc>
          <w:tcPr>
            <w:tcW w:w="3492" w:type="dxa"/>
          </w:tcPr>
          <w:p w14:paraId="6EBB392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0E07C60" w14:textId="77777777" w:rsidTr="00EA0DA7">
        <w:tc>
          <w:tcPr>
            <w:tcW w:w="2093" w:type="dxa"/>
          </w:tcPr>
          <w:p w14:paraId="430E570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182DF84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369B310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7AB4ED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гидроперед. (в)</w:t>
            </w:r>
          </w:p>
        </w:tc>
        <w:tc>
          <w:tcPr>
            <w:tcW w:w="3492" w:type="dxa"/>
          </w:tcPr>
          <w:p w14:paraId="0A00844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7B2E715" w14:textId="77777777" w:rsidTr="00EA0DA7">
        <w:tc>
          <w:tcPr>
            <w:tcW w:w="2093" w:type="dxa"/>
          </w:tcPr>
          <w:p w14:paraId="4F1059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Ермолаев</w:t>
            </w:r>
          </w:p>
        </w:tc>
        <w:tc>
          <w:tcPr>
            <w:tcW w:w="1165" w:type="dxa"/>
          </w:tcPr>
          <w:p w14:paraId="4137E9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c>
          <w:tcPr>
            <w:tcW w:w="1649" w:type="dxa"/>
          </w:tcPr>
          <w:p w14:paraId="191255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 2АМ-37</w:t>
            </w:r>
          </w:p>
        </w:tc>
        <w:tc>
          <w:tcPr>
            <w:tcW w:w="2199" w:type="dxa"/>
          </w:tcPr>
          <w:p w14:paraId="6F6B3B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 2М-30</w:t>
            </w:r>
          </w:p>
        </w:tc>
        <w:tc>
          <w:tcPr>
            <w:tcW w:w="3492" w:type="dxa"/>
          </w:tcPr>
          <w:p w14:paraId="7FD98A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47088E7F" w14:textId="77777777" w:rsidTr="00EA0DA7">
        <w:tc>
          <w:tcPr>
            <w:tcW w:w="2093" w:type="dxa"/>
          </w:tcPr>
          <w:p w14:paraId="0557F3C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1A2F3F3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219987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 2М-30(в)</w:t>
            </w:r>
          </w:p>
        </w:tc>
        <w:tc>
          <w:tcPr>
            <w:tcW w:w="2199" w:type="dxa"/>
          </w:tcPr>
          <w:p w14:paraId="19F169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 2М-120(в)</w:t>
            </w:r>
          </w:p>
        </w:tc>
        <w:tc>
          <w:tcPr>
            <w:tcW w:w="3492" w:type="dxa"/>
          </w:tcPr>
          <w:p w14:paraId="5D59546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FB1820A" w14:textId="77777777" w:rsidTr="00EA0DA7">
        <w:tc>
          <w:tcPr>
            <w:tcW w:w="2093" w:type="dxa"/>
          </w:tcPr>
          <w:p w14:paraId="2E4F81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А.Н.Т.</w:t>
            </w:r>
          </w:p>
        </w:tc>
        <w:tc>
          <w:tcPr>
            <w:tcW w:w="1165" w:type="dxa"/>
          </w:tcPr>
          <w:p w14:paraId="3B1933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w:t>
            </w:r>
          </w:p>
        </w:tc>
        <w:tc>
          <w:tcPr>
            <w:tcW w:w="1649" w:type="dxa"/>
          </w:tcPr>
          <w:p w14:paraId="50E1C8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 2АМ-35</w:t>
            </w:r>
          </w:p>
        </w:tc>
        <w:tc>
          <w:tcPr>
            <w:tcW w:w="2199" w:type="dxa"/>
          </w:tcPr>
          <w:p w14:paraId="00E21C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 4М-120</w:t>
            </w:r>
          </w:p>
        </w:tc>
        <w:tc>
          <w:tcPr>
            <w:tcW w:w="3492" w:type="dxa"/>
          </w:tcPr>
          <w:p w14:paraId="7D617A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649502AC" w14:textId="77777777" w:rsidTr="00EA0DA7">
        <w:tc>
          <w:tcPr>
            <w:tcW w:w="2093" w:type="dxa"/>
          </w:tcPr>
          <w:p w14:paraId="77D67E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В.М.М.</w:t>
            </w:r>
          </w:p>
        </w:tc>
        <w:tc>
          <w:tcPr>
            <w:tcW w:w="1165" w:type="dxa"/>
          </w:tcPr>
          <w:p w14:paraId="7AAE3F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w:t>
            </w:r>
          </w:p>
        </w:tc>
        <w:tc>
          <w:tcPr>
            <w:tcW w:w="1649" w:type="dxa"/>
          </w:tcPr>
          <w:p w14:paraId="09CB5F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 2М-120</w:t>
            </w:r>
          </w:p>
        </w:tc>
        <w:tc>
          <w:tcPr>
            <w:tcW w:w="2199" w:type="dxa"/>
          </w:tcPr>
          <w:p w14:paraId="5A0E0B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 2М-20</w:t>
            </w:r>
          </w:p>
        </w:tc>
        <w:tc>
          <w:tcPr>
            <w:tcW w:w="3492" w:type="dxa"/>
          </w:tcPr>
          <w:p w14:paraId="67CAA7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6E2F1BE5" w14:textId="77777777" w:rsidTr="00EA0DA7">
        <w:tc>
          <w:tcPr>
            <w:tcW w:w="2093" w:type="dxa"/>
          </w:tcPr>
          <w:p w14:paraId="439463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Томашевич</w:t>
            </w:r>
          </w:p>
        </w:tc>
        <w:tc>
          <w:tcPr>
            <w:tcW w:w="1165" w:type="dxa"/>
          </w:tcPr>
          <w:p w14:paraId="2EAA44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w:t>
            </w:r>
          </w:p>
        </w:tc>
        <w:tc>
          <w:tcPr>
            <w:tcW w:w="1649" w:type="dxa"/>
          </w:tcPr>
          <w:p w14:paraId="551A244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66ED7E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И-110 АМ-37</w:t>
            </w:r>
          </w:p>
        </w:tc>
        <w:tc>
          <w:tcPr>
            <w:tcW w:w="3492" w:type="dxa"/>
          </w:tcPr>
          <w:p w14:paraId="402BDF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3BC2C6FD" w14:textId="77777777" w:rsidTr="00EA0DA7">
        <w:tc>
          <w:tcPr>
            <w:tcW w:w="2093" w:type="dxa"/>
          </w:tcPr>
          <w:p w14:paraId="204E1C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Бериев</w:t>
            </w:r>
          </w:p>
        </w:tc>
        <w:tc>
          <w:tcPr>
            <w:tcW w:w="1165" w:type="dxa"/>
          </w:tcPr>
          <w:p w14:paraId="6FA53B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1649" w:type="dxa"/>
          </w:tcPr>
          <w:p w14:paraId="30E360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КОР-2 М-63</w:t>
            </w:r>
          </w:p>
        </w:tc>
        <w:tc>
          <w:tcPr>
            <w:tcW w:w="2199" w:type="dxa"/>
          </w:tcPr>
          <w:p w14:paraId="1E01FE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КОР-3 М-107</w:t>
            </w:r>
          </w:p>
        </w:tc>
        <w:tc>
          <w:tcPr>
            <w:tcW w:w="3492" w:type="dxa"/>
          </w:tcPr>
          <w:p w14:paraId="4D972D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есть</w:t>
            </w:r>
          </w:p>
        </w:tc>
      </w:tr>
      <w:tr w:rsidR="00983732" w:rsidRPr="00A3026E" w14:paraId="7B2EEC85" w14:textId="77777777" w:rsidTr="00EA0DA7">
        <w:tc>
          <w:tcPr>
            <w:tcW w:w="2093" w:type="dxa"/>
          </w:tcPr>
          <w:p w14:paraId="3A58A0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Четвериков</w:t>
            </w:r>
          </w:p>
        </w:tc>
        <w:tc>
          <w:tcPr>
            <w:tcW w:w="1165" w:type="dxa"/>
          </w:tcPr>
          <w:p w14:paraId="750462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1649" w:type="dxa"/>
          </w:tcPr>
          <w:p w14:paraId="444FA8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МДР-6Б 2М-105</w:t>
            </w:r>
          </w:p>
        </w:tc>
        <w:tc>
          <w:tcPr>
            <w:tcW w:w="2199" w:type="dxa"/>
          </w:tcPr>
          <w:p w14:paraId="3EF914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МБР-311 (этал.</w:t>
            </w:r>
          </w:p>
        </w:tc>
        <w:tc>
          <w:tcPr>
            <w:tcW w:w="3492" w:type="dxa"/>
          </w:tcPr>
          <w:p w14:paraId="74A1B87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03E446A" w14:textId="77777777" w:rsidTr="00EA0DA7">
        <w:tc>
          <w:tcPr>
            <w:tcW w:w="2093" w:type="dxa"/>
          </w:tcPr>
          <w:p w14:paraId="5234A02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47F1D3E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235B6B4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052EA6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МДР-6 2М-63)</w:t>
            </w:r>
          </w:p>
        </w:tc>
        <w:tc>
          <w:tcPr>
            <w:tcW w:w="3492" w:type="dxa"/>
          </w:tcPr>
          <w:p w14:paraId="69A73F8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6E6C4E5" w14:textId="77777777" w:rsidTr="00EA0DA7">
        <w:tc>
          <w:tcPr>
            <w:tcW w:w="2093" w:type="dxa"/>
          </w:tcPr>
          <w:p w14:paraId="7FD36CD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6D02BE1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1D4306F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2F6F1B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МБР3П 2М-107</w:t>
            </w:r>
          </w:p>
        </w:tc>
        <w:tc>
          <w:tcPr>
            <w:tcW w:w="3492" w:type="dxa"/>
          </w:tcPr>
          <w:p w14:paraId="548895C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6C81F94" w14:textId="77777777" w:rsidTr="00EA0DA7">
        <w:tc>
          <w:tcPr>
            <w:tcW w:w="2093" w:type="dxa"/>
          </w:tcPr>
          <w:p w14:paraId="2E1C31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В.М.П.</w:t>
            </w:r>
          </w:p>
        </w:tc>
        <w:tc>
          <w:tcPr>
            <w:tcW w:w="1165" w:type="dxa"/>
          </w:tcPr>
          <w:p w14:paraId="0A9A36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c>
          <w:tcPr>
            <w:tcW w:w="1649" w:type="dxa"/>
          </w:tcPr>
          <w:p w14:paraId="592D56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 100</w:t>
            </w:r>
          </w:p>
        </w:tc>
        <w:tc>
          <w:tcPr>
            <w:tcW w:w="2199" w:type="dxa"/>
          </w:tcPr>
          <w:p w14:paraId="3B6DEAD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492" w:type="dxa"/>
          </w:tcPr>
          <w:p w14:paraId="02D815C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05218F1" w14:textId="77777777" w:rsidTr="00EA0DA7">
        <w:tc>
          <w:tcPr>
            <w:tcW w:w="2093" w:type="dxa"/>
          </w:tcPr>
          <w:p w14:paraId="367031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новых</w:t>
            </w:r>
          </w:p>
        </w:tc>
        <w:tc>
          <w:tcPr>
            <w:tcW w:w="1165" w:type="dxa"/>
          </w:tcPr>
          <w:p w14:paraId="092DD0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1649" w:type="dxa"/>
          </w:tcPr>
          <w:p w14:paraId="3D934A4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5695718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492" w:type="dxa"/>
          </w:tcPr>
          <w:p w14:paraId="3E319C9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6B922FE" w14:textId="77777777" w:rsidTr="00EA0DA7">
        <w:tc>
          <w:tcPr>
            <w:tcW w:w="2093" w:type="dxa"/>
          </w:tcPr>
          <w:p w14:paraId="38938A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группа</w:t>
            </w:r>
          </w:p>
        </w:tc>
        <w:tc>
          <w:tcPr>
            <w:tcW w:w="1165" w:type="dxa"/>
          </w:tcPr>
          <w:p w14:paraId="0F2AA12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7174EC9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2DA663F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492" w:type="dxa"/>
          </w:tcPr>
          <w:p w14:paraId="6356745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61FD6E7" w14:textId="77777777" w:rsidTr="00EA0DA7">
        <w:tc>
          <w:tcPr>
            <w:tcW w:w="2093" w:type="dxa"/>
          </w:tcPr>
          <w:p w14:paraId="07801C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Таиров</w:t>
            </w:r>
          </w:p>
        </w:tc>
        <w:tc>
          <w:tcPr>
            <w:tcW w:w="1165" w:type="dxa"/>
          </w:tcPr>
          <w:p w14:paraId="58CE62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w:t>
            </w:r>
          </w:p>
        </w:tc>
        <w:tc>
          <w:tcPr>
            <w:tcW w:w="1649" w:type="dxa"/>
          </w:tcPr>
          <w:p w14:paraId="00AF36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ОКО-8 2М-36</w:t>
            </w:r>
          </w:p>
        </w:tc>
        <w:tc>
          <w:tcPr>
            <w:tcW w:w="2199" w:type="dxa"/>
          </w:tcPr>
          <w:p w14:paraId="5CCE2C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ОКО-7 2М-37</w:t>
            </w:r>
          </w:p>
        </w:tc>
        <w:tc>
          <w:tcPr>
            <w:tcW w:w="3492" w:type="dxa"/>
          </w:tcPr>
          <w:p w14:paraId="6C95B3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151142EE" w14:textId="77777777" w:rsidTr="00EA0DA7">
        <w:tc>
          <w:tcPr>
            <w:tcW w:w="2093" w:type="dxa"/>
          </w:tcPr>
          <w:p w14:paraId="4E84398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419EDEA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06D1AA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ОКО-6 2М-88</w:t>
            </w:r>
          </w:p>
        </w:tc>
        <w:tc>
          <w:tcPr>
            <w:tcW w:w="2199" w:type="dxa"/>
          </w:tcPr>
          <w:p w14:paraId="348F82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ОКО-7 констр. пред. вм. ОКО-8</w:t>
            </w:r>
          </w:p>
        </w:tc>
        <w:tc>
          <w:tcPr>
            <w:tcW w:w="3492" w:type="dxa"/>
          </w:tcPr>
          <w:p w14:paraId="008F508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D2D3B71" w14:textId="77777777" w:rsidTr="00EA0DA7">
        <w:tc>
          <w:tcPr>
            <w:tcW w:w="2093" w:type="dxa"/>
          </w:tcPr>
          <w:p w14:paraId="52416F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Болховитинов</w:t>
            </w:r>
          </w:p>
        </w:tc>
        <w:tc>
          <w:tcPr>
            <w:tcW w:w="1165" w:type="dxa"/>
          </w:tcPr>
          <w:p w14:paraId="336F45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293</w:t>
            </w:r>
          </w:p>
        </w:tc>
        <w:tc>
          <w:tcPr>
            <w:tcW w:w="1649" w:type="dxa"/>
          </w:tcPr>
          <w:p w14:paraId="4EDC61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 С/1 М-103</w:t>
            </w:r>
          </w:p>
        </w:tc>
        <w:tc>
          <w:tcPr>
            <w:tcW w:w="2199" w:type="dxa"/>
          </w:tcPr>
          <w:p w14:paraId="7792C2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ИДД 2М-105</w:t>
            </w:r>
          </w:p>
        </w:tc>
        <w:tc>
          <w:tcPr>
            <w:tcW w:w="3492" w:type="dxa"/>
          </w:tcPr>
          <w:p w14:paraId="543AC1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есть</w:t>
            </w:r>
          </w:p>
        </w:tc>
      </w:tr>
      <w:tr w:rsidR="00983732" w:rsidRPr="00A3026E" w14:paraId="36E335C3" w14:textId="77777777" w:rsidTr="00EA0DA7">
        <w:tc>
          <w:tcPr>
            <w:tcW w:w="2093" w:type="dxa"/>
          </w:tcPr>
          <w:p w14:paraId="7B4E424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045285A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6CDF01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 С/2 2М103</w:t>
            </w:r>
          </w:p>
        </w:tc>
        <w:tc>
          <w:tcPr>
            <w:tcW w:w="2199" w:type="dxa"/>
          </w:tcPr>
          <w:p w14:paraId="4249B2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ПБ 2М-107(в)</w:t>
            </w:r>
          </w:p>
        </w:tc>
        <w:tc>
          <w:tcPr>
            <w:tcW w:w="3492" w:type="dxa"/>
          </w:tcPr>
          <w:p w14:paraId="2060A6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65A852D0" w14:textId="77777777" w:rsidTr="00EA0DA7">
        <w:tc>
          <w:tcPr>
            <w:tcW w:w="2093" w:type="dxa"/>
          </w:tcPr>
          <w:p w14:paraId="459243F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1745670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5C8ED97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6F3903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 С ДБ с ВРП(в)</w:t>
            </w:r>
          </w:p>
        </w:tc>
        <w:tc>
          <w:tcPr>
            <w:tcW w:w="3492" w:type="dxa"/>
          </w:tcPr>
          <w:p w14:paraId="7944F6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5D51C3EF" w14:textId="77777777" w:rsidTr="00EA0DA7">
        <w:tc>
          <w:tcPr>
            <w:tcW w:w="2093" w:type="dxa"/>
          </w:tcPr>
          <w:p w14:paraId="057DD3C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47312C9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44886D6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40D9EC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 Р учебн. из</w:t>
            </w:r>
          </w:p>
        </w:tc>
        <w:tc>
          <w:tcPr>
            <w:tcW w:w="3492" w:type="dxa"/>
          </w:tcPr>
          <w:p w14:paraId="034DDE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00CB34ED" w14:textId="77777777" w:rsidTr="00EA0DA7">
        <w:tc>
          <w:tcPr>
            <w:tcW w:w="2093" w:type="dxa"/>
          </w:tcPr>
          <w:p w14:paraId="24D6824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54503E6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2576A4C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539C11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пластмассы (в)</w:t>
            </w:r>
          </w:p>
        </w:tc>
        <w:tc>
          <w:tcPr>
            <w:tcW w:w="3492" w:type="dxa"/>
          </w:tcPr>
          <w:p w14:paraId="256A79B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DF6ED78" w14:textId="77777777" w:rsidTr="00EA0DA7">
        <w:tc>
          <w:tcPr>
            <w:tcW w:w="2093" w:type="dxa"/>
          </w:tcPr>
          <w:p w14:paraId="0EBA0F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Незваль</w:t>
            </w:r>
          </w:p>
        </w:tc>
        <w:tc>
          <w:tcPr>
            <w:tcW w:w="1165" w:type="dxa"/>
          </w:tcPr>
          <w:p w14:paraId="12EC1D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w:t>
            </w:r>
          </w:p>
        </w:tc>
        <w:tc>
          <w:tcPr>
            <w:tcW w:w="1649" w:type="dxa"/>
          </w:tcPr>
          <w:p w14:paraId="072759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ТБ-7 4М-40</w:t>
            </w:r>
          </w:p>
        </w:tc>
        <w:tc>
          <w:tcPr>
            <w:tcW w:w="2199" w:type="dxa"/>
          </w:tcPr>
          <w:p w14:paraId="0BA5C8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3492" w:type="dxa"/>
          </w:tcPr>
          <w:p w14:paraId="720C53C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700EB1D" w14:textId="77777777" w:rsidTr="00EA0DA7">
        <w:tc>
          <w:tcPr>
            <w:tcW w:w="2093" w:type="dxa"/>
          </w:tcPr>
          <w:p w14:paraId="6500F3A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709120F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0AA9A96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29D38A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ТБ-7 4М-30</w:t>
            </w:r>
          </w:p>
        </w:tc>
        <w:tc>
          <w:tcPr>
            <w:tcW w:w="3492" w:type="dxa"/>
          </w:tcPr>
          <w:p w14:paraId="3363640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8160C2E" w14:textId="77777777" w:rsidTr="00EA0DA7">
        <w:tc>
          <w:tcPr>
            <w:tcW w:w="2093" w:type="dxa"/>
          </w:tcPr>
          <w:p w14:paraId="49485C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Лавочкин</w:t>
            </w:r>
          </w:p>
        </w:tc>
        <w:tc>
          <w:tcPr>
            <w:tcW w:w="1165" w:type="dxa"/>
          </w:tcPr>
          <w:p w14:paraId="78021D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301</w:t>
            </w:r>
          </w:p>
        </w:tc>
        <w:tc>
          <w:tcPr>
            <w:tcW w:w="1649" w:type="dxa"/>
          </w:tcPr>
          <w:p w14:paraId="043278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М-105ТК</w:t>
            </w:r>
          </w:p>
        </w:tc>
        <w:tc>
          <w:tcPr>
            <w:tcW w:w="2199" w:type="dxa"/>
          </w:tcPr>
          <w:p w14:paraId="1F5852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АМ-37</w:t>
            </w:r>
          </w:p>
        </w:tc>
        <w:tc>
          <w:tcPr>
            <w:tcW w:w="3492" w:type="dxa"/>
          </w:tcPr>
          <w:p w14:paraId="1A6036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есть</w:t>
            </w:r>
          </w:p>
        </w:tc>
      </w:tr>
      <w:tr w:rsidR="00983732" w:rsidRPr="00A3026E" w14:paraId="72DC7283" w14:textId="77777777" w:rsidTr="00EA0DA7">
        <w:tc>
          <w:tcPr>
            <w:tcW w:w="2093" w:type="dxa"/>
          </w:tcPr>
          <w:p w14:paraId="00DE2D3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667924B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50817D5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12B2F6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ОИ 2АМ-37</w:t>
            </w:r>
          </w:p>
        </w:tc>
        <w:tc>
          <w:tcPr>
            <w:tcW w:w="3492" w:type="dxa"/>
          </w:tcPr>
          <w:p w14:paraId="769FFD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4796D72B" w14:textId="77777777" w:rsidTr="00EA0DA7">
        <w:tc>
          <w:tcPr>
            <w:tcW w:w="2093" w:type="dxa"/>
          </w:tcPr>
          <w:p w14:paraId="0E2205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Грушин</w:t>
            </w:r>
          </w:p>
        </w:tc>
        <w:tc>
          <w:tcPr>
            <w:tcW w:w="1165" w:type="dxa"/>
          </w:tcPr>
          <w:p w14:paraId="4A39C7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649" w:type="dxa"/>
          </w:tcPr>
          <w:p w14:paraId="25A1CF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ББМАИ М105ТК</w:t>
            </w:r>
          </w:p>
        </w:tc>
        <w:tc>
          <w:tcPr>
            <w:tcW w:w="2199" w:type="dxa"/>
          </w:tcPr>
          <w:p w14:paraId="4B9B27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 2АМ-37</w:t>
            </w:r>
          </w:p>
        </w:tc>
        <w:tc>
          <w:tcPr>
            <w:tcW w:w="3492" w:type="dxa"/>
          </w:tcPr>
          <w:p w14:paraId="1A4441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есть</w:t>
            </w:r>
          </w:p>
        </w:tc>
      </w:tr>
      <w:tr w:rsidR="00983732" w:rsidRPr="00A3026E" w14:paraId="1C44DC52" w14:textId="77777777" w:rsidTr="00EA0DA7">
        <w:tc>
          <w:tcPr>
            <w:tcW w:w="2093" w:type="dxa"/>
          </w:tcPr>
          <w:p w14:paraId="00C955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Боровков, Флор.</w:t>
            </w:r>
          </w:p>
        </w:tc>
        <w:tc>
          <w:tcPr>
            <w:tcW w:w="1165" w:type="dxa"/>
          </w:tcPr>
          <w:p w14:paraId="46CECC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w:t>
            </w:r>
          </w:p>
        </w:tc>
        <w:tc>
          <w:tcPr>
            <w:tcW w:w="1649" w:type="dxa"/>
          </w:tcPr>
          <w:p w14:paraId="068EBD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И-207/4 М-63</w:t>
            </w:r>
          </w:p>
        </w:tc>
        <w:tc>
          <w:tcPr>
            <w:tcW w:w="2199" w:type="dxa"/>
          </w:tcPr>
          <w:p w14:paraId="2CF578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И-207/5 М-71</w:t>
            </w:r>
          </w:p>
        </w:tc>
        <w:tc>
          <w:tcPr>
            <w:tcW w:w="3492" w:type="dxa"/>
          </w:tcPr>
          <w:p w14:paraId="600E36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есть</w:t>
            </w:r>
          </w:p>
        </w:tc>
      </w:tr>
      <w:tr w:rsidR="00983732" w:rsidRPr="00A3026E" w14:paraId="44B2188D" w14:textId="77777777" w:rsidTr="00EA0DA7">
        <w:tc>
          <w:tcPr>
            <w:tcW w:w="2093" w:type="dxa"/>
          </w:tcPr>
          <w:p w14:paraId="18C4F4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Москалев</w:t>
            </w:r>
          </w:p>
        </w:tc>
        <w:tc>
          <w:tcPr>
            <w:tcW w:w="1165" w:type="dxa"/>
          </w:tcPr>
          <w:p w14:paraId="56F053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ОКБ-31</w:t>
            </w:r>
          </w:p>
        </w:tc>
        <w:tc>
          <w:tcPr>
            <w:tcW w:w="1649" w:type="dxa"/>
          </w:tcPr>
          <w:p w14:paraId="5CBE9A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САМ-13 2МВ-6</w:t>
            </w:r>
          </w:p>
        </w:tc>
        <w:tc>
          <w:tcPr>
            <w:tcW w:w="2199" w:type="dxa"/>
          </w:tcPr>
          <w:p w14:paraId="173729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УТМ-1 2МВ-6</w:t>
            </w:r>
          </w:p>
        </w:tc>
        <w:tc>
          <w:tcPr>
            <w:tcW w:w="3492" w:type="dxa"/>
          </w:tcPr>
          <w:p w14:paraId="3A32AA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0FD66172" w14:textId="77777777" w:rsidTr="00EA0DA7">
        <w:tc>
          <w:tcPr>
            <w:tcW w:w="2093" w:type="dxa"/>
          </w:tcPr>
          <w:p w14:paraId="7F64A7A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5381522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233915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САМ-11 МВ-6</w:t>
            </w:r>
          </w:p>
        </w:tc>
        <w:tc>
          <w:tcPr>
            <w:tcW w:w="2199" w:type="dxa"/>
          </w:tcPr>
          <w:p w14:paraId="5FEF5B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САМ-19 М-105(в)</w:t>
            </w:r>
          </w:p>
        </w:tc>
        <w:tc>
          <w:tcPr>
            <w:tcW w:w="3492" w:type="dxa"/>
          </w:tcPr>
          <w:p w14:paraId="7CA2E2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0AB19F49" w14:textId="77777777" w:rsidTr="00EA0DA7">
        <w:tc>
          <w:tcPr>
            <w:tcW w:w="2093" w:type="dxa"/>
          </w:tcPr>
          <w:p w14:paraId="2E651C1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77F2A73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3305F08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05E935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2М-103(в)</w:t>
            </w:r>
          </w:p>
        </w:tc>
        <w:tc>
          <w:tcPr>
            <w:tcW w:w="3492" w:type="dxa"/>
          </w:tcPr>
          <w:p w14:paraId="5EA8BE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4C3E24E2" w14:textId="77777777" w:rsidTr="00EA0DA7">
        <w:tc>
          <w:tcPr>
            <w:tcW w:w="2093" w:type="dxa"/>
          </w:tcPr>
          <w:p w14:paraId="5B3859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О.К.А.</w:t>
            </w:r>
          </w:p>
        </w:tc>
        <w:tc>
          <w:tcPr>
            <w:tcW w:w="1165" w:type="dxa"/>
          </w:tcPr>
          <w:p w14:paraId="1BCBCD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1649" w:type="dxa"/>
          </w:tcPr>
          <w:p w14:paraId="749FCF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СС МВ-6</w:t>
            </w:r>
          </w:p>
        </w:tc>
        <w:tc>
          <w:tcPr>
            <w:tcW w:w="2199" w:type="dxa"/>
          </w:tcPr>
          <w:p w14:paraId="31F6C1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3492" w:type="dxa"/>
          </w:tcPr>
          <w:p w14:paraId="6278B82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18CA1B4" w14:textId="77777777" w:rsidTr="00EA0DA7">
        <w:tc>
          <w:tcPr>
            <w:tcW w:w="2093" w:type="dxa"/>
          </w:tcPr>
          <w:p w14:paraId="0719D51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05105E7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600410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М-11</w:t>
            </w:r>
          </w:p>
        </w:tc>
        <w:tc>
          <w:tcPr>
            <w:tcW w:w="2199" w:type="dxa"/>
          </w:tcPr>
          <w:p w14:paraId="1703B8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3492" w:type="dxa"/>
          </w:tcPr>
          <w:p w14:paraId="04B8687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F5B015E" w14:textId="77777777" w:rsidTr="00EA0DA7">
        <w:tc>
          <w:tcPr>
            <w:tcW w:w="2093" w:type="dxa"/>
          </w:tcPr>
          <w:p w14:paraId="7B2455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Грибовский</w:t>
            </w:r>
          </w:p>
        </w:tc>
        <w:tc>
          <w:tcPr>
            <w:tcW w:w="1165" w:type="dxa"/>
          </w:tcPr>
          <w:p w14:paraId="3BF5AF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КБ-28</w:t>
            </w:r>
          </w:p>
        </w:tc>
        <w:tc>
          <w:tcPr>
            <w:tcW w:w="1649" w:type="dxa"/>
          </w:tcPr>
          <w:p w14:paraId="5B65E2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 МВ-6</w:t>
            </w:r>
          </w:p>
        </w:tc>
        <w:tc>
          <w:tcPr>
            <w:tcW w:w="2199" w:type="dxa"/>
          </w:tcPr>
          <w:p w14:paraId="6EAE33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 первонач.</w:t>
            </w:r>
          </w:p>
        </w:tc>
        <w:tc>
          <w:tcPr>
            <w:tcW w:w="3492" w:type="dxa"/>
          </w:tcPr>
          <w:p w14:paraId="2BEAF2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64CE54D3" w14:textId="77777777" w:rsidTr="00EA0DA7">
        <w:tc>
          <w:tcPr>
            <w:tcW w:w="2093" w:type="dxa"/>
          </w:tcPr>
          <w:p w14:paraId="115067B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54A8896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60AC737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52D73CE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492" w:type="dxa"/>
          </w:tcPr>
          <w:p w14:paraId="26494A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обуч. с М-16,</w:t>
            </w:r>
          </w:p>
        </w:tc>
      </w:tr>
      <w:tr w:rsidR="00983732" w:rsidRPr="00A3026E" w14:paraId="47E5710D" w14:textId="77777777" w:rsidTr="00EA0DA7">
        <w:tc>
          <w:tcPr>
            <w:tcW w:w="2093" w:type="dxa"/>
          </w:tcPr>
          <w:p w14:paraId="5A99141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3DA4B6B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73021D5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332D49E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492" w:type="dxa"/>
          </w:tcPr>
          <w:p w14:paraId="6B7A24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ГАЗ-11 или ВВА</w:t>
            </w:r>
          </w:p>
        </w:tc>
      </w:tr>
      <w:tr w:rsidR="00983732" w:rsidRPr="00A3026E" w14:paraId="46A6CD50" w14:textId="77777777" w:rsidTr="00EA0DA7">
        <w:tc>
          <w:tcPr>
            <w:tcW w:w="2093" w:type="dxa"/>
          </w:tcPr>
          <w:p w14:paraId="482EEB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Адлер</w:t>
            </w:r>
          </w:p>
        </w:tc>
        <w:tc>
          <w:tcPr>
            <w:tcW w:w="1165" w:type="dxa"/>
          </w:tcPr>
          <w:p w14:paraId="4B039C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c>
          <w:tcPr>
            <w:tcW w:w="1649" w:type="dxa"/>
          </w:tcPr>
          <w:p w14:paraId="64964D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эталон УТ-3</w:t>
            </w:r>
          </w:p>
        </w:tc>
        <w:tc>
          <w:tcPr>
            <w:tcW w:w="2199" w:type="dxa"/>
          </w:tcPr>
          <w:p w14:paraId="7519EB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УТ-23 МВ-6</w:t>
            </w:r>
          </w:p>
        </w:tc>
        <w:tc>
          <w:tcPr>
            <w:tcW w:w="3492" w:type="dxa"/>
          </w:tcPr>
          <w:p w14:paraId="7E63685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0A9EF2E" w14:textId="77777777" w:rsidTr="00EA0DA7">
        <w:tc>
          <w:tcPr>
            <w:tcW w:w="2093" w:type="dxa"/>
          </w:tcPr>
          <w:p w14:paraId="081F4BB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33A829D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5559AA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УТ-23 ВМ-6</w:t>
            </w:r>
          </w:p>
        </w:tc>
        <w:tc>
          <w:tcPr>
            <w:tcW w:w="2199" w:type="dxa"/>
          </w:tcPr>
          <w:p w14:paraId="6BE9B7C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492" w:type="dxa"/>
          </w:tcPr>
          <w:p w14:paraId="003B5EA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69CBBB5" w14:textId="77777777" w:rsidTr="00EA0DA7">
        <w:tc>
          <w:tcPr>
            <w:tcW w:w="2093" w:type="dxa"/>
          </w:tcPr>
          <w:p w14:paraId="12495D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Братухин</w:t>
            </w:r>
          </w:p>
        </w:tc>
        <w:tc>
          <w:tcPr>
            <w:tcW w:w="1165" w:type="dxa"/>
          </w:tcPr>
          <w:p w14:paraId="2382A8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МАИ</w:t>
            </w:r>
          </w:p>
        </w:tc>
        <w:tc>
          <w:tcPr>
            <w:tcW w:w="1649" w:type="dxa"/>
          </w:tcPr>
          <w:p w14:paraId="669760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2МВ-6</w:t>
            </w:r>
          </w:p>
        </w:tc>
        <w:tc>
          <w:tcPr>
            <w:tcW w:w="2199" w:type="dxa"/>
          </w:tcPr>
          <w:p w14:paraId="586DE2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3492" w:type="dxa"/>
          </w:tcPr>
          <w:p w14:paraId="0A980FA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D5B1704" w14:textId="77777777" w:rsidTr="00EA0DA7">
        <w:tc>
          <w:tcPr>
            <w:tcW w:w="2093" w:type="dxa"/>
          </w:tcPr>
          <w:p w14:paraId="45D9B9E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4CBE117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32B0B2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11ЭА - летные</w:t>
            </w:r>
          </w:p>
        </w:tc>
        <w:tc>
          <w:tcPr>
            <w:tcW w:w="2199" w:type="dxa"/>
          </w:tcPr>
          <w:p w14:paraId="3FB6583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492" w:type="dxa"/>
          </w:tcPr>
          <w:p w14:paraId="51643BE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37AE4DC" w14:textId="77777777" w:rsidTr="00EA0DA7">
        <w:tc>
          <w:tcPr>
            <w:tcW w:w="2093" w:type="dxa"/>
          </w:tcPr>
          <w:p w14:paraId="7A8E9ED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4C7156C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331B10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исследования</w:t>
            </w:r>
          </w:p>
        </w:tc>
        <w:tc>
          <w:tcPr>
            <w:tcW w:w="2199" w:type="dxa"/>
          </w:tcPr>
          <w:p w14:paraId="30436A9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492" w:type="dxa"/>
          </w:tcPr>
          <w:p w14:paraId="255CC83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F4FD734" w14:textId="77777777" w:rsidTr="00EA0DA7">
        <w:tc>
          <w:tcPr>
            <w:tcW w:w="2093" w:type="dxa"/>
          </w:tcPr>
          <w:p w14:paraId="4CAAD3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Камов</w:t>
            </w:r>
          </w:p>
        </w:tc>
        <w:tc>
          <w:tcPr>
            <w:tcW w:w="1165" w:type="dxa"/>
          </w:tcPr>
          <w:p w14:paraId="5073ED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1649" w:type="dxa"/>
          </w:tcPr>
          <w:p w14:paraId="0A6033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 МВ-6</w:t>
            </w:r>
          </w:p>
        </w:tc>
        <w:tc>
          <w:tcPr>
            <w:tcW w:w="2199" w:type="dxa"/>
          </w:tcPr>
          <w:p w14:paraId="27A815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Автожир с/ха(в)</w:t>
            </w:r>
          </w:p>
        </w:tc>
        <w:tc>
          <w:tcPr>
            <w:tcW w:w="3492" w:type="dxa"/>
          </w:tcPr>
          <w:p w14:paraId="764139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4BC3ABB6" w14:textId="77777777" w:rsidTr="00EA0DA7">
        <w:tc>
          <w:tcPr>
            <w:tcW w:w="2093" w:type="dxa"/>
          </w:tcPr>
          <w:p w14:paraId="74FFC8D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13C9EAD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44429C5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4A754A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Дов. А М-25В</w:t>
            </w:r>
          </w:p>
        </w:tc>
        <w:tc>
          <w:tcPr>
            <w:tcW w:w="3492" w:type="dxa"/>
          </w:tcPr>
          <w:p w14:paraId="10CAB6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99464F9" w14:textId="77777777" w:rsidTr="00EA0DA7">
        <w:tc>
          <w:tcPr>
            <w:tcW w:w="2093" w:type="dxa"/>
          </w:tcPr>
          <w:p w14:paraId="2C9F445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750E055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35F0A45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6BDE6D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 1937</w:t>
            </w:r>
          </w:p>
        </w:tc>
        <w:tc>
          <w:tcPr>
            <w:tcW w:w="3492" w:type="dxa"/>
          </w:tcPr>
          <w:p w14:paraId="4F0ABA2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201FCED" w14:textId="77777777" w:rsidTr="00EA0DA7">
        <w:tc>
          <w:tcPr>
            <w:tcW w:w="2093" w:type="dxa"/>
          </w:tcPr>
          <w:p w14:paraId="7CF2997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01F76C5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0C03F8E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0F71AC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Автож.-гелик.</w:t>
            </w:r>
          </w:p>
        </w:tc>
        <w:tc>
          <w:tcPr>
            <w:tcW w:w="3492" w:type="dxa"/>
          </w:tcPr>
          <w:p w14:paraId="16F5E2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34A117D4" w14:textId="77777777" w:rsidTr="00EA0DA7">
        <w:tc>
          <w:tcPr>
            <w:tcW w:w="2093" w:type="dxa"/>
          </w:tcPr>
          <w:p w14:paraId="5150F8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Самсонов</w:t>
            </w:r>
          </w:p>
        </w:tc>
        <w:tc>
          <w:tcPr>
            <w:tcW w:w="1165" w:type="dxa"/>
          </w:tcPr>
          <w:p w14:paraId="2A51E5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288</w:t>
            </w:r>
          </w:p>
        </w:tc>
        <w:tc>
          <w:tcPr>
            <w:tcW w:w="1649" w:type="dxa"/>
          </w:tcPr>
          <w:p w14:paraId="22D2F0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МДР-7 2М-88</w:t>
            </w:r>
          </w:p>
        </w:tc>
        <w:tc>
          <w:tcPr>
            <w:tcW w:w="2199" w:type="dxa"/>
          </w:tcPr>
          <w:p w14:paraId="1154EA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МДР-288 2М71(в)</w:t>
            </w:r>
          </w:p>
        </w:tc>
        <w:tc>
          <w:tcPr>
            <w:tcW w:w="3492" w:type="dxa"/>
          </w:tcPr>
          <w:p w14:paraId="01C66F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6137F316" w14:textId="77777777" w:rsidTr="00EA0DA7">
        <w:tc>
          <w:tcPr>
            <w:tcW w:w="2093" w:type="dxa"/>
          </w:tcPr>
          <w:p w14:paraId="231C02A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049D801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2948465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54BED9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МДР-288 2М30</w:t>
            </w:r>
          </w:p>
        </w:tc>
        <w:tc>
          <w:tcPr>
            <w:tcW w:w="3492" w:type="dxa"/>
          </w:tcPr>
          <w:p w14:paraId="389903E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690A815" w14:textId="77777777" w:rsidTr="00EA0DA7">
        <w:tc>
          <w:tcPr>
            <w:tcW w:w="2093" w:type="dxa"/>
          </w:tcPr>
          <w:p w14:paraId="3A756CF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45E2B8C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25D814E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6DA664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или 40</w:t>
            </w:r>
          </w:p>
        </w:tc>
        <w:tc>
          <w:tcPr>
            <w:tcW w:w="3492" w:type="dxa"/>
          </w:tcPr>
          <w:p w14:paraId="235D8A5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E30C3DB" w14:textId="77777777" w:rsidTr="00EA0DA7">
        <w:tc>
          <w:tcPr>
            <w:tcW w:w="2093" w:type="dxa"/>
          </w:tcPr>
          <w:p w14:paraId="068D19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Кочеригин</w:t>
            </w:r>
          </w:p>
        </w:tc>
        <w:tc>
          <w:tcPr>
            <w:tcW w:w="1165" w:type="dxa"/>
          </w:tcPr>
          <w:p w14:paraId="6E0D99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w:t>
            </w:r>
          </w:p>
        </w:tc>
        <w:tc>
          <w:tcPr>
            <w:tcW w:w="1649" w:type="dxa"/>
          </w:tcPr>
          <w:p w14:paraId="1ACB0A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ОПБ М-90</w:t>
            </w:r>
          </w:p>
        </w:tc>
        <w:tc>
          <w:tcPr>
            <w:tcW w:w="2199" w:type="dxa"/>
          </w:tcPr>
          <w:p w14:paraId="7A5261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Танков. 2-мот.</w:t>
            </w:r>
          </w:p>
        </w:tc>
        <w:tc>
          <w:tcPr>
            <w:tcW w:w="3492" w:type="dxa"/>
          </w:tcPr>
          <w:p w14:paraId="4565D1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47A7D288" w14:textId="77777777" w:rsidTr="00EA0DA7">
        <w:tc>
          <w:tcPr>
            <w:tcW w:w="2093" w:type="dxa"/>
          </w:tcPr>
          <w:p w14:paraId="5FD687B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44216BB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512D5AF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540689C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492" w:type="dxa"/>
          </w:tcPr>
          <w:p w14:paraId="19E029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истребитель</w:t>
            </w:r>
          </w:p>
        </w:tc>
      </w:tr>
      <w:tr w:rsidR="00983732" w:rsidRPr="00A3026E" w14:paraId="3BC8DDA2" w14:textId="77777777" w:rsidTr="00EA0DA7">
        <w:tc>
          <w:tcPr>
            <w:tcW w:w="2093" w:type="dxa"/>
          </w:tcPr>
          <w:p w14:paraId="0C4474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Пашинин</w:t>
            </w:r>
          </w:p>
        </w:tc>
        <w:tc>
          <w:tcPr>
            <w:tcW w:w="1165" w:type="dxa"/>
          </w:tcPr>
          <w:p w14:paraId="3948CF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1649" w:type="dxa"/>
          </w:tcPr>
          <w:p w14:paraId="3951EC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И-21 М-105П</w:t>
            </w:r>
          </w:p>
        </w:tc>
        <w:tc>
          <w:tcPr>
            <w:tcW w:w="2199" w:type="dxa"/>
          </w:tcPr>
          <w:p w14:paraId="16DA11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3492" w:type="dxa"/>
          </w:tcPr>
          <w:p w14:paraId="46EAE10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AEFA49D" w14:textId="77777777" w:rsidTr="00EA0DA7">
        <w:tc>
          <w:tcPr>
            <w:tcW w:w="2093" w:type="dxa"/>
          </w:tcPr>
          <w:p w14:paraId="23EB59E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16E3F84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42B7EE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И-21 М-107П</w:t>
            </w:r>
          </w:p>
        </w:tc>
        <w:tc>
          <w:tcPr>
            <w:tcW w:w="2199" w:type="dxa"/>
          </w:tcPr>
          <w:p w14:paraId="2555794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492" w:type="dxa"/>
          </w:tcPr>
          <w:p w14:paraId="5B1A4C5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E7DB730" w14:textId="77777777" w:rsidTr="00EA0DA7">
        <w:tc>
          <w:tcPr>
            <w:tcW w:w="2093" w:type="dxa"/>
          </w:tcPr>
          <w:p w14:paraId="768AC9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Голубков</w:t>
            </w:r>
          </w:p>
        </w:tc>
        <w:tc>
          <w:tcPr>
            <w:tcW w:w="1165" w:type="dxa"/>
          </w:tcPr>
          <w:p w14:paraId="4571F1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1649" w:type="dxa"/>
          </w:tcPr>
          <w:p w14:paraId="3F3D2D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СРБ 2М-120(в)</w:t>
            </w:r>
          </w:p>
        </w:tc>
        <w:tc>
          <w:tcPr>
            <w:tcW w:w="2199" w:type="dxa"/>
          </w:tcPr>
          <w:p w14:paraId="29065F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МДР-301 2М-30</w:t>
            </w:r>
          </w:p>
        </w:tc>
        <w:tc>
          <w:tcPr>
            <w:tcW w:w="3492" w:type="dxa"/>
          </w:tcPr>
          <w:p w14:paraId="7490B5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2589BE97" w14:textId="77777777" w:rsidTr="00EA0DA7">
        <w:tc>
          <w:tcPr>
            <w:tcW w:w="2093" w:type="dxa"/>
          </w:tcPr>
          <w:p w14:paraId="67E9B12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0B3D599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4BA1DEF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1BF2F0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или 2М-40</w:t>
            </w:r>
          </w:p>
        </w:tc>
        <w:tc>
          <w:tcPr>
            <w:tcW w:w="3492" w:type="dxa"/>
          </w:tcPr>
          <w:p w14:paraId="520F06E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E701B19" w14:textId="77777777" w:rsidTr="00EA0DA7">
        <w:tc>
          <w:tcPr>
            <w:tcW w:w="2093" w:type="dxa"/>
          </w:tcPr>
          <w:p w14:paraId="306170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группа</w:t>
            </w:r>
          </w:p>
        </w:tc>
        <w:tc>
          <w:tcPr>
            <w:tcW w:w="1165" w:type="dxa"/>
          </w:tcPr>
          <w:p w14:paraId="25233A6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5384405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13A5D31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492" w:type="dxa"/>
          </w:tcPr>
          <w:p w14:paraId="5B9F6EF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554A582" w14:textId="77777777" w:rsidTr="00EA0DA7">
        <w:tc>
          <w:tcPr>
            <w:tcW w:w="2093" w:type="dxa"/>
          </w:tcPr>
          <w:p w14:paraId="7DCC58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Яценко</w:t>
            </w:r>
          </w:p>
        </w:tc>
        <w:tc>
          <w:tcPr>
            <w:tcW w:w="1165" w:type="dxa"/>
          </w:tcPr>
          <w:p w14:paraId="235D15B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45161A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М-90</w:t>
            </w:r>
          </w:p>
        </w:tc>
        <w:tc>
          <w:tcPr>
            <w:tcW w:w="2199" w:type="dxa"/>
          </w:tcPr>
          <w:p w14:paraId="7BFC68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И-29 М-90</w:t>
            </w:r>
          </w:p>
        </w:tc>
        <w:tc>
          <w:tcPr>
            <w:tcW w:w="3492" w:type="dxa"/>
          </w:tcPr>
          <w:p w14:paraId="1D3A01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есть</w:t>
            </w:r>
          </w:p>
        </w:tc>
      </w:tr>
      <w:tr w:rsidR="00983732" w:rsidRPr="00A3026E" w14:paraId="71A76325" w14:textId="77777777" w:rsidTr="00EA0DA7">
        <w:tc>
          <w:tcPr>
            <w:tcW w:w="2093" w:type="dxa"/>
          </w:tcPr>
          <w:p w14:paraId="2B5E44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Беляев</w:t>
            </w:r>
          </w:p>
        </w:tc>
        <w:tc>
          <w:tcPr>
            <w:tcW w:w="1165" w:type="dxa"/>
          </w:tcPr>
          <w:p w14:paraId="5A87AD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w:t>
            </w:r>
          </w:p>
        </w:tc>
        <w:tc>
          <w:tcPr>
            <w:tcW w:w="1649" w:type="dxa"/>
          </w:tcPr>
          <w:p w14:paraId="2222E8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ЭОИ М-105ТК</w:t>
            </w:r>
          </w:p>
        </w:tc>
        <w:tc>
          <w:tcPr>
            <w:tcW w:w="2199" w:type="dxa"/>
          </w:tcPr>
          <w:p w14:paraId="304C2E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3492" w:type="dxa"/>
          </w:tcPr>
          <w:p w14:paraId="75AFBB0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ACABD53" w14:textId="77777777" w:rsidTr="00EA0DA7">
        <w:tc>
          <w:tcPr>
            <w:tcW w:w="2093" w:type="dxa"/>
          </w:tcPr>
          <w:p w14:paraId="3D936D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Курбала</w:t>
            </w:r>
          </w:p>
        </w:tc>
        <w:tc>
          <w:tcPr>
            <w:tcW w:w="1165" w:type="dxa"/>
          </w:tcPr>
          <w:p w14:paraId="5BE2E9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tc>
        <w:tc>
          <w:tcPr>
            <w:tcW w:w="1649" w:type="dxa"/>
          </w:tcPr>
          <w:p w14:paraId="2B33FF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БПБ-22 2М-105</w:t>
            </w:r>
          </w:p>
        </w:tc>
        <w:tc>
          <w:tcPr>
            <w:tcW w:w="2199" w:type="dxa"/>
          </w:tcPr>
          <w:p w14:paraId="04ED61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3492" w:type="dxa"/>
          </w:tcPr>
          <w:p w14:paraId="21D31B4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9EB0C5E" w14:textId="77777777" w:rsidTr="00EA0DA7">
        <w:tc>
          <w:tcPr>
            <w:tcW w:w="2093" w:type="dxa"/>
          </w:tcPr>
          <w:p w14:paraId="0ECDF2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Мосолов</w:t>
            </w:r>
          </w:p>
        </w:tc>
        <w:tc>
          <w:tcPr>
            <w:tcW w:w="1165" w:type="dxa"/>
          </w:tcPr>
          <w:p w14:paraId="0DCA6D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c>
          <w:tcPr>
            <w:tcW w:w="1649" w:type="dxa"/>
          </w:tcPr>
          <w:p w14:paraId="29DC7B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ПС-84 с гусен.</w:t>
            </w:r>
          </w:p>
        </w:tc>
        <w:tc>
          <w:tcPr>
            <w:tcW w:w="2199" w:type="dxa"/>
          </w:tcPr>
          <w:p w14:paraId="0A8357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 2М-30(в)</w:t>
            </w:r>
          </w:p>
        </w:tc>
        <w:tc>
          <w:tcPr>
            <w:tcW w:w="3492" w:type="dxa"/>
          </w:tcPr>
          <w:p w14:paraId="6BD0F2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есть</w:t>
            </w:r>
          </w:p>
        </w:tc>
      </w:tr>
      <w:tr w:rsidR="00983732" w:rsidRPr="00A3026E" w14:paraId="3523179B" w14:textId="77777777" w:rsidTr="00EA0DA7">
        <w:tc>
          <w:tcPr>
            <w:tcW w:w="2093" w:type="dxa"/>
          </w:tcPr>
          <w:p w14:paraId="594661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Щербаков</w:t>
            </w:r>
          </w:p>
        </w:tc>
        <w:tc>
          <w:tcPr>
            <w:tcW w:w="1165" w:type="dxa"/>
          </w:tcPr>
          <w:p w14:paraId="7C0896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289</w:t>
            </w:r>
          </w:p>
        </w:tc>
        <w:tc>
          <w:tcPr>
            <w:tcW w:w="1649" w:type="dxa"/>
          </w:tcPr>
          <w:p w14:paraId="7073A4A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1F81B8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ГК в ИВС</w:t>
            </w:r>
          </w:p>
        </w:tc>
        <w:tc>
          <w:tcPr>
            <w:tcW w:w="3492" w:type="dxa"/>
          </w:tcPr>
          <w:p w14:paraId="4E9B41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есть</w:t>
            </w:r>
          </w:p>
        </w:tc>
      </w:tr>
      <w:tr w:rsidR="00983732" w:rsidRPr="00A3026E" w14:paraId="0CF06C1C" w14:textId="77777777" w:rsidTr="00EA0DA7">
        <w:tc>
          <w:tcPr>
            <w:tcW w:w="2093" w:type="dxa"/>
          </w:tcPr>
          <w:p w14:paraId="1E4D69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Бисноват</w:t>
            </w:r>
          </w:p>
        </w:tc>
        <w:tc>
          <w:tcPr>
            <w:tcW w:w="1165" w:type="dxa"/>
          </w:tcPr>
          <w:p w14:paraId="1AD920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ЦАГИ</w:t>
            </w:r>
          </w:p>
        </w:tc>
        <w:tc>
          <w:tcPr>
            <w:tcW w:w="1649" w:type="dxa"/>
          </w:tcPr>
          <w:p w14:paraId="16AF43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 М-105</w:t>
            </w:r>
          </w:p>
        </w:tc>
        <w:tc>
          <w:tcPr>
            <w:tcW w:w="2199" w:type="dxa"/>
          </w:tcPr>
          <w:p w14:paraId="5CC8E8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СК-Э(в)</w:t>
            </w:r>
          </w:p>
        </w:tc>
        <w:tc>
          <w:tcPr>
            <w:tcW w:w="3492" w:type="dxa"/>
          </w:tcPr>
          <w:p w14:paraId="228615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есть</w:t>
            </w:r>
          </w:p>
        </w:tc>
      </w:tr>
      <w:tr w:rsidR="00983732" w:rsidRPr="00A3026E" w14:paraId="63F1F4C5" w14:textId="77777777" w:rsidTr="00EA0DA7">
        <w:tc>
          <w:tcPr>
            <w:tcW w:w="2093" w:type="dxa"/>
          </w:tcPr>
          <w:p w14:paraId="7E7037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Шевченко</w:t>
            </w:r>
          </w:p>
        </w:tc>
        <w:tc>
          <w:tcPr>
            <w:tcW w:w="1165" w:type="dxa"/>
          </w:tcPr>
          <w:p w14:paraId="320F09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ОКБ-30</w:t>
            </w:r>
          </w:p>
        </w:tc>
        <w:tc>
          <w:tcPr>
            <w:tcW w:w="1649" w:type="dxa"/>
          </w:tcPr>
          <w:p w14:paraId="05E14E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 М-63 и М-88</w:t>
            </w:r>
          </w:p>
        </w:tc>
        <w:tc>
          <w:tcPr>
            <w:tcW w:w="2199" w:type="dxa"/>
          </w:tcPr>
          <w:p w14:paraId="2F8ACE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3492" w:type="dxa"/>
          </w:tcPr>
          <w:p w14:paraId="7B2C0CB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23865D4" w14:textId="77777777" w:rsidTr="00EA0DA7">
        <w:tc>
          <w:tcPr>
            <w:tcW w:w="2093" w:type="dxa"/>
          </w:tcPr>
          <w:p w14:paraId="54480D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Никитин</w:t>
            </w:r>
          </w:p>
        </w:tc>
        <w:tc>
          <w:tcPr>
            <w:tcW w:w="1165" w:type="dxa"/>
          </w:tcPr>
          <w:p w14:paraId="6B32ED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ОКБ-30</w:t>
            </w:r>
          </w:p>
        </w:tc>
        <w:tc>
          <w:tcPr>
            <w:tcW w:w="1649" w:type="dxa"/>
          </w:tcPr>
          <w:p w14:paraId="1BC99B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 М-63 и М-88</w:t>
            </w:r>
          </w:p>
        </w:tc>
        <w:tc>
          <w:tcPr>
            <w:tcW w:w="2199" w:type="dxa"/>
          </w:tcPr>
          <w:p w14:paraId="204FE7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3492" w:type="dxa"/>
          </w:tcPr>
          <w:p w14:paraId="346FDB2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ED95D35" w14:textId="77777777" w:rsidTr="00EA0DA7">
        <w:tc>
          <w:tcPr>
            <w:tcW w:w="2093" w:type="dxa"/>
          </w:tcPr>
          <w:p w14:paraId="08A741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Смолин</w:t>
            </w:r>
          </w:p>
        </w:tc>
        <w:tc>
          <w:tcPr>
            <w:tcW w:w="1165" w:type="dxa"/>
          </w:tcPr>
          <w:p w14:paraId="139B8E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1649" w:type="dxa"/>
          </w:tcPr>
          <w:p w14:paraId="51A969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УПО ГАЗ-85</w:t>
            </w:r>
          </w:p>
        </w:tc>
        <w:tc>
          <w:tcPr>
            <w:tcW w:w="2199" w:type="dxa"/>
          </w:tcPr>
          <w:p w14:paraId="6B2FED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УПОМ 16</w:t>
            </w:r>
          </w:p>
        </w:tc>
        <w:tc>
          <w:tcPr>
            <w:tcW w:w="3492" w:type="dxa"/>
          </w:tcPr>
          <w:p w14:paraId="28B1FA3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7EA6BC4" w14:textId="77777777" w:rsidTr="00EA0DA7">
        <w:tc>
          <w:tcPr>
            <w:tcW w:w="2093" w:type="dxa"/>
          </w:tcPr>
          <w:p w14:paraId="03D9A7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Горбунов</w:t>
            </w:r>
          </w:p>
        </w:tc>
        <w:tc>
          <w:tcPr>
            <w:tcW w:w="1165" w:type="dxa"/>
          </w:tcPr>
          <w:p w14:paraId="50072C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301</w:t>
            </w:r>
          </w:p>
        </w:tc>
        <w:tc>
          <w:tcPr>
            <w:tcW w:w="1649" w:type="dxa"/>
          </w:tcPr>
          <w:p w14:paraId="3E3E54F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784E45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ПБ АМ-37(в)</w:t>
            </w:r>
          </w:p>
        </w:tc>
        <w:tc>
          <w:tcPr>
            <w:tcW w:w="3492" w:type="dxa"/>
          </w:tcPr>
          <w:p w14:paraId="6DC920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есть</w:t>
            </w:r>
          </w:p>
        </w:tc>
      </w:tr>
      <w:tr w:rsidR="00983732" w:rsidRPr="00A3026E" w14:paraId="4989908D" w14:textId="77777777" w:rsidTr="00EA0DA7">
        <w:tc>
          <w:tcPr>
            <w:tcW w:w="2093" w:type="dxa"/>
          </w:tcPr>
          <w:p w14:paraId="573527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Гудков</w:t>
            </w:r>
          </w:p>
        </w:tc>
        <w:tc>
          <w:tcPr>
            <w:tcW w:w="1165" w:type="dxa"/>
          </w:tcPr>
          <w:p w14:paraId="2D2715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301</w:t>
            </w:r>
          </w:p>
        </w:tc>
        <w:tc>
          <w:tcPr>
            <w:tcW w:w="1649" w:type="dxa"/>
          </w:tcPr>
          <w:p w14:paraId="4F7C46A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Pr>
          <w:p w14:paraId="6DAEF4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АМ-37</w:t>
            </w:r>
          </w:p>
        </w:tc>
        <w:tc>
          <w:tcPr>
            <w:tcW w:w="3492" w:type="dxa"/>
          </w:tcPr>
          <w:p w14:paraId="6BE19E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есть</w:t>
            </w:r>
          </w:p>
        </w:tc>
      </w:tr>
      <w:tr w:rsidR="00983732" w:rsidRPr="00A3026E" w14:paraId="23A9F875" w14:textId="77777777" w:rsidTr="00EA0DA7">
        <w:tc>
          <w:tcPr>
            <w:tcW w:w="2093" w:type="dxa"/>
            <w:tcBorders>
              <w:bottom w:val="single" w:sz="12" w:space="0" w:color="auto"/>
            </w:tcBorders>
          </w:tcPr>
          <w:p w14:paraId="3D7B50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Бакшаев</w:t>
            </w:r>
          </w:p>
        </w:tc>
        <w:tc>
          <w:tcPr>
            <w:tcW w:w="1165" w:type="dxa"/>
            <w:tcBorders>
              <w:bottom w:val="single" w:sz="12" w:space="0" w:color="auto"/>
            </w:tcBorders>
          </w:tcPr>
          <w:p w14:paraId="3EBEED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c>
          <w:tcPr>
            <w:tcW w:w="1649" w:type="dxa"/>
            <w:tcBorders>
              <w:bottom w:val="single" w:sz="12" w:space="0" w:color="auto"/>
            </w:tcBorders>
          </w:tcPr>
          <w:p w14:paraId="3DB16D0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99" w:type="dxa"/>
            <w:tcBorders>
              <w:bottom w:val="single" w:sz="12" w:space="0" w:color="auto"/>
            </w:tcBorders>
          </w:tcPr>
          <w:p w14:paraId="5AAF80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(2090,202)</w:t>
            </w:r>
          </w:p>
        </w:tc>
        <w:tc>
          <w:tcPr>
            <w:tcW w:w="3492" w:type="dxa"/>
            <w:tcBorders>
              <w:bottom w:val="single" w:sz="12" w:space="0" w:color="auto"/>
            </w:tcBorders>
          </w:tcPr>
          <w:p w14:paraId="19E93BD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4AAD675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96134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приказом НКАП вместо Туманского был назначен Е.В.Урмин на 29 заводе (862,25).</w:t>
      </w:r>
    </w:p>
    <w:p w14:paraId="212783B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F5CB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года постановление № 400сс КО</w:t>
      </w:r>
    </w:p>
    <w:p w14:paraId="079BC8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изменении профиля завода № 336 Наркомавиапрома</w:t>
      </w:r>
    </w:p>
    <w:p w14:paraId="7E6EE0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изменение постановления КО за № 154сс от 11 июня 1939 года, КО постановляет:</w:t>
      </w:r>
    </w:p>
    <w:p w14:paraId="7E9923C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Разрешить Наркомавиапрому изменить профиль авиамоторного завода № 336 в Саратове с моторов воздушного охлаждения типа М-90 на моторы водяного охлаждения, с мощностью 3000 моторов типа М-120 или 5000 моторов типа М-105 в год, при двухсменной работе, 8-ми часовом рабочем дне и семидневной неделе.</w:t>
      </w:r>
    </w:p>
    <w:p w14:paraId="53FFA38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Установить срок ввода в эксплуатацию завода № 336 в Саратове – IV квартал 1942 года.</w:t>
      </w:r>
    </w:p>
    <w:p w14:paraId="1131381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Отменить решение о строительстве авиамоторных заводов № 333 в Комсомольске и № 334 в Иркутске (7595, 230).</w:t>
      </w:r>
    </w:p>
    <w:p w14:paraId="284210E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8FC8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года вышло Постановления СНК за № 399 и 14 ноября 1940 года приказ по ГУВФ № 614/105 о передаче завода № 85 НКАП (заводу № 82), последнему передана территория, имущественно-материальные ценности …………(7703).</w:t>
      </w:r>
    </w:p>
    <w:p w14:paraId="6BFF917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67D16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года, так как строительство Куйбышевского авиакомплекса требовало гигантских затрат, было временно приостановлено строительство Куйбышевского гидроузла, осуществляемое силами Самарского ИТЛ (Самарлаг), и он был закрыт а его рабочая сила (кроме 8000 заключенных, инженерно-технического и административно-хозяйственного состава) была передана в распоряжение Особстроя. Численность заключенных в последнем на 1 января 1941 года составляла 42903 человека. В дальнейшем она продолжала стремительно расти, составив к 1 июля 1941 года 91211 человек и достигнув пика в 93724 человека к 15 августа 1941 года (Система исправительно-трудовых лагерей в СССР, 1923 – 1960: Справочник. С. 126, 159-160, 370-371.). Бессменным начальником Управления Особого строительства НКВД СССР (Управления по строительству авиационных заводов) с августа 1940 года стал старший майор госбезопасности А.П. Лепилов, который в сентябре 1939-го – августе 1940 года был заместителем начальника ГУЛАГа НКВД СССР (Петров Н.В., Скоркин К.В. Кто руководил НКВД, 1934 – 1941. С. 269.). К началу войны с Германией строительство нового авиакомплекса не было завершено, но его инфраструктура уже существовала, что позволило в годы войны оперативно перебросить туда оборудование эвакуированных авиастроительных и моторостроительных предприятий (11672).</w:t>
      </w:r>
    </w:p>
    <w:p w14:paraId="47E02E0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E51C8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в НИИ АВ закончились полигонные испытания 23-мм автоматической пушки ТКБ-201 конструкции А.А.Волкова и С.А.Ярцева - будущей ВЯ (1248,117).</w:t>
      </w:r>
    </w:p>
    <w:p w14:paraId="22823B2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92383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года за № 56/532 вышло поручение О.Б. ЦК ВКП(б) Выписка из протокола № 56 с запиской Тельнова, Козлова, Чушкина и Орлова о новой конструкции и новом методе снаряжения осколочной авиабомбы (7479, 112-116).</w:t>
      </w:r>
    </w:p>
    <w:p w14:paraId="626D6BC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A3D82D0"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октября 1940 г. состоялся одновремен</w:t>
      </w:r>
      <w:r w:rsidRPr="00A3026E">
        <w:rPr>
          <w:rFonts w:ascii="Times New Roman" w:hAnsi="Times New Roman"/>
          <w:color w:val="0070C0"/>
          <w:sz w:val="16"/>
          <w:szCs w:val="16"/>
        </w:rPr>
        <w:softHyphen/>
        <w:t>ный полёт двух аэростатов одинакового объёма (по 900 м3). Экипаж аэростата «СССР ВР-72» включал пилота С.А. Зиновеева и научного со</w:t>
      </w:r>
      <w:r w:rsidRPr="00A3026E">
        <w:rPr>
          <w:rFonts w:ascii="Times New Roman" w:hAnsi="Times New Roman"/>
          <w:color w:val="0070C0"/>
          <w:sz w:val="16"/>
          <w:szCs w:val="16"/>
        </w:rPr>
        <w:softHyphen/>
        <w:t>трудника В.А. Белинского. Экипаж «СССР ВР- 63» состоял из пилота К.П. Сверщека и научного сотрудника П.Ф. Зайчикова. Аэростаты в полёте имели связь с помощью коротковолновой ради</w:t>
      </w:r>
      <w:r w:rsidRPr="00A3026E">
        <w:rPr>
          <w:rFonts w:ascii="Times New Roman" w:hAnsi="Times New Roman"/>
          <w:color w:val="0070C0"/>
          <w:sz w:val="16"/>
          <w:szCs w:val="16"/>
        </w:rPr>
        <w:softHyphen/>
        <w:t>останции.</w:t>
      </w:r>
    </w:p>
    <w:p w14:paraId="04D04D58"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1941 г. в КБ под руководством В.С. Хахалина предполагалось из</w:t>
      </w:r>
      <w:r w:rsidRPr="00A3026E">
        <w:rPr>
          <w:rFonts w:ascii="Times New Roman" w:hAnsi="Times New Roman"/>
          <w:color w:val="0070C0"/>
          <w:sz w:val="16"/>
          <w:szCs w:val="16"/>
        </w:rPr>
        <w:softHyphen/>
        <w:t>готовить специальные метеорографы (бортовой и лебёдочный) для исследования атмосферы со свободного аэростата, а также испытать метеоро</w:t>
      </w:r>
      <w:r w:rsidRPr="00A3026E">
        <w:rPr>
          <w:rFonts w:ascii="Times New Roman" w:hAnsi="Times New Roman"/>
          <w:color w:val="0070C0"/>
          <w:sz w:val="16"/>
          <w:szCs w:val="16"/>
        </w:rPr>
        <w:softHyphen/>
        <w:t>граф облегчённого типа для учащённого зонди</w:t>
      </w:r>
      <w:r w:rsidRPr="00A3026E">
        <w:rPr>
          <w:rFonts w:ascii="Times New Roman" w:hAnsi="Times New Roman"/>
          <w:color w:val="0070C0"/>
          <w:sz w:val="16"/>
          <w:szCs w:val="16"/>
        </w:rPr>
        <w:softHyphen/>
        <w:t>рования и для сбрасывания с аэростата.</w:t>
      </w:r>
    </w:p>
    <w:p w14:paraId="4633CC09"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«СССР ВР-63» стартовал в 10.42 с площадки Аэрологической обсерватории на ст. Долгопруд</w:t>
      </w:r>
      <w:r w:rsidRPr="00A3026E">
        <w:rPr>
          <w:rFonts w:ascii="Times New Roman" w:hAnsi="Times New Roman"/>
          <w:color w:val="0070C0"/>
          <w:sz w:val="16"/>
          <w:szCs w:val="16"/>
        </w:rPr>
        <w:softHyphen/>
        <w:t>ная. Находясь в облачном слое на высоте 470 м, аэростат в первый раз уравновесился. «СССР ВР- 72» стартовал в 10.44, а в 10.54 вышел на верх</w:t>
      </w:r>
      <w:r w:rsidRPr="00A3026E">
        <w:rPr>
          <w:rFonts w:ascii="Times New Roman" w:hAnsi="Times New Roman"/>
          <w:color w:val="0070C0"/>
          <w:sz w:val="16"/>
          <w:szCs w:val="16"/>
        </w:rPr>
        <w:softHyphen/>
        <w:t>нюю границу слоистых облаков. Небо было го</w:t>
      </w:r>
      <w:r w:rsidRPr="00A3026E">
        <w:rPr>
          <w:rFonts w:ascii="Times New Roman" w:hAnsi="Times New Roman"/>
          <w:color w:val="0070C0"/>
          <w:sz w:val="16"/>
          <w:szCs w:val="16"/>
        </w:rPr>
        <w:softHyphen/>
        <w:t>лубым, на уровне облаков виднелся купол аэро</w:t>
      </w:r>
      <w:r w:rsidRPr="00A3026E">
        <w:rPr>
          <w:rFonts w:ascii="Times New Roman" w:hAnsi="Times New Roman"/>
          <w:color w:val="0070C0"/>
          <w:sz w:val="16"/>
          <w:szCs w:val="16"/>
        </w:rPr>
        <w:softHyphen/>
        <w:t>стата «СССР ВР-63».</w:t>
      </w:r>
    </w:p>
    <w:p w14:paraId="4C274F68"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«СССР ВР-63» с 11.00 час находился на высоте 470 м на верхней границе облаков, затем час — на высоте 1600 м, два часа — на высоте 2000 м, и 40 минут — на высоте 2600 м. В 17.50 он сел близ пос. Новинки, Кашинского района Москов</w:t>
      </w:r>
      <w:r w:rsidRPr="00A3026E">
        <w:rPr>
          <w:rFonts w:ascii="Times New Roman" w:hAnsi="Times New Roman"/>
          <w:color w:val="0070C0"/>
          <w:sz w:val="16"/>
          <w:szCs w:val="16"/>
        </w:rPr>
        <w:softHyphen/>
        <w:t>ской области.</w:t>
      </w:r>
    </w:p>
    <w:p w14:paraId="1B1E3654"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«СССР ВР-72» с 11.00 в течение часа набирал высоту до 800 м, а затем снизился до верхней гра</w:t>
      </w:r>
      <w:r w:rsidRPr="00A3026E">
        <w:rPr>
          <w:rFonts w:ascii="Times New Roman" w:hAnsi="Times New Roman"/>
          <w:color w:val="0070C0"/>
          <w:sz w:val="16"/>
          <w:szCs w:val="16"/>
        </w:rPr>
        <w:softHyphen/>
        <w:t>ницы облаков, где и оставался до 14.00. Затем за 2,5 часа он постепенно поднялся на высоту 3100 м, после чего стал спускаться с остановками на 1000 и 500 м. В 18.00 аэростат опустился близ д. Итьково, Кашинского района Московской об</w:t>
      </w:r>
      <w:r w:rsidRPr="00A3026E">
        <w:rPr>
          <w:rFonts w:ascii="Times New Roman" w:hAnsi="Times New Roman"/>
          <w:color w:val="0070C0"/>
          <w:sz w:val="16"/>
          <w:szCs w:val="16"/>
        </w:rPr>
        <w:softHyphen/>
        <w:t>ласти. Полёт продолжался около семи часов. Оба аэростата приземлились в 2 км друг от друга.</w:t>
      </w:r>
    </w:p>
    <w:p w14:paraId="7116FD6B"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 время полёта производились измере</w:t>
      </w:r>
      <w:r w:rsidRPr="00A3026E">
        <w:rPr>
          <w:rFonts w:ascii="Times New Roman" w:hAnsi="Times New Roman"/>
          <w:color w:val="0070C0"/>
          <w:sz w:val="16"/>
          <w:szCs w:val="16"/>
        </w:rPr>
        <w:softHyphen/>
        <w:t>ния: температуры и влажности по психрометру Ассмана, взаимного расстояния между шарами с помощью артиллерийских биноклей и взаим</w:t>
      </w:r>
      <w:r w:rsidRPr="00A3026E">
        <w:rPr>
          <w:rFonts w:ascii="Times New Roman" w:hAnsi="Times New Roman"/>
          <w:color w:val="0070C0"/>
          <w:sz w:val="16"/>
          <w:szCs w:val="16"/>
        </w:rPr>
        <w:softHyphen/>
        <w:t>ной видимости приборами Виганда. Кроме того, на «СССР ВР-63» велась непрерывная запись тем</w:t>
      </w:r>
      <w:r w:rsidRPr="00A3026E">
        <w:rPr>
          <w:rFonts w:ascii="Times New Roman" w:hAnsi="Times New Roman"/>
          <w:color w:val="0070C0"/>
          <w:sz w:val="16"/>
          <w:szCs w:val="16"/>
        </w:rPr>
        <w:softHyphen/>
        <w:t>пературы и давления термобарографом, подве</w:t>
      </w:r>
      <w:r w:rsidRPr="00A3026E">
        <w:rPr>
          <w:rFonts w:ascii="Times New Roman" w:hAnsi="Times New Roman"/>
          <w:color w:val="0070C0"/>
          <w:sz w:val="16"/>
          <w:szCs w:val="16"/>
        </w:rPr>
        <w:softHyphen/>
        <w:t>шенным на поясной стропе на уровне корзины в 6-7 м от борта. На «СССР ВР-72» проводилось зондирование атмосферы метеорографом, снаб</w:t>
      </w:r>
      <w:r w:rsidRPr="00A3026E">
        <w:rPr>
          <w:rFonts w:ascii="Times New Roman" w:hAnsi="Times New Roman"/>
          <w:color w:val="0070C0"/>
          <w:sz w:val="16"/>
          <w:szCs w:val="16"/>
        </w:rPr>
        <w:softHyphen/>
        <w:t>жённым для устойчивости флюгаркой и до</w:t>
      </w:r>
      <w:r w:rsidRPr="00A3026E">
        <w:rPr>
          <w:rFonts w:ascii="Times New Roman" w:hAnsi="Times New Roman"/>
          <w:color w:val="0070C0"/>
          <w:sz w:val="16"/>
          <w:szCs w:val="16"/>
        </w:rPr>
        <w:softHyphen/>
        <w:t>полнительными приспособлениями для записи вектора разности скорости ветра на уровне аэро</w:t>
      </w:r>
      <w:r w:rsidRPr="00A3026E">
        <w:rPr>
          <w:rFonts w:ascii="Times New Roman" w:hAnsi="Times New Roman"/>
          <w:color w:val="0070C0"/>
          <w:sz w:val="16"/>
          <w:szCs w:val="16"/>
        </w:rPr>
        <w:softHyphen/>
        <w:t>стата и на уровне спущенного вниз метеорогра</w:t>
      </w:r>
      <w:r w:rsidRPr="00A3026E">
        <w:rPr>
          <w:rFonts w:ascii="Times New Roman" w:hAnsi="Times New Roman"/>
          <w:color w:val="0070C0"/>
          <w:sz w:val="16"/>
          <w:szCs w:val="16"/>
        </w:rPr>
        <w:softHyphen/>
        <w:t>фа. На «СССР ВР-63» испытывалась оптическая труба для производства дистанционных отсчётов психрометра.</w:t>
      </w:r>
    </w:p>
    <w:p w14:paraId="1A04E7F6"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Выяснилось, что психрометр Ассмана — один из немногих портативных и в то же вре</w:t>
      </w:r>
      <w:r w:rsidRPr="00A3026E">
        <w:rPr>
          <w:rFonts w:ascii="Times New Roman" w:hAnsi="Times New Roman"/>
          <w:color w:val="0070C0"/>
          <w:sz w:val="16"/>
          <w:szCs w:val="16"/>
        </w:rPr>
        <w:softHyphen/>
        <w:t>мя достаточно точных приборов, употребляв</w:t>
      </w:r>
      <w:r w:rsidRPr="00A3026E">
        <w:rPr>
          <w:rFonts w:ascii="Times New Roman" w:hAnsi="Times New Roman"/>
          <w:color w:val="0070C0"/>
          <w:sz w:val="16"/>
          <w:szCs w:val="16"/>
        </w:rPr>
        <w:softHyphen/>
        <w:t>шихся при метеорологических наблюдениях, нельзя применять для измерений при подъёме и спуске аэростата, так как в этом случае сухой и смоченный термометры омываются воздухом, аспирируемым с разных уровней и обладаю</w:t>
      </w:r>
      <w:r w:rsidRPr="00A3026E">
        <w:rPr>
          <w:rFonts w:ascii="Times New Roman" w:hAnsi="Times New Roman"/>
          <w:color w:val="0070C0"/>
          <w:sz w:val="16"/>
          <w:szCs w:val="16"/>
        </w:rPr>
        <w:softHyphen/>
        <w:t>щим различной температурой и влажностью. В горизонтальном полёте сказывался перегрев водорода в оболочке аэростата, нередко дости</w:t>
      </w:r>
      <w:r w:rsidRPr="00A3026E">
        <w:rPr>
          <w:rFonts w:ascii="Times New Roman" w:hAnsi="Times New Roman"/>
          <w:color w:val="0070C0"/>
          <w:sz w:val="16"/>
          <w:szCs w:val="16"/>
        </w:rPr>
        <w:softHyphen/>
        <w:t>гавший 50°. Принятый в Аэрологической обсер</w:t>
      </w:r>
      <w:r w:rsidRPr="00A3026E">
        <w:rPr>
          <w:rFonts w:ascii="Times New Roman" w:hAnsi="Times New Roman"/>
          <w:color w:val="0070C0"/>
          <w:sz w:val="16"/>
          <w:szCs w:val="16"/>
        </w:rPr>
        <w:softHyphen/>
        <w:t>ватории способ подвешивания психрометра на поясной стропе на уровне корзины в 6-7 м от борта корзины признали удовлетворительным. Однако дистанционные отсчёты психрометра с помощью оптической трубы производить было очень трудно.</w:t>
      </w:r>
    </w:p>
    <w:p w14:paraId="49438608"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Взаимные измерения расстояния между ша</w:t>
      </w:r>
      <w:r w:rsidRPr="00A3026E">
        <w:rPr>
          <w:rFonts w:ascii="Times New Roman" w:hAnsi="Times New Roman"/>
          <w:color w:val="0070C0"/>
          <w:sz w:val="16"/>
          <w:szCs w:val="16"/>
        </w:rPr>
        <w:softHyphen/>
        <w:t>рами позволили построить распределение скоро</w:t>
      </w:r>
      <w:r w:rsidRPr="00A3026E">
        <w:rPr>
          <w:rFonts w:ascii="Times New Roman" w:hAnsi="Times New Roman"/>
          <w:color w:val="0070C0"/>
          <w:sz w:val="16"/>
          <w:szCs w:val="16"/>
        </w:rPr>
        <w:softHyphen/>
        <w:t>сти и направления ветра. При длительных полё</w:t>
      </w:r>
      <w:r w:rsidRPr="00A3026E">
        <w:rPr>
          <w:rFonts w:ascii="Times New Roman" w:hAnsi="Times New Roman"/>
          <w:color w:val="0070C0"/>
          <w:sz w:val="16"/>
          <w:szCs w:val="16"/>
        </w:rPr>
        <w:softHyphen/>
        <w:t>тах требовалось каждые 30-40 минут выполнять астрономическую ориентировку с помощью авиа</w:t>
      </w:r>
      <w:r w:rsidRPr="00A3026E">
        <w:rPr>
          <w:rFonts w:ascii="Times New Roman" w:hAnsi="Times New Roman"/>
          <w:color w:val="0070C0"/>
          <w:sz w:val="16"/>
          <w:szCs w:val="16"/>
        </w:rPr>
        <w:softHyphen/>
        <w:t>ционных секстантов.</w:t>
      </w:r>
    </w:p>
    <w:p w14:paraId="3E79CD8D"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итогам полёта создали специальный метео</w:t>
      </w:r>
      <w:r w:rsidRPr="00A3026E">
        <w:rPr>
          <w:rFonts w:ascii="Times New Roman" w:hAnsi="Times New Roman"/>
          <w:color w:val="0070C0"/>
          <w:sz w:val="16"/>
          <w:szCs w:val="16"/>
        </w:rPr>
        <w:softHyphen/>
        <w:t>рограф для использования в качестве разведчика при исследовании инверсионных и фронталь</w:t>
      </w:r>
      <w:r w:rsidRPr="00A3026E">
        <w:rPr>
          <w:rFonts w:ascii="Times New Roman" w:hAnsi="Times New Roman"/>
          <w:color w:val="0070C0"/>
          <w:sz w:val="16"/>
          <w:szCs w:val="16"/>
        </w:rPr>
        <w:softHyphen/>
        <w:t>ных поверхностей раздела и облаков.</w:t>
      </w:r>
    </w:p>
    <w:p w14:paraId="61CF8299"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одном из полётов в облако вместе с метеоро</w:t>
      </w:r>
      <w:r w:rsidRPr="00A3026E">
        <w:rPr>
          <w:rFonts w:ascii="Times New Roman" w:hAnsi="Times New Roman"/>
          <w:color w:val="0070C0"/>
          <w:sz w:val="16"/>
          <w:szCs w:val="16"/>
        </w:rPr>
        <w:softHyphen/>
        <w:t>графом-разведчиком опускали специально изго</w:t>
      </w:r>
      <w:r w:rsidRPr="00A3026E">
        <w:rPr>
          <w:rFonts w:ascii="Times New Roman" w:hAnsi="Times New Roman"/>
          <w:color w:val="0070C0"/>
          <w:sz w:val="16"/>
          <w:szCs w:val="16"/>
        </w:rPr>
        <w:softHyphen/>
        <w:t>товленные шаблоны стандартной формы, разме</w:t>
      </w:r>
      <w:r w:rsidRPr="00A3026E">
        <w:rPr>
          <w:rFonts w:ascii="Times New Roman" w:hAnsi="Times New Roman"/>
          <w:color w:val="0070C0"/>
          <w:sz w:val="16"/>
          <w:szCs w:val="16"/>
        </w:rPr>
        <w:softHyphen/>
        <w:t>ра и массы, в то время как аэростат находился над облаками. В качестве шаблонов брались метал</w:t>
      </w:r>
      <w:r w:rsidRPr="00A3026E">
        <w:rPr>
          <w:rFonts w:ascii="Times New Roman" w:hAnsi="Times New Roman"/>
          <w:color w:val="0070C0"/>
          <w:sz w:val="16"/>
          <w:szCs w:val="16"/>
        </w:rPr>
        <w:softHyphen/>
        <w:t>лические стержни диаметром 0,6 см и длиной 50 см, снабжённые небольшой флюгаркой, прида</w:t>
      </w:r>
      <w:r w:rsidRPr="00A3026E">
        <w:rPr>
          <w:rFonts w:ascii="Times New Roman" w:hAnsi="Times New Roman"/>
          <w:color w:val="0070C0"/>
          <w:sz w:val="16"/>
          <w:szCs w:val="16"/>
        </w:rPr>
        <w:softHyphen/>
        <w:t>вавшей стержню устойчивое положение в полё</w:t>
      </w:r>
      <w:r w:rsidRPr="00A3026E">
        <w:rPr>
          <w:rFonts w:ascii="Times New Roman" w:hAnsi="Times New Roman"/>
          <w:color w:val="0070C0"/>
          <w:sz w:val="16"/>
          <w:szCs w:val="16"/>
        </w:rPr>
        <w:softHyphen/>
        <w:t>те. После 10-15 минут выдержки в облачном слое на определённом расстоянии от границы облаков шаблоны поднимали для исследования в корзи</w:t>
      </w:r>
      <w:r w:rsidRPr="00A3026E">
        <w:rPr>
          <w:rFonts w:ascii="Times New Roman" w:hAnsi="Times New Roman"/>
          <w:color w:val="0070C0"/>
          <w:sz w:val="16"/>
          <w:szCs w:val="16"/>
        </w:rPr>
        <w:softHyphen/>
        <w:t>ну. По разности массы обледеневшего и чистого шаблона определялся вес отложившегося льда. В данном полёте обледенение происходило в сло</w:t>
      </w:r>
      <w:r w:rsidRPr="00A3026E">
        <w:rPr>
          <w:rFonts w:ascii="Times New Roman" w:hAnsi="Times New Roman"/>
          <w:color w:val="0070C0"/>
          <w:sz w:val="16"/>
          <w:szCs w:val="16"/>
        </w:rPr>
        <w:softHyphen/>
        <w:t>истых облаках при скорости ветра 3-4 м/с. Отло</w:t>
      </w:r>
      <w:r w:rsidRPr="00A3026E">
        <w:rPr>
          <w:rFonts w:ascii="Times New Roman" w:hAnsi="Times New Roman"/>
          <w:color w:val="0070C0"/>
          <w:sz w:val="16"/>
          <w:szCs w:val="16"/>
        </w:rPr>
        <w:softHyphen/>
        <w:t>жившийся лед был рыхлый, молочного цвета, очень хрупкий. Толщина отложения в направле</w:t>
      </w:r>
      <w:r w:rsidRPr="00A3026E">
        <w:rPr>
          <w:rFonts w:ascii="Times New Roman" w:hAnsi="Times New Roman"/>
          <w:color w:val="0070C0"/>
          <w:sz w:val="16"/>
          <w:szCs w:val="16"/>
        </w:rPr>
        <w:softHyphen/>
        <w:t>нии потока достигала 12 мм при погружении ша</w:t>
      </w:r>
      <w:r w:rsidRPr="00A3026E">
        <w:rPr>
          <w:rFonts w:ascii="Times New Roman" w:hAnsi="Times New Roman"/>
          <w:color w:val="0070C0"/>
          <w:sz w:val="16"/>
          <w:szCs w:val="16"/>
        </w:rPr>
        <w:softHyphen/>
        <w:t>блона на 20 м от верхней границы облаков после 10 минут выдержки.</w:t>
      </w:r>
    </w:p>
    <w:p w14:paraId="70D20264"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Третья тема обсерватории посвящалась фи</w:t>
      </w:r>
      <w:r w:rsidRPr="00A3026E">
        <w:rPr>
          <w:rFonts w:ascii="Times New Roman" w:hAnsi="Times New Roman"/>
          <w:color w:val="0070C0"/>
          <w:sz w:val="16"/>
          <w:szCs w:val="16"/>
        </w:rPr>
        <w:softHyphen/>
        <w:t>зико-синоптическим условиям образования облаков и осадков, и, конкретно, изучению слоисто-дождевых облаков. В обсерватории ЦИП для этого создали специальную методику. С помощью свободного аэростата за несколько часов до ожидаемого времени появления сло</w:t>
      </w:r>
      <w:r w:rsidRPr="00A3026E">
        <w:rPr>
          <w:rFonts w:ascii="Times New Roman" w:hAnsi="Times New Roman"/>
          <w:color w:val="0070C0"/>
          <w:sz w:val="16"/>
          <w:szCs w:val="16"/>
        </w:rPr>
        <w:softHyphen/>
        <w:t>исто-дождевых облаков выполнялось верти</w:t>
      </w:r>
      <w:r w:rsidRPr="00A3026E">
        <w:rPr>
          <w:rFonts w:ascii="Times New Roman" w:hAnsi="Times New Roman"/>
          <w:color w:val="0070C0"/>
          <w:sz w:val="16"/>
          <w:szCs w:val="16"/>
        </w:rPr>
        <w:softHyphen/>
        <w:t>кальное зондирование атмосферы для получе</w:t>
      </w:r>
      <w:r w:rsidRPr="00A3026E">
        <w:rPr>
          <w:rFonts w:ascii="Times New Roman" w:hAnsi="Times New Roman"/>
          <w:color w:val="0070C0"/>
          <w:sz w:val="16"/>
          <w:szCs w:val="16"/>
        </w:rPr>
        <w:softHyphen/>
        <w:t>ния вертикального распределения температуры и абсолютной влажности, а также определялось количество ядер конденсации, величины напря</w:t>
      </w:r>
      <w:r w:rsidRPr="00A3026E">
        <w:rPr>
          <w:rFonts w:ascii="Times New Roman" w:hAnsi="Times New Roman"/>
          <w:color w:val="0070C0"/>
          <w:sz w:val="16"/>
          <w:szCs w:val="16"/>
        </w:rPr>
        <w:softHyphen/>
        <w:t>жения электрического поля, оптической плот</w:t>
      </w:r>
      <w:r w:rsidRPr="00A3026E">
        <w:rPr>
          <w:rFonts w:ascii="Times New Roman" w:hAnsi="Times New Roman"/>
          <w:color w:val="0070C0"/>
          <w:sz w:val="16"/>
          <w:szCs w:val="16"/>
        </w:rPr>
        <w:softHyphen/>
        <w:t>ности воздуха и вертикального градиента ветра. Выпадение осадков из слоисто-дождевых обла</w:t>
      </w:r>
      <w:r w:rsidRPr="00A3026E">
        <w:rPr>
          <w:rFonts w:ascii="Times New Roman" w:hAnsi="Times New Roman"/>
          <w:color w:val="0070C0"/>
          <w:sz w:val="16"/>
          <w:szCs w:val="16"/>
        </w:rPr>
        <w:softHyphen/>
        <w:t>ков служило сигналом к вылету группы из трёх аэростатов с различными режимами полётов. Первый уравновешивался у основания облаков, второй — у их верхней поверхности, а третий производил многократные пронизывания об</w:t>
      </w:r>
      <w:r w:rsidRPr="00A3026E">
        <w:rPr>
          <w:rFonts w:ascii="Times New Roman" w:hAnsi="Times New Roman"/>
          <w:color w:val="0070C0"/>
          <w:sz w:val="16"/>
          <w:szCs w:val="16"/>
        </w:rPr>
        <w:softHyphen/>
        <w:t>лачного слоя всё время существования послед</w:t>
      </w:r>
      <w:r w:rsidRPr="00A3026E">
        <w:rPr>
          <w:rFonts w:ascii="Times New Roman" w:hAnsi="Times New Roman"/>
          <w:color w:val="0070C0"/>
          <w:sz w:val="16"/>
          <w:szCs w:val="16"/>
        </w:rPr>
        <w:softHyphen/>
        <w:t>него. При наличии облаков других форм третий аэростат должен был заходить и в них. На этом аэростате велось фотографирование облачных элементов и взятие проб воздуха в облаке для определения его химических характеристик.</w:t>
      </w:r>
    </w:p>
    <w:p w14:paraId="43B2BC3A"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Примером проведения таких наблюдений мо</w:t>
      </w:r>
      <w:r w:rsidRPr="00A3026E">
        <w:rPr>
          <w:rFonts w:ascii="Times New Roman" w:hAnsi="Times New Roman"/>
          <w:color w:val="0070C0"/>
          <w:sz w:val="16"/>
          <w:szCs w:val="16"/>
        </w:rPr>
        <w:softHyphen/>
        <w:t>жет служить полёт аэростата 25 сентября 1940 г. в облаках окклюдированного циклона62. Резуль</w:t>
      </w:r>
      <w:r w:rsidRPr="00A3026E">
        <w:rPr>
          <w:rFonts w:ascii="Times New Roman" w:hAnsi="Times New Roman"/>
          <w:color w:val="0070C0"/>
          <w:sz w:val="16"/>
          <w:szCs w:val="16"/>
        </w:rPr>
        <w:softHyphen/>
        <w:t>таты самолётного зондажа в 07.12 до высоты 4920 м позволяли предполагать, что 25 сентября около 13.00 фронт будет располагаться вблизи Москвы. В 12.47 состоялся второй полёт самолё</w:t>
      </w:r>
      <w:r w:rsidRPr="00A3026E">
        <w:rPr>
          <w:rFonts w:ascii="Times New Roman" w:hAnsi="Times New Roman"/>
          <w:color w:val="0070C0"/>
          <w:sz w:val="16"/>
          <w:szCs w:val="16"/>
        </w:rPr>
        <w:softHyphen/>
        <w:t>та, поднявшегося до высоты около 3000 м. Одно</w:t>
      </w:r>
      <w:r w:rsidRPr="00A3026E">
        <w:rPr>
          <w:rFonts w:ascii="Times New Roman" w:hAnsi="Times New Roman"/>
          <w:color w:val="0070C0"/>
          <w:sz w:val="16"/>
          <w:szCs w:val="16"/>
        </w:rPr>
        <w:softHyphen/>
        <w:t>временно с ним в 12.45 с площадки Аэрологиче</w:t>
      </w:r>
      <w:r w:rsidRPr="00A3026E">
        <w:rPr>
          <w:rFonts w:ascii="Times New Roman" w:hAnsi="Times New Roman"/>
          <w:color w:val="0070C0"/>
          <w:sz w:val="16"/>
          <w:szCs w:val="16"/>
        </w:rPr>
        <w:softHyphen/>
        <w:t>ской обсерватории в 50 км от аэродрома поднял</w:t>
      </w:r>
      <w:r w:rsidRPr="00A3026E">
        <w:rPr>
          <w:rFonts w:ascii="Times New Roman" w:hAnsi="Times New Roman"/>
          <w:color w:val="0070C0"/>
          <w:sz w:val="16"/>
          <w:szCs w:val="16"/>
        </w:rPr>
        <w:softHyphen/>
        <w:t>ся аэростат. Из научного оборудования наблюда</w:t>
      </w:r>
      <w:r w:rsidRPr="00A3026E">
        <w:rPr>
          <w:rFonts w:ascii="Times New Roman" w:hAnsi="Times New Roman"/>
          <w:color w:val="0070C0"/>
          <w:sz w:val="16"/>
          <w:szCs w:val="16"/>
        </w:rPr>
        <w:softHyphen/>
        <w:t>тели аэростата Н.З. Пинус и В.С. Иванов имели анероид-высотомер, психрометр Ассмана, фото</w:t>
      </w:r>
      <w:r w:rsidRPr="00A3026E">
        <w:rPr>
          <w:rFonts w:ascii="Times New Roman" w:hAnsi="Times New Roman"/>
          <w:color w:val="0070C0"/>
          <w:sz w:val="16"/>
          <w:szCs w:val="16"/>
        </w:rPr>
        <w:softHyphen/>
        <w:t>аппарат, фотомикроскоп и три зондовых метео</w:t>
      </w:r>
      <w:r w:rsidRPr="00A3026E">
        <w:rPr>
          <w:rFonts w:ascii="Times New Roman" w:hAnsi="Times New Roman"/>
          <w:color w:val="0070C0"/>
          <w:sz w:val="16"/>
          <w:szCs w:val="16"/>
        </w:rPr>
        <w:softHyphen/>
        <w:t>рографа. Психрометр Ассмана и метеорографы подвесили на верёвочных канатиках к стропам аэростата, а анероид-высотомер и фотомикро</w:t>
      </w:r>
      <w:r w:rsidRPr="00A3026E">
        <w:rPr>
          <w:rFonts w:ascii="Times New Roman" w:hAnsi="Times New Roman"/>
          <w:color w:val="0070C0"/>
          <w:sz w:val="16"/>
          <w:szCs w:val="16"/>
        </w:rPr>
        <w:softHyphen/>
        <w:t>скоп укрепили на особых столиках вдоль бортов корзины.</w:t>
      </w:r>
    </w:p>
    <w:p w14:paraId="3AEBC753"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высоте 170 м аэростат прошёл ниж</w:t>
      </w:r>
      <w:r w:rsidRPr="00A3026E">
        <w:rPr>
          <w:rFonts w:ascii="Times New Roman" w:hAnsi="Times New Roman"/>
          <w:color w:val="0070C0"/>
          <w:sz w:val="16"/>
          <w:szCs w:val="16"/>
        </w:rPr>
        <w:softHyphen/>
        <w:t>нюю границу слоисто-дождевых облаков, и на высоте 200 м аэронавты сделали первую площад</w:t>
      </w:r>
      <w:r w:rsidRPr="00A3026E">
        <w:rPr>
          <w:rFonts w:ascii="Times New Roman" w:hAnsi="Times New Roman"/>
          <w:color w:val="0070C0"/>
          <w:sz w:val="16"/>
          <w:szCs w:val="16"/>
        </w:rPr>
        <w:softHyphen/>
        <w:t>ку. Здесь, на тёмном фоне фотокамеры «Турист», насаженной на микроскоп, наблюдались беспо</w:t>
      </w:r>
      <w:r w:rsidRPr="00A3026E">
        <w:rPr>
          <w:rFonts w:ascii="Times New Roman" w:hAnsi="Times New Roman"/>
          <w:color w:val="0070C0"/>
          <w:sz w:val="16"/>
          <w:szCs w:val="16"/>
        </w:rPr>
        <w:softHyphen/>
        <w:t>рядочные движения дождевых капелек, некото</w:t>
      </w:r>
      <w:r w:rsidRPr="00A3026E">
        <w:rPr>
          <w:rFonts w:ascii="Times New Roman" w:hAnsi="Times New Roman"/>
          <w:color w:val="0070C0"/>
          <w:sz w:val="16"/>
          <w:szCs w:val="16"/>
        </w:rPr>
        <w:softHyphen/>
        <w:t>рые из которых имели диаметры как у дождевых (100 мкм).</w:t>
      </w:r>
    </w:p>
    <w:p w14:paraId="024A9538" w14:textId="77777777" w:rsidR="002947D3" w:rsidRPr="00A3026E" w:rsidRDefault="002947D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Следующую площадку сделали на уровне 500 м, а на высоте 1070 м аэростат вышел из пер</w:t>
      </w:r>
      <w:r w:rsidRPr="00A3026E">
        <w:rPr>
          <w:rFonts w:ascii="Times New Roman" w:hAnsi="Times New Roman"/>
          <w:color w:val="0070C0"/>
          <w:sz w:val="16"/>
          <w:szCs w:val="16"/>
        </w:rPr>
        <w:softHyphen/>
        <w:t>вого облачного слоя. На 1950-2200 м аэростат прошёл второй слой облаков с незначительной плотностью и состоящий из незаметных на фоне фотокамеры очень мелких капелек, осадить ко</w:t>
      </w:r>
      <w:r w:rsidRPr="00A3026E">
        <w:rPr>
          <w:rFonts w:ascii="Times New Roman" w:hAnsi="Times New Roman"/>
          <w:color w:val="0070C0"/>
          <w:sz w:val="16"/>
          <w:szCs w:val="16"/>
        </w:rPr>
        <w:softHyphen/>
        <w:t>торых на покровное стекло не удалось. С макси</w:t>
      </w:r>
      <w:r w:rsidRPr="00A3026E">
        <w:rPr>
          <w:rFonts w:ascii="Times New Roman" w:hAnsi="Times New Roman"/>
          <w:color w:val="0070C0"/>
          <w:sz w:val="16"/>
          <w:szCs w:val="16"/>
        </w:rPr>
        <w:softHyphen/>
        <w:t>мальной высоты полёта в 2750 м сфотографиро</w:t>
      </w:r>
      <w:r w:rsidRPr="00A3026E">
        <w:rPr>
          <w:rFonts w:ascii="Times New Roman" w:hAnsi="Times New Roman"/>
          <w:color w:val="0070C0"/>
          <w:sz w:val="16"/>
          <w:szCs w:val="16"/>
        </w:rPr>
        <w:softHyphen/>
        <w:t>вали облака. Аэростат опустился близ д. Ключе</w:t>
      </w:r>
      <w:r w:rsidRPr="00A3026E">
        <w:rPr>
          <w:rFonts w:ascii="Times New Roman" w:hAnsi="Times New Roman"/>
          <w:color w:val="0070C0"/>
          <w:sz w:val="16"/>
          <w:szCs w:val="16"/>
        </w:rPr>
        <w:softHyphen/>
        <w:t>вая Ивановской области в 110 км по прямой от Москвы (20120).</w:t>
      </w:r>
    </w:p>
    <w:p w14:paraId="024B4590" w14:textId="77777777" w:rsidR="002947D3" w:rsidRPr="00A3026E" w:rsidRDefault="002947D3" w:rsidP="00A3026E">
      <w:pPr>
        <w:spacing w:after="0" w:line="240" w:lineRule="auto"/>
        <w:jc w:val="both"/>
        <w:rPr>
          <w:rFonts w:ascii="Times New Roman" w:hAnsi="Times New Roman"/>
          <w:color w:val="0070C0"/>
          <w:sz w:val="16"/>
          <w:szCs w:val="16"/>
        </w:rPr>
      </w:pPr>
    </w:p>
    <w:p w14:paraId="1ACBD3B6"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1885A59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A2F50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г. Постановление экономического совета при Совете народных комиссаров СССР о разукрупнении Сталиногорского химического комбината с созданием двух самостоятельных предприятий - завода № 100 по производству химического оружия (нынешнее ПО "Оргсинтез", г. Новомосковск, Тульская область) и Сталиногорского азотно-тукового химического комбината (нынешнее ПО "Азот") (9067).</w:t>
      </w:r>
    </w:p>
    <w:p w14:paraId="642592E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0811C28" w14:textId="77777777" w:rsidR="00226974" w:rsidRPr="00A3026E" w:rsidRDefault="00226974"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bCs/>
          <w:iCs/>
          <w:color w:val="000000" w:themeColor="text1"/>
          <w:sz w:val="16"/>
          <w:szCs w:val="16"/>
        </w:rPr>
        <w:t>11 октября 1940 г.</w:t>
      </w:r>
      <w:r w:rsidRPr="00A3026E">
        <w:rPr>
          <w:rFonts w:ascii="Times New Roman" w:hAnsi="Times New Roman"/>
          <w:color w:val="000000" w:themeColor="text1"/>
          <w:sz w:val="16"/>
          <w:szCs w:val="16"/>
        </w:rPr>
        <w:t xml:space="preserve"> Постановление экономического совета при СНК СССР о разукрупнении химического комбината в Сталиногорске (ныне г.Новомосковск, Тульская область) с созданием двух предприятий — завода № 100 по производству химического оружия (нынешнее ПО «Оргсинтез») и Сталиногорского азотно-тукового комбината им. И.В.Сталина (ныне ПО «Азот»). На заводе № 100 (Д-100) было налажено производство иприта, а также снаряжение авиахимбомб и других химических боеприпасов ипритом, вязкой ипритной рецептурой, смесью иприта с люизитом. С началом войны была предпринята попытка осуществить выпуск иприта, однако, из-за близости фронта завод пришлось эвакуировать. После реэвакуации попытка восстановить в 1942-1943 годах цех иприта (цех № 25) и цех по снаряжению химавиабомб (№ 21). Брошенный после начала войны химический завод № 100 стал постоянным источником опасности для жителей (17133).</w:t>
      </w:r>
    </w:p>
    <w:p w14:paraId="4421F084" w14:textId="77777777" w:rsidR="00226974" w:rsidRPr="00A3026E" w:rsidRDefault="00226974" w:rsidP="00A3026E">
      <w:pPr>
        <w:shd w:val="clear" w:color="auto" w:fill="FFFFFF"/>
        <w:spacing w:after="0" w:line="240" w:lineRule="auto"/>
        <w:jc w:val="both"/>
        <w:rPr>
          <w:rFonts w:ascii="Times New Roman" w:hAnsi="Times New Roman"/>
          <w:color w:val="000000" w:themeColor="text1"/>
          <w:sz w:val="16"/>
          <w:szCs w:val="16"/>
        </w:rPr>
      </w:pPr>
    </w:p>
    <w:p w14:paraId="6514C474"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11 октября </w:t>
      </w:r>
      <w:r w:rsidRPr="00A3026E">
        <w:rPr>
          <w:rFonts w:ascii="Times New Roman" w:hAnsi="Times New Roman"/>
          <w:color w:val="000000" w:themeColor="text1"/>
          <w:sz w:val="16"/>
          <w:szCs w:val="16"/>
        </w:rPr>
        <w:t>в 1940 году по постановлению ЦК ВКП(б) шахты Донбасса переведены на двухсменный режим работы (14796).</w:t>
      </w:r>
    </w:p>
    <w:p w14:paraId="68C18170" w14:textId="77777777" w:rsidR="00226974" w:rsidRPr="00A3026E" w:rsidRDefault="00226974" w:rsidP="00A3026E">
      <w:pPr>
        <w:spacing w:after="0" w:line="240" w:lineRule="auto"/>
        <w:jc w:val="both"/>
        <w:rPr>
          <w:rFonts w:ascii="Times New Roman" w:hAnsi="Times New Roman"/>
          <w:color w:val="000000" w:themeColor="text1"/>
          <w:sz w:val="16"/>
          <w:szCs w:val="16"/>
        </w:rPr>
      </w:pPr>
    </w:p>
    <w:p w14:paraId="628F83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11 по 25 октября 1940 года на АКУКС в районе г. Пушкина состоялись войсковые испытания батареи 107-мм пушек М-60. В ходе войсковых испытаний батарея прошла 732 км. Скорость возки за тягачом СТЗ-5 по шоссе была 18-20 км/час, по грунтовым дорогам 10-12 км/час, по бездорожью 6-8 км/час. При стрельбе по танкам за пределами угла ГН 60 поворот был затруднен. Так, поворот на 180 на песчаном грунте занимал 23 минуты. Попытка перекатить орудие на 6 метров по песчаному грунту усилиями двух расчетов не удалась. Согласно заключению комиссии батарея войсковые испытания выдержала и была рекомендована к принятию на вооружение. Отмечены неудовлетворительная работа затвора и недостаточная устойчивость пушки при малых углах возвышения. Серийное производство М-60 было поручено новому артиллерийскому заводу № 352 в г. Новочеркасске (3861).</w:t>
      </w:r>
    </w:p>
    <w:p w14:paraId="36BD287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AB21625"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октября 1940</w:t>
      </w:r>
    </w:p>
    <w:p w14:paraId="3D084250"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1028. Решения ПБ за 27 сентября — 28 октября 1940 г. (протокол № 21)</w:t>
      </w:r>
    </w:p>
    <w:p w14:paraId="00E4CBBC"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11.Х.40 г.</w:t>
      </w:r>
    </w:p>
    <w:p w14:paraId="6468A883"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119. Об увеличении производства алюминия и магния в 1941—1942—1943 годах (постановление СНК СССР и ЦК ВКП(б)) (20920).</w:t>
      </w:r>
    </w:p>
    <w:p w14:paraId="1E1592CB" w14:textId="77777777" w:rsidR="003536FF" w:rsidRPr="00A3026E" w:rsidRDefault="003536FF" w:rsidP="00A3026E">
      <w:pPr>
        <w:spacing w:after="0" w:line="240" w:lineRule="auto"/>
        <w:jc w:val="both"/>
        <w:rPr>
          <w:rFonts w:ascii="Times New Roman" w:hAnsi="Times New Roman"/>
          <w:color w:val="0070C0"/>
          <w:sz w:val="16"/>
          <w:szCs w:val="16"/>
        </w:rPr>
      </w:pPr>
    </w:p>
    <w:p w14:paraId="3CAD3596"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октября 1940 г.</w:t>
      </w:r>
    </w:p>
    <w:p w14:paraId="5BED8C0A"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 СНК СССР и ЦК ВКП(б)</w:t>
      </w:r>
    </w:p>
    <w:p w14:paraId="43223F96"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 увеличении производства алюминия и магния в 1941,1942 и 1943 гг.»</w:t>
      </w:r>
    </w:p>
    <w:p w14:paraId="13EE432C"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П21/119</w:t>
      </w:r>
      <w:r w:rsidRPr="00A3026E">
        <w:rPr>
          <w:rFonts w:ascii="Times New Roman" w:hAnsi="Times New Roman"/>
          <w:color w:val="0070C0"/>
          <w:sz w:val="16"/>
          <w:szCs w:val="16"/>
        </w:rPr>
        <w:tab/>
        <w:t>11 октября 1940 г.</w:t>
      </w:r>
    </w:p>
    <w:p w14:paraId="3693B51E"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Строго секретно</w:t>
      </w:r>
    </w:p>
    <w:p w14:paraId="5B981A56"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Совет Народных Комиссаров Союза ССР и Центральный Комитет ВКП(б) постановляют:</w:t>
      </w:r>
    </w:p>
    <w:p w14:paraId="7537384B"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алюминию</w:t>
      </w:r>
    </w:p>
    <w:p w14:paraId="62779A64"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15. Обязать Наркомцветмет (т. Ломако1) провести следующие мероприятия в области технической реконструкции алюминиевой </w:t>
      </w:r>
    </w:p>
    <w:p w14:paraId="216AE5FE"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промышленности:</w:t>
      </w:r>
    </w:p>
    <w:p w14:paraId="1D05F7D3"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разрешить Наркомцветмету командировать в 1940 г. в Германию и США комиссию из работников алюминиевой и магниевой промышленности.</w:t>
      </w:r>
    </w:p>
    <w:p w14:paraId="09011620"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Председатель СНК СССР</w:t>
      </w:r>
      <w:r w:rsidRPr="00A3026E">
        <w:rPr>
          <w:rFonts w:ascii="Times New Roman" w:hAnsi="Times New Roman"/>
          <w:color w:val="0070C0"/>
          <w:sz w:val="16"/>
          <w:szCs w:val="16"/>
        </w:rPr>
        <w:tab/>
        <w:t>Секретарь ЦК ВКП(б)</w:t>
      </w:r>
    </w:p>
    <w:p w14:paraId="09BA6D25"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АП РФ. Ф. 3. On. 66. Д. 423. Л. 102. Копия (21135).</w:t>
      </w:r>
    </w:p>
    <w:p w14:paraId="4FF9DBAA" w14:textId="77777777" w:rsidR="003536FF" w:rsidRPr="00A3026E" w:rsidRDefault="003536FF" w:rsidP="00A3026E">
      <w:pPr>
        <w:spacing w:after="0" w:line="240" w:lineRule="auto"/>
        <w:jc w:val="both"/>
        <w:rPr>
          <w:rFonts w:ascii="Times New Roman" w:hAnsi="Times New Roman"/>
          <w:color w:val="0070C0"/>
          <w:sz w:val="16"/>
          <w:szCs w:val="16"/>
        </w:rPr>
      </w:pPr>
    </w:p>
    <w:p w14:paraId="3656B554"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октября 1940 года прошли демонстрационные испытания Т-126. Во-первых, танк оказался чересчур тесным. Двоим членам экипажа в отделении управления было работать неудобно, а диаметр башенного погона составил 1250 мм. Маловато. Во-вторых, лишняя масса отрицательно сказывалась на подвижности машины и надежности агрегатов. По большому счету, Т-126, или СП-126, оказался провалом. Но уровень дна был разный: Кировский завод свой Т-211 и вовсе довел только до стадии корпуса с башней. Далее работы по теме "СП" продолжились, в результате появился Т-50. Что же касается опытных танков, то для них всё закончилось. Летом 1941 года их пытались использовать как учебные, но без особого успеха (21824).</w:t>
      </w:r>
    </w:p>
    <w:p w14:paraId="37773301" w14:textId="77777777" w:rsidR="003536FF" w:rsidRPr="00A3026E" w:rsidRDefault="003536FF" w:rsidP="00A3026E">
      <w:pPr>
        <w:spacing w:after="0" w:line="240" w:lineRule="auto"/>
        <w:jc w:val="both"/>
        <w:rPr>
          <w:rFonts w:ascii="Times New Roman" w:hAnsi="Times New Roman"/>
          <w:color w:val="0070C0"/>
          <w:sz w:val="16"/>
          <w:szCs w:val="16"/>
        </w:rPr>
      </w:pPr>
    </w:p>
    <w:p w14:paraId="11C682C0"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11 октября 1940</w:t>
      </w:r>
    </w:p>
    <w:p w14:paraId="0792BC98"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В дополнение к отчету № 0115б-сс</w:t>
      </w:r>
    </w:p>
    <w:p w14:paraId="2359D994"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Для изучения особенностей эксплуатации немецкой танковой приемо-передающей радиостанции было принято решение о практическом сравнении ее с имеющейся в КА на танке БТ-7 (Та же, что и на Т-34. — Примеч. авт.). Для этого танковое подразделение в составе немецкого танка и танка БТ-7 удалялось по радиокомандам от центра связи на полигоне, где проводились необходимые измерения…</w:t>
      </w:r>
    </w:p>
    <w:p w14:paraId="48FCCBBF"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О ходе указанных испытаний был составлен отчет № 0116б-сс, каковой вместе с демонтированной радиостанцией был передан в распоряжение тов. Осинцева…</w:t>
      </w:r>
    </w:p>
    <w:p w14:paraId="25213515"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Кратко имею сообщить следующее:</w:t>
      </w:r>
    </w:p>
    <w:p w14:paraId="05FE202D"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Радиостанция немецкого танка обеспечивает уверенную телефонную двустороннюю связь в движении и на стоянке, в том числе на максимальной дистанции, указанной изготовителем… Оператору удавалось связаться телефоном даже на удалении, на 30 проц. превышающем значение максимальной дальности, в то время как радиостанция нашего танка на максимальной дистанции обеспечивает лишь уверенный прием. Дальность передачи на нашем танке значительно понижена по сравнению с паспортными данными…</w:t>
      </w:r>
    </w:p>
    <w:p w14:paraId="01252502"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Положительным качеством приемо-передающей станции немецкого танка является также то, что она обеспечивает уверенную связь в движении, тогда как во время движения танка БТ качество приема значительно ухудшается вплоть до полной потери связи…</w:t>
      </w:r>
    </w:p>
    <w:p w14:paraId="09097C38" w14:textId="77777777" w:rsidR="00C66762" w:rsidRPr="00A3026E" w:rsidRDefault="00C66762" w:rsidP="00A3026E">
      <w:pPr>
        <w:pStyle w:val="ae"/>
        <w:spacing w:before="0" w:after="0"/>
        <w:jc w:val="both"/>
        <w:rPr>
          <w:color w:val="000000" w:themeColor="text1"/>
          <w:sz w:val="16"/>
          <w:szCs w:val="16"/>
        </w:rPr>
      </w:pPr>
      <w:r w:rsidRPr="00A3026E">
        <w:rPr>
          <w:bCs/>
          <w:color w:val="000000" w:themeColor="text1"/>
          <w:sz w:val="16"/>
          <w:szCs w:val="16"/>
        </w:rPr>
        <w:t>По всем основным характеристикам радиостанция немецкого танка превосходит таковую, установленную на отечественном танке.</w:t>
      </w:r>
      <w:r w:rsidRPr="00A3026E">
        <w:rPr>
          <w:color w:val="000000" w:themeColor="text1"/>
          <w:sz w:val="16"/>
          <w:szCs w:val="16"/>
        </w:rPr>
        <w:t xml:space="preserve"> Считаю целесообразным проведение разработки танковой радиостанции нового типа на основе имеющихся немецких образцов…</w:t>
      </w:r>
    </w:p>
    <w:p w14:paraId="4BEF36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(Ложкарев) (11/X-1940 года».) (12624).</w:t>
      </w:r>
    </w:p>
    <w:p w14:paraId="330CAC2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8345B8A" w14:textId="77777777" w:rsidR="00226974"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5BA85FAC" w14:textId="77777777" w:rsidR="00226974" w:rsidRPr="00A3026E" w:rsidRDefault="00226974" w:rsidP="00A3026E">
      <w:pPr>
        <w:spacing w:after="0" w:line="240" w:lineRule="auto"/>
        <w:jc w:val="both"/>
        <w:rPr>
          <w:rFonts w:ascii="Times New Roman" w:hAnsi="Times New Roman"/>
          <w:iCs/>
          <w:color w:val="000000" w:themeColor="text1"/>
          <w:sz w:val="16"/>
          <w:szCs w:val="16"/>
        </w:rPr>
      </w:pPr>
    </w:p>
    <w:p w14:paraId="44A02EEA" w14:textId="77777777" w:rsidR="003536FF" w:rsidRPr="00A3026E" w:rsidRDefault="003536F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октября 1940-го, в разгар воздушной Битвы за Англию, был облетан головной серийный «Галифакс» B Mk. I. Заводской аэродром Рэддлет тоже попал под удар немецкой авиации, и испытания перевели на удаленную базу Байкестер в графстве Оксфордшир. Связь с конструкторским бюро и опытным производством усложнилась, а полеты продолжали приносить все новые и новые неприятности. Из-за ошибок при проектировании канала управления по тангажу самолет получил опасную тенденцию к непроизвольному кабрированию, а при остановке двух моторов на одном крыле норовил войти в неуправляемую спираль. Из-за этого разбились несколько самолетов первого выпуска подряд, и пришлось срочно дорабатывать все сданные в войска машины, однако полностью проблема не была решена (22824).</w:t>
      </w:r>
    </w:p>
    <w:p w14:paraId="5034990E" w14:textId="77777777" w:rsidR="003536FF" w:rsidRPr="00A3026E" w:rsidRDefault="003536FF" w:rsidP="00A3026E">
      <w:pPr>
        <w:shd w:val="clear" w:color="auto" w:fill="FFFFFF"/>
        <w:spacing w:after="0" w:line="240" w:lineRule="auto"/>
        <w:jc w:val="both"/>
        <w:rPr>
          <w:rFonts w:ascii="Times New Roman" w:hAnsi="Times New Roman"/>
          <w:color w:val="0070C0"/>
          <w:sz w:val="16"/>
          <w:szCs w:val="16"/>
        </w:rPr>
      </w:pPr>
    </w:p>
    <w:p w14:paraId="656B3F92"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11 октября </w:t>
      </w:r>
      <w:r w:rsidRPr="00A3026E">
        <w:rPr>
          <w:rFonts w:ascii="Times New Roman" w:hAnsi="Times New Roman"/>
          <w:color w:val="000000" w:themeColor="text1"/>
          <w:sz w:val="16"/>
          <w:szCs w:val="16"/>
        </w:rPr>
        <w:t>в 1940 году «для защиты нефтяных месторождений от английских войск» немцы заняли Бухарест (14796).</w:t>
      </w:r>
    </w:p>
    <w:p w14:paraId="5E72A811" w14:textId="77777777" w:rsidR="00226974" w:rsidRPr="00A3026E" w:rsidRDefault="00226974" w:rsidP="00A3026E">
      <w:pPr>
        <w:spacing w:after="0" w:line="240" w:lineRule="auto"/>
        <w:jc w:val="both"/>
        <w:rPr>
          <w:rFonts w:ascii="Times New Roman" w:hAnsi="Times New Roman"/>
          <w:color w:val="000000" w:themeColor="text1"/>
          <w:sz w:val="16"/>
          <w:szCs w:val="16"/>
        </w:rPr>
      </w:pPr>
    </w:p>
    <w:p w14:paraId="6FA680D2"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11 октября </w:t>
      </w:r>
      <w:r w:rsidRPr="00A3026E">
        <w:rPr>
          <w:rFonts w:ascii="Times New Roman" w:hAnsi="Times New Roman"/>
          <w:color w:val="000000" w:themeColor="text1"/>
          <w:sz w:val="16"/>
          <w:szCs w:val="16"/>
        </w:rPr>
        <w:t>в 1940 годуу берегов Сицилии английский корабль «Аякс» потопил три итальянских крейсера (14796).</w:t>
      </w:r>
    </w:p>
    <w:p w14:paraId="61A8E0AA" w14:textId="77777777" w:rsidR="00226974" w:rsidRPr="00A3026E" w:rsidRDefault="00226974" w:rsidP="00A3026E">
      <w:pPr>
        <w:spacing w:after="0" w:line="240" w:lineRule="auto"/>
        <w:jc w:val="both"/>
        <w:rPr>
          <w:rFonts w:ascii="Times New Roman" w:hAnsi="Times New Roman"/>
          <w:color w:val="000000" w:themeColor="text1"/>
          <w:sz w:val="16"/>
          <w:szCs w:val="16"/>
        </w:rPr>
      </w:pPr>
    </w:p>
    <w:p w14:paraId="26BFB4A6"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11 октября </w:t>
      </w:r>
      <w:r w:rsidRPr="00A3026E">
        <w:rPr>
          <w:rFonts w:ascii="Times New Roman" w:hAnsi="Times New Roman"/>
          <w:color w:val="000000" w:themeColor="text1"/>
          <w:sz w:val="16"/>
          <w:szCs w:val="16"/>
        </w:rPr>
        <w:t>в 1940 году германские ВВС впервые производят массированную бомбежку английского города Ливерпуль (14796).</w:t>
      </w:r>
    </w:p>
    <w:p w14:paraId="23820472" w14:textId="77777777" w:rsidR="00226974" w:rsidRPr="00A3026E" w:rsidRDefault="00226974" w:rsidP="00A3026E">
      <w:pPr>
        <w:spacing w:after="0" w:line="240" w:lineRule="auto"/>
        <w:jc w:val="both"/>
        <w:rPr>
          <w:rFonts w:ascii="Times New Roman" w:hAnsi="Times New Roman"/>
          <w:color w:val="000000" w:themeColor="text1"/>
          <w:sz w:val="16"/>
          <w:szCs w:val="16"/>
        </w:rPr>
      </w:pPr>
    </w:p>
    <w:p w14:paraId="4DF14F79"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11 октября </w:t>
      </w:r>
      <w:r w:rsidRPr="00A3026E">
        <w:rPr>
          <w:rFonts w:ascii="Times New Roman" w:hAnsi="Times New Roman"/>
          <w:color w:val="000000" w:themeColor="text1"/>
          <w:sz w:val="16"/>
          <w:szCs w:val="16"/>
        </w:rPr>
        <w:t>в 1940 году советско-финское соглашение об Аландских островах. По этому соглашению Финляндия обязывалась провести их демилитаризацию и не предоставлять другим государствам в качестве военной базы. Советский Союз получал право иметь на Аландских островах консульство (14796).</w:t>
      </w:r>
    </w:p>
    <w:p w14:paraId="3D82A86D" w14:textId="77777777" w:rsidR="00226974" w:rsidRPr="00A3026E" w:rsidRDefault="00226974" w:rsidP="00A3026E">
      <w:pPr>
        <w:spacing w:after="0" w:line="240" w:lineRule="auto"/>
        <w:jc w:val="both"/>
        <w:rPr>
          <w:rFonts w:ascii="Times New Roman" w:hAnsi="Times New Roman"/>
          <w:color w:val="000000" w:themeColor="text1"/>
          <w:sz w:val="16"/>
          <w:szCs w:val="16"/>
        </w:rPr>
      </w:pPr>
    </w:p>
    <w:p w14:paraId="588444C6"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54F3E5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C1764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 одноместный ЦКБ-57 под управлением В.К.Коккинаки совершил свой первый полет и начались его заводские испытания, которые проходили до ноября 1940. На самолете вместо кабины стрелка в бронекорпусе установили 12-мм бронеперегородку и дополнительный бен</w:t>
      </w:r>
      <w:r w:rsidRPr="00A3026E">
        <w:rPr>
          <w:rFonts w:ascii="Times New Roman" w:hAnsi="Times New Roman"/>
          <w:color w:val="000000" w:themeColor="text1"/>
          <w:sz w:val="16"/>
          <w:szCs w:val="16"/>
        </w:rPr>
        <w:softHyphen/>
        <w:t>зобак на 155 кг горючего. Фонарь кабины летчика, замыкавший</w:t>
      </w:r>
      <w:r w:rsidRPr="00A3026E">
        <w:rPr>
          <w:rFonts w:ascii="Times New Roman" w:hAnsi="Times New Roman"/>
          <w:color w:val="000000" w:themeColor="text1"/>
          <w:sz w:val="16"/>
          <w:szCs w:val="16"/>
        </w:rPr>
        <w:softHyphen/>
        <w:t>ся непрозрачным обтекателем, был сде</w:t>
      </w:r>
      <w:r w:rsidRPr="00A3026E">
        <w:rPr>
          <w:rFonts w:ascii="Times New Roman" w:hAnsi="Times New Roman"/>
          <w:color w:val="000000" w:themeColor="text1"/>
          <w:sz w:val="16"/>
          <w:szCs w:val="16"/>
        </w:rPr>
        <w:softHyphen/>
        <w:t>лан сдвигающимся назад, а не откиды</w:t>
      </w:r>
      <w:r w:rsidRPr="00A3026E">
        <w:rPr>
          <w:rFonts w:ascii="Times New Roman" w:hAnsi="Times New Roman"/>
          <w:color w:val="000000" w:themeColor="text1"/>
          <w:sz w:val="16"/>
          <w:szCs w:val="16"/>
        </w:rPr>
        <w:softHyphen/>
        <w:t>вающимся, как это было у ЦКБ-55. Для улучшения продольной устойчи</w:t>
      </w:r>
      <w:r w:rsidRPr="00A3026E">
        <w:rPr>
          <w:rFonts w:ascii="Times New Roman" w:hAnsi="Times New Roman"/>
          <w:color w:val="000000" w:themeColor="text1"/>
          <w:sz w:val="16"/>
          <w:szCs w:val="16"/>
        </w:rPr>
        <w:softHyphen/>
        <w:t>вости самолета мотор был смещен впе</w:t>
      </w:r>
      <w:r w:rsidRPr="00A3026E">
        <w:rPr>
          <w:rFonts w:ascii="Times New Roman" w:hAnsi="Times New Roman"/>
          <w:color w:val="000000" w:themeColor="text1"/>
          <w:sz w:val="16"/>
          <w:szCs w:val="16"/>
        </w:rPr>
        <w:softHyphen/>
        <w:t>ред на 50 мм, увеличены на 5° стреловидность крыла по передней кромке и на 3,1% площадь стабилизатора, что привело к смещению центровки само</w:t>
      </w:r>
      <w:r w:rsidRPr="00A3026E">
        <w:rPr>
          <w:rFonts w:ascii="Times New Roman" w:hAnsi="Times New Roman"/>
          <w:color w:val="000000" w:themeColor="text1"/>
          <w:sz w:val="16"/>
          <w:szCs w:val="16"/>
        </w:rPr>
        <w:softHyphen/>
        <w:t>лета с 31% до 29,5% САХ. Кроме этого, с целью облегчения управления элеро</w:t>
      </w:r>
      <w:r w:rsidRPr="00A3026E">
        <w:rPr>
          <w:rFonts w:ascii="Times New Roman" w:hAnsi="Times New Roman"/>
          <w:color w:val="000000" w:themeColor="text1"/>
          <w:sz w:val="16"/>
          <w:szCs w:val="16"/>
        </w:rPr>
        <w:softHyphen/>
        <w:t>нами, была изменена степень их аэродинамической компенсации. Произвели также и ряд других, менее существенных изменений конструкции (6467). В связи с неготовностью 23-мм крыльевых пушек МП-6 (ОКБ Ильюшина только 16 октября 1940 получило от ОКБ-16 габаритный чертеж пушки), вооружение ЦКБ-57 осталось без изменения. Усиление, по требованию ВВС, бро</w:t>
      </w:r>
      <w:r w:rsidRPr="00A3026E">
        <w:rPr>
          <w:rFonts w:ascii="Times New Roman" w:hAnsi="Times New Roman"/>
          <w:color w:val="000000" w:themeColor="text1"/>
          <w:sz w:val="16"/>
          <w:szCs w:val="16"/>
        </w:rPr>
        <w:softHyphen/>
        <w:t>нирования штурмовика с боков имити</w:t>
      </w:r>
      <w:r w:rsidRPr="00A3026E">
        <w:rPr>
          <w:rFonts w:ascii="Times New Roman" w:hAnsi="Times New Roman"/>
          <w:color w:val="000000" w:themeColor="text1"/>
          <w:sz w:val="16"/>
          <w:szCs w:val="16"/>
        </w:rPr>
        <w:softHyphen/>
        <w:t>ровалось соответствующим увеличени</w:t>
      </w:r>
      <w:r w:rsidRPr="00A3026E">
        <w:rPr>
          <w:rFonts w:ascii="Times New Roman" w:hAnsi="Times New Roman"/>
          <w:color w:val="000000" w:themeColor="text1"/>
          <w:sz w:val="16"/>
          <w:szCs w:val="16"/>
        </w:rPr>
        <w:softHyphen/>
        <w:t>ем веса машины. Заводские испытания ЦКБ-57 были проведены в исключительно сжатые сро</w:t>
      </w:r>
      <w:r w:rsidRPr="00A3026E">
        <w:rPr>
          <w:rFonts w:ascii="Times New Roman" w:hAnsi="Times New Roman"/>
          <w:color w:val="000000" w:themeColor="text1"/>
          <w:sz w:val="16"/>
          <w:szCs w:val="16"/>
        </w:rPr>
        <w:softHyphen/>
        <w:t>ки - всего за 10 летных дней. В полете у земли при нормальной взлетной массе 4988 кг и с винтом ВИШ-22Ю была до</w:t>
      </w:r>
      <w:r w:rsidRPr="00A3026E">
        <w:rPr>
          <w:rFonts w:ascii="Times New Roman" w:hAnsi="Times New Roman"/>
          <w:color w:val="000000" w:themeColor="text1"/>
          <w:sz w:val="16"/>
          <w:szCs w:val="16"/>
        </w:rPr>
        <w:softHyphen/>
        <w:t>стигнута максимальная скорость 423 км/ ч, а на границе высотности мотора (2800 м) - 437 км/ч. При этом дальность по</w:t>
      </w:r>
      <w:r w:rsidRPr="00A3026E">
        <w:rPr>
          <w:rFonts w:ascii="Times New Roman" w:hAnsi="Times New Roman"/>
          <w:color w:val="000000" w:themeColor="text1"/>
          <w:sz w:val="16"/>
          <w:szCs w:val="16"/>
        </w:rPr>
        <w:softHyphen/>
        <w:t>лета у земли с нормальной бомбовой нагрузкой составила 850 км при сред</w:t>
      </w:r>
      <w:r w:rsidRPr="00A3026E">
        <w:rPr>
          <w:rFonts w:ascii="Times New Roman" w:hAnsi="Times New Roman"/>
          <w:color w:val="000000" w:themeColor="text1"/>
          <w:sz w:val="16"/>
          <w:szCs w:val="16"/>
        </w:rPr>
        <w:softHyphen/>
        <w:t>ней скорости 380 км/ч. Время подъема на высоту 5000 м составило 10 мин, по</w:t>
      </w:r>
      <w:r w:rsidRPr="00A3026E">
        <w:rPr>
          <w:rFonts w:ascii="Times New Roman" w:hAnsi="Times New Roman"/>
          <w:color w:val="000000" w:themeColor="text1"/>
          <w:sz w:val="16"/>
          <w:szCs w:val="16"/>
        </w:rPr>
        <w:softHyphen/>
        <w:t>садочная скорость - 140 км/ч, пробег при посадке - 260 м, а разбег при взлете -250 м. В.К.Коккинаки отмечал, что по сво</w:t>
      </w:r>
      <w:r w:rsidRPr="00A3026E">
        <w:rPr>
          <w:rFonts w:ascii="Times New Roman" w:hAnsi="Times New Roman"/>
          <w:color w:val="000000" w:themeColor="text1"/>
          <w:sz w:val="16"/>
          <w:szCs w:val="16"/>
        </w:rPr>
        <w:softHyphen/>
        <w:t>им летным свойствам самолет исклю</w:t>
      </w:r>
      <w:r w:rsidRPr="00A3026E">
        <w:rPr>
          <w:rFonts w:ascii="Times New Roman" w:hAnsi="Times New Roman"/>
          <w:color w:val="000000" w:themeColor="text1"/>
          <w:sz w:val="16"/>
          <w:szCs w:val="16"/>
        </w:rPr>
        <w:softHyphen/>
        <w:t>чительно прост, управляемость и манев</w:t>
      </w:r>
      <w:r w:rsidRPr="00A3026E">
        <w:rPr>
          <w:rFonts w:ascii="Times New Roman" w:hAnsi="Times New Roman"/>
          <w:color w:val="000000" w:themeColor="text1"/>
          <w:sz w:val="16"/>
          <w:szCs w:val="16"/>
        </w:rPr>
        <w:softHyphen/>
        <w:t>ренность, по сравнению с ЦКБ-55, су</w:t>
      </w:r>
      <w:r w:rsidRPr="00A3026E">
        <w:rPr>
          <w:rFonts w:ascii="Times New Roman" w:hAnsi="Times New Roman"/>
          <w:color w:val="000000" w:themeColor="text1"/>
          <w:sz w:val="16"/>
          <w:szCs w:val="16"/>
        </w:rPr>
        <w:softHyphen/>
        <w:t>щественно улучшились. На государственные испытания ЦКБ-57 не передавался ввиду неудовлетво</w:t>
      </w:r>
      <w:r w:rsidRPr="00A3026E">
        <w:rPr>
          <w:rFonts w:ascii="Times New Roman" w:hAnsi="Times New Roman"/>
          <w:color w:val="000000" w:themeColor="text1"/>
          <w:sz w:val="16"/>
          <w:szCs w:val="16"/>
        </w:rPr>
        <w:softHyphen/>
        <w:t>рительной работы мотора АМ-38, кото</w:t>
      </w:r>
      <w:r w:rsidRPr="00A3026E">
        <w:rPr>
          <w:rFonts w:ascii="Times New Roman" w:hAnsi="Times New Roman"/>
          <w:color w:val="000000" w:themeColor="text1"/>
          <w:sz w:val="16"/>
          <w:szCs w:val="16"/>
        </w:rPr>
        <w:softHyphen/>
        <w:t>рый стал своеобразной "ахиллесовой пятой" штурмовика. Мотор совершенно не желал надежно работать - 24-й за</w:t>
      </w:r>
      <w:r w:rsidRPr="00A3026E">
        <w:rPr>
          <w:rFonts w:ascii="Times New Roman" w:hAnsi="Times New Roman"/>
          <w:color w:val="000000" w:themeColor="text1"/>
          <w:sz w:val="16"/>
          <w:szCs w:val="16"/>
        </w:rPr>
        <w:softHyphen/>
        <w:t>вод в октябре-ноябре 1940-го так и не смог успешно завершить 50-часовые совместные испытания. В этой связи, еще 3 октября 1940 г., А.И.Шахурин подписал приказ об орга</w:t>
      </w:r>
      <w:r w:rsidRPr="00A3026E">
        <w:rPr>
          <w:rFonts w:ascii="Times New Roman" w:hAnsi="Times New Roman"/>
          <w:color w:val="000000" w:themeColor="text1"/>
          <w:sz w:val="16"/>
          <w:szCs w:val="16"/>
        </w:rPr>
        <w:softHyphen/>
        <w:t>низации серийного производства двух</w:t>
      </w:r>
      <w:r w:rsidRPr="00A3026E">
        <w:rPr>
          <w:rFonts w:ascii="Times New Roman" w:hAnsi="Times New Roman"/>
          <w:color w:val="000000" w:themeColor="text1"/>
          <w:sz w:val="16"/>
          <w:szCs w:val="16"/>
        </w:rPr>
        <w:softHyphen/>
        <w:t>местного БШ-2 АМ-35 на заводе № 381 (г. Ленинград) с выпуском в 1940 г. 10 машин. Этим же приказом С.В.Ильюши</w:t>
      </w:r>
      <w:r w:rsidRPr="00A3026E">
        <w:rPr>
          <w:rFonts w:ascii="Times New Roman" w:hAnsi="Times New Roman"/>
          <w:color w:val="000000" w:themeColor="text1"/>
          <w:sz w:val="16"/>
          <w:szCs w:val="16"/>
        </w:rPr>
        <w:softHyphen/>
        <w:t>ну поручалось к 1 ноября передать 381-му заводу опытный БШ-2 № 2, а к 5 ок</w:t>
      </w:r>
      <w:r w:rsidRPr="00A3026E">
        <w:rPr>
          <w:rFonts w:ascii="Times New Roman" w:hAnsi="Times New Roman"/>
          <w:color w:val="000000" w:themeColor="text1"/>
          <w:sz w:val="16"/>
          <w:szCs w:val="16"/>
        </w:rPr>
        <w:softHyphen/>
        <w:t>тября - рабочие чертежи и всю доку</w:t>
      </w:r>
      <w:r w:rsidRPr="00A3026E">
        <w:rPr>
          <w:rFonts w:ascii="Times New Roman" w:hAnsi="Times New Roman"/>
          <w:color w:val="000000" w:themeColor="text1"/>
          <w:sz w:val="16"/>
          <w:szCs w:val="16"/>
        </w:rPr>
        <w:softHyphen/>
        <w:t>ментацию к нему. Этот приказ выпол</w:t>
      </w:r>
      <w:r w:rsidRPr="00A3026E">
        <w:rPr>
          <w:rFonts w:ascii="Times New Roman" w:hAnsi="Times New Roman"/>
          <w:color w:val="000000" w:themeColor="text1"/>
          <w:sz w:val="16"/>
          <w:szCs w:val="16"/>
        </w:rPr>
        <w:softHyphen/>
        <w:t>нен, естественно, не был, так как ОКБ уже начало работы по переделке БШ-2 № 2 в одноместный вариант (6467).</w:t>
      </w:r>
    </w:p>
    <w:p w14:paraId="187194E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0FE865" w14:textId="77777777" w:rsidR="004A4726" w:rsidRPr="00A3026E" w:rsidRDefault="004A4726"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12 </w:t>
      </w:r>
      <w:r w:rsidRPr="00A3026E">
        <w:rPr>
          <w:rFonts w:ascii="Times New Roman" w:eastAsia="Times New Roman" w:hAnsi="Times New Roman"/>
          <w:color w:val="0070C0"/>
          <w:sz w:val="16"/>
          <w:szCs w:val="16"/>
        </w:rPr>
        <w:t>октября 1940 г. одноместный ЦКБ-57 под управлением В.К. Коккинаки совершил свой первый полет. Заводские испытания ЦКБ-57 были про</w:t>
      </w:r>
      <w:r w:rsidRPr="00A3026E">
        <w:rPr>
          <w:rFonts w:ascii="Times New Roman" w:eastAsia="Times New Roman" w:hAnsi="Times New Roman"/>
          <w:color w:val="0070C0"/>
          <w:sz w:val="16"/>
          <w:szCs w:val="16"/>
        </w:rPr>
        <w:softHyphen/>
        <w:t>ведены в исключительно сжатые сроки - всего за 10 летных дней. В полете у земли при нормальной взлетной массе 4988 кг и с винтом ВИШ-22Ю была достигнута максимальная скорость 423 км/ ч, а на границе высотности мото</w:t>
      </w:r>
      <w:r w:rsidRPr="00A3026E">
        <w:rPr>
          <w:rFonts w:ascii="Times New Roman" w:eastAsia="Times New Roman" w:hAnsi="Times New Roman"/>
          <w:color w:val="0070C0"/>
          <w:sz w:val="16"/>
          <w:szCs w:val="16"/>
        </w:rPr>
        <w:softHyphen/>
        <w:t>ра (2800 м) - 437 км/ч. При этом дальность полета у земли с нормальной бомбовой нагрузкой составила 850 км при средней скорости 380 км/ч. Время подъема на высоту 5000 м составило 10 мин, посадочная скорость - 140 км/ч, пробег при посадке - 260 м, а разбег при взлете -250 м. В.К. Коккинаки отмечал, что по своим летным свойствам самолет исключительно прост, управ</w:t>
      </w:r>
      <w:r w:rsidRPr="00A3026E">
        <w:rPr>
          <w:rFonts w:ascii="Times New Roman" w:eastAsia="Times New Roman" w:hAnsi="Times New Roman"/>
          <w:color w:val="0070C0"/>
          <w:sz w:val="16"/>
          <w:szCs w:val="16"/>
        </w:rPr>
        <w:softHyphen/>
        <w:t>ляемость и маневренность, по сравнению с ЦКБ-55, существенно улучши</w:t>
      </w:r>
      <w:r w:rsidRPr="00A3026E">
        <w:rPr>
          <w:rFonts w:ascii="Times New Roman" w:eastAsia="Times New Roman" w:hAnsi="Times New Roman"/>
          <w:color w:val="0070C0"/>
          <w:sz w:val="16"/>
          <w:szCs w:val="16"/>
        </w:rPr>
        <w:softHyphen/>
        <w:t>лись .</w:t>
      </w:r>
    </w:p>
    <w:p w14:paraId="1B533E2A" w14:textId="77777777" w:rsidR="004A4726" w:rsidRPr="00A3026E" w:rsidRDefault="004A4726" w:rsidP="00A3026E">
      <w:pPr>
        <w:shd w:val="clear" w:color="auto" w:fill="FFFFFF"/>
        <w:spacing w:after="0" w:line="240" w:lineRule="auto"/>
        <w:jc w:val="both"/>
        <w:rPr>
          <w:rFonts w:ascii="Times New Roman" w:hAnsi="Times New Roman"/>
          <w:color w:val="0070C0"/>
          <w:sz w:val="16"/>
          <w:szCs w:val="16"/>
        </w:rPr>
      </w:pPr>
      <w:r w:rsidRPr="00A3026E">
        <w:rPr>
          <w:rFonts w:ascii="Times New Roman" w:eastAsia="Times New Roman" w:hAnsi="Times New Roman"/>
          <w:color w:val="0070C0"/>
          <w:sz w:val="16"/>
          <w:szCs w:val="16"/>
        </w:rPr>
        <w:t>В этой связи, еще 3 октября 1940 г., А.И. Шахурин подписал приказ об организации серийного производства двухместного БШ-2 АМ-35 на заводе №381 (г. Ленинград) с выпуском в 1940 г. 10 машин. Этим же приказом СВ. Ильюшину поручалось к 1 ноября передать 381-му заводу опытный БШ-2 №2, а к 5 октября - рабочие чертежи и всю документацию к нему. Этот при</w:t>
      </w:r>
      <w:r w:rsidRPr="00A3026E">
        <w:rPr>
          <w:rFonts w:ascii="Times New Roman" w:eastAsia="Times New Roman" w:hAnsi="Times New Roman"/>
          <w:color w:val="0070C0"/>
          <w:sz w:val="16"/>
          <w:szCs w:val="16"/>
        </w:rPr>
        <w:softHyphen/>
        <w:t>каз выполнен не был, так как ОКБ уже начало работы по переделке БШ-2 № 2 в одноместный вариант.</w:t>
      </w:r>
    </w:p>
    <w:p w14:paraId="63849212" w14:textId="77777777" w:rsidR="004A4726" w:rsidRPr="00A3026E" w:rsidRDefault="004A4726" w:rsidP="00A3026E">
      <w:pPr>
        <w:shd w:val="clear" w:color="auto" w:fill="FFFFFF"/>
        <w:spacing w:after="0" w:line="240" w:lineRule="auto"/>
        <w:jc w:val="both"/>
        <w:rPr>
          <w:rFonts w:ascii="Times New Roman" w:hAnsi="Times New Roman"/>
          <w:color w:val="0070C0"/>
          <w:sz w:val="16"/>
          <w:szCs w:val="16"/>
        </w:rPr>
      </w:pPr>
      <w:r w:rsidRPr="00A3026E">
        <w:rPr>
          <w:rFonts w:ascii="Times New Roman" w:eastAsia="Times New Roman" w:hAnsi="Times New Roman"/>
          <w:color w:val="0070C0"/>
          <w:sz w:val="16"/>
          <w:szCs w:val="16"/>
        </w:rPr>
        <w:t>Ввиду того, что бронированный штурмовик был нужен ВВС незамед</w:t>
      </w:r>
      <w:r w:rsidRPr="00A3026E">
        <w:rPr>
          <w:rFonts w:ascii="Times New Roman" w:eastAsia="Times New Roman" w:hAnsi="Times New Roman"/>
          <w:color w:val="0070C0"/>
          <w:sz w:val="16"/>
          <w:szCs w:val="16"/>
        </w:rPr>
        <w:softHyphen/>
        <w:t>лительно, в декабре 1940 г. было принято решение (приказ А.И. Шахурина №739 от 14.12.1940 г.) о запуске в серийное производство одноместного штурмовика Ил-2 (9 декабря приказом по НКАП №704 все новые боевые са</w:t>
      </w:r>
      <w:r w:rsidRPr="00A3026E">
        <w:rPr>
          <w:rFonts w:ascii="Times New Roman" w:eastAsia="Times New Roman" w:hAnsi="Times New Roman"/>
          <w:color w:val="0070C0"/>
          <w:sz w:val="16"/>
          <w:szCs w:val="16"/>
        </w:rPr>
        <w:softHyphen/>
        <w:t>молеты, принятые к серийному производству, получили наименования по фамилиям их Главных конструкторов, в том числе БШ-2 стал именоваться Ил-2 ) на заводе № 18 по типу прошедшего госиспытания, то есть двух</w:t>
      </w:r>
      <w:r w:rsidRPr="00A3026E">
        <w:rPr>
          <w:rFonts w:ascii="Times New Roman" w:eastAsia="Times New Roman" w:hAnsi="Times New Roman"/>
          <w:color w:val="0070C0"/>
          <w:sz w:val="16"/>
          <w:szCs w:val="16"/>
        </w:rPr>
        <w:softHyphen/>
        <w:t>местного БШ-2 № 2.</w:t>
      </w:r>
    </w:p>
    <w:p w14:paraId="6FE49AF2" w14:textId="77777777" w:rsidR="004A4726" w:rsidRPr="00A3026E" w:rsidRDefault="004A4726" w:rsidP="00A3026E">
      <w:pPr>
        <w:shd w:val="clear" w:color="auto" w:fill="FFFFFF"/>
        <w:spacing w:after="0" w:line="240" w:lineRule="auto"/>
        <w:jc w:val="both"/>
        <w:rPr>
          <w:rFonts w:ascii="Times New Roman" w:hAnsi="Times New Roman"/>
          <w:color w:val="0070C0"/>
          <w:sz w:val="16"/>
          <w:szCs w:val="16"/>
        </w:rPr>
      </w:pPr>
      <w:r w:rsidRPr="00A3026E">
        <w:rPr>
          <w:rFonts w:ascii="Times New Roman" w:eastAsia="Times New Roman" w:hAnsi="Times New Roman"/>
          <w:color w:val="0070C0"/>
          <w:sz w:val="16"/>
          <w:szCs w:val="16"/>
        </w:rPr>
        <w:t>При этом директор 18-го завода М.Б. Шенкман и СВ. Ильюшин обя</w:t>
      </w:r>
      <w:r w:rsidRPr="00A3026E">
        <w:rPr>
          <w:rFonts w:ascii="Times New Roman" w:eastAsia="Times New Roman" w:hAnsi="Times New Roman"/>
          <w:color w:val="0070C0"/>
          <w:sz w:val="16"/>
          <w:szCs w:val="16"/>
        </w:rPr>
        <w:softHyphen/>
        <w:t>зывались обеспечить начало серийного производства Ил-2 с 15 февраля 1941 г. с выпуском до 1 марта - 10 машин, а всего в 1941 г. - 1200 штурмовиков. Кроме этого, лично СВ. Ильюшин должен был завершить заводские испы</w:t>
      </w:r>
      <w:r w:rsidRPr="00A3026E">
        <w:rPr>
          <w:rFonts w:ascii="Times New Roman" w:eastAsia="Times New Roman" w:hAnsi="Times New Roman"/>
          <w:color w:val="0070C0"/>
          <w:sz w:val="16"/>
          <w:szCs w:val="16"/>
        </w:rPr>
        <w:softHyphen/>
        <w:t>тания новой машины к 10 января 1941 г. В этой связи СВ. Ильюшин с груп</w:t>
      </w:r>
      <w:r w:rsidRPr="00A3026E">
        <w:rPr>
          <w:rFonts w:ascii="Times New Roman" w:eastAsia="Times New Roman" w:hAnsi="Times New Roman"/>
          <w:color w:val="0070C0"/>
          <w:sz w:val="16"/>
          <w:szCs w:val="16"/>
        </w:rPr>
        <w:softHyphen/>
        <w:t>пой ведущих конструкторов своего ОКБ 20 декабря прибыл в Воронеж для помощи заводскому КБ (20186).</w:t>
      </w:r>
    </w:p>
    <w:p w14:paraId="30193106" w14:textId="77777777" w:rsidR="004A4726" w:rsidRPr="00A3026E" w:rsidRDefault="004A4726" w:rsidP="00A3026E">
      <w:pPr>
        <w:shd w:val="clear" w:color="auto" w:fill="FFFFFF"/>
        <w:spacing w:after="0" w:line="240" w:lineRule="auto"/>
        <w:jc w:val="both"/>
        <w:rPr>
          <w:rFonts w:ascii="Times New Roman" w:hAnsi="Times New Roman"/>
          <w:color w:val="0070C0"/>
          <w:sz w:val="16"/>
          <w:szCs w:val="16"/>
        </w:rPr>
      </w:pPr>
      <w:r w:rsidRPr="00A3026E">
        <w:rPr>
          <w:rFonts w:ascii="Times New Roman" w:eastAsia="Times New Roman" w:hAnsi="Times New Roman"/>
          <w:color w:val="0070C0"/>
          <w:sz w:val="16"/>
          <w:szCs w:val="16"/>
          <w:lang w:val="uk-UA"/>
        </w:rPr>
        <w:t xml:space="preserve">За все </w:t>
      </w:r>
      <w:r w:rsidRPr="00A3026E">
        <w:rPr>
          <w:rFonts w:ascii="Times New Roman" w:eastAsia="Times New Roman" w:hAnsi="Times New Roman"/>
          <w:color w:val="0070C0"/>
          <w:sz w:val="16"/>
          <w:szCs w:val="16"/>
        </w:rPr>
        <w:t xml:space="preserve">время заводских испытаний </w:t>
      </w:r>
      <w:r w:rsidRPr="00A3026E">
        <w:rPr>
          <w:rFonts w:ascii="Times New Roman" w:eastAsia="Times New Roman" w:hAnsi="Times New Roman"/>
          <w:color w:val="0070C0"/>
          <w:sz w:val="16"/>
          <w:szCs w:val="16"/>
          <w:lang w:val="uk-UA"/>
        </w:rPr>
        <w:t xml:space="preserve">Ил-2 </w:t>
      </w:r>
      <w:r w:rsidRPr="00A3026E">
        <w:rPr>
          <w:rFonts w:ascii="Times New Roman" w:eastAsia="Times New Roman" w:hAnsi="Times New Roman"/>
          <w:color w:val="0070C0"/>
          <w:sz w:val="16"/>
          <w:szCs w:val="16"/>
        </w:rPr>
        <w:t>шеф-пилотом ОКБ В.К. Кок-кинаки было выполнено 43 полета и установлено, что летные данные брони</w:t>
      </w:r>
      <w:r w:rsidRPr="00A3026E">
        <w:rPr>
          <w:rFonts w:ascii="Times New Roman" w:eastAsia="Times New Roman" w:hAnsi="Times New Roman"/>
          <w:color w:val="0070C0"/>
          <w:sz w:val="16"/>
          <w:szCs w:val="16"/>
        </w:rPr>
        <w:softHyphen/>
        <w:t>рованного «Ила» с пушками ШВАК по сравнению с ЦКБ-57, практически не изменились и остались на приемлемом для боевого применения уровне. Так при взлетной массе 5125 кг (вес полезной нагрузки 1245 кг) в полете у земли была достигнута максимальная скорость 422 км/ч, а на высоте 2300 м - 446 км/ч. При этом максимальная дальность полета у земли с нормальной на</w:t>
      </w:r>
      <w:r w:rsidRPr="00A3026E">
        <w:rPr>
          <w:rFonts w:ascii="Times New Roman" w:eastAsia="Times New Roman" w:hAnsi="Times New Roman"/>
          <w:color w:val="0070C0"/>
          <w:sz w:val="16"/>
          <w:szCs w:val="16"/>
        </w:rPr>
        <w:softHyphen/>
        <w:t>грузкой составила 600 км при средней скорости 357км/ч, а время подъема на высоту 5000 м 10 минут. Длина разбега - 250 м, а пробега - 260 м при поса</w:t>
      </w:r>
      <w:r w:rsidRPr="00A3026E">
        <w:rPr>
          <w:rFonts w:ascii="Times New Roman" w:eastAsia="Times New Roman" w:hAnsi="Times New Roman"/>
          <w:color w:val="0070C0"/>
          <w:sz w:val="16"/>
          <w:szCs w:val="16"/>
        </w:rPr>
        <w:softHyphen/>
        <w:t>дочной скорости -140 км/ч (20186).</w:t>
      </w:r>
    </w:p>
    <w:p w14:paraId="517A7770" w14:textId="77777777" w:rsidR="004A4726" w:rsidRPr="00A3026E" w:rsidRDefault="004A4726" w:rsidP="00A3026E">
      <w:pPr>
        <w:shd w:val="clear" w:color="auto" w:fill="FFFFFF"/>
        <w:spacing w:after="0" w:line="240" w:lineRule="auto"/>
        <w:jc w:val="both"/>
        <w:rPr>
          <w:rFonts w:ascii="Times New Roman" w:hAnsi="Times New Roman"/>
          <w:color w:val="0070C0"/>
          <w:sz w:val="16"/>
          <w:szCs w:val="16"/>
        </w:rPr>
      </w:pPr>
    </w:p>
    <w:p w14:paraId="586960D1" w14:textId="77777777" w:rsidR="00A3684A" w:rsidRPr="00A3026E" w:rsidRDefault="00A3684A"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12 октября 1940, череза день после выхода при</w:t>
      </w:r>
      <w:r w:rsidRPr="00A3026E">
        <w:rPr>
          <w:color w:val="000000" w:themeColor="text1"/>
          <w:sz w:val="16"/>
          <w:szCs w:val="16"/>
        </w:rPr>
        <w:softHyphen/>
        <w:t>каза одноместный БШ-2 № 1 впервые был поднят в воздух. Как и ожидалось, летные данные стали лучше двухместного БШ-2. Однако в НИИ ВВС он не передавался ввиду неудовлетворительной работы мотора. Стало ясно, что АМ-38 требует длительной доводки (17500).</w:t>
      </w:r>
    </w:p>
    <w:p w14:paraId="5DB40D09" w14:textId="77777777" w:rsidR="00A3684A" w:rsidRPr="00A3026E" w:rsidRDefault="00A3684A" w:rsidP="00A3026E">
      <w:pPr>
        <w:pStyle w:val="128"/>
        <w:shd w:val="clear" w:color="auto" w:fill="auto"/>
        <w:spacing w:after="0" w:line="240" w:lineRule="auto"/>
        <w:jc w:val="both"/>
        <w:rPr>
          <w:color w:val="000000" w:themeColor="text1"/>
          <w:sz w:val="16"/>
          <w:szCs w:val="16"/>
        </w:rPr>
      </w:pPr>
    </w:p>
    <w:p w14:paraId="5F650D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вышел приказ 536сс НКАП о поощрении заводов 30 и 381 в связи с производством БШ-2 (248,18).</w:t>
      </w:r>
    </w:p>
    <w:p w14:paraId="42CA85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Точный текст приказа (248,18):</w:t>
      </w:r>
    </w:p>
    <w:p w14:paraId="6E7FE9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исполнение постановления Правительства от 1 октября с.г. N 388cc и в дополнение к моему приказу N 379 от 29 июля 1940 ПРИКАЗЫВАЮ:</w:t>
      </w:r>
    </w:p>
    <w:p w14:paraId="3C3C12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Начальнику ЦФО тов. Хавину оформить через НКФ СССР получение выделенных из резервного фонда СНК СССР 7.5 млн. рублей в том числе:</w:t>
      </w:r>
    </w:p>
    <w:p w14:paraId="67B13A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на постановку производства на заводе N 30 - 10 штук самолетов БШ-2 и изготовление в 1940 году двух комплектов оснастки для производства самолетов БШ заводу N 381 - 7 млн. рублей;</w:t>
      </w:r>
    </w:p>
    <w:p w14:paraId="152C31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мое распоряжение на премирование рабочих, ИТР и служащих завода N 30 за выпуск самолетов БШ-2 и изготовление двух комплектов оснастки заводу N 381 - 500000 рублей.</w:t>
      </w:r>
    </w:p>
    <w:p w14:paraId="5B611C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об израсходования премиальных сумм представить мне к 10 января 1940 года.</w:t>
      </w:r>
    </w:p>
    <w:p w14:paraId="3782CD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Этим же постановлением Наркомат Нефтяной Промышленности обязан обеспечить на Подольском заводе изготовление броневых каркасов для самолета БШ-2 по ранее изготовленным образцам и чертежам завода N 39 к 1 декабря 1940 года - 10 комплектов и к 1 января 1941 года - 15 комплектов.</w:t>
      </w:r>
    </w:p>
    <w:p w14:paraId="300907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Директору завода N 30 тов. Руденко:</w:t>
      </w:r>
    </w:p>
    <w:p w14:paraId="657013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довести до сведения коллектива рабочих, ИТР и служащих, что за своевременное выполнение программы по выпуску самолетов БШ-2 и изготовление двух комплектов оснастки для производства самолетов БШ - заводу N 381 установлена премия.</w:t>
      </w:r>
    </w:p>
    <w:p w14:paraId="17A279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выплата премии за своевременное выполнение программы по самолету БШ-2 и изготовление оснастки для завода N 381 производится в соответствии с Положением о премировании с моего утверждения.</w:t>
      </w:r>
    </w:p>
    <w:p w14:paraId="4F0B95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Авиационной</w:t>
      </w:r>
    </w:p>
    <w:p w14:paraId="0A7475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Промышленности СССР</w:t>
      </w:r>
    </w:p>
    <w:p w14:paraId="30BE03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(А.Шахурин)" (248,19).</w:t>
      </w:r>
    </w:p>
    <w:p w14:paraId="049DD1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Важно, что завод 30 работал над БШ-2 во всю, хотя постановление Правительства и приказ НКАП так и не обнаружены</w:t>
      </w:r>
    </w:p>
    <w:p w14:paraId="3569442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26845A4" w14:textId="77777777" w:rsidR="00F72578" w:rsidRPr="00A3026E" w:rsidRDefault="00F725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приказом НКАП от заводу №30 поручалось до конца года, помимо выпуска 10 самолетов БШ-2 АМ-35, изготовить два комплекта оснастки и отправить их на 381-й завод (19087).</w:t>
      </w:r>
    </w:p>
    <w:p w14:paraId="15446445" w14:textId="77777777" w:rsidR="00F72578" w:rsidRPr="00A3026E" w:rsidRDefault="00F72578" w:rsidP="00A3026E">
      <w:pPr>
        <w:spacing w:after="0" w:line="240" w:lineRule="auto"/>
        <w:jc w:val="both"/>
        <w:rPr>
          <w:rFonts w:ascii="Times New Roman" w:hAnsi="Times New Roman"/>
          <w:color w:val="000000" w:themeColor="text1"/>
          <w:sz w:val="16"/>
          <w:szCs w:val="16"/>
        </w:rPr>
      </w:pPr>
    </w:p>
    <w:p w14:paraId="7BC76D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12 октября по 20 декабря 1940 формально проходили заводские испытания БШ АМ-38 С.В.И. (2090,232).</w:t>
      </w:r>
    </w:p>
    <w:p w14:paraId="2CC7720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A6EF4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 одноместный ЦКБ-57 под управлением В.К. Коккинаки совершил первый полет. На са</w:t>
      </w:r>
      <w:r w:rsidRPr="00A3026E">
        <w:rPr>
          <w:rFonts w:ascii="Times New Roman" w:hAnsi="Times New Roman"/>
          <w:color w:val="000000" w:themeColor="text1"/>
          <w:sz w:val="16"/>
          <w:szCs w:val="16"/>
        </w:rPr>
        <w:softHyphen/>
        <w:t>молете вместо кабины стрелка в бронекорпусе установили 12-мм бронеперегородку и дополнительный бензо</w:t>
      </w:r>
      <w:r w:rsidRPr="00A3026E">
        <w:rPr>
          <w:rFonts w:ascii="Times New Roman" w:hAnsi="Times New Roman"/>
          <w:color w:val="000000" w:themeColor="text1"/>
          <w:sz w:val="16"/>
          <w:szCs w:val="16"/>
        </w:rPr>
        <w:softHyphen/>
        <w:t>бак на 155 кг горючего. Фонарь каби</w:t>
      </w:r>
      <w:r w:rsidRPr="00A3026E">
        <w:rPr>
          <w:rFonts w:ascii="Times New Roman" w:hAnsi="Times New Roman"/>
          <w:color w:val="000000" w:themeColor="text1"/>
          <w:sz w:val="16"/>
          <w:szCs w:val="16"/>
        </w:rPr>
        <w:softHyphen/>
        <w:t>ны летчика, замыкавшийся непро</w:t>
      </w:r>
      <w:r w:rsidRPr="00A3026E">
        <w:rPr>
          <w:rFonts w:ascii="Times New Roman" w:hAnsi="Times New Roman"/>
          <w:color w:val="000000" w:themeColor="text1"/>
          <w:sz w:val="16"/>
          <w:szCs w:val="16"/>
        </w:rPr>
        <w:softHyphen/>
        <w:t>зрачным обтекателем, сделали сдви</w:t>
      </w:r>
      <w:r w:rsidRPr="00A3026E">
        <w:rPr>
          <w:rFonts w:ascii="Times New Roman" w:hAnsi="Times New Roman"/>
          <w:color w:val="000000" w:themeColor="text1"/>
          <w:sz w:val="16"/>
          <w:szCs w:val="16"/>
        </w:rPr>
        <w:softHyphen/>
        <w:t>гающимся назад, а не откидываю</w:t>
      </w:r>
      <w:r w:rsidRPr="00A3026E">
        <w:rPr>
          <w:rFonts w:ascii="Times New Roman" w:hAnsi="Times New Roman"/>
          <w:color w:val="000000" w:themeColor="text1"/>
          <w:sz w:val="16"/>
          <w:szCs w:val="16"/>
        </w:rPr>
        <w:softHyphen/>
        <w:t>щимся, как это было у ЦКБ-55. Для улучшения продольной устойчивости двигатель сместили вперед на 50 мм, увеличили на 5 стреловидность кры</w:t>
      </w:r>
      <w:r w:rsidRPr="00A3026E">
        <w:rPr>
          <w:rFonts w:ascii="Times New Roman" w:hAnsi="Times New Roman"/>
          <w:color w:val="000000" w:themeColor="text1"/>
          <w:sz w:val="16"/>
          <w:szCs w:val="16"/>
        </w:rPr>
        <w:softHyphen/>
        <w:t>ла по передней кромке и на 3,1% пло</w:t>
      </w:r>
      <w:r w:rsidRPr="00A3026E">
        <w:rPr>
          <w:rFonts w:ascii="Times New Roman" w:hAnsi="Times New Roman"/>
          <w:color w:val="000000" w:themeColor="text1"/>
          <w:sz w:val="16"/>
          <w:szCs w:val="16"/>
        </w:rPr>
        <w:softHyphen/>
        <w:t>щадь стабилизатора. Произвели так</w:t>
      </w:r>
      <w:r w:rsidRPr="00A3026E">
        <w:rPr>
          <w:rFonts w:ascii="Times New Roman" w:hAnsi="Times New Roman"/>
          <w:color w:val="000000" w:themeColor="text1"/>
          <w:sz w:val="16"/>
          <w:szCs w:val="16"/>
        </w:rPr>
        <w:softHyphen/>
        <w:t>же и ряд других, менее существенных изменений конструкции (4140).</w:t>
      </w:r>
    </w:p>
    <w:p w14:paraId="0DB6F5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Из-за неготовности 23-мм крыльевых пушек МП-6 (габаритный чертеж пушки ОКБ Ильюшина получило от ОКБ-16 НКВ только 16 октября 1940-го), стрелковое вооружение ЦКБ-57 осталось пулеметным (4140).</w:t>
      </w:r>
    </w:p>
    <w:p w14:paraId="3EEC5B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 машины были проведены в исключительно сжатые сроки — всего за 10 летных дней. В. К. Коккинаки отмечал, что по своим летным свойствам самолет исключительно прост, его управляе</w:t>
      </w:r>
      <w:r w:rsidRPr="00A3026E">
        <w:rPr>
          <w:rFonts w:ascii="Times New Roman" w:hAnsi="Times New Roman"/>
          <w:color w:val="000000" w:themeColor="text1"/>
          <w:sz w:val="16"/>
          <w:szCs w:val="16"/>
        </w:rPr>
        <w:softHyphen/>
        <w:t>мость и маневренность по сравне</w:t>
      </w:r>
      <w:r w:rsidRPr="00A3026E">
        <w:rPr>
          <w:rFonts w:ascii="Times New Roman" w:hAnsi="Times New Roman"/>
          <w:color w:val="000000" w:themeColor="text1"/>
          <w:sz w:val="16"/>
          <w:szCs w:val="16"/>
        </w:rPr>
        <w:softHyphen/>
        <w:t>нию с ЦКБ-55 существенно улучши</w:t>
      </w:r>
      <w:r w:rsidRPr="00A3026E">
        <w:rPr>
          <w:rFonts w:ascii="Times New Roman" w:hAnsi="Times New Roman"/>
          <w:color w:val="000000" w:themeColor="text1"/>
          <w:sz w:val="16"/>
          <w:szCs w:val="16"/>
        </w:rPr>
        <w:softHyphen/>
        <w:t>лись. Длины разбега и пробега при</w:t>
      </w:r>
      <w:r w:rsidRPr="00A3026E">
        <w:rPr>
          <w:rFonts w:ascii="Times New Roman" w:hAnsi="Times New Roman"/>
          <w:color w:val="000000" w:themeColor="text1"/>
          <w:sz w:val="16"/>
          <w:szCs w:val="16"/>
        </w:rPr>
        <w:softHyphen/>
        <w:t>шли в соответствие с ТТТ (4140).</w:t>
      </w:r>
    </w:p>
    <w:p w14:paraId="0C8D1A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государственные испытания ЦКБ-57 не передавался ввиду неудов</w:t>
      </w:r>
      <w:r w:rsidRPr="00A3026E">
        <w:rPr>
          <w:rFonts w:ascii="Times New Roman" w:hAnsi="Times New Roman"/>
          <w:color w:val="000000" w:themeColor="text1"/>
          <w:sz w:val="16"/>
          <w:szCs w:val="16"/>
        </w:rPr>
        <w:softHyphen/>
        <w:t>летворительной работы АМ-38, кото</w:t>
      </w:r>
      <w:r w:rsidRPr="00A3026E">
        <w:rPr>
          <w:rFonts w:ascii="Times New Roman" w:hAnsi="Times New Roman"/>
          <w:color w:val="000000" w:themeColor="text1"/>
          <w:sz w:val="16"/>
          <w:szCs w:val="16"/>
        </w:rPr>
        <w:softHyphen/>
        <w:t>рый стал “ахиллесовой пятой” штур</w:t>
      </w:r>
      <w:r w:rsidRPr="00A3026E">
        <w:rPr>
          <w:rFonts w:ascii="Times New Roman" w:hAnsi="Times New Roman"/>
          <w:color w:val="000000" w:themeColor="text1"/>
          <w:sz w:val="16"/>
          <w:szCs w:val="16"/>
        </w:rPr>
        <w:softHyphen/>
        <w:t>мовика. Мотор совершенно не желал надежно работать — 24-й завод в ок</w:t>
      </w:r>
      <w:r w:rsidRPr="00A3026E">
        <w:rPr>
          <w:rFonts w:ascii="Times New Roman" w:hAnsi="Times New Roman"/>
          <w:color w:val="000000" w:themeColor="text1"/>
          <w:sz w:val="16"/>
          <w:szCs w:val="16"/>
        </w:rPr>
        <w:softHyphen/>
        <w:t>тябре-ноябре 1940-го так и не смог успешно завершить 50-часовые сов</w:t>
      </w:r>
      <w:r w:rsidRPr="00A3026E">
        <w:rPr>
          <w:rFonts w:ascii="Times New Roman" w:hAnsi="Times New Roman"/>
          <w:color w:val="000000" w:themeColor="text1"/>
          <w:sz w:val="16"/>
          <w:szCs w:val="16"/>
        </w:rPr>
        <w:softHyphen/>
        <w:t>местные испытания и был вынужден продолжить работу</w:t>
      </w:r>
      <w:r w:rsidRPr="00A3026E">
        <w:rPr>
          <w:rFonts w:ascii="Times New Roman" w:hAnsi="Times New Roman"/>
          <w:color w:val="000000" w:themeColor="text1"/>
          <w:sz w:val="16"/>
          <w:szCs w:val="16"/>
          <w:vertAlign w:val="superscript"/>
        </w:rPr>
        <w:t>7</w:t>
      </w:r>
      <w:r w:rsidRPr="00A3026E">
        <w:rPr>
          <w:rFonts w:ascii="Times New Roman" w:hAnsi="Times New Roman"/>
          <w:color w:val="000000" w:themeColor="text1"/>
          <w:sz w:val="16"/>
          <w:szCs w:val="16"/>
        </w:rPr>
        <w:t xml:space="preserve"> по его доводке и устранению дефектов уже в 1941 г (4140).</w:t>
      </w:r>
    </w:p>
    <w:p w14:paraId="1C3FA6C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0EEE6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1938 В.К.К выполнил первый полет на модифицированном одноместном ш ЦКБ-55 N 1, который стал ЦКБ-57 с АМ-38 (3846,12).</w:t>
      </w:r>
    </w:p>
    <w:p w14:paraId="781483B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60EE4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 одноместный ЦКБ-57 под управлением В.К.Коккинаки совершил свой первый полет.</w:t>
      </w:r>
    </w:p>
    <w:p w14:paraId="445CBE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вместо кабины стрелка в бронекорпусе установили 12-мм бронеперегородку и дополнительный бензобак на 155 кг горючего.</w:t>
      </w:r>
    </w:p>
    <w:p w14:paraId="3506E2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Фонарь кабины летчика, замыкавшийся непрозрачным обтекателем, был сделан сдвигающимся назад, а не откидывающимся, как это было у ЦКБ-55.</w:t>
      </w:r>
    </w:p>
    <w:p w14:paraId="641D69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улучшения продольной устойчивости самолета мотор был смещен вперед на 50 мм, увеличены на 5° стреловидность крыла по передней кромке и на 3,1% площадь стабилизатора, что привело к смещению центровки самолета с 31% до 29,5% САХ. Кроме этого, с целью облегчения управления элеронами былд изменена степень их аэродинамической компенсации.</w:t>
      </w:r>
    </w:p>
    <w:p w14:paraId="57745D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Произвели также другие, менее существенные изменения конструкции.</w:t>
      </w:r>
    </w:p>
    <w:p w14:paraId="26375D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не готовностью 23-мм кры-льевых пушек МП-б (ОКБ Ильюшина только 16 октября 40-го получило от ОКБ-16 НКВ габаритный чертеж пушки), вооружение ЦКБ-57-го осталось без изменения: 4 пулемета ШКАС в крыле с общим боекомплектом 3000 патронов и 400 кг авиабомб на внутренней подвеске.</w:t>
      </w:r>
    </w:p>
    <w:p w14:paraId="34FE29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Усиление, по требованию специалистов ВВС, бронирования штурмовика с боков имитировалось соответствующим увеличением веса машины.</w:t>
      </w:r>
    </w:p>
    <w:p w14:paraId="1585C0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 ЦКБ-57 были проведены в исключительно сжатые сроки - всего за 10 летных дней.</w:t>
      </w:r>
    </w:p>
    <w:p w14:paraId="473523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полете у земли при нормальной взлетной массе 4988 кг и с винтом ВИШ-22Ю была достигнута максимальная скорость 423 км/ч, а на границе высотности мотора (2800 м) -437 км/ч. При этом дальность полета у земли с нормальной бомбовой нагрузкой составила 850 км при средней скорости 380 км/ч.</w:t>
      </w:r>
    </w:p>
    <w:p w14:paraId="5C8D3A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 5000 м составило 10 мин, посадочная скорость - 140 км/ч, пробег при посадке - 260 м, а разбег при взлете - 250 м.</w:t>
      </w:r>
    </w:p>
    <w:p w14:paraId="310934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 Коккинаки отмечал, что по своим летным свойствам самолет исключительно прост, управляемость и маневренность, по сравнению с ЦКБ-55, существенно улучшились. Длины разбега при взлете и пробега при посадке пришли в норму и соответствовали ТТТ.</w:t>
      </w:r>
    </w:p>
    <w:p w14:paraId="494279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государственные испытания ЦКБ-57 не передавался ввиду неудовлетворительной работы мотора АМ-38, который стал своеобразной «ахиллесовой пятой» штурмовика.</w:t>
      </w:r>
    </w:p>
    <w:p w14:paraId="162E52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совершенно не желал надежно работать - 24-й завод в октябре-ноябре 40-го так и не смог, по причине прогара клапана выпуска мотора, успешно завершить 50-часовые совместные испытания и был вынужден продолжить работу по его доводке и устранению дефектов уже в 1941 г. (9649)</w:t>
      </w:r>
    </w:p>
    <w:p w14:paraId="0A2DBA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 состоялся первый полет ЦКБ-57. В.К.Коккинаки провел заводские испытания в сжатые сроки, всего за 10 летных дней. В полете у земли была достигнута весьма высокая по тому времени максимальная скорость - 423 км/ч, а на границе высотности двигателя - 437 км/ч. В заключении по испытаниям ЦКБ-57 Коккинаки указывал: «...Самолет ЦКБ-57 АМ-38 соответствует предъявленным к нему тактико-техническим требованиям. По своим полетным свойствам самолет исключительно прост. Никаких особенностей нет. Продольная устойчивость самолета улучшена по сравнению с БШ-2 АМ-35. Надо довести центровку до 26% САХ. Желательно иметь на самолете сдвигающийся назад колпак» (9528).</w:t>
      </w:r>
    </w:p>
    <w:p w14:paraId="175DA4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результатов заводских испытаний ЦКБ-57 С.В.Ильюшин посчитал, что проведенные доработки устранили основные недостатки машины и, учитывая напряженную международную обстановку и начавшуюся войну в Европе, необходимо срочно решить вопрос о принятии самолета на вооружение и развертывании его крупносерийного производства. Постройка 10 самолетов БШ-2 для войсковых испытаний, результаты которых в лучшем случае могли быть получены в первой половине 1941 г., проблемы не решала. В сложившейся ситуации решить ее можно было лишь на самом высоком правительственном уровне.</w:t>
      </w:r>
    </w:p>
    <w:p w14:paraId="7E723A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свидетельствам современников - зам. наркома по опытному самолетостроению А.С.Яковлева, зам. Главного конструктора В.Н.Бугайского - в начале ноября 1940 г. С.В.Ильюшин обратился с письмом к И.В.Сталину. После обсуждения технических особенностей самолетов БШ-2 и ЦКБ-57, оценки военными специалистами их боевых качеств, И.В.Сталин принял решение о запуске в крупносерийное производство одноместного варианта самолета (9528).</w:t>
      </w:r>
    </w:p>
    <w:p w14:paraId="7F4BB1F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F689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12 по 24 октября 1940 года проходили гос. испытания серийного самолета ДБ-3Ф 2М-87 № 180137 производства завода № 18 с винтами ВИШ-23 с установленными воздушно-масляными радиаторами в туннелях крыльев</w:t>
      </w:r>
    </w:p>
    <w:p w14:paraId="2E160A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1E8CCD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2 отдела НИИ ВВС в/инженер 1 ранга Марков</w:t>
      </w:r>
    </w:p>
    <w:p w14:paraId="1ABFD7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по испытаниям инженер 1 отдела НИИ ВВС в/инженер 1 ранга Платонов</w:t>
      </w:r>
    </w:p>
    <w:p w14:paraId="4CBF66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капитан Сыроегин</w:t>
      </w:r>
    </w:p>
    <w:p w14:paraId="65DE16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1403C84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летно-технические данные серийного самолета ДБ-3Ф 2 М-87Б с ВИШ-23, постройки завода № 18 с установкой воздушно-масляных радиаторов в туннелях крыльев.</w:t>
      </w:r>
    </w:p>
    <w:p w14:paraId="70263E6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эффективность действия воздушно-масляных радиаторов, установленных в туннелях крыльев и дать эксплуатационную оценку установки их.</w:t>
      </w:r>
    </w:p>
    <w:p w14:paraId="0634D8A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выработку бензина при работе на различных группах баков.</w:t>
      </w:r>
    </w:p>
    <w:p w14:paraId="346738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 18 предъявлен на гос. испытания серийный самолет ДБ-3Ф № 180137 с двумя моторами М-87, винтами ВИШ-23 и стреловыми установками МВ-2 и МВ-3.</w:t>
      </w:r>
    </w:p>
    <w:p w14:paraId="76EEB6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данном самолете воздушно-масляные радиаторы установлены в специальной тоннели и расположены в носке крыла, параллельно переднему лонжерону.</w:t>
      </w:r>
    </w:p>
    <w:p w14:paraId="3ECA01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ранее выпускаемых самолетах ДБ-3Ф, воздушно-масляные радиаторы устанавливались также в носке крыла, но размещались перпендикулярно переднему лонжерону и выходили за габариты крыла.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32"/>
        <w:gridCol w:w="2030"/>
        <w:gridCol w:w="1984"/>
        <w:gridCol w:w="2410"/>
      </w:tblGrid>
      <w:tr w:rsidR="00983732" w:rsidRPr="00A3026E" w14:paraId="1546CFE1" w14:textId="77777777" w:rsidTr="00EA0DA7">
        <w:tc>
          <w:tcPr>
            <w:tcW w:w="4032" w:type="dxa"/>
          </w:tcPr>
          <w:p w14:paraId="669E3A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w:t>
            </w:r>
          </w:p>
        </w:tc>
        <w:tc>
          <w:tcPr>
            <w:tcW w:w="2030" w:type="dxa"/>
          </w:tcPr>
          <w:p w14:paraId="5F41D8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w:t>
            </w:r>
          </w:p>
          <w:p w14:paraId="7C1322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180137 серийный</w:t>
            </w:r>
          </w:p>
        </w:tc>
        <w:tc>
          <w:tcPr>
            <w:tcW w:w="1984" w:type="dxa"/>
          </w:tcPr>
          <w:p w14:paraId="052E4B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w:t>
            </w:r>
          </w:p>
          <w:p w14:paraId="5C0FD9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180630 головной серийный</w:t>
            </w:r>
          </w:p>
        </w:tc>
        <w:tc>
          <w:tcPr>
            <w:tcW w:w="2410" w:type="dxa"/>
          </w:tcPr>
          <w:p w14:paraId="670B91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w:t>
            </w:r>
          </w:p>
          <w:p w14:paraId="41EBFC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390801 эталон II половины 1940 года</w:t>
            </w:r>
          </w:p>
        </w:tc>
      </w:tr>
      <w:tr w:rsidR="00983732" w:rsidRPr="00A3026E" w14:paraId="13A29B97" w14:textId="77777777" w:rsidTr="00EA0DA7">
        <w:tc>
          <w:tcPr>
            <w:tcW w:w="4032" w:type="dxa"/>
          </w:tcPr>
          <w:p w14:paraId="58A1B1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Завод-поставщик</w:t>
            </w:r>
          </w:p>
        </w:tc>
        <w:tc>
          <w:tcPr>
            <w:tcW w:w="2030" w:type="dxa"/>
          </w:tcPr>
          <w:p w14:paraId="4E13D5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1984" w:type="dxa"/>
          </w:tcPr>
          <w:p w14:paraId="69E19D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2410" w:type="dxa"/>
          </w:tcPr>
          <w:p w14:paraId="0F643D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r>
      <w:tr w:rsidR="00983732" w:rsidRPr="00A3026E" w14:paraId="6BF38555" w14:textId="77777777" w:rsidTr="00EA0DA7">
        <w:tc>
          <w:tcPr>
            <w:tcW w:w="4032" w:type="dxa"/>
          </w:tcPr>
          <w:p w14:paraId="6037AE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w:t>
            </w:r>
          </w:p>
        </w:tc>
        <w:tc>
          <w:tcPr>
            <w:tcW w:w="2030" w:type="dxa"/>
          </w:tcPr>
          <w:p w14:paraId="532852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М-87</w:t>
            </w:r>
          </w:p>
        </w:tc>
        <w:tc>
          <w:tcPr>
            <w:tcW w:w="1984" w:type="dxa"/>
          </w:tcPr>
          <w:p w14:paraId="4CF359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М-87</w:t>
            </w:r>
          </w:p>
        </w:tc>
        <w:tc>
          <w:tcPr>
            <w:tcW w:w="2410" w:type="dxa"/>
          </w:tcPr>
          <w:p w14:paraId="2EBEE2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r>
      <w:tr w:rsidR="00983732" w:rsidRPr="00A3026E" w14:paraId="2C73B129" w14:textId="77777777" w:rsidTr="00EA0DA7">
        <w:tc>
          <w:tcPr>
            <w:tcW w:w="4032" w:type="dxa"/>
          </w:tcPr>
          <w:p w14:paraId="784F01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Стрелковые установки</w:t>
            </w:r>
          </w:p>
        </w:tc>
        <w:tc>
          <w:tcPr>
            <w:tcW w:w="2030" w:type="dxa"/>
          </w:tcPr>
          <w:p w14:paraId="0A0A62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МВ-2 и МВ-3</w:t>
            </w:r>
          </w:p>
        </w:tc>
        <w:tc>
          <w:tcPr>
            <w:tcW w:w="1984" w:type="dxa"/>
          </w:tcPr>
          <w:p w14:paraId="4B6AFA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МВ-2 и МВ-3</w:t>
            </w:r>
          </w:p>
        </w:tc>
        <w:tc>
          <w:tcPr>
            <w:tcW w:w="2410" w:type="dxa"/>
          </w:tcPr>
          <w:p w14:paraId="620672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МВ-2 и МВ-3</w:t>
            </w:r>
          </w:p>
        </w:tc>
      </w:tr>
      <w:tr w:rsidR="00983732" w:rsidRPr="00A3026E" w14:paraId="55574486" w14:textId="77777777" w:rsidTr="00EA0DA7">
        <w:tc>
          <w:tcPr>
            <w:tcW w:w="4032" w:type="dxa"/>
          </w:tcPr>
          <w:p w14:paraId="6D603B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Н=0</w:t>
            </w:r>
          </w:p>
        </w:tc>
        <w:tc>
          <w:tcPr>
            <w:tcW w:w="2030" w:type="dxa"/>
          </w:tcPr>
          <w:p w14:paraId="1FCAF9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337 км/час</w:t>
            </w:r>
          </w:p>
        </w:tc>
        <w:tc>
          <w:tcPr>
            <w:tcW w:w="1984" w:type="dxa"/>
          </w:tcPr>
          <w:p w14:paraId="48D465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 км/час</w:t>
            </w:r>
          </w:p>
        </w:tc>
        <w:tc>
          <w:tcPr>
            <w:tcW w:w="2410" w:type="dxa"/>
          </w:tcPr>
          <w:p w14:paraId="174F39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345 км/час</w:t>
            </w:r>
          </w:p>
        </w:tc>
      </w:tr>
      <w:tr w:rsidR="00983732" w:rsidRPr="00A3026E" w14:paraId="037F1756" w14:textId="77777777" w:rsidTr="00EA0DA7">
        <w:tc>
          <w:tcPr>
            <w:tcW w:w="4032" w:type="dxa"/>
          </w:tcPr>
          <w:p w14:paraId="0FECAF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границе высотности</w:t>
            </w:r>
          </w:p>
        </w:tc>
        <w:tc>
          <w:tcPr>
            <w:tcW w:w="2030" w:type="dxa"/>
          </w:tcPr>
          <w:p w14:paraId="062622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414 км/час</w:t>
            </w:r>
          </w:p>
        </w:tc>
        <w:tc>
          <w:tcPr>
            <w:tcW w:w="1984" w:type="dxa"/>
          </w:tcPr>
          <w:p w14:paraId="001362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405 км/час</w:t>
            </w:r>
          </w:p>
        </w:tc>
        <w:tc>
          <w:tcPr>
            <w:tcW w:w="2410" w:type="dxa"/>
          </w:tcPr>
          <w:p w14:paraId="02BF64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410/428 км/час</w:t>
            </w:r>
          </w:p>
        </w:tc>
      </w:tr>
    </w:tbl>
    <w:p w14:paraId="3DAEEC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7AA2334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Расположение воздушно-масляных радиаторов по схеме, утвержденной в отчете по гос. испытаниям самолета ДБ3Ф-2М88 с ВИШ-23 за № 390801 допускает нормальную эксплуатацию моторов М-87 с винтом ВИШ-23 на самолетах ДБ-3.</w:t>
      </w:r>
    </w:p>
    <w:p w14:paraId="3B97591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Благодаря новому расположению радиаторов скорость самолета с турелью МВ-3 (МВ-2 убрана) увеличивается на 9 км/час на границе высотности моторов и равна 414 км/час вместо 405 км/час.</w:t>
      </w:r>
    </w:p>
    <w:p w14:paraId="384240F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решения начальника ГУ ВВС Рычагова от 30 сентября 1940 года заводам 18, 39 и 126 надлежит на всех выпускаемых и сдаваемых в строевые части ВВС самолетах ДБ-3 устанавливать масляные радиаторы по новой схеме.</w:t>
      </w:r>
    </w:p>
    <w:p w14:paraId="60C239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испытания 12 октября 1940 года</w:t>
      </w:r>
    </w:p>
    <w:p w14:paraId="1615E6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окончил испытания 24 октября 1940 года</w:t>
      </w:r>
    </w:p>
    <w:p w14:paraId="612661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Общая продолжительность испытаний 12 дней, из них летных – 5 дней</w:t>
      </w:r>
    </w:p>
    <w:p w14:paraId="1885A5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самолета произведено 7 полетов общей продолжительностью 6 час. 05 мин. (4380).</w:t>
      </w:r>
    </w:p>
    <w:p w14:paraId="5A201CD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FEAF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года вышел приказ НИИ ВВС № 0225</w:t>
      </w:r>
    </w:p>
    <w:p w14:paraId="719CF49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самолета ДБ-3Ф 2М87 с ВИШ-23 № 180137 выпуска завода № 18 с новой установкой масловоздушных радиаторов (6890, 138).</w:t>
      </w:r>
    </w:p>
    <w:p w14:paraId="2D5F1DD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5089F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С.В.Ильюшин сообщил наркому авиационной промышленности А.И.Шахурину о готовности ДБ-4 с двумя двигателями АМ-37 к заводским испытаниям (9528).</w:t>
      </w:r>
    </w:p>
    <w:p w14:paraId="26E4FF5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A2357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был датирован протокол 14 совещания постоянной комиссии НКАП по рассмотрению эскизных проектов. Рассмотрели:</w:t>
      </w:r>
    </w:p>
    <w:p w14:paraId="78EF5F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одноместного двухмоторного истребителя 2хАМ-37 конструкции ГК завода 289 П.О.С. Цельнометаллический моноплан с низкорасположенным крылом, мотогондолы под крылом, двухкилевое оперение, л защищен прозрачной броней спереди и сзади, бронеспинкой и бронеполом. Заключение: "Строить нецелесообразно", но решили рассмотреть еще раз после получения дополнительных материалов (1448,193).</w:t>
      </w:r>
    </w:p>
    <w:p w14:paraId="122803E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29D9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НКАП выдал заказ НКВ на проведение опытных работ по изучению возможности установки 23-мм МП-3 на И-200 вместо ШКАС. В ОКБ-16 подали полноразмерный макет в виду неготовности опытного самолета. Требовались существенные изменения конструкции пушки (4415,35).</w:t>
      </w:r>
    </w:p>
    <w:p w14:paraId="747BB3A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8A736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 был выдан заказ наркомату вооружения на проведение опытных ра</w:t>
      </w:r>
      <w:r w:rsidRPr="00A3026E">
        <w:rPr>
          <w:rFonts w:ascii="Times New Roman" w:hAnsi="Times New Roman"/>
          <w:color w:val="000000" w:themeColor="text1"/>
          <w:sz w:val="16"/>
          <w:szCs w:val="16"/>
        </w:rPr>
        <w:softHyphen/>
        <w:t>бот по изучению возможности установки 23-мм пуш</w:t>
      </w:r>
      <w:r w:rsidRPr="00A3026E">
        <w:rPr>
          <w:rFonts w:ascii="Times New Roman" w:hAnsi="Times New Roman"/>
          <w:color w:val="000000" w:themeColor="text1"/>
          <w:sz w:val="16"/>
          <w:szCs w:val="16"/>
        </w:rPr>
        <w:softHyphen/>
        <w:t>ки МП—3 на И—200 вместо пулеметов ШКАС. Для этого изготовили и направили в ОКБ—16 полнораз</w:t>
      </w:r>
      <w:r w:rsidRPr="00A3026E">
        <w:rPr>
          <w:rFonts w:ascii="Times New Roman" w:hAnsi="Times New Roman"/>
          <w:color w:val="000000" w:themeColor="text1"/>
          <w:sz w:val="16"/>
          <w:szCs w:val="16"/>
        </w:rPr>
        <w:softHyphen/>
        <w:t>мерный макет истребителя.</w:t>
      </w:r>
    </w:p>
    <w:p w14:paraId="51D829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результатам примерок было установлено, что новую пушку можно смонтировать только после вне</w:t>
      </w:r>
      <w:r w:rsidRPr="00A3026E">
        <w:rPr>
          <w:rFonts w:ascii="Times New Roman" w:hAnsi="Times New Roman"/>
          <w:color w:val="000000" w:themeColor="text1"/>
          <w:sz w:val="16"/>
          <w:szCs w:val="16"/>
        </w:rPr>
        <w:softHyphen/>
        <w:t>сения значительных изменений в ее конструкцию. Я.Г.Таубин брался разработать специальный вариант пушки для установки его в мотоотсеке истребителя ИП—201, но для ее нормальной работы необходимо было значительно усилить конструкцию моторамы. Установка пушки в крыле не представляла особых трудностей и могла быть осуществлена без изменений ее конструкции. Требовалось только подкрепить на</w:t>
      </w:r>
      <w:r w:rsidRPr="00A3026E">
        <w:rPr>
          <w:rFonts w:ascii="Times New Roman" w:hAnsi="Times New Roman"/>
          <w:color w:val="000000" w:themeColor="text1"/>
          <w:sz w:val="16"/>
          <w:szCs w:val="16"/>
        </w:rPr>
        <w:softHyphen/>
        <w:t>бор крыла, не рассчитанного на большую силу отдачи.</w:t>
      </w:r>
    </w:p>
    <w:p w14:paraId="6CCE82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Вскоре ОКБ—16 довело скорострельность пушки до 600 выстр/мин (этот вариант получил название МП—6). После окончания испытаний постановле</w:t>
      </w:r>
      <w:r w:rsidRPr="00A3026E">
        <w:rPr>
          <w:rFonts w:ascii="Times New Roman" w:hAnsi="Times New Roman"/>
          <w:color w:val="000000" w:themeColor="text1"/>
          <w:sz w:val="16"/>
          <w:szCs w:val="16"/>
        </w:rPr>
        <w:softHyphen/>
        <w:t>нием Комитета Обороны от 16 ноября 1940 г. ее приняли на вооружение (9984).</w:t>
      </w:r>
    </w:p>
    <w:p w14:paraId="49717B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19373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был предъявлен макет ДИС МиГ с 2хАМ-37 (990,3).</w:t>
      </w:r>
    </w:p>
    <w:p w14:paraId="30B21A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при осмотре макета присутствовал п/п Стефановский, в/пред Янчук, ви3р Алексеенко, Синя..., Сало..., ви2р Франьев, от з-да № 1 Микоян, Гуревич, от зав. № 24 Микулин, Флисский, Пикуль.</w:t>
      </w:r>
    </w:p>
    <w:p w14:paraId="3BC103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Протокол макетной комиссии утвержден 12 ноября 1940 гла Гусевым (в одноместном варианте вместо 2-х местного, требуемого макетной комиссией) (990,6).</w:t>
      </w:r>
    </w:p>
    <w:p w14:paraId="76A8295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C47BB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закончились дополнительные заводские испытания И-26-3, которые проходили с 18 сентября 1940 (65,22).</w:t>
      </w:r>
    </w:p>
    <w:p w14:paraId="56FCEB1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D475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закончились заводские испытания И-26-3, которые проходили с 18 сентября 1940. Проводил С.А.Корзинщиков. В конструкции были учтены недостатки двух предыдущих прототипов и до 107% разрушающей нагрузки была увеличена прочность крыла. Масса выросла еще на 100 кг, но машина могла выполнять все фигуры пилотажа и была отстреляна (3417,3).</w:t>
      </w:r>
    </w:p>
    <w:p w14:paraId="549E324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3FCA078" w14:textId="77777777" w:rsidR="00C66762" w:rsidRPr="00A3026E" w:rsidRDefault="00C66762" w:rsidP="00A3026E">
      <w:pPr>
        <w:pStyle w:val="22"/>
        <w:widowControl/>
        <w:tabs>
          <w:tab w:val="left" w:pos="360"/>
        </w:tabs>
        <w:rPr>
          <w:color w:val="000000" w:themeColor="text1"/>
        </w:rPr>
      </w:pPr>
      <w:r w:rsidRPr="00A3026E">
        <w:rPr>
          <w:color w:val="000000" w:themeColor="text1"/>
        </w:rPr>
        <w:t>С 12 по 19 октября 1940 проходили заводские испытания И-21 М-105 второго. Госиспытания хотели проводить в Горьком и в Сейме (на аэродроме 166 резервного авиаполка), но машину передали в НИИ АВ для испытания вооружения (8280,26).</w:t>
      </w:r>
    </w:p>
    <w:p w14:paraId="1DA4F609" w14:textId="77777777" w:rsidR="00C66762" w:rsidRPr="00A3026E" w:rsidRDefault="00C66762" w:rsidP="00A3026E">
      <w:pPr>
        <w:pStyle w:val="22"/>
        <w:widowControl/>
        <w:tabs>
          <w:tab w:val="left" w:pos="360"/>
        </w:tabs>
        <w:rPr>
          <w:color w:val="000000" w:themeColor="text1"/>
        </w:rPr>
      </w:pPr>
    </w:p>
    <w:p w14:paraId="5C7F73F6" w14:textId="77777777" w:rsidR="00226974" w:rsidRPr="00A3026E" w:rsidRDefault="0022697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состоялся второй полет второго ИП-21, который выявил некондиционность установленного на самолете двигателя — при его осмотре механики обнаружили металлическую стружку в маслофильтре. Двигатель пришлось заменить. 17 октября, после замены двигателя, состоялся ознакомительный полет заводского летчика Большакова. 20-го и 24-го выполнялись полеты на высоту 5000 м, 1 ноября — полеты на определение скорости, 2 ноября — на пилотаж. По заключению заводских пилотов Фокина и Большакова, второй экземпляр в воздухе вел себя устойчиво (15561).</w:t>
      </w:r>
    </w:p>
    <w:p w14:paraId="20908327" w14:textId="77777777" w:rsidR="00226974" w:rsidRPr="00A3026E" w:rsidRDefault="00226974" w:rsidP="00A3026E">
      <w:pPr>
        <w:spacing w:after="0" w:line="240" w:lineRule="auto"/>
        <w:jc w:val="both"/>
        <w:rPr>
          <w:rFonts w:ascii="Times New Roman" w:hAnsi="Times New Roman"/>
          <w:color w:val="000000" w:themeColor="text1"/>
          <w:sz w:val="16"/>
          <w:szCs w:val="16"/>
        </w:rPr>
      </w:pPr>
    </w:p>
    <w:p w14:paraId="630440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Яценко писал письмо № 44с К.Е.В. (входящий № 20866 от 12.10.40:</w:t>
      </w:r>
    </w:p>
    <w:p w14:paraId="352712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 вынужден вторично обратиться.к Вам Клемент Ефремович о просьбой так как 4-ре месяца, прошедших после вашего указания об определении мне базы и задания, прошли, вопрос не сдвинулся о места и наоборот осложнился.</w:t>
      </w:r>
    </w:p>
    <w:p w14:paraId="36F4C8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 ликвидировал свою опытную базу в связи с постройкою на САРКОМБАЙНЕ И-28.</w:t>
      </w:r>
    </w:p>
    <w:p w14:paraId="67AA31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мае с/г. И-28 был снят, хотя еще и сейчас, не смотря на то, что он был спроектирован в 1938 г.и под воздушный мотор, он отстает от И-26 на 10-12 км.</w:t>
      </w:r>
    </w:p>
    <w:p w14:paraId="0732F7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последние 4 месяца я дал новый проект, удовлетворяющий всем требованиям ВВС и им утвержденный.</w:t>
      </w:r>
    </w:p>
    <w:p w14:paraId="495CF5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постановления К.О. отправлен Вам 12 сентября, но решения по нему нет.</w:t>
      </w:r>
    </w:p>
    <w:p w14:paraId="0E4777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это время мы работали, имея заверение зам. наркома т. ЯКОВЛЕВА в том, что вопрос о базе в цехе ширпотреба завода №81 решен положительно.</w:t>
      </w:r>
    </w:p>
    <w:p w14:paraId="66C71A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октября т.ЯКОВЛЕВ предложил мне со всем коллективом ехать на один из вновь организуемых заводов-для работ по внедрению в серию, а нарком т. ШАХУРИН 10 октября: добавил что будет дано опытное задание.</w:t>
      </w:r>
    </w:p>
    <w:p w14:paraId="7F4D23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Совместить работу серийную и опытную невозможно.</w:t>
      </w:r>
    </w:p>
    <w:p w14:paraId="4D684F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Необходимость серийного выпуска новых машин для меня бесспорно и, следовательно, я буду заниматься серией отодвинув на длительный срок опытные работы.</w:t>
      </w:r>
    </w:p>
    <w:p w14:paraId="35D127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 работаю в авиации с марта 1915 года, работаю в опытном самолетостроении с момента его организации в союзе, прошел роста работника, участвую в проектировании не менее 15 опытных машин и наконец я сделал самостоятельную работу И-28.</w:t>
      </w:r>
    </w:p>
    <w:p w14:paraId="33D2FF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Коллектив доказал на первое пробе свою работоспособность, Мы приобрели новый опыт, мы знаем наша ошибки, мы можем сечас дать то, что нужно Красной Армии и нам предлагают переменить специальность и взяться за раооту нужную и почетную но совершенно незнакомую нам.</w:t>
      </w:r>
    </w:p>
    <w:p w14:paraId="408E6D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что нас хотят заставить сделать меньше чем мы можем. Почему товарищи БЕЛЯЕВ, БОЛХОВИТИНОВ, БОРОВКОВ, ГРИБОВСКИЙ, МАСКАЛЕВ, ТАИРОВ и др. имеют право работать, а нас всего лишают?</w:t>
      </w:r>
    </w:p>
    <w:p w14:paraId="331D35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этот год они спроектировали не одну машину и строят их. За что мы лишились возможности работать? Неужели за то, что два года назад спроектировали и в необычайно тяжелых условиях построили машину, за которую посла доклада майора т. СТЕФАНОВСКОГО т. СТАЛИН 30 июня прошлого года пожал мне руку?</w:t>
      </w:r>
    </w:p>
    <w:p w14:paraId="029E60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 и наш коллектив убеждены, что мы можем дать Красной Армии то что нужно и лучшего качества, поэтому я прошу вас Клемент Ефремович дать нам возможность работать там где отдача нашего труда будет больше.</w:t>
      </w:r>
    </w:p>
    <w:p w14:paraId="10F5D0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 прошу Вас определить нам базу на территории цеха ширпотреба завода № 81.</w:t>
      </w:r>
    </w:p>
    <w:p w14:paraId="4144FC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Отпустить нам в октябре-ноябре металлообрабатывающих 21 шт., деревообделочных 4 шт. и прочих включая лабораторное оборудование 26 шт.</w:t>
      </w:r>
    </w:p>
    <w:p w14:paraId="0E9D8B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организации производства с полным самообслуживанием потребуется 2,5- 3 миллиона рублей из них 1000 т.р. в этом году. Деньги 1500 т.р. на организацию базы для моего КБ Правительством были отпущены еще в мае с/г.</w:t>
      </w:r>
    </w:p>
    <w:p w14:paraId="4D0FD2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условии передачи цеха и станков мы еще имеем возможность сорганизоваться и дать первую машину И-29 в июне 1941 г. на заводские испытания.</w:t>
      </w:r>
    </w:p>
    <w:p w14:paraId="730E73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 считаю что мы должны работать и прошу вас это подтвердить.</w:t>
      </w:r>
    </w:p>
    <w:p w14:paraId="0C5F7F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ГЛАВНЫЙ КОНСТРУКТОР</w:t>
      </w:r>
    </w:p>
    <w:p w14:paraId="46A389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/Яценко/ (4049,52).</w:t>
      </w:r>
    </w:p>
    <w:p w14:paraId="0AEAA61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6F181D0" w14:textId="77777777" w:rsidR="00A3684A" w:rsidRPr="00A3026E" w:rsidRDefault="00A3684A" w:rsidP="00A3026E">
      <w:pPr>
        <w:spacing w:after="0" w:line="240" w:lineRule="auto"/>
        <w:jc w:val="both"/>
        <w:textAlignment w:val="top"/>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12 октября 1940 г. главный конструктор Яценко вторично обратился к К.Е. Ворошилову. Однако что-либо изменить Владимиру Панфиловичу не удалось. Приказом НКАП №2/к от 2 января 1941 г. его назначили главным конструктором завода №165 в Днепропетровске. Последний летом 1939 г. передали 6-му ГУ НКАП из Наркомлеспрома, а осенью 1940 г. его перевели в 1-е ГУ НКАП для организации производства боевых самолетов. Вскоре на основании приказа НКАП №31 от 18 января в Днепропетровск перевели костяк ОКБ В.П. Яценко во главе с начальником КБ К.Д. Усиковым, всего 32 человека. Основная задача на новом месте работы - внедрение в серийное производство истребителя ЛаГГ-3.</w:t>
      </w:r>
    </w:p>
    <w:p w14:paraId="5A0DE5C6" w14:textId="77777777" w:rsidR="00A3684A" w:rsidRPr="00A3026E" w:rsidRDefault="00A3684A" w:rsidP="00A3026E">
      <w:pPr>
        <w:spacing w:after="0" w:line="240" w:lineRule="auto"/>
        <w:jc w:val="both"/>
        <w:textAlignment w:val="top"/>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Не желая мириться с такой постановкой вопроса, В.П. Яценко направил письмо на имя председателя экономического совета при СНК СССР Н.А. Вознесенского с просьбой разрешить ему продолжать проектирование и строительство опытных самолетов. Но и на этот раз все было тщетно. 26 февраля секретариат КО при СНК СССР направил К.Е. Ворошилову справку, в которой сообщал: «Вопрос о выдаче т. Яценко задания на постройку нового опытного самолета т. Шахурин А.И. </w:t>
      </w:r>
      <w:r w:rsidRPr="00A3026E">
        <w:rPr>
          <w:rFonts w:ascii="Times New Roman" w:eastAsia="Times New Roman" w:hAnsi="Times New Roman"/>
          <w:color w:val="000000" w:themeColor="text1"/>
          <w:sz w:val="16"/>
          <w:szCs w:val="16"/>
          <w:lang w:eastAsia="ru-RU"/>
        </w:rPr>
        <w:lastRenderedPageBreak/>
        <w:t>предлагает решить по выполнении им работы по внедрению в серию самолета ЛаГГ-3. Секретариат КО с предложением т. Шахурина А.И. согласен. Прошу считать вопрос исчерпанным» (17738).</w:t>
      </w:r>
    </w:p>
    <w:p w14:paraId="6234B545" w14:textId="77777777" w:rsidR="00A3684A" w:rsidRPr="00A3026E" w:rsidRDefault="00A3684A" w:rsidP="00A3026E">
      <w:pPr>
        <w:pStyle w:val="128"/>
        <w:shd w:val="clear" w:color="auto" w:fill="auto"/>
        <w:spacing w:after="0" w:line="240" w:lineRule="auto"/>
        <w:jc w:val="both"/>
        <w:rPr>
          <w:color w:val="000000" w:themeColor="text1"/>
          <w:sz w:val="16"/>
          <w:szCs w:val="16"/>
        </w:rPr>
      </w:pPr>
    </w:p>
    <w:p w14:paraId="1B1AF7D4" w14:textId="77777777" w:rsidR="00226974" w:rsidRPr="00A3026E" w:rsidRDefault="00226974" w:rsidP="00A3026E">
      <w:pPr>
        <w:pStyle w:val="a3"/>
        <w:rPr>
          <w:color w:val="000000" w:themeColor="text1"/>
          <w:lang w:val="ru-RU"/>
        </w:rPr>
      </w:pPr>
      <w:r w:rsidRPr="00A3026E">
        <w:rPr>
          <w:color w:val="000000" w:themeColor="text1"/>
          <w:lang w:val="ru-RU"/>
        </w:rPr>
        <w:t>12 октября 1940 г. главный конструктор Яценко вторично обратился к К.Е. Ворошилову. Одна</w:t>
      </w:r>
      <w:r w:rsidRPr="00A3026E">
        <w:rPr>
          <w:color w:val="000000" w:themeColor="text1"/>
          <w:lang w:val="ru-RU"/>
        </w:rPr>
        <w:softHyphen/>
        <w:t xml:space="preserve">ко что-либо изменить Владимиру Панфиловичу не удалось. Приказом НКАП № 2/к от 2 января 1941 г. его назначили главным конструктором завода </w:t>
      </w:r>
      <w:r w:rsidRPr="00A3026E">
        <w:rPr>
          <w:color w:val="000000" w:themeColor="text1"/>
        </w:rPr>
        <w:t>N</w:t>
      </w:r>
      <w:r w:rsidRPr="00A3026E">
        <w:rPr>
          <w:color w:val="000000" w:themeColor="text1"/>
          <w:lang w:val="ru-RU"/>
        </w:rPr>
        <w:t>° 165 в Днепропетровске. Этот завод летом 1939 г. передали 6-му ГУ НКАП из Наркомлеспрома, а осенью 1940 г. перевели в 1-е ГУ НКАП для организации производства боевых самолётов. Вскоре на осно</w:t>
      </w:r>
      <w:r w:rsidRPr="00A3026E">
        <w:rPr>
          <w:color w:val="000000" w:themeColor="text1"/>
          <w:lang w:val="ru-RU"/>
        </w:rPr>
        <w:softHyphen/>
        <w:t>вании приказа НКАП № 31 от 18 января в Днепропетровск перевели костяк ОКБ В.П. Яценко во главе с начальником КБ К.Д. Усиковым, всего 32 человека. Основная задача на новом месте работы - внедрение в серийное производство истребителя ЛаГГ-3 (15837).</w:t>
      </w:r>
    </w:p>
    <w:p w14:paraId="74A238BC" w14:textId="77777777" w:rsidR="00226974" w:rsidRPr="00A3026E" w:rsidRDefault="00226974" w:rsidP="00A3026E">
      <w:pPr>
        <w:pStyle w:val="a3"/>
        <w:rPr>
          <w:color w:val="000000" w:themeColor="text1"/>
          <w:lang w:val="ru-RU"/>
        </w:rPr>
      </w:pPr>
    </w:p>
    <w:p w14:paraId="0E677165" w14:textId="77777777" w:rsidR="00A3684A" w:rsidRPr="00A3026E" w:rsidRDefault="00A3684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12 октября 1940 возобновили полёты на ИС-1. 26 октября Г.М. Шиянов провёл главное испытание — убрал в полёте нижнее крыло. Он сделал это дважды, а на следующий день повторил эксперимент. Шевченко докладывал наркому авиапромышленности Шахурину: «Самолёт „ИС“ ОКБ № 30 после предварительных испытаний в биплане и ряда доводок в связи с этими испытаниями был впервые 26/Х-40 г. превращен в воздухе лётчиком-испытателем ЦАГИ тов. Шияновым в моноплан. Превращения самолёта из биплана в моноплан как в первый раз, так и в дальнейшем прошли отлично. Все механизмы работали безотказно, нагрузки на механизмы и масляно-пневматическую систему совпадают точно с нашими расчетами» </w:t>
      </w:r>
      <w:hyperlink r:id="rId37" w:history="1">
        <w:r w:rsidRPr="00A3026E">
          <w:rPr>
            <w:rFonts w:ascii="Times New Roman" w:eastAsia="Times New Roman" w:hAnsi="Times New Roman"/>
            <w:color w:val="000000" w:themeColor="text1"/>
            <w:sz w:val="16"/>
            <w:szCs w:val="16"/>
            <w:lang w:eastAsia="ru-RU"/>
          </w:rPr>
          <w:t>[307]</w:t>
        </w:r>
      </w:hyperlink>
      <w:r w:rsidRPr="00A3026E">
        <w:rPr>
          <w:rFonts w:ascii="Times New Roman" w:eastAsia="Times New Roman" w:hAnsi="Times New Roman"/>
          <w:color w:val="000000" w:themeColor="text1"/>
          <w:sz w:val="16"/>
          <w:szCs w:val="16"/>
          <w:lang w:eastAsia="ru-RU"/>
        </w:rPr>
        <w:t xml:space="preserve"> .</w:t>
      </w:r>
    </w:p>
    <w:p w14:paraId="3175F527" w14:textId="77777777" w:rsidR="00A3684A" w:rsidRPr="00A3026E" w:rsidRDefault="00A3684A"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Но возникла новая проблема: перегревалось масло в двигателе. После безуспешных попыток исправить этот дефект в январе 1941 г. решили заменить двигатель на другой, М-62. В результате самолёт простоял на земле почти пять месяцев, полёты возобновились только 7 мая. Во избежание неприятностей с температурным режимом поставили дополнительный маслорадиатор. Последний вылет ИС-1 состоялся 7 июня 1941 г. (17489).</w:t>
      </w:r>
    </w:p>
    <w:p w14:paraId="154A9B42" w14:textId="77777777" w:rsidR="00A3684A" w:rsidRPr="00A3026E" w:rsidRDefault="00A3684A" w:rsidP="00A3026E">
      <w:pPr>
        <w:spacing w:after="0" w:line="240" w:lineRule="auto"/>
        <w:jc w:val="both"/>
        <w:rPr>
          <w:rFonts w:ascii="Times New Roman" w:eastAsia="Times New Roman" w:hAnsi="Times New Roman"/>
          <w:color w:val="000000" w:themeColor="text1"/>
          <w:sz w:val="16"/>
          <w:szCs w:val="16"/>
          <w:lang w:eastAsia="ru-RU"/>
        </w:rPr>
      </w:pPr>
    </w:p>
    <w:p w14:paraId="6A32EE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 по просьбе дирекции завода № 335, правительство приняло решение о передаче объема работ по строительству завода № 335 от треста № 31 Наркомстроя тресту № 7 наркомата авиапромышленности. Но и трест № 7 в зимний период не мог наладить работу на стройке (9684).</w:t>
      </w:r>
    </w:p>
    <w:p w14:paraId="3EF0741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9A2FA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НКАП А.И.Ш. писал письмо № Н-26/2499:</w:t>
      </w:r>
    </w:p>
    <w:p w14:paraId="6C6B91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СОВЕРШЕННО СЕКРЕТНО</w:t>
      </w:r>
    </w:p>
    <w:p w14:paraId="75B44C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ЦК ВКП/б/ товарицу СТАЛИНУ И.В.</w:t>
      </w:r>
    </w:p>
    <w:p w14:paraId="20E832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СНК СССР товарищу МОЛОТОВУ В.М.</w:t>
      </w:r>
    </w:p>
    <w:p w14:paraId="06E839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Посылаем на утверждение проект постановления Совета Народных Комиссаров Союза ССР и Центрального Комитета ВКП/б/ - “Об организации производства боевых самолетов в городе Ростове".</w:t>
      </w:r>
    </w:p>
    <w:p w14:paraId="1601C4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был подготовлен проект:</w:t>
      </w:r>
    </w:p>
    <w:p w14:paraId="5CDD74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СОВЕРШЕННО СЕКРЕТНО</w:t>
      </w:r>
    </w:p>
    <w:p w14:paraId="36B98D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w:t>
      </w:r>
    </w:p>
    <w:p w14:paraId="076DE1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СОВЕТА НАРОДНЫХ КМИССАРОВ СССР и ЦЕНТРАЛЬНОГОКОМИТЕТА В К П /б/</w:t>
      </w:r>
    </w:p>
    <w:p w14:paraId="1D6AAC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организации производства боевых самолетоа а гор. Ростове.</w:t>
      </w:r>
    </w:p>
    <w:p w14:paraId="207451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Обязать Наркомат Авиационной Промышленности организовать производство самолетов ДБ-240 в городе Ростове на мощность 600 штук в год, со сроком ввода в действие указанной моцности во П квартале 1942 года.</w:t>
      </w:r>
    </w:p>
    <w:p w14:paraId="2970F0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 мощности завода вести, исходя из 2-х сменной работы, 8 часового рабочего дня и 7 дневной недели.</w:t>
      </w:r>
    </w:p>
    <w:p w14:paraId="6CC11F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Для организации производства боевых самолетов, в соответ</w:t>
      </w:r>
      <w:r w:rsidRPr="00A3026E">
        <w:rPr>
          <w:rFonts w:ascii="Times New Roman" w:hAnsi="Times New Roman"/>
          <w:color w:val="000000" w:themeColor="text1"/>
          <w:sz w:val="16"/>
          <w:szCs w:val="16"/>
        </w:rPr>
        <w:softHyphen/>
        <w:t>ствии с пунктом 1 настоящего постановления, передать в ведение Наркомавиапрома Ростовский автосборочный завод Наркомсредмаша, освободив его от оборки автомобилел с 1 ноября 1940 года.</w:t>
      </w:r>
    </w:p>
    <w:p w14:paraId="47D9F9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Передачу завода произвести в 10-ти дневный срок по балансу на I октября 1940 года.</w:t>
      </w:r>
    </w:p>
    <w:p w14:paraId="104B56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Обязать Народного Комиссара Авиационной Промышленности тов. Шахурина А.И. и директора Ростовского Самолетостроительного завода, развернуть немедленно подготовку производства самолетов и обеспечить в 1941 и первом квартале 1942 г. выполнение программы по выпуску самолетов в количестве 55 штук, со следующей разбивкой по кварталам:</w:t>
      </w:r>
    </w:p>
    <w:p w14:paraId="35332C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 квартал 1941 г. - 20 шт. и 1 кварт. 1942 г, - 35 шт.</w:t>
      </w:r>
    </w:p>
    <w:p w14:paraId="074CF9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Обязать Народного Комиссара Авиационной Промышленности тов. Шахурина А.И:</w:t>
      </w:r>
    </w:p>
    <w:p w14:paraId="2EFBF8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реконструировать и достроить автосборочный завод под производство самолетов, на основании типового проек</w:t>
      </w:r>
      <w:r w:rsidRPr="00A3026E">
        <w:rPr>
          <w:rFonts w:ascii="Times New Roman" w:hAnsi="Times New Roman"/>
          <w:color w:val="000000" w:themeColor="text1"/>
          <w:sz w:val="16"/>
          <w:szCs w:val="16"/>
        </w:rPr>
        <w:softHyphen/>
        <w:t>та, исходя из установленной настоящим постановлением программы и мощности завода;</w:t>
      </w:r>
    </w:p>
    <w:p w14:paraId="138326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построить 3 стоквартирных дома для работников завода:</w:t>
      </w:r>
    </w:p>
    <w:p w14:paraId="2973AD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дома в 1941 году</w:t>
      </w:r>
    </w:p>
    <w:p w14:paraId="55D803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дом во П кварт.1942 года.</w:t>
      </w:r>
    </w:p>
    <w:p w14:paraId="5AFEB6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Для достройки авиационного завода в гор. Ростове органи</w:t>
      </w:r>
      <w:r w:rsidRPr="00A3026E">
        <w:rPr>
          <w:rFonts w:ascii="Times New Roman" w:hAnsi="Times New Roman"/>
          <w:color w:val="000000" w:themeColor="text1"/>
          <w:sz w:val="16"/>
          <w:szCs w:val="16"/>
        </w:rPr>
        <w:softHyphen/>
        <w:t>зовать строительно-монтажный трест Наркомавиапрома на базе 1-й конторы треста Севказтяжстрой Наркомстроя СССР, с освобож</w:t>
      </w:r>
      <w:r w:rsidRPr="00A3026E">
        <w:rPr>
          <w:rFonts w:ascii="Times New Roman" w:hAnsi="Times New Roman"/>
          <w:color w:val="000000" w:themeColor="text1"/>
          <w:sz w:val="16"/>
          <w:szCs w:val="16"/>
        </w:rPr>
        <w:softHyphen/>
        <w:t>дением этой конторы от производства подрядных работ других за</w:t>
      </w:r>
      <w:r w:rsidRPr="00A3026E">
        <w:rPr>
          <w:rFonts w:ascii="Times New Roman" w:hAnsi="Times New Roman"/>
          <w:color w:val="000000" w:themeColor="text1"/>
          <w:sz w:val="16"/>
          <w:szCs w:val="16"/>
        </w:rPr>
        <w:softHyphen/>
        <w:t>казчиков.</w:t>
      </w:r>
    </w:p>
    <w:p w14:paraId="78AA69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Обязать Наркомстрой передать Наркомаяиапрому в декадный срок Стройконтору № 1 Севкавтяжстроя с рабочими кадрами, мате</w:t>
      </w:r>
      <w:r w:rsidRPr="00A3026E">
        <w:rPr>
          <w:rFonts w:ascii="Times New Roman" w:hAnsi="Times New Roman"/>
          <w:color w:val="000000" w:themeColor="text1"/>
          <w:sz w:val="16"/>
          <w:szCs w:val="16"/>
        </w:rPr>
        <w:softHyphen/>
        <w:t>риалами, механизмами и автотранспортом, а также карьерное хо</w:t>
      </w:r>
      <w:r w:rsidRPr="00A3026E">
        <w:rPr>
          <w:rFonts w:ascii="Times New Roman" w:hAnsi="Times New Roman"/>
          <w:color w:val="000000" w:themeColor="text1"/>
          <w:sz w:val="16"/>
          <w:szCs w:val="16"/>
        </w:rPr>
        <w:softHyphen/>
        <w:t>зяйство, подсобные предприятия, складские и жилые помещения, базы материалов, находящиеся в Ростове, по балансу на 1 октября с.г.</w:t>
      </w:r>
    </w:p>
    <w:p w14:paraId="3CA0A8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Проектирование завода возложить на Рособлпроект, для чего обя</w:t>
      </w:r>
      <w:r w:rsidRPr="00A3026E">
        <w:rPr>
          <w:rFonts w:ascii="Times New Roman" w:hAnsi="Times New Roman"/>
          <w:color w:val="000000" w:themeColor="text1"/>
          <w:sz w:val="16"/>
          <w:szCs w:val="16"/>
        </w:rPr>
        <w:softHyphen/>
        <w:t>зать НКАП:</w:t>
      </w:r>
    </w:p>
    <w:p w14:paraId="7A7E8B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передать типовой проект Рособлпроекзу не позднее 1.Х1.1940 года;</w:t>
      </w:r>
    </w:p>
    <w:p w14:paraId="63B4FF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командировать в г. Ростов, для оказания помощи Рособлпроекту, бригаду квалифицированных проектировщиков во главе с главным инженером проекта.</w:t>
      </w:r>
    </w:p>
    <w:p w14:paraId="31B792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8.Рособлпроекту закончить проектирование к 1.П.1941 года с выдачей рабочих чертекей к 1.1.1941 года.</w:t>
      </w:r>
    </w:p>
    <w:p w14:paraId="6A7453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Промбанку СССР финансировать строительство самолетного завода в г. Ростове до 1.У.1941 года без утвержденных проектов и смет, а после 1.У.1941 года по сметам на отдельнне объекты и вида работ и сметво-финансовым расчетам к утвержденным НКАП проектным заданиям.</w:t>
      </w:r>
    </w:p>
    <w:p w14:paraId="0BA364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Выделить НКАП из резервного фонда СНК СССР на 1940 год для развертывания строительства и приобретения оборудования, транспорта, механизмов и стройматериалов - 10 млн. рублей, в том числе 5 млн. рублей в оборотные средства треста.</w:t>
      </w:r>
    </w:p>
    <w:p w14:paraId="164FAA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Для ведения строительства завода скоростными методами, установить размер накладных расходов в 25%, в том числе по ад</w:t>
      </w:r>
      <w:r w:rsidRPr="00A3026E">
        <w:rPr>
          <w:rFonts w:ascii="Times New Roman" w:hAnsi="Times New Roman"/>
          <w:color w:val="000000" w:themeColor="text1"/>
          <w:sz w:val="16"/>
          <w:szCs w:val="16"/>
        </w:rPr>
        <w:softHyphen/>
        <w:t>министративно-хозяйственным расходам 10,5% и аванс на приобре</w:t>
      </w:r>
      <w:r w:rsidRPr="00A3026E">
        <w:rPr>
          <w:rFonts w:ascii="Times New Roman" w:hAnsi="Times New Roman"/>
          <w:color w:val="000000" w:themeColor="text1"/>
          <w:sz w:val="16"/>
          <w:szCs w:val="16"/>
        </w:rPr>
        <w:softHyphen/>
        <w:t>тение стройматериалов и оборудования в размере 20%, от объема выполняемых работ.</w:t>
      </w:r>
    </w:p>
    <w:p w14:paraId="094208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Разрешить НКАП ввести поправочный коэфипиент 1,20 к тарифным ставкам рабочих и 1,25 - ИТР и служащим на строитель</w:t>
      </w:r>
      <w:r w:rsidRPr="00A3026E">
        <w:rPr>
          <w:rFonts w:ascii="Times New Roman" w:hAnsi="Times New Roman"/>
          <w:color w:val="000000" w:themeColor="text1"/>
          <w:sz w:val="16"/>
          <w:szCs w:val="16"/>
        </w:rPr>
        <w:softHyphen/>
        <w:t>стве самолетного завода в гор. Ростове.</w:t>
      </w:r>
    </w:p>
    <w:p w14:paraId="45444E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Установить 3 персональных оклада для руководящих работников стройтреста и 3 персональных оклада для руководящих работни</w:t>
      </w:r>
      <w:r w:rsidRPr="00A3026E">
        <w:rPr>
          <w:rFonts w:ascii="Times New Roman" w:hAnsi="Times New Roman"/>
          <w:color w:val="000000" w:themeColor="text1"/>
          <w:sz w:val="16"/>
          <w:szCs w:val="16"/>
        </w:rPr>
        <w:softHyphen/>
        <w:t>ков завода до 3000 рублей.</w:t>
      </w:r>
    </w:p>
    <w:p w14:paraId="688F10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Обязать Ростовский Облисполком Совета депутатов трудя</w:t>
      </w:r>
      <w:r w:rsidRPr="00A3026E">
        <w:rPr>
          <w:rFonts w:ascii="Times New Roman" w:hAnsi="Times New Roman"/>
          <w:color w:val="000000" w:themeColor="text1"/>
          <w:sz w:val="16"/>
          <w:szCs w:val="16"/>
        </w:rPr>
        <w:softHyphen/>
        <w:t>щихся:</w:t>
      </w:r>
    </w:p>
    <w:p w14:paraId="538ACA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построить в 1941 году два 50-квартирных дома для работников самолетостроительного завода за счет лимитов Наркомавиапромы;</w:t>
      </w:r>
    </w:p>
    <w:p w14:paraId="0E8439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перевести рабочих строителей с менее важных строек на строительство авиационного завода в количестве 2000 человек, сохранив за ними занимаемую жилплощадь на время работы на стро</w:t>
      </w:r>
      <w:r w:rsidRPr="00A3026E">
        <w:rPr>
          <w:rFonts w:ascii="Times New Roman" w:hAnsi="Times New Roman"/>
          <w:color w:val="000000" w:themeColor="text1"/>
          <w:sz w:val="16"/>
          <w:szCs w:val="16"/>
        </w:rPr>
        <w:softHyphen/>
        <w:t>ительстве самолетного завода.</w:t>
      </w:r>
    </w:p>
    <w:p w14:paraId="01AEDE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обеспечить полностью строительство самолетного завода местннми стройматериалами (кирпич, камень, гравий, песок, из</w:t>
      </w:r>
      <w:r w:rsidRPr="00A3026E">
        <w:rPr>
          <w:rFonts w:ascii="Times New Roman" w:hAnsi="Times New Roman"/>
          <w:color w:val="000000" w:themeColor="text1"/>
          <w:sz w:val="16"/>
          <w:szCs w:val="16"/>
        </w:rPr>
        <w:softHyphen/>
        <w:t>весть и алебастр);</w:t>
      </w:r>
    </w:p>
    <w:p w14:paraId="2C974D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в 10-дневный срок отвести необходимые земельные участки для расширения завода и жилищного строительства.</w:t>
      </w:r>
    </w:p>
    <w:p w14:paraId="4385A5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Обязать Народного Комиссара Авдационной Промышленности тов. Шахурина А.И. обеспечить необходимую техническую помощь самолетному заводу в г. Ростове, путем посылки квалифицирован</w:t>
      </w:r>
      <w:r w:rsidRPr="00A3026E">
        <w:rPr>
          <w:rFonts w:ascii="Times New Roman" w:hAnsi="Times New Roman"/>
          <w:color w:val="000000" w:themeColor="text1"/>
          <w:sz w:val="16"/>
          <w:szCs w:val="16"/>
        </w:rPr>
        <w:softHyphen/>
        <w:t>ных кадров с действующих заводов я изготовления производствен</w:t>
      </w:r>
      <w:r w:rsidRPr="00A3026E">
        <w:rPr>
          <w:rFonts w:ascii="Times New Roman" w:hAnsi="Times New Roman"/>
          <w:color w:val="000000" w:themeColor="text1"/>
          <w:sz w:val="16"/>
          <w:szCs w:val="16"/>
        </w:rPr>
        <w:softHyphen/>
        <w:t>ной оснастки и эталонов;</w:t>
      </w:r>
    </w:p>
    <w:p w14:paraId="793C93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Обязать Наркомат Торговли СССР организовать закрытую форму торговли и питание рабочих и ИТР, занятых на производст</w:t>
      </w:r>
      <w:r w:rsidRPr="00A3026E">
        <w:rPr>
          <w:rFonts w:ascii="Times New Roman" w:hAnsi="Times New Roman"/>
          <w:color w:val="000000" w:themeColor="text1"/>
          <w:sz w:val="16"/>
          <w:szCs w:val="16"/>
        </w:rPr>
        <w:softHyphen/>
        <w:t>ве и строительстве Ростовского самолетного завода.</w:t>
      </w:r>
    </w:p>
    <w:p w14:paraId="23E60F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Выделить для самолетостроительного завода а г.Ростове Наркомавиапрома материалы и оборудование в количествах и сроки согласно приложений №№ 1,2 и 3.</w:t>
      </w:r>
    </w:p>
    <w:p w14:paraId="4BE484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Обязать Наркоматы-поставщики и Наркомат Путей Сообщения обеспечить строительство самолетного завода в г. Ростове вне</w:t>
      </w:r>
      <w:r w:rsidRPr="00A3026E">
        <w:rPr>
          <w:rFonts w:ascii="Times New Roman" w:hAnsi="Times New Roman"/>
          <w:color w:val="000000" w:themeColor="text1"/>
          <w:sz w:val="16"/>
          <w:szCs w:val="16"/>
        </w:rPr>
        <w:softHyphen/>
        <w:t>очередной отгрузкой материалов, автотранспорта и строймеханизмов в адрес стройтреста НКАП равными партиями в течение - ок</w:t>
      </w:r>
      <w:r w:rsidRPr="00A3026E">
        <w:rPr>
          <w:rFonts w:ascii="Times New Roman" w:hAnsi="Times New Roman"/>
          <w:color w:val="000000" w:themeColor="text1"/>
          <w:sz w:val="16"/>
          <w:szCs w:val="16"/>
        </w:rPr>
        <w:softHyphen/>
        <w:t>тября, ноября и декабря 1940 года.</w:t>
      </w:r>
    </w:p>
    <w:p w14:paraId="18B3C3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Разрешить Наркомвнешторгу в течение 1941 года произвести импорт оборудования для Ростовского самолетостроительного завода по спесифисации НКАП и в объеме, утвержденном Экономсоветом при СНК СССР.</w:t>
      </w:r>
    </w:p>
    <w:p w14:paraId="4360F8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Выделить НКАП А.И.Ш. из резервного фонда СНК СССР на 1940 год для подготовки и освоения производства бомбардировщиков на Ростовском заводе 3 млн. рублей.</w:t>
      </w:r>
    </w:p>
    <w:p w14:paraId="7A1D79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Ответственность за организацию и своевременное обеспече</w:t>
      </w:r>
      <w:r w:rsidRPr="00A3026E">
        <w:rPr>
          <w:rFonts w:ascii="Times New Roman" w:hAnsi="Times New Roman"/>
          <w:color w:val="000000" w:themeColor="text1"/>
          <w:sz w:val="16"/>
          <w:szCs w:val="16"/>
        </w:rPr>
        <w:softHyphen/>
        <w:t>ние программы 1941 года и достройку самолетного завода в г. Ро</w:t>
      </w:r>
      <w:r w:rsidRPr="00A3026E">
        <w:rPr>
          <w:rFonts w:ascii="Times New Roman" w:hAnsi="Times New Roman"/>
          <w:color w:val="000000" w:themeColor="text1"/>
          <w:sz w:val="16"/>
          <w:szCs w:val="16"/>
        </w:rPr>
        <w:softHyphen/>
        <w:t>стове возложить на Народного Комиссара Авиационной Прошгаленности тов. Шахурина А.И., Секретаря Областного Комитета ВКП(б) тов. Двинского. Председатежя Облисполкома тов. Руденко (8049,11).</w:t>
      </w:r>
    </w:p>
    <w:p w14:paraId="57CD71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F83C8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 при заводе № 33 была организована опытно-экспериментальная база по агрегатам НВ с образованием КБ завода № 33. Руководитель- С.А. Косбер г. Работы по НВ для моторов М-88 и М-105.</w:t>
      </w:r>
    </w:p>
    <w:p w14:paraId="7DA9A8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10.1941 г. опытные организации завода были эвакуированы. КБ С.А. Косберга по агрегатам НВ эвакуировано на завод № 296 НКАП, где было образовано новое ОКО по агрегатам НВ. КБ по карбюраторам Ф.А. Короткова эвакуируется вместе с заводом в  г. Молотов на завод № 339 НКАП. Здесь оно действовало с 5.11.1941 г. до 07.1943 г.</w:t>
      </w:r>
    </w:p>
    <w:p w14:paraId="70B593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марта 1943 г. по приказу № 136с часть кадров и оборудования ОКБ завода № 33 переведено для укрепления в ОКБ завода № 315 НКАП. По приказу № 336с от 3.06.1943 г. на заводе № 315 образовано единое ОКБ-315-33 НКАП на базе ОКБ завода № 33 и ОКБ завода № 315. Гл. конструктором ОКБ и обоих заводов назначен Ф.А. Короткое. Для помощи серийному производству на заводе № 33 организован филиал ОКБ-315-33.</w:t>
      </w:r>
    </w:p>
    <w:p w14:paraId="00F31A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доводке и модернизации карбюраторов К-11А, ВК-4, КТА-21, К-25, К-42, К-38, К-105Ф, АК-62, АК-82. После войны- доводка агрегатов АТ-1, АРТ-8, ДК-6 для РД-45 и РД-500.</w:t>
      </w:r>
    </w:p>
    <w:p w14:paraId="095CC3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1957 г. филиал преобразован в самостоятельное Союзное ОКБ-33 МАП. В 08.1957 г.- в ведении ЗГУ МАП.</w:t>
      </w:r>
    </w:p>
    <w:p w14:paraId="46CA91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1960-х  г. действовало единое ОКБ-315-33 с Пермским филиалом на заводе № 33. В 1960-х  г. ОКБ вновь стало самостоятельным и получило название ПАКБ. С 1962 г. имеет собственный производственный корпус.</w:t>
      </w:r>
    </w:p>
    <w:p w14:paraId="642C35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F16A6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(2005 г.): разработка САУ для двигателей ПС-90А2, самолетов Ан-140 и Ан-38.</w:t>
      </w:r>
    </w:p>
    <w:p w14:paraId="72F397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(2002 г.)- 1200 чел.</w:t>
      </w:r>
    </w:p>
    <w:p w14:paraId="05FF25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Гл. конструктор ОКО (1933 г.-)-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Добротворский, К.А. Стариков, (06.1940-41 г.-&gt; Ф.А. Короткое. Гл. конструктор ОКБ (1957-73 Г.)- А.Ф. Полянский, (1974-89 г.)-  Г.И. Гордеев, (1989-2004 г.-&gt; Ю.П. Дудкин.</w:t>
      </w:r>
    </w:p>
    <w:p w14:paraId="285288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филиала (1943 г.-)- В.Т. Панфилов, (1952 г.-)- А.Ф. Полянский. Гендиректор (-1997-2005 г.-)- Ю.П. Дудкин.</w:t>
      </w:r>
      <w:r w:rsidRPr="00A3026E">
        <w:rPr>
          <w:rFonts w:ascii="Times New Roman" w:hAnsi="Times New Roman"/>
          <w:color w:val="000000" w:themeColor="text1"/>
          <w:sz w:val="16"/>
          <w:szCs w:val="16"/>
          <w:vertAlign w:val="superscript"/>
        </w:rPr>
        <w:t>49</w:t>
      </w:r>
    </w:p>
    <w:p w14:paraId="0154CE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зам. гл. конструктора (2002 г.)- Б.М. Конторович. Зам. гл. конструктора: по карбюраторам (1940 г.-)- К.А. Стариков; по агрегатам НВ (1940 г.-)- С.А. Косберг; (1943 г.-)- В.Т. Панфилов, (1952 г.-)- А.Ф. Полянский, (2002 г.)- В.А. Юфарев, (2002 г.)- В.В. Бурдин.</w:t>
      </w:r>
    </w:p>
    <w:p w14:paraId="2D7A00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гендиректора по экономике (2002 г.)- В.В. Плешков.</w:t>
      </w:r>
    </w:p>
    <w:p w14:paraId="3C708F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опытного завода (2002 г.)- Н.А. Панов.</w:t>
      </w:r>
    </w:p>
    <w:p w14:paraId="452DB9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Создано: (1930-е) карбюраторы К-35 для АМ-35А, К-105П для М-105, К-37БП для М-37, К-38, К-87, АК-62, АК-63, АК-88, КМ-250 для М-250; агрегаты НВ НБ-ЗУ для АШ-82ФН (ВОВ); ЭК-506, РПД-1ФНР для АШ-82Т; регулятор РПД-82, карбюратор К-14В, КМП-100; гидромеханические и электронные САУ ГТД: для Ту-124, Ми-6, Ту-134, Ил-76, Ил-62М, Ту-154М; регулятор РПР-ЗА для Ми-14 (1974); первая в России САУ с цифровым регулятором РЭД-3048 для Д-30Ф6 (1975); САУ: с регулятором РЭД-90 для ПС-90; с ЭРД-ЗВМ для ТВЗ-117; САУ-65 с РЭД-65 для ТВ7-117; САУ-2000 с регулятором РЭД-2000 для ТВЗ-117ВМА-СБ2 (2002), САУ-87 для Ка-60 и Ка-62; САУ для Су-26М, Ка-50, Ан-38 (2002); САУ для танка Т-80; САУ для промыпшенных ГТУ (1993- 2002-) (11982).</w:t>
      </w:r>
    </w:p>
    <w:p w14:paraId="0642E8E2" w14:textId="77777777" w:rsidR="00A3684A" w:rsidRPr="00A3026E" w:rsidRDefault="00A3684A" w:rsidP="00A3026E">
      <w:pPr>
        <w:spacing w:after="0" w:line="240" w:lineRule="auto"/>
        <w:jc w:val="both"/>
        <w:rPr>
          <w:rFonts w:ascii="Times New Roman" w:hAnsi="Times New Roman"/>
          <w:color w:val="000000" w:themeColor="text1"/>
          <w:sz w:val="16"/>
          <w:szCs w:val="16"/>
        </w:rPr>
      </w:pPr>
    </w:p>
    <w:p w14:paraId="4FECDE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 при заводе (№ 132 НКТП, НКОП, НКАП, Завод № 1 УВВС, нктп, Симский механический завод («Симза»), Симское агрегатное ПО, АООТ, ОАО «Агрегат» /г. Москва ул. Бутырская, 58/ /456020  г. Сим Инжерского р-на Челябинской обл. ул. Пушкина, 1 тел. 35-89-90/) образована небольшая конструкторская группа по синхронизаторам. Начальник группы- К.Н. Спажев, зам. начальника- Р. Г. Берестецкий.</w:t>
      </w:r>
    </w:p>
    <w:p w14:paraId="4D218B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ОКБ эвакуируется вместе с заводом в  г. Сим на площадку завода № 444 НКАП. На новом месте ОКБ разместилось к 11.1941 г.</w:t>
      </w:r>
    </w:p>
    <w:p w14:paraId="1B00F2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12с от 5.01.1944 г. часть коллектива ОКБ с работами по регуляторам ВИШ во главе с А.Н. Петелиным вместе с ОКБ-35 и ОКБ-28 переводится в Ступино с образованием единого опытного завода № 25.</w:t>
      </w:r>
      <w:r w:rsidRPr="00A3026E">
        <w:rPr>
          <w:rFonts w:ascii="Times New Roman" w:hAnsi="Times New Roman"/>
          <w:color w:val="000000" w:themeColor="text1"/>
          <w:sz w:val="16"/>
          <w:szCs w:val="16"/>
          <w:vertAlign w:val="superscript"/>
        </w:rPr>
        <w:t xml:space="preserve">36 </w:t>
      </w:r>
      <w:r w:rsidRPr="00A3026E">
        <w:rPr>
          <w:rFonts w:ascii="Times New Roman" w:hAnsi="Times New Roman"/>
          <w:color w:val="000000" w:themeColor="text1"/>
          <w:sz w:val="16"/>
          <w:szCs w:val="16"/>
        </w:rPr>
        <w:t>По приказу № 189с от 14.03.1944 г. гл. конструктором ОКБ назначен Б.М. Янкелевич.</w:t>
      </w:r>
    </w:p>
    <w:p w14:paraId="0E71C8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системам ВС, КРМ и др.</w:t>
      </w:r>
    </w:p>
    <w:p w14:paraId="3E3402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 г. ОКБ было расформировано.</w:t>
      </w:r>
    </w:p>
    <w:p w14:paraId="6C5F52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307с от 15.05.1947 г. ОКБ вновь образовано при заводе № 132 в 8ГУ МАП.</w:t>
      </w:r>
    </w:p>
    <w:p w14:paraId="1FFA11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агрегатам запуска и регулирования оборотов винта.</w:t>
      </w:r>
    </w:p>
    <w:p w14:paraId="578D47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440с от 21.06.1948 г. ОКБ-132 ликвидировано.</w:t>
      </w:r>
    </w:p>
    <w:p w14:paraId="61FE99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Гл. конструктор (-04.1940 г.)-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xml:space="preserve">. Груничев, (04.1940 г.-)- А.А. Сибирякин, (24.12.1940-01.1944 г.)- А.Н. Петелин, (14.03.1944 г.-)- Б.М. Янкелевич, (1947 г.)-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Добротворский.</w:t>
      </w:r>
    </w:p>
    <w:p w14:paraId="7F4193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гл. конструктора (04.1940 г.-)- Б.М. Янкелевич (11982).</w:t>
      </w:r>
    </w:p>
    <w:p w14:paraId="11B9472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EB50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года начальник 1 Отделения 1 Отдела АВ ВВС в/инженер 2 ранга Рыжаев писал письмо № 522735с в Секретариат КО</w:t>
      </w:r>
    </w:p>
    <w:p w14:paraId="5D6AD4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сем препровождается для сведения и зависящих распоряжений копия Научно-технического журнала начальника Авиавооружения ВВС (по 1 отделу) за № 0153 от 10 октября 1940 года.</w:t>
      </w:r>
    </w:p>
    <w:p w14:paraId="6679FF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1. НТЖ НВ ВВС № 0153</w:t>
      </w:r>
    </w:p>
    <w:p w14:paraId="713A42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3 на 17 листах (3440, 235).</w:t>
      </w:r>
    </w:p>
    <w:p w14:paraId="632865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Утверждаю</w:t>
      </w:r>
    </w:p>
    <w:p w14:paraId="1FDB58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октября 1940 года начальник ГУ ВВС генерал-лейтенант авиации Рычагов</w:t>
      </w:r>
    </w:p>
    <w:p w14:paraId="3CCE60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Научно-технический журнал 8-го управления ГУ ВВС (по 1 Отделу) № 0153</w:t>
      </w:r>
    </w:p>
    <w:p w14:paraId="545E2C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утверждения проекта по полигонным испытаниям фугасных 100 кг авиабомб с корпусом из железобетона для запуска в производство</w:t>
      </w:r>
    </w:p>
    <w:p w14:paraId="3BE1CC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Фугасные авиабомбы имеют своим назначением разрушение объектов как военного, так и мирного значения, силой фугасного действия получающегося при взрыве авиабомбы.</w:t>
      </w:r>
    </w:p>
    <w:p w14:paraId="606328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 современной войны между Германией и Италией с одной стороны и Англией с другой стороны показывает, что воздушные силы обоих сторон производят бомбардирование объектов как военного, так и мирного значения, в основном по своей прочности не отличающихся от построек обычного городского типа. По имеющимся сведения бомбардирование производится обычными фугасными бомбами.</w:t>
      </w:r>
    </w:p>
    <w:p w14:paraId="57201D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Корпуса фугасных бомб, как правило, изготовляются из металла – сталь и чугун. Назначение корпуса фугасной бомбы – это донести взрывчатое вещество от самолета до цели и пробить перекрытие.</w:t>
      </w:r>
    </w:p>
    <w:p w14:paraId="062714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взрыве бомбы основное разрушение цели наносит взрывная волна. Осколки же корпуса, получающиеся при взрыве, мало участвуют в разрушении цели. Поэтому целесообразно по не особо прочным целям применять фугасные бомбы, корпуса которых изготовлены из какого-либо заменителя металла, обладающего достаточной прочностью. К этому выводу приводит еще и следующее очень важное обстоятельство:</w:t>
      </w:r>
    </w:p>
    <w:p w14:paraId="2447BC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Металлические корпуса, для своего изготовления, требуют сложной производственной базы – литейных и механических заводов со сложным оборудованием (станки, пресса и проч.). Потребность же современных войн в боеприпасах колоссальна, о чем свидетельствует наш расход боеприпасов во время войны с финской белогвардейщиной, удовлетворить эту потребность со стороны промышленности будет нелегко и может создаться положение недостатка в боеприпасах. Поэтому вопрос о заменителях металла приобретает очень большое значение.</w:t>
      </w:r>
    </w:p>
    <w:p w14:paraId="6F05C4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сравнению со сварными и цельнокованными корпусами для фугасных бомб, требующими для своего изготовления мартеновской стали, трубопрокатного и ковочного оборудования -–значительно более простым делом является производство корпусов из сталистого чугуна. Корпуса таких фугасных бомб несомненно окажутся достаточно прочными во многом ряде случаев, отвечая своему прямому назначению. В настоящее время корпуса из сталистого чугуна прошли испытание и будут изготовляться промышленностью в 1941 году.</w:t>
      </w:r>
    </w:p>
    <w:p w14:paraId="4B3EAF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чугунные корпуса требуют для своего изготовления того же черного металла, а главное весьма сложной и даже громоздкой производственной базы. Кроме того, формовка корпусов бомб является операцией ручной, очень трудоемкой и является серьезным препятствием в деле налаживания массового производства.</w:t>
      </w:r>
    </w:p>
    <w:p w14:paraId="3EED91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материалов не металлических, напрашивающихся для изготовления из них корпусов, нужно прежде всего упомянуть о каменном литье (диабаз, базальт). Литой диабаз или базальт обладает очень высоким временным сопротивлением сжатию (порядка 6000 км/см кв.) и допускает получение корпусов с весьма тонкой стенкой.</w:t>
      </w:r>
    </w:p>
    <w:p w14:paraId="3AF091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применение каменного литья для массового производства корпусов бомб наталкивается на ряд серьезных трудностей, практически обесценивающих этот материал.</w:t>
      </w:r>
    </w:p>
    <w:p w14:paraId="3A0827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Прежде всего, здесь требуется значительное оборудование для плавки диабаза или базальта при высокой температуре (порядка 1300-1400 градусов). Кроме того, каждый литой корпус требует изготовления разовой индивидуальной формы.</w:t>
      </w:r>
    </w:p>
    <w:p w14:paraId="65EC44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Наконец, изделия из литого камня очень хрупки, чувствительны к удару, плохо сопротивляются разрыву и вряд ли могут выдерживать резкое колебание температуры, неизбежное при снаряжении корпусов горячим расплавленным взрывчатым веществом (тротил, амматол и др.). При этом нельзя игнорировать также высокую стоимость корпусов из плавленного камня и ограниченность наличной производственной базы.</w:t>
      </w:r>
    </w:p>
    <w:p w14:paraId="34036E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Применение керамики, фарфора или специальных видов стекла для изготовления корпусов фугасных бомб должно быть признано невозможным, вследствие низкой прочности, что подтверждено соответствующей опытной работой проводимой 8 Управлением ГУ ВВС.</w:t>
      </w:r>
    </w:p>
    <w:p w14:paraId="02BF35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Попытки упрочнения таких корпусов за счет резкого увеличения толщины стенок, приводят к большему уменьшению объема разрывного заряда и, следовательно, к резкому понижению боевой эффективности бомбы.</w:t>
      </w:r>
    </w:p>
    <w:p w14:paraId="7C7EAB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применение керамики, фарфора и стекла неизбежно связано опять таки с разовой формовкой корпусов и с печами для термообработки, не считая при этом весьма сложного основного производственного оборудования.</w:t>
      </w:r>
    </w:p>
    <w:p w14:paraId="228034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технологическом отношении весьма подходящим материалом для корпусов ФАБ кажутся некоторые пластические материалы (на основе фенола, мочевины и др.). Применению этих материалов препятствует, однако, высокая стоимость их, незначительный объем производства и сравнительно невысокие механические свойства.</w:t>
      </w:r>
    </w:p>
    <w:p w14:paraId="2B6DC1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Потенциально-приемлемыми материалами для изготовления корпусов ФАБ ограниченной области применения являются целлюлозная масса, прессованный картон и цементные растворы. Область применения таких ФАБ ограничивается, по всей вероятности, двумя условиями, вытекающими из низких механических свойств данных материалов.</w:t>
      </w:r>
    </w:p>
    <w:p w14:paraId="2CAAB3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Первым ограничивающим условием является невысокая прочность бомбардируемых объектов, ибо только в этом случае оболочки целлюлозных, картонных и бетонных ФАБ могут донести разрывной заряд до цели без его рассеивания. Отсюда можно предполагать, что такие ФАБ вряд ли могут рассчитывать на проникание в грунт и на полный последующий взрыв, что показывает наблюдение при испытаниях при испытаниях ФАБ-250 с целлюлозным корпусом.</w:t>
      </w:r>
    </w:p>
    <w:p w14:paraId="2BB155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Вторым ограничивающим условием является вероятная возможность эффективного применения целлюлозных, картонных и бетонных ФАБ только со взрывателями мгновенного действия.</w:t>
      </w:r>
    </w:p>
    <w:p w14:paraId="4D357C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Перечисленные два ограничительных условия не исключают, но естественно сильно суживают область возможного и эффективного применения авиабомб из указанных материалов.</w:t>
      </w:r>
    </w:p>
    <w:p w14:paraId="17E5E6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необходимо отметить, что изготовление литых целлюлозных и прессованных картонных корпусов для ФАБ не обеспечено наличной или широко освоенной производственной базой.</w:t>
      </w:r>
    </w:p>
    <w:p w14:paraId="69CC8B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ряду перечисленных и других вероятных материалов для изготовления корпусов ФАБ приобретает особое значение железобетон, по праву занимающий второе место после чугунного литья. Металлический проволочный каркас, так называемая арматура железобетонных оболочек является главным и значительным фактором прочности. Бетонный покров, ограничивающий внутреннее пространство бомбы непроницаемыми стенками, является одновременно вторым фактором механической прочности корпусов. Задача заключается здесь, главным образом, в подборе оптимальных размеров арматуры и толщины стенки, а также в определении наивыгоднейшего состава бетонного или цементного раствора.</w:t>
      </w:r>
    </w:p>
    <w:p w14:paraId="671FA3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Легко видеть, что при большой толщине и достаточной густоте арматуры, оболочка ФАБ может быть сообщена прочность равноценная прочности металлических ФАБ. Однако, в этом случае резко уменьшился бы вес разрывного заряда и кроме того, настолько увеличилась бы металлоемкость железобетонных ФАБ и сложность их изготовления, что вряд ли они могли бы конкурировать с цельнометаллическими ФАБ.</w:t>
      </w:r>
    </w:p>
    <w:p w14:paraId="43DF11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другой стороны, при чрезмерном ослаблении арматуры железобетонные ФАБ могут оказаться чрезвычайно непрочными и применимыми в очень узком диапазоне.</w:t>
      </w:r>
    </w:p>
    <w:p w14:paraId="5FA30A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Критерием для оптимального выбора размеров арматуры и толщины стенки железобетонных ФАБ следует считать, как минимум, их проникание в грунт средней плотности при сбрасывании с высоты 6000 метров – без рассеивания разрывного заряда. ФАБ, удовлетворяющие этому условию, будучи недостаточно прочными для бомбардировки очень прочных преград (бронированные стенки, мощные железобетонные здания, мосты и сооружения, сильно укрепленные огневые точки и т.д.) могут иметь в то же время чрезвычайно широкий диапазон эффективного применения. Такие ФАБ можно считать пригодными для разрушения аэродромов и ангаров, торговых пристаней, доков, барж и пароходов; железных дорог, станций и ж/д строений; шоссейных и грунтовых дорог; деревянно-земляных полевых укреплений; складов, гаражей и скоплений автотранспорта; легких мостов и гидромеханических сооружений; нефтехранилищ и газгольдеров; многочисленных промышленных и городских сооружений, наружных газовых, паровых и электротехнических коммуникаций и т.п.</w:t>
      </w:r>
    </w:p>
    <w:p w14:paraId="0CC81D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указанного критерия, конструктивные размеры железобетонных корпусов ФАБ должны конкретно определяться для каждого отдельного калибра. В частности, для ФАБ-100 в габаритах одноименной цельнокованной ФАБ оказалась оптимальной стенка толщиною около 16-17 мм (в цилиндрической части), армированная проволочной сеткой из продольных и поперечных прутьев диаметром 3-4 мм. Оба конца арматурной сетки позволяют при этом крепить достаточно надежно две небольшие металлические втулки в головке и в хвосте корпуса, служащие соответственно для ввертывания запального стакана и для крепления штатного стабилизатора от ФАБ-100 ц.к.</w:t>
      </w:r>
    </w:p>
    <w:p w14:paraId="74125A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касается состава цементного раствора, то подбор его происходил в процессе ряда испытаний с самыми разнообразными материалами.</w:t>
      </w:r>
    </w:p>
    <w:p w14:paraId="7F38D0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среды испытанных материалов были по разным соображениям отброшены добавки ускорителей и присадок вроде азбестита и др. (азбестит – вследствие дефицитности и трудного заполнения формы тонкостенной оболочки). Экспериментальным путем состав цементного раствора определен следующий:</w:t>
      </w:r>
    </w:p>
    <w:p w14:paraId="419396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часть цемента (глиноземистого, тампонажного или портланд М-600).</w:t>
      </w:r>
    </w:p>
    <w:p w14:paraId="55FC34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часть речного песка</w:t>
      </w:r>
    </w:p>
    <w:p w14:paraId="4774B7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 хлористого кальция – по весу цемента</w:t>
      </w:r>
    </w:p>
    <w:p w14:paraId="63C005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38-42% воды – по весу цемента</w:t>
      </w:r>
    </w:p>
    <w:p w14:paraId="589F6D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Раствор такого состава хорошо заполняет форму, не расслаивается при заливке и имеет период схватывания порядка 3,5-4 час. В целях упрочнения стенки и плотного заполнения формы, заливка раствора должна производиться при вибрации в течение 15-30 секунд. Наконец, значительное увеличение прочности стенки достигается за счет первоначального натяжения арматуры (по типу напряженного бетона).</w:t>
      </w:r>
    </w:p>
    <w:p w14:paraId="7744C9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приведенных основаниях начальником КБ-35 НКБ проф. Гальпериным были разработаны чертежи и изготовлена опытная партия железобетонных корпусов (32 шт.) фугасных авиабомб в габаритах ФАБ-1—цельнокованной.</w:t>
      </w:r>
    </w:p>
    <w:p w14:paraId="2500DC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размерные и весовые характеристики изготовленных бомб были следующие:</w:t>
      </w:r>
    </w:p>
    <w:p w14:paraId="2D07DF7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Наружные габаритные размеры точно по чертежу ФАБ-100 цельнокованных.</w:t>
      </w:r>
    </w:p>
    <w:p w14:paraId="221540F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Толщина стенок в цилиндрической части корпуса – 16 мм.</w:t>
      </w:r>
    </w:p>
    <w:p w14:paraId="2469D79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корпуса бомбы вместе со стабилизатором, запальным стаканом и бугелем – 36-38 кг.</w:t>
      </w:r>
    </w:p>
    <w:p w14:paraId="0B80748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Полный вес снаряженной авиабомбы 76-78 кг.</w:t>
      </w:r>
    </w:p>
    <w:p w14:paraId="5A0238A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взрывчатого вещества (тротил) от 40,5 кг до 41,6 кг.</w:t>
      </w:r>
    </w:p>
    <w:p w14:paraId="22434212" w14:textId="77777777" w:rsidR="00C66762" w:rsidRPr="00A3026E" w:rsidRDefault="00C66762" w:rsidP="00A3026E">
      <w:pPr>
        <w:pStyle w:val="a3"/>
        <w:widowControl/>
        <w:rPr>
          <w:color w:val="000000" w:themeColor="text1"/>
          <w:lang w:val="ru-RU"/>
        </w:rPr>
      </w:pPr>
      <w:r w:rsidRPr="00A3026E">
        <w:rPr>
          <w:color w:val="000000" w:themeColor="text1"/>
          <w:lang w:val="ru-RU"/>
        </w:rPr>
        <w:t>Для изготовления одного корпуса требуется:</w:t>
      </w:r>
    </w:p>
    <w:p w14:paraId="094A6E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кг цемента</w:t>
      </w:r>
    </w:p>
    <w:p w14:paraId="077472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кг речного песка</w:t>
      </w:r>
    </w:p>
    <w:p w14:paraId="195B7B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 гр хлористого кальция</w:t>
      </w:r>
    </w:p>
    <w:p w14:paraId="6593C2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литра воды</w:t>
      </w:r>
    </w:p>
    <w:p w14:paraId="708E26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кг проволоки</w:t>
      </w:r>
    </w:p>
    <w:p w14:paraId="185770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металлических втулки (сталистый чугун) весом около 9 кг</w:t>
      </w:r>
    </w:p>
    <w:p w14:paraId="6D9445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при изготовлении одного корпуса из железобетона получается экономия металла от 30 до 36 кг по сравнению с цельнокованным корпусом ФАБ-100. При этом для производства железобетонных ФАБ-100 требуется весьма примитивное оборудование (бетономешалки, вибраторы и постоянные модели) в зданиях простейшего типа. При необходимости изготовление железобетонных корпусов может быть организовано на любом из многочисленных и действующих заводах бетоностройдеталей.</w:t>
      </w:r>
    </w:p>
    <w:p w14:paraId="6C4DA1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изготовление одного миллиона железобетонных корпусов в габаритах ФАБ-100 требуется следующий расход материалов:</w:t>
      </w:r>
    </w:p>
    <w:p w14:paraId="792B14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Цемент – 9000 тонн</w:t>
      </w:r>
    </w:p>
    <w:p w14:paraId="04C518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 9000 тонн</w:t>
      </w:r>
    </w:p>
    <w:p w14:paraId="18543B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Хлористый кальций – 250 тонн</w:t>
      </w:r>
    </w:p>
    <w:p w14:paraId="727684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Проволока около – 3000 тонн</w:t>
      </w:r>
    </w:p>
    <w:p w14:paraId="47C141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Чугунного литья около 10000 тонн</w:t>
      </w:r>
    </w:p>
    <w:p w14:paraId="5BE952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для производства одного миллиона цельнокованных корпусов требуется около 50000 тонн мартеновской стали в виде цельнотянутых труб и для производства этого же количества корпусов ФАБ-100 сварной конструкции требуется около 77000 тонн стального проката и литья.</w:t>
      </w:r>
    </w:p>
    <w:p w14:paraId="20FCF3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Изготовленная опытная партия железобетонных корпусов была снаряжена на заводе № 12 литым тротилом кусковым методом. При этом снаряжение железобетонных корпусов по своей технологии не отличается от снаряжения цельнокованных ФАБ-100.</w:t>
      </w:r>
    </w:p>
    <w:p w14:paraId="2319DD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проведения полигонных испытаний, ФАБ-100 с железобетонным корпусом были, во второй половине сентября 1940 года, поданы на НИП АВ ГУ ВВС.</w:t>
      </w:r>
    </w:p>
    <w:p w14:paraId="324A6B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были поданы 10 штук ФАБ-100 с цельнокованным корпусом, для сравнительных испытаний.</w:t>
      </w:r>
    </w:p>
    <w:p w14:paraId="6C1443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Полигонные испытания происходили на Ногинском полигоне в период с 26 сентября по 3 октября 1940 года и 5 октября 1940 года НИП АВ представил в 8 управление ГУ ВВС на утверждение отчет по испытаниям.</w:t>
      </w:r>
    </w:p>
    <w:p w14:paraId="606A5E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Полигонные испытания ФАБ-100 с корпусом из железобетона имели целью определить:</w:t>
      </w:r>
    </w:p>
    <w:p w14:paraId="6BBFA6C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Фугасный эффект бомб подрывом в земле и бомбометанием.</w:t>
      </w:r>
    </w:p>
    <w:p w14:paraId="326F2C5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корпусов.</w:t>
      </w:r>
    </w:p>
    <w:p w14:paraId="6E05CB9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Устойчивость бомб в полете.</w:t>
      </w:r>
    </w:p>
    <w:p w14:paraId="6F6152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испытаний</w:t>
      </w:r>
    </w:p>
    <w:p w14:paraId="03A4EE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Эффективность фугасного действия</w:t>
      </w:r>
    </w:p>
    <w:p w14:paraId="696DE7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Эффективность фугасного действия проверялась подрывом в грунте и бомбометанием с высот 1000-2000 – 4000 и 6000 м.</w:t>
      </w:r>
    </w:p>
    <w:p w14:paraId="386107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Подрывы в грунте производились одновременно со штатными ФАБ-100 ц.к. в ямах глубиною 1,5 метра. Бомбы ставились в ямы вертикально головой вниз и засыпались землей без трамбовки.</w:t>
      </w:r>
    </w:p>
    <w:p w14:paraId="7D695C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подрыва в грунте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2020"/>
        <w:gridCol w:w="2020"/>
        <w:gridCol w:w="2020"/>
        <w:gridCol w:w="2020"/>
      </w:tblGrid>
      <w:tr w:rsidR="00983732" w:rsidRPr="00A3026E" w14:paraId="06360B8E" w14:textId="77777777" w:rsidTr="00EA0DA7">
        <w:tc>
          <w:tcPr>
            <w:tcW w:w="3510" w:type="dxa"/>
          </w:tcPr>
          <w:p w14:paraId="4E1F60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бомб</w:t>
            </w:r>
          </w:p>
        </w:tc>
        <w:tc>
          <w:tcPr>
            <w:tcW w:w="2020" w:type="dxa"/>
          </w:tcPr>
          <w:p w14:paraId="24B92A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Диаметр воронки в м</w:t>
            </w:r>
          </w:p>
        </w:tc>
        <w:tc>
          <w:tcPr>
            <w:tcW w:w="2020" w:type="dxa"/>
          </w:tcPr>
          <w:p w14:paraId="6EA2A1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воронки в м</w:t>
            </w:r>
          </w:p>
        </w:tc>
        <w:tc>
          <w:tcPr>
            <w:tcW w:w="2020" w:type="dxa"/>
          </w:tcPr>
          <w:p w14:paraId="700AD3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Объем воронки в м куб.</w:t>
            </w:r>
          </w:p>
        </w:tc>
        <w:tc>
          <w:tcPr>
            <w:tcW w:w="2020" w:type="dxa"/>
          </w:tcPr>
          <w:p w14:paraId="6A6D82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грунта</w:t>
            </w:r>
          </w:p>
        </w:tc>
      </w:tr>
      <w:tr w:rsidR="00983732" w:rsidRPr="00A3026E" w14:paraId="25303506" w14:textId="77777777" w:rsidTr="00EA0DA7">
        <w:tc>
          <w:tcPr>
            <w:tcW w:w="3510" w:type="dxa"/>
          </w:tcPr>
          <w:p w14:paraId="626600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штатные цельнокованные корпуса</w:t>
            </w:r>
          </w:p>
        </w:tc>
        <w:tc>
          <w:tcPr>
            <w:tcW w:w="2020" w:type="dxa"/>
          </w:tcPr>
          <w:p w14:paraId="7E1FDF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2020" w:type="dxa"/>
          </w:tcPr>
          <w:p w14:paraId="27BB34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w:t>
            </w:r>
          </w:p>
        </w:tc>
        <w:tc>
          <w:tcPr>
            <w:tcW w:w="2020" w:type="dxa"/>
          </w:tcPr>
          <w:p w14:paraId="53DCFE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18,4</w:t>
            </w:r>
          </w:p>
        </w:tc>
        <w:tc>
          <w:tcPr>
            <w:tcW w:w="2020" w:type="dxa"/>
          </w:tcPr>
          <w:p w14:paraId="601BCA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3C1AF97F" w14:textId="77777777" w:rsidTr="00EA0DA7">
        <w:tc>
          <w:tcPr>
            <w:tcW w:w="3510" w:type="dxa"/>
          </w:tcPr>
          <w:p w14:paraId="456EE0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штатные цельнокованные корпуса</w:t>
            </w:r>
          </w:p>
        </w:tc>
        <w:tc>
          <w:tcPr>
            <w:tcW w:w="2020" w:type="dxa"/>
          </w:tcPr>
          <w:p w14:paraId="49B006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2020" w:type="dxa"/>
          </w:tcPr>
          <w:p w14:paraId="00EBC3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2020" w:type="dxa"/>
          </w:tcPr>
          <w:p w14:paraId="6FC821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2020" w:type="dxa"/>
          </w:tcPr>
          <w:p w14:paraId="6BB28E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02DD3B07" w14:textId="77777777" w:rsidTr="00EA0DA7">
        <w:tc>
          <w:tcPr>
            <w:tcW w:w="3510" w:type="dxa"/>
          </w:tcPr>
          <w:p w14:paraId="71E25B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 с железобетонным корпусом</w:t>
            </w:r>
          </w:p>
        </w:tc>
        <w:tc>
          <w:tcPr>
            <w:tcW w:w="2020" w:type="dxa"/>
          </w:tcPr>
          <w:p w14:paraId="13D63E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c>
          <w:tcPr>
            <w:tcW w:w="2020" w:type="dxa"/>
          </w:tcPr>
          <w:p w14:paraId="1D3B66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2020" w:type="dxa"/>
          </w:tcPr>
          <w:p w14:paraId="0AE46A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w:t>
            </w:r>
          </w:p>
        </w:tc>
        <w:tc>
          <w:tcPr>
            <w:tcW w:w="2020" w:type="dxa"/>
          </w:tcPr>
          <w:p w14:paraId="77CCB2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340DBE6A" w14:textId="77777777" w:rsidTr="00EA0DA7">
        <w:tc>
          <w:tcPr>
            <w:tcW w:w="3510" w:type="dxa"/>
          </w:tcPr>
          <w:p w14:paraId="7C2E2F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 с железобетонным корпусом</w:t>
            </w:r>
          </w:p>
        </w:tc>
        <w:tc>
          <w:tcPr>
            <w:tcW w:w="2020" w:type="dxa"/>
          </w:tcPr>
          <w:p w14:paraId="12E5A3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2020" w:type="dxa"/>
          </w:tcPr>
          <w:p w14:paraId="0EBC8F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2020" w:type="dxa"/>
          </w:tcPr>
          <w:p w14:paraId="72C6E8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w:t>
            </w:r>
          </w:p>
        </w:tc>
        <w:tc>
          <w:tcPr>
            <w:tcW w:w="2020" w:type="dxa"/>
          </w:tcPr>
          <w:p w14:paraId="53D1D6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32A1FB32" w14:textId="77777777" w:rsidTr="00EA0DA7">
        <w:tc>
          <w:tcPr>
            <w:tcW w:w="3510" w:type="dxa"/>
          </w:tcPr>
          <w:p w14:paraId="0E4EAE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 с железобетонным корпусом</w:t>
            </w:r>
          </w:p>
        </w:tc>
        <w:tc>
          <w:tcPr>
            <w:tcW w:w="2020" w:type="dxa"/>
          </w:tcPr>
          <w:p w14:paraId="7B88E4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w:t>
            </w:r>
          </w:p>
        </w:tc>
        <w:tc>
          <w:tcPr>
            <w:tcW w:w="2020" w:type="dxa"/>
          </w:tcPr>
          <w:p w14:paraId="4DAA3C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2020" w:type="dxa"/>
          </w:tcPr>
          <w:p w14:paraId="16E889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2020" w:type="dxa"/>
          </w:tcPr>
          <w:p w14:paraId="71F3D7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bl>
    <w:p w14:paraId="0B2E6A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таблицы видно, что фугасный эффект при подрыве в грунте практически одинаковый, что у ФАБ-100 штатной, то и ФАБ-100 с железобетонным корпусом.</w:t>
      </w:r>
    </w:p>
    <w:p w14:paraId="0EA874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Бомбометание с воздуха показало следующий эффект фугасного действия: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862"/>
        <w:gridCol w:w="1418"/>
        <w:gridCol w:w="992"/>
        <w:gridCol w:w="992"/>
        <w:gridCol w:w="1134"/>
        <w:gridCol w:w="4538"/>
      </w:tblGrid>
      <w:tr w:rsidR="00983732" w:rsidRPr="00A3026E" w14:paraId="10C4AEE1" w14:textId="77777777" w:rsidTr="00EA0DA7">
        <w:tc>
          <w:tcPr>
            <w:tcW w:w="1656" w:type="dxa"/>
          </w:tcPr>
          <w:p w14:paraId="6F9B9F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бомб</w:t>
            </w:r>
          </w:p>
        </w:tc>
        <w:tc>
          <w:tcPr>
            <w:tcW w:w="862" w:type="dxa"/>
          </w:tcPr>
          <w:p w14:paraId="4050B8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Высотное бомбометание в м</w:t>
            </w:r>
          </w:p>
        </w:tc>
        <w:tc>
          <w:tcPr>
            <w:tcW w:w="1418" w:type="dxa"/>
          </w:tcPr>
          <w:p w14:paraId="73BD31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и установка взрывателей</w:t>
            </w:r>
          </w:p>
        </w:tc>
        <w:tc>
          <w:tcPr>
            <w:tcW w:w="992" w:type="dxa"/>
          </w:tcPr>
          <w:p w14:paraId="3C168A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Диаметр воронки в м</w:t>
            </w:r>
          </w:p>
        </w:tc>
        <w:tc>
          <w:tcPr>
            <w:tcW w:w="992" w:type="dxa"/>
          </w:tcPr>
          <w:p w14:paraId="47D71F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воронки в м</w:t>
            </w:r>
          </w:p>
        </w:tc>
        <w:tc>
          <w:tcPr>
            <w:tcW w:w="1134" w:type="dxa"/>
          </w:tcPr>
          <w:p w14:paraId="22E633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Объем воронки в м куб.</w:t>
            </w:r>
          </w:p>
        </w:tc>
        <w:tc>
          <w:tcPr>
            <w:tcW w:w="4538" w:type="dxa"/>
          </w:tcPr>
          <w:p w14:paraId="744B88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грунта</w:t>
            </w:r>
          </w:p>
        </w:tc>
      </w:tr>
      <w:tr w:rsidR="00983732" w:rsidRPr="00A3026E" w14:paraId="733E9D73" w14:textId="77777777" w:rsidTr="00EA0DA7">
        <w:tc>
          <w:tcPr>
            <w:tcW w:w="1656" w:type="dxa"/>
          </w:tcPr>
          <w:p w14:paraId="647597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862" w:type="dxa"/>
          </w:tcPr>
          <w:p w14:paraId="0E521C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418" w:type="dxa"/>
          </w:tcPr>
          <w:p w14:paraId="7F2371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992" w:type="dxa"/>
          </w:tcPr>
          <w:p w14:paraId="0DCA80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w:t>
            </w:r>
          </w:p>
        </w:tc>
        <w:tc>
          <w:tcPr>
            <w:tcW w:w="992" w:type="dxa"/>
          </w:tcPr>
          <w:p w14:paraId="2CB1BB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c>
          <w:tcPr>
            <w:tcW w:w="1134" w:type="dxa"/>
          </w:tcPr>
          <w:p w14:paraId="398030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w:t>
            </w:r>
          </w:p>
        </w:tc>
        <w:tc>
          <w:tcPr>
            <w:tcW w:w="4538" w:type="dxa"/>
          </w:tcPr>
          <w:p w14:paraId="05D263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382ECB05" w14:textId="77777777" w:rsidTr="00EA0DA7">
        <w:tc>
          <w:tcPr>
            <w:tcW w:w="1656" w:type="dxa"/>
          </w:tcPr>
          <w:p w14:paraId="442B41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4A6CA9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418" w:type="dxa"/>
          </w:tcPr>
          <w:p w14:paraId="45B562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992" w:type="dxa"/>
          </w:tcPr>
          <w:p w14:paraId="5A90CB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w:t>
            </w:r>
          </w:p>
        </w:tc>
        <w:tc>
          <w:tcPr>
            <w:tcW w:w="992" w:type="dxa"/>
          </w:tcPr>
          <w:p w14:paraId="7FE92D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1134" w:type="dxa"/>
          </w:tcPr>
          <w:p w14:paraId="2F8865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22,6</w:t>
            </w:r>
          </w:p>
        </w:tc>
        <w:tc>
          <w:tcPr>
            <w:tcW w:w="4538" w:type="dxa"/>
          </w:tcPr>
          <w:p w14:paraId="1EAEEF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примесью глины</w:t>
            </w:r>
          </w:p>
        </w:tc>
      </w:tr>
      <w:tr w:rsidR="00983732" w:rsidRPr="00A3026E" w14:paraId="4FF13669" w14:textId="77777777" w:rsidTr="00EA0DA7">
        <w:tc>
          <w:tcPr>
            <w:tcW w:w="1656" w:type="dxa"/>
          </w:tcPr>
          <w:p w14:paraId="762F57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862" w:type="dxa"/>
          </w:tcPr>
          <w:p w14:paraId="1140B8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7AF366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992" w:type="dxa"/>
          </w:tcPr>
          <w:p w14:paraId="66A8D4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992" w:type="dxa"/>
          </w:tcPr>
          <w:p w14:paraId="75DB80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w:t>
            </w:r>
          </w:p>
        </w:tc>
        <w:tc>
          <w:tcPr>
            <w:tcW w:w="1134" w:type="dxa"/>
          </w:tcPr>
          <w:p w14:paraId="00EA7F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4538" w:type="dxa"/>
          </w:tcPr>
          <w:p w14:paraId="3F2D82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7369E3AE" w14:textId="77777777" w:rsidTr="00EA0DA7">
        <w:tc>
          <w:tcPr>
            <w:tcW w:w="1656" w:type="dxa"/>
          </w:tcPr>
          <w:p w14:paraId="73C142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862" w:type="dxa"/>
          </w:tcPr>
          <w:p w14:paraId="583022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49A7BA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992" w:type="dxa"/>
          </w:tcPr>
          <w:p w14:paraId="429957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5,30</w:t>
            </w:r>
          </w:p>
        </w:tc>
        <w:tc>
          <w:tcPr>
            <w:tcW w:w="992" w:type="dxa"/>
          </w:tcPr>
          <w:p w14:paraId="0FC7F7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1134" w:type="dxa"/>
          </w:tcPr>
          <w:p w14:paraId="057877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4538" w:type="dxa"/>
          </w:tcPr>
          <w:p w14:paraId="799C11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6E277979" w14:textId="77777777" w:rsidTr="00EA0DA7">
        <w:tc>
          <w:tcPr>
            <w:tcW w:w="1656" w:type="dxa"/>
          </w:tcPr>
          <w:p w14:paraId="405077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6A11F6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4E23C7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992" w:type="dxa"/>
          </w:tcPr>
          <w:p w14:paraId="4D9977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992" w:type="dxa"/>
          </w:tcPr>
          <w:p w14:paraId="1381A1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134" w:type="dxa"/>
          </w:tcPr>
          <w:p w14:paraId="6F2DF7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w:t>
            </w:r>
          </w:p>
        </w:tc>
        <w:tc>
          <w:tcPr>
            <w:tcW w:w="4538" w:type="dxa"/>
          </w:tcPr>
          <w:p w14:paraId="5184C9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плотный известняк на глуб. 1 метра</w:t>
            </w:r>
          </w:p>
        </w:tc>
      </w:tr>
      <w:tr w:rsidR="00983732" w:rsidRPr="00A3026E" w14:paraId="4EB3CFD0" w14:textId="77777777" w:rsidTr="00EA0DA7">
        <w:tc>
          <w:tcPr>
            <w:tcW w:w="1656" w:type="dxa"/>
          </w:tcPr>
          <w:p w14:paraId="7B6C0F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7BAA7E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56BAA1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992" w:type="dxa"/>
          </w:tcPr>
          <w:p w14:paraId="50D207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992" w:type="dxa"/>
          </w:tcPr>
          <w:p w14:paraId="247505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1134" w:type="dxa"/>
          </w:tcPr>
          <w:p w14:paraId="386290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w:t>
            </w:r>
          </w:p>
        </w:tc>
        <w:tc>
          <w:tcPr>
            <w:tcW w:w="4538" w:type="dxa"/>
          </w:tcPr>
          <w:p w14:paraId="385C79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69399290" w14:textId="77777777" w:rsidTr="00EA0DA7">
        <w:tc>
          <w:tcPr>
            <w:tcW w:w="1656" w:type="dxa"/>
          </w:tcPr>
          <w:p w14:paraId="633837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7EBEBA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75FC27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992" w:type="dxa"/>
          </w:tcPr>
          <w:p w14:paraId="658CFB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5,55</w:t>
            </w:r>
          </w:p>
        </w:tc>
        <w:tc>
          <w:tcPr>
            <w:tcW w:w="992" w:type="dxa"/>
          </w:tcPr>
          <w:p w14:paraId="6CA439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134" w:type="dxa"/>
          </w:tcPr>
          <w:p w14:paraId="734056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4538" w:type="dxa"/>
          </w:tcPr>
          <w:p w14:paraId="0632E2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7AFD7FA4" w14:textId="77777777" w:rsidTr="00EA0DA7">
        <w:tc>
          <w:tcPr>
            <w:tcW w:w="1656" w:type="dxa"/>
          </w:tcPr>
          <w:p w14:paraId="60B89C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254723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3538D0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992" w:type="dxa"/>
          </w:tcPr>
          <w:p w14:paraId="5F951D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5,70</w:t>
            </w:r>
          </w:p>
        </w:tc>
        <w:tc>
          <w:tcPr>
            <w:tcW w:w="992" w:type="dxa"/>
          </w:tcPr>
          <w:p w14:paraId="769911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1134" w:type="dxa"/>
          </w:tcPr>
          <w:p w14:paraId="693905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w:t>
            </w:r>
          </w:p>
        </w:tc>
        <w:tc>
          <w:tcPr>
            <w:tcW w:w="4538" w:type="dxa"/>
          </w:tcPr>
          <w:p w14:paraId="4B8CFE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с незначит. примесью глины</w:t>
            </w:r>
          </w:p>
        </w:tc>
      </w:tr>
      <w:tr w:rsidR="00983732" w:rsidRPr="00A3026E" w14:paraId="4D48515E" w14:textId="77777777" w:rsidTr="00EA0DA7">
        <w:tc>
          <w:tcPr>
            <w:tcW w:w="1656" w:type="dxa"/>
          </w:tcPr>
          <w:p w14:paraId="6A16A0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01050F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3A38D9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992" w:type="dxa"/>
          </w:tcPr>
          <w:p w14:paraId="31EA39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c>
          <w:tcPr>
            <w:tcW w:w="992" w:type="dxa"/>
          </w:tcPr>
          <w:p w14:paraId="01B69B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134" w:type="dxa"/>
          </w:tcPr>
          <w:p w14:paraId="55773C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c>
          <w:tcPr>
            <w:tcW w:w="4538" w:type="dxa"/>
          </w:tcPr>
          <w:p w14:paraId="5A4CBF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4C3D12FB" w14:textId="77777777" w:rsidTr="00EA0DA7">
        <w:tc>
          <w:tcPr>
            <w:tcW w:w="1656" w:type="dxa"/>
          </w:tcPr>
          <w:p w14:paraId="6A6672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773D62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09013B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992" w:type="dxa"/>
          </w:tcPr>
          <w:p w14:paraId="0F4EFE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5,95</w:t>
            </w:r>
          </w:p>
        </w:tc>
        <w:tc>
          <w:tcPr>
            <w:tcW w:w="992" w:type="dxa"/>
          </w:tcPr>
          <w:p w14:paraId="648588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1134" w:type="dxa"/>
          </w:tcPr>
          <w:p w14:paraId="71C527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4538" w:type="dxa"/>
          </w:tcPr>
          <w:p w14:paraId="338339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Попала вблизи старой воронки</w:t>
            </w:r>
          </w:p>
        </w:tc>
      </w:tr>
      <w:tr w:rsidR="00983732" w:rsidRPr="00A3026E" w14:paraId="425B0EF5" w14:textId="77777777" w:rsidTr="00EA0DA7">
        <w:tc>
          <w:tcPr>
            <w:tcW w:w="1656" w:type="dxa"/>
          </w:tcPr>
          <w:p w14:paraId="5E0E11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5CCB18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766506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992" w:type="dxa"/>
          </w:tcPr>
          <w:p w14:paraId="1CABCD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992" w:type="dxa"/>
          </w:tcPr>
          <w:p w14:paraId="060829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134" w:type="dxa"/>
          </w:tcPr>
          <w:p w14:paraId="023E77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w:t>
            </w:r>
          </w:p>
        </w:tc>
        <w:tc>
          <w:tcPr>
            <w:tcW w:w="4538" w:type="dxa"/>
          </w:tcPr>
          <w:p w14:paraId="317DCE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1E7EEA5E" w14:textId="77777777" w:rsidTr="00EA0DA7">
        <w:tc>
          <w:tcPr>
            <w:tcW w:w="1656" w:type="dxa"/>
          </w:tcPr>
          <w:p w14:paraId="3A5994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862" w:type="dxa"/>
          </w:tcPr>
          <w:p w14:paraId="19A23D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002AAD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992" w:type="dxa"/>
          </w:tcPr>
          <w:p w14:paraId="00457C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992" w:type="dxa"/>
          </w:tcPr>
          <w:p w14:paraId="04B84F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w:t>
            </w:r>
          </w:p>
        </w:tc>
        <w:tc>
          <w:tcPr>
            <w:tcW w:w="1134" w:type="dxa"/>
          </w:tcPr>
          <w:p w14:paraId="2DD411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4538" w:type="dxa"/>
          </w:tcPr>
          <w:p w14:paraId="3BA75B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065E70EE" w14:textId="77777777" w:rsidTr="00EA0DA7">
        <w:tc>
          <w:tcPr>
            <w:tcW w:w="1656" w:type="dxa"/>
          </w:tcPr>
          <w:p w14:paraId="05F1EC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862" w:type="dxa"/>
          </w:tcPr>
          <w:p w14:paraId="2D05B2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4E954F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992" w:type="dxa"/>
          </w:tcPr>
          <w:p w14:paraId="51201E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6,70</w:t>
            </w:r>
          </w:p>
        </w:tc>
        <w:tc>
          <w:tcPr>
            <w:tcW w:w="992" w:type="dxa"/>
          </w:tcPr>
          <w:p w14:paraId="583890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1134" w:type="dxa"/>
          </w:tcPr>
          <w:p w14:paraId="0D0F2E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w:t>
            </w:r>
          </w:p>
        </w:tc>
        <w:tc>
          <w:tcPr>
            <w:tcW w:w="4538" w:type="dxa"/>
          </w:tcPr>
          <w:p w14:paraId="1A6DEE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Попала в старую воронку</w:t>
            </w:r>
          </w:p>
        </w:tc>
      </w:tr>
      <w:tr w:rsidR="00983732" w:rsidRPr="00A3026E" w14:paraId="1214A48B" w14:textId="77777777" w:rsidTr="00EA0DA7">
        <w:tc>
          <w:tcPr>
            <w:tcW w:w="1656" w:type="dxa"/>
          </w:tcPr>
          <w:p w14:paraId="701F19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862" w:type="dxa"/>
          </w:tcPr>
          <w:p w14:paraId="7429CD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02BF9F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992" w:type="dxa"/>
          </w:tcPr>
          <w:p w14:paraId="0C4C11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w:t>
            </w:r>
          </w:p>
        </w:tc>
        <w:tc>
          <w:tcPr>
            <w:tcW w:w="992" w:type="dxa"/>
          </w:tcPr>
          <w:p w14:paraId="5D379E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1134" w:type="dxa"/>
          </w:tcPr>
          <w:p w14:paraId="39C1F5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4538" w:type="dxa"/>
          </w:tcPr>
          <w:p w14:paraId="60F780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Попала в густую сеть корней ………</w:t>
            </w:r>
          </w:p>
        </w:tc>
      </w:tr>
      <w:tr w:rsidR="00983732" w:rsidRPr="00A3026E" w14:paraId="36EFBAFE" w14:textId="77777777" w:rsidTr="00EA0DA7">
        <w:tc>
          <w:tcPr>
            <w:tcW w:w="1656" w:type="dxa"/>
          </w:tcPr>
          <w:p w14:paraId="3CF936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3FA103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1F1E1E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992" w:type="dxa"/>
          </w:tcPr>
          <w:p w14:paraId="6175F6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992" w:type="dxa"/>
          </w:tcPr>
          <w:p w14:paraId="057BC7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1134" w:type="dxa"/>
          </w:tcPr>
          <w:p w14:paraId="78932F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w:t>
            </w:r>
          </w:p>
        </w:tc>
        <w:tc>
          <w:tcPr>
            <w:tcW w:w="4538" w:type="dxa"/>
          </w:tcPr>
          <w:p w14:paraId="419CC9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1FAD7081" w14:textId="77777777" w:rsidTr="00EA0DA7">
        <w:tc>
          <w:tcPr>
            <w:tcW w:w="1656" w:type="dxa"/>
          </w:tcPr>
          <w:p w14:paraId="25E581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7097CD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0AB51F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992" w:type="dxa"/>
          </w:tcPr>
          <w:p w14:paraId="617F4D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5,55</w:t>
            </w:r>
          </w:p>
        </w:tc>
        <w:tc>
          <w:tcPr>
            <w:tcW w:w="992" w:type="dxa"/>
          </w:tcPr>
          <w:p w14:paraId="6BD6AB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1134" w:type="dxa"/>
          </w:tcPr>
          <w:p w14:paraId="256EAA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17,6</w:t>
            </w:r>
          </w:p>
        </w:tc>
        <w:tc>
          <w:tcPr>
            <w:tcW w:w="4538" w:type="dxa"/>
          </w:tcPr>
          <w:p w14:paraId="219301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19E9A805" w14:textId="77777777" w:rsidTr="00EA0DA7">
        <w:tc>
          <w:tcPr>
            <w:tcW w:w="1656" w:type="dxa"/>
          </w:tcPr>
          <w:p w14:paraId="5BC1D9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36AEFA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71DBDC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992" w:type="dxa"/>
          </w:tcPr>
          <w:p w14:paraId="1AA765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5,65</w:t>
            </w:r>
          </w:p>
        </w:tc>
        <w:tc>
          <w:tcPr>
            <w:tcW w:w="992" w:type="dxa"/>
          </w:tcPr>
          <w:p w14:paraId="22F59B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tc>
        <w:tc>
          <w:tcPr>
            <w:tcW w:w="1134" w:type="dxa"/>
          </w:tcPr>
          <w:p w14:paraId="435F74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4538" w:type="dxa"/>
          </w:tcPr>
          <w:p w14:paraId="400EFC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глина</w:t>
            </w:r>
          </w:p>
        </w:tc>
      </w:tr>
      <w:tr w:rsidR="00983732" w:rsidRPr="00A3026E" w14:paraId="0E92BBDE" w14:textId="77777777" w:rsidTr="00EA0DA7">
        <w:tc>
          <w:tcPr>
            <w:tcW w:w="1656" w:type="dxa"/>
          </w:tcPr>
          <w:p w14:paraId="33DF7A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1F7E3E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492E12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992" w:type="dxa"/>
          </w:tcPr>
          <w:p w14:paraId="077CFB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5,90</w:t>
            </w:r>
          </w:p>
        </w:tc>
        <w:tc>
          <w:tcPr>
            <w:tcW w:w="992" w:type="dxa"/>
          </w:tcPr>
          <w:p w14:paraId="60BFC6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w:t>
            </w:r>
          </w:p>
        </w:tc>
        <w:tc>
          <w:tcPr>
            <w:tcW w:w="1134" w:type="dxa"/>
          </w:tcPr>
          <w:p w14:paraId="382D21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21,2</w:t>
            </w:r>
          </w:p>
        </w:tc>
        <w:tc>
          <w:tcPr>
            <w:tcW w:w="4538" w:type="dxa"/>
          </w:tcPr>
          <w:p w14:paraId="367701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w:t>
            </w:r>
          </w:p>
        </w:tc>
      </w:tr>
      <w:tr w:rsidR="00983732" w:rsidRPr="00A3026E" w14:paraId="6F2DDE30" w14:textId="77777777" w:rsidTr="00EA0DA7">
        <w:tc>
          <w:tcPr>
            <w:tcW w:w="1656" w:type="dxa"/>
          </w:tcPr>
          <w:p w14:paraId="2E3DFF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1B7BDE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7A0FA9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992" w:type="dxa"/>
          </w:tcPr>
          <w:p w14:paraId="45E940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992" w:type="dxa"/>
          </w:tcPr>
          <w:p w14:paraId="206C73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tc>
        <w:tc>
          <w:tcPr>
            <w:tcW w:w="1134" w:type="dxa"/>
          </w:tcPr>
          <w:p w14:paraId="7B931B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w:t>
            </w:r>
          </w:p>
        </w:tc>
        <w:tc>
          <w:tcPr>
            <w:tcW w:w="4538" w:type="dxa"/>
          </w:tcPr>
          <w:p w14:paraId="558BCC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72A9F0A0" w14:textId="77777777" w:rsidTr="00EA0DA7">
        <w:tc>
          <w:tcPr>
            <w:tcW w:w="1656" w:type="dxa"/>
          </w:tcPr>
          <w:p w14:paraId="4DB1D5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3A6863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51B36D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992" w:type="dxa"/>
          </w:tcPr>
          <w:p w14:paraId="6B6F5D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992" w:type="dxa"/>
          </w:tcPr>
          <w:p w14:paraId="2A54FE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134" w:type="dxa"/>
          </w:tcPr>
          <w:p w14:paraId="19A504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tc>
        <w:tc>
          <w:tcPr>
            <w:tcW w:w="4538" w:type="dxa"/>
          </w:tcPr>
          <w:p w14:paraId="6ABD13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w:t>
            </w:r>
          </w:p>
        </w:tc>
      </w:tr>
      <w:tr w:rsidR="00983732" w:rsidRPr="00A3026E" w14:paraId="7C83C696" w14:textId="77777777" w:rsidTr="00EA0DA7">
        <w:tc>
          <w:tcPr>
            <w:tcW w:w="1656" w:type="dxa"/>
          </w:tcPr>
          <w:p w14:paraId="7C811D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862" w:type="dxa"/>
          </w:tcPr>
          <w:p w14:paraId="004AA0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418" w:type="dxa"/>
          </w:tcPr>
          <w:p w14:paraId="4A086A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992" w:type="dxa"/>
          </w:tcPr>
          <w:p w14:paraId="3FD8BB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992" w:type="dxa"/>
          </w:tcPr>
          <w:p w14:paraId="78A2E7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1134" w:type="dxa"/>
          </w:tcPr>
          <w:p w14:paraId="1CAA4F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w:t>
            </w:r>
          </w:p>
        </w:tc>
        <w:tc>
          <w:tcPr>
            <w:tcW w:w="4538" w:type="dxa"/>
          </w:tcPr>
          <w:p w14:paraId="4CB951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w:t>
            </w:r>
          </w:p>
        </w:tc>
      </w:tr>
      <w:tr w:rsidR="00983732" w:rsidRPr="00A3026E" w14:paraId="7FAB10EE" w14:textId="77777777" w:rsidTr="00EA0DA7">
        <w:tc>
          <w:tcPr>
            <w:tcW w:w="1656" w:type="dxa"/>
          </w:tcPr>
          <w:p w14:paraId="666673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036EF3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418" w:type="dxa"/>
          </w:tcPr>
          <w:p w14:paraId="52816E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992" w:type="dxa"/>
          </w:tcPr>
          <w:p w14:paraId="4A7A7E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w:t>
            </w:r>
          </w:p>
        </w:tc>
        <w:tc>
          <w:tcPr>
            <w:tcW w:w="992" w:type="dxa"/>
          </w:tcPr>
          <w:p w14:paraId="58568A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1134" w:type="dxa"/>
          </w:tcPr>
          <w:p w14:paraId="0AFC99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w:t>
            </w:r>
          </w:p>
        </w:tc>
        <w:tc>
          <w:tcPr>
            <w:tcW w:w="4538" w:type="dxa"/>
          </w:tcPr>
          <w:p w14:paraId="1799BB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Суглинок и плотный известняк</w:t>
            </w:r>
          </w:p>
        </w:tc>
      </w:tr>
      <w:tr w:rsidR="00983732" w:rsidRPr="00A3026E" w14:paraId="21DAB968" w14:textId="77777777" w:rsidTr="00EA0DA7">
        <w:tc>
          <w:tcPr>
            <w:tcW w:w="1656" w:type="dxa"/>
          </w:tcPr>
          <w:p w14:paraId="60B587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штатная</w:t>
            </w:r>
          </w:p>
        </w:tc>
        <w:tc>
          <w:tcPr>
            <w:tcW w:w="862" w:type="dxa"/>
          </w:tcPr>
          <w:p w14:paraId="2F26A6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418" w:type="dxa"/>
          </w:tcPr>
          <w:p w14:paraId="78DF80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992" w:type="dxa"/>
          </w:tcPr>
          <w:p w14:paraId="316318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7,10</w:t>
            </w:r>
          </w:p>
        </w:tc>
        <w:tc>
          <w:tcPr>
            <w:tcW w:w="992" w:type="dxa"/>
          </w:tcPr>
          <w:p w14:paraId="41A3B3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c>
          <w:tcPr>
            <w:tcW w:w="1134" w:type="dxa"/>
          </w:tcPr>
          <w:p w14:paraId="402BA7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27,8</w:t>
            </w:r>
          </w:p>
        </w:tc>
        <w:tc>
          <w:tcPr>
            <w:tcW w:w="4538" w:type="dxa"/>
          </w:tcPr>
          <w:p w14:paraId="65CA6D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Рыхлый песок</w:t>
            </w:r>
          </w:p>
        </w:tc>
      </w:tr>
      <w:tr w:rsidR="00983732" w:rsidRPr="00A3026E" w14:paraId="4B0CACFC" w14:textId="77777777" w:rsidTr="00EA0DA7">
        <w:tc>
          <w:tcPr>
            <w:tcW w:w="1656" w:type="dxa"/>
          </w:tcPr>
          <w:p w14:paraId="5F07A1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железобет.</w:t>
            </w:r>
          </w:p>
        </w:tc>
        <w:tc>
          <w:tcPr>
            <w:tcW w:w="862" w:type="dxa"/>
          </w:tcPr>
          <w:p w14:paraId="42BEFF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418" w:type="dxa"/>
          </w:tcPr>
          <w:p w14:paraId="345829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АПУВ 0,3 сек.</w:t>
            </w:r>
          </w:p>
        </w:tc>
        <w:tc>
          <w:tcPr>
            <w:tcW w:w="992" w:type="dxa"/>
          </w:tcPr>
          <w:p w14:paraId="354641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992" w:type="dxa"/>
          </w:tcPr>
          <w:p w14:paraId="6346FA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w:t>
            </w:r>
          </w:p>
        </w:tc>
        <w:tc>
          <w:tcPr>
            <w:tcW w:w="1134" w:type="dxa"/>
          </w:tcPr>
          <w:p w14:paraId="35061A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14,2</w:t>
            </w:r>
          </w:p>
        </w:tc>
        <w:tc>
          <w:tcPr>
            <w:tcW w:w="4538" w:type="dxa"/>
          </w:tcPr>
          <w:p w14:paraId="4633C4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Песок и известняк на дне воронки</w:t>
            </w:r>
          </w:p>
        </w:tc>
      </w:tr>
    </w:tbl>
    <w:p w14:paraId="405529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видно из таблицы, фугасное действие авиабомб как штатных, так и железобетонных при попадании бомб в одинаковый грунт, примерно одинаковые.</w:t>
      </w:r>
    </w:p>
    <w:p w14:paraId="1E2E60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Прочность корпусов</w:t>
      </w:r>
    </w:p>
    <w:p w14:paraId="7436BE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корпусов поверялась путем сбрасывания снаряженных бомб без взрывателей с различных высот и кроме того, было произведено для этой же цели десять растрясочных полетов на самолете СБ с вертикально и горизонтально подвешенными бомбами (на ДЕР-34 и ДЕР-19). При осмотре бомб после десяти вылетов и посадок никаких нарушений в подвеске и прочности корпусов бомб обнаружено не было.</w:t>
      </w:r>
    </w:p>
    <w:p w14:paraId="73415E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 прочность корпусов бомб при сбрасывании с различных высот дали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418"/>
        <w:gridCol w:w="8790"/>
      </w:tblGrid>
      <w:tr w:rsidR="00983732" w:rsidRPr="00A3026E" w14:paraId="50791B35" w14:textId="77777777" w:rsidTr="00EA0DA7">
        <w:tc>
          <w:tcPr>
            <w:tcW w:w="1384" w:type="dxa"/>
          </w:tcPr>
          <w:p w14:paraId="2DDC44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сбрасывания в м</w:t>
            </w:r>
          </w:p>
        </w:tc>
        <w:tc>
          <w:tcPr>
            <w:tcW w:w="1418" w:type="dxa"/>
          </w:tcPr>
          <w:p w14:paraId="762DE3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проникания в м</w:t>
            </w:r>
          </w:p>
        </w:tc>
        <w:tc>
          <w:tcPr>
            <w:tcW w:w="8790" w:type="dxa"/>
          </w:tcPr>
          <w:p w14:paraId="596D48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корпуса</w:t>
            </w:r>
          </w:p>
        </w:tc>
      </w:tr>
      <w:tr w:rsidR="00983732" w:rsidRPr="00A3026E" w14:paraId="170D2F91" w14:textId="77777777" w:rsidTr="00EA0DA7">
        <w:tc>
          <w:tcPr>
            <w:tcW w:w="1384" w:type="dxa"/>
          </w:tcPr>
          <w:p w14:paraId="5115B2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418" w:type="dxa"/>
          </w:tcPr>
          <w:p w14:paraId="4865D2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8790" w:type="dxa"/>
          </w:tcPr>
          <w:p w14:paraId="054DDC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440D477C" w14:textId="77777777" w:rsidTr="00EA0DA7">
        <w:tc>
          <w:tcPr>
            <w:tcW w:w="1384" w:type="dxa"/>
          </w:tcPr>
          <w:p w14:paraId="6FE680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78DBA8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1,47</w:t>
            </w:r>
          </w:p>
        </w:tc>
        <w:tc>
          <w:tcPr>
            <w:tcW w:w="8790" w:type="dxa"/>
          </w:tcPr>
          <w:p w14:paraId="1DC906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27ADD493" w14:textId="77777777" w:rsidTr="00EA0DA7">
        <w:tc>
          <w:tcPr>
            <w:tcW w:w="1384" w:type="dxa"/>
          </w:tcPr>
          <w:p w14:paraId="4C7C27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52168A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1,57</w:t>
            </w:r>
          </w:p>
        </w:tc>
        <w:tc>
          <w:tcPr>
            <w:tcW w:w="8790" w:type="dxa"/>
          </w:tcPr>
          <w:p w14:paraId="45BABB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2EDB8968" w14:textId="77777777" w:rsidTr="00EA0DA7">
        <w:tc>
          <w:tcPr>
            <w:tcW w:w="1384" w:type="dxa"/>
          </w:tcPr>
          <w:p w14:paraId="52C0D4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4AB1C9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tc>
        <w:tc>
          <w:tcPr>
            <w:tcW w:w="8790" w:type="dxa"/>
          </w:tcPr>
          <w:p w14:paraId="218CBA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01182F56" w14:textId="77777777" w:rsidTr="00EA0DA7">
        <w:tc>
          <w:tcPr>
            <w:tcW w:w="1384" w:type="dxa"/>
          </w:tcPr>
          <w:p w14:paraId="37332A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418" w:type="dxa"/>
          </w:tcPr>
          <w:p w14:paraId="40F27A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1,87</w:t>
            </w:r>
          </w:p>
        </w:tc>
        <w:tc>
          <w:tcPr>
            <w:tcW w:w="8790" w:type="dxa"/>
          </w:tcPr>
          <w:p w14:paraId="316169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983732" w:rsidRPr="00A3026E" w14:paraId="61559AFA" w14:textId="77777777" w:rsidTr="00EA0DA7">
        <w:tc>
          <w:tcPr>
            <w:tcW w:w="1384" w:type="dxa"/>
          </w:tcPr>
          <w:p w14:paraId="17DCAA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418" w:type="dxa"/>
          </w:tcPr>
          <w:p w14:paraId="078D27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8790" w:type="dxa"/>
          </w:tcPr>
          <w:p w14:paraId="4D3E12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983732" w:rsidRPr="00A3026E" w14:paraId="362CEFBE" w14:textId="77777777" w:rsidTr="00EA0DA7">
        <w:tc>
          <w:tcPr>
            <w:tcW w:w="1384" w:type="dxa"/>
          </w:tcPr>
          <w:p w14:paraId="2C2753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418" w:type="dxa"/>
          </w:tcPr>
          <w:p w14:paraId="7BCD21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8790" w:type="dxa"/>
          </w:tcPr>
          <w:p w14:paraId="077F35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983732" w:rsidRPr="00A3026E" w14:paraId="3762B561" w14:textId="77777777" w:rsidTr="00EA0DA7">
        <w:tc>
          <w:tcPr>
            <w:tcW w:w="1384" w:type="dxa"/>
          </w:tcPr>
          <w:p w14:paraId="74F60F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418" w:type="dxa"/>
          </w:tcPr>
          <w:p w14:paraId="1ECD26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8790" w:type="dxa"/>
          </w:tcPr>
          <w:p w14:paraId="3F583E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r w:rsidR="00983732" w:rsidRPr="00A3026E" w14:paraId="1AC5D3F9" w14:textId="77777777" w:rsidTr="00EA0DA7">
        <w:tc>
          <w:tcPr>
            <w:tcW w:w="1384" w:type="dxa"/>
          </w:tcPr>
          <w:p w14:paraId="60D50D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1418" w:type="dxa"/>
          </w:tcPr>
          <w:p w14:paraId="68830B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8790" w:type="dxa"/>
          </w:tcPr>
          <w:p w14:paraId="065234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bl>
    <w:p w14:paraId="3261C9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Устойчивость бомб на траектории</w:t>
      </w:r>
    </w:p>
    <w:p w14:paraId="6C87AF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бомб на траектории при сбрасывании с высот 1000 и 2000 м определялась визуально с земли. Бомбы на траектории вели себя устойчиво.</w:t>
      </w:r>
    </w:p>
    <w:p w14:paraId="2C59A0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сбрасывании с 4000 м (залп из 3-х) с горизонтальных держателей на основании рассеивания дали достаточную устойчивость.</w:t>
      </w:r>
    </w:p>
    <w:p w14:paraId="056E5D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сбрасывании с высоты 6000 м с вертикальных бомбодержателей (залп из 4-х) рассеивание залпа по курсу получилось 275 м – это рассеивание надо считать очень большим.</w:t>
      </w:r>
    </w:p>
    <w:p w14:paraId="761480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результатов полигонных испытаний НИП АВ ВВС сделал следующие выводы:</w:t>
      </w:r>
    </w:p>
    <w:p w14:paraId="0B9ACF9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ФАБ-100 с корпусом из железобетона при сбрасывании с высот 1000, 2000, 4000 и 6000 метров действует безотказно. По фугасному эффекту ФАБ-100 железобетонные при бомбометании с высоты 2000 м практически равноценны ФАБ-100 цельнокованным. С высоты 4000 и 6000 м получено по одному наблюдению, что является недостаточным для сравнительных выводов.</w:t>
      </w:r>
    </w:p>
    <w:p w14:paraId="4D1B798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Корпуса ФАБ-100 железобетонных при бомбометании с 2000 м при скорости самолета 270 км/час по грунту средней плотности, имеют достаточную прочность.</w:t>
      </w:r>
    </w:p>
    <w:p w14:paraId="3210F7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сбрасывании с высот 4000 и 6000 м при скорости самолета 300 км/час, корпуса ФАБ-100 железобетонных деформируются, разрушается наружный слой бетона, но при этом они проникают в грунт. Заряд взрывчатого вещества не рассеивается и при наличии взрывателей полный взрыв взрывчатого вещества обеспечен.</w:t>
      </w:r>
    </w:p>
    <w:p w14:paraId="4FF66E3C"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Устойчивость бомб на траектории достаточная, но подлежит более детальной проверке с высот 4000 м и выше. Рекомендовать произвести расчетную проверку на устойчивость.</w:t>
      </w:r>
    </w:p>
    <w:p w14:paraId="3BEFD79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 основании проведенных испытаний ФАБ-100 с железобетонным корпусом возможно применять по целям следующего порядка: аэродромы и ангары; грунтовые дороги; ж/д станции, легкие постройки городских наземных сооружений; деревянно-земляные укрепления полевого типа, легкие промышленные здания и т.п.</w:t>
      </w:r>
    </w:p>
    <w:p w14:paraId="7B2F06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своем заключении НИП АВ указывает, что:</w:t>
      </w:r>
    </w:p>
    <w:p w14:paraId="56205C5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Железобетонные авиабомбы в габаритах ФАБ-100 цельнокованных конструкций проф. Гальперина, в результате полигонных испытаний показали удовлетворительные результаты в отношении прочности, фугасности и безотказности действия при бомбометании по грунту средней плотности.</w:t>
      </w:r>
    </w:p>
    <w:p w14:paraId="328242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что ФАБ-100 с железобетонным корпусом полигонные испытания выдержали и могут быть допущены на войсковые испытания для всестороннего выявления боевых свойств и всех характеристических показателей.</w:t>
      </w:r>
    </w:p>
    <w:p w14:paraId="4A4D699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подачей бомб на войсковые испытания, провести контрольные испытания ФАБ-100 железобетонных по мерзлому грунту и на устойчивость падения с больших высот, из числа бомб первой опытно-валовой партии, для чего необходимо подать на НИП АВ – 100 штук бомб.</w:t>
      </w:r>
    </w:p>
    <w:p w14:paraId="16D89F3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АВ считает необходимым продолжить исследовательскую работу, как по линии дальнейшего упрочнения корпуса, так и в направлении изготовления более крупных калибров бомб данной конструкции.</w:t>
      </w:r>
    </w:p>
    <w:p w14:paraId="0F6202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8 Управления ГУ ВВС</w:t>
      </w:r>
    </w:p>
    <w:p w14:paraId="3DF7DE4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Представленный НИП АВ ВВС отчет по полигонным испытаниям фугасных авиабомб с железобетонным корпусом утвердить.</w:t>
      </w:r>
    </w:p>
    <w:p w14:paraId="691788D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что фугасные авиабомбы с железобетонным корпусом полигонные испытания выдержали.</w:t>
      </w:r>
    </w:p>
    <w:p w14:paraId="46EA40C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Присвоить фугасным авиабомбам с железобетонным корпусом наименование ФАБ-100 НГ.</w:t>
      </w:r>
    </w:p>
    <w:p w14:paraId="23C4F35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Просить Наркомат боеприпасов:</w:t>
      </w:r>
    </w:p>
    <w:p w14:paraId="55B8BFB3" w14:textId="77777777" w:rsidR="00C66762" w:rsidRPr="00A3026E" w:rsidRDefault="00C66762" w:rsidP="00A3026E">
      <w:pPr>
        <w:pStyle w:val="a3"/>
        <w:widowControl/>
        <w:rPr>
          <w:color w:val="000000" w:themeColor="text1"/>
          <w:lang w:val="ru-RU"/>
        </w:rPr>
      </w:pPr>
      <w:r w:rsidRPr="00A3026E">
        <w:rPr>
          <w:color w:val="000000" w:themeColor="text1"/>
          <w:lang w:val="ru-RU"/>
        </w:rPr>
        <w:t>а) Провести подготовку к валовому производству ФАБ-100 НГ в 1941 году.</w:t>
      </w:r>
    </w:p>
    <w:p w14:paraId="2B9F27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Изготовить к 1 января 1941 года опытно-серийные партии ФАБ-100 НГ в количестве 15000 штук.</w:t>
      </w:r>
    </w:p>
    <w:p w14:paraId="13BA009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Просить начальника КБ-35 проф. Гальперина разработать, с учетом возможного увеличения прочности корпуса, чертежи и ТУ на ФАБ-100 НГ и представить их на утверждение в 8 Управление ГУ ВВС к 20 октября 1940 года.</w:t>
      </w:r>
    </w:p>
    <w:p w14:paraId="61B533B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НИП АВ ГУ ВВС в период январь-февраль 1941 года провести контрольные испытания ФАБ-100 НГ по мерзлому грунту, для чего из первых опытно-серийных партий 8 Управлению ГУ ВВС обеспечить подачу на НИП АВ 100 штук ФАБ-100 НГ.</w:t>
      </w:r>
    </w:p>
    <w:p w14:paraId="7F8EAAC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наиболее полного выявления боевых свойств в 1941 году провести широкие войсковые испытания ФАБ-100 НГ по различным грунтам.</w:t>
      </w:r>
    </w:p>
    <w:p w14:paraId="1F3B962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Просить начальника КБ-35 разработать проекты и изготовить ФАБ-250, ФАБ-500 и ФАБ-1000 с корпусами из железобетона. Изготовление этих калибров желательно закончить к 1 января 1941 года.</w:t>
      </w:r>
    </w:p>
    <w:p w14:paraId="4BFD013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НТЖ разослать:</w:t>
      </w:r>
    </w:p>
    <w:p w14:paraId="442425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1и 2 – Отделение чертежей и ТУ 8 Управления ГУ ВВС</w:t>
      </w:r>
    </w:p>
    <w:p w14:paraId="39B897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3 – КО</w:t>
      </w:r>
    </w:p>
    <w:p w14:paraId="798C71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4 – наркому боеприпасов</w:t>
      </w:r>
    </w:p>
    <w:p w14:paraId="1BF52C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5 – начальнику КБ-35 НКБ</w:t>
      </w:r>
    </w:p>
    <w:p w14:paraId="27BB91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6 - начальнику НИП АВ ГУ ВВС</w:t>
      </w:r>
    </w:p>
    <w:p w14:paraId="61D1E7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7 – Бюро техпомощи заводам при НКБ</w:t>
      </w:r>
    </w:p>
    <w:p w14:paraId="4CAD16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8 2 Управлению ГУ ВВС</w:t>
      </w:r>
    </w:p>
    <w:p w14:paraId="274F31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8 Управления ГУ ВВС в/инженер 1 ранга Никонов, начальник 1 отдела 8 Управления ГУ ВВС в/инженер 1 ранга Матаев) (3440, 236-252).</w:t>
      </w:r>
    </w:p>
    <w:p w14:paraId="2427DC5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83DDD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года на НИП АВ ВВС закончились полигонные испытанияе осколочных бомб АО-8М6 ст. чугуна п.п. 65 и 68, снаряженных смесью К-2 методом шнекования 1940 года завода № 12, которые проходили с 10 сентября 1940.</w:t>
      </w:r>
    </w:p>
    <w:p w14:paraId="686F67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14E693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2 ранга Дьячков</w:t>
      </w:r>
    </w:p>
    <w:p w14:paraId="6CA264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2CEB0CBD" w14:textId="77777777" w:rsidR="00C66762" w:rsidRPr="00A3026E" w:rsidRDefault="00C66762" w:rsidP="00A3026E">
      <w:pPr>
        <w:pStyle w:val="22"/>
        <w:widowControl/>
        <w:rPr>
          <w:color w:val="000000" w:themeColor="text1"/>
        </w:rPr>
      </w:pPr>
      <w:r w:rsidRPr="00A3026E">
        <w:rPr>
          <w:color w:val="000000" w:themeColor="text1"/>
        </w:rPr>
        <w:t>Испытания имели целью определить:</w:t>
      </w:r>
    </w:p>
    <w:p w14:paraId="50546D3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Осколочное действие бомбы.</w:t>
      </w:r>
    </w:p>
    <w:p w14:paraId="51EF173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Дробление корпуса бомбы ВВ.</w:t>
      </w:r>
    </w:p>
    <w:p w14:paraId="5C5BA92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Безотказность действия.</w:t>
      </w:r>
    </w:p>
    <w:p w14:paraId="4375DC4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бомб в полете.</w:t>
      </w:r>
    </w:p>
    <w:p w14:paraId="1B9104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575319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 АО-8М6 сталистого чугуна, снаряженные ТНТ+ДМН 80/20 шнекованием 1940 года, завода № 12, как давшиепо осколочному действию и безотказности удовлетворительные результаты, полигонные испытания выдержали (7587).</w:t>
      </w:r>
    </w:p>
    <w:p w14:paraId="1BFB248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0CB4FF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года проходили полигонные испытания осколочных авиабомб АО-10 ст. чугуна, снаряженных смесью К-2 (ТНТ+ДНН 80/20) футлярным методом, с приварными и привинтными стабилизаторами завода № 12 1940 года, которые проходили с 27 сентября 1940</w:t>
      </w:r>
    </w:p>
    <w:p w14:paraId="16C9DE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 в/инженер 3 ранга Смирнов</w:t>
      </w:r>
    </w:p>
    <w:p w14:paraId="596A3E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5BDE39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имели целью определить:</w:t>
      </w:r>
    </w:p>
    <w:p w14:paraId="77416E5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Осколочное действие бомб.</w:t>
      </w:r>
    </w:p>
    <w:p w14:paraId="2433D06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Безотказность действия.</w:t>
      </w:r>
    </w:p>
    <w:p w14:paraId="72CF11E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бомб в полете.</w:t>
      </w:r>
    </w:p>
    <w:p w14:paraId="0CEEA8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AD1913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 АО-10 ст. чугуна, снаряженные смесью К-2 (ТНТ+ДНН 80/20) футлярным методом, завода № 12 1940 года черт. 3-0775 показали неудовлетворительные результаты по устойчивости в полете (АО-10 с приварным стабилизатором – 6,3% неустойчивых и с привинтным стабилизатором – 10% неустойчивых) и полигонные испытания не выдержали (7547).</w:t>
      </w:r>
    </w:p>
    <w:p w14:paraId="14BBA2E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D661252" w14:textId="77777777" w:rsidR="00A3684A" w:rsidRPr="00A3026E" w:rsidRDefault="00A3684A"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FD9C4C8" w14:textId="77777777" w:rsidR="00A3684A" w:rsidRPr="00A3026E" w:rsidRDefault="00A3684A" w:rsidP="00A3026E">
      <w:pPr>
        <w:spacing w:after="0" w:line="240" w:lineRule="auto"/>
        <w:jc w:val="both"/>
        <w:rPr>
          <w:rFonts w:ascii="Times New Roman" w:hAnsi="Times New Roman"/>
          <w:iCs/>
          <w:color w:val="000000" w:themeColor="text1"/>
          <w:sz w:val="16"/>
          <w:szCs w:val="16"/>
        </w:rPr>
      </w:pPr>
    </w:p>
    <w:p w14:paraId="705F033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w:t>
      </w:r>
    </w:p>
    <w:p w14:paraId="080A8D8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161. Докладная записка наркома судостроительной промышленности СССР И. И. Носенко секретарю ЦК ВКП(б) И. В. Сталину об изменениях в плане военного судостроения на 1941 г.</w:t>
      </w:r>
    </w:p>
    <w:p w14:paraId="17E3368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Источник: </w:t>
      </w:r>
    </w:p>
    <w:p w14:paraId="02B08AE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645-652.</w:t>
      </w:r>
    </w:p>
    <w:p w14:paraId="49CD84E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Архив: </w:t>
      </w:r>
    </w:p>
    <w:p w14:paraId="6C715D1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 РФ. Ф. 3. Оп. 46. Д. 557. Л. 11-27. Подлинник.</w:t>
      </w:r>
    </w:p>
    <w:p w14:paraId="540D999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Совершенно секретно.</w:t>
      </w:r>
    </w:p>
    <w:p w14:paraId="28CA2C7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НКСП представляет откорректированный план военного судостроения на 1941 г., предусматривающий дополнительную закладку на судостроительных заводах НКСП в 1941 г. эсминцев проекта 30, сторожевых кораблей и подводных лодок.</w:t>
      </w:r>
    </w:p>
    <w:p w14:paraId="6F18BFA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сравнению с представленным ранее планом внесены следующие изменения.</w:t>
      </w:r>
    </w:p>
    <w:p w14:paraId="237E1FA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Дополнительно закладываются в 1941 г.: 4 эсминца проекта 30, 2 сторожевых корабля проекта 29, 11 подводных лодок IX серии типа “С”, 2 подводных лодки XV серии (двухвальные).</w:t>
      </w:r>
    </w:p>
    <w:p w14:paraId="3890E80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Ускоряется закладка 4 эсминцев проекта 30 на Николаевском заводе № 200: вместо 1941 г. закладка будет произведена в IV квартале текущего года.</w:t>
      </w:r>
    </w:p>
    <w:p w14:paraId="2A21AA9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3аменяется намеченная ранее закладка 7 быстроходных тральщиков проекта 59 (турбинных) закладкой 7 тральщиков проекта 53у (дизельных), что дает сокращение срока постройки на один год.</w:t>
      </w:r>
    </w:p>
    <w:p w14:paraId="6899FAC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Исключается из плана закладка 4 лидеров-эсминцев проекта 48 и одного ледокола-сторожевика для НКВД. Освободившиеся стапели занимаются указанными выше кораблями.</w:t>
      </w:r>
    </w:p>
    <w:p w14:paraId="7635BC2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 Исключается из плана 1941 г. закладка нового линкора на Балтийском заводе № 189 и переносится спуск на воду линкора “Советский Союз” с октября 1941 г. на июнь 1942 г. Одновременно с этим на Балтийском заводе дополнительно закладываются 4 подлодки IX серии.</w:t>
      </w:r>
    </w:p>
    <w:p w14:paraId="067F9ED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Итого, в результате внесенных изменений, снимается закладка 1 линкора, 4 лидеров-эсминцев и 1 ледокола-сторожевика и дополнительно включается в план закладка 4 эсминцев, 2 сторожевиков, 11 подлодок типа “С” и 2 подлодок XV серии.</w:t>
      </w:r>
    </w:p>
    <w:p w14:paraId="68FDC8B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Дополнительная закладка в 1941 г. 19 новых кораблей и замена турбинных тральщиков дизельными дает возможность увеличить сдачу кораблей в 1942 г. на 15 ед. (в том числе 8 надводных и 7 подводных).</w:t>
      </w:r>
    </w:p>
    <w:p w14:paraId="6B0A052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основным типам кораблей скорректированный план 1941 г. предусматривает следующее количество закладок и сдач:</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90"/>
        <w:gridCol w:w="2191"/>
        <w:gridCol w:w="2034"/>
        <w:gridCol w:w="2360"/>
        <w:gridCol w:w="2047"/>
      </w:tblGrid>
      <w:tr w:rsidR="00983732" w:rsidRPr="00A3026E" w14:paraId="0965D14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754A0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Типы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55DF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Находятся в производ</w:t>
            </w:r>
            <w:r w:rsidRPr="00A3026E">
              <w:rPr>
                <w:rFonts w:ascii="Times New Roman" w:hAnsi="Times New Roman"/>
                <w:color w:val="000000" w:themeColor="text1"/>
                <w:sz w:val="16"/>
                <w:szCs w:val="16"/>
              </w:rPr>
              <w:softHyphen/>
              <w:t>стве на начало 1941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360F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Закладки по предсто</w:t>
            </w:r>
            <w:r w:rsidRPr="00A3026E">
              <w:rPr>
                <w:rFonts w:ascii="Times New Roman" w:hAnsi="Times New Roman"/>
                <w:color w:val="000000" w:themeColor="text1"/>
                <w:sz w:val="16"/>
                <w:szCs w:val="16"/>
              </w:rPr>
              <w:softHyphen/>
              <w:t>ящему плану 1941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CBEF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Закладки по скорректи</w:t>
            </w:r>
            <w:r w:rsidRPr="00A3026E">
              <w:rPr>
                <w:rFonts w:ascii="Times New Roman" w:hAnsi="Times New Roman"/>
                <w:color w:val="000000" w:themeColor="text1"/>
                <w:sz w:val="16"/>
                <w:szCs w:val="16"/>
              </w:rPr>
              <w:softHyphen/>
              <w:t>рован</w:t>
            </w:r>
            <w:r w:rsidRPr="00A3026E">
              <w:rPr>
                <w:rFonts w:ascii="Times New Roman" w:hAnsi="Times New Roman"/>
                <w:color w:val="000000" w:themeColor="text1"/>
                <w:sz w:val="16"/>
                <w:szCs w:val="16"/>
              </w:rPr>
              <w:softHyphen/>
              <w:t>ному плану 1941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64AF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производ</w:t>
            </w:r>
            <w:r w:rsidRPr="00A3026E">
              <w:rPr>
                <w:rFonts w:ascii="Times New Roman" w:hAnsi="Times New Roman"/>
                <w:color w:val="000000" w:themeColor="text1"/>
                <w:sz w:val="16"/>
                <w:szCs w:val="16"/>
              </w:rPr>
              <w:softHyphen/>
              <w:t>стве на 1 января 1942 г.</w:t>
            </w:r>
          </w:p>
        </w:tc>
      </w:tr>
      <w:tr w:rsidR="00983732" w:rsidRPr="00A3026E" w14:paraId="0B99725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1B30F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Надводные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2643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AC4A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7297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F6CA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6C8FF48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C3EAF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Линкоры проекта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ACA0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5010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6246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EF3E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r>
      <w:tr w:rsidR="00983732" w:rsidRPr="00A3026E" w14:paraId="77D7381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A5CD4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Тяжелые крейсеры проекта 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18AB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276F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B240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1AD6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0DACEC2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8FB01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Крейсер типа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3EF6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4E67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B249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7DD9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03F2180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EC8F8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Легкие крейсеры проекта 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9FA9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F4B9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2FC4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4FA4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r>
      <w:tr w:rsidR="00983732" w:rsidRPr="00A3026E" w14:paraId="2B81CCA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90EB7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Легкие крейсеры проекта 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6C23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4E36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4240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7234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59D5C57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95561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Лидер эсминцев проекта 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5BE3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F7E2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86CA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CF02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r>
      <w:tr w:rsidR="00983732" w:rsidRPr="00A3026E" w14:paraId="0E7FBF9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0509A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Эсминцы проекта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0E21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ED86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018B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13¹</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2158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28²</w:t>
            </w:r>
          </w:p>
        </w:tc>
      </w:tr>
      <w:tr w:rsidR="00983732" w:rsidRPr="00A3026E" w14:paraId="576D998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E5F9D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Эсминцы проекта 7-у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F96B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58E8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96C6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01DA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r>
      <w:tr w:rsidR="00983732" w:rsidRPr="00A3026E" w14:paraId="6BC3EF5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A6EFE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Эсминцы проекта 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E95C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424B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085D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ABC3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r>
      <w:tr w:rsidR="00983732" w:rsidRPr="00A3026E" w14:paraId="2F1121C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C1903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Экспериментальный эсминец №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7071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8E20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37E4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161C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7A3D243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49AD5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Сторожевые корабли проекта 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B47C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D9C7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7A49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32E1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15⁴</w:t>
            </w:r>
          </w:p>
        </w:tc>
      </w:tr>
      <w:tr w:rsidR="00983732" w:rsidRPr="00A3026E" w14:paraId="7ED84C6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A4353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Быстроходные тральщики проекта 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A5EF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9F75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33EC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CB85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r>
      <w:tr w:rsidR="00983732" w:rsidRPr="00A3026E" w14:paraId="5B63917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F7D5B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Базовые тральщики проекта 53-у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FE16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7A85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16BE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5E23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r>
      <w:tr w:rsidR="00983732" w:rsidRPr="00A3026E" w14:paraId="5B72078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D0ABB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Базовые тральщики проекта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886B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5D2C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41F7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90C1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3BA9D99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96B35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Мониторы малые СБ-57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AAB0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1167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8DAE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1D44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r>
      <w:tr w:rsidR="00983732" w:rsidRPr="00A3026E" w14:paraId="0C9D205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0D9DB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Мониторы большие тип 1190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78AB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121E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DDD1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80DF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r>
      <w:tr w:rsidR="00983732" w:rsidRPr="00A3026E" w14:paraId="1BCFB4F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EF62E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Охотники за подлодками тип 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13C7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8615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B307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FAB6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r>
      <w:tr w:rsidR="00983732" w:rsidRPr="00A3026E" w14:paraId="7D1474D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5EF93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Охотники за подлодками деревянные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BB2B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4A48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8746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7924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r>
      <w:tr w:rsidR="00983732" w:rsidRPr="00A3026E" w14:paraId="7AB9501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D3CA1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Бронекатера большие тип 1124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C36E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353B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FBA3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6EFC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r>
      <w:tr w:rsidR="00983732" w:rsidRPr="00A3026E" w14:paraId="2243402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41DE3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Бронекатера малые тип 1125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7B56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647A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8478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C1EB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r>
      <w:tr w:rsidR="00983732" w:rsidRPr="00A3026E" w14:paraId="5F79E52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01D53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Торпедные катера металлические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C804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22EE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F6C6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F772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r>
      <w:tr w:rsidR="00983732" w:rsidRPr="00A3026E" w14:paraId="4108ED9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5A1EC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Подводные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AB46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852B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9711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49E4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0B96B79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8FDE5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большие типа “К” XIV 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0E48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BE8B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C380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E6C8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r>
      <w:tr w:rsidR="00983732" w:rsidRPr="00A3026E" w14:paraId="34C961D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0EAE7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большие типа “Л” XIII 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8006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4E60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8AC1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F1F1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r>
      <w:tr w:rsidR="00983732" w:rsidRPr="00A3026E" w14:paraId="0195965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BA774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типа “C” IX 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F9FC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1C18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B2EC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DE84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…⁶</w:t>
            </w:r>
          </w:p>
        </w:tc>
      </w:tr>
      <w:tr w:rsidR="00983732" w:rsidRPr="00A3026E" w14:paraId="6E75321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B4215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типа “Щ” X 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04C9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637E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C9CD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90BC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r>
      <w:tr w:rsidR="00983732" w:rsidRPr="00A3026E" w14:paraId="1FBEFC7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10B9E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типа “М” XII 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7FF3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70BA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7706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095C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r>
      <w:tr w:rsidR="00983732" w:rsidRPr="00A3026E" w14:paraId="5551626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E9114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двухвальные XV 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9217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5CD7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9068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C6C3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r>
      <w:tr w:rsidR="00983732" w:rsidRPr="00A3026E" w14:paraId="4692457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383DF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Опытные 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E09F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03AE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01C9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5859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718FD87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8104F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Вспомогательные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8137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F2B1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43AE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3FF2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08596EE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70966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Буксиры 1500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72F1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70D6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A062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AE90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050E3A5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FF8B5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Буксиры 800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0C3F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AF29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A2BA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89AF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r>
      <w:tr w:rsidR="00983732" w:rsidRPr="00A3026E" w14:paraId="302EA09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E10D6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Буксиры 200 и 150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CBEB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CCA6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D57B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AC4D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r>
      <w:tr w:rsidR="00983732" w:rsidRPr="00A3026E" w14:paraId="4487A28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D44A1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Сетевые заградители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BA19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2BEA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9BBE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A6A9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r>
      <w:tr w:rsidR="00983732" w:rsidRPr="00A3026E" w14:paraId="18625BD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7405E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Плавдоки 5000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3C42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9572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1291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3355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5F25E98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693B8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Плавдоки 2100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D019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287A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BA37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A8E6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r>
      <w:tr w:rsidR="00983732" w:rsidRPr="00A3026E" w14:paraId="2F504AD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C86E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Плавмастерские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13CB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313A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6632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5EB4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r>
      <w:tr w:rsidR="00983732" w:rsidRPr="00A3026E" w14:paraId="152B9D8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54664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Десантные морские суда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4EE3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46D5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3212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CD09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r>
      <w:tr w:rsidR="00983732" w:rsidRPr="00A3026E" w14:paraId="7310E25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4822D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Плавбаза для бронекатеров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E165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B8E8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6934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BD46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25C7E71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C8ED4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Транспорта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4121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7C16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317E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80AE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r>
      <w:tr w:rsidR="00983732" w:rsidRPr="00A3026E" w14:paraId="25905F9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F816E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Катера вспомогательные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23C7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721D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ADEC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204D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08FE6DC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AFA8C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Буксиры, тендера, артщиты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B99D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A818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74A5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BDDF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w:t>
            </w:r>
          </w:p>
        </w:tc>
      </w:tr>
      <w:tr w:rsidR="00983732" w:rsidRPr="00A3026E" w14:paraId="6871B28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C6FFB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Прочие вспомогательные суда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C790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AE25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93E2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23A4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w:t>
            </w:r>
          </w:p>
        </w:tc>
      </w:tr>
    </w:tbl>
    <w:p w14:paraId="6CDA692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 к таблице:</w:t>
      </w:r>
    </w:p>
    <w:p w14:paraId="120149B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¹ Здесь и далее: рукописные пометы И. В. Сталина. Рядом написано «5».</w:t>
      </w:r>
    </w:p>
    <w:p w14:paraId="5676138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² Рядом написано «33».</w:t>
      </w:r>
    </w:p>
    <w:p w14:paraId="0AD8DDC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³ Исправлено на «10».</w:t>
      </w:r>
    </w:p>
    <w:p w14:paraId="3CC178D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⁴ Исправлено на «19».</w:t>
      </w:r>
    </w:p>
    <w:p w14:paraId="654647A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⁵ Исправлено на «21».</w:t>
      </w:r>
    </w:p>
    <w:p w14:paraId="54384A5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⁶ Исходное число неразборчиво. Исправлено на «48».</w:t>
      </w:r>
    </w:p>
    <w:p w14:paraId="0E8959B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перечисленных кораблей, строящихся для НКВМФ и НКВД, планом 1941 г. предусмотрена также постройка переходящих и вновь закладываемых по решениям Экономсовета гражданских судов для НКВМФ, НКРФ, и ГУСМП. Всего в 1941 г. будут находиться в постройке, кроме заказов НКВМФ и НКВД, 2 ледокола типа “И. Сталин”, 10 наливных судов, 3 рефрижератора, 18 буксиров, 4 землечерпалки, 30 шаланд и барж.</w:t>
      </w:r>
    </w:p>
    <w:p w14:paraId="4644182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значительное увеличение загрузки судостроительных заводов военными кораблями, НКСП просит пересмотреть ряд решений Экономсовета о закладке в 1941 г. на заводах НКСП новых гражданских судов (мелкосидящие танкеры, баржи 6 тыс. т, буксиры, капитальный ремонт “Пищевой индустрии” и др.).</w:t>
      </w:r>
    </w:p>
    <w:p w14:paraId="3D5F530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сдаче боевых кораблей Военно-морскому флоту планом 1941 г. намечено следующее: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36"/>
        <w:gridCol w:w="2166"/>
        <w:gridCol w:w="2074"/>
        <w:gridCol w:w="1820"/>
        <w:gridCol w:w="2126"/>
      </w:tblGrid>
      <w:tr w:rsidR="00983732" w:rsidRPr="00A3026E" w14:paraId="416D930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00281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Типы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F460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Фактиче</w:t>
            </w:r>
            <w:r w:rsidRPr="00A3026E">
              <w:rPr>
                <w:rFonts w:ascii="Times New Roman" w:hAnsi="Times New Roman"/>
                <w:color w:val="000000" w:themeColor="text1"/>
                <w:sz w:val="16"/>
                <w:szCs w:val="16"/>
              </w:rPr>
              <w:softHyphen/>
              <w:t>ски сдано в 1939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DAF6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Ожидает</w:t>
            </w:r>
            <w:r w:rsidRPr="00A3026E">
              <w:rPr>
                <w:rFonts w:ascii="Times New Roman" w:hAnsi="Times New Roman"/>
                <w:color w:val="000000" w:themeColor="text1"/>
                <w:sz w:val="16"/>
                <w:szCs w:val="16"/>
              </w:rPr>
              <w:softHyphen/>
              <w:t>ся сдача в 1940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E620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Сдача по плану 1941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4549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Намечает</w:t>
            </w:r>
            <w:r w:rsidRPr="00A3026E">
              <w:rPr>
                <w:rFonts w:ascii="Times New Roman" w:hAnsi="Times New Roman"/>
                <w:color w:val="000000" w:themeColor="text1"/>
                <w:sz w:val="16"/>
                <w:szCs w:val="16"/>
              </w:rPr>
              <w:softHyphen/>
              <w:t>ся сдача в 1942 г.</w:t>
            </w:r>
          </w:p>
        </w:tc>
      </w:tr>
      <w:tr w:rsidR="00983732" w:rsidRPr="00A3026E" w14:paraId="464D6F9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AE1E5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Надводные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E4B7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2E57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A8F2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395F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38474D4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BDB5B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Легкие крейсеры проекта 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FFAA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EB63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18A5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4F92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r>
      <w:tr w:rsidR="00983732" w:rsidRPr="00A3026E" w14:paraId="04ED067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6D275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Крейсер типа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A059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4A64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ADAE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C170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231D210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1D0A2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Легкие крейсеры проекта 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B194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507C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8B22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7D0A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7B88F0B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894C3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Лидер эсминцев проекта 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D635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91BD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E882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B550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r>
      <w:tr w:rsidR="00983732" w:rsidRPr="00A3026E" w14:paraId="6F977DD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875EC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Эсминцы проекта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C622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DFB7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4A56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B0BF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8¹</w:t>
            </w:r>
          </w:p>
        </w:tc>
      </w:tr>
      <w:tr w:rsidR="00983732" w:rsidRPr="00A3026E" w14:paraId="48502DA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C2886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Эсминцы проекта 7-у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7AA5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F8E8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C65C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86F3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438A85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F37BB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Эсминцы проекта 7</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DE97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2F0E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0598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7962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0988D08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9EFEB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Экспериментальный эсминец №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E04D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CE14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B68F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59A9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34E565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B38E2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Сторожевые корабли проекта 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124D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0230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D91B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C448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r>
      <w:tr w:rsidR="00983732" w:rsidRPr="00A3026E" w14:paraId="5D5818A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53639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Быстроходные тральщики проекта 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1120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DF69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969A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6F60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r>
      <w:tr w:rsidR="00983732" w:rsidRPr="00A3026E" w14:paraId="4BC9EBF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B73A9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Базовые тральщики проекта 53 и 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F0D2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8F67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36CB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ED1F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r>
      <w:tr w:rsidR="00983732" w:rsidRPr="00A3026E" w14:paraId="41CEC20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6F1B1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Мониторы малые СБ</w:t>
            </w:r>
            <w:r w:rsidRPr="00A3026E">
              <w:rPr>
                <w:rFonts w:ascii="Times New Roman" w:hAnsi="Times New Roman"/>
                <w:color w:val="000000" w:themeColor="text1"/>
                <w:sz w:val="16"/>
                <w:szCs w:val="16"/>
              </w:rPr>
              <w:noBreakHyphen/>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FBE9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064C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6F4B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7FDC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7597C57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F7975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Мониторы большие тип 1190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5889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52A1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BD6F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3C20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r>
      <w:tr w:rsidR="00983732" w:rsidRPr="00A3026E" w14:paraId="6BCE798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7F12D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Охотники за подлодками тип 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1926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A2EE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6BB5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F08B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r>
      <w:tr w:rsidR="00983732" w:rsidRPr="00A3026E" w14:paraId="6727880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19CF9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Охотники за подлодками деревянные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EBFA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A7E9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777C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A7F6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r>
      <w:tr w:rsidR="00983732" w:rsidRPr="00A3026E" w14:paraId="08CF835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99A7E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Бронекатера большие тип 1124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AB6A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D58C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330F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A64F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r>
      <w:tr w:rsidR="00983732" w:rsidRPr="00A3026E" w14:paraId="069FDE3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EF4C8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Бронекатера малые тип 1125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84E7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6AFC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3286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11A6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r>
      <w:tr w:rsidR="00983732" w:rsidRPr="00A3026E" w14:paraId="0E87493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1C4E7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B732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CF73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5736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89EF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r>
      <w:tr w:rsidR="00983732" w:rsidRPr="00A3026E" w14:paraId="7FDD8D1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0FA00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Подводные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A6A4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D1CA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14F9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6552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38311AF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7A6F9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большие типа “К” XIV 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8C62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6CA9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5F4F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2A5D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1668A4D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E4162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большие типа “Л” XIII 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388C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2F84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ADE2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8963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3F4386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88773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типа “С” IX 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1574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E661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00AC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B310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r>
      <w:tr w:rsidR="00983732" w:rsidRPr="00A3026E" w14:paraId="625E6F5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257C7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типа “Щ” X 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5F83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12FC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2A32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B1D4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r>
      <w:tr w:rsidR="00983732" w:rsidRPr="00A3026E" w14:paraId="5200D63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E2ABA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типа “М” XII 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F3AD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0636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58F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E64E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r>
      <w:tr w:rsidR="00983732" w:rsidRPr="00A3026E" w14:paraId="0EB7D41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26EAF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двухвальные XV 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0467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D1DE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1D1E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D9B3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r>
      <w:tr w:rsidR="00983732" w:rsidRPr="00A3026E" w14:paraId="51C4045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51152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Опытные 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66BD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3E0B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F81A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DA29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67E6D33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к таблице:</w:t>
      </w:r>
    </w:p>
    <w:p w14:paraId="1D41065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¹ Исправлено на «10». Рядом написано «20».</w:t>
      </w:r>
    </w:p>
    <w:p w14:paraId="629D4E5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Представляемый на утверждение скорректированный план на 1941 г. предусматривает следующий рост по валовой и товарной продукции против ожидаемого выпуска 1940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29"/>
        <w:gridCol w:w="2794"/>
        <w:gridCol w:w="2848"/>
        <w:gridCol w:w="1351"/>
      </w:tblGrid>
      <w:tr w:rsidR="00983732" w:rsidRPr="00A3026E" w14:paraId="2B3057AD" w14:textId="77777777" w:rsidTr="007E425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D40AF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CB4B27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Рост к 1940 г.</w:t>
            </w:r>
          </w:p>
        </w:tc>
      </w:tr>
      <w:tr w:rsidR="00983732" w:rsidRPr="00A3026E" w14:paraId="257920A6" w14:textId="77777777" w:rsidTr="007E425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8A061C2" w14:textId="77777777" w:rsidR="00A3684A" w:rsidRPr="00A3026E" w:rsidRDefault="00A3684A"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D34E7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валовой продукции с комплекта</w:t>
            </w:r>
            <w:r w:rsidRPr="00A3026E">
              <w:rPr>
                <w:rFonts w:ascii="Times New Roman" w:hAnsi="Times New Roman"/>
                <w:color w:val="000000" w:themeColor="text1"/>
                <w:sz w:val="16"/>
                <w:szCs w:val="16"/>
              </w:rPr>
              <w:softHyphen/>
              <w:t>цией агрегатами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69A0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валовой продукции без комплекта</w:t>
            </w:r>
            <w:r w:rsidRPr="00A3026E">
              <w:rPr>
                <w:rFonts w:ascii="Times New Roman" w:hAnsi="Times New Roman"/>
                <w:color w:val="000000" w:themeColor="text1"/>
                <w:sz w:val="16"/>
                <w:szCs w:val="16"/>
              </w:rPr>
              <w:softHyphen/>
              <w:t>ции агрегатами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FD41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товарному выпуску</w:t>
            </w:r>
          </w:p>
        </w:tc>
      </w:tr>
      <w:tr w:rsidR="00983732" w:rsidRPr="00A3026E" w14:paraId="63EA010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E6380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Балтийский завод № 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129F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370A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65A1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162,4</w:t>
            </w:r>
          </w:p>
        </w:tc>
      </w:tr>
      <w:tr w:rsidR="00983732" w:rsidRPr="00A3026E" w14:paraId="4ACCE46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35AAD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Ленинградский завод № 190 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75F9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AA56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93FA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131,4</w:t>
            </w:r>
          </w:p>
        </w:tc>
      </w:tr>
      <w:tr w:rsidR="00983732" w:rsidRPr="00A3026E" w14:paraId="283F339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64313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Ленинградский завод № 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1025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3AB0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438A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99,4</w:t>
            </w:r>
          </w:p>
        </w:tc>
      </w:tr>
      <w:tr w:rsidR="00983732" w:rsidRPr="00A3026E" w14:paraId="6D6788D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AB138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Ленинградский завод № 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8FC8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DBD9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FE45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139,0</w:t>
            </w:r>
          </w:p>
        </w:tc>
      </w:tr>
      <w:tr w:rsidR="00983732" w:rsidRPr="00A3026E" w14:paraId="0A23B17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F9728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Ленинградский завод № 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B776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002B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4A96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131,6</w:t>
            </w:r>
          </w:p>
        </w:tc>
      </w:tr>
      <w:tr w:rsidR="00983732" w:rsidRPr="00A3026E" w14:paraId="5068DCF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5C861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Ленинградский № 363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0E1F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AAB9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64D8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117,3</w:t>
            </w:r>
          </w:p>
        </w:tc>
      </w:tr>
      <w:tr w:rsidR="00983732" w:rsidRPr="00A3026E" w14:paraId="26D4CC1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F15D5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402, г. Молотовск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7F27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D506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1D6A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282,1</w:t>
            </w:r>
          </w:p>
        </w:tc>
      </w:tr>
      <w:tr w:rsidR="00983732" w:rsidRPr="00A3026E" w14:paraId="25D5205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A5644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“Электромортрест”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4787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E5F6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F852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124,4</w:t>
            </w:r>
          </w:p>
        </w:tc>
      </w:tr>
      <w:tr w:rsidR="00983732" w:rsidRPr="00A3026E" w14:paraId="019DDB7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4648E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Ленинградский завод № 346 им. Молотова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8831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9DED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70E5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118,0</w:t>
            </w:r>
          </w:p>
        </w:tc>
      </w:tr>
      <w:tr w:rsidR="00983732" w:rsidRPr="00A3026E" w14:paraId="6359D67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F98FE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Николаевский завод № 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1FCF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34F1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EDB8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109,3</w:t>
            </w:r>
          </w:p>
        </w:tc>
      </w:tr>
      <w:tr w:rsidR="00983732" w:rsidRPr="00A3026E" w14:paraId="6D17D1D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86610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Николаевский завод №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5782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E460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0812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120,3</w:t>
            </w:r>
          </w:p>
        </w:tc>
      </w:tr>
      <w:tr w:rsidR="00983732" w:rsidRPr="00A3026E" w14:paraId="2CCB19F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DA1E1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Севастопольский завод № 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225D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3554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B049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113,5</w:t>
            </w:r>
          </w:p>
        </w:tc>
      </w:tr>
      <w:tr w:rsidR="00983732" w:rsidRPr="00A3026E" w14:paraId="225EAC6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B0437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Комсомольский завод № 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A110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C856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7637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148,1</w:t>
            </w:r>
          </w:p>
        </w:tc>
      </w:tr>
      <w:tr w:rsidR="00983732" w:rsidRPr="00A3026E" w14:paraId="0D1B176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09012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Владивостокский завод № 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CFF5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BA65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8F7E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140,1</w:t>
            </w:r>
          </w:p>
        </w:tc>
      </w:tr>
      <w:tr w:rsidR="00983732" w:rsidRPr="00A3026E" w14:paraId="00DF05C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5DDD5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по заводам, непосредственно подчиненным наркомату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1A71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46F6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1BB6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134,2</w:t>
            </w:r>
          </w:p>
        </w:tc>
      </w:tr>
      <w:tr w:rsidR="00983732" w:rsidRPr="00A3026E" w14:paraId="1A2A697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ECA4D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noBreakHyphen/>
              <w:t>е Главное управление (судостроение)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BA86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7C7B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5FFF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139,8</w:t>
            </w:r>
          </w:p>
        </w:tc>
      </w:tr>
      <w:tr w:rsidR="00983732" w:rsidRPr="00A3026E" w14:paraId="7EF37D6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1C20C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noBreakHyphen/>
              <w:t>е Главное управление (минно-торпедное)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1DDB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284A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BAB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134,8</w:t>
            </w:r>
          </w:p>
        </w:tc>
      </w:tr>
      <w:tr w:rsidR="00983732" w:rsidRPr="00A3026E" w14:paraId="2014840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1E168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r w:rsidRPr="00A3026E">
              <w:rPr>
                <w:rFonts w:ascii="Times New Roman" w:hAnsi="Times New Roman"/>
                <w:color w:val="000000" w:themeColor="text1"/>
                <w:sz w:val="16"/>
                <w:szCs w:val="16"/>
              </w:rPr>
              <w:noBreakHyphen/>
              <w:t>е Главное управление (броневое)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42C7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A93C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3AB6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125,0</w:t>
            </w:r>
          </w:p>
        </w:tc>
      </w:tr>
      <w:tr w:rsidR="00983732" w:rsidRPr="00A3026E" w14:paraId="6F7FB0F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1933E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r w:rsidRPr="00A3026E">
              <w:rPr>
                <w:rFonts w:ascii="Times New Roman" w:hAnsi="Times New Roman"/>
                <w:color w:val="000000" w:themeColor="text1"/>
                <w:sz w:val="16"/>
                <w:szCs w:val="16"/>
              </w:rPr>
              <w:noBreakHyphen/>
              <w:t>е Главное управление (приборы управления огнем и гидроакустики)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892A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E44C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0ECF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149,5</w:t>
            </w:r>
          </w:p>
        </w:tc>
      </w:tr>
      <w:tr w:rsidR="00983732" w:rsidRPr="00A3026E" w14:paraId="01BA846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B41F5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по НКСП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3F88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2CA7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DBBC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135,0</w:t>
            </w:r>
          </w:p>
        </w:tc>
      </w:tr>
    </w:tbl>
    <w:p w14:paraId="6B75866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Внесенные коррективы в план судостроения на 1941 г. вызывают необходимость одновременного решения следующих наиболее важных вопросов комплектации кораблей оборудованием и вооружением.</w:t>
      </w:r>
    </w:p>
    <w:p w14:paraId="16B31A3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главным турбинам. В связи с увеличением количества закладываемых эсминцев и досрочной закладкой 4 эсминцев на заводе № 200 необходимо в 1941 г. поставить судостроительным заводам 24 турбины равномерно по кварталам.</w:t>
      </w:r>
    </w:p>
    <w:p w14:paraId="7001318D"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турбины проекта 30 изготовляются на Кировском заводе совершенно неудовлетворительно. Одной из причин резкого отставания в изготовлении турбин для эсминцев проекта 30 является несвоевременная поставка полуфабрикатов (поковок и литья) со стороны Уралмашзавода.</w:t>
      </w:r>
    </w:p>
    <w:p w14:paraId="78D6E74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НКСП просит обязать Кировский завод (и в части полуфабрикатов Уралмашзавод) обеспечить выпуск в 1941 г. не менее 24 главных турбин для эсминцев проекта 30.</w:t>
      </w:r>
    </w:p>
    <w:p w14:paraId="6774898E"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Изготовление главных турбин для сторожевых судов проекта 29 возложено на Ленинградский завод № 190 им. Жданова. В связи с увеличением количества строящихся сторожевиков в 1941 г. необходимо изготовить не менее 14 главных турбин и создать задел для выпуска в 1 квартале 1942 г. еще 6 турбин. В настоящее время, несмотря на наличие производственных мощностей, завод № 190 резко недовыполняет программу по выпуску турбин для сторожевиков из-за неполучения поковок и литья от Уралмашзавода и Кировского завода.</w:t>
      </w:r>
    </w:p>
    <w:p w14:paraId="7CCDEDE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чрезвычайно напряженную программу по выпуску турбин для сторожевиков проекта 29, НКСП просит категорически обязать Уралмашзавод и Кировский завод своевременно поставлять заводу № 190 турбинные поковки и отливки, в частности, в 1 квартале 1941 г. закончить поставку всех полуфабрикатов для 14 турбин, выпускаемых в 1941 г.</w:t>
      </w:r>
    </w:p>
    <w:p w14:paraId="032D285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главным и вспомогательным дизелям. В связи с дополнительной закладкой 7 дизельных тральщиков проекта 53у НКСП просит обязать Наркомтяжмаш обеспечить указанные корабли главными дизелями не позже II и III кварталов 1941 г.</w:t>
      </w:r>
    </w:p>
    <w:p w14:paraId="76714EA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Чрезвычайно остро стоит вопрос с обеспечением строящихся и вновь закладываемых кораблей вспомогательными дизелями. Воронежский завод в связи с передачей его в систему НКАП намечает с 1941 г. прекратить выпуск судовых вспомогательных дизелей мощностью от 40 л. с. до 210 л. с. В то же время в промышленности нет ни одного завода, освоившего выпуск указанных дизелей.</w:t>
      </w:r>
    </w:p>
    <w:p w14:paraId="73E3F7B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НКСП просит сохранить на 1941 г. производство вспомогательных судовых дизелей на Воронежском заводе, так как отсутствие указанных дизелей приостановит выпуск вспомогательных судов и катеров, а также отразится на сроках сдачи боевых кораблей (эсминцев, сторожевиков и тральщиков).</w:t>
      </w:r>
    </w:p>
    <w:p w14:paraId="0BA4547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башенным установкам. Планом НКСП предусмотрена сдача 4 легких крейсеров проекта 68 в 1942 г.</w:t>
      </w:r>
    </w:p>
    <w:p w14:paraId="3A486F3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сдачи указанных кораблей необходимо в 1941 г. закончить изготовление 4 комплектов башенных установок МК</w:t>
      </w:r>
      <w:r w:rsidRPr="00A3026E">
        <w:rPr>
          <w:rFonts w:ascii="Times New Roman" w:hAnsi="Times New Roman"/>
          <w:color w:val="000000" w:themeColor="text1"/>
          <w:sz w:val="16"/>
          <w:szCs w:val="16"/>
        </w:rPr>
        <w:noBreakHyphen/>
        <w:t>5. Строительство башен МК</w:t>
      </w:r>
      <w:r w:rsidRPr="00A3026E">
        <w:rPr>
          <w:rFonts w:ascii="Times New Roman" w:hAnsi="Times New Roman"/>
          <w:color w:val="000000" w:themeColor="text1"/>
          <w:sz w:val="16"/>
          <w:szCs w:val="16"/>
        </w:rPr>
        <w:noBreakHyphen/>
        <w:t>5 возложено правительством на Старокраматорский завод, который фактически еще не приступил к их изготовлению и не закончил строительство цеха.</w:t>
      </w:r>
    </w:p>
    <w:p w14:paraId="07DF1D4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НКСП просит обязать НКВ изготовить в 1941 г. не менее трех комплектов МК</w:t>
      </w:r>
      <w:r w:rsidRPr="00A3026E">
        <w:rPr>
          <w:rFonts w:ascii="Times New Roman" w:hAnsi="Times New Roman"/>
          <w:color w:val="000000" w:themeColor="text1"/>
          <w:sz w:val="16"/>
          <w:szCs w:val="16"/>
        </w:rPr>
        <w:noBreakHyphen/>
        <w:t>5 на ЛМЗ им. Сталина, обязав СКМЗ изготовить в 1941 г. один комплект МК</w:t>
      </w:r>
      <w:r w:rsidRPr="00A3026E">
        <w:rPr>
          <w:rFonts w:ascii="Times New Roman" w:hAnsi="Times New Roman"/>
          <w:color w:val="000000" w:themeColor="text1"/>
          <w:sz w:val="16"/>
          <w:szCs w:val="16"/>
        </w:rPr>
        <w:noBreakHyphen/>
        <w:t>5 и с 1942 г. полностью обеспечить изготовление башен МК</w:t>
      </w:r>
      <w:r w:rsidRPr="00A3026E">
        <w:rPr>
          <w:rFonts w:ascii="Times New Roman" w:hAnsi="Times New Roman"/>
          <w:color w:val="000000" w:themeColor="text1"/>
          <w:sz w:val="16"/>
          <w:szCs w:val="16"/>
        </w:rPr>
        <w:noBreakHyphen/>
        <w:t>5 для строящихся и вновь закладываемых легких крейсеров на Старокраматорском заводе.</w:t>
      </w:r>
    </w:p>
    <w:p w14:paraId="1572B1D1"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оставлении в 1941 г. всего заказа на СКМЗ создается прямая угроза несдачи 4 легких крейсеров в 1942 г.</w:t>
      </w:r>
    </w:p>
    <w:p w14:paraId="6C1C58E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также резко усилить работы на заводе “Большевик” по уставовкам Б</w:t>
      </w:r>
      <w:r w:rsidRPr="00A3026E">
        <w:rPr>
          <w:rFonts w:ascii="Times New Roman" w:hAnsi="Times New Roman"/>
          <w:color w:val="000000" w:themeColor="text1"/>
          <w:sz w:val="16"/>
          <w:szCs w:val="16"/>
        </w:rPr>
        <w:noBreakHyphen/>
        <w:t>54 для этих же легких крейсеров, обеспечив выпуск 4 комплектов в 1941 г.</w:t>
      </w:r>
    </w:p>
    <w:p w14:paraId="168C1FD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вспомогательным механизмам. Увеличение программы по эсминцам и сторожевым кораблям создает дополнительную потребность в турбовспомогательных механизмах. Основными поставщиками вспомогательных механизмов для северной группы судостроительных заводов, а также частично и для южных заводов являются ЛМЗ им. Сталина и Ленинградский завод № 194 им. Марти.</w:t>
      </w:r>
    </w:p>
    <w:p w14:paraId="18AE474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ЛМЗ им. Сталина в 1940 г. более чем в два раза недовыполняет план по выпуску судовых вспомогательных турбомеханизмов (турбопитательные, пожарные насосы и др.). Вместо установленных правительством 229 механизмов ЛМЗ фактически выпускает в 1940 г. до 110 механизмов. Потребность судостроения в 1941 г. по данным типам составляет до 850 механизмов.</w:t>
      </w:r>
    </w:p>
    <w:p w14:paraId="70F2711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НКСП просит обязать ЛМЗ им. Сталина обеспечить выпуск указанных механизмов в 1941 г.</w:t>
      </w:r>
    </w:p>
    <w:p w14:paraId="1FEAA0C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Ленинградский завод № 194 им. Марти является единственной базой по производству большого количества вспомогательных механизмов, элеваторов, артпогребов для всей группы ленинградских судостроительных заводов. В то же время завод № 194 по плану 1941 г. должен обеспечивать арматурой и механизмами строящиеся на этом заводе два легких крейсера проекта 68, тяжелый крейсер “Кронштадт” и подлодки X серии.</w:t>
      </w:r>
    </w:p>
    <w:p w14:paraId="0726EF8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с самого начала 1941 г. создать на ленинградских машиностроительных заводах вторую базу по изготовлению вспомогательных судовых механизмов и элеваторов. Для выполнения данных заказов НКСП просит привлечь Кировский завод, НМЗ[</w:t>
      </w:r>
      <w:hyperlink r:id="rId38" w:anchor="p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 им. Сталина и завод подъемных сооружений им. Кирова.</w:t>
      </w:r>
    </w:p>
    <w:p w14:paraId="7BBEC8FA"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электрооборудованию. Заводы ХЭМЗ и “Электросила” значительно недовыполняют в 1940 г. постановление правительства № 145сс о поставках электрооборудования на строящиеся корабли. Частично не выполняет также постановление № 145сс завод “Электрик”.</w:t>
      </w:r>
    </w:p>
    <w:p w14:paraId="613129F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НКСП просит обязать НКЭП покрыть в I квартале 1941 г. недопоставки заводов ХЭМЗ, “Электросила” и “Электрик” по постановлению правительства № 145сс и своевременно обеспечить строящиеся по программе 1941 г. боевые и вспомогательные корабли судовым электрооборудованием.</w:t>
      </w:r>
    </w:p>
    <w:p w14:paraId="3623A80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приборам стабилизированных постов наводок (СПН). Для обеспечения сдачи четырех легких крейсеров проекта 68 и одного легкого крейсера проекта 26 (на Дальнем Востоке) в 1942 г. НКСП просит обязать НКТМ изготовить и сдать в 1941 г. 5 комплектов СПН.</w:t>
      </w:r>
    </w:p>
    <w:p w14:paraId="10F29A7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Несвоевременное изготовление Старокраматорским заводом СПН, как показывает опыт постройки легкого крейсера “В. Молотов”, не дает возможности своевременно начать ходовые испытания и затягивает сроки сдачи корабля.</w:t>
      </w:r>
    </w:p>
    <w:p w14:paraId="461DAE36"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судовой броне. При определении программы 1941 г. по большим  кораблям (линкоры, тяжелые и легкие крейсеры) наиболее острым вопросом является вопрос обеспечения строящихся кораблей судовой тяжелой броней.</w:t>
      </w:r>
    </w:p>
    <w:p w14:paraId="7BB130A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ожидаемый выпуск судовой, береговой и танковой брони по Ижорскому и Мариупольскому заводам НКСП составит 44</w:t>
      </w:r>
      <w:r w:rsidRPr="00A3026E">
        <w:rPr>
          <w:rFonts w:ascii="Times New Roman" w:hAnsi="Times New Roman"/>
          <w:color w:val="000000" w:themeColor="text1"/>
          <w:sz w:val="16"/>
          <w:szCs w:val="16"/>
        </w:rPr>
        <w:noBreakHyphen/>
        <w:t>45 тыс. т, в том числе выпуск судовой брони составит в 1940 г. 31 тыс. т (при фактическом выпуске в 1939 г. 11,3 тыс. т).</w:t>
      </w:r>
    </w:p>
    <w:p w14:paraId="57A5154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Планом 1940 г. был предусмотрен выпуск судовой брони в 1940 г. в количестве 45 тыс. т. Недовыполнение плана по судовой броне частично объясняется дополнительной загрузкой броневых заводов в течение 1940 г. корпусами и башнями танков новых типов: по Ижорскому заводу — танков типа КВ и по Мариупольскому заводу — танков типа Т</w:t>
      </w:r>
      <w:r w:rsidRPr="00A3026E">
        <w:rPr>
          <w:rFonts w:ascii="Times New Roman" w:hAnsi="Times New Roman"/>
          <w:color w:val="000000" w:themeColor="text1"/>
          <w:sz w:val="16"/>
          <w:szCs w:val="16"/>
        </w:rPr>
        <w:noBreakHyphen/>
        <w:t>34. Изготовление брони для танков КВ и Т</w:t>
      </w:r>
      <w:r w:rsidRPr="00A3026E">
        <w:rPr>
          <w:rFonts w:ascii="Times New Roman" w:hAnsi="Times New Roman"/>
          <w:color w:val="000000" w:themeColor="text1"/>
          <w:sz w:val="16"/>
          <w:szCs w:val="16"/>
        </w:rPr>
        <w:noBreakHyphen/>
        <w:t>34, в значительной своей части совпадающей по толщинам с судовой броней, привело к загрузке металлургических агрегатов кузнечно-прессового и механического оборудования, ранее предназначавшегося для выпуска судовой брони.</w:t>
      </w:r>
    </w:p>
    <w:p w14:paraId="732DC95C"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намеченной программе выпуска танков на 1941 г. 550 ед. типа КВ и 1,5 тыс. ед. типа Т</w:t>
      </w:r>
      <w:r w:rsidRPr="00A3026E">
        <w:rPr>
          <w:rFonts w:ascii="Times New Roman" w:hAnsi="Times New Roman"/>
          <w:color w:val="000000" w:themeColor="text1"/>
          <w:sz w:val="16"/>
          <w:szCs w:val="16"/>
        </w:rPr>
        <w:noBreakHyphen/>
        <w:t>34 НКСП считает возможным максимальный выпуск тяжелой судовой брони в 1941 г. в размере 54</w:t>
      </w:r>
      <w:r w:rsidRPr="00A3026E">
        <w:rPr>
          <w:rFonts w:ascii="Times New Roman" w:hAnsi="Times New Roman"/>
          <w:color w:val="000000" w:themeColor="text1"/>
          <w:sz w:val="16"/>
          <w:szCs w:val="16"/>
        </w:rPr>
        <w:noBreakHyphen/>
        <w:t>56 тыс. т.</w:t>
      </w:r>
    </w:p>
    <w:p w14:paraId="3E92D1B2"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невозможности полного одновременного обеспечения всех строящихся кораблей необходимым количеством судовой брони, а также в целях форсирования постройки легких крейсеров, эсминцев, сторожевиков, тральщиков и подводных лодок, НКСП вносит следующие коррективы в представленный ранее план постройки больших кораблей:</w:t>
      </w:r>
    </w:p>
    <w:p w14:paraId="21837C7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первую очередь обеспечить судовой броней легкие крейсеры проекта 68, исходя из сдачи в 1942 г. четырех легких крейсеров и в 1943 г. трех легких крейсеров;</w:t>
      </w:r>
    </w:p>
    <w:p w14:paraId="4C4BDE0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перенести спуск линкора “Советский Союз” на июнь месяц 1942 г., обеспечивая данный корабль судовой броней вслед за легкими крейсерами в первую очередь;</w:t>
      </w:r>
    </w:p>
    <w:p w14:paraId="15911D0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сократить продвижение корабля и соответственно поставку брони в 1941 г. на линкор “Советская Украина”, установив для него срок спуска на воду ноябрь 1942 г.;</w:t>
      </w:r>
    </w:p>
    <w:p w14:paraId="7B13DD73"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из двух линкоров проекта 23, заложенных на заводе № 402 (г. Молотовск), вести постройку в 1941 г. одного линкора (№ 102);</w:t>
      </w:r>
    </w:p>
    <w:p w14:paraId="4423764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форсировать строительство тяжелого крейсера “Севастополь” на Николаевском заводе № 200, обеспечивая его судовой броней и всеми поставками для спуска в июне 1942 г. В связи с этим сократить продвижение и поставку брони на втором тяжелом крейсере “Кронштадт” (ленинградский завод № 194), перенеся спуск данного корабля на IV квартал 1942 г.</w:t>
      </w:r>
    </w:p>
    <w:p w14:paraId="1F7DFC48"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НКСП считает, что для форсирования строительства легких крейсеров, эсминцев, сторожевиков, тральщиков и подлодок, а также для более эффективного использования судовой брони, необходимо установить определенную очередность в постройке больших кораблей, обеспечивая в первую очередь линкор “Советский Союз” и тяжелый крейсер “Севастополь”.</w:t>
      </w:r>
    </w:p>
    <w:p w14:paraId="3F441240"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полную зависимость представляемых на утверждение сроков сдачи кораблей от своевременности комплектации главными, вспомогательными механизмами и вооружением, НКСП просит рассмотреть план на 1941 г. одновременно с планом обеспечения судостроительных и торпедных заводов оборудованием, полуфабрикатами и материалами.</w:t>
      </w:r>
    </w:p>
    <w:p w14:paraId="317CEEA7"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план НКСП на 1941 г. на 132 л.[</w:t>
      </w:r>
      <w:hyperlink r:id="rId39" w:anchor="p2" w:history="1">
        <w:r w:rsidRPr="00A3026E">
          <w:rPr>
            <w:rFonts w:ascii="Times New Roman" w:hAnsi="Times New Roman"/>
            <w:color w:val="000000" w:themeColor="text1"/>
            <w:sz w:val="16"/>
            <w:szCs w:val="16"/>
          </w:rPr>
          <w:t>2</w:t>
        </w:r>
      </w:hyperlink>
      <w:r w:rsidRPr="00A3026E">
        <w:rPr>
          <w:rFonts w:ascii="Times New Roman" w:hAnsi="Times New Roman"/>
          <w:color w:val="000000" w:themeColor="text1"/>
          <w:sz w:val="16"/>
          <w:szCs w:val="16"/>
        </w:rPr>
        <w:t>]</w:t>
      </w:r>
    </w:p>
    <w:p w14:paraId="20DC487F"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судостроительной промышленности СССРИ. Носенко.</w:t>
      </w:r>
    </w:p>
    <w:p w14:paraId="3DD6031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Резолюция: «Тов. Потапову. У нас было решено, как помните, чтобы Кузнецов и Носенко представили согласованный проект. Носенко представил отдельно, а Кузнецов молчит. Возьмитесь за это дело и дайте согласованный проект поскорее! И. Сталин».</w:t>
      </w:r>
    </w:p>
    <w:p w14:paraId="56411964"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w:t>
      </w:r>
    </w:p>
    <w:p w14:paraId="1A77E639"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40" w:anchor="s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 Так в тексте. Вероятно, имеется в виду ЛМ3.</w:t>
      </w:r>
    </w:p>
    <w:p w14:paraId="04C7EAD5"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41" w:anchor="s2" w:history="1">
        <w:r w:rsidRPr="00A3026E">
          <w:rPr>
            <w:rFonts w:ascii="Times New Roman" w:hAnsi="Times New Roman"/>
            <w:color w:val="000000" w:themeColor="text1"/>
            <w:sz w:val="16"/>
            <w:szCs w:val="16"/>
          </w:rPr>
          <w:t>2</w:t>
        </w:r>
      </w:hyperlink>
      <w:r w:rsidRPr="00A3026E">
        <w:rPr>
          <w:rFonts w:ascii="Times New Roman" w:hAnsi="Times New Roman"/>
          <w:color w:val="000000" w:themeColor="text1"/>
          <w:sz w:val="16"/>
          <w:szCs w:val="16"/>
        </w:rPr>
        <w:t>] Приложение в деле отсутствует, так как было уничтожено при эвакуации в 1941 г.</w:t>
      </w:r>
    </w:p>
    <w:p w14:paraId="0488A3DB" w14:textId="77777777" w:rsidR="00A3684A" w:rsidRPr="00A3026E" w:rsidRDefault="00A3684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 РФ. Ф. 3. Оп. 46. Д. 557. Л. 11-27. Подлинник (18003).</w:t>
      </w:r>
    </w:p>
    <w:p w14:paraId="0902BE10" w14:textId="77777777" w:rsidR="00A3684A" w:rsidRPr="00A3026E" w:rsidRDefault="00A3684A" w:rsidP="00A3026E">
      <w:pPr>
        <w:spacing w:after="0" w:line="240" w:lineRule="auto"/>
        <w:jc w:val="both"/>
        <w:rPr>
          <w:rFonts w:ascii="Times New Roman" w:hAnsi="Times New Roman"/>
          <w:color w:val="000000" w:themeColor="text1"/>
          <w:sz w:val="16"/>
          <w:szCs w:val="16"/>
        </w:rPr>
      </w:pPr>
    </w:p>
    <w:p w14:paraId="49421373"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06F0FFFE" w14:textId="77777777" w:rsidR="00C66762" w:rsidRPr="00A3026E" w:rsidRDefault="00C66762" w:rsidP="00A3026E">
      <w:pPr>
        <w:spacing w:after="0" w:line="240" w:lineRule="auto"/>
        <w:jc w:val="both"/>
        <w:rPr>
          <w:rFonts w:ascii="Times New Roman" w:hAnsi="Times New Roman"/>
          <w:i/>
          <w:iCs/>
          <w:color w:val="000000" w:themeColor="text1"/>
          <w:sz w:val="16"/>
          <w:szCs w:val="16"/>
        </w:rPr>
      </w:pPr>
    </w:p>
    <w:p w14:paraId="669965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приказом НКО в действие ввели Дисциплинарный устав КА (3398,359).</w:t>
      </w:r>
    </w:p>
    <w:p w14:paraId="25CE280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0E1B3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 вышел Приказ НКО о введении в действие Дисциплинарного устава Красной Армии № 356.</w:t>
      </w:r>
    </w:p>
    <w:p w14:paraId="1DBBF9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Ввести в действие объявляемый Дисциплинарный устав Красной Армии.</w:t>
      </w:r>
    </w:p>
    <w:p w14:paraId="4F579E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Временный Дисциплинарный устав РККА 1925 года отменить.</w:t>
      </w:r>
    </w:p>
    <w:p w14:paraId="6F57DA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Союза ССР Маршал Советского Союза С. Тимошенко (10606).</w:t>
      </w:r>
    </w:p>
    <w:p w14:paraId="186B0DE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0158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 Народный комиссар обороны СССР Маршал Советского Союза С. Тимошенко утвердил Дисциплинарный устав Красной Армии</w:t>
      </w:r>
    </w:p>
    <w:p w14:paraId="74B74F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Глава I. Общие положения</w:t>
      </w:r>
    </w:p>
    <w:p w14:paraId="3761F0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Советская воинская дисциплина есть знание и строгое соблюдение установленного в Красной Армии порядка, основанного на законах Советского правительства и на воинских уставах, регламентирующих жизнь, быт и боевую деятельность войск.</w:t>
      </w:r>
    </w:p>
    <w:p w14:paraId="43600B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Советская воинская дисциплина зиждется на однородности классовых интересов всего личного состава Красной Армии, на беззаветной преданности его своему народу и на чувстве высокой ответственности каждого военнослужащего за вверенное ему дело обороны социалистической Родины. Поэтому советская дисциплина Красной Армии должна быть выше, крепче и отличаться более суровыми и жесткими требованиями, чем основанная на классовом подчинении дисциплина в других армиях.</w:t>
      </w:r>
    </w:p>
    <w:p w14:paraId="56AF49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Строжайшая дисциплина свойственна Красной Армии по ее природе. В рядах Красной Армии могут найтись лишь отдельные нерадивые и нарушители дисциплины. Интересы обороны социалистического государства требуют применения к нарушителям дисциплины самых суровых мер принуждения.</w:t>
      </w:r>
    </w:p>
    <w:p w14:paraId="1DB68A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Советская воинская дисциплина обязывает: твердо знать и точно и беспрекословно выполнять военную присягу, воинские уставы и наставления, все приказы и распоряжения начальников и старших; строго соблюдать установленный в армии порядок и удерживать других от его нарушения; добросовестно выполнять все обязанности и поручения по службе; строго хранить военные и государственные секреты; всемерно беречь военное имущество и народное достояние.</w:t>
      </w:r>
    </w:p>
    <w:p w14:paraId="7EED8D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 состояние дисциплины в войсках в первую очередь несет ответственность командир.</w:t>
      </w:r>
    </w:p>
    <w:p w14:paraId="7A6897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Он обязан непрестанно воспитывать своих подчиненных в духе выполнения всех требований воинской дисциплины, развивать и поддерживать у них сознание высокого значения звания воина Красной Армии, призванного беззаветно защищать свою Родину — Союз Советских Социалистических Республик.</w:t>
      </w:r>
    </w:p>
    <w:p w14:paraId="198DB9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Командир отвечает за своих подчиненных. В отношении их он должен быть всегда требовательным, строгим и справедливым, взыскивая с нерадивых и нарушителей дисциплины и поощряя отличившихся.</w:t>
      </w:r>
    </w:p>
    <w:p w14:paraId="6D1079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Подчиненные обязаны беспрекословно повиноваться своим командирам и начальникам.</w:t>
      </w:r>
    </w:p>
    <w:p w14:paraId="2C0D10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случае неповиновения, открытого сопротивления или злостного нарушения дисциплины и порядка командир имеет право принять все меры принуждения, вплоть до применения силы и оружия.</w:t>
      </w:r>
    </w:p>
    <w:p w14:paraId="0C39E4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Каждый военнослужащий обязан всеми силами и средствами содействовать командиру в восстановлении дисцшишны и порядка.</w:t>
      </w:r>
    </w:p>
    <w:p w14:paraId="240D5E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Командир не несет ответственности за последствия, если он для принуждения не повинующихся приказу и для восстановления дисциплины и порядка будет вынужден применить силу или оружие.</w:t>
      </w:r>
    </w:p>
    <w:p w14:paraId="300095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Командир, не проявивший в этих случаях твердости и решительности и не принявший всех мер к выполнению приказа, предается суду Военного трибунала.</w:t>
      </w:r>
    </w:p>
    <w:p w14:paraId="217CC7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Приказ командира и начальника — закон для подчиненного. Он должен быть выполнен безоговорочно, точно и в срок.</w:t>
      </w:r>
    </w:p>
    <w:p w14:paraId="4AF6C0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Невыполнение приказа является преступлением и карается судом Военного трибунала.</w:t>
      </w:r>
    </w:p>
    <w:p w14:paraId="774F14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Дисциплинарные взыскания являются мерой воспитания. Приносить жалобы на строгость дисциплинарных взысканий запрещается.</w:t>
      </w:r>
    </w:p>
    <w:p w14:paraId="2FC6A3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Настоящий устав применяется:</w:t>
      </w:r>
    </w:p>
    <w:p w14:paraId="728C56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 военнослужащим действительной военной службы;</w:t>
      </w:r>
    </w:p>
    <w:p w14:paraId="0CDB7E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 военнообязанным запаса во время прохождения ими сборов, маневров и других воинских учений;</w:t>
      </w:r>
    </w:p>
    <w:p w14:paraId="5BA1AF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 начальствующему составу запаса и в отставке при ношении им установленной военной формы.</w:t>
      </w:r>
    </w:p>
    <w:p w14:paraId="64C38F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В настоящем уставе приведены дисциплинарные права общевойсковых командиров и командиров стрелковых войск. Командиры подразделений, частей и соединений других родов войск, начальники управлений, учреждений и заведений пользуются дисциплинарными правами тех приведенных в уставе командиров, которым они соответствуют по занимаемой должности.</w:t>
      </w:r>
    </w:p>
    <w:p w14:paraId="3D71A9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Заместители и помощники командиров (начальников), а равно начальники штабов пользуются дисциплинарными правами на одну ступень ниже тех прав, которые предоставлены их командирам (начальникам).</w:t>
      </w:r>
    </w:p>
    <w:p w14:paraId="4C7BE7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Глава II. Дисциплинарные взыскания</w:t>
      </w:r>
    </w:p>
    <w:p w14:paraId="4871A2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Дисциплинарное взыскание есть наказание, применяемое к военнослужащим властью их прямого или непосредственного начальника, которому они постоянно или временно подчинены.</w:t>
      </w:r>
    </w:p>
    <w:p w14:paraId="4A738C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Дисциплинарные взыскания налагаются за совершенные военнослужащим проступки по службе или за нарушение им общественного порядка, если эти проступки не влекут за собой привлечения виновного к судебной ответственности.</w:t>
      </w:r>
    </w:p>
    <w:p w14:paraId="4DE3A9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Дисциплинарные взыскания налагаются:</w:t>
      </w:r>
    </w:p>
    <w:p w14:paraId="31E4E1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рядовых:</w:t>
      </w:r>
    </w:p>
    <w:p w14:paraId="34A6E7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личный выговор;</w:t>
      </w:r>
    </w:p>
    <w:p w14:paraId="01FDD3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выговор перед строем;</w:t>
      </w:r>
    </w:p>
    <w:p w14:paraId="019D23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неувольнение из расположения части на срок до 6 недель;</w:t>
      </w:r>
    </w:p>
    <w:p w14:paraId="046E61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назначение в наряд вне очереди (не свыше 8 нарядов);</w:t>
      </w:r>
    </w:p>
    <w:p w14:paraId="19AE41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простой арест с содержанием на гауптвахте до 20 суток;</w:t>
      </w:r>
    </w:p>
    <w:p w14:paraId="4D16F5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строгий арест с содержанием на гаупвахте до 10 суток;</w:t>
      </w:r>
    </w:p>
    <w:p w14:paraId="04D27C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предание красноармейскому товарищескому суду.</w:t>
      </w:r>
    </w:p>
    <w:p w14:paraId="19FDEF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младший начальствующий состав действительной службы:</w:t>
      </w:r>
    </w:p>
    <w:p w14:paraId="3DCC39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личный выговор;</w:t>
      </w:r>
    </w:p>
    <w:p w14:paraId="5EC032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неувольнение из расположения части на срок до 1 месяца;</w:t>
      </w:r>
    </w:p>
    <w:p w14:paraId="0E4BAF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назначение в наряд вне очереди (не свыше 8 нарядов);</w:t>
      </w:r>
    </w:p>
    <w:p w14:paraId="08A6F7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выговор с объявлением в приказе;</w:t>
      </w:r>
    </w:p>
    <w:p w14:paraId="087F00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простой арест с содержанием на гауптвахте до 20 суток;</w:t>
      </w:r>
    </w:p>
    <w:p w14:paraId="0B4898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строгий арест с содержанием на гауптвахте до 10 суток;</w:t>
      </w:r>
    </w:p>
    <w:p w14:paraId="7B0989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предание товарищескому суду младших командиров;</w:t>
      </w:r>
    </w:p>
    <w:p w14:paraId="37EA78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снижение в военном звании;</w:t>
      </w:r>
    </w:p>
    <w:p w14:paraId="39137B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снижение в должности;</w:t>
      </w:r>
    </w:p>
    <w:p w14:paraId="3B637E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отстранение от должности с разжалованием в рядовые.</w:t>
      </w:r>
    </w:p>
    <w:p w14:paraId="72EE6A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младший начальствующий состав сверхсрочной службы:</w:t>
      </w:r>
    </w:p>
    <w:p w14:paraId="3F6E60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личный выговор;</w:t>
      </w:r>
    </w:p>
    <w:p w14:paraId="087CE7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назначение в наряд вне очереди (не свыше 4 нарядов), за исключением старшин;</w:t>
      </w:r>
    </w:p>
    <w:p w14:paraId="3AD7BC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выговор с объявлением в приказе;</w:t>
      </w:r>
    </w:p>
    <w:p w14:paraId="016E76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лишение очередного отпуска на срок до 15 суток;</w:t>
      </w:r>
    </w:p>
    <w:p w14:paraId="05CA4F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простой арест на гауптвахте на срок до 15 суток с исполнением служебных обязанностей и удержанием 25% суточной заработной платы за каждый день ареста, исчисляя их из основного оклада;</w:t>
      </w:r>
    </w:p>
    <w:p w14:paraId="3D48F3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строгий арест на гаупвахте (за исключением старшин) на срок до 10 суток, без исполнения служебных обязанностей, с удержанием 50% суточной заработной платы за каждый день ареста, исчисляя их из основного оклада;</w:t>
      </w:r>
    </w:p>
    <w:p w14:paraId="32A713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предание товарищескому суду младших командиров;</w:t>
      </w:r>
    </w:p>
    <w:p w14:paraId="4E91B4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снижение в военном звании на одну ступень;</w:t>
      </w:r>
    </w:p>
    <w:p w14:paraId="46D224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снижение в должности;</w:t>
      </w:r>
    </w:p>
    <w:p w14:paraId="06D67C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увольнение в запас.</w:t>
      </w:r>
    </w:p>
    <w:p w14:paraId="6D7A0C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средний и старший начальствующий состав:</w:t>
      </w:r>
    </w:p>
    <w:p w14:paraId="7E2B78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личный выговор;</w:t>
      </w:r>
    </w:p>
    <w:p w14:paraId="64C157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выговор с объявлением в приказе;</w:t>
      </w:r>
    </w:p>
    <w:p w14:paraId="684664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лишение очередного отпуска на срок до 15 суток;</w:t>
      </w:r>
    </w:p>
    <w:p w14:paraId="6F7AFF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домашний арест на срок до 15 суток с исполнением служебных обязанностей и удержанием 50% суточной заработной платы за каждый день ареста, исчисляя их из основного оклада;</w:t>
      </w:r>
    </w:p>
    <w:p w14:paraId="5CA5EB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задержка в присвоении очередного военного звания по выслуге лет на 1 год;</w:t>
      </w:r>
    </w:p>
    <w:p w14:paraId="6446F9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предание товарищескому суду чести;</w:t>
      </w:r>
    </w:p>
    <w:p w14:paraId="11D47E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лишение на срок до 6 месяцев процентной надбавки к заработной плате за выслугу лет;</w:t>
      </w:r>
    </w:p>
    <w:p w14:paraId="1FF8E5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отстранение от командования;</w:t>
      </w:r>
    </w:p>
    <w:p w14:paraId="2A8579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снижение в военном звании на одну ступень;</w:t>
      </w:r>
    </w:p>
    <w:p w14:paraId="5D9628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снижение в должности;</w:t>
      </w:r>
    </w:p>
    <w:p w14:paraId="64A88B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увольнение в запас или отставку.</w:t>
      </w:r>
    </w:p>
    <w:p w14:paraId="31035D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высший начальствующий состав:</w:t>
      </w:r>
    </w:p>
    <w:p w14:paraId="69161A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замечание;</w:t>
      </w:r>
    </w:p>
    <w:p w14:paraId="0FFA41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личный выговор;</w:t>
      </w:r>
    </w:p>
    <w:p w14:paraId="0EC0D7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выговор с объявлением в приказе;</w:t>
      </w:r>
    </w:p>
    <w:p w14:paraId="17107E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лишение на срок до 6 месяцев процентной надбавки к заработной плате за выслугу лет;</w:t>
      </w:r>
    </w:p>
    <w:p w14:paraId="6ED243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отстранение от командования;</w:t>
      </w:r>
    </w:p>
    <w:p w14:paraId="137E06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увольнение в запас или отставку.</w:t>
      </w:r>
    </w:p>
    <w:p w14:paraId="64D0F4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Предание суду Военного трибунала лиц среднего, старшего и высшего начальствующего состава может быть произведено только с разрешения Народного комиссара обороны.</w:t>
      </w:r>
    </w:p>
    <w:p w14:paraId="3F5108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Передача дел следственным органам в отношении рядового и младшего начальствующего состава действительной и сверхсрочной службы утверждается командиром дивизии.</w:t>
      </w:r>
    </w:p>
    <w:p w14:paraId="22CF79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тех случаях, когда наказание за совершенный военнослужащим проступок граничит между дисциплинарным взысканием и судом, начальнику предоставляется право решить, ограничиться ли дисциплинарным взысканием или предать виновного суду...</w:t>
      </w:r>
    </w:p>
    <w:p w14:paraId="0C81BA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Глава VI. Порядок наложения дисциплинарных взысканий</w:t>
      </w:r>
    </w:p>
    <w:p w14:paraId="67CEE8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 Налагать дисциплинарные взыскания на начальников, в том числе и на лиц младшего начальствующего состава, в присутствии подчиненных запрещается.</w:t>
      </w:r>
    </w:p>
    <w:p w14:paraId="07ACB0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 Мера дисциплинарного взыскания должна соответствовать тяжести совершенного проступка. За один проступок применяется только одно дисциплинарное взыскание. За один и тот же, но неоднократно совершенный проступок строгость дисциплинарного взыскания увеличивается.</w:t>
      </w:r>
    </w:p>
    <w:p w14:paraId="070D4E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совершении военнослужащими одновременно нескольких проступков применяется одно дисциплинарное взыскание, но размер его должен соответствовать совокупности всех совершенных ппоступков.</w:t>
      </w:r>
    </w:p>
    <w:p w14:paraId="248907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 Начальник, превысивший предоставленные ему дисциплинарные права, несет ответственность в дисциплинарном порядке или по суду.</w:t>
      </w:r>
    </w:p>
    <w:p w14:paraId="37E037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43. В тех случаях, когда дисциплинарная власть начальника в отношении совершившего проступок подчиненного недостаточна, он возбуждает ходатайство о наложении взыскания на виновного властью старшего начальника.</w:t>
      </w:r>
    </w:p>
    <w:p w14:paraId="2FCEF7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 Старший начальник не имеет права отменить дисциплинарное взыскание, наложенное младшим. Отмена взыскания допускается лишь в тех случаях, когда начальник превысил предоставленные ему права, или взыскание наложено им явно неправильно.</w:t>
      </w:r>
    </w:p>
    <w:p w14:paraId="31FC0F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Отмена дисциплинарного взыскания старшим начальником производится, как правило, через лицо, наложившее взыскание.</w:t>
      </w:r>
    </w:p>
    <w:p w14:paraId="2DDB3B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Старший начальник имеет право увеличить дисциплинарное взыскание, если он найдет, что наложенное взыскание не соответствует тяжести совершенного проступка.</w:t>
      </w:r>
    </w:p>
    <w:p w14:paraId="4E93B5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 Дисциплинарные взыскания налагаются, как правило, в течение 5-дневного срока, но не позднее двух недель с того дня, когда начальнику стал известен совершенный проступок.</w:t>
      </w:r>
    </w:p>
    <w:p w14:paraId="13A87A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 Начальники, налагая дисциплинарные взыскания на своих подчиненных, должны докладывать или доносить об этом по команде:</w:t>
      </w:r>
    </w:p>
    <w:p w14:paraId="417BD4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командиры отделения и помощники командиров взводов — командиру взвода и старшине;</w:t>
      </w:r>
    </w:p>
    <w:p w14:paraId="4685BE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старшина о взысканиях, наложенных как им самим, так и помощниками командиров взводов и командирами отделений, — командиру роты;</w:t>
      </w:r>
    </w:p>
    <w:p w14:paraId="13F087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командиры взводов и заместители командиров рот — командиру роты;</w:t>
      </w:r>
    </w:p>
    <w:p w14:paraId="0D8385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командиры рот и командиры батальонов о взысканиях, наложенных ими на подчиненный им средний начальствующий состав, — командиру полка.</w:t>
      </w:r>
    </w:p>
    <w:p w14:paraId="09A02C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Глава VII. Порядок приведения в исполнение дисциплинарных взысканий</w:t>
      </w:r>
    </w:p>
    <w:p w14:paraId="60D09F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 Наложенные дисциплинарные взыскания, если нет особых препятствий (болезнь совершившего проступок, тяжелые обстоятельства в его семье), приводятся в исполнение немедленно.</w:t>
      </w:r>
    </w:p>
    <w:p w14:paraId="3E7B32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Дисциплинарные взыскания, наложенные старшими начальниками, приводятся в исполнение тем командиром роты, к составу которой принадлежит совершивший проступок.</w:t>
      </w:r>
    </w:p>
    <w:p w14:paraId="1754B0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Лица рядового и младшего начальствующего состава, арестованные в дисциплинарном порядке, содержатся на гауптвахтах (гарнизонных или войсковых).</w:t>
      </w:r>
    </w:p>
    <w:p w14:paraId="2706F6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 Арестованные, содержащиеся на гауптвахте, обязаны точно соблюдать правила, установленные на гауптвахте, и распоряжения личного состава караула. Начальнику караула предоставляется право переводить нарушивших установленный на гауптвахте порядок из общих помещений в отдельные камеры на срок не свыше суток.</w:t>
      </w:r>
    </w:p>
    <w:p w14:paraId="5127C9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 Во всех случаях побега арестованных с гауптвахты непосредственные виновники предаются суду Военного трибунала.</w:t>
      </w:r>
    </w:p>
    <w:p w14:paraId="7E58C6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 Лица начальствующего состава, арестованные домашним арестом, несут службу, а в свободное от службы время не имеют права отлучаться из квартиры.</w:t>
      </w:r>
    </w:p>
    <w:p w14:paraId="2EBD26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Глава VIII. Поощрения и награды</w:t>
      </w:r>
    </w:p>
    <w:p w14:paraId="29765B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 Поощрения и награды применяются в отношении всех военнослужащих, которые добросовестно и старательно относятся к служебным обязанностям, проявляют заботу о сбережении оружия и имущества, показывают особые успехи в боевой и политической подготовке.</w:t>
      </w:r>
    </w:p>
    <w:p w14:paraId="3C9AD5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 Устанавливаются следующие поощрения и награды:</w:t>
      </w:r>
    </w:p>
    <w:p w14:paraId="1AEA23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личная благодарность;</w:t>
      </w:r>
    </w:p>
    <w:p w14:paraId="237083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благодарность перед строем;</w:t>
      </w:r>
    </w:p>
    <w:p w14:paraId="2E6BE8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благодарность в приказе;</w:t>
      </w:r>
    </w:p>
    <w:p w14:paraId="7CB57B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разрешение на увольнение из расположения части в свободное от занятий время до 1 суток (для рядового и младшего начальствующего состава действительной службы);</w:t>
      </w:r>
    </w:p>
    <w:p w14:paraId="59596A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награждение ценным подарком; е) выдача денежного вознаграждения; ж) снятие дисциплинарного взыскания;</w:t>
      </w:r>
    </w:p>
    <w:p w14:paraId="565058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награждение нагрудными знаками, установленными правительством и приказами Народного комиссара обороны;</w:t>
      </w:r>
    </w:p>
    <w:p w14:paraId="6369A7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присвоение званий младшего начальствующего состава.</w:t>
      </w:r>
    </w:p>
    <w:p w14:paraId="675911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 Поощрения и награды применяются всеми начальниками по отношению к тем военнослужащим, которые подчинены им по службе постоянно или временно.</w:t>
      </w:r>
    </w:p>
    <w:p w14:paraId="5EFFCF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 Снятие дисциплинарного взыскания осуществляется только тем начальником, которым было наложено это взыскание... (10606).</w:t>
      </w:r>
    </w:p>
    <w:p w14:paraId="16D0258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A3D610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2FC0E67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65767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в Москве открылся Концертный зал им. П.И.Ч. (3481).</w:t>
      </w:r>
    </w:p>
    <w:p w14:paraId="322ACA1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E984C85" w14:textId="77777777" w:rsidR="00652CB7" w:rsidRPr="00A3026E" w:rsidRDefault="00652CB7"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12 октября </w:t>
      </w:r>
      <w:r w:rsidRPr="00A3026E">
        <w:rPr>
          <w:rFonts w:ascii="Times New Roman" w:hAnsi="Times New Roman"/>
          <w:color w:val="000000" w:themeColor="text1"/>
          <w:sz w:val="16"/>
          <w:szCs w:val="16"/>
        </w:rPr>
        <w:t>в 1940 году в Москве к 100-летию со дня рождения П.И.Чайковского открылся новый концертный зал Московской государственной академической филармонии. Теперь — Концертный зал имени П.И.Чайковского</w:t>
      </w:r>
    </w:p>
    <w:p w14:paraId="23BC5493" w14:textId="77777777" w:rsidR="00652CB7" w:rsidRPr="00A3026E" w:rsidRDefault="00652CB7" w:rsidP="00A3026E">
      <w:pPr>
        <w:spacing w:after="0" w:line="240" w:lineRule="auto"/>
        <w:jc w:val="both"/>
        <w:rPr>
          <w:rFonts w:ascii="Times New Roman" w:hAnsi="Times New Roman"/>
          <w:color w:val="000000" w:themeColor="text1"/>
          <w:sz w:val="16"/>
          <w:szCs w:val="16"/>
        </w:rPr>
      </w:pPr>
    </w:p>
    <w:p w14:paraId="0B053F1B" w14:textId="77777777" w:rsidR="00F72578" w:rsidRPr="00A3026E" w:rsidRDefault="00F725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Газета "Московский транспортник" сообщала: "На площади Маяковского освободилось от лесов новое прекрасное, величественное здание, украшенное колоннами и горельефами, изображающими народных певцов, национальные пляски. Это - Концертный зал им. Чайковского, открытие которого состоится сегодня. Зрительный зал, вмещающий 1600 человек, фойе, ложи отделаны с большим изяществом в светлые тона" (18701).</w:t>
      </w:r>
    </w:p>
    <w:p w14:paraId="6352AF05" w14:textId="77777777" w:rsidR="00F72578" w:rsidRPr="00A3026E" w:rsidRDefault="00F72578" w:rsidP="00A3026E">
      <w:pPr>
        <w:spacing w:after="0" w:line="240" w:lineRule="auto"/>
        <w:jc w:val="both"/>
        <w:rPr>
          <w:rFonts w:ascii="Times New Roman" w:hAnsi="Times New Roman"/>
          <w:color w:val="000000" w:themeColor="text1"/>
          <w:sz w:val="16"/>
          <w:szCs w:val="16"/>
        </w:rPr>
      </w:pPr>
    </w:p>
    <w:p w14:paraId="7611463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0FBF2E9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46BB1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lang w:val="en-US"/>
        </w:rPr>
        <w:t>October</w:t>
      </w:r>
      <w:r w:rsidRPr="00A3026E">
        <w:rPr>
          <w:rFonts w:ascii="Times New Roman" w:hAnsi="Times New Roman"/>
          <w:color w:val="000000" w:themeColor="text1"/>
          <w:sz w:val="16"/>
          <w:szCs w:val="16"/>
        </w:rPr>
        <w:t xml:space="preserve"> 12 1940 </w:t>
      </w:r>
      <w:r w:rsidRPr="00A3026E">
        <w:rPr>
          <w:rFonts w:ascii="Times New Roman" w:hAnsi="Times New Roman"/>
          <w:color w:val="000000" w:themeColor="text1"/>
          <w:sz w:val="16"/>
          <w:szCs w:val="16"/>
          <w:lang w:val="en-US"/>
        </w:rPr>
        <w:t>GermanspostponeOperationSealionuntilSpring</w:t>
      </w:r>
      <w:r w:rsidRPr="00A3026E">
        <w:rPr>
          <w:rFonts w:ascii="Times New Roman" w:hAnsi="Times New Roman"/>
          <w:color w:val="000000" w:themeColor="text1"/>
          <w:sz w:val="16"/>
          <w:szCs w:val="16"/>
        </w:rPr>
        <w:t xml:space="preserve"> 1941 (1050).</w:t>
      </w:r>
    </w:p>
    <w:p w14:paraId="22880FE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8D6A6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немцы отложили операцию Морской лев до весны 1941 (1050), а по другим данным - окончательно (2240).</w:t>
      </w:r>
    </w:p>
    <w:p w14:paraId="3DC11BD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455B0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Гитлер отложил проведение операции «Морской лев» (вторжение в Британию) на апрель 1941 года (4962).</w:t>
      </w:r>
    </w:p>
    <w:p w14:paraId="566848D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9C0734B" w14:textId="77777777" w:rsidR="00652CB7" w:rsidRPr="00A3026E" w:rsidRDefault="00652CB7" w:rsidP="00A3026E">
      <w:pPr>
        <w:spacing w:after="0" w:line="240" w:lineRule="auto"/>
        <w:jc w:val="both"/>
        <w:rPr>
          <w:rFonts w:ascii="Times New Roman" w:hAnsi="Times New Roman"/>
          <w:color w:val="000000" w:themeColor="text1"/>
          <w:sz w:val="16"/>
          <w:szCs w:val="16"/>
          <w:lang w:val="en-US"/>
        </w:rPr>
      </w:pPr>
      <w:r w:rsidRPr="00A3026E">
        <w:rPr>
          <w:rStyle w:val="ucoz-forum-post"/>
          <w:rFonts w:ascii="Times New Roman" w:eastAsia="Times New Roman" w:hAnsi="Times New Roman"/>
          <w:bCs/>
          <w:color w:val="000000" w:themeColor="text1"/>
          <w:sz w:val="16"/>
          <w:szCs w:val="16"/>
        </w:rPr>
        <w:t xml:space="preserve">12 октября </w:t>
      </w:r>
      <w:r w:rsidRPr="00A3026E">
        <w:rPr>
          <w:rFonts w:ascii="Times New Roman" w:hAnsi="Times New Roman"/>
          <w:color w:val="000000" w:themeColor="text1"/>
          <w:sz w:val="16"/>
          <w:szCs w:val="16"/>
        </w:rPr>
        <w:t>в 1940 году Адольф Гитлер откладывает операцию «Морской лев» - планировавшееся ранее вторжение в Англию. В ходе битвы за эту страну список целей на британской территории расширяется и включает в себя интенсивные бомбардировки Лондона (особенно с 13 по 21 октября) и других городов. ДирективаОКВоботсрочкеоперации</w:t>
      </w:r>
      <w:r w:rsidRPr="00A3026E">
        <w:rPr>
          <w:rFonts w:ascii="Times New Roman" w:hAnsi="Times New Roman"/>
          <w:color w:val="000000" w:themeColor="text1"/>
          <w:sz w:val="16"/>
          <w:szCs w:val="16"/>
          <w:lang w:val="en-US"/>
        </w:rPr>
        <w:t xml:space="preserve"> «</w:t>
      </w:r>
      <w:r w:rsidRPr="00A3026E">
        <w:rPr>
          <w:rFonts w:ascii="Times New Roman" w:hAnsi="Times New Roman"/>
          <w:color w:val="000000" w:themeColor="text1"/>
          <w:sz w:val="16"/>
          <w:szCs w:val="16"/>
        </w:rPr>
        <w:t>МорскойЛев</w:t>
      </w:r>
      <w:r w:rsidRPr="00A3026E">
        <w:rPr>
          <w:rFonts w:ascii="Times New Roman" w:hAnsi="Times New Roman"/>
          <w:color w:val="000000" w:themeColor="text1"/>
          <w:sz w:val="16"/>
          <w:szCs w:val="16"/>
          <w:lang w:val="en-US"/>
        </w:rPr>
        <w:t xml:space="preserve">» </w:t>
      </w:r>
      <w:r w:rsidRPr="00A3026E">
        <w:rPr>
          <w:rFonts w:ascii="Times New Roman" w:hAnsi="Times New Roman"/>
          <w:color w:val="000000" w:themeColor="text1"/>
          <w:sz w:val="16"/>
          <w:szCs w:val="16"/>
        </w:rPr>
        <w:t>довесны</w:t>
      </w:r>
      <w:r w:rsidRPr="00A3026E">
        <w:rPr>
          <w:rFonts w:ascii="Times New Roman" w:hAnsi="Times New Roman"/>
          <w:color w:val="000000" w:themeColor="text1"/>
          <w:sz w:val="16"/>
          <w:szCs w:val="16"/>
          <w:lang w:val="en-US"/>
        </w:rPr>
        <w:t xml:space="preserve"> 1941 (14797).</w:t>
      </w:r>
    </w:p>
    <w:p w14:paraId="6713EDBE" w14:textId="77777777" w:rsidR="00652CB7" w:rsidRPr="00A3026E" w:rsidRDefault="00652CB7" w:rsidP="00A3026E">
      <w:pPr>
        <w:spacing w:after="0" w:line="240" w:lineRule="auto"/>
        <w:jc w:val="both"/>
        <w:rPr>
          <w:rFonts w:ascii="Times New Roman" w:hAnsi="Times New Roman"/>
          <w:color w:val="000000" w:themeColor="text1"/>
          <w:sz w:val="16"/>
          <w:szCs w:val="16"/>
          <w:lang w:val="en-US"/>
        </w:rPr>
      </w:pPr>
    </w:p>
    <w:p w14:paraId="029488A4"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October 12, 1940: A German military mission is set up in Bucarest, Rumania, for the purpose of aiding in the training of the Rumanian army. Hitler orders Operation Sea Lion, the German invasion of Britain, to be postponed until the spring of 1941. President Roosevelt in a fireside chat suggests the drafting of 18- and 19-year-old men (3819).</w:t>
      </w:r>
    </w:p>
    <w:p w14:paraId="174A9D4C"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24813C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в Румынии была организована немецкая военная миссия для оказания помощи в охране нефтепромыслов и тренировки румынской армии Президент Ф.Д.Р. в частном разговоре упомянул о возможности призыва молодежи в возрасте 18-19 лет (3819).</w:t>
      </w:r>
    </w:p>
    <w:p w14:paraId="0CF763C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BBCF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немецкие войска были введены в Румынию (2443,418).</w:t>
      </w:r>
    </w:p>
    <w:p w14:paraId="0505751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6A8A64" w14:textId="77777777" w:rsidR="00652CB7" w:rsidRPr="00A3026E" w:rsidRDefault="00652CB7"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12 октября </w:t>
      </w:r>
      <w:r w:rsidRPr="00A3026E">
        <w:rPr>
          <w:rFonts w:ascii="Times New Roman" w:hAnsi="Times New Roman"/>
          <w:color w:val="000000" w:themeColor="text1"/>
          <w:sz w:val="16"/>
          <w:szCs w:val="16"/>
        </w:rPr>
        <w:t>в 1940 году ввод немецких частей в Румынию через территорию СССР (14797).</w:t>
      </w:r>
    </w:p>
    <w:p w14:paraId="3B4BE24A" w14:textId="77777777" w:rsidR="00652CB7" w:rsidRPr="00A3026E" w:rsidRDefault="00652CB7" w:rsidP="00A3026E">
      <w:pPr>
        <w:spacing w:after="0" w:line="240" w:lineRule="auto"/>
        <w:jc w:val="both"/>
        <w:rPr>
          <w:rFonts w:ascii="Times New Roman" w:hAnsi="Times New Roman"/>
          <w:color w:val="000000" w:themeColor="text1"/>
          <w:sz w:val="16"/>
          <w:szCs w:val="16"/>
        </w:rPr>
      </w:pPr>
    </w:p>
    <w:p w14:paraId="693501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в Японии была создана Ассоциация помощи трону (3186).</w:t>
      </w:r>
    </w:p>
    <w:p w14:paraId="31765D9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F0313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D9D8F0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085F8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октября 1940 состоялся первый полет ТБ-7 с М-40 и заводские испытания (за исключением полета на продолжительность) проводились на 124 заводе до 15 декабря 1940 (1295,363). Закончились 15 декабря 1940 (1295,363).</w:t>
      </w:r>
    </w:p>
    <w:p w14:paraId="7E8D075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C0D19E"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 октября 1940 была Докладная записка наркома внутренних дел СССР Л. П. Берии И. В. Сталину с предложениями о производстве высотных истребителей (утверждены Политбюро ЦК ВКП(б) 15 октября 1940 г.)</w:t>
      </w:r>
    </w:p>
    <w:p w14:paraId="7F363F42"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этом представляю на Ваше рассмотрение проект Постановления Комитета Обороны, предусматривающий изменение решения Комитета обороны № 275 от 23 июня 1940 г.</w:t>
      </w:r>
    </w:p>
    <w:p w14:paraId="5F25D544"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Постройка вместо 10 экземпляров истребителя "100" конструкции ОТБ НКВД (в том числе 3 высотных с турбокомпрессо</w:t>
      </w:r>
      <w:r w:rsidRPr="00A3026E">
        <w:rPr>
          <w:rFonts w:ascii="Times New Roman" w:hAnsi="Times New Roman"/>
          <w:color w:val="0070C0"/>
          <w:sz w:val="16"/>
          <w:szCs w:val="16"/>
        </w:rPr>
        <w:softHyphen/>
        <w:t>рами и герметическими кабинами и 7 истребителей сопровождения средних высот без герметических кабин и турбокомпрессоров), 10 высотных самолетов с турбокомпрессорами и герметическими кабинами (в т.ч. пять истребителей и 5 бомбардировщиков).</w:t>
      </w:r>
    </w:p>
    <w:p w14:paraId="49736925"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Целесообразность такого изменения с учетом новейших достижений самолетостроения вызывается следующими сообра</w:t>
      </w:r>
      <w:r w:rsidRPr="00A3026E">
        <w:rPr>
          <w:rFonts w:ascii="Times New Roman" w:hAnsi="Times New Roman"/>
          <w:color w:val="0070C0"/>
          <w:sz w:val="16"/>
          <w:szCs w:val="16"/>
        </w:rPr>
        <w:softHyphen/>
        <w:t>жениями:</w:t>
      </w:r>
    </w:p>
    <w:p w14:paraId="6B95894E"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Предлагаемые высотные самолеты будут иметь одну герметическую кабину с совместным размещением в ней лет</w:t>
      </w:r>
      <w:r w:rsidRPr="00A3026E">
        <w:rPr>
          <w:rFonts w:ascii="Times New Roman" w:hAnsi="Times New Roman"/>
          <w:color w:val="0070C0"/>
          <w:sz w:val="16"/>
          <w:szCs w:val="16"/>
        </w:rPr>
        <w:softHyphen/>
        <w:t>чика и штурмана, вместо двух герметических кабин, имеющихся в утвержденной варианте при раздельном размещении летчика и штурмана в двух разных кабинах; при этом новый вариант предусматривает состав экипажа в 2 человека, а старый вариант - 3 человека, в новом варианте значительно улучшен обзор летчика и штурмана. Высотные самолеты будут строиться почти полностью на базе серийного самолета "ПБ-100", изготовляемого в настоящий момент, при чем высотные истребители будут отличаться от высотных бомбар</w:t>
      </w:r>
      <w:r w:rsidRPr="00A3026E">
        <w:rPr>
          <w:rFonts w:ascii="Times New Roman" w:hAnsi="Times New Roman"/>
          <w:color w:val="0070C0"/>
          <w:sz w:val="16"/>
          <w:szCs w:val="16"/>
        </w:rPr>
        <w:softHyphen/>
        <w:t>дировщиков только наличием более мощного вооружения.</w:t>
      </w:r>
    </w:p>
    <w:p w14:paraId="62C15F82"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Указанным выше решением Комитета Обороны предусмат</w:t>
      </w:r>
      <w:r w:rsidRPr="00A3026E">
        <w:rPr>
          <w:rFonts w:ascii="Times New Roman" w:hAnsi="Times New Roman"/>
          <w:color w:val="0070C0"/>
          <w:sz w:val="16"/>
          <w:szCs w:val="16"/>
        </w:rPr>
        <w:softHyphen/>
        <w:t>ривался выпуск 10 экземпляров самолета "100" в первом полугодии 1J41 года. В связи с предлагаемым настоящим письмом видоизменением машины, в первом полугодии 1941 года можно будет выпустить с машины, выпуск же остальных 8 машин намечен в течение июля-августа 1941 года.</w:t>
      </w:r>
    </w:p>
    <w:p w14:paraId="2F79E6E7"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Высотный истребитель с экипажем в 2 человека, размещенных в одной герметической кабине, с моторами М-105, имеет следующие летно-тактические данные:</w:t>
      </w:r>
    </w:p>
    <w:p w14:paraId="729BFC3D"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Максимальная скорость:</w:t>
      </w:r>
    </w:p>
    <w:p w14:paraId="6528A592"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 земли</w:t>
      </w:r>
      <w:r w:rsidRPr="00A3026E">
        <w:rPr>
          <w:rFonts w:ascii="Times New Roman" w:hAnsi="Times New Roman"/>
          <w:color w:val="0070C0"/>
          <w:sz w:val="16"/>
          <w:szCs w:val="16"/>
        </w:rPr>
        <w:tab/>
        <w:t>- 465 клм/час</w:t>
      </w:r>
    </w:p>
    <w:p w14:paraId="6364C427"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высоте 9000 метров</w:t>
      </w:r>
      <w:r w:rsidRPr="00A3026E">
        <w:rPr>
          <w:rFonts w:ascii="Times New Roman" w:hAnsi="Times New Roman"/>
          <w:color w:val="0070C0"/>
          <w:sz w:val="16"/>
          <w:szCs w:val="16"/>
        </w:rPr>
        <w:tab/>
        <w:t>- 580-600 клм/час</w:t>
      </w:r>
    </w:p>
    <w:p w14:paraId="2BC5FE83"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Максимальная дальность на скорости 400 клм/час</w:t>
      </w:r>
      <w:r w:rsidRPr="00A3026E">
        <w:rPr>
          <w:rFonts w:ascii="Times New Roman" w:hAnsi="Times New Roman"/>
          <w:color w:val="0070C0"/>
          <w:sz w:val="16"/>
          <w:szCs w:val="16"/>
        </w:rPr>
        <w:tab/>
        <w:t>- 2200 клм.</w:t>
      </w:r>
    </w:p>
    <w:p w14:paraId="65C1A21B"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Вооружение:</w:t>
      </w:r>
    </w:p>
    <w:p w14:paraId="5074E0B1"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вперед - 2 пушки Швак кал. 20 мм.</w:t>
      </w:r>
    </w:p>
    <w:p w14:paraId="2EDCBBF2"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пул. Шкасс кал.7,62 мм.</w:t>
      </w:r>
    </w:p>
    <w:p w14:paraId="6522FDFE"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назад 1 пул. -Шкасс кал.7,62 мм.</w:t>
      </w:r>
    </w:p>
    <w:p w14:paraId="0A76D344"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 Высотный бомбардировщик с герметической кабиной имеет такие же летно-тактические данные, как и высотный истребитель. Его стрелковое вооружение:</w:t>
      </w:r>
    </w:p>
    <w:p w14:paraId="0B9390F4"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вперед - 2 пул. Шкасс кал. 7,62 мм.</w:t>
      </w:r>
    </w:p>
    <w:p w14:paraId="372C8B6D"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назад - 1 пул. Шкасс кал. 7,62 мм.</w:t>
      </w:r>
    </w:p>
    <w:p w14:paraId="42EDA392"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Бомбовая нагрузка нормальная - 600 клгр.бомб</w:t>
      </w:r>
    </w:p>
    <w:p w14:paraId="31A9031D"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Бомбовая надувка максимальная -1000 клгр.бомб</w:t>
      </w:r>
    </w:p>
    <w:p w14:paraId="3BE938AA"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Проектирование предлагаемых самолетов будет осущест</w:t>
      </w:r>
      <w:r w:rsidRPr="00A3026E">
        <w:rPr>
          <w:rFonts w:ascii="Times New Roman" w:hAnsi="Times New Roman"/>
          <w:color w:val="0070C0"/>
          <w:sz w:val="16"/>
          <w:szCs w:val="16"/>
        </w:rPr>
        <w:softHyphen/>
        <w:t>влено конструкторской группой ОТБ НКВД, работящей в настоящее время на заводе № 39.</w:t>
      </w:r>
    </w:p>
    <w:p w14:paraId="7D2FB662"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Постройку самолетов целесообразно осуществить на за</w:t>
      </w:r>
      <w:r w:rsidRPr="00A3026E">
        <w:rPr>
          <w:rFonts w:ascii="Times New Roman" w:hAnsi="Times New Roman"/>
          <w:color w:val="0070C0"/>
          <w:sz w:val="16"/>
          <w:szCs w:val="16"/>
        </w:rPr>
        <w:softHyphen/>
        <w:t>воде № 39.</w:t>
      </w:r>
    </w:p>
    <w:p w14:paraId="2A74CBA2"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Прошу Ваша указаний.</w:t>
      </w:r>
    </w:p>
    <w:p w14:paraId="5DB4CD68" w14:textId="77777777" w:rsidR="004A4726" w:rsidRPr="00A3026E" w:rsidRDefault="004A47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Приложение: проект Постановления Комитета Стороне (22057).</w:t>
      </w:r>
    </w:p>
    <w:p w14:paraId="7C38FA86" w14:textId="77777777" w:rsidR="004A4726" w:rsidRPr="00A3026E" w:rsidRDefault="004A4726" w:rsidP="00A3026E">
      <w:pPr>
        <w:shd w:val="clear" w:color="auto" w:fill="FFFFFF"/>
        <w:spacing w:after="0" w:line="240" w:lineRule="auto"/>
        <w:jc w:val="both"/>
        <w:rPr>
          <w:rFonts w:ascii="Times New Roman" w:hAnsi="Times New Roman"/>
          <w:color w:val="0070C0"/>
          <w:sz w:val="16"/>
          <w:szCs w:val="16"/>
        </w:rPr>
      </w:pPr>
    </w:p>
    <w:p w14:paraId="035F906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13 октября по 12 ноября 1940 года проходили гос. испытания опытного одноместного истребителя И-26 М-105П № 3 с винтом ВИШ-61 конструкции инженера Яковлева постройки завода № 115 на пикирование, штопор, отстрел вооружения, устойчивость и пилотаж (6896).</w:t>
      </w:r>
    </w:p>
    <w:p w14:paraId="0433028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33F3CED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2 ранга Максимов</w:t>
      </w:r>
    </w:p>
    <w:p w14:paraId="2B535FA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подполковник Стефановский</w:t>
      </w:r>
    </w:p>
    <w:p w14:paraId="388A71E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Третий экземпляр самолета И-26 является копией второго экземпляра, проходившего гос. испытания в НИИ ВВС с 1 по 15 июня 1940 года и не закончившего их вследствие недостаточной прочности конструкции.</w:t>
      </w:r>
    </w:p>
    <w:p w14:paraId="3241512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И-26 № 3 отличается от И-26 № 2 некоторыми изменениями, выполненными заводом № 115 в порядке реализации отчета по его гос. испытаниям.</w:t>
      </w:r>
    </w:p>
    <w:p w14:paraId="0ED377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619668EC"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самолета на пикирование.</w:t>
      </w:r>
    </w:p>
    <w:p w14:paraId="62440C89"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Выявление штопорных свойств самолета.</w:t>
      </w:r>
    </w:p>
    <w:p w14:paraId="67A1C5B3"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Выявление пилотажных качеств самолета.</w:t>
      </w:r>
    </w:p>
    <w:p w14:paraId="442A4D60"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вооружения самолета.</w:t>
      </w:r>
    </w:p>
    <w:p w14:paraId="25E7448D"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Снятие характеристик устойчивости самолета.</w:t>
      </w:r>
    </w:p>
    <w:p w14:paraId="343DA58C"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Проверка выполнения указаний по спецоборудованию, данных в отчете по гос. испытаниям самолета И-26, экземпляр № 2.</w:t>
      </w:r>
    </w:p>
    <w:p w14:paraId="3C04BAE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дополнительные гос. испытания 13 октября 1940 года.</w:t>
      </w:r>
    </w:p>
    <w:p w14:paraId="1C8348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закончил гос. испытания 12 ноября 1940 года. Итого самолет испытан за 31 день. Летные испытания – 8 дней.</w:t>
      </w:r>
    </w:p>
    <w:p w14:paraId="737A5D2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854D2E6"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И-26 М-105 с винтом ВИШ-61 экземпляр № 3 считать прошедшим гос. испытания удовлетворительно.</w:t>
      </w:r>
    </w:p>
    <w:p w14:paraId="292B95B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6662"/>
        <w:gridCol w:w="1701"/>
      </w:tblGrid>
      <w:tr w:rsidR="00983732" w:rsidRPr="00A3026E" w14:paraId="67D3DF1C" w14:textId="77777777" w:rsidTr="00EA0DA7">
        <w:tc>
          <w:tcPr>
            <w:tcW w:w="2093" w:type="dxa"/>
          </w:tcPr>
          <w:p w14:paraId="081ACD3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Дата</w:t>
            </w:r>
          </w:p>
        </w:tc>
        <w:tc>
          <w:tcPr>
            <w:tcW w:w="6662" w:type="dxa"/>
          </w:tcPr>
          <w:p w14:paraId="073EB0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Содержание работ</w:t>
            </w:r>
          </w:p>
        </w:tc>
        <w:tc>
          <w:tcPr>
            <w:tcW w:w="1701" w:type="dxa"/>
          </w:tcPr>
          <w:p w14:paraId="0B055D2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31D7E50" w14:textId="77777777" w:rsidTr="00EA0DA7">
        <w:tc>
          <w:tcPr>
            <w:tcW w:w="2093" w:type="dxa"/>
          </w:tcPr>
          <w:p w14:paraId="462320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октября 1940 года</w:t>
            </w:r>
          </w:p>
        </w:tc>
        <w:tc>
          <w:tcPr>
            <w:tcW w:w="6662" w:type="dxa"/>
          </w:tcPr>
          <w:p w14:paraId="4CA739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принят на гос. испытания. Произведено 2 полета на пилотаж с засечкой времени выполнения фигур.</w:t>
            </w:r>
          </w:p>
        </w:tc>
        <w:tc>
          <w:tcPr>
            <w:tcW w:w="1701" w:type="dxa"/>
          </w:tcPr>
          <w:p w14:paraId="4650C18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40 мин.</w:t>
            </w:r>
          </w:p>
        </w:tc>
      </w:tr>
      <w:tr w:rsidR="00983732" w:rsidRPr="00A3026E" w14:paraId="50561295" w14:textId="77777777" w:rsidTr="00EA0DA7">
        <w:tc>
          <w:tcPr>
            <w:tcW w:w="2093" w:type="dxa"/>
          </w:tcPr>
          <w:p w14:paraId="3D8378D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года</w:t>
            </w:r>
          </w:p>
        </w:tc>
        <w:tc>
          <w:tcPr>
            <w:tcW w:w="6662" w:type="dxa"/>
          </w:tcPr>
          <w:p w14:paraId="77C079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полет на штопор и пикирование до 500 км/час.</w:t>
            </w:r>
          </w:p>
        </w:tc>
        <w:tc>
          <w:tcPr>
            <w:tcW w:w="1701" w:type="dxa"/>
          </w:tcPr>
          <w:p w14:paraId="2E0D53D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 мин.</w:t>
            </w:r>
          </w:p>
        </w:tc>
      </w:tr>
      <w:tr w:rsidR="00983732" w:rsidRPr="00A3026E" w14:paraId="6D336D57" w14:textId="77777777" w:rsidTr="00EA0DA7">
        <w:tc>
          <w:tcPr>
            <w:tcW w:w="2093" w:type="dxa"/>
          </w:tcPr>
          <w:p w14:paraId="1113AFC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года</w:t>
            </w:r>
          </w:p>
        </w:tc>
        <w:tc>
          <w:tcPr>
            <w:tcW w:w="6662" w:type="dxa"/>
          </w:tcPr>
          <w:p w14:paraId="3B4C24D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полет на отстрел вооружения.</w:t>
            </w:r>
          </w:p>
        </w:tc>
        <w:tc>
          <w:tcPr>
            <w:tcW w:w="1701" w:type="dxa"/>
          </w:tcPr>
          <w:p w14:paraId="732F00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мин.</w:t>
            </w:r>
          </w:p>
        </w:tc>
      </w:tr>
      <w:tr w:rsidR="00983732" w:rsidRPr="00A3026E" w14:paraId="0639E63B" w14:textId="77777777" w:rsidTr="00EA0DA7">
        <w:tc>
          <w:tcPr>
            <w:tcW w:w="2093" w:type="dxa"/>
          </w:tcPr>
          <w:p w14:paraId="68F6950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года</w:t>
            </w:r>
          </w:p>
        </w:tc>
        <w:tc>
          <w:tcPr>
            <w:tcW w:w="6662" w:type="dxa"/>
          </w:tcPr>
          <w:p w14:paraId="56BFC8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Три полета на стрельбу по щитам.</w:t>
            </w:r>
          </w:p>
        </w:tc>
        <w:tc>
          <w:tcPr>
            <w:tcW w:w="1701" w:type="dxa"/>
          </w:tcPr>
          <w:p w14:paraId="1684F8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мин.</w:t>
            </w:r>
          </w:p>
        </w:tc>
      </w:tr>
      <w:tr w:rsidR="00983732" w:rsidRPr="00A3026E" w14:paraId="28BCBF90" w14:textId="77777777" w:rsidTr="00EA0DA7">
        <w:tc>
          <w:tcPr>
            <w:tcW w:w="2093" w:type="dxa"/>
          </w:tcPr>
          <w:p w14:paraId="7642070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года</w:t>
            </w:r>
          </w:p>
        </w:tc>
        <w:tc>
          <w:tcPr>
            <w:tcW w:w="6662" w:type="dxa"/>
          </w:tcPr>
          <w:p w14:paraId="5E13733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полета на стрельбу.</w:t>
            </w:r>
          </w:p>
        </w:tc>
        <w:tc>
          <w:tcPr>
            <w:tcW w:w="1701" w:type="dxa"/>
          </w:tcPr>
          <w:p w14:paraId="2B3845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мин.</w:t>
            </w:r>
          </w:p>
        </w:tc>
      </w:tr>
      <w:tr w:rsidR="00983732" w:rsidRPr="00A3026E" w14:paraId="6D4FF1CD" w14:textId="77777777" w:rsidTr="00EA0DA7">
        <w:tc>
          <w:tcPr>
            <w:tcW w:w="2093" w:type="dxa"/>
          </w:tcPr>
          <w:p w14:paraId="6C0DBC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октября 1940 года</w:t>
            </w:r>
          </w:p>
        </w:tc>
        <w:tc>
          <w:tcPr>
            <w:tcW w:w="6662" w:type="dxa"/>
          </w:tcPr>
          <w:p w14:paraId="6609FA4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Подполковником Стефановским произведено 4 полета: один на отстрел пушки и пулеметов на автоматику; три для стрельбы из пулеметов по наземным мишеням.</w:t>
            </w:r>
          </w:p>
        </w:tc>
        <w:tc>
          <w:tcPr>
            <w:tcW w:w="1701" w:type="dxa"/>
          </w:tcPr>
          <w:p w14:paraId="27D3397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30 мин.</w:t>
            </w:r>
          </w:p>
        </w:tc>
      </w:tr>
      <w:tr w:rsidR="00983732" w:rsidRPr="00A3026E" w14:paraId="649CB390" w14:textId="77777777" w:rsidTr="00EA0DA7">
        <w:tc>
          <w:tcPr>
            <w:tcW w:w="2093" w:type="dxa"/>
          </w:tcPr>
          <w:p w14:paraId="2EFC3D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года</w:t>
            </w:r>
          </w:p>
        </w:tc>
        <w:tc>
          <w:tcPr>
            <w:tcW w:w="6662" w:type="dxa"/>
          </w:tcPr>
          <w:p w14:paraId="1DCD9DD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Три полета. Один на пикирование до скорости по прибору в 635 км/час. Два для снятия характеристик продольной и боковой устойчивости.</w:t>
            </w:r>
          </w:p>
        </w:tc>
        <w:tc>
          <w:tcPr>
            <w:tcW w:w="1701" w:type="dxa"/>
          </w:tcPr>
          <w:p w14:paraId="742C5A9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55 мин.</w:t>
            </w:r>
          </w:p>
        </w:tc>
      </w:tr>
      <w:tr w:rsidR="00983732" w:rsidRPr="00A3026E" w14:paraId="57470A69" w14:textId="77777777" w:rsidTr="00EA0DA7">
        <w:tc>
          <w:tcPr>
            <w:tcW w:w="2093" w:type="dxa"/>
          </w:tcPr>
          <w:p w14:paraId="6AA1919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года</w:t>
            </w:r>
          </w:p>
        </w:tc>
        <w:tc>
          <w:tcPr>
            <w:tcW w:w="6662" w:type="dxa"/>
          </w:tcPr>
          <w:p w14:paraId="535C79B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полета для определения продольной устойчивости самолета с задней и передней центровками.</w:t>
            </w:r>
          </w:p>
        </w:tc>
        <w:tc>
          <w:tcPr>
            <w:tcW w:w="1701" w:type="dxa"/>
          </w:tcPr>
          <w:p w14:paraId="1DB581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50 мин.</w:t>
            </w:r>
          </w:p>
        </w:tc>
      </w:tr>
      <w:tr w:rsidR="00983732" w:rsidRPr="00A3026E" w14:paraId="2A1A8163" w14:textId="77777777" w:rsidTr="00EA0DA7">
        <w:tc>
          <w:tcPr>
            <w:tcW w:w="2093" w:type="dxa"/>
          </w:tcPr>
          <w:p w14:paraId="5B6754C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года</w:t>
            </w:r>
          </w:p>
        </w:tc>
        <w:tc>
          <w:tcPr>
            <w:tcW w:w="6662" w:type="dxa"/>
          </w:tcPr>
          <w:p w14:paraId="262B5E8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полет летчика Груздева на пилотаж, пикирование и штопор.</w:t>
            </w:r>
          </w:p>
        </w:tc>
        <w:tc>
          <w:tcPr>
            <w:tcW w:w="1701" w:type="dxa"/>
          </w:tcPr>
          <w:p w14:paraId="68D763B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 мин.</w:t>
            </w:r>
          </w:p>
        </w:tc>
      </w:tr>
      <w:tr w:rsidR="00983732" w:rsidRPr="00A3026E" w14:paraId="2531EBA0" w14:textId="77777777" w:rsidTr="00EA0DA7">
        <w:tc>
          <w:tcPr>
            <w:tcW w:w="2093" w:type="dxa"/>
          </w:tcPr>
          <w:p w14:paraId="55E2752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года</w:t>
            </w:r>
          </w:p>
        </w:tc>
        <w:tc>
          <w:tcPr>
            <w:tcW w:w="6662" w:type="dxa"/>
          </w:tcPr>
          <w:p w14:paraId="6BB435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Летчиками НИИ капитанами Прошаковым и Николаевым и ст. лейтенантом Кубышкиным произведено 3 полета на штопор, пикирование и пилотаж.</w:t>
            </w:r>
          </w:p>
        </w:tc>
        <w:tc>
          <w:tcPr>
            <w:tcW w:w="1701" w:type="dxa"/>
          </w:tcPr>
          <w:p w14:paraId="7B707B2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час. 20 мин.</w:t>
            </w:r>
          </w:p>
        </w:tc>
      </w:tr>
    </w:tbl>
    <w:p w14:paraId="07292C3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(6896).</w:t>
      </w:r>
    </w:p>
    <w:p w14:paraId="51924B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455B1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13 октября по 21 ноября 1940 состоялись гос. испытания И-26-3.</w:t>
      </w:r>
    </w:p>
    <w:p w14:paraId="168D00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в Чкаловской, Ярославской ж/д состоялось заседание Техсовета при НИИ ВВС (Протокол № 13) "О результатах гос. испытаний И-26-3 с М-105П с винтом ВИШ-61 конструкции т. А.С.Я., постройки завода № 115 на штопор, пикирование, пилотаж, устойчивость и отстрел оружия.</w:t>
      </w:r>
    </w:p>
    <w:p w14:paraId="3A4C94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Техсовет НИИ ВВС под председательством Филина в составе члена Техсовета гмв Федорова в присутствии директора завода № 115 т. Ястребова, зам. ГК т. Виганд заслушала доклад вед. инженера НИИ ВВС КА ви2р т. Степанченка, содоклады вед. л. Стефановского и оценку свойств с-та от участвующих л и наземных испытаний.</w:t>
      </w:r>
    </w:p>
    <w:p w14:paraId="26E1C1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Представленный на испытания 3-1 экх. С-та И-26 М-105П является копией 2-го экз. с-та И-26, проходившего госиспытания в НИИ ВВС с 1 по 1 июня 1940 и незакончевшего их вследствие недостаточной прочности крыла и недоведенности конструкции.</w:t>
      </w:r>
    </w:p>
    <w:p w14:paraId="3DD5F8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3-й экз. И-26 поступил на госиспытания в НИИ ВВС 13 октября 1940 и закончил их 12 ноября 1940 г.</w:t>
      </w:r>
    </w:p>
    <w:p w14:paraId="54A169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был испытан на пикирование до 635 км/час по прибору, с перегрузкой до 4,5, на штопор до 3-х витков, на выполнение всех фигур высшего пилотажа и устойчивость.</w:t>
      </w:r>
    </w:p>
    <w:p w14:paraId="4F6C1E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 проведен отстрел вооружения на земле и в воздухе.</w:t>
      </w:r>
    </w:p>
    <w:p w14:paraId="01E282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с-та И-26 экз. № 3 работало безотказно.</w:t>
      </w:r>
    </w:p>
    <w:p w14:paraId="69ADDC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части ВМГ (перегрев масла при работе мотора на номинальной мощности, неравномерность выработки горючего из баков) и шасси (невозможность уборки шасси на наивыгоднейшей скорости набора высоты 250 км/час) с-т остался недоведенным.</w:t>
      </w:r>
    </w:p>
    <w:p w14:paraId="4E0059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С-т не имеет радиостанции и установка ее не предусмотрена (отсутствует экранировка и металлизация). На с-те нет ночных посадочных средств и не предусмотрено место для фотоаппарата.</w:t>
      </w:r>
    </w:p>
    <w:p w14:paraId="7E7064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w:t>
      </w:r>
    </w:p>
    <w:p w14:paraId="38BE13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 И-26 экз. № 3 конструкции А.С.Я., проверенный в части стрелково-пушечного вооружения, а также на пилотаж, пикирование до скорости 635 км/час и штопор до 3-х витков считать прошедшим госиспытания.</w:t>
      </w:r>
    </w:p>
    <w:p w14:paraId="6F062E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5B3AEB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Обратить внимание НКАП, что выполнение Постановления КО № 377 от 16 сентября 1940 об установке радиостанции РСИ-4 на серийные с-ты И-26 с 1 января 1941 не обеспечено, т.к. и 3-й экз. опытного ст-та И-26 был предъявдлен на госиспытания без рации и установка ее на с-т не предусмотрена.</w:t>
      </w:r>
    </w:p>
    <w:p w14:paraId="7E7923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Устранение всех дефектов, выявленных во время госиспытаний опытных образцов, провести на всех выпущенных и выпускаемых с-тах И-26 в сроки по отдельному соглашению с НКАП ГУ ВВС КА.</w:t>
      </w:r>
    </w:p>
    <w:p w14:paraId="085E9D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Необходимо на с-те И-26 выполнить постановление КО № 374 от 7 сентября 1940.</w:t>
      </w:r>
    </w:p>
    <w:p w14:paraId="30C19C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Подписали Филин, Федоров,</w:t>
      </w:r>
    </w:p>
    <w:p w14:paraId="0EAECD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Верно Гребенников 26 декабря 1940</w:t>
      </w:r>
    </w:p>
    <w:p w14:paraId="63115C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госиспытаниям опытного одноместного истребителя И-26 М-105П № 3 с винтом ВИШ-61 Д 3 м конструкции и А.С.Я. постройки завода № 115 на пикироване, штопор, отстрел вооружения, устойчивость и пилотаж</w:t>
      </w:r>
    </w:p>
    <w:p w14:paraId="2C0A8A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Ответственный исполнитель нач. отд. ви1р Васвод</w:t>
      </w:r>
    </w:p>
    <w:p w14:paraId="2B7CEE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 ви2р А.Т.Степанец</w:t>
      </w:r>
    </w:p>
    <w:p w14:paraId="72DE94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 п/п Стефановский</w:t>
      </w:r>
    </w:p>
    <w:p w14:paraId="5FE3CC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 испытаний:</w:t>
      </w:r>
    </w:p>
    <w:p w14:paraId="4138D4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Отличия экз. № 3 от экз. № 2</w:t>
      </w:r>
    </w:p>
    <w:p w14:paraId="3C2B9C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прочность носка крыла доведена до 107%</w:t>
      </w:r>
    </w:p>
    <w:p w14:paraId="7013B0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увеличено давление в баллонах с 40 до 50 атм. Для обеспечения уборки шасси на взлете</w:t>
      </w:r>
    </w:p>
    <w:p w14:paraId="3E627C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кабина оборудована вентиляцией</w:t>
      </w:r>
    </w:p>
    <w:p w14:paraId="6349D0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исключено попадание гильз и звеньев в стабилизатор</w:t>
      </w:r>
    </w:p>
    <w:p w14:paraId="21DD35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увеличен запас патронов до 750 шт. для пулеметов и до 135 шт. для пушки</w:t>
      </w:r>
    </w:p>
    <w:p w14:paraId="3E49EE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усилены цилиндры амртизаторов шасси и замка подъемника</w:t>
      </w:r>
    </w:p>
    <w:p w14:paraId="354F5A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установлены амортизаторы для быстрого открытия фонаря кабины</w:t>
      </w:r>
    </w:p>
    <w:p w14:paraId="40593E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улучшен подход к хвостовой части фюзеляжа, установлен люк</w:t>
      </w:r>
    </w:p>
    <w:p w14:paraId="3AC780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с-та увеличен на 74,5 кг, а вес полезной нагрузки за счет патронов на 25,5 кг (всего на 100 кг)</w:t>
      </w:r>
    </w:p>
    <w:p w14:paraId="128ADA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Участники испытаний: Максимов, ви2р Степанец,</w:t>
      </w:r>
    </w:p>
    <w:p w14:paraId="73FFD8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 Стефановский, к-н ...Иванов, берлин, Красовский, Турчак</w:t>
      </w:r>
    </w:p>
    <w:p w14:paraId="391FAA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с-та Сбитнев, Мякинина, Аверьянов, Иванников</w:t>
      </w:r>
    </w:p>
    <w:p w14:paraId="0EEF85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облета Груздев, Прошаков, Кубышкин</w:t>
      </w:r>
    </w:p>
    <w:p w14:paraId="15DF68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Весовые данные:</w:t>
      </w:r>
    </w:p>
    <w:p w14:paraId="36C9A9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с парашютом 90 кг</w:t>
      </w:r>
    </w:p>
    <w:p w14:paraId="716797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горючее 305</w:t>
      </w:r>
    </w:p>
    <w:p w14:paraId="2E2D62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 30</w:t>
      </w:r>
    </w:p>
    <w:p w14:paraId="1E3ABC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патроны ШКАС (1500) 49,5</w:t>
      </w:r>
    </w:p>
    <w:p w14:paraId="4E52F7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снаряды для пушки ШВАК (135) 29,9</w:t>
      </w:r>
    </w:p>
    <w:p w14:paraId="5FE41C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аккумулятор 9</w:t>
      </w:r>
    </w:p>
    <w:p w14:paraId="4D209B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511,7</w:t>
      </w:r>
    </w:p>
    <w:p w14:paraId="76EE48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2801 (ранее 2700 кг)</w:t>
      </w:r>
    </w:p>
    <w:p w14:paraId="2E6F45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Увеличение веса за счет:</w:t>
      </w:r>
    </w:p>
    <w:p w14:paraId="7DC8E3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увеличен запас патронов 26,5 кг</w:t>
      </w:r>
    </w:p>
    <w:p w14:paraId="1EBE87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положенные в носке крыла и р/высоты грузы повышают критическую скорость флаттера - 16 кг</w:t>
      </w:r>
    </w:p>
    <w:p w14:paraId="0E6839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усиление носка крыла, обшивки крылазамков шасси и устранение дефектов - 58,5 кг</w:t>
      </w:r>
    </w:p>
    <w:p w14:paraId="4F856A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доступен для л строевых частей ВВС средней и нижесредней квалификации.</w:t>
      </w:r>
    </w:p>
    <w:p w14:paraId="4C56E7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Раскрутки винта на пикировании не было</w:t>
      </w:r>
    </w:p>
    <w:p w14:paraId="3D09EE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Усилия на ручке для вывода из пикирования незначительные</w:t>
      </w:r>
    </w:p>
    <w:p w14:paraId="410761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Изменить оформление кабины, поставить боковую панель</w:t>
      </w:r>
    </w:p>
    <w:p w14:paraId="532222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Стрелково-пушечное вооружение работало безотказно</w:t>
      </w:r>
    </w:p>
    <w:p w14:paraId="5F9A59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Требование о доводке ВМГ не выполнено</w:t>
      </w:r>
    </w:p>
    <w:p w14:paraId="3F65F5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Спецоборудование ТТТ не удовлетворяет.</w:t>
      </w:r>
    </w:p>
    <w:p w14:paraId="4593AA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 отчега по госиспытаниям И-26 № 3 и решение Техсовета НИИ ВВС КА по быстрейшей доводкне спецоборудования не реализованы</w:t>
      </w:r>
    </w:p>
    <w:p w14:paraId="4D080D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8F654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 И-26 М-105П с винтом ВИШ-61 № 3 конструкции ГССТ, д.т.н. и А.С.Я. производства з-да № 115 считать прошедшим ГИ удовлетворительно</w:t>
      </w:r>
    </w:p>
    <w:p w14:paraId="2D175B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741B3E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Просить НКАП т. А.И.Ш. обязать ГК с-та И-26 А.С.Я. и завод № 115:</w:t>
      </w:r>
    </w:p>
    <w:p w14:paraId="542BA0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обеспечить уборку шасси на скорости, требуемой ТТТ</w:t>
      </w:r>
    </w:p>
    <w:p w14:paraId="28C79B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обеспечить прочность и надежность на пикировании щитков шасси и крышки фонаря кабины на всех выпускаемых с-тах И-26</w:t>
      </w:r>
    </w:p>
    <w:p w14:paraId="0CA172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установить на с-те колеса согласно сортаменту НКАП</w:t>
      </w:r>
    </w:p>
    <w:p w14:paraId="28BACE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довести ВМГ</w:t>
      </w:r>
    </w:p>
    <w:p w14:paraId="218E97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привести спецоборудование с-та в полное соответствие с существующими ТТТ</w:t>
      </w:r>
    </w:p>
    <w:p w14:paraId="7655CF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 Филин 6 декабря 1940 (844).</w:t>
      </w:r>
    </w:p>
    <w:p w14:paraId="54FEAEB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9817221" w14:textId="77777777" w:rsidR="00E92F20" w:rsidRPr="00A3026E" w:rsidRDefault="00E92F2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13 октя</w:t>
      </w:r>
      <w:r w:rsidRPr="00A3026E">
        <w:rPr>
          <w:rFonts w:ascii="Times New Roman" w:hAnsi="Times New Roman"/>
          <w:color w:val="000000" w:themeColor="text1"/>
          <w:sz w:val="16"/>
          <w:szCs w:val="16"/>
        </w:rPr>
        <w:softHyphen/>
        <w:t>бря по 12 ноября 1940 г. прошли повторные госиспытания третьего опытного экземпляра И-26 с доведенной до норм прочностью. Было выполнено 23 полета, самолет был испытан на пики</w:t>
      </w:r>
      <w:r w:rsidRPr="00A3026E">
        <w:rPr>
          <w:rFonts w:ascii="Times New Roman" w:hAnsi="Times New Roman"/>
          <w:color w:val="000000" w:themeColor="text1"/>
          <w:sz w:val="16"/>
          <w:szCs w:val="16"/>
        </w:rPr>
        <w:softHyphen/>
        <w:t xml:space="preserve">рование до </w:t>
      </w:r>
      <w:r w:rsidRPr="00A3026E">
        <w:rPr>
          <w:rFonts w:ascii="Times New Roman" w:hAnsi="Times New Roman"/>
          <w:color w:val="000000" w:themeColor="text1"/>
          <w:sz w:val="16"/>
          <w:szCs w:val="16"/>
          <w:lang w:val="en-US"/>
        </w:rPr>
        <w:t>V</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vertAlign w:val="subscript"/>
          <w:lang w:val="en-US"/>
        </w:rPr>
        <w:t>p</w:t>
      </w:r>
      <w:r w:rsidRPr="00A3026E">
        <w:rPr>
          <w:rFonts w:ascii="Times New Roman" w:hAnsi="Times New Roman"/>
          <w:color w:val="000000" w:themeColor="text1"/>
          <w:sz w:val="16"/>
          <w:szCs w:val="16"/>
        </w:rPr>
        <w:t xml:space="preserve"> = 635 км/ч, пилотаж, што</w:t>
      </w:r>
      <w:r w:rsidRPr="00A3026E">
        <w:rPr>
          <w:rFonts w:ascii="Times New Roman" w:hAnsi="Times New Roman"/>
          <w:color w:val="000000" w:themeColor="text1"/>
          <w:sz w:val="16"/>
          <w:szCs w:val="16"/>
        </w:rPr>
        <w:softHyphen/>
        <w:t>пор и отстрел оружия в воздухе. Выводы НИИ ВВС вкратце были таковы:</w:t>
      </w:r>
    </w:p>
    <w:p w14:paraId="0604390E" w14:textId="77777777" w:rsidR="00E92F20" w:rsidRPr="00A3026E" w:rsidRDefault="00E92F20" w:rsidP="00A3026E">
      <w:pPr>
        <w:tabs>
          <w:tab w:val="left" w:pos="40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штопор до трех витков безопасен, пикирует до</w:t>
      </w:r>
      <w:r w:rsidRPr="00A3026E">
        <w:rPr>
          <w:rStyle w:val="95pt"/>
          <w:rFonts w:ascii="Times New Roman" w:hAnsi="Times New Roman" w:cs="Times New Roman"/>
          <w:color w:val="000000" w:themeColor="text1"/>
          <w:sz w:val="16"/>
          <w:szCs w:val="16"/>
          <w:lang w:val="ru-RU"/>
        </w:rPr>
        <w:t xml:space="preserve"> </w:t>
      </w:r>
      <w:r w:rsidRPr="00A3026E">
        <w:rPr>
          <w:rStyle w:val="95pt"/>
          <w:rFonts w:ascii="Times New Roman" w:hAnsi="Times New Roman" w:cs="Times New Roman"/>
          <w:color w:val="000000" w:themeColor="text1"/>
          <w:sz w:val="16"/>
          <w:szCs w:val="16"/>
        </w:rPr>
        <w:t>V</w:t>
      </w:r>
      <w:r w:rsidRPr="00A3026E">
        <w:rPr>
          <w:rStyle w:val="95pt"/>
          <w:rFonts w:ascii="Times New Roman" w:hAnsi="Times New Roman" w:cs="Times New Roman"/>
          <w:color w:val="000000" w:themeColor="text1"/>
          <w:sz w:val="16"/>
          <w:szCs w:val="16"/>
          <w:lang w:val="ru-RU"/>
        </w:rPr>
        <w:t>„</w:t>
      </w:r>
      <w:r w:rsidRPr="00A3026E">
        <w:rPr>
          <w:rStyle w:val="95pt"/>
          <w:rFonts w:ascii="Times New Roman" w:hAnsi="Times New Roman" w:cs="Times New Roman"/>
          <w:color w:val="000000" w:themeColor="text1"/>
          <w:sz w:val="16"/>
          <w:szCs w:val="16"/>
          <w:vertAlign w:val="subscript"/>
        </w:rPr>
        <w:t>p</w:t>
      </w:r>
      <w:r w:rsidRPr="00A3026E">
        <w:rPr>
          <w:rFonts w:ascii="Times New Roman" w:hAnsi="Times New Roman"/>
          <w:color w:val="000000" w:themeColor="text1"/>
          <w:sz w:val="16"/>
          <w:szCs w:val="16"/>
        </w:rPr>
        <w:t xml:space="preserve"> = 635 км/ч устойчиво, на</w:t>
      </w:r>
      <w:r w:rsidRPr="00A3026E">
        <w:rPr>
          <w:rFonts w:ascii="Times New Roman" w:hAnsi="Times New Roman"/>
          <w:color w:val="000000" w:themeColor="text1"/>
          <w:sz w:val="16"/>
          <w:szCs w:val="16"/>
        </w:rPr>
        <w:softHyphen/>
        <w:t>грузки при выводе незначительные;</w:t>
      </w:r>
    </w:p>
    <w:p w14:paraId="6B0D7220" w14:textId="77777777" w:rsidR="00E92F20" w:rsidRPr="00A3026E" w:rsidRDefault="00E92F20" w:rsidP="00A3026E">
      <w:pPr>
        <w:tabs>
          <w:tab w:val="left" w:pos="414"/>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 технике пилотирования прост и доступен для летчиков средней и ниже средней квалификации;</w:t>
      </w:r>
    </w:p>
    <w:p w14:paraId="7DE01D9F" w14:textId="77777777" w:rsidR="00E92F20" w:rsidRPr="00A3026E" w:rsidRDefault="00E92F20" w:rsidP="00A3026E">
      <w:pPr>
        <w:tabs>
          <w:tab w:val="left" w:pos="40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 горизонтальном полете и на пла</w:t>
      </w:r>
      <w:r w:rsidRPr="00A3026E">
        <w:rPr>
          <w:rFonts w:ascii="Times New Roman" w:hAnsi="Times New Roman"/>
          <w:color w:val="000000" w:themeColor="text1"/>
          <w:sz w:val="16"/>
          <w:szCs w:val="16"/>
        </w:rPr>
        <w:softHyphen/>
        <w:t>нировании устойчив, на режиме скоро</w:t>
      </w:r>
      <w:r w:rsidRPr="00A3026E">
        <w:rPr>
          <w:rFonts w:ascii="Times New Roman" w:hAnsi="Times New Roman"/>
          <w:color w:val="000000" w:themeColor="text1"/>
          <w:sz w:val="16"/>
          <w:szCs w:val="16"/>
        </w:rPr>
        <w:softHyphen/>
        <w:t>подъемности запас статической устойчи</w:t>
      </w:r>
      <w:r w:rsidRPr="00A3026E">
        <w:rPr>
          <w:rFonts w:ascii="Times New Roman" w:hAnsi="Times New Roman"/>
          <w:color w:val="000000" w:themeColor="text1"/>
          <w:sz w:val="16"/>
          <w:szCs w:val="16"/>
        </w:rPr>
        <w:softHyphen/>
        <w:t>вости недостаточен;</w:t>
      </w:r>
    </w:p>
    <w:p w14:paraId="19DD6176" w14:textId="77777777" w:rsidR="00E92F20" w:rsidRPr="00A3026E" w:rsidRDefault="00E92F20" w:rsidP="00A3026E">
      <w:pPr>
        <w:tabs>
          <w:tab w:val="left" w:pos="404"/>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противокапотажный угол 23°50' явно недостаточен;</w:t>
      </w:r>
    </w:p>
    <w:p w14:paraId="5CF0B9B7" w14:textId="77777777" w:rsidR="00E92F20" w:rsidRPr="00A3026E" w:rsidRDefault="00E92F20" w:rsidP="00A3026E">
      <w:pPr>
        <w:tabs>
          <w:tab w:val="left" w:pos="3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стрелково-пушечное вооружение ра</w:t>
      </w:r>
      <w:r w:rsidRPr="00A3026E">
        <w:rPr>
          <w:rFonts w:ascii="Times New Roman" w:hAnsi="Times New Roman"/>
          <w:color w:val="000000" w:themeColor="text1"/>
          <w:sz w:val="16"/>
          <w:szCs w:val="16"/>
        </w:rPr>
        <w:softHyphen/>
        <w:t>ботало безотказно, но по составу недо</w:t>
      </w:r>
      <w:r w:rsidRPr="00A3026E">
        <w:rPr>
          <w:rFonts w:ascii="Times New Roman" w:hAnsi="Times New Roman"/>
          <w:color w:val="000000" w:themeColor="text1"/>
          <w:sz w:val="16"/>
          <w:szCs w:val="16"/>
        </w:rPr>
        <w:softHyphen/>
        <w:t>статочно - необходимо добавить два син</w:t>
      </w:r>
      <w:r w:rsidRPr="00A3026E">
        <w:rPr>
          <w:rFonts w:ascii="Times New Roman" w:hAnsi="Times New Roman"/>
          <w:color w:val="000000" w:themeColor="text1"/>
          <w:sz w:val="16"/>
          <w:szCs w:val="16"/>
        </w:rPr>
        <w:softHyphen/>
        <w:t>хронных ШКАС;</w:t>
      </w:r>
    </w:p>
    <w:p w14:paraId="1A11971F" w14:textId="77777777" w:rsidR="00E92F20" w:rsidRPr="00A3026E" w:rsidRDefault="00E92F20" w:rsidP="00A3026E">
      <w:pPr>
        <w:tabs>
          <w:tab w:val="left" w:pos="404"/>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ВМГ (перегрев масла) и шасси (не</w:t>
      </w:r>
      <w:r w:rsidRPr="00A3026E">
        <w:rPr>
          <w:rFonts w:ascii="Times New Roman" w:hAnsi="Times New Roman"/>
          <w:color w:val="000000" w:themeColor="text1"/>
          <w:sz w:val="16"/>
          <w:szCs w:val="16"/>
        </w:rPr>
        <w:softHyphen/>
        <w:t>уборка на режиме скороподъемности) остались недоведенными;</w:t>
      </w:r>
    </w:p>
    <w:p w14:paraId="2FDF3A7B" w14:textId="77777777" w:rsidR="00E92F20" w:rsidRPr="00A3026E" w:rsidRDefault="00E92F20" w:rsidP="00A3026E">
      <w:pPr>
        <w:tabs>
          <w:tab w:val="left" w:pos="40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спецоборудование осталось недове- денным (отсутствуют радио, ночные поса</w:t>
      </w:r>
      <w:r w:rsidRPr="00A3026E">
        <w:rPr>
          <w:rFonts w:ascii="Times New Roman" w:hAnsi="Times New Roman"/>
          <w:color w:val="000000" w:themeColor="text1"/>
          <w:sz w:val="16"/>
          <w:szCs w:val="16"/>
        </w:rPr>
        <w:softHyphen/>
        <w:t>дочные средства, генератор, бензиномер, вариометр и др.).</w:t>
      </w:r>
    </w:p>
    <w:p w14:paraId="21D35FB2" w14:textId="77777777" w:rsidR="00E92F20" w:rsidRPr="00A3026E" w:rsidRDefault="00E92F2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НИИ ВВС:</w:t>
      </w:r>
    </w:p>
    <w:p w14:paraId="450AEF6E" w14:textId="77777777" w:rsidR="00E92F20" w:rsidRPr="00A3026E" w:rsidRDefault="00E92F20" w:rsidP="00A3026E">
      <w:pPr>
        <w:tabs>
          <w:tab w:val="left" w:pos="414"/>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госиспытания прошел удовлетвори</w:t>
      </w:r>
      <w:r w:rsidRPr="00A3026E">
        <w:rPr>
          <w:rFonts w:ascii="Times New Roman" w:hAnsi="Times New Roman"/>
          <w:color w:val="000000" w:themeColor="text1"/>
          <w:sz w:val="16"/>
          <w:szCs w:val="16"/>
        </w:rPr>
        <w:softHyphen/>
        <w:t>тельно;</w:t>
      </w:r>
    </w:p>
    <w:p w14:paraId="4F90188A" w14:textId="77777777" w:rsidR="00E92F20" w:rsidRPr="00A3026E" w:rsidRDefault="00E92F20" w:rsidP="00A3026E">
      <w:pPr>
        <w:tabs>
          <w:tab w:val="left" w:pos="414"/>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недоведенность самолета (ВМГ, шасси, пневмосистема) и несоответствие спецоборудования ТТТ снижают летные, эксплуатационные и боевые качества са</w:t>
      </w:r>
      <w:r w:rsidRPr="00A3026E">
        <w:rPr>
          <w:rFonts w:ascii="Times New Roman" w:hAnsi="Times New Roman"/>
          <w:color w:val="000000" w:themeColor="text1"/>
          <w:sz w:val="16"/>
          <w:szCs w:val="16"/>
        </w:rPr>
        <w:softHyphen/>
        <w:t>молета;</w:t>
      </w:r>
    </w:p>
    <w:p w14:paraId="660A4E35" w14:textId="77777777" w:rsidR="00E92F20" w:rsidRPr="00A3026E" w:rsidRDefault="00E92F20" w:rsidP="00A3026E">
      <w:pPr>
        <w:tabs>
          <w:tab w:val="left" w:pos="3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просить Наркома Шахурина обязать главного конструктора Яковлева устра</w:t>
      </w:r>
      <w:r w:rsidRPr="00A3026E">
        <w:rPr>
          <w:rFonts w:ascii="Times New Roman" w:hAnsi="Times New Roman"/>
          <w:color w:val="000000" w:themeColor="text1"/>
          <w:sz w:val="16"/>
          <w:szCs w:val="16"/>
        </w:rPr>
        <w:softHyphen/>
        <w:t>нить отмеченные дефекты (19740).</w:t>
      </w:r>
    </w:p>
    <w:p w14:paraId="34672C8F" w14:textId="77777777" w:rsidR="00E92F20" w:rsidRPr="00A3026E" w:rsidRDefault="00E92F20" w:rsidP="00A3026E">
      <w:pPr>
        <w:spacing w:after="0" w:line="240" w:lineRule="auto"/>
        <w:jc w:val="both"/>
        <w:rPr>
          <w:rFonts w:ascii="Times New Roman" w:hAnsi="Times New Roman"/>
          <w:color w:val="000000" w:themeColor="text1"/>
          <w:sz w:val="16"/>
          <w:szCs w:val="16"/>
        </w:rPr>
      </w:pPr>
    </w:p>
    <w:p w14:paraId="752533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13 октября по 12 ноября 1940 И-26-3 проходил гос. испытания в НИИ ВВС бригадой. Помимо ведущих летчиков в испытаниях участвовали и летчики облета (65,23).</w:t>
      </w:r>
    </w:p>
    <w:p w14:paraId="2F3989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была доведенная машина (173,319).</w:t>
      </w:r>
    </w:p>
    <w:p w14:paraId="4D6F90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Прочность довели до 107%, стала лучше работать уборка шасси, кабину оборудовали вентиляцией, нормально работало вооружение. Однако, масло перегревалось и вес вырос на 100 кг (1204).</w:t>
      </w:r>
    </w:p>
    <w:p w14:paraId="4BFD72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 есть был отчет о гос. испытаниях и решение техсовета НИИ ВВС в присутствии члена техсовета зам. начальника вооружения и снабжения ВВС, а также представителей ОКБ. Формулировали решение и требования к ОКБ, заводам, а также требования, без которых военная приемка не должна была принимать самолет и задачи по доработке уже имеющихся машин в частях.</w:t>
      </w:r>
    </w:p>
    <w:p w14:paraId="551E08B0" w14:textId="77777777" w:rsidR="00C66762" w:rsidRPr="00A3026E" w:rsidRDefault="00C66762" w:rsidP="00A3026E">
      <w:pPr>
        <w:pStyle w:val="22"/>
        <w:widowControl/>
        <w:rPr>
          <w:color w:val="000000" w:themeColor="text1"/>
        </w:rPr>
      </w:pPr>
      <w:r w:rsidRPr="00A3026E">
        <w:rPr>
          <w:color w:val="000000" w:themeColor="text1"/>
        </w:rPr>
        <w:t>12 октября 1940 года начальник ГУ ВВС генерал-лейтенант авиации Рычагов утвердил:</w:t>
      </w:r>
    </w:p>
    <w:p w14:paraId="7C403BA0" w14:textId="77777777" w:rsidR="00C66762" w:rsidRPr="00A3026E" w:rsidRDefault="00C66762" w:rsidP="00A3026E">
      <w:pPr>
        <w:pStyle w:val="22"/>
        <w:widowControl/>
        <w:rPr>
          <w:color w:val="000000" w:themeColor="text1"/>
        </w:rPr>
      </w:pPr>
      <w:r w:rsidRPr="00A3026E">
        <w:rPr>
          <w:color w:val="000000" w:themeColor="text1"/>
        </w:rPr>
        <w:t>Отчет по госиспытаниям опытного самолета УТИ-26 с мотором М-105П, конструкции инженера Яковлева постройки завода № 115</w:t>
      </w:r>
    </w:p>
    <w:p w14:paraId="473C5459" w14:textId="77777777" w:rsidR="00C66762" w:rsidRPr="00A3026E" w:rsidRDefault="00C66762" w:rsidP="00A3026E">
      <w:pPr>
        <w:pStyle w:val="22"/>
        <w:widowControl/>
        <w:rPr>
          <w:color w:val="000000" w:themeColor="text1"/>
        </w:rPr>
      </w:pPr>
      <w:r w:rsidRPr="00A3026E">
        <w:rPr>
          <w:color w:val="000000" w:themeColor="text1"/>
        </w:rPr>
        <w:t>Отв. исполнители:</w:t>
      </w:r>
    </w:p>
    <w:p w14:paraId="707CB179" w14:textId="77777777" w:rsidR="00C66762" w:rsidRPr="00A3026E" w:rsidRDefault="00C66762" w:rsidP="00A3026E">
      <w:pPr>
        <w:pStyle w:val="22"/>
        <w:widowControl/>
        <w:rPr>
          <w:color w:val="000000" w:themeColor="text1"/>
        </w:rPr>
      </w:pPr>
      <w:r w:rsidRPr="00A3026E">
        <w:rPr>
          <w:color w:val="000000" w:themeColor="text1"/>
        </w:rPr>
        <w:t>Начальник 1 отделения 1 отдела НИИ в/инженер 1 ранга Воеводин</w:t>
      </w:r>
    </w:p>
    <w:p w14:paraId="7AB1524F" w14:textId="77777777" w:rsidR="00C66762" w:rsidRPr="00A3026E" w:rsidRDefault="00C66762" w:rsidP="00A3026E">
      <w:pPr>
        <w:pStyle w:val="22"/>
        <w:widowControl/>
        <w:rPr>
          <w:color w:val="000000" w:themeColor="text1"/>
        </w:rPr>
      </w:pPr>
      <w:r w:rsidRPr="00A3026E">
        <w:rPr>
          <w:color w:val="000000" w:themeColor="text1"/>
        </w:rPr>
        <w:t>Вед. инженер в/инженер 3 ранга Степанец</w:t>
      </w:r>
    </w:p>
    <w:p w14:paraId="7FAF9B81" w14:textId="77777777" w:rsidR="00C66762" w:rsidRPr="00A3026E" w:rsidRDefault="00C66762" w:rsidP="00A3026E">
      <w:pPr>
        <w:pStyle w:val="22"/>
        <w:widowControl/>
        <w:rPr>
          <w:color w:val="000000" w:themeColor="text1"/>
        </w:rPr>
      </w:pPr>
      <w:r w:rsidRPr="00A3026E">
        <w:rPr>
          <w:color w:val="000000" w:themeColor="text1"/>
        </w:rPr>
        <w:t>Вед. летчики:</w:t>
      </w:r>
    </w:p>
    <w:p w14:paraId="0EED98FB" w14:textId="77777777" w:rsidR="00C66762" w:rsidRPr="00A3026E" w:rsidRDefault="00C66762" w:rsidP="00A3026E">
      <w:pPr>
        <w:pStyle w:val="22"/>
        <w:widowControl/>
        <w:rPr>
          <w:color w:val="000000" w:themeColor="text1"/>
        </w:rPr>
      </w:pPr>
      <w:r w:rsidRPr="00A3026E">
        <w:rPr>
          <w:color w:val="000000" w:themeColor="text1"/>
        </w:rPr>
        <w:t>подполковник Стефановский</w:t>
      </w:r>
    </w:p>
    <w:p w14:paraId="4C128510" w14:textId="77777777" w:rsidR="00C66762" w:rsidRPr="00A3026E" w:rsidRDefault="00C66762" w:rsidP="00A3026E">
      <w:pPr>
        <w:pStyle w:val="22"/>
        <w:widowControl/>
        <w:rPr>
          <w:color w:val="000000" w:themeColor="text1"/>
        </w:rPr>
      </w:pPr>
      <w:r w:rsidRPr="00A3026E">
        <w:rPr>
          <w:color w:val="000000" w:themeColor="text1"/>
        </w:rPr>
        <w:t>ст. лейтенант Кубышкин</w:t>
      </w:r>
    </w:p>
    <w:p w14:paraId="7D879345" w14:textId="77777777" w:rsidR="00C66762" w:rsidRPr="00A3026E" w:rsidRDefault="00C66762" w:rsidP="00A3026E">
      <w:pPr>
        <w:pStyle w:val="22"/>
        <w:widowControl/>
        <w:rPr>
          <w:color w:val="000000" w:themeColor="text1"/>
        </w:rPr>
      </w:pPr>
      <w:r w:rsidRPr="00A3026E">
        <w:rPr>
          <w:color w:val="000000" w:themeColor="text1"/>
        </w:rPr>
        <w:t>Учебно-тренировочный истребитель УТИ-26 конструкции инженера Яковлева предназначен для тренировки и вывозки летчиков при переходе их на современный скоростной истребитель.</w:t>
      </w:r>
    </w:p>
    <w:p w14:paraId="5529C3D0" w14:textId="77777777" w:rsidR="00C66762" w:rsidRPr="00A3026E" w:rsidRDefault="00C66762" w:rsidP="00A3026E">
      <w:pPr>
        <w:pStyle w:val="22"/>
        <w:widowControl/>
        <w:rPr>
          <w:color w:val="000000" w:themeColor="text1"/>
        </w:rPr>
      </w:pPr>
      <w:r w:rsidRPr="00A3026E">
        <w:rPr>
          <w:color w:val="000000" w:themeColor="text1"/>
        </w:rPr>
        <w:t>УТИ-26 – свободнонесущий низкокрылый двухместный моноплан смешанной конструкции с убирающимися шасси и хвостовым колесом.</w:t>
      </w:r>
    </w:p>
    <w:p w14:paraId="3E49E53E" w14:textId="77777777" w:rsidR="00C66762" w:rsidRPr="00A3026E" w:rsidRDefault="00C66762" w:rsidP="00A3026E">
      <w:pPr>
        <w:pStyle w:val="22"/>
        <w:widowControl/>
        <w:rPr>
          <w:color w:val="000000" w:themeColor="text1"/>
        </w:rPr>
      </w:pPr>
      <w:r w:rsidRPr="00A3026E">
        <w:rPr>
          <w:color w:val="000000" w:themeColor="text1"/>
        </w:rPr>
        <w:t>На самолете установлен мотор водяного охлаждения М-105П мощностью 1050 л.с. на высоте 4000 м с металлическим трехлопастным винтом ВИШ-61П.</w:t>
      </w:r>
    </w:p>
    <w:p w14:paraId="33EC5DD5" w14:textId="77777777" w:rsidR="00C66762" w:rsidRPr="00A3026E" w:rsidRDefault="00C66762" w:rsidP="00A3026E">
      <w:pPr>
        <w:pStyle w:val="22"/>
        <w:widowControl/>
        <w:rPr>
          <w:color w:val="000000" w:themeColor="text1"/>
        </w:rPr>
      </w:pPr>
      <w:r w:rsidRPr="00A3026E">
        <w:rPr>
          <w:color w:val="000000" w:themeColor="text1"/>
        </w:rPr>
        <w:t>Вооружение самолета состоит из двух синхронных пулеметов с запасом патрон на каждый пулемет по 500 штук.</w:t>
      </w:r>
    </w:p>
    <w:p w14:paraId="0DD873D9" w14:textId="77777777" w:rsidR="00C66762" w:rsidRPr="00A3026E" w:rsidRDefault="00C66762" w:rsidP="00A3026E">
      <w:pPr>
        <w:pStyle w:val="22"/>
        <w:widowControl/>
        <w:rPr>
          <w:color w:val="000000" w:themeColor="text1"/>
        </w:rPr>
      </w:pPr>
      <w:r w:rsidRPr="00A3026E">
        <w:rPr>
          <w:color w:val="000000" w:themeColor="text1"/>
        </w:rPr>
        <w:t>Самолет спроектирован и построен на безе самолета И-26, вследствие чего конструкция их имеет много общего.</w:t>
      </w:r>
    </w:p>
    <w:p w14:paraId="43E0F98A" w14:textId="77777777" w:rsidR="00C66762" w:rsidRPr="00A3026E" w:rsidRDefault="00C66762" w:rsidP="00A3026E">
      <w:pPr>
        <w:pStyle w:val="22"/>
        <w:widowControl/>
        <w:rPr>
          <w:color w:val="000000" w:themeColor="text1"/>
        </w:rPr>
      </w:pPr>
      <w:r w:rsidRPr="00A3026E">
        <w:rPr>
          <w:color w:val="000000" w:themeColor="text1"/>
        </w:rPr>
        <w:t>Отличие самолета УТИ-26 от самолета И-26 обусловлено в основном наличием на самолете УТИ-26 второй кабины.</w:t>
      </w:r>
    </w:p>
    <w:p w14:paraId="28D1F555" w14:textId="77777777" w:rsidR="00C66762" w:rsidRPr="00A3026E" w:rsidRDefault="00C66762" w:rsidP="00A3026E">
      <w:pPr>
        <w:pStyle w:val="22"/>
        <w:widowControl/>
        <w:rPr>
          <w:color w:val="000000" w:themeColor="text1"/>
        </w:rPr>
      </w:pPr>
      <w:r w:rsidRPr="00A3026E">
        <w:rPr>
          <w:color w:val="000000" w:themeColor="text1"/>
        </w:rPr>
        <w:t>Самолет поступил на госиспытания 28 августа 1940 года</w:t>
      </w:r>
    </w:p>
    <w:p w14:paraId="19BD7B53" w14:textId="77777777" w:rsidR="00C66762" w:rsidRPr="00A3026E" w:rsidRDefault="00C66762" w:rsidP="00A3026E">
      <w:pPr>
        <w:pStyle w:val="22"/>
        <w:widowControl/>
        <w:rPr>
          <w:color w:val="000000" w:themeColor="text1"/>
        </w:rPr>
      </w:pPr>
      <w:r w:rsidRPr="00A3026E">
        <w:rPr>
          <w:color w:val="000000" w:themeColor="text1"/>
        </w:rPr>
        <w:t>Временно снят с госиспытаний для проведения ремонта после его поломки – 30 августа 1940 года</w:t>
      </w:r>
    </w:p>
    <w:p w14:paraId="1530D088" w14:textId="77777777" w:rsidR="00C66762" w:rsidRPr="00A3026E" w:rsidRDefault="00C66762" w:rsidP="00A3026E">
      <w:pPr>
        <w:pStyle w:val="22"/>
        <w:widowControl/>
        <w:rPr>
          <w:color w:val="000000" w:themeColor="text1"/>
        </w:rPr>
      </w:pPr>
      <w:r w:rsidRPr="00A3026E">
        <w:rPr>
          <w:color w:val="000000" w:themeColor="text1"/>
        </w:rPr>
        <w:t>Поступил для продолжения госиспытаний 11 сентября 1940 года</w:t>
      </w:r>
    </w:p>
    <w:p w14:paraId="0CBCBFC9" w14:textId="77777777" w:rsidR="00C66762" w:rsidRPr="00A3026E" w:rsidRDefault="00C66762" w:rsidP="00A3026E">
      <w:pPr>
        <w:pStyle w:val="22"/>
        <w:widowControl/>
        <w:rPr>
          <w:color w:val="000000" w:themeColor="text1"/>
        </w:rPr>
      </w:pPr>
      <w:r w:rsidRPr="00A3026E">
        <w:rPr>
          <w:color w:val="000000" w:themeColor="text1"/>
        </w:rPr>
        <w:t>Закончил госиспытания 19 сентября 1940 года</w:t>
      </w:r>
    </w:p>
    <w:p w14:paraId="40163559" w14:textId="77777777" w:rsidR="00C66762" w:rsidRPr="00A3026E" w:rsidRDefault="00C66762" w:rsidP="00A3026E">
      <w:pPr>
        <w:pStyle w:val="22"/>
        <w:widowControl/>
        <w:rPr>
          <w:color w:val="000000" w:themeColor="text1"/>
        </w:rPr>
      </w:pPr>
      <w:r w:rsidRPr="00A3026E">
        <w:rPr>
          <w:color w:val="000000" w:themeColor="text1"/>
        </w:rPr>
        <w:t>Итого самолет испытан за 10 дней, из них летных – 5 дней</w:t>
      </w:r>
    </w:p>
    <w:p w14:paraId="2F095B12" w14:textId="77777777" w:rsidR="00C66762" w:rsidRPr="00A3026E" w:rsidRDefault="00C66762" w:rsidP="00A3026E">
      <w:pPr>
        <w:pStyle w:val="22"/>
        <w:widowControl/>
        <w:rPr>
          <w:color w:val="000000" w:themeColor="text1"/>
        </w:rPr>
      </w:pPr>
      <w:r w:rsidRPr="00A3026E">
        <w:rPr>
          <w:color w:val="000000" w:themeColor="text1"/>
        </w:rPr>
        <w:t>Цель испытания</w:t>
      </w:r>
    </w:p>
    <w:p w14:paraId="14F77CCF" w14:textId="77777777" w:rsidR="00C66762" w:rsidRPr="00A3026E" w:rsidRDefault="00C66762" w:rsidP="00A3026E">
      <w:pPr>
        <w:pStyle w:val="22"/>
        <w:widowControl/>
        <w:rPr>
          <w:color w:val="000000" w:themeColor="text1"/>
        </w:rPr>
      </w:pPr>
      <w:r w:rsidRPr="00A3026E">
        <w:rPr>
          <w:color w:val="000000" w:themeColor="text1"/>
        </w:rPr>
        <w:t>Выявить соответствие данных самолета УТИ-26, предназначенного для работы в условиях авиашкол и строевых частей, требованиям ВВС к такого типа самолету, особенно в отношении его пилотажных, взлетно-посадочных и эксплуатационных свойств.</w:t>
      </w:r>
    </w:p>
    <w:p w14:paraId="757BDEAC" w14:textId="77777777" w:rsidR="00C66762" w:rsidRPr="00A3026E" w:rsidRDefault="00C66762" w:rsidP="00A3026E">
      <w:pPr>
        <w:pStyle w:val="22"/>
        <w:widowControl/>
        <w:rPr>
          <w:color w:val="000000" w:themeColor="text1"/>
        </w:rPr>
      </w:pPr>
      <w:r w:rsidRPr="00A3026E">
        <w:rPr>
          <w:color w:val="000000" w:themeColor="text1"/>
        </w:rPr>
        <w:t>Заключение</w:t>
      </w:r>
    </w:p>
    <w:p w14:paraId="2C1A65A5" w14:textId="77777777" w:rsidR="00C66762" w:rsidRPr="00A3026E" w:rsidRDefault="00C66762" w:rsidP="00A3026E">
      <w:pPr>
        <w:pStyle w:val="22"/>
        <w:widowControl/>
        <w:tabs>
          <w:tab w:val="left" w:pos="360"/>
        </w:tabs>
        <w:rPr>
          <w:color w:val="000000" w:themeColor="text1"/>
        </w:rPr>
      </w:pPr>
      <w:r w:rsidRPr="00A3026E">
        <w:rPr>
          <w:color w:val="000000" w:themeColor="text1"/>
        </w:rPr>
        <w:t>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госиспытания удовлетворительно (7759).</w:t>
      </w:r>
    </w:p>
    <w:p w14:paraId="0BBA39D8" w14:textId="77777777" w:rsidR="00C66762" w:rsidRPr="00A3026E" w:rsidRDefault="00C66762" w:rsidP="00A3026E">
      <w:pPr>
        <w:pStyle w:val="22"/>
        <w:widowControl/>
        <w:tabs>
          <w:tab w:val="left" w:pos="360"/>
        </w:tabs>
        <w:rPr>
          <w:color w:val="000000" w:themeColor="text1"/>
        </w:rPr>
      </w:pPr>
    </w:p>
    <w:p w14:paraId="0249D1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октября 1940 в ходе гос. испытаний И-26-3 П.М.Стефановский выполнил первый и второй полеты (3417,3).</w:t>
      </w:r>
    </w:p>
    <w:p w14:paraId="64EBD1D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5DF15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13 октября 1940 начались испытания И-26 на пикирование, штопор, отстрел вооружения, устойчивость и пилотаж и закончились 12 ноября. Судя по материалам испытаний, определение максимальной скорости не производилось, но увеличение полетного веса по сравнению с И-26-11 на 110 кг позволяет предположить ее уменьшение на 2-5 км/ч. Процесс испытаний еше более ускорился. За месяц было выполнено 23 полета, несмотря на перерыв для подготовки и участия самолета в параде 7 ноября.</w:t>
      </w:r>
    </w:p>
    <w:p w14:paraId="1A5831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Вот небольшая часть хроники испытаний:</w:t>
      </w:r>
    </w:p>
    <w:p w14:paraId="4460D2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октября - выполнено два полета на сложный пилотаж.</w:t>
      </w:r>
    </w:p>
    <w:p w14:paraId="5169A5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 П.М. Стефановский выполнил полет на штопор и пикирование.</w:t>
      </w:r>
    </w:p>
    <w:p w14:paraId="5D0519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16 по 24 октября - доведено вооружение. </w:t>
      </w:r>
    </w:p>
    <w:p w14:paraId="27A7FE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 при выводе из пикирования с углом 46-50° на приборной скорости 570 км/ч деформировались щиток стойки шасси и каркас подвижной части фонаря кабины, которые тут же были сняты и отправлены на завод для усиления.</w:t>
      </w:r>
    </w:p>
    <w:p w14:paraId="72C849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стал заметно лучше. Прочность носков крыла была доведена до 107 %, кабина пилота оборудована вентиляцией, конструкция вооружения изменена, шасси усилено и устранены другие более мелкие недостатки. А в отношении ВМ Г (перегрев масла при работе мотора на номинальных оборотах, неравномерная выработка горючего) и шасси (невозможность уборки его после взлета на скорости 250 км/ч, соответствующей максимальной скороподъемности) самолет остался недоведенным.</w:t>
      </w:r>
    </w:p>
    <w:p w14:paraId="08AD05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результатам государственных испытаний утвердили 9 декабря 1940 г. В нем отмечалось, что "самолет И-26-III с мотором М-105П и винтом ВИШ-61 конструкции тов. Яковлева прошел государственные испытания удовлетворительно, но недове- денность конструкции самолета (шасси, воздушная система), ВМГ (перегрев масла, плохая работа карбюраторов на оборотах мотора 1600-1900 об/мин), а также несоответствие специального оборудования ТТТ ВВС КА (отсутствуют радиооборудование, ночные посадочные средства, генератор, бензиномер) снижают летные, эксплуатационные и боевые качества машины".</w:t>
      </w:r>
    </w:p>
    <w:p w14:paraId="70B49B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не обладал такой большой максимальной скоростью, как И-200, таким мошным вооружением, как И-301 (табл. I, с. 24), но выгодно отличался от них тем, что раньше вышел на стадию испытаний. Соответственно, весь цикл доводки и внедрения в серию у него проходил с опережением. Кроме того, если сравнить все опытные истребители этого периода, то можно сделать вывод, что истребители И-21 конструктора М.М. Пашинина и И-330 П.О. Сухого с аналогичным мотором и вооружением вышли на испытания значительно позже (И-21 - в декабре 1940 г., а И-ЗЗО - летом 1941 г.). Причем, И-21 имел несколько худшие летные данные и проблемы с устойчивостью, а на И-330, обладавшем лучшими данными, чем И-26, был установлен турбокомпрессор, на доводку которого требовалось время. Все другие конкурсные истребители (как и предусматривалось ТТТ) не имели пушки. Машины И-28 конструктора В.П. Яценко, И-180 Н.Н. Поликарпова. ИС-1 В.В. Никитина, И-207 № 3 А.А. Боровкова и И.Ф. Флорова уступали И-26 в скорости. САМ-13 С.А. Москалева, СК-2 М.Р. Бисновата, И-185 Н.Н. Поликарпова, превосходившие истребитель Яковлева в скорости, появились на испытаниях гораздо позже. При этом опытные САМ-13 и СК-2 испытывались без вооружения. Правда, по указанию А.С. Яковлева, как заместителя наркома по опытному самолетостроению, на самолет СК-2 установили два синхронных пулемета БС с боекомплектом по 200 патронов на пулемет и прицел ПАН-23. Импровизированную стрелковую установку разместили по бортам самолета и закрыли специальными обтекателями, но перед летными испытаниями ее демонтировали (позже, по материалам испытаний, было признано нецелесообразным передавать машину СК-2 на государственные испытания из-за невозможности ее и O.K. Антонов. использования в качестве истребителя).</w:t>
      </w:r>
    </w:p>
    <w:p w14:paraId="5BBD82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Архив Г. Петрова Процесс доводки многих опытных истребителей затянулся до начала войны, а потери, понесенные авиацией в первые дни войны, и эвакуация заводов сократили сроки внедрения опытных машин в серию с шести до трех месяцев и сделали невозможным их серийный выпуск.</w:t>
      </w:r>
    </w:p>
    <w:p w14:paraId="104305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Проектирование и изготовление опытных И-26 обошлось в 5.948 тысяч рублей. Перерасход был небольшим. На два прототипа было выделено пять миллионов рублей (в том числе два - в качестве премиального фонда). Дополнительные средства были изысканы за счет снятия из задания ОКБ третьей опытной машины Р-12 (обозначение ВВС разведывательного самолета № 22). </w:t>
      </w:r>
    </w:p>
    <w:p w14:paraId="7643F7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 1. Сравнительные характеристики опытных истребителей плана постройки 1939-1940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983732" w:rsidRPr="00A3026E" w14:paraId="411C98BB" w14:textId="77777777" w:rsidTr="00EA0DA7">
        <w:tc>
          <w:tcPr>
            <w:tcW w:w="1245" w:type="dxa"/>
            <w:tcBorders>
              <w:top w:val="single" w:sz="12" w:space="0" w:color="auto"/>
            </w:tcBorders>
          </w:tcPr>
          <w:p w14:paraId="287CAC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Истребители</w:t>
            </w:r>
          </w:p>
        </w:tc>
        <w:tc>
          <w:tcPr>
            <w:tcW w:w="1245" w:type="dxa"/>
            <w:tcBorders>
              <w:top w:val="single" w:sz="12" w:space="0" w:color="auto"/>
            </w:tcBorders>
          </w:tcPr>
          <w:p w14:paraId="51E026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И-21</w:t>
            </w:r>
          </w:p>
        </w:tc>
        <w:tc>
          <w:tcPr>
            <w:tcW w:w="1245" w:type="dxa"/>
            <w:tcBorders>
              <w:top w:val="single" w:sz="12" w:space="0" w:color="auto"/>
            </w:tcBorders>
          </w:tcPr>
          <w:p w14:paraId="1F40C1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w:t>
            </w:r>
          </w:p>
        </w:tc>
        <w:tc>
          <w:tcPr>
            <w:tcW w:w="1245" w:type="dxa"/>
            <w:tcBorders>
              <w:top w:val="single" w:sz="12" w:space="0" w:color="auto"/>
            </w:tcBorders>
          </w:tcPr>
          <w:p w14:paraId="125DB8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И-28</w:t>
            </w:r>
          </w:p>
        </w:tc>
        <w:tc>
          <w:tcPr>
            <w:tcW w:w="1245" w:type="dxa"/>
            <w:tcBorders>
              <w:top w:val="single" w:sz="12" w:space="0" w:color="auto"/>
            </w:tcBorders>
          </w:tcPr>
          <w:p w14:paraId="3080F6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И-180-3</w:t>
            </w:r>
          </w:p>
        </w:tc>
        <w:tc>
          <w:tcPr>
            <w:tcW w:w="1245" w:type="dxa"/>
            <w:tcBorders>
              <w:top w:val="single" w:sz="12" w:space="0" w:color="auto"/>
            </w:tcBorders>
          </w:tcPr>
          <w:p w14:paraId="5E7E13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w:t>
            </w:r>
          </w:p>
        </w:tc>
        <w:tc>
          <w:tcPr>
            <w:tcW w:w="1245" w:type="dxa"/>
            <w:tcBorders>
              <w:top w:val="single" w:sz="12" w:space="0" w:color="auto"/>
            </w:tcBorders>
          </w:tcPr>
          <w:p w14:paraId="25C77E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И-270 №3</w:t>
            </w:r>
          </w:p>
        </w:tc>
        <w:tc>
          <w:tcPr>
            <w:tcW w:w="1245" w:type="dxa"/>
            <w:tcBorders>
              <w:top w:val="single" w:sz="12" w:space="0" w:color="auto"/>
            </w:tcBorders>
          </w:tcPr>
          <w:p w14:paraId="713A49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w:t>
            </w:r>
          </w:p>
        </w:tc>
        <w:tc>
          <w:tcPr>
            <w:tcW w:w="1245" w:type="dxa"/>
            <w:tcBorders>
              <w:top w:val="single" w:sz="12" w:space="0" w:color="auto"/>
            </w:tcBorders>
          </w:tcPr>
          <w:p w14:paraId="641628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И-330</w:t>
            </w:r>
          </w:p>
        </w:tc>
      </w:tr>
      <w:tr w:rsidR="00983732" w:rsidRPr="00A3026E" w14:paraId="2DECAD93" w14:textId="77777777" w:rsidTr="00EA0DA7">
        <w:tc>
          <w:tcPr>
            <w:tcW w:w="1245" w:type="dxa"/>
          </w:tcPr>
          <w:p w14:paraId="011C1C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мотора</w:t>
            </w:r>
          </w:p>
        </w:tc>
        <w:tc>
          <w:tcPr>
            <w:tcW w:w="1245" w:type="dxa"/>
          </w:tcPr>
          <w:p w14:paraId="2E896F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245" w:type="dxa"/>
          </w:tcPr>
          <w:p w14:paraId="69981C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245" w:type="dxa"/>
          </w:tcPr>
          <w:p w14:paraId="0B776B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c>
          <w:tcPr>
            <w:tcW w:w="1245" w:type="dxa"/>
          </w:tcPr>
          <w:p w14:paraId="7F65FB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c>
          <w:tcPr>
            <w:tcW w:w="1245" w:type="dxa"/>
          </w:tcPr>
          <w:p w14:paraId="0664D0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w:t>
            </w:r>
          </w:p>
        </w:tc>
        <w:tc>
          <w:tcPr>
            <w:tcW w:w="1245" w:type="dxa"/>
          </w:tcPr>
          <w:p w14:paraId="6493D1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c>
          <w:tcPr>
            <w:tcW w:w="1245" w:type="dxa"/>
          </w:tcPr>
          <w:p w14:paraId="15C8A7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245" w:type="dxa"/>
          </w:tcPr>
          <w:p w14:paraId="4DD2E0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 с ТК</w:t>
            </w:r>
          </w:p>
        </w:tc>
      </w:tr>
      <w:tr w:rsidR="00983732" w:rsidRPr="00A3026E" w14:paraId="1B644185" w14:textId="77777777" w:rsidTr="00EA0DA7">
        <w:tc>
          <w:tcPr>
            <w:tcW w:w="1245" w:type="dxa"/>
          </w:tcPr>
          <w:p w14:paraId="6BCBAF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л.с.</w:t>
            </w:r>
          </w:p>
        </w:tc>
        <w:tc>
          <w:tcPr>
            <w:tcW w:w="1245" w:type="dxa"/>
          </w:tcPr>
          <w:p w14:paraId="001C80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1245" w:type="dxa"/>
          </w:tcPr>
          <w:p w14:paraId="607CD1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1245" w:type="dxa"/>
          </w:tcPr>
          <w:p w14:paraId="2F6DD2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245" w:type="dxa"/>
          </w:tcPr>
          <w:p w14:paraId="231EE5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245" w:type="dxa"/>
          </w:tcPr>
          <w:p w14:paraId="734FB2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1245" w:type="dxa"/>
          </w:tcPr>
          <w:p w14:paraId="538D6D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w:t>
            </w:r>
          </w:p>
        </w:tc>
        <w:tc>
          <w:tcPr>
            <w:tcW w:w="1245" w:type="dxa"/>
          </w:tcPr>
          <w:p w14:paraId="73A9D2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1245" w:type="dxa"/>
          </w:tcPr>
          <w:p w14:paraId="54FA24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r>
      <w:tr w:rsidR="00983732" w:rsidRPr="00A3026E" w14:paraId="11BC2CDD" w14:textId="77777777" w:rsidTr="00EA0DA7">
        <w:tc>
          <w:tcPr>
            <w:tcW w:w="1245" w:type="dxa"/>
          </w:tcPr>
          <w:p w14:paraId="703256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Взлетный вес, кг</w:t>
            </w:r>
          </w:p>
        </w:tc>
        <w:tc>
          <w:tcPr>
            <w:tcW w:w="1245" w:type="dxa"/>
          </w:tcPr>
          <w:p w14:paraId="564039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2754</w:t>
            </w:r>
          </w:p>
        </w:tc>
        <w:tc>
          <w:tcPr>
            <w:tcW w:w="1245" w:type="dxa"/>
          </w:tcPr>
          <w:p w14:paraId="78F054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2700</w:t>
            </w:r>
          </w:p>
        </w:tc>
        <w:tc>
          <w:tcPr>
            <w:tcW w:w="1245" w:type="dxa"/>
          </w:tcPr>
          <w:p w14:paraId="36D41E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2730</w:t>
            </w:r>
          </w:p>
        </w:tc>
        <w:tc>
          <w:tcPr>
            <w:tcW w:w="1245" w:type="dxa"/>
          </w:tcPr>
          <w:p w14:paraId="02B365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2424</w:t>
            </w:r>
          </w:p>
        </w:tc>
        <w:tc>
          <w:tcPr>
            <w:tcW w:w="1245" w:type="dxa"/>
          </w:tcPr>
          <w:p w14:paraId="3749E5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2988</w:t>
            </w:r>
          </w:p>
        </w:tc>
        <w:tc>
          <w:tcPr>
            <w:tcW w:w="1245" w:type="dxa"/>
          </w:tcPr>
          <w:p w14:paraId="290663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1879</w:t>
            </w:r>
          </w:p>
        </w:tc>
        <w:tc>
          <w:tcPr>
            <w:tcW w:w="1245" w:type="dxa"/>
          </w:tcPr>
          <w:p w14:paraId="751D81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2968</w:t>
            </w:r>
          </w:p>
        </w:tc>
        <w:tc>
          <w:tcPr>
            <w:tcW w:w="1245" w:type="dxa"/>
          </w:tcPr>
          <w:p w14:paraId="07EFB3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2875</w:t>
            </w:r>
          </w:p>
        </w:tc>
      </w:tr>
      <w:tr w:rsidR="00983732" w:rsidRPr="00A3026E" w14:paraId="2CE68FF7" w14:textId="77777777" w:rsidTr="00EA0DA7">
        <w:tc>
          <w:tcPr>
            <w:tcW w:w="1245" w:type="dxa"/>
          </w:tcPr>
          <w:p w14:paraId="7B11DD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у земли, км/ч</w:t>
            </w:r>
          </w:p>
        </w:tc>
        <w:tc>
          <w:tcPr>
            <w:tcW w:w="1245" w:type="dxa"/>
          </w:tcPr>
          <w:p w14:paraId="777987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488</w:t>
            </w:r>
          </w:p>
        </w:tc>
        <w:tc>
          <w:tcPr>
            <w:tcW w:w="1245" w:type="dxa"/>
          </w:tcPr>
          <w:p w14:paraId="0C5800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c>
          <w:tcPr>
            <w:tcW w:w="1245" w:type="dxa"/>
          </w:tcPr>
          <w:p w14:paraId="2719D3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439</w:t>
            </w:r>
          </w:p>
        </w:tc>
        <w:tc>
          <w:tcPr>
            <w:tcW w:w="1245" w:type="dxa"/>
          </w:tcPr>
          <w:p w14:paraId="24E4E9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456</w:t>
            </w:r>
          </w:p>
        </w:tc>
        <w:tc>
          <w:tcPr>
            <w:tcW w:w="1245" w:type="dxa"/>
          </w:tcPr>
          <w:p w14:paraId="7CF191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c>
          <w:tcPr>
            <w:tcW w:w="1245" w:type="dxa"/>
          </w:tcPr>
          <w:p w14:paraId="5A6819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427</w:t>
            </w:r>
          </w:p>
        </w:tc>
        <w:tc>
          <w:tcPr>
            <w:tcW w:w="1245" w:type="dxa"/>
          </w:tcPr>
          <w:p w14:paraId="669690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503</w:t>
            </w:r>
          </w:p>
        </w:tc>
        <w:tc>
          <w:tcPr>
            <w:tcW w:w="1245" w:type="dxa"/>
          </w:tcPr>
          <w:p w14:paraId="392A75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r>
      <w:tr w:rsidR="00983732" w:rsidRPr="00A3026E" w14:paraId="7C6C6720" w14:textId="77777777" w:rsidTr="00EA0DA7">
        <w:tc>
          <w:tcPr>
            <w:tcW w:w="1245" w:type="dxa"/>
          </w:tcPr>
          <w:p w14:paraId="242DBC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км/ч</w:t>
            </w:r>
          </w:p>
        </w:tc>
        <w:tc>
          <w:tcPr>
            <w:tcW w:w="1245" w:type="dxa"/>
          </w:tcPr>
          <w:p w14:paraId="099C45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573</w:t>
            </w:r>
          </w:p>
        </w:tc>
        <w:tc>
          <w:tcPr>
            <w:tcW w:w="1245" w:type="dxa"/>
          </w:tcPr>
          <w:p w14:paraId="4B2D01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585.5</w:t>
            </w:r>
          </w:p>
        </w:tc>
        <w:tc>
          <w:tcPr>
            <w:tcW w:w="1245" w:type="dxa"/>
          </w:tcPr>
          <w:p w14:paraId="189177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w:t>
            </w:r>
          </w:p>
        </w:tc>
        <w:tc>
          <w:tcPr>
            <w:tcW w:w="1245" w:type="dxa"/>
          </w:tcPr>
          <w:p w14:paraId="1FA256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245" w:type="dxa"/>
          </w:tcPr>
          <w:p w14:paraId="31EC70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636</w:t>
            </w:r>
          </w:p>
        </w:tc>
        <w:tc>
          <w:tcPr>
            <w:tcW w:w="1245" w:type="dxa"/>
          </w:tcPr>
          <w:p w14:paraId="56A59C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c>
          <w:tcPr>
            <w:tcW w:w="1245" w:type="dxa"/>
          </w:tcPr>
          <w:p w14:paraId="2A7749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w:t>
            </w:r>
          </w:p>
        </w:tc>
        <w:tc>
          <w:tcPr>
            <w:tcW w:w="1245" w:type="dxa"/>
          </w:tcPr>
          <w:p w14:paraId="3D40DD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641</w:t>
            </w:r>
          </w:p>
        </w:tc>
      </w:tr>
      <w:tr w:rsidR="00983732" w:rsidRPr="00A3026E" w14:paraId="64213832" w14:textId="77777777" w:rsidTr="00EA0DA7">
        <w:tc>
          <w:tcPr>
            <w:tcW w:w="1245" w:type="dxa"/>
          </w:tcPr>
          <w:p w14:paraId="65BD34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5000 м, мин</w:t>
            </w:r>
          </w:p>
        </w:tc>
        <w:tc>
          <w:tcPr>
            <w:tcW w:w="1245" w:type="dxa"/>
          </w:tcPr>
          <w:p w14:paraId="2682D9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245" w:type="dxa"/>
          </w:tcPr>
          <w:p w14:paraId="04E38F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245" w:type="dxa"/>
          </w:tcPr>
          <w:p w14:paraId="28F62A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245" w:type="dxa"/>
          </w:tcPr>
          <w:p w14:paraId="06B6DD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c>
          <w:tcPr>
            <w:tcW w:w="1245" w:type="dxa"/>
          </w:tcPr>
          <w:p w14:paraId="305D6A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w:t>
            </w:r>
          </w:p>
        </w:tc>
        <w:tc>
          <w:tcPr>
            <w:tcW w:w="1245" w:type="dxa"/>
          </w:tcPr>
          <w:p w14:paraId="0ACA63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w:t>
            </w:r>
          </w:p>
        </w:tc>
        <w:tc>
          <w:tcPr>
            <w:tcW w:w="1245" w:type="dxa"/>
          </w:tcPr>
          <w:p w14:paraId="11469A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w:t>
            </w:r>
          </w:p>
        </w:tc>
        <w:tc>
          <w:tcPr>
            <w:tcW w:w="1245" w:type="dxa"/>
          </w:tcPr>
          <w:p w14:paraId="5CB343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w:t>
            </w:r>
          </w:p>
        </w:tc>
      </w:tr>
      <w:tr w:rsidR="00983732" w:rsidRPr="00A3026E" w14:paraId="559B3393" w14:textId="77777777" w:rsidTr="00EA0DA7">
        <w:tc>
          <w:tcPr>
            <w:tcW w:w="1245" w:type="dxa"/>
          </w:tcPr>
          <w:p w14:paraId="6975BF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м</w:t>
            </w:r>
          </w:p>
        </w:tc>
        <w:tc>
          <w:tcPr>
            <w:tcW w:w="1245" w:type="dxa"/>
          </w:tcPr>
          <w:p w14:paraId="6540ED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10 600</w:t>
            </w:r>
          </w:p>
        </w:tc>
        <w:tc>
          <w:tcPr>
            <w:tcW w:w="1245" w:type="dxa"/>
          </w:tcPr>
          <w:p w14:paraId="06DB1A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10 200</w:t>
            </w:r>
          </w:p>
        </w:tc>
        <w:tc>
          <w:tcPr>
            <w:tcW w:w="1245" w:type="dxa"/>
          </w:tcPr>
          <w:p w14:paraId="1E824D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10 800</w:t>
            </w:r>
          </w:p>
        </w:tc>
        <w:tc>
          <w:tcPr>
            <w:tcW w:w="1245" w:type="dxa"/>
          </w:tcPr>
          <w:p w14:paraId="07E78B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10 250</w:t>
            </w:r>
          </w:p>
        </w:tc>
        <w:tc>
          <w:tcPr>
            <w:tcW w:w="1245" w:type="dxa"/>
          </w:tcPr>
          <w:p w14:paraId="58EEBB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12 000</w:t>
            </w:r>
          </w:p>
        </w:tc>
        <w:tc>
          <w:tcPr>
            <w:tcW w:w="1245" w:type="dxa"/>
          </w:tcPr>
          <w:p w14:paraId="599E68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10 200</w:t>
            </w:r>
          </w:p>
        </w:tc>
        <w:tc>
          <w:tcPr>
            <w:tcW w:w="1245" w:type="dxa"/>
          </w:tcPr>
          <w:p w14:paraId="2D14BF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9600</w:t>
            </w:r>
          </w:p>
        </w:tc>
        <w:tc>
          <w:tcPr>
            <w:tcW w:w="1245" w:type="dxa"/>
          </w:tcPr>
          <w:p w14:paraId="10061D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12 500*</w:t>
            </w:r>
          </w:p>
        </w:tc>
      </w:tr>
      <w:tr w:rsidR="00983732" w:rsidRPr="00A3026E" w14:paraId="018B0C33" w14:textId="77777777" w:rsidTr="00EA0DA7">
        <w:tc>
          <w:tcPr>
            <w:tcW w:w="1245" w:type="dxa"/>
          </w:tcPr>
          <w:p w14:paraId="3E1666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км</w:t>
            </w:r>
          </w:p>
        </w:tc>
        <w:tc>
          <w:tcPr>
            <w:tcW w:w="1245" w:type="dxa"/>
          </w:tcPr>
          <w:p w14:paraId="7C67C7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w:t>
            </w:r>
          </w:p>
        </w:tc>
        <w:tc>
          <w:tcPr>
            <w:tcW w:w="1245" w:type="dxa"/>
          </w:tcPr>
          <w:p w14:paraId="3450A8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1245" w:type="dxa"/>
          </w:tcPr>
          <w:p w14:paraId="154C80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1245" w:type="dxa"/>
          </w:tcPr>
          <w:p w14:paraId="32E2C1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1245" w:type="dxa"/>
          </w:tcPr>
          <w:p w14:paraId="4028CF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c>
          <w:tcPr>
            <w:tcW w:w="1245" w:type="dxa"/>
          </w:tcPr>
          <w:p w14:paraId="78A6F3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245" w:type="dxa"/>
          </w:tcPr>
          <w:p w14:paraId="37CB02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w:t>
            </w:r>
          </w:p>
        </w:tc>
        <w:tc>
          <w:tcPr>
            <w:tcW w:w="1245" w:type="dxa"/>
          </w:tcPr>
          <w:p w14:paraId="021883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w:t>
            </w:r>
          </w:p>
        </w:tc>
      </w:tr>
      <w:tr w:rsidR="00983732" w:rsidRPr="00A3026E" w14:paraId="7835DB13" w14:textId="77777777" w:rsidTr="00EA0DA7">
        <w:tc>
          <w:tcPr>
            <w:tcW w:w="1245" w:type="dxa"/>
          </w:tcPr>
          <w:p w14:paraId="4E5FAA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Запас топлива, кг</w:t>
            </w:r>
          </w:p>
        </w:tc>
        <w:tc>
          <w:tcPr>
            <w:tcW w:w="1245" w:type="dxa"/>
          </w:tcPr>
          <w:p w14:paraId="472AC2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w:t>
            </w:r>
          </w:p>
        </w:tc>
        <w:tc>
          <w:tcPr>
            <w:tcW w:w="1245" w:type="dxa"/>
          </w:tcPr>
          <w:p w14:paraId="4E8066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w:t>
            </w:r>
          </w:p>
        </w:tc>
        <w:tc>
          <w:tcPr>
            <w:tcW w:w="1245" w:type="dxa"/>
          </w:tcPr>
          <w:p w14:paraId="2EF58E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245" w:type="dxa"/>
          </w:tcPr>
          <w:p w14:paraId="1D68F3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1245" w:type="dxa"/>
          </w:tcPr>
          <w:p w14:paraId="5E566E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1245" w:type="dxa"/>
          </w:tcPr>
          <w:p w14:paraId="34CAD1C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63DDD2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280</w:t>
            </w:r>
          </w:p>
        </w:tc>
        <w:tc>
          <w:tcPr>
            <w:tcW w:w="1245" w:type="dxa"/>
          </w:tcPr>
          <w:p w14:paraId="4FCFF6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189ADACF" w14:textId="77777777" w:rsidTr="00EA0DA7">
        <w:tc>
          <w:tcPr>
            <w:tcW w:w="1245" w:type="dxa"/>
          </w:tcPr>
          <w:p w14:paraId="45225E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 кг</w:t>
            </w:r>
          </w:p>
        </w:tc>
        <w:tc>
          <w:tcPr>
            <w:tcW w:w="1245" w:type="dxa"/>
          </w:tcPr>
          <w:p w14:paraId="5290B6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14A726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6B8DAC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245" w:type="dxa"/>
          </w:tcPr>
          <w:p w14:paraId="350ECA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245" w:type="dxa"/>
          </w:tcPr>
          <w:p w14:paraId="13838D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1245" w:type="dxa"/>
          </w:tcPr>
          <w:p w14:paraId="38D252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245" w:type="dxa"/>
          </w:tcPr>
          <w:p w14:paraId="77A156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0384CC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4C276548" w14:textId="77777777" w:rsidTr="00EA0DA7">
        <w:tc>
          <w:tcPr>
            <w:tcW w:w="1245" w:type="dxa"/>
          </w:tcPr>
          <w:p w14:paraId="07C8EA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Пулеметы</w:t>
            </w:r>
          </w:p>
        </w:tc>
        <w:tc>
          <w:tcPr>
            <w:tcW w:w="1245" w:type="dxa"/>
          </w:tcPr>
          <w:p w14:paraId="41DCE0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51A31D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79BBA8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2x12.7</w:t>
            </w:r>
          </w:p>
        </w:tc>
        <w:tc>
          <w:tcPr>
            <w:tcW w:w="1245" w:type="dxa"/>
          </w:tcPr>
          <w:p w14:paraId="2F46A9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2x12.7</w:t>
            </w:r>
          </w:p>
        </w:tc>
        <w:tc>
          <w:tcPr>
            <w:tcW w:w="1245" w:type="dxa"/>
          </w:tcPr>
          <w:p w14:paraId="44E400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1x12.7</w:t>
            </w:r>
          </w:p>
        </w:tc>
        <w:tc>
          <w:tcPr>
            <w:tcW w:w="1245" w:type="dxa"/>
          </w:tcPr>
          <w:p w14:paraId="79F082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4x7.62</w:t>
            </w:r>
          </w:p>
        </w:tc>
        <w:tc>
          <w:tcPr>
            <w:tcW w:w="1245" w:type="dxa"/>
          </w:tcPr>
          <w:p w14:paraId="1AD3F7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1x12.7</w:t>
            </w:r>
          </w:p>
        </w:tc>
        <w:tc>
          <w:tcPr>
            <w:tcW w:w="1245" w:type="dxa"/>
          </w:tcPr>
          <w:p w14:paraId="50C90D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o 2x7.62</w:t>
            </w:r>
          </w:p>
        </w:tc>
      </w:tr>
      <w:tr w:rsidR="00983732" w:rsidRPr="00A3026E" w14:paraId="44C929B6" w14:textId="77777777" w:rsidTr="00EA0DA7">
        <w:tc>
          <w:tcPr>
            <w:tcW w:w="1245" w:type="dxa"/>
          </w:tcPr>
          <w:p w14:paraId="1E65597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3127048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40E65D8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609EE8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4B53C6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67E097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2E1F8E6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0BA75EB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2EE93CA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A112B29" w14:textId="77777777" w:rsidTr="00EA0DA7">
        <w:tc>
          <w:tcPr>
            <w:tcW w:w="1245" w:type="dxa"/>
          </w:tcPr>
          <w:p w14:paraId="745210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Боекомплект пулеметов, патр.</w:t>
            </w:r>
          </w:p>
        </w:tc>
        <w:tc>
          <w:tcPr>
            <w:tcW w:w="1245" w:type="dxa"/>
          </w:tcPr>
          <w:p w14:paraId="0B5B28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245" w:type="dxa"/>
          </w:tcPr>
          <w:p w14:paraId="4323AC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w:t>
            </w:r>
          </w:p>
        </w:tc>
        <w:tc>
          <w:tcPr>
            <w:tcW w:w="1245" w:type="dxa"/>
          </w:tcPr>
          <w:p w14:paraId="4AAF3C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245" w:type="dxa"/>
          </w:tcPr>
          <w:p w14:paraId="3FADDA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c>
          <w:tcPr>
            <w:tcW w:w="1245" w:type="dxa"/>
          </w:tcPr>
          <w:p w14:paraId="0B91C3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245" w:type="dxa"/>
          </w:tcPr>
          <w:p w14:paraId="71F42C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2200</w:t>
            </w:r>
          </w:p>
        </w:tc>
        <w:tc>
          <w:tcPr>
            <w:tcW w:w="1245" w:type="dxa"/>
          </w:tcPr>
          <w:p w14:paraId="3F5EEA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w:t>
            </w:r>
          </w:p>
        </w:tc>
        <w:tc>
          <w:tcPr>
            <w:tcW w:w="1245" w:type="dxa"/>
          </w:tcPr>
          <w:p w14:paraId="37516E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w:t>
            </w:r>
          </w:p>
        </w:tc>
      </w:tr>
      <w:tr w:rsidR="00983732" w:rsidRPr="00A3026E" w14:paraId="7E59176E" w14:textId="77777777" w:rsidTr="00EA0DA7">
        <w:tc>
          <w:tcPr>
            <w:tcW w:w="1245" w:type="dxa"/>
          </w:tcPr>
          <w:p w14:paraId="0FB1A51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2D16BA4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5BF5BAC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7D0AE4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1245" w:type="dxa"/>
          </w:tcPr>
          <w:p w14:paraId="25DF2B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245" w:type="dxa"/>
          </w:tcPr>
          <w:p w14:paraId="7D8EA8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1245" w:type="dxa"/>
          </w:tcPr>
          <w:p w14:paraId="64F49E9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1775BE2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1B0DE00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4E906AF" w14:textId="77777777" w:rsidTr="00EA0DA7">
        <w:tc>
          <w:tcPr>
            <w:tcW w:w="1245" w:type="dxa"/>
          </w:tcPr>
          <w:p w14:paraId="3AE4C6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Пушки</w:t>
            </w:r>
          </w:p>
        </w:tc>
        <w:tc>
          <w:tcPr>
            <w:tcW w:w="1245" w:type="dxa"/>
          </w:tcPr>
          <w:p w14:paraId="759E34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1x20</w:t>
            </w:r>
          </w:p>
        </w:tc>
        <w:tc>
          <w:tcPr>
            <w:tcW w:w="1245" w:type="dxa"/>
          </w:tcPr>
          <w:p w14:paraId="515B41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1x20</w:t>
            </w:r>
          </w:p>
        </w:tc>
        <w:tc>
          <w:tcPr>
            <w:tcW w:w="1245" w:type="dxa"/>
          </w:tcPr>
          <w:p w14:paraId="34E262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6BE402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253E8A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6B5569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46B8B6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1x23</w:t>
            </w:r>
          </w:p>
        </w:tc>
        <w:tc>
          <w:tcPr>
            <w:tcW w:w="1245" w:type="dxa"/>
          </w:tcPr>
          <w:p w14:paraId="374248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1x20</w:t>
            </w:r>
          </w:p>
        </w:tc>
      </w:tr>
      <w:tr w:rsidR="00983732" w:rsidRPr="00A3026E" w14:paraId="06FB39EB" w14:textId="77777777" w:rsidTr="00EA0DA7">
        <w:tc>
          <w:tcPr>
            <w:tcW w:w="1245" w:type="dxa"/>
          </w:tcPr>
          <w:p w14:paraId="7AB211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Боекомплект пушек, снарядов</w:t>
            </w:r>
          </w:p>
        </w:tc>
        <w:tc>
          <w:tcPr>
            <w:tcW w:w="1245" w:type="dxa"/>
          </w:tcPr>
          <w:p w14:paraId="1C65E3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tc>
        <w:tc>
          <w:tcPr>
            <w:tcW w:w="1245" w:type="dxa"/>
          </w:tcPr>
          <w:p w14:paraId="0BC8EC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1245" w:type="dxa"/>
          </w:tcPr>
          <w:p w14:paraId="3622B2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6C17FC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6F36A9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1F0FA9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36ECFF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tc>
        <w:tc>
          <w:tcPr>
            <w:tcW w:w="1245" w:type="dxa"/>
          </w:tcPr>
          <w:p w14:paraId="3D231C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7EA98120" w14:textId="77777777" w:rsidTr="00EA0DA7">
        <w:tc>
          <w:tcPr>
            <w:tcW w:w="1245" w:type="dxa"/>
            <w:tcBorders>
              <w:bottom w:val="single" w:sz="12" w:space="0" w:color="auto"/>
            </w:tcBorders>
          </w:tcPr>
          <w:p w14:paraId="6EE99F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Дата первого полета</w:t>
            </w:r>
          </w:p>
        </w:tc>
        <w:tc>
          <w:tcPr>
            <w:tcW w:w="1245" w:type="dxa"/>
            <w:tcBorders>
              <w:bottom w:val="single" w:sz="12" w:space="0" w:color="auto"/>
            </w:tcBorders>
          </w:tcPr>
          <w:p w14:paraId="139D79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11.7.40</w:t>
            </w:r>
          </w:p>
        </w:tc>
        <w:tc>
          <w:tcPr>
            <w:tcW w:w="1245" w:type="dxa"/>
            <w:tcBorders>
              <w:bottom w:val="single" w:sz="12" w:space="0" w:color="auto"/>
            </w:tcBorders>
          </w:tcPr>
          <w:p w14:paraId="1B5A05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13.1.40</w:t>
            </w:r>
          </w:p>
        </w:tc>
        <w:tc>
          <w:tcPr>
            <w:tcW w:w="1245" w:type="dxa"/>
            <w:tcBorders>
              <w:bottom w:val="single" w:sz="12" w:space="0" w:color="auto"/>
            </w:tcBorders>
          </w:tcPr>
          <w:p w14:paraId="6797D2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10.6.39</w:t>
            </w:r>
          </w:p>
        </w:tc>
        <w:tc>
          <w:tcPr>
            <w:tcW w:w="1245" w:type="dxa"/>
            <w:tcBorders>
              <w:bottom w:val="single" w:sz="12" w:space="0" w:color="auto"/>
            </w:tcBorders>
          </w:tcPr>
          <w:p w14:paraId="466401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10.2.40</w:t>
            </w:r>
          </w:p>
        </w:tc>
        <w:tc>
          <w:tcPr>
            <w:tcW w:w="1245" w:type="dxa"/>
            <w:tcBorders>
              <w:bottom w:val="single" w:sz="12" w:space="0" w:color="auto"/>
            </w:tcBorders>
          </w:tcPr>
          <w:p w14:paraId="059FD4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5.4.40</w:t>
            </w:r>
          </w:p>
        </w:tc>
        <w:tc>
          <w:tcPr>
            <w:tcW w:w="1245" w:type="dxa"/>
            <w:tcBorders>
              <w:bottom w:val="single" w:sz="12" w:space="0" w:color="auto"/>
            </w:tcBorders>
          </w:tcPr>
          <w:p w14:paraId="5FA38B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23.4.40</w:t>
            </w:r>
          </w:p>
        </w:tc>
        <w:tc>
          <w:tcPr>
            <w:tcW w:w="1245" w:type="dxa"/>
            <w:tcBorders>
              <w:bottom w:val="single" w:sz="12" w:space="0" w:color="auto"/>
            </w:tcBorders>
          </w:tcPr>
          <w:p w14:paraId="20257D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31.3.40</w:t>
            </w:r>
          </w:p>
        </w:tc>
        <w:tc>
          <w:tcPr>
            <w:tcW w:w="1245" w:type="dxa"/>
            <w:tcBorders>
              <w:bottom w:val="single" w:sz="12" w:space="0" w:color="auto"/>
            </w:tcBorders>
          </w:tcPr>
          <w:p w14:paraId="594672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15.6.40</w:t>
            </w:r>
          </w:p>
        </w:tc>
      </w:tr>
    </w:tbl>
    <w:p w14:paraId="47CBB0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 расчетные данные (12048).</w:t>
      </w:r>
    </w:p>
    <w:p w14:paraId="6C43914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72A83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октября 1940 года на НИП АВ ВВС закончились заводские испытания выливного авиационного прибора (ВАП-500у) с уширенной хвостовой частью конструкции завода № 145 на самолетах "СБ" и "ДБ-3", которые проходили с 11 сентября 1940.</w:t>
      </w:r>
    </w:p>
    <w:p w14:paraId="351026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 в/инженер 3 ранга Лукашев</w:t>
      </w:r>
    </w:p>
    <w:p w14:paraId="47AFFE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45B6AA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влияние уширенной хвостовой части прибора ВАП-500у на дробление жидкости и забрызгивания ссамолета в момент опорожнения приборов.</w:t>
      </w:r>
    </w:p>
    <w:p w14:paraId="0BBA22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7EBF71E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Предъявленные заводом № 145 приборы ВАП-500у с уширенной хвостовой частью и с жалюзами в обтекателе замка заводские испытания выдержали (7613).</w:t>
      </w:r>
    </w:p>
    <w:p w14:paraId="118136D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25215EB9"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октября 1939 закончились испытания катапульты ЗК-1 Кировского завода, установленной на крейсере Максим Горький, для старта КОР-1 и работы шли с 8 октября 1939. С.А.Коровицкий выполнил 11 стартов (2555,86).</w:t>
      </w:r>
    </w:p>
    <w:p w14:paraId="0C3BB4C7"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p>
    <w:p w14:paraId="6992FA67" w14:textId="77777777" w:rsidR="00E92F20" w:rsidRPr="00A3026E" w:rsidRDefault="00E92F20"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69D1F87" w14:textId="77777777" w:rsidR="00E92F20" w:rsidRPr="00A3026E" w:rsidRDefault="00E92F20" w:rsidP="00A3026E">
      <w:pPr>
        <w:spacing w:after="0" w:line="240" w:lineRule="auto"/>
        <w:jc w:val="both"/>
        <w:rPr>
          <w:rFonts w:ascii="Times New Roman" w:hAnsi="Times New Roman"/>
          <w:iCs/>
          <w:color w:val="000000" w:themeColor="text1"/>
          <w:sz w:val="16"/>
          <w:szCs w:val="16"/>
        </w:rPr>
      </w:pPr>
    </w:p>
    <w:p w14:paraId="14CF5D48" w14:textId="77777777" w:rsidR="00E92F20" w:rsidRPr="00A3026E" w:rsidRDefault="00E92F2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13 октября по 13 ноября 1940 г., одновременно с испытанием на танке А-34 № 311-11-3 дизеля М-250 проходил испытания первый комплект разрезных дисков трения. За время испытаний танком А-34 было пройдено 2476 км, на всем протяжении которых опытный главный фрикцион работал удовлетворительно.</w:t>
      </w:r>
    </w:p>
    <w:p w14:paraId="723A4176" w14:textId="77777777" w:rsidR="00E92F20" w:rsidRPr="00A3026E" w:rsidRDefault="00E92F2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тем, что 15 ноября 1940 г. танк А-34 № 311-11-3 был отправлен в капитальный ремонт, опытный главный фрикцион с комплектом разрезных дисков трения был с него демонтирован и в последующем установлен в танк Т-34 № 312-25 для проведения специальных испытаний (18533).</w:t>
      </w:r>
    </w:p>
    <w:p w14:paraId="3FEE2F72" w14:textId="77777777" w:rsidR="00E92F20" w:rsidRPr="00A3026E" w:rsidRDefault="00E92F20" w:rsidP="00A3026E">
      <w:pPr>
        <w:spacing w:after="0" w:line="240" w:lineRule="auto"/>
        <w:jc w:val="both"/>
        <w:rPr>
          <w:rFonts w:ascii="Times New Roman" w:hAnsi="Times New Roman"/>
          <w:color w:val="000000" w:themeColor="text1"/>
          <w:sz w:val="16"/>
          <w:szCs w:val="16"/>
        </w:rPr>
      </w:pPr>
    </w:p>
    <w:p w14:paraId="2F9F11B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04766EA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E7F8463"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13 октября 1940 г. Риббентроп-Сталину: Я буду счастлив снова лично прибыть в Москву, чтобы совместно с Вами, мой дорогой господин Сталин, подвести итог обмену мнениями и обсудить... С наилучшими пожеланиями, преданный Вам, Риббентроп (9712).</w:t>
      </w:r>
    </w:p>
    <w:p w14:paraId="0D0698A5" w14:textId="77777777" w:rsidR="00C66762" w:rsidRPr="00A3026E" w:rsidRDefault="00C66762" w:rsidP="00A3026E">
      <w:pPr>
        <w:pStyle w:val="a8"/>
        <w:widowControl/>
        <w:jc w:val="both"/>
        <w:rPr>
          <w:rFonts w:ascii="Times New Roman" w:hAnsi="Times New Roman" w:cs="Times New Roman"/>
          <w:color w:val="000000" w:themeColor="text1"/>
        </w:rPr>
      </w:pPr>
    </w:p>
    <w:p w14:paraId="511A9AC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04B09DE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6A6B0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октября 1940 в своем первом в жизни радиообращении 14-летняя принцесса Елизавета (ныне королева Англии) пожелала спокойной ночи английским детям в США и Канаде (4962).</w:t>
      </w:r>
    </w:p>
    <w:p w14:paraId="43CA91E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D4BF1A8"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7582905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CE889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года вышел приказ НИИ ВВС № 0233</w:t>
      </w:r>
    </w:p>
    <w:p w14:paraId="6FF9D92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Специальные 50-часовые летные испытания опытного мотора АМ-35А на опытном самолете И-200, винта 22Е, винтомоторной группы и снятие расходов топлива (6890, 151).</w:t>
      </w:r>
    </w:p>
    <w:p w14:paraId="5F0D7D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38CA0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было подписано заключение по проекту ДИС МиГ с 2хАМ-37 (990,3).</w:t>
      </w:r>
    </w:p>
    <w:p w14:paraId="64F465C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BAFAAF" w14:textId="77777777" w:rsidR="00303EB6" w:rsidRPr="00A3026E" w:rsidRDefault="00303EB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 октября 1940</w:t>
      </w:r>
    </w:p>
    <w:p w14:paraId="492FD0BC" w14:textId="77777777" w:rsidR="00303EB6" w:rsidRPr="00A3026E" w:rsidRDefault="00303EB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1028. Решения ПБ за 27 сентября — 28 октября 1940 г.</w:t>
      </w:r>
    </w:p>
    <w:p w14:paraId="4A6788E0" w14:textId="77777777" w:rsidR="00303EB6" w:rsidRPr="00A3026E" w:rsidRDefault="00303EB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(протокол № 21)</w:t>
      </w:r>
    </w:p>
    <w:p w14:paraId="00FAC548" w14:textId="77777777" w:rsidR="00303EB6" w:rsidRPr="00A3026E" w:rsidRDefault="00303EB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14.Х.40 г.</w:t>
      </w:r>
    </w:p>
    <w:p w14:paraId="2F6F0EB5" w14:textId="77777777" w:rsidR="00303EB6" w:rsidRPr="00A3026E" w:rsidRDefault="00303EB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212.</w:t>
      </w:r>
      <w:r w:rsidRPr="00A3026E">
        <w:rPr>
          <w:rFonts w:ascii="Times New Roman" w:hAnsi="Times New Roman"/>
          <w:color w:val="0070C0"/>
          <w:sz w:val="16"/>
          <w:szCs w:val="16"/>
        </w:rPr>
        <w:tab/>
        <w:t>О производстве авиамоторов М-500 (постановление СНК СССР и</w:t>
      </w:r>
    </w:p>
    <w:p w14:paraId="52940E65" w14:textId="77777777" w:rsidR="00303EB6" w:rsidRPr="00A3026E" w:rsidRDefault="00303EB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ЦК ВКП(б)). — ОП (20920).</w:t>
      </w:r>
    </w:p>
    <w:p w14:paraId="14F91977" w14:textId="77777777" w:rsidR="00303EB6" w:rsidRPr="00A3026E" w:rsidRDefault="00303EB6" w:rsidP="00A3026E">
      <w:pPr>
        <w:spacing w:after="0" w:line="240" w:lineRule="auto"/>
        <w:jc w:val="both"/>
        <w:rPr>
          <w:rFonts w:ascii="Times New Roman" w:hAnsi="Times New Roman"/>
          <w:color w:val="0070C0"/>
          <w:sz w:val="16"/>
          <w:szCs w:val="16"/>
        </w:rPr>
      </w:pPr>
    </w:p>
    <w:p w14:paraId="0EF20C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вышел приказ НКАП N 541сс в исполнение постановления Правительства об организации производства боевых самолетов на Украине" (1312,64).</w:t>
      </w:r>
    </w:p>
    <w:p w14:paraId="76E643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Нач. ПГУ организовать:</w:t>
      </w:r>
    </w:p>
    <w:p w14:paraId="7ABD2A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Киеве производство двухмоторных самолетов на мощность 1200 в год со сроком ввода в 3 кв. 1941</w:t>
      </w:r>
    </w:p>
    <w:p w14:paraId="460399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Харькове производство двухмоторных самолетов на мощность 1200 в год со сроком ввода в 3 кв. 1941</w:t>
      </w:r>
    </w:p>
    <w:p w14:paraId="13128D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 Днепропетровске производство двухмоторных самолетов на мощность 1200 в год со сроком ввода в 1 кв. 1942</w:t>
      </w:r>
    </w:p>
    <w:p w14:paraId="49BA91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Начальнику 3 ГУ организовать в Днепропетровске производство моторов типа АМ-35А и АМ-37 на мощность 3000 в год со сроком ввода в 2 кв. 1942</w:t>
      </w:r>
    </w:p>
    <w:p w14:paraId="157665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Начальнику 2 ГУ</w:t>
      </w:r>
    </w:p>
    <w:p w14:paraId="7A0E24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Киеве организовать производство авиационного стрелкового и бомбардировочного вооружения, химического вооружения</w:t>
      </w:r>
    </w:p>
    <w:p w14:paraId="0B9602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Харькове - шасси</w:t>
      </w:r>
    </w:p>
    <w:p w14:paraId="14F5D4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 Запорожье - шасси</w:t>
      </w:r>
    </w:p>
    <w:p w14:paraId="35EEB9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Начальнику 5 ГУ - в Полтаве - моторных агрегатов (1312,64).</w:t>
      </w:r>
    </w:p>
    <w:p w14:paraId="22415E3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0C735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вышел приказ НКАП N 549с/051 о передаче в систему 3 ГУ завода ВСП-1 в Ленинграде (1647,28).</w:t>
      </w:r>
    </w:p>
    <w:p w14:paraId="355E1B1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6423C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г. в системе ЗГУ НКАП на базе нескольких гражданских предприятий образовался и начал строиться по приказу № 540сс ГС Завод № 451 НКАП /г. Ленинград/для выпуска авиамоторов. По приказу № 584с от 24.10.1940 г. получил наименование ГС завод № 451 НКАП. Освоено производство М-105, с начала 1941 г. Велась подготовка к выпуску М-107. Также выпускалось оборудование освещения «Луч» для НКБ.</w:t>
      </w:r>
    </w:p>
    <w:p w14:paraId="661385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приказам № 652сс от 9.07.1941 г. и № 729сс от 22.07.1941 г. завод эвакуирован в Уфу на площадку завода № 384 НКАП и по приказу № 824сс от 8.08.1941 г. влит в его состав.</w:t>
      </w:r>
    </w:p>
    <w:p w14:paraId="15F70E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(10.1940-41 г.-)- М. Г. Масальский.</w:t>
      </w:r>
    </w:p>
    <w:p w14:paraId="41FE7D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СКО (11.1940 г.-)- И.А. Мужилов.</w:t>
      </w:r>
    </w:p>
    <w:p w14:paraId="5B18BA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завода № 451 НКАП /г. Ленинград ст. Саперная/</w:t>
      </w:r>
    </w:p>
    <w:p w14:paraId="5EC5F2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 приказу № 658с/01435/13 от 23.11.1940 г. Механический завод Главрыбсудстроя НКРП был передан в подчинение вновь образованному заводу № 451 в качестве филиала.</w:t>
      </w:r>
    </w:p>
    <w:p w14:paraId="6AE3AB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 2 завода № 451 НКАП /г. Ленинград/</w:t>
      </w:r>
    </w:p>
    <w:p w14:paraId="3B4756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687с/069 от 25.11.1940 г. завод военно-стрелковых приборов № 1 Осоавиахима был передан в подчинение вновь образованному заводу № 451 в качестве филиала № 2 (11982).</w:t>
      </w:r>
    </w:p>
    <w:p w14:paraId="3AC8777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79BCF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г. пр. № 541сс в соответствии с пост, правительства от 17.08.1940 г. Паровозно-ремонтный завод «Промпаровоз» (старая площадка завода «Днепромаш») передан из НКТМ в НКАП и получил наименование ГС завод № 452 (ГС Завод № 452 НКАП, Паровозно-ремонтный завод «Промпаровоз» /г. Днепропетровск/). Введен в эксплуатацию в том же году для производства моторов АМ-35А. В 03.1941 г. заводу передана часть движимого имущества законсервированного строительства завода № 335 НКАП.</w:t>
      </w:r>
    </w:p>
    <w:p w14:paraId="6F78D3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782сс от 1.08.1941 г. завод № 452 ЗГУ НКАП со всем оборудованием и личным составом эвакуирован в Куйбышев и влит в состав завода № 337. Выбыл из числа действующих с 09.1941 г.</w:t>
      </w:r>
    </w:p>
    <w:p w14:paraId="09649B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площадке завода № 452 в Днепропетровске в 1943 г. вновь образован завод № 486 НКАП.</w:t>
      </w:r>
    </w:p>
    <w:p w14:paraId="73B246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(10.1940 г.-)- А.Х. Пивоварчук, М.Л. Кононенко.</w:t>
      </w:r>
    </w:p>
    <w:p w14:paraId="1942AC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(10.1940 г.-)- М.С. Банделетов.</w:t>
      </w:r>
    </w:p>
    <w:p w14:paraId="2DD29D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(10.1940 г.-)- М.С. Банделетов.</w:t>
      </w:r>
    </w:p>
    <w:p w14:paraId="03FE4D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СКО (11.1940 г.-)- А.И. Башкин (11982).</w:t>
      </w:r>
    </w:p>
    <w:p w14:paraId="4DE550C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159EB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г. приказами № 541сс, № 551сс/261сс от 15.10.1940 г. и № 650с от 19.11.1940 г. завод № 8 (ГС Завод № 454 НКАП, МАП, Куйбышевский завод аэродромного оборудования, АООТ, ОАО «Старт», ЗАО «Завод аэродромного оборудования» /г. Киев;  г. Куйбышев ст. Безымянка (1953 г.)/ /443022  г. Самара Заводское ш., 14 тел. 992-07-62/), созданный в 1931, был передан в состав 2ГУ НКАП и получил наименование ГС завод № 454. Началась организация производства установок авиационного стрелкового и бомбардировочного вооружения. В помощь новому заводу туда переведена группа работников с завода № 32. Окончание строительства планировалось на 1942 г.</w:t>
      </w:r>
    </w:p>
    <w:p w14:paraId="21AD0A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Правительства № П-34/153 от 29.07.1941 г. завод № 454 эвакуирован в Куйбышев (ст. Безымянка) на территорию мастерских артели «Ход» Обллеспромхоза. При эвакуации по приказу № 1109сс от 11.11.1941 г. в состав завода № 454 в Куйбышеве влита часть завода № 487 НКАП (-30%).</w:t>
      </w:r>
    </w:p>
    <w:p w14:paraId="06742C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07.1943 г. на завод передано с завода № 165 НКАП производство лафетов для пушки «ВЯ».</w:t>
      </w:r>
    </w:p>
    <w:p w14:paraId="31ECDD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площадке эвакуированного завода № 454 в Киеве в начале 1944 г. организованы Ремонтные мастерские, а затем на их базе- Завод № 483 НКАП.</w:t>
      </w:r>
    </w:p>
    <w:p w14:paraId="66EC5B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263 от 18.07.1945 г. в состав завода № 454 НКАП 2ГУ влит завод № 53 НКАП.</w:t>
      </w:r>
    </w:p>
    <w:p w14:paraId="147BA0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1952 г. началось освоение производства средств наземного обслуживания самолетов. С 07.1952 г. завод передан из 2ГУ в 1ГУ, с 1.01.1953 г. передан из 1ГУ в 10ГУ. В соответствии с пост. СМ СССР № 713-342 от 26.06.1957 г. передан в ведение СНХ РСФСР.</w:t>
      </w:r>
    </w:p>
    <w:p w14:paraId="65D710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конце 1990-х - начале 2000-х  г. «Старт» - ведущее предприятие России по проектированию, производству и ремонту средств наземного обслуживания </w:t>
      </w:r>
      <w:r w:rsidRPr="00A3026E">
        <w:rPr>
          <w:rFonts w:ascii="Times New Roman" w:hAnsi="Times New Roman"/>
          <w:color w:val="000000" w:themeColor="text1"/>
          <w:sz w:val="16"/>
          <w:szCs w:val="16"/>
          <w:lang w:val="en-US"/>
        </w:rPr>
        <w:t>J</w:t>
      </w: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 xml:space="preserve"> (гидроподъемники, домкраты, передвижные контрольно- ремонтные лаборатории и мастерские; оборудование по обеспечению систем </w:t>
      </w:r>
      <w:r w:rsidRPr="00A3026E">
        <w:rPr>
          <w:rFonts w:ascii="Times New Roman" w:hAnsi="Times New Roman"/>
          <w:color w:val="000000" w:themeColor="text1"/>
          <w:sz w:val="16"/>
          <w:szCs w:val="16"/>
          <w:lang w:val="en-US"/>
        </w:rPr>
        <w:t>JIA</w:t>
      </w:r>
      <w:r w:rsidRPr="00A3026E">
        <w:rPr>
          <w:rFonts w:ascii="Times New Roman" w:hAnsi="Times New Roman"/>
          <w:color w:val="000000" w:themeColor="text1"/>
          <w:sz w:val="16"/>
          <w:szCs w:val="16"/>
        </w:rPr>
        <w:t xml:space="preserve"> электроэнергией, газами и жидкостями; стремянки, самоходные площадки обслуживания, тележки кабельные, средства управления ракетной техникой, средства буксировки и удержания самолетов).</w:t>
      </w:r>
    </w:p>
    <w:p w14:paraId="069A62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(2000-е  г.): освоение производства самоходной площадки СПО-18 и установки для нанесния противообледенительного покрытия на крыло самолетов.</w:t>
      </w:r>
    </w:p>
    <w:p w14:paraId="6BCB19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01.2003 г. начата процедура банкротства ОАО «Старт». В ходе реструктуризации производственные мощности выделены в отдельное предприятие- ЗАО «Завод аэродромного оборудования», образованного в 2002 г.</w:t>
      </w:r>
    </w:p>
    <w:p w14:paraId="69991F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(10.1940-06.1945 г.-)- МЛ. Горелик, И.С. Фишман. Гендиректор (1989-98 г.)- В.И. Доронин, (2002 г.)- В.П. Бондаренко, (2003 г.)- А. Митлин, (2006 г.)- С.В. Невесенко.</w:t>
      </w:r>
    </w:p>
    <w:p w14:paraId="324C62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(11.1940 г.-)- В.И. Муратов.</w:t>
      </w:r>
    </w:p>
    <w:p w14:paraId="37699C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(11.1940 г.-)- В.И. Муратов, (-1987 г.)- В.И. Доронин.</w:t>
      </w:r>
    </w:p>
    <w:p w14:paraId="69A053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(11.1941 г.-)- И.П. Шебанов.</w:t>
      </w:r>
    </w:p>
    <w:p w14:paraId="46A8C8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Коммерческий директор (2002 г.)- С.В. Невесенко, (-2004-06 г.-)- И.А. Обухов. Технический директор (2002 г.)- А.М. Митлин.</w:t>
      </w:r>
      <w:r w:rsidRPr="00A3026E">
        <w:rPr>
          <w:rFonts w:ascii="Times New Roman" w:hAnsi="Times New Roman"/>
          <w:color w:val="000000" w:themeColor="text1"/>
          <w:sz w:val="16"/>
          <w:szCs w:val="16"/>
          <w:vertAlign w:val="superscript"/>
        </w:rPr>
        <w:t>69</w:t>
      </w:r>
    </w:p>
    <w:p w14:paraId="540E95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коммерческого директора: по маркетингу (2002 г.)- О.А. Чернышов; по сбыту (2004 г.)- А.И. Копылов.</w:t>
      </w:r>
    </w:p>
    <w:p w14:paraId="4E8D0A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(ВОВ) пулеметные установки: Тур-ТАТ, ТУМ-3, КЭБ, НЭБ, УТК-1, ШАУ-К; ракетное оружие РО-82, балки для РС-82; замки МД-3-40, Дер-21, балки к ФАБ-25 для самолета У-2, крыльевые стрелковые установки для У-2, лафеты для «ВЯ» (1943-); лебедки БЛ-4; свеклоуборочные машины (1950-е); универсальная подвижная гидроустановка УПГ-100, заправщик спецжидкостями «Садко» (2004).</w:t>
      </w:r>
    </w:p>
    <w:p w14:paraId="13E667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 завода № 454 НКАП гл. конструктора И.П. Шебанова, ОКБ-454 НКАП</w:t>
      </w:r>
    </w:p>
    <w:p w14:paraId="0916A6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территорию завода № 454 в Куйбышев эвакуировано с завода № 487 НКАП КБ гл. конструктора И.П. Шебанова. По приказу № 1306/106к от 20.11.1941 г. И.П. Шебанов назначен гл. конструктором завода № 454.</w:t>
      </w:r>
    </w:p>
    <w:p w14:paraId="4510BE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КБ продолжены работы по пулеметным установкам для самолетов: Тур-ТАТ, ТУМ-3, КЭБ, НЭБ, УТК-1, ШАУ-К, опытная УБШ под пулемет УБТ для Ил-2 (03.1943 г.) и др.</w:t>
      </w:r>
    </w:p>
    <w:p w14:paraId="2E5AD4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375с от 14.05.1942 г. образован филиал ОКБ завода № 454 НКАП при филиале завода № 481 на площадях, ранее занимаемых ОКБ-487. Для этого из Куйбышева переведена группа сотрудников ОКБ завода № 454 (25 чел., начальник филиала- В.И. Ермилов).</w:t>
      </w:r>
    </w:p>
    <w:p w14:paraId="6DA09E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272с от 6.05.1943 г. ОКБ-454 НКАП переведено из Куйбышева на завод № 487 НКАГ1 в Москву, и на его базе вновь образовалось ОКБ-487 НКАП.</w:t>
      </w:r>
    </w:p>
    <w:p w14:paraId="45F2F2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(11.1941 г.-)- И.П. Шебанов.</w:t>
      </w:r>
    </w:p>
    <w:p w14:paraId="143D2C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гл. конструктора (1942 г.)- В.И. Ермилов (11982).</w:t>
      </w:r>
    </w:p>
    <w:p w14:paraId="09E6B82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33417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г. приказами № 541сс и № 551сс/261сс от 15 октября 1940 г. в соответствии с пост, правительства от 17.08.1940 г. Завод им. Артема (ГС Завод № 455 ИМ. Артема НКАП, АО «Днепровский машиностроительный завод в Киеве», Днепровский машиностроительный завод «Венглинский, Ольшанский и К°», Завод «Млошевский и К</w:t>
      </w:r>
      <w:r w:rsidRPr="00A3026E">
        <w:rPr>
          <w:rFonts w:ascii="Times New Roman" w:hAnsi="Times New Roman"/>
          <w:color w:val="000000" w:themeColor="text1"/>
          <w:sz w:val="16"/>
          <w:szCs w:val="16"/>
          <w:vertAlign w:val="superscript"/>
        </w:rPr>
        <w:t>0</w:t>
      </w:r>
      <w:r w:rsidRPr="00A3026E">
        <w:rPr>
          <w:rFonts w:ascii="Times New Roman" w:hAnsi="Times New Roman"/>
          <w:color w:val="000000" w:themeColor="text1"/>
          <w:sz w:val="16"/>
          <w:szCs w:val="16"/>
        </w:rPr>
        <w:t>», Машиностроительный завод им. Артема, Завод им. Артема НКОМ /г. Киев/) передан в ведение 2ГУ НКАП. По приказу № 649с от 19.11.1940 г. завод получил наименование ГС завод № 455 им. Артема. Для укрепления производства на завод переведена группа ИТР и рабочих с завода № 145 НКАП.</w:t>
      </w:r>
    </w:p>
    <w:p w14:paraId="307B0B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началом войны начато производство агрегатов бомбардировочного химвооружения (выливные авиационные приборы ВАП-200, ампульно-бомбовые кассеты АБК-3, АБКП-500).</w:t>
      </w:r>
    </w:p>
    <w:p w14:paraId="7B8727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началом войны завод № 455 эвакуирован в Куйбышев на площадку Лаборатории гидроузла и по приказу № 1121 сс от 15.11.1941 г. влит в состав эвакуированного сюда же завода № 145 НКАП.</w:t>
      </w:r>
    </w:p>
    <w:p w14:paraId="0B0E9C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площадке эвакуированного завода № 455 в Киеве по приказу № 4с от 3.01.1944 г. были сформированы Ремонтные мастерские, которые в том же году преобразованы в новый Завод № 485 им. Артема НКАП.</w:t>
      </w:r>
    </w:p>
    <w:p w14:paraId="4AA4CF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(10.1940 г.-)- Е.А. Рогов (11982).</w:t>
      </w:r>
    </w:p>
    <w:p w14:paraId="2FC7E5C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2C69A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г. по приказам № 541сс и № 551сс/261сс от 15.10.1940 г. Завод трикотажных машин № 1 НКОМ передан в 4ГУ НКАП (ГС Завод № 456 НКАП, Завод трикотажных машин № 1 НКОМ /Украина  г. Полтава;  г. Саратов/). По приказу № 673с от 29.11.1940 г. завод получил наименование ГС завод № 456 НКАП. Началась организация производства моторных агрегатов.</w:t>
      </w:r>
    </w:p>
    <w:p w14:paraId="381466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решению Совета по эвакуации № 5372-сэ от 10.08.1941 г. и приказу № 874сс от 19.08.1941 г. завод № 456 4ГУ НКАП со всем оборудованием и рабочей силой эвакуирован на площадку завода № 306 НКАП, где продолжено производство агрегатов МФМ-25, БНК-12А. Далее по приказу № 971сс от 12.09.1941 г. завод № 456 влит в состав единого завода № 306 НКАП и выбыл из числа действующих с 09.1941 г.</w:t>
      </w:r>
    </w:p>
    <w:p w14:paraId="01B27C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площадке эвакуированного завода в Полтаве по приказу № 679с от 15.11.1943 г. созданы мастерские по ремонту моторных агрегатов. Затем на базе мастерских образован завод № 488 4ГУ НКАП.</w:t>
      </w:r>
    </w:p>
    <w:p w14:paraId="375807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(10.1940-08.1941 г.-)- Д.К. Мусиенко.</w:t>
      </w:r>
    </w:p>
    <w:p w14:paraId="473769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КО (10.1940 г.-)- А.Н. Мельников (11982).</w:t>
      </w:r>
    </w:p>
    <w:p w14:paraId="33DA1621" w14:textId="77777777" w:rsidR="00652CB7" w:rsidRPr="00A3026E" w:rsidRDefault="00652CB7" w:rsidP="00A3026E">
      <w:pPr>
        <w:spacing w:after="0" w:line="240" w:lineRule="auto"/>
        <w:jc w:val="both"/>
        <w:rPr>
          <w:rFonts w:ascii="Times New Roman" w:hAnsi="Times New Roman"/>
          <w:color w:val="000000" w:themeColor="text1"/>
          <w:sz w:val="16"/>
          <w:szCs w:val="16"/>
        </w:rPr>
      </w:pPr>
    </w:p>
    <w:p w14:paraId="508FAE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г. приказами № 541сс и № 651с от 19.11.1940 г. в соответствии с пост, правительства от 17.08.1940 г. Днепропетровский механический завод НКЭС (Центральные механические мастерские) был передан в ведение 2ГУ НКАП с присвоением наименования ГС завод № 457 (ГС Завод № 457 НКАП /г. Запорожье/). Началась организация производства авиационного шасси. Для этого на завод переведена группа специалистов с завода № 119 НКАП. В 1941 г. до войны выпускал шасси и амортизаторы для ЛаГГ-3, И-16, УТИ- 4.</w:t>
      </w:r>
    </w:p>
    <w:p w14:paraId="3330EA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 приказу № 898сс от 23.08.1941 г. завод № 457 2ГУ эвакуирован со всем личным составом и оборудованием на площадку завода № 458 ЮГУ НКАП и по приказу № 1118сс от 14.11.1941 г. влит в его состав с образованием единого завода № 458. Выбыл из состава действующих в 1941 г.</w:t>
      </w:r>
    </w:p>
    <w:p w14:paraId="769C35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284с от 26.04.1944 г. площадка бывшего завода № 457 со всеми сооружениями возвращена Днепрострою.</w:t>
      </w:r>
    </w:p>
    <w:p w14:paraId="61C8B3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(12.1940 г.-)- И.Ф. Антипов.</w:t>
      </w:r>
    </w:p>
    <w:p w14:paraId="6B9CAC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(12.1940 г.-)- А.И. Хвоспок.</w:t>
      </w:r>
    </w:p>
    <w:p w14:paraId="749804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(12.1940 г.-)- А.И. Хвостюк (11982).</w:t>
      </w:r>
    </w:p>
    <w:p w14:paraId="0701703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D3B5E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года на ЦХП закончились испытания опытной партии ХАБ-100, снаряженных желтым фосфором, которые проходили с 6 августа 1940</w:t>
      </w:r>
    </w:p>
    <w:p w14:paraId="49A810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4F97B6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боевой эффект ХАБ-100, снаряженных фосфором для постановки наземных дымзавес и ослепления огневых точек противника.</w:t>
      </w:r>
    </w:p>
    <w:p w14:paraId="0A4B8A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F1399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Рекомендовать на войсковые испытания ХАБ-100, в снаряжении желтым фосфором для постановки дымзавес в летних и осенних условиях, а в зимних условиях провести дополнительные полигонные испытания (7846).</w:t>
      </w:r>
    </w:p>
    <w:p w14:paraId="7DF7022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81B62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года вышел приказ НКАП за № 541сс во исполнение постановления Правительства за № 1929-807сс от 8 октября 1940 года о реконструкции з-да № 43 в серийный (9240).</w:t>
      </w:r>
    </w:p>
    <w:p w14:paraId="1D9F70F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8BE90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года вышел приказ НКАП за № 541сс о реконструкции з-да № 165 (9292).</w:t>
      </w:r>
    </w:p>
    <w:p w14:paraId="11BE0CA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2F76E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года Приказом № 541сс ри Шахурин предложил завод № 165 передать из 6 гл. управления в 1 гл. управление НКАП для организации производства самолетов. С 4 квартала 1940 года начата реконструкция завода под производство самолетов (9292).</w:t>
      </w:r>
    </w:p>
    <w:p w14:paraId="29581C6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446F3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14 и 30 октября 1940. Протокол заседания Политбюро № 22, 1940 г.</w:t>
      </w:r>
    </w:p>
    <w:p w14:paraId="20F8BC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ежедневной информации по выпуску моторов самолетов</w:t>
      </w:r>
    </w:p>
    <w:p w14:paraId="016D51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Обязать директоров моторных и самолетных ведомств НКАП начиная с 16 ноября 1940 года давать ежедневные сообщения ЦК ВКП(б) и Наркомату авиационной промышленности: </w:t>
      </w:r>
    </w:p>
    <w:p w14:paraId="59DAFB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по моторным заводам — количество принятых военпредами моторов по каждому типу мотора; </w:t>
      </w:r>
    </w:p>
    <w:p w14:paraId="40F128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по самолетным заводам — количество принятых военпредами боевых и учебных самолетов по каждому типу самолета. </w:t>
      </w:r>
    </w:p>
    <w:p w14:paraId="7EA567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Сообщения в ЦК ВКП(б) и НКАП должны даваться за подписью директоров заводов и направляться с московских заводов совершенно секретной почтой, а со всех других заводов — шифрованными телеграммами (11652).</w:t>
      </w:r>
    </w:p>
    <w:p w14:paraId="2A90AC2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29A299" w14:textId="77777777" w:rsidR="00640634" w:rsidRPr="00A3026E" w:rsidRDefault="00640634"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574F8B2B" w14:textId="77777777" w:rsidR="00640634" w:rsidRPr="00A3026E" w:rsidRDefault="00640634" w:rsidP="00A3026E">
      <w:pPr>
        <w:spacing w:after="0" w:line="240" w:lineRule="auto"/>
        <w:jc w:val="both"/>
        <w:rPr>
          <w:rFonts w:ascii="Times New Roman" w:hAnsi="Times New Roman"/>
          <w:iCs/>
          <w:color w:val="000000" w:themeColor="text1"/>
          <w:sz w:val="16"/>
          <w:szCs w:val="16"/>
        </w:rPr>
      </w:pPr>
    </w:p>
    <w:p w14:paraId="219AC451"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г., появился новый приказ НКВ № 279с, который вновь констатировал неудовлетворительное состояние качества продукции на заводах НКВ и слабое выполнение предыдущих приказов наркома. Несколько руководителей предприятий потеряли свои должности, а некоторые даже были отданы под суд. Однако, как видно из текста приказа, наказание применялось далеко не во всех случаях, а мера наказания выбиралась более или менее произвольно, независимо от тяжести содеянного32. Нарком Ванников на заседании коллегии, предшествовавшем изданию приказа № 279с, призвал усилить преследование виновных: «Никаких поблажек, никаких снисхождений! Нарушитель технологического процесса на наших заводах — это есть предатель нашей Родины это есть враг нашей Родины! И все, кто потакает и защищает, являются такими же предателями и врагами нашей Родины и предателями и врагами нашей Красной армии!»33 Дух выступления наркома отразил новый приказ. Согласно ему вновь запрещалось вносить изменения в чертежи и технологию без соответствующих согласований. Кроме тою, запрещалось применять заменители «без особого разрешения наркомата, указывающего, с какого срока и с какого Hovepa изделия валового производства перейти на заменители», и т.д. Приказом подтверждалась «персональная ответственность директоров заводов, главных инженеров, главных технологов, главных металлургов и начальников ОТК — за состояние технологической дисциплины и за принятие своевременных мер взысканий к работникам, допустившим нарушение технологической дисциплины», вплоть до уголовного преследования34. Подводя итоги борьбы за качество в Наркомате вооружения, тянувшейся более года, можно констатировать, что она, в общем-то, закончилась безрезультатно. Все приказы, издаваемые наркомом, имели лишь кратковременный успех, наказание за брак применялось произвольно, а работа заводских ОТК по-прежнему вызвала нарекания со стороны заказчика (18627)..</w:t>
      </w:r>
    </w:p>
    <w:p w14:paraId="496A2D25" w14:textId="77777777" w:rsidR="00640634" w:rsidRPr="00A3026E" w:rsidRDefault="00640634" w:rsidP="00A3026E">
      <w:pPr>
        <w:spacing w:after="0" w:line="240" w:lineRule="auto"/>
        <w:jc w:val="both"/>
        <w:rPr>
          <w:rFonts w:ascii="Times New Roman" w:hAnsi="Times New Roman"/>
          <w:color w:val="000000" w:themeColor="text1"/>
          <w:sz w:val="16"/>
          <w:szCs w:val="16"/>
        </w:rPr>
      </w:pPr>
    </w:p>
    <w:p w14:paraId="0952B67E"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452FAF47" w14:textId="77777777" w:rsidR="00C66762" w:rsidRPr="00A3026E" w:rsidRDefault="00C66762" w:rsidP="00A3026E">
      <w:pPr>
        <w:spacing w:after="0" w:line="240" w:lineRule="auto"/>
        <w:jc w:val="both"/>
        <w:rPr>
          <w:rFonts w:ascii="Times New Roman" w:hAnsi="Times New Roman"/>
          <w:i/>
          <w:iCs/>
          <w:color w:val="000000" w:themeColor="text1"/>
          <w:sz w:val="16"/>
          <w:szCs w:val="16"/>
        </w:rPr>
      </w:pPr>
    </w:p>
    <w:p w14:paraId="516416C6"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14 октября 1940 г. Сталину и Молотову наркомом обороны маршалом Тимошенко было представлена докладная записка, в которой в целях дальнейшего усиления войск предлагалось провести в Красной Армии ряд мероприятий в течение первого полугодия 1941 г. Намечалось формирование 20 моторизованных пулеметно-артиллерийских бригад, имевших мощное пушечное и пулеметное вооружение, предназначенных для борьбы и противодействия танковым и механизированным войскам противника. Также Тимошенко предлагал сформировать еще один механизированный корпус в Киевском особом военном округе и 20 отдельных танковых бригад Т-26, предназначенных для усиления и сопровождения пехоты в бою. Всего выходило по одной танковой бригаде на стрелковый корпус, за исключением Дальнего Востока, где сохранялись танковые батальоны в стрелковых дивизиях.</w:t>
      </w:r>
    </w:p>
    <w:p w14:paraId="07CA9DEC"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Предложения были приняты, но из всего вышеперечисленного относительно «долговечным» оказался лишь добавочный, девятый по счету мехкорпус — потому что уже к концу 1940 г. в переписке Генштаба КА замаячила идея забабахать (это словечко сюда проситься явно лучше казенного «сформировать») аж 21 новый мехкорпус, доведя таким образом их общее число до 30.</w:t>
      </w:r>
    </w:p>
    <w:p w14:paraId="0319211C"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О причинах этого решения мы пока можем лишь гадать. Возможно, его принимали под влиянием информации о том, что в результате проводимой с июля 1940-го реорганизации немцы удвоили число танковых дивизий, а также сформировали дополнительные моторизованные. Понятно, что подобные «новости» могли вызвать у советского руководства желание иметь в запасе как можно больше «кладенцов».</w:t>
      </w:r>
    </w:p>
    <w:p w14:paraId="7617CF63"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 xml:space="preserve">Впрочем, также возможен вариант, что Г. К. Жуков просто желал использовать имеющиеся в его распоряжении танки максимально эффективно, то есть в составе мощных подвижных </w:t>
      </w:r>
      <w:r w:rsidRPr="00A3026E">
        <w:rPr>
          <w:iCs/>
          <w:color w:val="000000" w:themeColor="text1"/>
          <w:sz w:val="16"/>
          <w:szCs w:val="16"/>
        </w:rPr>
        <w:t>самостоятельных</w:t>
      </w:r>
      <w:r w:rsidRPr="00A3026E">
        <w:rPr>
          <w:color w:val="000000" w:themeColor="text1"/>
          <w:sz w:val="16"/>
          <w:szCs w:val="16"/>
        </w:rPr>
        <w:t xml:space="preserve"> соединений. Проблемой, однако, было то, что мехкорпус образца 1940-го был таковым лишь теоретически, на бумаге. На момент создания его структуры РККА имело лишь незначительный (и, добавим, большей частью отрицательный) опыт действий крупными </w:t>
      </w:r>
      <w:r w:rsidRPr="00A3026E">
        <w:rPr>
          <w:iCs/>
          <w:color w:val="000000" w:themeColor="text1"/>
          <w:sz w:val="16"/>
          <w:szCs w:val="16"/>
        </w:rPr>
        <w:t>танковыми</w:t>
      </w:r>
      <w:r w:rsidRPr="00A3026E">
        <w:rPr>
          <w:color w:val="000000" w:themeColor="text1"/>
          <w:sz w:val="16"/>
          <w:szCs w:val="16"/>
        </w:rPr>
        <w:t xml:space="preserve"> формированиями, опыта же действий разнородной структуры, аналогичной германскому моторизованному корпусу, в СССР не имелось вовсе. У советского командования не было четкого представления ни о том, как подобные части создавать, ни о том, как их правильно применять (12624).</w:t>
      </w:r>
    </w:p>
    <w:p w14:paraId="0A7C0D38" w14:textId="77777777" w:rsidR="00C66762" w:rsidRPr="00A3026E" w:rsidRDefault="00C66762" w:rsidP="00A3026E">
      <w:pPr>
        <w:pStyle w:val="ae"/>
        <w:spacing w:before="0" w:after="0"/>
        <w:jc w:val="both"/>
        <w:rPr>
          <w:color w:val="000000" w:themeColor="text1"/>
          <w:sz w:val="16"/>
          <w:szCs w:val="16"/>
        </w:rPr>
      </w:pPr>
    </w:p>
    <w:p w14:paraId="5413D8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г. вышел приказ НКО О результатах ревизии деятельности хозяйственного отдела центральных управлений НКО № 359.</w:t>
      </w:r>
    </w:p>
    <w:p w14:paraId="185E4D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Произведенной в сентябре месяце с. г. ревизией хозяйственного отдела центральных управлений НКО установлено, что отдел в целом работает неудовлетворительно.</w:t>
      </w:r>
    </w:p>
    <w:p w14:paraId="74BDE8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Командование отдела в лице интенданта 1 ранга т. Захарова и полкового комиссара т. Гаврилина не только не контролирует работу своих подчиненных, но и само не выполняет действующих законоположений.</w:t>
      </w:r>
    </w:p>
    <w:p w14:paraId="3499B3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этого строительный участок, недовыполнив за 1-е полугодие задание на сумму 654 тыс. руб., допустил перерасход по строительству 747,7 тыс. руб., в том числе по фонду зарплаты 298,3 тыс. руб., произвел продажу остродефицитных фондируемых стройматериалов разным организациям и отдельным лицам на 250 тыс. руб.; автотранспорт участка в 1-м полугодии недовыполнил план перевозок на 500 000 тонно-километров.</w:t>
      </w:r>
    </w:p>
    <w:p w14:paraId="079A69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Значительная часть руководящего состава строительного участка, использовав свое служебное положение, занялась строительством (ремонтом) собственных дач, приобретая для этого материалы из фондов строительного участка. Интендант 1 ранга Захаров и полковой комиссар Гаврилин не только не пресекли этого, но поощряли продажу фондовых стройматериалов, списывая стройматериалы за счет так называемых «отходов» и «старья».</w:t>
      </w:r>
    </w:p>
    <w:p w14:paraId="49BCA2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Эксплуатация жилого фонда и мебели поставлена безобразно. 25 тыс. руб. израсходовано на восстановление размороженных труб в домах Покровско-Стрешнево, а виновные в бесхозяйственной эксплуатации оборудования не наказаны.</w:t>
      </w:r>
    </w:p>
    <w:p w14:paraId="64A21C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Средства, отпущенные на ремонт дач, используются совершенно нерационально, на две дачи (Пушкино и Болшево) излишне израсходовано более 25 тыс. руб.</w:t>
      </w:r>
    </w:p>
    <w:p w14:paraId="3A20A8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Несвоевременно взыскивается квартплата с бывших пайщиков, проживающих в домах НКО, а также не принимается должных мер к уплотнению или переселению их. Задолженность по квартплате на 1.9.1940 г. составляет 238210 руб.</w:t>
      </w:r>
    </w:p>
    <w:p w14:paraId="11FE0C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обеспечении мебелью квартир начсостава работники хозяйственного отдела нарушают приказ НКО № 232 1937 года, покупая для оборудования отдельных квартир пианино, рояли.</w:t>
      </w:r>
    </w:p>
    <w:p w14:paraId="5A29DA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Учет мебели, находящейся в индивидуальном пользовании, в особенности по домам Моссовета, организован плохо. Нет контроля за изъятием мебели у лиц, порвавших связь с НКО. Последними не возвращено мебели на 116 тыс. руб. Плата за амортизацию мебели не взыскивается и на 1.9.1940 г. составляет задолженность в 9631 руб.</w:t>
      </w:r>
    </w:p>
    <w:p w14:paraId="12BA0B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Денежные средства на почтово-телеграфные нужды расходуются бесконтрольно.</w:t>
      </w:r>
    </w:p>
    <w:p w14:paraId="065B3B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Приказываю:</w:t>
      </w:r>
    </w:p>
    <w:p w14:paraId="7503BE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Материал по ревизии хозяйственного отдела передать главному военному прокурору для привлечения виновных к ответственности.</w:t>
      </w:r>
    </w:p>
    <w:p w14:paraId="2BBBC8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Начальнику Управления делами генерал-майору т. Дратвину:</w:t>
      </w:r>
    </w:p>
    <w:p w14:paraId="5E0753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уделить особое внимание руководству и контролю за работой хозяйственного отдела, устранив отмеченные в акте недочеты в кратчайший срок;</w:t>
      </w:r>
    </w:p>
    <w:p w14:paraId="5A23EB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финансовое отделение хозяйственного отдела подчинить непосредственно себе.</w:t>
      </w:r>
    </w:p>
    <w:p w14:paraId="2EFFFB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СССР Маршал Советского Союза С. Тимошенко (10605).</w:t>
      </w:r>
    </w:p>
    <w:p w14:paraId="2D596AA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A5E72A5" w14:textId="77777777" w:rsidR="00FB4860" w:rsidRPr="00A3026E" w:rsidRDefault="00FB4860"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14 октября </w:t>
      </w:r>
      <w:r w:rsidRPr="00A3026E">
        <w:rPr>
          <w:rFonts w:ascii="Times New Roman" w:hAnsi="Times New Roman"/>
          <w:color w:val="000000" w:themeColor="text1"/>
          <w:sz w:val="16"/>
          <w:szCs w:val="16"/>
        </w:rPr>
        <w:t>в 1940 году утверждается оперативный план Генштаба, получающий название "Соображения об основах стратегического развертывания вооруженных сил СССР на Западе и на Востоке на 1940-1941 годы". В соответствии с ним будет строиться и план обороны (14799).</w:t>
      </w:r>
    </w:p>
    <w:p w14:paraId="7461112F" w14:textId="77777777" w:rsidR="00FB4860" w:rsidRPr="00A3026E" w:rsidRDefault="00FB4860" w:rsidP="00A3026E">
      <w:pPr>
        <w:spacing w:after="0" w:line="240" w:lineRule="auto"/>
        <w:jc w:val="both"/>
        <w:rPr>
          <w:rFonts w:ascii="Times New Roman" w:hAnsi="Times New Roman"/>
          <w:color w:val="000000" w:themeColor="text1"/>
          <w:sz w:val="16"/>
          <w:szCs w:val="16"/>
        </w:rPr>
      </w:pPr>
    </w:p>
    <w:p w14:paraId="4ADD31D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rStyle w:val="12"/>
          <w:b w:val="0"/>
          <w:bCs w:val="0"/>
          <w:i w:val="0"/>
          <w:iCs w:val="0"/>
          <w:color w:val="000000" w:themeColor="text1"/>
          <w:spacing w:val="0"/>
          <w:kern w:val="0"/>
          <w:position w:val="0"/>
          <w:sz w:val="16"/>
          <w:szCs w:val="16"/>
          <w:lang w:val="ru-RU"/>
        </w:rPr>
        <w:t xml:space="preserve">14 октября 1940 г. </w:t>
      </w:r>
      <w:r w:rsidRPr="00A3026E">
        <w:rPr>
          <w:i w:val="0"/>
          <w:iCs w:val="0"/>
          <w:color w:val="000000" w:themeColor="text1"/>
          <w:spacing w:val="0"/>
          <w:kern w:val="0"/>
          <w:position w:val="0"/>
          <w:sz w:val="16"/>
          <w:szCs w:val="16"/>
          <w:lang w:val="ru-RU"/>
        </w:rPr>
        <w:t>Завершена работа по сборке 305-мм железнодорожных артустановок ТМ-III-12 на полуострове Ханко (11454).</w:t>
      </w:r>
    </w:p>
    <w:p w14:paraId="22CD98AA" w14:textId="77777777" w:rsidR="00C66762" w:rsidRPr="00A3026E" w:rsidRDefault="00C66762" w:rsidP="00A3026E">
      <w:pPr>
        <w:pStyle w:val="af2"/>
        <w:jc w:val="both"/>
        <w:rPr>
          <w:rStyle w:val="12"/>
          <w:b w:val="0"/>
          <w:bCs w:val="0"/>
          <w:i w:val="0"/>
          <w:iCs w:val="0"/>
          <w:color w:val="000000" w:themeColor="text1"/>
          <w:spacing w:val="0"/>
          <w:kern w:val="0"/>
          <w:position w:val="0"/>
          <w:sz w:val="16"/>
          <w:szCs w:val="16"/>
          <w:lang w:val="ru-RU"/>
        </w:rPr>
      </w:pPr>
    </w:p>
    <w:p w14:paraId="446674E5" w14:textId="77777777" w:rsidR="00C66762" w:rsidRPr="00A3026E" w:rsidRDefault="001F3559" w:rsidP="00A3026E">
      <w:pPr>
        <w:pStyle w:val="af2"/>
        <w:jc w:val="both"/>
        <w:rPr>
          <w:rStyle w:val="12"/>
          <w:b w:val="0"/>
          <w:bCs w:val="0"/>
          <w:i w:val="0"/>
          <w:color w:val="000000" w:themeColor="text1"/>
          <w:spacing w:val="0"/>
          <w:kern w:val="0"/>
          <w:position w:val="0"/>
          <w:sz w:val="16"/>
          <w:szCs w:val="16"/>
          <w:lang w:val="ru-RU"/>
        </w:rPr>
      </w:pPr>
      <w:r w:rsidRPr="00A3026E">
        <w:rPr>
          <w:rStyle w:val="12"/>
          <w:b w:val="0"/>
          <w:bCs w:val="0"/>
          <w:color w:val="000000" w:themeColor="text1"/>
          <w:spacing w:val="0"/>
          <w:kern w:val="0"/>
          <w:position w:val="0"/>
          <w:sz w:val="16"/>
          <w:szCs w:val="16"/>
          <w:lang w:val="ru-RU"/>
        </w:rPr>
        <w:t>Жизнь и внутренняя политика:</w:t>
      </w:r>
    </w:p>
    <w:p w14:paraId="299F4571" w14:textId="77777777" w:rsidR="00C66762" w:rsidRPr="00A3026E" w:rsidRDefault="00C66762" w:rsidP="00A3026E">
      <w:pPr>
        <w:pStyle w:val="af2"/>
        <w:jc w:val="both"/>
        <w:rPr>
          <w:rStyle w:val="12"/>
          <w:b w:val="0"/>
          <w:bCs w:val="0"/>
          <w:i w:val="0"/>
          <w:color w:val="000000" w:themeColor="text1"/>
          <w:spacing w:val="0"/>
          <w:kern w:val="0"/>
          <w:position w:val="0"/>
          <w:sz w:val="16"/>
          <w:szCs w:val="16"/>
          <w:lang w:val="ru-RU"/>
        </w:rPr>
      </w:pPr>
    </w:p>
    <w:p w14:paraId="5E37C8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14 и 30 октября 1940. Протокол заседания Политбюро № 22, 1940 г.</w:t>
      </w:r>
    </w:p>
    <w:p w14:paraId="1D0590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 сроке введения советской валюты и новых розничных цен в Литовской, Латвийской и Эстонской ССР </w:t>
      </w:r>
    </w:p>
    <w:p w14:paraId="7977EC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Отложить введение советской валюты и новых розничных цен по Литовской, Латвийской и Эстонской ССР до 25 ноября 1940 г. (11652).</w:t>
      </w:r>
    </w:p>
    <w:p w14:paraId="08C45D0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0308B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14 и 30 октября 1940. Протокол заседания Политбюро № 22, 1940 г.</w:t>
      </w:r>
    </w:p>
    <w:p w14:paraId="11630C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размещении частей Красной армии, расположенных в Грузинской ССР</w:t>
      </w:r>
    </w:p>
    <w:p w14:paraId="1FD514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Разрешить использовать для размещения начсостава Красной армии имеющийся у квартиросъемщиков излишек жилплощади против установленных жилищных норм в домах, принадлежащих государственным организациям, а также частным лицам (11652).</w:t>
      </w:r>
    </w:p>
    <w:p w14:paraId="4C91624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7419E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0111AFA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58C9E11" w14:textId="77777777" w:rsidR="00303EB6" w:rsidRPr="00A3026E" w:rsidRDefault="00303EB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 октября 1940 самолеты с британского авианосца HMS Illustrious совершают налет на Лерос (20795).</w:t>
      </w:r>
    </w:p>
    <w:p w14:paraId="6E98D142" w14:textId="77777777" w:rsidR="00303EB6" w:rsidRPr="00A3026E" w:rsidRDefault="00303EB6" w:rsidP="00A3026E">
      <w:pPr>
        <w:spacing w:after="0" w:line="240" w:lineRule="auto"/>
        <w:jc w:val="both"/>
        <w:rPr>
          <w:rFonts w:ascii="Times New Roman" w:hAnsi="Times New Roman"/>
          <w:color w:val="0070C0"/>
          <w:sz w:val="16"/>
          <w:szCs w:val="16"/>
        </w:rPr>
      </w:pPr>
    </w:p>
    <w:p w14:paraId="1E8C1D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в вишистской Франции замужним женщинам запрещено работать в государственных учреждениях (4962).</w:t>
      </w:r>
    </w:p>
    <w:p w14:paraId="005FB3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2702A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октября 1940 гоминдановские войска напали на новый 4А в провинции Цзянсу (2443,418).</w:t>
      </w:r>
    </w:p>
    <w:p w14:paraId="540EAB1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1C6A4E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CB08B4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BDB20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 к моменту первого испытатель</w:t>
      </w:r>
      <w:r w:rsidRPr="00A3026E">
        <w:rPr>
          <w:rFonts w:ascii="Times New Roman" w:hAnsi="Times New Roman"/>
          <w:color w:val="000000" w:themeColor="text1"/>
          <w:sz w:val="16"/>
          <w:szCs w:val="16"/>
        </w:rPr>
        <w:softHyphen/>
        <w:t>ного полета ДБ-4 интерес к самолету со стороны ВВС практи</w:t>
      </w:r>
      <w:r w:rsidRPr="00A3026E">
        <w:rPr>
          <w:rFonts w:ascii="Times New Roman" w:hAnsi="Times New Roman"/>
          <w:color w:val="000000" w:themeColor="text1"/>
          <w:sz w:val="16"/>
          <w:szCs w:val="16"/>
        </w:rPr>
        <w:softHyphen/>
        <w:t>чески пропал. К тому же машина оказа</w:t>
      </w:r>
      <w:r w:rsidRPr="00A3026E">
        <w:rPr>
          <w:rFonts w:ascii="Times New Roman" w:hAnsi="Times New Roman"/>
          <w:color w:val="000000" w:themeColor="text1"/>
          <w:sz w:val="16"/>
          <w:szCs w:val="16"/>
        </w:rPr>
        <w:softHyphen/>
        <w:t>лась далекой от совершенства и требо</w:t>
      </w:r>
      <w:r w:rsidRPr="00A3026E">
        <w:rPr>
          <w:rFonts w:ascii="Times New Roman" w:hAnsi="Times New Roman"/>
          <w:color w:val="000000" w:themeColor="text1"/>
          <w:sz w:val="16"/>
          <w:szCs w:val="16"/>
        </w:rPr>
        <w:softHyphen/>
        <w:t>вала длительной доводки. Поэтому вско</w:t>
      </w:r>
      <w:r w:rsidRPr="00A3026E">
        <w:rPr>
          <w:rFonts w:ascii="Times New Roman" w:hAnsi="Times New Roman"/>
          <w:color w:val="000000" w:themeColor="text1"/>
          <w:sz w:val="16"/>
          <w:szCs w:val="16"/>
        </w:rPr>
        <w:softHyphen/>
        <w:t>ре все работы по ней были прекращены (6467).</w:t>
      </w:r>
    </w:p>
    <w:p w14:paraId="108B9FB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77ABAA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 состоялся первый полет бомбардировщика ДБ-4 (ЦКБ-56) (6395).</w:t>
      </w:r>
    </w:p>
    <w:p w14:paraId="1A57284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CB017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1940-го был собран прототип ЦКБ-56 с М-120. Было построено два самолета. Первый из них имел двухкилевое хвостовое оперение, второй -однокилевое по типу ДБ-3 с двумя моторами АМ-37 и летные испытания начали с АМ-37. Он поднялся в воздух первым в конце 1940-го (2558,26).</w:t>
      </w:r>
    </w:p>
    <w:p w14:paraId="2A71854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0138F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В.К.Коккинаки выполнил первый вылет на ДБ-4 (ЦКБ-56) (508) c 2хАМ-37 (3846,12).</w:t>
      </w:r>
    </w:p>
    <w:p w14:paraId="6969622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AE76F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15 октября 1940 г. к моменту первого испытательного полета ДБ-4 интерес к самолету со стороны ВВС практически пропал. К тому же, машина оказалась далекой от совершенства и требовала длительной доводки и вскоре все работы по ней были прекращены (9649).</w:t>
      </w:r>
    </w:p>
    <w:p w14:paraId="6B9CFDD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C449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 под управлением В.К.Коккинаки ДБ-4 совершил первый полет. Испытания выявили ряд недостатков, в частности, малую путевую устойчивость на небольших скоростях и сильную вибрацию конструкции.</w:t>
      </w:r>
    </w:p>
    <w:p w14:paraId="053BE6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ДБ-4 передали на летные исследования в ЛИИ. Путевую устойчивость повысили, перейдя на однокилевую схему вертикального оперения увеличенной площади. Выполнение рекомендаций ЛИИ позволило снизить вибрацию конструкции, однако она все же оставалась сильной. Требовались дальнейшие исследования и доработки, но их проводить не стали, т.к. двигатели АМ-37 так и не удалось довести, и работы по ним прекратили в начале войны.</w:t>
      </w:r>
    </w:p>
    <w:p w14:paraId="660AC2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С.В.Ильюшин попытался спасти самолет, предложив установить на нем двигатели воздушного охлаждения М-71 с взлетной мощностью по 2000 л.с., которые разрабатывались в ОКБ А.Д.Швецова. Эти двигатели позволяли сохранить заявленные летно-технические данные ДБ-4 несмотря на увеличение миделя мотогондол. Была подготовлена соответствующая техническая документация, проведены продувки модели самолета с однокилевым вертикальным оперением в аэродинамических трубах ЦАГИ, но и эту работу пришлось прекратить.</w:t>
      </w:r>
    </w:p>
    <w:p w14:paraId="45E390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Основными и более важными в то время направлениями деятельности немногочисленного ОКБ С.В.Ильюшина были признаны работы по доводке и обеспечению серийного производства самолетов Ил-2 и ДБ-3Ф, а также по проектированию тяжелого бронированного штурмовика ЦКБ-60 (9528).</w:t>
      </w:r>
    </w:p>
    <w:p w14:paraId="4629BB1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9FBFC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1940-го состоялся первый полет ДБ-4 под управлением летчика Владимира К.Коккинаки. И сразу же выявились два основных конструктивных пробела: недостаточная путевая устойчивость бомбардировщика в особенно на малых скоростях, и, более важно - неудовлетворительна жесткость фюзеляжа типа монокок на кручение. Причина - слишком большой вырез люка под бомбоотсек Летчик-испытатель отметил:</w:t>
      </w:r>
    </w:p>
    <w:p w14:paraId="6312F1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полете отбалансированный самолет проявляет тенденцию к неустойчивому режиму в горизонтальной плоскости, рысканию по курсу. После восстановления курсовой балансировки, а затем ослабления контроля за рулями процесс незначительного рыскания по курсу вновь возобновляется. В пилотажной зоне при энергичном вводе самолета в глубокий вираж и выводе из него наблюдается некоторая деформация фюзеляжа на кручение ввиду недостаточной его жесткости, обусловленной в первую очередь значительным вырезом конструкции в нижней части фюзеляжа под бомбоотсек. Деформация сопровождается ощутимой вибрацией и приглушенным скрежетом стрингеров. Необходимо усилить соответствующий участок конструкции. И тот и другой недостатки были срочно устранены путем увеличения площади вертикального оперения и установкой на внутренней части обшивки фюзеляжа четырех ( по два с каждого борта ) мощных лонжеронов из прессованного профиля П-образного сечения (2558,26).</w:t>
      </w:r>
    </w:p>
    <w:p w14:paraId="68BB1F0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DA2BEB6" w14:textId="77777777" w:rsidR="00FB4860" w:rsidRPr="00A3026E" w:rsidRDefault="00FB4860" w:rsidP="00A3026E">
      <w:pPr>
        <w:spacing w:after="0" w:line="240" w:lineRule="auto"/>
        <w:jc w:val="both"/>
        <w:rPr>
          <w:rStyle w:val="ucoz-forum-post"/>
          <w:rFonts w:ascii="Times New Roman" w:eastAsia="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15 октября 1940 года</w:t>
      </w:r>
      <w:r w:rsidRPr="00A3026E">
        <w:rPr>
          <w:rStyle w:val="ucoz-forum-post"/>
          <w:rFonts w:ascii="Times New Roman" w:eastAsia="Times New Roman" w:hAnsi="Times New Roman"/>
          <w:color w:val="000000" w:themeColor="text1"/>
          <w:sz w:val="16"/>
          <w:szCs w:val="16"/>
        </w:rPr>
        <w:t xml:space="preserve"> Первый полет бомбардировщика ДБ-4 (ЦКБ-56), экипаж В.К.Коккинаки (14800).</w:t>
      </w:r>
    </w:p>
    <w:p w14:paraId="177B4488" w14:textId="77777777" w:rsidR="00FB4860" w:rsidRPr="00A3026E" w:rsidRDefault="00FB4860" w:rsidP="00A3026E">
      <w:pPr>
        <w:spacing w:after="0" w:line="240" w:lineRule="auto"/>
        <w:jc w:val="both"/>
        <w:rPr>
          <w:rStyle w:val="ucoz-forum-post"/>
          <w:rFonts w:ascii="Times New Roman" w:eastAsia="Times New Roman" w:hAnsi="Times New Roman"/>
          <w:color w:val="000000" w:themeColor="text1"/>
          <w:sz w:val="16"/>
          <w:szCs w:val="16"/>
        </w:rPr>
      </w:pPr>
    </w:p>
    <w:p w14:paraId="6F00C4FC" w14:textId="77777777" w:rsidR="00FB4860" w:rsidRPr="00A3026E" w:rsidRDefault="00FB4860"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15-го октября 1940 года состоялся первый полет бомбардировщика ДБ-4 под управлением В.К. Коккинаки. Испытания выявили два основных недостатка: малую путевую устойчивость, особенно на небольших скоростях, и недостаточную жесткость его фюзеляжа на кручение из-за наличия в нем большого выреза под бомболюк. Оба недостатка были устранены увеличением площади вертикального оперения и установкой на наружной обшивке фюзеляжа четырех (по два с каждого борта) мощных лонжеронов из прессованного профиля корытообразного сечения. Изменения были внесены и в конструкцию второго опытного самолета, постройка которого завершилась 29-го ноября 1940 года. Однако уже после первых полетов второго экземпляра летные испытания ДБ-4 прекратили, так и не выявив полностью его летно-технических данных. Основными и более важными в то время направлениями деятельности коллектива ОКБ Ильюшина были работы по доводке и обеспечению серийного производства Ил-2 и ДБ-3Ф. Кроме того, создание скоростного дальнего бомбардировщика посчитали завершенным после запуска в октябре 1940 года в серийное производство самолета ДБ-240 В.Г. Ермолаева (Ер-2), который, проходя Государственные испытания с двигателями М-105, достиг максимальной скорости 500 км/ч и заданной дальности полета с нормальным бомбовым грузом (Новожилов Г.В.и др. Из истории советской авиации. Самолеты ОКБ имени С.В. Ильюшина. М.: Машиностроение, 1985) (15223).</w:t>
      </w:r>
    </w:p>
    <w:p w14:paraId="0B91DE80" w14:textId="77777777" w:rsidR="00FB4860" w:rsidRPr="00A3026E" w:rsidRDefault="00FB4860" w:rsidP="00A3026E">
      <w:pPr>
        <w:shd w:val="clear" w:color="auto" w:fill="FFFFFF"/>
        <w:spacing w:after="0" w:line="240" w:lineRule="auto"/>
        <w:jc w:val="both"/>
        <w:rPr>
          <w:rFonts w:ascii="Times New Roman" w:hAnsi="Times New Roman"/>
          <w:color w:val="000000" w:themeColor="text1"/>
          <w:sz w:val="16"/>
          <w:szCs w:val="16"/>
        </w:rPr>
      </w:pPr>
    </w:p>
    <w:p w14:paraId="76119E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закончились гос. испытания ДБ-240 с 2хМ105, которые начались 27 сентября (727).</w:t>
      </w:r>
    </w:p>
    <w:p w14:paraId="1CED2D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до 17 октября (796,38) или даже 18 октября (822). Есть данные, что гос. испытания закончились 8 октября 1940.</w:t>
      </w:r>
    </w:p>
    <w:p w14:paraId="51EC51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отчете написано:</w:t>
      </w:r>
    </w:p>
    <w:p w14:paraId="7210AF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гор. скорость, равная 445 км/час с убранными верхней и нижней СУ, лишь на 16 км/час больше серийного ДБ-3Ф...и одинаковая с Ю-88 и До 2ЮМО-601 (До-215).</w:t>
      </w:r>
    </w:p>
    <w:p w14:paraId="051FC0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неубирающейся верхней стрелковой установкой, с которой... ДБ-240 фактически строился, максимальная скорость равна 437 км/час, а с неубирающейся верхней стрелковой и выпушенной ЛУ, максимальная скорость равна 430 км/час...</w:t>
      </w:r>
    </w:p>
    <w:p w14:paraId="2E346C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2400 о/м моторов, при которых только и возможно летать летом, вследствие их перегрева, практический потолок с нормальным полетным весом 11300 кг равен 8600 м...</w:t>
      </w:r>
    </w:p>
    <w:p w14:paraId="2C292B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имеет недопустимо тяжелое управление, которое необходимо облегчить. При вынужденной сдаче одного мотора л может легко справиться с управлением и управлять самолетом." (2865,7).</w:t>
      </w:r>
    </w:p>
    <w:p w14:paraId="42895B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заключении говорилось:</w:t>
      </w:r>
    </w:p>
    <w:p w14:paraId="2A95BD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устранения основных дефектов ДБ-240 не м.б. допущен для нормальной эксплуатации в строевых частях...</w:t>
      </w:r>
    </w:p>
    <w:p w14:paraId="4D8CC7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быстрейшей доводки и отработки самолета... необходимо провести войсковые испытания с М1-05, обязав завод 18 предъявить к 1 декабря 1940..." (2865,8).</w:t>
      </w:r>
    </w:p>
    <w:p w14:paraId="2CD556B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F6BC7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закончились госиспытания ДБ-240 и в воводах отчета отмечалось:</w:t>
      </w:r>
    </w:p>
    <w:p w14:paraId="34D155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горизонтальная скорость, равная 445 км/ч с убранными верхней и нижней стрелковыми уста</w:t>
      </w:r>
      <w:r w:rsidRPr="00A3026E">
        <w:rPr>
          <w:rFonts w:ascii="Times New Roman" w:hAnsi="Times New Roman"/>
          <w:color w:val="000000" w:themeColor="text1"/>
          <w:sz w:val="16"/>
          <w:szCs w:val="16"/>
        </w:rPr>
        <w:softHyphen/>
        <w:t>новками, лишь на 16 км/ч больше серийного самолета ДБ-ЗФ &lt;...&gt; и одинаковая с Ю-88 и «Дорнье» 2ЮМО-601 (имеется в виду До-215).</w:t>
      </w:r>
    </w:p>
    <w:p w14:paraId="5DC49E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неубирающейся верхней стрелковой установкой, с ко</w:t>
      </w:r>
      <w:r w:rsidRPr="00A3026E">
        <w:rPr>
          <w:rFonts w:ascii="Times New Roman" w:hAnsi="Times New Roman"/>
          <w:color w:val="000000" w:themeColor="text1"/>
          <w:sz w:val="16"/>
          <w:szCs w:val="16"/>
        </w:rPr>
        <w:softHyphen/>
        <w:t>торой &lt;...&gt;ДБ-240 фактически строится, максимальная го</w:t>
      </w:r>
      <w:r w:rsidRPr="00A3026E">
        <w:rPr>
          <w:rFonts w:ascii="Times New Roman" w:hAnsi="Times New Roman"/>
          <w:color w:val="000000" w:themeColor="text1"/>
          <w:sz w:val="16"/>
          <w:szCs w:val="16"/>
        </w:rPr>
        <w:softHyphen/>
        <w:t>ризонтальная скорость равна 437 км/ч...</w:t>
      </w:r>
    </w:p>
    <w:p w14:paraId="5B0C62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2400 об/мин, моторов, при которых только и воз</w:t>
      </w:r>
      <w:r w:rsidRPr="00A3026E">
        <w:rPr>
          <w:rFonts w:ascii="Times New Roman" w:hAnsi="Times New Roman"/>
          <w:color w:val="000000" w:themeColor="text1"/>
          <w:sz w:val="16"/>
          <w:szCs w:val="16"/>
        </w:rPr>
        <w:softHyphen/>
        <w:t>можно летать летом, вследствие их перегрева практичес</w:t>
      </w:r>
      <w:r w:rsidRPr="00A3026E">
        <w:rPr>
          <w:rFonts w:ascii="Times New Roman" w:hAnsi="Times New Roman"/>
          <w:color w:val="000000" w:themeColor="text1"/>
          <w:sz w:val="16"/>
          <w:szCs w:val="16"/>
        </w:rPr>
        <w:softHyphen/>
        <w:t>кий потолок с нормальным полетным весом 11 300 кг ра</w:t>
      </w:r>
      <w:r w:rsidRPr="00A3026E">
        <w:rPr>
          <w:rFonts w:ascii="Times New Roman" w:hAnsi="Times New Roman"/>
          <w:color w:val="000000" w:themeColor="text1"/>
          <w:sz w:val="16"/>
          <w:szCs w:val="16"/>
        </w:rPr>
        <w:softHyphen/>
        <w:t>вен 8600 м...</w:t>
      </w:r>
    </w:p>
    <w:p w14:paraId="052149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имеет недопустимо тяжелое управление, ко</w:t>
      </w:r>
      <w:r w:rsidRPr="00A3026E">
        <w:rPr>
          <w:rFonts w:ascii="Times New Roman" w:hAnsi="Times New Roman"/>
          <w:color w:val="000000" w:themeColor="text1"/>
          <w:sz w:val="16"/>
          <w:szCs w:val="16"/>
        </w:rPr>
        <w:softHyphen/>
        <w:t>торое необходимо облегчить. При вынужденной сдаче (от</w:t>
      </w:r>
      <w:r w:rsidRPr="00A3026E">
        <w:rPr>
          <w:rFonts w:ascii="Times New Roman" w:hAnsi="Times New Roman"/>
          <w:color w:val="000000" w:themeColor="text1"/>
          <w:sz w:val="16"/>
          <w:szCs w:val="16"/>
        </w:rPr>
        <w:softHyphen/>
        <w:t>казе) одного мотора летчик может легко справиться с положением и управлять самолетом».</w:t>
      </w:r>
    </w:p>
    <w:p w14:paraId="691810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Отмечался очень продолжительный разбег, требовавший не только больших аэродромов, но и бетонированных ВПП длиной до 1300 м. Требовало доводки оборонительное и бом</w:t>
      </w:r>
      <w:r w:rsidRPr="00A3026E">
        <w:rPr>
          <w:rFonts w:ascii="Times New Roman" w:hAnsi="Times New Roman"/>
          <w:color w:val="000000" w:themeColor="text1"/>
          <w:sz w:val="16"/>
          <w:szCs w:val="16"/>
        </w:rPr>
        <w:softHyphen/>
        <w:t>бовое вооружение.</w:t>
      </w:r>
    </w:p>
    <w:p w14:paraId="5B450F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заключении отчета говорилось: «Без устранения ос</w:t>
      </w:r>
      <w:r w:rsidRPr="00A3026E">
        <w:rPr>
          <w:rFonts w:ascii="Times New Roman" w:hAnsi="Times New Roman"/>
          <w:color w:val="000000" w:themeColor="text1"/>
          <w:sz w:val="16"/>
          <w:szCs w:val="16"/>
        </w:rPr>
        <w:softHyphen/>
        <w:t>новных дефектов самолет ДБ-240 не может быть допущен для нормальной эксплуатации в строевых частях...</w:t>
      </w:r>
    </w:p>
    <w:p w14:paraId="035E1F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быстрейшей доводки и отработки самолета &lt;...&gt; не</w:t>
      </w:r>
      <w:r w:rsidRPr="00A3026E">
        <w:rPr>
          <w:rFonts w:ascii="Times New Roman" w:hAnsi="Times New Roman"/>
          <w:color w:val="000000" w:themeColor="text1"/>
          <w:sz w:val="16"/>
          <w:szCs w:val="16"/>
        </w:rPr>
        <w:softHyphen/>
        <w:t>обходимо провести войсковые испытания с моторами М-105, обязав завод №18 предъявить (бомбардировщики) к 1 декабря 1940 г.» (10745,226).</w:t>
      </w:r>
    </w:p>
    <w:p w14:paraId="4CFB19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80CD2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года в НИИ ВВС закончились гос. испытания опытного двухмоторного бомбардировщика ДБ-240 2М-105, которые проходили с 27 сентября 1940</w:t>
      </w:r>
    </w:p>
    <w:p w14:paraId="7EFB3E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07AC71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Отделения 1 отдела НИИ ВВС в/инженер 1 ранга Марков</w:t>
      </w:r>
    </w:p>
    <w:p w14:paraId="7D9237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3 ранга Фингеров</w:t>
      </w:r>
    </w:p>
    <w:p w14:paraId="6D67AC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летчики:</w:t>
      </w:r>
    </w:p>
    <w:p w14:paraId="3D4BA8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капитан Дудкин</w:t>
      </w:r>
    </w:p>
    <w:p w14:paraId="1A8EEB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майор Нюхтиков</w:t>
      </w:r>
    </w:p>
    <w:p w14:paraId="77FE3C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построен по постановлению КО № 227 от 29 июля 1939 года.</w:t>
      </w:r>
    </w:p>
    <w:p w14:paraId="6F6558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Была задана постройка двух экземпляров двухмоторного бомбардировщика дальнего действия. Сроки готовности самолетов были установлены:</w:t>
      </w:r>
    </w:p>
    <w:p w14:paraId="1E0581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экземпляр – к 1 апреля 1940 года</w:t>
      </w:r>
    </w:p>
    <w:p w14:paraId="5439D5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экземпляр – к 1 мая 1940 года</w:t>
      </w:r>
    </w:p>
    <w:p w14:paraId="49C21D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самолета предъявлен на госиспытания 27 сентября 1940 года.</w:t>
      </w:r>
    </w:p>
    <w:p w14:paraId="36FDEE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на госиспытания самолет имеет отступления от тактико-технических требований.</w:t>
      </w:r>
    </w:p>
    <w:p w14:paraId="46C4EA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 них следующие:</w:t>
      </w:r>
    </w:p>
    <w:p w14:paraId="0B5D2F6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Отсутствует установка под фотоаппарат – АФА-"Б".</w:t>
      </w:r>
    </w:p>
    <w:p w14:paraId="10F0CC2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Отсутствуют антиобледенители крыла, оперения и винтов моторов.</w:t>
      </w:r>
    </w:p>
    <w:p w14:paraId="00D3C09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Отсутствует обогрев кабин самолета.</w:t>
      </w:r>
    </w:p>
    <w:p w14:paraId="568F457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Отсутствует подвеска осветительных бомб.</w:t>
      </w:r>
    </w:p>
    <w:p w14:paraId="516857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2AF643F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соответствие самолета тактико-техническим требованиям.</w:t>
      </w:r>
    </w:p>
    <w:p w14:paraId="4499D5A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состояние и работу винтомоторной группы.</w:t>
      </w:r>
    </w:p>
    <w:p w14:paraId="5CA59A9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бомбардировочного и стрелкового вооружений.</w:t>
      </w:r>
    </w:p>
    <w:p w14:paraId="58278A0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электрооборудования и связи.</w:t>
      </w:r>
    </w:p>
    <w:p w14:paraId="7FE7618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Дать эксплуатационную оценку самолета.</w:t>
      </w:r>
    </w:p>
    <w:p w14:paraId="6A960F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ДБ-240 с двумя моторами М-105 и винтами ВИШ-22Е Д=3,0 м конструкции Ермолаева, производства завода № 240.</w:t>
      </w:r>
    </w:p>
    <w:p w14:paraId="19D8B5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Испытываемый самолет представляет из себя цельнометаллический моноплан с крылом "обратной чайки".</w:t>
      </w:r>
    </w:p>
    <w:p w14:paraId="29BFC6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испытания – 19 дней, из них летных дней – 10.</w:t>
      </w:r>
    </w:p>
    <w:p w14:paraId="3D3AB5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госиспытаний было произведено 28 полетов продолжительностью 26 час. 40 мин.</w:t>
      </w:r>
    </w:p>
    <w:p w14:paraId="105DB2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7591B19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самолет ДБ-240 с двумя моторами М-105 конструкции инженера Ермолаева производства завода № 240 на госиспытаниях показал, что:</w:t>
      </w:r>
    </w:p>
    <w:p w14:paraId="7157ED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самолет имеет неудовлетворительную продольную и недостаточную поперечную устойчивость и весьма большие усилия на штурвал и педали;</w:t>
      </w:r>
    </w:p>
    <w:p w14:paraId="554FED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самолет имеет большую длину разбега, требующую для эксплуатации самолета в перегрузочном варианте аэродромов размерами 2500х2500 м со взлетной дорожкой 1200-1300 м;</w:t>
      </w:r>
    </w:p>
    <w:p w14:paraId="765BDA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не доведено стрелковое вооружение, исключающее возможность его нормальной эксплуатации;</w:t>
      </w:r>
    </w:p>
    <w:p w14:paraId="3CCA31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бомбардировочное вооружение не обеспечивает безопасное сбрасывание бомб и не дает возможности разгрузить бомбовый отсек от бомб калибром 250 и 500 кг;</w:t>
      </w:r>
    </w:p>
    <w:p w14:paraId="33ECB9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перегрев масла и воды, что не обеспечивает нормальную эксплуатацию винтомоторной группы и приводит к снижению летных данных самолета при высоких температурах воздуха у земли,</w:t>
      </w:r>
    </w:p>
    <w:p w14:paraId="1B95A1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также ряд других дефектов, затрудняющих его эксплуатацию.</w:t>
      </w:r>
    </w:p>
    <w:p w14:paraId="5650F8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устранения основных дефектов самолет ДБ-240 не может быть допущен для нормальной эксплуатации в строевых частях ВВС.</w:t>
      </w:r>
    </w:p>
    <w:p w14:paraId="7B4C7DA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Наряду с перечисленными недостатками, самолет ДБ-240 имеет ряд весьма положительных свойств – хороший обзор из кабин летчика и штурмана, большую емкость бензобаков, возможность подвески внутри фюзеляжа 4-х бомб по 500 кг, хорошую схему оборонительного огня и несложность взлета и посадки.</w:t>
      </w:r>
    </w:p>
    <w:p w14:paraId="407D642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Наличие у самолета ДБ-240 с моторами М-105 большой длины разбега и низкого потолка указывает, что моторы М-105 для самолета ДБ-240 являются слабыми по своей мощности и высотности. С моторами М-105 самолет ДБ-240 считать переходным к самолету с более мощными моторами.</w:t>
      </w:r>
    </w:p>
    <w:p w14:paraId="257923E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Признать целесообразным постройку самолета ДБ-240 под моторы АМ-35А и в дальнейшем под мотор АМ-37 или под дизель.</w:t>
      </w:r>
    </w:p>
    <w:p w14:paraId="33645EE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экземпляр самолета ДБ-240 2М-105, находящийся в НИИ ВВС, необходимо немедленно передать на завод № 240, с целью установки на него к 15 декабря 1940 года моторов АМ-35А, доводки управляемости самолетом и выявления летно-тактических данных с мотором АМ-35А.</w:t>
      </w:r>
    </w:p>
    <w:p w14:paraId="2C992D3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Дефекты самолета ДБ-240, выявленные в процессе госиспытаний, подлежат устранению на самолетах ДБ-240 в порядке и по срокам, которые установит командование ГУ ВВС.</w:t>
      </w:r>
    </w:p>
    <w:p w14:paraId="0B686F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из самолетов ДБ-240 2М-105 производства завода № 18, с устраненными дефектами, надлежит предъявить в НИИ ВВС на контрольные испытания.</w:t>
      </w:r>
    </w:p>
    <w:p w14:paraId="40865C6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необходимым поручить гл. конструктору самолета ДБ-240 и директору завода № 18 подготовить на заводе № 18 эталон первого полугодия 1941 года самолета ДБ-240 с моторами АМ-35А, редукция которых должна быть наивыгоднейшая.</w:t>
      </w:r>
    </w:p>
    <w:p w14:paraId="7D944FD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быстрейшей доводки и отработки самолета ДБ-240 необходимо провести войсковые испытания самолетов ДБ-240 с моторами М-105, обязав завод № 18 предъявить самолеты ДБ-240 на войсковые испытания к 1 декабря 1940 года.</w:t>
      </w:r>
    </w:p>
    <w:p w14:paraId="3DC78BD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низкое качество заводских испытаний самолета, в результате чего основные дефекты самолета на заводских испытаниях были не вскрыты и должным образом не оценены, что привело к затяжкам в устранении дефектов самолета ДБ-240 (7763).</w:t>
      </w:r>
    </w:p>
    <w:p w14:paraId="2B4CEC3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410E88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вышел приказ НКАП N 545 о том, что на ТБ-7 должны быть установлены колеса 1660х585 мм, допускающие эксплуатацию с весом 32 т (1295,312).</w:t>
      </w:r>
    </w:p>
    <w:p w14:paraId="6586D3B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74B7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ВВС рассмотрели макет кабины летчика ПБ Б-2 А.А.А. (1759,6).</w:t>
      </w:r>
    </w:p>
    <w:p w14:paraId="18A8B1B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AB631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и 7 ГУ Гарелик писал письмо N 3/2185 на завод 135 Жиганову в сопровождении протокола совещания Постоянной комиссии НКАП по рассмотрению эскизного проекта СПБ, утвержденный А.С.Я. (1448,129).</w:t>
      </w:r>
    </w:p>
    <w:p w14:paraId="5A86178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540B7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Протокол № 21. Решения ПБ за 27 сентября - 28 октября 1940 г.</w:t>
      </w:r>
    </w:p>
    <w:p w14:paraId="7ED5F0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27.9.40 г.</w:t>
      </w:r>
    </w:p>
    <w:p w14:paraId="707A4D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 Вопрос КО. О постройке авиамотора МБ-100*.</w:t>
      </w:r>
    </w:p>
    <w:p w14:paraId="1EEBDB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30.9.40 г.</w:t>
      </w:r>
    </w:p>
    <w:p w14:paraId="595DD6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26. Об увеличении производства газового бензина (постановление СНК СССР и ЦК ВКП (б)).</w:t>
      </w:r>
    </w:p>
    <w:p w14:paraId="000418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02. 10.40 г.</w:t>
      </w:r>
    </w:p>
    <w:p w14:paraId="383592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 46. Об увеличении дальности истребителей и о поставке их производства на заводах (постановление СНК СССР и ЦК ВКП (б))*. </w:t>
      </w:r>
      <w:r w:rsidRPr="00A3026E">
        <w:rPr>
          <w:rFonts w:ascii="Times New Roman" w:hAnsi="Times New Roman"/>
          <w:color w:val="000000" w:themeColor="text1"/>
          <w:sz w:val="16"/>
          <w:szCs w:val="16"/>
          <w:u w:val="single"/>
        </w:rPr>
        <w:t>04. 10. 40 г.</w:t>
      </w:r>
    </w:p>
    <w:p w14:paraId="7A3D61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60. Об изготовлении новых образцов вооружения для НКО (постановление СНК СССР и ЦК ВКП (б))*.</w:t>
      </w:r>
    </w:p>
    <w:p w14:paraId="1FE22B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u w:val="single"/>
        </w:rPr>
      </w:pPr>
      <w:r w:rsidRPr="00A3026E">
        <w:rPr>
          <w:rFonts w:ascii="Times New Roman" w:hAnsi="Times New Roman"/>
          <w:color w:val="000000" w:themeColor="text1"/>
          <w:sz w:val="16"/>
          <w:szCs w:val="16"/>
          <w:u w:val="single"/>
        </w:rPr>
        <w:t>08.10.40 г.</w:t>
      </w:r>
    </w:p>
    <w:p w14:paraId="429B1C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99. Об организации производства боевых самолетов и авиационных моторов на Украине (11773).</w:t>
      </w:r>
    </w:p>
    <w:p w14:paraId="539194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П.100. О строительстве в Ленинграде второго авиамоторного завода*.</w:t>
      </w:r>
    </w:p>
    <w:p w14:paraId="12F2D7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09.10. 40 г.</w:t>
      </w:r>
    </w:p>
    <w:p w14:paraId="093BF3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117. О самолетах И-301*.</w:t>
      </w:r>
    </w:p>
    <w:p w14:paraId="5BEB20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15. 10.40 г.</w:t>
      </w:r>
    </w:p>
    <w:p w14:paraId="664F08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215. О постройке самолетов «100»*.</w:t>
      </w:r>
    </w:p>
    <w:p w14:paraId="0114F5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17.10.40 г.</w:t>
      </w:r>
    </w:p>
    <w:p w14:paraId="1C0FDF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239. Об организации производства боевых самолетов в г. Ростове (постановление СНК СССРиЦКВКП(б))*.</w:t>
      </w:r>
    </w:p>
    <w:p w14:paraId="27ECC5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240. Об организации производства боевых самолетов и авиационных моторов в Белоруссии (постановление СНК СССР и ЦК ВКП (б))*.</w:t>
      </w:r>
    </w:p>
    <w:p w14:paraId="416835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242. О производстве авиационных моторов М-105 на Горьковском авиазаводе им. Молотова*.</w:t>
      </w:r>
    </w:p>
    <w:p w14:paraId="55DB77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18.10.40 г.</w:t>
      </w:r>
    </w:p>
    <w:p w14:paraId="5F84EC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246. О постройке мастерских для снаряжения боевых патронов из стреляных гильз*.</w:t>
      </w:r>
    </w:p>
    <w:p w14:paraId="09812D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23.10.40 г.</w:t>
      </w:r>
    </w:p>
    <w:p w14:paraId="3BBFB5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289. О производстве моторов М-63 и М-81 (постановление ЦК ВКП (б) и СНК СССР)*.</w:t>
      </w:r>
    </w:p>
    <w:p w14:paraId="44AC7F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24.10.40 г.</w:t>
      </w:r>
    </w:p>
    <w:p w14:paraId="28971D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301. О производстве винтовок на Подольском механическом заводе* (11773).</w:t>
      </w:r>
    </w:p>
    <w:p w14:paraId="485DA1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B15E9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вышло постановление КО N 402 "О постройке самолетов 100" о постройке 5 экз. 2-х моторного высотного истребителя ВИ-100 с М-105ТК-2 со сдачей 1-го экз. к 30 июня 1941, а второго - к концу августа 1941. Ответственные - ОТБ и завод 39 (822).</w:t>
      </w:r>
    </w:p>
    <w:p w14:paraId="22A329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этом же постановлении говорилось и о высотном бомбардировщике ББ-100 с 2хМ-105ТК-2 (822).</w:t>
      </w:r>
    </w:p>
    <w:p w14:paraId="687CE6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постановление вышло во изменение постановления КО от 23 июня 1940 N 275 о постройке в первом полугодии 1941 10 самолетов 100 в варианте истребителя сопровождения:</w:t>
      </w:r>
    </w:p>
    <w:p w14:paraId="1AA866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Обязать НКАП и НКВД вместо 10 самолетов спроектировать и построить на базе серийного самолета ПБ-100 с мотором М-105 ТК-2 (1273):</w:t>
      </w:r>
    </w:p>
    <w:p w14:paraId="495E4B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высотный скоростной бомбардировщик ВБ-100 с герметической кабиной в количестве 5 экз.;</w:t>
      </w:r>
    </w:p>
    <w:p w14:paraId="418028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высотный истребитель ВИ-100 с герметической кабиной в количестве 5 экз. (1273).</w:t>
      </w:r>
    </w:p>
    <w:p w14:paraId="6CAE08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Установить следующие сроки выхода самолета на заводские испытания:</w:t>
      </w:r>
    </w:p>
    <w:p w14:paraId="6B8418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1-й экз. самолета ВБ-100 - 15 июня 1941</w:t>
      </w:r>
    </w:p>
    <w:p w14:paraId="45A427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1-й экз. самолета ВИ-100 - 30 июня 1941</w:t>
      </w:r>
    </w:p>
    <w:p w14:paraId="4593B1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остальные 4 ВБ-100 и 4 ВИ-100 изготовить к концу 1941</w:t>
      </w:r>
    </w:p>
    <w:p w14:paraId="4E1333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Обязать НКАП для быстрейшей постройки высотных самолетов организовать не позднее 1 января 1941 на заводе 39 опытную производственную базу (1273).</w:t>
      </w:r>
    </w:p>
    <w:p w14:paraId="51A2FB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Получается, что В.М.П. не вместо С.В.И., а + к нему. Подписали К.Е.В. и М.Пугаев (1273).</w:t>
      </w:r>
    </w:p>
    <w:p w14:paraId="74A81B8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5D5798A" w14:textId="77777777" w:rsidR="00303EB6" w:rsidRPr="00A3026E" w:rsidRDefault="00303EB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 октября 1940</w:t>
      </w:r>
    </w:p>
    <w:p w14:paraId="49A495EC" w14:textId="77777777" w:rsidR="00303EB6" w:rsidRPr="00A3026E" w:rsidRDefault="00303EB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1028. Решения ПБ за 27 сентября — 28 октября 1940 г. (протокол № 21)</w:t>
      </w:r>
    </w:p>
    <w:p w14:paraId="4A186310" w14:textId="77777777" w:rsidR="00303EB6" w:rsidRPr="00A3026E" w:rsidRDefault="00303EB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15.Х.40 г.</w:t>
      </w:r>
    </w:p>
    <w:p w14:paraId="249D3EF8" w14:textId="77777777" w:rsidR="00303EB6" w:rsidRPr="00A3026E" w:rsidRDefault="00303EB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215. О постройке самолетов «100». — ОП (20920).</w:t>
      </w:r>
    </w:p>
    <w:p w14:paraId="3F8587FC" w14:textId="77777777" w:rsidR="00303EB6" w:rsidRPr="00A3026E" w:rsidRDefault="00303EB6" w:rsidP="00A3026E">
      <w:pPr>
        <w:spacing w:after="0" w:line="240" w:lineRule="auto"/>
        <w:jc w:val="both"/>
        <w:rPr>
          <w:rFonts w:ascii="Times New Roman" w:hAnsi="Times New Roman"/>
          <w:color w:val="0070C0"/>
          <w:sz w:val="16"/>
          <w:szCs w:val="16"/>
        </w:rPr>
      </w:pPr>
    </w:p>
    <w:p w14:paraId="7034CE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года вышло постановление КО № 402</w:t>
      </w:r>
    </w:p>
    <w:p w14:paraId="34EC8B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Постройка 5 экз. двухмоторного высотного истребителя «ВИ-100» с моторами М-105 ТК-2.</w:t>
      </w:r>
    </w:p>
    <w:p w14:paraId="71A98E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w:t>
      </w:r>
    </w:p>
    <w:p w14:paraId="10BD2F9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 – к 30 июня 1941 года</w:t>
      </w:r>
    </w:p>
    <w:p w14:paraId="44D7C43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остальных экземпляра к концу августа 1941 года</w:t>
      </w:r>
    </w:p>
    <w:p w14:paraId="249059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ОТБ НКВД, завод № 39 (4048, 4).</w:t>
      </w:r>
    </w:p>
    <w:p w14:paraId="50BA580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7D023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года постановление № 402сс КО</w:t>
      </w:r>
    </w:p>
    <w:p w14:paraId="26F60F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постройке самолетов "100"</w:t>
      </w:r>
    </w:p>
    <w:p w14:paraId="48C31E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изменение постановления КО 23 июня 1940 года № 275сс о постройке в первом полугодии 1941 года 10 самолетов "100" в варианте истребителя сопровождения, КО постановляет:</w:t>
      </w:r>
    </w:p>
    <w:p w14:paraId="007CEF1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Обязать Наркомваиапром и НКВД вместо 10 самолетов истребителей спроектировать и построить на базе серийного самолета "ПБ-100" с моторами М-105-ТК-2:</w:t>
      </w:r>
    </w:p>
    <w:p w14:paraId="53EC7B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высотный скоростной бомбардировщик "ВБ-100" с герметической кабиной в количестве 5 экземпляров со следующими летно-тактическими данными:</w:t>
      </w:r>
    </w:p>
    <w:p w14:paraId="32388E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 2 человека – летчик и штурман</w:t>
      </w:r>
    </w:p>
    <w:p w14:paraId="3EB3BA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у земли – 465 км/час</w:t>
      </w:r>
    </w:p>
    <w:p w14:paraId="0FF947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9000 м – 580-600 км/час</w:t>
      </w:r>
    </w:p>
    <w:p w14:paraId="6939EC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дальность на скорости 400 км/час – 2200 км</w:t>
      </w:r>
    </w:p>
    <w:p w14:paraId="6E2BDD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23D5D9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вперед 2 пулемета Шкас 7,62 мм</w:t>
      </w:r>
    </w:p>
    <w:p w14:paraId="5DF92C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назад 1 пулемет Шкас 7,62 мм</w:t>
      </w:r>
    </w:p>
    <w:p w14:paraId="3B368B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 нормальная – 600 кг</w:t>
      </w:r>
    </w:p>
    <w:p w14:paraId="368BFD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 максимальная – 1000 кг</w:t>
      </w:r>
    </w:p>
    <w:p w14:paraId="338C6F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высотный истребитель "ВИ-100" с герметической кабиной в количестве 5 экземпляров со следующими летно-тактическими данными:</w:t>
      </w:r>
    </w:p>
    <w:p w14:paraId="2D9141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 2 человека – летчик и штурман</w:t>
      </w:r>
    </w:p>
    <w:p w14:paraId="388C86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у земли – 465 км/час</w:t>
      </w:r>
    </w:p>
    <w:p w14:paraId="02202D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9000 м – 580-600 км/час</w:t>
      </w:r>
    </w:p>
    <w:p w14:paraId="276F08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дальность на скорости 400 км/час – 2200 км</w:t>
      </w:r>
    </w:p>
    <w:p w14:paraId="69A4F5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786A53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вперед – 2 пушки Швак 20 мм или 2 пушки Таубина 23 мм, 2 пулемета Шкас 7,62 мм</w:t>
      </w:r>
    </w:p>
    <w:p w14:paraId="22091A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назад 1 пулемет Шкас 7,62 мм</w:t>
      </w:r>
    </w:p>
    <w:p w14:paraId="524BFAD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Установить следующие сроки выхода самолетов на заводские испытания:</w:t>
      </w:r>
    </w:p>
    <w:p w14:paraId="47E415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а) первый экземпляр самолета "ВБ-100" – 15 июня 1941 года</w:t>
      </w:r>
    </w:p>
    <w:p w14:paraId="141C9D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первый экземпляр самолета "ВИ-100" – 30 июня 1941 года</w:t>
      </w:r>
    </w:p>
    <w:p w14:paraId="28C267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остальные 4 самолета "ВБ-100" и 4 самолета "ВИ-100" изготовить к концу августа 1941 года (7595, 235-236).</w:t>
      </w:r>
    </w:p>
    <w:p w14:paraId="4518AA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Обязать НКАП для быстрейшей постройки высотных самолетов организовать не позднее 1 января 1941 на заводе 39 опытную производственную базу в виде монтажно-сборочного цеха, снабдив его необходимым количеством станкового оборудования.</w:t>
      </w:r>
    </w:p>
    <w:p w14:paraId="5E4E5F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Обязать НКАП - директора завода № 26</w:t>
      </w:r>
    </w:p>
    <w:p w14:paraId="7FAEC3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обеспечить завод № 39 поставкой в требуемом количестве моторов М-105 в комплукте с ТК типа ТК-2 и автоматами управления ТК по ТУ завода № 39 не позже 1 мая 1941 г.</w:t>
      </w:r>
    </w:p>
    <w:p w14:paraId="6E8BA0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провести до 1 февраля 1941 на самолете СБ летные испытания моторов М-105 с ТК на нормальном и форсированном наддуве на разных высотах.</w:t>
      </w:r>
    </w:p>
    <w:p w14:paraId="7DA8D7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обеспечить завод № 39 поставкой 6-ти моторов М-105 с форсированным наддувом в комплекте с ТК и автоматами ТК не позднее 1 июля 1941 г.</w:t>
      </w:r>
    </w:p>
    <w:p w14:paraId="5163D1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НКАП обеспечить завод № 39 изделиями из плексигласа по ТУ завода № 39 (10395).</w:t>
      </w:r>
    </w:p>
    <w:p w14:paraId="7D5738F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31F8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Зам. нач. 7 ГУ НКАП С.Шишкин писал письмо N 23/2188 Пред. СОП при СНК СССР Вознесенскому (2090,197):</w:t>
      </w:r>
    </w:p>
    <w:p w14:paraId="1626C2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Сообщаю основные данные самолетов ДИС-200 и ББ-22 ДИС, находящихся в проектировании и постройке и самолетов И-200 и И-26, прошедших гос. испытания...(2090,197).</w:t>
      </w:r>
    </w:p>
    <w:p w14:paraId="68087F3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904EB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и 7 ГУ Гарелик писал письмо N 3/2181 ГК завода 135 П.Ф.Грушину в сопровождении протокола совещания Постоянной комиссии НКАП по рассмотрению эскизного проекта самолета ДИС-135, утвержденный А.С.Я. (1448).</w:t>
      </w:r>
    </w:p>
    <w:p w14:paraId="3CD8A44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22CC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и 7 ГУ Гарелик писал письмо N 3/2183 на завод 1 А.И.М. в сопровождении протокола совещания Постоянной комиссии НКАП по рассмотрению эскизного проекта ДИС, утвержденный А.С.Я. (1448,118).</w:t>
      </w:r>
    </w:p>
    <w:p w14:paraId="781F3BF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14D1B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и 7 ГУ Гарелик писал письмо N 3/2184 на завод 51 Н.Н.П. в сопровождении протокола совещания Постоянной комиссии НКАП по рассмотрению эскизного проекта ТИС, утвержденный А.С.Я., при условии дальности не менее 2000 км на 0.8 макс. (1448,118).</w:t>
      </w:r>
    </w:p>
    <w:p w14:paraId="661A2A1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CE23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и 7 ГУ Гарелик писал письмо N 3/2186 на завод 207 Боровкову в сопровождении протокола совещания Постоянной комиссии НКАП по рассмотрению эскизного проекта маневренного скоростного истребителя, утвержденный А.С.Я. (1448,129).</w:t>
      </w:r>
    </w:p>
    <w:p w14:paraId="4341439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9CA23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и 7 ГУ Гарелик писал письмо N 3/2187 на завод 156 ГК Кочеригину в сопровождении протокола совещания Постоянной комиссии НКАП по рассмотрению трех предложений по эскизному проекту, утвержденный А.С.Я. (1448,129).</w:t>
      </w:r>
    </w:p>
    <w:p w14:paraId="1ACBB78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4B8F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А.И.Ш. писал письмо К.Е.В. о том, что проект скоростного двухмоторного двухместного истребителя Ефремова, оборудованного специальным реактором, своего рода ПВРД, одобренным коллегией НКАП в 1939, был рассмотрен 3 августа 1940 в экспертной комиссии НКАП под пред. Б.Н.Юрьева. Комиссия сделала заключение о целесообразности экспериментальной проверки предложения и рекомендовала оборудовать реактором Ефремова И-16 М-62 с ТК и провести испытания в ЦАГИ.</w:t>
      </w:r>
    </w:p>
    <w:p w14:paraId="31C93D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в ЦАГИ были закончены к 17 августа и скорость на высоте 3000 м возросла на 16 км/час, а на 8000 м - на 26 км/час. Кроме того, устраняется яркое пламя выхлопа, характерное для машин с ТК и тем самым улучшается маскировка самолета и снижается ослепление л.</w:t>
      </w:r>
    </w:p>
    <w:p w14:paraId="10477F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установки - 25 кг. было очевидно, что положительный эффект д.б. повышаться на самолетах с большими скоростями.</w:t>
      </w:r>
    </w:p>
    <w:p w14:paraId="21F634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этим целесообразно провести эксперимент на одном из существующих скоростных самолетов, а специальный самолет строить преждевременно (3844,37).</w:t>
      </w:r>
    </w:p>
    <w:p w14:paraId="7D59FC2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2A847D" w14:textId="77777777" w:rsidR="00AD23CA"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00AD23CA" w:rsidRPr="00A3026E">
        <w:rPr>
          <w:rFonts w:ascii="Times New Roman" w:hAnsi="Times New Roman"/>
          <w:color w:val="000000" w:themeColor="text1"/>
          <w:sz w:val="16"/>
          <w:szCs w:val="16"/>
        </w:rPr>
        <w:t>15 октября 1940 г. в письме к К.Е. Ворошилову И.И. Шахурин сообщал, что проект истребителя (Ефремова) рассматривался 3 августа 1940 г. в экспертной комиссии НКАП под председательством Академика Б.Н. Юрьева. Комиссия сделала заключение о целесообразности экспериментальной проверки предложения и рекомендовала оборудовать реактором истребитель И-16 с мотором М-62 с турбокомпрессором и провести испытания в ЦАГИ. Испытания были закончены к 17 августа 1940 г. Скорость на высоте 3000 м возросла на 16 км/час; а на высоте 8000 м - на 26 км/ час. Кроме того, было установлено, что яркое пламя выхлопа мотора, сопутствующее обычному самолету с турбокомпрессором, устраняется при применении реактора Ефремова, благодаря чему улучшается маскировка самолета и снижается ослепление летчика во время ночных полетов. Результаты показывают, что предложение Ефремова является ценным и заслуживает внимания, как дающее значительное увеличение скорости самолета с турбокомпрессорами. При этом вес установки составлял 25 кг. Было очевидно, что положительный эффект должен был повышаться на самолетах с большими скоростями полета. В связи с этим, целесообразно провести эксперимент на одном из существующих скоростных самолетов. Строить специальный самолет преждевременно (15531).</w:t>
      </w:r>
    </w:p>
    <w:p w14:paraId="7A2964AE" w14:textId="77777777" w:rsidR="00AD23CA" w:rsidRPr="00A3026E" w:rsidRDefault="00AD23CA" w:rsidP="00A3026E">
      <w:pPr>
        <w:spacing w:after="0" w:line="240" w:lineRule="auto"/>
        <w:jc w:val="both"/>
        <w:rPr>
          <w:rFonts w:ascii="Times New Roman" w:hAnsi="Times New Roman"/>
          <w:color w:val="000000" w:themeColor="text1"/>
          <w:sz w:val="16"/>
          <w:szCs w:val="16"/>
        </w:rPr>
      </w:pPr>
    </w:p>
    <w:p w14:paraId="21086D09" w14:textId="77777777" w:rsidR="00C66762" w:rsidRPr="00A3026E" w:rsidRDefault="00AD23C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00C66762" w:rsidRPr="00A3026E">
        <w:rPr>
          <w:rFonts w:ascii="Times New Roman" w:hAnsi="Times New Roman"/>
          <w:color w:val="000000" w:themeColor="text1"/>
          <w:sz w:val="16"/>
          <w:szCs w:val="16"/>
        </w:rPr>
        <w:t>5 октября 1940 П.М.Стефановский испытывал И-26-3 на штопор и пикирование (1204,55).</w:t>
      </w:r>
    </w:p>
    <w:p w14:paraId="5B4BC3D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4A5EE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вышел приказ НКАП N 556 в исполнение постановления КО от 9 октября 1940 и во изменение приказа от 2 октября N 521 по вопросу о постановке на серийное производство на заводе 23 самолета И-26 приказано начальнику ПГУ и директора 23 поставить серийное производство И-301 на 23 заводе (959,62).</w:t>
      </w:r>
    </w:p>
    <w:p w14:paraId="6CAAFAE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667A1D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года вышел приказ НИИ ВВС № 0232</w:t>
      </w:r>
    </w:p>
    <w:p w14:paraId="00B8AB1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 штопор самолета И-16 с М-63 тип 29 № 292116 и И-16 с М-25В постройки завода № 21 (6890, 145).</w:t>
      </w:r>
    </w:p>
    <w:p w14:paraId="47897B0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041D9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М.И.Гудков писал письмо N 3/1619:</w:t>
      </w:r>
    </w:p>
    <w:p w14:paraId="794757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Дорогой И.В.С.</w:t>
      </w:r>
    </w:p>
    <w:p w14:paraId="4104CF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меня извинить и простить, что отрываю у Вас столь драгоценное время, но без Вашей помощи я сделать ничего не могу.</w:t>
      </w:r>
    </w:p>
    <w:p w14:paraId="709676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Дело в том, что я сделал проект скоростного одноместного истребителя дальнего радиуса действия, сопроводителя...Это по ГУ-1.</w:t>
      </w:r>
    </w:p>
    <w:p w14:paraId="575ED0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все эти положительные заключения и отзывы авторитетных людей нашей Авиации и явное преимущество моего проекта самолета, не убедительно для руководства нашего Наркомата, в особенности для тов. А.С.Я.</w:t>
      </w:r>
    </w:p>
    <w:p w14:paraId="6B81DC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того, что я встречаю со стороны А.С.Я. полное равнодушие и даже больше, абсолютное безразличие к предлагаемому мною проекту нового самолета, это вселило у меня уверенность в том, что А.С.Я. под всякими предлогами постарается не дать мне возможность построить мой самолет..." (2455,38).</w:t>
      </w:r>
    </w:p>
    <w:p w14:paraId="70027F5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DC3F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 конструктор Гудков М.И. (Завод N 301) писал письмо N 3/1619 Ворошилову.</w:t>
      </w:r>
    </w:p>
    <w:p w14:paraId="5E78B2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Газета "Правда" от 11 октября с.г. опубликовала, что американская фирма Белл-Эркрафт построила и закончила испытание нового самолета-истребителя Р-39 Эйркобра. Максимальная скорость этого самолета 640 км/час, дальность с подвесными бензобаками 1400 км и вооружением: одна пушка и 6 пулеметов; на трехколесном шасси; мотор с длинным валом.</w:t>
      </w:r>
    </w:p>
    <w:p w14:paraId="577303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я больше 2-х месяцев назад сделал проект такого же самолета, но с лучшими летными данными:</w:t>
      </w:r>
    </w:p>
    <w:p w14:paraId="724CEF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Максимальная скорость на высоте 7000 м - 700 км/час</w:t>
      </w:r>
    </w:p>
    <w:p w14:paraId="0C9920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Максимальная скорость у земли - 560 км/час</w:t>
      </w:r>
    </w:p>
    <w:p w14:paraId="697D1C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Дальность без подвесных бензобаков на 0,9 V max - 1060 км</w:t>
      </w:r>
    </w:p>
    <w:p w14:paraId="7FC701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Дальность с подвесными бензобаками на 0,9 V max - 1400 км</w:t>
      </w:r>
    </w:p>
    <w:p w14:paraId="109800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самолета состоит из 7-ми точек артиллерийского и пулеметного оружия:</w:t>
      </w:r>
    </w:p>
    <w:p w14:paraId="3256E5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Одна пушка ПТБ - 23 мм</w:t>
      </w:r>
    </w:p>
    <w:p w14:paraId="4AADF9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Два пулемета БС - 12,7 мм</w:t>
      </w:r>
    </w:p>
    <w:p w14:paraId="0F4298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Четыре ШКАСа - 7,62 мм</w:t>
      </w:r>
    </w:p>
    <w:p w14:paraId="08E62A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Пушка установлена для стрельбы через вал редуктора. 4 пулемета - синхронированны все в носу фюзеляжа. 2 ШКАСа в разъеме крыла.</w:t>
      </w:r>
    </w:p>
    <w:p w14:paraId="00EC40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в перегрузочном варианте на самолете может быть установлено следующее оружие:</w:t>
      </w:r>
    </w:p>
    <w:p w14:paraId="026AFE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Две бомбы по 100 кг ФАБ-100</w:t>
      </w:r>
    </w:p>
    <w:p w14:paraId="5DBBB1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Реактивные снаряды РС-82 - 8 шт.</w:t>
      </w:r>
    </w:p>
    <w:p w14:paraId="048789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Химические баллоны ВАП-6 - 2 шт.</w:t>
      </w:r>
    </w:p>
    <w:p w14:paraId="5EB4E5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Все это оружие подвешивается под крылом в любой комбинации.</w:t>
      </w:r>
    </w:p>
    <w:p w14:paraId="5CC7D7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Концентрация мощного вооружения в 7 точек, т.е. 1 пушка, 6 пулеметов, подвеска 2-х бомб по 100 кг, реактивные снаряды 8 шт., химические баллоны 2 шт. - ставит мой самолет на первое место по сравнению с другими самолетами, как иностранными, так и отечественными по мощи огня.</w:t>
      </w:r>
    </w:p>
    <w:p w14:paraId="79A1E9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Отличительными особенностями моего самолета являются: установленный в середине фюзеляжа мотор, приводящий в движение винт при помощи длинного вала, трехколесное шасси, мощное вооружение и большой запас горючего.</w:t>
      </w:r>
    </w:p>
    <w:p w14:paraId="538090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Расположение мотора в середине фюзеляжа дает возможность придать хорошую аэродинамическую форму носа фюзеляжа позволяет расположить летчика впереди, благодаря чему достигается хороший обзор.</w:t>
      </w:r>
    </w:p>
    <w:p w14:paraId="062BFB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Прекрасный обзор у летчика, мощное вооружение, большая скорость, большая дальность - основные качества истребителя в моем проекте полностью обеспечены...</w:t>
      </w:r>
    </w:p>
    <w:p w14:paraId="605BC2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виду того, что я встречаю со стороны Яковлева полное равнодушие... вселило в меня уверенность в том, что Яковлев под всякими предлогами постарается не дать мне возможность построить мой самолет.</w:t>
      </w:r>
    </w:p>
    <w:p w14:paraId="3B3CC0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 вопроса о постройке откладывается, время бесцельно пропадает, поэтому я решил обратиться к Вам лично прошу оказать мне помощь, чтобы я мог немедленно развернуть работу по проектированию и постройке данного самолета...</w:t>
      </w:r>
    </w:p>
    <w:p w14:paraId="24A48B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Оказанное Вами доверие по постройке самолета И-301 мне, как одному из авторов-конструкторов этого самолета, я по возможности оправдал тем, что наш самолет И-301 по своим данным находится в одном ряду с машинами старых конструкторов, это является для меня, как для молодого конструктора большой похвалой.</w:t>
      </w:r>
    </w:p>
    <w:p w14:paraId="57963B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39803E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w:t>
      </w:r>
    </w:p>
    <w:p w14:paraId="07F31B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Разрешить строить одновременно 4 самолета: два из них на 3-х колесном шасси и два на 2-х колесном шасси.</w:t>
      </w:r>
    </w:p>
    <w:p w14:paraId="14766E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гл. конструктора ОКБ завода N 24 Микулина немедленно приступить к постройке мотора АМ-37 с длинным валом...</w:t>
      </w:r>
    </w:p>
    <w:p w14:paraId="1E7F23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Установить срок выпуска на гос. испытания 2-х первых самолетов в июле 1941 года и 2-х вторых самолетов в августе 1941 года.</w:t>
      </w:r>
    </w:p>
    <w:p w14:paraId="0E84BF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Выписка из заключения НИИ ВВС по эскизному проекту самолета констр. Гудкова</w:t>
      </w:r>
    </w:p>
    <w:p w14:paraId="15BC30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Эскизный проект одноместного одномоторного истребителя с мотором АМ-37 в варианте с 3-х колесным шасси - одобрить.</w:t>
      </w:r>
    </w:p>
    <w:p w14:paraId="6F8BD7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Считать необходимым включить постройку самолета в план 1941 г. (3374).</w:t>
      </w:r>
    </w:p>
    <w:p w14:paraId="62E7BFA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FB0E6D9" w14:textId="77777777" w:rsidR="0041633C" w:rsidRPr="00A3026E" w:rsidRDefault="0041633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15 октября 1940 г. главный конструктор завода № 301 М. И. Гудков обратился к маршалу К. Е. Воро</w:t>
      </w:r>
      <w:r w:rsidRPr="00A3026E">
        <w:rPr>
          <w:color w:val="000000" w:themeColor="text1"/>
          <w:sz w:val="16"/>
          <w:szCs w:val="16"/>
        </w:rPr>
        <w:softHyphen/>
        <w:t>шилову с предложением построить опытный ско</w:t>
      </w:r>
      <w:r w:rsidRPr="00A3026E">
        <w:rPr>
          <w:color w:val="000000" w:themeColor="text1"/>
          <w:sz w:val="16"/>
          <w:szCs w:val="16"/>
        </w:rPr>
        <w:softHyphen/>
        <w:t>ростной истребитель с мощным стрелково-пушеч- ным вооружением и высокой скоростью полета. Самолет предназначался для «ведения активного воздушного боя /.../ и уничтожения самолетов про</w:t>
      </w:r>
      <w:r w:rsidRPr="00A3026E">
        <w:rPr>
          <w:color w:val="000000" w:themeColor="text1"/>
          <w:sz w:val="16"/>
          <w:szCs w:val="16"/>
        </w:rPr>
        <w:softHyphen/>
        <w:t>тивника мощным огнем в сочетании с большой ско</w:t>
      </w:r>
      <w:r w:rsidRPr="00A3026E">
        <w:rPr>
          <w:color w:val="000000" w:themeColor="text1"/>
          <w:sz w:val="16"/>
          <w:szCs w:val="16"/>
        </w:rPr>
        <w:softHyphen/>
        <w:t>ростью полета». По своей схеме самолет повторял американский истребитель Р-39 «Аэрокобра». По расчетам, с мотором АМ-37 максимальная скорость самолета на высоте 7000 м достигала 700 км/ч, по</w:t>
      </w:r>
      <w:r w:rsidRPr="00A3026E">
        <w:rPr>
          <w:color w:val="000000" w:themeColor="text1"/>
          <w:sz w:val="16"/>
          <w:szCs w:val="16"/>
        </w:rPr>
        <w:softHyphen/>
        <w:t>садочная скорость — 135 км/ч, дальность полета — 1000 км. Вооружение включало пушку Таубина—Ба</w:t>
      </w:r>
      <w:r w:rsidRPr="00A3026E">
        <w:rPr>
          <w:color w:val="000000" w:themeColor="text1"/>
          <w:sz w:val="16"/>
          <w:szCs w:val="16"/>
        </w:rPr>
        <w:softHyphen/>
        <w:t>бурина ПТБ-23 калибра 23 мм, 2 пулемета калибра 12,7 мм и 2 пулемета ШКАС. Пушка устанавливалась в носовой части самолета для стрельбы через по</w:t>
      </w:r>
      <w:r w:rsidRPr="00A3026E">
        <w:rPr>
          <w:color w:val="000000" w:themeColor="text1"/>
          <w:sz w:val="16"/>
          <w:szCs w:val="16"/>
        </w:rPr>
        <w:softHyphen/>
        <w:t>лый вал редуктора мотора, пулеметы синхронные В своем письме М. И. Гудков просил у К. Е. Во</w:t>
      </w:r>
      <w:r w:rsidRPr="00A3026E">
        <w:rPr>
          <w:color w:val="000000" w:themeColor="text1"/>
          <w:sz w:val="16"/>
          <w:szCs w:val="16"/>
        </w:rPr>
        <w:softHyphen/>
        <w:t>рошилова содействия, так как со стороны замести</w:t>
      </w:r>
      <w:r w:rsidRPr="00A3026E">
        <w:rPr>
          <w:color w:val="000000" w:themeColor="text1"/>
          <w:sz w:val="16"/>
          <w:szCs w:val="16"/>
        </w:rPr>
        <w:softHyphen/>
        <w:t>теля наркома авиапромышленности А. С. Яковлева он встретил «полное равнодушие и даже больше, абсолютное безразличие к предлагаемому /. / проекту нового самолета». Гудков утверждал, что «т. Яковлев под всякими предлогами постарается не дать мне возможности построить мой самолет».</w:t>
      </w:r>
    </w:p>
    <w:p w14:paraId="709509F7" w14:textId="77777777" w:rsidR="0041633C" w:rsidRPr="00A3026E" w:rsidRDefault="0041633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К этому времени предложение Гудкова нашло поддержку у начальника ГУ ВВС генерала П. В. Ры- чагова, его заместителя генерала К. М. Гусева, на</w:t>
      </w:r>
      <w:r w:rsidRPr="00A3026E">
        <w:rPr>
          <w:color w:val="000000" w:themeColor="text1"/>
          <w:sz w:val="16"/>
          <w:szCs w:val="16"/>
        </w:rPr>
        <w:softHyphen/>
        <w:t>чальника НИИ ВВС генерала А. И. Филина и началь</w:t>
      </w:r>
      <w:r w:rsidRPr="00A3026E">
        <w:rPr>
          <w:color w:val="000000" w:themeColor="text1"/>
          <w:sz w:val="16"/>
          <w:szCs w:val="16"/>
        </w:rPr>
        <w:softHyphen/>
        <w:t>ника научно-технической группы НКАП известного летчика-испытателя М. М. Громова. На эскизный проект самолета положительное заключение дали экспертная комиссия НКАП под председательством Б. Н. Юрьева и специалисты НИИ ВВС. Микулин взял на себя обязательство разработать вариант мотора АМ-37 с удлиненным валом и выносным редукто</w:t>
      </w:r>
      <w:r w:rsidRPr="00A3026E">
        <w:rPr>
          <w:color w:val="000000" w:themeColor="text1"/>
          <w:sz w:val="16"/>
          <w:szCs w:val="16"/>
        </w:rPr>
        <w:softHyphen/>
        <w:t>ром.</w:t>
      </w:r>
    </w:p>
    <w:p w14:paraId="20AC41BE" w14:textId="77777777" w:rsidR="0041633C" w:rsidRPr="00A3026E" w:rsidRDefault="0041633C"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Отмечалось, что самолет «конструкции Гудкова представляет большой интерес для ВВС, /.../ по</w:t>
      </w:r>
      <w:r w:rsidRPr="00A3026E">
        <w:rPr>
          <w:color w:val="000000" w:themeColor="text1"/>
          <w:sz w:val="16"/>
          <w:szCs w:val="16"/>
        </w:rPr>
        <w:softHyphen/>
        <w:t>стройка самолета является крайне необходимой, /. / техническая возможность постройки самоле</w:t>
      </w:r>
      <w:r w:rsidRPr="00A3026E">
        <w:rPr>
          <w:color w:val="000000" w:themeColor="text1"/>
          <w:sz w:val="16"/>
          <w:szCs w:val="16"/>
        </w:rPr>
        <w:softHyphen/>
        <w:t>та особых трудностей не представляет». Считалось необходимым включить самолет в план опытного строительства на 1941 г. (17500).</w:t>
      </w:r>
    </w:p>
    <w:p w14:paraId="0B62D6FD" w14:textId="77777777" w:rsidR="0041633C" w:rsidRPr="00A3026E" w:rsidRDefault="0041633C" w:rsidP="00A3026E">
      <w:pPr>
        <w:spacing w:after="0" w:line="240" w:lineRule="auto"/>
        <w:jc w:val="both"/>
        <w:rPr>
          <w:rFonts w:ascii="Times New Roman" w:eastAsia="Times New Roman" w:hAnsi="Times New Roman"/>
          <w:color w:val="000000" w:themeColor="text1"/>
          <w:sz w:val="16"/>
          <w:szCs w:val="16"/>
          <w:lang w:eastAsia="ru-RU"/>
        </w:rPr>
      </w:pPr>
    </w:p>
    <w:p w14:paraId="69DE6D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года конструктор Гудков писал И.В.С. письмо N 3/1619 (2455,38):</w:t>
      </w:r>
    </w:p>
    <w:p w14:paraId="152AB6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Дорогой Иосиф Виссарионович!</w:t>
      </w:r>
    </w:p>
    <w:p w14:paraId="22AF8F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меня извинить и простить, что отрываю у Вас столь драгоценное время, но без Вашей помощи я сделать ничего не смогу.</w:t>
      </w:r>
    </w:p>
    <w:p w14:paraId="4424BE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Дело в том, что я сделал проект скоростного одноместного истребителя дальнего радиуса действия, сопроводителя со следующими летными данными:</w:t>
      </w:r>
    </w:p>
    <w:p w14:paraId="50B18B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Максимальная скорость на высоте 7000 м - 700 км/час</w:t>
      </w:r>
    </w:p>
    <w:p w14:paraId="4647D1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Максимальная скорость у земли - 560 км/час</w:t>
      </w:r>
    </w:p>
    <w:p w14:paraId="4C3ECB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Дальность без подвесных бензобаков на 0,9 V максимум - 1060 км</w:t>
      </w:r>
    </w:p>
    <w:p w14:paraId="200111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Дальность с подвесными бензобаками на 0,9 V максимум - 1400 км</w:t>
      </w:r>
    </w:p>
    <w:p w14:paraId="640A7D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самолета состоит из 7-ми точек артиллерийского и пулеметного оружия:</w:t>
      </w:r>
    </w:p>
    <w:p w14:paraId="018705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Одна пушка ПТБ-23 мм</w:t>
      </w:r>
    </w:p>
    <w:p w14:paraId="33E89F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Два пулемета Б.С. - 12,7 мм</w:t>
      </w:r>
    </w:p>
    <w:p w14:paraId="7E4D67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Четыре ШКАС"а - 7, 62 мм</w:t>
      </w:r>
    </w:p>
    <w:p w14:paraId="7A7641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Пушка установлена для стрельбы через вал редуктора. 4 пулемета - синхронизированы все в носу фюзеляжа. 2 ШКАС"а в разъеме крыла.</w:t>
      </w:r>
    </w:p>
    <w:p w14:paraId="25BCF9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в перегрузочном варианте на самолете может быть установлено следующее оружие:</w:t>
      </w:r>
    </w:p>
    <w:p w14:paraId="5DC2C0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Две бомбы по 100 кг ФАБ-100.</w:t>
      </w:r>
    </w:p>
    <w:p w14:paraId="137134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Реактивные снаряды РС-82 - 8 шт.</w:t>
      </w:r>
    </w:p>
    <w:p w14:paraId="78F5D1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Химические баллоны ВАП-6 - 2 шт.</w:t>
      </w:r>
    </w:p>
    <w:p w14:paraId="0965B9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это оружие подвешивается под крылом в любой комбинации.</w:t>
      </w:r>
    </w:p>
    <w:p w14:paraId="1E99D3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Концентрация мощного вооружения в 7 точек, т.е.: 1 пушка, 6 пулеметов, подвеска 2-х бомб по 100 кг, реактивные снаряды 8 шт., химические баллоны 2 шт., - ставит мой самолет на первое место по сравнению с другими самолетами, как иностранными, так и отечественными по мощи огня.</w:t>
      </w:r>
    </w:p>
    <w:p w14:paraId="0E451D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Мой проект одобрен начальником ВВС КА генерал-лейтенантом Рычаговым, рассмотрен и утвержден НИИ ВВС КА генерал-майором Филиным и зам. нач. ВВС генерал-лейтенантом Гусевым. Одобрен Героем Советского Союза Громовым, а также одобрен комиссией по рассмотрению эскизных проектов НКАП в составе: проф. Юрьева, проф. Пышнова, инженеров Машкевич и Алексеева.</w:t>
      </w:r>
    </w:p>
    <w:p w14:paraId="0C9A33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Указанные товарищи считают необходимым построить такой самолет, который имеет целый ряд преимуществ по сравнению с обычными схемами самолетов.</w:t>
      </w:r>
    </w:p>
    <w:p w14:paraId="12AB93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Отличительными особенностями моего самолета являются: установленный в середине фюзеляжа мотор, приводящий в движение винт при помощи длинного вала, трехколесное шасси, мощное вооружение и большой запас горючего. В Америке такой самолет построен фирмой Бэлл, идущий под обозначением Р-39 Эйркобра, имеющий скорость 640 км/час, этот самолет принят на вооружение американского и английского ВВС, как это видно из сообщения газеты "Правда" от 11/Х-40 г.</w:t>
      </w:r>
    </w:p>
    <w:p w14:paraId="5B3B24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данном этапе развития авиации для получения больших скоростей, необходимо идти по линии усовершенствования аэродинамики самолета, за счет облагораживания формы самолета, так как увеличение мощности мотора влечет за собой увеличение габаритов мотора, что при обычном размещении мотора в носу фюзеляжа увеличивает любое сопротивление и не дает значительного прироста скорости.</w:t>
      </w:r>
    </w:p>
    <w:p w14:paraId="06E12C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Поэтому конструктора Америки для получения больших скоростей сейчас идут по пути усовершенствования аэродинамики самолета.</w:t>
      </w:r>
    </w:p>
    <w:p w14:paraId="077CD6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Одним из решений задачи улучшения аэродинамики является применение мотора с удлиненным валом, что позволяет поместить мотор в максимальном миделе; например, расположение мотора в середине фюзеляжа дает возможность придать хорошую аэродинамическую форму носа фюзеляжа, уменьшая любое сопротивление и позволяет расположить летчика впереди, благодаря чему достигается хороший обзор, чего невозможно осуществить в обычной схеме самолета, при расположении мотора в носу фюзеляжа.</w:t>
      </w:r>
    </w:p>
    <w:p w14:paraId="5B350F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Данное преимущество в обзоре чрезвычайно важно для ведения воздушного боя и для ориентировки во время пилотирования в строю на дальние маршруты при сопровождении бомбардировщиков.</w:t>
      </w:r>
    </w:p>
    <w:p w14:paraId="1DB1B2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Прекрасный обзор у летчика, мощное вооружение, большая скорость, большая дальность, все эти главные качества для истребителя являются самыми необходимыми для того, чтобы иметь преимущество над самолетами противника - в моем проекте полностью обеспечены и признаны правильными вышеуказанными авторитетными работниками нашей авиации, которые подтвердили свои выводы соответствующими документами, каковые я при сем прилагаю.</w:t>
      </w:r>
    </w:p>
    <w:p w14:paraId="4529D2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все эти положительные заключения и отзывы авторитетных людей нашей авиации и явное преимущество моего проекта самолета, не убедительно для руководства нашего Наркомата, в особенности для Яковлева.</w:t>
      </w:r>
    </w:p>
    <w:p w14:paraId="70894F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виду того, что я встречаю со стороны Яковлева полное равнодушие и даже больше, абсолютное безразличие к предлагаемому мною проекту нового самолета, это вселило у меня уверенность в том, что Яковлев под всякими предлогами постарается не дать мне возможности построить мой самолет.</w:t>
      </w:r>
    </w:p>
    <w:p w14:paraId="5EBDB3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Решение вопроса о постройке откладывается, время бесцельно пропадает, поэтому я решился обратиться к Вам родной Иосиф Виссарионович и прошу Вас оказать мне помощь, чтобы я смог немедленно, не теряя времени развернуть работу по проектированию и постройке данного самолета и если возможно, то вызовите меня для личного доклада, я приеду с проектом, Вы посмотрите и оцените его достоинства и недостатки.</w:t>
      </w:r>
    </w:p>
    <w:p w14:paraId="2EA8C3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Оказанное Вами доверие по постройке самолета И-301 мне, как одному из авторов-конструкторов этого самолета, я по возможности оправдал тем, что наш самолет И-301 по своим данным находится в одном ряду с машинами старых конструкторов, это является для меня как молодого конструктора большой похвалой.</w:t>
      </w:r>
    </w:p>
    <w:p w14:paraId="1B61E1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Убежден и надеюсь, что я оправдаю Ваше доверие и в будущем по новому заданию.</w:t>
      </w:r>
    </w:p>
    <w:p w14:paraId="150241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того, чтобы выполнить задание по выпуску нашей советской "Эйркобры", мне будет нужно следующее:</w:t>
      </w:r>
    </w:p>
    <w:p w14:paraId="1298A1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Разрешить немедленно развернуть работы по проектированию и постройке.</w:t>
      </w:r>
    </w:p>
    <w:p w14:paraId="046BF9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Передать в полное мое ведение, чтобы я был полновластный хозяин, опытно-производственную базу, которая имеется и на мой взгляд, неправильно предполагается использоваться - это старый завод ЦАГИ, бывший АГОС, на улице Радио. Это вполне действующий опытный завод, где имеется: механический цех с полным комплектом станочного оборудования, термический цех, сварочный цех, слесарный цех, медницкий цех, цех покрытий, сборочный цех; в общем все цеха, т.е. вполне законченный самолетостроительный опытный завод. Но его хотят превратить в демонстрационный зал Бюро новой техники, тогда как для этой цели целесообразно взять любое непроизводственное помещение, а этот действующий завод, не требующий никаких капиталовложений для перестройки, оставить для опытного самолетостроения.</w:t>
      </w:r>
    </w:p>
    <w:p w14:paraId="3D53D3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случае, если завод АГОС-ЦАГИ нельзя будет передать, то можно построить мой самолет на следующих заводах:</w:t>
      </w:r>
    </w:p>
    <w:p w14:paraId="53ED67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 бывшем авиационном заводе N 25 в Авиационном переулке, где в настоящее время находится цех ширпотреба завода N 1.</w:t>
      </w:r>
    </w:p>
    <w:p w14:paraId="55B3DA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мастерских Союзфото, принадлежащих Комитету кинематографии на ленинградском шоссе у поселка Сокол.</w:t>
      </w:r>
    </w:p>
    <w:p w14:paraId="6FE253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Красносельской мебельной фабрике.</w:t>
      </w:r>
    </w:p>
    <w:p w14:paraId="589AA4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Указанные заводы с небольшими затратами можно организовать в небольшие опытные самолетостроительные заводы.</w:t>
      </w:r>
    </w:p>
    <w:p w14:paraId="3FB3E1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разрешить строить одновременно 4 самолета: два из них на 3-х колесном шасси и два на 2-х колесном шасси.</w:t>
      </w:r>
    </w:p>
    <w:p w14:paraId="72D4E6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Обязать главного конструктора ОКБ завода N 24 Микулина немедленно приступить к постройке мотора АМ-37 с длинным валом, который дал свое согласие построить такой мотор, подтвердив свое согласие письмом (при сем прилагаю).</w:t>
      </w:r>
    </w:p>
    <w:p w14:paraId="6C9715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Установить срок выпуска на государственные испытания 2-х первых самолетов в июле 1941 г. и 2-х вторых самолетов в августе 1941 г.</w:t>
      </w:r>
    </w:p>
    <w:p w14:paraId="7B2BDE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Жду с нетерпением Вашего ответ на мое письмо.</w:t>
      </w:r>
    </w:p>
    <w:p w14:paraId="5D0927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Еще раз прошу простить меня за беспокойство (2455,38).</w:t>
      </w:r>
    </w:p>
    <w:p w14:paraId="434E5E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заключение по проекту НИИ ВВС, утвержденное Филиным и Гусевым, отзывы Рычагова и Громова, письмо Микулина (2455,38).</w:t>
      </w:r>
    </w:p>
    <w:p w14:paraId="308000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Выписка</w:t>
      </w:r>
    </w:p>
    <w:p w14:paraId="39AB76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заключения НИИ ВВС по эскизному проекту самолета конструкции Гудкова.</w:t>
      </w:r>
    </w:p>
    <w:p w14:paraId="01E009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 Вывода:</w:t>
      </w:r>
    </w:p>
    <w:p w14:paraId="0AD3F6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Предъявленный на рассмотрение эскизный проект истребителя конструктора Гудкова, представляет большой интерес для ВВС КА тем, что в нем нашли применение 3-х колесное шасси и удлиненный вал мотора, позволяющий значительно улучшить аэродинамику самолета в сочетании с хорошим обзором из кабины летчика.</w:t>
      </w:r>
    </w:p>
    <w:p w14:paraId="00AFCA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целом самолет получает ряд преимуществ перед самолетами обычных схем и постройка такого самолета является крайне необходимой. Техническая возможность постройки самолета особенных трудностей не представляет тем более, что самолеты такой схемы имеются уже на вооружении иностранных армий (Белл-39).</w:t>
      </w:r>
    </w:p>
    <w:p w14:paraId="7308B6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Запроектированная автором проекта максимальная скорость 700 км/час на высоте 7000 м реальна и может быть признана достаточной при условии поступления самолета на гос. испытания в первой половине 1941 г. Реальной также является и максимальная скорость у земли, равная 560 км/час.</w:t>
      </w:r>
    </w:p>
    <w:p w14:paraId="304500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Конструктору, однако, необходимо принять меры к увеличению скорости самолета, тем более, что возможности для этого в проекте имеются: на самолете может быть установлена более эффективная установка радиатора воды с использованием реакции выхлопных газов, установлена внутренняя антенна рации и т.д.</w:t>
      </w:r>
    </w:p>
    <w:p w14:paraId="623352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VI. Заключение.</w:t>
      </w:r>
    </w:p>
    <w:p w14:paraId="65F98F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Эскизный проект одноместного одномоторного истребителя с мотором АМ-37 конструкции Гудкова в варианте с 3-х колесным шасси - одобрить.</w:t>
      </w:r>
    </w:p>
    <w:p w14:paraId="31F670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Считаю необходимым включить постройку самолета в план 1941 г.</w:t>
      </w:r>
    </w:p>
    <w:p w14:paraId="564730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Предложить главному конструктору Гудкову не позднее, чем за 20 дней до предъявления макета, предъявить в НИИ ВВС расчеты взлетно-посадочных свойств и устойчивости самолета с закрылками, зависанием элеронов и предкрылками для обоих вариантов самолета. (Врид. нач-ка НИИ ВВС военинженер 1 ранга Лосюков).</w:t>
      </w:r>
    </w:p>
    <w:p w14:paraId="040F04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августа 1940 года (2455,38).</w:t>
      </w:r>
    </w:p>
    <w:p w14:paraId="4F2BEB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Отзыв</w:t>
      </w:r>
    </w:p>
    <w:p w14:paraId="62F0C1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начальника ВВС КА генерал-лейтенанта Рычагова по проекту самолета конструкции Гудкова.</w:t>
      </w:r>
    </w:p>
    <w:p w14:paraId="493D05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Согласен.</w:t>
      </w:r>
    </w:p>
    <w:p w14:paraId="451268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Надо построить такой самолет с посадочной скоростью не более 125-130 км в двух вариантах - на трехколесном шасси и с костылем во втором варианте. (Рычагов).</w:t>
      </w:r>
    </w:p>
    <w:p w14:paraId="6E50EF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августа 1940 года (2455,38).</w:t>
      </w:r>
    </w:p>
    <w:p w14:paraId="32093D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Отзыв</w:t>
      </w:r>
    </w:p>
    <w:p w14:paraId="278C71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Героя Советского Союза Громова</w:t>
      </w:r>
    </w:p>
    <w:p w14:paraId="51FC0B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проекту самолета конструкции Гудкова.</w:t>
      </w:r>
    </w:p>
    <w:p w14:paraId="4D46D6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скоростного истребителя Гудкова М.И. является принципиально новым по своей схеме, что представляет определенный интерес.</w:t>
      </w:r>
    </w:p>
    <w:p w14:paraId="319577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Расположение мотора в максимальной миделе, позволяет придать хорошую аэродинамическую форму фюзеляжу, уменьшая лобовое сопротивление, а также позволяет поместить летчика в такое положение, благодаря которому обеспечивается хороший обзор, что очень важно для ведения воздушного боя и для ориентировки.</w:t>
      </w:r>
    </w:p>
    <w:p w14:paraId="4E13F4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необходимым и интересным построить такой самолет в двух вариантах с трехколесными и двухколесными шасси. (Громов) (2455,38).</w:t>
      </w:r>
    </w:p>
    <w:p w14:paraId="6E84AE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августа 1940 года.</w:t>
      </w:r>
    </w:p>
    <w:p w14:paraId="73373E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Письмо</w:t>
      </w:r>
    </w:p>
    <w:p w14:paraId="295504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главного конструктора завода N 24 Микулина.</w:t>
      </w:r>
    </w:p>
    <w:p w14:paraId="3D8CBD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случае утверждения Правительством этого задания, ОКБ завода имени Фрунзе технически может выполнить мотор в реальные сроки. (Микулин) (2455,38).</w:t>
      </w:r>
    </w:p>
    <w:p w14:paraId="5B50E0A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8C842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 в письме К.Е.Ворошилову М.И.Гудков предложил построить опытный высокоскоростной истребитель с мощным стрелково-пушечным вооружениием, включающим пушку Таубина-Бабурина ПТБ-23 калибра 23 мм, два пулемета калибра 12,7 мм и четыре пулемета ШКАС, по своей схеме повторяющий американский истребитель Р-39 «Аэрокобра».</w:t>
      </w:r>
    </w:p>
    <w:p w14:paraId="45B9CE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Он просил поддержки у К.Е.Ворошилова, поскольку со стороны А.С.Яковлева он встречал «...полное равнодушие и даже больше, абсолютное безразличие к предлагаемому... проекту нового самолета, это вселило у меня уверенность в том, что т. Яковлев под всякими предлогами постарается не дать мне возможности построить мой самолет».</w:t>
      </w:r>
    </w:p>
    <w:p w14:paraId="044663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Гудкова нашло поддержку у Начальника ВВС П.В.Рычагова, летчика-испытателя М.М.Громова. На эскизный проект самолета дали положительное заключение комиссия Б.Н.Юрьева и НИИ ВВС. А.А.Микулин взял обязательство разработать вариант мотора АМ-37 с удлиненным валом и выносным редуктором (9649).</w:t>
      </w:r>
    </w:p>
    <w:p w14:paraId="1B75494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D8907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и 7 ГУ Гарелик писал письмо N 3/2180 Нач. КБ завода 84 И.П.Мосолову:</w:t>
      </w:r>
    </w:p>
    <w:p w14:paraId="0CE34A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НКАП А.С.Я. эскизный проект модификации ПС-84 не утвержден, т.к. модификация десантного варианта самолета Дуглас нецелесообразна." (1448,167).</w:t>
      </w:r>
    </w:p>
    <w:p w14:paraId="06B809A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D5764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и 7 ГУ Гарелик писал письмо N 3/2182 на завод 47 т. Гоцелюк в сопровождении протокола совещания Постоянной комиссии НКАП по рассмотрению эскизного проекта одноместного УТС с МВ-6, утвержденный А.С.Я. (1448).</w:t>
      </w:r>
    </w:p>
    <w:p w14:paraId="7CBDF0E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CEAB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вышел приказ НКАП N 564сс, которым О.К.А. был назначен нач. ОКБ завода 380 с освобождением от должности ГК завода 23 и перевели сотрудников (875,32).</w:t>
      </w:r>
    </w:p>
    <w:p w14:paraId="1CA0A2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Назначить начальником КБ завода № 380 и О.К.А. с освобождением от должности ГК завода 23</w:t>
      </w:r>
    </w:p>
    <w:p w14:paraId="59766F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Для организации КБперевести на з-д № 380 ИТР и рабочихОК отдела завода № 23 про прилагаемому списку (875,32).</w:t>
      </w:r>
    </w:p>
    <w:p w14:paraId="2FAF787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9AE14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 октября 1940 г. по приказу № 564с </w:t>
      </w:r>
      <w:r w:rsidRPr="00A3026E">
        <w:rPr>
          <w:rFonts w:ascii="Times New Roman" w:hAnsi="Times New Roman"/>
          <w:color w:val="000000" w:themeColor="text1"/>
          <w:sz w:val="16"/>
          <w:szCs w:val="16"/>
          <w:lang w:val="en-US"/>
        </w:rPr>
        <w:t>O</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K</w:t>
      </w:r>
      <w:r w:rsidRPr="00A3026E">
        <w:rPr>
          <w:rFonts w:ascii="Times New Roman" w:hAnsi="Times New Roman"/>
          <w:color w:val="000000" w:themeColor="text1"/>
          <w:sz w:val="16"/>
          <w:szCs w:val="16"/>
        </w:rPr>
        <w:t>. Антонов освобожден от должности гл. конструктора завода № 23 и назначен начальником Опытного конструкторского отдела завода № 380 для продолжения работ по самолету ОКА-38 «Аист». Вместе с Антоновым переведена группа ИТР с завода № 23.</w:t>
      </w:r>
    </w:p>
    <w:p w14:paraId="2647CD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В 02.1941 г. ОКО был влит в состав СКО завода. По приказу № 281сс от 29.03.1941 г. личный состав ОКО гл. конструктора </w:t>
      </w:r>
      <w:r w:rsidRPr="00A3026E">
        <w:rPr>
          <w:rFonts w:ascii="Times New Roman" w:hAnsi="Times New Roman"/>
          <w:color w:val="000000" w:themeColor="text1"/>
          <w:sz w:val="16"/>
          <w:szCs w:val="16"/>
          <w:lang w:val="en-US"/>
        </w:rPr>
        <w:t>O</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K</w:t>
      </w:r>
      <w:r w:rsidRPr="00A3026E">
        <w:rPr>
          <w:rFonts w:ascii="Times New Roman" w:hAnsi="Times New Roman"/>
          <w:color w:val="000000" w:themeColor="text1"/>
          <w:sz w:val="16"/>
          <w:szCs w:val="16"/>
        </w:rPr>
        <w:t>. Антонова и 23 конструктора с завода № 380 вместе с техдокументацией были переведены на завод № 465 НКАП в Каунас для организации и сопровождения серии самолета ОКА-38 и планера «Рот-Фронт- 8». Антонов назначен гл. инженером (конструктором) завода № 465 (11982).</w:t>
      </w:r>
    </w:p>
    <w:p w14:paraId="2B99C2D4" w14:textId="77777777" w:rsidR="00AD23CA" w:rsidRPr="00A3026E" w:rsidRDefault="00AD23CA" w:rsidP="00A3026E">
      <w:pPr>
        <w:spacing w:after="0" w:line="240" w:lineRule="auto"/>
        <w:jc w:val="both"/>
        <w:rPr>
          <w:rFonts w:ascii="Times New Roman" w:hAnsi="Times New Roman"/>
          <w:color w:val="000000" w:themeColor="text1"/>
          <w:sz w:val="16"/>
          <w:szCs w:val="16"/>
        </w:rPr>
      </w:pPr>
    </w:p>
    <w:p w14:paraId="44D409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15 октября по 15 декабря 1940 проходили заводские испытания СС О.К.А. (2090,232).</w:t>
      </w:r>
    </w:p>
    <w:p w14:paraId="1588953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D19B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 по приказу № 551сс/261сс корпус завода «Лентекстильмаш» НКОМ (Чугунолитейный и механический завод «</w:t>
      </w:r>
      <w:r w:rsidRPr="00A3026E">
        <w:rPr>
          <w:rFonts w:ascii="Times New Roman" w:hAnsi="Times New Roman"/>
          <w:color w:val="000000" w:themeColor="text1"/>
          <w:sz w:val="16"/>
          <w:szCs w:val="16"/>
          <w:lang w:val="en-US"/>
        </w:rPr>
        <w:t>P</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P</w:t>
      </w:r>
      <w:r w:rsidRPr="00A3026E">
        <w:rPr>
          <w:rFonts w:ascii="Times New Roman" w:hAnsi="Times New Roman"/>
          <w:color w:val="000000" w:themeColor="text1"/>
          <w:sz w:val="16"/>
          <w:szCs w:val="16"/>
        </w:rPr>
        <w:t>. Озолинг и наследники», 2-й ремонтно- механический и литейный завод им. Коппа, Механический завод № 7, Механический завод № 8 ВСНХ, Ленинградский государственный завод текстильных машин «Лентекстильмаш» НКТП, НКОМ /г. Санкт-Петербург,  г. Петроград,  г. Ленинград/) был передан НКАП в состав вновь созданного завода № 387.</w:t>
      </w:r>
    </w:p>
    <w:p w14:paraId="0B52D7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08.1941 г. завод эвакуирован в Казань, где и остался.</w:t>
      </w:r>
    </w:p>
    <w:p w14:paraId="04139D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1944 г. на старой площадке завода в Ленинграде образован завод № 287 НКАП (11982).</w:t>
      </w:r>
    </w:p>
    <w:p w14:paraId="7F87438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3786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 за № 3/00152 зам. начальника ГУ ВВС генерал-лейтенанту авиации Гусеву были представлены из НИИ ВВС для справок Данные для справок по серийным и опытным самолетам (6630).</w:t>
      </w:r>
    </w:p>
    <w:p w14:paraId="043306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модификаций самолета И-16 по годам и типам</w:t>
      </w:r>
    </w:p>
    <w:p w14:paraId="3499C0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ЦКБ-12 1934 г. опытный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3F646E6A" w14:textId="77777777" w:rsidTr="00EA0DA7">
        <w:tc>
          <w:tcPr>
            <w:tcW w:w="5636" w:type="dxa"/>
            <w:tcBorders>
              <w:top w:val="single" w:sz="12" w:space="0" w:color="auto"/>
            </w:tcBorders>
          </w:tcPr>
          <w:p w14:paraId="09860B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766297B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М-22</w:t>
            </w:r>
          </w:p>
        </w:tc>
      </w:tr>
      <w:tr w:rsidR="00983732" w:rsidRPr="00A3026E" w14:paraId="7ED74E6F" w14:textId="77777777" w:rsidTr="00EA0DA7">
        <w:tc>
          <w:tcPr>
            <w:tcW w:w="5636" w:type="dxa"/>
          </w:tcPr>
          <w:p w14:paraId="0AECA9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3435610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 Д-2,8</w:t>
            </w:r>
          </w:p>
        </w:tc>
      </w:tr>
      <w:tr w:rsidR="00983732" w:rsidRPr="00A3026E" w14:paraId="509E1C40" w14:textId="77777777" w:rsidTr="00EA0DA7">
        <w:tc>
          <w:tcPr>
            <w:tcW w:w="5636" w:type="dxa"/>
          </w:tcPr>
          <w:p w14:paraId="24E8E7D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1612218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1345</w:t>
            </w:r>
          </w:p>
        </w:tc>
      </w:tr>
      <w:tr w:rsidR="00983732" w:rsidRPr="00A3026E" w14:paraId="413AE5D9" w14:textId="77777777" w:rsidTr="00EA0DA7">
        <w:tc>
          <w:tcPr>
            <w:tcW w:w="5636" w:type="dxa"/>
          </w:tcPr>
          <w:p w14:paraId="5CAEB10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34C9EAA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D43CC69" w14:textId="77777777" w:rsidTr="00EA0DA7">
        <w:tc>
          <w:tcPr>
            <w:tcW w:w="5636" w:type="dxa"/>
          </w:tcPr>
          <w:p w14:paraId="0B909AF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459697A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359</w:t>
            </w:r>
          </w:p>
        </w:tc>
      </w:tr>
      <w:tr w:rsidR="00983732" w:rsidRPr="00A3026E" w14:paraId="42ECBE43" w14:textId="77777777" w:rsidTr="00EA0DA7">
        <w:tc>
          <w:tcPr>
            <w:tcW w:w="5636" w:type="dxa"/>
          </w:tcPr>
          <w:p w14:paraId="6D05B8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0F86D6D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359</w:t>
            </w:r>
          </w:p>
        </w:tc>
      </w:tr>
      <w:tr w:rsidR="00983732" w:rsidRPr="00A3026E" w14:paraId="595E6B79" w14:textId="77777777" w:rsidTr="00EA0DA7">
        <w:tc>
          <w:tcPr>
            <w:tcW w:w="5636" w:type="dxa"/>
          </w:tcPr>
          <w:p w14:paraId="0F4BE7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6DEDDD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w:t>
            </w:r>
          </w:p>
        </w:tc>
      </w:tr>
      <w:tr w:rsidR="00983732" w:rsidRPr="00A3026E" w14:paraId="0780D26E" w14:textId="77777777" w:rsidTr="00EA0DA7">
        <w:tc>
          <w:tcPr>
            <w:tcW w:w="5636" w:type="dxa"/>
          </w:tcPr>
          <w:p w14:paraId="164DE6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4584822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12-14</w:t>
            </w:r>
          </w:p>
        </w:tc>
      </w:tr>
      <w:tr w:rsidR="00983732" w:rsidRPr="00A3026E" w14:paraId="2F7D0DB8" w14:textId="77777777" w:rsidTr="00EA0DA7">
        <w:tc>
          <w:tcPr>
            <w:tcW w:w="5636" w:type="dxa"/>
          </w:tcPr>
          <w:p w14:paraId="7415806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77EBE35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w:t>
            </w:r>
          </w:p>
        </w:tc>
      </w:tr>
      <w:tr w:rsidR="00983732" w:rsidRPr="00A3026E" w14:paraId="5344AA3C" w14:textId="77777777" w:rsidTr="00EA0DA7">
        <w:tc>
          <w:tcPr>
            <w:tcW w:w="5636" w:type="dxa"/>
          </w:tcPr>
          <w:p w14:paraId="6B841D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46700A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7180</w:t>
            </w:r>
          </w:p>
        </w:tc>
      </w:tr>
      <w:tr w:rsidR="00983732" w:rsidRPr="00A3026E" w14:paraId="79C5C286" w14:textId="77777777" w:rsidTr="00EA0DA7">
        <w:tc>
          <w:tcPr>
            <w:tcW w:w="5636" w:type="dxa"/>
          </w:tcPr>
          <w:p w14:paraId="0C4399D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187273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w:t>
            </w:r>
          </w:p>
        </w:tc>
      </w:tr>
      <w:tr w:rsidR="00983732" w:rsidRPr="00A3026E" w14:paraId="05C48D80" w14:textId="77777777" w:rsidTr="00EA0DA7">
        <w:tc>
          <w:tcPr>
            <w:tcW w:w="5636" w:type="dxa"/>
          </w:tcPr>
          <w:p w14:paraId="32C484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3817D7F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249274B3" w14:textId="77777777" w:rsidTr="00EA0DA7">
        <w:tc>
          <w:tcPr>
            <w:tcW w:w="5636" w:type="dxa"/>
          </w:tcPr>
          <w:p w14:paraId="6075238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08E06BC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прототип</w:t>
            </w:r>
          </w:p>
        </w:tc>
      </w:tr>
      <w:tr w:rsidR="00983732" w:rsidRPr="00A3026E" w14:paraId="370B51C9" w14:textId="77777777" w:rsidTr="00EA0DA7">
        <w:tc>
          <w:tcPr>
            <w:tcW w:w="5636" w:type="dxa"/>
          </w:tcPr>
          <w:p w14:paraId="2193C99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Pr>
          <w:p w14:paraId="3DA9D2D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Ненадежна обшивка крыла.</w:t>
            </w:r>
          </w:p>
        </w:tc>
      </w:tr>
      <w:tr w:rsidR="00983732" w:rsidRPr="00A3026E" w14:paraId="66BC009A" w14:textId="77777777" w:rsidTr="00EA0DA7">
        <w:tc>
          <w:tcPr>
            <w:tcW w:w="5636" w:type="dxa"/>
          </w:tcPr>
          <w:p w14:paraId="484D5C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5AD98B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Непрочные капоты.</w:t>
            </w:r>
          </w:p>
        </w:tc>
      </w:tr>
      <w:tr w:rsidR="00983732" w:rsidRPr="00A3026E" w14:paraId="08375DA8" w14:textId="77777777" w:rsidTr="00EA0DA7">
        <w:tc>
          <w:tcPr>
            <w:tcW w:w="5636" w:type="dxa"/>
          </w:tcPr>
          <w:p w14:paraId="556FFEF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44944C1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Негодные шасси.</w:t>
            </w:r>
          </w:p>
        </w:tc>
      </w:tr>
      <w:tr w:rsidR="00983732" w:rsidRPr="00A3026E" w14:paraId="13B28DAA" w14:textId="77777777" w:rsidTr="00EA0DA7">
        <w:tc>
          <w:tcPr>
            <w:tcW w:w="5636" w:type="dxa"/>
            <w:tcBorders>
              <w:bottom w:val="single" w:sz="12" w:space="0" w:color="auto"/>
            </w:tcBorders>
          </w:tcPr>
          <w:p w14:paraId="4F10A6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4CE1F64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Недоведено вооружение и спецоборуд.</w:t>
            </w:r>
          </w:p>
        </w:tc>
      </w:tr>
    </w:tbl>
    <w:p w14:paraId="43F174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105654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ЦКБ-12бис 1934 г. опытный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15883BB0" w14:textId="77777777" w:rsidTr="00EA0DA7">
        <w:tc>
          <w:tcPr>
            <w:tcW w:w="5636" w:type="dxa"/>
            <w:tcBorders>
              <w:top w:val="single" w:sz="12" w:space="0" w:color="auto"/>
            </w:tcBorders>
          </w:tcPr>
          <w:p w14:paraId="670B778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3DF5B0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Р.Ц. F-3</w:t>
            </w:r>
          </w:p>
        </w:tc>
      </w:tr>
      <w:tr w:rsidR="00983732" w:rsidRPr="00A3026E" w14:paraId="79BD64F2" w14:textId="77777777" w:rsidTr="00EA0DA7">
        <w:tc>
          <w:tcPr>
            <w:tcW w:w="5636" w:type="dxa"/>
          </w:tcPr>
          <w:p w14:paraId="26668A0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46CB20F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 Д-2,8</w:t>
            </w:r>
          </w:p>
        </w:tc>
      </w:tr>
      <w:tr w:rsidR="00983732" w:rsidRPr="00A3026E" w14:paraId="18D8F16A" w14:textId="77777777" w:rsidTr="00EA0DA7">
        <w:tc>
          <w:tcPr>
            <w:tcW w:w="5636" w:type="dxa"/>
          </w:tcPr>
          <w:p w14:paraId="71D68C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4ED33D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1430</w:t>
            </w:r>
          </w:p>
        </w:tc>
      </w:tr>
      <w:tr w:rsidR="00983732" w:rsidRPr="00A3026E" w14:paraId="04F7C769" w14:textId="77777777" w:rsidTr="00EA0DA7">
        <w:tc>
          <w:tcPr>
            <w:tcW w:w="5636" w:type="dxa"/>
          </w:tcPr>
          <w:p w14:paraId="55B228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2EB586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B02EB09" w14:textId="77777777" w:rsidTr="00EA0DA7">
        <w:tc>
          <w:tcPr>
            <w:tcW w:w="5636" w:type="dxa"/>
          </w:tcPr>
          <w:p w14:paraId="30A9C8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7C6EA02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362</w:t>
            </w:r>
          </w:p>
        </w:tc>
      </w:tr>
      <w:tr w:rsidR="00983732" w:rsidRPr="00A3026E" w14:paraId="1CC9F342" w14:textId="77777777" w:rsidTr="00EA0DA7">
        <w:tc>
          <w:tcPr>
            <w:tcW w:w="5636" w:type="dxa"/>
          </w:tcPr>
          <w:p w14:paraId="79FF7D4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5975F1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437</w:t>
            </w:r>
          </w:p>
        </w:tc>
      </w:tr>
      <w:tr w:rsidR="00983732" w:rsidRPr="00A3026E" w14:paraId="4A3E20F0" w14:textId="77777777" w:rsidTr="00EA0DA7">
        <w:tc>
          <w:tcPr>
            <w:tcW w:w="5636" w:type="dxa"/>
          </w:tcPr>
          <w:p w14:paraId="0A85DD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4C99FAF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05E7BC3E" w14:textId="77777777" w:rsidTr="00EA0DA7">
        <w:tc>
          <w:tcPr>
            <w:tcW w:w="5636" w:type="dxa"/>
          </w:tcPr>
          <w:p w14:paraId="4C8262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40F8051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r>
      <w:tr w:rsidR="00983732" w:rsidRPr="00A3026E" w14:paraId="06FD7733" w14:textId="77777777" w:rsidTr="00EA0DA7">
        <w:tc>
          <w:tcPr>
            <w:tcW w:w="5636" w:type="dxa"/>
          </w:tcPr>
          <w:p w14:paraId="262D402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310424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w:t>
            </w:r>
          </w:p>
        </w:tc>
      </w:tr>
      <w:tr w:rsidR="00983732" w:rsidRPr="00A3026E" w14:paraId="374D3A43" w14:textId="77777777" w:rsidTr="00EA0DA7">
        <w:tc>
          <w:tcPr>
            <w:tcW w:w="5636" w:type="dxa"/>
          </w:tcPr>
          <w:p w14:paraId="44D2A3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5FC5835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7180</w:t>
            </w:r>
          </w:p>
        </w:tc>
      </w:tr>
      <w:tr w:rsidR="00983732" w:rsidRPr="00A3026E" w14:paraId="696CB6E8" w14:textId="77777777" w:rsidTr="00EA0DA7">
        <w:tc>
          <w:tcPr>
            <w:tcW w:w="5636" w:type="dxa"/>
          </w:tcPr>
          <w:p w14:paraId="28C0EE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0C77C2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540/2900</w:t>
            </w:r>
          </w:p>
        </w:tc>
      </w:tr>
      <w:tr w:rsidR="00983732" w:rsidRPr="00A3026E" w14:paraId="7A8328C9" w14:textId="77777777" w:rsidTr="00EA0DA7">
        <w:tc>
          <w:tcPr>
            <w:tcW w:w="5636" w:type="dxa"/>
          </w:tcPr>
          <w:p w14:paraId="0AB1D46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632E19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278C8F64" w14:textId="77777777" w:rsidTr="00EA0DA7">
        <w:tc>
          <w:tcPr>
            <w:tcW w:w="5636" w:type="dxa"/>
          </w:tcPr>
          <w:p w14:paraId="14C0A1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3D0FF09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ЦКБ-12 М-22 отличается другой ВМГ, улучшенной конструкцией шасси, упрочненным крылом, тоннельным капотом.</w:t>
            </w:r>
          </w:p>
        </w:tc>
      </w:tr>
      <w:tr w:rsidR="00983732" w:rsidRPr="00A3026E" w14:paraId="1BE6126B" w14:textId="77777777" w:rsidTr="00EA0DA7">
        <w:tc>
          <w:tcPr>
            <w:tcW w:w="5636" w:type="dxa"/>
          </w:tcPr>
          <w:p w14:paraId="5665C9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Pr>
          <w:p w14:paraId="19E9080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Недоведено шасси.</w:t>
            </w:r>
          </w:p>
        </w:tc>
      </w:tr>
      <w:tr w:rsidR="00983732" w:rsidRPr="00A3026E" w14:paraId="50594BA0" w14:textId="77777777" w:rsidTr="00EA0DA7">
        <w:tc>
          <w:tcPr>
            <w:tcW w:w="5636" w:type="dxa"/>
          </w:tcPr>
          <w:p w14:paraId="645D61D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6D7F868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Непрочны капоты и выхлопные патрубки.</w:t>
            </w:r>
          </w:p>
        </w:tc>
      </w:tr>
      <w:tr w:rsidR="00983732" w:rsidRPr="00A3026E" w14:paraId="7B775C0F" w14:textId="77777777" w:rsidTr="00EA0DA7">
        <w:tc>
          <w:tcPr>
            <w:tcW w:w="5636" w:type="dxa"/>
          </w:tcPr>
          <w:p w14:paraId="0CB71DC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67FD4CC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Перегрев масла в полете.</w:t>
            </w:r>
          </w:p>
        </w:tc>
      </w:tr>
      <w:tr w:rsidR="00983732" w:rsidRPr="00A3026E" w14:paraId="692D8A33" w14:textId="77777777" w:rsidTr="00EA0DA7">
        <w:tc>
          <w:tcPr>
            <w:tcW w:w="5636" w:type="dxa"/>
            <w:tcBorders>
              <w:bottom w:val="single" w:sz="12" w:space="0" w:color="auto"/>
            </w:tcBorders>
          </w:tcPr>
          <w:p w14:paraId="2D13AFA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674550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Недоведено вооружение и спецоборуд.</w:t>
            </w:r>
          </w:p>
        </w:tc>
      </w:tr>
    </w:tbl>
    <w:p w14:paraId="131BA8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720399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«4» 1935 г. серийный, завод № 21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3B449808" w14:textId="77777777" w:rsidTr="00EA0DA7">
        <w:tc>
          <w:tcPr>
            <w:tcW w:w="5636" w:type="dxa"/>
            <w:tcBorders>
              <w:top w:val="single" w:sz="12" w:space="0" w:color="auto"/>
            </w:tcBorders>
          </w:tcPr>
          <w:p w14:paraId="1A4E5C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4B4543B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М-22</w:t>
            </w:r>
          </w:p>
        </w:tc>
      </w:tr>
      <w:tr w:rsidR="00983732" w:rsidRPr="00A3026E" w14:paraId="6F6DA4A8" w14:textId="77777777" w:rsidTr="00EA0DA7">
        <w:tc>
          <w:tcPr>
            <w:tcW w:w="5636" w:type="dxa"/>
          </w:tcPr>
          <w:p w14:paraId="518933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1792A26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 Д-2,8</w:t>
            </w:r>
          </w:p>
        </w:tc>
      </w:tr>
      <w:tr w:rsidR="00983732" w:rsidRPr="00A3026E" w14:paraId="2E1469F0" w14:textId="77777777" w:rsidTr="00EA0DA7">
        <w:tc>
          <w:tcPr>
            <w:tcW w:w="5636" w:type="dxa"/>
          </w:tcPr>
          <w:p w14:paraId="5C52AD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6ACF4EF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1354</w:t>
            </w:r>
          </w:p>
        </w:tc>
      </w:tr>
      <w:tr w:rsidR="00983732" w:rsidRPr="00A3026E" w14:paraId="7B083BCE" w14:textId="77777777" w:rsidTr="00EA0DA7">
        <w:tc>
          <w:tcPr>
            <w:tcW w:w="5636" w:type="dxa"/>
          </w:tcPr>
          <w:p w14:paraId="6030F5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514FBC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D85D1DC" w14:textId="77777777" w:rsidTr="00EA0DA7">
        <w:tc>
          <w:tcPr>
            <w:tcW w:w="5636" w:type="dxa"/>
          </w:tcPr>
          <w:p w14:paraId="05EB40E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2D269D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362</w:t>
            </w:r>
          </w:p>
        </w:tc>
      </w:tr>
      <w:tr w:rsidR="00983732" w:rsidRPr="00A3026E" w14:paraId="3C66CFA3" w14:textId="77777777" w:rsidTr="00EA0DA7">
        <w:tc>
          <w:tcPr>
            <w:tcW w:w="5636" w:type="dxa"/>
          </w:tcPr>
          <w:p w14:paraId="51D0BE5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5021D14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362</w:t>
            </w:r>
          </w:p>
        </w:tc>
      </w:tr>
      <w:tr w:rsidR="00983732" w:rsidRPr="00A3026E" w14:paraId="60D83217" w14:textId="77777777" w:rsidTr="00EA0DA7">
        <w:tc>
          <w:tcPr>
            <w:tcW w:w="5636" w:type="dxa"/>
          </w:tcPr>
          <w:p w14:paraId="4F386C3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429B74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w:t>
            </w:r>
          </w:p>
        </w:tc>
      </w:tr>
      <w:tr w:rsidR="00983732" w:rsidRPr="00A3026E" w14:paraId="5FE4E246" w14:textId="77777777" w:rsidTr="00EA0DA7">
        <w:tc>
          <w:tcPr>
            <w:tcW w:w="5636" w:type="dxa"/>
          </w:tcPr>
          <w:p w14:paraId="6106985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550FF2D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12-14</w:t>
            </w:r>
          </w:p>
        </w:tc>
      </w:tr>
      <w:tr w:rsidR="00983732" w:rsidRPr="00A3026E" w14:paraId="6D4746B4" w14:textId="77777777" w:rsidTr="00EA0DA7">
        <w:tc>
          <w:tcPr>
            <w:tcW w:w="5636" w:type="dxa"/>
          </w:tcPr>
          <w:p w14:paraId="6AC9770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4DE88B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w:t>
            </w:r>
          </w:p>
        </w:tc>
      </w:tr>
      <w:tr w:rsidR="00983732" w:rsidRPr="00A3026E" w14:paraId="7502AD9F" w14:textId="77777777" w:rsidTr="00EA0DA7">
        <w:tc>
          <w:tcPr>
            <w:tcW w:w="5636" w:type="dxa"/>
          </w:tcPr>
          <w:p w14:paraId="6270596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0B23BC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7440</w:t>
            </w:r>
          </w:p>
        </w:tc>
      </w:tr>
      <w:tr w:rsidR="00983732" w:rsidRPr="00A3026E" w14:paraId="2694A605" w14:textId="77777777" w:rsidTr="00EA0DA7">
        <w:tc>
          <w:tcPr>
            <w:tcW w:w="5636" w:type="dxa"/>
          </w:tcPr>
          <w:p w14:paraId="02CB9F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58A0A9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w:t>
            </w:r>
          </w:p>
        </w:tc>
      </w:tr>
      <w:tr w:rsidR="00983732" w:rsidRPr="00A3026E" w14:paraId="7897B0E0" w14:textId="77777777" w:rsidTr="00EA0DA7">
        <w:tc>
          <w:tcPr>
            <w:tcW w:w="5636" w:type="dxa"/>
          </w:tcPr>
          <w:p w14:paraId="2FB1CF9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537633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7F27C683" w14:textId="77777777" w:rsidTr="00EA0DA7">
        <w:tc>
          <w:tcPr>
            <w:tcW w:w="5636" w:type="dxa"/>
          </w:tcPr>
          <w:p w14:paraId="6E6970C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5E18F97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Усилены крыло и капот. Установлено новое шасси завода № 21. Доведено вооружение.</w:t>
            </w:r>
          </w:p>
        </w:tc>
      </w:tr>
      <w:tr w:rsidR="00983732" w:rsidRPr="00A3026E" w14:paraId="6741F74A" w14:textId="77777777" w:rsidTr="00EA0DA7">
        <w:tc>
          <w:tcPr>
            <w:tcW w:w="5636" w:type="dxa"/>
          </w:tcPr>
          <w:p w14:paraId="33F77F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Pr>
          <w:p w14:paraId="38EFEC1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Недоведено шасси и непрочны капоты.</w:t>
            </w:r>
          </w:p>
        </w:tc>
      </w:tr>
      <w:tr w:rsidR="00983732" w:rsidRPr="00A3026E" w14:paraId="5E4B2B9A" w14:textId="77777777" w:rsidTr="00EA0DA7">
        <w:tc>
          <w:tcPr>
            <w:tcW w:w="5636" w:type="dxa"/>
            <w:tcBorders>
              <w:bottom w:val="single" w:sz="12" w:space="0" w:color="auto"/>
            </w:tcBorders>
          </w:tcPr>
          <w:p w14:paraId="68B8BB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11F0CF3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 рации.</w:t>
            </w:r>
          </w:p>
        </w:tc>
      </w:tr>
    </w:tbl>
    <w:p w14:paraId="04D4A7F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6D3D3D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1936 году испытаний на замер данных не производилось.</w:t>
      </w:r>
    </w:p>
    <w:p w14:paraId="6176A20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«5» 1937 г. серийный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5024C620" w14:textId="77777777" w:rsidTr="00EA0DA7">
        <w:tc>
          <w:tcPr>
            <w:tcW w:w="5636" w:type="dxa"/>
            <w:tcBorders>
              <w:top w:val="single" w:sz="12" w:space="0" w:color="auto"/>
            </w:tcBorders>
          </w:tcPr>
          <w:p w14:paraId="1F31BD2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523180B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М-25А</w:t>
            </w:r>
          </w:p>
        </w:tc>
      </w:tr>
      <w:tr w:rsidR="00983732" w:rsidRPr="00A3026E" w14:paraId="231BBF73" w14:textId="77777777" w:rsidTr="00EA0DA7">
        <w:tc>
          <w:tcPr>
            <w:tcW w:w="5636" w:type="dxa"/>
          </w:tcPr>
          <w:p w14:paraId="2DD18FF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5B8BF3F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 Д-2,8</w:t>
            </w:r>
          </w:p>
        </w:tc>
      </w:tr>
      <w:tr w:rsidR="00983732" w:rsidRPr="00A3026E" w14:paraId="57C89592" w14:textId="77777777" w:rsidTr="00EA0DA7">
        <w:tc>
          <w:tcPr>
            <w:tcW w:w="5636" w:type="dxa"/>
          </w:tcPr>
          <w:p w14:paraId="7A8C5B6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759B098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1589</w:t>
            </w:r>
          </w:p>
        </w:tc>
      </w:tr>
      <w:tr w:rsidR="00983732" w:rsidRPr="00A3026E" w14:paraId="35DC23A8" w14:textId="77777777" w:rsidTr="00EA0DA7">
        <w:tc>
          <w:tcPr>
            <w:tcW w:w="5636" w:type="dxa"/>
          </w:tcPr>
          <w:p w14:paraId="451ED7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4B451F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1F61D8C" w14:textId="77777777" w:rsidTr="00EA0DA7">
        <w:tc>
          <w:tcPr>
            <w:tcW w:w="5636" w:type="dxa"/>
          </w:tcPr>
          <w:p w14:paraId="5950C3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0A6E3B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390</w:t>
            </w:r>
          </w:p>
        </w:tc>
      </w:tr>
      <w:tr w:rsidR="00983732" w:rsidRPr="00A3026E" w14:paraId="4BDFA040" w14:textId="77777777" w:rsidTr="00EA0DA7">
        <w:tc>
          <w:tcPr>
            <w:tcW w:w="5636" w:type="dxa"/>
          </w:tcPr>
          <w:p w14:paraId="19D848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Максимальная на расчетной высоте</w:t>
            </w:r>
          </w:p>
        </w:tc>
        <w:tc>
          <w:tcPr>
            <w:tcW w:w="5636" w:type="dxa"/>
          </w:tcPr>
          <w:p w14:paraId="1964D22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445/2700</w:t>
            </w:r>
          </w:p>
        </w:tc>
      </w:tr>
      <w:tr w:rsidR="00983732" w:rsidRPr="00A3026E" w14:paraId="117E741B" w14:textId="77777777" w:rsidTr="00EA0DA7">
        <w:tc>
          <w:tcPr>
            <w:tcW w:w="5636" w:type="dxa"/>
          </w:tcPr>
          <w:p w14:paraId="5D138EE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525E94C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115-117</w:t>
            </w:r>
          </w:p>
        </w:tc>
      </w:tr>
      <w:tr w:rsidR="00983732" w:rsidRPr="00A3026E" w14:paraId="28129703" w14:textId="77777777" w:rsidTr="00EA0DA7">
        <w:tc>
          <w:tcPr>
            <w:tcW w:w="5636" w:type="dxa"/>
          </w:tcPr>
          <w:p w14:paraId="3B38F32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12D59DC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14-15</w:t>
            </w:r>
          </w:p>
        </w:tc>
      </w:tr>
      <w:tr w:rsidR="00983732" w:rsidRPr="00A3026E" w14:paraId="713D63D3" w14:textId="77777777" w:rsidTr="00EA0DA7">
        <w:tc>
          <w:tcPr>
            <w:tcW w:w="5636" w:type="dxa"/>
          </w:tcPr>
          <w:p w14:paraId="6C381F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400A96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w:t>
            </w:r>
          </w:p>
        </w:tc>
      </w:tr>
      <w:tr w:rsidR="00983732" w:rsidRPr="00A3026E" w14:paraId="3838AA6B" w14:textId="77777777" w:rsidTr="00EA0DA7">
        <w:tc>
          <w:tcPr>
            <w:tcW w:w="5636" w:type="dxa"/>
          </w:tcPr>
          <w:p w14:paraId="5B2B8AF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307FF72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9100</w:t>
            </w:r>
          </w:p>
        </w:tc>
      </w:tr>
      <w:tr w:rsidR="00983732" w:rsidRPr="00A3026E" w14:paraId="47F24E0E" w14:textId="77777777" w:rsidTr="00EA0DA7">
        <w:tc>
          <w:tcPr>
            <w:tcW w:w="5636" w:type="dxa"/>
          </w:tcPr>
          <w:p w14:paraId="70EEA74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0E9367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540/2700</w:t>
            </w:r>
          </w:p>
        </w:tc>
      </w:tr>
      <w:tr w:rsidR="00983732" w:rsidRPr="00A3026E" w14:paraId="7288FC50" w14:textId="77777777" w:rsidTr="00EA0DA7">
        <w:tc>
          <w:tcPr>
            <w:tcW w:w="5636" w:type="dxa"/>
          </w:tcPr>
          <w:p w14:paraId="35A94A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3A8A9B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58B94FE2" w14:textId="77777777" w:rsidTr="00EA0DA7">
        <w:tc>
          <w:tcPr>
            <w:tcW w:w="5636" w:type="dxa"/>
          </w:tcPr>
          <w:p w14:paraId="0C44834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3B6CD1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Новое шасси завода № 21. Новая ВМГ.</w:t>
            </w:r>
          </w:p>
        </w:tc>
      </w:tr>
      <w:tr w:rsidR="00983732" w:rsidRPr="00A3026E" w14:paraId="0480E7D1" w14:textId="77777777" w:rsidTr="00EA0DA7">
        <w:tc>
          <w:tcPr>
            <w:tcW w:w="5636" w:type="dxa"/>
          </w:tcPr>
          <w:p w14:paraId="583A639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Pr>
          <w:p w14:paraId="530BBDE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Недоведено шасси.</w:t>
            </w:r>
          </w:p>
        </w:tc>
      </w:tr>
      <w:tr w:rsidR="00983732" w:rsidRPr="00A3026E" w14:paraId="1BA2554A" w14:textId="77777777" w:rsidTr="00EA0DA7">
        <w:tc>
          <w:tcPr>
            <w:tcW w:w="5636" w:type="dxa"/>
          </w:tcPr>
          <w:p w14:paraId="6049E6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0E1A22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Непрочны капоты.</w:t>
            </w:r>
          </w:p>
        </w:tc>
      </w:tr>
      <w:tr w:rsidR="00983732" w:rsidRPr="00A3026E" w14:paraId="3E3C65CE" w14:textId="77777777" w:rsidTr="00EA0DA7">
        <w:tc>
          <w:tcPr>
            <w:tcW w:w="5636" w:type="dxa"/>
          </w:tcPr>
          <w:p w14:paraId="3DAEBAA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Перегрев масла в полете и переохлаждение мотора на пикиров.</w:t>
            </w:r>
          </w:p>
        </w:tc>
        <w:tc>
          <w:tcPr>
            <w:tcW w:w="5636" w:type="dxa"/>
          </w:tcPr>
          <w:p w14:paraId="733B1FB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233E3FB" w14:textId="77777777" w:rsidTr="00EA0DA7">
        <w:tc>
          <w:tcPr>
            <w:tcW w:w="5636" w:type="dxa"/>
            <w:tcBorders>
              <w:bottom w:val="single" w:sz="12" w:space="0" w:color="auto"/>
            </w:tcBorders>
          </w:tcPr>
          <w:p w14:paraId="2E1A5DD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Непрочны выхлопные патрубки.</w:t>
            </w:r>
          </w:p>
        </w:tc>
        <w:tc>
          <w:tcPr>
            <w:tcW w:w="5636" w:type="dxa"/>
            <w:tcBorders>
              <w:bottom w:val="single" w:sz="12" w:space="0" w:color="auto"/>
            </w:tcBorders>
          </w:tcPr>
          <w:p w14:paraId="448EB7F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0BBDF3F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114443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«12»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008A81C1" w14:textId="77777777" w:rsidTr="00EA0DA7">
        <w:tc>
          <w:tcPr>
            <w:tcW w:w="5636" w:type="dxa"/>
            <w:tcBorders>
              <w:top w:val="single" w:sz="12" w:space="0" w:color="auto"/>
            </w:tcBorders>
          </w:tcPr>
          <w:p w14:paraId="02E38AF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6E5651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М-25А</w:t>
            </w:r>
          </w:p>
        </w:tc>
      </w:tr>
      <w:tr w:rsidR="00983732" w:rsidRPr="00A3026E" w14:paraId="3C865C9D" w14:textId="77777777" w:rsidTr="00EA0DA7">
        <w:tc>
          <w:tcPr>
            <w:tcW w:w="5636" w:type="dxa"/>
          </w:tcPr>
          <w:p w14:paraId="5CA075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12BECB3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 Д-2,8</w:t>
            </w:r>
          </w:p>
        </w:tc>
      </w:tr>
      <w:tr w:rsidR="00983732" w:rsidRPr="00A3026E" w14:paraId="408682FD" w14:textId="77777777" w:rsidTr="00EA0DA7">
        <w:tc>
          <w:tcPr>
            <w:tcW w:w="5636" w:type="dxa"/>
          </w:tcPr>
          <w:p w14:paraId="099BBAE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365D9E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1696</w:t>
            </w:r>
          </w:p>
        </w:tc>
      </w:tr>
      <w:tr w:rsidR="00983732" w:rsidRPr="00A3026E" w14:paraId="6D6E66D5" w14:textId="77777777" w:rsidTr="00EA0DA7">
        <w:tc>
          <w:tcPr>
            <w:tcW w:w="5636" w:type="dxa"/>
          </w:tcPr>
          <w:p w14:paraId="035C0B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7D2AC9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D3BE179" w14:textId="77777777" w:rsidTr="00EA0DA7">
        <w:tc>
          <w:tcPr>
            <w:tcW w:w="5636" w:type="dxa"/>
          </w:tcPr>
          <w:p w14:paraId="3F6BE53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2944BE0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393</w:t>
            </w:r>
          </w:p>
        </w:tc>
      </w:tr>
      <w:tr w:rsidR="00983732" w:rsidRPr="00A3026E" w14:paraId="71DB30C3" w14:textId="77777777" w:rsidTr="00EA0DA7">
        <w:tc>
          <w:tcPr>
            <w:tcW w:w="5636" w:type="dxa"/>
          </w:tcPr>
          <w:p w14:paraId="0D45B6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466D802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431,5/2400</w:t>
            </w:r>
          </w:p>
        </w:tc>
      </w:tr>
      <w:tr w:rsidR="00983732" w:rsidRPr="00A3026E" w14:paraId="23B6B6CA" w14:textId="77777777" w:rsidTr="00EA0DA7">
        <w:tc>
          <w:tcPr>
            <w:tcW w:w="5636" w:type="dxa"/>
          </w:tcPr>
          <w:p w14:paraId="00EA90B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41BDA6D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46BC8F9B" w14:textId="77777777" w:rsidTr="00EA0DA7">
        <w:tc>
          <w:tcPr>
            <w:tcW w:w="5636" w:type="dxa"/>
          </w:tcPr>
          <w:p w14:paraId="338F2E2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16EABF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16-17</w:t>
            </w:r>
          </w:p>
        </w:tc>
      </w:tr>
      <w:tr w:rsidR="00983732" w:rsidRPr="00A3026E" w14:paraId="0760F695" w14:textId="77777777" w:rsidTr="00EA0DA7">
        <w:tc>
          <w:tcPr>
            <w:tcW w:w="5636" w:type="dxa"/>
          </w:tcPr>
          <w:p w14:paraId="4ADDFC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413E201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w:t>
            </w:r>
          </w:p>
        </w:tc>
      </w:tr>
      <w:tr w:rsidR="00983732" w:rsidRPr="00A3026E" w14:paraId="45A8EFE9" w14:textId="77777777" w:rsidTr="00EA0DA7">
        <w:tc>
          <w:tcPr>
            <w:tcW w:w="5636" w:type="dxa"/>
          </w:tcPr>
          <w:p w14:paraId="2DE073C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16C6048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8340</w:t>
            </w:r>
          </w:p>
        </w:tc>
      </w:tr>
      <w:tr w:rsidR="00983732" w:rsidRPr="00A3026E" w14:paraId="7E913ED1" w14:textId="77777777" w:rsidTr="00EA0DA7">
        <w:tc>
          <w:tcPr>
            <w:tcW w:w="5636" w:type="dxa"/>
          </w:tcPr>
          <w:p w14:paraId="7D0885F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4B079FF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520/2400</w:t>
            </w:r>
          </w:p>
        </w:tc>
      </w:tr>
      <w:tr w:rsidR="00983732" w:rsidRPr="00A3026E" w14:paraId="3263DA70" w14:textId="77777777" w:rsidTr="00EA0DA7">
        <w:tc>
          <w:tcPr>
            <w:tcW w:w="5636" w:type="dxa"/>
          </w:tcPr>
          <w:p w14:paraId="2523C19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67C602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46B64B74" w14:textId="77777777" w:rsidTr="00EA0DA7">
        <w:tc>
          <w:tcPr>
            <w:tcW w:w="5636" w:type="dxa"/>
          </w:tcPr>
          <w:p w14:paraId="3BBFC2F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46A86EF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ШВАК (в крыле)</w:t>
            </w:r>
          </w:p>
        </w:tc>
      </w:tr>
      <w:tr w:rsidR="00983732" w:rsidRPr="00A3026E" w14:paraId="1B4FB1E1" w14:textId="77777777" w:rsidTr="00EA0DA7">
        <w:tc>
          <w:tcPr>
            <w:tcW w:w="5636" w:type="dxa"/>
          </w:tcPr>
          <w:p w14:paraId="5A798AC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03CE45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Новое шасси завода № 21. Новая ВМГ. Другое вооружение.</w:t>
            </w:r>
          </w:p>
        </w:tc>
      </w:tr>
      <w:tr w:rsidR="00983732" w:rsidRPr="00A3026E" w14:paraId="540648A2" w14:textId="77777777" w:rsidTr="00EA0DA7">
        <w:tc>
          <w:tcPr>
            <w:tcW w:w="5636" w:type="dxa"/>
          </w:tcPr>
          <w:p w14:paraId="5B67D54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Pr>
          <w:p w14:paraId="396E35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Недоведено шасси.</w:t>
            </w:r>
          </w:p>
        </w:tc>
      </w:tr>
      <w:tr w:rsidR="00983732" w:rsidRPr="00A3026E" w14:paraId="0F094BA0" w14:textId="77777777" w:rsidTr="00EA0DA7">
        <w:tc>
          <w:tcPr>
            <w:tcW w:w="5636" w:type="dxa"/>
          </w:tcPr>
          <w:p w14:paraId="101D5B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51463FC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Непрочны капоты.</w:t>
            </w:r>
          </w:p>
        </w:tc>
      </w:tr>
      <w:tr w:rsidR="00983732" w:rsidRPr="00A3026E" w14:paraId="0E9F5093" w14:textId="77777777" w:rsidTr="00EA0DA7">
        <w:tc>
          <w:tcPr>
            <w:tcW w:w="5636" w:type="dxa"/>
          </w:tcPr>
          <w:p w14:paraId="72A6F18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Перегрев масла в полете и переохлаждение мотора на пикиров.</w:t>
            </w:r>
          </w:p>
        </w:tc>
        <w:tc>
          <w:tcPr>
            <w:tcW w:w="5636" w:type="dxa"/>
          </w:tcPr>
          <w:p w14:paraId="098D59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CAF5767" w14:textId="77777777" w:rsidTr="00EA0DA7">
        <w:tc>
          <w:tcPr>
            <w:tcW w:w="5636" w:type="dxa"/>
            <w:tcBorders>
              <w:bottom w:val="single" w:sz="12" w:space="0" w:color="auto"/>
            </w:tcBorders>
          </w:tcPr>
          <w:p w14:paraId="10E2D7F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Непрочны выхлопные патрубки.</w:t>
            </w:r>
          </w:p>
        </w:tc>
        <w:tc>
          <w:tcPr>
            <w:tcW w:w="5636" w:type="dxa"/>
            <w:tcBorders>
              <w:bottom w:val="single" w:sz="12" w:space="0" w:color="auto"/>
            </w:tcBorders>
          </w:tcPr>
          <w:p w14:paraId="6984F4C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5DB8CD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15AFB0F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1938 году испытаний на замер летных данных не производилось.</w:t>
      </w:r>
    </w:p>
    <w:p w14:paraId="1024BF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«10»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56944A9F" w14:textId="77777777" w:rsidTr="00EA0DA7">
        <w:tc>
          <w:tcPr>
            <w:tcW w:w="5636" w:type="dxa"/>
            <w:tcBorders>
              <w:top w:val="single" w:sz="12" w:space="0" w:color="auto"/>
            </w:tcBorders>
          </w:tcPr>
          <w:p w14:paraId="6CE403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025D766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r>
      <w:tr w:rsidR="00983732" w:rsidRPr="00A3026E" w14:paraId="5149E7E4" w14:textId="77777777" w:rsidTr="00EA0DA7">
        <w:tc>
          <w:tcPr>
            <w:tcW w:w="5636" w:type="dxa"/>
          </w:tcPr>
          <w:p w14:paraId="11FFA3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17346D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 Д-2,8</w:t>
            </w:r>
          </w:p>
        </w:tc>
      </w:tr>
      <w:tr w:rsidR="00983732" w:rsidRPr="00A3026E" w14:paraId="5E9F0CE0" w14:textId="77777777" w:rsidTr="00EA0DA7">
        <w:tc>
          <w:tcPr>
            <w:tcW w:w="5636" w:type="dxa"/>
          </w:tcPr>
          <w:p w14:paraId="1B51FC2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33444F3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1726</w:t>
            </w:r>
          </w:p>
        </w:tc>
      </w:tr>
      <w:tr w:rsidR="00983732" w:rsidRPr="00A3026E" w14:paraId="60280FB0" w14:textId="77777777" w:rsidTr="00EA0DA7">
        <w:tc>
          <w:tcPr>
            <w:tcW w:w="5636" w:type="dxa"/>
          </w:tcPr>
          <w:p w14:paraId="16BDD3C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0B7344E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AD7AF48" w14:textId="77777777" w:rsidTr="00EA0DA7">
        <w:tc>
          <w:tcPr>
            <w:tcW w:w="5636" w:type="dxa"/>
          </w:tcPr>
          <w:p w14:paraId="7BEEB9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1058699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398</w:t>
            </w:r>
          </w:p>
        </w:tc>
      </w:tr>
      <w:tr w:rsidR="00983732" w:rsidRPr="00A3026E" w14:paraId="46DD9441" w14:textId="77777777" w:rsidTr="00EA0DA7">
        <w:tc>
          <w:tcPr>
            <w:tcW w:w="5636" w:type="dxa"/>
          </w:tcPr>
          <w:p w14:paraId="2F6C267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630B62E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448/3160</w:t>
            </w:r>
          </w:p>
        </w:tc>
      </w:tr>
      <w:tr w:rsidR="00983732" w:rsidRPr="00A3026E" w14:paraId="5CF860C1" w14:textId="77777777" w:rsidTr="00EA0DA7">
        <w:tc>
          <w:tcPr>
            <w:tcW w:w="5636" w:type="dxa"/>
          </w:tcPr>
          <w:p w14:paraId="3D8D49C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7053E15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w:t>
            </w:r>
          </w:p>
        </w:tc>
      </w:tr>
      <w:tr w:rsidR="00983732" w:rsidRPr="00A3026E" w14:paraId="753B8B5D" w14:textId="77777777" w:rsidTr="00EA0DA7">
        <w:tc>
          <w:tcPr>
            <w:tcW w:w="5636" w:type="dxa"/>
          </w:tcPr>
          <w:p w14:paraId="3FA4B51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2CC3F93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16-18</w:t>
            </w:r>
          </w:p>
        </w:tc>
      </w:tr>
      <w:tr w:rsidR="00983732" w:rsidRPr="00A3026E" w14:paraId="133752BE" w14:textId="77777777" w:rsidTr="00EA0DA7">
        <w:tc>
          <w:tcPr>
            <w:tcW w:w="5636" w:type="dxa"/>
          </w:tcPr>
          <w:p w14:paraId="085E625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27EEE7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6,75</w:t>
            </w:r>
          </w:p>
        </w:tc>
      </w:tr>
      <w:tr w:rsidR="00983732" w:rsidRPr="00A3026E" w14:paraId="650004C6" w14:textId="77777777" w:rsidTr="00EA0DA7">
        <w:tc>
          <w:tcPr>
            <w:tcW w:w="5636" w:type="dxa"/>
          </w:tcPr>
          <w:p w14:paraId="4C6DF00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309F294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8260</w:t>
            </w:r>
          </w:p>
        </w:tc>
      </w:tr>
      <w:tr w:rsidR="00983732" w:rsidRPr="00A3026E" w14:paraId="18D4AF8E" w14:textId="77777777" w:rsidTr="00EA0DA7">
        <w:tc>
          <w:tcPr>
            <w:tcW w:w="5636" w:type="dxa"/>
          </w:tcPr>
          <w:p w14:paraId="4CC41A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1A3FB37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r>
      <w:tr w:rsidR="00983732" w:rsidRPr="00A3026E" w14:paraId="4A799850" w14:textId="77777777" w:rsidTr="00EA0DA7">
        <w:tc>
          <w:tcPr>
            <w:tcW w:w="5636" w:type="dxa"/>
          </w:tcPr>
          <w:p w14:paraId="325F8D7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16C2CE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07D42292" w14:textId="77777777" w:rsidTr="00EA0DA7">
        <w:tc>
          <w:tcPr>
            <w:tcW w:w="5636" w:type="dxa"/>
          </w:tcPr>
          <w:p w14:paraId="35D500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4778FE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Установлено 2 синхронных ШКАС добавочно к 2 ШКАС в крыле. Новое усиленное крыло.</w:t>
            </w:r>
          </w:p>
        </w:tc>
      </w:tr>
      <w:tr w:rsidR="00983732" w:rsidRPr="00A3026E" w14:paraId="4CA96E1B" w14:textId="77777777" w:rsidTr="00EA0DA7">
        <w:tc>
          <w:tcPr>
            <w:tcW w:w="5636" w:type="dxa"/>
            <w:tcBorders>
              <w:bottom w:val="single" w:sz="12" w:space="0" w:color="auto"/>
            </w:tcBorders>
          </w:tcPr>
          <w:p w14:paraId="703EE6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38205D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Переохлаждение головок на планировании.</w:t>
            </w:r>
          </w:p>
        </w:tc>
      </w:tr>
    </w:tbl>
    <w:p w14:paraId="1AF1CEB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992F7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«18»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4C36E062" w14:textId="77777777" w:rsidTr="00EA0DA7">
        <w:tc>
          <w:tcPr>
            <w:tcW w:w="5636" w:type="dxa"/>
            <w:tcBorders>
              <w:top w:val="single" w:sz="12" w:space="0" w:color="auto"/>
            </w:tcBorders>
          </w:tcPr>
          <w:p w14:paraId="2628012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67C002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r>
      <w:tr w:rsidR="00983732" w:rsidRPr="00A3026E" w14:paraId="61F79053" w14:textId="77777777" w:rsidTr="00EA0DA7">
        <w:tc>
          <w:tcPr>
            <w:tcW w:w="5636" w:type="dxa"/>
          </w:tcPr>
          <w:p w14:paraId="704AFED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082080B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1431CDF0" w14:textId="77777777" w:rsidTr="00EA0DA7">
        <w:tc>
          <w:tcPr>
            <w:tcW w:w="5636" w:type="dxa"/>
          </w:tcPr>
          <w:p w14:paraId="7168AC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57B9F6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1830</w:t>
            </w:r>
          </w:p>
        </w:tc>
      </w:tr>
      <w:tr w:rsidR="00983732" w:rsidRPr="00A3026E" w14:paraId="547CF6DF" w14:textId="77777777" w:rsidTr="00EA0DA7">
        <w:tc>
          <w:tcPr>
            <w:tcW w:w="5636" w:type="dxa"/>
          </w:tcPr>
          <w:p w14:paraId="55B630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4968CC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C39FC94" w14:textId="77777777" w:rsidTr="00EA0DA7">
        <w:tc>
          <w:tcPr>
            <w:tcW w:w="5636" w:type="dxa"/>
          </w:tcPr>
          <w:p w14:paraId="5917B0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7CCEFFD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411</w:t>
            </w:r>
          </w:p>
        </w:tc>
      </w:tr>
      <w:tr w:rsidR="00983732" w:rsidRPr="00A3026E" w14:paraId="0362C011" w14:textId="77777777" w:rsidTr="00EA0DA7">
        <w:tc>
          <w:tcPr>
            <w:tcW w:w="5636" w:type="dxa"/>
          </w:tcPr>
          <w:p w14:paraId="479B7E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333E98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464/4400</w:t>
            </w:r>
          </w:p>
        </w:tc>
      </w:tr>
      <w:tr w:rsidR="00983732" w:rsidRPr="00A3026E" w14:paraId="24182A86" w14:textId="77777777" w:rsidTr="00EA0DA7">
        <w:tc>
          <w:tcPr>
            <w:tcW w:w="5636" w:type="dxa"/>
          </w:tcPr>
          <w:p w14:paraId="7E6EFB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02A8E2F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r>
      <w:tr w:rsidR="00983732" w:rsidRPr="00A3026E" w14:paraId="6F8CA3A1" w14:textId="77777777" w:rsidTr="00EA0DA7">
        <w:tc>
          <w:tcPr>
            <w:tcW w:w="5636" w:type="dxa"/>
          </w:tcPr>
          <w:p w14:paraId="4E2415C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5964152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r>
      <w:tr w:rsidR="00983732" w:rsidRPr="00A3026E" w14:paraId="04314490" w14:textId="77777777" w:rsidTr="00EA0DA7">
        <w:tc>
          <w:tcPr>
            <w:tcW w:w="5636" w:type="dxa"/>
          </w:tcPr>
          <w:p w14:paraId="016E3A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7CBD45F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w:t>
            </w:r>
          </w:p>
        </w:tc>
      </w:tr>
      <w:tr w:rsidR="00983732" w:rsidRPr="00A3026E" w14:paraId="02D7CBB1" w14:textId="77777777" w:rsidTr="00EA0DA7">
        <w:tc>
          <w:tcPr>
            <w:tcW w:w="5636" w:type="dxa"/>
          </w:tcPr>
          <w:p w14:paraId="711FF9B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72BAC9A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9470</w:t>
            </w:r>
          </w:p>
        </w:tc>
      </w:tr>
      <w:tr w:rsidR="00983732" w:rsidRPr="00A3026E" w14:paraId="0BDC36EF" w14:textId="77777777" w:rsidTr="00EA0DA7">
        <w:tc>
          <w:tcPr>
            <w:tcW w:w="5636" w:type="dxa"/>
          </w:tcPr>
          <w:p w14:paraId="2BADF0B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4AF749E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485</w:t>
            </w:r>
          </w:p>
        </w:tc>
      </w:tr>
      <w:tr w:rsidR="00983732" w:rsidRPr="00A3026E" w14:paraId="17BF5D97" w14:textId="77777777" w:rsidTr="00EA0DA7">
        <w:tc>
          <w:tcPr>
            <w:tcW w:w="5636" w:type="dxa"/>
          </w:tcPr>
          <w:p w14:paraId="1A3431E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5F6A9A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193C9ED5" w14:textId="77777777" w:rsidTr="00EA0DA7">
        <w:tc>
          <w:tcPr>
            <w:tcW w:w="5636" w:type="dxa"/>
          </w:tcPr>
          <w:p w14:paraId="2376394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098047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планер типа «10» установлен мотор М-62 и винт ВИШ (6-А и АВ-1).</w:t>
            </w:r>
          </w:p>
        </w:tc>
      </w:tr>
      <w:tr w:rsidR="00983732" w:rsidRPr="00A3026E" w14:paraId="710504CC" w14:textId="77777777" w:rsidTr="00EA0DA7">
        <w:tc>
          <w:tcPr>
            <w:tcW w:w="5636" w:type="dxa"/>
          </w:tcPr>
          <w:p w14:paraId="45A611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Pr>
          <w:p w14:paraId="0F0940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Переохлаждение головок выражено более резко, т.к. оребрение увеличено, а капотаж остался тот же. Поломка выхлопных патрубков. </w:t>
            </w:r>
          </w:p>
        </w:tc>
      </w:tr>
      <w:tr w:rsidR="00983732" w:rsidRPr="00A3026E" w14:paraId="61008136" w14:textId="77777777" w:rsidTr="00EA0DA7">
        <w:tc>
          <w:tcPr>
            <w:tcW w:w="5636" w:type="dxa"/>
            <w:tcBorders>
              <w:bottom w:val="single" w:sz="12" w:space="0" w:color="auto"/>
            </w:tcBorders>
          </w:tcPr>
          <w:p w14:paraId="6895EF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5B04C4D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6B69E04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57CE51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«18»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0E6F290B" w14:textId="77777777" w:rsidTr="00EA0DA7">
        <w:tc>
          <w:tcPr>
            <w:tcW w:w="5636" w:type="dxa"/>
            <w:tcBorders>
              <w:top w:val="single" w:sz="12" w:space="0" w:color="auto"/>
            </w:tcBorders>
          </w:tcPr>
          <w:p w14:paraId="211579B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4FEB3C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r>
      <w:tr w:rsidR="00983732" w:rsidRPr="00A3026E" w14:paraId="1066FBB5" w14:textId="77777777" w:rsidTr="00EA0DA7">
        <w:tc>
          <w:tcPr>
            <w:tcW w:w="5636" w:type="dxa"/>
          </w:tcPr>
          <w:p w14:paraId="598637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0CFAE67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ВИШ-6А</w:t>
            </w:r>
          </w:p>
        </w:tc>
      </w:tr>
      <w:tr w:rsidR="00983732" w:rsidRPr="00A3026E" w14:paraId="0436C74A" w14:textId="77777777" w:rsidTr="00EA0DA7">
        <w:tc>
          <w:tcPr>
            <w:tcW w:w="5636" w:type="dxa"/>
          </w:tcPr>
          <w:p w14:paraId="59D2F7E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0D7CB4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1830</w:t>
            </w:r>
          </w:p>
        </w:tc>
      </w:tr>
      <w:tr w:rsidR="00983732" w:rsidRPr="00A3026E" w14:paraId="73524889" w14:textId="77777777" w:rsidTr="00EA0DA7">
        <w:tc>
          <w:tcPr>
            <w:tcW w:w="5636" w:type="dxa"/>
          </w:tcPr>
          <w:p w14:paraId="448822C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35AAC4F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F12F34D" w14:textId="77777777" w:rsidTr="00EA0DA7">
        <w:tc>
          <w:tcPr>
            <w:tcW w:w="5636" w:type="dxa"/>
          </w:tcPr>
          <w:p w14:paraId="36B59A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6FFC59E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413</w:t>
            </w:r>
          </w:p>
        </w:tc>
      </w:tr>
      <w:tr w:rsidR="00983732" w:rsidRPr="00A3026E" w14:paraId="56C42C3F" w14:textId="77777777" w:rsidTr="00EA0DA7">
        <w:tc>
          <w:tcPr>
            <w:tcW w:w="5636" w:type="dxa"/>
          </w:tcPr>
          <w:p w14:paraId="550CA3E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60F94B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461/4400</w:t>
            </w:r>
          </w:p>
        </w:tc>
      </w:tr>
      <w:tr w:rsidR="00983732" w:rsidRPr="00A3026E" w14:paraId="4C26CC2D" w14:textId="77777777" w:rsidTr="00EA0DA7">
        <w:tc>
          <w:tcPr>
            <w:tcW w:w="5636" w:type="dxa"/>
          </w:tcPr>
          <w:p w14:paraId="3EE23F0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08980C9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r>
      <w:tr w:rsidR="00983732" w:rsidRPr="00A3026E" w14:paraId="6C0F1BD6" w14:textId="77777777" w:rsidTr="00EA0DA7">
        <w:tc>
          <w:tcPr>
            <w:tcW w:w="5636" w:type="dxa"/>
          </w:tcPr>
          <w:p w14:paraId="0773A8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7B0E3B8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r>
      <w:tr w:rsidR="00983732" w:rsidRPr="00A3026E" w14:paraId="239903FD" w14:textId="77777777" w:rsidTr="00EA0DA7">
        <w:tc>
          <w:tcPr>
            <w:tcW w:w="5636" w:type="dxa"/>
          </w:tcPr>
          <w:p w14:paraId="1AABC09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Время набора высоты 5000 м</w:t>
            </w:r>
          </w:p>
        </w:tc>
        <w:tc>
          <w:tcPr>
            <w:tcW w:w="5636" w:type="dxa"/>
          </w:tcPr>
          <w:p w14:paraId="4A07AD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w:t>
            </w:r>
          </w:p>
        </w:tc>
      </w:tr>
      <w:tr w:rsidR="00983732" w:rsidRPr="00A3026E" w14:paraId="7838DCD4" w14:textId="77777777" w:rsidTr="00EA0DA7">
        <w:tc>
          <w:tcPr>
            <w:tcW w:w="5636" w:type="dxa"/>
          </w:tcPr>
          <w:p w14:paraId="403AC29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2949331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6A63109F" w14:textId="77777777" w:rsidTr="00EA0DA7">
        <w:tc>
          <w:tcPr>
            <w:tcW w:w="5636" w:type="dxa"/>
          </w:tcPr>
          <w:p w14:paraId="387CA00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201540C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485</w:t>
            </w:r>
          </w:p>
        </w:tc>
      </w:tr>
      <w:tr w:rsidR="00983732" w:rsidRPr="00A3026E" w14:paraId="30C8FB03" w14:textId="77777777" w:rsidTr="00EA0DA7">
        <w:tc>
          <w:tcPr>
            <w:tcW w:w="5636" w:type="dxa"/>
          </w:tcPr>
          <w:p w14:paraId="758187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05267E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597B42C9" w14:textId="77777777" w:rsidTr="00EA0DA7">
        <w:tc>
          <w:tcPr>
            <w:tcW w:w="5636" w:type="dxa"/>
          </w:tcPr>
          <w:p w14:paraId="2952792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5BFECFE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планер типа «10» установлен мотор М-62 и винт ВИШ (6-А и АВ-1).</w:t>
            </w:r>
          </w:p>
        </w:tc>
      </w:tr>
      <w:tr w:rsidR="00983732" w:rsidRPr="00A3026E" w14:paraId="64B7CCCD" w14:textId="77777777" w:rsidTr="00EA0DA7">
        <w:tc>
          <w:tcPr>
            <w:tcW w:w="5636" w:type="dxa"/>
            <w:tcBorders>
              <w:bottom w:val="single" w:sz="12" w:space="0" w:color="auto"/>
            </w:tcBorders>
          </w:tcPr>
          <w:p w14:paraId="68BDFF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5C091D5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Переохлаждение головок выражено более резко, т.к. оребрение увеличено, а капотаж остался тот же. Поломка выхлопных патрубков. </w:t>
            </w:r>
          </w:p>
        </w:tc>
      </w:tr>
    </w:tbl>
    <w:p w14:paraId="7A38BCC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6DAECBC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«24»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164875FE" w14:textId="77777777" w:rsidTr="00EA0DA7">
        <w:tc>
          <w:tcPr>
            <w:tcW w:w="5636" w:type="dxa"/>
            <w:tcBorders>
              <w:top w:val="single" w:sz="12" w:space="0" w:color="auto"/>
            </w:tcBorders>
          </w:tcPr>
          <w:p w14:paraId="65CC4EA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69F27A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r>
      <w:tr w:rsidR="00983732" w:rsidRPr="00A3026E" w14:paraId="3C39A267" w14:textId="77777777" w:rsidTr="00EA0DA7">
        <w:tc>
          <w:tcPr>
            <w:tcW w:w="5636" w:type="dxa"/>
          </w:tcPr>
          <w:p w14:paraId="74E3401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4D1F13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6BFB668E" w14:textId="77777777" w:rsidTr="00EA0DA7">
        <w:tc>
          <w:tcPr>
            <w:tcW w:w="5636" w:type="dxa"/>
          </w:tcPr>
          <w:p w14:paraId="0A1826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5B9486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1878</w:t>
            </w:r>
          </w:p>
        </w:tc>
      </w:tr>
      <w:tr w:rsidR="00983732" w:rsidRPr="00A3026E" w14:paraId="733E3994" w14:textId="77777777" w:rsidTr="00EA0DA7">
        <w:tc>
          <w:tcPr>
            <w:tcW w:w="5636" w:type="dxa"/>
          </w:tcPr>
          <w:p w14:paraId="269A356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050030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49C88AB" w14:textId="77777777" w:rsidTr="00EA0DA7">
        <w:tc>
          <w:tcPr>
            <w:tcW w:w="5636" w:type="dxa"/>
          </w:tcPr>
          <w:p w14:paraId="3533CAD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1EF97F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r>
      <w:tr w:rsidR="00983732" w:rsidRPr="00A3026E" w14:paraId="6BA3E417" w14:textId="77777777" w:rsidTr="00EA0DA7">
        <w:tc>
          <w:tcPr>
            <w:tcW w:w="5636" w:type="dxa"/>
          </w:tcPr>
          <w:p w14:paraId="6433F30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37FFCE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485/4720</w:t>
            </w:r>
          </w:p>
        </w:tc>
      </w:tr>
      <w:tr w:rsidR="00983732" w:rsidRPr="00A3026E" w14:paraId="419C646A" w14:textId="77777777" w:rsidTr="00EA0DA7">
        <w:tc>
          <w:tcPr>
            <w:tcW w:w="5636" w:type="dxa"/>
          </w:tcPr>
          <w:p w14:paraId="097243A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7F9992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w:t>
            </w:r>
          </w:p>
        </w:tc>
      </w:tr>
      <w:tr w:rsidR="00983732" w:rsidRPr="00A3026E" w14:paraId="2122EDD3" w14:textId="77777777" w:rsidTr="00EA0DA7">
        <w:tc>
          <w:tcPr>
            <w:tcW w:w="5636" w:type="dxa"/>
          </w:tcPr>
          <w:p w14:paraId="27C51C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4FE862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17-19</w:t>
            </w:r>
          </w:p>
        </w:tc>
      </w:tr>
      <w:tr w:rsidR="00983732" w:rsidRPr="00A3026E" w14:paraId="7DCE500D" w14:textId="77777777" w:rsidTr="00EA0DA7">
        <w:tc>
          <w:tcPr>
            <w:tcW w:w="5636" w:type="dxa"/>
          </w:tcPr>
          <w:p w14:paraId="540A76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30746EE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w:t>
            </w:r>
          </w:p>
        </w:tc>
      </w:tr>
      <w:tr w:rsidR="00983732" w:rsidRPr="00A3026E" w14:paraId="483C3B30" w14:textId="77777777" w:rsidTr="00EA0DA7">
        <w:tc>
          <w:tcPr>
            <w:tcW w:w="5636" w:type="dxa"/>
          </w:tcPr>
          <w:p w14:paraId="6EE20A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70B0C32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10800</w:t>
            </w:r>
          </w:p>
        </w:tc>
      </w:tr>
      <w:tr w:rsidR="00983732" w:rsidRPr="00A3026E" w14:paraId="582DE4B5" w14:textId="77777777" w:rsidTr="00EA0DA7">
        <w:tc>
          <w:tcPr>
            <w:tcW w:w="5636" w:type="dxa"/>
          </w:tcPr>
          <w:p w14:paraId="49B76F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1D4E195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455</w:t>
            </w:r>
          </w:p>
        </w:tc>
      </w:tr>
      <w:tr w:rsidR="00983732" w:rsidRPr="00A3026E" w14:paraId="76263BB8" w14:textId="77777777" w:rsidTr="00EA0DA7">
        <w:tc>
          <w:tcPr>
            <w:tcW w:w="5636" w:type="dxa"/>
          </w:tcPr>
          <w:p w14:paraId="73ABDB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22FD9A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1682032F" w14:textId="77777777" w:rsidTr="00EA0DA7">
        <w:tc>
          <w:tcPr>
            <w:tcW w:w="5636" w:type="dxa"/>
          </w:tcPr>
          <w:p w14:paraId="33CDF3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7F0C50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Мотор М-63.</w:t>
            </w:r>
          </w:p>
        </w:tc>
      </w:tr>
      <w:tr w:rsidR="00983732" w:rsidRPr="00A3026E" w14:paraId="64FD92C3" w14:textId="77777777" w:rsidTr="00EA0DA7">
        <w:tc>
          <w:tcPr>
            <w:tcW w:w="5636" w:type="dxa"/>
          </w:tcPr>
          <w:p w14:paraId="14C0CF4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43DBDEC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Винт АВ-1.</w:t>
            </w:r>
          </w:p>
        </w:tc>
      </w:tr>
      <w:tr w:rsidR="00983732" w:rsidRPr="00A3026E" w14:paraId="61FD4079" w14:textId="77777777" w:rsidTr="00EA0DA7">
        <w:tc>
          <w:tcPr>
            <w:tcW w:w="5636" w:type="dxa"/>
          </w:tcPr>
          <w:p w14:paraId="6EF43E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2B07B6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Прочность по нормам 1937 года.</w:t>
            </w:r>
          </w:p>
        </w:tc>
      </w:tr>
      <w:tr w:rsidR="00983732" w:rsidRPr="00A3026E" w14:paraId="0555F34A" w14:textId="77777777" w:rsidTr="00EA0DA7">
        <w:tc>
          <w:tcPr>
            <w:tcW w:w="5636" w:type="dxa"/>
          </w:tcPr>
          <w:p w14:paraId="4B9F45E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3849E1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Жесткая обшивка верха крыла.</w:t>
            </w:r>
          </w:p>
        </w:tc>
      </w:tr>
      <w:tr w:rsidR="00983732" w:rsidRPr="00A3026E" w14:paraId="6E45693B" w14:textId="77777777" w:rsidTr="00EA0DA7">
        <w:tc>
          <w:tcPr>
            <w:tcW w:w="5636" w:type="dxa"/>
          </w:tcPr>
          <w:p w14:paraId="4D6311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6CB4C70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Бесшлицевое шасси.</w:t>
            </w:r>
          </w:p>
        </w:tc>
      </w:tr>
      <w:tr w:rsidR="00983732" w:rsidRPr="00A3026E" w14:paraId="1CD5F844" w14:textId="77777777" w:rsidTr="00EA0DA7">
        <w:tc>
          <w:tcPr>
            <w:tcW w:w="5636" w:type="dxa"/>
          </w:tcPr>
          <w:p w14:paraId="77E2F41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58BB19B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Ролик на костыле.</w:t>
            </w:r>
          </w:p>
        </w:tc>
      </w:tr>
      <w:tr w:rsidR="00983732" w:rsidRPr="00A3026E" w14:paraId="7234E824" w14:textId="77777777" w:rsidTr="00EA0DA7">
        <w:tc>
          <w:tcPr>
            <w:tcW w:w="5636" w:type="dxa"/>
            <w:tcBorders>
              <w:bottom w:val="single" w:sz="12" w:space="0" w:color="auto"/>
            </w:tcBorders>
          </w:tcPr>
          <w:p w14:paraId="57A2156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001CF6C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Переохлаждение головок на планировании. Не подобран винт. Неудовлетворительно работает «АК». Поломка выхлопных патрубков и растрескивание капотов.</w:t>
            </w:r>
          </w:p>
        </w:tc>
      </w:tr>
    </w:tbl>
    <w:p w14:paraId="72BAACD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7E85441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Эталон «24»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36807329" w14:textId="77777777" w:rsidTr="00EA0DA7">
        <w:tc>
          <w:tcPr>
            <w:tcW w:w="5636" w:type="dxa"/>
            <w:tcBorders>
              <w:top w:val="single" w:sz="12" w:space="0" w:color="auto"/>
            </w:tcBorders>
          </w:tcPr>
          <w:p w14:paraId="59910E2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2CD9B1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r>
      <w:tr w:rsidR="00983732" w:rsidRPr="00A3026E" w14:paraId="62078702" w14:textId="77777777" w:rsidTr="00EA0DA7">
        <w:tc>
          <w:tcPr>
            <w:tcW w:w="5636" w:type="dxa"/>
          </w:tcPr>
          <w:p w14:paraId="78CEC78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2FC98BD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7FF5FA35" w14:textId="77777777" w:rsidTr="00EA0DA7">
        <w:tc>
          <w:tcPr>
            <w:tcW w:w="5636" w:type="dxa"/>
          </w:tcPr>
          <w:p w14:paraId="55D33C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23D365D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1941</w:t>
            </w:r>
          </w:p>
        </w:tc>
      </w:tr>
      <w:tr w:rsidR="00983732" w:rsidRPr="00A3026E" w14:paraId="2029AAFD" w14:textId="77777777" w:rsidTr="00EA0DA7">
        <w:tc>
          <w:tcPr>
            <w:tcW w:w="5636" w:type="dxa"/>
          </w:tcPr>
          <w:p w14:paraId="1A8CCA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263025D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984AB75" w14:textId="77777777" w:rsidTr="00EA0DA7">
        <w:tc>
          <w:tcPr>
            <w:tcW w:w="5636" w:type="dxa"/>
          </w:tcPr>
          <w:p w14:paraId="799170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5B9A4C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w:t>
            </w:r>
          </w:p>
        </w:tc>
      </w:tr>
      <w:tr w:rsidR="00983732" w:rsidRPr="00A3026E" w14:paraId="2F281424" w14:textId="77777777" w:rsidTr="00EA0DA7">
        <w:tc>
          <w:tcPr>
            <w:tcW w:w="5636" w:type="dxa"/>
          </w:tcPr>
          <w:p w14:paraId="01B27F2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37C5826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462/4700</w:t>
            </w:r>
          </w:p>
        </w:tc>
      </w:tr>
      <w:tr w:rsidR="00983732" w:rsidRPr="00A3026E" w14:paraId="5345BB9F" w14:textId="77777777" w:rsidTr="00EA0DA7">
        <w:tc>
          <w:tcPr>
            <w:tcW w:w="5636" w:type="dxa"/>
          </w:tcPr>
          <w:p w14:paraId="2F9983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2F54622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r>
      <w:tr w:rsidR="00983732" w:rsidRPr="00A3026E" w14:paraId="4C2490E8" w14:textId="77777777" w:rsidTr="00EA0DA7">
        <w:tc>
          <w:tcPr>
            <w:tcW w:w="5636" w:type="dxa"/>
          </w:tcPr>
          <w:p w14:paraId="353B939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499AA1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18-19</w:t>
            </w:r>
          </w:p>
        </w:tc>
      </w:tr>
      <w:tr w:rsidR="00983732" w:rsidRPr="00A3026E" w14:paraId="0749AACE" w14:textId="77777777" w:rsidTr="00EA0DA7">
        <w:tc>
          <w:tcPr>
            <w:tcW w:w="5636" w:type="dxa"/>
          </w:tcPr>
          <w:p w14:paraId="31D8024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46DC2A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r>
      <w:tr w:rsidR="00983732" w:rsidRPr="00A3026E" w14:paraId="60A87989" w14:textId="77777777" w:rsidTr="00EA0DA7">
        <w:tc>
          <w:tcPr>
            <w:tcW w:w="5636" w:type="dxa"/>
          </w:tcPr>
          <w:p w14:paraId="302A60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64CE7D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9700</w:t>
            </w:r>
          </w:p>
        </w:tc>
      </w:tr>
      <w:tr w:rsidR="00983732" w:rsidRPr="00A3026E" w14:paraId="1B26258A" w14:textId="77777777" w:rsidTr="00EA0DA7">
        <w:tc>
          <w:tcPr>
            <w:tcW w:w="5636" w:type="dxa"/>
          </w:tcPr>
          <w:p w14:paraId="3A4B62D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791AFB4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445</w:t>
            </w:r>
          </w:p>
        </w:tc>
      </w:tr>
      <w:tr w:rsidR="00983732" w:rsidRPr="00A3026E" w14:paraId="3BDA4D2D" w14:textId="77777777" w:rsidTr="00EA0DA7">
        <w:tc>
          <w:tcPr>
            <w:tcW w:w="5636" w:type="dxa"/>
          </w:tcPr>
          <w:p w14:paraId="217ADDB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0197E93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2D99F9CB" w14:textId="77777777" w:rsidTr="00EA0DA7">
        <w:tc>
          <w:tcPr>
            <w:tcW w:w="5636" w:type="dxa"/>
          </w:tcPr>
          <w:p w14:paraId="40CF96A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76D392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Установлена новая приборная доска, установлена рация РСИ-3, сделан люк, в фюзеляже установлены подвесные баки, убирающиеся ракетодержатели.</w:t>
            </w:r>
          </w:p>
        </w:tc>
      </w:tr>
      <w:tr w:rsidR="00983732" w:rsidRPr="00A3026E" w14:paraId="3454D3F6" w14:textId="77777777" w:rsidTr="00EA0DA7">
        <w:tc>
          <w:tcPr>
            <w:tcW w:w="5636" w:type="dxa"/>
            <w:tcBorders>
              <w:bottom w:val="single" w:sz="12" w:space="0" w:color="auto"/>
            </w:tcBorders>
          </w:tcPr>
          <w:p w14:paraId="0710B9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27B05FB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Переохлаждение головок на планировании. Не подобран винт. Неудовлетворительно работает «АК». Поломка выхлопных патрубков и растрескивание капотов. Разрушение литых дисков тормозных колес.</w:t>
            </w:r>
          </w:p>
        </w:tc>
      </w:tr>
    </w:tbl>
    <w:p w14:paraId="35544E1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7E44E4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«24»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642D6A5F" w14:textId="77777777" w:rsidTr="00EA0DA7">
        <w:tc>
          <w:tcPr>
            <w:tcW w:w="5636" w:type="dxa"/>
            <w:tcBorders>
              <w:top w:val="single" w:sz="12" w:space="0" w:color="auto"/>
            </w:tcBorders>
          </w:tcPr>
          <w:p w14:paraId="3407B6F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27041F3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r>
      <w:tr w:rsidR="00983732" w:rsidRPr="00A3026E" w14:paraId="5D85B706" w14:textId="77777777" w:rsidTr="00EA0DA7">
        <w:tc>
          <w:tcPr>
            <w:tcW w:w="5636" w:type="dxa"/>
          </w:tcPr>
          <w:p w14:paraId="3D56BAF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434F8A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4E21D72D" w14:textId="77777777" w:rsidTr="00EA0DA7">
        <w:tc>
          <w:tcPr>
            <w:tcW w:w="5636" w:type="dxa"/>
          </w:tcPr>
          <w:p w14:paraId="6DCB430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29D792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1882</w:t>
            </w:r>
          </w:p>
        </w:tc>
      </w:tr>
      <w:tr w:rsidR="00983732" w:rsidRPr="00A3026E" w14:paraId="6A498BD3" w14:textId="77777777" w:rsidTr="00EA0DA7">
        <w:tc>
          <w:tcPr>
            <w:tcW w:w="5636" w:type="dxa"/>
          </w:tcPr>
          <w:p w14:paraId="0348B04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169EEF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CBDE385" w14:textId="77777777" w:rsidTr="00EA0DA7">
        <w:tc>
          <w:tcPr>
            <w:tcW w:w="5636" w:type="dxa"/>
          </w:tcPr>
          <w:p w14:paraId="22861A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0DB891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w:t>
            </w:r>
          </w:p>
        </w:tc>
      </w:tr>
      <w:tr w:rsidR="00983732" w:rsidRPr="00A3026E" w14:paraId="0E220FA6" w14:textId="77777777" w:rsidTr="00EA0DA7">
        <w:tc>
          <w:tcPr>
            <w:tcW w:w="5636" w:type="dxa"/>
          </w:tcPr>
          <w:p w14:paraId="1BCE702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59B19EB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470/4800</w:t>
            </w:r>
          </w:p>
        </w:tc>
      </w:tr>
      <w:tr w:rsidR="00983732" w:rsidRPr="00A3026E" w14:paraId="22BD9138" w14:textId="77777777" w:rsidTr="00EA0DA7">
        <w:tc>
          <w:tcPr>
            <w:tcW w:w="5636" w:type="dxa"/>
          </w:tcPr>
          <w:p w14:paraId="4BBF05E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7A5179E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w:t>
            </w:r>
          </w:p>
        </w:tc>
      </w:tr>
      <w:tr w:rsidR="00983732" w:rsidRPr="00A3026E" w14:paraId="339B632D" w14:textId="77777777" w:rsidTr="00EA0DA7">
        <w:tc>
          <w:tcPr>
            <w:tcW w:w="5636" w:type="dxa"/>
          </w:tcPr>
          <w:p w14:paraId="5D78DB2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007C176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17-18</w:t>
            </w:r>
          </w:p>
        </w:tc>
      </w:tr>
      <w:tr w:rsidR="00983732" w:rsidRPr="00A3026E" w14:paraId="783381CC" w14:textId="77777777" w:rsidTr="00EA0DA7">
        <w:tc>
          <w:tcPr>
            <w:tcW w:w="5636" w:type="dxa"/>
          </w:tcPr>
          <w:p w14:paraId="6B38802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71983B9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r>
      <w:tr w:rsidR="00983732" w:rsidRPr="00A3026E" w14:paraId="00E22188" w14:textId="77777777" w:rsidTr="00EA0DA7">
        <w:tc>
          <w:tcPr>
            <w:tcW w:w="5636" w:type="dxa"/>
          </w:tcPr>
          <w:p w14:paraId="6B075C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148301A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9900</w:t>
            </w:r>
          </w:p>
        </w:tc>
      </w:tr>
      <w:tr w:rsidR="00983732" w:rsidRPr="00A3026E" w14:paraId="5905AA44" w14:textId="77777777" w:rsidTr="00EA0DA7">
        <w:tc>
          <w:tcPr>
            <w:tcW w:w="5636" w:type="dxa"/>
          </w:tcPr>
          <w:p w14:paraId="7E2D20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243324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r>
      <w:tr w:rsidR="00983732" w:rsidRPr="00A3026E" w14:paraId="42876FFA" w14:textId="77777777" w:rsidTr="00EA0DA7">
        <w:tc>
          <w:tcPr>
            <w:tcW w:w="5636" w:type="dxa"/>
          </w:tcPr>
          <w:p w14:paraId="4961E7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4BF2F40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6731B349" w14:textId="77777777" w:rsidTr="00EA0DA7">
        <w:tc>
          <w:tcPr>
            <w:tcW w:w="5636" w:type="dxa"/>
          </w:tcPr>
          <w:p w14:paraId="60DFAAB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7FA48F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с полотняной обшивкой, нет люка в фюзеляже, нет РСИ-3, старая приборная доска, нет ролика на костыле.</w:t>
            </w:r>
          </w:p>
        </w:tc>
      </w:tr>
      <w:tr w:rsidR="00983732" w:rsidRPr="00A3026E" w14:paraId="72478FB4" w14:textId="77777777" w:rsidTr="00EA0DA7">
        <w:tc>
          <w:tcPr>
            <w:tcW w:w="5636" w:type="dxa"/>
            <w:tcBorders>
              <w:bottom w:val="single" w:sz="12" w:space="0" w:color="auto"/>
            </w:tcBorders>
          </w:tcPr>
          <w:p w14:paraId="78B7E9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4273DF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Плохая аэродинамика крыла (швы). Перегрев масла на наборе высоты и тоже, что на опытном.</w:t>
            </w:r>
          </w:p>
        </w:tc>
      </w:tr>
    </w:tbl>
    <w:p w14:paraId="3E60F2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838EB5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«29»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235E57E0" w14:textId="77777777" w:rsidTr="00EA0DA7">
        <w:tc>
          <w:tcPr>
            <w:tcW w:w="5636" w:type="dxa"/>
            <w:tcBorders>
              <w:top w:val="single" w:sz="12" w:space="0" w:color="auto"/>
            </w:tcBorders>
          </w:tcPr>
          <w:p w14:paraId="2AA94D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3C18ED8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r>
      <w:tr w:rsidR="00983732" w:rsidRPr="00A3026E" w14:paraId="78A7A790" w14:textId="77777777" w:rsidTr="00EA0DA7">
        <w:tc>
          <w:tcPr>
            <w:tcW w:w="5636" w:type="dxa"/>
          </w:tcPr>
          <w:p w14:paraId="755DE6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2E5E74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5F99A9BD" w14:textId="77777777" w:rsidTr="00EA0DA7">
        <w:tc>
          <w:tcPr>
            <w:tcW w:w="5636" w:type="dxa"/>
          </w:tcPr>
          <w:p w14:paraId="52D43C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331FA21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r>
      <w:tr w:rsidR="00983732" w:rsidRPr="00A3026E" w14:paraId="0F18A9C9" w14:textId="77777777" w:rsidTr="00EA0DA7">
        <w:tc>
          <w:tcPr>
            <w:tcW w:w="5636" w:type="dxa"/>
          </w:tcPr>
          <w:p w14:paraId="251194A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2E8067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B40A293" w14:textId="77777777" w:rsidTr="00EA0DA7">
        <w:tc>
          <w:tcPr>
            <w:tcW w:w="5636" w:type="dxa"/>
          </w:tcPr>
          <w:p w14:paraId="40363B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7B99ED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419</w:t>
            </w:r>
          </w:p>
        </w:tc>
      </w:tr>
      <w:tr w:rsidR="00983732" w:rsidRPr="00A3026E" w14:paraId="2598F96F" w14:textId="77777777" w:rsidTr="00EA0DA7">
        <w:tc>
          <w:tcPr>
            <w:tcW w:w="5636" w:type="dxa"/>
          </w:tcPr>
          <w:p w14:paraId="59A9C43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60D9FBA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470/4480 б/р.о. и подвесн. баков</w:t>
            </w:r>
          </w:p>
        </w:tc>
      </w:tr>
      <w:tr w:rsidR="00983732" w:rsidRPr="00A3026E" w14:paraId="7713323F" w14:textId="77777777" w:rsidTr="00EA0DA7">
        <w:tc>
          <w:tcPr>
            <w:tcW w:w="5636" w:type="dxa"/>
          </w:tcPr>
          <w:p w14:paraId="78A5EC2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1061129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r>
      <w:tr w:rsidR="00983732" w:rsidRPr="00A3026E" w14:paraId="11319E1A" w14:textId="77777777" w:rsidTr="00EA0DA7">
        <w:tc>
          <w:tcPr>
            <w:tcW w:w="5636" w:type="dxa"/>
          </w:tcPr>
          <w:p w14:paraId="367BA3B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4044244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17-19</w:t>
            </w:r>
          </w:p>
        </w:tc>
      </w:tr>
      <w:tr w:rsidR="00983732" w:rsidRPr="00A3026E" w14:paraId="67832A46" w14:textId="77777777" w:rsidTr="00EA0DA7">
        <w:tc>
          <w:tcPr>
            <w:tcW w:w="5636" w:type="dxa"/>
          </w:tcPr>
          <w:p w14:paraId="378B162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6DDD8D5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r>
      <w:tr w:rsidR="00983732" w:rsidRPr="00A3026E" w14:paraId="26C2B461" w14:textId="77777777" w:rsidTr="00EA0DA7">
        <w:tc>
          <w:tcPr>
            <w:tcW w:w="5636" w:type="dxa"/>
          </w:tcPr>
          <w:p w14:paraId="2DF9B5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Потолок практический</w:t>
            </w:r>
          </w:p>
        </w:tc>
        <w:tc>
          <w:tcPr>
            <w:tcW w:w="5636" w:type="dxa"/>
          </w:tcPr>
          <w:p w14:paraId="5FA70DA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9800</w:t>
            </w:r>
          </w:p>
        </w:tc>
      </w:tr>
      <w:tr w:rsidR="00983732" w:rsidRPr="00A3026E" w14:paraId="207CBF15" w14:textId="77777777" w:rsidTr="00EA0DA7">
        <w:tc>
          <w:tcPr>
            <w:tcW w:w="5636" w:type="dxa"/>
          </w:tcPr>
          <w:p w14:paraId="168EAD6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7A9E28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r>
      <w:tr w:rsidR="00983732" w:rsidRPr="00A3026E" w14:paraId="58DE218B" w14:textId="77777777" w:rsidTr="00EA0DA7">
        <w:tc>
          <w:tcPr>
            <w:tcW w:w="5636" w:type="dxa"/>
          </w:tcPr>
          <w:p w14:paraId="6CBB49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6803123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2AB01991" w14:textId="77777777" w:rsidTr="00EA0DA7">
        <w:tc>
          <w:tcPr>
            <w:tcW w:w="5636" w:type="dxa"/>
          </w:tcPr>
          <w:p w14:paraId="5CB9A4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58E37FF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w:t>
            </w:r>
          </w:p>
        </w:tc>
      </w:tr>
      <w:tr w:rsidR="00983732" w:rsidRPr="00A3026E" w14:paraId="0C606D54" w14:textId="77777777" w:rsidTr="00EA0DA7">
        <w:tc>
          <w:tcPr>
            <w:tcW w:w="5636" w:type="dxa"/>
          </w:tcPr>
          <w:p w14:paraId="40D1A16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452A8C9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Изменено вооружение. Установлена рация. Подкрыльные факелы убир. Установлены подвесные бензобаки. Установлены 6-РО-82. Приборная доска старая.</w:t>
            </w:r>
          </w:p>
        </w:tc>
      </w:tr>
      <w:tr w:rsidR="00983732" w:rsidRPr="00A3026E" w14:paraId="08869A51" w14:textId="77777777" w:rsidTr="00EA0DA7">
        <w:tc>
          <w:tcPr>
            <w:tcW w:w="5636" w:type="dxa"/>
            <w:tcBorders>
              <w:bottom w:val="single" w:sz="12" w:space="0" w:color="auto"/>
            </w:tcBorders>
          </w:tcPr>
          <w:p w14:paraId="6A4ED54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6D58F39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Переохлаждение на планировании. Поломка выхлопных патрубков. Плохая аэродинамика крыла (полотно, швы, отделка).</w:t>
            </w:r>
          </w:p>
        </w:tc>
      </w:tr>
    </w:tbl>
    <w:p w14:paraId="2EDAC59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19DB9D4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7C82400C" w14:textId="77777777" w:rsidTr="00EA0DA7">
        <w:tc>
          <w:tcPr>
            <w:tcW w:w="5636" w:type="dxa"/>
            <w:tcBorders>
              <w:top w:val="single" w:sz="12" w:space="0" w:color="auto"/>
            </w:tcBorders>
          </w:tcPr>
          <w:p w14:paraId="192DA20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06AED73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r>
      <w:tr w:rsidR="00983732" w:rsidRPr="00A3026E" w14:paraId="41B5F87B" w14:textId="77777777" w:rsidTr="00EA0DA7">
        <w:tc>
          <w:tcPr>
            <w:tcW w:w="5636" w:type="dxa"/>
          </w:tcPr>
          <w:p w14:paraId="2BE016F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4EDE50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7BA9590C" w14:textId="77777777" w:rsidTr="00EA0DA7">
        <w:tc>
          <w:tcPr>
            <w:tcW w:w="5636" w:type="dxa"/>
          </w:tcPr>
          <w:p w14:paraId="7D0A5A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113A10F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1966</w:t>
            </w:r>
          </w:p>
        </w:tc>
      </w:tr>
      <w:tr w:rsidR="00983732" w:rsidRPr="00A3026E" w14:paraId="2F320A79" w14:textId="77777777" w:rsidTr="00EA0DA7">
        <w:tc>
          <w:tcPr>
            <w:tcW w:w="5636" w:type="dxa"/>
          </w:tcPr>
          <w:p w14:paraId="2ACA1D9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26DE09F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B189C03" w14:textId="77777777" w:rsidTr="00EA0DA7">
        <w:tc>
          <w:tcPr>
            <w:tcW w:w="5636" w:type="dxa"/>
          </w:tcPr>
          <w:p w14:paraId="2DC89C7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0426AF1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408</w:t>
            </w:r>
          </w:p>
        </w:tc>
      </w:tr>
      <w:tr w:rsidR="00983732" w:rsidRPr="00A3026E" w14:paraId="096F268D" w14:textId="77777777" w:rsidTr="00EA0DA7">
        <w:tc>
          <w:tcPr>
            <w:tcW w:w="5636" w:type="dxa"/>
          </w:tcPr>
          <w:p w14:paraId="5A260CE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00CB119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462/4350</w:t>
            </w:r>
          </w:p>
        </w:tc>
      </w:tr>
      <w:tr w:rsidR="00983732" w:rsidRPr="00A3026E" w14:paraId="59773582" w14:textId="77777777" w:rsidTr="00EA0DA7">
        <w:tc>
          <w:tcPr>
            <w:tcW w:w="5636" w:type="dxa"/>
          </w:tcPr>
          <w:p w14:paraId="0826AE6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4EFCF6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w:t>
            </w:r>
          </w:p>
        </w:tc>
      </w:tr>
      <w:tr w:rsidR="00983732" w:rsidRPr="00A3026E" w14:paraId="202B2636" w14:textId="77777777" w:rsidTr="00EA0DA7">
        <w:tc>
          <w:tcPr>
            <w:tcW w:w="5636" w:type="dxa"/>
          </w:tcPr>
          <w:p w14:paraId="4D4C9EF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0F7BEC7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16-17</w:t>
            </w:r>
          </w:p>
        </w:tc>
      </w:tr>
      <w:tr w:rsidR="00983732" w:rsidRPr="00A3026E" w14:paraId="238E789D" w14:textId="77777777" w:rsidTr="00EA0DA7">
        <w:tc>
          <w:tcPr>
            <w:tcW w:w="5636" w:type="dxa"/>
          </w:tcPr>
          <w:p w14:paraId="3265BA1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039FC67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w:t>
            </w:r>
          </w:p>
        </w:tc>
      </w:tr>
      <w:tr w:rsidR="00983732" w:rsidRPr="00A3026E" w14:paraId="37EB4F0F" w14:textId="77777777" w:rsidTr="00EA0DA7">
        <w:tc>
          <w:tcPr>
            <w:tcW w:w="5636" w:type="dxa"/>
          </w:tcPr>
          <w:p w14:paraId="2BB5D24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79511DA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9800</w:t>
            </w:r>
          </w:p>
        </w:tc>
      </w:tr>
      <w:tr w:rsidR="00983732" w:rsidRPr="00A3026E" w14:paraId="36AC1758" w14:textId="77777777" w:rsidTr="00EA0DA7">
        <w:tc>
          <w:tcPr>
            <w:tcW w:w="5636" w:type="dxa"/>
          </w:tcPr>
          <w:p w14:paraId="5944BFB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3D7B1A4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r>
      <w:tr w:rsidR="00983732" w:rsidRPr="00A3026E" w14:paraId="2943853C" w14:textId="77777777" w:rsidTr="00EA0DA7">
        <w:tc>
          <w:tcPr>
            <w:tcW w:w="5636" w:type="dxa"/>
          </w:tcPr>
          <w:p w14:paraId="030866F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7463871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4A284741" w14:textId="77777777" w:rsidTr="00EA0DA7">
        <w:tc>
          <w:tcPr>
            <w:tcW w:w="5636" w:type="dxa"/>
          </w:tcPr>
          <w:p w14:paraId="1E5B189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27CBA29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w:t>
            </w:r>
          </w:p>
        </w:tc>
      </w:tr>
      <w:tr w:rsidR="00983732" w:rsidRPr="00A3026E" w14:paraId="65E659ED" w14:textId="77777777" w:rsidTr="00EA0DA7">
        <w:tc>
          <w:tcPr>
            <w:tcW w:w="5636" w:type="dxa"/>
          </w:tcPr>
          <w:p w14:paraId="064253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398607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РО-82</w:t>
            </w:r>
          </w:p>
        </w:tc>
      </w:tr>
      <w:tr w:rsidR="00983732" w:rsidRPr="00A3026E" w14:paraId="6FABC233" w14:textId="77777777" w:rsidTr="00EA0DA7">
        <w:tc>
          <w:tcPr>
            <w:tcW w:w="5636" w:type="dxa"/>
          </w:tcPr>
          <w:p w14:paraId="5114CF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265A423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Изменено вооружение. Установлена рация. Подкрыльные факелы убир. Установлены подвесные бензобаки. Установлены 6-РО-82. Приборная доска старая. Все данные с РО без РС и подвесных бензобаков.</w:t>
            </w:r>
          </w:p>
        </w:tc>
      </w:tr>
      <w:tr w:rsidR="00983732" w:rsidRPr="00A3026E" w14:paraId="06402205" w14:textId="77777777" w:rsidTr="00EA0DA7">
        <w:tc>
          <w:tcPr>
            <w:tcW w:w="5636" w:type="dxa"/>
            <w:tcBorders>
              <w:bottom w:val="single" w:sz="12" w:space="0" w:color="auto"/>
            </w:tcBorders>
          </w:tcPr>
          <w:p w14:paraId="2B4606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3875476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Переохлаждение на планировании. Поломка выхлопных патрубков. Плохая аэродинамика крыла (полотно, швы, отделка).</w:t>
            </w:r>
          </w:p>
        </w:tc>
      </w:tr>
    </w:tbl>
    <w:p w14:paraId="6565BBC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AE0E62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модификаций самолета И-153 по годам</w:t>
      </w:r>
    </w:p>
    <w:p w14:paraId="70EB515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 (ЦКБ-3) опытный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65E4AF12" w14:textId="77777777" w:rsidTr="00EA0DA7">
        <w:tc>
          <w:tcPr>
            <w:tcW w:w="5636" w:type="dxa"/>
            <w:tcBorders>
              <w:top w:val="single" w:sz="12" w:space="0" w:color="auto"/>
            </w:tcBorders>
          </w:tcPr>
          <w:p w14:paraId="0E9C869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25E539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Р.Ц. F-3</w:t>
            </w:r>
          </w:p>
        </w:tc>
      </w:tr>
      <w:tr w:rsidR="00983732" w:rsidRPr="00A3026E" w14:paraId="54B2CAA3" w14:textId="77777777" w:rsidTr="00EA0DA7">
        <w:tc>
          <w:tcPr>
            <w:tcW w:w="5636" w:type="dxa"/>
          </w:tcPr>
          <w:p w14:paraId="111D343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2868B9F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Гамильтон</w:t>
            </w:r>
          </w:p>
        </w:tc>
      </w:tr>
      <w:tr w:rsidR="00983732" w:rsidRPr="00A3026E" w14:paraId="2C57E5CC" w14:textId="77777777" w:rsidTr="00EA0DA7">
        <w:tc>
          <w:tcPr>
            <w:tcW w:w="5636" w:type="dxa"/>
          </w:tcPr>
          <w:p w14:paraId="6A14B8D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3804D4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1357,9</w:t>
            </w:r>
          </w:p>
        </w:tc>
      </w:tr>
      <w:tr w:rsidR="00983732" w:rsidRPr="00A3026E" w14:paraId="606FE439" w14:textId="77777777" w:rsidTr="00EA0DA7">
        <w:tc>
          <w:tcPr>
            <w:tcW w:w="5636" w:type="dxa"/>
          </w:tcPr>
          <w:p w14:paraId="431793A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7A8877F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E62B777" w14:textId="77777777" w:rsidTr="00EA0DA7">
        <w:tc>
          <w:tcPr>
            <w:tcW w:w="5636" w:type="dxa"/>
          </w:tcPr>
          <w:p w14:paraId="3F934B4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10BBC4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324</w:t>
            </w:r>
          </w:p>
        </w:tc>
      </w:tr>
      <w:tr w:rsidR="00983732" w:rsidRPr="00A3026E" w14:paraId="0533754E" w14:textId="77777777" w:rsidTr="00EA0DA7">
        <w:tc>
          <w:tcPr>
            <w:tcW w:w="5636" w:type="dxa"/>
          </w:tcPr>
          <w:p w14:paraId="7C2509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33D81F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353/3000</w:t>
            </w:r>
          </w:p>
        </w:tc>
      </w:tr>
      <w:tr w:rsidR="00983732" w:rsidRPr="00A3026E" w14:paraId="0C082E22" w14:textId="77777777" w:rsidTr="00EA0DA7">
        <w:tc>
          <w:tcPr>
            <w:tcW w:w="5636" w:type="dxa"/>
          </w:tcPr>
          <w:p w14:paraId="2227D46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6D0C4D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80-85</w:t>
            </w:r>
          </w:p>
        </w:tc>
      </w:tr>
      <w:tr w:rsidR="00983732" w:rsidRPr="00A3026E" w14:paraId="0AC520D7" w14:textId="77777777" w:rsidTr="00EA0DA7">
        <w:tc>
          <w:tcPr>
            <w:tcW w:w="5636" w:type="dxa"/>
          </w:tcPr>
          <w:p w14:paraId="30DE976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66634E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r>
      <w:tr w:rsidR="00983732" w:rsidRPr="00A3026E" w14:paraId="07D51B54" w14:textId="77777777" w:rsidTr="00EA0DA7">
        <w:tc>
          <w:tcPr>
            <w:tcW w:w="5636" w:type="dxa"/>
          </w:tcPr>
          <w:p w14:paraId="47899F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05AAE3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r>
      <w:tr w:rsidR="00983732" w:rsidRPr="00A3026E" w14:paraId="1EBBD088" w14:textId="77777777" w:rsidTr="00EA0DA7">
        <w:tc>
          <w:tcPr>
            <w:tcW w:w="5636" w:type="dxa"/>
          </w:tcPr>
          <w:p w14:paraId="158622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55E3C9A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r>
      <w:tr w:rsidR="00983732" w:rsidRPr="00A3026E" w14:paraId="61D48E5D" w14:textId="77777777" w:rsidTr="00EA0DA7">
        <w:tc>
          <w:tcPr>
            <w:tcW w:w="5636" w:type="dxa"/>
          </w:tcPr>
          <w:p w14:paraId="263BA21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58C6E88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r>
      <w:tr w:rsidR="00983732" w:rsidRPr="00A3026E" w14:paraId="0C7DE6B2" w14:textId="77777777" w:rsidTr="00EA0DA7">
        <w:tc>
          <w:tcPr>
            <w:tcW w:w="5636" w:type="dxa"/>
          </w:tcPr>
          <w:p w14:paraId="32666C8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1E5DB8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4ПВ-1</w:t>
            </w:r>
          </w:p>
        </w:tc>
      </w:tr>
      <w:tr w:rsidR="00983732" w:rsidRPr="00A3026E" w14:paraId="77D0F009" w14:textId="77777777" w:rsidTr="00EA0DA7">
        <w:tc>
          <w:tcPr>
            <w:tcW w:w="5636" w:type="dxa"/>
          </w:tcPr>
          <w:p w14:paraId="5507FC9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2E7273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Прототип.</w:t>
            </w:r>
          </w:p>
        </w:tc>
      </w:tr>
      <w:tr w:rsidR="00983732" w:rsidRPr="00A3026E" w14:paraId="7E292D25" w14:textId="77777777" w:rsidTr="00EA0DA7">
        <w:tc>
          <w:tcPr>
            <w:tcW w:w="5636" w:type="dxa"/>
          </w:tcPr>
          <w:p w14:paraId="2595797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Pr>
          <w:p w14:paraId="726094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Недостаточная устойчивость пути.</w:t>
            </w:r>
          </w:p>
        </w:tc>
      </w:tr>
      <w:tr w:rsidR="00983732" w:rsidRPr="00A3026E" w14:paraId="2426DF4A" w14:textId="77777777" w:rsidTr="00EA0DA7">
        <w:tc>
          <w:tcPr>
            <w:tcW w:w="5636" w:type="dxa"/>
          </w:tcPr>
          <w:p w14:paraId="0CB5D17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Ненадежное крепление стакана одностоечного шасси.</w:t>
            </w:r>
          </w:p>
        </w:tc>
        <w:tc>
          <w:tcPr>
            <w:tcW w:w="5636" w:type="dxa"/>
          </w:tcPr>
          <w:p w14:paraId="363180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32DBD15" w14:textId="77777777" w:rsidTr="00EA0DA7">
        <w:tc>
          <w:tcPr>
            <w:tcW w:w="5636" w:type="dxa"/>
          </w:tcPr>
          <w:p w14:paraId="0250D0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Переохлаждение мотора.</w:t>
            </w:r>
          </w:p>
        </w:tc>
        <w:tc>
          <w:tcPr>
            <w:tcW w:w="5636" w:type="dxa"/>
          </w:tcPr>
          <w:p w14:paraId="71674E2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A52A54F" w14:textId="77777777" w:rsidTr="00EA0DA7">
        <w:tc>
          <w:tcPr>
            <w:tcW w:w="5636" w:type="dxa"/>
            <w:tcBorders>
              <w:bottom w:val="single" w:sz="12" w:space="0" w:color="auto"/>
            </w:tcBorders>
          </w:tcPr>
          <w:p w14:paraId="2CBB9E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Вибрация элеронов.</w:t>
            </w:r>
          </w:p>
        </w:tc>
        <w:tc>
          <w:tcPr>
            <w:tcW w:w="5636" w:type="dxa"/>
            <w:tcBorders>
              <w:bottom w:val="single" w:sz="12" w:space="0" w:color="auto"/>
            </w:tcBorders>
          </w:tcPr>
          <w:p w14:paraId="34C5261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1F9C8B9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53A3C2B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 головной серийный 1934 г., завод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445C373F" w14:textId="77777777" w:rsidTr="00EA0DA7">
        <w:tc>
          <w:tcPr>
            <w:tcW w:w="5636" w:type="dxa"/>
            <w:tcBorders>
              <w:top w:val="single" w:sz="12" w:space="0" w:color="auto"/>
            </w:tcBorders>
          </w:tcPr>
          <w:p w14:paraId="4C71124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28D667E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РЦ F-3</w:t>
            </w:r>
          </w:p>
        </w:tc>
      </w:tr>
      <w:tr w:rsidR="00983732" w:rsidRPr="00A3026E" w14:paraId="3DB21942" w14:textId="77777777" w:rsidTr="00EA0DA7">
        <w:tc>
          <w:tcPr>
            <w:tcW w:w="5636" w:type="dxa"/>
          </w:tcPr>
          <w:p w14:paraId="20C0462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0B51017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w:t>
            </w:r>
          </w:p>
        </w:tc>
      </w:tr>
      <w:tr w:rsidR="00983732" w:rsidRPr="00A3026E" w14:paraId="3362ABB7" w14:textId="77777777" w:rsidTr="00EA0DA7">
        <w:tc>
          <w:tcPr>
            <w:tcW w:w="5636" w:type="dxa"/>
          </w:tcPr>
          <w:p w14:paraId="747FC97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65601D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1389</w:t>
            </w:r>
          </w:p>
        </w:tc>
      </w:tr>
      <w:tr w:rsidR="00983732" w:rsidRPr="00A3026E" w14:paraId="1AEF4178" w14:textId="77777777" w:rsidTr="00EA0DA7">
        <w:tc>
          <w:tcPr>
            <w:tcW w:w="5636" w:type="dxa"/>
          </w:tcPr>
          <w:p w14:paraId="6B6258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36DEC3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EFC8D7F" w14:textId="77777777" w:rsidTr="00EA0DA7">
        <w:tc>
          <w:tcPr>
            <w:tcW w:w="5636" w:type="dxa"/>
          </w:tcPr>
          <w:p w14:paraId="67AF529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4C0034F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315</w:t>
            </w:r>
          </w:p>
        </w:tc>
      </w:tr>
      <w:tr w:rsidR="00983732" w:rsidRPr="00A3026E" w14:paraId="777F56AD" w14:textId="77777777" w:rsidTr="00EA0DA7">
        <w:tc>
          <w:tcPr>
            <w:tcW w:w="5636" w:type="dxa"/>
          </w:tcPr>
          <w:p w14:paraId="79CD09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49F5D87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367/3000</w:t>
            </w:r>
          </w:p>
        </w:tc>
      </w:tr>
      <w:tr w:rsidR="00983732" w:rsidRPr="00A3026E" w14:paraId="79EB4460" w14:textId="77777777" w:rsidTr="00EA0DA7">
        <w:tc>
          <w:tcPr>
            <w:tcW w:w="5636" w:type="dxa"/>
          </w:tcPr>
          <w:p w14:paraId="6B2D232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3DAB912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r>
      <w:tr w:rsidR="00983732" w:rsidRPr="00A3026E" w14:paraId="3042A98C" w14:textId="77777777" w:rsidTr="00EA0DA7">
        <w:tc>
          <w:tcPr>
            <w:tcW w:w="5636" w:type="dxa"/>
          </w:tcPr>
          <w:p w14:paraId="51AB09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298D640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r>
      <w:tr w:rsidR="00983732" w:rsidRPr="00A3026E" w14:paraId="1CA65792" w14:textId="77777777" w:rsidTr="00EA0DA7">
        <w:tc>
          <w:tcPr>
            <w:tcW w:w="5636" w:type="dxa"/>
          </w:tcPr>
          <w:p w14:paraId="086F2D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2C282F2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w:t>
            </w:r>
          </w:p>
        </w:tc>
      </w:tr>
      <w:tr w:rsidR="00983732" w:rsidRPr="00A3026E" w14:paraId="130E7141" w14:textId="77777777" w:rsidTr="00EA0DA7">
        <w:tc>
          <w:tcPr>
            <w:tcW w:w="5636" w:type="dxa"/>
          </w:tcPr>
          <w:p w14:paraId="347A327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4EEDC79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9800</w:t>
            </w:r>
          </w:p>
        </w:tc>
      </w:tr>
      <w:tr w:rsidR="00983732" w:rsidRPr="00A3026E" w14:paraId="04AB1390" w14:textId="77777777" w:rsidTr="00EA0DA7">
        <w:tc>
          <w:tcPr>
            <w:tcW w:w="5636" w:type="dxa"/>
          </w:tcPr>
          <w:p w14:paraId="2C1B81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363404D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w:t>
            </w:r>
          </w:p>
        </w:tc>
      </w:tr>
      <w:tr w:rsidR="00983732" w:rsidRPr="00A3026E" w14:paraId="3E05088E" w14:textId="77777777" w:rsidTr="00EA0DA7">
        <w:tc>
          <w:tcPr>
            <w:tcW w:w="5636" w:type="dxa"/>
          </w:tcPr>
          <w:p w14:paraId="321A322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3203273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4ПВ-1</w:t>
            </w:r>
          </w:p>
        </w:tc>
      </w:tr>
      <w:tr w:rsidR="00983732" w:rsidRPr="00A3026E" w14:paraId="4B3B60CD" w14:textId="77777777" w:rsidTr="00EA0DA7">
        <w:tc>
          <w:tcPr>
            <w:tcW w:w="5636" w:type="dxa"/>
          </w:tcPr>
          <w:p w14:paraId="62260EA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690DA3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Усилено крепление стакана шасси.</w:t>
            </w:r>
          </w:p>
        </w:tc>
      </w:tr>
      <w:tr w:rsidR="00983732" w:rsidRPr="00A3026E" w14:paraId="0A8B065F" w14:textId="77777777" w:rsidTr="00EA0DA7">
        <w:tc>
          <w:tcPr>
            <w:tcW w:w="5636" w:type="dxa"/>
          </w:tcPr>
          <w:p w14:paraId="3FFD80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7B47BF8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Устранена вибрация элеронов.</w:t>
            </w:r>
          </w:p>
        </w:tc>
      </w:tr>
      <w:tr w:rsidR="00983732" w:rsidRPr="00A3026E" w14:paraId="63367FD2" w14:textId="77777777" w:rsidTr="00EA0DA7">
        <w:tc>
          <w:tcPr>
            <w:tcW w:w="5636" w:type="dxa"/>
          </w:tcPr>
          <w:p w14:paraId="12800EB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55C0DEF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Улучшена устойчивость пути.</w:t>
            </w:r>
          </w:p>
        </w:tc>
      </w:tr>
      <w:tr w:rsidR="00983732" w:rsidRPr="00A3026E" w14:paraId="01763351" w14:textId="77777777" w:rsidTr="00EA0DA7">
        <w:tc>
          <w:tcPr>
            <w:tcW w:w="5636" w:type="dxa"/>
          </w:tcPr>
          <w:p w14:paraId="3CD2902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74F1F5F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Улучшен капотаж.</w:t>
            </w:r>
          </w:p>
        </w:tc>
      </w:tr>
      <w:tr w:rsidR="00983732" w:rsidRPr="00A3026E" w14:paraId="2C65D911" w14:textId="77777777" w:rsidTr="00EA0DA7">
        <w:tc>
          <w:tcPr>
            <w:tcW w:w="5636" w:type="dxa"/>
          </w:tcPr>
          <w:p w14:paraId="2E9B669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Pr>
          <w:p w14:paraId="1ABBA9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Поломка ног шасси.</w:t>
            </w:r>
          </w:p>
        </w:tc>
      </w:tr>
      <w:tr w:rsidR="00983732" w:rsidRPr="00A3026E" w14:paraId="1EC1F02C" w14:textId="77777777" w:rsidTr="00EA0DA7">
        <w:tc>
          <w:tcPr>
            <w:tcW w:w="5636" w:type="dxa"/>
          </w:tcPr>
          <w:p w14:paraId="5A451C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286DFE4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Обрыв обшивки крыльев и поломка моторамы.</w:t>
            </w:r>
          </w:p>
        </w:tc>
      </w:tr>
      <w:tr w:rsidR="00983732" w:rsidRPr="00A3026E" w14:paraId="0BFA3B10" w14:textId="77777777" w:rsidTr="00EA0DA7">
        <w:tc>
          <w:tcPr>
            <w:tcW w:w="5636" w:type="dxa"/>
          </w:tcPr>
          <w:p w14:paraId="112788C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34B7D88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Поломка фюзеляжа.</w:t>
            </w:r>
          </w:p>
        </w:tc>
      </w:tr>
      <w:tr w:rsidR="00983732" w:rsidRPr="00A3026E" w14:paraId="74E26E97" w14:textId="77777777" w:rsidTr="00EA0DA7">
        <w:tc>
          <w:tcPr>
            <w:tcW w:w="5636" w:type="dxa"/>
          </w:tcPr>
          <w:p w14:paraId="19B8990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59D253B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Неудовлетворительный обзор и устойчивость пути (рыскание.</w:t>
            </w:r>
          </w:p>
        </w:tc>
      </w:tr>
      <w:tr w:rsidR="00983732" w:rsidRPr="00A3026E" w14:paraId="2EABA185" w14:textId="77777777" w:rsidTr="00EA0DA7">
        <w:tc>
          <w:tcPr>
            <w:tcW w:w="5636" w:type="dxa"/>
            <w:tcBorders>
              <w:bottom w:val="single" w:sz="12" w:space="0" w:color="auto"/>
            </w:tcBorders>
          </w:tcPr>
          <w:p w14:paraId="2DB992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432CF4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 с производства в конце 1935 г. из-за дефектов.</w:t>
            </w:r>
          </w:p>
        </w:tc>
      </w:tr>
    </w:tbl>
    <w:p w14:paraId="096043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D1623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 опытный 1935 г., завод № 39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0570B7B7" w14:textId="77777777" w:rsidTr="00EA0DA7">
        <w:tc>
          <w:tcPr>
            <w:tcW w:w="5636" w:type="dxa"/>
            <w:tcBorders>
              <w:top w:val="single" w:sz="12" w:space="0" w:color="auto"/>
            </w:tcBorders>
          </w:tcPr>
          <w:p w14:paraId="655DEF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5FB031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РЦ F-3</w:t>
            </w:r>
          </w:p>
        </w:tc>
      </w:tr>
      <w:tr w:rsidR="00983732" w:rsidRPr="00A3026E" w14:paraId="09130913" w14:textId="77777777" w:rsidTr="00EA0DA7">
        <w:tc>
          <w:tcPr>
            <w:tcW w:w="5636" w:type="dxa"/>
          </w:tcPr>
          <w:p w14:paraId="5044A6B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74BCC6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w:t>
            </w:r>
          </w:p>
        </w:tc>
      </w:tr>
      <w:tr w:rsidR="00983732" w:rsidRPr="00A3026E" w14:paraId="597531EA" w14:textId="77777777" w:rsidTr="00EA0DA7">
        <w:tc>
          <w:tcPr>
            <w:tcW w:w="5636" w:type="dxa"/>
          </w:tcPr>
          <w:p w14:paraId="3A4FDA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247938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1472</w:t>
            </w:r>
          </w:p>
        </w:tc>
      </w:tr>
      <w:tr w:rsidR="00983732" w:rsidRPr="00A3026E" w14:paraId="57E16494" w14:textId="77777777" w:rsidTr="00EA0DA7">
        <w:tc>
          <w:tcPr>
            <w:tcW w:w="5636" w:type="dxa"/>
          </w:tcPr>
          <w:p w14:paraId="0008B2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Скорость:</w:t>
            </w:r>
          </w:p>
        </w:tc>
        <w:tc>
          <w:tcPr>
            <w:tcW w:w="5636" w:type="dxa"/>
          </w:tcPr>
          <w:p w14:paraId="68C13A2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E3B4A6B" w14:textId="77777777" w:rsidTr="00EA0DA7">
        <w:tc>
          <w:tcPr>
            <w:tcW w:w="5636" w:type="dxa"/>
          </w:tcPr>
          <w:p w14:paraId="7CDC6AE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2EFD809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312</w:t>
            </w:r>
          </w:p>
        </w:tc>
      </w:tr>
      <w:tr w:rsidR="00983732" w:rsidRPr="00A3026E" w14:paraId="1F1288D3" w14:textId="77777777" w:rsidTr="00EA0DA7">
        <w:tc>
          <w:tcPr>
            <w:tcW w:w="5636" w:type="dxa"/>
          </w:tcPr>
          <w:p w14:paraId="53A2C6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26AEE8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360/3000</w:t>
            </w:r>
          </w:p>
        </w:tc>
      </w:tr>
      <w:tr w:rsidR="00983732" w:rsidRPr="00A3026E" w14:paraId="5FFEC7F8" w14:textId="77777777" w:rsidTr="00EA0DA7">
        <w:tc>
          <w:tcPr>
            <w:tcW w:w="5636" w:type="dxa"/>
          </w:tcPr>
          <w:p w14:paraId="2517B8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1A12D8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r>
      <w:tr w:rsidR="00983732" w:rsidRPr="00A3026E" w14:paraId="5C74476D" w14:textId="77777777" w:rsidTr="00EA0DA7">
        <w:tc>
          <w:tcPr>
            <w:tcW w:w="5636" w:type="dxa"/>
          </w:tcPr>
          <w:p w14:paraId="4C4A62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5CA5B74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r>
      <w:tr w:rsidR="00983732" w:rsidRPr="00A3026E" w14:paraId="1439B73A" w14:textId="77777777" w:rsidTr="00EA0DA7">
        <w:tc>
          <w:tcPr>
            <w:tcW w:w="5636" w:type="dxa"/>
          </w:tcPr>
          <w:p w14:paraId="73E502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33991E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w:t>
            </w:r>
          </w:p>
        </w:tc>
      </w:tr>
      <w:tr w:rsidR="00983732" w:rsidRPr="00A3026E" w14:paraId="72B9C2C6" w14:textId="77777777" w:rsidTr="00EA0DA7">
        <w:tc>
          <w:tcPr>
            <w:tcW w:w="5636" w:type="dxa"/>
          </w:tcPr>
          <w:p w14:paraId="0536D54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23A101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8950</w:t>
            </w:r>
          </w:p>
        </w:tc>
      </w:tr>
      <w:tr w:rsidR="00983732" w:rsidRPr="00A3026E" w14:paraId="3BC4CB4E" w14:textId="77777777" w:rsidTr="00EA0DA7">
        <w:tc>
          <w:tcPr>
            <w:tcW w:w="5636" w:type="dxa"/>
          </w:tcPr>
          <w:p w14:paraId="5B720D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417EE28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w:t>
            </w:r>
          </w:p>
        </w:tc>
      </w:tr>
      <w:tr w:rsidR="00983732" w:rsidRPr="00A3026E" w14:paraId="2AC1588A" w14:textId="77777777" w:rsidTr="00EA0DA7">
        <w:tc>
          <w:tcPr>
            <w:tcW w:w="5636" w:type="dxa"/>
          </w:tcPr>
          <w:p w14:paraId="07B831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40557DA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4ПВ-1</w:t>
            </w:r>
          </w:p>
        </w:tc>
      </w:tr>
      <w:tr w:rsidR="00983732" w:rsidRPr="00A3026E" w14:paraId="34DCAF0B" w14:textId="77777777" w:rsidTr="00EA0DA7">
        <w:tc>
          <w:tcPr>
            <w:tcW w:w="5636" w:type="dxa"/>
          </w:tcPr>
          <w:p w14:paraId="566E71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6610FD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Центроплан взамен «Чайки» по типу самолета И-5.</w:t>
            </w:r>
          </w:p>
        </w:tc>
      </w:tr>
      <w:tr w:rsidR="00983732" w:rsidRPr="00A3026E" w14:paraId="4861E535" w14:textId="77777777" w:rsidTr="00EA0DA7">
        <w:tc>
          <w:tcPr>
            <w:tcW w:w="5636" w:type="dxa"/>
          </w:tcPr>
          <w:p w14:paraId="11340D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14E8F7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Установлен самопуск «Эклипс» и другое спецоборудование.</w:t>
            </w:r>
          </w:p>
        </w:tc>
      </w:tr>
      <w:tr w:rsidR="00983732" w:rsidRPr="00A3026E" w14:paraId="2D7EB04F" w14:textId="77777777" w:rsidTr="00EA0DA7">
        <w:tc>
          <w:tcPr>
            <w:tcW w:w="5636" w:type="dxa"/>
            <w:tcBorders>
              <w:bottom w:val="single" w:sz="12" w:space="0" w:color="auto"/>
            </w:tcBorders>
          </w:tcPr>
          <w:p w14:paraId="6EA2FA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7D6BD95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Слабое крепление ног шасси.</w:t>
            </w:r>
          </w:p>
        </w:tc>
      </w:tr>
    </w:tbl>
    <w:p w14:paraId="703E935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BA7B69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1936 году самолет не строился. Был применен при выполнении спецзадания. Летных испытаний не производилось.</w:t>
      </w:r>
    </w:p>
    <w:p w14:paraId="5C13AE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И-15бис головной серийный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2D528DB6" w14:textId="77777777" w:rsidTr="00EA0DA7">
        <w:tc>
          <w:tcPr>
            <w:tcW w:w="5636" w:type="dxa"/>
            <w:tcBorders>
              <w:top w:val="single" w:sz="12" w:space="0" w:color="auto"/>
            </w:tcBorders>
          </w:tcPr>
          <w:p w14:paraId="7A1ECA5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0A45A8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r>
      <w:tr w:rsidR="00983732" w:rsidRPr="00A3026E" w14:paraId="1C73FF4F" w14:textId="77777777" w:rsidTr="00EA0DA7">
        <w:tc>
          <w:tcPr>
            <w:tcW w:w="5636" w:type="dxa"/>
          </w:tcPr>
          <w:p w14:paraId="531349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25E9FBF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 (217 мм)</w:t>
            </w:r>
          </w:p>
        </w:tc>
      </w:tr>
      <w:tr w:rsidR="00983732" w:rsidRPr="00A3026E" w14:paraId="7AD6168F" w14:textId="77777777" w:rsidTr="00EA0DA7">
        <w:tc>
          <w:tcPr>
            <w:tcW w:w="5636" w:type="dxa"/>
          </w:tcPr>
          <w:p w14:paraId="2916459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5678FED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1750</w:t>
            </w:r>
          </w:p>
        </w:tc>
      </w:tr>
      <w:tr w:rsidR="00983732" w:rsidRPr="00A3026E" w14:paraId="03E5C6EA" w14:textId="77777777" w:rsidTr="00EA0DA7">
        <w:tc>
          <w:tcPr>
            <w:tcW w:w="5636" w:type="dxa"/>
          </w:tcPr>
          <w:p w14:paraId="022C679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7C8E8DE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305DCE1" w14:textId="77777777" w:rsidTr="00EA0DA7">
        <w:tc>
          <w:tcPr>
            <w:tcW w:w="5636" w:type="dxa"/>
          </w:tcPr>
          <w:p w14:paraId="210C9ED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7C36F29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321</w:t>
            </w:r>
          </w:p>
        </w:tc>
      </w:tr>
      <w:tr w:rsidR="00983732" w:rsidRPr="00A3026E" w14:paraId="6B16325A" w14:textId="77777777" w:rsidTr="00EA0DA7">
        <w:tc>
          <w:tcPr>
            <w:tcW w:w="5636" w:type="dxa"/>
          </w:tcPr>
          <w:p w14:paraId="72F782F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1C685F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370/3500</w:t>
            </w:r>
          </w:p>
        </w:tc>
      </w:tr>
      <w:tr w:rsidR="00983732" w:rsidRPr="00A3026E" w14:paraId="5EAD186E" w14:textId="77777777" w:rsidTr="00EA0DA7">
        <w:tc>
          <w:tcPr>
            <w:tcW w:w="5636" w:type="dxa"/>
          </w:tcPr>
          <w:p w14:paraId="4D969D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2631C70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7FA56EFD" w14:textId="77777777" w:rsidTr="00EA0DA7">
        <w:tc>
          <w:tcPr>
            <w:tcW w:w="5636" w:type="dxa"/>
          </w:tcPr>
          <w:p w14:paraId="318F195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59CBEF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r>
      <w:tr w:rsidR="00983732" w:rsidRPr="00A3026E" w14:paraId="48CE471F" w14:textId="77777777" w:rsidTr="00EA0DA7">
        <w:tc>
          <w:tcPr>
            <w:tcW w:w="5636" w:type="dxa"/>
          </w:tcPr>
          <w:p w14:paraId="089FE7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798D9D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6,75</w:t>
            </w:r>
          </w:p>
        </w:tc>
      </w:tr>
      <w:tr w:rsidR="00983732" w:rsidRPr="00A3026E" w14:paraId="7D9D29BB" w14:textId="77777777" w:rsidTr="00EA0DA7">
        <w:tc>
          <w:tcPr>
            <w:tcW w:w="5636" w:type="dxa"/>
          </w:tcPr>
          <w:p w14:paraId="2C8B5CF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797AF8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8980</w:t>
            </w:r>
          </w:p>
        </w:tc>
      </w:tr>
      <w:tr w:rsidR="00983732" w:rsidRPr="00A3026E" w14:paraId="0F59CD43" w14:textId="77777777" w:rsidTr="00EA0DA7">
        <w:tc>
          <w:tcPr>
            <w:tcW w:w="5636" w:type="dxa"/>
          </w:tcPr>
          <w:p w14:paraId="1156F14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4F7324D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r>
      <w:tr w:rsidR="00983732" w:rsidRPr="00A3026E" w14:paraId="2BAD9E1C" w14:textId="77777777" w:rsidTr="00EA0DA7">
        <w:tc>
          <w:tcPr>
            <w:tcW w:w="5636" w:type="dxa"/>
          </w:tcPr>
          <w:p w14:paraId="032445C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2196A7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4ПВ-1</w:t>
            </w:r>
          </w:p>
        </w:tc>
      </w:tr>
      <w:tr w:rsidR="00983732" w:rsidRPr="00A3026E" w14:paraId="7F877236" w14:textId="77777777" w:rsidTr="00EA0DA7">
        <w:tc>
          <w:tcPr>
            <w:tcW w:w="5636" w:type="dxa"/>
          </w:tcPr>
          <w:p w14:paraId="3E9755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4EADE06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Усилена конструкция самолетов.</w:t>
            </w:r>
          </w:p>
        </w:tc>
      </w:tr>
      <w:tr w:rsidR="00983732" w:rsidRPr="00A3026E" w14:paraId="2EF059B6" w14:textId="77777777" w:rsidTr="00EA0DA7">
        <w:tc>
          <w:tcPr>
            <w:tcW w:w="5636" w:type="dxa"/>
          </w:tcPr>
          <w:p w14:paraId="0A357FC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41748A7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Нормальный центроплан.</w:t>
            </w:r>
          </w:p>
        </w:tc>
      </w:tr>
      <w:tr w:rsidR="00983732" w:rsidRPr="00A3026E" w14:paraId="082E4DF3" w14:textId="77777777" w:rsidTr="00EA0DA7">
        <w:tc>
          <w:tcPr>
            <w:tcW w:w="5636" w:type="dxa"/>
          </w:tcPr>
          <w:p w14:paraId="55AE5F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1D88122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Общий выхлопной коллектор.</w:t>
            </w:r>
          </w:p>
        </w:tc>
      </w:tr>
      <w:tr w:rsidR="00983732" w:rsidRPr="00A3026E" w14:paraId="7D705D06" w14:textId="77777777" w:rsidTr="00EA0DA7">
        <w:tc>
          <w:tcPr>
            <w:tcW w:w="5636" w:type="dxa"/>
          </w:tcPr>
          <w:p w14:paraId="7371119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Самопуск «Эклипс» и спецоборудование.</w:t>
            </w:r>
          </w:p>
        </w:tc>
        <w:tc>
          <w:tcPr>
            <w:tcW w:w="5636" w:type="dxa"/>
          </w:tcPr>
          <w:p w14:paraId="53BC64B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1AE0957" w14:textId="77777777" w:rsidTr="00EA0DA7">
        <w:tc>
          <w:tcPr>
            <w:tcW w:w="5636" w:type="dxa"/>
          </w:tcPr>
          <w:p w14:paraId="5AADB7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Pr>
          <w:p w14:paraId="555BE6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Вибрация хвоста и элеронов.</w:t>
            </w:r>
          </w:p>
        </w:tc>
      </w:tr>
      <w:tr w:rsidR="00983732" w:rsidRPr="00A3026E" w14:paraId="2580BBE9" w14:textId="77777777" w:rsidTr="00EA0DA7">
        <w:tc>
          <w:tcPr>
            <w:tcW w:w="5636" w:type="dxa"/>
          </w:tcPr>
          <w:p w14:paraId="4CA91DC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0EE9417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Перекомпенсация рулей.</w:t>
            </w:r>
          </w:p>
        </w:tc>
      </w:tr>
      <w:tr w:rsidR="00983732" w:rsidRPr="00A3026E" w14:paraId="566D01D4" w14:textId="77777777" w:rsidTr="00EA0DA7">
        <w:tc>
          <w:tcPr>
            <w:tcW w:w="5636" w:type="dxa"/>
          </w:tcPr>
          <w:p w14:paraId="56B599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0FBCBB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Слабая амортизация костыля.</w:t>
            </w:r>
          </w:p>
        </w:tc>
      </w:tr>
      <w:tr w:rsidR="00983732" w:rsidRPr="00A3026E" w14:paraId="38A7ECD4" w14:textId="77777777" w:rsidTr="00EA0DA7">
        <w:tc>
          <w:tcPr>
            <w:tcW w:w="5636" w:type="dxa"/>
            <w:tcBorders>
              <w:bottom w:val="single" w:sz="12" w:space="0" w:color="auto"/>
            </w:tcBorders>
          </w:tcPr>
          <w:p w14:paraId="2EEC057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2F99C1A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Недостаточная прочность коллектора.</w:t>
            </w:r>
          </w:p>
        </w:tc>
      </w:tr>
    </w:tbl>
    <w:p w14:paraId="1D3558D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И-152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64A7A467" w14:textId="77777777" w:rsidTr="00EA0DA7">
        <w:tc>
          <w:tcPr>
            <w:tcW w:w="5636" w:type="dxa"/>
            <w:tcBorders>
              <w:top w:val="single" w:sz="12" w:space="0" w:color="auto"/>
            </w:tcBorders>
          </w:tcPr>
          <w:p w14:paraId="229DB8B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17C466C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r>
      <w:tr w:rsidR="00983732" w:rsidRPr="00A3026E" w14:paraId="1C719377" w14:textId="77777777" w:rsidTr="00EA0DA7">
        <w:tc>
          <w:tcPr>
            <w:tcW w:w="5636" w:type="dxa"/>
          </w:tcPr>
          <w:p w14:paraId="0E5AE1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4F8AD74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w:t>
            </w:r>
          </w:p>
        </w:tc>
      </w:tr>
      <w:tr w:rsidR="00983732" w:rsidRPr="00A3026E" w14:paraId="259828C6" w14:textId="77777777" w:rsidTr="00EA0DA7">
        <w:tc>
          <w:tcPr>
            <w:tcW w:w="5636" w:type="dxa"/>
          </w:tcPr>
          <w:p w14:paraId="4C32F97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5A9873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1648</w:t>
            </w:r>
          </w:p>
        </w:tc>
      </w:tr>
      <w:tr w:rsidR="00983732" w:rsidRPr="00A3026E" w14:paraId="7680C568" w14:textId="77777777" w:rsidTr="00EA0DA7">
        <w:tc>
          <w:tcPr>
            <w:tcW w:w="5636" w:type="dxa"/>
          </w:tcPr>
          <w:p w14:paraId="59610C7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7B2932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470CED8" w14:textId="77777777" w:rsidTr="00EA0DA7">
        <w:tc>
          <w:tcPr>
            <w:tcW w:w="5636" w:type="dxa"/>
          </w:tcPr>
          <w:p w14:paraId="4522150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478C825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w:t>
            </w:r>
          </w:p>
        </w:tc>
      </w:tr>
      <w:tr w:rsidR="00983732" w:rsidRPr="00A3026E" w14:paraId="14A81A00" w14:textId="77777777" w:rsidTr="00EA0DA7">
        <w:tc>
          <w:tcPr>
            <w:tcW w:w="5636" w:type="dxa"/>
          </w:tcPr>
          <w:p w14:paraId="26BC17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18E7EE2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367/3200</w:t>
            </w:r>
          </w:p>
        </w:tc>
      </w:tr>
      <w:tr w:rsidR="00983732" w:rsidRPr="00A3026E" w14:paraId="459EFDB9" w14:textId="77777777" w:rsidTr="00EA0DA7">
        <w:tc>
          <w:tcPr>
            <w:tcW w:w="5636" w:type="dxa"/>
          </w:tcPr>
          <w:p w14:paraId="0FFA1E9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097416E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49A233A2" w14:textId="77777777" w:rsidTr="00EA0DA7">
        <w:tc>
          <w:tcPr>
            <w:tcW w:w="5636" w:type="dxa"/>
          </w:tcPr>
          <w:p w14:paraId="7F7874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4B1397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12-11</w:t>
            </w:r>
          </w:p>
        </w:tc>
      </w:tr>
      <w:tr w:rsidR="00983732" w:rsidRPr="00A3026E" w14:paraId="194F0108" w14:textId="77777777" w:rsidTr="00EA0DA7">
        <w:tc>
          <w:tcPr>
            <w:tcW w:w="5636" w:type="dxa"/>
          </w:tcPr>
          <w:p w14:paraId="6EA3A2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16AA2B6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w:t>
            </w:r>
          </w:p>
        </w:tc>
      </w:tr>
      <w:tr w:rsidR="00983732" w:rsidRPr="00A3026E" w14:paraId="06A78328" w14:textId="77777777" w:rsidTr="00EA0DA7">
        <w:tc>
          <w:tcPr>
            <w:tcW w:w="5636" w:type="dxa"/>
          </w:tcPr>
          <w:p w14:paraId="06E74C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727828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r>
      <w:tr w:rsidR="00983732" w:rsidRPr="00A3026E" w14:paraId="7C08CDD0" w14:textId="77777777" w:rsidTr="00EA0DA7">
        <w:tc>
          <w:tcPr>
            <w:tcW w:w="5636" w:type="dxa"/>
          </w:tcPr>
          <w:p w14:paraId="635F460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590DA8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7918FAD" w14:textId="77777777" w:rsidTr="00EA0DA7">
        <w:tc>
          <w:tcPr>
            <w:tcW w:w="5636" w:type="dxa"/>
          </w:tcPr>
          <w:p w14:paraId="78CCB08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5F9D10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4ПВ-1</w:t>
            </w:r>
          </w:p>
        </w:tc>
      </w:tr>
      <w:tr w:rsidR="00983732" w:rsidRPr="00A3026E" w14:paraId="270BC6F9" w14:textId="77777777" w:rsidTr="00EA0DA7">
        <w:tc>
          <w:tcPr>
            <w:tcW w:w="5636" w:type="dxa"/>
          </w:tcPr>
          <w:p w14:paraId="1641A3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6F1C2D8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Установлен мотор с воздушным запуском.</w:t>
            </w:r>
          </w:p>
        </w:tc>
      </w:tr>
      <w:tr w:rsidR="00983732" w:rsidRPr="00A3026E" w14:paraId="01F5721C" w14:textId="77777777" w:rsidTr="00EA0DA7">
        <w:tc>
          <w:tcPr>
            <w:tcW w:w="5636" w:type="dxa"/>
          </w:tcPr>
          <w:p w14:paraId="09DD0F0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00957D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Протектированный бензобак.</w:t>
            </w:r>
          </w:p>
        </w:tc>
      </w:tr>
      <w:tr w:rsidR="00983732" w:rsidRPr="00A3026E" w14:paraId="1CBC0027" w14:textId="77777777" w:rsidTr="00EA0DA7">
        <w:tc>
          <w:tcPr>
            <w:tcW w:w="5636" w:type="dxa"/>
          </w:tcPr>
          <w:p w14:paraId="40273BF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3C3372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Отдельные выхлопные патрубки на цилиндры.</w:t>
            </w:r>
          </w:p>
        </w:tc>
      </w:tr>
      <w:tr w:rsidR="00983732" w:rsidRPr="00A3026E" w14:paraId="4E96FA5C" w14:textId="77777777" w:rsidTr="00EA0DA7">
        <w:tc>
          <w:tcPr>
            <w:tcW w:w="5636" w:type="dxa"/>
          </w:tcPr>
          <w:p w14:paraId="735E8A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Pr>
          <w:p w14:paraId="0CEF2C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Вибрация элеронов.</w:t>
            </w:r>
          </w:p>
        </w:tc>
      </w:tr>
      <w:tr w:rsidR="00983732" w:rsidRPr="00A3026E" w14:paraId="1E18478E" w14:textId="77777777" w:rsidTr="00EA0DA7">
        <w:tc>
          <w:tcPr>
            <w:tcW w:w="5636" w:type="dxa"/>
          </w:tcPr>
          <w:p w14:paraId="110F6A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176BD0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Перекомпенсация рулей.</w:t>
            </w:r>
          </w:p>
        </w:tc>
      </w:tr>
      <w:tr w:rsidR="00983732" w:rsidRPr="00A3026E" w14:paraId="269A4CC9" w14:textId="77777777" w:rsidTr="00EA0DA7">
        <w:tc>
          <w:tcPr>
            <w:tcW w:w="5636" w:type="dxa"/>
            <w:tcBorders>
              <w:bottom w:val="single" w:sz="12" w:space="0" w:color="auto"/>
            </w:tcBorders>
          </w:tcPr>
          <w:p w14:paraId="247DD0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09A5542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Плохая работа тормозной системы.</w:t>
            </w:r>
          </w:p>
        </w:tc>
      </w:tr>
    </w:tbl>
    <w:p w14:paraId="088095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7E42D3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И-15бис серийный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0A94E06B" w14:textId="77777777" w:rsidTr="00EA0DA7">
        <w:tc>
          <w:tcPr>
            <w:tcW w:w="5636" w:type="dxa"/>
            <w:tcBorders>
              <w:top w:val="single" w:sz="12" w:space="0" w:color="auto"/>
            </w:tcBorders>
          </w:tcPr>
          <w:p w14:paraId="17A7174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0034F4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r>
      <w:tr w:rsidR="00983732" w:rsidRPr="00A3026E" w14:paraId="47C2D968" w14:textId="77777777" w:rsidTr="00EA0DA7">
        <w:tc>
          <w:tcPr>
            <w:tcW w:w="5636" w:type="dxa"/>
          </w:tcPr>
          <w:p w14:paraId="0C721D6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10DEA0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 (250 мм)</w:t>
            </w:r>
          </w:p>
        </w:tc>
      </w:tr>
      <w:tr w:rsidR="00983732" w:rsidRPr="00A3026E" w14:paraId="287D7141" w14:textId="77777777" w:rsidTr="00EA0DA7">
        <w:tc>
          <w:tcPr>
            <w:tcW w:w="5636" w:type="dxa"/>
          </w:tcPr>
          <w:p w14:paraId="191B51F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482402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w:t>
            </w:r>
          </w:p>
        </w:tc>
      </w:tr>
      <w:tr w:rsidR="00983732" w:rsidRPr="00A3026E" w14:paraId="7C2BC59F" w14:textId="77777777" w:rsidTr="00EA0DA7">
        <w:tc>
          <w:tcPr>
            <w:tcW w:w="5636" w:type="dxa"/>
          </w:tcPr>
          <w:p w14:paraId="6F6E8E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7F690D2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88B7666" w14:textId="77777777" w:rsidTr="00EA0DA7">
        <w:tc>
          <w:tcPr>
            <w:tcW w:w="5636" w:type="dxa"/>
          </w:tcPr>
          <w:p w14:paraId="3649673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3909659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327</w:t>
            </w:r>
          </w:p>
        </w:tc>
      </w:tr>
      <w:tr w:rsidR="00983732" w:rsidRPr="00A3026E" w14:paraId="5EF2803C" w14:textId="77777777" w:rsidTr="00EA0DA7">
        <w:tc>
          <w:tcPr>
            <w:tcW w:w="5636" w:type="dxa"/>
          </w:tcPr>
          <w:p w14:paraId="5949FC6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0664AAA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379/3500</w:t>
            </w:r>
          </w:p>
        </w:tc>
      </w:tr>
      <w:tr w:rsidR="00983732" w:rsidRPr="00A3026E" w14:paraId="283546A0" w14:textId="77777777" w:rsidTr="00EA0DA7">
        <w:tc>
          <w:tcPr>
            <w:tcW w:w="5636" w:type="dxa"/>
          </w:tcPr>
          <w:p w14:paraId="182E5BE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4588B28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5B2DB093" w14:textId="77777777" w:rsidTr="00EA0DA7">
        <w:tc>
          <w:tcPr>
            <w:tcW w:w="5636" w:type="dxa"/>
          </w:tcPr>
          <w:p w14:paraId="1EE3255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0B1C63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5E7B946A" w14:textId="77777777" w:rsidTr="00EA0DA7">
        <w:tc>
          <w:tcPr>
            <w:tcW w:w="5636" w:type="dxa"/>
          </w:tcPr>
          <w:p w14:paraId="02DBCFF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45C62B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w:t>
            </w:r>
          </w:p>
        </w:tc>
      </w:tr>
      <w:tr w:rsidR="00983732" w:rsidRPr="00A3026E" w14:paraId="5650BE6D" w14:textId="77777777" w:rsidTr="00EA0DA7">
        <w:tc>
          <w:tcPr>
            <w:tcW w:w="5636" w:type="dxa"/>
          </w:tcPr>
          <w:p w14:paraId="45F985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107E3F5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27DAA648" w14:textId="77777777" w:rsidTr="00EA0DA7">
        <w:tc>
          <w:tcPr>
            <w:tcW w:w="5636" w:type="dxa"/>
          </w:tcPr>
          <w:p w14:paraId="72A642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6F62441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r>
      <w:tr w:rsidR="00983732" w:rsidRPr="00A3026E" w14:paraId="2F5FC326" w14:textId="77777777" w:rsidTr="00EA0DA7">
        <w:tc>
          <w:tcPr>
            <w:tcW w:w="5636" w:type="dxa"/>
          </w:tcPr>
          <w:p w14:paraId="0A29EB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052D213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4ПВ-1</w:t>
            </w:r>
          </w:p>
        </w:tc>
      </w:tr>
      <w:tr w:rsidR="00983732" w:rsidRPr="00A3026E" w14:paraId="497A36B0" w14:textId="77777777" w:rsidTr="00EA0DA7">
        <w:tc>
          <w:tcPr>
            <w:tcW w:w="5636" w:type="dxa"/>
          </w:tcPr>
          <w:p w14:paraId="07CE5AE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128312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с шириной лопасти 250 мм вместо 217 мм.</w:t>
            </w:r>
          </w:p>
        </w:tc>
      </w:tr>
      <w:tr w:rsidR="00983732" w:rsidRPr="00A3026E" w14:paraId="77DF8864" w14:textId="77777777" w:rsidTr="00EA0DA7">
        <w:tc>
          <w:tcPr>
            <w:tcW w:w="5636" w:type="dxa"/>
            <w:tcBorders>
              <w:bottom w:val="single" w:sz="12" w:space="0" w:color="auto"/>
            </w:tcBorders>
          </w:tcPr>
          <w:p w14:paraId="7090CBE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7DEC93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Увеличилась вибрация хвоста, консоли крыла и элеронов.</w:t>
            </w:r>
          </w:p>
        </w:tc>
      </w:tr>
    </w:tbl>
    <w:p w14:paraId="55806A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A837C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4128B774" w14:textId="77777777" w:rsidTr="00EA0DA7">
        <w:tc>
          <w:tcPr>
            <w:tcW w:w="5636" w:type="dxa"/>
            <w:tcBorders>
              <w:top w:val="single" w:sz="12" w:space="0" w:color="auto"/>
            </w:tcBorders>
          </w:tcPr>
          <w:p w14:paraId="6157DAC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0270EC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r>
      <w:tr w:rsidR="00983732" w:rsidRPr="00A3026E" w14:paraId="7BEBA6DC" w14:textId="77777777" w:rsidTr="00EA0DA7">
        <w:tc>
          <w:tcPr>
            <w:tcW w:w="5636" w:type="dxa"/>
          </w:tcPr>
          <w:p w14:paraId="5212A6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3095BF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w:t>
            </w:r>
          </w:p>
        </w:tc>
      </w:tr>
      <w:tr w:rsidR="00983732" w:rsidRPr="00A3026E" w14:paraId="0D4661BE" w14:textId="77777777" w:rsidTr="00EA0DA7">
        <w:tc>
          <w:tcPr>
            <w:tcW w:w="5636" w:type="dxa"/>
          </w:tcPr>
          <w:p w14:paraId="1A6D372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6AE9253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1650</w:t>
            </w:r>
          </w:p>
        </w:tc>
      </w:tr>
      <w:tr w:rsidR="00983732" w:rsidRPr="00A3026E" w14:paraId="310EC67E" w14:textId="77777777" w:rsidTr="00EA0DA7">
        <w:tc>
          <w:tcPr>
            <w:tcW w:w="5636" w:type="dxa"/>
          </w:tcPr>
          <w:p w14:paraId="60205BB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546B3CF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45789B8" w14:textId="77777777" w:rsidTr="00EA0DA7">
        <w:tc>
          <w:tcPr>
            <w:tcW w:w="5636" w:type="dxa"/>
          </w:tcPr>
          <w:p w14:paraId="1EE1A5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51A224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r>
      <w:tr w:rsidR="00983732" w:rsidRPr="00A3026E" w14:paraId="662BF31F" w14:textId="77777777" w:rsidTr="00EA0DA7">
        <w:tc>
          <w:tcPr>
            <w:tcW w:w="5636" w:type="dxa"/>
          </w:tcPr>
          <w:p w14:paraId="3D4B39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09E30B0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w:t>
            </w:r>
          </w:p>
        </w:tc>
      </w:tr>
      <w:tr w:rsidR="00983732" w:rsidRPr="00A3026E" w14:paraId="61262079" w14:textId="77777777" w:rsidTr="00EA0DA7">
        <w:tc>
          <w:tcPr>
            <w:tcW w:w="5636" w:type="dxa"/>
          </w:tcPr>
          <w:p w14:paraId="3F1AE0B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Посадочная скорость</w:t>
            </w:r>
          </w:p>
        </w:tc>
        <w:tc>
          <w:tcPr>
            <w:tcW w:w="5636" w:type="dxa"/>
          </w:tcPr>
          <w:p w14:paraId="052B173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100-105</w:t>
            </w:r>
          </w:p>
        </w:tc>
      </w:tr>
      <w:tr w:rsidR="00983732" w:rsidRPr="00A3026E" w14:paraId="181B3ADD" w14:textId="77777777" w:rsidTr="00EA0DA7">
        <w:tc>
          <w:tcPr>
            <w:tcW w:w="5636" w:type="dxa"/>
          </w:tcPr>
          <w:p w14:paraId="0EB8A2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5C2F27E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r>
      <w:tr w:rsidR="00983732" w:rsidRPr="00A3026E" w14:paraId="02E3F502" w14:textId="77777777" w:rsidTr="00EA0DA7">
        <w:tc>
          <w:tcPr>
            <w:tcW w:w="5636" w:type="dxa"/>
          </w:tcPr>
          <w:p w14:paraId="67ADF7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18013F3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4/2900</w:t>
            </w:r>
          </w:p>
        </w:tc>
      </w:tr>
      <w:tr w:rsidR="00983732" w:rsidRPr="00A3026E" w14:paraId="50005DD1" w14:textId="77777777" w:rsidTr="00EA0DA7">
        <w:tc>
          <w:tcPr>
            <w:tcW w:w="5636" w:type="dxa"/>
          </w:tcPr>
          <w:p w14:paraId="7E3B0C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3A4DA6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8600</w:t>
            </w:r>
          </w:p>
        </w:tc>
      </w:tr>
      <w:tr w:rsidR="00983732" w:rsidRPr="00A3026E" w14:paraId="5658E8F0" w14:textId="77777777" w:rsidTr="00EA0DA7">
        <w:tc>
          <w:tcPr>
            <w:tcW w:w="5636" w:type="dxa"/>
          </w:tcPr>
          <w:p w14:paraId="391BF76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00EE70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625</w:t>
            </w:r>
          </w:p>
        </w:tc>
      </w:tr>
      <w:tr w:rsidR="00983732" w:rsidRPr="00A3026E" w14:paraId="4CE87065" w14:textId="77777777" w:rsidTr="00EA0DA7">
        <w:tc>
          <w:tcPr>
            <w:tcW w:w="5636" w:type="dxa"/>
          </w:tcPr>
          <w:p w14:paraId="2BED1A8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421F7C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0E1D3613" w14:textId="77777777" w:rsidTr="00EA0DA7">
        <w:tc>
          <w:tcPr>
            <w:tcW w:w="5636" w:type="dxa"/>
          </w:tcPr>
          <w:p w14:paraId="0C2CBE1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2B8450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Убирающиеся шасси.</w:t>
            </w:r>
          </w:p>
        </w:tc>
      </w:tr>
      <w:tr w:rsidR="00983732" w:rsidRPr="00A3026E" w14:paraId="6B54B704" w14:textId="77777777" w:rsidTr="00EA0DA7">
        <w:tc>
          <w:tcPr>
            <w:tcW w:w="5636" w:type="dxa"/>
          </w:tcPr>
          <w:p w14:paraId="11B029B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2E3CBE1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Центроплан «Чайка».</w:t>
            </w:r>
          </w:p>
        </w:tc>
      </w:tr>
      <w:tr w:rsidR="00983732" w:rsidRPr="00A3026E" w14:paraId="7FEAF284" w14:textId="77777777" w:rsidTr="00EA0DA7">
        <w:tc>
          <w:tcPr>
            <w:tcW w:w="5636" w:type="dxa"/>
          </w:tcPr>
          <w:p w14:paraId="2BFE05A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4B2C5CA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Пулеметы ШКАС вместо ПВ-1.</w:t>
            </w:r>
          </w:p>
        </w:tc>
      </w:tr>
      <w:tr w:rsidR="00983732" w:rsidRPr="00A3026E" w14:paraId="57AFE690" w14:textId="77777777" w:rsidTr="00EA0DA7">
        <w:tc>
          <w:tcPr>
            <w:tcW w:w="5636" w:type="dxa"/>
          </w:tcPr>
          <w:p w14:paraId="7366A4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Усилена конструкция в соответствии с нормами прочности.</w:t>
            </w:r>
          </w:p>
        </w:tc>
        <w:tc>
          <w:tcPr>
            <w:tcW w:w="5636" w:type="dxa"/>
          </w:tcPr>
          <w:p w14:paraId="43B6D25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D14CF02" w14:textId="77777777" w:rsidTr="00EA0DA7">
        <w:tc>
          <w:tcPr>
            <w:tcW w:w="5636" w:type="dxa"/>
          </w:tcPr>
          <w:p w14:paraId="122CFA6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Pr>
          <w:p w14:paraId="629018D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Вибрация элеронов хвоста и корневой части крыла.</w:t>
            </w:r>
          </w:p>
        </w:tc>
      </w:tr>
      <w:tr w:rsidR="00983732" w:rsidRPr="00A3026E" w14:paraId="02800644" w14:textId="77777777" w:rsidTr="00EA0DA7">
        <w:tc>
          <w:tcPr>
            <w:tcW w:w="5636" w:type="dxa"/>
          </w:tcPr>
          <w:p w14:paraId="32566BB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386E82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Перегрев мотора.</w:t>
            </w:r>
          </w:p>
        </w:tc>
      </w:tr>
      <w:tr w:rsidR="00983732" w:rsidRPr="00A3026E" w14:paraId="034CB299" w14:textId="77777777" w:rsidTr="00EA0DA7">
        <w:tc>
          <w:tcPr>
            <w:tcW w:w="5636" w:type="dxa"/>
          </w:tcPr>
          <w:p w14:paraId="047D148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4D885C6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Неустойчивость пути.</w:t>
            </w:r>
          </w:p>
        </w:tc>
      </w:tr>
      <w:tr w:rsidR="00983732" w:rsidRPr="00A3026E" w14:paraId="26E5FF36" w14:textId="77777777" w:rsidTr="00EA0DA7">
        <w:tc>
          <w:tcPr>
            <w:tcW w:w="5636" w:type="dxa"/>
            <w:tcBorders>
              <w:bottom w:val="single" w:sz="12" w:space="0" w:color="auto"/>
            </w:tcBorders>
          </w:tcPr>
          <w:p w14:paraId="306C591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47A1D7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Перекомпенсация рулей высоты и затруднена координация рулей на пилотаже.</w:t>
            </w:r>
          </w:p>
        </w:tc>
      </w:tr>
    </w:tbl>
    <w:p w14:paraId="607C79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23EED6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53918388" w14:textId="77777777" w:rsidTr="00EA0DA7">
        <w:tc>
          <w:tcPr>
            <w:tcW w:w="5636" w:type="dxa"/>
            <w:tcBorders>
              <w:top w:val="single" w:sz="12" w:space="0" w:color="auto"/>
            </w:tcBorders>
          </w:tcPr>
          <w:p w14:paraId="632583A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31382FE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r>
      <w:tr w:rsidR="00983732" w:rsidRPr="00A3026E" w14:paraId="281EE913" w14:textId="77777777" w:rsidTr="00EA0DA7">
        <w:tc>
          <w:tcPr>
            <w:tcW w:w="5636" w:type="dxa"/>
          </w:tcPr>
          <w:p w14:paraId="106FEC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30CF9F4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w:t>
            </w:r>
          </w:p>
        </w:tc>
      </w:tr>
      <w:tr w:rsidR="00983732" w:rsidRPr="00A3026E" w14:paraId="14E95696" w14:textId="77777777" w:rsidTr="00EA0DA7">
        <w:tc>
          <w:tcPr>
            <w:tcW w:w="5636" w:type="dxa"/>
          </w:tcPr>
          <w:p w14:paraId="44E035C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687CC04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1762</w:t>
            </w:r>
          </w:p>
        </w:tc>
      </w:tr>
      <w:tr w:rsidR="00983732" w:rsidRPr="00A3026E" w14:paraId="25AC534A" w14:textId="77777777" w:rsidTr="00EA0DA7">
        <w:tc>
          <w:tcPr>
            <w:tcW w:w="5636" w:type="dxa"/>
          </w:tcPr>
          <w:p w14:paraId="56AB767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0AEC48A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FD5A07F" w14:textId="77777777" w:rsidTr="00EA0DA7">
        <w:tc>
          <w:tcPr>
            <w:tcW w:w="5636" w:type="dxa"/>
          </w:tcPr>
          <w:p w14:paraId="5F03F3D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35AE03D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365</w:t>
            </w:r>
          </w:p>
        </w:tc>
      </w:tr>
      <w:tr w:rsidR="00983732" w:rsidRPr="00A3026E" w14:paraId="76FB7708" w14:textId="77777777" w:rsidTr="00EA0DA7">
        <w:tc>
          <w:tcPr>
            <w:tcW w:w="5636" w:type="dxa"/>
          </w:tcPr>
          <w:p w14:paraId="717B29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1CE4221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443/4600</w:t>
            </w:r>
          </w:p>
        </w:tc>
      </w:tr>
      <w:tr w:rsidR="00983732" w:rsidRPr="00A3026E" w14:paraId="3E0DF62F" w14:textId="77777777" w:rsidTr="00EA0DA7">
        <w:tc>
          <w:tcPr>
            <w:tcW w:w="5636" w:type="dxa"/>
          </w:tcPr>
          <w:p w14:paraId="2812691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655662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110/115</w:t>
            </w:r>
          </w:p>
        </w:tc>
      </w:tr>
      <w:tr w:rsidR="00983732" w:rsidRPr="00A3026E" w14:paraId="7F8CF231" w14:textId="77777777" w:rsidTr="00EA0DA7">
        <w:tc>
          <w:tcPr>
            <w:tcW w:w="5636" w:type="dxa"/>
          </w:tcPr>
          <w:p w14:paraId="38AA449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771519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13-13,5</w:t>
            </w:r>
          </w:p>
        </w:tc>
      </w:tr>
      <w:tr w:rsidR="00983732" w:rsidRPr="00A3026E" w14:paraId="683EC957" w14:textId="77777777" w:rsidTr="00EA0DA7">
        <w:tc>
          <w:tcPr>
            <w:tcW w:w="5636" w:type="dxa"/>
          </w:tcPr>
          <w:p w14:paraId="5D343EB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385677C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r>
      <w:tr w:rsidR="00983732" w:rsidRPr="00A3026E" w14:paraId="39F1236B" w14:textId="77777777" w:rsidTr="00EA0DA7">
        <w:tc>
          <w:tcPr>
            <w:tcW w:w="5636" w:type="dxa"/>
          </w:tcPr>
          <w:p w14:paraId="4BBEEE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76D3E4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9800</w:t>
            </w:r>
          </w:p>
        </w:tc>
      </w:tr>
      <w:tr w:rsidR="00983732" w:rsidRPr="00A3026E" w14:paraId="3E50B6EA" w14:textId="77777777" w:rsidTr="00EA0DA7">
        <w:tc>
          <w:tcPr>
            <w:tcW w:w="5636" w:type="dxa"/>
          </w:tcPr>
          <w:p w14:paraId="72E8868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5D7DCDE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r>
      <w:tr w:rsidR="00983732" w:rsidRPr="00A3026E" w14:paraId="5F9DA2DA" w14:textId="77777777" w:rsidTr="00EA0DA7">
        <w:tc>
          <w:tcPr>
            <w:tcW w:w="5636" w:type="dxa"/>
          </w:tcPr>
          <w:p w14:paraId="3985F7F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63877B9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078EB3F4" w14:textId="77777777" w:rsidTr="00EA0DA7">
        <w:tc>
          <w:tcPr>
            <w:tcW w:w="5636" w:type="dxa"/>
          </w:tcPr>
          <w:p w14:paraId="3D7D72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10938CD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Новая ВМГ.</w:t>
            </w:r>
          </w:p>
        </w:tc>
      </w:tr>
      <w:tr w:rsidR="00983732" w:rsidRPr="00A3026E" w14:paraId="23987463" w14:textId="77777777" w:rsidTr="00EA0DA7">
        <w:tc>
          <w:tcPr>
            <w:tcW w:w="5636" w:type="dxa"/>
          </w:tcPr>
          <w:p w14:paraId="089A52B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Усилена конструкция с частичным устранением дефектов.</w:t>
            </w:r>
          </w:p>
        </w:tc>
        <w:tc>
          <w:tcPr>
            <w:tcW w:w="5636" w:type="dxa"/>
          </w:tcPr>
          <w:p w14:paraId="2362E28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019ED54" w14:textId="77777777" w:rsidTr="00EA0DA7">
        <w:tc>
          <w:tcPr>
            <w:tcW w:w="5636" w:type="dxa"/>
          </w:tcPr>
          <w:p w14:paraId="2AB5C7A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Pr>
          <w:p w14:paraId="1AB9AC7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Поломка траверс шасси.</w:t>
            </w:r>
          </w:p>
        </w:tc>
      </w:tr>
      <w:tr w:rsidR="00983732" w:rsidRPr="00A3026E" w14:paraId="6289FBDF" w14:textId="77777777" w:rsidTr="00EA0DA7">
        <w:tc>
          <w:tcPr>
            <w:tcW w:w="5636" w:type="dxa"/>
          </w:tcPr>
          <w:p w14:paraId="5DB28DC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25F5D21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Неудовлетворительные штопорные свойства.</w:t>
            </w:r>
          </w:p>
        </w:tc>
      </w:tr>
      <w:tr w:rsidR="00983732" w:rsidRPr="00A3026E" w14:paraId="5EEF5DBB" w14:textId="77777777" w:rsidTr="00EA0DA7">
        <w:tc>
          <w:tcPr>
            <w:tcW w:w="5636" w:type="dxa"/>
            <w:tcBorders>
              <w:bottom w:val="single" w:sz="12" w:space="0" w:color="auto"/>
            </w:tcBorders>
          </w:tcPr>
          <w:p w14:paraId="62907E5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5C4BB1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Недоведены ВМГ и вооружение.</w:t>
            </w:r>
          </w:p>
        </w:tc>
      </w:tr>
    </w:tbl>
    <w:p w14:paraId="1FEBAB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F1561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671C8585" w14:textId="77777777" w:rsidTr="00EA0DA7">
        <w:tc>
          <w:tcPr>
            <w:tcW w:w="5636" w:type="dxa"/>
            <w:tcBorders>
              <w:top w:val="single" w:sz="12" w:space="0" w:color="auto"/>
            </w:tcBorders>
          </w:tcPr>
          <w:p w14:paraId="6243E4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61AA8E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r>
      <w:tr w:rsidR="00983732" w:rsidRPr="00A3026E" w14:paraId="775F6A1B" w14:textId="77777777" w:rsidTr="00EA0DA7">
        <w:tc>
          <w:tcPr>
            <w:tcW w:w="5636" w:type="dxa"/>
          </w:tcPr>
          <w:p w14:paraId="4C3B3C3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178228A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72ADEF3F" w14:textId="77777777" w:rsidTr="00EA0DA7">
        <w:tc>
          <w:tcPr>
            <w:tcW w:w="5636" w:type="dxa"/>
          </w:tcPr>
          <w:p w14:paraId="2276984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3ABCA90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1765</w:t>
            </w:r>
          </w:p>
        </w:tc>
      </w:tr>
      <w:tr w:rsidR="00983732" w:rsidRPr="00A3026E" w14:paraId="5D2E4FD5" w14:textId="77777777" w:rsidTr="00EA0DA7">
        <w:tc>
          <w:tcPr>
            <w:tcW w:w="5636" w:type="dxa"/>
          </w:tcPr>
          <w:p w14:paraId="15C045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0C34B5C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ECF6DFB" w14:textId="77777777" w:rsidTr="00EA0DA7">
        <w:tc>
          <w:tcPr>
            <w:tcW w:w="5636" w:type="dxa"/>
          </w:tcPr>
          <w:p w14:paraId="54B995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6EAC9B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364</w:t>
            </w:r>
          </w:p>
        </w:tc>
      </w:tr>
      <w:tr w:rsidR="00983732" w:rsidRPr="00A3026E" w14:paraId="3A491DEF" w14:textId="77777777" w:rsidTr="00EA0DA7">
        <w:tc>
          <w:tcPr>
            <w:tcW w:w="5636" w:type="dxa"/>
          </w:tcPr>
          <w:p w14:paraId="26BB244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746AA5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424/5000</w:t>
            </w:r>
          </w:p>
        </w:tc>
      </w:tr>
      <w:tr w:rsidR="00983732" w:rsidRPr="00A3026E" w14:paraId="64DD9AAA" w14:textId="77777777" w:rsidTr="00EA0DA7">
        <w:tc>
          <w:tcPr>
            <w:tcW w:w="5636" w:type="dxa"/>
          </w:tcPr>
          <w:p w14:paraId="220E3C5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172E436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110-115</w:t>
            </w:r>
          </w:p>
        </w:tc>
      </w:tr>
      <w:tr w:rsidR="00983732" w:rsidRPr="00A3026E" w14:paraId="6854F288" w14:textId="77777777" w:rsidTr="00EA0DA7">
        <w:tc>
          <w:tcPr>
            <w:tcW w:w="5636" w:type="dxa"/>
          </w:tcPr>
          <w:p w14:paraId="248365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5FD7794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13-13,5</w:t>
            </w:r>
          </w:p>
        </w:tc>
      </w:tr>
      <w:tr w:rsidR="00983732" w:rsidRPr="00A3026E" w14:paraId="6AC2D2E2" w14:textId="77777777" w:rsidTr="00EA0DA7">
        <w:tc>
          <w:tcPr>
            <w:tcW w:w="5636" w:type="dxa"/>
          </w:tcPr>
          <w:p w14:paraId="1DE945C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19263B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w:t>
            </w:r>
          </w:p>
        </w:tc>
      </w:tr>
      <w:tr w:rsidR="00983732" w:rsidRPr="00A3026E" w14:paraId="52BD21B9" w14:textId="77777777" w:rsidTr="00EA0DA7">
        <w:tc>
          <w:tcPr>
            <w:tcW w:w="5636" w:type="dxa"/>
          </w:tcPr>
          <w:p w14:paraId="4F2125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45B52E4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10700</w:t>
            </w:r>
          </w:p>
        </w:tc>
      </w:tr>
      <w:tr w:rsidR="00983732" w:rsidRPr="00A3026E" w14:paraId="567CED4D" w14:textId="77777777" w:rsidTr="00EA0DA7">
        <w:tc>
          <w:tcPr>
            <w:tcW w:w="5636" w:type="dxa"/>
          </w:tcPr>
          <w:p w14:paraId="3CC39E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37A1D5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w:t>
            </w:r>
          </w:p>
        </w:tc>
      </w:tr>
      <w:tr w:rsidR="00983732" w:rsidRPr="00A3026E" w14:paraId="7D0B4E26" w14:textId="77777777" w:rsidTr="00EA0DA7">
        <w:tc>
          <w:tcPr>
            <w:tcW w:w="5636" w:type="dxa"/>
          </w:tcPr>
          <w:p w14:paraId="11A892C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0B13435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746DB506" w14:textId="77777777" w:rsidTr="00EA0DA7">
        <w:tc>
          <w:tcPr>
            <w:tcW w:w="5636" w:type="dxa"/>
          </w:tcPr>
          <w:p w14:paraId="35C1F71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6D3063B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Новый винт.</w:t>
            </w:r>
          </w:p>
        </w:tc>
      </w:tr>
      <w:tr w:rsidR="00983732" w:rsidRPr="00A3026E" w14:paraId="2F977D3E" w14:textId="77777777" w:rsidTr="00EA0DA7">
        <w:tc>
          <w:tcPr>
            <w:tcW w:w="5636" w:type="dxa"/>
          </w:tcPr>
          <w:p w14:paraId="2FC68FB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Pr>
          <w:p w14:paraId="6F83D53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Поломка траверс шасси.</w:t>
            </w:r>
          </w:p>
        </w:tc>
      </w:tr>
      <w:tr w:rsidR="00983732" w:rsidRPr="00A3026E" w14:paraId="26BFF773" w14:textId="77777777" w:rsidTr="00EA0DA7">
        <w:tc>
          <w:tcPr>
            <w:tcW w:w="5636" w:type="dxa"/>
          </w:tcPr>
          <w:p w14:paraId="61AC7A7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30E39B0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Неудовлетворительные штопорные свойства.</w:t>
            </w:r>
          </w:p>
        </w:tc>
      </w:tr>
      <w:tr w:rsidR="00983732" w:rsidRPr="00A3026E" w14:paraId="6F7743AD" w14:textId="77777777" w:rsidTr="00EA0DA7">
        <w:tc>
          <w:tcPr>
            <w:tcW w:w="5636" w:type="dxa"/>
          </w:tcPr>
          <w:p w14:paraId="2D84B3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56E021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Недоведены ВМГ и вооружение.</w:t>
            </w:r>
          </w:p>
        </w:tc>
      </w:tr>
      <w:tr w:rsidR="00983732" w:rsidRPr="00A3026E" w14:paraId="5FBBCEBB" w14:textId="77777777" w:rsidTr="00EA0DA7">
        <w:tc>
          <w:tcPr>
            <w:tcW w:w="5636" w:type="dxa"/>
            <w:tcBorders>
              <w:bottom w:val="single" w:sz="12" w:space="0" w:color="auto"/>
            </w:tcBorders>
          </w:tcPr>
          <w:p w14:paraId="4D6C3F6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4CC940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Обрыв несущих лент расчалок коробки.</w:t>
            </w:r>
          </w:p>
        </w:tc>
      </w:tr>
    </w:tbl>
    <w:p w14:paraId="42F6B52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D913FA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059AA466" w14:textId="77777777" w:rsidTr="00EA0DA7">
        <w:tc>
          <w:tcPr>
            <w:tcW w:w="5636" w:type="dxa"/>
            <w:tcBorders>
              <w:top w:val="single" w:sz="12" w:space="0" w:color="auto"/>
            </w:tcBorders>
          </w:tcPr>
          <w:p w14:paraId="1843243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62D0F6D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r>
      <w:tr w:rsidR="00983732" w:rsidRPr="00A3026E" w14:paraId="3AC7C944" w14:textId="77777777" w:rsidTr="00EA0DA7">
        <w:tc>
          <w:tcPr>
            <w:tcW w:w="5636" w:type="dxa"/>
          </w:tcPr>
          <w:p w14:paraId="18A18E0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08D3A75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40540300" w14:textId="77777777" w:rsidTr="00EA0DA7">
        <w:tc>
          <w:tcPr>
            <w:tcW w:w="5636" w:type="dxa"/>
          </w:tcPr>
          <w:p w14:paraId="1D80F79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77A6428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1853</w:t>
            </w:r>
          </w:p>
        </w:tc>
      </w:tr>
      <w:tr w:rsidR="00983732" w:rsidRPr="00A3026E" w14:paraId="3F2E3485" w14:textId="77777777" w:rsidTr="00EA0DA7">
        <w:tc>
          <w:tcPr>
            <w:tcW w:w="5636" w:type="dxa"/>
          </w:tcPr>
          <w:p w14:paraId="7203E0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19C895F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1ECD671" w14:textId="77777777" w:rsidTr="00EA0DA7">
        <w:tc>
          <w:tcPr>
            <w:tcW w:w="5636" w:type="dxa"/>
          </w:tcPr>
          <w:p w14:paraId="6AA19B9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54DB08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372</w:t>
            </w:r>
          </w:p>
        </w:tc>
      </w:tr>
      <w:tr w:rsidR="00983732" w:rsidRPr="00A3026E" w14:paraId="7A60D394" w14:textId="77777777" w:rsidTr="00EA0DA7">
        <w:tc>
          <w:tcPr>
            <w:tcW w:w="5636" w:type="dxa"/>
          </w:tcPr>
          <w:p w14:paraId="25EB9B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5ABC06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435/5000</w:t>
            </w:r>
          </w:p>
        </w:tc>
      </w:tr>
      <w:tr w:rsidR="00983732" w:rsidRPr="00A3026E" w14:paraId="17531F94" w14:textId="77777777" w:rsidTr="00EA0DA7">
        <w:tc>
          <w:tcPr>
            <w:tcW w:w="5636" w:type="dxa"/>
          </w:tcPr>
          <w:p w14:paraId="6FA1DF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3017ACF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110-115</w:t>
            </w:r>
          </w:p>
        </w:tc>
      </w:tr>
      <w:tr w:rsidR="00983732" w:rsidRPr="00A3026E" w14:paraId="1B638E97" w14:textId="77777777" w:rsidTr="00EA0DA7">
        <w:tc>
          <w:tcPr>
            <w:tcW w:w="5636" w:type="dxa"/>
          </w:tcPr>
          <w:p w14:paraId="6AEF2B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747083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r>
      <w:tr w:rsidR="00983732" w:rsidRPr="00A3026E" w14:paraId="5D6D2A0C" w14:textId="77777777" w:rsidTr="00EA0DA7">
        <w:tc>
          <w:tcPr>
            <w:tcW w:w="5636" w:type="dxa"/>
          </w:tcPr>
          <w:p w14:paraId="5561E53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27A4195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5,46</w:t>
            </w:r>
          </w:p>
        </w:tc>
      </w:tr>
      <w:tr w:rsidR="00983732" w:rsidRPr="00A3026E" w14:paraId="70B48C0E" w14:textId="77777777" w:rsidTr="00EA0DA7">
        <w:tc>
          <w:tcPr>
            <w:tcW w:w="5636" w:type="dxa"/>
          </w:tcPr>
          <w:p w14:paraId="3FF2E9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64F39C0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11000</w:t>
            </w:r>
          </w:p>
        </w:tc>
      </w:tr>
      <w:tr w:rsidR="00983732" w:rsidRPr="00A3026E" w14:paraId="0839B181" w14:textId="77777777" w:rsidTr="00EA0DA7">
        <w:tc>
          <w:tcPr>
            <w:tcW w:w="5636" w:type="dxa"/>
          </w:tcPr>
          <w:p w14:paraId="596DF00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699EB2A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r>
      <w:tr w:rsidR="00983732" w:rsidRPr="00A3026E" w14:paraId="2540EE6F" w14:textId="77777777" w:rsidTr="00EA0DA7">
        <w:tc>
          <w:tcPr>
            <w:tcW w:w="5636" w:type="dxa"/>
          </w:tcPr>
          <w:p w14:paraId="285B51B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525BC2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518B4F0A" w14:textId="77777777" w:rsidTr="00EA0DA7">
        <w:tc>
          <w:tcPr>
            <w:tcW w:w="5636" w:type="dxa"/>
          </w:tcPr>
          <w:p w14:paraId="4707D49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12729A0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Усилена конструкция.</w:t>
            </w:r>
          </w:p>
        </w:tc>
      </w:tr>
      <w:tr w:rsidR="00983732" w:rsidRPr="00A3026E" w14:paraId="0250C1D9" w14:textId="77777777" w:rsidTr="00EA0DA7">
        <w:tc>
          <w:tcPr>
            <w:tcW w:w="5636" w:type="dxa"/>
          </w:tcPr>
          <w:p w14:paraId="686406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60539A3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Поставлен самопуск.</w:t>
            </w:r>
          </w:p>
        </w:tc>
      </w:tr>
      <w:tr w:rsidR="00983732" w:rsidRPr="00A3026E" w14:paraId="7DA105B2" w14:textId="77777777" w:rsidTr="00EA0DA7">
        <w:tc>
          <w:tcPr>
            <w:tcW w:w="5636" w:type="dxa"/>
          </w:tcPr>
          <w:p w14:paraId="6F2951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1F22303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Улучшена отделка.</w:t>
            </w:r>
          </w:p>
        </w:tc>
      </w:tr>
      <w:tr w:rsidR="00983732" w:rsidRPr="00A3026E" w14:paraId="23560718" w14:textId="77777777" w:rsidTr="00EA0DA7">
        <w:tc>
          <w:tcPr>
            <w:tcW w:w="5636" w:type="dxa"/>
          </w:tcPr>
          <w:p w14:paraId="25647BB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Pr>
          <w:p w14:paraId="1AEA233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Перегрев мотора.</w:t>
            </w:r>
          </w:p>
        </w:tc>
      </w:tr>
      <w:tr w:rsidR="00983732" w:rsidRPr="00A3026E" w14:paraId="0C639DFC" w14:textId="77777777" w:rsidTr="00EA0DA7">
        <w:tc>
          <w:tcPr>
            <w:tcW w:w="5636" w:type="dxa"/>
          </w:tcPr>
          <w:p w14:paraId="365ADED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57239DA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Поломка выхлопных патрубков.</w:t>
            </w:r>
          </w:p>
        </w:tc>
      </w:tr>
      <w:tr w:rsidR="00983732" w:rsidRPr="00A3026E" w14:paraId="34388EC0" w14:textId="77777777" w:rsidTr="00EA0DA7">
        <w:tc>
          <w:tcPr>
            <w:tcW w:w="5636" w:type="dxa"/>
            <w:tcBorders>
              <w:bottom w:val="single" w:sz="12" w:space="0" w:color="auto"/>
            </w:tcBorders>
          </w:tcPr>
          <w:p w14:paraId="64B0744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6068EC2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Вибрация хвостового оперения.</w:t>
            </w:r>
          </w:p>
        </w:tc>
      </w:tr>
    </w:tbl>
    <w:p w14:paraId="78C93B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5B0B28A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на лыжах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60DC4EC0" w14:textId="77777777" w:rsidTr="00EA0DA7">
        <w:tc>
          <w:tcPr>
            <w:tcW w:w="5636" w:type="dxa"/>
            <w:tcBorders>
              <w:top w:val="single" w:sz="12" w:space="0" w:color="auto"/>
            </w:tcBorders>
          </w:tcPr>
          <w:p w14:paraId="5623DA6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387E50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r>
      <w:tr w:rsidR="00983732" w:rsidRPr="00A3026E" w14:paraId="066C6F3A" w14:textId="77777777" w:rsidTr="00EA0DA7">
        <w:tc>
          <w:tcPr>
            <w:tcW w:w="5636" w:type="dxa"/>
          </w:tcPr>
          <w:p w14:paraId="7EC60A5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0E87AFB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388FEB16" w14:textId="77777777" w:rsidTr="00EA0DA7">
        <w:tc>
          <w:tcPr>
            <w:tcW w:w="5636" w:type="dxa"/>
          </w:tcPr>
          <w:p w14:paraId="08F3A7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0671031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1887</w:t>
            </w:r>
          </w:p>
        </w:tc>
      </w:tr>
      <w:tr w:rsidR="00983732" w:rsidRPr="00A3026E" w14:paraId="31DA068B" w14:textId="77777777" w:rsidTr="00EA0DA7">
        <w:tc>
          <w:tcPr>
            <w:tcW w:w="5636" w:type="dxa"/>
          </w:tcPr>
          <w:p w14:paraId="043A762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Скорость:</w:t>
            </w:r>
          </w:p>
        </w:tc>
        <w:tc>
          <w:tcPr>
            <w:tcW w:w="5636" w:type="dxa"/>
          </w:tcPr>
          <w:p w14:paraId="51D34A6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0902089" w14:textId="77777777" w:rsidTr="00EA0DA7">
        <w:tc>
          <w:tcPr>
            <w:tcW w:w="5636" w:type="dxa"/>
          </w:tcPr>
          <w:p w14:paraId="1439D40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09878F4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w:t>
            </w:r>
          </w:p>
        </w:tc>
      </w:tr>
      <w:tr w:rsidR="00983732" w:rsidRPr="00A3026E" w14:paraId="48D91602" w14:textId="77777777" w:rsidTr="00EA0DA7">
        <w:tc>
          <w:tcPr>
            <w:tcW w:w="5636" w:type="dxa"/>
          </w:tcPr>
          <w:p w14:paraId="243CF2C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513A68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431/5180</w:t>
            </w:r>
          </w:p>
        </w:tc>
      </w:tr>
      <w:tr w:rsidR="00983732" w:rsidRPr="00A3026E" w14:paraId="6BF542F3" w14:textId="77777777" w:rsidTr="00EA0DA7">
        <w:tc>
          <w:tcPr>
            <w:tcW w:w="5636" w:type="dxa"/>
          </w:tcPr>
          <w:p w14:paraId="4B2E1B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42E1CFF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110-115</w:t>
            </w:r>
          </w:p>
        </w:tc>
      </w:tr>
      <w:tr w:rsidR="00983732" w:rsidRPr="00A3026E" w14:paraId="4D298B6F" w14:textId="77777777" w:rsidTr="00EA0DA7">
        <w:tc>
          <w:tcPr>
            <w:tcW w:w="5636" w:type="dxa"/>
          </w:tcPr>
          <w:p w14:paraId="3B1651E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6250B4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6D0B5572" w14:textId="77777777" w:rsidTr="00EA0DA7">
        <w:tc>
          <w:tcPr>
            <w:tcW w:w="5636" w:type="dxa"/>
          </w:tcPr>
          <w:p w14:paraId="4DD7019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4C6580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5,26</w:t>
            </w:r>
          </w:p>
        </w:tc>
      </w:tr>
      <w:tr w:rsidR="00983732" w:rsidRPr="00A3026E" w14:paraId="00C18C96" w14:textId="77777777" w:rsidTr="00EA0DA7">
        <w:tc>
          <w:tcPr>
            <w:tcW w:w="5636" w:type="dxa"/>
          </w:tcPr>
          <w:p w14:paraId="66D9E4D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502D9BD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r>
      <w:tr w:rsidR="00983732" w:rsidRPr="00A3026E" w14:paraId="6A3B16B0" w14:textId="77777777" w:rsidTr="00EA0DA7">
        <w:tc>
          <w:tcPr>
            <w:tcW w:w="5636" w:type="dxa"/>
          </w:tcPr>
          <w:p w14:paraId="1C3B10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20F175A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w:t>
            </w:r>
          </w:p>
        </w:tc>
      </w:tr>
      <w:tr w:rsidR="00983732" w:rsidRPr="00A3026E" w14:paraId="268170E5" w14:textId="77777777" w:rsidTr="00EA0DA7">
        <w:tc>
          <w:tcPr>
            <w:tcW w:w="5636" w:type="dxa"/>
          </w:tcPr>
          <w:p w14:paraId="77E25B0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41CB121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7E3BE86F" w14:textId="77777777" w:rsidTr="00EA0DA7">
        <w:tc>
          <w:tcPr>
            <w:tcW w:w="5636" w:type="dxa"/>
          </w:tcPr>
          <w:p w14:paraId="4ED4BC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525767F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Новая ВМГ.</w:t>
            </w:r>
          </w:p>
        </w:tc>
      </w:tr>
      <w:tr w:rsidR="00983732" w:rsidRPr="00A3026E" w14:paraId="06EFA22D" w14:textId="77777777" w:rsidTr="00EA0DA7">
        <w:tc>
          <w:tcPr>
            <w:tcW w:w="5636" w:type="dxa"/>
          </w:tcPr>
          <w:p w14:paraId="5B50E0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Pr>
          <w:p w14:paraId="48C69FD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Несоответствие винта.</w:t>
            </w:r>
          </w:p>
        </w:tc>
      </w:tr>
      <w:tr w:rsidR="00983732" w:rsidRPr="00A3026E" w14:paraId="34288FB4" w14:textId="77777777" w:rsidTr="00EA0DA7">
        <w:tc>
          <w:tcPr>
            <w:tcW w:w="5636" w:type="dxa"/>
          </w:tcPr>
          <w:p w14:paraId="322D575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107D5B6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Переобогащение смеси.</w:t>
            </w:r>
          </w:p>
        </w:tc>
      </w:tr>
      <w:tr w:rsidR="00983732" w:rsidRPr="00A3026E" w14:paraId="3EE85AF0" w14:textId="77777777" w:rsidTr="00EA0DA7">
        <w:tc>
          <w:tcPr>
            <w:tcW w:w="5636" w:type="dxa"/>
          </w:tcPr>
          <w:p w14:paraId="131DCD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7972A9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Недоведена ВМГ.</w:t>
            </w:r>
          </w:p>
        </w:tc>
      </w:tr>
      <w:tr w:rsidR="00983732" w:rsidRPr="00A3026E" w14:paraId="45BEB924" w14:textId="77777777" w:rsidTr="00EA0DA7">
        <w:tc>
          <w:tcPr>
            <w:tcW w:w="5636" w:type="dxa"/>
            <w:tcBorders>
              <w:bottom w:val="single" w:sz="12" w:space="0" w:color="auto"/>
            </w:tcBorders>
          </w:tcPr>
          <w:p w14:paraId="72F577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4DFB88D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Поломка узла крепления шасси.</w:t>
            </w:r>
          </w:p>
        </w:tc>
      </w:tr>
    </w:tbl>
    <w:p w14:paraId="40D163A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BE90C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эталон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83732" w:rsidRPr="00A3026E" w14:paraId="2D80EF8F" w14:textId="77777777" w:rsidTr="00EA0DA7">
        <w:tc>
          <w:tcPr>
            <w:tcW w:w="5636" w:type="dxa"/>
            <w:tcBorders>
              <w:top w:val="single" w:sz="12" w:space="0" w:color="auto"/>
            </w:tcBorders>
          </w:tcPr>
          <w:p w14:paraId="76824D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636" w:type="dxa"/>
            <w:tcBorders>
              <w:top w:val="single" w:sz="12" w:space="0" w:color="auto"/>
            </w:tcBorders>
          </w:tcPr>
          <w:p w14:paraId="7FD51B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r>
      <w:tr w:rsidR="00983732" w:rsidRPr="00A3026E" w14:paraId="37AD5A77" w14:textId="77777777" w:rsidTr="00EA0DA7">
        <w:tc>
          <w:tcPr>
            <w:tcW w:w="5636" w:type="dxa"/>
          </w:tcPr>
          <w:p w14:paraId="467302D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636" w:type="dxa"/>
          </w:tcPr>
          <w:p w14:paraId="453FB27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1D1077F4" w14:textId="77777777" w:rsidTr="00EA0DA7">
        <w:tc>
          <w:tcPr>
            <w:tcW w:w="5636" w:type="dxa"/>
          </w:tcPr>
          <w:p w14:paraId="107450A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636" w:type="dxa"/>
          </w:tcPr>
          <w:p w14:paraId="59473D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1902</w:t>
            </w:r>
          </w:p>
        </w:tc>
      </w:tr>
      <w:tr w:rsidR="00983732" w:rsidRPr="00A3026E" w14:paraId="2D23CE29" w14:textId="77777777" w:rsidTr="00EA0DA7">
        <w:tc>
          <w:tcPr>
            <w:tcW w:w="5636" w:type="dxa"/>
          </w:tcPr>
          <w:p w14:paraId="1BD6948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636" w:type="dxa"/>
          </w:tcPr>
          <w:p w14:paraId="120D8E9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EEC6B06" w14:textId="77777777" w:rsidTr="00EA0DA7">
        <w:tc>
          <w:tcPr>
            <w:tcW w:w="5636" w:type="dxa"/>
          </w:tcPr>
          <w:p w14:paraId="51A8C12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636" w:type="dxa"/>
          </w:tcPr>
          <w:p w14:paraId="5207C3B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365</w:t>
            </w:r>
          </w:p>
        </w:tc>
      </w:tr>
      <w:tr w:rsidR="00983732" w:rsidRPr="00A3026E" w14:paraId="7668C078" w14:textId="77777777" w:rsidTr="00EA0DA7">
        <w:tc>
          <w:tcPr>
            <w:tcW w:w="5636" w:type="dxa"/>
          </w:tcPr>
          <w:p w14:paraId="1ED27E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636" w:type="dxa"/>
          </w:tcPr>
          <w:p w14:paraId="0C460C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427/5100</w:t>
            </w:r>
          </w:p>
        </w:tc>
      </w:tr>
      <w:tr w:rsidR="00983732" w:rsidRPr="00A3026E" w14:paraId="1F5CE56D" w14:textId="77777777" w:rsidTr="00EA0DA7">
        <w:tc>
          <w:tcPr>
            <w:tcW w:w="5636" w:type="dxa"/>
          </w:tcPr>
          <w:p w14:paraId="2BACA6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636" w:type="dxa"/>
          </w:tcPr>
          <w:p w14:paraId="197457E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110-115</w:t>
            </w:r>
          </w:p>
        </w:tc>
      </w:tr>
      <w:tr w:rsidR="00983732" w:rsidRPr="00A3026E" w14:paraId="6C329EB7" w14:textId="77777777" w:rsidTr="00EA0DA7">
        <w:tc>
          <w:tcPr>
            <w:tcW w:w="5636" w:type="dxa"/>
          </w:tcPr>
          <w:p w14:paraId="49DA5C6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636" w:type="dxa"/>
          </w:tcPr>
          <w:p w14:paraId="5917415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w:t>
            </w:r>
          </w:p>
        </w:tc>
      </w:tr>
      <w:tr w:rsidR="00983732" w:rsidRPr="00A3026E" w14:paraId="51ED1F8F" w14:textId="77777777" w:rsidTr="00EA0DA7">
        <w:tc>
          <w:tcPr>
            <w:tcW w:w="5636" w:type="dxa"/>
          </w:tcPr>
          <w:p w14:paraId="6CFFB2D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636" w:type="dxa"/>
          </w:tcPr>
          <w:p w14:paraId="287CAC5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w:t>
            </w:r>
          </w:p>
        </w:tc>
      </w:tr>
      <w:tr w:rsidR="00983732" w:rsidRPr="00A3026E" w14:paraId="25A570B9" w14:textId="77777777" w:rsidTr="00EA0DA7">
        <w:tc>
          <w:tcPr>
            <w:tcW w:w="5636" w:type="dxa"/>
          </w:tcPr>
          <w:p w14:paraId="10E09E7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636" w:type="dxa"/>
          </w:tcPr>
          <w:p w14:paraId="142D370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10600</w:t>
            </w:r>
          </w:p>
        </w:tc>
      </w:tr>
      <w:tr w:rsidR="00983732" w:rsidRPr="00A3026E" w14:paraId="63838668" w14:textId="77777777" w:rsidTr="00EA0DA7">
        <w:tc>
          <w:tcPr>
            <w:tcW w:w="5636" w:type="dxa"/>
          </w:tcPr>
          <w:p w14:paraId="56E226D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636" w:type="dxa"/>
          </w:tcPr>
          <w:p w14:paraId="3CFA25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w:t>
            </w:r>
          </w:p>
        </w:tc>
      </w:tr>
      <w:tr w:rsidR="00983732" w:rsidRPr="00A3026E" w14:paraId="3E06924B" w14:textId="77777777" w:rsidTr="00EA0DA7">
        <w:tc>
          <w:tcPr>
            <w:tcW w:w="5636" w:type="dxa"/>
          </w:tcPr>
          <w:p w14:paraId="47C81E9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636" w:type="dxa"/>
          </w:tcPr>
          <w:p w14:paraId="634A8C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75A38AFC" w14:textId="77777777" w:rsidTr="00EA0DA7">
        <w:tc>
          <w:tcPr>
            <w:tcW w:w="5636" w:type="dxa"/>
          </w:tcPr>
          <w:p w14:paraId="1D271A5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636" w:type="dxa"/>
          </w:tcPr>
          <w:p w14:paraId="002A664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Подвесные бензобаки и заполнение бензобаков нейтральным газом.</w:t>
            </w:r>
          </w:p>
        </w:tc>
      </w:tr>
      <w:tr w:rsidR="00983732" w:rsidRPr="00A3026E" w14:paraId="380A1FF6" w14:textId="77777777" w:rsidTr="00EA0DA7">
        <w:tc>
          <w:tcPr>
            <w:tcW w:w="5636" w:type="dxa"/>
          </w:tcPr>
          <w:p w14:paraId="1E17DEC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14CA82D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Пневмопуски пулеметов.</w:t>
            </w:r>
          </w:p>
        </w:tc>
      </w:tr>
      <w:tr w:rsidR="00983732" w:rsidRPr="00A3026E" w14:paraId="5A2FE074" w14:textId="77777777" w:rsidTr="00EA0DA7">
        <w:tc>
          <w:tcPr>
            <w:tcW w:w="5636" w:type="dxa"/>
          </w:tcPr>
          <w:p w14:paraId="7779007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78150A0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Вторая противопожарная перегородка.</w:t>
            </w:r>
          </w:p>
        </w:tc>
      </w:tr>
      <w:tr w:rsidR="00983732" w:rsidRPr="00A3026E" w14:paraId="0B8D82A9" w14:textId="77777777" w:rsidTr="00EA0DA7">
        <w:tc>
          <w:tcPr>
            <w:tcW w:w="5636" w:type="dxa"/>
          </w:tcPr>
          <w:p w14:paraId="79C2977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393A45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Рация РСИ-3.</w:t>
            </w:r>
          </w:p>
        </w:tc>
      </w:tr>
      <w:tr w:rsidR="00983732" w:rsidRPr="00A3026E" w14:paraId="4F4DA265" w14:textId="77777777" w:rsidTr="00EA0DA7">
        <w:tc>
          <w:tcPr>
            <w:tcW w:w="5636" w:type="dxa"/>
          </w:tcPr>
          <w:p w14:paraId="4EDA531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28B1FD4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Усилена конструкция под новый вес.</w:t>
            </w:r>
          </w:p>
        </w:tc>
      </w:tr>
      <w:tr w:rsidR="00983732" w:rsidRPr="00A3026E" w14:paraId="14B149DF" w14:textId="77777777" w:rsidTr="00EA0DA7">
        <w:tc>
          <w:tcPr>
            <w:tcW w:w="5636" w:type="dxa"/>
          </w:tcPr>
          <w:p w14:paraId="705BD9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636" w:type="dxa"/>
          </w:tcPr>
          <w:p w14:paraId="0EA96C6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 доведена ВМГ.</w:t>
            </w:r>
          </w:p>
        </w:tc>
      </w:tr>
      <w:tr w:rsidR="00983732" w:rsidRPr="00A3026E" w14:paraId="61577A06" w14:textId="77777777" w:rsidTr="00EA0DA7">
        <w:tc>
          <w:tcPr>
            <w:tcW w:w="5636" w:type="dxa"/>
          </w:tcPr>
          <w:p w14:paraId="706BB3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6ECA48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 доведено вооружение, установка РСИ-3 и система заполнения баков нейтральным газом.</w:t>
            </w:r>
          </w:p>
        </w:tc>
      </w:tr>
      <w:tr w:rsidR="00983732" w:rsidRPr="00A3026E" w14:paraId="76E3FB14" w14:textId="77777777" w:rsidTr="00EA0DA7">
        <w:tc>
          <w:tcPr>
            <w:tcW w:w="5636" w:type="dxa"/>
            <w:tcBorders>
              <w:bottom w:val="single" w:sz="12" w:space="0" w:color="auto"/>
            </w:tcBorders>
          </w:tcPr>
          <w:p w14:paraId="73F10FC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01F6DF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Нет самопуска.</w:t>
            </w:r>
          </w:p>
        </w:tc>
      </w:tr>
    </w:tbl>
    <w:p w14:paraId="2324179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AAAE1C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модификации самолета СБ по годам</w:t>
      </w:r>
    </w:p>
    <w:p w14:paraId="48A4D09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6841"/>
      </w:tblGrid>
      <w:tr w:rsidR="00983732" w:rsidRPr="00A3026E" w14:paraId="3D38816F" w14:textId="77777777" w:rsidTr="00EA0DA7">
        <w:tc>
          <w:tcPr>
            <w:tcW w:w="3757" w:type="dxa"/>
            <w:tcBorders>
              <w:top w:val="single" w:sz="12" w:space="0" w:color="auto"/>
            </w:tcBorders>
          </w:tcPr>
          <w:p w14:paraId="75E3BC6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6841" w:type="dxa"/>
            <w:tcBorders>
              <w:top w:val="single" w:sz="12" w:space="0" w:color="auto"/>
            </w:tcBorders>
          </w:tcPr>
          <w:p w14:paraId="3CC06D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Испано 12 Ybrs</w:t>
            </w:r>
          </w:p>
        </w:tc>
      </w:tr>
      <w:tr w:rsidR="00983732" w:rsidRPr="00A3026E" w14:paraId="0D802248" w14:textId="77777777" w:rsidTr="00EA0DA7">
        <w:tc>
          <w:tcPr>
            <w:tcW w:w="3757" w:type="dxa"/>
          </w:tcPr>
          <w:p w14:paraId="3BCA61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6841" w:type="dxa"/>
          </w:tcPr>
          <w:p w14:paraId="5E16030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4800/5386</w:t>
            </w:r>
          </w:p>
        </w:tc>
      </w:tr>
      <w:tr w:rsidR="00983732" w:rsidRPr="00A3026E" w14:paraId="1BA76721" w14:textId="77777777" w:rsidTr="00EA0DA7">
        <w:tc>
          <w:tcPr>
            <w:tcW w:w="3757" w:type="dxa"/>
          </w:tcPr>
          <w:p w14:paraId="07AFD0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6841" w:type="dxa"/>
          </w:tcPr>
          <w:p w14:paraId="7EE7BF6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923EC7B" w14:textId="77777777" w:rsidTr="00EA0DA7">
        <w:tc>
          <w:tcPr>
            <w:tcW w:w="3757" w:type="dxa"/>
          </w:tcPr>
          <w:p w14:paraId="002C2F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6841" w:type="dxa"/>
          </w:tcPr>
          <w:p w14:paraId="3A1B01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356</w:t>
            </w:r>
          </w:p>
        </w:tc>
      </w:tr>
      <w:tr w:rsidR="00983732" w:rsidRPr="00A3026E" w14:paraId="72B729D1" w14:textId="77777777" w:rsidTr="00EA0DA7">
        <w:tc>
          <w:tcPr>
            <w:tcW w:w="3757" w:type="dxa"/>
          </w:tcPr>
          <w:p w14:paraId="3234077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6841" w:type="dxa"/>
          </w:tcPr>
          <w:p w14:paraId="110E755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418/5300</w:t>
            </w:r>
          </w:p>
        </w:tc>
      </w:tr>
      <w:tr w:rsidR="00983732" w:rsidRPr="00A3026E" w14:paraId="2B819E5C" w14:textId="77777777" w:rsidTr="00EA0DA7">
        <w:tc>
          <w:tcPr>
            <w:tcW w:w="3757" w:type="dxa"/>
          </w:tcPr>
          <w:p w14:paraId="77CC3A1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1" w:type="dxa"/>
          </w:tcPr>
          <w:p w14:paraId="70DEB98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w:t>
            </w:r>
          </w:p>
        </w:tc>
      </w:tr>
      <w:tr w:rsidR="00983732" w:rsidRPr="00A3026E" w14:paraId="5F834046" w14:textId="77777777" w:rsidTr="00EA0DA7">
        <w:tc>
          <w:tcPr>
            <w:tcW w:w="3757" w:type="dxa"/>
          </w:tcPr>
          <w:p w14:paraId="26A4E93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1" w:type="dxa"/>
          </w:tcPr>
          <w:p w14:paraId="1F92D8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9600</w:t>
            </w:r>
          </w:p>
        </w:tc>
      </w:tr>
      <w:tr w:rsidR="00983732" w:rsidRPr="00A3026E" w14:paraId="1A84E014" w14:textId="77777777" w:rsidTr="00EA0DA7">
        <w:tc>
          <w:tcPr>
            <w:tcW w:w="3757" w:type="dxa"/>
          </w:tcPr>
          <w:p w14:paraId="4945AB2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6841" w:type="dxa"/>
          </w:tcPr>
          <w:p w14:paraId="10C2C17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5A0EE18" w14:textId="77777777" w:rsidTr="00EA0DA7">
        <w:tc>
          <w:tcPr>
            <w:tcW w:w="3757" w:type="dxa"/>
          </w:tcPr>
          <w:p w14:paraId="76951DA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6841" w:type="dxa"/>
          </w:tcPr>
          <w:p w14:paraId="51A081D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500/600</w:t>
            </w:r>
          </w:p>
        </w:tc>
      </w:tr>
      <w:tr w:rsidR="00983732" w:rsidRPr="00A3026E" w14:paraId="6497FF3E" w14:textId="77777777" w:rsidTr="00EA0DA7">
        <w:tc>
          <w:tcPr>
            <w:tcW w:w="3757" w:type="dxa"/>
            <w:tcBorders>
              <w:bottom w:val="single" w:sz="12" w:space="0" w:color="auto"/>
            </w:tcBorders>
          </w:tcPr>
          <w:p w14:paraId="59DAC6E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изменения и дефекты</w:t>
            </w:r>
          </w:p>
        </w:tc>
        <w:tc>
          <w:tcPr>
            <w:tcW w:w="6841" w:type="dxa"/>
            <w:tcBorders>
              <w:bottom w:val="single" w:sz="12" w:space="0" w:color="auto"/>
            </w:tcBorders>
          </w:tcPr>
          <w:p w14:paraId="390DE1B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3627D3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0E3F7C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6841"/>
      </w:tblGrid>
      <w:tr w:rsidR="00983732" w:rsidRPr="00A3026E" w14:paraId="4EAB17AA" w14:textId="77777777" w:rsidTr="00EA0DA7">
        <w:tc>
          <w:tcPr>
            <w:tcW w:w="3757" w:type="dxa"/>
            <w:tcBorders>
              <w:top w:val="single" w:sz="12" w:space="0" w:color="auto"/>
            </w:tcBorders>
          </w:tcPr>
          <w:p w14:paraId="34A4EC6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6841" w:type="dxa"/>
            <w:tcBorders>
              <w:top w:val="single" w:sz="12" w:space="0" w:color="auto"/>
            </w:tcBorders>
          </w:tcPr>
          <w:p w14:paraId="360DE8D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М-100А</w:t>
            </w:r>
          </w:p>
        </w:tc>
      </w:tr>
      <w:tr w:rsidR="00983732" w:rsidRPr="00A3026E" w14:paraId="0F054EBC" w14:textId="77777777" w:rsidTr="00EA0DA7">
        <w:tc>
          <w:tcPr>
            <w:tcW w:w="3757" w:type="dxa"/>
          </w:tcPr>
          <w:p w14:paraId="14B7A3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6841" w:type="dxa"/>
          </w:tcPr>
          <w:p w14:paraId="63FA29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5732/6462</w:t>
            </w:r>
          </w:p>
        </w:tc>
      </w:tr>
      <w:tr w:rsidR="00983732" w:rsidRPr="00A3026E" w14:paraId="2F80F7F7" w14:textId="77777777" w:rsidTr="00EA0DA7">
        <w:tc>
          <w:tcPr>
            <w:tcW w:w="3757" w:type="dxa"/>
          </w:tcPr>
          <w:p w14:paraId="59AA3D9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6841" w:type="dxa"/>
          </w:tcPr>
          <w:p w14:paraId="7308B12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9D2BD7A" w14:textId="77777777" w:rsidTr="00EA0DA7">
        <w:tc>
          <w:tcPr>
            <w:tcW w:w="3757" w:type="dxa"/>
          </w:tcPr>
          <w:p w14:paraId="01B58D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6841" w:type="dxa"/>
          </w:tcPr>
          <w:p w14:paraId="2D073D9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371</w:t>
            </w:r>
          </w:p>
        </w:tc>
      </w:tr>
      <w:tr w:rsidR="00983732" w:rsidRPr="00A3026E" w14:paraId="07E04044" w14:textId="77777777" w:rsidTr="00EA0DA7">
        <w:tc>
          <w:tcPr>
            <w:tcW w:w="3757" w:type="dxa"/>
          </w:tcPr>
          <w:p w14:paraId="74BB9FD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6841" w:type="dxa"/>
          </w:tcPr>
          <w:p w14:paraId="5CF040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423/4000</w:t>
            </w:r>
          </w:p>
        </w:tc>
      </w:tr>
      <w:tr w:rsidR="00983732" w:rsidRPr="00A3026E" w14:paraId="6064160A" w14:textId="77777777" w:rsidTr="00EA0DA7">
        <w:tc>
          <w:tcPr>
            <w:tcW w:w="3757" w:type="dxa"/>
          </w:tcPr>
          <w:p w14:paraId="410E26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1" w:type="dxa"/>
          </w:tcPr>
          <w:p w14:paraId="56DC66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62124A36" w14:textId="77777777" w:rsidTr="00EA0DA7">
        <w:tc>
          <w:tcPr>
            <w:tcW w:w="3757" w:type="dxa"/>
          </w:tcPr>
          <w:p w14:paraId="7AAE55F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1" w:type="dxa"/>
          </w:tcPr>
          <w:p w14:paraId="0D25113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9560</w:t>
            </w:r>
          </w:p>
        </w:tc>
      </w:tr>
      <w:tr w:rsidR="00983732" w:rsidRPr="00A3026E" w14:paraId="04D93261" w14:textId="77777777" w:rsidTr="00EA0DA7">
        <w:tc>
          <w:tcPr>
            <w:tcW w:w="3757" w:type="dxa"/>
          </w:tcPr>
          <w:p w14:paraId="72B5F4A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6841" w:type="dxa"/>
          </w:tcPr>
          <w:p w14:paraId="497767E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r>
      <w:tr w:rsidR="00983732" w:rsidRPr="00A3026E" w14:paraId="51C2BC14" w14:textId="77777777" w:rsidTr="00EA0DA7">
        <w:tc>
          <w:tcPr>
            <w:tcW w:w="3757" w:type="dxa"/>
          </w:tcPr>
          <w:p w14:paraId="1B6E6E9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6841" w:type="dxa"/>
          </w:tcPr>
          <w:p w14:paraId="76951E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500/600</w:t>
            </w:r>
          </w:p>
        </w:tc>
      </w:tr>
      <w:tr w:rsidR="00983732" w:rsidRPr="00A3026E" w14:paraId="2BDFB562" w14:textId="77777777" w:rsidTr="00EA0DA7">
        <w:tc>
          <w:tcPr>
            <w:tcW w:w="3757" w:type="dxa"/>
          </w:tcPr>
          <w:p w14:paraId="36B61A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изменения и дефекты</w:t>
            </w:r>
          </w:p>
        </w:tc>
        <w:tc>
          <w:tcPr>
            <w:tcW w:w="6841" w:type="dxa"/>
          </w:tcPr>
          <w:p w14:paraId="0327E0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Дефекты:</w:t>
            </w:r>
          </w:p>
        </w:tc>
      </w:tr>
      <w:tr w:rsidR="00983732" w:rsidRPr="00A3026E" w14:paraId="461C0465" w14:textId="77777777" w:rsidTr="00EA0DA7">
        <w:tc>
          <w:tcPr>
            <w:tcW w:w="3757" w:type="dxa"/>
          </w:tcPr>
          <w:p w14:paraId="403E30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1" w:type="dxa"/>
          </w:tcPr>
          <w:p w14:paraId="2CE0C6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Недостаточна прочность моторамы, шасси, крепления обшивки крыла.</w:t>
            </w:r>
          </w:p>
        </w:tc>
      </w:tr>
      <w:tr w:rsidR="00983732" w:rsidRPr="00A3026E" w14:paraId="515E7CFD" w14:textId="77777777" w:rsidTr="00EA0DA7">
        <w:tc>
          <w:tcPr>
            <w:tcW w:w="3757" w:type="dxa"/>
          </w:tcPr>
          <w:p w14:paraId="3BE17E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1" w:type="dxa"/>
          </w:tcPr>
          <w:p w14:paraId="54C62A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Система охлаждения моторов недостаточная.</w:t>
            </w:r>
          </w:p>
        </w:tc>
      </w:tr>
      <w:tr w:rsidR="00983732" w:rsidRPr="00A3026E" w14:paraId="53A4683A" w14:textId="77777777" w:rsidTr="00EA0DA7">
        <w:tc>
          <w:tcPr>
            <w:tcW w:w="3757" w:type="dxa"/>
            <w:tcBorders>
              <w:bottom w:val="single" w:sz="12" w:space="0" w:color="auto"/>
            </w:tcBorders>
          </w:tcPr>
          <w:p w14:paraId="30EDE49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1" w:type="dxa"/>
            <w:tcBorders>
              <w:bottom w:val="single" w:sz="12" w:space="0" w:color="auto"/>
            </w:tcBorders>
          </w:tcPr>
          <w:p w14:paraId="3166E67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Неравномерный расход горючего из баков.</w:t>
            </w:r>
          </w:p>
        </w:tc>
      </w:tr>
    </w:tbl>
    <w:p w14:paraId="653F62B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BBB0B0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6841"/>
      </w:tblGrid>
      <w:tr w:rsidR="00983732" w:rsidRPr="00A3026E" w14:paraId="639440C7" w14:textId="77777777" w:rsidTr="00EA0DA7">
        <w:tc>
          <w:tcPr>
            <w:tcW w:w="3757" w:type="dxa"/>
            <w:tcBorders>
              <w:top w:val="single" w:sz="12" w:space="0" w:color="auto"/>
            </w:tcBorders>
          </w:tcPr>
          <w:p w14:paraId="61A2F1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6841" w:type="dxa"/>
            <w:tcBorders>
              <w:top w:val="single" w:sz="12" w:space="0" w:color="auto"/>
            </w:tcBorders>
          </w:tcPr>
          <w:p w14:paraId="4320FCE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М-100А</w:t>
            </w:r>
          </w:p>
        </w:tc>
      </w:tr>
      <w:tr w:rsidR="00983732" w:rsidRPr="00A3026E" w14:paraId="5623684B" w14:textId="77777777" w:rsidTr="00EA0DA7">
        <w:tc>
          <w:tcPr>
            <w:tcW w:w="3757" w:type="dxa"/>
          </w:tcPr>
          <w:p w14:paraId="4985F7F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6841" w:type="dxa"/>
          </w:tcPr>
          <w:p w14:paraId="3386D1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5750/6480</w:t>
            </w:r>
          </w:p>
        </w:tc>
      </w:tr>
      <w:tr w:rsidR="00983732" w:rsidRPr="00A3026E" w14:paraId="17F9D3B4" w14:textId="77777777" w:rsidTr="00EA0DA7">
        <w:tc>
          <w:tcPr>
            <w:tcW w:w="3757" w:type="dxa"/>
          </w:tcPr>
          <w:p w14:paraId="2764E84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6841" w:type="dxa"/>
          </w:tcPr>
          <w:p w14:paraId="6530B0C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9A8C9DD" w14:textId="77777777" w:rsidTr="00EA0DA7">
        <w:tc>
          <w:tcPr>
            <w:tcW w:w="3757" w:type="dxa"/>
          </w:tcPr>
          <w:p w14:paraId="663B4FF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6841" w:type="dxa"/>
          </w:tcPr>
          <w:p w14:paraId="0C77C40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334</w:t>
            </w:r>
          </w:p>
        </w:tc>
      </w:tr>
      <w:tr w:rsidR="00983732" w:rsidRPr="00A3026E" w14:paraId="3DFE0A65" w14:textId="77777777" w:rsidTr="00EA0DA7">
        <w:tc>
          <w:tcPr>
            <w:tcW w:w="3757" w:type="dxa"/>
          </w:tcPr>
          <w:p w14:paraId="0B5504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6841" w:type="dxa"/>
          </w:tcPr>
          <w:p w14:paraId="579659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406/3800</w:t>
            </w:r>
          </w:p>
        </w:tc>
      </w:tr>
      <w:tr w:rsidR="00983732" w:rsidRPr="00A3026E" w14:paraId="5F6D258E" w14:textId="77777777" w:rsidTr="00EA0DA7">
        <w:tc>
          <w:tcPr>
            <w:tcW w:w="3757" w:type="dxa"/>
          </w:tcPr>
          <w:p w14:paraId="55E190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1" w:type="dxa"/>
          </w:tcPr>
          <w:p w14:paraId="498070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5F640803" w14:textId="77777777" w:rsidTr="00EA0DA7">
        <w:tc>
          <w:tcPr>
            <w:tcW w:w="3757" w:type="dxa"/>
          </w:tcPr>
          <w:p w14:paraId="79468F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1" w:type="dxa"/>
          </w:tcPr>
          <w:p w14:paraId="22F656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9500</w:t>
            </w:r>
          </w:p>
        </w:tc>
      </w:tr>
      <w:tr w:rsidR="00983732" w:rsidRPr="00A3026E" w14:paraId="153B28F5" w14:textId="77777777" w:rsidTr="00EA0DA7">
        <w:tc>
          <w:tcPr>
            <w:tcW w:w="3757" w:type="dxa"/>
          </w:tcPr>
          <w:p w14:paraId="1B94474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6841" w:type="dxa"/>
          </w:tcPr>
          <w:p w14:paraId="227FA07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1450</w:t>
            </w:r>
          </w:p>
        </w:tc>
      </w:tr>
      <w:tr w:rsidR="00983732" w:rsidRPr="00A3026E" w14:paraId="6E11C56B" w14:textId="77777777" w:rsidTr="00EA0DA7">
        <w:tc>
          <w:tcPr>
            <w:tcW w:w="3757" w:type="dxa"/>
          </w:tcPr>
          <w:p w14:paraId="199EF5E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6841" w:type="dxa"/>
          </w:tcPr>
          <w:p w14:paraId="024D646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500/600</w:t>
            </w:r>
          </w:p>
        </w:tc>
      </w:tr>
      <w:tr w:rsidR="00983732" w:rsidRPr="00A3026E" w14:paraId="600422BD" w14:textId="77777777" w:rsidTr="00EA0DA7">
        <w:tc>
          <w:tcPr>
            <w:tcW w:w="3757" w:type="dxa"/>
          </w:tcPr>
          <w:p w14:paraId="3ACF795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изменения и дефекты</w:t>
            </w:r>
          </w:p>
        </w:tc>
        <w:tc>
          <w:tcPr>
            <w:tcW w:w="6841" w:type="dxa"/>
          </w:tcPr>
          <w:p w14:paraId="446E8C2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Поставлен мотор М-100А по 860 л.с., новое размещение приборов. </w:t>
            </w:r>
          </w:p>
        </w:tc>
      </w:tr>
      <w:tr w:rsidR="00983732" w:rsidRPr="00A3026E" w14:paraId="33907422" w14:textId="77777777" w:rsidTr="00EA0DA7">
        <w:tc>
          <w:tcPr>
            <w:tcW w:w="3757" w:type="dxa"/>
            <w:tcBorders>
              <w:bottom w:val="single" w:sz="12" w:space="0" w:color="auto"/>
            </w:tcBorders>
          </w:tcPr>
          <w:p w14:paraId="19B593B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1" w:type="dxa"/>
            <w:tcBorders>
              <w:bottom w:val="single" w:sz="12" w:space="0" w:color="auto"/>
            </w:tcBorders>
          </w:tcPr>
          <w:p w14:paraId="65EF976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Дефекты: передняя стрелковая установка плохо выполнена, динамомашина ДСФИ 1000 дает колебания от 26 до 30 вольт, недостаточно эффективны водорадиаторы.</w:t>
            </w:r>
          </w:p>
        </w:tc>
      </w:tr>
    </w:tbl>
    <w:p w14:paraId="47C3FFC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538AE2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6841"/>
      </w:tblGrid>
      <w:tr w:rsidR="00983732" w:rsidRPr="00A3026E" w14:paraId="551C985F" w14:textId="77777777" w:rsidTr="00EA0DA7">
        <w:tc>
          <w:tcPr>
            <w:tcW w:w="3757" w:type="dxa"/>
            <w:tcBorders>
              <w:top w:val="single" w:sz="12" w:space="0" w:color="auto"/>
            </w:tcBorders>
          </w:tcPr>
          <w:p w14:paraId="2A7D79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6841" w:type="dxa"/>
            <w:tcBorders>
              <w:top w:val="single" w:sz="12" w:space="0" w:color="auto"/>
            </w:tcBorders>
          </w:tcPr>
          <w:p w14:paraId="2A9945E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М-103</w:t>
            </w:r>
          </w:p>
        </w:tc>
      </w:tr>
      <w:tr w:rsidR="00983732" w:rsidRPr="00A3026E" w14:paraId="0610266C" w14:textId="77777777" w:rsidTr="00EA0DA7">
        <w:tc>
          <w:tcPr>
            <w:tcW w:w="3757" w:type="dxa"/>
          </w:tcPr>
          <w:p w14:paraId="450E575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6841" w:type="dxa"/>
          </w:tcPr>
          <w:p w14:paraId="523994D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6059/6789</w:t>
            </w:r>
          </w:p>
        </w:tc>
      </w:tr>
      <w:tr w:rsidR="00983732" w:rsidRPr="00A3026E" w14:paraId="583FF319" w14:textId="77777777" w:rsidTr="00EA0DA7">
        <w:tc>
          <w:tcPr>
            <w:tcW w:w="3757" w:type="dxa"/>
          </w:tcPr>
          <w:p w14:paraId="349EAB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6841" w:type="dxa"/>
          </w:tcPr>
          <w:p w14:paraId="462D707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CFBB2C3" w14:textId="77777777" w:rsidTr="00EA0DA7">
        <w:tc>
          <w:tcPr>
            <w:tcW w:w="3757" w:type="dxa"/>
          </w:tcPr>
          <w:p w14:paraId="285DE1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6841" w:type="dxa"/>
          </w:tcPr>
          <w:p w14:paraId="34A36F9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352</w:t>
            </w:r>
          </w:p>
        </w:tc>
      </w:tr>
      <w:tr w:rsidR="00983732" w:rsidRPr="00A3026E" w14:paraId="03ED122D" w14:textId="77777777" w:rsidTr="00EA0DA7">
        <w:tc>
          <w:tcPr>
            <w:tcW w:w="3757" w:type="dxa"/>
          </w:tcPr>
          <w:p w14:paraId="5F05DFA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6841" w:type="dxa"/>
          </w:tcPr>
          <w:p w14:paraId="7F6294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415/4000</w:t>
            </w:r>
          </w:p>
        </w:tc>
      </w:tr>
      <w:tr w:rsidR="00983732" w:rsidRPr="00A3026E" w14:paraId="74D9F9EA" w14:textId="77777777" w:rsidTr="00EA0DA7">
        <w:tc>
          <w:tcPr>
            <w:tcW w:w="3757" w:type="dxa"/>
          </w:tcPr>
          <w:p w14:paraId="38DEFD9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1" w:type="dxa"/>
          </w:tcPr>
          <w:p w14:paraId="5DB49C3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w:t>
            </w:r>
          </w:p>
        </w:tc>
      </w:tr>
      <w:tr w:rsidR="00983732" w:rsidRPr="00A3026E" w14:paraId="4ABA5119" w14:textId="77777777" w:rsidTr="00EA0DA7">
        <w:tc>
          <w:tcPr>
            <w:tcW w:w="3757" w:type="dxa"/>
          </w:tcPr>
          <w:p w14:paraId="6955839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1" w:type="dxa"/>
          </w:tcPr>
          <w:p w14:paraId="10A5FBD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9400</w:t>
            </w:r>
          </w:p>
        </w:tc>
      </w:tr>
      <w:tr w:rsidR="00983732" w:rsidRPr="00A3026E" w14:paraId="38D1B746" w14:textId="77777777" w:rsidTr="00EA0DA7">
        <w:tc>
          <w:tcPr>
            <w:tcW w:w="3757" w:type="dxa"/>
          </w:tcPr>
          <w:p w14:paraId="68C613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6841" w:type="dxa"/>
          </w:tcPr>
          <w:p w14:paraId="11E928D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1480</w:t>
            </w:r>
          </w:p>
        </w:tc>
      </w:tr>
      <w:tr w:rsidR="00983732" w:rsidRPr="00A3026E" w14:paraId="34245176" w14:textId="77777777" w:rsidTr="00EA0DA7">
        <w:tc>
          <w:tcPr>
            <w:tcW w:w="3757" w:type="dxa"/>
          </w:tcPr>
          <w:p w14:paraId="6070BE1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6841" w:type="dxa"/>
          </w:tcPr>
          <w:p w14:paraId="603A35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500/600</w:t>
            </w:r>
          </w:p>
        </w:tc>
      </w:tr>
      <w:tr w:rsidR="00983732" w:rsidRPr="00A3026E" w14:paraId="5CAAFD33" w14:textId="77777777" w:rsidTr="00EA0DA7">
        <w:tc>
          <w:tcPr>
            <w:tcW w:w="3757" w:type="dxa"/>
          </w:tcPr>
          <w:p w14:paraId="7055F86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изменения и дефекты</w:t>
            </w:r>
          </w:p>
        </w:tc>
        <w:tc>
          <w:tcPr>
            <w:tcW w:w="6841" w:type="dxa"/>
          </w:tcPr>
          <w:p w14:paraId="2D276DC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Поставлены 3-х лопастные винты ВИШ-2, установлены замки ДЕР-13 для наружной подвески бомб. Установлены моторы М-103; изменена покраска на алюминиевую; поставлен фото АФА-13, поставлено гидроуправление щитками, увеличен запас прочности, установлены новые мех. сбрасыватели.</w:t>
            </w:r>
          </w:p>
        </w:tc>
      </w:tr>
      <w:tr w:rsidR="00983732" w:rsidRPr="00A3026E" w14:paraId="2861629C" w14:textId="77777777" w:rsidTr="00EA0DA7">
        <w:tc>
          <w:tcPr>
            <w:tcW w:w="3757" w:type="dxa"/>
            <w:tcBorders>
              <w:bottom w:val="single" w:sz="12" w:space="0" w:color="auto"/>
            </w:tcBorders>
          </w:tcPr>
          <w:p w14:paraId="26C0772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1" w:type="dxa"/>
            <w:tcBorders>
              <w:bottom w:val="single" w:sz="12" w:space="0" w:color="auto"/>
            </w:tcBorders>
          </w:tcPr>
          <w:p w14:paraId="40A8D7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Дефекты: передняя стрелковая установка имеет задержки при стрельбе. Течь горючего у пробок карбюратора, тугой ход бензокранов, слаба аварийная лебедка, слаб водомаслорадиатор, СПУ работает неудовлетворительно, сильное задувание в кабину штурмана, маслопомпа не обеспечивает нормальное давление масла на высоте выше 6000 м. Кабина штурмана тесна, не полное открытие створок бомболюков, мощность огня слабая.</w:t>
            </w:r>
          </w:p>
        </w:tc>
      </w:tr>
    </w:tbl>
    <w:p w14:paraId="3B10CB3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E5107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 полугодия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6844"/>
      </w:tblGrid>
      <w:tr w:rsidR="00983732" w:rsidRPr="00A3026E" w14:paraId="028A30E5" w14:textId="77777777" w:rsidTr="00EA0DA7">
        <w:tc>
          <w:tcPr>
            <w:tcW w:w="3794" w:type="dxa"/>
            <w:tcBorders>
              <w:top w:val="single" w:sz="12" w:space="0" w:color="auto"/>
            </w:tcBorders>
          </w:tcPr>
          <w:p w14:paraId="5591D44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6844" w:type="dxa"/>
            <w:tcBorders>
              <w:top w:val="single" w:sz="12" w:space="0" w:color="auto"/>
            </w:tcBorders>
          </w:tcPr>
          <w:p w14:paraId="5689E10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М-103</w:t>
            </w:r>
          </w:p>
        </w:tc>
      </w:tr>
      <w:tr w:rsidR="00983732" w:rsidRPr="00A3026E" w14:paraId="44CE5DAE" w14:textId="77777777" w:rsidTr="00EA0DA7">
        <w:tc>
          <w:tcPr>
            <w:tcW w:w="3794" w:type="dxa"/>
          </w:tcPr>
          <w:p w14:paraId="0A827DE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6844" w:type="dxa"/>
          </w:tcPr>
          <w:p w14:paraId="4B2425E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6186/7876</w:t>
            </w:r>
          </w:p>
        </w:tc>
      </w:tr>
      <w:tr w:rsidR="00983732" w:rsidRPr="00A3026E" w14:paraId="60EBED52" w14:textId="77777777" w:rsidTr="00EA0DA7">
        <w:tc>
          <w:tcPr>
            <w:tcW w:w="3794" w:type="dxa"/>
          </w:tcPr>
          <w:p w14:paraId="3BECC02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6844" w:type="dxa"/>
          </w:tcPr>
          <w:p w14:paraId="0494F0F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4F55368" w14:textId="77777777" w:rsidTr="00EA0DA7">
        <w:tc>
          <w:tcPr>
            <w:tcW w:w="3794" w:type="dxa"/>
          </w:tcPr>
          <w:p w14:paraId="55FC3D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6844" w:type="dxa"/>
          </w:tcPr>
          <w:p w14:paraId="48C5BD2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366</w:t>
            </w:r>
          </w:p>
        </w:tc>
      </w:tr>
      <w:tr w:rsidR="00983732" w:rsidRPr="00A3026E" w14:paraId="0E06694F" w14:textId="77777777" w:rsidTr="00EA0DA7">
        <w:tc>
          <w:tcPr>
            <w:tcW w:w="3794" w:type="dxa"/>
          </w:tcPr>
          <w:p w14:paraId="328DB4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6844" w:type="dxa"/>
          </w:tcPr>
          <w:p w14:paraId="014D50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425/4000</w:t>
            </w:r>
          </w:p>
        </w:tc>
      </w:tr>
      <w:tr w:rsidR="00983732" w:rsidRPr="00A3026E" w14:paraId="2C6E2836" w14:textId="77777777" w:rsidTr="00EA0DA7">
        <w:tc>
          <w:tcPr>
            <w:tcW w:w="3794" w:type="dxa"/>
          </w:tcPr>
          <w:p w14:paraId="2702C53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4" w:type="dxa"/>
          </w:tcPr>
          <w:p w14:paraId="305448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0FF5274D" w14:textId="77777777" w:rsidTr="00EA0DA7">
        <w:tc>
          <w:tcPr>
            <w:tcW w:w="3794" w:type="dxa"/>
          </w:tcPr>
          <w:p w14:paraId="1909695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4" w:type="dxa"/>
          </w:tcPr>
          <w:p w14:paraId="1919DB0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9600</w:t>
            </w:r>
          </w:p>
        </w:tc>
      </w:tr>
      <w:tr w:rsidR="00983732" w:rsidRPr="00A3026E" w14:paraId="50C3FFF2" w14:textId="77777777" w:rsidTr="00EA0DA7">
        <w:tc>
          <w:tcPr>
            <w:tcW w:w="3794" w:type="dxa"/>
          </w:tcPr>
          <w:p w14:paraId="4AF17F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6844" w:type="dxa"/>
          </w:tcPr>
          <w:p w14:paraId="2DA93E3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1440</w:t>
            </w:r>
          </w:p>
        </w:tc>
      </w:tr>
      <w:tr w:rsidR="00983732" w:rsidRPr="00A3026E" w14:paraId="4C4E4579" w14:textId="77777777" w:rsidTr="00EA0DA7">
        <w:tc>
          <w:tcPr>
            <w:tcW w:w="3794" w:type="dxa"/>
          </w:tcPr>
          <w:p w14:paraId="0A3EC37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6844" w:type="dxa"/>
          </w:tcPr>
          <w:p w14:paraId="24DCF92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500/1500</w:t>
            </w:r>
          </w:p>
        </w:tc>
      </w:tr>
      <w:tr w:rsidR="00983732" w:rsidRPr="00A3026E" w14:paraId="21918C64" w14:textId="77777777" w:rsidTr="00EA0DA7">
        <w:tc>
          <w:tcPr>
            <w:tcW w:w="3794" w:type="dxa"/>
          </w:tcPr>
          <w:p w14:paraId="71CC0EA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изменения и дефекты</w:t>
            </w:r>
          </w:p>
        </w:tc>
        <w:tc>
          <w:tcPr>
            <w:tcW w:w="6844" w:type="dxa"/>
          </w:tcPr>
          <w:p w14:paraId="3C5B9C8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Скоростной напор отсутствует, маслопомпа не обеспечивает нормального давления масла на высотах, электрообрудование не отвечает Т.Т., внутреннее освещение кабины неудовлетворительное.</w:t>
            </w:r>
          </w:p>
        </w:tc>
      </w:tr>
      <w:tr w:rsidR="00983732" w:rsidRPr="00A3026E" w14:paraId="249A76BB" w14:textId="77777777" w:rsidTr="00EA0DA7">
        <w:tc>
          <w:tcPr>
            <w:tcW w:w="3794" w:type="dxa"/>
            <w:tcBorders>
              <w:bottom w:val="single" w:sz="12" w:space="0" w:color="auto"/>
            </w:tcBorders>
          </w:tcPr>
          <w:p w14:paraId="67C390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Borders>
              <w:bottom w:val="single" w:sz="12" w:space="0" w:color="auto"/>
            </w:tcBorders>
          </w:tcPr>
          <w:p w14:paraId="548C475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Изменена амортизация ног, поставлена новая аварийная лебедка; сидение летчика бронировано; установлены протектированные бензобаки.</w:t>
            </w:r>
          </w:p>
        </w:tc>
      </w:tr>
    </w:tbl>
    <w:p w14:paraId="54C9A36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568E542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2 полугодия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6844"/>
      </w:tblGrid>
      <w:tr w:rsidR="00983732" w:rsidRPr="00A3026E" w14:paraId="12FAC576" w14:textId="77777777" w:rsidTr="00EA0DA7">
        <w:tc>
          <w:tcPr>
            <w:tcW w:w="3794" w:type="dxa"/>
            <w:tcBorders>
              <w:top w:val="single" w:sz="12" w:space="0" w:color="auto"/>
            </w:tcBorders>
          </w:tcPr>
          <w:p w14:paraId="2D3E21D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6844" w:type="dxa"/>
            <w:tcBorders>
              <w:top w:val="single" w:sz="12" w:space="0" w:color="auto"/>
            </w:tcBorders>
          </w:tcPr>
          <w:p w14:paraId="43A459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М-103</w:t>
            </w:r>
          </w:p>
        </w:tc>
      </w:tr>
      <w:tr w:rsidR="00983732" w:rsidRPr="00A3026E" w14:paraId="737F13B6" w14:textId="77777777" w:rsidTr="00EA0DA7">
        <w:tc>
          <w:tcPr>
            <w:tcW w:w="3794" w:type="dxa"/>
          </w:tcPr>
          <w:p w14:paraId="39760E3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6844" w:type="dxa"/>
          </w:tcPr>
          <w:p w14:paraId="010D3A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6380/7880</w:t>
            </w:r>
          </w:p>
        </w:tc>
      </w:tr>
      <w:tr w:rsidR="00983732" w:rsidRPr="00A3026E" w14:paraId="75383CE9" w14:textId="77777777" w:rsidTr="00EA0DA7">
        <w:tc>
          <w:tcPr>
            <w:tcW w:w="3794" w:type="dxa"/>
          </w:tcPr>
          <w:p w14:paraId="6D2435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6844" w:type="dxa"/>
          </w:tcPr>
          <w:p w14:paraId="211672A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9180697" w14:textId="77777777" w:rsidTr="00EA0DA7">
        <w:tc>
          <w:tcPr>
            <w:tcW w:w="3794" w:type="dxa"/>
          </w:tcPr>
          <w:p w14:paraId="0985C0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6844" w:type="dxa"/>
          </w:tcPr>
          <w:p w14:paraId="6B2BC4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w:t>
            </w:r>
          </w:p>
        </w:tc>
      </w:tr>
      <w:tr w:rsidR="00983732" w:rsidRPr="00A3026E" w14:paraId="77671722" w14:textId="77777777" w:rsidTr="00EA0DA7">
        <w:tc>
          <w:tcPr>
            <w:tcW w:w="3794" w:type="dxa"/>
          </w:tcPr>
          <w:p w14:paraId="79C17F5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6844" w:type="dxa"/>
          </w:tcPr>
          <w:p w14:paraId="0F3ECD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450/4100</w:t>
            </w:r>
          </w:p>
        </w:tc>
      </w:tr>
      <w:tr w:rsidR="00983732" w:rsidRPr="00A3026E" w14:paraId="12A1F597" w14:textId="77777777" w:rsidTr="00EA0DA7">
        <w:tc>
          <w:tcPr>
            <w:tcW w:w="3794" w:type="dxa"/>
          </w:tcPr>
          <w:p w14:paraId="48EF66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4" w:type="dxa"/>
          </w:tcPr>
          <w:p w14:paraId="234B16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1629BB05" w14:textId="77777777" w:rsidTr="00EA0DA7">
        <w:tc>
          <w:tcPr>
            <w:tcW w:w="3794" w:type="dxa"/>
          </w:tcPr>
          <w:p w14:paraId="6A574EE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4" w:type="dxa"/>
          </w:tcPr>
          <w:p w14:paraId="327A3AA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354BE6BE" w14:textId="77777777" w:rsidTr="00EA0DA7">
        <w:tc>
          <w:tcPr>
            <w:tcW w:w="3794" w:type="dxa"/>
          </w:tcPr>
          <w:p w14:paraId="59F85CD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6844" w:type="dxa"/>
          </w:tcPr>
          <w:p w14:paraId="280DD25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1350</w:t>
            </w:r>
          </w:p>
        </w:tc>
      </w:tr>
      <w:tr w:rsidR="00983732" w:rsidRPr="00A3026E" w14:paraId="454EF445" w14:textId="77777777" w:rsidTr="00EA0DA7">
        <w:tc>
          <w:tcPr>
            <w:tcW w:w="3794" w:type="dxa"/>
          </w:tcPr>
          <w:p w14:paraId="3BDFE04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6844" w:type="dxa"/>
          </w:tcPr>
          <w:p w14:paraId="16AB50F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500/1500</w:t>
            </w:r>
          </w:p>
        </w:tc>
      </w:tr>
      <w:tr w:rsidR="00983732" w:rsidRPr="00A3026E" w14:paraId="64C5565A" w14:textId="77777777" w:rsidTr="00EA0DA7">
        <w:tc>
          <w:tcPr>
            <w:tcW w:w="3794" w:type="dxa"/>
          </w:tcPr>
          <w:p w14:paraId="00FDC64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изменения и дефекты</w:t>
            </w:r>
          </w:p>
        </w:tc>
        <w:tc>
          <w:tcPr>
            <w:tcW w:w="6844" w:type="dxa"/>
          </w:tcPr>
          <w:p w14:paraId="22AD132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обеспечивает полный слив масла, моторама не позволяет снять нижнюю крышку мотора, температуры масла высоки. Освещение демаскирует кабины. Маслопомпа не обеспечивает давление масла на высоте. Вода при аварийном сливе в полете остается в водорадиаторе (зимой). Триммера при низких температурах не работают.</w:t>
            </w:r>
          </w:p>
        </w:tc>
      </w:tr>
      <w:tr w:rsidR="00983732" w:rsidRPr="00A3026E" w14:paraId="47B9672F" w14:textId="77777777" w:rsidTr="00EA0DA7">
        <w:tc>
          <w:tcPr>
            <w:tcW w:w="3794" w:type="dxa"/>
            <w:tcBorders>
              <w:bottom w:val="single" w:sz="12" w:space="0" w:color="auto"/>
            </w:tcBorders>
          </w:tcPr>
          <w:p w14:paraId="018E981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Borders>
              <w:bottom w:val="single" w:sz="12" w:space="0" w:color="auto"/>
            </w:tcBorders>
          </w:tcPr>
          <w:p w14:paraId="566DA7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Винтомоторная группа обнажена, сняты водомасляные радиаторы и поставлены воздушно-масляные радиаторы; добавлено ДЕР-31; установлена посадочная фара; изменена бензосистема и водомаслосистема, сделаны новые туннели водорадиаторов, установлены шторки Ф-1.</w:t>
            </w:r>
          </w:p>
        </w:tc>
      </w:tr>
    </w:tbl>
    <w:p w14:paraId="2EB84C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6F549BE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эталон 1 полугодия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6844"/>
      </w:tblGrid>
      <w:tr w:rsidR="00983732" w:rsidRPr="00A3026E" w14:paraId="110F30E6" w14:textId="77777777" w:rsidTr="00EA0DA7">
        <w:tc>
          <w:tcPr>
            <w:tcW w:w="3794" w:type="dxa"/>
            <w:tcBorders>
              <w:top w:val="single" w:sz="12" w:space="0" w:color="auto"/>
            </w:tcBorders>
          </w:tcPr>
          <w:p w14:paraId="1BED32D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6844" w:type="dxa"/>
            <w:tcBorders>
              <w:top w:val="single" w:sz="12" w:space="0" w:color="auto"/>
            </w:tcBorders>
          </w:tcPr>
          <w:p w14:paraId="75C491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М-103А</w:t>
            </w:r>
          </w:p>
        </w:tc>
      </w:tr>
      <w:tr w:rsidR="00983732" w:rsidRPr="00A3026E" w14:paraId="72685CA9" w14:textId="77777777" w:rsidTr="00EA0DA7">
        <w:tc>
          <w:tcPr>
            <w:tcW w:w="3794" w:type="dxa"/>
          </w:tcPr>
          <w:p w14:paraId="0ED3A7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6844" w:type="dxa"/>
          </w:tcPr>
          <w:p w14:paraId="68BB3EE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6450/8100</w:t>
            </w:r>
          </w:p>
        </w:tc>
      </w:tr>
      <w:tr w:rsidR="00983732" w:rsidRPr="00A3026E" w14:paraId="24762C72" w14:textId="77777777" w:rsidTr="00EA0DA7">
        <w:tc>
          <w:tcPr>
            <w:tcW w:w="3794" w:type="dxa"/>
          </w:tcPr>
          <w:p w14:paraId="28B7A33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6844" w:type="dxa"/>
          </w:tcPr>
          <w:p w14:paraId="27FCB34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3C5A41B" w14:textId="77777777" w:rsidTr="00EA0DA7">
        <w:tc>
          <w:tcPr>
            <w:tcW w:w="3794" w:type="dxa"/>
          </w:tcPr>
          <w:p w14:paraId="6493C4B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6844" w:type="dxa"/>
          </w:tcPr>
          <w:p w14:paraId="13EF70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356</w:t>
            </w:r>
          </w:p>
        </w:tc>
      </w:tr>
      <w:tr w:rsidR="00983732" w:rsidRPr="00A3026E" w14:paraId="24EC2646" w14:textId="77777777" w:rsidTr="00EA0DA7">
        <w:tc>
          <w:tcPr>
            <w:tcW w:w="3794" w:type="dxa"/>
          </w:tcPr>
          <w:p w14:paraId="303593A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6844" w:type="dxa"/>
          </w:tcPr>
          <w:p w14:paraId="126E1A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420/4100</w:t>
            </w:r>
          </w:p>
        </w:tc>
      </w:tr>
      <w:tr w:rsidR="00983732" w:rsidRPr="00A3026E" w14:paraId="3BA42C38" w14:textId="77777777" w:rsidTr="00EA0DA7">
        <w:tc>
          <w:tcPr>
            <w:tcW w:w="3794" w:type="dxa"/>
          </w:tcPr>
          <w:p w14:paraId="1285023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4" w:type="dxa"/>
          </w:tcPr>
          <w:p w14:paraId="13B256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48F1D1AB" w14:textId="77777777" w:rsidTr="00EA0DA7">
        <w:tc>
          <w:tcPr>
            <w:tcW w:w="3794" w:type="dxa"/>
          </w:tcPr>
          <w:p w14:paraId="24413F0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4" w:type="dxa"/>
          </w:tcPr>
          <w:p w14:paraId="761CC6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9400</w:t>
            </w:r>
          </w:p>
        </w:tc>
      </w:tr>
      <w:tr w:rsidR="00983732" w:rsidRPr="00A3026E" w14:paraId="0DEF2739" w14:textId="77777777" w:rsidTr="00EA0DA7">
        <w:tc>
          <w:tcPr>
            <w:tcW w:w="3794" w:type="dxa"/>
          </w:tcPr>
          <w:p w14:paraId="000573D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6844" w:type="dxa"/>
          </w:tcPr>
          <w:p w14:paraId="6C3A26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1145</w:t>
            </w:r>
          </w:p>
        </w:tc>
      </w:tr>
      <w:tr w:rsidR="00983732" w:rsidRPr="00A3026E" w14:paraId="20C4686E" w14:textId="77777777" w:rsidTr="00EA0DA7">
        <w:tc>
          <w:tcPr>
            <w:tcW w:w="3794" w:type="dxa"/>
          </w:tcPr>
          <w:p w14:paraId="2AC05F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6844" w:type="dxa"/>
          </w:tcPr>
          <w:p w14:paraId="310ED31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600/1500-1800</w:t>
            </w:r>
          </w:p>
        </w:tc>
      </w:tr>
      <w:tr w:rsidR="00983732" w:rsidRPr="00A3026E" w14:paraId="4626D40E" w14:textId="77777777" w:rsidTr="00EA0DA7">
        <w:tc>
          <w:tcPr>
            <w:tcW w:w="3794" w:type="dxa"/>
            <w:tcBorders>
              <w:bottom w:val="single" w:sz="12" w:space="0" w:color="auto"/>
            </w:tcBorders>
          </w:tcPr>
          <w:p w14:paraId="29E7065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изменения и дефекты</w:t>
            </w:r>
          </w:p>
        </w:tc>
        <w:tc>
          <w:tcPr>
            <w:tcW w:w="6844" w:type="dxa"/>
            <w:tcBorders>
              <w:bottom w:val="single" w:sz="12" w:space="0" w:color="auto"/>
            </w:tcBorders>
          </w:tcPr>
          <w:p w14:paraId="1EEB5BA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Установлены винты автоматы ВИШ-22; установлена противопожарная перегородка, установлено освещение рации, установлен педальный спусковой крючок ЛУ; на подкосах моторамы установлены отражатели.</w:t>
            </w:r>
          </w:p>
        </w:tc>
      </w:tr>
    </w:tbl>
    <w:p w14:paraId="5AA1E9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1079CB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Эталон на лыжах 1 полугодия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6844"/>
      </w:tblGrid>
      <w:tr w:rsidR="00983732" w:rsidRPr="00A3026E" w14:paraId="116D754B" w14:textId="77777777" w:rsidTr="00EA0DA7">
        <w:tc>
          <w:tcPr>
            <w:tcW w:w="3794" w:type="dxa"/>
            <w:tcBorders>
              <w:top w:val="single" w:sz="12" w:space="0" w:color="auto"/>
            </w:tcBorders>
          </w:tcPr>
          <w:p w14:paraId="2B834A1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6844" w:type="dxa"/>
            <w:tcBorders>
              <w:top w:val="single" w:sz="12" w:space="0" w:color="auto"/>
            </w:tcBorders>
          </w:tcPr>
          <w:p w14:paraId="66BD90E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r>
      <w:tr w:rsidR="00983732" w:rsidRPr="00A3026E" w14:paraId="3CA847FF" w14:textId="77777777" w:rsidTr="00EA0DA7">
        <w:tc>
          <w:tcPr>
            <w:tcW w:w="3794" w:type="dxa"/>
          </w:tcPr>
          <w:p w14:paraId="2F3983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6844" w:type="dxa"/>
          </w:tcPr>
          <w:p w14:paraId="4C7B98F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6700</w:t>
            </w:r>
          </w:p>
        </w:tc>
      </w:tr>
      <w:tr w:rsidR="00983732" w:rsidRPr="00A3026E" w14:paraId="21448FEA" w14:textId="77777777" w:rsidTr="00EA0DA7">
        <w:tc>
          <w:tcPr>
            <w:tcW w:w="3794" w:type="dxa"/>
          </w:tcPr>
          <w:p w14:paraId="1EDEDCA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6844" w:type="dxa"/>
          </w:tcPr>
          <w:p w14:paraId="66C4A6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82AEB74" w14:textId="77777777" w:rsidTr="00EA0DA7">
        <w:tc>
          <w:tcPr>
            <w:tcW w:w="3794" w:type="dxa"/>
          </w:tcPr>
          <w:p w14:paraId="5E51D8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6844" w:type="dxa"/>
          </w:tcPr>
          <w:p w14:paraId="04E1093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r>
      <w:tr w:rsidR="00983732" w:rsidRPr="00A3026E" w14:paraId="7A9A18EA" w14:textId="77777777" w:rsidTr="00EA0DA7">
        <w:tc>
          <w:tcPr>
            <w:tcW w:w="3794" w:type="dxa"/>
          </w:tcPr>
          <w:p w14:paraId="319799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6844" w:type="dxa"/>
          </w:tcPr>
          <w:p w14:paraId="1FEDA3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445/4000</w:t>
            </w:r>
          </w:p>
        </w:tc>
      </w:tr>
      <w:tr w:rsidR="00983732" w:rsidRPr="00A3026E" w14:paraId="16F5CECE" w14:textId="77777777" w:rsidTr="00EA0DA7">
        <w:tc>
          <w:tcPr>
            <w:tcW w:w="3794" w:type="dxa"/>
          </w:tcPr>
          <w:p w14:paraId="04BAB6D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4" w:type="dxa"/>
          </w:tcPr>
          <w:p w14:paraId="0A05AE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w:t>
            </w:r>
          </w:p>
        </w:tc>
      </w:tr>
      <w:tr w:rsidR="00983732" w:rsidRPr="00A3026E" w14:paraId="26238AA9" w14:textId="77777777" w:rsidTr="00EA0DA7">
        <w:tc>
          <w:tcPr>
            <w:tcW w:w="3794" w:type="dxa"/>
          </w:tcPr>
          <w:p w14:paraId="6F0B6BC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4" w:type="dxa"/>
          </w:tcPr>
          <w:p w14:paraId="2431D0C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r>
      <w:tr w:rsidR="00983732" w:rsidRPr="00A3026E" w14:paraId="44464CC3" w14:textId="77777777" w:rsidTr="00EA0DA7">
        <w:tc>
          <w:tcPr>
            <w:tcW w:w="3794" w:type="dxa"/>
          </w:tcPr>
          <w:p w14:paraId="3C8B2E7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Техническая дальность на 0,9 Vmax на высоте</w:t>
            </w:r>
          </w:p>
        </w:tc>
        <w:tc>
          <w:tcPr>
            <w:tcW w:w="6844" w:type="dxa"/>
          </w:tcPr>
          <w:p w14:paraId="42835AF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38BC2970" w14:textId="77777777" w:rsidTr="00EA0DA7">
        <w:tc>
          <w:tcPr>
            <w:tcW w:w="3794" w:type="dxa"/>
          </w:tcPr>
          <w:p w14:paraId="57FBBF2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6844" w:type="dxa"/>
          </w:tcPr>
          <w:p w14:paraId="6FE17E6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600/1500-1800</w:t>
            </w:r>
          </w:p>
        </w:tc>
      </w:tr>
      <w:tr w:rsidR="00983732" w:rsidRPr="00A3026E" w14:paraId="34105D66" w14:textId="77777777" w:rsidTr="00EA0DA7">
        <w:tc>
          <w:tcPr>
            <w:tcW w:w="3794" w:type="dxa"/>
          </w:tcPr>
          <w:p w14:paraId="258E81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изменения и дефекты</w:t>
            </w:r>
          </w:p>
        </w:tc>
        <w:tc>
          <w:tcPr>
            <w:tcW w:w="6844" w:type="dxa"/>
          </w:tcPr>
          <w:p w14:paraId="6711E1C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Бомболюки не открываются при выпущенных шасси; отходят ноги при максимальных скоростях; астрономический люк открывается на больших скоростях; газоанализаторы не доведены; установка РПК-2 влияет на показания компаса летчика; форсажем пользоваться опасно. Оборудование самолета имеет те же дефекты.</w:t>
            </w:r>
          </w:p>
        </w:tc>
      </w:tr>
      <w:tr w:rsidR="00983732" w:rsidRPr="00A3026E" w14:paraId="23702E5C" w14:textId="77777777" w:rsidTr="00EA0DA7">
        <w:tc>
          <w:tcPr>
            <w:tcW w:w="3794" w:type="dxa"/>
            <w:tcBorders>
              <w:bottom w:val="single" w:sz="12" w:space="0" w:color="auto"/>
            </w:tcBorders>
          </w:tcPr>
          <w:p w14:paraId="72DBE96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Borders>
              <w:bottom w:val="single" w:sz="12" w:space="0" w:color="auto"/>
            </w:tcBorders>
          </w:tcPr>
          <w:p w14:paraId="7996A6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Установлено МВ-3, МВ-2, РПК-2 и жесткая антенна, установлена система наполнения бензобаков от СО2, установлен форсаж моторов, установлено новое зеркало летчика, установлена убирающаяся люковая установка.</w:t>
            </w:r>
          </w:p>
        </w:tc>
      </w:tr>
    </w:tbl>
    <w:p w14:paraId="21AF485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5C768E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модификаций самолета ДБ-3 по годам</w:t>
      </w:r>
    </w:p>
    <w:p w14:paraId="4B3B9E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6844"/>
      </w:tblGrid>
      <w:tr w:rsidR="00983732" w:rsidRPr="00A3026E" w14:paraId="1681BB2E" w14:textId="77777777" w:rsidTr="00EA0DA7">
        <w:tc>
          <w:tcPr>
            <w:tcW w:w="3794" w:type="dxa"/>
            <w:tcBorders>
              <w:top w:val="single" w:sz="12" w:space="0" w:color="auto"/>
            </w:tcBorders>
          </w:tcPr>
          <w:p w14:paraId="4930841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6844" w:type="dxa"/>
            <w:tcBorders>
              <w:top w:val="single" w:sz="12" w:space="0" w:color="auto"/>
            </w:tcBorders>
          </w:tcPr>
          <w:p w14:paraId="654802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М-85</w:t>
            </w:r>
          </w:p>
        </w:tc>
      </w:tr>
      <w:tr w:rsidR="00983732" w:rsidRPr="00A3026E" w14:paraId="33EA9141" w14:textId="77777777" w:rsidTr="00EA0DA7">
        <w:tc>
          <w:tcPr>
            <w:tcW w:w="3794" w:type="dxa"/>
          </w:tcPr>
          <w:p w14:paraId="09F68CE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6844" w:type="dxa"/>
          </w:tcPr>
          <w:p w14:paraId="5287844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6648</w:t>
            </w:r>
          </w:p>
        </w:tc>
      </w:tr>
      <w:tr w:rsidR="00983732" w:rsidRPr="00A3026E" w14:paraId="32DA3955" w14:textId="77777777" w:rsidTr="00EA0DA7">
        <w:tc>
          <w:tcPr>
            <w:tcW w:w="3794" w:type="dxa"/>
          </w:tcPr>
          <w:p w14:paraId="48D32E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6844" w:type="dxa"/>
          </w:tcPr>
          <w:p w14:paraId="68BCECE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F6A823F" w14:textId="77777777" w:rsidTr="00EA0DA7">
        <w:tc>
          <w:tcPr>
            <w:tcW w:w="3794" w:type="dxa"/>
          </w:tcPr>
          <w:p w14:paraId="78D647A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6844" w:type="dxa"/>
          </w:tcPr>
          <w:p w14:paraId="4F886A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335</w:t>
            </w:r>
          </w:p>
        </w:tc>
      </w:tr>
      <w:tr w:rsidR="00983732" w:rsidRPr="00A3026E" w14:paraId="04D9117B" w14:textId="77777777" w:rsidTr="00EA0DA7">
        <w:tc>
          <w:tcPr>
            <w:tcW w:w="3794" w:type="dxa"/>
          </w:tcPr>
          <w:p w14:paraId="74138B3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6844" w:type="dxa"/>
          </w:tcPr>
          <w:p w14:paraId="2CD1B9F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415/4800</w:t>
            </w:r>
          </w:p>
        </w:tc>
      </w:tr>
      <w:tr w:rsidR="00983732" w:rsidRPr="00A3026E" w14:paraId="375F7A44" w14:textId="77777777" w:rsidTr="00EA0DA7">
        <w:tc>
          <w:tcPr>
            <w:tcW w:w="3794" w:type="dxa"/>
          </w:tcPr>
          <w:p w14:paraId="168044B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4" w:type="dxa"/>
          </w:tcPr>
          <w:p w14:paraId="51DA1B8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w:t>
            </w:r>
          </w:p>
        </w:tc>
      </w:tr>
      <w:tr w:rsidR="00983732" w:rsidRPr="00A3026E" w14:paraId="539F05F7" w14:textId="77777777" w:rsidTr="00EA0DA7">
        <w:tc>
          <w:tcPr>
            <w:tcW w:w="3794" w:type="dxa"/>
          </w:tcPr>
          <w:p w14:paraId="64E2433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4" w:type="dxa"/>
          </w:tcPr>
          <w:p w14:paraId="57397D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8920</w:t>
            </w:r>
          </w:p>
        </w:tc>
      </w:tr>
      <w:tr w:rsidR="00983732" w:rsidRPr="00A3026E" w14:paraId="19575F50" w14:textId="77777777" w:rsidTr="00EA0DA7">
        <w:tc>
          <w:tcPr>
            <w:tcW w:w="3794" w:type="dxa"/>
          </w:tcPr>
          <w:p w14:paraId="16B4BD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6844" w:type="dxa"/>
          </w:tcPr>
          <w:p w14:paraId="2EE16E7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3250</w:t>
            </w:r>
          </w:p>
        </w:tc>
      </w:tr>
      <w:tr w:rsidR="00983732" w:rsidRPr="00A3026E" w14:paraId="3527D82D" w14:textId="77777777" w:rsidTr="00EA0DA7">
        <w:tc>
          <w:tcPr>
            <w:tcW w:w="3794" w:type="dxa"/>
          </w:tcPr>
          <w:p w14:paraId="47F04D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6844" w:type="dxa"/>
          </w:tcPr>
          <w:p w14:paraId="68DE59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1000/2500</w:t>
            </w:r>
          </w:p>
        </w:tc>
      </w:tr>
      <w:tr w:rsidR="00983732" w:rsidRPr="00A3026E" w14:paraId="5963F734" w14:textId="77777777" w:rsidTr="00EA0DA7">
        <w:tc>
          <w:tcPr>
            <w:tcW w:w="3794" w:type="dxa"/>
          </w:tcPr>
          <w:p w14:paraId="549D13D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6844" w:type="dxa"/>
          </w:tcPr>
          <w:p w14:paraId="290FACC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6D9FFDC" w14:textId="77777777" w:rsidTr="00EA0DA7">
        <w:tc>
          <w:tcPr>
            <w:tcW w:w="3794" w:type="dxa"/>
          </w:tcPr>
          <w:p w14:paraId="6B0F66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6844" w:type="dxa"/>
          </w:tcPr>
          <w:p w14:paraId="48DB0EF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Неудовлетворительная продольная устойчивость в полете.</w:t>
            </w:r>
          </w:p>
        </w:tc>
      </w:tr>
      <w:tr w:rsidR="00983732" w:rsidRPr="00A3026E" w14:paraId="44F26EB5" w14:textId="77777777" w:rsidTr="00EA0DA7">
        <w:tc>
          <w:tcPr>
            <w:tcW w:w="3794" w:type="dxa"/>
          </w:tcPr>
          <w:p w14:paraId="443964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Pr>
          <w:p w14:paraId="68D16A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Развороты при разбеге и пробеге.</w:t>
            </w:r>
          </w:p>
        </w:tc>
      </w:tr>
      <w:tr w:rsidR="00983732" w:rsidRPr="00A3026E" w14:paraId="39278AD6" w14:textId="77777777" w:rsidTr="00EA0DA7">
        <w:tc>
          <w:tcPr>
            <w:tcW w:w="3794" w:type="dxa"/>
          </w:tcPr>
          <w:p w14:paraId="238DDF6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Pr>
          <w:p w14:paraId="14C087D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Перегрев моторов при температуре воздуха свыше 10 градусов.</w:t>
            </w:r>
          </w:p>
        </w:tc>
      </w:tr>
      <w:tr w:rsidR="00983732" w:rsidRPr="00A3026E" w14:paraId="5EBDF0EE" w14:textId="77777777" w:rsidTr="00EA0DA7">
        <w:tc>
          <w:tcPr>
            <w:tcW w:w="3794" w:type="dxa"/>
          </w:tcPr>
          <w:p w14:paraId="3D05FDC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Pr>
          <w:p w14:paraId="29E55A1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Радиосвязь не обеспечивает дальних полетов.</w:t>
            </w:r>
          </w:p>
        </w:tc>
      </w:tr>
      <w:tr w:rsidR="00983732" w:rsidRPr="00A3026E" w14:paraId="31ECCEB0" w14:textId="77777777" w:rsidTr="00EA0DA7">
        <w:tc>
          <w:tcPr>
            <w:tcW w:w="3794" w:type="dxa"/>
            <w:tcBorders>
              <w:bottom w:val="single" w:sz="12" w:space="0" w:color="auto"/>
            </w:tcBorders>
          </w:tcPr>
          <w:p w14:paraId="37D0CC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Borders>
              <w:bottom w:val="single" w:sz="12" w:space="0" w:color="auto"/>
            </w:tcBorders>
          </w:tcPr>
          <w:p w14:paraId="604AD5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Отсутствие бензиномеров для всех баков.</w:t>
            </w:r>
          </w:p>
        </w:tc>
      </w:tr>
    </w:tbl>
    <w:p w14:paraId="64C20B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334BED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6844"/>
      </w:tblGrid>
      <w:tr w:rsidR="00983732" w:rsidRPr="00A3026E" w14:paraId="672906A8" w14:textId="77777777" w:rsidTr="00EA0DA7">
        <w:tc>
          <w:tcPr>
            <w:tcW w:w="3794" w:type="dxa"/>
            <w:tcBorders>
              <w:top w:val="single" w:sz="12" w:space="0" w:color="auto"/>
            </w:tcBorders>
          </w:tcPr>
          <w:p w14:paraId="198A9F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6844" w:type="dxa"/>
            <w:tcBorders>
              <w:top w:val="single" w:sz="12" w:space="0" w:color="auto"/>
            </w:tcBorders>
          </w:tcPr>
          <w:p w14:paraId="7620E61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М-85</w:t>
            </w:r>
          </w:p>
        </w:tc>
      </w:tr>
      <w:tr w:rsidR="00983732" w:rsidRPr="00A3026E" w14:paraId="43484590" w14:textId="77777777" w:rsidTr="00EA0DA7">
        <w:tc>
          <w:tcPr>
            <w:tcW w:w="3794" w:type="dxa"/>
          </w:tcPr>
          <w:p w14:paraId="2BF13B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6844" w:type="dxa"/>
          </w:tcPr>
          <w:p w14:paraId="607D558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6802</w:t>
            </w:r>
          </w:p>
        </w:tc>
      </w:tr>
      <w:tr w:rsidR="00983732" w:rsidRPr="00A3026E" w14:paraId="0F6A2569" w14:textId="77777777" w:rsidTr="00EA0DA7">
        <w:tc>
          <w:tcPr>
            <w:tcW w:w="3794" w:type="dxa"/>
          </w:tcPr>
          <w:p w14:paraId="46A16D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6844" w:type="dxa"/>
          </w:tcPr>
          <w:p w14:paraId="39EE8B7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7155F6F" w14:textId="77777777" w:rsidTr="00EA0DA7">
        <w:tc>
          <w:tcPr>
            <w:tcW w:w="3794" w:type="dxa"/>
          </w:tcPr>
          <w:p w14:paraId="7629EF4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6844" w:type="dxa"/>
          </w:tcPr>
          <w:p w14:paraId="41CE6C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311</w:t>
            </w:r>
          </w:p>
        </w:tc>
      </w:tr>
      <w:tr w:rsidR="00983732" w:rsidRPr="00A3026E" w14:paraId="030B865A" w14:textId="77777777" w:rsidTr="00EA0DA7">
        <w:tc>
          <w:tcPr>
            <w:tcW w:w="3794" w:type="dxa"/>
          </w:tcPr>
          <w:p w14:paraId="79FAFE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6844" w:type="dxa"/>
          </w:tcPr>
          <w:p w14:paraId="2CF661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380/4400</w:t>
            </w:r>
          </w:p>
        </w:tc>
      </w:tr>
      <w:tr w:rsidR="00983732" w:rsidRPr="00A3026E" w14:paraId="0CC40850" w14:textId="77777777" w:rsidTr="00EA0DA7">
        <w:tc>
          <w:tcPr>
            <w:tcW w:w="3794" w:type="dxa"/>
          </w:tcPr>
          <w:p w14:paraId="6C2DD4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4" w:type="dxa"/>
          </w:tcPr>
          <w:p w14:paraId="3544001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w:t>
            </w:r>
          </w:p>
        </w:tc>
      </w:tr>
      <w:tr w:rsidR="00983732" w:rsidRPr="00A3026E" w14:paraId="6AABF0DE" w14:textId="77777777" w:rsidTr="00EA0DA7">
        <w:tc>
          <w:tcPr>
            <w:tcW w:w="3794" w:type="dxa"/>
          </w:tcPr>
          <w:p w14:paraId="577FA1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4" w:type="dxa"/>
          </w:tcPr>
          <w:p w14:paraId="5650893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8400</w:t>
            </w:r>
          </w:p>
        </w:tc>
      </w:tr>
      <w:tr w:rsidR="00983732" w:rsidRPr="00A3026E" w14:paraId="3F710D31" w14:textId="77777777" w:rsidTr="00EA0DA7">
        <w:tc>
          <w:tcPr>
            <w:tcW w:w="3794" w:type="dxa"/>
          </w:tcPr>
          <w:p w14:paraId="61446D3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6844" w:type="dxa"/>
          </w:tcPr>
          <w:p w14:paraId="191E6E1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r>
      <w:tr w:rsidR="00983732" w:rsidRPr="00A3026E" w14:paraId="1CF99272" w14:textId="77777777" w:rsidTr="00EA0DA7">
        <w:tc>
          <w:tcPr>
            <w:tcW w:w="3794" w:type="dxa"/>
          </w:tcPr>
          <w:p w14:paraId="6F13DF2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6844" w:type="dxa"/>
          </w:tcPr>
          <w:p w14:paraId="68659B0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1000/2500</w:t>
            </w:r>
          </w:p>
        </w:tc>
      </w:tr>
      <w:tr w:rsidR="00983732" w:rsidRPr="00A3026E" w14:paraId="30C2F25A" w14:textId="77777777" w:rsidTr="00EA0DA7">
        <w:tc>
          <w:tcPr>
            <w:tcW w:w="3794" w:type="dxa"/>
          </w:tcPr>
          <w:p w14:paraId="2D73E1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6844" w:type="dxa"/>
          </w:tcPr>
          <w:p w14:paraId="51A48D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Увеличено продольное V.</w:t>
            </w:r>
          </w:p>
        </w:tc>
      </w:tr>
      <w:tr w:rsidR="00983732" w:rsidRPr="00A3026E" w14:paraId="721F1EA6" w14:textId="77777777" w:rsidTr="00EA0DA7">
        <w:tc>
          <w:tcPr>
            <w:tcW w:w="3794" w:type="dxa"/>
          </w:tcPr>
          <w:p w14:paraId="41D8320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Установлены триммера на элероны и флеттнера на оперение.</w:t>
            </w:r>
          </w:p>
        </w:tc>
        <w:tc>
          <w:tcPr>
            <w:tcW w:w="6844" w:type="dxa"/>
          </w:tcPr>
          <w:p w14:paraId="1E02F2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A995BBA" w14:textId="77777777" w:rsidTr="00EA0DA7">
        <w:tc>
          <w:tcPr>
            <w:tcW w:w="3794" w:type="dxa"/>
          </w:tcPr>
          <w:p w14:paraId="2EE7BEF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Установлена рация РСБ.</w:t>
            </w:r>
          </w:p>
        </w:tc>
        <w:tc>
          <w:tcPr>
            <w:tcW w:w="6844" w:type="dxa"/>
          </w:tcPr>
          <w:p w14:paraId="0B94E81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AFB7C8B" w14:textId="77777777" w:rsidTr="00EA0DA7">
        <w:tc>
          <w:tcPr>
            <w:tcW w:w="3794" w:type="dxa"/>
          </w:tcPr>
          <w:p w14:paraId="1860DB7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Установлено второе управление в кабине штурмана.</w:t>
            </w:r>
          </w:p>
        </w:tc>
        <w:tc>
          <w:tcPr>
            <w:tcW w:w="6844" w:type="dxa"/>
          </w:tcPr>
          <w:p w14:paraId="56CF54F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7FCBC31" w14:textId="77777777" w:rsidTr="00EA0DA7">
        <w:tc>
          <w:tcPr>
            <w:tcW w:w="3794" w:type="dxa"/>
          </w:tcPr>
          <w:p w14:paraId="4CE5C12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Облагорожена ВМГ (новые мотокапоты, новый маслорадиатор и т.д.).</w:t>
            </w:r>
          </w:p>
        </w:tc>
        <w:tc>
          <w:tcPr>
            <w:tcW w:w="6844" w:type="dxa"/>
          </w:tcPr>
          <w:p w14:paraId="252FDB4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8F015D9" w14:textId="77777777" w:rsidTr="00EA0DA7">
        <w:tc>
          <w:tcPr>
            <w:tcW w:w="3794" w:type="dxa"/>
          </w:tcPr>
          <w:p w14:paraId="75CC658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Самолет окрашен в защитный цвет.</w:t>
            </w:r>
          </w:p>
        </w:tc>
        <w:tc>
          <w:tcPr>
            <w:tcW w:w="6844" w:type="dxa"/>
          </w:tcPr>
          <w:p w14:paraId="3D5F37E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0C88E09" w14:textId="77777777" w:rsidTr="00EA0DA7">
        <w:tc>
          <w:tcPr>
            <w:tcW w:w="3794" w:type="dxa"/>
          </w:tcPr>
          <w:p w14:paraId="7D82EE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6844" w:type="dxa"/>
          </w:tcPr>
          <w:p w14:paraId="2304F8C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Стреловое вооружение не обеспечивает обороноспособности самолета.</w:t>
            </w:r>
          </w:p>
        </w:tc>
      </w:tr>
      <w:tr w:rsidR="00983732" w:rsidRPr="00A3026E" w14:paraId="761F6DF0" w14:textId="77777777" w:rsidTr="00EA0DA7">
        <w:tc>
          <w:tcPr>
            <w:tcW w:w="3794" w:type="dxa"/>
          </w:tcPr>
          <w:p w14:paraId="78FDBB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Pr>
          <w:p w14:paraId="390B008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Продольная устойчивость недостаточна.</w:t>
            </w:r>
          </w:p>
        </w:tc>
      </w:tr>
      <w:tr w:rsidR="00983732" w:rsidRPr="00A3026E" w14:paraId="4F3FEFFE" w14:textId="77777777" w:rsidTr="00EA0DA7">
        <w:tc>
          <w:tcPr>
            <w:tcW w:w="3794" w:type="dxa"/>
          </w:tcPr>
          <w:p w14:paraId="2EC993E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Pr>
          <w:p w14:paraId="063C381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При разбеге и пробеге самолет разворачивает.</w:t>
            </w:r>
          </w:p>
        </w:tc>
      </w:tr>
      <w:tr w:rsidR="00983732" w:rsidRPr="00A3026E" w14:paraId="140008ED" w14:textId="77777777" w:rsidTr="00EA0DA7">
        <w:tc>
          <w:tcPr>
            <w:tcW w:w="3794" w:type="dxa"/>
          </w:tcPr>
          <w:p w14:paraId="62E6BAD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Pr>
          <w:p w14:paraId="489B97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Обзор летчика недостаточный.</w:t>
            </w:r>
          </w:p>
        </w:tc>
      </w:tr>
      <w:tr w:rsidR="00983732" w:rsidRPr="00A3026E" w14:paraId="4A947DA9" w14:textId="77777777" w:rsidTr="00EA0DA7">
        <w:tc>
          <w:tcPr>
            <w:tcW w:w="3794" w:type="dxa"/>
          </w:tcPr>
          <w:p w14:paraId="60632F1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Pr>
          <w:p w14:paraId="581221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Управление уборкой шасси сложное – 7 операций.</w:t>
            </w:r>
          </w:p>
        </w:tc>
      </w:tr>
      <w:tr w:rsidR="00983732" w:rsidRPr="00A3026E" w14:paraId="37EA3DBB" w14:textId="77777777" w:rsidTr="00EA0DA7">
        <w:tc>
          <w:tcPr>
            <w:tcW w:w="3794" w:type="dxa"/>
            <w:tcBorders>
              <w:bottom w:val="single" w:sz="12" w:space="0" w:color="auto"/>
            </w:tcBorders>
          </w:tcPr>
          <w:p w14:paraId="3DA58B7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Borders>
              <w:bottom w:val="single" w:sz="12" w:space="0" w:color="auto"/>
            </w:tcBorders>
          </w:tcPr>
          <w:p w14:paraId="12E360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Баки не протектированы и т.д. </w:t>
            </w:r>
          </w:p>
        </w:tc>
      </w:tr>
    </w:tbl>
    <w:p w14:paraId="304EED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5EFCF48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6840"/>
      </w:tblGrid>
      <w:tr w:rsidR="00983732" w:rsidRPr="00A3026E" w14:paraId="0310BF68" w14:textId="77777777" w:rsidTr="00EA0DA7">
        <w:tc>
          <w:tcPr>
            <w:tcW w:w="3798" w:type="dxa"/>
            <w:tcBorders>
              <w:top w:val="single" w:sz="12" w:space="0" w:color="auto"/>
            </w:tcBorders>
          </w:tcPr>
          <w:p w14:paraId="293E780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6840" w:type="dxa"/>
            <w:tcBorders>
              <w:top w:val="single" w:sz="12" w:space="0" w:color="auto"/>
            </w:tcBorders>
          </w:tcPr>
          <w:p w14:paraId="5C8F5DD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М-86</w:t>
            </w:r>
          </w:p>
        </w:tc>
      </w:tr>
      <w:tr w:rsidR="00983732" w:rsidRPr="00A3026E" w14:paraId="5DE6E390" w14:textId="77777777" w:rsidTr="00EA0DA7">
        <w:tc>
          <w:tcPr>
            <w:tcW w:w="3798" w:type="dxa"/>
          </w:tcPr>
          <w:p w14:paraId="348B9D4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6840" w:type="dxa"/>
          </w:tcPr>
          <w:p w14:paraId="6B1D4B8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6600/8500</w:t>
            </w:r>
          </w:p>
        </w:tc>
      </w:tr>
      <w:tr w:rsidR="00983732" w:rsidRPr="00A3026E" w14:paraId="50A6CF37" w14:textId="77777777" w:rsidTr="00EA0DA7">
        <w:tc>
          <w:tcPr>
            <w:tcW w:w="3798" w:type="dxa"/>
          </w:tcPr>
          <w:p w14:paraId="7DB4F8A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6840" w:type="dxa"/>
          </w:tcPr>
          <w:p w14:paraId="22B3393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C135231" w14:textId="77777777" w:rsidTr="00EA0DA7">
        <w:tc>
          <w:tcPr>
            <w:tcW w:w="3798" w:type="dxa"/>
          </w:tcPr>
          <w:p w14:paraId="2A6861D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6840" w:type="dxa"/>
          </w:tcPr>
          <w:p w14:paraId="017DA44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331</w:t>
            </w:r>
          </w:p>
        </w:tc>
      </w:tr>
      <w:tr w:rsidR="00983732" w:rsidRPr="00A3026E" w14:paraId="37F179E9" w14:textId="77777777" w:rsidTr="00EA0DA7">
        <w:tc>
          <w:tcPr>
            <w:tcW w:w="3798" w:type="dxa"/>
          </w:tcPr>
          <w:p w14:paraId="1C44EFF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6840" w:type="dxa"/>
          </w:tcPr>
          <w:p w14:paraId="1BB633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395/4000</w:t>
            </w:r>
          </w:p>
        </w:tc>
      </w:tr>
      <w:tr w:rsidR="00983732" w:rsidRPr="00A3026E" w14:paraId="374D4DE3" w14:textId="77777777" w:rsidTr="00EA0DA7">
        <w:tc>
          <w:tcPr>
            <w:tcW w:w="3798" w:type="dxa"/>
          </w:tcPr>
          <w:p w14:paraId="45DEAF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0" w:type="dxa"/>
          </w:tcPr>
          <w:p w14:paraId="0AFD6D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w:t>
            </w:r>
          </w:p>
        </w:tc>
      </w:tr>
      <w:tr w:rsidR="00983732" w:rsidRPr="00A3026E" w14:paraId="4585B757" w14:textId="77777777" w:rsidTr="00EA0DA7">
        <w:tc>
          <w:tcPr>
            <w:tcW w:w="3798" w:type="dxa"/>
          </w:tcPr>
          <w:p w14:paraId="2BB1BFD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0" w:type="dxa"/>
          </w:tcPr>
          <w:p w14:paraId="5D19E5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8300</w:t>
            </w:r>
          </w:p>
        </w:tc>
      </w:tr>
      <w:tr w:rsidR="00983732" w:rsidRPr="00A3026E" w14:paraId="0B19C281" w14:textId="77777777" w:rsidTr="00EA0DA7">
        <w:tc>
          <w:tcPr>
            <w:tcW w:w="3798" w:type="dxa"/>
          </w:tcPr>
          <w:p w14:paraId="35D750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6840" w:type="dxa"/>
          </w:tcPr>
          <w:p w14:paraId="203E24E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3200</w:t>
            </w:r>
          </w:p>
        </w:tc>
      </w:tr>
      <w:tr w:rsidR="00983732" w:rsidRPr="00A3026E" w14:paraId="791605D5" w14:textId="77777777" w:rsidTr="00EA0DA7">
        <w:tc>
          <w:tcPr>
            <w:tcW w:w="3798" w:type="dxa"/>
          </w:tcPr>
          <w:p w14:paraId="76477E8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6840" w:type="dxa"/>
          </w:tcPr>
          <w:p w14:paraId="2FCD7BE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1000/2500</w:t>
            </w:r>
          </w:p>
        </w:tc>
      </w:tr>
      <w:tr w:rsidR="00983732" w:rsidRPr="00A3026E" w14:paraId="265C3F44" w14:textId="77777777" w:rsidTr="00EA0DA7">
        <w:tc>
          <w:tcPr>
            <w:tcW w:w="3798" w:type="dxa"/>
          </w:tcPr>
          <w:p w14:paraId="5CEAA4D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6840" w:type="dxa"/>
          </w:tcPr>
          <w:p w14:paraId="30C23A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Моторы М-86, винты ЦКБ-30.</w:t>
            </w:r>
          </w:p>
        </w:tc>
      </w:tr>
      <w:tr w:rsidR="00983732" w:rsidRPr="00A3026E" w14:paraId="2E10CC58" w14:textId="77777777" w:rsidTr="00EA0DA7">
        <w:tc>
          <w:tcPr>
            <w:tcW w:w="3798" w:type="dxa"/>
          </w:tcPr>
          <w:p w14:paraId="3BF3D60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Упрощена система уборки шасси и управления щитками.</w:t>
            </w:r>
          </w:p>
        </w:tc>
        <w:tc>
          <w:tcPr>
            <w:tcW w:w="6840" w:type="dxa"/>
          </w:tcPr>
          <w:p w14:paraId="146627C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2ACE210" w14:textId="77777777" w:rsidTr="00EA0DA7">
        <w:tc>
          <w:tcPr>
            <w:tcW w:w="3798" w:type="dxa"/>
          </w:tcPr>
          <w:p w14:paraId="557C17A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Для охлаждения моторов вместо юбок установлены жалюзи.</w:t>
            </w:r>
          </w:p>
        </w:tc>
        <w:tc>
          <w:tcPr>
            <w:tcW w:w="6840" w:type="dxa"/>
          </w:tcPr>
          <w:p w14:paraId="14A400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B447444" w14:textId="77777777" w:rsidTr="00EA0DA7">
        <w:tc>
          <w:tcPr>
            <w:tcW w:w="3798" w:type="dxa"/>
          </w:tcPr>
          <w:p w14:paraId="6D697A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Изменены маслобаки.</w:t>
            </w:r>
          </w:p>
        </w:tc>
        <w:tc>
          <w:tcPr>
            <w:tcW w:w="6840" w:type="dxa"/>
          </w:tcPr>
          <w:p w14:paraId="028675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7C90B8F" w14:textId="77777777" w:rsidTr="00EA0DA7">
        <w:tc>
          <w:tcPr>
            <w:tcW w:w="3798" w:type="dxa"/>
          </w:tcPr>
          <w:p w14:paraId="0C2D560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Установлена прозрачная перегородка у летчика в бомбоотсек.</w:t>
            </w:r>
          </w:p>
        </w:tc>
        <w:tc>
          <w:tcPr>
            <w:tcW w:w="6840" w:type="dxa"/>
          </w:tcPr>
          <w:p w14:paraId="424A4F1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2DEF909" w14:textId="77777777" w:rsidTr="00EA0DA7">
        <w:tc>
          <w:tcPr>
            <w:tcW w:w="3798" w:type="dxa"/>
          </w:tcPr>
          <w:p w14:paraId="36CD3D7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6840" w:type="dxa"/>
          </w:tcPr>
          <w:p w14:paraId="7ABD15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Недостаточная продольная устойчивость.</w:t>
            </w:r>
          </w:p>
        </w:tc>
      </w:tr>
      <w:tr w:rsidR="00983732" w:rsidRPr="00A3026E" w14:paraId="1D6CD782" w14:textId="77777777" w:rsidTr="00EA0DA7">
        <w:tc>
          <w:tcPr>
            <w:tcW w:w="3798" w:type="dxa"/>
          </w:tcPr>
          <w:p w14:paraId="7F0494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6DC0ED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 хватает рулей высоты при посадке со щитками.</w:t>
            </w:r>
          </w:p>
        </w:tc>
      </w:tr>
      <w:tr w:rsidR="00983732" w:rsidRPr="00A3026E" w14:paraId="14C6177C" w14:textId="77777777" w:rsidTr="00EA0DA7">
        <w:tc>
          <w:tcPr>
            <w:tcW w:w="3798" w:type="dxa"/>
          </w:tcPr>
          <w:p w14:paraId="73944F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1BAB46C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самолет разворачивается вправо при разбеге и пробеге.</w:t>
            </w:r>
          </w:p>
        </w:tc>
      </w:tr>
      <w:tr w:rsidR="00983732" w:rsidRPr="00A3026E" w14:paraId="7377D250" w14:textId="77777777" w:rsidTr="00EA0DA7">
        <w:tc>
          <w:tcPr>
            <w:tcW w:w="3798" w:type="dxa"/>
          </w:tcPr>
          <w:p w14:paraId="0E7F9A7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50554D0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Недостаточный обзор летчика.</w:t>
            </w:r>
          </w:p>
        </w:tc>
      </w:tr>
      <w:tr w:rsidR="00983732" w:rsidRPr="00A3026E" w14:paraId="785E003F" w14:textId="77777777" w:rsidTr="00EA0DA7">
        <w:tc>
          <w:tcPr>
            <w:tcW w:w="3798" w:type="dxa"/>
            <w:tcBorders>
              <w:bottom w:val="single" w:sz="12" w:space="0" w:color="auto"/>
            </w:tcBorders>
          </w:tcPr>
          <w:p w14:paraId="56CC34A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Borders>
              <w:bottom w:val="single" w:sz="12" w:space="0" w:color="auto"/>
            </w:tcBorders>
          </w:tcPr>
          <w:p w14:paraId="730DED8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Отсутствует визуальная связь и т.д.</w:t>
            </w:r>
          </w:p>
        </w:tc>
      </w:tr>
    </w:tbl>
    <w:p w14:paraId="493C77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FC845B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6840"/>
      </w:tblGrid>
      <w:tr w:rsidR="00983732" w:rsidRPr="00A3026E" w14:paraId="5D233C26" w14:textId="77777777" w:rsidTr="00EA0DA7">
        <w:tc>
          <w:tcPr>
            <w:tcW w:w="3798" w:type="dxa"/>
            <w:tcBorders>
              <w:top w:val="single" w:sz="12" w:space="0" w:color="auto"/>
            </w:tcBorders>
          </w:tcPr>
          <w:p w14:paraId="3127992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Мотор</w:t>
            </w:r>
          </w:p>
        </w:tc>
        <w:tc>
          <w:tcPr>
            <w:tcW w:w="6840" w:type="dxa"/>
            <w:tcBorders>
              <w:top w:val="single" w:sz="12" w:space="0" w:color="auto"/>
            </w:tcBorders>
          </w:tcPr>
          <w:p w14:paraId="572C64C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М-87А</w:t>
            </w:r>
          </w:p>
        </w:tc>
      </w:tr>
      <w:tr w:rsidR="00983732" w:rsidRPr="00A3026E" w14:paraId="05C3BEAF" w14:textId="77777777" w:rsidTr="00EA0DA7">
        <w:tc>
          <w:tcPr>
            <w:tcW w:w="3798" w:type="dxa"/>
          </w:tcPr>
          <w:p w14:paraId="2BC762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6840" w:type="dxa"/>
          </w:tcPr>
          <w:p w14:paraId="1B1813F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7500/9500</w:t>
            </w:r>
          </w:p>
        </w:tc>
      </w:tr>
      <w:tr w:rsidR="00983732" w:rsidRPr="00A3026E" w14:paraId="79F0E748" w14:textId="77777777" w:rsidTr="00EA0DA7">
        <w:tc>
          <w:tcPr>
            <w:tcW w:w="3798" w:type="dxa"/>
          </w:tcPr>
          <w:p w14:paraId="4176F70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6840" w:type="dxa"/>
          </w:tcPr>
          <w:p w14:paraId="0BEF648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FFD3DF4" w14:textId="77777777" w:rsidTr="00EA0DA7">
        <w:tc>
          <w:tcPr>
            <w:tcW w:w="3798" w:type="dxa"/>
          </w:tcPr>
          <w:p w14:paraId="29E5BD9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6840" w:type="dxa"/>
          </w:tcPr>
          <w:p w14:paraId="6DA78DF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345</w:t>
            </w:r>
          </w:p>
        </w:tc>
      </w:tr>
      <w:tr w:rsidR="00983732" w:rsidRPr="00A3026E" w14:paraId="1B4E0242" w14:textId="77777777" w:rsidTr="00EA0DA7">
        <w:tc>
          <w:tcPr>
            <w:tcW w:w="3798" w:type="dxa"/>
          </w:tcPr>
          <w:p w14:paraId="413E869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6840" w:type="dxa"/>
          </w:tcPr>
          <w:p w14:paraId="16BE3D9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439/4900</w:t>
            </w:r>
          </w:p>
        </w:tc>
      </w:tr>
      <w:tr w:rsidR="00983732" w:rsidRPr="00A3026E" w14:paraId="0C7DDDF9" w14:textId="77777777" w:rsidTr="00EA0DA7">
        <w:tc>
          <w:tcPr>
            <w:tcW w:w="3798" w:type="dxa"/>
          </w:tcPr>
          <w:p w14:paraId="1AB952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0" w:type="dxa"/>
          </w:tcPr>
          <w:p w14:paraId="52907FA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0F2DE78E" w14:textId="77777777" w:rsidTr="00EA0DA7">
        <w:tc>
          <w:tcPr>
            <w:tcW w:w="3798" w:type="dxa"/>
          </w:tcPr>
          <w:p w14:paraId="53B944B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0" w:type="dxa"/>
          </w:tcPr>
          <w:p w14:paraId="058D0C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51E8F2A2" w14:textId="77777777" w:rsidTr="00EA0DA7">
        <w:tc>
          <w:tcPr>
            <w:tcW w:w="3798" w:type="dxa"/>
          </w:tcPr>
          <w:p w14:paraId="6F18FDF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6840" w:type="dxa"/>
          </w:tcPr>
          <w:p w14:paraId="2CD3BC3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2870</w:t>
            </w:r>
          </w:p>
        </w:tc>
      </w:tr>
      <w:tr w:rsidR="00983732" w:rsidRPr="00A3026E" w14:paraId="29F66140" w14:textId="77777777" w:rsidTr="00EA0DA7">
        <w:tc>
          <w:tcPr>
            <w:tcW w:w="3798" w:type="dxa"/>
          </w:tcPr>
          <w:p w14:paraId="70B10A7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6840" w:type="dxa"/>
          </w:tcPr>
          <w:p w14:paraId="52EB5A5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1000/2500</w:t>
            </w:r>
          </w:p>
        </w:tc>
      </w:tr>
      <w:tr w:rsidR="00983732" w:rsidRPr="00A3026E" w14:paraId="14845E6E" w14:textId="77777777" w:rsidTr="00EA0DA7">
        <w:tc>
          <w:tcPr>
            <w:tcW w:w="3798" w:type="dxa"/>
          </w:tcPr>
          <w:p w14:paraId="6BFDA8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6840" w:type="dxa"/>
          </w:tcPr>
          <w:p w14:paraId="7D2F23F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Установлены моторы М-87А с ВИШ-3.</w:t>
            </w:r>
          </w:p>
        </w:tc>
      </w:tr>
      <w:tr w:rsidR="00983732" w:rsidRPr="00A3026E" w14:paraId="78819E98" w14:textId="77777777" w:rsidTr="00EA0DA7">
        <w:tc>
          <w:tcPr>
            <w:tcW w:w="3798" w:type="dxa"/>
          </w:tcPr>
          <w:p w14:paraId="35275A6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41C332D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Бензобаки 1 и 2 гр. протектированы.</w:t>
            </w:r>
          </w:p>
        </w:tc>
      </w:tr>
      <w:tr w:rsidR="00983732" w:rsidRPr="00A3026E" w14:paraId="22074D43" w14:textId="77777777" w:rsidTr="00EA0DA7">
        <w:tc>
          <w:tcPr>
            <w:tcW w:w="3798" w:type="dxa"/>
          </w:tcPr>
          <w:p w14:paraId="1FAE142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7448A5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Маслобаки сварные.</w:t>
            </w:r>
          </w:p>
        </w:tc>
      </w:tr>
      <w:tr w:rsidR="00983732" w:rsidRPr="00A3026E" w14:paraId="018FC10B" w14:textId="77777777" w:rsidTr="00EA0DA7">
        <w:tc>
          <w:tcPr>
            <w:tcW w:w="3798" w:type="dxa"/>
          </w:tcPr>
          <w:p w14:paraId="0D2BBE5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6230B4A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Уборка щитков и шасси пневматическая. </w:t>
            </w:r>
          </w:p>
        </w:tc>
      </w:tr>
      <w:tr w:rsidR="00983732" w:rsidRPr="00A3026E" w14:paraId="4415DEA3" w14:textId="77777777" w:rsidTr="00EA0DA7">
        <w:tc>
          <w:tcPr>
            <w:tcW w:w="3798" w:type="dxa"/>
          </w:tcPr>
          <w:p w14:paraId="02ED69F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6906C7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Новая вилка костыльного колеса.</w:t>
            </w:r>
          </w:p>
        </w:tc>
      </w:tr>
      <w:tr w:rsidR="00983732" w:rsidRPr="00A3026E" w14:paraId="2DB02949" w14:textId="77777777" w:rsidTr="00EA0DA7">
        <w:tc>
          <w:tcPr>
            <w:tcW w:w="3798" w:type="dxa"/>
          </w:tcPr>
          <w:p w14:paraId="160AE74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3B57ADB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Новый фонарь летчика.</w:t>
            </w:r>
          </w:p>
        </w:tc>
      </w:tr>
      <w:tr w:rsidR="00983732" w:rsidRPr="00A3026E" w14:paraId="3251932C" w14:textId="77777777" w:rsidTr="00EA0DA7">
        <w:tc>
          <w:tcPr>
            <w:tcW w:w="3798" w:type="dxa"/>
          </w:tcPr>
          <w:p w14:paraId="5A2CAD4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7EFFB1B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Броня сидения летчика.</w:t>
            </w:r>
          </w:p>
        </w:tc>
      </w:tr>
      <w:tr w:rsidR="00983732" w:rsidRPr="00A3026E" w14:paraId="3920F5B0" w14:textId="77777777" w:rsidTr="00EA0DA7">
        <w:tc>
          <w:tcPr>
            <w:tcW w:w="3798" w:type="dxa"/>
          </w:tcPr>
          <w:p w14:paraId="7E87C2C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6840" w:type="dxa"/>
          </w:tcPr>
          <w:p w14:paraId="3948CE5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Переохлаждение моторов.</w:t>
            </w:r>
          </w:p>
        </w:tc>
      </w:tr>
      <w:tr w:rsidR="00983732" w:rsidRPr="00A3026E" w14:paraId="1153CDDB" w14:textId="77777777" w:rsidTr="00EA0DA7">
        <w:tc>
          <w:tcPr>
            <w:tcW w:w="3798" w:type="dxa"/>
          </w:tcPr>
          <w:p w14:paraId="407E34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44A1E1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Невозможно вести пулеметный огонь непрерывно – задержки.</w:t>
            </w:r>
          </w:p>
        </w:tc>
      </w:tr>
      <w:tr w:rsidR="00983732" w:rsidRPr="00A3026E" w14:paraId="14174091" w14:textId="77777777" w:rsidTr="00EA0DA7">
        <w:tc>
          <w:tcPr>
            <w:tcW w:w="3798" w:type="dxa"/>
          </w:tcPr>
          <w:p w14:paraId="570CF7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277D7C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Перегревается масло.</w:t>
            </w:r>
          </w:p>
        </w:tc>
      </w:tr>
      <w:tr w:rsidR="00983732" w:rsidRPr="00A3026E" w14:paraId="0EE8BF93" w14:textId="77777777" w:rsidTr="00EA0DA7">
        <w:tc>
          <w:tcPr>
            <w:tcW w:w="3798" w:type="dxa"/>
            <w:tcBorders>
              <w:bottom w:val="single" w:sz="12" w:space="0" w:color="auto"/>
            </w:tcBorders>
          </w:tcPr>
          <w:p w14:paraId="5B14A7E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Borders>
              <w:bottom w:val="single" w:sz="12" w:space="0" w:color="auto"/>
            </w:tcBorders>
          </w:tcPr>
          <w:p w14:paraId="427B4A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Самолеты заводов №№ 39 и 18 разнятся между собой и т.д.</w:t>
            </w:r>
          </w:p>
        </w:tc>
      </w:tr>
    </w:tbl>
    <w:p w14:paraId="120A198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88259E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 полугодия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6840"/>
      </w:tblGrid>
      <w:tr w:rsidR="00983732" w:rsidRPr="00A3026E" w14:paraId="30CB6EFD" w14:textId="77777777" w:rsidTr="00EA0DA7">
        <w:tc>
          <w:tcPr>
            <w:tcW w:w="3798" w:type="dxa"/>
            <w:tcBorders>
              <w:top w:val="single" w:sz="12" w:space="0" w:color="auto"/>
            </w:tcBorders>
          </w:tcPr>
          <w:p w14:paraId="2BC021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6840" w:type="dxa"/>
            <w:tcBorders>
              <w:top w:val="single" w:sz="12" w:space="0" w:color="auto"/>
            </w:tcBorders>
          </w:tcPr>
          <w:p w14:paraId="04E06D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М-87Б</w:t>
            </w:r>
          </w:p>
        </w:tc>
      </w:tr>
      <w:tr w:rsidR="00983732" w:rsidRPr="00A3026E" w14:paraId="6BEFE252" w14:textId="77777777" w:rsidTr="00EA0DA7">
        <w:tc>
          <w:tcPr>
            <w:tcW w:w="3798" w:type="dxa"/>
          </w:tcPr>
          <w:p w14:paraId="076DB1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6840" w:type="dxa"/>
          </w:tcPr>
          <w:p w14:paraId="16483A4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8000/10000</w:t>
            </w:r>
          </w:p>
        </w:tc>
      </w:tr>
      <w:tr w:rsidR="00983732" w:rsidRPr="00A3026E" w14:paraId="101ED4B7" w14:textId="77777777" w:rsidTr="00EA0DA7">
        <w:tc>
          <w:tcPr>
            <w:tcW w:w="3798" w:type="dxa"/>
          </w:tcPr>
          <w:p w14:paraId="6CCA56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6840" w:type="dxa"/>
          </w:tcPr>
          <w:p w14:paraId="296B300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D9FB160" w14:textId="77777777" w:rsidTr="00EA0DA7">
        <w:tc>
          <w:tcPr>
            <w:tcW w:w="3798" w:type="dxa"/>
          </w:tcPr>
          <w:p w14:paraId="09D3253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6840" w:type="dxa"/>
          </w:tcPr>
          <w:p w14:paraId="04481D7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tc>
      </w:tr>
      <w:tr w:rsidR="00983732" w:rsidRPr="00A3026E" w14:paraId="788C9C3A" w14:textId="77777777" w:rsidTr="00EA0DA7">
        <w:tc>
          <w:tcPr>
            <w:tcW w:w="3798" w:type="dxa"/>
          </w:tcPr>
          <w:p w14:paraId="5264AA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6840" w:type="dxa"/>
          </w:tcPr>
          <w:p w14:paraId="7AFA89F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405/5000</w:t>
            </w:r>
          </w:p>
        </w:tc>
      </w:tr>
      <w:tr w:rsidR="00983732" w:rsidRPr="00A3026E" w14:paraId="79CCA5D4" w14:textId="77777777" w:rsidTr="00EA0DA7">
        <w:tc>
          <w:tcPr>
            <w:tcW w:w="3798" w:type="dxa"/>
          </w:tcPr>
          <w:p w14:paraId="45525DD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0" w:type="dxa"/>
          </w:tcPr>
          <w:p w14:paraId="03E817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w:t>
            </w:r>
          </w:p>
        </w:tc>
      </w:tr>
      <w:tr w:rsidR="00983732" w:rsidRPr="00A3026E" w14:paraId="7C85854C" w14:textId="77777777" w:rsidTr="00EA0DA7">
        <w:tc>
          <w:tcPr>
            <w:tcW w:w="3798" w:type="dxa"/>
          </w:tcPr>
          <w:p w14:paraId="3B02A97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0" w:type="dxa"/>
          </w:tcPr>
          <w:p w14:paraId="702CAA1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r>
      <w:tr w:rsidR="00983732" w:rsidRPr="00A3026E" w14:paraId="017B0FFF" w14:textId="77777777" w:rsidTr="00EA0DA7">
        <w:tc>
          <w:tcPr>
            <w:tcW w:w="3798" w:type="dxa"/>
          </w:tcPr>
          <w:p w14:paraId="2957B21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6840" w:type="dxa"/>
          </w:tcPr>
          <w:p w14:paraId="2458E5F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2680</w:t>
            </w:r>
          </w:p>
        </w:tc>
      </w:tr>
      <w:tr w:rsidR="00983732" w:rsidRPr="00A3026E" w14:paraId="19F693C5" w14:textId="77777777" w:rsidTr="00EA0DA7">
        <w:tc>
          <w:tcPr>
            <w:tcW w:w="3798" w:type="dxa"/>
          </w:tcPr>
          <w:p w14:paraId="692166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6840" w:type="dxa"/>
          </w:tcPr>
          <w:p w14:paraId="415CA36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1000/2500</w:t>
            </w:r>
          </w:p>
        </w:tc>
      </w:tr>
      <w:tr w:rsidR="00983732" w:rsidRPr="00A3026E" w14:paraId="51AE4676" w14:textId="77777777" w:rsidTr="00EA0DA7">
        <w:tc>
          <w:tcPr>
            <w:tcW w:w="3798" w:type="dxa"/>
          </w:tcPr>
          <w:p w14:paraId="238FBA1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6840" w:type="dxa"/>
          </w:tcPr>
          <w:p w14:paraId="5BE3EA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Клепка крыла и фюзеляжа впотай.</w:t>
            </w:r>
          </w:p>
        </w:tc>
      </w:tr>
      <w:tr w:rsidR="00983732" w:rsidRPr="00A3026E" w14:paraId="405826A1" w14:textId="77777777" w:rsidTr="00EA0DA7">
        <w:tc>
          <w:tcPr>
            <w:tcW w:w="3798" w:type="dxa"/>
          </w:tcPr>
          <w:p w14:paraId="25D1FA6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037F291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Капоты моторов новые.</w:t>
            </w:r>
          </w:p>
        </w:tc>
      </w:tr>
      <w:tr w:rsidR="00983732" w:rsidRPr="00A3026E" w14:paraId="118314FD" w14:textId="77777777" w:rsidTr="00EA0DA7">
        <w:tc>
          <w:tcPr>
            <w:tcW w:w="3798" w:type="dxa"/>
          </w:tcPr>
          <w:p w14:paraId="10CECF1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68EAC48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Крыло новой конструкции.</w:t>
            </w:r>
          </w:p>
        </w:tc>
      </w:tr>
      <w:tr w:rsidR="00983732" w:rsidRPr="00A3026E" w14:paraId="38F4A06D" w14:textId="77777777" w:rsidTr="00EA0DA7">
        <w:tc>
          <w:tcPr>
            <w:tcW w:w="3798" w:type="dxa"/>
          </w:tcPr>
          <w:p w14:paraId="6CC8F7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74CB5E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Изменена система бензина и масла.</w:t>
            </w:r>
          </w:p>
        </w:tc>
      </w:tr>
      <w:tr w:rsidR="00983732" w:rsidRPr="00A3026E" w14:paraId="4C8D2526" w14:textId="77777777" w:rsidTr="00EA0DA7">
        <w:tc>
          <w:tcPr>
            <w:tcW w:w="3798" w:type="dxa"/>
          </w:tcPr>
          <w:p w14:paraId="1BBB464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7A849D2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Установлены МВ-2 и МВ-3.</w:t>
            </w:r>
          </w:p>
        </w:tc>
      </w:tr>
      <w:tr w:rsidR="00983732" w:rsidRPr="00A3026E" w14:paraId="73C546FF" w14:textId="77777777" w:rsidTr="00EA0DA7">
        <w:tc>
          <w:tcPr>
            <w:tcW w:w="3798" w:type="dxa"/>
          </w:tcPr>
          <w:p w14:paraId="5DD7102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1E9275F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Установлен в полете убирающийся костыль.</w:t>
            </w:r>
          </w:p>
        </w:tc>
      </w:tr>
      <w:tr w:rsidR="00983732" w:rsidRPr="00A3026E" w14:paraId="43EEF982" w14:textId="77777777" w:rsidTr="00EA0DA7">
        <w:tc>
          <w:tcPr>
            <w:tcW w:w="3798" w:type="dxa"/>
          </w:tcPr>
          <w:p w14:paraId="7241878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56F9B05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Изменена конструкция шасси.</w:t>
            </w:r>
          </w:p>
        </w:tc>
      </w:tr>
      <w:tr w:rsidR="00983732" w:rsidRPr="00A3026E" w14:paraId="696D93D4" w14:textId="77777777" w:rsidTr="00EA0DA7">
        <w:tc>
          <w:tcPr>
            <w:tcW w:w="3798" w:type="dxa"/>
          </w:tcPr>
          <w:p w14:paraId="41E6CC6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4E3BDBD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Установлены винты ВИШ-23.</w:t>
            </w:r>
          </w:p>
        </w:tc>
      </w:tr>
      <w:tr w:rsidR="00983732" w:rsidRPr="00A3026E" w14:paraId="49599CD8" w14:textId="77777777" w:rsidTr="00EA0DA7">
        <w:tc>
          <w:tcPr>
            <w:tcW w:w="3798" w:type="dxa"/>
          </w:tcPr>
          <w:p w14:paraId="2BCD2C3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6840" w:type="dxa"/>
          </w:tcPr>
          <w:p w14:paraId="792632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При открытии юбок, особенно на виражах, вибрирует хвостовое оперение.</w:t>
            </w:r>
          </w:p>
        </w:tc>
      </w:tr>
      <w:tr w:rsidR="00983732" w:rsidRPr="00A3026E" w14:paraId="4B1D6EBD" w14:textId="77777777" w:rsidTr="00EA0DA7">
        <w:tc>
          <w:tcPr>
            <w:tcW w:w="3798" w:type="dxa"/>
          </w:tcPr>
          <w:p w14:paraId="0DE2D8C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52A2D04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Лебедка уборки костыля находится в кабине радиста.</w:t>
            </w:r>
          </w:p>
        </w:tc>
      </w:tr>
      <w:tr w:rsidR="00983732" w:rsidRPr="00A3026E" w14:paraId="0741168E" w14:textId="77777777" w:rsidTr="00EA0DA7">
        <w:tc>
          <w:tcPr>
            <w:tcW w:w="3798" w:type="dxa"/>
            <w:tcBorders>
              <w:bottom w:val="single" w:sz="12" w:space="0" w:color="auto"/>
            </w:tcBorders>
          </w:tcPr>
          <w:p w14:paraId="432E29E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Borders>
              <w:bottom w:val="single" w:sz="12" w:space="0" w:color="auto"/>
            </w:tcBorders>
          </w:tcPr>
          <w:p w14:paraId="5D0AED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Переохлаждение моторов на планировании.</w:t>
            </w:r>
          </w:p>
        </w:tc>
      </w:tr>
    </w:tbl>
    <w:p w14:paraId="670AEC2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91342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2 полугодия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6840"/>
      </w:tblGrid>
      <w:tr w:rsidR="00983732" w:rsidRPr="00A3026E" w14:paraId="606E614B" w14:textId="77777777" w:rsidTr="00EA0DA7">
        <w:tc>
          <w:tcPr>
            <w:tcW w:w="3798" w:type="dxa"/>
            <w:tcBorders>
              <w:top w:val="single" w:sz="12" w:space="0" w:color="auto"/>
            </w:tcBorders>
          </w:tcPr>
          <w:p w14:paraId="62F3C53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6840" w:type="dxa"/>
            <w:tcBorders>
              <w:top w:val="single" w:sz="12" w:space="0" w:color="auto"/>
            </w:tcBorders>
          </w:tcPr>
          <w:p w14:paraId="3CE2B6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r>
      <w:tr w:rsidR="00983732" w:rsidRPr="00A3026E" w14:paraId="5A2A5CF1" w14:textId="77777777" w:rsidTr="00EA0DA7">
        <w:tc>
          <w:tcPr>
            <w:tcW w:w="3798" w:type="dxa"/>
          </w:tcPr>
          <w:p w14:paraId="059754E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6840" w:type="dxa"/>
          </w:tcPr>
          <w:p w14:paraId="19A1403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8000/10000</w:t>
            </w:r>
          </w:p>
        </w:tc>
      </w:tr>
      <w:tr w:rsidR="00983732" w:rsidRPr="00A3026E" w14:paraId="058DD559" w14:textId="77777777" w:rsidTr="00EA0DA7">
        <w:tc>
          <w:tcPr>
            <w:tcW w:w="3798" w:type="dxa"/>
          </w:tcPr>
          <w:p w14:paraId="263C824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6840" w:type="dxa"/>
          </w:tcPr>
          <w:p w14:paraId="7A5E0FB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1137FEE" w14:textId="77777777" w:rsidTr="00EA0DA7">
        <w:tc>
          <w:tcPr>
            <w:tcW w:w="3798" w:type="dxa"/>
          </w:tcPr>
          <w:p w14:paraId="2D3E602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6840" w:type="dxa"/>
          </w:tcPr>
          <w:p w14:paraId="4CFC2B3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345</w:t>
            </w:r>
          </w:p>
        </w:tc>
      </w:tr>
      <w:tr w:rsidR="00983732" w:rsidRPr="00A3026E" w14:paraId="158DC965" w14:textId="77777777" w:rsidTr="00EA0DA7">
        <w:tc>
          <w:tcPr>
            <w:tcW w:w="3798" w:type="dxa"/>
          </w:tcPr>
          <w:p w14:paraId="641F8CD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6840" w:type="dxa"/>
          </w:tcPr>
          <w:p w14:paraId="296B54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429/6800</w:t>
            </w:r>
          </w:p>
        </w:tc>
      </w:tr>
      <w:tr w:rsidR="00983732" w:rsidRPr="00A3026E" w14:paraId="3476106A" w14:textId="77777777" w:rsidTr="00EA0DA7">
        <w:tc>
          <w:tcPr>
            <w:tcW w:w="3798" w:type="dxa"/>
          </w:tcPr>
          <w:p w14:paraId="7B73DCB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0" w:type="dxa"/>
          </w:tcPr>
          <w:p w14:paraId="26E82F9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127B3D0E" w14:textId="77777777" w:rsidTr="00EA0DA7">
        <w:tc>
          <w:tcPr>
            <w:tcW w:w="3798" w:type="dxa"/>
          </w:tcPr>
          <w:p w14:paraId="30608F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0" w:type="dxa"/>
          </w:tcPr>
          <w:p w14:paraId="03709E7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r>
      <w:tr w:rsidR="00983732" w:rsidRPr="00A3026E" w14:paraId="347A7C61" w14:textId="77777777" w:rsidTr="00EA0DA7">
        <w:tc>
          <w:tcPr>
            <w:tcW w:w="3798" w:type="dxa"/>
          </w:tcPr>
          <w:p w14:paraId="1CE1FA0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6840" w:type="dxa"/>
          </w:tcPr>
          <w:p w14:paraId="2442DF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2540</w:t>
            </w:r>
          </w:p>
        </w:tc>
      </w:tr>
      <w:tr w:rsidR="00983732" w:rsidRPr="00A3026E" w14:paraId="7AB9B9B3" w14:textId="77777777" w:rsidTr="00EA0DA7">
        <w:tc>
          <w:tcPr>
            <w:tcW w:w="3798" w:type="dxa"/>
          </w:tcPr>
          <w:p w14:paraId="5A02539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6840" w:type="dxa"/>
          </w:tcPr>
          <w:p w14:paraId="264D336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1000/2500</w:t>
            </w:r>
          </w:p>
        </w:tc>
      </w:tr>
      <w:tr w:rsidR="00983732" w:rsidRPr="00A3026E" w14:paraId="44306FBA" w14:textId="77777777" w:rsidTr="00EA0DA7">
        <w:tc>
          <w:tcPr>
            <w:tcW w:w="3798" w:type="dxa"/>
          </w:tcPr>
          <w:p w14:paraId="42160C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6840" w:type="dxa"/>
          </w:tcPr>
          <w:p w14:paraId="62ED49A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AB2E792" w14:textId="77777777" w:rsidTr="00EA0DA7">
        <w:tc>
          <w:tcPr>
            <w:tcW w:w="3798" w:type="dxa"/>
            <w:tcBorders>
              <w:bottom w:val="single" w:sz="12" w:space="0" w:color="auto"/>
            </w:tcBorders>
          </w:tcPr>
          <w:p w14:paraId="113B126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6840" w:type="dxa"/>
            <w:tcBorders>
              <w:bottom w:val="single" w:sz="12" w:space="0" w:color="auto"/>
            </w:tcBorders>
          </w:tcPr>
          <w:p w14:paraId="223DDF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7C6A91D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1F6AFCF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67676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года зам. начальника 7 гл. управления Шишкин писал письмо N 23/2188 Вознесенскому.</w:t>
      </w:r>
    </w:p>
    <w:p w14:paraId="69B87A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Сообщаю основные данные самолетов ДИС-200, ББ-22, находящихся в проектировании и постройке и самолетов И-200, И-26, прошедших государственные испытания:</w:t>
      </w:r>
    </w:p>
    <w:p w14:paraId="65490C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Одноместный истребитель сопровождения ДИС-200</w:t>
      </w:r>
    </w:p>
    <w:p w14:paraId="3E7B4A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двумя моторами Ам-37</w:t>
      </w:r>
    </w:p>
    <w:p w14:paraId="1AE579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N 1 - конструкторы Микоян, Гуревич</w:t>
      </w:r>
    </w:p>
    <w:p w14:paraId="706D20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 эскизному проекту: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6840"/>
      </w:tblGrid>
      <w:tr w:rsidR="00983732" w:rsidRPr="00A3026E" w14:paraId="2A3FD827" w14:textId="77777777" w:rsidTr="00EA0DA7">
        <w:tc>
          <w:tcPr>
            <w:tcW w:w="3798" w:type="dxa"/>
            <w:tcBorders>
              <w:top w:val="single" w:sz="12" w:space="0" w:color="auto"/>
            </w:tcBorders>
          </w:tcPr>
          <w:p w14:paraId="257D03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w:t>
            </w:r>
          </w:p>
        </w:tc>
        <w:tc>
          <w:tcPr>
            <w:tcW w:w="6840" w:type="dxa"/>
            <w:tcBorders>
              <w:top w:val="single" w:sz="12" w:space="0" w:color="auto"/>
            </w:tcBorders>
          </w:tcPr>
          <w:p w14:paraId="47EB559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AE77705" w14:textId="77777777" w:rsidTr="00EA0DA7">
        <w:tc>
          <w:tcPr>
            <w:tcW w:w="3798" w:type="dxa"/>
          </w:tcPr>
          <w:p w14:paraId="6E5416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7300 м</w:t>
            </w:r>
          </w:p>
        </w:tc>
        <w:tc>
          <w:tcPr>
            <w:tcW w:w="6840" w:type="dxa"/>
          </w:tcPr>
          <w:p w14:paraId="2AF102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635 км/час</w:t>
            </w:r>
          </w:p>
        </w:tc>
      </w:tr>
      <w:tr w:rsidR="00983732" w:rsidRPr="00A3026E" w14:paraId="5E3EBD54" w14:textId="77777777" w:rsidTr="00EA0DA7">
        <w:tc>
          <w:tcPr>
            <w:tcW w:w="3798" w:type="dxa"/>
          </w:tcPr>
          <w:p w14:paraId="1CCDE8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0" w:type="dxa"/>
          </w:tcPr>
          <w:p w14:paraId="226380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 км/час</w:t>
            </w:r>
          </w:p>
        </w:tc>
      </w:tr>
      <w:tr w:rsidR="00983732" w:rsidRPr="00A3026E" w14:paraId="722EAB4A" w14:textId="77777777" w:rsidTr="00EA0DA7">
        <w:tc>
          <w:tcPr>
            <w:tcW w:w="3798" w:type="dxa"/>
          </w:tcPr>
          <w:p w14:paraId="27F21C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0,8</w:t>
            </w:r>
          </w:p>
        </w:tc>
        <w:tc>
          <w:tcPr>
            <w:tcW w:w="6840" w:type="dxa"/>
          </w:tcPr>
          <w:p w14:paraId="0E47C3C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C5C07AF" w14:textId="77777777" w:rsidTr="00EA0DA7">
        <w:tc>
          <w:tcPr>
            <w:tcW w:w="3798" w:type="dxa"/>
          </w:tcPr>
          <w:p w14:paraId="036E3B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максимальной скорости</w:t>
            </w:r>
          </w:p>
        </w:tc>
        <w:tc>
          <w:tcPr>
            <w:tcW w:w="6840" w:type="dxa"/>
          </w:tcPr>
          <w:p w14:paraId="36F5521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64A580B" w14:textId="77777777" w:rsidTr="00EA0DA7">
        <w:tc>
          <w:tcPr>
            <w:tcW w:w="3798" w:type="dxa"/>
          </w:tcPr>
          <w:p w14:paraId="719FCD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нормальная</w:t>
            </w:r>
          </w:p>
        </w:tc>
        <w:tc>
          <w:tcPr>
            <w:tcW w:w="6840" w:type="dxa"/>
          </w:tcPr>
          <w:p w14:paraId="1A8909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1460 км/час</w:t>
            </w:r>
          </w:p>
        </w:tc>
      </w:tr>
      <w:tr w:rsidR="00983732" w:rsidRPr="00A3026E" w14:paraId="4EE72C84" w14:textId="77777777" w:rsidTr="00EA0DA7">
        <w:tc>
          <w:tcPr>
            <w:tcW w:w="3798" w:type="dxa"/>
          </w:tcPr>
          <w:p w14:paraId="3D204B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перегрузкой</w:t>
            </w:r>
          </w:p>
        </w:tc>
        <w:tc>
          <w:tcPr>
            <w:tcW w:w="6840" w:type="dxa"/>
          </w:tcPr>
          <w:p w14:paraId="1AFF4A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2280 км/час</w:t>
            </w:r>
          </w:p>
        </w:tc>
      </w:tr>
      <w:tr w:rsidR="00983732" w:rsidRPr="00A3026E" w14:paraId="71CB986A" w14:textId="77777777" w:rsidTr="00EA0DA7">
        <w:tc>
          <w:tcPr>
            <w:tcW w:w="3798" w:type="dxa"/>
          </w:tcPr>
          <w:p w14:paraId="15A39A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6840" w:type="dxa"/>
          </w:tcPr>
          <w:p w14:paraId="407C0B5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987EF3D" w14:textId="77777777" w:rsidTr="00EA0DA7">
        <w:tc>
          <w:tcPr>
            <w:tcW w:w="3798" w:type="dxa"/>
          </w:tcPr>
          <w:p w14:paraId="2AA300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 м</w:t>
            </w:r>
          </w:p>
        </w:tc>
        <w:tc>
          <w:tcPr>
            <w:tcW w:w="6840" w:type="dxa"/>
          </w:tcPr>
          <w:p w14:paraId="4A64D6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 мин.</w:t>
            </w:r>
          </w:p>
        </w:tc>
      </w:tr>
      <w:tr w:rsidR="00983732" w:rsidRPr="00A3026E" w14:paraId="771EDB82" w14:textId="77777777" w:rsidTr="00EA0DA7">
        <w:tc>
          <w:tcPr>
            <w:tcW w:w="3798" w:type="dxa"/>
          </w:tcPr>
          <w:p w14:paraId="0EF1AE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0" w:type="dxa"/>
          </w:tcPr>
          <w:p w14:paraId="68D2B9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10900 м</w:t>
            </w:r>
          </w:p>
        </w:tc>
      </w:tr>
      <w:tr w:rsidR="00983732" w:rsidRPr="00A3026E" w14:paraId="71618A4B" w14:textId="77777777" w:rsidTr="00EA0DA7">
        <w:tc>
          <w:tcPr>
            <w:tcW w:w="3798" w:type="dxa"/>
          </w:tcPr>
          <w:p w14:paraId="75D814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6840" w:type="dxa"/>
          </w:tcPr>
          <w:p w14:paraId="7D98FE5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F8EF5E9" w14:textId="77777777" w:rsidTr="00EA0DA7">
        <w:tc>
          <w:tcPr>
            <w:tcW w:w="3798" w:type="dxa"/>
          </w:tcPr>
          <w:p w14:paraId="46035ED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Pr>
          <w:p w14:paraId="0A5A91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4 Шкас с запасом</w:t>
            </w:r>
          </w:p>
        </w:tc>
      </w:tr>
      <w:tr w:rsidR="00983732" w:rsidRPr="00A3026E" w14:paraId="7F2C8695" w14:textId="77777777" w:rsidTr="00EA0DA7">
        <w:tc>
          <w:tcPr>
            <w:tcW w:w="3798" w:type="dxa"/>
          </w:tcPr>
          <w:p w14:paraId="3A7CD91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Pr>
          <w:p w14:paraId="62A215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 по 1500 штук на</w:t>
            </w:r>
          </w:p>
        </w:tc>
      </w:tr>
      <w:tr w:rsidR="00983732" w:rsidRPr="00A3026E" w14:paraId="72DC1207" w14:textId="77777777" w:rsidTr="00EA0DA7">
        <w:tc>
          <w:tcPr>
            <w:tcW w:w="3798" w:type="dxa"/>
          </w:tcPr>
          <w:p w14:paraId="6A340C2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Pr>
          <w:p w14:paraId="69C2D7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каждый.</w:t>
            </w:r>
          </w:p>
        </w:tc>
      </w:tr>
      <w:tr w:rsidR="00983732" w:rsidRPr="00A3026E" w14:paraId="25975520" w14:textId="77777777" w:rsidTr="00EA0DA7">
        <w:tc>
          <w:tcPr>
            <w:tcW w:w="3798" w:type="dxa"/>
          </w:tcPr>
          <w:p w14:paraId="7FAC8D9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Pr>
          <w:p w14:paraId="19C13E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БС с запасом патрон</w:t>
            </w:r>
          </w:p>
        </w:tc>
      </w:tr>
      <w:tr w:rsidR="00983732" w:rsidRPr="00A3026E" w14:paraId="4CDB0CD0" w14:textId="77777777" w:rsidTr="00EA0DA7">
        <w:tc>
          <w:tcPr>
            <w:tcW w:w="3798" w:type="dxa"/>
          </w:tcPr>
          <w:p w14:paraId="39A9765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Pr>
          <w:p w14:paraId="352E50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600 штук.</w:t>
            </w:r>
          </w:p>
        </w:tc>
      </w:tr>
      <w:tr w:rsidR="00983732" w:rsidRPr="00A3026E" w14:paraId="0C0CA44B" w14:textId="77777777" w:rsidTr="00EA0DA7">
        <w:tc>
          <w:tcPr>
            <w:tcW w:w="3798" w:type="dxa"/>
          </w:tcPr>
          <w:p w14:paraId="0A87785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Pr>
          <w:p w14:paraId="0A2016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 Волкова и Ярцева</w:t>
            </w:r>
          </w:p>
        </w:tc>
      </w:tr>
      <w:tr w:rsidR="00983732" w:rsidRPr="00A3026E" w14:paraId="6D76BEBB" w14:textId="77777777" w:rsidTr="00EA0DA7">
        <w:tc>
          <w:tcPr>
            <w:tcW w:w="3798" w:type="dxa"/>
          </w:tcPr>
          <w:p w14:paraId="5C0778A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Pr>
          <w:p w14:paraId="25ACB3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запасом снарядов 300 шт.</w:t>
            </w:r>
          </w:p>
        </w:tc>
      </w:tr>
      <w:tr w:rsidR="00983732" w:rsidRPr="00A3026E" w14:paraId="3C3A7C49" w14:textId="77777777" w:rsidTr="00EA0DA7">
        <w:tc>
          <w:tcPr>
            <w:tcW w:w="3798" w:type="dxa"/>
          </w:tcPr>
          <w:p w14:paraId="7F7FEA9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Pr>
          <w:p w14:paraId="6956A6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или:</w:t>
            </w:r>
          </w:p>
        </w:tc>
      </w:tr>
      <w:tr w:rsidR="00983732" w:rsidRPr="00A3026E" w14:paraId="6992F6E4" w14:textId="77777777" w:rsidTr="00EA0DA7">
        <w:tc>
          <w:tcPr>
            <w:tcW w:w="3798" w:type="dxa"/>
            <w:tcBorders>
              <w:bottom w:val="single" w:sz="12" w:space="0" w:color="auto"/>
            </w:tcBorders>
          </w:tcPr>
          <w:p w14:paraId="2ABEBF3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Borders>
              <w:bottom w:val="single" w:sz="12" w:space="0" w:color="auto"/>
            </w:tcBorders>
          </w:tcPr>
          <w:p w14:paraId="72BA21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4 БС и 1 пушка.</w:t>
            </w:r>
          </w:p>
        </w:tc>
      </w:tr>
    </w:tbl>
    <w:p w14:paraId="46167C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Пушка с лафетом может быть легко снята и заменена ФАБ-1000, сбрасываемой с пикирования или одной торпедой весом 1000 кг.</w:t>
      </w:r>
    </w:p>
    <w:p w14:paraId="67BC5E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Предусмотрена возможность постановки двух РО-82 для защиты задней полусферы.</w:t>
      </w:r>
    </w:p>
    <w:p w14:paraId="408D36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Одноместный истребитель сопровождения ББ22-ДИС</w:t>
      </w:r>
    </w:p>
    <w:p w14:paraId="0460C7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двумя моторами М-105.</w:t>
      </w:r>
    </w:p>
    <w:p w14:paraId="0FD26D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N 115 - конструктор Яковлев.</w:t>
      </w:r>
    </w:p>
    <w:p w14:paraId="16C7D4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Предварительные летные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6840"/>
      </w:tblGrid>
      <w:tr w:rsidR="00983732" w:rsidRPr="00A3026E" w14:paraId="061A7B9E" w14:textId="77777777" w:rsidTr="00EA0DA7">
        <w:tc>
          <w:tcPr>
            <w:tcW w:w="3798" w:type="dxa"/>
            <w:tcBorders>
              <w:top w:val="single" w:sz="12" w:space="0" w:color="auto"/>
            </w:tcBorders>
          </w:tcPr>
          <w:p w14:paraId="0B39D0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максимальная на</w:t>
            </w:r>
          </w:p>
        </w:tc>
        <w:tc>
          <w:tcPr>
            <w:tcW w:w="6840" w:type="dxa"/>
            <w:tcBorders>
              <w:top w:val="single" w:sz="12" w:space="0" w:color="auto"/>
            </w:tcBorders>
          </w:tcPr>
          <w:p w14:paraId="44081BA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DF6A179" w14:textId="77777777" w:rsidTr="00EA0DA7">
        <w:tc>
          <w:tcPr>
            <w:tcW w:w="3798" w:type="dxa"/>
          </w:tcPr>
          <w:p w14:paraId="4104FF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высоте 5000 м</w:t>
            </w:r>
          </w:p>
        </w:tc>
        <w:tc>
          <w:tcPr>
            <w:tcW w:w="6840" w:type="dxa"/>
          </w:tcPr>
          <w:p w14:paraId="77CF12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570 км/час</w:t>
            </w:r>
          </w:p>
        </w:tc>
      </w:tr>
      <w:tr w:rsidR="00983732" w:rsidRPr="00A3026E" w14:paraId="124570AF" w14:textId="77777777" w:rsidTr="00EA0DA7">
        <w:tc>
          <w:tcPr>
            <w:tcW w:w="3798" w:type="dxa"/>
          </w:tcPr>
          <w:p w14:paraId="599D8E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у</w:t>
            </w:r>
          </w:p>
        </w:tc>
        <w:tc>
          <w:tcPr>
            <w:tcW w:w="6840" w:type="dxa"/>
          </w:tcPr>
          <w:p w14:paraId="0C82D58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5BFF62C" w14:textId="77777777" w:rsidTr="00EA0DA7">
        <w:tc>
          <w:tcPr>
            <w:tcW w:w="3798" w:type="dxa"/>
          </w:tcPr>
          <w:p w14:paraId="0D00B3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земли</w:t>
            </w:r>
          </w:p>
        </w:tc>
        <w:tc>
          <w:tcPr>
            <w:tcW w:w="6840" w:type="dxa"/>
          </w:tcPr>
          <w:p w14:paraId="6EF706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470 км/час</w:t>
            </w:r>
          </w:p>
        </w:tc>
      </w:tr>
      <w:tr w:rsidR="00983732" w:rsidRPr="00A3026E" w14:paraId="62E264A9" w14:textId="77777777" w:rsidTr="00EA0DA7">
        <w:tc>
          <w:tcPr>
            <w:tcW w:w="3798" w:type="dxa"/>
          </w:tcPr>
          <w:p w14:paraId="0053C2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0" w:type="dxa"/>
          </w:tcPr>
          <w:p w14:paraId="2847BB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 км/час</w:t>
            </w:r>
          </w:p>
        </w:tc>
      </w:tr>
      <w:tr w:rsidR="00983732" w:rsidRPr="00A3026E" w14:paraId="374BA391" w14:textId="77777777" w:rsidTr="00EA0DA7">
        <w:tc>
          <w:tcPr>
            <w:tcW w:w="3798" w:type="dxa"/>
          </w:tcPr>
          <w:p w14:paraId="223C8B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0,8</w:t>
            </w:r>
          </w:p>
        </w:tc>
        <w:tc>
          <w:tcPr>
            <w:tcW w:w="6840" w:type="dxa"/>
          </w:tcPr>
          <w:p w14:paraId="07CBFA3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162835B" w14:textId="77777777" w:rsidTr="00EA0DA7">
        <w:tc>
          <w:tcPr>
            <w:tcW w:w="3798" w:type="dxa"/>
          </w:tcPr>
          <w:p w14:paraId="6BCECE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максимальной скорости на</w:t>
            </w:r>
          </w:p>
        </w:tc>
        <w:tc>
          <w:tcPr>
            <w:tcW w:w="6840" w:type="dxa"/>
          </w:tcPr>
          <w:p w14:paraId="77CF93B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E72867E" w14:textId="77777777" w:rsidTr="00EA0DA7">
        <w:tc>
          <w:tcPr>
            <w:tcW w:w="3798" w:type="dxa"/>
          </w:tcPr>
          <w:p w14:paraId="6B563C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высоте 5000 м</w:t>
            </w:r>
          </w:p>
        </w:tc>
        <w:tc>
          <w:tcPr>
            <w:tcW w:w="6840" w:type="dxa"/>
          </w:tcPr>
          <w:p w14:paraId="666D69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1850 км</w:t>
            </w:r>
          </w:p>
        </w:tc>
      </w:tr>
      <w:tr w:rsidR="00983732" w:rsidRPr="00A3026E" w14:paraId="63D1A93C" w14:textId="77777777" w:rsidTr="00EA0DA7">
        <w:tc>
          <w:tcPr>
            <w:tcW w:w="3798" w:type="dxa"/>
          </w:tcPr>
          <w:p w14:paraId="5A9E47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6840" w:type="dxa"/>
          </w:tcPr>
          <w:p w14:paraId="053BD7C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1EDAE83" w14:textId="77777777" w:rsidTr="00EA0DA7">
        <w:tc>
          <w:tcPr>
            <w:tcW w:w="3798" w:type="dxa"/>
          </w:tcPr>
          <w:p w14:paraId="7D5648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 м</w:t>
            </w:r>
          </w:p>
        </w:tc>
        <w:tc>
          <w:tcPr>
            <w:tcW w:w="6840" w:type="dxa"/>
          </w:tcPr>
          <w:p w14:paraId="722CF6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 мин.</w:t>
            </w:r>
          </w:p>
        </w:tc>
      </w:tr>
      <w:tr w:rsidR="00983732" w:rsidRPr="00A3026E" w14:paraId="094CA73D" w14:textId="77777777" w:rsidTr="00EA0DA7">
        <w:tc>
          <w:tcPr>
            <w:tcW w:w="3798" w:type="dxa"/>
          </w:tcPr>
          <w:p w14:paraId="564CA3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0" w:type="dxa"/>
          </w:tcPr>
          <w:p w14:paraId="5517B3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 м</w:t>
            </w:r>
          </w:p>
        </w:tc>
      </w:tr>
      <w:tr w:rsidR="00983732" w:rsidRPr="00A3026E" w14:paraId="4EBAD1CE" w14:textId="77777777" w:rsidTr="00EA0DA7">
        <w:tc>
          <w:tcPr>
            <w:tcW w:w="3798" w:type="dxa"/>
          </w:tcPr>
          <w:p w14:paraId="5CB87B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6840" w:type="dxa"/>
          </w:tcPr>
          <w:p w14:paraId="2C72E4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пушки Швак 20 мм с запасом</w:t>
            </w:r>
          </w:p>
        </w:tc>
      </w:tr>
      <w:tr w:rsidR="00983732" w:rsidRPr="00A3026E" w14:paraId="258CD16C" w14:textId="77777777" w:rsidTr="00EA0DA7">
        <w:tc>
          <w:tcPr>
            <w:tcW w:w="3798" w:type="dxa"/>
          </w:tcPr>
          <w:p w14:paraId="700F9E5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Pr>
          <w:p w14:paraId="2239FC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 по 300 штук.</w:t>
            </w:r>
          </w:p>
        </w:tc>
      </w:tr>
      <w:tr w:rsidR="00983732" w:rsidRPr="00A3026E" w14:paraId="6AF3C555" w14:textId="77777777" w:rsidTr="00EA0DA7">
        <w:tc>
          <w:tcPr>
            <w:tcW w:w="3798" w:type="dxa"/>
          </w:tcPr>
          <w:p w14:paraId="264AEC1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Pr>
          <w:p w14:paraId="2350B9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пулемета Шкас с запасом патрон</w:t>
            </w:r>
          </w:p>
        </w:tc>
      </w:tr>
      <w:tr w:rsidR="00983732" w:rsidRPr="00A3026E" w14:paraId="5443D5E8" w14:textId="77777777" w:rsidTr="00EA0DA7">
        <w:tc>
          <w:tcPr>
            <w:tcW w:w="3798" w:type="dxa"/>
            <w:tcBorders>
              <w:bottom w:val="single" w:sz="12" w:space="0" w:color="auto"/>
            </w:tcBorders>
          </w:tcPr>
          <w:p w14:paraId="24E6370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Borders>
              <w:bottom w:val="single" w:sz="12" w:space="0" w:color="auto"/>
            </w:tcBorders>
          </w:tcPr>
          <w:p w14:paraId="2ED8F5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1500 шт.</w:t>
            </w:r>
          </w:p>
        </w:tc>
      </w:tr>
    </w:tbl>
    <w:p w14:paraId="497215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Истребитель И-200 с мотором АМ-35.</w:t>
      </w:r>
    </w:p>
    <w:p w14:paraId="38ADB3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N 1 - конструкторы Микоян, Гуревич.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6840"/>
      </w:tblGrid>
      <w:tr w:rsidR="00983732" w:rsidRPr="00A3026E" w14:paraId="06A5C41F" w14:textId="77777777" w:rsidTr="00EA0DA7">
        <w:tc>
          <w:tcPr>
            <w:tcW w:w="3798" w:type="dxa"/>
            <w:tcBorders>
              <w:top w:val="single" w:sz="12" w:space="0" w:color="auto"/>
            </w:tcBorders>
          </w:tcPr>
          <w:p w14:paraId="7AC802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максимальная на</w:t>
            </w:r>
          </w:p>
        </w:tc>
        <w:tc>
          <w:tcPr>
            <w:tcW w:w="6840" w:type="dxa"/>
            <w:tcBorders>
              <w:top w:val="single" w:sz="12" w:space="0" w:color="auto"/>
            </w:tcBorders>
          </w:tcPr>
          <w:p w14:paraId="6619CBA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B5C9770" w14:textId="77777777" w:rsidTr="00EA0DA7">
        <w:tc>
          <w:tcPr>
            <w:tcW w:w="3798" w:type="dxa"/>
          </w:tcPr>
          <w:p w14:paraId="20618A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высоте 7200 м</w:t>
            </w:r>
          </w:p>
        </w:tc>
        <w:tc>
          <w:tcPr>
            <w:tcW w:w="6840" w:type="dxa"/>
          </w:tcPr>
          <w:p w14:paraId="590DA4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 км/час</w:t>
            </w:r>
          </w:p>
        </w:tc>
      </w:tr>
      <w:tr w:rsidR="00983732" w:rsidRPr="00A3026E" w14:paraId="6CE9578F" w14:textId="77777777" w:rsidTr="00EA0DA7">
        <w:tc>
          <w:tcPr>
            <w:tcW w:w="3798" w:type="dxa"/>
          </w:tcPr>
          <w:p w14:paraId="2A2A8D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0" w:type="dxa"/>
          </w:tcPr>
          <w:p w14:paraId="3D7FDA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 км/час</w:t>
            </w:r>
          </w:p>
        </w:tc>
      </w:tr>
      <w:tr w:rsidR="00983732" w:rsidRPr="00A3026E" w14:paraId="2EF66E64" w14:textId="77777777" w:rsidTr="00EA0DA7">
        <w:tc>
          <w:tcPr>
            <w:tcW w:w="3798" w:type="dxa"/>
          </w:tcPr>
          <w:p w14:paraId="4ED0FC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0,9</w:t>
            </w:r>
          </w:p>
        </w:tc>
        <w:tc>
          <w:tcPr>
            <w:tcW w:w="6840" w:type="dxa"/>
          </w:tcPr>
          <w:p w14:paraId="4264C56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83B6FC2" w14:textId="77777777" w:rsidTr="00EA0DA7">
        <w:tc>
          <w:tcPr>
            <w:tcW w:w="3798" w:type="dxa"/>
          </w:tcPr>
          <w:p w14:paraId="3EF5C7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максимальной скорости</w:t>
            </w:r>
          </w:p>
        </w:tc>
        <w:tc>
          <w:tcPr>
            <w:tcW w:w="6840" w:type="dxa"/>
          </w:tcPr>
          <w:p w14:paraId="760566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 км</w:t>
            </w:r>
          </w:p>
        </w:tc>
      </w:tr>
      <w:tr w:rsidR="00983732" w:rsidRPr="00A3026E" w14:paraId="70FB53F1" w14:textId="77777777" w:rsidTr="00EA0DA7">
        <w:tc>
          <w:tcPr>
            <w:tcW w:w="3798" w:type="dxa"/>
          </w:tcPr>
          <w:p w14:paraId="2B3B45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6840" w:type="dxa"/>
          </w:tcPr>
          <w:p w14:paraId="1BD90E0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EF13184" w14:textId="77777777" w:rsidTr="00EA0DA7">
        <w:tc>
          <w:tcPr>
            <w:tcW w:w="3798" w:type="dxa"/>
          </w:tcPr>
          <w:p w14:paraId="74D02F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 м</w:t>
            </w:r>
          </w:p>
        </w:tc>
        <w:tc>
          <w:tcPr>
            <w:tcW w:w="6840" w:type="dxa"/>
          </w:tcPr>
          <w:p w14:paraId="71CE35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8,57 мин.</w:t>
            </w:r>
          </w:p>
        </w:tc>
      </w:tr>
      <w:tr w:rsidR="00983732" w:rsidRPr="00A3026E" w14:paraId="59055B6D" w14:textId="77777777" w:rsidTr="00EA0DA7">
        <w:tc>
          <w:tcPr>
            <w:tcW w:w="3798" w:type="dxa"/>
          </w:tcPr>
          <w:p w14:paraId="560546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0" w:type="dxa"/>
          </w:tcPr>
          <w:p w14:paraId="237EF8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 м</w:t>
            </w:r>
          </w:p>
        </w:tc>
      </w:tr>
      <w:tr w:rsidR="00983732" w:rsidRPr="00A3026E" w14:paraId="623790B6" w14:textId="77777777" w:rsidTr="00EA0DA7">
        <w:tc>
          <w:tcPr>
            <w:tcW w:w="3798" w:type="dxa"/>
          </w:tcPr>
          <w:p w14:paraId="3D9151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6840" w:type="dxa"/>
          </w:tcPr>
          <w:p w14:paraId="0AF7DF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 с запасом патрон 300 шт.</w:t>
            </w:r>
          </w:p>
        </w:tc>
      </w:tr>
      <w:tr w:rsidR="00983732" w:rsidRPr="00A3026E" w14:paraId="15762DA6" w14:textId="77777777" w:rsidTr="00EA0DA7">
        <w:tc>
          <w:tcPr>
            <w:tcW w:w="3798" w:type="dxa"/>
          </w:tcPr>
          <w:p w14:paraId="08B777E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Pr>
          <w:p w14:paraId="017F8D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 с запасом патрон по 1200 шт.</w:t>
            </w:r>
          </w:p>
        </w:tc>
      </w:tr>
      <w:tr w:rsidR="00983732" w:rsidRPr="00A3026E" w14:paraId="6EFD7729" w14:textId="77777777" w:rsidTr="00EA0DA7">
        <w:tc>
          <w:tcPr>
            <w:tcW w:w="3798" w:type="dxa"/>
          </w:tcPr>
          <w:p w14:paraId="71C208E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Pr>
          <w:p w14:paraId="3BDB81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 - 220 кг в</w:t>
            </w:r>
          </w:p>
        </w:tc>
      </w:tr>
      <w:tr w:rsidR="00983732" w:rsidRPr="00A3026E" w14:paraId="1BE6A786" w14:textId="77777777" w:rsidTr="00EA0DA7">
        <w:tc>
          <w:tcPr>
            <w:tcW w:w="3798" w:type="dxa"/>
          </w:tcPr>
          <w:p w14:paraId="0CD1659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Pr>
          <w:p w14:paraId="583247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перегрузочном варианте или 2 шт.</w:t>
            </w:r>
          </w:p>
        </w:tc>
      </w:tr>
      <w:tr w:rsidR="00983732" w:rsidRPr="00A3026E" w14:paraId="4CEB5C52" w14:textId="77777777" w:rsidTr="00EA0DA7">
        <w:tc>
          <w:tcPr>
            <w:tcW w:w="3798" w:type="dxa"/>
            <w:tcBorders>
              <w:bottom w:val="single" w:sz="12" w:space="0" w:color="auto"/>
            </w:tcBorders>
          </w:tcPr>
          <w:p w14:paraId="7AB582E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Borders>
              <w:bottom w:val="single" w:sz="12" w:space="0" w:color="auto"/>
            </w:tcBorders>
          </w:tcPr>
          <w:p w14:paraId="206B3C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ВАП-6.</w:t>
            </w:r>
          </w:p>
        </w:tc>
      </w:tr>
    </w:tbl>
    <w:p w14:paraId="7C4185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 результатам государственных испытаний.</w:t>
      </w:r>
    </w:p>
    <w:p w14:paraId="78BD15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Истребитель И-26 с мотором М-105П.</w:t>
      </w:r>
    </w:p>
    <w:p w14:paraId="08FBD3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N 115 - конструктор Яковлев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6840"/>
      </w:tblGrid>
      <w:tr w:rsidR="00983732" w:rsidRPr="00A3026E" w14:paraId="02012C39" w14:textId="77777777" w:rsidTr="00EA0DA7">
        <w:tc>
          <w:tcPr>
            <w:tcW w:w="3798" w:type="dxa"/>
            <w:tcBorders>
              <w:top w:val="single" w:sz="12" w:space="0" w:color="auto"/>
            </w:tcBorders>
          </w:tcPr>
          <w:p w14:paraId="3FEC47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w:t>
            </w:r>
          </w:p>
        </w:tc>
        <w:tc>
          <w:tcPr>
            <w:tcW w:w="6840" w:type="dxa"/>
            <w:tcBorders>
              <w:top w:val="single" w:sz="12" w:space="0" w:color="auto"/>
            </w:tcBorders>
          </w:tcPr>
          <w:p w14:paraId="66811B4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F1A3ED1" w14:textId="77777777" w:rsidTr="00EA0DA7">
        <w:tc>
          <w:tcPr>
            <w:tcW w:w="3798" w:type="dxa"/>
          </w:tcPr>
          <w:p w14:paraId="020A32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высоте 4800 м</w:t>
            </w:r>
          </w:p>
        </w:tc>
        <w:tc>
          <w:tcPr>
            <w:tcW w:w="6840" w:type="dxa"/>
          </w:tcPr>
          <w:p w14:paraId="5C449B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585,5 км/час</w:t>
            </w:r>
          </w:p>
        </w:tc>
      </w:tr>
      <w:tr w:rsidR="00983732" w:rsidRPr="00A3026E" w14:paraId="25CA265A" w14:textId="77777777" w:rsidTr="00EA0DA7">
        <w:tc>
          <w:tcPr>
            <w:tcW w:w="3798" w:type="dxa"/>
          </w:tcPr>
          <w:p w14:paraId="3CE8BC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у</w:t>
            </w:r>
          </w:p>
        </w:tc>
        <w:tc>
          <w:tcPr>
            <w:tcW w:w="6840" w:type="dxa"/>
          </w:tcPr>
          <w:p w14:paraId="478DCBA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ADF5145" w14:textId="77777777" w:rsidTr="00EA0DA7">
        <w:tc>
          <w:tcPr>
            <w:tcW w:w="3798" w:type="dxa"/>
          </w:tcPr>
          <w:p w14:paraId="572E01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земли</w:t>
            </w:r>
          </w:p>
        </w:tc>
        <w:tc>
          <w:tcPr>
            <w:tcW w:w="6840" w:type="dxa"/>
          </w:tcPr>
          <w:p w14:paraId="1AE9EA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 км/час</w:t>
            </w:r>
          </w:p>
        </w:tc>
      </w:tr>
      <w:tr w:rsidR="00983732" w:rsidRPr="00A3026E" w14:paraId="06AE8230" w14:textId="77777777" w:rsidTr="00EA0DA7">
        <w:tc>
          <w:tcPr>
            <w:tcW w:w="3798" w:type="dxa"/>
          </w:tcPr>
          <w:p w14:paraId="043D7A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6840" w:type="dxa"/>
          </w:tcPr>
          <w:p w14:paraId="45847C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 км/час</w:t>
            </w:r>
          </w:p>
        </w:tc>
      </w:tr>
      <w:tr w:rsidR="00983732" w:rsidRPr="00A3026E" w14:paraId="5F82DA90" w14:textId="77777777" w:rsidTr="00EA0DA7">
        <w:tc>
          <w:tcPr>
            <w:tcW w:w="3798" w:type="dxa"/>
          </w:tcPr>
          <w:p w14:paraId="6FC520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Дальность на 0,9 </w:t>
            </w:r>
          </w:p>
        </w:tc>
        <w:tc>
          <w:tcPr>
            <w:tcW w:w="6840" w:type="dxa"/>
          </w:tcPr>
          <w:p w14:paraId="7879461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375B011" w14:textId="77777777" w:rsidTr="00EA0DA7">
        <w:tc>
          <w:tcPr>
            <w:tcW w:w="3798" w:type="dxa"/>
          </w:tcPr>
          <w:p w14:paraId="3A07AA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максимальной скорости</w:t>
            </w:r>
          </w:p>
        </w:tc>
        <w:tc>
          <w:tcPr>
            <w:tcW w:w="6840" w:type="dxa"/>
          </w:tcPr>
          <w:p w14:paraId="531338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 км/час</w:t>
            </w:r>
          </w:p>
        </w:tc>
      </w:tr>
      <w:tr w:rsidR="00983732" w:rsidRPr="00A3026E" w14:paraId="46445CD6" w14:textId="77777777" w:rsidTr="00EA0DA7">
        <w:tc>
          <w:tcPr>
            <w:tcW w:w="3798" w:type="dxa"/>
          </w:tcPr>
          <w:p w14:paraId="74F02F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6840" w:type="dxa"/>
          </w:tcPr>
          <w:p w14:paraId="3D4CCC3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5B93277" w14:textId="77777777" w:rsidTr="00EA0DA7">
        <w:tc>
          <w:tcPr>
            <w:tcW w:w="3798" w:type="dxa"/>
          </w:tcPr>
          <w:p w14:paraId="47AA50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 м</w:t>
            </w:r>
          </w:p>
        </w:tc>
        <w:tc>
          <w:tcPr>
            <w:tcW w:w="6840" w:type="dxa"/>
          </w:tcPr>
          <w:p w14:paraId="6BD7ED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мин.</w:t>
            </w:r>
          </w:p>
        </w:tc>
      </w:tr>
      <w:tr w:rsidR="00983732" w:rsidRPr="00A3026E" w14:paraId="3BE71C06" w14:textId="77777777" w:rsidTr="00EA0DA7">
        <w:tc>
          <w:tcPr>
            <w:tcW w:w="3798" w:type="dxa"/>
          </w:tcPr>
          <w:p w14:paraId="3CD1F5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6840" w:type="dxa"/>
          </w:tcPr>
          <w:p w14:paraId="5DD127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10200 м</w:t>
            </w:r>
          </w:p>
        </w:tc>
      </w:tr>
      <w:tr w:rsidR="00983732" w:rsidRPr="00A3026E" w14:paraId="7CAB7EBD" w14:textId="77777777" w:rsidTr="00EA0DA7">
        <w:tc>
          <w:tcPr>
            <w:tcW w:w="3798" w:type="dxa"/>
          </w:tcPr>
          <w:p w14:paraId="2C2AD6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6840" w:type="dxa"/>
          </w:tcPr>
          <w:p w14:paraId="027FD2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Шкас с запасом патрон</w:t>
            </w:r>
          </w:p>
        </w:tc>
      </w:tr>
      <w:tr w:rsidR="00983732" w:rsidRPr="00A3026E" w14:paraId="7138A368" w14:textId="77777777" w:rsidTr="00EA0DA7">
        <w:tc>
          <w:tcPr>
            <w:tcW w:w="3798" w:type="dxa"/>
          </w:tcPr>
          <w:p w14:paraId="5A2A165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Pr>
          <w:p w14:paraId="1BA703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380 шт.</w:t>
            </w:r>
          </w:p>
        </w:tc>
      </w:tr>
      <w:tr w:rsidR="00983732" w:rsidRPr="00A3026E" w14:paraId="191D88F0" w14:textId="77777777" w:rsidTr="00EA0DA7">
        <w:tc>
          <w:tcPr>
            <w:tcW w:w="3798" w:type="dxa"/>
          </w:tcPr>
          <w:p w14:paraId="24E1B57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Pr>
          <w:p w14:paraId="01FB19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 Швак 20 мм с запасом патрон</w:t>
            </w:r>
          </w:p>
        </w:tc>
      </w:tr>
      <w:tr w:rsidR="00983732" w:rsidRPr="00A3026E" w14:paraId="60DD0958" w14:textId="77777777" w:rsidTr="00EA0DA7">
        <w:tc>
          <w:tcPr>
            <w:tcW w:w="3798" w:type="dxa"/>
            <w:tcBorders>
              <w:bottom w:val="single" w:sz="12" w:space="0" w:color="auto"/>
            </w:tcBorders>
          </w:tcPr>
          <w:p w14:paraId="1D1B26C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840" w:type="dxa"/>
            <w:tcBorders>
              <w:bottom w:val="single" w:sz="12" w:space="0" w:color="auto"/>
            </w:tcBorders>
          </w:tcPr>
          <w:p w14:paraId="35AA49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 шт.</w:t>
            </w:r>
          </w:p>
        </w:tc>
      </w:tr>
    </w:tbl>
    <w:p w14:paraId="1ABC5B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 результатам государственных испытаний (2090).</w:t>
      </w:r>
    </w:p>
    <w:p w14:paraId="471696A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89D65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А.И.Ш. подробно писал И.В.С. письмо (N 1343) о выпуске моторов М-81 на 19 заводе. Первые опытные самолеты с моторами должны были выйти на аэродром для летно-заводских 15 ноября (ББ-3) и 1 декабря 1940 (И-185) (1178).</w:t>
      </w:r>
    </w:p>
    <w:p w14:paraId="594F608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536A22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BF7E28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FBB05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года были начаты заводские испытания возкой первого образца 203-мм гаубицы БЛ-39, а стрельбой - 4 ноября (3861).</w:t>
      </w:r>
    </w:p>
    <w:p w14:paraId="24BCB42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65861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 были начаты заводские испытания возкой первого образца БЛ-39, а стрельбой — 4 ноября. На следующий день на 16-м выстреле при стрельбе под углом 72°5′ после выстрела ствол упал до угла +16°, и вышел из строя подъемный механизм. Система была снята с испытаний.</w:t>
      </w:r>
    </w:p>
    <w:p w14:paraId="37AE19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до войсковых испытаний БЛ-39 дело не дошло. Так как ствол БЛ-39 имел ту же крутизну нарезки, что М-40 и У-3, то в декабре 1940 г. маршал Кулик приказал войсковые испытания БЛ-39 не проводить, а изготовить для нее три свободные трубы с крутизной нарезки 25, 30 и 35 клб. Их предполагалось изготовить к 15 января 1941 г. Судя по всему, до апреля 1942 г. новых испытаний БЛ-39 провести не удалось, а в апреле 1942 г. система поступила на Гороховецкий полигон. С 5 мая по 15 июня 1942 г. там были проведены сравнительные полигонно-войсковые испытания 203-мм корпусных гаубиц БЛ-39 и У-3. Из БЛ-39 было сделано 395 выстрелов. Возка велась за трактором «Ворошиловец» со скоростью 20–0 км/час.</w:t>
      </w:r>
    </w:p>
    <w:p w14:paraId="2D15E7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 комиссии по результатам испытаний: 203-мм гаубица БЛ-39 полигонно-войсковых испытаний не выдержала.</w:t>
      </w:r>
    </w:p>
    <w:p w14:paraId="3C7006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недостатки системы:</w:t>
      </w:r>
    </w:p>
    <w:p w14:paraId="30B949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Гаубица слишком тяжела для корпусной артиллерии</w:t>
      </w:r>
    </w:p>
    <w:p w14:paraId="4F46EA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Сложность конструкции ходовых частей и недостаточная проходимость системы.</w:t>
      </w:r>
    </w:p>
    <w:p w14:paraId="6EA219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Неудовлетворительная конструкция ходовой части.</w:t>
      </w:r>
    </w:p>
    <w:p w14:paraId="5BB8B5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 Неудовлетворительная конструкция тормоза отката, который в процессе испытаний вышел из строя.</w:t>
      </w:r>
    </w:p>
    <w:p w14:paraId="581A37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Недостаточная прочность деталей подъемного механизма. По мнению комиссии, доработка БЛ-39 нецелесообразна.</w:t>
      </w:r>
    </w:p>
    <w:p w14:paraId="00D1AE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гаубиц БЛ-39 использовались все штатные снаряды от гаубицы Б-4. При весе снаряда 100 кг начальная скорость составляла 475 м/с, дальность 14 000 м, давление в канале ствола 2253 кг/см2. При весе снаряда 146 кг начальная скорость составляла 355 м/с, а дальность 10 500 м.</w:t>
      </w:r>
    </w:p>
    <w:p w14:paraId="071AB1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Данные гаубицы БЛ-39 </w:t>
      </w:r>
    </w:p>
    <w:p w14:paraId="260EB6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Калибр, мм — 203,4</w:t>
      </w:r>
    </w:p>
    <w:p w14:paraId="1D6BC3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ствола без дульного тормоза, клб — 18,4</w:t>
      </w:r>
    </w:p>
    <w:p w14:paraId="4A32C1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ствола — Свободная труба</w:t>
      </w:r>
    </w:p>
    <w:p w14:paraId="1840E2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нарезной части канала, мм — 2970</w:t>
      </w:r>
    </w:p>
    <w:p w14:paraId="0C40D3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Объем каморы, дм — 13,69</w:t>
      </w:r>
    </w:p>
    <w:p w14:paraId="2DF170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Крутизна нарезов, клб — 20</w:t>
      </w:r>
    </w:p>
    <w:p w14:paraId="22714B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нарезов — 64</w:t>
      </w:r>
    </w:p>
    <w:p w14:paraId="6F58F7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нарезов, мм — 2,0</w:t>
      </w:r>
    </w:p>
    <w:p w14:paraId="431547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нарезов, мм — 6,0</w:t>
      </w:r>
    </w:p>
    <w:p w14:paraId="227442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полей, мм — 3,974</w:t>
      </w:r>
    </w:p>
    <w:p w14:paraId="61265E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Угол ВН, град — 0;+75</w:t>
      </w:r>
    </w:p>
    <w:p w14:paraId="180A89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Угол ГН, град — 50</w:t>
      </w:r>
    </w:p>
    <w:p w14:paraId="674ED8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отката, мм: длинного от 0° до +12° — 1250 (постоянный)</w:t>
      </w:r>
    </w:p>
    <w:p w14:paraId="56D77F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линии огня, мм — 143!</w:t>
      </w:r>
    </w:p>
    <w:p w14:paraId="24472E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окуляра панорамы, мм — 1574</w:t>
      </w:r>
    </w:p>
    <w:p w14:paraId="59E22C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гаубицы при раздвинутых станинах при угле 0°, мм — 7310</w:t>
      </w:r>
    </w:p>
    <w:p w14:paraId="54D4D1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системы по оси хода, мм — 2452</w:t>
      </w:r>
    </w:p>
    <w:p w14:paraId="037AD9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хода, мм — 1900</w:t>
      </w:r>
    </w:p>
    <w:p w14:paraId="1AECEB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Клиренс, мм — 351</w:t>
      </w:r>
    </w:p>
    <w:p w14:paraId="0E136E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Диаметр колеса, мм — 1104</w:t>
      </w:r>
    </w:p>
    <w:p w14:paraId="1A7E7A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откатных частей — 2800</w:t>
      </w:r>
    </w:p>
    <w:p w14:paraId="011FCC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системы, кг: в боевом положении — 8250</w:t>
      </w:r>
    </w:p>
    <w:p w14:paraId="3C04AB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походном положении — 9250</w:t>
      </w:r>
    </w:p>
    <w:p w14:paraId="1A2EC2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возки трактором «Коммунар» (расчетная), км/час — 40</w:t>
      </w:r>
    </w:p>
    <w:p w14:paraId="0EE521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152-мм пушка БЛ-7 была спроектирована в ОКБ-172 в начале 1944 г. Первоначальный индекс системы ОБМ-43. БЛ-7 представляла собой наложение измененного ствола Бр-2 на модернизированный лафет МЛ-20.</w:t>
      </w:r>
    </w:p>
    <w:p w14:paraId="07382A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Пушка имела ствол с дульным тормозом активного действия (60 %) и поршневой затвор.</w:t>
      </w:r>
    </w:p>
    <w:p w14:paraId="10C248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172 закончил опытный образец пушки к ноябрю 1944 г. Полигонные испытания системы были завершены в апреле 1945 г. На вооружение БЛ-7 не поступала.</w:t>
      </w:r>
    </w:p>
    <w:p w14:paraId="08677A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Данные пушки БЛ-7 </w:t>
      </w:r>
    </w:p>
    <w:p w14:paraId="04C63E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Калибр, мм — 152,4</w:t>
      </w:r>
    </w:p>
    <w:p w14:paraId="4450ED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ствола, клб — 47,5</w:t>
      </w:r>
    </w:p>
    <w:p w14:paraId="6FBEFB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Угол ВН, град — −2; +50</w:t>
      </w:r>
    </w:p>
    <w:p w14:paraId="0CBE9D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Угол ГН, град — ±29</w:t>
      </w:r>
    </w:p>
    <w:p w14:paraId="07A8E7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системы в боевом положении, кг — 7880</w:t>
      </w:r>
    </w:p>
    <w:p w14:paraId="75C837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Скорострельность, выстр/мин — 5</w:t>
      </w:r>
    </w:p>
    <w:p w14:paraId="1D11D8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Дульная энергия, тм — 1715</w:t>
      </w:r>
    </w:p>
    <w:p w14:paraId="50A746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 весом 43,5 кг при начальной скорости 880 м/с имел дальность 25 700 м.</w:t>
      </w:r>
    </w:p>
    <w:p w14:paraId="3C3DE7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 г. ОКБ-172 провело модернизацию 152-мм гаубицы-пушки МЛ-20, получившую индекс БЛ-29. В частности, в новом орудии был применен литой казенник и клиновой затвор. Был изготовлен и испытан опытный образец (12705).</w:t>
      </w:r>
    </w:p>
    <w:p w14:paraId="2DD3D33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25B24F3"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 на совещании, состоявшемся у главного инженера Мариупольского завода В.С. Ниценко, было принято решение приступить к изготовлению броневых деталей башен по новым чертежам, начиная с 201 комплекта. В </w:t>
      </w:r>
      <w:hyperlink r:id="rId42" w:tgtFrame="_blank" w:history="1">
        <w:r w:rsidRPr="00A3026E">
          <w:rPr>
            <w:rStyle w:val="a5"/>
            <w:rFonts w:ascii="Times New Roman" w:hAnsi="Times New Roman"/>
            <w:color w:val="000000" w:themeColor="text1"/>
            <w:sz w:val="16"/>
            <w:szCs w:val="16"/>
          </w:rPr>
          <w:t>протоколе</w:t>
        </w:r>
      </w:hyperlink>
      <w:r w:rsidRPr="00A3026E">
        <w:rPr>
          <w:rFonts w:ascii="Times New Roman" w:hAnsi="Times New Roman"/>
          <w:color w:val="000000" w:themeColor="text1"/>
          <w:sz w:val="16"/>
          <w:szCs w:val="16"/>
        </w:rPr>
        <w:t> совещания было отмечено следующее: </w:t>
      </w:r>
    </w:p>
    <w:p w14:paraId="6DA53FB0"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Вырез башни производить по последнему чертежу 183-го завода с сегодняшнего дня (черт. 182-3). </w:t>
      </w:r>
    </w:p>
    <w:p w14:paraId="778932BA"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Задел сопряженных деталей 34-31-001, 34-31-002, 34-31-003, 34-31-008, 34-31-043 [детали броневой защиты пушки Л-11] приостановить на всех переделах. </w:t>
      </w:r>
    </w:p>
    <w:p w14:paraId="656C0A12"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 крыше 34-30-008 [передний лист крыши башни], 34-30-010 [крышка люка башни], 34-30-017 [задний лист крыши башни] приостановить на всех переделах с 201-го комплекта. </w:t>
      </w:r>
    </w:p>
    <w:p w14:paraId="7CCB4228"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Задний лист крыши делается в литой башне в соответствии с чертежом завода № 183 (182-3). </w:t>
      </w:r>
    </w:p>
    <w:p w14:paraId="1CB5EEC5"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Поставить вопрос перед заводом № 183 о немедленном выезде на завод им. ИЛЬИЧА ответственного работника совместно с конструкторами для решения вопроса о переходящих деталях, а так же с имеющимся заделом по старым чертежам свыше двухсотого комплекта. </w:t>
      </w:r>
    </w:p>
    <w:p w14:paraId="0A95C753"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Поставить вопрос перед НКСП, АБТУ и Наркомсредмашем о вынужденном длительном приостановлении на период освоения (месяц-полтора) комплектной поставки брони вновь спущенных деталей, а также о возможности использования имеющегося задела по старым чертежам свыше 200 комплектов».</w:t>
      </w:r>
    </w:p>
    <w:p w14:paraId="2F0C60C5"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1053. Л. 142 – 143] (18206).</w:t>
      </w:r>
    </w:p>
    <w:p w14:paraId="08E92017" w14:textId="77777777" w:rsidR="00640634" w:rsidRPr="00A3026E" w:rsidRDefault="00640634" w:rsidP="00A3026E">
      <w:pPr>
        <w:spacing w:after="0" w:line="240" w:lineRule="auto"/>
        <w:jc w:val="both"/>
        <w:rPr>
          <w:rFonts w:ascii="Times New Roman" w:hAnsi="Times New Roman"/>
          <w:color w:val="000000" w:themeColor="text1"/>
          <w:sz w:val="16"/>
          <w:szCs w:val="16"/>
        </w:rPr>
      </w:pPr>
    </w:p>
    <w:p w14:paraId="7280C0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судя по справке В. Малышева, проект А-41 был завер</w:t>
      </w:r>
      <w:r w:rsidRPr="00A3026E">
        <w:rPr>
          <w:rFonts w:ascii="Times New Roman" w:hAnsi="Times New Roman"/>
          <w:color w:val="000000" w:themeColor="text1"/>
          <w:sz w:val="16"/>
          <w:szCs w:val="16"/>
        </w:rPr>
        <w:softHyphen/>
        <w:t>шен. А 1 ноября было принято решение о прекра</w:t>
      </w:r>
      <w:r w:rsidRPr="00A3026E">
        <w:rPr>
          <w:rFonts w:ascii="Times New Roman" w:hAnsi="Times New Roman"/>
          <w:color w:val="000000" w:themeColor="text1"/>
          <w:sz w:val="16"/>
          <w:szCs w:val="16"/>
        </w:rPr>
        <w:softHyphen/>
        <w:t>щении работ над ним, так как макетная комиссия усомни</w:t>
      </w:r>
      <w:r w:rsidRPr="00A3026E">
        <w:rPr>
          <w:rFonts w:ascii="Times New Roman" w:hAnsi="Times New Roman"/>
          <w:color w:val="000000" w:themeColor="text1"/>
          <w:sz w:val="16"/>
          <w:szCs w:val="16"/>
        </w:rPr>
        <w:softHyphen/>
        <w:t>лась в соответствии параметров проекта требованиям ТЗ (установить на существующем корпусе башню с кругом об</w:t>
      </w:r>
      <w:r w:rsidRPr="00A3026E">
        <w:rPr>
          <w:rFonts w:ascii="Times New Roman" w:hAnsi="Times New Roman"/>
          <w:color w:val="000000" w:themeColor="text1"/>
          <w:sz w:val="16"/>
          <w:szCs w:val="16"/>
        </w:rPr>
        <w:softHyphen/>
        <w:t>служивания 1700 мм без переделки корпуса было сочтено не</w:t>
      </w:r>
      <w:r w:rsidRPr="00A3026E">
        <w:rPr>
          <w:rFonts w:ascii="Times New Roman" w:hAnsi="Times New Roman"/>
          <w:color w:val="000000" w:themeColor="text1"/>
          <w:sz w:val="16"/>
          <w:szCs w:val="16"/>
        </w:rPr>
        <w:softHyphen/>
        <w:t>возможным). Также нереальным признали возможность из</w:t>
      </w:r>
      <w:r w:rsidRPr="00A3026E">
        <w:rPr>
          <w:rFonts w:ascii="Times New Roman" w:hAnsi="Times New Roman"/>
          <w:color w:val="000000" w:themeColor="text1"/>
          <w:sz w:val="16"/>
          <w:szCs w:val="16"/>
        </w:rPr>
        <w:softHyphen/>
        <w:t>готовления в отведенный срок принципиально новой КПП, отвергнута конструкция цельноштампованных башен (10782).</w:t>
      </w:r>
    </w:p>
    <w:p w14:paraId="506637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C61C3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года за № 58/338 вышло поручение О.Б. ЦК ВКП(б) Выписка из протокола № 58 с запиской секретаря Чкаловского обкома ВКП(б) Дубровского о состоянии строительства завода № 257 (7479, 112-116).</w:t>
      </w:r>
    </w:p>
    <w:p w14:paraId="4DA7223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FD933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года - Комиссия по проблеме урана подготовила план научно-исследовательских и геологоразведочных работ на 1940-1941 годы. Основными задачами являлись:</w:t>
      </w:r>
    </w:p>
    <w:p w14:paraId="6A9708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исследование возможностей осуществления цепной реакции на природном уране; </w:t>
      </w:r>
    </w:p>
    <w:p w14:paraId="3F38CA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уточнение физических данных, необходимых для оценок развития цепной реакции на уране-235; </w:t>
      </w:r>
    </w:p>
    <w:p w14:paraId="00B310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изучение различных методов разделения изотопов и оценка их применимости для разделения изотопов урана; </w:t>
      </w:r>
    </w:p>
    <w:p w14:paraId="70929A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изучение возможностей получения летучих органических соединений урана; </w:t>
      </w:r>
    </w:p>
    <w:p w14:paraId="4342E2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исследование состояния сырьевой базы урана и создание уранового фонда (10549).</w:t>
      </w:r>
    </w:p>
    <w:p w14:paraId="77FE606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4C56F0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5540C26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06E83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1939 года состоялась встреча советского полпреда К.А. Уманского с американски</w:t>
      </w:r>
      <w:r w:rsidRPr="00A3026E">
        <w:rPr>
          <w:rFonts w:ascii="Times New Roman" w:hAnsi="Times New Roman"/>
          <w:color w:val="000000" w:themeColor="text1"/>
          <w:sz w:val="16"/>
          <w:szCs w:val="16"/>
        </w:rPr>
        <w:softHyphen/>
        <w:t>ми представителями. Встреча прошла без участия Уэллеса. С американской стороны присутствовали Аттертон и Эдвард Пейдж из Отдела европейских связей. На этой встрече затраги</w:t>
      </w:r>
      <w:r w:rsidRPr="00A3026E">
        <w:rPr>
          <w:rFonts w:ascii="Times New Roman" w:hAnsi="Times New Roman"/>
          <w:color w:val="000000" w:themeColor="text1"/>
          <w:sz w:val="16"/>
          <w:szCs w:val="16"/>
        </w:rPr>
        <w:softHyphen/>
        <w:t>вались разные вопросы. Уманский, в частности, потребовал расследовать дело о заявке на экспорт катализатора для крекинга на сумму 74 тысячи долларов. С этим делом американская сторона обещала разобраться.</w:t>
      </w:r>
    </w:p>
    <w:p w14:paraId="1ABFFA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Девятая встреча КА Уманского с С. Уэллесом и рядом американских представителей (Аттертоном, полковником Максуэллом, Пейджем) состо</w:t>
      </w:r>
      <w:r w:rsidRPr="00A3026E">
        <w:rPr>
          <w:rFonts w:ascii="Times New Roman" w:hAnsi="Times New Roman"/>
          <w:color w:val="000000" w:themeColor="text1"/>
          <w:sz w:val="16"/>
          <w:szCs w:val="16"/>
        </w:rPr>
        <w:softHyphen/>
        <w:t>ялась 24.10.1940 года. С советской стороны присутствовали также Лукашев (на первой части беседы) и Сельдяков.</w:t>
      </w:r>
    </w:p>
    <w:p w14:paraId="51F2D2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советским источникам, С. Уэллес вручил КА Уманскому список, из которого следовало: из числа станков и оборудования на сумму 2001000 долларов, изготовленных по заказу СССР, но реквизированных американской стороной, освобождалось заказов на сумму 489000 долларов. «Иными слова</w:t>
      </w:r>
      <w:r w:rsidRPr="00A3026E">
        <w:rPr>
          <w:rFonts w:ascii="Times New Roman" w:hAnsi="Times New Roman"/>
          <w:color w:val="000000" w:themeColor="text1"/>
          <w:sz w:val="16"/>
          <w:szCs w:val="16"/>
        </w:rPr>
        <w:softHyphen/>
        <w:t>ми, - констатировал КА Уманский в телеграмме В.М. Молотову и АИ. Мико</w:t>
      </w:r>
      <w:r w:rsidRPr="00A3026E">
        <w:rPr>
          <w:rFonts w:ascii="Times New Roman" w:hAnsi="Times New Roman"/>
          <w:color w:val="000000" w:themeColor="text1"/>
          <w:sz w:val="16"/>
          <w:szCs w:val="16"/>
        </w:rPr>
        <w:softHyphen/>
        <w:t>яну от 24.10.1940 года, - Американское правительство освободило в ценнос</w:t>
      </w:r>
      <w:r w:rsidRPr="00A3026E">
        <w:rPr>
          <w:rFonts w:ascii="Times New Roman" w:hAnsi="Times New Roman"/>
          <w:color w:val="000000" w:themeColor="text1"/>
          <w:sz w:val="16"/>
          <w:szCs w:val="16"/>
        </w:rPr>
        <w:softHyphen/>
        <w:t xml:space="preserve">тном выражении на этот раз одну </w:t>
      </w:r>
      <w:r w:rsidRPr="00A3026E">
        <w:rPr>
          <w:rFonts w:ascii="Times New Roman" w:hAnsi="Times New Roman"/>
          <w:color w:val="000000" w:themeColor="text1"/>
          <w:sz w:val="16"/>
          <w:szCs w:val="16"/>
        </w:rPr>
        <w:lastRenderedPageBreak/>
        <w:t>четверть изготовленного оборудования, реквизировав основное». Касаясь запрещенного к вывозу оборудования, он отмечал: «В число реквизированных станков вошли в основном тяжелые и резьбо-фрезерные станки. По машиноимпорту... реквизированы правильные валки и один гидропресс «Фаррель-Бирмингхэм». В лицензиях на авиачасти отказано». КА Уманский подчеркнул: «Я и Лукашев выразили наше глубокое неудовлетворение этим списком. ..Я заявил, что доложу Советскому прави</w:t>
      </w:r>
      <w:r w:rsidRPr="00A3026E">
        <w:rPr>
          <w:rFonts w:ascii="Times New Roman" w:hAnsi="Times New Roman"/>
          <w:color w:val="000000" w:themeColor="text1"/>
          <w:sz w:val="16"/>
          <w:szCs w:val="16"/>
        </w:rPr>
        <w:softHyphen/>
        <w:t>тельству о неудовлетворительном решении Американского правительства по вопросу об изготовленном оборудовании, указав, что решение противоречит и его, Уэллеса, заверениям при прошлой встрече (речь идет о восьмой встрече, состоявшейся между 7.10 и 24.10.1940 года, информации о которой в сборни</w:t>
      </w:r>
      <w:r w:rsidRPr="00A3026E">
        <w:rPr>
          <w:rFonts w:ascii="Times New Roman" w:hAnsi="Times New Roman"/>
          <w:color w:val="000000" w:themeColor="text1"/>
          <w:sz w:val="16"/>
          <w:szCs w:val="16"/>
        </w:rPr>
        <w:softHyphen/>
        <w:t>ке не приводится. - Прим. авт), и его сегодняшнему заявлению о стремлении Американского правительства «максимально» учитывать интересы Советско</w:t>
      </w:r>
      <w:r w:rsidRPr="00A3026E">
        <w:rPr>
          <w:rFonts w:ascii="Times New Roman" w:hAnsi="Times New Roman"/>
          <w:color w:val="000000" w:themeColor="text1"/>
          <w:sz w:val="16"/>
          <w:szCs w:val="16"/>
        </w:rPr>
        <w:softHyphen/>
        <w:t>го правительства». Во время дальнейшей полемики с С. Уэллесом КА Уманский настаивал на этой точке зрения - «как пример того состояния неопределен</w:t>
      </w:r>
      <w:r w:rsidRPr="00A3026E">
        <w:rPr>
          <w:rFonts w:ascii="Times New Roman" w:hAnsi="Times New Roman"/>
          <w:color w:val="000000" w:themeColor="text1"/>
          <w:sz w:val="16"/>
          <w:szCs w:val="16"/>
        </w:rPr>
        <w:softHyphen/>
        <w:t>ности, которое мешает развитию торговли, привел вопрос о каталитическом крекинговом оборудовании, по которому не могу получить ясного ответа, хотя возвращаюсь к нему третий раз» (Уманский, в частности, поднимал вопрос об этом оборудовании еще во время второй встречи, происходившей 1.08.1940 года, то есть почти три месяца назад.).</w:t>
      </w:r>
    </w:p>
    <w:p w14:paraId="6B7EEF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Вопрос о крекинговом оборудовании был поднят сразу же во второй час</w:t>
      </w:r>
      <w:r w:rsidRPr="00A3026E">
        <w:rPr>
          <w:rFonts w:ascii="Times New Roman" w:hAnsi="Times New Roman"/>
          <w:color w:val="000000" w:themeColor="text1"/>
          <w:sz w:val="16"/>
          <w:szCs w:val="16"/>
        </w:rPr>
        <w:softHyphen/>
        <w:t>ти беседы, проходившей уже без участия Лукашева и полковника Максуэлла с американской стороны. По этому поводу С Уэллес заявил, что «американское правительство в принципе не возражает против изготовления этого оборудо</w:t>
      </w:r>
      <w:r w:rsidRPr="00A3026E">
        <w:rPr>
          <w:rFonts w:ascii="Times New Roman" w:hAnsi="Times New Roman"/>
          <w:color w:val="000000" w:themeColor="text1"/>
          <w:sz w:val="16"/>
          <w:szCs w:val="16"/>
        </w:rPr>
        <w:softHyphen/>
        <w:t>вания фирмой Келлога для СССР», но первой важной предпосылкой для офор</w:t>
      </w:r>
      <w:r w:rsidRPr="00A3026E">
        <w:rPr>
          <w:rFonts w:ascii="Times New Roman" w:hAnsi="Times New Roman"/>
          <w:color w:val="000000" w:themeColor="text1"/>
          <w:sz w:val="16"/>
          <w:szCs w:val="16"/>
        </w:rPr>
        <w:softHyphen/>
        <w:t>мления этого разрешения должно стать «снятие морального эмбарго, которое распространяется на оборудование по производству высокооктанового бен</w:t>
      </w:r>
      <w:r w:rsidRPr="00A3026E">
        <w:rPr>
          <w:rFonts w:ascii="Times New Roman" w:hAnsi="Times New Roman"/>
          <w:color w:val="000000" w:themeColor="text1"/>
          <w:sz w:val="16"/>
          <w:szCs w:val="16"/>
        </w:rPr>
        <w:softHyphen/>
        <w:t>зина»; после того как в переговорах будет достигнуто соглашение по вопро</w:t>
      </w:r>
      <w:r w:rsidRPr="00A3026E">
        <w:rPr>
          <w:rFonts w:ascii="Times New Roman" w:hAnsi="Times New Roman"/>
          <w:color w:val="000000" w:themeColor="text1"/>
          <w:sz w:val="16"/>
          <w:szCs w:val="16"/>
        </w:rPr>
        <w:softHyphen/>
        <w:t>сам, фигурировавшим в этих переговорах, и, как отметил С. Уэллес, «в случае, если тем временем в международной обстановке не произойдет ничего не</w:t>
      </w:r>
      <w:r w:rsidRPr="00A3026E">
        <w:rPr>
          <w:rFonts w:ascii="Times New Roman" w:hAnsi="Times New Roman"/>
          <w:color w:val="000000" w:themeColor="text1"/>
          <w:sz w:val="16"/>
          <w:szCs w:val="16"/>
        </w:rPr>
        <w:softHyphen/>
        <w:t>предвиденного», американское правительство «готово завершить переговоры публичным заявлением о том, что причины, вызвавшие введение морального эмбарго, в отношении СССР отпали». Уманский отметил ряд неопределенных формулировок в заявлении Уэллеса, включая «оговорку о «непредвиденных» событиях». В заключение встречи С. Уэллес «предложил встретиться с ним 28 октября для разработки проектов нотами по остальным вопросам».</w:t>
      </w:r>
    </w:p>
    <w:p w14:paraId="7FC7DC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Подробных американских материалов об этой встрече нет. Имеющийся советский документ о ней дает важную информацию о состоянии советско-американских торгово-экономических контактов, в первую очередь в военной области (о чем, в частности, свидетельствует присутствие на переговорах пред</w:t>
      </w:r>
      <w:r w:rsidRPr="00A3026E">
        <w:rPr>
          <w:rFonts w:ascii="Times New Roman" w:hAnsi="Times New Roman"/>
          <w:color w:val="000000" w:themeColor="text1"/>
          <w:sz w:val="16"/>
          <w:szCs w:val="16"/>
        </w:rPr>
        <w:softHyphen/>
        <w:t>ставителя американских вооруженных сил), по состоянию на конец октября 1940 года. С одной стороны, налицо отрицательное действие американских санкций, включая и моральное эмбарго, на поставки в СССР целой гаммы обору</w:t>
      </w:r>
      <w:r w:rsidRPr="00A3026E">
        <w:rPr>
          <w:rFonts w:ascii="Times New Roman" w:hAnsi="Times New Roman"/>
          <w:color w:val="000000" w:themeColor="text1"/>
          <w:sz w:val="16"/>
          <w:szCs w:val="16"/>
        </w:rPr>
        <w:softHyphen/>
        <w:t>дования, готовых частей и технологии, необходимых для производства и функ</w:t>
      </w:r>
      <w:r w:rsidRPr="00A3026E">
        <w:rPr>
          <w:rFonts w:ascii="Times New Roman" w:hAnsi="Times New Roman"/>
          <w:color w:val="000000" w:themeColor="text1"/>
          <w:sz w:val="16"/>
          <w:szCs w:val="16"/>
        </w:rPr>
        <w:softHyphen/>
        <w:t>ционирования авиации (станки, авиачасти, крекинговое оборудование для про</w:t>
      </w:r>
      <w:r w:rsidRPr="00A3026E">
        <w:rPr>
          <w:rFonts w:ascii="Times New Roman" w:hAnsi="Times New Roman"/>
          <w:color w:val="000000" w:themeColor="text1"/>
          <w:sz w:val="16"/>
          <w:szCs w:val="16"/>
        </w:rPr>
        <w:softHyphen/>
        <w:t>изводства высокооктанового авиабензина). С другой стороны, американскими представителями отмечается не только вероятность поставок в СССР, в частнос</w:t>
      </w:r>
      <w:r w:rsidRPr="00A3026E">
        <w:rPr>
          <w:rFonts w:ascii="Times New Roman" w:hAnsi="Times New Roman"/>
          <w:color w:val="000000" w:themeColor="text1"/>
          <w:sz w:val="16"/>
          <w:szCs w:val="16"/>
        </w:rPr>
        <w:softHyphen/>
        <w:t>ти, крекингового оборудования, но и возможность в этом случае (пусть даже и со множеством оговорок) отмены как такового морального эмбарго, блокиру</w:t>
      </w:r>
      <w:r w:rsidRPr="00A3026E">
        <w:rPr>
          <w:rFonts w:ascii="Times New Roman" w:hAnsi="Times New Roman"/>
          <w:color w:val="000000" w:themeColor="text1"/>
          <w:sz w:val="16"/>
          <w:szCs w:val="16"/>
        </w:rPr>
        <w:softHyphen/>
        <w:t>ющего эту и множество других заявок Приходится также констатировать, что моральное эмбарго, действующее на момент этой встречи почти 11 месяцев и не отмененное до сих пор, уже сумело нанести существенный ущерб оборонос</w:t>
      </w:r>
      <w:r w:rsidRPr="00A3026E">
        <w:rPr>
          <w:rFonts w:ascii="Times New Roman" w:hAnsi="Times New Roman"/>
          <w:color w:val="000000" w:themeColor="text1"/>
          <w:sz w:val="16"/>
          <w:szCs w:val="16"/>
        </w:rPr>
        <w:softHyphen/>
        <w:t>пособности СССР вообще и в области военной авиации в частности.</w:t>
      </w:r>
    </w:p>
    <w:p w14:paraId="316990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Десятая встреча Уманского с Уэллесом, на которой больше никто не присутствовал ни с советской, ни с американской стороны, состоялась 1.11.1940 года. Уэллес констатировал достижение по ряду вопросов в резуль</w:t>
      </w:r>
      <w:r w:rsidRPr="00A3026E">
        <w:rPr>
          <w:rFonts w:ascii="Times New Roman" w:hAnsi="Times New Roman"/>
          <w:color w:val="000000" w:themeColor="text1"/>
          <w:sz w:val="16"/>
          <w:szCs w:val="16"/>
        </w:rPr>
        <w:softHyphen/>
        <w:t>тате хода переговоров, но Уманский не согласился с этой формулировкой. «Я возразил ему: соглашение по четвертому пункту о задержанных станках и будущих заказах я пока не могу считать достигнутым... Я напомнил Уэл-лесу, что... имеется предусмотренный проектом Микояна обмен нотами о недискриминационном режиме, включая отмену морального эмбарго, и заявил, что... продолжаю считать вопрос о станках нерешенным», - отмечал Уманский в телеграмме Молотову от 1.11.1940 года. По данным Уманского, «Уэллес обещал принять все меры к ускорению решения по всем спискам станков, в отношении же морального эмбарго снова заявил, что оно будет отменено по подписании обмена нотами, и по своей инициативе добавил, что это автоматически будет означать и разрешение американского пра</w:t>
      </w:r>
      <w:r w:rsidRPr="00A3026E">
        <w:rPr>
          <w:rFonts w:ascii="Times New Roman" w:hAnsi="Times New Roman"/>
          <w:color w:val="000000" w:themeColor="text1"/>
          <w:sz w:val="16"/>
          <w:szCs w:val="16"/>
        </w:rPr>
        <w:softHyphen/>
        <w:t>вительства на заказ катализаторных крекингов». Важная деталь: Уэллес за</w:t>
      </w:r>
      <w:r w:rsidRPr="00A3026E">
        <w:rPr>
          <w:rFonts w:ascii="Times New Roman" w:hAnsi="Times New Roman"/>
          <w:color w:val="000000" w:themeColor="text1"/>
          <w:sz w:val="16"/>
          <w:szCs w:val="16"/>
        </w:rPr>
        <w:softHyphen/>
        <w:t>явил Уманскому: «В наших переговорах мы настолько были поглощены ликвидацией накопившихся трудностей, что не обменивались мнениями о происходящих и предстоящих событиях». Этот факт говорит о том, что в центр ведущихся переговоров стали выходить, помимо разрешения прак</w:t>
      </w:r>
      <w:r w:rsidRPr="00A3026E">
        <w:rPr>
          <w:rFonts w:ascii="Times New Roman" w:hAnsi="Times New Roman"/>
          <w:color w:val="000000" w:themeColor="text1"/>
          <w:sz w:val="16"/>
          <w:szCs w:val="16"/>
        </w:rPr>
        <w:softHyphen/>
        <w:t>тических вопросов советско-американских связей и прежде всего технико-экономических контактов, также и проблемы обсуждения международной ситуации в целом и частные внешнеполитические вопросы.</w:t>
      </w:r>
    </w:p>
    <w:p w14:paraId="39DA16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целом же, по сравнению с предшествующей встречей, десятая не вне</w:t>
      </w:r>
      <w:r w:rsidRPr="00A3026E">
        <w:rPr>
          <w:rFonts w:ascii="Times New Roman" w:hAnsi="Times New Roman"/>
          <w:color w:val="000000" w:themeColor="text1"/>
          <w:sz w:val="16"/>
          <w:szCs w:val="16"/>
        </w:rPr>
        <w:softHyphen/>
        <w:t>сла ничего существенно нового ни в проблему морального эмбарго, ни в способы разрешения проблем экономических связей СССР с США.</w:t>
      </w:r>
    </w:p>
    <w:p w14:paraId="7EA40A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Интересен подготовленный Отделом европейских дел Меморандум от 26 ноября, где рассмотрено текущее состояние переговоров с советским послом. В нем отмечается существующая «проблема станков», а также указы</w:t>
      </w:r>
      <w:r w:rsidRPr="00A3026E">
        <w:rPr>
          <w:rFonts w:ascii="Times New Roman" w:hAnsi="Times New Roman"/>
          <w:color w:val="000000" w:themeColor="text1"/>
          <w:sz w:val="16"/>
          <w:szCs w:val="16"/>
        </w:rPr>
        <w:softHyphen/>
        <w:t>вается, что посол еще раз подчеркнул необходимость отмены морального эмбарго и в связи с этим потребовал, «чтобы мы дали гарантии, что позво</w:t>
      </w:r>
      <w:r w:rsidRPr="00A3026E">
        <w:rPr>
          <w:rFonts w:ascii="Times New Roman" w:hAnsi="Times New Roman"/>
          <w:color w:val="000000" w:themeColor="text1"/>
          <w:sz w:val="16"/>
          <w:szCs w:val="16"/>
        </w:rPr>
        <w:softHyphen/>
        <w:t>лим компании Келлог продать советскому правительству оборудование для крекинга бензина стоимостью примерно в 12,5 миллионов долларов».</w:t>
      </w:r>
    </w:p>
    <w:p w14:paraId="763EC6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28.11.1940 года состоялась одиннадцатая встреча К.А. Уманского с С. Уэллесом, на которой кроме них никто не присутствовал. Она состояла из четырех частей, причем первым из обсуждавшихся был вопрос о стан</w:t>
      </w:r>
      <w:r w:rsidRPr="00A3026E">
        <w:rPr>
          <w:rFonts w:ascii="Times New Roman" w:hAnsi="Times New Roman"/>
          <w:color w:val="000000" w:themeColor="text1"/>
          <w:sz w:val="16"/>
          <w:szCs w:val="16"/>
        </w:rPr>
        <w:softHyphen/>
        <w:t>ках и машинах. Уманский выразил недовольство результатами работы ко</w:t>
      </w:r>
      <w:r w:rsidRPr="00A3026E">
        <w:rPr>
          <w:rFonts w:ascii="Times New Roman" w:hAnsi="Times New Roman"/>
          <w:color w:val="000000" w:themeColor="text1"/>
          <w:sz w:val="16"/>
          <w:szCs w:val="16"/>
        </w:rPr>
        <w:softHyphen/>
        <w:t>миссии Максуэлла, которая должна была пересмотреть запрет на вывоз материалов и оборудования, заказанных СССР: «Я в решительной форме настаивал на освобождении всего оборудования в порту, аннулировании ордеров на реквизицию и радикальном пересмотре списка запретов на оборудование, находящееся в производстве, в духе предложений советс</w:t>
      </w:r>
      <w:r w:rsidRPr="00A3026E">
        <w:rPr>
          <w:rFonts w:ascii="Times New Roman" w:hAnsi="Times New Roman"/>
          <w:color w:val="000000" w:themeColor="text1"/>
          <w:sz w:val="16"/>
          <w:szCs w:val="16"/>
        </w:rPr>
        <w:softHyphen/>
        <w:t>кого правительства, переданных мною Уэллесу 7 октября. Уэллес отве</w:t>
      </w:r>
      <w:r w:rsidRPr="00A3026E">
        <w:rPr>
          <w:rFonts w:ascii="Times New Roman" w:hAnsi="Times New Roman"/>
          <w:color w:val="000000" w:themeColor="text1"/>
          <w:sz w:val="16"/>
          <w:szCs w:val="16"/>
        </w:rPr>
        <w:softHyphen/>
        <w:t>тил, что поставит перед полковником Максуэллом вопрос о пересмотре принятых решений, сообщит мне на днях результаты. Он-де сам не ожи</w:t>
      </w:r>
      <w:r w:rsidRPr="00A3026E">
        <w:rPr>
          <w:rFonts w:ascii="Times New Roman" w:hAnsi="Times New Roman"/>
          <w:color w:val="000000" w:themeColor="text1"/>
          <w:sz w:val="16"/>
          <w:szCs w:val="16"/>
        </w:rPr>
        <w:softHyphen/>
        <w:t>дал, что комиссия не сможет пойти нам в большей степени навстречу», -сообщал К.А. Уманский в телеграмме В.М. Молотову от 28.11.1940 года. Он приводил важные факты о режиме работы советских авиамоторных специалистов на американском авиамоторном заводе. «Как пример про</w:t>
      </w:r>
      <w:r w:rsidRPr="00A3026E">
        <w:rPr>
          <w:rFonts w:ascii="Times New Roman" w:hAnsi="Times New Roman"/>
          <w:color w:val="000000" w:themeColor="text1"/>
          <w:sz w:val="16"/>
          <w:szCs w:val="16"/>
        </w:rPr>
        <w:softHyphen/>
        <w:t>должающейся дискриминации против наших граждан, я вынужден снова назвать вопрос об условии работы членов комиссии завода имени Стали</w:t>
      </w:r>
      <w:r w:rsidRPr="00A3026E">
        <w:rPr>
          <w:rFonts w:ascii="Times New Roman" w:hAnsi="Times New Roman"/>
          <w:color w:val="000000" w:themeColor="text1"/>
          <w:sz w:val="16"/>
          <w:szCs w:val="16"/>
        </w:rPr>
        <w:softHyphen/>
        <w:t>на на заводе Райта; несмотря на обещание его, Уэллеса, о допуске к озна</w:t>
      </w:r>
      <w:r w:rsidRPr="00A3026E">
        <w:rPr>
          <w:rFonts w:ascii="Times New Roman" w:hAnsi="Times New Roman"/>
          <w:color w:val="000000" w:themeColor="text1"/>
          <w:sz w:val="16"/>
          <w:szCs w:val="16"/>
        </w:rPr>
        <w:softHyphen/>
        <w:t>комлению с технологическим процессом, за три месяца в результате этого обещания было проведено всего четыре экскурсии в цеха для семи членов комиссии со всякими ограничениями, отказано в устройстве четырех дру</w:t>
      </w:r>
      <w:r w:rsidRPr="00A3026E">
        <w:rPr>
          <w:rFonts w:ascii="Times New Roman" w:hAnsi="Times New Roman"/>
          <w:color w:val="000000" w:themeColor="text1"/>
          <w:sz w:val="16"/>
          <w:szCs w:val="16"/>
        </w:rPr>
        <w:softHyphen/>
        <w:t>гих экскурсий, между тем как договор о техпомощи предусматривает не осмотры, а текущее ознакомление с технологическим процессом. Поэто</w:t>
      </w:r>
      <w:r w:rsidRPr="00A3026E">
        <w:rPr>
          <w:rFonts w:ascii="Times New Roman" w:hAnsi="Times New Roman"/>
          <w:color w:val="000000" w:themeColor="text1"/>
          <w:sz w:val="16"/>
          <w:szCs w:val="16"/>
        </w:rPr>
        <w:softHyphen/>
        <w:t>му я вынужден снова считать вопрос о режиме комиссии на заводе Райта неурегулированным. Как доказательство, я передал Уэллесу официально полученную нашей комиссией копию письма представителя морской раз</w:t>
      </w:r>
      <w:r w:rsidRPr="00A3026E">
        <w:rPr>
          <w:rFonts w:ascii="Times New Roman" w:hAnsi="Times New Roman"/>
          <w:color w:val="000000" w:themeColor="text1"/>
          <w:sz w:val="16"/>
          <w:szCs w:val="16"/>
        </w:rPr>
        <w:softHyphen/>
        <w:t>ведки при заводе, в которой последний, игнорируя договор о техничес</w:t>
      </w:r>
      <w:r w:rsidRPr="00A3026E">
        <w:rPr>
          <w:rFonts w:ascii="Times New Roman" w:hAnsi="Times New Roman"/>
          <w:color w:val="000000" w:themeColor="text1"/>
          <w:sz w:val="16"/>
          <w:szCs w:val="16"/>
        </w:rPr>
        <w:softHyphen/>
        <w:t>кой помощи, заявляет директору завода, что американское правительство не может позволить использовать завод для целей обучения». Уэллес со</w:t>
      </w:r>
      <w:r w:rsidRPr="00A3026E">
        <w:rPr>
          <w:rFonts w:ascii="Times New Roman" w:hAnsi="Times New Roman"/>
          <w:color w:val="000000" w:themeColor="text1"/>
          <w:sz w:val="16"/>
          <w:szCs w:val="16"/>
        </w:rPr>
        <w:softHyphen/>
        <w:t>гласился с этим и «обещал добиться у морского министерства улучшения режима комиссии на заводе Райта»</w:t>
      </w:r>
      <w:r w:rsidRPr="00A3026E">
        <w:rPr>
          <w:rFonts w:ascii="Times New Roman" w:hAnsi="Times New Roman"/>
          <w:color w:val="000000" w:themeColor="text1"/>
          <w:sz w:val="16"/>
          <w:szCs w:val="16"/>
          <w:vertAlign w:val="superscript"/>
        </w:rPr>
        <w:t>115</w:t>
      </w:r>
      <w:r w:rsidRPr="00A3026E">
        <w:rPr>
          <w:rFonts w:ascii="Times New Roman" w:hAnsi="Times New Roman"/>
          <w:color w:val="000000" w:themeColor="text1"/>
          <w:sz w:val="16"/>
          <w:szCs w:val="16"/>
        </w:rPr>
        <w:t>. Таким образом, итог одиннадцатой встречи не содержал каких-либо положительных тенденций в советско-американских экономических контактах.</w:t>
      </w:r>
    </w:p>
    <w:p w14:paraId="6150B0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состоялась 12-я встреча с Уэллесом, длившаяся 2 часа», - со</w:t>
      </w:r>
      <w:r w:rsidRPr="00A3026E">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A3026E">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A3026E">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A3026E">
        <w:rPr>
          <w:rFonts w:ascii="Times New Roman" w:hAnsi="Times New Roman"/>
          <w:color w:val="000000" w:themeColor="text1"/>
          <w:sz w:val="16"/>
          <w:szCs w:val="16"/>
        </w:rPr>
        <w:softHyphen/>
        <w:t>ны США. В пересмотре списка участвовали представители промышленнос</w:t>
      </w:r>
      <w:r w:rsidRPr="00A3026E">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A3026E">
        <w:rPr>
          <w:rFonts w:ascii="Times New Roman" w:hAnsi="Times New Roman"/>
          <w:color w:val="000000" w:themeColor="text1"/>
          <w:sz w:val="16"/>
          <w:szCs w:val="16"/>
        </w:rPr>
        <w:softHyphen/>
        <w:t>ти, авиационной, морской и артиллерийской, в этом оборудовании, аме</w:t>
      </w:r>
      <w:r w:rsidRPr="00A3026E">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A3026E">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A3026E">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A3026E">
        <w:rPr>
          <w:rFonts w:ascii="Times New Roman" w:hAnsi="Times New Roman"/>
          <w:color w:val="000000" w:themeColor="text1"/>
          <w:sz w:val="16"/>
          <w:szCs w:val="16"/>
        </w:rPr>
        <w:softHyphen/>
        <w:t>ходящихся в производстве, американское правительство сочло возможным лицензировать на экспорт советских заказов на сумму 495 тысяч долларов. К.А. Уманский ответил, что передаст эту информацию советскому прави</w:t>
      </w:r>
      <w:r w:rsidRPr="00A3026E">
        <w:rPr>
          <w:rFonts w:ascii="Times New Roman" w:hAnsi="Times New Roman"/>
          <w:color w:val="000000" w:themeColor="text1"/>
          <w:sz w:val="16"/>
          <w:szCs w:val="16"/>
        </w:rPr>
        <w:softHyphen/>
        <w:t>тельству. Он отметил: «Однако, при этой передаче я должен буду разъяснить своему правительству, что в ценностном выражении американское прави</w:t>
      </w:r>
      <w:r w:rsidRPr="00A3026E">
        <w:rPr>
          <w:rFonts w:ascii="Times New Roman" w:hAnsi="Times New Roman"/>
          <w:color w:val="000000" w:themeColor="text1"/>
          <w:sz w:val="16"/>
          <w:szCs w:val="16"/>
        </w:rPr>
        <w:softHyphen/>
        <w:t>тельство освобождает лишь около 60% принятого и в основном отгружен</w:t>
      </w:r>
      <w:r w:rsidRPr="00A3026E">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A3026E">
        <w:rPr>
          <w:rFonts w:ascii="Times New Roman" w:hAnsi="Times New Roman"/>
          <w:color w:val="000000" w:themeColor="text1"/>
          <w:sz w:val="16"/>
          <w:szCs w:val="16"/>
        </w:rPr>
        <w:softHyphen/>
        <w:t>ких заказов, находящихся в производстве, К.А. Уманский подчеркнул: «Кон</w:t>
      </w:r>
      <w:r w:rsidRPr="00A3026E">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A3026E">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A3026E">
        <w:rPr>
          <w:rFonts w:ascii="Times New Roman" w:hAnsi="Times New Roman"/>
          <w:color w:val="000000" w:themeColor="text1"/>
          <w:sz w:val="16"/>
          <w:szCs w:val="16"/>
        </w:rPr>
        <w:softHyphen/>
        <w:t>листы видят оборонный характер освобожденных станков и машин, вклю</w:t>
      </w:r>
      <w:r w:rsidRPr="00A3026E">
        <w:rPr>
          <w:rFonts w:ascii="Times New Roman" w:hAnsi="Times New Roman"/>
          <w:color w:val="000000" w:themeColor="text1"/>
          <w:sz w:val="16"/>
          <w:szCs w:val="16"/>
        </w:rPr>
        <w:softHyphen/>
        <w:t>чающих тяжелые станки, снарядные прессы, авиамоторы и т.д., безуслов</w:t>
      </w:r>
      <w:r w:rsidRPr="00A3026E">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A3026E">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A3026E">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6F8C2B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A3026E">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A3026E">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A3026E">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A3026E">
        <w:rPr>
          <w:rFonts w:ascii="Times New Roman" w:hAnsi="Times New Roman"/>
          <w:color w:val="000000" w:themeColor="text1"/>
          <w:sz w:val="16"/>
          <w:szCs w:val="16"/>
        </w:rPr>
        <w:softHyphen/>
        <w:t xml:space="preserve">цией определенного числа станков и машин </w:t>
      </w:r>
      <w:r w:rsidRPr="00A3026E">
        <w:rPr>
          <w:rFonts w:ascii="Times New Roman" w:hAnsi="Times New Roman"/>
          <w:color w:val="000000" w:themeColor="text1"/>
          <w:sz w:val="16"/>
          <w:szCs w:val="16"/>
        </w:rPr>
        <w:lastRenderedPageBreak/>
        <w:t>за компенсацию; обязательство американского правительства в форме обмена нотами рассматривать все со</w:t>
      </w:r>
      <w:r w:rsidRPr="00A3026E">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A3026E">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A3026E">
        <w:rPr>
          <w:rFonts w:ascii="Times New Roman" w:hAnsi="Times New Roman"/>
          <w:color w:val="000000" w:themeColor="text1"/>
          <w:sz w:val="16"/>
          <w:szCs w:val="16"/>
        </w:rPr>
        <w:softHyphen/>
        <w:t>тво не может дать нам ни гарантии неаннулирования выдаваемых лицензий, ни автоматического возобновления договоров на запрещаемое к вывозу обо</w:t>
      </w:r>
      <w:r w:rsidRPr="00A3026E">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A3026E">
        <w:rPr>
          <w:rFonts w:ascii="Times New Roman" w:hAnsi="Times New Roman"/>
          <w:color w:val="000000" w:themeColor="text1"/>
          <w:sz w:val="16"/>
          <w:szCs w:val="16"/>
        </w:rPr>
        <w:softHyphen/>
        <w:t>роительной и машиностроительной промышленности это исключают».</w:t>
      </w:r>
    </w:p>
    <w:p w14:paraId="6F7DC1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Пятый вопрос встречи касался поездок в СССР американских специалис</w:t>
      </w:r>
      <w:r w:rsidRPr="00A3026E">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A3026E">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A3026E">
        <w:rPr>
          <w:rFonts w:ascii="Times New Roman" w:hAnsi="Times New Roman"/>
          <w:color w:val="000000" w:themeColor="text1"/>
          <w:sz w:val="16"/>
          <w:szCs w:val="16"/>
        </w:rPr>
        <w:softHyphen/>
        <w:t>га будут рассмотрены», на что К.А. Уманский, комментируя в телеграмме его слова, отметил: «Это является ответом с опозданием на четыре с половиной месяца на поднятый мной при второй встрече</w:t>
      </w:r>
      <w:r w:rsidRPr="00A3026E">
        <w:rPr>
          <w:rFonts w:ascii="Times New Roman" w:hAnsi="Times New Roman"/>
          <w:color w:val="000000" w:themeColor="text1"/>
          <w:sz w:val="16"/>
          <w:szCs w:val="16"/>
          <w:vertAlign w:val="superscript"/>
        </w:rPr>
        <w:t>118</w:t>
      </w:r>
      <w:r w:rsidRPr="00A3026E">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467B9B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A3026E">
        <w:rPr>
          <w:rFonts w:ascii="Times New Roman" w:hAnsi="Times New Roman"/>
          <w:color w:val="000000" w:themeColor="text1"/>
          <w:sz w:val="16"/>
          <w:szCs w:val="16"/>
          <w:vertAlign w:val="superscript"/>
        </w:rPr>
        <w:t>119</w:t>
      </w:r>
      <w:r w:rsidRPr="00A3026E">
        <w:rPr>
          <w:rFonts w:ascii="Times New Roman" w:hAnsi="Times New Roman"/>
          <w:color w:val="000000" w:themeColor="text1"/>
          <w:sz w:val="16"/>
          <w:szCs w:val="16"/>
        </w:rPr>
        <w:t>.</w:t>
      </w:r>
    </w:p>
    <w:p w14:paraId="0EFC25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Телеграмма Уманского от 17.12.1940 года, вероятно, является самым важ</w:t>
      </w:r>
      <w:r w:rsidRPr="00A3026E">
        <w:rPr>
          <w:rFonts w:ascii="Times New Roman" w:hAnsi="Times New Roman"/>
          <w:color w:val="000000" w:themeColor="text1"/>
          <w:sz w:val="16"/>
          <w:szCs w:val="16"/>
        </w:rPr>
        <w:softHyphen/>
        <w:t>ным документом, освещающим переговоры советского полпреда с замес</w:t>
      </w:r>
      <w:r w:rsidRPr="00A3026E">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A3026E">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A3026E">
        <w:rPr>
          <w:rFonts w:ascii="Times New Roman" w:hAnsi="Times New Roman"/>
          <w:color w:val="000000" w:themeColor="text1"/>
          <w:sz w:val="16"/>
          <w:szCs w:val="16"/>
        </w:rPr>
        <w:softHyphen/>
        <w:t>ных советско-американских переговоров, проводившихся в 1940 году в пе</w:t>
      </w:r>
      <w:r w:rsidRPr="00A3026E">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A3026E">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A3026E">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7A45BB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Американская сторона отразила ход переговоров встречи в Меморанду</w:t>
      </w:r>
      <w:r w:rsidRPr="00A3026E">
        <w:rPr>
          <w:rFonts w:ascii="Times New Roman" w:hAnsi="Times New Roman"/>
          <w:color w:val="000000" w:themeColor="text1"/>
          <w:sz w:val="16"/>
          <w:szCs w:val="16"/>
        </w:rPr>
        <w:softHyphen/>
        <w:t>ме о переговорах, составленном Гендерсоном 16 декабря 1940 года. С аме</w:t>
      </w:r>
      <w:r w:rsidRPr="00A3026E">
        <w:rPr>
          <w:rFonts w:ascii="Times New Roman" w:hAnsi="Times New Roman"/>
          <w:color w:val="000000" w:themeColor="text1"/>
          <w:sz w:val="16"/>
          <w:szCs w:val="16"/>
        </w:rPr>
        <w:softHyphen/>
        <w:t>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A3026E">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A3026E">
        <w:rPr>
          <w:rFonts w:ascii="Times New Roman" w:hAnsi="Times New Roman"/>
          <w:color w:val="000000" w:themeColor="text1"/>
          <w:sz w:val="16"/>
          <w:szCs w:val="16"/>
        </w:rPr>
        <w:softHyphen/>
        <w:t>ки. Обсуждение проблемы морального эмбарго текстуально почти до</w:t>
      </w:r>
      <w:r w:rsidRPr="00A3026E">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A3026E">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604153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A3026E">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A3026E">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A3026E">
        <w:rPr>
          <w:rFonts w:ascii="Times New Roman" w:hAnsi="Times New Roman"/>
          <w:color w:val="000000" w:themeColor="text1"/>
          <w:sz w:val="16"/>
          <w:szCs w:val="16"/>
        </w:rPr>
        <w:softHyphen/>
        <w:t>лучить часть заказанного в США промышленного оборудования. Более того, не было никаких гарантий в связи с целым комплексом причин, что вновь за</w:t>
      </w:r>
      <w:r w:rsidRPr="00A3026E">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4532F4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A3026E">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4ED9B8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оборудованию, находящемуся в производстве, можно сказать следу</w:t>
      </w:r>
      <w:r w:rsidRPr="00A3026E">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A3026E">
        <w:rPr>
          <w:rFonts w:ascii="Times New Roman" w:hAnsi="Times New Roman"/>
          <w:color w:val="000000" w:themeColor="text1"/>
          <w:sz w:val="16"/>
          <w:szCs w:val="16"/>
        </w:rPr>
        <w:softHyphen/>
        <w:t>ветственно, 87,5 % не могло быть получено СССР.</w:t>
      </w:r>
    </w:p>
    <w:p w14:paraId="11915B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10785D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поводу режима комиссии НКАПа на заводе Райта: по первую полови</w:t>
      </w:r>
      <w:r w:rsidRPr="00A3026E">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A3026E">
        <w:rPr>
          <w:rFonts w:ascii="Times New Roman" w:hAnsi="Times New Roman"/>
          <w:color w:val="000000" w:themeColor="text1"/>
          <w:sz w:val="16"/>
          <w:szCs w:val="16"/>
        </w:rPr>
        <w:softHyphen/>
        <w:t>ты комиссии американская сторона не сообщила.</w:t>
      </w:r>
    </w:p>
    <w:p w14:paraId="74AD0E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A3026E">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2E02FE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A3026E">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A3026E">
        <w:rPr>
          <w:rFonts w:ascii="Times New Roman" w:hAnsi="Times New Roman"/>
          <w:color w:val="000000" w:themeColor="text1"/>
          <w:sz w:val="16"/>
          <w:szCs w:val="16"/>
        </w:rPr>
        <w:softHyphen/>
        <w:t>нии СССР как в экономической, так и в политической области, и послед</w:t>
      </w:r>
      <w:r w:rsidRPr="00A3026E">
        <w:rPr>
          <w:rFonts w:ascii="Times New Roman" w:hAnsi="Times New Roman"/>
          <w:color w:val="000000" w:themeColor="text1"/>
          <w:sz w:val="16"/>
          <w:szCs w:val="16"/>
        </w:rPr>
        <w:softHyphen/>
        <w:t>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конста</w:t>
      </w:r>
      <w:r w:rsidRPr="00A3026E">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43DBBC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FE3569A" w14:textId="77777777" w:rsidR="00C66762"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За</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рубежом</w:t>
      </w:r>
      <w:r w:rsidRPr="00A3026E">
        <w:rPr>
          <w:rFonts w:ascii="Times New Roman" w:hAnsi="Times New Roman"/>
          <w:i/>
          <w:iCs/>
          <w:color w:val="000000" w:themeColor="text1"/>
          <w:sz w:val="16"/>
          <w:szCs w:val="16"/>
          <w:lang w:val="en-US"/>
        </w:rPr>
        <w:t>:</w:t>
      </w:r>
    </w:p>
    <w:p w14:paraId="2F7E2C89" w14:textId="77777777" w:rsidR="00C66762" w:rsidRPr="00A3026E" w:rsidRDefault="00C66762" w:rsidP="00A3026E">
      <w:pPr>
        <w:spacing w:after="0" w:line="240" w:lineRule="auto"/>
        <w:jc w:val="both"/>
        <w:rPr>
          <w:rFonts w:ascii="Times New Roman" w:hAnsi="Times New Roman"/>
          <w:iCs/>
          <w:color w:val="000000" w:themeColor="text1"/>
          <w:sz w:val="16"/>
          <w:szCs w:val="16"/>
          <w:lang w:val="en-US"/>
        </w:rPr>
      </w:pPr>
    </w:p>
    <w:p w14:paraId="1C3BFA98" w14:textId="77777777" w:rsidR="00303EB6" w:rsidRPr="00A3026E" w:rsidRDefault="00303EB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 октября 1940 года — первый полёт транспортно-пассажирского самолёта Fiat G.12. /Италия/</w:t>
      </w:r>
    </w:p>
    <w:p w14:paraId="440964F9" w14:textId="77777777" w:rsidR="00303EB6" w:rsidRPr="00A3026E" w:rsidRDefault="00303EB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концу 1930-х годов авиакомпания Avio Linee Italiane, принадлежавшая Fiat Group, стала нуждаться в новом пассажирском самолёте. Конструктор Джузеппе Габриэлли из Fiat Aviazione получил задание начать работы над этим проектом, получившем обозначение G.12.</w:t>
      </w:r>
    </w:p>
    <w:p w14:paraId="3773706F" w14:textId="77777777" w:rsidR="00303EB6" w:rsidRPr="00A3026E" w:rsidRDefault="00303EB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Новый самолёт представлял из себя цельнометаллический низкоплан с убирающимся шасси. Оснащался 3 × двигателями FIAT A.74 RC 42. В зависимости от модификации брал на борт от 14 до 22 пассажиров. Максимальная скорость — 396 км/ч, дальность полёта — до 1740 км. Экипаж состоял из 2-3 человек.</w:t>
      </w:r>
    </w:p>
    <w:p w14:paraId="62AD3334" w14:textId="77777777" w:rsidR="00303EB6" w:rsidRPr="00A3026E" w:rsidRDefault="00303EB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До окончания производства в 1949 году успели выпустить 104 единицы Fiat G.12. Они использовались авиакомпаниями Avio Linee Italiane и Alitalia, а также ВВС Италии, Венгрии и Германии. В конце 1940-х годов G.12 стали заменяться более совершенным Fiat G.212 (22300).</w:t>
      </w:r>
    </w:p>
    <w:p w14:paraId="29924CC6" w14:textId="77777777" w:rsidR="00303EB6" w:rsidRPr="00A3026E" w:rsidRDefault="00303EB6" w:rsidP="00A3026E">
      <w:pPr>
        <w:spacing w:after="0" w:line="240" w:lineRule="auto"/>
        <w:jc w:val="both"/>
        <w:rPr>
          <w:rFonts w:ascii="Times New Roman" w:hAnsi="Times New Roman"/>
          <w:color w:val="0070C0"/>
          <w:sz w:val="16"/>
          <w:szCs w:val="16"/>
        </w:rPr>
      </w:pPr>
    </w:p>
    <w:p w14:paraId="167F4E67"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15 October 1940 400 bomber raid on London (270).</w:t>
      </w:r>
    </w:p>
    <w:p w14:paraId="2CEF7599"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797F40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немцы провели рейд 400 бомбардировщиков на Лондон (270).</w:t>
      </w:r>
    </w:p>
    <w:p w14:paraId="21DC567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EEB73A" w14:textId="77777777" w:rsidR="00AD23CA"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CF8004B" w14:textId="77777777" w:rsidR="00AD23CA" w:rsidRPr="00A3026E" w:rsidRDefault="00AD23CA" w:rsidP="00A3026E">
      <w:pPr>
        <w:spacing w:after="0" w:line="240" w:lineRule="auto"/>
        <w:jc w:val="both"/>
        <w:rPr>
          <w:rFonts w:ascii="Times New Roman" w:hAnsi="Times New Roman"/>
          <w:iCs/>
          <w:color w:val="000000" w:themeColor="text1"/>
          <w:sz w:val="16"/>
          <w:szCs w:val="16"/>
        </w:rPr>
      </w:pPr>
    </w:p>
    <w:p w14:paraId="212FF705" w14:textId="77777777" w:rsidR="005E4BDD" w:rsidRPr="00A3026E" w:rsidRDefault="005E4BDD"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середине октября 1940 г. С. В. Ильюшин запросил у Таубина значение усилия отдачи его пушки для его учёта при проектировании штурмовика БШ-2. Тот сообщил усилие в 2200 кгс. И вот в ходе испытаний выясняется, что пушка МП-6 имеет значительно более сильную отдачу, чем изначально предполагалось. Проведенные в ЦАГИ исследования показали её значение около 5000-5200 кг, т.е. более чем в 2 раза больше, чем заявлено Таубиным. Ильюшина такая отдача не устроила, он стал отказываться от МП-6, ссылаясь на сильные вибрации крыла самолета во время стрельбы и возможность его разрушения. Таубин отвечал Ильюшину результатами испытания пушки на Ме-110, прошедших без повреждений самолета, доработал гидротормоз, уменьшив усилие отдачи до 3500-3800 кг, но всё равно Ильюшин пушку Таубина брать не хотел. Временное решение проблемы нашлось быстро - 17 января вышел приказ НКАП № 147 "О вооружении самолёта Ил-2", определивший: на серийные штурмовики должны устанавливаться менее мощные, но надёжные 20-мм пушки ШВАК (19193).</w:t>
      </w:r>
    </w:p>
    <w:p w14:paraId="48243004" w14:textId="77777777" w:rsidR="005E4BDD" w:rsidRPr="00A3026E" w:rsidRDefault="005E4BDD" w:rsidP="00A3026E">
      <w:pPr>
        <w:pStyle w:val="ae"/>
        <w:shd w:val="clear" w:color="auto" w:fill="FFFFFF"/>
        <w:spacing w:before="0" w:after="0"/>
        <w:jc w:val="both"/>
        <w:rPr>
          <w:color w:val="000000" w:themeColor="text1"/>
          <w:sz w:val="16"/>
          <w:szCs w:val="16"/>
        </w:rPr>
      </w:pPr>
    </w:p>
    <w:p w14:paraId="2F52E1F2" w14:textId="77777777" w:rsidR="00AD23CA" w:rsidRPr="00A3026E" w:rsidRDefault="00AD23C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середине октября 1940 в письме члена Секретариата Комитета Обороны М.И. Пугаева в адрес Начальника ЦАГИ И.Ф.Петрова сообщалось, что Шахурин и командование ВВС считают предложение Ефремова ценным и заслуживающим внимания. Он писал:</w:t>
      </w:r>
    </w:p>
    <w:p w14:paraId="19B2C840" w14:textId="77777777" w:rsidR="00AD23CA" w:rsidRPr="00A3026E" w:rsidRDefault="00AD23C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всесторонней экспериментальной проверки считаю целесообразным оборудование реактором одного из существующих скоростных самолетов. Проектирование и постройку специального самолета оборудованного реактором признать преждевременной. Ворошилов с этим мнением согласился: "Прошу поставить в известность Ефремова. Одновременно прошу ежемесячно сообщать в Комитет Обороны о ходе испытаний реакторных установок" (15531).</w:t>
      </w:r>
    </w:p>
    <w:p w14:paraId="7AB8EFBA" w14:textId="77777777" w:rsidR="00AD23CA" w:rsidRPr="00A3026E" w:rsidRDefault="00AD23CA" w:rsidP="00A3026E">
      <w:pPr>
        <w:spacing w:after="0" w:line="240" w:lineRule="auto"/>
        <w:jc w:val="both"/>
        <w:rPr>
          <w:rFonts w:ascii="Times New Roman" w:hAnsi="Times New Roman"/>
          <w:color w:val="000000" w:themeColor="text1"/>
          <w:sz w:val="16"/>
          <w:szCs w:val="16"/>
        </w:rPr>
      </w:pPr>
    </w:p>
    <w:p w14:paraId="23D1A06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3C03E77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CD280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середине октября 1940 г. вышло постановление Комитета обороны СССР за номером 390сс, в кото</w:t>
      </w:r>
      <w:r w:rsidRPr="00A3026E">
        <w:rPr>
          <w:rFonts w:ascii="Times New Roman" w:hAnsi="Times New Roman"/>
          <w:color w:val="000000" w:themeColor="text1"/>
          <w:sz w:val="16"/>
          <w:szCs w:val="16"/>
        </w:rPr>
        <w:softHyphen/>
        <w:t>ром литая башня и литая балка были официально введены в конст</w:t>
      </w:r>
      <w:r w:rsidRPr="00A3026E">
        <w:rPr>
          <w:rFonts w:ascii="Times New Roman" w:hAnsi="Times New Roman"/>
          <w:color w:val="000000" w:themeColor="text1"/>
          <w:sz w:val="16"/>
          <w:szCs w:val="16"/>
        </w:rPr>
        <w:softHyphen/>
        <w:t>рукцию танка Т-34. Согласно этому постановлению, Мариупольс</w:t>
      </w:r>
      <w:r w:rsidRPr="00A3026E">
        <w:rPr>
          <w:rFonts w:ascii="Times New Roman" w:hAnsi="Times New Roman"/>
          <w:color w:val="000000" w:themeColor="text1"/>
          <w:sz w:val="16"/>
          <w:szCs w:val="16"/>
        </w:rPr>
        <w:softHyphen/>
        <w:t>кий завод обязывался к концу года довести мощности по выпуску литых башен до 200 штук в месяц. В рамках этого решения на заво</w:t>
      </w:r>
      <w:r w:rsidRPr="00A3026E">
        <w:rPr>
          <w:rFonts w:ascii="Times New Roman" w:hAnsi="Times New Roman"/>
          <w:color w:val="000000" w:themeColor="text1"/>
          <w:sz w:val="16"/>
          <w:szCs w:val="16"/>
        </w:rPr>
        <w:softHyphen/>
        <w:t>де развернулись работы по реконструкции и расширению марте</w:t>
      </w:r>
      <w:r w:rsidRPr="00A3026E">
        <w:rPr>
          <w:rFonts w:ascii="Times New Roman" w:hAnsi="Times New Roman"/>
          <w:color w:val="000000" w:themeColor="text1"/>
          <w:sz w:val="16"/>
          <w:szCs w:val="16"/>
        </w:rPr>
        <w:softHyphen/>
        <w:t>новского и сталелитейных цехов (11939).</w:t>
      </w:r>
    </w:p>
    <w:p w14:paraId="32A67B9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7DF6F6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1C264D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9A367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ОКБ С.В.И. получило от ОКБ-16 габаритный чертеж пушки ПТБ-23 (6467).</w:t>
      </w:r>
    </w:p>
    <w:p w14:paraId="3CC4440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07187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1940-го ОКБ С.В.И. получило от ОКБ-16 НКВ габаритный чертеж пушки МП-6 (4140).</w:t>
      </w:r>
    </w:p>
    <w:p w14:paraId="2E6F8D6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88FBAA7"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shd w:val="clear" w:color="auto" w:fill="FFFFFF"/>
        </w:rPr>
        <w:t>16 октября 1940г ОКБ Ильюшина получило только габаритный чертеж пушки. Самолет испытывался и доводился с вооружением состоящим из 5 пулеметов (19205).</w:t>
      </w:r>
    </w:p>
    <w:p w14:paraId="0CF8482D" w14:textId="77777777" w:rsidR="005E4BDD" w:rsidRPr="00A3026E" w:rsidRDefault="005E4BDD" w:rsidP="00A3026E">
      <w:pPr>
        <w:spacing w:after="0" w:line="240" w:lineRule="auto"/>
        <w:jc w:val="both"/>
        <w:rPr>
          <w:rFonts w:ascii="Times New Roman" w:hAnsi="Times New Roman"/>
          <w:color w:val="000000" w:themeColor="text1"/>
          <w:sz w:val="16"/>
          <w:szCs w:val="16"/>
        </w:rPr>
      </w:pPr>
    </w:p>
    <w:p w14:paraId="2BF59F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Фирсаев писал А.И.Ш. докладную справку N 5121 "Рычагов - ВВС сообщает, что С.В.И. возражает против установки мотора М-87 на самолет ДБ-3Ф вместо М-88 и считает это мероприятие исключительно временным с последующей заменой на М-88.</w:t>
      </w:r>
    </w:p>
    <w:p w14:paraId="0906BA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 объясняет свои возражения тем, что этот самолет с М-87 резко понизит свои качества по боевой нагрузке и скоростным данным.</w:t>
      </w:r>
    </w:p>
    <w:p w14:paraId="623605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 7 ГУ Шишкин согласен с мнением С.В.И.</w:t>
      </w:r>
    </w:p>
    <w:p w14:paraId="4D80C5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Рычагов просит Вашего решения по вопросу дальнейшей замены М-87 на М-88 (1295,12).</w:t>
      </w:r>
    </w:p>
    <w:p w14:paraId="601FC53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DDBF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Нач. авиации ВМФ Жаворонков писал А.И.Ш. письмо N 53306с "Нарком ВМФ Кузнецов поставил Вас в известность, что постановление КО N 77сс от 17 февраля 1940 и Ваш приказ о поставке авиации ВМФ в 1 полугодии 1940 30 самолетов ДБ-3 2 М-87Б (торпедоносцев) с завода 126 стоят под угрозой срыва. Особо остро стоит вопрос о 15 самолетах в поплавковом варианте, которые завод категорически отказывается изготовлять, несмотря на наличие чертежей и готовых поплавков.</w:t>
      </w:r>
    </w:p>
    <w:p w14:paraId="7F0F0A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постановление КО N 296 от июля 1940 завод 126 обязан поставить Авиации ВМФ в 3 кв. 1940 еще 30 самолетов ДБ-3 2М87Б (торпедоносцев) из них 20 в поплавковом варианте. Это постановление завод также не выполнил и выполнять отказывается мотивируя тем, что никаких указаний по этому вопросу от НКАП не имеет (1304,255).</w:t>
      </w:r>
    </w:p>
    <w:p w14:paraId="7F134C6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26725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17 по 29 октября до 1940 года проходили испытания самолета ДБ-3Ф 2М-88 с винтом ВИШ-23 № 390801 с обтекателем на МВ-3 и убирающимся костылем</w:t>
      </w:r>
    </w:p>
    <w:p w14:paraId="6A1DF7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1AACE1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1 ранга Платонов</w:t>
      </w:r>
    </w:p>
    <w:p w14:paraId="75551E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капитан Сыроегин</w:t>
      </w:r>
    </w:p>
    <w:p w14:paraId="5D72D9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1A00460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максимальные скорости по высотам у самолета ДБ-3Ф 2М-88 с винтом ВИШ-23 № 390801 с обтекателем на МВ-3 и убирающимся в полете костыльным колесом.</w:t>
      </w:r>
    </w:p>
    <w:p w14:paraId="178AD36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эксплуатационные качества системы пневматической уборки костыльного колеса.</w:t>
      </w:r>
    </w:p>
    <w:p w14:paraId="43DE03D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обзор и обстрел пулеметной установки МВ-3 при установленном обтекателе.</w:t>
      </w:r>
    </w:p>
    <w:p w14:paraId="374649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самолет является эталоном 1940 года прошедшим гос. испытания в НИИ ВВС в августе 1940 года.</w:t>
      </w:r>
    </w:p>
    <w:p w14:paraId="1E9144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гос. испытания самолета, на него завод № 39 установил обтекатель, который крепится к фюзеляжу являясь продолжением фонаря кабины летчика, простирается до пулеметной установки МВ-3. Кроме того, место тросового, установлено на самолете пневматическое управление уборкой костыля, включенное в общую систему уборки шасси.</w:t>
      </w:r>
    </w:p>
    <w:p w14:paraId="45FFC6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07541C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ДБ-3Ф устанавливать обтекатель для МВ-3 нецелесообразно, так как обтекатель не дает увеличения максимальной скорости самолету и уменьшает углы обстрела из МВ-3.</w:t>
      </w:r>
    </w:p>
    <w:p w14:paraId="2D681BF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Рекомендовать установку убирающегося костыля с пневматическим управлением на все выпускаемые самолеты ДБ-3Ф по испытанному образцу на самолете ДБ-3Ф 2М-88 № 390801 с обязательной установкой сигнализации для летчика положения костыля «выпущено и убрано».</w:t>
      </w:r>
    </w:p>
    <w:p w14:paraId="0E06D6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испытания 12 дней, из них летные испытания 5 дней.</w:t>
      </w:r>
    </w:p>
    <w:p w14:paraId="376AB7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самолета произведено 24 полета с общей продолжительностью 8 час. 20 мин. (4394).</w:t>
      </w:r>
    </w:p>
    <w:p w14:paraId="140E567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5190F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вышел приказ по 7 ГУ N 37:</w:t>
      </w:r>
    </w:p>
    <w:p w14:paraId="2D7CC7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Для определения готовности к 1 вылету ДБ-240 с 2АМ-37 конструкции завода 240 назначаю комиссию." (2506,60).</w:t>
      </w:r>
    </w:p>
    <w:p w14:paraId="270077E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8042F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16/17 октября 1940 ГУ ВВС в лице Рычагова писало А.И.Ш. письмо N 508530с по вопросу установки антиобледенителей, обогрева экипажа и источника питания для аварийной радиостанции на ТБ-7 (1295,316).</w:t>
      </w:r>
    </w:p>
    <w:p w14:paraId="339E70B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05770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судя по фото в Жуковском стоял ШБ П.О.С.</w:t>
      </w:r>
    </w:p>
    <w:p w14:paraId="158D66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17 и 19 октября 1940 на И-26-3 летал на стрельбу и все время оставалось много боекомплекта. Исследовал и В.А.Березин (1204,56).</w:t>
      </w:r>
    </w:p>
    <w:p w14:paraId="6C945E9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2FE06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года вышел приказ НИИ ВВС № 0226</w:t>
      </w:r>
    </w:p>
    <w:p w14:paraId="364D0E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Дополнительные гос. испытания самолета И-26 М-105п экз. № 3 завода № 115 (6890, 140).</w:t>
      </w:r>
    </w:p>
    <w:p w14:paraId="453B03C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40D06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вышло постановление правительства, обязывающее с 1 января 1941 выпускать все серийные Як-1 с радиостанцией РСИ-4. Не выполнили (65,21).</w:t>
      </w:r>
    </w:p>
    <w:p w14:paraId="02BC0C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16 сентября 1940</w:t>
      </w:r>
    </w:p>
    <w:p w14:paraId="03474E6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196F1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и 7 ГУ Гарелик писал письмо N 3/2194 на завод 293 Болховитинову:</w:t>
      </w:r>
    </w:p>
    <w:p w14:paraId="76B5DB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"Сообщаю, что Ваш эскизный проект самолета И Зам. НКАП А.С.Я. не утвержден, т.к. расчетные данные перенапряжены и скорость - недостаточная." (1448,129).</w:t>
      </w:r>
    </w:p>
    <w:p w14:paraId="39BE8FC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9DCD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директор завода 289 Голубков писал зам. наркома НКАП Хруничеву письмо N 1946с о том, что первый и второй БОК-15 переданы бывшей спец. группе НКАП, согласно актов от 20 февраля 1940 и в настоящее время находятся в эксплуатации в 8-й бригаде ЦАГИ (1265).</w:t>
      </w:r>
    </w:p>
    <w:p w14:paraId="66D5576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18696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года зам. начальника 7 гл. управления Шишкин подготовил Основные данные опытных самолетов.</w:t>
      </w:r>
    </w:p>
    <w:p w14:paraId="43590F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Истребитель И-200 с мотором АМ-35.</w:t>
      </w:r>
    </w:p>
    <w:p w14:paraId="4AA59F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N 1 - конструкторы Микоян и Гуревич.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983732" w:rsidRPr="00A3026E" w14:paraId="017C06AA" w14:textId="77777777" w:rsidTr="00EA0DA7">
        <w:tc>
          <w:tcPr>
            <w:tcW w:w="5749" w:type="dxa"/>
            <w:tcBorders>
              <w:top w:val="single" w:sz="12" w:space="0" w:color="auto"/>
            </w:tcBorders>
          </w:tcPr>
          <w:p w14:paraId="4EE5EF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w:t>
            </w:r>
          </w:p>
        </w:tc>
        <w:tc>
          <w:tcPr>
            <w:tcW w:w="5749" w:type="dxa"/>
            <w:tcBorders>
              <w:top w:val="single" w:sz="12" w:space="0" w:color="auto"/>
            </w:tcBorders>
          </w:tcPr>
          <w:p w14:paraId="662701C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6EBAE12" w14:textId="77777777" w:rsidTr="00EA0DA7">
        <w:tc>
          <w:tcPr>
            <w:tcW w:w="5749" w:type="dxa"/>
          </w:tcPr>
          <w:p w14:paraId="0E1853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высоте 7200 м</w:t>
            </w:r>
          </w:p>
        </w:tc>
        <w:tc>
          <w:tcPr>
            <w:tcW w:w="5749" w:type="dxa"/>
          </w:tcPr>
          <w:p w14:paraId="56402C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 км/час</w:t>
            </w:r>
          </w:p>
        </w:tc>
      </w:tr>
      <w:tr w:rsidR="00983732" w:rsidRPr="00A3026E" w14:paraId="02C3D349" w14:textId="77777777" w:rsidTr="00EA0DA7">
        <w:tc>
          <w:tcPr>
            <w:tcW w:w="5749" w:type="dxa"/>
          </w:tcPr>
          <w:p w14:paraId="4A81EA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749" w:type="dxa"/>
          </w:tcPr>
          <w:p w14:paraId="750CAFD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8AE9147" w14:textId="77777777" w:rsidTr="00EA0DA7">
        <w:tc>
          <w:tcPr>
            <w:tcW w:w="5749" w:type="dxa"/>
          </w:tcPr>
          <w:p w14:paraId="2D8D3F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 м</w:t>
            </w:r>
          </w:p>
        </w:tc>
        <w:tc>
          <w:tcPr>
            <w:tcW w:w="5749" w:type="dxa"/>
          </w:tcPr>
          <w:p w14:paraId="1ED97D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8,57 мин.</w:t>
            </w:r>
          </w:p>
        </w:tc>
      </w:tr>
      <w:tr w:rsidR="00983732" w:rsidRPr="00A3026E" w14:paraId="1DF52754" w14:textId="77777777" w:rsidTr="00EA0DA7">
        <w:tc>
          <w:tcPr>
            <w:tcW w:w="5749" w:type="dxa"/>
          </w:tcPr>
          <w:p w14:paraId="7C0804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Дальность на 0,9 </w:t>
            </w:r>
          </w:p>
        </w:tc>
        <w:tc>
          <w:tcPr>
            <w:tcW w:w="5749" w:type="dxa"/>
          </w:tcPr>
          <w:p w14:paraId="5AAF9BB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99B4C8A" w14:textId="77777777" w:rsidTr="00EA0DA7">
        <w:tc>
          <w:tcPr>
            <w:tcW w:w="5749" w:type="dxa"/>
          </w:tcPr>
          <w:p w14:paraId="60F27A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максимальной скорости</w:t>
            </w:r>
          </w:p>
        </w:tc>
        <w:tc>
          <w:tcPr>
            <w:tcW w:w="5749" w:type="dxa"/>
          </w:tcPr>
          <w:p w14:paraId="514B1C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 км</w:t>
            </w:r>
          </w:p>
        </w:tc>
      </w:tr>
      <w:tr w:rsidR="00983732" w:rsidRPr="00A3026E" w14:paraId="42BD5A83" w14:textId="77777777" w:rsidTr="00EA0DA7">
        <w:tc>
          <w:tcPr>
            <w:tcW w:w="5749" w:type="dxa"/>
          </w:tcPr>
          <w:p w14:paraId="65D432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749" w:type="dxa"/>
          </w:tcPr>
          <w:p w14:paraId="18B3BF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пулемет БС 12,7 мм</w:t>
            </w:r>
          </w:p>
        </w:tc>
      </w:tr>
      <w:tr w:rsidR="00983732" w:rsidRPr="00A3026E" w14:paraId="294E63E4" w14:textId="77777777" w:rsidTr="00EA0DA7">
        <w:tc>
          <w:tcPr>
            <w:tcW w:w="5749" w:type="dxa"/>
          </w:tcPr>
          <w:p w14:paraId="7546200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1E471D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Шкас 7,62 мм</w:t>
            </w:r>
          </w:p>
        </w:tc>
      </w:tr>
      <w:tr w:rsidR="00983732" w:rsidRPr="00A3026E" w14:paraId="2B4053CB" w14:textId="77777777" w:rsidTr="00EA0DA7">
        <w:tc>
          <w:tcPr>
            <w:tcW w:w="5749" w:type="dxa"/>
            <w:tcBorders>
              <w:bottom w:val="single" w:sz="12" w:space="0" w:color="auto"/>
            </w:tcBorders>
          </w:tcPr>
          <w:p w14:paraId="3F5ADA5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Borders>
              <w:bottom w:val="single" w:sz="12" w:space="0" w:color="auto"/>
            </w:tcBorders>
          </w:tcPr>
          <w:p w14:paraId="1B767A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 220 кг в перегрузку</w:t>
            </w:r>
          </w:p>
        </w:tc>
      </w:tr>
    </w:tbl>
    <w:p w14:paraId="5DDB53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Истребитель И-301 с мотором М-105П.</w:t>
      </w:r>
    </w:p>
    <w:p w14:paraId="422733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N 301 - конструкторы Горбунов, Лавочкин, Гудков.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983732" w:rsidRPr="00A3026E" w14:paraId="5E5100A7" w14:textId="77777777" w:rsidTr="00EA0DA7">
        <w:tc>
          <w:tcPr>
            <w:tcW w:w="5749" w:type="dxa"/>
            <w:tcBorders>
              <w:top w:val="single" w:sz="12" w:space="0" w:color="auto"/>
            </w:tcBorders>
          </w:tcPr>
          <w:p w14:paraId="74E038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w:t>
            </w:r>
          </w:p>
        </w:tc>
        <w:tc>
          <w:tcPr>
            <w:tcW w:w="5749" w:type="dxa"/>
            <w:tcBorders>
              <w:top w:val="single" w:sz="12" w:space="0" w:color="auto"/>
            </w:tcBorders>
          </w:tcPr>
          <w:p w14:paraId="58F5873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C1E1D3E" w14:textId="77777777" w:rsidTr="00EA0DA7">
        <w:tc>
          <w:tcPr>
            <w:tcW w:w="5749" w:type="dxa"/>
          </w:tcPr>
          <w:p w14:paraId="6492DE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высоте 4950 м</w:t>
            </w:r>
          </w:p>
        </w:tc>
        <w:tc>
          <w:tcPr>
            <w:tcW w:w="5749" w:type="dxa"/>
          </w:tcPr>
          <w:p w14:paraId="717F4F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 км/час</w:t>
            </w:r>
          </w:p>
        </w:tc>
      </w:tr>
      <w:tr w:rsidR="00983732" w:rsidRPr="00A3026E" w14:paraId="002DC853" w14:textId="77777777" w:rsidTr="00EA0DA7">
        <w:tc>
          <w:tcPr>
            <w:tcW w:w="5749" w:type="dxa"/>
          </w:tcPr>
          <w:p w14:paraId="6A5499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749" w:type="dxa"/>
          </w:tcPr>
          <w:p w14:paraId="4AA03C1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76ADAE3" w14:textId="77777777" w:rsidTr="00EA0DA7">
        <w:tc>
          <w:tcPr>
            <w:tcW w:w="5749" w:type="dxa"/>
          </w:tcPr>
          <w:p w14:paraId="776AD1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 м</w:t>
            </w:r>
          </w:p>
        </w:tc>
        <w:tc>
          <w:tcPr>
            <w:tcW w:w="5749" w:type="dxa"/>
          </w:tcPr>
          <w:p w14:paraId="57FB86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 мин.</w:t>
            </w:r>
          </w:p>
        </w:tc>
      </w:tr>
      <w:tr w:rsidR="00983732" w:rsidRPr="00A3026E" w14:paraId="0616579D" w14:textId="77777777" w:rsidTr="00EA0DA7">
        <w:tc>
          <w:tcPr>
            <w:tcW w:w="5749" w:type="dxa"/>
          </w:tcPr>
          <w:p w14:paraId="095C25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Дальность на 0,9 </w:t>
            </w:r>
          </w:p>
        </w:tc>
        <w:tc>
          <w:tcPr>
            <w:tcW w:w="5749" w:type="dxa"/>
          </w:tcPr>
          <w:p w14:paraId="2F0C4DE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E07401C" w14:textId="77777777" w:rsidTr="00EA0DA7">
        <w:tc>
          <w:tcPr>
            <w:tcW w:w="5749" w:type="dxa"/>
          </w:tcPr>
          <w:p w14:paraId="222BE5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максимальной скорости</w:t>
            </w:r>
          </w:p>
        </w:tc>
        <w:tc>
          <w:tcPr>
            <w:tcW w:w="5749" w:type="dxa"/>
          </w:tcPr>
          <w:p w14:paraId="0917B8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 км</w:t>
            </w:r>
          </w:p>
        </w:tc>
      </w:tr>
      <w:tr w:rsidR="00983732" w:rsidRPr="00A3026E" w14:paraId="290F4713" w14:textId="77777777" w:rsidTr="00EA0DA7">
        <w:tc>
          <w:tcPr>
            <w:tcW w:w="5749" w:type="dxa"/>
          </w:tcPr>
          <w:p w14:paraId="27336A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749" w:type="dxa"/>
          </w:tcPr>
          <w:p w14:paraId="7A9B0B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 23 мм</w:t>
            </w:r>
          </w:p>
        </w:tc>
      </w:tr>
      <w:tr w:rsidR="00983732" w:rsidRPr="00A3026E" w14:paraId="6A3C4BEC" w14:textId="77777777" w:rsidTr="00EA0DA7">
        <w:tc>
          <w:tcPr>
            <w:tcW w:w="5749" w:type="dxa"/>
          </w:tcPr>
          <w:p w14:paraId="4A26738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402BC5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12,7 мм или</w:t>
            </w:r>
          </w:p>
        </w:tc>
      </w:tr>
      <w:tr w:rsidR="00983732" w:rsidRPr="00A3026E" w14:paraId="06265AA2" w14:textId="77777777" w:rsidTr="00EA0DA7">
        <w:tc>
          <w:tcPr>
            <w:tcW w:w="5749" w:type="dxa"/>
          </w:tcPr>
          <w:p w14:paraId="263984B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07A5FE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12,7 мм</w:t>
            </w:r>
          </w:p>
        </w:tc>
      </w:tr>
      <w:tr w:rsidR="00983732" w:rsidRPr="00A3026E" w14:paraId="520C1469" w14:textId="77777777" w:rsidTr="00EA0DA7">
        <w:tc>
          <w:tcPr>
            <w:tcW w:w="5749" w:type="dxa"/>
            <w:tcBorders>
              <w:bottom w:val="single" w:sz="12" w:space="0" w:color="auto"/>
            </w:tcBorders>
          </w:tcPr>
          <w:p w14:paraId="086F9AC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Borders>
              <w:bottom w:val="single" w:sz="12" w:space="0" w:color="auto"/>
            </w:tcBorders>
          </w:tcPr>
          <w:p w14:paraId="3C9242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7,62 мм</w:t>
            </w:r>
          </w:p>
        </w:tc>
      </w:tr>
    </w:tbl>
    <w:p w14:paraId="3477E9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Истребитель И-26 с мотором М-105П.</w:t>
      </w:r>
    </w:p>
    <w:p w14:paraId="7750EE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N 115 - конструктор Яковлев.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983732" w:rsidRPr="00A3026E" w14:paraId="02F32C5F" w14:textId="77777777" w:rsidTr="00EA0DA7">
        <w:tc>
          <w:tcPr>
            <w:tcW w:w="5749" w:type="dxa"/>
            <w:tcBorders>
              <w:top w:val="single" w:sz="12" w:space="0" w:color="auto"/>
            </w:tcBorders>
          </w:tcPr>
          <w:p w14:paraId="76EB06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w:t>
            </w:r>
          </w:p>
        </w:tc>
        <w:tc>
          <w:tcPr>
            <w:tcW w:w="5749" w:type="dxa"/>
            <w:tcBorders>
              <w:top w:val="single" w:sz="12" w:space="0" w:color="auto"/>
            </w:tcBorders>
          </w:tcPr>
          <w:p w14:paraId="316B784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F41C10F" w14:textId="77777777" w:rsidTr="00EA0DA7">
        <w:tc>
          <w:tcPr>
            <w:tcW w:w="5749" w:type="dxa"/>
          </w:tcPr>
          <w:p w14:paraId="45F9D8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высоте 4800 м</w:t>
            </w:r>
          </w:p>
        </w:tc>
        <w:tc>
          <w:tcPr>
            <w:tcW w:w="5749" w:type="dxa"/>
          </w:tcPr>
          <w:p w14:paraId="1CF0DC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 км/час</w:t>
            </w:r>
          </w:p>
        </w:tc>
      </w:tr>
      <w:tr w:rsidR="00983732" w:rsidRPr="00A3026E" w14:paraId="764131F8" w14:textId="77777777" w:rsidTr="00EA0DA7">
        <w:tc>
          <w:tcPr>
            <w:tcW w:w="5749" w:type="dxa"/>
          </w:tcPr>
          <w:p w14:paraId="789832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749" w:type="dxa"/>
          </w:tcPr>
          <w:p w14:paraId="01E62C6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7387518" w14:textId="77777777" w:rsidTr="00EA0DA7">
        <w:tc>
          <w:tcPr>
            <w:tcW w:w="5749" w:type="dxa"/>
          </w:tcPr>
          <w:p w14:paraId="3E26E1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 м</w:t>
            </w:r>
          </w:p>
        </w:tc>
        <w:tc>
          <w:tcPr>
            <w:tcW w:w="5749" w:type="dxa"/>
          </w:tcPr>
          <w:p w14:paraId="74B10C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мин.</w:t>
            </w:r>
          </w:p>
        </w:tc>
      </w:tr>
      <w:tr w:rsidR="00983732" w:rsidRPr="00A3026E" w14:paraId="121DA5A7" w14:textId="77777777" w:rsidTr="00EA0DA7">
        <w:tc>
          <w:tcPr>
            <w:tcW w:w="5749" w:type="dxa"/>
          </w:tcPr>
          <w:p w14:paraId="5BF0EC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Дальность на 0,9 </w:t>
            </w:r>
          </w:p>
        </w:tc>
        <w:tc>
          <w:tcPr>
            <w:tcW w:w="5749" w:type="dxa"/>
          </w:tcPr>
          <w:p w14:paraId="44A8930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2235D60" w14:textId="77777777" w:rsidTr="00EA0DA7">
        <w:tc>
          <w:tcPr>
            <w:tcW w:w="5749" w:type="dxa"/>
          </w:tcPr>
          <w:p w14:paraId="1668A1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максимальной скорости</w:t>
            </w:r>
          </w:p>
        </w:tc>
        <w:tc>
          <w:tcPr>
            <w:tcW w:w="5749" w:type="dxa"/>
          </w:tcPr>
          <w:p w14:paraId="4718EC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 км</w:t>
            </w:r>
          </w:p>
        </w:tc>
      </w:tr>
      <w:tr w:rsidR="00983732" w:rsidRPr="00A3026E" w14:paraId="68F56CC4" w14:textId="77777777" w:rsidTr="00EA0DA7">
        <w:tc>
          <w:tcPr>
            <w:tcW w:w="5749" w:type="dxa"/>
          </w:tcPr>
          <w:p w14:paraId="41C1F2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749" w:type="dxa"/>
          </w:tcPr>
          <w:p w14:paraId="487C70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 20 мм</w:t>
            </w:r>
          </w:p>
        </w:tc>
      </w:tr>
      <w:tr w:rsidR="00983732" w:rsidRPr="00A3026E" w14:paraId="1C803590" w14:textId="77777777" w:rsidTr="00EA0DA7">
        <w:tc>
          <w:tcPr>
            <w:tcW w:w="5749" w:type="dxa"/>
          </w:tcPr>
          <w:p w14:paraId="2A5A7BD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6C4E8C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Шкас 7,62 мм</w:t>
            </w:r>
          </w:p>
        </w:tc>
      </w:tr>
      <w:tr w:rsidR="00983732" w:rsidRPr="00A3026E" w14:paraId="15E22CD4" w14:textId="77777777" w:rsidTr="00EA0DA7">
        <w:tc>
          <w:tcPr>
            <w:tcW w:w="5749" w:type="dxa"/>
          </w:tcPr>
          <w:p w14:paraId="7D939F4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2351D8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2 пулемета Шкас 7,62 мм</w:t>
            </w:r>
          </w:p>
        </w:tc>
      </w:tr>
      <w:tr w:rsidR="00983732" w:rsidRPr="00A3026E" w14:paraId="1920F85A" w14:textId="77777777" w:rsidTr="00EA0DA7">
        <w:tc>
          <w:tcPr>
            <w:tcW w:w="5749" w:type="dxa"/>
            <w:tcBorders>
              <w:bottom w:val="single" w:sz="12" w:space="0" w:color="auto"/>
            </w:tcBorders>
          </w:tcPr>
          <w:p w14:paraId="20DE741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Borders>
              <w:bottom w:val="single" w:sz="12" w:space="0" w:color="auto"/>
            </w:tcBorders>
          </w:tcPr>
          <w:p w14:paraId="111978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перегрузку.</w:t>
            </w:r>
          </w:p>
        </w:tc>
      </w:tr>
    </w:tbl>
    <w:p w14:paraId="20E461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Скоростной бомбардировщик СК-РК</w:t>
      </w:r>
    </w:p>
    <w:p w14:paraId="746BE6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двумя моторами М-105.</w:t>
      </w:r>
    </w:p>
    <w:p w14:paraId="6A7F07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N 22 - конструктор Архангельский.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983732" w:rsidRPr="00A3026E" w14:paraId="02804492" w14:textId="77777777" w:rsidTr="00EA0DA7">
        <w:tc>
          <w:tcPr>
            <w:tcW w:w="5749" w:type="dxa"/>
            <w:tcBorders>
              <w:top w:val="single" w:sz="12" w:space="0" w:color="auto"/>
            </w:tcBorders>
          </w:tcPr>
          <w:p w14:paraId="264107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w:t>
            </w:r>
          </w:p>
        </w:tc>
        <w:tc>
          <w:tcPr>
            <w:tcW w:w="5749" w:type="dxa"/>
            <w:tcBorders>
              <w:top w:val="single" w:sz="12" w:space="0" w:color="auto"/>
            </w:tcBorders>
          </w:tcPr>
          <w:p w14:paraId="27D71D0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6ADA6E3" w14:textId="77777777" w:rsidTr="00EA0DA7">
        <w:tc>
          <w:tcPr>
            <w:tcW w:w="5749" w:type="dxa"/>
          </w:tcPr>
          <w:p w14:paraId="0DD358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высоте 4700 м</w:t>
            </w:r>
          </w:p>
        </w:tc>
        <w:tc>
          <w:tcPr>
            <w:tcW w:w="5749" w:type="dxa"/>
          </w:tcPr>
          <w:p w14:paraId="7FE4C6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 км/час</w:t>
            </w:r>
          </w:p>
        </w:tc>
      </w:tr>
      <w:tr w:rsidR="00983732" w:rsidRPr="00A3026E" w14:paraId="0E69B8FC" w14:textId="77777777" w:rsidTr="00EA0DA7">
        <w:tc>
          <w:tcPr>
            <w:tcW w:w="5749" w:type="dxa"/>
          </w:tcPr>
          <w:p w14:paraId="4EE818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749" w:type="dxa"/>
          </w:tcPr>
          <w:p w14:paraId="3901A02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C6541EB" w14:textId="77777777" w:rsidTr="00EA0DA7">
        <w:tc>
          <w:tcPr>
            <w:tcW w:w="5749" w:type="dxa"/>
          </w:tcPr>
          <w:p w14:paraId="08EA53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 м</w:t>
            </w:r>
          </w:p>
        </w:tc>
        <w:tc>
          <w:tcPr>
            <w:tcW w:w="5749" w:type="dxa"/>
          </w:tcPr>
          <w:p w14:paraId="2095C2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 мин.</w:t>
            </w:r>
          </w:p>
        </w:tc>
      </w:tr>
      <w:tr w:rsidR="00983732" w:rsidRPr="00A3026E" w14:paraId="2CC176DB" w14:textId="77777777" w:rsidTr="00EA0DA7">
        <w:tc>
          <w:tcPr>
            <w:tcW w:w="5749" w:type="dxa"/>
          </w:tcPr>
          <w:p w14:paraId="439E93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Дальность на 0,9 </w:t>
            </w:r>
          </w:p>
        </w:tc>
        <w:tc>
          <w:tcPr>
            <w:tcW w:w="5749" w:type="dxa"/>
          </w:tcPr>
          <w:p w14:paraId="357D8E1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D4C48DE" w14:textId="77777777" w:rsidTr="00EA0DA7">
        <w:tc>
          <w:tcPr>
            <w:tcW w:w="5749" w:type="dxa"/>
          </w:tcPr>
          <w:p w14:paraId="14F969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максимальной скорости</w:t>
            </w:r>
          </w:p>
        </w:tc>
        <w:tc>
          <w:tcPr>
            <w:tcW w:w="5749" w:type="dxa"/>
          </w:tcPr>
          <w:p w14:paraId="3F47B73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F3CF191" w14:textId="77777777" w:rsidTr="00EA0DA7">
        <w:tc>
          <w:tcPr>
            <w:tcW w:w="5749" w:type="dxa"/>
          </w:tcPr>
          <w:p w14:paraId="329433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749" w:type="dxa"/>
          </w:tcPr>
          <w:p w14:paraId="7A8C9B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Шкас 7,62 мм назад</w:t>
            </w:r>
          </w:p>
        </w:tc>
      </w:tr>
      <w:tr w:rsidR="00983732" w:rsidRPr="00A3026E" w14:paraId="63FA7010" w14:textId="77777777" w:rsidTr="00EA0DA7">
        <w:tc>
          <w:tcPr>
            <w:tcW w:w="5749" w:type="dxa"/>
          </w:tcPr>
          <w:p w14:paraId="600C510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538D04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пулемет Шкас 7,62 мм вперед</w:t>
            </w:r>
          </w:p>
        </w:tc>
      </w:tr>
      <w:tr w:rsidR="00983732" w:rsidRPr="00A3026E" w14:paraId="50CE7642" w14:textId="77777777" w:rsidTr="00EA0DA7">
        <w:tc>
          <w:tcPr>
            <w:tcW w:w="5749" w:type="dxa"/>
            <w:tcBorders>
              <w:bottom w:val="single" w:sz="12" w:space="0" w:color="auto"/>
            </w:tcBorders>
          </w:tcPr>
          <w:p w14:paraId="19AA0DA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Borders>
              <w:bottom w:val="single" w:sz="12" w:space="0" w:color="auto"/>
            </w:tcBorders>
          </w:tcPr>
          <w:p w14:paraId="2BD977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 - 600 кг</w:t>
            </w:r>
          </w:p>
        </w:tc>
      </w:tr>
    </w:tbl>
    <w:p w14:paraId="1B9BB2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Дальний бомбардировщик ДБ-240</w:t>
      </w:r>
    </w:p>
    <w:p w14:paraId="3F2DAA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двумя моторами М-105.</w:t>
      </w:r>
    </w:p>
    <w:p w14:paraId="55F801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N 240 - конструктор Ермолаев.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983732" w:rsidRPr="00A3026E" w14:paraId="0F557396" w14:textId="77777777" w:rsidTr="00EA0DA7">
        <w:tc>
          <w:tcPr>
            <w:tcW w:w="5749" w:type="dxa"/>
            <w:tcBorders>
              <w:top w:val="single" w:sz="12" w:space="0" w:color="auto"/>
            </w:tcBorders>
          </w:tcPr>
          <w:p w14:paraId="26525D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w:t>
            </w:r>
          </w:p>
        </w:tc>
        <w:tc>
          <w:tcPr>
            <w:tcW w:w="5749" w:type="dxa"/>
            <w:tcBorders>
              <w:top w:val="single" w:sz="12" w:space="0" w:color="auto"/>
            </w:tcBorders>
          </w:tcPr>
          <w:p w14:paraId="40D3905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92A7A64" w14:textId="77777777" w:rsidTr="00EA0DA7">
        <w:tc>
          <w:tcPr>
            <w:tcW w:w="5749" w:type="dxa"/>
          </w:tcPr>
          <w:p w14:paraId="5C3FFF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высоте 47000 м</w:t>
            </w:r>
          </w:p>
        </w:tc>
        <w:tc>
          <w:tcPr>
            <w:tcW w:w="5749" w:type="dxa"/>
          </w:tcPr>
          <w:p w14:paraId="1E352D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455 км/час</w:t>
            </w:r>
          </w:p>
        </w:tc>
      </w:tr>
      <w:tr w:rsidR="00983732" w:rsidRPr="00A3026E" w14:paraId="0491128B" w14:textId="77777777" w:rsidTr="00EA0DA7">
        <w:tc>
          <w:tcPr>
            <w:tcW w:w="5749" w:type="dxa"/>
          </w:tcPr>
          <w:p w14:paraId="6DA650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749" w:type="dxa"/>
          </w:tcPr>
          <w:p w14:paraId="2070058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F8B01DD" w14:textId="77777777" w:rsidTr="00EA0DA7">
        <w:tc>
          <w:tcPr>
            <w:tcW w:w="5749" w:type="dxa"/>
          </w:tcPr>
          <w:p w14:paraId="4C8113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4700 м</w:t>
            </w:r>
          </w:p>
        </w:tc>
        <w:tc>
          <w:tcPr>
            <w:tcW w:w="5749" w:type="dxa"/>
          </w:tcPr>
          <w:p w14:paraId="0EDD6C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 мин.</w:t>
            </w:r>
          </w:p>
        </w:tc>
      </w:tr>
      <w:tr w:rsidR="00983732" w:rsidRPr="00A3026E" w14:paraId="6B7A7785" w14:textId="77777777" w:rsidTr="00EA0DA7">
        <w:tc>
          <w:tcPr>
            <w:tcW w:w="5749" w:type="dxa"/>
          </w:tcPr>
          <w:p w14:paraId="72D352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нормальная</w:t>
            </w:r>
          </w:p>
        </w:tc>
        <w:tc>
          <w:tcPr>
            <w:tcW w:w="5749" w:type="dxa"/>
          </w:tcPr>
          <w:p w14:paraId="300283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2200 км</w:t>
            </w:r>
          </w:p>
        </w:tc>
      </w:tr>
      <w:tr w:rsidR="00983732" w:rsidRPr="00A3026E" w14:paraId="0FE92F86" w14:textId="77777777" w:rsidTr="00EA0DA7">
        <w:tc>
          <w:tcPr>
            <w:tcW w:w="5749" w:type="dxa"/>
          </w:tcPr>
          <w:p w14:paraId="54481C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перегрузкой</w:t>
            </w:r>
          </w:p>
        </w:tc>
        <w:tc>
          <w:tcPr>
            <w:tcW w:w="5749" w:type="dxa"/>
          </w:tcPr>
          <w:p w14:paraId="6D87DA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 км</w:t>
            </w:r>
          </w:p>
        </w:tc>
      </w:tr>
      <w:tr w:rsidR="00983732" w:rsidRPr="00A3026E" w14:paraId="7E5A689C" w14:textId="77777777" w:rsidTr="00EA0DA7">
        <w:tc>
          <w:tcPr>
            <w:tcW w:w="5749" w:type="dxa"/>
          </w:tcPr>
          <w:p w14:paraId="7FD0D4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749" w:type="dxa"/>
          </w:tcPr>
          <w:p w14:paraId="0982EA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пулемет БС 12,7 мм</w:t>
            </w:r>
          </w:p>
        </w:tc>
      </w:tr>
      <w:tr w:rsidR="00983732" w:rsidRPr="00A3026E" w14:paraId="74E8A51D" w14:textId="77777777" w:rsidTr="00EA0DA7">
        <w:tc>
          <w:tcPr>
            <w:tcW w:w="5749" w:type="dxa"/>
          </w:tcPr>
          <w:p w14:paraId="6D6C321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6ACA7B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7,62 мм</w:t>
            </w:r>
          </w:p>
        </w:tc>
      </w:tr>
      <w:tr w:rsidR="00983732" w:rsidRPr="00A3026E" w14:paraId="08BBBA94" w14:textId="77777777" w:rsidTr="00EA0DA7">
        <w:tc>
          <w:tcPr>
            <w:tcW w:w="5749" w:type="dxa"/>
          </w:tcPr>
          <w:p w14:paraId="1C1344A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Pr>
          <w:p w14:paraId="2A3D32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Нормальная бомбовая нагрузка - 1000 кг</w:t>
            </w:r>
          </w:p>
        </w:tc>
      </w:tr>
      <w:tr w:rsidR="00983732" w:rsidRPr="00A3026E" w14:paraId="6C4B16B5" w14:textId="77777777" w:rsidTr="00EA0DA7">
        <w:tc>
          <w:tcPr>
            <w:tcW w:w="5749" w:type="dxa"/>
            <w:tcBorders>
              <w:bottom w:val="single" w:sz="12" w:space="0" w:color="auto"/>
            </w:tcBorders>
          </w:tcPr>
          <w:p w14:paraId="24F1706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5749" w:type="dxa"/>
            <w:tcBorders>
              <w:bottom w:val="single" w:sz="12" w:space="0" w:color="auto"/>
            </w:tcBorders>
          </w:tcPr>
          <w:p w14:paraId="5D71A8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 в перегр. варианте - 4000 кг (2090)</w:t>
            </w:r>
          </w:p>
        </w:tc>
      </w:tr>
    </w:tbl>
    <w:p w14:paraId="17B3041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9B15E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С.Шишкиным была подготовлена справка по основным данным опытных самолетов:</w:t>
      </w:r>
    </w:p>
    <w:p w14:paraId="3480FE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И-200 с АМ-35А</w:t>
      </w:r>
    </w:p>
    <w:p w14:paraId="53B7F7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И-301 с М-105П</w:t>
      </w:r>
    </w:p>
    <w:p w14:paraId="5393B8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И-26 с М-105П</w:t>
      </w:r>
    </w:p>
    <w:p w14:paraId="652620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СБ РК с 2М-105</w:t>
      </w:r>
    </w:p>
    <w:p w14:paraId="02C695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ДБ-240 2М-105 (2090).</w:t>
      </w:r>
    </w:p>
    <w:p w14:paraId="1769B35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D11FD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с письмом № 26/442 Зам. Нач. ОКО Жиганова Зам. Нач. 7 ГУ НКАП Шишкину был направлен Отчет о ДВИЖЕНИИ ОПЫТНЫХ РАБОТ В ОКО ЗАВОДА № 135 на 15 октября 1940 г.</w:t>
      </w:r>
    </w:p>
    <w:p w14:paraId="4627BF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маш..330 (Заказ 360)</w:t>
      </w:r>
    </w:p>
    <w:p w14:paraId="7DF941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Техническая готовность узлов по незаконченным монтажам:</w:t>
      </w:r>
    </w:p>
    <w:p w14:paraId="5E50DE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w:t>
      </w:r>
    </w:p>
    <w:p w14:paraId="5F7E3C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Щитки шасси</w:t>
      </w:r>
    </w:p>
    <w:p w14:paraId="08F312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Наружный капот</w:t>
      </w:r>
    </w:p>
    <w:p w14:paraId="701AB0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Маслорадиатор</w:t>
      </w:r>
    </w:p>
    <w:p w14:paraId="4AE338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Маслопроводка</w:t>
      </w:r>
    </w:p>
    <w:p w14:paraId="09E949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Водорадиатор</w:t>
      </w:r>
    </w:p>
    <w:p w14:paraId="55A8F4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Костыль</w:t>
      </w:r>
    </w:p>
    <w:p w14:paraId="4DBE72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Козырек</w:t>
      </w:r>
    </w:p>
    <w:p w14:paraId="1E2B20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Кок на винт</w:t>
      </w:r>
    </w:p>
    <w:p w14:paraId="7792CF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 группа</w:t>
      </w:r>
    </w:p>
    <w:p w14:paraId="563C50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остальные узлы установлены на машину</w:t>
      </w:r>
    </w:p>
    <w:p w14:paraId="62DFD6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сих пор не получено:</w:t>
      </w:r>
    </w:p>
    <w:p w14:paraId="40298E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Винта ВИШ-61</w:t>
      </w:r>
      <w:r w:rsidRPr="00A3026E">
        <w:rPr>
          <w:rFonts w:ascii="Times New Roman" w:hAnsi="Times New Roman"/>
          <w:color w:val="000000" w:themeColor="text1"/>
          <w:sz w:val="16"/>
          <w:szCs w:val="16"/>
        </w:rPr>
        <w:tab/>
        <w:t>з-д № 28</w:t>
      </w:r>
    </w:p>
    <w:p w14:paraId="153DC6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Р-7</w:t>
      </w:r>
      <w:r w:rsidRPr="00A3026E">
        <w:rPr>
          <w:rFonts w:ascii="Times New Roman" w:hAnsi="Times New Roman"/>
          <w:color w:val="000000" w:themeColor="text1"/>
          <w:sz w:val="16"/>
          <w:szCs w:val="16"/>
        </w:rPr>
        <w:tab/>
        <w:t>з-д № 20</w:t>
      </w:r>
    </w:p>
    <w:p w14:paraId="7DFD9F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Мех. Бензиномер “Теленваль” </w:t>
      </w:r>
      <w:r w:rsidRPr="00A3026E">
        <w:rPr>
          <w:rFonts w:ascii="Times New Roman" w:hAnsi="Times New Roman"/>
          <w:color w:val="000000" w:themeColor="text1"/>
          <w:sz w:val="16"/>
          <w:szCs w:val="16"/>
        </w:rPr>
        <w:tab/>
        <w:t>з-д № 213</w:t>
      </w:r>
    </w:p>
    <w:p w14:paraId="05D8A6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Рация</w:t>
      </w:r>
      <w:r w:rsidRPr="00A3026E">
        <w:rPr>
          <w:rFonts w:ascii="Times New Roman" w:hAnsi="Times New Roman"/>
          <w:color w:val="000000" w:themeColor="text1"/>
          <w:sz w:val="16"/>
          <w:szCs w:val="16"/>
        </w:rPr>
        <w:tab/>
        <w:t>з-д № 203</w:t>
      </w:r>
    </w:p>
    <w:p w14:paraId="637E41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серийной машины</w:t>
      </w:r>
    </w:p>
    <w:p w14:paraId="7D93E2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Продолжается проектирование ВМГ с М-90</w:t>
      </w:r>
    </w:p>
    <w:p w14:paraId="2D719F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smallCaps/>
          <w:color w:val="000000" w:themeColor="text1"/>
          <w:sz w:val="16"/>
          <w:szCs w:val="16"/>
        </w:rPr>
        <w:t xml:space="preserve">Производство: </w:t>
      </w:r>
      <w:r w:rsidRPr="00A3026E">
        <w:rPr>
          <w:rFonts w:ascii="Times New Roman" w:hAnsi="Times New Roman"/>
          <w:color w:val="000000" w:themeColor="text1"/>
          <w:sz w:val="16"/>
          <w:szCs w:val="16"/>
        </w:rPr>
        <w:t>"МН" с мотором М-9О - продолжается изготовление шасси и щитков шасси</w:t>
      </w:r>
    </w:p>
    <w:p w14:paraId="7B0D66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"МН" о мотором м-81 (дублер)</w:t>
      </w:r>
    </w:p>
    <w:p w14:paraId="4C2218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готовность узлов</w:t>
      </w:r>
    </w:p>
    <w:p w14:paraId="5307B6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Сектор 1-го пилота</w:t>
      </w:r>
    </w:p>
    <w:p w14:paraId="69DFA9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бензокраном</w:t>
      </w:r>
    </w:p>
    <w:p w14:paraId="447478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Отопление кабины</w:t>
      </w:r>
    </w:p>
    <w:p w14:paraId="433A94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Газоанализатор (крепление)</w:t>
      </w:r>
    </w:p>
    <w:p w14:paraId="397110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Маслобак</w:t>
      </w:r>
    </w:p>
    <w:p w14:paraId="4187AA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 юбкой капота</w:t>
      </w:r>
    </w:p>
    <w:p w14:paraId="0CA8BE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Внутренний капот</w:t>
      </w:r>
    </w:p>
    <w:p w14:paraId="40A5AA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Запуск мотора</w:t>
      </w:r>
    </w:p>
    <w:p w14:paraId="2E7ADD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Маслорадиатор</w:t>
      </w:r>
    </w:p>
    <w:p w14:paraId="3A7EBA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 заслонкой маслорад.</w:t>
      </w:r>
    </w:p>
    <w:p w14:paraId="2ACC43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мотором</w:t>
      </w:r>
    </w:p>
    <w:p w14:paraId="79540D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Маслопроводка</w:t>
      </w:r>
    </w:p>
    <w:p w14:paraId="289921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Бензобак в фюзеляже</w:t>
      </w:r>
    </w:p>
    <w:p w14:paraId="15A55E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Бензопроводка</w:t>
      </w:r>
    </w:p>
    <w:p w14:paraId="043085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Выхлопной коллектор</w:t>
      </w:r>
    </w:p>
    <w:p w14:paraId="548511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Инертные газы</w:t>
      </w:r>
    </w:p>
    <w:p w14:paraId="100A56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Наружный капот</w:t>
      </w:r>
    </w:p>
    <w:p w14:paraId="77ACD2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Юбка капота</w:t>
      </w:r>
    </w:p>
    <w:p w14:paraId="3C17C2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Всасывающий патрубок</w:t>
      </w:r>
    </w:p>
    <w:p w14:paraId="7682D6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Кок и винт</w:t>
      </w:r>
    </w:p>
    <w:p w14:paraId="14757F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Люк бензобака</w:t>
      </w:r>
    </w:p>
    <w:p w14:paraId="7ABBA0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w:t>
      </w:r>
    </w:p>
    <w:p w14:paraId="0B021E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Щитки шасси</w:t>
      </w:r>
    </w:p>
    <w:p w14:paraId="6B6BA8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Гидроуправление</w:t>
      </w:r>
    </w:p>
    <w:p w14:paraId="1C2DFE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Крыльевые баки</w:t>
      </w:r>
    </w:p>
    <w:p w14:paraId="2B88F6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Зализы мотора</w:t>
      </w:r>
    </w:p>
    <w:p w14:paraId="406648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также не получено</w:t>
      </w:r>
    </w:p>
    <w:p w14:paraId="2F0582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Винт АВ-5</w:t>
      </w:r>
    </w:p>
    <w:p w14:paraId="01658D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Заливной бензошприц</w:t>
      </w:r>
    </w:p>
    <w:p w14:paraId="2FF848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Радиатор масл. ОП234</w:t>
      </w:r>
    </w:p>
    <w:p w14:paraId="62F911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Помпа М-88Р</w:t>
      </w:r>
    </w:p>
    <w:p w14:paraId="0815B5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Планер для стат. испытаний.</w:t>
      </w:r>
    </w:p>
    <w:p w14:paraId="43D605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Производится ремонт планера для повторного испытания на случай А.</w:t>
      </w:r>
    </w:p>
    <w:p w14:paraId="04AB54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ББ-МАИ</w:t>
      </w:r>
    </w:p>
    <w:p w14:paraId="3BCB6C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Началось проектирование изменяемых узлов (874,74).</w:t>
      </w:r>
    </w:p>
    <w:p w14:paraId="05FCD1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F006C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НКАП А.И.Шахурин и НКО Тимошенко подписал Акт утверждения выводов и заключения комиссии по совместным 50-часовым испытаниям мотора М-105Д (мотор М-105 с двуступенчатым нагнетателем Э-100 Доллежаля) (842).</w:t>
      </w:r>
    </w:p>
    <w:p w14:paraId="5E5EFA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по совместным 50-часовым испытаниям мотора М-105Д (мотор М-105 с двуступенчатым нагнетателем Э-100 Доллежаля)</w:t>
      </w:r>
    </w:p>
    <w:p w14:paraId="7CB0F1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Комиссии нач. 3 отделения 8 отдела НИИ ВВС ви1р Гервасист..</w:t>
      </w:r>
    </w:p>
    <w:p w14:paraId="2B30BB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Члены: пом. в/пр НИИ ВВС при ЦИАМе ви3р Гринберг</w:t>
      </w:r>
    </w:p>
    <w:p w14:paraId="0792CD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ст.и 8 отд. НИИ ВВС ви2р Тихов</w:t>
      </w:r>
    </w:p>
    <w:p w14:paraId="25D1CC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вед. и 8 ГУ НКАП по ЦИАМ Бутус</w:t>
      </w:r>
    </w:p>
    <w:p w14:paraId="7CAAED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гр. нагнетателей з-да № 26 Мевиус</w:t>
      </w:r>
    </w:p>
    <w:p w14:paraId="446817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Двустепенчатый нагнетатель конструкции Доллежаля - ЦИАМ - передаточное число от коленвала к валику крыльчатки 9,72</w:t>
      </w:r>
    </w:p>
    <w:p w14:paraId="685D95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наружный диаметр крыльчатки 1 ступени 280 мм, 2-1 ступени - 275 мм</w:t>
      </w:r>
    </w:p>
    <w:p w14:paraId="693F4E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оборотов при номинальном режиме работы мотора (2400) для колеса 1 ступени - 2330, для колеса второй ступени 23309</w:t>
      </w:r>
    </w:p>
    <w:p w14:paraId="3CA1AD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мотора возрос на 60 кг, длина больше на 125 мм. Все другие габариты не изменились.</w:t>
      </w:r>
    </w:p>
    <w:p w14:paraId="217F4A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мощности мотор Д уступает 105 до высоты 5800 м. У земли потеря составляет 130 лс, на высоте 3800-5200 м - на 50-60 лс</w:t>
      </w:r>
    </w:p>
    <w:p w14:paraId="2B5A3F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Начиная с высоты 6000 м мотор Д имеет преимущества - на 6000 м - 40 лс, на 7000 и - 160 лс, на 8000 м 275 лс</w:t>
      </w:r>
    </w:p>
    <w:p w14:paraId="4035CA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прошел испытания удовлетворительно</w:t>
      </w:r>
    </w:p>
    <w:p w14:paraId="6AB502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Граница высотности на 2-х степенях на стенде 8000 м, с учетом скоростного напора 600 км/час - 9500 м</w:t>
      </w:r>
    </w:p>
    <w:p w14:paraId="3D2A6C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сухого мотора 545-655 кг (842).</w:t>
      </w:r>
    </w:p>
    <w:p w14:paraId="1F9DF66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A03A5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г. на имя начальника опытного отдела НИПАВ ВВС поступило письмо главного инженера завода №32 НКАП Гостинцева и старшего военпреда завода военинженера 2 ранга Огородникова: «Согласно Вашей просьбе, сообщаем, что новая конструкция балок РО-82 завода №32 имеет следующие преимущества, по сравнению со старой:</w:t>
      </w:r>
    </w:p>
    <w:p w14:paraId="48F649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Аннулированы винты в проходе штифта РС, которые в старой конструкции ослаблялись и отвертывались во время полета носителя и стрельбы;</w:t>
      </w:r>
    </w:p>
    <w:p w14:paraId="2B71E4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Винты крепления направляющих к бобышкам законтрены намертво;</w:t>
      </w:r>
    </w:p>
    <w:p w14:paraId="4B57B0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Вес комплекта уменьшен на 11 кг;</w:t>
      </w:r>
    </w:p>
    <w:p w14:paraId="7E1293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Значительно уменьшено лобовое сопротивление балки;</w:t>
      </w:r>
    </w:p>
    <w:p w14:paraId="29AA90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Конструкция балки значительно проще (всего 25 деталей вместо 40 на старой модели, сами детали проще в производстве);</w:t>
      </w:r>
    </w:p>
    <w:p w14:paraId="0F754A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В технологическом плане большинство деталей будет изготовлено путем штамповки, то есть самым быстрым и дешевым способом произ</w:t>
      </w:r>
      <w:r w:rsidRPr="00A3026E">
        <w:rPr>
          <w:rFonts w:ascii="Times New Roman" w:hAnsi="Times New Roman"/>
          <w:color w:val="000000" w:themeColor="text1"/>
          <w:sz w:val="16"/>
          <w:szCs w:val="16"/>
        </w:rPr>
        <w:softHyphen/>
        <w:t>водства, следовательно себестоимость балки снизится в 2-3 раза;</w:t>
      </w:r>
    </w:p>
    <w:p w14:paraId="21AA65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Сборка балки более быстрая и дешевая, легкая и удобная;</w:t>
      </w:r>
    </w:p>
    <w:p w14:paraId="210992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Новая балка выполнена из простой стали, а потому в несколько раз дешевле самолетных дюралевых труб и вкладышей - дефицитного материала;</w:t>
      </w:r>
    </w:p>
    <w:p w14:paraId="074432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Крепежные узлы выполнены более прочными;</w:t>
      </w:r>
    </w:p>
    <w:p w14:paraId="5E43C2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Благодаря уменьшению длины пролетов между бобышками (80 мм вместо 1 88 мм) конструкция направляющей с балкой получилась бо</w:t>
      </w:r>
      <w:r w:rsidRPr="00A3026E">
        <w:rPr>
          <w:rFonts w:ascii="Times New Roman" w:hAnsi="Times New Roman"/>
          <w:color w:val="000000" w:themeColor="text1"/>
          <w:sz w:val="16"/>
          <w:szCs w:val="16"/>
        </w:rPr>
        <w:softHyphen/>
        <w:t>лее жесткой, что создало лучшие условия для вылета РС;</w:t>
      </w:r>
    </w:p>
    <w:p w14:paraId="687B30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Лобовая ширина пиропистолста - всего 12 мм вместо 38 (трубка 12x6 мм), что уменьшает разброс пламени ракетного заряда и создаст ус</w:t>
      </w:r>
      <w:r w:rsidRPr="00A3026E">
        <w:rPr>
          <w:rFonts w:ascii="Times New Roman" w:hAnsi="Times New Roman"/>
          <w:color w:val="000000" w:themeColor="text1"/>
          <w:sz w:val="16"/>
          <w:szCs w:val="16"/>
        </w:rPr>
        <w:softHyphen/>
        <w:t>ловия для повышения живучести обшивки самолета».</w:t>
      </w:r>
    </w:p>
    <w:p w14:paraId="5910AB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итоге военные признали прочность облегченных орудий удовлетворитсльной. А с учетом того, что они оказались не только легче упрошенных, но и значительно проще и дешевле в производства в 2-3 раза, а также обладали надежными пиропистолетами и не требовали дефицитных материалов, их приняли на вооружение ВВС (11402).</w:t>
      </w:r>
    </w:p>
    <w:p w14:paraId="6F9A7C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4B3D02C" w14:textId="77777777" w:rsidR="009D1F38" w:rsidRPr="00A3026E" w:rsidRDefault="009D1F38"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г. было письмо Директору НИИ-3 НКБ от начальника 8-го управления ГУ ВВС КА военинженера 1 ранга Никонова «Прошу сдаточную партию РОФС-140 отгрузить на НИПАВ для проведения полигонных испытаний (40 шт. в серном снаряжении, 35 шт. в боевом). Испытания планировать на ноябрь». Для испытаний на максимальное значение скорости на траектории требовалось израсходовать не более 12 снарядов по баллистическим рамам-мишеням, установленным на расстояниях 20, 30, 40 м друг от друга 18 мот станка с углом возвышения направляющей 2°. Стрельба состо</w:t>
      </w:r>
      <w:r w:rsidRPr="00A3026E">
        <w:rPr>
          <w:rFonts w:ascii="Times New Roman" w:hAnsi="Times New Roman"/>
          <w:color w:val="000000" w:themeColor="text1"/>
          <w:sz w:val="16"/>
          <w:szCs w:val="16"/>
        </w:rPr>
        <w:softHyphen/>
        <w:t>юсь 6 июля 1940 г. Отстреляли семь снарядов, совместив с испытаниями кучность. Максимальное значение скорости не превысило 424 м/с, а среднее ее значение - 417 м/с. Средняя величина отклонений по дальности составила 1/152, а по боковому отклонению - 1/63 дистанции огня (11402).</w:t>
      </w:r>
    </w:p>
    <w:p w14:paraId="5145E4E6" w14:textId="77777777" w:rsidR="009D1F38" w:rsidRPr="00A3026E" w:rsidRDefault="009D1F38" w:rsidP="00A3026E">
      <w:pPr>
        <w:spacing w:after="0" w:line="240" w:lineRule="auto"/>
        <w:jc w:val="both"/>
        <w:rPr>
          <w:rFonts w:ascii="Times New Roman" w:hAnsi="Times New Roman"/>
          <w:color w:val="000000" w:themeColor="text1"/>
          <w:sz w:val="16"/>
          <w:szCs w:val="16"/>
        </w:rPr>
      </w:pPr>
    </w:p>
    <w:p w14:paraId="016B3F40"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A6618C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9D02E75"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16/17 октября 1940 г.</w:t>
      </w:r>
    </w:p>
    <w:p w14:paraId="12930008"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Фонд 31811 Опись 2 Дело 978 листы 260 – 278</w:t>
      </w:r>
    </w:p>
    <w:p w14:paraId="2C74F39C"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Секретно.</w:t>
      </w:r>
    </w:p>
    <w:p w14:paraId="1DB26873"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Экз. № 3</w:t>
      </w:r>
    </w:p>
    <w:p w14:paraId="605DCB85"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16/17 октября 1940 г.</w:t>
      </w:r>
    </w:p>
    <w:p w14:paraId="0955974E"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6Н/05456</w:t>
      </w:r>
    </w:p>
    <w:p w14:paraId="339A4F5F"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АБТУ Красной Армии</w:t>
      </w:r>
    </w:p>
    <w:p w14:paraId="41E3C6A7"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w:t>
      </w:r>
    </w:p>
    <w:p w14:paraId="5A48D806"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полигонном испытании танка Т-34 вооруженного 76 мм пушкой Л-11.</w:t>
      </w:r>
    </w:p>
    <w:p w14:paraId="3794327A"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ЗАДАНИЕ № 2-179/1112.</w:t>
      </w:r>
    </w:p>
    <w:p w14:paraId="4B61330F"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ОСНОВАНИЕ: Предписание Арткома АУ № 453785 от 14/8-1940 г. с программой испытаний.</w:t>
      </w:r>
    </w:p>
    <w:p w14:paraId="6AF09DE3"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2BE60CB2"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Проверить прочность крепления артсистемы в башне танка.</w:t>
      </w:r>
    </w:p>
    <w:p w14:paraId="3381CCA0"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Отстрел углов вылета.</w:t>
      </w:r>
    </w:p>
    <w:p w14:paraId="1593E64D"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Установить надежность защиты артсистемы и смотровых приборов путем обстрела башни танка бронебойными пулями, бронебойными и осколочно-фугасными снарядами калибра 37, 45 и 76 мм.</w:t>
      </w:r>
    </w:p>
    <w:p w14:paraId="65F6D915"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Проверить вентиляцию танка при стрельбе.</w:t>
      </w:r>
    </w:p>
    <w:p w14:paraId="49F2F4E9"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Установить удобство обслуживания и эксплоатации артсистемы в боевых условиях, а также монтажа и демонтажа в войсках.</w:t>
      </w:r>
    </w:p>
    <w:p w14:paraId="08AA7945"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Определение мертвых пространств.</w:t>
      </w:r>
    </w:p>
    <w:p w14:paraId="0EFB11C1"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Определение меткости стрельбы по щиту с дистанции 1000 метров.</w:t>
      </w:r>
    </w:p>
    <w:p w14:paraId="50E4C9BE"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ХОД ИСПЫТАНИЯ.</w:t>
      </w:r>
    </w:p>
    <w:p w14:paraId="741C5370"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Т-34, вооруженный 76 мм пушкой Л-11 без перископа, поступил на АНИОП с завода № 183 24/7-40 г. Чертежи и описание танка на АНИОП присланы не были.</w:t>
      </w:r>
    </w:p>
    <w:p w14:paraId="7DB9F295"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Рабочая программа испытаний по отстрелу артсистемы из танка была составлена АНИОПом на основании программы АУ и АБТУ, полученной с предписанием, и согласована с представителями АБТУ: майором т. ПАНОВЫМ и Военинженером 2 ранга т. НЕСТЕРОВЫМ и представителем завода № 183 инженером-конструктором т. ЧЕРНЯК.</w:t>
      </w:r>
    </w:p>
    <w:p w14:paraId="619C4AEB"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по обстрелу башни танка, по пн. 4-му программы проведено, и отчет по данному испытанию будет представлен дополнительно.</w:t>
      </w:r>
    </w:p>
    <w:p w14:paraId="43F2FEE6"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Отстрел углов вылета был проведен ранее по предписанию Арткома АУ № 452357 от 5/6-40 г. и отчет по данному испытанию отправлен АНИОПом 16/8-40 г. за № 061/04215.</w:t>
      </w:r>
    </w:p>
    <w:p w14:paraId="5C299C1D"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Порядок проведения испытаний по отстрелу артсистемы из танка и количество произведенных выстрелов приводится ниже в таблице № 1.</w:t>
      </w:r>
    </w:p>
    <w:p w14:paraId="4356E737"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 1.</w:t>
      </w:r>
    </w:p>
    <w:p w14:paraId="77F10B49"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1) Стрельба велась под углом 25° т.к. больший угол возвышения в танке не обеспечен.</w:t>
      </w:r>
    </w:p>
    <w:p w14:paraId="754AD558"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ИСПЫТАНИЕ ТАНКА СТРЕЛЬБОЙ.</w:t>
      </w:r>
    </w:p>
    <w:p w14:paraId="52E78B7A"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Испытание на кучность боя по щиту.</w:t>
      </w:r>
    </w:p>
    <w:p w14:paraId="17DEA090"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Стрельба на кучность боя по щиту с места на дистанцию 1000 метров производилась нормальным зарядом (1,108 кгр., 9/7св7/35 Т) на осколочно-фугасном снаряде черт. 2-01635, приведенном к весу 6,23 кгр. серой с взрывателем КТМ-1 охолощенный.</w:t>
      </w:r>
    </w:p>
    <w:p w14:paraId="52C2749A"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испытания на кучность боя по щиту приводятся ниже в таблице № 2.</w:t>
      </w:r>
    </w:p>
    <w:p w14:paraId="09000BF2"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 2.</w:t>
      </w:r>
    </w:p>
    <w:p w14:paraId="61D6E7C7"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Во время отстрела на кучность 1-й группы проводилась проверка (отбор пробы) вентиляции боевого отделения танка без работающего мотора, и во время отстрела второй группы – с работающим мотором.</w:t>
      </w:r>
    </w:p>
    <w:p w14:paraId="0C86A539"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приведенной таблицы № 2 видно, что кучность боя на всех 4-х стрельбах получена удовлетворительная и примерно равна опытной кучности, полученной при испытании данной системы в танке Т-28.</w:t>
      </w:r>
    </w:p>
    <w:p w14:paraId="247D2CB6"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 Кучность боя по щиту с места на дистанцию 1000 метров – удовлетворительная.</w:t>
      </w:r>
    </w:p>
    <w:p w14:paraId="71291403"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СТРЕЛЬБА НА ПРОЧНОСТЬ.</w:t>
      </w:r>
    </w:p>
    <w:p w14:paraId="4FF1A562"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Стрельба на прочность крепления артсистемы в башне танка производилась на усиленном заряде 1,150 кгр. 9/7св.7/35Т (для V0 = 660 м/с и Р = 2520 кг/см²) и осколочно-фугасном снаряде черт 2-01635, приведенным к весу 6,23 кгр песком. Условия испытания на прочность и сделанное количество выстрелов приводятся ниже в таблице № 3.</w:t>
      </w:r>
    </w:p>
    <w:p w14:paraId="046288D5"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 3.</w:t>
      </w:r>
    </w:p>
    <w:p w14:paraId="5327F9E4"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стрельбы на прочность приводятся ниже в разделе "Прочность крепления артсистемы".</w:t>
      </w:r>
    </w:p>
    <w:p w14:paraId="3FAA879B"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СТРЕЛЬБА С ХОДА.</w:t>
      </w:r>
    </w:p>
    <w:p w14:paraId="0C210EBE"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проверки вентиляции боевого отделения танка при стрельбе на ходу была произведена стрельба с хода. Стрельба велась на нормальном заряде, снарядом черт. 2-01635, приведенным к весу 6,23 кг песком, через левый и правый борт танка, при угле возвышения 0°. Всего было сделано 15 выстрелов.</w:t>
      </w:r>
    </w:p>
    <w:p w14:paraId="6B3F42CC"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проверки приводятся ниже в разделе "Определение эффективности вентиляции боевого отделения танка".</w:t>
      </w:r>
    </w:p>
    <w:p w14:paraId="74F279A7"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СТРЕЛЬБА НА ОПРЕДЕЛЕНИЕ МЕРТВЫХ ПРОСТРАНСТВ.</w:t>
      </w:r>
    </w:p>
    <w:p w14:paraId="1531EB17"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мертвых пространств обзора и обстрела, при нахождении танка на горизонтальной площадке, было произведено три выстрела в трех направлениях: по ходу, через борт и через корму танка при наибольшем допустимом угле снижения ствола в каждую из указанных направлений.</w:t>
      </w:r>
    </w:p>
    <w:p w14:paraId="371488BA"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Стрельба велась на нормальном заряде, снарядом черт. 2-01635, приведенным к весу 6,23 кгр песком. Результаты замеров фактически полученных мертвых пространств: расстояние (по горизонтали) от танка до падения снаряда при стрельбе из пушки, и расстояние (также по горизонтали) от танка до ближайшей видимой точки на площадке при наблюдении в телескопический прицел, приводятся ниже в таблице № 4.</w:t>
      </w:r>
    </w:p>
    <w:p w14:paraId="29CE2A54"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 4.</w:t>
      </w:r>
    </w:p>
    <w:p w14:paraId="653A9B6D"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ПРОЧНОСТЬ КРЕПЛЕНИЯ АРТСИСТЕМЫ.</w:t>
      </w:r>
    </w:p>
    <w:p w14:paraId="1469864F"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прочности крепления артсистемы в башне танка, система была перед началом испытаний разобрана и вынута из башни танка, детали и места крепления системы в башне танка: боковины башни для крепления маски и места приварки их к броне башни, цапфы и гнезда цапф в боковинах и маске, были осмотрены, обмерены и сделана разметка их. Кроме того, после сборки системы, было сделано определение углов возвышения и снижения системы, величины которых приводятся ниже в таблице № 5.</w:t>
      </w:r>
    </w:p>
    <w:p w14:paraId="2F5232C8"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 5.</w:t>
      </w:r>
    </w:p>
    <w:p w14:paraId="7F72F154"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проведения всех стрельб, перечисленных выше, и окончания испытания танка отстрелом, система была снова разобрана и вынута из башни танка, произведены осмотр, проверка обмеров и разметки деталей и мест крепления системы в башне танка (результаты обмеров первоначальных и проверки их см. в приложении).</w:t>
      </w:r>
    </w:p>
    <w:p w14:paraId="77A11913"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приведенных результатов осмотра и обмера видно, что за время испытания никаких повреждений и увеличения размеров деталей крепления системы в башне танка не произошло, за исключением некоторого увеличения диаметров (правой на 0,02 и левой на 0,04 мм) бронзовых втулок цапфенных гнезд маски, которое можно отнести за счет небольшого износа их.</w:t>
      </w:r>
    </w:p>
    <w:p w14:paraId="7A4BEDF4"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 Крепление артсистемы (Л-11) в башне танка Т-34, после 343 выстрелов (из них 225 усиленных) оказалось прочным.</w:t>
      </w:r>
    </w:p>
    <w:p w14:paraId="4DF493D0"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УДОБСТВО ОБСЛУЖИВАНИЯ И МОНТАЖА АРТСИСТЕМЫ В ТАНКЕ.</w:t>
      </w:r>
    </w:p>
    <w:p w14:paraId="3AD77B3D"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произведенных испытаний и в процессе разборок системы установлено следующее:</w:t>
      </w:r>
    </w:p>
    <w:p w14:paraId="779FA37B"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Ножной спуск очень тугой, так что при спуске необходимо сильно ударять по педали. Причем, после 212 выстрелов ножной спуск не работал, вследствие не взвода инерционного тела. При осмотре ножного спуска, во время разборки системы после окончания испытаний, было установлено, что ослабли два поджимных винта боковой планки спуска, и на опорной плоскости стопора (дет. 02-136) образовались большие намины, что и послужило причиной отказа в работе ножного спуска.</w:t>
      </w:r>
    </w:p>
    <w:p w14:paraId="424F9B19"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Укладка патронов в лотках и лотков на полу танка неудобна. Резиновые прокладки широки, вследствие чего, при загрузке лотка патронами, происходит распирание боковых стенок лотка, что в свою очередь вызывает трудность постановки лотка на место и вынимание его. Необходимо уменьшить ширину резиновых прокладок, а также продумать более рациональную укладку патронов.</w:t>
      </w:r>
    </w:p>
    <w:p w14:paraId="02FDD9D7"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Добавка жидкости и давления в противооткатные устройства системы возможна внутри башни. Необходимо только иметь прибор для оттягивания ствола, при поверке графиком. Кроме того, необходимо при монтаже на заводе учесть правильность постановки цилиндра и шпонки, предохраняющей от поворота цилиндра противооткатных устройств в маске. В противном случае, что имело место с данной системой, не представляется возможность постановки тройника манометра при проверке давления и для достижения этого требовалось отсоединение шпонки и поворота цилиндра, что затрудняет и усложняет эксплоатацию системы. Для полной замены жидкости или для других целей, когда потребуется вынуть цилиндр противооткатных устройств, необходимо оттягивать ствол назад.</w:t>
      </w:r>
    </w:p>
    <w:p w14:paraId="5F9AB2B8"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Разборку затвора и полуавтоматики можно производить внутри башни танка.</w:t>
      </w:r>
    </w:p>
    <w:p w14:paraId="4CC71DBA"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Производство монтажа и демонтажа артсистемы в танке не представляет больших затруднений и может быть выполнимо в войсковых частях.</w:t>
      </w:r>
    </w:p>
    <w:p w14:paraId="0DCC5419"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Основным неудобством при вынимании маски из башни танка является то, что требуется отнимать рацию, подъемный и поворотный механизмы. Причем, по заявлению представителей АБТУ и завода № 183, рация была установлена в башне только на первых 10 танках, на всех последующих она уже расположена в другом отделении танка.</w:t>
      </w:r>
    </w:p>
    <w:p w14:paraId="72C2E94B"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разборке (демонтаж) системы, после окончания испытаний стрельбой, и при сборке (монтаж) системы, после проверки, обмеров, которые производились на АНИОПе двумя слесарями, причем вынимание ствола и маски производилось при помощи крана (в условиях войсковой части можно производить людьми), было определено время, затраченное на производство этих операций. Так, для вынимания ствола из башни танка, для чего необходимо было предварительно снять: задний люк башни, переднюю бронировку люльки и системы, телескопический прицел, переключатель рации, задний плафон, гильзоулавливатель, щиток спускового механизма, пулемет и стартер поворотного механизма, потребовалось 45 минут.</w:t>
      </w:r>
    </w:p>
    <w:p w14:paraId="3A7CD483"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вынимания маски системы вместе с бронировкой, для чего также необходимо было предварительно снять: поворотный механизм, подъемный механизм и оси цапф маски – потребовалось 1 час времени.</w:t>
      </w:r>
    </w:p>
    <w:p w14:paraId="61F17F94"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для демонтажа всей артсистемы (вынимание из башни танка) потребовалось 1 час 45 минут. В это время не входит, конечно, в случае необходимости разборки, время, на разборку ствола и противооткатных устройств системы.</w:t>
      </w:r>
    </w:p>
    <w:p w14:paraId="08B83061"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монтажа артсистемы в танке, который производился в обратном порядке, было затрачено: на установку маски – 1 час 20 минут, и для постановки ствола – 1 час 10 минут. Таким образом, для монтажа всей системы в танке потребовалось времени 2 часа 30 минут.</w:t>
      </w:r>
    </w:p>
    <w:p w14:paraId="1D24A406"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Общее же количество времени, затраченное на демонтаж и монтаж системы, составляет 4 часа 15 минут.</w:t>
      </w:r>
    </w:p>
    <w:p w14:paraId="21B54928"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42C4483E"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Ножной спуск очень тугой, необходимо сделать его более легким.</w:t>
      </w:r>
    </w:p>
    <w:p w14:paraId="7F143BA6"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Укладка патронов в лотках и самих лотков на полу танка неудобна. Широки резиновые прокладки в лотках. Необходимо уменьшить ширину прокладок, а также пересмотреть укладку, сделав ее более рациональной.</w:t>
      </w:r>
    </w:p>
    <w:p w14:paraId="46415A4C"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Добавку жидкости и давления в противооткатные устройства системы возможно делать в башне танка. Необходимо, для проверки количества жидкости в противооткатных устройствах по графику, обеспечить возможность оттягивания ствола прибором.</w:t>
      </w:r>
    </w:p>
    <w:p w14:paraId="5431ED59"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При монтаже системы в танке на заводе, необходимо обеспечить правильную постановку цилиндра противооткатных устройств и шпонки в маске так, чтобы при проверке давления в цилиндре, имелась бы возможность свободной постановки тройника для манометра.</w:t>
      </w:r>
    </w:p>
    <w:p w14:paraId="1A6B6413"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Разборку и сборку затвора и полуавтоматики возможно производить в башне танка.</w:t>
      </w:r>
    </w:p>
    <w:p w14:paraId="24EAE03B"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Монтаж и демонтаж артсистемы в войсковых частях возможен, и не представляет больших затруднений. Вынимание ствола и маски из башни танка в условиях войсковых частей можно производить людьми.</w:t>
      </w:r>
    </w:p>
    <w:p w14:paraId="61A8FB2B"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 ОПРЕДЕЛЕНИЕ ЭФФЕКТИВНОСТИ ВЕНТИЛЯЦИИ БОЕВОГО ОТДЕЛЕНИЯ ТАНКА</w:t>
      </w:r>
    </w:p>
    <w:p w14:paraId="2AB88241"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СТРЕЛЬБЕ ИЗ 76 мм ПУШКИ Л-11.</w:t>
      </w:r>
    </w:p>
    <w:p w14:paraId="0369C518"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Предварительные замечания.</w:t>
      </w:r>
    </w:p>
    <w:p w14:paraId="0BBAD628"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Испытание по проверке вентиляции танка проводил Вр. Начальника Физиологической лабаратории АНИОПа военврач 2 ранга т. АЛЕКСАНДРОВ.</w:t>
      </w:r>
    </w:p>
    <w:p w14:paraId="19B664FF"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Проведенный внутренний осмотр танка перед испытание показал, что кабина водителя и башня танка Т-34 вентилируется воздухом, подаваемым для охлаждения мотора. Кабина и башня не герметичны: после закрывания люков остаются щели в несколько миллиметров шириной. Воздух, подаваемый для вентиляции боевого помещения, не проходит через фильтры, и в случае попадания танка в атмосферу О.В., будет отравлен. В имеющиеся щели могут проникать не только газообразные не стойкие О.В., но и от части стойкие О.В. в состоянии тумана и жидких капель.</w:t>
      </w:r>
    </w:p>
    <w:p w14:paraId="054D416A"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Ход испытания и результаты по проверке вентиляции танка.</w:t>
      </w:r>
    </w:p>
    <w:p w14:paraId="7FD32A83"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Эффективность вентиляции определялась путем определения концентрации СО в воздухе танка во время и после стрельбы, причем стрельбы проводились при заглушенном моторе, при работающем моторе на месте и при стрельбе схода.</w:t>
      </w:r>
    </w:p>
    <w:p w14:paraId="6312EDD5"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Пробы воздуха на СО забирались общепринятым способом в резиновые камеры в зоне дыхания наводчика и заряжающего. Анализ проб производился кондуктометрическим способом. Во всех случаях люки были закрыты.</w:t>
      </w:r>
    </w:p>
    <w:p w14:paraId="683AE329"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Проведенные испытания, дали следующие результаты, которые приводятся ниже в таблице № 6.</w:t>
      </w:r>
    </w:p>
    <w:p w14:paraId="3629937B"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 6.</w:t>
      </w:r>
    </w:p>
    <w:p w14:paraId="740BABA0"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Допустимая предельная концентрация СО для боевых отделений бронебашен танков и кораблей 0,2 мг/литр. Сделанные анализы показывают, что при интенсивных очередях из орудия в 5 – 10 – 15 выстрелов, создаются на короткое время концентрации пороховых газов, превышающие означенный предел.</w:t>
      </w:r>
    </w:p>
    <w:p w14:paraId="7EC40013"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Они создаются за счет газов, выделяющихся из казенной части в момент выбрасывания гильзы, из самой гильзы, упавшей в гильзоулавливатель, и наконец, затягиваются из атмосферы, окружающей танк. При работающем моторе и, особенно при движении танка, концентрации СО получились меньшими, чем при стрельбе с места, и притом, уменьшались под влиянием вентиляции значительно быстрее.</w:t>
      </w:r>
    </w:p>
    <w:p w14:paraId="4043C8EC"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Концентрация СО порядка 0,18 – 0,34 мг/литр, действуя в течение 10 – 15 минут, т.е. кратковременно, не вызывает заметных явлений отравления у лиц, находившихся в танке.</w:t>
      </w:r>
    </w:p>
    <w:p w14:paraId="037FCE7E"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Концентрация СО порядка 0,46 – 0,97 мг/литр, действуя в течение такого же короткого времени, вызывали ощущение тяжести в голове, несколько пониженное самочувствие, небольшое учащение пульса.</w:t>
      </w:r>
    </w:p>
    <w:p w14:paraId="5921798F"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оценке полученных результатов следует учитывать следующие обстоятельства:</w:t>
      </w:r>
    </w:p>
    <w:p w14:paraId="74414F38"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Возможность увеличения боевого комплекта, а следовательно и большую продолжительность стрельбы.</w:t>
      </w:r>
    </w:p>
    <w:p w14:paraId="0889033F"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Одновременно стрельбу из пулеметов радиста и башенного стрелка, что значительно повысит концентрацию СО в боевом помещении.</w:t>
      </w:r>
    </w:p>
    <w:p w14:paraId="0B4E2A95"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Вероятную возможность не одного, а нескольких выездов за день, с пополнением боезапаса, что увеличит общую продолжительность пребывания бойцов в атмосфере, загрязненной пороховыми газами.</w:t>
      </w:r>
    </w:p>
    <w:p w14:paraId="50C44D6D"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15DB2A63"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все вышесказанное, следует признать систему вентиляции данного танка нуждающейся в доработке. Необходимо, чтобы вентиляция танка отвечала двум основным требованиям:</w:t>
      </w:r>
    </w:p>
    <w:p w14:paraId="13F5DF00"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подача чистого воздуха в зону дыхания бойцов и</w:t>
      </w:r>
    </w:p>
    <w:p w14:paraId="5A78BDF8"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предупреждение скопления газов в верхней части башни, что не осуществлено в танке Т-34.</w:t>
      </w:r>
    </w:p>
    <w:p w14:paraId="651CAB0F"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VI. ЗАМЕЧАНИЯ ПО РАБОТЕ 76 мм ПУШКИ Л-11 ВО ВРЕМЯ СТРЕЛЬБЫ ИЗ ТАНКА Т-34.</w:t>
      </w:r>
    </w:p>
    <w:p w14:paraId="17DB41BB"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Затвор и полуавтоматика за все время испытания (343 выстрела) работали исправно.</w:t>
      </w:r>
    </w:p>
    <w:p w14:paraId="51757042"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Инерционное тело ножного спуска после 212 выстрелов не взводилось, ввиду образовавшихся больших наминов на опорной плоскости стопора (деталь 02-136). Необходимо заводу пересмотреть материал и твердость его в данной детали.</w:t>
      </w:r>
    </w:p>
    <w:p w14:paraId="21607F33"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Противооткатные устройства системы при углах возвышения от 0° до + 25° работали исправно, и длины отката находились в допустимых пределах. При стрельбе же под углом снижения – 5° (усиленным зарядом), несмотря на нормальное давление (45 атм.) и количество жидкости (4,75 литра по графику), длины откатов получались выше предельных, и доходили до 505 мм.</w:t>
      </w:r>
    </w:p>
    <w:p w14:paraId="0DFC9E99"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VII. ОБЩИЕ ВЫВОДЫ ПО ОТСТРЕЛУ ТАНКА.</w:t>
      </w:r>
    </w:p>
    <w:p w14:paraId="2F5D099B"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проведенных испытаний танка отстрелом (343 выстрела) можно сделать следующие выводы:</w:t>
      </w:r>
    </w:p>
    <w:p w14:paraId="1F4657BA"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Кучность боя по щиту на дистанцию 1000 метров с места удовлетворительная, и примерно равна кучности, полученной при испытании данной системы в танке Т-28.</w:t>
      </w:r>
    </w:p>
    <w:p w14:paraId="68A03AEE"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Прочности крепления артсистемы в башне танка, после сделанных 343 выстрелов (из них 225 усиленных), можно считать достаточной.</w:t>
      </w:r>
    </w:p>
    <w:p w14:paraId="6601BDC9"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Величина мертвых пространств по обзору и обстрелу при наибольших углах снижения пушки, и при нахождении танка на горизонтальной площадке равна: по обстрелу – при стрельбе по ходу и через борта 18 – 19 метров, и через корму танка – 80 метров, по обзору – соответственно 7 – 8 метров и 15 метров.</w:t>
      </w:r>
    </w:p>
    <w:p w14:paraId="6BDAB57D"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Вентиляция боевого отделения танка при стрельбе неудовлетворительная и требует доработки. Необходимо, чтобы вентиляция танка отвечала двум основным требованиям:</w:t>
      </w:r>
    </w:p>
    <w:p w14:paraId="407164B6"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обеспечивалась бы подача чистого воздуха в зону дыхания бойцов и</w:t>
      </w:r>
    </w:p>
    <w:p w14:paraId="59316DF6"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предупреждалось бы скопление газов в верхней части башни, что не осуществлено в танке Т-34.</w:t>
      </w:r>
    </w:p>
    <w:p w14:paraId="58545A05"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По удобству обслуживания и монтажа системы:</w:t>
      </w:r>
    </w:p>
    <w:p w14:paraId="370E61FC"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Ножной спуск очень тугой, необходимо сделать его более легким.</w:t>
      </w:r>
    </w:p>
    <w:p w14:paraId="3DD1D72A"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Укладка патронов в лотках и самих лотков на полу танка неудобна. Широки резиновые прокладки в лотках. Необходимо уменьшить ширину прокладок, а также пересмотреть укладку, сделав ее более рациональной.</w:t>
      </w:r>
    </w:p>
    <w:p w14:paraId="36383F33"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Добавку жидкости и давления в противооткатные устройства системы возможно делать в башне танка. Необходимо, для проверки количества жидкости в противооткатных устройствах по графику, обеспечить возможность оттягивания ствола прибором.</w:t>
      </w:r>
    </w:p>
    <w:p w14:paraId="26DD524F"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г) При монтаже системы в танке на заводе, необходимо обеспечить правильную постановку цилиндра противооткатных устройств и шпонки в маске так, чтобы при проверке давления в цилиндре, имелась бы возможность свободной постановки тройника для манометра.</w:t>
      </w:r>
    </w:p>
    <w:p w14:paraId="13AB5ED1"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Разборку и сборку затвора и полуавтоматики возможно производить в башне танка.</w:t>
      </w:r>
    </w:p>
    <w:p w14:paraId="306141A8"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Монтаж и демонтаж артсистемы в войсковых частях возможен, и не представляет больших затруднений. Вынимание ствола и маски из башни танка в условиях войсковых частей можно производить людьми.</w:t>
      </w:r>
    </w:p>
    <w:p w14:paraId="1E2099AF"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В отношении обнаруженных недостатков при стрельбе на прочность через корму танка, отмеченных в примечании таблицы № 3, необходимо:</w:t>
      </w:r>
    </w:p>
    <w:p w14:paraId="63B48545"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Задний стоп-сигнал перенести в другое место.</w:t>
      </w:r>
    </w:p>
    <w:p w14:paraId="1F6998D6"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Сделать более надежное крепление крышки вентиляционного люка передней перегородки.</w:t>
      </w:r>
    </w:p>
    <w:p w14:paraId="31190B61"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Сделать более надежным стопор, удерживающий задние жалюзи в закрытом положении.</w:t>
      </w:r>
    </w:p>
    <w:p w14:paraId="28D66693"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Упрочнить откидной колпак над жалюзями или ввести ограничитель для придания наименьшего допустимого угла возвышения, при котором позволяется стрельба через корму танка.</w:t>
      </w:r>
    </w:p>
    <w:p w14:paraId="4429E32E"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5FD2405"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проведенных полигонных испытаний танка Т-34, вооруженного 76 мм пушкой Л-11, отстрелом в количестве 343 выстрелов (из них 225 усиленных) АНИОП приходит к следующему заключению:</w:t>
      </w:r>
    </w:p>
    <w:p w14:paraId="2B5B9229"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Прочность крепления артсистемы в башне танка, как показали результаты испытаний, после указанного выше числа выстрелов, можно считать достаточной.</w:t>
      </w:r>
    </w:p>
    <w:p w14:paraId="7302E72A"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Меткость стрельбы по щиту на дистанцию 1000 метров с места – удовлетворительная.</w:t>
      </w:r>
    </w:p>
    <w:p w14:paraId="516B1FE8"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Величина мертвых пространств при стрельбе из пушки по ходу и через борта 18 – 19 метров и через корму танка 80 метров (расстояние по горизонтали). Величина мертвых пространств по обзору, при наблюдении в телескопический прицел, соответственно равна 7 – 8 метров и 15 метров (также расстояние по горизонтали).</w:t>
      </w:r>
    </w:p>
    <w:p w14:paraId="15B3E59E"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Обслуживание артсистемы в танке Т-34, а также монтаж и демонтаж ее в войсках возможен. Необходимо только устранить недостатки, отмеченные по настоящему испытанию, и указанные в общих выводах отчета.</w:t>
      </w:r>
    </w:p>
    <w:p w14:paraId="317CAC2D"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Вентиляция боевого отделения танка при стрельбе неудовлетворительная и нуждается в доработке.</w:t>
      </w:r>
    </w:p>
    <w:p w14:paraId="16E602A8"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Результаты обмеров крепления артсистемы в башне танка на 3 листах.</w:t>
      </w:r>
    </w:p>
    <w:p w14:paraId="1100A560"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Вр. Начальника АНИОПа военинженер 1 ранга (Оглоблин)</w:t>
      </w:r>
    </w:p>
    <w:p w14:paraId="60D50C25"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 Начальника 6 отдела военинженер 1 ранга подпись (Гранделевский)</w:t>
      </w:r>
    </w:p>
    <w:p w14:paraId="683FD117"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Руководитель опыта военинженер 2 ранга подпись (Довгополый)</w:t>
      </w:r>
    </w:p>
    <w:p w14:paraId="73453D8A"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поступил в печать 9/Х-40 г.</w:t>
      </w:r>
    </w:p>
    <w:p w14:paraId="4256BD56" w14:textId="77777777" w:rsidR="005E4BDD" w:rsidRPr="00A3026E" w:rsidRDefault="005E4B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Отпечатан 10/Х-40 г. (19579).</w:t>
      </w:r>
    </w:p>
    <w:p w14:paraId="14AA5CCB" w14:textId="77777777" w:rsidR="005E4BDD" w:rsidRPr="00A3026E" w:rsidRDefault="005E4BDD" w:rsidP="00A3026E">
      <w:pPr>
        <w:spacing w:after="0" w:line="240" w:lineRule="auto"/>
        <w:jc w:val="both"/>
        <w:rPr>
          <w:rFonts w:ascii="Times New Roman" w:hAnsi="Times New Roman"/>
          <w:color w:val="000000" w:themeColor="text1"/>
          <w:sz w:val="16"/>
          <w:szCs w:val="16"/>
        </w:rPr>
      </w:pPr>
    </w:p>
    <w:p w14:paraId="66B695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года вышел приказ № 296сс НКВ</w:t>
      </w:r>
    </w:p>
    <w:p w14:paraId="058BE9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Подольский механический завод передается из ведения Наркомата общего машиностроения в ведение НКВ (6244, 91).</w:t>
      </w:r>
    </w:p>
    <w:p w14:paraId="6399C8D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DBBC7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16 октября 1940 г. был готов эскизный проект перевооружения крейсера Кронштадт. Он получил обозначение 69И. Его реализация требовала существенных переделок корпуса в районах 62—175-го и 351— 431-го шп. и вызывала увеличение водоизмещения. Моряки высту</w:t>
      </w:r>
      <w:r w:rsidRPr="00A3026E">
        <w:rPr>
          <w:rFonts w:ascii="Times New Roman" w:hAnsi="Times New Roman"/>
          <w:color w:val="000000" w:themeColor="text1"/>
          <w:sz w:val="16"/>
          <w:szCs w:val="16"/>
        </w:rPr>
        <w:softHyphen/>
        <w:t>пили против применения германской брони для корпуса (такое предложение тоже поступало), а адмирал Кузнецов вообще предла</w:t>
      </w:r>
      <w:r w:rsidRPr="00A3026E">
        <w:rPr>
          <w:rFonts w:ascii="Times New Roman" w:hAnsi="Times New Roman"/>
          <w:color w:val="000000" w:themeColor="text1"/>
          <w:sz w:val="16"/>
          <w:szCs w:val="16"/>
        </w:rPr>
        <w:softHyphen/>
        <w:t>гал отказаться от тяжелых крейсеров, но был "поправлен" Стали</w:t>
      </w:r>
      <w:r w:rsidRPr="00A3026E">
        <w:rPr>
          <w:rFonts w:ascii="Times New Roman" w:hAnsi="Times New Roman"/>
          <w:color w:val="000000" w:themeColor="text1"/>
          <w:sz w:val="16"/>
          <w:szCs w:val="16"/>
        </w:rPr>
        <w:softHyphen/>
        <w:t>ным. Генсек приказал считать два корабля типа "Кронштадт" пер</w:t>
      </w:r>
      <w:r w:rsidRPr="00A3026E">
        <w:rPr>
          <w:rFonts w:ascii="Times New Roman" w:hAnsi="Times New Roman"/>
          <w:color w:val="000000" w:themeColor="text1"/>
          <w:sz w:val="16"/>
          <w:szCs w:val="16"/>
        </w:rPr>
        <w:softHyphen/>
        <w:t>воочередными объектами программы. Их решили спустить на воду в третьем квартале 1942 г. и ввести в строй в 1944 г. В конце 1940— начале 1941 гг. был окончательно решен вопрос о достройке обоих крейсеров с шестью 380-мм орудиями. Однако эти пушки так и не были поставлены немцами до 22 июня 1941 г., когда го</w:t>
      </w:r>
      <w:r w:rsidRPr="00A3026E">
        <w:rPr>
          <w:rFonts w:ascii="Times New Roman" w:hAnsi="Times New Roman"/>
          <w:color w:val="000000" w:themeColor="text1"/>
          <w:sz w:val="16"/>
          <w:szCs w:val="16"/>
        </w:rPr>
        <w:softHyphen/>
        <w:t>товность "Кронштадта" и "Севастополя" достигла около 12% пол</w:t>
      </w:r>
      <w:r w:rsidRPr="00A3026E">
        <w:rPr>
          <w:rFonts w:ascii="Times New Roman" w:hAnsi="Times New Roman"/>
          <w:color w:val="000000" w:themeColor="text1"/>
          <w:sz w:val="16"/>
          <w:szCs w:val="16"/>
        </w:rPr>
        <w:softHyphen/>
        <w:t>ной. Лишь одно германское 380-мм орудие было испытано на НИМАП. Вскоре после начала войны постройку "Кронштадта" приоста</w:t>
      </w:r>
      <w:r w:rsidRPr="00A3026E">
        <w:rPr>
          <w:rFonts w:ascii="Times New Roman" w:hAnsi="Times New Roman"/>
          <w:color w:val="000000" w:themeColor="text1"/>
          <w:sz w:val="16"/>
          <w:szCs w:val="16"/>
        </w:rPr>
        <w:softHyphen/>
        <w:t>новили, часть его брони использовали для создания оборонитель</w:t>
      </w:r>
      <w:r w:rsidRPr="00A3026E">
        <w:rPr>
          <w:rFonts w:ascii="Times New Roman" w:hAnsi="Times New Roman"/>
          <w:color w:val="000000" w:themeColor="text1"/>
          <w:sz w:val="16"/>
          <w:szCs w:val="16"/>
        </w:rPr>
        <w:softHyphen/>
        <w:t>ных сооружений под Ленинградом. Материал корпуса и броня "Се</w:t>
      </w:r>
      <w:r w:rsidRPr="00A3026E">
        <w:rPr>
          <w:rFonts w:ascii="Times New Roman" w:hAnsi="Times New Roman"/>
          <w:color w:val="000000" w:themeColor="text1"/>
          <w:sz w:val="16"/>
          <w:szCs w:val="16"/>
        </w:rPr>
        <w:softHyphen/>
        <w:t>вастополя", захваченного немцами на стапеле в Николаеве, были ими частично использованы. Перед оставлением города немцы по</w:t>
      </w:r>
      <w:r w:rsidRPr="00A3026E">
        <w:rPr>
          <w:rFonts w:ascii="Times New Roman" w:hAnsi="Times New Roman"/>
          <w:color w:val="000000" w:themeColor="text1"/>
          <w:sz w:val="16"/>
          <w:szCs w:val="16"/>
        </w:rPr>
        <w:softHyphen/>
        <w:t>дорвали стапель и повредили корпус крейсера. В первые послевоен</w:t>
      </w:r>
      <w:r w:rsidRPr="00A3026E">
        <w:rPr>
          <w:rFonts w:ascii="Times New Roman" w:hAnsi="Times New Roman"/>
          <w:color w:val="000000" w:themeColor="text1"/>
          <w:sz w:val="16"/>
          <w:szCs w:val="16"/>
        </w:rPr>
        <w:softHyphen/>
        <w:t>ные годы оба корабля, имевшие небольшие реальные шансы на до</w:t>
      </w:r>
      <w:r w:rsidRPr="00A3026E">
        <w:rPr>
          <w:rFonts w:ascii="Times New Roman" w:hAnsi="Times New Roman"/>
          <w:color w:val="000000" w:themeColor="text1"/>
          <w:sz w:val="16"/>
          <w:szCs w:val="16"/>
        </w:rPr>
        <w:softHyphen/>
        <w:t>стройку, разобрали на стапелях.</w:t>
      </w:r>
    </w:p>
    <w:p w14:paraId="47D17A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Сравнение крейсеров типа "Кронштадт" с вероятным против</w:t>
      </w:r>
      <w:r w:rsidRPr="00A3026E">
        <w:rPr>
          <w:rFonts w:ascii="Times New Roman" w:hAnsi="Times New Roman"/>
          <w:color w:val="000000" w:themeColor="text1"/>
          <w:sz w:val="16"/>
          <w:szCs w:val="16"/>
        </w:rPr>
        <w:softHyphen/>
        <w:t>ником — "Шарнхорстом" — показывает их явное огневое превос</w:t>
      </w:r>
      <w:r w:rsidRPr="00A3026E">
        <w:rPr>
          <w:rFonts w:ascii="Times New Roman" w:hAnsi="Times New Roman"/>
          <w:color w:val="000000" w:themeColor="text1"/>
          <w:sz w:val="16"/>
          <w:szCs w:val="16"/>
        </w:rPr>
        <w:softHyphen/>
        <w:t>ходство как в первоначальном варианте, так и в варианте с 380-мм артиллерией. Однако они уступали менее крупному германскому кораблю в мощности броневой защиты и вспомогательного воору</w:t>
      </w:r>
      <w:r w:rsidRPr="00A3026E">
        <w:rPr>
          <w:rFonts w:ascii="Times New Roman" w:hAnsi="Times New Roman"/>
          <w:color w:val="000000" w:themeColor="text1"/>
          <w:sz w:val="16"/>
          <w:szCs w:val="16"/>
        </w:rPr>
        <w:softHyphen/>
        <w:t>жения. Вообще же сложившийся в ходе многолетней разработки тип тяжелого крейсера (пр. 69), почти равного по размерам хоро</w:t>
      </w:r>
      <w:r w:rsidRPr="00A3026E">
        <w:rPr>
          <w:rFonts w:ascii="Times New Roman" w:hAnsi="Times New Roman"/>
          <w:color w:val="000000" w:themeColor="text1"/>
          <w:sz w:val="16"/>
          <w:szCs w:val="16"/>
        </w:rPr>
        <w:softHyphen/>
        <w:t>шему линкору, оказался слабым в оперативно-тактическом отно</w:t>
      </w:r>
      <w:r w:rsidRPr="00A3026E">
        <w:rPr>
          <w:rFonts w:ascii="Times New Roman" w:hAnsi="Times New Roman"/>
          <w:color w:val="000000" w:themeColor="text1"/>
          <w:sz w:val="16"/>
          <w:szCs w:val="16"/>
        </w:rPr>
        <w:softHyphen/>
        <w:t>шении. При этом произошел отказ от так необходимого флоту большого крейсера с 240—254-мм орудиями. Следует отметить, что такое положение в 1940—-1941 гг. учи</w:t>
      </w:r>
      <w:r w:rsidRPr="00A3026E">
        <w:rPr>
          <w:rFonts w:ascii="Times New Roman" w:hAnsi="Times New Roman"/>
          <w:color w:val="000000" w:themeColor="text1"/>
          <w:sz w:val="16"/>
          <w:szCs w:val="16"/>
        </w:rPr>
        <w:softHyphen/>
        <w:t>тывалось Наркоматом ВМФ. Отчасти этому способствовало изуче</w:t>
      </w:r>
      <w:r w:rsidRPr="00A3026E">
        <w:rPr>
          <w:rFonts w:ascii="Times New Roman" w:hAnsi="Times New Roman"/>
          <w:color w:val="000000" w:themeColor="text1"/>
          <w:sz w:val="16"/>
          <w:szCs w:val="16"/>
        </w:rPr>
        <w:softHyphen/>
        <w:t>ние моряками и судостроителями приобретенного в 1940 г. в Гер</w:t>
      </w:r>
      <w:r w:rsidRPr="00A3026E">
        <w:rPr>
          <w:rFonts w:ascii="Times New Roman" w:hAnsi="Times New Roman"/>
          <w:color w:val="000000" w:themeColor="text1"/>
          <w:sz w:val="16"/>
          <w:szCs w:val="16"/>
        </w:rPr>
        <w:softHyphen/>
        <w:t>мании недостроенного тяжелого крейсера "Лютцов" (3898).</w:t>
      </w:r>
    </w:p>
    <w:p w14:paraId="4A43FD2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D5345AA"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6EA460B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31E99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президиум ВС принял постановление об учреждении медали Золотая Звезда ГСС (3398,362).</w:t>
      </w:r>
    </w:p>
    <w:p w14:paraId="3805FBD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89B2FC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5485133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03E7B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немцами официально учреждено еврейское гетто в Варшаве (на самом деле оно было создано раньше) (4962).</w:t>
      </w:r>
    </w:p>
    <w:p w14:paraId="4824D1E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7950A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в США зарегистрировалось 16 тыс. добровольцев (2244,7).</w:t>
      </w:r>
    </w:p>
    <w:p w14:paraId="3BCAF37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3EB1C8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DB17FD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D833C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года Зам. начальника ГУ ВВС утвердил Отчет по гос. испытаниям лобовых жалюзи конструкции завода № 126 для регулировки температурного режима винто-моторной группы на самолете ДБ-3Б 2М-87 с винтом ВИШ-3</w:t>
      </w:r>
    </w:p>
    <w:p w14:paraId="6EC7B1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7DFE6F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по испытанию – в\инженер 1 ранга Платонов</w:t>
      </w:r>
    </w:p>
    <w:p w14:paraId="250B5E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по испытанию. Летчик майор Нюхтиков</w:t>
      </w:r>
    </w:p>
    <w:p w14:paraId="404676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6A3EFD1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эффективность регулировки температурного режима ВМГ при помощи лобовых жалюзи конструкции завода № 126 во всех видах полетов самолета ДБ-3Б 2М-87Б.</w:t>
      </w:r>
    </w:p>
    <w:p w14:paraId="0D80AE4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прочность и эксплуатационные качества лобовых жалюзи конструкции завода № 126 на самолете ДБ-3Б 2М87Б.</w:t>
      </w:r>
    </w:p>
    <w:p w14:paraId="1CAABF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сентября 1940 года заводом № 39 предъявлены НИИ ВВС на испытания лобовые жалюзи конструкции завода № 126 для регулировки в полете температурного режима цилиндров мотора на самолете Дб-3Б 2М-87Б, капоты типа «Б».</w:t>
      </w:r>
    </w:p>
    <w:p w14:paraId="5D8EAA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Лобовые жалюзи проходили испытания с 17 сентября по 28 сентября. Всего 12 дней. Из них летные испытания – 2 дня.</w:t>
      </w:r>
    </w:p>
    <w:p w14:paraId="452D9D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1F65ED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Рекомендовать лобовые жалюзи конструкции завода № 126 для установки их на самолеты ДБ-3Б 2М87 с ВИШ-3 как обеспечивающие эксплуатацию самолетов при температуре наружного воздуха на земле + 10 градусов С и ниже и допускающие легкую установку их на самолеты в полевых условиях.</w:t>
      </w:r>
    </w:p>
    <w:p w14:paraId="63A0451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заводы №№ 18, 39 и 126 установить лобовые капотные жалюзи конструкции завода № 126 на все ранее выпущенные и выпускаемые самолеты ДБ-3Б 2М87 с винтом ВИШ-3 (4395).</w:t>
      </w:r>
    </w:p>
    <w:p w14:paraId="1687D3B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3D2A3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года Зам. начальника ГУ ВВС утвердил Заключение по заводским испытаниям зимних лобовых жалюзи конструкции завода № 39 для регулирования температуры головок цилиндров М-88 на самолете ДБ3-Ф с винтами ВИШ-23</w:t>
      </w:r>
    </w:p>
    <w:p w14:paraId="72CD7A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4FDFBA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1 ранга Платонов</w:t>
      </w:r>
    </w:p>
    <w:p w14:paraId="55135A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Рекомендовать лобовые жалюзи конструкции завода № 39 для установки их на все ранее выпущенные и выпускаемые самолеты ДБ3-Ф 2М-88 и 2М-87 с капотами типа «Ф» при обязательном устранении всех дефектов, указанных в отчете по заводским испытаниям (4392).</w:t>
      </w:r>
    </w:p>
    <w:p w14:paraId="627D643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7A7D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17 октября 1940 была подготовлена Сравнительная таблица дальностей самолетов ДБ-240, ДБ-3Ф, Ю-88, 102 и др.: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134"/>
        <w:gridCol w:w="1134"/>
        <w:gridCol w:w="1157"/>
        <w:gridCol w:w="1068"/>
        <w:gridCol w:w="1068"/>
        <w:gridCol w:w="1068"/>
        <w:gridCol w:w="1735"/>
      </w:tblGrid>
      <w:tr w:rsidR="00983732" w:rsidRPr="00A3026E" w14:paraId="3BBB50A2" w14:textId="77777777" w:rsidTr="00EA0DA7">
        <w:tc>
          <w:tcPr>
            <w:tcW w:w="2235" w:type="dxa"/>
            <w:tcBorders>
              <w:top w:val="single" w:sz="12" w:space="0" w:color="auto"/>
            </w:tcBorders>
          </w:tcPr>
          <w:p w14:paraId="191C4B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N Характеристика</w:t>
            </w:r>
          </w:p>
        </w:tc>
        <w:tc>
          <w:tcPr>
            <w:tcW w:w="1134" w:type="dxa"/>
            <w:tcBorders>
              <w:top w:val="single" w:sz="12" w:space="0" w:color="auto"/>
            </w:tcBorders>
          </w:tcPr>
          <w:p w14:paraId="6D7E61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w:t>
            </w:r>
          </w:p>
        </w:tc>
        <w:tc>
          <w:tcPr>
            <w:tcW w:w="1134" w:type="dxa"/>
            <w:tcBorders>
              <w:top w:val="single" w:sz="12" w:space="0" w:color="auto"/>
            </w:tcBorders>
          </w:tcPr>
          <w:p w14:paraId="247375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w:t>
            </w:r>
          </w:p>
        </w:tc>
        <w:tc>
          <w:tcPr>
            <w:tcW w:w="1157" w:type="dxa"/>
            <w:tcBorders>
              <w:top w:val="single" w:sz="12" w:space="0" w:color="auto"/>
            </w:tcBorders>
          </w:tcPr>
          <w:p w14:paraId="7C6952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Ю-88</w:t>
            </w:r>
          </w:p>
        </w:tc>
        <w:tc>
          <w:tcPr>
            <w:tcW w:w="1068" w:type="dxa"/>
            <w:tcBorders>
              <w:top w:val="single" w:sz="12" w:space="0" w:color="auto"/>
            </w:tcBorders>
          </w:tcPr>
          <w:p w14:paraId="6F81DA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 по ЭП</w:t>
            </w:r>
          </w:p>
        </w:tc>
        <w:tc>
          <w:tcPr>
            <w:tcW w:w="1068" w:type="dxa"/>
            <w:tcBorders>
              <w:top w:val="single" w:sz="12" w:space="0" w:color="auto"/>
            </w:tcBorders>
          </w:tcPr>
          <w:p w14:paraId="63ADA7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w:t>
            </w:r>
          </w:p>
        </w:tc>
        <w:tc>
          <w:tcPr>
            <w:tcW w:w="1068" w:type="dxa"/>
            <w:tcBorders>
              <w:top w:val="single" w:sz="12" w:space="0" w:color="auto"/>
            </w:tcBorders>
          </w:tcPr>
          <w:p w14:paraId="17F490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 мор.</w:t>
            </w:r>
          </w:p>
        </w:tc>
        <w:tc>
          <w:tcPr>
            <w:tcW w:w="1735" w:type="dxa"/>
            <w:tcBorders>
              <w:top w:val="single" w:sz="12" w:space="0" w:color="auto"/>
            </w:tcBorders>
          </w:tcPr>
          <w:p w14:paraId="1C4B9B6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B94EF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 сам.</w:t>
            </w:r>
          </w:p>
        </w:tc>
      </w:tr>
      <w:tr w:rsidR="00983732" w:rsidRPr="00A3026E" w14:paraId="38691C17" w14:textId="77777777" w:rsidTr="00EA0DA7">
        <w:tc>
          <w:tcPr>
            <w:tcW w:w="2235" w:type="dxa"/>
          </w:tcPr>
          <w:p w14:paraId="1C1124B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58B9DCA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6D53465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57" w:type="dxa"/>
          </w:tcPr>
          <w:p w14:paraId="2EBE569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068" w:type="dxa"/>
          </w:tcPr>
          <w:p w14:paraId="570DAB2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068" w:type="dxa"/>
          </w:tcPr>
          <w:p w14:paraId="426C33D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068" w:type="dxa"/>
          </w:tcPr>
          <w:p w14:paraId="4C0D80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Голубкова</w:t>
            </w:r>
          </w:p>
        </w:tc>
        <w:tc>
          <w:tcPr>
            <w:tcW w:w="1735" w:type="dxa"/>
          </w:tcPr>
          <w:p w14:paraId="3D13B7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Самсонова</w:t>
            </w:r>
          </w:p>
        </w:tc>
      </w:tr>
      <w:tr w:rsidR="00983732" w:rsidRPr="00A3026E" w14:paraId="1BCFFC3F" w14:textId="77777777" w:rsidTr="00EA0DA7">
        <w:tc>
          <w:tcPr>
            <w:tcW w:w="2235" w:type="dxa"/>
          </w:tcPr>
          <w:p w14:paraId="336767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Мотор</w:t>
            </w:r>
          </w:p>
        </w:tc>
        <w:tc>
          <w:tcPr>
            <w:tcW w:w="1134" w:type="dxa"/>
          </w:tcPr>
          <w:p w14:paraId="20E8A5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c>
          <w:tcPr>
            <w:tcW w:w="1134" w:type="dxa"/>
          </w:tcPr>
          <w:p w14:paraId="18201D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c>
          <w:tcPr>
            <w:tcW w:w="1157" w:type="dxa"/>
          </w:tcPr>
          <w:p w14:paraId="230BE6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ЮМО-211</w:t>
            </w:r>
          </w:p>
        </w:tc>
        <w:tc>
          <w:tcPr>
            <w:tcW w:w="1068" w:type="dxa"/>
          </w:tcPr>
          <w:p w14:paraId="1A88E6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М-120ТК-2</w:t>
            </w:r>
          </w:p>
        </w:tc>
        <w:tc>
          <w:tcPr>
            <w:tcW w:w="1068" w:type="dxa"/>
          </w:tcPr>
          <w:p w14:paraId="10ED19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М-120</w:t>
            </w:r>
          </w:p>
        </w:tc>
        <w:tc>
          <w:tcPr>
            <w:tcW w:w="1068" w:type="dxa"/>
          </w:tcPr>
          <w:p w14:paraId="730081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М-30</w:t>
            </w:r>
          </w:p>
        </w:tc>
        <w:tc>
          <w:tcPr>
            <w:tcW w:w="1735" w:type="dxa"/>
          </w:tcPr>
          <w:p w14:paraId="757EC8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М-30</w:t>
            </w:r>
          </w:p>
        </w:tc>
      </w:tr>
      <w:tr w:rsidR="00983732" w:rsidRPr="00A3026E" w14:paraId="135B107D" w14:textId="77777777" w:rsidTr="00EA0DA7">
        <w:tc>
          <w:tcPr>
            <w:tcW w:w="2235" w:type="dxa"/>
          </w:tcPr>
          <w:p w14:paraId="150CAC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Мощность</w:t>
            </w:r>
          </w:p>
        </w:tc>
        <w:tc>
          <w:tcPr>
            <w:tcW w:w="1134" w:type="dxa"/>
          </w:tcPr>
          <w:p w14:paraId="2235B8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2х1050</w:t>
            </w:r>
          </w:p>
        </w:tc>
        <w:tc>
          <w:tcPr>
            <w:tcW w:w="1134" w:type="dxa"/>
          </w:tcPr>
          <w:p w14:paraId="01FB85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2х1000</w:t>
            </w:r>
          </w:p>
        </w:tc>
        <w:tc>
          <w:tcPr>
            <w:tcW w:w="1157" w:type="dxa"/>
          </w:tcPr>
          <w:p w14:paraId="292ACA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2х950</w:t>
            </w:r>
          </w:p>
        </w:tc>
        <w:tc>
          <w:tcPr>
            <w:tcW w:w="1068" w:type="dxa"/>
          </w:tcPr>
          <w:p w14:paraId="699698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2х1635</w:t>
            </w:r>
          </w:p>
        </w:tc>
        <w:tc>
          <w:tcPr>
            <w:tcW w:w="1068" w:type="dxa"/>
          </w:tcPr>
          <w:p w14:paraId="5176FB5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068" w:type="dxa"/>
          </w:tcPr>
          <w:p w14:paraId="5C9540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2х2000</w:t>
            </w:r>
          </w:p>
        </w:tc>
        <w:tc>
          <w:tcPr>
            <w:tcW w:w="1735" w:type="dxa"/>
          </w:tcPr>
          <w:p w14:paraId="64EA80C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0D4110D" w14:textId="77777777" w:rsidTr="00EA0DA7">
        <w:tc>
          <w:tcPr>
            <w:tcW w:w="2235" w:type="dxa"/>
          </w:tcPr>
          <w:p w14:paraId="279435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Уд. Расход</w:t>
            </w:r>
          </w:p>
        </w:tc>
        <w:tc>
          <w:tcPr>
            <w:tcW w:w="1134" w:type="dxa"/>
          </w:tcPr>
          <w:p w14:paraId="7BDEAB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0.25-0.28</w:t>
            </w:r>
          </w:p>
        </w:tc>
        <w:tc>
          <w:tcPr>
            <w:tcW w:w="1134" w:type="dxa"/>
          </w:tcPr>
          <w:p w14:paraId="28760D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0.27-0.30</w:t>
            </w:r>
          </w:p>
        </w:tc>
        <w:tc>
          <w:tcPr>
            <w:tcW w:w="1157" w:type="dxa"/>
          </w:tcPr>
          <w:p w14:paraId="53EE95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0.24-0.25</w:t>
            </w:r>
          </w:p>
        </w:tc>
        <w:tc>
          <w:tcPr>
            <w:tcW w:w="1068" w:type="dxa"/>
          </w:tcPr>
          <w:p w14:paraId="02E537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0.25-0.28</w:t>
            </w:r>
          </w:p>
        </w:tc>
        <w:tc>
          <w:tcPr>
            <w:tcW w:w="1068" w:type="dxa"/>
          </w:tcPr>
          <w:p w14:paraId="2E9D687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068" w:type="dxa"/>
          </w:tcPr>
          <w:p w14:paraId="67BD59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0.19</w:t>
            </w:r>
          </w:p>
        </w:tc>
        <w:tc>
          <w:tcPr>
            <w:tcW w:w="1735" w:type="dxa"/>
          </w:tcPr>
          <w:p w14:paraId="6629E8C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9BD8E99" w14:textId="77777777" w:rsidTr="00EA0DA7">
        <w:tc>
          <w:tcPr>
            <w:tcW w:w="2235" w:type="dxa"/>
          </w:tcPr>
          <w:p w14:paraId="129F1C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Вес горючего норм.</w:t>
            </w:r>
          </w:p>
        </w:tc>
        <w:tc>
          <w:tcPr>
            <w:tcW w:w="1134" w:type="dxa"/>
          </w:tcPr>
          <w:p w14:paraId="7D05FF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w:t>
            </w:r>
          </w:p>
        </w:tc>
        <w:tc>
          <w:tcPr>
            <w:tcW w:w="1134" w:type="dxa"/>
          </w:tcPr>
          <w:p w14:paraId="6A227E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c>
          <w:tcPr>
            <w:tcW w:w="1157" w:type="dxa"/>
          </w:tcPr>
          <w:p w14:paraId="485D09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w:t>
            </w:r>
          </w:p>
        </w:tc>
        <w:tc>
          <w:tcPr>
            <w:tcW w:w="1068" w:type="dxa"/>
          </w:tcPr>
          <w:p w14:paraId="343092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2800</w:t>
            </w:r>
          </w:p>
        </w:tc>
        <w:tc>
          <w:tcPr>
            <w:tcW w:w="1068" w:type="dxa"/>
          </w:tcPr>
          <w:p w14:paraId="46620EF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068" w:type="dxa"/>
          </w:tcPr>
          <w:p w14:paraId="3AE50E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735" w:type="dxa"/>
          </w:tcPr>
          <w:p w14:paraId="007A2A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B7DB161" w14:textId="77777777" w:rsidTr="00EA0DA7">
        <w:tc>
          <w:tcPr>
            <w:tcW w:w="2235" w:type="dxa"/>
          </w:tcPr>
          <w:p w14:paraId="281467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Вес гор. в перегрузку</w:t>
            </w:r>
          </w:p>
        </w:tc>
        <w:tc>
          <w:tcPr>
            <w:tcW w:w="1134" w:type="dxa"/>
          </w:tcPr>
          <w:p w14:paraId="31D204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4650</w:t>
            </w:r>
          </w:p>
        </w:tc>
        <w:tc>
          <w:tcPr>
            <w:tcW w:w="1134" w:type="dxa"/>
          </w:tcPr>
          <w:p w14:paraId="60F1DC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2750</w:t>
            </w:r>
          </w:p>
        </w:tc>
        <w:tc>
          <w:tcPr>
            <w:tcW w:w="1157" w:type="dxa"/>
          </w:tcPr>
          <w:p w14:paraId="399AB3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068" w:type="dxa"/>
          </w:tcPr>
          <w:p w14:paraId="7ED7B2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3800</w:t>
            </w:r>
          </w:p>
        </w:tc>
        <w:tc>
          <w:tcPr>
            <w:tcW w:w="1068" w:type="dxa"/>
          </w:tcPr>
          <w:p w14:paraId="33E17EE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068" w:type="dxa"/>
          </w:tcPr>
          <w:p w14:paraId="6CCE79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3800</w:t>
            </w:r>
          </w:p>
        </w:tc>
        <w:tc>
          <w:tcPr>
            <w:tcW w:w="1735" w:type="dxa"/>
          </w:tcPr>
          <w:p w14:paraId="480E66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E40D5E3" w14:textId="77777777" w:rsidTr="00EA0DA7">
        <w:tc>
          <w:tcPr>
            <w:tcW w:w="2235" w:type="dxa"/>
          </w:tcPr>
          <w:p w14:paraId="500AC1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Макс. Скорость</w:t>
            </w:r>
          </w:p>
        </w:tc>
        <w:tc>
          <w:tcPr>
            <w:tcW w:w="1134" w:type="dxa"/>
          </w:tcPr>
          <w:p w14:paraId="47A9C3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455/4700</w:t>
            </w:r>
          </w:p>
        </w:tc>
        <w:tc>
          <w:tcPr>
            <w:tcW w:w="1134" w:type="dxa"/>
          </w:tcPr>
          <w:p w14:paraId="56B2DD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w:t>
            </w:r>
          </w:p>
        </w:tc>
        <w:tc>
          <w:tcPr>
            <w:tcW w:w="1157" w:type="dxa"/>
          </w:tcPr>
          <w:p w14:paraId="26D77E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445/5600</w:t>
            </w:r>
          </w:p>
        </w:tc>
        <w:tc>
          <w:tcPr>
            <w:tcW w:w="1068" w:type="dxa"/>
          </w:tcPr>
          <w:p w14:paraId="342111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620/10000</w:t>
            </w:r>
          </w:p>
        </w:tc>
        <w:tc>
          <w:tcPr>
            <w:tcW w:w="1068" w:type="dxa"/>
          </w:tcPr>
          <w:p w14:paraId="73AFB5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625/9000</w:t>
            </w:r>
          </w:p>
        </w:tc>
        <w:tc>
          <w:tcPr>
            <w:tcW w:w="1068" w:type="dxa"/>
          </w:tcPr>
          <w:p w14:paraId="36D863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735" w:type="dxa"/>
          </w:tcPr>
          <w:p w14:paraId="267554B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27FC154" w14:textId="77777777" w:rsidTr="00EA0DA7">
        <w:tc>
          <w:tcPr>
            <w:tcW w:w="2235" w:type="dxa"/>
          </w:tcPr>
          <w:p w14:paraId="185A4F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Дальность нормальная</w:t>
            </w:r>
          </w:p>
        </w:tc>
        <w:tc>
          <w:tcPr>
            <w:tcW w:w="1134" w:type="dxa"/>
          </w:tcPr>
          <w:p w14:paraId="5BAE08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2200</w:t>
            </w:r>
          </w:p>
        </w:tc>
        <w:tc>
          <w:tcPr>
            <w:tcW w:w="1134" w:type="dxa"/>
          </w:tcPr>
          <w:p w14:paraId="3E97E3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3300</w:t>
            </w:r>
          </w:p>
        </w:tc>
        <w:tc>
          <w:tcPr>
            <w:tcW w:w="1157" w:type="dxa"/>
          </w:tcPr>
          <w:p w14:paraId="63F21E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2200/</w:t>
            </w:r>
          </w:p>
        </w:tc>
        <w:tc>
          <w:tcPr>
            <w:tcW w:w="1068" w:type="dxa"/>
          </w:tcPr>
          <w:p w14:paraId="5A7E16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3470-3850</w:t>
            </w:r>
          </w:p>
        </w:tc>
        <w:tc>
          <w:tcPr>
            <w:tcW w:w="1068" w:type="dxa"/>
          </w:tcPr>
          <w:p w14:paraId="321FA9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1.6-4700</w:t>
            </w:r>
          </w:p>
        </w:tc>
        <w:tc>
          <w:tcPr>
            <w:tcW w:w="1068" w:type="dxa"/>
          </w:tcPr>
          <w:p w14:paraId="03AA7B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2200</w:t>
            </w:r>
          </w:p>
        </w:tc>
        <w:tc>
          <w:tcPr>
            <w:tcW w:w="1735" w:type="dxa"/>
          </w:tcPr>
          <w:p w14:paraId="3E4E72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2300-3500</w:t>
            </w:r>
          </w:p>
        </w:tc>
      </w:tr>
      <w:tr w:rsidR="00983732" w:rsidRPr="00A3026E" w14:paraId="6EC176E2" w14:textId="77777777" w:rsidTr="00EA0DA7">
        <w:tc>
          <w:tcPr>
            <w:tcW w:w="2235" w:type="dxa"/>
            <w:tcBorders>
              <w:bottom w:val="single" w:sz="12" w:space="0" w:color="auto"/>
            </w:tcBorders>
          </w:tcPr>
          <w:p w14:paraId="5A2893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Расход на 1 км</w:t>
            </w:r>
          </w:p>
        </w:tc>
        <w:tc>
          <w:tcPr>
            <w:tcW w:w="1134" w:type="dxa"/>
            <w:tcBorders>
              <w:bottom w:val="single" w:sz="12" w:space="0" w:color="auto"/>
            </w:tcBorders>
          </w:tcPr>
          <w:p w14:paraId="61A3E3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1.05/1.07</w:t>
            </w:r>
          </w:p>
        </w:tc>
        <w:tc>
          <w:tcPr>
            <w:tcW w:w="1134" w:type="dxa"/>
            <w:tcBorders>
              <w:bottom w:val="single" w:sz="12" w:space="0" w:color="auto"/>
            </w:tcBorders>
          </w:tcPr>
          <w:p w14:paraId="6760FB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0.835</w:t>
            </w:r>
          </w:p>
        </w:tc>
        <w:tc>
          <w:tcPr>
            <w:tcW w:w="1157" w:type="dxa"/>
            <w:tcBorders>
              <w:bottom w:val="single" w:sz="12" w:space="0" w:color="auto"/>
            </w:tcBorders>
          </w:tcPr>
          <w:p w14:paraId="0EA886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0.995</w:t>
            </w:r>
          </w:p>
        </w:tc>
        <w:tc>
          <w:tcPr>
            <w:tcW w:w="1068" w:type="dxa"/>
            <w:tcBorders>
              <w:bottom w:val="single" w:sz="12" w:space="0" w:color="auto"/>
            </w:tcBorders>
          </w:tcPr>
          <w:p w14:paraId="7230F1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1068" w:type="dxa"/>
            <w:tcBorders>
              <w:bottom w:val="single" w:sz="12" w:space="0" w:color="auto"/>
            </w:tcBorders>
          </w:tcPr>
          <w:p w14:paraId="5AB808F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068" w:type="dxa"/>
            <w:tcBorders>
              <w:bottom w:val="single" w:sz="12" w:space="0" w:color="auto"/>
            </w:tcBorders>
          </w:tcPr>
          <w:p w14:paraId="613C52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0.9</w:t>
            </w:r>
          </w:p>
        </w:tc>
        <w:tc>
          <w:tcPr>
            <w:tcW w:w="1735" w:type="dxa"/>
            <w:tcBorders>
              <w:bottom w:val="single" w:sz="12" w:space="0" w:color="auto"/>
            </w:tcBorders>
          </w:tcPr>
          <w:p w14:paraId="62298A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(2090,201)</w:t>
            </w:r>
          </w:p>
        </w:tc>
      </w:tr>
    </w:tbl>
    <w:p w14:paraId="0EFAAF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21FC4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закончились гос. испытания ДБ-240, который перелетел на аэродром НИИ ВВС 27 сентября 1940. Выяснилось, что по всем пунктам ЛТД не удовлетворяют ТЗ. По максимальной скорости с выпущенной башней - оказался не лучше ДБ-3Ф. Потолок был ниже, чем у ДБ-3Ф. Время набора 5000 м - очень большое. Только дальность и емкость бомбоотсеков были лучше и то лишь потенциально, т.к. с полной нагрузкой бомб и горючего машина с трудом отрывалась от земли (3322,8).</w:t>
      </w:r>
    </w:p>
    <w:p w14:paraId="57C799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докладе ги ВВС г-л Репина отмечался длительный перечень технических недостатков, главными из которых были названы:</w:t>
      </w:r>
    </w:p>
    <w:p w14:paraId="1F4F05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недостаточная поперечная устойчивость самолета;</w:t>
      </w:r>
    </w:p>
    <w:p w14:paraId="359832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слишком тяжелое управление самолетом;</w:t>
      </w:r>
    </w:p>
    <w:p w14:paraId="2AE1D4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ненадежная работа тормозов;</w:t>
      </w:r>
    </w:p>
    <w:p w14:paraId="34A570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несоответствие размера колес основных стоек шасси (1000х350 мм) полетной массе самолета более 10000 кг;</w:t>
      </w:r>
    </w:p>
    <w:p w14:paraId="49E67C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отсутствие протектора на бензобаках;</w:t>
      </w:r>
    </w:p>
    <w:p w14:paraId="2A39EA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перегрев масла и воды;</w:t>
      </w:r>
    </w:p>
    <w:p w14:paraId="0AF3CF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трещины выхлопных коллекторов;</w:t>
      </w:r>
    </w:p>
    <w:p w14:paraId="466EB8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плохая металлизация и т.п.</w:t>
      </w:r>
    </w:p>
    <w:p w14:paraId="20B29E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Признавалось, что "по основным летно-тактическим данным самолет... стоит только на уровне современных серийных самолетов данного класса..." (3322,11).</w:t>
      </w:r>
    </w:p>
    <w:p w14:paraId="7F682B0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A4889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закончились летные 50 часовые испытания АМ-35А на И-200, которые начались 4 сентября 1940 (841).</w:t>
      </w:r>
    </w:p>
    <w:p w14:paraId="2BC591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Нач. НИИ ВВС А.И.Филин утвердил Отчет о летных 50 часовых летных испытаниях АМ-35А на И-200</w:t>
      </w:r>
    </w:p>
    <w:p w14:paraId="5578FD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 м А.А.Автономов</w:t>
      </w:r>
    </w:p>
    <w:p w14:paraId="1DA24F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стл И.М.Савченко</w:t>
      </w:r>
    </w:p>
    <w:p w14:paraId="76D485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 Н.М.Милославский</w:t>
      </w:r>
    </w:p>
    <w:p w14:paraId="52159F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вт2р Чернибыл</w:t>
      </w:r>
    </w:p>
    <w:p w14:paraId="229A09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 вт1р Ф.Щукин</w:t>
      </w:r>
    </w:p>
    <w:p w14:paraId="0A698D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E7178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Мотор АМ-35А № 7 специальные 50-часовые летные испытания в НИИ ВВС КА из-за аварии нагнетателя не прошел.</w:t>
      </w:r>
    </w:p>
    <w:p w14:paraId="3231DC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Просить Нач. 8 ГУ НКАП не позднее 1 января 1941 предъявить в НИИ ВВС мотор АМ-35А с измененным нагнетателем на с-те И-200 на повторные специальные 50-часовые летные испытания</w:t>
      </w:r>
    </w:p>
    <w:p w14:paraId="3DDB6B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Подписали: Левин, Сидорин 20 октября 1940</w:t>
      </w:r>
    </w:p>
    <w:p w14:paraId="25AB74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3DA962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24 часу работы в воздухе произошла авария нагнетателя - разрушилась опора валика крыльчатки нагнетателя:</w:t>
      </w:r>
    </w:p>
    <w:p w14:paraId="262FEB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маслосистема с-та И-200 не обеспечивает нормальной подачи масла в мотор при обратной перегрузке (вход в пикирование с лета)</w:t>
      </w:r>
    </w:p>
    <w:p w14:paraId="175DB8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водорадиатор с трубкой диаметром 8 мм работает ненадежно, потек</w:t>
      </w:r>
    </w:p>
    <w:p w14:paraId="018929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винт не сохраняет обороты в горизонтальном полете на высоте 7000 м и дает раскрутку на пикировании с газом и без газа</w:t>
      </w:r>
    </w:p>
    <w:p w14:paraId="0611EC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редукция для с-та не подобрана (надо 0,92 изменить на более низкую). Следует испытать с-т с редукцией 0,732 (841).</w:t>
      </w:r>
    </w:p>
    <w:p w14:paraId="78ABE6D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5C38560" w14:textId="77777777" w:rsidR="00F067CF" w:rsidRPr="00A3026E" w:rsidRDefault="00F067C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после замены двигателя на втором ИП-21, состоялся ознакомительный полет заводского летчика Большакова. 20-го и 24-го выполнялись полеты на высоту 5000 м, 1 ноября — полеты на определение скорости, 2 ноября — на пилотаж. По заключению заводских пилотов Фокина и Большакова, второй экземпляр в воздухе вел себя устойчиво (15561).</w:t>
      </w:r>
    </w:p>
    <w:p w14:paraId="68E0A889" w14:textId="77777777" w:rsidR="00F067CF" w:rsidRPr="00A3026E" w:rsidRDefault="00F067CF" w:rsidP="00A3026E">
      <w:pPr>
        <w:spacing w:after="0" w:line="240" w:lineRule="auto"/>
        <w:jc w:val="both"/>
        <w:rPr>
          <w:rFonts w:ascii="Times New Roman" w:hAnsi="Times New Roman"/>
          <w:color w:val="000000" w:themeColor="text1"/>
          <w:sz w:val="16"/>
          <w:szCs w:val="16"/>
        </w:rPr>
      </w:pPr>
    </w:p>
    <w:p w14:paraId="0DAE88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Протокол № 21. Решения ПБ за 27 сентября - 28 октября 1940 г.</w:t>
      </w:r>
    </w:p>
    <w:p w14:paraId="7BC7E1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27.9.40 г.</w:t>
      </w:r>
    </w:p>
    <w:p w14:paraId="3E1A8A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 Вопрос КО. О постройке авиамотора МБ-100*.</w:t>
      </w:r>
    </w:p>
    <w:p w14:paraId="1B4620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30.9.40 г.</w:t>
      </w:r>
    </w:p>
    <w:p w14:paraId="6C58D3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26. Об увеличении производства газового бензина (постановление СНК СССР и ЦК ВКП (б)).</w:t>
      </w:r>
    </w:p>
    <w:p w14:paraId="26A9F3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02. 10.40 г.</w:t>
      </w:r>
    </w:p>
    <w:p w14:paraId="60E429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 46. Об увеличении дальности истребителей и о поставке их производства на заводах (постановление СНК СССР и ЦК ВКП (б))*. </w:t>
      </w:r>
      <w:r w:rsidRPr="00A3026E">
        <w:rPr>
          <w:rFonts w:ascii="Times New Roman" w:hAnsi="Times New Roman"/>
          <w:color w:val="000000" w:themeColor="text1"/>
          <w:sz w:val="16"/>
          <w:szCs w:val="16"/>
          <w:u w:val="single"/>
        </w:rPr>
        <w:t>04. 10. 40 г.</w:t>
      </w:r>
    </w:p>
    <w:p w14:paraId="2C120C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60. Об изготовлении новых образцов вооружения для НКО (постановление СНК СССР и ЦК ВКП (б))*.</w:t>
      </w:r>
    </w:p>
    <w:p w14:paraId="4B6EB3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u w:val="single"/>
        </w:rPr>
      </w:pPr>
      <w:r w:rsidRPr="00A3026E">
        <w:rPr>
          <w:rFonts w:ascii="Times New Roman" w:hAnsi="Times New Roman"/>
          <w:color w:val="000000" w:themeColor="text1"/>
          <w:sz w:val="16"/>
          <w:szCs w:val="16"/>
          <w:u w:val="single"/>
        </w:rPr>
        <w:t>08.10.40 г.</w:t>
      </w:r>
    </w:p>
    <w:p w14:paraId="70F574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99. Об организации производства боевых самолетов и авиационных моторов на Украине (11773).</w:t>
      </w:r>
    </w:p>
    <w:p w14:paraId="139388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П.100. О строительстве в Ленинграде второго авиамоторного завода*.</w:t>
      </w:r>
    </w:p>
    <w:p w14:paraId="1DEF5A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09.10. 40 г.</w:t>
      </w:r>
    </w:p>
    <w:p w14:paraId="0267DC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117. О самолетах И-301*.</w:t>
      </w:r>
    </w:p>
    <w:p w14:paraId="657CE1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15. 10.40 г.</w:t>
      </w:r>
    </w:p>
    <w:p w14:paraId="02E0FB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215. О постройке самолетов «100»*.</w:t>
      </w:r>
    </w:p>
    <w:p w14:paraId="0C0BF4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17.10.40 г.</w:t>
      </w:r>
    </w:p>
    <w:p w14:paraId="41A201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239. Об организации производства боевых самолетов в г. Ростове (постановление СНК СССРиЦКВКП(б))*.</w:t>
      </w:r>
    </w:p>
    <w:p w14:paraId="7F2B84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240. Об организации производства боевых самолетов и авиационных моторов в Белоруссии (постановление СНК СССР и ЦК ВКП (б))*.</w:t>
      </w:r>
    </w:p>
    <w:p w14:paraId="4390BD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242. О производстве авиационных моторов М-105 на Горьковском авиазаводе им. Молотова*.</w:t>
      </w:r>
    </w:p>
    <w:p w14:paraId="22C770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18.10.40 г.</w:t>
      </w:r>
    </w:p>
    <w:p w14:paraId="5845F6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246. О постройке мастерских для снаряжения боевых патронов из стреляных гильз*.</w:t>
      </w:r>
    </w:p>
    <w:p w14:paraId="0EFED7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23.10.40 г.</w:t>
      </w:r>
    </w:p>
    <w:p w14:paraId="619683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289. О производстве моторов М-63 и М-81 (постановление ЦК ВКП (б) и СНК СССР)*.</w:t>
      </w:r>
    </w:p>
    <w:p w14:paraId="66521A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24.10.40 г.</w:t>
      </w:r>
    </w:p>
    <w:p w14:paraId="76C838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301. О производстве винтовок на Подольском механическом заводе* (11773).</w:t>
      </w:r>
    </w:p>
    <w:p w14:paraId="7A31D3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49193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правительство приняло решение об организации в Белоруссии производства самолетов и моторов и в Минске и Могилеве начали строить заводы (173,206). Постановление N 2068-875 (1317,262).</w:t>
      </w:r>
    </w:p>
    <w:p w14:paraId="3FC304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Оказалось ошибкой. С другой стороны, в Белоруссии был завод авиафанеры и дельта-древесины, в Прибалтике - приборов и агрегатов, а также на Украине, попавшие потом под оккупацию (6,80). Дальше Смоленска (завод учебных машин) - авиазаводов не было.</w:t>
      </w:r>
    </w:p>
    <w:p w14:paraId="377F7E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 решение было от 18 октября 1940</w:t>
      </w:r>
    </w:p>
    <w:p w14:paraId="31371A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Важно отметить, что Смоленский 35 завод также предназначался для Ил-2, но решение (постановление КО и приказ) - не ясно. К 12 декабря уже было ясно, но когда случилось - не понятно.</w:t>
      </w:r>
    </w:p>
    <w:p w14:paraId="29F71CD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81AF7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года решением Политбюро ЦК ВКП(б) № П 21 / 240 – ОП было утверждено постановление СНК СССР и ЦК ВКП(б) «Об организации производства боевых самолетов и авиационных моторов в Белоруссии». Оно, в частности, касалось постройки новых самолетостроительных и моторостроительных заводов в Минске и Могилеве (Там же. Л. 136, 181.). Согласно «Плану авиавыпуска самолетостроительных заводов НКАП», принятому 21 марта 1941 года, в западных районах страны только в стадии пуска, в частности, находились заводы № 35 в Смоленске, № 450 в Харькове, № 458 в Ростове из состава бомбардировочного главка и № 165 в Днепропетровске из состава истребительного главка (не считая заводов в Прибалтике и в Ленинграде) (РГАЭ. Ф. 8044. Оп. 1. Д. 673. Л. 111-114.). Довольно скоро все они оказались в зоне боевых действий. Очень точно оценила сложившуюся ситуацию директор РГАЭ Е.А. Тюрина: «Военные специалисты еще в 1920-е годы обращали внимание на неправильное геостратегическое размещение военных заводов и указывали на необходимость их перемещения на Восток, но новые и реконструированные в ходе предвоенных пятилеток заводы по-прежнему концентрировались по линии Ленинград – Москва – Тула – Брянск – Харьков – Днепропетровск. Последствия этой непродуманной политики оказались катастрофическими: летом 1941 года свыше 80% всех предприятий оборонной промышленности, в том числе 94% авиационных заводов, оказалось в зоне боевых действий или в прифронтовых зонах» (Тюрина Е.А. Уникальный опыт эвакуации промышленных предприятий на Восток в годы Великой отечественной войны 1941– 1945 гг. (на примере Наркомата авиационной промышленности СССР) // Единство фронта и тыла в Великой Отечественной войне (1941 – 1945). Материалы Всероссийской научно-практической конференции 21-22 апреля 2005 г. / Отв. редактор А.А. Чернобаев. М., 2007.).</w:t>
      </w:r>
    </w:p>
    <w:p w14:paraId="0D8EBE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как к началу 1930-х годов основные авиазаводы располагались в европейской части СССР, было принято решение развивать строительство заводов-дублеров в его азиатской части (Самолетостроение в СССР. 1917 – 1945. Кн. II. С. 204.), однако, баз для этого там было не много, а европейская часть СССР была более «индустриализирована». Ситуация была отягощена решениями о строительстве заводов в западных районах СССР (11672).</w:t>
      </w:r>
    </w:p>
    <w:p w14:paraId="38342F6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50A96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вышло постановление СНК N 2061-874cc по производству самолетов в Ростове на Дону (412,4).</w:t>
      </w:r>
    </w:p>
    <w:p w14:paraId="424E962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7D4784D"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 октября 1940</w:t>
      </w:r>
    </w:p>
    <w:p w14:paraId="7D17E661"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1028. Решения ПБ за 27 сентября — 28 октября 1940 г. (протокол № 21)</w:t>
      </w:r>
    </w:p>
    <w:p w14:paraId="18EE1139"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17.Х.40 г.</w:t>
      </w:r>
    </w:p>
    <w:p w14:paraId="00178676"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239. Об организации производства боевых самолетов в г. Ростове (постановление СНК СССР и ЦК ВКП(б)). — ОП.</w:t>
      </w:r>
    </w:p>
    <w:p w14:paraId="218E0CAC"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240. Об организации производства боевых самолетов и авиационных моторов в Белоруссии (постановление СНК СССР и ЦК ВКП(б)). — ОП.</w:t>
      </w:r>
    </w:p>
    <w:p w14:paraId="6188F7FA"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242. О производстве авиационных моторов М-105 на Горьковском автозаводе им. Молотова. — ОП (20920).</w:t>
      </w:r>
    </w:p>
    <w:p w14:paraId="5E9E22F6" w14:textId="77777777" w:rsidR="00C542C1" w:rsidRPr="00A3026E" w:rsidRDefault="00C542C1" w:rsidP="00A3026E">
      <w:pPr>
        <w:spacing w:after="0" w:line="240" w:lineRule="auto"/>
        <w:jc w:val="both"/>
        <w:rPr>
          <w:rFonts w:ascii="Times New Roman" w:hAnsi="Times New Roman"/>
          <w:color w:val="0070C0"/>
          <w:sz w:val="16"/>
          <w:szCs w:val="16"/>
        </w:rPr>
      </w:pPr>
    </w:p>
    <w:p w14:paraId="73B01BD8"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 октября 1940 вышло Постановление СНК и ЦК ВКП(б) "Об организации производства боевых самолетов в городе Ростове"</w:t>
      </w:r>
    </w:p>
    <w:p w14:paraId="46291D90"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 Совета Народных Комиссаров Союза ССР и Центрального Комитета ВКП (б).</w:t>
      </w:r>
    </w:p>
    <w:p w14:paraId="325FECF6"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Наркома Авиационной промышленности организовать производство самолетов ДБ-240 в городе Ростове на мощность 600 штук в год. со сроком ввода в действие указанной мощности во П квартале 1942 гсда.</w:t>
      </w:r>
    </w:p>
    <w:p w14:paraId="2512766E"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Расчет мощности завода вести, исходя из 2-х сменной работы. 8-ми часового рабочего дня и 7-дневной недели.</w:t>
      </w:r>
    </w:p>
    <w:p w14:paraId="5056245D"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Для организации производства боевых самолетов, в соот</w:t>
      </w:r>
      <w:r w:rsidRPr="00A3026E">
        <w:rPr>
          <w:rFonts w:ascii="Times New Roman" w:hAnsi="Times New Roman"/>
          <w:color w:val="0070C0"/>
          <w:sz w:val="16"/>
          <w:szCs w:val="16"/>
        </w:rPr>
        <w:softHyphen/>
        <w:t>ветствии с пунктом 1 настоящего постановления, передать в веде</w:t>
      </w:r>
      <w:r w:rsidRPr="00A3026E">
        <w:rPr>
          <w:rFonts w:ascii="Times New Roman" w:hAnsi="Times New Roman"/>
          <w:color w:val="0070C0"/>
          <w:sz w:val="16"/>
          <w:szCs w:val="16"/>
        </w:rPr>
        <w:softHyphen/>
        <w:t>ние Наркомавиапрома Ростовский автосборочный завод Наркомсредмаша, освободив его от сборки автомобилей с 1 ноября 1940 года.</w:t>
      </w:r>
    </w:p>
    <w:p w14:paraId="13BDEBCA"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Передачу завода произвести в 10-дневный срок по балансу на 1 октября 1940 года,</w:t>
      </w:r>
    </w:p>
    <w:p w14:paraId="780B5C5A"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Обязать Народного Комиссара Авиационной промышленности тов. Шахурина А.И. и директора Ростовского самолетостроитетьного завода развернуть немедленно подготовку производства самотов в 1941 г. и в первом квартале 1942 г. выполнение программы по выпуску самолетов в количестве 65 штук, со следующей разбивкой по кварталам:</w:t>
      </w:r>
    </w:p>
    <w:p w14:paraId="66E2DCD5"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Ш квартал</w:t>
      </w:r>
      <w:r w:rsidRPr="00A3026E">
        <w:rPr>
          <w:rFonts w:ascii="Times New Roman" w:hAnsi="Times New Roman"/>
          <w:color w:val="0070C0"/>
          <w:sz w:val="16"/>
          <w:szCs w:val="16"/>
        </w:rPr>
        <w:tab/>
        <w:t>1941</w:t>
      </w:r>
      <w:r w:rsidRPr="00A3026E">
        <w:rPr>
          <w:rFonts w:ascii="Times New Roman" w:hAnsi="Times New Roman"/>
          <w:color w:val="0070C0"/>
          <w:sz w:val="16"/>
          <w:szCs w:val="16"/>
        </w:rPr>
        <w:tab/>
        <w:t>года</w:t>
      </w:r>
      <w:r w:rsidRPr="00A3026E">
        <w:rPr>
          <w:rFonts w:ascii="Times New Roman" w:hAnsi="Times New Roman"/>
          <w:color w:val="0070C0"/>
          <w:sz w:val="16"/>
          <w:szCs w:val="16"/>
        </w:rPr>
        <w:tab/>
        <w:t>5</w:t>
      </w:r>
      <w:r w:rsidRPr="00A3026E">
        <w:rPr>
          <w:rFonts w:ascii="Times New Roman" w:hAnsi="Times New Roman"/>
          <w:color w:val="0070C0"/>
          <w:sz w:val="16"/>
          <w:szCs w:val="16"/>
        </w:rPr>
        <w:tab/>
        <w:t>штук</w:t>
      </w:r>
      <w:r w:rsidRPr="00A3026E">
        <w:rPr>
          <w:rFonts w:ascii="Times New Roman" w:hAnsi="Times New Roman"/>
          <w:color w:val="0070C0"/>
          <w:sz w:val="16"/>
          <w:szCs w:val="16"/>
        </w:rPr>
        <w:tab/>
        <w:t>в</w:t>
      </w:r>
      <w:r w:rsidRPr="00A3026E">
        <w:rPr>
          <w:rFonts w:ascii="Times New Roman" w:hAnsi="Times New Roman"/>
          <w:color w:val="0070C0"/>
          <w:sz w:val="16"/>
          <w:szCs w:val="16"/>
        </w:rPr>
        <w:tab/>
        <w:t>т.ч.</w:t>
      </w:r>
      <w:r w:rsidRPr="00A3026E">
        <w:rPr>
          <w:rFonts w:ascii="Times New Roman" w:hAnsi="Times New Roman"/>
          <w:color w:val="0070C0"/>
          <w:sz w:val="16"/>
          <w:szCs w:val="16"/>
        </w:rPr>
        <w:tab/>
        <w:t>в</w:t>
      </w:r>
      <w:r w:rsidRPr="00A3026E">
        <w:rPr>
          <w:rFonts w:ascii="Times New Roman" w:hAnsi="Times New Roman"/>
          <w:color w:val="0070C0"/>
          <w:sz w:val="16"/>
          <w:szCs w:val="16"/>
        </w:rPr>
        <w:tab/>
        <w:t>сентябре</w:t>
      </w:r>
      <w:r w:rsidRPr="00A3026E">
        <w:rPr>
          <w:rFonts w:ascii="Times New Roman" w:hAnsi="Times New Roman"/>
          <w:color w:val="0070C0"/>
          <w:sz w:val="16"/>
          <w:szCs w:val="16"/>
        </w:rPr>
        <w:tab/>
        <w:t>3</w:t>
      </w:r>
      <w:r w:rsidRPr="00A3026E">
        <w:rPr>
          <w:rFonts w:ascii="Times New Roman" w:hAnsi="Times New Roman"/>
          <w:color w:val="0070C0"/>
          <w:sz w:val="16"/>
          <w:szCs w:val="16"/>
        </w:rPr>
        <w:tab/>
        <w:t>штуки.</w:t>
      </w:r>
    </w:p>
    <w:p w14:paraId="283EC633"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1У квартал</w:t>
      </w:r>
      <w:r w:rsidRPr="00A3026E">
        <w:rPr>
          <w:rFonts w:ascii="Times New Roman" w:hAnsi="Times New Roman"/>
          <w:color w:val="0070C0"/>
          <w:sz w:val="16"/>
          <w:szCs w:val="16"/>
        </w:rPr>
        <w:tab/>
        <w:t>1941</w:t>
      </w:r>
      <w:r w:rsidRPr="00A3026E">
        <w:rPr>
          <w:rFonts w:ascii="Times New Roman" w:hAnsi="Times New Roman"/>
          <w:color w:val="0070C0"/>
          <w:sz w:val="16"/>
          <w:szCs w:val="16"/>
        </w:rPr>
        <w:tab/>
        <w:t>года</w:t>
      </w:r>
      <w:r w:rsidRPr="00A3026E">
        <w:rPr>
          <w:rFonts w:ascii="Times New Roman" w:hAnsi="Times New Roman"/>
          <w:color w:val="0070C0"/>
          <w:sz w:val="16"/>
          <w:szCs w:val="16"/>
        </w:rPr>
        <w:tab/>
        <w:t>25</w:t>
      </w:r>
      <w:r w:rsidRPr="00A3026E">
        <w:rPr>
          <w:rFonts w:ascii="Times New Roman" w:hAnsi="Times New Roman"/>
          <w:color w:val="0070C0"/>
          <w:sz w:val="16"/>
          <w:szCs w:val="16"/>
        </w:rPr>
        <w:tab/>
        <w:t>штук</w:t>
      </w:r>
      <w:r w:rsidRPr="00A3026E">
        <w:rPr>
          <w:rFonts w:ascii="Times New Roman" w:hAnsi="Times New Roman"/>
          <w:color w:val="0070C0"/>
          <w:sz w:val="16"/>
          <w:szCs w:val="16"/>
        </w:rPr>
        <w:tab/>
        <w:t>в</w:t>
      </w:r>
      <w:r w:rsidRPr="00A3026E">
        <w:rPr>
          <w:rFonts w:ascii="Times New Roman" w:hAnsi="Times New Roman"/>
          <w:color w:val="0070C0"/>
          <w:sz w:val="16"/>
          <w:szCs w:val="16"/>
        </w:rPr>
        <w:tab/>
        <w:t>т.ч.</w:t>
      </w:r>
      <w:r w:rsidRPr="00A3026E">
        <w:rPr>
          <w:rFonts w:ascii="Times New Roman" w:hAnsi="Times New Roman"/>
          <w:color w:val="0070C0"/>
          <w:sz w:val="16"/>
          <w:szCs w:val="16"/>
        </w:rPr>
        <w:tab/>
        <w:t>в</w:t>
      </w:r>
      <w:r w:rsidRPr="00A3026E">
        <w:rPr>
          <w:rFonts w:ascii="Times New Roman" w:hAnsi="Times New Roman"/>
          <w:color w:val="0070C0"/>
          <w:sz w:val="16"/>
          <w:szCs w:val="16"/>
        </w:rPr>
        <w:tab/>
        <w:t>декабре</w:t>
      </w:r>
      <w:r w:rsidRPr="00A3026E">
        <w:rPr>
          <w:rFonts w:ascii="Times New Roman" w:hAnsi="Times New Roman"/>
          <w:color w:val="0070C0"/>
          <w:sz w:val="16"/>
          <w:szCs w:val="16"/>
        </w:rPr>
        <w:tab/>
        <w:t>10</w:t>
      </w:r>
      <w:r w:rsidRPr="00A3026E">
        <w:rPr>
          <w:rFonts w:ascii="Times New Roman" w:hAnsi="Times New Roman"/>
          <w:color w:val="0070C0"/>
          <w:sz w:val="16"/>
          <w:szCs w:val="16"/>
        </w:rPr>
        <w:tab/>
        <w:t>штук.</w:t>
      </w:r>
    </w:p>
    <w:p w14:paraId="0B465ECF"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квартал</w:t>
      </w:r>
      <w:r w:rsidRPr="00A3026E">
        <w:rPr>
          <w:rFonts w:ascii="Times New Roman" w:hAnsi="Times New Roman"/>
          <w:color w:val="0070C0"/>
          <w:sz w:val="16"/>
          <w:szCs w:val="16"/>
        </w:rPr>
        <w:tab/>
        <w:t>1942</w:t>
      </w:r>
      <w:r w:rsidRPr="00A3026E">
        <w:rPr>
          <w:rFonts w:ascii="Times New Roman" w:hAnsi="Times New Roman"/>
          <w:color w:val="0070C0"/>
          <w:sz w:val="16"/>
          <w:szCs w:val="16"/>
        </w:rPr>
        <w:tab/>
        <w:t>года</w:t>
      </w:r>
      <w:r w:rsidRPr="00A3026E">
        <w:rPr>
          <w:rFonts w:ascii="Times New Roman" w:hAnsi="Times New Roman"/>
          <w:color w:val="0070C0"/>
          <w:sz w:val="16"/>
          <w:szCs w:val="16"/>
        </w:rPr>
        <w:tab/>
        <w:t>35</w:t>
      </w:r>
      <w:r w:rsidRPr="00A3026E">
        <w:rPr>
          <w:rFonts w:ascii="Times New Roman" w:hAnsi="Times New Roman"/>
          <w:color w:val="0070C0"/>
          <w:sz w:val="16"/>
          <w:szCs w:val="16"/>
        </w:rPr>
        <w:tab/>
        <w:t>штук</w:t>
      </w:r>
      <w:r w:rsidRPr="00A3026E">
        <w:rPr>
          <w:rFonts w:ascii="Times New Roman" w:hAnsi="Times New Roman"/>
          <w:color w:val="0070C0"/>
          <w:sz w:val="16"/>
          <w:szCs w:val="16"/>
        </w:rPr>
        <w:tab/>
        <w:t>в</w:t>
      </w:r>
      <w:r w:rsidRPr="00A3026E">
        <w:rPr>
          <w:rFonts w:ascii="Times New Roman" w:hAnsi="Times New Roman"/>
          <w:color w:val="0070C0"/>
          <w:sz w:val="16"/>
          <w:szCs w:val="16"/>
        </w:rPr>
        <w:tab/>
        <w:t>т.ч.</w:t>
      </w:r>
      <w:r w:rsidRPr="00A3026E">
        <w:rPr>
          <w:rFonts w:ascii="Times New Roman" w:hAnsi="Times New Roman"/>
          <w:color w:val="0070C0"/>
          <w:sz w:val="16"/>
          <w:szCs w:val="16"/>
        </w:rPr>
        <w:tab/>
        <w:t>в</w:t>
      </w:r>
      <w:r w:rsidRPr="00A3026E">
        <w:rPr>
          <w:rFonts w:ascii="Times New Roman" w:hAnsi="Times New Roman"/>
          <w:color w:val="0070C0"/>
          <w:sz w:val="16"/>
          <w:szCs w:val="16"/>
        </w:rPr>
        <w:tab/>
        <w:t>марте'</w:t>
      </w:r>
      <w:r w:rsidRPr="00A3026E">
        <w:rPr>
          <w:rFonts w:ascii="Times New Roman" w:hAnsi="Times New Roman"/>
          <w:color w:val="0070C0"/>
          <w:sz w:val="16"/>
          <w:szCs w:val="16"/>
        </w:rPr>
        <w:tab/>
        <w:t>15</w:t>
      </w:r>
      <w:r w:rsidRPr="00A3026E">
        <w:rPr>
          <w:rFonts w:ascii="Times New Roman" w:hAnsi="Times New Roman"/>
          <w:color w:val="0070C0"/>
          <w:sz w:val="16"/>
          <w:szCs w:val="16"/>
        </w:rPr>
        <w:tab/>
        <w:t>штук.</w:t>
      </w:r>
    </w:p>
    <w:p w14:paraId="25AFDB3B"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Обязать Народного Комиссара Авиационной промышленности тов. Шахурина А.И.:</w:t>
      </w:r>
    </w:p>
    <w:p w14:paraId="667A2A77"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реконструировать и достроить автосборочный завод под производство самолетов, на основаннии типового проекта, исходя из установленной настоящим постановлением программы и мощности завода:</w:t>
      </w:r>
    </w:p>
    <w:p w14:paraId="77BC14BB"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построить 3 стоквартирных дома для работников завода:</w:t>
      </w:r>
    </w:p>
    <w:p w14:paraId="057453A8"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дома в 1941 году,</w:t>
      </w:r>
    </w:p>
    <w:p w14:paraId="5ABA021C"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дом во П кв.1942 года.</w:t>
      </w:r>
    </w:p>
    <w:p w14:paraId="2CEFE136"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Для достройки авиационного завода в гор. Ростове органи</w:t>
      </w:r>
      <w:r w:rsidRPr="00A3026E">
        <w:rPr>
          <w:rFonts w:ascii="Times New Roman" w:hAnsi="Times New Roman"/>
          <w:color w:val="0070C0"/>
          <w:sz w:val="16"/>
          <w:szCs w:val="16"/>
        </w:rPr>
        <w:softHyphen/>
        <w:t>зовать строительно-монтажный трест Наркомавиапрома на базе 1-й конторы треста Севкавтяжстрой Наркомстроя СССР, с освобождением этой конторы от производства подрядных работ других заказчиков.</w:t>
      </w:r>
    </w:p>
    <w:p w14:paraId="099FA3D2"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Обязать Наркомстрой передать Наркомавиапрому в 10-днев- ный срок стройконтору Севкавтяжстроя с рабочими кадрами, материалами. оборудованием, транспортными средствами, а также подсобными предприятиями, складскими и жилыми помещениями по балансу на 1 октября 1940 года.</w:t>
      </w:r>
    </w:p>
    <w:p w14:paraId="4C5C628A"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Проектирование завода возложить на Рособлпроект, для чего обязать НКАП:</w:t>
      </w:r>
    </w:p>
    <w:p w14:paraId="0F3D2B44"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передать типовой проект Рособлпроекту не позднее 1 нояб</w:t>
      </w:r>
      <w:r w:rsidRPr="00A3026E">
        <w:rPr>
          <w:rFonts w:ascii="Times New Roman" w:hAnsi="Times New Roman"/>
          <w:color w:val="0070C0"/>
          <w:sz w:val="16"/>
          <w:szCs w:val="16"/>
        </w:rPr>
        <w:softHyphen/>
        <w:t>ря 194С года;</w:t>
      </w:r>
    </w:p>
    <w:p w14:paraId="38B18F18"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командировать в гор. Ростов для оказания помощи Рособл</w:t>
      </w:r>
      <w:r w:rsidRPr="00A3026E">
        <w:rPr>
          <w:rFonts w:ascii="Times New Roman" w:hAnsi="Times New Roman"/>
          <w:color w:val="0070C0"/>
          <w:sz w:val="16"/>
          <w:szCs w:val="16"/>
        </w:rPr>
        <w:softHyphen/>
        <w:t>проекту бригаду квалифицированных проектировщиков во главе с главным инженером проекта.</w:t>
      </w:r>
    </w:p>
    <w:p w14:paraId="0ECB58D3"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Рособлпроекту закончить проектирование к 1 февраля 1941 г. с выдачей рабочих чертежей, начиная с 1 января 1941 года.</w:t>
      </w:r>
    </w:p>
    <w:p w14:paraId="2A1B469C"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Промбанку СССР финансировать строительство самолетного заводи в г. Ростове до 1 мая 1941 года без утвержденных проектов и смет, а после 1 мая 1941 года до сметам нa отдельные объекты и виды работ и сметно-финансовым расчетам, утверждаемым НКАП.</w:t>
      </w:r>
    </w:p>
    <w:p w14:paraId="73708BBC"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Выделить Наркомавиапрому из резервного Фонда Совнаркома СССР на 1940 год для развертывания строительства и приобретения оборудования, транспорта, механизмов и стройматериалов 8 млн.рублей, в том числе 4 млн.рублей в оборотные средства треста.</w:t>
      </w:r>
    </w:p>
    <w:p w14:paraId="3FADACEC"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Установить размер накладных расходов в 25%, в том числе по административно-хозяйственным расходам 10.5% и аванс на при</w:t>
      </w:r>
      <w:r w:rsidRPr="00A3026E">
        <w:rPr>
          <w:rFonts w:ascii="Times New Roman" w:hAnsi="Times New Roman"/>
          <w:color w:val="0070C0"/>
          <w:sz w:val="16"/>
          <w:szCs w:val="16"/>
        </w:rPr>
        <w:softHyphen/>
        <w:t>обретение стройматериалов и оборудования в размере 20% от об’ема выполняемых работ.</w:t>
      </w:r>
    </w:p>
    <w:p w14:paraId="04CFBCDE"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12. Разрешив Наркомавиапрому ввести поправочные коэффициенты 1.15 к тарифным ставкам рабочих и инженерно-технических работ</w:t>
      </w:r>
      <w:r w:rsidRPr="00A3026E">
        <w:rPr>
          <w:rFonts w:ascii="Times New Roman" w:hAnsi="Times New Roman"/>
          <w:color w:val="0070C0"/>
          <w:sz w:val="16"/>
          <w:szCs w:val="16"/>
        </w:rPr>
        <w:softHyphen/>
        <w:t>ников строительства самолетостроительного завода в г. Ростове.</w:t>
      </w:r>
    </w:p>
    <w:p w14:paraId="308D500A"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 Установить 2 персональных оклада для руководящих работ</w:t>
      </w:r>
      <w:r w:rsidRPr="00A3026E">
        <w:rPr>
          <w:rFonts w:ascii="Times New Roman" w:hAnsi="Times New Roman"/>
          <w:color w:val="0070C0"/>
          <w:sz w:val="16"/>
          <w:szCs w:val="16"/>
        </w:rPr>
        <w:softHyphen/>
        <w:t>ников стройтреста и завода до 3000 рублей.</w:t>
      </w:r>
    </w:p>
    <w:p w14:paraId="38445CBC"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 Обязать Ростовский облисполком совета депутатов трудя</w:t>
      </w:r>
      <w:r w:rsidRPr="00A3026E">
        <w:rPr>
          <w:rFonts w:ascii="Times New Roman" w:hAnsi="Times New Roman"/>
          <w:color w:val="0070C0"/>
          <w:sz w:val="16"/>
          <w:szCs w:val="16"/>
        </w:rPr>
        <w:softHyphen/>
        <w:t>щихся:</w:t>
      </w:r>
    </w:p>
    <w:p w14:paraId="31A66E9E"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построить в 1941 году два 50-квартирннх дема для работ</w:t>
      </w:r>
      <w:r w:rsidRPr="00A3026E">
        <w:rPr>
          <w:rFonts w:ascii="Times New Roman" w:hAnsi="Times New Roman"/>
          <w:color w:val="0070C0"/>
          <w:sz w:val="16"/>
          <w:szCs w:val="16"/>
        </w:rPr>
        <w:softHyphen/>
        <w:t>ников самолетостроительного завода за счет лимитов Наркомавиапрома;</w:t>
      </w:r>
    </w:p>
    <w:p w14:paraId="58EE6077"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перевести рабочих строителей с менее важных строек на строительство авиационного завода в количестве 1.500 человек, сохранив за ними занимаемую жилплощадь на время работы на строительстве самолетостроительного завода;</w:t>
      </w:r>
    </w:p>
    <w:p w14:paraId="4BF7907E"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обеспечить полностью строительство самолетостроительного завода стройматериалами (кирпич, камень, гравий, песок, известь и алебастр);</w:t>
      </w:r>
    </w:p>
    <w:p w14:paraId="736F14C0"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в 10-дневный срок отвести необходимые земельные участки для размещеия завода и жилищного строительства.</w:t>
      </w:r>
    </w:p>
    <w:p w14:paraId="077C07EF"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 Обязать Народного Комиссара Авиационной промыщлеености ТОВ. Шахурина А.И. обеспечить необходимую техническую помощь самолетостроительному заводу в г. Ростове путем посылки квалифицированных кадров с действующих заводов и изготовления производствен</w:t>
      </w:r>
      <w:r w:rsidRPr="00A3026E">
        <w:rPr>
          <w:rFonts w:ascii="Times New Roman" w:hAnsi="Times New Roman"/>
          <w:color w:val="0070C0"/>
          <w:sz w:val="16"/>
          <w:szCs w:val="16"/>
        </w:rPr>
        <w:softHyphen/>
        <w:t>ной оснастки и эталонов.</w:t>
      </w:r>
    </w:p>
    <w:p w14:paraId="3C490ACE"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 Обязать Наркомат торговли СССР организовать закрытую форму торговли и питание рабочих и ИТР, занятых на производстве и строительстве Ростовского самолетостроительного завода.</w:t>
      </w:r>
    </w:p>
    <w:p w14:paraId="59305667"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 Выделить для самолетостроительного завода в г.Ростове Наркомавнапрома материалы и оборудование в количествах к сроки, согласно приложениям №№ 1, 2, 3.</w:t>
      </w:r>
    </w:p>
    <w:p w14:paraId="2E6F97E4"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18. Обязать наркоматы-поставщики и Наркомат путей Сообщения обеспечить строительство самолетного завода в г. Ростове внеочередной отгрузкой материалов, автотранспорта и стрймеханизмов в адрес стройтреста Наркомавиапрома равными партиями в течение октября-ноября и декабря 1940 года.</w:t>
      </w:r>
    </w:p>
    <w:p w14:paraId="0A22E3F1"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19. Разрешить Наркомвнешторгу в течение 1941 года произвести импорт оборудования для Ростовского самолетостроительного завода, но спецификации Наркомивиапрома и смете, утвержденной Экономи</w:t>
      </w:r>
      <w:r w:rsidRPr="00A3026E">
        <w:rPr>
          <w:rFonts w:ascii="Times New Roman" w:hAnsi="Times New Roman"/>
          <w:color w:val="0070C0"/>
          <w:sz w:val="16"/>
          <w:szCs w:val="16"/>
        </w:rPr>
        <w:softHyphen/>
        <w:t>ческим Советом при Совнаркоме Союза ССР.</w:t>
      </w:r>
    </w:p>
    <w:p w14:paraId="778F4D6B"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 Выделить Народному Комиссару Авиационной промышленности тов. Шахурину А.И. из резервного фонда СНК СССР на 1940 год для подготовки и освоения производства бомбардировщиков на Ростов</w:t>
      </w:r>
      <w:r w:rsidRPr="00A3026E">
        <w:rPr>
          <w:rFonts w:ascii="Times New Roman" w:hAnsi="Times New Roman"/>
          <w:color w:val="0070C0"/>
          <w:sz w:val="16"/>
          <w:szCs w:val="16"/>
        </w:rPr>
        <w:softHyphen/>
        <w:t>ском заводе 3 млн. рублей.</w:t>
      </w:r>
    </w:p>
    <w:p w14:paraId="4F99FCE7"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21. Ответственность за организацию и своевременное обеспе</w:t>
      </w:r>
      <w:r w:rsidRPr="00A3026E">
        <w:rPr>
          <w:rFonts w:ascii="Times New Roman" w:hAnsi="Times New Roman"/>
          <w:color w:val="0070C0"/>
          <w:sz w:val="16"/>
          <w:szCs w:val="16"/>
        </w:rPr>
        <w:softHyphen/>
        <w:t>чение программы 1941 года и достройку самолетного завода в г. Ро</w:t>
      </w:r>
      <w:r w:rsidRPr="00A3026E">
        <w:rPr>
          <w:rFonts w:ascii="Times New Roman" w:hAnsi="Times New Roman"/>
          <w:color w:val="0070C0"/>
          <w:sz w:val="16"/>
          <w:szCs w:val="16"/>
        </w:rPr>
        <w:softHyphen/>
        <w:t>стове возложить на Народного комиссара Авиационной промышленно</w:t>
      </w:r>
      <w:r w:rsidRPr="00A3026E">
        <w:rPr>
          <w:rFonts w:ascii="Times New Roman" w:hAnsi="Times New Roman"/>
          <w:color w:val="0070C0"/>
          <w:sz w:val="16"/>
          <w:szCs w:val="16"/>
        </w:rPr>
        <w:softHyphen/>
        <w:t>сти тов. Шахурниа А.И. и секретаря областного комитета ВКП (б) тов. Двинского, председателя облисполкома тов. Руденко (22058).</w:t>
      </w:r>
    </w:p>
    <w:p w14:paraId="61880DA5" w14:textId="77777777" w:rsidR="00C542C1" w:rsidRPr="00A3026E" w:rsidRDefault="00C542C1" w:rsidP="00A3026E">
      <w:pPr>
        <w:spacing w:after="0" w:line="240" w:lineRule="auto"/>
        <w:jc w:val="both"/>
        <w:rPr>
          <w:rFonts w:ascii="Times New Roman" w:hAnsi="Times New Roman"/>
          <w:color w:val="0070C0"/>
          <w:sz w:val="16"/>
          <w:szCs w:val="16"/>
        </w:rPr>
      </w:pPr>
    </w:p>
    <w:p w14:paraId="5BE39C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17 октября 1940 Зам. НКАП Хруничев писал письмо № Н-39/2592 ГЛАВНОМУ КОНТРОЛЕРУ НАРОДНОГО КОМИССАРИАТА ГОСУДАРСТВЕННОГО КОНТРОЛЯ СССР тов. СОЛДАТОВУ А.В.</w:t>
      </w:r>
    </w:p>
    <w:p w14:paraId="45FAB3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августа и сентября месяцев 1940 г. самолетные заводы НКАП не имели возможности планомерно сдавать боевые самолеты из-за того,что завод № 66 НКВ неравномерно подает пулеметы и количественно не обеспечивает план.</w:t>
      </w:r>
    </w:p>
    <w:p w14:paraId="3DB214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Самолетные заводы № 21, 153, 135 и другие совсем не получали пулеметов в течение августа и сентября месяцев, что вызвало простои в цехах окончательной сборки и задержа</w:t>
      </w:r>
      <w:r w:rsidRPr="00A3026E">
        <w:rPr>
          <w:rFonts w:ascii="Times New Roman" w:hAnsi="Times New Roman"/>
          <w:color w:val="000000" w:themeColor="text1"/>
          <w:sz w:val="16"/>
          <w:szCs w:val="16"/>
        </w:rPr>
        <w:softHyphen/>
        <w:t>ло сдачу самолетов.</w:t>
      </w:r>
    </w:p>
    <w:p w14:paraId="73B6B1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поставки пулеметов за август и сентябрь выполнен всего лишь на 48,8%.</w:t>
      </w:r>
    </w:p>
    <w:p w14:paraId="42C254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принятия решительных мер (10520,118).</w:t>
      </w:r>
    </w:p>
    <w:p w14:paraId="341D924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D81F8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года вр. начальника НИП АВ ВВС полковник Фадеев утвердил:</w:t>
      </w:r>
    </w:p>
    <w:p w14:paraId="2E1D81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контрольным испытаниям посадочных шашек белого и черного дыма, авиасигнальных патронов красного, белого и зеленого огня</w:t>
      </w:r>
    </w:p>
    <w:p w14:paraId="3CF056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начато 8 августа 1940 года</w:t>
      </w:r>
    </w:p>
    <w:p w14:paraId="6B3F32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окончено 25 августа 1940 года</w:t>
      </w:r>
    </w:p>
    <w:p w14:paraId="727D15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 ст. инженер 4 отделения опытного отдела НИП АВ ВВС в/инженер 2 ранга Рублев</w:t>
      </w:r>
    </w:p>
    <w:p w14:paraId="43AC9E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504EC6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характер действия посадочных шашек и авиасигнальных патронов опытного хранения снаряжения 1936 года.</w:t>
      </w:r>
    </w:p>
    <w:p w14:paraId="792317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25465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Провести следующие контрольные испытания в 1941 году:</w:t>
      </w:r>
    </w:p>
    <w:p w14:paraId="0ACE11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посадочных шашек опытного хранения белого, черного и оранжевого дыма;</w:t>
      </w:r>
    </w:p>
    <w:p w14:paraId="1E9122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авиасигнальных патронов опытного хранения красного, белого и зеленого огня (7538).</w:t>
      </w:r>
    </w:p>
    <w:p w14:paraId="40E3B90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0A62287"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 октября 1940 была Докладная записка зам. Начальника ГУ ВВС бригинженера Федорова наркому легкой промышленности СССР Лукину от № 52658/с/. Согласно записке, в 1 квартале 1940 года в течение 1,5 месяцев парашютные заводы работали с большими простоями из-за отсутствия ряда текстильных материалов: льняной тесьмы для подвесных систем парашютов на январь требовалось 100 тысяч метров, а было получено 23 тысячи; получено 50% каркасного шелкового полотна, нужного для реализации плана по выпуску парашютов; гладкого шелкового полотна поступило еще меньше, совсем не было некоторых сортов шелковых ниток. Все это привело к прекращению производства парашютов заводом № 1 НКЛП (Докладная записка от ГУАС КА в наркоматы легкой и тяжелой промышленности и в Комитет обороны при СНК // РГВА. Ф. 29. Оп. 67. Д. 37. Лл. 43-44).</w:t>
      </w:r>
    </w:p>
    <w:p w14:paraId="408769A3"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Используя административные меры, власть, несмотря на простои парашютных заводов и трудности поставки ряда текстильных материалов, сумела добиться выполнения государственного заказа по изготовлению парашютов за 1-е полугодие 1940 года. Более того, наблюдалось некоторое перевыполнение плана. Так, завод № 1 план по производству парашютов ПЛ3м перевыполнил на 7,5%, по ремонту парашютов – на 110%, по поставкам вытяжных парашютов и шелкового полотна – на 150%. В то же время сохранялись претензии и к заводу № 1 НКЛП. Так, в 1940 году завод ослабил контроль над промежуточными операциями по изготовлению карабинов. В результате этого такой брак у карабинов, как осадка пружин у проверенных парашютов, вырос с 0,38% в январе (в марте, апреле и мае было еще меньше) до 11,72% в период с 11 по 14 октября, а это было более чем в 38 раз больше. Поломка пружин в те же сроки увеличилась в 80 раз – с 0,06% (в феврале и мае таких дефектов вообще не выявлено) до 4,8 процентов. Были и другие дефекты карабинов. В связи с этим военным представителям было дано распоряжение приостановить приемку парашютов до ликвидации заводом указанных дефектов (РГВА. Ф. 29. Оп. 67. Д. 38. Лл. 131-132) (21402).</w:t>
      </w:r>
    </w:p>
    <w:p w14:paraId="25EC6ED4"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августе 1936 г. Политбюро ЦК ВКП(б) рассмотрело вопрос «О результатах расследования гибели парашютистки Н. Бабушкиной» и постановило в трехмесячный срок выбрать тип такого прибора и обеспечить его производство.</w:t>
      </w:r>
    </w:p>
    <w:p w14:paraId="7A6481F8"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заданию партии и правительства ЦС Осоавиахима и ЦК ВЛКСМ организовали конкурс на создание полуавтоматического прибора к парашюту, обеспечивающего безотказное открытие парашюта на любой заданной высоте. Всего поступило более 300 предложений по конструкции прибора-автомата. Только спустя 2 года был отобран тот тип прибораавтомата, который поступил в эксплуатацию ВВС и Осоавиахима. Результаты конкурса секретарь ЦК ВЛКСМ А. Косарев и председатель ЦС Осоавиахима комбриг П. Горшенин изложили в докладной записке в ЦК ВКП(б) (Сталину И.В.), СНК СССР (Молотову В.М.), НКО СССР (Ворошилову К.Е.). В ней они указали, что студенты Московского института инженеров транспорта братья Доронины (Николай, Анатолий и Владимир) сконструировали прибор, действующий по принципу часового механизма. Они его проверяли в специальном институте холода, бросали, гвоздь в доску им забивали, но через заданные 114 секунд он сработал. Вес прибора со всеми узлами крепления не превышал 800 г, прибор не мог самопроизвольно включиться в работу и не препятствовал раскрытию парашюта ручным способом. Дорониным единодушно присудили 1-ю премию в размере 10.000 рублей.</w:t>
      </w:r>
    </w:p>
    <w:p w14:paraId="7CDB07D1"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прибором на государственных и войсковых испытаниях и в Парашютной школе Осоавиахима 29 раз были сброшены манекены с задержкой раскрытия парашюта от 5 до 60 секунд и сделано 170 прыжков парашютистов с заданием задержки раскрытия парашюта от 5 до 30 секунд. Во всех сбрасываниях и прыжках прибор действовал точно и безотказно. Летчики и красноармейцы, испытавшие прибор братьев Дорониных на себе, дали ему блестящую характеристику. В Заключении о результатах испытания ППД-1 – парашютного прибора Дорониных отмечалось: «Прибор работает точно и безотказно. Его конструкция проста и дешева. Прибор не сложен в эксплуатации. Прибор вынослив, не имеет задержек, не капризен, не боится ударов, сотрясений. Прибор не боится температурных колебаний, влажности.</w:t>
      </w:r>
    </w:p>
    <w:p w14:paraId="79C7DF86"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Прибор не требует специальной подготовки обучаемых и допускает массовое пользование им» (РГАСПИ. Ф.М – 1. Оп. 23. Д. 1316. Л. 70) (21402).</w:t>
      </w:r>
    </w:p>
    <w:p w14:paraId="03D7089A" w14:textId="77777777" w:rsidR="00C542C1" w:rsidRPr="00A3026E" w:rsidRDefault="00C542C1" w:rsidP="00A3026E">
      <w:pPr>
        <w:spacing w:after="0" w:line="240" w:lineRule="auto"/>
        <w:jc w:val="both"/>
        <w:rPr>
          <w:rFonts w:ascii="Times New Roman" w:hAnsi="Times New Roman"/>
          <w:color w:val="0070C0"/>
          <w:sz w:val="16"/>
          <w:szCs w:val="16"/>
        </w:rPr>
      </w:pPr>
    </w:p>
    <w:p w14:paraId="7B3ED3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17 октября 1940 г. в НИИ-3 НКБ составили календарный план внедрения в массовое производство снарядов ОФР-82 по теме 622 объекта из труб без механической и с частичной механической обработкой ракетной части. Там, в частности, говорилось, что изготовленные в ноябре 1940 г. снаряды (по 25 штук каждого вида) будут отстреляны на полигоне в период с января по февраль 1941 г. Затем в марте-апреле на заводе №70 НКБ будут изготовлены для полигонных испытаний 500 и штук снарядов из показавших наилучшие результаты. А в июле 1941 г. снаряды новой модели запустят в массовое производство. Время распо</w:t>
      </w:r>
      <w:r w:rsidRPr="00A3026E">
        <w:rPr>
          <w:rFonts w:ascii="Times New Roman" w:hAnsi="Times New Roman"/>
          <w:color w:val="000000" w:themeColor="text1"/>
          <w:sz w:val="16"/>
          <w:szCs w:val="16"/>
        </w:rPr>
        <w:softHyphen/>
        <w:t>рядилось этими планами по-своему (11402).</w:t>
      </w:r>
    </w:p>
    <w:p w14:paraId="343E32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12EE0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г. на имя директора завода №32 НКАП поступило письмо от начальника 8-го управления ГУ ВВС РККА военинженера 1 ранга Никонова, в котором тот предлагал сконстру</w:t>
      </w:r>
      <w:r w:rsidRPr="00A3026E">
        <w:rPr>
          <w:rFonts w:ascii="Times New Roman" w:hAnsi="Times New Roman"/>
          <w:color w:val="000000" w:themeColor="text1"/>
          <w:sz w:val="16"/>
          <w:szCs w:val="16"/>
        </w:rPr>
        <w:softHyphen/>
        <w:t>ировать аналогичные пусковые и для стрельбы снарядами РОС-132. «Прошу изготовить опытный комплект (10 штук) 2-РУ-322 (большие ра</w:t>
      </w:r>
      <w:r w:rsidRPr="00A3026E">
        <w:rPr>
          <w:rFonts w:ascii="Times New Roman" w:hAnsi="Times New Roman"/>
          <w:color w:val="000000" w:themeColor="text1"/>
          <w:sz w:val="16"/>
          <w:szCs w:val="16"/>
        </w:rPr>
        <w:softHyphen/>
        <w:t>кетные орудия) по типу опытного образца 2-РУ-223, предложенного Огородниковым и др. и подать их на полигонные испытания на НИПАВ ' к 1 ноября 1940 г.». Здесь Никонов ошибся в индексе РО (11402).</w:t>
      </w:r>
    </w:p>
    <w:p w14:paraId="0E6656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704DC7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08B363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7ACE7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года вышел приказ Наркома вооружений о доработке 100-мм зенитной пушки 73-К. В нем требовалось:</w:t>
      </w:r>
    </w:p>
    <w:p w14:paraId="1F353B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Переработать чертеж гильз.</w:t>
      </w:r>
    </w:p>
    <w:p w14:paraId="583B26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Переработать чертеж каморы пушки с сохранением баллистического решения: начальная скорость 830-850 м/с и давление в канале 2890 кг/см2, уменьшив конусность на 68 м по диаметру в основании и увеличив по длине на 4050 мм с уменьшением бутылочности каморы, в соответствующими изменениями в затворе.</w:t>
      </w:r>
    </w:p>
    <w:p w14:paraId="704F73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Чертежи новой гильзы и свободной трубы изготовить к 10 октября 1940 года.</w:t>
      </w:r>
    </w:p>
    <w:p w14:paraId="3311FF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Систему 73-К со стволами с новой и старой каморой изготовить к 15 ноября 1940 года для заводских испытаний (3861).</w:t>
      </w:r>
    </w:p>
    <w:p w14:paraId="54934CF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1FC3F80" w14:textId="77777777" w:rsidR="00F067CF" w:rsidRPr="00A3026E" w:rsidRDefault="00F067C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г опыт</w:t>
      </w:r>
      <w:r w:rsidRPr="00A3026E">
        <w:rPr>
          <w:rFonts w:ascii="Times New Roman" w:hAnsi="Times New Roman"/>
          <w:color w:val="000000" w:themeColor="text1"/>
          <w:sz w:val="16"/>
          <w:szCs w:val="16"/>
        </w:rPr>
        <w:softHyphen/>
        <w:t>ный образец системы М-10, смонтирован</w:t>
      </w:r>
      <w:r w:rsidRPr="00A3026E">
        <w:rPr>
          <w:rFonts w:ascii="Times New Roman" w:hAnsi="Times New Roman"/>
          <w:color w:val="000000" w:themeColor="text1"/>
          <w:sz w:val="16"/>
          <w:szCs w:val="16"/>
        </w:rPr>
        <w:softHyphen/>
        <w:t>ный на машине КВ, отправили на полигонные ис</w:t>
      </w:r>
      <w:r w:rsidRPr="00A3026E">
        <w:rPr>
          <w:rFonts w:ascii="Times New Roman" w:hAnsi="Times New Roman"/>
          <w:color w:val="000000" w:themeColor="text1"/>
          <w:sz w:val="16"/>
          <w:szCs w:val="16"/>
        </w:rPr>
        <w:softHyphen/>
        <w:t>пытания АНИОП. По результатам испытаний 152,4-мм танковой гаубицы в уменьшенной башне танка КВ в объеме 188 выстрелов (100 - на усиленном и 88 - на нормальном зарядах) и 256 км пробега руководство АНИОП пришло к следующему заключению:</w:t>
      </w:r>
    </w:p>
    <w:p w14:paraId="351CEBF0" w14:textId="77777777" w:rsidR="00F067CF" w:rsidRPr="00A3026E" w:rsidRDefault="00F067CF" w:rsidP="00A3026E">
      <w:pPr>
        <w:pStyle w:val="40"/>
        <w:shd w:val="clear" w:color="auto" w:fill="auto"/>
        <w:spacing w:before="0" w:line="240" w:lineRule="auto"/>
        <w:jc w:val="both"/>
        <w:rPr>
          <w:rFonts w:ascii="Times New Roman" w:cs="Times New Roman"/>
          <w:color w:val="000000" w:themeColor="text1"/>
          <w:sz w:val="16"/>
          <w:szCs w:val="16"/>
        </w:rPr>
      </w:pPr>
      <w:r w:rsidRPr="00A3026E">
        <w:rPr>
          <w:rFonts w:ascii="Times New Roman" w:cs="Times New Roman"/>
          <w:color w:val="000000" w:themeColor="text1"/>
          <w:sz w:val="16"/>
          <w:szCs w:val="16"/>
        </w:rPr>
        <w:t>«1. Вооружать танк КВ с уменьшенной башней 152-мм танковой гаубицей возможно.</w:t>
      </w:r>
    </w:p>
    <w:p w14:paraId="3194393E" w14:textId="77777777" w:rsidR="00F067CF" w:rsidRPr="00A3026E" w:rsidRDefault="00F067CF" w:rsidP="00A3026E">
      <w:pPr>
        <w:pStyle w:val="40"/>
        <w:shd w:val="clear" w:color="auto" w:fill="auto"/>
        <w:tabs>
          <w:tab w:val="left" w:pos="495"/>
        </w:tabs>
        <w:spacing w:before="0" w:line="240" w:lineRule="auto"/>
        <w:jc w:val="both"/>
        <w:rPr>
          <w:rFonts w:ascii="Times New Roman" w:cs="Times New Roman"/>
          <w:color w:val="000000" w:themeColor="text1"/>
          <w:sz w:val="16"/>
          <w:szCs w:val="16"/>
        </w:rPr>
      </w:pPr>
      <w:r w:rsidRPr="00A3026E">
        <w:rPr>
          <w:rFonts w:ascii="Times New Roman" w:cs="Times New Roman"/>
          <w:color w:val="000000" w:themeColor="text1"/>
          <w:sz w:val="16"/>
          <w:szCs w:val="16"/>
        </w:rPr>
        <w:t>2. Прочность и надежность системы в це</w:t>
      </w:r>
      <w:r w:rsidRPr="00A3026E">
        <w:rPr>
          <w:rFonts w:ascii="Times New Roman" w:cs="Times New Roman"/>
          <w:color w:val="000000" w:themeColor="text1"/>
          <w:sz w:val="16"/>
          <w:szCs w:val="16"/>
        </w:rPr>
        <w:softHyphen/>
        <w:t>лом, в объеме проведенных испытаний, мож</w:t>
      </w:r>
      <w:r w:rsidRPr="00A3026E">
        <w:rPr>
          <w:rFonts w:ascii="Times New Roman" w:cs="Times New Roman"/>
          <w:color w:val="000000" w:themeColor="text1"/>
          <w:sz w:val="16"/>
          <w:szCs w:val="16"/>
        </w:rPr>
        <w:softHyphen/>
        <w:t>но считать удовлетворительными. Кучность на дистанции 1000 и 2000 м - удовлетворитель</w:t>
      </w:r>
      <w:r w:rsidRPr="00A3026E">
        <w:rPr>
          <w:rFonts w:ascii="Times New Roman" w:cs="Times New Roman"/>
          <w:color w:val="000000" w:themeColor="text1"/>
          <w:sz w:val="16"/>
          <w:szCs w:val="16"/>
        </w:rPr>
        <w:softHyphen/>
        <w:t>ная (с места).</w:t>
      </w:r>
    </w:p>
    <w:p w14:paraId="1E64DE4F" w14:textId="77777777" w:rsidR="00F067CF" w:rsidRPr="00A3026E" w:rsidRDefault="00F067CF" w:rsidP="00A3026E">
      <w:pPr>
        <w:pStyle w:val="40"/>
        <w:shd w:val="clear" w:color="auto" w:fill="auto"/>
        <w:tabs>
          <w:tab w:val="left" w:pos="490"/>
        </w:tabs>
        <w:spacing w:before="0" w:line="240" w:lineRule="auto"/>
        <w:jc w:val="both"/>
        <w:rPr>
          <w:rFonts w:ascii="Times New Roman" w:cs="Times New Roman"/>
          <w:color w:val="000000" w:themeColor="text1"/>
          <w:sz w:val="16"/>
          <w:szCs w:val="16"/>
        </w:rPr>
      </w:pPr>
      <w:r w:rsidRPr="00A3026E">
        <w:rPr>
          <w:rFonts w:ascii="Times New Roman" w:cs="Times New Roman"/>
          <w:color w:val="000000" w:themeColor="text1"/>
          <w:sz w:val="16"/>
          <w:szCs w:val="16"/>
        </w:rPr>
        <w:t>3. Удобство обслуживания гаубицы в баш</w:t>
      </w:r>
      <w:r w:rsidRPr="00A3026E">
        <w:rPr>
          <w:rFonts w:ascii="Times New Roman" w:cs="Times New Roman"/>
          <w:color w:val="000000" w:themeColor="text1"/>
          <w:sz w:val="16"/>
          <w:szCs w:val="16"/>
        </w:rPr>
        <w:softHyphen/>
        <w:t>не танка при стрельбе и на походе ...неудов</w:t>
      </w:r>
      <w:r w:rsidRPr="00A3026E">
        <w:rPr>
          <w:rFonts w:ascii="Times New Roman" w:cs="Times New Roman"/>
          <w:color w:val="000000" w:themeColor="text1"/>
          <w:sz w:val="16"/>
          <w:szCs w:val="16"/>
        </w:rPr>
        <w:softHyphen/>
        <w:t>летворительное.</w:t>
      </w:r>
    </w:p>
    <w:p w14:paraId="1EB14DED" w14:textId="77777777" w:rsidR="00F067CF" w:rsidRPr="00A3026E" w:rsidRDefault="00F067CF" w:rsidP="00A3026E">
      <w:pPr>
        <w:pStyle w:val="40"/>
        <w:shd w:val="clear" w:color="auto" w:fill="auto"/>
        <w:tabs>
          <w:tab w:val="left" w:pos="486"/>
        </w:tabs>
        <w:spacing w:before="0" w:line="240" w:lineRule="auto"/>
        <w:jc w:val="both"/>
        <w:rPr>
          <w:rFonts w:ascii="Times New Roman" w:cs="Times New Roman"/>
          <w:color w:val="000000" w:themeColor="text1"/>
          <w:sz w:val="16"/>
          <w:szCs w:val="16"/>
        </w:rPr>
      </w:pPr>
      <w:r w:rsidRPr="00A3026E">
        <w:rPr>
          <w:rFonts w:ascii="Times New Roman" w:cs="Times New Roman"/>
          <w:color w:val="000000" w:themeColor="text1"/>
          <w:sz w:val="16"/>
          <w:szCs w:val="16"/>
        </w:rPr>
        <w:t>4. Сопротивляемость броне-листов маски орудия танка «КВ» ненадежная...</w:t>
      </w:r>
    </w:p>
    <w:p w14:paraId="13072CAE" w14:textId="77777777" w:rsidR="00F067CF" w:rsidRPr="00A3026E" w:rsidRDefault="00F067CF" w:rsidP="00A3026E">
      <w:pPr>
        <w:pStyle w:val="40"/>
        <w:shd w:val="clear" w:color="auto" w:fill="auto"/>
        <w:tabs>
          <w:tab w:val="left" w:pos="481"/>
        </w:tabs>
        <w:spacing w:before="0" w:line="240" w:lineRule="auto"/>
        <w:jc w:val="both"/>
        <w:rPr>
          <w:rFonts w:ascii="Times New Roman" w:cs="Times New Roman"/>
          <w:color w:val="000000" w:themeColor="text1"/>
          <w:sz w:val="16"/>
          <w:szCs w:val="16"/>
        </w:rPr>
      </w:pPr>
      <w:r w:rsidRPr="00A3026E">
        <w:rPr>
          <w:rFonts w:ascii="Times New Roman" w:cs="Times New Roman"/>
          <w:color w:val="000000" w:themeColor="text1"/>
          <w:sz w:val="16"/>
          <w:szCs w:val="16"/>
        </w:rPr>
        <w:t>5. Сварка листов маски ...неудовлетвори</w:t>
      </w:r>
      <w:r w:rsidRPr="00A3026E">
        <w:rPr>
          <w:rFonts w:ascii="Times New Roman" w:cs="Times New Roman"/>
          <w:color w:val="000000" w:themeColor="text1"/>
          <w:sz w:val="16"/>
          <w:szCs w:val="16"/>
        </w:rPr>
        <w:softHyphen/>
        <w:t>тельная.</w:t>
      </w:r>
    </w:p>
    <w:p w14:paraId="1549CFCD" w14:textId="77777777" w:rsidR="00F067CF" w:rsidRPr="00A3026E" w:rsidRDefault="00F067CF" w:rsidP="00A3026E">
      <w:pPr>
        <w:pStyle w:val="40"/>
        <w:shd w:val="clear" w:color="auto" w:fill="auto"/>
        <w:spacing w:before="0" w:line="240" w:lineRule="auto"/>
        <w:jc w:val="both"/>
        <w:rPr>
          <w:rFonts w:ascii="Times New Roman" w:cs="Times New Roman"/>
          <w:color w:val="000000" w:themeColor="text1"/>
          <w:sz w:val="16"/>
          <w:szCs w:val="16"/>
        </w:rPr>
      </w:pPr>
      <w:r w:rsidRPr="00A3026E">
        <w:rPr>
          <w:rFonts w:ascii="Times New Roman" w:cs="Times New Roman"/>
          <w:color w:val="000000" w:themeColor="text1"/>
          <w:sz w:val="16"/>
          <w:szCs w:val="16"/>
        </w:rPr>
        <w:t>...после устранения заводом выявленных недостатков, необходимо провести допол</w:t>
      </w:r>
      <w:r w:rsidRPr="00A3026E">
        <w:rPr>
          <w:rFonts w:ascii="Times New Roman" w:cs="Times New Roman"/>
          <w:color w:val="000000" w:themeColor="text1"/>
          <w:sz w:val="16"/>
          <w:szCs w:val="16"/>
        </w:rPr>
        <w:softHyphen/>
        <w:t>нительно поверочные испытания орудийной установки и окончательно решить вопрос о до</w:t>
      </w:r>
      <w:r w:rsidRPr="00A3026E">
        <w:rPr>
          <w:rFonts w:ascii="Times New Roman" w:cs="Times New Roman"/>
          <w:color w:val="000000" w:themeColor="text1"/>
          <w:sz w:val="16"/>
          <w:szCs w:val="16"/>
        </w:rPr>
        <w:softHyphen/>
        <w:t>пуске всей установки в целом, и танка КВ, на вооружение Красной Армии».</w:t>
      </w:r>
    </w:p>
    <w:p w14:paraId="4BB5B4FA" w14:textId="77777777" w:rsidR="00F067CF" w:rsidRPr="00A3026E" w:rsidRDefault="00F067C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1940-1941 гг. Кировский завод изгото</w:t>
      </w:r>
      <w:r w:rsidRPr="00A3026E">
        <w:rPr>
          <w:rFonts w:ascii="Times New Roman" w:hAnsi="Times New Roman"/>
          <w:color w:val="000000" w:themeColor="text1"/>
          <w:sz w:val="16"/>
          <w:szCs w:val="16"/>
        </w:rPr>
        <w:softHyphen/>
        <w:t>вил 213 танков КВ-2 со 152,4-мм гаубицей (двух модификаций с разными башнями). Из этого количества непосредственно в войсках на начало войны находилось 134 машины в различном техническом состоянии. Многие из них были потеряны по техническим причинам, отсутствия топлива и невозможности эвакуа</w:t>
      </w:r>
      <w:r w:rsidRPr="00A3026E">
        <w:rPr>
          <w:rFonts w:ascii="Times New Roman" w:hAnsi="Times New Roman"/>
          <w:color w:val="000000" w:themeColor="text1"/>
          <w:sz w:val="16"/>
          <w:szCs w:val="16"/>
        </w:rPr>
        <w:softHyphen/>
        <w:t>ции из-за значительной боевой массы.</w:t>
      </w:r>
    </w:p>
    <w:p w14:paraId="14ECBBEE" w14:textId="77777777" w:rsidR="00F067CF" w:rsidRPr="00A3026E" w:rsidRDefault="00F067C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 не менее, даже отдельные боевые машины этого типа могли держать оборону до полного расходования боекомплекта, вселяя панический страх в души самоуверенных вояк фашиствующей Европы. Взорванные, сгорев</w:t>
      </w:r>
      <w:r w:rsidRPr="00A3026E">
        <w:rPr>
          <w:rFonts w:ascii="Times New Roman" w:hAnsi="Times New Roman"/>
          <w:color w:val="000000" w:themeColor="text1"/>
          <w:sz w:val="16"/>
          <w:szCs w:val="16"/>
        </w:rPr>
        <w:softHyphen/>
        <w:t>шие, завязшие на топких лугах или просто стоящие на обочине дорог огромные маши</w:t>
      </w:r>
      <w:r w:rsidRPr="00A3026E">
        <w:rPr>
          <w:rFonts w:ascii="Times New Roman" w:hAnsi="Times New Roman"/>
          <w:color w:val="000000" w:themeColor="text1"/>
          <w:sz w:val="16"/>
          <w:szCs w:val="16"/>
        </w:rPr>
        <w:softHyphen/>
        <w:t>ны только своим внешним видом приводили в уныние личный состав наступающих частей второго эшелона. Одну из захваченных ма</w:t>
      </w:r>
      <w:r w:rsidRPr="00A3026E">
        <w:rPr>
          <w:rFonts w:ascii="Times New Roman" w:hAnsi="Times New Roman"/>
          <w:color w:val="000000" w:themeColor="text1"/>
          <w:sz w:val="16"/>
          <w:szCs w:val="16"/>
        </w:rPr>
        <w:softHyphen/>
        <w:t>шин даже выставили осенью 1941 г. на всеоб</w:t>
      </w:r>
      <w:r w:rsidRPr="00A3026E">
        <w:rPr>
          <w:rFonts w:ascii="Times New Roman" w:hAnsi="Times New Roman"/>
          <w:color w:val="000000" w:themeColor="text1"/>
          <w:sz w:val="16"/>
          <w:szCs w:val="16"/>
        </w:rPr>
        <w:softHyphen/>
        <w:t>щее обозрение в Берлине. Но мало кто из лю</w:t>
      </w:r>
      <w:r w:rsidRPr="00A3026E">
        <w:rPr>
          <w:rFonts w:ascii="Times New Roman" w:hAnsi="Times New Roman"/>
          <w:color w:val="000000" w:themeColor="text1"/>
          <w:sz w:val="16"/>
          <w:szCs w:val="16"/>
        </w:rPr>
        <w:softHyphen/>
        <w:t>бопытствующих зевак мог тогда вообразить, что через несколько лет им представится воз</w:t>
      </w:r>
      <w:r w:rsidRPr="00A3026E">
        <w:rPr>
          <w:rFonts w:ascii="Times New Roman" w:hAnsi="Times New Roman"/>
          <w:color w:val="000000" w:themeColor="text1"/>
          <w:sz w:val="16"/>
          <w:szCs w:val="16"/>
        </w:rPr>
        <w:softHyphen/>
        <w:t>можность ознакомиться с более совершенны</w:t>
      </w:r>
      <w:r w:rsidRPr="00A3026E">
        <w:rPr>
          <w:rFonts w:ascii="Times New Roman" w:hAnsi="Times New Roman"/>
          <w:color w:val="000000" w:themeColor="text1"/>
          <w:sz w:val="16"/>
          <w:szCs w:val="16"/>
        </w:rPr>
        <w:softHyphen/>
        <w:t>ми образцами советских танков - уже на ули</w:t>
      </w:r>
      <w:r w:rsidRPr="00A3026E">
        <w:rPr>
          <w:rFonts w:ascii="Times New Roman" w:hAnsi="Times New Roman"/>
          <w:color w:val="000000" w:themeColor="text1"/>
          <w:sz w:val="16"/>
          <w:szCs w:val="16"/>
        </w:rPr>
        <w:softHyphen/>
        <w:t>цах поверженных городов Германии (15767).</w:t>
      </w:r>
    </w:p>
    <w:p w14:paraId="58F25C85" w14:textId="77777777" w:rsidR="00F067CF" w:rsidRPr="00A3026E" w:rsidRDefault="00F067CF" w:rsidP="00A3026E">
      <w:pPr>
        <w:pStyle w:val="133"/>
        <w:shd w:val="clear" w:color="auto" w:fill="auto"/>
        <w:spacing w:before="0" w:line="240" w:lineRule="auto"/>
        <w:jc w:val="both"/>
        <w:rPr>
          <w:color w:val="000000" w:themeColor="text1"/>
          <w:sz w:val="16"/>
          <w:szCs w:val="16"/>
          <w:lang w:val="ru-RU"/>
        </w:rPr>
      </w:pPr>
    </w:p>
    <w:p w14:paraId="64D449F5" w14:textId="77777777" w:rsidR="003C4475" w:rsidRPr="00A3026E" w:rsidRDefault="003C447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17 октября 1940 г. физики УФТИ, Харьков, подали в отдел изобретательства Красной Армии первые в СССР секретные заявки по ядерной тематике:</w:t>
      </w:r>
    </w:p>
    <w:p w14:paraId="3F262E92" w14:textId="77777777" w:rsidR="003C4475" w:rsidRPr="00A3026E" w:rsidRDefault="003C447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В.А.Маслов В.С.Шпинель «Об использовании урана в качестве взрывчатого и отравляющего вещества»;</w:t>
      </w:r>
    </w:p>
    <w:p w14:paraId="36D56677" w14:textId="77777777" w:rsidR="003C4475" w:rsidRPr="00A3026E" w:rsidRDefault="003C447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Ф.Ланге, В.А.Маслов, В.С.Шпинель «Способ приготовления урановой смеси, обогащенной ураном с массовым числом 235. Многомерная центрифуга»;</w:t>
      </w:r>
    </w:p>
    <w:p w14:paraId="33C8AB63" w14:textId="77777777" w:rsidR="003C4475" w:rsidRPr="00A3026E" w:rsidRDefault="003C447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Ф.Ланге, В.А.Маслов «Термоциркуляционная центрифуга» (17398).</w:t>
      </w:r>
    </w:p>
    <w:p w14:paraId="3463CBBC" w14:textId="77777777" w:rsidR="003C4475" w:rsidRPr="00A3026E" w:rsidRDefault="003C4475" w:rsidP="00A3026E">
      <w:pPr>
        <w:spacing w:after="0" w:line="240" w:lineRule="auto"/>
        <w:jc w:val="both"/>
        <w:rPr>
          <w:rFonts w:ascii="Times New Roman" w:hAnsi="Times New Roman"/>
          <w:color w:val="000000" w:themeColor="text1"/>
          <w:sz w:val="16"/>
          <w:szCs w:val="16"/>
        </w:rPr>
      </w:pPr>
    </w:p>
    <w:p w14:paraId="738BABC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504B0D1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A425D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приказом № 001318 объявлялась дислокация действовавших в тот момент ИТЛ и строительств НКВД общей численностью «65 единиц»:</w:t>
      </w:r>
    </w:p>
    <w:p w14:paraId="0F0288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Амурлаг (город Свободный Хабаровского края);</w:t>
      </w:r>
    </w:p>
    <w:p w14:paraId="6F44FA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Архбумстрой (местечко Мечка-Полой Архангельской области);</w:t>
      </w:r>
    </w:p>
    <w:p w14:paraId="444CD4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Астраханлаг (Астрахань);</w:t>
      </w:r>
    </w:p>
    <w:p w14:paraId="526F04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Беломорско-Балтийский комбинат (Медвежьегорск Карело-Финской ССР);</w:t>
      </w:r>
    </w:p>
    <w:p w14:paraId="080AD6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Бирдаг (станция Бира Дальневосточной ж. д.);</w:t>
      </w:r>
    </w:p>
    <w:p w14:paraId="22CADF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Бурдаг (станция Известковая Дальневосточной ж. д.);</w:t>
      </w:r>
    </w:p>
    <w:p w14:paraId="5BF766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Букачачлаг (поселок Букачача Читинской области);</w:t>
      </w:r>
    </w:p>
    <w:p w14:paraId="3D13DB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Владлаг (Владивосток);</w:t>
      </w:r>
    </w:p>
    <w:p w14:paraId="3DC9DD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Воркутпечлаг (поселок Воркута Архангельской области);</w:t>
      </w:r>
    </w:p>
    <w:p w14:paraId="0436C1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Волголаг (поселок Переборы Рыбинского района Ярославской области);</w:t>
      </w:r>
    </w:p>
    <w:p w14:paraId="43ACB6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Вяземлаг (город Вязьма Смоленской области);</w:t>
      </w:r>
    </w:p>
    <w:p w14:paraId="53E93D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Вятлаг (рабочий поселок Рудничный Кировской области);</w:t>
      </w:r>
    </w:p>
    <w:p w14:paraId="35F0EB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Горшорлаг (станция Ахпун Томской ж. д.);</w:t>
      </w:r>
    </w:p>
    <w:p w14:paraId="769971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Гдовлаг (станция Сланцы Ленинградской ж. д.);</w:t>
      </w:r>
    </w:p>
    <w:p w14:paraId="779763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Джезказганлаг (поселок Новый Джезказган Карагандинской области Казахской ССР);</w:t>
      </w:r>
    </w:p>
    <w:p w14:paraId="05E144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Заимандролаг (станция Оленья Кировской ж. д. - строительство железного рудника на Кольском полуострове);</w:t>
      </w:r>
    </w:p>
    <w:p w14:paraId="2E1768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Ивдельлаг (село Ивдель Свердловской области);</w:t>
      </w:r>
    </w:p>
    <w:p w14:paraId="531EF4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Карлаг (Караганда);</w:t>
      </w:r>
    </w:p>
    <w:p w14:paraId="65A222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Каргопольлаг (город Каргополь Архангельской области);</w:t>
      </w:r>
    </w:p>
    <w:p w14:paraId="180DCF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Краслаг (город Канск Красноярского края);</w:t>
      </w:r>
    </w:p>
    <w:p w14:paraId="64D03A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Кулойлаг (Архангельск);</w:t>
      </w:r>
    </w:p>
    <w:p w14:paraId="236B75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Кольдаг (Мурманск);</w:t>
      </w:r>
    </w:p>
    <w:p w14:paraId="6C7D0D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Лужлаг (Ленинград);</w:t>
      </w:r>
    </w:p>
    <w:p w14:paraId="148977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Ликовлаг (деревня Ликово Кунцевского района Московской области - строительство Внуковского аэродрома);</w:t>
      </w:r>
    </w:p>
    <w:p w14:paraId="78CBAC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Нижамурлаг (Комсомольск-на-Амуре Хабаровского края);</w:t>
      </w:r>
    </w:p>
    <w:p w14:paraId="38B7A4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Мончегорлаг (Мончегорск Мурманской области - строительство комбината «Североникель»);</w:t>
      </w:r>
    </w:p>
    <w:p w14:paraId="782BA6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Норильдаг (Норильск Красноярского края);</w:t>
      </w:r>
    </w:p>
    <w:p w14:paraId="3DA5A3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Новотамбовжаг (Комсомольск-на-Амуре Хабаровского края);</w:t>
      </w:r>
    </w:p>
    <w:p w14:paraId="166BD9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Онеглаг (станция Плесецкая Северной ж. д.);</w:t>
      </w:r>
    </w:p>
    <w:p w14:paraId="4294FE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Пудожстрой (Медвежьегорск Карело-Финской ССР - строительство феррованадиевого комбината);</w:t>
      </w:r>
    </w:p>
    <w:p w14:paraId="68FAB3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Севпечлаг (село Абезь Коми АССР);</w:t>
      </w:r>
    </w:p>
    <w:p w14:paraId="74BA68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Райчихдаг (седо Райчиха Амурской области Хабаровского края);</w:t>
      </w:r>
    </w:p>
    <w:p w14:paraId="2E3591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Средбельлаг (станция Средне-Белая Амурской ж. д.);</w:t>
      </w:r>
    </w:p>
    <w:p w14:paraId="581FE9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Самарлаг (Куйбышев);</w:t>
      </w:r>
    </w:p>
    <w:p w14:paraId="5B3ADB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Севуралаг (Ирбит Свердловской области);</w:t>
      </w:r>
    </w:p>
    <w:p w14:paraId="7C0A4F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Сорокдаг (Беломорск Карело-Финской ССР);</w:t>
      </w:r>
    </w:p>
    <w:p w14:paraId="329A5D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Севжелдорлаг (поселок Железнодорожный Коми АССР);</w:t>
      </w:r>
    </w:p>
    <w:p w14:paraId="66F6D9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Сегежлаг (станция Сегежа Кировской ж. д.);</w:t>
      </w:r>
    </w:p>
    <w:p w14:paraId="26F0B7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Севвостлаг (Магадан Хабаровского края);</w:t>
      </w:r>
    </w:p>
    <w:p w14:paraId="7BB917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Соликамбумстрой (рабочий поселок Боровск Соликамского района Молотовской области);</w:t>
      </w:r>
    </w:p>
    <w:p w14:paraId="06B91A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Управление Соликамского гидроузла (Ленинград);</w:t>
      </w:r>
    </w:p>
    <w:p w14:paraId="063ED9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Темлаг (поселок Явас Зубово-Полянского района Мордовской АССР);</w:t>
      </w:r>
    </w:p>
    <w:p w14:paraId="343521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Томасинлаг (село Асино Новосибирской области);</w:t>
      </w:r>
    </w:p>
    <w:p w14:paraId="75458C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Унжлаг (станция Сухобезводная Горьковской ж. д.);</w:t>
      </w:r>
    </w:p>
    <w:p w14:paraId="08332C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Усольлаг (Соликамск Молотовской области);</w:t>
      </w:r>
    </w:p>
    <w:p w14:paraId="2E43FD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Усть-Вымлаг (поселок Вожаель Усть-Вымского района Коми АССР);</w:t>
      </w:r>
    </w:p>
    <w:p w14:paraId="0161B9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Ухтоижемлаг (рабочий поселок Ухта Коми АССР);</w:t>
      </w:r>
    </w:p>
    <w:p w14:paraId="1D20AE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Хабарлаг (Хабаровск);</w:t>
      </w:r>
    </w:p>
    <w:p w14:paraId="09CCBE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Химлаг (село Никольское, Ленинградское шоссе, Москва);</w:t>
      </w:r>
    </w:p>
    <w:p w14:paraId="0EBD04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Череповецлаг (Череповец Вологодской области - строительство металлургического комбината);</w:t>
      </w:r>
    </w:p>
    <w:p w14:paraId="045703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Южлаг (станция Заудинская Восточно-Сибирской ж. д.);</w:t>
      </w:r>
    </w:p>
    <w:p w14:paraId="193EE3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Ягринлаг (город Молотовск Архангельской области);</w:t>
      </w:r>
    </w:p>
    <w:p w14:paraId="1CAA3E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УИТЛК УНКВД Ленинградской области (Ленинград);</w:t>
      </w:r>
    </w:p>
    <w:p w14:paraId="4A1ADE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УИТЛК УНКВД Московской области (Москва);</w:t>
      </w:r>
    </w:p>
    <w:p w14:paraId="03E947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УИТЛК УНКВД Новосибирской области (Новосибирск);</w:t>
      </w:r>
    </w:p>
    <w:p w14:paraId="2767A7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УИТЛК УНКВД Иркутской области (Иркутск);</w:t>
      </w:r>
    </w:p>
    <w:p w14:paraId="4E93A7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УИТЛК НКВД Узбекской ССР (Ташкент); </w:t>
      </w:r>
    </w:p>
    <w:p w14:paraId="1195C2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Актюбинлаг (Актюбинск Казахской ССР - строительство металлургического комбината, добыча полезных ископаемых);</w:t>
      </w:r>
    </w:p>
    <w:p w14:paraId="3958D9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Кандалакшлаг (город Кандалакша Мурманской области - строительство алюминиевого завода);</w:t>
      </w:r>
    </w:p>
    <w:p w14:paraId="208ADE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строительство № 201 (Николаевск-на-Амуре Хабаровского края);</w:t>
      </w:r>
    </w:p>
    <w:p w14:paraId="0A81D3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строительство № 211 (поселок Стрижевка Винницкой области);</w:t>
      </w:r>
    </w:p>
    <w:p w14:paraId="31AA31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строительство № 213 (бухта Находка Приморского края);</w:t>
      </w:r>
    </w:p>
    <w:p w14:paraId="6943C3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строительство № 263 (Совгавань Приморского края);</w:t>
      </w:r>
    </w:p>
    <w:p w14:paraId="67A499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Кексгольмлаг (Кексгольм Карело-Финской ССР - строительство целлюлозно-бумажных предприятий на бывшей финской территории);</w:t>
      </w:r>
    </w:p>
    <w:p w14:paraId="308F74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Безымянлаг (станция Безымянка Куйбышевской ж. д.) (7560).</w:t>
      </w:r>
    </w:p>
    <w:p w14:paraId="0A637CF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5BD3D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года вышел Приказ НКВД СССР №00138 с объявлением "Дислокации Управлений ИТЛ и строительств НКВД на 10 октября 1940 года" (дислокация является совершенно секретным документом и хранится наравне с шифром), введены условные наименования лагерей типа "п/я 210" (8983).</w:t>
      </w:r>
    </w:p>
    <w:p w14:paraId="67EE80A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3CA058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84389E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5F12CE1"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 октября 1940 - Первый полет британского патрульного самолета Airspeed AS.39 Fleet Shadower. Построен по спецификации S.23/37, предусматривющей медленно летающий малошумный самолет с большой дальностью, способный работать с палубы авианосца. Скорость патрулирования 38 узлов на высоте 1 500 футов (460 м) в течение не менее шести часов. Самолет имел экипаж из трех человек: пилота, наблюдателя и радиста. AS.39 имел уникальную конфигурацию экипажа с наблюдателем, размещенным в носу с балконным остеклением, и поднятой кабиной пилота, для обеспечения прохода в отсек радиста. На крыльях были установлены четыре небольших 130-сильных семицилиндровых радиальных двигателя Pobjoy Niagara V воздушного охлаждения.</w:t>
      </w:r>
    </w:p>
    <w:p w14:paraId="30537A76" w14:textId="77777777" w:rsidR="00C542C1" w:rsidRPr="00A3026E" w:rsidRDefault="00C542C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серии не строился. Потребность в таких самолетах отпала из-за внедрения радаров на патрульных самолетах дальнего радиуса действия, таких как Liberator I (22334).</w:t>
      </w:r>
    </w:p>
    <w:p w14:paraId="0D8DDD72" w14:textId="77777777" w:rsidR="00C542C1" w:rsidRPr="00A3026E" w:rsidRDefault="00C542C1" w:rsidP="00A3026E">
      <w:pPr>
        <w:spacing w:after="0" w:line="240" w:lineRule="auto"/>
        <w:jc w:val="both"/>
        <w:rPr>
          <w:rFonts w:ascii="Times New Roman" w:hAnsi="Times New Roman"/>
          <w:color w:val="0070C0"/>
          <w:sz w:val="16"/>
          <w:szCs w:val="16"/>
        </w:rPr>
      </w:pPr>
    </w:p>
    <w:p w14:paraId="120E25AF" w14:textId="77777777" w:rsidR="00F25154" w:rsidRPr="00A3026E" w:rsidRDefault="00F25154"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color w:val="000000" w:themeColor="text1"/>
          <w:sz w:val="16"/>
          <w:szCs w:val="16"/>
        </w:rPr>
        <w:t>17 октября 1940 г. в самом конце операции «Морской лев» люфтваффе совершила налет на базу флота Скапа-Флоу, оказалось, что английского флота там не было, немецкие самолеты повредили плавучую базу «Айрон Дьюк», которая села на мель, но продолжала выполнять свою простую функцию (17398).</w:t>
      </w:r>
    </w:p>
    <w:p w14:paraId="43C857FB" w14:textId="77777777" w:rsidR="00F25154" w:rsidRPr="00A3026E" w:rsidRDefault="00F25154" w:rsidP="00A3026E">
      <w:pPr>
        <w:spacing w:after="0" w:line="240" w:lineRule="auto"/>
        <w:jc w:val="both"/>
        <w:rPr>
          <w:rFonts w:ascii="Times New Roman" w:hAnsi="Times New Roman"/>
          <w:iCs/>
          <w:color w:val="000000" w:themeColor="text1"/>
          <w:sz w:val="16"/>
          <w:szCs w:val="16"/>
        </w:rPr>
      </w:pPr>
    </w:p>
    <w:p w14:paraId="77E414DE" w14:textId="77777777" w:rsidR="00F25154" w:rsidRPr="00A3026E" w:rsidRDefault="00F25154"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color w:val="000000" w:themeColor="text1"/>
          <w:sz w:val="16"/>
          <w:szCs w:val="16"/>
        </w:rPr>
        <w:t xml:space="preserve">17 октября 1940 г. Испания объявила о поддержке Германии и Италии. </w:t>
      </w:r>
      <w:r w:rsidRPr="00A3026E">
        <w:rPr>
          <w:rFonts w:ascii="Times New Roman" w:hAnsi="Times New Roman"/>
          <w:bCs/>
          <w:color w:val="000000" w:themeColor="text1"/>
          <w:sz w:val="16"/>
          <w:szCs w:val="16"/>
        </w:rPr>
        <w:t>Новый министр иностранных дел Серрано Суньер, лидер Фаланги, который был известен как сторонник Германии, обнародовал это решение (17398).</w:t>
      </w:r>
    </w:p>
    <w:p w14:paraId="04017CF1" w14:textId="77777777" w:rsidR="00F25154" w:rsidRPr="00A3026E" w:rsidRDefault="00F25154" w:rsidP="00A3026E">
      <w:pPr>
        <w:spacing w:after="0" w:line="240" w:lineRule="auto"/>
        <w:jc w:val="both"/>
        <w:rPr>
          <w:rFonts w:ascii="Times New Roman" w:hAnsi="Times New Roman"/>
          <w:iCs/>
          <w:color w:val="000000" w:themeColor="text1"/>
          <w:sz w:val="16"/>
          <w:szCs w:val="16"/>
        </w:rPr>
      </w:pPr>
    </w:p>
    <w:p w14:paraId="4822D96E" w14:textId="77777777" w:rsidR="00F25154" w:rsidRPr="00A3026E" w:rsidRDefault="00F25154"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color w:val="000000" w:themeColor="text1"/>
          <w:sz w:val="16"/>
          <w:szCs w:val="16"/>
        </w:rPr>
        <w:t xml:space="preserve">17-20 октября 1940 г. германская «волчья стая» - </w:t>
      </w:r>
      <w:r w:rsidRPr="00A3026E">
        <w:rPr>
          <w:rFonts w:ascii="Times New Roman" w:hAnsi="Times New Roman"/>
          <w:bCs/>
          <w:color w:val="000000" w:themeColor="text1"/>
          <w:sz w:val="16"/>
          <w:szCs w:val="16"/>
        </w:rPr>
        <w:t>одна группа германских подводных лодок во время полнолуния, не понеся потерь, разгромила английские конвои «SC-7» и «НХ-79А», уничтожив из 83 транспортов 3</w:t>
      </w:r>
      <w:r w:rsidRPr="00A3026E">
        <w:rPr>
          <w:rFonts w:ascii="Times New Roman" w:hAnsi="Times New Roman"/>
          <w:iCs/>
          <w:color w:val="000000" w:themeColor="text1"/>
          <w:sz w:val="16"/>
          <w:szCs w:val="16"/>
        </w:rPr>
        <w:t>1</w:t>
      </w:r>
      <w:r w:rsidRPr="00A3026E">
        <w:rPr>
          <w:rFonts w:ascii="Times New Roman" w:hAnsi="Times New Roman"/>
          <w:color w:val="000000" w:themeColor="text1"/>
          <w:sz w:val="16"/>
          <w:szCs w:val="16"/>
        </w:rPr>
        <w:t>. 17 октября 1940 г. на все немецкие подлодки ушли радиограммы, которые разрешали атаковать любые торговые суда противника и вооруженные и не вооруженные, а также разрешали атаковать пассажирские суда, даже идущие в одиночестве (17398).</w:t>
      </w:r>
    </w:p>
    <w:p w14:paraId="7BFC2D6B" w14:textId="77777777" w:rsidR="00F25154" w:rsidRPr="00A3026E" w:rsidRDefault="00F25154" w:rsidP="00A3026E">
      <w:pPr>
        <w:spacing w:after="0" w:line="240" w:lineRule="auto"/>
        <w:jc w:val="both"/>
        <w:rPr>
          <w:rFonts w:ascii="Times New Roman" w:hAnsi="Times New Roman"/>
          <w:iCs/>
          <w:color w:val="000000" w:themeColor="text1"/>
          <w:sz w:val="16"/>
          <w:szCs w:val="16"/>
        </w:rPr>
      </w:pPr>
    </w:p>
    <w:p w14:paraId="146767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г. возобновился транзит грузов в Китай по Бирманской дороге, ранее остановленный Великобританией (3871).</w:t>
      </w:r>
    </w:p>
    <w:p w14:paraId="5DFEFB1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9F3109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CCF96D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2DB96B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года вышел приказ НИИ ВВС № 0234</w:t>
      </w:r>
    </w:p>
    <w:p w14:paraId="1D31E30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самолета ДБ3-Ф 2М-88 ВИШ-23 № 390801 эталон второй половины 1940 года с обтекателем МВ-3 и пневматической уборкой костыля в фюзеляже (6890, 152).</w:t>
      </w:r>
    </w:p>
    <w:p w14:paraId="1DDFDA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FCBD2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года Зам. начальника ГУ ВВС утвердил Отчет о гос. испытаниях головного серийного самолета ДБ-3Ф 2М-87Б № 180630 с винтами ВИШ-23А Производства завода № 18</w:t>
      </w:r>
    </w:p>
    <w:p w14:paraId="395494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7CCB80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НИИ ВВС майор Костюк М.Н.</w:t>
      </w:r>
    </w:p>
    <w:p w14:paraId="261E14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НИИ ВВС капитан Сыроегин А.Д.</w:t>
      </w:r>
    </w:p>
    <w:p w14:paraId="6B0793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1CB5889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летно-технические данные серийного самолета ДБ-3Ф 2М-87Б с ВИШ-23 постройки завода НКАП № 18.</w:t>
      </w:r>
    </w:p>
    <w:p w14:paraId="7B46754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температурные режимы винто-моторной группы самолета с моторами М-87Б, винтами ВИШ-23 и двумя воздушно-масляными радиаторами на каждом моторе.</w:t>
      </w:r>
    </w:p>
    <w:p w14:paraId="590D1B6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вооружения и специального оборудования.</w:t>
      </w:r>
    </w:p>
    <w:p w14:paraId="66E006E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возможность выполнения ночных полетов.</w:t>
      </w:r>
    </w:p>
    <w:p w14:paraId="3B7645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 18 предъявлен на гос. испытания головной серийный самолет ДБ-3Ф 2М-87Б с винтами ВИШ-23А.</w:t>
      </w:r>
    </w:p>
    <w:p w14:paraId="435261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сравнению с опытным самолетом ДБ-3Ф 2М87 с ВИШ-3 завода № 39, предъявленный самолет имеет следующие изменения:</w:t>
      </w:r>
    </w:p>
    <w:p w14:paraId="4A75613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Винты ВИШ-3 заменены винтами ВИШ-23А.</w:t>
      </w:r>
    </w:p>
    <w:p w14:paraId="141EA87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Вместо турели типа СУ ДБ-3 установлена турель типа МВ-3, а вместо ЛУ-ДБ-3, люковая установка типа МВ-2.</w:t>
      </w:r>
    </w:p>
    <w:p w14:paraId="7732776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Взамен одного 8-ми дюймового воздушно-масляного радиатора, расположенного в носке крыла и невыходящего из габаритов носка крыла, установлено на каждый мотор по 2 воздушно-масляных радиатора, расположенных в носке крыла перпендикулярно переднему лонжерону и выступающим из габаритов носка крыла.</w:t>
      </w:r>
    </w:p>
    <w:p w14:paraId="661BD33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Воздушно-масляные радиаторы имеют синхронно работающие жалюзи на входе и заслонки на выходе из туннелей радиаторов.</w:t>
      </w:r>
    </w:p>
    <w:p w14:paraId="5483616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Установлены 2 кассеты типа КАС-8 под парашютные ракеты ПР-8.</w:t>
      </w:r>
    </w:p>
    <w:p w14:paraId="4F3CF75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Предусмотрено гнездо для установки фотоаппарата АФА-Б.</w:t>
      </w:r>
    </w:p>
    <w:p w14:paraId="70E9007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Антенна РПК-2 вынесена под фюзеляж в специальный обтекатель.</w:t>
      </w:r>
    </w:p>
    <w:p w14:paraId="35C4DD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5C7A2D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испытания 5 сентября 1940 года</w:t>
      </w:r>
    </w:p>
    <w:p w14:paraId="561DB8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окончил испытания 4 октября 1940 года</w:t>
      </w:r>
    </w:p>
    <w:p w14:paraId="4D2DED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испытаний 30 дней, из них летные испытания – 10 дней.</w:t>
      </w:r>
    </w:p>
    <w:p w14:paraId="76050E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произведено 59 полетов общей продолжительностью 27 час. 49 мин., из них:</w:t>
      </w:r>
    </w:p>
    <w:p w14:paraId="3AFD8A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Высотных – 6 полетов продолжительностью 14 час. 18 мин.</w:t>
      </w:r>
    </w:p>
    <w:p w14:paraId="2BB7F6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Ночных – 7 полетов продолжительностью 1 час. 20 мин.</w:t>
      </w:r>
    </w:p>
    <w:p w14:paraId="4B81BC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дальность – 1 полет продолжительностью 4 час. 40 мин.</w:t>
      </w:r>
    </w:p>
    <w:p w14:paraId="4B286B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68C0B07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самолет ДБ-3Ф 2М-87Б с ВИШ-23 № 180630 производства завода НКАП № 18 на гос. испытаниях показал максимальную скорость 405 км/час на высоте 4900 м.</w:t>
      </w:r>
    </w:p>
    <w:p w14:paraId="433DE758" w14:textId="77777777" w:rsidR="00C66762" w:rsidRPr="00A3026E" w:rsidRDefault="00C66762" w:rsidP="00A3026E">
      <w:pPr>
        <w:pStyle w:val="a3"/>
        <w:widowControl/>
        <w:rPr>
          <w:color w:val="000000" w:themeColor="text1"/>
          <w:lang w:val="ru-RU"/>
        </w:rPr>
      </w:pPr>
      <w:r w:rsidRPr="00A3026E">
        <w:rPr>
          <w:color w:val="000000" w:themeColor="text1"/>
          <w:lang w:val="ru-RU"/>
        </w:rPr>
        <w:t>Согласно постановления КО за № 222 сс от 1939 года, максимальная скорость самолета ДБ-3Ф 2М-88 должна быть 485 км/час на высоте 7000 м (4554).</w:t>
      </w:r>
    </w:p>
    <w:p w14:paraId="38E10452" w14:textId="77777777" w:rsidR="00C66762" w:rsidRPr="00A3026E" w:rsidRDefault="00C66762" w:rsidP="00A3026E">
      <w:pPr>
        <w:pStyle w:val="a3"/>
        <w:widowControl/>
        <w:rPr>
          <w:color w:val="000000" w:themeColor="text1"/>
          <w:lang w:val="ru-RU"/>
        </w:rPr>
      </w:pPr>
    </w:p>
    <w:p w14:paraId="2B6F801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года самолет ДБ-240 с моторами М-105 закончил гос. испытания в НИИ ВВС, которые проходили с 27 сентября (4048, 4).</w:t>
      </w:r>
    </w:p>
    <w:p w14:paraId="6F9235C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72595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1940-го выпустили опытный самолет Б, назначив на него (за четыре месяца до этого) приказом НКАП ведущими инженера А.И.Шаханова и летчика-испытателя М.А.Липкина. Последнего, погибшего в катастрофе при испытании бомбардировщика СПБ Н.Н.Поликарпова, сменил Ю.К.Станкевич (6409).</w:t>
      </w:r>
    </w:p>
    <w:p w14:paraId="57E99A2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7CB9625" w14:textId="77777777" w:rsidR="00C66762" w:rsidRPr="00A3026E" w:rsidRDefault="00C66762" w:rsidP="00A3026E">
      <w:pPr>
        <w:pStyle w:val="a3"/>
        <w:widowControl/>
        <w:rPr>
          <w:color w:val="000000" w:themeColor="text1"/>
          <w:lang w:val="ru-RU"/>
        </w:rPr>
      </w:pPr>
      <w:r w:rsidRPr="00A3026E">
        <w:rPr>
          <w:color w:val="000000" w:themeColor="text1"/>
          <w:lang w:val="ru-RU"/>
        </w:rPr>
        <w:t>С 18 октября по 27 декабря 1940 проходили повторные госиспытания И-21-1. Вероятно это ошибка и речь шла о 18 ноября (8280,26).</w:t>
      </w:r>
    </w:p>
    <w:p w14:paraId="184BEA54" w14:textId="77777777" w:rsidR="00C66762" w:rsidRPr="00A3026E" w:rsidRDefault="00C66762" w:rsidP="00A3026E">
      <w:pPr>
        <w:pStyle w:val="a3"/>
        <w:widowControl/>
        <w:rPr>
          <w:color w:val="000000" w:themeColor="text1"/>
          <w:lang w:val="ru-RU"/>
        </w:rPr>
      </w:pPr>
    </w:p>
    <w:p w14:paraId="336946AC"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период с 18 октября по 16 ноября 1940 года проходили войсковые испытания А-7. Они включали в себя целый спектр задач, которые требовалось выполнять лёгкому артиллерийскому разведчику-корректировщику. Помимо этого, определялись тактико-технические характеристики машины, изменившиеся по сравнению с предшествующими опытными образцами. Автожиры установочной партии удостоились высокой оценки:</w:t>
      </w:r>
    </w:p>
    <w:p w14:paraId="68C90A20"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«Автожир А-7-3А по своим лётно-техническим данным способен лучше, чем всякий другой, имеющийся на вооружении самолёт, решать задачи по разведке и корректировке артогня из своего расположения, несения службы связи в интересах артиллерийского и общевойскового командования вследствие следующих своих качеств:</w:t>
      </w:r>
    </w:p>
    <w:p w14:paraId="03965F12"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большого диапазона скоростей при малой минимальной скорости (50–218 км/час);</w:t>
      </w:r>
    </w:p>
    <w:p w14:paraId="3AC9E92A"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способности производить взлёт и посадку с площадок ограниченного размера (50×50 м) при ветре 2–3 м/сек и открытых подходах;</w:t>
      </w:r>
    </w:p>
    <w:p w14:paraId="6F02CFDD"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способности сохранять управляемость и устойчивость на малых скоростях, не входить в штопор;</w:t>
      </w:r>
    </w:p>
    <w:p w14:paraId="59ED48CB"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простота техники пилотирования, доступности для лётчиков средней квалификации;</w:t>
      </w:r>
    </w:p>
    <w:p w14:paraId="7F0E8928"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отличного обзора лётчика-наблюдателя;</w:t>
      </w:r>
    </w:p>
    <w:p w14:paraId="6BB0B592"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хорошей манёвренности (малый радиус виража — порядка 50 метров);</w:t>
      </w:r>
    </w:p>
    <w:p w14:paraId="75328D8F"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устойчивости на земле при рулёжке, взлёте и посадке».</w:t>
      </w:r>
    </w:p>
    <w:p w14:paraId="2F6D99F7"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Разумеется, хватало у машины и недостатков. По сравнению с самолётами-разведчиками семейства Р-5 автожир оказался сложнее в эксплуатации. Если для обслуживания Р-5 требовалось всего два техника, то А-7-3а обслуживали трое, причём их уровень квалификации должен был быть выше. Винтокрылая машина </w:t>
      </w:r>
      <w:r w:rsidRPr="00A3026E">
        <w:rPr>
          <w:rFonts w:ascii="Times New Roman" w:hAnsi="Times New Roman"/>
          <w:color w:val="000000" w:themeColor="text1"/>
          <w:sz w:val="16"/>
          <w:szCs w:val="16"/>
        </w:rPr>
        <w:lastRenderedPageBreak/>
        <w:t>оказалась более чувствительной к условиям эксплуатации, требовалось постоянное наблюдение за балансировкой лопастей ротора. Быстро провести регламентные работы с автожиром было сложно.</w:t>
      </w:r>
    </w:p>
    <w:p w14:paraId="1AB86BAE"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Наконец, имелись претензии к вооружению. Большая площадь, ометаемая ротором, существенно снижала сектор обстрела из последнего пулемёта, для стрельбы сквозь ротор требовалось разработать синхронизатор. А в случае использования фотоаппарата АФА-27А и этот пулемёт снимался с турели.</w:t>
      </w:r>
    </w:p>
    <w:p w14:paraId="3007A89C"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программу испытаний входила проверка возможностей автожиров в качестве фронтовых разведчиков. Осуществлялось визуальное обнаружение целей, не проявляющих себя огнём. В ясную погоду дистанция обнаружения целей экипажами составляла до 6 километров. При открытии целями огня дистанция обнаружения вырастала до 10 километров. Также оценивалась возможность обнаружения целей с использованием оптических приборов. Среди них были очки-бинокль. Выглядели они довольно необычно, испытания показали, что эффективность обнаружения целей с их помощью не увеличилась. В комплект приборов, возимых в автожире, было решено ввести обычный бинокль 8×30.</w:t>
      </w:r>
    </w:p>
    <w:p w14:paraId="30DC3D91"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Перспективная аэрофотосъёмка с помощью фотоаппарата АФА-27А позволяла получить снимки с рабочей глубиной 12–14 километров. С фотоаппаратом был спарен перископ. Проверка работы автожира в качестве артиллерийского корректировщика показала, что при целеуказании ошибки в определении координат разрывов колебались в пределах 50–200 метров. По итогам корректировки пяти стрельб ближайшие воронки находились в 20-40 метрах от целей.</w:t>
      </w:r>
    </w:p>
    <w:p w14:paraId="0C32B5CD"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Вполне успешным оказалось и использование А-7-3а в качестве связного летательного аппарата. Он спокойно садился на площадку размером 50×3 метра и взлетал с неё. На испытаниях отрабатывался сброс отснятой плёнки в специальном мешке с парашютиком. Как средство связи и корректировки артиллерии детище Камова показало себя очень хорошо.</w:t>
      </w:r>
    </w:p>
    <w:p w14:paraId="10752FF3" w14:textId="77777777" w:rsidR="00640634" w:rsidRPr="00A3026E" w:rsidRDefault="006406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итогам испытаний УВНА ГАУ КА постановило, что автожир должен занять место в системе воздушных наблюдательных пунктов. Помимо автожира, для этой системы требовался аэростат (неподвижный наблюдательный пункт), а также скоростной разведчик, способный заходить в воздушное пространство противника. В заключении от 27 декабря 1940 года предлагалось выпустить в 1941 году партию из 20 автожиров, в конструкции которых учитывались бы замечания военных. В 1942 году предполагалось наладить массовый выпуск А-7-3а, для чего был нужен завод в структуре НКАП. Обеспечение выпуска ложилось на плечи ГУ ВВС КА. Должна была быть создана и войсковая автожирная часть, в которой сосредотачивались все А-7. В ней планировалось отрабатывать методику применения автожиров, а также готовить кадры (18227).</w:t>
      </w:r>
    </w:p>
    <w:p w14:paraId="7ABD32C6" w14:textId="77777777" w:rsidR="00640634" w:rsidRPr="00A3026E" w:rsidRDefault="00640634" w:rsidP="00A3026E">
      <w:pPr>
        <w:spacing w:after="0" w:line="240" w:lineRule="auto"/>
        <w:jc w:val="both"/>
        <w:rPr>
          <w:rFonts w:ascii="Times New Roman" w:hAnsi="Times New Roman"/>
          <w:color w:val="000000" w:themeColor="text1"/>
          <w:sz w:val="16"/>
          <w:szCs w:val="16"/>
        </w:rPr>
      </w:pPr>
    </w:p>
    <w:p w14:paraId="4751CA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был подготовлен проект постановления коллегии НКАП № 5882 о состоянии подготовки и освоения М-105 на з-х № 234 и 384 (1159, 29).</w:t>
      </w:r>
    </w:p>
    <w:p w14:paraId="27CA7C8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E184C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был подготовлен проект:</w:t>
      </w:r>
    </w:p>
    <w:p w14:paraId="2543E4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w:t>
      </w:r>
    </w:p>
    <w:p w14:paraId="389332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НАРОДНОГО КОМИССАРА АВИАЦИОННОЙ ПРМЫШЛЕННОСТИ СССР и НАРОДНОГО КОМИССАРА СРЕДНЕГО МАШИНОСТРОЕНИЯ СССР</w:t>
      </w:r>
    </w:p>
    <w:p w14:paraId="01FFB6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w:t>
      </w:r>
    </w:p>
    <w:p w14:paraId="4A0E3C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октября 1340 г.</w:t>
      </w:r>
    </w:p>
    <w:p w14:paraId="1F2342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постановлением Правительства от 17.Х.40 г. ПРИКАЗЫВАЕМ:</w:t>
      </w:r>
    </w:p>
    <w:p w14:paraId="26BB0F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Передать автосборочный завод Наркомсредмаша в г. Ростове на Дону из системы Наркомсредмаша в Наркомавиапром.</w:t>
      </w:r>
    </w:p>
    <w:p w14:paraId="71553E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Для приемки-сдачи автосборочного завода назначить комиссию в составе:</w:t>
      </w:r>
    </w:p>
    <w:p w14:paraId="6E423E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НКАП:</w:t>
      </w:r>
    </w:p>
    <w:p w14:paraId="7E6D03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МИРОНОВ М.Г. (Председатель комиссии)</w:t>
      </w:r>
    </w:p>
    <w:p w14:paraId="372AD8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СМИРНОВ А.М.</w:t>
      </w:r>
    </w:p>
    <w:p w14:paraId="01BAD2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ЗОТЧИК К.М.</w:t>
      </w:r>
    </w:p>
    <w:p w14:paraId="773328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КОВШЕНКО А.П.</w:t>
      </w:r>
    </w:p>
    <w:p w14:paraId="009A05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НКСМ</w:t>
      </w:r>
    </w:p>
    <w:p w14:paraId="2FCAEE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p>
    <w:p w14:paraId="1731A0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p w14:paraId="65E770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p>
    <w:p w14:paraId="7AD4F6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Пориемку-сдачу автосборочного завода провести к 10.Х1.1940 по балансу на 1.11.1940 г., руководствуясь постановлением СМ СССР от 5.У с.г. за № 667.</w:t>
      </w:r>
    </w:p>
    <w:p w14:paraId="5707FD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Поручить комиссии выявить все оборудование, оснаст</w:t>
      </w:r>
      <w:r w:rsidRPr="00A3026E">
        <w:rPr>
          <w:rFonts w:ascii="Times New Roman" w:hAnsi="Times New Roman"/>
          <w:color w:val="000000" w:themeColor="text1"/>
          <w:sz w:val="16"/>
          <w:szCs w:val="16"/>
        </w:rPr>
        <w:softHyphen/>
        <w:t>ку и материалы, которие не могут быть использованы в системе НКАП для передачи их НКСМ.</w:t>
      </w:r>
    </w:p>
    <w:p w14:paraId="68A068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АВИАЦИОННОЙ ПРОМЫШЛЕННОСТИ СССР (А.И.Шахурин)</w:t>
      </w:r>
    </w:p>
    <w:p w14:paraId="6CDE9D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СРЕДНЕГО МАШИНОСТРОЕНИЯ СССР (Малышев) (8049,64).</w:t>
      </w:r>
    </w:p>
    <w:p w14:paraId="3358D9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2A871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вышло постановление СНК N 2068-875cc "Об организации в Белоруссии производства и выпуска боевых самолетов и авиационных моторов" (412,28).</w:t>
      </w:r>
    </w:p>
    <w:p w14:paraId="432867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Хотели организовать в Могилеве производство АМ-35А и АМ-37 на мощность 3000 в год с вводом в действие 1 июля 1942. В Минске хотели делать двухмоторные самолеты на мощностях в 800 штук в год с вводом 1 апреля 1942 (412,28).</w:t>
      </w:r>
    </w:p>
    <w:p w14:paraId="0012772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F723CF4"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18 октября 1940 вышло постановление СНК N 2068-875cc "Об организации в Белоруссии производства и выпуска боевых самолетов и авиационных моторов" ,которое гласило:</w:t>
      </w:r>
    </w:p>
    <w:p w14:paraId="3C994D69"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«1.Обязать НКАП организовать в Белоруссии производство и выпуск боевых самолетов и авиамоторов, а именно:</w:t>
      </w:r>
    </w:p>
    <w:p w14:paraId="603B846B"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а) в Могилеве – организовать производство моторов типа АМ-35а и АМ-37 на мощность в 3000 штук в год с вводом в действие к 1 июля 1942 года;</w:t>
      </w:r>
    </w:p>
    <w:p w14:paraId="6653DD74"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б) в Минске - организовать производство двухмоторных самолетов на мощность в 800 штук в год с вводом в действие к 1 апреля 1942 года.</w:t>
      </w:r>
    </w:p>
    <w:p w14:paraId="3A638A26"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2.Для организации производства боевых самолетов и авиамоторов в Белоруссии, в соответствии с п. 1 настоящего постановления, передать НКАП следующие предприятия:</w:t>
      </w:r>
    </w:p>
    <w:p w14:paraId="17B7B9EF"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завод им. Димитрова Наркомместпрома БССР;</w:t>
      </w:r>
    </w:p>
    <w:p w14:paraId="7E64CF66"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законсервированное строительство дома печати Совнаркома БССР;</w:t>
      </w:r>
    </w:p>
    <w:p w14:paraId="7C758A7D"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законсервированное строительство гаража Совнаркома БССР.</w:t>
      </w:r>
    </w:p>
    <w:p w14:paraId="444EE927"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Разрешить НКАП организовать на Могилевском Авиаремонтном заводе производство авиамоторов АМ-35А и АМ-37 вместо предусмотренных постановлением КО № 335сс бензопомп и синхронизаторов.</w:t>
      </w:r>
    </w:p>
    <w:p w14:paraId="22534DDE"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В Минске для производства двухмоторных самолетов:</w:t>
      </w:r>
    </w:p>
    <w:p w14:paraId="70DF092C"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галолитовый цех (недостроенный) фабрики им. Фрунзе Наркомместпрома БССР</w:t>
      </w:r>
    </w:p>
    <w:p w14:paraId="376FE0C9"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гараж Минского ПищеторгаНаркомторга БССР</w:t>
      </w:r>
    </w:p>
    <w:p w14:paraId="5A0F45FA"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аэродром Осоавиахима (со службами и жилыми домами) на Антоновском поле.</w:t>
      </w:r>
    </w:p>
    <w:p w14:paraId="16FC6230"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3. Обязать наркома авиапромышленности Шахурина А.И., директоров Могилевского авиамоторного завода и Минского самолетостроительного завода, развернуть немедленно подготовку производства самолетов и моторов на указанных заводах и обеспечить в 1942 году выполнение программы по этим заводам в нижеследующих количествах:</w:t>
      </w:r>
    </w:p>
    <w:p w14:paraId="6B4F8129"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Могилевским моторостроительным заводам – моторов АМ-35А – 750 штук</w:t>
      </w:r>
    </w:p>
    <w:p w14:paraId="641AE4CC"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Минским самолетостроительным заводом – двухмоторных бомбардировщиков 150 штук.» </w:t>
      </w:r>
    </w:p>
    <w:p w14:paraId="76C85D51" w14:textId="77777777" w:rsidR="0041633C" w:rsidRPr="00A3026E" w:rsidRDefault="0041633C" w:rsidP="00A3026E">
      <w:pPr>
        <w:pStyle w:val="ae"/>
        <w:spacing w:before="0" w:after="0"/>
        <w:jc w:val="both"/>
        <w:rPr>
          <w:color w:val="000000" w:themeColor="text1"/>
          <w:sz w:val="16"/>
          <w:szCs w:val="16"/>
        </w:rPr>
      </w:pPr>
      <w:r w:rsidRPr="00A3026E">
        <w:rPr>
          <w:color w:val="000000" w:themeColor="text1"/>
          <w:sz w:val="16"/>
          <w:szCs w:val="16"/>
        </w:rPr>
        <w:t>Планировалось организовать в Могилеве производство поршневых авиадвигателей жидкостного охлаждения   АМ-35А и АМ-37. Такие моторы могли применяться на истребителях,штурмовиках и бомбардировщиках.Поскольку в Минске планировалось выпускать двухмоторные  бомбардировщики,то вероятно для них и предназначались, в основном,  могилевские авиамоторы (17492). </w:t>
      </w:r>
    </w:p>
    <w:p w14:paraId="7FB0EC40" w14:textId="77777777" w:rsidR="0041633C" w:rsidRPr="00A3026E" w:rsidRDefault="0041633C" w:rsidP="00A3026E">
      <w:pPr>
        <w:spacing w:after="0" w:line="240" w:lineRule="auto"/>
        <w:jc w:val="both"/>
        <w:rPr>
          <w:rFonts w:ascii="Times New Roman" w:hAnsi="Times New Roman"/>
          <w:color w:val="000000" w:themeColor="text1"/>
          <w:sz w:val="16"/>
          <w:szCs w:val="16"/>
        </w:rPr>
      </w:pPr>
    </w:p>
    <w:p w14:paraId="5EF43871"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18 октября 1940 вышло постановление СНК N 2068-875cc "Об организации в Белоруссии производства и выпуска боевых самолетов и авиационных моторов", которое гласило:</w:t>
      </w:r>
    </w:p>
    <w:p w14:paraId="5A261D38"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«1. Обязать НКАП организовать в Белоруссии производство и выпуск боевых самолетов и авиамоторов, а именно:</w:t>
      </w:r>
    </w:p>
    <w:p w14:paraId="033BC2D7"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а) в Могилеве – организовать производство моторов типа АМ-35А и АМ-37 на мощность в 3000 штук в год с вводом в действие к 1 июля 1942 года;</w:t>
      </w:r>
    </w:p>
    <w:p w14:paraId="26AE6F40"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б) в Минске - организовать производство двухмоторных самолетов на мощность в 800 штук в год с вводом в действие к 1 апреля 1942 года.</w:t>
      </w:r>
    </w:p>
    <w:p w14:paraId="0CEEA620"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2.Для организации производства боевых самолетов и авиамоторов в Белоруссии, в соответствии с п. 1 настоящего постановления, передать НКАП следующие предприятия:</w:t>
      </w:r>
    </w:p>
    <w:p w14:paraId="3A67C2C3"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завод им. Димитрова Наркомместпрома БССР;</w:t>
      </w:r>
    </w:p>
    <w:p w14:paraId="39A781F7"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законсервированное строительство дома печати Совнаркома БССР;</w:t>
      </w:r>
    </w:p>
    <w:p w14:paraId="6A31B360"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законсервированное строительство гаража Совнаркома БССР.</w:t>
      </w:r>
    </w:p>
    <w:p w14:paraId="0FBB5121"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lastRenderedPageBreak/>
        <w:t>Разрешить НКАП организовать на Могилевском Авиаремонтном заводе производство авиамоторов АМ-35А и АМ-37 вместо предусмотренных постановлением КО № 335сс бензопомп и синхронизаторов.</w:t>
      </w:r>
    </w:p>
    <w:p w14:paraId="20241E01"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В Минске для производства двухмоторных самолетов:</w:t>
      </w:r>
    </w:p>
    <w:p w14:paraId="249FDCFD"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галолитовый цех (недостроенный) фабрики им. Фрунзе Наркомместпрома БССР</w:t>
      </w:r>
    </w:p>
    <w:p w14:paraId="23ED9A79"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гараж Минского Пищеторга Наркомторга БССР</w:t>
      </w:r>
    </w:p>
    <w:p w14:paraId="6D4BCF26"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аэродром Осоавиахима (со службами и жилыми домами) на Антоновском поле. </w:t>
      </w:r>
    </w:p>
    <w:p w14:paraId="1056D1AE"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3.Обязать наркома авиапромышленности Шахурина А.И., директоров Могилевского авиамоторного завода и Минского самолетостроительного завода, развернуть немедленно подготовку производства самолетов и моторов на указанных заводах и обеспечить в 1942 году выполнение программы по этим заводам в нижеследующих количествах:</w:t>
      </w:r>
    </w:p>
    <w:p w14:paraId="6DB6B0D6"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Могилевским моторостроительным заводам – моторов АМ-35А – 750 штук</w:t>
      </w:r>
    </w:p>
    <w:p w14:paraId="14AAFD87"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Минским самолетостроительным заводом – двухмоторных бомбардировщиков 150 штук.»</w:t>
      </w:r>
    </w:p>
    <w:p w14:paraId="7ECCDA36" w14:textId="77777777" w:rsidR="003004E6" w:rsidRPr="00A3026E" w:rsidRDefault="003004E6"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Планировалось организовать в Могилеве производство поршневых авиадвигателей жидкостного охлаждения АМ-35А и АМ-37. Такие моторы могли применяться на истребителях, штурмовиках и бомбардировщиках. Поскольку в Минске планировалось выпускать двухмоторные бомбардировщики, то вероятно для них и предназначались, в основном, могилевские авиамоторы (21175).</w:t>
      </w:r>
    </w:p>
    <w:p w14:paraId="13DC5656" w14:textId="77777777" w:rsidR="003004E6" w:rsidRPr="00A3026E" w:rsidRDefault="003004E6" w:rsidP="00A3026E">
      <w:pPr>
        <w:shd w:val="clear" w:color="auto" w:fill="FFFFFF"/>
        <w:spacing w:after="0" w:line="240" w:lineRule="auto"/>
        <w:jc w:val="both"/>
        <w:rPr>
          <w:rFonts w:ascii="Times New Roman" w:hAnsi="Times New Roman"/>
          <w:color w:val="0070C0"/>
          <w:sz w:val="16"/>
          <w:szCs w:val="16"/>
        </w:rPr>
      </w:pPr>
    </w:p>
    <w:p w14:paraId="41644E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вышел приказ НКАП N 565с по организации завода по производству авиасвечей на базе филиала завода 28 4 ГУ и новому заводу дали номер 133 (1647,28).</w:t>
      </w:r>
    </w:p>
    <w:p w14:paraId="4035E2A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E44C5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г. в соответствии с постановлением ЦК и СНК и приказами НКСМ № 248сс от 24.10.1940 г. и НКАП № 585сс от 25.10.1940 г. при ГАЗ путем выделения цехов для производства авиамоторов был образован завод. По приказу № 698сс от 9.12.1940 г. заводу присвоен № 466 НКАП. Как самостоятельная производственная единица вступил в строй в 1941 г., действовал внутри ГАЗа. Перед войной освоено производство моторов М-105Р, создан мотор М-500 и нагнетатель для М-105П.</w:t>
      </w:r>
    </w:p>
    <w:p w14:paraId="5F551A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655с от 10.07.1941 г. завод упразднен как самостоятельная единица и преобразован в отдел № 10 ГАЗа по производству авиамоторов М-105Р и танковых моторов М-17Т.</w:t>
      </w:r>
    </w:p>
    <w:p w14:paraId="5EE9F2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постановлением ГКО № 1445сс от 14.03.1942 г. и приказом № 215сс/ М-168 от 17.03.1942 г. на базе авиамоторного производства ГАЗа вновь образован завод № 466 при 3ГУ НКАП. Производство танковых моторов в 1942 г. прекращено и передано НКТП.</w:t>
      </w:r>
    </w:p>
    <w:p w14:paraId="500A70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постановлением ГОКО № 2134сс от 3.08.1942 г. заводу предписано начать производство двигателей М-105ПФ.</w:t>
      </w:r>
    </w:p>
    <w:p w14:paraId="3B8112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приказу № 369с/ 351с от 8.09.1945 г. часть кадров и оборудования завода передана ГАЗ. По приказу № 370с от 8.09.1945 г. завод № 466 НКАП переведен на территорию завода № 274 НКАП. В соответствии с приказом № 409с от 22.10.1945 г. завод № 274 НКАП влит в состав завода № 466. </w:t>
      </w:r>
    </w:p>
    <w:p w14:paraId="61A05A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5FCBC8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1946 г. завод имел две территории: площадка № 1 по 2-му Муринскому пр. (в н.вр. здесь- завод «Красный Октябрь») и площадка № 2 – пр. К. Маркса, Флюгов пер. (бывшая территория завода № 234, № 117, в н. вр. НПО им. Климова). </w:t>
      </w:r>
    </w:p>
    <w:p w14:paraId="27E330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ВОВ производство брони для танков. В 1946 г. планировалось производство моторов У-5 для комбайнов.</w:t>
      </w:r>
    </w:p>
    <w:p w14:paraId="51C851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1974-86 г. завод входил в ЛНПО им. Климова. С 1994 г.- ОАО «МП «Красный Октябрь». В 1996 г. вошёл в ВПК "МАПО". По решению правительства № 22-р от 9.01.2004 г. вошло в перечень стратегических предприятий.</w:t>
      </w:r>
    </w:p>
    <w:p w14:paraId="0CF236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1952 г. начался выпуск трансмиссий и автоматов перекоса, а с 1970-х- главных редукторов для вертолетов. </w:t>
      </w:r>
    </w:p>
    <w:p w14:paraId="430ED4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1958-91 г.- производство ЖРД и бортовые источники питания для ЗУР и МБР А.М. Исаева, А.С. Мевиуса, С.П. Изотова, А.Д. Конопатова.</w:t>
      </w:r>
    </w:p>
    <w:p w14:paraId="2AFEE4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 </w:t>
      </w:r>
    </w:p>
    <w:p w14:paraId="0F9774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Директор- А.А. Завитаев, (03.1942 г.-; 10.1945 г.) - А.П. Петров, (09.1944 г.-)- Н.Н. Алексеев, (10.1945-50 г.-)- И.Н. Лукин, (1956 г.-)- В.И. Тарасов. Гендиректор (1986-2005 г.-)- А.Н. Фомичев. </w:t>
      </w:r>
    </w:p>
    <w:p w14:paraId="405665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(1941 г.)- В.А. Доллежаль (до этого- в ЦИАМ), (10.1945 г.-)- М.А. Колосов, (1946-47 г.)- В.Я. Климов (одновременно- гл. конструктор ОКБ завода № 26).</w:t>
      </w:r>
    </w:p>
    <w:p w14:paraId="4D8D29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3B6C59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46A7AB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двигатели М-17Т (1941-42), М-105Р (1941-42), М-105ПФ (1942-45), ВК-105ПД (1944-45), ВК-107 (1946), РД-10А (1950-52), АМ-9 (1954-55); РД-33 (1980-е); авиационная торпеда РАТ-52 (1953); трансмиссии и автоматы перекоса для Ми-1, Ми-4, Як-24, затем- для всех «Ми» (2002); главные редукторы: ВР-14 для Ми-14, Ми-8МТ (-2002-04-), ВР-24 для Ми-24 (-2002-04-), ВР-252 для Ка-27 (-2002-04-),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(-2002-04-); энергоузел ГТДЭ-117 для МиГ-29, Су-27 (-2002-04-); стартер СВ-65 для ТВ7-117 (1992-2004-); ЖРД: С2.711В1 для В-750В, С2.720, С2.726 для В-1000; мотоблоки «Нева», мотонасосы, бензиновые двигатели мощностью 1,1…5,5 л.с. (2002).69</w:t>
      </w:r>
    </w:p>
    <w:p w14:paraId="296999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466 НКАП, Машиностроительное предприятие «Красный Октябрь», Санкт-Петербургское ОАО «Красный Октябрь»</w:t>
      </w:r>
    </w:p>
    <w:p w14:paraId="533FD4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Горький; г. Ленинград</w:t>
      </w:r>
    </w:p>
    <w:p w14:paraId="52C255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194100 г. Ленинград, г. Санкт-Петербург ул. Политехническая, 13/15 тел. 247-50-39, 247-42-33 koavia.com</w:t>
      </w:r>
    </w:p>
    <w:p w14:paraId="044BF4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ОКБ-45, Филиал ОКБ-500, ОКБ завода № 466 МАП, ОКБ-466 МАП</w:t>
      </w:r>
    </w:p>
    <w:p w14:paraId="70F469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6B74C9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7A719C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1958 г.- разработка ЖРД для ЗУР. Доработка и освоение производства С2.726 А.М. Исаева (в 1962 г. передан в производство доработанный вариант- Л/726. Созданы опытные ЖРД Л-2, Л-2А (5Д12), Л-6, Л-6А для ЗУР В-860.</w:t>
      </w:r>
    </w:p>
    <w:p w14:paraId="738AB3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895 от 19.12.1962 г. ОКБ-466 было влито в ОКБ-117 ГКАТ. Мевиус назначен гл. конструктором по специзделиям (ЖРД). В соответствии с постановлением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2B122E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(1959-63 г.)- А.С. Мевиус (10776).</w:t>
      </w:r>
    </w:p>
    <w:p w14:paraId="738E862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BD02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вышло постановление Правительства №2071-876сс, в рамках выполнения которого на площадях ГАЗа был организован завод №466 по выпуску авиационных моторов. Новое направление деятельности потребовало привлечения инженеров с основного производства, в ущерб последнему. Столь драгоценное время было упущено: серийные полноприводные вездеходы ГАЗ-63 вышли из заводских ворот лишь после войны (9970).</w:t>
      </w:r>
    </w:p>
    <w:p w14:paraId="170D003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8CCF339" w14:textId="77777777" w:rsidR="00BA0E98" w:rsidRPr="00A3026E" w:rsidRDefault="00BA0E9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Здесь также надо сказать о событиях, почти одновременно произошедших на Горьковском автозаводе (ГАЗе), а именно в его подразделении – Отделе № 10. Отдел № 10 в системе ГАЗ НКСМ был новым заводом, построенным на территории ГАЗа для изготовления автомобильных моторов типа «Джемси», имел сборочный, механический, испытательный и литейный корпуса.  На его основе </w:t>
      </w:r>
    </w:p>
    <w:p w14:paraId="199BBDFB" w14:textId="77777777" w:rsidR="00BA0E98" w:rsidRPr="00A3026E" w:rsidRDefault="00BA0E98" w:rsidP="00A3026E">
      <w:pPr>
        <w:spacing w:after="0" w:line="240" w:lineRule="auto"/>
        <w:jc w:val="both"/>
        <w:rPr>
          <w:rFonts w:ascii="Times New Roman" w:hAnsi="Times New Roman"/>
          <w:color w:val="000000" w:themeColor="text1"/>
          <w:sz w:val="16"/>
          <w:szCs w:val="16"/>
        </w:rPr>
      </w:pPr>
    </w:p>
    <w:p w14:paraId="06D40BB9" w14:textId="77777777" w:rsidR="00BA0E98" w:rsidRPr="00A3026E" w:rsidRDefault="00BA0E9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г. на основк Отдела № 10 ГАЗ, который в системе ГАЗ НКСМ был новым заводом, построенным на территории ГАЗа для изготовления автомобильных моторов типа «Джемси», имел сборочный, механический, испытательный и литейный корпуса, был организован завод № 466 НКАП (директор Завитаев А.А., гл. инженер Макарук М.А.). «Джемси» был двигателем меньшей размерности, чем М-105(Р, П) и М-17Т (танковый, был также запланированный к запуску), поэтому завод № 466 НКАП надо было технически перевооружить и организовать множество новых цехов и отделов. 2500 работников автозавода были переведены на вновь организованный завод, из них наиболее опытные ИТР возглавили цеха и отделы. Всего в начале 1941 года на заводе работало 4275 человек; при дальнейшем расширении производства в годы войны увеличивался и его штат – до 13000 работников. Перевооружение предприятия, освоение производства М-105 происходило синхронно с «Красным Октябрём», и к началу войны было изготовлено 40 двигателей (17413).</w:t>
      </w:r>
    </w:p>
    <w:p w14:paraId="0FD25AE7" w14:textId="77777777" w:rsidR="00BA0E98" w:rsidRPr="00A3026E" w:rsidRDefault="00BA0E98" w:rsidP="00A3026E">
      <w:pPr>
        <w:spacing w:after="0" w:line="240" w:lineRule="auto"/>
        <w:jc w:val="both"/>
        <w:rPr>
          <w:rFonts w:ascii="Times New Roman" w:hAnsi="Times New Roman"/>
          <w:color w:val="000000" w:themeColor="text1"/>
          <w:sz w:val="16"/>
          <w:szCs w:val="16"/>
        </w:rPr>
      </w:pPr>
    </w:p>
    <w:p w14:paraId="13F607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г. по приказу № 568с/488с для расширения завода № 43 из местной промышленности УССР в НКАП передана киевская Фабрика клавишных инструментов (11982).</w:t>
      </w:r>
    </w:p>
    <w:p w14:paraId="607FA4C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BE0E0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года постановление № 406сс КО</w:t>
      </w:r>
    </w:p>
    <w:p w14:paraId="1D152E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утверждении отчета Комиссии по сравнительным полигонным испытаниям 7,62 мм скорострельных авиационных пулеметов "СН", УШ-ОКБ, УШ завода № 66 и упрощенного "ШКАС" ОКБ-15</w:t>
      </w:r>
    </w:p>
    <w:p w14:paraId="50B59E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постановляет:</w:t>
      </w:r>
    </w:p>
    <w:p w14:paraId="62A099B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Утвердить отчет и заключение Комиссии по сравнительным испытаниям 7,62 мм скорострельных авиационных пулеметов "СН" конструкции Савина и Норова, "УШ" ультра-Шкас ОКБ-15, ультра-Шкас завода № 66 НКВ и упрощенного "Шкас" ОКБ-15.</w:t>
      </w:r>
    </w:p>
    <w:p w14:paraId="4636B4F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того, что 7,62 мм скорострельные авиационные пулеметы "СН", УШ-ОКБ-15, УШ завода № 66 НКВ и упрощенный "Шкас" испытаний не выдержали, поручить НКВооружения Ванникову Б.Л. и конструкторам Савину, Норову, Шпитальному и директору завода № 66 Пастухову в 2-х месячный сроки устранить отмеченные комиссией недостатки, в тот же срок изготовить по 10 штук пулеметов каждой конструкции, скорострельность которых должна быть 2800-3000 выстрелов в минуту и подать их на НИПАВ для повторных испытаний.</w:t>
      </w:r>
    </w:p>
    <w:p w14:paraId="3BCA12C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Повторные испытания провести комиссии в том же составе, назначенной распоряжением № 545 от 5 июня 1940 года, после чего решить вопрос о принятии на вооружение ВВС 7,62 мм скорострельных авиационных пулеметов.</w:t>
      </w:r>
    </w:p>
    <w:p w14:paraId="523EE6A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Удовлетворить просьбу НКО Тимошенко С.К. о снятии с вооружения ВВС пулемета "ультра-Шкас" образца 1939 года, как показавшего неудовлетворительные качества при отладке его в валовом производстве.</w:t>
      </w:r>
    </w:p>
    <w:p w14:paraId="5222B1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КО № 109 от 13 мая 1939 года о приянтии на вооружение пулемета ультра-Шкас – отменить и пулемет ультра-Шкас производством прекратить (7595. 238).</w:t>
      </w:r>
    </w:p>
    <w:p w14:paraId="17F6499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7173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года Врид начальника НИП АВ ВВС полковник Фадеев утвердил Отчет по полигонным испытаниям ампульно-бомбовой кассеты (АБК-3) конструкции завода № 145 на самолете ДБ-3</w:t>
      </w:r>
    </w:p>
    <w:p w14:paraId="415A93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4AEABE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Лукашев</w:t>
      </w:r>
    </w:p>
    <w:p w14:paraId="2AA48D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05DC6C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Целью полигонных испытаний явилось определение следующих конструктивно-эксплуатационных и боевых качеств кассеты:</w:t>
      </w:r>
    </w:p>
    <w:p w14:paraId="7446184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Прочности и надежности конструкции.</w:t>
      </w:r>
    </w:p>
    <w:p w14:paraId="401F7ED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Надежности и безотказности работы механизмов кассеты при нормальных и низких температурах.</w:t>
      </w:r>
    </w:p>
    <w:p w14:paraId="1352E15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Площади рассеивания ампул и бомб мелкого калибра с различных высот.</w:t>
      </w:r>
    </w:p>
    <w:p w14:paraId="6D9BA68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Вариантов ампульной и бомбовой загрузки.</w:t>
      </w:r>
    </w:p>
    <w:p w14:paraId="074FDC9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Удобства и безопасности в эксплуатации.</w:t>
      </w:r>
    </w:p>
    <w:p w14:paraId="1DCF31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Ампульно-бомбовая кассета (АБК-3 ) является дальнейшей попыткой создания единого образца для применения ампул и бомб мелкого калибра с самолета ДБ-3.</w:t>
      </w:r>
    </w:p>
    <w:p w14:paraId="30AEAE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Конструктивное разрешение этого вопроса пошло по пути использования существующей кассеты АК-2у и ее управления от существующего на самолете Дер-21.</w:t>
      </w:r>
    </w:p>
    <w:p w14:paraId="385AB8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B66B22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Предъявленная на полигонные испытания кассета АБК-3 конструкции завода № 145 полигонные испытания не выдержала (7402).</w:t>
      </w:r>
    </w:p>
    <w:p w14:paraId="7DCDF74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61937E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г. на имя на</w:t>
      </w:r>
      <w:r w:rsidRPr="00A3026E">
        <w:rPr>
          <w:rFonts w:ascii="Times New Roman" w:hAnsi="Times New Roman"/>
          <w:color w:val="000000" w:themeColor="text1"/>
          <w:sz w:val="16"/>
          <w:szCs w:val="16"/>
        </w:rPr>
        <w:softHyphen/>
        <w:t>чальника 4-го ГУ НКБ от начальника 7-го отдела УА ВМФ военинженера 1 ранга Захаренко поступило гневное письмо: «Вторично прошу дать указание НИИ-3 изготовить для нас 40 штук РБС-132. Снаряды необходимы для отстрела взрывателей АВ-96 по бронеплитам с пики</w:t>
      </w:r>
      <w:r w:rsidRPr="00A3026E">
        <w:rPr>
          <w:rFonts w:ascii="Times New Roman" w:hAnsi="Times New Roman"/>
          <w:color w:val="000000" w:themeColor="text1"/>
          <w:sz w:val="16"/>
          <w:szCs w:val="16"/>
        </w:rPr>
        <w:softHyphen/>
        <w:t>рования».</w:t>
      </w:r>
    </w:p>
    <w:p w14:paraId="726652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Ответом может служить резолюция, наложенная на обороте от руки: «Возможность изготовить 40 штук РБС-132 у нас имеется при условии обеспечения штатными бронебойными 130-мм головками. В настоящее время НИИ-3 располагает 39 термически обработанными головками, предназначенными для ГУ ВВС РККА и 21 головка сырая (не каленая)», то есть, снарядами РБС-132 живо заинтересовались в ГУ ВВС, и от НИИ-3 НКБ теперь требовалось работать «на два фронта». При этом морские и «сухопутные» авиаторы уже не упускали возможности любым способом досадить оппоненту (11402).</w:t>
      </w:r>
    </w:p>
    <w:p w14:paraId="5A667B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89D32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г. директор НИИ-3 НКБ Б.М.Слопимер доложил начальнику 3 отдела 4-го ГУ НКБ Певзнеру: «Ввиду снятия с производства самолета СПБ, мы лишены возможности выполнить предусмотренную этапом №5 объекта 421 работу «Разработка блока РО-132 для самолета СПБ». Прошу разрешения сиять с плана НИИ-3 эту работу» (11402).</w:t>
      </w:r>
    </w:p>
    <w:p w14:paraId="31B381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E6E66FF" w14:textId="77777777" w:rsidR="00F067C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7C721674" w14:textId="77777777" w:rsidR="00F067CF" w:rsidRPr="00A3026E" w:rsidRDefault="00F067CF" w:rsidP="00A3026E">
      <w:pPr>
        <w:spacing w:after="0" w:line="240" w:lineRule="auto"/>
        <w:jc w:val="both"/>
        <w:rPr>
          <w:rFonts w:ascii="Times New Roman" w:hAnsi="Times New Roman"/>
          <w:iCs/>
          <w:color w:val="000000" w:themeColor="text1"/>
          <w:sz w:val="16"/>
          <w:szCs w:val="16"/>
        </w:rPr>
      </w:pPr>
    </w:p>
    <w:p w14:paraId="3FD46DD5"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1941</w:t>
      </w:r>
    </w:p>
    <w:p w14:paraId="53864A70"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1059 листы 225 – 228 </w:t>
      </w:r>
    </w:p>
    <w:p w14:paraId="61E27E28"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 Секретно. </w:t>
      </w:r>
    </w:p>
    <w:p w14:paraId="490EABB5"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Наш индекс 10/8689 Дата 19/Х-40 </w:t>
      </w:r>
    </w:p>
    <w:p w14:paraId="52DE1D2A"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НАРОДНОГО КОМИССАРА ОБОРОНЫ СССР</w:t>
      </w:r>
    </w:p>
    <w:p w14:paraId="2E11A901"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МАРШАЛУ СОВЕТСКОГО СОЮЗА</w:t>
      </w:r>
    </w:p>
    <w:p w14:paraId="768D4F8C"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 КУЛИК</w:t>
      </w:r>
    </w:p>
    <w:p w14:paraId="263192F1"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вопросу: Предложений, увеличивающих боевую способность танков. </w:t>
      </w:r>
    </w:p>
    <w:p w14:paraId="56DEDC60"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Работы, указанные в п.п. 1; 4; 6 и 12 по танку "КВ" – целесообразно проводить на Кировском заводе, который освоил производство этого танка. </w:t>
      </w:r>
    </w:p>
    <w:p w14:paraId="3EB92AE3"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НАРОДНОГО КОМИССАРА СРЕДНЕГО МАШИНОСТРОЕНИЯ СССР</w:t>
      </w:r>
    </w:p>
    <w:p w14:paraId="60AF2266"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подпись ГОРЕГЛЯДА А.А.</w:t>
      </w:r>
    </w:p>
    <w:p w14:paraId="39C79E63"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 2 экз.</w:t>
      </w:r>
    </w:p>
    <w:p w14:paraId="3A14150E"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документе пометы: </w:t>
      </w:r>
    </w:p>
    <w:p w14:paraId="2F7892CD"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 Федоренко. Разберите предложения т. Горегляда и дайте свое приложение. подпись Г.И. Кулика» </w:t>
      </w:r>
    </w:p>
    <w:p w14:paraId="3FA49EB6"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«БТУ. 4.11.40 г. подпись Я.Н. Федоренко» </w:t>
      </w:r>
    </w:p>
    <w:p w14:paraId="29697699"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Справку о не вошедших работах в заявке ГАБТУ и почему не вошли? Составьте наш ответ за подписями Нач. ГАБТУ согласно моих личных указаний Вам. 5.11.40 г. подпись Б.М. Коробкова» </w:t>
      </w:r>
    </w:p>
    <w:p w14:paraId="4DF79430"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 Ворошилову. Исполнить по указанию. подпись С.А. Афонина 11/XI» </w:t>
      </w:r>
    </w:p>
    <w:p w14:paraId="2DFCCFA7"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«Справка по письму Зам. Наркома НКСМ маршалу Кулику. </w:t>
      </w:r>
    </w:p>
    <w:p w14:paraId="56B707D1"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 вопросы, затронутые т. Гореглядом входили в заявку ГАБТУ, отправленную 25 сентября 1940 г. № 76444сс. А также все эти вопросы подымал Зам. Наркома Обороны СССР Маршал Советского Союза тов. Кулик в письме от 9 октября 1940 года за № 76574сс </w:t>
      </w:r>
    </w:p>
    <w:p w14:paraId="46B3C813"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Помощник начальника 1 отделения 3 отдела БТУ ГАБТУ КА подпись П.К. Ворошилова. 12.11.40 г.» (18208).</w:t>
      </w:r>
    </w:p>
    <w:p w14:paraId="7A0F50FF" w14:textId="77777777" w:rsidR="00A21ADB" w:rsidRPr="00A3026E" w:rsidRDefault="00A21ADB" w:rsidP="00A3026E">
      <w:pPr>
        <w:spacing w:after="0" w:line="240" w:lineRule="auto"/>
        <w:jc w:val="both"/>
        <w:rPr>
          <w:rFonts w:ascii="Times New Roman" w:hAnsi="Times New Roman"/>
          <w:color w:val="000000" w:themeColor="text1"/>
          <w:sz w:val="16"/>
          <w:szCs w:val="16"/>
        </w:rPr>
      </w:pPr>
    </w:p>
    <w:p w14:paraId="38A34D82"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w:t>
      </w:r>
    </w:p>
    <w:p w14:paraId="6BE14C44"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1053 лист 141 </w:t>
      </w:r>
    </w:p>
    <w:p w14:paraId="3D37B6F4"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1D7277FF"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___ </w:t>
      </w:r>
    </w:p>
    <w:p w14:paraId="4B7244CF"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19/Х 1940 г. </w:t>
      </w:r>
    </w:p>
    <w:p w14:paraId="79C68480"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5383 </w:t>
      </w:r>
    </w:p>
    <w:p w14:paraId="4FD61165"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НАРОДНОМУ КОМИССАРУ СУДОСТРОИТЕЛЬНОЙ</w:t>
      </w:r>
    </w:p>
    <w:p w14:paraId="626622EF"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ПРОМЫШЛЕННОСТИ тов. НОСЕНКО И.И. </w:t>
      </w:r>
    </w:p>
    <w:p w14:paraId="03572376"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ЗАМ. НАРКОМА СРЕДНЕГО МАШИНОСТРОЕНИЯ</w:t>
      </w:r>
    </w:p>
    <w:p w14:paraId="40F82A47"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тов. ГОРЕГЛЯДУ А.А. </w:t>
      </w:r>
    </w:p>
    <w:p w14:paraId="0B7AB96B"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И.О. НАЧ. 3-го ГЛАВНОГО УПРАВЛЕНИЯ НКСП</w:t>
      </w:r>
    </w:p>
    <w:p w14:paraId="7E27E641"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тов. ХАБАХПАШЕВУ А.А. </w:t>
      </w:r>
    </w:p>
    <w:p w14:paraId="5BB94825"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Копия: НАЧ. ГАБТУ ГЕНЕРАЛ-ЛЕЙТЕНАНТУ тов. ФЕДОРЕНКО </w:t>
      </w:r>
    </w:p>
    <w:p w14:paraId="6E118915"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Копия: НАЧ. ГЛАВСПЕЦМАША НКСМ тов. СУРЕНЯНУ </w:t>
      </w:r>
    </w:p>
    <w:p w14:paraId="31C4DC12"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город Москва</w:t>
      </w:r>
    </w:p>
    <w:p w14:paraId="683B78AD"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По вопросу: Высылки копии протокола от 15/Х-40 г. </w:t>
      </w:r>
    </w:p>
    <w:p w14:paraId="4C917264"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Направляя Вам копию протокола совещания от 15/Х-40 года по вопросу о приостановлении задела по деталям бронировки пушки и крыши башни в соответствии с письмом и новых чертежей завода № 183, просим о изложенном в протоколе Ваших указаний. </w:t>
      </w:r>
    </w:p>
    <w:p w14:paraId="02DE559A"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ГЛАВНЫЙ ИНЖЕНЕР ЗАВОДА подпись (В.С. Ниценко)</w:t>
      </w:r>
    </w:p>
    <w:p w14:paraId="26869E4F"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6 экз. </w:t>
      </w:r>
    </w:p>
    <w:p w14:paraId="1573FA5F"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Ефременко </w:t>
      </w:r>
    </w:p>
    <w:p w14:paraId="1D58C570"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5052 </w:t>
      </w:r>
    </w:p>
    <w:p w14:paraId="719B12A1"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18/Х-40 г. </w:t>
      </w:r>
    </w:p>
    <w:p w14:paraId="6526AC7D"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1053 листы 142 – 143 </w:t>
      </w:r>
    </w:p>
    <w:p w14:paraId="17B416F2"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72E10C17"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Копия </w:t>
      </w:r>
    </w:p>
    <w:p w14:paraId="3E99C7D1"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ПРОТОКОЛ</w:t>
      </w:r>
    </w:p>
    <w:p w14:paraId="2C936156"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СОВЕЩАНИЯ У ГЛАВНОГО ИНЖЕНЕРА ЗАВОДА им. ИЛЬИЧА</w:t>
      </w:r>
    </w:p>
    <w:p w14:paraId="2D09F3DD"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15/Х-40 года.</w:t>
      </w:r>
    </w:p>
    <w:p w14:paraId="71DD3408"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ПРИСУТСТВОВАЛИ: </w:t>
      </w:r>
    </w:p>
    <w:p w14:paraId="4E221370"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 завода. </w:t>
      </w:r>
    </w:p>
    <w:p w14:paraId="0C508556"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ГЛАВНЫЙ ИНЖЕНЕР ЗАВОДА – Ниценко В.С. </w:t>
      </w:r>
    </w:p>
    <w:p w14:paraId="0817D8F6"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НАЧАЛЬНИК ОТДЕЛА 100 – Буслов В.Г. </w:t>
      </w:r>
    </w:p>
    <w:p w14:paraId="15EB08FF"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ЗАМ. НАЧАЛЬНИКА ОТД. 100 – Заседский Г.Ф. </w:t>
      </w:r>
    </w:p>
    <w:p w14:paraId="74C4D7E1"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ЗАМ. НАЧАЛЬНИКА ОТД. 100 – Ходос Н.М. </w:t>
      </w:r>
    </w:p>
    <w:p w14:paraId="3E9ACA40"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 ГАБТУ КА </w:t>
      </w:r>
    </w:p>
    <w:p w14:paraId="534DC84C"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 3-го ОТДЕЛЕНИЯ 3-го ОТДЕЛА ГАБТУ – Бурцев </w:t>
      </w:r>
    </w:p>
    <w:p w14:paraId="6A09FDA6"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РАЙОННЫЙ ИНЖЕНЕР ГАБТУ КА НА 183 ЗАВОДЕ – Козырев </w:t>
      </w:r>
    </w:p>
    <w:p w14:paraId="1C54B4AE"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РАЙОННЫЙ ИНЖЕНЕР ГАБТУ КА НА З-ДЕ им. ИЛЬИЧА – Зухер Г.И. </w:t>
      </w:r>
    </w:p>
    <w:p w14:paraId="78A435D9"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 завода № 183 – Кочетков. </w:t>
      </w:r>
    </w:p>
    <w:p w14:paraId="4EB2C057"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СЛУШАЛИ: Информацию Главного Инженера зав. им. ИЛЬИЧА о приостановлении задела по деталям бронировки пушки и крыши башни в соответствии с письмом и новых чертежей завода № 183. </w:t>
      </w:r>
    </w:p>
    <w:p w14:paraId="3A89A2D9"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СОВЕЩАНИЕ ПОСТАНОВИЛО: </w:t>
      </w:r>
    </w:p>
    <w:p w14:paraId="4D391F1F"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Вырез башни производить по последнему чертежу 183-го завода с сегодняшнего дня (черт. 182-3). </w:t>
      </w:r>
    </w:p>
    <w:p w14:paraId="236BBC42"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Задел сопряженных деталей 34-31-001, 34-31-002, 34-31-003, 34-31-008, 34-31-043 приостановить на всех переделах. </w:t>
      </w:r>
    </w:p>
    <w:p w14:paraId="7721FB34"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По крыше 34-30-008, 34-30-010, 34-30-017 приостановить на всех переделах с 201-го комплекта. </w:t>
      </w:r>
    </w:p>
    <w:p w14:paraId="6DAEE1D0"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Задний лист крыши делается в литой башне в соответствии с чертежом завода № 183 (182-3). </w:t>
      </w:r>
    </w:p>
    <w:p w14:paraId="6919E65D"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Поставить вопрос перед заводом № 183 о немедленном выезде на завод им. ИЛЬИЧА ответственного работника совместно с конструкторами для решения вопроса о переходящих деталях, а так же с имеющимся заделом по старым чертежам свыше двухсотого комплекта. </w:t>
      </w:r>
    </w:p>
    <w:p w14:paraId="21A77D17"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Поставить вопрос перед НКСП, АБТУ и Наркомсредмашем о вынужденном длительном приостановлении на период освоения (месяц-полтора) комплектной поставки брони вновь спущенных деталей, а также о возможности использования имеющегося задела по старым чертежам свыше 200 комплектов. </w:t>
      </w:r>
    </w:p>
    <w:p w14:paraId="3176A623"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ГЛАВНЫЙ ИНЖЕНЕР ЗАВОДА им. ИЛЬИЧА (В.С. Ниценко) </w:t>
      </w:r>
    </w:p>
    <w:p w14:paraId="2FD04AD5"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НАЧАЛЬНИК ОТД. 100 (В.В. Буслов) </w:t>
      </w:r>
    </w:p>
    <w:p w14:paraId="64D3971B"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ЗАМ. НАЧАЛЬНИКА ОТД. 100 (Г.Ф. Заседский) </w:t>
      </w:r>
    </w:p>
    <w:p w14:paraId="2458DCD3"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ЗАМ. НАЧАЛЬНИКА ОТД. 100 (Ходос Н.М.) </w:t>
      </w:r>
    </w:p>
    <w:p w14:paraId="001C415B"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 3-го ОТДЕЛЕНИЯ 3-го ОТДЕЛА ГАБТУ КА (Бурцев) от подписи отказался </w:t>
      </w:r>
    </w:p>
    <w:p w14:paraId="5703E419"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РАЙОННЫЙ ИНЖЕНЕР ГАБТУ КА НА 183 ЗАВОДЕ (Козырев) от подписи отказался </w:t>
      </w:r>
    </w:p>
    <w:p w14:paraId="4B527B15"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РАЙОННЫЙ ИНЖЕНЕР ГАБТУ КА НА З-ДЕ им. ИЛЬИЧА (Зухер) ХХ) </w:t>
      </w:r>
    </w:p>
    <w:p w14:paraId="3648C15A"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183-го ЗАВОДА – ПРИЕМЩИК (Кочетов) Х)</w:t>
      </w:r>
    </w:p>
    <w:p w14:paraId="202E62AE"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Х) В части приостановления изготовления деталей 34-30-008-1 и 34-30-008-3 §3 не согласен (Кочетов 16.Х-40 г.) </w:t>
      </w:r>
    </w:p>
    <w:p w14:paraId="2E8C5D8B"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ХХ) Настоящее решение достаточно только на 15.10.40 г. В случае затяжки со стороны завода 183 необходимо добиться вмешательство КО в кратчайший срок. Зухер 16/Х-40 г. </w:t>
      </w:r>
    </w:p>
    <w:p w14:paraId="59ED570A"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5 экз. </w:t>
      </w:r>
    </w:p>
    <w:p w14:paraId="013107A8"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17/Х-40 г. (18214).</w:t>
      </w:r>
    </w:p>
    <w:p w14:paraId="50FF7685" w14:textId="77777777" w:rsidR="00A21ADB" w:rsidRPr="00A3026E" w:rsidRDefault="00A21ADB" w:rsidP="00A3026E">
      <w:pPr>
        <w:spacing w:after="0" w:line="240" w:lineRule="auto"/>
        <w:jc w:val="both"/>
        <w:rPr>
          <w:rFonts w:ascii="Times New Roman" w:hAnsi="Times New Roman"/>
          <w:color w:val="000000" w:themeColor="text1"/>
          <w:sz w:val="16"/>
          <w:szCs w:val="16"/>
        </w:rPr>
      </w:pPr>
    </w:p>
    <w:p w14:paraId="7372B8E3"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18 октября 1940 г. старший военный представитель ГАБТУ КА на заводе № 75 военинженер 2 ранга М.М. Урусов писал своему руководству в Москву в </w:t>
      </w:r>
      <w:hyperlink r:id="rId43" w:tgtFrame="_blank" w:history="1">
        <w:r w:rsidRPr="00A3026E">
          <w:rPr>
            <w:rStyle w:val="a5"/>
            <w:rFonts w:ascii="Times New Roman" w:hAnsi="Times New Roman"/>
            <w:color w:val="000000" w:themeColor="text1"/>
            <w:sz w:val="16"/>
            <w:szCs w:val="16"/>
          </w:rPr>
          <w:t>письме № 3566с</w:t>
        </w:r>
      </w:hyperlink>
      <w:r w:rsidRPr="00A3026E">
        <w:rPr>
          <w:rFonts w:ascii="Times New Roman" w:hAnsi="Times New Roman"/>
          <w:color w:val="000000" w:themeColor="text1"/>
          <w:sz w:val="16"/>
          <w:szCs w:val="16"/>
        </w:rPr>
        <w:t>:</w:t>
      </w:r>
    </w:p>
    <w:p w14:paraId="132BC957"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«Гарантийный срок до первой переборки дизеля В-2 определен в 100 часов. Этот срок настолько незначителен, что ни в коем случае не может удовлетворить АБТ Войска Кр Армии. Не касаясь отдельных слабых мест В-2 (над устранением которых завод № 75 не работает), основным препятствием для повышения ресурса двигателя до 200 – 300 ч. является отсутствие качественного воздухоочистителя. Имеющиеся в настоящее время на машинах А-7 и Т-34 настолько несовершенны в смысле очистки воздуха, что износ поршневых колец, поршней, гильзы и направляющих втулок наступает примерно через 60 – 80 часов работы двигателя, в результате чего двигатель теряет мощность, резко увеличивается расход смазки, поломка поршневых колец, т.е. двигатель выходит из строя.</w:t>
      </w:r>
    </w:p>
    <w:p w14:paraId="11D7BF3D"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Вопрос разработки качественного воздухоочистителя для мотора М-17Т мною ставился перед заводом № 183 и АБТУ КА начиная с 1936 г. неоднократно. Основным доводом завода № 183 тогда было то, что в развале мотора М-17Т установлены карбюраторы, которые якобы не позволяют установку мощного воздухоочистителя. Казалось бы, что в новых машинах (в частности на Т-34) нужно было этот вопрос разрешить одновременно с конструкцией самой машины, но этого не сделали. Таким образом, и новые машины будут страдать теми же недостатками, т.е. недолговечностью (80 – 100 ч. работы двигателя). И это тем более недопустимо, что дизель В-2 в условиях испытаний на стенде работает до 400 часов (мотор № 1268-02).</w:t>
      </w:r>
    </w:p>
    <w:p w14:paraId="1CD03638"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&lt;…&gt;</w:t>
      </w:r>
    </w:p>
    <w:p w14:paraId="7ABCB883"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w:t>
      </w:r>
    </w:p>
    <w:p w14:paraId="34FF864E"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Увеличение срока службы дизеля в условиях эксплоатации до 200 и выше часов возможно разрешить одновременно с конструктивными доработками установкой качественного воздухоочистителя.</w:t>
      </w:r>
    </w:p>
    <w:p w14:paraId="49D03CF8"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Необходимо резкое вмешательство БТУ, чтобы заставить заводы № 183 и № 75 разрешить этот вопрос в ближайшее время».</w:t>
      </w:r>
    </w:p>
    <w:p w14:paraId="54BFDFBE" w14:textId="77777777" w:rsidR="00A21ADB" w:rsidRPr="00A3026E" w:rsidRDefault="00A21AD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987. Л. 307] (19114).</w:t>
      </w:r>
    </w:p>
    <w:p w14:paraId="5FF75A35" w14:textId="77777777" w:rsidR="00A21ADB" w:rsidRPr="00A3026E" w:rsidRDefault="00A21ADB" w:rsidP="00A3026E">
      <w:pPr>
        <w:spacing w:after="0" w:line="240" w:lineRule="auto"/>
        <w:jc w:val="both"/>
        <w:rPr>
          <w:rFonts w:ascii="Times New Roman" w:hAnsi="Times New Roman"/>
          <w:color w:val="000000" w:themeColor="text1"/>
          <w:sz w:val="16"/>
          <w:szCs w:val="16"/>
        </w:rPr>
      </w:pPr>
    </w:p>
    <w:p w14:paraId="2F4C8975" w14:textId="77777777" w:rsidR="00A21ADB" w:rsidRPr="00A3026E" w:rsidRDefault="00A21ADB" w:rsidP="00A3026E">
      <w:pPr>
        <w:spacing w:after="0" w:line="240" w:lineRule="auto"/>
        <w:jc w:val="both"/>
        <w:rPr>
          <w:rFonts w:ascii="Times New Roman" w:eastAsia="Times New Roman" w:hAnsi="Times New Roman"/>
          <w:bCs/>
          <w:iCs/>
          <w:color w:val="000000" w:themeColor="text1"/>
          <w:sz w:val="16"/>
          <w:szCs w:val="16"/>
          <w:lang w:eastAsia="ru-RU"/>
        </w:rPr>
      </w:pPr>
      <w:r w:rsidRPr="00A3026E">
        <w:rPr>
          <w:rFonts w:ascii="Times New Roman" w:eastAsia="Times New Roman" w:hAnsi="Times New Roman"/>
          <w:bCs/>
          <w:iCs/>
          <w:color w:val="000000" w:themeColor="text1"/>
          <w:sz w:val="16"/>
          <w:szCs w:val="16"/>
          <w:lang w:eastAsia="ru-RU"/>
        </w:rPr>
        <w:t>18 октября 1940</w:t>
      </w:r>
    </w:p>
    <w:p w14:paraId="26421E0E"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bCs/>
          <w:iCs/>
          <w:color w:val="000000" w:themeColor="text1"/>
          <w:sz w:val="16"/>
          <w:szCs w:val="16"/>
          <w:lang w:eastAsia="ru-RU"/>
        </w:rPr>
        <w:t>РГВА Фонд 31811 Опись 2 Дело 987 лист 307</w:t>
      </w:r>
      <w:r w:rsidRPr="00A3026E">
        <w:rPr>
          <w:rFonts w:ascii="Times New Roman" w:eastAsia="Times New Roman" w:hAnsi="Times New Roman"/>
          <w:color w:val="000000" w:themeColor="text1"/>
          <w:sz w:val="16"/>
          <w:szCs w:val="16"/>
          <w:lang w:eastAsia="ru-RU"/>
        </w:rPr>
        <w:t xml:space="preserve"> </w:t>
      </w:r>
    </w:p>
    <w:p w14:paraId="5187BCAD"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СЕКРЕТНО. </w:t>
      </w:r>
    </w:p>
    <w:p w14:paraId="5F5E1E86"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18/Х-1940 г. </w:t>
      </w:r>
    </w:p>
    <w:p w14:paraId="38C5E72D"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 3566с </w:t>
      </w:r>
    </w:p>
    <w:p w14:paraId="1B4283CA"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НАЧАЛЬНИКУ БТУ КА</w:t>
      </w:r>
    </w:p>
    <w:p w14:paraId="61C69913"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ВОЕНИНЖЕНЕРУ 1 РАНГА тов. КОРОБКОВУ</w:t>
      </w:r>
    </w:p>
    <w:p w14:paraId="1AEB4CB0"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Гарантийный срок до первой переборки дизеля В-2 определен в 100 часов. Этот срок настолько незначителен, что ни в коем случае не может удовлетворить АБТ Войска Кр Армии. Не касаясь отдельных слабых мест В-2 (над устранением которых завод № 75 не работает), основным препятствием для повышения ресурса двигателя до 200 – 300 ч. является отсутствие качественного воздухоочистителя. </w:t>
      </w:r>
    </w:p>
    <w:p w14:paraId="4FE9CD29"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Имеющиеся в настоящее время на машинах А-7 и Т-34 настолько несовершенны в смысле очистки воздуха, что износ поршневых колец поршней, гильзы и направляющих втулок наступает примерно через 60 – 80 часов работы двигателя, в результате чего двигатель теряет мощность, резко увеличивается расход смазки, поломка поршневых колец, т.е. двигатель выходит из строя. </w:t>
      </w:r>
    </w:p>
    <w:p w14:paraId="577073D6"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Вопрос разработки качественного воздухоочистителя для мотора М-17Т мною ставился перед заводом № 183 и АБТУ КА начиная с 1936 г. неоднократно. Основным доводом завода № 183 тогда было то, что в развале мотора М-17Т установлены карбюраторы, которые якобы не позволяют установку мощного воздухоочистителя. Казалось бы, что в новых машинах (в частности на Т-34) нужно было этот вопрос разрешить одновременно с конструкцией самой машины, но этого не сделали. Таким </w:t>
      </w:r>
      <w:r w:rsidRPr="00A3026E">
        <w:rPr>
          <w:rFonts w:ascii="Times New Roman" w:eastAsia="Times New Roman" w:hAnsi="Times New Roman"/>
          <w:color w:val="000000" w:themeColor="text1"/>
          <w:sz w:val="16"/>
          <w:szCs w:val="16"/>
          <w:lang w:eastAsia="ru-RU"/>
        </w:rPr>
        <w:lastRenderedPageBreak/>
        <w:t xml:space="preserve">образом и новые машины будут страдать теми же недостатками, т.е. недолговечностью (80 – 100 ч. работы двигателя). И это тем более недопустимо, что дизель В-2 в условиях испытаний на стенде работает до 400 часов (мотор № 1268-02). </w:t>
      </w:r>
    </w:p>
    <w:p w14:paraId="1018BFB2"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Мотор М-250, на который завод № 75 возлагает большие надежды в смысле удлинения срока службы до 250 ч., будет фактически ограничен таким же коротким сроком службы, как и В-2. </w:t>
      </w:r>
    </w:p>
    <w:p w14:paraId="207ED92C"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Завод № 183 и № 75 не отрицают необходимости лучшей очистки воздуха, но тем не менее серьезной работы над разработкой качественного воздухоочистителя не ведут. </w:t>
      </w:r>
    </w:p>
    <w:p w14:paraId="3D5E27BB"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Опытный отдел (Институт) з-да № 75, который имеет все возможности для решения этого важнейшего для К.А. вопроса, этой работе уделяет недостаточное внимание. </w:t>
      </w:r>
    </w:p>
    <w:p w14:paraId="6026F3FE"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Считаю: </w:t>
      </w:r>
    </w:p>
    <w:p w14:paraId="516B46EA"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1. Увеличение срока службы дизеля в условиях эксплоатации до 200 и выше часов возможно разрешить одновременно с конструктивными доработками установкой качественного воздухоочистителя. </w:t>
      </w:r>
    </w:p>
    <w:p w14:paraId="1B8C7193"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2. Необходимо резкое вмешательство БТУ, чтобы заставить заводы № 183 и № 75 разрешить этот вопрос в ближайшее время. </w:t>
      </w:r>
    </w:p>
    <w:p w14:paraId="75EDE3D3"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Прошу Ваших указаний по изложенному вопросу. </w:t>
      </w:r>
    </w:p>
    <w:p w14:paraId="424A042C"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СТ. ВОЕНПРЕД ГАБТУ КА</w:t>
      </w:r>
    </w:p>
    <w:p w14:paraId="2C8EE2D4"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ВОЕНИНЖЕНЕР 2 РАНГА подпись (УРУСОВ)</w:t>
      </w:r>
    </w:p>
    <w:p w14:paraId="00A0A680"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Отп. 2 экз. </w:t>
      </w:r>
    </w:p>
    <w:p w14:paraId="2E203AEB"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Исп. Урусов </w:t>
      </w:r>
    </w:p>
    <w:p w14:paraId="2581089D"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 3630 </w:t>
      </w:r>
    </w:p>
    <w:p w14:paraId="623439B3"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На документе пометы: </w:t>
      </w:r>
    </w:p>
    <w:p w14:paraId="0896753D"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«1 и 3. Необходимо дать указание через Наркомат и Главспецмаш. Двигатель должен обеспечивать 400 – 500 часов. Надо этот вопрос категорически поставить перед заводом. 22.10.40 г. подпись Б.М. Коробкова» </w:t>
      </w:r>
    </w:p>
    <w:p w14:paraId="0F1C61DB"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«Наркому НКСМ послано письмо об увеличении срока гарантии и новом воздухоочистителе. 11/XI подпись А.Ф. Агрикова» (19118).</w:t>
      </w:r>
    </w:p>
    <w:p w14:paraId="4EE2C6FB" w14:textId="77777777" w:rsidR="00A21ADB" w:rsidRPr="00A3026E" w:rsidRDefault="00A21ADB" w:rsidP="00A3026E">
      <w:pPr>
        <w:spacing w:after="0" w:line="240" w:lineRule="auto"/>
        <w:jc w:val="both"/>
        <w:rPr>
          <w:rFonts w:ascii="Times New Roman" w:eastAsia="Times New Roman" w:hAnsi="Times New Roman"/>
          <w:color w:val="000000" w:themeColor="text1"/>
          <w:sz w:val="16"/>
          <w:szCs w:val="16"/>
          <w:lang w:eastAsia="ru-RU"/>
        </w:rPr>
      </w:pPr>
    </w:p>
    <w:p w14:paraId="654D8C81" w14:textId="77777777" w:rsidR="00A44D35" w:rsidRPr="00A3026E" w:rsidRDefault="00A44D3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18 октября 1940 была Докладная записка секретаря Комитета обороны при СНК СССР М. П. Пугачева заместителю председателя Комитета обороны при СНК СССР Н. А. Вознесенскому о создании танкового двигателя с большим сроком службы</w:t>
      </w:r>
    </w:p>
    <w:p w14:paraId="6B141A49" w14:textId="77777777" w:rsidR="00A44D35" w:rsidRPr="00A3026E" w:rsidRDefault="00A44D3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Парторг Сталинградского тракторного завода тов. Шапошников_и работники КБ СТЗ т.т. Вернер, Корчагин в письме в ЦК ВКП(б) сообщают, что танковый дизель В-2 по своим эксплоатационным качествам не является современным танковым двигателем, а строительство дизелей сосредоточено только на одном заводе № 75, вывод из строя которого лишит танковые завод источника получения двигателей, и просят раз</w:t>
      </w:r>
      <w:r w:rsidRPr="00A3026E">
        <w:rPr>
          <w:rFonts w:ascii="Times New Roman" w:hAnsi="Times New Roman"/>
          <w:color w:val="0070C0"/>
          <w:sz w:val="16"/>
          <w:szCs w:val="16"/>
        </w:rPr>
        <w:softHyphen/>
        <w:t>решения продолжить работы по проекту нового 500-сильного дизеля, раз работка которого была прекращена тов. Лихачевым в апреле с.г.</w:t>
      </w:r>
    </w:p>
    <w:p w14:paraId="7D415229" w14:textId="77777777" w:rsidR="00A44D35" w:rsidRPr="00A3026E" w:rsidRDefault="00A44D3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Новый дизель КБ СТЗ предположено разрабатывать на базе существующего тракторного дизеля и получить срок службы около 500 часов.</w:t>
      </w:r>
    </w:p>
    <w:p w14:paraId="4DF9E19C" w14:textId="77777777" w:rsidR="00A44D35" w:rsidRPr="00A3026E" w:rsidRDefault="00A44D3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НКСМ принял решение о создании танкового двигателя с большим сроком службы – порядка 500 часов, с применением исключительно черного лмитя. СТЗ дано указание изготовить пять опытных двигателей к  1.1.1941 года.</w:t>
      </w:r>
    </w:p>
    <w:p w14:paraId="0650FB1C" w14:textId="77777777" w:rsidR="00A44D35" w:rsidRPr="00A3026E" w:rsidRDefault="00A44D3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Вследствие того, что вопрос разработки нового танкового двига</w:t>
      </w:r>
      <w:r w:rsidRPr="00A3026E">
        <w:rPr>
          <w:rFonts w:ascii="Times New Roman" w:hAnsi="Times New Roman"/>
          <w:color w:val="0070C0"/>
          <w:sz w:val="16"/>
          <w:szCs w:val="16"/>
        </w:rPr>
        <w:softHyphen/>
        <w:t>ли на СТЗ разрешен</w:t>
      </w:r>
      <w:r w:rsidRPr="00A3026E">
        <w:rPr>
          <w:rFonts w:ascii="Times New Roman" w:hAnsi="Times New Roman"/>
          <w:color w:val="0070C0"/>
          <w:sz w:val="16"/>
          <w:szCs w:val="16"/>
        </w:rPr>
        <w:tab/>
        <w:t xml:space="preserve"> мероприятиями НКСМ (см. приказ по НКСМ от 28.9.1940), считаю нецелесообразным выпуск по екму специального Комитета Обороны.</w:t>
      </w:r>
    </w:p>
    <w:p w14:paraId="6BBE280D" w14:textId="77777777" w:rsidR="00A44D35" w:rsidRPr="00A3026E" w:rsidRDefault="00A44D3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Прошу подписать проект письма тов. Маленкову.</w:t>
      </w:r>
    </w:p>
    <w:p w14:paraId="7913747A" w14:textId="77777777" w:rsidR="00A44D35" w:rsidRPr="00A3026E" w:rsidRDefault="00A44D3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Докладываю о факте недопустимого отношения со стороны Зам. Наркома Среднего Машиностроения тов. Вовк, сообшившего в письме от 27.9.1940 г. неверные сведения о том, что живучесть дизеля В-2 дове</w:t>
      </w:r>
      <w:r w:rsidRPr="00A3026E">
        <w:rPr>
          <w:rFonts w:ascii="Times New Roman" w:hAnsi="Times New Roman"/>
          <w:color w:val="0070C0"/>
          <w:sz w:val="16"/>
          <w:szCs w:val="16"/>
        </w:rPr>
        <w:softHyphen/>
        <w:t>дена до 250 часа. По сообщению АБТУ, живучесть указанного дизеля не превышает 100 часов (22059).</w:t>
      </w:r>
    </w:p>
    <w:p w14:paraId="7A6872F7" w14:textId="77777777" w:rsidR="00A44D35" w:rsidRPr="00A3026E" w:rsidRDefault="00A44D35" w:rsidP="00A3026E">
      <w:pPr>
        <w:spacing w:after="0" w:line="240" w:lineRule="auto"/>
        <w:jc w:val="both"/>
        <w:rPr>
          <w:rFonts w:ascii="Times New Roman" w:hAnsi="Times New Roman"/>
          <w:color w:val="0070C0"/>
          <w:sz w:val="16"/>
          <w:szCs w:val="16"/>
        </w:rPr>
      </w:pPr>
    </w:p>
    <w:p w14:paraId="140F574F" w14:textId="77777777" w:rsidR="00A44D35" w:rsidRPr="00A3026E" w:rsidRDefault="00A44D3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18 октября 1940 вышло </w:t>
      </w:r>
      <w:r w:rsidRPr="00A3026E">
        <w:rPr>
          <w:rFonts w:ascii="Times New Roman" w:hAnsi="Times New Roman"/>
          <w:color w:val="0070C0"/>
          <w:sz w:val="16"/>
          <w:szCs w:val="16"/>
          <w:shd w:val="clear" w:color="auto" w:fill="FFFFFF"/>
        </w:rPr>
        <w:t>Постановление Комитета обороны при СНК СССР № 411сс "О плане текущих военных заказов для НКО, НКВМФ и НКВД на IV квартал 1940 г." с приложениями (22060).</w:t>
      </w:r>
    </w:p>
    <w:p w14:paraId="2B9522A1" w14:textId="77777777" w:rsidR="00A44D35" w:rsidRPr="00A3026E" w:rsidRDefault="00A44D35" w:rsidP="00A3026E">
      <w:pPr>
        <w:spacing w:after="0" w:line="240" w:lineRule="auto"/>
        <w:jc w:val="both"/>
        <w:rPr>
          <w:rFonts w:ascii="Times New Roman" w:hAnsi="Times New Roman"/>
          <w:color w:val="0070C0"/>
          <w:sz w:val="16"/>
          <w:szCs w:val="16"/>
        </w:rPr>
      </w:pPr>
    </w:p>
    <w:p w14:paraId="6CF85C67" w14:textId="77777777" w:rsidR="00F067CF" w:rsidRPr="00A3026E" w:rsidRDefault="00F067C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bCs/>
          <w:iCs/>
          <w:color w:val="000000" w:themeColor="text1"/>
          <w:sz w:val="16"/>
          <w:szCs w:val="16"/>
        </w:rPr>
        <w:t>18 октября 1940 г.</w:t>
      </w:r>
      <w:r w:rsidRPr="00A3026E">
        <w:rPr>
          <w:rFonts w:ascii="Times New Roman" w:hAnsi="Times New Roman"/>
          <w:color w:val="000000" w:themeColor="text1"/>
          <w:sz w:val="16"/>
          <w:szCs w:val="16"/>
        </w:rPr>
        <w:t xml:space="preserve"> Постановление КО при СНК СССР </w:t>
      </w:r>
      <w:r w:rsidRPr="00A3026E">
        <w:rPr>
          <w:rFonts w:ascii="Times New Roman" w:hAnsi="Times New Roman"/>
          <w:iCs/>
          <w:color w:val="000000" w:themeColor="text1"/>
          <w:sz w:val="16"/>
          <w:szCs w:val="16"/>
        </w:rPr>
        <w:t>«О принятии на вооружение Красной Армии вязкой ипритной рецептуры»</w:t>
      </w:r>
      <w:r w:rsidRPr="00A3026E">
        <w:rPr>
          <w:rFonts w:ascii="Times New Roman" w:hAnsi="Times New Roman"/>
          <w:color w:val="000000" w:themeColor="text1"/>
          <w:sz w:val="16"/>
          <w:szCs w:val="16"/>
        </w:rPr>
        <w:t>. НКХП СССР разрешено создать к марту 1941 г. на существующих заводах мощности по производству рецептуры ВИР-МК на 15 000 тонн в год за счет уменьшения мощностей по иприту. Опытная партия рецептуры с загустителем на мягком каучуке была изготовлена в 1940 году, и ее испытания оказались удачными (17133).</w:t>
      </w:r>
    </w:p>
    <w:p w14:paraId="0EFDD7BA" w14:textId="77777777" w:rsidR="00F067CF" w:rsidRPr="00A3026E" w:rsidRDefault="00F067CF" w:rsidP="00A3026E">
      <w:pPr>
        <w:shd w:val="clear" w:color="auto" w:fill="FFFFFF"/>
        <w:spacing w:after="0" w:line="240" w:lineRule="auto"/>
        <w:jc w:val="both"/>
        <w:rPr>
          <w:rFonts w:ascii="Times New Roman" w:hAnsi="Times New Roman"/>
          <w:color w:val="000000" w:themeColor="text1"/>
          <w:sz w:val="16"/>
          <w:szCs w:val="16"/>
        </w:rPr>
      </w:pPr>
    </w:p>
    <w:p w14:paraId="3B49BB3C"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16A0BD4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F89DD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г. вышел Приказ НКО с объявлением Указа Президиума Верховного Совета СССР «О порядке назначения к слушанию в военных трибуналах дел о самовольных отлучках лиц рядового и младшего начальствующего состава» № 362.</w:t>
      </w:r>
    </w:p>
    <w:p w14:paraId="56F225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Объявляю Указ Президиума Верховного Совета Союза ССР от 12 октября 1940 г. «О порядке назначения к слушанию в военных трибуналах дел о самовольных тлучках лиц рядового и младшего начальствующего состава».</w:t>
      </w:r>
    </w:p>
    <w:p w14:paraId="22964B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Заместитель Народного комиссара обороны СССР Маршал Советского Союза С. Буденный</w:t>
      </w:r>
    </w:p>
    <w:p w14:paraId="7AD8E5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Предоставить военным трибуналам право назначать к слушанию дела о самовольных отлучках лиц рядового и младшего начальствующего состава независимо от времени, истекшего с момента вручения подсудимым копий обвинительных заключений.</w:t>
      </w:r>
    </w:p>
    <w:p w14:paraId="6DEEE2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Президиума Верховного Совета СССР М. Калинин</w:t>
      </w:r>
    </w:p>
    <w:p w14:paraId="00780A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Секретарь Президиума Верховного Совета СССР А. Горкин</w:t>
      </w:r>
    </w:p>
    <w:p w14:paraId="184836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Кремль. 12 октября 1940 г. (10604).</w:t>
      </w:r>
    </w:p>
    <w:p w14:paraId="25594DF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E11086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1E7D6AA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C7115C8" w14:textId="77777777" w:rsidR="00173C44" w:rsidRPr="00A3026E"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18 октября 1940 г. первый В-71В (107/TD+FA) покинул сборочный цех завода в Высочанах. Самолет передали в Рехлин для испытаний. Последний В-71 В фирма Аэро сдала заказчику, то есть люфтваффе, 26 ноября 1940 г.</w:t>
      </w:r>
    </w:p>
    <w:p w14:paraId="295D6B54" w14:textId="77777777" w:rsidR="00173C44" w:rsidRPr="00A3026E"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Завод Авиа в Чаковице построил 25 самолетов В-71 В (серийные номера 192 и 194 – 217). Последний самолет (217/SE+FY) был сдан 30 апреля 1941 г.</w:t>
      </w:r>
    </w:p>
    <w:p w14:paraId="7FEB4EE7" w14:textId="77777777" w:rsidR="00173C44" w:rsidRPr="00A3026E"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На момент вторжения германских войск в Чехословакию подготовка лицензионного производства самолетов В-71 на заводе Авиа продвинулось очень далеко. Немцы посчитали самолет идеальным буксировщиком и заказали фирмам Авиа и Аэро 76 В-71 А и 35 В-71В.</w:t>
      </w:r>
    </w:p>
    <w:p w14:paraId="013EE883" w14:textId="77777777" w:rsidR="00173C44" w:rsidRPr="00A3026E"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Представлявший собой развитие самолета В-71 А самолет В-71 В появился в 1940 г. Длина буксировочного троса на нем была увеличена до 1000 м. Место оператора буксировочного оборудования смещено вперед, чтобы освободить место для усовершенствованной аппаратуры буксировки мишени. Масса буксировочного оборудования на В-71 А составляла 210 кг, на В-71 В – 280 кг. Немного вперед сместили козырек фонаря кабины пилота.</w:t>
      </w:r>
    </w:p>
    <w:p w14:paraId="656A8EFA" w14:textId="77777777" w:rsidR="00173C44" w:rsidRPr="00A3026E"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деталях В-71В несколько отличался от своего предшественника В-71 А. Два небольших окошка треугольной формы за носовым остеклением фюзеляжа исчезли, на мачте радиоантенны появилась Т-образная насадка. В задней части центроплана левой консоли крыла появилась подножка, а на фюзеляже ниже кабины поручень. Створки бомбоотсека не ставились. На некоторых В- 71В поздней постройки ставились козырьки перед сдивжным фонарем задней кабины. На нижней поверхности каждой консоли крыла поставили по три узла для внешней подвески грузов.</w:t>
      </w:r>
    </w:p>
    <w:p w14:paraId="43FBFF2A" w14:textId="77777777" w:rsidR="00173C44" w:rsidRPr="00A3026E"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Заводы Авиа и Аэро, оба – два. построили всего 35 самолетов В-71 В. Аэро – десять (серийные номера 107 – 116). </w:t>
      </w:r>
    </w:p>
    <w:p w14:paraId="3578B43E" w14:textId="77777777" w:rsidR="00173C44" w:rsidRPr="00A3026E"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Всего в июле 1939 г. – апреле 1941 г.г. заводы Аэро и Авиа изготовили для люфтваффе в общей сложности 111 самолетов В- 71А и В-71 В.</w:t>
      </w:r>
    </w:p>
    <w:p w14:paraId="72A77B06" w14:textId="77777777" w:rsidR="00173C44" w:rsidRPr="00A3026E" w:rsidRDefault="00173C44" w:rsidP="00A3026E">
      <w:pPr>
        <w:spacing w:after="0" w:line="240" w:lineRule="auto"/>
        <w:jc w:val="both"/>
        <w:rPr>
          <w:rFonts w:ascii="Times New Roman" w:hAnsi="Times New Roman"/>
          <w:iCs/>
          <w:color w:val="000000" w:themeColor="text1"/>
          <w:sz w:val="16"/>
          <w:szCs w:val="16"/>
        </w:rPr>
      </w:pPr>
    </w:p>
    <w:p w14:paraId="20D317D4"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18 октября 1940 выполнил первый полет Airspeed Fleet Shadower (20795). </w:t>
      </w:r>
    </w:p>
    <w:p w14:paraId="5D45E147" w14:textId="77777777" w:rsidR="00CF51BC" w:rsidRPr="00A3026E" w:rsidRDefault="00CF51BC" w:rsidP="00A3026E">
      <w:pPr>
        <w:spacing w:after="0" w:line="240" w:lineRule="auto"/>
        <w:jc w:val="both"/>
        <w:rPr>
          <w:rFonts w:ascii="Times New Roman" w:hAnsi="Times New Roman"/>
          <w:color w:val="0070C0"/>
          <w:sz w:val="16"/>
          <w:szCs w:val="16"/>
        </w:rPr>
      </w:pPr>
    </w:p>
    <w:p w14:paraId="1E27807B"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October 18-19 1940 wolf-pack of 6 subs sinks 36 of 79 in 2 convoys - 2 worst days of war. October - "The Happy Time" for subs - record average sinking of 60,000 tons per month per sub (1052).</w:t>
      </w:r>
    </w:p>
    <w:p w14:paraId="6C78A65A"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6B92C9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18-19 октября 1940 группа из 6 немецких подлодок потопила 36 из 79 транспортов 2-х конвоев. Это было время рекорда когда каждая подлодка за месяц потопила более 60 тыс. т (1052).</w:t>
      </w:r>
    </w:p>
    <w:p w14:paraId="79424E1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BAB9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18 октября 1940 в Англии начали работать наземные стационарные РЛС, обеспечивающие высокую точность наведения (2240).</w:t>
      </w:r>
    </w:p>
    <w:p w14:paraId="396E019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C3EBD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Англия вновь открыла Бирманскую дорогу, по которой снабжался Китай (3481).</w:t>
      </w:r>
    </w:p>
    <w:p w14:paraId="1E0A7F9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CE0CB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2CB87A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520C9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вышло постановление КО N 413сс "О распределении самолетов, моторов и винтов до конца 1940 г., которым НКАП был обязан сдать ВМФ: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3833"/>
      </w:tblGrid>
      <w:tr w:rsidR="00983732" w:rsidRPr="00A3026E" w14:paraId="76A27388" w14:textId="77777777" w:rsidTr="00EA0DA7">
        <w:tc>
          <w:tcPr>
            <w:tcW w:w="3833" w:type="dxa"/>
            <w:tcBorders>
              <w:top w:val="single" w:sz="12" w:space="0" w:color="auto"/>
            </w:tcBorders>
          </w:tcPr>
          <w:p w14:paraId="45E2AC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3833" w:type="dxa"/>
            <w:tcBorders>
              <w:top w:val="single" w:sz="12" w:space="0" w:color="auto"/>
            </w:tcBorders>
          </w:tcPr>
          <w:p w14:paraId="240373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ДБ-3Т</w:t>
            </w:r>
          </w:p>
        </w:tc>
        <w:tc>
          <w:tcPr>
            <w:tcW w:w="3833" w:type="dxa"/>
            <w:tcBorders>
              <w:top w:val="single" w:sz="12" w:space="0" w:color="auto"/>
            </w:tcBorders>
          </w:tcPr>
          <w:p w14:paraId="3380FE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завода 126</w:t>
            </w:r>
          </w:p>
        </w:tc>
      </w:tr>
      <w:tr w:rsidR="00983732" w:rsidRPr="00A3026E" w14:paraId="542705BA" w14:textId="77777777" w:rsidTr="00EA0DA7">
        <w:tc>
          <w:tcPr>
            <w:tcW w:w="3833" w:type="dxa"/>
          </w:tcPr>
          <w:p w14:paraId="51371B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3833" w:type="dxa"/>
          </w:tcPr>
          <w:p w14:paraId="4A1571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ДБ-3ФТ</w:t>
            </w:r>
          </w:p>
        </w:tc>
        <w:tc>
          <w:tcPr>
            <w:tcW w:w="3833" w:type="dxa"/>
          </w:tcPr>
          <w:p w14:paraId="33BF7C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завода 126</w:t>
            </w:r>
          </w:p>
        </w:tc>
      </w:tr>
      <w:tr w:rsidR="00983732" w:rsidRPr="00A3026E" w14:paraId="3715C34D" w14:textId="77777777" w:rsidTr="00EA0DA7">
        <w:tc>
          <w:tcPr>
            <w:tcW w:w="3833" w:type="dxa"/>
            <w:tcBorders>
              <w:bottom w:val="single" w:sz="12" w:space="0" w:color="auto"/>
            </w:tcBorders>
          </w:tcPr>
          <w:p w14:paraId="781394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w:t>
            </w:r>
          </w:p>
        </w:tc>
        <w:tc>
          <w:tcPr>
            <w:tcW w:w="3833" w:type="dxa"/>
            <w:tcBorders>
              <w:bottom w:val="single" w:sz="12" w:space="0" w:color="auto"/>
            </w:tcBorders>
          </w:tcPr>
          <w:p w14:paraId="223B7E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ДБ-3ФТ</w:t>
            </w:r>
          </w:p>
        </w:tc>
        <w:tc>
          <w:tcPr>
            <w:tcW w:w="3833" w:type="dxa"/>
            <w:tcBorders>
              <w:bottom w:val="single" w:sz="12" w:space="0" w:color="auto"/>
            </w:tcBorders>
          </w:tcPr>
          <w:p w14:paraId="5F6169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завода 39 (1304,258)</w:t>
            </w:r>
          </w:p>
        </w:tc>
      </w:tr>
    </w:tbl>
    <w:p w14:paraId="58F238D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F7C52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ГК завода 39 С.В.И. с письмом N 972с/окб направил директору и военпреду заводов 18, 39 и 126 Извещение N 281 по группе оборудования ЦКБ-30Ф от 18 октября. В отчете испытаний ЦКБ-30Ф в НИИ ВВС от 25 декабря 1939 и в письме Нач. отд. Спецслужб от 2 декабря 1939 N ОС/02070 была потребована установка жесткой антенны с длинами лучей для рации РСБ 6.2 м и РПК-2 3 м.</w:t>
      </w:r>
    </w:p>
    <w:p w14:paraId="3F7989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отношении 1 отд. НИИ ВВС от 4 октября 1940 N 1/0994 по результатам испытаний ЦКБ-30Ф N 630 завода 18 установлено, что длинна луча для РСБ д.б. заменена с 6.2 на 5.7 м и луча РПК с 3 м до 278 м.</w:t>
      </w:r>
    </w:p>
    <w:p w14:paraId="348ABC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Указанное выше изменение провести на одной машине и по производству заводских передать на гос. испытания.</w:t>
      </w:r>
    </w:p>
    <w:p w14:paraId="496A22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Внедрение настоящего изменения в серийное производство м.б. произведено лишь в порядке приказа НКАП N 518 от 2 октября 1940... (2689,26).</w:t>
      </w:r>
    </w:p>
    <w:p w14:paraId="07CA5C0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93842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года вышло постановление КО при СНК N 413сс, которое обязало НКАП сдать ВМФ - 20 самолетов ДБ-3ф (торпедоносцев) на поплавках (3400).</w:t>
      </w:r>
    </w:p>
    <w:p w14:paraId="7E5DA07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8E1EA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вышел приказ НКАП N 566cc, в котором речь шла и о самолете 100 Н.Н.П. (1040). Этот приказ в исполнение постановления, вышедшего 15 октября 1940 во изменение постановления КО от 23 июня 1940 N 275 о постройке в первом полугодии 1941 10 самолетов 100 в варианте истребителя сопровождения:</w:t>
      </w:r>
    </w:p>
    <w:p w14:paraId="3DF387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НКАП были обязаны вместо 10 самолетов спроектировать и построить на базе серийного самолета ПБ-100 с мотором М-105 ТК-2 (1273):</w:t>
      </w:r>
    </w:p>
    <w:p w14:paraId="42A983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высотный скоростной бомбардировщик ВБ-100 с герметической кабиной в количестве 5 экз.;</w:t>
      </w:r>
    </w:p>
    <w:p w14:paraId="7C2C0B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высотный истребитель ВИ-100 с герметической кабиной в количестве 5 экз. (1273).</w:t>
      </w:r>
    </w:p>
    <w:p w14:paraId="40C082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Установить следующие сроки выхода самолета на заводские испытания:</w:t>
      </w:r>
    </w:p>
    <w:p w14:paraId="3456E5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1-й экз. самолета ВБ-100 - 15 июня 1941</w:t>
      </w:r>
    </w:p>
    <w:p w14:paraId="04B35C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1-й экз. самолета ВИ-100 - 30 июня 1941</w:t>
      </w:r>
    </w:p>
    <w:p w14:paraId="6FFA0B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остальные 4 ВБ-100 и 4 ВИ-100 изготовить к концу 1941</w:t>
      </w:r>
    </w:p>
    <w:p w14:paraId="66A1314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0EBF537" w14:textId="77777777" w:rsidR="00C66762" w:rsidRPr="00A3026E" w:rsidRDefault="00C66762" w:rsidP="00A3026E">
      <w:pPr>
        <w:pStyle w:val="22"/>
        <w:widowControl/>
        <w:tabs>
          <w:tab w:val="left" w:pos="360"/>
        </w:tabs>
        <w:rPr>
          <w:color w:val="000000" w:themeColor="text1"/>
        </w:rPr>
      </w:pPr>
      <w:r w:rsidRPr="00A3026E">
        <w:rPr>
          <w:color w:val="000000" w:themeColor="text1"/>
        </w:rPr>
        <w:t>19 октября 1940 закончились заводские испытания И-21 М-105 второго, которые проходили с 12 октября 1940. Госиспытания хотели проводить в Горьком и в Сейме (на аэродроме 166 резервного авиаполка), но машину передали в НИИ АВ для испытания вооружения (8280,26).</w:t>
      </w:r>
    </w:p>
    <w:p w14:paraId="072B0DF5" w14:textId="77777777" w:rsidR="00C66762" w:rsidRPr="00A3026E" w:rsidRDefault="00C66762" w:rsidP="00A3026E">
      <w:pPr>
        <w:pStyle w:val="22"/>
        <w:widowControl/>
        <w:tabs>
          <w:tab w:val="left" w:pos="360"/>
        </w:tabs>
        <w:rPr>
          <w:color w:val="000000" w:themeColor="text1"/>
        </w:rPr>
      </w:pPr>
    </w:p>
    <w:p w14:paraId="19C334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 постановлением Комитета Обороны при СНК СССР № 413 завод №1 обязан был установить на самолет МиГ-3 ракетные орудия РО-82. Однако, приказами НКАП №133 от 14 февраля 1941 г. и № 196 от 3 марта 1941 г. и протоколом НКАП от 22 февраля 1941 г. за №189/1818, ссылаясь на Постановление Прави</w:t>
      </w:r>
      <w:r w:rsidRPr="00A3026E">
        <w:rPr>
          <w:rFonts w:ascii="Times New Roman" w:hAnsi="Times New Roman"/>
          <w:color w:val="000000" w:themeColor="text1"/>
          <w:sz w:val="16"/>
          <w:szCs w:val="16"/>
        </w:rPr>
        <w:softHyphen/>
        <w:t>тельства, установка РО-82 на самолетах МиГ-3 была отменена (11402).</w:t>
      </w:r>
    </w:p>
    <w:p w14:paraId="70CA199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455A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вышел приказ НКАП N 567cc, согласно которому в соответствии с постановлением Правительства от 26 августа 1940 об организации производства агрегатов непосредственного впрыска НВ на переданном НКАП заводе с/х машиностроения заводу присвоили номер 444 (875,55).</w:t>
      </w:r>
    </w:p>
    <w:p w14:paraId="43A613B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54F21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зам. нач. ЦАГИ Поликовский писал письмо N 15/609с Пред. самолетной комиссии Б.Н.Юрьеву по письму N 3-1987 от 24 сентября 1940 по результатам рассмотрению эскизного проекта НИИ-3 "Истребитель-перехватчик с комбинированными реактивными установками". Предлагал, чтобы ЦАГИ совместно с НИИ-3 работал над этим проектом (1448,162).</w:t>
      </w:r>
    </w:p>
    <w:p w14:paraId="57D2A83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7418BF1"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19 октября 1940 вышло Постановление Комитета обороны при СНК СССР № 413сс "О распределении самолетов, моторов и винтов между НКО, НКВМФ, НКВД и ГУГВФ до конца 1940 г." с приложениями</w:t>
      </w:r>
    </w:p>
    <w:p w14:paraId="58A29CAD"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дополнение к постановлению КО № 335сс от 26 июля 1940г. "Об увеличении выпуска самолетов и авиамоторов на пе</w:t>
      </w:r>
      <w:r w:rsidRPr="00A3026E">
        <w:rPr>
          <w:rFonts w:ascii="Times New Roman" w:hAnsi="Times New Roman"/>
          <w:color w:val="0070C0"/>
          <w:sz w:val="16"/>
          <w:szCs w:val="16"/>
        </w:rPr>
        <w:softHyphen/>
        <w:t>риод август-декабрь 1940 года", Комитет Обороны при СНК Союза ССР ПОСТАНОВЛЯЕТ:</w:t>
      </w:r>
    </w:p>
    <w:p w14:paraId="716189E9"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Утвердить план распределения самолетов, авиационных моторов и винтов между НКО, НКВМФ, НКВД и ГУГВФ до конца 1940 года, согласно приложениям №№ 1, 2 и 3.</w:t>
      </w:r>
    </w:p>
    <w:p w14:paraId="45F4B385"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Утвердить условия сдачи боевых самолетов заводами Наркомавиапрома до конца 1940 года, согласно приложению № 4.</w:t>
      </w:r>
    </w:p>
    <w:p w14:paraId="5797C32A"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Постановление КО № 296сс от 4 июля 1940 года "О плане текущих военных заказов НКО, НКВМФ и НКВД на П квартал 1940 года", в части авиационного вооружения, и постановле</w:t>
      </w:r>
      <w:r w:rsidRPr="00A3026E">
        <w:rPr>
          <w:rFonts w:ascii="Times New Roman" w:hAnsi="Times New Roman"/>
          <w:color w:val="0070C0"/>
          <w:sz w:val="16"/>
          <w:szCs w:val="16"/>
        </w:rPr>
        <w:softHyphen/>
        <w:t>ние КО № 77сс от 19 февраля 1940 года "Об увеличении выпуска самолетов и моторов в 1-м полугодии 1940 года", как потерявшие силу, - отменить (22063).</w:t>
      </w:r>
    </w:p>
    <w:p w14:paraId="742717E4" w14:textId="77777777" w:rsidR="00CF51BC" w:rsidRPr="00A3026E" w:rsidRDefault="00CF51BC" w:rsidP="00A3026E">
      <w:pPr>
        <w:spacing w:after="0" w:line="240" w:lineRule="auto"/>
        <w:jc w:val="both"/>
        <w:rPr>
          <w:rFonts w:ascii="Times New Roman" w:hAnsi="Times New Roman"/>
          <w:color w:val="0070C0"/>
          <w:sz w:val="16"/>
          <w:szCs w:val="16"/>
        </w:rPr>
      </w:pPr>
    </w:p>
    <w:p w14:paraId="478D62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вышел указ о порядке обязательного перевода инженеров, техников, мастеров, служащих и квалифицированных рабочих с одних предприятий и организаций в другие (69,179).</w:t>
      </w:r>
    </w:p>
    <w:p w14:paraId="161B3F2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E5395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Нач. 9 Управления ГУ ВВС КА ви1р Бакин писал письмо № 526610сс Наркому Госконтроля Союза СССР ви1р тов. Солдатову:</w:t>
      </w:r>
    </w:p>
    <w:p w14:paraId="578F25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Вашей просьбу пересылаю сведения об оборудовании самолетов ВВС КА средствами связи и радионавигации.</w:t>
      </w:r>
    </w:p>
    <w:p w14:paraId="29943D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на 2-х листах (10493,196).</w:t>
      </w:r>
    </w:p>
    <w:p w14:paraId="370CD9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СВЕДЕНИЯ по оборудованию самолетов, состоящих на вооружении ВВС КА средствами связи и радионавигации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990"/>
        <w:gridCol w:w="990"/>
        <w:gridCol w:w="990"/>
        <w:gridCol w:w="990"/>
        <w:gridCol w:w="990"/>
        <w:gridCol w:w="990"/>
        <w:gridCol w:w="990"/>
        <w:gridCol w:w="990"/>
        <w:gridCol w:w="990"/>
        <w:gridCol w:w="990"/>
        <w:gridCol w:w="990"/>
      </w:tblGrid>
      <w:tr w:rsidR="00983732" w:rsidRPr="00A3026E" w14:paraId="267014C7" w14:textId="77777777" w:rsidTr="00EA0DA7">
        <w:tc>
          <w:tcPr>
            <w:tcW w:w="378" w:type="dxa"/>
            <w:tcBorders>
              <w:top w:val="single" w:sz="12" w:space="0" w:color="auto"/>
            </w:tcBorders>
          </w:tcPr>
          <w:p w14:paraId="03101D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п/п</w:t>
            </w:r>
          </w:p>
        </w:tc>
        <w:tc>
          <w:tcPr>
            <w:tcW w:w="990" w:type="dxa"/>
            <w:tcBorders>
              <w:top w:val="single" w:sz="12" w:space="0" w:color="auto"/>
            </w:tcBorders>
          </w:tcPr>
          <w:p w14:paraId="1C58F0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самолета</w:t>
            </w:r>
          </w:p>
        </w:tc>
        <w:tc>
          <w:tcPr>
            <w:tcW w:w="4950" w:type="dxa"/>
            <w:gridSpan w:val="5"/>
            <w:tcBorders>
              <w:top w:val="single" w:sz="12" w:space="0" w:color="auto"/>
            </w:tcBorders>
          </w:tcPr>
          <w:p w14:paraId="1B2185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ТТ данные радиостанций</w:t>
            </w:r>
          </w:p>
        </w:tc>
        <w:tc>
          <w:tcPr>
            <w:tcW w:w="1980" w:type="dxa"/>
            <w:gridSpan w:val="2"/>
            <w:tcBorders>
              <w:top w:val="single" w:sz="12" w:space="0" w:color="auto"/>
            </w:tcBorders>
          </w:tcPr>
          <w:p w14:paraId="700C93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Переговорное устройство</w:t>
            </w:r>
          </w:p>
          <w:p w14:paraId="2D89B1C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70" w:type="dxa"/>
            <w:gridSpan w:val="3"/>
            <w:tcBorders>
              <w:top w:val="single" w:sz="12" w:space="0" w:color="auto"/>
            </w:tcBorders>
          </w:tcPr>
          <w:p w14:paraId="167520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ТТ данные средств радионавигации</w:t>
            </w:r>
          </w:p>
        </w:tc>
      </w:tr>
      <w:tr w:rsidR="00983732" w:rsidRPr="00A3026E" w14:paraId="3640330C" w14:textId="77777777" w:rsidTr="00EA0DA7">
        <w:tc>
          <w:tcPr>
            <w:tcW w:w="378" w:type="dxa"/>
          </w:tcPr>
          <w:p w14:paraId="34D9DA8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24A23F4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7F6211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радиостанции</w:t>
            </w:r>
          </w:p>
        </w:tc>
        <w:tc>
          <w:tcPr>
            <w:tcW w:w="1980" w:type="dxa"/>
            <w:gridSpan w:val="2"/>
          </w:tcPr>
          <w:p w14:paraId="703541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с землей</w:t>
            </w:r>
          </w:p>
        </w:tc>
        <w:tc>
          <w:tcPr>
            <w:tcW w:w="990" w:type="dxa"/>
          </w:tcPr>
          <w:p w14:paraId="462CBE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Диапазон фиксированных волн</w:t>
            </w:r>
          </w:p>
        </w:tc>
        <w:tc>
          <w:tcPr>
            <w:tcW w:w="990" w:type="dxa"/>
          </w:tcPr>
          <w:p w14:paraId="3D88F7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кг</w:t>
            </w:r>
          </w:p>
        </w:tc>
        <w:tc>
          <w:tcPr>
            <w:tcW w:w="990" w:type="dxa"/>
          </w:tcPr>
          <w:p w14:paraId="4A8BCE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w:t>
            </w:r>
          </w:p>
        </w:tc>
        <w:tc>
          <w:tcPr>
            <w:tcW w:w="990" w:type="dxa"/>
          </w:tcPr>
          <w:p w14:paraId="708F3E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кг</w:t>
            </w:r>
          </w:p>
        </w:tc>
        <w:tc>
          <w:tcPr>
            <w:tcW w:w="990" w:type="dxa"/>
          </w:tcPr>
          <w:p w14:paraId="425344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w:t>
            </w:r>
          </w:p>
        </w:tc>
        <w:tc>
          <w:tcPr>
            <w:tcW w:w="990" w:type="dxa"/>
          </w:tcPr>
          <w:p w14:paraId="0F6D93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кг</w:t>
            </w:r>
          </w:p>
        </w:tc>
        <w:tc>
          <w:tcPr>
            <w:tcW w:w="990" w:type="dxa"/>
          </w:tcPr>
          <w:p w14:paraId="79C92F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действия</w:t>
            </w:r>
          </w:p>
        </w:tc>
      </w:tr>
      <w:tr w:rsidR="00983732" w:rsidRPr="00A3026E" w14:paraId="5841BE14" w14:textId="77777777" w:rsidTr="00EA0DA7">
        <w:tc>
          <w:tcPr>
            <w:tcW w:w="378" w:type="dxa"/>
          </w:tcPr>
          <w:p w14:paraId="57F323C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25AF9F7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5D8692B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0EB67C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Телефон</w:t>
            </w:r>
          </w:p>
        </w:tc>
        <w:tc>
          <w:tcPr>
            <w:tcW w:w="990" w:type="dxa"/>
          </w:tcPr>
          <w:p w14:paraId="09C1B9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Телеграф</w:t>
            </w:r>
          </w:p>
        </w:tc>
        <w:tc>
          <w:tcPr>
            <w:tcW w:w="990" w:type="dxa"/>
          </w:tcPr>
          <w:p w14:paraId="6803530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62944EC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6E9E834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521F1EF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0EF40AC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434D4ED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07D6D8A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EF3952E" w14:textId="77777777" w:rsidTr="00EA0DA7">
        <w:tc>
          <w:tcPr>
            <w:tcW w:w="378" w:type="dxa"/>
          </w:tcPr>
          <w:p w14:paraId="6D25EF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990" w:type="dxa"/>
          </w:tcPr>
          <w:p w14:paraId="635F84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 И-153</w:t>
            </w:r>
          </w:p>
        </w:tc>
        <w:tc>
          <w:tcPr>
            <w:tcW w:w="990" w:type="dxa"/>
          </w:tcPr>
          <w:p w14:paraId="6262D4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РСИ-3 (1/3 самолетов сприемо/передатчиком, 2/с с приемником</w:t>
            </w:r>
          </w:p>
        </w:tc>
        <w:tc>
          <w:tcPr>
            <w:tcW w:w="990" w:type="dxa"/>
          </w:tcPr>
          <w:p w14:paraId="0474FB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0" w:type="dxa"/>
          </w:tcPr>
          <w:p w14:paraId="16DAB7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5FB24E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волн на приемнике - 140-200</w:t>
            </w:r>
          </w:p>
        </w:tc>
        <w:tc>
          <w:tcPr>
            <w:tcW w:w="990" w:type="dxa"/>
          </w:tcPr>
          <w:p w14:paraId="567E63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Приемник - 8</w:t>
            </w:r>
          </w:p>
          <w:p w14:paraId="49BE10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Вся - 15</w:t>
            </w:r>
          </w:p>
        </w:tc>
        <w:tc>
          <w:tcPr>
            <w:tcW w:w="990" w:type="dxa"/>
          </w:tcPr>
          <w:p w14:paraId="1B998C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6CA96C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3AB439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2F0522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7309183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E2B92B2" w14:textId="77777777" w:rsidTr="00EA0DA7">
        <w:tc>
          <w:tcPr>
            <w:tcW w:w="378" w:type="dxa"/>
          </w:tcPr>
          <w:p w14:paraId="21AEE8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990" w:type="dxa"/>
          </w:tcPr>
          <w:p w14:paraId="4E1626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Р-5, Р-Зет</w:t>
            </w:r>
          </w:p>
        </w:tc>
        <w:tc>
          <w:tcPr>
            <w:tcW w:w="990" w:type="dxa"/>
          </w:tcPr>
          <w:p w14:paraId="42D4FA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3-СК, 13-СК-1, 13-СК-2</w:t>
            </w:r>
          </w:p>
        </w:tc>
        <w:tc>
          <w:tcPr>
            <w:tcW w:w="990" w:type="dxa"/>
          </w:tcPr>
          <w:p w14:paraId="7FA1B9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0" w:type="dxa"/>
          </w:tcPr>
          <w:p w14:paraId="7A4DD1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90" w:type="dxa"/>
          </w:tcPr>
          <w:p w14:paraId="16654D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100-180</w:t>
            </w:r>
          </w:p>
        </w:tc>
        <w:tc>
          <w:tcPr>
            <w:tcW w:w="990" w:type="dxa"/>
          </w:tcPr>
          <w:p w14:paraId="475DDF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w:t>
            </w:r>
          </w:p>
        </w:tc>
        <w:tc>
          <w:tcPr>
            <w:tcW w:w="990" w:type="dxa"/>
          </w:tcPr>
          <w:p w14:paraId="774805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резиновый шланг</w:t>
            </w:r>
          </w:p>
        </w:tc>
        <w:tc>
          <w:tcPr>
            <w:tcW w:w="990" w:type="dxa"/>
          </w:tcPr>
          <w:p w14:paraId="210DFA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30499C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12FCD3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084C32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7649DB6" w14:textId="77777777" w:rsidTr="00EA0DA7">
        <w:tc>
          <w:tcPr>
            <w:tcW w:w="378" w:type="dxa"/>
          </w:tcPr>
          <w:p w14:paraId="18A7A2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990" w:type="dxa"/>
          </w:tcPr>
          <w:p w14:paraId="721CD7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Р-10</w:t>
            </w:r>
          </w:p>
        </w:tc>
        <w:tc>
          <w:tcPr>
            <w:tcW w:w="990" w:type="dxa"/>
          </w:tcPr>
          <w:p w14:paraId="57730C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РСР</w:t>
            </w:r>
          </w:p>
        </w:tc>
        <w:tc>
          <w:tcPr>
            <w:tcW w:w="990" w:type="dxa"/>
          </w:tcPr>
          <w:p w14:paraId="73ADB1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0" w:type="dxa"/>
          </w:tcPr>
          <w:p w14:paraId="698484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90" w:type="dxa"/>
          </w:tcPr>
          <w:p w14:paraId="1BEEE8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100-240</w:t>
            </w:r>
          </w:p>
        </w:tc>
        <w:tc>
          <w:tcPr>
            <w:tcW w:w="990" w:type="dxa"/>
          </w:tcPr>
          <w:p w14:paraId="3769BD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w:t>
            </w:r>
          </w:p>
        </w:tc>
        <w:tc>
          <w:tcPr>
            <w:tcW w:w="990" w:type="dxa"/>
          </w:tcPr>
          <w:p w14:paraId="6E9AEA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СПУ-2К</w:t>
            </w:r>
          </w:p>
        </w:tc>
        <w:tc>
          <w:tcPr>
            <w:tcW w:w="990" w:type="dxa"/>
          </w:tcPr>
          <w:p w14:paraId="483257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c>
          <w:tcPr>
            <w:tcW w:w="990" w:type="dxa"/>
          </w:tcPr>
          <w:p w14:paraId="4E4E74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32D884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375B5F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00AA3C2" w14:textId="77777777" w:rsidTr="00EA0DA7">
        <w:tc>
          <w:tcPr>
            <w:tcW w:w="378" w:type="dxa"/>
          </w:tcPr>
          <w:p w14:paraId="7A032F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990" w:type="dxa"/>
          </w:tcPr>
          <w:p w14:paraId="674405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ТБ-3</w:t>
            </w:r>
          </w:p>
        </w:tc>
        <w:tc>
          <w:tcPr>
            <w:tcW w:w="990" w:type="dxa"/>
          </w:tcPr>
          <w:p w14:paraId="378BFC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11-СК-1</w:t>
            </w:r>
          </w:p>
        </w:tc>
        <w:tc>
          <w:tcPr>
            <w:tcW w:w="990" w:type="dxa"/>
          </w:tcPr>
          <w:p w14:paraId="106CC1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90" w:type="dxa"/>
          </w:tcPr>
          <w:p w14:paraId="375A2D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990" w:type="dxa"/>
          </w:tcPr>
          <w:p w14:paraId="19A26B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100-180</w:t>
            </w:r>
          </w:p>
        </w:tc>
        <w:tc>
          <w:tcPr>
            <w:tcW w:w="990" w:type="dxa"/>
          </w:tcPr>
          <w:p w14:paraId="0715D4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w:t>
            </w:r>
          </w:p>
        </w:tc>
        <w:tc>
          <w:tcPr>
            <w:tcW w:w="990" w:type="dxa"/>
          </w:tcPr>
          <w:p w14:paraId="6B861B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СПУ-7</w:t>
            </w:r>
          </w:p>
        </w:tc>
        <w:tc>
          <w:tcPr>
            <w:tcW w:w="990" w:type="dxa"/>
          </w:tcPr>
          <w:p w14:paraId="12DBBD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990" w:type="dxa"/>
          </w:tcPr>
          <w:p w14:paraId="12EF70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РПК-2</w:t>
            </w:r>
          </w:p>
        </w:tc>
        <w:tc>
          <w:tcPr>
            <w:tcW w:w="990" w:type="dxa"/>
          </w:tcPr>
          <w:p w14:paraId="06AAEA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990" w:type="dxa"/>
          </w:tcPr>
          <w:p w14:paraId="65EC94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6A5A4BDB" w14:textId="77777777" w:rsidTr="00EA0DA7">
        <w:tc>
          <w:tcPr>
            <w:tcW w:w="378" w:type="dxa"/>
          </w:tcPr>
          <w:p w14:paraId="733923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990" w:type="dxa"/>
          </w:tcPr>
          <w:p w14:paraId="72126B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w:t>
            </w:r>
          </w:p>
        </w:tc>
        <w:tc>
          <w:tcPr>
            <w:tcW w:w="990" w:type="dxa"/>
          </w:tcPr>
          <w:p w14:paraId="47BFE8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РСР</w:t>
            </w:r>
          </w:p>
        </w:tc>
        <w:tc>
          <w:tcPr>
            <w:tcW w:w="990" w:type="dxa"/>
          </w:tcPr>
          <w:p w14:paraId="283DD4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0" w:type="dxa"/>
          </w:tcPr>
          <w:p w14:paraId="671449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90" w:type="dxa"/>
          </w:tcPr>
          <w:p w14:paraId="105212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100-240</w:t>
            </w:r>
          </w:p>
        </w:tc>
        <w:tc>
          <w:tcPr>
            <w:tcW w:w="990" w:type="dxa"/>
          </w:tcPr>
          <w:p w14:paraId="37A41B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w:t>
            </w:r>
          </w:p>
        </w:tc>
        <w:tc>
          <w:tcPr>
            <w:tcW w:w="990" w:type="dxa"/>
          </w:tcPr>
          <w:p w14:paraId="2DC643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СПУ-3М</w:t>
            </w:r>
          </w:p>
        </w:tc>
        <w:tc>
          <w:tcPr>
            <w:tcW w:w="990" w:type="dxa"/>
          </w:tcPr>
          <w:p w14:paraId="2A0F60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w:t>
            </w:r>
          </w:p>
        </w:tc>
        <w:tc>
          <w:tcPr>
            <w:tcW w:w="990" w:type="dxa"/>
          </w:tcPr>
          <w:p w14:paraId="2B0404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542708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7890E9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CF331FC" w14:textId="77777777" w:rsidTr="00EA0DA7">
        <w:tc>
          <w:tcPr>
            <w:tcW w:w="378" w:type="dxa"/>
          </w:tcPr>
          <w:p w14:paraId="251CFC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990" w:type="dxa"/>
          </w:tcPr>
          <w:p w14:paraId="64167D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w:t>
            </w:r>
          </w:p>
        </w:tc>
        <w:tc>
          <w:tcPr>
            <w:tcW w:w="990" w:type="dxa"/>
          </w:tcPr>
          <w:p w14:paraId="4DCCD2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РСБ</w:t>
            </w:r>
          </w:p>
        </w:tc>
        <w:tc>
          <w:tcPr>
            <w:tcW w:w="990" w:type="dxa"/>
          </w:tcPr>
          <w:p w14:paraId="45ABF1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90" w:type="dxa"/>
          </w:tcPr>
          <w:p w14:paraId="704BFC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90" w:type="dxa"/>
          </w:tcPr>
          <w:p w14:paraId="2E0FA2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100-480</w:t>
            </w:r>
          </w:p>
        </w:tc>
        <w:tc>
          <w:tcPr>
            <w:tcW w:w="990" w:type="dxa"/>
          </w:tcPr>
          <w:p w14:paraId="28DDF2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990" w:type="dxa"/>
          </w:tcPr>
          <w:p w14:paraId="659B72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СПУ-3М</w:t>
            </w:r>
          </w:p>
        </w:tc>
        <w:tc>
          <w:tcPr>
            <w:tcW w:w="990" w:type="dxa"/>
          </w:tcPr>
          <w:p w14:paraId="178E19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w:t>
            </w:r>
          </w:p>
        </w:tc>
        <w:tc>
          <w:tcPr>
            <w:tcW w:w="990" w:type="dxa"/>
          </w:tcPr>
          <w:p w14:paraId="4162DC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РПК-2</w:t>
            </w:r>
          </w:p>
        </w:tc>
        <w:tc>
          <w:tcPr>
            <w:tcW w:w="990" w:type="dxa"/>
          </w:tcPr>
          <w:p w14:paraId="08C0C4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990" w:type="dxa"/>
          </w:tcPr>
          <w:p w14:paraId="664EED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69D2B4B6" w14:textId="77777777" w:rsidTr="00EA0DA7">
        <w:tc>
          <w:tcPr>
            <w:tcW w:w="378" w:type="dxa"/>
          </w:tcPr>
          <w:p w14:paraId="18D190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990" w:type="dxa"/>
          </w:tcPr>
          <w:p w14:paraId="3AA247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w:t>
            </w:r>
          </w:p>
        </w:tc>
        <w:tc>
          <w:tcPr>
            <w:tcW w:w="990" w:type="dxa"/>
          </w:tcPr>
          <w:p w14:paraId="7EA9B5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РСБ</w:t>
            </w:r>
          </w:p>
        </w:tc>
        <w:tc>
          <w:tcPr>
            <w:tcW w:w="990" w:type="dxa"/>
          </w:tcPr>
          <w:p w14:paraId="4FB61E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90" w:type="dxa"/>
          </w:tcPr>
          <w:p w14:paraId="18C635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90" w:type="dxa"/>
          </w:tcPr>
          <w:p w14:paraId="06FC0D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100-480</w:t>
            </w:r>
          </w:p>
        </w:tc>
        <w:tc>
          <w:tcPr>
            <w:tcW w:w="990" w:type="dxa"/>
          </w:tcPr>
          <w:p w14:paraId="0EAE54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990" w:type="dxa"/>
          </w:tcPr>
          <w:p w14:paraId="50E996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СПУ-3М</w:t>
            </w:r>
          </w:p>
        </w:tc>
        <w:tc>
          <w:tcPr>
            <w:tcW w:w="990" w:type="dxa"/>
          </w:tcPr>
          <w:p w14:paraId="2C42F3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w:t>
            </w:r>
          </w:p>
        </w:tc>
        <w:tc>
          <w:tcPr>
            <w:tcW w:w="990" w:type="dxa"/>
          </w:tcPr>
          <w:p w14:paraId="1F76DF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РПК-2</w:t>
            </w:r>
          </w:p>
        </w:tc>
        <w:tc>
          <w:tcPr>
            <w:tcW w:w="990" w:type="dxa"/>
          </w:tcPr>
          <w:p w14:paraId="2E789E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990" w:type="dxa"/>
          </w:tcPr>
          <w:p w14:paraId="646DF8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2BBD25D9" w14:textId="77777777" w:rsidTr="00EA0DA7">
        <w:tc>
          <w:tcPr>
            <w:tcW w:w="378" w:type="dxa"/>
          </w:tcPr>
          <w:p w14:paraId="536B92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8</w:t>
            </w:r>
          </w:p>
        </w:tc>
        <w:tc>
          <w:tcPr>
            <w:tcW w:w="990" w:type="dxa"/>
          </w:tcPr>
          <w:p w14:paraId="60E866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w:t>
            </w:r>
          </w:p>
        </w:tc>
        <w:tc>
          <w:tcPr>
            <w:tcW w:w="990" w:type="dxa"/>
          </w:tcPr>
          <w:p w14:paraId="4EA585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РСР-Бис</w:t>
            </w:r>
          </w:p>
        </w:tc>
        <w:tc>
          <w:tcPr>
            <w:tcW w:w="990" w:type="dxa"/>
          </w:tcPr>
          <w:p w14:paraId="3F06EF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0" w:type="dxa"/>
          </w:tcPr>
          <w:p w14:paraId="081858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90" w:type="dxa"/>
          </w:tcPr>
          <w:p w14:paraId="290487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110-240</w:t>
            </w:r>
          </w:p>
        </w:tc>
        <w:tc>
          <w:tcPr>
            <w:tcW w:w="990" w:type="dxa"/>
          </w:tcPr>
          <w:p w14:paraId="2DCAD9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990" w:type="dxa"/>
          </w:tcPr>
          <w:p w14:paraId="5A0AAD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резиновый шланг</w:t>
            </w:r>
          </w:p>
        </w:tc>
        <w:tc>
          <w:tcPr>
            <w:tcW w:w="990" w:type="dxa"/>
          </w:tcPr>
          <w:p w14:paraId="66A94F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086294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48F977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256B98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544667A" w14:textId="77777777" w:rsidTr="00EA0DA7">
        <w:tc>
          <w:tcPr>
            <w:tcW w:w="378" w:type="dxa"/>
            <w:tcBorders>
              <w:bottom w:val="single" w:sz="12" w:space="0" w:color="auto"/>
            </w:tcBorders>
          </w:tcPr>
          <w:p w14:paraId="1261B1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990" w:type="dxa"/>
            <w:tcBorders>
              <w:bottom w:val="single" w:sz="12" w:space="0" w:color="auto"/>
            </w:tcBorders>
          </w:tcPr>
          <w:p w14:paraId="48EAFE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ББ-1</w:t>
            </w:r>
          </w:p>
        </w:tc>
        <w:tc>
          <w:tcPr>
            <w:tcW w:w="990" w:type="dxa"/>
            <w:tcBorders>
              <w:bottom w:val="single" w:sz="12" w:space="0" w:color="auto"/>
            </w:tcBorders>
          </w:tcPr>
          <w:p w14:paraId="7A4122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РСБ</w:t>
            </w:r>
          </w:p>
        </w:tc>
        <w:tc>
          <w:tcPr>
            <w:tcW w:w="990" w:type="dxa"/>
            <w:tcBorders>
              <w:bottom w:val="single" w:sz="12" w:space="0" w:color="auto"/>
            </w:tcBorders>
          </w:tcPr>
          <w:p w14:paraId="2FDB58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90" w:type="dxa"/>
            <w:tcBorders>
              <w:bottom w:val="single" w:sz="12" w:space="0" w:color="auto"/>
            </w:tcBorders>
          </w:tcPr>
          <w:p w14:paraId="0CEC8A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90" w:type="dxa"/>
            <w:tcBorders>
              <w:bottom w:val="single" w:sz="12" w:space="0" w:color="auto"/>
            </w:tcBorders>
          </w:tcPr>
          <w:p w14:paraId="698AFC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100-480</w:t>
            </w:r>
          </w:p>
        </w:tc>
        <w:tc>
          <w:tcPr>
            <w:tcW w:w="990" w:type="dxa"/>
            <w:tcBorders>
              <w:bottom w:val="single" w:sz="12" w:space="0" w:color="auto"/>
            </w:tcBorders>
          </w:tcPr>
          <w:p w14:paraId="140BD2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990" w:type="dxa"/>
            <w:tcBorders>
              <w:bottom w:val="single" w:sz="12" w:space="0" w:color="auto"/>
            </w:tcBorders>
          </w:tcPr>
          <w:p w14:paraId="248E19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СПУ-2К</w:t>
            </w:r>
          </w:p>
        </w:tc>
        <w:tc>
          <w:tcPr>
            <w:tcW w:w="990" w:type="dxa"/>
            <w:tcBorders>
              <w:bottom w:val="single" w:sz="12" w:space="0" w:color="auto"/>
            </w:tcBorders>
          </w:tcPr>
          <w:p w14:paraId="7A6C70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c>
          <w:tcPr>
            <w:tcW w:w="990" w:type="dxa"/>
            <w:tcBorders>
              <w:bottom w:val="single" w:sz="12" w:space="0" w:color="auto"/>
            </w:tcBorders>
          </w:tcPr>
          <w:p w14:paraId="2D235D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РПК-2</w:t>
            </w:r>
          </w:p>
        </w:tc>
        <w:tc>
          <w:tcPr>
            <w:tcW w:w="990" w:type="dxa"/>
            <w:tcBorders>
              <w:bottom w:val="single" w:sz="12" w:space="0" w:color="auto"/>
            </w:tcBorders>
          </w:tcPr>
          <w:p w14:paraId="40C6AA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990" w:type="dxa"/>
            <w:tcBorders>
              <w:bottom w:val="single" w:sz="12" w:space="0" w:color="auto"/>
            </w:tcBorders>
          </w:tcPr>
          <w:p w14:paraId="20778C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bl>
    <w:p w14:paraId="4C1C20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СВЕДЕНИЯ по оборудованию самолетов ВВС КА в 1941 средствами связи и радионавигации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990"/>
        <w:gridCol w:w="990"/>
        <w:gridCol w:w="990"/>
        <w:gridCol w:w="990"/>
        <w:gridCol w:w="990"/>
        <w:gridCol w:w="990"/>
        <w:gridCol w:w="990"/>
        <w:gridCol w:w="990"/>
        <w:gridCol w:w="990"/>
        <w:gridCol w:w="990"/>
        <w:gridCol w:w="990"/>
      </w:tblGrid>
      <w:tr w:rsidR="00983732" w:rsidRPr="00A3026E" w14:paraId="73B71BE8" w14:textId="77777777" w:rsidTr="00EA0DA7">
        <w:tc>
          <w:tcPr>
            <w:tcW w:w="378" w:type="dxa"/>
            <w:tcBorders>
              <w:top w:val="single" w:sz="12" w:space="0" w:color="auto"/>
            </w:tcBorders>
          </w:tcPr>
          <w:p w14:paraId="6E0662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п/п</w:t>
            </w:r>
          </w:p>
        </w:tc>
        <w:tc>
          <w:tcPr>
            <w:tcW w:w="990" w:type="dxa"/>
            <w:tcBorders>
              <w:top w:val="single" w:sz="12" w:space="0" w:color="auto"/>
            </w:tcBorders>
          </w:tcPr>
          <w:p w14:paraId="05F8B3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самолета</w:t>
            </w:r>
          </w:p>
        </w:tc>
        <w:tc>
          <w:tcPr>
            <w:tcW w:w="4950" w:type="dxa"/>
            <w:gridSpan w:val="5"/>
            <w:tcBorders>
              <w:top w:val="single" w:sz="12" w:space="0" w:color="auto"/>
            </w:tcBorders>
          </w:tcPr>
          <w:p w14:paraId="310DD8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ТТ данные радиостанций</w:t>
            </w:r>
          </w:p>
        </w:tc>
        <w:tc>
          <w:tcPr>
            <w:tcW w:w="1980" w:type="dxa"/>
            <w:gridSpan w:val="2"/>
            <w:tcBorders>
              <w:top w:val="single" w:sz="12" w:space="0" w:color="auto"/>
            </w:tcBorders>
          </w:tcPr>
          <w:p w14:paraId="7B48FE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Переговорное устройство</w:t>
            </w:r>
          </w:p>
          <w:p w14:paraId="3A5B49D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70" w:type="dxa"/>
            <w:gridSpan w:val="3"/>
            <w:tcBorders>
              <w:top w:val="single" w:sz="12" w:space="0" w:color="auto"/>
            </w:tcBorders>
          </w:tcPr>
          <w:p w14:paraId="5B2D4B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ТТ данные средств радионавигации</w:t>
            </w:r>
          </w:p>
        </w:tc>
      </w:tr>
      <w:tr w:rsidR="00983732" w:rsidRPr="00A3026E" w14:paraId="61B5FA11" w14:textId="77777777" w:rsidTr="00EA0DA7">
        <w:tc>
          <w:tcPr>
            <w:tcW w:w="378" w:type="dxa"/>
          </w:tcPr>
          <w:p w14:paraId="52B6976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41DA471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6DE547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радиостанции</w:t>
            </w:r>
          </w:p>
        </w:tc>
        <w:tc>
          <w:tcPr>
            <w:tcW w:w="1980" w:type="dxa"/>
            <w:gridSpan w:val="2"/>
          </w:tcPr>
          <w:p w14:paraId="0FF1B1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с землей</w:t>
            </w:r>
          </w:p>
        </w:tc>
        <w:tc>
          <w:tcPr>
            <w:tcW w:w="990" w:type="dxa"/>
          </w:tcPr>
          <w:p w14:paraId="4631AA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Диапазон фиксированных волн</w:t>
            </w:r>
          </w:p>
        </w:tc>
        <w:tc>
          <w:tcPr>
            <w:tcW w:w="990" w:type="dxa"/>
          </w:tcPr>
          <w:p w14:paraId="7A62DD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кг</w:t>
            </w:r>
          </w:p>
        </w:tc>
        <w:tc>
          <w:tcPr>
            <w:tcW w:w="990" w:type="dxa"/>
          </w:tcPr>
          <w:p w14:paraId="3DCBE4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w:t>
            </w:r>
          </w:p>
        </w:tc>
        <w:tc>
          <w:tcPr>
            <w:tcW w:w="990" w:type="dxa"/>
          </w:tcPr>
          <w:p w14:paraId="51FDBB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кг</w:t>
            </w:r>
          </w:p>
        </w:tc>
        <w:tc>
          <w:tcPr>
            <w:tcW w:w="990" w:type="dxa"/>
          </w:tcPr>
          <w:p w14:paraId="0DFC37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w:t>
            </w:r>
          </w:p>
        </w:tc>
        <w:tc>
          <w:tcPr>
            <w:tcW w:w="990" w:type="dxa"/>
          </w:tcPr>
          <w:p w14:paraId="1FD913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кг</w:t>
            </w:r>
          </w:p>
        </w:tc>
        <w:tc>
          <w:tcPr>
            <w:tcW w:w="990" w:type="dxa"/>
          </w:tcPr>
          <w:p w14:paraId="65CF6D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действия</w:t>
            </w:r>
          </w:p>
        </w:tc>
      </w:tr>
      <w:tr w:rsidR="00983732" w:rsidRPr="00A3026E" w14:paraId="737650A8" w14:textId="77777777" w:rsidTr="00EA0DA7">
        <w:tc>
          <w:tcPr>
            <w:tcW w:w="378" w:type="dxa"/>
          </w:tcPr>
          <w:p w14:paraId="1D474F0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53AF3B6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0487787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5C24A1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Телефон</w:t>
            </w:r>
          </w:p>
        </w:tc>
        <w:tc>
          <w:tcPr>
            <w:tcW w:w="990" w:type="dxa"/>
          </w:tcPr>
          <w:p w14:paraId="0464EC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Телеграф</w:t>
            </w:r>
          </w:p>
        </w:tc>
        <w:tc>
          <w:tcPr>
            <w:tcW w:w="990" w:type="dxa"/>
          </w:tcPr>
          <w:p w14:paraId="2EC7FCF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4941300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64DD612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1BE3F2E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12E9449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19F8CD5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Pr>
          <w:p w14:paraId="78EB3C5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4BD472E" w14:textId="77777777" w:rsidTr="00EA0DA7">
        <w:tc>
          <w:tcPr>
            <w:tcW w:w="378" w:type="dxa"/>
          </w:tcPr>
          <w:p w14:paraId="1D013D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990" w:type="dxa"/>
          </w:tcPr>
          <w:p w14:paraId="53ADF7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И-301, И-200</w:t>
            </w:r>
          </w:p>
        </w:tc>
        <w:tc>
          <w:tcPr>
            <w:tcW w:w="990" w:type="dxa"/>
          </w:tcPr>
          <w:p w14:paraId="53FD1B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РСИ-4 (1/3 самолетов сприемо/передатчиком, 2/с с приемником</w:t>
            </w:r>
          </w:p>
        </w:tc>
        <w:tc>
          <w:tcPr>
            <w:tcW w:w="990" w:type="dxa"/>
          </w:tcPr>
          <w:p w14:paraId="302739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0" w:type="dxa"/>
          </w:tcPr>
          <w:p w14:paraId="6BCD7B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4514A4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волн на приемнике - 140-240</w:t>
            </w:r>
          </w:p>
        </w:tc>
        <w:tc>
          <w:tcPr>
            <w:tcW w:w="990" w:type="dxa"/>
          </w:tcPr>
          <w:p w14:paraId="43EB07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Приемник - 4,2</w:t>
            </w:r>
          </w:p>
          <w:p w14:paraId="2A84BE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Вся - 12,3</w:t>
            </w:r>
          </w:p>
        </w:tc>
        <w:tc>
          <w:tcPr>
            <w:tcW w:w="990" w:type="dxa"/>
          </w:tcPr>
          <w:p w14:paraId="41962C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393074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12FCC8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РПК-5а</w:t>
            </w:r>
          </w:p>
        </w:tc>
        <w:tc>
          <w:tcPr>
            <w:tcW w:w="990" w:type="dxa"/>
          </w:tcPr>
          <w:p w14:paraId="069E87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w:t>
            </w:r>
          </w:p>
        </w:tc>
        <w:tc>
          <w:tcPr>
            <w:tcW w:w="990" w:type="dxa"/>
          </w:tcPr>
          <w:p w14:paraId="0AC00C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r>
      <w:tr w:rsidR="00983732" w:rsidRPr="00A3026E" w14:paraId="4529D7FC" w14:textId="77777777" w:rsidTr="00EA0DA7">
        <w:tc>
          <w:tcPr>
            <w:tcW w:w="378" w:type="dxa"/>
          </w:tcPr>
          <w:p w14:paraId="6C606A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990" w:type="dxa"/>
          </w:tcPr>
          <w:p w14:paraId="49D26E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ББ-1, ББ-22, БШ</w:t>
            </w:r>
          </w:p>
        </w:tc>
        <w:tc>
          <w:tcPr>
            <w:tcW w:w="990" w:type="dxa"/>
          </w:tcPr>
          <w:p w14:paraId="28DAEB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РСР-1</w:t>
            </w:r>
          </w:p>
        </w:tc>
        <w:tc>
          <w:tcPr>
            <w:tcW w:w="990" w:type="dxa"/>
          </w:tcPr>
          <w:p w14:paraId="718F3D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990" w:type="dxa"/>
          </w:tcPr>
          <w:p w14:paraId="1F47D2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990" w:type="dxa"/>
          </w:tcPr>
          <w:p w14:paraId="2167B4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133-480</w:t>
            </w:r>
          </w:p>
        </w:tc>
        <w:tc>
          <w:tcPr>
            <w:tcW w:w="990" w:type="dxa"/>
          </w:tcPr>
          <w:p w14:paraId="227D54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w:t>
            </w:r>
          </w:p>
        </w:tc>
        <w:tc>
          <w:tcPr>
            <w:tcW w:w="990" w:type="dxa"/>
          </w:tcPr>
          <w:p w14:paraId="3D2934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СПУ-2бис</w:t>
            </w:r>
          </w:p>
        </w:tc>
        <w:tc>
          <w:tcPr>
            <w:tcW w:w="990" w:type="dxa"/>
          </w:tcPr>
          <w:p w14:paraId="70E20B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w:t>
            </w:r>
          </w:p>
        </w:tc>
        <w:tc>
          <w:tcPr>
            <w:tcW w:w="990" w:type="dxa"/>
          </w:tcPr>
          <w:p w14:paraId="2AE0F0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РПК-5а</w:t>
            </w:r>
          </w:p>
        </w:tc>
        <w:tc>
          <w:tcPr>
            <w:tcW w:w="990" w:type="dxa"/>
          </w:tcPr>
          <w:p w14:paraId="126694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w:t>
            </w:r>
          </w:p>
        </w:tc>
        <w:tc>
          <w:tcPr>
            <w:tcW w:w="990" w:type="dxa"/>
          </w:tcPr>
          <w:p w14:paraId="04622B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r>
      <w:tr w:rsidR="00983732" w:rsidRPr="00A3026E" w14:paraId="321FEA95" w14:textId="77777777" w:rsidTr="00EA0DA7">
        <w:tc>
          <w:tcPr>
            <w:tcW w:w="378" w:type="dxa"/>
          </w:tcPr>
          <w:p w14:paraId="714FA6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990" w:type="dxa"/>
          </w:tcPr>
          <w:p w14:paraId="17A13F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ПБ-100</w:t>
            </w:r>
          </w:p>
        </w:tc>
        <w:tc>
          <w:tcPr>
            <w:tcW w:w="990" w:type="dxa"/>
          </w:tcPr>
          <w:p w14:paraId="200712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РСР-Бис</w:t>
            </w:r>
          </w:p>
        </w:tc>
        <w:tc>
          <w:tcPr>
            <w:tcW w:w="990" w:type="dxa"/>
          </w:tcPr>
          <w:p w14:paraId="4A5C4B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90" w:type="dxa"/>
          </w:tcPr>
          <w:p w14:paraId="51D1F9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90" w:type="dxa"/>
          </w:tcPr>
          <w:p w14:paraId="7F4AA4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110-480</w:t>
            </w:r>
          </w:p>
        </w:tc>
        <w:tc>
          <w:tcPr>
            <w:tcW w:w="990" w:type="dxa"/>
          </w:tcPr>
          <w:p w14:paraId="6DA06B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w:t>
            </w:r>
          </w:p>
        </w:tc>
        <w:tc>
          <w:tcPr>
            <w:tcW w:w="990" w:type="dxa"/>
          </w:tcPr>
          <w:p w14:paraId="3E469F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СПУ-3бис</w:t>
            </w:r>
          </w:p>
        </w:tc>
        <w:tc>
          <w:tcPr>
            <w:tcW w:w="990" w:type="dxa"/>
          </w:tcPr>
          <w:p w14:paraId="365BF6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990" w:type="dxa"/>
          </w:tcPr>
          <w:p w14:paraId="01056B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РПК-2</w:t>
            </w:r>
          </w:p>
        </w:tc>
        <w:tc>
          <w:tcPr>
            <w:tcW w:w="990" w:type="dxa"/>
          </w:tcPr>
          <w:p w14:paraId="47EF55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990" w:type="dxa"/>
          </w:tcPr>
          <w:p w14:paraId="43BC83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46DC2665" w14:textId="77777777" w:rsidTr="00EA0DA7">
        <w:tc>
          <w:tcPr>
            <w:tcW w:w="378" w:type="dxa"/>
          </w:tcPr>
          <w:p w14:paraId="0D772B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990" w:type="dxa"/>
          </w:tcPr>
          <w:p w14:paraId="2FBA57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w:t>
            </w:r>
          </w:p>
        </w:tc>
        <w:tc>
          <w:tcPr>
            <w:tcW w:w="990" w:type="dxa"/>
          </w:tcPr>
          <w:p w14:paraId="1AB401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РСР-Бис</w:t>
            </w:r>
          </w:p>
        </w:tc>
        <w:tc>
          <w:tcPr>
            <w:tcW w:w="990" w:type="dxa"/>
          </w:tcPr>
          <w:p w14:paraId="06B63E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90" w:type="dxa"/>
          </w:tcPr>
          <w:p w14:paraId="1877B9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90" w:type="dxa"/>
          </w:tcPr>
          <w:p w14:paraId="44203D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110-480</w:t>
            </w:r>
          </w:p>
        </w:tc>
        <w:tc>
          <w:tcPr>
            <w:tcW w:w="990" w:type="dxa"/>
          </w:tcPr>
          <w:p w14:paraId="23EEAD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w:t>
            </w:r>
          </w:p>
        </w:tc>
        <w:tc>
          <w:tcPr>
            <w:tcW w:w="990" w:type="dxa"/>
          </w:tcPr>
          <w:p w14:paraId="167A0F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СПУ-4бис</w:t>
            </w:r>
          </w:p>
        </w:tc>
        <w:tc>
          <w:tcPr>
            <w:tcW w:w="990" w:type="dxa"/>
          </w:tcPr>
          <w:p w14:paraId="63BDF0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w:t>
            </w:r>
          </w:p>
        </w:tc>
        <w:tc>
          <w:tcPr>
            <w:tcW w:w="990" w:type="dxa"/>
          </w:tcPr>
          <w:p w14:paraId="08C949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РПК-2</w:t>
            </w:r>
          </w:p>
        </w:tc>
        <w:tc>
          <w:tcPr>
            <w:tcW w:w="990" w:type="dxa"/>
          </w:tcPr>
          <w:p w14:paraId="2D116D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990" w:type="dxa"/>
          </w:tcPr>
          <w:p w14:paraId="109533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19815D32" w14:textId="77777777" w:rsidTr="00EA0DA7">
        <w:tc>
          <w:tcPr>
            <w:tcW w:w="378" w:type="dxa"/>
          </w:tcPr>
          <w:p w14:paraId="06B9CC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990" w:type="dxa"/>
          </w:tcPr>
          <w:p w14:paraId="20D7F2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ТБ-7</w:t>
            </w:r>
          </w:p>
        </w:tc>
        <w:tc>
          <w:tcPr>
            <w:tcW w:w="990" w:type="dxa"/>
          </w:tcPr>
          <w:p w14:paraId="1779A9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РСР-Бис</w:t>
            </w:r>
          </w:p>
        </w:tc>
        <w:tc>
          <w:tcPr>
            <w:tcW w:w="990" w:type="dxa"/>
          </w:tcPr>
          <w:p w14:paraId="316304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90" w:type="dxa"/>
          </w:tcPr>
          <w:p w14:paraId="3EB10A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90" w:type="dxa"/>
          </w:tcPr>
          <w:p w14:paraId="28EBD1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110-480</w:t>
            </w:r>
          </w:p>
        </w:tc>
        <w:tc>
          <w:tcPr>
            <w:tcW w:w="990" w:type="dxa"/>
          </w:tcPr>
          <w:p w14:paraId="79E212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w:t>
            </w:r>
          </w:p>
        </w:tc>
        <w:tc>
          <w:tcPr>
            <w:tcW w:w="990" w:type="dxa"/>
          </w:tcPr>
          <w:p w14:paraId="70F6F1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2хСПУ-4 бис</w:t>
            </w:r>
          </w:p>
        </w:tc>
        <w:tc>
          <w:tcPr>
            <w:tcW w:w="990" w:type="dxa"/>
          </w:tcPr>
          <w:p w14:paraId="4CACBD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c>
          <w:tcPr>
            <w:tcW w:w="990" w:type="dxa"/>
          </w:tcPr>
          <w:p w14:paraId="19F99F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18560B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380456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396C673" w14:textId="77777777" w:rsidTr="00EA0DA7">
        <w:tc>
          <w:tcPr>
            <w:tcW w:w="378" w:type="dxa"/>
            <w:tcBorders>
              <w:bottom w:val="single" w:sz="12" w:space="0" w:color="auto"/>
            </w:tcBorders>
          </w:tcPr>
          <w:p w14:paraId="12E0FF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990" w:type="dxa"/>
            <w:tcBorders>
              <w:bottom w:val="single" w:sz="12" w:space="0" w:color="auto"/>
            </w:tcBorders>
          </w:tcPr>
          <w:p w14:paraId="5CAE6F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ДС-3</w:t>
            </w:r>
          </w:p>
        </w:tc>
        <w:tc>
          <w:tcPr>
            <w:tcW w:w="990" w:type="dxa"/>
            <w:tcBorders>
              <w:bottom w:val="single" w:sz="12" w:space="0" w:color="auto"/>
            </w:tcBorders>
          </w:tcPr>
          <w:p w14:paraId="2AEE10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РСР-Бис</w:t>
            </w:r>
          </w:p>
        </w:tc>
        <w:tc>
          <w:tcPr>
            <w:tcW w:w="990" w:type="dxa"/>
            <w:tcBorders>
              <w:bottom w:val="single" w:sz="12" w:space="0" w:color="auto"/>
            </w:tcBorders>
          </w:tcPr>
          <w:p w14:paraId="0A09AD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90" w:type="dxa"/>
            <w:tcBorders>
              <w:bottom w:val="single" w:sz="12" w:space="0" w:color="auto"/>
            </w:tcBorders>
          </w:tcPr>
          <w:p w14:paraId="304D13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90" w:type="dxa"/>
            <w:tcBorders>
              <w:bottom w:val="single" w:sz="12" w:space="0" w:color="auto"/>
            </w:tcBorders>
          </w:tcPr>
          <w:p w14:paraId="17F0A3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110-480</w:t>
            </w:r>
          </w:p>
        </w:tc>
        <w:tc>
          <w:tcPr>
            <w:tcW w:w="990" w:type="dxa"/>
            <w:tcBorders>
              <w:bottom w:val="single" w:sz="12" w:space="0" w:color="auto"/>
            </w:tcBorders>
          </w:tcPr>
          <w:p w14:paraId="05AB4B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w:t>
            </w:r>
          </w:p>
        </w:tc>
        <w:tc>
          <w:tcPr>
            <w:tcW w:w="990" w:type="dxa"/>
            <w:tcBorders>
              <w:bottom w:val="single" w:sz="12" w:space="0" w:color="auto"/>
            </w:tcBorders>
          </w:tcPr>
          <w:p w14:paraId="17893A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Borders>
              <w:bottom w:val="single" w:sz="12" w:space="0" w:color="auto"/>
            </w:tcBorders>
          </w:tcPr>
          <w:p w14:paraId="06866D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Borders>
              <w:bottom w:val="single" w:sz="12" w:space="0" w:color="auto"/>
            </w:tcBorders>
          </w:tcPr>
          <w:p w14:paraId="6E119C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Borders>
              <w:bottom w:val="single" w:sz="12" w:space="0" w:color="auto"/>
            </w:tcBorders>
          </w:tcPr>
          <w:p w14:paraId="34A352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Borders>
              <w:bottom w:val="single" w:sz="12" w:space="0" w:color="auto"/>
            </w:tcBorders>
          </w:tcPr>
          <w:p w14:paraId="78A02A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3A480AC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8D389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 по приказу № 567с Завод сельскохозяйственного машиностроения в Москве был переименован в опытный завод № 294 НКАП (Завод № 294 НКАП, МАП, Завод сельскохозяйственного машиностроения, Завод Пластмасс, Приборный завод, Завод технических изделий, п/я 423, Казанский завод «Радиоприбор», ГУП, ОАО «Радиоприбор» /ст. Подмосковная г. Москва;  г. Казань/ /Татарстан 420022 (420021,420029)  г. Казань ул. Фаткуллина, 2 тел. 64-55-61/). Производство деталей самолетов У-2 и Пе-2 из пластмасс.</w:t>
      </w:r>
    </w:p>
    <w:p w14:paraId="6654BF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117с от 8.02.1941 г. на заводе № 294 организовано ОКБ по проектированию самолетных деталей и агрегатов.</w:t>
      </w:r>
    </w:p>
    <w:p w14:paraId="5C40D1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началом войны завод планировалось эвакуировать в Молотов. Затем по приказу № 1072сс от 15.10.1941 г. опытный завод № 294 7ГУ НКАП эвакуирован в Казань на территорию пивоваренного завода НКПП. По приказу № 488с от 4.07.1942 г. завод передан из 7ГУ в ЮГУ и подчинен вновь образованному заводу № 22 НКАП вместе с ОКБ Д.А. Михайлова в качестве филиала для серийного изготовления самолетных деталей из пластмасс.</w:t>
      </w:r>
    </w:p>
    <w:p w14:paraId="3DA777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13с от 6.01.1942 г. на площадку бывшего завода № 294</w:t>
      </w:r>
      <w:r w:rsidRPr="00A3026E">
        <w:rPr>
          <w:rFonts w:ascii="Times New Roman" w:hAnsi="Times New Roman"/>
          <w:iCs/>
          <w:color w:val="000000" w:themeColor="text1"/>
          <w:sz w:val="16"/>
          <w:szCs w:val="16"/>
        </w:rPr>
        <w:t xml:space="preserve"> в</w:t>
      </w:r>
      <w:r w:rsidRPr="00A3026E">
        <w:rPr>
          <w:rFonts w:ascii="Times New Roman" w:hAnsi="Times New Roman"/>
          <w:color w:val="000000" w:themeColor="text1"/>
          <w:sz w:val="16"/>
          <w:szCs w:val="16"/>
        </w:rPr>
        <w:t xml:space="preserve"> Москве переведен завод № 480 НКАП.</w:t>
      </w:r>
    </w:p>
    <w:p w14:paraId="5CB2D7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755с от 16.12.1943 г. завод вновь выделен из состава завода № 22 в самостоятельный с 1.01.1944 г. Введен в эксплуатацию с 1944 г. в ЮГУ. Тем же приказом при заводе образовано КБ по проектированию прессформ и деталей из пластмасс.</w:t>
      </w:r>
    </w:p>
    <w:p w14:paraId="53F621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24с от 29.01.1946 г. завод с 1.01.1946 г. передан из ЮГУ в 17ГУ с целью организации производства высокочастотных пластмассовых изделий для радиопромышленности (прежде всего для Б-4).</w:t>
      </w:r>
    </w:p>
    <w:p w14:paraId="2477EB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1942 г. назывался Завод Пластмасс, с 1949 г.- Приборный завод.</w:t>
      </w:r>
    </w:p>
    <w:p w14:paraId="278CCA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174с от 9.03.1950 г. на базе завода № 7 (треста № 41) с 1.03.1950 г. образован филиал завода № 294. Далее в соответствии с пост. СМ № 3145-1304сс от 14.07.1950 г. и приказом № 578с от 26.07.1950 г. на базе филиала образован самостоятельный завод № 371 МАП с 1.07.1950 г.</w:t>
      </w:r>
    </w:p>
    <w:p w14:paraId="5F3956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СМ СССР № 713-342 от 26.06.1957 г. передан в ведение Татарского СНХ (по 1965 г.). С 1962 г. имел название Завод технических изделий, «предприятие- п/я 423»; с 1967 г.- Казанский завод «Радиоприбор». В 1977 г. на базе завода создано Татарское ПО «Радиоприбор». В 2000 г. ГУП «Радиоприбор» акционировано и преобразовано в ОАО. В 11.2002(0) г. вошло в Корпорацию «Аэрокосмическое оборудование». По решению правительства № 22-р от 9.01.2004 г. вошло в перечень стратегических предприятий.</w:t>
      </w:r>
    </w:p>
    <w:p w14:paraId="35BCCE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ПСМ № 408-193 от 16.04.1958 г. начата организация производства системы «Свод». 18.06.1960 г. вышло ПСМ № 639-260 «Об изготовлении и внедрении на самолеты и вертолеты аппаратуры радиотехнической системы ближней навигации РСБН-2 «Свод».</w:t>
      </w:r>
    </w:p>
    <w:p w14:paraId="273D97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1967 г. образован филиал- Альметьевский завод «Радиоприбор».</w:t>
      </w:r>
    </w:p>
    <w:p w14:paraId="00E7AB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Имел дочерние предприятия (2002 г.)- КГП «Аэросервис», ГУЛ «Радиоприбор-СМ».</w:t>
      </w:r>
    </w:p>
    <w:p w14:paraId="52B505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1983 г. освоено производство БЦВМ.</w:t>
      </w:r>
    </w:p>
    <w:p w14:paraId="05B0FD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Разработка и производство (2003-05 г.): системы госопознавания, бортовые системы радионавигации и посадки </w:t>
      </w:r>
      <w:r w:rsidRPr="00A3026E">
        <w:rPr>
          <w:rFonts w:ascii="Times New Roman" w:hAnsi="Times New Roman"/>
          <w:color w:val="000000" w:themeColor="text1"/>
          <w:sz w:val="16"/>
          <w:szCs w:val="16"/>
          <w:lang w:val="en-US"/>
        </w:rPr>
        <w:t>JIA</w:t>
      </w:r>
      <w:r w:rsidRPr="00A3026E">
        <w:rPr>
          <w:rFonts w:ascii="Times New Roman" w:hAnsi="Times New Roman"/>
          <w:color w:val="000000" w:themeColor="text1"/>
          <w:sz w:val="16"/>
          <w:szCs w:val="16"/>
        </w:rPr>
        <w:t>, бортовые ЦВМ; стендовое оборудование для регламетных работ.</w:t>
      </w:r>
    </w:p>
    <w:p w14:paraId="71F67F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(2002 г.)- 2000 чел.</w:t>
      </w:r>
    </w:p>
    <w:p w14:paraId="1891F9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(начало 1941 г.)- Ф.С. Малахов, (10.1941 г.)- Младенцев. Гендиректор (-2003-05 г.-)- Р.У. Апаков.</w:t>
      </w:r>
    </w:p>
    <w:p w14:paraId="3328D9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по материально-финансовым вопросам (-1953 г.)- К.А. Машевский.</w:t>
      </w:r>
    </w:p>
    <w:p w14:paraId="4130E8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производства по филиалам- В.А. Иванцов.</w:t>
      </w:r>
    </w:p>
    <w:p w14:paraId="0C5909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СЛМП- В.А. Иванцов.</w:t>
      </w:r>
    </w:p>
    <w:p w14:paraId="4EC9C4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цехов: К.А. Машевский, (1950-е)- Н.С. Смоляр.</w:t>
      </w:r>
    </w:p>
    <w:p w14:paraId="2D8347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отделов: испытаний- В.А. Иванцов.</w:t>
      </w:r>
    </w:p>
    <w:p w14:paraId="206B0D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система госопознавания «Барий-М» (1948-), запросчик-ответчик «Хром-Никель»; бортовая аппаратура: системы опознавания «Кремний-2»; РСБН, КПА для нее (1958-); станция «Протон» (1950-е); комплексная подвижная РТ система ближней навигации РСБН-2 «Свод» (I960-), радиотехническое оборудование «Узел» (1960-е); СРЗО-2М; навигационная аппаратура РБСН</w:t>
      </w:r>
      <w:r w:rsidRPr="00A3026E">
        <w:rPr>
          <w:rFonts w:ascii="Times New Roman" w:hAnsi="Times New Roman"/>
          <w:iCs/>
          <w:color w:val="000000" w:themeColor="text1"/>
          <w:sz w:val="16"/>
          <w:szCs w:val="16"/>
        </w:rPr>
        <w:t xml:space="preserve"> (2002);</w:t>
      </w:r>
      <w:r w:rsidRPr="00A3026E">
        <w:rPr>
          <w:rFonts w:ascii="Times New Roman" w:hAnsi="Times New Roman"/>
          <w:color w:val="000000" w:themeColor="text1"/>
          <w:sz w:val="16"/>
          <w:szCs w:val="16"/>
        </w:rPr>
        <w:t xml:space="preserve"> микропроцессорные контроллеры «Ломиконт», МП КСУ, «Ремиконт» (2002); исполнительные электромеханизмы МЭО, МЭП (2002);</w:t>
      </w:r>
      <w:r w:rsidRPr="00A3026E">
        <w:rPr>
          <w:rFonts w:ascii="Times New Roman" w:hAnsi="Times New Roman"/>
          <w:color w:val="000000" w:themeColor="text1"/>
          <w:sz w:val="16"/>
          <w:szCs w:val="16"/>
          <w:vertAlign w:val="superscript"/>
        </w:rPr>
        <w:t>69</w:t>
      </w:r>
      <w:r w:rsidRPr="00A3026E">
        <w:rPr>
          <w:rFonts w:ascii="Times New Roman" w:hAnsi="Times New Roman"/>
          <w:color w:val="000000" w:themeColor="text1"/>
          <w:sz w:val="16"/>
          <w:szCs w:val="16"/>
        </w:rPr>
        <w:t xml:space="preserve"> телевизор «Звезда»; антенны: ПСКД-5-1 «Казань», АТНА-7.1 (11982).</w:t>
      </w:r>
    </w:p>
    <w:p w14:paraId="45E3E0D7" w14:textId="77777777" w:rsidR="00F067CF" w:rsidRPr="00A3026E" w:rsidRDefault="00F067CF" w:rsidP="00A3026E">
      <w:pPr>
        <w:spacing w:after="0" w:line="240" w:lineRule="auto"/>
        <w:jc w:val="both"/>
        <w:rPr>
          <w:rFonts w:ascii="Times New Roman" w:hAnsi="Times New Roman"/>
          <w:color w:val="000000" w:themeColor="text1"/>
          <w:sz w:val="16"/>
          <w:szCs w:val="16"/>
        </w:rPr>
      </w:pPr>
    </w:p>
    <w:p w14:paraId="52356B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 на базе Завода им. Сталина НКМП РСФСР, переведенного по приказу № 583с/963с от 23.10.1940 г. в ведение ЗГУ НКАП, был создан ГС Завод № 467 НКАП, МАП, п/я 1, Машиностроительный завод им. С.И. Кадышева, Павловский механический завод им. С.И. Кадышева, Павловский машиностроительный завод (ПМЗ) «Восход», АООТ, ОАО «ПМЗ «Восход» /606100  г. Павлово Нижегородской обл., ул. Коммунистическая, 78 тел. 51-745/ /Московское представительство: Волоколамское ш., 73 тел. 490-63-89/. По приказу № 720сс от 12.12.1940 г. завод включен в число действующих и получил наименование ГС завод № 467 НКАП. С начала 1941 г. приступили к организации производства в/винтов. В годы войны выпускались винты ВИШ-105.</w:t>
      </w:r>
    </w:p>
    <w:p w14:paraId="66784D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755с от 27.07.1941 г. на завод эвакуировано ОКБ-2 гл. конструкторов С.Ш. Бас-Дубова и  Г.М. Заславского при заводе № 28 НКАП. По приказу № 273сс от 12.04.1942 г. часть конструкторского состава завода № 467 НКАП во главе с гл. конструкторами С.Ш. Бас-Дубовым и  Г.М. Заславским переведена на завод № 27, туда передана вся документация по ВИШ-105П (оставшаяся часть коллектива продолжала работать по винтам и в 01.1944 г.).</w:t>
      </w:r>
    </w:p>
    <w:p w14:paraId="30312C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762с от 29.07.1941 г. на завод № 467 НКАП эвакуировано небольшое (7 чел., ведущий конструктор Л.С. Аринукин, инженеры И.И. Румянцев, Н. Г. Петров и др.) ОКБ-3 гл. конструктора Н. Г. Никифорова при заводе № 28 НКАП, Н. Г. Никифоров назначен гл. конструктором ОКБ завода № 467. Работы по доводке автоматических винтов с регулятором постоянных оборотов, подготовка производства. В условиях войны для ОКБ фактически не было места для работы, т.к. завод был загружен производством. Приказом НКАП № 43с от 15.01.1942 г. ОКБ переведено со всем имуществом и документацией с завода № 467 на завод № 27 НКАП.</w:t>
      </w:r>
    </w:p>
    <w:p w14:paraId="698E24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218с от 19.03.1942 г. завод передан в 14ГУ НКАП. С 19.06.1946 г. получил наименование «предприятие п/я I».</w:t>
      </w:r>
      <w:r w:rsidRPr="00A3026E">
        <w:rPr>
          <w:rFonts w:ascii="Times New Roman" w:hAnsi="Times New Roman"/>
          <w:color w:val="000000" w:themeColor="text1"/>
          <w:sz w:val="16"/>
          <w:szCs w:val="16"/>
          <w:vertAlign w:val="superscript"/>
        </w:rPr>
        <w:t>69</w:t>
      </w:r>
      <w:r w:rsidRPr="00A3026E">
        <w:rPr>
          <w:rFonts w:ascii="Times New Roman" w:hAnsi="Times New Roman"/>
          <w:color w:val="000000" w:themeColor="text1"/>
          <w:sz w:val="16"/>
          <w:szCs w:val="16"/>
        </w:rPr>
        <w:t xml:space="preserve"> С 15.03.1953 г. завод передан из 14ГУ в 2ГУ. В соответствии с пост. СМ СССР № 713-342 от 26.06.1957 г. передан в ведение СНХ РСФСР.</w:t>
      </w:r>
    </w:p>
    <w:p w14:paraId="0D2A8E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1967 г. получил название Машиностроительный завод им. С.И. Кадышева, затем- ПМЗ «Восход». По решению правительства № 22-р от 9.01.2004 г. ОАО вошло в перечень стратегических предприятий.</w:t>
      </w:r>
    </w:p>
    <w:p w14:paraId="34A4FE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1990-е  г. ПМЗ «Восход» являлся крупнейшим производителем электрогидравлических и гидромеханических приводов и усилителей. Создан привод антенны РЛС для Су-27. Гидроагрегаты для гражданской промышленности (сервоклапаны, электропневматические клапаны, гидрораспределители, гидро- и пневмоцилиндры, шаровые краны, планетарные гидроприводы, электрогидравлический привод для СПК «Олимпия»).</w:t>
      </w:r>
    </w:p>
    <w:p w14:paraId="38C8FC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Производственные площади (2002 г.)- 120 тыс.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p w14:paraId="11867D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(1.01.2002 г.)- 1600 чел.</w:t>
      </w:r>
    </w:p>
    <w:p w14:paraId="6F88E7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(12.1940-41 г.)- А.И. Бухтин, (1941-45 г.)- А.Ф. Авербах, (1945-56 г.-)- С.И. Кадышев, (1990-е)- Б.Б. Василегин. Гендиректор (-1999-2005 г.-)- П. Г. Редько.</w:t>
      </w:r>
    </w:p>
    <w:p w14:paraId="7238F5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зам. гендиректора (-1999-2002 г.-)- С.В. Таркаев.</w:t>
      </w:r>
    </w:p>
    <w:p w14:paraId="0E2893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(-1999-2005 г.-)- П. Г. Редько {22.12.1954-}.</w:t>
      </w:r>
    </w:p>
    <w:p w14:paraId="45B606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зам. гл. конструктора (-1999-2002 г.-)- А.В. Амбарников. Зам. гл. конструктора (1999 г.)- А.А. Борцов; по эксплуатации (1999 г.)- Ю.А. Лёзин.</w:t>
      </w:r>
    </w:p>
    <w:p w14:paraId="73270E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Коммерческий директор (2002 г.)- С.В. Таркаев.</w:t>
      </w:r>
      <w:r w:rsidRPr="00A3026E">
        <w:rPr>
          <w:rFonts w:ascii="Times New Roman" w:hAnsi="Times New Roman"/>
          <w:color w:val="000000" w:themeColor="text1"/>
          <w:sz w:val="16"/>
          <w:szCs w:val="16"/>
          <w:vertAlign w:val="superscript"/>
        </w:rPr>
        <w:t>69</w:t>
      </w:r>
    </w:p>
    <w:p w14:paraId="3C5571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гидроагрегаты: РПД1Б, ПМ15БА, БГЦ20Б, МР60Б, РМ-190, РМ-130Б, МР-70, МР-80, ГЦ-30, ГЦ-45 для Су-27; РПД1Б-500, РПД-8, СПМ-6Б, ЭГР-1, ГП-10, ГЦ70, ГЦ50 для С-37; РПД-15, СПМ-20 для Як-130; БУ-210Б, БУ-45А для МиГ-21; БУ-170, БУ-190, МРК-20 для МиГ-25; АРМ-150К, РП-260А, РП-270, РП-280 для МиГ-29; РПД-14 для МиГ-АТ; РП-410Т, РП-420П для Ан-22; ГП-400, РМ-500А для Ан-70; РМ-220М, РП-230, БУ-45Б, ГП-72 для Ан-72; РМ-400, РП-320, ГП-400, ГП-76 для Ан-124 и Ан-225; АРМ-62Т, РДМ-ЗТ, БУ-160 ддя Ил-62; АРМ-62Р, МР-ЗОТ для Ил-76; ГЦ-20Н для Ил-96; РС-80АМ для Ка-50; КАУ-170, КАУ-175 для Ка-62; КАУ-165 для Ка-126; КАУ-115АМ для Ми-8, Ми-17; КАУ-140, БГ-16, БГ-17 для Ми-26; БГ-18, КАУ-150, КАУ- 155 для Ми-28; РП-10, РП-15 для Ми-38; а также для Су-35, МиГ-31, Ил-86, Ми-6, Ми-10, Ми-24, Ми-171, ВКС «Буран», РН «Протон».</w:t>
      </w:r>
    </w:p>
    <w:p w14:paraId="34E216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ОКБ-467 НКАП, МАП, ОКБ завода № 467 МАП, ОАО «Гидроагрегат» /606100  г. Павлово-3 Нижегородской обл. ул. Коммунистическая, 78 тел. 69-201, 51-484/</w:t>
      </w:r>
    </w:p>
    <w:p w14:paraId="607D24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решением СМ СССР № 7478 от 11.06.1946 г. и приказом № 383с от 18.06.1946 г. на завод № 467 переведено из Свердловска ОКБ завода № 28 МАП гл. конструктора Н.Н. Петрова со всем личным составом (44 чел. ИТР и рабочих) и оборудованием для продолжения работ по винтам В-3 для Ту-4. На базе него и уже действовавшего при заводе ОКБ по приказу № 450с от 12.07.1946 г. создано новое ОКБ-467 МАП.</w:t>
      </w:r>
    </w:p>
    <w:p w14:paraId="3BF37D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1949 г. создано и изготовлено 10 модификаций в/винтов.</w:t>
      </w:r>
    </w:p>
    <w:p w14:paraId="0728FE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1957 г. ОКБ передано из МАП в Павловский СНХ. В период с ~ 1960 г. по 1967 г. ОКБ действовало отдельно от завода как самостоятельное ОКБ-1. В 1993  г. преобразовано в ОАО. По решению правительства № 22-р от 9.01.2004 г. и Указу Президента РФ № 1009 от 4.08.2004 г. вошло в число стратегических оборонных предприятий.</w:t>
      </w:r>
    </w:p>
    <w:p w14:paraId="4AA57A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Созданы рулевые приводы, гидроблоки, системы дистанционного управления для ОК «Буран».</w:t>
      </w:r>
    </w:p>
    <w:p w14:paraId="4953B0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Работы (2004 г.): гидравлические агрегаты для систем управления </w:t>
      </w:r>
      <w:r w:rsidRPr="00A3026E">
        <w:rPr>
          <w:rFonts w:ascii="Times New Roman" w:hAnsi="Times New Roman"/>
          <w:color w:val="000000" w:themeColor="text1"/>
          <w:sz w:val="16"/>
          <w:szCs w:val="16"/>
          <w:lang w:val="en-US"/>
        </w:rPr>
        <w:t>JIA</w:t>
      </w:r>
      <w:r w:rsidRPr="00A3026E">
        <w:rPr>
          <w:rFonts w:ascii="Times New Roman" w:hAnsi="Times New Roman"/>
          <w:color w:val="000000" w:themeColor="text1"/>
          <w:sz w:val="16"/>
          <w:szCs w:val="16"/>
        </w:rPr>
        <w:t>: рулевые приводы, распределительные устройства, гидравлические блоки, системы дистанционного управления; воздушные винта; аварийно- спасательный инструмент АСИ-2; шестеренные насосы; гидравлические устройства для с/х машин и дорожно- строительной техники; сильфонные вентили и электромагнитные клапаны для химической промышленности и криогенной техники; детандерно-компрессорные турбогенераторы для газо- и нефтепереребатывающей промышленности; турбомолекулярные вакуумные насосы; очистные сооружения.</w:t>
      </w:r>
    </w:p>
    <w:p w14:paraId="2AA8F3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(1.01.2001 г.)- 3475 чел.</w:t>
      </w:r>
    </w:p>
    <w:p w14:paraId="2E9647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(1946-51 г.-)- Н.Н. Петров, (1956 г.-)- Ф.Ф. Куприянов, (1982-88 г.)-Ю.А. Парменов, (1988-94 г.)- Б.Б. Василегин, (1994-96 г.)- Б.Х. Коган, (1996-2005 г.-)- П. Г. Редько.</w:t>
      </w:r>
    </w:p>
    <w:p w14:paraId="564B13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гл. конструктора- Н.Д. Денискин.</w:t>
      </w:r>
    </w:p>
    <w:p w14:paraId="194A0A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Ответственный руководитель (1946-51 г.-)- Н.Н. Петров, (1956 г.-)- Ф.Ф. Куприянов, (1982-88 г.)-Ю.А. Парменов, (1988-94 г.)- Б.Б. Василегин. Гендиректор (1990-е)- Б.Х. Коган, (2002 г.)- Е.И. Белов, (2003 г.; 01.2005 г.)- П. Г. Редько, (2004 г.)-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Никитин.</w:t>
      </w:r>
    </w:p>
    <w:p w14:paraId="486F8E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(2002 г.)- В.А. Чичевичкин.</w:t>
      </w:r>
      <w:r w:rsidRPr="00A3026E">
        <w:rPr>
          <w:rFonts w:ascii="Times New Roman" w:hAnsi="Times New Roman"/>
          <w:color w:val="000000" w:themeColor="text1"/>
          <w:sz w:val="16"/>
          <w:szCs w:val="16"/>
          <w:vertAlign w:val="superscript"/>
        </w:rPr>
        <w:t>69</w:t>
      </w:r>
    </w:p>
    <w:p w14:paraId="7AC71E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финансового директора (01.2005 г.)- В.К. Колбасов.</w:t>
      </w:r>
    </w:p>
    <w:p w14:paraId="43DC8E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бригады: гидроусилителей (1949 г.)- Ф.Ф. Куприянов.</w:t>
      </w:r>
    </w:p>
    <w:p w14:paraId="7F5067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Создано:</w:t>
      </w:r>
      <w:r w:rsidRPr="00A3026E">
        <w:rPr>
          <w:rFonts w:ascii="Times New Roman" w:hAnsi="Times New Roman"/>
          <w:color w:val="000000" w:themeColor="text1"/>
          <w:sz w:val="16"/>
          <w:szCs w:val="16"/>
        </w:rPr>
        <w:t xml:space="preserve"> гидроусилители БУ-1 для МиГ-15, БУ-4 для МиГ-17 (1948-49); электрогидравлические машины РА- 5, РА-16 для Ан-10 (1953-56); автономные рулевые приводы АРМ-62, АРМ-60Б, АНС-10Б, АРС-10, АРС-ЗОБ, АРС-40 (1958-65); приводы для САУ: КАУ-140, РС-60, РС-80А для Ми-26, Ка-32; РП-260, РП-280, АРМ-150КМ, РПД-1Б, ПМ-15Б для МиГ-29 и Су-27; РМ-220, РП-230, ГП-72У, РМ-400, ГП-400 для Ан-72 и Ан-124; АРМ-62Т, ГЦ-10Н, ГЦ-20Н, ГЦ-30ТН для Ил-76 и Ил-86ПК-47, К-005, Г-003, ПК-61 для КР и УРВВ; РМ-50Б, АРМ-60Б, АНС-10Б, 11Л223 для РН «Протон»; ПМ-16, ПМ-17, ПМ-18, ПМ-19 для ОК «Буран»; ЭГР-1АМ, ГП-10 для Су-33 и Су-35; привод поворотного сопла ЭГР-4ВТ1, привод антенны ЭГСП-6 для Су-30МКИ; </w:t>
      </w:r>
      <w:r w:rsidRPr="00A3026E">
        <w:rPr>
          <w:rFonts w:ascii="Times New Roman" w:hAnsi="Times New Roman"/>
          <w:color w:val="000000" w:themeColor="text1"/>
          <w:sz w:val="16"/>
          <w:szCs w:val="16"/>
          <w:lang w:val="en-US"/>
        </w:rPr>
        <w:t>PC</w:t>
      </w:r>
      <w:r w:rsidRPr="00A3026E">
        <w:rPr>
          <w:rFonts w:ascii="Times New Roman" w:hAnsi="Times New Roman"/>
          <w:color w:val="000000" w:themeColor="text1"/>
          <w:sz w:val="16"/>
          <w:szCs w:val="16"/>
        </w:rPr>
        <w:t>-60</w:t>
      </w:r>
      <w:r w:rsidRPr="00A3026E">
        <w:rPr>
          <w:rFonts w:ascii="Times New Roman" w:hAnsi="Times New Roman"/>
          <w:color w:val="000000" w:themeColor="text1"/>
          <w:sz w:val="16"/>
          <w:szCs w:val="16"/>
          <w:lang w:val="en-US"/>
        </w:rPr>
        <w:t>F</w:t>
      </w:r>
      <w:r w:rsidRPr="00A3026E">
        <w:rPr>
          <w:rFonts w:ascii="Times New Roman" w:hAnsi="Times New Roman"/>
          <w:color w:val="000000" w:themeColor="text1"/>
          <w:sz w:val="16"/>
          <w:szCs w:val="16"/>
        </w:rPr>
        <w:t xml:space="preserve"> для Ка-32; электрогидравлический усилитель мощности УГ-177 для ГПА (11982).</w:t>
      </w:r>
    </w:p>
    <w:p w14:paraId="4A8D4E4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0213BA" w14:textId="77777777" w:rsidR="00F067CF" w:rsidRPr="00A3026E" w:rsidRDefault="00F067CF"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19 октября </w:t>
      </w:r>
      <w:r w:rsidRPr="00A3026E">
        <w:rPr>
          <w:rFonts w:ascii="Times New Roman" w:hAnsi="Times New Roman"/>
          <w:color w:val="000000" w:themeColor="text1"/>
          <w:sz w:val="16"/>
          <w:szCs w:val="16"/>
        </w:rPr>
        <w:t>в 1940 году образовано ОАО "Гидроагрегат". Строящийся в городе Павлово Нижегородской области завод по производству металлоизделий бытового назначения был передан авиационной промышленности. В годы войны завод освоил выпуск воздушных винтов для боевых самолетов конструкторов Ильюшина, Лавочкина, Петлякова, Яковлева. При директоре С.И.Кадышеве, возглавлявшем завод с 1945 г. по 1956 г., изготавливались новые надежные винты «В-4» и «В-3Б», были освоены первые гидроусилители для самолетов типа «МиГ-17», «МиГ-19». Созданные гидроусилители (бустер БУ-1) выпускались более четверти века и считались лучшими в мире. За разработку и освоение первых бустеров Гл.конструктору Н.Н.Петрову, его заместителям Н.Д.Денискину, Ф.Ф.Куприянову, директору С.И.Кадышеву в 1950 году была присуждена Сталинская премия. ОАО “Гидроагрегат”, бывший ПМЗ имени С.И.Кадышева, сегодня выпускает гидравлические агрегаты, распределительные устройства и приводы систем управления самолетов, вертолетов (14804).</w:t>
      </w:r>
    </w:p>
    <w:p w14:paraId="2CBB970B" w14:textId="77777777" w:rsidR="00F067CF" w:rsidRPr="00A3026E" w:rsidRDefault="00F067CF" w:rsidP="00A3026E">
      <w:pPr>
        <w:spacing w:after="0" w:line="240" w:lineRule="auto"/>
        <w:jc w:val="both"/>
        <w:rPr>
          <w:rFonts w:ascii="Times New Roman" w:hAnsi="Times New Roman"/>
          <w:color w:val="000000" w:themeColor="text1"/>
          <w:sz w:val="16"/>
          <w:szCs w:val="16"/>
        </w:rPr>
      </w:pPr>
    </w:p>
    <w:p w14:paraId="339E5D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 в НИИ-3 НКБ состоялось третье совещание о допуске к стрельбе с самолетов РОС-82 “легендарной” пятой партии 1937 г. завода №70. у ко</w:t>
      </w:r>
      <w:r w:rsidRPr="00A3026E">
        <w:rPr>
          <w:rFonts w:ascii="Times New Roman" w:hAnsi="Times New Roman"/>
          <w:color w:val="000000" w:themeColor="text1"/>
          <w:sz w:val="16"/>
          <w:szCs w:val="16"/>
        </w:rPr>
        <w:softHyphen/>
        <w:t>торых из-за разрыва двигателей на траектории на испытаниях РЗ умень</w:t>
      </w:r>
      <w:r w:rsidRPr="00A3026E">
        <w:rPr>
          <w:rFonts w:ascii="Times New Roman" w:hAnsi="Times New Roman"/>
          <w:color w:val="000000" w:themeColor="text1"/>
          <w:sz w:val="16"/>
          <w:szCs w:val="16"/>
        </w:rPr>
        <w:softHyphen/>
        <w:t>шали на две шашки. На нем присутствовали заместитель директора НИИ-3 А.Г.Костиков, помощник главного инженера НИИ-3 Ю.А.Победоносцев, районный инженер 8-го управления ГУ ВВС КАЛ.П.Лобачев. главный технолог завода № 70 В.Ф.Орлов, начальник лаборатории испытаний материалов завода №70 Б.И.Малкин и инженер 3 отдела 4-го ГУ НКБ П.САлександров. По итогам совещания постановили: «На основании испытании и за</w:t>
      </w:r>
      <w:r w:rsidRPr="00A3026E">
        <w:rPr>
          <w:rFonts w:ascii="Times New Roman" w:hAnsi="Times New Roman"/>
          <w:color w:val="000000" w:themeColor="text1"/>
          <w:sz w:val="16"/>
          <w:szCs w:val="16"/>
        </w:rPr>
        <w:softHyphen/>
        <w:t>явлений представителей завода №70, материал данной партии по споим механическим качествам, химическому анализу и режиму термообработ</w:t>
      </w:r>
      <w:r w:rsidRPr="00A3026E">
        <w:rPr>
          <w:rFonts w:ascii="Times New Roman" w:hAnsi="Times New Roman"/>
          <w:color w:val="000000" w:themeColor="text1"/>
          <w:sz w:val="16"/>
          <w:szCs w:val="16"/>
        </w:rPr>
        <w:softHyphen/>
        <w:t>ки ничем не отличается от других партий 1937 г. Причиной разрыва ка</w:t>
      </w:r>
      <w:r w:rsidRPr="00A3026E">
        <w:rPr>
          <w:rFonts w:ascii="Times New Roman" w:hAnsi="Times New Roman"/>
          <w:color w:val="000000" w:themeColor="text1"/>
          <w:sz w:val="16"/>
          <w:szCs w:val="16"/>
        </w:rPr>
        <w:softHyphen/>
        <w:t>меры, как это было зафиксировано в протоколе от 7 апреля 1940 г. является порок металла.</w:t>
      </w:r>
    </w:p>
    <w:p w14:paraId="5D884F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Последующие гидравлические и огневые испытания 35 камер данной партии дали положительные результаты, несмотря на то, что у одной из них на дефектоскопе обнаружили волосовину. Поэтому разрыв следует считать случайным (это произошло в январе 1940 г. в одной из частей ЛВО), а партию, замаркированную на заводе №12, как 2-1938. в целом признать годной для стрельбы с самолетов». Кстати, в этой книге описа</w:t>
      </w:r>
      <w:r w:rsidRPr="00A3026E">
        <w:rPr>
          <w:rFonts w:ascii="Times New Roman" w:hAnsi="Times New Roman"/>
          <w:color w:val="000000" w:themeColor="text1"/>
          <w:sz w:val="16"/>
          <w:szCs w:val="16"/>
        </w:rPr>
        <w:softHyphen/>
        <w:t>ны все случаи разрывов РС на испытаниях до момента принятия на воо</w:t>
      </w:r>
      <w:r w:rsidRPr="00A3026E">
        <w:rPr>
          <w:rFonts w:ascii="Times New Roman" w:hAnsi="Times New Roman"/>
          <w:color w:val="000000" w:themeColor="text1"/>
          <w:sz w:val="16"/>
          <w:szCs w:val="16"/>
        </w:rPr>
        <w:softHyphen/>
        <w:t>ружение. Как видим, их было совсем немного в соотношении к числу от</w:t>
      </w:r>
      <w:r w:rsidRPr="00A3026E">
        <w:rPr>
          <w:rFonts w:ascii="Times New Roman" w:hAnsi="Times New Roman"/>
          <w:color w:val="000000" w:themeColor="text1"/>
          <w:sz w:val="16"/>
          <w:szCs w:val="16"/>
        </w:rPr>
        <w:softHyphen/>
        <w:t>стрелянных боеприпасов (11402).</w:t>
      </w:r>
    </w:p>
    <w:p w14:paraId="51713C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0235A4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74BE6E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4AB2F4B"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19 октября 1940 вышло Постановление Комитета обороны при СНК СССР № 412сс "О постройке мастерских для снаряжения боевых патронов из стреляных гильз"</w:t>
      </w:r>
    </w:p>
    <w:p w14:paraId="4642462F"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Комитет Обороны при СНК Союза ССР ПОСТАНОВЛЯЕТ:</w:t>
      </w:r>
    </w:p>
    <w:p w14:paraId="778B4F2A"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Наркомвооружения СССР тов. Ванникова Б.Л. к 1 января 1941 года организовать при заводе № 17 НКВ мастер</w:t>
      </w:r>
      <w:r w:rsidRPr="00A3026E">
        <w:rPr>
          <w:rFonts w:ascii="Times New Roman" w:hAnsi="Times New Roman"/>
          <w:color w:val="0070C0"/>
          <w:sz w:val="16"/>
          <w:szCs w:val="16"/>
        </w:rPr>
        <w:softHyphen/>
        <w:t>скую для снаряжения 7,62 мм. боевых патронов из стрелянных гильз, с годовой мощностью не менее 40 млн. патронов.</w:t>
      </w:r>
    </w:p>
    <w:p w14:paraId="3668F326"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Дня организации мастерской передать заводу № 17 НКВ строящийся в г. Подольске гараж Мособлтранса Наркомата Авто</w:t>
      </w:r>
      <w:r w:rsidRPr="00A3026E">
        <w:rPr>
          <w:rFonts w:ascii="Times New Roman" w:hAnsi="Times New Roman"/>
          <w:color w:val="0070C0"/>
          <w:sz w:val="16"/>
          <w:szCs w:val="16"/>
        </w:rPr>
        <w:softHyphen/>
        <w:t>транспорта РСФСР.</w:t>
      </w:r>
    </w:p>
    <w:p w14:paraId="7344BA10"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Обязать НКО тов. Тимошенко С.К. к 1 января 1941 года организовать такую же мастерскую при складе № 71 НКО (г.Ярос</w:t>
      </w:r>
      <w:r w:rsidRPr="00A3026E">
        <w:rPr>
          <w:rFonts w:ascii="Times New Roman" w:hAnsi="Times New Roman"/>
          <w:color w:val="0070C0"/>
          <w:sz w:val="16"/>
          <w:szCs w:val="16"/>
        </w:rPr>
        <w:softHyphen/>
        <w:t>лавль).</w:t>
      </w:r>
    </w:p>
    <w:p w14:paraId="2EA30009"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Для организации мастерских отпустить НКО и НКВооружения из резервного фонда СНК СССР по 500 тысяч рублей каждому (22062).</w:t>
      </w:r>
    </w:p>
    <w:p w14:paraId="3E451570" w14:textId="77777777" w:rsidR="00CF51BC" w:rsidRPr="00A3026E" w:rsidRDefault="00CF51BC" w:rsidP="00A3026E">
      <w:pPr>
        <w:spacing w:after="0" w:line="240" w:lineRule="auto"/>
        <w:jc w:val="both"/>
        <w:rPr>
          <w:rFonts w:ascii="Times New Roman" w:hAnsi="Times New Roman"/>
          <w:color w:val="0070C0"/>
          <w:sz w:val="16"/>
          <w:szCs w:val="16"/>
        </w:rPr>
      </w:pPr>
    </w:p>
    <w:p w14:paraId="65E62F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года вышел приказ № 326 НКВ:</w:t>
      </w:r>
    </w:p>
    <w:p w14:paraId="4AAD5C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приемки переданного в ведение НКВ завода № 460 назначаю комиссию ……….(9189).</w:t>
      </w:r>
    </w:p>
    <w:p w14:paraId="77AFF0E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B993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вышло постановление КО, согласно которому СГ конструкторов завода № 174 под руководством Д.И.Елагина и И.А.Аристова на основе принципа работы затвора пулемета ДТ был разработан автоматический танковый пороховой танковый огнемет. Использовали укороченный патрон 37 мм противотанковой пушки обр. 1932. Емкость магазина - 4, скорострельность - 18 в минуту, дальность - обычной смесью 60-65, вязкой - 90-100 (9527,181).</w:t>
      </w:r>
    </w:p>
    <w:p w14:paraId="715D722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8F0AF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постановлением КО было санкционировано, что начиная с 1941 г. башни с кругом обслуживания 1700 мм вводились на оснащение танка вместо сварных. В течение месяца были отгружены армии 35 танков. СТЗ смог отгрузить к концу но</w:t>
      </w:r>
      <w:r w:rsidRPr="00A3026E">
        <w:rPr>
          <w:rFonts w:ascii="Times New Roman" w:hAnsi="Times New Roman"/>
          <w:color w:val="000000" w:themeColor="text1"/>
          <w:sz w:val="16"/>
          <w:szCs w:val="16"/>
        </w:rPr>
        <w:softHyphen/>
        <w:t>ября первые два Т-34, которые прошли заводскую обкатку (10782).</w:t>
      </w:r>
    </w:p>
    <w:p w14:paraId="348CE58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4E7CA8" w14:textId="77777777" w:rsidR="00C66762" w:rsidRPr="00A3026E" w:rsidRDefault="00C66762" w:rsidP="00A3026E">
      <w:pPr>
        <w:pStyle w:val="a3"/>
        <w:rPr>
          <w:color w:val="000000" w:themeColor="text1"/>
          <w:lang w:val="ru-RU"/>
        </w:rPr>
      </w:pPr>
      <w:r w:rsidRPr="00A3026E">
        <w:rPr>
          <w:color w:val="000000" w:themeColor="text1"/>
          <w:lang w:val="ru-RU"/>
        </w:rPr>
        <w:t xml:space="preserve">19 октября 1939 г. были проведены первые отладочные заводские испытания Ф-34. В мае система Ф-34 успешно прошла полигонные испытания в танке Т-28, по </w:t>
      </w:r>
      <w:r w:rsidRPr="00A3026E">
        <w:rPr>
          <w:color w:val="000000" w:themeColor="text1"/>
          <w:lang w:val="ru-RU"/>
        </w:rPr>
        <w:lastRenderedPageBreak/>
        <w:t>резуль</w:t>
      </w:r>
      <w:r w:rsidRPr="00A3026E">
        <w:rPr>
          <w:color w:val="000000" w:themeColor="text1"/>
          <w:lang w:val="ru-RU"/>
        </w:rPr>
        <w:softHyphen/>
        <w:t>татам которых заводу №92 рекомендовалось внести небольшие изменения в конструкцию системы, в том числе увеличить объем жидкости в противооткатных устройствах и спроектировать спар- ку с пулеметом ДТ. На протяжении лета конструкторы завода №92 занимались доводкой системы Ф-34 завода № 92. Впервые на самом высоком уровне вопрос о вооружении танков Т-34 пушками Ф-34 был под</w:t>
      </w:r>
      <w:r w:rsidRPr="00A3026E">
        <w:rPr>
          <w:color w:val="000000" w:themeColor="text1"/>
          <w:lang w:val="ru-RU"/>
        </w:rPr>
        <w:softHyphen/>
        <w:t>нят в конце июня на совещании Комитета обороны при рассмот</w:t>
      </w:r>
      <w:r w:rsidRPr="00A3026E">
        <w:rPr>
          <w:color w:val="000000" w:themeColor="text1"/>
          <w:lang w:val="ru-RU"/>
        </w:rPr>
        <w:softHyphen/>
        <w:t>рении проекта Постановления «О вооружении танков», но в конеч</w:t>
      </w:r>
      <w:r w:rsidRPr="00A3026E">
        <w:rPr>
          <w:color w:val="000000" w:themeColor="text1"/>
          <w:lang w:val="ru-RU"/>
        </w:rPr>
        <w:softHyphen/>
        <w:t>ном итоге конкретных решений относительно Ф-34 летом 1940 г. принято не было.</w:t>
      </w:r>
    </w:p>
    <w:p w14:paraId="0A11023D" w14:textId="77777777" w:rsidR="00C66762" w:rsidRPr="00A3026E" w:rsidRDefault="00C66762" w:rsidP="00A3026E">
      <w:pPr>
        <w:pStyle w:val="a3"/>
        <w:rPr>
          <w:color w:val="000000" w:themeColor="text1"/>
          <w:lang w:val="ru-RU"/>
        </w:rPr>
      </w:pPr>
      <w:r w:rsidRPr="00A3026E">
        <w:rPr>
          <w:color w:val="000000" w:themeColor="text1"/>
          <w:lang w:val="ru-RU"/>
        </w:rPr>
        <w:t>Забегая вперед, скажем, что наладить массовый выпуск Ф-32 на Кировском заводе удалось только в начале 1941 г., а до конца 1940 г. завод параллельно с освоением этой системы выпускал доработанные пушки Л-11 (всего за 1940 г. завод №183 получил от Л КЗ 336 пушек Л-11). Разработка установки 45-мм танковой пушки в башню под Ф-32 была закончена и оформлена в чертежах в середине октября, но на Т-34 эта система (как и Ф-32) не ис</w:t>
      </w:r>
      <w:r w:rsidRPr="00A3026E">
        <w:rPr>
          <w:color w:val="000000" w:themeColor="text1"/>
          <w:lang w:val="ru-RU"/>
        </w:rPr>
        <w:softHyphen/>
        <w:t>пользовалась, а все выпущенные в 1940 г. танки были вооружены пушками Л-11 (11940).</w:t>
      </w:r>
    </w:p>
    <w:p w14:paraId="498FA365" w14:textId="77777777" w:rsidR="00C66762" w:rsidRPr="00A3026E" w:rsidRDefault="00C66762" w:rsidP="00A3026E">
      <w:pPr>
        <w:pStyle w:val="5b"/>
        <w:shd w:val="clear" w:color="auto" w:fill="auto"/>
        <w:spacing w:line="240" w:lineRule="auto"/>
        <w:jc w:val="both"/>
        <w:rPr>
          <w:rFonts w:ascii="Times New Roman" w:hAnsi="Times New Roman" w:cs="Times New Roman"/>
          <w:noProof w:val="0"/>
          <w:color w:val="000000" w:themeColor="text1"/>
          <w:sz w:val="16"/>
          <w:szCs w:val="16"/>
          <w:lang w:val="ru-RU"/>
        </w:rPr>
      </w:pPr>
    </w:p>
    <w:p w14:paraId="267C2D3D"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 в ответ на письмо от 9 октября 1940 г., с которым заместитель народного комиссара обороны СССР Г.И. Кулик обратился к руководству НКСМ с просьбой о проведении предложенных ГАБТУ КА работ по улучшению конструкции танков, в том числе и танка Т-34, заместитель наркома среднего машиностроения А.А. Горегляд в </w:t>
      </w:r>
      <w:hyperlink r:id="rId44" w:tgtFrame="_blank" w:history="1">
        <w:r w:rsidRPr="00A3026E">
          <w:rPr>
            <w:rStyle w:val="a5"/>
            <w:rFonts w:ascii="Times New Roman" w:hAnsi="Times New Roman"/>
            <w:color w:val="000000" w:themeColor="text1"/>
            <w:sz w:val="16"/>
            <w:szCs w:val="16"/>
          </w:rPr>
          <w:t>письме № 10/8689</w:t>
        </w:r>
      </w:hyperlink>
      <w:r w:rsidRPr="00A3026E">
        <w:rPr>
          <w:rFonts w:ascii="Times New Roman" w:hAnsi="Times New Roman"/>
          <w:color w:val="000000" w:themeColor="text1"/>
          <w:sz w:val="16"/>
          <w:szCs w:val="16"/>
        </w:rPr>
        <w:t> сообщил Г.И. Кулику, что указанные работы в текущем году не предусмотрены, но уже включены или будут включены в план научно-исследовательских и опытных работ НКСМ на 1941 г. (18206).</w:t>
      </w:r>
    </w:p>
    <w:p w14:paraId="04E044F2" w14:textId="77777777" w:rsidR="006A4FB6" w:rsidRPr="00A3026E" w:rsidRDefault="006A4FB6" w:rsidP="00A3026E">
      <w:pPr>
        <w:spacing w:after="0" w:line="240" w:lineRule="auto"/>
        <w:jc w:val="both"/>
        <w:rPr>
          <w:rFonts w:ascii="Times New Roman" w:hAnsi="Times New Roman"/>
          <w:color w:val="000000" w:themeColor="text1"/>
          <w:sz w:val="16"/>
          <w:szCs w:val="16"/>
        </w:rPr>
      </w:pPr>
    </w:p>
    <w:p w14:paraId="2AC1AB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 письмом № 80315с АТУ Красной Армии просило зам. Наркома среднего машино</w:t>
      </w:r>
      <w:r w:rsidRPr="00A3026E">
        <w:rPr>
          <w:rFonts w:ascii="Times New Roman" w:hAnsi="Times New Roman"/>
          <w:color w:val="000000" w:themeColor="text1"/>
          <w:sz w:val="16"/>
          <w:szCs w:val="16"/>
        </w:rPr>
        <w:softHyphen/>
        <w:t>строения т. Горегляд ускорить сдачу опытных образцов трактора «С-2»на полигонные испытания.</w:t>
      </w:r>
    </w:p>
    <w:p w14:paraId="62EA2C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Письмом № 80378 от 1.11.1940 г. комитет обороны был поставлен в известность о невыполнении постановления в установленный срок.</w:t>
      </w:r>
    </w:p>
    <w:p w14:paraId="4CAF6D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 «С-2» с дизельмотором «Д-11» - представляет серийный трактор «С-2» с установкой на нем более мощного двигателя (мощность двигателя «Д-11» доведена до 160л.с.).</w:t>
      </w:r>
    </w:p>
    <w:p w14:paraId="011195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данные:</w:t>
      </w:r>
    </w:p>
    <w:p w14:paraId="1AAB83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трактора— 13 тонн.</w:t>
      </w:r>
    </w:p>
    <w:p w14:paraId="40E2A2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Максимальная скорость — 25 км/час.</w:t>
      </w:r>
    </w:p>
    <w:p w14:paraId="516E91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Максимальное тяговое усилие на крюке — 10 тонн.</w:t>
      </w:r>
    </w:p>
    <w:p w14:paraId="19CE62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 «С-2» с дизелем «Д-11» предназначается для использования в Красной Армии в качест</w:t>
      </w:r>
      <w:r w:rsidRPr="00A3026E">
        <w:rPr>
          <w:rFonts w:ascii="Times New Roman" w:hAnsi="Times New Roman"/>
          <w:color w:val="000000" w:themeColor="text1"/>
          <w:sz w:val="16"/>
          <w:szCs w:val="16"/>
        </w:rPr>
        <w:softHyphen/>
        <w:t>ве тягача корпусной артиллерии (11211).</w:t>
      </w:r>
    </w:p>
    <w:p w14:paraId="1D9F3F42"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014A7B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 письмом № 80315 АТУ Красной Армии просило зам. Наркома среднего машино</w:t>
      </w:r>
      <w:r w:rsidRPr="00A3026E">
        <w:rPr>
          <w:rFonts w:ascii="Times New Roman" w:hAnsi="Times New Roman"/>
          <w:color w:val="000000" w:themeColor="text1"/>
          <w:sz w:val="16"/>
          <w:szCs w:val="16"/>
        </w:rPr>
        <w:softHyphen/>
        <w:t>строения т. Горегляд обязать завод закончить сборку опытных образцов трактора «А-42» в кратчайший срок и предъ</w:t>
      </w:r>
      <w:r w:rsidRPr="00A3026E">
        <w:rPr>
          <w:rFonts w:ascii="Times New Roman" w:hAnsi="Times New Roman"/>
          <w:color w:val="000000" w:themeColor="text1"/>
          <w:sz w:val="16"/>
          <w:szCs w:val="16"/>
        </w:rPr>
        <w:softHyphen/>
        <w:t>явить их на полигонные испытания.</w:t>
      </w:r>
    </w:p>
    <w:p w14:paraId="216DE4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 «А-42» является тяжелым трактором, спроектированным на базе танка Т-34, с унифика</w:t>
      </w:r>
      <w:r w:rsidRPr="00A3026E">
        <w:rPr>
          <w:rFonts w:ascii="Times New Roman" w:hAnsi="Times New Roman"/>
          <w:color w:val="000000" w:themeColor="text1"/>
          <w:sz w:val="16"/>
          <w:szCs w:val="16"/>
        </w:rPr>
        <w:softHyphen/>
        <w:t>цией основных механизмов. На 19 ноября 1940 один опытный образец трактора «А-42» был изготовлен, прошел заводскую обкатку и подготавливается к заводским испытаниям. Второй образец заканчивается сборкой 20-25 ноября. По Постановлению комитета обороны № 191 ее от 4.5.1940 г. завод № 183 должен был изготовить и сдать на полигонные испытания к 1.10.1940 г. два опытных образца трактора «А-42».</w:t>
      </w:r>
    </w:p>
    <w:p w14:paraId="0FD5B6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данные:</w:t>
      </w:r>
    </w:p>
    <w:p w14:paraId="14C85E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 17 тонн.</w:t>
      </w:r>
    </w:p>
    <w:p w14:paraId="65CB1F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Максимальная мощность двигателя — 500 л.с.</w:t>
      </w:r>
    </w:p>
    <w:p w14:paraId="3C7E66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Максимальная скорость — 47 км/час.</w:t>
      </w:r>
    </w:p>
    <w:p w14:paraId="582B16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Максимальное тяговое усилие на крюке — 15000 кг.</w:t>
      </w:r>
    </w:p>
    <w:p w14:paraId="081460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 предназначается для использования в Красной Армии в качестве тягача артиллерии большой мощности и для буксировки тяжелых танков (11211).</w:t>
      </w:r>
    </w:p>
    <w:p w14:paraId="10B3A5D6"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56EDC1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 письмом № 80315 АТУ Красной Армии просило зам. Наркома среднего машино</w:t>
      </w:r>
      <w:r w:rsidRPr="00A3026E">
        <w:rPr>
          <w:rFonts w:ascii="Times New Roman" w:hAnsi="Times New Roman"/>
          <w:color w:val="000000" w:themeColor="text1"/>
          <w:sz w:val="16"/>
          <w:szCs w:val="16"/>
        </w:rPr>
        <w:softHyphen/>
        <w:t>строения т. Горегляд ускорить сдачу тракторов трактора «Ворошиловец» и «С-2» с компрессорными установками на полигонные испытания. По Постановлению комитета обороны № 303сс от 12.7.1940 г. НАТИ должен был спроектировать и изготовить компрессорные установки на трактора «Ворошиловец» и «С-2» к 1.09.1940 г.</w:t>
      </w:r>
    </w:p>
    <w:p w14:paraId="7A1DC0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трактора «Ворошиловец» заводом № 183 оборудованы и направлены на испытания в Лугу.</w:t>
      </w:r>
    </w:p>
    <w:p w14:paraId="627D2E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Письмом № 80378 от 1.11.1940 г. комитет обороны был поставлен в известность о невыполнении постановления в установленные сроки.</w:t>
      </w:r>
    </w:p>
    <w:p w14:paraId="7773E8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Необходимость оборудования тяжелого трактора «Ворошиловец» и среднего «С-2» компрессор</w:t>
      </w:r>
      <w:r w:rsidRPr="00A3026E">
        <w:rPr>
          <w:rFonts w:ascii="Times New Roman" w:hAnsi="Times New Roman"/>
          <w:color w:val="000000" w:themeColor="text1"/>
          <w:sz w:val="16"/>
          <w:szCs w:val="16"/>
        </w:rPr>
        <w:softHyphen/>
        <w:t>ными установками вызывается требованиями ГАУ КА, так как корпусная артиллерия и артиллерия большой мощности, для буксировки которой они предназначаются, имеют пневматическое обору</w:t>
      </w:r>
      <w:r w:rsidRPr="00A3026E">
        <w:rPr>
          <w:rFonts w:ascii="Times New Roman" w:hAnsi="Times New Roman"/>
          <w:color w:val="000000" w:themeColor="text1"/>
          <w:sz w:val="16"/>
          <w:szCs w:val="16"/>
        </w:rPr>
        <w:softHyphen/>
        <w:t>дование (11211).</w:t>
      </w:r>
    </w:p>
    <w:p w14:paraId="34B5FC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4B3DE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 вышло постановление Комитета обороны "О плане военного судостроения на 1941 г." Этим постановлением было решено отказаться от новых закладок линкоров и тяжелых крейсеров. Линкор "Советская Белорус</w:t>
      </w:r>
      <w:r w:rsidRPr="00A3026E">
        <w:rPr>
          <w:rFonts w:ascii="Times New Roman" w:hAnsi="Times New Roman"/>
          <w:color w:val="000000" w:themeColor="text1"/>
          <w:sz w:val="16"/>
          <w:szCs w:val="16"/>
        </w:rPr>
        <w:softHyphen/>
        <w:t>сия", заложенный в конце 1939 г. в день рождения Сталина (о чем Становление тактично умалчивало), подлежал разборке на стапеле. Усилия промышленности предлагалось сосредоточить на достройке линкора "Советская Россия" в Молотовске и обоих тяжелых ейсеров, заложенных в 1939 г. в Ленинграде и Николаеве. Спуск воду тяжелых крейсеров и всех трех линкоров назначался на 1942—1943 гг. Постановление отменяло новую закладку лидеров и турбинных эскадренных тральщиков (вследствии изменения взглядов на их использование), зато форсировало строительство новь1х крейсеров, эсминцев и подводных лодок последних серий. При этом в 1941 г. намечалось иметь в постройке 14 легких крей</w:t>
      </w:r>
      <w:r w:rsidRPr="00A3026E">
        <w:rPr>
          <w:rFonts w:ascii="Times New Roman" w:hAnsi="Times New Roman"/>
          <w:color w:val="000000" w:themeColor="text1"/>
          <w:sz w:val="16"/>
          <w:szCs w:val="16"/>
        </w:rPr>
        <w:softHyphen/>
        <w:t>серов, из которых б подлежали сдаче в 1942 г. В 1941 г. следовало заложить 19 новых эсминцев, а за два года (1941—1942) сдать 24 корабля этого класса. Закладке и сдаче в 1941 г. подлежали так</w:t>
      </w:r>
      <w:r w:rsidRPr="00A3026E">
        <w:rPr>
          <w:rFonts w:ascii="Times New Roman" w:hAnsi="Times New Roman"/>
          <w:color w:val="000000" w:themeColor="text1"/>
          <w:sz w:val="16"/>
          <w:szCs w:val="16"/>
        </w:rPr>
        <w:softHyphen/>
        <w:t>же соответственно 36 и 40 подводных лодок. В дополнение к уже заложенным 9 сторожевым кораблям в 1941 г. началась закладка еще 11 единиц (3898).</w:t>
      </w:r>
    </w:p>
    <w:p w14:paraId="437ABA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обязывало Наркомсудпром форсировать до</w:t>
      </w:r>
      <w:r w:rsidRPr="00A3026E">
        <w:rPr>
          <w:rFonts w:ascii="Times New Roman" w:hAnsi="Times New Roman"/>
          <w:color w:val="000000" w:themeColor="text1"/>
          <w:sz w:val="16"/>
          <w:szCs w:val="16"/>
        </w:rPr>
        <w:softHyphen/>
        <w:t>стройку головных эсминцев и сторожевых кораблей новых проек</w:t>
      </w:r>
      <w:r w:rsidRPr="00A3026E">
        <w:rPr>
          <w:rFonts w:ascii="Times New Roman" w:hAnsi="Times New Roman"/>
          <w:color w:val="000000" w:themeColor="text1"/>
          <w:sz w:val="16"/>
          <w:szCs w:val="16"/>
        </w:rPr>
        <w:softHyphen/>
        <w:t>тов с тем, чтобы вывести их на испытания уже в 1941 г. Наркомату вооружения, Наркомэлектропрому и Наркомтяжмашу было пред</w:t>
      </w:r>
      <w:r w:rsidRPr="00A3026E">
        <w:rPr>
          <w:rFonts w:ascii="Times New Roman" w:hAnsi="Times New Roman"/>
          <w:color w:val="000000" w:themeColor="text1"/>
          <w:sz w:val="16"/>
          <w:szCs w:val="16"/>
        </w:rPr>
        <w:softHyphen/>
        <w:t>писано в заданные сроки поставить главные механизмы и вооруже</w:t>
      </w:r>
      <w:r w:rsidRPr="00A3026E">
        <w:rPr>
          <w:rFonts w:ascii="Times New Roman" w:hAnsi="Times New Roman"/>
          <w:color w:val="000000" w:themeColor="text1"/>
          <w:sz w:val="16"/>
          <w:szCs w:val="16"/>
        </w:rPr>
        <w:softHyphen/>
        <w:t>ние.</w:t>
      </w:r>
    </w:p>
    <w:p w14:paraId="565C37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от 19 октября 1940 г. отнюдь не означало из</w:t>
      </w:r>
      <w:r w:rsidRPr="00A3026E">
        <w:rPr>
          <w:rFonts w:ascii="Times New Roman" w:hAnsi="Times New Roman"/>
          <w:color w:val="000000" w:themeColor="text1"/>
          <w:sz w:val="16"/>
          <w:szCs w:val="16"/>
        </w:rPr>
        <w:softHyphen/>
        <w:t>менения взглядов правительства и руководства ВМФ на роль круп</w:t>
      </w:r>
      <w:r w:rsidRPr="00A3026E">
        <w:rPr>
          <w:rFonts w:ascii="Times New Roman" w:hAnsi="Times New Roman"/>
          <w:color w:val="000000" w:themeColor="text1"/>
          <w:sz w:val="16"/>
          <w:szCs w:val="16"/>
        </w:rPr>
        <w:softHyphen/>
        <w:t>ных кораблей в морской войне. Никакого предпочтения легким си</w:t>
      </w:r>
      <w:r w:rsidRPr="00A3026E">
        <w:rPr>
          <w:rFonts w:ascii="Times New Roman" w:hAnsi="Times New Roman"/>
          <w:color w:val="000000" w:themeColor="text1"/>
          <w:sz w:val="16"/>
          <w:szCs w:val="16"/>
        </w:rPr>
        <w:softHyphen/>
        <w:t>лам и подводным лодкам в действительности не оказывалось, перс</w:t>
      </w:r>
      <w:r w:rsidRPr="00A3026E">
        <w:rPr>
          <w:rFonts w:ascii="Times New Roman" w:hAnsi="Times New Roman"/>
          <w:color w:val="000000" w:themeColor="text1"/>
          <w:sz w:val="16"/>
          <w:szCs w:val="16"/>
        </w:rPr>
        <w:softHyphen/>
        <w:t>пективная программа в принципе не пересматривалась. Ограниче</w:t>
      </w:r>
      <w:r w:rsidRPr="00A3026E">
        <w:rPr>
          <w:rFonts w:ascii="Times New Roman" w:hAnsi="Times New Roman"/>
          <w:color w:val="000000" w:themeColor="text1"/>
          <w:sz w:val="16"/>
          <w:szCs w:val="16"/>
        </w:rPr>
        <w:softHyphen/>
        <w:t>ние количества строившихся одновременно линкоров и тяжелых крейсеров, остававшихся наиболее сложными и дорогостоящими объектами, было вызвано трезвой оценкой возможностей заводов. Закладывать же новые корабли этих классов предполагалось по ме</w:t>
      </w:r>
      <w:r w:rsidRPr="00A3026E">
        <w:rPr>
          <w:rFonts w:ascii="Times New Roman" w:hAnsi="Times New Roman"/>
          <w:color w:val="000000" w:themeColor="text1"/>
          <w:sz w:val="16"/>
          <w:szCs w:val="16"/>
        </w:rPr>
        <w:softHyphen/>
        <w:t>ре освобождения занятых стапелей.</w:t>
      </w:r>
    </w:p>
    <w:p w14:paraId="2ADCBA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Программа военного судостроения выполнялась в соответст</w:t>
      </w:r>
      <w:r w:rsidRPr="00A3026E">
        <w:rPr>
          <w:rFonts w:ascii="Times New Roman" w:hAnsi="Times New Roman"/>
          <w:color w:val="000000" w:themeColor="text1"/>
          <w:sz w:val="16"/>
          <w:szCs w:val="16"/>
        </w:rPr>
        <w:softHyphen/>
        <w:t>вии с постановлениями 1940 г. до самого начала Великой. Отечест</w:t>
      </w:r>
      <w:r w:rsidRPr="00A3026E">
        <w:rPr>
          <w:rFonts w:ascii="Times New Roman" w:hAnsi="Times New Roman"/>
          <w:color w:val="000000" w:themeColor="text1"/>
          <w:sz w:val="16"/>
          <w:szCs w:val="16"/>
        </w:rPr>
        <w:softHyphen/>
        <w:t>венной войны. Всего, согласно данным В. И. Дмитриева, в 1936— 1941 гг. для ВМФ было заложено 4 линкора, 2 тяжелых крейсера, 12 легких крейсеров (включая "Петропавловск"), 4 лидера эсмин</w:t>
      </w:r>
      <w:r w:rsidRPr="00A3026E">
        <w:rPr>
          <w:rFonts w:ascii="Times New Roman" w:hAnsi="Times New Roman"/>
          <w:color w:val="000000" w:themeColor="text1"/>
          <w:sz w:val="16"/>
          <w:szCs w:val="16"/>
        </w:rPr>
        <w:softHyphen/>
        <w:t>цев, 69 эсминцев, 15 сторожевых кораблей, 51 тральщик, 10 сете</w:t>
      </w:r>
      <w:r w:rsidRPr="00A3026E">
        <w:rPr>
          <w:rFonts w:ascii="Times New Roman" w:hAnsi="Times New Roman"/>
          <w:color w:val="000000" w:themeColor="text1"/>
          <w:sz w:val="16"/>
          <w:szCs w:val="16"/>
        </w:rPr>
        <w:softHyphen/>
        <w:t>вых заградителей, 6 мониторов, 10 больших охотников за подвод</w:t>
      </w:r>
      <w:r w:rsidRPr="00A3026E">
        <w:rPr>
          <w:rFonts w:ascii="Times New Roman" w:hAnsi="Times New Roman"/>
          <w:color w:val="000000" w:themeColor="text1"/>
          <w:sz w:val="16"/>
          <w:szCs w:val="16"/>
        </w:rPr>
        <w:softHyphen/>
        <w:t>ными лодками и 139 подводных лодок. Одновременно продолжа</w:t>
      </w:r>
      <w:r w:rsidRPr="00A3026E">
        <w:rPr>
          <w:rFonts w:ascii="Times New Roman" w:hAnsi="Times New Roman"/>
          <w:color w:val="000000" w:themeColor="text1"/>
          <w:sz w:val="16"/>
          <w:szCs w:val="16"/>
        </w:rPr>
        <w:softHyphen/>
        <w:t>лась достройка кораблей, заложенных в 1927—1935 гг.</w:t>
      </w:r>
    </w:p>
    <w:p w14:paraId="70F084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533 заложенных в годы советской власти боевых кораблей к 22 июня 1941 г. были сданы флоту 312 единиц общим водоизме</w:t>
      </w:r>
      <w:r w:rsidRPr="00A3026E">
        <w:rPr>
          <w:rFonts w:ascii="Times New Roman" w:hAnsi="Times New Roman"/>
          <w:color w:val="000000" w:themeColor="text1"/>
          <w:sz w:val="16"/>
          <w:szCs w:val="16"/>
        </w:rPr>
        <w:softHyphen/>
        <w:t>щением 243,2 тыс. т., а также 477 морских и речных боевых кате</w:t>
      </w:r>
      <w:r w:rsidRPr="00A3026E">
        <w:rPr>
          <w:rFonts w:ascii="Times New Roman" w:hAnsi="Times New Roman"/>
          <w:color w:val="000000" w:themeColor="text1"/>
          <w:sz w:val="16"/>
          <w:szCs w:val="16"/>
        </w:rPr>
        <w:softHyphen/>
        <w:t>ров различных типов. Вступили в строй 4 легких крейсера, 7 лиде^ ров эсминцев (включая построенный в Италии 'Ташкент"), 30 эс-кадреннь1Х миноносцев, 18 сторожевых кораблей, 38 тральщиков, 1 минзаг, 8 мониторов и 206 подводных лодок, в том числе 34 больших, 94 средних и 78 маль1х.</w:t>
      </w:r>
    </w:p>
    <w:p w14:paraId="561951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постройке к началу войны оставались 3 линкора и 2 тяжелых крейсера, 10 крейсеров (включая купленный у Германии "Лютцов"), 2 лидера, 45 эскадренных миноносцев, 15 сторожевых кораблей, 25 тральщиков, б мониторов, 10 сетевых заградителей, 10 больших охотников и 91 подводная лодка (по другим данным, 95 лодок), значительное количество боевых катеров, вспомогатель</w:t>
      </w:r>
      <w:r w:rsidRPr="00A3026E">
        <w:rPr>
          <w:rFonts w:ascii="Times New Roman" w:hAnsi="Times New Roman"/>
          <w:color w:val="000000" w:themeColor="text1"/>
          <w:sz w:val="16"/>
          <w:szCs w:val="16"/>
        </w:rPr>
        <w:softHyphen/>
        <w:t>ных судов и плавучих средств общим водоизмещением около полу</w:t>
      </w:r>
      <w:r w:rsidRPr="00A3026E">
        <w:rPr>
          <w:rFonts w:ascii="Times New Roman" w:hAnsi="Times New Roman"/>
          <w:color w:val="000000" w:themeColor="text1"/>
          <w:sz w:val="16"/>
          <w:szCs w:val="16"/>
        </w:rPr>
        <w:softHyphen/>
        <w:t>миллиона тонн. Морские (и речные) части пограничной охраны НКВД СССР в предвоенные годы получили 4 небольших стороже</w:t>
      </w:r>
      <w:r w:rsidRPr="00A3026E">
        <w:rPr>
          <w:rFonts w:ascii="Times New Roman" w:hAnsi="Times New Roman"/>
          <w:color w:val="000000" w:themeColor="text1"/>
          <w:sz w:val="16"/>
          <w:szCs w:val="16"/>
        </w:rPr>
        <w:softHyphen/>
        <w:t>вых корабля (еще 2 были приобретены в Италии) и около 200 раз</w:t>
      </w:r>
      <w:r w:rsidRPr="00A3026E">
        <w:rPr>
          <w:rFonts w:ascii="Times New Roman" w:hAnsi="Times New Roman"/>
          <w:color w:val="000000" w:themeColor="text1"/>
          <w:sz w:val="16"/>
          <w:szCs w:val="16"/>
        </w:rPr>
        <w:softHyphen/>
        <w:t>личных пограничных катеров. Один сторожевик совершенно ново</w:t>
      </w:r>
      <w:r w:rsidRPr="00A3026E">
        <w:rPr>
          <w:rFonts w:ascii="Times New Roman" w:hAnsi="Times New Roman"/>
          <w:color w:val="000000" w:themeColor="text1"/>
          <w:sz w:val="16"/>
          <w:szCs w:val="16"/>
        </w:rPr>
        <w:softHyphen/>
        <w:t>го (ледокольного) типа и несколько катеров оставались в по</w:t>
      </w:r>
      <w:r w:rsidRPr="00A3026E">
        <w:rPr>
          <w:rFonts w:ascii="Times New Roman" w:hAnsi="Times New Roman"/>
          <w:color w:val="000000" w:themeColor="text1"/>
          <w:sz w:val="16"/>
          <w:szCs w:val="16"/>
        </w:rPr>
        <w:softHyphen/>
        <w:t>стройке (3898).</w:t>
      </w:r>
    </w:p>
    <w:p w14:paraId="245DBA5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AC2C3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 октября 1940 г. вышло ПОСТАНОВЛЕНИЕ СНК СССР И ЦК ВКП(б) "О ПЛАНЕ ВОЕННОГО СУДОСТРОЕНИЯ НА 1941 г." № 2073-877сс </w:t>
      </w:r>
    </w:p>
    <w:p w14:paraId="5CE200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 секретно </w:t>
      </w:r>
    </w:p>
    <w:p w14:paraId="654100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Особой важности </w:t>
      </w:r>
    </w:p>
    <w:p w14:paraId="09CC9B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целях форсирования строительства легких надводных сил ВоенноМорского Флота (легкие крейсера, эскадренные миноносцы, сторожевые корабли) и подводных лодок, особенно типа "Сталинец" и малых двухзальных, Совет народных комиссаров Союза ССР и Центральный Комитет ВКП(б) постановляют: </w:t>
      </w:r>
    </w:p>
    <w:p w14:paraId="0967E2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строительству линкоров и тяжелых крейсеров </w:t>
      </w:r>
    </w:p>
    <w:p w14:paraId="715A0A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Новых закладок линейных кораблей и тяжелых крейсеров на судостроительных заводах Наркомсудпрома не производить.</w:t>
      </w:r>
    </w:p>
    <w:p w14:paraId="265502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Обязать Наркомсудпром (т.Носенко) из числа строящихся линкоров и тяжелых крейсеров сосредоточить строительство на следующих кораблях: </w:t>
      </w:r>
    </w:p>
    <w:p w14:paraId="263E38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линкор "Советская Россия" на заводе № 402 в Молотовске, </w:t>
      </w:r>
    </w:p>
    <w:p w14:paraId="3C00A7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тяжелый крейсер "Кронштадт" на заводе № 194 в Ленинграде, </w:t>
      </w:r>
    </w:p>
    <w:p w14:paraId="0024A3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тяжелый крейсер "Севастополь" на заводе № 200 в Николаеве.</w:t>
      </w:r>
    </w:p>
    <w:p w14:paraId="1891B2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Установить следующие сроки спуска на воду тяжелых крейсеров: </w:t>
      </w:r>
    </w:p>
    <w:p w14:paraId="286776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а) тяжелый крейсер "Кронштадт" в III квартале 1942 года, </w:t>
      </w:r>
    </w:p>
    <w:p w14:paraId="24270D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тяжелый крейсер "Севастополь" в III квартале 1942 года, </w:t>
      </w:r>
    </w:p>
    <w:p w14:paraId="0930D9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 линкору "Советская Россия" довести соответствующую готовность к началу III квартала 1943 года.</w:t>
      </w:r>
    </w:p>
    <w:p w14:paraId="3215DE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Постановить на 1941 год по указанным в п.З кораблям следующее продвижение технической готовности: </w:t>
      </w:r>
    </w:p>
    <w:p w14:paraId="0C0B28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по тяжелому крейсеру "Кронштадт" на 18%, б) по тяжелому крейсеру "Севастополь" на 18%, </w:t>
      </w:r>
    </w:p>
    <w:p w14:paraId="2310FD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линкору "Советская Россия" на 12%.</w:t>
      </w:r>
    </w:p>
    <w:p w14:paraId="5DE25E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Вопрос о калибре главной артиллерии для тяжелых крейсеров решить не позже середины ноября.</w:t>
      </w:r>
    </w:p>
    <w:p w14:paraId="5053FC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Строительство остальных линкоров в 1941 году ограничить и установить для них следующие сроки спуска на воду: </w:t>
      </w:r>
    </w:p>
    <w:p w14:paraId="41183F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линкор "Советский Союз" на заводе № 189 в Ленинграде - июнь 1943 год, </w:t>
      </w:r>
    </w:p>
    <w:p w14:paraId="5A3FE8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линкор "Советская Украина" на заводе № 198 в Николаеве - июнь 1943 год.</w:t>
      </w:r>
    </w:p>
    <w:p w14:paraId="60B9C8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Строительство линкора "Советская Белоруссия" на заводе № 402 в Молотовске приостановить и металл, выставленный на стапель, разобрать. Взамен разобранного линкора - в 1 кв. 1941 г. заложить в доке 4 эсминца по проекту № 30.</w:t>
      </w:r>
    </w:p>
    <w:p w14:paraId="524CE5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лидеров эсминцев</w:t>
      </w:r>
    </w:p>
    <w:p w14:paraId="6B1BE8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Новых закладок лидеров эсминцев не производить.</w:t>
      </w:r>
    </w:p>
    <w:p w14:paraId="28BB97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Лидер эсминцев № 542, заложенный на заводе № 190, постройкой прекратить.</w:t>
      </w:r>
    </w:p>
    <w:p w14:paraId="3FB421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Находящиеся в постройке на заводе № 198 2 лидера эсминцев №№ 357 и 358 строительством продолжать со сдачей одного в III квартале и второго в IV квартале 1942 года.</w:t>
      </w:r>
    </w:p>
    <w:p w14:paraId="7C75FF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легких крейсеров</w:t>
      </w:r>
    </w:p>
    <w:p w14:paraId="55DA56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Обязать Наркомсудпром произвести закладку по плану IV квартала 1940 года 2 легких крейсеров по проекту № 68 на заводах №№ 200 и 198 в Николаеве. В 1941 году заложить еще 4 легких крейсера, из них: </w:t>
      </w:r>
    </w:p>
    <w:p w14:paraId="342B1F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крейсера на заводе № 189 в Ленинграде, </w:t>
      </w:r>
    </w:p>
    <w:p w14:paraId="756B0E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крейсер на заводе № 194, </w:t>
      </w:r>
    </w:p>
    <w:p w14:paraId="271A4E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крейсер на заводе № 199 в Комсомольске.</w:t>
      </w:r>
    </w:p>
    <w:p w14:paraId="3736FB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иметь в постройке в 1941 году 14 легких крейсеров, из них: по проекту № 68 - 11 крейсеров, по проекту № 26 - 2 крейсера и по типу "Л" - 1 крейсер.</w:t>
      </w:r>
    </w:p>
    <w:p w14:paraId="534929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эсминцев</w:t>
      </w:r>
    </w:p>
    <w:p w14:paraId="38BA20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Обязать Наркомсудпром дополнительно к строящимся и намеченным по плану к закладке в 1940 г. эскадренным миноносцам по пр. № 30 заложить в IV кв. 1940 г. 4 эсминца на заводе № 200 в Николаеве.</w:t>
      </w:r>
    </w:p>
    <w:p w14:paraId="57747A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1941 году заложить следующее количество эсминцев: </w:t>
      </w:r>
    </w:p>
    <w:p w14:paraId="2A7B9B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на заводе № 190 в Ленинграде - 6 единиц </w:t>
      </w:r>
    </w:p>
    <w:p w14:paraId="631673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 №189 " -3 </w:t>
      </w:r>
    </w:p>
    <w:p w14:paraId="6F6375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 402 в г.Молотовске - 8 </w:t>
      </w:r>
    </w:p>
    <w:p w14:paraId="559127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 № 199 в Комсомольске - 2 " </w:t>
      </w:r>
    </w:p>
    <w:p w14:paraId="3CA2D3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19 единиц </w:t>
      </w:r>
    </w:p>
    <w:p w14:paraId="4D8DFB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сторожевых кораблей 18. Обязать Наркомсудпром, кроме имеющихся в постройке 9 сторожевых кораблей, произвести в 1941 г. закладку 11 сторожевиков по проекту № 29.</w:t>
      </w:r>
    </w:p>
    <w:p w14:paraId="5B0506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Головной сторожевой корабль на заводе № 190 в Ленинграде сдать в 1941 году.</w:t>
      </w:r>
    </w:p>
    <w:p w14:paraId="6AD986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1942 году сдать 11 сторожевых кораблей и остальные 8 сдать в 1943 г.</w:t>
      </w:r>
    </w:p>
    <w:p w14:paraId="360F5A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тральщиков</w:t>
      </w:r>
    </w:p>
    <w:p w14:paraId="06213B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Строительство быстроходных паровых тральщиков по пр. № 59 на 1941 г. ограничить имеющимися в постройке 20 единицами.</w:t>
      </w:r>
    </w:p>
    <w:p w14:paraId="4405B6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Наркомсудпром в 1941 году вместо закладки паровых быстроходных тральщиков заложить 7 базовых дизельных тральщиков по пр. № 53-у, со сроком сдачи их в 1942 году.</w:t>
      </w:r>
    </w:p>
    <w:p w14:paraId="2A2572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числа 20 строящихся быстроходных тральщиков в 1941 г. сдать 6 единиц, в 1942 г. сдать 12 и в 1943 г. - 2 тральщика.</w:t>
      </w:r>
    </w:p>
    <w:p w14:paraId="79A777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подлодок</w:t>
      </w:r>
    </w:p>
    <w:p w14:paraId="289363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 Обязать Наркомсудпром произвести закладку следующего количества подводных лодок в 1941 году: </w:t>
      </w:r>
    </w:p>
    <w:p w14:paraId="394D6B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21 подлодку типа "Сталинец", из них: 2 подлодки на заводе № 196 взамен предполагаемого к закладке сторожевого корабля - ледокола для НКВД. Закладку сторожевика ледокола отменить.</w:t>
      </w:r>
    </w:p>
    <w:p w14:paraId="6A27E0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2 подлодки типа "Щука", </w:t>
      </w:r>
    </w:p>
    <w:p w14:paraId="16EF96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13 малых двухзальных подлодок XV серии.</w:t>
      </w:r>
    </w:p>
    <w:p w14:paraId="005DC9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21. Обязать Наркомсудпром в 1941 году сдать НКВМФ следующее количество подлодок: </w:t>
      </w:r>
    </w:p>
    <w:p w14:paraId="28F793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больших подлодок типа "К" XIV серии - 4 единицы </w:t>
      </w:r>
    </w:p>
    <w:p w14:paraId="3CED03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больших подлодок типа "Ленинец" XIII сер. - 6 </w:t>
      </w:r>
    </w:p>
    <w:p w14:paraId="6BB699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средних подлодок типа "Сталинец" IX-бис сер. - 11 </w:t>
      </w:r>
    </w:p>
    <w:p w14:paraId="573BC8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средних подлодок типа "Щука" Х-бис сер. - 4 </w:t>
      </w:r>
    </w:p>
    <w:p w14:paraId="2B7A5C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малых подлодок XII серии (одновальных) - 12 </w:t>
      </w:r>
    </w:p>
    <w:p w14:paraId="10434B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малых подлодок XV серии (двухзальных) - 3 </w:t>
      </w:r>
    </w:p>
    <w:p w14:paraId="00BD96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Снять с Мурманской верфи Наркомрыбпрома постройку 2 подлодок типа "Щука", подлежащих закладке в 1940 - 41 гг., увеличив соответственно заказ НКВМФ по судоремонту на этой верфи.</w:t>
      </w:r>
    </w:p>
    <w:p w14:paraId="0443D4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Председатель Совета Народных Комиссаров Союза ССР В. Молотов </w:t>
      </w:r>
    </w:p>
    <w:p w14:paraId="394CE1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Секретарь Центрального Комитета ВКП(б) И.Сталин (АП РФ. Ф.93. Коллекция документов) (10694).</w:t>
      </w:r>
    </w:p>
    <w:p w14:paraId="557834F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9586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правительство пересмотрело план военного судостроения и решили продолжать строить пл, малые надводные корабли - эсминцы и тральщики (2139,8).</w:t>
      </w:r>
    </w:p>
    <w:p w14:paraId="26497C5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C34B3C1"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 Решением ЦК ВКП (б) и СНК предусматривалось форсированное строительство легких сил ВМФ (легких крейсеров, эсминцев, сторожевых кораблей, подводных лодок). Всего за 3,5 года третьей пятилетки флоту были сданы 4 легких крейсера, 5 лидеров, 30 эсминцев, 63 подлодки, 32 быстроходных тральщика (18297).</w:t>
      </w:r>
    </w:p>
    <w:p w14:paraId="3CE0E741" w14:textId="77777777" w:rsidR="006A4FB6" w:rsidRPr="00A3026E" w:rsidRDefault="006A4FB6" w:rsidP="00A3026E">
      <w:pPr>
        <w:spacing w:after="0" w:line="240" w:lineRule="auto"/>
        <w:jc w:val="both"/>
        <w:rPr>
          <w:rFonts w:ascii="Times New Roman" w:hAnsi="Times New Roman"/>
          <w:color w:val="000000" w:themeColor="text1"/>
          <w:sz w:val="16"/>
          <w:szCs w:val="16"/>
        </w:rPr>
      </w:pPr>
    </w:p>
    <w:p w14:paraId="737D0AEC"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shd w:val="clear" w:color="auto" w:fill="FFFFFF"/>
        </w:rPr>
        <w:t>19 октября 1940 был подготовлен Проект постановления СНК СССР и ЦК ВКП(б) "О плане военного судостроения на 1941 год", утвержденный Политбюро ЦК ВКП(б) (22061).</w:t>
      </w:r>
    </w:p>
    <w:p w14:paraId="1F19064F" w14:textId="77777777" w:rsidR="00CF51BC" w:rsidRPr="00A3026E" w:rsidRDefault="00CF51BC" w:rsidP="00A3026E">
      <w:pPr>
        <w:spacing w:after="0" w:line="240" w:lineRule="auto"/>
        <w:jc w:val="both"/>
        <w:rPr>
          <w:rFonts w:ascii="Times New Roman" w:hAnsi="Times New Roman"/>
          <w:color w:val="0070C0"/>
          <w:sz w:val="16"/>
          <w:szCs w:val="16"/>
        </w:rPr>
      </w:pPr>
    </w:p>
    <w:p w14:paraId="1B147112"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w:t>
      </w:r>
    </w:p>
    <w:p w14:paraId="7A428BD0"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162. Постановление СНК СССР и ЦК ВКП(б) № 2073-877сс “О плане военного судостроения на 1941 г.”</w:t>
      </w:r>
    </w:p>
    <w:p w14:paraId="65FAA751"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Источник: </w:t>
      </w:r>
    </w:p>
    <w:p w14:paraId="5BF1B8E6"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652-657.</w:t>
      </w:r>
    </w:p>
    <w:p w14:paraId="634F2DAA"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Архив: </w:t>
      </w:r>
    </w:p>
    <w:p w14:paraId="6F97B1FD"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 РФ. Ф. Р 5446. Оп. Зас. Д. 2. Л. 216-223. Заверенная копия.</w:t>
      </w:r>
    </w:p>
    <w:p w14:paraId="299431F2"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Совершенно секретно.</w:t>
      </w:r>
    </w:p>
    <w:p w14:paraId="354CCE48"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(Особая папка)</w:t>
      </w:r>
    </w:p>
    <w:p w14:paraId="5E9270ED"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форсирования строительства легких надводных сил Военно-морского флота (легкие крейсеры, эскадренные миноносцы, сторожевые корабли) и подводных лодок, особенно типа “Сталинец” и малых двухвальных, Совет народных комиссаров Союза ССР и Центральный комитет ВКП(б) постановляют:</w:t>
      </w:r>
    </w:p>
    <w:p w14:paraId="33032CF5"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линкоров и тяжелых крейсеров</w:t>
      </w:r>
    </w:p>
    <w:p w14:paraId="1BE08C52"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Новых закладок линейных кораблей и тяжелых крейсеров на судостроительных заводах Наркомсудпрома не производить.</w:t>
      </w:r>
    </w:p>
    <w:p w14:paraId="1073ED0D"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Наркомсудпром (т. Носенко) из числа строящихся линкоров и тяжелых крейсеров сосредоточить строительство на следующих кораблях: а) линкор “Советская Россия” на заводе № 402 в Молотовске; б) тяжелый крейсер “Кронштадт” на заводе № 194 в Ленинграде; в) тяжелый крейсер “Севастополь” на заводе № 200 в Николаеве.</w:t>
      </w:r>
    </w:p>
    <w:p w14:paraId="4A59B53C"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3. Установить следующие сроки спуска на воду тяжелых крейсеров: а) тяжелый крейсер “Кронштадт” — в III квартале 1942 г.; б) тяжелый крейсер “Севастополь” — в III квартале 1942 г.; в) по линкору “Советская Россия” довести соответствующую готовность к началу III квартала 1943 г.</w:t>
      </w:r>
    </w:p>
    <w:p w14:paraId="6E8A8A66"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Установить на 1941 г. по указанным в п. 3 кораблям следующее продвижение технической готовности: а) по тяжелому крейсеру “Кронштадт” — на 18%; б) по тяжелому крейсеру “Севастополь” — на 18%; в) по линкору “Советская Россия” — на 12%.</w:t>
      </w:r>
    </w:p>
    <w:p w14:paraId="53EC4F75"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Вопрос о калибре главной артиллерии для тяжелых крейсеров решить не позже середины ноября.</w:t>
      </w:r>
    </w:p>
    <w:p w14:paraId="2BB124A1"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Строительство остальных линкоров в 1941 г. ограничить и установить для них следующие сроки спуска на воду: а) линкор “Советский Союз” на заводе № 189 в Ленинграде — июнь 1943 г.; б) линкор “Советская Украина” на заводе № 198 в Николаеве — июнь 1943 г.</w:t>
      </w:r>
    </w:p>
    <w:p w14:paraId="45D70842"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Строительство линкора “Советская Белоруссия” на заводе № 402 в Молотовске приостановить, и металл, выставленный на стапель, разобрать. Взамен разобранного линкора в I квартале 1941 г. заложить в доке 4 эсминца по проекту № 30.</w:t>
      </w:r>
    </w:p>
    <w:p w14:paraId="6564A8A9"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лидеров и эсминцев</w:t>
      </w:r>
    </w:p>
    <w:p w14:paraId="61A74FAE"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Новых закладок лидеров эсминцев не производить.</w:t>
      </w:r>
    </w:p>
    <w:p w14:paraId="6AA8C2D0"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Лидер эсминцев № 542, заложенный на заводе № 190, постройкой прекратить.</w:t>
      </w:r>
    </w:p>
    <w:p w14:paraId="6746A863"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Находящиеся в постройке на заводе № 198 два лидера эсминцев № 357 и 358 строительством продолжать, со сдачей одного в III квартале и второго в IV квартале 1942 г.</w:t>
      </w:r>
    </w:p>
    <w:p w14:paraId="1CB6BD5A"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легких крейсеров</w:t>
      </w:r>
    </w:p>
    <w:p w14:paraId="298AE1F0"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Обязать Наркомсудпром произвести закладку по плану IV квартала 1940 г. двух легких крейсеров по проекту № 68 на заводах № 200 и № 198 в Николаеве.</w:t>
      </w:r>
    </w:p>
    <w:p w14:paraId="500A8F86"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заложить 4 легких крейсера, из них: 2 крейсера — на заводе № 198 в Ленинграде, 1 крейсер — на заводе № 194 в Ленинграде, 1 крейсер — на заводе № 199 в Комсомольске. Всего иметь в постройке в 1941 г. 14 легких крейсеров, из них: по проекту № 68 — 11 крейсеров, по проекту № 26 — 2 крейсера и по типу “Л” — 1 крейсер.</w:t>
      </w:r>
    </w:p>
    <w:p w14:paraId="4030F1A1"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Установить следующее продвижение технической готовности по легким крейсерам в 1941 г.:</w:t>
      </w:r>
    </w:p>
    <w:p w14:paraId="30B2812F"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л/к “Железняков” на заводе № 194 в Ленинграде — 62%;</w:t>
      </w:r>
    </w:p>
    <w:p w14:paraId="4B12BDCB"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л/к “Чапаев” на заводе № 189 в Ленинграде — 53%;</w:t>
      </w:r>
    </w:p>
    <w:p w14:paraId="2907E6CB"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л/к “Фрунзе” на заводе № 198 в Николаеве — 45%;</w:t>
      </w:r>
    </w:p>
    <w:p w14:paraId="2F2DCF9E"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л/к “Куйбышев” на заводе № 200 в Николаеве — 42,5%;</w:t>
      </w:r>
    </w:p>
    <w:p w14:paraId="0B829A06"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по л/к “Валерий Чкалов” на заводе № 189 в Ленинграде — 37%;</w:t>
      </w:r>
    </w:p>
    <w:p w14:paraId="2C5B7F72"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по л/к № 364 на заводе № 198 в Николаеве — 20%;</w:t>
      </w:r>
    </w:p>
    <w:p w14:paraId="4D34F2C8"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по л/к № 1090 на заводе № 200 в Николаеве — 12%;</w:t>
      </w:r>
    </w:p>
    <w:p w14:paraId="0352CF9B"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по л/к № 7, строящемуся по проекту № 26 (типа “Киров”) на заводе № 199 в Комсомольске — 30%;</w:t>
      </w:r>
    </w:p>
    <w:p w14:paraId="1AF324D5"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л/к № 8 строящемуся по проекту № 26 (типа “Киров”) на заводе № 199 в Комсомольске — 16%;</w:t>
      </w:r>
    </w:p>
    <w:p w14:paraId="7CD8C9B5"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по л/к быв. “Лютцев” — 65%.</w:t>
      </w:r>
    </w:p>
    <w:p w14:paraId="23BF1CCB"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Обязать Наркомсудпром из числа указанных крейсеров в 1942 г. сдать Наркомвоенморфлоту следующие крейсеры: а) л/к “Чапаев” на заводе № 189 в Ленинграде; б) л/к “Железняков” на заводе № 194 в Ленинграде; в) л/к “Фрунзе” на заводе № 198 в Николаеве; г) л/к “Куйбышев” на заводе № 200 в Николаеве; д) л/к типа “Киров” № 7 на заводе № 199 в Комсомольске; е) л/к типа “Лютцев” на заводе № 189 в Ленинграде.</w:t>
      </w:r>
    </w:p>
    <w:p w14:paraId="75C04AEB"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эсминцев</w:t>
      </w:r>
    </w:p>
    <w:p w14:paraId="6D071BE5"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Обязать Наркомсудпром дополнительно к строящимся и намеченным по плану к закладке в 1940 г. эскадренным миноносцам по проекту № 30 заложить в IV квартале 1940 г. 4 эсминца на заводе № 200 в Николаеве.</w:t>
      </w:r>
    </w:p>
    <w:p w14:paraId="44C60A37"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заложить следующее количество эсминцев: а) на заводе № 190 в Ленинграде — 6 ед.; б) на заводе № 189 в Ленинграде — 3 ед.; на заводе № 402 в г. Молотовск — 8 ед.; на заводе № 199 в Комсомольске — 2 ед.; всего — 19 ед.</w:t>
      </w:r>
    </w:p>
    <w:p w14:paraId="7C82BAB7"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Сдать в 1941 г. 8 эскадренных миноносцев по проекту № 7</w:t>
      </w:r>
      <w:r w:rsidRPr="00A3026E">
        <w:rPr>
          <w:rFonts w:ascii="Times New Roman" w:hAnsi="Times New Roman"/>
          <w:color w:val="000000" w:themeColor="text1"/>
          <w:sz w:val="16"/>
          <w:szCs w:val="16"/>
        </w:rPr>
        <w:noBreakHyphen/>
        <w:t>у и 4 миноносца по проекту № 7. В 1942 г сдать 10 эсминцев по проекту № 30 и 2 эсминца по проекту № 7.</w:t>
      </w:r>
    </w:p>
    <w:p w14:paraId="3E41FD69"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Форсировать головной эсминец проекта № 30, строящийся на заводе № 200, с тем, чтобы в декабре 1941 г. приступить к заводским ходовым испытаниям.</w:t>
      </w:r>
    </w:p>
    <w:p w14:paraId="04A37399"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Спустить на воду в 1941 г. 14 миноносцев проекта № 30.</w:t>
      </w:r>
    </w:p>
    <w:p w14:paraId="0D966EE1"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сторожевых кораблей</w:t>
      </w:r>
    </w:p>
    <w:p w14:paraId="5F286D5A"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Обязать Наркомсудпром, кроме имеющихся в постройке 9 сторожевых кораблей, произвести в 1941 г. закладку 11 сторожевиков по проекту № 29. Головной сторожевой корабль на заводе № 190 в Ленинграде сдать в 1941 г. В 1942 г. сдать 11 сторожевых кораблей и остальные 8 сдать в 1943 г.</w:t>
      </w:r>
    </w:p>
    <w:p w14:paraId="2CF7F7B4"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тральщиков</w:t>
      </w:r>
    </w:p>
    <w:p w14:paraId="3FE67E58"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Строительство быстроходных паровых тральщиков по проекту № 59 на 1941 г. ограничить имеющимися в постройке 20 единицами. Обязать Наркомсудпром в 1941 г. вместо закладки паровых быстроходных тральщиков заложить 7 базовых дизельных тральщиков по проекту № 53</w:t>
      </w:r>
      <w:r w:rsidRPr="00A3026E">
        <w:rPr>
          <w:rFonts w:ascii="Times New Roman" w:hAnsi="Times New Roman"/>
          <w:color w:val="000000" w:themeColor="text1"/>
          <w:sz w:val="16"/>
          <w:szCs w:val="16"/>
        </w:rPr>
        <w:noBreakHyphen/>
        <w:t>у со сроком сдачи их в 1942 г. Из числа 20 строящихся быстроходных тральщиков в 1941 г. сдать 6 ед., в 1942 г. сдать 12 ед. и в 1943 г. — 2 тральщика.</w:t>
      </w:r>
    </w:p>
    <w:p w14:paraId="0889DA87"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строительству подлодок</w:t>
      </w:r>
    </w:p>
    <w:p w14:paraId="2B911761"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Обязать Наркомсудпром произвести закладку следующего количества подводных лодок в 1941 г.:</w:t>
      </w:r>
    </w:p>
    <w:p w14:paraId="783AAFC3"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21 подлодку типа “Сталинец”, из них: 2 подлодки — на заводе № 196 взамен предполагаемого к закладке сторожевого корабля-ледокола для НКВД. Закладку сторожевика-ледокола отменить;</w:t>
      </w:r>
    </w:p>
    <w:p w14:paraId="7E75CFA3"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подлодки типа “Щука”;</w:t>
      </w:r>
    </w:p>
    <w:p w14:paraId="08AB8D8A"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13 малых двухвальных подлодок XV серии.</w:t>
      </w:r>
    </w:p>
    <w:p w14:paraId="38619B35"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Обязать Наркомсудпром в 1941 г. сдать Наркомвоенмору следующее количество подлодок:</w:t>
      </w:r>
    </w:p>
    <w:p w14:paraId="138C2350"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больших подлодок типа “К” XIV серии — 4 ед.;</w:t>
      </w:r>
    </w:p>
    <w:p w14:paraId="02336C7D"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больших подлодок типа “Ленинец” XIII серии — 6 ед.;</w:t>
      </w:r>
    </w:p>
    <w:p w14:paraId="09D5A246"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средних подлодок типа “Сталинец” IX</w:t>
      </w:r>
      <w:r w:rsidRPr="00A3026E">
        <w:rPr>
          <w:rFonts w:ascii="Times New Roman" w:hAnsi="Times New Roman"/>
          <w:color w:val="000000" w:themeColor="text1"/>
          <w:sz w:val="16"/>
          <w:szCs w:val="16"/>
        </w:rPr>
        <w:noBreakHyphen/>
        <w:t>бис серии — 11 ед.;</w:t>
      </w:r>
    </w:p>
    <w:p w14:paraId="63BF0702"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средних подлодок тина “Щука” Х</w:t>
      </w:r>
      <w:r w:rsidRPr="00A3026E">
        <w:rPr>
          <w:rFonts w:ascii="Times New Roman" w:hAnsi="Times New Roman"/>
          <w:color w:val="000000" w:themeColor="text1"/>
          <w:sz w:val="16"/>
          <w:szCs w:val="16"/>
        </w:rPr>
        <w:noBreakHyphen/>
        <w:t>бис серии — 4 ед.;</w:t>
      </w:r>
    </w:p>
    <w:p w14:paraId="327CD5AC"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малых подлодок XII серии (одновальных) — 12 ед.;</w:t>
      </w:r>
    </w:p>
    <w:p w14:paraId="7A1DFEFF"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малых подлодок XIV серии (двухвальных) — 3 ед.</w:t>
      </w:r>
    </w:p>
    <w:p w14:paraId="6BCC82D5"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Снять с Мурманской верфи Наркомрыбпрома постройку двух подлодок типа “Щука”, подлежащих закладке в 1940</w:t>
      </w:r>
      <w:r w:rsidRPr="00A3026E">
        <w:rPr>
          <w:rFonts w:ascii="Times New Roman" w:hAnsi="Times New Roman"/>
          <w:color w:val="000000" w:themeColor="text1"/>
          <w:sz w:val="16"/>
          <w:szCs w:val="16"/>
        </w:rPr>
        <w:noBreakHyphen/>
        <w:t>1941 гг., увеличив соответственно заказ Наркомвоенфлота по судоремонту на этой верфи.</w:t>
      </w:r>
    </w:p>
    <w:p w14:paraId="1FC40B82"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Утвердить следующие мероприятия по обеспечению военного судостроения в 1941 г. оборудованием.</w:t>
      </w:r>
    </w:p>
    <w:p w14:paraId="3EFA43E2"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главным турбинам</w:t>
      </w:r>
    </w:p>
    <w:p w14:paraId="220AFDC9"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Обязать Наркомэлектропром (т. Богатырева) поставить Наркомсудпрому следующее количество турбин:</w:t>
      </w:r>
    </w:p>
    <w:p w14:paraId="1AB6C2D7"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 завода ХТГЗ в 1941 г. для тяжелых крейсеров проекта № 69 — 4 турбины и в I квартале 1942 г. — 2 турбины и для легких крейсеров проекта № 68 — 7 турбин и 1 турбину в I квартале 1942 г ;</w:t>
      </w:r>
    </w:p>
    <w:p w14:paraId="705D7C22"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 Уральского турбостроительного завода в 1941 г. для легких крейсеров проекта № 68 — 1 турбину и 1 турбину в I квартале 1942 г.;</w:t>
      </w:r>
    </w:p>
    <w:p w14:paraId="4D700FE0"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 Невского завода им. Ленина для тральщиков проекта № 59 — 12 турбин, из них: 8 турбин — до 1 мая 1941 г.</w:t>
      </w:r>
    </w:p>
    <w:p w14:paraId="5F1DD106"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Обязать Наркомтяжмаш (т. Ефремова) поставить Наркомсудпрому в 1941  г. с Кировского завода для лидеров эсминцев проекта № 48 5 турбин и для эсминцев проекта № 30 17 турбин.</w:t>
      </w:r>
    </w:p>
    <w:p w14:paraId="15E8CC6B"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Обязать Наркомсудпром изготовить в 1941 г. на заводе № 190 им. Жданова 2 турбины для эсминцев проекта № 30 и 14 турбин для сторожевого корабля проекта № 29.</w:t>
      </w:r>
    </w:p>
    <w:p w14:paraId="1EF6D44E"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главным дизелям</w:t>
      </w:r>
    </w:p>
    <w:p w14:paraId="7E3B66FC"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Обязать Наркомтяжмаш (т. Ефремова) поставить в 1941 г. для Наркомсудпрома следующее количество главных дизелей: а) с завода “Русский дизель” — 7 дизелей; б) с Коломенского завода —111 дизелей.</w:t>
      </w:r>
    </w:p>
    <w:p w14:paraId="47EAC9A8"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вспомогательным дизелям</w:t>
      </w:r>
    </w:p>
    <w:p w14:paraId="15471278"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Обязать Наркомтяжмаш (т. Ефремова) поставить для  Наркомсудпрома следующее количество вспомогательных дизелей: а) с завода “Русский дизель” — 29 дизелей; б) с Коломенского завода — 12 дизелей; в) с завода им. Микояна — 69 дизелей; г) с завода “Двигатель революции” — 18 дизелей.</w:t>
      </w:r>
    </w:p>
    <w:p w14:paraId="629C304D"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Обязать Наркомавиапром (т. Шахурина) поставить  Наркомсудпрому в IV квартале 1940 г. с Воронежского завода им. Сталина 33 вспомогательных дизеля, в том числе: дизелей по 70 л. с. — 3 шт., дизелей по 50 л. с. — 22 шт. и дизелей по 25 л. с. — 8 шт.</w:t>
      </w:r>
    </w:p>
    <w:p w14:paraId="1CF5E858"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Наркомсудпром немедленно приступить к организации производства снимаемых с Воронежского завода им. Сталина Наркомавиапрома дизелей мощностью по 210, 140, 105, 80 и 40 л. с. на заводах № 175 в Б. Токмаке и № 112 в Сормово с тем, чтобы в I квартале 1941 г. начать выпуск этих дизелей.</w:t>
      </w:r>
    </w:p>
    <w:p w14:paraId="20DF40CD"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Госплану СССР уменьшить соответственно задание Наркомсудпрому для указанных заводов по производству нефтяных и стационарных дизелей.</w:t>
      </w:r>
    </w:p>
    <w:p w14:paraId="2FC5C13B"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остальных дизелей, снимаемых с Воронежского завода им. Сталина Наркомавиапрома, передать Наркомтяжмашу.</w:t>
      </w:r>
    </w:p>
    <w:p w14:paraId="5092B638"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артиллерийскому вооружению</w:t>
      </w:r>
    </w:p>
    <w:p w14:paraId="27656E9E"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hyperlink r:id="rId45" w:anchor="p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 Обязать Наркомвооружения, Наркомсредмаш и Наркомсудпром произвести поставку артиллерийских башен и вооружения для строящихся кораблей согласно приложению № 1[</w:t>
      </w:r>
      <w:hyperlink r:id="rId46" w:anchor="p2" w:history="1">
        <w:r w:rsidRPr="00A3026E">
          <w:rPr>
            <w:rFonts w:ascii="Times New Roman" w:hAnsi="Times New Roman"/>
            <w:color w:val="000000" w:themeColor="text1"/>
            <w:sz w:val="16"/>
            <w:szCs w:val="16"/>
          </w:rPr>
          <w:t>2</w:t>
        </w:r>
      </w:hyperlink>
      <w:r w:rsidRPr="00A3026E">
        <w:rPr>
          <w:rFonts w:ascii="Times New Roman" w:hAnsi="Times New Roman"/>
          <w:color w:val="000000" w:themeColor="text1"/>
          <w:sz w:val="16"/>
          <w:szCs w:val="16"/>
        </w:rPr>
        <w:t>].</w:t>
      </w:r>
    </w:p>
    <w:p w14:paraId="795168EE"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Для обеспечения производства вооружения легких крейсеров проекта № 68 обязать Наркомтяжмаш (т. Ефремова) приступить к изготовлению башен МК</w:t>
      </w:r>
      <w:r w:rsidRPr="00A3026E">
        <w:rPr>
          <w:rFonts w:ascii="Times New Roman" w:hAnsi="Times New Roman"/>
          <w:color w:val="000000" w:themeColor="text1"/>
          <w:sz w:val="16"/>
          <w:szCs w:val="16"/>
        </w:rPr>
        <w:noBreakHyphen/>
        <w:t>5 в IV квартале текущего года и изготовить Наркомсудпрому в 1941 г. 12 башен МК</w:t>
      </w:r>
      <w:r w:rsidRPr="00A3026E">
        <w:rPr>
          <w:rFonts w:ascii="Times New Roman" w:hAnsi="Times New Roman"/>
          <w:color w:val="000000" w:themeColor="text1"/>
          <w:sz w:val="16"/>
          <w:szCs w:val="16"/>
        </w:rPr>
        <w:noBreakHyphen/>
        <w:t>5.</w:t>
      </w:r>
    </w:p>
    <w:p w14:paraId="433361E1"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w:t>
      </w:r>
      <w:hyperlink r:id="rId47" w:anchor="p3" w:history="1">
        <w:r w:rsidRPr="00A3026E">
          <w:rPr>
            <w:rFonts w:ascii="Times New Roman" w:hAnsi="Times New Roman"/>
            <w:color w:val="000000" w:themeColor="text1"/>
            <w:sz w:val="16"/>
            <w:szCs w:val="16"/>
          </w:rPr>
          <w:t>3</w:t>
        </w:r>
      </w:hyperlink>
      <w:r w:rsidRPr="00A3026E">
        <w:rPr>
          <w:rFonts w:ascii="Times New Roman" w:hAnsi="Times New Roman"/>
          <w:color w:val="000000" w:themeColor="text1"/>
          <w:sz w:val="16"/>
          <w:szCs w:val="16"/>
        </w:rPr>
        <w:t>] Обязать Наркомсудпром (т. Носенко) изготовить в 1941 г. на заводе № 198 в Николаеве четыре 152</w:t>
      </w:r>
      <w:r w:rsidRPr="00A3026E">
        <w:rPr>
          <w:rFonts w:ascii="Times New Roman" w:hAnsi="Times New Roman"/>
          <w:color w:val="000000" w:themeColor="text1"/>
          <w:sz w:val="16"/>
          <w:szCs w:val="16"/>
        </w:rPr>
        <w:noBreakHyphen/>
        <w:t>мм артбашни для легких крейсеров проекта № 58 МК</w:t>
      </w:r>
      <w:r w:rsidRPr="00A3026E">
        <w:rPr>
          <w:rFonts w:ascii="Times New Roman" w:hAnsi="Times New Roman"/>
          <w:color w:val="000000" w:themeColor="text1"/>
          <w:sz w:val="16"/>
          <w:szCs w:val="16"/>
        </w:rPr>
        <w:noBreakHyphen/>
        <w:t>5 и пять 130</w:t>
      </w:r>
      <w:r w:rsidRPr="00A3026E">
        <w:rPr>
          <w:rFonts w:ascii="Times New Roman" w:hAnsi="Times New Roman"/>
          <w:color w:val="000000" w:themeColor="text1"/>
          <w:sz w:val="16"/>
          <w:szCs w:val="16"/>
        </w:rPr>
        <w:noBreakHyphen/>
        <w:t>мм артбащен Б</w:t>
      </w:r>
      <w:r w:rsidRPr="00A3026E">
        <w:rPr>
          <w:rFonts w:ascii="Times New Roman" w:hAnsi="Times New Roman"/>
          <w:color w:val="000000" w:themeColor="text1"/>
          <w:sz w:val="16"/>
          <w:szCs w:val="16"/>
        </w:rPr>
        <w:noBreakHyphen/>
        <w:t>2ЛМ для эсминцев проекта № 30.</w:t>
      </w:r>
    </w:p>
    <w:p w14:paraId="253ED27A"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 Обязать Наркомвооружения (т. Ванникова) изготовить в 1941 г.:</w:t>
      </w:r>
    </w:p>
    <w:p w14:paraId="761D4EB6"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Наркомсудпрому — пятнадцать 130-мм башен Б</w:t>
      </w:r>
      <w:r w:rsidRPr="00A3026E">
        <w:rPr>
          <w:rFonts w:ascii="Times New Roman" w:hAnsi="Times New Roman"/>
          <w:color w:val="000000" w:themeColor="text1"/>
          <w:sz w:val="16"/>
          <w:szCs w:val="16"/>
        </w:rPr>
        <w:noBreakHyphen/>
        <w:t>2ЛМ (сверх 11, поставляемых в 1940 г.) для эсминцев проекта № 30 и семь 130</w:t>
      </w:r>
      <w:r w:rsidRPr="00A3026E">
        <w:rPr>
          <w:rFonts w:ascii="Times New Roman" w:hAnsi="Times New Roman"/>
          <w:color w:val="000000" w:themeColor="text1"/>
          <w:sz w:val="16"/>
          <w:szCs w:val="16"/>
        </w:rPr>
        <w:noBreakHyphen/>
        <w:t>мм артбашен Б</w:t>
      </w:r>
      <w:r w:rsidRPr="00A3026E">
        <w:rPr>
          <w:rFonts w:ascii="Times New Roman" w:hAnsi="Times New Roman"/>
          <w:color w:val="000000" w:themeColor="text1"/>
          <w:sz w:val="16"/>
          <w:szCs w:val="16"/>
        </w:rPr>
        <w:noBreakHyphen/>
        <w:t>28 для мониторов;</w:t>
      </w:r>
    </w:p>
    <w:p w14:paraId="5D618564"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Наркомтяжмашу — 36 качающихся частей башен МК</w:t>
      </w:r>
      <w:r w:rsidRPr="00A3026E">
        <w:rPr>
          <w:rFonts w:ascii="Times New Roman" w:hAnsi="Times New Roman"/>
          <w:color w:val="000000" w:themeColor="text1"/>
          <w:sz w:val="16"/>
          <w:szCs w:val="16"/>
        </w:rPr>
        <w:noBreakHyphen/>
        <w:t>5 и  Наркомсудпрому — 12 качающихся частей МК</w:t>
      </w:r>
      <w:r w:rsidRPr="00A3026E">
        <w:rPr>
          <w:rFonts w:ascii="Times New Roman" w:hAnsi="Times New Roman"/>
          <w:color w:val="000000" w:themeColor="text1"/>
          <w:sz w:val="16"/>
          <w:szCs w:val="16"/>
        </w:rPr>
        <w:noBreakHyphen/>
        <w:t>5 и 10 качающихся частей для башен Б</w:t>
      </w:r>
      <w:r w:rsidRPr="00A3026E">
        <w:rPr>
          <w:rFonts w:ascii="Times New Roman" w:hAnsi="Times New Roman"/>
          <w:color w:val="000000" w:themeColor="text1"/>
          <w:sz w:val="16"/>
          <w:szCs w:val="16"/>
        </w:rPr>
        <w:noBreakHyphen/>
        <w:t>2ЛМ.</w:t>
      </w:r>
    </w:p>
    <w:p w14:paraId="01472F1D"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 Обязать Наркомвооружения (т. Ванникова) спроектировать и изготовить на заводе № 92 в первом полугодии 1941 г. опытный образец башенной установки МУ для бронекатеров. Обязать Наркомсудпром (т. Носенко) поставить для указанной опытной башенной установки бронебашню с Ижорского завода. Программу производства башенных артсистем МУ на 1941 г. установить после испытания и принятия на вооружение опытного образца.</w:t>
      </w:r>
    </w:p>
    <w:p w14:paraId="22E72096"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 По поставке остального оборудования, не предусмотренного в настоящем постановлении, Наркомсудпрому представить в декадный срок свои предложения Комитету обороны при Совнаркоме Союза ССР.</w:t>
      </w:r>
    </w:p>
    <w:p w14:paraId="17D9E50D"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 Поручить Экономсовету при Совнаркоме Союза ССР обеспечить программу военного судостроения в 1941 г. необходимыми материалами. НКСП в декадный срок представить заявку на указанные материалы.</w:t>
      </w:r>
    </w:p>
    <w:p w14:paraId="1D34D870"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 Поручить комиссии в составе т. Жданова, Вознесенского, Носенко. Ванникова, Ефремова, Богатырева и Сабурова в пятидневный срок представить предложения о размещении поковок для судовых валов и судовых турбин.</w:t>
      </w:r>
    </w:p>
    <w:p w14:paraId="0F5FFF12"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 Передать от Наркомбоеприпасов в систему Наркомсудпрома завод № 310 в Кандалакше для организации производства вспомогательных механизмов и судовой арматуры. Передачу произвести по балансу на 1 октября 1940 г.</w:t>
      </w:r>
    </w:p>
    <w:p w14:paraId="70C8FE1C"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 Поручить Наркомсудпрому и Наркомвоенморфлоту внести в декадный срок на рассмотрение Комитета обороны согласованную программу по вспомогательному флоту, по ремонту кораблей на заводах Наркомсудпрома и Наркомвоенморфлота по запасным частям и гражданскому судостроению на заводах Наркомсудпрома.</w:t>
      </w:r>
    </w:p>
    <w:p w14:paraId="69C972F1"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 Поручить Госплану СССР в десятидневный срок внести на утверждение в Комитет обороны  при Совнаркоме Союза ССР программу строительства и ремонта кораблей для Наркомвоенморфлота на предприятиях других наркоматов (кроме Наркомсудпрома).</w:t>
      </w:r>
    </w:p>
    <w:p w14:paraId="704B6608"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Совета народных комиссаров Союза ССРВ. Молотов.</w:t>
      </w:r>
    </w:p>
    <w:p w14:paraId="179642FC"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Секретарь Центрального комитета ВКП(б)И. Сталин.</w:t>
      </w:r>
    </w:p>
    <w:p w14:paraId="7A947D9B"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Помета: «Подлежит возврату в течение 24 часов в Особую группу секретного отдела Управления делами Совнаркома СССР».</w:t>
      </w:r>
    </w:p>
    <w:p w14:paraId="2DA3AF20"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w:t>
      </w:r>
    </w:p>
    <w:p w14:paraId="7B82365D"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48" w:anchor="s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 К пункту сделана поправка: «30. Обязать Наркомвооружения, Наркомсредмаш, Наркомтяжмаш и Наркомсудпром произвести поставку артиллерийских башен и вооружения для строящихся кораблей согласно приложению № 1». (ГА РФ. Ф. Р</w:t>
      </w:r>
      <w:r w:rsidRPr="00A3026E">
        <w:rPr>
          <w:rFonts w:ascii="Times New Roman" w:hAnsi="Times New Roman"/>
          <w:color w:val="000000" w:themeColor="text1"/>
          <w:sz w:val="16"/>
          <w:szCs w:val="16"/>
        </w:rPr>
        <w:noBreakHyphen/>
        <w:t>5446. Оп. Зас. Д. 2. Л. 227.)</w:t>
      </w:r>
    </w:p>
    <w:p w14:paraId="4D6C8286"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49" w:anchor="s2" w:history="1">
        <w:r w:rsidRPr="00A3026E">
          <w:rPr>
            <w:rFonts w:ascii="Times New Roman" w:hAnsi="Times New Roman"/>
            <w:color w:val="000000" w:themeColor="text1"/>
            <w:sz w:val="16"/>
            <w:szCs w:val="16"/>
          </w:rPr>
          <w:t>2</w:t>
        </w:r>
      </w:hyperlink>
      <w:r w:rsidRPr="00A3026E">
        <w:rPr>
          <w:rFonts w:ascii="Times New Roman" w:hAnsi="Times New Roman"/>
          <w:color w:val="000000" w:themeColor="text1"/>
          <w:sz w:val="16"/>
          <w:szCs w:val="16"/>
        </w:rPr>
        <w:t>] Приложение не публикуется (см. там же, Л. 216</w:t>
      </w:r>
      <w:r w:rsidRPr="00A3026E">
        <w:rPr>
          <w:rFonts w:ascii="Times New Roman" w:hAnsi="Times New Roman"/>
          <w:color w:val="000000" w:themeColor="text1"/>
          <w:sz w:val="16"/>
          <w:szCs w:val="16"/>
        </w:rPr>
        <w:noBreakHyphen/>
        <w:t>226).</w:t>
      </w:r>
    </w:p>
    <w:p w14:paraId="56D82885"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50" w:anchor="s3" w:history="1">
        <w:r w:rsidRPr="00A3026E">
          <w:rPr>
            <w:rFonts w:ascii="Times New Roman" w:hAnsi="Times New Roman"/>
            <w:color w:val="000000" w:themeColor="text1"/>
            <w:sz w:val="16"/>
            <w:szCs w:val="16"/>
          </w:rPr>
          <w:t>3</w:t>
        </w:r>
      </w:hyperlink>
      <w:r w:rsidRPr="00A3026E">
        <w:rPr>
          <w:rFonts w:ascii="Times New Roman" w:hAnsi="Times New Roman"/>
          <w:color w:val="000000" w:themeColor="text1"/>
          <w:sz w:val="16"/>
          <w:szCs w:val="16"/>
        </w:rPr>
        <w:t>] К пункту сделана поправка: «32. Обязать Наркомсудпром (т. Носенко) изготовить в 1941 г. на заводе № 198 в Николаеве 4 152</w:t>
      </w:r>
      <w:r w:rsidRPr="00A3026E">
        <w:rPr>
          <w:rFonts w:ascii="Times New Roman" w:hAnsi="Times New Roman"/>
          <w:color w:val="000000" w:themeColor="text1"/>
          <w:sz w:val="16"/>
          <w:szCs w:val="16"/>
        </w:rPr>
        <w:noBreakHyphen/>
        <w:t>мм артбашни для легких крейсеров проекта № 68 МК</w:t>
      </w:r>
      <w:r w:rsidRPr="00A3026E">
        <w:rPr>
          <w:rFonts w:ascii="Times New Roman" w:hAnsi="Times New Roman"/>
          <w:color w:val="000000" w:themeColor="text1"/>
          <w:sz w:val="16"/>
          <w:szCs w:val="16"/>
        </w:rPr>
        <w:noBreakHyphen/>
        <w:t>5 и 5 130</w:t>
      </w:r>
      <w:r w:rsidRPr="00A3026E">
        <w:rPr>
          <w:rFonts w:ascii="Times New Roman" w:hAnsi="Times New Roman"/>
          <w:color w:val="000000" w:themeColor="text1"/>
          <w:sz w:val="16"/>
          <w:szCs w:val="16"/>
        </w:rPr>
        <w:noBreakHyphen/>
        <w:t>мм артбашен Б</w:t>
      </w:r>
      <w:r w:rsidRPr="00A3026E">
        <w:rPr>
          <w:rFonts w:ascii="Times New Roman" w:hAnsi="Times New Roman"/>
          <w:color w:val="000000" w:themeColor="text1"/>
          <w:sz w:val="16"/>
          <w:szCs w:val="16"/>
        </w:rPr>
        <w:noBreakHyphen/>
        <w:t>2ЛМ для эсминцев проекта № 30». (ГА РФ. Ф. Р</w:t>
      </w:r>
      <w:r w:rsidRPr="00A3026E">
        <w:rPr>
          <w:rFonts w:ascii="Times New Roman" w:hAnsi="Times New Roman"/>
          <w:color w:val="000000" w:themeColor="text1"/>
          <w:sz w:val="16"/>
          <w:szCs w:val="16"/>
        </w:rPr>
        <w:noBreakHyphen/>
        <w:t>5446. Оп. Зас. Д. 2. Л. 227.)</w:t>
      </w:r>
    </w:p>
    <w:p w14:paraId="3D9747FD" w14:textId="77777777" w:rsidR="00355303" w:rsidRPr="00A3026E" w:rsidRDefault="0035530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 РФ. Ф. Р</w:t>
      </w:r>
      <w:r w:rsidRPr="00A3026E">
        <w:rPr>
          <w:rFonts w:ascii="Times New Roman" w:hAnsi="Times New Roman"/>
          <w:color w:val="000000" w:themeColor="text1"/>
          <w:sz w:val="16"/>
          <w:szCs w:val="16"/>
        </w:rPr>
        <w:noBreakHyphen/>
        <w:t>5446. Оп. Зас. Д. 2. Л. 216-223. Заверенная копия (18004).</w:t>
      </w:r>
    </w:p>
    <w:p w14:paraId="6FB18E4C" w14:textId="77777777" w:rsidR="00355303" w:rsidRPr="00A3026E" w:rsidRDefault="00355303" w:rsidP="00A3026E">
      <w:pPr>
        <w:spacing w:after="0" w:line="240" w:lineRule="auto"/>
        <w:jc w:val="both"/>
        <w:rPr>
          <w:rFonts w:ascii="Times New Roman" w:hAnsi="Times New Roman"/>
          <w:color w:val="000000" w:themeColor="text1"/>
          <w:sz w:val="16"/>
          <w:szCs w:val="16"/>
        </w:rPr>
      </w:pPr>
    </w:p>
    <w:p w14:paraId="09ACEE34" w14:textId="77777777" w:rsidR="00F25154"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4A3AE648" w14:textId="77777777" w:rsidR="00F25154" w:rsidRPr="00A3026E" w:rsidRDefault="00F25154" w:rsidP="00A3026E">
      <w:pPr>
        <w:spacing w:after="0" w:line="240" w:lineRule="auto"/>
        <w:jc w:val="both"/>
        <w:rPr>
          <w:rFonts w:ascii="Times New Roman" w:hAnsi="Times New Roman"/>
          <w:iCs/>
          <w:color w:val="000000" w:themeColor="text1"/>
          <w:sz w:val="16"/>
          <w:szCs w:val="16"/>
        </w:rPr>
      </w:pPr>
    </w:p>
    <w:p w14:paraId="50A12422" w14:textId="77777777" w:rsidR="00F25154" w:rsidRPr="00A3026E" w:rsidRDefault="00F25154"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color w:val="000000" w:themeColor="text1"/>
          <w:sz w:val="16"/>
          <w:szCs w:val="16"/>
        </w:rPr>
        <w:t>19 октября 1940 г. Гитлер официальным приказом остановил операцию по вторжению в Великобританию «Морской Лев». Приказано прекратить сосредоточение сил, средств и флота вторжения, а суда уже собранные в портах погрузки армии рассредоточить, чтобы избежать потерь от действий вражеской (британской) авиации (17398).</w:t>
      </w:r>
    </w:p>
    <w:p w14:paraId="50F40D3C" w14:textId="77777777" w:rsidR="00F25154" w:rsidRPr="00A3026E" w:rsidRDefault="00F25154" w:rsidP="00A3026E">
      <w:pPr>
        <w:spacing w:after="0" w:line="240" w:lineRule="auto"/>
        <w:jc w:val="both"/>
        <w:rPr>
          <w:rFonts w:ascii="Times New Roman" w:hAnsi="Times New Roman"/>
          <w:iCs/>
          <w:color w:val="000000" w:themeColor="text1"/>
          <w:sz w:val="16"/>
          <w:szCs w:val="16"/>
        </w:rPr>
      </w:pPr>
    </w:p>
    <w:p w14:paraId="7578F6D5"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19 октября 1940 - Единственный бомбардировочный авианалёт на государство Бахрейн, которое в то время контролировалось Британской империей. Целью Королевских итальянских ВВС (Regia Aeronautica) было уничтожение нефтедобывающих районов Бахрейна. Единственная в истории Второй мировой войны военная операция с прямым участием одной из стран «Оси» (Италии), произошедшая в Персидском заливе.</w:t>
      </w:r>
    </w:p>
    <w:p w14:paraId="3CA23E6B"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Четыре итальянских бомбардировщика Savoia-Marchetti SM.82s атаковали американский нефтеперерабатывающий завод в Бахрейне, кроме того бомбардировщики нанесли удар по близ расположенному городу Дахран в Саудовской Аравии, но, причинив там лишь незначительные повреждения, (существует версия что удар по Дахрану был нанесен по ошибке).</w:t>
      </w:r>
    </w:p>
    <w:p w14:paraId="37415E39"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Чтобы нанести удар по контролируемым Британией нефтеперерабатывающим заводам в городе Манама в Персидском заливе, итальянские бомбардировщики совершили перелёт c греческого острова Родос длинной в 4200 км (2610 миль), длившийся 15 часов при скорости 270 км/ч, что, возможно, было рекордом для такой бомбардировочной миссии. Каждый самолет нес 1500 кг бомб. Итог операции оказался более-менее успешным, застигнув цель врасплох итальянские бомбардировщики без проблем перелетели в Итальянскую Эритрею, где приземлились на аэродроме в Зуле.</w:t>
      </w:r>
    </w:p>
    <w:p w14:paraId="61C871E5"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 время рейда было сброшено 132 авиабомбы каждая весом в 15 килограмм и серьезно повреждено два нефтеперерабатывающих завода.</w:t>
      </w:r>
    </w:p>
    <w:p w14:paraId="61C63914"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Налёт на Бахрейн оказался полной неожиданностью для британцев. Никто не мог предположить, что итальянские бомбардировщики смогут долететь так далеко. Одной из самых крайних точек бомбардировочных авианалётов итальянцев до этого момента была лишь подмандатная Британии Палестина, тогда как Бахрейн находился на расстоянии более 1600 километров от этого места (22322).</w:t>
      </w:r>
    </w:p>
    <w:p w14:paraId="0C889AC5" w14:textId="77777777" w:rsidR="00CF51BC" w:rsidRPr="00A3026E" w:rsidRDefault="00CF51BC" w:rsidP="00A3026E">
      <w:pPr>
        <w:spacing w:after="0" w:line="240" w:lineRule="auto"/>
        <w:jc w:val="both"/>
        <w:rPr>
          <w:rFonts w:ascii="Times New Roman" w:hAnsi="Times New Roman"/>
          <w:color w:val="0070C0"/>
          <w:sz w:val="16"/>
          <w:szCs w:val="16"/>
        </w:rPr>
      </w:pPr>
    </w:p>
    <w:p w14:paraId="3DAC8B5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F69781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C3015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В.К.Коккинаки через десять летных дней (80,216) - то есть к 20-21 октября - завершил заводские испытания ЦКБ-57 (5).</w:t>
      </w:r>
    </w:p>
    <w:p w14:paraId="4BBA286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AC3D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октября 1940 Б-1 был вывезен на летное поле 22-го завода, проведены наземные работы и рулежки. Памятуя о печальном опыте испытаний СПБ 2М-105, сопровождавшихся катастрофами и многочисленными вынужденными посадками по вине моторов М-105, первые полеты Б-1 по программе заводских испытаний решили выполнить с большого аэродрома. Самолет перевезли на Центральный аэродром (9660).</w:t>
      </w:r>
    </w:p>
    <w:p w14:paraId="4DC3018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D1F4D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октября 1940 Левин и Сидорин подписали заключение по летным 50 часовым испытаниям АМ-35А на И-200</w:t>
      </w:r>
    </w:p>
    <w:p w14:paraId="44E162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закончились летные 50 часовые испытания АМ-35А на И-200, которые начались 4 сентября 1940 (841).</w:t>
      </w:r>
    </w:p>
    <w:p w14:paraId="158287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Нач. НИИ ВВС А.И.Филин утвердил Отчет о летных 50 часовых летных испытаниях АМ-35А на И-200</w:t>
      </w:r>
    </w:p>
    <w:p w14:paraId="4B8D06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 м А.А.Автономов</w:t>
      </w:r>
    </w:p>
    <w:p w14:paraId="7C3FA7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стл И.М.Савченко</w:t>
      </w:r>
    </w:p>
    <w:p w14:paraId="310056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 Н.М.Милославский</w:t>
      </w:r>
    </w:p>
    <w:p w14:paraId="74FECB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вт2р Чернибыл</w:t>
      </w:r>
    </w:p>
    <w:p w14:paraId="6DD144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 вт1р Ф.Щукин</w:t>
      </w:r>
    </w:p>
    <w:p w14:paraId="1046E7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B3353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Мотор АМ-35А № 7 специальные 50-часовые летные испытания в НИИ ВВС КА из-за аварии нагнетателя не прошел.</w:t>
      </w:r>
    </w:p>
    <w:p w14:paraId="4B23E6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Просить Нач. 8 ГУ НКАП не позднее 1 января 1941 предъявить в НИИ ВВС мотор АМ-35А с измененным нагнетателем на с-те И-200 на повторные специальные 50-часовые летные испытания</w:t>
      </w:r>
    </w:p>
    <w:p w14:paraId="3B581B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Подписали: Левин, Сидорин 20 октября 1940</w:t>
      </w:r>
    </w:p>
    <w:p w14:paraId="3E222A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3FD1B9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24 часу работы в воздухе произошла авария нагнетателя - разрушилась опора валика крыльчатки нагнетателя:</w:t>
      </w:r>
    </w:p>
    <w:p w14:paraId="6BD546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маслосистема с-та И-200 не обеспечивает нормальной подачи масла в мотор при обратной перегрузке (вход в пикирование с лета)</w:t>
      </w:r>
    </w:p>
    <w:p w14:paraId="6FFDB0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водорадиатор с трубкой диаметром 8 мм работает ненадежно, потек</w:t>
      </w:r>
    </w:p>
    <w:p w14:paraId="726FCE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винт не сохраняет обороты в горизонтальном полете на высоте 7000 м и дает раскрутку на пикировании с газом и без газа</w:t>
      </w:r>
    </w:p>
    <w:p w14:paraId="465266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редукция для с-та не подобрана (надо 0,92 изменить на более низкую). Следует испытать с-т с редукцией 0,732 (841).</w:t>
      </w:r>
    </w:p>
    <w:p w14:paraId="6235563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3A3748"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20 октября 1940 г. в лаборатории №3 ЦАГИ закончились испытания на предмет исследования внешних нагрузок на хвостовом оперении "польского самолета PZL-Лось, которые шли с 27 июня. Это был двухмоторный бомбардировщик-моноплан со средним расположением крыла, с двойным вертикальным оперением", причем указывалось, что "самолет достаточно изношен". Судя по этим признакам, а также по двигателям "Бристоль Пегас" ХII, этот самолет относился к модификации PZL P37A bis, которая к началу войны использовалась в Польше, в основном, для учебных целей. На нем летал летчик В.И.Терехин, а отчет об испытаниях был составлен 18 ноября 1940 г. ведущим инженером В.В.Волковичем. В работе указаны результаты летных испытаний на распределение давления по поверхности горизонтального и вертикального оперения самолета на различных режимах полета. </w:t>
      </w:r>
    </w:p>
    <w:p w14:paraId="5B6785D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Вышеприведенные данные о самолете "Лось" отличаются от информации, приводимой В.Р.Котельниковым в статье ""Лось" в небе". Он сообщал, что ни один из двух попавших в СССР экземпляров после весны 1940 г. не восстанавливался и не эксплуатировался. Но это было не так. Как явствует из документов, на 8 октября 1940 г. в составе самолетного парка 8-й лаборатории ЦАГИ значилось два типа польских машин. Одной из них был ПЗЛ "Лось", выпущенный в 1938 г, который находился в лаборатории с апреля 1940 г. К этому времени он налетал 127 часов и один раз побывал в ремонте. Эти данные практически полностью совпадают с описывавшимся В.Р.Котельниковым PZL P.37A bis из НИИ ВВС: во-первых, он был также выпущен в первой половине 1938 г., во-вторых также имел налет более 100 часов, а в третьих работы по его обследованию в НИИ ВВС завершились именно в конце весны 1940 г Так как других самолетов типа "Лось" в авиапарке ЦАГИ не было, с уверенностью можно сказать, что он был передан туда из НИИ ВВС и, в отличии от версии В.Р.Котельникова, его изучение, включая летные испытания, все-таки было продолжено. </w:t>
      </w:r>
    </w:p>
    <w:p w14:paraId="2D8599C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своих воспоминаниях известный советский летчик-испытатель П.М.Стефановский характеризовал "Лось" как "вполне современный бомбардировщик". Он указывал, что перед тем как передать польские машины в НИИ ВВС, ""Лосей" продемонстрировали нашему правительству на земле и в воздухе" (11465).</w:t>
      </w:r>
    </w:p>
    <w:p w14:paraId="7968AAD3"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3F6E4A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октября 1940 г. было письмо Наркому боеприпасов И.П.Сергееву от директора НИИ-3 НКБ Б.М.Слонимера: «В 1940 г. успешно испытаны с по</w:t>
      </w:r>
      <w:r w:rsidRPr="00A3026E">
        <w:rPr>
          <w:rFonts w:ascii="Times New Roman" w:hAnsi="Times New Roman"/>
          <w:color w:val="000000" w:themeColor="text1"/>
          <w:sz w:val="16"/>
          <w:szCs w:val="16"/>
        </w:rPr>
        <w:softHyphen/>
        <w:t>ложительным результатом: БетАБ-254 мм с ДС и отработана БРАВ-305 мм с ДС. Учитывая, что в боевых условиях осколочные РС-82 (в 1939 г. против японской авиации) и РС-132 (в 1940 г. против белофинов) пока</w:t>
      </w:r>
      <w:r w:rsidRPr="00A3026E">
        <w:rPr>
          <w:rFonts w:ascii="Times New Roman" w:hAnsi="Times New Roman"/>
          <w:color w:val="000000" w:themeColor="text1"/>
          <w:sz w:val="16"/>
          <w:szCs w:val="16"/>
        </w:rPr>
        <w:softHyphen/>
        <w:t>зали большую тактическую и боевую эффективность, считаю возмож</w:t>
      </w:r>
      <w:r w:rsidRPr="00A3026E">
        <w:rPr>
          <w:rFonts w:ascii="Times New Roman" w:hAnsi="Times New Roman"/>
          <w:color w:val="000000" w:themeColor="text1"/>
          <w:sz w:val="16"/>
          <w:szCs w:val="16"/>
        </w:rPr>
        <w:softHyphen/>
        <w:t>ным просить Вас ходатайствовать перед Правительством СССР о награ</w:t>
      </w:r>
      <w:r w:rsidRPr="00A3026E">
        <w:rPr>
          <w:rFonts w:ascii="Times New Roman" w:hAnsi="Times New Roman"/>
          <w:color w:val="000000" w:themeColor="text1"/>
          <w:sz w:val="16"/>
          <w:szCs w:val="16"/>
        </w:rPr>
        <w:softHyphen/>
        <w:t>ждении наиболее отличившихся конструкторов и работников НИИ-3 за создание новых видов вооружений» (11402).</w:t>
      </w:r>
    </w:p>
    <w:p w14:paraId="052B09E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F279A8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D5F8B4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56DF3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20 по 24 октября 1940 года на Гороховецком полигоне были проведены заводские испытания опытного образца установки Ф-38. Ф-38 была смонтирована в броневой защите Л-17. За 42 минуты из установки было выпущено 200 снарядов. На вооружение Ф-38 принята не была (3861).</w:t>
      </w:r>
    </w:p>
    <w:p w14:paraId="06164EB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0D6FF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октября 1940 г. торпедный катер Г-8 был включен в состав Черноморского флота. В 1942—1943 гг. он активно участвовал в боевых действиях. Вместо 20-мм пушек ШВАК катер в 1943 г. вооружили тремя 12,7-мм пулеметами ДШК. В 1942 г. он участвовал не менее чем в трех операциях по по</w:t>
      </w:r>
      <w:r w:rsidRPr="00A3026E">
        <w:rPr>
          <w:rFonts w:ascii="Times New Roman" w:hAnsi="Times New Roman"/>
          <w:color w:val="000000" w:themeColor="text1"/>
          <w:sz w:val="16"/>
          <w:szCs w:val="16"/>
        </w:rPr>
        <w:softHyphen/>
        <w:t>иску вражеских кораблей, но все они закончились безрезуль</w:t>
      </w:r>
      <w:r w:rsidRPr="00A3026E">
        <w:rPr>
          <w:rFonts w:ascii="Times New Roman" w:hAnsi="Times New Roman"/>
          <w:color w:val="000000" w:themeColor="text1"/>
          <w:sz w:val="16"/>
          <w:szCs w:val="16"/>
        </w:rPr>
        <w:softHyphen/>
        <w:t>татно. А в ночь на 21 мая 1943г. при попытке доставить бо</w:t>
      </w:r>
      <w:r w:rsidRPr="00A3026E">
        <w:rPr>
          <w:rFonts w:ascii="Times New Roman" w:hAnsi="Times New Roman"/>
          <w:color w:val="000000" w:themeColor="text1"/>
          <w:sz w:val="16"/>
          <w:szCs w:val="16"/>
        </w:rPr>
        <w:softHyphen/>
        <w:t>еприпасы на «Малую землю» Г-8 был атакован тремя герман</w:t>
      </w:r>
      <w:r w:rsidRPr="00A3026E">
        <w:rPr>
          <w:rFonts w:ascii="Times New Roman" w:hAnsi="Times New Roman"/>
          <w:color w:val="000000" w:themeColor="text1"/>
          <w:sz w:val="16"/>
          <w:szCs w:val="16"/>
        </w:rPr>
        <w:softHyphen/>
        <w:t>скими торпедными катерами, но его спасли сторожевые катера 0016, 032 и 0141 (10675).</w:t>
      </w:r>
    </w:p>
    <w:p w14:paraId="7312BC5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D1109B"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5F76D57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CE7F0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20 октября 1940 в 200-м и 203-м ДБАП имелось по шесть машин ДБ-3М (из 62), в 221-м - 15, в 223-м - семь. Семь полков не получили ничего! (7494).</w:t>
      </w:r>
    </w:p>
    <w:p w14:paraId="190EAA2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2A1F8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20 октября 1940 в 200-м и 203-м дбап имелось по шесть машин (из 62), в 221-м - 15, в 223-м - семь. Семь полков не получили ничего!</w:t>
      </w:r>
    </w:p>
    <w:p w14:paraId="7ACDD7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 не менее, уже к июлю 1940 г. появились части, практически полностью укомплектованные ДБ-ЗФ. Например, в 8-м дбап на 25 июля значатся даже 72 ДБ-ЗФ с моторами М-88. Новые самолеты стали поступать в Московский, Ленинградский, Северо-Кавказский и другие округа. Лишь на Дальнем Востоке монопольно царили старые ДБ-3. Там сохранилось еще немало машин с М-85 и М-86. "...в 5-й аб имеется 48 самолетов ДБ-3 первого выпуска разных заводов. Все эти самолеты требуют модернизации и в настоящее время небоеспособны из-за отсутствия запчастей, т.к. запчасти серийных самолетов не подходят", - сообщали оттуда.</w:t>
      </w:r>
    </w:p>
    <w:p w14:paraId="45C844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Внедрение ДБ-ЗФ в строевых частях поначалу вызвало много неприятностей. "Первый же месяц эксплоатации этих самолетов выявил ряд серьезнейших дефектов и недостатков конструктивно-производственного порядка...", - писал в июне 1940 г. заместитель начальника ВВС Смушкевич новому наркому обороны маршалу Тимошенко. Расход горючего оказался почти вдвое больше, чем у ДБ-ЗБ. Впоследствии выявили дефект карбюраторов АК-88, дававших переобогащенную смесь. Карбюраторы еще периодически и горели при заходе на посадку. Жаловались на недостаточную прочность капотов моторов и всасывающих патрубков - трескаются. Полужесткие баки деформировались. Из-за неудачной конструкции заборников в баках оставался значительный невырабатываемый запас горючего, превышавший 150 л. И, наконец, в носовой кабине плохо закреплялось сиденье штурмана: "При резких толчках на рулении сиденье вместе со штурманом попадает в педали управления самолетом...".</w:t>
      </w:r>
    </w:p>
    <w:p w14:paraId="2EF561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ДБ-ЗФ не вызывал восторга и у пилотов. Изменение центровки привело к значительному снижению устойчивости. "Пилотажные качества самолетов ДБ-ЗФ в значительной степени ухудшились по сравнению с качествами самолета ДБ-3", - писал Смушкевич (12021).</w:t>
      </w:r>
    </w:p>
    <w:p w14:paraId="16BBF0D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3130CBF" w14:textId="77777777" w:rsidR="00C66762"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За</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рубежом</w:t>
      </w:r>
      <w:r w:rsidRPr="00A3026E">
        <w:rPr>
          <w:rFonts w:ascii="Times New Roman" w:hAnsi="Times New Roman"/>
          <w:i/>
          <w:iCs/>
          <w:color w:val="000000" w:themeColor="text1"/>
          <w:sz w:val="16"/>
          <w:szCs w:val="16"/>
          <w:lang w:val="en-US"/>
        </w:rPr>
        <w:t>:</w:t>
      </w:r>
    </w:p>
    <w:p w14:paraId="4CDCCE68" w14:textId="77777777" w:rsidR="00C66762" w:rsidRPr="00A3026E" w:rsidRDefault="00C66762" w:rsidP="00A3026E">
      <w:pPr>
        <w:spacing w:after="0" w:line="240" w:lineRule="auto"/>
        <w:jc w:val="both"/>
        <w:rPr>
          <w:rFonts w:ascii="Times New Roman" w:hAnsi="Times New Roman"/>
          <w:iCs/>
          <w:color w:val="000000" w:themeColor="text1"/>
          <w:sz w:val="16"/>
          <w:szCs w:val="16"/>
          <w:lang w:val="en-US"/>
        </w:rPr>
      </w:pPr>
    </w:p>
    <w:p w14:paraId="4DE74F83"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20 October 1940 Hungary joins the Axis powers (270).</w:t>
      </w:r>
    </w:p>
    <w:p w14:paraId="3DE2255D"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27C033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октября 1940 Венгрия присоединилась к странам оси (270).</w:t>
      </w:r>
    </w:p>
    <w:p w14:paraId="137C2A7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762B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октября 1940 в Голландии начали нормировать сыр (3481).</w:t>
      </w:r>
    </w:p>
    <w:p w14:paraId="5964ACD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648192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октября 1940 итальянская авиации впервые бомбила Каир (4962).</w:t>
      </w:r>
    </w:p>
    <w:p w14:paraId="16FA1E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57F0C8B"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 октября 1940 во время авиашоу в Марианне, штат Арканзас, экскурсионный самолет, кружащий над парашютистом, пока он спускается, запутывается в парашюте. Самолет падает, погибли все пять человек на борту, а также парашютист (20795).</w:t>
      </w:r>
    </w:p>
    <w:p w14:paraId="06111CD9" w14:textId="77777777" w:rsidR="00CF51BC" w:rsidRPr="00A3026E" w:rsidRDefault="00CF51BC" w:rsidP="00A3026E">
      <w:pPr>
        <w:spacing w:after="0" w:line="240" w:lineRule="auto"/>
        <w:jc w:val="both"/>
        <w:rPr>
          <w:rFonts w:ascii="Times New Roman" w:hAnsi="Times New Roman"/>
          <w:color w:val="0070C0"/>
          <w:sz w:val="16"/>
          <w:szCs w:val="16"/>
        </w:rPr>
      </w:pPr>
    </w:p>
    <w:p w14:paraId="146932B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2CC2A1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D76AA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октября 1940 вышел приказ НКАП № 570сс:</w:t>
      </w:r>
    </w:p>
    <w:p w14:paraId="1C85AE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исполнение постановления Правительства от 17 октября 1940 года, ПРИКАЗЫВАЮ:</w:t>
      </w:r>
    </w:p>
    <w:p w14:paraId="4F7923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Зам. Наркома, Начачальнику Первого Главного Управления тов. Воронину П.А:</w:t>
      </w:r>
    </w:p>
    <w:p w14:paraId="75618B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организовать производство самолетов ДБ-240 в городе Ро</w:t>
      </w:r>
      <w:r w:rsidRPr="00A3026E">
        <w:rPr>
          <w:rFonts w:ascii="Times New Roman" w:hAnsi="Times New Roman"/>
          <w:color w:val="000000" w:themeColor="text1"/>
          <w:sz w:val="16"/>
          <w:szCs w:val="16"/>
        </w:rPr>
        <w:softHyphen/>
        <w:t>стове на мощность 600 штук в год со сроком ввода в действие ука</w:t>
      </w:r>
      <w:r w:rsidRPr="00A3026E">
        <w:rPr>
          <w:rFonts w:ascii="Times New Roman" w:hAnsi="Times New Roman"/>
          <w:color w:val="000000" w:themeColor="text1"/>
          <w:sz w:val="16"/>
          <w:szCs w:val="16"/>
        </w:rPr>
        <w:softHyphen/>
        <w:t>занной мощности во втором квартале 1942 года.</w:t>
      </w:r>
    </w:p>
    <w:p w14:paraId="3A2D0D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 мощности завода вести исходя из 2-х сменной работы, 8-ми часового рабочего дня и семидневной недели.</w:t>
      </w:r>
    </w:p>
    <w:p w14:paraId="6D7E5F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Для организации производства боевых самолетов в гор. Ростове принять Ростовский автосборочный завод Наркомсредмаша в систему Первого Главного Управления.</w:t>
      </w:r>
    </w:p>
    <w:p w14:paraId="241816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Начальнику Первого Главного Управления и директору Ростовского самолетостроительного завода развернуть немедленно подготовку производства самолетов ДБ-240 и обеспечить в 1941 г. и в первом квартале 1942 года выполнение программы по выпуску самолетов в количестве 65 штук со следующей разбивкой по квар</w:t>
      </w:r>
      <w:r w:rsidRPr="00A3026E">
        <w:rPr>
          <w:rFonts w:ascii="Times New Roman" w:hAnsi="Times New Roman"/>
          <w:color w:val="000000" w:themeColor="text1"/>
          <w:sz w:val="16"/>
          <w:szCs w:val="16"/>
        </w:rPr>
        <w:softHyphen/>
        <w:t>талам:</w:t>
      </w:r>
    </w:p>
    <w:p w14:paraId="4B1F46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квартал 1941 г.</w:t>
      </w:r>
      <w:r w:rsidRPr="00A3026E">
        <w:rPr>
          <w:rFonts w:ascii="Times New Roman" w:hAnsi="Times New Roman"/>
          <w:color w:val="000000" w:themeColor="text1"/>
          <w:sz w:val="16"/>
          <w:szCs w:val="16"/>
        </w:rPr>
        <w:tab/>
        <w:t>5 штук, в т.ч. в сентябре 3 штуки</w:t>
      </w:r>
    </w:p>
    <w:p w14:paraId="09E83B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 " 1941 г.</w:t>
      </w:r>
      <w:r w:rsidRPr="00A3026E">
        <w:rPr>
          <w:rFonts w:ascii="Times New Roman" w:hAnsi="Times New Roman"/>
          <w:color w:val="000000" w:themeColor="text1"/>
          <w:sz w:val="16"/>
          <w:szCs w:val="16"/>
        </w:rPr>
        <w:tab/>
        <w:t>25 шт., в т.ч. в декабре 10 штук</w:t>
      </w:r>
    </w:p>
    <w:p w14:paraId="2D3DF0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 1942. г.</w:t>
      </w:r>
      <w:r w:rsidRPr="00A3026E">
        <w:rPr>
          <w:rFonts w:ascii="Times New Roman" w:hAnsi="Times New Roman"/>
          <w:color w:val="000000" w:themeColor="text1"/>
          <w:sz w:val="16"/>
          <w:szCs w:val="16"/>
        </w:rPr>
        <w:tab/>
        <w:t>35 шт., в т.ч. в марте 15 штук</w:t>
      </w:r>
    </w:p>
    <w:p w14:paraId="3C2F79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Начальнику ГУКС"а тов. Кац:</w:t>
      </w:r>
    </w:p>
    <w:p w14:paraId="04597A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принять от Наркомстроя в 10-ти дневный срок стройконто</w:t>
      </w:r>
      <w:r w:rsidRPr="00A3026E">
        <w:rPr>
          <w:rFonts w:ascii="Times New Roman" w:hAnsi="Times New Roman"/>
          <w:color w:val="000000" w:themeColor="text1"/>
          <w:sz w:val="16"/>
          <w:szCs w:val="16"/>
        </w:rPr>
        <w:softHyphen/>
        <w:t>ру № 1 Севкавтяжстроя с рабочими кадрами, материалами, оборудо</w:t>
      </w:r>
      <w:r w:rsidRPr="00A3026E">
        <w:rPr>
          <w:rFonts w:ascii="Times New Roman" w:hAnsi="Times New Roman"/>
          <w:color w:val="000000" w:themeColor="text1"/>
          <w:sz w:val="16"/>
          <w:szCs w:val="16"/>
        </w:rPr>
        <w:softHyphen/>
        <w:t>ванием, транспортными средствами, а также подсобными предприятия</w:t>
      </w:r>
      <w:r w:rsidRPr="00A3026E">
        <w:rPr>
          <w:rFonts w:ascii="Times New Roman" w:hAnsi="Times New Roman"/>
          <w:color w:val="000000" w:themeColor="text1"/>
          <w:sz w:val="16"/>
          <w:szCs w:val="16"/>
        </w:rPr>
        <w:softHyphen/>
        <w:t>ми, складскими и жилыми помещениями по балансу на 1 октября 1940 года (412,4).</w:t>
      </w:r>
    </w:p>
    <w:p w14:paraId="77AF85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б) на базе 1-й стройконторы Севкавтяжстроя организовать строительно-монтажный трест, возложив на него достройку и реконструкцию авиационного завода в гор. Ростове на основании типового проекта, исходя ив установленной программы и мощности завода.</w:t>
      </w:r>
    </w:p>
    <w:p w14:paraId="239F8C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Вновь организованному тресту присвоить № 16, подчинив его в административном отношении ГУКСу.</w:t>
      </w:r>
    </w:p>
    <w:p w14:paraId="3AEA8B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Построить 3 стоквартирных дома для работников завода -два дома в 1941 году, один дом во втором квартале 1942 года.</w:t>
      </w:r>
    </w:p>
    <w:p w14:paraId="52EA99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Ввиду того, что проектирование авиационного завода в гор. Ростове возложено на Рособлпроект, который обязан закончить проек</w:t>
      </w:r>
      <w:r w:rsidRPr="00A3026E">
        <w:rPr>
          <w:rFonts w:ascii="Times New Roman" w:hAnsi="Times New Roman"/>
          <w:color w:val="000000" w:themeColor="text1"/>
          <w:sz w:val="16"/>
          <w:szCs w:val="16"/>
        </w:rPr>
        <w:softHyphen/>
        <w:t>тирование к 1 Февраля 1941 года, с выдачей рабочих чертежей о 1-гс явваря 1941 года, Начальнику Первого главного Упропления:</w:t>
      </w:r>
    </w:p>
    <w:p w14:paraId="0CFDDD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передать типовой проект Рособлпроекзу не позднее 1.Х1.1940 года;</w:t>
      </w:r>
    </w:p>
    <w:p w14:paraId="023A06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командировать в г. Ростов, для оказания помощи Рособлпроекту, бригаду квалифицированных проектировщиков во главе с главным инженером проекта.</w:t>
      </w:r>
    </w:p>
    <w:p w14:paraId="07081E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Нач. ЦФО тов. Ханину:</w:t>
      </w:r>
    </w:p>
    <w:p w14:paraId="5D977F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оформить, получение из резервного фонда СНК СССР на 1940 год для развертывания строительства и приобретения оборудования, транспорта, , механизмов и стройматериалов - 8 млн. рублей, в том числе 4 млн. рублей в оборотные средства треста.</w:t>
      </w:r>
    </w:p>
    <w:p w14:paraId="17FDB0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оформить получение 3 млн. рублейй из резервного фонда СНК СССР на 1940 год для подготовки и освоения производства бомбардировщиков на Ростовским заводе.</w:t>
      </w:r>
    </w:p>
    <w:p w14:paraId="7A6133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Моему заместителю тов. Кузнецову подобрать квалифицированные кадры ддя оказания технической помощи авиационному заводу в г. Ростове, с действующих заводов.</w:t>
      </w:r>
    </w:p>
    <w:p w14:paraId="7E109B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Начальнику Первого ГлавногоУправления обеспечить оказание техпомощи заводу в г. Ростове путем изготовления производственной оснастки и эталонов.</w:t>
      </w:r>
    </w:p>
    <w:p w14:paraId="5E23B5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Начальнику Отдела Труда и Зарплаты т. Шахназарову представить в Наркомторг СССР контингенты работающих для органиаапии закрытой формы торговли и питания, занятых на производстве и строитель</w:t>
      </w:r>
      <w:r w:rsidRPr="00A3026E">
        <w:rPr>
          <w:rFonts w:ascii="Times New Roman" w:hAnsi="Times New Roman"/>
          <w:color w:val="000000" w:themeColor="text1"/>
          <w:sz w:val="16"/>
          <w:szCs w:val="16"/>
        </w:rPr>
        <w:softHyphen/>
        <w:t>стве Ростовского.самолетостроягельного завода.</w:t>
      </w:r>
    </w:p>
    <w:p w14:paraId="1B00E8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Начальнику Главснаба обеспечить получение материалов и оборудования для самолетестроительного завода в г. Ростове в количествах и сроки, согласно приложений №№ 1, 2, и 3.</w:t>
      </w:r>
    </w:p>
    <w:p w14:paraId="0CDEE8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Начальникам Первого Главного Управления и ИНО представить Наркомвнешторгу спецификации на импортное оборудование для самолетостронтельного завода в гор. Ростове для реализация в 1941 году в объеме, утвержденном Экономсоветом при СНК СССР.</w:t>
      </w:r>
    </w:p>
    <w:p w14:paraId="5E7E60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Этим же постановлением:</w:t>
      </w:r>
    </w:p>
    <w:p w14:paraId="3141C5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Установлен размер накладныя расходов в 25%, в том числе по ад</w:t>
      </w:r>
      <w:r w:rsidRPr="00A3026E">
        <w:rPr>
          <w:rFonts w:ascii="Times New Roman" w:hAnsi="Times New Roman"/>
          <w:color w:val="000000" w:themeColor="text1"/>
          <w:sz w:val="16"/>
          <w:szCs w:val="16"/>
        </w:rPr>
        <w:softHyphen/>
        <w:t>министративно-хозяйственным расходам 10,5% и аванс на приобре</w:t>
      </w:r>
      <w:r w:rsidRPr="00A3026E">
        <w:rPr>
          <w:rFonts w:ascii="Times New Roman" w:hAnsi="Times New Roman"/>
          <w:color w:val="000000" w:themeColor="text1"/>
          <w:sz w:val="16"/>
          <w:szCs w:val="16"/>
        </w:rPr>
        <w:softHyphen/>
        <w:t>тение стройматериалов и оборудования в размере 20%, от объема выполняемых работ.</w:t>
      </w:r>
    </w:p>
    <w:p w14:paraId="435453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Разрешено ввести ввести поправочный коэфипиент 1,20 к тарифным ставкам рабочих и 1,25 - ИТР и служащим на строитель</w:t>
      </w:r>
      <w:r w:rsidRPr="00A3026E">
        <w:rPr>
          <w:rFonts w:ascii="Times New Roman" w:hAnsi="Times New Roman"/>
          <w:color w:val="000000" w:themeColor="text1"/>
          <w:sz w:val="16"/>
          <w:szCs w:val="16"/>
        </w:rPr>
        <w:softHyphen/>
        <w:t>стве самолетного завода в гор. Ростове.</w:t>
      </w:r>
    </w:p>
    <w:p w14:paraId="1517D7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Установлено два персональных оклада для руководящих работников стройтреста и 3 персональных оклада для руководящих работни</w:t>
      </w:r>
      <w:r w:rsidRPr="00A3026E">
        <w:rPr>
          <w:rFonts w:ascii="Times New Roman" w:hAnsi="Times New Roman"/>
          <w:color w:val="000000" w:themeColor="text1"/>
          <w:sz w:val="16"/>
          <w:szCs w:val="16"/>
        </w:rPr>
        <w:softHyphen/>
        <w:t>ков завода до 3000 рублей.</w:t>
      </w:r>
    </w:p>
    <w:p w14:paraId="4EAA3E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Этим же постановлением обязаны:</w:t>
      </w:r>
    </w:p>
    <w:p w14:paraId="743AAB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Промбанк СССР финансировать строительство самолетного завода в г. Ростове до 1.У.1941 года без утвержденных проектов и смет, а после 1.У.1941 года по сметам на отдельнне объекты и вида работ и сметво-финансовым расчетам к утвержденным НКАП проектным заданиям.</w:t>
      </w:r>
    </w:p>
    <w:p w14:paraId="09D075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Ростовский Облисполком:</w:t>
      </w:r>
    </w:p>
    <w:p w14:paraId="1D2773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построить в 1941 году за счет средств Наркомавиапрома два 50-квартирных дома для работников самолетостроительного завода;</w:t>
      </w:r>
    </w:p>
    <w:p w14:paraId="0D971C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перевести рабочих строителей с менее важных строек на строительство авиационного завода в количестве 1500 человек, сохранив за ними занимаемую жилплощадь на время работы на стро</w:t>
      </w:r>
      <w:r w:rsidRPr="00A3026E">
        <w:rPr>
          <w:rFonts w:ascii="Times New Roman" w:hAnsi="Times New Roman"/>
          <w:color w:val="000000" w:themeColor="text1"/>
          <w:sz w:val="16"/>
          <w:szCs w:val="16"/>
        </w:rPr>
        <w:softHyphen/>
        <w:t>ительстве самолетного завода.</w:t>
      </w:r>
    </w:p>
    <w:p w14:paraId="79378A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обеспечить полностью строительство самолетного завода местннми стройматериалами (кирпич, камень, гравий, песок, из</w:t>
      </w:r>
      <w:r w:rsidRPr="00A3026E">
        <w:rPr>
          <w:rFonts w:ascii="Times New Roman" w:hAnsi="Times New Roman"/>
          <w:color w:val="000000" w:themeColor="text1"/>
          <w:sz w:val="16"/>
          <w:szCs w:val="16"/>
        </w:rPr>
        <w:softHyphen/>
        <w:t>весть и алебастр);</w:t>
      </w:r>
    </w:p>
    <w:p w14:paraId="62DAA7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в 10-дневный срок отвести необходимые земельные участки для расширения завода и жилищного строительства.</w:t>
      </w:r>
    </w:p>
    <w:p w14:paraId="794E4E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Наркоматы-поставщики и Наркомат Путей Сообщения обеспечить строительство самолетного завода в г. Ростове вне</w:t>
      </w:r>
      <w:r w:rsidRPr="00A3026E">
        <w:rPr>
          <w:rFonts w:ascii="Times New Roman" w:hAnsi="Times New Roman"/>
          <w:color w:val="000000" w:themeColor="text1"/>
          <w:sz w:val="16"/>
          <w:szCs w:val="16"/>
        </w:rPr>
        <w:softHyphen/>
        <w:t>очередной отгрузкой материалов, автотранспорта и строймеханизмов в адрес стройтреста НКАП равными партиями в течение - ок</w:t>
      </w:r>
      <w:r w:rsidRPr="00A3026E">
        <w:rPr>
          <w:rFonts w:ascii="Times New Roman" w:hAnsi="Times New Roman"/>
          <w:color w:val="000000" w:themeColor="text1"/>
          <w:sz w:val="16"/>
          <w:szCs w:val="16"/>
        </w:rPr>
        <w:softHyphen/>
        <w:t>тября, ноября и декабря 1940 года (8049,27).</w:t>
      </w:r>
    </w:p>
    <w:p w14:paraId="4C1A53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8FEEA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октября 1940 вышел приказ 7 ГУ N 39:</w:t>
      </w:r>
    </w:p>
    <w:p w14:paraId="567892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готовности опытного самолета СБ Б конструкции А.А.А. к летным заводским испытаниям создать комиссию..." (2031,63).</w:t>
      </w:r>
    </w:p>
    <w:p w14:paraId="6A9C784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FBE47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C 21 октября и 17 декабря 1940 на заводе 22 проходили 200 час. летные испытания матчасти двух самолетов СБ 2М-105 с ВИШ-22Е на изнашиваемость. Испытания были прекращены по телефонограмме Зам. нач. 7 ГУ Шишкина (2455).</w:t>
      </w:r>
    </w:p>
    <w:p w14:paraId="11D57CC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620E1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октября 1940 г. все работы по увеличению запаса топлива прове</w:t>
      </w:r>
      <w:r w:rsidRPr="00A3026E">
        <w:rPr>
          <w:rFonts w:ascii="Times New Roman" w:hAnsi="Times New Roman"/>
          <w:color w:val="000000" w:themeColor="text1"/>
          <w:sz w:val="16"/>
          <w:szCs w:val="16"/>
        </w:rPr>
        <w:softHyphen/>
        <w:t>ли на четвертом опытном экземпляре истребителя И—200его передали на за</w:t>
      </w:r>
      <w:r w:rsidRPr="00A3026E">
        <w:rPr>
          <w:rFonts w:ascii="Times New Roman" w:hAnsi="Times New Roman"/>
          <w:color w:val="000000" w:themeColor="text1"/>
          <w:sz w:val="16"/>
          <w:szCs w:val="16"/>
        </w:rPr>
        <w:softHyphen/>
        <w:t>водские испытания. Буквально через несколько дней соответствующую документацию утвердили, и бак запустили в производство. В конструкцию самолета пришлось внести следующие основные изменения:</w:t>
      </w:r>
    </w:p>
    <w:p w14:paraId="76749A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под полом кабины установили дополнительный 250-литровый бензобак;</w:t>
      </w:r>
    </w:p>
    <w:p w14:paraId="726223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для сохранения центровки мотораму (и весь фюзеляж самолета) удлинили на 100 мм;</w:t>
      </w:r>
    </w:p>
    <w:p w14:paraId="39F203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внедрили пластинчатый водорадиатор ОП—310, который несколько сдвинули вперед для установки дополнительного топливного бака;</w:t>
      </w:r>
    </w:p>
    <w:p w14:paraId="148FDC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 связи с возросшей массой самолета размер ко</w:t>
      </w:r>
      <w:r w:rsidRPr="00A3026E">
        <w:rPr>
          <w:rFonts w:ascii="Times New Roman" w:hAnsi="Times New Roman"/>
          <w:color w:val="000000" w:themeColor="text1"/>
          <w:sz w:val="16"/>
          <w:szCs w:val="16"/>
        </w:rPr>
        <w:softHyphen/>
        <w:t>лес основных стоек увеличили;</w:t>
      </w:r>
    </w:p>
    <w:p w14:paraId="6E1845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повысили боковую устойчивость путем увели</w:t>
      </w:r>
      <w:r w:rsidRPr="00A3026E">
        <w:rPr>
          <w:rFonts w:ascii="Times New Roman" w:hAnsi="Times New Roman"/>
          <w:color w:val="000000" w:themeColor="text1"/>
          <w:sz w:val="16"/>
          <w:szCs w:val="16"/>
        </w:rPr>
        <w:softHyphen/>
        <w:t>чения поперечного V крыла до 6 градусов (ранее бы</w:t>
      </w:r>
      <w:r w:rsidRPr="00A3026E">
        <w:rPr>
          <w:rFonts w:ascii="Times New Roman" w:hAnsi="Times New Roman"/>
          <w:color w:val="000000" w:themeColor="text1"/>
          <w:sz w:val="16"/>
          <w:szCs w:val="16"/>
        </w:rPr>
        <w:softHyphen/>
        <w:t>ло 5 градусов);</w:t>
      </w:r>
    </w:p>
    <w:p w14:paraId="343AA2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нижние щитки, закрывающие при уборке ниж</w:t>
      </w:r>
      <w:r w:rsidRPr="00A3026E">
        <w:rPr>
          <w:rFonts w:ascii="Times New Roman" w:hAnsi="Times New Roman"/>
          <w:color w:val="000000" w:themeColor="text1"/>
          <w:sz w:val="16"/>
          <w:szCs w:val="16"/>
        </w:rPr>
        <w:softHyphen/>
        <w:t>ние части колес основных стоек шасси, перенесли на центроплан;</w:t>
      </w:r>
    </w:p>
    <w:p w14:paraId="487B47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центропланные баки запротектировали губкой «аназот» (9984).</w:t>
      </w:r>
    </w:p>
    <w:p w14:paraId="3C6393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32434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ок</w:t>
      </w:r>
      <w:r w:rsidRPr="00A3026E">
        <w:rPr>
          <w:rFonts w:ascii="Times New Roman" w:hAnsi="Times New Roman"/>
          <w:color w:val="000000" w:themeColor="text1"/>
          <w:sz w:val="16"/>
          <w:szCs w:val="16"/>
        </w:rPr>
        <w:softHyphen/>
        <w:t>тября 1941 доработанный самолёт И-200 - на четвёртый опытный экземпляр И-200, накотором в сжатые сроки провели ра</w:t>
      </w:r>
      <w:r w:rsidRPr="00A3026E">
        <w:rPr>
          <w:rFonts w:ascii="Times New Roman" w:hAnsi="Times New Roman"/>
          <w:color w:val="000000" w:themeColor="text1"/>
          <w:sz w:val="16"/>
          <w:szCs w:val="16"/>
        </w:rPr>
        <w:softHyphen/>
        <w:t>боты по размещению дополнитель</w:t>
      </w:r>
      <w:r w:rsidRPr="00A3026E">
        <w:rPr>
          <w:rFonts w:ascii="Times New Roman" w:hAnsi="Times New Roman"/>
          <w:color w:val="000000" w:themeColor="text1"/>
          <w:sz w:val="16"/>
          <w:szCs w:val="16"/>
        </w:rPr>
        <w:softHyphen/>
        <w:t>ного запаса топлива - пере</w:t>
      </w:r>
      <w:r w:rsidRPr="00A3026E">
        <w:rPr>
          <w:rFonts w:ascii="Times New Roman" w:hAnsi="Times New Roman"/>
          <w:color w:val="000000" w:themeColor="text1"/>
          <w:sz w:val="16"/>
          <w:szCs w:val="16"/>
        </w:rPr>
        <w:softHyphen/>
        <w:t>дали на заводские испытания. Для увеличения дальности полёта под кабиной пилота установили допол</w:t>
      </w:r>
      <w:r w:rsidRPr="00A3026E">
        <w:rPr>
          <w:rFonts w:ascii="Times New Roman" w:hAnsi="Times New Roman"/>
          <w:color w:val="000000" w:themeColor="text1"/>
          <w:sz w:val="16"/>
          <w:szCs w:val="16"/>
        </w:rPr>
        <w:softHyphen/>
        <w:t>нительный протектированный 250-литровый топливный бак, из-за чего водорадиатор пришлось сместить вперёд. С целью сохранения нор</w:t>
      </w:r>
      <w:r w:rsidRPr="00A3026E">
        <w:rPr>
          <w:rFonts w:ascii="Times New Roman" w:hAnsi="Times New Roman"/>
          <w:color w:val="000000" w:themeColor="text1"/>
          <w:sz w:val="16"/>
          <w:szCs w:val="16"/>
        </w:rPr>
        <w:softHyphen/>
        <w:t>мальной эксплуатационной цент</w:t>
      </w:r>
      <w:r w:rsidRPr="00A3026E">
        <w:rPr>
          <w:rFonts w:ascii="Times New Roman" w:hAnsi="Times New Roman"/>
          <w:color w:val="000000" w:themeColor="text1"/>
          <w:sz w:val="16"/>
          <w:szCs w:val="16"/>
        </w:rPr>
        <w:softHyphen/>
        <w:t>ровки мотор АМ-35А вынесли впе</w:t>
      </w:r>
      <w:r w:rsidRPr="00A3026E">
        <w:rPr>
          <w:rFonts w:ascii="Times New Roman" w:hAnsi="Times New Roman"/>
          <w:color w:val="000000" w:themeColor="text1"/>
          <w:sz w:val="16"/>
          <w:szCs w:val="16"/>
        </w:rPr>
        <w:softHyphen/>
        <w:t>рёд на 100 мм.</w:t>
      </w:r>
    </w:p>
    <w:p w14:paraId="2EECB9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на И-200 №04 провели следующие конструктивные улучшения для устранения недостат</w:t>
      </w:r>
      <w:r w:rsidRPr="00A3026E">
        <w:rPr>
          <w:rFonts w:ascii="Times New Roman" w:hAnsi="Times New Roman"/>
          <w:color w:val="000000" w:themeColor="text1"/>
          <w:sz w:val="16"/>
          <w:szCs w:val="16"/>
        </w:rPr>
        <w:softHyphen/>
        <w:t>ков и замечаний, отмеченных на государственных испытаниях И-200:</w:t>
      </w:r>
    </w:p>
    <w:p w14:paraId="4A9620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повысили боковую устойчи</w:t>
      </w:r>
      <w:r w:rsidRPr="00A3026E">
        <w:rPr>
          <w:rFonts w:ascii="Times New Roman" w:hAnsi="Times New Roman"/>
          <w:color w:val="000000" w:themeColor="text1"/>
          <w:sz w:val="16"/>
          <w:szCs w:val="16"/>
        </w:rPr>
        <w:softHyphen/>
        <w:t>вость за счёт увеличения попереч</w:t>
      </w:r>
      <w:r w:rsidRPr="00A3026E">
        <w:rPr>
          <w:rFonts w:ascii="Times New Roman" w:hAnsi="Times New Roman"/>
          <w:color w:val="000000" w:themeColor="text1"/>
          <w:sz w:val="16"/>
          <w:szCs w:val="16"/>
        </w:rPr>
        <w:softHyphen/>
        <w:t>ного «V» крыла с +5° до +6°;</w:t>
      </w:r>
    </w:p>
    <w:p w14:paraId="7C64BC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установили более эффективный пластинчатый водорадиатор ОП-310;</w:t>
      </w:r>
    </w:p>
    <w:p w14:paraId="3F9D41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 связи с возросшей массой самолёта установили колёса раз</w:t>
      </w:r>
      <w:r w:rsidRPr="00A3026E">
        <w:rPr>
          <w:rFonts w:ascii="Times New Roman" w:hAnsi="Times New Roman"/>
          <w:color w:val="000000" w:themeColor="text1"/>
          <w:sz w:val="16"/>
          <w:szCs w:val="16"/>
        </w:rPr>
        <w:softHyphen/>
        <w:t>мером 650x200;</w:t>
      </w:r>
    </w:p>
    <w:p w14:paraId="0EF5AC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для улучшения проходимости нижние щитки, закрывающие при уборке колёса основных стоек шас</w:t>
      </w:r>
      <w:r w:rsidRPr="00A3026E">
        <w:rPr>
          <w:rFonts w:ascii="Times New Roman" w:hAnsi="Times New Roman"/>
          <w:color w:val="000000" w:themeColor="text1"/>
          <w:sz w:val="16"/>
          <w:szCs w:val="16"/>
        </w:rPr>
        <w:softHyphen/>
        <w:t>си, перенесли на центроплан;</w:t>
      </w:r>
    </w:p>
    <w:p w14:paraId="01F15B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запротектировали центроплан-ные баки.</w:t>
      </w:r>
    </w:p>
    <w:p w14:paraId="2355F2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вылет улучшенного И-200 №04 состоялся 29 октября, самолёт пилотировал лётчик-испы</w:t>
      </w:r>
      <w:r w:rsidRPr="00A3026E">
        <w:rPr>
          <w:rFonts w:ascii="Times New Roman" w:hAnsi="Times New Roman"/>
          <w:color w:val="000000" w:themeColor="text1"/>
          <w:sz w:val="16"/>
          <w:szCs w:val="16"/>
        </w:rPr>
        <w:softHyphen/>
        <w:t>татель А.Н. Екатов. Также в конце октября из сборочного цеха заво</w:t>
      </w:r>
      <w:r w:rsidRPr="00A3026E">
        <w:rPr>
          <w:rFonts w:ascii="Times New Roman" w:hAnsi="Times New Roman"/>
          <w:color w:val="000000" w:themeColor="text1"/>
          <w:sz w:val="16"/>
          <w:szCs w:val="16"/>
        </w:rPr>
        <w:softHyphen/>
        <w:t>да №1 стали выходить серийные истребители И-200, а в ноябре во</w:t>
      </w:r>
      <w:r w:rsidRPr="00A3026E">
        <w:rPr>
          <w:rFonts w:ascii="Times New Roman" w:hAnsi="Times New Roman"/>
          <w:color w:val="000000" w:themeColor="text1"/>
          <w:sz w:val="16"/>
          <w:szCs w:val="16"/>
        </w:rPr>
        <w:softHyphen/>
        <w:t>енпреды приняли первые 20 само</w:t>
      </w:r>
      <w:r w:rsidRPr="00A3026E">
        <w:rPr>
          <w:rFonts w:ascii="Times New Roman" w:hAnsi="Times New Roman"/>
          <w:color w:val="000000" w:themeColor="text1"/>
          <w:sz w:val="16"/>
          <w:szCs w:val="16"/>
        </w:rPr>
        <w:softHyphen/>
        <w:t>лётов (11761).</w:t>
      </w:r>
    </w:p>
    <w:p w14:paraId="335659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2C5B1EC" w14:textId="77777777" w:rsidR="009E10B6" w:rsidRPr="00A3026E" w:rsidRDefault="009E10B6" w:rsidP="00A3026E">
      <w:pPr>
        <w:pStyle w:val="a3"/>
        <w:rPr>
          <w:color w:val="000000" w:themeColor="text1"/>
          <w:lang w:val="ru-RU"/>
        </w:rPr>
      </w:pPr>
      <w:r w:rsidRPr="00A3026E">
        <w:rPr>
          <w:color w:val="000000" w:themeColor="text1"/>
          <w:lang w:val="ru-RU"/>
        </w:rPr>
        <w:t>21 октября 1940 И-200 № 04 передали на заводские испытания. На четвёртом опытном экземпляре И-200 провели работы по увеличению запаса топлива. В фюзеляже под кабиной пилота установили дополнительный протектированный топливный бак ёмкостью 250 л, при этом для сохранения центровки двига</w:t>
      </w:r>
      <w:r w:rsidRPr="00A3026E">
        <w:rPr>
          <w:color w:val="000000" w:themeColor="text1"/>
          <w:lang w:val="ru-RU"/>
        </w:rPr>
        <w:softHyphen/>
        <w:t>тель АМ-35А вынесли вперёд на 100 мм путём удлинения моторамы. На машину взамен сото</w:t>
      </w:r>
      <w:r w:rsidRPr="00A3026E">
        <w:rPr>
          <w:color w:val="000000" w:themeColor="text1"/>
          <w:lang w:val="ru-RU"/>
        </w:rPr>
        <w:softHyphen/>
        <w:t>вого установили более эффективный пластинчатый водорадиатор, который несколько сдвинули вперёд, из-за установки дополнительного бака. Центропланные баки ёмкостью по 140 л-запротектировали и объединили с подфюзеляжным в одну группу. Передний 110-литровый фюзеляж</w:t>
      </w:r>
      <w:r w:rsidRPr="00A3026E">
        <w:rPr>
          <w:color w:val="000000" w:themeColor="text1"/>
          <w:lang w:val="ru-RU"/>
        </w:rPr>
        <w:softHyphen/>
        <w:t xml:space="preserve">ный бак имел самостоятельную магистраль. Боковую устойчивость повысили за счёт увеличения поперечного </w:t>
      </w:r>
      <w:r w:rsidRPr="00A3026E">
        <w:rPr>
          <w:color w:val="000000" w:themeColor="text1"/>
        </w:rPr>
        <w:t>V</w:t>
      </w:r>
      <w:r w:rsidRPr="00A3026E">
        <w:rPr>
          <w:color w:val="000000" w:themeColor="text1"/>
          <w:lang w:val="ru-RU"/>
        </w:rPr>
        <w:t xml:space="preserve"> крыла с +5° до +6°. В связи с возросшей массой самолёт оснастили колёсами большего размера, а для улучшения проходимости нижние щитки, закрывающие при уборке колёса основных стоек шасси, перенесли на центроплан. Первый вылет улучшенного истребителя состоялся 29 октября, самолёт пилотировал лётчик-испытатель А.Н. Екатов (15976).</w:t>
      </w:r>
    </w:p>
    <w:p w14:paraId="45475AC3" w14:textId="77777777" w:rsidR="009E10B6" w:rsidRPr="00A3026E" w:rsidRDefault="009E10B6" w:rsidP="00A3026E">
      <w:pPr>
        <w:pStyle w:val="a3"/>
        <w:rPr>
          <w:color w:val="000000" w:themeColor="text1"/>
          <w:lang w:val="ru-RU"/>
        </w:rPr>
      </w:pPr>
    </w:p>
    <w:p w14:paraId="5D71D5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октября 1940 г. первыми для изучения истреби</w:t>
      </w:r>
      <w:r w:rsidRPr="00A3026E">
        <w:rPr>
          <w:rFonts w:ascii="Times New Roman" w:hAnsi="Times New Roman"/>
          <w:color w:val="000000" w:themeColor="text1"/>
          <w:sz w:val="16"/>
          <w:szCs w:val="16"/>
        </w:rPr>
        <w:softHyphen/>
        <w:t>теля МиГ-1 на завод №1 им. Авиахима прибыли 11 человек из 31-го иап 8-й сад ВВС ПрибОВО, во главе со старшим инженером полка военинженером 3-го ранга Т.Е. Крупениным.</w:t>
      </w:r>
    </w:p>
    <w:p w14:paraId="730E5C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переучивания лётно-технического состава стро</w:t>
      </w:r>
      <w:r w:rsidRPr="00A3026E">
        <w:rPr>
          <w:rFonts w:ascii="Times New Roman" w:hAnsi="Times New Roman"/>
          <w:color w:val="000000" w:themeColor="text1"/>
          <w:sz w:val="16"/>
          <w:szCs w:val="16"/>
        </w:rPr>
        <w:softHyphen/>
        <w:t>евых частей на новую материаль</w:t>
      </w:r>
      <w:r w:rsidRPr="00A3026E">
        <w:rPr>
          <w:rFonts w:ascii="Times New Roman" w:hAnsi="Times New Roman"/>
          <w:color w:val="000000" w:themeColor="text1"/>
          <w:sz w:val="16"/>
          <w:szCs w:val="16"/>
        </w:rPr>
        <w:softHyphen/>
        <w:t>ную часть ещё 30 сентября 1940 г. приказом ВВС КА был установлен следующий порядок. Переучивание руководящего лётного состава организовывалось при НИИ ВВС КА со сроком обучения 15 дней. В связи с этим начальнику института генерал-майору авиации А.И. Фи</w:t>
      </w:r>
      <w:r w:rsidRPr="00A3026E">
        <w:rPr>
          <w:rFonts w:ascii="Times New Roman" w:hAnsi="Times New Roman"/>
          <w:color w:val="000000" w:themeColor="text1"/>
          <w:sz w:val="16"/>
          <w:szCs w:val="16"/>
        </w:rPr>
        <w:softHyphen/>
        <w:t>лину предписывалось по мере по</w:t>
      </w:r>
      <w:r w:rsidRPr="00A3026E">
        <w:rPr>
          <w:rFonts w:ascii="Times New Roman" w:hAnsi="Times New Roman"/>
          <w:color w:val="000000" w:themeColor="text1"/>
          <w:sz w:val="16"/>
          <w:szCs w:val="16"/>
        </w:rPr>
        <w:softHyphen/>
        <w:t>ступления техники подготовить 2-3 инструктора для каждого типа са</w:t>
      </w:r>
      <w:r w:rsidRPr="00A3026E">
        <w:rPr>
          <w:rFonts w:ascii="Times New Roman" w:hAnsi="Times New Roman"/>
          <w:color w:val="000000" w:themeColor="text1"/>
          <w:sz w:val="16"/>
          <w:szCs w:val="16"/>
        </w:rPr>
        <w:softHyphen/>
        <w:t>молёта, а само переучивание про</w:t>
      </w:r>
      <w:r w:rsidRPr="00A3026E">
        <w:rPr>
          <w:rFonts w:ascii="Times New Roman" w:hAnsi="Times New Roman"/>
          <w:color w:val="000000" w:themeColor="text1"/>
          <w:sz w:val="16"/>
          <w:szCs w:val="16"/>
        </w:rPr>
        <w:softHyphen/>
        <w:t>водить по составленным 1-м Управ</w:t>
      </w:r>
      <w:r w:rsidRPr="00A3026E">
        <w:rPr>
          <w:rFonts w:ascii="Times New Roman" w:hAnsi="Times New Roman"/>
          <w:color w:val="000000" w:themeColor="text1"/>
          <w:sz w:val="16"/>
          <w:szCs w:val="16"/>
        </w:rPr>
        <w:softHyphen/>
        <w:t>лением ГУ ВВС КА программам. После его завершения вместе с возвращающимся подготовленным лётным составом в полки надлежа</w:t>
      </w:r>
      <w:r w:rsidRPr="00A3026E">
        <w:rPr>
          <w:rFonts w:ascii="Times New Roman" w:hAnsi="Times New Roman"/>
          <w:color w:val="000000" w:themeColor="text1"/>
          <w:sz w:val="16"/>
          <w:szCs w:val="16"/>
        </w:rPr>
        <w:softHyphen/>
        <w:t xml:space="preserve">ло </w:t>
      </w:r>
      <w:r w:rsidRPr="00A3026E">
        <w:rPr>
          <w:rFonts w:ascii="Times New Roman" w:hAnsi="Times New Roman"/>
          <w:color w:val="000000" w:themeColor="text1"/>
          <w:sz w:val="16"/>
          <w:szCs w:val="16"/>
        </w:rPr>
        <w:lastRenderedPageBreak/>
        <w:t>направлять своего инструктора и инженера по каждому типу само</w:t>
      </w:r>
      <w:r w:rsidRPr="00A3026E">
        <w:rPr>
          <w:rFonts w:ascii="Times New Roman" w:hAnsi="Times New Roman"/>
          <w:color w:val="000000" w:themeColor="text1"/>
          <w:sz w:val="16"/>
          <w:szCs w:val="16"/>
        </w:rPr>
        <w:softHyphen/>
        <w:t>лёта, где они должны были нахо</w:t>
      </w:r>
      <w:r w:rsidRPr="00A3026E">
        <w:rPr>
          <w:rFonts w:ascii="Times New Roman" w:hAnsi="Times New Roman"/>
          <w:color w:val="000000" w:themeColor="text1"/>
          <w:sz w:val="16"/>
          <w:szCs w:val="16"/>
        </w:rPr>
        <w:softHyphen/>
        <w:t>диться до окончания переучивания всего личного состава части (11761).</w:t>
      </w:r>
    </w:p>
    <w:p w14:paraId="08F7D9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7593F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октября 1940 тов. ЯКОВЛЕВ не утвердил эскизный проект истребителя дальнего действия Болховитинова, который прошел экспертную комиссию, так как по его мнению, машина перенапряжена, а скорости /750км/ч./, недостаточно (4049,57).</w:t>
      </w:r>
    </w:p>
    <w:p w14:paraId="25F78F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53768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октября 1940 летчик-испытатель Н.П. Котяков совершил первый полет на КОР-2, про</w:t>
      </w:r>
      <w:r w:rsidRPr="00A3026E">
        <w:rPr>
          <w:rFonts w:ascii="Times New Roman" w:hAnsi="Times New Roman"/>
          <w:color w:val="000000" w:themeColor="text1"/>
          <w:sz w:val="16"/>
          <w:szCs w:val="16"/>
        </w:rPr>
        <w:softHyphen/>
        <w:t>должавшийся 11 минут (10685).</w:t>
      </w:r>
    </w:p>
    <w:p w14:paraId="59A51FC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EC0F86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октября 1940 г. был выполнен первый полет корабельного самолета КОР-2 Г.М.Бериева (6395).</w:t>
      </w:r>
    </w:p>
    <w:p w14:paraId="3C072CF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A55B3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октября 1940 Н.П.Котяков в ходе испытаний, которые начались 2 октября 1940, выполнил первый полет на КОР-2 (2555,167). Для испытаний было построено 2 машины, на которых в Севастопольской бухте летали Н.П.Котяков и И.М.Сухомлин. Испытания шли до января 1941 (2870,31).</w:t>
      </w:r>
    </w:p>
    <w:p w14:paraId="44C1506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7368936" w14:textId="77777777" w:rsidR="009E10B6" w:rsidRPr="00A3026E" w:rsidRDefault="009E10B6"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21 октября </w:t>
      </w:r>
      <w:r w:rsidRPr="00A3026E">
        <w:rPr>
          <w:rFonts w:ascii="Times New Roman" w:hAnsi="Times New Roman"/>
          <w:color w:val="000000" w:themeColor="text1"/>
          <w:sz w:val="16"/>
          <w:szCs w:val="16"/>
        </w:rPr>
        <w:t>в 1940 году первый полет корабельного самолета «КОР-2» Г.М.Бериева, Н.П.Котяков. В КБ Г.М.Бериева был создан корабельный разведчик «КОР-2» («Бе-4»). «КОР-2» представлял собой цельнометаллическую летающую лодку с монопланным крылом типа "парасоль". На самолете был установлен мотор воздушного охлаждения «М-62». В феврале 1941 г. «КОР-2» вышел на испытания. Машина была рекомендована в серию, однако из-за войны работы по внедрению «КОР-2» сильно замедлились. За 1941-1945 гг. выпустили всего 44 самолета (14806).</w:t>
      </w:r>
    </w:p>
    <w:p w14:paraId="123AB7E2" w14:textId="77777777" w:rsidR="009E10B6" w:rsidRPr="00A3026E" w:rsidRDefault="009E10B6" w:rsidP="00A3026E">
      <w:pPr>
        <w:spacing w:after="0" w:line="240" w:lineRule="auto"/>
        <w:jc w:val="both"/>
        <w:rPr>
          <w:rFonts w:ascii="Times New Roman" w:hAnsi="Times New Roman"/>
          <w:color w:val="000000" w:themeColor="text1"/>
          <w:sz w:val="16"/>
          <w:szCs w:val="16"/>
        </w:rPr>
      </w:pPr>
    </w:p>
    <w:p w14:paraId="71AD15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21 октября 1940 начались заводские испытания КОР-2 М-63 (2090,232) и был выполнен первый полет (2668).</w:t>
      </w:r>
    </w:p>
    <w:p w14:paraId="18270BA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CF727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октября 1940 вышел приказ НКАП N 572сс в исполнение постановления СНК N 2068-875cc от 18 октября 1940 "Об организации в Белоруссии производства и выпуска боевых самолетов и авиационных моторов". Хотели организовать в Могилеве производство АМ-35А и АМ-37 на мощность 3000 в год с вводом в действие 1 июля 1942. В Минске хотели делать двухмоторные самолеты на мощностях в 800 штук в год с вводом 1 апреля 1942 (412,28).</w:t>
      </w:r>
    </w:p>
    <w:p w14:paraId="20BC53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исполнение постановления Правительства от 18 октяб</w:t>
      </w:r>
      <w:r w:rsidRPr="00A3026E">
        <w:rPr>
          <w:rFonts w:ascii="Times New Roman" w:hAnsi="Times New Roman"/>
          <w:color w:val="000000" w:themeColor="text1"/>
          <w:sz w:val="16"/>
          <w:szCs w:val="16"/>
        </w:rPr>
        <w:softHyphen/>
        <w:t>ря 1940 года по вопросу "Об организации в Белоруссии произ</w:t>
      </w:r>
      <w:r w:rsidRPr="00A3026E">
        <w:rPr>
          <w:rFonts w:ascii="Times New Roman" w:hAnsi="Times New Roman"/>
          <w:color w:val="000000" w:themeColor="text1"/>
          <w:sz w:val="16"/>
          <w:szCs w:val="16"/>
        </w:rPr>
        <w:softHyphen/>
        <w:t>водства и выпуска боевых самолетов и авиационных моторов”, ПРИКАЗЫВАЮ:</w:t>
      </w:r>
    </w:p>
    <w:p w14:paraId="73D1C2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Начальнику Третьего Главного Управления - органи</w:t>
      </w:r>
      <w:r w:rsidRPr="00A3026E">
        <w:rPr>
          <w:rFonts w:ascii="Times New Roman" w:hAnsi="Times New Roman"/>
          <w:color w:val="000000" w:themeColor="text1"/>
          <w:sz w:val="16"/>
          <w:szCs w:val="16"/>
        </w:rPr>
        <w:softHyphen/>
        <w:t>зовать в гор. Могилеве производство моторов типа АМ-35А и -А1.1-37 на мощность в 3000 штук в год с вводом в действие к 1 июля 1942 года.</w:t>
      </w:r>
    </w:p>
    <w:p w14:paraId="51212C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Начальнику Первого Главного Управления организо</w:t>
      </w:r>
      <w:r w:rsidRPr="00A3026E">
        <w:rPr>
          <w:rFonts w:ascii="Times New Roman" w:hAnsi="Times New Roman"/>
          <w:color w:val="000000" w:themeColor="text1"/>
          <w:sz w:val="16"/>
          <w:szCs w:val="16"/>
        </w:rPr>
        <w:softHyphen/>
        <w:t>вать вгор. Минске производство двухмоторных самолетов на мощность в 800 штук вгод с вводом в действие к 1 апреля 1942 года.</w:t>
      </w:r>
    </w:p>
    <w:p w14:paraId="00B915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 мощностей заводов вести исходя из двухсмен</w:t>
      </w:r>
      <w:r w:rsidRPr="00A3026E">
        <w:rPr>
          <w:rFonts w:ascii="Times New Roman" w:hAnsi="Times New Roman"/>
          <w:color w:val="000000" w:themeColor="text1"/>
          <w:sz w:val="16"/>
          <w:szCs w:val="16"/>
        </w:rPr>
        <w:softHyphen/>
        <w:t>ной работы, восьмичасового рабочего дня и семидневной недели.</w:t>
      </w:r>
    </w:p>
    <w:p w14:paraId="577C4A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Начальникам Первого и Третьего Главных Управлений - для организации производства боевых самолетов и авиамото</w:t>
      </w:r>
      <w:r w:rsidRPr="00A3026E">
        <w:rPr>
          <w:rFonts w:ascii="Times New Roman" w:hAnsi="Times New Roman"/>
          <w:color w:val="000000" w:themeColor="text1"/>
          <w:sz w:val="16"/>
          <w:szCs w:val="16"/>
        </w:rPr>
        <w:softHyphen/>
        <w:t>ров в Белоруссии, в соответствии с пунктами 1-м 2-м настоящего приказа, принять следующие предприятия:</w:t>
      </w:r>
    </w:p>
    <w:p w14:paraId="563610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гор. Могилеве - для производства моторов АМ-35А и АМ-37:</w:t>
      </w:r>
    </w:p>
    <w:p w14:paraId="7330D6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Авторемонтный завод Наркомата Автотранспорта БССР;</w:t>
      </w:r>
    </w:p>
    <w:p w14:paraId="339E26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им. Димитрова Наркомместпрома БССР;</w:t>
      </w:r>
    </w:p>
    <w:p w14:paraId="5537EA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Законсервированное строительство дома печати СНК БССР</w:t>
      </w:r>
    </w:p>
    <w:p w14:paraId="5D3476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Законсервированное строительство гаража СНК БССР.</w:t>
      </w:r>
    </w:p>
    <w:p w14:paraId="40A394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базе этих предприятий организовать завод авиацион</w:t>
      </w:r>
      <w:r w:rsidRPr="00A3026E">
        <w:rPr>
          <w:rFonts w:ascii="Times New Roman" w:hAnsi="Times New Roman"/>
          <w:color w:val="000000" w:themeColor="text1"/>
          <w:sz w:val="16"/>
          <w:szCs w:val="16"/>
        </w:rPr>
        <w:softHyphen/>
        <w:t>ного моторостроения и в дальнейшем именовать Государственный Союзный завод № 382 НКАП, подчинив его в административном отношении Третьему Главному Управлению НКАП.</w:t>
      </w:r>
    </w:p>
    <w:p w14:paraId="5E829A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гор. Минске - для производства двухмоторных самолетов:</w:t>
      </w:r>
    </w:p>
    <w:p w14:paraId="536C21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галолитовый цех (недостроенный) фабрики им. Фрунзе Наркомместпрома БССР;</w:t>
      </w:r>
    </w:p>
    <w:p w14:paraId="763E5E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гараж Минского Пищеторга Наркомторга БССР;</w:t>
      </w:r>
    </w:p>
    <w:p w14:paraId="51ACD0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аэродром Осоавкахима (со службами и жилыми домами) на Антоновском поле.</w:t>
      </w:r>
    </w:p>
    <w:p w14:paraId="6DD156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базе этих предприятий организовать завод самоле</w:t>
      </w:r>
      <w:r w:rsidRPr="00A3026E">
        <w:rPr>
          <w:rFonts w:ascii="Times New Roman" w:hAnsi="Times New Roman"/>
          <w:color w:val="000000" w:themeColor="text1"/>
          <w:sz w:val="16"/>
          <w:szCs w:val="16"/>
        </w:rPr>
        <w:softHyphen/>
        <w:t>тостроения и в дальнейшем именовать Государственный Союз</w:t>
      </w:r>
      <w:r w:rsidRPr="00A3026E">
        <w:rPr>
          <w:rFonts w:ascii="Times New Roman" w:hAnsi="Times New Roman"/>
          <w:color w:val="000000" w:themeColor="text1"/>
          <w:sz w:val="16"/>
          <w:szCs w:val="16"/>
        </w:rPr>
        <w:softHyphen/>
        <w:t>ный завод 383 ИКАП, подчинив его в административном отно</w:t>
      </w:r>
      <w:r w:rsidRPr="00A3026E">
        <w:rPr>
          <w:rFonts w:ascii="Times New Roman" w:hAnsi="Times New Roman"/>
          <w:color w:val="000000" w:themeColor="text1"/>
          <w:sz w:val="16"/>
          <w:szCs w:val="16"/>
        </w:rPr>
        <w:softHyphen/>
        <w:t>шении Первому Главному Управлению НКАП.</w:t>
      </w:r>
    </w:p>
    <w:p w14:paraId="12F802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Приемку предприятий произвести по балансу на 1-ое октября 1940 года, освободив их с декабря 1940 года от изготавливаемой ими продукции.</w:t>
      </w:r>
    </w:p>
    <w:p w14:paraId="4F7250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Начальникам Первого. Третьего Главных Управлений и директорам заводов №№ 383 и 382 немедленно развернуть подготовку производства самолетов и моторов на указан</w:t>
      </w:r>
      <w:r w:rsidRPr="00A3026E">
        <w:rPr>
          <w:rFonts w:ascii="Times New Roman" w:hAnsi="Times New Roman"/>
          <w:color w:val="000000" w:themeColor="text1"/>
          <w:sz w:val="16"/>
          <w:szCs w:val="16"/>
        </w:rPr>
        <w:softHyphen/>
        <w:t>ных заводах и обеспечить в 1942 году выполнение программы по этим заводам в следующих количествах:</w:t>
      </w:r>
    </w:p>
    <w:p w14:paraId="6F81AB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Заводом № 382 моторов АМ-35А - 750 штук.</w:t>
      </w:r>
    </w:p>
    <w:p w14:paraId="5C9910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Заводом № 383 двухмоторных бомбардировщ. -150 шт</w:t>
      </w:r>
    </w:p>
    <w:p w14:paraId="771E55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Реконструировать и достроить принимаемые предприятия под производство самолетов и моторов, исходя из установленных настоящим приказом программы и мощности мо</w:t>
      </w:r>
      <w:r w:rsidRPr="00A3026E">
        <w:rPr>
          <w:rFonts w:ascii="Times New Roman" w:hAnsi="Times New Roman"/>
          <w:color w:val="000000" w:themeColor="text1"/>
          <w:sz w:val="16"/>
          <w:szCs w:val="16"/>
        </w:rPr>
        <w:softHyphen/>
        <w:t>торного и самолетного заводов;</w:t>
      </w:r>
    </w:p>
    <w:p w14:paraId="61B10E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для размещения рабочих и служащих .авиационных заводов принять следующие .строящиеся жилые дома:</w:t>
      </w:r>
    </w:p>
    <w:p w14:paraId="6085B1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гор. Могилеве -один 60-ти квартирный дом и один 50-ти квартирный дом. Могилевского Областного Исполкома и один 30-ти квартирный дом Наркомпищепрома БССР;</w:t>
      </w:r>
    </w:p>
    <w:p w14:paraId="03F8FD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smallCaps/>
          <w:color w:val="000000" w:themeColor="text1"/>
          <w:sz w:val="16"/>
          <w:szCs w:val="16"/>
        </w:rPr>
        <w:t xml:space="preserve">в </w:t>
      </w:r>
      <w:r w:rsidRPr="00A3026E">
        <w:rPr>
          <w:rFonts w:ascii="Times New Roman" w:hAnsi="Times New Roman"/>
          <w:color w:val="000000" w:themeColor="text1"/>
          <w:sz w:val="16"/>
          <w:szCs w:val="16"/>
        </w:rPr>
        <w:t>гор.Минске - один 52-х квартирный дом. Нефтесклад-строя и дом Горисполкома ( Ленинская ул-.д. 33)...(412,28).</w:t>
      </w:r>
    </w:p>
    <w:p w14:paraId="021100F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1DCC853"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21 октября 1940</w:t>
      </w:r>
    </w:p>
    <w:p w14:paraId="7DFDE121"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1028. Решения ПБ за 27 сентября — 28 октября 1940 г. (протокол № 21)</w:t>
      </w:r>
    </w:p>
    <w:p w14:paraId="0FB2AC0C"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21.Х.40 г.</w:t>
      </w:r>
    </w:p>
    <w:p w14:paraId="547F01FA"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263. О строительстве термобарокамеры для НКО. — ОП (20920).</w:t>
      </w:r>
    </w:p>
    <w:p w14:paraId="277BC7D0" w14:textId="77777777" w:rsidR="00CF51BC" w:rsidRPr="00A3026E" w:rsidRDefault="00CF51BC" w:rsidP="00A3026E">
      <w:pPr>
        <w:spacing w:after="0" w:line="240" w:lineRule="auto"/>
        <w:jc w:val="both"/>
        <w:rPr>
          <w:rFonts w:ascii="Times New Roman" w:hAnsi="Times New Roman"/>
          <w:color w:val="0070C0"/>
          <w:sz w:val="16"/>
          <w:szCs w:val="16"/>
        </w:rPr>
      </w:pPr>
    </w:p>
    <w:p w14:paraId="221AC963"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21 октября 1940 г.</w:t>
      </w:r>
    </w:p>
    <w:p w14:paraId="78AC9076"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Памятная записка Ф. Шуленбурга о разрешении провоза аэроплана через территорию СССР на Дальний Восток</w:t>
      </w:r>
    </w:p>
    <w:p w14:paraId="0F2EF33C"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Копии направлены И В. Сталину, В.М. Молотову, А.Я. Вышинскому, А.М. Александрову.</w:t>
      </w:r>
    </w:p>
    <w:p w14:paraId="1735FBB9"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21 октября 1940 г.</w:t>
      </w:r>
    </w:p>
    <w:p w14:paraId="0D06A128"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Весьма секретно</w:t>
      </w:r>
    </w:p>
    <w:p w14:paraId="526130CE"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Памятная записка</w:t>
      </w:r>
    </w:p>
    <w:p w14:paraId="759A2E4B"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Германское правительство просит правительство СССР разрешить провоз через СССР на Дальний Восток аэроплана в разобранном виде, предназначенного для употребления на германском корабле исключительно в германских интересах. Части аэроплана будут упакованы в 8 ящиках, из которых самый большой будет иметь нижеследующие размеры: 8 метров длины, 2 метра ширины и 1,5 метра высоты. Вес этого ящика: 2585 килограммов.</w:t>
      </w:r>
    </w:p>
    <w:p w14:paraId="36EEDCD2"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получении принципиального согласия от правительства СССР германская сторона обратится с формальным ходатайством</w:t>
      </w:r>
    </w:p>
    <w:p w14:paraId="049A3B96"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подлежащим советским органам.</w:t>
      </w:r>
    </w:p>
    <w:p w14:paraId="2BEC8E0F"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Помета-. Шуленбург вручил тов. Молотову 21.10.1940 г.</w:t>
      </w:r>
    </w:p>
    <w:p w14:paraId="2D12A181"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АП РФ. Ф. 3. On. 64. Д. 678. Л. 102. Заверенная копия (20415).</w:t>
      </w:r>
    </w:p>
    <w:p w14:paraId="3ECA935A" w14:textId="77777777" w:rsidR="00CF51BC" w:rsidRPr="00A3026E" w:rsidRDefault="00CF51BC" w:rsidP="00A3026E">
      <w:pPr>
        <w:spacing w:after="0" w:line="240" w:lineRule="auto"/>
        <w:jc w:val="both"/>
        <w:rPr>
          <w:rFonts w:ascii="Times New Roman" w:hAnsi="Times New Roman"/>
          <w:color w:val="0070C0"/>
          <w:sz w:val="16"/>
          <w:szCs w:val="16"/>
        </w:rPr>
      </w:pPr>
    </w:p>
    <w:p w14:paraId="615DE4E1" w14:textId="77777777" w:rsidR="009E10B6"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6A2288F2" w14:textId="77777777" w:rsidR="009E10B6" w:rsidRPr="00A3026E" w:rsidRDefault="009E10B6" w:rsidP="00A3026E">
      <w:pPr>
        <w:spacing w:after="0" w:line="240" w:lineRule="auto"/>
        <w:jc w:val="both"/>
        <w:rPr>
          <w:rFonts w:ascii="Times New Roman" w:hAnsi="Times New Roman"/>
          <w:iCs/>
          <w:color w:val="000000" w:themeColor="text1"/>
          <w:sz w:val="16"/>
          <w:szCs w:val="16"/>
        </w:rPr>
      </w:pPr>
    </w:p>
    <w:p w14:paraId="49EC8A66" w14:textId="77777777" w:rsidR="009E10B6" w:rsidRPr="00A3026E" w:rsidRDefault="009E10B6"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21 октября </w:t>
      </w:r>
      <w:r w:rsidRPr="00A3026E">
        <w:rPr>
          <w:rFonts w:ascii="Times New Roman" w:hAnsi="Times New Roman"/>
          <w:color w:val="000000" w:themeColor="text1"/>
          <w:sz w:val="16"/>
          <w:szCs w:val="16"/>
        </w:rPr>
        <w:t>в 1940 году в московской квартире Николая Островского (улица Горького, 14) открывается музей писателя (14806).</w:t>
      </w:r>
    </w:p>
    <w:p w14:paraId="128646C5" w14:textId="77777777" w:rsidR="009E10B6" w:rsidRPr="00A3026E" w:rsidRDefault="009E10B6" w:rsidP="00A3026E">
      <w:pPr>
        <w:spacing w:after="0" w:line="240" w:lineRule="auto"/>
        <w:jc w:val="both"/>
        <w:rPr>
          <w:rFonts w:ascii="Times New Roman" w:hAnsi="Times New Roman"/>
          <w:color w:val="000000" w:themeColor="text1"/>
          <w:sz w:val="16"/>
          <w:szCs w:val="16"/>
        </w:rPr>
      </w:pPr>
    </w:p>
    <w:p w14:paraId="4455B3A1" w14:textId="77777777" w:rsidR="009E10B6"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26D90CF1" w14:textId="77777777" w:rsidR="009E10B6" w:rsidRPr="00A3026E" w:rsidRDefault="009E10B6" w:rsidP="00A3026E">
      <w:pPr>
        <w:spacing w:after="0" w:line="240" w:lineRule="auto"/>
        <w:jc w:val="both"/>
        <w:rPr>
          <w:rFonts w:ascii="Times New Roman" w:hAnsi="Times New Roman"/>
          <w:iCs/>
          <w:color w:val="000000" w:themeColor="text1"/>
          <w:sz w:val="16"/>
          <w:szCs w:val="16"/>
        </w:rPr>
      </w:pPr>
    </w:p>
    <w:p w14:paraId="352E7DBA"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21 октября 1940 года был облетан первый «Веллингтон» V, вскоре были построены еще два с «геркулесами» VIII по 1600 л.с., также рассчитанными на средние высоты. Лишь в ходе испытаний на второй самолет поставили «геркулесы» IX с американскими турбокомпрессорами.</w:t>
      </w:r>
    </w:p>
    <w:p w14:paraId="539A2A0D" w14:textId="77777777" w:rsidR="00CF51BC" w:rsidRPr="00A3026E" w:rsidRDefault="00CF51B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На двух строящихся «веллингтонах» IC сделали «акулий нос» с гермокабиной, в маленький каплевидный фонарь которой высовывалась голова летчика. Ниже были рабочее место штурмана-бомбардира и сиденье бортстрелка, но чтобы занять место у пулеметов, он должен был надеть кислородный прибор и пройти в хвост в облегченную стрелковую установку F.N.20 с двумя 7,69-мм пулеметами вместо обычных четырех. Моторы Бристоль «Геркулес» H.E.1SM с турбокомпрессорами опаздывали, и пришлось поставить серийные «Геркулес» III взлетной мощностью по 1425 л.с. и границей высотности 3000 м (22852).</w:t>
      </w:r>
    </w:p>
    <w:p w14:paraId="5C4C1AA0" w14:textId="77777777" w:rsidR="00CF51BC" w:rsidRPr="00A3026E" w:rsidRDefault="00CF51BC" w:rsidP="00A3026E">
      <w:pPr>
        <w:spacing w:after="0" w:line="240" w:lineRule="auto"/>
        <w:jc w:val="both"/>
        <w:rPr>
          <w:rFonts w:ascii="Times New Roman" w:hAnsi="Times New Roman"/>
          <w:color w:val="0070C0"/>
          <w:sz w:val="16"/>
          <w:szCs w:val="16"/>
        </w:rPr>
      </w:pPr>
    </w:p>
    <w:p w14:paraId="6FD25124" w14:textId="77777777" w:rsidR="009E10B6" w:rsidRPr="00A3026E" w:rsidRDefault="009E10B6"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21 октября </w:t>
      </w:r>
      <w:r w:rsidRPr="00A3026E">
        <w:rPr>
          <w:rFonts w:ascii="Times New Roman" w:hAnsi="Times New Roman"/>
          <w:color w:val="000000" w:themeColor="text1"/>
          <w:sz w:val="16"/>
          <w:szCs w:val="16"/>
        </w:rPr>
        <w:t>в 1940 году неудачная атака британскими авианосцами итальянской военно-морской базы в Таранто (14806).</w:t>
      </w:r>
    </w:p>
    <w:p w14:paraId="727FB8E1" w14:textId="77777777" w:rsidR="009E10B6" w:rsidRPr="00A3026E" w:rsidRDefault="009E10B6" w:rsidP="00A3026E">
      <w:pPr>
        <w:spacing w:after="0" w:line="240" w:lineRule="auto"/>
        <w:jc w:val="both"/>
        <w:rPr>
          <w:rFonts w:ascii="Times New Roman" w:hAnsi="Times New Roman"/>
          <w:color w:val="000000" w:themeColor="text1"/>
          <w:sz w:val="16"/>
          <w:szCs w:val="16"/>
        </w:rPr>
      </w:pPr>
    </w:p>
    <w:p w14:paraId="28E471AC" w14:textId="77777777" w:rsidR="009E10B6" w:rsidRPr="00A3026E" w:rsidRDefault="009E10B6"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21 октября </w:t>
      </w:r>
      <w:r w:rsidRPr="00A3026E">
        <w:rPr>
          <w:rFonts w:ascii="Times New Roman" w:hAnsi="Times New Roman"/>
          <w:color w:val="000000" w:themeColor="text1"/>
          <w:sz w:val="16"/>
          <w:szCs w:val="16"/>
        </w:rPr>
        <w:t>в 1940 году У.Черчилль по радио призвал французский народ оказывать сопротивление немецким войскам (14806).</w:t>
      </w:r>
    </w:p>
    <w:p w14:paraId="5EE9968B" w14:textId="77777777" w:rsidR="009E10B6" w:rsidRPr="00A3026E" w:rsidRDefault="009E10B6" w:rsidP="00A3026E">
      <w:pPr>
        <w:spacing w:after="0" w:line="240" w:lineRule="auto"/>
        <w:jc w:val="both"/>
        <w:rPr>
          <w:rFonts w:ascii="Times New Roman" w:hAnsi="Times New Roman"/>
          <w:color w:val="000000" w:themeColor="text1"/>
          <w:sz w:val="16"/>
          <w:szCs w:val="16"/>
        </w:rPr>
      </w:pPr>
    </w:p>
    <w:p w14:paraId="4241422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5C932B4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4F038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октября 1940 г. закончились заводские испытания одноместного ЦКБ-57, которые проводилис В.К.Коккинаки с 11 октября 1940.</w:t>
      </w:r>
    </w:p>
    <w:p w14:paraId="5EB774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вместо кабины стрелка в бронекорпусе установили 12-мм бронеперегородку и дополнительный бензобак на 155 кг горючего.</w:t>
      </w:r>
    </w:p>
    <w:p w14:paraId="3EF4EB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Фонарь кабины летчика, замыкавшийся непрозрачным обтекателем, был сделан сдвигающимся назад, а не откидывающимся, как это было у ЦКБ-55.</w:t>
      </w:r>
    </w:p>
    <w:p w14:paraId="54F336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улучшения продольной устойчивости самолета мотор был смещен вперед на 50 мм, увеличены на 5° стреловидность крыла по передней кромке и на 3,1% площадь стабилизатора, что привело к смещению центровки самолета с 31% до 29,5% САХ. Кроме этого, с целью облегчения управления элеронами былд изменена степень их аэродинамической компенсации.</w:t>
      </w:r>
    </w:p>
    <w:p w14:paraId="117AA9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Произвели также другие, менее существенные изменения конструкции.</w:t>
      </w:r>
    </w:p>
    <w:p w14:paraId="29C8EB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не готовностью 23-мм кры-льевых пушек МП-б (ОКБ Ильюшина только 16 октября 40-го получило от ОКБ-16 НКВ габаритный чертеж пушки), вооружение ЦКБ-57-го осталось без изменения: 4 пулемета ШКАС в крыле с общим боекомплектом 3000 патронов и 400 кг авиабомб на внутренней подвеске.</w:t>
      </w:r>
    </w:p>
    <w:p w14:paraId="1BEF6D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Усиление, по требованию специалистов ВВС, бронирования штурмовика с боков имитировалось соответствующим увеличением веса машины.</w:t>
      </w:r>
    </w:p>
    <w:p w14:paraId="4B4F79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 испытания ЦКБ-57 были проведены в исключительно сжатые сроки - всего за 10 летных дней.</w:t>
      </w:r>
    </w:p>
    <w:p w14:paraId="42E248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полете у земли при нормальной взлетной массе 4988 кг и с винтом ВИШ-22Ю была достигнута максимальная скорость 423 км/ч, а на границе высотности мотора (2800 м) -437 км/ч. При этом дальность полета у земли с нормальной бомбовой нагрузкой составила 850 км при средней скорости 380 км/ч.</w:t>
      </w:r>
    </w:p>
    <w:p w14:paraId="7E136D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 5000 м составило 10 мин, посадочная скорость - 140 км/ч, пробег при посадке - 260 м, а разбег при взлете - 250 м.</w:t>
      </w:r>
    </w:p>
    <w:p w14:paraId="4A4D7E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 Коккинаки отмечал, что по своим летным свойствам самолет исключительно прост, управляемость и маневренность, по сравнению с ЦКБ-55, существенно улучшились. Длины разбега при взлете и пробега при посадке пришли в норму и соответствовали ТТТ.</w:t>
      </w:r>
    </w:p>
    <w:p w14:paraId="19FD98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государственные испытания ЦКБ-57 не передавался ввиду неудовлетворительной работы мотора АМ-38, который стал своеобразной «ахиллесовой пятой» штурмовика.</w:t>
      </w:r>
    </w:p>
    <w:p w14:paraId="30C6E1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совершенно не желал надежно работать - 24-й завод в октябре-ноябре 40-го так и не смог, по причине прогара клапана выпуска мотора, успешно завершить 50-часовые совместные испытания и был вынужден продолжить работу по его доводке и устранению дефектов уже в 1941 г. (9649).</w:t>
      </w:r>
    </w:p>
    <w:p w14:paraId="58B4E86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F4547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октября 1940 вышел приказ НКАП N 573сс по вопросу подготовки производства и запуска в серию самолета ПБ-100 на заводах 22 и 39 (1293,124) - о неудовлетворительном ходе выполнения решения Правительства от 22 июня N 275 и совместного приказа НКВД и НКАП N 00757/306сс от 26 июня, а т. приказа НКАП N 309 от 23 июня заводами 22 и 39 (1293,125).</w:t>
      </w:r>
    </w:p>
    <w:p w14:paraId="0FCB888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E410C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октября 1940 Нач. ВВС Локтионов и чл. ВС ВВС Агальцов утвердили Заключение по эскизному проекту СДБ 2М106 завода 89 конструкторов Максимова, Дракина, Шарголовского (2055).</w:t>
      </w:r>
    </w:p>
    <w:p w14:paraId="707A9E6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B1BEE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22 октября по 28 декабря 1940 проходили заводские испытания ПБ-22 2М-105 и 28 был разбит (2090,232).</w:t>
      </w:r>
    </w:p>
    <w:p w14:paraId="69A7BAD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2B80EDE" w14:textId="77777777" w:rsidR="00D1447C" w:rsidRPr="00A3026E" w:rsidRDefault="00D1447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22 октя</w:t>
      </w:r>
      <w:r w:rsidRPr="00A3026E">
        <w:rPr>
          <w:rFonts w:ascii="Times New Roman" w:cs="Times New Roman"/>
          <w:color w:val="000000" w:themeColor="text1"/>
          <w:spacing w:val="0"/>
        </w:rPr>
        <w:softHyphen/>
        <w:t>бря 1940 г. макет самолета ТИС был осмотрен члена</w:t>
      </w:r>
      <w:r w:rsidRPr="00A3026E">
        <w:rPr>
          <w:rFonts w:ascii="Times New Roman" w:cs="Times New Roman"/>
          <w:color w:val="000000" w:themeColor="text1"/>
          <w:spacing w:val="0"/>
        </w:rPr>
        <w:softHyphen/>
        <w:t>ми государственной комиссии. Протокол осмотра утвержден 12 ноября и через два дня направлен в заинтересованные организации.</w:t>
      </w:r>
    </w:p>
    <w:p w14:paraId="4A1F340A" w14:textId="77777777" w:rsidR="00D1447C" w:rsidRPr="00A3026E" w:rsidRDefault="00D1447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Поскольку формально в НИИ ВВС еще отсутствовали материалы эскизно</w:t>
      </w:r>
      <w:r w:rsidRPr="00A3026E">
        <w:rPr>
          <w:rFonts w:ascii="Times New Roman" w:cs="Times New Roman"/>
          <w:color w:val="000000" w:themeColor="text1"/>
          <w:spacing w:val="0"/>
        </w:rPr>
        <w:softHyphen/>
        <w:t>го проекта, то приняли решение в де</w:t>
      </w:r>
      <w:r w:rsidRPr="00A3026E">
        <w:rPr>
          <w:rFonts w:ascii="Times New Roman" w:cs="Times New Roman"/>
          <w:color w:val="000000" w:themeColor="text1"/>
          <w:spacing w:val="0"/>
          <w:vertAlign w:val="superscript"/>
        </w:rPr>
        <w:t xml:space="preserve">: </w:t>
      </w:r>
      <w:r w:rsidRPr="00A3026E">
        <w:rPr>
          <w:rFonts w:ascii="Times New Roman" w:cs="Times New Roman"/>
          <w:color w:val="000000" w:themeColor="text1"/>
          <w:spacing w:val="0"/>
        </w:rPr>
        <w:t>кабре повторно осмотреть макет са</w:t>
      </w:r>
      <w:r w:rsidRPr="00A3026E">
        <w:rPr>
          <w:rFonts w:ascii="Times New Roman" w:cs="Times New Roman"/>
          <w:color w:val="000000" w:themeColor="text1"/>
          <w:spacing w:val="0"/>
        </w:rPr>
        <w:softHyphen/>
        <w:t>молета. Предполагалось, что к этому времени в НИИ ВВС будут отработаны ТТТ к самолету, главный конструктор са</w:t>
      </w:r>
      <w:r w:rsidRPr="00A3026E">
        <w:rPr>
          <w:rFonts w:ascii="Times New Roman" w:cs="Times New Roman"/>
          <w:color w:val="000000" w:themeColor="text1"/>
          <w:spacing w:val="0"/>
        </w:rPr>
        <w:softHyphen/>
        <w:t>молета представит материалы эскизно</w:t>
      </w:r>
      <w:r w:rsidRPr="00A3026E">
        <w:rPr>
          <w:rFonts w:ascii="Times New Roman" w:cs="Times New Roman"/>
          <w:color w:val="000000" w:themeColor="text1"/>
          <w:spacing w:val="0"/>
        </w:rPr>
        <w:softHyphen/>
        <w:t>го проекта в окончательном виде, в ма</w:t>
      </w:r>
      <w:r w:rsidRPr="00A3026E">
        <w:rPr>
          <w:rFonts w:ascii="Times New Roman" w:cs="Times New Roman"/>
          <w:color w:val="000000" w:themeColor="text1"/>
          <w:spacing w:val="0"/>
        </w:rPr>
        <w:softHyphen/>
        <w:t>кет будут внесены изменения, согласно протоколу предварительного осмотра макетной комиссии (15755).</w:t>
      </w:r>
    </w:p>
    <w:p w14:paraId="2A1C31DC" w14:textId="77777777" w:rsidR="00D1447C" w:rsidRPr="00A3026E" w:rsidRDefault="00D1447C" w:rsidP="00A3026E">
      <w:pPr>
        <w:pStyle w:val="26"/>
        <w:shd w:val="clear" w:color="auto" w:fill="auto"/>
        <w:spacing w:after="0" w:line="240" w:lineRule="auto"/>
        <w:ind w:firstLine="0"/>
        <w:rPr>
          <w:rFonts w:ascii="Times New Roman" w:cs="Times New Roman"/>
          <w:color w:val="000000" w:themeColor="text1"/>
          <w:spacing w:val="0"/>
        </w:rPr>
      </w:pPr>
    </w:p>
    <w:p w14:paraId="16B190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октября 1940 г. макет самолета ТИС был принят макетной комиссией. Постройка самолета в трех экземплярах была включена в план опытного строительства на 1941 г.</w:t>
      </w:r>
    </w:p>
    <w:p w14:paraId="350808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Эскизный проект ТИС был предъявлен в НИИ ВВС после макета самолета. В заключение была дана высокая оценка эскизному проекту.</w:t>
      </w:r>
    </w:p>
    <w:p w14:paraId="104767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Вместе с тем, отмечалась необходимость принятия мер по повышению устойчивости самолета, на что Н.Н.Поликарпов отреагировал очень оперативно и вскоре этот вопрос был снят.</w:t>
      </w:r>
    </w:p>
    <w:p w14:paraId="1E5BC7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Было увеличено поперечное «V» крыла, несколько увеличена его площадь, изменены размеры и соотношения размеров хвостового оперения. Помимо этого, отмечалась также большая нагрузка на крыло (9649).</w:t>
      </w:r>
    </w:p>
    <w:p w14:paraId="41F9378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0D401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октября 1940 макетная комиссия приняла макет ТИС 2АМ-35 или 2АМ-37 (тип А) и машину решили включить в план 1941 (2349,23).</w:t>
      </w:r>
    </w:p>
    <w:p w14:paraId="303BDC4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7D62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октября 1940 на съемках фильма о Валерии Чкалове был повторен уникальный полет Чкалова под Троицким мостом. Более того, полет был повторен дважды - 22 и 24 октября - так как в первый раз кинопленка была испорчена. Чрезвычайно сложный и опасный трюк исполнял летчик Евгений Борисенко на самолете-амфибии (конструкция машины позволяла вести съемку прямо из самолета) (10739).</w:t>
      </w:r>
    </w:p>
    <w:p w14:paraId="7C46631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5378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октября 1940 Приказом № 154 по УПА ГУСМП ДВ СССР-Н8 передали в Ленскую Авиагруппу, взамен однотипного самолета СССР-Н234, который поступил в Московскую Авиагруппу. В летнюю навигацию 1941 г. самолет, теперь уже Игарского авиаотряда УПА, шел на линейную работу, как дежурная машина. Командир самолета - Михельсон, бортмеханик - Левин, радист - Пименов (11970).</w:t>
      </w:r>
    </w:p>
    <w:p w14:paraId="244324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09.07.41 г. самолет включен во 2-ю авиа</w:t>
      </w:r>
      <w:r w:rsidRPr="00A3026E">
        <w:rPr>
          <w:rFonts w:ascii="Times New Roman" w:hAnsi="Times New Roman"/>
          <w:color w:val="000000" w:themeColor="text1"/>
          <w:sz w:val="16"/>
          <w:szCs w:val="16"/>
        </w:rPr>
        <w:softHyphen/>
        <w:t>группу (АГ) ВВС Северного Флота. Командиром корабля назначен майор Михельсон Петр Давидович. [ЦВМА, фонд 75, дело 26906, Список экипажей полярной авиации, включае</w:t>
      </w:r>
      <w:r w:rsidRPr="00A3026E">
        <w:rPr>
          <w:rFonts w:ascii="Times New Roman" w:hAnsi="Times New Roman"/>
          <w:color w:val="000000" w:themeColor="text1"/>
          <w:sz w:val="16"/>
          <w:szCs w:val="16"/>
        </w:rPr>
        <w:softHyphen/>
        <w:t>мых в состав 2 АГ].</w:t>
      </w:r>
    </w:p>
    <w:p w14:paraId="3EE816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неподтвержденным данным, три из че</w:t>
      </w:r>
      <w:r w:rsidRPr="00A3026E">
        <w:rPr>
          <w:rFonts w:ascii="Times New Roman" w:hAnsi="Times New Roman"/>
          <w:color w:val="000000" w:themeColor="text1"/>
          <w:sz w:val="16"/>
          <w:szCs w:val="16"/>
        </w:rPr>
        <w:softHyphen/>
        <w:t>тырех «Валей» 2-й авиагруппы в августе 1941 г. базировались в губе Белушья на Новой Земле и выполняли задачу по поиску враже</w:t>
      </w:r>
      <w:r w:rsidRPr="00A3026E">
        <w:rPr>
          <w:rFonts w:ascii="Times New Roman" w:hAnsi="Times New Roman"/>
          <w:color w:val="000000" w:themeColor="text1"/>
          <w:sz w:val="16"/>
          <w:szCs w:val="16"/>
        </w:rPr>
        <w:softHyphen/>
        <w:t>ских кораблей и подводных лодок в Баренцевом море. 5 августа один из этих «Валей» обнаружил в районе губы Белушья подводную лодку в надводном положении и атаковал ее, обстреляв из бортовых пулеме</w:t>
      </w:r>
      <w:r w:rsidRPr="00A3026E">
        <w:rPr>
          <w:rFonts w:ascii="Times New Roman" w:hAnsi="Times New Roman"/>
          <w:color w:val="000000" w:themeColor="text1"/>
          <w:sz w:val="16"/>
          <w:szCs w:val="16"/>
        </w:rPr>
        <w:softHyphen/>
        <w:t>тов. Экипаж самолета не был достоверно уве</w:t>
      </w:r>
      <w:r w:rsidRPr="00A3026E">
        <w:rPr>
          <w:rFonts w:ascii="Times New Roman" w:hAnsi="Times New Roman"/>
          <w:color w:val="000000" w:themeColor="text1"/>
          <w:sz w:val="16"/>
          <w:szCs w:val="16"/>
        </w:rPr>
        <w:softHyphen/>
        <w:t>рен в принадлежности обнаруженного кораб</w:t>
      </w:r>
      <w:r w:rsidRPr="00A3026E">
        <w:rPr>
          <w:rFonts w:ascii="Times New Roman" w:hAnsi="Times New Roman"/>
          <w:color w:val="000000" w:themeColor="text1"/>
          <w:sz w:val="16"/>
          <w:szCs w:val="16"/>
        </w:rPr>
        <w:softHyphen/>
        <w:t>ля, поэтому не использовал при атаке имею</w:t>
      </w:r>
      <w:r w:rsidRPr="00A3026E">
        <w:rPr>
          <w:rFonts w:ascii="Times New Roman" w:hAnsi="Times New Roman"/>
          <w:color w:val="000000" w:themeColor="text1"/>
          <w:sz w:val="16"/>
          <w:szCs w:val="16"/>
        </w:rPr>
        <w:softHyphen/>
        <w:t>щиеся на борту противолодочные бомбы. Подводная лодка на самом деле являлась со</w:t>
      </w:r>
      <w:r w:rsidRPr="00A3026E">
        <w:rPr>
          <w:rFonts w:ascii="Times New Roman" w:hAnsi="Times New Roman"/>
          <w:color w:val="000000" w:themeColor="text1"/>
          <w:sz w:val="16"/>
          <w:szCs w:val="16"/>
        </w:rPr>
        <w:softHyphen/>
        <w:t>ветской К-1, ведущей поиск противника в рай</w:t>
      </w:r>
      <w:r w:rsidRPr="00A3026E">
        <w:rPr>
          <w:rFonts w:ascii="Times New Roman" w:hAnsi="Times New Roman"/>
          <w:color w:val="000000" w:themeColor="text1"/>
          <w:sz w:val="16"/>
          <w:szCs w:val="16"/>
        </w:rPr>
        <w:softHyphen/>
        <w:t>оне Новой Земли. Так происшедшие события выглядели по мнению атакованных подводни</w:t>
      </w:r>
      <w:r w:rsidRPr="00A3026E">
        <w:rPr>
          <w:rFonts w:ascii="Times New Roman" w:hAnsi="Times New Roman"/>
          <w:color w:val="000000" w:themeColor="text1"/>
          <w:sz w:val="16"/>
          <w:szCs w:val="16"/>
        </w:rPr>
        <w:softHyphen/>
        <w:t>ков. Подтверждений инциденту со стороны авиаторов авторами не обнаружено, поэтому можно предположить, что в атаке подводной лодки участвовал один из гидросамолетов ГСТ (11977).</w:t>
      </w:r>
    </w:p>
    <w:p w14:paraId="68B8FAD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C550B36"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22 октября 1940 - На съёмках фильма о Валерии Чкалове был повторен уникальный полёт Чкалова под Троицким мостом. В 1940 году кинематографисты, снимая фильм «Валерий Чкалов», долго искали авиатора, который мог бы повторить полёт под мостом. Наконец такой лётчик нашелся. Евгений Иванович Борисенко с кинооператором Александром Гинцбургом на борту повторил его четырежды! Под овации облепившей парапет набережной толпы он нырнул под арку моста, благополучно проскочил и, обретя, так сказать, простор, пошёл на разво</w:t>
      </w:r>
      <w:r w:rsidRPr="00A3026E">
        <w:rPr>
          <w:rFonts w:ascii="Times New Roman" w:hAnsi="Times New Roman"/>
          <w:color w:val="0070C0"/>
          <w:sz w:val="16"/>
          <w:szCs w:val="16"/>
        </w:rPr>
        <w:softHyphen/>
        <w:t>рот, с тем чтобы следовать на посадку. Но Гинцбург, увлечённый своим искусством, ничтоже сумняшеся, попросил его сделать манёвр ещё раз, дабы отснять дубль. Лётчик обругал оператора, но в просьбе не отказал. Теперь решили войти под арку в обратном направлении. Навстречу ветру - Борисенко, видно, задумал усложнённый вариант чкаловского полёта. У самого моста самолёт повело в сторону, но лётчик удержал машину и, накренив её на крыло, благополучно провёл под аркой. Дело, однако, на этом не кончилось. Ночью на квартире Борисенко раздался телефонный звонок. Оператор сообщил, что плёнка забракована и придётся лететь ещё раз. Утром другого дня снова сделали два дубля, и оба раза лётчик проскочил под мостом так, словно прошёл через дверь собственного дома. Позднее, когда его поздравляли, Евгений Иванович пошутил: - А что тут особенного? Я думаю, целесообразно будет вообще узаконить воздушную трассу под Троицким мостом, чтобы лётчики не скучали во время полёта. Это вам не грузовик неуклюжий, а самолёт - юркая птичка! Как захотела, так и полетела...(22329).</w:t>
      </w:r>
    </w:p>
    <w:p w14:paraId="259BE18C" w14:textId="77777777" w:rsidR="00D10176" w:rsidRPr="00A3026E" w:rsidRDefault="00D10176" w:rsidP="00A3026E">
      <w:pPr>
        <w:spacing w:after="0" w:line="240" w:lineRule="auto"/>
        <w:jc w:val="both"/>
        <w:rPr>
          <w:rFonts w:ascii="Times New Roman" w:hAnsi="Times New Roman"/>
          <w:color w:val="0070C0"/>
          <w:sz w:val="16"/>
          <w:szCs w:val="16"/>
        </w:rPr>
      </w:pPr>
    </w:p>
    <w:p w14:paraId="1B7D3BC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lastRenderedPageBreak/>
        <w:t>Другие оборонные отрасли:</w:t>
      </w:r>
    </w:p>
    <w:p w14:paraId="2E6B9B1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12A5C22"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октября 1940 г. Шесть экземпляров отчета № 00227были отпечатаны, затем подписаны и 31 октября 1940 г. отправлены председателю Арткома ГАУ КА, начальнику БТУ ГАБТУ КА и директорам заводов № 183, Мариупольского им. Ильича и Ижорского. На составление отчета по пулевому и снарядному обстрелу башни танка Т-34, получившему номер 00227, у сотрудников АНИОПа ушло немногим более месяца. Однако анализ данных, полученных в ходе испытания башни танка Т-34 № 311-25-3 обстрелом начался задолго до того как отчеты дошли до адресатов (19575).</w:t>
      </w:r>
    </w:p>
    <w:p w14:paraId="011D71D3" w14:textId="77777777" w:rsidR="006A4FB6" w:rsidRPr="00A3026E" w:rsidRDefault="006A4FB6" w:rsidP="00A3026E">
      <w:pPr>
        <w:spacing w:after="0" w:line="240" w:lineRule="auto"/>
        <w:jc w:val="both"/>
        <w:rPr>
          <w:rFonts w:ascii="Times New Roman" w:hAnsi="Times New Roman"/>
          <w:color w:val="000000" w:themeColor="text1"/>
          <w:sz w:val="16"/>
          <w:szCs w:val="16"/>
        </w:rPr>
      </w:pPr>
    </w:p>
    <w:p w14:paraId="61A46DA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октября 1940 года вышел приказ № 300сс НКВ</w:t>
      </w:r>
    </w:p>
    <w:p w14:paraId="7C0FED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приказом № 313 от 10 октября 1940 года о включении в число действующих заводов НКВ Таллиннского Арсенала (6244, 121).</w:t>
      </w:r>
    </w:p>
    <w:p w14:paraId="0A19E5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E7472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октября 1940 г. минный заградитель "Урал" вошел в состав Балтийского флота. Не</w:t>
      </w:r>
      <w:r w:rsidRPr="00A3026E">
        <w:rPr>
          <w:rFonts w:ascii="Times New Roman" w:hAnsi="Times New Roman"/>
          <w:color w:val="000000" w:themeColor="text1"/>
          <w:sz w:val="16"/>
          <w:szCs w:val="16"/>
        </w:rPr>
        <w:softHyphen/>
        <w:t>смотря на то, что при переоборудовании мобилизация судна пре</w:t>
      </w:r>
      <w:r w:rsidRPr="00A3026E">
        <w:rPr>
          <w:rFonts w:ascii="Times New Roman" w:hAnsi="Times New Roman"/>
          <w:color w:val="000000" w:themeColor="text1"/>
          <w:sz w:val="16"/>
          <w:szCs w:val="16"/>
        </w:rPr>
        <w:softHyphen/>
        <w:t>дусматривалась как "временная", "Урал" прошел всю войну и про</w:t>
      </w:r>
      <w:r w:rsidRPr="00A3026E">
        <w:rPr>
          <w:rFonts w:ascii="Times New Roman" w:hAnsi="Times New Roman"/>
          <w:color w:val="000000" w:themeColor="text1"/>
          <w:sz w:val="16"/>
          <w:szCs w:val="16"/>
        </w:rPr>
        <w:softHyphen/>
        <w:t>должал боевую службу до конца 50-х гг. Кроме "Урала" в 1938—1941 гг. в минные заградители был пе</w:t>
      </w:r>
      <w:r w:rsidRPr="00A3026E">
        <w:rPr>
          <w:rFonts w:ascii="Times New Roman" w:hAnsi="Times New Roman"/>
          <w:color w:val="000000" w:themeColor="text1"/>
          <w:sz w:val="16"/>
          <w:szCs w:val="16"/>
        </w:rPr>
        <w:softHyphen/>
        <w:t>реоборудован еще ряд гражданских судов: сухогрузные "Аян", Тижига", гидрографические "Океан" и "Охотск" на Дальнем Востоке, однотипный двум последним "Мурманск" и сухогруз "Александр Пушкин" на Севере, сухогруз "Сызрань" и грузопассажирское судно "Николай Островский" на Черном море. Все они имели вмести</w:t>
      </w:r>
      <w:r w:rsidRPr="00A3026E">
        <w:rPr>
          <w:rFonts w:ascii="Times New Roman" w:hAnsi="Times New Roman"/>
          <w:color w:val="000000" w:themeColor="text1"/>
          <w:sz w:val="16"/>
          <w:szCs w:val="16"/>
        </w:rPr>
        <w:softHyphen/>
        <w:t>мость 150--250 мин и были вооружены 76—100-мм и 45-мм ору</w:t>
      </w:r>
      <w:r w:rsidRPr="00A3026E">
        <w:rPr>
          <w:rFonts w:ascii="Times New Roman" w:hAnsi="Times New Roman"/>
          <w:color w:val="000000" w:themeColor="text1"/>
          <w:sz w:val="16"/>
          <w:szCs w:val="16"/>
        </w:rPr>
        <w:softHyphen/>
        <w:t>диями. Тогда же на Северном флоте в сетевой заградитель "Проф</w:t>
      </w:r>
      <w:r w:rsidRPr="00A3026E">
        <w:rPr>
          <w:rFonts w:ascii="Times New Roman" w:hAnsi="Times New Roman"/>
          <w:color w:val="000000" w:themeColor="text1"/>
          <w:sz w:val="16"/>
          <w:szCs w:val="16"/>
        </w:rPr>
        <w:softHyphen/>
        <w:t>союз" был переоборудован грузовой пароход "Ловать" постройки 1912 г. (водоизмещение 1500 т) (3898).</w:t>
      </w:r>
    </w:p>
    <w:p w14:paraId="7464BE7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7ECE56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362A77F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64911C1"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22 октября 1940 г. Сталин-Риббентропу.:...я получил Ваше письмо. Искренне благодарю за Ваше доверие. С совершенным почтением, преданный Вам, Сталин (9712).</w:t>
      </w:r>
    </w:p>
    <w:p w14:paraId="0C3AD67C" w14:textId="77777777" w:rsidR="00C66762" w:rsidRPr="00A3026E" w:rsidRDefault="00C66762" w:rsidP="00A3026E">
      <w:pPr>
        <w:pStyle w:val="a8"/>
        <w:widowControl/>
        <w:jc w:val="both"/>
        <w:rPr>
          <w:rFonts w:ascii="Times New Roman" w:hAnsi="Times New Roman" w:cs="Times New Roman"/>
          <w:color w:val="000000" w:themeColor="text1"/>
        </w:rPr>
      </w:pPr>
    </w:p>
    <w:p w14:paraId="4842FD75" w14:textId="77777777" w:rsidR="00C66762"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За</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рубежом</w:t>
      </w:r>
      <w:r w:rsidRPr="00A3026E">
        <w:rPr>
          <w:rFonts w:ascii="Times New Roman" w:hAnsi="Times New Roman"/>
          <w:i/>
          <w:iCs/>
          <w:color w:val="000000" w:themeColor="text1"/>
          <w:sz w:val="16"/>
          <w:szCs w:val="16"/>
          <w:lang w:val="en-US"/>
        </w:rPr>
        <w:t>:</w:t>
      </w:r>
    </w:p>
    <w:p w14:paraId="4D024400" w14:textId="77777777" w:rsidR="00C66762" w:rsidRPr="00A3026E" w:rsidRDefault="00C66762" w:rsidP="00A3026E">
      <w:pPr>
        <w:spacing w:after="0" w:line="240" w:lineRule="auto"/>
        <w:jc w:val="both"/>
        <w:rPr>
          <w:rFonts w:ascii="Times New Roman" w:hAnsi="Times New Roman"/>
          <w:iCs/>
          <w:color w:val="000000" w:themeColor="text1"/>
          <w:sz w:val="16"/>
          <w:szCs w:val="16"/>
          <w:lang w:val="en-US"/>
        </w:rPr>
      </w:pPr>
    </w:p>
    <w:p w14:paraId="6AF78D50"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22 October 1940 Slavonika also joins the Tripartite Pact (270).</w:t>
      </w:r>
    </w:p>
    <w:p w14:paraId="35F523AF"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1866C0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октября 1940 Словения присоединилась к тройственному пакту (270).</w:t>
      </w:r>
    </w:p>
    <w:p w14:paraId="38F4A74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C1228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октября 1940 в ходе спецоперации англичанами выкрадены в Испании и доставлены в Лондон премьер Бельгии Х. Перло и министр иностранных дел Бельгии П. Спаак (4962).</w:t>
      </w:r>
    </w:p>
    <w:p w14:paraId="3856A4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F01288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октября 1940 убит глава флоридской мафии И. Антинори (4962).</w:t>
      </w:r>
    </w:p>
    <w:p w14:paraId="1A7CB1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CB1D85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DC613F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2F9D7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октября 1940 года Начальник научно-исследовательского полигона АВ ВВС полковник Шевченко утвердил Отчет о полигонных испытаниях полуавтомата ТКБ-229 для снаряжения патронных лент пулемета "ШКАС" калибра 7,62 мм конструкции Коробова Г.А., которые проходили с 9 сентября 1940 г. по 30 сентября 1940 г. (2972).</w:t>
      </w:r>
    </w:p>
    <w:p w14:paraId="45CF4C1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CA6B8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23/24 октября 1940 года председатель КО обороны Ворошилов писал письмо № 9255/ко в НКО Тимошенко</w:t>
      </w:r>
    </w:p>
    <w:p w14:paraId="62F701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 16991</w:t>
      </w:r>
    </w:p>
    <w:p w14:paraId="390584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в Вашим ходатайством о проектировании и постройке самолета артиллерийского разведчика-корректировщика, НКАП – Яковлев А.С. и Рычагов П.В. считают пригодным для этой цели самолет "СБ-РК" 2М-105, который отвечает предъявляемым к разведчику-корректировщику летно-тактическим требованиям.</w:t>
      </w:r>
    </w:p>
    <w:p w14:paraId="23B54F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рассмотреть вопрос об использовании самолета "СБ-РК" 2М-105 в качестве артиллерийского разведчика-корректировщика (7625, 424).</w:t>
      </w:r>
    </w:p>
    <w:p w14:paraId="7DADBF9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D9CA5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октября 1940 вышел приказ НКАП N 573сс "О подготовке производства и запуска в серию самолета ПБ-100 на заводах 22 и 39 (1002,4).</w:t>
      </w:r>
    </w:p>
    <w:p w14:paraId="4D842EA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2FDA8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октября 1940 вышел приказ НКАП N 577сс, который предполагал для завершения заводских испытаний ДБ-240 с 2АМ37 проводить на ЦА. Завершить в три месяца и назначить л-и Н.П.Шебанова (412,55).</w:t>
      </w:r>
    </w:p>
    <w:p w14:paraId="382346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проведения заводских испытаний самолета ДС-240 -2 моторами АМ37 конструкции тов. Ермолаева законченного постройкой - ПРИКАЗЫВАЮ:</w:t>
      </w:r>
    </w:p>
    <w:p w14:paraId="3C5618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Заводокие испытания проводить на центральном аэрод роме.</w:t>
      </w:r>
    </w:p>
    <w:p w14:paraId="4E0886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Установить срок окончания заводских .испытаний в 3 месяца, считая с момента первого вылета.</w:t>
      </w:r>
    </w:p>
    <w:p w14:paraId="3825AD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Для проведения заводских испытаний утвердить летчикоом-испытателем тов. ШЕБАНОВА и установить ему дополни</w:t>
      </w:r>
      <w:r w:rsidRPr="00A3026E">
        <w:rPr>
          <w:rFonts w:ascii="Times New Roman" w:hAnsi="Times New Roman"/>
          <w:color w:val="000000" w:themeColor="text1"/>
          <w:sz w:val="16"/>
          <w:szCs w:val="16"/>
        </w:rPr>
        <w:softHyphen/>
        <w:t>тельную зарплату за проведение в срок полных заводских испытаний в сумме 40.000 рублей.</w:t>
      </w:r>
    </w:p>
    <w:p w14:paraId="1876E0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Утвердить летно-технический состав по проведению испытаний по прилагаемому списку (412,55).</w:t>
      </w:r>
    </w:p>
    <w:p w14:paraId="23822F4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45D95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октября 1940 вышел приказ НКАП N 578сс "О прекращении работ по перевооружению самолетов И-16." (3284).</w:t>
      </w:r>
    </w:p>
    <w:p w14:paraId="2549E5B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EFDA4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октября 1940 г. доработанный для увеличения запаса топлива четвертый опытный И-200 передали на заводские испытания.</w:t>
      </w:r>
    </w:p>
    <w:p w14:paraId="03ACC1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увеличения дальности полета в фюзеляже под кабиной пилота установили дополнительный протектированный топливный бак емкостью 250 л, при этом для сохранения эксплуатационной центровки двигатель АМ-35А вынесли вперед на 100 мм за счет удлинения моторамы.</w:t>
      </w:r>
    </w:p>
    <w:p w14:paraId="158C49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на И-200 №04 провели следующие конструктивные улучшения с целью устранения недостатков и замечаний, отмеченных на государственных испытаниях И-200:</w:t>
      </w:r>
    </w:p>
    <w:p w14:paraId="41E3E6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повышена боковая устойчивость а счет увеличения поперечного V крыла до + 6°,</w:t>
      </w:r>
    </w:p>
    <w:p w14:paraId="5F1B62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 пластинчатый водорадиатор ОП-310. который несколько сдвинули вперед из-за установки дополнительного топливного бака,</w:t>
      </w:r>
    </w:p>
    <w:p w14:paraId="389EC2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свзязи с зозросшей массой самолета были установлены колеса размером 650х200 мм,</w:t>
      </w:r>
    </w:p>
    <w:p w14:paraId="3D9D9D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улучшения проходимости нижние щитки, закрывающие при уборке колеса основных стоек шасси, перенесены на центроплан,</w:t>
      </w:r>
    </w:p>
    <w:p w14:paraId="62B185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запротектированы центропланные баки (4802).</w:t>
      </w:r>
    </w:p>
    <w:p w14:paraId="4F4A66B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45270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октября 1940 вышло постановлении СНК, в котором говорилось, что доводка М-81 Швецова является «наиболее важной и первоочередной задачей завода № 19». Директору моторного завода Г.В.Кожевникову поступило указание срочно прислать в Харьков три опытных двигателя М-81 с удлиненным валом для установки на серийный ББ-1. К этому времени Павел Осипович успел переоснастить второй опытный экземпляр машины «МН» «Дублер», заменив М-90 на М-81. Несмотря на вынужденную посадку «Дублера» во втором испытательном полете из-за заклинивания мотора, Сухой верил в перспективность работы. Однако в конце ноября 1940 г. руководство НКАП сочло мотор М-81 «тупиковым направлением развития», его внедрение и доводку прекратили (5360).</w:t>
      </w:r>
    </w:p>
    <w:p w14:paraId="19BCC83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A5A15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октября 1940 года вышло Постановление правительства «О производстве моторов М-62 и М-81», которое гласило, что наиболее важным в данный момент, и безусловно первоочередным, явля</w:t>
      </w:r>
      <w:r w:rsidRPr="00A3026E">
        <w:rPr>
          <w:rFonts w:ascii="Times New Roman" w:hAnsi="Times New Roman"/>
          <w:color w:val="000000" w:themeColor="text1"/>
          <w:sz w:val="16"/>
          <w:szCs w:val="16"/>
        </w:rPr>
        <w:softHyphen/>
        <w:t>ется мотор М-81 по сравнению с М-71, в связи с чем директору и главному конструктору завода №19 необходи</w:t>
      </w:r>
      <w:r w:rsidRPr="00A3026E">
        <w:rPr>
          <w:rFonts w:ascii="Times New Roman" w:hAnsi="Times New Roman"/>
          <w:color w:val="000000" w:themeColor="text1"/>
          <w:sz w:val="16"/>
          <w:szCs w:val="16"/>
        </w:rPr>
        <w:softHyphen/>
        <w:t>мо принять все меры к его отработке и запуску в серийное производство, выпустив в ноябре не менее 10 и в декабре не менее 30 моторов (10686).</w:t>
      </w:r>
    </w:p>
    <w:p w14:paraId="6CF3594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B491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октября 1939 г. вышло Постановлению Политбюро ЦК ВКП(б) № П 8 / 128 «О составе хозяйственной комиссии, направляемой в Германию»</w:t>
      </w:r>
    </w:p>
    <w:p w14:paraId="004DD2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Состав бригад по самолетам и авиамоторам, входящих в Хозяйственную комиссию под руководством И.Т. Тевосяна, согласно материалам раздела «г» Приложения к Постановлению Политбюро ЦК ВКП(б) № П 8 / 128 от 23 октября 1939 г. «О составе хозяйственной комиссии, направляемой в Германию»</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058"/>
        <w:gridCol w:w="1188"/>
        <w:gridCol w:w="2873"/>
        <w:gridCol w:w="1800"/>
      </w:tblGrid>
      <w:tr w:rsidR="00983732" w:rsidRPr="00A3026E" w14:paraId="63F66287" w14:textId="77777777" w:rsidTr="00EA0DA7">
        <w:trPr>
          <w:trHeight w:val="20"/>
        </w:trPr>
        <w:tc>
          <w:tcPr>
            <w:tcW w:w="1058" w:type="dxa"/>
            <w:tcBorders>
              <w:top w:val="single" w:sz="12" w:space="0" w:color="auto"/>
            </w:tcBorders>
          </w:tcPr>
          <w:p w14:paraId="448B06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Номер согласно раздела «г» (авиация)</w:t>
            </w:r>
          </w:p>
        </w:tc>
        <w:tc>
          <w:tcPr>
            <w:tcW w:w="1188" w:type="dxa"/>
            <w:tcBorders>
              <w:top w:val="single" w:sz="12" w:space="0" w:color="auto"/>
            </w:tcBorders>
          </w:tcPr>
          <w:p w14:paraId="2481A3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Члены комиссии</w:t>
            </w:r>
          </w:p>
        </w:tc>
        <w:tc>
          <w:tcPr>
            <w:tcW w:w="2873" w:type="dxa"/>
            <w:tcBorders>
              <w:top w:val="single" w:sz="12" w:space="0" w:color="auto"/>
            </w:tcBorders>
          </w:tcPr>
          <w:p w14:paraId="1C68F2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Звание, должность (приводится в соответствии с документом)</w:t>
            </w:r>
          </w:p>
        </w:tc>
        <w:tc>
          <w:tcPr>
            <w:tcW w:w="1800" w:type="dxa"/>
            <w:tcBorders>
              <w:top w:val="single" w:sz="12" w:space="0" w:color="auto"/>
            </w:tcBorders>
          </w:tcPr>
          <w:p w14:paraId="0134DC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w:t>
            </w:r>
          </w:p>
        </w:tc>
      </w:tr>
      <w:tr w:rsidR="00983732" w:rsidRPr="00A3026E" w14:paraId="6CC61BCC" w14:textId="77777777" w:rsidTr="00EA0DA7">
        <w:trPr>
          <w:trHeight w:val="20"/>
        </w:trPr>
        <w:tc>
          <w:tcPr>
            <w:tcW w:w="1058" w:type="dxa"/>
          </w:tcPr>
          <w:p w14:paraId="7E2EBC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w:t>
            </w:r>
          </w:p>
        </w:tc>
        <w:tc>
          <w:tcPr>
            <w:tcW w:w="1188" w:type="dxa"/>
          </w:tcPr>
          <w:p w14:paraId="61F79A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Ильюшин С.В.</w:t>
            </w:r>
          </w:p>
        </w:tc>
        <w:tc>
          <w:tcPr>
            <w:tcW w:w="2873" w:type="dxa"/>
          </w:tcPr>
          <w:p w14:paraId="72E423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главный конструктор завода № 39</w:t>
            </w:r>
          </w:p>
        </w:tc>
        <w:tc>
          <w:tcPr>
            <w:tcW w:w="1800" w:type="dxa"/>
          </w:tcPr>
          <w:p w14:paraId="352523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Бригада по само</w:t>
            </w:r>
            <w:r w:rsidRPr="00A3026E">
              <w:rPr>
                <w:rFonts w:ascii="Times New Roman" w:hAnsi="Times New Roman"/>
                <w:color w:val="000000" w:themeColor="text1"/>
                <w:sz w:val="16"/>
                <w:szCs w:val="16"/>
              </w:rPr>
              <w:softHyphen/>
              <w:t>летам, бригадир</w:t>
            </w:r>
          </w:p>
        </w:tc>
      </w:tr>
      <w:tr w:rsidR="00983732" w:rsidRPr="00A3026E" w14:paraId="51F7BA0C" w14:textId="77777777" w:rsidTr="00EA0DA7">
        <w:trPr>
          <w:trHeight w:val="20"/>
        </w:trPr>
        <w:tc>
          <w:tcPr>
            <w:tcW w:w="1058" w:type="dxa"/>
          </w:tcPr>
          <w:p w14:paraId="072561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1188" w:type="dxa"/>
          </w:tcPr>
          <w:p w14:paraId="40102C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Яковлев АС.</w:t>
            </w:r>
          </w:p>
        </w:tc>
        <w:tc>
          <w:tcPr>
            <w:tcW w:w="2873" w:type="dxa"/>
          </w:tcPr>
          <w:p w14:paraId="47755A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директор и главный конструктор завода №115</w:t>
            </w:r>
          </w:p>
        </w:tc>
        <w:tc>
          <w:tcPr>
            <w:tcW w:w="1800" w:type="dxa"/>
          </w:tcPr>
          <w:p w14:paraId="7C1F25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Бригада по самолетам </w:t>
            </w:r>
          </w:p>
        </w:tc>
      </w:tr>
      <w:tr w:rsidR="00983732" w:rsidRPr="00A3026E" w14:paraId="647457DB" w14:textId="77777777" w:rsidTr="00EA0DA7">
        <w:trPr>
          <w:trHeight w:val="20"/>
        </w:trPr>
        <w:tc>
          <w:tcPr>
            <w:tcW w:w="1058" w:type="dxa"/>
          </w:tcPr>
          <w:p w14:paraId="27A937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1188" w:type="dxa"/>
          </w:tcPr>
          <w:p w14:paraId="21D24E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Петров И.Ф.</w:t>
            </w:r>
          </w:p>
        </w:tc>
        <w:tc>
          <w:tcPr>
            <w:tcW w:w="2873" w:type="dxa"/>
          </w:tcPr>
          <w:p w14:paraId="1C22AC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бригадный инженер, зам. начальника Авиационного института.</w:t>
            </w:r>
          </w:p>
        </w:tc>
        <w:tc>
          <w:tcPr>
            <w:tcW w:w="1800" w:type="dxa"/>
          </w:tcPr>
          <w:p w14:paraId="793AEB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Бригада по самолетам</w:t>
            </w:r>
          </w:p>
        </w:tc>
      </w:tr>
      <w:tr w:rsidR="00983732" w:rsidRPr="00A3026E" w14:paraId="67C292EA" w14:textId="77777777" w:rsidTr="00EA0DA7">
        <w:trPr>
          <w:trHeight w:val="20"/>
        </w:trPr>
        <w:tc>
          <w:tcPr>
            <w:tcW w:w="1058" w:type="dxa"/>
          </w:tcPr>
          <w:p w14:paraId="5E5B64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1188" w:type="dxa"/>
          </w:tcPr>
          <w:p w14:paraId="7331D4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Шевченко В.И.</w:t>
            </w:r>
          </w:p>
        </w:tc>
        <w:tc>
          <w:tcPr>
            <w:tcW w:w="2873" w:type="dxa"/>
          </w:tcPr>
          <w:p w14:paraId="59B13C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полковник, инспектор Управления ВВС РККА</w:t>
            </w:r>
          </w:p>
        </w:tc>
        <w:tc>
          <w:tcPr>
            <w:tcW w:w="1800" w:type="dxa"/>
          </w:tcPr>
          <w:p w14:paraId="7F75DD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Бригада по самолетам</w:t>
            </w:r>
          </w:p>
        </w:tc>
      </w:tr>
      <w:tr w:rsidR="00983732" w:rsidRPr="00A3026E" w14:paraId="0D51B4B4" w14:textId="77777777" w:rsidTr="00EA0DA7">
        <w:trPr>
          <w:trHeight w:val="20"/>
        </w:trPr>
        <w:tc>
          <w:tcPr>
            <w:tcW w:w="1058" w:type="dxa"/>
          </w:tcPr>
          <w:p w14:paraId="2E8B09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1188" w:type="dxa"/>
          </w:tcPr>
          <w:p w14:paraId="26F956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Гусев АИ.</w:t>
            </w:r>
          </w:p>
        </w:tc>
        <w:tc>
          <w:tcPr>
            <w:tcW w:w="2873" w:type="dxa"/>
          </w:tcPr>
          <w:p w14:paraId="46842A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полковник, заместитель командую</w:t>
            </w:r>
            <w:r w:rsidRPr="00A3026E">
              <w:rPr>
                <w:rFonts w:ascii="Times New Roman" w:hAnsi="Times New Roman"/>
                <w:color w:val="000000" w:themeColor="text1"/>
                <w:sz w:val="16"/>
                <w:szCs w:val="16"/>
              </w:rPr>
              <w:softHyphen/>
              <w:t>щего Белорусским военным округом</w:t>
            </w:r>
          </w:p>
        </w:tc>
        <w:tc>
          <w:tcPr>
            <w:tcW w:w="1800" w:type="dxa"/>
          </w:tcPr>
          <w:p w14:paraId="574F03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Бригада по авиамо</w:t>
            </w:r>
            <w:r w:rsidRPr="00A3026E">
              <w:rPr>
                <w:rFonts w:ascii="Times New Roman" w:hAnsi="Times New Roman"/>
                <w:color w:val="000000" w:themeColor="text1"/>
                <w:sz w:val="16"/>
                <w:szCs w:val="16"/>
              </w:rPr>
              <w:softHyphen/>
              <w:t>торам, бригадир</w:t>
            </w:r>
          </w:p>
        </w:tc>
      </w:tr>
      <w:tr w:rsidR="00983732" w:rsidRPr="00A3026E" w14:paraId="0B642DDA" w14:textId="77777777" w:rsidTr="00EA0DA7">
        <w:trPr>
          <w:trHeight w:val="20"/>
        </w:trPr>
        <w:tc>
          <w:tcPr>
            <w:tcW w:w="1058" w:type="dxa"/>
          </w:tcPr>
          <w:p w14:paraId="128E20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188" w:type="dxa"/>
          </w:tcPr>
          <w:p w14:paraId="71716C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Королев Д В.</w:t>
            </w:r>
          </w:p>
        </w:tc>
        <w:tc>
          <w:tcPr>
            <w:tcW w:w="2873" w:type="dxa"/>
          </w:tcPr>
          <w:p w14:paraId="274BA8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начальник 3-его Моторостроитель</w:t>
            </w:r>
            <w:r w:rsidRPr="00A3026E">
              <w:rPr>
                <w:rFonts w:ascii="Times New Roman" w:hAnsi="Times New Roman"/>
                <w:color w:val="000000" w:themeColor="text1"/>
                <w:sz w:val="16"/>
                <w:szCs w:val="16"/>
              </w:rPr>
              <w:softHyphen/>
              <w:t>ного Главного Управления НКАП</w:t>
            </w:r>
          </w:p>
        </w:tc>
        <w:tc>
          <w:tcPr>
            <w:tcW w:w="1800" w:type="dxa"/>
          </w:tcPr>
          <w:p w14:paraId="1C9E99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Бригада по авиамоторам</w:t>
            </w:r>
          </w:p>
        </w:tc>
      </w:tr>
      <w:tr w:rsidR="00983732" w:rsidRPr="00A3026E" w14:paraId="54D58595" w14:textId="77777777" w:rsidTr="00EA0DA7">
        <w:trPr>
          <w:trHeight w:val="20"/>
        </w:trPr>
        <w:tc>
          <w:tcPr>
            <w:tcW w:w="1058" w:type="dxa"/>
          </w:tcPr>
          <w:p w14:paraId="1D3FA8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1188" w:type="dxa"/>
          </w:tcPr>
          <w:p w14:paraId="2E316D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Швецов АД.</w:t>
            </w:r>
          </w:p>
        </w:tc>
        <w:tc>
          <w:tcPr>
            <w:tcW w:w="2873" w:type="dxa"/>
          </w:tcPr>
          <w:p w14:paraId="393A31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технический директор и главный конструктор завода №19</w:t>
            </w:r>
          </w:p>
        </w:tc>
        <w:tc>
          <w:tcPr>
            <w:tcW w:w="1800" w:type="dxa"/>
          </w:tcPr>
          <w:p w14:paraId="0876E9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Бригада по авиамоторам</w:t>
            </w:r>
          </w:p>
        </w:tc>
      </w:tr>
      <w:tr w:rsidR="00983732" w:rsidRPr="00A3026E" w14:paraId="713DCBA0" w14:textId="77777777" w:rsidTr="00EA0DA7">
        <w:trPr>
          <w:trHeight w:val="20"/>
        </w:trPr>
        <w:tc>
          <w:tcPr>
            <w:tcW w:w="1058" w:type="dxa"/>
            <w:tcBorders>
              <w:bottom w:val="single" w:sz="12" w:space="0" w:color="auto"/>
            </w:tcBorders>
          </w:tcPr>
          <w:p w14:paraId="1E7284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1188" w:type="dxa"/>
            <w:tcBorders>
              <w:bottom w:val="single" w:sz="12" w:space="0" w:color="auto"/>
            </w:tcBorders>
          </w:tcPr>
          <w:p w14:paraId="2A4418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Кузнецов В.П.</w:t>
            </w:r>
          </w:p>
        </w:tc>
        <w:tc>
          <w:tcPr>
            <w:tcW w:w="2873" w:type="dxa"/>
            <w:tcBorders>
              <w:bottom w:val="single" w:sz="12" w:space="0" w:color="auto"/>
            </w:tcBorders>
          </w:tcPr>
          <w:p w14:paraId="1179E0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бригадный инженер, заместитель начальника Института Авиации</w:t>
            </w:r>
          </w:p>
        </w:tc>
        <w:tc>
          <w:tcPr>
            <w:tcW w:w="1800" w:type="dxa"/>
            <w:tcBorders>
              <w:bottom w:val="single" w:sz="12" w:space="0" w:color="auto"/>
            </w:tcBorders>
          </w:tcPr>
          <w:p w14:paraId="0B9514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Бригада по авиамоторам</w:t>
            </w:r>
          </w:p>
        </w:tc>
      </w:tr>
    </w:tbl>
    <w:p w14:paraId="6AB9A9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Составлена по: РГАСПИ. Ф. 17. Оп. 3. Д 1015. Л. 30. Данный список представляется неполным. Так, согласно другим данным в работе комиссии также принимали участие П.В. Дементьев и Н.Н. Поликарпов (См. Иванов В.П. Самолеты Н.Н. Поликарпова. М., 2004. С. 343) (11672,509).</w:t>
      </w:r>
    </w:p>
    <w:p w14:paraId="6F9AB9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DBF9B51" w14:textId="77777777" w:rsidR="00C66762" w:rsidRPr="00A3026E" w:rsidRDefault="00C66762" w:rsidP="00A3026E">
      <w:pPr>
        <w:pStyle w:val="a3"/>
        <w:widowControl/>
        <w:rPr>
          <w:color w:val="000000" w:themeColor="text1"/>
          <w:lang w:val="ru-RU"/>
        </w:rPr>
      </w:pPr>
      <w:r w:rsidRPr="00A3026E">
        <w:rPr>
          <w:color w:val="000000" w:themeColor="text1"/>
          <w:lang w:val="ru-RU"/>
        </w:rPr>
        <w:t>23 октября 1940 года конструктор Меркулов писал письмо № 11762 в Совет оборонной промышленности Репину</w:t>
      </w:r>
    </w:p>
    <w:p w14:paraId="5AB6387C" w14:textId="77777777" w:rsidR="00C66762" w:rsidRPr="00A3026E" w:rsidRDefault="00C66762" w:rsidP="00A3026E">
      <w:pPr>
        <w:pStyle w:val="a3"/>
        <w:widowControl/>
        <w:rPr>
          <w:color w:val="000000" w:themeColor="text1"/>
          <w:lang w:val="ru-RU"/>
        </w:rPr>
      </w:pPr>
      <w:r w:rsidRPr="00A3026E">
        <w:rPr>
          <w:color w:val="000000" w:themeColor="text1"/>
          <w:lang w:val="ru-RU"/>
        </w:rPr>
        <w:t>Направляю Вам техописание авиационного воздушноракетного двигателя и результаты его летных испытаний на истребителях И-152 и И-153.</w:t>
      </w:r>
    </w:p>
    <w:p w14:paraId="1BA1C085" w14:textId="77777777" w:rsidR="00C66762" w:rsidRPr="00A3026E" w:rsidRDefault="00C66762" w:rsidP="00A3026E">
      <w:pPr>
        <w:pStyle w:val="a3"/>
        <w:widowControl/>
        <w:rPr>
          <w:color w:val="000000" w:themeColor="text1"/>
          <w:lang w:val="ru-RU"/>
        </w:rPr>
      </w:pPr>
      <w:r w:rsidRPr="00A3026E">
        <w:rPr>
          <w:color w:val="000000" w:themeColor="text1"/>
          <w:lang w:val="ru-RU"/>
        </w:rPr>
        <w:t>Приложение: техописание на 41 листах с фотоснимками в количестве 8 штук, выписка из заключения начальника НИИ ВВС на 4 листах (3377, 82).</w:t>
      </w:r>
    </w:p>
    <w:p w14:paraId="27636F22" w14:textId="77777777" w:rsidR="00C66762" w:rsidRPr="00A3026E" w:rsidRDefault="00C66762" w:rsidP="00A3026E">
      <w:pPr>
        <w:pStyle w:val="a3"/>
        <w:widowControl/>
        <w:rPr>
          <w:color w:val="000000" w:themeColor="text1"/>
          <w:lang w:val="ru-RU"/>
        </w:rPr>
      </w:pPr>
    </w:p>
    <w:p w14:paraId="2CAB23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октября 1940 Нач. Особой группы НКАП Фирсаев писал Нач. Секретариата НКСМ:</w:t>
      </w:r>
    </w:p>
    <w:p w14:paraId="3C79D4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поручению НКАП тов. Шахурина А.И. направляю Вам на подпись тов. Малышеву совместный приказ о передаче автосборочного завода в г. Ростове на Дону в соответствии с постановлением Правительства от 17.Х.40.</w:t>
      </w:r>
    </w:p>
    <w:p w14:paraId="28E580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подписании прошу один экземпляр вернуть в особую группу НКАП (8049,65).</w:t>
      </w:r>
    </w:p>
    <w:p w14:paraId="078592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упомянутое (8049,65)</w:t>
      </w:r>
    </w:p>
    <w:p w14:paraId="2A4317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Секретно.</w:t>
      </w:r>
    </w:p>
    <w:p w14:paraId="6AE120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октября 1940 был подготовлен проект:</w:t>
      </w:r>
    </w:p>
    <w:p w14:paraId="59AB14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w:t>
      </w:r>
    </w:p>
    <w:p w14:paraId="133955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НАРОДНОГО КОМИССАРА АВИАЦИОННОЙ ПРМЫШЛЕННОСТИ СССР и НАРОДНОГО КОМИССАРА СРЕДНЕГО МАШИНОСТРОЕНИЯ СССР</w:t>
      </w:r>
    </w:p>
    <w:p w14:paraId="198889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w:t>
      </w:r>
    </w:p>
    <w:p w14:paraId="2602CE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октября 1340 г.</w:t>
      </w:r>
    </w:p>
    <w:p w14:paraId="54CB01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постановлением Правительства от 17.Х.40 г. ПРИКАЗЫВАЕМ:</w:t>
      </w:r>
    </w:p>
    <w:p w14:paraId="0B0813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Передать автосборочный завод Наркомсредмаша в г. Ростове на Дону из системы Наркомсредмаша в Наркомавиапром.</w:t>
      </w:r>
    </w:p>
    <w:p w14:paraId="4FD0EC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Для приемки-сдачи автосборочного завода назначить комиссию в составе:</w:t>
      </w:r>
    </w:p>
    <w:p w14:paraId="1D14F0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НКАП:</w:t>
      </w:r>
    </w:p>
    <w:p w14:paraId="475C6E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МИРОНОВ М.Г. (Председатель комиссии)</w:t>
      </w:r>
    </w:p>
    <w:p w14:paraId="3FF57C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СМИРНОВ А.М.</w:t>
      </w:r>
    </w:p>
    <w:p w14:paraId="47C092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ЗОТЧИК К.М.</w:t>
      </w:r>
    </w:p>
    <w:p w14:paraId="41B923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КОВШЕНКО А.П.</w:t>
      </w:r>
    </w:p>
    <w:p w14:paraId="768D56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НКСМ</w:t>
      </w:r>
    </w:p>
    <w:p w14:paraId="27472D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p>
    <w:p w14:paraId="70B777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p w14:paraId="496448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p>
    <w:p w14:paraId="2741FF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Приемку-сдачу автосборочного завода провести к 10.Х1.1940 по балансу на 1.11.1940 г., руководствуясь постановлением СМ СССР от 5.У с.г. за № 667.</w:t>
      </w:r>
    </w:p>
    <w:p w14:paraId="29F7B7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Поручить комиссии выявить все оборудование, оснаст</w:t>
      </w:r>
      <w:r w:rsidRPr="00A3026E">
        <w:rPr>
          <w:rFonts w:ascii="Times New Roman" w:hAnsi="Times New Roman"/>
          <w:color w:val="000000" w:themeColor="text1"/>
          <w:sz w:val="16"/>
          <w:szCs w:val="16"/>
        </w:rPr>
        <w:softHyphen/>
        <w:t>ку и материалы, которие не могут быть использованы в системе НКАП для передачи их НКСМ.</w:t>
      </w:r>
    </w:p>
    <w:p w14:paraId="1F599D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АВИАЦИОННОЙ ПРОМЫШЛЕННОСТИ СССР (А.И.Шахурин)</w:t>
      </w:r>
    </w:p>
    <w:p w14:paraId="4BEAF4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СРЕДНЕГО МАШИНОСТРОЕНИЯ СССР (Малышев) (8049,64).</w:t>
      </w:r>
    </w:p>
    <w:p w14:paraId="0FB2F1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EEA5F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октября 1940. Протокол № 21. Решения ПБ за 27 сентября - 28 октября 1940 г.</w:t>
      </w:r>
    </w:p>
    <w:p w14:paraId="60694B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27.9.40 г.</w:t>
      </w:r>
    </w:p>
    <w:p w14:paraId="42750C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 Вопрос КО. О постройке авиамотора МБ-100*.</w:t>
      </w:r>
    </w:p>
    <w:p w14:paraId="1F735B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30.9.40 г.</w:t>
      </w:r>
    </w:p>
    <w:p w14:paraId="2790E3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26. Об увеличении производства газового бензина (постановление СНК СССР и ЦК ВКП (б)).</w:t>
      </w:r>
    </w:p>
    <w:p w14:paraId="7C651B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02. 10.40 г.</w:t>
      </w:r>
    </w:p>
    <w:p w14:paraId="4DDB4E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 46. Об увеличении дальности истребителей и о поставке их производства на заводах (постановление СНК СССР и ЦК ВКП (б))*. </w:t>
      </w:r>
      <w:r w:rsidRPr="00A3026E">
        <w:rPr>
          <w:rFonts w:ascii="Times New Roman" w:hAnsi="Times New Roman"/>
          <w:color w:val="000000" w:themeColor="text1"/>
          <w:sz w:val="16"/>
          <w:szCs w:val="16"/>
          <w:u w:val="single"/>
        </w:rPr>
        <w:t>04. 10. 40 г.</w:t>
      </w:r>
    </w:p>
    <w:p w14:paraId="715EFC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60. Об изготовлении новых образцов вооружения для НКО (постановление СНК СССР и ЦК ВКП (б))*.</w:t>
      </w:r>
    </w:p>
    <w:p w14:paraId="64032A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u w:val="single"/>
        </w:rPr>
      </w:pPr>
      <w:r w:rsidRPr="00A3026E">
        <w:rPr>
          <w:rFonts w:ascii="Times New Roman" w:hAnsi="Times New Roman"/>
          <w:color w:val="000000" w:themeColor="text1"/>
          <w:sz w:val="16"/>
          <w:szCs w:val="16"/>
          <w:u w:val="single"/>
        </w:rPr>
        <w:t>08.10.40 г.</w:t>
      </w:r>
    </w:p>
    <w:p w14:paraId="687FD1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99. Об организации производства боевых самолетов и авиационных моторов на Украине (11773).</w:t>
      </w:r>
    </w:p>
    <w:p w14:paraId="0A8F01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П.100. О строительстве в Ленинграде второго авиамоторного завода*.</w:t>
      </w:r>
    </w:p>
    <w:p w14:paraId="2B45C1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09.10. 40 г.</w:t>
      </w:r>
    </w:p>
    <w:p w14:paraId="2E2AF6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117. О самолетах И-301*.</w:t>
      </w:r>
    </w:p>
    <w:p w14:paraId="4138D3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15. 10.40 г.</w:t>
      </w:r>
    </w:p>
    <w:p w14:paraId="3C14C1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215. О постройке самолетов «100»*.</w:t>
      </w:r>
    </w:p>
    <w:p w14:paraId="0360E1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17.10.40 г.</w:t>
      </w:r>
    </w:p>
    <w:p w14:paraId="36C6A9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239. Об организации производства боевых самолетов в г. Ростове (постановление СНК СССРиЦКВКП(б))*.</w:t>
      </w:r>
    </w:p>
    <w:p w14:paraId="7E5499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240. Об организации производства боевых самолетов и авиационных моторов в Белоруссии (постановление СНК СССР и ЦК ВКП (б))*.</w:t>
      </w:r>
    </w:p>
    <w:p w14:paraId="0E8198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242. О производстве авиационных моторов М-105 на Горьковском авиазаводе им. Молотова*.</w:t>
      </w:r>
    </w:p>
    <w:p w14:paraId="1CD329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18.10.40 г.</w:t>
      </w:r>
    </w:p>
    <w:p w14:paraId="6BF6DE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246. О постройке мастерских для снаряжения боевых патронов из стреляных гильз*.</w:t>
      </w:r>
    </w:p>
    <w:p w14:paraId="78BE31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23.10.40 г.</w:t>
      </w:r>
    </w:p>
    <w:p w14:paraId="33850F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289. О производстве моторов М-63 и М-81 (постановление ЦК ВКП (б) и СНК СССР)*.</w:t>
      </w:r>
    </w:p>
    <w:p w14:paraId="12C082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24.10.40 г.</w:t>
      </w:r>
    </w:p>
    <w:p w14:paraId="7E5220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301. О производстве винтовок на Подольском механическом заводе* (11773).</w:t>
      </w:r>
    </w:p>
    <w:p w14:paraId="2FBB78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5FBDB75" w14:textId="77777777" w:rsidR="00D1447C" w:rsidRPr="00A3026E" w:rsidRDefault="00D1447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октября 1940 г. постановление правительства «О производстве моторов М-62 и М-81» гласило, что наиболее важным в данный момент, и безусловно первоочередным, ется мотор М-81 по сравнению с М-71, в связи с чем директору и главному констору завода № 19 необходимо принять все меры к его отработке и запуску в серий- ! производство, выпустив в ноябре не менее 10 и в декабре не менее 30 моторов (15788).</w:t>
      </w:r>
    </w:p>
    <w:p w14:paraId="6A1EF90F" w14:textId="77777777" w:rsidR="00D1447C" w:rsidRPr="00A3026E" w:rsidRDefault="00D1447C" w:rsidP="00A3026E">
      <w:pPr>
        <w:spacing w:after="0" w:line="240" w:lineRule="auto"/>
        <w:jc w:val="both"/>
        <w:rPr>
          <w:rFonts w:ascii="Times New Roman" w:hAnsi="Times New Roman"/>
          <w:color w:val="000000" w:themeColor="text1"/>
          <w:sz w:val="16"/>
          <w:szCs w:val="16"/>
        </w:rPr>
      </w:pPr>
    </w:p>
    <w:p w14:paraId="22EC7EA7"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23 октября 1940 вышло Постановление Политбюро ЦК ВКП(б) "О производстве моторов М-62 и М-81" (пр. № 21/21-оп за 27 сентября - 28 октября 1940 г., п. 289)</w:t>
      </w:r>
    </w:p>
    <w:p w14:paraId="65C388E9"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289.- О производстве моторов М-62 и М-81.</w:t>
      </w:r>
    </w:p>
    <w:p w14:paraId="19682DFC"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 ЦК ВКП(б) и СНК СССР).</w:t>
      </w:r>
    </w:p>
    <w:p w14:paraId="4CB8E022"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1. Обязать НКАП тов. Шахурина и директора завода № 19 тов. Кожевникова перейти на производ</w:t>
      </w:r>
      <w:r w:rsidRPr="00A3026E">
        <w:rPr>
          <w:rFonts w:ascii="Times New Roman" w:hAnsi="Times New Roman"/>
          <w:color w:val="0070C0"/>
          <w:sz w:val="16"/>
          <w:szCs w:val="16"/>
        </w:rPr>
        <w:softHyphen/>
        <w:t>ство мотора М-62. Произподство мотора М-63 прекратить.</w:t>
      </w:r>
    </w:p>
    <w:p w14:paraId="6B7B4C0B"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Ввиду того, что ЦК ВКП(б) и СНК СССР считают мотор М-62 наиболее важным в данный момент и безусловно первоочередным по сравнению с мотором М-71 -для назревших нужд авиации, обязать НКАП - тов. Шахурина, директо</w:t>
      </w:r>
      <w:r w:rsidRPr="00A3026E">
        <w:rPr>
          <w:rFonts w:ascii="Times New Roman" w:hAnsi="Times New Roman"/>
          <w:color w:val="0070C0"/>
          <w:sz w:val="16"/>
          <w:szCs w:val="16"/>
        </w:rPr>
        <w:softHyphen/>
        <w:t>ра и главного конструктора завода № 19 принять все меры к отработке и запуску в серийное производство мотора М1-81 (двухрядная звезда, с мощностью 1500 л.с. на взле</w:t>
      </w:r>
      <w:r w:rsidRPr="00A3026E">
        <w:rPr>
          <w:rFonts w:ascii="Times New Roman" w:hAnsi="Times New Roman"/>
          <w:color w:val="0070C0"/>
          <w:sz w:val="16"/>
          <w:szCs w:val="16"/>
        </w:rPr>
        <w:softHyphen/>
        <w:t>те и 1300 л.с. на высоте 5200 м.) с выпуском в ноябре месяце с.г. не менее 10 моторов и в декабре не менее 30 моторов.</w:t>
      </w:r>
    </w:p>
    <w:p w14:paraId="74213E13"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 Обязать НКАП - тов. Шахурина, директора завода № 19 тов. Кожевникова, совместно с ГУВВС КА провести работу по устранению недостатков мотора М-63 с тем, чтобы потом эти недостатки устранить на моторах в частях ВВС и на заводах.</w:t>
      </w:r>
    </w:p>
    <w:p w14:paraId="3A575750"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Выписки посланы:</w:t>
      </w:r>
    </w:p>
    <w:p w14:paraId="43BD6E01"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Шахурину, Тимошенко , Хломову, Рычагову, Кожевникову, Шевцову (22064).</w:t>
      </w:r>
    </w:p>
    <w:p w14:paraId="55320350" w14:textId="77777777" w:rsidR="00D10176" w:rsidRPr="00A3026E" w:rsidRDefault="00D10176" w:rsidP="00A3026E">
      <w:pPr>
        <w:spacing w:after="0" w:line="240" w:lineRule="auto"/>
        <w:jc w:val="both"/>
        <w:rPr>
          <w:rFonts w:ascii="Times New Roman" w:hAnsi="Times New Roman"/>
          <w:color w:val="0070C0"/>
          <w:sz w:val="16"/>
          <w:szCs w:val="16"/>
        </w:rPr>
      </w:pPr>
    </w:p>
    <w:p w14:paraId="4145A152" w14:textId="77777777" w:rsidR="008549B0" w:rsidRPr="00A3026E" w:rsidRDefault="008549B0"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23 октября 1940 г. Постановление Совнаркома определяло главной задачей КБ-19 А.Д. Швецова доводку моторов «восьмидесятой серии», а в первую очередь М-81. В нем были использованы «райт-циклоновские» цилиндры и поршни, и хотя компоновка отличалась от М-25 и М-63 (два ряда по семь цилиндров), мидель по сравнению с этими 9-цилиндровыми однорядными «звездами» не уменьшился.</w:t>
      </w:r>
    </w:p>
    <w:p w14:paraId="274A9DB5" w14:textId="77777777" w:rsidR="008549B0" w:rsidRPr="00A3026E" w:rsidRDefault="008549B0"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Взлетная мощность М-81 была заявлена 1600 сил, на I границе высотности 3650 м он должен был развивать 1400 л.с., а на II границе 5200 м - 1300. Разработка М-81 шла в Перми с 1939 г., им интересовались сразу несколько конструкторов, потому о нем так и пеклись (17736).</w:t>
      </w:r>
    </w:p>
    <w:p w14:paraId="7490F733" w14:textId="77777777" w:rsidR="008549B0" w:rsidRPr="00A3026E" w:rsidRDefault="008549B0" w:rsidP="00A3026E">
      <w:pPr>
        <w:spacing w:after="0" w:line="240" w:lineRule="auto"/>
        <w:jc w:val="both"/>
        <w:rPr>
          <w:rFonts w:ascii="Times New Roman" w:hAnsi="Times New Roman"/>
          <w:color w:val="000000" w:themeColor="text1"/>
          <w:sz w:val="16"/>
          <w:szCs w:val="16"/>
        </w:rPr>
      </w:pPr>
    </w:p>
    <w:p w14:paraId="786866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октября 1940 г. в ведении 3ГУ НКАП по приказу НКАП № 583с/963с образовался завод на базе Завода им. Сталина НКМП РСФСР. По приказу № 720сс от 12.12.1940 г. завод включен в число действующих и получил наименование ГС завод № 467 НКАП. С начала 1941 г. приступили к организации производства в/винтов. В годы войны выпускались винты ВИШ-105.</w:t>
      </w:r>
    </w:p>
    <w:p w14:paraId="5832EE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755с от 27.07.1941 г. на завод эвакуировано ОКБ-2 гл. конструкторов С.Ш. Бас-Дубова и Г.М. Заславского при заводе № 28 НКАП. По приказу № 273сс от 12.04.1942 г. часть конструкторского состава завода № 467 НКАП во главе с гл. конструкторами С.Ш. Бас-Дубовым и Г.М. Заславским переведена на завод № 27, туда передана вся документация по ВИШ-105П (оставшаяся часть коллектива продолжала работать по винтам и в 01.1944 г.).</w:t>
      </w:r>
    </w:p>
    <w:p w14:paraId="350729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приказу № 762с от 29.07.1941 г. на завод № 467 НКАП эвакуировано небольшое (7 чел., ведущий конструктор Л.С. Аринукин, инженеры И.И. Румянцев, Н.Г. Петров и др.) ОКБ-3 гл. конструктора Н.Г. Никифорова при заводе № 28 НКАП, Н.Г. Никифоров назначен гл. конструктором ОКБ завода № 467. Работы по доводке автоматических винтов с регулятором постоянных оборотов, подготовка производства. В условиях войны для ОКБ фактически не было места для работы, т.к. завод был загружен производством. Приказом НКАП № 43с от 15.01.1942 г. ОКБ переведено со всем имуществом и документацией с завода № 467 на завод № 27 НКАП. </w:t>
      </w:r>
    </w:p>
    <w:p w14:paraId="6ED268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19.06.1946 г. получил наименование «предприятие п/я 1».69 С 15.03.1953 г. завод передан из 14ГУ в 2ГУ. В 1967 г. получил название Машиностроительный завод им. С.И. Кадышева, затем- ПМЗ «Восход». По решению правительства № 22-р от 9.01.2004 г. ОАО вошло в перечень стратегических предприятий.</w:t>
      </w:r>
    </w:p>
    <w:p w14:paraId="18FA4C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1990-е г. ПМЗ «Восход» являлся крупнейшим производителем электрогидравлических и гидромеханических приводов и усилителей. Создан привод антенны РЛС для Су-27. Гидроагрегаты для гражданской промышленности (сервоклапаны, электропневматические клапаны, гидрораспределители, гидро- и пневмоцилиндры, шаровые краныпланетарные гидроприводы, электрогидравлический привод для СПК «Олимпия»).</w:t>
      </w:r>
    </w:p>
    <w:p w14:paraId="554BB0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Производственные площади (2002 г.)- 120 тыс. м2.</w:t>
      </w:r>
    </w:p>
    <w:p w14:paraId="53C3DC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(1.01.2002 г.)- 1600 чел.</w:t>
      </w:r>
    </w:p>
    <w:p w14:paraId="1BF361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(12.1940-41 г.)- А.И. Бухтин, (1941-45 г.)- А.Ф. Авербах, (1945-56 г.-)- С.И. Кадышев, (1990-е)- Б.Б. Василегин. Гендиректор (-1999-2004 г.-)- П.Г. Редько.</w:t>
      </w:r>
    </w:p>
    <w:p w14:paraId="62FDDA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зам. гендиректора (-1999-2002 г.-)- С.В. Таркаев.</w:t>
      </w:r>
    </w:p>
    <w:p w14:paraId="3FC11A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(-1999-2004 г.-)- П.Г. Редько.</w:t>
      </w:r>
    </w:p>
    <w:p w14:paraId="6E1474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зам. гл. конструктора (-1999-2002 г.-)- А.В. Амбарников. Зам. гл. конструктора (1999 г.)- А.А. Борцов; по эксплуатации (1999 г.)- Ю.А. Лёзин.</w:t>
      </w:r>
    </w:p>
    <w:p w14:paraId="21CFC0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Коммерческий директор (2002 г.)- С.В. Таркаев.69 </w:t>
      </w:r>
    </w:p>
    <w:p w14:paraId="3A27CE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гидроагрегаты: РПД1Б, ПМ15БА, БГЦ20Б, МР60Б, РМ-190, РМ-130Б, МР-70, МР-80, ГЦ-30, ГЦ-45 для Су-27; РПД1Б-500, РПД-8, СПМ-6Б, ЭГР-1, ГП-10, ГЦ70, ГЦ50 для С-37; РПД-15, СПМ-20 для Як-130; БУ-210Б, БУ-45А для МиГ-21; БУ-170, БУ-190, МРК-20 для МиГ-25; АРМ-150К, РП-260А, РП-270, РП-280 для МиГ-29; РПД-14 для МиГ-АТ; РП-410Т, РП-420П для Ан-22; ГП-400, РМ-500А для Ан-70; РМ-220М, РП-230, БУ-45Б, ГП-72 для Ан-72; РМ-400, РП-320, ГП-400, ГП-76 для Ан-124 и Ан-225; АРМ-62Т, РДМ-3Т, БУ-160 для Ил-62; АРМ-62Р, МР-30Т для Ил-76; ГЦ-20Н для Ил-96; РС-80АМ для Ка-50; КАУ-170, КАУ-175 для Ка-62; КАУ-165 для Ка-126; КАУ-115АМ для Ми-8, Ми-17; КАУ-140, БГ-16, БГ-17 для Ми-26; БГ-18, КАУ-150, КАУ-155 для Ми-28; РП-10, РП-15 для Ми-38; а также для Су-35, МиГ-31, Ил-86, Ми-6, Ми-10, Ми-24, Ми-171, ВКС «Буран», РН «Протон».</w:t>
      </w:r>
    </w:p>
    <w:p w14:paraId="242095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ГС Завод № 467 НКАП, МАП, п/я 1, Машиностроительный завод им. С.И. Кадышева, Павловский механический завод им. С.И. Кадышева, Павловский машиностроительный завод (ПМЗ) "Восход", АООТ, ОАО «ПМЗ «Восход»</w:t>
      </w:r>
    </w:p>
    <w:p w14:paraId="110A28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606100 г. Павлово Нижегородской обл., ул. Коммунистическая, 78 тел. 61-785 www.voskhod.nnov.ru</w:t>
      </w:r>
    </w:p>
    <w:p w14:paraId="4DB2C4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Московское представительство: Волоколамское ш., 73 тел. 490-63-89</w:t>
      </w:r>
    </w:p>
    <w:p w14:paraId="5E385A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 завода № 467</w:t>
      </w:r>
    </w:p>
    <w:p w14:paraId="32F60F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(07.1941 г.-)- Н.Г. Никифоров.</w:t>
      </w:r>
    </w:p>
    <w:p w14:paraId="24B740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ОКБ-467 НКАП, МАП, ОКБ завода № 467 МАП, ОАО «Гидроагрегат»</w:t>
      </w:r>
    </w:p>
    <w:p w14:paraId="253A8A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606100 г. Павлово-3 Нижегородской обл. ул. Коммунистическая, 78 тел. 69-201, 51-484 www.gidroagregat.innov.ru</w:t>
      </w:r>
    </w:p>
    <w:p w14:paraId="51E3A2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приказам № 383с от 18.06.1946 г. и № 450с от 12.07.1946 г. на завод переведено из Свердловска ОКБ завода № 28 МАП гл. конструктора Н.Н. Петрова со всем личным составом (44 чел. ИТР и рабочих) и оборудованием для продолжения работ по винтам В-3 для Ту-4. На базе него и уже действовавшего при заводе ОКБ создано новое ОКБ-467 МАП.</w:t>
      </w:r>
    </w:p>
    <w:p w14:paraId="24CE21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1957 г. ОКБ передано из МАП в Павловский СНХ. В период с ~1960 г. по 1967 г. ОКБ действовало отдельно от завода как самостоятельное ОКБ-1. В 1993 г. преобразовано в ОАО. По решению правительства № 22-р от 9.01.2004 г. и Указу Президента РФ № 1009 от 4.08.2004 г. вошло в число стратегических оборонных предприятий.</w:t>
      </w:r>
    </w:p>
    <w:p w14:paraId="12D5C6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Созданы рулевые приводы, гидроблоки, системы дистанционного управления для ОК «Буран».</w:t>
      </w:r>
    </w:p>
    <w:p w14:paraId="2E36E9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(2004 г.): гидравлические агрегаты для систем управления ЛА: рулевые приводы, распределительные устройства, гидравлические блоки, системы дистанционного управления; воздушные винты; аварийно-спасательный инструмент АСИ-2; шестеренные насосы; гидравлические устройства для с/х машин и дорожно-строительной техники;сильфонные вентили и электромагнитные клапаны для химической промышленности и криогенной техники; детандерно-компрессорные турбогенераторы для газо- и нефтепереребатывающей промышленности; турбомолекулярные вакуумные насосы; очистные сооружения.</w:t>
      </w:r>
    </w:p>
    <w:p w14:paraId="0BAF6C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(1.01.2001 г.)- 3475 чел.</w:t>
      </w:r>
    </w:p>
    <w:p w14:paraId="63E58F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ответственный руководитель (1946 г.-)- Н.Н. Петров, Ф.Ф. Куприянов, Ю.А. Парменов, Б.Б. Василегин.</w:t>
      </w:r>
    </w:p>
    <w:p w14:paraId="78AE00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Гендиректор (1990-е)- Б.Х. Коган, (2002 г.)- Е.И. Белов, (2003 г.; 01.2005 г.)- П.Г. Редько, (2004 г.)- А.М. Никитин.</w:t>
      </w:r>
    </w:p>
    <w:p w14:paraId="465F98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Гл. инженер (2002 г.)- В.А. Чичевичкин.69 </w:t>
      </w:r>
    </w:p>
    <w:p w14:paraId="5C6921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финансового директора (01.2005 г.)- В.К. Колбасов (10776).</w:t>
      </w:r>
    </w:p>
    <w:p w14:paraId="484309D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DC8E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октября 1940 года начальник НИП АВ полковник Шевченко</w:t>
      </w:r>
    </w:p>
    <w:p w14:paraId="7E4B6D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полигонным испытаниям осколочных авиабомб АО-10 ст. чугуна, снаряженных смесью К-2 (ТНТ+ДНН 80/20) футлярным методом, с приварными и привинтными стабилизаторами завода № 12 1940 года</w:t>
      </w:r>
    </w:p>
    <w:p w14:paraId="2EC4C3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 27 сентября 1940 года</w:t>
      </w:r>
    </w:p>
    <w:p w14:paraId="4D93FF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12 октября 1940 года</w:t>
      </w:r>
    </w:p>
    <w:p w14:paraId="41B991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 в/инженер 3 ранга Смирнов</w:t>
      </w:r>
    </w:p>
    <w:p w14:paraId="0721AD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320958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имели целью определить:</w:t>
      </w:r>
    </w:p>
    <w:p w14:paraId="2B92E48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Осколочное действие бомб.</w:t>
      </w:r>
    </w:p>
    <w:p w14:paraId="3D56FEF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Безотказность действия.</w:t>
      </w:r>
    </w:p>
    <w:p w14:paraId="4D7F37D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бомб в полете.</w:t>
      </w:r>
    </w:p>
    <w:p w14:paraId="248E40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04FF87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 АО-10 ст. чугуна, снаряженные смесью К-2 (ТНТ+ДНН 80/20) футлярным методом, завода № 12 1940 года черт. 3-0775 показали неудовлетворительные результаты по устойчивости в полете (АО-10 с приварным стабилизатором – 6,3% неустойчивых и с привинтным стабилизатором – 10% неустойчивых) и полигонные испытания не выдержали (7547).</w:t>
      </w:r>
    </w:p>
    <w:p w14:paraId="16FC5F8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6AEA68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23 октября 1940 г. на имя начальника 4-го ГУ НКБ и директора НИИ-3 НКБ поступило письмо от начальника 7 отдела УА ВМФ военинженсра 1 ранга Захаренко, гдеговорилось: «В настоящее время артиллерийские фугасно-бронебонные 130-мм снаряды чертежа 2-01738 по указанию АУ ВМФ с производства снимают и заменяют новым более простым цельнокорпусным фугасно-бронебойным снарядом чертежа 2-918а, утвержденным АУ ВМФ, указанный снаряд при отстреле по бронеплитам на НИМАП ВМФ показал удовлетворительные результаты. В целях унификации производства про</w:t>
      </w:r>
      <w:r w:rsidRPr="00A3026E">
        <w:rPr>
          <w:rFonts w:ascii="Times New Roman" w:hAnsi="Times New Roman"/>
          <w:color w:val="000000" w:themeColor="text1"/>
          <w:sz w:val="16"/>
          <w:szCs w:val="16"/>
        </w:rPr>
        <w:softHyphen/>
        <w:t>шу дать указание НИИ-3 о срочном изготовлении нового варианта чер</w:t>
      </w:r>
      <w:r w:rsidRPr="00A3026E">
        <w:rPr>
          <w:rFonts w:ascii="Times New Roman" w:hAnsi="Times New Roman"/>
          <w:color w:val="000000" w:themeColor="text1"/>
          <w:sz w:val="16"/>
          <w:szCs w:val="16"/>
        </w:rPr>
        <w:softHyphen/>
        <w:t>тежей РБС-132 с использованием для БЧ корпусов 130-мм фугасно-бронебойных снарядов по чертежу 2-918а АУ ВМФ...».</w:t>
      </w:r>
    </w:p>
    <w:p w14:paraId="3DA5F1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 есть, флотские артиллеристы решили отказаться от бронебойных наконечников, но, видимо, только и составе полубронебойных артснарядов. Хорошо зарекомендовавший себя элемент конструкции, изобре</w:t>
      </w:r>
      <w:r w:rsidRPr="00A3026E">
        <w:rPr>
          <w:rFonts w:ascii="Times New Roman" w:hAnsi="Times New Roman"/>
          <w:color w:val="000000" w:themeColor="text1"/>
          <w:sz w:val="16"/>
          <w:szCs w:val="16"/>
        </w:rPr>
        <w:softHyphen/>
        <w:t>тенный русским адмиралом О.И.Макаровым, в составе бронебойных 130-мм снарядов оставался. Однако опыт стрельб на НИМАП ВМФ из орудий калибров 203, 180, 165 и 130 мм по прочным преградам в 1938-1939 гг. показал, что коническая резьба на корпусах артснарядон для крепления бронебойного наконечника из мягкой стали служит элемен</w:t>
      </w:r>
      <w:r w:rsidRPr="00A3026E">
        <w:rPr>
          <w:rFonts w:ascii="Times New Roman" w:hAnsi="Times New Roman"/>
          <w:color w:val="000000" w:themeColor="text1"/>
          <w:sz w:val="16"/>
          <w:szCs w:val="16"/>
        </w:rPr>
        <w:softHyphen/>
        <w:t>том ослабления конструкции. Это существенно снижало проникающую способность боеприпасов и практически исключало их фугасное заброневое действие.</w:t>
      </w:r>
    </w:p>
    <w:p w14:paraId="223CEA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Новыми артснарядами располагали только во Флоте, и УВВС КА при</w:t>
      </w:r>
      <w:r w:rsidRPr="00A3026E">
        <w:rPr>
          <w:rFonts w:ascii="Times New Roman" w:hAnsi="Times New Roman"/>
          <w:color w:val="000000" w:themeColor="text1"/>
          <w:sz w:val="16"/>
          <w:szCs w:val="16"/>
        </w:rPr>
        <w:softHyphen/>
        <w:t xml:space="preserve">шлось довольствоваться лишь упомянутым запасом в НИИ-3 НКБ. </w:t>
      </w:r>
    </w:p>
    <w:p w14:paraId="160B7E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2076A85" w14:textId="77777777" w:rsidR="00C66762" w:rsidRPr="00A3026E" w:rsidRDefault="001F3559" w:rsidP="00A3026E">
      <w:pPr>
        <w:shd w:val="clear" w:color="auto" w:fill="FFFFFF"/>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18E4896" w14:textId="77777777" w:rsidR="00C66762" w:rsidRPr="00A3026E" w:rsidRDefault="00C66762" w:rsidP="00A3026E">
      <w:pPr>
        <w:shd w:val="clear" w:color="auto" w:fill="FFFFFF"/>
        <w:spacing w:after="0" w:line="240" w:lineRule="auto"/>
        <w:jc w:val="both"/>
        <w:rPr>
          <w:rFonts w:ascii="Times New Roman" w:hAnsi="Times New Roman"/>
          <w:iCs/>
          <w:color w:val="000000" w:themeColor="text1"/>
          <w:sz w:val="16"/>
          <w:szCs w:val="16"/>
        </w:rPr>
      </w:pPr>
    </w:p>
    <w:p w14:paraId="4A8354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Style w:val="af0"/>
          <w:rFonts w:ascii="Times New Roman" w:hAnsi="Times New Roman"/>
          <w:i w:val="0"/>
          <w:iCs w:val="0"/>
          <w:color w:val="000000" w:themeColor="text1"/>
          <w:sz w:val="16"/>
          <w:szCs w:val="16"/>
        </w:rPr>
        <w:t>23 октября 1940</w:t>
      </w:r>
      <w:r w:rsidRPr="00A3026E">
        <w:rPr>
          <w:rFonts w:ascii="Times New Roman" w:hAnsi="Times New Roman"/>
          <w:color w:val="000000" w:themeColor="text1"/>
          <w:sz w:val="16"/>
          <w:szCs w:val="16"/>
        </w:rPr>
        <w:t xml:space="preserve"> было Спецсообщение Л.П. Берии И.В. Сталину о "вредительской" работе руководящих работников наркомата боеприпасов № 4490/б </w:t>
      </w:r>
    </w:p>
    <w:p w14:paraId="2B5D9E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Совершенно секретно </w:t>
      </w:r>
    </w:p>
    <w:p w14:paraId="419965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Товарищу Сталину,</w:t>
      </w:r>
    </w:p>
    <w:p w14:paraId="34DB12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НКВД СССР располагает данными о том, что начальник 2 Главного Управления Наркомата Боеприпасов ЕФРЕМОВ Борис Александрович, заместитель главного инженера того же главка ЧЕРНЯЕВ Анатолий Федорович и начальник Технического Совета наркомата СИДОРА Александр Федосеевич ведут вредительскую работу. </w:t>
      </w:r>
    </w:p>
    <w:p w14:paraId="536DC8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ЕФРЕМОВ Б.А., ЧЕРНЯЕВ А.Ф. и СИДОРА А.Ф. не приняли необходимых мер к отработке технологии производства на заводах № 5 и № 53 капсюлей-воспламенителей «Шкасс», которых в 1939 и 1940 гг. забраковано 171 миллион штук. </w:t>
      </w:r>
    </w:p>
    <w:p w14:paraId="35A8F1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ЕФРЕМОВ и ЧЕРНЯЕВ не организовали также отработку конструкции и освоение производства взрывателей к снарядам, минам и авиабомбам. В результате сдача взрывателей Д-1 и МБ на вооружение Красной Армии сорвана. </w:t>
      </w:r>
    </w:p>
    <w:p w14:paraId="2D5622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СИДОРА в июле 1939 года изменил существовавший процесс изготовления артиллерийских железных гильз, отменив операцию по их термической обработке, что привело к массовому браку. Вместо 5700 тысяч штук по плану заводами наркомата боеприпасов за 1940 год выпущено 1100 тысяч штук железных гильз, из коих забраковано 960 тысяч штук. </w:t>
      </w:r>
    </w:p>
    <w:p w14:paraId="5C804A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Кроме того, показаниями бывшего директора Сталинградского завода «Баррикады» БУДНЯКА Д.С. (осужден к ВМН) ЕФРЕМОВ изобличается как участник контрреволюционной троцкистской организации, в которую был вовлечен БУДНЯКОМ в 1932 году. В 1934—35 гг. ЕФРЕМОВ являлся помощником врага народа ПАВЛУНОВСКОГО И.П. </w:t>
      </w:r>
    </w:p>
    <w:p w14:paraId="40B75B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Показаниями бывшего директора завода № 19 ПОБЕРЕЖСКОГО (осужден к ВМН) СИДОРА изобличается во вредительской работе по срыву выпуска деталей к авиамоторам. </w:t>
      </w:r>
    </w:p>
    <w:p w14:paraId="554BB9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НКВД СССР считает необходимым арестовать ЕФРЕМОВА Б.А., ЧЕРНЯЕВА А.Ф. и СИДОРА А.Ф. </w:t>
      </w:r>
    </w:p>
    <w:p w14:paraId="55126E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Прошу Ваших указаний. </w:t>
      </w:r>
    </w:p>
    <w:p w14:paraId="3F276A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Арест упомянутых лиц согласован с тов. МЕХЛИСОМ и Наркомом Боеприпасов тов. Сергеевым. </w:t>
      </w:r>
    </w:p>
    <w:p w14:paraId="662D2C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внутренних дел Союза ССР Л. Берия</w:t>
      </w:r>
    </w:p>
    <w:p w14:paraId="6E1ABE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 РФ. Ф. 3. Оп. 58. Д. 343а. Л. 57—58. Подлинник. Машинопись (11430).</w:t>
      </w:r>
    </w:p>
    <w:p w14:paraId="1316C4B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B869A0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25D07CD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A527D8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октября 1940 на испано-французской границе состоялась встреча Ф. Франко и А. Гитлера (Франко отказал Гитлеру в предоставлении испанской территории для захвата Гибралтара) (4962).</w:t>
      </w:r>
    </w:p>
    <w:p w14:paraId="59A7799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8EF865F"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October 23, 1940: Hitler and Generalissimo Franco, the Spanish head of state, meet at Hendaye near the French-Spanish border. Franco is non-committal regarding Spain's entry into the war on the side of Germany (3819).</w:t>
      </w:r>
    </w:p>
    <w:p w14:paraId="6802A40E"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485C9A1B" w14:textId="77777777" w:rsidR="00D1447C" w:rsidRPr="00A3026E" w:rsidRDefault="00D1447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октября 1940 А.Гитлер встретился с г Франко в южной Франции и предложил ему Гибралтар и территории в Северной Африке в случае вступления в войну. Франко не согласился (2244,7).</w:t>
      </w:r>
    </w:p>
    <w:p w14:paraId="2390E2AA" w14:textId="77777777" w:rsidR="00D1447C" w:rsidRPr="00A3026E" w:rsidRDefault="00D1447C" w:rsidP="00A3026E">
      <w:pPr>
        <w:spacing w:after="0" w:line="240" w:lineRule="auto"/>
        <w:jc w:val="both"/>
        <w:rPr>
          <w:rFonts w:ascii="Times New Roman" w:hAnsi="Times New Roman"/>
          <w:color w:val="000000" w:themeColor="text1"/>
          <w:sz w:val="16"/>
          <w:szCs w:val="16"/>
        </w:rPr>
      </w:pPr>
    </w:p>
    <w:p w14:paraId="085459F8" w14:textId="77777777" w:rsidR="00D1447C" w:rsidRPr="00A3026E" w:rsidRDefault="00D1447C"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23 октября </w:t>
      </w:r>
      <w:r w:rsidRPr="00A3026E">
        <w:rPr>
          <w:rFonts w:ascii="Times New Roman" w:hAnsi="Times New Roman"/>
          <w:color w:val="000000" w:themeColor="text1"/>
          <w:sz w:val="16"/>
          <w:szCs w:val="16"/>
        </w:rPr>
        <w:t>в 1940 году Адольф Гитлер и Франсиско Франко встречаются на французско-испанской границе. Адольф Гитлер хочет, чтобы Испания вступила в войну в январе 1941 и взяла на себя захват британского Гибралтара, но слова Адольф Гитлера о том, что Англия "полностью разбита", не производят на каудильо никакого впечатления. А на предложение фюрера прислать ему специалистов по уничтожению гибралтарских фортов с воздуха, хитрый испанец "оскорбляется": если уж дело дойдет до войны, Испания и сама справится. И вместо того, чтобы чувствовать себя польщенным, что до него снизошел сам фюрер, Франсиско Франко требует исправления границы в Пиренеях, передачи Испании французской Каталонии, Алжира от Орана до мыса Бланко и фактически всего Марокко в ответ на туманные обещания. После девяти часов безрезультатных переговоров Адольф Гитлер в бешенстве вскочит со своего места и хлопнет дверью. "Пусть мне лучше выбьют четыре зуба, - зло скажет он наутро своему министру иностранных дел Риббентропу, - если я еще раз соглашусь вести с ним какие-нибудь переговоры" (14808).</w:t>
      </w:r>
    </w:p>
    <w:p w14:paraId="270C3A24" w14:textId="77777777" w:rsidR="00D1447C" w:rsidRPr="00A3026E" w:rsidRDefault="00D1447C" w:rsidP="00A3026E">
      <w:pPr>
        <w:spacing w:after="0" w:line="240" w:lineRule="auto"/>
        <w:jc w:val="both"/>
        <w:rPr>
          <w:rFonts w:ascii="Times New Roman" w:hAnsi="Times New Roman"/>
          <w:color w:val="000000" w:themeColor="text1"/>
          <w:sz w:val="16"/>
          <w:szCs w:val="16"/>
        </w:rPr>
      </w:pPr>
    </w:p>
    <w:p w14:paraId="1B1F2F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октября 1940 г. Германия и Италия публикуют совместную декларацию о симпатиях к арабскому национально-освободительному движению, в которой арабов призывали принять участие в ликвидации британской колониальной империи. В то же время правящие круги Германии планировали создание Великогерманской колониальной империи с включением в ее состав всех арабских стран Ближнего Востока, за исключением Саудовской Аравии и Йемена, над которыми предполагалось установить германский протекторат (3871).</w:t>
      </w:r>
    </w:p>
    <w:p w14:paraId="1673D27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45DECEE" w14:textId="77777777" w:rsidR="00D1447C" w:rsidRPr="00A3026E" w:rsidRDefault="00D1447C"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23 октября </w:t>
      </w:r>
      <w:r w:rsidRPr="00A3026E">
        <w:rPr>
          <w:rFonts w:ascii="Times New Roman" w:hAnsi="Times New Roman"/>
          <w:color w:val="000000" w:themeColor="text1"/>
          <w:sz w:val="16"/>
          <w:szCs w:val="16"/>
        </w:rPr>
        <w:t>в 1940 году в Центральном головном суде Лондона "Олд Бэйли" начинается закрытый процесс над шифровальщиком американского посольства в Лондоне Тайлером Кентом, убежденным расистом, антисемитом и антикоммунистом, воровавшим сверхсекретные документы для передачи их лицам, связанным с Германией. Суд будет проходить в обстановке строжайшей секретности: окна и стеклянные двери заклеены матовой бумагой; на нем присутствуют лишь официальные наблюдатели, давшие подписку о неразглашении тайны. Суть дела в том, что документы, которые Кент крал из посольства, содержали секретную переписку Уинстона Черчилля и Франклина Рузвельта о налаживании военно-морского сотрудничества между Англией и США. Если бы они были обнародованы, то это обернулось бы резким ухудшением англо-американских отношений, так как вскрыли бы попытки Рузвельта - в нарушение законодательно подтвержденного нейтралитета США в войне - оказать активную помощь Британии в сдерживании германского натиска, и поставили жирный крест на перспективе избрания Рузвельта президентом на новый срок. Кента посадят в тюрьму, в сентябре 1945 освободят и депортируют в США. Вскоре он женится на состоятельной женщине, начнет издавать еженедельник. В каждом номере Кент будет поносить покойного Рузвельта и нового президента Джона Кеннеди, называя обоих коммунистами (14808).</w:t>
      </w:r>
    </w:p>
    <w:p w14:paraId="52574E29" w14:textId="77777777" w:rsidR="00D1447C" w:rsidRPr="00A3026E" w:rsidRDefault="00D1447C" w:rsidP="00A3026E">
      <w:pPr>
        <w:spacing w:after="0" w:line="240" w:lineRule="auto"/>
        <w:jc w:val="both"/>
        <w:rPr>
          <w:rFonts w:ascii="Times New Roman" w:hAnsi="Times New Roman"/>
          <w:color w:val="000000" w:themeColor="text1"/>
          <w:sz w:val="16"/>
          <w:szCs w:val="16"/>
        </w:rPr>
      </w:pPr>
    </w:p>
    <w:p w14:paraId="7A5E63B7" w14:textId="77777777" w:rsidR="00D1447C" w:rsidRPr="00A3026E" w:rsidRDefault="00D1447C"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23 октября </w:t>
      </w:r>
      <w:r w:rsidRPr="00A3026E">
        <w:rPr>
          <w:rFonts w:ascii="Times New Roman" w:hAnsi="Times New Roman"/>
          <w:color w:val="000000" w:themeColor="text1"/>
          <w:sz w:val="16"/>
          <w:szCs w:val="16"/>
        </w:rPr>
        <w:t>в 1940 году американский посол в Японии Грю докладывает, что к власти в стране приходят военные-экстремисты. После того, как самый способный морской командир, адмирал Ямамото скажет на секретном совещании, что Япония не может надеяться выиграть войну против Британии и Америки, его отправят подальше от столицы, чтобы уберечь от убийц: высказывать сомнения в мощи страны не соответствует тогдашнему "кодексу чести". А японскому императору скажут напрямик, что его убьют, если он будет противостоять военной политике (14808).</w:t>
      </w:r>
    </w:p>
    <w:p w14:paraId="1224681B" w14:textId="77777777" w:rsidR="00D1447C" w:rsidRPr="00A3026E" w:rsidRDefault="00D1447C" w:rsidP="00A3026E">
      <w:pPr>
        <w:spacing w:after="0" w:line="240" w:lineRule="auto"/>
        <w:jc w:val="both"/>
        <w:rPr>
          <w:rFonts w:ascii="Times New Roman" w:hAnsi="Times New Roman"/>
          <w:color w:val="000000" w:themeColor="text1"/>
          <w:sz w:val="16"/>
          <w:szCs w:val="16"/>
        </w:rPr>
      </w:pPr>
    </w:p>
    <w:p w14:paraId="19BA9AC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6D02B9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B2435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октября 1940 года закончились гос. испытания серийного самолета ДБ-3Ф 2М-87 № 180137 производства завода № 18 с винтами ВИШ-23 с установленными воздушно-масляными радиаторами в туннелях крыльев, которые проходили с 12 октября 1940</w:t>
      </w:r>
    </w:p>
    <w:p w14:paraId="572F5C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4F05DC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2 отдела НИИ ВВС в/инженер 1 ранга Марков</w:t>
      </w:r>
    </w:p>
    <w:p w14:paraId="2EDEC3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по испытаниям инженер 1 отдела НИИ ВВС в/инженер 1 ранга Платонов</w:t>
      </w:r>
    </w:p>
    <w:p w14:paraId="32F5B6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капитан Сыроегин</w:t>
      </w:r>
    </w:p>
    <w:p w14:paraId="17686D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1C39D4C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Определить летно-технические данные серийного самолета ДБ-3Ф 2 М-87Б с ВИШ-23, постройки завода № 18 с установкой воздушно-масляных радиаторов в туннелях крыльев.</w:t>
      </w:r>
    </w:p>
    <w:p w14:paraId="71A466E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эффективность действия воздушно-масляных радиаторов, установленных в туннелях крыльев и дать эксплуатационную оценку установки их.</w:t>
      </w:r>
    </w:p>
    <w:p w14:paraId="4B0D786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выработку бензина при работе на различных группах баков.</w:t>
      </w:r>
    </w:p>
    <w:p w14:paraId="5ECFD2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 18 предъявлен на гос. испытания серийный самолет ДБ-3Ф № 180137 с двумя моторами М-87, винтами ВИШ-23 и стреловыми установками МВ-2 и МВ-3.</w:t>
      </w:r>
    </w:p>
    <w:p w14:paraId="65CA06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данном самолете воздушно-масляные радиаторы установлены в специальной тоннели и расположены в носке крыла, параллельно переднему лонжерону.</w:t>
      </w:r>
    </w:p>
    <w:p w14:paraId="125642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ранее выпускаемых самолетах ДБ-3Ф, воздушно-масляные радиаторы устанавливались также в носке крыла, но размещались перпендикулярно переднему лонжерону и выходили за габариты крыла.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32"/>
        <w:gridCol w:w="1584"/>
        <w:gridCol w:w="1584"/>
        <w:gridCol w:w="1584"/>
      </w:tblGrid>
      <w:tr w:rsidR="00983732" w:rsidRPr="00A3026E" w14:paraId="0C6ED0B7" w14:textId="77777777" w:rsidTr="00EA0DA7">
        <w:tc>
          <w:tcPr>
            <w:tcW w:w="4032" w:type="dxa"/>
          </w:tcPr>
          <w:p w14:paraId="124EF5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w:t>
            </w:r>
          </w:p>
        </w:tc>
        <w:tc>
          <w:tcPr>
            <w:tcW w:w="1584" w:type="dxa"/>
          </w:tcPr>
          <w:p w14:paraId="7A1D5C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w:t>
            </w:r>
          </w:p>
          <w:p w14:paraId="53606F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180137 серийный</w:t>
            </w:r>
          </w:p>
        </w:tc>
        <w:tc>
          <w:tcPr>
            <w:tcW w:w="1584" w:type="dxa"/>
          </w:tcPr>
          <w:p w14:paraId="3597F9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w:t>
            </w:r>
          </w:p>
          <w:p w14:paraId="224AD5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180630 головной серийный</w:t>
            </w:r>
          </w:p>
        </w:tc>
        <w:tc>
          <w:tcPr>
            <w:tcW w:w="1584" w:type="dxa"/>
          </w:tcPr>
          <w:p w14:paraId="2BF605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w:t>
            </w:r>
          </w:p>
          <w:p w14:paraId="1840E3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390801 эталон II половины 1940 года</w:t>
            </w:r>
          </w:p>
        </w:tc>
      </w:tr>
      <w:tr w:rsidR="00983732" w:rsidRPr="00A3026E" w14:paraId="69C0F665" w14:textId="77777777" w:rsidTr="00EA0DA7">
        <w:tc>
          <w:tcPr>
            <w:tcW w:w="4032" w:type="dxa"/>
          </w:tcPr>
          <w:p w14:paraId="1249AF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Завод-поставщик</w:t>
            </w:r>
          </w:p>
        </w:tc>
        <w:tc>
          <w:tcPr>
            <w:tcW w:w="1584" w:type="dxa"/>
          </w:tcPr>
          <w:p w14:paraId="2FD63C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1584" w:type="dxa"/>
          </w:tcPr>
          <w:p w14:paraId="48E8DC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1584" w:type="dxa"/>
          </w:tcPr>
          <w:p w14:paraId="285541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r>
      <w:tr w:rsidR="00983732" w:rsidRPr="00A3026E" w14:paraId="2E1F8707" w14:textId="77777777" w:rsidTr="00EA0DA7">
        <w:tc>
          <w:tcPr>
            <w:tcW w:w="4032" w:type="dxa"/>
          </w:tcPr>
          <w:p w14:paraId="2AB96C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w:t>
            </w:r>
          </w:p>
        </w:tc>
        <w:tc>
          <w:tcPr>
            <w:tcW w:w="1584" w:type="dxa"/>
          </w:tcPr>
          <w:p w14:paraId="268A85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М-87</w:t>
            </w:r>
          </w:p>
        </w:tc>
        <w:tc>
          <w:tcPr>
            <w:tcW w:w="1584" w:type="dxa"/>
          </w:tcPr>
          <w:p w14:paraId="2B3B23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М-87</w:t>
            </w:r>
          </w:p>
        </w:tc>
        <w:tc>
          <w:tcPr>
            <w:tcW w:w="1584" w:type="dxa"/>
          </w:tcPr>
          <w:p w14:paraId="16C211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r>
      <w:tr w:rsidR="00983732" w:rsidRPr="00A3026E" w14:paraId="0FFF9422" w14:textId="77777777" w:rsidTr="00EA0DA7">
        <w:tc>
          <w:tcPr>
            <w:tcW w:w="4032" w:type="dxa"/>
          </w:tcPr>
          <w:p w14:paraId="0A8BE4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Стрелковые установки</w:t>
            </w:r>
          </w:p>
        </w:tc>
        <w:tc>
          <w:tcPr>
            <w:tcW w:w="1584" w:type="dxa"/>
          </w:tcPr>
          <w:p w14:paraId="33C104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МВ-2 и МВ-3</w:t>
            </w:r>
          </w:p>
        </w:tc>
        <w:tc>
          <w:tcPr>
            <w:tcW w:w="1584" w:type="dxa"/>
          </w:tcPr>
          <w:p w14:paraId="0EE609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МВ-2 и МВ-3</w:t>
            </w:r>
          </w:p>
        </w:tc>
        <w:tc>
          <w:tcPr>
            <w:tcW w:w="1584" w:type="dxa"/>
          </w:tcPr>
          <w:p w14:paraId="2A18AF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МВ-2 и МВ-3</w:t>
            </w:r>
          </w:p>
        </w:tc>
      </w:tr>
      <w:tr w:rsidR="00983732" w:rsidRPr="00A3026E" w14:paraId="233A9A55" w14:textId="77777777" w:rsidTr="00EA0DA7">
        <w:tc>
          <w:tcPr>
            <w:tcW w:w="4032" w:type="dxa"/>
          </w:tcPr>
          <w:p w14:paraId="5AE2A8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Н=0</w:t>
            </w:r>
          </w:p>
        </w:tc>
        <w:tc>
          <w:tcPr>
            <w:tcW w:w="1584" w:type="dxa"/>
          </w:tcPr>
          <w:p w14:paraId="4457DF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337 км/час</w:t>
            </w:r>
          </w:p>
        </w:tc>
        <w:tc>
          <w:tcPr>
            <w:tcW w:w="1584" w:type="dxa"/>
          </w:tcPr>
          <w:p w14:paraId="7A3102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 км/час</w:t>
            </w:r>
          </w:p>
        </w:tc>
        <w:tc>
          <w:tcPr>
            <w:tcW w:w="1584" w:type="dxa"/>
          </w:tcPr>
          <w:p w14:paraId="45492C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345 км/час</w:t>
            </w:r>
          </w:p>
        </w:tc>
      </w:tr>
      <w:tr w:rsidR="00983732" w:rsidRPr="00A3026E" w14:paraId="376F393A" w14:textId="77777777" w:rsidTr="00EA0DA7">
        <w:tc>
          <w:tcPr>
            <w:tcW w:w="4032" w:type="dxa"/>
          </w:tcPr>
          <w:p w14:paraId="1A3F79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границе высотности</w:t>
            </w:r>
          </w:p>
        </w:tc>
        <w:tc>
          <w:tcPr>
            <w:tcW w:w="1584" w:type="dxa"/>
          </w:tcPr>
          <w:p w14:paraId="103685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414 км/час</w:t>
            </w:r>
          </w:p>
        </w:tc>
        <w:tc>
          <w:tcPr>
            <w:tcW w:w="1584" w:type="dxa"/>
          </w:tcPr>
          <w:p w14:paraId="16BF40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405 км/час</w:t>
            </w:r>
          </w:p>
        </w:tc>
        <w:tc>
          <w:tcPr>
            <w:tcW w:w="1584" w:type="dxa"/>
          </w:tcPr>
          <w:p w14:paraId="4228EF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410/428 км/час</w:t>
            </w:r>
          </w:p>
        </w:tc>
      </w:tr>
    </w:tbl>
    <w:p w14:paraId="40F32A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BBD03C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Расположение воздушно-масляных радиаторов по схеме, утвержденной в отчете по гос. испытаниям самолета ДБ3Ф-2М88 с ВИШ-23 за № 390801 допускает нормальную эксплуатацию моторов М-87 с винтом ВИШ-23 на самолетах ДБ-3.</w:t>
      </w:r>
    </w:p>
    <w:p w14:paraId="2D471AA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Благодаря новому расположению радиаторов скорость самолета с турелью МВ-3 (МВ-2 убрана) увеличивается на 9 км/час на границе высотности моторов и равна 414 км/час вместо 405 км/час.</w:t>
      </w:r>
    </w:p>
    <w:p w14:paraId="1BD629F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решения начальника ГУ ВВС Рычагова от 30 сентября 1940 года заводам 18, 39 и 126 надлежит на всех выпускаемых и сдаваемых в строевые части ВВС самолетах ДБ-3 устанавливать масляные радиаторы по новой схеме.</w:t>
      </w:r>
    </w:p>
    <w:p w14:paraId="0214FC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испытания 12 октября 1940 года</w:t>
      </w:r>
    </w:p>
    <w:p w14:paraId="7A3588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окончил испытания 24 октября 1940 года</w:t>
      </w:r>
    </w:p>
    <w:p w14:paraId="72B2EA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испытаний 12 дней, из них летных – 5 дней</w:t>
      </w:r>
    </w:p>
    <w:p w14:paraId="54D8ED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самолета произведено 7 полетов общей продолжительностью 6 час. 05 мин. (4380).</w:t>
      </w:r>
    </w:p>
    <w:p w14:paraId="2110E35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FEE7FB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октября 1940 года Ворошиловым письмом было рекомендовано Тимошенко С.К. рассмотреть вопрос об использовании самолета «СБ-РК» в качестве артиллерийского корректировщика (4048, 42).</w:t>
      </w:r>
    </w:p>
    <w:p w14:paraId="1BA538D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C814E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октября 1940 года Ворошилов писал письмо N 9255/КО Тимошенко С.К. на N 16991:</w:t>
      </w:r>
    </w:p>
    <w:p w14:paraId="779BC4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Вашим ходатайством о проектировании и постройке самолета артиллерийского разведчика-корректировщика, Наркомавиапром - Яковлев и Рычагов считают пригодным для этой цели самолет СБ-РК 2М-105, который отвечает предъявляемым к разведчику-корректировщику летно-тактическим требованиям.</w:t>
      </w:r>
    </w:p>
    <w:p w14:paraId="2DD222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рассмотреть вопрос об использовании самолета СБ-РК 2М-105 в качестве артиллерийского разведчика-корректировщика (3361,8).</w:t>
      </w:r>
    </w:p>
    <w:p w14:paraId="71754D0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C198A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октября 1940 вышел приказ НКАП N 579cc в исполнение постановления СНК N 2061-874сс от 17 октября, в котором предполагалось организовать производство самолетов ДБ-240 в Ростове на Дону на мощности 600 штук в год со сроком ввода в действие во втором квартале 1942 на базе Ростовского автосборочного завода Наркомсредмаша. Хотели начать в 3 квартале с 5 штук, включая в сентябре 3 шт. (412,4).</w:t>
      </w:r>
    </w:p>
    <w:p w14:paraId="3AD57DB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B43B7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24 октября 1940 начались заводские испытания ДБ-240 2АМ-37 (2090,234).</w:t>
      </w:r>
    </w:p>
    <w:p w14:paraId="5FDEFA6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6867E1A"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24 октября 1940 г. Приказом по НКАП выпуск ДБ-240 был запланирован и в Ростове: местный автозавод готовился сменить профиль производства и должен был сдать первые ДБ-240 в 1942 году и выйти на рубеж 600 бомбардировщиков в год. В том же октябре 1940 года окончательно был решен вопрос подчинения завода и КБ №240 — они были приняты на баланс НКАП (22833).</w:t>
      </w:r>
    </w:p>
    <w:p w14:paraId="10A074BA" w14:textId="77777777" w:rsidR="00D10176" w:rsidRPr="00A3026E" w:rsidRDefault="00D10176" w:rsidP="00A3026E">
      <w:pPr>
        <w:spacing w:after="0" w:line="240" w:lineRule="auto"/>
        <w:jc w:val="both"/>
        <w:rPr>
          <w:rFonts w:ascii="Times New Roman" w:hAnsi="Times New Roman"/>
          <w:color w:val="0070C0"/>
          <w:sz w:val="16"/>
          <w:szCs w:val="16"/>
        </w:rPr>
      </w:pPr>
    </w:p>
    <w:p w14:paraId="083906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октября 1940 И-26-3 впервые полностью расстрелял патроны в ходе гос. испытаний три раза за день (1204,57).</w:t>
      </w:r>
    </w:p>
    <w:p w14:paraId="0EAA094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C319E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октября 1940 года вышел приказ НКАП за № 299, согласно которому на базе трех заводов:</w:t>
      </w:r>
    </w:p>
    <w:p w14:paraId="069FAA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Завода штампов и приспособлений</w:t>
      </w:r>
    </w:p>
    <w:p w14:paraId="365D08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Завода № 1 треста Оргавиапрома, переданного в НКАП в 1939 году и</w:t>
      </w:r>
    </w:p>
    <w:p w14:paraId="2A0EB2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Завода № 1 «Оргавиапрома» был создан завод № 1 Оргавиапрома В октябре 1941 года инструментальный завод № 1 Оргавиапрома был эвакуирован в Куйбышев, где разместился на площади бытовок завода № 122.</w:t>
      </w:r>
    </w:p>
    <w:p w14:paraId="10E5E5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НКАП за № 709 от 18 сентября 1942 года инструментальный завод № 1 Оргавиапрома переименован в завод № 165. На основании приказа НКАП за № 459 от 3 июля 1943 года завод № 165 был реэвакуирован в Москву на площади завода № 453. С апреля 1946 года заводу был коренным образом пересмотрен профиль производства, так как по решению Правительства и согласно приказа МАП от 25 апреля 1946 года за № 242 с завод перешел в число опытных предприятий авиамоторостроения – ответственным руководителем завода был назначен конструктор по РД Люлька А.М. В 1955 году для усиления производственно-технической мощности завода № 165 согласно приказа МАП от 31 мая 1955 года за № 347сс, ему было передано ОКБ-500 со всеми его мощностями на правах филиала.</w:t>
      </w:r>
    </w:p>
    <w:p w14:paraId="5EB49E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завода № 165 (на заводе № 500) просуществовал до первого полугодия 1957 года. Согласно приказа МАП за № 156сс от 19 апреля 1957 года филиала завода передан СКБ-500 со всеми его мощностями.</w:t>
      </w:r>
    </w:p>
    <w:p w14:paraId="523490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СМ за № 127-68сс от 19 января 1955 года МАП обязывалось начать для завода № 165 постройку испытательной станции в Тураево Московской области.</w:t>
      </w:r>
    </w:p>
    <w:p w14:paraId="458AC9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165 с апреля 1946 года и по настоящее время остается опытным заводом по изготовлению и доводке РД генеральным конструктором завода является Люлька. С 1940 по 1947 год директором завода был Мизюров Ю.А., которого сменил Худин П.Ф. В апреле 1948 года директором был назначен Худин. В декабре 1951 года директором завода был назначен Бондаренко М.М. В феврале 1954 года диреткором был назначен Завитаев А.А.</w:t>
      </w:r>
    </w:p>
    <w:p w14:paraId="785BBA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Москва, Фабричная линия, д. 11, п/я 2382 (9842).</w:t>
      </w:r>
    </w:p>
    <w:p w14:paraId="7201E51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DBEFC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октября 1940 г. приказами НКСМ № 248сс и НКАП № 585сс от 25.10.1940 г. в соответствии с постановлением ЦК и СНК и от 18 октября 1940 г. при ГАЗ путем выделения цехов для производства авиамоторов был образован завод. По приказу № 698сс от 9.12.1940 г. заводу присвоен № 466 НКАП. Как самостоятельная производственная единица вступил в строй в 1941 г., действовал внутри ГАЗа. Перед войной освоено производство моторов М-105Р, создан мотор М-500 и нагнетатель для М-105П.</w:t>
      </w:r>
    </w:p>
    <w:p w14:paraId="32E69D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655с от 10.07.1941 г. завод упразднен как самостоятельная единица и преобразован в отдел № 10 ГАЗа по производству авиамоторов М-105Р и танковых моторов М-17Т.</w:t>
      </w:r>
    </w:p>
    <w:p w14:paraId="542DFD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постановлением ГКО № 1445сс от 14.03.1942 г. и приказом № 215сс/ М-168 от 17.03.1942 г. на базе авиамоторного производства ГАЗа вновь образован завод № 466 при 3ГУ НКАП. Производство танковых моторов в 1942 г. прекращено и передано НКТП.</w:t>
      </w:r>
    </w:p>
    <w:p w14:paraId="035D1F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постановлением ГОКО № 2134сс от 3.08.1942 г. заводу предписано начать производство двигателей М-105ПФ.</w:t>
      </w:r>
    </w:p>
    <w:p w14:paraId="269873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приказу № 369с/ 351с от 8.09.1945 г. часть кадров и оборудования завода передана ГАЗ. По приказу № 370с от 8.09.1945 г. завод № 466 НКАП переведен на территорию завода № 274 НКАП. В соответствии с приказом № 409с от 22.10.1945 г. завод № 274 НКАП влит в состав завода № 466. </w:t>
      </w:r>
    </w:p>
    <w:p w14:paraId="418B32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1428AB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1946 г. завод имел две территории: площадка № 1 по 2-му Муринскому пр. (в н.вр. здесь- завод «Красный Октябрь») и площадка № 2 – пр. К. Маркса, Флюгов пер. (бывшая территория завода № 234, № 117, в н. вр. НПО им. Климова). </w:t>
      </w:r>
    </w:p>
    <w:p w14:paraId="774098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ВОВ производство брони для танков. В 1946 г. планировалось производство моторов У-5 для комбайнов.</w:t>
      </w:r>
    </w:p>
    <w:p w14:paraId="041792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1974-86 г. завод входил в ЛНПО им. Климова. С 1994 г.- ОАО «МП «Красный Октябрь». В 1996 г. вошёл в ВПК "МАПО". По решению правительства № 22-р от 9.01.2004 г. вошло в перечень стратегических предприятий.</w:t>
      </w:r>
    </w:p>
    <w:p w14:paraId="175C4B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1952 г. начался выпуск трансмиссий и автоматов перекоса, а с 1970-х- главных редукторов для вертолетов. </w:t>
      </w:r>
    </w:p>
    <w:p w14:paraId="4AC102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1958-91 г.- производство ЖРД и бортовые источники питания для ЗУР и МБР А.М. Исаева, А.С. Мевиуса, С.П. Изотова, А.Д. Конопатова.</w:t>
      </w:r>
    </w:p>
    <w:p w14:paraId="699C8B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 </w:t>
      </w:r>
    </w:p>
    <w:p w14:paraId="3590A9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Директор- А.А. Завитаев, (03.1942 г.-; 10.1945 г.) - А.П. Петров, (09.1944 г.-)- Н.Н. Алексеев, (10.1945-50 г.-)- И.Н. Лукин, (1956 г.-)- В.И. Тарасов. Гендиректор (1986-2005 г.-)- А.Н. Фомичев. </w:t>
      </w:r>
    </w:p>
    <w:p w14:paraId="09BFA9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(1941 г.)- В.А. Доллежаль (до этого- в ЦИАМ), (10.1945 г.-)- М.А. Колосов, (1946-47 г.)- В.Я. Климов (одновременно- гл. конструктор ОКБ завода № 26).</w:t>
      </w:r>
    </w:p>
    <w:p w14:paraId="18C974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0384F8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1F2FE5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двигатели М-17Т (1941-42), М-105Р (1941-42), М-105ПФ (1942-45), ВК-105ПД (1944-45), ВК-107 (1946), РД-10А (1950-52), АМ-9 (1954-55); РД-33 (1980-е); авиационная торпеда РАТ-52 (1953); трансмиссии и автоматы перекоса для Ми-1, Ми-4, Як-24, затем- для всех «Ми» (2002); главные редукторы: ВР-14 для Ми-14, Ми-8МТ (-2002-04-), ВР-24 для Ми-24 (-2002-04-), ВР-252 для Ка-27 (-2002-04-),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(-2002-04-); энергоузел ГТДЭ-117 для МиГ-29, Су-27 (-2002-04-); стартер СВ-65 для ТВ7-117 (1992-2004-); ЖРД: С2.711В1 для В-750В, С2.720, С2.726 для В-1000; мотоблоки «Нева», мотонасосы, бензиновые двигатели мощностью 1,1…5,5 л.с. (2002).69</w:t>
      </w:r>
    </w:p>
    <w:p w14:paraId="0B74EB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466 НКАП, Машиностроительное предприятие «Красный Октябрь», Санкт-Петербургское ОАО «Красный Октябрь»</w:t>
      </w:r>
    </w:p>
    <w:p w14:paraId="1F7AFA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Горький; г. Ленинград</w:t>
      </w:r>
    </w:p>
    <w:p w14:paraId="4BE7A2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194100 г. Ленинград, г. Санкт-Петербург ул. Политехническая, 13/15 тел. 247-50-39, 247-42-33 koavia.com</w:t>
      </w:r>
    </w:p>
    <w:p w14:paraId="1045E8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ОКБ-45, Филиал ОКБ-500, ОКБ завода № 466 МАП, ОКБ-466 МАП</w:t>
      </w:r>
    </w:p>
    <w:p w14:paraId="64E401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1A214A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0A36C5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1958 г.- разработка ЖРД для ЗУР. Доработка и освоение производства С2.726 А.М. Исаева (в 1962 г. передан в производство доработанный вариант- Л/726. Созданы опытные ЖРД Л-2, Л-2А (5Д12), Л-6, Л-6А для ЗУР В-860.</w:t>
      </w:r>
    </w:p>
    <w:p w14:paraId="72432F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895 от 19.12.1962 г. ОКБ-466 было влито в ОКБ-117 ГКАТ. Мевиус назначен гл. конструктором по специзделиям (ЖРД). В соответствии с постановлением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167B07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(1959-63 г.)- А.С. Мевиус (10776).</w:t>
      </w:r>
    </w:p>
    <w:p w14:paraId="08D2E1F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33C3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октября 1940 г. по приказу № 584с завод, образованный 14 октября 1940 г. в системе ЗГУ НКАП на базе нескольких гражданских предприятий получил наименование ГС завод № 451 НКАП. Освоено производство М-105, с начала 1941 г. Велась подготовка к выпуску М-107. Также выпускалось оборудование освещения «Луч» для НКБ.</w:t>
      </w:r>
    </w:p>
    <w:p w14:paraId="65D67E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приказам № 652сс от 9.07.1941 г. и № 729сс от 22.07.1941 г. завод эвакуирован в Уфу на площадку завода № 384 НКАП и по приказу № 824сс от 8.08.1941 г. влит в его состав.</w:t>
      </w:r>
    </w:p>
    <w:p w14:paraId="70BF4E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(10.1940-41 г.-)- М. Г. Масальский.</w:t>
      </w:r>
    </w:p>
    <w:p w14:paraId="76256E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СКО (11.1940 г.-)- И.А. Мужилов.</w:t>
      </w:r>
    </w:p>
    <w:p w14:paraId="150F0F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завода № 451 НКАП /г. Ленинград ст. Саперная/</w:t>
      </w:r>
    </w:p>
    <w:p w14:paraId="7DCC10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658с/01435/13 от 23.11.1940 г. Механический завод Главрыбсудстроя НКРП был передан в подчинение вновь образованному заводу № 451 в качестве филиала.</w:t>
      </w:r>
    </w:p>
    <w:p w14:paraId="189A9E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 2 завода № 451 НКАП /г. Ленинград/</w:t>
      </w:r>
    </w:p>
    <w:p w14:paraId="7EB16C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687с/069 от 25.11.1940 г. завод военно-стрелковых приборов № 1 Осоавиахима был передан в подчинение вновь образованному заводу № 451 в качестве филиала № 2 (11982).</w:t>
      </w:r>
    </w:p>
    <w:p w14:paraId="77AA7DC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2A822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октября 1940 г. приказами НКСМ № 248сс и НКАЛ № 585сс от 25.10.1940 г. в соответствии с пост. СНК от 18.10.1940 г. при ГАЗ путем выделения цехов для производства авиамоторов был образован Завод № 466 НКАП, Машиностроительное предприятие «Красный Октябрь», ЛМПО «Красный Октябрь», Санкт-Петербургское ОАО «Красный Октябрь» /г. Горький;  г. Ленинград/ /194100  г. Ленинград,  г. Санкт-Петербург ул. Политехническая, 13/15 тел. 247-72-09, -52-33/. По приказу № 698сс от 9.12.1940 г. заводу присвоен № 466 НКАП. Как самостоятельная производственная единица вступил в строй в 1941 г., действовал внутри ГАЗа. В 1941 г. освоено производство моторов М-105Р, создан мотор М-500 и нагнетатель для М-105П.</w:t>
      </w:r>
    </w:p>
    <w:p w14:paraId="673974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655с от 10.07.1941 г. завод упразднен как самостоятельная единица и преобразован в отдел № 10 ГАЗа по производству авиамоторов М-105Р и танковых моторов М-17Т.</w:t>
      </w:r>
    </w:p>
    <w:p w14:paraId="2230EB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1445сс от 14.03.1942 г. и приказом № 215сс/ М-168 от 17.03.1942 г. на базе авиамоторного производства ГАЗа вновь образован завод по производству авиационных моторов № 466 при ЗГУ НКАП. Производство танковых моторов в 1942 г. прекращено и передано НКТП.</w:t>
      </w:r>
    </w:p>
    <w:p w14:paraId="49BBC2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30.05.1942 г. вышло постановление ГКО № 1831 об увеличении выпуска на заводе мотора М-105Р. В соответствии с пост. ГКО № 2134сс от 3.08.1942 г. заводу предписано начать производство двигателей М-105ПФ.</w:t>
      </w:r>
    </w:p>
    <w:p w14:paraId="432E9E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10.07.1943 г. вышло постановление ГКО № 3724 о помощи заводу. По приказу № 369с/ 351с от 8.09.1945 г. часть кадров и оборудования завода передана ГАЗу. По приказу № 370с от 8.09.1945 г. завод № 466 НКАП переведен в Ленинград на территорию завода № 274 НКАП. В соответствии с приказом № 409с от 22.10.1945 г. завод № 274 НКАП влит в состав завода № 466.</w:t>
      </w:r>
    </w:p>
    <w:p w14:paraId="6E8754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войны начато освоение производства мотора Джемси Д-6 и воздушно-реактивных двигателей.</w:t>
      </w:r>
    </w:p>
    <w:p w14:paraId="58BD16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 г. заводу выделено 2433 единицы трофейного оборудования (в т.ч. 1413 металлорежущих станков), в т.ч. из Чехословакии.</w:t>
      </w:r>
    </w:p>
    <w:p w14:paraId="691B09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4D5A27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 г. завод имел две территории: площадка № 1 по 2-му Муринскому пр. (далее здесь- завод «Красный Октябрь») и площадка № 2 - пр. К. Маркса, Флюгов пер. (бывшая территория завода № 234, № 117, далее- НПО им. Климова).</w:t>
      </w:r>
    </w:p>
    <w:p w14:paraId="16B923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 г. планировалось производство моторов У-5 для комбайнов.</w:t>
      </w:r>
    </w:p>
    <w:p w14:paraId="5794D9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неудачей в освоении производства АМ-9 решением ГКАТ в 12.1955 г. завод прекратил выпуск авиационных двигателей и переориентирован на производство вертолетных агрегатов.</w:t>
      </w:r>
    </w:p>
    <w:p w14:paraId="047236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СМ СССР № 713-342 от 26.06.1957 г. передан в ведение СНХ РСФСР.</w:t>
      </w:r>
    </w:p>
    <w:p w14:paraId="2CAF01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приказу </w:t>
      </w:r>
      <w:r w:rsidRPr="00A3026E">
        <w:rPr>
          <w:rFonts w:ascii="Times New Roman" w:hAnsi="Times New Roman"/>
          <w:color w:val="000000" w:themeColor="text1"/>
          <w:sz w:val="16"/>
          <w:szCs w:val="16"/>
          <w:lang w:val="en-US"/>
        </w:rPr>
        <w:t>MAII</w:t>
      </w:r>
      <w:r w:rsidRPr="00A3026E">
        <w:rPr>
          <w:rFonts w:ascii="Times New Roman" w:hAnsi="Times New Roman"/>
          <w:color w:val="000000" w:themeColor="text1"/>
          <w:sz w:val="16"/>
          <w:szCs w:val="16"/>
        </w:rPr>
        <w:t xml:space="preserve"> № 175 от 04.1966 г. заводу присвоено имя «Красный Октябрь». В 1974-86 г. завод входил в ЛНПО им. Климова. По приказу МАП № 473 от 09.1986 г. завод вышел из состава ЛНПО им. Климова и стал самостоятельным ЛМПО «Красный Октябрь», в состав объединения вошли также Боровичский завод «Двигатель», Новгородский завод «Энергия» и Зеленогорский завод «Автоматика». С 1994 г.- Санкт- Петербургское ОАО «МП «Красный Октябрь». В 1996 г. вошёл в ВПК «МАПО». По решению правительства № 22-р от 9.01.2004 г. вошло в перечень стратегических предприятий.</w:t>
      </w:r>
    </w:p>
    <w:p w14:paraId="50C9BC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1952 г. начался выпуск трансмиссий и автоматов перекоса, с 1970-х- главных редукторов для вертолетов, а с 1982 г.- коробок самолетных агрегатов.</w:t>
      </w:r>
    </w:p>
    <w:p w14:paraId="665253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1958-91г,- производство ЖРД и бортовых источников питания для ЗУР и МБР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Исаева, А.С. Мевиуса, С.П. Изотова, А.Д. Конопатова.</w:t>
      </w:r>
    </w:p>
    <w:p w14:paraId="7F5906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1960-е  г. на заводе действовал филиал МКБ «Красная звезда» (начальник (1968-69 г.)- А.С. Мевиус).</w:t>
      </w:r>
    </w:p>
    <w:p w14:paraId="156B6D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1998 г. при заводе образовано Авиационное КБ.</w:t>
      </w:r>
    </w:p>
    <w:p w14:paraId="55639B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695F7D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А.А. Завитаев, (03.1942 г.-; 10.1945 г.) - А.П. Петров, (09.1944 г.-)- Н.Н. Алексеев, (10.1945-50 г.)- И.Н. Лукин, (1950-56 г.)- С. Г. Кондратов, (1956-59 г.)- В.И. Тарасов, (1959-76 г.)- М.Н. Ляпунов, (1976-86 г.)- А.Н. Фомичев. Гендиректор (1986-2005 г.-)- А.Н. Фомичев.</w:t>
      </w:r>
    </w:p>
    <w:p w14:paraId="0F6DA9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(1941 г.)- Н.А. Доллежаль, (10.1945 г.-)- М.А. Колосов, (1946-47 г.)- В</w:t>
      </w:r>
      <w:r w:rsidRPr="00A3026E">
        <w:rPr>
          <w:rFonts w:ascii="Times New Roman" w:hAnsi="Times New Roman"/>
          <w:iCs/>
          <w:color w:val="000000" w:themeColor="text1"/>
          <w:sz w:val="16"/>
          <w:szCs w:val="16"/>
        </w:rPr>
        <w:t xml:space="preserve"> .Я.</w:t>
      </w:r>
      <w:r w:rsidRPr="00A3026E">
        <w:rPr>
          <w:rFonts w:ascii="Times New Roman" w:hAnsi="Times New Roman"/>
          <w:color w:val="000000" w:themeColor="text1"/>
          <w:sz w:val="16"/>
          <w:szCs w:val="16"/>
        </w:rPr>
        <w:t xml:space="preserve"> Климов (одновременно- гл. конструктор ОКБ завода № 26).</w:t>
      </w:r>
    </w:p>
    <w:p w14:paraId="7D1663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Зам. гендиректора: по маркетингу и сбыту (2002 г.)- А.Н. Павлов; по финансам (2005 г.)- Л.Н. Калугина.</w:t>
      </w:r>
    </w:p>
    <w:p w14:paraId="5EE3A3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5E023A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начальника цеха (1942-46 г.)- Н.А. Левченко.</w:t>
      </w:r>
    </w:p>
    <w:p w14:paraId="16903A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 двигатели:</w:t>
      </w:r>
      <w:r w:rsidRPr="00A3026E">
        <w:rPr>
          <w:rFonts w:ascii="Times New Roman" w:hAnsi="Times New Roman"/>
          <w:color w:val="000000" w:themeColor="text1"/>
          <w:sz w:val="16"/>
          <w:szCs w:val="16"/>
        </w:rPr>
        <w:t xml:space="preserve"> М-17Т (1941-42), М-105Р (1941-42), М-105ПФ (1942-45), ВК-105ПД (1944-45), ВК- 107 (1946), РД-10А (1950-52), АМ-9 (1954-55); РД-33 (1980-е); авиационная торпеда РАТ-52 (1950-56); трансмиссии и автоматы перекоса для Ми-1, Ми-4, Як-24, затем- для всех «Ми» (2002); главные редукторы: ВР- 14 для Ми-14, Ми-8МТ (-2002-04-), ВР-24 для Ми-24 (-2002-04-), ВР-252 для Ка-27</w:t>
      </w:r>
    </w:p>
    <w:p w14:paraId="361215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(- 2002-04-); энергоузел ГТДЭ-117 для МиГ-29, Су-27 (1980-е-2004-), ГТДЭ-117-1М (ВК-100-1М) (2003-); стартер СВ-65 для ТВ7-117 (1992-2004-);</w:t>
      </w:r>
      <w:r w:rsidRPr="00A3026E">
        <w:rPr>
          <w:rFonts w:ascii="Times New Roman" w:hAnsi="Times New Roman"/>
          <w:iCs/>
          <w:color w:val="000000" w:themeColor="text1"/>
          <w:sz w:val="16"/>
          <w:szCs w:val="16"/>
        </w:rPr>
        <w:t xml:space="preserve"> ЖРД:</w:t>
      </w:r>
      <w:r w:rsidRPr="00A3026E">
        <w:rPr>
          <w:rFonts w:ascii="Times New Roman" w:hAnsi="Times New Roman"/>
          <w:color w:val="000000" w:themeColor="text1"/>
          <w:sz w:val="16"/>
          <w:szCs w:val="16"/>
        </w:rPr>
        <w:t xml:space="preserve"> С2.711В1 для В-750В (1956-), С2.720, С2.726 для В-1000, 5Д12 для В-860, 5Д67 для В-880, 15Д13 и 15Д14 с ТНА 8Д419 для УР-100, 15Д113 и 15Д114 для УР-100Н, 5Д18 и 5Д22 для А-350; бортовые источники питания 5И28, 5И43, 5И47, 4Е60; мотоблоки «Нева», мотонасосы, бензиновые двигатели мощностью 1,1 ...5,5 л.с. (2002).</w:t>
      </w:r>
      <w:r w:rsidRPr="00A3026E">
        <w:rPr>
          <w:rFonts w:ascii="Times New Roman" w:hAnsi="Times New Roman"/>
          <w:color w:val="000000" w:themeColor="text1"/>
          <w:sz w:val="16"/>
          <w:szCs w:val="16"/>
          <w:vertAlign w:val="superscript"/>
        </w:rPr>
        <w:t>69</w:t>
      </w:r>
    </w:p>
    <w:p w14:paraId="6EC2FA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ОКБ-45, Филиал ОКБ-500, ОКБ завода № 466 МАП, ОКБ-466 МАП</w:t>
      </w:r>
    </w:p>
    <w:p w14:paraId="48FE85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674631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0AF19E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1958 г.- разработка ЖРД для ЗУР и ракет ПРО. Доработка и освоение производства С2.726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Исаева. В 1962 г. передан в производство доработанный вариант- Л/726. Созданы опытные ЖРД Л-2, Л-2А (5Д12), Л-6, Л- 6А для ЗУР В-860. Осенью 1960 г. выдано задание на разработку ЖРД 5Д16 для противоракеты А-350, в 1962 г. проведены испытания.</w:t>
      </w:r>
    </w:p>
    <w:p w14:paraId="725984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895 от 19.12.1962 г. для дальнейшего развития работ по ЖРД ОКБ-466 было влито в ОКБ-117 ГКАТ. Мевиус назначен гл. конструктором по специзделиям (ЖРД). В соответствии с пост.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6F4524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(20.04.1959-12.1962 г.)- А.С. Мевиус.</w:t>
      </w:r>
    </w:p>
    <w:p w14:paraId="4A96B3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гл. конструктора (1956-59 г.)- А.С. Мевиус.</w:t>
      </w:r>
    </w:p>
    <w:p w14:paraId="126183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Авиационное КБ</w:t>
      </w:r>
    </w:p>
    <w:p w14:paraId="41F124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Образовано в 1998 г. при заводе «Красный Октябрь».</w:t>
      </w:r>
    </w:p>
    <w:p w14:paraId="5B0183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(2005 г.): разработка главных редукторов ВР-38 для Ми-38, ВР-226Н для Ка-226, ВР-10 для «Актай» (11982).</w:t>
      </w:r>
    </w:p>
    <w:p w14:paraId="64116D5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3B6E6B"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24 октября 1940</w:t>
      </w:r>
    </w:p>
    <w:p w14:paraId="2607EAFF"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1028. Решения ПБ за 27 сентября — 28 октября 1940 г. (протокол № 21)</w:t>
      </w:r>
    </w:p>
    <w:p w14:paraId="18CEF050"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24.Х.40 г.</w:t>
      </w:r>
    </w:p>
    <w:p w14:paraId="55E5DEF7"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290. О воздушной линии Москва — Рига — Стокгольм. — ОП.</w:t>
      </w:r>
    </w:p>
    <w:p w14:paraId="6EA78285"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299. О выпуске малолитражных автомобилей на заводе имени КИМ (постановление СНК СССР и ЦК ВКП(б)).</w:t>
      </w:r>
    </w:p>
    <w:p w14:paraId="2B470B86"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300. О мероприятиях по строительству гидролизных и сульфитноспиртовых заводов и ускорению ввода их в эксплуатацию (постановление СНК СССР и ЦК ВКП(б)) (20920).</w:t>
      </w:r>
    </w:p>
    <w:p w14:paraId="5F91DA09" w14:textId="77777777" w:rsidR="00D10176" w:rsidRPr="00A3026E" w:rsidRDefault="00D10176" w:rsidP="00A3026E">
      <w:pPr>
        <w:spacing w:after="0" w:line="240" w:lineRule="auto"/>
        <w:jc w:val="both"/>
        <w:rPr>
          <w:rFonts w:ascii="Times New Roman" w:hAnsi="Times New Roman"/>
          <w:color w:val="0070C0"/>
          <w:sz w:val="16"/>
          <w:szCs w:val="16"/>
        </w:rPr>
      </w:pPr>
    </w:p>
    <w:p w14:paraId="0B9CC4A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1831F66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FC72A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октября 1940 НКО С.Тимошенко утвердил доработанный вариант “Системы вооружения танков и бронеавтомобилей на 1940-1 г” и в 1940 300 Т-34 д.б.б. оснащены Л-11, а 300 - 45 мм с заменой в 1941 на Ф-32. В 1941 все д б.б. выпущены с Ф-32. А каждый пятый - с зенитным пулеметом. Впрочем, 45 мм - не понадобились (4829, 23).</w:t>
      </w:r>
    </w:p>
    <w:p w14:paraId="26C8BD4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E12C57A"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312ED45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C9564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октября 1940 года состоялась девятая встреча КА Уманского с С. Уэллесом и рядом американских представителей (Аттертоном, полковником Максуэллом, Пейджем). С советской стороны присутствовали также Лукашев (на первой части беседы) и Сельдяков. Согласно советским источникам, С. Уэллес вручил КА Уманскому список, из которого следовало: из числа станков и оборудования на сумму 2001000 долларов, изготовленных по заказу СССР, но реквизированных американской стороной, освобождалось заказов на сумму 489000 долларов. «Иными слова</w:t>
      </w:r>
      <w:r w:rsidRPr="00A3026E">
        <w:rPr>
          <w:rFonts w:ascii="Times New Roman" w:hAnsi="Times New Roman"/>
          <w:color w:val="000000" w:themeColor="text1"/>
          <w:sz w:val="16"/>
          <w:szCs w:val="16"/>
        </w:rPr>
        <w:softHyphen/>
        <w:t>ми, - констатировал КА Уманский в телеграмме В.М. Молотову и АИ. Мико</w:t>
      </w:r>
      <w:r w:rsidRPr="00A3026E">
        <w:rPr>
          <w:rFonts w:ascii="Times New Roman" w:hAnsi="Times New Roman"/>
          <w:color w:val="000000" w:themeColor="text1"/>
          <w:sz w:val="16"/>
          <w:szCs w:val="16"/>
        </w:rPr>
        <w:softHyphen/>
        <w:t>яну от 24.10.1940 года, - Американское правительство освободило в ценнос</w:t>
      </w:r>
      <w:r w:rsidRPr="00A3026E">
        <w:rPr>
          <w:rFonts w:ascii="Times New Roman" w:hAnsi="Times New Roman"/>
          <w:color w:val="000000" w:themeColor="text1"/>
          <w:sz w:val="16"/>
          <w:szCs w:val="16"/>
        </w:rPr>
        <w:softHyphen/>
        <w:t>тном выражении на этот раз одну четверть изготовленного оборудования, реквизировав основное». Касаясь запрещенного к вывозу оборудования, он отмечал: «В число реквизированных станков вошли в основном тяжелые и резьбо-фрезерные станки. По машиноимпорту... реквизированы правильные валки и один гидропресс «Фаррель-Бирмингхэм». В лицензиях на авиачасти отказано». КА Уманский подчеркнул: «Я и Лукашев выразили наше глубокое неудовлетворение этим списком. ..Я заявил, что доложу Советскому прави</w:t>
      </w:r>
      <w:r w:rsidRPr="00A3026E">
        <w:rPr>
          <w:rFonts w:ascii="Times New Roman" w:hAnsi="Times New Roman"/>
          <w:color w:val="000000" w:themeColor="text1"/>
          <w:sz w:val="16"/>
          <w:szCs w:val="16"/>
        </w:rPr>
        <w:softHyphen/>
        <w:t>тельству о неудовлетворительном решении Американского правительства по вопросу об изготовленном оборудовании, указав, что решение противоречит и его, Уэллеса, заверениям при прошлой встрече (речь идет о восьмой встрече, состоявшейся между 7.10 и 24.10.1940 года, информации о которой в сборни</w:t>
      </w:r>
      <w:r w:rsidRPr="00A3026E">
        <w:rPr>
          <w:rFonts w:ascii="Times New Roman" w:hAnsi="Times New Roman"/>
          <w:color w:val="000000" w:themeColor="text1"/>
          <w:sz w:val="16"/>
          <w:szCs w:val="16"/>
        </w:rPr>
        <w:softHyphen/>
        <w:t>ке не приводится. - Прим. авт), и его сегодняшнему заявлению о стремлении Американского правительства «максимально» учитывать интересы Советско</w:t>
      </w:r>
      <w:r w:rsidRPr="00A3026E">
        <w:rPr>
          <w:rFonts w:ascii="Times New Roman" w:hAnsi="Times New Roman"/>
          <w:color w:val="000000" w:themeColor="text1"/>
          <w:sz w:val="16"/>
          <w:szCs w:val="16"/>
        </w:rPr>
        <w:softHyphen/>
        <w:t>го правительства». Во время дальнейшей полемики с С. Уэллесом КА Уманский настаивал на этой точке зрения - «как пример того состояния неопределен</w:t>
      </w:r>
      <w:r w:rsidRPr="00A3026E">
        <w:rPr>
          <w:rFonts w:ascii="Times New Roman" w:hAnsi="Times New Roman"/>
          <w:color w:val="000000" w:themeColor="text1"/>
          <w:sz w:val="16"/>
          <w:szCs w:val="16"/>
        </w:rPr>
        <w:softHyphen/>
        <w:t>ности, которое мешает развитию торговли, привел вопрос о каталитическом крекинговом оборудовании, по которому не могу получить ясного ответа, хотя возвращаюсь к нему третий раз» (Уманский, в частности, поднимал вопрос об этом оборудовании еще во время второй встречи, происходившей 1.08.1940 года, то есть почти три месяца назад.).</w:t>
      </w:r>
    </w:p>
    <w:p w14:paraId="3A3A7A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Вопрос о крекинговом оборудовании был поднят сразу же во второй час</w:t>
      </w:r>
      <w:r w:rsidRPr="00A3026E">
        <w:rPr>
          <w:rFonts w:ascii="Times New Roman" w:hAnsi="Times New Roman"/>
          <w:color w:val="000000" w:themeColor="text1"/>
          <w:sz w:val="16"/>
          <w:szCs w:val="16"/>
        </w:rPr>
        <w:softHyphen/>
        <w:t>ти беседы, проходившей уже без участия Лукашева и полковника Максуэлла с американской стороны. По этому поводу С Уэллес заявил, что «американское правительство в принципе не возражает против изготовления этого оборудо</w:t>
      </w:r>
      <w:r w:rsidRPr="00A3026E">
        <w:rPr>
          <w:rFonts w:ascii="Times New Roman" w:hAnsi="Times New Roman"/>
          <w:color w:val="000000" w:themeColor="text1"/>
          <w:sz w:val="16"/>
          <w:szCs w:val="16"/>
        </w:rPr>
        <w:softHyphen/>
        <w:t>вания фирмой Келлога для СССР», но первой важной предпосылкой для офор</w:t>
      </w:r>
      <w:r w:rsidRPr="00A3026E">
        <w:rPr>
          <w:rFonts w:ascii="Times New Roman" w:hAnsi="Times New Roman"/>
          <w:color w:val="000000" w:themeColor="text1"/>
          <w:sz w:val="16"/>
          <w:szCs w:val="16"/>
        </w:rPr>
        <w:softHyphen/>
        <w:t>мления этого разрешения должно стать «снятие морального эмбарго, которое распространяется на оборудование по производству высокооктанового бен</w:t>
      </w:r>
      <w:r w:rsidRPr="00A3026E">
        <w:rPr>
          <w:rFonts w:ascii="Times New Roman" w:hAnsi="Times New Roman"/>
          <w:color w:val="000000" w:themeColor="text1"/>
          <w:sz w:val="16"/>
          <w:szCs w:val="16"/>
        </w:rPr>
        <w:softHyphen/>
        <w:t>зина»; после того как в переговорах будет достигнуто соглашение по вопро</w:t>
      </w:r>
      <w:r w:rsidRPr="00A3026E">
        <w:rPr>
          <w:rFonts w:ascii="Times New Roman" w:hAnsi="Times New Roman"/>
          <w:color w:val="000000" w:themeColor="text1"/>
          <w:sz w:val="16"/>
          <w:szCs w:val="16"/>
        </w:rPr>
        <w:softHyphen/>
        <w:t>сам, фигурировавшим в этих переговорах, и, как отметил С. Уэллес, «в случае, если тем временем в международной обстановке не произойдет ничего не</w:t>
      </w:r>
      <w:r w:rsidRPr="00A3026E">
        <w:rPr>
          <w:rFonts w:ascii="Times New Roman" w:hAnsi="Times New Roman"/>
          <w:color w:val="000000" w:themeColor="text1"/>
          <w:sz w:val="16"/>
          <w:szCs w:val="16"/>
        </w:rPr>
        <w:softHyphen/>
        <w:t>предвиденного», американское правительство «готово завершить переговоры публичным заявлением о том, что причины, вызвавшие введение морального эмбарго, в отношении СССР отпали». Уманский отметил ряд неопределенных формулировок в заявлении Уэллеса, включая «оговорку о «непредвиденных» событиях». В заключение встречи С. Уэллес «предложил встретиться с ним 28 октября для разработки проектов нотами по остальным вопросам».</w:t>
      </w:r>
    </w:p>
    <w:p w14:paraId="707561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Подробных американских материалов об этой встрече нет. Имеющийся советский документ о ней дает важную информацию о состоянии советско-американских торгово-экономических контактов, в первую очередь в военной области (о чем, в частности, свидетельствует присутствие на переговорах пред</w:t>
      </w:r>
      <w:r w:rsidRPr="00A3026E">
        <w:rPr>
          <w:rFonts w:ascii="Times New Roman" w:hAnsi="Times New Roman"/>
          <w:color w:val="000000" w:themeColor="text1"/>
          <w:sz w:val="16"/>
          <w:szCs w:val="16"/>
        </w:rPr>
        <w:softHyphen/>
        <w:t>ставителя американских вооруженных сил), по состоянию на конец октября 1940 года. С одной стороны, налицо отрицательное действие американских санкций, включая и моральное эмбарго, на поставки в СССР целой гаммы обору</w:t>
      </w:r>
      <w:r w:rsidRPr="00A3026E">
        <w:rPr>
          <w:rFonts w:ascii="Times New Roman" w:hAnsi="Times New Roman"/>
          <w:color w:val="000000" w:themeColor="text1"/>
          <w:sz w:val="16"/>
          <w:szCs w:val="16"/>
        </w:rPr>
        <w:softHyphen/>
        <w:t>дования, готовых частей и технологии, необходимых для производства и функ</w:t>
      </w:r>
      <w:r w:rsidRPr="00A3026E">
        <w:rPr>
          <w:rFonts w:ascii="Times New Roman" w:hAnsi="Times New Roman"/>
          <w:color w:val="000000" w:themeColor="text1"/>
          <w:sz w:val="16"/>
          <w:szCs w:val="16"/>
        </w:rPr>
        <w:softHyphen/>
        <w:t>ционирования авиации (станки, авиачасти, крекинговое оборудование для про</w:t>
      </w:r>
      <w:r w:rsidRPr="00A3026E">
        <w:rPr>
          <w:rFonts w:ascii="Times New Roman" w:hAnsi="Times New Roman"/>
          <w:color w:val="000000" w:themeColor="text1"/>
          <w:sz w:val="16"/>
          <w:szCs w:val="16"/>
        </w:rPr>
        <w:softHyphen/>
        <w:t>изводства высокооктанового авиабензина). С другой стороны, американскими представителями отмечается не только вероятность поставок в СССР, в частнос</w:t>
      </w:r>
      <w:r w:rsidRPr="00A3026E">
        <w:rPr>
          <w:rFonts w:ascii="Times New Roman" w:hAnsi="Times New Roman"/>
          <w:color w:val="000000" w:themeColor="text1"/>
          <w:sz w:val="16"/>
          <w:szCs w:val="16"/>
        </w:rPr>
        <w:softHyphen/>
        <w:t>ти, крекингового оборудования, но и возможность в этом случае (пусть даже и со множеством оговорок) отмены как такового морального эмбарго, блокиру</w:t>
      </w:r>
      <w:r w:rsidRPr="00A3026E">
        <w:rPr>
          <w:rFonts w:ascii="Times New Roman" w:hAnsi="Times New Roman"/>
          <w:color w:val="000000" w:themeColor="text1"/>
          <w:sz w:val="16"/>
          <w:szCs w:val="16"/>
        </w:rPr>
        <w:softHyphen/>
        <w:t>ющего эту и множество других заявок Приходится также констатировать, что моральное эмбарго, действующее на момент этой встречи почти 11 месяцев и не отмененное до сих пор, уже сумело нанести существенный ущерб оборонос</w:t>
      </w:r>
      <w:r w:rsidRPr="00A3026E">
        <w:rPr>
          <w:rFonts w:ascii="Times New Roman" w:hAnsi="Times New Roman"/>
          <w:color w:val="000000" w:themeColor="text1"/>
          <w:sz w:val="16"/>
          <w:szCs w:val="16"/>
        </w:rPr>
        <w:softHyphen/>
        <w:t>пособности СССР вообще и в области военной авиации в частности.</w:t>
      </w:r>
    </w:p>
    <w:p w14:paraId="621D22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Десятая встреча Уманского с Уэллесом, на которой больше никто не присутствовал ни с советской, ни с американской стороны, состоялась 1.11.1940 года. Уэллес констатировал достижение по ряду вопросов в резуль</w:t>
      </w:r>
      <w:r w:rsidRPr="00A3026E">
        <w:rPr>
          <w:rFonts w:ascii="Times New Roman" w:hAnsi="Times New Roman"/>
          <w:color w:val="000000" w:themeColor="text1"/>
          <w:sz w:val="16"/>
          <w:szCs w:val="16"/>
        </w:rPr>
        <w:softHyphen/>
        <w:t>тате хода переговоров, но Уманский не согласился с этой формулировкой. «Я возразил ему: соглашение по четвертому пункту о задержанных станках и будущих заказах я пока не могу считать достигнутым... Я напомнил Уэл-лесу, что... имеется предусмотренный проектом Микояна обмен нотами о недискриминационном режиме, включая отмену морального эмбарго, и заявил, что... продолжаю считать вопрос о станках нерешенным», - отмечал Уманский в телеграмме Молотову от 1.11.1940 года. По данным Уманского, «Уэллес обещал принять все меры к ускорению решения по всем спискам станков, в отношении же морального эмбарго снова заявил, что оно будет отменено по подписании обмена нотами, и по своей инициативе добавил, что это автоматически будет означать и разрешение американского пра</w:t>
      </w:r>
      <w:r w:rsidRPr="00A3026E">
        <w:rPr>
          <w:rFonts w:ascii="Times New Roman" w:hAnsi="Times New Roman"/>
          <w:color w:val="000000" w:themeColor="text1"/>
          <w:sz w:val="16"/>
          <w:szCs w:val="16"/>
        </w:rPr>
        <w:softHyphen/>
        <w:t>вительства на заказ катализаторных крекингов». Важная деталь: Уэллес за</w:t>
      </w:r>
      <w:r w:rsidRPr="00A3026E">
        <w:rPr>
          <w:rFonts w:ascii="Times New Roman" w:hAnsi="Times New Roman"/>
          <w:color w:val="000000" w:themeColor="text1"/>
          <w:sz w:val="16"/>
          <w:szCs w:val="16"/>
        </w:rPr>
        <w:softHyphen/>
        <w:t>явил Уманскому: «В наших переговорах мы настолько были поглощены ликвидацией накопившихся трудностей, что не обменивались мнениями о происходящих и предстоящих событиях». Этот факт говорит о том, что в центр ведущихся переговоров стали выходить, помимо разрешения прак</w:t>
      </w:r>
      <w:r w:rsidRPr="00A3026E">
        <w:rPr>
          <w:rFonts w:ascii="Times New Roman" w:hAnsi="Times New Roman"/>
          <w:color w:val="000000" w:themeColor="text1"/>
          <w:sz w:val="16"/>
          <w:szCs w:val="16"/>
        </w:rPr>
        <w:softHyphen/>
        <w:t>тических вопросов советско-американских связей и прежде всего технико-экономических контактов, также и проблемы обсуждения международной ситуации в целом и частные внешнеполитические вопросы.</w:t>
      </w:r>
    </w:p>
    <w:p w14:paraId="12CC38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целом же, по сравнению с предшествующей встречей, десятая не вне</w:t>
      </w:r>
      <w:r w:rsidRPr="00A3026E">
        <w:rPr>
          <w:rFonts w:ascii="Times New Roman" w:hAnsi="Times New Roman"/>
          <w:color w:val="000000" w:themeColor="text1"/>
          <w:sz w:val="16"/>
          <w:szCs w:val="16"/>
        </w:rPr>
        <w:softHyphen/>
        <w:t>сла ничего существенно нового ни в проблему морального эмбарго, ни в способы разрешения проблем экономических связей СССР с США.</w:t>
      </w:r>
    </w:p>
    <w:p w14:paraId="3F9441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Интересен подготовленный Отделом европейских дел Меморандум от 26 ноября, где рассмотрено текущее состояние переговоров с советским послом. В нем отмечается существующая «проблема станков», а также указы</w:t>
      </w:r>
      <w:r w:rsidRPr="00A3026E">
        <w:rPr>
          <w:rFonts w:ascii="Times New Roman" w:hAnsi="Times New Roman"/>
          <w:color w:val="000000" w:themeColor="text1"/>
          <w:sz w:val="16"/>
          <w:szCs w:val="16"/>
        </w:rPr>
        <w:softHyphen/>
        <w:t>вается, что посол еще раз подчеркнул необходимость отмены морального эмбарго и в связи с этим потребовал, «чтобы мы дали гарантии, что позво</w:t>
      </w:r>
      <w:r w:rsidRPr="00A3026E">
        <w:rPr>
          <w:rFonts w:ascii="Times New Roman" w:hAnsi="Times New Roman"/>
          <w:color w:val="000000" w:themeColor="text1"/>
          <w:sz w:val="16"/>
          <w:szCs w:val="16"/>
        </w:rPr>
        <w:softHyphen/>
        <w:t>лим компании Келлог продать советскому правительству оборудование для крекинга бензина стоимостью примерно в 12,5 миллионов долларов».</w:t>
      </w:r>
    </w:p>
    <w:p w14:paraId="35A6C6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28.11.1940 года состоялась одиннадцатая встреча К.А. Уманского с С. Уэллесом, на которой кроме них никто не присутствовал. Она состояла из четырех частей, причем первым из обсуждавшихся был вопрос о стан</w:t>
      </w:r>
      <w:r w:rsidRPr="00A3026E">
        <w:rPr>
          <w:rFonts w:ascii="Times New Roman" w:hAnsi="Times New Roman"/>
          <w:color w:val="000000" w:themeColor="text1"/>
          <w:sz w:val="16"/>
          <w:szCs w:val="16"/>
        </w:rPr>
        <w:softHyphen/>
        <w:t>ках и машинах. Уманский выразил недовольство результатами работы ко</w:t>
      </w:r>
      <w:r w:rsidRPr="00A3026E">
        <w:rPr>
          <w:rFonts w:ascii="Times New Roman" w:hAnsi="Times New Roman"/>
          <w:color w:val="000000" w:themeColor="text1"/>
          <w:sz w:val="16"/>
          <w:szCs w:val="16"/>
        </w:rPr>
        <w:softHyphen/>
        <w:t>миссии Максуэлла, которая должна была пересмотреть запрет на вывоз материалов и оборудования, заказанных СССР: «Я в решительной форме настаивал на освобождении всего оборудования в порту, аннулировании ордеров на реквизицию и радикальном пересмотре списка запретов на оборудование, находящееся в производстве, в духе предложений советс</w:t>
      </w:r>
      <w:r w:rsidRPr="00A3026E">
        <w:rPr>
          <w:rFonts w:ascii="Times New Roman" w:hAnsi="Times New Roman"/>
          <w:color w:val="000000" w:themeColor="text1"/>
          <w:sz w:val="16"/>
          <w:szCs w:val="16"/>
        </w:rPr>
        <w:softHyphen/>
        <w:t>кого правительства, переданных мною Уэллесу 7 октября. Уэллес отве</w:t>
      </w:r>
      <w:r w:rsidRPr="00A3026E">
        <w:rPr>
          <w:rFonts w:ascii="Times New Roman" w:hAnsi="Times New Roman"/>
          <w:color w:val="000000" w:themeColor="text1"/>
          <w:sz w:val="16"/>
          <w:szCs w:val="16"/>
        </w:rPr>
        <w:softHyphen/>
        <w:t>тил, что поставит перед полковником Максуэллом вопрос о пересмотре принятых решений, сообщит мне на днях результаты. Он-де сам не ожи</w:t>
      </w:r>
      <w:r w:rsidRPr="00A3026E">
        <w:rPr>
          <w:rFonts w:ascii="Times New Roman" w:hAnsi="Times New Roman"/>
          <w:color w:val="000000" w:themeColor="text1"/>
          <w:sz w:val="16"/>
          <w:szCs w:val="16"/>
        </w:rPr>
        <w:softHyphen/>
        <w:t>дал, что комиссия не сможет пойти нам в большей степени навстречу», -сообщал К.А. Уманский в телеграмме В.М. Молотову от 28.11.1940 года. Он приводил важные факты о режиме работы советских авиамоторных специалистов на американском авиамоторном заводе. «Как пример про</w:t>
      </w:r>
      <w:r w:rsidRPr="00A3026E">
        <w:rPr>
          <w:rFonts w:ascii="Times New Roman" w:hAnsi="Times New Roman"/>
          <w:color w:val="000000" w:themeColor="text1"/>
          <w:sz w:val="16"/>
          <w:szCs w:val="16"/>
        </w:rPr>
        <w:softHyphen/>
        <w:t>должающейся дискриминации против наших граждан, я вынужден снова назвать вопрос об условии работы членов комиссии завода имени Стали</w:t>
      </w:r>
      <w:r w:rsidRPr="00A3026E">
        <w:rPr>
          <w:rFonts w:ascii="Times New Roman" w:hAnsi="Times New Roman"/>
          <w:color w:val="000000" w:themeColor="text1"/>
          <w:sz w:val="16"/>
          <w:szCs w:val="16"/>
        </w:rPr>
        <w:softHyphen/>
        <w:t>на на заводе Райта; несмотря на обещание его, Уэллеса, о допуске к озна</w:t>
      </w:r>
      <w:r w:rsidRPr="00A3026E">
        <w:rPr>
          <w:rFonts w:ascii="Times New Roman" w:hAnsi="Times New Roman"/>
          <w:color w:val="000000" w:themeColor="text1"/>
          <w:sz w:val="16"/>
          <w:szCs w:val="16"/>
        </w:rPr>
        <w:softHyphen/>
        <w:t>комлению с технологическим процессом, за три месяца в результате этого обещания было проведено всего четыре экскурсии в цеха для семи членов комиссии со всякими ограничениями, отказано в устройстве четырех дру</w:t>
      </w:r>
      <w:r w:rsidRPr="00A3026E">
        <w:rPr>
          <w:rFonts w:ascii="Times New Roman" w:hAnsi="Times New Roman"/>
          <w:color w:val="000000" w:themeColor="text1"/>
          <w:sz w:val="16"/>
          <w:szCs w:val="16"/>
        </w:rPr>
        <w:softHyphen/>
        <w:t>гих экскурсий, между тем как договор о техпомощи предусматривает не осмотры, а текущее ознакомление с технологическим процессом. Поэто</w:t>
      </w:r>
      <w:r w:rsidRPr="00A3026E">
        <w:rPr>
          <w:rFonts w:ascii="Times New Roman" w:hAnsi="Times New Roman"/>
          <w:color w:val="000000" w:themeColor="text1"/>
          <w:sz w:val="16"/>
          <w:szCs w:val="16"/>
        </w:rPr>
        <w:softHyphen/>
        <w:t>му я вынужден снова считать вопрос о режиме комиссии на заводе Райта неурегулированным. Как доказательство, я передал Уэллесу официально полученную нашей комиссией копию письма представителя морской раз</w:t>
      </w:r>
      <w:r w:rsidRPr="00A3026E">
        <w:rPr>
          <w:rFonts w:ascii="Times New Roman" w:hAnsi="Times New Roman"/>
          <w:color w:val="000000" w:themeColor="text1"/>
          <w:sz w:val="16"/>
          <w:szCs w:val="16"/>
        </w:rPr>
        <w:softHyphen/>
        <w:t>ведки при заводе, в которой последний, игнорируя договор о техничес</w:t>
      </w:r>
      <w:r w:rsidRPr="00A3026E">
        <w:rPr>
          <w:rFonts w:ascii="Times New Roman" w:hAnsi="Times New Roman"/>
          <w:color w:val="000000" w:themeColor="text1"/>
          <w:sz w:val="16"/>
          <w:szCs w:val="16"/>
        </w:rPr>
        <w:softHyphen/>
        <w:t>кой помощи, заявляет директору завода, что американское правительство не может позволить использовать завод для целей обучения». Уэллес со</w:t>
      </w:r>
      <w:r w:rsidRPr="00A3026E">
        <w:rPr>
          <w:rFonts w:ascii="Times New Roman" w:hAnsi="Times New Roman"/>
          <w:color w:val="000000" w:themeColor="text1"/>
          <w:sz w:val="16"/>
          <w:szCs w:val="16"/>
        </w:rPr>
        <w:softHyphen/>
        <w:t>гласился с этим и «обещал добиться у морского министерства улучшения режима комиссии на заводе Райта»</w:t>
      </w:r>
      <w:r w:rsidRPr="00A3026E">
        <w:rPr>
          <w:rFonts w:ascii="Times New Roman" w:hAnsi="Times New Roman"/>
          <w:color w:val="000000" w:themeColor="text1"/>
          <w:sz w:val="16"/>
          <w:szCs w:val="16"/>
          <w:vertAlign w:val="superscript"/>
        </w:rPr>
        <w:t>115</w:t>
      </w:r>
      <w:r w:rsidRPr="00A3026E">
        <w:rPr>
          <w:rFonts w:ascii="Times New Roman" w:hAnsi="Times New Roman"/>
          <w:color w:val="000000" w:themeColor="text1"/>
          <w:sz w:val="16"/>
          <w:szCs w:val="16"/>
        </w:rPr>
        <w:t>. Таким образом, итог одиннадцатой встречи не содержал каких-либо положительных тенденций в советско-американских экономических контактах.</w:t>
      </w:r>
    </w:p>
    <w:p w14:paraId="5A1B31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состоялась 12-я встреча с Уэллесом, длившаяся 2 часа», - со</w:t>
      </w:r>
      <w:r w:rsidRPr="00A3026E">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A3026E">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A3026E">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A3026E">
        <w:rPr>
          <w:rFonts w:ascii="Times New Roman" w:hAnsi="Times New Roman"/>
          <w:color w:val="000000" w:themeColor="text1"/>
          <w:sz w:val="16"/>
          <w:szCs w:val="16"/>
        </w:rPr>
        <w:softHyphen/>
        <w:t>ны США. В пересмотре списка участвовали представители промышленнос</w:t>
      </w:r>
      <w:r w:rsidRPr="00A3026E">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A3026E">
        <w:rPr>
          <w:rFonts w:ascii="Times New Roman" w:hAnsi="Times New Roman"/>
          <w:color w:val="000000" w:themeColor="text1"/>
          <w:sz w:val="16"/>
          <w:szCs w:val="16"/>
        </w:rPr>
        <w:softHyphen/>
        <w:t>ти, авиационной, морской и артиллерийской, в этом оборудовании, аме</w:t>
      </w:r>
      <w:r w:rsidRPr="00A3026E">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A3026E">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A3026E">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A3026E">
        <w:rPr>
          <w:rFonts w:ascii="Times New Roman" w:hAnsi="Times New Roman"/>
          <w:color w:val="000000" w:themeColor="text1"/>
          <w:sz w:val="16"/>
          <w:szCs w:val="16"/>
        </w:rPr>
        <w:softHyphen/>
        <w:t>ходящихся в производстве, американское правительство сочло возможным лицензировать на экспорт советских заказов на сумму 495 тысяч долларов. К.А. Уманский ответил, что передаст эту информацию советскому прави</w:t>
      </w:r>
      <w:r w:rsidRPr="00A3026E">
        <w:rPr>
          <w:rFonts w:ascii="Times New Roman" w:hAnsi="Times New Roman"/>
          <w:color w:val="000000" w:themeColor="text1"/>
          <w:sz w:val="16"/>
          <w:szCs w:val="16"/>
        </w:rPr>
        <w:softHyphen/>
        <w:t>тельству. Он отметил: «Однако, при этой передаче я должен буду разъяснить своему правительству, что в ценностном выражении американское прави</w:t>
      </w:r>
      <w:r w:rsidRPr="00A3026E">
        <w:rPr>
          <w:rFonts w:ascii="Times New Roman" w:hAnsi="Times New Roman"/>
          <w:color w:val="000000" w:themeColor="text1"/>
          <w:sz w:val="16"/>
          <w:szCs w:val="16"/>
        </w:rPr>
        <w:softHyphen/>
        <w:t>тельство освобождает лишь около 60% принятого и в основном отгружен</w:t>
      </w:r>
      <w:r w:rsidRPr="00A3026E">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A3026E">
        <w:rPr>
          <w:rFonts w:ascii="Times New Roman" w:hAnsi="Times New Roman"/>
          <w:color w:val="000000" w:themeColor="text1"/>
          <w:sz w:val="16"/>
          <w:szCs w:val="16"/>
        </w:rPr>
        <w:softHyphen/>
        <w:t>ких заказов, находящихся в производстве, К.А. Уманский подчеркнул: «Кон</w:t>
      </w:r>
      <w:r w:rsidRPr="00A3026E">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A3026E">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A3026E">
        <w:rPr>
          <w:rFonts w:ascii="Times New Roman" w:hAnsi="Times New Roman"/>
          <w:color w:val="000000" w:themeColor="text1"/>
          <w:sz w:val="16"/>
          <w:szCs w:val="16"/>
        </w:rPr>
        <w:softHyphen/>
        <w:t>листы видят оборонный характер освобожденных станков и машин, вклю</w:t>
      </w:r>
      <w:r w:rsidRPr="00A3026E">
        <w:rPr>
          <w:rFonts w:ascii="Times New Roman" w:hAnsi="Times New Roman"/>
          <w:color w:val="000000" w:themeColor="text1"/>
          <w:sz w:val="16"/>
          <w:szCs w:val="16"/>
        </w:rPr>
        <w:softHyphen/>
        <w:t>чающих тяжелые станки, снарядные прессы, авиамоторы и т.д., безуслов</w:t>
      </w:r>
      <w:r w:rsidRPr="00A3026E">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A3026E">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A3026E">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604EF8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A3026E">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A3026E">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A3026E">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A3026E">
        <w:rPr>
          <w:rFonts w:ascii="Times New Roman" w:hAnsi="Times New Roman"/>
          <w:color w:val="000000" w:themeColor="text1"/>
          <w:sz w:val="16"/>
          <w:szCs w:val="16"/>
        </w:rPr>
        <w:softHyphen/>
        <w:t>цией определенного числа станков и машин за компенсацию; обязательство американского правительства в форме обмена нотами рассматривать все со</w:t>
      </w:r>
      <w:r w:rsidRPr="00A3026E">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A3026E">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A3026E">
        <w:rPr>
          <w:rFonts w:ascii="Times New Roman" w:hAnsi="Times New Roman"/>
          <w:color w:val="000000" w:themeColor="text1"/>
          <w:sz w:val="16"/>
          <w:szCs w:val="16"/>
        </w:rPr>
        <w:softHyphen/>
        <w:t>тво не может дать нам ни гарантии неаннулирования выдаваемых лицензий, ни автоматического возобновления договоров на запрещаемое к вывозу обо</w:t>
      </w:r>
      <w:r w:rsidRPr="00A3026E">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A3026E">
        <w:rPr>
          <w:rFonts w:ascii="Times New Roman" w:hAnsi="Times New Roman"/>
          <w:color w:val="000000" w:themeColor="text1"/>
          <w:sz w:val="16"/>
          <w:szCs w:val="16"/>
        </w:rPr>
        <w:softHyphen/>
        <w:t>роительной и машиностроительной промышленности это исключают».</w:t>
      </w:r>
    </w:p>
    <w:p w14:paraId="50B12F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Пятый вопрос встречи касался поездок в СССР американских специалис</w:t>
      </w:r>
      <w:r w:rsidRPr="00A3026E">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A3026E">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A3026E">
        <w:rPr>
          <w:rFonts w:ascii="Times New Roman" w:hAnsi="Times New Roman"/>
          <w:color w:val="000000" w:themeColor="text1"/>
          <w:sz w:val="16"/>
          <w:szCs w:val="16"/>
        </w:rPr>
        <w:softHyphen/>
        <w:t>га будут рассмотрены», на что К.А. Уманский, комментируя в телеграмме его слова, отметил: «Это является ответом с опозданием на четыре с половиной месяца на поднятый мной при второй встрече</w:t>
      </w:r>
      <w:r w:rsidRPr="00A3026E">
        <w:rPr>
          <w:rFonts w:ascii="Times New Roman" w:hAnsi="Times New Roman"/>
          <w:color w:val="000000" w:themeColor="text1"/>
          <w:sz w:val="16"/>
          <w:szCs w:val="16"/>
          <w:vertAlign w:val="superscript"/>
        </w:rPr>
        <w:t>118</w:t>
      </w:r>
      <w:r w:rsidRPr="00A3026E">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388AA8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A3026E">
        <w:rPr>
          <w:rFonts w:ascii="Times New Roman" w:hAnsi="Times New Roman"/>
          <w:color w:val="000000" w:themeColor="text1"/>
          <w:sz w:val="16"/>
          <w:szCs w:val="16"/>
          <w:vertAlign w:val="superscript"/>
        </w:rPr>
        <w:t>119</w:t>
      </w:r>
      <w:r w:rsidRPr="00A3026E">
        <w:rPr>
          <w:rFonts w:ascii="Times New Roman" w:hAnsi="Times New Roman"/>
          <w:color w:val="000000" w:themeColor="text1"/>
          <w:sz w:val="16"/>
          <w:szCs w:val="16"/>
        </w:rPr>
        <w:t>.</w:t>
      </w:r>
    </w:p>
    <w:p w14:paraId="3A7864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Телеграмма Уманского от 17.12.1940 года, вероятно, является самым важ</w:t>
      </w:r>
      <w:r w:rsidRPr="00A3026E">
        <w:rPr>
          <w:rFonts w:ascii="Times New Roman" w:hAnsi="Times New Roman"/>
          <w:color w:val="000000" w:themeColor="text1"/>
          <w:sz w:val="16"/>
          <w:szCs w:val="16"/>
        </w:rPr>
        <w:softHyphen/>
        <w:t>ным документом, освещающим переговоры советского полпреда с замес</w:t>
      </w:r>
      <w:r w:rsidRPr="00A3026E">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A3026E">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A3026E">
        <w:rPr>
          <w:rFonts w:ascii="Times New Roman" w:hAnsi="Times New Roman"/>
          <w:color w:val="000000" w:themeColor="text1"/>
          <w:sz w:val="16"/>
          <w:szCs w:val="16"/>
        </w:rPr>
        <w:softHyphen/>
        <w:t>ных советско-американских переговоров, проводившихся в 1940 году в пе</w:t>
      </w:r>
      <w:r w:rsidRPr="00A3026E">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A3026E">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A3026E">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37C0F0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Американская сторона отразила ход переговоров встречи в Меморанду</w:t>
      </w:r>
      <w:r w:rsidRPr="00A3026E">
        <w:rPr>
          <w:rFonts w:ascii="Times New Roman" w:hAnsi="Times New Roman"/>
          <w:color w:val="000000" w:themeColor="text1"/>
          <w:sz w:val="16"/>
          <w:szCs w:val="16"/>
        </w:rPr>
        <w:softHyphen/>
        <w:t>ме о переговорах, составленном Гендерсоном 16 декабря 1940 года. С аме</w:t>
      </w:r>
      <w:r w:rsidRPr="00A3026E">
        <w:rPr>
          <w:rFonts w:ascii="Times New Roman" w:hAnsi="Times New Roman"/>
          <w:color w:val="000000" w:themeColor="text1"/>
          <w:sz w:val="16"/>
          <w:szCs w:val="16"/>
        </w:rPr>
        <w:softHyphen/>
        <w:t>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A3026E">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A3026E">
        <w:rPr>
          <w:rFonts w:ascii="Times New Roman" w:hAnsi="Times New Roman"/>
          <w:color w:val="000000" w:themeColor="text1"/>
          <w:sz w:val="16"/>
          <w:szCs w:val="16"/>
        </w:rPr>
        <w:softHyphen/>
        <w:t>ки. Обсуждение проблемы морального эмбарго текстуально почти до</w:t>
      </w:r>
      <w:r w:rsidRPr="00A3026E">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A3026E">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7FE110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A3026E">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A3026E">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A3026E">
        <w:rPr>
          <w:rFonts w:ascii="Times New Roman" w:hAnsi="Times New Roman"/>
          <w:color w:val="000000" w:themeColor="text1"/>
          <w:sz w:val="16"/>
          <w:szCs w:val="16"/>
        </w:rPr>
        <w:softHyphen/>
        <w:t>лучить часть заказанного в США промышленного оборудования. Более того, не было никаких гарантий в связи с целым комплексом причин, что вновь за</w:t>
      </w:r>
      <w:r w:rsidRPr="00A3026E">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785054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A3026E">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3CD54C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 оборудованию, находящемуся в производстве, можно сказать следу</w:t>
      </w:r>
      <w:r w:rsidRPr="00A3026E">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A3026E">
        <w:rPr>
          <w:rFonts w:ascii="Times New Roman" w:hAnsi="Times New Roman"/>
          <w:color w:val="000000" w:themeColor="text1"/>
          <w:sz w:val="16"/>
          <w:szCs w:val="16"/>
        </w:rPr>
        <w:softHyphen/>
        <w:t>ветственно, 87,5 % не могло быть получено СССР.</w:t>
      </w:r>
    </w:p>
    <w:p w14:paraId="5DDC02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5C4996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поводу режима комиссии НКАПа на заводе Райта: по первую полови</w:t>
      </w:r>
      <w:r w:rsidRPr="00A3026E">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A3026E">
        <w:rPr>
          <w:rFonts w:ascii="Times New Roman" w:hAnsi="Times New Roman"/>
          <w:color w:val="000000" w:themeColor="text1"/>
          <w:sz w:val="16"/>
          <w:szCs w:val="16"/>
        </w:rPr>
        <w:softHyphen/>
        <w:t>ты комиссии американская сторона не сообщила.</w:t>
      </w:r>
    </w:p>
    <w:p w14:paraId="0E1165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A3026E">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4C6BEC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A3026E">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A3026E">
        <w:rPr>
          <w:rFonts w:ascii="Times New Roman" w:hAnsi="Times New Roman"/>
          <w:color w:val="000000" w:themeColor="text1"/>
          <w:sz w:val="16"/>
          <w:szCs w:val="16"/>
        </w:rPr>
        <w:softHyphen/>
        <w:t>нии СССР как в экономической, так и в политической области, и послед</w:t>
      </w:r>
      <w:r w:rsidRPr="00A3026E">
        <w:rPr>
          <w:rFonts w:ascii="Times New Roman" w:hAnsi="Times New Roman"/>
          <w:color w:val="000000" w:themeColor="text1"/>
          <w:sz w:val="16"/>
          <w:szCs w:val="16"/>
        </w:rPr>
        <w:softHyphen/>
        <w:t>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конста</w:t>
      </w:r>
      <w:r w:rsidRPr="00A3026E">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634D40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5A0975C" w14:textId="77777777" w:rsidR="00C66762"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За</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рубежом</w:t>
      </w:r>
      <w:r w:rsidRPr="00A3026E">
        <w:rPr>
          <w:rFonts w:ascii="Times New Roman" w:hAnsi="Times New Roman"/>
          <w:i/>
          <w:iCs/>
          <w:color w:val="000000" w:themeColor="text1"/>
          <w:sz w:val="16"/>
          <w:szCs w:val="16"/>
          <w:lang w:val="en-US"/>
        </w:rPr>
        <w:t>:</w:t>
      </w:r>
    </w:p>
    <w:p w14:paraId="1CDB7892" w14:textId="77777777" w:rsidR="00C66762" w:rsidRPr="00A3026E" w:rsidRDefault="00C66762" w:rsidP="00A3026E">
      <w:pPr>
        <w:spacing w:after="0" w:line="240" w:lineRule="auto"/>
        <w:jc w:val="both"/>
        <w:rPr>
          <w:rFonts w:ascii="Times New Roman" w:hAnsi="Times New Roman"/>
          <w:iCs/>
          <w:color w:val="000000" w:themeColor="text1"/>
          <w:sz w:val="16"/>
          <w:szCs w:val="16"/>
          <w:lang w:val="en-US"/>
        </w:rPr>
      </w:pPr>
    </w:p>
    <w:p w14:paraId="1DB5DB39"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24 октября  1940 Nachtjagdgeschwader 2 Люфтваффе одерживает первую ночную воздушную победу во время Второй мировой войны, сбив самолет над Англией (20795).</w:t>
      </w:r>
    </w:p>
    <w:p w14:paraId="64A7DC2B" w14:textId="77777777" w:rsidR="00D10176" w:rsidRPr="00A3026E" w:rsidRDefault="00D10176" w:rsidP="00A3026E">
      <w:pPr>
        <w:spacing w:after="0" w:line="240" w:lineRule="auto"/>
        <w:jc w:val="both"/>
        <w:rPr>
          <w:rFonts w:ascii="Times New Roman" w:hAnsi="Times New Roman"/>
          <w:color w:val="0070C0"/>
          <w:sz w:val="16"/>
          <w:szCs w:val="16"/>
        </w:rPr>
      </w:pPr>
    </w:p>
    <w:p w14:paraId="16B63BE2"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24 октября  1940 Corpo Aereo Italiano (Italian Air Corps) Regia Aeronautica (Royal Air Force) проводит свою первую бомбежку Англии, используя 18 Fiat BR.20 бомбардировщиков (20795).</w:t>
      </w:r>
    </w:p>
    <w:p w14:paraId="682413E8" w14:textId="77777777" w:rsidR="00D10176" w:rsidRPr="00A3026E" w:rsidRDefault="00D10176" w:rsidP="00A3026E">
      <w:pPr>
        <w:spacing w:after="0" w:line="240" w:lineRule="auto"/>
        <w:jc w:val="both"/>
        <w:rPr>
          <w:rFonts w:ascii="Times New Roman" w:hAnsi="Times New Roman"/>
          <w:color w:val="0070C0"/>
          <w:sz w:val="16"/>
          <w:szCs w:val="16"/>
        </w:rPr>
      </w:pPr>
    </w:p>
    <w:p w14:paraId="2AAD2BD8"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October 24, 1940: Hitler and Marshal Petain, the head of the Vichy government, meet at Montoire. Petain rejects the idea of a Franco-German military alliance (3819).</w:t>
      </w:r>
    </w:p>
    <w:p w14:paraId="5077B6CA"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1BAC3B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октября 1940 состоялась встреча между Петеном и А.Гитлером по поводу установления нового порядка в Европе (2244,7).</w:t>
      </w:r>
    </w:p>
    <w:p w14:paraId="3973685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B773025" w14:textId="77777777" w:rsidR="005C6E99" w:rsidRPr="00A3026E" w:rsidRDefault="005C6E99"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24 октября </w:t>
      </w:r>
      <w:r w:rsidRPr="00A3026E">
        <w:rPr>
          <w:rFonts w:ascii="Times New Roman" w:hAnsi="Times New Roman"/>
          <w:color w:val="000000" w:themeColor="text1"/>
          <w:sz w:val="16"/>
          <w:szCs w:val="16"/>
        </w:rPr>
        <w:t>в 1940 году совместное обращение правительств Германии, Италии и вишистского правительства Франции к Чан Кай-ши с предложением заключить мир с Японией (14809).</w:t>
      </w:r>
    </w:p>
    <w:p w14:paraId="467EC10D" w14:textId="77777777" w:rsidR="005C6E99" w:rsidRPr="00A3026E" w:rsidRDefault="005C6E99" w:rsidP="00A3026E">
      <w:pPr>
        <w:spacing w:after="0" w:line="240" w:lineRule="auto"/>
        <w:jc w:val="both"/>
        <w:rPr>
          <w:rFonts w:ascii="Times New Roman" w:hAnsi="Times New Roman"/>
          <w:color w:val="000000" w:themeColor="text1"/>
          <w:sz w:val="16"/>
          <w:szCs w:val="16"/>
        </w:rPr>
      </w:pPr>
    </w:p>
    <w:p w14:paraId="07C0DFC0"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D547BE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D230F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года Врид. начальника НИИ ВВС в/инженер 1 ранга Лосюков утвердил Отчет По испытаниям колпака для слепых полетов на Самолете ДБ3-Ф конструкции завода № 39</w:t>
      </w:r>
    </w:p>
    <w:p w14:paraId="450D40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Исполнители:</w:t>
      </w:r>
    </w:p>
    <w:p w14:paraId="287DB8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1 ранга Платонов</w:t>
      </w:r>
    </w:p>
    <w:p w14:paraId="7A0892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Капитан Сыроегин</w:t>
      </w:r>
    </w:p>
    <w:p w14:paraId="35E6EC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771D999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возможность производства слепых полетов на самолете ДБ-3Ф под колпаком.</w:t>
      </w:r>
    </w:p>
    <w:p w14:paraId="459947B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надежность действия колпака в полете.</w:t>
      </w:r>
    </w:p>
    <w:p w14:paraId="2460EA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39 предъявил на испытания специальный колпак для производства слепых полетов и установил его в кабине летчика самолета ДБ-3Ф 2М-87.</w:t>
      </w:r>
    </w:p>
    <w:p w14:paraId="35170B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Колпак для слепого полета на самолете ДБ-3Ф состоит в основном из четырех отъемных частей:</w:t>
      </w:r>
    </w:p>
    <w:p w14:paraId="501540A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Складной колпак.</w:t>
      </w:r>
    </w:p>
    <w:p w14:paraId="5A5EF99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складным колпаком.</w:t>
      </w:r>
    </w:p>
    <w:p w14:paraId="0899563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Занавески козырька летчика.</w:t>
      </w:r>
    </w:p>
    <w:p w14:paraId="7D8E5A3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Занавески в кабине штурмана.</w:t>
      </w:r>
    </w:p>
    <w:p w14:paraId="592709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9A65A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Заводу № 39 надлежит устранить все дефекты колпака для слепых полетов на кабину летчика и предъявить его вновь в НИИ ВВС для контрольных испытаний (4393).</w:t>
      </w:r>
    </w:p>
    <w:p w14:paraId="0DF9893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910BE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года начались заводские испытания самолета ДБ-240 2АМ-37 завода № 240, но и из-за недоведенности моторов Ам-37 испытания прерваны (4048, 4).</w:t>
      </w:r>
    </w:p>
    <w:p w14:paraId="5261248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3C239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г. состоялся первый полет ДБ-240 2АМ-37 (опытный экземпляр N 2), но он выявил столь сильный перегрев моторов, что нормальная эксплуатация машины исключалась. Дело в том, что в условиях явного цейтнота конструкторы решили оставить почти без изменений систему охлаждения ВМГ, а ведь мощность и теплоотдача АМ-37 были на 30-40% большими, чем у М-105. В нескольких полетах, скорее похожих на подскоки, л Шебанову удалось лишь проверить устойчивость и управляемость машины. Быстро нараставшая температура воды и масла уже через семь-десять минут после взлета заставляли идти на вынужденную посадку. Словом, попытка решить проблему силовой установки "малой кровью" провалилась, и потребовалась замена водяных и маслорадиаторов на агрегаты с большей производительностью. Хронологически вариант ермолаевского бомбардировщика с моторами АМ-37 появился раньше, чем машина с АМ-35, и являлся естественной реакцией ОКБ-240 на не вполне удовлетворительные результаты испытаний машины с М-105. Это сильно усложняло задачу ОКБ Ермолаева, ведь в соответствии с приказом НКАП N 577 от 23 октября 1940 г. на подготовку ДБ-240 2АМ-37 к гос. испытаниям выделялось всего три месяца (3322,31).</w:t>
      </w:r>
    </w:p>
    <w:p w14:paraId="7D32945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87101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г. состоялся первый полет ДБ-240 с моторами АМ-37, но в силу целого ряда причин положительных результатов удалось достичь лишь летом 1941 г. при испытаниях самолета Ер-2 2АМ-37 (Ер-4) в ЛИИ НКАП. Для запуска в серию наряду с устра</w:t>
      </w:r>
      <w:r w:rsidRPr="00A3026E">
        <w:rPr>
          <w:rFonts w:ascii="Times New Roman" w:hAnsi="Times New Roman"/>
          <w:color w:val="000000" w:themeColor="text1"/>
          <w:sz w:val="16"/>
          <w:szCs w:val="16"/>
        </w:rPr>
        <w:softHyphen/>
        <w:t>нением недостатков самолета специалисты ЛИИ потребовали уве</w:t>
      </w:r>
      <w:r w:rsidRPr="00A3026E">
        <w:rPr>
          <w:rFonts w:ascii="Times New Roman" w:hAnsi="Times New Roman"/>
          <w:color w:val="000000" w:themeColor="text1"/>
          <w:sz w:val="16"/>
          <w:szCs w:val="16"/>
        </w:rPr>
        <w:softHyphen/>
        <w:t>личить эффективность основной и дополнительной охлаждающих систем мотора. К сожалению, при бомбежке немцами Москвы само</w:t>
      </w:r>
      <w:r w:rsidRPr="00A3026E">
        <w:rPr>
          <w:rFonts w:ascii="Times New Roman" w:hAnsi="Times New Roman"/>
          <w:color w:val="000000" w:themeColor="text1"/>
          <w:sz w:val="16"/>
          <w:szCs w:val="16"/>
        </w:rPr>
        <w:softHyphen/>
        <w:t>лет получил повреждения и из-за сложностей того периода не вос</w:t>
      </w:r>
      <w:r w:rsidRPr="00A3026E">
        <w:rPr>
          <w:rFonts w:ascii="Times New Roman" w:hAnsi="Times New Roman"/>
          <w:color w:val="000000" w:themeColor="text1"/>
          <w:sz w:val="16"/>
          <w:szCs w:val="16"/>
        </w:rPr>
        <w:softHyphen/>
        <w:t>станавливался (10781).</w:t>
      </w:r>
    </w:p>
    <w:p w14:paraId="4244314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D22C9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вышел приказ НКАП N 588 во исполнение постановления ГКО N 401 от 11 октября 1940 (1835,11).</w:t>
      </w:r>
    </w:p>
    <w:p w14:paraId="4AAB78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 учет последние требования военных к 103У и переход на другие двигатели первых двух экземпляров:</w:t>
      </w:r>
    </w:p>
    <w:p w14:paraId="2F3D89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с АМ-37 вместо АМ-35А</w:t>
      </w:r>
    </w:p>
    <w:p w14:paraId="66DC54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и 3-й в улучшенном виде с совместным размещением л и ш в передней кабине с АМ-37 и М-120 ТК-2.</w:t>
      </w:r>
    </w:p>
    <w:p w14:paraId="2DA6EE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второго скорость 580-600 км/час и дальностью на 0.9 - 1000 км с 1000 кг и максимальная - 2500 с 1000 кг. 2хШВАК + 5хШКАС</w:t>
      </w:r>
    </w:p>
    <w:p w14:paraId="781446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третьего скорость 600 км/час и дальностью на 0.9 - 1000 км с 1000 кг и максимальная - 2500 с 1000 кг. 2хШВАК + 5хШКАС (1835,11).</w:t>
      </w:r>
    </w:p>
    <w:p w14:paraId="3CE628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октябре-ноябре 1940 были подготовлены новые эскизные проекты по всем трем вариантам 103 А.Н.Т. (1835,11).</w:t>
      </w:r>
    </w:p>
    <w:p w14:paraId="64BA7D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также подготовили технические предложения по дальнему варианту 103 2АМ-37 - 103Д с увеличенным размахом крыла (1835,11).</w:t>
      </w:r>
    </w:p>
    <w:p w14:paraId="617621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Скоростное пикирование, 2хШВАК, бомбы калибра 2.5 - 25 кг на внутренней подвеске и 10 РС-132 у 103В с М-120ТК позволяли привлекать самолет для непосредственной штурмовой поддержки наземных и морских сил при условии несильной наземной ПВО (1835,12).</w:t>
      </w:r>
    </w:p>
    <w:p w14:paraId="0BED898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2C0B5BD" w14:textId="77777777" w:rsidR="005C6E99" w:rsidRPr="00A3026E" w:rsidRDefault="005C6E99" w:rsidP="00A3026E">
      <w:pPr>
        <w:pStyle w:val="a3"/>
        <w:rPr>
          <w:color w:val="000000" w:themeColor="text1"/>
          <w:lang w:val="ru-RU"/>
        </w:rPr>
      </w:pPr>
      <w:r w:rsidRPr="00A3026E">
        <w:rPr>
          <w:color w:val="000000" w:themeColor="text1"/>
          <w:lang w:val="ru-RU"/>
        </w:rPr>
        <w:t>25 сентября 1940 уже В.П. Яценко обратился с письмом к К.Е. Ворошилову с просьбой выдать ему новое задание на разработку истребителя И-29 с мотором М-90. Новый самолёт также планировалось делать в основном с применением дерева и клея ВИАМ Б-3. Стрелковое вооружение оставалось такое же, как и у И-28, но до 200 кг увеличивалась бомбовая нагрузка и предусматривалась возможность установки шести ракетных орудий (пус</w:t>
      </w:r>
      <w:r w:rsidRPr="00A3026E">
        <w:rPr>
          <w:color w:val="000000" w:themeColor="text1"/>
          <w:lang w:val="ru-RU"/>
        </w:rPr>
        <w:softHyphen/>
        <w:t>ковых установок) РО-82 для стрельбы ракетными снарядами РС-82.</w:t>
      </w:r>
    </w:p>
    <w:p w14:paraId="2608DD04" w14:textId="77777777" w:rsidR="005C6E99" w:rsidRPr="00A3026E" w:rsidRDefault="005C6E99" w:rsidP="00A3026E">
      <w:pPr>
        <w:pStyle w:val="a3"/>
        <w:rPr>
          <w:color w:val="000000" w:themeColor="text1"/>
          <w:lang w:val="ru-RU"/>
        </w:rPr>
      </w:pPr>
      <w:r w:rsidRPr="00A3026E">
        <w:rPr>
          <w:color w:val="000000" w:themeColor="text1"/>
          <w:lang w:val="ru-RU"/>
        </w:rPr>
        <w:t>Но в выдаче нового задания В.П. Яценко отказали, а его самого решили направить для дальнейшей работы на один из серийных заводов. Причём причиной отказа включения в план опытных работ на 1941 год истребителя И-29 было ... именно отсутствие у товарища Яценко опытной производственной базы (15837).</w:t>
      </w:r>
    </w:p>
    <w:p w14:paraId="3D13B5A0" w14:textId="77777777" w:rsidR="005C6E99" w:rsidRPr="00A3026E" w:rsidRDefault="005C6E99" w:rsidP="00A3026E">
      <w:pPr>
        <w:pStyle w:val="a3"/>
        <w:rPr>
          <w:color w:val="000000" w:themeColor="text1"/>
          <w:lang w:val="ru-RU"/>
        </w:rPr>
      </w:pPr>
    </w:p>
    <w:p w14:paraId="382B866E" w14:textId="77777777" w:rsidR="005C6E99" w:rsidRPr="00A3026E" w:rsidRDefault="005C6E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г. Секретариат Комитета Обороны посчитал целесообразным письмо Ефремова с обсуждения снять и просьбу о постройке самолета отклонить. В результате ни один из основных главных конструкторов, создававших в то время скоростные истребители, не взял на себя обузу оборудовать свой самолет реактором Ефремова. Исключение составили лишь Н.И. Гудков, разработавший эскизный проект модификации истребителя ЛаГГ-3 под реактор, и М.М.Пашинин предусмотревший в эскизном проекте первого варианта истребителя И-21 использование реактора. Но эти проекты не были реализованы. Вскоре грянула война, и на скоростных самолетах ограничились лишь использованием реактивных патрубков. Прибавка в скорости при этом была менее существенной и не использовался важный для ночных истребителей эффект снижения яркости выхлопа, который обеспечивал реактор (15431).</w:t>
      </w:r>
    </w:p>
    <w:p w14:paraId="78D0F27D" w14:textId="77777777" w:rsidR="005C6E99" w:rsidRPr="00A3026E" w:rsidRDefault="005C6E99" w:rsidP="00A3026E">
      <w:pPr>
        <w:spacing w:after="0" w:line="240" w:lineRule="auto"/>
        <w:jc w:val="both"/>
        <w:rPr>
          <w:rFonts w:ascii="Times New Roman" w:hAnsi="Times New Roman"/>
          <w:color w:val="000000" w:themeColor="text1"/>
          <w:sz w:val="16"/>
          <w:szCs w:val="16"/>
        </w:rPr>
      </w:pPr>
    </w:p>
    <w:p w14:paraId="02F39F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Секретариат КО посчитал целесообразным письмо Ефремова с обсуждения снять и просьбу о постройке самолета - скоростного двухмоторного двухместного истребителя, оборудованного специальным реактором, своего рода ПВРД, одобренным коллегией НКАП в 1939, - отклонить (3844,37).</w:t>
      </w:r>
    </w:p>
    <w:p w14:paraId="5728552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157F7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И-26-3 летал на пикирование до 570 км/час по прибору. Согнулся щиток на правой ноге шасси, деформировалась подвижная часть фонаря. Летал П.М.Стефановский. Потом довели скорость до 635 км/час. В облете принимали участие А.Г.Кубышкин, А.Г.Прошаков, К.А.Груздев и А.С.Николаев (1204,57).</w:t>
      </w:r>
    </w:p>
    <w:p w14:paraId="66C40EB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A756E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И-301-1 перегнали на аэродром НИИ ВВС и на нем начали летать на пикирование и проверку вооружения, а также только что установленного РПК. Летал до 4 января 1941, когда в полете разрушились коренные подшипники М-105П и летчик пошел на вынужденную (1204,83).</w:t>
      </w:r>
    </w:p>
    <w:p w14:paraId="562C676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8728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же 1940 закончили доработку И-301-2 (1204,84).</w:t>
      </w:r>
    </w:p>
    <w:p w14:paraId="5C1BCB7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15A4F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была закончена затянувшаяся постройка второго ЛаГГ-3, доработанного И-301 и на испытания он не передавался (756,5).</w:t>
      </w:r>
    </w:p>
    <w:p w14:paraId="709B812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8B79E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состоялся облет отремонтированного первого И-301 в НИИ ВВС. Теперь можно было летать на пикирование и отстрел вооружения; отремонтированный И-301 первым из советских одномоторных истребителей той поры получил серьезный навигационный прибор - радиополукомпас, работу которого также предстояло проверить (на серийные машины, к сожалению, РПК не устанавливался). Первый прототип успешно летал до 4 января 1941 г., когда в полете разрушились подшипники мотора. Летчик смог посадить машину на брюхо, однако самолет получил значительные повреждения. Его решили не ремонтировать и перенести проведение всей программы испытаний на "дублер", который начал летать практически одновременно с отремонтированным И-301-1. На "дублере" Никашиным был выполнен чрезвычайно важный полет на дальность по маршруту Москва-Курск-Москва протяженностью 840 км. Слитый после полета 15-процентный остаток бензина обеспечивал требуемую 1000-км дальность полета (4707).</w:t>
      </w:r>
    </w:p>
    <w:p w14:paraId="5752DC7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0E150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при разговоре с А.С.Я Болховитинов получил указание пере</w:t>
      </w:r>
      <w:r w:rsidRPr="00A3026E">
        <w:rPr>
          <w:rFonts w:ascii="Times New Roman" w:hAnsi="Times New Roman"/>
          <w:color w:val="000000" w:themeColor="text1"/>
          <w:sz w:val="16"/>
          <w:szCs w:val="16"/>
        </w:rPr>
        <w:softHyphen/>
        <w:t>считать проект истребителя дальнего действия на большую площадь крыла (4049,57).</w:t>
      </w:r>
    </w:p>
    <w:p w14:paraId="7EDEB9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18CD5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и 28 октября 1940 г. удалось получить новые мотор и винт соответственно для И-135. Испытания возобновились 10 ноября 1940 г. Попельнюшенко, повредившего при запуске мотора М-11 руку, заменил летчик-испытатель Федоров (6406).</w:t>
      </w:r>
    </w:p>
    <w:p w14:paraId="52D76E4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DAD95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Тимошенко писал письмо N 17727с Ворошилову.</w:t>
      </w:r>
    </w:p>
    <w:p w14:paraId="774BFE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постройки самолетов СХ-1 с мотором МГ-31 конструкции Бедункевич докладываю:</w:t>
      </w:r>
    </w:p>
    <w:p w14:paraId="398183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Макет самолета был построен в начале 1934 года. Самолет закончен постройкой в 1937 году в одном экземпляре. По заключению НИИ ВВС самолет СХ-1 по своей конструкции, как двухстоечный, расчалочный биплан является устарелым типом и не отвечает тактико-техническим требованиям ГУ ВВС. Самолет имеет недостаточную дальность полета (427 км при коммерческой загрузке 575 кг), малую горизонтальную скорость (210 км/час) и не обладает продольной устойчивостью.</w:t>
      </w:r>
    </w:p>
    <w:p w14:paraId="389524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Моторов МГ-31, которым снабжен самолет СХ-1 в производстве нет.</w:t>
      </w:r>
    </w:p>
    <w:p w14:paraId="4CA87A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проекте перспективного плана опытного строительства на 1941 г. предусмотрена постройка транспортного самолета "ДРАГОН" с двумя моторами МВ-6, с которыми строятся самолет УТ-3 и самолет "АИСТ".</w:t>
      </w:r>
    </w:p>
    <w:p w14:paraId="767F10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испытаний самолет "ДРАГОН" обладает хорошими взлетно-посадочными свойствами и может быть переоборудован под санитарный вариант.</w:t>
      </w:r>
    </w:p>
    <w:p w14:paraId="03A469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вышеизложенного считаю, постройку серии самолетов СХ-1 с мотором МГ-31 нецелесообразной (3400,6).</w:t>
      </w:r>
    </w:p>
    <w:p w14:paraId="5560DAB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B2A6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C 25 по 28 октября 1940 в Николаеве испытывалась катапульта Николаевского завода Н-1 с КОР-1. Сделали 5 стартов. Взяли на вооружение (2555,86).</w:t>
      </w:r>
    </w:p>
    <w:p w14:paraId="03B3BD3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16D9F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25 октября по 1 ноября 1940 г. катапульта Н-2 проходила стендовые испытания, всего было произведено пять стартов самолета КОР-1. Впоследствии эти две катапуль</w:t>
      </w:r>
      <w:r w:rsidRPr="00A3026E">
        <w:rPr>
          <w:rFonts w:ascii="Times New Roman" w:hAnsi="Times New Roman"/>
          <w:color w:val="000000" w:themeColor="text1"/>
          <w:sz w:val="16"/>
          <w:szCs w:val="16"/>
        </w:rPr>
        <w:softHyphen/>
        <w:t>ты (Н-1 и Н-2) установили на крейсеры «Калинин» и «Ка</w:t>
      </w:r>
      <w:r w:rsidRPr="00A3026E">
        <w:rPr>
          <w:rFonts w:ascii="Times New Roman" w:hAnsi="Times New Roman"/>
          <w:color w:val="000000" w:themeColor="text1"/>
          <w:sz w:val="16"/>
          <w:szCs w:val="16"/>
        </w:rPr>
        <w:softHyphen/>
        <w:t>ганович» Тихоокеанского флота.</w:t>
      </w:r>
    </w:p>
    <w:p w14:paraId="057F3D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накануне войны на советских военных кораблях имелись пять катапульт: одна старая - К-3 («Красный Кавказ») и четыре новых - К-12А («Киров»), К-12В («Ворошилов»), ЗК-1 («Максим Горький»), Н-1 («Парижская коммуна»).</w:t>
      </w:r>
    </w:p>
    <w:p w14:paraId="7D77DE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Ниже приводятся характеристики катапульт ЗК-1, ЗК-2Б и К-12.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93"/>
        <w:gridCol w:w="845"/>
        <w:gridCol w:w="816"/>
        <w:gridCol w:w="835"/>
      </w:tblGrid>
      <w:tr w:rsidR="00983732" w:rsidRPr="00A3026E" w14:paraId="3AAC6E36" w14:textId="77777777" w:rsidTr="00EA0DA7">
        <w:trPr>
          <w:trHeight w:val="394"/>
        </w:trPr>
        <w:tc>
          <w:tcPr>
            <w:tcW w:w="2093" w:type="dxa"/>
            <w:tcBorders>
              <w:top w:val="single" w:sz="12" w:space="0" w:color="auto"/>
            </w:tcBorders>
          </w:tcPr>
          <w:p w14:paraId="7A9DDF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Borders>
              <w:top w:val="single" w:sz="12" w:space="0" w:color="auto"/>
            </w:tcBorders>
          </w:tcPr>
          <w:p w14:paraId="159FCF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ЗК-1</w:t>
            </w:r>
          </w:p>
        </w:tc>
        <w:tc>
          <w:tcPr>
            <w:tcW w:w="816" w:type="dxa"/>
            <w:tcBorders>
              <w:top w:val="single" w:sz="12" w:space="0" w:color="auto"/>
            </w:tcBorders>
          </w:tcPr>
          <w:p w14:paraId="2EF20A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К-12</w:t>
            </w:r>
          </w:p>
        </w:tc>
        <w:tc>
          <w:tcPr>
            <w:tcW w:w="835" w:type="dxa"/>
            <w:tcBorders>
              <w:top w:val="single" w:sz="12" w:space="0" w:color="auto"/>
            </w:tcBorders>
          </w:tcPr>
          <w:p w14:paraId="169A5B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ЗК-2Б</w:t>
            </w:r>
          </w:p>
        </w:tc>
      </w:tr>
      <w:tr w:rsidR="00983732" w:rsidRPr="00A3026E" w14:paraId="108B6C94" w14:textId="77777777" w:rsidTr="00EA0DA7">
        <w:trPr>
          <w:trHeight w:val="394"/>
        </w:trPr>
        <w:tc>
          <w:tcPr>
            <w:tcW w:w="2093" w:type="dxa"/>
          </w:tcPr>
          <w:p w14:paraId="040CE9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Габаритная длина (м)</w:t>
            </w:r>
          </w:p>
          <w:p w14:paraId="7E54A2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0FE958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24,6</w:t>
            </w:r>
          </w:p>
          <w:p w14:paraId="05F2BD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4C54C2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p w14:paraId="6ABE79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283A16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24,4</w:t>
            </w:r>
          </w:p>
          <w:p w14:paraId="577723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006DCFE" w14:textId="77777777" w:rsidTr="00EA0DA7">
        <w:trPr>
          <w:trHeight w:val="326"/>
        </w:trPr>
        <w:tc>
          <w:tcPr>
            <w:tcW w:w="2093" w:type="dxa"/>
          </w:tcPr>
          <w:p w14:paraId="4FD117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Габаритная ширина (м)</w:t>
            </w:r>
          </w:p>
          <w:p w14:paraId="236FEF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184F5D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w:t>
            </w:r>
          </w:p>
          <w:p w14:paraId="37C38D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640C24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p w14:paraId="40D021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0B91B6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p w14:paraId="701851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9C13FBA" w14:textId="77777777" w:rsidTr="00EA0DA7">
        <w:trPr>
          <w:trHeight w:val="317"/>
        </w:trPr>
        <w:tc>
          <w:tcPr>
            <w:tcW w:w="2093" w:type="dxa"/>
          </w:tcPr>
          <w:p w14:paraId="5258ED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стартового пути (м)</w:t>
            </w:r>
          </w:p>
          <w:p w14:paraId="388A80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347885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p w14:paraId="0E955A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12AE86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p w14:paraId="4C6A4A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24BC73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p w14:paraId="6C9E23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4CED70B" w14:textId="77777777" w:rsidTr="00EA0DA7">
        <w:trPr>
          <w:trHeight w:val="317"/>
        </w:trPr>
        <w:tc>
          <w:tcPr>
            <w:tcW w:w="2093" w:type="dxa"/>
          </w:tcPr>
          <w:p w14:paraId="55B668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Колея (м)</w:t>
            </w:r>
          </w:p>
          <w:p w14:paraId="51CA93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6395FC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p w14:paraId="0C0144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27AEB6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p w14:paraId="749FF7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37E033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p w14:paraId="2F1146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22467DF" w14:textId="77777777" w:rsidTr="00EA0DA7">
        <w:trPr>
          <w:trHeight w:val="317"/>
        </w:trPr>
        <w:tc>
          <w:tcPr>
            <w:tcW w:w="2093" w:type="dxa"/>
          </w:tcPr>
          <w:p w14:paraId="4E1C8A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тележки (мм)</w:t>
            </w:r>
          </w:p>
          <w:p w14:paraId="380B70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29F46C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885</w:t>
            </w:r>
          </w:p>
          <w:p w14:paraId="20E306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408877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870</w:t>
            </w:r>
          </w:p>
          <w:p w14:paraId="4E510C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166AE6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1180</w:t>
            </w:r>
          </w:p>
          <w:p w14:paraId="1E15B7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7BD2F2C" w14:textId="77777777" w:rsidTr="00EA0DA7">
        <w:trPr>
          <w:trHeight w:val="336"/>
        </w:trPr>
        <w:tc>
          <w:tcPr>
            <w:tcW w:w="2093" w:type="dxa"/>
          </w:tcPr>
          <w:p w14:paraId="09B1AA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тележки (м)</w:t>
            </w:r>
          </w:p>
          <w:p w14:paraId="7FE239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24BD5F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p w14:paraId="0FF31C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7C882B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p w14:paraId="0F02C5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786589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p w14:paraId="6A5270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0369DE1" w14:textId="77777777" w:rsidTr="00EA0DA7">
        <w:trPr>
          <w:trHeight w:val="278"/>
        </w:trPr>
        <w:tc>
          <w:tcPr>
            <w:tcW w:w="2093" w:type="dxa"/>
            <w:tcBorders>
              <w:bottom w:val="single" w:sz="12" w:space="0" w:color="auto"/>
            </w:tcBorders>
          </w:tcPr>
          <w:p w14:paraId="2FC7A3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катапульты (т)</w:t>
            </w:r>
          </w:p>
          <w:p w14:paraId="18DCCF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Borders>
              <w:bottom w:val="single" w:sz="12" w:space="0" w:color="auto"/>
            </w:tcBorders>
          </w:tcPr>
          <w:p w14:paraId="6A0A5E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28,5</w:t>
            </w:r>
          </w:p>
          <w:p w14:paraId="2AD242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Borders>
              <w:bottom w:val="single" w:sz="12" w:space="0" w:color="auto"/>
            </w:tcBorders>
          </w:tcPr>
          <w:p w14:paraId="5F5B09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p w14:paraId="4275F9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Borders>
              <w:bottom w:val="single" w:sz="12" w:space="0" w:color="auto"/>
            </w:tcBorders>
          </w:tcPr>
          <w:p w14:paraId="42F676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p w14:paraId="041F4F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0A538A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(11107).</w:t>
      </w:r>
    </w:p>
    <w:p w14:paraId="41FC8C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0B47E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25 октября по 1 ноября 1940 г. катапульта Н-2 проходила стендовые ис</w:t>
      </w:r>
      <w:r w:rsidRPr="00A3026E">
        <w:rPr>
          <w:rFonts w:ascii="Times New Roman" w:hAnsi="Times New Roman"/>
          <w:color w:val="000000" w:themeColor="text1"/>
          <w:sz w:val="16"/>
          <w:szCs w:val="16"/>
        </w:rPr>
        <w:softHyphen/>
        <w:t>пытания. Всего было произведено 5 стартов са</w:t>
      </w:r>
      <w:r w:rsidRPr="00A3026E">
        <w:rPr>
          <w:rFonts w:ascii="Times New Roman" w:hAnsi="Times New Roman"/>
          <w:color w:val="000000" w:themeColor="text1"/>
          <w:sz w:val="16"/>
          <w:szCs w:val="16"/>
        </w:rPr>
        <w:softHyphen/>
        <w:t>молета КОР-1. Впоследствии эти две ката</w:t>
      </w:r>
      <w:r w:rsidRPr="00A3026E">
        <w:rPr>
          <w:rFonts w:ascii="Times New Roman" w:hAnsi="Times New Roman"/>
          <w:color w:val="000000" w:themeColor="text1"/>
          <w:sz w:val="16"/>
          <w:szCs w:val="16"/>
        </w:rPr>
        <w:softHyphen/>
        <w:t>пульты (Н-1 и Н-2) установили на крейсеры «Калинин» и «Каганович» Тихоокеанского флота (ТОФ).</w:t>
      </w:r>
    </w:p>
    <w:p w14:paraId="775C75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Следующими в Ленинграде изготовили ка</w:t>
      </w:r>
      <w:r w:rsidRPr="00A3026E">
        <w:rPr>
          <w:rFonts w:ascii="Times New Roman" w:hAnsi="Times New Roman"/>
          <w:color w:val="000000" w:themeColor="text1"/>
          <w:sz w:val="16"/>
          <w:szCs w:val="16"/>
        </w:rPr>
        <w:softHyphen/>
        <w:t>тапульты ЗК-2Аи ЗК-2Б. Однако их уже вхо</w:t>
      </w:r>
      <w:r w:rsidRPr="00A3026E">
        <w:rPr>
          <w:rFonts w:ascii="Times New Roman" w:hAnsi="Times New Roman"/>
          <w:color w:val="000000" w:themeColor="text1"/>
          <w:sz w:val="16"/>
          <w:szCs w:val="16"/>
        </w:rPr>
        <w:softHyphen/>
        <w:t>де постройки переделали под самолет КОР-2 выполнил опытные старты на самолете КОР-2 лет</w:t>
      </w:r>
      <w:r w:rsidRPr="00A3026E">
        <w:rPr>
          <w:rFonts w:ascii="Times New Roman" w:hAnsi="Times New Roman"/>
          <w:color w:val="000000" w:themeColor="text1"/>
          <w:sz w:val="16"/>
          <w:szCs w:val="16"/>
        </w:rPr>
        <w:softHyphen/>
        <w:t>чик Н. П. Котяков (12301).</w:t>
      </w:r>
    </w:p>
    <w:p w14:paraId="3114B34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22F57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г. НКАЛ № 585сс и НКСМ № 248сс от 24 октября 1940 г. от в соответствии с пост. СНК от 18.10.1940 г. при ГАЗ путем выделения цехов для производства авиамоторов был образован Завод № 466 НКАП, Машиностроительное предприятие «Красный Октябрь», ЛМПО «Красный Октябрь», Санкт-Петербургское ОАО «Красный Октябрь» /г. Горький;  г. Ленинград/ /194100  г. Ленинград,  г. Санкт-Петербург ул. Политехническая, 13/15 тел. 247-72-09, -52-33/. По приказу № 698сс от 9.12.1940 г. заводу присвоен № 466 НКАП. Как самостоятельная производственная единица вступил в строй в 1941 г., действовал внутри ГАЗа. В 1941 г. освоено производство моторов М-105Р, создан мотор М-500 и нагнетатель для М-105П.</w:t>
      </w:r>
    </w:p>
    <w:p w14:paraId="6D4D1F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655с от 10.07.1941 г. завод упразднен как самостоятельная единица и преобразован в отдел № 10 ГАЗа по производству авиамоторов М-105Р и танковых моторов М-17Т.</w:t>
      </w:r>
    </w:p>
    <w:p w14:paraId="42CABD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1445сс от 14.03.1942 г. и приказом № 215сс/ М-168 от 17.03.1942 г. на базе авиамоторного производства ГАЗа вновь образован завод по производству авиационных моторов № 466 при ЗГУ НКАП. Производство танковых моторов в 1942 г. прекращено и передано НКТП.</w:t>
      </w:r>
    </w:p>
    <w:p w14:paraId="76DDF5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30.05.1942 г. вышло постановление ГКО № 1831 об увеличении выпуска на заводе мотора М-105Р. В соответствии с пост. ГКО № 2134сс от 3.08.1942 г. заводу предписано начать производство двигателей М-105ПФ.</w:t>
      </w:r>
    </w:p>
    <w:p w14:paraId="3C22A9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10.07.1943 г. вышло постановление ГКО № 3724 о помощи заводу. По приказу № 369с/ 351с от 8.09.1945 г. часть кадров и оборудования завода передана ГАЗу. По приказу № 370с от 8.09.1945 г. завод № 466 НКАП переведен в Ленинград на территорию завода № 274 НКАП. В соответствии с приказом № 409с от 22.10.1945 г. завод № 274 НКАП влит в состав завода № 466.</w:t>
      </w:r>
    </w:p>
    <w:p w14:paraId="18D9B7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войны начато освоение производства мотора Джемси Д-6 и воздушно-реактивных двигателей.</w:t>
      </w:r>
    </w:p>
    <w:p w14:paraId="736A3D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 г. заводу выделено 2433 единицы трофейного оборудования (в т.ч. 1413 металлорежущих станков), в т.ч. из Чехословакии.</w:t>
      </w:r>
    </w:p>
    <w:p w14:paraId="4DCB01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001518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 г. завод имел две территории: площадка № 1 по 2-му Муринскому пр. (далее здесь- завод «Красный Октябрь») и площадка № 2 - пр. К. Маркса, Флюгов пер. (бывшая территория завода № 234, № 117, далее- НПО им. Климова).</w:t>
      </w:r>
    </w:p>
    <w:p w14:paraId="446AB2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 г. планировалось производство моторов У-5 для комбайнов.</w:t>
      </w:r>
    </w:p>
    <w:p w14:paraId="4C4D3B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неудачей в освоении производства АМ-9 решением ГКАТ в 12.1955 г. завод прекратил выпуск авиационных двигателей и переориентирован на производство вертолетных агрегатов.</w:t>
      </w:r>
    </w:p>
    <w:p w14:paraId="49F819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СМ СССР № 713-342 от 26.06.1957 г. передан в ведение СНХ РСФСР.</w:t>
      </w:r>
    </w:p>
    <w:p w14:paraId="4DF8C9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приказу </w:t>
      </w:r>
      <w:r w:rsidRPr="00A3026E">
        <w:rPr>
          <w:rFonts w:ascii="Times New Roman" w:hAnsi="Times New Roman"/>
          <w:color w:val="000000" w:themeColor="text1"/>
          <w:sz w:val="16"/>
          <w:szCs w:val="16"/>
          <w:lang w:val="en-US"/>
        </w:rPr>
        <w:t>MAII</w:t>
      </w:r>
      <w:r w:rsidRPr="00A3026E">
        <w:rPr>
          <w:rFonts w:ascii="Times New Roman" w:hAnsi="Times New Roman"/>
          <w:color w:val="000000" w:themeColor="text1"/>
          <w:sz w:val="16"/>
          <w:szCs w:val="16"/>
        </w:rPr>
        <w:t xml:space="preserve"> № 175 от 04.1966 г. заводу присвоено имя «Красный Октябрь». В 1974-86 г. завод входил в ЛНПО им. Климова. По приказу МАП № 473 от 09.1986 г. завод вышел из состава ЛНПО им. Климова и стал самостоятельным ЛМПО «Красный Октябрь», в состав объединения вошли также Боровичский завод «Двигатель», Новгородский завод «Энергия» и Зеленогорский завод «Автоматика». С 1994 г.- Санкт- Петербургское ОАО «МП «Красный Октябрь». В 1996 г. вошёл в ВПК «МАПО». По решению правительства № 22-р от 9.01.2004 г. вошло в перечень стратегических предприятий.</w:t>
      </w:r>
    </w:p>
    <w:p w14:paraId="5C5081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1952 г. начался выпуск трансмиссий и автоматов перекоса, с 1970-х- главных редукторов для вертолетов, а с 1982 г.- коробок самолетных агрегатов.</w:t>
      </w:r>
    </w:p>
    <w:p w14:paraId="178780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1958-91г,- производство ЖРД и бортовых источников питания для ЗУР и МБР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Исаева, А.С. Мевиуса, С.П. Изотова, А.Д. Конопатова.</w:t>
      </w:r>
    </w:p>
    <w:p w14:paraId="445F4C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1960-е  г. на заводе действовал филиал МКБ «Красная звезда» (начальник (1968-69 г.)- А.С. Мевиус).</w:t>
      </w:r>
    </w:p>
    <w:p w14:paraId="1706AF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1998 г. при заводе образовано Авиационное КБ.</w:t>
      </w:r>
    </w:p>
    <w:p w14:paraId="7684DC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61FE08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А.А. Завитаев, (03.1942 г.-; 10.1945 г.) - А.П. Петров, (09.1944 г.-)- Н.Н. Алексеев, (10.1945-50 г.)- И.Н. Лукин, (1950-56 г.)- С. Г. Кондратов, (1956-59 г.)- В.И. Тарасов, (1959-76 г.)- М.Н. Ляпунов, (1976-86 г.)- А.Н. Фомичев. Гендиректор (1986-2005 г.-)- А.Н. Фомичев.</w:t>
      </w:r>
    </w:p>
    <w:p w14:paraId="6985C7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(1941 г.)- Н.А. Доллежаль, (10.1945 г.-)- М.А. Колосов, (1946-47 г.)- В</w:t>
      </w:r>
      <w:r w:rsidRPr="00A3026E">
        <w:rPr>
          <w:rFonts w:ascii="Times New Roman" w:hAnsi="Times New Roman"/>
          <w:iCs/>
          <w:color w:val="000000" w:themeColor="text1"/>
          <w:sz w:val="16"/>
          <w:szCs w:val="16"/>
        </w:rPr>
        <w:t xml:space="preserve"> .Я.</w:t>
      </w:r>
      <w:r w:rsidRPr="00A3026E">
        <w:rPr>
          <w:rFonts w:ascii="Times New Roman" w:hAnsi="Times New Roman"/>
          <w:color w:val="000000" w:themeColor="text1"/>
          <w:sz w:val="16"/>
          <w:szCs w:val="16"/>
        </w:rPr>
        <w:t xml:space="preserve"> Климов (одновременно- гл. конструктор ОКБ завода № 26).</w:t>
      </w:r>
    </w:p>
    <w:p w14:paraId="4C3EDD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22B915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317E2B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начальника цеха (1942-46 г.)- Н.А. Левченко.</w:t>
      </w:r>
    </w:p>
    <w:p w14:paraId="506351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 двигатели:</w:t>
      </w:r>
      <w:r w:rsidRPr="00A3026E">
        <w:rPr>
          <w:rFonts w:ascii="Times New Roman" w:hAnsi="Times New Roman"/>
          <w:color w:val="000000" w:themeColor="text1"/>
          <w:sz w:val="16"/>
          <w:szCs w:val="16"/>
        </w:rPr>
        <w:t xml:space="preserve"> М-17Т (1941-42), М-105Р (1941-42), М-105ПФ (1942-45), ВК-105ПД (1944-45), ВК- 107 (1946), РД-10А (1950-52), АМ-9 (1954-55); РД-33 (1980-е); авиационная торпеда РАТ-52 (1950-56); трансмиссии и автоматы перекоса для Ми-1, Ми-4, Як-24, затем- для всех «Ми» (2002); главные редукторы: ВР- 14 для Ми-14, Ми-8МТ (-2002-04-), ВР-24 для Ми-24 (-2002-04-), ВР-252 для Ка-27</w:t>
      </w:r>
    </w:p>
    <w:p w14:paraId="0D3BA4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(- 2002-04-); энергоузел ГТДЭ-117 для МиГ-29, Су-27 (1980-е-2004-), ГТДЭ-117-1М (ВК-100-1М) (2003-); стартер СВ-65 для ТВ7-117 (1992-2004-);</w:t>
      </w:r>
      <w:r w:rsidRPr="00A3026E">
        <w:rPr>
          <w:rFonts w:ascii="Times New Roman" w:hAnsi="Times New Roman"/>
          <w:iCs/>
          <w:color w:val="000000" w:themeColor="text1"/>
          <w:sz w:val="16"/>
          <w:szCs w:val="16"/>
        </w:rPr>
        <w:t xml:space="preserve"> ЖРД:</w:t>
      </w:r>
      <w:r w:rsidRPr="00A3026E">
        <w:rPr>
          <w:rFonts w:ascii="Times New Roman" w:hAnsi="Times New Roman"/>
          <w:color w:val="000000" w:themeColor="text1"/>
          <w:sz w:val="16"/>
          <w:szCs w:val="16"/>
        </w:rPr>
        <w:t xml:space="preserve"> С2.711В1 для В-750В (1956-), С2.720, С2.726 для В-1000, 5Д12 для В-860, 5Д67 для В-880, 15Д13 и 15Д14 с ТНА 8Д419 для УР-100, 15Д113 и 15Д114 для УР-100Н, 5Д18 и 5Д22 для А-350; бортовые источники питания 5И28, 5И43, 5И47, 4Е60; мотоблоки «Нева», мотонасосы, бензиновые двигатели мощностью 1,1 ...5,5 л.с. (2002).</w:t>
      </w:r>
      <w:r w:rsidRPr="00A3026E">
        <w:rPr>
          <w:rFonts w:ascii="Times New Roman" w:hAnsi="Times New Roman"/>
          <w:color w:val="000000" w:themeColor="text1"/>
          <w:sz w:val="16"/>
          <w:szCs w:val="16"/>
          <w:vertAlign w:val="superscript"/>
        </w:rPr>
        <w:t>69</w:t>
      </w:r>
    </w:p>
    <w:p w14:paraId="441431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ОКБ-45, Филиал ОКБ-500, ОКБ завода № 466 МАП, ОКБ-466 МАП</w:t>
      </w:r>
    </w:p>
    <w:p w14:paraId="55C269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1E5081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118BBD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1958 г.- разработка ЖРД для ЗУР и ракет ПРО. Доработка и освоение производства С2.726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Исаева. В 1962 г. передан в производство доработанный вариант- Л/726. Созданы опытные ЖРД Л-2, Л-2А (5Д12), Л-6, Л- 6А для ЗУР В-860. Осенью 1960 г. выдано задание на разработку ЖРД 5Д16 для противоракеты А-350, в 1962 г. проведены испытания.</w:t>
      </w:r>
    </w:p>
    <w:p w14:paraId="38FE9B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895 от 19.12.1962 г. для дальнейшего развития работ по ЖРД ОКБ-466 было влито в ОКБ-117 ГКАТ. Мевиус назначен гл. конструктором по специзделиям (ЖРД). В соответствии с пост.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1A9F5D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(20.04.1959-12.1962 г.)- А.С. Мевиус.</w:t>
      </w:r>
    </w:p>
    <w:p w14:paraId="6EE244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гл. конструктора (1956-59 г.)- А.С. Мевиус.</w:t>
      </w:r>
    </w:p>
    <w:p w14:paraId="79765D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Авиационное КБ</w:t>
      </w:r>
    </w:p>
    <w:p w14:paraId="4CE0F5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Образовано в 1998 г. при заводе «Красный Октябрь».</w:t>
      </w:r>
    </w:p>
    <w:p w14:paraId="6D2EFA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(2005 г.): разработка главных редукторов ВР-38 для Ми-38, ВР-226Н для Ка-226, ВР-10 для «Актай» (11982).</w:t>
      </w:r>
    </w:p>
    <w:p w14:paraId="3E4988E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614E7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года Протоколом совещания в 6 Отделе Первого Главного Управления НКАП был установлен порядок комплектации кислородного оборудования на самолетах с трубопроводом раз</w:t>
      </w:r>
      <w:r w:rsidRPr="00A3026E">
        <w:rPr>
          <w:rFonts w:ascii="Times New Roman" w:hAnsi="Times New Roman"/>
          <w:color w:val="000000" w:themeColor="text1"/>
          <w:sz w:val="16"/>
          <w:szCs w:val="16"/>
        </w:rPr>
        <w:softHyphen/>
        <w:t>мера 5 х 3 мм (9820,119).</w:t>
      </w:r>
    </w:p>
    <w:p w14:paraId="0B0593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FF780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А.И.Ш. писал секр. МК ВКП(б) Щербакову о том, что был подписан приказ совместно с Нач. ГУ ВВС тов. П.В.Рычаговым от 4 октября, предусматривающий жесткую стандартизацию и типизацию объектов вооружения на 1941. Этот приказ запретил ГК устанавливать на опытные машины агрегаты вооружения, не прошедшие гос. испытаний. Поученные НКАП доклады и справки говорят, что не все заводы (например, 22 и 32) и ГК следуют этому приказу и имеют свои собственные группы по вооружению (1178).</w:t>
      </w:r>
    </w:p>
    <w:p w14:paraId="05028AD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D94B3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года на НИП АВ ВВС проходили полигонные испытания пяти турельных и пяти синхронных пулеметов "ШКАС" калибра 7,62 мм, изготовленных валовым порядком в 1940 году, которые проходили с 9 сентября 1940.</w:t>
      </w:r>
    </w:p>
    <w:p w14:paraId="5CC8F9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9 сентября 1940 года</w:t>
      </w:r>
    </w:p>
    <w:p w14:paraId="251782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25 октября 1940 года</w:t>
      </w:r>
    </w:p>
    <w:p w14:paraId="11FB35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6D2D2B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Ивашечкин</w:t>
      </w:r>
    </w:p>
    <w:p w14:paraId="78D85F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1FE1B3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автоматику и живучесть пулеметов при стрельбе на земле и с самолета в воздухе до исчерпания живучести ствольной коробки.</w:t>
      </w:r>
    </w:p>
    <w:p w14:paraId="30A525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A99249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Турельный пулемет "ШКАС" может нормально работать при полной взаимозаменяемости деталей, за исключением ствольной коробки и затыльника, в среднем до 35000-40000 выстрелов.</w:t>
      </w:r>
    </w:p>
    <w:p w14:paraId="701D302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Синхронный пулемет "ШКАС" может нормально работать при полной взаимозаменяемости деталей, за исключением ствольной коробки и затыльника, в среднем до 20000-25000 выстрелов (7434).</w:t>
      </w:r>
    </w:p>
    <w:p w14:paraId="2ACC778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0112FE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25 октября 1940 г. закончились испытания, которые проходили с 1 мая и всего по отстреляли 1000 снарядов с АМ-А, и все также было без проблем. Таким образом, причину происшедшего Всего на испытаниях следовало искать в неисправности либо мембраны АМ-А, либо в двигателях ракетных снарядов. Сегодня до-|казано, что РС могут сталкиваться друг с другом на траектории, а тогда эта гипотеза даже не принималась к рассмотрению. При стрельбе скорость снарядов достигала 430-450 м/с (с учетом скорости самолета), наблюдатели утверждали, что взрывались именно БЧ. Контрольный отстрел на земле из двух РО, расположенных в 200 мм друг относительно друга ничего не дал. поскольку снаряды подействовали формально. Производство взрывателей АМ-А было налажено на заводе № 369, дистанционных трубок АГДТ — на заводе № 42 имени Масленникова (Куйбышев). Специального взрывателя к ракетным снарядам так и не появилось, но в продолжение развития </w:t>
      </w:r>
      <w:r w:rsidRPr="00A3026E">
        <w:rPr>
          <w:rFonts w:ascii="Times New Roman" w:hAnsi="Times New Roman"/>
          <w:color w:val="000000" w:themeColor="text1"/>
          <w:sz w:val="16"/>
          <w:szCs w:val="16"/>
        </w:rPr>
        <w:lastRenderedPageBreak/>
        <w:t>дистанционные трубки АГДТ-А модели 4-061 и АГДТ-Б модели 4-062 получили в 1940 г. На заводе № 42 име</w:t>
      </w:r>
      <w:r w:rsidRPr="00A3026E">
        <w:rPr>
          <w:rFonts w:ascii="Times New Roman" w:hAnsi="Times New Roman"/>
          <w:color w:val="000000" w:themeColor="text1"/>
          <w:sz w:val="16"/>
          <w:szCs w:val="16"/>
        </w:rPr>
        <w:softHyphen/>
        <w:t>ни Масленникова их доработали, унифицировав отдельные детали с «бомбовым взрывателем» АВ-1 и артиллерийской дистанционной трубкой Т-ЗУГ. Кроме того, передаточный заряд с засыпкой пороха за</w:t>
      </w:r>
      <w:r w:rsidRPr="00A3026E">
        <w:rPr>
          <w:rFonts w:ascii="Times New Roman" w:hAnsi="Times New Roman"/>
          <w:color w:val="000000" w:themeColor="text1"/>
          <w:sz w:val="16"/>
          <w:szCs w:val="16"/>
        </w:rPr>
        <w:softHyphen/>
        <w:t>менили пороховыми столбиками. От заводских военных представителей заказчика потребовали обязательной проверки прочности крепления усов к крыльчаткам, времени горения пиротехнического состава при установке АГДТ на ограничитель, а также полигонных испытаний 10 трубок от каждой партии посредством отстрела РС с наземного стенда и установке АГДТ на ограничитель. Тем не менее, весь “набор сюрпризов”не помешал трубкам семейства АГДТ просуществовать на вооружении более 15 лет, благодаря простоте конструкции (11402).</w:t>
      </w:r>
    </w:p>
    <w:p w14:paraId="50BEB5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F39B859"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г. Постановлением Политбюро ЦК ВКП(б) № П 21/336 - ОП «Об отпуске средств НКАП» предписывалось выделить этому наркомату «из резервного фонда СНК СССР аванс на покрытие расходов, связанных с пуском и эксплуатацией объекта «600» в 1940 г., 16 млн рублей и 375 тысяч американских долларов».</w:t>
      </w:r>
    </w:p>
    <w:p w14:paraId="2461FF55"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данным М.Ю. Мухина, несмотря на то, что завод № 600 официально еще не был принят в эксплуатацию, «на 1941 г. ему уже назначили план по сборке и облету 143 самолетов И-16 (тип 24), которые предназначались для последующего перегона вглубь Китая»43. Но в связи с последующем отказом китайских властей от участия в строительстве завода, его продукция после начала Великой Отечественной войны поставлялась в СССР (18261).</w:t>
      </w:r>
    </w:p>
    <w:p w14:paraId="5E8D20EA" w14:textId="77777777" w:rsidR="006A4FB6" w:rsidRPr="00A3026E" w:rsidRDefault="006A4FB6" w:rsidP="00A3026E">
      <w:pPr>
        <w:spacing w:after="0" w:line="240" w:lineRule="auto"/>
        <w:jc w:val="both"/>
        <w:rPr>
          <w:rFonts w:ascii="Times New Roman" w:hAnsi="Times New Roman"/>
          <w:color w:val="000000" w:themeColor="text1"/>
          <w:sz w:val="16"/>
          <w:szCs w:val="16"/>
        </w:rPr>
      </w:pPr>
    </w:p>
    <w:p w14:paraId="6734A452"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г. Постановлением Политбюро ЦК ВКП(б) № П 21/336 – ОП «Об отпуске средств НКАП» предписывалось выделить этому наркомату «из резервного фонда СНК СССР аванс на покрытие расходов, связанных с пуском и эксплуатацией объекта «600» в 1940 г., 16 млн рублей и 375 тысяч американских долларов».</w:t>
      </w:r>
    </w:p>
    <w:p w14:paraId="6990CC88"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данным М.Ю. Мухина, несмотря на то, что завод № 600 официально еще не был принят в эксплуатацию, «на 1941 г. ему уже назначили план по сборке и облету 143 самолетов И-16 (тип 24), которые предназначались для последующего перегона вглубь Китая»43. Но в связи с последующем отказом китайских властей от участия в строительстве завода, его продукция после начала Великой Отечественной войны поставлялась в СССР.</w:t>
      </w:r>
    </w:p>
    <w:p w14:paraId="73036913"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А. Демину, еще в конце 1937 г. в Китае начались работы по копированию советских самолетов. Можно предположить изготовление свыше 60 экземпляров трех типов самолетов в Китае по советским аналогам в конце 1930-х – начале 1940-х годов, что говорит о влиянии советских конструкций на китайское самолетостроение того периода (18512).</w:t>
      </w:r>
    </w:p>
    <w:p w14:paraId="64E2FEC7" w14:textId="77777777" w:rsidR="006A4FB6" w:rsidRPr="00A3026E" w:rsidRDefault="006A4FB6" w:rsidP="00A3026E">
      <w:pPr>
        <w:spacing w:after="0" w:line="240" w:lineRule="auto"/>
        <w:jc w:val="both"/>
        <w:rPr>
          <w:rFonts w:ascii="Times New Roman" w:hAnsi="Times New Roman"/>
          <w:color w:val="000000" w:themeColor="text1"/>
          <w:sz w:val="16"/>
          <w:szCs w:val="16"/>
        </w:rPr>
      </w:pPr>
    </w:p>
    <w:p w14:paraId="73550250"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1F46B81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7111C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года директиве зам. наркома обороны №76791 об испытании первых трех серийных машин Т-34 (3862).</w:t>
      </w:r>
    </w:p>
    <w:p w14:paraId="666FF1C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F9C3616"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г. заместителем народного комиссара обороны СССР маршалом Советского Союза Г.И. Куликом была издана </w:t>
      </w:r>
      <w:hyperlink r:id="rId51" w:tgtFrame="_blank" w:history="1">
        <w:r w:rsidRPr="00A3026E">
          <w:rPr>
            <w:rStyle w:val="a5"/>
            <w:rFonts w:ascii="Times New Roman" w:hAnsi="Times New Roman"/>
            <w:color w:val="000000" w:themeColor="text1"/>
            <w:sz w:val="16"/>
            <w:szCs w:val="16"/>
          </w:rPr>
          <w:t>директива № 76791с</w:t>
        </w:r>
      </w:hyperlink>
      <w:r w:rsidRPr="00A3026E">
        <w:rPr>
          <w:rFonts w:ascii="Times New Roman" w:hAnsi="Times New Roman"/>
          <w:color w:val="000000" w:themeColor="text1"/>
          <w:sz w:val="16"/>
          <w:szCs w:val="16"/>
        </w:rPr>
        <w:t> о проведении НИ полигоном ГАБТУ КА в период с 27 октября по 27 ноября 1940 г. испытания длительным пробегом трех полностью укомплектованных танков Т-34. Этой директивой, адресованной ряду начальников управлений Красной Армии и командующих военными округами, для обеспечения испытаний предписывалось: </w:t>
      </w:r>
    </w:p>
    <w:p w14:paraId="56D3EA6B"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Начальнику ГАБТУ КА выделить для испытания: </w:t>
      </w:r>
    </w:p>
    <w:p w14:paraId="1AD4F19A"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3 серийных танка Т-34 со всеми доработками и установкой радиостанции в носовой части танка. </w:t>
      </w:r>
    </w:p>
    <w:p w14:paraId="7645558B"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3 автомашины ЗИС-5. </w:t>
      </w:r>
    </w:p>
    <w:p w14:paraId="5CEFA2F7"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Обеспечить пробег запчастями и резиной машин сопровождения. </w:t>
      </w:r>
    </w:p>
    <w:p w14:paraId="704BC61A"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Командующему Харьковского Военного Округа обеспечить испытание матчастью и личным составом по следующему расчету: </w:t>
      </w:r>
    </w:p>
    <w:p w14:paraId="25FBD4A0"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Экипажи танков Т-34: </w:t>
      </w:r>
    </w:p>
    <w:p w14:paraId="4918B74C"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 взвода – 1 </w:t>
      </w:r>
    </w:p>
    <w:p w14:paraId="543CA8CA"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Мех. водитель – 1 </w:t>
      </w:r>
    </w:p>
    <w:p w14:paraId="3624207B"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Радистов – 2 </w:t>
      </w:r>
    </w:p>
    <w:p w14:paraId="22FED305"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Водителей автомашин – 4 </w:t>
      </w:r>
    </w:p>
    <w:p w14:paraId="24F23378"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Командир летучки – 1 </w:t>
      </w:r>
    </w:p>
    <w:p w14:paraId="7AAD5576"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Весь личный состав должен быть снабжен табельным спецобмундированием. </w:t>
      </w:r>
    </w:p>
    <w:p w14:paraId="66B48C05"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Матчасть. </w:t>
      </w:r>
    </w:p>
    <w:p w14:paraId="376C9B45"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Бензоцистерн ЗИС-5 – 2 </w:t>
      </w:r>
    </w:p>
    <w:p w14:paraId="5C8D7EC8"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Летучки типа "Б" – 1 </w:t>
      </w:r>
    </w:p>
    <w:p w14:paraId="3B459AE5"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Автобус ГАЗ-АА – 1 </w:t>
      </w:r>
    </w:p>
    <w:p w14:paraId="78540DAB"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Авто-кухня – 1 </w:t>
      </w:r>
    </w:p>
    <w:p w14:paraId="4B9D4817"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Экипажи боевых машин должны быть укомплектованы к 25.10.40 г. </w:t>
      </w:r>
    </w:p>
    <w:p w14:paraId="6BE374A4"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Обеспечивающие машины должны быть сосредоточены в г. Харьков к 25.10.40 г. </w:t>
      </w:r>
    </w:p>
    <w:p w14:paraId="0FFEB310"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Командующему Западного Военного Округа выделить на укомплектование экипажей танков Т-34 3-х хорошо подготовленных артиллеристов с танков Т-28, знающих систему Л-10, которых направить в распоряжение Начальника АБТВ ХВО к 25.10.40 г. Личный состав должен быть обеспечен табельным спецобмундированием. </w:t>
      </w:r>
    </w:p>
    <w:p w14:paraId="39282D7A"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Начальнику УНА КА обеспечить испытание боеприпасами: </w:t>
      </w:r>
    </w:p>
    <w:p w14:paraId="556571CB"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снарядов для 76 мм. пушки – 300 шт. </w:t>
      </w:r>
    </w:p>
    <w:p w14:paraId="2FCB55BC"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патронов для пулеметов ДТ – 6000 шт. </w:t>
      </w:r>
    </w:p>
    <w:p w14:paraId="26A4D0BC"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Начальнику УСГ КА обеспечить испытание горючим, смазочным и обтирочным материалами согласно заявке НИ Полгона ГАБТУ КА. </w:t>
      </w:r>
    </w:p>
    <w:p w14:paraId="1BE8820F"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Начальнику Управления Продовольственного Снабжения КА выделить для всего состава пробега (42 чел.) полуторные танковые пайки за наличный расчет. Рядовому и мл. начсоставу установить кормовой оклад в сумме 10 руб. в сутки. </w:t>
      </w:r>
    </w:p>
    <w:p w14:paraId="41D2310C"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Начальнику Финансового Управления КА произвести оплату командировки личного состава пробега из расчета 3 % месячного оклада в сутки. </w:t>
      </w:r>
    </w:p>
    <w:p w14:paraId="37B06AA8"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Начальнику Управления Вещевого Снабжения КА выделить для участников пробега спецодежду и полотняные палатки согласно заявке НИ Полигона ГАБТУ КА и Округов. </w:t>
      </w:r>
    </w:p>
    <w:p w14:paraId="05F88BF2"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Подготовку к испытаниям закончить к 25.10.40 г. Отчет об испытаниях представить мне через 15 дней по окончании пробега».</w:t>
      </w:r>
    </w:p>
    <w:p w14:paraId="2B1D7F62"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1182. Л. 4 – 5]</w:t>
      </w:r>
    </w:p>
    <w:p w14:paraId="25AC9C7C"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Программа полигонных испытаний трех танков Т-34, составленная НИ полигоном в ГАБТУ КА была немного отредактирована – из программы был исключён раздел, касавшийся испытаний с подрывом противотанковых мин, а также сокращен срок представления отчета после окончания испытания с 15 до 10 дней. На первом листе программы начальник ГАБТУ КА Я.Н. Федоренко 26 октября 1940 г. размашистым подчерком наложил резолюцию: </w:t>
      </w:r>
    </w:p>
    <w:p w14:paraId="69FBF844"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Пройти не менее 3000 км. </w:t>
      </w:r>
    </w:p>
    <w:p w14:paraId="027043E4"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Движение совершать с закрытыми люками за исключением населенных пунктов. </w:t>
      </w:r>
    </w:p>
    <w:p w14:paraId="27E9269F"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Стрельбы проводить тоже с закрытыми люками, как верхним, так и водительским. </w:t>
      </w:r>
    </w:p>
    <w:p w14:paraId="367B5C5C"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Начало марша 30 октября 1940 г.».</w:t>
      </w:r>
    </w:p>
    <w:p w14:paraId="3593018D"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1181. Л. 354] (18173).</w:t>
      </w:r>
    </w:p>
    <w:p w14:paraId="63AF46AD" w14:textId="77777777" w:rsidR="006A4FB6" w:rsidRPr="00A3026E" w:rsidRDefault="006A4FB6" w:rsidP="00A3026E">
      <w:pPr>
        <w:spacing w:after="0" w:line="240" w:lineRule="auto"/>
        <w:jc w:val="both"/>
        <w:rPr>
          <w:rFonts w:ascii="Times New Roman" w:hAnsi="Times New Roman"/>
          <w:color w:val="000000" w:themeColor="text1"/>
          <w:sz w:val="16"/>
          <w:szCs w:val="16"/>
        </w:rPr>
      </w:pPr>
    </w:p>
    <w:p w14:paraId="56374D7D"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г.</w:t>
      </w:r>
    </w:p>
    <w:p w14:paraId="22A48ACE"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1182 листы 4 – 5 </w:t>
      </w:r>
    </w:p>
    <w:p w14:paraId="1D6DC4E0"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17267628"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1 </w:t>
      </w:r>
    </w:p>
    <w:p w14:paraId="398F9986"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25 Октября 1940 г. </w:t>
      </w:r>
    </w:p>
    <w:p w14:paraId="55017DF9"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76791с </w:t>
      </w:r>
    </w:p>
    <w:p w14:paraId="354AA08F"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ГАБТУ КРАСНОЙ АРМИИ</w:t>
      </w:r>
    </w:p>
    <w:p w14:paraId="0AFE6565"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УНА КРАСНОЙ АРМИИ</w:t>
      </w:r>
    </w:p>
    <w:p w14:paraId="5C848631"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УГС КРАСНОЙ АРМИИ</w:t>
      </w:r>
    </w:p>
    <w:p w14:paraId="631CEFF9"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УПРАВЛЕНИЯ ПРОДСНАБЖЕНИЯ КРАСНОЙ АРМИИ</w:t>
      </w:r>
    </w:p>
    <w:p w14:paraId="682F0C0E"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УПРАВЛЕНИЯ ВЕЩЕВОГО СНАБЖЕНИЯ КРАСНОЙ АРМИИ</w:t>
      </w:r>
    </w:p>
    <w:p w14:paraId="6FEE64CD"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ФИНАНСОВОГО УПРАВЛЕНИЯ КРАСНОЙ АРМИИ</w:t>
      </w:r>
    </w:p>
    <w:p w14:paraId="279E0602"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КОМАНДУЮЩЕМУ ХВО</w:t>
      </w:r>
    </w:p>
    <w:p w14:paraId="7459462D"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КОМАНДУЮЩЕМУ ЗАПОВО</w:t>
      </w:r>
    </w:p>
    <w:p w14:paraId="1FE6292E"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С 27.10. по 27.11.40 г. НИ Полигону ГАБТУ КА провести испытание длительным пробегом трех полностью укомплектованных танков Т-34. </w:t>
      </w:r>
    </w:p>
    <w:p w14:paraId="5BC694DD"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ЦЕЛЬ ИСПЫТАНИЯ. </w:t>
      </w:r>
    </w:p>
    <w:p w14:paraId="6C49C33D"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Проверить боевые качества и надежность танков в условиях длительного пробега. </w:t>
      </w:r>
    </w:p>
    <w:p w14:paraId="64D3FD02"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Выявить потребность и номенклатуру запчастей. </w:t>
      </w:r>
    </w:p>
    <w:p w14:paraId="339E2DB0"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Установить необходимый минимум потребного инструмента и укладок ЗИПа. </w:t>
      </w:r>
    </w:p>
    <w:p w14:paraId="564B8B5C"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Выявить удобство обслуживания и полевого ремонта. </w:t>
      </w:r>
    </w:p>
    <w:p w14:paraId="2B2E1AC5"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II. ОБЪЕМ ИСПЫТАНИЙ. </w:t>
      </w:r>
    </w:p>
    <w:p w14:paraId="22C5C2F2"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Пробег колонны на дистанцию 3000 км. из них: </w:t>
      </w:r>
    </w:p>
    <w:p w14:paraId="17D48D6A"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различным дорогам 2000 км. </w:t>
      </w:r>
    </w:p>
    <w:p w14:paraId="5041EAA2"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бездорожью с преодолением естественных препятствий 1000 км. </w:t>
      </w:r>
    </w:p>
    <w:p w14:paraId="0BD31B80"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Маршрут и график пробега разрабатываются НИ Полигоном ГАБТУ КА и утверждаются Начальником ГАБТУ КА. </w:t>
      </w:r>
    </w:p>
    <w:p w14:paraId="3CD2BE63"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За время пробега провести три боевых стрельбы с решением тактических задач. Программы стрельб разрабатываются НИ Полигоном и утверждаются Начальником ГАБТУ КА. </w:t>
      </w:r>
    </w:p>
    <w:p w14:paraId="7BDEC157"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III. ОБЕСПЕЧЕНИЕ ИСПЫТАНИЙ. </w:t>
      </w:r>
    </w:p>
    <w:p w14:paraId="2BAC1D98"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Начальнику ГАБТУ КА выделить для испытания: </w:t>
      </w:r>
    </w:p>
    <w:p w14:paraId="04F814C8"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3 серийных танка Т-34 со всеми доработками и установкой радиостанции в носовой части танка. </w:t>
      </w:r>
    </w:p>
    <w:p w14:paraId="3C41F7DA"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3 автомашины ЗИС-5. </w:t>
      </w:r>
    </w:p>
    <w:p w14:paraId="49CE2CB4"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Обеспечить пробег запчастями и резиной машин сопровождения. </w:t>
      </w:r>
    </w:p>
    <w:p w14:paraId="0595CC50"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Командующему Харьковского Военного Округа обеспечить испытание матчастью и личным составом по следующему расчеты: </w:t>
      </w:r>
    </w:p>
    <w:p w14:paraId="5ECBC126"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Экипажи танков Т-34: </w:t>
      </w:r>
    </w:p>
    <w:p w14:paraId="49BDAF76"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Командир взвода – 1 </w:t>
      </w:r>
    </w:p>
    <w:p w14:paraId="0D0127D9"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Мех. водитель – 1 </w:t>
      </w:r>
    </w:p>
    <w:p w14:paraId="00626B7B"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Радистов – 2 </w:t>
      </w:r>
    </w:p>
    <w:p w14:paraId="5AC1F146"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Водителей автомашин – 4 </w:t>
      </w:r>
    </w:p>
    <w:p w14:paraId="5D51EEFC"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Командир летучки – 1 </w:t>
      </w:r>
    </w:p>
    <w:p w14:paraId="2B4A18A2"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Весь личный состав должен быть снабжен табельным спецобмундированием. </w:t>
      </w:r>
    </w:p>
    <w:p w14:paraId="549FC595"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Матчасть. </w:t>
      </w:r>
    </w:p>
    <w:p w14:paraId="106BD0F4"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Бензоцистерн ЗИС-5 – 2 </w:t>
      </w:r>
    </w:p>
    <w:p w14:paraId="133BE2BB"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Летучки типа "Б" – 1 </w:t>
      </w:r>
    </w:p>
    <w:p w14:paraId="7B75DB59"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Автобус ГАЗ-АА – 1 </w:t>
      </w:r>
    </w:p>
    <w:p w14:paraId="736CE71B"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Авто-кухня – 1 </w:t>
      </w:r>
    </w:p>
    <w:p w14:paraId="33EAE7BA"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Экипажи боевых машин должны быть укомплектованы к 25.10.40 г. Обеспечивающие машины должны быть сосредоточены в г. Харьков к 25.10.40 г. </w:t>
      </w:r>
    </w:p>
    <w:p w14:paraId="55C89A38"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Командующему Западного Военного Округа выделить на укомплектование экипажей танков Т-34 3-х хорошо подготовленных артиллеристов с танков Т-28, знающих систему Л-10, которых направить в распоряжение Начальника АБТВ ХВО к 25.10.40 г. </w:t>
      </w:r>
    </w:p>
    <w:p w14:paraId="0BD13368"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Личный состав должен быть обеспечен табельным спецобмундированием. </w:t>
      </w:r>
    </w:p>
    <w:p w14:paraId="73ADE72F"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Начальнику УНА КА обеспечить испытание боеприпасами: </w:t>
      </w:r>
    </w:p>
    <w:p w14:paraId="718ADE12"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снарядов для 76 мм. пушки – 300 шт. </w:t>
      </w:r>
    </w:p>
    <w:p w14:paraId="77765D3C"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винт. патронов для пулеметов ДТ – 6000 шт. </w:t>
      </w:r>
    </w:p>
    <w:p w14:paraId="12E3BB04"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Начальнику УСГ КА обеспечить испытание горючим, смазочным и обтирочным материалами согласно заявке НИ Полгона ГАБТУ КА. </w:t>
      </w:r>
    </w:p>
    <w:p w14:paraId="458A3170"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Начальнику Управления Продовольственного Снабжения КА выделить для всего состава пробега (42 чел.) полуторные танковые пайки за наличный расчет. Рядовому и мл. начсоставу установить кормовой оклад в сумме 10 руб. в сутки. </w:t>
      </w:r>
    </w:p>
    <w:p w14:paraId="61977D3D"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Начальнику Финансового Управления КА произвести оплату командировки личного состава пробега из расчета 3 % месячного оклада в сутки. </w:t>
      </w:r>
    </w:p>
    <w:p w14:paraId="0BAC680D"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Начальнику Управления Вещевого Снабжения КА выделить для участников пробега спецодежду и полотняные палатки согласно заявке НИ Полигона ГАБТУ КА и Округов. </w:t>
      </w:r>
    </w:p>
    <w:p w14:paraId="70207ADC"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Подготовку к испытаниям закончить к 25.10.40 г. </w:t>
      </w:r>
    </w:p>
    <w:p w14:paraId="29163658"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Отчет об испытаниях представить мне через 15 дней по окончании пробега. </w:t>
      </w:r>
    </w:p>
    <w:p w14:paraId="542FA183"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МАРШАЛ СОВЕТСКОГО СОЮЗА подпись (Г. КУЛИК)</w:t>
      </w:r>
    </w:p>
    <w:p w14:paraId="42540CBC" w14:textId="77777777" w:rsidR="006A4FB6" w:rsidRPr="00A3026E" w:rsidRDefault="006A4F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документе помета: «Нач. секр. части. Копию послать НИ Полигону. 12/XI подпись С.А. Афонина» (18179).</w:t>
      </w:r>
    </w:p>
    <w:p w14:paraId="2D796296" w14:textId="77777777" w:rsidR="006A4FB6" w:rsidRPr="00A3026E" w:rsidRDefault="006A4FB6" w:rsidP="00A3026E">
      <w:pPr>
        <w:spacing w:after="0" w:line="240" w:lineRule="auto"/>
        <w:jc w:val="both"/>
        <w:rPr>
          <w:rFonts w:ascii="Times New Roman" w:hAnsi="Times New Roman"/>
          <w:color w:val="000000" w:themeColor="text1"/>
          <w:sz w:val="16"/>
          <w:szCs w:val="16"/>
        </w:rPr>
      </w:pPr>
    </w:p>
    <w:p w14:paraId="24C7E9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г. согласно директиве НКО СССР от три новых серийных танка Т-34 с 31 октября по 7 декабря 1940 г. были подвергнуты контрольным испытаниям — длительному пробегу с отрывом от базы и отстрелом огневых задач. За 14 ходовых дней они прошли 2680 км по маршруту Харьков-Серпухов-Смоленск-Киев-Харьков, израсходовав 129 часов моторесурса. «Выводы комиссии были неожиданными и неутешительными. По ее мнению, Т-34 не удовлетворял современным требованиям к данному классу танков по следующим причинам: а) огневая мощь танка не могла быть использована полностью вследствие непригодности приборов наблюдения, дефектов установки вооружения и оптики, тесноты боевого отделения и неудобства пользования боеукладкой; б) при достаточном запасе мощности дизеля максимальные скорости и динамическая характеристика танка подобраны неудачно, что снижает скоростные показатели и проходимость танка; в) тактическое использование танка в отрыве от ремонтных баз невозможно вследствие ненадежности основных узлов — главного фрикциона и ходовой части. Выводы комиссии были рассмотрены на Военном Совете и утверждены Маршалом Советского Союза Г.И. Куликом. Военпредам завода было дано указание прекратить приемку танков Т-34 и возобновить приемку танков БТ-7М с пушкой КТ-26» [126, с. 191-192]. Руководство завода с этим не согласилось и добилось компромиссного решения: выпуск Т-34 с сокращенным до 1000 км гарантийным пробегом временно продолжить, но начать срочную модернизацию танка. В течение нескольких месяцев КБ А. А. Морозова разработало Т-34М. «Тридцатьчетверкой» машину назвали по недоразумению, ибо была она совершенно иным танком: новый корпус, башня улучшенной конструкции, новая компоновка, новая ходовая часть с катками уменьшенного диаметра. Под Т-34М конвейер завода № 183 и начали переоборудовать. Протестов Морозова и главного инженера завода С.Н. Махонина никто не слушал: из полученных бронеплит шла закладка новых корпусов, во всех цехах началось изготовление новых узлов и деталей. С неотработанными чертежами и без испытаний опытного образца, которого в металле просто не существовало (11438).</w:t>
      </w:r>
    </w:p>
    <w:p w14:paraId="2459ECB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7090641"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 октября 1940 г.</w:t>
      </w:r>
    </w:p>
    <w:p w14:paraId="3041D950"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Телеграмма М.М. Гусева А.Д. Крутикову о переговорах по получению данных о новых военных изобретениях в США № 11366</w:t>
      </w:r>
    </w:p>
    <w:p w14:paraId="693A8E14"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 октября 1940 г.</w:t>
      </w:r>
    </w:p>
    <w:p w14:paraId="06698211"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Нью-Йорк</w:t>
      </w:r>
    </w:p>
    <w:p w14:paraId="18AF6FC4"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 секретно</w:t>
      </w:r>
    </w:p>
    <w:p w14:paraId="1D5F5E6A"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Экз. № 3</w:t>
      </w:r>
    </w:p>
    <w:p w14:paraId="6EB5C26D"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Тов. Крутикову</w:t>
      </w:r>
    </w:p>
    <w:p w14:paraId="4DF0B919"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Удалось выяснять, что «Мартин» заключил договора с английскими фирмами «Джон Буль Рабер» и «Комбасган Рабер Лимитед» и американскими «Гудрич» и «Бендикс», которые взяли на разработку его изобретение с условием выплаты небольшой суммы вначале до 10 тысяч и по установлении возможности в производстве 21/2 процента со стоимости произведенных шин.</w:t>
      </w:r>
    </w:p>
    <w:p w14:paraId="26F9C455"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Буду вести переговоры по Вашим условиям. Имею предложение двух инженеров дать описание производства и рецептуру самолетов из пластмасс фирм «Гимм» и «Кларк», за работу просят 7500 долларов. Сообщите, следует ли вести переговоры.</w:t>
      </w:r>
    </w:p>
    <w:p w14:paraId="56EDB8F5"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Гусев</w:t>
      </w:r>
    </w:p>
    <w:p w14:paraId="78DD852A"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Помета: Тов. Сталину. Прошу указания по самолету из пластмасс. </w:t>
      </w:r>
    </w:p>
    <w:p w14:paraId="654A8741"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Микоян. 26.10.</w:t>
      </w:r>
    </w:p>
    <w:p w14:paraId="7733B123"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АП РФ. Ф. 3. On. 66. Д. 346. Л. 237. Заверенный дешифрант (21206).</w:t>
      </w:r>
    </w:p>
    <w:p w14:paraId="151F7478" w14:textId="77777777" w:rsidR="00D10176" w:rsidRPr="00A3026E" w:rsidRDefault="00D10176" w:rsidP="00A3026E">
      <w:pPr>
        <w:spacing w:after="0" w:line="240" w:lineRule="auto"/>
        <w:jc w:val="both"/>
        <w:rPr>
          <w:rFonts w:ascii="Times New Roman" w:hAnsi="Times New Roman"/>
          <w:color w:val="0070C0"/>
          <w:sz w:val="16"/>
          <w:szCs w:val="16"/>
        </w:rPr>
      </w:pPr>
    </w:p>
    <w:p w14:paraId="28DA5F81"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25 октября 1940 года когда государственные испытания крейсера Максим Горький все же завершились, то в приемном акте и дополнительном протоколе среди основных недостатков признавались "неотработанность схем ПУС и МПУАЗО" (9921).</w:t>
      </w:r>
    </w:p>
    <w:p w14:paraId="5C8E8E7C" w14:textId="77777777" w:rsidR="00C66762" w:rsidRPr="00A3026E" w:rsidRDefault="00C66762" w:rsidP="00A3026E">
      <w:pPr>
        <w:pStyle w:val="a8"/>
        <w:widowControl/>
        <w:jc w:val="both"/>
        <w:rPr>
          <w:rFonts w:ascii="Times New Roman" w:hAnsi="Times New Roman" w:cs="Times New Roman"/>
          <w:color w:val="000000" w:themeColor="text1"/>
        </w:rPr>
      </w:pPr>
    </w:p>
    <w:p w14:paraId="63FD14D8" w14:textId="77777777" w:rsidR="005C6E99" w:rsidRPr="00A3026E" w:rsidRDefault="005C6E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25 октября 1940 года завершились государственные испытания крейсера«Максим Горький», но в приемном акте и дополнительном протоколе среди основных недостатков признавались «неотработанность схем ПУС и МПУАЗО». Довести автоматику наводки зенитных орудий мешало то, что создатели пушек не справились с задачей управления ими с помощью силовых синхронно-следящих систем, т. е. сами орудия можно было наводить только вручную, по старинке совмещая стрелки на циферблатах. Не оставлялись попытки использовать зарубежный опыт. В.П. Терентьев в составе комиссии адмирала Исакова был командирован в США, но в части артиллерии зенитного калибра и приборов управления стрельбой переговоры оказались безуспешными. Хотя возможность вести огонь, как по морским, так и по воздушным целям, у американских корабельных артиллерийских систем со 127-мм пушками позволяла кардинально разрешить проблему борьбы с самолетами. Важность, сложность и охраняемость этой системы была в то время такова, что на попытку разместить в США заказ на проектирование и постройку для нашего флота эсминцев с универсальной артиллерией, Морское министерство США ответило отказом. В 1939—40 гг. появилась возможность ознакомиться с германским опытом, теперь в составе комиссии Тевосяна. Германия предложила купить недостроенный тяжелый крейсер «Лютцов», а также поставить вооружение с системами управления для советского легкого крейсера проекта-68 и тяжелого – проекта-69, находившихся в постройке. Немецкие конструкторы добились впечатляющих результатов в борьбе с качкой, широко применяя гироскопическую технику для стабилизации постов наводки и самих орудийных платформ. Для усиления работ по гироскопии, проводившихся в ОКБ завода-212 под руководством первого главного конструктора морских артиллерийских гироскопических систем, навигационных приборов и синхронных следящих систем, главк подключил к ним НИИ-10 и завод-205. В Москву был переведен один из лучших уже тогда специалистов В.И. Кузнецов. Его уговаривал переехать сам Тевосян, который к этому моменту уже почти покинул судостроительную промышленность, чтобы возглавить Наркомат черной металлургии. Еще один центр создания гироскопов позднее появился в Саратове, куда в 1941 г. был эвакуирован завод-205 (15736).</w:t>
      </w:r>
    </w:p>
    <w:p w14:paraId="7F158E96" w14:textId="77777777" w:rsidR="005C6E99" w:rsidRPr="00A3026E" w:rsidRDefault="005C6E99" w:rsidP="00A3026E">
      <w:pPr>
        <w:spacing w:after="0" w:line="240" w:lineRule="auto"/>
        <w:jc w:val="both"/>
        <w:rPr>
          <w:rFonts w:ascii="Times New Roman" w:hAnsi="Times New Roman"/>
          <w:color w:val="000000" w:themeColor="text1"/>
          <w:sz w:val="16"/>
          <w:szCs w:val="16"/>
        </w:rPr>
      </w:pPr>
    </w:p>
    <w:p w14:paraId="790C14D0"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5F87675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89592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года ЦК ВКП(б) и СНК СССР было принято Постановление, в котором заводу предлагалось представить для осмотра образец автомобиля «КИМ-10» с измененным кузовом. В первой декаде января 1941 года были проведены первые дорожные испытания опытных образцов четырехдверных КИМ-10-52, которые затем по представлению нового Наркома Среднего Машиностроения В.А.Малышева были предъявлены для осмотра членам Государственной комиссии. С рядом замечаний и новых требований к изменению конструкции автомобиля (касавшихся его приборного щитка) КИМ-10-52 был утвержден к производству. Приказом Наркома Среднего Машиностроения №55 от 23 января 1941 года предусматривалось с 1 июня начать переход на массовый выпуск автомобилей этой модели. В связи с большим объемом работ по модернизации автомобиля КИМ-10-52 первоначальные производственные планы выпуска в очередной раз были скорректированы в сторону уменьшения и до 1 июня 1941 года заводу предписывалось выпустить 500 автомобилей. За два последних месяца 1940 года заводу удалось собрать всего лишь 16 автомобилей. Однако уже в январе 1941 года с конвейера сошло 70 машин, в феврале – 50, в марте – 102, в апреле – очередные 100 автомобилей. Всего с апреля 1940 года до прекращения производства с началом Великой Отечественной войны завод успел собрать в общей сложности всего лишь около 450 автомобилей КИМ-10-50 и КИМ-10-51, а также несколько образцов автомобиля КИМ-10-52 с четырехдверным кузовом. Приказом Наркома Среднего Машиностроения от 8 мая 1941 года срок начала их выпуска переносился на 1 сентября. План производства КИМ-10-52 на IV квартал 1941 года составлял 2800 шт. (10766).</w:t>
      </w:r>
    </w:p>
    <w:p w14:paraId="4D1F8DE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92DD9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734C809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8EDEF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года Постановлением Политбюро ЦК ВКП(б) № П 21/336 – ОП «Об отпуске средств НКАП» предписывалось выделить этому наркомату «из резервного фонда СНК СССР аванс на покрытие расходов, связанных с пуском и эксплуатацией объекта «600»169 в 1940 году, 16 млн рублей и 375 тысяч американских долларов» (РГАСПИ. Ф. 17. Оп. 162. Д. 29. Л. 141.).</w:t>
      </w:r>
    </w:p>
    <w:p w14:paraId="3B0264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данным М.Ю. Мухина, несмотря на то, что завод № 600 официально еще не был принят в эксплуатацию, «на 1941 год ему уже назначили план по сборке и облету 143 самолетов И-16 (тип 24), которые предназначались для последующего перегона вглубь Китая» (Мухин М.Ю. Указ. соч. С. 87.). Но в связи с последующим отказом китайских властей от участия в строительстве завода его продукция после начала Великой Отечественной войны поставлялась в СССР (М.И. Сладковский. История торгово-экономических отношений СССР с Китаем (1917 – 1974). С. 140.) (11672).</w:t>
      </w:r>
    </w:p>
    <w:p w14:paraId="65C5CD1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05AFC2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D88082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00A53A9" w14:textId="77777777" w:rsidR="00D10176" w:rsidRPr="00A3026E" w:rsidRDefault="00D1017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 октября 1940 года 207-я эскадрилья Бомбардировочного Командования RAF - одна из старейших эскадрилий английских ВВС, которая начала свою боевую биографию еще в годы I мировой войны на тяжелых бомбардировщиках Хендли-Пейдж О/400, получила первые Авро Манчестер. К январю 1941 года часть приняла все полагающиеся ей по штату 20 «манчестеров», но к боевой работе приступила лишь 24 февраля (22823).</w:t>
      </w:r>
    </w:p>
    <w:p w14:paraId="77382434" w14:textId="77777777" w:rsidR="00D10176" w:rsidRPr="00A3026E" w:rsidRDefault="00D10176" w:rsidP="00A3026E">
      <w:pPr>
        <w:spacing w:after="0" w:line="240" w:lineRule="auto"/>
        <w:jc w:val="both"/>
        <w:rPr>
          <w:rFonts w:ascii="Times New Roman" w:hAnsi="Times New Roman"/>
          <w:color w:val="0070C0"/>
          <w:sz w:val="16"/>
          <w:szCs w:val="16"/>
        </w:rPr>
      </w:pPr>
    </w:p>
    <w:p w14:paraId="16ACE1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1940 итальянцы совершили налет на Англию, но без большого успеха (2240).</w:t>
      </w:r>
    </w:p>
    <w:p w14:paraId="014F4F2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A9B9FB8"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F4B43E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57946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г. был впервые превращен в воздухе в моноплан летчиком-испытателем ЦАГИ Шияновым Ю.М. экспериментальный самолет "ИС" с М-63, конструкции ОКБ N 30, прошедший основные испытания в биплане. Как первое превращение самолета, так и следующие прошли отлично. Все механизмы работали безотказно. Величины нагрузок в воздухе на механизмы точно совпадают с нашими расчетами. Процесс уборки и выпуска крыльев протекает в течение 7 сек (2876,133).</w:t>
      </w:r>
    </w:p>
    <w:p w14:paraId="389DAAF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B4C2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вышел приказ НКАП N 593c, который в связи с болезнью летчика Папельнушенко П.М. были отменены приказы NN 229с от 25 мая 1940 и 476с от 10 сентября 1940 и для окончания заводских испытаний был назначен л-и завода 289 Федоров В.П. (412,69).</w:t>
      </w:r>
    </w:p>
    <w:p w14:paraId="1884BA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 1</w:t>
      </w:r>
    </w:p>
    <w:p w14:paraId="36E8E6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болезнью летчика-испытателя с-та И-135 тов. ПАПЕЛЬНУШЕНКО П.М. отменить мои приказы NN 229с от 25 мая 1940 и 476с от 10 сентября 1940</w:t>
      </w:r>
    </w:p>
    <w:p w14:paraId="1FD486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 2</w:t>
      </w:r>
    </w:p>
    <w:p w14:paraId="374150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окончания заводских испытаний с-та И-135 назначить летчиком-испытателем этого с-та, летчика з-да № 289 т. ФЕДОРОВА В.П., установив для этой цели месячный срок со дня первого вылета с-та И-35 после ремонта.</w:t>
      </w:r>
    </w:p>
    <w:p w14:paraId="5FBF20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 3</w:t>
      </w:r>
    </w:p>
    <w:p w14:paraId="424084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окончание заводских испытаний с-та И-35 в установленный срок назначить летчику т. ФЕДОРОВУ В.П. дополнительное вознаграждение в размере 20.000 рублей (412,69).</w:t>
      </w:r>
    </w:p>
    <w:p w14:paraId="402A0B0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7F53A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состоялось совещание постоянной комиссии НКАП по рассмотрению эскизных проектов (протокол 15). Рассматривали:</w:t>
      </w:r>
    </w:p>
    <w:p w14:paraId="05C859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одноместного двухмоторного пушечного истребителя ОКО-7 с 2М-90 или М-37 В.К.Таирова. Смешанная конструкция. Центроплан подкладывался под деревянный фюзеляж и отсоединялся при транспортировке. Хотели использовать и как ПБ. Поддержали (1448,168).</w:t>
      </w:r>
    </w:p>
    <w:p w14:paraId="722442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двухместного тяжелого скоростного истребителя ОКО-9 с 4М-107 В.К.Таирова. Трехфюзеляжный металлический свободнонесущий моноплан с 4-107, спаренных по 2 и установленных в носу крайних фюзеляжей. Пилот и стрелок - в среднем фюзеляже и защищены броней. Вооружение: 3хШВАК + 2хШКАС + 2хШКАС на шкворне + 300-400 бомб в перегруз. Не поддержали, т.к. на экипаж и вооружение - только 6% общего полетного веса, нерентабелен, да и дальность не годится ни для и, ни для б. Решили от постройки воздержаться (1448,168).</w:t>
      </w:r>
    </w:p>
    <w:p w14:paraId="7419B7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одноместного двухмоторного ночного истребителя с АМ-37 конструкции и КБ-30 В.В.Никитина. Обычный, но нос начат на 30% хорды крыла, смешанной конструкции с неразъемным крылом, 1 пушка и 4ШКАС. Вывод: "Схема целиком заимствована с американского Скайрокет фирмы Грумман. Самолет строить нецелесообразно, как не отвечающий основным требованиям современных ночных истребителей, т.б., что КБ-30 не располагает производственной базой" (148,182).</w:t>
      </w:r>
    </w:p>
    <w:p w14:paraId="199D82E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AB45A7F" w14:textId="77777777" w:rsidR="006F0594" w:rsidRPr="00A3026E" w:rsidRDefault="006F059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г. вместе с эскизным проектом ОКО-7 в комиссии Б.Н. Юрьева рас</w:t>
      </w:r>
      <w:r w:rsidRPr="00A3026E">
        <w:rPr>
          <w:rFonts w:ascii="Times New Roman" w:hAnsi="Times New Roman"/>
          <w:color w:val="000000" w:themeColor="text1"/>
          <w:sz w:val="16"/>
          <w:szCs w:val="16"/>
        </w:rPr>
        <w:softHyphen/>
        <w:t>сматривался и эскизный проект тяжёлого четырёхмоторного истребителя ОКО-9 4М-107. По схеме он представлял собой трёхфюзеляжный самолёт со спаренными моторами М-107, установленными в носовой части крайних фюзеляжей. Пилот и стрелок-бомбардир размещались в среднем фюзеляже и были защищены броней. Наступательное вооружение включало три пушки ШВАК с</w:t>
      </w:r>
    </w:p>
    <w:p w14:paraId="04008DE9" w14:textId="77777777" w:rsidR="006F0594" w:rsidRPr="00A3026E" w:rsidRDefault="006F0594" w:rsidP="00A3026E">
      <w:pPr>
        <w:spacing w:after="0" w:line="240" w:lineRule="auto"/>
        <w:jc w:val="both"/>
        <w:rPr>
          <w:rStyle w:val="aff0"/>
          <w:rFonts w:ascii="Times New Roman" w:eastAsia="Trebuchet MS" w:hAnsi="Times New Roman" w:cs="Times New Roman"/>
          <w:bCs/>
          <w:color w:val="000000" w:themeColor="text1"/>
          <w:spacing w:val="0"/>
          <w:sz w:val="16"/>
          <w:szCs w:val="16"/>
        </w:rPr>
      </w:pPr>
      <w:r w:rsidRPr="00A3026E">
        <w:rPr>
          <w:rFonts w:ascii="Times New Roman" w:hAnsi="Times New Roman"/>
          <w:color w:val="000000" w:themeColor="text1"/>
          <w:sz w:val="16"/>
          <w:szCs w:val="16"/>
        </w:rPr>
        <w:t xml:space="preserve">запасом 650 снарядов и два пулемёта </w:t>
      </w:r>
      <w:r w:rsidRPr="00A3026E">
        <w:rPr>
          <w:rFonts w:ascii="Times New Roman" w:hAnsi="Times New Roman"/>
          <w:color w:val="000000" w:themeColor="text1"/>
          <w:sz w:val="16"/>
          <w:szCs w:val="16"/>
          <w:lang w:val="en-US"/>
        </w:rPr>
        <w:t>LUKAC</w:t>
      </w:r>
      <w:r w:rsidRPr="00A3026E">
        <w:rPr>
          <w:rFonts w:ascii="Times New Roman" w:hAnsi="Times New Roman"/>
          <w:color w:val="000000" w:themeColor="text1"/>
          <w:sz w:val="16"/>
          <w:szCs w:val="16"/>
        </w:rPr>
        <w:t xml:space="preserve"> с запасом 1100 патронов. Оборони</w:t>
      </w:r>
      <w:r w:rsidRPr="00A3026E">
        <w:rPr>
          <w:rFonts w:ascii="Times New Roman" w:hAnsi="Times New Roman"/>
          <w:color w:val="000000" w:themeColor="text1"/>
          <w:sz w:val="16"/>
          <w:szCs w:val="16"/>
        </w:rPr>
        <w:softHyphen/>
        <w:t>тельное вооружение предусматривало ис</w:t>
      </w:r>
      <w:r w:rsidRPr="00A3026E">
        <w:rPr>
          <w:rFonts w:ascii="Times New Roman" w:hAnsi="Times New Roman"/>
          <w:color w:val="000000" w:themeColor="text1"/>
          <w:sz w:val="16"/>
          <w:szCs w:val="16"/>
        </w:rPr>
        <w:softHyphen/>
        <w:t>пользование спаренных пулемётов Ш</w:t>
      </w:r>
      <w:r w:rsidRPr="00A3026E">
        <w:rPr>
          <w:rFonts w:ascii="Times New Roman" w:hAnsi="Times New Roman"/>
          <w:color w:val="000000" w:themeColor="text1"/>
          <w:sz w:val="16"/>
          <w:szCs w:val="16"/>
          <w:lang w:val="en-US"/>
        </w:rPr>
        <w:t>KAC</w:t>
      </w:r>
      <w:r w:rsidRPr="00A3026E">
        <w:rPr>
          <w:rFonts w:ascii="Times New Roman" w:hAnsi="Times New Roman"/>
          <w:color w:val="000000" w:themeColor="text1"/>
          <w:sz w:val="16"/>
          <w:szCs w:val="16"/>
        </w:rPr>
        <w:t xml:space="preserve"> на шкворне с запасом 2000 патронов. В пере</w:t>
      </w:r>
      <w:r w:rsidRPr="00A3026E">
        <w:rPr>
          <w:rFonts w:ascii="Times New Roman" w:hAnsi="Times New Roman"/>
          <w:color w:val="000000" w:themeColor="text1"/>
          <w:sz w:val="16"/>
          <w:szCs w:val="16"/>
        </w:rPr>
        <w:softHyphen/>
        <w:t>грузочном варианте могли подвешиваться бомбы — 4x100 кг, 6x50 кг или 12x15 кг. Ма</w:t>
      </w:r>
      <w:r w:rsidRPr="00A3026E">
        <w:rPr>
          <w:rFonts w:ascii="Times New Roman" w:hAnsi="Times New Roman"/>
          <w:color w:val="000000" w:themeColor="text1"/>
          <w:sz w:val="16"/>
          <w:szCs w:val="16"/>
        </w:rPr>
        <w:softHyphen/>
        <w:t>ксимальная скорость должна была дости</w:t>
      </w:r>
      <w:r w:rsidRPr="00A3026E">
        <w:rPr>
          <w:rStyle w:val="aff0"/>
          <w:rFonts w:ascii="Times New Roman" w:eastAsia="Trebuchet MS" w:hAnsi="Times New Roman" w:cs="Times New Roman"/>
          <w:bCs/>
          <w:color w:val="000000" w:themeColor="text1"/>
          <w:spacing w:val="0"/>
          <w:sz w:val="16"/>
          <w:szCs w:val="16"/>
        </w:rPr>
        <w:t>гать 720 км/ч. В заключении комиссии отмечалось, что от постройки самолёта следует отказаться</w:t>
      </w:r>
      <w:r w:rsidRPr="00A3026E">
        <w:rPr>
          <w:rStyle w:val="aff0"/>
          <w:rFonts w:ascii="Times New Roman" w:eastAsia="Trebuchet MS" w:hAnsi="Times New Roman" w:cs="Times New Roman"/>
          <w:bCs/>
          <w:color w:val="000000" w:themeColor="text1"/>
          <w:spacing w:val="0"/>
          <w:sz w:val="16"/>
          <w:szCs w:val="16"/>
          <w:vertAlign w:val="superscript"/>
        </w:rPr>
        <w:t>17</w:t>
      </w:r>
      <w:r w:rsidRPr="00A3026E">
        <w:rPr>
          <w:rStyle w:val="aff0"/>
          <w:rFonts w:ascii="Times New Roman" w:eastAsia="Trebuchet MS" w:hAnsi="Times New Roman" w:cs="Times New Roman"/>
          <w:bCs/>
          <w:color w:val="000000" w:themeColor="text1"/>
          <w:spacing w:val="0"/>
          <w:sz w:val="16"/>
          <w:szCs w:val="16"/>
        </w:rPr>
        <w:t>. Проект рассмотрели также в НИИ ВВС и не утвердили, а Таирову пореко</w:t>
      </w:r>
      <w:r w:rsidRPr="00A3026E">
        <w:rPr>
          <w:rStyle w:val="aff0"/>
          <w:rFonts w:ascii="Times New Roman" w:eastAsia="Trebuchet MS" w:hAnsi="Times New Roman" w:cs="Times New Roman"/>
          <w:bCs/>
          <w:color w:val="000000" w:themeColor="text1"/>
          <w:spacing w:val="0"/>
          <w:sz w:val="16"/>
          <w:szCs w:val="16"/>
        </w:rPr>
        <w:softHyphen/>
        <w:t>мендовали работать над ОКО-6 (ОКО-7)</w:t>
      </w:r>
      <w:r w:rsidRPr="00A3026E">
        <w:rPr>
          <w:rStyle w:val="aff0"/>
          <w:rFonts w:ascii="Times New Roman" w:eastAsia="Trebuchet MS" w:hAnsi="Times New Roman" w:cs="Times New Roman"/>
          <w:bCs/>
          <w:color w:val="000000" w:themeColor="text1"/>
          <w:spacing w:val="0"/>
          <w:sz w:val="16"/>
          <w:szCs w:val="16"/>
          <w:vertAlign w:val="superscript"/>
        </w:rPr>
        <w:t>18</w:t>
      </w:r>
      <w:r w:rsidRPr="00A3026E">
        <w:rPr>
          <w:rStyle w:val="aff0"/>
          <w:rFonts w:ascii="Times New Roman" w:eastAsia="Trebuchet MS" w:hAnsi="Times New Roman" w:cs="Times New Roman"/>
          <w:bCs/>
          <w:color w:val="000000" w:themeColor="text1"/>
          <w:spacing w:val="0"/>
          <w:sz w:val="16"/>
          <w:szCs w:val="16"/>
        </w:rPr>
        <w:t>. Отметим, что заданные требования на само</w:t>
      </w:r>
      <w:r w:rsidRPr="00A3026E">
        <w:rPr>
          <w:rStyle w:val="aff0"/>
          <w:rFonts w:ascii="Times New Roman" w:eastAsia="Trebuchet MS" w:hAnsi="Times New Roman" w:cs="Times New Roman"/>
          <w:bCs/>
          <w:color w:val="000000" w:themeColor="text1"/>
          <w:spacing w:val="0"/>
          <w:sz w:val="16"/>
          <w:szCs w:val="16"/>
        </w:rPr>
        <w:softHyphen/>
        <w:t xml:space="preserve">лёт ОКО-9 при наличии моторов с номинальной мощностью в </w:t>
      </w:r>
      <w:r w:rsidRPr="00A3026E">
        <w:rPr>
          <w:rStyle w:val="aff0"/>
          <w:rFonts w:ascii="Times New Roman" w:eastAsia="Trebuchet MS" w:hAnsi="Times New Roman" w:cs="Times New Roman"/>
          <w:bCs/>
          <w:color w:val="000000" w:themeColor="text1"/>
          <w:spacing w:val="0"/>
          <w:sz w:val="16"/>
          <w:szCs w:val="16"/>
        </w:rPr>
        <w:lastRenderedPageBreak/>
        <w:t>1200-1400 л.с. при удельном весе мотора порядка 0,54-0,55 кг/л.с. иначе и не могли быть удовлетворены, как при использовании двух спарок. Последнее давало возможность получить благопри</w:t>
      </w:r>
      <w:r w:rsidRPr="00A3026E">
        <w:rPr>
          <w:rStyle w:val="aff0"/>
          <w:rFonts w:ascii="Times New Roman" w:eastAsia="Trebuchet MS" w:hAnsi="Times New Roman" w:cs="Times New Roman"/>
          <w:bCs/>
          <w:color w:val="000000" w:themeColor="text1"/>
          <w:spacing w:val="0"/>
          <w:sz w:val="16"/>
          <w:szCs w:val="16"/>
        </w:rPr>
        <w:softHyphen/>
        <w:t>ятное сочетание мощности силовой установки и расчетного миделя самолета (15828).</w:t>
      </w:r>
    </w:p>
    <w:p w14:paraId="2450D9F8" w14:textId="77777777" w:rsidR="006F0594" w:rsidRPr="00A3026E" w:rsidRDefault="006F0594" w:rsidP="00A3026E">
      <w:pPr>
        <w:spacing w:after="0" w:line="240" w:lineRule="auto"/>
        <w:jc w:val="both"/>
        <w:rPr>
          <w:rStyle w:val="aff0"/>
          <w:rFonts w:ascii="Times New Roman" w:eastAsia="Trebuchet MS" w:hAnsi="Times New Roman" w:cs="Times New Roman"/>
          <w:bCs/>
          <w:color w:val="000000" w:themeColor="text1"/>
          <w:spacing w:val="0"/>
          <w:sz w:val="16"/>
          <w:szCs w:val="16"/>
        </w:rPr>
      </w:pPr>
    </w:p>
    <w:p w14:paraId="4CC6CD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с письмом № 26/450 Зам. Нач. ОКО Жиганова Зам. Нач. 7 ГУ НКАП Шишкину был направлен Отчет о ДВИЖЕНИИ ОПЫТНЫХ РАБОТ В ОКО ЗАВОДА № 135 на 25 октября 1940 г.</w:t>
      </w:r>
    </w:p>
    <w:p w14:paraId="01B40F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маш..330 (Заказ 360)</w:t>
      </w:r>
    </w:p>
    <w:p w14:paraId="73B28E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Техническая готовность узлов по незаконченным монтажам:</w:t>
      </w:r>
    </w:p>
    <w:p w14:paraId="242160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w:t>
      </w:r>
    </w:p>
    <w:p w14:paraId="2F6DE6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Капот</w:t>
      </w:r>
    </w:p>
    <w:p w14:paraId="262338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Маслорадиатор</w:t>
      </w:r>
    </w:p>
    <w:p w14:paraId="30390B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Маслопроводка</w:t>
      </w:r>
    </w:p>
    <w:p w14:paraId="177981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Водорадиатор</w:t>
      </w:r>
    </w:p>
    <w:p w14:paraId="2B6967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Костыль</w:t>
      </w:r>
    </w:p>
    <w:p w14:paraId="05A766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Козырек</w:t>
      </w:r>
    </w:p>
    <w:p w14:paraId="020349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Кок на винт</w:t>
      </w:r>
    </w:p>
    <w:p w14:paraId="532018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Щитки шасси</w:t>
      </w:r>
    </w:p>
    <w:p w14:paraId="1165D2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 группа</w:t>
      </w:r>
    </w:p>
    <w:p w14:paraId="0A4323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Щели крыла</w:t>
      </w:r>
    </w:p>
    <w:p w14:paraId="4CA691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сих пор не получено: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983732" w:rsidRPr="00A3026E" w14:paraId="0D012DDA" w14:textId="77777777" w:rsidTr="00EA0DA7">
        <w:tc>
          <w:tcPr>
            <w:tcW w:w="5636" w:type="dxa"/>
            <w:tcBorders>
              <w:top w:val="single" w:sz="12" w:space="0" w:color="auto"/>
            </w:tcBorders>
            <w:shd w:val="clear" w:color="auto" w:fill="FFFFFF"/>
          </w:tcPr>
          <w:p w14:paraId="2D3950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Винта ВИШ-61</w:t>
            </w:r>
          </w:p>
        </w:tc>
        <w:tc>
          <w:tcPr>
            <w:tcW w:w="4552" w:type="dxa"/>
            <w:tcBorders>
              <w:top w:val="single" w:sz="12" w:space="0" w:color="auto"/>
            </w:tcBorders>
            <w:shd w:val="clear" w:color="auto" w:fill="FFFFFF"/>
          </w:tcPr>
          <w:p w14:paraId="0AD0F2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 28</w:t>
            </w:r>
          </w:p>
        </w:tc>
      </w:tr>
      <w:tr w:rsidR="00983732" w:rsidRPr="00A3026E" w14:paraId="7105DE5E" w14:textId="77777777" w:rsidTr="00EA0DA7">
        <w:tc>
          <w:tcPr>
            <w:tcW w:w="5636" w:type="dxa"/>
            <w:tcBorders>
              <w:bottom w:val="single" w:sz="12" w:space="0" w:color="auto"/>
            </w:tcBorders>
            <w:shd w:val="clear" w:color="auto" w:fill="FFFFFF"/>
          </w:tcPr>
          <w:p w14:paraId="0148AE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Р-7</w:t>
            </w:r>
          </w:p>
        </w:tc>
        <w:tc>
          <w:tcPr>
            <w:tcW w:w="4552" w:type="dxa"/>
            <w:tcBorders>
              <w:bottom w:val="single" w:sz="12" w:space="0" w:color="auto"/>
            </w:tcBorders>
            <w:shd w:val="clear" w:color="auto" w:fill="FFFFFF"/>
          </w:tcPr>
          <w:p w14:paraId="5C5983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 20</w:t>
            </w:r>
          </w:p>
        </w:tc>
      </w:tr>
    </w:tbl>
    <w:p w14:paraId="0930B4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Мех. Бензиномер “Теленваль” </w:t>
      </w:r>
      <w:r w:rsidRPr="00A3026E">
        <w:rPr>
          <w:rFonts w:ascii="Times New Roman" w:hAnsi="Times New Roman"/>
          <w:color w:val="000000" w:themeColor="text1"/>
          <w:sz w:val="16"/>
          <w:szCs w:val="16"/>
        </w:rPr>
        <w:tab/>
        <w:t>з-д № 213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983732" w:rsidRPr="00A3026E" w14:paraId="0FB527DA" w14:textId="77777777" w:rsidTr="00EA0DA7">
        <w:tc>
          <w:tcPr>
            <w:tcW w:w="5636" w:type="dxa"/>
            <w:tcBorders>
              <w:top w:val="single" w:sz="12" w:space="0" w:color="auto"/>
              <w:bottom w:val="single" w:sz="12" w:space="0" w:color="auto"/>
            </w:tcBorders>
            <w:shd w:val="clear" w:color="auto" w:fill="FFFFFF"/>
          </w:tcPr>
          <w:p w14:paraId="2C88C8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Рация</w:t>
            </w:r>
          </w:p>
        </w:tc>
        <w:tc>
          <w:tcPr>
            <w:tcW w:w="4552" w:type="dxa"/>
            <w:tcBorders>
              <w:top w:val="single" w:sz="12" w:space="0" w:color="auto"/>
              <w:bottom w:val="single" w:sz="12" w:space="0" w:color="auto"/>
            </w:tcBorders>
            <w:shd w:val="clear" w:color="auto" w:fill="FFFFFF"/>
          </w:tcPr>
          <w:p w14:paraId="167132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 203</w:t>
            </w:r>
          </w:p>
        </w:tc>
      </w:tr>
    </w:tbl>
    <w:p w14:paraId="33C694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серийной машины</w:t>
      </w:r>
    </w:p>
    <w:p w14:paraId="6448A9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Продолжается проектирование ВМГ с М-90</w:t>
      </w:r>
    </w:p>
    <w:p w14:paraId="52AA42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smallCaps/>
          <w:color w:val="000000" w:themeColor="text1"/>
          <w:sz w:val="16"/>
          <w:szCs w:val="16"/>
        </w:rPr>
        <w:t xml:space="preserve">Производство: </w:t>
      </w:r>
      <w:r w:rsidRPr="00A3026E">
        <w:rPr>
          <w:rFonts w:ascii="Times New Roman" w:hAnsi="Times New Roman"/>
          <w:color w:val="000000" w:themeColor="text1"/>
          <w:sz w:val="16"/>
          <w:szCs w:val="16"/>
        </w:rPr>
        <w:t>"МН" с мотором М-9О - продолжается изготовление шасси и щитков шасси</w:t>
      </w:r>
    </w:p>
    <w:p w14:paraId="68CAFA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"МН" о мотором м-81 (дублер)</w:t>
      </w:r>
    </w:p>
    <w:p w14:paraId="4DEC42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готовность узлов из числа незаконченных на 25 октября 1940 следующая:</w:t>
      </w:r>
    </w:p>
    <w:p w14:paraId="7BB0AA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Сектор 1-го пилота</w:t>
      </w:r>
    </w:p>
    <w:p w14:paraId="438211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бензокраном</w:t>
      </w:r>
    </w:p>
    <w:p w14:paraId="6FD532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Отопление кабины</w:t>
      </w:r>
    </w:p>
    <w:p w14:paraId="60F3F9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Огнетушитель</w:t>
      </w:r>
    </w:p>
    <w:p w14:paraId="0AAC84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Газоанализатор (крепление)</w:t>
      </w:r>
    </w:p>
    <w:p w14:paraId="176134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Маслобак</w:t>
      </w:r>
    </w:p>
    <w:p w14:paraId="0725D4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 юбкой капота</w:t>
      </w:r>
    </w:p>
    <w:p w14:paraId="5142F4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Внутренний капот</w:t>
      </w:r>
    </w:p>
    <w:p w14:paraId="10BD8A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Запуск мотора</w:t>
      </w:r>
    </w:p>
    <w:p w14:paraId="528345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маслорадиатора</w:t>
      </w:r>
    </w:p>
    <w:p w14:paraId="111D57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 заслонкой маслорад.</w:t>
      </w:r>
    </w:p>
    <w:p w14:paraId="2DB0E1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мотором</w:t>
      </w:r>
    </w:p>
    <w:p w14:paraId="75BDFB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Маслопроводка</w:t>
      </w:r>
    </w:p>
    <w:p w14:paraId="145851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Бензобак в фюзеляже</w:t>
      </w:r>
    </w:p>
    <w:p w14:paraId="1B4D72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Бензопроводка</w:t>
      </w:r>
    </w:p>
    <w:p w14:paraId="052BCF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Выхлопной коллектор</w:t>
      </w:r>
    </w:p>
    <w:p w14:paraId="7CD3F1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Инертные газы</w:t>
      </w:r>
    </w:p>
    <w:p w14:paraId="69DE6C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Наружный капот</w:t>
      </w:r>
    </w:p>
    <w:p w14:paraId="14EE7E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Юбка капота</w:t>
      </w:r>
    </w:p>
    <w:p w14:paraId="1C6C40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Всасывающий патрубок</w:t>
      </w:r>
    </w:p>
    <w:p w14:paraId="7FEF42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Кок и винт</w:t>
      </w:r>
    </w:p>
    <w:p w14:paraId="18DDB4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Люк бензобака</w:t>
      </w:r>
    </w:p>
    <w:p w14:paraId="0C6166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w:t>
      </w:r>
    </w:p>
    <w:p w14:paraId="0FAD5A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Щитки шасси</w:t>
      </w:r>
    </w:p>
    <w:p w14:paraId="08846D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Гидроуправление</w:t>
      </w:r>
    </w:p>
    <w:p w14:paraId="5B7C4D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Крыльевые баки</w:t>
      </w:r>
    </w:p>
    <w:p w14:paraId="4AABFE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Зализы мотора</w:t>
      </w:r>
    </w:p>
    <w:p w14:paraId="434380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также не получено</w:t>
      </w:r>
    </w:p>
    <w:p w14:paraId="0F9C31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Винт АВ-5</w:t>
      </w:r>
    </w:p>
    <w:p w14:paraId="761F22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Заливной бензошприц</w:t>
      </w:r>
    </w:p>
    <w:p w14:paraId="236AB9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Радиатор масл. ОП234</w:t>
      </w:r>
    </w:p>
    <w:p w14:paraId="504CB7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Помпа М-88Р</w:t>
      </w:r>
    </w:p>
    <w:p w14:paraId="2A1915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Планер для стат. испытаний.</w:t>
      </w:r>
    </w:p>
    <w:p w14:paraId="1F6BB2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Окончено статиспытание на случай А. В связи с разрушением правого отъема срочно изготовлен левый элерон и щиток для стат. Испытаний совместно с управлением на левом отъеме. Производится подготовка и испытание шасси.</w:t>
      </w:r>
    </w:p>
    <w:p w14:paraId="01BB98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ББ-МАИ</w:t>
      </w:r>
    </w:p>
    <w:p w14:paraId="14CB74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Продолжилось проектирование изменяемых узлов</w:t>
      </w:r>
    </w:p>
    <w:p w14:paraId="5C483D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Запушщено производства руля глубины и стабилизатора (874,74).</w:t>
      </w:r>
    </w:p>
    <w:p w14:paraId="5A65DB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0B476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г. состоялась первая уборка крыла ИС-1 в воздухе, причем механизм работал безупречно. ИС-1, управляемый Шияновым, в полете сопровождал Шевченко на И-15бис и лично сфотографировал процесс превращения биплана в моноплан. Хотя в процессе испытаний на земле на ИС-1 было выполнено 530 уборок нижнего крыла без малейших неполадок, опасения в удачном исходе событий при нахождении самолета в воздухе имелись. Заместитель народного комиссара по опытному самолетостроению А.С.Яковлев вызвал ведущего испытания летчика Г.М.Шиянова и приказал ему при малейшей опасности или сомнении покинуть самолет с парашютом. До конца года ИС-1 совершил 21 полет с общим налетом 6 часов 30 минут, при этом 10 раз производилась уборка крыльев в воздухе, которая занимала 6-7 секунд. Шиянов, выполнивший 13 полетов, в своем заключении от 9 января 1941 г. докладывал, что самолет прост в пилотировании, плотно сидит в воздухе (11966).</w:t>
      </w:r>
    </w:p>
    <w:p w14:paraId="763CDD1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7FBD6A4" w14:textId="77777777" w:rsidR="006F0594" w:rsidRPr="00A3026E" w:rsidRDefault="006F0594"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26 октября </w:t>
      </w:r>
      <w:r w:rsidRPr="00A3026E">
        <w:rPr>
          <w:rFonts w:ascii="Times New Roman" w:hAnsi="Times New Roman"/>
          <w:color w:val="000000" w:themeColor="text1"/>
          <w:sz w:val="16"/>
          <w:szCs w:val="16"/>
        </w:rPr>
        <w:t>в 1940 году первое складывание нижнего крыла в полете, складной истребитель «ИС» конструкции В.В.Шевченко и В.В.Никитина, летчик Г.М.Шиянов (14811).</w:t>
      </w:r>
    </w:p>
    <w:p w14:paraId="3366061B" w14:textId="77777777" w:rsidR="006F0594" w:rsidRPr="00A3026E" w:rsidRDefault="006F0594" w:rsidP="00A3026E">
      <w:pPr>
        <w:spacing w:after="0" w:line="240" w:lineRule="auto"/>
        <w:jc w:val="both"/>
        <w:rPr>
          <w:rFonts w:ascii="Times New Roman" w:hAnsi="Times New Roman"/>
          <w:color w:val="000000" w:themeColor="text1"/>
          <w:sz w:val="16"/>
          <w:szCs w:val="16"/>
        </w:rPr>
      </w:pPr>
    </w:p>
    <w:p w14:paraId="6C04F9F2" w14:textId="77777777" w:rsidR="008549B0" w:rsidRPr="00A3026E" w:rsidRDefault="008549B0"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26 октября 1940 Г.М. Шиянов провёл главное испытание — убрал в полёте нижнее крыло. Он сделал это дважды, а на следующий день повторил эксперимент. Шевченко докладывал наркому авиапромышленности Шахурину: «Самолёт „ИС“ ОКБ № 30 после предварительных испытаний в биплане и ряда доводок в связи с этими испытаниями был впервые 26/Х-40 г. превращен в воздухе лётчиком-испытателем ЦАГИ тов. Шияновым в моноплан. Превращения самолёта из биплана в моноплан как в первый раз, так и в дальнейшем прошли отлично. Все механизмы работали безотказно, нагрузки на механизмы и масляно-пневматическую систему совпадают точно с нашими расчетами» </w:t>
      </w:r>
      <w:hyperlink r:id="rId52" w:history="1">
        <w:r w:rsidRPr="00A3026E">
          <w:rPr>
            <w:rFonts w:ascii="Times New Roman" w:eastAsia="Times New Roman" w:hAnsi="Times New Roman"/>
            <w:color w:val="000000" w:themeColor="text1"/>
            <w:sz w:val="16"/>
            <w:szCs w:val="16"/>
            <w:lang w:eastAsia="ru-RU"/>
          </w:rPr>
          <w:t>[307]</w:t>
        </w:r>
      </w:hyperlink>
      <w:r w:rsidRPr="00A3026E">
        <w:rPr>
          <w:rFonts w:ascii="Times New Roman" w:eastAsia="Times New Roman" w:hAnsi="Times New Roman"/>
          <w:color w:val="000000" w:themeColor="text1"/>
          <w:sz w:val="16"/>
          <w:szCs w:val="16"/>
          <w:lang w:eastAsia="ru-RU"/>
        </w:rPr>
        <w:t xml:space="preserve"> .</w:t>
      </w:r>
    </w:p>
    <w:p w14:paraId="15F5A557" w14:textId="77777777" w:rsidR="008549B0" w:rsidRPr="00A3026E" w:rsidRDefault="008549B0"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lastRenderedPageBreak/>
        <w:t>Но возникла новая проблема: перегревалось масло в двигателе. После безуспешных попыток исправить этот дефект в январе 1941 г. решили заменить двигатель на другой, М-62. В результате самолёт простоял на земле почти пять месяцев, полёты возобновились только 7 мая. Во избежание неприятностей с температурным режимом поставили дополнительный маслорадиатор. Последний вылет ИС-1 состоялся 7 июня 1941 г. (17489).</w:t>
      </w:r>
    </w:p>
    <w:p w14:paraId="0BD4A7CA" w14:textId="77777777" w:rsidR="008549B0" w:rsidRPr="00A3026E" w:rsidRDefault="008549B0" w:rsidP="00A3026E">
      <w:pPr>
        <w:spacing w:after="0" w:line="240" w:lineRule="auto"/>
        <w:jc w:val="both"/>
        <w:rPr>
          <w:rFonts w:ascii="Times New Roman" w:eastAsia="Times New Roman" w:hAnsi="Times New Roman"/>
          <w:color w:val="000000" w:themeColor="text1"/>
          <w:sz w:val="16"/>
          <w:szCs w:val="16"/>
          <w:lang w:eastAsia="ru-RU"/>
        </w:rPr>
      </w:pPr>
    </w:p>
    <w:p w14:paraId="7835B8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при взлете в ветреную погоду перевернулся дублер МБР-7 под управлением л Д.И.Вовка. Работы по МБР-7 прекратились (2555,133).</w:t>
      </w:r>
    </w:p>
    <w:p w14:paraId="3FE6FD8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B99B9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С.Шишкин подготовил справку N 2381 для А.И.Ш. о применении на самолетах моторов М-71 и М-120:</w:t>
      </w:r>
    </w:p>
    <w:p w14:paraId="735D15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М-71:</w:t>
      </w:r>
    </w:p>
    <w:p w14:paraId="551700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 этим мотором в 1940-41 гг. можно получить характеристики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2702"/>
      </w:tblGrid>
      <w:tr w:rsidR="00983732" w:rsidRPr="00A3026E" w14:paraId="2E428518" w14:textId="77777777" w:rsidTr="00EA0DA7">
        <w:tc>
          <w:tcPr>
            <w:tcW w:w="3833" w:type="dxa"/>
            <w:tcBorders>
              <w:top w:val="single" w:sz="12" w:space="0" w:color="auto"/>
            </w:tcBorders>
          </w:tcPr>
          <w:p w14:paraId="6E6F5B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w:t>
            </w:r>
          </w:p>
        </w:tc>
        <w:tc>
          <w:tcPr>
            <w:tcW w:w="3833" w:type="dxa"/>
            <w:tcBorders>
              <w:top w:val="single" w:sz="12" w:space="0" w:color="auto"/>
            </w:tcBorders>
          </w:tcPr>
          <w:p w14:paraId="4119E9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2702" w:type="dxa"/>
            <w:tcBorders>
              <w:top w:val="single" w:sz="12" w:space="0" w:color="auto"/>
            </w:tcBorders>
          </w:tcPr>
          <w:p w14:paraId="1A2C3D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650-665/5000</w:t>
            </w:r>
          </w:p>
        </w:tc>
      </w:tr>
      <w:tr w:rsidR="00983732" w:rsidRPr="00A3026E" w14:paraId="1277A69D" w14:textId="77777777" w:rsidTr="00EA0DA7">
        <w:tc>
          <w:tcPr>
            <w:tcW w:w="3833" w:type="dxa"/>
          </w:tcPr>
          <w:p w14:paraId="48F8C40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833" w:type="dxa"/>
          </w:tcPr>
          <w:p w14:paraId="0A8455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Скороподъемность</w:t>
            </w:r>
          </w:p>
        </w:tc>
        <w:tc>
          <w:tcPr>
            <w:tcW w:w="2702" w:type="dxa"/>
          </w:tcPr>
          <w:p w14:paraId="11DE26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w:t>
            </w:r>
          </w:p>
        </w:tc>
      </w:tr>
      <w:tr w:rsidR="00983732" w:rsidRPr="00A3026E" w14:paraId="0B8F66AE" w14:textId="77777777" w:rsidTr="00EA0DA7">
        <w:tc>
          <w:tcPr>
            <w:tcW w:w="3833" w:type="dxa"/>
          </w:tcPr>
          <w:p w14:paraId="133F8B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p>
        </w:tc>
        <w:tc>
          <w:tcPr>
            <w:tcW w:w="3833" w:type="dxa"/>
          </w:tcPr>
          <w:p w14:paraId="07DD95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2702" w:type="dxa"/>
          </w:tcPr>
          <w:p w14:paraId="5AC9D2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500/5000</w:t>
            </w:r>
          </w:p>
        </w:tc>
      </w:tr>
      <w:tr w:rsidR="00983732" w:rsidRPr="00A3026E" w14:paraId="16592BED" w14:textId="77777777" w:rsidTr="00EA0DA7">
        <w:tc>
          <w:tcPr>
            <w:tcW w:w="3833" w:type="dxa"/>
          </w:tcPr>
          <w:p w14:paraId="1762CC2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833" w:type="dxa"/>
          </w:tcPr>
          <w:p w14:paraId="443E84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с перегр.</w:t>
            </w:r>
          </w:p>
        </w:tc>
        <w:tc>
          <w:tcPr>
            <w:tcW w:w="2702" w:type="dxa"/>
          </w:tcPr>
          <w:p w14:paraId="2D6853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3200-3500</w:t>
            </w:r>
          </w:p>
        </w:tc>
      </w:tr>
      <w:tr w:rsidR="00983732" w:rsidRPr="00A3026E" w14:paraId="5FB2EE9C" w14:textId="77777777" w:rsidTr="00EA0DA7">
        <w:tc>
          <w:tcPr>
            <w:tcW w:w="3833" w:type="dxa"/>
          </w:tcPr>
          <w:p w14:paraId="75F6DA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w:t>
            </w:r>
          </w:p>
        </w:tc>
        <w:tc>
          <w:tcPr>
            <w:tcW w:w="3833" w:type="dxa"/>
          </w:tcPr>
          <w:p w14:paraId="1A2250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у земли</w:t>
            </w:r>
          </w:p>
        </w:tc>
        <w:tc>
          <w:tcPr>
            <w:tcW w:w="2702" w:type="dxa"/>
          </w:tcPr>
          <w:p w14:paraId="317B3B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r>
      <w:tr w:rsidR="00983732" w:rsidRPr="00A3026E" w14:paraId="30F6EA9F" w14:textId="77777777" w:rsidTr="00EA0DA7">
        <w:tc>
          <w:tcPr>
            <w:tcW w:w="3833" w:type="dxa"/>
            <w:tcBorders>
              <w:bottom w:val="single" w:sz="12" w:space="0" w:color="auto"/>
            </w:tcBorders>
          </w:tcPr>
          <w:p w14:paraId="6E78B22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833" w:type="dxa"/>
            <w:tcBorders>
              <w:bottom w:val="single" w:sz="12" w:space="0" w:color="auto"/>
            </w:tcBorders>
          </w:tcPr>
          <w:p w14:paraId="2757A0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на высоте</w:t>
            </w:r>
          </w:p>
        </w:tc>
        <w:tc>
          <w:tcPr>
            <w:tcW w:w="2702" w:type="dxa"/>
            <w:tcBorders>
              <w:bottom w:val="single" w:sz="12" w:space="0" w:color="auto"/>
            </w:tcBorders>
          </w:tcPr>
          <w:p w14:paraId="67B1F4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550-600</w:t>
            </w:r>
          </w:p>
        </w:tc>
      </w:tr>
    </w:tbl>
    <w:p w14:paraId="0B93A0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Сведения о самолетах с М-71</w:t>
      </w:r>
    </w:p>
    <w:p w14:paraId="398B52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Спроектирована установка на 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4619"/>
      </w:tblGrid>
      <w:tr w:rsidR="00983732" w:rsidRPr="00A3026E" w14:paraId="0F670E5E" w14:textId="77777777" w:rsidTr="00EA0DA7">
        <w:tc>
          <w:tcPr>
            <w:tcW w:w="5749" w:type="dxa"/>
            <w:tcBorders>
              <w:top w:val="single" w:sz="12" w:space="0" w:color="auto"/>
            </w:tcBorders>
          </w:tcPr>
          <w:p w14:paraId="30DE38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И-185 М-71</w:t>
            </w:r>
          </w:p>
        </w:tc>
        <w:tc>
          <w:tcPr>
            <w:tcW w:w="4619" w:type="dxa"/>
            <w:tcBorders>
              <w:top w:val="single" w:sz="12" w:space="0" w:color="auto"/>
            </w:tcBorders>
          </w:tcPr>
          <w:p w14:paraId="5827F1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665/5000</w:t>
            </w:r>
          </w:p>
        </w:tc>
      </w:tr>
      <w:tr w:rsidR="00983732" w:rsidRPr="00A3026E" w14:paraId="491E5C57" w14:textId="77777777" w:rsidTr="00EA0DA7">
        <w:tc>
          <w:tcPr>
            <w:tcW w:w="5749" w:type="dxa"/>
          </w:tcPr>
          <w:p w14:paraId="7F9EDF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И-207 М-71</w:t>
            </w:r>
          </w:p>
        </w:tc>
        <w:tc>
          <w:tcPr>
            <w:tcW w:w="4619" w:type="dxa"/>
          </w:tcPr>
          <w:p w14:paraId="0CE1AF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654/5900</w:t>
            </w:r>
          </w:p>
        </w:tc>
      </w:tr>
      <w:tr w:rsidR="00983732" w:rsidRPr="00A3026E" w14:paraId="56EAF7FC" w14:textId="77777777" w:rsidTr="00EA0DA7">
        <w:tc>
          <w:tcPr>
            <w:tcW w:w="5749" w:type="dxa"/>
          </w:tcPr>
          <w:p w14:paraId="2CC948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штурмовиках</w:t>
            </w:r>
          </w:p>
        </w:tc>
        <w:tc>
          <w:tcPr>
            <w:tcW w:w="4619" w:type="dxa"/>
          </w:tcPr>
          <w:p w14:paraId="40E2C6A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CCEDF9F" w14:textId="77777777" w:rsidTr="00EA0DA7">
        <w:tc>
          <w:tcPr>
            <w:tcW w:w="5749" w:type="dxa"/>
          </w:tcPr>
          <w:p w14:paraId="0F3875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ОБШ М-71 (П.О.С.)</w:t>
            </w:r>
          </w:p>
        </w:tc>
        <w:tc>
          <w:tcPr>
            <w:tcW w:w="4619" w:type="dxa"/>
          </w:tcPr>
          <w:p w14:paraId="03F36D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600/5000</w:t>
            </w:r>
          </w:p>
        </w:tc>
      </w:tr>
      <w:tr w:rsidR="00983732" w:rsidRPr="00A3026E" w14:paraId="251CD8BB" w14:textId="77777777" w:rsidTr="00EA0DA7">
        <w:tc>
          <w:tcPr>
            <w:tcW w:w="5749" w:type="dxa"/>
            <w:tcBorders>
              <w:bottom w:val="single" w:sz="12" w:space="0" w:color="auto"/>
            </w:tcBorders>
          </w:tcPr>
          <w:p w14:paraId="17659B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ОБШ 2м-71 (С.В.И.)</w:t>
            </w:r>
          </w:p>
        </w:tc>
        <w:tc>
          <w:tcPr>
            <w:tcW w:w="4619" w:type="dxa"/>
            <w:tcBorders>
              <w:bottom w:val="single" w:sz="12" w:space="0" w:color="auto"/>
            </w:tcBorders>
          </w:tcPr>
          <w:p w14:paraId="30075A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550-575/5000</w:t>
            </w:r>
          </w:p>
        </w:tc>
      </w:tr>
    </w:tbl>
    <w:p w14:paraId="5EB355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бомбардировщиках</w:t>
      </w:r>
    </w:p>
    <w:p w14:paraId="20D95D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ДБ-4 2М-71 (С.В.И.)</w:t>
      </w:r>
      <w:r w:rsidRPr="00A3026E">
        <w:rPr>
          <w:rFonts w:ascii="Times New Roman" w:hAnsi="Times New Roman"/>
          <w:color w:val="000000" w:themeColor="text1"/>
          <w:sz w:val="16"/>
          <w:szCs w:val="16"/>
        </w:rPr>
        <w:tab/>
        <w:t>500/5000</w:t>
      </w:r>
    </w:p>
    <w:p w14:paraId="4DD195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М-120</w:t>
      </w:r>
    </w:p>
    <w:p w14:paraId="7C4FFB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 этим мотором в 1940-41 гг. можно получить характеристики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74"/>
        <w:gridCol w:w="2874"/>
        <w:gridCol w:w="2874"/>
        <w:gridCol w:w="1746"/>
      </w:tblGrid>
      <w:tr w:rsidR="00983732" w:rsidRPr="00A3026E" w14:paraId="13AFD307" w14:textId="77777777" w:rsidTr="00EA0DA7">
        <w:tc>
          <w:tcPr>
            <w:tcW w:w="2874" w:type="dxa"/>
            <w:tcBorders>
              <w:top w:val="single" w:sz="12" w:space="0" w:color="auto"/>
            </w:tcBorders>
          </w:tcPr>
          <w:p w14:paraId="237306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w:t>
            </w:r>
          </w:p>
        </w:tc>
        <w:tc>
          <w:tcPr>
            <w:tcW w:w="2874" w:type="dxa"/>
            <w:tcBorders>
              <w:top w:val="single" w:sz="12" w:space="0" w:color="auto"/>
            </w:tcBorders>
          </w:tcPr>
          <w:p w14:paraId="0ED8BC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2874" w:type="dxa"/>
            <w:tcBorders>
              <w:top w:val="single" w:sz="12" w:space="0" w:color="auto"/>
            </w:tcBorders>
          </w:tcPr>
          <w:p w14:paraId="2BC6D5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660-670/7000</w:t>
            </w:r>
          </w:p>
        </w:tc>
        <w:tc>
          <w:tcPr>
            <w:tcW w:w="1746" w:type="dxa"/>
            <w:tcBorders>
              <w:top w:val="single" w:sz="12" w:space="0" w:color="auto"/>
            </w:tcBorders>
          </w:tcPr>
          <w:p w14:paraId="05EDED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750/12000 с ТК</w:t>
            </w:r>
          </w:p>
        </w:tc>
      </w:tr>
      <w:tr w:rsidR="00983732" w:rsidRPr="00A3026E" w14:paraId="704A54D8" w14:textId="77777777" w:rsidTr="00EA0DA7">
        <w:tc>
          <w:tcPr>
            <w:tcW w:w="2874" w:type="dxa"/>
          </w:tcPr>
          <w:p w14:paraId="5B3F6F8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874" w:type="dxa"/>
          </w:tcPr>
          <w:p w14:paraId="2BA7AD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Скороподъемность</w:t>
            </w:r>
          </w:p>
        </w:tc>
        <w:tc>
          <w:tcPr>
            <w:tcW w:w="2874" w:type="dxa"/>
          </w:tcPr>
          <w:p w14:paraId="5AC148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w:t>
            </w:r>
          </w:p>
        </w:tc>
        <w:tc>
          <w:tcPr>
            <w:tcW w:w="1746" w:type="dxa"/>
          </w:tcPr>
          <w:p w14:paraId="4400DDD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55D1235" w14:textId="77777777" w:rsidTr="00EA0DA7">
        <w:tc>
          <w:tcPr>
            <w:tcW w:w="2874" w:type="dxa"/>
          </w:tcPr>
          <w:p w14:paraId="6EA5CB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p>
        </w:tc>
        <w:tc>
          <w:tcPr>
            <w:tcW w:w="2874" w:type="dxa"/>
          </w:tcPr>
          <w:p w14:paraId="698EB9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2874" w:type="dxa"/>
          </w:tcPr>
          <w:p w14:paraId="23692D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560-625/7000</w:t>
            </w:r>
          </w:p>
        </w:tc>
        <w:tc>
          <w:tcPr>
            <w:tcW w:w="1746" w:type="dxa"/>
          </w:tcPr>
          <w:p w14:paraId="14F4FB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720/12000 с ТК</w:t>
            </w:r>
          </w:p>
        </w:tc>
      </w:tr>
      <w:tr w:rsidR="00983732" w:rsidRPr="00A3026E" w14:paraId="18068B5A" w14:textId="77777777" w:rsidTr="00EA0DA7">
        <w:tc>
          <w:tcPr>
            <w:tcW w:w="2874" w:type="dxa"/>
            <w:tcBorders>
              <w:bottom w:val="single" w:sz="12" w:space="0" w:color="auto"/>
            </w:tcBorders>
          </w:tcPr>
          <w:p w14:paraId="2E903DC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874" w:type="dxa"/>
            <w:tcBorders>
              <w:bottom w:val="single" w:sz="12" w:space="0" w:color="auto"/>
            </w:tcBorders>
          </w:tcPr>
          <w:p w14:paraId="6E9F53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с перегр.</w:t>
            </w:r>
          </w:p>
        </w:tc>
        <w:tc>
          <w:tcPr>
            <w:tcW w:w="2874" w:type="dxa"/>
            <w:tcBorders>
              <w:bottom w:val="single" w:sz="12" w:space="0" w:color="auto"/>
            </w:tcBorders>
          </w:tcPr>
          <w:p w14:paraId="715770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746" w:type="dxa"/>
            <w:tcBorders>
              <w:bottom w:val="single" w:sz="12" w:space="0" w:color="auto"/>
            </w:tcBorders>
          </w:tcPr>
          <w:p w14:paraId="428C362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4E1CC7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Сведения о самолетах с М-120</w:t>
      </w:r>
    </w:p>
    <w:p w14:paraId="413071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Истребителей с этим мотором нет</w:t>
      </w:r>
    </w:p>
    <w:p w14:paraId="7A8C7C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Причина: необычная для нашего конструктора, перевернутая форма мотора, большой габарит, а также опасение к за сроки получения мотора. Установка на и возможна.</w:t>
      </w:r>
    </w:p>
    <w:p w14:paraId="7A86BA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Спроектирована установка на 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2702"/>
      </w:tblGrid>
      <w:tr w:rsidR="00983732" w:rsidRPr="00A3026E" w14:paraId="3D306FA8" w14:textId="77777777" w:rsidTr="00EA0DA7">
        <w:tc>
          <w:tcPr>
            <w:tcW w:w="3833" w:type="dxa"/>
            <w:tcBorders>
              <w:top w:val="single" w:sz="12" w:space="0" w:color="auto"/>
            </w:tcBorders>
          </w:tcPr>
          <w:p w14:paraId="1DB07C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 2М-120ТК</w:t>
            </w:r>
          </w:p>
        </w:tc>
        <w:tc>
          <w:tcPr>
            <w:tcW w:w="3833" w:type="dxa"/>
            <w:tcBorders>
              <w:top w:val="single" w:sz="12" w:space="0" w:color="auto"/>
            </w:tcBorders>
          </w:tcPr>
          <w:p w14:paraId="16B1D2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610/10000</w:t>
            </w:r>
          </w:p>
        </w:tc>
        <w:tc>
          <w:tcPr>
            <w:tcW w:w="2702" w:type="dxa"/>
            <w:tcBorders>
              <w:top w:val="single" w:sz="12" w:space="0" w:color="auto"/>
            </w:tcBorders>
          </w:tcPr>
          <w:p w14:paraId="3EEDA06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CE4F9CE" w14:textId="77777777" w:rsidTr="00EA0DA7">
        <w:tc>
          <w:tcPr>
            <w:tcW w:w="3833" w:type="dxa"/>
          </w:tcPr>
          <w:p w14:paraId="063855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 2М-120ТК</w:t>
            </w:r>
          </w:p>
        </w:tc>
        <w:tc>
          <w:tcPr>
            <w:tcW w:w="3833" w:type="dxa"/>
          </w:tcPr>
          <w:p w14:paraId="3A3E78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625/7000</w:t>
            </w:r>
          </w:p>
        </w:tc>
        <w:tc>
          <w:tcPr>
            <w:tcW w:w="2702" w:type="dxa"/>
          </w:tcPr>
          <w:p w14:paraId="09ACFF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720/12000</w:t>
            </w:r>
          </w:p>
        </w:tc>
      </w:tr>
      <w:tr w:rsidR="00983732" w:rsidRPr="00A3026E" w14:paraId="466D36EE" w14:textId="77777777" w:rsidTr="00EA0DA7">
        <w:tc>
          <w:tcPr>
            <w:tcW w:w="3833" w:type="dxa"/>
            <w:tcBorders>
              <w:bottom w:val="single" w:sz="12" w:space="0" w:color="auto"/>
            </w:tcBorders>
          </w:tcPr>
          <w:p w14:paraId="075021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ДБ-4 2М-120</w:t>
            </w:r>
          </w:p>
        </w:tc>
        <w:tc>
          <w:tcPr>
            <w:tcW w:w="3833" w:type="dxa"/>
            <w:tcBorders>
              <w:bottom w:val="single" w:sz="12" w:space="0" w:color="auto"/>
            </w:tcBorders>
          </w:tcPr>
          <w:p w14:paraId="28208C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560/6900</w:t>
            </w:r>
          </w:p>
        </w:tc>
        <w:tc>
          <w:tcPr>
            <w:tcW w:w="2702" w:type="dxa"/>
            <w:tcBorders>
              <w:bottom w:val="single" w:sz="12" w:space="0" w:color="auto"/>
            </w:tcBorders>
          </w:tcPr>
          <w:p w14:paraId="03BEB68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66E112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Проектные данные моторов</w:t>
      </w:r>
    </w:p>
    <w:p w14:paraId="639AB0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М-71</w:t>
      </w:r>
    </w:p>
    <w:p w14:paraId="406EB4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1000 кг</w:t>
      </w:r>
    </w:p>
    <w:p w14:paraId="722135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1700 нр/5000</w:t>
      </w:r>
    </w:p>
    <w:p w14:paraId="7F0025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данным 8 ГУ мощность моторов первых выпусков снижается до 1600 нр на 4500. Это отразится на скорости всех самолетов снижением на 25 км/час</w:t>
      </w:r>
    </w:p>
    <w:p w14:paraId="439F28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М-120</w:t>
      </w:r>
    </w:p>
    <w:p w14:paraId="4BE791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900</w:t>
      </w:r>
    </w:p>
    <w:p w14:paraId="0DD3CD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1500 нр/6000 (2090).</w:t>
      </w:r>
    </w:p>
    <w:p w14:paraId="117FE89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30AC6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года металлургическое производство авиакомбината №150 стало прокатным заводом по выпуску дюралюминиевых листов, а Главным инженером прокатного завода, включающего литейный и прокатный цеха, будет назначен вышеупомянутый Ю.Г. Музалевский (12103).</w:t>
      </w:r>
    </w:p>
    <w:p w14:paraId="7F5D528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A3371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вышел совместный Приказ НКАП и НКСМ № 594с/250с</w:t>
      </w:r>
    </w:p>
    <w:p w14:paraId="62A112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постановлением Правительства от 17.Х.1940 г.</w:t>
      </w:r>
    </w:p>
    <w:p w14:paraId="584205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ПРИКАЗЫВАЕМ:</w:t>
      </w:r>
    </w:p>
    <w:p w14:paraId="77D568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Передать автосборочный завод Наркомсредмаша в г. Ростове на Дону из системы Наркомсредмаша в Наркомавиапром.</w:t>
      </w:r>
    </w:p>
    <w:p w14:paraId="511D9A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Для приемки-сдачи автосборочного завода назначить комиссию</w:t>
      </w:r>
    </w:p>
    <w:p w14:paraId="77AF93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НКАП</w:t>
      </w:r>
    </w:p>
    <w:p w14:paraId="25C6CE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МИРОНОВ М.Г. - Председатель комиссии</w:t>
      </w:r>
    </w:p>
    <w:p w14:paraId="56E674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СМИРНОВ А.М.</w:t>
      </w:r>
    </w:p>
    <w:p w14:paraId="620513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ЗОТЧИК К.М.</w:t>
      </w:r>
    </w:p>
    <w:p w14:paraId="77CD1E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КОВШЕНКО А.П. '</w:t>
      </w:r>
    </w:p>
    <w:p w14:paraId="13146F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Наркомсредмаша</w:t>
      </w:r>
    </w:p>
    <w:p w14:paraId="120539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ПЕТРОВ - директор завода</w:t>
      </w:r>
    </w:p>
    <w:p w14:paraId="6D87DD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АПАНАСЕЕКО - ГАЗ</w:t>
      </w:r>
    </w:p>
    <w:p w14:paraId="105C35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ТРУПАКОВ - ГАЗ</w:t>
      </w:r>
    </w:p>
    <w:p w14:paraId="3C836C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Приемку-сдачу автосборочного завода провести к 15.11.40 г. по балансу на 1 октября 1940 года, руководствуясь постановлением СНК СССР от 5.5.1940 года № 667.</w:t>
      </w:r>
    </w:p>
    <w:p w14:paraId="18F507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Поручить комиссии выявить все оборудование, оснастку и материалы, которые не могут быть использованы в системе НКАП, специально употребляемые на сборочных операциях автомобиля, для передачи их Наркомсредмашу, а также задел не могущий быть собран</w:t>
      </w:r>
      <w:r w:rsidRPr="00A3026E">
        <w:rPr>
          <w:rFonts w:ascii="Times New Roman" w:hAnsi="Times New Roman"/>
          <w:color w:val="000000" w:themeColor="text1"/>
          <w:sz w:val="16"/>
          <w:szCs w:val="16"/>
        </w:rPr>
        <w:softHyphen/>
        <w:t>ным и отоваренным на заводе (8049,28).</w:t>
      </w:r>
    </w:p>
    <w:p w14:paraId="0B38F3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2F39F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г. по приказу 604с/505с Могилевский завод им. Димитрова НКМП передан в 3ГУ НКАП и получил наименование завод № 459. Перед войной налаживалось производство мотора АМ-35А.</w:t>
      </w:r>
    </w:p>
    <w:p w14:paraId="772C4D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от 25.06.1941 г. завод № 459 эвакуирован в Куйбышев на площадку завода № 337 НКАП и по приказу № 726сс от 18.07.1941 г. влит в его состав.</w:t>
      </w:r>
    </w:p>
    <w:p w14:paraId="79945E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(10.1940 г.-)- И.А. Ермаков.</w:t>
      </w:r>
    </w:p>
    <w:p w14:paraId="4BF009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СКО (12.1940 г.-)- С.К. Кольцов.</w:t>
      </w:r>
    </w:p>
    <w:p w14:paraId="52A293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Могилевский автомобильный завод, ОАО «Могилевский автомобильный завод» /Белоруссия 212601  г. Могилев Витебский пр., 5/</w:t>
      </w:r>
    </w:p>
    <w:p w14:paraId="420C6F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восстановлен на месте эвакуированного завода № 459 НКАП. Распоряжением правительства от 11.01.1946 г. завод преобразован в локомобильный, в 04.1946 г. собраны первые локомобили.</w:t>
      </w:r>
    </w:p>
    <w:p w14:paraId="7224D1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1955 г. выпускал паросиловые установки мощностью от 10 до 100 л.с. для электрификации и теплофикации сельского хозяйства и местной промышленности. В 1955-68 г. выпускал электромостовые краны грузоподъемностью 5 т, маслозаправщики на шасси ГАЗ; с 1960 г. завод перешел на производство землеройно- транспортной и автомобильной техники при участии Минского автозавода. В 1960 г. с МАЗа переведена группа конструкторов, ставшая основой конструкторско-экспериментальной базы завода.</w:t>
      </w:r>
    </w:p>
    <w:p w14:paraId="097E83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1966 г. завод переименован в автомобильный.</w:t>
      </w:r>
    </w:p>
    <w:p w14:paraId="558915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Завод являлся одним из крупнейших (1990-е  г.) разработчиком и производителем землеройно-транспортной техники в странах СН Г.</w:t>
      </w:r>
    </w:p>
    <w:p w14:paraId="071198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(1990-е): строительно-дорожная техника (самоходные скреперы); автомобили спецназначения (подземные автопоезда, самосвалы, аэродромные тягачи для буксировки самолетов).</w:t>
      </w:r>
    </w:p>
    <w:p w14:paraId="490768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имелись производства (1990-е): литейное, заготовительное, сварочное, инструментальное, механообрабатывающее, сборочное.</w:t>
      </w:r>
    </w:p>
    <w:p w14:paraId="3C5185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Гендиректор (2007 г.)- Н. Г. Михалкович.</w:t>
      </w:r>
    </w:p>
    <w:p w14:paraId="1E7475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тягач МАЗ-529 (1958-); самоходный скрепер МоАЗ-546Е-Э57Г (1959-); автомобили: МоАЗ- 6401, МоАЗ-522, МоАЗ-75051, МоАЗ-6442, МоАЗ-6014, МоАЗ-4048 (11982).</w:t>
      </w:r>
    </w:p>
    <w:p w14:paraId="74C2151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4B14B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года начальник НИП АВ полковник Шевченко утвердил:</w:t>
      </w:r>
    </w:p>
    <w:p w14:paraId="30A6CC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контрольным испытаниям фугасных бомб ФАБ-100 снаряженных амматолом 50/50</w:t>
      </w:r>
    </w:p>
    <w:p w14:paraId="09FDE7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1 октября 1940 года</w:t>
      </w:r>
    </w:p>
    <w:p w14:paraId="6CB8AB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3 октября 1940 года</w:t>
      </w:r>
    </w:p>
    <w:p w14:paraId="038C8D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 в/инженер 2 ранга Галкин</w:t>
      </w:r>
    </w:p>
    <w:p w14:paraId="4219AC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6DFC26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Испытанием выявить безотказность действия бомб ФАБ-100 кг снаряженных аматолом 50/50 при бомбометании с взрывателем АПУБ.</w:t>
      </w:r>
    </w:p>
    <w:p w14:paraId="7D65D7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6F7095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Фугасные бомбы ФАБ-100 кг, снаряженные амматолом 50/50 методом заливки в проведенных контрольных испытаниях показали удовлетворительные результаты по безопасности действия.</w:t>
      </w:r>
    </w:p>
    <w:p w14:paraId="0E2D90A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Фугасные бомбы ФАБ-100 кг, снаряженные амматолом 50/50 методом шнекования, хотя и показали в проведенных испытаниях удовлетворительные результаты по безотказности действия, однако вследствие более низкого фугасного действия в сравнении с заливкой, провести дополнительные испытания с целью выявления фугасного действия в сравнении со штатным снаряжением АБ (155).</w:t>
      </w:r>
    </w:p>
    <w:p w14:paraId="0512B51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9BA71E6"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0B05B0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8A0C0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АУ ГАУ утвердил технический проект 450 мм гаубицы Бр-23, разработанный заводом 221 (3416,32).</w:t>
      </w:r>
    </w:p>
    <w:p w14:paraId="59F99E1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832E2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г. АК ГАУ был утвержден технический проект 450-мм гаубицы Бр-23 (3861).</w:t>
      </w:r>
    </w:p>
    <w:p w14:paraId="3326268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EBC627" w14:textId="77777777" w:rsidR="003F5264" w:rsidRPr="00A3026E" w:rsidRDefault="003F5264"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26 октября 1940 года Артиллерийский Комитет ГАУ КА технический проект утвердил, далее завод №221 получил одобрение на изготовление рабочих чертежей орудия.</w:t>
      </w:r>
    </w:p>
    <w:p w14:paraId="131DD476" w14:textId="77777777" w:rsidR="003F5264" w:rsidRPr="00A3026E" w:rsidRDefault="003F5264"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В планах опытных работ ГАУ КА на 1941 год значилось изготовление опытного образца БР-23, со сроком изготовления - июль 1941 года. Стоимость работ по изготовлению системы оценивалась в миллион рублей. Отдельно шли работы по изготовлению фугасных, бетонобойных и лафетопробных снарядов, а также зарядов, их на себя брал Наркомат Боеприпасов. Щекотливость ситуации заключалась в том, что окончательное утверждение журнала Арктома ГАУ по БР-23 не произошло, при этом завод №221 полностью выполнил работы по изготовлению рабочих чертежей системы. Далее завод был готов приступить к изготовлению орудия, но работы зависли. Вопрос "делаем орудие, или нет", завис с 19 февраля 1941 года. Такая осторожность Кулика объяснялась довольно легко. Дело в том, что у завода №221 имелся план по выпуску 203-мм гаубиц особой мощности Б-4, ради него подвинули другие орудия. Даже 152-мм пушка особой мощности БР-2, которую собирались ставить в "истребитель ДОТ-ов" 212, на время "зависла" (20880).</w:t>
      </w:r>
    </w:p>
    <w:p w14:paraId="7A6C63F1" w14:textId="77777777" w:rsidR="003F5264" w:rsidRPr="00A3026E" w:rsidRDefault="003F5264" w:rsidP="00A3026E">
      <w:pPr>
        <w:pStyle w:val="article-renderblock"/>
        <w:shd w:val="clear" w:color="auto" w:fill="FFFFFF"/>
        <w:spacing w:before="0" w:beforeAutospacing="0" w:after="0" w:afterAutospacing="0"/>
        <w:jc w:val="both"/>
        <w:rPr>
          <w:color w:val="0070C0"/>
          <w:sz w:val="16"/>
          <w:szCs w:val="16"/>
        </w:rPr>
      </w:pPr>
    </w:p>
    <w:p w14:paraId="59A1C1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года вышло постановление № 1764-530с Экономического совета</w:t>
      </w:r>
    </w:p>
    <w:p w14:paraId="2D9189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запрещении НКБоеприпасов переноса строительства завода по снаряжению взрывателей из района Софрино-Загорск на территорию завода № 358 НКБ</w:t>
      </w:r>
    </w:p>
    <w:p w14:paraId="4347B1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Экономический совет постановляет:</w:t>
      </w:r>
    </w:p>
    <w:p w14:paraId="3063F50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Указать наркому боеприпасов Сергееву И.П. на допущенное им самовольное строительство нового завода для снаряжения взрывателей на базе завода № 358 НКБ, что является нарушением постановления Совнаркома и ЦК ВКП(б) от 10 июля 1935 года "О генеральном плане реконструкции Москвы".</w:t>
      </w:r>
    </w:p>
    <w:p w14:paraId="05BC729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наркомбоеприпасов Сергеева И.П. осуществить строительство нового завода для снаряжения взрывателей в районе Софрино-Загорск в соответствиии с постановлением КО от 21 ноября 1939 года № 429сс.</w:t>
      </w:r>
    </w:p>
    <w:p w14:paraId="29853BF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Разрешить наркомбоеприпасов организовать в 1940 году на территории бывшего Московского капсюльного завода мастерские по сборке взрывателей АМ в количестве 20 млн. штук в год (на привозных капсюлях и корпусах взрывателей московских заводов) ………………….(7622, 37).</w:t>
      </w:r>
    </w:p>
    <w:p w14:paraId="775B1BA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D4169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начальник управления вооружения наземной артиллерии Красной Армии военинженер 1-го ранга Липин доносил генерал-полковнику артиллерии Воронову:</w:t>
      </w:r>
    </w:p>
    <w:p w14:paraId="516FBF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докладу старшего военпреда ГАУ КА на заводе № 92 от 12 октября 1940 года, завод в настоящее время форсирует изготовление 4-х опытных пушек Ф-34. Завод намерен в 1940 году изготовить 50 штук Ф-34, чтобы в 1941 году начать их валовый выпуск. Вся эта работа является инициативой промышленности, решения ГАУ КА по изготовлению Ф-34 на сегодня нет.</w:t>
      </w:r>
    </w:p>
    <w:p w14:paraId="47107A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что вооружение танков Ф-34 вместо Ф-32 целесообразно, имея ввиду их большую мощность, однако Ф-34 испытана недостаточно (923 выстрела на заводе и 201 выстрел на полигонном испытании), а изготовляемые сейчас образцы кроме того, еще и отличаются от первого образца. Поэтому до принятия решения об изготовлении пушек Ф-34 необходимо предварительно провести всестороннее полигонное и войсковое испытание готовящихся опытных образцов» (12217).</w:t>
      </w:r>
    </w:p>
    <w:p w14:paraId="5E40937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E657BD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464DCC5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1A5E8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26 октября 1940 года вышло Постановление СНК СССР и ЦК ВКП(б) «О разведке и добыче олова в Синьцзяне» </w:t>
      </w:r>
    </w:p>
    <w:p w14:paraId="44C2F8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Для разработки месторождений олова и сопутствующих ему полезных ископаемых на территории провинции Синьцзян Совет Народных Комиссаров Союза ССР и Центральный Комитет ВКП(б) постановляют: </w:t>
      </w:r>
    </w:p>
    <w:p w14:paraId="06CA34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Одобрить представленный Наркомцветметом СССР проект соглашения. </w:t>
      </w:r>
    </w:p>
    <w:p w14:paraId="1639BE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Поручить Наркомцветмету заключить концессионный договор с провинциальным правительством Синьцзяна сроком на пятьдесят лет на право поисков, разведки и эксплуатации месторождений олова и сопутствующих ему полезных ископаемых на территории Синьцзяна. </w:t>
      </w:r>
    </w:p>
    <w:p w14:paraId="404312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Назначить Управление концессией по поискам, разведке и эксплуатации месторождений олова в Синьцзяне в следующем составе: </w:t>
      </w:r>
    </w:p>
    <w:p w14:paraId="681B67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Начальник Управления т. Карпенко Федор Агеевич. </w:t>
      </w:r>
    </w:p>
    <w:p w14:paraId="7E5079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Зам. начальника Управления т. Шибаев Петр Андреевич. </w:t>
      </w:r>
    </w:p>
    <w:p w14:paraId="705E01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Главный инженер т. Шиманов Константин Иванович. </w:t>
      </w:r>
    </w:p>
    <w:p w14:paraId="615BE7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Главный геолог т. Ложечкин Михаил Павлович. </w:t>
      </w:r>
    </w:p>
    <w:p w14:paraId="1DD003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Поручить вести переговоры с провинциальным правительством Синьцзяна и заключение с ним договора о концессии т. Карпенко Ф.А., с участием Генерального консула СССР в Урумчи т. Бакулина Ивана Николаевича. </w:t>
      </w:r>
    </w:p>
    <w:p w14:paraId="501359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Наркомцветмету не позже декабря месяца 1940 года представить на утверждение Совнаркома Союза ССР и ЦК ВКП(б) план работ концессии на 1941 год. </w:t>
      </w:r>
    </w:p>
    <w:p w14:paraId="115E77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Экономсовету при Совнаркоме СССР по представлении Наркомцветмета отпустить все необходимые материалы, средства и денежные ассигнования на 4-й квартал 1940 года. </w:t>
      </w:r>
    </w:p>
    <w:p w14:paraId="701BFD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Председатель Совета Народных Комиссаров Союза ССР </w:t>
      </w:r>
    </w:p>
    <w:p w14:paraId="7CCED1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Молотов. </w:t>
      </w:r>
    </w:p>
    <w:p w14:paraId="2544E1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Секретарь Центрального Комитета ВКП(б) </w:t>
      </w:r>
    </w:p>
    <w:p w14:paraId="5E9EAB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И.Сталин </w:t>
      </w:r>
    </w:p>
    <w:p w14:paraId="081ECD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ГАРФ. Ф. Р-5446. Оп. 57. Д. 80. Л. 240-241. Копия (11232).</w:t>
      </w:r>
    </w:p>
    <w:p w14:paraId="20D0558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36DB28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5266850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20A99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октября 1940 года первый полет совершил опытный NA-73X - будущий Р-51 "Мустанг" (3457,87).</w:t>
      </w:r>
    </w:p>
    <w:p w14:paraId="2BB6D29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FBA13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26 октября 1940 первый полет выполнил прототип Р-51 Мустанг (2240).</w:t>
      </w:r>
    </w:p>
    <w:p w14:paraId="4085EA8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C83B7D3" w14:textId="77777777" w:rsidR="006F0594" w:rsidRPr="00A3026E" w:rsidRDefault="006F0594"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26 октября </w:t>
      </w:r>
      <w:r w:rsidRPr="00A3026E">
        <w:rPr>
          <w:rFonts w:ascii="Times New Roman" w:hAnsi="Times New Roman"/>
          <w:color w:val="000000" w:themeColor="text1"/>
          <w:sz w:val="16"/>
          <w:szCs w:val="16"/>
        </w:rPr>
        <w:t>в 1940 году совершил свой первый полет самолет «Норт Американ Р-51 Мустанг», один из наиболее эффективных истребителей Второй мировой войны. Начал свою историю как модель «NA-73X», построенный в соответствии с британским техническим заданием от апреля 1940 г. Из-за угрожающей ситуации в Европе он был закончен на 120 дней раньше, чем планировалось, но двигатель Аллисон (Allison) V-1710-F3R мощностью 820 кВт (1100 л.с.) запаздывал, и опытный образец совершил свой первый полет только 26 октября 1940 г. Первый серийный экземпляр из 320 заказанных самолетов «NA-73» начал полеты 1 мая 1941 г (14811).</w:t>
      </w:r>
    </w:p>
    <w:p w14:paraId="143017FC" w14:textId="77777777" w:rsidR="006F0594" w:rsidRPr="00A3026E" w:rsidRDefault="006F0594" w:rsidP="00A3026E">
      <w:pPr>
        <w:spacing w:after="0" w:line="240" w:lineRule="auto"/>
        <w:jc w:val="both"/>
        <w:rPr>
          <w:rFonts w:ascii="Times New Roman" w:hAnsi="Times New Roman"/>
          <w:color w:val="000000" w:themeColor="text1"/>
          <w:sz w:val="16"/>
          <w:szCs w:val="16"/>
        </w:rPr>
      </w:pPr>
    </w:p>
    <w:p w14:paraId="44DF4290" w14:textId="77777777" w:rsidR="003F5264" w:rsidRPr="00A3026E" w:rsidRDefault="003F526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26 октября 1940 выполнил первый полет Норт Америкен NA-73X, прототип P-51 Mustang (20795).</w:t>
      </w:r>
    </w:p>
    <w:p w14:paraId="4409653B" w14:textId="77777777" w:rsidR="003F5264" w:rsidRPr="00A3026E" w:rsidRDefault="003F5264" w:rsidP="00A3026E">
      <w:pPr>
        <w:spacing w:after="0" w:line="240" w:lineRule="auto"/>
        <w:jc w:val="both"/>
        <w:rPr>
          <w:rFonts w:ascii="Times New Roman" w:hAnsi="Times New Roman"/>
          <w:color w:val="0070C0"/>
          <w:sz w:val="16"/>
          <w:szCs w:val="16"/>
        </w:rPr>
      </w:pPr>
    </w:p>
    <w:p w14:paraId="377D56E2" w14:textId="77777777" w:rsidR="003F5264" w:rsidRPr="00A3026E" w:rsidRDefault="003F526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26 октября 1940 - С аэродрома Mines Field, Лос-Анджелес, Калифорния (теперь международный аэропорт Лос-Анджелеса), лётчик-испытатель Ванс Брис поднял в воздух прототип NA-73X, NX19998. Впоследствии этот самолёт строился большой серией и прославился под именем P-51 "Мустанг" (22325).</w:t>
      </w:r>
    </w:p>
    <w:p w14:paraId="5E7AFCC2" w14:textId="77777777" w:rsidR="003F5264" w:rsidRPr="00A3026E" w:rsidRDefault="003F5264" w:rsidP="00A3026E">
      <w:pPr>
        <w:spacing w:after="0" w:line="240" w:lineRule="auto"/>
        <w:jc w:val="both"/>
        <w:rPr>
          <w:rFonts w:ascii="Times New Roman" w:hAnsi="Times New Roman"/>
          <w:color w:val="0070C0"/>
          <w:sz w:val="16"/>
          <w:szCs w:val="16"/>
        </w:rPr>
      </w:pPr>
    </w:p>
    <w:p w14:paraId="2F3F8475" w14:textId="77777777" w:rsidR="003F5264" w:rsidRPr="00A3026E" w:rsidRDefault="003F526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26 октября 1940, с опозданием против оговоренного в контракте срока 9 августа 1940 года, состоялся первый полет NA-73X, но контракт не был разорван.</w:t>
      </w:r>
    </w:p>
    <w:p w14:paraId="32C93826" w14:textId="77777777" w:rsidR="003F5264" w:rsidRPr="00A3026E" w:rsidRDefault="003F526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Машина создавалась как частная инициатива фирмы «Норт Америкен», без одобрения от Минобороны США, с целью продажи в Великобританию. Но та не хотела ждать появления нового истребителя, предпочитая быстро получить пусть и не самые лучшие но проверенные в бою Р-40, и конструкторам Эдварду Шмюду и Ларри Уайту стоило большого труда переубедить заказчика. Их идея заключалась в формировании ламинарного обтекания самолета за счет сглаживания обводов и смещения наибольших строительных высот крыла, оперения и фюзеляжа назад, что оттягивало турбулизацию и срыв пограничного слоя обтекающего их потока. На малых углах атаки коэффициент лобового сопротивления самолета NA-73X оказался самым низким среди всех истребителей того времени, что обеспечило превосходные скорость и дальность, но при маневрировании сопротивление резко росло, и он проигрывал обычным самолетам.</w:t>
      </w:r>
    </w:p>
    <w:p w14:paraId="6C7BD3C2" w14:textId="77777777" w:rsidR="003F5264" w:rsidRPr="00A3026E" w:rsidRDefault="003F526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условию контракта NA-73X имел такой же, как и на Р-40, серийный мотор V-1710-F3R боевой мощностью 1100 л.с. на высоте 3048 м.</w:t>
      </w:r>
    </w:p>
    <w:p w14:paraId="65779E07" w14:textId="77777777" w:rsidR="003F5264" w:rsidRPr="00A3026E" w:rsidRDefault="003F526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Вступление в войну заставило и американскую армию обратить внимание на этот самолет, хотя он пока не мог на равных драться ни с немецкими Bf109 и FW190, ни с японскими А6М «Зеро». Поначалу самолеты Р-51 «Мустанг» использовались в основном как разведчики и штурмовики (22889).</w:t>
      </w:r>
    </w:p>
    <w:p w14:paraId="38F669C1" w14:textId="77777777" w:rsidR="003F5264" w:rsidRPr="00A3026E" w:rsidRDefault="003F5264" w:rsidP="00A3026E">
      <w:pPr>
        <w:spacing w:after="0" w:line="240" w:lineRule="auto"/>
        <w:jc w:val="both"/>
        <w:rPr>
          <w:rFonts w:ascii="Times New Roman" w:hAnsi="Times New Roman"/>
          <w:color w:val="0070C0"/>
          <w:sz w:val="16"/>
          <w:szCs w:val="16"/>
        </w:rPr>
      </w:pPr>
    </w:p>
    <w:p w14:paraId="1414DB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и 28 октября 1940 в испытательном цен</w:t>
      </w:r>
      <w:r w:rsidRPr="00A3026E">
        <w:rPr>
          <w:rFonts w:ascii="Times New Roman" w:hAnsi="Times New Roman"/>
          <w:color w:val="000000" w:themeColor="text1"/>
          <w:sz w:val="16"/>
          <w:szCs w:val="16"/>
        </w:rPr>
        <w:softHyphen/>
        <w:t>тре Люфтваффе вертолет Ра 223 (взлетная масса его составляла 3705 кг, а мас</w:t>
      </w:r>
      <w:r w:rsidRPr="00A3026E">
        <w:rPr>
          <w:rFonts w:ascii="Times New Roman" w:hAnsi="Times New Roman"/>
          <w:color w:val="000000" w:themeColor="text1"/>
          <w:sz w:val="16"/>
          <w:szCs w:val="16"/>
        </w:rPr>
        <w:softHyphen/>
        <w:t>са полезной нагрузки — 1284 кг), пи</w:t>
      </w:r>
      <w:r w:rsidRPr="00A3026E">
        <w:rPr>
          <w:rFonts w:ascii="Times New Roman" w:hAnsi="Times New Roman"/>
          <w:color w:val="000000" w:themeColor="text1"/>
          <w:sz w:val="16"/>
          <w:szCs w:val="16"/>
        </w:rPr>
        <w:softHyphen/>
        <w:t>лотируемый Карлом Боде, показал рекордную скорость 182 км/ч и высо</w:t>
      </w:r>
      <w:r w:rsidRPr="00A3026E">
        <w:rPr>
          <w:rFonts w:ascii="Times New Roman" w:hAnsi="Times New Roman"/>
          <w:color w:val="000000" w:themeColor="text1"/>
          <w:sz w:val="16"/>
          <w:szCs w:val="16"/>
        </w:rPr>
        <w:softHyphen/>
        <w:t>ту полета 7090 м. Однако эти резуль</w:t>
      </w:r>
      <w:r w:rsidRPr="00A3026E">
        <w:rPr>
          <w:rFonts w:ascii="Times New Roman" w:hAnsi="Times New Roman"/>
          <w:color w:val="000000" w:themeColor="text1"/>
          <w:sz w:val="16"/>
          <w:szCs w:val="16"/>
        </w:rPr>
        <w:softHyphen/>
        <w:t>таты не были зарегистрированы как мировые рекорды, время для этого было неподходящее — в Европе уже шли военные действия, началась Вто</w:t>
      </w:r>
      <w:r w:rsidRPr="00A3026E">
        <w:rPr>
          <w:rFonts w:ascii="Times New Roman" w:hAnsi="Times New Roman"/>
          <w:color w:val="000000" w:themeColor="text1"/>
          <w:sz w:val="16"/>
          <w:szCs w:val="16"/>
        </w:rPr>
        <w:softHyphen/>
        <w:t>рая мировая война (11401).</w:t>
      </w:r>
    </w:p>
    <w:p w14:paraId="7F39F1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CEAD396"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7C41FC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A02BE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октября 1940 Зам. Нач. 7 ГУ НКАП С.Шишкин писал письмо № 271/2266 ГЛАВНОМУ КОНСТРУКТОРУ ЗАВОДА. № 289 Доктору Технических Наук тов. СУХОМУ П.О. (Копия: Зам. Начальника 8-го Г л.У пр. тов. ВОЛИКОВУ</w:t>
      </w:r>
    </w:p>
    <w:p w14:paraId="265D8A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посылка компоновочных чертежей ВМГ сам. И-35</w:t>
      </w:r>
    </w:p>
    <w:p w14:paraId="6D9138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в срочном порядке выслать в адрес глазного конструктора завода.№ 26 тов. КЛИМОВА компоновочные чертежи винтомоторной труппы самолета И-135 с М105П.</w:t>
      </w:r>
    </w:p>
    <w:p w14:paraId="7738DF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зашлите тов. КЛИМОВУ чертежи стевдовбй установки самолета И- 135 со всели схемами коммуникаций винтомотомоторной группы.</w:t>
      </w:r>
    </w:p>
    <w:p w14:paraId="5BE7EA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случае, если у Вас имеются макетные пулеметы, послед ние также направьте в адрес т. КЛИМОВА.</w:t>
      </w:r>
    </w:p>
    <w:p w14:paraId="6B2571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Главный конструктор т. КЛИМОВ </w:t>
      </w:r>
      <w:r w:rsidRPr="00A3026E">
        <w:rPr>
          <w:rFonts w:ascii="Times New Roman" w:hAnsi="Times New Roman"/>
          <w:smallCaps/>
          <w:color w:val="000000" w:themeColor="text1"/>
          <w:sz w:val="16"/>
          <w:szCs w:val="16"/>
        </w:rPr>
        <w:t xml:space="preserve">производит </w:t>
      </w:r>
      <w:r w:rsidRPr="00A3026E">
        <w:rPr>
          <w:rFonts w:ascii="Times New Roman" w:hAnsi="Times New Roman"/>
          <w:color w:val="000000" w:themeColor="text1"/>
          <w:sz w:val="16"/>
          <w:szCs w:val="16"/>
        </w:rPr>
        <w:t>новую компоновку мотора М105П. для того, чтобы Ваши технические требования к мотору М105П были отражены исчерпывающе, направьте своего представите ля -на завод № 26 (874,61).</w:t>
      </w:r>
    </w:p>
    <w:p w14:paraId="1679C2D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83385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октября 1940 Зам. нач. 7 ГУ НКАП С.Шишкин писал нач. особой группы Фирсанову письмо N 23/2480:</w:t>
      </w:r>
    </w:p>
    <w:p w14:paraId="4BA858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проекты приказов о постройке опытных самолетов ДИС завода 1, ТИС завода 51 и ДИС завода 115, подаваемых Вами на подпись Наркому А.И.Ш., прошу включить сроки окончания первого этапа работ:</w:t>
      </w:r>
    </w:p>
    <w:p w14:paraId="146006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ДИС завода 1</w:t>
      </w:r>
    </w:p>
    <w:p w14:paraId="42D7C2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 25.05.41</w:t>
      </w:r>
    </w:p>
    <w:p w14:paraId="6A4BCB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экз. 25.06.41</w:t>
      </w:r>
    </w:p>
    <w:p w14:paraId="78C18B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3-й экз. 25.08.41</w:t>
      </w:r>
    </w:p>
    <w:p w14:paraId="340336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ТИС завода 51</w:t>
      </w:r>
    </w:p>
    <w:p w14:paraId="7A5DDB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 25.06.41</w:t>
      </w:r>
    </w:p>
    <w:p w14:paraId="7DADAA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экз. 25.07.41</w:t>
      </w:r>
    </w:p>
    <w:p w14:paraId="0A6A65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3-й экз. 25.09.41</w:t>
      </w:r>
    </w:p>
    <w:p w14:paraId="2ECC39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ДИС завода 115</w:t>
      </w:r>
    </w:p>
    <w:p w14:paraId="6BD61D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 30.12.40 (2090,211).</w:t>
      </w:r>
    </w:p>
    <w:p w14:paraId="10329AA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641F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октября 1940 при испытаниях ПВРД ДМ-4 на И-153 на высоте 2000 м был получен прирост скорости 51 км/час, но расход бензина достигал 20 л/мин (2448,7).</w:t>
      </w:r>
    </w:p>
    <w:p w14:paraId="1C2051B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EEADA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октября 1940 Директор завода № 75 Кочетков и Парторг ЦК Савильев писали письмо № 3723 в НК ГОСУ'ДАРСТВЕННОГО КОНТРОЛЯ тов. М Е X Л ИI С У Л. З.</w:t>
      </w:r>
    </w:p>
    <w:p w14:paraId="32C6A7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выолнения постановления Комитета Обороны при СНК СССР за № 200/сс от 12-го мая 1940 г. по выпуску авиадизельных моторов М-40 в 1940 г. ряд заводов НКАП, в порядке коошрирования, должны были поставлять заводу № 75 детали и агрегатные узлы.</w:t>
      </w:r>
    </w:p>
    <w:p w14:paraId="0A0FE6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Заводами-поставщиками по заключенным договорам сроки поставки сорваны, что видно из приведенной таблицы: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928"/>
        <w:gridCol w:w="2372"/>
        <w:gridCol w:w="720"/>
        <w:gridCol w:w="720"/>
        <w:gridCol w:w="720"/>
        <w:gridCol w:w="990"/>
      </w:tblGrid>
      <w:tr w:rsidR="00983732" w:rsidRPr="00A3026E" w14:paraId="537F6C84" w14:textId="77777777" w:rsidTr="00EA0DA7">
        <w:trPr>
          <w:trHeight w:val="634"/>
        </w:trPr>
        <w:tc>
          <w:tcPr>
            <w:tcW w:w="3928" w:type="dxa"/>
            <w:tcBorders>
              <w:top w:val="single" w:sz="12" w:space="0" w:color="auto"/>
            </w:tcBorders>
          </w:tcPr>
          <w:p w14:paraId="1EF9EC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Заводы-поставщики </w:t>
            </w:r>
          </w:p>
        </w:tc>
        <w:tc>
          <w:tcPr>
            <w:tcW w:w="2372" w:type="dxa"/>
            <w:tcBorders>
              <w:top w:val="single" w:sz="12" w:space="0" w:color="auto"/>
            </w:tcBorders>
          </w:tcPr>
          <w:p w14:paraId="74DF7C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деталей и агрегатов</w:t>
            </w:r>
          </w:p>
        </w:tc>
        <w:tc>
          <w:tcPr>
            <w:tcW w:w="720" w:type="dxa"/>
            <w:tcBorders>
              <w:top w:val="single" w:sz="12" w:space="0" w:color="auto"/>
            </w:tcBorders>
          </w:tcPr>
          <w:p w14:paraId="3CC9D5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w:t>
            </w:r>
          </w:p>
        </w:tc>
        <w:tc>
          <w:tcPr>
            <w:tcW w:w="720" w:type="dxa"/>
            <w:tcBorders>
              <w:top w:val="single" w:sz="12" w:space="0" w:color="auto"/>
            </w:tcBorders>
          </w:tcPr>
          <w:p w14:paraId="26189A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поставки</w:t>
            </w:r>
          </w:p>
        </w:tc>
        <w:tc>
          <w:tcPr>
            <w:tcW w:w="720" w:type="dxa"/>
            <w:tcBorders>
              <w:top w:val="single" w:sz="12" w:space="0" w:color="auto"/>
            </w:tcBorders>
          </w:tcPr>
          <w:p w14:paraId="18DDDD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Выполнено</w:t>
            </w:r>
          </w:p>
        </w:tc>
        <w:tc>
          <w:tcPr>
            <w:tcW w:w="990" w:type="dxa"/>
            <w:tcBorders>
              <w:top w:val="single" w:sz="12" w:space="0" w:color="auto"/>
            </w:tcBorders>
          </w:tcPr>
          <w:p w14:paraId="127CA9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Недлдано</w:t>
            </w:r>
          </w:p>
        </w:tc>
      </w:tr>
      <w:tr w:rsidR="00983732" w:rsidRPr="00A3026E" w14:paraId="25668CD3" w14:textId="77777777" w:rsidTr="00EA0DA7">
        <w:trPr>
          <w:trHeight w:val="818"/>
        </w:trPr>
        <w:tc>
          <w:tcPr>
            <w:tcW w:w="3928" w:type="dxa"/>
          </w:tcPr>
          <w:p w14:paraId="5A72D5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219</w:t>
            </w:r>
          </w:p>
        </w:tc>
        <w:tc>
          <w:tcPr>
            <w:tcW w:w="2372" w:type="dxa"/>
          </w:tcPr>
          <w:p w14:paraId="027D14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Электронное литье</w:t>
            </w:r>
          </w:p>
        </w:tc>
        <w:tc>
          <w:tcPr>
            <w:tcW w:w="720" w:type="dxa"/>
          </w:tcPr>
          <w:p w14:paraId="1383E4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 наим.</w:t>
            </w:r>
          </w:p>
        </w:tc>
        <w:tc>
          <w:tcPr>
            <w:tcW w:w="720" w:type="dxa"/>
          </w:tcPr>
          <w:p w14:paraId="45D152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Сен</w:t>
            </w:r>
            <w:r w:rsidRPr="00A3026E">
              <w:rPr>
                <w:rFonts w:ascii="Times New Roman" w:hAnsi="Times New Roman"/>
                <w:color w:val="000000" w:themeColor="text1"/>
                <w:sz w:val="16"/>
                <w:szCs w:val="16"/>
              </w:rPr>
              <w:softHyphen/>
              <w:t>тябрь</w:t>
            </w:r>
          </w:p>
        </w:tc>
        <w:tc>
          <w:tcPr>
            <w:tcW w:w="720" w:type="dxa"/>
          </w:tcPr>
          <w:p w14:paraId="0A5D49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 наим. </w:t>
            </w:r>
          </w:p>
        </w:tc>
        <w:tc>
          <w:tcPr>
            <w:tcW w:w="990" w:type="dxa"/>
          </w:tcPr>
          <w:p w14:paraId="37DC9C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наим.</w:t>
            </w:r>
          </w:p>
        </w:tc>
      </w:tr>
      <w:tr w:rsidR="00983732" w:rsidRPr="00A3026E" w14:paraId="49797B73" w14:textId="77777777" w:rsidTr="00EA0DA7">
        <w:trPr>
          <w:trHeight w:val="818"/>
        </w:trPr>
        <w:tc>
          <w:tcPr>
            <w:tcW w:w="3928" w:type="dxa"/>
          </w:tcPr>
          <w:p w14:paraId="6A353E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20</w:t>
            </w:r>
          </w:p>
        </w:tc>
        <w:tc>
          <w:tcPr>
            <w:tcW w:w="2372" w:type="dxa"/>
          </w:tcPr>
          <w:p w14:paraId="17AFDD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Регулятор Р-2.</w:t>
            </w:r>
          </w:p>
        </w:tc>
        <w:tc>
          <w:tcPr>
            <w:tcW w:w="720" w:type="dxa"/>
          </w:tcPr>
          <w:p w14:paraId="50C621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720" w:type="dxa"/>
          </w:tcPr>
          <w:p w14:paraId="5C08D6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20" w:type="dxa"/>
          </w:tcPr>
          <w:p w14:paraId="5A2753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990" w:type="dxa"/>
          </w:tcPr>
          <w:p w14:paraId="31C764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C8D5291" w14:textId="77777777" w:rsidTr="00EA0DA7">
        <w:trPr>
          <w:trHeight w:val="495"/>
        </w:trPr>
        <w:tc>
          <w:tcPr>
            <w:tcW w:w="3928" w:type="dxa"/>
          </w:tcPr>
          <w:p w14:paraId="5481C0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20</w:t>
            </w:r>
          </w:p>
        </w:tc>
        <w:tc>
          <w:tcPr>
            <w:tcW w:w="2372" w:type="dxa"/>
          </w:tcPr>
          <w:p w14:paraId="10B71A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Вакуум-насос АК-4</w:t>
            </w:r>
          </w:p>
        </w:tc>
        <w:tc>
          <w:tcPr>
            <w:tcW w:w="720" w:type="dxa"/>
          </w:tcPr>
          <w:p w14:paraId="5B882B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720" w:type="dxa"/>
          </w:tcPr>
          <w:p w14:paraId="11F506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20" w:type="dxa"/>
          </w:tcPr>
          <w:p w14:paraId="000FC2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90" w:type="dxa"/>
          </w:tcPr>
          <w:p w14:paraId="77B597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r>
      <w:tr w:rsidR="00983732" w:rsidRPr="00A3026E" w14:paraId="4BA01C0B" w14:textId="77777777" w:rsidTr="00EA0DA7">
        <w:trPr>
          <w:trHeight w:val="369"/>
        </w:trPr>
        <w:tc>
          <w:tcPr>
            <w:tcW w:w="3928" w:type="dxa"/>
          </w:tcPr>
          <w:p w14:paraId="24A543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20</w:t>
            </w:r>
          </w:p>
        </w:tc>
        <w:tc>
          <w:tcPr>
            <w:tcW w:w="2372" w:type="dxa"/>
          </w:tcPr>
          <w:p w14:paraId="7322AD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Поршн. кольца 3-х наим.</w:t>
            </w:r>
          </w:p>
        </w:tc>
        <w:tc>
          <w:tcPr>
            <w:tcW w:w="720" w:type="dxa"/>
          </w:tcPr>
          <w:p w14:paraId="147721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720" w:type="dxa"/>
          </w:tcPr>
          <w:p w14:paraId="39530B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20" w:type="dxa"/>
          </w:tcPr>
          <w:p w14:paraId="41F346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2CDA3E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r>
      <w:tr w:rsidR="00983732" w:rsidRPr="00A3026E" w14:paraId="4EA0B6F1" w14:textId="77777777" w:rsidTr="00EA0DA7">
        <w:trPr>
          <w:trHeight w:val="714"/>
        </w:trPr>
        <w:tc>
          <w:tcPr>
            <w:tcW w:w="3928" w:type="dxa"/>
          </w:tcPr>
          <w:p w14:paraId="5860AF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20</w:t>
            </w:r>
          </w:p>
        </w:tc>
        <w:tc>
          <w:tcPr>
            <w:tcW w:w="2372" w:type="dxa"/>
          </w:tcPr>
          <w:p w14:paraId="102B7C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Клапана впускн. и выпускн. в сборе</w:t>
            </w:r>
          </w:p>
        </w:tc>
        <w:tc>
          <w:tcPr>
            <w:tcW w:w="720" w:type="dxa"/>
          </w:tcPr>
          <w:p w14:paraId="6F5CA9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720" w:type="dxa"/>
          </w:tcPr>
          <w:p w14:paraId="50CF8F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20" w:type="dxa"/>
          </w:tcPr>
          <w:p w14:paraId="45C8B6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4013B2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r>
      <w:tr w:rsidR="00983732" w:rsidRPr="00A3026E" w14:paraId="2EA5A502" w14:textId="77777777" w:rsidTr="00EA0DA7">
        <w:trPr>
          <w:trHeight w:val="714"/>
        </w:trPr>
        <w:tc>
          <w:tcPr>
            <w:tcW w:w="3928" w:type="dxa"/>
          </w:tcPr>
          <w:p w14:paraId="069708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20</w:t>
            </w:r>
          </w:p>
        </w:tc>
        <w:tc>
          <w:tcPr>
            <w:tcW w:w="2372" w:type="dxa"/>
          </w:tcPr>
          <w:p w14:paraId="6B30E5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Водяная паша</w:t>
            </w:r>
          </w:p>
        </w:tc>
        <w:tc>
          <w:tcPr>
            <w:tcW w:w="720" w:type="dxa"/>
          </w:tcPr>
          <w:p w14:paraId="4DD271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720" w:type="dxa"/>
          </w:tcPr>
          <w:p w14:paraId="1D4934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20" w:type="dxa"/>
          </w:tcPr>
          <w:p w14:paraId="1C5DE4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592655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r>
      <w:tr w:rsidR="00983732" w:rsidRPr="00A3026E" w14:paraId="3F96E34C" w14:textId="77777777" w:rsidTr="00EA0DA7">
        <w:trPr>
          <w:trHeight w:val="346"/>
        </w:trPr>
        <w:tc>
          <w:tcPr>
            <w:tcW w:w="3928" w:type="dxa"/>
          </w:tcPr>
          <w:p w14:paraId="23B7F7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20</w:t>
            </w:r>
          </w:p>
        </w:tc>
        <w:tc>
          <w:tcPr>
            <w:tcW w:w="2372" w:type="dxa"/>
          </w:tcPr>
          <w:p w14:paraId="639E9E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Масляная помпа</w:t>
            </w:r>
          </w:p>
        </w:tc>
        <w:tc>
          <w:tcPr>
            <w:tcW w:w="720" w:type="dxa"/>
          </w:tcPr>
          <w:p w14:paraId="573B11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720" w:type="dxa"/>
          </w:tcPr>
          <w:p w14:paraId="101BE2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20" w:type="dxa"/>
          </w:tcPr>
          <w:p w14:paraId="18D2D1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6AAE66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r>
      <w:tr w:rsidR="00983732" w:rsidRPr="00A3026E" w14:paraId="454B599E" w14:textId="77777777" w:rsidTr="00EA0DA7">
        <w:trPr>
          <w:trHeight w:val="346"/>
        </w:trPr>
        <w:tc>
          <w:tcPr>
            <w:tcW w:w="3928" w:type="dxa"/>
          </w:tcPr>
          <w:p w14:paraId="1A9AC0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20</w:t>
            </w:r>
          </w:p>
        </w:tc>
        <w:tc>
          <w:tcPr>
            <w:tcW w:w="2372" w:type="dxa"/>
          </w:tcPr>
          <w:p w14:paraId="3DCCBD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Топливная помпа</w:t>
            </w:r>
          </w:p>
        </w:tc>
        <w:tc>
          <w:tcPr>
            <w:tcW w:w="720" w:type="dxa"/>
          </w:tcPr>
          <w:p w14:paraId="728113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720" w:type="dxa"/>
          </w:tcPr>
          <w:p w14:paraId="5CC2C9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20" w:type="dxa"/>
          </w:tcPr>
          <w:p w14:paraId="37BFFA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5AFD5F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r>
      <w:tr w:rsidR="00983732" w:rsidRPr="00A3026E" w14:paraId="32630276" w14:textId="77777777" w:rsidTr="00EA0DA7">
        <w:trPr>
          <w:trHeight w:val="472"/>
        </w:trPr>
        <w:tc>
          <w:tcPr>
            <w:tcW w:w="3928" w:type="dxa"/>
          </w:tcPr>
          <w:p w14:paraId="76B9D4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ЧТЗ</w:t>
            </w:r>
          </w:p>
        </w:tc>
        <w:tc>
          <w:tcPr>
            <w:tcW w:w="2372" w:type="dxa"/>
          </w:tcPr>
          <w:p w14:paraId="522C0E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Топливный насос ТН-12А</w:t>
            </w:r>
          </w:p>
        </w:tc>
        <w:tc>
          <w:tcPr>
            <w:tcW w:w="720" w:type="dxa"/>
          </w:tcPr>
          <w:p w14:paraId="7F3062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720" w:type="dxa"/>
          </w:tcPr>
          <w:p w14:paraId="7E3DAC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15.-10</w:t>
            </w:r>
          </w:p>
        </w:tc>
        <w:tc>
          <w:tcPr>
            <w:tcW w:w="720" w:type="dxa"/>
          </w:tcPr>
          <w:p w14:paraId="1F2276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082C9B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r>
      <w:tr w:rsidR="00983732" w:rsidRPr="00A3026E" w14:paraId="0257DB02" w14:textId="77777777" w:rsidTr="00EA0DA7">
        <w:trPr>
          <w:trHeight w:val="392"/>
        </w:trPr>
        <w:tc>
          <w:tcPr>
            <w:tcW w:w="3928" w:type="dxa"/>
          </w:tcPr>
          <w:p w14:paraId="1B6238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Оргоборонпром № 1</w:t>
            </w:r>
          </w:p>
        </w:tc>
        <w:tc>
          <w:tcPr>
            <w:tcW w:w="2372" w:type="dxa"/>
          </w:tcPr>
          <w:p w14:paraId="2224BC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Турбокомпрессор Э-88</w:t>
            </w:r>
          </w:p>
        </w:tc>
        <w:tc>
          <w:tcPr>
            <w:tcW w:w="720" w:type="dxa"/>
          </w:tcPr>
          <w:p w14:paraId="766A20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720" w:type="dxa"/>
          </w:tcPr>
          <w:p w14:paraId="6072F5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Сент.</w:t>
            </w:r>
          </w:p>
        </w:tc>
        <w:tc>
          <w:tcPr>
            <w:tcW w:w="720" w:type="dxa"/>
          </w:tcPr>
          <w:p w14:paraId="3552DC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46D55C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r>
      <w:tr w:rsidR="00983732" w:rsidRPr="00A3026E" w14:paraId="6636B93C" w14:textId="77777777" w:rsidTr="00EA0DA7">
        <w:trPr>
          <w:trHeight w:val="380"/>
        </w:trPr>
        <w:tc>
          <w:tcPr>
            <w:tcW w:w="3928" w:type="dxa"/>
            <w:tcBorders>
              <w:bottom w:val="single" w:sz="12" w:space="0" w:color="auto"/>
            </w:tcBorders>
          </w:tcPr>
          <w:p w14:paraId="7F799D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28</w:t>
            </w:r>
          </w:p>
        </w:tc>
        <w:tc>
          <w:tcPr>
            <w:tcW w:w="2372" w:type="dxa"/>
            <w:tcBorders>
              <w:bottom w:val="single" w:sz="12" w:space="0" w:color="auto"/>
            </w:tcBorders>
          </w:tcPr>
          <w:p w14:paraId="77ADD6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ВИШ-24</w:t>
            </w:r>
          </w:p>
        </w:tc>
        <w:tc>
          <w:tcPr>
            <w:tcW w:w="720" w:type="dxa"/>
            <w:tcBorders>
              <w:bottom w:val="single" w:sz="12" w:space="0" w:color="auto"/>
            </w:tcBorders>
          </w:tcPr>
          <w:p w14:paraId="62FAF4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720" w:type="dxa"/>
            <w:tcBorders>
              <w:bottom w:val="single" w:sz="12" w:space="0" w:color="auto"/>
            </w:tcBorders>
          </w:tcPr>
          <w:p w14:paraId="5075D7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53E9BC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990" w:type="dxa"/>
            <w:tcBorders>
              <w:bottom w:val="single" w:sz="12" w:space="0" w:color="auto"/>
            </w:tcBorders>
          </w:tcPr>
          <w:p w14:paraId="48E3CC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bl>
    <w:p w14:paraId="5C6D1E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Предписанием Экономсовета при СНК СССР от 8/Х-40 г. за № 667/соп заводам-поставщикам вторично было предложено поставить детали и узлы к 20/Х-40 г. Это предписание также не выполнено.</w:t>
      </w:r>
    </w:p>
    <w:p w14:paraId="612B3C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Сроки поставки агрегатов и узлов уже дважды сорваны заводами №№ 219, 20, Оргавиапром № 1 (НКАП), в силу чегно вполнение постановления КО № 200сс на заводе № 75 находится под угрозой срыва.</w:t>
      </w:r>
    </w:p>
    <w:p w14:paraId="52C19A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Просим Вас виновных привлечь к ответственности и оказать содействие в обеспечении нас агрегатами и де</w:t>
      </w:r>
      <w:r w:rsidRPr="00A3026E">
        <w:rPr>
          <w:rFonts w:ascii="Times New Roman" w:hAnsi="Times New Roman"/>
          <w:color w:val="000000" w:themeColor="text1"/>
          <w:sz w:val="16"/>
          <w:szCs w:val="16"/>
        </w:rPr>
        <w:softHyphen/>
        <w:t>талями для выполнения правите льственшго задания (10499,55).</w:t>
      </w:r>
    </w:p>
    <w:p w14:paraId="684822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256111E"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27 октября 1940 г. на самолете И-153 с ПВРД ДМ-4 на вы соте 2000 км было получено увеличение скорости с 389 км/ч до 440 км/ч, т.е. прирост скорости составил 51 км/ч. Но при этом расход бензина у ПВРД оказался большим, чем у ПД и составил около 20 кг/мин.</w:t>
      </w:r>
    </w:p>
    <w:p w14:paraId="2ADB8404"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По результатам летных испытаний самолета И-153 с ПВРД был составлен акт, в котором говорилось: «В октябре 1940 г.</w:t>
      </w:r>
    </w:p>
    <w:p w14:paraId="4264584F"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отдел изобретений завода провел летные испытания самолета И-153 с воздушно-реактивными двигателями конструкции инженера Меркулова И.А. Воздушно-реактивные двигатели были установлены на самолете в качестве дополнительных моторов под нижними плоскостями и укреплены на существу ющих бомбовых балках.</w:t>
      </w:r>
    </w:p>
    <w:p w14:paraId="1E9C93C9"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Вес двух дополнительных моторов составил 60 кг.</w:t>
      </w:r>
    </w:p>
    <w:p w14:paraId="77DE4BA0"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Питание горючим дополнительные моторы получали из име ющегося на самолете бензобака одновременно с мотором М-62.</w:t>
      </w:r>
    </w:p>
    <w:p w14:paraId="26082F83"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Управление дополнительными моторами осуществлялось одной ручкой, установленной в кабине пилота.</w:t>
      </w:r>
    </w:p>
    <w:p w14:paraId="23138E22"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Испытание самолета И-153 производил летчик Логинов П.Е. на Центральном аэродроме им. Фрунзе. Программа ис пытаний состояла из 20 полетов, предусматривающих провер ку прочности самолета с дополнительными моторами, испы тание работы дополнительных моторов и определения прирос та максимальных скоростей.</w:t>
      </w:r>
    </w:p>
    <w:p w14:paraId="40406426"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Летные испытания позволили полностью установить факт эффективной работы воздушно-реактивных двигателей и увели чения благодаря их действию максимальной скорости полета.</w:t>
      </w:r>
    </w:p>
    <w:p w14:paraId="014EEFAF"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Испытанные воздушно-реактивные двигатели обладают способностью работать на любом сорте авиационного бензина независимо от дозировки этиловой жидкости.</w:t>
      </w:r>
    </w:p>
    <w:p w14:paraId="4C4DB2F0"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Долговечность двигателей проверена продолжительными испытаниями на земле и в полете.</w:t>
      </w:r>
    </w:p>
    <w:p w14:paraId="5BD67B07"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Летные испытания установили, что самолет И-153 при по лете на высоте 2000 метров при работе воздушно-реактивных двигателей, увеличивает свою максимальную скорость с 389 км/ч до 440 км/ч, т.е. увеличивает максимальную ско рость полета на 51 км/ч» [36].</w:t>
      </w:r>
    </w:p>
    <w:p w14:paraId="4E3A98AE"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Результаты летных испытаний получили положительную оценку в приказе Наркома авиационной промышленности № 391 от 16 декабря 1940 г.</w:t>
      </w:r>
    </w:p>
    <w:p w14:paraId="39001C95"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то же время летные испытания позволили выявить ос новные недостатки двигателей и задачи дальнейшей исследо вательской и конструкторской работы в области их совершен ствования. Этими задачами, как ясно показали летные испы тания, являлись исследования процесса горения в камере ПВРД и его улучшение в целях повышения полноты сгорания, усо вершенствование системы зажигания и доводка конструкции ПВРД в отношении ее дальнейшего облегчения, а также осна щение двигателей контрольно-измерительной аппаратурой и автоматикой.</w:t>
      </w:r>
    </w:p>
    <w:p w14:paraId="54556402"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Всего при испытании обоих самолетов с ПВРД ДМ- и ДМ-4 было сделано 74 полета, выполненных без единой аварии.</w:t>
      </w:r>
    </w:p>
    <w:p w14:paraId="6AEA7F6F"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Работа по проектированию и летным испытаниям ПВРД на самолетах Н.Н. Поликарпова была начата в Отделе специ альных конструкций руководимым А.Я. Щербаковым и про должена в Отделе изобретений завода «Авиахим» под руко водством В.В. Кольцова и Блаймана.</w:t>
      </w:r>
    </w:p>
    <w:p w14:paraId="4127B5F1"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Ее выполняла конструкторская группа, в состав которой вхо дили конструкторы И.А. Меркулов, А.П. Масолов, А.А. Мель ников, Б.А. Никольский, техники А.А. Гонсовская, З.В. Тол стикова, авиамеханики И.А. Чарный, П.В. Карев, А.Н. Ильин и моторист Г.П. Рыбаков.</w:t>
      </w:r>
    </w:p>
    <w:p w14:paraId="2B7BB8B1"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Параллельно с испытаниями ПВРД, успешно проходили работы этого коллектива и в области освоения высотных по летов в стратосфере.</w:t>
      </w:r>
    </w:p>
    <w:p w14:paraId="4469257C"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К концу 1940 г. эти работы завершались созданием ряда герметических кабин, в которых были осуществлены полеты на высотах свыше 12 000 м.</w:t>
      </w:r>
    </w:p>
    <w:p w14:paraId="10CFCEF5"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На самолете И-153 была установлена герметическая каби на отечественной конструкции. Она прошла государственные испытания в НИИ ВВС и была рекомендована для установки на ряд боевых самолетов.</w:t>
      </w:r>
    </w:p>
    <w:p w14:paraId="0F43365E"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Этот успех с созданием герметических кабин, высотные полеты на планерах, освещенные в отечественной и зарубеж ной прессе, и успешные испытания ПВРД послужили основа нием выхода важного решения ЦК ВКП (б) и СНК СССР об организации опытного завода, на котором должны были быть продолжены работы по освоению высокоскоростных самоле тов (19586).</w:t>
      </w:r>
    </w:p>
    <w:p w14:paraId="208971D1" w14:textId="77777777" w:rsidR="00D73D62" w:rsidRPr="00A3026E"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60E942F" w14:textId="77777777" w:rsidR="00AD22AA" w:rsidRPr="00A3026E" w:rsidRDefault="00AD22AA"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5857C037" w14:textId="77777777" w:rsidR="00AD22AA" w:rsidRPr="00A3026E" w:rsidRDefault="00AD22AA" w:rsidP="00A3026E">
      <w:pPr>
        <w:spacing w:after="0" w:line="240" w:lineRule="auto"/>
        <w:jc w:val="both"/>
        <w:rPr>
          <w:rFonts w:ascii="Times New Roman" w:hAnsi="Times New Roman"/>
          <w:iCs/>
          <w:color w:val="000000" w:themeColor="text1"/>
          <w:sz w:val="16"/>
          <w:szCs w:val="16"/>
        </w:rPr>
      </w:pPr>
    </w:p>
    <w:p w14:paraId="367D69DE"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27 октября 1940 была Докладная записка директора завода № 92 им. В. И. Ленина А. С. Еляна и главного конструктора В. Г. Грабина И. В. Сталину об успешной разработке и изготовлении новых танковых и казематных пушек</w:t>
      </w:r>
    </w:p>
    <w:p w14:paraId="04533E52"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Завод № 92, 14 июня с/г. получил при</w:t>
      </w:r>
      <w:r w:rsidRPr="00A3026E">
        <w:rPr>
          <w:rFonts w:ascii="Times New Roman" w:hAnsi="Times New Roman"/>
          <w:color w:val="0070C0"/>
          <w:sz w:val="16"/>
          <w:szCs w:val="16"/>
        </w:rPr>
        <w:softHyphen/>
        <w:t>казание Народного Комиссара Вооружения тов. ВАННИКОВА В.Л. разработать и изготовить к 1-му октября с/г. 76 мм (Ф-27) и 85 мм (Ф-30) танковые и 76 мм (Ф-26) противотан- пушки. Все эти образцы не только сконструированы и изготовлены, но прошли и выдержали завод</w:t>
      </w:r>
      <w:r w:rsidRPr="00A3026E">
        <w:rPr>
          <w:rFonts w:ascii="Times New Roman" w:hAnsi="Times New Roman"/>
          <w:color w:val="0070C0"/>
          <w:sz w:val="16"/>
          <w:szCs w:val="16"/>
        </w:rPr>
        <w:softHyphen/>
        <w:t>ские испытания. Всего сделано выстрелов: ф-27 -316, Ф-30 - 208 и Ф-26 - 564. По системе Ф-26 испытания продолжаются.</w:t>
      </w:r>
    </w:p>
    <w:p w14:paraId="088A8D02"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Учитывая, что заводом № 183 выпускаются более мощные танки Т-34, которые не были обеспечены соответствующим вооружением, инициативой конструк</w:t>
      </w:r>
      <w:r w:rsidRPr="00A3026E">
        <w:rPr>
          <w:rFonts w:ascii="Times New Roman" w:hAnsi="Times New Roman"/>
          <w:color w:val="0070C0"/>
          <w:sz w:val="16"/>
          <w:szCs w:val="16"/>
        </w:rPr>
        <w:softHyphen/>
        <w:t>торов завода № 92, в целях быстрейшего снабжения танков Т-34 мощной пушкой, с августа с/г. скорост</w:t>
      </w:r>
      <w:r w:rsidRPr="00A3026E">
        <w:rPr>
          <w:rFonts w:ascii="Times New Roman" w:hAnsi="Times New Roman"/>
          <w:color w:val="0070C0"/>
          <w:sz w:val="16"/>
          <w:szCs w:val="16"/>
        </w:rPr>
        <w:softHyphen/>
        <w:t>ными методами сконструированы и заводом изготовле</w:t>
      </w:r>
      <w:r w:rsidRPr="00A3026E">
        <w:rPr>
          <w:rFonts w:ascii="Times New Roman" w:hAnsi="Times New Roman"/>
          <w:color w:val="0070C0"/>
          <w:sz w:val="16"/>
          <w:szCs w:val="16"/>
        </w:rPr>
        <w:softHyphen/>
        <w:t>ны следующие новые артиллерийские системы:</w:t>
      </w:r>
    </w:p>
    <w:p w14:paraId="46504890"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Танковые пушки.</w:t>
      </w:r>
    </w:p>
    <w:p w14:paraId="10FC970E"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76 мм танковая пушка (ф-34)</w:t>
      </w:r>
    </w:p>
    <w:p w14:paraId="453BA64A"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57 мм танковая пушка (ф-2), которая отли</w:t>
      </w:r>
      <w:r w:rsidRPr="00A3026E">
        <w:rPr>
          <w:rFonts w:ascii="Times New Roman" w:hAnsi="Times New Roman"/>
          <w:color w:val="0070C0"/>
          <w:sz w:val="16"/>
          <w:szCs w:val="16"/>
        </w:rPr>
        <w:softHyphen/>
        <w:t>чается от пушки '5-34 только одной трубой.</w:t>
      </w:r>
    </w:p>
    <w:p w14:paraId="1C67332F"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Головной образец пушки Ф-34 в настоящее время проходит заводские испытания. Уже произведено 900 выстрелов.</w:t>
      </w:r>
    </w:p>
    <w:p w14:paraId="3E2364CC"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Темп огня: 499 выстрелов за 4 часа 22 минуты, 300 выстрелов за 2 часа 40 минут. Средний темп огня 50 выстрелов за 10 минут. Испытаниями установлены хо</w:t>
      </w:r>
      <w:r w:rsidRPr="00A3026E">
        <w:rPr>
          <w:rFonts w:ascii="Times New Roman" w:hAnsi="Times New Roman"/>
          <w:color w:val="0070C0"/>
          <w:sz w:val="16"/>
          <w:szCs w:val="16"/>
        </w:rPr>
        <w:softHyphen/>
        <w:t>рошие качества пушки.</w:t>
      </w:r>
    </w:p>
    <w:p w14:paraId="6EDEADF7"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Параллельно с изготовлением головного образ</w:t>
      </w:r>
      <w:r w:rsidRPr="00A3026E">
        <w:rPr>
          <w:rFonts w:ascii="Times New Roman" w:hAnsi="Times New Roman"/>
          <w:color w:val="0070C0"/>
          <w:sz w:val="16"/>
          <w:szCs w:val="16"/>
        </w:rPr>
        <w:softHyphen/>
        <w:t>ца завод подготавливает производство этих пушек (с расчетом выпуска 3.000 систем в 1941 году) 57 м/м танковая пушка (Ф-2) заканчивается в изготовлении.</w:t>
      </w:r>
    </w:p>
    <w:p w14:paraId="6FC4BDFC"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 Казематные пушки</w:t>
      </w:r>
    </w:p>
    <w:p w14:paraId="69B9640E"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Установка мощной пушки в ДОТ крайне нудна, казематы уде изготовлены, однако совершенного обра</w:t>
      </w:r>
      <w:r w:rsidRPr="00A3026E">
        <w:rPr>
          <w:rFonts w:ascii="Times New Roman" w:hAnsi="Times New Roman"/>
          <w:color w:val="0070C0"/>
          <w:sz w:val="16"/>
          <w:szCs w:val="16"/>
        </w:rPr>
        <w:softHyphen/>
        <w:t>зца для их вооружения нет. Так как казематное сооруж</w:t>
      </w:r>
      <w:r w:rsidRPr="00A3026E">
        <w:rPr>
          <w:rFonts w:ascii="Times New Roman" w:hAnsi="Times New Roman"/>
          <w:color w:val="0070C0"/>
          <w:sz w:val="16"/>
          <w:szCs w:val="16"/>
        </w:rPr>
        <w:softHyphen/>
        <w:t>ение дорогое, по инициативе конструкторов завода !₽ 92, на базе пушки Ф-34, разработаны такие казе</w:t>
      </w:r>
      <w:r w:rsidRPr="00A3026E">
        <w:rPr>
          <w:rFonts w:ascii="Times New Roman" w:hAnsi="Times New Roman"/>
          <w:color w:val="0070C0"/>
          <w:sz w:val="16"/>
          <w:szCs w:val="16"/>
        </w:rPr>
        <w:softHyphen/>
        <w:t>матные установки (Ф-30 и Ф-1), которые обеспечивают полное использование имеющегося каземата от пушки Л-11 Кировского завода, лишь с небольшим измене</w:t>
      </w:r>
      <w:r w:rsidRPr="00A3026E">
        <w:rPr>
          <w:rFonts w:ascii="Times New Roman" w:hAnsi="Times New Roman"/>
          <w:color w:val="0070C0"/>
          <w:sz w:val="16"/>
          <w:szCs w:val="16"/>
        </w:rPr>
        <w:softHyphen/>
        <w:t>нием только одной детали.</w:t>
      </w:r>
    </w:p>
    <w:p w14:paraId="08406281"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Опытный образец пушки Ф-30 заводом изготовлен и из него произведено 1010 выстрелов. За 4 часа 18 минут произведено 000 выстрелов, из них 300 выст</w:t>
      </w:r>
      <w:r w:rsidRPr="00A3026E">
        <w:rPr>
          <w:rFonts w:ascii="Times New Roman" w:hAnsi="Times New Roman"/>
          <w:color w:val="0070C0"/>
          <w:sz w:val="16"/>
          <w:szCs w:val="16"/>
        </w:rPr>
        <w:softHyphen/>
        <w:t>релов - за 53 минуты при скорострельности 50 выст</w:t>
      </w:r>
      <w:r w:rsidRPr="00A3026E">
        <w:rPr>
          <w:rFonts w:ascii="Times New Roman" w:hAnsi="Times New Roman"/>
          <w:color w:val="0070C0"/>
          <w:sz w:val="16"/>
          <w:szCs w:val="16"/>
        </w:rPr>
        <w:softHyphen/>
        <w:t>релов за 1 минуту 15 секунд. Стрельба показала вы</w:t>
      </w:r>
      <w:r w:rsidRPr="00A3026E">
        <w:rPr>
          <w:rFonts w:ascii="Times New Roman" w:hAnsi="Times New Roman"/>
          <w:color w:val="0070C0"/>
          <w:sz w:val="16"/>
          <w:szCs w:val="16"/>
        </w:rPr>
        <w:softHyphen/>
        <w:t>сокие боевые качества -пушки.</w:t>
      </w:r>
    </w:p>
    <w:p w14:paraId="290F942E"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57 мм пушка Ф-1 в ДОТ заканчивается в изготовле</w:t>
      </w:r>
      <w:r w:rsidRPr="00A3026E">
        <w:rPr>
          <w:rFonts w:ascii="Times New Roman" w:hAnsi="Times New Roman"/>
          <w:color w:val="0070C0"/>
          <w:sz w:val="16"/>
          <w:szCs w:val="16"/>
        </w:rPr>
        <w:softHyphen/>
        <w:t>нии. Произведен расчет бронепробиваемости, ре</w:t>
      </w:r>
      <w:r w:rsidRPr="00A3026E">
        <w:rPr>
          <w:rFonts w:ascii="Times New Roman" w:hAnsi="Times New Roman"/>
          <w:color w:val="0070C0"/>
          <w:sz w:val="16"/>
          <w:szCs w:val="16"/>
        </w:rPr>
        <w:softHyphen/>
        <w:t>зультаты которого сведены в таблицу:</w:t>
      </w:r>
    </w:p>
    <w:p w14:paraId="55B46DB8"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w:t>
      </w:r>
    </w:p>
    <w:p w14:paraId="05E210DA"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В целях освобождения от иностранной зависимости по ферросплавам при изготовлении 57 м/м и 76 м/м танковых и 57 м/м и 76 м/м казематных пушек большинство дета</w:t>
      </w:r>
      <w:r w:rsidRPr="00A3026E">
        <w:rPr>
          <w:rFonts w:ascii="Times New Roman" w:hAnsi="Times New Roman"/>
          <w:color w:val="0070C0"/>
          <w:sz w:val="16"/>
          <w:szCs w:val="16"/>
        </w:rPr>
        <w:softHyphen/>
        <w:t>лей переведены на углродистую сталь вместо высоко</w:t>
      </w:r>
      <w:r w:rsidRPr="00A3026E">
        <w:rPr>
          <w:rFonts w:ascii="Times New Roman" w:hAnsi="Times New Roman"/>
          <w:color w:val="0070C0"/>
          <w:sz w:val="16"/>
          <w:szCs w:val="16"/>
        </w:rPr>
        <w:softHyphen/>
        <w:t>легированной</w:t>
      </w:r>
    </w:p>
    <w:p w14:paraId="4CAD28FA"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разработке вышеуказанных систем Кон</w:t>
      </w:r>
      <w:r w:rsidRPr="00A3026E">
        <w:rPr>
          <w:rFonts w:ascii="Times New Roman" w:hAnsi="Times New Roman"/>
          <w:color w:val="0070C0"/>
          <w:sz w:val="16"/>
          <w:szCs w:val="16"/>
        </w:rPr>
        <w:softHyphen/>
        <w:t>структора широко применили унификацию отдельных деталей и механизмов, что обеспечивает быструю постановку систем на валовое производство, сни</w:t>
      </w:r>
      <w:r w:rsidRPr="00A3026E">
        <w:rPr>
          <w:rFonts w:ascii="Times New Roman" w:hAnsi="Times New Roman"/>
          <w:color w:val="0070C0"/>
          <w:sz w:val="16"/>
          <w:szCs w:val="16"/>
        </w:rPr>
        <w:softHyphen/>
        <w:t>жает их себестоимость, упрощает снабжение армии, а также облегчает подготовку личного состава.</w:t>
      </w:r>
    </w:p>
    <w:p w14:paraId="2A09D7FD"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Таблица использования деталей.</w:t>
      </w:r>
    </w:p>
    <w:tbl>
      <w:tblPr>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490"/>
        <w:gridCol w:w="288"/>
        <w:gridCol w:w="409"/>
        <w:gridCol w:w="1198"/>
        <w:gridCol w:w="1175"/>
        <w:gridCol w:w="1112"/>
        <w:gridCol w:w="956"/>
        <w:gridCol w:w="1215"/>
      </w:tblGrid>
      <w:tr w:rsidR="00AD22AA" w:rsidRPr="00A3026E" w14:paraId="1890E5D6" w14:textId="77777777" w:rsidTr="007609C9">
        <w:trPr>
          <w:trHeight w:hRule="exact" w:val="351"/>
          <w:jc w:val="center"/>
        </w:trPr>
        <w:tc>
          <w:tcPr>
            <w:tcW w:w="490" w:type="dxa"/>
            <w:vAlign w:val="bottom"/>
            <w:hideMark/>
          </w:tcPr>
          <w:p w14:paraId="56AFBE3B" w14:textId="77777777" w:rsidR="00AD22AA" w:rsidRPr="00A3026E" w:rsidRDefault="00AD22AA" w:rsidP="00A3026E">
            <w:pPr>
              <w:spacing w:after="0" w:line="240" w:lineRule="auto"/>
              <w:jc w:val="both"/>
              <w:rPr>
                <w:rFonts w:ascii="Times New Roman" w:hAnsi="Times New Roman"/>
                <w:color w:val="0070C0"/>
                <w:sz w:val="16"/>
                <w:szCs w:val="16"/>
              </w:rPr>
            </w:pPr>
          </w:p>
        </w:tc>
        <w:tc>
          <w:tcPr>
            <w:tcW w:w="697" w:type="dxa"/>
            <w:gridSpan w:val="2"/>
            <w:vMerge w:val="restart"/>
            <w:vAlign w:val="bottom"/>
            <w:hideMark/>
          </w:tcPr>
          <w:p w14:paraId="2F21B58D"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Калибр</w:t>
            </w:r>
          </w:p>
        </w:tc>
        <w:tc>
          <w:tcPr>
            <w:tcW w:w="1198" w:type="dxa"/>
            <w:vAlign w:val="bottom"/>
            <w:hideMark/>
          </w:tcPr>
          <w:p w14:paraId="3B3EAD14" w14:textId="77777777" w:rsidR="00AD22AA" w:rsidRPr="00A3026E" w:rsidRDefault="00AD22AA" w:rsidP="00A3026E">
            <w:pPr>
              <w:spacing w:after="0" w:line="240" w:lineRule="auto"/>
              <w:jc w:val="both"/>
              <w:rPr>
                <w:rFonts w:ascii="Times New Roman" w:hAnsi="Times New Roman"/>
                <w:color w:val="0070C0"/>
                <w:sz w:val="16"/>
                <w:szCs w:val="16"/>
              </w:rPr>
            </w:pPr>
          </w:p>
        </w:tc>
        <w:tc>
          <w:tcPr>
            <w:tcW w:w="2287" w:type="dxa"/>
            <w:gridSpan w:val="2"/>
            <w:vAlign w:val="bottom"/>
            <w:hideMark/>
          </w:tcPr>
          <w:p w14:paraId="6E829D59"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Заимствование деталей от</w:t>
            </w:r>
          </w:p>
        </w:tc>
        <w:tc>
          <w:tcPr>
            <w:tcW w:w="956" w:type="dxa"/>
            <w:vAlign w:val="bottom"/>
            <w:hideMark/>
          </w:tcPr>
          <w:p w14:paraId="23DB4B4E" w14:textId="77777777" w:rsidR="00AD22AA" w:rsidRPr="00A3026E" w:rsidRDefault="00AD22AA" w:rsidP="00A3026E">
            <w:pPr>
              <w:spacing w:after="0" w:line="240" w:lineRule="auto"/>
              <w:jc w:val="both"/>
              <w:rPr>
                <w:rFonts w:ascii="Times New Roman" w:hAnsi="Times New Roman"/>
                <w:color w:val="0070C0"/>
                <w:sz w:val="16"/>
                <w:szCs w:val="16"/>
              </w:rPr>
            </w:pPr>
          </w:p>
        </w:tc>
        <w:tc>
          <w:tcPr>
            <w:tcW w:w="1215" w:type="dxa"/>
            <w:vAlign w:val="center"/>
            <w:hideMark/>
          </w:tcPr>
          <w:p w14:paraId="2EE4BF70" w14:textId="77777777" w:rsidR="00AD22AA" w:rsidRPr="00A3026E" w:rsidRDefault="00AD22AA" w:rsidP="00A3026E">
            <w:pPr>
              <w:spacing w:after="0" w:line="240" w:lineRule="auto"/>
              <w:jc w:val="both"/>
              <w:rPr>
                <w:rFonts w:ascii="Times New Roman" w:hAnsi="Times New Roman"/>
                <w:color w:val="0070C0"/>
                <w:sz w:val="16"/>
                <w:szCs w:val="16"/>
              </w:rPr>
            </w:pPr>
          </w:p>
        </w:tc>
      </w:tr>
      <w:tr w:rsidR="00AD22AA" w:rsidRPr="00A3026E" w14:paraId="79173270" w14:textId="77777777" w:rsidTr="007609C9">
        <w:trPr>
          <w:trHeight w:hRule="exact" w:val="772"/>
          <w:jc w:val="center"/>
        </w:trPr>
        <w:tc>
          <w:tcPr>
            <w:tcW w:w="490" w:type="dxa"/>
            <w:hideMark/>
          </w:tcPr>
          <w:p w14:paraId="09CDF46C"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Ин декс</w:t>
            </w:r>
          </w:p>
        </w:tc>
        <w:tc>
          <w:tcPr>
            <w:tcW w:w="1106" w:type="dxa"/>
            <w:gridSpan w:val="2"/>
            <w:vMerge/>
            <w:vAlign w:val="center"/>
            <w:hideMark/>
          </w:tcPr>
          <w:p w14:paraId="3D26971F" w14:textId="77777777" w:rsidR="00AD22AA" w:rsidRPr="00A3026E" w:rsidRDefault="00AD22AA" w:rsidP="00A3026E">
            <w:pPr>
              <w:spacing w:after="0" w:line="240" w:lineRule="auto"/>
              <w:jc w:val="both"/>
              <w:rPr>
                <w:rFonts w:ascii="Times New Roman" w:hAnsi="Times New Roman"/>
                <w:color w:val="0070C0"/>
                <w:sz w:val="16"/>
                <w:szCs w:val="16"/>
              </w:rPr>
            </w:pPr>
          </w:p>
        </w:tc>
        <w:tc>
          <w:tcPr>
            <w:tcW w:w="1198" w:type="dxa"/>
            <w:hideMark/>
          </w:tcPr>
          <w:p w14:paraId="0C804978"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Назначение пушки</w:t>
            </w:r>
          </w:p>
        </w:tc>
        <w:tc>
          <w:tcPr>
            <w:tcW w:w="1175" w:type="dxa"/>
            <w:hideMark/>
          </w:tcPr>
          <w:p w14:paraId="308F45D4"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мм танкой пуш</w:t>
            </w:r>
            <w:r w:rsidRPr="00A3026E">
              <w:rPr>
                <w:rFonts w:ascii="Times New Roman" w:hAnsi="Times New Roman"/>
                <w:color w:val="0070C0"/>
                <w:sz w:val="16"/>
                <w:szCs w:val="16"/>
              </w:rPr>
              <w:softHyphen/>
              <w:t>ки Ф-34</w:t>
            </w:r>
          </w:p>
        </w:tc>
        <w:tc>
          <w:tcPr>
            <w:tcW w:w="1112" w:type="dxa"/>
            <w:hideMark/>
          </w:tcPr>
          <w:p w14:paraId="0376A991"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76 мм ди</w:t>
            </w:r>
            <w:r w:rsidRPr="00A3026E">
              <w:rPr>
                <w:rFonts w:ascii="Times New Roman" w:hAnsi="Times New Roman"/>
                <w:color w:val="0070C0"/>
                <w:sz w:val="16"/>
                <w:szCs w:val="16"/>
              </w:rPr>
              <w:softHyphen/>
              <w:t>визионной пушки Ф-22 УСВ</w:t>
            </w:r>
          </w:p>
        </w:tc>
        <w:tc>
          <w:tcPr>
            <w:tcW w:w="956" w:type="dxa"/>
            <w:hideMark/>
          </w:tcPr>
          <w:p w14:paraId="7A53C117"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76 мм ка</w:t>
            </w:r>
            <w:r w:rsidRPr="00A3026E">
              <w:rPr>
                <w:rFonts w:ascii="Times New Roman" w:hAnsi="Times New Roman"/>
                <w:color w:val="0070C0"/>
                <w:sz w:val="16"/>
                <w:szCs w:val="16"/>
              </w:rPr>
              <w:softHyphen/>
              <w:t>зематной пушки Ф-38</w:t>
            </w:r>
          </w:p>
          <w:p w14:paraId="7A239001" w14:textId="77777777" w:rsidR="00AD22AA" w:rsidRPr="00A3026E" w:rsidRDefault="00AD22AA" w:rsidP="00A3026E">
            <w:pPr>
              <w:spacing w:after="0" w:line="240" w:lineRule="auto"/>
              <w:jc w:val="both"/>
              <w:rPr>
                <w:rFonts w:ascii="Times New Roman" w:hAnsi="Times New Roman"/>
                <w:color w:val="0070C0"/>
                <w:sz w:val="16"/>
                <w:szCs w:val="16"/>
              </w:rPr>
            </w:pPr>
          </w:p>
        </w:tc>
        <w:tc>
          <w:tcPr>
            <w:tcW w:w="1215" w:type="dxa"/>
            <w:hideMark/>
          </w:tcPr>
          <w:p w14:paraId="415871EC"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деталей</w:t>
            </w:r>
          </w:p>
        </w:tc>
      </w:tr>
      <w:tr w:rsidR="00AD22AA" w:rsidRPr="00A3026E" w14:paraId="53D2B1CC" w14:textId="77777777" w:rsidTr="007609C9">
        <w:trPr>
          <w:trHeight w:hRule="exact" w:val="599"/>
          <w:jc w:val="center"/>
        </w:trPr>
        <w:tc>
          <w:tcPr>
            <w:tcW w:w="778" w:type="dxa"/>
            <w:gridSpan w:val="2"/>
            <w:vAlign w:val="center"/>
            <w:hideMark/>
          </w:tcPr>
          <w:p w14:paraId="09F6EC60"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Ф-26 76</w:t>
            </w:r>
          </w:p>
        </w:tc>
        <w:tc>
          <w:tcPr>
            <w:tcW w:w="409" w:type="dxa"/>
            <w:vAlign w:val="center"/>
            <w:hideMark/>
          </w:tcPr>
          <w:p w14:paraId="60D6D1C0"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мм</w:t>
            </w:r>
          </w:p>
        </w:tc>
        <w:tc>
          <w:tcPr>
            <w:tcW w:w="1198" w:type="dxa"/>
            <w:vAlign w:val="center"/>
            <w:hideMark/>
          </w:tcPr>
          <w:p w14:paraId="2C399967"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Противотан</w:t>
            </w:r>
            <w:r w:rsidRPr="00A3026E">
              <w:rPr>
                <w:rFonts w:ascii="Times New Roman" w:hAnsi="Times New Roman"/>
                <w:color w:val="0070C0"/>
                <w:sz w:val="16"/>
                <w:szCs w:val="16"/>
              </w:rPr>
              <w:softHyphen/>
              <w:t>ковая</w:t>
            </w:r>
          </w:p>
        </w:tc>
        <w:tc>
          <w:tcPr>
            <w:tcW w:w="1175" w:type="dxa"/>
            <w:vAlign w:val="bottom"/>
            <w:hideMark/>
          </w:tcPr>
          <w:p w14:paraId="38BED86A"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w:t>
            </w:r>
          </w:p>
        </w:tc>
        <w:tc>
          <w:tcPr>
            <w:tcW w:w="1112" w:type="dxa"/>
            <w:vAlign w:val="bottom"/>
            <w:hideMark/>
          </w:tcPr>
          <w:p w14:paraId="0C8125BD"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94%</w:t>
            </w:r>
          </w:p>
        </w:tc>
        <w:tc>
          <w:tcPr>
            <w:tcW w:w="956" w:type="dxa"/>
            <w:vAlign w:val="bottom"/>
            <w:hideMark/>
          </w:tcPr>
          <w:p w14:paraId="51918539"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w:t>
            </w:r>
          </w:p>
        </w:tc>
        <w:tc>
          <w:tcPr>
            <w:tcW w:w="1215" w:type="dxa"/>
          </w:tcPr>
          <w:p w14:paraId="56B0B313" w14:textId="77777777" w:rsidR="00AD22AA" w:rsidRPr="00A3026E" w:rsidRDefault="00AD22AA" w:rsidP="00A3026E">
            <w:pPr>
              <w:spacing w:after="0" w:line="240" w:lineRule="auto"/>
              <w:jc w:val="both"/>
              <w:rPr>
                <w:rFonts w:ascii="Times New Roman" w:hAnsi="Times New Roman"/>
                <w:color w:val="0070C0"/>
                <w:sz w:val="16"/>
                <w:szCs w:val="16"/>
              </w:rPr>
            </w:pPr>
          </w:p>
        </w:tc>
      </w:tr>
      <w:tr w:rsidR="00AD22AA" w:rsidRPr="00A3026E" w14:paraId="2DC29724" w14:textId="77777777" w:rsidTr="007609C9">
        <w:trPr>
          <w:trHeight w:hRule="exact" w:val="340"/>
          <w:jc w:val="center"/>
        </w:trPr>
        <w:tc>
          <w:tcPr>
            <w:tcW w:w="490" w:type="dxa"/>
            <w:vAlign w:val="bottom"/>
            <w:hideMark/>
          </w:tcPr>
          <w:p w14:paraId="54FBCD67"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Ф-27</w:t>
            </w:r>
          </w:p>
        </w:tc>
        <w:tc>
          <w:tcPr>
            <w:tcW w:w="288" w:type="dxa"/>
            <w:vAlign w:val="bottom"/>
            <w:hideMark/>
          </w:tcPr>
          <w:p w14:paraId="5B03D0A4"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76</w:t>
            </w:r>
          </w:p>
        </w:tc>
        <w:tc>
          <w:tcPr>
            <w:tcW w:w="409" w:type="dxa"/>
            <w:vAlign w:val="bottom"/>
            <w:hideMark/>
          </w:tcPr>
          <w:p w14:paraId="3C6816D2"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мм</w:t>
            </w:r>
          </w:p>
        </w:tc>
        <w:tc>
          <w:tcPr>
            <w:tcW w:w="1198" w:type="dxa"/>
            <w:vAlign w:val="bottom"/>
            <w:hideMark/>
          </w:tcPr>
          <w:p w14:paraId="004037B5"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Танковая</w:t>
            </w:r>
          </w:p>
        </w:tc>
        <w:tc>
          <w:tcPr>
            <w:tcW w:w="1175" w:type="dxa"/>
            <w:vAlign w:val="bottom"/>
            <w:hideMark/>
          </w:tcPr>
          <w:p w14:paraId="3AA5BDD2"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85,ЗС</w:t>
            </w:r>
          </w:p>
        </w:tc>
        <w:tc>
          <w:tcPr>
            <w:tcW w:w="1112" w:type="dxa"/>
            <w:vAlign w:val="bottom"/>
            <w:hideMark/>
          </w:tcPr>
          <w:p w14:paraId="036FFB6F"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w:t>
            </w:r>
          </w:p>
        </w:tc>
        <w:tc>
          <w:tcPr>
            <w:tcW w:w="956" w:type="dxa"/>
          </w:tcPr>
          <w:p w14:paraId="7A0D8087" w14:textId="77777777" w:rsidR="00AD22AA" w:rsidRPr="00A3026E" w:rsidRDefault="00AD22AA" w:rsidP="00A3026E">
            <w:pPr>
              <w:spacing w:after="0" w:line="240" w:lineRule="auto"/>
              <w:jc w:val="both"/>
              <w:rPr>
                <w:rFonts w:ascii="Times New Roman" w:hAnsi="Times New Roman"/>
                <w:color w:val="0070C0"/>
                <w:sz w:val="16"/>
                <w:szCs w:val="16"/>
              </w:rPr>
            </w:pPr>
          </w:p>
        </w:tc>
        <w:tc>
          <w:tcPr>
            <w:tcW w:w="1215" w:type="dxa"/>
            <w:vAlign w:val="bottom"/>
            <w:hideMark/>
          </w:tcPr>
          <w:p w14:paraId="7308A583"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10,5%</w:t>
            </w:r>
          </w:p>
        </w:tc>
      </w:tr>
      <w:tr w:rsidR="00AD22AA" w:rsidRPr="00A3026E" w14:paraId="6CAF51C6" w14:textId="77777777" w:rsidTr="007609C9">
        <w:trPr>
          <w:trHeight w:hRule="exact" w:val="276"/>
          <w:jc w:val="center"/>
        </w:trPr>
        <w:tc>
          <w:tcPr>
            <w:tcW w:w="490" w:type="dxa"/>
            <w:shd w:val="clear" w:color="auto" w:fill="auto"/>
            <w:hideMark/>
          </w:tcPr>
          <w:p w14:paraId="1D2CFFFF"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Ф-30о</w:t>
            </w:r>
          </w:p>
        </w:tc>
        <w:tc>
          <w:tcPr>
            <w:tcW w:w="288" w:type="dxa"/>
            <w:hideMark/>
          </w:tcPr>
          <w:p w14:paraId="62658ACA"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85</w:t>
            </w:r>
          </w:p>
        </w:tc>
        <w:tc>
          <w:tcPr>
            <w:tcW w:w="409" w:type="dxa"/>
            <w:hideMark/>
          </w:tcPr>
          <w:p w14:paraId="6C8A4737"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мм</w:t>
            </w:r>
          </w:p>
        </w:tc>
        <w:tc>
          <w:tcPr>
            <w:tcW w:w="1198" w:type="dxa"/>
            <w:hideMark/>
          </w:tcPr>
          <w:p w14:paraId="0FDAEF09"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Танковая</w:t>
            </w:r>
          </w:p>
        </w:tc>
        <w:tc>
          <w:tcPr>
            <w:tcW w:w="1175" w:type="dxa"/>
            <w:hideMark/>
          </w:tcPr>
          <w:p w14:paraId="5D10EF07"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26%</w:t>
            </w:r>
          </w:p>
        </w:tc>
        <w:tc>
          <w:tcPr>
            <w:tcW w:w="1112" w:type="dxa"/>
            <w:hideMark/>
          </w:tcPr>
          <w:p w14:paraId="6DAED9AC"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w:t>
            </w:r>
          </w:p>
        </w:tc>
        <w:tc>
          <w:tcPr>
            <w:tcW w:w="956" w:type="dxa"/>
          </w:tcPr>
          <w:p w14:paraId="67E19E88" w14:textId="77777777" w:rsidR="00AD22AA" w:rsidRPr="00A3026E" w:rsidRDefault="00AD22AA" w:rsidP="00A3026E">
            <w:pPr>
              <w:spacing w:after="0" w:line="240" w:lineRule="auto"/>
              <w:jc w:val="both"/>
              <w:rPr>
                <w:rFonts w:ascii="Times New Roman" w:hAnsi="Times New Roman"/>
                <w:color w:val="0070C0"/>
                <w:sz w:val="16"/>
                <w:szCs w:val="16"/>
              </w:rPr>
            </w:pPr>
          </w:p>
        </w:tc>
        <w:tc>
          <w:tcPr>
            <w:tcW w:w="1215" w:type="dxa"/>
            <w:hideMark/>
          </w:tcPr>
          <w:p w14:paraId="558BBBC5"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70%</w:t>
            </w:r>
          </w:p>
        </w:tc>
      </w:tr>
      <w:tr w:rsidR="00AD22AA" w:rsidRPr="00A3026E" w14:paraId="36524D98" w14:textId="77777777" w:rsidTr="007609C9">
        <w:trPr>
          <w:trHeight w:hRule="exact" w:val="328"/>
          <w:jc w:val="center"/>
        </w:trPr>
        <w:tc>
          <w:tcPr>
            <w:tcW w:w="490" w:type="dxa"/>
            <w:shd w:val="clear" w:color="auto" w:fill="auto"/>
            <w:hideMark/>
          </w:tcPr>
          <w:p w14:paraId="1CE117A3"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Ф-38</w:t>
            </w:r>
          </w:p>
        </w:tc>
        <w:tc>
          <w:tcPr>
            <w:tcW w:w="288" w:type="dxa"/>
            <w:hideMark/>
          </w:tcPr>
          <w:p w14:paraId="025481B0"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76</w:t>
            </w:r>
          </w:p>
        </w:tc>
        <w:tc>
          <w:tcPr>
            <w:tcW w:w="409" w:type="dxa"/>
            <w:hideMark/>
          </w:tcPr>
          <w:p w14:paraId="7EFFFC9F"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мм</w:t>
            </w:r>
          </w:p>
        </w:tc>
        <w:tc>
          <w:tcPr>
            <w:tcW w:w="1198" w:type="dxa"/>
            <w:hideMark/>
          </w:tcPr>
          <w:p w14:paraId="3D8B6F1A"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ДОТ</w:t>
            </w:r>
          </w:p>
        </w:tc>
        <w:tc>
          <w:tcPr>
            <w:tcW w:w="1175" w:type="dxa"/>
            <w:hideMark/>
          </w:tcPr>
          <w:p w14:paraId="29321548"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65%</w:t>
            </w:r>
          </w:p>
        </w:tc>
        <w:tc>
          <w:tcPr>
            <w:tcW w:w="1112" w:type="dxa"/>
          </w:tcPr>
          <w:p w14:paraId="01674706" w14:textId="77777777" w:rsidR="00AD22AA" w:rsidRPr="00A3026E" w:rsidRDefault="00AD22AA" w:rsidP="00A3026E">
            <w:pPr>
              <w:spacing w:after="0" w:line="240" w:lineRule="auto"/>
              <w:jc w:val="both"/>
              <w:rPr>
                <w:rFonts w:ascii="Times New Roman" w:hAnsi="Times New Roman"/>
                <w:color w:val="0070C0"/>
                <w:sz w:val="16"/>
                <w:szCs w:val="16"/>
              </w:rPr>
            </w:pPr>
          </w:p>
        </w:tc>
        <w:tc>
          <w:tcPr>
            <w:tcW w:w="956" w:type="dxa"/>
          </w:tcPr>
          <w:p w14:paraId="721C58D0" w14:textId="77777777" w:rsidR="00AD22AA" w:rsidRPr="00A3026E" w:rsidRDefault="00AD22AA" w:rsidP="00A3026E">
            <w:pPr>
              <w:spacing w:after="0" w:line="240" w:lineRule="auto"/>
              <w:jc w:val="both"/>
              <w:rPr>
                <w:rFonts w:ascii="Times New Roman" w:hAnsi="Times New Roman"/>
                <w:color w:val="0070C0"/>
                <w:sz w:val="16"/>
                <w:szCs w:val="16"/>
              </w:rPr>
            </w:pPr>
          </w:p>
        </w:tc>
        <w:tc>
          <w:tcPr>
            <w:tcW w:w="1215" w:type="dxa"/>
            <w:hideMark/>
          </w:tcPr>
          <w:p w14:paraId="44882723"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35%</w:t>
            </w:r>
          </w:p>
        </w:tc>
      </w:tr>
      <w:tr w:rsidR="00AD22AA" w:rsidRPr="00A3026E" w14:paraId="6F55F27A" w14:textId="77777777" w:rsidTr="007609C9">
        <w:trPr>
          <w:trHeight w:hRule="exact" w:val="876"/>
          <w:jc w:val="center"/>
        </w:trPr>
        <w:tc>
          <w:tcPr>
            <w:tcW w:w="490" w:type="dxa"/>
            <w:hideMark/>
          </w:tcPr>
          <w:p w14:paraId="0E779EEE"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Ф-1</w:t>
            </w:r>
          </w:p>
        </w:tc>
        <w:tc>
          <w:tcPr>
            <w:tcW w:w="288" w:type="dxa"/>
            <w:hideMark/>
          </w:tcPr>
          <w:p w14:paraId="1E18DAB8"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57</w:t>
            </w:r>
          </w:p>
        </w:tc>
        <w:tc>
          <w:tcPr>
            <w:tcW w:w="409" w:type="dxa"/>
            <w:hideMark/>
          </w:tcPr>
          <w:p w14:paraId="3A8B788C"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?ZM</w:t>
            </w:r>
          </w:p>
        </w:tc>
        <w:tc>
          <w:tcPr>
            <w:tcW w:w="1198" w:type="dxa"/>
            <w:hideMark/>
          </w:tcPr>
          <w:p w14:paraId="139C5313"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ДОТ</w:t>
            </w:r>
          </w:p>
        </w:tc>
        <w:tc>
          <w:tcPr>
            <w:tcW w:w="1175" w:type="dxa"/>
          </w:tcPr>
          <w:p w14:paraId="6F2BCCED" w14:textId="77777777" w:rsidR="00AD22AA" w:rsidRPr="00A3026E" w:rsidRDefault="00AD22AA" w:rsidP="00A3026E">
            <w:pPr>
              <w:spacing w:after="0" w:line="240" w:lineRule="auto"/>
              <w:jc w:val="both"/>
              <w:rPr>
                <w:rFonts w:ascii="Times New Roman" w:hAnsi="Times New Roman"/>
                <w:color w:val="0070C0"/>
                <w:sz w:val="16"/>
                <w:szCs w:val="16"/>
              </w:rPr>
            </w:pPr>
          </w:p>
        </w:tc>
        <w:tc>
          <w:tcPr>
            <w:tcW w:w="1112" w:type="dxa"/>
          </w:tcPr>
          <w:p w14:paraId="7E6195CE" w14:textId="77777777" w:rsidR="00AD22AA" w:rsidRPr="00A3026E" w:rsidRDefault="00AD22AA" w:rsidP="00A3026E">
            <w:pPr>
              <w:spacing w:after="0" w:line="240" w:lineRule="auto"/>
              <w:jc w:val="both"/>
              <w:rPr>
                <w:rFonts w:ascii="Times New Roman" w:hAnsi="Times New Roman"/>
                <w:color w:val="0070C0"/>
                <w:sz w:val="16"/>
                <w:szCs w:val="16"/>
              </w:rPr>
            </w:pPr>
          </w:p>
        </w:tc>
        <w:tc>
          <w:tcPr>
            <w:tcW w:w="956" w:type="dxa"/>
            <w:vAlign w:val="bottom"/>
            <w:hideMark/>
          </w:tcPr>
          <w:p w14:paraId="00BD0DD4"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Исполь зуются все кроме одной детали.</w:t>
            </w:r>
          </w:p>
        </w:tc>
        <w:tc>
          <w:tcPr>
            <w:tcW w:w="1215" w:type="dxa"/>
            <w:hideMark/>
          </w:tcPr>
          <w:p w14:paraId="6FC83995"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(Труба ствола)</w:t>
            </w:r>
          </w:p>
        </w:tc>
      </w:tr>
      <w:tr w:rsidR="00AD22AA" w:rsidRPr="00A3026E" w14:paraId="2E2B67B6" w14:textId="77777777" w:rsidTr="007609C9">
        <w:trPr>
          <w:trHeight w:hRule="exact" w:val="778"/>
          <w:jc w:val="center"/>
        </w:trPr>
        <w:tc>
          <w:tcPr>
            <w:tcW w:w="490" w:type="dxa"/>
          </w:tcPr>
          <w:p w14:paraId="4F442689"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Ф-2</w:t>
            </w:r>
          </w:p>
        </w:tc>
        <w:tc>
          <w:tcPr>
            <w:tcW w:w="288" w:type="dxa"/>
            <w:hideMark/>
          </w:tcPr>
          <w:p w14:paraId="0487251F"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57</w:t>
            </w:r>
          </w:p>
        </w:tc>
        <w:tc>
          <w:tcPr>
            <w:tcW w:w="409" w:type="dxa"/>
            <w:hideMark/>
          </w:tcPr>
          <w:p w14:paraId="4FA7D773"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мм</w:t>
            </w:r>
          </w:p>
        </w:tc>
        <w:tc>
          <w:tcPr>
            <w:tcW w:w="1198" w:type="dxa"/>
            <w:hideMark/>
          </w:tcPr>
          <w:p w14:paraId="750131AA"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Танковая</w:t>
            </w:r>
          </w:p>
        </w:tc>
        <w:tc>
          <w:tcPr>
            <w:tcW w:w="1175" w:type="dxa"/>
            <w:hideMark/>
          </w:tcPr>
          <w:p w14:paraId="49DB2D42"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Используют</w:t>
            </w:r>
            <w:r w:rsidRPr="00A3026E">
              <w:rPr>
                <w:rFonts w:ascii="Times New Roman" w:hAnsi="Times New Roman"/>
                <w:color w:val="0070C0"/>
                <w:sz w:val="16"/>
                <w:szCs w:val="16"/>
              </w:rPr>
              <w:softHyphen/>
              <w:t>ся все кро</w:t>
            </w:r>
            <w:r w:rsidRPr="00A3026E">
              <w:rPr>
                <w:rFonts w:ascii="Times New Roman" w:hAnsi="Times New Roman"/>
                <w:color w:val="0070C0"/>
                <w:sz w:val="16"/>
                <w:szCs w:val="16"/>
              </w:rPr>
              <w:softHyphen/>
              <w:t>ме одной детали</w:t>
            </w:r>
          </w:p>
        </w:tc>
        <w:tc>
          <w:tcPr>
            <w:tcW w:w="1112" w:type="dxa"/>
          </w:tcPr>
          <w:p w14:paraId="78642965" w14:textId="77777777" w:rsidR="00AD22AA" w:rsidRPr="00A3026E" w:rsidRDefault="00AD22AA" w:rsidP="00A3026E">
            <w:pPr>
              <w:spacing w:after="0" w:line="240" w:lineRule="auto"/>
              <w:jc w:val="both"/>
              <w:rPr>
                <w:rFonts w:ascii="Times New Roman" w:hAnsi="Times New Roman"/>
                <w:color w:val="0070C0"/>
                <w:sz w:val="16"/>
                <w:szCs w:val="16"/>
              </w:rPr>
            </w:pPr>
          </w:p>
        </w:tc>
        <w:tc>
          <w:tcPr>
            <w:tcW w:w="956" w:type="dxa"/>
          </w:tcPr>
          <w:p w14:paraId="35950187" w14:textId="77777777" w:rsidR="00AD22AA" w:rsidRPr="00A3026E" w:rsidRDefault="00AD22AA" w:rsidP="00A3026E">
            <w:pPr>
              <w:spacing w:after="0" w:line="240" w:lineRule="auto"/>
              <w:jc w:val="both"/>
              <w:rPr>
                <w:rFonts w:ascii="Times New Roman" w:hAnsi="Times New Roman"/>
                <w:color w:val="0070C0"/>
                <w:sz w:val="16"/>
                <w:szCs w:val="16"/>
              </w:rPr>
            </w:pPr>
          </w:p>
        </w:tc>
        <w:tc>
          <w:tcPr>
            <w:tcW w:w="1215" w:type="dxa"/>
            <w:hideMark/>
          </w:tcPr>
          <w:p w14:paraId="30685902"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(Труба ст вола)</w:t>
            </w:r>
          </w:p>
        </w:tc>
      </w:tr>
    </w:tbl>
    <w:p w14:paraId="52367D9E"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(22065)</w:t>
      </w:r>
    </w:p>
    <w:p w14:paraId="0F7E01B3" w14:textId="77777777" w:rsidR="00AD22AA" w:rsidRPr="00A3026E" w:rsidRDefault="00AD22AA" w:rsidP="00A3026E">
      <w:pPr>
        <w:spacing w:after="0" w:line="240" w:lineRule="auto"/>
        <w:jc w:val="both"/>
        <w:rPr>
          <w:rFonts w:ascii="Times New Roman" w:hAnsi="Times New Roman"/>
          <w:color w:val="0070C0"/>
          <w:sz w:val="16"/>
          <w:szCs w:val="16"/>
        </w:rPr>
      </w:pPr>
    </w:p>
    <w:p w14:paraId="53E02535"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59004AA1" w14:textId="77777777" w:rsidR="00C66762" w:rsidRPr="00A3026E" w:rsidRDefault="00C66762" w:rsidP="00A3026E">
      <w:pPr>
        <w:spacing w:after="0" w:line="240" w:lineRule="auto"/>
        <w:jc w:val="both"/>
        <w:rPr>
          <w:rFonts w:ascii="Times New Roman" w:hAnsi="Times New Roman"/>
          <w:i/>
          <w:iCs/>
          <w:color w:val="000000" w:themeColor="text1"/>
          <w:sz w:val="16"/>
          <w:szCs w:val="16"/>
        </w:rPr>
      </w:pPr>
    </w:p>
    <w:p w14:paraId="7B3BDD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октября 1940 г. штабом ВВС был передан заместителю начальника Генштаба генерал-лейтенанту Смородинову проект постановления Комитета Обороны об исключении из самолетного парка негодной и устаревшей техники. Этим документом, в частности, предусматривалось "списать в расход и исключить из состава ВВС КА... как пришедшие в негодность в процессе эксплуатации..." 13 ДИ-6, а также "снять с вооружения и исключить из самолетного парка еще 80 машин, "требующих среднего и капитального ремонта, но не могущих быть отремонтированными". Большая часть еще исправных штурмовиков ДИ-бш (67 машин) находилась в это время в 106-м шап, базировавшемся на аэродроме Ак-Тепе неподалеку от Ашхабада. 7 ноября 1940 г. летчики этого полка участвовали в праздничном параде в Ташкенте. В строю тогда пролетели 50 штурмовиков, еще два находилось на близлежащем аэродроме в резерве (11992).</w:t>
      </w:r>
    </w:p>
    <w:p w14:paraId="42A5B28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9BDEF7A" w14:textId="77777777" w:rsidR="006F0594"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6991BC0" w14:textId="77777777" w:rsidR="006F0594" w:rsidRPr="00A3026E" w:rsidRDefault="006F0594" w:rsidP="00A3026E">
      <w:pPr>
        <w:spacing w:after="0" w:line="240" w:lineRule="auto"/>
        <w:jc w:val="both"/>
        <w:rPr>
          <w:rFonts w:ascii="Times New Roman" w:hAnsi="Times New Roman"/>
          <w:iCs/>
          <w:color w:val="000000" w:themeColor="text1"/>
          <w:sz w:val="16"/>
          <w:szCs w:val="16"/>
        </w:rPr>
      </w:pPr>
    </w:p>
    <w:p w14:paraId="2ACA54F7" w14:textId="77777777" w:rsidR="006F0594" w:rsidRPr="00A3026E" w:rsidRDefault="006F0594"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27 октября </w:t>
      </w:r>
      <w:r w:rsidRPr="00A3026E">
        <w:rPr>
          <w:rFonts w:ascii="Times New Roman" w:hAnsi="Times New Roman"/>
          <w:color w:val="000000" w:themeColor="text1"/>
          <w:sz w:val="16"/>
          <w:szCs w:val="16"/>
        </w:rPr>
        <w:t>в 1940 году де Голль выпустил Манифест относительно руководства французами во время войны, в котором назвал правительство Петена незаконным и заявил о принятии верховной власти во Франции (14812).</w:t>
      </w:r>
    </w:p>
    <w:p w14:paraId="2F2A54C2" w14:textId="77777777" w:rsidR="006F0594" w:rsidRPr="00A3026E" w:rsidRDefault="006F0594" w:rsidP="00A3026E">
      <w:pPr>
        <w:spacing w:after="0" w:line="240" w:lineRule="auto"/>
        <w:jc w:val="both"/>
        <w:rPr>
          <w:rFonts w:ascii="Times New Roman" w:hAnsi="Times New Roman"/>
          <w:color w:val="000000" w:themeColor="text1"/>
          <w:sz w:val="16"/>
          <w:szCs w:val="16"/>
        </w:rPr>
      </w:pPr>
    </w:p>
    <w:p w14:paraId="060265D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509373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D97A0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в НКАП из ОКБ-16 НКВ вместе с отчетом об исследованиях был передан макет ИП-201 с установленной в левом крыле пушкой МП-3 (4415,35).</w:t>
      </w:r>
    </w:p>
    <w:p w14:paraId="6CFFD8C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E2CD0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врид ст. военпред. ГУ ВВС на заводе 301 ви2р Одномиков писал письмо N 0101 Нач. 2 отд. 6У ГУ ВВС ви1р Панкратову:</w:t>
      </w:r>
    </w:p>
    <w:p w14:paraId="083AD5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"Представляю краткое ТО и инструкцию по эксплуатации И-26." (2941).</w:t>
      </w:r>
    </w:p>
    <w:p w14:paraId="54109A6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003B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закончились гос. испытания И-26-3 М-105, которые шли с 3 октября 1940 (2090,234).</w:t>
      </w:r>
    </w:p>
    <w:p w14:paraId="4FFF63D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A749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закончились заводские испытания УТИ-26-2, которые шли с 17 сентября 1940 (2090,234).</w:t>
      </w:r>
    </w:p>
    <w:p w14:paraId="13A9D51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56149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28 октября 1940 по 13 января 1941 проходили заводские испытания ОКО-6-2 2М-88Р (2090,234).</w:t>
      </w:r>
    </w:p>
    <w:p w14:paraId="3058DA8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BC4F2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летчик А.И.Емельянов произвел рулежки и подлеты самолета ОКО-6бис Таирова. 31 октября 1940 г. самолет совершил первый вылет. Все прошло нормально. К 14 января 41-го было совершено 45 полетов (9649).</w:t>
      </w:r>
    </w:p>
    <w:p w14:paraId="2D9C755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64F1BB8" w14:textId="77777777" w:rsidR="006F0594" w:rsidRPr="00A3026E" w:rsidRDefault="006F059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г. лётчик А. Емельянов произвел рулежки и подлё</w:t>
      </w:r>
      <w:r w:rsidRPr="00A3026E">
        <w:rPr>
          <w:rFonts w:ascii="Times New Roman" w:hAnsi="Times New Roman"/>
          <w:color w:val="000000" w:themeColor="text1"/>
          <w:sz w:val="16"/>
          <w:szCs w:val="16"/>
        </w:rPr>
        <w:softHyphen/>
        <w:t>ты ОКО-6бис, а 31 октября 1940 г. совершил первый полёт. Все прошло нормально, и к 14 ян</w:t>
      </w:r>
      <w:r w:rsidRPr="00A3026E">
        <w:rPr>
          <w:rFonts w:ascii="Times New Roman" w:hAnsi="Times New Roman"/>
          <w:color w:val="000000" w:themeColor="text1"/>
          <w:sz w:val="16"/>
          <w:szCs w:val="16"/>
        </w:rPr>
        <w:softHyphen/>
        <w:t>варя совершили 45 полётов. На больших скоростях самолёт оказался устойчив по всем трём осям, устойчив на виражах, прост в управлении при посадке. Но на приборных скоростях ниже 300 км/ч про</w:t>
      </w:r>
      <w:r w:rsidRPr="00A3026E">
        <w:rPr>
          <w:rFonts w:ascii="Times New Roman" w:hAnsi="Times New Roman"/>
          <w:color w:val="000000" w:themeColor="text1"/>
          <w:sz w:val="16"/>
          <w:szCs w:val="16"/>
        </w:rPr>
        <w:softHyphen/>
        <w:t>дольная устойчивость оказалась недоста</w:t>
      </w:r>
      <w:r w:rsidRPr="00A3026E">
        <w:rPr>
          <w:rFonts w:ascii="Times New Roman" w:hAnsi="Times New Roman"/>
          <w:color w:val="000000" w:themeColor="text1"/>
          <w:sz w:val="16"/>
          <w:szCs w:val="16"/>
        </w:rPr>
        <w:softHyphen/>
        <w:t>точной, отмечались большие нагрузки на органы управления. В испытательных по</w:t>
      </w:r>
      <w:r w:rsidRPr="00A3026E">
        <w:rPr>
          <w:rFonts w:ascii="Times New Roman" w:hAnsi="Times New Roman"/>
          <w:color w:val="000000" w:themeColor="text1"/>
          <w:sz w:val="16"/>
          <w:szCs w:val="16"/>
        </w:rPr>
        <w:softHyphen/>
        <w:t>летах бафтинг не обнаружили, а при по</w:t>
      </w:r>
      <w:r w:rsidRPr="00A3026E">
        <w:rPr>
          <w:rFonts w:ascii="Times New Roman" w:hAnsi="Times New Roman"/>
          <w:color w:val="000000" w:themeColor="text1"/>
          <w:sz w:val="16"/>
          <w:szCs w:val="16"/>
        </w:rPr>
        <w:softHyphen/>
        <w:t>лете на флаттер на высоте 4000 м до при</w:t>
      </w:r>
      <w:r w:rsidRPr="00A3026E">
        <w:rPr>
          <w:rFonts w:ascii="Times New Roman" w:hAnsi="Times New Roman"/>
          <w:color w:val="000000" w:themeColor="text1"/>
          <w:sz w:val="16"/>
          <w:szCs w:val="16"/>
        </w:rPr>
        <w:softHyphen/>
        <w:t>борной скорости 565 км/ч вибраций не на</w:t>
      </w:r>
      <w:r w:rsidRPr="00A3026E">
        <w:rPr>
          <w:rFonts w:ascii="Times New Roman" w:hAnsi="Times New Roman"/>
          <w:color w:val="000000" w:themeColor="text1"/>
          <w:sz w:val="16"/>
          <w:szCs w:val="16"/>
        </w:rPr>
        <w:softHyphen/>
        <w:t>блюдалось. Максимальная скорость у зем</w:t>
      </w:r>
      <w:r w:rsidRPr="00A3026E">
        <w:rPr>
          <w:rFonts w:ascii="Times New Roman" w:hAnsi="Times New Roman"/>
          <w:color w:val="000000" w:themeColor="text1"/>
          <w:sz w:val="16"/>
          <w:szCs w:val="16"/>
        </w:rPr>
        <w:softHyphen/>
        <w:t>ли составила 470 км/ч, на высоте 7050 м — 595 км/ч, посадочная скорость — 135 км/ч. Самолёт мог летать на одном моторе (15828).</w:t>
      </w:r>
    </w:p>
    <w:p w14:paraId="03E73EC2" w14:textId="77777777" w:rsidR="006F0594" w:rsidRPr="00A3026E" w:rsidRDefault="006F0594" w:rsidP="00A3026E">
      <w:pPr>
        <w:spacing w:after="0" w:line="240" w:lineRule="auto"/>
        <w:jc w:val="both"/>
        <w:rPr>
          <w:rFonts w:ascii="Times New Roman" w:hAnsi="Times New Roman"/>
          <w:color w:val="000000" w:themeColor="text1"/>
          <w:sz w:val="16"/>
          <w:szCs w:val="16"/>
        </w:rPr>
      </w:pPr>
    </w:p>
    <w:p w14:paraId="595F54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г. закончились испытания И-153ТК №6506, которые проходили с 15 мая 1940. Истребитель испытывался как с работающими турбокомпрессорами, так и с выключенными при различных значениях давле</w:t>
      </w:r>
      <w:r w:rsidRPr="00A3026E">
        <w:rPr>
          <w:rFonts w:ascii="Times New Roman" w:hAnsi="Times New Roman"/>
          <w:color w:val="000000" w:themeColor="text1"/>
          <w:sz w:val="16"/>
          <w:szCs w:val="16"/>
        </w:rPr>
        <w:softHyphen/>
        <w:t>ния наддува (Рк). В отчете об испытаниях отмечалось, что поперечное сечение капота немного увеличилось, однако главным недостатком является понижение КПД винта АВ-1 с ростом высоты. Турбокомпрессоры ТК-1 работали хорошо и надежно. Никаких практических рекомендаций по результа</w:t>
      </w:r>
      <w:r w:rsidRPr="00A3026E">
        <w:rPr>
          <w:rFonts w:ascii="Times New Roman" w:hAnsi="Times New Roman"/>
          <w:color w:val="000000" w:themeColor="text1"/>
          <w:sz w:val="16"/>
          <w:szCs w:val="16"/>
        </w:rPr>
        <w:softHyphen/>
        <w:t>там испытаний не последовало, так как еще раньше, 30 августа 1940 г., Совет Труда и Обороны принял решение прекратить выпуск ТК-1, поскольку «И-153 и И-16 схо</w:t>
      </w:r>
      <w:r w:rsidRPr="00A3026E">
        <w:rPr>
          <w:rFonts w:ascii="Times New Roman" w:hAnsi="Times New Roman"/>
          <w:color w:val="000000" w:themeColor="text1"/>
          <w:sz w:val="16"/>
          <w:szCs w:val="16"/>
        </w:rPr>
        <w:softHyphen/>
        <w:t>дят с производства» (10667).</w:t>
      </w:r>
    </w:p>
    <w:p w14:paraId="394A91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CC7F654" w14:textId="77777777" w:rsidR="006F0594" w:rsidRPr="00A3026E" w:rsidRDefault="006F0594" w:rsidP="00A3026E">
      <w:pPr>
        <w:pStyle w:val="38"/>
        <w:shd w:val="clear" w:color="auto" w:fill="auto"/>
        <w:spacing w:before="0" w:after="0" w:line="240" w:lineRule="auto"/>
        <w:jc w:val="both"/>
        <w:rPr>
          <w:color w:val="000000" w:themeColor="text1"/>
          <w:spacing w:val="0"/>
          <w:sz w:val="16"/>
          <w:szCs w:val="16"/>
        </w:rPr>
      </w:pPr>
      <w:r w:rsidRPr="00A3026E">
        <w:rPr>
          <w:color w:val="000000" w:themeColor="text1"/>
          <w:spacing w:val="0"/>
          <w:sz w:val="16"/>
          <w:szCs w:val="16"/>
        </w:rPr>
        <w:t xml:space="preserve">28 октября 1940 г. Письмо № 12470с главного конструктора завода № 22 А.А. Архангельского начальнику третьего отдела ЦАГИ о согласовании величины расчетной перегрузки для самолета </w:t>
      </w:r>
      <w:r w:rsidRPr="00A3026E">
        <w:rPr>
          <w:rStyle w:val="31pt0"/>
          <w:color w:val="000000" w:themeColor="text1"/>
          <w:spacing w:val="0"/>
          <w:sz w:val="16"/>
          <w:szCs w:val="16"/>
        </w:rPr>
        <w:t>Б-2</w:t>
      </w:r>
    </w:p>
    <w:p w14:paraId="1E41EFB3" w14:textId="77777777" w:rsidR="006F0594" w:rsidRPr="00A3026E" w:rsidRDefault="006F059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Секретно</w:t>
      </w:r>
    </w:p>
    <w:p w14:paraId="6295712E" w14:textId="77777777" w:rsidR="006F0594" w:rsidRPr="00A3026E" w:rsidRDefault="006F059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приказа заместителя начальника седьмого Главно</w:t>
      </w:r>
      <w:r w:rsidRPr="00A3026E">
        <w:rPr>
          <w:rFonts w:ascii="Times New Roman" w:hAnsi="Times New Roman"/>
          <w:color w:val="000000" w:themeColor="text1"/>
          <w:sz w:val="16"/>
          <w:szCs w:val="16"/>
        </w:rPr>
        <w:softHyphen/>
        <w:t>го управления мы должны согласовать с Вами величину максимальной расчетной перегрузки машины «Б-2» (второй экземпляр машины «Б» в пикирующем варианте).</w:t>
      </w:r>
    </w:p>
    <w:p w14:paraId="1A23D2AC" w14:textId="77777777" w:rsidR="006F0594" w:rsidRPr="00A3026E" w:rsidRDefault="006F059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Выбирая расчетную перегрузку по нормам 1940 г., мы получаем для нашего самолета п=8,8.</w:t>
      </w:r>
    </w:p>
    <w:p w14:paraId="6B55C59B" w14:textId="77777777" w:rsidR="006F0594" w:rsidRPr="00A3026E" w:rsidRDefault="006F059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Мы предполагаем обеспечить самолету прочность равную 9-ти, что возможно без крупных переделок основных несущих элементов конструкции.</w:t>
      </w:r>
    </w:p>
    <w:p w14:paraId="548AC331" w14:textId="77777777" w:rsidR="006F0594" w:rsidRPr="00A3026E" w:rsidRDefault="006F059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Просим Вас подтвердить нам указанную величину расчетной пе</w:t>
      </w:r>
      <w:r w:rsidRPr="00A3026E">
        <w:rPr>
          <w:rFonts w:ascii="Times New Roman" w:hAnsi="Times New Roman"/>
          <w:color w:val="000000" w:themeColor="text1"/>
          <w:sz w:val="16"/>
          <w:szCs w:val="16"/>
        </w:rPr>
        <w:softHyphen/>
        <w:t>регрузки для самолета Б-2, учитывая при этом, что он будет снабжен тормозными щитками, ограничивающими его скорость пикирования до 570 км/ч по прибору и автоматом вывода из пикирования.</w:t>
      </w:r>
    </w:p>
    <w:p w14:paraId="6A6F209D" w14:textId="77777777" w:rsidR="006F0594" w:rsidRPr="00A3026E" w:rsidRDefault="006F0594" w:rsidP="00A3026E">
      <w:pPr>
        <w:tabs>
          <w:tab w:val="left" w:pos="4628"/>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Главный конструктор А.А. Архангельский</w:t>
      </w:r>
    </w:p>
    <w:p w14:paraId="444323DE" w14:textId="77777777" w:rsidR="006F0594" w:rsidRPr="00A3026E" w:rsidRDefault="006F059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РГАНТД. Ф. Р-217. Оп. 1-6. Д. 24. Л. 13. Подлинник (15633).</w:t>
      </w:r>
    </w:p>
    <w:p w14:paraId="5EC3C6A6" w14:textId="77777777" w:rsidR="006F0594" w:rsidRPr="00A3026E" w:rsidRDefault="006F0594" w:rsidP="00A3026E">
      <w:pPr>
        <w:spacing w:after="0" w:line="240" w:lineRule="auto"/>
        <w:jc w:val="both"/>
        <w:rPr>
          <w:rFonts w:ascii="Times New Roman" w:hAnsi="Times New Roman"/>
          <w:color w:val="000000" w:themeColor="text1"/>
          <w:sz w:val="16"/>
          <w:szCs w:val="16"/>
        </w:rPr>
      </w:pPr>
    </w:p>
    <w:p w14:paraId="17A8C7B1"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lastRenderedPageBreak/>
        <w:t>28 октября 1940 г. БОК-11 уже с гермокаьмной испытал в полёте лётчик ЦАГИ Терёхин.</w:t>
      </w:r>
    </w:p>
    <w:p w14:paraId="41018EAB"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Смоленске шла сборка БОК-15. В отличие от предыдущих «БОКов», почти всё внутреннее пространство его крыла было заполнено топливными баками, вмещавшими 7120 кг дизельного горючего. Этот запас при расчётном аэродинамическом качестве самолёта 18,5 должен был обеспечить дальность около 16 тыс. км. Крыло имело металлическую гладкую обшивку.</w:t>
      </w:r>
    </w:p>
    <w:p w14:paraId="73CB06E4"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Для БОК-15 спроектировали первую в СССР гермокабину вентиляционного типа, в которую воздух нагнетался из атмосферы компрессором (в случае применения кабины старого типа для полёта продолжительностью в несколько суток потребовался бы слишком большой запас кислорода). На случай недостаточной надёжности работы компрессора было предусмотрено устройство очистки воздуха химическим путём.</w:t>
      </w:r>
    </w:p>
    <w:p w14:paraId="4ED451B0"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Фюзеляж со встроенной кабиной имел два люка: аварийный верхний и нижний для посадки в самолёт. Экипаж состоял из трёх человек — двух пилотов и штурмана. Пилоты находились рядом, управление — сдвоенное. Над левым, командирским креслом из гермокабины выступал каплевидный фонарь, правый пилот имел обзор только по сторонам. Место штурмана было в задней части кабины, там же смонтировали радио- и штурманское оборудование. Для того чтобы избежать использования термостатов для подогрева моторного масла, маслобаки поместили внутри кабины. На одном из них, на правом борту, находилась откидная кровать для поочерёдного отдыха членов экипажа.</w:t>
      </w:r>
    </w:p>
    <w:p w14:paraId="424EA654"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Шасси, как на АНТ-25, частично убиралось в центроплан, выступающие части в полёте закрывались обтекателями. Амортизация стоек шасси — масляно-пневматическая, с большим ходом, рассчитанная на случай посадки с максимальным полётным весом.</w:t>
      </w:r>
    </w:p>
    <w:p w14:paraId="5E4FB2BD"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качестве двигателя должен был использоваться уже упоминавшийся дизель АН-1, но с редуктором и турбокомпрессорами (АН-1РТК). Удельный расход топлива составлял 175 г/л.с. ч по сравнению с 230–260 г/л.с. ч у бензиновых моторов. Специального воздушного винта для рекордного перелёта ещё не было, поэтому первый этап лётных испытаний решили провести с имеющимися винтами изменяемого шага ВИШ-34Т диаметром 4,5 м (17489).</w:t>
      </w:r>
    </w:p>
    <w:p w14:paraId="3288EEC7"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p>
    <w:p w14:paraId="4A3D14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в Николаеве закончились испытания катапульты этого завода Н-1 под КОР-1 и был составлен акт (2555,86).</w:t>
      </w:r>
    </w:p>
    <w:p w14:paraId="243F7BF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282ED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состоялось заседание N 25 коллегии НКАП по вопросам (1160):</w:t>
      </w:r>
    </w:p>
    <w:p w14:paraId="63E980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освоения передаваемых и переданных в НКАП заводов (нач. техотдела НКАП Тарасевич) (1160). Согласовали постановление коллегии о состоянии подготовки и освоения производства М-105 на заводах 234 и 384 (1160);</w:t>
      </w:r>
    </w:p>
    <w:p w14:paraId="0FFD37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 состоянии радиаторостроения и об обеспечении радиаторами опытного и серийного самолетостроения (нач. 3 ГУ Соколов, дир. завода 34 Аржаков, ГК завода 34 П.А.Воронин и ст. и инспектор инспекции при наркоме Морозов) (1160);</w:t>
      </w:r>
    </w:p>
    <w:p w14:paraId="003B2C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 работе ГК по колесам (нач. 3 ГУ Соколов, нач. 4 отд. 7 ГУ Тарасов, дир. завода 120 Горницкий, ГК завода 120 Чупилко) (1160).</w:t>
      </w:r>
    </w:p>
    <w:p w14:paraId="793220F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2881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вышло постановление СНК N 2182-934сс об организации производства боевых самолетов в Эстонской, Латвийской и Литовской Союзных республиках (418,51). Во исполнение постановления 2 ноября был выпущен приказ НКАП N 619сс (418,51).</w:t>
      </w:r>
    </w:p>
    <w:p w14:paraId="13F9E9A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58632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года Политбюро ЦК ВКП(б) утвердило совместное постановление СНК СССР и ЦК ВКП(б) «Об образовании производства боевых самолетов в Эстонской, Латвийской и Литовской союзных республиках». Согласно ему, в Эстонской ССР (Таллине) предписывалось наладить выпуск самолета И-301, в Тарту – наладить выпуск авиаприборов; в Латвийской ССР (Риге) и в Литовской ССР (Каунасе) – наладить выпуск самолета УТИ-26. Для решения поставленных задач задействовались следующие предприятия: в Эстонской ССР – фанерно-мебельная фабрика «Лютер», законсервированный завод «Двигатель», авторемонтный, механический и литейный цеха предприятия «Иль-Марине», авиационные мастерские с аэродромом, телефонная фабрика в Тарту; в Латвийской ССР – новый Рижский городской автобусный гараж, производственные корпуса бывшего акционерного общества «Проводник»; в Литовской ССР – авиационные мастерские в Каунасе с аэродромом, метизный завод «Тильманс» (РГАСПИ. Ф. 17. Оп. 162. Д. 29. Л. 143-145.).</w:t>
      </w:r>
    </w:p>
    <w:p w14:paraId="384713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Важным источником расширения авиапромышленности был перевод заводов невоенной сферы экономики в подчинение НКАП. Помимо строительства новых предприятий, НКАП расширялся и за счет поглощения предприятий других ведомств. </w:t>
      </w:r>
    </w:p>
    <w:p w14:paraId="19C59B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Подобных примеров можно привести множество. Одним из самых необычных способов налаживания авиапроизводства автор данной монографии считает решение Политбюро ЦК ВКП(б) от 24 марта 1941 года, утвердившее совместное постановление СНК СССР и ЦК ВКП(б) «Об организации опытного завода герметических кабин и реактивных двигателей Наркомавиапрома». Завод решено было создать... «на базе здания дома инвалидов-хроников им. Радищева в г. Москве»! Постановлением предписывалось освободить его к 15 мая 1941 года, а 200 инвалидов перевести в другие дома (Там же. Оп. 3. Д. 1036. Л. 67-68.).</w:t>
      </w:r>
    </w:p>
    <w:p w14:paraId="4CF60A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Отметим еще одно обстоятельство. Так как к началу 1930-х годов основные авиазаводы располагались в европейской части СССР, было принято решение развивать строительство заводов-дублеров в его азиатской части (Самолетостроение в СССР. 1917 – 1945. Кн. II. С. 204.) (11672).</w:t>
      </w:r>
    </w:p>
    <w:p w14:paraId="1608DDF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78CB5F0"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28 октября 1940</w:t>
      </w:r>
    </w:p>
    <w:p w14:paraId="4C2C95B3"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28.Х.40 г.</w:t>
      </w:r>
    </w:p>
    <w:p w14:paraId="6577C1E0"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372. Об образовании производства боевых самолетов в Эстонской, Латвийской и Литовской союзных республиках (постановление СНК СССР и ЦК ВКП(б)). — ОП (20921).</w:t>
      </w:r>
    </w:p>
    <w:p w14:paraId="3E55A403"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целях организации производства боевых самолетов в Эстон</w:t>
      </w:r>
      <w:r w:rsidRPr="00A3026E">
        <w:rPr>
          <w:rFonts w:ascii="Times New Roman" w:hAnsi="Times New Roman"/>
          <w:color w:val="0070C0"/>
          <w:sz w:val="16"/>
          <w:szCs w:val="16"/>
        </w:rPr>
        <w:softHyphen/>
        <w:t>ской, Латвийской и Литовской союзных республиках. Совет Народ</w:t>
      </w:r>
      <w:r w:rsidRPr="00A3026E">
        <w:rPr>
          <w:rFonts w:ascii="Times New Roman" w:hAnsi="Times New Roman"/>
          <w:color w:val="0070C0"/>
          <w:sz w:val="16"/>
          <w:szCs w:val="16"/>
        </w:rPr>
        <w:softHyphen/>
        <w:t>ных Комиссвров Союза ССР и Центральный Комитет ВКА(б) ПОСТАНОВЛЯЮТ:</w:t>
      </w:r>
    </w:p>
    <w:p w14:paraId="7681E7AB"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Народного Комиссара Авиационной Промышленности тов.Еахуркна А.И.:</w:t>
      </w:r>
    </w:p>
    <w:p w14:paraId="70A1907E"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организовать в Эстонской ССР в Таллине самолетостроительный завод по производству истребителей И-301, с доведением годовой мощности завода до 350 самолетов к 1 декабря 1941 г. и в г. Тарту завод по производству авиационных приборов.</w:t>
      </w:r>
    </w:p>
    <w:p w14:paraId="013117E8"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Выпуск в 1941 году определить в количестве 50 самолетов;</w:t>
      </w:r>
    </w:p>
    <w:p w14:paraId="536EC292"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организовать в Латвийской ССР в Риге самолетостроительный завод по производству УТИ-26, с доведением годовой мощности завода до 800 самолетов к 1 марта 1942 года.</w:t>
      </w:r>
    </w:p>
    <w:p w14:paraId="5B2B4A15"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Выпуск в 1941 году определить в 200 самолетов;</w:t>
      </w:r>
    </w:p>
    <w:p w14:paraId="26C5F447"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организовать в Литовской ССР в Каунасе самолетостроительный завод по производству УТИ-26 с доведением мощности завода до 100 самолетов к 1 декабря 1941 года.</w:t>
      </w:r>
    </w:p>
    <w:p w14:paraId="133909CF"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Выпуск в 1941 году определить в 10 самолетов.</w:t>
      </w:r>
    </w:p>
    <w:p w14:paraId="0E39FEA7"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Для организации производства самолетов передать Наркомавиапрому следующие промышленные предприятия:</w:t>
      </w:r>
    </w:p>
    <w:p w14:paraId="61EB05D6"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 Эстонской ССР</w:t>
      </w:r>
    </w:p>
    <w:p w14:paraId="104BD34A"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Фанерно-мебельную фабрику «Лютер».</w:t>
      </w:r>
    </w:p>
    <w:p w14:paraId="47F56A9D"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Законсервированный завод «Двигатель».</w:t>
      </w:r>
    </w:p>
    <w:p w14:paraId="2D07F3BC"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Авторемонтный, механический и литейный цеха предприятия "Иль-Марине".</w:t>
      </w:r>
    </w:p>
    <w:p w14:paraId="251E3FF3"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Авиационные мастерские с аэродромов</w:t>
      </w:r>
    </w:p>
    <w:p w14:paraId="14882027"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Телефонную фабрику в г. Тарту.</w:t>
      </w:r>
    </w:p>
    <w:p w14:paraId="45462799"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Латвийской ССР</w:t>
      </w:r>
    </w:p>
    <w:p w14:paraId="2F69F199"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Новый Рижский городской автобусный гараж.</w:t>
      </w:r>
    </w:p>
    <w:p w14:paraId="0E664C55"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Производственные корпуса бывш. акционерного общества «Проводник»</w:t>
      </w:r>
    </w:p>
    <w:p w14:paraId="058B12E1"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Литовской ССР</w:t>
      </w:r>
    </w:p>
    <w:p w14:paraId="435FE57B"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Авиационные мастерские в Каунасе с аэродромом,</w:t>
      </w:r>
    </w:p>
    <w:p w14:paraId="50F36BCF"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Метизннй завод «Тильманс».</w:t>
      </w:r>
    </w:p>
    <w:p w14:paraId="257BD305"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Обязать Совнарком Латвийской ССР к 1.ХП-1940 года разместить предприятия, находящиеся в зданиях бывшего акционерного общество «Проводник», передаваемом в Наркомавианром.</w:t>
      </w:r>
    </w:p>
    <w:p w14:paraId="1A5B3319"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Обязать Наркомалектропром (т. Богатырева), Наркомвоенморфлот (т. Кузнецова), Наркомсредмаш (т. Лихачева), Наркомобороны (т. Тимошенко) и Совнарком Латвийской ССР (т. Лацис) в двухмесячный срок передать Наркомавиапрому для Рижского самолетостроительного завода металлорежущие станки, пригодные для самолетостроения: с завода «ВЕФ» Наркомэлектропрома - 25 штук, с завода ’Вайрогс" Наркоммсредмаш - 15 штук, с завода «Тосмаре» Наркоквоенморфлота - 15 штук, из арсенала Наркомобороны - 15 и с заводов местной промышленности (велосипедных, радио и других заводов) - 40 штук.</w:t>
      </w:r>
    </w:p>
    <w:p w14:paraId="37C3F61D"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Обязать Экономсовет, с участием МГК ВКП(б), в месячный срок мобилизовать на предприятиях Москвы 200 металлорежущих станков для передачи Рижскому самолетостроительное заводу.</w:t>
      </w:r>
    </w:p>
    <w:p w14:paraId="73C57A91"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6. Обязать Наркомэлектропром (т.Богатырева) и Совнарком Латвийской ССР (т.Лацис) организовать производство металлорежущих станков, параллельно с основным производством, на заводах "ВЕФ" и "Эйренпрайс" с поставкой в 1941 году Наркомавиапрому для Риж</w:t>
      </w:r>
      <w:r w:rsidRPr="00A3026E">
        <w:rPr>
          <w:rFonts w:ascii="Times New Roman" w:hAnsi="Times New Roman"/>
          <w:color w:val="0070C0"/>
          <w:sz w:val="16"/>
          <w:szCs w:val="16"/>
        </w:rPr>
        <w:softHyphen/>
        <w:t>ского самолетостроительного завода Наркомэлектропрома - токарных станков "161-A" - 55 штук и Совнаркому Латвийской ССР - токарно- револьверных станков "1336" - 40.</w:t>
      </w:r>
    </w:p>
    <w:p w14:paraId="79FC0A2D"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Возложить поставку литья и оказание технической помощи по освоению металлорежущих станков на Наркомтяжмаи (т. Ефремова).</w:t>
      </w:r>
    </w:p>
    <w:p w14:paraId="551F6A24"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Совнаркому Латвийской ССР отвести Наркомавиапрому неза</w:t>
      </w:r>
      <w:r w:rsidRPr="00A3026E">
        <w:rPr>
          <w:rFonts w:ascii="Times New Roman" w:hAnsi="Times New Roman"/>
          <w:color w:val="0070C0"/>
          <w:sz w:val="16"/>
          <w:szCs w:val="16"/>
        </w:rPr>
        <w:softHyphen/>
        <w:t>строенную площадку в Риге за заводом "ВЕФ" размером 1,5x1 клм. для организации азродрома.</w:t>
      </w:r>
    </w:p>
    <w:p w14:paraId="3137C26B"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Совнаркому Литовской ССР в месячный срок разместить произ</w:t>
      </w:r>
      <w:r w:rsidRPr="00A3026E">
        <w:rPr>
          <w:rFonts w:ascii="Times New Roman" w:hAnsi="Times New Roman"/>
          <w:color w:val="0070C0"/>
          <w:sz w:val="16"/>
          <w:szCs w:val="16"/>
        </w:rPr>
        <w:softHyphen/>
        <w:t>водство метизов, снимаемых с завода "Тилъманс", на других пред</w:t>
      </w:r>
      <w:r w:rsidRPr="00A3026E">
        <w:rPr>
          <w:rFonts w:ascii="Times New Roman" w:hAnsi="Times New Roman"/>
          <w:color w:val="0070C0"/>
          <w:sz w:val="16"/>
          <w:szCs w:val="16"/>
        </w:rPr>
        <w:softHyphen/>
        <w:t>приятиях Литовской ССР.</w:t>
      </w:r>
    </w:p>
    <w:p w14:paraId="432A4675"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Наркомавиапрому передать Наркомату Цветной Промышленности Ли</w:t>
      </w:r>
      <w:r w:rsidRPr="00A3026E">
        <w:rPr>
          <w:rFonts w:ascii="Times New Roman" w:hAnsi="Times New Roman"/>
          <w:color w:val="0070C0"/>
          <w:sz w:val="16"/>
          <w:szCs w:val="16"/>
        </w:rPr>
        <w:softHyphen/>
        <w:t>товской ССР оборудование завода "Тилъманс", неиспользуемое для самолетостроения.</w:t>
      </w:r>
    </w:p>
    <w:p w14:paraId="47DDCA33"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Обязать Наркомавиапром:</w:t>
      </w:r>
    </w:p>
    <w:p w14:paraId="22A2DC3F"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создать специализированные строительно-монтажные тресты в Таллине и Риге;</w:t>
      </w:r>
    </w:p>
    <w:p w14:paraId="5CE82EEF"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noProof/>
          <w:color w:val="0070C0"/>
          <w:sz w:val="16"/>
          <w:szCs w:val="16"/>
        </w:rPr>
        <w:drawing>
          <wp:anchor distT="0" distB="0" distL="0" distR="0" simplePos="0" relativeHeight="251663360" behindDoc="0" locked="0" layoutInCell="1" allowOverlap="1" wp14:anchorId="6E1D610D" wp14:editId="78211CAA">
            <wp:simplePos x="0" y="0"/>
            <wp:positionH relativeFrom="page">
              <wp:posOffset>8200390</wp:posOffset>
            </wp:positionH>
            <wp:positionV relativeFrom="paragraph">
              <wp:posOffset>1219200</wp:posOffset>
            </wp:positionV>
            <wp:extent cx="207010" cy="207010"/>
            <wp:effectExtent l="0" t="0" r="2540" b="2540"/>
            <wp:wrapSquare wrapText="bothSides"/>
            <wp:docPr id="457" name="Рисунок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ape 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pic:spPr>
                </pic:pic>
              </a:graphicData>
            </a:graphic>
            <wp14:sizeRelH relativeFrom="page">
              <wp14:pctWidth>0</wp14:pctWidth>
            </wp14:sizeRelH>
            <wp14:sizeRelV relativeFrom="page">
              <wp14:pctHeight>0</wp14:pctHeight>
            </wp14:sizeRelV>
          </wp:anchor>
        </w:drawing>
      </w:r>
      <w:r w:rsidRPr="00A3026E">
        <w:rPr>
          <w:rFonts w:ascii="Times New Roman" w:hAnsi="Times New Roman"/>
          <w:color w:val="0070C0"/>
          <w:sz w:val="16"/>
          <w:szCs w:val="16"/>
        </w:rPr>
        <w:t>б) обеспечить не позднее 1.П-1941 года проектами и рабочими чертежами строительство самолетных заводов.</w:t>
      </w:r>
    </w:p>
    <w:p w14:paraId="525D5CB1"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Отпустить Наркомавиапрому из резервного фнда Совнаркома СССP на 1940 год для капитального строительства, приобретения обо</w:t>
      </w:r>
      <w:r w:rsidRPr="00A3026E">
        <w:rPr>
          <w:rFonts w:ascii="Times New Roman" w:hAnsi="Times New Roman"/>
          <w:color w:val="0070C0"/>
          <w:sz w:val="16"/>
          <w:szCs w:val="16"/>
        </w:rPr>
        <w:softHyphen/>
        <w:t>рудования, материалов, транспорта и механизмов - для заводов в Таллине, Риге и Каунасе - 30 млн. рублей, в том числе 15 млн. руб- гей в оборотные средства трестов.</w:t>
      </w:r>
    </w:p>
    <w:p w14:paraId="62B9D248"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Промбанку СССР финансировать капитальное строительство указанных заводов до 1.1У-1941 года без проектов и смет, а после 1.1У-1941 года по сметам на отдельные об’екты и виды работ, утверждаемые Наркомавиапромом.</w:t>
      </w:r>
    </w:p>
    <w:p w14:paraId="0DC50826"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12. Обязать Советы Народных комиссаров Эстонской, Латвийской и Литовской ССР обеспечить полностью строительные работы Наркомавиапрома рабочей силой, а также местными материалами (лесом, кирпичом, камнем, гравием, песком, известью и алебастром).</w:t>
      </w:r>
    </w:p>
    <w:p w14:paraId="5AD6542C"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 Выделить дополнительно в 1У квартале 1940 года Народному Комиссару Авиационной Промышленности т. Шахурину А .И. из резервного Фонда Совнаркома СССР на подготовку производства боевых самоле</w:t>
      </w:r>
      <w:r w:rsidRPr="00A3026E">
        <w:rPr>
          <w:rFonts w:ascii="Times New Roman" w:hAnsi="Times New Roman"/>
          <w:color w:val="0070C0"/>
          <w:sz w:val="16"/>
          <w:szCs w:val="16"/>
        </w:rPr>
        <w:softHyphen/>
        <w:t>тов и авиационных приборов в Таллине, Риге, Каунасе и Тарту 5 млн.рублей.</w:t>
      </w:r>
    </w:p>
    <w:p w14:paraId="6B6808EE"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 Экономсовету при совнаркоме СССР выделить в 1940 и 1941 г.г. необходимые строительные материалы и оборудование для вновь орга</w:t>
      </w:r>
      <w:r w:rsidRPr="00A3026E">
        <w:rPr>
          <w:rFonts w:ascii="Times New Roman" w:hAnsi="Times New Roman"/>
          <w:color w:val="0070C0"/>
          <w:sz w:val="16"/>
          <w:szCs w:val="16"/>
        </w:rPr>
        <w:softHyphen/>
        <w:t>низуемых самолете строительных и авиаприборного заводов в Таллине, Тарту, Риге и Каунасе.</w:t>
      </w:r>
    </w:p>
    <w:p w14:paraId="112B7059"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 Разрешить Наркомавиапрому импорт оборудования для самолет</w:t>
      </w:r>
      <w:r w:rsidRPr="00A3026E">
        <w:rPr>
          <w:rFonts w:ascii="Times New Roman" w:hAnsi="Times New Roman"/>
          <w:color w:val="0070C0"/>
          <w:sz w:val="16"/>
          <w:szCs w:val="16"/>
        </w:rPr>
        <w:softHyphen/>
        <w:t>ных заводов в Эстонской, Латвийской и Литовской ССР в размере 5млн. рублей.</w:t>
      </w:r>
    </w:p>
    <w:p w14:paraId="4A81D0BC"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 Отпустить Наркомавиапрому из резервного фонда Совнаркома СССP на 1940 год для капитального строительства, приобретения обо</w:t>
      </w:r>
      <w:r w:rsidRPr="00A3026E">
        <w:rPr>
          <w:rFonts w:ascii="Times New Roman" w:hAnsi="Times New Roman"/>
          <w:color w:val="0070C0"/>
          <w:sz w:val="16"/>
          <w:szCs w:val="16"/>
        </w:rPr>
        <w:softHyphen/>
        <w:t>рудования, материалов, транспорта и механизмов - для заводов в Таллине, Риге и Каунасе - 30 млн. рублей, в том числе 15 млн.рублей в оборотные средства трестов.</w:t>
      </w:r>
    </w:p>
    <w:p w14:paraId="7131A44B"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 Наркомвнешторгу разместить в 1У квартале 1940 года и 1 квартале 1941 года заказы на оборудование для указанных в пункте 1 настоящего Постановления самолетных заводов в соответствии со спецификациями Наркомавиапром, утвержденными экономсоветом при Совнаркоме СССР.</w:t>
      </w:r>
    </w:p>
    <w:p w14:paraId="1878D5F2"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18. Обязать председателя Совнаркома Эстонской ССР т. Лауристин, секретаря ЦК КП(б) Эстонии т. Сярэ, председателя Совнаркома Лат</w:t>
      </w:r>
      <w:r w:rsidRPr="00A3026E">
        <w:rPr>
          <w:rFonts w:ascii="Times New Roman" w:hAnsi="Times New Roman"/>
          <w:color w:val="0070C0"/>
          <w:sz w:val="16"/>
          <w:szCs w:val="16"/>
        </w:rPr>
        <w:softHyphen/>
        <w:t>вийской ССР т. Лацис, секретаря ЦК КП(б) Латвии т. Калиберзиньш, председателя Совнарком Литовской ССР т. Гедвилас и секретаря ЦК КП(б) Литвы т. Снечкус:</w:t>
      </w:r>
    </w:p>
    <w:p w14:paraId="6EB472C3"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взять под свое личное особое наблюдение строительство самолетных заводов;</w:t>
      </w:r>
    </w:p>
    <w:p w14:paraId="1BA3987B" w14:textId="77777777" w:rsidR="00AD22AA" w:rsidRPr="00A3026E" w:rsidRDefault="00AD22A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обеспечивать всесторонние помощь заводам Наркомавиапрома в выполнении возложенных на них обязательств по организации производства боевых самолетов (22066).</w:t>
      </w:r>
    </w:p>
    <w:p w14:paraId="566D98DF" w14:textId="77777777" w:rsidR="00AD22AA" w:rsidRPr="00A3026E" w:rsidRDefault="00AD22AA" w:rsidP="00A3026E">
      <w:pPr>
        <w:spacing w:after="0" w:line="240" w:lineRule="auto"/>
        <w:jc w:val="both"/>
        <w:rPr>
          <w:rFonts w:ascii="Times New Roman" w:hAnsi="Times New Roman"/>
          <w:color w:val="000000" w:themeColor="text1"/>
          <w:sz w:val="16"/>
          <w:szCs w:val="16"/>
        </w:rPr>
      </w:pPr>
    </w:p>
    <w:p w14:paraId="6D3947B7" w14:textId="2955AA28" w:rsidR="00762DFA" w:rsidRPr="00A3026E" w:rsidRDefault="00762D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года еще до окончания госиспыта</w:t>
      </w:r>
      <w:r w:rsidRPr="00A3026E">
        <w:rPr>
          <w:rFonts w:ascii="Times New Roman" w:hAnsi="Times New Roman"/>
          <w:color w:val="000000" w:themeColor="text1"/>
          <w:sz w:val="16"/>
          <w:szCs w:val="16"/>
        </w:rPr>
        <w:softHyphen/>
        <w:t>ний А.С.Яковлеву и Н.Н. Поликарпову было присвоено звание Героя Социалистического Труда. Надо по</w:t>
      </w:r>
      <w:r w:rsidRPr="00A3026E">
        <w:rPr>
          <w:rFonts w:ascii="Times New Roman" w:hAnsi="Times New Roman"/>
          <w:color w:val="000000" w:themeColor="text1"/>
          <w:sz w:val="16"/>
          <w:szCs w:val="16"/>
        </w:rPr>
        <w:softHyphen/>
        <w:t>лагать, что Яковлев получил высокую на</w:t>
      </w:r>
      <w:r w:rsidRPr="00A3026E">
        <w:rPr>
          <w:rFonts w:ascii="Times New Roman" w:hAnsi="Times New Roman"/>
          <w:color w:val="000000" w:themeColor="text1"/>
          <w:sz w:val="16"/>
          <w:szCs w:val="16"/>
        </w:rPr>
        <w:softHyphen/>
        <w:t>граду за создание И-26, а Поликарпов - за все свои прошлые работы.</w:t>
      </w:r>
    </w:p>
    <w:p w14:paraId="49812DA4" w14:textId="77777777" w:rsidR="00762DFA" w:rsidRPr="00A3026E" w:rsidRDefault="00762DFA" w:rsidP="00A3026E">
      <w:pPr>
        <w:spacing w:after="0" w:line="240" w:lineRule="auto"/>
        <w:jc w:val="both"/>
        <w:rPr>
          <w:rFonts w:ascii="Times New Roman" w:hAnsi="Times New Roman"/>
          <w:color w:val="000000" w:themeColor="text1"/>
          <w:sz w:val="16"/>
          <w:szCs w:val="16"/>
        </w:rPr>
      </w:pPr>
    </w:p>
    <w:p w14:paraId="7BC0D7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группе авиаконструкторов присвоили звание ГСТ, в т.ч. Н.Н.П., А.С.Я., Б.Г.Шпитальному, А.А.Микулину, В.Я.Климову (271,193).</w:t>
      </w:r>
    </w:p>
    <w:p w14:paraId="301DEAC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CC9F397"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28 октября 1940</w:t>
      </w:r>
    </w:p>
    <w:p w14:paraId="2A92CA3D"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1028. Решения ПБ за 27 сентября — 28 октября 1940 г. (протокол № 21)</w:t>
      </w:r>
    </w:p>
    <w:p w14:paraId="5C654C97"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28.Х.40 г.</w:t>
      </w:r>
    </w:p>
    <w:p w14:paraId="3538332B"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371. О присвоении звания Героя Социалистического Труда Токареву Ф.В., Поликарпову Н.Н., Шпитальному Б.Г., Грабину В.Г., Яковлеву </w:t>
      </w:r>
    </w:p>
    <w:p w14:paraId="480FCB31"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А.С., Микулину А.А., Климову В.Я., Иванову И.И., Крупчатникову М.Я.</w:t>
      </w:r>
    </w:p>
    <w:p w14:paraId="20F2F716"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372. Об образовании производства боевых самолетов в Эстонской, Латвийской и Литовской союзных республиках (постановление СНК СССР и ЦК ВКП(б)). — ОП (20920).</w:t>
      </w:r>
    </w:p>
    <w:p w14:paraId="23FDCA21" w14:textId="77777777" w:rsidR="00BA41C5" w:rsidRPr="00A3026E" w:rsidRDefault="00BA41C5" w:rsidP="00A3026E">
      <w:pPr>
        <w:spacing w:after="0" w:line="240" w:lineRule="auto"/>
        <w:jc w:val="both"/>
        <w:rPr>
          <w:rFonts w:ascii="Times New Roman" w:hAnsi="Times New Roman"/>
          <w:color w:val="0070C0"/>
          <w:sz w:val="16"/>
          <w:szCs w:val="16"/>
        </w:rPr>
      </w:pPr>
    </w:p>
    <w:p w14:paraId="06C578BE" w14:textId="77777777" w:rsidR="009B5678" w:rsidRPr="00A3026E" w:rsidRDefault="009B5678"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0B5C253" w14:textId="77777777" w:rsidR="009B5678" w:rsidRPr="00A3026E" w:rsidRDefault="009B5678" w:rsidP="00A3026E">
      <w:pPr>
        <w:spacing w:after="0" w:line="240" w:lineRule="auto"/>
        <w:jc w:val="both"/>
        <w:rPr>
          <w:rFonts w:ascii="Times New Roman" w:hAnsi="Times New Roman"/>
          <w:iCs/>
          <w:color w:val="000000" w:themeColor="text1"/>
          <w:sz w:val="16"/>
          <w:szCs w:val="16"/>
        </w:rPr>
      </w:pPr>
    </w:p>
    <w:p w14:paraId="37ECD7EC"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г. для выявления причин образования надрывов и оказания заводу № 183 технической помощи в их устранении, по распоряжению заместителя народного комиссара судостроительной промышленности А.М. Редькина в Харьков из Ленинграда была командирована бригада специалистов НИИ-48 в составе инженеров: А.П. Горячева, П.В. Пильника и И.В. Яшина. </w:t>
      </w:r>
    </w:p>
    <w:p w14:paraId="1424568C"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Прибыв 1 ноября 1940 г. на завод № 183 инженеры НИИ-48, прежде всего, тщательно ознакомились с применяемой в отделе «700» технологией сварки, а также с конструкцией сварных узлов корпуса танка Т-34. После ознакомления с работой отдела «700» и представленной конструкторской документацией, специалистами НИИ-48 было предложено изменить действовавшую на заводе № 183 технологию сварки – отменить предварительную наплавку металла на кромках свариваемых деталей и перевести наиболее подверженные «трещинообразованию» детали на сварку аустенитными электродами марки «25-12», имевшими более высокие механические свойства по сравнению с применявшимися кремнемарганцевистыми электродами марки «МД». Кроме этого в целях уменьшения внутренних напряжений в свариваемых броневых деталях было предложено изменить конструкцию основных соединений носовых и бортовых листов корпуса танка Т-34. </w:t>
      </w:r>
    </w:p>
    <w:p w14:paraId="5118FC38"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Предложения бригады НИИ-48 в середине ноября 1940 г. были согласованы с главным инженером завода № 183 С.Н. Махониным, после чего руководством завода было принято решение проверить новую технологию сварки на пяти опытных корпусах (18206).</w:t>
      </w:r>
    </w:p>
    <w:p w14:paraId="4690D57F" w14:textId="77777777" w:rsidR="009B5678" w:rsidRPr="00A3026E" w:rsidRDefault="009B5678" w:rsidP="00A3026E">
      <w:pPr>
        <w:spacing w:after="0" w:line="240" w:lineRule="auto"/>
        <w:jc w:val="both"/>
        <w:rPr>
          <w:rFonts w:ascii="Times New Roman" w:hAnsi="Times New Roman"/>
          <w:color w:val="000000" w:themeColor="text1"/>
          <w:sz w:val="16"/>
          <w:szCs w:val="16"/>
        </w:rPr>
      </w:pPr>
    </w:p>
    <w:p w14:paraId="3D5B4B38"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7261744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FB635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Италия начала военные действия против Греции (несмотря на протесты Гитлера) (4962).</w:t>
      </w:r>
    </w:p>
    <w:p w14:paraId="2C2150D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527FD43"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October 28, 1940: Start of an Italian offensive from conquered Albania into Greece. Hitler and Mussolini meet at Florence (3819).</w:t>
      </w:r>
    </w:p>
    <w:p w14:paraId="3A2BB80D"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3A4093DA"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October 28 1940 Italy attacked Greece prior to expiration of ultimatum, creating state of war (1223).</w:t>
      </w:r>
    </w:p>
    <w:p w14:paraId="5A74F6D3"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542DD4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Италия атаковала Грецию еще до истечения срока ультиматума (1223).</w:t>
      </w:r>
    </w:p>
    <w:p w14:paraId="7D37153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534FC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Вторжение на греческую территорию из Албании(итал) войск 9А(ит) ген. В.Праска (157 тыс.чел). Контингент албанских вспомогательных войск в составе 12 тыс.человек принял участие в кампании Италии против Греции (7594).</w:t>
      </w:r>
    </w:p>
    <w:p w14:paraId="1CD9C62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994B7DD"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28 October 1940 Italy invades Greece from Albania (270).</w:t>
      </w:r>
    </w:p>
    <w:p w14:paraId="095E7B5F"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08AF96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Италия вторглась в Грецию из Албании (270), сначала потребовав передать ей стратегические объекты (3907,224).</w:t>
      </w:r>
    </w:p>
    <w:p w14:paraId="531D10F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20F188" w14:textId="77777777" w:rsidR="006F0594" w:rsidRPr="00A3026E" w:rsidRDefault="006F0594"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28 октября </w:t>
      </w:r>
      <w:r w:rsidRPr="00A3026E">
        <w:rPr>
          <w:rFonts w:ascii="Times New Roman" w:hAnsi="Times New Roman"/>
          <w:color w:val="000000" w:themeColor="text1"/>
          <w:sz w:val="16"/>
          <w:szCs w:val="16"/>
        </w:rPr>
        <w:t>в 1940 году Италия требует передать ей стратегические объекты в Греции, но греческое правительство отказывается удовлетворить это требование. Итальянские войска вторгаются в Грецию. Это нападение, совершенное со стороны ранее оккупированной Албании, оказалось неожиданным даже для союзников Муссолини. Через неделю агрессоры были отброшены и несколько следующих месяцев вынуждены вести тяжелые оборонительные бои. Греция будет оккупирована только тогда, когда на нее обрушится вся мощь фашистской Германии. Национальный праздник — День "Охи" (по-гречески означает «нет») в Греции, дата вступления Греции во Вторую Мировую Войну (14813).</w:t>
      </w:r>
    </w:p>
    <w:p w14:paraId="13DEB66A" w14:textId="77777777" w:rsidR="006F0594" w:rsidRPr="00A3026E" w:rsidRDefault="006F0594" w:rsidP="00A3026E">
      <w:pPr>
        <w:spacing w:after="0" w:line="240" w:lineRule="auto"/>
        <w:jc w:val="both"/>
        <w:rPr>
          <w:rFonts w:ascii="Times New Roman" w:hAnsi="Times New Roman"/>
          <w:color w:val="000000" w:themeColor="text1"/>
          <w:sz w:val="16"/>
          <w:szCs w:val="16"/>
        </w:rPr>
      </w:pPr>
    </w:p>
    <w:p w14:paraId="6208C956" w14:textId="77777777" w:rsidR="006F0594" w:rsidRPr="00A3026E" w:rsidRDefault="006F0594"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28 октября </w:t>
      </w:r>
      <w:r w:rsidRPr="00A3026E">
        <w:rPr>
          <w:rFonts w:ascii="Times New Roman" w:hAnsi="Times New Roman"/>
          <w:color w:val="000000" w:themeColor="text1"/>
          <w:sz w:val="16"/>
          <w:szCs w:val="16"/>
        </w:rPr>
        <w:t>в 1940 году встреча Адольфа Гитлера и Бенито Муссолини во Флоренции, Италия (14813).</w:t>
      </w:r>
    </w:p>
    <w:p w14:paraId="0620D75D" w14:textId="77777777" w:rsidR="006F0594" w:rsidRPr="00A3026E" w:rsidRDefault="006F0594" w:rsidP="00A3026E">
      <w:pPr>
        <w:spacing w:after="0" w:line="240" w:lineRule="auto"/>
        <w:jc w:val="both"/>
        <w:rPr>
          <w:rFonts w:ascii="Times New Roman" w:hAnsi="Times New Roman"/>
          <w:color w:val="000000" w:themeColor="text1"/>
          <w:sz w:val="16"/>
          <w:szCs w:val="16"/>
        </w:rPr>
      </w:pPr>
    </w:p>
    <w:p w14:paraId="34F2CC93" w14:textId="77777777" w:rsidR="006F0594" w:rsidRPr="00A3026E" w:rsidRDefault="006F0594"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28 октября </w:t>
      </w:r>
      <w:r w:rsidRPr="00A3026E">
        <w:rPr>
          <w:rFonts w:ascii="Times New Roman" w:hAnsi="Times New Roman"/>
          <w:color w:val="000000" w:themeColor="text1"/>
          <w:sz w:val="16"/>
          <w:szCs w:val="16"/>
        </w:rPr>
        <w:t xml:space="preserve">в 1940 году подводная лодка «U-32» под командованием Ганса Йениша торпедировала и потопила лайнер </w:t>
      </w:r>
      <w:hyperlink r:id="rId54" w:tgtFrame="_blank" w:history="1">
        <w:r w:rsidRPr="00A3026E">
          <w:rPr>
            <w:rFonts w:ascii="Times New Roman" w:hAnsi="Times New Roman"/>
            <w:color w:val="000000" w:themeColor="text1"/>
            <w:sz w:val="16"/>
            <w:szCs w:val="16"/>
          </w:rPr>
          <w:t xml:space="preserve">"Эмпресс оф Бритн" </w:t>
        </w:r>
      </w:hyperlink>
      <w:r w:rsidRPr="00A3026E">
        <w:rPr>
          <w:rFonts w:ascii="Times New Roman" w:hAnsi="Times New Roman"/>
          <w:color w:val="000000" w:themeColor="text1"/>
          <w:sz w:val="16"/>
          <w:szCs w:val="16"/>
        </w:rPr>
        <w:t xml:space="preserve">- самое крупное судно, потопленное немецкими подводными лодками в годы второй мировой войны. Это канадский лайнер, который был потоплен «U-32», после того как двумя днями </w:t>
      </w:r>
      <w:r w:rsidRPr="00A3026E">
        <w:rPr>
          <w:rFonts w:ascii="Times New Roman" w:hAnsi="Times New Roman"/>
          <w:color w:val="000000" w:themeColor="text1"/>
          <w:sz w:val="16"/>
          <w:szCs w:val="16"/>
        </w:rPr>
        <w:lastRenderedPageBreak/>
        <w:t>раньше получил повреждения (2 бомбы) во время атаки "Кондора" из 40-й авиагруппы (пилот оберлейтенант Bernhard Jope). Лодку навели на поврежденный лайнер, после чего она пустила его на дно двумя торпедами (третья взорвалась преждевременно), с расстояния в 650 метров. Судно шло в Ливерпуль из Кейптауна, на нем в тот момент находилось 623 человека (416 членов экипажа, два артиллериста и 205 пассажиров - военные и их семьи)+ 600 тонн грузов. Общее количество жертв 45 человек ( 25 членов команды и 20 пассажиров). После эвакуации основного количества людей на судне осталось 55 членов экипажа. Судно пытались спасти и отбуксировать в порт, но подводная лодка «U-32» поставила точку в его судьбе (14813).</w:t>
      </w:r>
    </w:p>
    <w:p w14:paraId="619EE94F" w14:textId="77777777" w:rsidR="006F0594" w:rsidRPr="00A3026E" w:rsidRDefault="006F0594" w:rsidP="00A3026E">
      <w:pPr>
        <w:spacing w:after="0" w:line="240" w:lineRule="auto"/>
        <w:jc w:val="both"/>
        <w:rPr>
          <w:rFonts w:ascii="Times New Roman" w:hAnsi="Times New Roman"/>
          <w:color w:val="000000" w:themeColor="text1"/>
          <w:sz w:val="16"/>
          <w:szCs w:val="16"/>
        </w:rPr>
      </w:pPr>
    </w:p>
    <w:p w14:paraId="2869679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EB821A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8EF47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Павел Осипович до</w:t>
      </w:r>
      <w:r w:rsidRPr="00A3026E">
        <w:rPr>
          <w:rFonts w:ascii="Times New Roman" w:hAnsi="Times New Roman"/>
          <w:color w:val="000000" w:themeColor="text1"/>
          <w:sz w:val="16"/>
          <w:szCs w:val="16"/>
        </w:rPr>
        <w:softHyphen/>
        <w:t>ложил заместителю начальника 7ГУ НКАП С.Н.Шишкину, что: «Самолет ББ-2 М-88 окончил заводские испы</w:t>
      </w:r>
      <w:r w:rsidRPr="00A3026E">
        <w:rPr>
          <w:rFonts w:ascii="Times New Roman" w:hAnsi="Times New Roman"/>
          <w:color w:val="000000" w:themeColor="text1"/>
          <w:sz w:val="16"/>
          <w:szCs w:val="16"/>
        </w:rPr>
        <w:softHyphen/>
        <w:t>тания по программе, утвержденной 7-м Главным Управлением.</w:t>
      </w:r>
    </w:p>
    <w:p w14:paraId="7EA538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расхождения максимальных скоростей по расчету с летными дан</w:t>
      </w:r>
      <w:r w:rsidRPr="00A3026E">
        <w:rPr>
          <w:rFonts w:ascii="Times New Roman" w:hAnsi="Times New Roman"/>
          <w:color w:val="000000" w:themeColor="text1"/>
          <w:sz w:val="16"/>
          <w:szCs w:val="16"/>
        </w:rPr>
        <w:softHyphen/>
        <w:t>ными, считаю необходимым продол</w:t>
      </w:r>
      <w:r w:rsidRPr="00A3026E">
        <w:rPr>
          <w:rFonts w:ascii="Times New Roman" w:hAnsi="Times New Roman"/>
          <w:color w:val="000000" w:themeColor="text1"/>
          <w:sz w:val="16"/>
          <w:szCs w:val="16"/>
        </w:rPr>
        <w:softHyphen/>
        <w:t>жить испытания для снятия поляры, опробования новых винтов и выхло</w:t>
      </w:r>
      <w:r w:rsidRPr="00A3026E">
        <w:rPr>
          <w:rFonts w:ascii="Times New Roman" w:hAnsi="Times New Roman"/>
          <w:color w:val="000000" w:themeColor="text1"/>
          <w:sz w:val="16"/>
          <w:szCs w:val="16"/>
        </w:rPr>
        <w:softHyphen/>
        <w:t>па.</w:t>
      </w:r>
    </w:p>
    <w:p w14:paraId="236E2A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проведения этих полетов вы</w:t>
      </w:r>
      <w:r w:rsidRPr="00A3026E">
        <w:rPr>
          <w:rFonts w:ascii="Times New Roman" w:hAnsi="Times New Roman"/>
          <w:color w:val="000000" w:themeColor="text1"/>
          <w:sz w:val="16"/>
          <w:szCs w:val="16"/>
        </w:rPr>
        <w:softHyphen/>
        <w:t>делен летчик завода №289 т. Фик-сон Н.Д.» (11849).</w:t>
      </w:r>
    </w:p>
    <w:p w14:paraId="544F4E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175C819"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Павел Осипович Сухой доложил заместителю начальника 7-го Главного управления НКАП С Н Шишкину, что скоростной штурмовик-бомбарди</w:t>
      </w:r>
      <w:r w:rsidRPr="00A3026E">
        <w:rPr>
          <w:rFonts w:ascii="Times New Roman" w:hAnsi="Times New Roman"/>
          <w:color w:val="000000" w:themeColor="text1"/>
          <w:sz w:val="16"/>
          <w:szCs w:val="16"/>
        </w:rPr>
        <w:softHyphen/>
        <w:t>ровщик ШБ - ББ-2  закончил заводские испытания, но ввиду расхождения максимальных скоростей с расчетными, считает необхо</w:t>
      </w:r>
      <w:r w:rsidRPr="00A3026E">
        <w:rPr>
          <w:rFonts w:ascii="Times New Roman" w:hAnsi="Times New Roman"/>
          <w:color w:val="000000" w:themeColor="text1"/>
          <w:sz w:val="16"/>
          <w:szCs w:val="16"/>
        </w:rPr>
        <w:softHyphen/>
        <w:t>димым продолжить испытания для снятия поляры, опробования новых винтов и выхлопной системы Для проведения этих полетов выделялся летчик завода № 289 Н Д Фиксон (19102).</w:t>
      </w:r>
    </w:p>
    <w:p w14:paraId="1E8A14B7" w14:textId="77777777" w:rsidR="009B5678" w:rsidRPr="00A3026E" w:rsidRDefault="009B5678" w:rsidP="00A3026E">
      <w:pPr>
        <w:spacing w:after="0" w:line="240" w:lineRule="auto"/>
        <w:jc w:val="both"/>
        <w:rPr>
          <w:rFonts w:ascii="Times New Roman" w:hAnsi="Times New Roman"/>
          <w:color w:val="000000" w:themeColor="text1"/>
          <w:sz w:val="16"/>
          <w:szCs w:val="16"/>
        </w:rPr>
      </w:pPr>
    </w:p>
    <w:p w14:paraId="32497B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года закончились испытания самолета ДБ-3Ф 2М-88 с винтом ВИШ-23 № 390801 с обтекателем на МВ-3 и убирающимся костылем, которые проходили с 17 октября 1940</w:t>
      </w:r>
    </w:p>
    <w:p w14:paraId="481BC2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6BF544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1 ранга Платонов</w:t>
      </w:r>
    </w:p>
    <w:p w14:paraId="3B5A65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капитан Сыроегин</w:t>
      </w:r>
    </w:p>
    <w:p w14:paraId="1601D4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5F2FF21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максимальные скорости по высотам у самолета ДБ-3Ф 2М-88 с винтом ВИШ-23 № 390801 с обтекателем на МВ-3 и убирающимся в полете костыльным колесом.</w:t>
      </w:r>
    </w:p>
    <w:p w14:paraId="4D6795F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эксплуатационные качества системы пневматической уборки костыльного колеса.</w:t>
      </w:r>
    </w:p>
    <w:p w14:paraId="19F0888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обзор и обстрел пулеметной установки МВ-3 при установленном обтекателе.</w:t>
      </w:r>
    </w:p>
    <w:p w14:paraId="3BB3A4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самолет является эталоном 1940 года прошедшим гос. испытания в НИИ ВВС в августе 1940 года.</w:t>
      </w:r>
    </w:p>
    <w:p w14:paraId="75B6BD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гос. испытания самолета, на него завод № 39 установил обтекатель, который крепится к фюзеляжу являясь продолжением фонаря кабины летчика, простирается до пулеметной установки МВ-3. Кроме того, место тросового, установлено на самолете пневматическое управление уборкой костыля, включенное в общую систему уборки шасси.</w:t>
      </w:r>
    </w:p>
    <w:p w14:paraId="7E98D5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833DBC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ДБ-3Ф устанавливать обтекатель для МВ-3 нецелесообразно, так как обтекатель не дает увеличения максимальной скорости самолету и уменьшает углы обстрела из МВ-3.</w:t>
      </w:r>
    </w:p>
    <w:p w14:paraId="0884187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Рекомендовать установку убирающегося костыля с пневматическим управлением на все выпускаемые самолеты ДБ-3Ф по испытанному образцу на самолете ДБ-3Ф 2М-88 № 390801 с обязательной установкой сигнализации для летчика положения костыля «выпущено и убрано».</w:t>
      </w:r>
    </w:p>
    <w:p w14:paraId="4EAB9A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испытания 12 дней, из них летные испытания 5 дней.</w:t>
      </w:r>
    </w:p>
    <w:p w14:paraId="2865F5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самолета произведено 24 полета с общей продолжительностью 8 час. 20 мин. (4394).</w:t>
      </w:r>
    </w:p>
    <w:p w14:paraId="6A8B6A3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1776B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29 октября 1940 г. в НИИ ВВС испытывался самолет ДБ-3М, названный "эталоном на 2-ю половину 1940 г." и собравший всю сумму изменений, внесенных в ДБ-ЗФ за 1-е полугодие 1940 г.</w:t>
      </w:r>
    </w:p>
    <w:p w14:paraId="5D62B5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нем стояли М-88 в капотах "типа Б", причем всасывающий патрубок вытянули до переднего обреза капота. Маслорадиаторы были упрятаны в крыло. Гидравлическое управление юбками заменили механическим (тросиками). Козырек пилотской кабины опять сделали гнутым. На самолете были смонтированы турели МВ-2 и МВ-3.</w:t>
      </w:r>
    </w:p>
    <w:p w14:paraId="2ECAB6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Впоследствии на "эталоне" добавили уборку хвостового колеса пневматикой и длинный фанерный гаргрот от пилотской кабины до турели МВ-3. Гаргрот должен был улучшить обтекание громоздкого фонаря турели. Таким способом хотели уменьшить расход горючего и хоть немного поднять скорость.</w:t>
      </w:r>
    </w:p>
    <w:p w14:paraId="31D4EF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Капоты "типа Б" себя оправдали, так же как и маслорадиаторы в крыле. Зато гаргрот оказался бесполезным. Прирост скорости составил всего 2 км/ч, зато существенно уменьшились углы обстрела в передней полусфере. Гнутый козырек искажал обзор. Убирающееся хвостовое колесо одобрили, но отметили, что оно сократило угол обстрела вверх почти на два градуса.</w:t>
      </w:r>
    </w:p>
    <w:p w14:paraId="50F517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что эталоном "эталон" не стал, но капоты "типа Б" и механическое управление юбками внедрили на серийных машинах со второго полугодия. В октябре прошли испытания новые зимние жалюзи для самолетов с капотами "типа Ф". Сделали их в Москве, но образцом послужили уже упоминавшиеся жалюзи завода № 126. Они надежно и эффективно работали. Предписали укомплектовать новыми жалюзи все ранее выпушенные бомбардировщики. В декабре того же года на заводе №39 провели интересный эксперимент по повышению боевой живучести ДБ-ЗФ. Бензобак расположили в герметизированном отсеке, заполнявшемся нейтральным газом. Идею позаимствовали у немцев - изучавшихся у нас бомбардировщиках Юнкере Ju 88 и Дорнье Do 215. Изготовили экспериментальное крыло, которое расстреливали из пулемета на полигоне. Но результат от новинки оказался невысоким. Сказалось низкое качество изготовления. Отсек, который должен был герметизироваться, уплотнили плохо. Идея была хорошей, но подвела технология. На серийных самолетах баки изготовлялись по-старому.</w:t>
      </w:r>
    </w:p>
    <w:p w14:paraId="659F21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за 1940 г. изготовили 1106 ДБ-3, незначительную долю из них с М-88. Последних было бы больше, если бы не приостановка производства М-88 в августе-ноябре. Сборку двигателей прекратили и возобновили только после ликвидации основных дефектов и усовершенствования технологии. После этого начала выпускаться модификация М-88Б. На ней усилили шатуны и поршень, опять увеличили площадь оребрения головок и гильз, усовершенствовали масло- систему и карбюратор. Практически все лето и осень собирались только самолеты с М-87. Лишь 28 ноября через приемку на заводе № I8 прошли три бомбардировщика с М-88 (12021).</w:t>
      </w:r>
    </w:p>
    <w:p w14:paraId="24E4CCF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8974F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на заводской аэродром был вывезен 2-й экземпляр эталонного СБ-РК, на котором предполагалось отладить систему вооружения. К этому времени подходила к завершению постройка 3-го эталонного СБ-РК, который предполагалось передать в НИИ ВВС КА для производства государственных испытаний. На этом самолете, по сравнению с первым и вторым экземплярами, были сделаны некоторые улучшения: увеличено сечение выхода из тоннеля водорадиатора путем уменьшения числа створок жалюзи (5 вместо 6). изменен руль глубины, в носовой части фюзеляжа Ф-1 был установлен дополнительный аккумулятор.</w:t>
      </w:r>
    </w:p>
    <w:p w14:paraId="5FE24C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Государственные испытания опытного СБ-РК - эталона для серии, были завершены в январе 1941 г. Ведущим инженером по испытаниям был вое-нинженер 1-го ранга М. И. Ефимов. летчики-испытатели - майор В.И.Жданов и капитан А.М.Хрипков. Отчет по испытаниям был подписан Начальником НИИ ВВС КА генерал-майором А.И.Филиным 20 января 1941 г. и 31 января утвержден Начальником ГУ ВВС КА генерал-лейтенантом П.В. Рычаговым (9655).</w:t>
      </w:r>
    </w:p>
    <w:p w14:paraId="079DD23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C95A0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Петров докладывал наркому (справка N 5451) о состоянии выполнения приказа N 282сс от 16 июня о постройке ближнего бомбардировщика с М-105 ТК-2 (1170).</w:t>
      </w:r>
    </w:p>
    <w:p w14:paraId="232CF54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ECA256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года макетной комиссией был принят макет кабины летчика и штурмана для второго экземпляра двухмоторного ближнего бомбардировщика с моторами М-105 ТК Архангельского в пикирующем варианте (4048, 4).</w:t>
      </w:r>
    </w:p>
    <w:p w14:paraId="7C09588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D96F0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И-28 А.С.Я. с М-105ПД с Э-100 В.А.Доллежаля, который начали проектировать и строить с 10 июля 1940, передали на летную станцию ОКБ и до конца ноября 1942 проводили наземные испытания и доводку бригадой из л П.Я.Федрови, ви В.В.Барсукова и м М.М.Щипанова (65,33).</w:t>
      </w:r>
    </w:p>
    <w:p w14:paraId="728D23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это была машина И-26В М-105П Э-100 (2090,232).</w:t>
      </w:r>
    </w:p>
    <w:p w14:paraId="2B94A63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B9B7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закончились гос. испытания И-21 М-105, которые шли с 1 октября 1940 (2090,232). Это была 2-я машина (2090,234).</w:t>
      </w:r>
    </w:p>
    <w:p w14:paraId="6FBB6E4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48191CE" w14:textId="77777777" w:rsidR="00604900" w:rsidRPr="00A3026E" w:rsidRDefault="00604900" w:rsidP="00A3026E">
      <w:pPr>
        <w:spacing w:after="0" w:line="240" w:lineRule="auto"/>
        <w:jc w:val="both"/>
        <w:rPr>
          <w:rStyle w:val="ucoz-forum-post"/>
          <w:rFonts w:ascii="Times New Roman" w:eastAsia="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29 октября 1940 года </w:t>
      </w:r>
      <w:r w:rsidRPr="00A3026E">
        <w:rPr>
          <w:rStyle w:val="ucoz-forum-post"/>
          <w:rFonts w:ascii="Times New Roman" w:eastAsia="Times New Roman" w:hAnsi="Times New Roman"/>
          <w:color w:val="000000" w:themeColor="text1"/>
          <w:sz w:val="16"/>
          <w:szCs w:val="16"/>
        </w:rPr>
        <w:t>Cостоялся первый полёт доработанного высотного истребителя И-200, лётчик-испытатель А.Н. Екатов - в серии присвоено обозначение МиГ-3 (14814).</w:t>
      </w:r>
    </w:p>
    <w:p w14:paraId="79C330EC" w14:textId="77777777" w:rsidR="00604900" w:rsidRPr="00A3026E" w:rsidRDefault="00604900" w:rsidP="00A3026E">
      <w:pPr>
        <w:spacing w:after="0" w:line="240" w:lineRule="auto"/>
        <w:jc w:val="both"/>
        <w:rPr>
          <w:rStyle w:val="ucoz-forum-post"/>
          <w:rFonts w:ascii="Times New Roman" w:eastAsia="Times New Roman" w:hAnsi="Times New Roman"/>
          <w:color w:val="000000" w:themeColor="text1"/>
          <w:sz w:val="16"/>
          <w:szCs w:val="16"/>
        </w:rPr>
      </w:pPr>
    </w:p>
    <w:p w14:paraId="5038CA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МиГ-3 04 совершил первый вылет (791,14).</w:t>
      </w:r>
    </w:p>
    <w:p w14:paraId="2DBFE7D5"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30 мая 1941 А.И.Микоян утвердил Акт по совместным испытаниям НИИ ВВС и завода 1 МиГ-3 № 04 опытного с АМ-35А на дальность. Летал А.Н.Екатов по маршруту Кача - Мелитополь - Днепропетровск и Кача - Саки - Качи протяженностью 1018 км</w:t>
      </w:r>
    </w:p>
    <w:p w14:paraId="362D90F9"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Отв. исполнители:</w:t>
      </w:r>
    </w:p>
    <w:p w14:paraId="0D1F7BF3"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Вед. инж. З-да № 1 и С.А.Этчин</w:t>
      </w:r>
    </w:p>
    <w:p w14:paraId="0BE2C471"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Вед. инж. НИИ ВВС ви1р П.С.Никитченко</w:t>
      </w:r>
    </w:p>
    <w:p w14:paraId="1596C825"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Вед. л А.Н.Екатов</w:t>
      </w:r>
    </w:p>
    <w:p w14:paraId="5488E38B"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xml:space="preserve">техник </w:t>
      </w:r>
    </w:p>
    <w:p w14:paraId="228E3CDD"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техник по снятию расходов горючего вт1р Рогочий</w:t>
      </w:r>
    </w:p>
    <w:p w14:paraId="45C1BD4E"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Цель испытаний:</w:t>
      </w:r>
    </w:p>
    <w:p w14:paraId="34883D11"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1. Снятие летных характеристик</w:t>
      </w:r>
    </w:p>
    <w:p w14:paraId="699B85F2"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2. Определение расходов горючего</w:t>
      </w:r>
    </w:p>
    <w:p w14:paraId="0E6E8DC7"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3. Определение физическийх данных на маршруте Кача - Мелитополь - Днепропетровс, Каяа - Саки - Кача протяженностью 1018 км</w:t>
      </w:r>
    </w:p>
    <w:p w14:paraId="4241BE3F"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Объект испытаний: с-т МиГ-3 с мотором АМ-35А и винтом ВИШ-22Е диамотром 3 м конструкции А.И.М. и Гуречича, производства завода № 1 изготовленный на базе МиГ-1 с выполнением новых ТТТ:</w:t>
      </w:r>
    </w:p>
    <w:p w14:paraId="6F2C3E24"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а) увеличение даолльности до 1000 км на расчетной высоте на 0,9 мкс. Скорости без подвесных б/б</w:t>
      </w:r>
    </w:p>
    <w:p w14:paraId="0F58E151"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б) изменить и улучшить конструкцию, а также устранить дефекты, выявленные на госиспытаниях в НИИ ВВС с-та МиГ-1 в сентябре 1940</w:t>
      </w:r>
    </w:p>
    <w:p w14:paraId="5FC8AC2D"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С-т МиГ-3 д.б. по ТТТ иметь данные с-та МиГ-1, за исключением технической дальности, которая на 0,9 макс. при нормальном запасе горючего на гр. высотности мотора 7000 м д.б.б. увеличена с 650 км до 1000 км.</w:t>
      </w:r>
    </w:p>
    <w:p w14:paraId="30822CB1"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Эти новые требования к МиГ-3 были предъявлены на основе решения ЦК ВКП(б) и СНК СССР № 2466-1096 от 7 декабря 1940</w:t>
      </w:r>
    </w:p>
    <w:p w14:paraId="0CF93CD3"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С-т имеет следующие отличия от с-та МиГ-1</w:t>
      </w:r>
    </w:p>
    <w:p w14:paraId="509F18CF"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вместо 3-х установлено 4 протектированных б/б, добавлен дополнительный бак, вмещающий около 250 л находится под кабиной л и отделен от кабины пожарной перегородкой. Снаружи бак закрыт дюралевым обтекателем, переходящим в заднюю часть туннеля водорадиатора.</w:t>
      </w:r>
    </w:p>
    <w:p w14:paraId="028792D9"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Водяной ражиатор при установке доп. б/б перемещен вперед. Вместо сотового поставлен пластинчатый водорадиатор с фронтовой площадбью 26 дм2</w:t>
      </w:r>
    </w:p>
    <w:p w14:paraId="2619338C"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Для сохранения нормальной центровки после установки доп. б/б мотор вынесен на 100 мм вперед</w:t>
      </w:r>
    </w:p>
    <w:p w14:paraId="2FDB5BDA"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В связи с увеличением запаса горючего установлены добавочный м/б кмкостью 16 л. Бак установлен перед пожарной перегородкой за мотором с целью обеспечить нужное давление масла при пикировании в связи с чем была изменена и схема маслосистемы.</w:t>
      </w:r>
    </w:p>
    <w:p w14:paraId="0D5F8A72"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Центропланные б/б соединены с задним подфюзеляжным баком. От переливания горючего установлены обратные клапаны. Питание мотора осуществляется только от подфюзеляжного бака Заливка горючего в подфюзеляжный бак осуществляется через центропланные баки</w:t>
      </w:r>
    </w:p>
    <w:p w14:paraId="254EFF7F"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поставлены новые колеса 620х200 взамен 600х180 с увеличенным тормозным диском. Увеличен вынос ног шасси, усилены верхние узлы, увеличен диаметр цилиндров подъема шасси. Откидные лучки колес перенесены на центроплан.</w:t>
      </w:r>
    </w:p>
    <w:p w14:paraId="62AC7AEF"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Изменена воздушная система, баллон сжатого воздуха установлен на 150 атм. И поставлен редуктор с переходом на 50 атм</w:t>
      </w:r>
    </w:p>
    <w:p w14:paraId="0DF50DD3"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вместо откидного в сторону фонаря поставлен фонарь, сдвигающийся назад с фиксатором в заднем положении</w:t>
      </w:r>
    </w:p>
    <w:p w14:paraId="0D2019D1"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козырек пилота для лучшего неискаженного обзора выполнен граненым из плексигласа</w:t>
      </w:r>
    </w:p>
    <w:p w14:paraId="238B2950"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сняты трубки вентури в связи с выполнением требования о питании гироприборов (авиагоризонт Пионер) от нагнетателя мотора</w:t>
      </w:r>
    </w:p>
    <w:p w14:paraId="2CBCB95B"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установлено оборудование под рацию РСИ-4 с соответствующей металлизацией</w:t>
      </w:r>
    </w:p>
    <w:p w14:paraId="5F1FA2FC"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ЦТ пустого (2667 кг) - 18,13%, ЦТ с полетным весом (3369) - 27%</w:t>
      </w:r>
    </w:p>
    <w:p w14:paraId="5BBC8FF6"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Краткие результаты испытаний:</w:t>
      </w:r>
    </w:p>
    <w:p w14:paraId="6BEBB837"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xml:space="preserve">Первый вылет с-та № 04 опытного состоялся в Москве 29 октября 1940 после чего еще два ознакомительных полета состоялись 12 ноября. </w:t>
      </w:r>
    </w:p>
    <w:p w14:paraId="4D070CBE"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Третий полет, в котором мотор № 039 из-за выпадания гнезда всасывающего клапана был заменен мотором № 008</w:t>
      </w:r>
    </w:p>
    <w:p w14:paraId="2280AB1E"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Четвертым полетом, который был 18 ноября 1940 после замены мотора был закончен 1-й этап испытаний.</w:t>
      </w:r>
    </w:p>
    <w:p w14:paraId="3D316C6C"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Испытания были перенесены в Качу (Крым). С-т в разобранном состоянии прибыл по ж/д в Евпаторию. Контрольный полет состоялся 9 декабря 1940. В Качу с-т перегнали 12 декабря. С этого момента по заданию Правительства начались совместные испытания на определение физической дальности.</w:t>
      </w:r>
    </w:p>
    <w:p w14:paraId="2C1952DD"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Б/б вмещают 462 кг горючего. После выработки горючего их подкрыльевого бака в трех точ. Полетах в нем оставалось 5 кг горючего</w:t>
      </w:r>
    </w:p>
    <w:p w14:paraId="628CA3C7"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19 декабря 1940 был произведен полет полет с передней центровкой для определения достаточности запаса рулей для полета (аэродром заснежен на 250 мм глубины снега). Летал Супрун</w:t>
      </w:r>
    </w:p>
    <w:p w14:paraId="4873EBAC"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Вывод:</w:t>
      </w:r>
    </w:p>
    <w:p w14:paraId="22251248"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1. Часовой расход горючего (по самописцу Наяда) на высоте 8040 на скорости 592 км/час, т.е. 0,9 макс. при 1950 оборотах и Рк 838 и при качестве смеси 0,9 составил 216 кг/час</w:t>
      </w:r>
    </w:p>
    <w:p w14:paraId="033B241C"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2. Километровый расход на участке Кача - Мелитополь - Кача протяженрием 546 км при забедненной смеси (качество смеси 0Ю9) составил 0,385 кг/км пути.</w:t>
      </w:r>
    </w:p>
    <w:p w14:paraId="0EE4F262"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Система смазки мотора на с-те МиГ-3 обеспечивает полет только до 8000 м. Давление масла падает ниже допустимого для нормальной работы мотора.</w:t>
      </w:r>
    </w:p>
    <w:p w14:paraId="00335387"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После новой регулировки Рк приемистость мотора удовлетворительна, но с высот 5000-6000 м приемистость мотора неудовлетворительны.</w:t>
      </w:r>
    </w:p>
    <w:p w14:paraId="4C1815D1"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В результате недостаточного диапазона угла установки лопасти ВИШ-22Е затяжеление винта до 1850 оборотов на высоте 8000 м и скррости 0,9 макс. произвести не возможно.</w:t>
      </w:r>
    </w:p>
    <w:p w14:paraId="5309E079"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Заключение:</w:t>
      </w:r>
    </w:p>
    <w:p w14:paraId="3CF55940"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Ввиду разрушения мотора АВМ-35А на с-те МиГ-3 определтить ьысячекилометровую дальность в Каче не удалось. Поэтому заводу № 1 продолжить испытания на определение дальности с-та МиГ-3 как с использованием высотного корректора, так и без него (т.к. на самолетах в строевых частях газоанализаторов нет)</w:t>
      </w:r>
    </w:p>
    <w:p w14:paraId="2B6DB72E"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Ведомость дефектов:</w:t>
      </w:r>
    </w:p>
    <w:p w14:paraId="2B192BC4"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шасси полностью не убирается на наборе высоты (убирается только в горизонтальном полете на скорости не более 250 км/час)</w:t>
      </w:r>
    </w:p>
    <w:p w14:paraId="7FB0BFB0"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плохо работают замки убранного положения шасси. На пикировании шасси вываливаются (опасный дефект, т.к. самолет тяжело выводить из пикирования)</w:t>
      </w:r>
    </w:p>
    <w:p w14:paraId="3AB6B9B3"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обрыв тросса уборки и выпуска костыля и аварийного выпуска шасси. На всех с-тах костыль не убирается (выключена эта система).</w:t>
      </w:r>
    </w:p>
    <w:p w14:paraId="0EFEDE20"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триммер РВ устанавливается только на правой половине, с-т не балансируется</w:t>
      </w:r>
    </w:p>
    <w:p w14:paraId="629C19C9"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в полете ноги пилота упираются в противопожарную перегородку и необходимо понизить педали нижного управления</w:t>
      </w:r>
    </w:p>
    <w:p w14:paraId="19961BA6"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отсутствуют плечевые ремни пилота</w:t>
      </w:r>
    </w:p>
    <w:p w14:paraId="2EAF6ACD"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после высотных полетов плексиглас дает трещины и рвется в полете</w:t>
      </w:r>
    </w:p>
    <w:p w14:paraId="1AA0F67E"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на больших скоростях рвутся сетки высывающих патрубков нагнетателей</w:t>
      </w:r>
    </w:p>
    <w:p w14:paraId="2C1D0635"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массовым явлением является падение давления масла в главном манометре с поднятием на высоту</w:t>
      </w:r>
    </w:p>
    <w:p w14:paraId="7083EF33"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масслвым явлением является падение давления бензина с высоты 6000-8000 м и они составляет 0,11-0,16 вместо 0,25-0,28</w:t>
      </w:r>
    </w:p>
    <w:p w14:paraId="107C7077"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 затруднена замена маслобака. Для этого надо снять винт и разобрать весь каркас капота мотора (791,2).</w:t>
      </w:r>
    </w:p>
    <w:p w14:paraId="10F33F4E" w14:textId="77777777" w:rsidR="00C66762" w:rsidRPr="00A3026E" w:rsidRDefault="00C66762" w:rsidP="00A3026E">
      <w:pPr>
        <w:pStyle w:val="Iauiue"/>
        <w:jc w:val="both"/>
        <w:rPr>
          <w:color w:val="000000" w:themeColor="text1"/>
          <w:sz w:val="16"/>
          <w:szCs w:val="16"/>
        </w:rPr>
      </w:pPr>
    </w:p>
    <w:p w14:paraId="5ED03E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г. состоялся первый вылет И-200 №04. Самолет пилотировал летчик-испытатель А.Н.Екатов (4802).</w:t>
      </w:r>
    </w:p>
    <w:p w14:paraId="75E91A5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AA550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w:t>
      </w:r>
      <w:r w:rsidRPr="00A3026E">
        <w:rPr>
          <w:rFonts w:ascii="Times New Roman" w:hAnsi="Times New Roman"/>
          <w:color w:val="000000" w:themeColor="text1"/>
          <w:sz w:val="16"/>
          <w:szCs w:val="16"/>
        </w:rPr>
        <w:softHyphen/>
        <w:t>тября 1940 г. состоялся первый вылет И—200 зав. № 04, доработанного под повышенную дальность. Самолет пилотировал А.Н.Екатов (9984).</w:t>
      </w:r>
    </w:p>
    <w:p w14:paraId="032075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F5960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расчет проекта истребителя дальнего действия Болховитинова на большую площадь крыла был представлен в НКАП, но решения никакого не последовало (4049,57).</w:t>
      </w:r>
    </w:p>
    <w:p w14:paraId="72D1AF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14737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года начальник 6 отдела Штаба ВВС полковник Муратов писал письмо № 0016618 начальнику ВВС генерал-лейтенанту Рычагову</w:t>
      </w:r>
    </w:p>
    <w:p w14:paraId="54289C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Начальником ВВС было сделано представление к правительственной награде авторов применения гранулированного фосфора.</w:t>
      </w:r>
    </w:p>
    <w:p w14:paraId="3515A3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1628/сс от 23 июня 1940 года секретариат КО запросил о боевой ценности указанного способа применения фосфора, на который ГУ ВВС за № 521796с от 10 сентября 1940 года КО было отвечено, что испытания фосфора проводятся в 1940 году.</w:t>
      </w:r>
    </w:p>
    <w:p w14:paraId="1A256C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основе проведенных на Авиахимполигоне (Уральск) в 1940 году испытаний по определению боевой эффективности выливания из ВАПов гранулированного фосфора (огненный дождь) докладываю, что:</w:t>
      </w:r>
    </w:p>
    <w:p w14:paraId="28C518C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При выливании его звеном самолетов СБ из ВАП-500 с дополнительным прибором с бреющего полета обнаружен значительный боевой эффект, часть собак выставленных для контроля получили ожоги третьей степени, приведшие к смертельному исходу.</w:t>
      </w:r>
    </w:p>
    <w:p w14:paraId="2C5579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при применении с бреющего полета фосфор зажигает легковоспламеняющиеся материалы (дома с соломенной крышей, созревшие посевы, сухая растительность и др.).</w:t>
      </w:r>
    </w:p>
    <w:p w14:paraId="66153FE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применении гранулированного фосфора в летних условиях с высот 1-3 тысячи метров гранулы фосфора после выливания из ВАП без дополнительного прибора не загораясь в воздухе доходят до земли. Воспламеняясь при ударе о землю они создают мощную дымовую волну, непросматриваемую в течение 40 минут и вытягивающуюся по ветру до 3 км. На площади падения гранул фосфора равной 1200х400 метров могут быть созданы также очаги пожара.</w:t>
      </w:r>
    </w:p>
    <w:p w14:paraId="58417B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что гранулированный фосфор дает достаточный боевой эффект и может быть использован авиацией как средство нападения.</w:t>
      </w:r>
    </w:p>
    <w:p w14:paraId="6325FD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Авторы указанного способа применения гранулированного фосфора заслуживают поощрения (7711, 309-310).</w:t>
      </w:r>
    </w:p>
    <w:p w14:paraId="4389F7A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EEDD9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года на НИП АВ ВВС закончились заводские испытания авиационно-дымовых шашек (АДШ) конструкции завода № 145, которые проходили с 5 октября 1940.</w:t>
      </w:r>
    </w:p>
    <w:p w14:paraId="25C16A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 ст. инженер 4 отделения опытного отдела НИП АВ ВВС в/инженер 2 ранга Рублев</w:t>
      </w:r>
    </w:p>
    <w:p w14:paraId="082322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46FF086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безотказность действия авиационных дымовых шашек и эффективность полученной при этом дымзавесы.</w:t>
      </w:r>
    </w:p>
    <w:p w14:paraId="40F152D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возможность и безопасность применения дымшашек из кассет АБК-1 и АБК-3.</w:t>
      </w:r>
    </w:p>
    <w:p w14:paraId="050502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C3D48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Авиционно-дымовые шашки конструкции завода № 145 заводские испытания выдержали (7540).</w:t>
      </w:r>
    </w:p>
    <w:p w14:paraId="4607E81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85F24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г. на площадке переданного по приказу № 598с в НКАП Ереванского деревообделочного комбината был образован ГС Завод № 447 НКАП, МЭИ /Армения  г. Ереван/ и начал строиться в конце 1940 г. Директором и начальником строительства назначен М.А. Папахчан. По приказу № 262сс от 22.03.1941 г. завод передан в ЮГУ НКАП.</w:t>
      </w:r>
    </w:p>
    <w:p w14:paraId="350454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Ремонт самолетов. С конца 1941 г. планировалось начать выпуск агрегатов авиационного вооружения, радиаторов и колес для ЛаГГ-3 и УТИ-4.</w:t>
      </w:r>
    </w:p>
    <w:p w14:paraId="0235AD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04.1942 г. на заводе образована ремонтная база для ремонта самолетов Закавказского фронта. В соответствии с пост. СНК № 913-472сс от 11.06.1942 г. и приказом № 472сс от 26.06.1942 г. завод № 447 был преобразован в ремонтный завод в системе 6ГУ и получил наименование ГС завод № 447 НКАП.</w:t>
      </w:r>
    </w:p>
    <w:p w14:paraId="6044C2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1.01.1944 г. завод передан из 6ГУ в 1ГУ, а с 1.01.1945 г. - из 1ГУ в 11ГУ. В 1944 г. налаживалось производство крыльев для Як-3 для завода № 31. 24.01.1944 г. вышло распоряжение ГКО № 5022 о мобилизации 1000 чел. военнообязанных, не годных к строевой службе, на строительство Ереванского завода № 447.</w:t>
      </w:r>
    </w:p>
    <w:p w14:paraId="48D536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05.1946 г. началось освоение производства трансформаторов и генераторов. С 1.02.1947 г. завод передан в МЭП. (возможно, это «Армэлектромаш»).</w:t>
      </w:r>
    </w:p>
    <w:p w14:paraId="36AB05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(Ю.1940-42 г.-)- М.А. Папахчан, (02.1945 г.)- В.Н. Наджарян, (05.1946 г.)- В.К. Ахназаров.</w:t>
      </w:r>
    </w:p>
    <w:p w14:paraId="5A0DB2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(10.1940 г.-)- Н.К. Черников.</w:t>
      </w:r>
    </w:p>
    <w:p w14:paraId="5A97EE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(10.1940 г.-)- Н.К. Черников.</w:t>
      </w:r>
    </w:p>
    <w:p w14:paraId="11AC0B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самолет: УТ-2 (1945-46)- 27 (11982).</w:t>
      </w:r>
    </w:p>
    <w:p w14:paraId="104BF21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C9208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ГУГВФ организовало Прибалтийское территориальное управление (446,368).</w:t>
      </w:r>
    </w:p>
    <w:p w14:paraId="195B56A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0174E6E" w14:textId="77777777" w:rsidR="00604900" w:rsidRPr="00A3026E" w:rsidRDefault="00604900"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29 октября </w:t>
      </w:r>
      <w:r w:rsidRPr="00A3026E">
        <w:rPr>
          <w:rFonts w:ascii="Times New Roman" w:hAnsi="Times New Roman"/>
          <w:color w:val="000000" w:themeColor="text1"/>
          <w:sz w:val="16"/>
          <w:szCs w:val="16"/>
        </w:rPr>
        <w:t>в 1940 году все прибалтийские авиакомпании переданы в состав ГУ ГВФ СССР (14814).</w:t>
      </w:r>
    </w:p>
    <w:p w14:paraId="7928BA08" w14:textId="77777777" w:rsidR="00604900" w:rsidRPr="00A3026E" w:rsidRDefault="00604900" w:rsidP="00A3026E">
      <w:pPr>
        <w:spacing w:after="0" w:line="240" w:lineRule="auto"/>
        <w:jc w:val="both"/>
        <w:rPr>
          <w:rFonts w:ascii="Times New Roman" w:hAnsi="Times New Roman"/>
          <w:color w:val="000000" w:themeColor="text1"/>
          <w:sz w:val="16"/>
          <w:szCs w:val="16"/>
        </w:rPr>
      </w:pPr>
    </w:p>
    <w:p w14:paraId="2A75D093" w14:textId="77777777" w:rsidR="00604900"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4CF6110" w14:textId="77777777" w:rsidR="00604900" w:rsidRPr="00A3026E" w:rsidRDefault="00604900" w:rsidP="00A3026E">
      <w:pPr>
        <w:spacing w:after="0" w:line="240" w:lineRule="auto"/>
        <w:jc w:val="both"/>
        <w:rPr>
          <w:rFonts w:ascii="Times New Roman" w:hAnsi="Times New Roman"/>
          <w:iCs/>
          <w:color w:val="000000" w:themeColor="text1"/>
          <w:sz w:val="16"/>
          <w:szCs w:val="16"/>
        </w:rPr>
      </w:pPr>
    </w:p>
    <w:p w14:paraId="22CB4522" w14:textId="77777777" w:rsidR="00604900" w:rsidRPr="00A3026E" w:rsidRDefault="00604900" w:rsidP="00A3026E">
      <w:pPr>
        <w:pStyle w:val="ae"/>
        <w:shd w:val="clear" w:color="auto" w:fill="FFFFFF"/>
        <w:spacing w:before="0" w:after="0"/>
        <w:jc w:val="both"/>
        <w:rPr>
          <w:color w:val="000000" w:themeColor="text1"/>
          <w:sz w:val="16"/>
          <w:szCs w:val="16"/>
        </w:rPr>
      </w:pPr>
      <w:r w:rsidRPr="00A3026E">
        <w:rPr>
          <w:color w:val="000000" w:themeColor="text1"/>
          <w:sz w:val="16"/>
          <w:szCs w:val="16"/>
        </w:rPr>
        <w:t>До 29 октября 1940 года продолжались испытания Ф-30, потом доработанную пушку демонтировали с Т-28 и отправили на Кировский завод. Одновременно с испытаниями на заводе №92 приступили к изготовлению второго образца Ф-30, который закончили в самом конце октября. Дальнейшие испытания застопорились (15224).</w:t>
      </w:r>
    </w:p>
    <w:p w14:paraId="6B27E42B" w14:textId="77777777" w:rsidR="00604900" w:rsidRPr="00A3026E" w:rsidRDefault="00604900" w:rsidP="00A3026E">
      <w:pPr>
        <w:pStyle w:val="ae"/>
        <w:shd w:val="clear" w:color="auto" w:fill="FFFFFF"/>
        <w:spacing w:before="0" w:after="0"/>
        <w:jc w:val="both"/>
        <w:rPr>
          <w:color w:val="000000" w:themeColor="text1"/>
          <w:sz w:val="16"/>
          <w:szCs w:val="16"/>
        </w:rPr>
      </w:pPr>
    </w:p>
    <w:p w14:paraId="46051A52" w14:textId="77777777" w:rsidR="00BA41C5" w:rsidRPr="00A3026E" w:rsidRDefault="00BA41C5"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29 октября 1940 первый образец Ф-30 направили на Кировский Завод. Второй образец закончили к 27 ноября, а в начале декабря поставили в Т-28. Вместе с тем, происходившие далее события явно говорят о том, что Грабин стал терять интерес к 85-мм орудиям. Отчасти потому, что упомянутая 85-мм дивизионная пушка Ф-28 УДЛ (Ф-7) явно не имела перспектив, а для Ф-30 всё равно требовалась увеличенная башня. Поэтому в декабре 1940 года появилась новая разработка - 107-мм танковая пушка Ф-42. Одновременно шли работы и по 107-мм дивизионной пушке Ф-6 (наложение ствола с баллистикой по типу М-60 на лафет Ф-28) (21243).</w:t>
      </w:r>
    </w:p>
    <w:p w14:paraId="4CCFA6C9" w14:textId="77777777" w:rsidR="00BA41C5" w:rsidRPr="00A3026E" w:rsidRDefault="00BA41C5"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5617AE2D" w14:textId="77777777" w:rsidR="00BA41C5" w:rsidRPr="00A3026E" w:rsidRDefault="00BA41C5"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 xml:space="preserve">29 октября 1940 вышло </w:t>
      </w:r>
      <w:r w:rsidRPr="00A3026E">
        <w:rPr>
          <w:rFonts w:ascii="Times New Roman" w:hAnsi="Times New Roman"/>
          <w:color w:val="0070C0"/>
          <w:sz w:val="16"/>
          <w:szCs w:val="16"/>
          <w:shd w:val="clear" w:color="auto" w:fill="FFFFFF"/>
        </w:rPr>
        <w:t>Постановление Комитета обороны при СНК СССР № 417сс "Об утверждении плана военного судостроения на IV квартал 1940 г." с приложениями (22067).</w:t>
      </w:r>
    </w:p>
    <w:p w14:paraId="6581E5A3" w14:textId="77777777" w:rsidR="00BA41C5" w:rsidRPr="00A3026E" w:rsidRDefault="00BA41C5"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74693603"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0349FC9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86CDF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г. вышел Приказ НКО об организации охотничьих домов отдыха для начсостава Красной Армии № 383.</w:t>
      </w:r>
    </w:p>
    <w:p w14:paraId="13CE35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Ежегодно на курорты и в санатории Союза наравне с нуждающимися в специальном лечении направляется значительное число совершенно здорового начальствующего состава, тем самым излишне загружая эти лечебные заведения. Между тем особый лечебный режим этих заведений не только не нужен данному контингенту отдыхающих командиров, но зачастую является прямо вредным для него вследствие своей излишней изнеженности и тешгачности.</w:t>
      </w:r>
    </w:p>
    <w:p w14:paraId="68F332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Наряду с этим почти совершенно не используются огромные возможности нашей страны, позволяющие создать для отдыха начальствующего состава, не нуждающегося в лечении и санаторном режиме, более подходящие для него условия, обеспечивающие не только интересный здоровый отдых, но одновременно закаляющие его здоровье, укрепляющие волю, развивающие в командире наиболее ценные боевые качества и знакомящие его с различными зонами и естественными богатствами Союза.</w:t>
      </w:r>
    </w:p>
    <w:p w14:paraId="54F830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Предоставление подобных условий здоровому командиру-отпускнику наиболее полно может быть достигнуто путем создания на территории СССР ряда простейших охотничьих домов отдыха, расположенных в здоровых, живописных, интересных по своей природе местах, богатых разнообразной охотой, рыбной ловлей, грибами, ягодами и пр.</w:t>
      </w:r>
    </w:p>
    <w:p w14:paraId="506CBD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осуществления этой новой системы оздоровления начальствующего состава Красной Армии посредством активного отдыха приказываю:</w:t>
      </w:r>
    </w:p>
    <w:p w14:paraId="769DEF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Начальнику Санитарного управления Красной Армии совместно с заместителем председателя ЦС ВВОО теперь же приступить к организации охотничьих домов отдыха с тем, чтобы еще в текущем 1940 году открыть 5 таких домов, использовав для этого наиболее подходящие охотхозяйства Всеармейского военно-охотничьего общества, в частности: Гавриловское и Прикарпатское КоВО, Кингисеппское ЛВО, Румянцевское МВО и Максатихинское ЦУ НКО и ВМФ.</w:t>
      </w:r>
    </w:p>
    <w:p w14:paraId="23EA55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Главному интенданту Красной Армии обеспечить эти дома питанием и всеми видами имущества по нормам домов отдыха Красной Армии.</w:t>
      </w:r>
    </w:p>
    <w:p w14:paraId="6FD415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Заместителю председателя ЦС ВВОО к 10 ноября 1940 г. представить мне положение об этих домах.</w:t>
      </w:r>
    </w:p>
    <w:p w14:paraId="364D30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Предусмотреть на 1941 год организацию 20 охотничьих домов отдыха, включая в это число 5 домов, вступивших в эксплуатацию в 1940 году.</w:t>
      </w:r>
    </w:p>
    <w:p w14:paraId="4A42C9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Заместителю председателя ЦС ВВОО совместно с начальником Санитарного управления Красной Армии к 10 ноября 1940 г. установить пункты расположения домов, открываемых в течение 1941 года.</w:t>
      </w:r>
    </w:p>
    <w:p w14:paraId="7F4935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Главному интенданту Красной Армии, начальникам Финансового и Санитарного управлений Красной Армии совместно с заместителем председателя ЦС ВВОО разработать и не позднее 15 ноября 1940 г. доложить мне свои соображения по развертыванию в 1941 году капитального строительства охотничьих домов отдыха и по материальному обеспечению их эксплуатации.</w:t>
      </w:r>
    </w:p>
    <w:p w14:paraId="368ED1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СССР Маршал Советского Союза С. Тимошенко (10603).</w:t>
      </w:r>
    </w:p>
    <w:p w14:paraId="200C83F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B2FBEA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11B2B6D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01BF3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г. В составе НКВД СССР создано Главное управление местной противовоздушной обороны (ГУМПВО) (10303).</w:t>
      </w:r>
    </w:p>
    <w:p w14:paraId="1B546AF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0993FD5" w14:textId="77777777" w:rsidR="00C66762"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За</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рубежом</w:t>
      </w:r>
      <w:r w:rsidRPr="00A3026E">
        <w:rPr>
          <w:rFonts w:ascii="Times New Roman" w:hAnsi="Times New Roman"/>
          <w:i/>
          <w:iCs/>
          <w:color w:val="000000" w:themeColor="text1"/>
          <w:sz w:val="16"/>
          <w:szCs w:val="16"/>
          <w:lang w:val="en-US"/>
        </w:rPr>
        <w:t>:</w:t>
      </w:r>
    </w:p>
    <w:p w14:paraId="623292A3" w14:textId="77777777" w:rsidR="00C66762" w:rsidRPr="00A3026E" w:rsidRDefault="00C66762" w:rsidP="00A3026E">
      <w:pPr>
        <w:spacing w:after="0" w:line="240" w:lineRule="auto"/>
        <w:jc w:val="both"/>
        <w:rPr>
          <w:rFonts w:ascii="Times New Roman" w:hAnsi="Times New Roman"/>
          <w:iCs/>
          <w:color w:val="000000" w:themeColor="text1"/>
          <w:sz w:val="16"/>
          <w:szCs w:val="16"/>
          <w:lang w:val="en-US"/>
        </w:rPr>
      </w:pPr>
    </w:p>
    <w:p w14:paraId="49306343"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October 29, 1940: British and Commonwealth forces land on the island of Crete in the Mediterranean (3819).</w:t>
      </w:r>
    </w:p>
    <w:p w14:paraId="605CD854"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64E40A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британские силы и войска стран британского содружества высадились на Крите (3819).</w:t>
      </w:r>
    </w:p>
    <w:p w14:paraId="1B6BE22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CF8B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англичанами обнаружен новый вид немецких мин, реагирующий на шум корабельных моторов (4962).</w:t>
      </w:r>
    </w:p>
    <w:p w14:paraId="7932C9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C5EB826" w14:textId="77777777" w:rsidR="00604900" w:rsidRPr="00A3026E" w:rsidRDefault="00604900"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29 октября </w:t>
      </w:r>
      <w:r w:rsidRPr="00A3026E">
        <w:rPr>
          <w:rFonts w:ascii="Times New Roman" w:hAnsi="Times New Roman"/>
          <w:color w:val="000000" w:themeColor="text1"/>
          <w:sz w:val="16"/>
          <w:szCs w:val="16"/>
        </w:rPr>
        <w:t>в 1940 году немецкие оккупационные власти распустили Палату Депутатов Люксембурга и запретили деятельность всех политических партий (14814).</w:t>
      </w:r>
    </w:p>
    <w:p w14:paraId="48CB49DE" w14:textId="77777777" w:rsidR="00604900" w:rsidRPr="00A3026E" w:rsidRDefault="00604900" w:rsidP="00A3026E">
      <w:pPr>
        <w:spacing w:after="0" w:line="240" w:lineRule="auto"/>
        <w:jc w:val="both"/>
        <w:rPr>
          <w:rFonts w:ascii="Times New Roman" w:hAnsi="Times New Roman"/>
          <w:color w:val="000000" w:themeColor="text1"/>
          <w:sz w:val="16"/>
          <w:szCs w:val="16"/>
        </w:rPr>
      </w:pPr>
    </w:p>
    <w:p w14:paraId="39DDAF1A"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893500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67250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 года директор завода N 39 Соколов, гл. конструктор завода N 39 Петляков писали письмо N 5506с зам. наркома Авиапрома Воронину.</w:t>
      </w:r>
    </w:p>
    <w:p w14:paraId="3A76A4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Статиспытания по "ПБ-100".</w:t>
      </w:r>
    </w:p>
    <w:p w14:paraId="749078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проектировании самолета "100" в варианте "ПБ" в конструкцию машины пришлось внести ряд изменений, особенно в конструкцию фюзеляжа.</w:t>
      </w:r>
    </w:p>
    <w:p w14:paraId="657C9E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то, что все основные агрегаты самолета "100" в варианте истребителя подверглись подробным статическим испытаниям, приходится благодаря внесению указанных выше конструктивных изменений, подвергать некоторые агрегаты дополнительным контрольным статиспытаниям. Это относится к следующим агрегатам: элероны, воздушный щиток, фюзеляж и центроплан и ряд узлов управления.</w:t>
      </w:r>
    </w:p>
    <w:p w14:paraId="78CEE7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совещании в ВВС, несколько дней тому назад, было зафиксировано требование, чтобы эти испытания были закончены к моменту передачи первой серийной машины в ВВС.</w:t>
      </w:r>
    </w:p>
    <w:p w14:paraId="3492BC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производства статиспытаний намечено выделить на производстве фюзеляж и центроплан 4-й машины. Эти агрегаты будут готовы к статиспытаниям в самом начале ноября.</w:t>
      </w:r>
    </w:p>
    <w:p w14:paraId="7C5A9A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N 39 в ОКБ имеется лаборатория статиспытаний, подчиненная непосредственно Ильюшину С.В., которая по своему техническому состоянию и по пропускной способности в состоянии достаточно быстро провести все необходимые нам статиспытания. Договориться по этому вопросу с Ильюшиным мы не смогли и получили с его стороны отказ взять в эту лабораторию на испытание фюзеляж и центроплан. Мы сделали попытку договориться о проведении этих испытаний в 3-ем Отделе ЦАГИ но там выяснилось, что раньше декабря о проведении этих испытаний в 3-ем отделе ЦАГИ думать не приходится.</w:t>
      </w:r>
    </w:p>
    <w:p w14:paraId="3AE97E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мы поставлены с проведением статиспытаний фюзеляжа в исключительно затруднительное положение.</w:t>
      </w:r>
    </w:p>
    <w:p w14:paraId="2AAABB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Придавая большое значение своевременному проведению статиспытаний в намеченном масштабе, мы просим Вас о следующем.</w:t>
      </w:r>
    </w:p>
    <w:p w14:paraId="72EAEA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Санкционировать передачу на статиспытания фюзеляжа и центроплана 4-й машины;</w:t>
      </w:r>
    </w:p>
    <w:p w14:paraId="39291F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Дать распоряжение Ильюшину обеспечить в лаборатории статиспытаний ОКБ проведение статиспытаний фюзеляжа и центроплана, начав подготовку к этим статиспытаниям немедленно, окончив эти испытания в срок - 15-20 дней с момента подачи фюзеляжа (1293,152).</w:t>
      </w:r>
    </w:p>
    <w:p w14:paraId="79A35BA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0153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 Дир. завода 39 Соколов и ГК завода 39 В.М.П. писали НКАП А.И.Ш. и ГУВВС Рычагову о том, что опытный 100 был снабжен опытным винтом ВИШ-42 и с ним прошла гос. испытания, однако, при запуске в серию пришлось ориентироваться на другой винт и после переговоров с заводом 28 остановились на ВИШ-61Б. Этот винт задержался и просили всячески форсировать (1293,133).</w:t>
      </w:r>
    </w:p>
    <w:p w14:paraId="4CDB9A3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FB947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 на ЦА были выполнены пробные подлеты. Подлеты показали готовность Б-1 к первому полету, однако, ввиду отсутствия заключения ЦАГИ по флаттеру, выпустить самолет в первый полет не решились (9660).</w:t>
      </w:r>
    </w:p>
    <w:p w14:paraId="21EB0B4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11C0B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 г. Постановлением ЦК ВКП(б) и СНК СССР завод № 24 обязывался закончить 100-часовые государ</w:t>
      </w:r>
      <w:r w:rsidRPr="00A3026E">
        <w:rPr>
          <w:rFonts w:ascii="Times New Roman" w:hAnsi="Times New Roman"/>
          <w:color w:val="000000" w:themeColor="text1"/>
          <w:sz w:val="16"/>
          <w:szCs w:val="16"/>
        </w:rPr>
        <w:softHyphen/>
        <w:t>ственные испытания мотора АМ—37 к 1 февраля 1941 г. И тут проявились первые сигналы, свиде</w:t>
      </w:r>
      <w:r w:rsidRPr="00A3026E">
        <w:rPr>
          <w:rFonts w:ascii="Times New Roman" w:hAnsi="Times New Roman"/>
          <w:color w:val="000000" w:themeColor="text1"/>
          <w:sz w:val="16"/>
          <w:szCs w:val="16"/>
        </w:rPr>
        <w:softHyphen/>
        <w:t>тельствовавшие о неблагополучии. Проведенные длительные заводские испытания мотора показали, что некоторые детали не обеспечивали надежной работы в течение ресурса. Характерными дефектами АМ—37 оказались:</w:t>
      </w:r>
    </w:p>
    <w:p w14:paraId="3BFA47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прогар выхлопных клапанов мотора, которые надежно работали не более 70 ч;</w:t>
      </w:r>
    </w:p>
    <w:p w14:paraId="0B92A8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растрескивание головок блоков на некоторых двигателях;</w:t>
      </w:r>
    </w:p>
    <w:p w14:paraId="146419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трещины картера, трижды возникавшие в ходе длительных испытаний мотора (в одном случае после 90 ч режимной работы, во втором случае — после 116 и в третьем — после 197 ч). Помимо истребителя И—200 в рас</w:t>
      </w:r>
      <w:r w:rsidRPr="00A3026E">
        <w:rPr>
          <w:rFonts w:ascii="Times New Roman" w:hAnsi="Times New Roman"/>
          <w:color w:val="000000" w:themeColor="text1"/>
          <w:sz w:val="16"/>
          <w:szCs w:val="16"/>
        </w:rPr>
        <w:softHyphen/>
        <w:t>чете на АМ—37 создавалась добрая дюжина военных самолетов самых разнообразных назначений. С ис</w:t>
      </w:r>
      <w:r w:rsidRPr="00A3026E">
        <w:rPr>
          <w:rFonts w:ascii="Times New Roman" w:hAnsi="Times New Roman"/>
          <w:color w:val="000000" w:themeColor="text1"/>
          <w:sz w:val="16"/>
          <w:szCs w:val="16"/>
        </w:rPr>
        <w:softHyphen/>
        <w:t>пользованием пушечного варианта мотора АМ—37П Поликарпов предложил проект весьма интересного истребителя тяжелого пушечного (ИТП) для борьбы с бомбардировщиками и бронированными назем</w:t>
      </w:r>
      <w:r w:rsidRPr="00A3026E">
        <w:rPr>
          <w:rFonts w:ascii="Times New Roman" w:hAnsi="Times New Roman"/>
          <w:color w:val="000000" w:themeColor="text1"/>
          <w:sz w:val="16"/>
          <w:szCs w:val="16"/>
        </w:rPr>
        <w:softHyphen/>
        <w:t>ными целями. М. И. Гудков начал разработку истре</w:t>
      </w:r>
      <w:r w:rsidRPr="00A3026E">
        <w:rPr>
          <w:rFonts w:ascii="Times New Roman" w:hAnsi="Times New Roman"/>
          <w:color w:val="000000" w:themeColor="text1"/>
          <w:sz w:val="16"/>
          <w:szCs w:val="16"/>
        </w:rPr>
        <w:softHyphen/>
        <w:t>бителя типа «Аэрокобры» (Гу—1), для чего понадо</w:t>
      </w:r>
      <w:r w:rsidRPr="00A3026E">
        <w:rPr>
          <w:rFonts w:ascii="Times New Roman" w:hAnsi="Times New Roman"/>
          <w:color w:val="000000" w:themeColor="text1"/>
          <w:sz w:val="16"/>
          <w:szCs w:val="16"/>
        </w:rPr>
        <w:softHyphen/>
        <w:t>бился вариант мотора АМ—37 с удлиненным валом и выносным редуктором. Проект истребителя ЛаГГ—3 с мотором АМ—37 предъявлял и С.А.Лавоч</w:t>
      </w:r>
      <w:r w:rsidRPr="00A3026E">
        <w:rPr>
          <w:rFonts w:ascii="Times New Roman" w:hAnsi="Times New Roman"/>
          <w:color w:val="000000" w:themeColor="text1"/>
          <w:sz w:val="16"/>
          <w:szCs w:val="16"/>
        </w:rPr>
        <w:softHyphen/>
        <w:t>кин. В.П.Горбунов разработал проект пикирующего одномоторного бомбардировщика с мотором АМ—37. В феврале 1941 г. Н.Н.Поликарпов предло</w:t>
      </w:r>
      <w:r w:rsidRPr="00A3026E">
        <w:rPr>
          <w:rFonts w:ascii="Times New Roman" w:hAnsi="Times New Roman"/>
          <w:color w:val="000000" w:themeColor="text1"/>
          <w:sz w:val="16"/>
          <w:szCs w:val="16"/>
        </w:rPr>
        <w:softHyphen/>
        <w:t>жил оригинальный проект одномоторного дневного пикирующего бомбардировщика с весьма высоки</w:t>
      </w:r>
      <w:r w:rsidRPr="00A3026E">
        <w:rPr>
          <w:rFonts w:ascii="Times New Roman" w:hAnsi="Times New Roman"/>
          <w:color w:val="000000" w:themeColor="text1"/>
          <w:sz w:val="16"/>
          <w:szCs w:val="16"/>
        </w:rPr>
        <w:softHyphen/>
        <w:t>ми летно-тактическими данными и мотором АМ—37 (или АМ—38), размещенным внутри фюзе</w:t>
      </w:r>
      <w:r w:rsidRPr="00A3026E">
        <w:rPr>
          <w:rFonts w:ascii="Times New Roman" w:hAnsi="Times New Roman"/>
          <w:color w:val="000000" w:themeColor="text1"/>
          <w:sz w:val="16"/>
          <w:szCs w:val="16"/>
        </w:rPr>
        <w:softHyphen/>
        <w:t>ляжа. Примерно в это же время С.А.Кочеригин представил проект модернизации пикирующего бомбардировщика ОПБ под мотор АМ—37. Сущест</w:t>
      </w:r>
      <w:r w:rsidRPr="00A3026E">
        <w:rPr>
          <w:rFonts w:ascii="Times New Roman" w:hAnsi="Times New Roman"/>
          <w:color w:val="000000" w:themeColor="text1"/>
          <w:sz w:val="16"/>
          <w:szCs w:val="16"/>
        </w:rPr>
        <w:softHyphen/>
        <w:t>вовал также проект ближнего бомбардировщика ББ—3 с мотором АМ—37, который был разработан в ОКБ П.О.Сухого. В расчете на использование АМ—37 создавались двухмоторные истребители Поликарпова (тяжелый истребитель сопровождения ТИС—А), истребители сопровождения П.Д.Грушина (Гр—1), С.А.Кочеригина (ДИС), А.И.Микояна (ДИС-200) и В.В.Никитина, П.О.Сухого (истребитель обороны пунктов ИОП). Главным претендентом на АМ—37 сам А.А.Микулин считал фронтовой бомбардировщик «103» (впоследствии — Ту-2), который разрабаты</w:t>
      </w:r>
      <w:r w:rsidRPr="00A3026E">
        <w:rPr>
          <w:rFonts w:ascii="Times New Roman" w:hAnsi="Times New Roman"/>
          <w:color w:val="000000" w:themeColor="text1"/>
          <w:sz w:val="16"/>
          <w:szCs w:val="16"/>
        </w:rPr>
        <w:softHyphen/>
        <w:t>вался в ОТБ НКВД под руководством А.Н.Туполева. По своим летно-тактическим характеристикам опытные машины «103» и «103У» превосходили со</w:t>
      </w:r>
      <w:r w:rsidRPr="00A3026E">
        <w:rPr>
          <w:rFonts w:ascii="Times New Roman" w:hAnsi="Times New Roman"/>
          <w:color w:val="000000" w:themeColor="text1"/>
          <w:sz w:val="16"/>
          <w:szCs w:val="16"/>
        </w:rPr>
        <w:softHyphen/>
        <w:t>временные им модификации известного английско</w:t>
      </w:r>
      <w:r w:rsidRPr="00A3026E">
        <w:rPr>
          <w:rFonts w:ascii="Times New Roman" w:hAnsi="Times New Roman"/>
          <w:color w:val="000000" w:themeColor="text1"/>
          <w:sz w:val="16"/>
          <w:szCs w:val="16"/>
        </w:rPr>
        <w:softHyphen/>
        <w:t>го бомбардировщика «Москито». Если бы Микулину удалось довести моторы АМ—37 до массовой серии, то советские ВВС получили бы на вооружение пре</w:t>
      </w:r>
      <w:r w:rsidRPr="00A3026E">
        <w:rPr>
          <w:rFonts w:ascii="Times New Roman" w:hAnsi="Times New Roman"/>
          <w:color w:val="000000" w:themeColor="text1"/>
          <w:sz w:val="16"/>
          <w:szCs w:val="16"/>
        </w:rPr>
        <w:softHyphen/>
        <w:t>красный средний бомбардировщик, скоростной, хо</w:t>
      </w:r>
      <w:r w:rsidRPr="00A3026E">
        <w:rPr>
          <w:rFonts w:ascii="Times New Roman" w:hAnsi="Times New Roman"/>
          <w:color w:val="000000" w:themeColor="text1"/>
          <w:sz w:val="16"/>
          <w:szCs w:val="16"/>
        </w:rPr>
        <w:softHyphen/>
        <w:t>рошо вооруженный и обладающий, в отличие от Пе—2, значительной бомбовой нагрузкой. Таким образом, с мотором АМ-37 связывались большие надежды. Однако реализованы они не бы</w:t>
      </w:r>
      <w:r w:rsidRPr="00A3026E">
        <w:rPr>
          <w:rFonts w:ascii="Times New Roman" w:hAnsi="Times New Roman"/>
          <w:color w:val="000000" w:themeColor="text1"/>
          <w:sz w:val="16"/>
          <w:szCs w:val="16"/>
        </w:rPr>
        <w:softHyphen/>
        <w:t>ли. События развивались следующим образом (9984).</w:t>
      </w:r>
    </w:p>
    <w:p w14:paraId="5F276B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66272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 Протокол № 22. Решения ПБ за 29 октября — 21 ноября 1940 г.</w:t>
      </w:r>
    </w:p>
    <w:p w14:paraId="09E1AB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30. 10. 40 г.</w:t>
      </w:r>
    </w:p>
    <w:p w14:paraId="317571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П.6. О строительстве самолета типа «Аэрокобра» с мотором АМ-37 с длинным валом и выносным редуктором*.</w:t>
      </w:r>
    </w:p>
    <w:p w14:paraId="019314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 xml:space="preserve">21. 11.40 г. </w:t>
      </w:r>
      <w:r w:rsidRPr="00A3026E">
        <w:rPr>
          <w:rFonts w:ascii="Times New Roman" w:hAnsi="Times New Roman"/>
          <w:color w:val="000000" w:themeColor="text1"/>
          <w:sz w:val="16"/>
          <w:szCs w:val="16"/>
        </w:rPr>
        <w:t>П. 204. Вопрос КО. О проектировании и изготовлении опытных образцов легких танков Т-50* (11773).</w:t>
      </w:r>
    </w:p>
    <w:p w14:paraId="0298AF56" w14:textId="77777777" w:rsidR="00C66762" w:rsidRPr="00A3026E" w:rsidRDefault="00C66762" w:rsidP="00A3026E">
      <w:pPr>
        <w:shd w:val="clear" w:color="auto" w:fill="FFFFFF"/>
        <w:spacing w:after="0" w:line="240" w:lineRule="auto"/>
        <w:jc w:val="both"/>
        <w:rPr>
          <w:rFonts w:ascii="Times New Roman" w:hAnsi="Times New Roman"/>
          <w:bCs/>
          <w:color w:val="000000" w:themeColor="text1"/>
          <w:sz w:val="16"/>
          <w:szCs w:val="16"/>
        </w:rPr>
      </w:pPr>
    </w:p>
    <w:p w14:paraId="19209F26"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30 октября 1940</w:t>
      </w:r>
    </w:p>
    <w:p w14:paraId="138621EA"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1029. Решения ПБ за 29 октября — 21 ноября 1940 г. (протокол № 22)</w:t>
      </w:r>
    </w:p>
    <w:p w14:paraId="1BCFCED3"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30.Х.40 г.</w:t>
      </w:r>
    </w:p>
    <w:p w14:paraId="0E3E2CB4"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О строительстве самолета типа «Аэрокобра» с мотором АМ-37 с длинным валом и выносным редуктором. — ОП.</w:t>
      </w:r>
    </w:p>
    <w:p w14:paraId="0245A3C6"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О первоочередных задачах заводов № 24, 26, и 29 по опытному моторостроению (постановление ЦК ВКП(б) и СНК СССР). — ОП (20921).</w:t>
      </w:r>
    </w:p>
    <w:p w14:paraId="44A8A71D" w14:textId="77777777" w:rsidR="00BA41C5" w:rsidRPr="00A3026E" w:rsidRDefault="00BA41C5" w:rsidP="00A3026E">
      <w:pPr>
        <w:spacing w:after="0" w:line="240" w:lineRule="auto"/>
        <w:jc w:val="both"/>
        <w:rPr>
          <w:rFonts w:ascii="Times New Roman" w:hAnsi="Times New Roman"/>
          <w:color w:val="0070C0"/>
          <w:sz w:val="16"/>
          <w:szCs w:val="16"/>
        </w:rPr>
      </w:pPr>
    </w:p>
    <w:p w14:paraId="151FE89E"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30 октября 1940 вышло Постановление Политбюро ЦК ВКП(б) "О первоочередных задачах заводов №№ 24, 26 и 29 по опытному моторостроению" (о проведении государственных испытаний и быстрейшем запуске в серийное производство моторов АМ-37, М-107П и М-89) (пр. № 22/22-оп за 29 октября - 21 ноября 1940 г., п. 7)</w:t>
      </w:r>
    </w:p>
    <w:p w14:paraId="042BC128"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7. О первоочередных задачах заводов №№ 24, 26 и 29 по опытному моторостроеню </w:t>
      </w:r>
    </w:p>
    <w:p w14:paraId="1D9DC126"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 ЦК ВКП(б) и СНК СССР).</w:t>
      </w:r>
    </w:p>
    <w:p w14:paraId="48078953"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Центральный Комитет ВКП(б) и Совет Народных Комисса</w:t>
      </w:r>
      <w:r w:rsidRPr="00A3026E">
        <w:rPr>
          <w:rFonts w:ascii="Times New Roman" w:hAnsi="Times New Roman"/>
          <w:color w:val="0070C0"/>
          <w:sz w:val="16"/>
          <w:szCs w:val="16"/>
        </w:rPr>
        <w:softHyphen/>
        <w:t>ров Союза ССР считают, что наиболее важными и первоочеред</w:t>
      </w:r>
      <w:r w:rsidRPr="00A3026E">
        <w:rPr>
          <w:rFonts w:ascii="Times New Roman" w:hAnsi="Times New Roman"/>
          <w:color w:val="0070C0"/>
          <w:sz w:val="16"/>
          <w:szCs w:val="16"/>
        </w:rPr>
        <w:softHyphen/>
        <w:t>ными задачами по обеспечению назревших нужд боевой авиации, стоящими перед заводами №№ 24, 26 и 29, является немедлен</w:t>
      </w:r>
      <w:r w:rsidRPr="00A3026E">
        <w:rPr>
          <w:rFonts w:ascii="Times New Roman" w:hAnsi="Times New Roman"/>
          <w:color w:val="0070C0"/>
          <w:sz w:val="16"/>
          <w:szCs w:val="16"/>
        </w:rPr>
        <w:softHyphen/>
        <w:t>ное завершение всех опытных работ, проведение государст</w:t>
      </w:r>
      <w:r w:rsidRPr="00A3026E">
        <w:rPr>
          <w:rFonts w:ascii="Times New Roman" w:hAnsi="Times New Roman"/>
          <w:color w:val="0070C0"/>
          <w:sz w:val="16"/>
          <w:szCs w:val="16"/>
        </w:rPr>
        <w:softHyphen/>
        <w:t>венных испытаний и быстрейшее освоение в серийном, произ</w:t>
      </w:r>
      <w:r w:rsidRPr="00A3026E">
        <w:rPr>
          <w:rFonts w:ascii="Times New Roman" w:hAnsi="Times New Roman"/>
          <w:color w:val="0070C0"/>
          <w:sz w:val="16"/>
          <w:szCs w:val="16"/>
        </w:rPr>
        <w:softHyphen/>
        <w:t>водство моторов АМ-37,  М-107 и М-89. Другие задачи опыт</w:t>
      </w:r>
      <w:r w:rsidRPr="00A3026E">
        <w:rPr>
          <w:rFonts w:ascii="Times New Roman" w:hAnsi="Times New Roman"/>
          <w:color w:val="0070C0"/>
          <w:sz w:val="16"/>
          <w:szCs w:val="16"/>
        </w:rPr>
        <w:softHyphen/>
        <w:t>ного моторостроения являются важными для авиации, но отсту</w:t>
      </w:r>
      <w:r w:rsidRPr="00A3026E">
        <w:rPr>
          <w:rFonts w:ascii="Times New Roman" w:hAnsi="Times New Roman"/>
          <w:color w:val="0070C0"/>
          <w:sz w:val="16"/>
          <w:szCs w:val="16"/>
        </w:rPr>
        <w:softHyphen/>
        <w:t>пают на данный момент перед ними.</w:t>
      </w:r>
    </w:p>
    <w:p w14:paraId="642C09AB"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связи с этим ЦК ВКП(б) и СНК СССР постановляют:</w:t>
      </w:r>
    </w:p>
    <w:p w14:paraId="087BE122"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наркома Авиапромышленности тов. Шахурина, ди</w:t>
      </w:r>
      <w:r w:rsidRPr="00A3026E">
        <w:rPr>
          <w:rFonts w:ascii="Times New Roman" w:hAnsi="Times New Roman"/>
          <w:color w:val="0070C0"/>
          <w:sz w:val="16"/>
          <w:szCs w:val="16"/>
        </w:rPr>
        <w:softHyphen/>
        <w:t>ректора завода № 24, а также главного конструктора т. Мику</w:t>
      </w:r>
      <w:r w:rsidRPr="00A3026E">
        <w:rPr>
          <w:rFonts w:ascii="Times New Roman" w:hAnsi="Times New Roman"/>
          <w:color w:val="0070C0"/>
          <w:sz w:val="16"/>
          <w:szCs w:val="16"/>
        </w:rPr>
        <w:softHyphen/>
        <w:t>лина принять все меры к ускорению опытных работ и провести но позднее 1.П.1941 года государственные 100-часовые испы</w:t>
      </w:r>
      <w:r w:rsidRPr="00A3026E">
        <w:rPr>
          <w:rFonts w:ascii="Times New Roman" w:hAnsi="Times New Roman"/>
          <w:color w:val="0070C0"/>
          <w:sz w:val="16"/>
          <w:szCs w:val="16"/>
        </w:rPr>
        <w:softHyphen/>
        <w:t>тания мотора АМ-37 со следующими основными данными:</w:t>
      </w:r>
    </w:p>
    <w:p w14:paraId="13787A12"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Взлетная мощность - 1400 л.с.</w:t>
      </w:r>
    </w:p>
    <w:p w14:paraId="0FEFB82B"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Номинальная мощность - 1400 л.с. на расчетной высоте 6.000 метров.</w:t>
      </w:r>
    </w:p>
    <w:p w14:paraId="7A7902DD"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Обязать Наркома Авиапромышленности тов. Шахурина, директора завода № 26 тов. Лаврентьева и главного конструк</w:t>
      </w:r>
      <w:r w:rsidRPr="00A3026E">
        <w:rPr>
          <w:rFonts w:ascii="Times New Roman" w:hAnsi="Times New Roman"/>
          <w:color w:val="0070C0"/>
          <w:sz w:val="16"/>
          <w:szCs w:val="16"/>
        </w:rPr>
        <w:softHyphen/>
        <w:t>тора тов. Климова принять вс- моры к завершению опытных ра</w:t>
      </w:r>
      <w:r w:rsidRPr="00A3026E">
        <w:rPr>
          <w:rFonts w:ascii="Times New Roman" w:hAnsi="Times New Roman"/>
          <w:color w:val="0070C0"/>
          <w:sz w:val="16"/>
          <w:szCs w:val="16"/>
        </w:rPr>
        <w:softHyphen/>
        <w:t>бот и провести не позднее 1-го мая 1911 года государствен</w:t>
      </w:r>
      <w:r w:rsidRPr="00A3026E">
        <w:rPr>
          <w:rFonts w:ascii="Times New Roman" w:hAnsi="Times New Roman"/>
          <w:color w:val="0070C0"/>
          <w:sz w:val="16"/>
          <w:szCs w:val="16"/>
        </w:rPr>
        <w:softHyphen/>
        <w:t>ные 100-часовые испытания мотора М-107П со следующими основными данными:</w:t>
      </w:r>
    </w:p>
    <w:p w14:paraId="0F6FCFCD"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Взлетная мощность - 1400 л.с.</w:t>
      </w:r>
    </w:p>
    <w:p w14:paraId="4F839428"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Номинальная мощность - 1200 л.с., на расчетной высоте 5.000 метров, с октановым числом топлива 95.</w:t>
      </w:r>
    </w:p>
    <w:p w14:paraId="05D7B493"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Обязать Наркома Авиапромышленности тов. Шахурина, дироктора завода № 29 тов. Лукина и главного конструктора тов. Урмина провести не позднее 15 апреля 1941 года госу</w:t>
      </w:r>
      <w:r w:rsidRPr="00A3026E">
        <w:rPr>
          <w:rFonts w:ascii="Times New Roman" w:hAnsi="Times New Roman"/>
          <w:color w:val="0070C0"/>
          <w:sz w:val="16"/>
          <w:szCs w:val="16"/>
        </w:rPr>
        <w:softHyphen/>
        <w:t>дарственные 100-часовые испытания мотора М-89 со следующи</w:t>
      </w:r>
      <w:r w:rsidRPr="00A3026E">
        <w:rPr>
          <w:rFonts w:ascii="Times New Roman" w:hAnsi="Times New Roman"/>
          <w:color w:val="0070C0"/>
          <w:sz w:val="16"/>
          <w:szCs w:val="16"/>
        </w:rPr>
        <w:softHyphen/>
        <w:t>ми основными данными:</w:t>
      </w:r>
    </w:p>
    <w:p w14:paraId="3F373069"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взлетная модность - 1300 л.с.</w:t>
      </w:r>
    </w:p>
    <w:p w14:paraId="43491126"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Номинальная мощность - 1150 л.с. на расчетной высоте 6.000 метров.</w:t>
      </w:r>
    </w:p>
    <w:p w14:paraId="6523B2F2"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Выписки посланы:</w:t>
      </w:r>
    </w:p>
    <w:p w14:paraId="2594ED72"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т.т. Шахурину, Хломову - все;</w:t>
      </w:r>
    </w:p>
    <w:p w14:paraId="5D65E7BC" w14:textId="77777777" w:rsidR="00BA41C5" w:rsidRPr="00A3026E" w:rsidRDefault="00BA41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Лаврентьеву и Климову - 2, Лукину и Урмину – 3 (22068).</w:t>
      </w:r>
    </w:p>
    <w:p w14:paraId="2977EF6A" w14:textId="77777777" w:rsidR="00BA41C5" w:rsidRPr="00A3026E" w:rsidRDefault="00BA41C5" w:rsidP="00A3026E">
      <w:pPr>
        <w:spacing w:after="0" w:line="240" w:lineRule="auto"/>
        <w:jc w:val="both"/>
        <w:rPr>
          <w:rFonts w:ascii="Times New Roman" w:hAnsi="Times New Roman"/>
          <w:color w:val="0070C0"/>
          <w:sz w:val="16"/>
          <w:szCs w:val="16"/>
        </w:rPr>
      </w:pPr>
    </w:p>
    <w:p w14:paraId="368B3B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 г. Постановлением ЦК ВКП(б) и СНК СССР завод № 24 обязывался провести 100-часовые государственные ис</w:t>
      </w:r>
      <w:r w:rsidRPr="00A3026E">
        <w:rPr>
          <w:rFonts w:ascii="Times New Roman" w:hAnsi="Times New Roman"/>
          <w:color w:val="000000" w:themeColor="text1"/>
          <w:sz w:val="16"/>
          <w:szCs w:val="16"/>
        </w:rPr>
        <w:softHyphen/>
        <w:t>пытания мотора АМ-37 к 1 февраля 1941 г. Однако доводка мотора До надежной работы в течение 100 ч на заводе № 24 задержалась. В результате проведенных длительных испытаний были выявлены се</w:t>
      </w:r>
      <w:r w:rsidRPr="00A3026E">
        <w:rPr>
          <w:rFonts w:ascii="Times New Roman" w:hAnsi="Times New Roman"/>
          <w:color w:val="000000" w:themeColor="text1"/>
          <w:sz w:val="16"/>
          <w:szCs w:val="16"/>
        </w:rPr>
        <w:softHyphen/>
        <w:t>рьезные дефекты:</w:t>
      </w:r>
    </w:p>
    <w:p w14:paraId="166457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прогар выхлопных клапанов (после 70 ч работы);</w:t>
      </w:r>
    </w:p>
    <w:p w14:paraId="226FD8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трещины головки блока;</w:t>
      </w:r>
    </w:p>
    <w:p w14:paraId="37C8A0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трещины картера (в одном случае после 90 ч режимной работы, во втором случае после 11бчив третьем после 197 ч).(10781).</w:t>
      </w:r>
    </w:p>
    <w:p w14:paraId="26D10BC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CBE30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 года начальник НИП АВ ВВС полковник Шевченко утвердил:</w:t>
      </w:r>
    </w:p>
    <w:p w14:paraId="676042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заводским испытаниям выливного авиационного прибора (ВАП-500у) с уширенной хвостовой частью конструкции завода № 145 на самолетах "СБ" и "ДБ-3"</w:t>
      </w:r>
    </w:p>
    <w:p w14:paraId="72E187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11 сентября 1940 года</w:t>
      </w:r>
    </w:p>
    <w:p w14:paraId="511CBC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13 октября 1940 года</w:t>
      </w:r>
    </w:p>
    <w:p w14:paraId="5683B6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 в/инженер 3 ранга Лукашев</w:t>
      </w:r>
    </w:p>
    <w:p w14:paraId="15FB39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61DB1B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влияние уширенной хвостовой части прибора ВАП-500у на дробление жидкости и забрызгивания ссамолета в момент опорожнения приборов.</w:t>
      </w:r>
    </w:p>
    <w:p w14:paraId="2DC867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7C2F6DB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Предъявленные заводом № 145 приборы ВАП-500у с уширенной хвостовой частью и с жалюзами в обтекателе замка заводские испытания выдержали (7613).</w:t>
      </w:r>
    </w:p>
    <w:p w14:paraId="42907AD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BC56C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 года на полигон были доставлены 28 бомб с приспособлениями для создания шума при полете бомбы. Всего имелось около 14 вариантов разных приспособлений (7713, 202-205). 31 октября восемь из указанных вариантов (сирены гудки) подверглись испытанию бомбометанием с воздуха с самолета ДБ-3. Никакого звучащего эффекта, кроме обычного шума падения бомбы получено не было (7713, 202-205).</w:t>
      </w:r>
    </w:p>
    <w:p w14:paraId="1FCE7E9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DC5C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 года начальник управления делами при наркоме обороны генерал-майор Дратвин писал письмо № 17718сс наачльнику Генерального штаба, начальнику ГАУ, начальнику ГУ ВВС</w:t>
      </w:r>
    </w:p>
    <w:p w14:paraId="53C515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СНК и ЦК ВКП(б) (№ 2182-934сс от 28 октября 1940 года) "Об организации производства боевых самолетов в Эстонской, Латвийской и Литовской союзных республиках", постановил:</w:t>
      </w:r>
    </w:p>
    <w:p w14:paraId="4ACC211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наркома авиапромышленности Шахурина А.И.:</w:t>
      </w:r>
    </w:p>
    <w:p w14:paraId="141F6D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организовать в Эстонской ССР в Таллине самолетостроительный завод по производству истребителей И-301 с доведением годовой мощности завода до 350 самолетов к 1 декабря 1941 года и в Тарту завод по производству авиаприборов; выпуск в 1941 году определить в количестве 50 самолетов;</w:t>
      </w:r>
    </w:p>
    <w:p w14:paraId="14C97B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организовать в Латвийской ССР в Риге самолетостроительный завод по производству УТИ-26 с доведением годовой мощности завода до 800 самолетов к 1 марта 1942 года; выпуск в 1941 году определить в 200 самолетов;</w:t>
      </w:r>
    </w:p>
    <w:p w14:paraId="109601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организовать в Литовской ССР в Каунасе самолетостроительный завод по производству УТИ-26 с доведением мощности завода до 100 самолетов к 1 декабря 1941 года; выпуск в 1941 году определить в 10 самолетов.</w:t>
      </w:r>
    </w:p>
    <w:p w14:paraId="65D5C1C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организации производства самолетов передать НКАП следующие промышленные предприятия:</w:t>
      </w:r>
    </w:p>
    <w:p w14:paraId="547815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Эстонской ССР</w:t>
      </w:r>
    </w:p>
    <w:p w14:paraId="1DD18B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Фанерно-мебельную фабрику "Лютер"</w:t>
      </w:r>
    </w:p>
    <w:p w14:paraId="0AEB69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Законсервированный завод "Двигатель"</w:t>
      </w:r>
    </w:p>
    <w:p w14:paraId="043EB7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Авторемонтный, механический и литейный цеха предприятия "Иль-Марине"</w:t>
      </w:r>
    </w:p>
    <w:p w14:paraId="750218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Авиамастерские с аэродромом</w:t>
      </w:r>
    </w:p>
    <w:p w14:paraId="6C8567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Телефонную фабрику в Тарту</w:t>
      </w:r>
    </w:p>
    <w:p w14:paraId="54E129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Латвийской ССР</w:t>
      </w:r>
    </w:p>
    <w:p w14:paraId="5CFEA8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Новый Рижский городской автобусный гараж</w:t>
      </w:r>
    </w:p>
    <w:p w14:paraId="308359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Производственные корпуса бывшего акционерного общества "Проводник"</w:t>
      </w:r>
    </w:p>
    <w:p w14:paraId="3A082A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Литовской ССР</w:t>
      </w:r>
    </w:p>
    <w:p w14:paraId="66631C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Авиамастерские в Каунасе с аэродромом</w:t>
      </w:r>
    </w:p>
    <w:p w14:paraId="034C8E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Метизный завод "Тильманс"</w:t>
      </w:r>
    </w:p>
    <w:p w14:paraId="2B0635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………………………………….(7628, 26-29).</w:t>
      </w:r>
    </w:p>
    <w:p w14:paraId="2851A7D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FA0C2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 г. в письме за</w:t>
      </w:r>
      <w:r w:rsidRPr="00A3026E">
        <w:rPr>
          <w:rFonts w:ascii="Times New Roman" w:hAnsi="Times New Roman"/>
          <w:color w:val="000000" w:themeColor="text1"/>
          <w:sz w:val="16"/>
          <w:szCs w:val="16"/>
        </w:rPr>
        <w:softHyphen/>
        <w:t>местителю наркома боеприпасов от старшего научного сотрудника груп</w:t>
      </w:r>
      <w:r w:rsidRPr="00A3026E">
        <w:rPr>
          <w:rFonts w:ascii="Times New Roman" w:hAnsi="Times New Roman"/>
          <w:color w:val="000000" w:themeColor="text1"/>
          <w:sz w:val="16"/>
          <w:szCs w:val="16"/>
        </w:rPr>
        <w:softHyphen/>
        <w:t>пы №1 Е.С.Щетинкова и начальника группы №1 Дрязгова говорилось, что при наземном отстреле партии штатных ракетных снарядов порой отмечают «правильный полет и нормальную дистанцию» только около 95% боеприпасов. Остальные же пролетают дистанцию почти вдвое ко</w:t>
      </w:r>
      <w:r w:rsidRPr="00A3026E">
        <w:rPr>
          <w:rFonts w:ascii="Times New Roman" w:hAnsi="Times New Roman"/>
          <w:color w:val="000000" w:themeColor="text1"/>
          <w:sz w:val="16"/>
          <w:szCs w:val="16"/>
        </w:rPr>
        <w:softHyphen/>
        <w:t>роче, издают на траектории прерывистый звук и падают с малыми скоро</w:t>
      </w:r>
      <w:r w:rsidRPr="00A3026E">
        <w:rPr>
          <w:rFonts w:ascii="Times New Roman" w:hAnsi="Times New Roman"/>
          <w:color w:val="000000" w:themeColor="text1"/>
          <w:sz w:val="16"/>
          <w:szCs w:val="16"/>
        </w:rPr>
        <w:softHyphen/>
        <w:t>стями и под большими углами.</w:t>
      </w:r>
    </w:p>
    <w:p w14:paraId="355D97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Истинные причины этой аномалии для испытателей и разработчиков остались неизвестными. По их мнению, на это могла влиять малая на</w:t>
      </w:r>
      <w:r w:rsidRPr="00A3026E">
        <w:rPr>
          <w:rFonts w:ascii="Times New Roman" w:hAnsi="Times New Roman"/>
          <w:color w:val="000000" w:themeColor="text1"/>
          <w:sz w:val="16"/>
          <w:szCs w:val="16"/>
        </w:rPr>
        <w:softHyphen/>
        <w:t>чальная скорость боеприпасов или увеличение в полете их баллистиче</w:t>
      </w:r>
      <w:r w:rsidRPr="00A3026E">
        <w:rPr>
          <w:rFonts w:ascii="Times New Roman" w:hAnsi="Times New Roman"/>
          <w:color w:val="000000" w:themeColor="text1"/>
          <w:sz w:val="16"/>
          <w:szCs w:val="16"/>
        </w:rPr>
        <w:softHyphen/>
        <w:t>ского коэффициента (в авиации этот артиллерийский термин означает лобовое сопротивление). Первое аналитики исключили сразу, так как это не подтверждалось углами падения снарядов. Оставалось второ-. По аналогии с авиабомбами, когда на траектории они ведут себя неус</w:t>
      </w:r>
      <w:r w:rsidRPr="00A3026E">
        <w:rPr>
          <w:rFonts w:ascii="Times New Roman" w:hAnsi="Times New Roman"/>
          <w:color w:val="000000" w:themeColor="text1"/>
          <w:sz w:val="16"/>
          <w:szCs w:val="16"/>
        </w:rPr>
        <w:softHyphen/>
        <w:t>тойчиво, снижается скорость и дальность их полета. Тогда исследователе считали, что в результате возрастает характеристическое время паденья авиабомб, что равносильно увеличению баллистического коэффициента У РС (11402).</w:t>
      </w:r>
    </w:p>
    <w:p w14:paraId="6289D4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CA46C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 г. вышел приказ начальника авиации ВМФ №0010 генерал-майора С.Ф.Жаворонкова, согласно которому со 2 ноября 1940 г. требовалось приступить к окончанию полигонных испытаний РБС-203 и РО-203 на специально оборудованном для этого самолете ДБ-3 №2412. Ведуший летающий инженер - военинженер 3 ранга Г.Н.Мельников, командир экипажа - капитан П.П.Попок, штурман самолета - капитан Невзоров, техник-испытатель - воентехник 1 ранга Доренко.</w:t>
      </w:r>
    </w:p>
    <w:p w14:paraId="2AD58D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Программа полигонных испытаний РБС-203 и РО-203 на оборудо</w:t>
      </w:r>
      <w:r w:rsidRPr="00A3026E">
        <w:rPr>
          <w:rFonts w:ascii="Times New Roman" w:hAnsi="Times New Roman"/>
          <w:color w:val="000000" w:themeColor="text1"/>
          <w:sz w:val="16"/>
          <w:szCs w:val="16"/>
        </w:rPr>
        <w:softHyphen/>
        <w:t>ванном для пикирования ДБ-3 требовала определить возможность пики</w:t>
      </w:r>
      <w:r w:rsidRPr="00A3026E">
        <w:rPr>
          <w:rFonts w:ascii="Times New Roman" w:hAnsi="Times New Roman"/>
          <w:color w:val="000000" w:themeColor="text1"/>
          <w:sz w:val="16"/>
          <w:szCs w:val="16"/>
        </w:rPr>
        <w:softHyphen/>
        <w:t>рования ДБ-3 под углом 80° с четырьмя РБС-203 и величину полигонно</w:t>
      </w:r>
      <w:r w:rsidRPr="00A3026E">
        <w:rPr>
          <w:rFonts w:ascii="Times New Roman" w:hAnsi="Times New Roman"/>
          <w:color w:val="000000" w:themeColor="text1"/>
          <w:sz w:val="16"/>
          <w:szCs w:val="16"/>
        </w:rPr>
        <w:softHyphen/>
        <w:t>го рассеивания при одиночной стрельбе РБС-203 с пикирования под уг</w:t>
      </w:r>
      <w:r w:rsidRPr="00A3026E">
        <w:rPr>
          <w:rFonts w:ascii="Times New Roman" w:hAnsi="Times New Roman"/>
          <w:color w:val="000000" w:themeColor="text1"/>
          <w:sz w:val="16"/>
          <w:szCs w:val="16"/>
        </w:rPr>
        <w:softHyphen/>
        <w:t>лами 60-70°. Залповую стрельбу четырьмя РБС-203 требовалось исклю</w:t>
      </w:r>
      <w:r w:rsidRPr="00A3026E">
        <w:rPr>
          <w:rFonts w:ascii="Times New Roman" w:hAnsi="Times New Roman"/>
          <w:color w:val="000000" w:themeColor="text1"/>
          <w:sz w:val="16"/>
          <w:szCs w:val="16"/>
        </w:rPr>
        <w:softHyphen/>
        <w:t>чить. Всего отстрелять 26 штук РБС. В случае отсутствия высоты 3000 м, допускалось стрелять с высот 2000-2500 м. Было категорически запреще</w:t>
      </w:r>
      <w:r w:rsidRPr="00A3026E">
        <w:rPr>
          <w:rFonts w:ascii="Times New Roman" w:hAnsi="Times New Roman"/>
          <w:color w:val="000000" w:themeColor="text1"/>
          <w:sz w:val="16"/>
          <w:szCs w:val="16"/>
        </w:rPr>
        <w:softHyphen/>
        <w:t>но держать высоту на выводе из пикирования ниже 1200 м (11402).</w:t>
      </w:r>
    </w:p>
    <w:p w14:paraId="5D90FB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E16A7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 г. было письмо начальника авиации ВМФ генерал-майора С.Ф.Жаворонкова в НКБ, на котором нарком боеприпасов тов. Сергеев наложил резолюцию, в соответствии с которой от директора НИИ-3 требовалось:</w:t>
      </w:r>
    </w:p>
    <w:p w14:paraId="66350B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Отработать РЗ для БРАВ и БетАБ калибров 305 и 254 мм на пороховых шашках длиной не свыше 1000 мм, что вызвано трудностью изго-эвления шашек длиной 1400 мм на заводе №59;</w:t>
      </w:r>
    </w:p>
    <w:p w14:paraId="1BFDCC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основе работы откорректировать чертежи и ТУ, предоставив весь материал на рассмотрение в техотдел НКБ не позже 10 декабря 1940 г.» (11402).</w:t>
      </w:r>
    </w:p>
    <w:p w14:paraId="72A893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83F9E9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BB33F2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68A75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 октября 1940 на артиллерийском заводе № 92 в Горьком прошли очередные учения по МПВО. В 20.00 по местному времени был подан учебный сигнал «Воздушная тревога». В течение часа заводской штаб проверял явку членов команд на свои посты, приведение в боевую готовность сил и средств пожаротушения, а также </w:t>
      </w:r>
      <w:r w:rsidRPr="00A3026E">
        <w:rPr>
          <w:rFonts w:ascii="Times New Roman" w:hAnsi="Times New Roman"/>
          <w:color w:val="000000" w:themeColor="text1"/>
          <w:sz w:val="16"/>
          <w:szCs w:val="16"/>
        </w:rPr>
        <w:lastRenderedPageBreak/>
        <w:t>светомаскировку зданий и цехов. Затем в 21.00 прозвучал сигнал «Отбой ВТ». Результаты учений показали плохое затемнение ряда объектов, хаотичность действий некоторых лиц, отвечавших за него. В связи с этим в ноябре началось проектирование единого плана светомаскировки завода. В течение 24—25 декабря 1940 г. в Горьком проводились городские учения по МПВО. Причем утром первого дня в городе было введено «Угрожаемое положение», а в 19.30 второго дня подан сигнал «ВТ».  В 1941 г. учения на городском и районном уровне еще более участились. 14 марта в Кагановичском районе [11] с 18.00 до 22.00 объявлялось «Угрожаемое положение». Затем жители района уже в течение пяти суток – с 25 по 30 марта – жили и работали в условиях учебного «УП». При этом четыре раза давался сигнал «Воздушная тревога», в частности 26 марта в 21.00. Подобные мероприятия, по замыслу городского и районных штабов МПВО, должны были приучить людей к жизни в условиях военного времени, а также научить четко различать подаваемые сигналы и порядок действий после них. Как показали последующие годы, подобные учения были отнюдь не излишни.  Ликвидация последствий бомбардировок противника также входила и в функции пожарной охраны, тоже входившей в структуру НКВД. Ге боевыми подразделениями были военизированные пожарные части (ВПЧ), оснащенные пожарными автонасосами ПМЗ-5 и ПМЗ-6, созданными на базе автомобилей ЗиС-5 (11774).</w:t>
      </w:r>
    </w:p>
    <w:p w14:paraId="78BD965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3E39EA"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w:t>
      </w:r>
    </w:p>
    <w:p w14:paraId="1A408E77"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Фонд 38 Опись 11355 Дело 32 лист 159.</w:t>
      </w:r>
    </w:p>
    <w:p w14:paraId="39A63782"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38AC4C9F"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 № 5</w:t>
      </w:r>
    </w:p>
    <w:p w14:paraId="450433CC"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реализации оборудования, выделенного заводу Постановлением Правительства по 30.X.40 г. </w:t>
      </w:r>
    </w:p>
    <w:p w14:paraId="4D43F040"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 выделенного кузнечно-прессового оборудования получены: </w:t>
      </w:r>
    </w:p>
    <w:p w14:paraId="4264AA9B"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чекан. пресс 400 тн. и 1 эксцентр. пресс 100. </w:t>
      </w:r>
    </w:p>
    <w:p w14:paraId="2AF1D09B"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Чеканочный пресс закончен монтажем, эксцентриков. пресс – монтируется. </w:t>
      </w:r>
    </w:p>
    <w:p w14:paraId="19DC8B0D"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 импортного оборудования получен один Бесцентр. шлиф. станок фирмы "Малькис" по нор. 4699. В настоящее время находится в монтаже. </w:t>
      </w:r>
    </w:p>
    <w:p w14:paraId="3CCF22CD"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ТЕХНОЛОГ ЗАВОДА подпись (РАТИНОВ)</w:t>
      </w:r>
    </w:p>
    <w:p w14:paraId="7176EB56"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5 экз. </w:t>
      </w:r>
    </w:p>
    <w:p w14:paraId="7A2F2C6A"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Фукс </w:t>
      </w:r>
    </w:p>
    <w:p w14:paraId="7EC7C72E"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5370 </w:t>
      </w:r>
    </w:p>
    <w:p w14:paraId="51312679"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2.XI.40 г. (18212).</w:t>
      </w:r>
    </w:p>
    <w:p w14:paraId="659DC60C" w14:textId="77777777" w:rsidR="009B5678" w:rsidRPr="00A3026E" w:rsidRDefault="009B5678" w:rsidP="00A3026E">
      <w:pPr>
        <w:spacing w:after="0" w:line="240" w:lineRule="auto"/>
        <w:jc w:val="both"/>
        <w:rPr>
          <w:rFonts w:ascii="Times New Roman" w:hAnsi="Times New Roman"/>
          <w:color w:val="000000" w:themeColor="text1"/>
          <w:sz w:val="16"/>
          <w:szCs w:val="16"/>
        </w:rPr>
      </w:pPr>
    </w:p>
    <w:p w14:paraId="70C3AF3F"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w:t>
      </w:r>
    </w:p>
    <w:p w14:paraId="1E26EB84"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Фонд 38 Опись 11355 Дело 32 листы 160 – 165</w:t>
      </w:r>
    </w:p>
    <w:p w14:paraId="5625E285"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 № 6</w:t>
      </w:r>
    </w:p>
    <w:p w14:paraId="066FF1AB"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выполнения капстроительства на 183 заводе по первоочередным объектам 1940 года</w:t>
      </w:r>
    </w:p>
    <w:p w14:paraId="0F96EF70"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состоянию на 30.X.1940 года. </w:t>
      </w:r>
    </w:p>
    <w:p w14:paraId="2C6C45A6"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Раздел.</w:t>
      </w:r>
    </w:p>
    <w:p w14:paraId="50B8C05A"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пункту № 52-53.</w:t>
      </w:r>
    </w:p>
    <w:p w14:paraId="5AB82EBC"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Пролет № 1 – Расширение цеха "700". </w:t>
      </w:r>
    </w:p>
    <w:p w14:paraId="66E5CDAB"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по Постановлению Правительства 15.VI-с.г. </w:t>
      </w:r>
    </w:p>
    <w:p w14:paraId="190FFE21"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Сдан под монтаж в Июле мес. с недоделками и фактически эксплоатируется, на 30.X имеются следующие недоделки: </w:t>
      </w:r>
    </w:p>
    <w:p w14:paraId="1594E5C6"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Заканчивается настилка торцевого пола (сделано на 95%). </w:t>
      </w:r>
    </w:p>
    <w:p w14:paraId="0C3F8FBC"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Вентиляция смонтирована на 40%. </w:t>
      </w:r>
    </w:p>
    <w:p w14:paraId="7D79D89D"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Отопление (ввод) сделан на 95% . </w:t>
      </w:r>
    </w:p>
    <w:p w14:paraId="4677FD84"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Пролет № 2 – Разрыв цеха "700". </w:t>
      </w:r>
    </w:p>
    <w:p w14:paraId="04457BCF"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пролета 15.VII-с.г. </w:t>
      </w:r>
    </w:p>
    <w:p w14:paraId="78AB7948"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Сдан под монтаж в июле и фактически эксплоатируется. </w:t>
      </w:r>
    </w:p>
    <w:p w14:paraId="6558AB20"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30.X с.г. имеются недоделки – не настлан пол, не сделана вентиляция и боковое освещение пролета. К настилке пола приступили. </w:t>
      </w:r>
    </w:p>
    <w:p w14:paraId="15A9E117"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Пролет № 3 цеха № "700". </w:t>
      </w:r>
    </w:p>
    <w:p w14:paraId="312CE980"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пролета 1.IX-с.г. </w:t>
      </w:r>
    </w:p>
    <w:p w14:paraId="2306AB8B"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30.Х с.г. металлоконструкции смонтированы на 100%. Крыша, включая покрытие асфальтом и одним слоем пергамина, закончена. </w:t>
      </w:r>
    </w:p>
    <w:p w14:paraId="51EFB761"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Пролет № 4 цеха "700". </w:t>
      </w:r>
    </w:p>
    <w:p w14:paraId="745AF3CE"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 1.IX-с.г. </w:t>
      </w:r>
    </w:p>
    <w:p w14:paraId="6048116E"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Монтаж металлоконструкций выполнен на 100%. Жел. бетон. крыша с утеплением пенобетоном и цементной стяжкой выполнена на 100%, не сделано покрытие рубероидом. Закончен ремонт пола. </w:t>
      </w:r>
    </w:p>
    <w:p w14:paraId="47D1A2DE"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Пролет № 5 цеха "700". </w:t>
      </w:r>
    </w:p>
    <w:p w14:paraId="50620CCB"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 1.IX-с.г. </w:t>
      </w:r>
    </w:p>
    <w:p w14:paraId="5C91A209"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Строительная часть крыши закончена на 100% и сдана под монтаж 22.IX. Имеются недоделки: </w:t>
      </w:r>
    </w:p>
    <w:p w14:paraId="5A020863"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Не покрыта кровля рубероидом. </w:t>
      </w:r>
    </w:p>
    <w:p w14:paraId="1B08A4FE"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Фактически находится в эксплоатации. </w:t>
      </w:r>
    </w:p>
    <w:p w14:paraId="35AE74BF"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Пролет № 6 цеха "700". </w:t>
      </w:r>
    </w:p>
    <w:p w14:paraId="00C1A060"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 1.IX-с.г. </w:t>
      </w:r>
    </w:p>
    <w:p w14:paraId="1F324650"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Сдан под монтаж 20.IX-с.г. Фактически находится в эксплоатации. </w:t>
      </w:r>
    </w:p>
    <w:p w14:paraId="66C030D2"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Пролет № 7 цеха "700". </w:t>
      </w:r>
    </w:p>
    <w:p w14:paraId="761DD1BF"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 1.IX-с.г. </w:t>
      </w:r>
    </w:p>
    <w:p w14:paraId="710492A8"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Начатые работы по усилению фундаментов 1 С.У. законсервированы. Проектируется удлинение этого пролета на запад. Металлоконструкциями полностью обеспечены. Намечаемы срок окончания работ 15/XII. </w:t>
      </w:r>
    </w:p>
    <w:p w14:paraId="577B240D"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Пролет № 8 и № 9 цеха "700". </w:t>
      </w:r>
    </w:p>
    <w:p w14:paraId="2A22EBA7"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 1.IX-с.г. </w:t>
      </w:r>
    </w:p>
    <w:p w14:paraId="18B732D9"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Металлоконструкции смонтированы на 90% (без удлинения). Уложены сборные ж.бетонные плиты по крыше на 60%. Намечаемый срок окончания работ – Ноябрь мес. </w:t>
      </w:r>
    </w:p>
    <w:p w14:paraId="472665C1"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настоящий момент проектируется удлинение этих пролетов на запад (проект на металлоконструкции выдан подрядчику 27.Х с.г.). </w:t>
      </w:r>
    </w:p>
    <w:p w14:paraId="271A7C6D"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Пролет № 10 цеха "700". </w:t>
      </w:r>
    </w:p>
    <w:p w14:paraId="3E2416DF"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 1.IX-с.г. </w:t>
      </w:r>
    </w:p>
    <w:p w14:paraId="098E4879"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Пролет готов за исключением покрытия кровли рубероидом и ремонта пола (отсутствует шашка). Устанавливается оборудование. </w:t>
      </w:r>
    </w:p>
    <w:p w14:paraId="327F0D2B"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Пролет № 11 цеха "700". </w:t>
      </w:r>
    </w:p>
    <w:p w14:paraId="4F2901D6"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 1.IX-с.г. </w:t>
      </w:r>
    </w:p>
    <w:p w14:paraId="73385910"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Монтажно-строительные работы закончены полностью, за исключением покрытия кровли рубероидом. Проводится монтаж оборудования, пролет уже эксплоатируется. </w:t>
      </w:r>
    </w:p>
    <w:p w14:paraId="53BDB159"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Пролет № 12 цеха "700". </w:t>
      </w:r>
    </w:p>
    <w:p w14:paraId="2F498AF6"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 1.IX-с.г. </w:t>
      </w:r>
    </w:p>
    <w:p w14:paraId="3364BADD"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Монтажно-строительные работы закончены полностью, за исключением покрытия кровли рубероидом и настилки пола деревянной шашкой, которая отсутствует. Проводится монтаж оборудования, цех эксплоатируется. </w:t>
      </w:r>
    </w:p>
    <w:p w14:paraId="3A616C4E"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работ по Отделу 700: </w:t>
      </w:r>
    </w:p>
    <w:p w14:paraId="4684B2C5"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Реконструкция – не выполнена из-за недостатка рабсилы у генподрядчика и неготовности его к выполнению данной работы. </w:t>
      </w:r>
    </w:p>
    <w:p w14:paraId="6BCAFF83"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Пункт 54 и 55 отд. 130 и 150 (усиление).</w:t>
      </w:r>
    </w:p>
    <w:p w14:paraId="65B93D86"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согласно Постановления Правительства 1.VIII с.г. </w:t>
      </w:r>
    </w:p>
    <w:p w14:paraId="0E7A1E1E"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Пролеты полностью закончены и находятся в эксплоатации с августа мес. с.г. Имеются следующие недоделки: </w:t>
      </w:r>
    </w:p>
    <w:p w14:paraId="7DE20F9B"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Пролет № 130: </w:t>
      </w:r>
    </w:p>
    <w:p w14:paraId="647D9BAD"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Усиление подкрановой балки. </w:t>
      </w:r>
    </w:p>
    <w:p w14:paraId="41CA2B1E"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2. Не выполнен ремонт кровли после реконструкции. </w:t>
      </w:r>
    </w:p>
    <w:p w14:paraId="03E4EDA0"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Не закончена приводная станция конвейера (сделана на 80%). </w:t>
      </w:r>
    </w:p>
    <w:p w14:paraId="007CD0CC"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Монтаж конвейера выполнен на 85%. </w:t>
      </w:r>
    </w:p>
    <w:p w14:paraId="4F62C207"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Несмотря на целый ряд требований со стороны завода, работы 1 С.У. не заканчиваются, что мешает нормальной эксплоатации цеха. </w:t>
      </w:r>
    </w:p>
    <w:p w14:paraId="1ABA6EEC"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Пункт 54 – 55 – цех. Н-150.</w:t>
      </w:r>
    </w:p>
    <w:p w14:paraId="7D3E13A5"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1 очереди – 15.XII с.г. </w:t>
      </w:r>
    </w:p>
    <w:p w14:paraId="51849ED2"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Техдокументация на земляные работы и фундаменты передана генподрядчику в июле месяце. Площадка под строительство заводом очищена на 70%. Бугор для постройки эстакады Н-150, 1 С.У. не снят, что не дает возможности приступить к строительству цеха Н-150. </w:t>
      </w:r>
    </w:p>
    <w:p w14:paraId="67CDBE1F"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Пункт 58 цех 680 (Траковый).</w:t>
      </w:r>
    </w:p>
    <w:p w14:paraId="5B039150"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согласно распоряжения "Д" завода 1.VIII с.г. </w:t>
      </w:r>
    </w:p>
    <w:p w14:paraId="32EA930A"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Выполнены следующие работы: из всех 54 фундаментов выкопано – 100%, забетонировано – 100%, забетонировано рандбалок – 100%, кладка стен на – 60%. </w:t>
      </w:r>
    </w:p>
    <w:p w14:paraId="6C17AC77"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Цех Н-750.</w:t>
      </w:r>
    </w:p>
    <w:p w14:paraId="63403628"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работ 1 очереди 15.XII.40 г. </w:t>
      </w:r>
    </w:p>
    <w:p w14:paraId="316A9026"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Площадка сдана под строительство 1 С.У. – 9.VIII-40 г. Заканчивается разборка котельной. </w:t>
      </w:r>
    </w:p>
    <w:p w14:paraId="6028BFB2"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 строительных работ выполнены следующие: </w:t>
      </w:r>
    </w:p>
    <w:p w14:paraId="164EEADB"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 всех 124 фундаментов выкопано – 104 шт. </w:t>
      </w:r>
    </w:p>
    <w:p w14:paraId="6C948934"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Забетонировано оснований под фундаменты – 104 шт. </w:t>
      </w:r>
    </w:p>
    <w:p w14:paraId="19609232"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Забетонировано фундаментов – 104 шт. </w:t>
      </w:r>
    </w:p>
    <w:p w14:paraId="28D536D9"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Забетонировано колонн – 3 шт. </w:t>
      </w:r>
    </w:p>
    <w:p w14:paraId="16A5DC88"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Задерживаются работы по остальным фундаментам из-за не окончания уборки временной котельной. </w:t>
      </w:r>
    </w:p>
    <w:p w14:paraId="7409FBA2"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Кислородный цех.</w:t>
      </w:r>
    </w:p>
    <w:p w14:paraId="3E0778D4"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работ 1 очереди – 1 С.У. – 15.XII-40 г. </w:t>
      </w:r>
    </w:p>
    <w:p w14:paraId="3FB323F9"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Площадка сдана под строительство 1 С.У. 27.XII-с.г. Техдокументация подрядчику передана в Июле мес. с.г. К строительству не приступлено из-за отсутствия у генподрядчика рабсилы. </w:t>
      </w:r>
    </w:p>
    <w:p w14:paraId="5677E1D2"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Бытовые "200" (расширение рабочих площадей отд. 200).</w:t>
      </w:r>
    </w:p>
    <w:p w14:paraId="501F1160"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работ 1 очереди 1.X с.г. </w:t>
      </w:r>
    </w:p>
    <w:p w14:paraId="52EA72C8"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Площадка сдана подрядчику 10.VI.40 г. Работа 1 С.У. начата, частично выполнены земляные работы и начаты работы по бутовым фундаментам (выполнены на 30%). </w:t>
      </w:r>
    </w:p>
    <w:p w14:paraId="07423382"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ГЭС № 3.</w:t>
      </w:r>
    </w:p>
    <w:p w14:paraId="11BEB555"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Срок окончания 1.XI с.г. </w:t>
      </w:r>
    </w:p>
    <w:p w14:paraId="5C3F2CB5"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Общий погонаж, подлежащий выполнению равен 750 п.м. </w:t>
      </w:r>
    </w:p>
    <w:p w14:paraId="7EA309BF"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Выполнено: </w:t>
      </w:r>
    </w:p>
    <w:p w14:paraId="4FB9D71A"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Бетонного основания – 100%. </w:t>
      </w:r>
    </w:p>
    <w:p w14:paraId="277DDDE2"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Кирпичных стенок канала – 100%. </w:t>
      </w:r>
    </w:p>
    <w:p w14:paraId="22B5EDFC"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Уложен трубопровод на 90%. </w:t>
      </w:r>
    </w:p>
    <w:p w14:paraId="3877AFF1"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Работа по кранам характеризуется прилагаемой к сему сводкой (изготовления кранов). </w:t>
      </w:r>
    </w:p>
    <w:p w14:paraId="62A590C2"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Пункт № 47 </w:t>
      </w:r>
    </w:p>
    <w:p w14:paraId="04AF4503"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Наличие рабочей силы, транспорта и строймеханизмов у 26 Треста на 183 заводе недостаточное для охвата записанных Правительством работ. Вся рабочая сила сконцентрирована на реконструкции отдела 700, но это мероприятие не обеспечивает своевременного окончания работ по реконструкции Отдела 700, не говоря уже об остальных объектах. </w:t>
      </w:r>
    </w:p>
    <w:p w14:paraId="52F73218"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УКС подпись КРЫЛОВ</w:t>
      </w:r>
    </w:p>
    <w:p w14:paraId="7049B0C9"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ПТО подпись КОРЛЯКОВ</w:t>
      </w:r>
    </w:p>
    <w:p w14:paraId="561008B4" w14:textId="77777777" w:rsidR="009B5678" w:rsidRPr="00A3026E" w:rsidRDefault="009B567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31.Х.40 г. (18212).</w:t>
      </w:r>
    </w:p>
    <w:p w14:paraId="402ABAA1" w14:textId="77777777" w:rsidR="009B5678" w:rsidRPr="00A3026E" w:rsidRDefault="009B5678" w:rsidP="00A3026E">
      <w:pPr>
        <w:spacing w:after="0" w:line="240" w:lineRule="auto"/>
        <w:jc w:val="both"/>
        <w:rPr>
          <w:rFonts w:ascii="Times New Roman" w:hAnsi="Times New Roman"/>
          <w:color w:val="000000" w:themeColor="text1"/>
          <w:sz w:val="16"/>
          <w:szCs w:val="16"/>
        </w:rPr>
      </w:pPr>
    </w:p>
    <w:p w14:paraId="42469924"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296DCE1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4877A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 г. вышел Приказ НКО об устранении недостатков в деле руководства мобилизационной работой в некоторых войсковых частях и соединениях № 0064.</w:t>
      </w:r>
    </w:p>
    <w:p w14:paraId="0C652B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Произведенной комиссией Генерального штаба Красной Армии проверкой мобилизационных планов 127-й и 134-й стрелковых дивизий Харьковского и Сталинского облвоенкоматов Харьковского военного округа установлено безответственное отношение и самоустранение от руководства мобилизационной работой со стороны командиров и начальников штабов некоторых войсковых частей, соединений и грубое нарушение моих приказов № 0130 1940 г. и № 0150 1939 г.</w:t>
      </w:r>
    </w:p>
    <w:p w14:paraId="205287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Командир 127 сд генерал-майор Корнеев и его штаб разработкой мобилизационных планов в частях дивизии не руководили, в результате чего к моменту проверки командиры и штабы 395 сп, 567 ап к разработке мобилизационных планов не приступали. В остальных проверенных частях, в том числе и управлении дивизии, были составлены только отдельные документы в черновом виде.</w:t>
      </w:r>
    </w:p>
    <w:p w14:paraId="19231F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мобилизационной работы в управлении дивизии и частях отсутствовал. Наставление по мобилизационной работе войсковых частей, управлений и учреждений Красной Армии даже начсоставом, связанным с мобилизационной работой, не изучено. Выписки из схемы развертывания по запасным формированиям были высланы штабом дивизии частям через 37 дней после получения их из штаба округа.</w:t>
      </w:r>
    </w:p>
    <w:p w14:paraId="7381C0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Приписка рядового и младшего начальствующего состава произведена военкоматами без участия представителей войсковых частей. Учет и хранение мобилизационных документов в безобразном состоянии. Учет имущества НЗ в дивизии отсутствовал. Хранение имущества НЗ неудовлетворительное.</w:t>
      </w:r>
    </w:p>
    <w:p w14:paraId="53CC6E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Начальник штаба 395 сп капитан Медведев к мобилизационной работе отнесся халатно. К разработке мобплана на день проверки комиссией не приступал. Все получаемые.указания по разработке мобплана без просмотра и исполнения складывал в папки. Ответственнейший документ — выписку из схемы развертывания — хранил вместе с грудой неисполненных и неподшитых секретных и сов. секретных документов.</w:t>
      </w:r>
    </w:p>
    <w:p w14:paraId="64B23C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Качество приписанного начальствующего, младшего начальствующего и рядового состава не изучено, поэтому имеются факты приписки отдельных лиц, явно не соответствующих должностному предназначению.</w:t>
      </w:r>
    </w:p>
    <w:p w14:paraId="24B691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Командир 134 сд комбриг Базаров, начштадив майор Светличный не осуществляют повседневный контроль за состоянием и реальностью мобилизационных планов частей. Комиссией выявлена исключительная запущенность в разработке мобплана 515 сп, его формирований и ряд неточностей в планах управления дивизии.</w:t>
      </w:r>
    </w:p>
    <w:p w14:paraId="0B07C9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Командир 515 сп майор Ярмонов, начальник штаба полка капитан Задне-провский, несмотря на неоднократные указания комиссии Военного совета ХВО и командира дивизии, непосредственно мобработой не руководили и не обеспечили мобготовности полка и его формирований. Зная о плохом состоянии мобилизационного плана полка и отсутствии мобилизационного плана формирований, возложенных на полк, командир полка майор Ярмонов в устном докладе комиссии Генштаба, а также в донесениях о мобготовности полка и формирований заведомо ложно доносил о готовности части и полной отработке мобпланов.</w:t>
      </w:r>
    </w:p>
    <w:p w14:paraId="44C9D5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Хранение обоза и продовольствия НЗ находится в явно неудовлетворительном состоянии.</w:t>
      </w:r>
    </w:p>
    <w:p w14:paraId="0E16D4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Мобилизационное делопроизводство запущено. Большинство секретных и сов. секретных документов мобплана не занесены в описи, ряд секретных и сов. секретных мобилизационных документов не имеют грифа. Изъятые из мобплана устаревшие документы распоряжением командира полка были уничтожены без оформления актом.</w:t>
      </w:r>
    </w:p>
    <w:p w14:paraId="1CDDEC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 лучшую сторону выделяется состояние мобилизационного плана 534-го гаубичного артполка 134 сд.</w:t>
      </w:r>
    </w:p>
    <w:p w14:paraId="08C3AF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При проверке ОМВУ установлено недостаточное руководство и контроль Сталинским и особенно Харьковским облвоенкомами подчиненными им райвоенкоматами.</w:t>
      </w:r>
    </w:p>
    <w:p w14:paraId="563620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Харьковским ОВК из 41 райвоенкомата проверено только 6, Сталинским из 38 — 18.</w:t>
      </w:r>
    </w:p>
    <w:p w14:paraId="758C03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Планы комплектования младшим начальствующим и рядовым составом имеют значительные недостатки: широкая замена необученными при наличии обученных ресурсов, замена, не предусмотренная таблицей замен, завоз военнообязанных запаса из других областей для 134 сд при наличии ресурсов на месте.</w:t>
      </w:r>
    </w:p>
    <w:p w14:paraId="175E52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Замена автотранспорта по тоннажу произведена неправильно. Превышен лимит изъятия мехтранспорта из отдельных предприятий народного хозяйства. При замене автоцистерн грузовыми машинами не занаряжена бочкотара.</w:t>
      </w:r>
    </w:p>
    <w:p w14:paraId="18A23C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Мобилизационные планы проверенных райвоенкоматов разработаны нечетко и очень громоздки как по содержанию, так и по количеству документов.</w:t>
      </w:r>
    </w:p>
    <w:p w14:paraId="23045C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Райвоенкоматы не изучают военнообязанных запаса, поэтому дефицитные специалисты, оказавшиеся среди необученных, использованы неправильно.</w:t>
      </w:r>
    </w:p>
    <w:p w14:paraId="794DDE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большинстве проверенных военкоматов состояние секретного делопроизводства неудовлетворительное.</w:t>
      </w:r>
    </w:p>
    <w:p w14:paraId="3B65A5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7. Штаб ХВО, и в частности организационно-мобилизационный отдел (начальник отдела майор Шевченко), проверку мобготовности частей 127 сд провел поверхностно.</w:t>
      </w:r>
    </w:p>
    <w:p w14:paraId="4585B1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Проверяющие детально состояние мобработы и подготовленность начсостава к проведению мобилизации не проверили. Руководство и контроль за состоянием мобилизационного делопроизводства со стороны штаба ХВО отсутствует, в результате приказ НКО № 0150 в проверенных частях и райвоенкоматах не выполняется.</w:t>
      </w:r>
    </w:p>
    <w:p w14:paraId="3507EC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Приказываю:</w:t>
      </w:r>
    </w:p>
    <w:p w14:paraId="0C1439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Командующему войсками ХВО к 1 декабря 1940 г. проверить состояние мобилизационных планов в 127 и 134 сд и к 10 декабря 1940 г. донести мне о готовности дивизий к отмобилизованию.</w:t>
      </w:r>
    </w:p>
    <w:p w14:paraId="7EE289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Прекратить вредную практику отдельных командиров и начальников заниматься вопросами мобработы от случая к случаю в порядке кампании. Важнейшей обязанностью командира и его штаба является держать части, соединения в постоянной мобилизационной готовности.</w:t>
      </w:r>
    </w:p>
    <w:p w14:paraId="53B674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Военным советам округов периодически заслушивать доклады командиров соединений и облвоенкомов о состоянии мобготовности войсковых частей и военкоматов округа и принять решительные меры к приведению в образцовое состояние мобилизационных планов в частях и военкоматах округа.</w:t>
      </w:r>
    </w:p>
    <w:p w14:paraId="19A0EA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Командиру 127 сд генерал-майору Корнееву и начальнику штаба дивизии подполковнику Шапошникову за отсутствие контроля и руководства мобилизационной работой в подчиненных частях ставлю на вид.</w:t>
      </w:r>
    </w:p>
    <w:p w14:paraId="4D400F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Начальнику штаба 395 сп капитану Медведеву за халатное отношение к мобилизационной подготовке полка, безобразное состояние учета и хранение мобдокументов объявляю выговор.</w:t>
      </w:r>
    </w:p>
    <w:p w14:paraId="2DABEB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Командира 515 сп майора Ярмонова, начальника штаба полка капитана Заднепровского за самоустранение от руководства мобилизационной работой, необеспечение мобилизационной готовности полка и формирований, обман в донесениях о готовности полка и его формирований к отмобилизованию арестовываю на 5 суток домашним арестом с 50-процентным удержанием суточной зарплаты за время ареста.</w:t>
      </w:r>
    </w:p>
    <w:p w14:paraId="377052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За хорошее знание и своевременную разработку мобилизационного плана и за усердие при составлении его помощнику начальника штаба 534-го гаубичного артполка лейтенанту Чуракову объявляю благодарность.</w:t>
      </w:r>
    </w:p>
    <w:p w14:paraId="6B21A5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Приказ объявить под расписку командирам соединений, частей, начальникам учреждений и командирам, ведущим мобработу.</w:t>
      </w:r>
    </w:p>
    <w:p w14:paraId="04C4A4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Заместитель Народного комиссара обороны СССР Маршал Советского Союза С. Буденный (10602).</w:t>
      </w:r>
    </w:p>
    <w:p w14:paraId="06ED93F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352BA9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77CCBB0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42FA74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 в 1:30 - 2:00 ночи итальянская п/л Шире выпустила три торпеды, управляемых подводными пловцами в бухте Альхесирас на Гибралтаре. Одна торпеда нырнула на 40 м и деформировалась. Пловцы - спаслись. У экипажа второй торпеды испортились кислородные аппараты. У третей торпеды вода попала в аккумуляторы и экипаж был взят в плен (3961, 34).</w:t>
      </w:r>
    </w:p>
    <w:p w14:paraId="333211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2E20E1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 на предвыборном митинге в Бостоне президент США Ф. Рузвельт торжественно поклялся, что Америка ни под каким видом не вступит во вторую мировую войну (4962).</w:t>
      </w:r>
    </w:p>
    <w:p w14:paraId="554249D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B168DC5" w14:textId="77777777" w:rsidR="00604900" w:rsidRPr="00A3026E" w:rsidRDefault="00604900"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eastAsia="Times New Roman" w:hAnsi="Times New Roman"/>
          <w:bCs/>
          <w:color w:val="000000" w:themeColor="text1"/>
          <w:sz w:val="16"/>
          <w:szCs w:val="16"/>
        </w:rPr>
        <w:t xml:space="preserve">30 октября </w:t>
      </w:r>
      <w:r w:rsidRPr="00A3026E">
        <w:rPr>
          <w:rFonts w:ascii="Times New Roman" w:hAnsi="Times New Roman"/>
          <w:color w:val="000000" w:themeColor="text1"/>
          <w:sz w:val="16"/>
          <w:szCs w:val="16"/>
        </w:rPr>
        <w:t>в 1940 году диверсионные спецподразделения абвера перебрасываются на юг Испании для подготовки к вторжению в зону Гибралтарского пролива (14815).</w:t>
      </w:r>
    </w:p>
    <w:p w14:paraId="5B49BD45" w14:textId="77777777" w:rsidR="00604900" w:rsidRPr="00A3026E" w:rsidRDefault="00604900" w:rsidP="00A3026E">
      <w:pPr>
        <w:spacing w:after="0" w:line="240" w:lineRule="auto"/>
        <w:jc w:val="both"/>
        <w:rPr>
          <w:rFonts w:ascii="Times New Roman" w:hAnsi="Times New Roman"/>
          <w:color w:val="000000" w:themeColor="text1"/>
          <w:sz w:val="16"/>
          <w:szCs w:val="16"/>
        </w:rPr>
      </w:pPr>
    </w:p>
    <w:p w14:paraId="36EEDFE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510609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05703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 вышло постановление Комитета Обороны о постройке самолета Гудкова по типу Р-39 Аэрокобра. Позднее было принято решение об установке на самолете пушки Б.Г.Шпитального ШФК-37 калибра 37 мм, однако опытный самолет был построен с двумя синхронными пушками ШВАК (9649).</w:t>
      </w:r>
    </w:p>
    <w:p w14:paraId="0525CD5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43DA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года постановление № 418сс КО</w:t>
      </w:r>
    </w:p>
    <w:p w14:paraId="4426F9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строительстве самолета типа "Аэрокобра" с мотором АМ-37 с длинным валом и выносным редуктором</w:t>
      </w:r>
    </w:p>
    <w:p w14:paraId="2636DC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постановляет:</w:t>
      </w:r>
    </w:p>
    <w:p w14:paraId="21ACAF4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Обязать НКАП, директора завода № 301 Эскина Ю.Б. и гл. конструктора Гудкова М.И. построить самолет типа "Аэрокобра" с мотором АМ-37 на трехколесном шасси в двух экземплярах и предъявить на госиспытания:</w:t>
      </w:r>
    </w:p>
    <w:p w14:paraId="78CD5F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 к 15 августа 1941 года</w:t>
      </w:r>
    </w:p>
    <w:p w14:paraId="79C860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экземпляр – к 15 сентября 1941 года</w:t>
      </w:r>
    </w:p>
    <w:p w14:paraId="173DB3A3" w14:textId="77777777" w:rsidR="00C66762" w:rsidRPr="00A3026E" w:rsidRDefault="00C66762" w:rsidP="00A3026E">
      <w:pPr>
        <w:pStyle w:val="22"/>
        <w:widowControl/>
        <w:rPr>
          <w:color w:val="000000" w:themeColor="text1"/>
        </w:rPr>
      </w:pPr>
      <w:r w:rsidRPr="00A3026E">
        <w:rPr>
          <w:color w:val="000000" w:themeColor="text1"/>
        </w:rPr>
        <w:t>со следующими летно-техническими данными:</w:t>
      </w:r>
    </w:p>
    <w:p w14:paraId="352133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7000 м – 700 км/час</w:t>
      </w:r>
    </w:p>
    <w:p w14:paraId="55B16F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 135 км/час</w:t>
      </w:r>
    </w:p>
    <w:p w14:paraId="130843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 – 11000 м</w:t>
      </w:r>
    </w:p>
    <w:p w14:paraId="3F07E8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 8000 м – 10 мин.</w:t>
      </w:r>
    </w:p>
    <w:p w14:paraId="2D7DCD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с нормальной нагрузкой на 0,9 максимальной скорости - 1000 км</w:t>
      </w:r>
    </w:p>
    <w:p w14:paraId="4E3969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 – 1400 км</w:t>
      </w:r>
    </w:p>
    <w:p w14:paraId="0B96D0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1 пушка калибра 23 мм с количеством снарядов 81 шт., 2 пулемета калибра 12,7 мм Березина с количеством патрон 440 штук, 2 пулемета 7,62 мм Шкас с количеством патрон 1300 штук</w:t>
      </w:r>
    </w:p>
    <w:p w14:paraId="33B6BA3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гл. конструктора завода № 24 Микулина А.А. изготовить мотор АМ-37 с длинным валом и выносным редуктором в количестве 4-х штук и сдать ОКБ завода № 301 в следующие сроки:</w:t>
      </w:r>
    </w:p>
    <w:p w14:paraId="041384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 к 15 марта 1941 года</w:t>
      </w:r>
    </w:p>
    <w:p w14:paraId="7BBC36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и третий экземпляры – к 1 мая 1941 года</w:t>
      </w:r>
    </w:p>
    <w:p w14:paraId="7E7E6E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четвертый </w:t>
      </w:r>
    </w:p>
    <w:p w14:paraId="535CEB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 – к 15 июня 1941 года (7611, 247-248).</w:t>
      </w:r>
    </w:p>
    <w:p w14:paraId="2EB923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Наркомфин выделить из резервного фонда СНК Союза СССР заводу № 301 на постройку и испытание 2-х экземпляров самолета 5.000.000 рублей, из них 1.000.000 в 1940 году.</w:t>
      </w:r>
    </w:p>
    <w:p w14:paraId="0F97BD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целях поощрения ИТР, рабочих и служащих завода № 301 за выполнение задания в срок выделить в распоряжение НКАП премиальный фонд:</w:t>
      </w:r>
    </w:p>
    <w:p w14:paraId="4B56B9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за 1-й экз. - 400 тыс. руб.</w:t>
      </w:r>
    </w:p>
    <w:p w14:paraId="591C11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за 2-й экз. - 200 тысю руб. (10395).</w:t>
      </w:r>
    </w:p>
    <w:p w14:paraId="24CFCF0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346DBA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года вышло постановление КО № 418</w:t>
      </w:r>
    </w:p>
    <w:p w14:paraId="606626E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Постройка 2 экз. истребителя типа «Аэрокобра» с мотором АМ-37 с 3-х колесным шасси, с удлиненным валом и выносным редуктором.</w:t>
      </w:r>
    </w:p>
    <w:p w14:paraId="49F0634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экз. – к 15 августа 1941 года</w:t>
      </w:r>
    </w:p>
    <w:p w14:paraId="261EA84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экз. – к 15 сентября 1941 года</w:t>
      </w:r>
    </w:p>
    <w:p w14:paraId="012AE98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 Гудков, завод № 301 (4048, 4).</w:t>
      </w:r>
    </w:p>
    <w:p w14:paraId="664D1D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76373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вышло постановление КО N 418cc, о строительстве самолета типа "Аэрокобра" с мотором АМ-37 в исполнение которого вышел приказ НКАП N 623сс (418,74). 1-й экз. - к 15.08.1941, 2-й - к 15.09.1941 Конструктор М.И.Гудков на 301 заводе (822).</w:t>
      </w:r>
    </w:p>
    <w:p w14:paraId="7D4C118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A48D1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 вышло постановление Комитета Обороны (КО) № 418, в соответствии с которым велись работы по «удлиненному» АМ-37. В связи с невыполнением установленных сроков постановлением СНК и ЦК ВКП(б) «О постройке в 1941 г. мотора АМ-37у/в (мотор с удлинсненным валом с выносным редуктором) на заводе № 24» предлагалось:</w:t>
      </w:r>
    </w:p>
    <w:p w14:paraId="06884F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директора завода тов. Жезлова и главного конструктора тов. Микулина:</w:t>
      </w:r>
    </w:p>
    <w:p w14:paraId="366311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поставить ОКБ-1 два мотора АМ-37 с удлиненным валом с 25-ча</w:t>
      </w:r>
      <w:r w:rsidRPr="00A3026E">
        <w:rPr>
          <w:rFonts w:ascii="Times New Roman" w:hAnsi="Times New Roman"/>
          <w:color w:val="000000" w:themeColor="text1"/>
          <w:sz w:val="16"/>
          <w:szCs w:val="16"/>
        </w:rPr>
        <w:softHyphen/>
        <w:t>совым ресурсом к 1 ав</w:t>
      </w:r>
      <w:r w:rsidRPr="00A3026E">
        <w:rPr>
          <w:rFonts w:ascii="Times New Roman" w:hAnsi="Times New Roman"/>
          <w:color w:val="000000" w:themeColor="text1"/>
          <w:sz w:val="16"/>
          <w:szCs w:val="16"/>
        </w:rPr>
        <w:softHyphen/>
        <w:t>густа 1941 г.;</w:t>
      </w:r>
    </w:p>
    <w:p w14:paraId="11B0AD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закончить офици</w:t>
      </w:r>
      <w:r w:rsidRPr="00A3026E">
        <w:rPr>
          <w:rFonts w:ascii="Times New Roman" w:hAnsi="Times New Roman"/>
          <w:color w:val="000000" w:themeColor="text1"/>
          <w:sz w:val="16"/>
          <w:szCs w:val="16"/>
        </w:rPr>
        <w:softHyphen/>
        <w:t>альные 50-часовые ис</w:t>
      </w:r>
      <w:r w:rsidRPr="00A3026E">
        <w:rPr>
          <w:rFonts w:ascii="Times New Roman" w:hAnsi="Times New Roman"/>
          <w:color w:val="000000" w:themeColor="text1"/>
          <w:sz w:val="16"/>
          <w:szCs w:val="16"/>
        </w:rPr>
        <w:softHyphen/>
        <w:t>пытания мотора на станке к 1 сентября 1941 г.;</w:t>
      </w:r>
    </w:p>
    <w:p w14:paraId="41FE5C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закончить госу</w:t>
      </w:r>
      <w:r w:rsidRPr="00A3026E">
        <w:rPr>
          <w:rFonts w:ascii="Times New Roman" w:hAnsi="Times New Roman"/>
          <w:color w:val="000000" w:themeColor="text1"/>
          <w:sz w:val="16"/>
          <w:szCs w:val="16"/>
        </w:rPr>
        <w:softHyphen/>
        <w:t>дарственные испыта</w:t>
      </w:r>
      <w:r w:rsidRPr="00A3026E">
        <w:rPr>
          <w:rFonts w:ascii="Times New Roman" w:hAnsi="Times New Roman"/>
          <w:color w:val="000000" w:themeColor="text1"/>
          <w:sz w:val="16"/>
          <w:szCs w:val="16"/>
        </w:rPr>
        <w:softHyphen/>
        <w:t>ния к 1 ноября 1941 г.» (10781).</w:t>
      </w:r>
    </w:p>
    <w:p w14:paraId="563729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38F8EBF"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31 октября 1940 вышло Постановление Комитета обороны при СНК СССР № 418сс "О строительстве самолета типа "Аэрокобра" с мотором АМ-37 с длинным валом и выносным редуктором"</w:t>
      </w:r>
    </w:p>
    <w:p w14:paraId="15641021"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Комитет Обороны при СНК Союза ССР ПОCTAНОАЛЯЕТ:</w:t>
      </w:r>
    </w:p>
    <w:p w14:paraId="3ACB7431"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Народный Комиссариат Авиационной Промышленности, директора завода 301 тов. Эскина Ю.Б. и главного кон</w:t>
      </w:r>
      <w:r w:rsidRPr="00A3026E">
        <w:rPr>
          <w:rFonts w:ascii="Times New Roman" w:hAnsi="Times New Roman"/>
          <w:color w:val="0070C0"/>
          <w:sz w:val="16"/>
          <w:szCs w:val="16"/>
        </w:rPr>
        <w:softHyphen/>
        <w:t>структора тов. Гудкова М.И. построить самолет типа ’’Аэрокобра'' с мотором AМ-37 на трехколесном шасси в 2-х экземплярах и пред’явить на государственные испытания:</w:t>
      </w:r>
    </w:p>
    <w:p w14:paraId="2A354A1A"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1-й экземпляр - к 15 августа 1941 года</w:t>
      </w:r>
    </w:p>
    <w:p w14:paraId="59689A2A"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2-й экземпляр - к 15 сентября 1941 года, со следующими летно-тактическими данными:</w:t>
      </w:r>
    </w:p>
    <w:p w14:paraId="1CEF2B7B"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максимальная скорость на высоте 7000 мт</w:t>
      </w:r>
      <w:r w:rsidRPr="00A3026E">
        <w:rPr>
          <w:rFonts w:ascii="Times New Roman" w:hAnsi="Times New Roman"/>
          <w:color w:val="0070C0"/>
          <w:sz w:val="16"/>
          <w:szCs w:val="16"/>
        </w:rPr>
        <w:tab/>
        <w:t xml:space="preserve"> 700</w:t>
      </w:r>
      <w:r w:rsidRPr="00A3026E">
        <w:rPr>
          <w:rFonts w:ascii="Times New Roman" w:hAnsi="Times New Roman"/>
          <w:color w:val="0070C0"/>
          <w:sz w:val="16"/>
          <w:szCs w:val="16"/>
        </w:rPr>
        <w:tab/>
        <w:t>км/ч.</w:t>
      </w:r>
    </w:p>
    <w:p w14:paraId="1E63C894"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посадочная скорость</w:t>
      </w:r>
      <w:r w:rsidRPr="00A3026E">
        <w:rPr>
          <w:rFonts w:ascii="Times New Roman" w:hAnsi="Times New Roman"/>
          <w:color w:val="0070C0"/>
          <w:sz w:val="16"/>
          <w:szCs w:val="16"/>
        </w:rPr>
        <w:tab/>
        <w:t>135</w:t>
      </w:r>
      <w:r w:rsidRPr="00A3026E">
        <w:rPr>
          <w:rFonts w:ascii="Times New Roman" w:hAnsi="Times New Roman"/>
          <w:color w:val="0070C0"/>
          <w:sz w:val="16"/>
          <w:szCs w:val="16"/>
        </w:rPr>
        <w:tab/>
        <w:t>км/ч.</w:t>
      </w:r>
    </w:p>
    <w:p w14:paraId="7512A6C3"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время под'ема на высоту 8000 мт...10,0 минут,</w:t>
      </w:r>
    </w:p>
    <w:p w14:paraId="67946E3D"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потолок практический</w:t>
      </w:r>
      <w:r w:rsidRPr="00A3026E">
        <w:rPr>
          <w:rFonts w:ascii="Times New Roman" w:hAnsi="Times New Roman"/>
          <w:color w:val="0070C0"/>
          <w:sz w:val="16"/>
          <w:szCs w:val="16"/>
        </w:rPr>
        <w:tab/>
        <w:t>11.000</w:t>
      </w:r>
    </w:p>
    <w:p w14:paraId="44560D7A"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дальность на 0,9 максимальной скорости при нормальной нагрузке</w:t>
      </w:r>
      <w:r w:rsidRPr="00A3026E">
        <w:rPr>
          <w:rFonts w:ascii="Times New Roman" w:hAnsi="Times New Roman"/>
          <w:color w:val="0070C0"/>
          <w:sz w:val="16"/>
          <w:szCs w:val="16"/>
        </w:rPr>
        <w:tab/>
        <w:t xml:space="preserve"> 1.000 км</w:t>
      </w:r>
    </w:p>
    <w:p w14:paraId="344FC9B4"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подвесными баками</w:t>
      </w:r>
      <w:r w:rsidRPr="00A3026E">
        <w:rPr>
          <w:rFonts w:ascii="Times New Roman" w:hAnsi="Times New Roman"/>
          <w:color w:val="0070C0"/>
          <w:sz w:val="16"/>
          <w:szCs w:val="16"/>
        </w:rPr>
        <w:tab/>
        <w:t xml:space="preserve"> 1.400</w:t>
      </w:r>
    </w:p>
    <w:p w14:paraId="73F9C3B2"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Вооружение: 1 пушка калибра 23 мм с количеством снарядов 81 шт.,</w:t>
      </w:r>
    </w:p>
    <w:p w14:paraId="4FD5848A"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пулемета калибра 12,7 мм Березина с количеством патрон 440 шт.</w:t>
      </w:r>
    </w:p>
    <w:p w14:paraId="4D4A8C28"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пулемета калибра 7,62 мм Шкас с количеством патрон 1.300 шт.</w:t>
      </w:r>
    </w:p>
    <w:p w14:paraId="3FEFB532"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Обязать главного конструктора завода 24 тов. Микули</w:t>
      </w:r>
      <w:r w:rsidRPr="00A3026E">
        <w:rPr>
          <w:rFonts w:ascii="Times New Roman" w:hAnsi="Times New Roman"/>
          <w:color w:val="0070C0"/>
          <w:sz w:val="16"/>
          <w:szCs w:val="16"/>
        </w:rPr>
        <w:softHyphen/>
        <w:t>на А. А. изготовить моторАМ-37 с длинным валом и выносным ре</w:t>
      </w:r>
      <w:r w:rsidRPr="00A3026E">
        <w:rPr>
          <w:rFonts w:ascii="Times New Roman" w:hAnsi="Times New Roman"/>
          <w:color w:val="0070C0"/>
          <w:sz w:val="16"/>
          <w:szCs w:val="16"/>
        </w:rPr>
        <w:softHyphen/>
        <w:t>дуктором в количестве 4-х штук и сдать ОКБ завода № 301 в следующие сроки:</w:t>
      </w:r>
    </w:p>
    <w:p w14:paraId="6A0710C2"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1-й экземпляр - к 15 марта 1941 года,</w:t>
      </w:r>
    </w:p>
    <w:p w14:paraId="2C1ADB43"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2-й и 3-й экземпляры- к 1 мая 1941 года, 4-й экземпляр - к 15 июня 1941 года</w:t>
      </w:r>
    </w:p>
    <w:p w14:paraId="1D5A6BB0"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Обязать НКфинансов СССР выделить из резервного фoнда Совнаркома СССР заводу № 301 на постройку и испытание 2—х экземпляров самолета-5.000.000 рублей, из них 1.000.000 руб</w:t>
      </w:r>
      <w:r w:rsidRPr="00A3026E">
        <w:rPr>
          <w:rFonts w:ascii="Times New Roman" w:hAnsi="Times New Roman"/>
          <w:color w:val="0070C0"/>
          <w:sz w:val="16"/>
          <w:szCs w:val="16"/>
        </w:rPr>
        <w:softHyphen/>
        <w:t>лей в 1940 году.</w:t>
      </w:r>
    </w:p>
    <w:p w14:paraId="30E20A51"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В целях поощрения ИТР, рабочих и служащих завода № 301 за выполнение задания в срок, выделить в распоряжение Народного Комиссара Авиационной Промышленности премиальный фонд:</w:t>
      </w:r>
    </w:p>
    <w:p w14:paraId="6AB294EC"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 1-й экземпляр - 400.000 рублей, за 2-й экземпляр - 200.000 рублей (22069).</w:t>
      </w:r>
    </w:p>
    <w:p w14:paraId="60081738" w14:textId="77777777" w:rsidR="00722216" w:rsidRPr="00A3026E" w:rsidRDefault="00722216" w:rsidP="00A3026E">
      <w:pPr>
        <w:spacing w:after="0" w:line="240" w:lineRule="auto"/>
        <w:jc w:val="both"/>
        <w:rPr>
          <w:rFonts w:ascii="Times New Roman" w:hAnsi="Times New Roman"/>
          <w:color w:val="0070C0"/>
          <w:sz w:val="16"/>
          <w:szCs w:val="16"/>
        </w:rPr>
      </w:pPr>
    </w:p>
    <w:p w14:paraId="1D3FF1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w:t>
      </w:r>
      <w:r w:rsidRPr="00A3026E">
        <w:rPr>
          <w:rFonts w:ascii="Times New Roman" w:hAnsi="Times New Roman"/>
          <w:color w:val="000000" w:themeColor="text1"/>
          <w:sz w:val="16"/>
          <w:szCs w:val="16"/>
        </w:rPr>
        <w:softHyphen/>
        <w:t>бря 1940 г. было выдано задание на двигатель АМ-37УВ (или АМ-37у/в). Планировалось закончить госиспытания к 1 ноября 1941 г. Мотор предназначался для истребителя Гу-1, выполнявшегося по схеме, аналогичной Белл Р-39 «Аэрокобра». Фактически проектирование начали только в 1942 г. и вскоре за основу вместо АМ-37 взяли АМ-39. Всего изготовили три экземпляра. Доводку опытного АМ-41 закончили к лету 1943 г. Гу-1 в ходе летных испытаний потерпел катастрофу 14 июня того же года. Более работы по АМ-41 не велись, госиспытаний он не проходил.</w:t>
      </w:r>
    </w:p>
    <w:p w14:paraId="3924CC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Характеристики:</w:t>
      </w:r>
    </w:p>
    <w:p w14:paraId="53D5B4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12-цилиндровый рядный У-образный, четырехтактный, водяного охлаждения, с удлиненным валом и вынесенным редукторам, с двух-скоростным ПЦН и ттеркулером;</w:t>
      </w:r>
    </w:p>
    <w:p w14:paraId="488BB1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диаметр цилиндра/ход поршня 160/190 мм (в цштдрах с прицепными шатунами 196,8 мм);</w:t>
      </w:r>
    </w:p>
    <w:p w14:paraId="323307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объем 46,66 л;</w:t>
      </w:r>
    </w:p>
    <w:p w14:paraId="6ABD78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мощность 1400/1600 л.с.;</w:t>
      </w:r>
    </w:p>
    <w:p w14:paraId="01B9AE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«ее 980 кг;</w:t>
      </w:r>
    </w:p>
    <w:p w14:paraId="4B69FF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запуск сжатым воздухом;</w:t>
      </w:r>
    </w:p>
    <w:p w14:paraId="3C6E9A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возможна установка синхронизатора. Устанавливался только на опытном истребителе Гу-1 (11852).</w:t>
      </w:r>
    </w:p>
    <w:p w14:paraId="7A2E7E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4AE822A" w14:textId="77777777" w:rsidR="0076621F" w:rsidRPr="00A3026E" w:rsidRDefault="0076621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31 октября 1940 г. Постанов</w:t>
      </w:r>
      <w:r w:rsidRPr="00A3026E">
        <w:rPr>
          <w:color w:val="000000" w:themeColor="text1"/>
          <w:sz w:val="16"/>
          <w:szCs w:val="16"/>
        </w:rPr>
        <w:softHyphen/>
        <w:t>лением Комитета обороны директор завода № 301 Ю. Б. Эскин и М. И. Гудков обязывались построить самолет типа «Аэроко</w:t>
      </w:r>
      <w:r w:rsidRPr="00A3026E">
        <w:rPr>
          <w:color w:val="000000" w:themeColor="text1"/>
          <w:sz w:val="16"/>
          <w:szCs w:val="16"/>
        </w:rPr>
        <w:softHyphen/>
        <w:t>бра» с АМ-37 на трехколесном шасси (он же Гу-1) и предъявить на государственные испытания 1-й опытный экземпляр к 15 августа, а 2-й экземпляр — к 15 сентября следующего года. Одновременно главный конструктор завода № 24 А. А. Микулин должен был изготовить мотор АМ-37 с длинным ва</w:t>
      </w:r>
      <w:r w:rsidRPr="00A3026E">
        <w:rPr>
          <w:color w:val="000000" w:themeColor="text1"/>
          <w:sz w:val="16"/>
          <w:szCs w:val="16"/>
        </w:rPr>
        <w:softHyphen/>
        <w:t>лом и выносным редуктором в количестве четырех штук и сдать ОКБ завода № 301 в следующие сро</w:t>
      </w:r>
      <w:r w:rsidRPr="00A3026E">
        <w:rPr>
          <w:color w:val="000000" w:themeColor="text1"/>
          <w:sz w:val="16"/>
          <w:szCs w:val="16"/>
        </w:rPr>
        <w:softHyphen/>
        <w:t>ки: 1-й экземпляр — к 15 марта, 2-й и 3-й экземпля</w:t>
      </w:r>
      <w:r w:rsidRPr="00A3026E">
        <w:rPr>
          <w:color w:val="000000" w:themeColor="text1"/>
          <w:sz w:val="16"/>
          <w:szCs w:val="16"/>
        </w:rPr>
        <w:softHyphen/>
        <w:t>ры — к 1 мая, 4-й экземпляр — к 15 июня 1941 г. (17500).</w:t>
      </w:r>
    </w:p>
    <w:p w14:paraId="15C47D85"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p>
    <w:p w14:paraId="2E101F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 самолет ОКО-6бис Таирова совершил первый вылет. Все прошло нормально. К 14 января 41-го было совершено 45 полетов (9649).</w:t>
      </w:r>
    </w:p>
    <w:p w14:paraId="3B8B9C1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5F0D169" w14:textId="77777777" w:rsidR="00604900" w:rsidRPr="00A3026E" w:rsidRDefault="0060490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 совершил первый полёт ОКО-6бис. Все прошло нормально, и к 14 ян</w:t>
      </w:r>
      <w:r w:rsidRPr="00A3026E">
        <w:rPr>
          <w:rFonts w:ascii="Times New Roman" w:hAnsi="Times New Roman"/>
          <w:color w:val="000000" w:themeColor="text1"/>
          <w:sz w:val="16"/>
          <w:szCs w:val="16"/>
        </w:rPr>
        <w:softHyphen/>
        <w:t>варя совершили 45 полётов. На больших скоростях самолёт оказался устойчив по всем трём осям, устойчив на виражах, прост в управлении при посадке. Но на приборных скоростях ниже 300 км/ч про</w:t>
      </w:r>
      <w:r w:rsidRPr="00A3026E">
        <w:rPr>
          <w:rFonts w:ascii="Times New Roman" w:hAnsi="Times New Roman"/>
          <w:color w:val="000000" w:themeColor="text1"/>
          <w:sz w:val="16"/>
          <w:szCs w:val="16"/>
        </w:rPr>
        <w:softHyphen/>
        <w:t>дольная устойчивость оказалась недоста</w:t>
      </w:r>
      <w:r w:rsidRPr="00A3026E">
        <w:rPr>
          <w:rFonts w:ascii="Times New Roman" w:hAnsi="Times New Roman"/>
          <w:color w:val="000000" w:themeColor="text1"/>
          <w:sz w:val="16"/>
          <w:szCs w:val="16"/>
        </w:rPr>
        <w:softHyphen/>
        <w:t>точной, отмечались большие нагрузки на органы управления. В испытательных по</w:t>
      </w:r>
      <w:r w:rsidRPr="00A3026E">
        <w:rPr>
          <w:rFonts w:ascii="Times New Roman" w:hAnsi="Times New Roman"/>
          <w:color w:val="000000" w:themeColor="text1"/>
          <w:sz w:val="16"/>
          <w:szCs w:val="16"/>
        </w:rPr>
        <w:softHyphen/>
        <w:t>летах бафтинг не обнаружили, а при по</w:t>
      </w:r>
      <w:r w:rsidRPr="00A3026E">
        <w:rPr>
          <w:rFonts w:ascii="Times New Roman" w:hAnsi="Times New Roman"/>
          <w:color w:val="000000" w:themeColor="text1"/>
          <w:sz w:val="16"/>
          <w:szCs w:val="16"/>
        </w:rPr>
        <w:softHyphen/>
        <w:t>лете на флаттер на высоте 4000 м до при</w:t>
      </w:r>
      <w:r w:rsidRPr="00A3026E">
        <w:rPr>
          <w:rFonts w:ascii="Times New Roman" w:hAnsi="Times New Roman"/>
          <w:color w:val="000000" w:themeColor="text1"/>
          <w:sz w:val="16"/>
          <w:szCs w:val="16"/>
        </w:rPr>
        <w:softHyphen/>
        <w:t>борной скорости 565 км/ч вибраций не на</w:t>
      </w:r>
      <w:r w:rsidRPr="00A3026E">
        <w:rPr>
          <w:rFonts w:ascii="Times New Roman" w:hAnsi="Times New Roman"/>
          <w:color w:val="000000" w:themeColor="text1"/>
          <w:sz w:val="16"/>
          <w:szCs w:val="16"/>
        </w:rPr>
        <w:softHyphen/>
        <w:t>блюдалось. Максимальная скорость у зем</w:t>
      </w:r>
      <w:r w:rsidRPr="00A3026E">
        <w:rPr>
          <w:rFonts w:ascii="Times New Roman" w:hAnsi="Times New Roman"/>
          <w:color w:val="000000" w:themeColor="text1"/>
          <w:sz w:val="16"/>
          <w:szCs w:val="16"/>
        </w:rPr>
        <w:softHyphen/>
        <w:t>ли составила 470 км/ч, на высоте 7050 м — 595 км/ч, посадочная скорость — 135 км/ч. Самолёт мог летать на одном моторе (15828).</w:t>
      </w:r>
    </w:p>
    <w:p w14:paraId="329E90EC" w14:textId="77777777" w:rsidR="00604900" w:rsidRPr="00A3026E" w:rsidRDefault="00604900" w:rsidP="00A3026E">
      <w:pPr>
        <w:spacing w:after="0" w:line="240" w:lineRule="auto"/>
        <w:jc w:val="both"/>
        <w:rPr>
          <w:rFonts w:ascii="Times New Roman" w:hAnsi="Times New Roman"/>
          <w:color w:val="000000" w:themeColor="text1"/>
          <w:sz w:val="16"/>
          <w:szCs w:val="16"/>
        </w:rPr>
      </w:pPr>
    </w:p>
    <w:p w14:paraId="082A77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Утром 31 октября 1940 на моторах ОКО-6бис заменили нагнетатели. В этот же день после гонки моторов Емельянов поднял ОКО-ббис в воздух. Первый полет продолжительностью 27 мин прошел нормально. Скорость полета доводилась до 340-350 км/ч на высоте 2000-2500 м. По заявлению летчика самолет устойчив относительно всех трех осей, на виражах (неглубоких) самолет вел себя устойчиво, посадка проста - «сам садится».</w:t>
      </w:r>
    </w:p>
    <w:p w14:paraId="602D40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этому времени на первом экземпляре ОКО-6 с безредукторными моторами М-88б/р после его переделки и доводки было выполнено четыре полета по про</w:t>
      </w:r>
      <w:r w:rsidRPr="00A3026E">
        <w:rPr>
          <w:rFonts w:ascii="Times New Roman" w:hAnsi="Times New Roman"/>
          <w:color w:val="000000" w:themeColor="text1"/>
          <w:sz w:val="16"/>
          <w:szCs w:val="16"/>
        </w:rPr>
        <w:softHyphen/>
        <w:t>грамме второго этапа заводских испы</w:t>
      </w:r>
      <w:r w:rsidRPr="00A3026E">
        <w:rPr>
          <w:rFonts w:ascii="Times New Roman" w:hAnsi="Times New Roman"/>
          <w:color w:val="000000" w:themeColor="text1"/>
          <w:sz w:val="16"/>
          <w:szCs w:val="16"/>
        </w:rPr>
        <w:softHyphen/>
        <w:t>таний. Предполагалось более детально исследовать устойчивость самолета, подобрать реактивные патрубки наилучшей формы, снять поляру крыла.</w:t>
      </w:r>
    </w:p>
    <w:p w14:paraId="43075A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то, что погода была вполне благоприятной, к 14 ноября на ОКО-ббис удалось выполнить всего пять испытатель</w:t>
      </w:r>
      <w:r w:rsidRPr="00A3026E">
        <w:rPr>
          <w:rFonts w:ascii="Times New Roman" w:hAnsi="Times New Roman"/>
          <w:color w:val="000000" w:themeColor="text1"/>
          <w:sz w:val="16"/>
          <w:szCs w:val="16"/>
        </w:rPr>
        <w:softHyphen/>
        <w:t>ных полетов с суммарным налетом 3 ч.</w:t>
      </w:r>
    </w:p>
    <w:p w14:paraId="0C196D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Дело в том, что летчик-испытатель Емельянов одновременно был задейство</w:t>
      </w:r>
      <w:r w:rsidRPr="00A3026E">
        <w:rPr>
          <w:rFonts w:ascii="Times New Roman" w:hAnsi="Times New Roman"/>
          <w:color w:val="000000" w:themeColor="text1"/>
          <w:sz w:val="16"/>
          <w:szCs w:val="16"/>
        </w:rPr>
        <w:softHyphen/>
        <w:t>ван еще на двух опытных самолетах. В частности, в ноябре он летал на само</w:t>
      </w:r>
      <w:r w:rsidRPr="00A3026E">
        <w:rPr>
          <w:rFonts w:ascii="Times New Roman" w:hAnsi="Times New Roman"/>
          <w:color w:val="000000" w:themeColor="text1"/>
          <w:sz w:val="16"/>
          <w:szCs w:val="16"/>
        </w:rPr>
        <w:softHyphen/>
        <w:t>лете ББ-1 Сухого вместо выполнения программы заводских испытаний ОКО- ббис.</w:t>
      </w:r>
    </w:p>
    <w:p w14:paraId="4681BC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Ведущий инженер по самолету от НИИ ВВС военинженер 1-го ранга И.Г. Лазарев был вынужден обратиться непосред</w:t>
      </w:r>
      <w:r w:rsidRPr="00A3026E">
        <w:rPr>
          <w:rFonts w:ascii="Times New Roman" w:hAnsi="Times New Roman"/>
          <w:color w:val="000000" w:themeColor="text1"/>
          <w:sz w:val="16"/>
          <w:szCs w:val="16"/>
        </w:rPr>
        <w:softHyphen/>
        <w:t>ственно к начальнику 8-й лаборатории ЦАГИ А.В. Че салову с требованием возвратить Емелья</w:t>
      </w:r>
      <w:r w:rsidRPr="00A3026E">
        <w:rPr>
          <w:rFonts w:ascii="Times New Roman" w:hAnsi="Times New Roman"/>
          <w:color w:val="000000" w:themeColor="text1"/>
          <w:sz w:val="16"/>
          <w:szCs w:val="16"/>
        </w:rPr>
        <w:softHyphen/>
        <w:t>нова и сделать все возможное, чтобы не допустить срыва летных испытаний боевого самолета, в котором очень заинтересованы ВВС. После весьма «напряженной» беседы с Лазаревым, Чесалов обещал «переключить летчика Емельянова целиком на самолет ОКО-ббис». Как показали дальнейшие события, своего обещания Чесалов не выполнил. Емельянов продолжал при</w:t>
      </w:r>
      <w:r w:rsidRPr="00A3026E">
        <w:rPr>
          <w:rFonts w:ascii="Times New Roman" w:hAnsi="Times New Roman"/>
          <w:color w:val="000000" w:themeColor="text1"/>
          <w:sz w:val="16"/>
          <w:szCs w:val="16"/>
        </w:rPr>
        <w:softHyphen/>
        <w:t>влекаться к полетам на других самолетах в ущерб программе ОКО-ббис.</w:t>
      </w:r>
    </w:p>
    <w:p w14:paraId="7A2072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первых полетов ОКО-ббис исследовался на бафтинг и флаттер. Ни того, ни другого не обнаружили. При полете на флаттер скорость самолета при пикировании с высоты 5000 м до 4000 м доводилась до 575 км/ч по прибору. Опре</w:t>
      </w:r>
      <w:r w:rsidRPr="00A3026E">
        <w:rPr>
          <w:rFonts w:ascii="Times New Roman" w:hAnsi="Times New Roman"/>
          <w:color w:val="000000" w:themeColor="text1"/>
          <w:sz w:val="16"/>
          <w:szCs w:val="16"/>
        </w:rPr>
        <w:softHyphen/>
        <w:t>делили 1-ю границу высотности и сняли балансировочные кривые. На приборной скорости менее 300 км/ч продольная устойчивость оказалась недостаточной. Отмечались большие нагрузки на органы управления. Обнаружилась значительная разница в величине нагрузки на ручку управления (8-10 кг) между моторным и безмоторным полетом. При одном работающем моторе самолет допускал полет без снижения.</w:t>
      </w:r>
    </w:p>
    <w:p w14:paraId="49D513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25 ноября было выполнено еще два полета. Определялась максимальная скорость по высотам полета. Скорость у земли с учетом всех поправок получилась равной 470 км/ч.</w:t>
      </w:r>
    </w:p>
    <w:p w14:paraId="0E6A68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Произвели отстрел стрелково- пушечного вооружения в тире. Из каждой пушки и пулемета выпустили по одному боекомплекту. Обнаружились незначи</w:t>
      </w:r>
      <w:r w:rsidRPr="00A3026E">
        <w:rPr>
          <w:rFonts w:ascii="Times New Roman" w:hAnsi="Times New Roman"/>
          <w:color w:val="000000" w:themeColor="text1"/>
          <w:sz w:val="16"/>
          <w:szCs w:val="16"/>
        </w:rPr>
        <w:softHyphen/>
        <w:t>тельные огрехи монтажа оружия и системы управления огнем, но в целом вооружение работало нормально.</w:t>
      </w:r>
    </w:p>
    <w:p w14:paraId="23303F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самолет облетал летчик- испытатель Ю.К. Станкевич, который летал и на ОКО-6. По его мнению, «бис» был значительно более устойчив, чем его предшественник. Нагрузки на руль высоты выше, особенно при изменении режима полета. При перекладывании из одного виража в другой самолет на действие рулей реагировал медленно:</w:t>
      </w:r>
      <w:r w:rsidRPr="00A3026E">
        <w:rPr>
          <w:rStyle w:val="aff6"/>
          <w:rFonts w:ascii="Times New Roman" w:hAnsi="Times New Roman" w:cs="Times New Roman"/>
          <w:i w:val="0"/>
          <w:color w:val="000000" w:themeColor="text1"/>
        </w:rPr>
        <w:t xml:space="preserve"> «чувствуется также нагрузка</w:t>
      </w:r>
      <w:r w:rsidRPr="00A3026E">
        <w:rPr>
          <w:rFonts w:ascii="Times New Roman" w:hAnsi="Times New Roman"/>
          <w:color w:val="000000" w:themeColor="text1"/>
          <w:sz w:val="16"/>
          <w:szCs w:val="16"/>
        </w:rPr>
        <w:t>, а</w:t>
      </w:r>
      <w:r w:rsidRPr="00A3026E">
        <w:rPr>
          <w:rStyle w:val="aff6"/>
          <w:rFonts w:ascii="Times New Roman" w:hAnsi="Times New Roman" w:cs="Times New Roman"/>
          <w:i w:val="0"/>
          <w:color w:val="000000" w:themeColor="text1"/>
        </w:rPr>
        <w:t xml:space="preserve"> вместе с ней недостаточная </w:t>
      </w:r>
      <w:r w:rsidRPr="00A3026E">
        <w:rPr>
          <w:rStyle w:val="8MicrosoftSansSerif8pt"/>
          <w:rFonts w:ascii="Times New Roman" w:hAnsi="Times New Roman" w:cs="Times New Roman"/>
          <w:i w:val="0"/>
          <w:color w:val="000000" w:themeColor="text1"/>
          <w:lang w:val="ru-RU"/>
        </w:rPr>
        <w:t>для</w:t>
      </w:r>
      <w:r w:rsidRPr="00A3026E">
        <w:rPr>
          <w:rStyle w:val="81"/>
          <w:rFonts w:ascii="Times New Roman" w:hAnsi="Times New Roman" w:cs="Times New Roman"/>
          <w:color w:val="000000" w:themeColor="text1"/>
        </w:rPr>
        <w:t xml:space="preserve"> истребителя энергичность пере</w:t>
      </w:r>
      <w:r w:rsidRPr="00A3026E">
        <w:rPr>
          <w:rStyle w:val="81"/>
          <w:rFonts w:ascii="Times New Roman" w:hAnsi="Times New Roman" w:cs="Times New Roman"/>
          <w:color w:val="000000" w:themeColor="text1"/>
        </w:rPr>
        <w:softHyphen/>
        <w:t>кладывания».</w:t>
      </w:r>
    </w:p>
    <w:p w14:paraId="0D0D19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этот день повторно отстреляли в тире все вооружение. После устранения выявленных дефектов, пушки и пулеметы работали хорошо, отказов не было.</w:t>
      </w:r>
    </w:p>
    <w:p w14:paraId="4A9FF3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следует из сводки НИИ ВВС по опытным работам, для завершения заводских испытаний ОКО-ббис 2М-88р необходимо было 6-7 летных дней для исследования устойчивости самолета, его маневренности, испытаний вооружения в воздухе и пикирование.</w:t>
      </w:r>
    </w:p>
    <w:p w14:paraId="75603C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этому дню официально завершился второй этап заводских испытаний первого экземпляра ОКО-6 2М-88б/р. Вследствие недостаточной максимальной скорости и устойчивости было принято решение не предъявлять самолет на государственные испытания, а использовать машину в интересах испытаний второго экземпляра ОКО-ббис 2М-88р, в том числе, для отра</w:t>
      </w:r>
      <w:r w:rsidRPr="00A3026E">
        <w:rPr>
          <w:rFonts w:ascii="Times New Roman" w:hAnsi="Times New Roman"/>
          <w:color w:val="000000" w:themeColor="text1"/>
          <w:sz w:val="16"/>
          <w:szCs w:val="16"/>
        </w:rPr>
        <w:softHyphen/>
        <w:t xml:space="preserve">ботки реактивных выхлопных патрубков, бомбодержателей, ракетного оружия. Как следует из документов, после отработки </w:t>
      </w:r>
      <w:r w:rsidRPr="00A3026E">
        <w:rPr>
          <w:rFonts w:ascii="Times New Roman" w:hAnsi="Times New Roman"/>
          <w:color w:val="000000" w:themeColor="text1"/>
          <w:sz w:val="16"/>
          <w:szCs w:val="16"/>
        </w:rPr>
        <w:lastRenderedPageBreak/>
        <w:t>реактивных выхлопных патрубков само</w:t>
      </w:r>
      <w:r w:rsidRPr="00A3026E">
        <w:rPr>
          <w:rFonts w:ascii="Times New Roman" w:hAnsi="Times New Roman"/>
          <w:color w:val="000000" w:themeColor="text1"/>
          <w:sz w:val="16"/>
          <w:szCs w:val="16"/>
        </w:rPr>
        <w:softHyphen/>
        <w:t>лет планировалось</w:t>
      </w:r>
      <w:r w:rsidRPr="00A3026E">
        <w:rPr>
          <w:rStyle w:val="aff6"/>
          <w:rFonts w:ascii="Times New Roman" w:hAnsi="Times New Roman" w:cs="Times New Roman"/>
          <w:i w:val="0"/>
          <w:color w:val="000000" w:themeColor="text1"/>
        </w:rPr>
        <w:t xml:space="preserve"> «поставить в цех для модификации под новую винтомоторную группу - мотор М-90».</w:t>
      </w:r>
      <w:r w:rsidRPr="00A3026E">
        <w:rPr>
          <w:rFonts w:ascii="Times New Roman" w:hAnsi="Times New Roman"/>
          <w:color w:val="000000" w:themeColor="text1"/>
          <w:sz w:val="16"/>
          <w:szCs w:val="16"/>
        </w:rPr>
        <w:t xml:space="preserve"> Ожидалось, что после замены моторов (в масле обнаружена металлическая стружка) ОКО-6 будет готов к полетам 10 декабря.</w:t>
      </w:r>
    </w:p>
    <w:p w14:paraId="080963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 же время на ОКО-ббис усилили каркасы коков винтов, так как на них появи</w:t>
      </w:r>
      <w:r w:rsidRPr="00A3026E">
        <w:rPr>
          <w:rFonts w:ascii="Times New Roman" w:hAnsi="Times New Roman"/>
          <w:color w:val="000000" w:themeColor="text1"/>
          <w:sz w:val="16"/>
          <w:szCs w:val="16"/>
        </w:rPr>
        <w:softHyphen/>
        <w:t>лись трещины. На выхлопные патрубки установили специальные реактивные насадки. Рассчитывали получить прибавку в скорости полета. Одновременно смонтиро</w:t>
      </w:r>
      <w:r w:rsidRPr="00A3026E">
        <w:rPr>
          <w:rFonts w:ascii="Times New Roman" w:hAnsi="Times New Roman"/>
          <w:color w:val="000000" w:themeColor="text1"/>
          <w:sz w:val="16"/>
          <w:szCs w:val="16"/>
        </w:rPr>
        <w:softHyphen/>
        <w:t>вали бомбодержатель для подвески 500-кг бомбы и электропроводку управления сбросом бомб.</w:t>
      </w:r>
    </w:p>
    <w:p w14:paraId="6B290C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обработке результатов предыду</w:t>
      </w:r>
      <w:r w:rsidRPr="00A3026E">
        <w:rPr>
          <w:rFonts w:ascii="Times New Roman" w:hAnsi="Times New Roman"/>
          <w:color w:val="000000" w:themeColor="text1"/>
          <w:sz w:val="16"/>
          <w:szCs w:val="16"/>
        </w:rPr>
        <w:softHyphen/>
        <w:t>щих полетов обнаружился исключительно большой разброс точек скорости, не позволявший построить кривые скорости по высотам. Предположили, что причина заключается в негерметичности испы</w:t>
      </w:r>
      <w:r w:rsidRPr="00A3026E">
        <w:rPr>
          <w:rFonts w:ascii="Times New Roman" w:hAnsi="Times New Roman"/>
          <w:color w:val="000000" w:themeColor="text1"/>
          <w:sz w:val="16"/>
          <w:szCs w:val="16"/>
        </w:rPr>
        <w:softHyphen/>
        <w:t>тательной аппаратуры, которая привела к ошибкам тарировочной кривой. Для выяснения истинных причин требовалось повторить все полеты на определение максимальных скоростей по высотам полета. Ведущему инженеру по самолету В.М. Елагину пришлось докладывать наверх, что программа летных испытаний на 6 декабря отработана только на 30-35% (выполнены полеты на устойчивость, кило</w:t>
      </w:r>
      <w:r w:rsidRPr="00A3026E">
        <w:rPr>
          <w:rFonts w:ascii="Times New Roman" w:hAnsi="Times New Roman"/>
          <w:color w:val="000000" w:themeColor="text1"/>
          <w:sz w:val="16"/>
          <w:szCs w:val="16"/>
        </w:rPr>
        <w:softHyphen/>
        <w:t>метраж, на дальность, скорости по высотам не обработаны). Однако возможность уложиться в заданные сроки окончания заводских испытаний еще оставалась.</w:t>
      </w:r>
    </w:p>
    <w:p w14:paraId="20DA78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23 декабря были проведены дополни</w:t>
      </w:r>
      <w:r w:rsidRPr="00A3026E">
        <w:rPr>
          <w:rFonts w:ascii="Times New Roman" w:hAnsi="Times New Roman"/>
          <w:color w:val="000000" w:themeColor="text1"/>
          <w:sz w:val="16"/>
          <w:szCs w:val="16"/>
        </w:rPr>
        <w:softHyphen/>
        <w:t>тельные полеты на определение скорости по высотам, взлетно-посадочных свойств и повторно снята балансировочная кривая. Удалось установить, что причиной раз</w:t>
      </w:r>
      <w:r w:rsidRPr="00A3026E">
        <w:rPr>
          <w:rFonts w:ascii="Times New Roman" w:hAnsi="Times New Roman"/>
          <w:color w:val="000000" w:themeColor="text1"/>
          <w:sz w:val="16"/>
          <w:szCs w:val="16"/>
        </w:rPr>
        <w:softHyphen/>
        <w:t>броса точек максимальной скорости по высотам являлось различное положение юбок моторных капотов, которые само</w:t>
      </w:r>
      <w:r w:rsidRPr="00A3026E">
        <w:rPr>
          <w:rFonts w:ascii="Times New Roman" w:hAnsi="Times New Roman"/>
          <w:color w:val="000000" w:themeColor="text1"/>
          <w:sz w:val="16"/>
          <w:szCs w:val="16"/>
        </w:rPr>
        <w:softHyphen/>
        <w:t>произвольно смещались в полете при определении скоростей, а вовсе не неис</w:t>
      </w:r>
      <w:r w:rsidRPr="00A3026E">
        <w:rPr>
          <w:rFonts w:ascii="Times New Roman" w:hAnsi="Times New Roman"/>
          <w:color w:val="000000" w:themeColor="text1"/>
          <w:sz w:val="16"/>
          <w:szCs w:val="16"/>
        </w:rPr>
        <w:softHyphen/>
        <w:t>правность испытательной аппаратуры, как считалось ранее. Замеренные после устранения дефекта скорости полета и скороподъемности почти совпали с расчет</w:t>
      </w:r>
      <w:r w:rsidRPr="00A3026E">
        <w:rPr>
          <w:rFonts w:ascii="Times New Roman" w:hAnsi="Times New Roman"/>
          <w:color w:val="000000" w:themeColor="text1"/>
          <w:sz w:val="16"/>
          <w:szCs w:val="16"/>
        </w:rPr>
        <w:softHyphen/>
        <w:t>ными значениями.Балансировочная кривая имела такой же вид, что и полученная до этого. Посадочная скорость получилась равной 135 км/ч.</w:t>
      </w:r>
    </w:p>
    <w:p w14:paraId="784F23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был установлен дополни</w:t>
      </w:r>
      <w:r w:rsidRPr="00A3026E">
        <w:rPr>
          <w:rFonts w:ascii="Times New Roman" w:hAnsi="Times New Roman"/>
          <w:color w:val="000000" w:themeColor="text1"/>
          <w:sz w:val="16"/>
          <w:szCs w:val="16"/>
        </w:rPr>
        <w:softHyphen/>
        <w:t>тельный фюзеляжный бензобак емкостью 467 л, но в воздухе его так и не опробовали. Изменили схему управления пушечным огнем, после чего испытали (в третий раз) все вооружение стрельбой в тире и затем в воздухе. Стреляли по щитам на НИП АВ ВВС. Задержек и отказов не было.</w:t>
      </w:r>
    </w:p>
    <w:p w14:paraId="0F1FDE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ОКО-ббис к этому времени было выполнено 28 полетов с суммарным нале</w:t>
      </w:r>
      <w:r w:rsidRPr="00A3026E">
        <w:rPr>
          <w:rFonts w:ascii="Times New Roman" w:hAnsi="Times New Roman"/>
          <w:color w:val="000000" w:themeColor="text1"/>
          <w:sz w:val="16"/>
          <w:szCs w:val="16"/>
        </w:rPr>
        <w:softHyphen/>
        <w:t>том 16 ч, из них 11 полетов на определение взлетно-посадочных свойств самолета. За время полетов никаких крупных дефектов не наблюдалось. По программе испытаний оставались полеты: на маневренность, устойчивость с предельно задней цен</w:t>
      </w:r>
      <w:r w:rsidRPr="00A3026E">
        <w:rPr>
          <w:rFonts w:ascii="Times New Roman" w:hAnsi="Times New Roman"/>
          <w:color w:val="000000" w:themeColor="text1"/>
          <w:sz w:val="16"/>
          <w:szCs w:val="16"/>
        </w:rPr>
        <w:softHyphen/>
        <w:t>тровкой, на пикирование и на определение скоростей и скороподъемности до 9000 м. Всего требовалось выполнить 6-7 полетов. Как докладывал помощник ведущего инже</w:t>
      </w:r>
      <w:r w:rsidRPr="00A3026E">
        <w:rPr>
          <w:rFonts w:ascii="Times New Roman" w:hAnsi="Times New Roman"/>
          <w:color w:val="000000" w:themeColor="text1"/>
          <w:sz w:val="16"/>
          <w:szCs w:val="16"/>
        </w:rPr>
        <w:softHyphen/>
        <w:t>нера по самолету от НИИ ВВС военинженер 3-го ранга Николаев, «срок окончания заводских испытаний может быть обе</w:t>
      </w:r>
      <w:r w:rsidRPr="00A3026E">
        <w:rPr>
          <w:rFonts w:ascii="Times New Roman" w:hAnsi="Times New Roman"/>
          <w:color w:val="000000" w:themeColor="text1"/>
          <w:sz w:val="16"/>
          <w:szCs w:val="16"/>
        </w:rPr>
        <w:softHyphen/>
        <w:t>спечен при наличии летной погоды».</w:t>
      </w:r>
    </w:p>
    <w:p w14:paraId="54A3FE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следующей недели удалось выполнить шесть полетов. Определили скорости горизонтального полета и скороподъемность до высоты 9000 м. Сняли балансировочные кривые при предельно задней центровке самолета. Исследовали «бис» на штопор и виражи с открытым фонарем (для этого сняли колпак фонаря). Выполнили полет с подвесными бензобаками.</w:t>
      </w:r>
    </w:p>
    <w:p w14:paraId="32746D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полетах выяснилось, что самолет в штопор входит неохотно и выходит из него без задержки. Ввод в штоп'ор выполнялся на высоте 5000 м на скорости 170-180 км/ч. На виражах, «очевидно из-за отсутствия фонаря летчика, имелись потряхивания». Нагрузки на руль высоты по-прежнему были значительными. Полученные данные по расходам горючего позволяли сделать вывод, что дальность полета в 1200 км для самолета вполне реальная.</w:t>
      </w:r>
    </w:p>
    <w:p w14:paraId="37A32A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при выполнении полета на фигуры пилотажа - виражи, боевые развороты, перевороты, бочки и т.д., установили что при виражах на малой ско</w:t>
      </w:r>
      <w:r w:rsidRPr="00A3026E">
        <w:rPr>
          <w:rFonts w:ascii="Times New Roman" w:hAnsi="Times New Roman"/>
          <w:color w:val="000000" w:themeColor="text1"/>
          <w:sz w:val="16"/>
          <w:szCs w:val="16"/>
        </w:rPr>
        <w:softHyphen/>
        <w:t>рости наблюдаются значительные нагрузки на элероны. В конце полета на фигуры обрезало мотор. Летчик благополучно произвел вынужденную посадку на аэро</w:t>
      </w:r>
      <w:r w:rsidRPr="00A3026E">
        <w:rPr>
          <w:rFonts w:ascii="Times New Roman" w:hAnsi="Times New Roman"/>
          <w:color w:val="000000" w:themeColor="text1"/>
          <w:sz w:val="16"/>
          <w:szCs w:val="16"/>
        </w:rPr>
        <w:softHyphen/>
        <w:t>дром Быково. Как оказалось, Емельянов забыл переключиться на фюзеляжный бензобак. В результате бензин перестал поступать в карбюратор. Перелететь на аэродром Раменское удалось только 6 января следующего года. До завершения программы оставалось выполнить еще только два полета - на пикирование и отстрел вооружения.</w:t>
      </w:r>
    </w:p>
    <w:p w14:paraId="09B3A2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января 1941 г. программа полетов была полностью выполнена и заводские испытания официально завершили. К этому времени самолет налетал около 30 ч (всего 38 полетов). Помимо А.И. Емельянова и Ю.К. Станкевича, самолет облетали А.Б. Юмашев и Н.В. Гаврилов.</w:t>
      </w:r>
    </w:p>
    <w:p w14:paraId="4B5D2E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полета соста</w:t>
      </w:r>
      <w:r w:rsidRPr="00A3026E">
        <w:rPr>
          <w:rFonts w:ascii="Times New Roman" w:hAnsi="Times New Roman"/>
          <w:color w:val="000000" w:themeColor="text1"/>
          <w:sz w:val="16"/>
          <w:szCs w:val="16"/>
        </w:rPr>
        <w:softHyphen/>
        <w:t>вила 595 км/ч - на 2-й границе высотности 7200 м, 575 км/ч - на 1 -й границе высотно</w:t>
      </w:r>
      <w:r w:rsidRPr="00A3026E">
        <w:rPr>
          <w:rFonts w:ascii="Times New Roman" w:hAnsi="Times New Roman"/>
          <w:color w:val="000000" w:themeColor="text1"/>
          <w:sz w:val="16"/>
          <w:szCs w:val="16"/>
        </w:rPr>
        <w:softHyphen/>
        <w:t>сти 5000 м, и 470 км/ч - у земли. Посадочная скорость - 144 км/ч. Время подъема на высоту 5000 м - 6,3 мин. Практический потолок - 10000 м. Дальность на высоте 1000 м на скорости 0,9 максимальной скорости - 1200 км. Разбег с бетона с выпущенными на 23° щитками - 324 м. Про</w:t>
      </w:r>
      <w:r w:rsidRPr="00A3026E">
        <w:rPr>
          <w:rFonts w:ascii="Times New Roman" w:hAnsi="Times New Roman"/>
          <w:color w:val="000000" w:themeColor="text1"/>
          <w:sz w:val="16"/>
          <w:szCs w:val="16"/>
        </w:rPr>
        <w:softHyphen/>
        <w:t>бег по бетону с использованием тормозов и с отклоненными на 45° щитками - 406 м.</w:t>
      </w:r>
    </w:p>
    <w:p w14:paraId="50C749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самолета составлял около 5 т.</w:t>
      </w:r>
    </w:p>
    <w:p w14:paraId="086125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качестве основных недостатков самолета отмечались следующие. Большие нагрузки на рули высоты и элероны. Тугое управление триммерами рулей высоты и направления, а также юбками капота мотора на высоте 8000-9000 м. Отсасывание в полете щитков. Самопро</w:t>
      </w:r>
      <w:r w:rsidRPr="00A3026E">
        <w:rPr>
          <w:rFonts w:ascii="Times New Roman" w:hAnsi="Times New Roman"/>
          <w:color w:val="000000" w:themeColor="text1"/>
          <w:sz w:val="16"/>
          <w:szCs w:val="16"/>
        </w:rPr>
        <w:softHyphen/>
        <w:t>извольное перемещение в полете секторов газа, высотного корректора и управления винтами, которые плохо фиксировались. Неудовлетворительная работа автоматов высотных корректоров. При стрельбе из пушек и пулеметов пороховые газы проникали в кабину летчика. Кроме того, отстрелянные гильзы пулеметов попадали по винтам. К концу испытаний в выхлоп</w:t>
      </w:r>
      <w:r w:rsidRPr="00A3026E">
        <w:rPr>
          <w:rFonts w:ascii="Times New Roman" w:hAnsi="Times New Roman"/>
          <w:color w:val="000000" w:themeColor="text1"/>
          <w:sz w:val="16"/>
          <w:szCs w:val="16"/>
        </w:rPr>
        <w:softHyphen/>
        <w:t>ных коллекторах моторов образовались трещины (12614).</w:t>
      </w:r>
    </w:p>
    <w:p w14:paraId="11F4ABD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5C2A91C"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31 октября 1940 г.</w:t>
      </w:r>
    </w:p>
    <w:p w14:paraId="77DE96B2"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ИЗ ПИСЬМА СЕКРЕТАРЯ НОВОСИБИРСКОГО ОБКОМА ВКП(б) Г.Н. ПУГОВКИНА В ЦК ВКП(б) И.В. СТАЛИНУ «О РАБОТЕ АВИАЗАВОДА № 153 ИМЕНИ ЧКАЛОВА В г. НОВОСИБИРСКЕ»</w:t>
      </w:r>
    </w:p>
    <w:p w14:paraId="314830B6"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Москва, Кремль</w:t>
      </w:r>
      <w:r w:rsidRPr="00A3026E">
        <w:rPr>
          <w:rFonts w:ascii="Times New Roman" w:hAnsi="Times New Roman"/>
          <w:color w:val="0070C0"/>
          <w:sz w:val="16"/>
          <w:szCs w:val="16"/>
        </w:rPr>
        <w:tab/>
        <w:t>31 октября 1940 г.</w:t>
      </w:r>
    </w:p>
    <w:p w14:paraId="39818E4F"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тов. Сталину И.В.</w:t>
      </w:r>
    </w:p>
    <w:p w14:paraId="3A3D3E86"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Авиазавод № 153 имени Чкалова в городе Новосибирске строится с 1934 года и рассчитан на выпуск 1 500 штук в год самолетов-истребителей и 1 200 штук бомбардировщиков. В строительство завода вложено 160 млн. рублей. В настоящее время находятся в эксплуатации здания и сооружения  корпуса истребительной авиации площадью 35 тыс. кв. метров.</w:t>
      </w:r>
    </w:p>
    <w:p w14:paraId="5A945BA4"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1940 году по заданию правительства действующей частью завода должно быть выпущено 525 самолетов-истребителей типа И-16, из которых часть идет на вооружение РККА, а часть — комбинату «600». К 1 ноября 1940 года это задание завод выполнил на 79 процентов], выпустив 415 самолетов. Для выполнения программы 1940 года и подготовки к выполнению увеличенной программы по производству самолетов-истребителей в 1941 году необходимо, чтобы Наркомат авиапромышленности заводу выделил и отгрузил оборудование для инструментального цеха, электропровод, 1 500 баллонов кислорода, удовлетворив просьбу директора завода об увеличении автотранспорта, обеспечив завод колесами, шасси, приборами и другими деталями.</w:t>
      </w:r>
    </w:p>
    <w:p w14:paraId="088C8EEE"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истребительной авиации завод должен в 1941 году освоить проектную мощность, т.е. выпускать 1 500 истребителей в год. Корпуса завода для производства истребителей на полную мощность построены, введены в эксплуатацию, но не дооборудованы станками, электропроводами, термической печью и санитарно-техническими приспособлениями. Отсутствие оборудования и материалов, необходимых для нормальной организации производства, лишает возможности пустить в эксплуатацию цеха, вспомогательные сооружения и культурно-бытовые учреждения завода, в строительство которых вложено более 40 млн. рублей. На заводе построены  здания, имеющие высокую техническую готовность: кузница на 93 проц[ента], ремонтно-инструментальный корпус на 76 процентов], центральная  котельная на 90 процентов], компрессорная на 90 процентов] и целый ряд других объектов, которые не могут быть сданы в эксплуатацию вследствие необеспеченности фондами оборудования и технических материалов, стоимостью всего около 250 тыс. рублей. Так, например, в случае выделения заводу легкокабельной продукции на 50 тыс. рублей может быть сдано в эксплуатацию зданий и сооружений на 15 млн. рублей.</w:t>
      </w:r>
    </w:p>
    <w:p w14:paraId="1353E69A"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корпусу бомбардировочной авиации размером 65 тыс. кв. метров готова в строительной части первая очередь в 29 тыс. кв. метров. Для завершения этого корпуса необходимы фонды: электропровода-шнура 125 километров, оконно-рамного железа 218 тонн, стекла 24 тыс. кв. метров, металлоконструкций 900 тонн, калориферов 1 200 штук — и увеличение автотранспорта. Наличие в Новосибирской области строительных материалов: леса, кирпича, цемента, металла и других — позволяет закончить строительство корпуса бомбардировочной авиации в первой половине 1941 года. Между тем Наркомат авиапромышленности не включил в титульные списки 1941 года ряд крайне важных объектов (технологические лаборатории, ремонтно-механический цех, жилой фонд на 50 тыс. кв. метров, ангар), без которых невозможна нормальная работа завода.</w:t>
      </w:r>
    </w:p>
    <w:p w14:paraId="14C266E2"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заводе нет ясности в отношении типа машины — бомбардировщика. Корпуса зданий строятся для производства цельнометаллических машин типа скоростных или пикирующих бомбардировщиков. Наркомат авиапромышленности до сих пор не разрешил этого вопроса.</w:t>
      </w:r>
    </w:p>
    <w:p w14:paraId="00F1A3C7"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существующем положении на заводе, имеющем 7 500 человек рабочих и служащих, насчитывается всего 7 человек инженеров, окончивших авиационные институты, что явно ненормально. На завод необходимо командировать инженерно-технических работников: 40—50 человек для корпуса истребительной авиации и 100-120 человек для корпуса бомбардировочной авиации.</w:t>
      </w:r>
    </w:p>
    <w:p w14:paraId="5124BB32"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Обком ВКП(б) в 1940 году неоднократно обращался в Наркомат авиапромышленности и в ЦК ВКП(б) по указанным вопросам. Несмотря на указания ЦК ВКП(б), Наркомат авиапромышленности до сих пор не разрешил неотложных производственных вопросов завода № 153. Из ответственных работников Наркомата авиапромышленности с 1934 года на заводе № 153 никто не был.</w:t>
      </w:r>
    </w:p>
    <w:p w14:paraId="092E45F5"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Новосибирский обком ВКП(б) просит Вас, Иосиф Виссарионович, обязать Наркомат авиапромышленности оказать необходимую помощь заводу № 153 в организации нормальной работы по выпуску самолетов - истребителей и самолетов-бомбардировщиков.</w:t>
      </w:r>
    </w:p>
    <w:p w14:paraId="4F3E904F"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Секретарь Новосибирского обкома ВКП(б)</w:t>
      </w:r>
      <w:r w:rsidRPr="00A3026E">
        <w:rPr>
          <w:rFonts w:ascii="Times New Roman" w:hAnsi="Times New Roman"/>
          <w:color w:val="0070C0"/>
          <w:sz w:val="16"/>
          <w:szCs w:val="16"/>
        </w:rPr>
        <w:tab/>
        <w:t>Г. Пуговкин</w:t>
      </w:r>
    </w:p>
    <w:p w14:paraId="2E330B67"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ГАНО. Ф. П—4. Оп. 34. Д. 89. Л. 125-128. Подлинник.</w:t>
      </w:r>
    </w:p>
    <w:p w14:paraId="77494D0D"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Подпись-факсимиле Г.Н. Пуговкина. Документ — один из 3 экз. машинописной закладки, </w:t>
      </w:r>
    </w:p>
    <w:p w14:paraId="521DD55F" w14:textId="77777777" w:rsidR="00722216" w:rsidRPr="00A3026E" w:rsidRDefault="007222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первый экземпляр — в ЦК ВКП(б) отправлен 1 ноября 1940 г., остальные — в дело (20570).</w:t>
      </w:r>
    </w:p>
    <w:p w14:paraId="5D8F7BD8" w14:textId="77777777" w:rsidR="00722216" w:rsidRPr="00A3026E" w:rsidRDefault="00722216" w:rsidP="00A3026E">
      <w:pPr>
        <w:spacing w:after="0" w:line="240" w:lineRule="auto"/>
        <w:jc w:val="both"/>
        <w:rPr>
          <w:rFonts w:ascii="Times New Roman" w:hAnsi="Times New Roman"/>
          <w:color w:val="0070C0"/>
          <w:sz w:val="16"/>
          <w:szCs w:val="16"/>
        </w:rPr>
      </w:pPr>
    </w:p>
    <w:p w14:paraId="7270A2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31 октября 1940 А.И.Ш. писал К.Е.В. письмо N 1516 о том, что гос. испытания мотора М-40, проходившие с 31 августа по 9 сентября 1940 были прекращены из-за задира одного поршня на 90 часу режимной работы и 124 часу общей работы за время гос. испытаний.</w:t>
      </w:r>
    </w:p>
    <w:p w14:paraId="66257A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Этот же мотор после устранения дефектов удовлетворительно прошел 30 октября дополнительные 100 часовые испытания, причем все детали мотора после разборки оказались в хорошем состоянии.</w:t>
      </w:r>
    </w:p>
    <w:p w14:paraId="46E464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большую надежность работы мотора М-40 (2 мотора наработали более 250 час. каждый) считаю необходимым просить Вас дать указания Гос. комиссии оформить последние 100 часовые испытания как государственные с тем, чтобы оставшиеся в ЦИАМе два мотора использовать для проведения летных испытаний на самолете (1296,203).</w:t>
      </w:r>
    </w:p>
    <w:p w14:paraId="42E9FFA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60062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года на Ногинском полигоне был испытан ряд объектов вооружения.</w:t>
      </w:r>
    </w:p>
    <w:p w14:paraId="77CD16D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полигон была доставлена 23 мм пушка Таубина с расчетным темпом стрельбы 600 выстрелов в минуту. Пушка предназначена для установки на самолете Мессершмидт с целью проведения полигонных испытаний на земле и в воздухе.</w:t>
      </w:r>
    </w:p>
    <w:p w14:paraId="11F1F9C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07AE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года начальник управления делами при наркоме обороны генерал-майор Дратвин писал письмо № 17729сс наачльнику Генерального штаба, начальнику ГУ ВВС</w:t>
      </w:r>
    </w:p>
    <w:p w14:paraId="40CF2C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СНК и ЦК ВКП(б) (№ 2068-875сс от 18 октября 1940 года) &lt;постановлением&gt; "Об организации производства боевых самолетов и авиамоторов в Белоруссии" постановил:</w:t>
      </w:r>
    </w:p>
    <w:p w14:paraId="66DC493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НКАП организовать в Белоруссии производство и выпуск боевых самолетов и авиамоторов, а именно:</w:t>
      </w:r>
    </w:p>
    <w:p w14:paraId="2BF0FC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Могилеве – организовать производство моторов типа АМ-35а и АМ-37 на мощность в 3000 штук в год с вводом в действие к 1 июля 1942 года;</w:t>
      </w:r>
    </w:p>
    <w:p w14:paraId="5709EB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Минске - организовать производство двухмоторных самолетов на мощность в 800 штук в год с вводом в действие к 1 апреля 1942 года.</w:t>
      </w:r>
    </w:p>
    <w:p w14:paraId="328D4C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71ABF92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организации производства боевых самолетов и авиамоторов в Белоруссии, в соответствии с п. 1 настоящего постановления, передать НКАП следующие предприятия:</w:t>
      </w:r>
    </w:p>
    <w:p w14:paraId="6D82F4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им. Димитрова Наркомместпрома БССР</w:t>
      </w:r>
    </w:p>
    <w:p w14:paraId="53E646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законсервированное строительство дома печати Совнаркома БССР</w:t>
      </w:r>
    </w:p>
    <w:p w14:paraId="443B6D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законсервированное строительство гаража Совнаркома БССР</w:t>
      </w:r>
    </w:p>
    <w:p w14:paraId="36F12A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Разрешить НКАП организовать на Могилевском Авиаремонтном заводе производство авиамоторов АМ-35А и АМ-37 вместо предусмотренных постановлением КО № 335сс бензопомп и синхронизаторов.</w:t>
      </w:r>
    </w:p>
    <w:p w14:paraId="5CF055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Минске для производства двухмоторных самолетов:</w:t>
      </w:r>
    </w:p>
    <w:p w14:paraId="0B1238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галолитовый цех (недостроенный) фабрики им. Фрунзе Наркомместпрома БССР</w:t>
      </w:r>
    </w:p>
    <w:p w14:paraId="5512B6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гараж Минского Пищеторга Наркомторга БССР</w:t>
      </w:r>
    </w:p>
    <w:p w14:paraId="49E3BF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аэродром Осоавиахима (со службами и жилыми домами) на Антоновском поле.</w:t>
      </w:r>
    </w:p>
    <w:p w14:paraId="413E30A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наркома авиапромышленности Шахурина А.И., директоров Могилевского авиамоторного завода и Минского самолетостроительного завода, развернуть немедленно подготовку производства самолетов и моторов на указанных заводах и обеспечить в 1942 году выполнение программы по этим заводам в нижеследующих количествах:</w:t>
      </w:r>
    </w:p>
    <w:p w14:paraId="09DE90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Могилевским моторостроительным заводам – моторов АМ-35А – 750 штук</w:t>
      </w:r>
    </w:p>
    <w:p w14:paraId="3A6114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Минским самолетостроительным заводом – двухмоторных бомбардировщиков 150 штук</w:t>
      </w:r>
    </w:p>
    <w:p w14:paraId="395433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………………………………..(7628, 20-24).</w:t>
      </w:r>
    </w:p>
    <w:p w14:paraId="6E52108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D5226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на полигоне был замерен темп стрельбы пушки на самолете. Он оказался по 23 выстрелам равным – 627 выстрелов в минуту. 1 ноября темп снова поверялся т оказался равным в пределах 609-616 выстрелов.</w:t>
      </w:r>
    </w:p>
    <w:p w14:paraId="339DB8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ближайших 2-3 дней пушка будет окончательно отлажена на самолете, после чего начнутся систематические полигонные испытания.</w:t>
      </w:r>
    </w:p>
    <w:p w14:paraId="44BED8F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полигоне находились на испытаниях осветительные бомбы САБ-15 и САБ-25 с новым снаряжением, предложенным ОТБ НКВД. Корпуса этих бомб штатные, а снаряжение их, предложенное ОТБ НКВД, предусматривает повышение светосилы этих бомб и замену дефицитных компонентов снаряжения.</w:t>
      </w:r>
    </w:p>
    <w:p w14:paraId="68953A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испытаниях особо себя показали два варианта осветительных бомб:</w:t>
      </w:r>
    </w:p>
    <w:p w14:paraId="3FF1BC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САБ-15 со светосилой около 600 тысяч свечей, с временем горения 3 минуты 15 секунд (у штатной светосила 400 тысяч свечей, при том же времени горения);</w:t>
      </w:r>
    </w:p>
    <w:p w14:paraId="37D1CF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САБ-25 со светосилой 1 миллион свечей, с временем горения 2 мин. 40 секунд (у штатной – светосила 600 тысяч свечей при времени горения 3 мин. 20 секунд).</w:t>
      </w:r>
    </w:p>
    <w:p w14:paraId="071559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промежуток времени 19-22 часа были сброшены с самолета ДБ-3 20 бомб с высоты 1500 метров. Бомбы начали действовать с высоты 800 метров. Попутно второй самолет (СБ) в течение одного вылета производил бомбометание с 2000 метров – всего сбросил 5 бомб.</w:t>
      </w:r>
    </w:p>
    <w:p w14:paraId="591388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Наблюдая освещаемость местности с земли, на расстоянии одного километра от центра сбрасывания бомб: при САБ-15 – просматривалась опушка леса на расстоянии до 2 км.</w:t>
      </w:r>
    </w:p>
    <w:p w14:paraId="5D7500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САБ-25 (1 миллион свечей) – хорошо просматривалась опушка леса, вышки на полигоне на расстоянии до 2 км, насыпи у воронок от бомб на расстоянии до 1 км. Свободно можно было читать газету и карандашные записи в записной книжке.</w:t>
      </w:r>
    </w:p>
    <w:p w14:paraId="6CA63B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отзывам штурманов освещаемость местности обоих бомб, со снаряжением ОТБ НКВД лучше, чем при штатных бомбах (7713, 202-205).</w:t>
      </w:r>
    </w:p>
    <w:p w14:paraId="405748E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F9475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 на имя бри</w:t>
      </w:r>
      <w:r w:rsidRPr="00A3026E">
        <w:rPr>
          <w:rFonts w:ascii="Times New Roman" w:hAnsi="Times New Roman"/>
          <w:color w:val="000000" w:themeColor="text1"/>
          <w:sz w:val="16"/>
          <w:szCs w:val="16"/>
        </w:rPr>
        <w:softHyphen/>
        <w:t>гадного инженера И.Ф.Сакриера поступило письмо от заместителя ди</w:t>
      </w:r>
      <w:r w:rsidRPr="00A3026E">
        <w:rPr>
          <w:rFonts w:ascii="Times New Roman" w:hAnsi="Times New Roman"/>
          <w:color w:val="000000" w:themeColor="text1"/>
          <w:sz w:val="16"/>
          <w:szCs w:val="16"/>
        </w:rPr>
        <w:softHyphen/>
        <w:t>ректора НИИ-3 НКБ военинженера 1 ранта А.Г.Костикова. "В течение 1939-1940 гг. на НИПАВ ВВС проводились всесторонние баллистические испытания ракетных снарядов. Материал по ним послужил основанием для составления баллистических таблиц стрельбы и представляетбольшую ценность для дальнейших исследований РС в НИИ-3. Прошу Вашего указания начальнику НИПАВ о высылке в НИИ-3 одного экземпляра отчета или его копии» (11402).</w:t>
      </w:r>
    </w:p>
    <w:p w14:paraId="2D60F0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AFB44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 на имя начальника 3-го от дел а 4-го ГУ Н К Б посту</w:t>
      </w:r>
      <w:r w:rsidRPr="00A3026E">
        <w:rPr>
          <w:rFonts w:ascii="Times New Roman" w:hAnsi="Times New Roman"/>
          <w:color w:val="000000" w:themeColor="text1"/>
          <w:sz w:val="16"/>
          <w:szCs w:val="16"/>
        </w:rPr>
        <w:softHyphen/>
        <w:t>пило письмо от директора НИИ-3 НКБ Б.М.Слонимера. «Ввиду того, АНИМИ ВМФ и АУ ВМФ продолжительное время затягивают утверждение ТТТ на РОСС-165 (для подразделений береговой обороны) прошу приостановить дальнейшее выполнение работ на 1940 г. по "КТУ 148, исключив из плана изготовление опытной партии снарядов» (11402).</w:t>
      </w:r>
    </w:p>
    <w:p w14:paraId="147DB6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вариантов расчета РОФС-165 Таблица 3.4.</w:t>
      </w:r>
    </w:p>
    <w:tbl>
      <w:tblPr>
        <w:tblW w:w="0" w:type="auto"/>
        <w:tblInd w:w="40" w:type="dxa"/>
        <w:tblLayout w:type="fixed"/>
        <w:tblCellMar>
          <w:left w:w="40" w:type="dxa"/>
          <w:right w:w="40" w:type="dxa"/>
        </w:tblCellMar>
        <w:tblLook w:val="0000" w:firstRow="0" w:lastRow="0" w:firstColumn="0" w:lastColumn="0" w:noHBand="0" w:noVBand="0"/>
      </w:tblPr>
      <w:tblGrid>
        <w:gridCol w:w="3182"/>
        <w:gridCol w:w="922"/>
        <w:gridCol w:w="929"/>
        <w:gridCol w:w="878"/>
      </w:tblGrid>
      <w:tr w:rsidR="00983732" w:rsidRPr="00A3026E" w14:paraId="7F0E3F4F" w14:textId="77777777" w:rsidTr="00EA0DA7">
        <w:trPr>
          <w:trHeight w:val="230"/>
        </w:trPr>
        <w:tc>
          <w:tcPr>
            <w:tcW w:w="3182" w:type="dxa"/>
            <w:tcBorders>
              <w:top w:val="single" w:sz="6" w:space="0" w:color="auto"/>
              <w:left w:val="single" w:sz="6" w:space="0" w:color="auto"/>
              <w:bottom w:val="nil"/>
              <w:right w:val="single" w:sz="6" w:space="0" w:color="auto"/>
            </w:tcBorders>
          </w:tcPr>
          <w:p w14:paraId="35E0C4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параметры</w:t>
            </w:r>
          </w:p>
          <w:p w14:paraId="0ADC40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729" w:type="dxa"/>
            <w:gridSpan w:val="3"/>
            <w:tcBorders>
              <w:top w:val="single" w:sz="6" w:space="0" w:color="auto"/>
              <w:left w:val="single" w:sz="6" w:space="0" w:color="auto"/>
              <w:bottom w:val="single" w:sz="6" w:space="0" w:color="auto"/>
              <w:right w:val="single" w:sz="6" w:space="0" w:color="auto"/>
            </w:tcBorders>
          </w:tcPr>
          <w:p w14:paraId="3EB26C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Приоритеты конструкции</w:t>
            </w:r>
          </w:p>
          <w:p w14:paraId="5E0BA0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4FBE97E" w14:textId="77777777" w:rsidTr="00EA0DA7">
        <w:trPr>
          <w:trHeight w:val="223"/>
        </w:trPr>
        <w:tc>
          <w:tcPr>
            <w:tcW w:w="3182" w:type="dxa"/>
            <w:tcBorders>
              <w:top w:val="nil"/>
              <w:left w:val="single" w:sz="6" w:space="0" w:color="auto"/>
              <w:bottom w:val="single" w:sz="6" w:space="0" w:color="auto"/>
              <w:right w:val="single" w:sz="6" w:space="0" w:color="auto"/>
            </w:tcBorders>
          </w:tcPr>
          <w:p w14:paraId="609FB80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A63C7F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0FB76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фугасность</w:t>
            </w:r>
          </w:p>
          <w:p w14:paraId="1A0653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9" w:type="dxa"/>
            <w:tcBorders>
              <w:top w:val="single" w:sz="6" w:space="0" w:color="auto"/>
              <w:left w:val="single" w:sz="6" w:space="0" w:color="auto"/>
              <w:bottom w:val="single" w:sz="6" w:space="0" w:color="auto"/>
              <w:right w:val="single" w:sz="6" w:space="0" w:color="auto"/>
            </w:tcBorders>
          </w:tcPr>
          <w:p w14:paraId="7FCA9D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среднее</w:t>
            </w:r>
          </w:p>
          <w:p w14:paraId="1B07D9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1740A1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w:t>
            </w:r>
          </w:p>
          <w:p w14:paraId="258D33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671877C" w14:textId="77777777" w:rsidTr="00EA0DA7">
        <w:trPr>
          <w:trHeight w:val="223"/>
        </w:trPr>
        <w:tc>
          <w:tcPr>
            <w:tcW w:w="3182" w:type="dxa"/>
            <w:tcBorders>
              <w:top w:val="single" w:sz="6" w:space="0" w:color="auto"/>
              <w:left w:val="single" w:sz="6" w:space="0" w:color="auto"/>
              <w:bottom w:val="single" w:sz="6" w:space="0" w:color="auto"/>
              <w:right w:val="single" w:sz="6" w:space="0" w:color="auto"/>
            </w:tcBorders>
          </w:tcPr>
          <w:p w14:paraId="3F3966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Масса БЧ, кг</w:t>
            </w:r>
          </w:p>
          <w:p w14:paraId="18198E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7862A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p w14:paraId="6121E6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9" w:type="dxa"/>
            <w:tcBorders>
              <w:top w:val="single" w:sz="6" w:space="0" w:color="auto"/>
              <w:left w:val="single" w:sz="6" w:space="0" w:color="auto"/>
              <w:bottom w:val="single" w:sz="6" w:space="0" w:color="auto"/>
              <w:right w:val="single" w:sz="6" w:space="0" w:color="auto"/>
            </w:tcBorders>
          </w:tcPr>
          <w:p w14:paraId="6C8C21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p w14:paraId="56E5D2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49BBD3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p w14:paraId="45AF70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0C9C7D0" w14:textId="77777777" w:rsidTr="00EA0DA7">
        <w:trPr>
          <w:trHeight w:val="216"/>
        </w:trPr>
        <w:tc>
          <w:tcPr>
            <w:tcW w:w="3182" w:type="dxa"/>
            <w:tcBorders>
              <w:top w:val="single" w:sz="6" w:space="0" w:color="auto"/>
              <w:left w:val="single" w:sz="6" w:space="0" w:color="auto"/>
              <w:bottom w:val="single" w:sz="6" w:space="0" w:color="auto"/>
              <w:right w:val="single" w:sz="6" w:space="0" w:color="auto"/>
            </w:tcBorders>
          </w:tcPr>
          <w:p w14:paraId="7C678A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Масса окончательно снаряженного, кг</w:t>
            </w:r>
          </w:p>
          <w:p w14:paraId="2B2B8F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11C99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95,7</w:t>
            </w:r>
          </w:p>
          <w:p w14:paraId="0137D0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9" w:type="dxa"/>
            <w:tcBorders>
              <w:top w:val="single" w:sz="6" w:space="0" w:color="auto"/>
              <w:left w:val="single" w:sz="6" w:space="0" w:color="auto"/>
              <w:bottom w:val="single" w:sz="6" w:space="0" w:color="auto"/>
              <w:right w:val="single" w:sz="6" w:space="0" w:color="auto"/>
            </w:tcBorders>
          </w:tcPr>
          <w:p w14:paraId="55561E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78,7</w:t>
            </w:r>
          </w:p>
          <w:p w14:paraId="63EF87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771D23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50.7</w:t>
            </w:r>
          </w:p>
          <w:p w14:paraId="33F1DD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5F763B4" w14:textId="77777777" w:rsidTr="00EA0DA7">
        <w:trPr>
          <w:trHeight w:val="223"/>
        </w:trPr>
        <w:tc>
          <w:tcPr>
            <w:tcW w:w="3182" w:type="dxa"/>
            <w:tcBorders>
              <w:top w:val="single" w:sz="6" w:space="0" w:color="auto"/>
              <w:left w:val="single" w:sz="6" w:space="0" w:color="auto"/>
              <w:bottom w:val="single" w:sz="6" w:space="0" w:color="auto"/>
              <w:right w:val="single" w:sz="6" w:space="0" w:color="auto"/>
            </w:tcBorders>
          </w:tcPr>
          <w:p w14:paraId="38036F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Масса РС пассивная, к!</w:t>
            </w:r>
          </w:p>
          <w:p w14:paraId="76D93B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6C961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p w14:paraId="76A949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9" w:type="dxa"/>
            <w:tcBorders>
              <w:top w:val="single" w:sz="6" w:space="0" w:color="auto"/>
              <w:left w:val="single" w:sz="6" w:space="0" w:color="auto"/>
              <w:bottom w:val="single" w:sz="6" w:space="0" w:color="auto"/>
              <w:right w:val="single" w:sz="6" w:space="0" w:color="auto"/>
            </w:tcBorders>
          </w:tcPr>
          <w:p w14:paraId="577F85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w:t>
            </w:r>
          </w:p>
          <w:p w14:paraId="52417E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35A5D2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p w14:paraId="357BB5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225B0CE" w14:textId="77777777" w:rsidTr="00EA0DA7">
        <w:trPr>
          <w:trHeight w:val="223"/>
        </w:trPr>
        <w:tc>
          <w:tcPr>
            <w:tcW w:w="3182" w:type="dxa"/>
            <w:tcBorders>
              <w:top w:val="single" w:sz="6" w:space="0" w:color="auto"/>
              <w:left w:val="single" w:sz="6" w:space="0" w:color="auto"/>
              <w:bottom w:val="single" w:sz="6" w:space="0" w:color="auto"/>
              <w:right w:val="single" w:sz="6" w:space="0" w:color="auto"/>
            </w:tcBorders>
          </w:tcPr>
          <w:p w14:paraId="5EB8E7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м/с</w:t>
            </w:r>
          </w:p>
          <w:p w14:paraId="7682D9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4DCBA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345</w:t>
            </w:r>
          </w:p>
          <w:p w14:paraId="72E094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9" w:type="dxa"/>
            <w:tcBorders>
              <w:top w:val="single" w:sz="6" w:space="0" w:color="auto"/>
              <w:left w:val="single" w:sz="6" w:space="0" w:color="auto"/>
              <w:bottom w:val="single" w:sz="6" w:space="0" w:color="auto"/>
              <w:right w:val="single" w:sz="6" w:space="0" w:color="auto"/>
            </w:tcBorders>
          </w:tcPr>
          <w:p w14:paraId="2CB513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w:t>
            </w:r>
          </w:p>
          <w:p w14:paraId="39B747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474243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737</w:t>
            </w:r>
          </w:p>
          <w:p w14:paraId="542533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E1A4918" w14:textId="77777777" w:rsidTr="00EA0DA7">
        <w:trPr>
          <w:trHeight w:val="238"/>
        </w:trPr>
        <w:tc>
          <w:tcPr>
            <w:tcW w:w="3182" w:type="dxa"/>
            <w:tcBorders>
              <w:top w:val="single" w:sz="6" w:space="0" w:color="auto"/>
              <w:left w:val="single" w:sz="6" w:space="0" w:color="auto"/>
              <w:bottom w:val="single" w:sz="6" w:space="0" w:color="auto"/>
              <w:right w:val="single" w:sz="6" w:space="0" w:color="auto"/>
            </w:tcBorders>
          </w:tcPr>
          <w:p w14:paraId="6AFC92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дальность стрельбы, м</w:t>
            </w:r>
          </w:p>
          <w:p w14:paraId="76816D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E4B9E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9290</w:t>
            </w:r>
          </w:p>
          <w:p w14:paraId="161271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9" w:type="dxa"/>
            <w:tcBorders>
              <w:top w:val="single" w:sz="6" w:space="0" w:color="auto"/>
              <w:left w:val="single" w:sz="6" w:space="0" w:color="auto"/>
              <w:bottom w:val="single" w:sz="6" w:space="0" w:color="auto"/>
              <w:right w:val="single" w:sz="6" w:space="0" w:color="auto"/>
            </w:tcBorders>
          </w:tcPr>
          <w:p w14:paraId="5CAAEF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11044</w:t>
            </w:r>
          </w:p>
          <w:p w14:paraId="24C1CB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39A9E1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13450</w:t>
            </w:r>
          </w:p>
          <w:p w14:paraId="45461E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4172E4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(11402).</w:t>
      </w:r>
    </w:p>
    <w:p w14:paraId="6FB5DB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EB16EED" w14:textId="77777777" w:rsidR="00604900"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7F935F7" w14:textId="77777777" w:rsidR="00604900" w:rsidRPr="00A3026E" w:rsidRDefault="00604900" w:rsidP="00A3026E">
      <w:pPr>
        <w:spacing w:after="0" w:line="240" w:lineRule="auto"/>
        <w:jc w:val="both"/>
        <w:rPr>
          <w:rFonts w:ascii="Times New Roman" w:hAnsi="Times New Roman"/>
          <w:iCs/>
          <w:color w:val="000000" w:themeColor="text1"/>
          <w:sz w:val="16"/>
          <w:szCs w:val="16"/>
        </w:rPr>
      </w:pPr>
    </w:p>
    <w:p w14:paraId="5E9823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31 октября по 7 декабря 1940 г. согласно директиве НКО СССР от 25 октября 1940 г. три новых серийных танка Т-34 были подвергнуты контрольным испытаниям — длительному пробегу с отрывом от базы и отстрелом огневых задач. За 14 ходовых дней они прошли 2680 км по маршруту Харьков-Серпухов-Смоленск-Киев-Харьков, израсходовав 129 часов моторесурса. «Выводы комиссии были неожиданными и неутешительными. По ее мнению, Т-34 не удовлетворял современным </w:t>
      </w:r>
      <w:r w:rsidRPr="00A3026E">
        <w:rPr>
          <w:rFonts w:ascii="Times New Roman" w:hAnsi="Times New Roman"/>
          <w:color w:val="000000" w:themeColor="text1"/>
          <w:sz w:val="16"/>
          <w:szCs w:val="16"/>
        </w:rPr>
        <w:lastRenderedPageBreak/>
        <w:t>требованиям к данному классу танков по следующим причинам: а) огневая мощь танка не могла быть использована полностью вследствие непригодности приборов наблюдения, дефектов установки вооружения и оптики, тесноты боевого отделения и неудобства пользования боеукладкой; б) при достаточном запасе мощности дизеля максимальные скорости и динамическая характеристика танка подобраны неудачно, что снижает скоростные показатели и проходимость танка; в) тактическое использование танка в отрыве от ремонтных баз невозможно вследствие ненадежности основных узлов — главного фрикциона и ходовой части. Выводы комиссии были рассмотрены на Военном Совете и утверждены Маршалом Советского Союза Г.И. Куликом. Военпредам завода было дано указание прекратить приемку танков Т-34 и возобновить приемку танков БТ-7М с пушкой КТ-26» [126, с. 191-192]. Руководство завода с этим не согласилось и добилось компромиссного решения: выпуск Т-34 с сокращенным до 1000 км гарантийным пробегом временно продолжить, но начать срочную модернизацию танка. В течение нескольких месяцев КБ А. А. Морозова разработало Т-34М. «Тридцатьчетверкой» машину назвали по недоразумению, ибо была она совершенно иным танком: новый корпус, башня улучшенной конструкции, новая компоновка, новая ходовая часть с катками уменьшенного диаметра. Под Т-34М конвейер завода № 183 и начали переоборудовать. Протестов Морозова и главного инженера завода С.Н. Махонина никто не слушал: из полученных бронеплит шла закладка новых корпусов, во всех цехах началось изготовление новых узлов и деталей. С неотработанными чертежами и без испытаний опытного образца, которого в металле просто не существовало (11438).</w:t>
      </w:r>
    </w:p>
    <w:p w14:paraId="0D9A300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F320E2E"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 на заводе № 183 начались испытания танков Т-34 № 608-01, 423-41 и 547-29, на время испытаний эти машины получили условные наименования «танк № 1», «танк № 2» и «танк № 3». </w:t>
      </w:r>
    </w:p>
    <w:p w14:paraId="6E56E209"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первые два дня испытаний на заводе № 183 осуществлялась передача танков экипажам, подготовка личного состава и материальной части к длительному пробегу. Была составлена характеристика установки вооружения и приборов наблюдения в танке, при этом определены: углы и сектора стрельбы, непросматриваемое («мёртвое») пространство и обзорность. Также были замерены люфты башен и подъемных механизмов пушек Л-11, произведена проверка выверки прицелов (согласование линии прицеливания с осью ствола пушки) и боя пулеметов. Кроме этого была произведена проверка работоспособности средств внешней и внутренней связи испытуемых танков. Перечисленные мероприятия проводились при непосредственном участии специалистов по вооружению и связи. </w:t>
      </w:r>
    </w:p>
    <w:p w14:paraId="162A5FB2"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субботу, 2 ноября 1940 г., колонна в составе легкового автомобиля М-1, трёх средних танков Т-34, трёх грузовых автомобилей ЗИС-5, двух топливозаправщиков, авто-кухни, автобуса ГАЗ-АА и ремонтной мастерской («летучка») типа «Б» выдвинулась из Харькова в направлении Орла. </w:t>
      </w:r>
    </w:p>
    <w:p w14:paraId="72A5DCD8"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первый же день пробега на 126 км пути в районе села Яковлево (30 км северо-западнее Белгорода) при преодолении канавы при крене свыше 20º на танке № 3 произошло спадание гусеницы и её заклинивание. Вследствие этого была погнута ось кривошипа направляющего колеса, сорван обрезиненный бандаж и разрушен шарикоподшипник направляющего колеса. После устранения этих неисправностей, пробег был продолжен. Несмотря на вынужденную остановку, темп движения был высоким, и в Орёл колонна прибыла на день раньше, чем было предусмотрено графиком. </w:t>
      </w:r>
    </w:p>
    <w:p w14:paraId="6016389D"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Находясь в Орле, 4 ноября 1940 г. экипажи произвели техническое обслуживание танков и устранили возникшие в ходе пробега мелкие неисправности. А на следующий день, 5 ноября 1940 г. колонна продолжила движение по шоссе в направлении подмосковной Кубинки. Преодолев 257 км, к исходу дня участники пробега достигли Серпухова, где во время малого привала танки были дозаправлены ГСМ и обслужены в объеме контрольного осмотра. Остававшиеся до Кубинки 133 км были пройдены 6 ноября 1940 г. по грунтовой лесной дороге – старому почтовому тракту. </w:t>
      </w:r>
    </w:p>
    <w:p w14:paraId="4F86B979"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только колонна прибыла на НИ полигон ГАБТУ КА, командир пробега майор Е.Е. Геркевич отправил заместителю начальника ГАБТУ КА генерал-майору технических войск И.А. Лебедеву </w:t>
      </w:r>
      <w:hyperlink r:id="rId55" w:tgtFrame="_blank" w:history="1">
        <w:r w:rsidRPr="00A3026E">
          <w:rPr>
            <w:rStyle w:val="a5"/>
            <w:rFonts w:ascii="Times New Roman" w:hAnsi="Times New Roman"/>
            <w:color w:val="000000" w:themeColor="text1"/>
            <w:sz w:val="16"/>
            <w:szCs w:val="16"/>
          </w:rPr>
          <w:t>донесение № 0835с</w:t>
        </w:r>
      </w:hyperlink>
      <w:r w:rsidRPr="00A3026E">
        <w:rPr>
          <w:rFonts w:ascii="Times New Roman" w:hAnsi="Times New Roman"/>
          <w:color w:val="000000" w:themeColor="text1"/>
          <w:sz w:val="16"/>
          <w:szCs w:val="16"/>
        </w:rPr>
        <w:t> следующего содержания: </w:t>
      </w:r>
    </w:p>
    <w:p w14:paraId="7E863A02"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w:t>
      </w:r>
    </w:p>
    <w:p w14:paraId="7E6C63DF"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ПРОБЕГА ТАНКОВ Т-34 ПО МАРШРУТУ ХАРЬКОВ-КУБИНКА.</w:t>
      </w:r>
    </w:p>
    <w:p w14:paraId="1F4059AD"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(5-ти дневный марш – 4 ходовых дня, 1 день – техосмотр)</w:t>
      </w:r>
    </w:p>
    <w:p w14:paraId="02BCF879"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Пройдено километров – 760. </w:t>
      </w:r>
    </w:p>
    <w:p w14:paraId="2694FD65"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них: а) по грунтовым дорогам и целине – 359. </w:t>
      </w:r>
    </w:p>
    <w:p w14:paraId="3CC9D174"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шоссе со смешанным покрытием – 401. </w:t>
      </w:r>
    </w:p>
    <w:p w14:paraId="25751DBE"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чистого движения – 36 ч. 35 м. </w:t>
      </w:r>
    </w:p>
    <w:p w14:paraId="1902CA42"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работы двигателей – 39 ч. </w:t>
      </w:r>
    </w:p>
    <w:p w14:paraId="1B15FD5A"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скорость чистого движения – 20,6 км/час. </w:t>
      </w:r>
    </w:p>
    <w:p w14:paraId="35A52217"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техническая скорость – 17,0 км/час. </w:t>
      </w:r>
    </w:p>
    <w:p w14:paraId="1B198F45"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Поломки и неисправности: </w:t>
      </w:r>
    </w:p>
    <w:p w14:paraId="3E9A0569"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Гусеницы танков приведены в полную негодность вследствие наличия трещин в траках и растяжения. Шплинты, удерживающие пальцы в проушинах траков срезаются через 100 – 150 км. – на </w:t>
      </w:r>
    </w:p>
    <w:p w14:paraId="35CE6197"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всех машинах. </w:t>
      </w:r>
    </w:p>
    <w:p w14:paraId="4982AC88"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переходе канавы погнут кривошип ленивца и сорван бандаж (при сваливании гусеницы) – танк № 3. </w:t>
      </w:r>
    </w:p>
    <w:p w14:paraId="3521AC9B"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Течь масла через кран, соединяющий масляные баки с радиатором – танк № 3. </w:t>
      </w:r>
    </w:p>
    <w:p w14:paraId="67E78FEC"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Излом трубки манометра горючего – танк № 3. </w:t>
      </w:r>
    </w:p>
    <w:p w14:paraId="398933DD"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Срезано 6 болтов, крепящих зубчатый венец маховика – танк № 1. </w:t>
      </w:r>
    </w:p>
    <w:p w14:paraId="5F978B09"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Разрушение муфты опережения впрыска – танк № 2. </w:t>
      </w:r>
    </w:p>
    <w:p w14:paraId="53BDCBBC"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Отказ в работе стартера вследствие сгорания обмотки реле и изломов перемычки – танки № 2 и № 3. </w:t>
      </w:r>
    </w:p>
    <w:p w14:paraId="333DC19E"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Отказ в работе главного фрикциона – танк № 2 (коробление дисков). </w:t>
      </w:r>
    </w:p>
    <w:p w14:paraId="63398777"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Состояние танков после марша. </w:t>
      </w:r>
    </w:p>
    <w:p w14:paraId="310EBB7F"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танки требуют немедленной замены гусениц – дальнейшее движение без этого невозможно. </w:t>
      </w:r>
    </w:p>
    <w:p w14:paraId="1D3BB3C2"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 2 – замена дисков главного фрикциона. </w:t>
      </w:r>
    </w:p>
    <w:p w14:paraId="166BCAEF"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 1 – постановка 6-ти болтов венца маховика. </w:t>
      </w:r>
    </w:p>
    <w:p w14:paraId="4054E1CE"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выполнении этих работ танки могут продолжать марш».</w:t>
      </w:r>
    </w:p>
    <w:p w14:paraId="13677168"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1182. Л. 22 – 23]</w:t>
      </w:r>
    </w:p>
    <w:p w14:paraId="027666E5"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донесении сохранилась резолюция И.А. Лебедева: «т. Афонину. Танки осмотреть, привести в порядок и продолжить испытание по установленной программе». </w:t>
      </w:r>
    </w:p>
    <w:p w14:paraId="135616F1"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день празднования 23-й годовщины Великой Октябрьской социалистической революции, 7 ноября 1940 г., экипажи с группой ремонтников занимались восстановлением танков. На всех «тридцатьчетвёрках» были заменены гусеницы, а на танке № 2 установлены новые диски в главном фрикционе. В пятницу, 8 ноября 1940 г., экипажи танков Т-34 проводили техническое обслуживание вверенных им на период испытания боевых машин. А весь следующий день был посвящен подготовке танков к стрельбе, в ходе которой, согласно программе испытаний, предстояло определить меткость и кучность при ведении огня из пушки и пулеметов, а так же выполнить упражнение по боевой стрельбе взводом танков. При этом боевая стрельба взводом танков, проводившаяся в целях «определения соответствия вооружения огневым задачам, поставленным перед танками данного типа», была организована согласно следующей методике, изложенной в программе испытаний: </w:t>
      </w:r>
    </w:p>
    <w:p w14:paraId="68BAD46C"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«Стрельба по целям ведется с коротких остановок. Средняя скорость движения 12 – 16 км/ч. Дистанция между танками по фронту 30 метров. </w:t>
      </w:r>
    </w:p>
    <w:p w14:paraId="62741EE8"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Начинает движение танк № 1 (средний) за 100 мт. от линии огня и при подходе к ней открывает огонь из пушки по цели № 1 (Эскарп. Высота вала 1,5 мт. Дистанция от линии огня 400 мт. Количество снарядов 10 шт.). </w:t>
      </w:r>
    </w:p>
    <w:p w14:paraId="1BD284CC"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Танки № 2 (правый) и № 3 (левый) начинают движение к линии огня после первого выстрела танка № 1 и при подходе к ней открывают огонь по целям № 23 (Два ПТО. Дистанция от линии огня 800 мт. Количество снарядов 10 шт. по пять снарядов на каждый танк). </w:t>
      </w:r>
    </w:p>
    <w:p w14:paraId="763D49C4"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 1 разрушив цель № 1 проходит препятствие перенося огонь на цель № 2 (Надолбы деревянные. Дистанция от линии огня 700 мт. Количество снарядов 15 шт.). </w:t>
      </w:r>
    </w:p>
    <w:p w14:paraId="2843E53B"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Остальные два танка выполнив задание по целям № 23 следуют за танком № 1 и открывают огонь: танк № 2 (правый) из пушки по цели № 31 (Амбразура ДОТа. Дистанция от линии огня 800 мт. Количество снарядов 8 шт.), танк № 3 (левый) из пулеметов по целям №№ 12, 19 (Охранение ДОТа. Дистанция от линии огня 800 мт. Количество патрон 126 шт.). </w:t>
      </w:r>
    </w:p>
    <w:p w14:paraId="4FBDDA2E"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разрушения средним танком цели № 2 его движение вперед заканчивается и стрельба прекращается. Танки № 2 и № 3 проходят разрушенное препятствие (цель № 2) и одновременно ведут огонь из пушек по целям №№ 43, 16, 13 (Взвод полковой артиллерии. Дистанция от линии огня 1900 мт. Количество снарядов 12 шт. по 6 снарядов на каждый танк). </w:t>
      </w:r>
    </w:p>
    <w:p w14:paraId="4167F712"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Расход боеприпасов: снарядов 76,2 – 55, патрон 7,62 – 126. </w:t>
      </w:r>
    </w:p>
    <w:p w14:paraId="4C7E37A5"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Учет времени производится от первого выстрела и до последнего».</w:t>
      </w:r>
    </w:p>
    <w:p w14:paraId="21298112"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14 – 15]</w:t>
      </w:r>
    </w:p>
    <w:p w14:paraId="504957FE"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стрельбой состоялись 10 ноября 1940 г., и уже на первом этапе по определению кучности стрельбы пушки Л-11, после повторного не полного (до 120 мм) наката, вызванного отказом в работе ножного спуска пушки, танк № 2 был отправлен для устранения неисправности. В связи с этим решение огневой задачи, возлагавшейся на танковый взвод, пришлось выполнять только двум танкам – № 1 и № 3. </w:t>
      </w:r>
    </w:p>
    <w:p w14:paraId="28C19DEA"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Ровно 15 минут потребовалось сокращённому взводу для выполнения поставленной задачи. Танком № 1 с дистанции 400 м при стрельбе с короткой остановки по противотанковому препятствию типа эскарп было израсходовано 10 снарядов, 4 из них попали точно в цель. По второй цели (группа надолб) с дистанции 300 м было произведено 15 выстрелов. В результате 4 прямых попаданий 3 надолба было сбито. </w:t>
      </w:r>
    </w:p>
    <w:p w14:paraId="26D3F067"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стрельбы у экипажа танка № 3 оказались несколько скромнее: из 12 снарядов, выпущенных по полковой батарее, расположенной на дистанции 1000 м, только один снаряд попал точно в цель, и ещё два снаряда разорвались в радиусе 10 – 15 м от неё. Из 6 снарядов, направленных на уничтожение противотанкового орудия, находившегося на удалении 800 м от танка, только один снаряд разорвался в радиусе 10 – 15 м от цели. При стрельбе по ДОТу, расположенному на дистанции 400 м, из 6 выпущенных снарядов в «зачётный круг» не попал ни один. </w:t>
      </w:r>
    </w:p>
    <w:p w14:paraId="2BBA6374"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следующий день после стрельбы, 11 ноября 1940 г., на НИ полигоне ГАБТУ КА были проведены испытания танков Т-34 по преодолению естественных препятствий. В результате испытаний были получены следующие показатели проходимости танка Т-34 в осенних условиях: </w:t>
      </w:r>
    </w:p>
    <w:p w14:paraId="28863049"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«Подъемы и косогоры:</w:t>
      </w:r>
    </w:p>
    <w:p w14:paraId="3EF71D83"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Водные преграды:</w:t>
      </w:r>
    </w:p>
    <w:p w14:paraId="2933FEE3"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преодолевает вброд водные преграды глубиной 1,25 – 1,3 мтр. при твердом грунте дна. Крутизны выхода не должна превышать 20 – 25°, крутизна входа 30 – 35°. </w:t>
      </w:r>
    </w:p>
    <w:p w14:paraId="4AC60B34"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Заболоченные участки:</w:t>
      </w:r>
    </w:p>
    <w:p w14:paraId="2AA8A155"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Торфяное болото с плотным покровом толщиной 0,5 – 0,8 мтр. (выдерживающим лошадь) танк не преодолевает. Гусеницы прорезают покров, и танк вывешивается на днище. При одностороннем погружении имеют место выходы гребней траков из опорных колес (на не погруженной гусенице)».</w:t>
      </w:r>
    </w:p>
    <w:p w14:paraId="224212BF"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72 – 73]</w:t>
      </w:r>
    </w:p>
    <w:p w14:paraId="5BD5ED32"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итоге специалистами НИ полигона ГАБТУ КА был сделан вывод о том, что проходимость танка Т-34 в осенних условиях неудовлетворительная по следующим причинам: </w:t>
      </w:r>
    </w:p>
    <w:p w14:paraId="38F97FC4"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Входящая в зацепление с грунтом поверхность трака недостаточно развита (малый коэффициент зацепления), следствием чего является буксование гусениц на подъемах даже при незначительно влажном покрове. Эффективность входящих в комплект шпор незначительна. </w:t>
      </w:r>
    </w:p>
    <w:p w14:paraId="56A74B8F"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Фиксация гусеницы в опорных колесах ненадежна вследствие малого количества опорных колес и постоянно возникающей слабины гусениц (от износов). Ненадежность фиксации гусениц лимитирует преодоление косогоров – при движении с креном свыше 20 – 23° при поворотах гусеница "сваливается". Сваливание гусениц отмечено так же при преодолении канав под углом менее 90°. </w:t>
      </w:r>
    </w:p>
    <w:p w14:paraId="6B0A801E"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Малое количество опорных колес, помимо изложенного в § 2, отрицательно влияет на проходимость по заболоченным участкам, несмотря на небольшое общее удельное давление».</w:t>
      </w:r>
    </w:p>
    <w:p w14:paraId="0CE1F091"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73 – 74]</w:t>
      </w:r>
    </w:p>
    <w:p w14:paraId="52D6B348"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Возможности танка Т-34 по преодолению водных преград вброд, напротив, специалистами полигона были признаны вполне удовлетворительными. </w:t>
      </w:r>
    </w:p>
    <w:p w14:paraId="11A8AB60"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этот же день, 11 ноября 1940 г., на полигоне состоялись испытания по определению силы тяги и буксировочных возможностей танка Т-34. В качестве буксируемого (тормозного) приспособления использовался плуг-канавокопатель конструкции НИИТ КА. Испытания проводились по следующей методике: </w:t>
      </w:r>
    </w:p>
    <w:p w14:paraId="0EC329AA"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буксирных цепях между испытываемым танком и буксирным тормозным приспособлением (плуг-канавокопатель) подвешивался пружинный динамометр "Амслер" на 1000 кгр. </w:t>
      </w:r>
    </w:p>
    <w:p w14:paraId="7022238A"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Торможение испытываемого танка производилось путем постепенного опускания лемеха канавокопателя в грунт, до необходимой загрузки. </w:t>
      </w:r>
    </w:p>
    <w:p w14:paraId="68BA5B98"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Испытание проводилось на горизонтальных участках. </w:t>
      </w:r>
    </w:p>
    <w:p w14:paraId="5058B6CD"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Сила тяги на крюке замерялась при движении танков на 1 и 2 передачах. Буксировка танками прицепного груза на асфальтовом шоссе производилась на 2 и 3 передачах. </w:t>
      </w:r>
    </w:p>
    <w:p w14:paraId="7669B57B"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Обработка диаграмм динамометра производилась по среднеарифметической величине из данных 2-х заездов».</w:t>
      </w:r>
    </w:p>
    <w:p w14:paraId="506415CF"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1853. Л. 7]</w:t>
      </w:r>
    </w:p>
    <w:p w14:paraId="2AA59638"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испытаний было установлено, что тяговое усилие на крюке при движении танка Т-34 по проселочной дороге на 1-й передаче составляет 6,70 тс, а при движении на 2-й передаче при частоте вращения коленчатого вала двигателя 550 оборотов в минуту – 8,75 тс. </w:t>
      </w:r>
    </w:p>
    <w:p w14:paraId="2D80AB07"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11 ноября 1940 г. на полигоне были проведены испытания средств связи танков Т-34, в ходе которых было определено, что дальность связи с помощью радиостанции 73-ТК-3 через микрофон, во время движения обоих машин не превышает 10 км, а во время стоянки составляет 15 – 18 км. При этом были выявлены следующие основные недостатки установки радиостанции в носовой части корпуса танка Т-34: </w:t>
      </w:r>
    </w:p>
    <w:p w14:paraId="3C2DE65D"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 приемником очень трудно оперировать (слишком низко и глубоко расположен). </w:t>
      </w:r>
    </w:p>
    <w:p w14:paraId="47EB47D0"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Антенна при подъеме цепляет за запдетали, расположенные на [надгусеничной] полке. </w:t>
      </w:r>
    </w:p>
    <w:p w14:paraId="282EE216"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ходу танка по шоссе получается сильное дробление слов при приеме. </w:t>
      </w:r>
    </w:p>
    <w:p w14:paraId="29A43292"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Ручным регулятором напряжения пользоваться невозможно из-за неудачного расположения (не виден вольтметр)».</w:t>
      </w:r>
    </w:p>
    <w:p w14:paraId="1B34D6F2"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1182. Л. 140 – 141]</w:t>
      </w:r>
    </w:p>
    <w:p w14:paraId="5526B577"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двух последующих дней, 12 и 13 ноября 1940 г., танки готовились к дальнейшему пробегу – силами экипажей и группы ремонтников производилось их техническое обслуживание и ремонт. (18173)</w:t>
      </w:r>
    </w:p>
    <w:p w14:paraId="490C6EDF" w14:textId="77777777" w:rsidR="002E22DD" w:rsidRPr="00A3026E" w:rsidRDefault="002E22DD" w:rsidP="00A3026E">
      <w:pPr>
        <w:spacing w:after="0" w:line="240" w:lineRule="auto"/>
        <w:jc w:val="both"/>
        <w:rPr>
          <w:rFonts w:ascii="Times New Roman" w:hAnsi="Times New Roman"/>
          <w:color w:val="000000" w:themeColor="text1"/>
          <w:sz w:val="16"/>
          <w:szCs w:val="16"/>
        </w:rPr>
      </w:pPr>
    </w:p>
    <w:p w14:paraId="7D063647"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 в заключении № 035, составленном по результатам проведенных испытаний люка механика-водителя Т-34, было указано: </w:t>
      </w:r>
    </w:p>
    <w:p w14:paraId="725D36C1"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Уплотнение люка водителя производить с помощью желобка и перекрывающих планок, усилив крепление последних к корпусу. На дальнейшее во избежание повреждения и замятия уплотняющего желобка, последний необходимо утолстить до 4-х – 5 мм. </w:t>
      </w:r>
    </w:p>
    <w:p w14:paraId="7D0A78C7"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Люки в нише башни и корме уплотнить с помощью желобка (по типу существующего уплотнения люка водителя). </w:t>
      </w:r>
    </w:p>
    <w:p w14:paraId="15C87570"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Запор люка водителя изменить с расчетом устранения заклинки».</w:t>
      </w:r>
    </w:p>
    <w:p w14:paraId="464E0900"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1182. Л. 57]</w:t>
      </w:r>
    </w:p>
    <w:p w14:paraId="3ABC317F"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Данное заключение 12 ноября 1940 г. было утверждено исполняющим обязанности главного конструктора завода № 183 А.А. Морозовым, 15 ноября 1940 г. согласовано с районным инженером ГАБТУ КА Д.М. Козыревым и 18 ноября 1940 г. с </w:t>
      </w:r>
      <w:hyperlink r:id="rId56" w:tgtFrame="_blank" w:history="1">
        <w:r w:rsidRPr="00A3026E">
          <w:rPr>
            <w:rStyle w:val="a5"/>
            <w:rFonts w:ascii="Times New Roman" w:hAnsi="Times New Roman"/>
            <w:color w:val="000000" w:themeColor="text1"/>
            <w:sz w:val="16"/>
            <w:szCs w:val="16"/>
          </w:rPr>
          <w:t>препроводительным письмом № СО6228</w:t>
        </w:r>
      </w:hyperlink>
      <w:r w:rsidRPr="00A3026E">
        <w:rPr>
          <w:rFonts w:ascii="Times New Roman" w:hAnsi="Times New Roman"/>
          <w:color w:val="000000" w:themeColor="text1"/>
          <w:sz w:val="16"/>
          <w:szCs w:val="16"/>
        </w:rPr>
        <w:t> отправлено в ГАБТУ КА. Ответ из Москвы не заставил себя долго ждать, 30 ноября 1940 г. заместитель начальника БТУ ГАБТУ КА военинженер 1 ранга Н.Н. Алымов в </w:t>
      </w:r>
      <w:hyperlink r:id="rId57" w:tgtFrame="_blank" w:history="1">
        <w:r w:rsidRPr="00A3026E">
          <w:rPr>
            <w:rStyle w:val="a5"/>
            <w:rFonts w:ascii="Times New Roman" w:hAnsi="Times New Roman"/>
            <w:color w:val="000000" w:themeColor="text1"/>
            <w:sz w:val="16"/>
            <w:szCs w:val="16"/>
          </w:rPr>
          <w:t>письме № 77253с</w:t>
        </w:r>
      </w:hyperlink>
      <w:r w:rsidRPr="00A3026E">
        <w:rPr>
          <w:rFonts w:ascii="Times New Roman" w:hAnsi="Times New Roman"/>
          <w:color w:val="000000" w:themeColor="text1"/>
          <w:sz w:val="16"/>
          <w:szCs w:val="16"/>
        </w:rPr>
        <w:t> на имя Д.М. Козырева одобрил принятые на заводе № 183 решения по уплотнению люков танка Т-34, и потребовал их скорейшего выполнения (18206).</w:t>
      </w:r>
    </w:p>
    <w:p w14:paraId="60C3AF93" w14:textId="77777777" w:rsidR="002E22DD" w:rsidRPr="00A3026E" w:rsidRDefault="002E22DD" w:rsidP="00A3026E">
      <w:pPr>
        <w:spacing w:after="0" w:line="240" w:lineRule="auto"/>
        <w:jc w:val="both"/>
        <w:rPr>
          <w:rFonts w:ascii="Times New Roman" w:hAnsi="Times New Roman"/>
          <w:color w:val="000000" w:themeColor="text1"/>
          <w:sz w:val="16"/>
          <w:szCs w:val="16"/>
        </w:rPr>
      </w:pPr>
    </w:p>
    <w:p w14:paraId="4E337D75" w14:textId="77777777" w:rsidR="00604900" w:rsidRPr="00A3026E" w:rsidRDefault="00604900" w:rsidP="00A3026E">
      <w:pPr>
        <w:pStyle w:val="a3"/>
        <w:rPr>
          <w:color w:val="000000" w:themeColor="text1"/>
          <w:lang w:val="ru-RU"/>
        </w:rPr>
      </w:pPr>
      <w:r w:rsidRPr="00A3026E">
        <w:rPr>
          <w:color w:val="000000" w:themeColor="text1"/>
          <w:lang w:val="ru-RU"/>
        </w:rPr>
        <w:t>31 октября 1940 г. замнаркома обороны маршал Кулик писап в СНК:</w:t>
      </w:r>
    </w:p>
    <w:p w14:paraId="2860D04A" w14:textId="77777777" w:rsidR="00604900" w:rsidRPr="00A3026E" w:rsidRDefault="00604900" w:rsidP="00A3026E">
      <w:pPr>
        <w:pStyle w:val="1010"/>
        <w:shd w:val="clear" w:color="auto" w:fill="auto"/>
        <w:spacing w:line="240" w:lineRule="auto"/>
        <w:ind w:firstLine="0"/>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«Испытания мотоцикла ТИЗ-50 закончены.</w:t>
      </w:r>
    </w:p>
    <w:p w14:paraId="2523781B" w14:textId="77777777" w:rsidR="00604900" w:rsidRPr="00A3026E" w:rsidRDefault="00604900" w:rsidP="00A3026E">
      <w:pPr>
        <w:pStyle w:val="1010"/>
        <w:shd w:val="clear" w:color="auto" w:fill="auto"/>
        <w:spacing w:line="240" w:lineRule="auto"/>
        <w:ind w:firstLine="0"/>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По данным испытаний мотоцикл показал хорошие результаты и признан вполне соответствующим тактико-техническим требованиям, предъявляемым к мотоциклам данного</w:t>
      </w:r>
      <w:r w:rsidRPr="00A3026E">
        <w:rPr>
          <w:rStyle w:val="1030"/>
          <w:rFonts w:ascii="Times New Roman" w:eastAsia="Arial Unicode MS" w:hAnsi="Times New Roman" w:cs="Times New Roman"/>
          <w:i w:val="0"/>
          <w:iCs w:val="0"/>
          <w:color w:val="000000" w:themeColor="text1"/>
          <w:sz w:val="16"/>
          <w:szCs w:val="16"/>
        </w:rPr>
        <w:t xml:space="preserve"> класса.</w:t>
      </w:r>
    </w:p>
    <w:p w14:paraId="5CC379C0" w14:textId="77777777" w:rsidR="00604900" w:rsidRPr="00A3026E" w:rsidRDefault="00604900" w:rsidP="00A3026E">
      <w:pPr>
        <w:pStyle w:val="1010"/>
        <w:shd w:val="clear" w:color="auto" w:fill="auto"/>
        <w:spacing w:line="240" w:lineRule="auto"/>
        <w:ind w:firstLine="0"/>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Мотоцикл ТИЗ-50 с коляской может быть принят Красной Армии, как мотоцикл тяжелого типа.</w:t>
      </w:r>
    </w:p>
    <w:p w14:paraId="5222A1B3" w14:textId="77777777" w:rsidR="00604900" w:rsidRPr="00A3026E" w:rsidRDefault="00604900" w:rsidP="00A3026E">
      <w:pPr>
        <w:pStyle w:val="1010"/>
        <w:shd w:val="clear" w:color="auto" w:fill="auto"/>
        <w:spacing w:line="240" w:lineRule="auto"/>
        <w:ind w:firstLine="0"/>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Необходимо обязать Народный Комиссариат Боеприпасов (завод №65):</w:t>
      </w:r>
    </w:p>
    <w:p w14:paraId="15A23FE6" w14:textId="77777777" w:rsidR="00604900" w:rsidRPr="00A3026E" w:rsidRDefault="00604900" w:rsidP="00A3026E">
      <w:pPr>
        <w:pStyle w:val="1010"/>
        <w:shd w:val="clear" w:color="auto" w:fill="auto"/>
        <w:tabs>
          <w:tab w:val="left" w:pos="721"/>
        </w:tabs>
        <w:spacing w:line="240" w:lineRule="auto"/>
        <w:ind w:firstLine="0"/>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а) форсироват подготовку серийного производства ТИЗ-50 и обес</w:t>
      </w:r>
      <w:r w:rsidRPr="00A3026E">
        <w:rPr>
          <w:rFonts w:ascii="Times New Roman" w:hAnsi="Times New Roman" w:cs="Times New Roman"/>
          <w:i w:val="0"/>
          <w:color w:val="000000" w:themeColor="text1"/>
          <w:sz w:val="16"/>
          <w:szCs w:val="16"/>
        </w:rPr>
        <w:softHyphen/>
        <w:t>печить выпуск 120 мотоциклов в 1У квартале 1940 года, в соответствии с Постановлением [...];</w:t>
      </w:r>
    </w:p>
    <w:p w14:paraId="0C7A154D" w14:textId="77777777" w:rsidR="00604900" w:rsidRPr="00A3026E" w:rsidRDefault="00604900" w:rsidP="00A3026E">
      <w:pPr>
        <w:pStyle w:val="1010"/>
        <w:shd w:val="clear" w:color="auto" w:fill="auto"/>
        <w:tabs>
          <w:tab w:val="left" w:pos="438"/>
        </w:tabs>
        <w:spacing w:line="240" w:lineRule="auto"/>
        <w:ind w:firstLine="0"/>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б) устранить все замечания Комиссии, проводившей испытания;</w:t>
      </w:r>
    </w:p>
    <w:p w14:paraId="428FEE09" w14:textId="77777777" w:rsidR="00604900" w:rsidRPr="00A3026E" w:rsidRDefault="00604900" w:rsidP="00A3026E">
      <w:pPr>
        <w:pStyle w:val="1010"/>
        <w:shd w:val="clear" w:color="auto" w:fill="auto"/>
        <w:tabs>
          <w:tab w:val="left" w:pos="716"/>
        </w:tabs>
        <w:spacing w:line="240" w:lineRule="auto"/>
        <w:ind w:firstLine="0"/>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в) произвести оборудование мотоцикла для перевозки трех бойцов (включая водителя) и вооружения по тактико-техническим требованиям НКО (ГАБТУ)" (15753).</w:t>
      </w:r>
    </w:p>
    <w:p w14:paraId="26AB988D" w14:textId="77777777" w:rsidR="00604900" w:rsidRPr="00A3026E" w:rsidRDefault="00604900" w:rsidP="00A3026E">
      <w:pPr>
        <w:pStyle w:val="aff1"/>
        <w:shd w:val="clear" w:color="auto" w:fill="auto"/>
        <w:spacing w:line="240" w:lineRule="auto"/>
        <w:rPr>
          <w:rFonts w:ascii="Times New Roman" w:hAnsi="Times New Roman" w:cs="Times New Roman"/>
          <w:i w:val="0"/>
          <w:color w:val="000000" w:themeColor="text1"/>
          <w:sz w:val="16"/>
          <w:szCs w:val="16"/>
          <w:lang w:val="ru-RU"/>
        </w:rPr>
      </w:pPr>
    </w:p>
    <w:p w14:paraId="2008256D"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 по итогам испытаний ТИЗ-50 Замнаркома Обороны маршал Кулик писал в СНК: «Испытания мотоцикла ТИЗ-50 закончены. По данным испытаний мотоцикл показал хорошие результаты и признан вполне соответствующим тактико-техническим требованиям, предъявляемым к мотоциклам данного класса. Мотоцикл ТИЗ-50 с коляской может быть принят на вооружение Красной Армии, как мотоцикл тяжелого типа. Необходимо обязать Народный Комиссариат Боеприпасов (завод №65): a) форсировать подготовку серийного производства ТИЗ-50 и обеспечить выпуск 120 мотоциклов в 1У квартале 1940 года, в соответствии с Постановлением […] б) устранить все замечания Комиссии, проводившей испытания в) произвести оборудование мотоцикла для перевозки трех бойцов (включая водителя) и вооружения по тактико-техническим требованиям НКО (ГАБТУ)» (19776).</w:t>
      </w:r>
    </w:p>
    <w:p w14:paraId="73909605" w14:textId="77777777" w:rsidR="002E22DD" w:rsidRPr="00A3026E" w:rsidRDefault="002E22DD" w:rsidP="00A3026E">
      <w:pPr>
        <w:spacing w:after="0" w:line="240" w:lineRule="auto"/>
        <w:jc w:val="both"/>
        <w:rPr>
          <w:rFonts w:ascii="Times New Roman" w:hAnsi="Times New Roman"/>
          <w:color w:val="000000" w:themeColor="text1"/>
          <w:sz w:val="16"/>
          <w:szCs w:val="16"/>
        </w:rPr>
      </w:pPr>
    </w:p>
    <w:p w14:paraId="0CD82C57" w14:textId="77777777" w:rsidR="00C66762"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За</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рубежом</w:t>
      </w:r>
      <w:r w:rsidRPr="00A3026E">
        <w:rPr>
          <w:rFonts w:ascii="Times New Roman" w:hAnsi="Times New Roman"/>
          <w:i/>
          <w:iCs/>
          <w:color w:val="000000" w:themeColor="text1"/>
          <w:sz w:val="16"/>
          <w:szCs w:val="16"/>
          <w:lang w:val="en-US"/>
        </w:rPr>
        <w:t>:</w:t>
      </w:r>
    </w:p>
    <w:p w14:paraId="5C29B615" w14:textId="77777777" w:rsidR="00C66762" w:rsidRPr="00A3026E" w:rsidRDefault="00C66762" w:rsidP="00A3026E">
      <w:pPr>
        <w:spacing w:after="0" w:line="240" w:lineRule="auto"/>
        <w:jc w:val="both"/>
        <w:rPr>
          <w:rFonts w:ascii="Times New Roman" w:hAnsi="Times New Roman"/>
          <w:iCs/>
          <w:color w:val="000000" w:themeColor="text1"/>
          <w:sz w:val="16"/>
          <w:szCs w:val="16"/>
          <w:lang w:val="en-US"/>
        </w:rPr>
      </w:pPr>
    </w:p>
    <w:p w14:paraId="49014E78" w14:textId="77777777" w:rsidR="00C64DCF" w:rsidRPr="00A3026E" w:rsidRDefault="00C64DC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31 октября с 1 августа 1940 Люфтваффе потеряли 1733 самолета в битве за Британию, а Королевские ВВС потеряли 915 истребителей (20795).</w:t>
      </w:r>
    </w:p>
    <w:p w14:paraId="522C3E8A" w14:textId="77777777" w:rsidR="00C64DCF" w:rsidRPr="00A3026E" w:rsidRDefault="00C64DCF" w:rsidP="00A3026E">
      <w:pPr>
        <w:spacing w:after="0" w:line="240" w:lineRule="auto"/>
        <w:jc w:val="both"/>
        <w:rPr>
          <w:rFonts w:ascii="Times New Roman" w:hAnsi="Times New Roman"/>
          <w:color w:val="0070C0"/>
          <w:sz w:val="16"/>
          <w:szCs w:val="16"/>
        </w:rPr>
      </w:pPr>
    </w:p>
    <w:p w14:paraId="06681206" w14:textId="77777777" w:rsidR="00C64DCF" w:rsidRPr="00A3026E" w:rsidRDefault="00C64DC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31 октября 1940 - Окончание битвы за Британию. Это была решающая победа Королевских ВВС. Немецкие люфтваффе начали свою бомбардировочную кампанию против Великобритании 10 июля 1940 года. Немецкие лидеры считали, что необходимо ликвидировать британскую авиацию, чтобы начать операцию "Морской лев" - вторжение через Ла-Манш на Британские острова (22320).</w:t>
      </w:r>
    </w:p>
    <w:p w14:paraId="61881425" w14:textId="77777777" w:rsidR="00C64DCF" w:rsidRPr="00A3026E" w:rsidRDefault="00C64DCF" w:rsidP="00A3026E">
      <w:pPr>
        <w:spacing w:after="0" w:line="240" w:lineRule="auto"/>
        <w:jc w:val="both"/>
        <w:rPr>
          <w:rFonts w:ascii="Times New Roman" w:hAnsi="Times New Roman"/>
          <w:color w:val="0070C0"/>
          <w:sz w:val="16"/>
          <w:szCs w:val="16"/>
        </w:rPr>
      </w:pPr>
    </w:p>
    <w:p w14:paraId="473B31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lang w:val="en-US"/>
        </w:rPr>
        <w:t>October</w:t>
      </w:r>
      <w:r w:rsidRPr="00A3026E">
        <w:rPr>
          <w:rFonts w:ascii="Times New Roman" w:hAnsi="Times New Roman"/>
          <w:color w:val="000000" w:themeColor="text1"/>
          <w:sz w:val="16"/>
          <w:szCs w:val="16"/>
        </w:rPr>
        <w:t xml:space="preserve"> 31 </w:t>
      </w:r>
      <w:r w:rsidRPr="00A3026E">
        <w:rPr>
          <w:rFonts w:ascii="Times New Roman" w:hAnsi="Times New Roman"/>
          <w:color w:val="000000" w:themeColor="text1"/>
          <w:sz w:val="16"/>
          <w:szCs w:val="16"/>
          <w:lang w:val="en-US"/>
        </w:rPr>
        <w:t>Thu</w:t>
      </w:r>
      <w:r w:rsidRPr="00A3026E">
        <w:rPr>
          <w:rFonts w:ascii="Times New Roman" w:hAnsi="Times New Roman"/>
          <w:color w:val="000000" w:themeColor="text1"/>
          <w:sz w:val="16"/>
          <w:szCs w:val="16"/>
        </w:rPr>
        <w:t xml:space="preserve">. 1940 </w:t>
      </w:r>
      <w:r w:rsidRPr="00A3026E">
        <w:rPr>
          <w:rFonts w:ascii="Times New Roman" w:hAnsi="Times New Roman"/>
          <w:color w:val="000000" w:themeColor="text1"/>
          <w:sz w:val="16"/>
          <w:szCs w:val="16"/>
          <w:lang w:val="en-US"/>
        </w:rPr>
        <w:t>British</w:t>
      </w:r>
      <w:r w:rsidRPr="00A3026E">
        <w:rPr>
          <w:rFonts w:ascii="Times New Roman" w:hAnsi="Times New Roman"/>
          <w:color w:val="000000" w:themeColor="text1"/>
          <w:sz w:val="16"/>
          <w:szCs w:val="16"/>
        </w:rPr>
        <w:t xml:space="preserve"> </w:t>
      </w:r>
      <w:r w:rsidRPr="00A3026E">
        <w:rPr>
          <w:rFonts w:ascii="Times New Roman" w:hAnsi="Times New Roman"/>
          <w:color w:val="000000" w:themeColor="text1"/>
          <w:sz w:val="16"/>
          <w:szCs w:val="16"/>
          <w:lang w:val="en-US"/>
        </w:rPr>
        <w:t>forces</w:t>
      </w:r>
      <w:r w:rsidRPr="00A3026E">
        <w:rPr>
          <w:rFonts w:ascii="Times New Roman" w:hAnsi="Times New Roman"/>
          <w:color w:val="000000" w:themeColor="text1"/>
          <w:sz w:val="16"/>
          <w:szCs w:val="16"/>
        </w:rPr>
        <w:t xml:space="preserve"> </w:t>
      </w:r>
      <w:r w:rsidRPr="00A3026E">
        <w:rPr>
          <w:rFonts w:ascii="Times New Roman" w:hAnsi="Times New Roman"/>
          <w:color w:val="000000" w:themeColor="text1"/>
          <w:sz w:val="16"/>
          <w:szCs w:val="16"/>
          <w:lang w:val="en-US"/>
        </w:rPr>
        <w:t>occupy</w:t>
      </w:r>
      <w:r w:rsidRPr="00A3026E">
        <w:rPr>
          <w:rFonts w:ascii="Times New Roman" w:hAnsi="Times New Roman"/>
          <w:color w:val="000000" w:themeColor="text1"/>
          <w:sz w:val="16"/>
          <w:szCs w:val="16"/>
        </w:rPr>
        <w:t xml:space="preserve"> </w:t>
      </w:r>
      <w:r w:rsidRPr="00A3026E">
        <w:rPr>
          <w:rFonts w:ascii="Times New Roman" w:hAnsi="Times New Roman"/>
          <w:color w:val="000000" w:themeColor="text1"/>
          <w:sz w:val="16"/>
          <w:szCs w:val="16"/>
          <w:lang w:val="en-US"/>
        </w:rPr>
        <w:t>Crete</w:t>
      </w:r>
      <w:r w:rsidRPr="00A3026E">
        <w:rPr>
          <w:rFonts w:ascii="Times New Roman" w:hAnsi="Times New Roman"/>
          <w:color w:val="000000" w:themeColor="text1"/>
          <w:sz w:val="16"/>
          <w:szCs w:val="16"/>
        </w:rPr>
        <w:t xml:space="preserve"> (1064).</w:t>
      </w:r>
    </w:p>
    <w:p w14:paraId="44E5D3B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F8B8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Англия оккупировала Крит (1064).</w:t>
      </w:r>
    </w:p>
    <w:p w14:paraId="43DA351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533453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3AF2251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686D2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октября 1939 на заводе № 18 собрали первый ДБ-ЗМ, а 2 ноября его передали налетные испытания. К 22 декабря на приемку там поступили 14 бомбардировщиков. К Новому году план выполнили, но военная приемка не пропустила ни одной машины. С декабря в Воронеже параллельно пошла сборка самолетов с моторами М-87 и винтами ВИШ-3 и М-88 и ВИШ-23. Кроме двигателей и винтов они ничем не отличались. Завод № 39 до марта комплектовал свои машины только М-88. Последний официально даже не был принят на вооружение, это произошло только 24 января 1940 г. (12021).</w:t>
      </w:r>
    </w:p>
    <w:p w14:paraId="2D3AFAB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AB138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октября 1940 М.А.Липкин поднял в воздух БПБ-22, разрабатываемый с июля 1940 Л.П.Курбала в КБ-70 на 81 заводе на базе ББ-22 (изделие-31) в соответствии с постановлением правительства N 317 от 27 июня 1940. Имел автомат ввода и вывода и увеличенное остекление. Потом испытывали в Раменском и летал Я.Пауль, который предотвратил катастрофу, но разбил машину так, что восстанавливать не стали (1081,9).</w:t>
      </w:r>
    </w:p>
    <w:p w14:paraId="0BE41B1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8EF87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октября 1940 г. летчик М.А.Липкин поднял БПБ-22 в воздух. С полетной массой 5962 кг самолет на испытаниях развил скорость 533 км/ч на высоте 5100 м (она возрастала до 558 км/ч по</w:t>
      </w:r>
      <w:r w:rsidRPr="00A3026E">
        <w:rPr>
          <w:rFonts w:ascii="Times New Roman" w:hAnsi="Times New Roman"/>
          <w:color w:val="000000" w:themeColor="text1"/>
          <w:sz w:val="16"/>
          <w:szCs w:val="16"/>
        </w:rPr>
        <w:softHyphen/>
        <w:t>сле сбрасывания бомб). Дальнейшие ис</w:t>
      </w:r>
      <w:r w:rsidRPr="00A3026E">
        <w:rPr>
          <w:rFonts w:ascii="Times New Roman" w:hAnsi="Times New Roman"/>
          <w:color w:val="000000" w:themeColor="text1"/>
          <w:sz w:val="16"/>
          <w:szCs w:val="16"/>
        </w:rPr>
        <w:softHyphen/>
        <w:t>пытания на аэродроме в Раменском про</w:t>
      </w:r>
      <w:r w:rsidRPr="00A3026E">
        <w:rPr>
          <w:rFonts w:ascii="Times New Roman" w:hAnsi="Times New Roman"/>
          <w:color w:val="000000" w:themeColor="text1"/>
          <w:sz w:val="16"/>
          <w:szCs w:val="16"/>
        </w:rPr>
        <w:softHyphen/>
        <w:t>изводил летчик Я. Пауль. Опытный испы</w:t>
      </w:r>
      <w:r w:rsidRPr="00A3026E">
        <w:rPr>
          <w:rFonts w:ascii="Times New Roman" w:hAnsi="Times New Roman"/>
          <w:color w:val="000000" w:themeColor="text1"/>
          <w:sz w:val="16"/>
          <w:szCs w:val="16"/>
        </w:rPr>
        <w:softHyphen/>
        <w:t>татель сумел предотвратить катастрофу, когда внезапно прекратилась подача го</w:t>
      </w:r>
      <w:r w:rsidRPr="00A3026E">
        <w:rPr>
          <w:rFonts w:ascii="Times New Roman" w:hAnsi="Times New Roman"/>
          <w:color w:val="000000" w:themeColor="text1"/>
          <w:sz w:val="16"/>
          <w:szCs w:val="16"/>
        </w:rPr>
        <w:softHyphen/>
        <w:t>рючего и моторы остановились один за другим. Ему удалось круто развернуть строгий самолет и не свалиться при этом в штопор. Машина заходила на посадку под углом к полосе, но все же нескольких метров высоты не хватило, чтобы пере тянуть через забор аэродрома. Авария БПБ-22 задержала дальнейшие работы, а прекращение серийного производства вариантов ББ-22 поставило на них крест.</w:t>
      </w:r>
    </w:p>
    <w:p w14:paraId="28315D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летно-технические характеристики самолетов №22, ББ-22, Як-2 и Як-4</w:t>
      </w:r>
    </w:p>
    <w:tbl>
      <w:tblPr>
        <w:tblW w:w="0" w:type="auto"/>
        <w:tblInd w:w="40" w:type="dxa"/>
        <w:tblLayout w:type="fixed"/>
        <w:tblCellMar>
          <w:left w:w="40" w:type="dxa"/>
          <w:right w:w="40" w:type="dxa"/>
        </w:tblCellMar>
        <w:tblLook w:val="0000" w:firstRow="0" w:lastRow="0" w:firstColumn="0" w:lastColumn="0" w:noHBand="0" w:noVBand="0"/>
      </w:tblPr>
      <w:tblGrid>
        <w:gridCol w:w="3024"/>
        <w:gridCol w:w="970"/>
        <w:gridCol w:w="979"/>
        <w:gridCol w:w="979"/>
        <w:gridCol w:w="979"/>
        <w:gridCol w:w="979"/>
        <w:gridCol w:w="979"/>
        <w:gridCol w:w="979"/>
        <w:gridCol w:w="989"/>
      </w:tblGrid>
      <w:tr w:rsidR="00983732" w:rsidRPr="00A3026E" w14:paraId="6CEA1618" w14:textId="77777777" w:rsidTr="00EA0DA7">
        <w:trPr>
          <w:trHeight w:val="672"/>
        </w:trPr>
        <w:tc>
          <w:tcPr>
            <w:tcW w:w="3024" w:type="dxa"/>
            <w:tcBorders>
              <w:top w:val="single" w:sz="6" w:space="0" w:color="auto"/>
              <w:left w:val="single" w:sz="6" w:space="0" w:color="auto"/>
              <w:bottom w:val="single" w:sz="6" w:space="0" w:color="auto"/>
              <w:right w:val="single" w:sz="6" w:space="0" w:color="auto"/>
            </w:tcBorders>
          </w:tcPr>
          <w:p w14:paraId="08E0F4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Характеристика</w:t>
            </w:r>
          </w:p>
          <w:p w14:paraId="3911A4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4D24B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опытный</w:t>
            </w:r>
          </w:p>
          <w:p w14:paraId="42AAFC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4A99F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 опытный</w:t>
            </w:r>
          </w:p>
          <w:p w14:paraId="6A6623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B7FB1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 серийный</w:t>
            </w:r>
          </w:p>
          <w:p w14:paraId="1CBBCB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B7BFA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 серийный</w:t>
            </w:r>
          </w:p>
          <w:p w14:paraId="0E3C14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1ED8B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Як-2 серийный</w:t>
            </w:r>
          </w:p>
          <w:p w14:paraId="010D16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E27C8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Як-2 серийный</w:t>
            </w:r>
          </w:p>
          <w:p w14:paraId="075385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A3E62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ББ-22бис опытный</w:t>
            </w:r>
          </w:p>
          <w:p w14:paraId="365C57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F9481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Як-4 серийный</w:t>
            </w:r>
          </w:p>
          <w:p w14:paraId="4F3986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822763B" w14:textId="77777777" w:rsidTr="00EA0DA7">
        <w:trPr>
          <w:trHeight w:val="298"/>
        </w:trPr>
        <w:tc>
          <w:tcPr>
            <w:tcW w:w="3024" w:type="dxa"/>
            <w:tcBorders>
              <w:top w:val="single" w:sz="6" w:space="0" w:color="auto"/>
              <w:left w:val="single" w:sz="6" w:space="0" w:color="auto"/>
              <w:bottom w:val="single" w:sz="6" w:space="0" w:color="auto"/>
              <w:right w:val="single" w:sz="6" w:space="0" w:color="auto"/>
            </w:tcBorders>
          </w:tcPr>
          <w:p w14:paraId="6B5E93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Заводской номер</w:t>
            </w:r>
          </w:p>
          <w:p w14:paraId="266092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1DF26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48D536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68C13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36E31C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1C316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1012</w:t>
            </w:r>
          </w:p>
          <w:p w14:paraId="74484D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4D88C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1033</w:t>
            </w:r>
          </w:p>
          <w:p w14:paraId="52A1AC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F5E6C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1041</w:t>
            </w:r>
          </w:p>
          <w:p w14:paraId="04647A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DBA89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70204</w:t>
            </w:r>
          </w:p>
          <w:p w14:paraId="18364F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69E1A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1002</w:t>
            </w:r>
          </w:p>
          <w:p w14:paraId="2A6FFD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54EE4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70603</w:t>
            </w:r>
          </w:p>
          <w:p w14:paraId="5E94A8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5B2D7F5" w14:textId="77777777" w:rsidTr="00EA0DA7">
        <w:trPr>
          <w:trHeight w:val="298"/>
        </w:trPr>
        <w:tc>
          <w:tcPr>
            <w:tcW w:w="3024" w:type="dxa"/>
            <w:tcBorders>
              <w:top w:val="single" w:sz="6" w:space="0" w:color="auto"/>
              <w:left w:val="single" w:sz="6" w:space="0" w:color="auto"/>
              <w:bottom w:val="single" w:sz="6" w:space="0" w:color="auto"/>
              <w:right w:val="single" w:sz="6" w:space="0" w:color="auto"/>
            </w:tcBorders>
          </w:tcPr>
          <w:p w14:paraId="2D1E63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Завод-изготовитель</w:t>
            </w:r>
          </w:p>
          <w:p w14:paraId="01EAEC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C923A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115</w:t>
            </w:r>
          </w:p>
          <w:p w14:paraId="00CD52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FE56D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115</w:t>
            </w:r>
          </w:p>
          <w:p w14:paraId="7F9B26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E1854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w:t>
            </w:r>
          </w:p>
          <w:p w14:paraId="067068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15D81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w:t>
            </w:r>
          </w:p>
          <w:p w14:paraId="1B4C41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77B63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w:t>
            </w:r>
          </w:p>
          <w:p w14:paraId="33980A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AE2BA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p w14:paraId="171E84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8D7F1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w:t>
            </w:r>
          </w:p>
          <w:p w14:paraId="5F54B7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014C8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p w14:paraId="485E53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86EE83D" w14:textId="77777777" w:rsidTr="00EA0DA7">
        <w:trPr>
          <w:trHeight w:val="307"/>
        </w:trPr>
        <w:tc>
          <w:tcPr>
            <w:tcW w:w="3024" w:type="dxa"/>
            <w:tcBorders>
              <w:top w:val="single" w:sz="6" w:space="0" w:color="auto"/>
              <w:left w:val="single" w:sz="6" w:space="0" w:color="auto"/>
              <w:bottom w:val="single" w:sz="6" w:space="0" w:color="auto"/>
              <w:right w:val="single" w:sz="6" w:space="0" w:color="auto"/>
            </w:tcBorders>
          </w:tcPr>
          <w:p w14:paraId="1913B2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Дата окончания испытаний</w:t>
            </w:r>
          </w:p>
          <w:p w14:paraId="23B9E3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D5495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6.1939</w:t>
            </w:r>
          </w:p>
          <w:p w14:paraId="20F8D9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5B410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2.1940</w:t>
            </w:r>
          </w:p>
          <w:p w14:paraId="67EE74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1F69E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3.1940</w:t>
            </w:r>
          </w:p>
          <w:p w14:paraId="2D2766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B85C6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5.1940</w:t>
            </w:r>
          </w:p>
          <w:p w14:paraId="362B2C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15371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9.1940</w:t>
            </w:r>
          </w:p>
          <w:p w14:paraId="6948D9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ACA98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10.1940</w:t>
            </w:r>
          </w:p>
          <w:p w14:paraId="39462E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483A6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6.1940</w:t>
            </w:r>
          </w:p>
          <w:p w14:paraId="59A592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FE887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12.1940</w:t>
            </w:r>
          </w:p>
          <w:p w14:paraId="56B27C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5BE6C0B" w14:textId="77777777" w:rsidTr="00EA0DA7">
        <w:trPr>
          <w:trHeight w:val="307"/>
        </w:trPr>
        <w:tc>
          <w:tcPr>
            <w:tcW w:w="3024" w:type="dxa"/>
            <w:tcBorders>
              <w:top w:val="single" w:sz="6" w:space="0" w:color="auto"/>
              <w:left w:val="single" w:sz="6" w:space="0" w:color="auto"/>
              <w:bottom w:val="single" w:sz="6" w:space="0" w:color="auto"/>
              <w:right w:val="single" w:sz="6" w:space="0" w:color="auto"/>
            </w:tcBorders>
          </w:tcPr>
          <w:p w14:paraId="71D02D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мотора</w:t>
            </w:r>
          </w:p>
          <w:p w14:paraId="5A76E9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EEB7E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М- 103</w:t>
            </w:r>
          </w:p>
          <w:p w14:paraId="4B5ED7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083B4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М- 103</w:t>
            </w:r>
          </w:p>
          <w:p w14:paraId="27C0B5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7085A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М- 103</w:t>
            </w:r>
          </w:p>
          <w:p w14:paraId="069596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3AD74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М- 103</w:t>
            </w:r>
          </w:p>
          <w:p w14:paraId="205112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13F26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М- 103</w:t>
            </w:r>
          </w:p>
          <w:p w14:paraId="4EB29F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59E0B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М- 103</w:t>
            </w:r>
          </w:p>
          <w:p w14:paraId="0B30EB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EC055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М- 105</w:t>
            </w:r>
          </w:p>
          <w:p w14:paraId="6397FA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86924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М- 105</w:t>
            </w:r>
          </w:p>
          <w:p w14:paraId="54A916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A291FDF" w14:textId="77777777" w:rsidTr="00EA0DA7">
        <w:trPr>
          <w:trHeight w:val="298"/>
        </w:trPr>
        <w:tc>
          <w:tcPr>
            <w:tcW w:w="3024" w:type="dxa"/>
            <w:tcBorders>
              <w:top w:val="single" w:sz="6" w:space="0" w:color="auto"/>
              <w:left w:val="single" w:sz="6" w:space="0" w:color="auto"/>
              <w:bottom w:val="single" w:sz="6" w:space="0" w:color="auto"/>
              <w:right w:val="single" w:sz="6" w:space="0" w:color="auto"/>
            </w:tcBorders>
          </w:tcPr>
          <w:p w14:paraId="2543E4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 л. с.</w:t>
            </w:r>
          </w:p>
          <w:p w14:paraId="38B3EB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95B1B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w:t>
            </w:r>
          </w:p>
          <w:p w14:paraId="674916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9E19F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w:t>
            </w:r>
          </w:p>
          <w:p w14:paraId="5FC37D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9BC55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w:t>
            </w:r>
          </w:p>
          <w:p w14:paraId="791656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905AE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w:t>
            </w:r>
          </w:p>
          <w:p w14:paraId="1A13ED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9890F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w:t>
            </w:r>
          </w:p>
          <w:p w14:paraId="6A19CB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A977C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w:t>
            </w:r>
          </w:p>
          <w:p w14:paraId="20994F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49470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p w14:paraId="3D9F83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B7EDE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p w14:paraId="3D380B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735B94C" w14:textId="77777777" w:rsidTr="00EA0DA7">
        <w:trPr>
          <w:trHeight w:val="298"/>
        </w:trPr>
        <w:tc>
          <w:tcPr>
            <w:tcW w:w="3024" w:type="dxa"/>
            <w:tcBorders>
              <w:top w:val="single" w:sz="6" w:space="0" w:color="auto"/>
              <w:left w:val="single" w:sz="6" w:space="0" w:color="auto"/>
              <w:bottom w:val="single" w:sz="6" w:space="0" w:color="auto"/>
              <w:right w:val="single" w:sz="6" w:space="0" w:color="auto"/>
            </w:tcBorders>
          </w:tcPr>
          <w:p w14:paraId="06B87F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Масса полетная, кг</w:t>
            </w:r>
          </w:p>
          <w:p w14:paraId="6F0176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6213F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5023</w:t>
            </w:r>
          </w:p>
          <w:p w14:paraId="64816C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42C4B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5315</w:t>
            </w:r>
          </w:p>
          <w:p w14:paraId="4257A2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714BB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5380</w:t>
            </w:r>
          </w:p>
          <w:p w14:paraId="31754C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C0706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349BF1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D92B3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5660</w:t>
            </w:r>
          </w:p>
          <w:p w14:paraId="5FFCAD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B89D7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5630</w:t>
            </w:r>
          </w:p>
          <w:p w14:paraId="72298C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F00C6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5845</w:t>
            </w:r>
          </w:p>
          <w:p w14:paraId="1BD0A8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EE81D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6200</w:t>
            </w:r>
          </w:p>
          <w:p w14:paraId="19CE37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7EC8687" w14:textId="77777777" w:rsidTr="00EA0DA7">
        <w:trPr>
          <w:trHeight w:val="720"/>
        </w:trPr>
        <w:tc>
          <w:tcPr>
            <w:tcW w:w="3024" w:type="dxa"/>
            <w:tcBorders>
              <w:top w:val="single" w:sz="6" w:space="0" w:color="auto"/>
              <w:left w:val="single" w:sz="6" w:space="0" w:color="auto"/>
              <w:bottom w:val="single" w:sz="6" w:space="0" w:color="auto"/>
              <w:right w:val="single" w:sz="6" w:space="0" w:color="auto"/>
            </w:tcBorders>
          </w:tcPr>
          <w:p w14:paraId="03125E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полета у земли, км/ч на расчетной высоте, км/ч</w:t>
            </w:r>
          </w:p>
          <w:p w14:paraId="72BB1A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EE575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455 558*</w:t>
            </w:r>
          </w:p>
          <w:p w14:paraId="13D870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16104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449</w:t>
            </w:r>
          </w:p>
          <w:p w14:paraId="32094E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p w14:paraId="2A27AA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EC12C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439</w:t>
            </w:r>
          </w:p>
          <w:p w14:paraId="63D8DB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p w14:paraId="115A2F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BCB6E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412 495</w:t>
            </w:r>
          </w:p>
          <w:p w14:paraId="564C6C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CF626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399</w:t>
            </w:r>
          </w:p>
          <w:p w14:paraId="1A2EC6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478</w:t>
            </w:r>
          </w:p>
          <w:p w14:paraId="0F7F0E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85FFC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410 498</w:t>
            </w:r>
          </w:p>
          <w:p w14:paraId="357873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8F246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w:t>
            </w:r>
          </w:p>
          <w:p w14:paraId="318CD4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574</w:t>
            </w:r>
          </w:p>
          <w:p w14:paraId="02B0B6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04B49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p w14:paraId="735368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533</w:t>
            </w:r>
          </w:p>
          <w:p w14:paraId="61E922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1FBBC32" w14:textId="77777777" w:rsidTr="00EA0DA7">
        <w:trPr>
          <w:trHeight w:val="298"/>
        </w:trPr>
        <w:tc>
          <w:tcPr>
            <w:tcW w:w="3024" w:type="dxa"/>
            <w:tcBorders>
              <w:top w:val="single" w:sz="6" w:space="0" w:color="auto"/>
              <w:left w:val="single" w:sz="6" w:space="0" w:color="auto"/>
              <w:bottom w:val="single" w:sz="6" w:space="0" w:color="auto"/>
              <w:right w:val="single" w:sz="6" w:space="0" w:color="auto"/>
            </w:tcBorders>
          </w:tcPr>
          <w:p w14:paraId="57F1D2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Расчетная высота, м</w:t>
            </w:r>
          </w:p>
          <w:p w14:paraId="73382D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D4858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4900</w:t>
            </w:r>
          </w:p>
          <w:p w14:paraId="6B83F5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07237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w:t>
            </w:r>
          </w:p>
          <w:p w14:paraId="78C989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6A3D1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w:t>
            </w:r>
          </w:p>
          <w:p w14:paraId="359FF6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4BA63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w:t>
            </w:r>
          </w:p>
          <w:p w14:paraId="0D7DE9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27DA6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4600</w:t>
            </w:r>
          </w:p>
          <w:p w14:paraId="1958DE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15406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4800</w:t>
            </w:r>
          </w:p>
          <w:p w14:paraId="0F7E22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4F892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4800</w:t>
            </w:r>
          </w:p>
          <w:p w14:paraId="7F0769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A6A30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4900</w:t>
            </w:r>
          </w:p>
          <w:p w14:paraId="36C801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01D3F64" w14:textId="77777777" w:rsidTr="00EA0DA7">
        <w:trPr>
          <w:trHeight w:val="307"/>
        </w:trPr>
        <w:tc>
          <w:tcPr>
            <w:tcW w:w="3024" w:type="dxa"/>
            <w:tcBorders>
              <w:top w:val="single" w:sz="6" w:space="0" w:color="auto"/>
              <w:left w:val="single" w:sz="6" w:space="0" w:color="auto"/>
              <w:bottom w:val="single" w:sz="6" w:space="0" w:color="auto"/>
              <w:right w:val="single" w:sz="6" w:space="0" w:color="auto"/>
            </w:tcBorders>
          </w:tcPr>
          <w:p w14:paraId="216FA6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5000 м, мин.</w:t>
            </w:r>
          </w:p>
          <w:p w14:paraId="5349C8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09077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p w14:paraId="51409D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6EED7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w:t>
            </w:r>
          </w:p>
          <w:p w14:paraId="03D15D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1EE60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w:t>
            </w:r>
          </w:p>
          <w:p w14:paraId="010B34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5DDAE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448EF7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BB6FB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p w14:paraId="75EBCE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25254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p w14:paraId="5B75AC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C5A3C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5,45</w:t>
            </w:r>
          </w:p>
          <w:p w14:paraId="3CDCFA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48E0C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p w14:paraId="588DB9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A941F25" w14:textId="77777777" w:rsidTr="00EA0DA7">
        <w:trPr>
          <w:trHeight w:val="317"/>
        </w:trPr>
        <w:tc>
          <w:tcPr>
            <w:tcW w:w="3024" w:type="dxa"/>
            <w:tcBorders>
              <w:top w:val="single" w:sz="6" w:space="0" w:color="auto"/>
              <w:left w:val="single" w:sz="6" w:space="0" w:color="auto"/>
              <w:bottom w:val="single" w:sz="6" w:space="0" w:color="auto"/>
              <w:right w:val="single" w:sz="6" w:space="0" w:color="auto"/>
            </w:tcBorders>
          </w:tcPr>
          <w:p w14:paraId="0D15C4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 м</w:t>
            </w:r>
          </w:p>
          <w:p w14:paraId="1719C5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A850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10800</w:t>
            </w:r>
          </w:p>
          <w:p w14:paraId="1E1F1F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B0E21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8900</w:t>
            </w:r>
          </w:p>
          <w:p w14:paraId="5832E6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3CFE4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8900</w:t>
            </w:r>
          </w:p>
          <w:p w14:paraId="497C48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FF540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3EB249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8BADC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8100</w:t>
            </w:r>
          </w:p>
          <w:p w14:paraId="13A5AB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5BE23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8700</w:t>
            </w:r>
          </w:p>
          <w:p w14:paraId="7A717C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EB742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10100</w:t>
            </w:r>
          </w:p>
          <w:p w14:paraId="076C6C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59E28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p w14:paraId="7F84F4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0F7BA8BC" w14:textId="77777777" w:rsidR="00C66762" w:rsidRPr="00A3026E" w:rsidRDefault="00C66762" w:rsidP="00A3026E">
      <w:pPr>
        <w:shd w:val="clear" w:color="auto" w:fill="FFFFFF"/>
        <w:spacing w:after="0" w:line="240" w:lineRule="auto"/>
        <w:jc w:val="both"/>
        <w:rPr>
          <w:rFonts w:ascii="Times New Roman" w:hAnsi="Times New Roman"/>
          <w:iCs/>
          <w:color w:val="000000" w:themeColor="text1"/>
          <w:sz w:val="16"/>
          <w:szCs w:val="16"/>
        </w:rPr>
      </w:pPr>
      <w:r w:rsidRPr="00A3026E">
        <w:rPr>
          <w:rFonts w:ascii="Times New Roman" w:hAnsi="Times New Roman"/>
          <w:iCs/>
          <w:color w:val="000000" w:themeColor="text1"/>
          <w:sz w:val="16"/>
          <w:szCs w:val="16"/>
        </w:rPr>
        <w:t>С учетом поправки на сжимаемость воздуха (без учета — 567 км/ч) (11214).</w:t>
      </w:r>
    </w:p>
    <w:p w14:paraId="1604E3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48750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октября 1940 г. М. А. Липкин поднял в воздух пикирующий бомбардировщик ББ-22ПБ, который при полетном весе 5962 кг показал скорость 533 км/ч на высоте 5100 м. Бомбовая нагрузка "двадцать второго" включала 4 ФАБ-100 или 2 ФАБ-250. Полным ходом шла подготовка к заводским испытаниям головного серийного пикировщика ПБ-100 производства завода № 39. Первые полеты по программе заводских испытаний были намечены на первую декаду декабря (9660).</w:t>
      </w:r>
    </w:p>
    <w:p w14:paraId="6631A63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9C2B5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октября 1940 начался второй этап испытаний ОКО-6 - ОКО-6бис (4,56) (Та-3) с разнесенным оперением и более длинным фюзеляжем (553,149).</w:t>
      </w:r>
    </w:p>
    <w:p w14:paraId="5DC1311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7857834" w14:textId="77777777" w:rsidR="00A44584" w:rsidRPr="00A3026E" w:rsidRDefault="00A44584" w:rsidP="00A3026E">
      <w:pPr>
        <w:pStyle w:val="a3"/>
        <w:rPr>
          <w:color w:val="000000" w:themeColor="text1"/>
          <w:lang w:val="ru-RU"/>
        </w:rPr>
      </w:pPr>
      <w:r w:rsidRPr="00A3026E">
        <w:rPr>
          <w:color w:val="000000" w:themeColor="text1"/>
          <w:lang w:val="ru-RU"/>
        </w:rPr>
        <w:t>В конце октября 1940 из сборочного цеха завода № 1 стали выходить серийные И-200, а в ноябре военпреды приняли первые 20 машин (15976).</w:t>
      </w:r>
    </w:p>
    <w:p w14:paraId="366140DA" w14:textId="77777777" w:rsidR="00A44584" w:rsidRPr="00A3026E" w:rsidRDefault="00A44584" w:rsidP="00A3026E">
      <w:pPr>
        <w:pStyle w:val="a3"/>
        <w:rPr>
          <w:color w:val="000000" w:themeColor="text1"/>
          <w:lang w:val="ru-RU"/>
        </w:rPr>
      </w:pPr>
    </w:p>
    <w:p w14:paraId="4C01BC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октября 1940 г. Н.Н.Поликарпов выехал на завод № 21, чтобы на месте ознакомиться с проблемами се</w:t>
      </w:r>
      <w:r w:rsidRPr="00A3026E">
        <w:rPr>
          <w:rFonts w:ascii="Times New Roman" w:hAnsi="Times New Roman"/>
          <w:color w:val="000000" w:themeColor="text1"/>
          <w:sz w:val="16"/>
          <w:szCs w:val="16"/>
        </w:rPr>
        <w:softHyphen/>
        <w:t>рийной постройки И-180. 3 ноября 1940 г. он написал письмо заместителям наркома авиационной промыш</w:t>
      </w:r>
      <w:r w:rsidRPr="00A3026E">
        <w:rPr>
          <w:rFonts w:ascii="Times New Roman" w:hAnsi="Times New Roman"/>
          <w:color w:val="000000" w:themeColor="text1"/>
          <w:sz w:val="16"/>
          <w:szCs w:val="16"/>
        </w:rPr>
        <w:softHyphen/>
        <w:t>ленности Яковлеву и Воронину, в котором отразил ис</w:t>
      </w:r>
      <w:r w:rsidRPr="00A3026E">
        <w:rPr>
          <w:rFonts w:ascii="Times New Roman" w:hAnsi="Times New Roman"/>
          <w:color w:val="000000" w:themeColor="text1"/>
          <w:sz w:val="16"/>
          <w:szCs w:val="16"/>
        </w:rPr>
        <w:softHyphen/>
        <w:t>тинное положение дел с серийным выпуском машины:</w:t>
      </w:r>
    </w:p>
    <w:p w14:paraId="79A90A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Работа по самолету И-180 начинает разворачи</w:t>
      </w:r>
      <w:r w:rsidRPr="00A3026E">
        <w:rPr>
          <w:rFonts w:ascii="Times New Roman" w:hAnsi="Times New Roman"/>
          <w:color w:val="000000" w:themeColor="text1"/>
          <w:sz w:val="16"/>
          <w:szCs w:val="16"/>
        </w:rPr>
        <w:softHyphen/>
        <w:t>ваться не только по войсковой серии, но и по первой и второй сериям этих самолетов. Как показывают прила</w:t>
      </w:r>
      <w:r w:rsidRPr="00A3026E">
        <w:rPr>
          <w:rFonts w:ascii="Times New Roman" w:hAnsi="Times New Roman"/>
          <w:color w:val="000000" w:themeColor="text1"/>
          <w:sz w:val="16"/>
          <w:szCs w:val="16"/>
        </w:rPr>
        <w:softHyphen/>
        <w:t>гаемые ведомости задела на ЗО.УШ.-40 г., заготовка на первую серию заканчивается, а на вторую развернуты полностью.</w:t>
      </w:r>
    </w:p>
    <w:p w14:paraId="650BBE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Сборка самолетов из заготовок ведется пока мало</w:t>
      </w:r>
      <w:r w:rsidRPr="00A3026E">
        <w:rPr>
          <w:rFonts w:ascii="Times New Roman" w:hAnsi="Times New Roman"/>
          <w:color w:val="000000" w:themeColor="text1"/>
          <w:sz w:val="16"/>
          <w:szCs w:val="16"/>
        </w:rPr>
        <w:softHyphen/>
        <w:t>удовлетворительно. В августе не закончена сборка вой</w:t>
      </w:r>
      <w:r w:rsidRPr="00A3026E">
        <w:rPr>
          <w:rFonts w:ascii="Times New Roman" w:hAnsi="Times New Roman"/>
          <w:color w:val="000000" w:themeColor="text1"/>
          <w:sz w:val="16"/>
          <w:szCs w:val="16"/>
        </w:rPr>
        <w:softHyphen/>
        <w:t>сковой серии, как предполагалось; также не будет закончена сборка первой серии, что следовало по плану.</w:t>
      </w:r>
    </w:p>
    <w:p w14:paraId="0E9465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Общее запаздывание по сборке на сегодня можно оценить в один месяц, а это ставит под сомнение выпол</w:t>
      </w:r>
      <w:r w:rsidRPr="00A3026E">
        <w:rPr>
          <w:rFonts w:ascii="Times New Roman" w:hAnsi="Times New Roman"/>
          <w:color w:val="000000" w:themeColor="text1"/>
          <w:sz w:val="16"/>
          <w:szCs w:val="16"/>
        </w:rPr>
        <w:softHyphen/>
        <w:t>нение программы этого года по самолету И-180 на заво</w:t>
      </w:r>
      <w:r w:rsidRPr="00A3026E">
        <w:rPr>
          <w:rFonts w:ascii="Times New Roman" w:hAnsi="Times New Roman"/>
          <w:color w:val="000000" w:themeColor="text1"/>
          <w:sz w:val="16"/>
          <w:szCs w:val="16"/>
        </w:rPr>
        <w:softHyphen/>
        <w:t>де № 21.</w:t>
      </w:r>
    </w:p>
    <w:p w14:paraId="6E0FC1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Основным вопросом, тормозящим окончание и облет самолетов И-180, является вопрос с мотором М-88. Не говоря уже о том, что на имеющихся на заводе №21 моторах М-88 летать нельзя, по заводу № 21 ходят всяко</w:t>
      </w:r>
      <w:r w:rsidRPr="00A3026E">
        <w:rPr>
          <w:rFonts w:ascii="Times New Roman" w:hAnsi="Times New Roman"/>
          <w:color w:val="000000" w:themeColor="text1"/>
          <w:sz w:val="16"/>
          <w:szCs w:val="16"/>
        </w:rPr>
        <w:softHyphen/>
        <w:t>го рода слухи об окончательном снятии мотора М-88 с серийного производства, а в связи с этим и закрытия производства самолета И-180.</w:t>
      </w:r>
    </w:p>
    <w:p w14:paraId="6D8C98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Совершенно необходимо в самом срочном порядке добиться получения на завод кондиционных моторов М-88 с тем, чтобы в ближайшее время начать облет за</w:t>
      </w:r>
      <w:r w:rsidRPr="00A3026E">
        <w:rPr>
          <w:rFonts w:ascii="Times New Roman" w:hAnsi="Times New Roman"/>
          <w:color w:val="000000" w:themeColor="text1"/>
          <w:sz w:val="16"/>
          <w:szCs w:val="16"/>
        </w:rPr>
        <w:softHyphen/>
        <w:t>конченных самолетов.</w:t>
      </w:r>
    </w:p>
    <w:p w14:paraId="45D254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Несмотря на постановление Коллегии Наркомата по заводу №21 от 25.У1. с/г об отпуске оборудования, станки, наряженные наркоматом, до сих пор заводом № 21 не получены, вследствие чего создается угроза за</w:t>
      </w:r>
      <w:r w:rsidRPr="00A3026E">
        <w:rPr>
          <w:rFonts w:ascii="Times New Roman" w:hAnsi="Times New Roman"/>
          <w:color w:val="000000" w:themeColor="text1"/>
          <w:sz w:val="16"/>
          <w:szCs w:val="16"/>
        </w:rPr>
        <w:softHyphen/>
        <w:t>готовке механических деталей для самолета И-180. Не</w:t>
      </w:r>
      <w:r w:rsidRPr="00A3026E">
        <w:rPr>
          <w:rFonts w:ascii="Times New Roman" w:hAnsi="Times New Roman"/>
          <w:color w:val="000000" w:themeColor="text1"/>
          <w:sz w:val="16"/>
          <w:szCs w:val="16"/>
        </w:rPr>
        <w:softHyphen/>
        <w:t>обходимо побудить завод №21 ускорить реализацию наряда на станки и, кроме того, разместить на других за</w:t>
      </w:r>
      <w:r w:rsidRPr="00A3026E">
        <w:rPr>
          <w:rFonts w:ascii="Times New Roman" w:hAnsi="Times New Roman"/>
          <w:color w:val="000000" w:themeColor="text1"/>
          <w:sz w:val="16"/>
          <w:szCs w:val="16"/>
        </w:rPr>
        <w:softHyphen/>
        <w:t>водах наркомата изготовление механических деталей.</w:t>
      </w:r>
    </w:p>
    <w:p w14:paraId="310BD4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Заводу № 21 постановлением Правительства опре</w:t>
      </w:r>
      <w:r w:rsidRPr="00A3026E">
        <w:rPr>
          <w:rFonts w:ascii="Times New Roman" w:hAnsi="Times New Roman"/>
          <w:color w:val="000000" w:themeColor="text1"/>
          <w:sz w:val="16"/>
          <w:szCs w:val="16"/>
        </w:rPr>
        <w:softHyphen/>
        <w:t>делена премия за освоение самолета И-180 в 3000000 рублей. Заводом № 21 уточнена премиальная система и доведена до отдельного работника. Однако было бы це</w:t>
      </w:r>
      <w:r w:rsidRPr="00A3026E">
        <w:rPr>
          <w:rFonts w:ascii="Times New Roman" w:hAnsi="Times New Roman"/>
          <w:color w:val="000000" w:themeColor="text1"/>
          <w:sz w:val="16"/>
          <w:szCs w:val="16"/>
        </w:rPr>
        <w:softHyphen/>
        <w:t>лесообразно по примеру других заводов дать право за</w:t>
      </w:r>
      <w:r w:rsidRPr="00A3026E">
        <w:rPr>
          <w:rFonts w:ascii="Times New Roman" w:hAnsi="Times New Roman"/>
          <w:color w:val="000000" w:themeColor="text1"/>
          <w:sz w:val="16"/>
          <w:szCs w:val="16"/>
        </w:rPr>
        <w:softHyphen/>
        <w:t>воду №21 выдавать премию авансом в небольших размерах тем работникам, коим закончен свой участок работы или кои показали большую и инициативную ра</w:t>
      </w:r>
      <w:r w:rsidRPr="00A3026E">
        <w:rPr>
          <w:rFonts w:ascii="Times New Roman" w:hAnsi="Times New Roman"/>
          <w:color w:val="000000" w:themeColor="text1"/>
          <w:sz w:val="16"/>
          <w:szCs w:val="16"/>
        </w:rPr>
        <w:softHyphen/>
        <w:t>боту по освоению И-180.</w:t>
      </w:r>
    </w:p>
    <w:p w14:paraId="2DD97E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Подобное мероприятие сильно стимулировало бы и ускорило бы работу по И-180» (10667).</w:t>
      </w:r>
    </w:p>
    <w:p w14:paraId="0BE24E2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DBD8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октября 1941 получили новый мотор для И-135. Испытания возобновились 10 ноября. Из-за болезни П.М.Попельнюшенко даль</w:t>
      </w:r>
      <w:r w:rsidRPr="00A3026E">
        <w:rPr>
          <w:rFonts w:ascii="Times New Roman" w:hAnsi="Times New Roman"/>
          <w:color w:val="000000" w:themeColor="text1"/>
          <w:sz w:val="16"/>
          <w:szCs w:val="16"/>
        </w:rPr>
        <w:softHyphen/>
        <w:t>нейшие полеты продолжил летчик-испытатель В.П.Федоров. До конца 1940 года по программе испыта</w:t>
      </w:r>
      <w:r w:rsidRPr="00A3026E">
        <w:rPr>
          <w:rFonts w:ascii="Times New Roman" w:hAnsi="Times New Roman"/>
          <w:color w:val="000000" w:themeColor="text1"/>
          <w:sz w:val="16"/>
          <w:szCs w:val="16"/>
        </w:rPr>
        <w:softHyphen/>
        <w:t>ний были выполнены следующие работы:</w:t>
      </w:r>
    </w:p>
    <w:p w14:paraId="2406B2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определены взлетно-посадоч</w:t>
      </w:r>
      <w:r w:rsidRPr="00A3026E">
        <w:rPr>
          <w:rFonts w:ascii="Times New Roman" w:hAnsi="Times New Roman"/>
          <w:color w:val="000000" w:themeColor="text1"/>
          <w:sz w:val="16"/>
          <w:szCs w:val="16"/>
        </w:rPr>
        <w:softHyphen/>
        <w:t>ные характеристиками;</w:t>
      </w:r>
    </w:p>
    <w:p w14:paraId="2FFCD9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сняты балансировочные кри</w:t>
      </w:r>
      <w:r w:rsidRPr="00A3026E">
        <w:rPr>
          <w:rFonts w:ascii="Times New Roman" w:hAnsi="Times New Roman"/>
          <w:color w:val="000000" w:themeColor="text1"/>
          <w:sz w:val="16"/>
          <w:szCs w:val="16"/>
        </w:rPr>
        <w:softHyphen/>
        <w:t>вые в горизонтальном полете, при планировании и при наборе высо</w:t>
      </w:r>
      <w:r w:rsidRPr="00A3026E">
        <w:rPr>
          <w:rFonts w:ascii="Times New Roman" w:hAnsi="Times New Roman"/>
          <w:color w:val="000000" w:themeColor="text1"/>
          <w:sz w:val="16"/>
          <w:szCs w:val="16"/>
        </w:rPr>
        <w:softHyphen/>
        <w:t>ты;</w:t>
      </w:r>
    </w:p>
    <w:p w14:paraId="12342D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сняты максимальные скорости на высотах до 6000 м. (зафиксирова</w:t>
      </w:r>
      <w:r w:rsidRPr="00A3026E">
        <w:rPr>
          <w:rFonts w:ascii="Times New Roman" w:hAnsi="Times New Roman"/>
          <w:color w:val="000000" w:themeColor="text1"/>
          <w:sz w:val="16"/>
          <w:szCs w:val="16"/>
        </w:rPr>
        <w:softHyphen/>
        <w:t>на максимальная скорость 580 км/ч на высоте 4000 м);</w:t>
      </w:r>
    </w:p>
    <w:p w14:paraId="76CEEB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определена скороподъемность до 5000 м;</w:t>
      </w:r>
    </w:p>
    <w:p w14:paraId="7B3893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проведено испытание на флат</w:t>
      </w:r>
      <w:r w:rsidRPr="00A3026E">
        <w:rPr>
          <w:rFonts w:ascii="Times New Roman" w:hAnsi="Times New Roman"/>
          <w:color w:val="000000" w:themeColor="text1"/>
          <w:sz w:val="16"/>
          <w:szCs w:val="16"/>
        </w:rPr>
        <w:softHyphen/>
        <w:t>тер и бафтинг в диапазоне скорос</w:t>
      </w:r>
      <w:r w:rsidRPr="00A3026E">
        <w:rPr>
          <w:rFonts w:ascii="Times New Roman" w:hAnsi="Times New Roman"/>
          <w:color w:val="000000" w:themeColor="text1"/>
          <w:sz w:val="16"/>
          <w:szCs w:val="16"/>
        </w:rPr>
        <w:softHyphen/>
        <w:t>тей от 150 до 600 км/ч по прибору;</w:t>
      </w:r>
    </w:p>
    <w:p w14:paraId="446E3E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произведен отстрел оружия в тире.</w:t>
      </w:r>
    </w:p>
    <w:p w14:paraId="54609A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летных испытаний само</w:t>
      </w:r>
      <w:r w:rsidRPr="00A3026E">
        <w:rPr>
          <w:rFonts w:ascii="Times New Roman" w:hAnsi="Times New Roman"/>
          <w:color w:val="000000" w:themeColor="text1"/>
          <w:sz w:val="16"/>
          <w:szCs w:val="16"/>
        </w:rPr>
        <w:softHyphen/>
        <w:t>лет Су-1 показал хорошую продоль</w:t>
      </w:r>
      <w:r w:rsidRPr="00A3026E">
        <w:rPr>
          <w:rFonts w:ascii="Times New Roman" w:hAnsi="Times New Roman"/>
          <w:color w:val="000000" w:themeColor="text1"/>
          <w:sz w:val="16"/>
          <w:szCs w:val="16"/>
        </w:rPr>
        <w:softHyphen/>
        <w:t>ную и поперечную устойчивость. Взлет и посадка отличались просто</w:t>
      </w:r>
      <w:r w:rsidRPr="00A3026E">
        <w:rPr>
          <w:rFonts w:ascii="Times New Roman" w:hAnsi="Times New Roman"/>
          <w:color w:val="000000" w:themeColor="text1"/>
          <w:sz w:val="16"/>
          <w:szCs w:val="16"/>
        </w:rPr>
        <w:softHyphen/>
        <w:t>той и никаких особенностей не име</w:t>
      </w:r>
      <w:r w:rsidRPr="00A3026E">
        <w:rPr>
          <w:rFonts w:ascii="Times New Roman" w:hAnsi="Times New Roman"/>
          <w:color w:val="000000" w:themeColor="text1"/>
          <w:sz w:val="16"/>
          <w:szCs w:val="16"/>
        </w:rPr>
        <w:softHyphen/>
        <w:t>ли. Усилия на ручку и педали - нор</w:t>
      </w:r>
      <w:r w:rsidRPr="00A3026E">
        <w:rPr>
          <w:rFonts w:ascii="Times New Roman" w:hAnsi="Times New Roman"/>
          <w:color w:val="000000" w:themeColor="text1"/>
          <w:sz w:val="16"/>
          <w:szCs w:val="16"/>
        </w:rPr>
        <w:softHyphen/>
        <w:t>мальные (11847).</w:t>
      </w:r>
    </w:p>
    <w:p w14:paraId="19079C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418E4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октября 1940 г. удалось возобновить полеты ИС-1. Шевченко сняли с руководителя ОКБ (начальником был назначен некий Озимков), но оставили в должности главного конструктора, Никитина также понизили в ранге, он теперь стал замом главного конструктора. Впрочем, Владимир Васильевич действительно обладал руководящим талантом. Предполагая, что могут настать более сложные времена, он еще в 1938 г. добился получения небольшой площадки в районе Центрального аэродрома для строительства собственного доводочного цеха. Поначалу это была небольшая территория, огороженная забором с импровизированным фанерным сараем. Именно здесь, практически под открытым небом, велась подготовка ИС-1 к продолжению испытаний (11966).</w:t>
      </w:r>
    </w:p>
    <w:p w14:paraId="5A127B5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2127108"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886EAC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AE937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октября 1940 руководством АБТУ были в основном сформулированы требования по дополнению и изменению конструкций новых танков и тактико-технических требо</w:t>
      </w:r>
      <w:r w:rsidRPr="00A3026E">
        <w:rPr>
          <w:rFonts w:ascii="Times New Roman" w:hAnsi="Times New Roman"/>
          <w:color w:val="000000" w:themeColor="text1"/>
          <w:sz w:val="16"/>
          <w:szCs w:val="16"/>
        </w:rPr>
        <w:softHyphen/>
        <w:t>ваний к ним, а 6 ноября 1940 г. маршал С. Тимошенко об</w:t>
      </w:r>
      <w:r w:rsidRPr="00A3026E">
        <w:rPr>
          <w:rFonts w:ascii="Times New Roman" w:hAnsi="Times New Roman"/>
          <w:color w:val="000000" w:themeColor="text1"/>
          <w:sz w:val="16"/>
          <w:szCs w:val="16"/>
        </w:rPr>
        <w:softHyphen/>
        <w:t>ратился к Председателю КО при СНК СССР К. Ворошило</w:t>
      </w:r>
      <w:r w:rsidRPr="00A3026E">
        <w:rPr>
          <w:rFonts w:ascii="Times New Roman" w:hAnsi="Times New Roman"/>
          <w:color w:val="000000" w:themeColor="text1"/>
          <w:sz w:val="16"/>
          <w:szCs w:val="16"/>
        </w:rPr>
        <w:softHyphen/>
        <w:t>ву со следующим письмом:</w:t>
      </w:r>
    </w:p>
    <w:p w14:paraId="7FF56D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«Проведенные опытные учения Танковых и Механизиро</w:t>
      </w:r>
      <w:r w:rsidRPr="00A3026E">
        <w:rPr>
          <w:rFonts w:ascii="Times New Roman" w:hAnsi="Times New Roman"/>
          <w:color w:val="000000" w:themeColor="text1"/>
          <w:sz w:val="16"/>
          <w:szCs w:val="16"/>
        </w:rPr>
        <w:softHyphen/>
        <w:t>ванных Войск показали, что вопросы управления танковыми подразделениями крайне затруднены.</w:t>
      </w:r>
    </w:p>
    <w:p w14:paraId="057285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Смотровой прибор механика-водителя танка РЖр№ III на исследовании в НИБТполигоне.</w:t>
      </w:r>
    </w:p>
    <w:p w14:paraId="156CB0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длительных пробегов и испытаний танков, а также изучение передовых образцов иностранной танко</w:t>
      </w:r>
      <w:r w:rsidRPr="00A3026E">
        <w:rPr>
          <w:rFonts w:ascii="Times New Roman" w:hAnsi="Times New Roman"/>
          <w:color w:val="000000" w:themeColor="text1"/>
          <w:sz w:val="16"/>
          <w:szCs w:val="16"/>
        </w:rPr>
        <w:softHyphen/>
        <w:t>вой техники показывают, что в Тактико-Технические тре</w:t>
      </w:r>
      <w:r w:rsidRPr="00A3026E">
        <w:rPr>
          <w:rFonts w:ascii="Times New Roman" w:hAnsi="Times New Roman"/>
          <w:color w:val="000000" w:themeColor="text1"/>
          <w:sz w:val="16"/>
          <w:szCs w:val="16"/>
        </w:rPr>
        <w:softHyphen/>
        <w:t>бования по нашим танкам необходимо внести соответству</w:t>
      </w:r>
      <w:r w:rsidRPr="00A3026E">
        <w:rPr>
          <w:rFonts w:ascii="Times New Roman" w:hAnsi="Times New Roman"/>
          <w:color w:val="000000" w:themeColor="text1"/>
          <w:sz w:val="16"/>
          <w:szCs w:val="16"/>
        </w:rPr>
        <w:softHyphen/>
        <w:t>ющие дополнения.</w:t>
      </w:r>
    </w:p>
    <w:p w14:paraId="05B610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Танковому командиру, начиная от отдельного танка и выше, необходимо дать возможность полного и постоянного наблюдения за полем боя, за обстановкой и за подчиненными ему танками, освободив его окончательно от обязанности ар</w:t>
      </w:r>
      <w:r w:rsidRPr="00A3026E">
        <w:rPr>
          <w:rFonts w:ascii="Times New Roman" w:hAnsi="Times New Roman"/>
          <w:color w:val="000000" w:themeColor="text1"/>
          <w:sz w:val="16"/>
          <w:szCs w:val="16"/>
        </w:rPr>
        <w:softHyphen/>
        <w:t>тиллериста или заряжающего.</w:t>
      </w:r>
    </w:p>
    <w:p w14:paraId="349E84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 время смотровые приборы и средства обозрения для командира ограниченны и вызывают крайнюю необходи</w:t>
      </w:r>
      <w:r w:rsidRPr="00A3026E">
        <w:rPr>
          <w:rFonts w:ascii="Times New Roman" w:hAnsi="Times New Roman"/>
          <w:color w:val="000000" w:themeColor="text1"/>
          <w:sz w:val="16"/>
          <w:szCs w:val="16"/>
        </w:rPr>
        <w:softHyphen/>
        <w:t>мость увеличения круговой видимости и обзорности для каж</w:t>
      </w:r>
      <w:r w:rsidRPr="00A3026E">
        <w:rPr>
          <w:rFonts w:ascii="Times New Roman" w:hAnsi="Times New Roman"/>
          <w:color w:val="000000" w:themeColor="text1"/>
          <w:sz w:val="16"/>
          <w:szCs w:val="16"/>
        </w:rPr>
        <w:softHyphen/>
        <w:t>дого отдельного танка.</w:t>
      </w:r>
    </w:p>
    <w:p w14:paraId="405F04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необходимо значительно понизить усилия на приводах управления танком при вождении.</w:t>
      </w:r>
    </w:p>
    <w:p w14:paraId="183C21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повышения боевых качеств танков... необходимо внести следующие дополнения в ТТТ.</w:t>
      </w:r>
    </w:p>
    <w:p w14:paraId="55E4C3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Установить на башнях танков специальные командир</w:t>
      </w:r>
      <w:r w:rsidRPr="00A3026E">
        <w:rPr>
          <w:rFonts w:ascii="Times New Roman" w:hAnsi="Times New Roman"/>
          <w:color w:val="000000" w:themeColor="text1"/>
          <w:sz w:val="16"/>
          <w:szCs w:val="16"/>
        </w:rPr>
        <w:softHyphen/>
        <w:t>ские смотровые башенки с круговым обзором.</w:t>
      </w:r>
    </w:p>
    <w:p w14:paraId="4436E8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Пересмотреть численный состав экипажей.</w:t>
      </w:r>
    </w:p>
    <w:p w14:paraId="09818B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Уточнить вооружение и боекомплект.</w:t>
      </w:r>
    </w:p>
    <w:p w14:paraId="49E2DE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Для внешней связи потребовать установки р/с КРСТБ меньш. по габаритам, чем 71-ТКипроще в настройке.</w:t>
      </w:r>
    </w:p>
    <w:p w14:paraId="1F74B8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Для внутренней связи потребовать применение ларин</w:t>
      </w:r>
      <w:r w:rsidRPr="00A3026E">
        <w:rPr>
          <w:rFonts w:ascii="Times New Roman" w:hAnsi="Times New Roman"/>
          <w:color w:val="000000" w:themeColor="text1"/>
          <w:sz w:val="16"/>
          <w:szCs w:val="16"/>
        </w:rPr>
        <w:softHyphen/>
        <w:t>гофонов взамен громоздких микрофонов.</w:t>
      </w:r>
    </w:p>
    <w:p w14:paraId="5BE0A1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 Смотровые приборы механика-водителя и радиста заме</w:t>
      </w:r>
      <w:r w:rsidRPr="00A3026E">
        <w:rPr>
          <w:rFonts w:ascii="Times New Roman" w:hAnsi="Times New Roman"/>
          <w:color w:val="000000" w:themeColor="text1"/>
          <w:sz w:val="16"/>
          <w:szCs w:val="16"/>
        </w:rPr>
        <w:softHyphen/>
        <w:t>нить на более совершенные. Водителю, кроме того, установить оптический смотровой прибор.</w:t>
      </w:r>
    </w:p>
    <w:p w14:paraId="53ADE4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Потребовать гарантийный срок работы танка не ме</w:t>
      </w:r>
      <w:r w:rsidRPr="00A3026E">
        <w:rPr>
          <w:rFonts w:ascii="Times New Roman" w:hAnsi="Times New Roman"/>
          <w:color w:val="000000" w:themeColor="text1"/>
          <w:sz w:val="16"/>
          <w:szCs w:val="16"/>
        </w:rPr>
        <w:softHyphen/>
        <w:t>нее 600 часов до К. Р.</w:t>
      </w:r>
    </w:p>
    <w:p w14:paraId="512737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Подвеску танка Т-34 переделать на индивидуальную</w:t>
      </w:r>
    </w:p>
    <w:p w14:paraId="68933B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торсионную.</w:t>
      </w:r>
    </w:p>
    <w:p w14:paraId="736E2E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В первой половине 1941 г. заводы должны разработать и подготовить к серийному выпуску планетарную трансмис</w:t>
      </w:r>
      <w:r w:rsidRPr="00A3026E">
        <w:rPr>
          <w:rFonts w:ascii="Times New Roman" w:hAnsi="Times New Roman"/>
          <w:color w:val="000000" w:themeColor="text1"/>
          <w:sz w:val="16"/>
          <w:szCs w:val="16"/>
        </w:rPr>
        <w:softHyphen/>
        <w:t>сию для танков Т-34 и КВ. Это позволит увеличить среднюю скорость танков и облегчить управление.</w:t>
      </w:r>
    </w:p>
    <w:p w14:paraId="64EAF7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Представляю проект постановления КО.</w:t>
      </w:r>
    </w:p>
    <w:p w14:paraId="2513BD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утвердить.</w:t>
      </w:r>
    </w:p>
    <w:p w14:paraId="01504E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Маршал Советского Союза С. Тимошенко» (10782).</w:t>
      </w:r>
    </w:p>
    <w:p w14:paraId="00D37C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C4E7DF2"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октября 1940 г. коллектив завода № 183 завершил подготовку к испытаниям танков Т-34 с заводскими номерами 608-01, 423-41 и 547-29. От серийных машин они отличались, прежде всего, установкой средств радиосвязи – радиостанции 71-ТК-3 на этих танках размещались не в башнях, а в носовой части корпуса. Танки № 608-01 и № 547-29 были оборудованы новыми танковыми переговорными устройствами на три абонента ТПУ-3М. </w:t>
      </w:r>
    </w:p>
    <w:p w14:paraId="7A427E78"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на всех танках была изменена укладка возимого снаружи машины комплекта запасных частей, инструмента и принадлежностей (ЗИП). </w:t>
      </w:r>
    </w:p>
    <w:p w14:paraId="63FAB31C"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правому борту машины на надгусеничной полке от носа к корме были уложены: </w:t>
      </w:r>
    </w:p>
    <w:p w14:paraId="23B61A35"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два буксирных троса, крепившихся к переднему грязевому щитку и надгусеничной полке с помощью двух кожаных ремней; </w:t>
      </w:r>
    </w:p>
    <w:p w14:paraId="1C181F59"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три укладки шпор, при этом каждая укладка, в которой имелось шесть шпор, размещалась в специальном лотке и фиксировалась в нем двумя кожаными ремнями; </w:t>
      </w:r>
    </w:p>
    <w:p w14:paraId="647766BB"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две петли для соединения буксирных тросов, закрепленные специальной скобой; </w:t>
      </w:r>
    </w:p>
    <w:p w14:paraId="53AD0620"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два 5-тонных домкрата, закрепленных на специальных кронштейнах; </w:t>
      </w:r>
    </w:p>
    <w:p w14:paraId="2FD0CC92"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два запасных трака, один с гребнем и один без гребня. </w:t>
      </w:r>
    </w:p>
    <w:p w14:paraId="7844D9CC"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левому борту машины на надгусеничной полке от носа к корме были уложены: </w:t>
      </w:r>
    </w:p>
    <w:p w14:paraId="0464625F"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две большие саперные лопаты и тяга домкрата, закрепленные на надгусеничной полке с помощью двух скоб и фиксатора; </w:t>
      </w:r>
    </w:p>
    <w:p w14:paraId="1A1E8259"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две укладки шпор, фиксировавшихся в лотках кожаными ремнями; </w:t>
      </w:r>
    </w:p>
    <w:p w14:paraId="1F7B4DC7"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металлический ящик (сборочный чертёж 34.28.102сб) для хранения болтов и гаек, крепивших шпоры к гусенице; </w:t>
      </w:r>
    </w:p>
    <w:p w14:paraId="58637CAB"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металлический ящик (чертёж 34.28.115сб) для хранения банника и разрядника пушки Л-11; </w:t>
      </w:r>
    </w:p>
    <w:p w14:paraId="7BB2A0DB"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сверху ящика укладывались коврик для обслуживания машины, веревка и брезент для покрытия машины, крепившиеся к листу подкрылка и надгусеничной полке с помощью двух ремней; </w:t>
      </w:r>
    </w:p>
    <w:p w14:paraId="0ED1F19D"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два запасных трака, один с гребнем и один без гребня. </w:t>
      </w:r>
    </w:p>
    <w:p w14:paraId="272ED7D9"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задних грязевых щитках машины в специальных кронштейнах размещались деревянные колодки для домкратов. </w:t>
      </w:r>
    </w:p>
    <w:p w14:paraId="4B1B6211"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левом и правом листах подкрылков было установлено по два дополнительных топливных бака, емкостью по 33,5 литра каждый (конструкция бака была разработана для серийного танка БТ-7). К листам подкрылков корпуса танка каждый бак крепился двумя металлическими хомутами. </w:t>
      </w:r>
    </w:p>
    <w:p w14:paraId="748E15E4"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Забегая вперед, скажем, что в декабре 1940 г. этот вариант наружной укладки ЗИП был оформлен в чертеже 34.28.143сб и принят в серийное производство.</w:t>
      </w:r>
    </w:p>
    <w:p w14:paraId="09EAC55E"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защиты задней части переднего (подбашенного) листа крыши корпуса танка от попадания посторонних предметов, включая бутылки с зажигательной смесью, перед левым и правым колпаками, расположенными над продольными жалюзи, были установлены специальные опытные козырьки (в дальнейшем на серийных танках Т-34 эти козырьки не устанавливались). </w:t>
      </w:r>
    </w:p>
    <w:p w14:paraId="0EA24C3E"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вопреки требованиям ГАБТУ КА конструкция боеукладки для артиллерийских выстрелов и размещение прицелов на машинах № 608-01, 423-41 и 547-29 изменены не были и остались такими же, что и на других серийных «тридцатьчетвёрках». </w:t>
      </w:r>
    </w:p>
    <w:p w14:paraId="035396A2" w14:textId="77777777" w:rsidR="002E22DD" w:rsidRPr="00A3026E" w:rsidRDefault="002E22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Когда на заводе № 183 завершалась подготовка трех танков к испытаниям, в ГАБТУ КА был окончательно определён расчет личного состава, непосредственно участвующего в пробеге. Командиром группы пробега был назначен начальник 1-го отделения 1-го отдела НИ полигона ГАБТУ КА майор Е.Е. Геркевич, а его заместителем – майор И.И. Колотушкин. Кроме них, в пробеге приняли участие 15 представителей от НИ полигона ГАБТУ КА (инженер-испытатель, инженер по ремонту, техник по вооружению, помощник командира по хозяйственной части, 3 техника-контролёра, 6 водителей автомашин, военфельдшер и повар), 9 военнослужащих прикомандированных из ХВО и 3 военнослужащих из ЗапОВО. От завода № 183 в пробеге было задействовано 8 человек. Кроме этого по одному представителю было выделено заводом № 75 и Научно-исследовательским экспериментальным институтом резиновой промышленности (НИЭИРП). От ГАБТУ КА в испытаниях приняли участие подполковник И.Г. Панов и военинженеры 3 ранга Н.Я. Горюшкин и П.П. Байков. (18173).</w:t>
      </w:r>
    </w:p>
    <w:p w14:paraId="38C6697E" w14:textId="77777777" w:rsidR="002E22DD" w:rsidRPr="00A3026E" w:rsidRDefault="002E22DD" w:rsidP="00A3026E">
      <w:pPr>
        <w:spacing w:after="0" w:line="240" w:lineRule="auto"/>
        <w:jc w:val="both"/>
        <w:rPr>
          <w:rFonts w:ascii="Times New Roman" w:hAnsi="Times New Roman"/>
          <w:color w:val="000000" w:themeColor="text1"/>
          <w:sz w:val="16"/>
          <w:szCs w:val="16"/>
        </w:rPr>
      </w:pPr>
    </w:p>
    <w:p w14:paraId="2F260AE1" w14:textId="77777777" w:rsidR="00C37C13" w:rsidRPr="00A3026E" w:rsidRDefault="00C37C1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конце октября 1940 руководство страны снова вернулось к вопросу выпуска малолитражных авто</w:t>
      </w:r>
      <w:r w:rsidRPr="00A3026E">
        <w:rPr>
          <w:rFonts w:ascii="Times New Roman" w:hAnsi="Times New Roman"/>
          <w:color w:val="0070C0"/>
          <w:sz w:val="16"/>
          <w:szCs w:val="16"/>
        </w:rPr>
        <w:softHyphen/>
        <w:t>мобилей на заводе им. КИМ. Очередное постановле</w:t>
      </w:r>
      <w:r w:rsidRPr="00A3026E">
        <w:rPr>
          <w:rFonts w:ascii="Times New Roman" w:hAnsi="Times New Roman"/>
          <w:color w:val="0070C0"/>
          <w:sz w:val="16"/>
          <w:szCs w:val="16"/>
        </w:rPr>
        <w:softHyphen/>
        <w:t>ние запрещало выпуск автомобилей КИМ с кузовом, представленным на утверждение бывшим Народ</w:t>
      </w:r>
      <w:r w:rsidRPr="00A3026E">
        <w:rPr>
          <w:rFonts w:ascii="Times New Roman" w:hAnsi="Times New Roman"/>
          <w:color w:val="0070C0"/>
          <w:sz w:val="16"/>
          <w:szCs w:val="16"/>
        </w:rPr>
        <w:softHyphen/>
        <w:t>ным комиссаром среднего машиностроения И. Лиха</w:t>
      </w:r>
      <w:r w:rsidRPr="00A3026E">
        <w:rPr>
          <w:rFonts w:ascii="Times New Roman" w:hAnsi="Times New Roman"/>
          <w:color w:val="0070C0"/>
          <w:sz w:val="16"/>
          <w:szCs w:val="16"/>
        </w:rPr>
        <w:softHyphen/>
        <w:t>чевым, как не отвечающим установленному образ</w:t>
      </w:r>
      <w:r w:rsidRPr="00A3026E">
        <w:rPr>
          <w:rFonts w:ascii="Times New Roman" w:hAnsi="Times New Roman"/>
          <w:color w:val="0070C0"/>
          <w:sz w:val="16"/>
          <w:szCs w:val="16"/>
        </w:rPr>
        <w:softHyphen/>
        <w:t>цу, утвержденному Экономсоветом 5 марта 1939 г.</w:t>
      </w:r>
    </w:p>
    <w:p w14:paraId="617C20B2" w14:textId="77777777" w:rsidR="00C37C13" w:rsidRPr="00A3026E" w:rsidRDefault="00C37C1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Предписывалось утвердить для произ</w:t>
      </w:r>
      <w:r w:rsidRPr="00A3026E">
        <w:rPr>
          <w:rFonts w:ascii="Times New Roman" w:hAnsi="Times New Roman"/>
          <w:color w:val="0070C0"/>
          <w:sz w:val="16"/>
          <w:szCs w:val="16"/>
        </w:rPr>
        <w:softHyphen/>
        <w:t>водства малолитражный автомобиль, имею</w:t>
      </w:r>
      <w:r w:rsidRPr="00A3026E">
        <w:rPr>
          <w:rFonts w:ascii="Times New Roman" w:hAnsi="Times New Roman"/>
          <w:color w:val="0070C0"/>
          <w:sz w:val="16"/>
          <w:szCs w:val="16"/>
        </w:rPr>
        <w:softHyphen/>
        <w:t>щий формы и габариты четырех</w:t>
      </w:r>
      <w:r w:rsidRPr="00A3026E">
        <w:rPr>
          <w:rFonts w:ascii="Times New Roman" w:hAnsi="Times New Roman"/>
          <w:color w:val="0070C0"/>
          <w:sz w:val="16"/>
          <w:szCs w:val="16"/>
        </w:rPr>
        <w:softHyphen/>
        <w:t>дверного кузова автомобиля Опель Кадет, приспосо</w:t>
      </w:r>
      <w:r w:rsidRPr="00A3026E">
        <w:rPr>
          <w:rFonts w:ascii="Times New Roman" w:hAnsi="Times New Roman"/>
          <w:color w:val="0070C0"/>
          <w:sz w:val="16"/>
          <w:szCs w:val="16"/>
        </w:rPr>
        <w:softHyphen/>
        <w:t>бив его на шасси КИМ-10.</w:t>
      </w:r>
    </w:p>
    <w:p w14:paraId="71FF2706" w14:textId="77777777" w:rsidR="00C37C13" w:rsidRPr="00A3026E" w:rsidRDefault="00C37C1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Новый кузов ма</w:t>
      </w:r>
      <w:r w:rsidRPr="00A3026E">
        <w:rPr>
          <w:rFonts w:ascii="Times New Roman" w:hAnsi="Times New Roman"/>
          <w:color w:val="0070C0"/>
          <w:sz w:val="16"/>
          <w:szCs w:val="16"/>
        </w:rPr>
        <w:softHyphen/>
        <w:t>лолитражного авто</w:t>
      </w:r>
      <w:r w:rsidRPr="00A3026E">
        <w:rPr>
          <w:rFonts w:ascii="Times New Roman" w:hAnsi="Times New Roman"/>
          <w:color w:val="0070C0"/>
          <w:sz w:val="16"/>
          <w:szCs w:val="16"/>
        </w:rPr>
        <w:softHyphen/>
        <w:t>мобиля предпо</w:t>
      </w:r>
      <w:r w:rsidRPr="00A3026E">
        <w:rPr>
          <w:rFonts w:ascii="Times New Roman" w:hAnsi="Times New Roman"/>
          <w:color w:val="0070C0"/>
          <w:sz w:val="16"/>
          <w:szCs w:val="16"/>
        </w:rPr>
        <w:softHyphen/>
        <w:t>лагалось утвер</w:t>
      </w:r>
      <w:r w:rsidRPr="00A3026E">
        <w:rPr>
          <w:rFonts w:ascii="Times New Roman" w:hAnsi="Times New Roman"/>
          <w:color w:val="0070C0"/>
          <w:sz w:val="16"/>
          <w:szCs w:val="16"/>
        </w:rPr>
        <w:softHyphen/>
        <w:t>дить 15 января 1941 г. Пока же для проверки малолитраж</w:t>
      </w:r>
      <w:r w:rsidRPr="00A3026E">
        <w:rPr>
          <w:rFonts w:ascii="Times New Roman" w:hAnsi="Times New Roman"/>
          <w:color w:val="0070C0"/>
          <w:sz w:val="16"/>
          <w:szCs w:val="16"/>
        </w:rPr>
        <w:softHyphen/>
        <w:t>ного автомоби</w:t>
      </w:r>
      <w:r w:rsidRPr="00A3026E">
        <w:rPr>
          <w:rFonts w:ascii="Times New Roman" w:hAnsi="Times New Roman"/>
          <w:color w:val="0070C0"/>
          <w:sz w:val="16"/>
          <w:szCs w:val="16"/>
        </w:rPr>
        <w:softHyphen/>
        <w:t>ля в эксплуата</w:t>
      </w:r>
      <w:r w:rsidRPr="00A3026E">
        <w:rPr>
          <w:rFonts w:ascii="Times New Roman" w:hAnsi="Times New Roman"/>
          <w:color w:val="0070C0"/>
          <w:sz w:val="16"/>
          <w:szCs w:val="16"/>
        </w:rPr>
        <w:softHyphen/>
        <w:t>ции, а также в це</w:t>
      </w:r>
      <w:r w:rsidRPr="00A3026E">
        <w:rPr>
          <w:rFonts w:ascii="Times New Roman" w:hAnsi="Times New Roman"/>
          <w:color w:val="0070C0"/>
          <w:sz w:val="16"/>
          <w:szCs w:val="16"/>
        </w:rPr>
        <w:softHyphen/>
        <w:t>лях использования полученных из США 500 готовых кузовов, в виде исключения, разреша</w:t>
      </w:r>
      <w:r w:rsidRPr="00A3026E">
        <w:rPr>
          <w:rFonts w:ascii="Times New Roman" w:hAnsi="Times New Roman"/>
          <w:color w:val="0070C0"/>
          <w:sz w:val="16"/>
          <w:szCs w:val="16"/>
        </w:rPr>
        <w:softHyphen/>
        <w:t>лось выпустить на заводе им. КИМ 250 седанов и 250 фаэтонов с кузо</w:t>
      </w:r>
      <w:r w:rsidRPr="00A3026E">
        <w:rPr>
          <w:rFonts w:ascii="Times New Roman" w:hAnsi="Times New Roman"/>
          <w:color w:val="0070C0"/>
          <w:sz w:val="16"/>
          <w:szCs w:val="16"/>
        </w:rPr>
        <w:softHyphen/>
        <w:t>вом КИМ-10 (22518).</w:t>
      </w:r>
    </w:p>
    <w:p w14:paraId="648913A1" w14:textId="77777777" w:rsidR="00C37C13" w:rsidRPr="00A3026E" w:rsidRDefault="00C37C13" w:rsidP="00A3026E">
      <w:pPr>
        <w:spacing w:after="0" w:line="240" w:lineRule="auto"/>
        <w:jc w:val="both"/>
        <w:rPr>
          <w:rFonts w:ascii="Times New Roman" w:hAnsi="Times New Roman"/>
          <w:color w:val="0070C0"/>
          <w:sz w:val="16"/>
          <w:szCs w:val="16"/>
        </w:rPr>
      </w:pPr>
    </w:p>
    <w:p w14:paraId="2EC9D9CC" w14:textId="77777777" w:rsidR="00A44584"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10B53B7B" w14:textId="77777777" w:rsidR="00A44584" w:rsidRPr="00A3026E" w:rsidRDefault="00A44584" w:rsidP="00A3026E">
      <w:pPr>
        <w:spacing w:after="0" w:line="240" w:lineRule="auto"/>
        <w:jc w:val="both"/>
        <w:rPr>
          <w:rFonts w:ascii="Times New Roman" w:hAnsi="Times New Roman"/>
          <w:iCs/>
          <w:color w:val="000000" w:themeColor="text1"/>
          <w:sz w:val="16"/>
          <w:szCs w:val="16"/>
        </w:rPr>
      </w:pPr>
    </w:p>
    <w:p w14:paraId="13B7A565" w14:textId="77777777" w:rsidR="00A44584" w:rsidRPr="00A3026E" w:rsidRDefault="00A4458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октября 1940 года «люфтваффе» вынуждены были отступить а Англии из-за высоких потерь (15736).</w:t>
      </w:r>
    </w:p>
    <w:p w14:paraId="0750C0A7" w14:textId="77777777" w:rsidR="00A44584" w:rsidRPr="00A3026E" w:rsidRDefault="00A44584" w:rsidP="00A3026E">
      <w:pPr>
        <w:spacing w:after="0" w:line="240" w:lineRule="auto"/>
        <w:jc w:val="both"/>
        <w:rPr>
          <w:rFonts w:ascii="Times New Roman" w:hAnsi="Times New Roman"/>
          <w:color w:val="000000" w:themeColor="text1"/>
          <w:sz w:val="16"/>
          <w:szCs w:val="16"/>
        </w:rPr>
      </w:pPr>
    </w:p>
    <w:p w14:paraId="3FFB798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D72B02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3DC75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началась разработка тяжелого бронированного штурмовика ЦКБ-60 (с января 1941 - Ил-6) с 2хАМ-38 под крылом. Экипаж - 2 чел., вооружение: п 37-мм, 2х23 мм и 4п 12.7 мм + 1000 кг бомб (3846,11).</w:t>
      </w:r>
    </w:p>
    <w:p w14:paraId="5BA004B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E12E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вышел приказ НКАП А.И.Ш. о передаче производственной и лабораторной базы ОКБ С.В.И. заводу 39 (3846,12).</w:t>
      </w:r>
    </w:p>
    <w:p w14:paraId="6DD31E0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73304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октября 1940 г., когда 135-й бап возглавил полковник Б.В.Янсен, до мая 1941 г. в нем шла подготовка инструкторов. 67 летчиков и 71 штурман (их называли также летчиками-наблюдателями) освоили все особенности новой машины и перед войной успели переучить руководящий состав девяти других частей. В полку Янсена уделяли внимание и тактической подготовке авиаторов. Учебные бомбометания показали, что из-за несовершенства прицелов максимальная высота сброса бомб не должна превышать 3000 м, а рабочая - 1000-1200 м. Вблизи земли атаки неприятельских истребителей снизу представлялись маловероятными, в результате чего люковые установки на самолет не устанавливали. Военпреды не противились этому, учитывая мнение П.О.Сухого, что люковая установка и бронирование штурмана увеличат вес машины и сместят назад центровку. Более того, когда в сентябре 1940 г. Комитет обороны рассматривал вопрос об усилении пулеметно-пушечного вооружения серийных самолетов, то ББ-1 оказался единственной машиной, которую «разоружили»: вместо четырех крыльевых пулеметов оставили два и ликвидировали люковый ШКАС. Война показала ошибочность этих мероприятий (5360).</w:t>
      </w:r>
    </w:p>
    <w:p w14:paraId="5B45362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3A7F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ближайший соперник ильюшинского БШ-2, одноместный бронированный штурмовик ОБШ М-71 П. 0. Сухого, обещавший по скорости полета, скороподъемности и взлетно-посадочным характеристикам значительно превзойти БШ-2, находился на завершающей стадии проектирования. Штурмовики С. А. Кочеригина (ОБШ М-81 ТК, ОПБ М-90), А. А. Дубровина (ОШ-АМ-35), ОКБ А. И. Микояна (ПБШ-1) и ОКБ завода № 32 НКАП (БШ-МВ) были только-только начаты в разработке.</w:t>
      </w:r>
    </w:p>
    <w:p w14:paraId="242DF6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В. Ильюшин оказался в патовой ситуации. С одной стороны, военные вполне справедливо требовали срочного приведения летных данных как БШ-2 в двухместном варианте, так и ДБ-3Ф в соответствии с ТТТ, предъявляемыми к ним.</w:t>
      </w:r>
    </w:p>
    <w:p w14:paraId="12630B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другой стороны, С. В. Ильюшин и его ближайшие помощники прекрасно понимали, что доведение каждого из этих самолетов до необходимого уровня/ так сказать, «правильным путем» было процессом очень трудоемким и очень длительным, причем сроки окончания этих работ никак не могли устроить ни правительство, ни военных.</w:t>
      </w:r>
    </w:p>
    <w:p w14:paraId="7CB036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Авторитет же С. В. Ильюшина как Главного конструктора боевых самолетов в глазах последних неуклонно падал. Назревали «оргвыводы» и потеря серийных авиазаводов.</w:t>
      </w:r>
    </w:p>
    <w:p w14:paraId="0F28C4F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9DB2CD" w14:textId="77777777" w:rsidR="00B84190" w:rsidRPr="00A3026E" w:rsidRDefault="00B84190"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октябре 1940 г. проект ПБ Кочеригина был представлен как двухмоторный ис</w:t>
      </w:r>
      <w:r w:rsidRPr="00A3026E">
        <w:rPr>
          <w:rFonts w:ascii="Times New Roman" w:hAnsi="Times New Roman"/>
          <w:color w:val="0070C0"/>
          <w:sz w:val="16"/>
          <w:szCs w:val="16"/>
        </w:rPr>
        <w:softHyphen/>
        <w:t>требитель танков ДИТ 2АМ-37, а в декабре того же года появился измененный проект, определяемый как даль</w:t>
      </w:r>
      <w:r w:rsidRPr="00A3026E">
        <w:rPr>
          <w:rFonts w:ascii="Times New Roman" w:hAnsi="Times New Roman"/>
          <w:color w:val="0070C0"/>
          <w:sz w:val="16"/>
          <w:szCs w:val="16"/>
        </w:rPr>
        <w:softHyphen/>
        <w:t>ний истребитель сопровождения ДИС. В последнем вари</w:t>
      </w:r>
      <w:r w:rsidRPr="00A3026E">
        <w:rPr>
          <w:rFonts w:ascii="Times New Roman" w:hAnsi="Times New Roman"/>
          <w:color w:val="0070C0"/>
          <w:sz w:val="16"/>
          <w:szCs w:val="16"/>
        </w:rPr>
        <w:softHyphen/>
        <w:t>анте, утвержденном Кочеригиным в декабре 1940 г., указы</w:t>
      </w:r>
      <w:r w:rsidRPr="00A3026E">
        <w:rPr>
          <w:rFonts w:ascii="Times New Roman" w:hAnsi="Times New Roman"/>
          <w:color w:val="0070C0"/>
          <w:sz w:val="16"/>
          <w:szCs w:val="16"/>
        </w:rPr>
        <w:softHyphen/>
        <w:t>вался размах крыла 15 100 мм и полная длина 12 90о мм. Полетный вес без наступательного стрелково-пушечного вооружения, но с 1000 кг бомб оценивался в 8393 кг. Пе</w:t>
      </w:r>
      <w:r w:rsidRPr="00A3026E">
        <w:rPr>
          <w:rFonts w:ascii="Times New Roman" w:hAnsi="Times New Roman"/>
          <w:color w:val="0070C0"/>
          <w:sz w:val="16"/>
          <w:szCs w:val="16"/>
        </w:rPr>
        <w:softHyphen/>
        <w:t>речисленные работы доводились до состояния эскизного проекта, однако в план деятельности ОКБ не вошли и да</w:t>
      </w:r>
      <w:r w:rsidRPr="00A3026E">
        <w:rPr>
          <w:rFonts w:ascii="Times New Roman" w:hAnsi="Times New Roman"/>
          <w:color w:val="0070C0"/>
          <w:sz w:val="16"/>
          <w:szCs w:val="16"/>
        </w:rPr>
        <w:softHyphen/>
        <w:t>лее не прорабатывались (20362).</w:t>
      </w:r>
    </w:p>
    <w:p w14:paraId="68E11306" w14:textId="77777777" w:rsidR="00B84190" w:rsidRPr="00A3026E" w:rsidRDefault="00B84190" w:rsidP="00A3026E">
      <w:pPr>
        <w:shd w:val="clear" w:color="auto" w:fill="FFFFFF"/>
        <w:spacing w:after="0" w:line="240" w:lineRule="auto"/>
        <w:jc w:val="both"/>
        <w:rPr>
          <w:rFonts w:ascii="Times New Roman" w:hAnsi="Times New Roman"/>
          <w:color w:val="0070C0"/>
          <w:sz w:val="16"/>
          <w:szCs w:val="16"/>
        </w:rPr>
      </w:pPr>
    </w:p>
    <w:p w14:paraId="2A181A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вышел Отчет по гос. испытаниям образцов авиаброни, предъявленных НИИ № 48 совместно с Ижорским заводом</w:t>
      </w:r>
    </w:p>
    <w:p w14:paraId="79C189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10D6CA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5 отдела НИИ ВВС по авиаброне в/инженер 3 ранга Шлямин К.И.</w:t>
      </w:r>
    </w:p>
    <w:p w14:paraId="1B3207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694B64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результаты заводских испытаний по бронестойкости 13 мм брони и установить возможность принятия ее на вооружение ВВС для защиты экипажа самолета от бронебойных пуль калибра 12,7 мм и фугасных снарядов 20 мм.</w:t>
      </w:r>
    </w:p>
    <w:p w14:paraId="0C5D6F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гос. испытания были предъявлены образцы цементованной авиаброни толщиной 13 мм, изготовленные из двух марок сталей в виде карточек размером 800х800 мм.</w:t>
      </w:r>
    </w:p>
    <w:p w14:paraId="7788B2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Полигонным испытаниям на обстрел подвергались 5 карточек из стали марки ХД и 5 карточек из стали марки Л-1.</w:t>
      </w:r>
    </w:p>
    <w:p w14:paraId="523921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74BB9E9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Предъявленные на гос. испытания образцы 13 мм цементованной брони удерживают бронебойную пулю ДК по нормали с дистанции 400 м вместо 300 м обусловленных тактико-техническими требованиями.</w:t>
      </w:r>
    </w:p>
    <w:p w14:paraId="5CBF9A0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Обе марки стали Л-1 и ХД по бронестойкости против пуль ДК калибра 12,7 мм практически равноценны.</w:t>
      </w:r>
    </w:p>
    <w:p w14:paraId="3D85384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Целесообразно изготовить опытно-валовую партию бронебойных спинок для самолета ДБ-3 завода № 39 в количестве 100 штук (4382).</w:t>
      </w:r>
    </w:p>
    <w:p w14:paraId="3ACD53B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2123F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на заводе №39 опробовали ДБ-3Ф с термической системой, скопированной с немецкого бомбардировщика Ju88. В результате отдельные элементы и химической, и термической систем внедрили на серийных машинах (7494).</w:t>
      </w:r>
    </w:p>
    <w:p w14:paraId="4129090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4D3D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завод 39 оборудовал ДБ-3Ф термическим антиобледенителем, скопированным с Ю-88. Завод 120 стал делать тормозные колеса с ребристой тормозной рубашкой для ДБ-3 по образцам Ю-88, Ме-110 и До-215 (229,22).</w:t>
      </w:r>
    </w:p>
    <w:p w14:paraId="542AC7F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8468F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на заводе № 39 опробовали ДБ-ЗФ с термической антиобледенительной системой, скопированной с немецкого бомбардировщика Ju 88. После испытаний заказали 20 комплектов, из них 10 завод установил на серийных самолетах. Судя по тому, что от других десяти ВВС отказались, и этот антиобледе- ДБ-ЗФ нитель получился не очень удачным (12021).</w:t>
      </w:r>
    </w:p>
    <w:p w14:paraId="15FCC90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B887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прошли испытания новые зимние жалюзи для самолетов ДБ-3Ф с капотами "типа Ф". Сделали их в Москве, но образцом послужили жалюзи завода № 126. Они надежно и эффективно работали. Предписали укомплектовать новыми жалюзи все ранее выпушенные бомбардировщики (12021).</w:t>
      </w:r>
    </w:p>
    <w:p w14:paraId="4B2A8D0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A7218E5" w14:textId="77777777" w:rsidR="00017A25" w:rsidRPr="00A3026E" w:rsidRDefault="00017A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Владимир Михайлович Петляков был назначен главным конструктором завода № 39 им. Менжинского (181). В феврале 1941 года КБ Петлякова переместилось на завод № 22 (18293).</w:t>
      </w:r>
    </w:p>
    <w:p w14:paraId="4631D59E" w14:textId="77777777" w:rsidR="00017A25" w:rsidRPr="00A3026E" w:rsidRDefault="00017A25" w:rsidP="00A3026E">
      <w:pPr>
        <w:spacing w:after="0" w:line="240" w:lineRule="auto"/>
        <w:jc w:val="both"/>
        <w:rPr>
          <w:rFonts w:ascii="Times New Roman" w:hAnsi="Times New Roman"/>
          <w:color w:val="000000" w:themeColor="text1"/>
          <w:sz w:val="16"/>
          <w:szCs w:val="16"/>
        </w:rPr>
      </w:pPr>
    </w:p>
    <w:p w14:paraId="00DCF2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на базе 57 БАП был сформирован базировавшийся в Пярну 73-й БАП, получивший туполевские СБ и входивший в состав 10-й смешанной авиабригады. Из пилотов двух оставшихся эскадрилий и молодого пополнения развернули четыре эскадрильи, три из которых (3. 4-я и 5-я) летали на ДБ-3. Интенсивная боевая подготовка, осуществлявшаяся в частях в конце 1940 - начале 1941 гг.. не могла не отразиться на техническом состоянии -ильюшиных» Так в 1-м полку остаточный ресурс планеров ДБ-3 составлял 59%. моторов - 50%. У только недавно поступивших ДБ-3Ф показатели были существенно лучше - 93% и 63% соответственно (9809).</w:t>
      </w:r>
    </w:p>
    <w:p w14:paraId="3758ABB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FC0D6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ДБ-4 (ЦКБ-56) вышел на заводские испытания и страдал множеством конструктивных недостатков. Его построили в двух экземплярах, но даже не выставляли на госиспытания (7494).</w:t>
      </w:r>
    </w:p>
    <w:p w14:paraId="03F054A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5EC07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испытания 1-го экз. Самолета ДБ-4 своевременно закончены не были и приостановлены из-за недоведенности моторов Ам-37 (404, 4).</w:t>
      </w:r>
    </w:p>
    <w:p w14:paraId="3AE3A1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9BD4A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начались заводские испытания первого ДБ-4 С.В.И. с АМ-37. Прервали из-за недоведенности моторов (822).</w:t>
      </w:r>
    </w:p>
    <w:p w14:paraId="7DED561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0CF3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октябре 1940 г. ДБ-4 (ЦКБ-56) вышел на заводские испытания и страдал множеством конструктивных недостатков. Его построили в двух экземплярах, но даже не выставляли на госиспытания. Ер-2, хотя и начал выпускаться в довольно больших количествах, страдал множеством "младенческих болезней" и в строевые части попал только в июле 41-го. Большую войну дальняя авиация начала на ДБ-3 (12021).</w:t>
      </w:r>
    </w:p>
    <w:p w14:paraId="2CD99CA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5B78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А.И.Ш. и нач. ГУ ВВС гм П.В.Рычагов потребовали от В.М.П. и руководителей вооруженческого КБ в отношении 100 "В месячный срок проработать возможность замены опытной установки вооружения серийными изделиями завода 32. Предупредить ГК вооружения (Можаровского, Веневидова, Торопова, Шебанова, Картукова и Шульгина), что оценка качества их работы в 1940-1941 будет производиться в зависимости от результатов работ по стандартизации и типизации вооружения" (1806,24).</w:t>
      </w:r>
    </w:p>
    <w:p w14:paraId="573BEAA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A5E3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октября 1940 было решено запустить в серию ДБ-240 и для этого прекратить серийное производство ДБ-3Ф в Воронеже (24,147).</w:t>
      </w:r>
    </w:p>
    <w:p w14:paraId="6714C5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это решение было принято еще в октябре 1939, во что - не верится, так как ДБ-240 к тому времени еще не было.</w:t>
      </w:r>
    </w:p>
    <w:p w14:paraId="22DEBF8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6664A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после запуска в серийное производство самолета ДБ-240 (Ер-2), который, проходя государственные испытания с двигателями М-105, достиг максимальной скорости 500 км/ч и заданной дальности полета с нормальным бомбовым грузом, интерес к ДБ-4 был утрачен, т.к. задачу создания скоростного дальнего бомбардировщика посчитали завершенной. Однако этих самолетов по сравнению с Ил-4 было выпущено немного: Ер-2 оказались значительно более сложными в производстве, а мощность и высотность двигателей М-105 являлась недостаточной, поскольку самолет изначально проектировали под более мощный М-106. Серийные Ер-2 имели практически такую же максимальную скорость полета, что и Ил-4, но им требовались аэродромы с длинными взлетно-посадочными полосами. Это ограничивало их применение с небольших полевых аэродромов, на которых могли базироваться Ил-4. Из-за малой высотности двигателей М-105, равной 4000 м, боевые вылеты Ер-2 были связаны со значительно более высокой вероятностью встречи с истребителями противника и большим риском попасть под эффективный огонь зенитных батарей, чем у Ил-4, которые в дальних полетах летали на высотах 6500-7000 м. Всю войну конструкторское бюро В.Г.Ермолаева предпринимало меры по улучшению летно-технических данных Ер-2 за счет установки более мощных дизельных двигателей, но особых результатов эти работы не дали (9528).</w:t>
      </w:r>
    </w:p>
    <w:p w14:paraId="2D4F78A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CD385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Зам. начальника ВВС генерал-лейтенант авиации Астахов утвердил Заключение по эскизному проекту пикирующего бомбардировщика ПББ с двумя моторами М-105 КБ завода № 81</w:t>
      </w:r>
    </w:p>
    <w:p w14:paraId="39A788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Строящая организация – завод № 81</w:t>
      </w:r>
    </w:p>
    <w:p w14:paraId="6B3DA8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376593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Ближний пикирующий бомбардировщик</w:t>
      </w:r>
    </w:p>
    <w:p w14:paraId="4EDA80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БПБ-22 представляет собой модифицированный самолет ББ-22 конструкции инженера Яковлева.</w:t>
      </w:r>
    </w:p>
    <w:p w14:paraId="2F7A1D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схеме двухместный двухмоторный моноплан с убирающимися шасси и разнесенным хвостовым оперением. Оперение свободнонесущее, укреплено на фюзеляже.</w:t>
      </w:r>
    </w:p>
    <w:p w14:paraId="7AC077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самолета смешанная: дерево, сталь, дюраль.</w:t>
      </w:r>
    </w:p>
    <w:p w14:paraId="44AC37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самолета</w:t>
      </w:r>
    </w:p>
    <w:p w14:paraId="1DE6AED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вооружение состоит из двух пулеметных установок с пулеметами ШКАС калибра 7,62 мм и подвески РО на консолях крыла по 3 штуки:</w:t>
      </w:r>
    </w:p>
    <w:p w14:paraId="35CE1405" w14:textId="77777777" w:rsidR="00C66762" w:rsidRPr="00A3026E" w:rsidRDefault="00C66762" w:rsidP="00A3026E">
      <w:pPr>
        <w:pStyle w:val="a3"/>
        <w:widowControl/>
        <w:rPr>
          <w:color w:val="000000" w:themeColor="text1"/>
          <w:lang w:val="ru-RU"/>
        </w:rPr>
      </w:pPr>
      <w:r w:rsidRPr="00A3026E">
        <w:rPr>
          <w:color w:val="000000" w:themeColor="text1"/>
          <w:lang w:val="ru-RU"/>
        </w:rPr>
        <w:t>Передняя неподвижная пулеметная установка состоит из двух пулеметов ШКАС – 7,62 мм и оборудования к ним. Установка расположена в ферме передней части фюзеляжа под полом пилота и предназначена для поражения наземных целей при выходе из пикирования на высоте 400-800 м и отражения лобовых атак. Установка имеет запас патронов 500 шт. на каждый пулемет.</w:t>
      </w:r>
    </w:p>
    <w:p w14:paraId="3DE2DA36" w14:textId="77777777" w:rsidR="00C66762" w:rsidRPr="00A3026E" w:rsidRDefault="00C66762" w:rsidP="00A3026E">
      <w:pPr>
        <w:pStyle w:val="a3"/>
        <w:widowControl/>
        <w:rPr>
          <w:color w:val="000000" w:themeColor="text1"/>
          <w:lang w:val="ru-RU"/>
        </w:rPr>
      </w:pPr>
      <w:r w:rsidRPr="00A3026E">
        <w:rPr>
          <w:color w:val="000000" w:themeColor="text1"/>
          <w:lang w:val="ru-RU"/>
        </w:rPr>
        <w:t>Верхняя подвижная установка (штурмана) состоит из одного турельного пулемета ШКАС – 7,62 мм, который установлен на полукольце ТСС-1. Установка предназначена для ведения прицельной стрельбы и защиты задней полусферы.</w:t>
      </w:r>
    </w:p>
    <w:p w14:paraId="42DA0DA7" w14:textId="77777777" w:rsidR="00C66762" w:rsidRPr="00A3026E" w:rsidRDefault="00C66762" w:rsidP="00A3026E">
      <w:pPr>
        <w:pStyle w:val="a3"/>
        <w:widowControl/>
        <w:rPr>
          <w:color w:val="000000" w:themeColor="text1"/>
          <w:lang w:val="ru-RU"/>
        </w:rPr>
      </w:pPr>
      <w:r w:rsidRPr="00A3026E">
        <w:rPr>
          <w:color w:val="000000" w:themeColor="text1"/>
          <w:lang w:val="ru-RU"/>
        </w:rPr>
        <w:t>Вариант пикирования – наружная подвеска.</w:t>
      </w:r>
    </w:p>
    <w:p w14:paraId="424A96CF" w14:textId="77777777" w:rsidR="00C66762" w:rsidRPr="00A3026E" w:rsidRDefault="00C66762" w:rsidP="00A3026E">
      <w:pPr>
        <w:pStyle w:val="a3"/>
        <w:widowControl/>
        <w:rPr>
          <w:color w:val="000000" w:themeColor="text1"/>
          <w:lang w:val="ru-RU"/>
        </w:rPr>
      </w:pPr>
      <w:r w:rsidRPr="00A3026E">
        <w:rPr>
          <w:color w:val="000000" w:themeColor="text1"/>
          <w:lang w:val="ru-RU"/>
        </w:rPr>
        <w:t>Подвеска бомб производится по следующим вариантам:</w:t>
      </w:r>
    </w:p>
    <w:p w14:paraId="4288668E" w14:textId="77777777" w:rsidR="00C66762" w:rsidRPr="00A3026E" w:rsidRDefault="00C66762" w:rsidP="00A3026E">
      <w:pPr>
        <w:pStyle w:val="a3"/>
        <w:widowControl/>
        <w:rPr>
          <w:color w:val="000000" w:themeColor="text1"/>
          <w:lang w:val="ru-RU"/>
        </w:rPr>
      </w:pPr>
      <w:r w:rsidRPr="00A3026E">
        <w:rPr>
          <w:color w:val="000000" w:themeColor="text1"/>
          <w:lang w:val="ru-RU"/>
        </w:rPr>
        <w:t>Две бомбы ФАБ-250</w:t>
      </w:r>
    </w:p>
    <w:p w14:paraId="05D329E2" w14:textId="77777777" w:rsidR="00C66762" w:rsidRPr="00A3026E" w:rsidRDefault="00C66762" w:rsidP="00A3026E">
      <w:pPr>
        <w:pStyle w:val="a3"/>
        <w:widowControl/>
        <w:rPr>
          <w:color w:val="000000" w:themeColor="text1"/>
          <w:lang w:val="ru-RU"/>
        </w:rPr>
      </w:pPr>
      <w:r w:rsidRPr="00A3026E">
        <w:rPr>
          <w:color w:val="000000" w:themeColor="text1"/>
          <w:lang w:val="ru-RU"/>
        </w:rPr>
        <w:t>Четыре бомбы ФАБ-100</w:t>
      </w:r>
    </w:p>
    <w:p w14:paraId="10FA83D8" w14:textId="77777777" w:rsidR="00C66762" w:rsidRPr="00A3026E" w:rsidRDefault="00C66762" w:rsidP="00A3026E">
      <w:pPr>
        <w:pStyle w:val="a3"/>
        <w:widowControl/>
        <w:rPr>
          <w:color w:val="000000" w:themeColor="text1"/>
          <w:lang w:val="ru-RU"/>
        </w:rPr>
      </w:pPr>
      <w:r w:rsidRPr="00A3026E">
        <w:rPr>
          <w:color w:val="000000" w:themeColor="text1"/>
          <w:lang w:val="ru-RU"/>
        </w:rPr>
        <w:t>Две бомбы БЕТАБ-150 ДС</w:t>
      </w:r>
    </w:p>
    <w:p w14:paraId="75A0A68B" w14:textId="77777777" w:rsidR="00C66762" w:rsidRPr="00A3026E" w:rsidRDefault="00C66762" w:rsidP="00A3026E">
      <w:pPr>
        <w:pStyle w:val="a3"/>
        <w:widowControl/>
        <w:rPr>
          <w:color w:val="000000" w:themeColor="text1"/>
          <w:lang w:val="ru-RU"/>
        </w:rPr>
      </w:pPr>
      <w:r w:rsidRPr="00A3026E">
        <w:rPr>
          <w:color w:val="000000" w:themeColor="text1"/>
          <w:lang w:val="ru-RU"/>
        </w:rPr>
        <w:t>Две бомбы БРАБ-200 ДС</w:t>
      </w:r>
    </w:p>
    <w:p w14:paraId="2F2221BA" w14:textId="77777777" w:rsidR="00C66762" w:rsidRPr="00A3026E" w:rsidRDefault="00C66762" w:rsidP="00A3026E">
      <w:pPr>
        <w:pStyle w:val="a3"/>
        <w:widowControl/>
        <w:rPr>
          <w:color w:val="000000" w:themeColor="text1"/>
          <w:lang w:val="ru-RU"/>
        </w:rPr>
      </w:pPr>
      <w:r w:rsidRPr="00A3026E">
        <w:rPr>
          <w:color w:val="000000" w:themeColor="text1"/>
          <w:lang w:val="ru-RU"/>
        </w:rPr>
        <w:t>Две бомбы ФАБ-250 и две бомбы ФАБ-100 (случай с перегрузкой).</w:t>
      </w:r>
    </w:p>
    <w:p w14:paraId="4B74A088" w14:textId="77777777" w:rsidR="00C66762" w:rsidRPr="00A3026E" w:rsidRDefault="00C66762" w:rsidP="00A3026E">
      <w:pPr>
        <w:pStyle w:val="a3"/>
        <w:widowControl/>
        <w:rPr>
          <w:color w:val="000000" w:themeColor="text1"/>
          <w:lang w:val="ru-RU"/>
        </w:rPr>
      </w:pPr>
      <w:r w:rsidRPr="00A3026E">
        <w:rPr>
          <w:color w:val="000000" w:themeColor="text1"/>
          <w:lang w:val="ru-RU"/>
        </w:rPr>
        <w:t>Вариант для горизонтального полета</w:t>
      </w:r>
    </w:p>
    <w:p w14:paraId="543F5194" w14:textId="77777777" w:rsidR="00C66762" w:rsidRPr="00A3026E" w:rsidRDefault="00C66762" w:rsidP="00A3026E">
      <w:pPr>
        <w:pStyle w:val="a3"/>
        <w:widowControl/>
        <w:rPr>
          <w:color w:val="000000" w:themeColor="text1"/>
          <w:lang w:val="ru-RU"/>
        </w:rPr>
      </w:pPr>
      <w:r w:rsidRPr="00A3026E">
        <w:rPr>
          <w:color w:val="000000" w:themeColor="text1"/>
          <w:lang w:val="ru-RU"/>
        </w:rPr>
        <w:t>Подвеска бомб производится как снаружи, так и внутри самолета (в люке) по следующим вариантам: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983732" w:rsidRPr="00A3026E" w14:paraId="6B52DB57" w14:textId="77777777" w:rsidTr="00EA0DA7">
        <w:tc>
          <w:tcPr>
            <w:tcW w:w="2214" w:type="dxa"/>
            <w:tcBorders>
              <w:top w:val="single" w:sz="12" w:space="0" w:color="auto"/>
            </w:tcBorders>
          </w:tcPr>
          <w:p w14:paraId="1C29823E" w14:textId="77777777" w:rsidR="00C66762" w:rsidRPr="00A3026E" w:rsidRDefault="00C66762" w:rsidP="00A3026E">
            <w:pPr>
              <w:pStyle w:val="a3"/>
              <w:widowControl/>
              <w:rPr>
                <w:color w:val="000000" w:themeColor="text1"/>
                <w:lang w:val="ru-RU"/>
              </w:rPr>
            </w:pPr>
            <w:r w:rsidRPr="00A3026E">
              <w:rPr>
                <w:color w:val="000000" w:themeColor="text1"/>
                <w:lang w:val="ru-RU"/>
              </w:rPr>
              <w:t>1 вариант</w:t>
            </w:r>
          </w:p>
        </w:tc>
        <w:tc>
          <w:tcPr>
            <w:tcW w:w="2214" w:type="dxa"/>
            <w:tcBorders>
              <w:top w:val="single" w:sz="12" w:space="0" w:color="auto"/>
            </w:tcBorders>
          </w:tcPr>
          <w:p w14:paraId="7F765871" w14:textId="77777777" w:rsidR="00C66762" w:rsidRPr="00A3026E" w:rsidRDefault="00C66762" w:rsidP="00A3026E">
            <w:pPr>
              <w:pStyle w:val="a3"/>
              <w:widowControl/>
              <w:rPr>
                <w:color w:val="000000" w:themeColor="text1"/>
                <w:lang w:val="ru-RU"/>
              </w:rPr>
            </w:pPr>
            <w:r w:rsidRPr="00A3026E">
              <w:rPr>
                <w:color w:val="000000" w:themeColor="text1"/>
                <w:lang w:val="ru-RU"/>
              </w:rPr>
              <w:t>4 ФАБ-100</w:t>
            </w:r>
          </w:p>
        </w:tc>
        <w:tc>
          <w:tcPr>
            <w:tcW w:w="2214" w:type="dxa"/>
            <w:tcBorders>
              <w:top w:val="single" w:sz="12" w:space="0" w:color="auto"/>
            </w:tcBorders>
          </w:tcPr>
          <w:p w14:paraId="7A2BD1AC" w14:textId="77777777" w:rsidR="00C66762" w:rsidRPr="00A3026E" w:rsidRDefault="00C66762" w:rsidP="00A3026E">
            <w:pPr>
              <w:pStyle w:val="a3"/>
              <w:widowControl/>
              <w:rPr>
                <w:color w:val="000000" w:themeColor="text1"/>
                <w:lang w:val="ru-RU"/>
              </w:rPr>
            </w:pPr>
            <w:r w:rsidRPr="00A3026E">
              <w:rPr>
                <w:color w:val="000000" w:themeColor="text1"/>
                <w:lang w:val="ru-RU"/>
              </w:rPr>
              <w:t>Внутри</w:t>
            </w:r>
          </w:p>
        </w:tc>
        <w:tc>
          <w:tcPr>
            <w:tcW w:w="2214" w:type="dxa"/>
            <w:tcBorders>
              <w:top w:val="single" w:sz="12" w:space="0" w:color="auto"/>
            </w:tcBorders>
          </w:tcPr>
          <w:p w14:paraId="7E179F9A" w14:textId="77777777" w:rsidR="00C66762" w:rsidRPr="00A3026E" w:rsidRDefault="00C66762" w:rsidP="00A3026E">
            <w:pPr>
              <w:pStyle w:val="a3"/>
              <w:widowControl/>
              <w:rPr>
                <w:color w:val="000000" w:themeColor="text1"/>
                <w:lang w:val="ru-RU"/>
              </w:rPr>
            </w:pPr>
            <w:r w:rsidRPr="00A3026E">
              <w:rPr>
                <w:color w:val="000000" w:themeColor="text1"/>
                <w:lang w:val="ru-RU"/>
              </w:rPr>
              <w:t>400 кг</w:t>
            </w:r>
          </w:p>
        </w:tc>
      </w:tr>
      <w:tr w:rsidR="00983732" w:rsidRPr="00A3026E" w14:paraId="5563FD8A" w14:textId="77777777" w:rsidTr="00EA0DA7">
        <w:tc>
          <w:tcPr>
            <w:tcW w:w="2214" w:type="dxa"/>
          </w:tcPr>
          <w:p w14:paraId="64B5974F" w14:textId="77777777" w:rsidR="00C66762" w:rsidRPr="00A3026E" w:rsidRDefault="00C66762" w:rsidP="00A3026E">
            <w:pPr>
              <w:pStyle w:val="a3"/>
              <w:widowControl/>
              <w:rPr>
                <w:color w:val="000000" w:themeColor="text1"/>
                <w:lang w:val="ru-RU"/>
              </w:rPr>
            </w:pPr>
            <w:r w:rsidRPr="00A3026E">
              <w:rPr>
                <w:color w:val="000000" w:themeColor="text1"/>
                <w:lang w:val="ru-RU"/>
              </w:rPr>
              <w:t>2 вариант</w:t>
            </w:r>
          </w:p>
        </w:tc>
        <w:tc>
          <w:tcPr>
            <w:tcW w:w="2214" w:type="dxa"/>
          </w:tcPr>
          <w:p w14:paraId="257A9189" w14:textId="77777777" w:rsidR="00C66762" w:rsidRPr="00A3026E" w:rsidRDefault="00C66762" w:rsidP="00A3026E">
            <w:pPr>
              <w:pStyle w:val="a3"/>
              <w:widowControl/>
              <w:rPr>
                <w:color w:val="000000" w:themeColor="text1"/>
                <w:lang w:val="ru-RU"/>
              </w:rPr>
            </w:pPr>
            <w:r w:rsidRPr="00A3026E">
              <w:rPr>
                <w:color w:val="000000" w:themeColor="text1"/>
                <w:lang w:val="ru-RU"/>
              </w:rPr>
              <w:t>4 ФАБ-100</w:t>
            </w:r>
          </w:p>
          <w:p w14:paraId="6A2DF475" w14:textId="77777777" w:rsidR="00C66762" w:rsidRPr="00A3026E" w:rsidRDefault="00C66762" w:rsidP="00A3026E">
            <w:pPr>
              <w:pStyle w:val="a3"/>
              <w:widowControl/>
              <w:rPr>
                <w:color w:val="000000" w:themeColor="text1"/>
                <w:lang w:val="ru-RU"/>
              </w:rPr>
            </w:pPr>
            <w:r w:rsidRPr="00A3026E">
              <w:rPr>
                <w:color w:val="000000" w:themeColor="text1"/>
                <w:lang w:val="ru-RU"/>
              </w:rPr>
              <w:t>2 ФАБ-100</w:t>
            </w:r>
          </w:p>
        </w:tc>
        <w:tc>
          <w:tcPr>
            <w:tcW w:w="2214" w:type="dxa"/>
          </w:tcPr>
          <w:p w14:paraId="0008157C" w14:textId="77777777" w:rsidR="00C66762" w:rsidRPr="00A3026E" w:rsidRDefault="00C66762" w:rsidP="00A3026E">
            <w:pPr>
              <w:pStyle w:val="a3"/>
              <w:widowControl/>
              <w:rPr>
                <w:color w:val="000000" w:themeColor="text1"/>
                <w:lang w:val="ru-RU"/>
              </w:rPr>
            </w:pPr>
            <w:r w:rsidRPr="00A3026E">
              <w:rPr>
                <w:color w:val="000000" w:themeColor="text1"/>
                <w:lang w:val="ru-RU"/>
              </w:rPr>
              <w:t>Внутри</w:t>
            </w:r>
          </w:p>
          <w:p w14:paraId="512CD584" w14:textId="77777777" w:rsidR="00C66762" w:rsidRPr="00A3026E" w:rsidRDefault="00C66762" w:rsidP="00A3026E">
            <w:pPr>
              <w:pStyle w:val="a3"/>
              <w:widowControl/>
              <w:rPr>
                <w:color w:val="000000" w:themeColor="text1"/>
                <w:lang w:val="ru-RU"/>
              </w:rPr>
            </w:pPr>
            <w:r w:rsidRPr="00A3026E">
              <w:rPr>
                <w:color w:val="000000" w:themeColor="text1"/>
                <w:lang w:val="ru-RU"/>
              </w:rPr>
              <w:t>Снаружи</w:t>
            </w:r>
          </w:p>
        </w:tc>
        <w:tc>
          <w:tcPr>
            <w:tcW w:w="2214" w:type="dxa"/>
          </w:tcPr>
          <w:p w14:paraId="40080DE2" w14:textId="77777777" w:rsidR="00C66762" w:rsidRPr="00A3026E" w:rsidRDefault="00C66762" w:rsidP="00A3026E">
            <w:pPr>
              <w:pStyle w:val="a3"/>
              <w:widowControl/>
              <w:rPr>
                <w:color w:val="000000" w:themeColor="text1"/>
                <w:lang w:val="ru-RU"/>
              </w:rPr>
            </w:pPr>
            <w:r w:rsidRPr="00A3026E">
              <w:rPr>
                <w:color w:val="000000" w:themeColor="text1"/>
                <w:lang w:val="ru-RU"/>
              </w:rPr>
              <w:t>400</w:t>
            </w:r>
          </w:p>
          <w:p w14:paraId="100971EB" w14:textId="77777777" w:rsidR="00C66762" w:rsidRPr="00A3026E" w:rsidRDefault="00C66762" w:rsidP="00A3026E">
            <w:pPr>
              <w:pStyle w:val="a3"/>
              <w:widowControl/>
              <w:rPr>
                <w:color w:val="000000" w:themeColor="text1"/>
                <w:lang w:val="ru-RU"/>
              </w:rPr>
            </w:pPr>
            <w:r w:rsidRPr="00A3026E">
              <w:rPr>
                <w:color w:val="000000" w:themeColor="text1"/>
                <w:lang w:val="ru-RU"/>
              </w:rPr>
              <w:t>200</w:t>
            </w:r>
          </w:p>
        </w:tc>
      </w:tr>
      <w:tr w:rsidR="00983732" w:rsidRPr="00A3026E" w14:paraId="500C0BAE" w14:textId="77777777" w:rsidTr="00EA0DA7">
        <w:tc>
          <w:tcPr>
            <w:tcW w:w="2214" w:type="dxa"/>
            <w:tcBorders>
              <w:bottom w:val="nil"/>
            </w:tcBorders>
          </w:tcPr>
          <w:p w14:paraId="780287AC" w14:textId="77777777" w:rsidR="00C66762" w:rsidRPr="00A3026E" w:rsidRDefault="00C66762" w:rsidP="00A3026E">
            <w:pPr>
              <w:pStyle w:val="a3"/>
              <w:widowControl/>
              <w:rPr>
                <w:color w:val="000000" w:themeColor="text1"/>
                <w:lang w:val="ru-RU"/>
              </w:rPr>
            </w:pPr>
          </w:p>
        </w:tc>
        <w:tc>
          <w:tcPr>
            <w:tcW w:w="2214" w:type="dxa"/>
            <w:tcBorders>
              <w:bottom w:val="nil"/>
            </w:tcBorders>
          </w:tcPr>
          <w:p w14:paraId="141BCAF2" w14:textId="77777777" w:rsidR="00C66762" w:rsidRPr="00A3026E" w:rsidRDefault="00C66762" w:rsidP="00A3026E">
            <w:pPr>
              <w:pStyle w:val="a3"/>
              <w:widowControl/>
              <w:rPr>
                <w:color w:val="000000" w:themeColor="text1"/>
                <w:lang w:val="ru-RU"/>
              </w:rPr>
            </w:pPr>
          </w:p>
        </w:tc>
        <w:tc>
          <w:tcPr>
            <w:tcW w:w="2214" w:type="dxa"/>
            <w:tcBorders>
              <w:bottom w:val="nil"/>
            </w:tcBorders>
          </w:tcPr>
          <w:p w14:paraId="09456A54" w14:textId="77777777" w:rsidR="00C66762" w:rsidRPr="00A3026E" w:rsidRDefault="00C66762" w:rsidP="00A3026E">
            <w:pPr>
              <w:pStyle w:val="a3"/>
              <w:widowControl/>
              <w:rPr>
                <w:color w:val="000000" w:themeColor="text1"/>
                <w:lang w:val="ru-RU"/>
              </w:rPr>
            </w:pPr>
            <w:r w:rsidRPr="00A3026E">
              <w:rPr>
                <w:color w:val="000000" w:themeColor="text1"/>
                <w:lang w:val="ru-RU"/>
              </w:rPr>
              <w:t>Всего</w:t>
            </w:r>
          </w:p>
        </w:tc>
        <w:tc>
          <w:tcPr>
            <w:tcW w:w="2214" w:type="dxa"/>
            <w:tcBorders>
              <w:bottom w:val="nil"/>
            </w:tcBorders>
          </w:tcPr>
          <w:p w14:paraId="470CC5C6" w14:textId="77777777" w:rsidR="00C66762" w:rsidRPr="00A3026E" w:rsidRDefault="00C66762" w:rsidP="00A3026E">
            <w:pPr>
              <w:pStyle w:val="a3"/>
              <w:widowControl/>
              <w:rPr>
                <w:color w:val="000000" w:themeColor="text1"/>
                <w:lang w:val="ru-RU"/>
              </w:rPr>
            </w:pPr>
            <w:r w:rsidRPr="00A3026E">
              <w:rPr>
                <w:color w:val="000000" w:themeColor="text1"/>
                <w:lang w:val="ru-RU"/>
              </w:rPr>
              <w:t>600</w:t>
            </w:r>
          </w:p>
        </w:tc>
      </w:tr>
      <w:tr w:rsidR="00983732" w:rsidRPr="00A3026E" w14:paraId="6B53711E"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12" w:space="0" w:color="auto"/>
              <w:left w:val="single" w:sz="12" w:space="0" w:color="auto"/>
              <w:bottom w:val="single" w:sz="6" w:space="0" w:color="auto"/>
              <w:right w:val="single" w:sz="6" w:space="0" w:color="auto"/>
            </w:tcBorders>
          </w:tcPr>
          <w:p w14:paraId="7928E860" w14:textId="77777777" w:rsidR="00C66762" w:rsidRPr="00A3026E" w:rsidRDefault="00C66762" w:rsidP="00A3026E">
            <w:pPr>
              <w:pStyle w:val="a3"/>
              <w:widowControl/>
              <w:rPr>
                <w:color w:val="000000" w:themeColor="text1"/>
                <w:lang w:val="ru-RU"/>
              </w:rPr>
            </w:pPr>
            <w:r w:rsidRPr="00A3026E">
              <w:rPr>
                <w:color w:val="000000" w:themeColor="text1"/>
                <w:lang w:val="ru-RU"/>
              </w:rPr>
              <w:t>3 вариант</w:t>
            </w:r>
          </w:p>
        </w:tc>
        <w:tc>
          <w:tcPr>
            <w:tcW w:w="2214" w:type="dxa"/>
            <w:tcBorders>
              <w:top w:val="single" w:sz="12" w:space="0" w:color="auto"/>
              <w:left w:val="single" w:sz="6" w:space="0" w:color="auto"/>
              <w:bottom w:val="single" w:sz="6" w:space="0" w:color="auto"/>
              <w:right w:val="single" w:sz="6" w:space="0" w:color="auto"/>
            </w:tcBorders>
          </w:tcPr>
          <w:p w14:paraId="3167A6BC" w14:textId="77777777" w:rsidR="00C66762" w:rsidRPr="00A3026E" w:rsidRDefault="00C66762" w:rsidP="00A3026E">
            <w:pPr>
              <w:pStyle w:val="a3"/>
              <w:widowControl/>
              <w:rPr>
                <w:color w:val="000000" w:themeColor="text1"/>
                <w:lang w:val="ru-RU"/>
              </w:rPr>
            </w:pPr>
            <w:r w:rsidRPr="00A3026E">
              <w:rPr>
                <w:color w:val="000000" w:themeColor="text1"/>
                <w:lang w:val="ru-RU"/>
              </w:rPr>
              <w:t>20АО10</w:t>
            </w:r>
          </w:p>
        </w:tc>
        <w:tc>
          <w:tcPr>
            <w:tcW w:w="2214" w:type="dxa"/>
            <w:tcBorders>
              <w:top w:val="single" w:sz="12" w:space="0" w:color="auto"/>
              <w:left w:val="single" w:sz="6" w:space="0" w:color="auto"/>
              <w:bottom w:val="single" w:sz="6" w:space="0" w:color="auto"/>
              <w:right w:val="single" w:sz="6" w:space="0" w:color="auto"/>
            </w:tcBorders>
          </w:tcPr>
          <w:p w14:paraId="70743783" w14:textId="77777777" w:rsidR="00C66762" w:rsidRPr="00A3026E" w:rsidRDefault="00C66762" w:rsidP="00A3026E">
            <w:pPr>
              <w:pStyle w:val="a3"/>
              <w:widowControl/>
              <w:rPr>
                <w:color w:val="000000" w:themeColor="text1"/>
                <w:lang w:val="ru-RU"/>
              </w:rPr>
            </w:pPr>
            <w:r w:rsidRPr="00A3026E">
              <w:rPr>
                <w:color w:val="000000" w:themeColor="text1"/>
                <w:lang w:val="ru-RU"/>
              </w:rPr>
              <w:t>Внутри</w:t>
            </w:r>
          </w:p>
        </w:tc>
        <w:tc>
          <w:tcPr>
            <w:tcW w:w="2214" w:type="dxa"/>
            <w:tcBorders>
              <w:top w:val="single" w:sz="12" w:space="0" w:color="auto"/>
              <w:left w:val="single" w:sz="6" w:space="0" w:color="auto"/>
              <w:bottom w:val="single" w:sz="6" w:space="0" w:color="auto"/>
              <w:right w:val="single" w:sz="12" w:space="0" w:color="auto"/>
            </w:tcBorders>
          </w:tcPr>
          <w:p w14:paraId="358285CA" w14:textId="77777777" w:rsidR="00C66762" w:rsidRPr="00A3026E" w:rsidRDefault="00C66762" w:rsidP="00A3026E">
            <w:pPr>
              <w:pStyle w:val="a3"/>
              <w:widowControl/>
              <w:rPr>
                <w:color w:val="000000" w:themeColor="text1"/>
                <w:lang w:val="ru-RU"/>
              </w:rPr>
            </w:pPr>
            <w:r w:rsidRPr="00A3026E">
              <w:rPr>
                <w:color w:val="000000" w:themeColor="text1"/>
                <w:lang w:val="ru-RU"/>
              </w:rPr>
              <w:t>200</w:t>
            </w:r>
          </w:p>
        </w:tc>
      </w:tr>
      <w:tr w:rsidR="00983732" w:rsidRPr="00A3026E" w14:paraId="16CF035D"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6" w:space="0" w:color="auto"/>
              <w:left w:val="single" w:sz="12" w:space="0" w:color="auto"/>
              <w:bottom w:val="single" w:sz="6" w:space="0" w:color="auto"/>
              <w:right w:val="single" w:sz="6" w:space="0" w:color="auto"/>
            </w:tcBorders>
          </w:tcPr>
          <w:p w14:paraId="7B278AD3" w14:textId="77777777" w:rsidR="00C66762" w:rsidRPr="00A3026E" w:rsidRDefault="00C66762" w:rsidP="00A3026E">
            <w:pPr>
              <w:pStyle w:val="a3"/>
              <w:widowControl/>
              <w:rPr>
                <w:color w:val="000000" w:themeColor="text1"/>
                <w:lang w:val="ru-RU"/>
              </w:rPr>
            </w:pPr>
            <w:r w:rsidRPr="00A3026E">
              <w:rPr>
                <w:color w:val="000000" w:themeColor="text1"/>
                <w:lang w:val="ru-RU"/>
              </w:rPr>
              <w:t>4 вариант</w:t>
            </w:r>
          </w:p>
        </w:tc>
        <w:tc>
          <w:tcPr>
            <w:tcW w:w="2214" w:type="dxa"/>
            <w:tcBorders>
              <w:top w:val="single" w:sz="6" w:space="0" w:color="auto"/>
              <w:left w:val="single" w:sz="6" w:space="0" w:color="auto"/>
              <w:bottom w:val="single" w:sz="6" w:space="0" w:color="auto"/>
              <w:right w:val="single" w:sz="6" w:space="0" w:color="auto"/>
            </w:tcBorders>
          </w:tcPr>
          <w:p w14:paraId="3705B577" w14:textId="77777777" w:rsidR="00C66762" w:rsidRPr="00A3026E" w:rsidRDefault="00C66762" w:rsidP="00A3026E">
            <w:pPr>
              <w:pStyle w:val="a3"/>
              <w:widowControl/>
              <w:rPr>
                <w:color w:val="000000" w:themeColor="text1"/>
                <w:lang w:val="ru-RU"/>
              </w:rPr>
            </w:pPr>
            <w:r w:rsidRPr="00A3026E">
              <w:rPr>
                <w:color w:val="000000" w:themeColor="text1"/>
                <w:lang w:val="ru-RU"/>
              </w:rPr>
              <w:t>20АО10</w:t>
            </w:r>
          </w:p>
          <w:p w14:paraId="710F76F6" w14:textId="77777777" w:rsidR="00C66762" w:rsidRPr="00A3026E" w:rsidRDefault="00C66762" w:rsidP="00A3026E">
            <w:pPr>
              <w:pStyle w:val="a3"/>
              <w:widowControl/>
              <w:rPr>
                <w:color w:val="000000" w:themeColor="text1"/>
                <w:lang w:val="ru-RU"/>
              </w:rPr>
            </w:pPr>
            <w:r w:rsidRPr="00A3026E">
              <w:rPr>
                <w:color w:val="000000" w:themeColor="text1"/>
                <w:lang w:val="ru-RU"/>
              </w:rPr>
              <w:t>2 ФАБ-100</w:t>
            </w:r>
          </w:p>
        </w:tc>
        <w:tc>
          <w:tcPr>
            <w:tcW w:w="2214" w:type="dxa"/>
            <w:tcBorders>
              <w:top w:val="single" w:sz="6" w:space="0" w:color="auto"/>
              <w:left w:val="single" w:sz="6" w:space="0" w:color="auto"/>
              <w:bottom w:val="single" w:sz="6" w:space="0" w:color="auto"/>
              <w:right w:val="single" w:sz="6" w:space="0" w:color="auto"/>
            </w:tcBorders>
          </w:tcPr>
          <w:p w14:paraId="7953A84F" w14:textId="77777777" w:rsidR="00C66762" w:rsidRPr="00A3026E" w:rsidRDefault="00C66762" w:rsidP="00A3026E">
            <w:pPr>
              <w:pStyle w:val="a3"/>
              <w:widowControl/>
              <w:rPr>
                <w:color w:val="000000" w:themeColor="text1"/>
                <w:lang w:val="ru-RU"/>
              </w:rPr>
            </w:pPr>
            <w:r w:rsidRPr="00A3026E">
              <w:rPr>
                <w:color w:val="000000" w:themeColor="text1"/>
                <w:lang w:val="ru-RU"/>
              </w:rPr>
              <w:t>Внутри</w:t>
            </w:r>
          </w:p>
          <w:p w14:paraId="196CE31A" w14:textId="77777777" w:rsidR="00C66762" w:rsidRPr="00A3026E" w:rsidRDefault="00C66762" w:rsidP="00A3026E">
            <w:pPr>
              <w:pStyle w:val="a3"/>
              <w:widowControl/>
              <w:rPr>
                <w:color w:val="000000" w:themeColor="text1"/>
                <w:lang w:val="ru-RU"/>
              </w:rPr>
            </w:pPr>
            <w:r w:rsidRPr="00A3026E">
              <w:rPr>
                <w:color w:val="000000" w:themeColor="text1"/>
                <w:lang w:val="ru-RU"/>
              </w:rPr>
              <w:t>Снаружи</w:t>
            </w:r>
          </w:p>
        </w:tc>
        <w:tc>
          <w:tcPr>
            <w:tcW w:w="2214" w:type="dxa"/>
            <w:tcBorders>
              <w:top w:val="single" w:sz="6" w:space="0" w:color="auto"/>
              <w:left w:val="single" w:sz="6" w:space="0" w:color="auto"/>
              <w:bottom w:val="single" w:sz="6" w:space="0" w:color="auto"/>
              <w:right w:val="single" w:sz="12" w:space="0" w:color="auto"/>
            </w:tcBorders>
          </w:tcPr>
          <w:p w14:paraId="01510E6D" w14:textId="77777777" w:rsidR="00C66762" w:rsidRPr="00A3026E" w:rsidRDefault="00C66762" w:rsidP="00A3026E">
            <w:pPr>
              <w:pStyle w:val="a3"/>
              <w:widowControl/>
              <w:rPr>
                <w:color w:val="000000" w:themeColor="text1"/>
                <w:lang w:val="ru-RU"/>
              </w:rPr>
            </w:pPr>
            <w:r w:rsidRPr="00A3026E">
              <w:rPr>
                <w:color w:val="000000" w:themeColor="text1"/>
                <w:lang w:val="ru-RU"/>
              </w:rPr>
              <w:t>200</w:t>
            </w:r>
          </w:p>
          <w:p w14:paraId="1DA324FF" w14:textId="77777777" w:rsidR="00C66762" w:rsidRPr="00A3026E" w:rsidRDefault="00C66762" w:rsidP="00A3026E">
            <w:pPr>
              <w:pStyle w:val="a3"/>
              <w:widowControl/>
              <w:rPr>
                <w:color w:val="000000" w:themeColor="text1"/>
                <w:lang w:val="ru-RU"/>
              </w:rPr>
            </w:pPr>
            <w:r w:rsidRPr="00A3026E">
              <w:rPr>
                <w:color w:val="000000" w:themeColor="text1"/>
                <w:lang w:val="ru-RU"/>
              </w:rPr>
              <w:t>200</w:t>
            </w:r>
          </w:p>
        </w:tc>
      </w:tr>
      <w:tr w:rsidR="00983732" w:rsidRPr="00A3026E" w14:paraId="57B68082"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6" w:space="0" w:color="auto"/>
              <w:left w:val="single" w:sz="12" w:space="0" w:color="auto"/>
              <w:bottom w:val="nil"/>
              <w:right w:val="single" w:sz="6" w:space="0" w:color="auto"/>
            </w:tcBorders>
          </w:tcPr>
          <w:p w14:paraId="1EC0B2A8" w14:textId="77777777" w:rsidR="00C66762" w:rsidRPr="00A3026E" w:rsidRDefault="00C66762" w:rsidP="00A3026E">
            <w:pPr>
              <w:pStyle w:val="a3"/>
              <w:widowControl/>
              <w:rPr>
                <w:color w:val="000000" w:themeColor="text1"/>
                <w:lang w:val="ru-RU"/>
              </w:rPr>
            </w:pPr>
          </w:p>
        </w:tc>
        <w:tc>
          <w:tcPr>
            <w:tcW w:w="2214" w:type="dxa"/>
            <w:tcBorders>
              <w:top w:val="single" w:sz="6" w:space="0" w:color="auto"/>
              <w:left w:val="single" w:sz="6" w:space="0" w:color="auto"/>
              <w:bottom w:val="nil"/>
              <w:right w:val="single" w:sz="6" w:space="0" w:color="auto"/>
            </w:tcBorders>
          </w:tcPr>
          <w:p w14:paraId="6192AB23" w14:textId="77777777" w:rsidR="00C66762" w:rsidRPr="00A3026E" w:rsidRDefault="00C66762" w:rsidP="00A3026E">
            <w:pPr>
              <w:pStyle w:val="a3"/>
              <w:widowControl/>
              <w:rPr>
                <w:color w:val="000000" w:themeColor="text1"/>
                <w:lang w:val="ru-RU"/>
              </w:rPr>
            </w:pPr>
          </w:p>
        </w:tc>
        <w:tc>
          <w:tcPr>
            <w:tcW w:w="2214" w:type="dxa"/>
            <w:tcBorders>
              <w:top w:val="single" w:sz="6" w:space="0" w:color="auto"/>
              <w:left w:val="single" w:sz="6" w:space="0" w:color="auto"/>
              <w:bottom w:val="nil"/>
              <w:right w:val="single" w:sz="6" w:space="0" w:color="auto"/>
            </w:tcBorders>
          </w:tcPr>
          <w:p w14:paraId="52BC4693" w14:textId="77777777" w:rsidR="00C66762" w:rsidRPr="00A3026E" w:rsidRDefault="00C66762" w:rsidP="00A3026E">
            <w:pPr>
              <w:pStyle w:val="a3"/>
              <w:widowControl/>
              <w:rPr>
                <w:color w:val="000000" w:themeColor="text1"/>
                <w:lang w:val="ru-RU"/>
              </w:rPr>
            </w:pPr>
            <w:r w:rsidRPr="00A3026E">
              <w:rPr>
                <w:color w:val="000000" w:themeColor="text1"/>
                <w:lang w:val="ru-RU"/>
              </w:rPr>
              <w:t>Всего</w:t>
            </w:r>
          </w:p>
        </w:tc>
        <w:tc>
          <w:tcPr>
            <w:tcW w:w="2214" w:type="dxa"/>
            <w:tcBorders>
              <w:top w:val="single" w:sz="6" w:space="0" w:color="auto"/>
              <w:left w:val="single" w:sz="6" w:space="0" w:color="auto"/>
              <w:bottom w:val="nil"/>
              <w:right w:val="single" w:sz="12" w:space="0" w:color="auto"/>
            </w:tcBorders>
          </w:tcPr>
          <w:p w14:paraId="1BEC6A4B" w14:textId="77777777" w:rsidR="00C66762" w:rsidRPr="00A3026E" w:rsidRDefault="00C66762" w:rsidP="00A3026E">
            <w:pPr>
              <w:pStyle w:val="a3"/>
              <w:widowControl/>
              <w:rPr>
                <w:color w:val="000000" w:themeColor="text1"/>
                <w:lang w:val="ru-RU"/>
              </w:rPr>
            </w:pPr>
            <w:r w:rsidRPr="00A3026E">
              <w:rPr>
                <w:color w:val="000000" w:themeColor="text1"/>
                <w:lang w:val="ru-RU"/>
              </w:rPr>
              <w:t>400</w:t>
            </w:r>
          </w:p>
        </w:tc>
      </w:tr>
      <w:tr w:rsidR="00983732" w:rsidRPr="00A3026E" w14:paraId="31380181"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12" w:space="0" w:color="auto"/>
              <w:left w:val="single" w:sz="12" w:space="0" w:color="auto"/>
              <w:bottom w:val="single" w:sz="6" w:space="0" w:color="auto"/>
              <w:right w:val="single" w:sz="6" w:space="0" w:color="auto"/>
            </w:tcBorders>
          </w:tcPr>
          <w:p w14:paraId="0F6CDD16" w14:textId="77777777" w:rsidR="00C66762" w:rsidRPr="00A3026E" w:rsidRDefault="00C66762" w:rsidP="00A3026E">
            <w:pPr>
              <w:pStyle w:val="a3"/>
              <w:widowControl/>
              <w:rPr>
                <w:color w:val="000000" w:themeColor="text1"/>
                <w:lang w:val="ru-RU"/>
              </w:rPr>
            </w:pPr>
            <w:r w:rsidRPr="00A3026E">
              <w:rPr>
                <w:color w:val="000000" w:themeColor="text1"/>
                <w:lang w:val="ru-RU"/>
              </w:rPr>
              <w:t>5 вариант</w:t>
            </w:r>
          </w:p>
        </w:tc>
        <w:tc>
          <w:tcPr>
            <w:tcW w:w="2214" w:type="dxa"/>
            <w:tcBorders>
              <w:top w:val="single" w:sz="12" w:space="0" w:color="auto"/>
              <w:left w:val="single" w:sz="6" w:space="0" w:color="auto"/>
              <w:bottom w:val="single" w:sz="6" w:space="0" w:color="auto"/>
              <w:right w:val="single" w:sz="6" w:space="0" w:color="auto"/>
            </w:tcBorders>
          </w:tcPr>
          <w:p w14:paraId="5E6A5102" w14:textId="77777777" w:rsidR="00C66762" w:rsidRPr="00A3026E" w:rsidRDefault="00C66762" w:rsidP="00A3026E">
            <w:pPr>
              <w:pStyle w:val="a3"/>
              <w:widowControl/>
              <w:rPr>
                <w:color w:val="000000" w:themeColor="text1"/>
                <w:lang w:val="ru-RU"/>
              </w:rPr>
            </w:pPr>
            <w:r w:rsidRPr="00A3026E">
              <w:rPr>
                <w:color w:val="000000" w:themeColor="text1"/>
                <w:lang w:val="ru-RU"/>
              </w:rPr>
              <w:t>20АО8</w:t>
            </w:r>
          </w:p>
          <w:p w14:paraId="2FB2A686" w14:textId="77777777" w:rsidR="00C66762" w:rsidRPr="00A3026E" w:rsidRDefault="00C66762" w:rsidP="00A3026E">
            <w:pPr>
              <w:pStyle w:val="a3"/>
              <w:widowControl/>
              <w:rPr>
                <w:color w:val="000000" w:themeColor="text1"/>
                <w:lang w:val="ru-RU"/>
              </w:rPr>
            </w:pPr>
            <w:r w:rsidRPr="00A3026E">
              <w:rPr>
                <w:color w:val="000000" w:themeColor="text1"/>
                <w:lang w:val="ru-RU"/>
              </w:rPr>
              <w:t>2 ФАБ-100</w:t>
            </w:r>
          </w:p>
        </w:tc>
        <w:tc>
          <w:tcPr>
            <w:tcW w:w="2214" w:type="dxa"/>
            <w:tcBorders>
              <w:top w:val="single" w:sz="12" w:space="0" w:color="auto"/>
              <w:left w:val="single" w:sz="6" w:space="0" w:color="auto"/>
              <w:bottom w:val="single" w:sz="6" w:space="0" w:color="auto"/>
              <w:right w:val="single" w:sz="6" w:space="0" w:color="auto"/>
            </w:tcBorders>
          </w:tcPr>
          <w:p w14:paraId="73AB32A0" w14:textId="77777777" w:rsidR="00C66762" w:rsidRPr="00A3026E" w:rsidRDefault="00C66762" w:rsidP="00A3026E">
            <w:pPr>
              <w:pStyle w:val="a3"/>
              <w:widowControl/>
              <w:rPr>
                <w:color w:val="000000" w:themeColor="text1"/>
                <w:lang w:val="ru-RU"/>
              </w:rPr>
            </w:pPr>
            <w:r w:rsidRPr="00A3026E">
              <w:rPr>
                <w:color w:val="000000" w:themeColor="text1"/>
                <w:lang w:val="ru-RU"/>
              </w:rPr>
              <w:t>Внутри</w:t>
            </w:r>
          </w:p>
          <w:p w14:paraId="09C21D10" w14:textId="77777777" w:rsidR="00C66762" w:rsidRPr="00A3026E" w:rsidRDefault="00C66762" w:rsidP="00A3026E">
            <w:pPr>
              <w:pStyle w:val="a3"/>
              <w:widowControl/>
              <w:rPr>
                <w:color w:val="000000" w:themeColor="text1"/>
                <w:lang w:val="ru-RU"/>
              </w:rPr>
            </w:pPr>
            <w:r w:rsidRPr="00A3026E">
              <w:rPr>
                <w:color w:val="000000" w:themeColor="text1"/>
                <w:lang w:val="ru-RU"/>
              </w:rPr>
              <w:t>Снаружи</w:t>
            </w:r>
          </w:p>
        </w:tc>
        <w:tc>
          <w:tcPr>
            <w:tcW w:w="2214" w:type="dxa"/>
            <w:tcBorders>
              <w:top w:val="single" w:sz="12" w:space="0" w:color="auto"/>
              <w:left w:val="single" w:sz="6" w:space="0" w:color="auto"/>
              <w:bottom w:val="single" w:sz="6" w:space="0" w:color="auto"/>
              <w:right w:val="single" w:sz="12" w:space="0" w:color="auto"/>
            </w:tcBorders>
          </w:tcPr>
          <w:p w14:paraId="76E1A8E1" w14:textId="77777777" w:rsidR="00C66762" w:rsidRPr="00A3026E" w:rsidRDefault="00C66762" w:rsidP="00A3026E">
            <w:pPr>
              <w:pStyle w:val="a3"/>
              <w:widowControl/>
              <w:rPr>
                <w:color w:val="000000" w:themeColor="text1"/>
                <w:lang w:val="ru-RU"/>
              </w:rPr>
            </w:pPr>
            <w:r w:rsidRPr="00A3026E">
              <w:rPr>
                <w:color w:val="000000" w:themeColor="text1"/>
                <w:lang w:val="ru-RU"/>
              </w:rPr>
              <w:t>160</w:t>
            </w:r>
          </w:p>
          <w:p w14:paraId="4A18B72C" w14:textId="77777777" w:rsidR="00C66762" w:rsidRPr="00A3026E" w:rsidRDefault="00C66762" w:rsidP="00A3026E">
            <w:pPr>
              <w:pStyle w:val="a3"/>
              <w:widowControl/>
              <w:rPr>
                <w:color w:val="000000" w:themeColor="text1"/>
                <w:lang w:val="ru-RU"/>
              </w:rPr>
            </w:pPr>
            <w:r w:rsidRPr="00A3026E">
              <w:rPr>
                <w:color w:val="000000" w:themeColor="text1"/>
                <w:lang w:val="ru-RU"/>
              </w:rPr>
              <w:t>200</w:t>
            </w:r>
          </w:p>
        </w:tc>
      </w:tr>
      <w:tr w:rsidR="00983732" w:rsidRPr="00A3026E" w14:paraId="18B74A86"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6" w:space="0" w:color="auto"/>
              <w:left w:val="single" w:sz="12" w:space="0" w:color="auto"/>
              <w:bottom w:val="single" w:sz="6" w:space="0" w:color="auto"/>
              <w:right w:val="single" w:sz="6" w:space="0" w:color="auto"/>
            </w:tcBorders>
          </w:tcPr>
          <w:p w14:paraId="4C9E88A1" w14:textId="77777777" w:rsidR="00C66762" w:rsidRPr="00A3026E" w:rsidRDefault="00C66762" w:rsidP="00A3026E">
            <w:pPr>
              <w:pStyle w:val="a3"/>
              <w:widowControl/>
              <w:rPr>
                <w:color w:val="000000" w:themeColor="text1"/>
                <w:lang w:val="ru-RU"/>
              </w:rPr>
            </w:pPr>
          </w:p>
        </w:tc>
        <w:tc>
          <w:tcPr>
            <w:tcW w:w="2214" w:type="dxa"/>
            <w:tcBorders>
              <w:top w:val="single" w:sz="6" w:space="0" w:color="auto"/>
              <w:left w:val="single" w:sz="6" w:space="0" w:color="auto"/>
              <w:bottom w:val="single" w:sz="6" w:space="0" w:color="auto"/>
              <w:right w:val="single" w:sz="6" w:space="0" w:color="auto"/>
            </w:tcBorders>
          </w:tcPr>
          <w:p w14:paraId="78EC6F5D" w14:textId="77777777" w:rsidR="00C66762" w:rsidRPr="00A3026E" w:rsidRDefault="00C66762" w:rsidP="00A3026E">
            <w:pPr>
              <w:pStyle w:val="a3"/>
              <w:widowControl/>
              <w:rPr>
                <w:color w:val="000000" w:themeColor="text1"/>
                <w:lang w:val="ru-RU"/>
              </w:rPr>
            </w:pPr>
          </w:p>
        </w:tc>
        <w:tc>
          <w:tcPr>
            <w:tcW w:w="2214" w:type="dxa"/>
            <w:tcBorders>
              <w:top w:val="single" w:sz="6" w:space="0" w:color="auto"/>
              <w:left w:val="single" w:sz="6" w:space="0" w:color="auto"/>
              <w:bottom w:val="single" w:sz="6" w:space="0" w:color="auto"/>
              <w:right w:val="single" w:sz="6" w:space="0" w:color="auto"/>
            </w:tcBorders>
          </w:tcPr>
          <w:p w14:paraId="21792BB0" w14:textId="77777777" w:rsidR="00C66762" w:rsidRPr="00A3026E" w:rsidRDefault="00C66762" w:rsidP="00A3026E">
            <w:pPr>
              <w:pStyle w:val="a3"/>
              <w:widowControl/>
              <w:rPr>
                <w:color w:val="000000" w:themeColor="text1"/>
                <w:lang w:val="ru-RU"/>
              </w:rPr>
            </w:pPr>
            <w:r w:rsidRPr="00A3026E">
              <w:rPr>
                <w:color w:val="000000" w:themeColor="text1"/>
                <w:lang w:val="ru-RU"/>
              </w:rPr>
              <w:t>Всего</w:t>
            </w:r>
          </w:p>
        </w:tc>
        <w:tc>
          <w:tcPr>
            <w:tcW w:w="2214" w:type="dxa"/>
            <w:tcBorders>
              <w:top w:val="single" w:sz="6" w:space="0" w:color="auto"/>
              <w:left w:val="single" w:sz="6" w:space="0" w:color="auto"/>
              <w:bottom w:val="single" w:sz="6" w:space="0" w:color="auto"/>
              <w:right w:val="single" w:sz="12" w:space="0" w:color="auto"/>
            </w:tcBorders>
          </w:tcPr>
          <w:p w14:paraId="408DBDCD" w14:textId="77777777" w:rsidR="00C66762" w:rsidRPr="00A3026E" w:rsidRDefault="00C66762" w:rsidP="00A3026E">
            <w:pPr>
              <w:pStyle w:val="a3"/>
              <w:widowControl/>
              <w:rPr>
                <w:color w:val="000000" w:themeColor="text1"/>
                <w:lang w:val="ru-RU"/>
              </w:rPr>
            </w:pPr>
            <w:r w:rsidRPr="00A3026E">
              <w:rPr>
                <w:color w:val="000000" w:themeColor="text1"/>
                <w:lang w:val="ru-RU"/>
              </w:rPr>
              <w:t>360</w:t>
            </w:r>
          </w:p>
        </w:tc>
      </w:tr>
      <w:tr w:rsidR="00983732" w:rsidRPr="00A3026E" w14:paraId="5803AC13"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6" w:space="0" w:color="auto"/>
              <w:left w:val="single" w:sz="12" w:space="0" w:color="auto"/>
              <w:bottom w:val="single" w:sz="6" w:space="0" w:color="auto"/>
              <w:right w:val="single" w:sz="6" w:space="0" w:color="auto"/>
            </w:tcBorders>
          </w:tcPr>
          <w:p w14:paraId="4AB2C37B" w14:textId="77777777" w:rsidR="00C66762" w:rsidRPr="00A3026E" w:rsidRDefault="00C66762" w:rsidP="00A3026E">
            <w:pPr>
              <w:pStyle w:val="a3"/>
              <w:widowControl/>
              <w:rPr>
                <w:color w:val="000000" w:themeColor="text1"/>
                <w:lang w:val="ru-RU"/>
              </w:rPr>
            </w:pPr>
            <w:r w:rsidRPr="00A3026E">
              <w:rPr>
                <w:color w:val="000000" w:themeColor="text1"/>
                <w:lang w:val="ru-RU"/>
              </w:rPr>
              <w:t>6 вариант</w:t>
            </w:r>
          </w:p>
        </w:tc>
        <w:tc>
          <w:tcPr>
            <w:tcW w:w="2214" w:type="dxa"/>
            <w:tcBorders>
              <w:top w:val="single" w:sz="6" w:space="0" w:color="auto"/>
              <w:left w:val="single" w:sz="6" w:space="0" w:color="auto"/>
              <w:bottom w:val="single" w:sz="6" w:space="0" w:color="auto"/>
              <w:right w:val="single" w:sz="6" w:space="0" w:color="auto"/>
            </w:tcBorders>
          </w:tcPr>
          <w:p w14:paraId="4702267E" w14:textId="77777777" w:rsidR="00C66762" w:rsidRPr="00A3026E" w:rsidRDefault="00C66762" w:rsidP="00A3026E">
            <w:pPr>
              <w:pStyle w:val="a3"/>
              <w:widowControl/>
              <w:rPr>
                <w:color w:val="000000" w:themeColor="text1"/>
                <w:lang w:val="ru-RU"/>
              </w:rPr>
            </w:pPr>
            <w:r w:rsidRPr="00A3026E">
              <w:rPr>
                <w:color w:val="000000" w:themeColor="text1"/>
                <w:lang w:val="ru-RU"/>
              </w:rPr>
              <w:t>20АО20</w:t>
            </w:r>
          </w:p>
        </w:tc>
        <w:tc>
          <w:tcPr>
            <w:tcW w:w="2214" w:type="dxa"/>
            <w:tcBorders>
              <w:top w:val="single" w:sz="6" w:space="0" w:color="auto"/>
              <w:left w:val="single" w:sz="6" w:space="0" w:color="auto"/>
              <w:bottom w:val="single" w:sz="6" w:space="0" w:color="auto"/>
              <w:right w:val="single" w:sz="6" w:space="0" w:color="auto"/>
            </w:tcBorders>
          </w:tcPr>
          <w:p w14:paraId="388B7D53" w14:textId="77777777" w:rsidR="00C66762" w:rsidRPr="00A3026E" w:rsidRDefault="00C66762" w:rsidP="00A3026E">
            <w:pPr>
              <w:pStyle w:val="a3"/>
              <w:widowControl/>
              <w:rPr>
                <w:color w:val="000000" w:themeColor="text1"/>
                <w:lang w:val="ru-RU"/>
              </w:rPr>
            </w:pPr>
            <w:r w:rsidRPr="00A3026E">
              <w:rPr>
                <w:color w:val="000000" w:themeColor="text1"/>
                <w:lang w:val="ru-RU"/>
              </w:rPr>
              <w:t>Внутри</w:t>
            </w:r>
          </w:p>
        </w:tc>
        <w:tc>
          <w:tcPr>
            <w:tcW w:w="2214" w:type="dxa"/>
            <w:tcBorders>
              <w:top w:val="single" w:sz="6" w:space="0" w:color="auto"/>
              <w:left w:val="single" w:sz="6" w:space="0" w:color="auto"/>
              <w:bottom w:val="single" w:sz="6" w:space="0" w:color="auto"/>
              <w:right w:val="single" w:sz="12" w:space="0" w:color="auto"/>
            </w:tcBorders>
          </w:tcPr>
          <w:p w14:paraId="5A53B2EA" w14:textId="77777777" w:rsidR="00C66762" w:rsidRPr="00A3026E" w:rsidRDefault="00C66762" w:rsidP="00A3026E">
            <w:pPr>
              <w:pStyle w:val="a3"/>
              <w:widowControl/>
              <w:rPr>
                <w:color w:val="000000" w:themeColor="text1"/>
                <w:lang w:val="ru-RU"/>
              </w:rPr>
            </w:pPr>
            <w:r w:rsidRPr="00A3026E">
              <w:rPr>
                <w:color w:val="000000" w:themeColor="text1"/>
                <w:lang w:val="ru-RU"/>
              </w:rPr>
              <w:t>400</w:t>
            </w:r>
          </w:p>
        </w:tc>
      </w:tr>
      <w:tr w:rsidR="00983732" w:rsidRPr="00A3026E" w14:paraId="54D1BE5F"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6" w:space="0" w:color="auto"/>
              <w:left w:val="single" w:sz="12" w:space="0" w:color="auto"/>
              <w:bottom w:val="single" w:sz="6" w:space="0" w:color="auto"/>
              <w:right w:val="single" w:sz="6" w:space="0" w:color="auto"/>
            </w:tcBorders>
          </w:tcPr>
          <w:p w14:paraId="1FED326A" w14:textId="77777777" w:rsidR="00C66762" w:rsidRPr="00A3026E" w:rsidRDefault="00C66762" w:rsidP="00A3026E">
            <w:pPr>
              <w:pStyle w:val="a3"/>
              <w:widowControl/>
              <w:rPr>
                <w:color w:val="000000" w:themeColor="text1"/>
                <w:lang w:val="ru-RU"/>
              </w:rPr>
            </w:pPr>
            <w:r w:rsidRPr="00A3026E">
              <w:rPr>
                <w:color w:val="000000" w:themeColor="text1"/>
                <w:lang w:val="ru-RU"/>
              </w:rPr>
              <w:t>7 вариант</w:t>
            </w:r>
          </w:p>
        </w:tc>
        <w:tc>
          <w:tcPr>
            <w:tcW w:w="2214" w:type="dxa"/>
            <w:tcBorders>
              <w:top w:val="single" w:sz="6" w:space="0" w:color="auto"/>
              <w:left w:val="single" w:sz="6" w:space="0" w:color="auto"/>
              <w:bottom w:val="single" w:sz="6" w:space="0" w:color="auto"/>
              <w:right w:val="single" w:sz="6" w:space="0" w:color="auto"/>
            </w:tcBorders>
          </w:tcPr>
          <w:p w14:paraId="69B3DA5B" w14:textId="77777777" w:rsidR="00C66762" w:rsidRPr="00A3026E" w:rsidRDefault="00C66762" w:rsidP="00A3026E">
            <w:pPr>
              <w:pStyle w:val="a3"/>
              <w:widowControl/>
              <w:rPr>
                <w:color w:val="000000" w:themeColor="text1"/>
                <w:lang w:val="ru-RU"/>
              </w:rPr>
            </w:pPr>
            <w:r w:rsidRPr="00A3026E">
              <w:rPr>
                <w:color w:val="000000" w:themeColor="text1"/>
                <w:lang w:val="ru-RU"/>
              </w:rPr>
              <w:t>20АО20</w:t>
            </w:r>
          </w:p>
          <w:p w14:paraId="33CCCAB2" w14:textId="77777777" w:rsidR="00C66762" w:rsidRPr="00A3026E" w:rsidRDefault="00C66762" w:rsidP="00A3026E">
            <w:pPr>
              <w:pStyle w:val="a3"/>
              <w:widowControl/>
              <w:rPr>
                <w:color w:val="000000" w:themeColor="text1"/>
                <w:lang w:val="ru-RU"/>
              </w:rPr>
            </w:pPr>
            <w:r w:rsidRPr="00A3026E">
              <w:rPr>
                <w:color w:val="000000" w:themeColor="text1"/>
                <w:lang w:val="ru-RU"/>
              </w:rPr>
              <w:t>2 ФАБ-100</w:t>
            </w:r>
          </w:p>
        </w:tc>
        <w:tc>
          <w:tcPr>
            <w:tcW w:w="2214" w:type="dxa"/>
            <w:tcBorders>
              <w:top w:val="single" w:sz="6" w:space="0" w:color="auto"/>
              <w:left w:val="single" w:sz="6" w:space="0" w:color="auto"/>
              <w:bottom w:val="single" w:sz="6" w:space="0" w:color="auto"/>
              <w:right w:val="single" w:sz="6" w:space="0" w:color="auto"/>
            </w:tcBorders>
          </w:tcPr>
          <w:p w14:paraId="5288EF3F" w14:textId="77777777" w:rsidR="00C66762" w:rsidRPr="00A3026E" w:rsidRDefault="00C66762" w:rsidP="00A3026E">
            <w:pPr>
              <w:pStyle w:val="a3"/>
              <w:widowControl/>
              <w:rPr>
                <w:color w:val="000000" w:themeColor="text1"/>
                <w:lang w:val="ru-RU"/>
              </w:rPr>
            </w:pPr>
            <w:r w:rsidRPr="00A3026E">
              <w:rPr>
                <w:color w:val="000000" w:themeColor="text1"/>
                <w:lang w:val="ru-RU"/>
              </w:rPr>
              <w:t>Внутри</w:t>
            </w:r>
          </w:p>
          <w:p w14:paraId="6A4F22E5" w14:textId="77777777" w:rsidR="00C66762" w:rsidRPr="00A3026E" w:rsidRDefault="00C66762" w:rsidP="00A3026E">
            <w:pPr>
              <w:pStyle w:val="a3"/>
              <w:widowControl/>
              <w:rPr>
                <w:color w:val="000000" w:themeColor="text1"/>
                <w:lang w:val="ru-RU"/>
              </w:rPr>
            </w:pPr>
            <w:r w:rsidRPr="00A3026E">
              <w:rPr>
                <w:color w:val="000000" w:themeColor="text1"/>
                <w:lang w:val="ru-RU"/>
              </w:rPr>
              <w:t>Снаружи</w:t>
            </w:r>
          </w:p>
        </w:tc>
        <w:tc>
          <w:tcPr>
            <w:tcW w:w="2214" w:type="dxa"/>
            <w:tcBorders>
              <w:top w:val="single" w:sz="6" w:space="0" w:color="auto"/>
              <w:left w:val="single" w:sz="6" w:space="0" w:color="auto"/>
              <w:bottom w:val="single" w:sz="6" w:space="0" w:color="auto"/>
              <w:right w:val="single" w:sz="12" w:space="0" w:color="auto"/>
            </w:tcBorders>
          </w:tcPr>
          <w:p w14:paraId="78FA9151" w14:textId="77777777" w:rsidR="00C66762" w:rsidRPr="00A3026E" w:rsidRDefault="00C66762" w:rsidP="00A3026E">
            <w:pPr>
              <w:pStyle w:val="a3"/>
              <w:widowControl/>
              <w:rPr>
                <w:color w:val="000000" w:themeColor="text1"/>
                <w:lang w:val="ru-RU"/>
              </w:rPr>
            </w:pPr>
            <w:r w:rsidRPr="00A3026E">
              <w:rPr>
                <w:color w:val="000000" w:themeColor="text1"/>
                <w:lang w:val="ru-RU"/>
              </w:rPr>
              <w:t>400</w:t>
            </w:r>
          </w:p>
          <w:p w14:paraId="3FA5C05E" w14:textId="77777777" w:rsidR="00C66762" w:rsidRPr="00A3026E" w:rsidRDefault="00C66762" w:rsidP="00A3026E">
            <w:pPr>
              <w:pStyle w:val="a3"/>
              <w:widowControl/>
              <w:rPr>
                <w:color w:val="000000" w:themeColor="text1"/>
                <w:lang w:val="ru-RU"/>
              </w:rPr>
            </w:pPr>
            <w:r w:rsidRPr="00A3026E">
              <w:rPr>
                <w:color w:val="000000" w:themeColor="text1"/>
                <w:lang w:val="ru-RU"/>
              </w:rPr>
              <w:t>200</w:t>
            </w:r>
          </w:p>
        </w:tc>
      </w:tr>
      <w:tr w:rsidR="00983732" w:rsidRPr="00A3026E" w14:paraId="0861DC45"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6" w:space="0" w:color="auto"/>
              <w:left w:val="single" w:sz="12" w:space="0" w:color="auto"/>
              <w:bottom w:val="single" w:sz="6" w:space="0" w:color="auto"/>
              <w:right w:val="single" w:sz="6" w:space="0" w:color="auto"/>
            </w:tcBorders>
          </w:tcPr>
          <w:p w14:paraId="0D8135C1" w14:textId="77777777" w:rsidR="00C66762" w:rsidRPr="00A3026E" w:rsidRDefault="00C66762" w:rsidP="00A3026E">
            <w:pPr>
              <w:pStyle w:val="a3"/>
              <w:widowControl/>
              <w:rPr>
                <w:color w:val="000000" w:themeColor="text1"/>
                <w:lang w:val="ru-RU"/>
              </w:rPr>
            </w:pPr>
          </w:p>
        </w:tc>
        <w:tc>
          <w:tcPr>
            <w:tcW w:w="2214" w:type="dxa"/>
            <w:tcBorders>
              <w:top w:val="single" w:sz="6" w:space="0" w:color="auto"/>
              <w:left w:val="single" w:sz="6" w:space="0" w:color="auto"/>
              <w:bottom w:val="single" w:sz="6" w:space="0" w:color="auto"/>
              <w:right w:val="single" w:sz="6" w:space="0" w:color="auto"/>
            </w:tcBorders>
          </w:tcPr>
          <w:p w14:paraId="30F7EE87" w14:textId="77777777" w:rsidR="00C66762" w:rsidRPr="00A3026E" w:rsidRDefault="00C66762" w:rsidP="00A3026E">
            <w:pPr>
              <w:pStyle w:val="a3"/>
              <w:widowControl/>
              <w:rPr>
                <w:color w:val="000000" w:themeColor="text1"/>
                <w:lang w:val="ru-RU"/>
              </w:rPr>
            </w:pPr>
          </w:p>
        </w:tc>
        <w:tc>
          <w:tcPr>
            <w:tcW w:w="2214" w:type="dxa"/>
            <w:tcBorders>
              <w:top w:val="single" w:sz="6" w:space="0" w:color="auto"/>
              <w:left w:val="single" w:sz="6" w:space="0" w:color="auto"/>
              <w:bottom w:val="single" w:sz="6" w:space="0" w:color="auto"/>
              <w:right w:val="single" w:sz="6" w:space="0" w:color="auto"/>
            </w:tcBorders>
          </w:tcPr>
          <w:p w14:paraId="32867A79" w14:textId="77777777" w:rsidR="00C66762" w:rsidRPr="00A3026E" w:rsidRDefault="00C66762" w:rsidP="00A3026E">
            <w:pPr>
              <w:pStyle w:val="a3"/>
              <w:widowControl/>
              <w:rPr>
                <w:color w:val="000000" w:themeColor="text1"/>
                <w:lang w:val="ru-RU"/>
              </w:rPr>
            </w:pPr>
            <w:r w:rsidRPr="00A3026E">
              <w:rPr>
                <w:color w:val="000000" w:themeColor="text1"/>
                <w:lang w:val="ru-RU"/>
              </w:rPr>
              <w:t>Всего</w:t>
            </w:r>
          </w:p>
        </w:tc>
        <w:tc>
          <w:tcPr>
            <w:tcW w:w="2214" w:type="dxa"/>
            <w:tcBorders>
              <w:top w:val="single" w:sz="6" w:space="0" w:color="auto"/>
              <w:left w:val="single" w:sz="6" w:space="0" w:color="auto"/>
              <w:bottom w:val="single" w:sz="6" w:space="0" w:color="auto"/>
              <w:right w:val="single" w:sz="12" w:space="0" w:color="auto"/>
            </w:tcBorders>
          </w:tcPr>
          <w:p w14:paraId="6C154E18" w14:textId="77777777" w:rsidR="00C66762" w:rsidRPr="00A3026E" w:rsidRDefault="00C66762" w:rsidP="00A3026E">
            <w:pPr>
              <w:pStyle w:val="a3"/>
              <w:widowControl/>
              <w:rPr>
                <w:color w:val="000000" w:themeColor="text1"/>
                <w:lang w:val="ru-RU"/>
              </w:rPr>
            </w:pPr>
            <w:r w:rsidRPr="00A3026E">
              <w:rPr>
                <w:color w:val="000000" w:themeColor="text1"/>
                <w:lang w:val="ru-RU"/>
              </w:rPr>
              <w:t>600</w:t>
            </w:r>
          </w:p>
        </w:tc>
      </w:tr>
      <w:tr w:rsidR="00983732" w:rsidRPr="00A3026E" w14:paraId="5D0EBCC6"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6" w:space="0" w:color="auto"/>
              <w:left w:val="single" w:sz="12" w:space="0" w:color="auto"/>
              <w:bottom w:val="single" w:sz="6" w:space="0" w:color="auto"/>
              <w:right w:val="single" w:sz="6" w:space="0" w:color="auto"/>
            </w:tcBorders>
          </w:tcPr>
          <w:p w14:paraId="2D4BE5C2" w14:textId="77777777" w:rsidR="00C66762" w:rsidRPr="00A3026E" w:rsidRDefault="00C66762" w:rsidP="00A3026E">
            <w:pPr>
              <w:pStyle w:val="a3"/>
              <w:widowControl/>
              <w:rPr>
                <w:color w:val="000000" w:themeColor="text1"/>
                <w:lang w:val="ru-RU"/>
              </w:rPr>
            </w:pPr>
            <w:r w:rsidRPr="00A3026E">
              <w:rPr>
                <w:color w:val="000000" w:themeColor="text1"/>
                <w:lang w:val="ru-RU"/>
              </w:rPr>
              <w:t>8 вариант</w:t>
            </w:r>
          </w:p>
        </w:tc>
        <w:tc>
          <w:tcPr>
            <w:tcW w:w="2214" w:type="dxa"/>
            <w:tcBorders>
              <w:top w:val="single" w:sz="6" w:space="0" w:color="auto"/>
              <w:left w:val="single" w:sz="6" w:space="0" w:color="auto"/>
              <w:bottom w:val="single" w:sz="6" w:space="0" w:color="auto"/>
              <w:right w:val="single" w:sz="6" w:space="0" w:color="auto"/>
            </w:tcBorders>
          </w:tcPr>
          <w:p w14:paraId="53BA2123" w14:textId="77777777" w:rsidR="00C66762" w:rsidRPr="00A3026E" w:rsidRDefault="00C66762" w:rsidP="00A3026E">
            <w:pPr>
              <w:pStyle w:val="a3"/>
              <w:widowControl/>
              <w:rPr>
                <w:color w:val="000000" w:themeColor="text1"/>
                <w:lang w:val="ru-RU"/>
              </w:rPr>
            </w:pPr>
            <w:r w:rsidRPr="00A3026E">
              <w:rPr>
                <w:color w:val="000000" w:themeColor="text1"/>
                <w:lang w:val="ru-RU"/>
              </w:rPr>
              <w:t>20АО15</w:t>
            </w:r>
          </w:p>
          <w:p w14:paraId="26961781" w14:textId="77777777" w:rsidR="00C66762" w:rsidRPr="00A3026E" w:rsidRDefault="00C66762" w:rsidP="00A3026E">
            <w:pPr>
              <w:pStyle w:val="a3"/>
              <w:widowControl/>
              <w:rPr>
                <w:color w:val="000000" w:themeColor="text1"/>
                <w:lang w:val="ru-RU"/>
              </w:rPr>
            </w:pPr>
            <w:r w:rsidRPr="00A3026E">
              <w:rPr>
                <w:color w:val="000000" w:themeColor="text1"/>
                <w:lang w:val="ru-RU"/>
              </w:rPr>
              <w:t>2 ФАБ-50</w:t>
            </w:r>
          </w:p>
        </w:tc>
        <w:tc>
          <w:tcPr>
            <w:tcW w:w="2214" w:type="dxa"/>
            <w:tcBorders>
              <w:top w:val="single" w:sz="6" w:space="0" w:color="auto"/>
              <w:left w:val="single" w:sz="6" w:space="0" w:color="auto"/>
              <w:bottom w:val="single" w:sz="6" w:space="0" w:color="auto"/>
              <w:right w:val="single" w:sz="6" w:space="0" w:color="auto"/>
            </w:tcBorders>
          </w:tcPr>
          <w:p w14:paraId="671076E5" w14:textId="77777777" w:rsidR="00C66762" w:rsidRPr="00A3026E" w:rsidRDefault="00C66762" w:rsidP="00A3026E">
            <w:pPr>
              <w:pStyle w:val="a3"/>
              <w:widowControl/>
              <w:rPr>
                <w:color w:val="000000" w:themeColor="text1"/>
                <w:lang w:val="ru-RU"/>
              </w:rPr>
            </w:pPr>
            <w:r w:rsidRPr="00A3026E">
              <w:rPr>
                <w:color w:val="000000" w:themeColor="text1"/>
                <w:lang w:val="ru-RU"/>
              </w:rPr>
              <w:t>Внутри</w:t>
            </w:r>
          </w:p>
          <w:p w14:paraId="7DAE1085" w14:textId="77777777" w:rsidR="00C66762" w:rsidRPr="00A3026E" w:rsidRDefault="00C66762" w:rsidP="00A3026E">
            <w:pPr>
              <w:pStyle w:val="a3"/>
              <w:widowControl/>
              <w:rPr>
                <w:color w:val="000000" w:themeColor="text1"/>
                <w:lang w:val="ru-RU"/>
              </w:rPr>
            </w:pPr>
            <w:r w:rsidRPr="00A3026E">
              <w:rPr>
                <w:color w:val="000000" w:themeColor="text1"/>
                <w:lang w:val="ru-RU"/>
              </w:rPr>
              <w:t>Снаружи</w:t>
            </w:r>
          </w:p>
        </w:tc>
        <w:tc>
          <w:tcPr>
            <w:tcW w:w="2214" w:type="dxa"/>
            <w:tcBorders>
              <w:top w:val="single" w:sz="6" w:space="0" w:color="auto"/>
              <w:left w:val="single" w:sz="6" w:space="0" w:color="auto"/>
              <w:bottom w:val="single" w:sz="6" w:space="0" w:color="auto"/>
              <w:right w:val="single" w:sz="12" w:space="0" w:color="auto"/>
            </w:tcBorders>
          </w:tcPr>
          <w:p w14:paraId="19BCBCA6" w14:textId="77777777" w:rsidR="00C66762" w:rsidRPr="00A3026E" w:rsidRDefault="00C66762" w:rsidP="00A3026E">
            <w:pPr>
              <w:pStyle w:val="a3"/>
              <w:widowControl/>
              <w:rPr>
                <w:color w:val="000000" w:themeColor="text1"/>
                <w:lang w:val="ru-RU"/>
              </w:rPr>
            </w:pPr>
            <w:r w:rsidRPr="00A3026E">
              <w:rPr>
                <w:color w:val="000000" w:themeColor="text1"/>
                <w:lang w:val="ru-RU"/>
              </w:rPr>
              <w:t>300</w:t>
            </w:r>
          </w:p>
          <w:p w14:paraId="789DE95E" w14:textId="77777777" w:rsidR="00C66762" w:rsidRPr="00A3026E" w:rsidRDefault="00C66762" w:rsidP="00A3026E">
            <w:pPr>
              <w:pStyle w:val="a3"/>
              <w:widowControl/>
              <w:rPr>
                <w:color w:val="000000" w:themeColor="text1"/>
                <w:lang w:val="ru-RU"/>
              </w:rPr>
            </w:pPr>
            <w:r w:rsidRPr="00A3026E">
              <w:rPr>
                <w:color w:val="000000" w:themeColor="text1"/>
                <w:lang w:val="ru-RU"/>
              </w:rPr>
              <w:t>100</w:t>
            </w:r>
          </w:p>
        </w:tc>
      </w:tr>
      <w:tr w:rsidR="00983732" w:rsidRPr="00A3026E" w14:paraId="739A33AB"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6" w:space="0" w:color="auto"/>
              <w:left w:val="single" w:sz="12" w:space="0" w:color="auto"/>
              <w:bottom w:val="single" w:sz="12" w:space="0" w:color="auto"/>
              <w:right w:val="single" w:sz="6" w:space="0" w:color="auto"/>
            </w:tcBorders>
          </w:tcPr>
          <w:p w14:paraId="196CDB10" w14:textId="77777777" w:rsidR="00C66762" w:rsidRPr="00A3026E" w:rsidRDefault="00C66762" w:rsidP="00A3026E">
            <w:pPr>
              <w:pStyle w:val="a3"/>
              <w:widowControl/>
              <w:rPr>
                <w:color w:val="000000" w:themeColor="text1"/>
                <w:lang w:val="ru-RU"/>
              </w:rPr>
            </w:pPr>
          </w:p>
        </w:tc>
        <w:tc>
          <w:tcPr>
            <w:tcW w:w="2214" w:type="dxa"/>
            <w:tcBorders>
              <w:top w:val="single" w:sz="6" w:space="0" w:color="auto"/>
              <w:left w:val="single" w:sz="6" w:space="0" w:color="auto"/>
              <w:bottom w:val="single" w:sz="12" w:space="0" w:color="auto"/>
              <w:right w:val="single" w:sz="6" w:space="0" w:color="auto"/>
            </w:tcBorders>
          </w:tcPr>
          <w:p w14:paraId="001CB435" w14:textId="77777777" w:rsidR="00C66762" w:rsidRPr="00A3026E" w:rsidRDefault="00C66762" w:rsidP="00A3026E">
            <w:pPr>
              <w:pStyle w:val="a3"/>
              <w:widowControl/>
              <w:rPr>
                <w:color w:val="000000" w:themeColor="text1"/>
                <w:lang w:val="ru-RU"/>
              </w:rPr>
            </w:pPr>
          </w:p>
        </w:tc>
        <w:tc>
          <w:tcPr>
            <w:tcW w:w="2214" w:type="dxa"/>
            <w:tcBorders>
              <w:top w:val="single" w:sz="6" w:space="0" w:color="auto"/>
              <w:left w:val="single" w:sz="6" w:space="0" w:color="auto"/>
              <w:bottom w:val="single" w:sz="12" w:space="0" w:color="auto"/>
              <w:right w:val="single" w:sz="6" w:space="0" w:color="auto"/>
            </w:tcBorders>
          </w:tcPr>
          <w:p w14:paraId="6839FBFD" w14:textId="77777777" w:rsidR="00C66762" w:rsidRPr="00A3026E" w:rsidRDefault="00C66762" w:rsidP="00A3026E">
            <w:pPr>
              <w:pStyle w:val="a3"/>
              <w:widowControl/>
              <w:rPr>
                <w:color w:val="000000" w:themeColor="text1"/>
                <w:lang w:val="ru-RU"/>
              </w:rPr>
            </w:pPr>
            <w:r w:rsidRPr="00A3026E">
              <w:rPr>
                <w:color w:val="000000" w:themeColor="text1"/>
                <w:lang w:val="ru-RU"/>
              </w:rPr>
              <w:t>Всего</w:t>
            </w:r>
          </w:p>
        </w:tc>
        <w:tc>
          <w:tcPr>
            <w:tcW w:w="2214" w:type="dxa"/>
            <w:tcBorders>
              <w:top w:val="single" w:sz="6" w:space="0" w:color="auto"/>
              <w:left w:val="single" w:sz="6" w:space="0" w:color="auto"/>
              <w:bottom w:val="single" w:sz="12" w:space="0" w:color="auto"/>
              <w:right w:val="single" w:sz="12" w:space="0" w:color="auto"/>
            </w:tcBorders>
          </w:tcPr>
          <w:p w14:paraId="13851598" w14:textId="77777777" w:rsidR="00C66762" w:rsidRPr="00A3026E" w:rsidRDefault="00C66762" w:rsidP="00A3026E">
            <w:pPr>
              <w:pStyle w:val="a3"/>
              <w:widowControl/>
              <w:rPr>
                <w:color w:val="000000" w:themeColor="text1"/>
                <w:lang w:val="ru-RU"/>
              </w:rPr>
            </w:pPr>
            <w:r w:rsidRPr="00A3026E">
              <w:rPr>
                <w:color w:val="000000" w:themeColor="text1"/>
                <w:lang w:val="ru-RU"/>
              </w:rPr>
              <w:t>400</w:t>
            </w:r>
          </w:p>
        </w:tc>
      </w:tr>
    </w:tbl>
    <w:p w14:paraId="7DBD23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C1912C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Построенный и выпущенный на заводские испытания первый экземпляр самолета ПББ-22 заводу № 81 использовать для отработки основных агрегатов.</w:t>
      </w:r>
    </w:p>
    <w:p w14:paraId="48F2D6C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второму экземпляру, заложенному в постройку, создать макетную комиссию для окончательного рассмотрения и утверждения схемы самолета в целом (4607).</w:t>
      </w:r>
    </w:p>
    <w:p w14:paraId="272672C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0CFD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завод № 81 начал выпуск серийных бомбардировщиков-разведчиков ББ-22бис Эти машины заметно отличалась от самолета № 1002. Прежде всего, каждая из мотогондол вместо двух цилиндрических маслорадиаторов стала оснащаться одним сегментным (подково</w:t>
      </w:r>
      <w:r w:rsidRPr="00A3026E">
        <w:rPr>
          <w:rFonts w:ascii="Times New Roman" w:hAnsi="Times New Roman"/>
          <w:color w:val="000000" w:themeColor="text1"/>
          <w:sz w:val="16"/>
          <w:szCs w:val="16"/>
        </w:rPr>
        <w:softHyphen/>
        <w:t>образным), расположенным в «бороде», как это было впервые сделано на «дуб</w:t>
      </w:r>
      <w:r w:rsidRPr="00A3026E">
        <w:rPr>
          <w:rFonts w:ascii="Times New Roman" w:hAnsi="Times New Roman"/>
          <w:color w:val="000000" w:themeColor="text1"/>
          <w:sz w:val="16"/>
          <w:szCs w:val="16"/>
        </w:rPr>
        <w:softHyphen/>
        <w:t>лере» ББ-22бис. На выходе тоннеля ра</w:t>
      </w:r>
      <w:r w:rsidRPr="00A3026E">
        <w:rPr>
          <w:rFonts w:ascii="Times New Roman" w:hAnsi="Times New Roman"/>
          <w:color w:val="000000" w:themeColor="text1"/>
          <w:sz w:val="16"/>
          <w:szCs w:val="16"/>
        </w:rPr>
        <w:softHyphen/>
        <w:t>диатора монтировалась створка, позво</w:t>
      </w:r>
      <w:r w:rsidRPr="00A3026E">
        <w:rPr>
          <w:rFonts w:ascii="Times New Roman" w:hAnsi="Times New Roman"/>
          <w:color w:val="000000" w:themeColor="text1"/>
          <w:sz w:val="16"/>
          <w:szCs w:val="16"/>
        </w:rPr>
        <w:softHyphen/>
        <w:t>лявшая регулировать температуру масла в полете (маслорадиаторы ББ-22 не имели подобного устройства). Другой за</w:t>
      </w:r>
      <w:r w:rsidRPr="00A3026E">
        <w:rPr>
          <w:rFonts w:ascii="Times New Roman" w:hAnsi="Times New Roman"/>
          <w:color w:val="000000" w:themeColor="text1"/>
          <w:sz w:val="16"/>
          <w:szCs w:val="16"/>
        </w:rPr>
        <w:softHyphen/>
        <w:t>метной особенностью являлась серий</w:t>
      </w:r>
      <w:r w:rsidRPr="00A3026E">
        <w:rPr>
          <w:rFonts w:ascii="Times New Roman" w:hAnsi="Times New Roman"/>
          <w:color w:val="000000" w:themeColor="text1"/>
          <w:sz w:val="16"/>
          <w:szCs w:val="16"/>
        </w:rPr>
        <w:softHyphen/>
        <w:t>ная подвижная установка штурмана ТСС-1 с пулеметом ШКАС, однотипная с установленной на Пе-2. Запас патронов для нее — 800 штук, носовая стрелковая точка осталась прежней. Имелась и мас</w:t>
      </w:r>
      <w:r w:rsidRPr="00A3026E">
        <w:rPr>
          <w:rFonts w:ascii="Times New Roman" w:hAnsi="Times New Roman"/>
          <w:color w:val="000000" w:themeColor="text1"/>
          <w:sz w:val="16"/>
          <w:szCs w:val="16"/>
        </w:rPr>
        <w:softHyphen/>
        <w:t>са других, более мелких изменений. К примеру, на наружной подвеске серий</w:t>
      </w:r>
      <w:r w:rsidRPr="00A3026E">
        <w:rPr>
          <w:rFonts w:ascii="Times New Roman" w:hAnsi="Times New Roman"/>
          <w:color w:val="000000" w:themeColor="text1"/>
          <w:sz w:val="16"/>
          <w:szCs w:val="16"/>
        </w:rPr>
        <w:softHyphen/>
        <w:t>ный ББ-22бис мог нести до четырех бомб на замках Д2-МА-250 (общей мас</w:t>
      </w:r>
      <w:r w:rsidRPr="00A3026E">
        <w:rPr>
          <w:rFonts w:ascii="Times New Roman" w:hAnsi="Times New Roman"/>
          <w:color w:val="000000" w:themeColor="text1"/>
          <w:sz w:val="16"/>
          <w:szCs w:val="16"/>
        </w:rPr>
        <w:softHyphen/>
        <w:t>сой не более 500 кг).</w:t>
      </w:r>
    </w:p>
    <w:p w14:paraId="52588C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менее важным было и то, что вме</w:t>
      </w:r>
      <w:r w:rsidRPr="00A3026E">
        <w:rPr>
          <w:rFonts w:ascii="Times New Roman" w:hAnsi="Times New Roman"/>
          <w:color w:val="000000" w:themeColor="text1"/>
          <w:sz w:val="16"/>
          <w:szCs w:val="16"/>
        </w:rPr>
        <w:softHyphen/>
        <w:t>сто «двухшажных» винтов ВИШ-2К но</w:t>
      </w:r>
      <w:r w:rsidRPr="00A3026E">
        <w:rPr>
          <w:rFonts w:ascii="Times New Roman" w:hAnsi="Times New Roman"/>
          <w:color w:val="000000" w:themeColor="text1"/>
          <w:sz w:val="16"/>
          <w:szCs w:val="16"/>
        </w:rPr>
        <w:softHyphen/>
        <w:t>вая модификация оснащалась винтами переменного шага ВИШ-22Е, что обеспе</w:t>
      </w:r>
      <w:r w:rsidRPr="00A3026E">
        <w:rPr>
          <w:rFonts w:ascii="Times New Roman" w:hAnsi="Times New Roman"/>
          <w:color w:val="000000" w:themeColor="text1"/>
          <w:sz w:val="16"/>
          <w:szCs w:val="16"/>
        </w:rPr>
        <w:softHyphen/>
        <w:t>чивало более рациональное расходова</w:t>
      </w:r>
      <w:r w:rsidRPr="00A3026E">
        <w:rPr>
          <w:rFonts w:ascii="Times New Roman" w:hAnsi="Times New Roman"/>
          <w:color w:val="000000" w:themeColor="text1"/>
          <w:sz w:val="16"/>
          <w:szCs w:val="16"/>
        </w:rPr>
        <w:softHyphen/>
        <w:t>ние топлива. С целью увеличения даль</w:t>
      </w:r>
      <w:r w:rsidRPr="00A3026E">
        <w:rPr>
          <w:rFonts w:ascii="Times New Roman" w:hAnsi="Times New Roman"/>
          <w:color w:val="000000" w:themeColor="text1"/>
          <w:sz w:val="16"/>
          <w:szCs w:val="16"/>
        </w:rPr>
        <w:softHyphen/>
        <w:t>ности полета серийные ББ-22бис полу</w:t>
      </w:r>
      <w:r w:rsidRPr="00A3026E">
        <w:rPr>
          <w:rFonts w:ascii="Times New Roman" w:hAnsi="Times New Roman"/>
          <w:color w:val="000000" w:themeColor="text1"/>
          <w:sz w:val="16"/>
          <w:szCs w:val="16"/>
        </w:rPr>
        <w:softHyphen/>
        <w:t>чили подвесные 100-литровые баки. Об</w:t>
      </w:r>
      <w:r w:rsidRPr="00A3026E">
        <w:rPr>
          <w:rFonts w:ascii="Times New Roman" w:hAnsi="Times New Roman"/>
          <w:color w:val="000000" w:themeColor="text1"/>
          <w:sz w:val="16"/>
          <w:szCs w:val="16"/>
        </w:rPr>
        <w:softHyphen/>
        <w:t>щая емкость шести встроенных баков составляла 960 л. Дальность полета при скорости, соответствовавшей 90 % от мак</w:t>
      </w:r>
      <w:r w:rsidRPr="00A3026E">
        <w:rPr>
          <w:rFonts w:ascii="Times New Roman" w:hAnsi="Times New Roman"/>
          <w:color w:val="000000" w:themeColor="text1"/>
          <w:sz w:val="16"/>
          <w:szCs w:val="16"/>
        </w:rPr>
        <w:softHyphen/>
        <w:t>симальной, достигла 1100км (у ББ-22 на наивыгоднейшей скорости — не более 900 км). В ходе испытаний серийного ББ-22бис № 70603 была зафиксирована максимальная скорость 533 км/ч. Зато удельная нагрузка на крыло перешагну</w:t>
      </w:r>
      <w:r w:rsidRPr="00A3026E">
        <w:rPr>
          <w:rFonts w:ascii="Times New Roman" w:hAnsi="Times New Roman"/>
          <w:color w:val="000000" w:themeColor="text1"/>
          <w:sz w:val="16"/>
          <w:szCs w:val="16"/>
        </w:rPr>
        <w:softHyphen/>
        <w:t>ла за 200 кг/м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p w14:paraId="2A25E5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результатов, получен</w:t>
      </w:r>
      <w:r w:rsidRPr="00A3026E">
        <w:rPr>
          <w:rFonts w:ascii="Times New Roman" w:hAnsi="Times New Roman"/>
          <w:color w:val="000000" w:themeColor="text1"/>
          <w:sz w:val="16"/>
          <w:szCs w:val="16"/>
        </w:rPr>
        <w:softHyphen/>
        <w:t>ных в ходе испытаний первого опытного экземпляра ББ-22бис, 27 июня 1940 г. вышло постановление правительства № 317. В нем ставилась задача созда</w:t>
      </w:r>
      <w:r w:rsidRPr="00A3026E">
        <w:rPr>
          <w:rFonts w:ascii="Times New Roman" w:hAnsi="Times New Roman"/>
          <w:color w:val="000000" w:themeColor="text1"/>
          <w:sz w:val="16"/>
          <w:szCs w:val="16"/>
        </w:rPr>
        <w:softHyphen/>
        <w:t>ния модифицированного ББ-22 в вари</w:t>
      </w:r>
      <w:r w:rsidRPr="00A3026E">
        <w:rPr>
          <w:rFonts w:ascii="Times New Roman" w:hAnsi="Times New Roman"/>
          <w:color w:val="000000" w:themeColor="text1"/>
          <w:sz w:val="16"/>
          <w:szCs w:val="16"/>
        </w:rPr>
        <w:softHyphen/>
        <w:t>анте пикирующего бомбардировщика и задавались основные требования к не</w:t>
      </w:r>
      <w:r w:rsidRPr="00A3026E">
        <w:rPr>
          <w:rFonts w:ascii="Times New Roman" w:hAnsi="Times New Roman"/>
          <w:color w:val="000000" w:themeColor="text1"/>
          <w:sz w:val="16"/>
          <w:szCs w:val="16"/>
        </w:rPr>
        <w:softHyphen/>
        <w:t>му: максимальная скорость на высоте 5000 м — 570 км/ч, дальность полета — 1200 км, способность брать на борт че</w:t>
      </w:r>
      <w:r w:rsidRPr="00A3026E">
        <w:rPr>
          <w:rFonts w:ascii="Times New Roman" w:hAnsi="Times New Roman"/>
          <w:color w:val="000000" w:themeColor="text1"/>
          <w:sz w:val="16"/>
          <w:szCs w:val="16"/>
        </w:rPr>
        <w:softHyphen/>
        <w:t>тыре 100-кг или две 250-кг бомбы. Тор</w:t>
      </w:r>
      <w:r w:rsidRPr="00A3026E">
        <w:rPr>
          <w:rFonts w:ascii="Times New Roman" w:hAnsi="Times New Roman"/>
          <w:color w:val="000000" w:themeColor="text1"/>
          <w:sz w:val="16"/>
          <w:szCs w:val="16"/>
        </w:rPr>
        <w:softHyphen/>
        <w:t>мозные решетки должны были ограничи</w:t>
      </w:r>
      <w:r w:rsidRPr="00A3026E">
        <w:rPr>
          <w:rFonts w:ascii="Times New Roman" w:hAnsi="Times New Roman"/>
          <w:color w:val="000000" w:themeColor="text1"/>
          <w:sz w:val="16"/>
          <w:szCs w:val="16"/>
        </w:rPr>
        <w:softHyphen/>
        <w:t xml:space="preserve">вать скорость пикирования — не более 560 км/ч по прибору. Начиная с июля 1940 г. этой машиной на заводе №81 стал заниматься Л.П. Курбала. Она по </w:t>
      </w:r>
      <w:r w:rsidRPr="00A3026E">
        <w:rPr>
          <w:rFonts w:ascii="Times New Roman" w:hAnsi="Times New Roman"/>
          <w:color w:val="000000" w:themeColor="text1"/>
          <w:sz w:val="16"/>
          <w:szCs w:val="16"/>
        </w:rPr>
        <w:lastRenderedPageBreak/>
        <w:t>лучила название «изделие 31» или БПБ-22. Самолет оснастили механиз</w:t>
      </w:r>
      <w:r w:rsidRPr="00A3026E">
        <w:rPr>
          <w:rFonts w:ascii="Times New Roman" w:hAnsi="Times New Roman"/>
          <w:color w:val="000000" w:themeColor="text1"/>
          <w:sz w:val="16"/>
          <w:szCs w:val="16"/>
        </w:rPr>
        <w:softHyphen/>
        <w:t>мом автоматического ввода и вывода из пикирования и увеличенным остеклени</w:t>
      </w:r>
      <w:r w:rsidRPr="00A3026E">
        <w:rPr>
          <w:rFonts w:ascii="Times New Roman" w:hAnsi="Times New Roman"/>
          <w:color w:val="000000" w:themeColor="text1"/>
          <w:sz w:val="16"/>
          <w:szCs w:val="16"/>
        </w:rPr>
        <w:softHyphen/>
        <w:t>ем пилотской кабины для улучшения об</w:t>
      </w:r>
      <w:r w:rsidRPr="00A3026E">
        <w:rPr>
          <w:rFonts w:ascii="Times New Roman" w:hAnsi="Times New Roman"/>
          <w:color w:val="000000" w:themeColor="text1"/>
          <w:sz w:val="16"/>
          <w:szCs w:val="16"/>
        </w:rPr>
        <w:softHyphen/>
        <w:t>зора вперед-вниз.</w:t>
      </w:r>
    </w:p>
    <w:p w14:paraId="0AE561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данные о сдаче самолетов Як-2 и Як-4 заводами НКАП</w:t>
      </w:r>
    </w:p>
    <w:tbl>
      <w:tblPr>
        <w:tblW w:w="0" w:type="auto"/>
        <w:tblInd w:w="40" w:type="dxa"/>
        <w:tblLayout w:type="fixed"/>
        <w:tblCellMar>
          <w:left w:w="40" w:type="dxa"/>
          <w:right w:w="40" w:type="dxa"/>
        </w:tblCellMar>
        <w:tblLook w:val="0000" w:firstRow="0" w:lastRow="0" w:firstColumn="0" w:lastColumn="0" w:noHBand="0" w:noVBand="0"/>
      </w:tblPr>
      <w:tblGrid>
        <w:gridCol w:w="1027"/>
        <w:gridCol w:w="1018"/>
        <w:gridCol w:w="1018"/>
        <w:gridCol w:w="1027"/>
        <w:gridCol w:w="1018"/>
        <w:gridCol w:w="1018"/>
        <w:gridCol w:w="1037"/>
      </w:tblGrid>
      <w:tr w:rsidR="00983732" w:rsidRPr="00A3026E" w14:paraId="5EE16F3B" w14:textId="77777777" w:rsidTr="00EA0DA7">
        <w:trPr>
          <w:trHeight w:val="538"/>
        </w:trPr>
        <w:tc>
          <w:tcPr>
            <w:tcW w:w="1027" w:type="dxa"/>
            <w:tcBorders>
              <w:top w:val="single" w:sz="6" w:space="0" w:color="auto"/>
              <w:left w:val="single" w:sz="6" w:space="0" w:color="auto"/>
              <w:bottom w:val="single" w:sz="6" w:space="0" w:color="auto"/>
              <w:right w:val="single" w:sz="6" w:space="0" w:color="auto"/>
            </w:tcBorders>
          </w:tcPr>
          <w:p w14:paraId="1CE93C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самолета</w:t>
            </w:r>
          </w:p>
          <w:p w14:paraId="3ACB57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5E20E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Номер завода</w:t>
            </w:r>
          </w:p>
          <w:p w14:paraId="6C4D6E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19731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1-е полу г. 1940 г.</w:t>
            </w:r>
          </w:p>
          <w:p w14:paraId="506414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A75B7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2-е полуг. 1940 г.</w:t>
            </w:r>
          </w:p>
          <w:p w14:paraId="01150A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F37D4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кв. 1941 г.</w:t>
            </w:r>
          </w:p>
          <w:p w14:paraId="3BDC5D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FF6BE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кв. 1941 г.</w:t>
            </w:r>
          </w:p>
          <w:p w14:paraId="07F11A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78D97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p w14:paraId="1DFF1B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0CD3677" w14:textId="77777777" w:rsidTr="00EA0DA7">
        <w:trPr>
          <w:trHeight w:val="288"/>
        </w:trPr>
        <w:tc>
          <w:tcPr>
            <w:tcW w:w="1027" w:type="dxa"/>
            <w:tcBorders>
              <w:top w:val="single" w:sz="6" w:space="0" w:color="auto"/>
              <w:left w:val="single" w:sz="6" w:space="0" w:color="auto"/>
              <w:bottom w:val="single" w:sz="6" w:space="0" w:color="auto"/>
              <w:right w:val="single" w:sz="6" w:space="0" w:color="auto"/>
            </w:tcBorders>
          </w:tcPr>
          <w:p w14:paraId="09751E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Як-2</w:t>
            </w:r>
          </w:p>
          <w:p w14:paraId="6D2875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442E99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4AB998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4D23AE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p w14:paraId="6CF767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A4CEA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w:t>
            </w:r>
          </w:p>
          <w:p w14:paraId="23BA41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B78E8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w:t>
            </w:r>
          </w:p>
          <w:p w14:paraId="288B6E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82D92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575C70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043CF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p w14:paraId="148802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190427B" w14:textId="77777777" w:rsidTr="00EA0DA7">
        <w:trPr>
          <w:trHeight w:val="288"/>
        </w:trPr>
        <w:tc>
          <w:tcPr>
            <w:tcW w:w="1027" w:type="dxa"/>
            <w:tcBorders>
              <w:top w:val="single" w:sz="6" w:space="0" w:color="auto"/>
              <w:left w:val="single" w:sz="6" w:space="0" w:color="auto"/>
              <w:bottom w:val="single" w:sz="6" w:space="0" w:color="auto"/>
              <w:right w:val="single" w:sz="6" w:space="0" w:color="auto"/>
            </w:tcBorders>
          </w:tcPr>
          <w:p w14:paraId="1BAF3B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Як-2</w:t>
            </w:r>
          </w:p>
          <w:p w14:paraId="2C919B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8FC63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p w14:paraId="357D1D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BF14A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p w14:paraId="12CEE4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61C0B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p w14:paraId="1CE557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5632B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w:t>
            </w:r>
          </w:p>
          <w:p w14:paraId="688E58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7D953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27707B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138CE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p w14:paraId="1B5E09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536E117" w14:textId="77777777" w:rsidTr="00EA0DA7">
        <w:trPr>
          <w:trHeight w:val="298"/>
        </w:trPr>
        <w:tc>
          <w:tcPr>
            <w:tcW w:w="1027" w:type="dxa"/>
            <w:tcBorders>
              <w:top w:val="single" w:sz="6" w:space="0" w:color="auto"/>
              <w:left w:val="single" w:sz="6" w:space="0" w:color="auto"/>
              <w:bottom w:val="single" w:sz="6" w:space="0" w:color="auto"/>
              <w:right w:val="single" w:sz="6" w:space="0" w:color="auto"/>
            </w:tcBorders>
          </w:tcPr>
          <w:p w14:paraId="16530A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Як-4</w:t>
            </w:r>
          </w:p>
          <w:p w14:paraId="0AD420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6ED6C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p w14:paraId="5D74AD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038F3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03D4DA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7D567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p w14:paraId="70FB03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8CAC6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w:t>
            </w:r>
          </w:p>
          <w:p w14:paraId="462EAE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7FAFA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p w14:paraId="426D64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9BFF6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p w14:paraId="547059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F2E257C" w14:textId="77777777" w:rsidTr="00EA0DA7">
        <w:trPr>
          <w:trHeight w:val="307"/>
        </w:trPr>
        <w:tc>
          <w:tcPr>
            <w:tcW w:w="2045" w:type="dxa"/>
            <w:gridSpan w:val="2"/>
            <w:tcBorders>
              <w:top w:val="single" w:sz="6" w:space="0" w:color="auto"/>
              <w:left w:val="single" w:sz="6" w:space="0" w:color="auto"/>
              <w:bottom w:val="single" w:sz="6" w:space="0" w:color="auto"/>
              <w:right w:val="single" w:sz="6" w:space="0" w:color="auto"/>
            </w:tcBorders>
          </w:tcPr>
          <w:p w14:paraId="556623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p w14:paraId="4A6108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780F6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w:t>
            </w:r>
          </w:p>
          <w:p w14:paraId="798E03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8317B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w:t>
            </w:r>
          </w:p>
          <w:p w14:paraId="7D6D8F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F2989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w:t>
            </w:r>
          </w:p>
          <w:p w14:paraId="278E41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76B52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p w14:paraId="0B442A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117CE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201</w:t>
            </w:r>
          </w:p>
          <w:p w14:paraId="196267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586107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r w:rsidRPr="00A3026E">
        <w:rPr>
          <w:rFonts w:ascii="Times New Roman" w:hAnsi="Times New Roman"/>
          <w:iCs/>
          <w:color w:val="000000" w:themeColor="text1"/>
          <w:sz w:val="16"/>
          <w:szCs w:val="16"/>
        </w:rPr>
        <w:t>В это число входит первый прототип ББ-22бис, потерпевший аварию при испытаниях, и один серийный ББ-22, сгоревший на земле при пробе мотора. ** В это число входит один ББ-22, потер</w:t>
      </w:r>
      <w:r w:rsidRPr="00A3026E">
        <w:rPr>
          <w:rFonts w:ascii="Times New Roman" w:hAnsi="Times New Roman"/>
          <w:iCs/>
          <w:color w:val="000000" w:themeColor="text1"/>
          <w:sz w:val="16"/>
          <w:szCs w:val="16"/>
        </w:rPr>
        <w:softHyphen/>
        <w:t>певший аварию в ходе заводских испытаний, а также второй прототип ББ-22бис, переданный не</w:t>
      </w:r>
      <w:r w:rsidRPr="00A3026E">
        <w:rPr>
          <w:rFonts w:ascii="Times New Roman" w:hAnsi="Times New Roman"/>
          <w:iCs/>
          <w:color w:val="000000" w:themeColor="text1"/>
          <w:sz w:val="16"/>
          <w:szCs w:val="16"/>
        </w:rPr>
        <w:softHyphen/>
        <w:t>достроенным с завода № I. (11214).</w:t>
      </w:r>
    </w:p>
    <w:p w14:paraId="1D64B52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B85A9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завод 81 стал выпускать серийные ББ-22бис с М-105, ВИШ-22Е вместо ВИШ-2К и турелью ТСС-1, которые потом стали Як-4 в отличие от ББ-22 с М-103 ставших Як-2 (1081,9).</w:t>
      </w:r>
    </w:p>
    <w:p w14:paraId="11B9E1A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31367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закончились гос. испытания ББ-22 N 70204 производства завода 81 с М-103 (1081).</w:t>
      </w:r>
    </w:p>
    <w:p w14:paraId="3A85589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8A46C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на заводские ис</w:t>
      </w:r>
      <w:r w:rsidRPr="00A3026E">
        <w:rPr>
          <w:rFonts w:ascii="Times New Roman" w:hAnsi="Times New Roman"/>
          <w:color w:val="000000" w:themeColor="text1"/>
          <w:sz w:val="16"/>
          <w:szCs w:val="16"/>
        </w:rPr>
        <w:softHyphen/>
        <w:t>пытания вышел самолет ББ-22 № 70204. На нем, в отличие от машин завода № 1, впервые в процессе серийного произ</w:t>
      </w:r>
      <w:r w:rsidRPr="00A3026E">
        <w:rPr>
          <w:rFonts w:ascii="Times New Roman" w:hAnsi="Times New Roman"/>
          <w:color w:val="000000" w:themeColor="text1"/>
          <w:sz w:val="16"/>
          <w:szCs w:val="16"/>
        </w:rPr>
        <w:softHyphen/>
        <w:t>водства «двадцать второго» удалось до</w:t>
      </w:r>
      <w:r w:rsidRPr="00A3026E">
        <w:rPr>
          <w:rFonts w:ascii="Times New Roman" w:hAnsi="Times New Roman"/>
          <w:color w:val="000000" w:themeColor="text1"/>
          <w:sz w:val="16"/>
          <w:szCs w:val="16"/>
        </w:rPr>
        <w:softHyphen/>
        <w:t>биться улучшения летно-технических данных по сравнению с предшественни</w:t>
      </w:r>
      <w:r w:rsidRPr="00A3026E">
        <w:rPr>
          <w:rFonts w:ascii="Times New Roman" w:hAnsi="Times New Roman"/>
          <w:color w:val="000000" w:themeColor="text1"/>
          <w:sz w:val="16"/>
          <w:szCs w:val="16"/>
        </w:rPr>
        <w:softHyphen/>
        <w:t>ками. Самолет немного «сбросил в ве</w:t>
      </w:r>
      <w:r w:rsidRPr="00A3026E">
        <w:rPr>
          <w:rFonts w:ascii="Times New Roman" w:hAnsi="Times New Roman"/>
          <w:color w:val="000000" w:themeColor="text1"/>
          <w:sz w:val="16"/>
          <w:szCs w:val="16"/>
        </w:rPr>
        <w:softHyphen/>
        <w:t>се», несмотря на введенную оклейку по</w:t>
      </w:r>
      <w:r w:rsidRPr="00A3026E">
        <w:rPr>
          <w:rFonts w:ascii="Times New Roman" w:hAnsi="Times New Roman"/>
          <w:color w:val="000000" w:themeColor="text1"/>
          <w:sz w:val="16"/>
          <w:szCs w:val="16"/>
        </w:rPr>
        <w:softHyphen/>
        <w:t>лотном фюзеляжа и крыла. Патрубки усовершенствованной конструкции с на</w:t>
      </w:r>
      <w:r w:rsidRPr="00A3026E">
        <w:rPr>
          <w:rFonts w:ascii="Times New Roman" w:hAnsi="Times New Roman"/>
          <w:color w:val="000000" w:themeColor="text1"/>
          <w:sz w:val="16"/>
          <w:szCs w:val="16"/>
        </w:rPr>
        <w:softHyphen/>
        <w:t>правлением выхлопа, ориентированным строго назад, вдоль верхней поверхнос</w:t>
      </w:r>
      <w:r w:rsidRPr="00A3026E">
        <w:rPr>
          <w:rFonts w:ascii="Times New Roman" w:hAnsi="Times New Roman"/>
          <w:color w:val="000000" w:themeColor="text1"/>
          <w:sz w:val="16"/>
          <w:szCs w:val="16"/>
        </w:rPr>
        <w:softHyphen/>
        <w:t>ти крыла, измененные тоннели водора-диаторов (их проходное сечение умень</w:t>
      </w:r>
      <w:r w:rsidRPr="00A3026E">
        <w:rPr>
          <w:rFonts w:ascii="Times New Roman" w:hAnsi="Times New Roman"/>
          <w:color w:val="000000" w:themeColor="text1"/>
          <w:sz w:val="16"/>
          <w:szCs w:val="16"/>
        </w:rPr>
        <w:softHyphen/>
        <w:t>шили на 25%, а переднюю губу выдвину</w:t>
      </w:r>
      <w:r w:rsidRPr="00A3026E">
        <w:rPr>
          <w:rFonts w:ascii="Times New Roman" w:hAnsi="Times New Roman"/>
          <w:color w:val="000000" w:themeColor="text1"/>
          <w:sz w:val="16"/>
          <w:szCs w:val="16"/>
        </w:rPr>
        <w:softHyphen/>
        <w:t>ли вперед на 450 мм) и некоторое улуч</w:t>
      </w:r>
      <w:r w:rsidRPr="00A3026E">
        <w:rPr>
          <w:rFonts w:ascii="Times New Roman" w:hAnsi="Times New Roman"/>
          <w:color w:val="000000" w:themeColor="text1"/>
          <w:sz w:val="16"/>
          <w:szCs w:val="16"/>
        </w:rPr>
        <w:softHyphen/>
        <w:t>шение качества поверхности планера позволили увеличить максимальную скорость полета на расчетной высоте почти до 500 км/ч, снизить время набора высоты 5000 м до 8 мин, а потолок дове</w:t>
      </w:r>
      <w:r w:rsidRPr="00A3026E">
        <w:rPr>
          <w:rFonts w:ascii="Times New Roman" w:hAnsi="Times New Roman"/>
          <w:color w:val="000000" w:themeColor="text1"/>
          <w:sz w:val="16"/>
          <w:szCs w:val="16"/>
        </w:rPr>
        <w:softHyphen/>
        <w:t>сти до 8700 м.</w:t>
      </w:r>
    </w:p>
    <w:p w14:paraId="46E812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проводке управления удалось уменьшить люфты, вызывавшие вибра</w:t>
      </w:r>
      <w:r w:rsidRPr="00A3026E">
        <w:rPr>
          <w:rFonts w:ascii="Times New Roman" w:hAnsi="Times New Roman"/>
          <w:color w:val="000000" w:themeColor="text1"/>
          <w:sz w:val="16"/>
          <w:szCs w:val="16"/>
        </w:rPr>
        <w:softHyphen/>
        <w:t>цию хвостового оперения. Параллельно усилили замок костыля, что избавило от его складывания при рулежке по неров</w:t>
      </w:r>
      <w:r w:rsidRPr="00A3026E">
        <w:rPr>
          <w:rFonts w:ascii="Times New Roman" w:hAnsi="Times New Roman"/>
          <w:color w:val="000000" w:themeColor="text1"/>
          <w:sz w:val="16"/>
          <w:szCs w:val="16"/>
        </w:rPr>
        <w:softHyphen/>
        <w:t>ному полю. Конструкторы поработали и над устранением дефектов вооружения: бомболюки стали нормально открывать</w:t>
      </w:r>
      <w:r w:rsidRPr="00A3026E">
        <w:rPr>
          <w:rFonts w:ascii="Times New Roman" w:hAnsi="Times New Roman"/>
          <w:color w:val="000000" w:themeColor="text1"/>
          <w:sz w:val="16"/>
          <w:szCs w:val="16"/>
        </w:rPr>
        <w:softHyphen/>
        <w:t>ся на всех режимах полета, упростилась подвеска бомб...</w:t>
      </w:r>
    </w:p>
    <w:p w14:paraId="502683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список «слабых мест» по мере освоения самолета не только не умень</w:t>
      </w:r>
      <w:r w:rsidRPr="00A3026E">
        <w:rPr>
          <w:rFonts w:ascii="Times New Roman" w:hAnsi="Times New Roman"/>
          <w:color w:val="000000" w:themeColor="text1"/>
          <w:sz w:val="16"/>
          <w:szCs w:val="16"/>
        </w:rPr>
        <w:softHyphen/>
        <w:t>шился, но и продолжал нарастать. Вы</w:t>
      </w:r>
      <w:r w:rsidRPr="00A3026E">
        <w:rPr>
          <w:rFonts w:ascii="Times New Roman" w:hAnsi="Times New Roman"/>
          <w:color w:val="000000" w:themeColor="text1"/>
          <w:sz w:val="16"/>
          <w:szCs w:val="16"/>
        </w:rPr>
        <w:softHyphen/>
        <w:t>явилось, например, что на этапе проек</w:t>
      </w:r>
      <w:r w:rsidRPr="00A3026E">
        <w:rPr>
          <w:rFonts w:ascii="Times New Roman" w:hAnsi="Times New Roman"/>
          <w:color w:val="000000" w:themeColor="text1"/>
          <w:sz w:val="16"/>
          <w:szCs w:val="16"/>
        </w:rPr>
        <w:softHyphen/>
        <w:t>тирования по неясным причинам было принято решение вначале сбрасывать бомбы внутренней подвески, а уже за</w:t>
      </w:r>
      <w:r w:rsidRPr="00A3026E">
        <w:rPr>
          <w:rFonts w:ascii="Times New Roman" w:hAnsi="Times New Roman"/>
          <w:color w:val="000000" w:themeColor="text1"/>
          <w:sz w:val="16"/>
          <w:szCs w:val="16"/>
        </w:rPr>
        <w:softHyphen/>
        <w:t>тем — наружной (обычно делается на</w:t>
      </w:r>
      <w:r w:rsidRPr="00A3026E">
        <w:rPr>
          <w:rFonts w:ascii="Times New Roman" w:hAnsi="Times New Roman"/>
          <w:color w:val="000000" w:themeColor="text1"/>
          <w:sz w:val="16"/>
          <w:szCs w:val="16"/>
        </w:rPr>
        <w:softHyphen/>
        <w:t>оборот). В результате при неполной за</w:t>
      </w:r>
      <w:r w:rsidRPr="00A3026E">
        <w:rPr>
          <w:rFonts w:ascii="Times New Roman" w:hAnsi="Times New Roman"/>
          <w:color w:val="000000" w:themeColor="text1"/>
          <w:sz w:val="16"/>
          <w:szCs w:val="16"/>
        </w:rPr>
        <w:softHyphen/>
        <w:t>грузке бомбоотсека в серии возникал разрыв, что снижало эффективность бомбового удара.</w:t>
      </w:r>
    </w:p>
    <w:p w14:paraId="708F28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Другой пример — остекление кабины экипажа. Из-за отсутствия в стране про</w:t>
      </w:r>
      <w:r w:rsidRPr="00A3026E">
        <w:rPr>
          <w:rFonts w:ascii="Times New Roman" w:hAnsi="Times New Roman"/>
          <w:color w:val="000000" w:themeColor="text1"/>
          <w:sz w:val="16"/>
          <w:szCs w:val="16"/>
        </w:rPr>
        <w:softHyphen/>
        <w:t>зрачного высококачественного оргстекла пришлось изготавливать его из... цветно</w:t>
      </w:r>
      <w:r w:rsidRPr="00A3026E">
        <w:rPr>
          <w:rFonts w:ascii="Times New Roman" w:hAnsi="Times New Roman"/>
          <w:color w:val="000000" w:themeColor="text1"/>
          <w:sz w:val="16"/>
          <w:szCs w:val="16"/>
        </w:rPr>
        <w:softHyphen/>
        <w:t>го целлулоида! Теснота рабочего места не позволяла установить противокапо-тажную стойку. Обзор из кабины штурма</w:t>
      </w:r>
      <w:r w:rsidRPr="00A3026E">
        <w:rPr>
          <w:rFonts w:ascii="Times New Roman" w:hAnsi="Times New Roman"/>
          <w:color w:val="000000" w:themeColor="text1"/>
          <w:sz w:val="16"/>
          <w:szCs w:val="16"/>
        </w:rPr>
        <w:softHyphen/>
        <w:t>на на самолете ББ-22, надо признать, был неважным. Впереди зона видимости ограничивалась носовой частью самоле</w:t>
      </w:r>
      <w:r w:rsidRPr="00A3026E">
        <w:rPr>
          <w:rFonts w:ascii="Times New Roman" w:hAnsi="Times New Roman"/>
          <w:color w:val="000000" w:themeColor="text1"/>
          <w:sz w:val="16"/>
          <w:szCs w:val="16"/>
        </w:rPr>
        <w:softHyphen/>
        <w:t>та и креслом пилота, в стороны — длин</w:t>
      </w:r>
      <w:r w:rsidRPr="00A3026E">
        <w:rPr>
          <w:rFonts w:ascii="Times New Roman" w:hAnsi="Times New Roman"/>
          <w:color w:val="000000" w:themeColor="text1"/>
          <w:sz w:val="16"/>
          <w:szCs w:val="16"/>
        </w:rPr>
        <w:softHyphen/>
        <w:t>ными мотогондолами и крылом, а назад в стороны — шайбами килей. На послед</w:t>
      </w:r>
      <w:r w:rsidRPr="00A3026E">
        <w:rPr>
          <w:rFonts w:ascii="Times New Roman" w:hAnsi="Times New Roman"/>
          <w:color w:val="000000" w:themeColor="text1"/>
          <w:sz w:val="16"/>
          <w:szCs w:val="16"/>
        </w:rPr>
        <w:softHyphen/>
        <w:t>них машинах завода № 1 в боковых по</w:t>
      </w:r>
      <w:r w:rsidRPr="00A3026E">
        <w:rPr>
          <w:rFonts w:ascii="Times New Roman" w:hAnsi="Times New Roman"/>
          <w:color w:val="000000" w:themeColor="text1"/>
          <w:sz w:val="16"/>
          <w:szCs w:val="16"/>
        </w:rPr>
        <w:softHyphen/>
        <w:t>верхностях носовой гондолы фюзеляжа прорезали по два окна с каждой стороны, что немного улучшило обзор. Поздние ББ-22 производства завода № 81, кроме того, получили еще однеавкно в полу ка</w:t>
      </w:r>
      <w:r w:rsidRPr="00A3026E">
        <w:rPr>
          <w:rFonts w:ascii="Times New Roman" w:hAnsi="Times New Roman"/>
          <w:color w:val="000000" w:themeColor="text1"/>
          <w:sz w:val="16"/>
          <w:szCs w:val="16"/>
        </w:rPr>
        <w:softHyphen/>
        <w:t>бины штурмана.</w:t>
      </w:r>
    </w:p>
    <w:p w14:paraId="3F176B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сожалению, не удалось устранить и «родимые пятна» самолета, связанные с неудовлетворительной устойчивостью и чрезмерно задней центровкой. В полете летчик должен был постоянно держать «ухо востро», иначе машина могла са</w:t>
      </w:r>
      <w:r w:rsidRPr="00A3026E">
        <w:rPr>
          <w:rFonts w:ascii="Times New Roman" w:hAnsi="Times New Roman"/>
          <w:color w:val="000000" w:themeColor="text1"/>
          <w:sz w:val="16"/>
          <w:szCs w:val="16"/>
        </w:rPr>
        <w:softHyphen/>
        <w:t>мопроизвольно накрениться или войти в разворот. На вираже следовало удерживать ее от скольжения «обратной но</w:t>
      </w:r>
      <w:r w:rsidRPr="00A3026E">
        <w:rPr>
          <w:rFonts w:ascii="Times New Roman" w:hAnsi="Times New Roman"/>
          <w:color w:val="000000" w:themeColor="text1"/>
          <w:sz w:val="16"/>
          <w:szCs w:val="16"/>
        </w:rPr>
        <w:softHyphen/>
        <w:t>гой», т.е. отклоняя рули направления «на вывод» из разворота. Все это делало ее доступной только пилотам, обладавшим средней и хорошей квалификацией. Лет</w:t>
      </w:r>
      <w:r w:rsidRPr="00A3026E">
        <w:rPr>
          <w:rFonts w:ascii="Times New Roman" w:hAnsi="Times New Roman"/>
          <w:color w:val="000000" w:themeColor="text1"/>
          <w:sz w:val="16"/>
          <w:szCs w:val="16"/>
        </w:rPr>
        <w:softHyphen/>
        <w:t>чик Шеварев испытал ББ-22 с шестью ФАБ-100 (четыре из них в бомбоотсеке) и сделал вывод, что взлет с такой на</w:t>
      </w:r>
      <w:r w:rsidRPr="00A3026E">
        <w:rPr>
          <w:rFonts w:ascii="Times New Roman" w:hAnsi="Times New Roman"/>
          <w:color w:val="000000" w:themeColor="text1"/>
          <w:sz w:val="16"/>
          <w:szCs w:val="16"/>
        </w:rPr>
        <w:softHyphen/>
        <w:t>грузкой при наличии хороших подходов к аэродрому вполне возможен. На одном моторе машина сравнительно нормаль</w:t>
      </w:r>
      <w:r w:rsidRPr="00A3026E">
        <w:rPr>
          <w:rFonts w:ascii="Times New Roman" w:hAnsi="Times New Roman"/>
          <w:color w:val="000000" w:themeColor="text1"/>
          <w:sz w:val="16"/>
          <w:szCs w:val="16"/>
        </w:rPr>
        <w:softHyphen/>
        <w:t>но летала по прямой, но разворот допу</w:t>
      </w:r>
      <w:r w:rsidRPr="00A3026E">
        <w:rPr>
          <w:rFonts w:ascii="Times New Roman" w:hAnsi="Times New Roman"/>
          <w:color w:val="000000" w:themeColor="text1"/>
          <w:sz w:val="16"/>
          <w:szCs w:val="16"/>
        </w:rPr>
        <w:softHyphen/>
        <w:t>скала только в сторону неработающего двигателя.</w:t>
      </w:r>
    </w:p>
    <w:p w14:paraId="0075B0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Понемногу становилось ясно, что для превращения ББ-22 в полноценный бом</w:t>
      </w:r>
      <w:r w:rsidRPr="00A3026E">
        <w:rPr>
          <w:rFonts w:ascii="Times New Roman" w:hAnsi="Times New Roman"/>
          <w:color w:val="000000" w:themeColor="text1"/>
          <w:sz w:val="16"/>
          <w:szCs w:val="16"/>
        </w:rPr>
        <w:softHyphen/>
        <w:t>бардировщик не удастся обойтись од</w:t>
      </w:r>
      <w:r w:rsidRPr="00A3026E">
        <w:rPr>
          <w:rFonts w:ascii="Times New Roman" w:hAnsi="Times New Roman"/>
          <w:color w:val="000000" w:themeColor="text1"/>
          <w:sz w:val="16"/>
          <w:szCs w:val="16"/>
        </w:rPr>
        <w:softHyphen/>
        <w:t>ним устранением выявленных дефек</w:t>
      </w:r>
      <w:r w:rsidRPr="00A3026E">
        <w:rPr>
          <w:rFonts w:ascii="Times New Roman" w:hAnsi="Times New Roman"/>
          <w:color w:val="000000" w:themeColor="text1"/>
          <w:sz w:val="16"/>
          <w:szCs w:val="16"/>
        </w:rPr>
        <w:softHyphen/>
        <w:t>тов. Улучшения летных (особенно устой</w:t>
      </w:r>
      <w:r w:rsidRPr="00A3026E">
        <w:rPr>
          <w:rFonts w:ascii="Times New Roman" w:hAnsi="Times New Roman"/>
          <w:color w:val="000000" w:themeColor="text1"/>
          <w:sz w:val="16"/>
          <w:szCs w:val="16"/>
        </w:rPr>
        <w:softHyphen/>
        <w:t>чивости в полете) и эксплуатационных качеств машины можно было добиться лишь путем радикальных изменений ге</w:t>
      </w:r>
      <w:r w:rsidRPr="00A3026E">
        <w:rPr>
          <w:rFonts w:ascii="Times New Roman" w:hAnsi="Times New Roman"/>
          <w:color w:val="000000" w:themeColor="text1"/>
          <w:sz w:val="16"/>
          <w:szCs w:val="16"/>
        </w:rPr>
        <w:softHyphen/>
        <w:t>ометрии и конструкции планера, на что у ведущего инженера Курбалы полномо</w:t>
      </w:r>
      <w:r w:rsidRPr="00A3026E">
        <w:rPr>
          <w:rFonts w:ascii="Times New Roman" w:hAnsi="Times New Roman"/>
          <w:color w:val="000000" w:themeColor="text1"/>
          <w:sz w:val="16"/>
          <w:szCs w:val="16"/>
        </w:rPr>
        <w:softHyphen/>
        <w:t>чий не было...(11214).</w:t>
      </w:r>
    </w:p>
    <w:p w14:paraId="3E01CE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669A1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на заводские испытания был передан первый модифицированный ББ-22 81 завода N 70204, на котором впервые за период производства удалось улучшить ЛТХ (1081,8).</w:t>
      </w:r>
    </w:p>
    <w:p w14:paraId="7D530C9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617CE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на заводские испытания вышел самолет, на котором, в отличие от машин завода № 1, удалось впервые добиться улуч</w:t>
      </w:r>
      <w:r w:rsidRPr="00A3026E">
        <w:rPr>
          <w:rFonts w:ascii="Times New Roman" w:hAnsi="Times New Roman"/>
          <w:color w:val="000000" w:themeColor="text1"/>
          <w:sz w:val="16"/>
          <w:szCs w:val="16"/>
        </w:rPr>
        <w:softHyphen/>
        <w:t>шения характеристик по сравнению с предшественниками. Самолет стал легче, возросла скорость полета, бомболюки стали нормально открываться на всех режимах полета, самолет мог сравнительно нормально лететь на одном моторе по прямой. В том же месяце на заводе начался серийный вы</w:t>
      </w:r>
      <w:r w:rsidRPr="00A3026E">
        <w:rPr>
          <w:rFonts w:ascii="Times New Roman" w:hAnsi="Times New Roman"/>
          <w:color w:val="000000" w:themeColor="text1"/>
          <w:sz w:val="16"/>
          <w:szCs w:val="16"/>
        </w:rPr>
        <w:softHyphen/>
        <w:t>пуск ББ-22 бис с моторами М-105 с максимальной скоростью 533 км/час и дальностью полета 1100 км на скорости 90% от максимальной (у ББ-22 на наивыгоднейшей скорости она не превышала 900 км). В ноябре 1940 года состоялось совместное совещание руководства ВВС и НКАП под председа</w:t>
      </w:r>
      <w:r w:rsidRPr="00A3026E">
        <w:rPr>
          <w:rFonts w:ascii="Times New Roman" w:hAnsi="Times New Roman"/>
          <w:color w:val="000000" w:themeColor="text1"/>
          <w:sz w:val="16"/>
          <w:szCs w:val="16"/>
        </w:rPr>
        <w:softHyphen/>
        <w:t>тельством начальника ГУ ВВС РККА генерал-лейтенанта П.В. Рычагова по вопросу устранения дефектов ББ-22. Из 12 дефектов большинство сочли вполне устранимыми и требующими только времени. Никакого трагизма в оценке ситуации с производством на совещании не прозвучало - шел обычный процесс доводки машины (Медведь А. Н., Хазанов Д.Б. Указ. соч. С. 8-10.).</w:t>
      </w:r>
    </w:p>
    <w:p w14:paraId="0A47F1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СНК СССР и ЦК ВКП(б) «О программе выпуска самоле</w:t>
      </w:r>
      <w:r w:rsidRPr="00A3026E">
        <w:rPr>
          <w:rFonts w:ascii="Times New Roman" w:hAnsi="Times New Roman"/>
          <w:color w:val="000000" w:themeColor="text1"/>
          <w:sz w:val="16"/>
          <w:szCs w:val="16"/>
        </w:rPr>
        <w:softHyphen/>
        <w:t>тов и авиамоторов в 1941 году» предусматривало выпуск 1300 бомбарди</w:t>
      </w:r>
      <w:r w:rsidRPr="00A3026E">
        <w:rPr>
          <w:rFonts w:ascii="Times New Roman" w:hAnsi="Times New Roman"/>
          <w:color w:val="000000" w:themeColor="text1"/>
          <w:sz w:val="16"/>
          <w:szCs w:val="16"/>
        </w:rPr>
        <w:softHyphen/>
        <w:t>ровщиков Як-4 (Так в соответствии с распоряжением НКАП стал именоваться ББ-22 бис, а ББ-22, соответствен</w:t>
      </w:r>
      <w:r w:rsidRPr="00A3026E">
        <w:rPr>
          <w:rFonts w:ascii="Times New Roman" w:hAnsi="Times New Roman"/>
          <w:color w:val="000000" w:themeColor="text1"/>
          <w:sz w:val="16"/>
          <w:szCs w:val="16"/>
        </w:rPr>
        <w:softHyphen/>
        <w:t>но, был переименован в Як-2.), причем пик производства - 490 машин - приходился на IV квартал, а в I квартале 1942 года должно было быть выпущено уже 575 ма</w:t>
      </w:r>
      <w:r w:rsidRPr="00A3026E">
        <w:rPr>
          <w:rFonts w:ascii="Times New Roman" w:hAnsi="Times New Roman"/>
          <w:color w:val="000000" w:themeColor="text1"/>
          <w:sz w:val="16"/>
          <w:szCs w:val="16"/>
        </w:rPr>
        <w:softHyphen/>
        <w:t>шин (941 год. Документы. Кн. 1.Июнь 1940 года - март 1941 года. М, 1998. С. 441-442.). По общему планируемому объему выпуска Як-4 уступал только двух</w:t>
      </w:r>
      <w:r w:rsidRPr="00A3026E">
        <w:rPr>
          <w:rFonts w:ascii="Times New Roman" w:hAnsi="Times New Roman"/>
          <w:color w:val="000000" w:themeColor="text1"/>
          <w:sz w:val="16"/>
          <w:szCs w:val="16"/>
        </w:rPr>
        <w:softHyphen/>
        <w:t>моторному пикирующему бомбардировщику ПБ-100 (Пе-2). Но ситуация резко изменилась в связи с новыми обстоятельствами: головной серийный экземпляр Пе-2 по всем параметрам превосходил Як-4. Решением Полит</w:t>
      </w:r>
      <w:r w:rsidRPr="00A3026E">
        <w:rPr>
          <w:rFonts w:ascii="Times New Roman" w:hAnsi="Times New Roman"/>
          <w:color w:val="000000" w:themeColor="text1"/>
          <w:sz w:val="16"/>
          <w:szCs w:val="16"/>
        </w:rPr>
        <w:softHyphen/>
        <w:t>бюро ЦК ВКП(б) № П 25 / 34 - ОП от 8 января 1941 года было утверждено постановление СНК СССР и ЦК ВКП(б) «О программе завода № 125 им. Ста</w:t>
      </w:r>
      <w:r w:rsidRPr="00A3026E">
        <w:rPr>
          <w:rFonts w:ascii="Times New Roman" w:hAnsi="Times New Roman"/>
          <w:color w:val="000000" w:themeColor="text1"/>
          <w:sz w:val="16"/>
          <w:szCs w:val="16"/>
        </w:rPr>
        <w:softHyphen/>
        <w:t>лина НКАП на 1941 год». В нем, в частности, предписывалось во измене</w:t>
      </w:r>
      <w:r w:rsidRPr="00A3026E">
        <w:rPr>
          <w:rFonts w:ascii="Times New Roman" w:hAnsi="Times New Roman"/>
          <w:color w:val="000000" w:themeColor="text1"/>
          <w:sz w:val="16"/>
          <w:szCs w:val="16"/>
        </w:rPr>
        <w:softHyphen/>
        <w:t>ние постановления СНК СССР и ЦК ВКП(б) № 24б6-109бсс от 7 декабря 1940 года «О программе выпуска самолетов и авиамоторов в 1941 году», утвержденного решением Политбюро ЦК ВКП(б) № П 23 / 142 - ОП от 7 декабря 1940 года, отменить производство самолетов Як-4. Вместо них в 1941 году предписывалось изготовить 250 Пе-2 (РГАСПИ.Ф. 17. Оп. 162. Д. 31. Л. 65-66.).</w:t>
      </w:r>
    </w:p>
    <w:p w14:paraId="0505F1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мнению исследователей В. Перова и О. Растренина, «приня</w:t>
      </w:r>
      <w:r w:rsidRPr="00A3026E">
        <w:rPr>
          <w:rFonts w:ascii="Times New Roman" w:hAnsi="Times New Roman"/>
          <w:color w:val="000000" w:themeColor="text1"/>
          <w:sz w:val="16"/>
          <w:szCs w:val="16"/>
        </w:rPr>
        <w:softHyphen/>
        <w:t>тие на вооружение ВВС КА самолета ББ-22 в варианте бомбардировщика является грубейшей ошибкой УВВС, НКАП и Комитета Обороны», так как «реальной боевой ценности он не представлял, но сил и средств на его внедрение в серийное производство и освоение в боевых частях было за</w:t>
      </w:r>
      <w:r w:rsidRPr="00A3026E">
        <w:rPr>
          <w:rFonts w:ascii="Times New Roman" w:hAnsi="Times New Roman"/>
          <w:color w:val="000000" w:themeColor="text1"/>
          <w:sz w:val="16"/>
          <w:szCs w:val="16"/>
        </w:rPr>
        <w:softHyphen/>
        <w:t>трачено немало» (Перов В.И., Растренин О.В. Неизвестный Ар-2 // Авиация и космонавтика вчера, сегодня, завтра. 2003. №7. С. 22.).</w:t>
      </w:r>
    </w:p>
    <w:p w14:paraId="50198A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вкратце коснуться истории истребительного варианта ББ-22. Медведь и Хазанов сообщают, что ОКБ № 115 сосредоточило усилия на разработке истребительного варианта машины под индексом И-29: «Ра</w:t>
      </w:r>
      <w:r w:rsidRPr="00A3026E">
        <w:rPr>
          <w:rFonts w:ascii="Times New Roman" w:hAnsi="Times New Roman"/>
          <w:color w:val="000000" w:themeColor="text1"/>
          <w:sz w:val="16"/>
          <w:szCs w:val="16"/>
        </w:rPr>
        <w:softHyphen/>
        <w:t>боты по нему продолжались даже после прекращения серийного выпуска Як-4... Всю весну 1941 года в сводках по опытному строительству этот ис</w:t>
      </w:r>
      <w:r w:rsidRPr="00A3026E">
        <w:rPr>
          <w:rFonts w:ascii="Times New Roman" w:hAnsi="Times New Roman"/>
          <w:color w:val="000000" w:themeColor="text1"/>
          <w:sz w:val="16"/>
          <w:szCs w:val="16"/>
        </w:rPr>
        <w:softHyphen/>
        <w:t>требитель упоминается, как проходящий заводские испытания... Даже на</w:t>
      </w:r>
      <w:r w:rsidRPr="00A3026E">
        <w:rPr>
          <w:rFonts w:ascii="Times New Roman" w:hAnsi="Times New Roman"/>
          <w:color w:val="000000" w:themeColor="text1"/>
          <w:sz w:val="16"/>
          <w:szCs w:val="16"/>
        </w:rPr>
        <w:softHyphen/>
        <w:t>чавшаяся война не привела к отказу от И-29» (Медведь А. Н., Хазанов Д.Б. Указ. соч. С. 7.).</w:t>
      </w:r>
    </w:p>
    <w:p w14:paraId="7EDAB2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не совсем понятно, как это могло происходить на практике. Со</w:t>
      </w:r>
      <w:r w:rsidRPr="00A3026E">
        <w:rPr>
          <w:rFonts w:ascii="Times New Roman" w:hAnsi="Times New Roman"/>
          <w:color w:val="000000" w:themeColor="text1"/>
          <w:sz w:val="16"/>
          <w:szCs w:val="16"/>
        </w:rPr>
        <w:softHyphen/>
        <w:t>гласно архивным документам, 28 апреля 1941 года вышел приказ наркома авиапромышленности № 386 ее «О прекращении работ по опытным само</w:t>
      </w:r>
      <w:r w:rsidRPr="00A3026E">
        <w:rPr>
          <w:rFonts w:ascii="Times New Roman" w:hAnsi="Times New Roman"/>
          <w:color w:val="000000" w:themeColor="text1"/>
          <w:sz w:val="16"/>
          <w:szCs w:val="16"/>
        </w:rPr>
        <w:softHyphen/>
        <w:t>летам 1939-го и 1940 годов». Пунктом 1 раздела «о» предписывалось пре</w:t>
      </w:r>
      <w:r w:rsidRPr="00A3026E">
        <w:rPr>
          <w:rFonts w:ascii="Times New Roman" w:hAnsi="Times New Roman"/>
          <w:color w:val="000000" w:themeColor="text1"/>
          <w:sz w:val="16"/>
          <w:szCs w:val="16"/>
        </w:rPr>
        <w:softHyphen/>
        <w:t>кратить постройку модификации «самолета ББ-22 в варианте одноместного истребителя сопровождения с двумя моторами М-105 конструктора тов. Яковлева», работы над которым были начаты в соответствии с приказом НКАП № б74сс от 29 ноября 1940 года, а пунктом 2 раздела «а» сам приказ НКАП № б74сс был отменен (Самарский филиал РГАНТД.Ф.Р-712. Оп. 1-6. Д. 1.Л. 22.) (11710,428).</w:t>
      </w:r>
    </w:p>
    <w:p w14:paraId="27107A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E2B34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начались заводские испытания первого опытного экземпляра самолета СБ-РК - эталона для серии (9655).</w:t>
      </w:r>
    </w:p>
    <w:p w14:paraId="1A97BE1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A63DD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 октября 1940 СБ-РК официально пошел в серию с 3-го квартала 1940 г.. Производственные затраты на него по сравнению с СБ увеличились и составляли 130%. Выпуск всех типов самолетов для завода №22 в 1940 г. выглядел следующим образом (см.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983732" w:rsidRPr="00A3026E" w14:paraId="572E5104" w14:textId="77777777" w:rsidTr="00EA0DA7">
        <w:tc>
          <w:tcPr>
            <w:tcW w:w="3736" w:type="dxa"/>
            <w:tcBorders>
              <w:top w:val="single" w:sz="12" w:space="0" w:color="auto"/>
            </w:tcBorders>
          </w:tcPr>
          <w:p w14:paraId="742823D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42F3E6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3736" w:type="dxa"/>
            <w:tcBorders>
              <w:top w:val="single" w:sz="12" w:space="0" w:color="auto"/>
            </w:tcBorders>
          </w:tcPr>
          <w:p w14:paraId="21EE89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w:t>
            </w:r>
          </w:p>
        </w:tc>
      </w:tr>
      <w:tr w:rsidR="00983732" w:rsidRPr="00A3026E" w14:paraId="1F72C892" w14:textId="77777777" w:rsidTr="00EA0DA7">
        <w:tc>
          <w:tcPr>
            <w:tcW w:w="3736" w:type="dxa"/>
          </w:tcPr>
          <w:p w14:paraId="26E6F3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w:t>
            </w:r>
          </w:p>
        </w:tc>
        <w:tc>
          <w:tcPr>
            <w:tcW w:w="3736" w:type="dxa"/>
          </w:tcPr>
          <w:p w14:paraId="05118E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1552</w:t>
            </w:r>
          </w:p>
        </w:tc>
        <w:tc>
          <w:tcPr>
            <w:tcW w:w="3736" w:type="dxa"/>
          </w:tcPr>
          <w:p w14:paraId="0D8416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1811</w:t>
            </w:r>
          </w:p>
        </w:tc>
      </w:tr>
      <w:tr w:rsidR="00983732" w:rsidRPr="00A3026E" w14:paraId="6C254B06" w14:textId="77777777" w:rsidTr="00EA0DA7">
        <w:tc>
          <w:tcPr>
            <w:tcW w:w="3736" w:type="dxa"/>
          </w:tcPr>
          <w:p w14:paraId="118548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Ар-2</w:t>
            </w:r>
          </w:p>
        </w:tc>
        <w:tc>
          <w:tcPr>
            <w:tcW w:w="3736" w:type="dxa"/>
          </w:tcPr>
          <w:p w14:paraId="414110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339</w:t>
            </w:r>
          </w:p>
        </w:tc>
        <w:tc>
          <w:tcPr>
            <w:tcW w:w="3736" w:type="dxa"/>
          </w:tcPr>
          <w:p w14:paraId="782986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w:t>
            </w:r>
          </w:p>
        </w:tc>
      </w:tr>
      <w:tr w:rsidR="00983732" w:rsidRPr="00A3026E" w14:paraId="425837F2" w14:textId="77777777" w:rsidTr="00EA0DA7">
        <w:tc>
          <w:tcPr>
            <w:tcW w:w="3736" w:type="dxa"/>
          </w:tcPr>
          <w:p w14:paraId="6DBC1C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w:t>
            </w:r>
          </w:p>
        </w:tc>
        <w:tc>
          <w:tcPr>
            <w:tcW w:w="3736" w:type="dxa"/>
          </w:tcPr>
          <w:p w14:paraId="649A01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3736" w:type="dxa"/>
          </w:tcPr>
          <w:p w14:paraId="03467D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F7B6D2B" w14:textId="77777777" w:rsidTr="00EA0DA7">
        <w:tc>
          <w:tcPr>
            <w:tcW w:w="3736" w:type="dxa"/>
          </w:tcPr>
          <w:p w14:paraId="4D6707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Учебные кабины (СБ)</w:t>
            </w:r>
          </w:p>
        </w:tc>
        <w:tc>
          <w:tcPr>
            <w:tcW w:w="3736" w:type="dxa"/>
          </w:tcPr>
          <w:p w14:paraId="04986A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364</w:t>
            </w:r>
          </w:p>
        </w:tc>
        <w:tc>
          <w:tcPr>
            <w:tcW w:w="3736" w:type="dxa"/>
          </w:tcPr>
          <w:p w14:paraId="663BCE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258</w:t>
            </w:r>
          </w:p>
        </w:tc>
      </w:tr>
      <w:tr w:rsidR="00983732" w:rsidRPr="00A3026E" w14:paraId="7755D77D" w14:textId="77777777" w:rsidTr="00EA0DA7">
        <w:tc>
          <w:tcPr>
            <w:tcW w:w="3736" w:type="dxa"/>
            <w:tcBorders>
              <w:bottom w:val="single" w:sz="12" w:space="0" w:color="auto"/>
            </w:tcBorders>
          </w:tcPr>
          <w:p w14:paraId="5D17DA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ПС-35</w:t>
            </w:r>
          </w:p>
        </w:tc>
        <w:tc>
          <w:tcPr>
            <w:tcW w:w="3736" w:type="dxa"/>
            <w:tcBorders>
              <w:bottom w:val="single" w:sz="12" w:space="0" w:color="auto"/>
            </w:tcBorders>
          </w:tcPr>
          <w:p w14:paraId="772BC5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3736" w:type="dxa"/>
            <w:tcBorders>
              <w:bottom w:val="single" w:sz="12" w:space="0" w:color="auto"/>
            </w:tcBorders>
          </w:tcPr>
          <w:p w14:paraId="6543DB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r>
    </w:tbl>
    <w:p w14:paraId="3338D7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выпуск Ар-2 составил 127 экземпляров, самолетов СБ - 68 экземпляров. Практически все эти машины изготовили в Москве, однако осенью 1941 г. авиазавод №22 эвакуировали в Казань, поэтому возможно, что несколько экземпляров собрали там. Известно, что с 22 июня 1941 г. до конца года ВВС РККА получили 7 Ар-2. В 1942 г. авиазавод №22 в Казани не выпускал ни СБ ни Ар-2, однако произвел текущий ремонт 112 машин обоих типов. Общее количество самолетов Ар-2, изготовленных в 1940-41 гг., согласно приведенной статистике составило 200 экземпляров. В 1942 г. один Ар-2 использовался для испытаний двигателей М-107 мощностью 1400 л.с. (12027).</w:t>
      </w:r>
    </w:p>
    <w:p w14:paraId="26ADB57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11643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опытный бомбардировщик «Б-1» (одновременно в ряде документов назывался «Б») доставили на аэродром. В те дни в КБ Архангельского настроение наблюдалось приподнятое, ибо именно в этот период решился вопрос территории завода №22. В соответствии с эешением Московского городского комитета ВКП(б), а гакже в связи с соответствующими правительственными юстановлениями, ОКО-Д, образованное для внедрения в серию СПБ ликвидировалось, а работы Н.Поликарпова переводились на новый завод № 51. На 22 же авиазаводе оставалось ОКО (Опытный конструкторский отдел) А.Архангельского (6206, 21).</w:t>
      </w:r>
    </w:p>
    <w:p w14:paraId="7E2F5AA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9B691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опытный экземпляр самолета Б А.А.А., с целью улучшения обзора при пикировании, решили строить с носовой частью без козырька пилота. При этом штурман размещался позади летчика. Макет нового варианта кабины строился и обсуждался, эднако в работу не пошел. Впрочем, не пошел в производство и сам «Б-2» - строился лишь его макет (6206, 21).</w:t>
      </w:r>
    </w:p>
    <w:p w14:paraId="6BF55F0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4A9E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состоялись первые рулежки на заводском аэродроме машины А.А.А. Б, а 6 ноября Юрий Константинович Станкевич поднял опытный "Б" в воздух. Спустя двадцать дней, после завершения девятого полета произошла авария. На рулежке разрушилась верхняя опора стержня амортизатора шасси, конструкцию которого заимствовали с СБ. Стойка шасси подломилась, и перемещавшийся уже на небольшой скорости бомбардировщик лег на крыло (6409).</w:t>
      </w:r>
    </w:p>
    <w:p w14:paraId="2CBFC3C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3C6E0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w:t>
      </w:r>
      <w:r w:rsidRPr="00A3026E">
        <w:rPr>
          <w:rFonts w:ascii="Times New Roman" w:hAnsi="Times New Roman"/>
          <w:color w:val="000000" w:themeColor="text1"/>
          <w:sz w:val="16"/>
          <w:szCs w:val="16"/>
        </w:rPr>
        <w:softHyphen/>
        <w:t>ре 1940 г. кроме основных вариантов, подготовили техническое предложение по дальнему варианту самолета «103» 2АМ-37 - самолету «103Д», с увеличенным размахом кры</w:t>
      </w:r>
      <w:r w:rsidRPr="00A3026E">
        <w:rPr>
          <w:rFonts w:ascii="Times New Roman" w:hAnsi="Times New Roman"/>
          <w:color w:val="000000" w:themeColor="text1"/>
          <w:sz w:val="16"/>
          <w:szCs w:val="16"/>
        </w:rPr>
        <w:softHyphen/>
        <w:t>ла. Проект «103Д» был подготовлен на базе самолета «103У». В дальней</w:t>
      </w:r>
      <w:r w:rsidRPr="00A3026E">
        <w:rPr>
          <w:rFonts w:ascii="Times New Roman" w:hAnsi="Times New Roman"/>
          <w:color w:val="000000" w:themeColor="text1"/>
          <w:sz w:val="16"/>
          <w:szCs w:val="16"/>
        </w:rPr>
        <w:softHyphen/>
        <w:t>шем наработки по этому проекту ис</w:t>
      </w:r>
      <w:r w:rsidRPr="00A3026E">
        <w:rPr>
          <w:rFonts w:ascii="Times New Roman" w:hAnsi="Times New Roman"/>
          <w:color w:val="000000" w:themeColor="text1"/>
          <w:sz w:val="16"/>
          <w:szCs w:val="16"/>
        </w:rPr>
        <w:softHyphen/>
        <w:t>пользовали в работах над дальнейши</w:t>
      </w:r>
      <w:r w:rsidRPr="00A3026E">
        <w:rPr>
          <w:rFonts w:ascii="Times New Roman" w:hAnsi="Times New Roman"/>
          <w:color w:val="000000" w:themeColor="text1"/>
          <w:sz w:val="16"/>
          <w:szCs w:val="16"/>
        </w:rPr>
        <w:softHyphen/>
        <w:t>ми вариантами Ту-2. Самолеты семейства «103» явля</w:t>
      </w:r>
      <w:r w:rsidRPr="00A3026E">
        <w:rPr>
          <w:rFonts w:ascii="Times New Roman" w:hAnsi="Times New Roman"/>
          <w:color w:val="000000" w:themeColor="text1"/>
          <w:sz w:val="16"/>
          <w:szCs w:val="16"/>
        </w:rPr>
        <w:softHyphen/>
        <w:t>лись скоростными пикирующими бом</w:t>
      </w:r>
      <w:r w:rsidRPr="00A3026E">
        <w:rPr>
          <w:rFonts w:ascii="Times New Roman" w:hAnsi="Times New Roman"/>
          <w:color w:val="000000" w:themeColor="text1"/>
          <w:sz w:val="16"/>
          <w:szCs w:val="16"/>
        </w:rPr>
        <w:softHyphen/>
        <w:t>бардировщиками, предназначенными для операций в тактической и опера</w:t>
      </w:r>
      <w:r w:rsidRPr="00A3026E">
        <w:rPr>
          <w:rFonts w:ascii="Times New Roman" w:hAnsi="Times New Roman"/>
          <w:color w:val="000000" w:themeColor="text1"/>
          <w:sz w:val="16"/>
          <w:szCs w:val="16"/>
        </w:rPr>
        <w:softHyphen/>
        <w:t>тивных зонах сухопутных и морских ТВД, в условиях сильного противодей</w:t>
      </w:r>
      <w:r w:rsidRPr="00A3026E">
        <w:rPr>
          <w:rFonts w:ascii="Times New Roman" w:hAnsi="Times New Roman"/>
          <w:color w:val="000000" w:themeColor="text1"/>
          <w:sz w:val="16"/>
          <w:szCs w:val="16"/>
        </w:rPr>
        <w:softHyphen/>
        <w:t>ствия ПВО. В отличие от всех суще</w:t>
      </w:r>
      <w:r w:rsidRPr="00A3026E">
        <w:rPr>
          <w:rFonts w:ascii="Times New Roman" w:hAnsi="Times New Roman"/>
          <w:color w:val="000000" w:themeColor="text1"/>
          <w:sz w:val="16"/>
          <w:szCs w:val="16"/>
        </w:rPr>
        <w:softHyphen/>
        <w:t>ствовавших в то время пикирующих бомбардировщиков самолеты типа «103» могли производить бомбомета</w:t>
      </w:r>
      <w:r w:rsidRPr="00A3026E">
        <w:rPr>
          <w:rFonts w:ascii="Times New Roman" w:hAnsi="Times New Roman"/>
          <w:color w:val="000000" w:themeColor="text1"/>
          <w:sz w:val="16"/>
          <w:szCs w:val="16"/>
        </w:rPr>
        <w:softHyphen/>
        <w:t>ние не только с замедленного пики</w:t>
      </w:r>
      <w:r w:rsidRPr="00A3026E">
        <w:rPr>
          <w:rFonts w:ascii="Times New Roman" w:hAnsi="Times New Roman"/>
          <w:color w:val="000000" w:themeColor="text1"/>
          <w:sz w:val="16"/>
          <w:szCs w:val="16"/>
        </w:rPr>
        <w:softHyphen/>
        <w:t>рования, используя воздушные тормо</w:t>
      </w:r>
      <w:r w:rsidRPr="00A3026E">
        <w:rPr>
          <w:rFonts w:ascii="Times New Roman" w:hAnsi="Times New Roman"/>
          <w:color w:val="000000" w:themeColor="text1"/>
          <w:sz w:val="16"/>
          <w:szCs w:val="16"/>
        </w:rPr>
        <w:softHyphen/>
        <w:t>за, но и со скоростного пикирования. При скоростном пикировании само</w:t>
      </w:r>
      <w:r w:rsidRPr="00A3026E">
        <w:rPr>
          <w:rFonts w:ascii="Times New Roman" w:hAnsi="Times New Roman"/>
          <w:color w:val="000000" w:themeColor="text1"/>
          <w:sz w:val="16"/>
          <w:szCs w:val="16"/>
        </w:rPr>
        <w:softHyphen/>
        <w:t>лет мог достигать скорости 900 км/ч. Достижение столь высоких скоростей на пикировании обеспечивало повы</w:t>
      </w:r>
      <w:r w:rsidRPr="00A3026E">
        <w:rPr>
          <w:rFonts w:ascii="Times New Roman" w:hAnsi="Times New Roman"/>
          <w:color w:val="000000" w:themeColor="text1"/>
          <w:sz w:val="16"/>
          <w:szCs w:val="16"/>
        </w:rPr>
        <w:softHyphen/>
        <w:t>шенные точность и эффективность бомбометания. Это позволяло исполь</w:t>
      </w:r>
      <w:r w:rsidRPr="00A3026E">
        <w:rPr>
          <w:rFonts w:ascii="Times New Roman" w:hAnsi="Times New Roman"/>
          <w:color w:val="000000" w:themeColor="text1"/>
          <w:sz w:val="16"/>
          <w:szCs w:val="16"/>
        </w:rPr>
        <w:softHyphen/>
        <w:t>зовать самолеты «103» для поражения целей, имеющих малые габариты: боевые и транспортные корабли всех классов, до линкоров включительно; железобетонных фортов и ДОТов ук-репрайонов; военных, транспортных и промышленных объектов, хорошо защищенных средствами ПВО. В соот</w:t>
      </w:r>
      <w:r w:rsidRPr="00A3026E">
        <w:rPr>
          <w:rFonts w:ascii="Times New Roman" w:hAnsi="Times New Roman"/>
          <w:color w:val="000000" w:themeColor="text1"/>
          <w:sz w:val="16"/>
          <w:szCs w:val="16"/>
        </w:rPr>
        <w:softHyphen/>
        <w:t>ветствии с этим в комплект бомбовой нагрузки самолета включались броне</w:t>
      </w:r>
      <w:r w:rsidRPr="00A3026E">
        <w:rPr>
          <w:rFonts w:ascii="Times New Roman" w:hAnsi="Times New Roman"/>
          <w:color w:val="000000" w:themeColor="text1"/>
          <w:sz w:val="16"/>
          <w:szCs w:val="16"/>
        </w:rPr>
        <w:softHyphen/>
        <w:t>бойные и фугасные бомбы калибра от 100 до 1000 кг. Для борьбы с подвижными целями и живой силой противника (сосредо</w:t>
      </w:r>
      <w:r w:rsidRPr="00A3026E">
        <w:rPr>
          <w:rFonts w:ascii="Times New Roman" w:hAnsi="Times New Roman"/>
          <w:color w:val="000000" w:themeColor="text1"/>
          <w:sz w:val="16"/>
          <w:szCs w:val="16"/>
        </w:rPr>
        <w:softHyphen/>
        <w:t>точение войск, группы танков, авиа</w:t>
      </w:r>
      <w:r w:rsidRPr="00A3026E">
        <w:rPr>
          <w:rFonts w:ascii="Times New Roman" w:hAnsi="Times New Roman"/>
          <w:color w:val="000000" w:themeColor="text1"/>
          <w:sz w:val="16"/>
          <w:szCs w:val="16"/>
        </w:rPr>
        <w:softHyphen/>
        <w:t>ция на аэродромах, десантные группы и т.д) самолет мог брать осколочные и бронебойные бомбы калибра от 2,5 до 25 кг. Форма бомбового отсека и сис</w:t>
      </w:r>
      <w:r w:rsidRPr="00A3026E">
        <w:rPr>
          <w:rFonts w:ascii="Times New Roman" w:hAnsi="Times New Roman"/>
          <w:color w:val="000000" w:themeColor="text1"/>
          <w:sz w:val="16"/>
          <w:szCs w:val="16"/>
        </w:rPr>
        <w:softHyphen/>
        <w:t>тема бомбодержателей позволяли обеспечивать выход бомб на пикиро</w:t>
      </w:r>
      <w:r w:rsidRPr="00A3026E">
        <w:rPr>
          <w:rFonts w:ascii="Times New Roman" w:hAnsi="Times New Roman"/>
          <w:color w:val="000000" w:themeColor="text1"/>
          <w:sz w:val="16"/>
          <w:szCs w:val="16"/>
        </w:rPr>
        <w:softHyphen/>
        <w:t>вании без специальныхустройств. На</w:t>
      </w:r>
      <w:r w:rsidRPr="00A3026E">
        <w:rPr>
          <w:rFonts w:ascii="Times New Roman" w:hAnsi="Times New Roman"/>
          <w:color w:val="000000" w:themeColor="text1"/>
          <w:sz w:val="16"/>
          <w:szCs w:val="16"/>
        </w:rPr>
        <w:softHyphen/>
        <w:t>ступательное стрелково-пушечное во</w:t>
      </w:r>
      <w:r w:rsidRPr="00A3026E">
        <w:rPr>
          <w:rFonts w:ascii="Times New Roman" w:hAnsi="Times New Roman"/>
          <w:color w:val="000000" w:themeColor="text1"/>
          <w:sz w:val="16"/>
          <w:szCs w:val="16"/>
        </w:rPr>
        <w:softHyphen/>
        <w:t>оружение (2х ШВАК-20, 2 х ШКАС у «103» и дополнительно 10 х РС-132 у «ЮЗУ» и «103В») позволяло привле</w:t>
      </w:r>
      <w:r w:rsidRPr="00A3026E">
        <w:rPr>
          <w:rFonts w:ascii="Times New Roman" w:hAnsi="Times New Roman"/>
          <w:color w:val="000000" w:themeColor="text1"/>
          <w:sz w:val="16"/>
          <w:szCs w:val="16"/>
        </w:rPr>
        <w:softHyphen/>
        <w:t>кать самолет для непосредственной штурмовой поддержки наземных и морских сил при условии несильной наземной ПВО противника. Оборудование самолета позволяло обеспечивать выполнение полетов и боевое применение в сложных мете-рологических условиях, в любое вре</w:t>
      </w:r>
      <w:r w:rsidRPr="00A3026E">
        <w:rPr>
          <w:rFonts w:ascii="Times New Roman" w:hAnsi="Times New Roman"/>
          <w:color w:val="000000" w:themeColor="text1"/>
          <w:sz w:val="16"/>
          <w:szCs w:val="16"/>
        </w:rPr>
        <w:softHyphen/>
        <w:t>мя суток. Для облегчения условий работы экипажа, обеспечения безо</w:t>
      </w:r>
      <w:r w:rsidRPr="00A3026E">
        <w:rPr>
          <w:rFonts w:ascii="Times New Roman" w:hAnsi="Times New Roman"/>
          <w:color w:val="000000" w:themeColor="text1"/>
          <w:sz w:val="16"/>
          <w:szCs w:val="16"/>
        </w:rPr>
        <w:softHyphen/>
        <w:t>пасности полета и эффективности выполнения боевых задач, самолет оборудовался автоматами курса и вы</w:t>
      </w:r>
      <w:r w:rsidRPr="00A3026E">
        <w:rPr>
          <w:rFonts w:ascii="Times New Roman" w:hAnsi="Times New Roman"/>
          <w:color w:val="000000" w:themeColor="text1"/>
          <w:sz w:val="16"/>
          <w:szCs w:val="16"/>
        </w:rPr>
        <w:softHyphen/>
        <w:t>вода из пикирования.Система оборо</w:t>
      </w:r>
      <w:r w:rsidRPr="00A3026E">
        <w:rPr>
          <w:rFonts w:ascii="Times New Roman" w:hAnsi="Times New Roman"/>
          <w:color w:val="000000" w:themeColor="text1"/>
          <w:sz w:val="16"/>
          <w:szCs w:val="16"/>
        </w:rPr>
        <w:softHyphen/>
        <w:t>нительного вооружения самолета, ба</w:t>
      </w:r>
      <w:r w:rsidRPr="00A3026E">
        <w:rPr>
          <w:rFonts w:ascii="Times New Roman" w:hAnsi="Times New Roman"/>
          <w:color w:val="000000" w:themeColor="text1"/>
          <w:sz w:val="16"/>
          <w:szCs w:val="16"/>
        </w:rPr>
        <w:softHyphen/>
        <w:t>зировавшаяся на скорострельных пулеметах ШКАС калибра 7,62 мм (два на самолете «103» и три - на «103У»и «103В») в совокупности с системой бронезащиты и протектированными топливными баками, заполнявшимися нейтральным газом, по тогдашним взглядам, должны были обеспечить ус</w:t>
      </w:r>
      <w:r w:rsidRPr="00A3026E">
        <w:rPr>
          <w:rFonts w:ascii="Times New Roman" w:hAnsi="Times New Roman"/>
          <w:color w:val="000000" w:themeColor="text1"/>
          <w:sz w:val="16"/>
          <w:szCs w:val="16"/>
        </w:rPr>
        <w:softHyphen/>
        <w:t>тойчивость и живучесть самолета в случае атак истребителей противни</w:t>
      </w:r>
      <w:r w:rsidRPr="00A3026E">
        <w:rPr>
          <w:rFonts w:ascii="Times New Roman" w:hAnsi="Times New Roman"/>
          <w:color w:val="000000" w:themeColor="text1"/>
          <w:sz w:val="16"/>
          <w:szCs w:val="16"/>
        </w:rPr>
        <w:softHyphen/>
        <w:t>ка, вооруженных крупнокалиберными пулеметами, имевшими в боекомплек</w:t>
      </w:r>
      <w:r w:rsidRPr="00A3026E">
        <w:rPr>
          <w:rFonts w:ascii="Times New Roman" w:hAnsi="Times New Roman"/>
          <w:color w:val="000000" w:themeColor="text1"/>
          <w:sz w:val="16"/>
          <w:szCs w:val="16"/>
        </w:rPr>
        <w:softHyphen/>
        <w:t>те бронебойные и зажигательные пули. Экипаж самолета «103» состоял из трех человек: летчика, размещавшего</w:t>
      </w:r>
      <w:r w:rsidRPr="00A3026E">
        <w:rPr>
          <w:rFonts w:ascii="Times New Roman" w:hAnsi="Times New Roman"/>
          <w:color w:val="000000" w:themeColor="text1"/>
          <w:sz w:val="16"/>
          <w:szCs w:val="16"/>
        </w:rPr>
        <w:softHyphen/>
        <w:t>ся в передней кабине; стрелка и стрел</w:t>
      </w:r>
      <w:r w:rsidRPr="00A3026E">
        <w:rPr>
          <w:rFonts w:ascii="Times New Roman" w:hAnsi="Times New Roman"/>
          <w:color w:val="000000" w:themeColor="text1"/>
          <w:sz w:val="16"/>
          <w:szCs w:val="16"/>
        </w:rPr>
        <w:softHyphen/>
        <w:t>ка-радиста, размещавшихся в задней кабине. Предусматривалось, что стре</w:t>
      </w:r>
      <w:r w:rsidRPr="00A3026E">
        <w:rPr>
          <w:rFonts w:ascii="Times New Roman" w:hAnsi="Times New Roman"/>
          <w:color w:val="000000" w:themeColor="text1"/>
          <w:sz w:val="16"/>
          <w:szCs w:val="16"/>
        </w:rPr>
        <w:softHyphen/>
        <w:t>лок верхней пулеметной установки должен был совмещать функции штур</w:t>
      </w:r>
      <w:r w:rsidRPr="00A3026E">
        <w:rPr>
          <w:rFonts w:ascii="Times New Roman" w:hAnsi="Times New Roman"/>
          <w:color w:val="000000" w:themeColor="text1"/>
          <w:sz w:val="16"/>
          <w:szCs w:val="16"/>
        </w:rPr>
        <w:softHyphen/>
        <w:t>мана. На самолетах «103У» и «103В» летчики штурман располагались в уве</w:t>
      </w:r>
      <w:r w:rsidRPr="00A3026E">
        <w:rPr>
          <w:rFonts w:ascii="Times New Roman" w:hAnsi="Times New Roman"/>
          <w:color w:val="000000" w:themeColor="text1"/>
          <w:sz w:val="16"/>
          <w:szCs w:val="16"/>
        </w:rPr>
        <w:softHyphen/>
        <w:t>личенной передней кабине. Такое раз</w:t>
      </w:r>
      <w:r w:rsidRPr="00A3026E">
        <w:rPr>
          <w:rFonts w:ascii="Times New Roman" w:hAnsi="Times New Roman"/>
          <w:color w:val="000000" w:themeColor="text1"/>
          <w:sz w:val="16"/>
          <w:szCs w:val="16"/>
        </w:rPr>
        <w:softHyphen/>
        <w:t>мещение двух ведущих членов экипа</w:t>
      </w:r>
      <w:r w:rsidRPr="00A3026E">
        <w:rPr>
          <w:rFonts w:ascii="Times New Roman" w:hAnsi="Times New Roman"/>
          <w:color w:val="000000" w:themeColor="text1"/>
          <w:sz w:val="16"/>
          <w:szCs w:val="16"/>
        </w:rPr>
        <w:softHyphen/>
        <w:t>жа обеспечивало, помимо повышения устойчивости экипажа в бою, в рав</w:t>
      </w:r>
      <w:r w:rsidRPr="00A3026E">
        <w:rPr>
          <w:rFonts w:ascii="Times New Roman" w:hAnsi="Times New Roman"/>
          <w:color w:val="000000" w:themeColor="text1"/>
          <w:sz w:val="16"/>
          <w:szCs w:val="16"/>
        </w:rPr>
        <w:softHyphen/>
        <w:t>ной степени как бомбардирование с пикирования, так и бомбардирование с горизонтального полета не только в тактической полосе линии фронта, но и при выполнении боевых заданий в глубоких тылах противника. Некото</w:t>
      </w:r>
      <w:r w:rsidRPr="00A3026E">
        <w:rPr>
          <w:rFonts w:ascii="Times New Roman" w:hAnsi="Times New Roman"/>
          <w:color w:val="000000" w:themeColor="text1"/>
          <w:sz w:val="16"/>
          <w:szCs w:val="16"/>
        </w:rPr>
        <w:softHyphen/>
        <w:t>рое уменьшение скорости полета за счет увеличения носовой части фю</w:t>
      </w:r>
      <w:r w:rsidRPr="00A3026E">
        <w:rPr>
          <w:rFonts w:ascii="Times New Roman" w:hAnsi="Times New Roman"/>
          <w:color w:val="000000" w:themeColor="text1"/>
          <w:sz w:val="16"/>
          <w:szCs w:val="16"/>
        </w:rPr>
        <w:softHyphen/>
        <w:t>зеляжа, компенсировал ось усилен нем защиты задней полусферы за счет раз</w:t>
      </w:r>
      <w:r w:rsidRPr="00A3026E">
        <w:rPr>
          <w:rFonts w:ascii="Times New Roman" w:hAnsi="Times New Roman"/>
          <w:color w:val="000000" w:themeColor="text1"/>
          <w:sz w:val="16"/>
          <w:szCs w:val="16"/>
        </w:rPr>
        <w:softHyphen/>
        <w:t>мещения в передней кабине дополни</w:t>
      </w:r>
      <w:r w:rsidRPr="00A3026E">
        <w:rPr>
          <w:rFonts w:ascii="Times New Roman" w:hAnsi="Times New Roman"/>
          <w:color w:val="000000" w:themeColor="text1"/>
          <w:sz w:val="16"/>
          <w:szCs w:val="16"/>
        </w:rPr>
        <w:softHyphen/>
        <w:t>тельной пулеметной установки у штур</w:t>
      </w:r>
      <w:r w:rsidRPr="00A3026E">
        <w:rPr>
          <w:rFonts w:ascii="Times New Roman" w:hAnsi="Times New Roman"/>
          <w:color w:val="000000" w:themeColor="text1"/>
          <w:sz w:val="16"/>
          <w:szCs w:val="16"/>
        </w:rPr>
        <w:softHyphen/>
        <w:t>мана и возможностью размещения 4-го члена экипажа - стрелка из ниж</w:t>
      </w:r>
      <w:r w:rsidRPr="00A3026E">
        <w:rPr>
          <w:rFonts w:ascii="Times New Roman" w:hAnsi="Times New Roman"/>
          <w:color w:val="000000" w:themeColor="text1"/>
          <w:sz w:val="16"/>
          <w:szCs w:val="16"/>
        </w:rPr>
        <w:softHyphen/>
        <w:t>ней люковой установки в дополнение к стрелку-радисту. Самолеты семейства «103» по сво</w:t>
      </w:r>
      <w:r w:rsidRPr="00A3026E">
        <w:rPr>
          <w:rFonts w:ascii="Times New Roman" w:hAnsi="Times New Roman"/>
          <w:color w:val="000000" w:themeColor="text1"/>
          <w:sz w:val="16"/>
          <w:szCs w:val="16"/>
        </w:rPr>
        <w:softHyphen/>
        <w:t>ей схеме представляли собой двух</w:t>
      </w:r>
      <w:r w:rsidRPr="00A3026E">
        <w:rPr>
          <w:rFonts w:ascii="Times New Roman" w:hAnsi="Times New Roman"/>
          <w:color w:val="000000" w:themeColor="text1"/>
          <w:sz w:val="16"/>
          <w:szCs w:val="16"/>
        </w:rPr>
        <w:softHyphen/>
        <w:t>моторные цельнометаллические свободнонесущие монопланы с вы</w:t>
      </w:r>
      <w:r w:rsidRPr="00A3026E">
        <w:rPr>
          <w:rFonts w:ascii="Times New Roman" w:hAnsi="Times New Roman"/>
          <w:color w:val="000000" w:themeColor="text1"/>
          <w:sz w:val="16"/>
          <w:szCs w:val="16"/>
        </w:rPr>
        <w:softHyphen/>
        <w:t>сокорасположенным крылом Фюзеляж полумонококовой конструкции, кры</w:t>
      </w:r>
      <w:r w:rsidRPr="00A3026E">
        <w:rPr>
          <w:rFonts w:ascii="Times New Roman" w:hAnsi="Times New Roman"/>
          <w:color w:val="000000" w:themeColor="text1"/>
          <w:sz w:val="16"/>
          <w:szCs w:val="16"/>
        </w:rPr>
        <w:softHyphen/>
        <w:t>ло кессонной конструкции двухлон-жеронное. Хвостовое оперение сво-боднонесущее с двухкилевым разнесенным хвостовым оперением Все рули и элероны были снабжены триммерами с дистанционным элект</w:t>
      </w:r>
      <w:r w:rsidRPr="00A3026E">
        <w:rPr>
          <w:rFonts w:ascii="Times New Roman" w:hAnsi="Times New Roman"/>
          <w:color w:val="000000" w:themeColor="text1"/>
          <w:sz w:val="16"/>
          <w:szCs w:val="16"/>
        </w:rPr>
        <w:softHyphen/>
        <w:t>рическим управлением Для улучшения взлетно-посадочных характеристик на крыле устанавливлись щитки-зак</w:t>
      </w:r>
      <w:r w:rsidRPr="00A3026E">
        <w:rPr>
          <w:rFonts w:ascii="Times New Roman" w:hAnsi="Times New Roman"/>
          <w:color w:val="000000" w:themeColor="text1"/>
          <w:sz w:val="16"/>
          <w:szCs w:val="16"/>
        </w:rPr>
        <w:softHyphen/>
        <w:t>рылки типа Шренк с гидравлическим управлением На отъемных частях кры</w:t>
      </w:r>
      <w:r w:rsidRPr="00A3026E">
        <w:rPr>
          <w:rFonts w:ascii="Times New Roman" w:hAnsi="Times New Roman"/>
          <w:color w:val="000000" w:themeColor="text1"/>
          <w:sz w:val="16"/>
          <w:szCs w:val="16"/>
        </w:rPr>
        <w:softHyphen/>
        <w:t>ла устанавливались тормозные решет</w:t>
      </w:r>
      <w:r w:rsidRPr="00A3026E">
        <w:rPr>
          <w:rFonts w:ascii="Times New Roman" w:hAnsi="Times New Roman"/>
          <w:color w:val="000000" w:themeColor="text1"/>
          <w:sz w:val="16"/>
          <w:szCs w:val="16"/>
        </w:rPr>
        <w:softHyphen/>
        <w:t>ки, служившие для уменьшения ско</w:t>
      </w:r>
      <w:r w:rsidRPr="00A3026E">
        <w:rPr>
          <w:rFonts w:ascii="Times New Roman" w:hAnsi="Times New Roman"/>
          <w:color w:val="000000" w:themeColor="text1"/>
          <w:sz w:val="16"/>
          <w:szCs w:val="16"/>
        </w:rPr>
        <w:softHyphen/>
        <w:t>рости пикирования. Самолет имел убирающиеся в полете основные стой</w:t>
      </w:r>
      <w:r w:rsidRPr="00A3026E">
        <w:rPr>
          <w:rFonts w:ascii="Times New Roman" w:hAnsi="Times New Roman"/>
          <w:color w:val="000000" w:themeColor="text1"/>
          <w:sz w:val="16"/>
          <w:szCs w:val="16"/>
        </w:rPr>
        <w:softHyphen/>
        <w:t>ки и хвостовое колесо шасси. На самолетах «103» и «103У» устанавлива</w:t>
      </w:r>
      <w:r w:rsidRPr="00A3026E">
        <w:rPr>
          <w:rFonts w:ascii="Times New Roman" w:hAnsi="Times New Roman"/>
          <w:color w:val="000000" w:themeColor="text1"/>
          <w:sz w:val="16"/>
          <w:szCs w:val="16"/>
        </w:rPr>
        <w:softHyphen/>
        <w:t>лись два двигателя водяного охлаж</w:t>
      </w:r>
      <w:r w:rsidRPr="00A3026E">
        <w:rPr>
          <w:rFonts w:ascii="Times New Roman" w:hAnsi="Times New Roman"/>
          <w:color w:val="000000" w:themeColor="text1"/>
          <w:sz w:val="16"/>
          <w:szCs w:val="16"/>
        </w:rPr>
        <w:softHyphen/>
        <w:t>дения типа АМ-37 мощностью по 1400 л.с. Особенностью силовой установ</w:t>
      </w:r>
      <w:r w:rsidRPr="00A3026E">
        <w:rPr>
          <w:rFonts w:ascii="Times New Roman" w:hAnsi="Times New Roman"/>
          <w:color w:val="000000" w:themeColor="text1"/>
          <w:sz w:val="16"/>
          <w:szCs w:val="16"/>
        </w:rPr>
        <w:softHyphen/>
        <w:t>ки самолета «103У» являлось распо</w:t>
      </w:r>
      <w:r w:rsidRPr="00A3026E">
        <w:rPr>
          <w:rFonts w:ascii="Times New Roman" w:hAnsi="Times New Roman"/>
          <w:color w:val="000000" w:themeColor="text1"/>
          <w:sz w:val="16"/>
          <w:szCs w:val="16"/>
        </w:rPr>
        <w:softHyphen/>
        <w:t>ложение радиаторов дополнительно</w:t>
      </w:r>
      <w:r w:rsidRPr="00A3026E">
        <w:rPr>
          <w:rFonts w:ascii="Times New Roman" w:hAnsi="Times New Roman"/>
          <w:color w:val="000000" w:themeColor="text1"/>
          <w:sz w:val="16"/>
          <w:szCs w:val="16"/>
        </w:rPr>
        <w:softHyphen/>
        <w:t>го контура охлаждения воздуха, идущего к карбюраторам двигателей, под капотом и продувка их через воз</w:t>
      </w:r>
      <w:r w:rsidRPr="00A3026E">
        <w:rPr>
          <w:rFonts w:ascii="Times New Roman" w:hAnsi="Times New Roman"/>
          <w:color w:val="000000" w:themeColor="text1"/>
          <w:sz w:val="16"/>
          <w:szCs w:val="16"/>
        </w:rPr>
        <w:softHyphen/>
        <w:t>духозаборники в коках винтов.</w:t>
      </w:r>
    </w:p>
    <w:p w14:paraId="0F90C0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F36EE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последнего предвоенного год; ситуация с 103 изменилась еще раз. Вторую и тре тью машины требовалось построить с размещением летчика и штурмана в передней кабине, но не по типу самолета "100ПБ", Kaк предполагалось раньше, а обогреваемые (оглядкой на бомбардировщик Ju.88 фирмы "Юнкере", закупленный в мае 1940 года в Германии.</w:t>
      </w:r>
    </w:p>
    <w:p w14:paraId="397726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уточненным требованиям скорость самолета с моторами М-120ТК снизили до 580-600 км/ч на высоте 7000 метров, а практический потолок - до 10 000 метров. Дальность оставалась прежняя - 2500 км. Уже тогда постройка бомбардировщика с М-120ТК была весьма проблематичной из- за отсутствия двигателей, но его все же оставили в задании (12035).</w:t>
      </w:r>
    </w:p>
    <w:p w14:paraId="2B1C146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F46AA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w:t>
      </w:r>
      <w:r w:rsidRPr="00A3026E">
        <w:rPr>
          <w:rFonts w:ascii="Times New Roman" w:hAnsi="Times New Roman"/>
          <w:color w:val="000000" w:themeColor="text1"/>
          <w:sz w:val="16"/>
          <w:szCs w:val="16"/>
        </w:rPr>
        <w:softHyphen/>
        <w:t>ре 1940 г. нарком Шахурин и на</w:t>
      </w:r>
      <w:r w:rsidRPr="00A3026E">
        <w:rPr>
          <w:rFonts w:ascii="Times New Roman" w:hAnsi="Times New Roman"/>
          <w:color w:val="000000" w:themeColor="text1"/>
          <w:sz w:val="16"/>
          <w:szCs w:val="16"/>
        </w:rPr>
        <w:softHyphen/>
        <w:t>чальник ГУВВС П.В.Рычагов потребо</w:t>
      </w:r>
      <w:r w:rsidRPr="00A3026E">
        <w:rPr>
          <w:rFonts w:ascii="Times New Roman" w:hAnsi="Times New Roman"/>
          <w:color w:val="000000" w:themeColor="text1"/>
          <w:sz w:val="16"/>
          <w:szCs w:val="16"/>
        </w:rPr>
        <w:softHyphen/>
        <w:t>вали от Петлякова и руководителей специализированного «вооруженческого» предприятия в месячный срок проработать возможность замены опытной установки бомбовооруже-ния серийными изделиями завода №32. А главных конструкторов воо</w:t>
      </w:r>
      <w:r w:rsidRPr="00A3026E">
        <w:rPr>
          <w:rFonts w:ascii="Times New Roman" w:hAnsi="Times New Roman"/>
          <w:color w:val="000000" w:themeColor="text1"/>
          <w:sz w:val="16"/>
          <w:szCs w:val="16"/>
        </w:rPr>
        <w:softHyphen/>
        <w:t>ружения (Можаровского, Веневидо-ва, Торопова, Шебанова, Картуко-ва и Шульгина) предупредили, что оценивать качество их работы в 1940-1941 гг. будут в зависимости от результатов работ «по стандар</w:t>
      </w:r>
      <w:r w:rsidRPr="00A3026E">
        <w:rPr>
          <w:rFonts w:ascii="Times New Roman" w:hAnsi="Times New Roman"/>
          <w:color w:val="000000" w:themeColor="text1"/>
          <w:sz w:val="16"/>
          <w:szCs w:val="16"/>
        </w:rPr>
        <w:softHyphen/>
        <w:t>тизации и типизации вооружения».</w:t>
      </w:r>
    </w:p>
    <w:p w14:paraId="0502F6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грозные предупреж</w:t>
      </w:r>
      <w:r w:rsidRPr="00A3026E">
        <w:rPr>
          <w:rFonts w:ascii="Times New Roman" w:hAnsi="Times New Roman"/>
          <w:color w:val="000000" w:themeColor="text1"/>
          <w:sz w:val="16"/>
          <w:szCs w:val="16"/>
        </w:rPr>
        <w:softHyphen/>
        <w:t>дения, первые «пешки» всё же осна</w:t>
      </w:r>
      <w:r w:rsidRPr="00A3026E">
        <w:rPr>
          <w:rFonts w:ascii="Times New Roman" w:hAnsi="Times New Roman"/>
          <w:color w:val="000000" w:themeColor="text1"/>
          <w:sz w:val="16"/>
          <w:szCs w:val="16"/>
        </w:rPr>
        <w:softHyphen/>
        <w:t>щали «доморощенными» агрегатами и установками. Так, в носовом коке на лафетах собственной разработ</w:t>
      </w:r>
      <w:r w:rsidRPr="00A3026E">
        <w:rPr>
          <w:rFonts w:ascii="Times New Roman" w:hAnsi="Times New Roman"/>
          <w:color w:val="000000" w:themeColor="text1"/>
          <w:sz w:val="16"/>
          <w:szCs w:val="16"/>
        </w:rPr>
        <w:softHyphen/>
        <w:t>ки специалисты ОКБ разместили пару неподвижных 7,62-мм пулемётов ШКАС. Ещё два таких же, но под</w:t>
      </w:r>
      <w:r w:rsidRPr="00A3026E">
        <w:rPr>
          <w:rFonts w:ascii="Times New Roman" w:hAnsi="Times New Roman"/>
          <w:color w:val="000000" w:themeColor="text1"/>
          <w:sz w:val="16"/>
          <w:szCs w:val="16"/>
        </w:rPr>
        <w:softHyphen/>
        <w:t>вижных, смонтировали на верхней ВУ-100 и нижней люковой турели ЛУ-100.</w:t>
      </w:r>
    </w:p>
    <w:p w14:paraId="5DADB2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Такая схема (по одному 7,5-7,9-мм стволу в нижней и верхней частях задней полусферы) считалась нор</w:t>
      </w:r>
      <w:r w:rsidRPr="00A3026E">
        <w:rPr>
          <w:rFonts w:ascii="Times New Roman" w:hAnsi="Times New Roman"/>
          <w:color w:val="000000" w:themeColor="text1"/>
          <w:sz w:val="16"/>
          <w:szCs w:val="16"/>
        </w:rPr>
        <w:softHyphen/>
        <w:t>мальной в 30-е годы, однако опыт Испании, Халхин-Гола и Финляндии свидетельствовал о том, что она уже устарела. Для ведения огня из верх</w:t>
      </w:r>
      <w:r w:rsidRPr="00A3026E">
        <w:rPr>
          <w:rFonts w:ascii="Times New Roman" w:hAnsi="Times New Roman"/>
          <w:color w:val="000000" w:themeColor="text1"/>
          <w:sz w:val="16"/>
          <w:szCs w:val="16"/>
        </w:rPr>
        <w:softHyphen/>
        <w:t>него пулемёта, оснащённого колли-маторным прицелом К8-3, штурману следовало подать назад прикрывав</w:t>
      </w:r>
      <w:r w:rsidRPr="00A3026E">
        <w:rPr>
          <w:rFonts w:ascii="Times New Roman" w:hAnsi="Times New Roman"/>
          <w:color w:val="000000" w:themeColor="text1"/>
          <w:sz w:val="16"/>
          <w:szCs w:val="16"/>
        </w:rPr>
        <w:softHyphen/>
        <w:t>ший установку прозрачный плексиг</w:t>
      </w:r>
      <w:r w:rsidRPr="00A3026E">
        <w:rPr>
          <w:rFonts w:ascii="Times New Roman" w:hAnsi="Times New Roman"/>
          <w:color w:val="000000" w:themeColor="text1"/>
          <w:sz w:val="16"/>
          <w:szCs w:val="16"/>
        </w:rPr>
        <w:softHyphen/>
        <w:t>ласовый обтекатель — «черепаху», опустив её на замки под гаргрот фюзеляжа. Из нижнего ШКАС огонь вёл стрелок-радист, открывая створ</w:t>
      </w:r>
      <w:r w:rsidRPr="00A3026E">
        <w:rPr>
          <w:rFonts w:ascii="Times New Roman" w:hAnsi="Times New Roman"/>
          <w:color w:val="000000" w:themeColor="text1"/>
          <w:sz w:val="16"/>
          <w:szCs w:val="16"/>
        </w:rPr>
        <w:softHyphen/>
        <w:t>ки люковой установки и прицелива</w:t>
      </w:r>
      <w:r w:rsidRPr="00A3026E">
        <w:rPr>
          <w:rFonts w:ascii="Times New Roman" w:hAnsi="Times New Roman"/>
          <w:color w:val="000000" w:themeColor="text1"/>
          <w:sz w:val="16"/>
          <w:szCs w:val="16"/>
        </w:rPr>
        <w:softHyphen/>
        <w:t>ясь с помощью оптического перис</w:t>
      </w:r>
      <w:r w:rsidRPr="00A3026E">
        <w:rPr>
          <w:rFonts w:ascii="Times New Roman" w:hAnsi="Times New Roman"/>
          <w:color w:val="000000" w:themeColor="text1"/>
          <w:sz w:val="16"/>
          <w:szCs w:val="16"/>
        </w:rPr>
        <w:softHyphen/>
        <w:t>копического прицела ОП-2Л (11432).</w:t>
      </w:r>
    </w:p>
    <w:p w14:paraId="6BB5A7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2ED9A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ОКО МиГ дали задание на постройку дальнего истребителя сопровождения (ДИС) с двумя АМ-35А (563,7).</w:t>
      </w:r>
    </w:p>
    <w:p w14:paraId="603B72E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3B32E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1940проходило проектирование с-та ДИС-200 (МиГ-5) АМ-37. Заключение по проекту дано также в октябре 1940. Заключение по проекту с-та дали:</w:t>
      </w:r>
    </w:p>
    <w:p w14:paraId="6C0FB6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всему с-ту ви3р Алнексеенко</w:t>
      </w:r>
    </w:p>
    <w:p w14:paraId="31D407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части вооружения ви1р Янчук</w:t>
      </w:r>
    </w:p>
    <w:p w14:paraId="2E351F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части оборулдования ви3р Самошин</w:t>
      </w:r>
    </w:p>
    <w:p w14:paraId="470EE8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подписано 14 декабря 1940 Нач. ГУАС ВВС Рычаговым (990,5).</w:t>
      </w:r>
    </w:p>
    <w:p w14:paraId="21FC5C1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965A34A" w14:textId="77777777" w:rsidR="00C66762" w:rsidRPr="00A3026E" w:rsidRDefault="00C66762" w:rsidP="00A3026E">
      <w:pPr>
        <w:pStyle w:val="a3"/>
        <w:tabs>
          <w:tab w:val="left" w:pos="11199"/>
        </w:tabs>
        <w:rPr>
          <w:color w:val="000000" w:themeColor="text1"/>
          <w:lang w:val="ru-RU"/>
        </w:rPr>
      </w:pPr>
      <w:r w:rsidRPr="00A3026E">
        <w:rPr>
          <w:color w:val="000000" w:themeColor="text1"/>
          <w:lang w:val="ru-RU"/>
        </w:rPr>
        <w:t>В октябре 1940 в НИИ ВВС был рассмотрен эскизный проект самолета И-207 №11 и заключение на проект было утверждено П.В.Рычаговым 9 де</w:t>
      </w:r>
      <w:r w:rsidRPr="00A3026E">
        <w:rPr>
          <w:color w:val="000000" w:themeColor="text1"/>
          <w:lang w:val="ru-RU"/>
        </w:rPr>
        <w:softHyphen/>
        <w:t>кабря 1940 г. В целом эскизный проект был оце</w:t>
      </w:r>
      <w:r w:rsidRPr="00A3026E">
        <w:rPr>
          <w:color w:val="000000" w:themeColor="text1"/>
          <w:lang w:val="ru-RU"/>
        </w:rPr>
        <w:softHyphen/>
        <w:t>нен положительно, и было рекомендо</w:t>
      </w:r>
      <w:r w:rsidRPr="00A3026E">
        <w:rPr>
          <w:color w:val="000000" w:themeColor="text1"/>
          <w:lang w:val="ru-RU"/>
        </w:rPr>
        <w:softHyphen/>
        <w:t>вано включить самолет в план опыт</w:t>
      </w:r>
      <w:r w:rsidRPr="00A3026E">
        <w:rPr>
          <w:color w:val="000000" w:themeColor="text1"/>
          <w:lang w:val="ru-RU"/>
        </w:rPr>
        <w:softHyphen/>
        <w:t>ного строительства на 1941 г. в каче</w:t>
      </w:r>
      <w:r w:rsidRPr="00A3026E">
        <w:rPr>
          <w:color w:val="000000" w:themeColor="text1"/>
          <w:lang w:val="ru-RU"/>
        </w:rPr>
        <w:softHyphen/>
        <w:t>стве экспериментального истребителя при условии выполнения пресловуто</w:t>
      </w:r>
      <w:r w:rsidRPr="00A3026E">
        <w:rPr>
          <w:color w:val="000000" w:themeColor="text1"/>
          <w:lang w:val="ru-RU"/>
        </w:rPr>
        <w:softHyphen/>
        <w:t>го, совершенно нереального для того времени требования обеспечить скоро</w:t>
      </w:r>
      <w:r w:rsidRPr="00A3026E">
        <w:rPr>
          <w:color w:val="000000" w:themeColor="text1"/>
          <w:lang w:val="ru-RU"/>
        </w:rPr>
        <w:softHyphen/>
        <w:t>стную дальность полета не менее 1000 км, а в перегрузку - 1400 км. Посколь</w:t>
      </w:r>
      <w:r w:rsidRPr="00A3026E">
        <w:rPr>
          <w:color w:val="000000" w:themeColor="text1"/>
          <w:lang w:val="ru-RU"/>
        </w:rPr>
        <w:softHyphen/>
        <w:t>ку И-207 не предназначался для ис</w:t>
      </w:r>
      <w:r w:rsidRPr="00A3026E">
        <w:rPr>
          <w:color w:val="000000" w:themeColor="text1"/>
          <w:lang w:val="ru-RU"/>
        </w:rPr>
        <w:softHyphen/>
        <w:t>пользования в качестве истребителя сопровождения бомбардировщиков, то ему такая дальность была не нужна (6269).</w:t>
      </w:r>
    </w:p>
    <w:p w14:paraId="7B362BEA" w14:textId="77777777" w:rsidR="00C66762" w:rsidRPr="00A3026E" w:rsidRDefault="00C66762" w:rsidP="00A3026E">
      <w:pPr>
        <w:pStyle w:val="a3"/>
        <w:tabs>
          <w:tab w:val="left" w:pos="11199"/>
        </w:tabs>
        <w:rPr>
          <w:color w:val="000000" w:themeColor="text1"/>
          <w:lang w:val="ru-RU"/>
        </w:rPr>
      </w:pPr>
    </w:p>
    <w:p w14:paraId="683FAEA2" w14:textId="77777777" w:rsidR="00C66762" w:rsidRPr="00A3026E" w:rsidRDefault="00C66762" w:rsidP="00A3026E">
      <w:pPr>
        <w:pStyle w:val="a3"/>
        <w:tabs>
          <w:tab w:val="left" w:pos="11199"/>
        </w:tabs>
        <w:rPr>
          <w:color w:val="000000" w:themeColor="text1"/>
          <w:lang w:val="ru-RU"/>
        </w:rPr>
      </w:pPr>
      <w:r w:rsidRPr="00A3026E">
        <w:rPr>
          <w:color w:val="000000" w:themeColor="text1"/>
          <w:lang w:val="ru-RU"/>
        </w:rPr>
        <w:t>В октябре 1940 на И-207 № 8 М-63 было успешно закончено испытание на бомбометание с пикирования бомбами ФАБ-250, которое проходило с сентября-1940. С подвешенными под ниж</w:t>
      </w:r>
      <w:r w:rsidRPr="00A3026E">
        <w:rPr>
          <w:color w:val="000000" w:themeColor="text1"/>
          <w:lang w:val="ru-RU"/>
        </w:rPr>
        <w:softHyphen/>
        <w:t>ним крылом двумя ФАБ-250 “восьмер</w:t>
      </w:r>
      <w:r w:rsidRPr="00A3026E">
        <w:rPr>
          <w:color w:val="000000" w:themeColor="text1"/>
          <w:lang w:val="ru-RU"/>
        </w:rPr>
        <w:softHyphen/>
        <w:t>ка” показала вполне приемлемый взлет (время взлета - 16 с), хорошую устой</w:t>
      </w:r>
      <w:r w:rsidRPr="00A3026E">
        <w:rPr>
          <w:color w:val="000000" w:themeColor="text1"/>
          <w:lang w:val="ru-RU"/>
        </w:rPr>
        <w:softHyphen/>
        <w:t>чивость и управляемость в полете. Пикировал самолет с бомбами под уг</w:t>
      </w:r>
      <w:r w:rsidRPr="00A3026E">
        <w:rPr>
          <w:color w:val="000000" w:themeColor="text1"/>
          <w:lang w:val="ru-RU"/>
        </w:rPr>
        <w:softHyphen/>
        <w:t>лами до 70° устойчиво. То есть было доказано, что на базе И-207 № 8 мож</w:t>
      </w:r>
      <w:r w:rsidRPr="00A3026E">
        <w:rPr>
          <w:color w:val="000000" w:themeColor="text1"/>
          <w:lang w:val="ru-RU"/>
        </w:rPr>
        <w:softHyphen/>
        <w:t>но создать достаточно эффективный самолет поля боя, который мог успеш</w:t>
      </w:r>
      <w:r w:rsidRPr="00A3026E">
        <w:rPr>
          <w:color w:val="000000" w:themeColor="text1"/>
          <w:lang w:val="ru-RU"/>
        </w:rPr>
        <w:softHyphen/>
        <w:t>но действовать по точечным сильноза</w:t>
      </w:r>
      <w:r w:rsidRPr="00A3026E">
        <w:rPr>
          <w:color w:val="000000" w:themeColor="text1"/>
          <w:lang w:val="ru-RU"/>
        </w:rPr>
        <w:softHyphen/>
        <w:t>щищенным целям (калибр авиабомб в 250 кг обеспечивал разрушение долго</w:t>
      </w:r>
      <w:r w:rsidRPr="00A3026E">
        <w:rPr>
          <w:color w:val="000000" w:themeColor="text1"/>
          <w:lang w:val="ru-RU"/>
        </w:rPr>
        <w:softHyphen/>
        <w:t>временных оборонительных сооруже</w:t>
      </w:r>
      <w:r w:rsidRPr="00A3026E">
        <w:rPr>
          <w:color w:val="000000" w:themeColor="text1"/>
          <w:lang w:val="ru-RU"/>
        </w:rPr>
        <w:softHyphen/>
        <w:t>ний с толщиной железобетонных пе</w:t>
      </w:r>
      <w:r w:rsidRPr="00A3026E">
        <w:rPr>
          <w:color w:val="000000" w:themeColor="text1"/>
          <w:lang w:val="ru-RU"/>
        </w:rPr>
        <w:softHyphen/>
        <w:t>рекрытий до 50 см при удалении точки взрыва в 1,5-2 м). На самолете с не</w:t>
      </w:r>
      <w:r w:rsidRPr="00A3026E">
        <w:rPr>
          <w:color w:val="000000" w:themeColor="text1"/>
          <w:lang w:val="ru-RU"/>
        </w:rPr>
        <w:softHyphen/>
        <w:t>убирающимися шасси была опробова</w:t>
      </w:r>
      <w:r w:rsidRPr="00A3026E">
        <w:rPr>
          <w:color w:val="000000" w:themeColor="text1"/>
          <w:lang w:val="ru-RU"/>
        </w:rPr>
        <w:softHyphen/>
        <w:t>на подвеска под фюзеляжем бомбы ка</w:t>
      </w:r>
      <w:r w:rsidRPr="00A3026E">
        <w:rPr>
          <w:color w:val="000000" w:themeColor="text1"/>
          <w:lang w:val="ru-RU"/>
        </w:rPr>
        <w:softHyphen/>
        <w:t>либра 500 кг, эффективность действия которой по ДОТам была еще выше. Учитывая боевой опыт финской кам</w:t>
      </w:r>
      <w:r w:rsidRPr="00A3026E">
        <w:rPr>
          <w:color w:val="000000" w:themeColor="text1"/>
          <w:lang w:val="ru-RU"/>
        </w:rPr>
        <w:softHyphen/>
        <w:t>пании, такой самолет был крайне не</w:t>
      </w:r>
      <w:r w:rsidRPr="00A3026E">
        <w:rPr>
          <w:color w:val="000000" w:themeColor="text1"/>
          <w:lang w:val="ru-RU"/>
        </w:rPr>
        <w:softHyphen/>
        <w:t>обходим ВВС Красной Армии. Началь</w:t>
      </w:r>
      <w:r w:rsidRPr="00A3026E">
        <w:rPr>
          <w:color w:val="000000" w:themeColor="text1"/>
          <w:lang w:val="ru-RU"/>
        </w:rPr>
        <w:softHyphen/>
        <w:t>ник ВВС Я.В.Смушкевич обратил вни</w:t>
      </w:r>
      <w:r w:rsidRPr="00A3026E">
        <w:rPr>
          <w:color w:val="000000" w:themeColor="text1"/>
          <w:lang w:val="ru-RU"/>
        </w:rPr>
        <w:softHyphen/>
        <w:t>мание на высокие возможности, зало</w:t>
      </w:r>
      <w:r w:rsidRPr="00A3026E">
        <w:rPr>
          <w:color w:val="000000" w:themeColor="text1"/>
          <w:lang w:val="ru-RU"/>
        </w:rPr>
        <w:softHyphen/>
        <w:t>женные в конструкции И-207, и пред</w:t>
      </w:r>
      <w:r w:rsidRPr="00A3026E">
        <w:rPr>
          <w:color w:val="000000" w:themeColor="text1"/>
          <w:lang w:val="ru-RU"/>
        </w:rPr>
        <w:softHyphen/>
        <w:t>ложил всемерно форсировать работы по истребителю и одновременно прорабо</w:t>
      </w:r>
      <w:r w:rsidRPr="00A3026E">
        <w:rPr>
          <w:color w:val="000000" w:themeColor="text1"/>
          <w:lang w:val="ru-RU"/>
        </w:rPr>
        <w:softHyphen/>
        <w:t>тать вопрос о создании штурмовых ва</w:t>
      </w:r>
      <w:r w:rsidRPr="00A3026E">
        <w:rPr>
          <w:color w:val="000000" w:themeColor="text1"/>
          <w:lang w:val="ru-RU"/>
        </w:rPr>
        <w:softHyphen/>
        <w:t>риантов И-207 для использования его в качестве самолета поля боя. При этом он учитывал запасы прочности, зало</w:t>
      </w:r>
      <w:r w:rsidRPr="00A3026E">
        <w:rPr>
          <w:color w:val="000000" w:themeColor="text1"/>
          <w:lang w:val="ru-RU"/>
        </w:rPr>
        <w:softHyphen/>
        <w:t>женные в конструкции самолета, для обеспечения необходимой живучести штурмовика, кроме того, учитывался и определенный запас по летным ха</w:t>
      </w:r>
      <w:r w:rsidRPr="00A3026E">
        <w:rPr>
          <w:color w:val="000000" w:themeColor="text1"/>
          <w:lang w:val="ru-RU"/>
        </w:rPr>
        <w:softHyphen/>
        <w:t>рактеристикам. В варианте истребителя за летчиком располагалась цементированная бронеплита толщиной 8,5 мм</w:t>
      </w:r>
      <w:r w:rsidRPr="00A3026E">
        <w:rPr>
          <w:bCs/>
          <w:color w:val="000000" w:themeColor="text1"/>
          <w:lang w:val="ru-RU"/>
        </w:rPr>
        <w:t>,</w:t>
      </w:r>
      <w:r w:rsidRPr="00A3026E">
        <w:rPr>
          <w:color w:val="000000" w:themeColor="text1"/>
          <w:lang w:val="ru-RU"/>
        </w:rPr>
        <w:t xml:space="preserve"> обеспечи</w:t>
      </w:r>
      <w:r w:rsidRPr="00A3026E">
        <w:rPr>
          <w:color w:val="000000" w:themeColor="text1"/>
          <w:lang w:val="ru-RU"/>
        </w:rPr>
        <w:softHyphen/>
        <w:t>вающая эффективную защиту летчи</w:t>
      </w:r>
      <w:r w:rsidRPr="00A3026E">
        <w:rPr>
          <w:color w:val="000000" w:themeColor="text1"/>
          <w:lang w:val="ru-RU"/>
        </w:rPr>
        <w:softHyphen/>
        <w:t>ка от пуль нормального калибра сза</w:t>
      </w:r>
      <w:r w:rsidRPr="00A3026E">
        <w:rPr>
          <w:color w:val="000000" w:themeColor="text1"/>
          <w:lang w:val="ru-RU"/>
        </w:rPr>
        <w:softHyphen/>
        <w:t>ди-снизу. В штурмовом варианте пред</w:t>
      </w:r>
      <w:r w:rsidRPr="00A3026E">
        <w:rPr>
          <w:color w:val="000000" w:themeColor="text1"/>
          <w:lang w:val="ru-RU"/>
        </w:rPr>
        <w:softHyphen/>
        <w:t>полагалось использование дополни</w:t>
      </w:r>
      <w:r w:rsidRPr="00A3026E">
        <w:rPr>
          <w:color w:val="000000" w:themeColor="text1"/>
          <w:lang w:val="ru-RU"/>
        </w:rPr>
        <w:softHyphen/>
        <w:t>тельного бронирования и 2-х крыльевых пушек калибра 20-23 мм для борь</w:t>
      </w:r>
      <w:r w:rsidRPr="00A3026E">
        <w:rPr>
          <w:color w:val="000000" w:themeColor="text1"/>
          <w:lang w:val="ru-RU"/>
        </w:rPr>
        <w:softHyphen/>
        <w:t>бы с бронетанковой техникой. Компоновка самолета была такова, что при обстреле с земли спереди сни</w:t>
      </w:r>
      <w:r w:rsidRPr="00A3026E">
        <w:rPr>
          <w:color w:val="000000" w:themeColor="text1"/>
          <w:lang w:val="ru-RU"/>
        </w:rPr>
        <w:softHyphen/>
        <w:t>зу стрелковым оружием нормального калибра защита летчика достаточно эффективно могла обеспечиваться фюзеляжным протектированным бен</w:t>
      </w:r>
      <w:r w:rsidRPr="00A3026E">
        <w:rPr>
          <w:color w:val="000000" w:themeColor="text1"/>
          <w:lang w:val="ru-RU"/>
        </w:rPr>
        <w:softHyphen/>
        <w:t>зобаком, мотором воздушного охлаждения, элементами конструкции само</w:t>
      </w:r>
      <w:r w:rsidRPr="00A3026E">
        <w:rPr>
          <w:color w:val="000000" w:themeColor="text1"/>
          <w:lang w:val="ru-RU"/>
        </w:rPr>
        <w:softHyphen/>
        <w:t>лета. Из соображений допустимого сни</w:t>
      </w:r>
      <w:r w:rsidRPr="00A3026E">
        <w:rPr>
          <w:color w:val="000000" w:themeColor="text1"/>
          <w:lang w:val="ru-RU"/>
        </w:rPr>
        <w:softHyphen/>
        <w:t>жения маневренных характеристик в штурмовом варианте можно было вы</w:t>
      </w:r>
      <w:r w:rsidRPr="00A3026E">
        <w:rPr>
          <w:color w:val="000000" w:themeColor="text1"/>
          <w:lang w:val="ru-RU"/>
        </w:rPr>
        <w:softHyphen/>
        <w:t>делить 350-400 кг на дополнительное бронирование и постановку пушек, что было вполне достаточным По существу, было вполне реальным создание на базе И-207 достаточно эффективного самолета поля боя, ко</w:t>
      </w:r>
      <w:r w:rsidRPr="00A3026E">
        <w:rPr>
          <w:color w:val="000000" w:themeColor="text1"/>
          <w:lang w:val="ru-RU"/>
        </w:rPr>
        <w:softHyphen/>
        <w:t>торый мог успешно действовать как по протяженным, так и по точечным силь</w:t>
      </w:r>
      <w:r w:rsidRPr="00A3026E">
        <w:rPr>
          <w:color w:val="000000" w:themeColor="text1"/>
          <w:lang w:val="ru-RU"/>
        </w:rPr>
        <w:softHyphen/>
        <w:t>нозащищенным целям. Против инициативы Смушкевича выступил “выдающийся теоретик и практик авиации” Начальник ГУ АС КА комдив П.А.Алексеев. Без всякого ана</w:t>
      </w:r>
      <w:r w:rsidRPr="00A3026E">
        <w:rPr>
          <w:color w:val="000000" w:themeColor="text1"/>
          <w:lang w:val="ru-RU"/>
        </w:rPr>
        <w:softHyphen/>
        <w:t xml:space="preserve">лиза он настаивал на том, что “ </w:t>
      </w:r>
      <w:r w:rsidRPr="00A3026E">
        <w:rPr>
          <w:iCs/>
          <w:color w:val="000000" w:themeColor="text1"/>
          <w:lang w:val="ru-RU"/>
        </w:rPr>
        <w:t xml:space="preserve">все будет значительно хуже”. </w:t>
      </w:r>
      <w:r w:rsidRPr="00A3026E">
        <w:rPr>
          <w:color w:val="000000" w:themeColor="text1"/>
          <w:lang w:val="ru-RU"/>
        </w:rPr>
        <w:t>Был построен экземпляр самолета И-207 с мотором М-64, но развития работы по нему не получили (6269).</w:t>
      </w:r>
    </w:p>
    <w:p w14:paraId="6E1B7C27" w14:textId="77777777" w:rsidR="00C66762" w:rsidRPr="00A3026E" w:rsidRDefault="00C66762" w:rsidP="00A3026E">
      <w:pPr>
        <w:pStyle w:val="a3"/>
        <w:tabs>
          <w:tab w:val="left" w:pos="11199"/>
        </w:tabs>
        <w:rPr>
          <w:color w:val="000000" w:themeColor="text1"/>
          <w:lang w:val="ru-RU"/>
        </w:rPr>
      </w:pPr>
    </w:p>
    <w:p w14:paraId="2F76D55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ЦИАМ провел испытания в ЦАГИ одного самолета И-153, оборудованного мотором М-63 с ТК.. Результаты испытаний показали, что самолет с М-63 ТК, имея преимущества в скорости на высотах выше 6000 м, на высотах ниже 6000 м уступает самолету с М-63 без ТК (4048, 4).</w:t>
      </w:r>
    </w:p>
    <w:p w14:paraId="7CE21C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9659A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октября 1940 работу по И-180 возобновили, но в конце 1940 свернули окончательно. Есть мнение, что все сориентировались на рядный двигатель (228,133).</w:t>
      </w:r>
    </w:p>
    <w:p w14:paraId="19D8C4A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BFC40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октября 1940 по решению НКАП выпуск И-180 восстановили. Не только по войсковой серии, но и по первой и второй. Н.Н.П. писал А.С.Я. 3 ноября 1940, что основной тормоз - М-88 (129,13).</w:t>
      </w:r>
    </w:p>
    <w:p w14:paraId="07391F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работы над 10 экспериментальными и обычными, но малоперспективными истребителями были прекращены. 12 групп получили задания на разработку истребителей. По существу это был конкурс (65,6).</w:t>
      </w:r>
    </w:p>
    <w:p w14:paraId="3571CC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Видно по этому решению прекратили и серию И-180. С октября 1940 завод 21 начал подготовку к ЛаГГ-3 и в конце января 1941 появился первый серийный (129,13).</w:t>
      </w:r>
    </w:p>
    <w:p w14:paraId="69C6A3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103 было закончено в ЗОК в октябре-ноябре 1940 (61,158). Расстыковали, перевезли в Щелково, вылет - 29 января 1941 - привозили АНТ. Испытания завершились 15 мая.</w:t>
      </w:r>
    </w:p>
    <w:p w14:paraId="0482FE7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68FF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Н.Н.П. назначили ГК и директором опытного завода 51 (80,421).</w:t>
      </w:r>
    </w:p>
    <w:p w14:paraId="471B335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98E56EA" w14:textId="77777777" w:rsidR="00A44584" w:rsidRPr="00A3026E" w:rsidRDefault="00A4458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октября 1940 г. КБ Н.Н.П. полностью располагалось на новой территории – заводе № 51. В первую очередь на новую территорию, как вспоминал В.Г.Сигаев, перевели бюро проектов, и тут же ввели новые пропуска.</w:t>
      </w:r>
    </w:p>
    <w:p w14:paraId="64A950EE" w14:textId="77777777" w:rsidR="00A44584" w:rsidRPr="00A3026E" w:rsidRDefault="00A4458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смену руководства, в Наркомате авиапромышленности на КБ Поликарпо</w:t>
      </w:r>
      <w:r w:rsidRPr="00A3026E">
        <w:rPr>
          <w:rFonts w:ascii="Times New Roman" w:hAnsi="Times New Roman"/>
          <w:color w:val="000000" w:themeColor="text1"/>
          <w:sz w:val="16"/>
          <w:szCs w:val="16"/>
        </w:rPr>
        <w:softHyphen/>
        <w:t>ва смотрели недоброжелательно и строили обычные бюрократические козни. Вот типи</w:t>
      </w:r>
      <w:r w:rsidRPr="00A3026E">
        <w:rPr>
          <w:rFonts w:ascii="Times New Roman" w:hAnsi="Times New Roman"/>
          <w:color w:val="000000" w:themeColor="text1"/>
          <w:sz w:val="16"/>
          <w:szCs w:val="16"/>
        </w:rPr>
        <w:softHyphen/>
        <w:t>чный пример. С одной стороны КБ имело задания на 1940-1941 гг.: «В соответствии с планом опытного строительства на 1940-1941 гг. по скоростным одноместным истре</w:t>
      </w:r>
      <w:r w:rsidRPr="00A3026E">
        <w:rPr>
          <w:rFonts w:ascii="Times New Roman" w:hAnsi="Times New Roman"/>
          <w:color w:val="000000" w:themeColor="text1"/>
          <w:sz w:val="16"/>
          <w:szCs w:val="16"/>
        </w:rPr>
        <w:softHyphen/>
        <w:t>бителям по КБ Поликарпова планировались:</w:t>
      </w:r>
    </w:p>
    <w:p w14:paraId="4E92B977" w14:textId="77777777" w:rsidR="00A44584" w:rsidRPr="00A3026E" w:rsidRDefault="00A44584" w:rsidP="00A3026E">
      <w:pPr>
        <w:tabs>
          <w:tab w:val="left" w:pos="425"/>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серия самолёта И-180 с М-87Б с последующей заменой на М-88;</w:t>
      </w:r>
    </w:p>
    <w:p w14:paraId="6DE1DF7F" w14:textId="77777777" w:rsidR="00A44584" w:rsidRPr="00A3026E" w:rsidRDefault="00A44584" w:rsidP="00A3026E">
      <w:pPr>
        <w:tabs>
          <w:tab w:val="left" w:pos="447"/>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проектирование одномоторного истребителя с максимальной скоростью на высо</w:t>
      </w:r>
      <w:r w:rsidRPr="00A3026E">
        <w:rPr>
          <w:rFonts w:ascii="Times New Roman" w:hAnsi="Times New Roman"/>
          <w:color w:val="000000" w:themeColor="text1"/>
          <w:sz w:val="16"/>
          <w:szCs w:val="16"/>
        </w:rPr>
        <w:softHyphen/>
        <w:t>те 9-10 тыс. м 725-750 км/час с предъявлением самолётов на испытания в марте и мае 1941 г., 1 и 2 экземпляров, соответственно, а постановлением Комитета Обороны от 4 марта 1940 г. давалось задание на проектирование и постройку 5 экземпляров ис</w:t>
      </w:r>
      <w:r w:rsidRPr="00A3026E">
        <w:rPr>
          <w:rFonts w:ascii="Times New Roman" w:hAnsi="Times New Roman"/>
          <w:color w:val="000000" w:themeColor="text1"/>
          <w:sz w:val="16"/>
          <w:szCs w:val="16"/>
        </w:rPr>
        <w:softHyphen/>
        <w:t>требителей И-185, 3 — с мотором М-90 и 2 — с мотором М-71.</w:t>
      </w:r>
    </w:p>
    <w:p w14:paraId="0D48001A" w14:textId="77777777" w:rsidR="00A44584" w:rsidRPr="00A3026E" w:rsidRDefault="00A4458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 же время Начальник планово-экономического отдела НКАП Водяницкий, доклады</w:t>
      </w:r>
      <w:r w:rsidRPr="00A3026E">
        <w:rPr>
          <w:rFonts w:ascii="Times New Roman" w:hAnsi="Times New Roman"/>
          <w:color w:val="000000" w:themeColor="text1"/>
          <w:sz w:val="16"/>
          <w:szCs w:val="16"/>
        </w:rPr>
        <w:softHyphen/>
        <w:t xml:space="preserve">вая письменно зам. наркома Яковлеву 24 июля 1940 г. об ОКБ, не имеющих перспектив на </w:t>
      </w:r>
      <w:r w:rsidRPr="00A3026E">
        <w:rPr>
          <w:rFonts w:ascii="Times New Roman" w:hAnsi="Times New Roman"/>
          <w:color w:val="000000" w:themeColor="text1"/>
          <w:sz w:val="16"/>
          <w:szCs w:val="16"/>
          <w:lang w:val="en-US"/>
        </w:rPr>
        <w:t>III</w:t>
      </w:r>
      <w:r w:rsidRPr="00A3026E">
        <w:rPr>
          <w:rFonts w:ascii="Times New Roman" w:hAnsi="Times New Roman"/>
          <w:color w:val="000000" w:themeColor="text1"/>
          <w:sz w:val="16"/>
          <w:szCs w:val="16"/>
        </w:rPr>
        <w:t xml:space="preserve"> и IV кв. 1940 г., первым в списке поместил ОКБ завода № 51 Поликарпова на IV кв. (15804).</w:t>
      </w:r>
    </w:p>
    <w:p w14:paraId="1E38ADC1" w14:textId="77777777" w:rsidR="00A44584" w:rsidRPr="00A3026E" w:rsidRDefault="00A44584" w:rsidP="00A3026E">
      <w:pPr>
        <w:spacing w:after="0" w:line="240" w:lineRule="auto"/>
        <w:jc w:val="both"/>
        <w:rPr>
          <w:rFonts w:ascii="Times New Roman" w:hAnsi="Times New Roman"/>
          <w:color w:val="000000" w:themeColor="text1"/>
          <w:sz w:val="16"/>
          <w:szCs w:val="16"/>
        </w:rPr>
      </w:pPr>
    </w:p>
    <w:p w14:paraId="7F6E83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завод № 51 был частично введен в эксплуатацию:</w:t>
      </w:r>
    </w:p>
    <w:p w14:paraId="4DB5D7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Реконструируемый на основе зданий бывш. 8-го отдела ЦАГИ – основание приказ НКАП № 319с от 27 июня 1940 года.</w:t>
      </w:r>
    </w:p>
    <w:p w14:paraId="5423B0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производства – опытный завод</w:t>
      </w:r>
    </w:p>
    <w:p w14:paraId="783CDB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производства – самолетостроение</w:t>
      </w:r>
    </w:p>
    <w:p w14:paraId="51C9E9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Москва, 40, п/я 2450 (9236).</w:t>
      </w:r>
    </w:p>
    <w:p w14:paraId="4A0AB28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76F0C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октября 1940 испытывался ОКО-6бис с М-88Р и с частично бронированной кабиной. Малой оказалась вертикальная маневренность (173,31).</w:t>
      </w:r>
    </w:p>
    <w:p w14:paraId="1A4449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ОКО-6бис с одним килем был испытан в ЛИИ Ю.К.Станкевичем в первой половине октября 1940. В конце октября испытывали второй, названный Та-3 с разнесенным оперением и М-88Р (553,149).</w:t>
      </w:r>
    </w:p>
    <w:p w14:paraId="48C23C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Сотрудники НКАП в октябре 1940 ездили и в Италию (173,203).</w:t>
      </w:r>
    </w:p>
    <w:p w14:paraId="5E9533A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EAA8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завод № 22 сдал уже пять серийных СБ с М-105 (9927).</w:t>
      </w:r>
    </w:p>
    <w:p w14:paraId="7149E1C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A689C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военные, очень нуждавшиеся в самолете-торпедоносце, просили рассмотреть воз</w:t>
      </w:r>
      <w:r w:rsidRPr="00A3026E">
        <w:rPr>
          <w:rFonts w:ascii="Times New Roman" w:hAnsi="Times New Roman"/>
          <w:color w:val="000000" w:themeColor="text1"/>
          <w:sz w:val="16"/>
          <w:szCs w:val="16"/>
        </w:rPr>
        <w:softHyphen/>
        <w:t>можность установки ДВБ-102 на поплавки. Подготови</w:t>
      </w:r>
      <w:r w:rsidRPr="00A3026E">
        <w:rPr>
          <w:rFonts w:ascii="Times New Roman" w:hAnsi="Times New Roman"/>
          <w:color w:val="000000" w:themeColor="text1"/>
          <w:sz w:val="16"/>
          <w:szCs w:val="16"/>
        </w:rPr>
        <w:softHyphen/>
        <w:t>ли и соответствующий проект постановления прави</w:t>
      </w:r>
      <w:r w:rsidRPr="00A3026E">
        <w:rPr>
          <w:rFonts w:ascii="Times New Roman" w:hAnsi="Times New Roman"/>
          <w:color w:val="000000" w:themeColor="text1"/>
          <w:sz w:val="16"/>
          <w:szCs w:val="16"/>
        </w:rPr>
        <w:softHyphen/>
        <w:t>тельства, но дальше разговоров дело не пошло (11446).</w:t>
      </w:r>
    </w:p>
    <w:p w14:paraId="5A569C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7ACBF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один из октябрьских дней 1940 г. по воспоминаниям Н.З.Матюка, в помеще</w:t>
      </w:r>
      <w:r w:rsidRPr="00A3026E">
        <w:rPr>
          <w:rFonts w:ascii="Times New Roman" w:hAnsi="Times New Roman"/>
          <w:color w:val="000000" w:themeColor="text1"/>
          <w:sz w:val="16"/>
          <w:szCs w:val="16"/>
        </w:rPr>
        <w:softHyphen/>
        <w:t>ние, где кроме него находились Я.И.Селецкий и Н.И.Андрианов, вошел директор завода П.В.Демен</w:t>
      </w:r>
      <w:r w:rsidRPr="00A3026E">
        <w:rPr>
          <w:rFonts w:ascii="Times New Roman" w:hAnsi="Times New Roman"/>
          <w:color w:val="000000" w:themeColor="text1"/>
          <w:sz w:val="16"/>
          <w:szCs w:val="16"/>
        </w:rPr>
        <w:softHyphen/>
        <w:t>тьев. Было около половины десятого:</w:t>
      </w:r>
    </w:p>
    <w:p w14:paraId="49325D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«Если вы не предложите, как довести скоростную дальность И—200 до 1000 км, то машину могут снять с серийного производства», — без лишних слов обра</w:t>
      </w:r>
      <w:r w:rsidRPr="00A3026E">
        <w:rPr>
          <w:rFonts w:ascii="Times New Roman" w:hAnsi="Times New Roman"/>
          <w:color w:val="000000" w:themeColor="text1"/>
          <w:sz w:val="16"/>
          <w:szCs w:val="16"/>
        </w:rPr>
        <w:softHyphen/>
        <w:t>тился Дементьев к присутствующим.</w:t>
      </w:r>
    </w:p>
    <w:p w14:paraId="2C459A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А когда требуется это решение? — спросил кто-то из нас.</w:t>
      </w:r>
    </w:p>
    <w:p w14:paraId="053E50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Завтра к утру, — ответил директор.</w:t>
      </w:r>
    </w:p>
    <w:p w14:paraId="42B52C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этого Петр Васильевич вежливо со всеми попрощался и вышел.</w:t>
      </w:r>
    </w:p>
    <w:p w14:paraId="3B81FE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Очевидно, что без размещения дополнительного топливного бака увеличить дальность невозможно. В то же время, серьезные переделки конструкции на</w:t>
      </w:r>
      <w:r w:rsidRPr="00A3026E">
        <w:rPr>
          <w:rFonts w:ascii="Times New Roman" w:hAnsi="Times New Roman"/>
          <w:color w:val="000000" w:themeColor="text1"/>
          <w:sz w:val="16"/>
          <w:szCs w:val="16"/>
        </w:rPr>
        <w:softHyphen/>
        <w:t>долго задержали бы серийное производство. Первое впечатление: выполнить требование директора (или тех, кто подготовил подобное решение) нельзя. И все же к утру удалось «затолкать» необычной формы бен</w:t>
      </w:r>
      <w:r w:rsidRPr="00A3026E">
        <w:rPr>
          <w:rFonts w:ascii="Times New Roman" w:hAnsi="Times New Roman"/>
          <w:color w:val="000000" w:themeColor="text1"/>
          <w:sz w:val="16"/>
          <w:szCs w:val="16"/>
        </w:rPr>
        <w:softHyphen/>
        <w:t>зобак в фюзеляж под кабину летчика путем неболь</w:t>
      </w:r>
      <w:r w:rsidRPr="00A3026E">
        <w:rPr>
          <w:rFonts w:ascii="Times New Roman" w:hAnsi="Times New Roman"/>
          <w:color w:val="000000" w:themeColor="text1"/>
          <w:sz w:val="16"/>
          <w:szCs w:val="16"/>
        </w:rPr>
        <w:softHyphen/>
        <w:t>ших перемещений водорадиатора и агрегатов систе</w:t>
      </w:r>
      <w:r w:rsidRPr="00A3026E">
        <w:rPr>
          <w:rFonts w:ascii="Times New Roman" w:hAnsi="Times New Roman"/>
          <w:color w:val="000000" w:themeColor="text1"/>
          <w:sz w:val="16"/>
          <w:szCs w:val="16"/>
        </w:rPr>
        <w:softHyphen/>
        <w:t>мы управления самолетом» (9984).</w:t>
      </w:r>
    </w:p>
    <w:p w14:paraId="051490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0F20A63"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lastRenderedPageBreak/>
        <w:t>В октябре 1940 года отдел изобретений завода № 1 провёл лётные испытания самолёта И-153 с воздушно-реактивными двигателями конструкции инженера Меркулова И.А. Воздушно-реактивные двигатели были установлены на самолёте в качестве дополнительных моторов под нижними плоскостями и укреплены на существующих бомбовых балках. Вес двух дополнительных моторов составил 60 кг.</w:t>
      </w:r>
    </w:p>
    <w:p w14:paraId="608534F4"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Питание горючим дополнительные моторы получали из того же бензобака, что и основной М-62. Управление дополнительными моторами осуществлялось одной ручкой, установленной в кабине пилота.</w:t>
      </w:r>
    </w:p>
    <w:p w14:paraId="714D6F4C"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Испытание самолёта И-153 производил лётчик Логинов П.Б. на Центральном аэродроме им. Фрунзе. Программа испытаний состояла из 20 полётов, предусматривающих проверку прочности самолёта с дополнительными моторами, испытания работы дополнительных моторов и определения прироста максимальных скоростей.</w:t>
      </w:r>
    </w:p>
    <w:p w14:paraId="42B3A92D"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Лётные испытания позволили полностью установить факт эффективной работы воздушно-ракетных двигателей и увеличения благодаря их действию максимальной скорости полёта.</w:t>
      </w:r>
    </w:p>
    <w:p w14:paraId="016DF2DA"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Испытанные воздушно-ракетные двигатели обладают способностью работать на любом сорте авиационного бензина…Долговечность двигателей проверена продолжительными испытаниями на земле и в полёте.</w:t>
      </w:r>
    </w:p>
    <w:p w14:paraId="720A3DF4" w14:textId="77777777" w:rsidR="0076621F" w:rsidRPr="00A3026E" w:rsidRDefault="0076621F" w:rsidP="00A3026E">
      <w:pPr>
        <w:spacing w:after="0" w:line="240" w:lineRule="auto"/>
        <w:jc w:val="both"/>
        <w:rPr>
          <w:rFonts w:ascii="Times New Roman" w:hAnsi="Times New Roman"/>
          <w:color w:val="000000" w:themeColor="text1"/>
          <w:sz w:val="16"/>
          <w:szCs w:val="16"/>
        </w:rPr>
      </w:pPr>
      <w:r w:rsidRPr="00A3026E">
        <w:rPr>
          <w:rFonts w:ascii="Times New Roman" w:eastAsia="Times New Roman" w:hAnsi="Times New Roman"/>
          <w:color w:val="000000" w:themeColor="text1"/>
          <w:sz w:val="16"/>
          <w:szCs w:val="16"/>
          <w:lang w:eastAsia="ru-RU"/>
        </w:rPr>
        <w:t xml:space="preserve">Лётные испытания установили, что самолёт И-153 при полёте на высоте 2 тыс. метров при работе воздушно-ракетных двигателей увеличивает свою максимальную скорость с 389 км/час до 440 км/час, т. е. увеличивает максимальную скорость полёта на 51 км/час </w:t>
      </w:r>
      <w:hyperlink r:id="rId58" w:history="1">
        <w:r w:rsidRPr="00A3026E">
          <w:rPr>
            <w:rFonts w:ascii="Times New Roman" w:eastAsia="Times New Roman" w:hAnsi="Times New Roman"/>
            <w:color w:val="000000" w:themeColor="text1"/>
            <w:sz w:val="16"/>
            <w:szCs w:val="16"/>
            <w:lang w:eastAsia="ru-RU"/>
          </w:rPr>
          <w:t>[329]</w:t>
        </w:r>
      </w:hyperlink>
      <w:r w:rsidRPr="00A3026E">
        <w:rPr>
          <w:rFonts w:ascii="Times New Roman" w:hAnsi="Times New Roman"/>
          <w:color w:val="000000" w:themeColor="text1"/>
          <w:sz w:val="16"/>
          <w:szCs w:val="16"/>
        </w:rPr>
        <w:t>.</w:t>
      </w:r>
    </w:p>
    <w:p w14:paraId="0DF7B2A8"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Казалось бы, всё идёт хорошо — чем быстрее самолёт, тем больше прирост скорости от «дополнительных моторов». Но проблема была в том, что подвешенные под крылом ПВРД создавали немалое аэродинамическое сопротивление. В результате скорость истребителя после установки на него ДМ-4 снижалась на 40 км/ч, а включение этих двигателей позволяло увеличить её всего на 10 км/ч по сравнению с Vмакс обычного И-153. Этот недостаток подтвердился позднее при испытаниях истребителя Як-7Б с двумя ДМ-4 — «чистый» прирост скорости составил всего 19 км/ч </w:t>
      </w:r>
      <w:hyperlink r:id="rId59" w:history="1">
        <w:r w:rsidRPr="00A3026E">
          <w:rPr>
            <w:rFonts w:ascii="Times New Roman" w:eastAsia="Times New Roman" w:hAnsi="Times New Roman"/>
            <w:color w:val="000000" w:themeColor="text1"/>
            <w:sz w:val="16"/>
            <w:szCs w:val="16"/>
            <w:lang w:eastAsia="ru-RU"/>
          </w:rPr>
          <w:t>[330]</w:t>
        </w:r>
      </w:hyperlink>
      <w:r w:rsidRPr="00A3026E">
        <w:rPr>
          <w:rFonts w:ascii="Times New Roman" w:eastAsia="Times New Roman" w:hAnsi="Times New Roman"/>
          <w:color w:val="000000" w:themeColor="text1"/>
          <w:sz w:val="16"/>
          <w:szCs w:val="16"/>
          <w:lang w:eastAsia="ru-RU"/>
        </w:rPr>
        <w:t xml:space="preserve"> (17489).</w:t>
      </w:r>
    </w:p>
    <w:p w14:paraId="728D7D2B"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p>
    <w:p w14:paraId="3907C5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октябрю 1940 г. был подготовлен про</w:t>
      </w:r>
      <w:r w:rsidRPr="00A3026E">
        <w:rPr>
          <w:rFonts w:ascii="Times New Roman" w:hAnsi="Times New Roman"/>
          <w:color w:val="000000" w:themeColor="text1"/>
          <w:sz w:val="16"/>
          <w:szCs w:val="16"/>
        </w:rPr>
        <w:softHyphen/>
        <w:t>ект двухместного истребителя ДИТ-185 М-90. Самолет предназначался для обучения и тренировки летчиков И-16, И-180, И-185. При рассмотрении проекта признавалось, что уже есть двух</w:t>
      </w:r>
      <w:r w:rsidRPr="00A3026E">
        <w:rPr>
          <w:rFonts w:ascii="Times New Roman" w:hAnsi="Times New Roman"/>
          <w:color w:val="000000" w:themeColor="text1"/>
          <w:sz w:val="16"/>
          <w:szCs w:val="16"/>
        </w:rPr>
        <w:softHyphen/>
        <w:t>местный истребитель ДИТ-26 (УТИ-26) на базе яковлевского истребителя И-26 ( Як-1 с декаб</w:t>
      </w:r>
      <w:r w:rsidRPr="00A3026E">
        <w:rPr>
          <w:rFonts w:ascii="Times New Roman" w:hAnsi="Times New Roman"/>
          <w:color w:val="000000" w:themeColor="text1"/>
          <w:sz w:val="16"/>
          <w:szCs w:val="16"/>
        </w:rPr>
        <w:softHyphen/>
        <w:t>ря 1940 г.). Поэтому вопрос о целесообразнос</w:t>
      </w:r>
      <w:r w:rsidRPr="00A3026E">
        <w:rPr>
          <w:rFonts w:ascii="Times New Roman" w:hAnsi="Times New Roman"/>
          <w:color w:val="000000" w:themeColor="text1"/>
          <w:sz w:val="16"/>
          <w:szCs w:val="16"/>
        </w:rPr>
        <w:softHyphen/>
        <w:t>ти постройки ДИТ-185 отложили до появления серийных И-185 (9979).</w:t>
      </w:r>
    </w:p>
    <w:p w14:paraId="7A40A6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D3CBC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несмотря на запрет, так как обстановка была еще неясной, шли работы по второй и третьей сериям И-180. Общий задел по деталям готовился для сотни машин. Были про</w:t>
      </w:r>
      <w:r w:rsidRPr="00A3026E">
        <w:rPr>
          <w:rFonts w:ascii="Times New Roman" w:hAnsi="Times New Roman"/>
          <w:color w:val="000000" w:themeColor="text1"/>
          <w:sz w:val="16"/>
          <w:szCs w:val="16"/>
        </w:rPr>
        <w:softHyphen/>
        <w:t>ведены значительные работы по изготовлению технологической оснастки. Заводы-смежники имели заказы на материалы и полуфабрикаты, ориентируясь на И-180. Днепропетровский за</w:t>
      </w:r>
      <w:r w:rsidRPr="00A3026E">
        <w:rPr>
          <w:rFonts w:ascii="Times New Roman" w:hAnsi="Times New Roman"/>
          <w:color w:val="000000" w:themeColor="text1"/>
          <w:sz w:val="16"/>
          <w:szCs w:val="16"/>
        </w:rPr>
        <w:softHyphen/>
        <w:t>вод готовил прокат хромансилевых тавровых профилей, московский «Серп и Молот» - лис</w:t>
      </w:r>
      <w:r w:rsidRPr="00A3026E">
        <w:rPr>
          <w:rFonts w:ascii="Times New Roman" w:hAnsi="Times New Roman"/>
          <w:color w:val="000000" w:themeColor="text1"/>
          <w:sz w:val="16"/>
          <w:szCs w:val="16"/>
        </w:rPr>
        <w:softHyphen/>
        <w:t>товой прокат стали 25ХГСА (9979).</w:t>
      </w:r>
    </w:p>
    <w:p w14:paraId="3E06F1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B63E1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октябре 1940 конструкторская бригада горьковского завода закончила доработку И-180 </w:t>
      </w:r>
      <w:r w:rsidRPr="00A3026E">
        <w:rPr>
          <w:rFonts w:ascii="Times New Roman" w:hAnsi="Times New Roman"/>
          <w:iCs/>
          <w:color w:val="000000" w:themeColor="text1"/>
          <w:sz w:val="16"/>
          <w:szCs w:val="16"/>
        </w:rPr>
        <w:t xml:space="preserve">- </w:t>
      </w:r>
      <w:r w:rsidRPr="00A3026E">
        <w:rPr>
          <w:rFonts w:ascii="Times New Roman" w:hAnsi="Times New Roman"/>
          <w:color w:val="000000" w:themeColor="text1"/>
          <w:sz w:val="16"/>
          <w:szCs w:val="16"/>
        </w:rPr>
        <w:t>эталона для серийного производства на 1941 год. Этот самолет, известный также как И-180 Е-5 имел более переднюю центровку, 21,8% САХ (вместо 24% у прежних машин) за счет пе</w:t>
      </w:r>
      <w:r w:rsidRPr="00A3026E">
        <w:rPr>
          <w:rFonts w:ascii="Times New Roman" w:hAnsi="Times New Roman"/>
          <w:color w:val="000000" w:themeColor="text1"/>
          <w:sz w:val="16"/>
          <w:szCs w:val="16"/>
        </w:rPr>
        <w:softHyphen/>
        <w:t>рекомпоновки одностоечного шасси и слегка отогнутых назад консолей крыла. Площадь кры</w:t>
      </w:r>
      <w:r w:rsidRPr="00A3026E">
        <w:rPr>
          <w:rFonts w:ascii="Times New Roman" w:hAnsi="Times New Roman"/>
          <w:color w:val="000000" w:themeColor="text1"/>
          <w:sz w:val="16"/>
          <w:szCs w:val="16"/>
        </w:rPr>
        <w:softHyphen/>
        <w:t>ла несколько увеличилась и составила 16,3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Кабина пилота закрывалась сдвигаемым фона</w:t>
      </w:r>
      <w:r w:rsidRPr="00A3026E">
        <w:rPr>
          <w:rFonts w:ascii="Times New Roman" w:hAnsi="Times New Roman"/>
          <w:color w:val="000000" w:themeColor="text1"/>
          <w:sz w:val="16"/>
          <w:szCs w:val="16"/>
        </w:rPr>
        <w:softHyphen/>
        <w:t>рем, лобовая часть козырька включала прозрач</w:t>
      </w:r>
      <w:r w:rsidRPr="00A3026E">
        <w:rPr>
          <w:rFonts w:ascii="Times New Roman" w:hAnsi="Times New Roman"/>
          <w:color w:val="000000" w:themeColor="text1"/>
          <w:sz w:val="16"/>
          <w:szCs w:val="16"/>
        </w:rPr>
        <w:softHyphen/>
        <w:t>ную броню. В конструкцию был внесен ряд уси</w:t>
      </w:r>
      <w:r w:rsidRPr="00A3026E">
        <w:rPr>
          <w:rFonts w:ascii="Times New Roman" w:hAnsi="Times New Roman"/>
          <w:color w:val="000000" w:themeColor="text1"/>
          <w:sz w:val="16"/>
          <w:szCs w:val="16"/>
        </w:rPr>
        <w:softHyphen/>
        <w:t>лений, на крыле появилась посадочная фара, костыльная стойка была оборудована колесом диаметром 300 мм. Все специалисты, причас</w:t>
      </w:r>
      <w:r w:rsidRPr="00A3026E">
        <w:rPr>
          <w:rFonts w:ascii="Times New Roman" w:hAnsi="Times New Roman"/>
          <w:color w:val="000000" w:themeColor="text1"/>
          <w:sz w:val="16"/>
          <w:szCs w:val="16"/>
        </w:rPr>
        <w:softHyphen/>
        <w:t>тные к судьбе И-180, защищали его до после</w:t>
      </w:r>
      <w:r w:rsidRPr="00A3026E">
        <w:rPr>
          <w:rFonts w:ascii="Times New Roman" w:hAnsi="Times New Roman"/>
          <w:color w:val="000000" w:themeColor="text1"/>
          <w:sz w:val="16"/>
          <w:szCs w:val="16"/>
        </w:rPr>
        <w:softHyphen/>
        <w:t>днего, они вполне обоснованно считали, что через несколько месяцев можно будет обеспе</w:t>
      </w:r>
      <w:r w:rsidRPr="00A3026E">
        <w:rPr>
          <w:rFonts w:ascii="Times New Roman" w:hAnsi="Times New Roman"/>
          <w:color w:val="000000" w:themeColor="text1"/>
          <w:sz w:val="16"/>
          <w:szCs w:val="16"/>
        </w:rPr>
        <w:softHyphen/>
        <w:t>чить выпуск 3-4 таких истребителей ежеднев</w:t>
      </w:r>
      <w:r w:rsidRPr="00A3026E">
        <w:rPr>
          <w:rFonts w:ascii="Times New Roman" w:hAnsi="Times New Roman"/>
          <w:color w:val="000000" w:themeColor="text1"/>
          <w:sz w:val="16"/>
          <w:szCs w:val="16"/>
        </w:rPr>
        <w:softHyphen/>
        <w:t>но. Боролся за И-180 и Главный конструктор. Поликарпов неоднократно обращался в прави</w:t>
      </w:r>
      <w:r w:rsidRPr="00A3026E">
        <w:rPr>
          <w:rFonts w:ascii="Times New Roman" w:hAnsi="Times New Roman"/>
          <w:color w:val="000000" w:themeColor="text1"/>
          <w:sz w:val="16"/>
          <w:szCs w:val="16"/>
        </w:rPr>
        <w:softHyphen/>
        <w:t>тельство с просьбой восстановить производ</w:t>
      </w:r>
      <w:r w:rsidRPr="00A3026E">
        <w:rPr>
          <w:rFonts w:ascii="Times New Roman" w:hAnsi="Times New Roman"/>
          <w:color w:val="000000" w:themeColor="text1"/>
          <w:sz w:val="16"/>
          <w:szCs w:val="16"/>
        </w:rPr>
        <w:softHyphen/>
        <w:t>ство самолета, однако положительного ответа не последовало (9979).</w:t>
      </w:r>
    </w:p>
    <w:p w14:paraId="31D867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5FD0C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на заводах по причине дефектов силовой установки скопилось значительное количество не принятых истребителей с М-63 - 628 экземпляров (504 экз. на заводе №21 и 124 экз. на заводе №153). В качестве временной меры для повышения надежности работы предлагалось уменьшить мощность М-63 до мощности М-62 за счет снижения оборотов и наддува.</w:t>
      </w:r>
    </w:p>
    <w:p w14:paraId="67C876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 эксплуатации двигателей в войсках свидетельствовал, что за период боевых действий на Северо-западном фронте (это три с небольшим месяца советско-финляндской войны) вышло из строя 48 М-62 на И-16 и И-153. В период апреля-июня 1940 г. из строя вышло 94 М-62 и 44 М-63. Общее число неисправных М-62 и М-63 в начале июля 1940 г. составило 205 экземпляров. По состоянию на 1 июля 1940 г. в ВВС числилось 1821 И-153 М-62 и 940 И-16 М-62 и М-63. В течение 10 месяцев 1940 г. в строевых частях Красной Армии произошло 4 катастрофы и 10 аварий самолетов И-16 и И-153 по причине отказа М-62 и М-63.</w:t>
      </w:r>
    </w:p>
    <w:p w14:paraId="10867F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Постепенно пришло понимание, что внедрение новых двигателей при недостаточном их качестве и надежности оказалось поспешным. Целесообразность установки М-62 в 1940 г. начала подвергаться сомнению практически во всех инстанциях. Об этом свидетельствует обширная переписка Смушкснича, Рычагова, Тимошенко. Ворошилова, в которой они соглашались, что продолжать замену двигателей нецелесообразно. В результате, постановлением КО от 11 октября 1940 г. все работы по переоборудованию И-16 с М-25А и М-25В на М-62 были прекращены (12015).</w:t>
      </w:r>
    </w:p>
    <w:p w14:paraId="12D01D6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503AD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второй экземпляр И-21 вышел на заводские испытания. Они показали, что он обладает в основном теми же недостатками, что и первый. Требо</w:t>
      </w:r>
      <w:r w:rsidRPr="00A3026E">
        <w:rPr>
          <w:rFonts w:ascii="Times New Roman" w:hAnsi="Times New Roman"/>
          <w:color w:val="000000" w:themeColor="text1"/>
          <w:sz w:val="16"/>
          <w:szCs w:val="16"/>
        </w:rPr>
        <w:softHyphen/>
        <w:t>валась серьезная переработка конструкции крыла. Не</w:t>
      </w:r>
      <w:r w:rsidRPr="00A3026E">
        <w:rPr>
          <w:rFonts w:ascii="Times New Roman" w:hAnsi="Times New Roman"/>
          <w:color w:val="000000" w:themeColor="text1"/>
          <w:sz w:val="16"/>
          <w:szCs w:val="16"/>
        </w:rPr>
        <w:softHyphen/>
        <w:t>смотря на противодействие директора завода №21 В.П.Воронина, в октябре приняли решение прекратить подготовку к серийному выпуску И-21. Наркомат предложил заводу №21 рассмотреть во</w:t>
      </w:r>
      <w:r w:rsidRPr="00A3026E">
        <w:rPr>
          <w:rFonts w:ascii="Times New Roman" w:hAnsi="Times New Roman"/>
          <w:color w:val="000000" w:themeColor="text1"/>
          <w:sz w:val="16"/>
          <w:szCs w:val="16"/>
        </w:rPr>
        <w:softHyphen/>
        <w:t>прос о возможности производства истребителей МиГ-3. Горячим сторонником этой идеи был А.С.Яковлев, так как она позволяла вновь ориентировать завод № 1 на производство самолетов его «фирмы». Однако против выступили: главный конструктор А.И.Микоян (он хо</w:t>
      </w:r>
      <w:r w:rsidRPr="00A3026E">
        <w:rPr>
          <w:rFonts w:ascii="Times New Roman" w:hAnsi="Times New Roman"/>
          <w:color w:val="000000" w:themeColor="text1"/>
          <w:sz w:val="16"/>
          <w:szCs w:val="16"/>
        </w:rPr>
        <w:softHyphen/>
        <w:t>рошо знал историю постройки И-180), директор завода № 1 П.В.Дементьев (перепрофилирование производства займет много времени), руководители ВВС (война не за горами, необходимо больше современных истребите</w:t>
      </w:r>
      <w:r w:rsidRPr="00A3026E">
        <w:rPr>
          <w:rFonts w:ascii="Times New Roman" w:hAnsi="Times New Roman"/>
          <w:color w:val="000000" w:themeColor="text1"/>
          <w:sz w:val="16"/>
          <w:szCs w:val="16"/>
        </w:rPr>
        <w:softHyphen/>
        <w:t>лей). В итоге вновь решили возобновить производство И-180 на заводе №21. Следует отметить двойственность позиции наркомата: указанное выше решение не под</w:t>
      </w:r>
      <w:r w:rsidRPr="00A3026E">
        <w:rPr>
          <w:rFonts w:ascii="Times New Roman" w:hAnsi="Times New Roman"/>
          <w:color w:val="000000" w:themeColor="text1"/>
          <w:sz w:val="16"/>
          <w:szCs w:val="16"/>
        </w:rPr>
        <w:softHyphen/>
        <w:t>креплялось соответствующей организацией финанси</w:t>
      </w:r>
      <w:r w:rsidRPr="00A3026E">
        <w:rPr>
          <w:rFonts w:ascii="Times New Roman" w:hAnsi="Times New Roman"/>
          <w:color w:val="000000" w:themeColor="text1"/>
          <w:sz w:val="16"/>
          <w:szCs w:val="16"/>
        </w:rPr>
        <w:softHyphen/>
        <w:t>рования и материально-технического снабжения. К этому времени с положительным результатом за</w:t>
      </w:r>
      <w:r w:rsidRPr="00A3026E">
        <w:rPr>
          <w:rFonts w:ascii="Times New Roman" w:hAnsi="Times New Roman"/>
          <w:color w:val="000000" w:themeColor="text1"/>
          <w:sz w:val="16"/>
          <w:szCs w:val="16"/>
        </w:rPr>
        <w:softHyphen/>
        <w:t>вершились заводские испытания М-88 и ожидалось, что после завершения государственных производство мото</w:t>
      </w:r>
      <w:r w:rsidRPr="00A3026E">
        <w:rPr>
          <w:rFonts w:ascii="Times New Roman" w:hAnsi="Times New Roman"/>
          <w:color w:val="000000" w:themeColor="text1"/>
          <w:sz w:val="16"/>
          <w:szCs w:val="16"/>
        </w:rPr>
        <w:softHyphen/>
        <w:t>ров будет восстановлено (10667).</w:t>
      </w:r>
    </w:p>
    <w:p w14:paraId="092458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27449DF" w14:textId="77777777" w:rsidR="00E96871" w:rsidRPr="00A3026E" w:rsidRDefault="00E9687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начались государственные испытания истребителя И-21. Разработка этого самолета началась под руководством М. М. Пашинина в январе 1940 г., почти на полгода позже, чем истребителей И-26 и И-301. Впервые в отечественном самолетостроении использовали симметричные безмоментные профили крыла. Это позволяло при сохранении прочности уменьшить вес крыла и хвостовой части фюзеляжа, но требовало решения ряда проблем по обеспечению устойчивости и управляемости. Проблемы удалось решить только на втором опытном экземпляре, выпущенном в январе 1941 г. Несмотря на то, что при изготовлении самолета планировалось максимально использовать производственную оснастку истребителя И-16, в серийное производство его на запустили, самолет опоздал (19727).</w:t>
      </w:r>
    </w:p>
    <w:p w14:paraId="5242DEAE" w14:textId="77777777" w:rsidR="00E96871" w:rsidRPr="00A3026E" w:rsidRDefault="00E96871" w:rsidP="00A3026E">
      <w:pPr>
        <w:spacing w:after="0" w:line="240" w:lineRule="auto"/>
        <w:jc w:val="both"/>
        <w:rPr>
          <w:rFonts w:ascii="Times New Roman" w:hAnsi="Times New Roman"/>
          <w:color w:val="000000" w:themeColor="text1"/>
          <w:sz w:val="16"/>
          <w:szCs w:val="16"/>
        </w:rPr>
      </w:pPr>
    </w:p>
    <w:p w14:paraId="6A659DEA" w14:textId="77777777" w:rsidR="00A44584" w:rsidRPr="00A3026E" w:rsidRDefault="00A4458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все оставшиеся ИП-1, общим количеством 21 экземпляр были списаны как пришедшие в негодность (15742).</w:t>
      </w:r>
    </w:p>
    <w:p w14:paraId="5767F8A4" w14:textId="77777777" w:rsidR="00A44584" w:rsidRPr="00A3026E" w:rsidRDefault="00A44584" w:rsidP="00A3026E">
      <w:pPr>
        <w:spacing w:after="0" w:line="240" w:lineRule="auto"/>
        <w:jc w:val="both"/>
        <w:rPr>
          <w:rFonts w:ascii="Times New Roman" w:hAnsi="Times New Roman"/>
          <w:color w:val="000000" w:themeColor="text1"/>
          <w:sz w:val="16"/>
          <w:szCs w:val="16"/>
        </w:rPr>
      </w:pPr>
    </w:p>
    <w:p w14:paraId="4ABA95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испытывали И-21 М.М.Пашинина под М-107. Оказался хорошим, но двигателя не было (173,17).</w:t>
      </w:r>
    </w:p>
    <w:p w14:paraId="72FBB04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CA593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построил второй И-21 М.М.Пашинина (129,8).</w:t>
      </w:r>
    </w:p>
    <w:p w14:paraId="3724897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FBACA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п П.Н.Шустов поднял в воздух первый серийный Як-1 292 завода (65,45).</w:t>
      </w:r>
    </w:p>
    <w:p w14:paraId="0C07325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2260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закончилась доводка 11 машин Як-1 первой войсковой серии и они проходили войсковые испытания на аэродроме в Кубинке в 11 иап до ноября 1940 (65,42).</w:t>
      </w:r>
    </w:p>
    <w:p w14:paraId="40D4AAF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9AF5C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октября по ноябрь 1940 г. включительно в Кубинке в 11-м истребительном авиаполку (иап) проходили войсковые испытания первых десяти И-26, выпущенных на заводе №301. Из двух других самолетов серии один не был облетан из- за аварии, а другой забракован по нивелировке - при испытаниях самолет сильно кренило. Для устранения этого явления завод наклепал на правый элерон пластину- компенсатор, без согласования доработки с Главным конструктором. По приказу наркома авиапромышленности № 518 от 2 октября 1940 г. о соблюдении технологической дисциплины И-26. выполненный с отступлением от чертежей, военная приемка не приняла. Самолет передали в НИИ ВВС КА для составления заключения о возможном его использовании.</w:t>
      </w:r>
    </w:p>
    <w:p w14:paraId="176B8A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Проверить самолет в полном объеме на готовность к боевым действиям не удалось из-за сокращения программы государственных испытаний, и в связи с не отлаженным и не пристрелянным вооружением на всех машинах. Это не удивительно, потому что к 28 сентября завод получил всего семь мотор- пушек и еще шесть до конца месяца, которые успели только смонтировать на самолеты к началу войсковых испытаний. Самолеты первых серий завода № 301 строились по чертежам И-26-1 с многочисленными изменениями, вносимыми по ходу испытательных полетов второго и третьего экземпляров. Поэтому войсковые испытания подтвердили ряд дефектов, выявленных на госиспытаниях, и обнажили немалое количество новых, связанных с качеством изготовления. По изданному директором завода № 30I </w:t>
      </w:r>
      <w:r w:rsidRPr="00A3026E">
        <w:rPr>
          <w:rFonts w:ascii="Times New Roman" w:hAnsi="Times New Roman"/>
          <w:color w:val="000000" w:themeColor="text1"/>
          <w:sz w:val="16"/>
          <w:szCs w:val="16"/>
        </w:rPr>
        <w:lastRenderedPageBreak/>
        <w:t>приказу некоторые рабочие завода из-за допущенного брака получили в зарплату в сентябре всего 6-8 рублей. По материалам испытаний в ноябре произошла вторая доработка крыла (расширение вырезов куполов шасси) и щитков по первым трем сериям на заводе №301.</w:t>
      </w:r>
    </w:p>
    <w:p w14:paraId="13A2F1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имеющиеся конструктивные и производственные недостатки войсковые испытания И-26 прошел удовлетворительно. Они показали, что самолет обладает высокими летно-тактическими качествами. По технике пилотирования на посадке, пилотаже, в облаках и ночью он оказался значительно проще находящихся на вооружении частей ВВС КА истребителей И-15 и И-16. Летный состав, освоивший И-16, без труда переучивался на новый тип самолета и вылетал самостоятельно даже без вывозных полетов на УТИ-26 (так первоначально назывался учебно-тренировочный вариант Як-1) (12048).</w:t>
      </w:r>
    </w:p>
    <w:p w14:paraId="6D0522C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91353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завершились испытания второго опытного экземпляра истребителя И-301, который под маркой ЛаГГ-3 был принят для серийного производства на ленинградском авиационном заводе № 23 (10667).</w:t>
      </w:r>
    </w:p>
    <w:p w14:paraId="75746C9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E77B2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Сухой ознакомил специалистов НИИ ВВС с эскизным проектом скоростного истребителя повышенной высотности (по схеме напоминающим американскую «Аэрокобру») с более мощным мотором М-120, удлиненным валом и турбокомпрессорами. По конструкции самолет был цельнометаллическим. Схема низкопланная. Носовая часть фюзеляжа представляла собой ферму из хромансилевых труб с легкосъем-ными капотами из электрона и дюраля. Хвостовая часть выполнялась в виде дюралевого монокока.</w:t>
      </w:r>
    </w:p>
    <w:p w14:paraId="20FA6A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размещался за кабиной летчика - в фермен-ной части фюзеляжа. Радиаторы находились за мотором внутри фюзеляжа. Забор охлаждающего воздуха производился снизу фюзеляжа, а выход - вверху перед килем, Два бензобака с общим весом топлива 650 кг размещались в центроплане. Кроме того, предусматривалось использование и двух подвесных сбрасываемых 150-кг бензобаков.</w:t>
      </w:r>
    </w:p>
    <w:p w14:paraId="41D071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 трехколесное с носовым колесом. Основные колеса убирались в крылья. Носовое колесо убиралось назад по полету. Снизу фюзеляжа предусматривался специальный киль, выполняющий при необходимости и роль костыля - на случай посадки с опущенным хвостом.</w:t>
      </w:r>
    </w:p>
    <w:p w14:paraId="74A1AF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Хвостовое оперение металлическое. Обшивка рулей полотняная.</w:t>
      </w:r>
    </w:p>
    <w:p w14:paraId="79D4BE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Характерным было мощное стрелково-пушечное вооружение. Оно включало в себя 23-мм пушку с боезапасом 100 снарядов, стреляющую через полый вал редуктора мотора; два 12,7-мм синхронных пулемета БС конструкции М.Е.Березина с боезапасом 400 патронов. Вместо пулеметов БС могли устанавливаться две пулемета ШКAC (конструкции Б.Г. Шпитального, И.А. Комарницкого и С.В. Владимирова) с боезапасом 2000 патронов.</w:t>
      </w:r>
    </w:p>
    <w:p w14:paraId="719FC1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Взлетный вес самолета составлял 3295 кг (по оценке НИИ ВВС вес равнялся 3425 кг) В эскизном проекте, посланном в НКАП, нормальный взлетный вес был указан 3557 кг., а перегрузочный - 3900 кг. Площадь крыла была равна 20 м2; удельная нагрузка на крыло при взлетном весе 3500 кг - 175 кг/м2.</w:t>
      </w:r>
    </w:p>
    <w:p w14:paraId="18C2C8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Благодаря мощному мотору взлетной мощностью 1800 л.с. (на расчетной высоте 10000 метров - 1650 л.с.) и высокой тяговооруженности (удельная нагрузка, отнесенная к мощности мотора на расчетной высоте - 2,18 кг/л.с., к взлетной мощности - 1,90 кг/л.с., удельная мощность, отнесенная к площади крыла, соответственно, 82,5 и 90,0 л.с./м2) самолет должен был обладать весьма высокими летными данными.</w:t>
      </w:r>
    </w:p>
    <w:p w14:paraId="03A4A2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Предполагалась максимальная скорость у земли 540-550 км/ч; на расчетной высоте 10000 метров - 700-730 км/ ч (по оценке НИИ ВВС - даже более 730-740 км/ч).</w:t>
      </w:r>
    </w:p>
    <w:p w14:paraId="5DE952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метров по эскизному проекту составляло 3,8 минут. Почему-то специалисты НИИ ВВС посчитали, что оно составит 7,5 минут. Опыт испытаний построенных позднее самолетов с примерно такими же полетным весом и мощностью мотора, а также расчеты, выполненные авторами, показывают, что это время не должно было превысить 5,0 минут.</w:t>
      </w:r>
    </w:p>
    <w:p w14:paraId="5B1164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Заявленный практический потолок - 13000 метров (по оценке НИИ ВВС - 12500 метров). Время выполнения виража на высоте 1500 м равен 20,1 секундам (по оценке НИИ ВВС - 25 секунд).</w:t>
      </w:r>
    </w:p>
    <w:p w14:paraId="455AF4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Скоростная дальность полета (при движении на скорости 0,9 от максимальной) составляла 650 км. По более реальной оценке специалистов НИИ ВВС длина пробега с тормозами была равна 250 метрам, а разбега со щитками - 300 метрам.</w:t>
      </w:r>
    </w:p>
    <w:p w14:paraId="4D62C9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Думаем, что если бы самолет построили без турбокомпрессоров, то на высоте 6500-7000 м можно было получить максимальную скорость полета 690-710 км/ч.</w:t>
      </w:r>
    </w:p>
    <w:p w14:paraId="61CA25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специалисты НИИ ВВС одобрили: «Самолет такой схемы крайне необходим». Предлагалось включить его постройку в план 1940 г., но одновременно довести максимальную скорость до 750 км/ч. Кроме того, предусмотреть установку брони перед летчиком и спроектировать вариант истребителя с гермокабиной.</w:t>
      </w:r>
    </w:p>
    <w:p w14:paraId="2311EE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 время НИИ ВВС находилось под сильным впечатлением от зарубежных рекламных сообщений о достигнутых на опытных истреоителях скоростях полета, немецкие рекордные самолеты, построенные на базе истребителей, сыграли свою роль в неоправданном максимализме, который проявился в отношении требований к скоростям отечественных самолетов такого класса в 1940-41 гг.</w:t>
      </w:r>
    </w:p>
    <w:p w14:paraId="01EBDF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для скоростного пушечного истребителя с мотором мощностью 1200-1500 л.с. предусматривалось достижение на высотах от 5000 до 9000 метров максимальной скорости 750-800 км/ч. И это при наличии достаточно мощного вооружения и обеспечении скоростной дальности полета в 1000 км. Напомним, что неплохой немецкий истребитель образца 1942 г. с мотором в 1500 л.с. при менее эффективном вооружении и примерно в два раза меньшей скоростной дальности полета достиг максимальной скорости на высоте 6500 метров всего 640 км/ч.</w:t>
      </w:r>
    </w:p>
    <w:p w14:paraId="50DD10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дальнейшей судьбе этого интересного проекта Павла Осиповича Сухого известно мало. Самолет не строился: по-видимому, сказалась загруженность ОКБ доводкой истребителя И-135, различных модификаций самолета ББ-1, работами над самолетом ОБШ. Одной из причин явилась задержка в доводке мотора М-120. Его первые летные экземпляры М-120 ТК появились только в 1942 г. и были установлены на опытный бомбардировщик В.М.Мясищева ДВБ-102 (6406).</w:t>
      </w:r>
    </w:p>
    <w:p w14:paraId="4BCBC19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2CFDF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штаб ВВС предложил Генштабу КА проект постановления СНК об исключении из самолетного парка негодной и устаревшей техники, в т.ч. предлагалось списать из состава ВВС 13 Ди-6М-25 и снять с вооружения 80 Ди-6М-25 требующих капремонта (3876,12).</w:t>
      </w:r>
    </w:p>
    <w:p w14:paraId="5BAD044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78B3DF1" w14:textId="77777777" w:rsidR="00E96871" w:rsidRPr="00A3026E" w:rsidRDefault="00E96871"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октябре 1940 г. в НИИ ВВС был рассмотрен эскизный проект самолета И-207 № 11. Заключение на проект было ут верждено П.В. Рычаговым 9 декабря 1940 г.</w:t>
      </w:r>
    </w:p>
    <w:p w14:paraId="53D407F6" w14:textId="77777777" w:rsidR="00E96871" w:rsidRPr="00A3026E" w:rsidRDefault="00E96871"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целом эскизный проект был оценен положительно, и было рекомендовано включить самолет в план опытного стро ительства на 1941 г. в качестве экспериментального истреби теля при условии выполнения пресловутого, совершенно не реального для того времени требования обеспечить скорост ную дальность полета не менее 1000 км, а в перегрузку — 1400 км. Но И-207 не предназначался для использования в качестве истребителя сопровождения бомбардировщиков, по этому ему такая дальность была не нужна.</w:t>
      </w:r>
    </w:p>
    <w:p w14:paraId="0842582A" w14:textId="77777777" w:rsidR="00E96871" w:rsidRPr="00A3026E" w:rsidRDefault="00E96871"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дальнейшем начало сказываться отрицательное отноше ние в кругах руководства НКАП и ВВС к бипланам. А.С. Яков лев при личной встрече открыто заявил о невозможности вклю чения проектов И-207 М° 10 и № 11 А.А. Боровкова ия И.Ф. Флорова в план будущих работ наркомата (19586).</w:t>
      </w:r>
    </w:p>
    <w:p w14:paraId="743CF708" w14:textId="77777777" w:rsidR="00E96871" w:rsidRPr="00A3026E" w:rsidRDefault="00E96871" w:rsidP="00A3026E">
      <w:pPr>
        <w:pStyle w:val="ae"/>
        <w:shd w:val="clear" w:color="auto" w:fill="FFFFFF"/>
        <w:spacing w:before="0" w:after="0"/>
        <w:jc w:val="both"/>
        <w:rPr>
          <w:color w:val="000000" w:themeColor="text1"/>
          <w:sz w:val="16"/>
          <w:szCs w:val="16"/>
        </w:rPr>
      </w:pPr>
    </w:p>
    <w:p w14:paraId="61DDDB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постановлением КО все 14 И-14, находящиеся в войсках, были списаны как пришедшие в негодность (4020,15).</w:t>
      </w:r>
    </w:p>
    <w:p w14:paraId="1738BA3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64BED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октября 1940 г. все серийные истребители, выпус</w:t>
      </w:r>
      <w:r w:rsidRPr="00A3026E">
        <w:rPr>
          <w:rFonts w:ascii="Times New Roman" w:hAnsi="Times New Roman"/>
          <w:color w:val="000000" w:themeColor="text1"/>
          <w:sz w:val="16"/>
          <w:szCs w:val="16"/>
        </w:rPr>
        <w:softHyphen/>
        <w:t>каемые авиапромышленностью СССР, в обязательном порядке оснащались подвесными баками (10667).</w:t>
      </w:r>
    </w:p>
    <w:p w14:paraId="59EF937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6F81D28" w14:textId="77777777" w:rsidR="00C66762" w:rsidRPr="00A3026E" w:rsidRDefault="00C66762" w:rsidP="00A3026E">
      <w:pPr>
        <w:pStyle w:val="a3"/>
        <w:tabs>
          <w:tab w:val="left" w:pos="11199"/>
        </w:tabs>
        <w:rPr>
          <w:color w:val="000000" w:themeColor="text1"/>
          <w:lang w:val="ru-RU"/>
        </w:rPr>
      </w:pPr>
      <w:r w:rsidRPr="00A3026E">
        <w:rPr>
          <w:color w:val="000000" w:themeColor="text1"/>
          <w:lang w:val="ru-RU"/>
        </w:rPr>
        <w:t>В октябре 1940 О.К.А. заканчивает проект многоцелевого с-та коротгого взлета и посадки, Самолета № 4 - использовался при разработке Ан-2 в дальнейшем (7483, 8).</w:t>
      </w:r>
    </w:p>
    <w:p w14:paraId="07836FD6" w14:textId="77777777" w:rsidR="00C66762" w:rsidRPr="00A3026E" w:rsidRDefault="00C66762" w:rsidP="00A3026E">
      <w:pPr>
        <w:pStyle w:val="a3"/>
        <w:tabs>
          <w:tab w:val="left" w:pos="11199"/>
        </w:tabs>
        <w:rPr>
          <w:color w:val="000000" w:themeColor="text1"/>
          <w:lang w:val="ru-RU"/>
        </w:rPr>
      </w:pPr>
    </w:p>
    <w:p w14:paraId="586612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О.К.Антоновым впервые была выдвинута идея создания такой машины, как Ан-2, т.е. многоцелевого самолета короткого взлета и посадки грузоподъемностью 1000-1500 кг для обслуживания труднодоступных районов страны, удовлетворения нужд сельского хозяйства и применения в качестве легкого военно-транспортного. Тогда же под его руководством конструкторский коллектив ленинградского завода №23 разработал эскизный проект под названием «Самолет №4». Прототипом для него, по-видимому, послужила многоцелевая машина ЛИГ-10, построенная А.Г.Бендунковичем на заводе №23 в 1937 г. и успешно прошедшая испытания, но не производившаяся серийно. «Самолет №4» унаследовал от ЛИГ-10 бипланную схему, но имел трехкилевое оперение, также выполненное в виде бипланной коробки. Эту схему Антонов выбрал вопреки господствовавшей тогда тенденции полного перехода к монопланам - он считал, что не все еще возможности биплана исчерпаны, особенно с точки зрения обеспечения высоких взлетно-посадочных качеств самолета. Вспоминая, как выбиралась схема «самолета №4», он говорил, что это был «...совершенно сознательный акт. Это не был вопрос какой-то вкусовщины, хотя бипланная схема мне нравится еще с тех пор, как я стал впервые знакомиться с авиацией».</w:t>
      </w:r>
    </w:p>
    <w:p w14:paraId="5ED5F8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предполагалось оснастить двигателем М-62Р мощностью 800 л.с. и трехлопастным воздушным винтом ЗСМВ-3 диаметром 3 м. Машина рассчитывалась на перевозку 800 кг груза или 10 солдат с полным снаряжением и вооружением, для которых имелась большая дверь на левом борту фюзеляжа. Солдаты могли стрелять из ручного оружия через люки в полу, потолке и по бортам грузовой кабины. Проектирование «самолета №4» продвигалось быстро, ибо постройка такой машины, которой для взлета и посадки достаточно самой маленькой площадки, всегда привлекала меня, - подчеркивал Олег Константинович. - Решив эту технически очень трудную задачу, можно было бы резко расширить возможности применения самолета» (9631).</w:t>
      </w:r>
    </w:p>
    <w:p w14:paraId="51A5D19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16664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потребовалось специальное постано</w:t>
      </w:r>
      <w:r w:rsidRPr="00A3026E">
        <w:rPr>
          <w:rFonts w:ascii="Times New Roman" w:hAnsi="Times New Roman"/>
          <w:color w:val="000000" w:themeColor="text1"/>
          <w:sz w:val="16"/>
          <w:szCs w:val="16"/>
        </w:rPr>
        <w:softHyphen/>
        <w:t>вление Комитета обороны, выпущенное чтобы “всучить” Осоавиахим 300 “аэроклубных истре</w:t>
      </w:r>
      <w:r w:rsidRPr="00A3026E">
        <w:rPr>
          <w:rFonts w:ascii="Times New Roman" w:hAnsi="Times New Roman"/>
          <w:color w:val="000000" w:themeColor="text1"/>
          <w:sz w:val="16"/>
          <w:szCs w:val="16"/>
        </w:rPr>
        <w:softHyphen/>
        <w:t xml:space="preserve">бителей” УТ-1. Реально успели передать намного меньше. Самолеты остались в военных авиашколах, и в частях истребительной авиации. Зачастую их использовали в качестве </w:t>
      </w:r>
      <w:r w:rsidRPr="00A3026E">
        <w:rPr>
          <w:rFonts w:ascii="Times New Roman" w:hAnsi="Times New Roman"/>
          <w:color w:val="000000" w:themeColor="text1"/>
          <w:sz w:val="16"/>
          <w:szCs w:val="16"/>
        </w:rPr>
        <w:lastRenderedPageBreak/>
        <w:t>персональных машин началь</w:t>
      </w:r>
      <w:r w:rsidRPr="00A3026E">
        <w:rPr>
          <w:rFonts w:ascii="Times New Roman" w:hAnsi="Times New Roman"/>
          <w:color w:val="000000" w:themeColor="text1"/>
          <w:sz w:val="16"/>
          <w:szCs w:val="16"/>
        </w:rPr>
        <w:softHyphen/>
        <w:t>ники различных рангов, хорошо владев</w:t>
      </w:r>
      <w:r w:rsidRPr="00A3026E">
        <w:rPr>
          <w:rFonts w:ascii="Times New Roman" w:hAnsi="Times New Roman"/>
          <w:color w:val="000000" w:themeColor="text1"/>
          <w:sz w:val="16"/>
          <w:szCs w:val="16"/>
        </w:rPr>
        <w:softHyphen/>
        <w:t>шие техникой пилотирования. Это поло</w:t>
      </w:r>
      <w:r w:rsidRPr="00A3026E">
        <w:rPr>
          <w:rFonts w:ascii="Times New Roman" w:hAnsi="Times New Roman"/>
          <w:color w:val="000000" w:themeColor="text1"/>
          <w:sz w:val="16"/>
          <w:szCs w:val="16"/>
        </w:rPr>
        <w:softHyphen/>
        <w:t>жение сохранялось до самого начала Великой Отечественной войны. УТ-1 по</w:t>
      </w:r>
      <w:r w:rsidRPr="00A3026E">
        <w:rPr>
          <w:rFonts w:ascii="Times New Roman" w:hAnsi="Times New Roman"/>
          <w:color w:val="000000" w:themeColor="text1"/>
          <w:sz w:val="16"/>
          <w:szCs w:val="16"/>
        </w:rPr>
        <w:softHyphen/>
        <w:t>бывали на Халхин-Голе, в составе ис</w:t>
      </w:r>
      <w:r w:rsidRPr="00A3026E">
        <w:rPr>
          <w:rFonts w:ascii="Times New Roman" w:hAnsi="Times New Roman"/>
          <w:color w:val="000000" w:themeColor="text1"/>
          <w:sz w:val="16"/>
          <w:szCs w:val="16"/>
        </w:rPr>
        <w:softHyphen/>
        <w:t>требительных полков Украинского и Белорусского фронтов участвовали в походе в Польшу, применялись в зимней войне с Финляндией - в основном как быстроходные самолеты связи. “Утята” служили и в морской авиации -в истребительных полках и авиационных училищах. С началом Отечественной войны тех</w:t>
      </w:r>
      <w:r w:rsidRPr="00A3026E">
        <w:rPr>
          <w:rFonts w:ascii="Times New Roman" w:hAnsi="Times New Roman"/>
          <w:color w:val="000000" w:themeColor="text1"/>
          <w:sz w:val="16"/>
          <w:szCs w:val="16"/>
        </w:rPr>
        <w:softHyphen/>
        <w:t>ника Осоавиахима и ГВФ влилась в ВВС. Осоавиахим передал военным все УТ-1 и УТ-2, а также большую часть У-2. Напри</w:t>
      </w:r>
      <w:r w:rsidRPr="00A3026E">
        <w:rPr>
          <w:rFonts w:ascii="Times New Roman" w:hAnsi="Times New Roman"/>
          <w:color w:val="000000" w:themeColor="text1"/>
          <w:sz w:val="16"/>
          <w:szCs w:val="16"/>
        </w:rPr>
        <w:softHyphen/>
        <w:t>мер, от аэроклуба Метростроя приняли один Р-5, три УТ-1 и два УТ-2. Все эти са</w:t>
      </w:r>
      <w:r w:rsidRPr="00A3026E">
        <w:rPr>
          <w:rFonts w:ascii="Times New Roman" w:hAnsi="Times New Roman"/>
          <w:color w:val="000000" w:themeColor="text1"/>
          <w:sz w:val="16"/>
          <w:szCs w:val="16"/>
        </w:rPr>
        <w:softHyphen/>
        <w:t>молеты поступили в различные летные школы (3955).</w:t>
      </w:r>
    </w:p>
    <w:p w14:paraId="30294EE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BC49855" w14:textId="77777777" w:rsidR="00E96871" w:rsidRPr="00A3026E" w:rsidRDefault="00E96871" w:rsidP="00A3026E">
      <w:pPr>
        <w:pStyle w:val="ae"/>
        <w:shd w:val="clear" w:color="auto" w:fill="FFFFFF"/>
        <w:spacing w:before="0" w:after="0"/>
        <w:jc w:val="both"/>
        <w:textAlignment w:val="baseline"/>
        <w:rPr>
          <w:color w:val="000000" w:themeColor="text1"/>
          <w:sz w:val="16"/>
          <w:szCs w:val="16"/>
        </w:rPr>
      </w:pPr>
      <w:r w:rsidRPr="00A3026E">
        <w:rPr>
          <w:color w:val="000000" w:themeColor="text1"/>
          <w:sz w:val="16"/>
          <w:szCs w:val="16"/>
        </w:rPr>
        <w:t>В октябре 1940 же года Комитет обороны своим решением списал 29 самолетов, а еще 276 распорядился передать «Осоавиахиму» — предшественнику ДОСААФ. Аэроклубы и раньше нередко использовали И-5 как спортивно-акробатическую машину, а также вели на ней тренировки летчиков запаса. В частности, по несколько И-5 имелось в Центральном Московском и Ленин</w:t>
      </w:r>
      <w:r w:rsidRPr="00A3026E">
        <w:rPr>
          <w:color w:val="000000" w:themeColor="text1"/>
          <w:sz w:val="16"/>
          <w:szCs w:val="16"/>
        </w:rPr>
        <w:softHyphen/>
        <w:t>градском аэроклубах (19176).</w:t>
      </w:r>
    </w:p>
    <w:p w14:paraId="0014D95D" w14:textId="77777777" w:rsidR="00E96871" w:rsidRPr="00A3026E" w:rsidRDefault="00E96871" w:rsidP="00A3026E">
      <w:pPr>
        <w:pStyle w:val="rtecenter"/>
        <w:shd w:val="clear" w:color="auto" w:fill="FFFFFF"/>
        <w:spacing w:before="0" w:after="0"/>
        <w:jc w:val="both"/>
        <w:textAlignment w:val="baseline"/>
        <w:rPr>
          <w:color w:val="000000" w:themeColor="text1"/>
          <w:sz w:val="16"/>
          <w:szCs w:val="16"/>
        </w:rPr>
      </w:pPr>
    </w:p>
    <w:p w14:paraId="3AE368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октября 1940 началась постройка КОР-2 (264,1).</w:t>
      </w:r>
    </w:p>
    <w:p w14:paraId="411F6F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осенью 1940 КОР-2-1 был закончен и подготовлен к проведению испытаний (1288,30).</w:t>
      </w:r>
    </w:p>
    <w:p w14:paraId="6E118F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третьим данным испытания КОР-2 начались 2 октября и 21 октября он уже выполнил первый полет.</w:t>
      </w:r>
    </w:p>
    <w:p w14:paraId="32BFB9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утвердили Заключение по определению максимальной скорости самолета ДБ-3Б-2М87Б с ВИШ-3 и полетным весом 7500 с установкой турели СУ в полете:</w:t>
      </w:r>
    </w:p>
    <w:p w14:paraId="0046DA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походное положение – экран опущен</w:t>
      </w:r>
    </w:p>
    <w:p w14:paraId="392F32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боевое положение – экран поднят</w:t>
      </w:r>
    </w:p>
    <w:p w14:paraId="62C15C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боевое положение – экран поднят, люк турели открыт.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2952"/>
        <w:gridCol w:w="2952"/>
      </w:tblGrid>
      <w:tr w:rsidR="00983732" w:rsidRPr="00A3026E" w14:paraId="161BBD4A" w14:textId="77777777" w:rsidTr="00EA0DA7">
        <w:tc>
          <w:tcPr>
            <w:tcW w:w="2160" w:type="dxa"/>
          </w:tcPr>
          <w:p w14:paraId="2F0B6C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 в м</w:t>
            </w:r>
          </w:p>
        </w:tc>
        <w:tc>
          <w:tcPr>
            <w:tcW w:w="2952" w:type="dxa"/>
          </w:tcPr>
          <w:p w14:paraId="64614A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Мах скорость (положение СУ походное)</w:t>
            </w:r>
          </w:p>
        </w:tc>
        <w:tc>
          <w:tcPr>
            <w:tcW w:w="2952" w:type="dxa"/>
          </w:tcPr>
          <w:p w14:paraId="037AB9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Мах скорость (положение СУ боевое – люк турели открыт)</w:t>
            </w:r>
          </w:p>
        </w:tc>
      </w:tr>
      <w:tr w:rsidR="00983732" w:rsidRPr="00A3026E" w14:paraId="70E69C73" w14:textId="77777777" w:rsidTr="00EA0DA7">
        <w:tc>
          <w:tcPr>
            <w:tcW w:w="2160" w:type="dxa"/>
          </w:tcPr>
          <w:p w14:paraId="413985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c>
          <w:tcPr>
            <w:tcW w:w="2952" w:type="dxa"/>
          </w:tcPr>
          <w:p w14:paraId="56B4A3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347</w:t>
            </w:r>
          </w:p>
        </w:tc>
        <w:tc>
          <w:tcPr>
            <w:tcW w:w="2952" w:type="dxa"/>
          </w:tcPr>
          <w:p w14:paraId="6AEF14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343</w:t>
            </w:r>
          </w:p>
        </w:tc>
      </w:tr>
      <w:tr w:rsidR="00983732" w:rsidRPr="00A3026E" w14:paraId="4755D8D2" w14:textId="77777777" w:rsidTr="00EA0DA7">
        <w:tc>
          <w:tcPr>
            <w:tcW w:w="2160" w:type="dxa"/>
          </w:tcPr>
          <w:p w14:paraId="5A0CE3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2952" w:type="dxa"/>
          </w:tcPr>
          <w:p w14:paraId="3B7A21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365</w:t>
            </w:r>
          </w:p>
        </w:tc>
        <w:tc>
          <w:tcPr>
            <w:tcW w:w="2952" w:type="dxa"/>
          </w:tcPr>
          <w:p w14:paraId="57753A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361</w:t>
            </w:r>
          </w:p>
        </w:tc>
      </w:tr>
      <w:tr w:rsidR="00983732" w:rsidRPr="00A3026E" w14:paraId="365E88EB" w14:textId="77777777" w:rsidTr="00EA0DA7">
        <w:tc>
          <w:tcPr>
            <w:tcW w:w="2160" w:type="dxa"/>
          </w:tcPr>
          <w:p w14:paraId="436BD6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2952" w:type="dxa"/>
          </w:tcPr>
          <w:p w14:paraId="1B21AF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383</w:t>
            </w:r>
          </w:p>
        </w:tc>
        <w:tc>
          <w:tcPr>
            <w:tcW w:w="2952" w:type="dxa"/>
          </w:tcPr>
          <w:p w14:paraId="765859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378,5</w:t>
            </w:r>
          </w:p>
        </w:tc>
      </w:tr>
      <w:tr w:rsidR="00983732" w:rsidRPr="00A3026E" w14:paraId="256CC32B" w14:textId="77777777" w:rsidTr="00EA0DA7">
        <w:tc>
          <w:tcPr>
            <w:tcW w:w="2160" w:type="dxa"/>
          </w:tcPr>
          <w:p w14:paraId="63B776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2952" w:type="dxa"/>
          </w:tcPr>
          <w:p w14:paraId="1055E2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401</w:t>
            </w:r>
          </w:p>
        </w:tc>
        <w:tc>
          <w:tcPr>
            <w:tcW w:w="2952" w:type="dxa"/>
          </w:tcPr>
          <w:p w14:paraId="49DC59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396,5</w:t>
            </w:r>
          </w:p>
        </w:tc>
      </w:tr>
      <w:tr w:rsidR="00983732" w:rsidRPr="00A3026E" w14:paraId="056F2B60" w14:textId="77777777" w:rsidTr="00EA0DA7">
        <w:tc>
          <w:tcPr>
            <w:tcW w:w="2160" w:type="dxa"/>
          </w:tcPr>
          <w:p w14:paraId="588811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2952" w:type="dxa"/>
          </w:tcPr>
          <w:p w14:paraId="772676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419</w:t>
            </w:r>
          </w:p>
        </w:tc>
        <w:tc>
          <w:tcPr>
            <w:tcW w:w="2952" w:type="dxa"/>
          </w:tcPr>
          <w:p w14:paraId="19AFB9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414,5</w:t>
            </w:r>
          </w:p>
        </w:tc>
      </w:tr>
    </w:tbl>
    <w:p w14:paraId="14DFB5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(4396).</w:t>
      </w:r>
    </w:p>
    <w:p w14:paraId="654B6EB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9E373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предполагая затруднения с получением ранее выбранного двигателя (упомянутого выше М-64Р или М-63Р), проект двухпоплавкового КОР-3 перерабо</w:t>
      </w:r>
      <w:r w:rsidRPr="00A3026E">
        <w:rPr>
          <w:rFonts w:ascii="Times New Roman" w:hAnsi="Times New Roman"/>
          <w:color w:val="000000" w:themeColor="text1"/>
          <w:sz w:val="16"/>
          <w:szCs w:val="16"/>
        </w:rPr>
        <w:softHyphen/>
        <w:t>тали под двигатель М-87А. Размах крыла это</w:t>
      </w:r>
      <w:r w:rsidRPr="00A3026E">
        <w:rPr>
          <w:rFonts w:ascii="Times New Roman" w:hAnsi="Times New Roman"/>
          <w:color w:val="000000" w:themeColor="text1"/>
          <w:sz w:val="16"/>
          <w:szCs w:val="16"/>
        </w:rPr>
        <w:softHyphen/>
        <w:t>го варианта составлял 12,0 м, площадь крыла 25,0 кв.м, полная длина 10,45 метра. Полет</w:t>
      </w:r>
      <w:r w:rsidRPr="00A3026E">
        <w:rPr>
          <w:rFonts w:ascii="Times New Roman" w:hAnsi="Times New Roman"/>
          <w:color w:val="000000" w:themeColor="text1"/>
          <w:sz w:val="16"/>
          <w:szCs w:val="16"/>
        </w:rPr>
        <w:softHyphen/>
        <w:t>ный вес оценивался в пределах 3100-3300 кг. что считалось вполне допустимым, т.к. кон структоры катапульты Н-1 указывали воз</w:t>
      </w:r>
      <w:r w:rsidRPr="00A3026E">
        <w:rPr>
          <w:rFonts w:ascii="Times New Roman" w:hAnsi="Times New Roman"/>
          <w:color w:val="000000" w:themeColor="text1"/>
          <w:sz w:val="16"/>
          <w:szCs w:val="16"/>
        </w:rPr>
        <w:softHyphen/>
        <w:t>можность доведения стартового веса самоле</w:t>
      </w:r>
      <w:r w:rsidRPr="00A3026E">
        <w:rPr>
          <w:rFonts w:ascii="Times New Roman" w:hAnsi="Times New Roman"/>
          <w:color w:val="000000" w:themeColor="text1"/>
          <w:sz w:val="16"/>
          <w:szCs w:val="16"/>
        </w:rPr>
        <w:softHyphen/>
        <w:t>та до 3500 кг.</w:t>
      </w:r>
    </w:p>
    <w:p w14:paraId="45E5A7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разработали еше три варианта КОР-3, в отношении которого также исполь</w:t>
      </w:r>
      <w:r w:rsidRPr="00A3026E">
        <w:rPr>
          <w:rFonts w:ascii="Times New Roman" w:hAnsi="Times New Roman"/>
          <w:color w:val="000000" w:themeColor="text1"/>
          <w:sz w:val="16"/>
          <w:szCs w:val="16"/>
        </w:rPr>
        <w:softHyphen/>
        <w:t>зовалось обозначение Бе-6 (первое исполь</w:t>
      </w:r>
      <w:r w:rsidRPr="00A3026E">
        <w:rPr>
          <w:rFonts w:ascii="Times New Roman" w:hAnsi="Times New Roman"/>
          <w:color w:val="000000" w:themeColor="text1"/>
          <w:sz w:val="16"/>
          <w:szCs w:val="16"/>
        </w:rPr>
        <w:softHyphen/>
        <w:t>зование этого порядкового номера в обозна</w:t>
      </w:r>
      <w:r w:rsidRPr="00A3026E">
        <w:rPr>
          <w:rFonts w:ascii="Times New Roman" w:hAnsi="Times New Roman"/>
          <w:color w:val="000000" w:themeColor="text1"/>
          <w:sz w:val="16"/>
          <w:szCs w:val="16"/>
        </w:rPr>
        <w:softHyphen/>
        <w:t>чении). Два из них представляли развитие КОР-2 с двигателем М-89. Максимальная скорость, по расчетам, на высоте 6500 м со</w:t>
      </w:r>
      <w:r w:rsidRPr="00A3026E">
        <w:rPr>
          <w:rFonts w:ascii="Times New Roman" w:hAnsi="Times New Roman"/>
          <w:color w:val="000000" w:themeColor="text1"/>
          <w:sz w:val="16"/>
          <w:szCs w:val="16"/>
        </w:rPr>
        <w:softHyphen/>
        <w:t>ставляла 465 км/ч. Третий вариант предпола</w:t>
      </w:r>
      <w:r w:rsidRPr="00A3026E">
        <w:rPr>
          <w:rFonts w:ascii="Times New Roman" w:hAnsi="Times New Roman"/>
          <w:color w:val="000000" w:themeColor="text1"/>
          <w:sz w:val="16"/>
          <w:szCs w:val="16"/>
        </w:rPr>
        <w:softHyphen/>
        <w:t>гал использование двигателя М-107, разме</w:t>
      </w:r>
      <w:r w:rsidRPr="00A3026E">
        <w:rPr>
          <w:rFonts w:ascii="Times New Roman" w:hAnsi="Times New Roman"/>
          <w:color w:val="000000" w:themeColor="text1"/>
          <w:sz w:val="16"/>
          <w:szCs w:val="16"/>
        </w:rPr>
        <w:softHyphen/>
        <w:t>шенного внутри корпуса лодки. При помоши механической передачи вращение передава</w:t>
      </w:r>
      <w:r w:rsidRPr="00A3026E">
        <w:rPr>
          <w:rFonts w:ascii="Times New Roman" w:hAnsi="Times New Roman"/>
          <w:color w:val="000000" w:themeColor="text1"/>
          <w:sz w:val="16"/>
          <w:szCs w:val="16"/>
        </w:rPr>
        <w:softHyphen/>
        <w:t>лось на соосные воздушные винты, вращаю</w:t>
      </w:r>
      <w:r w:rsidRPr="00A3026E">
        <w:rPr>
          <w:rFonts w:ascii="Times New Roman" w:hAnsi="Times New Roman"/>
          <w:color w:val="000000" w:themeColor="text1"/>
          <w:sz w:val="16"/>
          <w:szCs w:val="16"/>
        </w:rPr>
        <w:softHyphen/>
        <w:t>щиеся в разные стороны. Такая схема обес</w:t>
      </w:r>
      <w:r w:rsidRPr="00A3026E">
        <w:rPr>
          <w:rFonts w:ascii="Times New Roman" w:hAnsi="Times New Roman"/>
          <w:color w:val="000000" w:themeColor="text1"/>
          <w:sz w:val="16"/>
          <w:szCs w:val="16"/>
        </w:rPr>
        <w:softHyphen/>
        <w:t>печивала наилучшие аэродинамические и скоростные характеристики. Кроме того, от</w:t>
      </w:r>
      <w:r w:rsidRPr="00A3026E">
        <w:rPr>
          <w:rFonts w:ascii="Times New Roman" w:hAnsi="Times New Roman"/>
          <w:color w:val="000000" w:themeColor="text1"/>
          <w:sz w:val="16"/>
          <w:szCs w:val="16"/>
        </w:rPr>
        <w:softHyphen/>
        <w:t>сутствовал разворачивающий момент, при</w:t>
      </w:r>
      <w:r w:rsidRPr="00A3026E">
        <w:rPr>
          <w:rFonts w:ascii="Times New Roman" w:hAnsi="Times New Roman"/>
          <w:color w:val="000000" w:themeColor="text1"/>
          <w:sz w:val="16"/>
          <w:szCs w:val="16"/>
        </w:rPr>
        <w:softHyphen/>
        <w:t>сущий одиночному винту, что значительно облегчало маневрирование на воде.</w:t>
      </w:r>
    </w:p>
    <w:p w14:paraId="1652C8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Перечисленные варианты КОР-3 никог</w:t>
      </w:r>
      <w:r w:rsidRPr="00A3026E">
        <w:rPr>
          <w:rFonts w:ascii="Times New Roman" w:hAnsi="Times New Roman"/>
          <w:color w:val="000000" w:themeColor="text1"/>
          <w:sz w:val="16"/>
          <w:szCs w:val="16"/>
        </w:rPr>
        <w:softHyphen/>
        <w:t>да детально не прорабатывались. Начавша</w:t>
      </w:r>
      <w:r w:rsidRPr="00A3026E">
        <w:rPr>
          <w:rFonts w:ascii="Times New Roman" w:hAnsi="Times New Roman"/>
          <w:color w:val="000000" w:themeColor="text1"/>
          <w:sz w:val="16"/>
          <w:szCs w:val="16"/>
        </w:rPr>
        <w:softHyphen/>
        <w:t>яся война заставила прекратить все проект</w:t>
      </w:r>
      <w:r w:rsidRPr="00A3026E">
        <w:rPr>
          <w:rFonts w:ascii="Times New Roman" w:hAnsi="Times New Roman"/>
          <w:color w:val="000000" w:themeColor="text1"/>
          <w:sz w:val="16"/>
          <w:szCs w:val="16"/>
        </w:rPr>
        <w:softHyphen/>
        <w:t>ные изыскания и сосредоточиться на произ</w:t>
      </w:r>
      <w:r w:rsidRPr="00A3026E">
        <w:rPr>
          <w:rFonts w:ascii="Times New Roman" w:hAnsi="Times New Roman"/>
          <w:color w:val="000000" w:themeColor="text1"/>
          <w:sz w:val="16"/>
          <w:szCs w:val="16"/>
        </w:rPr>
        <w:softHyphen/>
        <w:t>водстве и совершенствовании уже имеюще</w:t>
      </w:r>
      <w:r w:rsidRPr="00A3026E">
        <w:rPr>
          <w:rFonts w:ascii="Times New Roman" w:hAnsi="Times New Roman"/>
          <w:color w:val="000000" w:themeColor="text1"/>
          <w:sz w:val="16"/>
          <w:szCs w:val="16"/>
        </w:rPr>
        <w:softHyphen/>
        <w:t>гося разведчика КОР-2 (12301).</w:t>
      </w:r>
    </w:p>
    <w:p w14:paraId="00D03FD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02E9E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закончились эксплуатационные испытания МП-7 - пфаасажирской версиии ГСТ (Самарский филиал РГАНТД. Ф. Р-4. Оп. 2-1. Д. 291. Л. 2.). К началу 1941 года пять этих самолетов эксплуатировались в Главсев-морпути и в Управлении гражданской авиации (Самарский филиал РГАНТД. Ф. Р-4. Оп. 2-1. Д. 291. Л. 2.) (11710,446).</w:t>
      </w:r>
    </w:p>
    <w:p w14:paraId="278F34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BDA4A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поднялся в воздух винтокрыл ЦАГИ 11-ЭА ПВ (80,401). Летал Д.И.Савельев (3109,17).</w:t>
      </w:r>
    </w:p>
    <w:p w14:paraId="40681C3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50F21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летчик Д. И. Савельев стал совершать пер</w:t>
      </w:r>
      <w:r w:rsidRPr="00A3026E">
        <w:rPr>
          <w:rFonts w:ascii="Times New Roman" w:hAnsi="Times New Roman"/>
          <w:color w:val="000000" w:themeColor="text1"/>
          <w:sz w:val="16"/>
          <w:szCs w:val="16"/>
        </w:rPr>
        <w:softHyphen/>
        <w:t>вые полеты, высота которых была ограничена до 30 м, а продол</w:t>
      </w:r>
      <w:r w:rsidRPr="00A3026E">
        <w:rPr>
          <w:rFonts w:ascii="Times New Roman" w:hAnsi="Times New Roman"/>
          <w:color w:val="000000" w:themeColor="text1"/>
          <w:sz w:val="16"/>
          <w:szCs w:val="16"/>
        </w:rPr>
        <w:softHyphen/>
        <w:t>жительность не превышала 10—15 мин из-за ограниченного ресурса Двигателя. В последующих полетах, проводившихся до весны 1941 г., вы</w:t>
      </w:r>
      <w:r w:rsidRPr="00A3026E">
        <w:rPr>
          <w:rFonts w:ascii="Times New Roman" w:hAnsi="Times New Roman"/>
          <w:color w:val="000000" w:themeColor="text1"/>
          <w:sz w:val="16"/>
          <w:szCs w:val="16"/>
        </w:rPr>
        <w:softHyphen/>
        <w:t>сота полета была увеличена до 50 м и была достигнута скорость полета 50—60 км/ч; увеличилась и продолжительность полета, ко</w:t>
      </w:r>
      <w:r w:rsidRPr="00A3026E">
        <w:rPr>
          <w:rFonts w:ascii="Times New Roman" w:hAnsi="Times New Roman"/>
          <w:color w:val="000000" w:themeColor="text1"/>
          <w:sz w:val="16"/>
          <w:szCs w:val="16"/>
        </w:rPr>
        <w:softHyphen/>
        <w:t>торую по-прежнему лимитировал ресурс двигателя. Достигнутые в последних полетах результаты не отражали действительных возможностей аппарата ЦАГИ-ПЭА ПВ, который имел большой запас мощности и подъемной силы и обладал хорошей управляемостью и устойчивостью. На аппарате можно было достичь значительно большей скорости и высоты полета, однако в полетах мощность двигателя все время ограничивалась из-за опасения выхода его из строя, что так и не дозволило в летных испытаниях реализовать расчетные возможности комбинированного винтокрылого аппара</w:t>
      </w:r>
      <w:r w:rsidRPr="00A3026E">
        <w:rPr>
          <w:rFonts w:ascii="Times New Roman" w:hAnsi="Times New Roman"/>
          <w:color w:val="000000" w:themeColor="text1"/>
          <w:sz w:val="16"/>
          <w:szCs w:val="16"/>
        </w:rPr>
        <w:softHyphen/>
        <w:t>та. Вскоре в маслофильтре обнаружили стружку, и полеты при</w:t>
      </w:r>
      <w:r w:rsidRPr="00A3026E">
        <w:rPr>
          <w:rFonts w:ascii="Times New Roman" w:hAnsi="Times New Roman"/>
          <w:color w:val="000000" w:themeColor="text1"/>
          <w:sz w:val="16"/>
          <w:szCs w:val="16"/>
        </w:rPr>
        <w:softHyphen/>
        <w:t>шлось прекратить, а аппарат законсервировать (10736).</w:t>
      </w:r>
    </w:p>
    <w:p w14:paraId="6073DC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7F0E9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на 290 заводе был выпущен первый автожир А-7-3А (257,17).</w:t>
      </w:r>
    </w:p>
    <w:p w14:paraId="5040005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25AA3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Отдел 29 завода 156 был реорганизован и получил наименование ЦКБ-29. ОТБ - это объединение оборонных КБ разного профиля. Конструкторы, занимающиеся авиационной тематикой, были объединены в Спецтехотдел (СТО), который после перевода на 156 завод получил наименование Отдел 29 (1835,2).</w:t>
      </w:r>
    </w:p>
    <w:p w14:paraId="2A47523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D2AAE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испытывался на стенде М-64Р с редуктором по типу М-63Р, но с удлиненным носком ре</w:t>
      </w:r>
      <w:r w:rsidRPr="00A3026E">
        <w:rPr>
          <w:rFonts w:ascii="Times New Roman" w:hAnsi="Times New Roman"/>
          <w:color w:val="000000" w:themeColor="text1"/>
          <w:sz w:val="16"/>
          <w:szCs w:val="16"/>
        </w:rPr>
        <w:softHyphen/>
        <w:t>дуктора, проектный вес 600 кг. (11852).</w:t>
      </w:r>
    </w:p>
    <w:p w14:paraId="3981A52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A899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октября 1940 г. на М-105Д была смонтирована турбо-муфта привода ПЦН. М-105Д, опытный двигатель с двухступенчатым ПЦН Э-100 (даль</w:t>
      </w:r>
      <w:r w:rsidRPr="00A3026E">
        <w:rPr>
          <w:rFonts w:ascii="Times New Roman" w:hAnsi="Times New Roman"/>
          <w:color w:val="000000" w:themeColor="text1"/>
          <w:sz w:val="16"/>
          <w:szCs w:val="16"/>
        </w:rPr>
        <w:softHyphen/>
        <w:t>нейшим развитием Э-23) конструкции В.А. Доллежаля и двумя водо-воздушными интеркулерами. В ноя</w:t>
      </w:r>
      <w:r w:rsidRPr="00A3026E">
        <w:rPr>
          <w:rFonts w:ascii="Times New Roman" w:hAnsi="Times New Roman"/>
          <w:color w:val="000000" w:themeColor="text1"/>
          <w:sz w:val="16"/>
          <w:szCs w:val="16"/>
        </w:rPr>
        <w:softHyphen/>
        <w:t>бре 1940 г. мотор проходил совместные испытания М-105Д (11852).</w:t>
      </w:r>
    </w:p>
    <w:p w14:paraId="0819DF7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39EEA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в ходе испытаний на один авиамотор М-105 расходовалось в среднем 3,2 тонны высокооктанового бензина, а на мотор М-35А – 9 тонн. НКАП был крупнейшим потребителем авиатоплива в СССР, в том числе и высокооктанового. Бывший нарком авиапромышленности А.И. Шахурин отмечал в своих воспоминаниях: «Мы, например, очень много потребляли авиабензина и смазки. После армии, военно-воздушных сил шла авиапромышленность. Ведь испытывался каждый самолет и каждый мотор. А что такое испытать только один двигатель, если для проверки его надежности требовалось не менее пяти дней. Производя двигатели сотнями и тысячами, мы расходовали миллионы литров горючего и тысячи тонн смазки. Бензин и смазочные вещества необходимы были и для испытания самолетов» (Шахурин А.И. Крылья победы. С. 149-150.).</w:t>
      </w:r>
    </w:p>
    <w:p w14:paraId="629F4C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Жесткие меры экономии коснулись и НКАПа.</w:t>
      </w:r>
    </w:p>
    <w:p w14:paraId="14445C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Решением Политбюро ЦК ВКП(б) № П 23 / 135 – ОП от 5 декабря 1940 года было утверждено Постановление СНК СССР и ЦК ВКП (б) «О порядке испытаний серийных авиационных моторов на заводах НКАП». В нем, в частности, говорилось, что «существующая система испытаний авиационных серийных моторов приводит к преступному расточительству материальных ресурсов и высокооктанового топлива». В результате нормы авиатоплива, выделяемые на испытания моторов, были урезаны (РГАСПИ. Ф. 17. Оп. 162. Д. 30. Л. 69-71.).</w:t>
      </w:r>
    </w:p>
    <w:p w14:paraId="1D979F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«О мероприятиях по обеспечению программы Наркомавиапрома на 1941 год» было утверждено всего два дня спустя после утверждения постановления «О порядке испытаний серийных авиационных моторов на заводах НКАП», поэтому цифры, согласно которым нарком нефтяной промышленности И.К. Седин, в частности, обязывался предоставить для нужд НКАП 166 тысяч тонн авиабензина (РГАСПИ. Ф. 17. Оп. 162. Д. 30 Л. 87.), впоследствии были пересмотрены. Новым решением Политбюро ЦК ВКП(б) № П 24 / 137 – ОП от 23 декабря 1940 года «О передаче в 1941 году в мобзапас 105 тысяч тонн авиабензина» (во изменение Постановления СНК СССР и ЦК ВКП (б) «О мероприятиях по обеспечению программы Наркомавиапрома на 1941 год», утвержденного решением Политбюро ЦК ВКП(б) № П 23 / 139 – ОП от 7 декабря 1940 года) предписывалось в связи с изменением режима испытаний авиамоторов на заводах сократить поставку авиабензина НКАП со 166 до 61 тысяч тонн, а 105 тысяч тонн направить в мобзапас (РГАСПИ. Ф. 17. Оп. 162. Д. 30 Л. 26.) (11672).</w:t>
      </w:r>
    </w:p>
    <w:p w14:paraId="5CC4F05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A459C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вышло постановление КО:</w:t>
      </w:r>
    </w:p>
    <w:p w14:paraId="2BA280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Принять Звено СПБ на вооружение ВВС РККА и Морской авиации РККА</w:t>
      </w:r>
    </w:p>
    <w:p w14:paraId="143300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 Обязать НКОП оборудовать к 1 февраля 1939 установки для подвески самолетов по способу тов. Вахмистрова:</w:t>
      </w:r>
    </w:p>
    <w:p w14:paraId="03B090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самолетов ТБ-3 АМ-34РН для ВВС РККА</w:t>
      </w:r>
    </w:p>
    <w:p w14:paraId="27B3CE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самолетов ТБ-3 АМ-34РН для Морской авиации</w:t>
      </w:r>
    </w:p>
    <w:p w14:paraId="381442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 самолетов И-16 для ВВС РККА</w:t>
      </w:r>
    </w:p>
    <w:p w14:paraId="7C55E9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 самолетов И-16 для Морской авиации (1808,44).</w:t>
      </w:r>
    </w:p>
    <w:p w14:paraId="06F775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Потом заказ уменьшили с 40 до 12 И-16 (1808,44).</w:t>
      </w:r>
    </w:p>
    <w:p w14:paraId="5E695E3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500F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w:t>
      </w:r>
      <w:r w:rsidRPr="00A3026E">
        <w:rPr>
          <w:rFonts w:ascii="Times New Roman" w:hAnsi="Times New Roman"/>
          <w:color w:val="000000" w:themeColor="text1"/>
          <w:sz w:val="16"/>
          <w:szCs w:val="16"/>
        </w:rPr>
        <w:softHyphen/>
        <w:t>бре 1940 завод № 29 только начал работы по возобновлению производства моторов М-88. Их полномасштабное про</w:t>
      </w:r>
      <w:r w:rsidRPr="00A3026E">
        <w:rPr>
          <w:rFonts w:ascii="Times New Roman" w:hAnsi="Times New Roman"/>
          <w:color w:val="000000" w:themeColor="text1"/>
          <w:sz w:val="16"/>
          <w:szCs w:val="16"/>
        </w:rPr>
        <w:softHyphen/>
        <w:t>изводство развернулось после завершения повторных государственных испытаний в декабре 1940 г. (10667). Объективные и субъективные факторы всегда идут рука об руку друг с другом. С одной стороны, завод № 29 действительно испытывал трудности с наращиванием производства моторов М-88. Они требовались для се</w:t>
      </w:r>
      <w:r w:rsidRPr="00A3026E">
        <w:rPr>
          <w:rFonts w:ascii="Times New Roman" w:hAnsi="Times New Roman"/>
          <w:color w:val="000000" w:themeColor="text1"/>
          <w:sz w:val="16"/>
          <w:szCs w:val="16"/>
        </w:rPr>
        <w:softHyphen/>
        <w:t>рийного выпуска не только истребителей И-180, но и бомбардировщиков Су-2, ДБ-3Ф (Ил-4), других машин. С другой стороны, под влиянием успехов зарубежной авиации, прежде всего немецкой, перед войной у нас сложилось мнение, что только мотор жидкостного ох</w:t>
      </w:r>
      <w:r w:rsidRPr="00A3026E">
        <w:rPr>
          <w:rFonts w:ascii="Times New Roman" w:hAnsi="Times New Roman"/>
          <w:color w:val="000000" w:themeColor="text1"/>
          <w:sz w:val="16"/>
          <w:szCs w:val="16"/>
        </w:rPr>
        <w:softHyphen/>
        <w:t>лаждения может обеспечить необходимые летные харак</w:t>
      </w:r>
      <w:r w:rsidRPr="00A3026E">
        <w:rPr>
          <w:rFonts w:ascii="Times New Roman" w:hAnsi="Times New Roman"/>
          <w:color w:val="000000" w:themeColor="text1"/>
          <w:sz w:val="16"/>
          <w:szCs w:val="16"/>
        </w:rPr>
        <w:softHyphen/>
        <w:t>теристики. На бытовом уровне и сейчас можно слышать расхожую фразу: «Во всем мире делают так, а мы, что, умнее?!». Пожалуй, наглядней всего позицию руководст</w:t>
      </w:r>
      <w:r w:rsidRPr="00A3026E">
        <w:rPr>
          <w:rFonts w:ascii="Times New Roman" w:hAnsi="Times New Roman"/>
          <w:color w:val="000000" w:themeColor="text1"/>
          <w:sz w:val="16"/>
          <w:szCs w:val="16"/>
        </w:rPr>
        <w:softHyphen/>
        <w:t>ва авиапромышленности и ВВС в отношении развития авиации отразили Я.И.Смушкевич и Ф.А.Агальцов в «Докладе о состоянии Военных Воздушных сил Красной Армии», направленном в ЦК ВКП(б):</w:t>
      </w:r>
    </w:p>
    <w:p w14:paraId="1972E2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 По скоростям наши серийные самолеты отста</w:t>
      </w:r>
      <w:r w:rsidRPr="00A3026E">
        <w:rPr>
          <w:rFonts w:ascii="Times New Roman" w:hAnsi="Times New Roman"/>
          <w:color w:val="000000" w:themeColor="text1"/>
          <w:sz w:val="16"/>
          <w:szCs w:val="16"/>
        </w:rPr>
        <w:softHyphen/>
        <w:t>ли от самолетов передовых капиталистических стран (Англия, Германия): истребители на 50-70 км/ч; бомбар</w:t>
      </w:r>
      <w:r w:rsidRPr="00A3026E">
        <w:rPr>
          <w:rFonts w:ascii="Times New Roman" w:hAnsi="Times New Roman"/>
          <w:color w:val="000000" w:themeColor="text1"/>
          <w:sz w:val="16"/>
          <w:szCs w:val="16"/>
        </w:rPr>
        <w:softHyphen/>
        <w:t>дировщики на 30-60 км/ч.</w:t>
      </w:r>
    </w:p>
    <w:p w14:paraId="6771EA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Причины этого отставания:</w:t>
      </w:r>
    </w:p>
    <w:p w14:paraId="183333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Руководство ВВС (Локтионов, Агальцев, Смушке-вич) проглядели, своевременно не заметили и не сигна</w:t>
      </w:r>
      <w:r w:rsidRPr="00A3026E">
        <w:rPr>
          <w:rFonts w:ascii="Times New Roman" w:hAnsi="Times New Roman"/>
          <w:color w:val="000000" w:themeColor="text1"/>
          <w:sz w:val="16"/>
          <w:szCs w:val="16"/>
        </w:rPr>
        <w:softHyphen/>
        <w:t>лизировали о быстром развитии авиации передовых капиталистических стран (Германия, Англия). Основы</w:t>
      </w:r>
      <w:r w:rsidRPr="00A3026E">
        <w:rPr>
          <w:rFonts w:ascii="Times New Roman" w:hAnsi="Times New Roman"/>
          <w:color w:val="000000" w:themeColor="text1"/>
          <w:sz w:val="16"/>
          <w:szCs w:val="16"/>
        </w:rPr>
        <w:softHyphen/>
        <w:t>ваясь на испанском опыте неправильно взяли упор главным образом на воздушный мотор, в то время как на Западе с мотором жидкостного охлаждения истреби</w:t>
      </w:r>
      <w:r w:rsidRPr="00A3026E">
        <w:rPr>
          <w:rFonts w:ascii="Times New Roman" w:hAnsi="Times New Roman"/>
          <w:color w:val="000000" w:themeColor="text1"/>
          <w:sz w:val="16"/>
          <w:szCs w:val="16"/>
        </w:rPr>
        <w:softHyphen/>
        <w:t>тельная авиация сделала большие успехи» (10667). На Поликарпова, отстаивавшего идею истребителя с мотором воздушного охлаждения, стали смотреть, как на человека, упорно цепляющегося «за старое». К тому же, заместитель наркома по опытному строительству и науке А.С. Яковлев являлся сторонником истребителей с двигателями жидкостного охлаждения и содействовал принятию соответствующих решений. Делались попыт</w:t>
      </w:r>
      <w:r w:rsidRPr="00A3026E">
        <w:rPr>
          <w:rFonts w:ascii="Times New Roman" w:hAnsi="Times New Roman"/>
          <w:color w:val="000000" w:themeColor="text1"/>
          <w:sz w:val="16"/>
          <w:szCs w:val="16"/>
        </w:rPr>
        <w:softHyphen/>
        <w:t>ки прекратить выпуск моторов воздушного охлаждения для боевых самолетов на авиамоторных заводах страны, в частности, на одном из самых мощных Молотовском (Пермском) заводе № 19 им. И.В. Сталина. Предлагалось остановить производство и М-88, а бомбардировщики Су-2 и ДБ-3Ф (Ил-4) перевести на другие моторы. «Это была, безусловно, ошибка наркомата, - уже позже, после войны, признал А.И.Шахурин. - При вы</w:t>
      </w:r>
      <w:r w:rsidRPr="00A3026E">
        <w:rPr>
          <w:rFonts w:ascii="Times New Roman" w:hAnsi="Times New Roman"/>
          <w:color w:val="000000" w:themeColor="text1"/>
          <w:sz w:val="16"/>
          <w:szCs w:val="16"/>
        </w:rPr>
        <w:softHyphen/>
        <w:t>даче заданий на проектирование самолетов перед вой</w:t>
      </w:r>
      <w:r w:rsidRPr="00A3026E">
        <w:rPr>
          <w:rFonts w:ascii="Times New Roman" w:hAnsi="Times New Roman"/>
          <w:color w:val="000000" w:themeColor="text1"/>
          <w:sz w:val="16"/>
          <w:szCs w:val="16"/>
        </w:rPr>
        <w:softHyphen/>
        <w:t>ной чрезмерно увлекались двигателями водяного охлаждения, поскольку такой двигатель давал меньшее лобовое сопротивление. Видимо, немецкий самолет Мессершмитта с подобным двигателем стоял у многих перед глазами». Такая недальновидная политика не могла не сказать</w:t>
      </w:r>
      <w:r w:rsidRPr="00A3026E">
        <w:rPr>
          <w:rFonts w:ascii="Times New Roman" w:hAnsi="Times New Roman"/>
          <w:color w:val="000000" w:themeColor="text1"/>
          <w:sz w:val="16"/>
          <w:szCs w:val="16"/>
        </w:rPr>
        <w:softHyphen/>
        <w:t>ся самым пагубным образом на судьбе самолета И-180 (10667).</w:t>
      </w:r>
    </w:p>
    <w:p w14:paraId="7F4F32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C5027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октября 1940 М-88 не мог пройти войсковых испытаний. Мотор доводился под руководством Е.В. Урмина. Задание на освоение М-88 давалось также московскому заводу № 24, но ни одного двигателя этого типа там не изготовили. С августа 1941 г. завод № 29 эвакуировали в Омск, где с осени возоб</w:t>
      </w:r>
      <w:r w:rsidRPr="00A3026E">
        <w:rPr>
          <w:rFonts w:ascii="Times New Roman" w:hAnsi="Times New Roman"/>
          <w:color w:val="000000" w:themeColor="text1"/>
          <w:sz w:val="16"/>
          <w:szCs w:val="16"/>
        </w:rPr>
        <w:softHyphen/>
        <w:t>новили выпуск М-88. В первой половине 1945 г. завод № 478 в Запорожье собирал М-88Б из деталей, привезенных из Омска. Двигатель выпускался до конца 1946 г. Всего изготовлено 16 087 экз.</w:t>
      </w:r>
    </w:p>
    <w:p w14:paraId="49FA92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Характеристики:</w:t>
      </w:r>
    </w:p>
    <w:p w14:paraId="2CD427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14-цилиндровый, двухрядный звездообразный, четырехтактный, воз</w:t>
      </w:r>
      <w:r w:rsidRPr="00A3026E">
        <w:rPr>
          <w:rFonts w:ascii="Times New Roman" w:hAnsi="Times New Roman"/>
          <w:color w:val="000000" w:themeColor="text1"/>
          <w:sz w:val="16"/>
          <w:szCs w:val="16"/>
        </w:rPr>
        <w:softHyphen/>
        <w:t>душного охлаждения, редукторный, с двухскоростным ПЦН;</w:t>
      </w:r>
    </w:p>
    <w:p w14:paraId="620D66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мощность по заданию 1938 г. 1025/1225 л.с., реально мощность и вес в зависимости от модификации;</w:t>
      </w:r>
    </w:p>
    <w:p w14:paraId="3713B3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диаметр цилиндра/ход поршня 146/165 мм;</w:t>
      </w:r>
    </w:p>
    <w:p w14:paraId="09CA4E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полный рабочий объем 38,65 л;</w:t>
      </w:r>
    </w:p>
    <w:p w14:paraId="31343E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степень сжатия 6,2 (позднее 6,75).</w:t>
      </w:r>
    </w:p>
    <w:p w14:paraId="3C5C23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Существовали модификации:</w:t>
      </w:r>
    </w:p>
    <w:p w14:paraId="35DA7F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М-88б/р (или М-88БР), безредукторный, правого (БРП) и левого (БРЛ) вращения, 1000/1090 л.с. (по заданию 1000/1100 л.с.), вес 637,2 кг (по заданию 618 кг). Первые опытные образцы изготовили в марте 1939 г. Летные испытания велись на истребителе ОКО-6 в декабре 1939 г. Этот мотор удовлетворительно прошел совместные испытания в марте — апреле 1940 г., но серийно не выпускался.</w:t>
      </w:r>
    </w:p>
    <w:p w14:paraId="1A472F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 (или М-88Р), редукторный, 1100/1100 л.с.; испытывался на ис</w:t>
      </w:r>
      <w:r w:rsidRPr="00A3026E">
        <w:rPr>
          <w:rFonts w:ascii="Times New Roman" w:hAnsi="Times New Roman"/>
          <w:color w:val="000000" w:themeColor="text1"/>
          <w:sz w:val="16"/>
          <w:szCs w:val="16"/>
        </w:rPr>
        <w:softHyphen/>
        <w:t>требителе ОКО-ббис; выпускался серийно с осени 1939 г. Прошел госиспытания в ноябре — декабре 1939 г. Вес 684 кг. М-88НВ, проект переделки М-88 под впрыск топлива низкого давле</w:t>
      </w:r>
      <w:r w:rsidRPr="00A3026E">
        <w:rPr>
          <w:rFonts w:ascii="Times New Roman" w:hAnsi="Times New Roman"/>
          <w:color w:val="000000" w:themeColor="text1"/>
          <w:sz w:val="16"/>
          <w:szCs w:val="16"/>
        </w:rPr>
        <w:softHyphen/>
        <w:t>ния (во всасывающие патрубки). Разрабатывался в ЦИАМ в 1940 г. Мощность по заданию 1050/1150 л.с. Изготовлено 5 экз. М-88А, редукторный, отличался от М-88 изменением передаточного числа ПЦН, увеличением площади оребрения, усилением ряда дета</w:t>
      </w:r>
      <w:r w:rsidRPr="00A3026E">
        <w:rPr>
          <w:rFonts w:ascii="Times New Roman" w:hAnsi="Times New Roman"/>
          <w:color w:val="000000" w:themeColor="text1"/>
          <w:sz w:val="16"/>
          <w:szCs w:val="16"/>
        </w:rPr>
        <w:softHyphen/>
        <w:t>лей. Новая задняя крышка картера, удлиненная гильза, усиленный редуктор. Разрабатывался с лета 1939 г. Опытные образцы проходи</w:t>
      </w:r>
      <w:r w:rsidRPr="00A3026E">
        <w:rPr>
          <w:rFonts w:ascii="Times New Roman" w:hAnsi="Times New Roman"/>
          <w:color w:val="000000" w:themeColor="text1"/>
          <w:sz w:val="16"/>
          <w:szCs w:val="16"/>
        </w:rPr>
        <w:softHyphen/>
        <w:t>ли стендовые испытания с января 1940 г. С августа 1949 г. осна</w:t>
      </w:r>
      <w:r w:rsidRPr="00A3026E">
        <w:rPr>
          <w:rFonts w:ascii="Times New Roman" w:hAnsi="Times New Roman"/>
          <w:color w:val="000000" w:themeColor="text1"/>
          <w:sz w:val="16"/>
          <w:szCs w:val="16"/>
        </w:rPr>
        <w:softHyphen/>
        <w:t>щался карбюратором АК-88. Мощность 1100/1100 л.с. (по заданию 1000/1250 л.с., по проекту 1100/1300 л.с.), вес 650 кг (ранние образ</w:t>
      </w:r>
      <w:r w:rsidRPr="00A3026E">
        <w:rPr>
          <w:rFonts w:ascii="Times New Roman" w:hAnsi="Times New Roman"/>
          <w:color w:val="000000" w:themeColor="text1"/>
          <w:sz w:val="16"/>
          <w:szCs w:val="16"/>
        </w:rPr>
        <w:softHyphen/>
        <w:t>цы 640 кг), выпускался серийно. Существовали опытные двигатели, форсированные в 1940 г. по наддуву до 1200 л.с. с весом 670 кг. М-88Б, выпускался со второй половины 1940 г., отличался от М-88А увеличенным оребрением головки и гильзы, усиленными шатунами и поршнями, измененными приводами агрегатов, кар</w:t>
      </w:r>
      <w:r w:rsidRPr="00A3026E">
        <w:rPr>
          <w:rFonts w:ascii="Times New Roman" w:hAnsi="Times New Roman"/>
          <w:color w:val="000000" w:themeColor="text1"/>
          <w:sz w:val="16"/>
          <w:szCs w:val="16"/>
        </w:rPr>
        <w:softHyphen/>
        <w:t>бюратором АК-88Б с экономайзером, масляными форсунками в ко</w:t>
      </w:r>
      <w:r w:rsidRPr="00A3026E">
        <w:rPr>
          <w:rFonts w:ascii="Times New Roman" w:hAnsi="Times New Roman"/>
          <w:color w:val="000000" w:themeColor="text1"/>
          <w:sz w:val="16"/>
          <w:szCs w:val="16"/>
        </w:rPr>
        <w:softHyphen/>
        <w:t>ленчатом вале. Мощность 950/1100 л.с., вес 684 кг, улучшенные высотные характеристики. Самая массовая модификация. Только за годы войны выпустили 10 585 М-88Б в Запорожье и Омске. М-88Б-НВ, опытный образец М-88Б с непосредственным впрыском топлива. Испытывался в апреле 1944 г.</w:t>
      </w:r>
    </w:p>
    <w:p w14:paraId="37FB7E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М-88ТК (М-88Б с турбонагнетателем ТК-3); модификация разрабаты</w:t>
      </w:r>
      <w:r w:rsidRPr="00A3026E">
        <w:rPr>
          <w:rFonts w:ascii="Times New Roman" w:hAnsi="Times New Roman"/>
          <w:color w:val="000000" w:themeColor="text1"/>
          <w:sz w:val="16"/>
          <w:szCs w:val="16"/>
        </w:rPr>
        <w:softHyphen/>
        <w:t>валась с 1939 г. под турбонагнетатель ТК-1. Опытные образцы испы</w:t>
      </w:r>
      <w:r w:rsidRPr="00A3026E">
        <w:rPr>
          <w:rFonts w:ascii="Times New Roman" w:hAnsi="Times New Roman"/>
          <w:color w:val="000000" w:themeColor="text1"/>
          <w:sz w:val="16"/>
          <w:szCs w:val="16"/>
        </w:rPr>
        <w:softHyphen/>
        <w:t>тывались на самолете Ил-4ТК в марте 1943 г.; мощность по заданию 900 1100 л.с.</w:t>
      </w:r>
    </w:p>
    <w:p w14:paraId="46213E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М-88Б с турбонагнетателем ТК-М, испытывался на Ил-4ТК с августа 1943 г.</w:t>
      </w:r>
    </w:p>
    <w:p w14:paraId="04698D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М-88В, высотная модификация на базе М-88Б с ПЦН от мотора М-89, развивала мощность 1000 л.с. на высоте 7300 м; предусмотрен отбор воздуха от ПЦН на наддув гермокабины.</w:t>
      </w:r>
    </w:p>
    <w:p w14:paraId="605D9F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М-88Ф, 1250 л.с., выпускался небольшой серией в 1943 г. Изготов</w:t>
      </w:r>
      <w:r w:rsidRPr="00A3026E">
        <w:rPr>
          <w:rFonts w:ascii="Times New Roman" w:hAnsi="Times New Roman"/>
          <w:color w:val="000000" w:themeColor="text1"/>
          <w:sz w:val="16"/>
          <w:szCs w:val="16"/>
        </w:rPr>
        <w:softHyphen/>
        <w:t>лено около 20 экз.</w:t>
      </w:r>
    </w:p>
    <w:p w14:paraId="02B91E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М-88Ф-НВ, опытный образец с непосредственным впрыском топлива. Проходил испытания в январе 1944 г.</w:t>
      </w:r>
    </w:p>
    <w:p w14:paraId="12D851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Двигатели М-88 устанавливались на серийных самолетах Ил-4 (ДБ-ЗФ), Су-2, И-28, опытных самолетах Та-1 (ОКО-6), Та-3 (ОКО-ббис), ОКО-4 (не достроен), И-190, И-180, ИС, ИС-2, МДР-7. Использование М-88 пред</w:t>
      </w:r>
      <w:r w:rsidRPr="00A3026E">
        <w:rPr>
          <w:rFonts w:ascii="Times New Roman" w:hAnsi="Times New Roman"/>
          <w:color w:val="000000" w:themeColor="text1"/>
          <w:sz w:val="16"/>
          <w:szCs w:val="16"/>
        </w:rPr>
        <w:softHyphen/>
        <w:t>усматривалось в проектах самолетов Ил-12, БСБ, ДБ-ЛК («150») (11852).</w:t>
      </w:r>
    </w:p>
    <w:p w14:paraId="0FCD3D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FCCE192" w14:textId="77777777" w:rsidR="005D6F1A" w:rsidRPr="00A3026E" w:rsidRDefault="005D6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Наркомат авиационной промышленности (НКАП) забрал у ГАЗ им. Молотова цех по производству двигателей ГАЗ-11 и ГАЗ-202 для выпуска авиамоторов М-105. При этом на ГАЗ встали все работы по разработке и выпуску перспективных автомобилей, поскольку на них использовались моторы семейства ГАЗ-11; этот же двигатель использо</w:t>
      </w:r>
      <w:r w:rsidRPr="00A3026E">
        <w:rPr>
          <w:rFonts w:ascii="Times New Roman" w:hAnsi="Times New Roman"/>
          <w:color w:val="000000" w:themeColor="text1"/>
          <w:sz w:val="16"/>
          <w:szCs w:val="16"/>
        </w:rPr>
        <w:softHyphen/>
        <w:t>вался в плавающем танке Т-40 производства завода № 37. В конце ноя</w:t>
      </w:r>
      <w:r w:rsidRPr="00A3026E">
        <w:rPr>
          <w:rFonts w:ascii="Times New Roman" w:hAnsi="Times New Roman"/>
          <w:color w:val="000000" w:themeColor="text1"/>
          <w:sz w:val="16"/>
          <w:szCs w:val="16"/>
        </w:rPr>
        <w:softHyphen/>
        <w:t>бря 1940 года возникла идея установки в Т-40 двигателя ЗИС-16 (фор</w:t>
      </w:r>
      <w:r w:rsidRPr="00A3026E">
        <w:rPr>
          <w:rFonts w:ascii="Times New Roman" w:hAnsi="Times New Roman"/>
          <w:color w:val="000000" w:themeColor="text1"/>
          <w:sz w:val="16"/>
          <w:szCs w:val="16"/>
        </w:rPr>
        <w:softHyphen/>
        <w:t>сированная до 85 л.с. версия двигателя ЗИС-5), а также его дизельного варианта Д-7. Один танк отправили на ЗИС, но изучение вопроса дало неутешительный результат. Без увеличения габаритов моторного отде</w:t>
      </w:r>
      <w:r w:rsidRPr="00A3026E">
        <w:rPr>
          <w:rFonts w:ascii="Times New Roman" w:hAnsi="Times New Roman"/>
          <w:color w:val="000000" w:themeColor="text1"/>
          <w:sz w:val="16"/>
          <w:szCs w:val="16"/>
        </w:rPr>
        <w:softHyphen/>
        <w:t>ления новый двигатель в танк не влезал. К июню 1941 года проблемы с поставками ГАЗ-202 разрешились, но, судя по всему, при проекти</w:t>
      </w:r>
      <w:r w:rsidRPr="00A3026E">
        <w:rPr>
          <w:rFonts w:ascii="Times New Roman" w:hAnsi="Times New Roman"/>
          <w:color w:val="000000" w:themeColor="text1"/>
          <w:sz w:val="16"/>
          <w:szCs w:val="16"/>
        </w:rPr>
        <w:softHyphen/>
        <w:t>ровании Т-60 руководитель корпусной группы отдела 22 А. В. Богачев учел произошедший кризис с двигателями. Несмотря на то что корпус Т-60 стал ниже на 15 см, внутреннюю компоновку агрегатов перера</w:t>
      </w:r>
      <w:r w:rsidRPr="00A3026E">
        <w:rPr>
          <w:rFonts w:ascii="Times New Roman" w:hAnsi="Times New Roman"/>
          <w:color w:val="000000" w:themeColor="text1"/>
          <w:sz w:val="16"/>
          <w:szCs w:val="16"/>
        </w:rPr>
        <w:softHyphen/>
        <w:t>ботали так, что в танк помещался не только штатный ГАЗ-202, но и, после небольших доработок, двигатель ЗИС-5 (17485).</w:t>
      </w:r>
    </w:p>
    <w:p w14:paraId="01F67449" w14:textId="77777777" w:rsidR="005D6F1A" w:rsidRPr="00A3026E" w:rsidRDefault="005D6F1A" w:rsidP="00A3026E">
      <w:pPr>
        <w:spacing w:after="0" w:line="240" w:lineRule="auto"/>
        <w:jc w:val="both"/>
        <w:rPr>
          <w:rFonts w:ascii="Times New Roman" w:hAnsi="Times New Roman"/>
          <w:color w:val="000000" w:themeColor="text1"/>
          <w:sz w:val="16"/>
          <w:szCs w:val="16"/>
        </w:rPr>
      </w:pPr>
    </w:p>
    <w:p w14:paraId="66D7CA9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октябре 1940 г. на УТ-2 испытывали модернизированный мотор МВ-4. Одним из основных его недостатков считался ненадежный запуск в холода. Даже при вполне рядовой, по нашим меркам, температуре ниже 5°С запустить его было почти невозможно. В 1939 г. опробовали вариант с газовым (пиротехническим) самопуском ГС-16 вместо французского пневматического "Вьет". Это давало экономию массы на 12 кг и упрощало запуск мотора в мороз. В 1940 г. появился опытный образец модификации МВ-4А с ГС-16, измененной задней крышкой и современной схемой смазки через коленвал. В дефлекторе сделали задвижные окна для облегчения доступа к свечам. Все агрегаты на двигателе уже были советскими. Важным моментом стало уменьшение уровня вибраций, позволившее признать результат удовлетворительным (11479).</w:t>
      </w:r>
    </w:p>
    <w:p w14:paraId="7F84EEC8"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29C968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проводились испытания СБ с нагнетателями ТК-2, забракован</w:t>
      </w:r>
      <w:r w:rsidRPr="00A3026E">
        <w:rPr>
          <w:rFonts w:ascii="Times New Roman" w:hAnsi="Times New Roman"/>
          <w:color w:val="000000" w:themeColor="text1"/>
          <w:sz w:val="16"/>
          <w:szCs w:val="16"/>
        </w:rPr>
        <w:softHyphen/>
        <w:t>ными из-за низкой надежности. Их заменили на ТК-2Б и продолжили полеты, но также сочли неудовлет</w:t>
      </w:r>
      <w:r w:rsidRPr="00A3026E">
        <w:rPr>
          <w:rFonts w:ascii="Times New Roman" w:hAnsi="Times New Roman"/>
          <w:color w:val="000000" w:themeColor="text1"/>
          <w:sz w:val="16"/>
          <w:szCs w:val="16"/>
        </w:rPr>
        <w:softHyphen/>
        <w:t>ворительными (11852).</w:t>
      </w:r>
    </w:p>
    <w:p w14:paraId="2EB1CB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5C77D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октябре 1940 года на основании постановления СНК и ЦК ВКП(б) от 19 сентября 1940 года за № 1723/692сс «О строительстве моторного завода в Тбилиси» и приказа НКАП от 24 сентября 1940 года за № 507сс было начато строительство завода № 448. Было предусмотрено строительство завода по выпуску моторов типа М-105. В ноябре 1941 года завод выпустил два и в декабре 1941 года 18 ЛАГГ-3 с мотором М-105П, после чего перешел на серийный выпуск этих самолетов. С мая 1942 года по март 1944 года завод выпускал самолеты ЛАГГ-3, но уже с мотором М-105ПФ (с 1941 до конца 1943 гг. директорами завода работали Агаджанов и </w:t>
      </w:r>
      <w:r w:rsidRPr="00A3026E">
        <w:rPr>
          <w:rFonts w:ascii="Times New Roman" w:hAnsi="Times New Roman"/>
          <w:color w:val="000000" w:themeColor="text1"/>
          <w:sz w:val="16"/>
          <w:szCs w:val="16"/>
        </w:rPr>
        <w:lastRenderedPageBreak/>
        <w:t>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01171D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6EE49C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5345DE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3A6846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4D6474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21DC56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завода Хведелиани</w:t>
      </w:r>
    </w:p>
    <w:p w14:paraId="1CDD34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Тбилиси, п/я 51 С июля 1956 года завод приступил к освоению нового самолета МИГ-21 (9821).</w:t>
      </w:r>
    </w:p>
    <w:p w14:paraId="6D2819F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79BEC0" w14:textId="77777777" w:rsidR="00A44584" w:rsidRPr="00A3026E" w:rsidRDefault="00A4458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на </w:t>
      </w:r>
      <w:bookmarkStart w:id="14" w:name="YANDEX_63"/>
      <w:bookmarkEnd w:id="14"/>
      <w:r w:rsidRPr="00A3026E">
        <w:rPr>
          <w:rFonts w:ascii="Times New Roman" w:hAnsi="Times New Roman"/>
          <w:color w:val="000000" w:themeColor="text1"/>
          <w:sz w:val="16"/>
          <w:szCs w:val="16"/>
        </w:rPr>
        <w:t xml:space="preserve"> заводе  № 153 работало 7 500 чел. рабочих и служащих, но среди них было только 7 инженеров, окончивших авиационные институты. В связи с тем, что трудности с подбором руководящих инженерно-технических кадров серьезно осложняли использование производства и особенно выпуск продукции в новом цехе бомбардировочной авиации, </w:t>
      </w:r>
      <w:bookmarkStart w:id="15" w:name="YANDEX_64"/>
      <w:bookmarkEnd w:id="15"/>
      <w:r w:rsidRPr="00A3026E">
        <w:rPr>
          <w:rFonts w:ascii="Times New Roman" w:hAnsi="Times New Roman"/>
          <w:color w:val="000000" w:themeColor="text1"/>
          <w:sz w:val="16"/>
          <w:szCs w:val="16"/>
        </w:rPr>
        <w:t xml:space="preserve"> завод  просил наркомат авиационной промышленности направить сюда работников следующих профилей: главного инженера, начальника производства — заместителя главного инженера, главного технолога — заместителя главного инженера, начальников серийно-конструкторского и технологического отделов производства бомбардировочной авиации, а также начальников штамповочного, механического, сборочного цехов и отдела снабжения, 40–50 инженерно-технических работников (на производство истребительной авиации), 100–120 чел. для производства бомбардировочной авиации. Кроме того, </w:t>
      </w:r>
      <w:bookmarkStart w:id="16" w:name="YANDEX_65"/>
      <w:bookmarkEnd w:id="16"/>
      <w:r w:rsidRPr="00A3026E">
        <w:rPr>
          <w:rFonts w:ascii="Times New Roman" w:hAnsi="Times New Roman"/>
          <w:color w:val="000000" w:themeColor="text1"/>
          <w:sz w:val="16"/>
          <w:szCs w:val="16"/>
        </w:rPr>
        <w:t xml:space="preserve"> завод  просил закрепить за ним 25 инженеров и 30 техников из числа окончивших в 1940 г. самолетостроительные факультеты. </w:t>
      </w:r>
      <w:bookmarkStart w:id="17" w:name="YANDEX_67"/>
      <w:bookmarkEnd w:id="17"/>
      <w:r w:rsidRPr="00A3026E">
        <w:rPr>
          <w:rFonts w:ascii="Times New Roman" w:hAnsi="Times New Roman"/>
          <w:color w:val="000000" w:themeColor="text1"/>
          <w:sz w:val="16"/>
          <w:szCs w:val="16"/>
        </w:rPr>
        <w:t xml:space="preserve"> Завод  № 153 к 1940 г. вырос в крупное промышленное предприятие, выпускавшее самолеты такого же типа, что и Горьковский авиационный </w:t>
      </w:r>
      <w:bookmarkStart w:id="18" w:name="YANDEX_68"/>
      <w:bookmarkEnd w:id="18"/>
      <w:r w:rsidRPr="00A3026E">
        <w:rPr>
          <w:rFonts w:ascii="Times New Roman" w:hAnsi="Times New Roman"/>
          <w:color w:val="000000" w:themeColor="text1"/>
          <w:sz w:val="16"/>
          <w:szCs w:val="16"/>
        </w:rPr>
        <w:t xml:space="preserve"> завод  № 21. Однако имелся большой дефицит руководящих технических кадров, инженерно-технических работников и квалифицированных рабочих, поскольку они не хотели ехать в Новосибирск из-за неблагоприятных, по сравнению с другими районами, условий оплаты труда и материального снабжения. Так как ранее имевшиеся преимущества Новосибирской области в снабжении и оплате труда работников были отменены, нужные </w:t>
      </w:r>
      <w:bookmarkStart w:id="19" w:name="YANDEX_69"/>
      <w:bookmarkEnd w:id="19"/>
      <w:r w:rsidRPr="00A3026E">
        <w:rPr>
          <w:rFonts w:ascii="Times New Roman" w:hAnsi="Times New Roman"/>
          <w:color w:val="000000" w:themeColor="text1"/>
          <w:sz w:val="16"/>
          <w:szCs w:val="16"/>
        </w:rPr>
        <w:t xml:space="preserve"> заводу  кадры ехали в более отдаленные районы, где оплата труда была выше. В результате </w:t>
      </w:r>
      <w:bookmarkStart w:id="20" w:name="YANDEX_70"/>
      <w:bookmarkEnd w:id="20"/>
      <w:r w:rsidRPr="00A3026E">
        <w:rPr>
          <w:rFonts w:ascii="Times New Roman" w:hAnsi="Times New Roman"/>
          <w:color w:val="000000" w:themeColor="text1"/>
          <w:sz w:val="16"/>
          <w:szCs w:val="16"/>
        </w:rPr>
        <w:t xml:space="preserve"> завод  не мог ни пополнить руководящий состав, ни удержать их отъезд. Условия продовольственного и промтоварного снабжения Новосибирска, Иркутска и Улан-Удэ были почти одинаковы, но в двух последних ставки зарплаты были выше примерно в полтора раза. В связи с этим дирекция </w:t>
      </w:r>
      <w:bookmarkStart w:id="21" w:name="YANDEX_71"/>
      <w:bookmarkEnd w:id="21"/>
      <w:r w:rsidRPr="00A3026E">
        <w:rPr>
          <w:rFonts w:ascii="Times New Roman" w:hAnsi="Times New Roman"/>
          <w:color w:val="000000" w:themeColor="text1"/>
          <w:sz w:val="16"/>
          <w:szCs w:val="16"/>
        </w:rPr>
        <w:t xml:space="preserve"> завода  ставила вопрос о переводе его из второй категории в первую, об установлении ставок первого разряда с коэффициентом 1,5. На большинство </w:t>
      </w:r>
      <w:bookmarkStart w:id="22" w:name="YANDEX_72"/>
      <w:bookmarkEnd w:id="22"/>
      <w:r w:rsidRPr="00A3026E">
        <w:rPr>
          <w:rFonts w:ascii="Times New Roman" w:hAnsi="Times New Roman"/>
          <w:color w:val="000000" w:themeColor="text1"/>
          <w:sz w:val="16"/>
          <w:szCs w:val="16"/>
        </w:rPr>
        <w:t xml:space="preserve"> заводов  наркомата авиапромышленности распространялось решение СНК СССР о единовременной выплате средств за бесперебойную работу в течение 3–5 лет на одном и том же предприятии. Однако </w:t>
      </w:r>
      <w:bookmarkStart w:id="23" w:name="YANDEX_73"/>
      <w:bookmarkEnd w:id="23"/>
      <w:r w:rsidRPr="00A3026E">
        <w:rPr>
          <w:rFonts w:ascii="Times New Roman" w:hAnsi="Times New Roman"/>
          <w:color w:val="000000" w:themeColor="text1"/>
          <w:sz w:val="16"/>
          <w:szCs w:val="16"/>
        </w:rPr>
        <w:t> завод  № 153 не был включен в этот список. В связи с этим даже лица, направленные на </w:t>
      </w:r>
      <w:bookmarkStart w:id="24" w:name="YANDEX_74"/>
      <w:bookmarkEnd w:id="24"/>
      <w:r w:rsidRPr="00A3026E">
        <w:rPr>
          <w:rFonts w:ascii="Times New Roman" w:hAnsi="Times New Roman"/>
          <w:color w:val="000000" w:themeColor="text1"/>
          <w:sz w:val="16"/>
          <w:szCs w:val="16"/>
        </w:rPr>
        <w:t> завод  по приказу наркомата авиапромышленности — его главного управления — и имевшие по месту прежней работы право на получение доплат за выслугу лет, лишались этого права на </w:t>
      </w:r>
      <w:bookmarkStart w:id="25" w:name="YANDEX_75"/>
      <w:bookmarkEnd w:id="25"/>
      <w:r w:rsidRPr="00A3026E">
        <w:rPr>
          <w:rFonts w:ascii="Times New Roman" w:hAnsi="Times New Roman"/>
          <w:color w:val="000000" w:themeColor="text1"/>
          <w:sz w:val="16"/>
          <w:szCs w:val="16"/>
        </w:rPr>
        <w:t> заводе  № 153. Поэтому и было необходимо распространить решение СНК на </w:t>
      </w:r>
      <w:bookmarkStart w:id="26" w:name="YANDEX_76"/>
      <w:bookmarkEnd w:id="26"/>
      <w:r w:rsidRPr="00A3026E">
        <w:rPr>
          <w:rFonts w:ascii="Times New Roman" w:hAnsi="Times New Roman"/>
          <w:color w:val="000000" w:themeColor="text1"/>
          <w:sz w:val="16"/>
          <w:szCs w:val="16"/>
        </w:rPr>
        <w:t xml:space="preserve"> завод  № 153. Вследствие значительной удаленности от баз снабжения, расположенных под Москвой, и недостаточного внимания работников наркомата авиапромышленности </w:t>
      </w:r>
      <w:bookmarkStart w:id="27" w:name="YANDEX_77"/>
      <w:bookmarkEnd w:id="27"/>
      <w:r w:rsidRPr="00A3026E">
        <w:rPr>
          <w:rFonts w:ascii="Times New Roman" w:hAnsi="Times New Roman"/>
          <w:color w:val="000000" w:themeColor="text1"/>
          <w:sz w:val="16"/>
          <w:szCs w:val="16"/>
        </w:rPr>
        <w:t xml:space="preserve"> завод  оказался в материально-техническом отношении в неравных условиях по сравнению с другими </w:t>
      </w:r>
      <w:bookmarkStart w:id="28" w:name="YANDEX_78"/>
      <w:bookmarkEnd w:id="28"/>
      <w:r w:rsidRPr="00A3026E">
        <w:rPr>
          <w:rFonts w:ascii="Times New Roman" w:hAnsi="Times New Roman"/>
          <w:color w:val="000000" w:themeColor="text1"/>
          <w:sz w:val="16"/>
          <w:szCs w:val="16"/>
        </w:rPr>
        <w:t xml:space="preserve"> заводами  этой отрасли. Предприятия, расположенные недалеко от Москвы, имели возможность получать материалы и готовые изделия непосредственно с баз и затрачивали на их перевозку 2–3 дня, обладая при этом преимуществом первоочередного получателя. Материалы и изделия для </w:t>
      </w:r>
      <w:bookmarkStart w:id="29" w:name="YANDEX_79"/>
      <w:bookmarkEnd w:id="29"/>
      <w:r w:rsidRPr="00A3026E">
        <w:rPr>
          <w:rFonts w:ascii="Times New Roman" w:hAnsi="Times New Roman"/>
          <w:color w:val="000000" w:themeColor="text1"/>
          <w:sz w:val="16"/>
          <w:szCs w:val="16"/>
        </w:rPr>
        <w:t xml:space="preserve"> завода  № 153 отгружали только после многократных требований, писем, телеграмм и телефонных переговоров. При этом нередко, исчерпав все возможности, дирекция </w:t>
      </w:r>
      <w:bookmarkStart w:id="30" w:name="YANDEX_80"/>
      <w:bookmarkEnd w:id="30"/>
      <w:r w:rsidRPr="00A3026E">
        <w:rPr>
          <w:rFonts w:ascii="Times New Roman" w:hAnsi="Times New Roman"/>
          <w:color w:val="000000" w:themeColor="text1"/>
          <w:sz w:val="16"/>
          <w:szCs w:val="16"/>
        </w:rPr>
        <w:t xml:space="preserve"> завода  вынуждена была обращаться к наркому, его заместителям и направлять в Москву в длительные командировки работников снабжения добиваться отгрузки материалов и изделий, которые потом еще месяц находились в пути. Главное управление наркомата не учитывало, что материалы, необходимые для выполнения программы данного месяца, нередко прибывали лишь к концу месяца, срывая тем самым выполнение задания. Одной из серьезных проблем </w:t>
      </w:r>
      <w:bookmarkStart w:id="31" w:name="YANDEX_81"/>
      <w:bookmarkEnd w:id="31"/>
      <w:r w:rsidRPr="00A3026E">
        <w:rPr>
          <w:rFonts w:ascii="Times New Roman" w:hAnsi="Times New Roman"/>
          <w:color w:val="000000" w:themeColor="text1"/>
          <w:sz w:val="16"/>
          <w:szCs w:val="16"/>
        </w:rPr>
        <w:t> завода  была крайне слабая его связь с городом. Это значительно ограничивало привлечение на </w:t>
      </w:r>
      <w:bookmarkStart w:id="32" w:name="YANDEX_82"/>
      <w:bookmarkEnd w:id="32"/>
      <w:r w:rsidRPr="00A3026E">
        <w:rPr>
          <w:rFonts w:ascii="Times New Roman" w:hAnsi="Times New Roman"/>
          <w:color w:val="000000" w:themeColor="text1"/>
          <w:sz w:val="16"/>
          <w:szCs w:val="16"/>
        </w:rPr>
        <w:t xml:space="preserve"> завод  рабочих, проживавших в городе. Трамвайное сообщение на протяжении 3 км было однопутным, не обеспеченным необходимым количеством составов, поэтому не справлялось с перевозкой рабочих. Необходимо было построить вторые пути и увеличить количество вагонов. Кроме того, «жилгород» </w:t>
      </w:r>
      <w:bookmarkStart w:id="33" w:name="YANDEX_83"/>
      <w:bookmarkEnd w:id="33"/>
      <w:r w:rsidRPr="00A3026E">
        <w:rPr>
          <w:rFonts w:ascii="Times New Roman" w:hAnsi="Times New Roman"/>
          <w:color w:val="000000" w:themeColor="text1"/>
          <w:sz w:val="16"/>
          <w:szCs w:val="16"/>
        </w:rPr>
        <w:t xml:space="preserve"> завода , находившийся за линией железной дороги, был полностью оторван от города, что создавало большие бытовые трудности и вызывало текучесть рабочих кадров. Поэтому необходимо было провести работы по устройству путепровода над железной дорогой у станции Ельцовка и уложить до 3 км трамвайного пути от магистрали до площади строящегося </w:t>
      </w:r>
      <w:bookmarkStart w:id="34" w:name="YANDEX_84"/>
      <w:bookmarkEnd w:id="34"/>
      <w:r w:rsidRPr="00A3026E">
        <w:rPr>
          <w:rFonts w:ascii="Times New Roman" w:hAnsi="Times New Roman"/>
          <w:color w:val="000000" w:themeColor="text1"/>
          <w:sz w:val="16"/>
          <w:szCs w:val="16"/>
        </w:rPr>
        <w:t xml:space="preserve"> завода  № 335. Но строители </w:t>
      </w:r>
      <w:bookmarkStart w:id="35" w:name="YANDEX_85"/>
      <w:bookmarkEnd w:id="35"/>
      <w:r w:rsidRPr="00A3026E">
        <w:rPr>
          <w:rFonts w:ascii="Times New Roman" w:hAnsi="Times New Roman"/>
          <w:color w:val="000000" w:themeColor="text1"/>
          <w:sz w:val="16"/>
          <w:szCs w:val="16"/>
        </w:rPr>
        <w:t> завода  № 153 не справлялись с освоением капитальных вложений на промышленных объектах, не говоря уже о гражданских. Так, за 9 месяцев 1940 г. планом предусматривалось освоить 31,6 млн р., в том числе на строительно-монтажных работах 21,150 млн р., а освоено было 25,781 и 20,238 млн р. На стройке работало всего 3 404 чел., в том числе из Сиблага 1 782 чел., а для выполнения плана требовалось 5 500 чел. Хотя основными причинами невыполнения планов были необеспеченность строительных организаций местными строительными материалами и транспортом (15733).</w:t>
      </w:r>
    </w:p>
    <w:p w14:paraId="77979C4B" w14:textId="77777777" w:rsidR="00A44584" w:rsidRPr="00A3026E" w:rsidRDefault="00A44584" w:rsidP="00A3026E">
      <w:pPr>
        <w:spacing w:after="0" w:line="240" w:lineRule="auto"/>
        <w:jc w:val="both"/>
        <w:rPr>
          <w:rFonts w:ascii="Times New Roman" w:hAnsi="Times New Roman"/>
          <w:color w:val="000000" w:themeColor="text1"/>
          <w:sz w:val="16"/>
          <w:szCs w:val="16"/>
        </w:rPr>
      </w:pPr>
    </w:p>
    <w:p w14:paraId="0E53F3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на заводе Сибмашстрой в Новосибирске работало 7 500 чел. рабочих и служащих, но среди них было только 7 инженеров, окончивших авиационные институты. В связи с тем, что трудности с подбором руководящих инженерно-технических кадров серьезно осложняли использование производства и особенно выпуск продукции в новом цехе бомбардировочной авиации, завод просил наркомат авиационной промышленности направить сюда работников следующих профилей: главного инженера, начальника производства - заместителя главного инженера, главного технолога - заместителя главного инженера, начальников серийно-конструкторского и технологического отделов производства бомбардировочной авиации, а также начальников штамповочного, механического, сборочного цехов и отдела снабжения, 40-50 инженерно-технических работников (на производство истребительной авиации), 100-120 чел. для производства бомбардировочной авиации. Кроме того, завод просил закрепить за ним 25 инженеров и 30 техников из числа окончивших в 1940 г. самолетостроительные факультеты.</w:t>
      </w:r>
    </w:p>
    <w:p w14:paraId="45B3C1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153 к 1940 г. вырос в крупное промышленное предприятие, выпускавшее самолеты такого же типа, что и Горьковский авиационный завод № 21. Однако имелся большой дефицит руководящих технических кадров, инженерно-технических работников и квалифицированных рабочих, поскольку они не хотели ехать в Новосибирск из-за неблагоприятных, по сравнению с другими районами, условий оплаты труда и материального снабжения. Так как ранее имевшиеся преимущества Новосибирской области в снабжении и оплате труда работников были отменены, нужные заводу кадры ехали в более отдаленные районы, где оплата труда была выше. В результате завод не мог ни пополнить руководящий состав, ни удержать их отъезд. Условия продовольственного и промтоварного снабжения Новосибирска, Иркутска и Улан-Удэ были почти одинаковы, но в двух последних ставки зарплаты были выше примерно в полтора раза. В связи с этим дирекция завода ставила вопрос о переводе его из второй категории в первую, об установлении ставок первого разряда с коэффициентом 1,5. На большинство заводов наркомата авиапромышленности распространялось решение СНК СССР о единовременной выплате средств за бесперебойную работу в течение 3-5 лет на одном и том же предприятии. Однако завод № 153 не был включен в этот список. В связи с этим даже лица, направленные на завод по приказу наркомата авиапромышленности - его главного управления - и имевшие по месту прежней работы право на получение доплат за выслугу лет, лишались этого права на заводе № 153. Поэтому и было необходимо распространить решение СНК на завод № 153.</w:t>
      </w:r>
    </w:p>
    <w:p w14:paraId="1C0556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Вследствие значительной удаленности от баз снабжения, расположенных под Москвой, и недостаточного внимания работников наркомата авиапромышленности завод оказался в материально-техническом отношении в неравных условиях по сравнению с другими заводами этой отрасли. Предприятия, расположенные недалеко от Москвы, имели возможность получать материалы и готовые изделия непосредственно с баз и затрачивали на их перевозку 2-3 дня, обладая при этом преимуществом первоочередного получателя. Материалы и изделия для завода № 153 отгружали только после многократных требований, писем, телеграмм и телефонных переговоров. При этом нередко, исчерпав все возможности, дирекция завода вынуждена была обращаться к наркому, его заместителям и направлять в Москву в длительные командировки работников снабжения добиваться отгрузки материалов и изделий, которые потом еще месяц находились в пути. Главное управление наркомата не учитывало, что материалы, необходимые для выполнения программы данного месяца, нередко прибывали лишь к концу месяца, срывая тем самым выполнение задания.</w:t>
      </w:r>
    </w:p>
    <w:p w14:paraId="13C6C2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Одной из серьезных проблем завода была крайне слабая его связь с городом. Это значительно ограничивало привлечение на завод рабочих, проживавших в городе. Трамвайное сообщение на протяжении 3 км было однопутным, не обеспеченным необходимым количеством составов, поэтому не справлялось с перевозкой рабочих. Необходимо было построить вторые пути и увеличить количество вагонов. Кроме того, «жилгород» завода, находившийся за линией железной дороги, был полностью оторван от города, что создавало большие бытовые трудности и вызывало текучесть рабочих кадров. Поэтому необходимо было провести работы по устройству путепровода над железной дорогой у станции Ельцовка и уложить до 3 км трамвайного пути от магистрали до площади строящегося завода № 335. Но строители завода № 153 не справлялись с освоением капитальных вложений на промышленных объектах, не говоря уже о гражданских. Так, за 9 месяцев 1940 г. планом предусматривалось освоить 31,6 млн р., в том числе на строительно-монтажных работах 21,150 млн р., а освоено было 25,781 и 20,238 млн р. На стройке работало всего 3 404 чел., в том числе из Сиблага 1 782 чел., а для выполнения плана требовалось 5 500 чел. Хотя основными причинами невыполнения планов были необеспеченность строительных организаций местными строительными материалами и транспортом (9684).</w:t>
      </w:r>
    </w:p>
    <w:p w14:paraId="4B0D5DC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AD47F93" w14:textId="77777777" w:rsidR="00E96871" w:rsidRPr="00A3026E" w:rsidRDefault="00E9687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на основе полученного положительного опыта по совершенствованию аэродинамики и прочности новых типов самолетов нарком авиационной промышленности СССР А. И. Шахурин из дал приказ: «Впредь практиковать непременную отработку в ЦАГИ каждого принимаемого е серию нового самолета и прикрепление научных сотрудников ЦАГИ, ответственных за его усовершенствование. Начальнику ЦАГИ... работу по исследованию и совершенствованию конкретных новых самолетов включить в план как 1940 г., так и 1941 г. и считать эту работу важнейшей научно-исследовательской работой института» (19727).</w:t>
      </w:r>
    </w:p>
    <w:p w14:paraId="252F1F25" w14:textId="77777777" w:rsidR="00E96871" w:rsidRPr="00A3026E" w:rsidRDefault="00E96871" w:rsidP="00A3026E">
      <w:pPr>
        <w:spacing w:after="0" w:line="240" w:lineRule="auto"/>
        <w:jc w:val="both"/>
        <w:rPr>
          <w:rFonts w:ascii="Times New Roman" w:hAnsi="Times New Roman"/>
          <w:color w:val="000000" w:themeColor="text1"/>
          <w:sz w:val="16"/>
          <w:szCs w:val="16"/>
        </w:rPr>
      </w:pPr>
    </w:p>
    <w:p w14:paraId="1BCA81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было введено в действие новое Наставление по эксплуатационно-технической службе ВВС КА (НЭТС-40) (341,20).</w:t>
      </w:r>
    </w:p>
    <w:p w14:paraId="42E1264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287399A" w14:textId="77777777" w:rsidR="00E96871" w:rsidRPr="00A3026E" w:rsidRDefault="00E96871"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октябре 1940 года пушка МП-6 проходила наземные полигонные испытания в Ногинске на полигоне НИИ АВ ВВС РККА.</w:t>
      </w:r>
    </w:p>
    <w:p w14:paraId="28B9BCC9" w14:textId="77777777" w:rsidR="00E96871" w:rsidRPr="00A3026E" w:rsidRDefault="00E96871" w:rsidP="00A3026E">
      <w:pPr>
        <w:pStyle w:val="ae"/>
        <w:shd w:val="clear" w:color="auto" w:fill="FFFFFF"/>
        <w:spacing w:before="0" w:after="0"/>
        <w:jc w:val="both"/>
        <w:rPr>
          <w:color w:val="000000" w:themeColor="text1"/>
          <w:sz w:val="16"/>
          <w:szCs w:val="16"/>
        </w:rPr>
      </w:pPr>
      <w:r w:rsidRPr="00A3026E">
        <w:rPr>
          <w:color w:val="000000" w:themeColor="text1"/>
          <w:sz w:val="16"/>
          <w:szCs w:val="16"/>
        </w:rPr>
        <w:t>Стрельбы же в воздухе из пушки МП-6 на полигоне НИП АВ ВВС начались 31 ноября и продолжались по 10 декабря. На каких самолетах они проводились, в отчете не сказано, известно, что один из прототипов пушки устанавливался на купленный в Германии истребитель Bf-110С, также планировалась установка пушек на двух бомбардировщиках СБ № 7/290 и 15/266. Было отмечено, что темп стрельбы пушки составил 581-627 выстрелов в минуту, а начальная скорость снаряда - 872,9 м/с (19193).</w:t>
      </w:r>
    </w:p>
    <w:p w14:paraId="788C3DD0" w14:textId="77777777" w:rsidR="00E96871" w:rsidRPr="00A3026E" w:rsidRDefault="00E96871" w:rsidP="00A3026E">
      <w:pPr>
        <w:pStyle w:val="ae"/>
        <w:shd w:val="clear" w:color="auto" w:fill="FFFFFF"/>
        <w:spacing w:before="0" w:after="0"/>
        <w:jc w:val="both"/>
        <w:rPr>
          <w:color w:val="000000" w:themeColor="text1"/>
          <w:sz w:val="16"/>
          <w:szCs w:val="16"/>
        </w:rPr>
      </w:pPr>
    </w:p>
    <w:p w14:paraId="372C49C0" w14:textId="77777777" w:rsidR="00E96871" w:rsidRPr="00A3026E" w:rsidRDefault="00E96871"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октябре 1940 г. пушка МП-6 поступила на полигонные испытания в НИИ АВ ВВС РККА (г. Ногинск), где её установили на германском самолёте «Мессершмидт-110». МП-6 проходила испытания параллельно с пушкой ВЯ. Тульская пушка поступила на испытания несколько раньше МП-6 и 11 октября уже завершила их наземную часть, а сотрудники полигона имели данные для сравнения. Оно показало, что баллистика и скорострельность пушек практически одинаковая. Достоинство магазинного питания пушки МП-6 полигон посчитал неочевидным по многим причинам (дорогая фрезерованная обойма, размещение магазина только с одной стороны пушки и возникающая из-за этого асимметрия масс пушечных установок и др.), недостаточная ёмкость системы питания 81 патрон, при необходимом минимуме 200 патронов. Магазин на 150 патронов (25 обойм по 6 патронов) Таубиным был заявлен, но так и не разработан. Что очень важно — установка МП-6 в крыле требовала прикрытия её специальным обтекателем, ухудшающим аэродинамику. Обойтись без него было нельзя, т.к. опустошённая обойма, выходящая из пушки, попадала в воздушный поток и, изгибаясь, заклинивалась, что приводило к остановке стрельбы. Ленточное питание пушки ВЯ позволяло обеспечить существенно меньшее поперечное сечение пушечной установки (ленты могли укладываться в крыльях на расстояние 1–1,5 м от пушки), штампованные звенья ленты стоили существенно дешевле обойм. Оценка веса пушек МП-6 и ВЯ показала, что с учётом механизмов перезарядки вес МП-6 (56 кг) был всего на 6,8 кг меньше, чем у ВЯ (62,8 кг), но у пушки ВЯ он мог быть без особых затруднений уменьшен до 52 кг. Однако если по массогабаритным характеристикам МП-6 и ВЯ были соизмеримы, то по безотказности и живучести преимущество находилось на стороне ВЯ (0,05% задержек и 0,1% поломок, по сравнению с 0,21%/0,62% у МП-6), а главное — магазинное питание МП-6 совершенно не годилось, требовалась её переделка под ленту (19195).</w:t>
      </w:r>
    </w:p>
    <w:p w14:paraId="391627E3" w14:textId="77777777" w:rsidR="00E96871" w:rsidRPr="00A3026E" w:rsidRDefault="00E96871"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220500D7" w14:textId="77777777" w:rsidR="00E96871" w:rsidRPr="00A3026E" w:rsidRDefault="00E96871" w:rsidP="00A3026E">
      <w:pPr>
        <w:pStyle w:val="ae"/>
        <w:spacing w:before="0" w:after="0"/>
        <w:jc w:val="both"/>
        <w:rPr>
          <w:color w:val="000000" w:themeColor="text1"/>
          <w:sz w:val="16"/>
          <w:szCs w:val="16"/>
        </w:rPr>
      </w:pPr>
      <w:r w:rsidRPr="00A3026E">
        <w:rPr>
          <w:color w:val="000000" w:themeColor="text1"/>
          <w:sz w:val="16"/>
          <w:szCs w:val="16"/>
        </w:rPr>
        <w:t>В октябре 1940 г. пушка МП-6 поступила на полигонные испытания в НИИ АВ ВВС РККА (г. Ногинск), где её установили на германском самолете «Мессершмидт-110». МП-6 проходила испытания параллельно с газоотводной пушкой ВЯ. Достоинство магазинного питания пушки МП-6 полигон посчитал не очевидным по многим причинам. Что очень важно — установка МП-6 в крыле требовала прикрытия её специальным обтекателем, ухудшающим аэродинамику. И если по массогабаритным характеристикам МП-6 и ВЯ были соизмеримы, то по безотказности и живучести преимущество находилось на стороне ВЯ (0,05% задержек и 0,1% поломок, по сравнению с 0,21%/0,62% у МП-6), а главное — магазинное питание МП-6 совершенно не годилось, требовалась её переделка под ленту (19194).</w:t>
      </w:r>
    </w:p>
    <w:p w14:paraId="34FDF59F" w14:textId="77777777" w:rsidR="00E96871" w:rsidRPr="00A3026E" w:rsidRDefault="00E96871" w:rsidP="00A3026E">
      <w:pPr>
        <w:pStyle w:val="ae"/>
        <w:spacing w:before="0" w:after="0"/>
        <w:jc w:val="both"/>
        <w:rPr>
          <w:color w:val="000000" w:themeColor="text1"/>
          <w:sz w:val="16"/>
          <w:szCs w:val="16"/>
        </w:rPr>
      </w:pPr>
    </w:p>
    <w:p w14:paraId="0DC4B3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штаб ВВС дал распоряжение командующим ВВС 4-х военных округов (З Особому, Ленинградскому, Закавказскому, Дальневосточному) о разработке проекта инструкции по организации взаимодействия авиации с наземными войсками (340,27).</w:t>
      </w:r>
    </w:p>
    <w:p w14:paraId="4E25F33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0F038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на полигонах «Мраморная балка» и «Ак-Мечеть» испытанили новые ФАБ-250св. Бомбометание проводили с бомбардировщиков ДБ-3 и СБ в горизонтальном полете со скоростью 300 км/ч. По прочности корпусов, стойкости ВВ и фугасному действию относительно штатных ФАБ-250св новые боеприпасы преимуществ не имели. Восьмая часть авиабомб инертного снаряжения падала неустойчиво, но, как выяснилось, из-за их неполного заполнения песком. При внешней подвеске под самолет глубоко отштампованные элементы жесткости на перьях стабилизатора (зиги) не давали закрепить боеприпасы на бомбодержателях, поскольку последние доработали в 1938 г., и теперь вертикальное крыло оперения необходимо было вводить в прорезь на балке. При установке головных взрывателей в донное очко благодаря конструкции заднего обтекателя корпуса авиабомбы их крыльчатки сворачивались без проблем. Между тем результаты испытаний удовлетворили военных, и в 1940 г. наряду с ФАБ-250св чертежа 3-641 в производстве утвердили и ФАБ-250М чертежа 3-0767 с индексом 7-Ф-323 (7453).</w:t>
      </w:r>
    </w:p>
    <w:p w14:paraId="3ABB51C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3D7F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на снаряжательном заводе № 12 НКБ инженеры Тельнов и Козлов, а также старший военпред предприятия военинженер 1 ранга Чушкин и инженер Управления ВВС КА военинженер 2 ранга Орлов разработали к АО-10сч корпус под футлярный метод снаряжания (аналогично используемому у АО-2,5сч), оставив прежними лишь габариты боеприпаса (7453).</w:t>
      </w:r>
    </w:p>
    <w:p w14:paraId="354DAE7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2BFF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появился очередной Указ Президи</w:t>
      </w:r>
      <w:r w:rsidRPr="00A3026E">
        <w:rPr>
          <w:rFonts w:ascii="Times New Roman" w:hAnsi="Times New Roman"/>
          <w:color w:val="000000" w:themeColor="text1"/>
          <w:sz w:val="16"/>
          <w:szCs w:val="16"/>
        </w:rPr>
        <w:softHyphen/>
        <w:t>ума Верховного Совета СССР. Его текст гласил:</w:t>
      </w:r>
    </w:p>
    <w:p w14:paraId="32EEEE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выдающиеся достижения в области создания но</w:t>
      </w:r>
      <w:r w:rsidRPr="00A3026E">
        <w:rPr>
          <w:rFonts w:ascii="Times New Roman" w:hAnsi="Times New Roman"/>
          <w:color w:val="000000" w:themeColor="text1"/>
          <w:sz w:val="16"/>
          <w:szCs w:val="16"/>
        </w:rPr>
        <w:softHyphen/>
        <w:t>вых типов вооружения, поднимающих оборонную мощь Советского Союза, присвоить звание Героя Соци</w:t>
      </w:r>
      <w:r w:rsidRPr="00A3026E">
        <w:rPr>
          <w:rFonts w:ascii="Times New Roman" w:hAnsi="Times New Roman"/>
          <w:color w:val="000000" w:themeColor="text1"/>
          <w:sz w:val="16"/>
          <w:szCs w:val="16"/>
        </w:rPr>
        <w:softHyphen/>
        <w:t>алистического Труда и вручить Орден Ленина и Золо</w:t>
      </w:r>
      <w:r w:rsidRPr="00A3026E">
        <w:rPr>
          <w:rFonts w:ascii="Times New Roman" w:hAnsi="Times New Roman"/>
          <w:color w:val="000000" w:themeColor="text1"/>
          <w:sz w:val="16"/>
          <w:szCs w:val="16"/>
        </w:rPr>
        <w:softHyphen/>
        <w:t>тую Медаль «Серп и Молот»:</w:t>
      </w:r>
    </w:p>
    <w:p w14:paraId="132EDC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Токареву Федору Васильевичу (по стрелковому во</w:t>
      </w:r>
      <w:r w:rsidRPr="00A3026E">
        <w:rPr>
          <w:rFonts w:ascii="Times New Roman" w:hAnsi="Times New Roman"/>
          <w:color w:val="000000" w:themeColor="text1"/>
          <w:sz w:val="16"/>
          <w:szCs w:val="16"/>
        </w:rPr>
        <w:softHyphen/>
        <w:t>оружению).</w:t>
      </w:r>
    </w:p>
    <w:p w14:paraId="07BFFF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Поликарпову Николаю Николаевичу (по самоле</w:t>
      </w:r>
      <w:r w:rsidRPr="00A3026E">
        <w:rPr>
          <w:rFonts w:ascii="Times New Roman" w:hAnsi="Times New Roman"/>
          <w:color w:val="000000" w:themeColor="text1"/>
          <w:sz w:val="16"/>
          <w:szCs w:val="16"/>
        </w:rPr>
        <w:softHyphen/>
        <w:t>там).</w:t>
      </w:r>
    </w:p>
    <w:p w14:paraId="6BAC96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Шпитальному Борису Гаврииловичу (по авиаво</w:t>
      </w:r>
      <w:r w:rsidRPr="00A3026E">
        <w:rPr>
          <w:rFonts w:ascii="Times New Roman" w:hAnsi="Times New Roman"/>
          <w:color w:val="000000" w:themeColor="text1"/>
          <w:sz w:val="16"/>
          <w:szCs w:val="16"/>
        </w:rPr>
        <w:softHyphen/>
        <w:t>оружению).</w:t>
      </w:r>
    </w:p>
    <w:p w14:paraId="57192E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Грабину Василию Гавриловичу (по артиллерии).</w:t>
      </w:r>
    </w:p>
    <w:p w14:paraId="7C0FB3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Яковлеву Александру Сергеевичу (по самолетам).</w:t>
      </w:r>
    </w:p>
    <w:p w14:paraId="017375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Микулину Александру Александровичу (по авиа</w:t>
      </w:r>
      <w:r w:rsidRPr="00A3026E">
        <w:rPr>
          <w:rFonts w:ascii="Times New Roman" w:hAnsi="Times New Roman"/>
          <w:color w:val="000000" w:themeColor="text1"/>
          <w:sz w:val="16"/>
          <w:szCs w:val="16"/>
        </w:rPr>
        <w:softHyphen/>
        <w:t>моторам).</w:t>
      </w:r>
    </w:p>
    <w:p w14:paraId="45800D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Климову Владимиру Яковлевичу (по авиамоторам).</w:t>
      </w:r>
    </w:p>
    <w:p w14:paraId="5C831F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Иванову Илье Ивановичу (по артиллерии).</w:t>
      </w:r>
    </w:p>
    <w:p w14:paraId="2D509F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Крупчатникову Михаилу Яковлевичу (по артилле</w:t>
      </w:r>
      <w:r w:rsidRPr="00A3026E">
        <w:rPr>
          <w:rFonts w:ascii="Times New Roman" w:hAnsi="Times New Roman"/>
          <w:color w:val="000000" w:themeColor="text1"/>
          <w:sz w:val="16"/>
          <w:szCs w:val="16"/>
        </w:rPr>
        <w:softHyphen/>
        <w:t>рии)» (10667).</w:t>
      </w:r>
    </w:p>
    <w:p w14:paraId="0900DF6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18765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л Е.И.Борисенко шесть раз пролетел под Кировским мостом в Ленинграде на Ш-2, стартовавшем с аэродрома Шоссейная, где стоял отряд из 20 Ш-2 и У-2 для Ленфильма, который снимал фильм Валерий Чкалов (7621, 34).</w:t>
      </w:r>
    </w:p>
    <w:p w14:paraId="4242869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D31E44A" w14:textId="77777777" w:rsidR="00A44584" w:rsidRPr="00A3026E" w:rsidRDefault="00A4458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когда в Урумчи стали прибывать комплектующие, началась сборка И-16 из частей и агрегатов завода № 153. К 1 января 1941 г. получили 32 комплекта, из них успели собрать 6 самолётов (15811).</w:t>
      </w:r>
    </w:p>
    <w:p w14:paraId="4E0FA7E0" w14:textId="77777777" w:rsidR="00A44584" w:rsidRPr="00A3026E" w:rsidRDefault="00A44584" w:rsidP="00A3026E">
      <w:pPr>
        <w:spacing w:after="0" w:line="240" w:lineRule="auto"/>
        <w:jc w:val="both"/>
        <w:rPr>
          <w:rFonts w:ascii="Times New Roman" w:hAnsi="Times New Roman"/>
          <w:color w:val="000000" w:themeColor="text1"/>
          <w:sz w:val="16"/>
          <w:szCs w:val="16"/>
        </w:rPr>
      </w:pPr>
    </w:p>
    <w:p w14:paraId="49A810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была изготовлена опытная партия в 50 штук снарядок ОФР-82 модели СЛ-017, боевые части которых были абсолютно идентичны ис</w:t>
      </w:r>
      <w:r w:rsidRPr="00A3026E">
        <w:rPr>
          <w:rFonts w:ascii="Times New Roman" w:hAnsi="Times New Roman"/>
          <w:color w:val="000000" w:themeColor="text1"/>
          <w:sz w:val="16"/>
          <w:szCs w:val="16"/>
        </w:rPr>
        <w:softHyphen/>
        <w:t>пользуемым в штатных боеприпасах, которые производили на заводе №70 НКБ. Ракетная часть предусматривала использование штатных РЗ. Ее основу составляла тонкостенная бесшовная труба из стали марки Ст.45, ассортимент которых был широко распространен в авиационной и автотракторной промышленности.</w:t>
      </w:r>
    </w:p>
    <w:p w14:paraId="4F9457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Блоки «камера-сопло» изготавливали методом принудительной ков</w:t>
      </w:r>
      <w:r w:rsidRPr="00A3026E">
        <w:rPr>
          <w:rFonts w:ascii="Times New Roman" w:hAnsi="Times New Roman"/>
          <w:color w:val="000000" w:themeColor="text1"/>
          <w:sz w:val="16"/>
          <w:szCs w:val="16"/>
        </w:rPr>
        <w:softHyphen/>
        <w:t>ки в ротационно-ковочной машине или под молотом, оборудованным «дополнительным механизмом подачи обшей массой 150-200 кг». Эти приемы разработали в НИИ-3 НКБ и опробовали на заводе имени Лени</w:t>
      </w:r>
      <w:r w:rsidRPr="00A3026E">
        <w:rPr>
          <w:rFonts w:ascii="Times New Roman" w:hAnsi="Times New Roman"/>
          <w:color w:val="000000" w:themeColor="text1"/>
          <w:sz w:val="16"/>
          <w:szCs w:val="16"/>
        </w:rPr>
        <w:softHyphen/>
        <w:t>на НКЧМ. При этом колосниковую диафрагму в виде отдельного узла запрессовывали в полость камеры двигателя. Напомним, что у штатных снарядов ее закрепляли в специальных гнездах крышки-сопла, которой затем поджимали РЗ.</w:t>
      </w:r>
    </w:p>
    <w:p w14:paraId="08E2FD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Для крепления ведущих штифтов и стабилизатора, на блок «камера-сопло» напрессовывали кольцевые пояски, которые одновременно уве</w:t>
      </w:r>
      <w:r w:rsidRPr="00A3026E">
        <w:rPr>
          <w:rFonts w:ascii="Times New Roman" w:hAnsi="Times New Roman"/>
          <w:color w:val="000000" w:themeColor="text1"/>
          <w:sz w:val="16"/>
          <w:szCs w:val="16"/>
        </w:rPr>
        <w:softHyphen/>
        <w:t>личивали прочность блока. Дно двигателя, в зависимости от назначения снаряда, крепили как в задней части БЧ, так и в передней части РЧ на резьбе. Стабилизатор использовали также штатный, «с объемной конст</w:t>
      </w:r>
      <w:r w:rsidRPr="00A3026E">
        <w:rPr>
          <w:rFonts w:ascii="Times New Roman" w:hAnsi="Times New Roman"/>
          <w:color w:val="000000" w:themeColor="text1"/>
          <w:sz w:val="16"/>
          <w:szCs w:val="16"/>
        </w:rPr>
        <w:softHyphen/>
        <w:t>рукцией крыльев», ранее разработанный на заводе №70 НКБ.</w:t>
      </w:r>
    </w:p>
    <w:p w14:paraId="071673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Технико-экономические расчеты показали, что при использовании ка</w:t>
      </w:r>
      <w:r w:rsidRPr="00A3026E">
        <w:rPr>
          <w:rFonts w:ascii="Times New Roman" w:hAnsi="Times New Roman"/>
          <w:color w:val="000000" w:themeColor="text1"/>
          <w:sz w:val="16"/>
          <w:szCs w:val="16"/>
        </w:rPr>
        <w:softHyphen/>
        <w:t>либрованных труб Днепропетровского трубного завода имени Ленина (78/3 мм для РС-82) или Первоуральского Новотрубного завода (78/3 мм для РС-82 и 128/4 мм для РС-132), отпадает необходимость в обработке на</w:t>
      </w:r>
      <w:r w:rsidRPr="00A3026E">
        <w:rPr>
          <w:rFonts w:ascii="Times New Roman" w:hAnsi="Times New Roman"/>
          <w:color w:val="000000" w:themeColor="text1"/>
          <w:sz w:val="16"/>
          <w:szCs w:val="16"/>
        </w:rPr>
        <w:softHyphen/>
        <w:t>ружной и внутренней поверхностей камеры двигателей снарядов. Резьбо</w:t>
      </w:r>
      <w:r w:rsidRPr="00A3026E">
        <w:rPr>
          <w:rFonts w:ascii="Times New Roman" w:hAnsi="Times New Roman"/>
          <w:color w:val="000000" w:themeColor="text1"/>
          <w:sz w:val="16"/>
          <w:szCs w:val="16"/>
        </w:rPr>
        <w:softHyphen/>
        <w:t>вые соединения корпуса двигателя с крышкой-соплом, сопла со стабили</w:t>
      </w:r>
      <w:r w:rsidRPr="00A3026E">
        <w:rPr>
          <w:rFonts w:ascii="Times New Roman" w:hAnsi="Times New Roman"/>
          <w:color w:val="000000" w:themeColor="text1"/>
          <w:sz w:val="16"/>
          <w:szCs w:val="16"/>
        </w:rPr>
        <w:softHyphen/>
        <w:t>затором, а также запальных стаканов дополнительных детонаторов с кор</w:t>
      </w:r>
      <w:r w:rsidRPr="00A3026E">
        <w:rPr>
          <w:rFonts w:ascii="Times New Roman" w:hAnsi="Times New Roman"/>
          <w:color w:val="000000" w:themeColor="text1"/>
          <w:sz w:val="16"/>
          <w:szCs w:val="16"/>
        </w:rPr>
        <w:softHyphen/>
        <w:t>пусом БЧ упразднили. Время, необходимое на механическую обработку крышки-сопла, резко сокращалось, упрощалась и обработка дна двигателя, стабилизатора и запального стакана. Обтекатель стабилизатора теперь просто наделали на конусную выточку заднего центрирующего утолщения и в районе соплового среза фиксировали сваркой в нескольких точках.</w:t>
      </w:r>
    </w:p>
    <w:p w14:paraId="036051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итоге общее время обработки узлов существенно сократилось. К при</w:t>
      </w:r>
      <w:r w:rsidRPr="00A3026E">
        <w:rPr>
          <w:rFonts w:ascii="Times New Roman" w:hAnsi="Times New Roman"/>
          <w:color w:val="000000" w:themeColor="text1"/>
          <w:sz w:val="16"/>
          <w:szCs w:val="16"/>
        </w:rPr>
        <w:softHyphen/>
        <w:t>меру, на производство одного штатного снаряда РОФС-82 затрачивали в среднем 490 минут, а на ОФР-82 по новой технологии - до 280. По старой технологии РОФС-132 изготавливали за 940 минут, а на изготовление ОФР-132 требовалось всего 360. Новая конструкция способствовала также экономии материала. Теперь при изготовлении снарядов 82-мм калибра в стружку уходило на 8,3 кг металла меньше, а у 132-мм - на целый 21 кг! В первом приближении, финансовую экономию представляли следу</w:t>
      </w:r>
      <w:r w:rsidRPr="00A3026E">
        <w:rPr>
          <w:rFonts w:ascii="Times New Roman" w:hAnsi="Times New Roman"/>
          <w:color w:val="000000" w:themeColor="text1"/>
          <w:sz w:val="16"/>
          <w:szCs w:val="16"/>
        </w:rPr>
        <w:softHyphen/>
        <w:t>ющим образом: при изготовлении 1000 штук 82-мм снарядов высвобождалось 98.000 руб., а при производстве 132-мм, - 271.000 руб. С учетом же сокращения расхода инструмента, механических и энергетических мощ</w:t>
      </w:r>
      <w:r w:rsidRPr="00A3026E">
        <w:rPr>
          <w:rFonts w:ascii="Times New Roman" w:hAnsi="Times New Roman"/>
          <w:color w:val="000000" w:themeColor="text1"/>
          <w:sz w:val="16"/>
          <w:szCs w:val="16"/>
        </w:rPr>
        <w:softHyphen/>
        <w:t>ностей, транспорта и пр. (на примере завода №70, где статьи накладных расходов достигали 800%), - ориентировочно до 500%. Экономический эффект при изготовлении 1000 боеприпасов мог достичь в 82-мм калибре - 131.000 руб., а в 132-мм - 325.000 руб.</w:t>
      </w:r>
    </w:p>
    <w:p w14:paraId="211B92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Качество снарядов, изготовленных по новой технологии, их внешне- и внутрибаллистические данные должны были также резко возрасти. К примеру, монолитность корпуса двигателя обеспечивала его гермети</w:t>
      </w:r>
      <w:r w:rsidRPr="00A3026E">
        <w:rPr>
          <w:rFonts w:ascii="Times New Roman" w:hAnsi="Times New Roman"/>
          <w:color w:val="000000" w:themeColor="text1"/>
          <w:sz w:val="16"/>
          <w:szCs w:val="16"/>
        </w:rPr>
        <w:softHyphen/>
        <w:t>зацию и полностью предотвращало прорыв продуктов горения РЗ через резьбовые соединения с крышкой-соплом. Помимо того, устранялись отклонения от центровки осей отверстия критического сечения сопла и корпуса боеприпаса, а также от смешения соосности сопла, снаряда и оперения в момент выстрела за счет деформации разъемных соедине</w:t>
      </w:r>
      <w:r w:rsidRPr="00A3026E">
        <w:rPr>
          <w:rFonts w:ascii="Times New Roman" w:hAnsi="Times New Roman"/>
          <w:color w:val="000000" w:themeColor="text1"/>
          <w:sz w:val="16"/>
          <w:szCs w:val="16"/>
        </w:rPr>
        <w:softHyphen/>
        <w:t>ний. Благодаря конструкции колосниковой диафрагмы, увеличивалась ее площадь свободного сечения при одновременном уменьшении сече</w:t>
      </w:r>
      <w:r w:rsidRPr="00A3026E">
        <w:rPr>
          <w:rFonts w:ascii="Times New Roman" w:hAnsi="Times New Roman"/>
          <w:color w:val="000000" w:themeColor="text1"/>
          <w:sz w:val="16"/>
          <w:szCs w:val="16"/>
        </w:rPr>
        <w:softHyphen/>
        <w:t>ния проходных отверстий, что создавало условия для равномерного и полного сгорания РЗ.</w:t>
      </w:r>
    </w:p>
    <w:p w14:paraId="39DD58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пожалуй, самое главное, - производство снарядов по новой тех</w:t>
      </w:r>
      <w:r w:rsidRPr="00A3026E">
        <w:rPr>
          <w:rFonts w:ascii="Times New Roman" w:hAnsi="Times New Roman"/>
          <w:color w:val="000000" w:themeColor="text1"/>
          <w:sz w:val="16"/>
          <w:szCs w:val="16"/>
        </w:rPr>
        <w:softHyphen/>
        <w:t>нологии не требовало нового оборудования. Скорее, наоборот, при со</w:t>
      </w:r>
      <w:r w:rsidRPr="00A3026E">
        <w:rPr>
          <w:rFonts w:ascii="Times New Roman" w:hAnsi="Times New Roman"/>
          <w:color w:val="000000" w:themeColor="text1"/>
          <w:sz w:val="16"/>
          <w:szCs w:val="16"/>
        </w:rPr>
        <w:softHyphen/>
        <w:t>хранении объемов готовой продукции высвобождалось от 40 до 50% станочного парка и около 40% режущего и мерительного инструмента. Как видно из данных технико-экономических обоснований, конструкторам уже накануне войны были ясны причины большого рассеивания РС при наземной стрельбе и недостаточной точности при воздушной. Создатели боеприпасов готовы были конструктивными нюансами парировать эти отрицательные явления, однако в серийном производстве до этого дело не дошло. В течение всей Великой Отечественной в больших количест</w:t>
      </w:r>
      <w:r w:rsidRPr="00A3026E">
        <w:rPr>
          <w:rFonts w:ascii="Times New Roman" w:hAnsi="Times New Roman"/>
          <w:color w:val="000000" w:themeColor="text1"/>
          <w:sz w:val="16"/>
          <w:szCs w:val="16"/>
        </w:rPr>
        <w:softHyphen/>
        <w:t>вах по заказам «гвардейских минометчиков» изготавливали тс самые до</w:t>
      </w:r>
      <w:r w:rsidRPr="00A3026E">
        <w:rPr>
          <w:rFonts w:ascii="Times New Roman" w:hAnsi="Times New Roman"/>
          <w:color w:val="000000" w:themeColor="text1"/>
          <w:sz w:val="16"/>
          <w:szCs w:val="16"/>
        </w:rPr>
        <w:softHyphen/>
        <w:t>рогостоящие и не очень удачные в отношении баллистики М-8 и М-13 -аналоги авиационных снарядов для полевой реактивной артиллерии.</w:t>
      </w:r>
    </w:p>
    <w:p w14:paraId="7B8CFC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1.51 Результаты рассеивания опытных РОС-82 конструкции завода №70 НКБ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92"/>
        <w:gridCol w:w="1973"/>
        <w:gridCol w:w="2002"/>
      </w:tblGrid>
      <w:tr w:rsidR="00983732" w:rsidRPr="00A3026E" w14:paraId="66512F43" w14:textId="77777777" w:rsidTr="00EA0DA7">
        <w:trPr>
          <w:trHeight w:val="274"/>
        </w:trPr>
        <w:tc>
          <w:tcPr>
            <w:tcW w:w="1692" w:type="dxa"/>
            <w:tcBorders>
              <w:top w:val="single" w:sz="12" w:space="0" w:color="auto"/>
            </w:tcBorders>
          </w:tcPr>
          <w:p w14:paraId="6AC3B7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Группы снарядов</w:t>
            </w:r>
          </w:p>
          <w:p w14:paraId="7175BA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975" w:type="dxa"/>
            <w:gridSpan w:val="2"/>
            <w:tcBorders>
              <w:top w:val="single" w:sz="12" w:space="0" w:color="auto"/>
            </w:tcBorders>
          </w:tcPr>
          <w:p w14:paraId="4C7DC1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величина рассеивания, доли дистанции:</w:t>
            </w:r>
          </w:p>
          <w:p w14:paraId="0F8116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97E269D" w14:textId="77777777" w:rsidTr="00EA0DA7">
        <w:trPr>
          <w:trHeight w:val="194"/>
        </w:trPr>
        <w:tc>
          <w:tcPr>
            <w:tcW w:w="1692" w:type="dxa"/>
          </w:tcPr>
          <w:p w14:paraId="538F13C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2F77FF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73" w:type="dxa"/>
          </w:tcPr>
          <w:p w14:paraId="5BF598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дальности</w:t>
            </w:r>
          </w:p>
          <w:p w14:paraId="77DDAC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0E40FC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боковому направлению</w:t>
            </w:r>
          </w:p>
          <w:p w14:paraId="6E1868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DD7BEAF" w14:textId="77777777" w:rsidTr="00EA0DA7">
        <w:trPr>
          <w:trHeight w:val="216"/>
        </w:trPr>
        <w:tc>
          <w:tcPr>
            <w:tcW w:w="1692" w:type="dxa"/>
          </w:tcPr>
          <w:p w14:paraId="379C18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w:t>
            </w:r>
          </w:p>
          <w:p w14:paraId="7A6C3F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25C64B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1/108</w:t>
            </w:r>
          </w:p>
          <w:p w14:paraId="433C6A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7FBC8E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w:t>
            </w:r>
          </w:p>
          <w:p w14:paraId="7FA8E7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58845B1" w14:textId="77777777" w:rsidTr="00EA0DA7">
        <w:trPr>
          <w:trHeight w:val="245"/>
        </w:trPr>
        <w:tc>
          <w:tcPr>
            <w:tcW w:w="1692" w:type="dxa"/>
          </w:tcPr>
          <w:p w14:paraId="28BAEB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p w14:paraId="25F717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135945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1/133</w:t>
            </w:r>
          </w:p>
          <w:p w14:paraId="62CF0F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3C8E33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w:t>
            </w:r>
          </w:p>
          <w:p w14:paraId="36696D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B4BBFBC" w14:textId="77777777" w:rsidTr="00EA0DA7">
        <w:trPr>
          <w:trHeight w:val="202"/>
        </w:trPr>
        <w:tc>
          <w:tcPr>
            <w:tcW w:w="1692" w:type="dxa"/>
          </w:tcPr>
          <w:p w14:paraId="57E647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p w14:paraId="385F6B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3F990C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1/111</w:t>
            </w:r>
          </w:p>
          <w:p w14:paraId="6D7CF1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6D4C9C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w:t>
            </w:r>
          </w:p>
          <w:p w14:paraId="2F2721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4EE8078" w14:textId="77777777" w:rsidTr="00EA0DA7">
        <w:trPr>
          <w:trHeight w:val="223"/>
        </w:trPr>
        <w:tc>
          <w:tcPr>
            <w:tcW w:w="1692" w:type="dxa"/>
          </w:tcPr>
          <w:p w14:paraId="740740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p w14:paraId="55461B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7D9429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1/104</w:t>
            </w:r>
          </w:p>
          <w:p w14:paraId="380C03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3FED80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1/74</w:t>
            </w:r>
          </w:p>
          <w:p w14:paraId="1568EA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240A9DB" w14:textId="77777777" w:rsidTr="00EA0DA7">
        <w:trPr>
          <w:trHeight w:val="259"/>
        </w:trPr>
        <w:tc>
          <w:tcPr>
            <w:tcW w:w="1692" w:type="dxa"/>
            <w:tcBorders>
              <w:bottom w:val="single" w:sz="12" w:space="0" w:color="auto"/>
            </w:tcBorders>
          </w:tcPr>
          <w:p w14:paraId="7CC36D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p w14:paraId="70578A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Borders>
              <w:bottom w:val="single" w:sz="12" w:space="0" w:color="auto"/>
            </w:tcBorders>
          </w:tcPr>
          <w:p w14:paraId="697B02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1/99</w:t>
            </w:r>
          </w:p>
          <w:p w14:paraId="2F1E50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Borders>
              <w:bottom w:val="single" w:sz="12" w:space="0" w:color="auto"/>
            </w:tcBorders>
          </w:tcPr>
          <w:p w14:paraId="39076C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w:t>
            </w:r>
          </w:p>
          <w:p w14:paraId="6CC73B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75C112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Более того, и по окончании войны технология разъемного блока «каме</w:t>
      </w:r>
      <w:r w:rsidRPr="00A3026E">
        <w:rPr>
          <w:rFonts w:ascii="Times New Roman" w:hAnsi="Times New Roman"/>
          <w:color w:val="000000" w:themeColor="text1"/>
          <w:sz w:val="16"/>
          <w:szCs w:val="16"/>
        </w:rPr>
        <w:softHyphen/>
        <w:t>ра-сопло» настолько прочно укоренилась в производстве, что переход на иное качество и экономию заводчанам казался просто немыслимым. Изве</w:t>
      </w:r>
      <w:r w:rsidRPr="00A3026E">
        <w:rPr>
          <w:rFonts w:ascii="Times New Roman" w:hAnsi="Times New Roman"/>
          <w:color w:val="000000" w:themeColor="text1"/>
          <w:sz w:val="16"/>
          <w:szCs w:val="16"/>
        </w:rPr>
        <w:softHyphen/>
        <w:t>стны, по меньшей мере, четыре варианта снаряда ОФР-82 модели СЛ-017, которые изготавливали из толстостенных и тонкостенных груб. Они отли</w:t>
      </w:r>
      <w:r w:rsidRPr="00A3026E">
        <w:rPr>
          <w:rFonts w:ascii="Times New Roman" w:hAnsi="Times New Roman"/>
          <w:color w:val="000000" w:themeColor="text1"/>
          <w:sz w:val="16"/>
          <w:szCs w:val="16"/>
        </w:rPr>
        <w:softHyphen/>
        <w:t>чались ротационной ковкой корпуса двигателя за единое целое с сопловым раструбом либо из толстых труб с последующей выборкой металла между центрирующими утолщениями, либо из тонких труб с последующей горячей посадкой манжет центрирующих утолщений на заготовку и обработ</w:t>
      </w:r>
      <w:r w:rsidRPr="00A3026E">
        <w:rPr>
          <w:rFonts w:ascii="Times New Roman" w:hAnsi="Times New Roman"/>
          <w:color w:val="000000" w:themeColor="text1"/>
          <w:sz w:val="16"/>
          <w:szCs w:val="16"/>
        </w:rPr>
        <w:softHyphen/>
        <w:t>кой только передней и задней кромок утолщений. А кроме того, на обоих вариантах двигателя использовали БЧ либо с внутренним дном БЧ, л (бос внешним, установленным на резьбе внутри широкого фланца переднего центрирующего утолщения до стыковки БЧ с двигателем.</w:t>
      </w:r>
    </w:p>
    <w:p w14:paraId="0AFAE6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в рамках темы по 622 объекту в технологическом отделе НИИ-3 НКБ разработали и снаряд ОФР-82 модели СЛ-005 (аналог штатного РОС-82 модели 3-00497). Практически, это был боеприпас, из</w:t>
      </w:r>
      <w:r w:rsidRPr="00A3026E">
        <w:rPr>
          <w:rFonts w:ascii="Times New Roman" w:hAnsi="Times New Roman"/>
          <w:color w:val="000000" w:themeColor="text1"/>
          <w:sz w:val="16"/>
          <w:szCs w:val="16"/>
        </w:rPr>
        <w:softHyphen/>
        <w:t>готовленный по упрошенной технологии единой «камеры-сопла» изтонкостенных труб, но с двухпроводной системой электровоспламене</w:t>
      </w:r>
      <w:r w:rsidRPr="00A3026E">
        <w:rPr>
          <w:rFonts w:ascii="Times New Roman" w:hAnsi="Times New Roman"/>
          <w:color w:val="000000" w:themeColor="text1"/>
          <w:sz w:val="16"/>
          <w:szCs w:val="16"/>
        </w:rPr>
        <w:softHyphen/>
        <w:t>ния (без использования пиропатронов и пиросвеч). В принципе, эта идея не нова. Как говорилось выше, еще в 1933-1934 гг. для запуска РС наземных испытательных стендов, в пороховой воспламенитель (донный или сопловой) зашивали электрозапал, а его провода выводили сквозь каналы пороховых шашек РЗ и сопло наружу.</w:t>
      </w:r>
    </w:p>
    <w:p w14:paraId="566CF7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конструкции снаряда модели СЛ-005 использовали этот же способ воспламенения, с той лишь разницей, что провода электрозапала, вши</w:t>
      </w:r>
      <w:r w:rsidRPr="00A3026E">
        <w:rPr>
          <w:rFonts w:ascii="Times New Roman" w:hAnsi="Times New Roman"/>
          <w:color w:val="000000" w:themeColor="text1"/>
          <w:sz w:val="16"/>
          <w:szCs w:val="16"/>
        </w:rPr>
        <w:softHyphen/>
        <w:t>того в дойный пороховой воспламенитель, припаяли к двум контактам, остановленным на изоляторных шайбах в районе переднего центрирую</w:t>
      </w:r>
      <w:r w:rsidRPr="00A3026E">
        <w:rPr>
          <w:rFonts w:ascii="Times New Roman" w:hAnsi="Times New Roman"/>
          <w:color w:val="000000" w:themeColor="text1"/>
          <w:sz w:val="16"/>
          <w:szCs w:val="16"/>
        </w:rPr>
        <w:softHyphen/>
        <w:t>щего утолщения по обеим сторонам от ведущего штифта (подобно пиросвечам снарядов РОФС). В отличие от однопроводной системы вос</w:t>
      </w:r>
      <w:r w:rsidRPr="00A3026E">
        <w:rPr>
          <w:rFonts w:ascii="Times New Roman" w:hAnsi="Times New Roman"/>
          <w:color w:val="000000" w:themeColor="text1"/>
          <w:sz w:val="16"/>
          <w:szCs w:val="16"/>
        </w:rPr>
        <w:softHyphen/>
        <w:t>пламенения пиропатронов штатных РОФС, двухпроводная обладала по</w:t>
      </w:r>
      <w:r w:rsidRPr="00A3026E">
        <w:rPr>
          <w:rFonts w:ascii="Times New Roman" w:hAnsi="Times New Roman"/>
          <w:color w:val="000000" w:themeColor="text1"/>
          <w:sz w:val="16"/>
          <w:szCs w:val="16"/>
        </w:rPr>
        <w:softHyphen/>
        <w:t>мехозащищенностью от грозовых разрядов. Между тем она предъявляла очень высокие требования к качеству пластмассовых изоляторов - они должны были выдерживать не только высокую температуру при горении РЗ но и высокое давление в камере двигателя. Невероятно, но уже тогда отечественная промышленность располагала такими конструкционны</w:t>
      </w:r>
      <w:r w:rsidRPr="00A3026E">
        <w:rPr>
          <w:rFonts w:ascii="Times New Roman" w:hAnsi="Times New Roman"/>
          <w:color w:val="000000" w:themeColor="text1"/>
          <w:sz w:val="16"/>
          <w:szCs w:val="16"/>
        </w:rPr>
        <w:softHyphen/>
        <w:t>ми пластиками и керамикой!</w:t>
      </w:r>
    </w:p>
    <w:p w14:paraId="2D6403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Двигатели снарядов этой модели снаряжали РЗ из пороха рецептуры Н-24/6-230 мм. Колосниковая диафрагма состояла из восьми стальных пластин толщиной 3 мм. БЧ и РЧ отделяло стальное дно, зафиксирован</w:t>
      </w:r>
      <w:r w:rsidRPr="00A3026E">
        <w:rPr>
          <w:rFonts w:ascii="Times New Roman" w:hAnsi="Times New Roman"/>
          <w:color w:val="000000" w:themeColor="text1"/>
          <w:sz w:val="16"/>
          <w:szCs w:val="16"/>
        </w:rPr>
        <w:softHyphen/>
        <w:t>ное в задней части корпуса БЧ. Воспламенялся РЗ от двух пороховых воспламенителей с навеской по 8 г ДРП в каждом. Сопловой воспламе-:нитель располагался на колосниках в подводящей части сопла. Посколь</w:t>
      </w:r>
      <w:r w:rsidRPr="00A3026E">
        <w:rPr>
          <w:rFonts w:ascii="Times New Roman" w:hAnsi="Times New Roman"/>
          <w:color w:val="000000" w:themeColor="text1"/>
          <w:sz w:val="16"/>
          <w:szCs w:val="16"/>
        </w:rPr>
        <w:softHyphen/>
        <w:t>ку помешали его после запрессовки колосников, то пороховой картуз, свернутый трубочкой, приходилось проталкивать тонкой деревянной (Палочкой через сопло) (11402).</w:t>
      </w:r>
    </w:p>
    <w:p w14:paraId="70F37B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7D808D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5D835E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7EE9EA5" w14:textId="77777777" w:rsidR="00B84190" w:rsidRPr="00A3026E" w:rsidRDefault="00B8419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shd w:val="clear" w:color="auto" w:fill="FFFFFF"/>
        </w:rPr>
        <w:t>В октябре 194о была Докладная записка наркома обороны СССР С. К. Тимошенко и начальника Генерального штаба Красной армии в Политбюро ЦК ВКП(б) и СНК СССР с предложением новой схемы мобилизационного развертывания Красной армии и проект постановления Комитета обороны при СНК СССР "О мобилизационном плане на 1941 год" (22070).</w:t>
      </w:r>
    </w:p>
    <w:p w14:paraId="184926D1" w14:textId="77777777" w:rsidR="00B84190" w:rsidRPr="00A3026E" w:rsidRDefault="00B84190" w:rsidP="00A3026E">
      <w:pPr>
        <w:spacing w:after="0" w:line="240" w:lineRule="auto"/>
        <w:jc w:val="both"/>
        <w:rPr>
          <w:rFonts w:ascii="Times New Roman" w:hAnsi="Times New Roman"/>
          <w:color w:val="0070C0"/>
          <w:sz w:val="16"/>
          <w:szCs w:val="16"/>
        </w:rPr>
      </w:pPr>
    </w:p>
    <w:p w14:paraId="36614970" w14:textId="77777777" w:rsidR="00B84190" w:rsidRPr="00A3026E" w:rsidRDefault="00B84190"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В октябре 1940 года завод №221 подготовил технический проект орудия БР-23, также был изготовлен макет боеприпаса в натуральную величину, и макеты самой системы. 26 октября 1940 года Артиллерийский Комитет ГАУ КА технический проект утвердил, далее завод №221 получил одобрение на изготовление рабочих чертежей орудия (20880).</w:t>
      </w:r>
    </w:p>
    <w:p w14:paraId="4D4B2FB1" w14:textId="77777777" w:rsidR="00B84190" w:rsidRPr="00A3026E" w:rsidRDefault="00B84190" w:rsidP="00A3026E">
      <w:pPr>
        <w:pStyle w:val="article-renderblock"/>
        <w:shd w:val="clear" w:color="auto" w:fill="FFFFFF"/>
        <w:spacing w:before="0" w:beforeAutospacing="0" w:after="0" w:afterAutospacing="0"/>
        <w:jc w:val="both"/>
        <w:rPr>
          <w:color w:val="0070C0"/>
          <w:sz w:val="16"/>
          <w:szCs w:val="16"/>
        </w:rPr>
      </w:pPr>
    </w:p>
    <w:p w14:paraId="129823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из состава Химкомбината (Бобриковский химический завод, Химический комбинат им. И.В. Сталина, Сталиногорский азотно-туковый комбинат им. И.В. Сталина, Сталиногорский химический комбинат, Новомосковский химкомбинат /с. Бобрики,  г. Сталиногорск,  г. Новомосковск Тульской обл./) выделен завод № 100 НКХП (Завод № 100 ИМ. Сталина НКХП, Азотно-туковый завод /с. Бобрики,  г. Сталиногорск,  г. Новомосковск Тульской обл./), специализировавшийся только на выпуске иприта. Плановая мощность-11.000 т. в год.</w:t>
      </w:r>
    </w:p>
    <w:p w14:paraId="71885E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779 от 13.10.1941 г. Сталиногорский азотно-туковый комбинат (завод № 100) эвакуирован в  г. Березники, но затем вскоре реэвакуирован и воссоединен со Сталиногорским азотно-туковым комбинатом. В 1942-43 г. была попытка восстановить выпуск иприта в цехе № 25 и снаряжение в цехе № 21, но производства не было (11982).</w:t>
      </w:r>
    </w:p>
    <w:p w14:paraId="179ACF8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918C2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из США были получены пневмошины для колес пушек системы Шкода 12х24"" (48 комплектных и 6 запасных) (3416,34).</w:t>
      </w:r>
    </w:p>
    <w:p w14:paraId="35E9273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C918C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октябре 1940 года из США были получены пневмошины для колес системы "Шкода" в количестве 54 штук (48 комплектных и 6 запасных). Временно, до освоения отечественной промышленностью шин 12 24, 210-мм и 305-мм системы решено было комплектовать колесами 12 20 (3861).</w:t>
      </w:r>
    </w:p>
    <w:p w14:paraId="06C5BEB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B3343E1" w14:textId="77777777" w:rsidR="0076621F" w:rsidRPr="00A3026E" w:rsidRDefault="0076621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пушка М</w:t>
      </w:r>
      <w:r w:rsidRPr="00A3026E">
        <w:rPr>
          <w:rFonts w:ascii="Times New Roman" w:hAnsi="Times New Roman"/>
          <w:color w:val="000000" w:themeColor="text1"/>
          <w:sz w:val="16"/>
          <w:szCs w:val="16"/>
        </w:rPr>
        <w:noBreakHyphen/>
        <w:t>60 с уже устраненными недостатками успешно прошла войсковые испытания и была принята на вооружение Красной армии под официальным названием «107</w:t>
      </w:r>
      <w:r w:rsidRPr="00A3026E">
        <w:rPr>
          <w:rFonts w:ascii="Times New Roman" w:hAnsi="Times New Roman"/>
          <w:color w:val="000000" w:themeColor="text1"/>
          <w:sz w:val="16"/>
          <w:szCs w:val="16"/>
        </w:rPr>
        <w:noBreakHyphen/>
        <w:t>мм универсальная дивизионная пушка большой мощности обр. 1940 г.». Серийный выпуск орудия поручили заводу № 352, который в 1940 г. произвел 25 пушек, а в 1941 г. — 101. Вскоре после начала войны серийное производство орудия было прекращено по ряду причин (17908).</w:t>
      </w:r>
    </w:p>
    <w:p w14:paraId="28C00C2C" w14:textId="77777777" w:rsidR="0076621F" w:rsidRPr="00A3026E" w:rsidRDefault="0076621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A9FAA28" w14:textId="77777777" w:rsidR="0076621F" w:rsidRPr="00A3026E" w:rsidRDefault="0076621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октябре 1940 года проводились испытания 45-мм противотанковой пушки обр. 1937 года. На них выяснилось, что броню толщиной 30 мм, установленную под углом 30 градусов от нормали, снаряд пробивает на дистанции 1000 м. Обеспокоенность вызвало резкое снижение дистанции пробития при стрельбе по плите толщиной 40 мм. Пробивалась такая плита лишь на дистанции 150 метров. При этом, действительно, отмечалась недостаточная прочность снарядов, но критичной она становилась при стрельбе по бронелистам толщиной 40 мм и выше.</w:t>
      </w:r>
    </w:p>
    <w:p w14:paraId="0A4FA6E3" w14:textId="77777777" w:rsidR="0076621F" w:rsidRPr="00A3026E" w:rsidRDefault="0076621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О недостаточном пробитии было известно и ранее, это стало одной из главных причин запуска разработки 57-мм противотанковой пушки ЗИС-2. Что же касается листов толщиной 30 мм, то они пробивались без проблем и на больших дистанциях. Это подтверждают данные более поздних обстрелов. Например, в ходе обстрела из пушки танка Т-70 борта немецкой самоходной установки StuG III Ausf.B снарядом 53-БР-240 выпуска 1938 года он пробил броню толщиной 30 мм на дистанции 850 метров. Та же самая картина наблюдалась и при стрельбе по другим листам толщиной 30 мм. Проблемы возникали только при стрельбе по более толстой броне. Для советских военных эта информация новостью не являлась (17700).</w:t>
      </w:r>
    </w:p>
    <w:p w14:paraId="2CC20A96"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p>
    <w:p w14:paraId="2B1CF835" w14:textId="77777777" w:rsidR="007B6A7D" w:rsidRPr="00A3026E" w:rsidRDefault="007B6A7D" w:rsidP="00A3026E">
      <w:pPr>
        <w:pStyle w:val="ae"/>
        <w:shd w:val="clear" w:color="auto" w:fill="FFFFFF"/>
        <w:spacing w:before="0" w:after="0"/>
        <w:jc w:val="both"/>
        <w:textAlignment w:val="baseline"/>
        <w:rPr>
          <w:color w:val="000000" w:themeColor="text1"/>
          <w:sz w:val="16"/>
          <w:szCs w:val="16"/>
        </w:rPr>
      </w:pPr>
      <w:r w:rsidRPr="00A3026E">
        <w:rPr>
          <w:color w:val="000000" w:themeColor="text1"/>
          <w:sz w:val="16"/>
          <w:szCs w:val="16"/>
        </w:rPr>
        <w:t>В октябре 1940 года проводились испытания 45-мм противотанковой пушки образца 1937 года. На них выяснилось, что броню толщиной 30 мм, установленную под углом 30 градусов от нормали, снаряд пробивает на дистанции 1000 м. Никакой обеспокоенности насчёт бракованных снарядов нет и в помине. Обеспокоенность есть только в том, что при повышении толщины брони до 40 мм дистанция пробития резко падала. Аналогичные испытания обстрелом продолжились и далее. В 1942 году танков для обстрела хватало, и так сложилось, что обстрел немецкой самоходки StuG III Ausf.B производился бронебойными снарядами того самого «дефектного» 1938 года. Лоб толщиной 50 мм снаряд не пробил, что ожидаемо, зато борт был пробит на дистанции 850 м. Те же результаты были получены и при обстреле борта немецкого среднего танка </w:t>
      </w:r>
      <w:hyperlink r:id="rId60" w:history="1">
        <w:r w:rsidRPr="00A3026E">
          <w:rPr>
            <w:rStyle w:val="a5"/>
            <w:bCs/>
            <w:iCs/>
            <w:color w:val="000000" w:themeColor="text1"/>
            <w:sz w:val="16"/>
            <w:szCs w:val="16"/>
            <w:bdr w:val="none" w:sz="0" w:space="0" w:color="auto" w:frame="1"/>
          </w:rPr>
          <w:t>Pz.Kpfw.III Ausf.H</w:t>
        </w:r>
      </w:hyperlink>
      <w:r w:rsidRPr="00A3026E">
        <w:rPr>
          <w:color w:val="000000" w:themeColor="text1"/>
          <w:sz w:val="16"/>
          <w:szCs w:val="16"/>
        </w:rPr>
        <w:t xml:space="preserve"> (19155).</w:t>
      </w:r>
    </w:p>
    <w:p w14:paraId="116AC952" w14:textId="77777777" w:rsidR="007B6A7D" w:rsidRPr="00A3026E" w:rsidRDefault="007B6A7D" w:rsidP="00A3026E">
      <w:pPr>
        <w:pStyle w:val="ae"/>
        <w:shd w:val="clear" w:color="auto" w:fill="FFFFFF"/>
        <w:spacing w:before="0" w:after="0"/>
        <w:jc w:val="both"/>
        <w:textAlignment w:val="baseline"/>
        <w:rPr>
          <w:color w:val="000000" w:themeColor="text1"/>
          <w:sz w:val="16"/>
          <w:szCs w:val="16"/>
        </w:rPr>
      </w:pPr>
    </w:p>
    <w:p w14:paraId="48BA0D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на заводе № 92 был закончен опытный образец Ф-31, и Грабин приступил к его заводским испытаниям (3861).</w:t>
      </w:r>
    </w:p>
    <w:p w14:paraId="24B3485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CEAA5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началось срочное освоение 76-мм танковой пушки Ф-34, разработанной КБ Грабина. Она устанавливалась на средний танк Т-34 образца 1940 г. Во всех источниках боевые качества данного орудия оцениваются исключительно положительно. Однако при этом совершенно не учитывается производственный фактор, в частности, низкое качество ствола и других устройств, особенно в первых партиях. Поэтому реальные тактико-технические характеристики орудия сильно отличались от расчетных. Из-за постоянных трудностей с изготовлением инструмента, задержавших начало серийного производства всех артсистем, заказы на него были, помимо инструментального, размещены в трех механических цехах и в цехе прицелов. Для технологов и контролеров были установлены крупные премии. Вскоре на завод пришел приказ наркома Ванникова срочно — до 1 февраля 1941 г. — построить специальный цех для производства Ф-34. Помимо этого, в связи с переходом на центробежное литье также потребовалось строительство специального цеха. Однако на первом этапе производство танковой пушки постоянно срывалось, в основном из-за нарушений технологического процесса. Так, при изготовлении детали 01-3 не была выполнена инструкция по заливке, что привело к браку 15 штук по усадочным раковинам. Выпущенные и разосланные по цехам маршрутные ведомости Ф-34 имели много ошибок, во многих случаях не отвечали проекту, марки сталей не соответствовали чертежам, нормы веса — фактическому весу. Для их доработки по приказу Еляна даже была создана общественная комиссия. В приказе по заводу от 10 января 1941 г. отмечался срыв работ по опытным системам. В частности, в механическом цехе № 1 «задержано 20 деталей 01-3 Ф-30, детали 01-1 Ф-42 изготавливаются с большим браком». Термический цех задерживал обработку деталей Ф-31, сдавал их с отступлением от технологии. Для более оперативной обработки деталей Ф-34 в механическом цехе № 13 были организованы три слесарных участка, а из сборочного цеха были переведены пять ИТР. Выдача технологических карт теперь производилась только вместе с нарядом. Проводился очередной маневр оборудованием. В механический цех № 1 были переданы шесть новых станков, а также 13 станков — из цеха № 13, шесть — из № 16, причем вместе с прикрепленными рабочими. Однако уровень брака продолжал оставаться очень высоким. Основной причиной по-прежнему оставались ошибки в технологическом процессе, в том числе на стадии планирования. Так, при разработке технологии на деталь 01-5 (казенник Ф-34) технологи С. Антонов и Ф. Барышкин допустили ошибку, забыв включить одну операцию. В результате 120 деталей были выпущены со значительным отступлением. [74 — ГУ ЦАНО, Ф. 2491, Д. 639, Л. 107.] Аналогичным образом из-за «неправильных чертежей» ушли в брак и десять кожухов Ф-31 (ЗИС-2). Из-за простоев в работе нового пружинного цеха не хватало пружин. Потребовались срочные авральные работы на данном участке с переброской дополнительных рабочих и размещение заказов в непрофильных цехах. Текучесть кадров на советских заводах была просто невероятной. Скажем, на заводе № 92 в 1937 г. она составляла 35,3 % от списочного состава рабочих, а в 1938-м — 34,5 %. То есть за год стабильно обновлялась треть рабочих! Всего в течение 1938 г. на завод были приняты 9242 человека, а уволены 3730 человек, из которых 1662 — по собственному желанию. Ощущалась сильная нехватка ИТР, особенно технологов и литейщиков. Основными мотивами увольнения «по собственному желанию» являлись низкая зарплата и плохие жилищные условия. К началу 1939 г. контингент рабочих по сравнению с 1937 г. обновился на 60 %. [75 — ГУ ЦАНО, Ф. 2491, Д. 189, Л. 224.]. По-прежнему возникали большие трудности с планированием. Составлялись даже ежедневные планы для цехов, отделений и участков, однако обеспечить фактическое выполнение планирования, рассчитать загрузку всех станков и агрегатов было очень сложно. Учитывая, что некоторые цеха постоянно выдавали детали с опозданием или неравномерно, то есть в конце месяца, что все время держало завод, особенно сборочный цех, в напряжении, в 1939 г. было введено планирование с опережением. Например, в февральский план заготовительных и механических цехов включались детали, которые подлежали поставке в следующие цеха только в марте (11741).</w:t>
      </w:r>
    </w:p>
    <w:p w14:paraId="20D4F6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4FBEA69"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В октябре 1940 года на базе ЦИТ НКБ и КБ-25 НКБ был создан Центральный институт труда и механизации (ЦИТМ) НКБ.</w:t>
      </w:r>
    </w:p>
    <w:p w14:paraId="6F5C8074"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ЦИТ был создан для решения проблем организации труда в системе НКБ. КБ-25 являлось узкоспециализированной организацией в области механизации снаряжательного капсюльного и пиротехнического производств.</w:t>
      </w:r>
    </w:p>
    <w:p w14:paraId="4AB8D8D4"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Институт включает:</w:t>
      </w:r>
    </w:p>
    <w:p w14:paraId="30630C11"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1 подразделение в составе Бюро техпомощи и КБ, обслуживающее потребности металлообрабатывающих отраслей промышленности боеприпасов (снаряды, взрыватели, гильзы).</w:t>
      </w:r>
    </w:p>
    <w:p w14:paraId="62D2B3DA"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2 подразделение в составе Бюро техпомощи и КБ, обслуживающее потребности химических отраслей промышленности боеприпасов (снаряжение, пиротехника, производство капсюлей).</w:t>
      </w:r>
    </w:p>
    <w:p w14:paraId="484A9D91"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Опытный завод, призванный обеспечить изготовление опытных конструкций и малых серий станков разрабатываемых Институтом.</w:t>
      </w:r>
    </w:p>
    <w:p w14:paraId="718BA8AD"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Центральное нормативно-исследовательское бюро, призванное обеспечить потребности НКБ в области создания нормативных материалов.</w:t>
      </w:r>
    </w:p>
    <w:p w14:paraId="15D2EF5C"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Директор – Дубов (10148).</w:t>
      </w:r>
    </w:p>
    <w:p w14:paraId="58354F4C" w14:textId="77777777" w:rsidR="00C66762" w:rsidRPr="00A3026E" w:rsidRDefault="00C66762" w:rsidP="00A3026E">
      <w:pPr>
        <w:pStyle w:val="Iauiue"/>
        <w:jc w:val="both"/>
        <w:rPr>
          <w:color w:val="000000" w:themeColor="text1"/>
          <w:sz w:val="16"/>
          <w:szCs w:val="16"/>
        </w:rPr>
      </w:pPr>
    </w:p>
    <w:p w14:paraId="102FFD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после проведения серьезной реконструкции завода № 37 и внедрения новых технологических процессов началось серийное производство Т-40. До конца года планировали выпустить 100 танков, фактически сдали только 41 (не считая шести опытных) (3862).</w:t>
      </w:r>
    </w:p>
    <w:p w14:paraId="1C13C75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D2F9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танк Т-34 начал комплек</w:t>
      </w:r>
      <w:r w:rsidRPr="00A3026E">
        <w:rPr>
          <w:rFonts w:ascii="Times New Roman" w:hAnsi="Times New Roman"/>
          <w:color w:val="000000" w:themeColor="text1"/>
          <w:sz w:val="16"/>
          <w:szCs w:val="16"/>
        </w:rPr>
        <w:softHyphen/>
        <w:t>товаться четырьмя дополнительными наружными короб</w:t>
      </w:r>
      <w:r w:rsidRPr="00A3026E">
        <w:rPr>
          <w:rFonts w:ascii="Times New Roman" w:hAnsi="Times New Roman"/>
          <w:color w:val="000000" w:themeColor="text1"/>
          <w:sz w:val="16"/>
          <w:szCs w:val="16"/>
        </w:rPr>
        <w:softHyphen/>
        <w:t>чатыми топливными баками общей емкостью 140 л. Запас хода танка по шоссе достиг 300 км. Трансмиссия Т-34 состояла из многодискового главно</w:t>
      </w:r>
      <w:r w:rsidRPr="00A3026E">
        <w:rPr>
          <w:rFonts w:ascii="Times New Roman" w:hAnsi="Times New Roman"/>
          <w:color w:val="000000" w:themeColor="text1"/>
          <w:sz w:val="16"/>
          <w:szCs w:val="16"/>
        </w:rPr>
        <w:softHyphen/>
        <w:t>го фрикциона сухого трения, четырехступенчатой короб</w:t>
      </w:r>
      <w:r w:rsidRPr="00A3026E">
        <w:rPr>
          <w:rFonts w:ascii="Times New Roman" w:hAnsi="Times New Roman"/>
          <w:color w:val="000000" w:themeColor="text1"/>
          <w:sz w:val="16"/>
          <w:szCs w:val="16"/>
        </w:rPr>
        <w:softHyphen/>
        <w:t>ки передач, двух бортовых фрикционов с ленточными тормозами плавающего типа и двух однорядных простых бортовых редукторов. Подвеска танка - индивидуальная, свечная (пружин</w:t>
      </w:r>
      <w:r w:rsidRPr="00A3026E">
        <w:rPr>
          <w:rFonts w:ascii="Times New Roman" w:hAnsi="Times New Roman"/>
          <w:color w:val="000000" w:themeColor="text1"/>
          <w:sz w:val="16"/>
          <w:szCs w:val="16"/>
        </w:rPr>
        <w:softHyphen/>
        <w:t>ная). Спиральные пружины помещались в наклонных шах</w:t>
      </w:r>
      <w:r w:rsidRPr="00A3026E">
        <w:rPr>
          <w:rFonts w:ascii="Times New Roman" w:hAnsi="Times New Roman"/>
          <w:color w:val="000000" w:themeColor="text1"/>
          <w:sz w:val="16"/>
          <w:szCs w:val="16"/>
        </w:rPr>
        <w:softHyphen/>
        <w:t>тах по бортам корпуса. Ходовая часть танка состояла из десяти сдвоенных обре-зиненных опорных катков большого диаметра, двух направ</w:t>
      </w:r>
      <w:r w:rsidRPr="00A3026E">
        <w:rPr>
          <w:rFonts w:ascii="Times New Roman" w:hAnsi="Times New Roman"/>
          <w:color w:val="000000" w:themeColor="text1"/>
          <w:sz w:val="16"/>
          <w:szCs w:val="16"/>
        </w:rPr>
        <w:softHyphen/>
        <w:t>ляющих обрезиненных колес и двух ведущих колес заднего расположения. Ведущие колеса имели гребневое зацепление с гусеничными траками. Танк комплектовался литыми тра</w:t>
      </w:r>
      <w:r w:rsidRPr="00A3026E">
        <w:rPr>
          <w:rFonts w:ascii="Times New Roman" w:hAnsi="Times New Roman"/>
          <w:color w:val="000000" w:themeColor="text1"/>
          <w:sz w:val="16"/>
          <w:szCs w:val="16"/>
        </w:rPr>
        <w:softHyphen/>
        <w:t>ками шириной 550 мм (10782).</w:t>
      </w:r>
    </w:p>
    <w:p w14:paraId="61B958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E85BDA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октябре 1940 согласно Оперативной сводке по заводу № 183:</w:t>
      </w:r>
    </w:p>
    <w:p w14:paraId="0BCAB47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Танк Т-34. В октябре надлежало поставить 115 танков, поставлено с начала года 45 машин, в октябре – 1. Отправлено с начала года 10, в октябре – 1. </w:t>
      </w:r>
    </w:p>
    <w:p w14:paraId="7A7A4DE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Из общего количества отправленных машин с начала их выпуска исключено три машины, возвратившихся на завод для просмотра и дооборудования, эти машины ранее были отправлены : заводу № 8 – две и начальнику инженерной службы ЛВО – 1. Они исключены потому, что после их готовности будут отправлены в новые адреса согласно общей разнарядки. </w:t>
      </w:r>
    </w:p>
    <w:p w14:paraId="410AE5B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Кроме 45 принятых машин на заводе, в заделе имеется 55 машин без вооружения. </w:t>
      </w:r>
    </w:p>
    <w:p w14:paraId="5A1A8440"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Со 121 машины будут устанавливаться каленные валы КПП из стали 18ХНВА, измененный главный фрикцион. </w:t>
      </w:r>
    </w:p>
    <w:p w14:paraId="465079F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Во время испытаний – разрушение роликового подшипника и обрыв струны ведущей шестерни бортовой передачи на одной машине из-за небрежного монтажа. </w:t>
      </w:r>
    </w:p>
    <w:p w14:paraId="1864F0F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lastRenderedPageBreak/>
        <w:t>Районный инженер ГАБТУ РККА военинженер 2-го ранга Козырев (11450).</w:t>
      </w:r>
    </w:p>
    <w:p w14:paraId="737C4E6D"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02D995A0" w14:textId="77777777" w:rsidR="00345624" w:rsidRPr="00A3026E" w:rsidRDefault="00A3026E" w:rsidP="00A3026E">
      <w:pPr>
        <w:spacing w:after="0" w:line="240" w:lineRule="auto"/>
        <w:jc w:val="both"/>
        <w:rPr>
          <w:rFonts w:ascii="Times New Roman" w:hAnsi="Times New Roman"/>
          <w:color w:val="000000" w:themeColor="text1"/>
          <w:sz w:val="16"/>
          <w:szCs w:val="16"/>
        </w:rPr>
      </w:pPr>
      <w:hyperlink r:id="rId61" w:tgtFrame="_blank" w:history="1"/>
      <w:r w:rsidR="00345624" w:rsidRPr="00A3026E">
        <w:rPr>
          <w:rFonts w:ascii="Times New Roman" w:hAnsi="Times New Roman"/>
          <w:color w:val="000000" w:themeColor="text1"/>
          <w:sz w:val="16"/>
          <w:szCs w:val="16"/>
        </w:rPr>
        <w:t>В октябре 1940 г. коллективу завода № 183 удалось решить еще одну, не менее важную проблему, – обеспечить защиту отделения управления танка Т-34 от проникновения в люк механика-водителя свинцовых брызг через зазор между крышкой люка и верхней лобовой деталью при обстреле последней из стрелкового оружия. </w:t>
      </w:r>
    </w:p>
    <w:p w14:paraId="704DCF7F" w14:textId="77777777" w:rsidR="00345624" w:rsidRPr="00A3026E" w:rsidRDefault="0034562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решения этой задачи в КБ-520 было разработано специальное лабиринтовое уплотнение стыка люка механика-водителя и его крышки. Изначально конструкторы пытались достичь герметичности стыка за счет приварки к внутренней стороне верхнего лобового листа (вдоль нижней и боковых кромок люка механика-водителя) отражательного желобка толщиной 1,5 мм, а также за счет установки резинового шнура в пазе, сделанном в верхней кромке крышки люка. Однако проведенные в октябре 1940 г. в цехе «540» отдела «500» испытания обстрелом показали, что при попадании 7,62-мм пуль в зазоры межу крышкой люка и верхней лобовой деталью, отражательный желобок и резиновый шнур пробивались свинцовыми брызгами, которые затем попадали внутрь отделения управления танка. </w:t>
      </w:r>
    </w:p>
    <w:p w14:paraId="741E3A11" w14:textId="77777777" w:rsidR="00345624" w:rsidRPr="00A3026E" w:rsidRDefault="0034562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проведенного испытания обстрелом, уплотнение крышки люка механика-водителя было доработано. С наружной стороны верхнего лобового листа, по периметру люка механика-водителя, а также на крышке люка, к нижней и боковым его частям, были приварены специальные защитные планки, которые перекрывали собой зазор между крышкой люка и верхней лобовой деталью танка. Созданное таким образом лабиринтовое уплотнение обеспечило необходимую защиту механику-водителю. В результате проведенного обстрела из пулемета ДТ с дистанции 12 – 15 метров, при попаданиях в стык защитных планок около 150 пуль, следов проникновения свинцовых брызг во внутрь машины обнаружено не было. </w:t>
      </w:r>
    </w:p>
    <w:p w14:paraId="46A6838E" w14:textId="77777777" w:rsidR="00345624" w:rsidRPr="00A3026E" w:rsidRDefault="0034562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Параллельно с испытаниями уплотнения крышки люка механика-водителя в октябре 1940 г. пулевым обстрелом также были испытаны съемный кормовой лист башни («дверца ниши башни») и крышка люка в верхнем кормовом листе корпуса танка. При этом ни «дверца ниши башни», ни крышка люка в верхнем кормовом листе не имели ни каких уплотнений. В ходе испытаний были получены следующие результаты: </w:t>
      </w:r>
    </w:p>
    <w:p w14:paraId="7D11AF48" w14:textId="77777777" w:rsidR="00345624" w:rsidRPr="00A3026E" w:rsidRDefault="0034562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«Люк ниши башни обстрелян из винтовки простыми пулями с дистанции 30 мт. При осмотре картонного листа (установленного перед укладкой), после 4-х попаданий в щель люка, обнаружено 9-ть пробоин картона, а также следы свинцовых брызг.</w:t>
      </w:r>
    </w:p>
    <w:p w14:paraId="2A7E4F0D" w14:textId="77777777" w:rsidR="00345624" w:rsidRPr="00A3026E" w:rsidRDefault="0034562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&lt;…&gt;</w:t>
      </w:r>
    </w:p>
    <w:p w14:paraId="4AAB5CCB" w14:textId="77777777" w:rsidR="00345624" w:rsidRPr="00A3026E" w:rsidRDefault="0034562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Люк в корме был обстрелян пулеметным огнем простыми пулями с дистанции 20 мт. Количество попаданий в щель 12 – 15 пуль. При осмотре деталей и механизмов трансмиссионного отделения, после обстрела, обнаружено повреждения свинцовыми брызгами проводов заднего фонаря».</w:t>
      </w:r>
    </w:p>
    <w:p w14:paraId="2B13C4FE" w14:textId="77777777" w:rsidR="00345624" w:rsidRPr="00A3026E" w:rsidRDefault="0034562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1182. Л. 56] (18206).</w:t>
      </w:r>
    </w:p>
    <w:p w14:paraId="307917AB" w14:textId="77777777" w:rsidR="00345624" w:rsidRPr="00A3026E" w:rsidRDefault="00345624" w:rsidP="00A3026E">
      <w:pPr>
        <w:spacing w:after="0" w:line="240" w:lineRule="auto"/>
        <w:jc w:val="both"/>
        <w:rPr>
          <w:rFonts w:ascii="Times New Roman" w:hAnsi="Times New Roman"/>
          <w:color w:val="000000" w:themeColor="text1"/>
          <w:sz w:val="16"/>
          <w:szCs w:val="16"/>
        </w:rPr>
      </w:pPr>
    </w:p>
    <w:p w14:paraId="308DDB55" w14:textId="77777777" w:rsidR="00345624" w:rsidRPr="00A3026E" w:rsidRDefault="0034562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для окончательного решения вопроса о выборе воздухоочистителя для дизеля В-2, устанавливаемого в танке Т-34, руководство завода № 183 предложило провести сравнительные стендовые испытания воздухоочистителей ВФ-5 и ВО-20, а также серийного и опытного воздухоочистителя собственной разработки. Испытания воздухоочистителей было решено провести на заводе № 75 в НИИ 1600 (19114).</w:t>
      </w:r>
    </w:p>
    <w:p w14:paraId="4D24080C" w14:textId="77777777" w:rsidR="00345624" w:rsidRPr="00A3026E" w:rsidRDefault="00345624" w:rsidP="00A3026E">
      <w:pPr>
        <w:spacing w:after="0" w:line="240" w:lineRule="auto"/>
        <w:jc w:val="both"/>
        <w:rPr>
          <w:rFonts w:ascii="Times New Roman" w:hAnsi="Times New Roman"/>
          <w:color w:val="000000" w:themeColor="text1"/>
          <w:sz w:val="16"/>
          <w:szCs w:val="16"/>
        </w:rPr>
      </w:pPr>
    </w:p>
    <w:p w14:paraId="7A5588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завод № 183 предъявил 56 машин, из которых военная приемка АБТУ КА приняла только один - для установки на остальные не было артсистем Л-11. Из оперативной сводки по заводу № 183 за октябрь 1940 года:</w:t>
      </w:r>
    </w:p>
    <w:p w14:paraId="3E6B35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Т-34.</w:t>
      </w:r>
    </w:p>
    <w:p w14:paraId="31F5A7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Кроме принятых 45 машин, на заводе имеется в заделе: а). Прошли большой пробег и находятся под пригонкой вооружения 55 машин, б). Находятся на подготовке и заводских испытаниях 15 машин, в). На конвейере в стадии монтажа находится 10 машин, Всего в заделе - 80 машин. 2. Обеспечено броней заводом «Ильича» по корпусу 196 комплектов, по башне 196 комплектов, из них собрано и сдано приемке ГАБТУ КА: корпусов 138, башен 124. Из этого количества отправлено СТЗ корпусов 10, башен 10 (кроме того, в заделе корпусов 24, башен 61).</w:t>
      </w:r>
    </w:p>
    <w:p w14:paraId="3839DB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Основными причинами не выполнения программы являются:</w:t>
      </w:r>
    </w:p>
    <w:p w14:paraId="1EACEB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rPr>
        <w:tab/>
        <w:t>Не полностью оснащены цеха приспособлениями, инструментом, особенно по корпусному отделу.</w:t>
      </w:r>
    </w:p>
    <w:p w14:paraId="6ACB4A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Ввиду того, что машина запущена в производство не достаточно проверенная и отработанная, в процессе изготовления и испытаний обнаруживается много дефектов, которые приходится выправлять в серийном производстве.</w:t>
      </w:r>
    </w:p>
    <w:p w14:paraId="13EC67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Довольно трудоемкой работой оказалось изготовление и подгонка маски, монтаж пушки в башню, а заводом не было своевременно принято мер по разработке технологии и оснащении этого участка.</w:t>
      </w:r>
    </w:p>
    <w:p w14:paraId="6F4488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w:t>
      </w:r>
      <w:r w:rsidRPr="00A3026E">
        <w:rPr>
          <w:rFonts w:ascii="Times New Roman" w:hAnsi="Times New Roman"/>
          <w:color w:val="000000" w:themeColor="text1"/>
          <w:sz w:val="16"/>
          <w:szCs w:val="16"/>
        </w:rPr>
        <w:tab/>
        <w:t>Имеет место несвоевременное обеспечение завода металлом, покупными изделиями и заготовками с кооперирующих заводов.</w:t>
      </w:r>
    </w:p>
    <w:p w14:paraId="332953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w:t>
      </w:r>
      <w:r w:rsidRPr="00A3026E">
        <w:rPr>
          <w:rFonts w:ascii="Times New Roman" w:hAnsi="Times New Roman"/>
          <w:color w:val="000000" w:themeColor="text1"/>
          <w:sz w:val="16"/>
          <w:szCs w:val="16"/>
        </w:rPr>
        <w:tab/>
        <w:t>Не достаточно серьезно занимается завод коренным улучшением организации производства и технологии, зачастую вопросами технологии занимаются на отдельных участках тогда, когда производство стопорится получается брак и, естественно принимаются паллиативные решения, не решающие вопроса окончательно для дальнейшего серийного производства и очень сокращающие цикл изготовления того или другого механизма. Особенно часто имеет место этот метод по корпусному отделу, в результате чего конечно выпуск продукции не увеличивается.</w:t>
      </w:r>
    </w:p>
    <w:p w14:paraId="536CD3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 Октябрь мес. прошло большими пробегами Октябрьского выпуска 32 машины. Из которых 17 машин и 4 машины Сентябрьской сборки, всего 21 машина ходили на повторный пробег от одного до 4-х раз. Кроме этого дополнительно испытывались контрольными пробегами от одного до пяти раз 16 машин Октябрьских и 15 машин Сентябрьских, т.е. всего 31 машина по следующим дефектам:</w:t>
      </w:r>
    </w:p>
    <w:p w14:paraId="1101DB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w:t>
      </w:r>
      <w:r w:rsidRPr="00A3026E">
        <w:rPr>
          <w:rFonts w:ascii="Times New Roman" w:hAnsi="Times New Roman"/>
          <w:color w:val="000000" w:themeColor="text1"/>
          <w:sz w:val="16"/>
          <w:szCs w:val="16"/>
        </w:rPr>
        <w:tab/>
        <w:t>Заедание каретки 3-4 передачи на шлицах главного вала - 13 машин, конструкторский дефект. По проверке выявления причин заедания каретки проводились опытные пробеги на 12 машинах, две машины ходили со смазкой № 8, 2 машины с увеличенным зазором между шлицами главного вала и кареткой 3-4 передачи, 2 машины с валами повышенной твердости (лунка - 3,1-3,2), 4 машины с валами из материала 18 ХНВА каленые и 2 машины с валами из материала ХН-4. Лучшие результаты показали в работе ваты из материала 18 ХНВА каленые. которые запущены в серийное производство и устанавливаются на машины с № 121 от нуля.</w:t>
      </w:r>
    </w:p>
    <w:p w14:paraId="0F472D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w:t>
      </w:r>
      <w:r w:rsidRPr="00A3026E">
        <w:rPr>
          <w:rFonts w:ascii="Times New Roman" w:hAnsi="Times New Roman"/>
          <w:color w:val="000000" w:themeColor="text1"/>
          <w:sz w:val="16"/>
          <w:szCs w:val="16"/>
        </w:rPr>
        <w:tab/>
        <w:t>Замена и зачистка зубьев цилиндрических шестерен КПП по сколам, 28 машин. Окончательного анализа причин сколов завод до настоящего времени не дал, но мнение военпреда, что основными причинами дефекта являются:</w:t>
      </w:r>
    </w:p>
    <w:p w14:paraId="38A5C2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rPr>
        <w:tab/>
        <w:t>Не удачно подобрано соотношение передач (при разработке КПП для этой машины).</w:t>
      </w:r>
    </w:p>
    <w:p w14:paraId="4A1438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Неудовлетворительная работа гл. фрикциона.</w:t>
      </w:r>
    </w:p>
    <w:p w14:paraId="04CF78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Не достаточное внимание уделяется технологии обработки шестерен.</w:t>
      </w:r>
    </w:p>
    <w:p w14:paraId="26441D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121 машины вводятся изменения в главном фрикционе которые улучшают частоту переключения передач, проводится тщательная проверка термообработки шестерен и закалка зубьев шестерен.</w:t>
      </w:r>
    </w:p>
    <w:p w14:paraId="1E1BE0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Замена мотора - 3 машины. Заедает привод передачи к подкачивающему топливному насосу БНК-6. Заводом № 75 приняты меры к изжитию этого дефекта.</w:t>
      </w:r>
    </w:p>
    <w:p w14:paraId="2E7CB7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Замена дисков главного фрикциона по задирам и короблению - 12 машин. Измененный фрикцион подан на изготовление и испытание в опытный цех.</w:t>
      </w:r>
    </w:p>
    <w:p w14:paraId="019282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Разрушение роликового подшипника и обрыв струны ведущей шестерни бортовой передачи - 1 машина. Небрежный монтаж - усилен контроль.</w:t>
      </w:r>
    </w:p>
    <w:p w14:paraId="6C9EEF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Заедание привода спидометра в бортовой передаче - 1 машина. Небрежный монтаж — усилен контроль.</w:t>
      </w:r>
    </w:p>
    <w:p w14:paraId="284900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Замена ведомых и ведущих шестерен бортовой передачи — с перекосом работали зубья, большая коническая выработка зубьев, выкрашивание цементационного слоя на зубьях ведущей шестерни - 5 машин. Причины большой выработки и выкрашивания цементации в зубьях шестерен выясняются. Проверяется материал и термообработка.</w:t>
      </w:r>
    </w:p>
    <w:p w14:paraId="139240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Течь смазки через концевые уплотнения гл. вала КП - 11 машин. Конструктивный дефект (с 101 машины введен обратный сток масла в картер, введено уплотнение суриковой мастикой в щели по шлицам вала и сделано отражательное кольцо - дефект устранен.</w:t>
      </w:r>
    </w:p>
    <w:p w14:paraId="6CC0ED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указанных дефектов, по которым машины испытывались дополнительно большими и контрольными пробегам, имеются следующие дефекты:</w:t>
      </w:r>
    </w:p>
    <w:p w14:paraId="4067FF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rPr>
        <w:tab/>
        <w:t>Разрыв траков гусеницы - 4 случая. Недоброкачественная отливка траков, большое количество трещин и раковин, по которым было забраковано до 1000 траков новых, не допущенных к постановке на машину.</w:t>
      </w:r>
    </w:p>
    <w:p w14:paraId="70D0AA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Большое, количество случаев выхода пальцев гусениц - увеличенные отверстия под шплинты и прорыв внешней стенки отверстия под шплинты. Вследствие этого шплинты выпадают, а следовательно, выходят и пальцы гусеницы — вызваны представители завода СТЗ, изготавливающие траки гусеницы.</w:t>
      </w:r>
    </w:p>
    <w:p w14:paraId="103017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Порыв резины колес - забраковано 30 дисков - резину рвет гребнями траков гусеницы на ходу машины после 25 км ослабевает лента гусеницы по выработке проушин траков и при разворотах гусеницы имеется прогиб ленты гусеницы, вследствие этого гребни набегают на резину колес.</w:t>
      </w:r>
    </w:p>
    <w:p w14:paraId="2006FC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Сведения по конструктивным изменениям согласно Вашего письма № 76512с будут высланы дополнительно т.к. завод учета по предусмотренным формой элементам не ведет, и поэтому Конструкторское бюро выбирает предусмотренные формой сведения из различных документов, и сможет эту выборку с 1 -й машины закончить только к концу Ноября мес. 1940 г.</w:t>
      </w:r>
    </w:p>
    <w:p w14:paraId="472161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Ноябрь мес. с.г. завод запланировал сдать 300-й номер от нуля.</w:t>
      </w:r>
    </w:p>
    <w:p w14:paraId="66B178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Сводку составил: военпред АБТУ КА капитан /Русаков/.</w:t>
      </w:r>
    </w:p>
    <w:p w14:paraId="4175D6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Сводку проверил: районный инженер АБТУ КА военинженер 2 ранга, Козырев» (12217).</w:t>
      </w:r>
    </w:p>
    <w:p w14:paraId="60C50CD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28B3E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 октября 1940 года до постанов. Комитета обор. при СНК СССР № 390сс Мариупольский завод имени Ильича к 1 января 1941 года должен был изготовить 300 литых башен для Т-34, и с 1 января выпускать 200 таких башен ежемесячно. Для подготовки этого на заводе развернули работы по реконструкции мартеновского и сталелитейного цехов. Переход наиспользование броневого литься был связан как с дефицитом броневого проката, так и с упрощением технологии производства сварной башни. Для изготовления последней требовалось вырезать из бронелиста заготовки деталей, закалить их, подвергнуть высокому отпуску, выправить на специальных прессах и провести механическую обработку. После этого детали отправляли на завод № 183, где их собирали и сваривали, причем очень часто из-за несоответствия размеров перед окончательной сборкой требовалась дополнительная подгонка деталей.</w:t>
      </w:r>
    </w:p>
    <w:p w14:paraId="32DCE7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вариант литой башни из брони марки МЗ-2 толщиной 52 мм выполнялся без крыши и днища ниши (приваривались позже). При этом бронировка бортовых смотровых приборов отливалась вместе с корпусом башни. Однако широкого распространения этот вариант не получил из-за проблемой с термообработкой (по некоторым данным, могло быть отлито до 30 таких башен). Более массовой стала литая башня с приварной бронировкой бортовых смотровых приборов (12217).</w:t>
      </w:r>
    </w:p>
    <w:p w14:paraId="5F9E080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CA72BD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октябре 1940 была подготовлена:</w:t>
      </w:r>
    </w:p>
    <w:p w14:paraId="4448D60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Оперативная сводка по заводу № 183 за сентябрь 1940 г. </w:t>
      </w:r>
    </w:p>
    <w:p w14:paraId="3946BF7A"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Выпуск БТ-7М – 0. </w:t>
      </w:r>
    </w:p>
    <w:p w14:paraId="6A2C805D"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Танк Т-34. С начала года надлежит поставить 140 машин, в сентябре – 80 машин. Поставлено с начало года окончательно 44 машины, в сентябре – 37. Отгружено с завода с начала года 8, в сентябре – 2 машины. </w:t>
      </w:r>
    </w:p>
    <w:p w14:paraId="48454FD8"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Кроме принятых 44 машин прошли большой пробег еще 24 машины. Собрано и находится на заводских испытаниях 7 машин. На конвейере в стадии сборки – 15 машин. </w:t>
      </w:r>
    </w:p>
    <w:p w14:paraId="2614E61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Обнаружен дефект : Плохое включение главного фрикциона. </w:t>
      </w:r>
    </w:p>
    <w:p w14:paraId="0ACAD06D"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Районный инженер ГАБТУ РККА военинженер 2-го ранга Козырев (11450).</w:t>
      </w:r>
    </w:p>
    <w:p w14:paraId="21AAAC8F"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2BAA9D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из-за непоставки заводу № 183 орудий Л-11 из 55 изготовленных танков Т-34 заказчиком был принят только один. Остальные остались в графе «недострой» (10782).</w:t>
      </w:r>
    </w:p>
    <w:p w14:paraId="4B7A4F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E4385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ВАММ РККА по предложению Н.И.Груздева велась проработка электромеханической трансмиссии для КВ-1 и реализовали в 1941-44 на ЭКВ (9027,155).</w:t>
      </w:r>
    </w:p>
    <w:p w14:paraId="6F6CA82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7B93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октября 1940 на КВ стали ставить пулемет в шаровой установке на лобовом листе и в корме башни (9527,160).</w:t>
      </w:r>
    </w:p>
    <w:p w14:paraId="3DCD936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29CF8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в ВАММ РККА под руководством начальника кафедры танков военно</w:t>
      </w:r>
      <w:r w:rsidRPr="00A3026E">
        <w:rPr>
          <w:rFonts w:ascii="Times New Roman" w:hAnsi="Times New Roman"/>
          <w:color w:val="000000" w:themeColor="text1"/>
          <w:sz w:val="16"/>
          <w:szCs w:val="16"/>
        </w:rPr>
        <w:softHyphen/>
        <w:t>го инженера первого ранга Н.И. Груздева началась разра</w:t>
      </w:r>
      <w:r w:rsidRPr="00A3026E">
        <w:rPr>
          <w:rFonts w:ascii="Times New Roman" w:hAnsi="Times New Roman"/>
          <w:color w:val="000000" w:themeColor="text1"/>
          <w:sz w:val="16"/>
          <w:szCs w:val="16"/>
        </w:rPr>
        <w:softHyphen/>
        <w:t>ботка электромеханической трансмиссии для танка КВ. Применение на танке элект</w:t>
      </w:r>
      <w:r w:rsidRPr="00A3026E">
        <w:rPr>
          <w:rFonts w:ascii="Times New Roman" w:hAnsi="Times New Roman"/>
          <w:color w:val="000000" w:themeColor="text1"/>
          <w:sz w:val="16"/>
          <w:szCs w:val="16"/>
        </w:rPr>
        <w:softHyphen/>
        <w:t>ромеханической трансмиссии позволяло: улучшить тяговые характери</w:t>
      </w:r>
      <w:r w:rsidRPr="00A3026E">
        <w:rPr>
          <w:rFonts w:ascii="Times New Roman" w:hAnsi="Times New Roman"/>
          <w:color w:val="000000" w:themeColor="text1"/>
          <w:sz w:val="16"/>
          <w:szCs w:val="16"/>
        </w:rPr>
        <w:softHyphen/>
        <w:t>стики; снизить расход топлива; улучшить поворотливость танка за счет непрерывного регулирования разности скоростей гусениц и улучшить тормозную характеристику (за счет электродинамического торможе</w:t>
      </w:r>
      <w:r w:rsidRPr="00A3026E">
        <w:rPr>
          <w:rFonts w:ascii="Times New Roman" w:hAnsi="Times New Roman"/>
          <w:color w:val="000000" w:themeColor="text1"/>
          <w:sz w:val="16"/>
          <w:szCs w:val="16"/>
        </w:rPr>
        <w:softHyphen/>
        <w:t>ния). Технический проект танка ЭКВ был выполнен в сентябре 1941 г. и завод "Динамо" приступил к изготовлению агрегатов электротрансмис</w:t>
      </w:r>
      <w:r w:rsidRPr="00A3026E">
        <w:rPr>
          <w:rFonts w:ascii="Times New Roman" w:hAnsi="Times New Roman"/>
          <w:color w:val="000000" w:themeColor="text1"/>
          <w:sz w:val="16"/>
          <w:szCs w:val="16"/>
        </w:rPr>
        <w:softHyphen/>
        <w:t>сии. Передислокация академии и эвакуация заводов задержали работу по созданию агрегатов трансмиссии танка и к январю 1943 г. было вы</w:t>
      </w:r>
      <w:r w:rsidRPr="00A3026E">
        <w:rPr>
          <w:rFonts w:ascii="Times New Roman" w:hAnsi="Times New Roman"/>
          <w:color w:val="000000" w:themeColor="text1"/>
          <w:sz w:val="16"/>
          <w:szCs w:val="16"/>
        </w:rPr>
        <w:softHyphen/>
        <w:t>полнено только 60% от общего объема работ. В феврале 1943 г. заверше</w:t>
      </w:r>
      <w:r w:rsidRPr="00A3026E">
        <w:rPr>
          <w:rFonts w:ascii="Times New Roman" w:hAnsi="Times New Roman"/>
          <w:color w:val="000000" w:themeColor="text1"/>
          <w:sz w:val="16"/>
          <w:szCs w:val="16"/>
        </w:rPr>
        <w:softHyphen/>
        <w:t>ние работ было перенесено в Москву на завод № 627. Испытания опыт</w:t>
      </w:r>
      <w:r w:rsidRPr="00A3026E">
        <w:rPr>
          <w:rFonts w:ascii="Times New Roman" w:hAnsi="Times New Roman"/>
          <w:color w:val="000000" w:themeColor="text1"/>
          <w:sz w:val="16"/>
          <w:szCs w:val="16"/>
        </w:rPr>
        <w:softHyphen/>
        <w:t>ного образца машины были проведены в период с ноября по декабрь 1944 г. на НИБТ полигоне. Из-за конструкционных недостатков танк ЭКВ на вооружение РККА принят не был, а полученный при разработ</w:t>
      </w:r>
      <w:r w:rsidRPr="00A3026E">
        <w:rPr>
          <w:rFonts w:ascii="Times New Roman" w:hAnsi="Times New Roman"/>
          <w:color w:val="000000" w:themeColor="text1"/>
          <w:sz w:val="16"/>
          <w:szCs w:val="16"/>
        </w:rPr>
        <w:softHyphen/>
        <w:t>ке танка опыт в последующем был использован при проектировании электромеханических трансмиссий для тяжелых танков ИС-6 и ИС-7. Танк ЭКВ был изготовлен на базе серийного танка КВ-1 обр. 1941 г. и отличался от него установкой электромеханической трансмиссии вме</w:t>
      </w:r>
      <w:r w:rsidRPr="00A3026E">
        <w:rPr>
          <w:rFonts w:ascii="Times New Roman" w:hAnsi="Times New Roman"/>
          <w:color w:val="000000" w:themeColor="text1"/>
          <w:sz w:val="16"/>
          <w:szCs w:val="16"/>
        </w:rPr>
        <w:softHyphen/>
        <w:t>сто механической, а также башни с вооружением, аналогичной конструк</w:t>
      </w:r>
      <w:r w:rsidRPr="00A3026E">
        <w:rPr>
          <w:rFonts w:ascii="Times New Roman" w:hAnsi="Times New Roman"/>
          <w:color w:val="000000" w:themeColor="text1"/>
          <w:sz w:val="16"/>
          <w:szCs w:val="16"/>
        </w:rPr>
        <w:softHyphen/>
        <w:t>ции, устанавливаемой на танке КВ-1 С. Машина имела классическую схему общей компоновки. В отделении управления находились сиденья механика-водителя и стрелка-радиста, приводы управления движением танка, контрольные приборы, аккумуляторные батареи, воздушные бал</w:t>
      </w:r>
      <w:r w:rsidRPr="00A3026E">
        <w:rPr>
          <w:rFonts w:ascii="Times New Roman" w:hAnsi="Times New Roman"/>
          <w:color w:val="000000" w:themeColor="text1"/>
          <w:sz w:val="16"/>
          <w:szCs w:val="16"/>
        </w:rPr>
        <w:softHyphen/>
        <w:t>лоны, пулемет ДТ, радиостанция, часть боеукладки и ЗИПа. В середине лобового броневого листа корпуса располагался смотровой люк механи</w:t>
      </w:r>
      <w:r w:rsidRPr="00A3026E">
        <w:rPr>
          <w:rFonts w:ascii="Times New Roman" w:hAnsi="Times New Roman"/>
          <w:color w:val="000000" w:themeColor="text1"/>
          <w:sz w:val="16"/>
          <w:szCs w:val="16"/>
        </w:rPr>
        <w:softHyphen/>
        <w:t>ка-водителя, закрывавшийся броневой крышкой (пробкой) со смотро</w:t>
      </w:r>
      <w:r w:rsidRPr="00A3026E">
        <w:rPr>
          <w:rFonts w:ascii="Times New Roman" w:hAnsi="Times New Roman"/>
          <w:color w:val="000000" w:themeColor="text1"/>
          <w:sz w:val="16"/>
          <w:szCs w:val="16"/>
        </w:rPr>
        <w:softHyphen/>
        <w:t>вой щелью с триплексом. Справа от механика-водителя в крыше корпу</w:t>
      </w:r>
      <w:r w:rsidRPr="00A3026E">
        <w:rPr>
          <w:rFonts w:ascii="Times New Roman" w:hAnsi="Times New Roman"/>
          <w:color w:val="000000" w:themeColor="text1"/>
          <w:sz w:val="16"/>
          <w:szCs w:val="16"/>
        </w:rPr>
        <w:softHyphen/>
        <w:t>са устанавливался зеркальный смотровой прибор. Перед стрелком-ради</w:t>
      </w:r>
      <w:r w:rsidRPr="00A3026E">
        <w:rPr>
          <w:rFonts w:ascii="Times New Roman" w:hAnsi="Times New Roman"/>
          <w:color w:val="000000" w:themeColor="text1"/>
          <w:sz w:val="16"/>
          <w:szCs w:val="16"/>
        </w:rPr>
        <w:softHyphen/>
        <w:t>стом в лобовом листе располагалась шаровая опора под установку лобового пулемета. Для входа и выхода членов экипажа, располагавшихся в отделении управления, в крыше корпуса машины над рабочим местом стрелка-радиста был сделан люк, закрывавшийся откидной броневой крышкой на внутренней петле. За сиденьем механика-водителя в днище корпуса имелся запасный люк для выхода экипажа (10703).</w:t>
      </w:r>
    </w:p>
    <w:p w14:paraId="2AFE48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833A6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по предложению А.В.Сердюкова и Н.А.Карпинского в СКБ-2 ЛКЗ совместно с заводжами № 211 и Электросила был разработан танк-электротральщик Объект 218. В апреле был изготовлен деревянный макет. Дальнейшие работы прекратили (9527,228).</w:t>
      </w:r>
    </w:p>
    <w:p w14:paraId="709930F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F848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месяце 1940 г. прошли испытания Т-40 по маршруту Москва — Смоленск — Минск — Житомир — Киев — Брянск — Москва — общим протяжением около 3000 км, с преодолением ряда рек (Днепр, Десна, Припять) и озера «Князь» шириной 7 км.</w:t>
      </w:r>
    </w:p>
    <w:p w14:paraId="330134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испытаний показали, что танк «Т-40» удовлетворяет тактико-техническим требова</w:t>
      </w:r>
      <w:r w:rsidRPr="00A3026E">
        <w:rPr>
          <w:rFonts w:ascii="Times New Roman" w:hAnsi="Times New Roman"/>
          <w:color w:val="000000" w:themeColor="text1"/>
          <w:sz w:val="16"/>
          <w:szCs w:val="16"/>
        </w:rPr>
        <w:softHyphen/>
        <w:t>ниям Красной Армии. Одновременно в процессе испытаний был выявлен ряд серьезных недостат</w:t>
      </w:r>
      <w:r w:rsidRPr="00A3026E">
        <w:rPr>
          <w:rFonts w:ascii="Times New Roman" w:hAnsi="Times New Roman"/>
          <w:color w:val="000000" w:themeColor="text1"/>
          <w:sz w:val="16"/>
          <w:szCs w:val="16"/>
        </w:rPr>
        <w:softHyphen/>
        <w:t>ков, так, например:</w:t>
      </w:r>
    </w:p>
    <w:p w14:paraId="504AFD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Повышенный износ поршней группы двигателя, возникающий вследствие неудовлетвори</w:t>
      </w:r>
      <w:r w:rsidRPr="00A3026E">
        <w:rPr>
          <w:rFonts w:ascii="Times New Roman" w:hAnsi="Times New Roman"/>
          <w:color w:val="000000" w:themeColor="text1"/>
          <w:sz w:val="16"/>
          <w:szCs w:val="16"/>
        </w:rPr>
        <w:softHyphen/>
        <w:t>тельной работы воздухоочистителя и смазки поршневых колец.</w:t>
      </w:r>
    </w:p>
    <w:p w14:paraId="67F7EB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Затруднительный запуск двигателя, особенно при пониженных температурах окружающего воздуха.</w:t>
      </w:r>
    </w:p>
    <w:p w14:paraId="2D147C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Заклинивание гусеницы между ведущей зубчаткой и балансиром.</w:t>
      </w:r>
    </w:p>
    <w:p w14:paraId="05E60E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Недостаточная прочность опорных катков по креплению подшипников и по ходовым качест</w:t>
      </w:r>
      <w:r w:rsidRPr="00A3026E">
        <w:rPr>
          <w:rFonts w:ascii="Times New Roman" w:hAnsi="Times New Roman"/>
          <w:color w:val="000000" w:themeColor="text1"/>
          <w:sz w:val="16"/>
          <w:szCs w:val="16"/>
        </w:rPr>
        <w:softHyphen/>
        <w:t>вам резины.</w:t>
      </w:r>
    </w:p>
    <w:p w14:paraId="65D673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Повышенный износ траков и пальцев гусеницы.</w:t>
      </w:r>
    </w:p>
    <w:p w14:paraId="6F2969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Недостаточный запас плавучести (300 кг).</w:t>
      </w:r>
    </w:p>
    <w:p w14:paraId="22CB5F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постановлению КО завод № 37 обязывается обеспечить межремонтный пробег танка «Т-40» до капитального ремонта не менее 8000 км и гарантийный километраж на ходовую часть не менее 4000 км.</w:t>
      </w:r>
    </w:p>
    <w:p w14:paraId="6F2B7A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 производственным затруднением для завода № 37 является неудовлетворительная поставка по кооперации основных агрегатов и особенно бронекорпусов и двигателей (11211).</w:t>
      </w:r>
    </w:p>
    <w:p w14:paraId="7204D9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F237F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проект боевой машины по тем же ТТТ на «легкий единый танк РККА», ято и Т-126(СП) выполняла группа вы</w:t>
      </w:r>
      <w:r w:rsidRPr="00A3026E">
        <w:rPr>
          <w:rFonts w:ascii="Times New Roman" w:hAnsi="Times New Roman"/>
          <w:color w:val="000000" w:themeColor="text1"/>
          <w:sz w:val="16"/>
          <w:szCs w:val="16"/>
        </w:rPr>
        <w:softHyphen/>
        <w:t>пускников — слушателей Академии ВАММ им. Сталина под общим руководством Н. Астрова. Возможно, именно в это время впервые прозвучал индекс нового танка — Т-50 (10782).</w:t>
      </w:r>
    </w:p>
    <w:p w14:paraId="4FCD4A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1B855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 декабре 1940 на бронеавтомобиль БА-11, на который установили дизельный двигатель ЗИС Д-7 мощностью 97,5 л.с. (при этом масса броневика возросла до 8650 кг) и который получил обозначение БА-11Д (Д - дизельный), испытывался на НИБТ полигоне, пройдя 5051 км. В выводах отмечалось следующее:</w:t>
      </w:r>
    </w:p>
    <w:p w14:paraId="67B4F5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Скорость БА-11Д (48,8 км/ч) ниже, чем у БА-11 (64,4 км/ч), что явно недостаточно для среднего бронеавто</w:t>
      </w:r>
      <w:r w:rsidRPr="00A3026E">
        <w:rPr>
          <w:rFonts w:ascii="Times New Roman" w:hAnsi="Times New Roman"/>
          <w:color w:val="000000" w:themeColor="text1"/>
          <w:sz w:val="16"/>
          <w:szCs w:val="16"/>
        </w:rPr>
        <w:softHyphen/>
        <w:t>мобиля.</w:t>
      </w:r>
    </w:p>
    <w:p w14:paraId="243A2B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Динамические качества лучше динамических ка</w:t>
      </w:r>
      <w:r w:rsidRPr="00A3026E">
        <w:rPr>
          <w:rFonts w:ascii="Times New Roman" w:hAnsi="Times New Roman"/>
          <w:color w:val="000000" w:themeColor="text1"/>
          <w:sz w:val="16"/>
          <w:szCs w:val="16"/>
        </w:rPr>
        <w:softHyphen/>
        <w:t>честв БА-11.</w:t>
      </w:r>
    </w:p>
    <w:p w14:paraId="669CFF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Эксплуатационные показатели (средняя скорость движения, расход горючего и запас хода) лучше, чем у БА-11.</w:t>
      </w:r>
    </w:p>
    <w:p w14:paraId="300183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Проходимость БА-11Д по грязным дорогам неудов</w:t>
      </w:r>
      <w:r w:rsidRPr="00A3026E">
        <w:rPr>
          <w:rFonts w:ascii="Times New Roman" w:hAnsi="Times New Roman"/>
          <w:color w:val="000000" w:themeColor="text1"/>
          <w:sz w:val="16"/>
          <w:szCs w:val="16"/>
        </w:rPr>
        <w:softHyphen/>
        <w:t>летворительная, а местами плохая. По проходимости БА-11 и БА-11Д одинаковы».</w:t>
      </w:r>
    </w:p>
    <w:p w14:paraId="451119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из-за того, что производство Д-7 так и не было осво</w:t>
      </w:r>
      <w:r w:rsidRPr="00A3026E">
        <w:rPr>
          <w:rFonts w:ascii="Times New Roman" w:hAnsi="Times New Roman"/>
          <w:color w:val="000000" w:themeColor="text1"/>
          <w:sz w:val="16"/>
          <w:szCs w:val="16"/>
        </w:rPr>
        <w:softHyphen/>
        <w:t>ено, работы по дизельному бронеавтомобилю свернули вес</w:t>
      </w:r>
      <w:r w:rsidRPr="00A3026E">
        <w:rPr>
          <w:rFonts w:ascii="Times New Roman" w:hAnsi="Times New Roman"/>
          <w:color w:val="000000" w:themeColor="text1"/>
          <w:sz w:val="16"/>
          <w:szCs w:val="16"/>
        </w:rPr>
        <w:softHyphen/>
        <w:t>ной 1941 года (11284).</w:t>
      </w:r>
    </w:p>
    <w:p w14:paraId="3C0C35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B691A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Проведенные в октябре месяце 1940 г. полигонные испытания автомобилей ЗИС-22-52 и ГАЗ-60п, с принудительным зацеплением показали, что автомобили обладают хорошей проходимостью по грязным проселочным дорогам, пахоте и за</w:t>
      </w:r>
      <w:r w:rsidRPr="00A3026E">
        <w:rPr>
          <w:rFonts w:ascii="Times New Roman" w:hAnsi="Times New Roman"/>
          <w:color w:val="000000" w:themeColor="text1"/>
          <w:sz w:val="16"/>
          <w:szCs w:val="16"/>
        </w:rPr>
        <w:softHyphen/>
        <w:t>болоченным местам.</w:t>
      </w:r>
    </w:p>
    <w:p w14:paraId="4A3498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ав</w:t>
      </w:r>
      <w:r w:rsidRPr="00A3026E">
        <w:rPr>
          <w:rFonts w:ascii="Times New Roman" w:hAnsi="Times New Roman"/>
          <w:color w:val="000000" w:themeColor="text1"/>
          <w:sz w:val="16"/>
          <w:szCs w:val="16"/>
        </w:rPr>
        <w:softHyphen/>
        <w:t>густе месяце 1940 г. согласно указания ГАБТУ Красной Армии и НКСМ на автозаводе им. Молотова и в НАТИ были изготовлены опытные образцы полугусеничных автомобилей ЗИС-22-52 и ГАЗ-60п, с принудительным зацеплением.</w:t>
      </w:r>
    </w:p>
    <w:p w14:paraId="5EBB57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показатели, выявленные на испытании, следующие:</w:t>
      </w:r>
    </w:p>
    <w:p w14:paraId="541451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Максимальная скорость</w:t>
      </w:r>
    </w:p>
    <w:p w14:paraId="2A7AE7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Средняя скорость по грязному проселку</w:t>
      </w:r>
    </w:p>
    <w:p w14:paraId="481087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Расход горючего на 100 км. по шоссе по проселку</w:t>
      </w:r>
    </w:p>
    <w:p w14:paraId="3D2442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Максимально преодолеваемый подъем</w:t>
      </w:r>
    </w:p>
    <w:p w14:paraId="3325C5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Удельное давление</w:t>
      </w:r>
    </w:p>
    <w:p w14:paraId="4B0CB4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- 38-40 км/час</w:t>
      </w:r>
    </w:p>
    <w:p w14:paraId="417F83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- 14-16 км/час</w:t>
      </w:r>
    </w:p>
    <w:p w14:paraId="53E44C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- 45-60 л</w:t>
      </w:r>
    </w:p>
    <w:p w14:paraId="7861EC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- 75-95 л</w:t>
      </w:r>
    </w:p>
    <w:p w14:paraId="5FC60F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- 28°</w:t>
      </w:r>
    </w:p>
    <w:p w14:paraId="4C5410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- 0,2-0,4 кг/см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p w14:paraId="501A2C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испытании выявлены также дефекты, подлежащие устранению при изготовлении устано</w:t>
      </w:r>
      <w:r w:rsidRPr="00A3026E">
        <w:rPr>
          <w:rFonts w:ascii="Times New Roman" w:hAnsi="Times New Roman"/>
          <w:color w:val="000000" w:themeColor="text1"/>
          <w:sz w:val="16"/>
          <w:szCs w:val="16"/>
        </w:rPr>
        <w:softHyphen/>
        <w:t>вочной партии автомобилей.</w:t>
      </w:r>
    </w:p>
    <w:p w14:paraId="173BC38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Для подготовки выпуска полугусеничных автомобилей в 1941 году и проведения войсковых ис</w:t>
      </w:r>
      <w:r w:rsidRPr="00A3026E">
        <w:rPr>
          <w:i w:val="0"/>
          <w:iCs w:val="0"/>
          <w:color w:val="000000" w:themeColor="text1"/>
          <w:spacing w:val="0"/>
          <w:kern w:val="0"/>
          <w:position w:val="0"/>
          <w:sz w:val="16"/>
          <w:szCs w:val="16"/>
          <w:lang w:val="ru-RU"/>
        </w:rPr>
        <w:softHyphen/>
        <w:t>пытаний необходимо не позднее 20.12.1940 г. изготовить на автозаводах им. Сталина и им. Молото</w:t>
      </w:r>
      <w:r w:rsidRPr="00A3026E">
        <w:rPr>
          <w:i w:val="0"/>
          <w:iCs w:val="0"/>
          <w:color w:val="000000" w:themeColor="text1"/>
          <w:spacing w:val="0"/>
          <w:kern w:val="0"/>
          <w:position w:val="0"/>
          <w:sz w:val="16"/>
          <w:szCs w:val="16"/>
          <w:lang w:val="ru-RU"/>
        </w:rPr>
        <w:softHyphen/>
        <w:t>ва по 5 автомашин с устранением всех дефектов, выявленных на полигонных испытаниях, о чем по</w:t>
      </w:r>
      <w:r w:rsidRPr="00A3026E">
        <w:rPr>
          <w:i w:val="0"/>
          <w:iCs w:val="0"/>
          <w:color w:val="000000" w:themeColor="text1"/>
          <w:spacing w:val="0"/>
          <w:kern w:val="0"/>
          <w:position w:val="0"/>
          <w:sz w:val="16"/>
          <w:szCs w:val="16"/>
          <w:lang w:val="ru-RU"/>
        </w:rPr>
        <w:softHyphen/>
        <w:t>сылается письмо НКСМ т. Малышеву (11211).</w:t>
      </w:r>
    </w:p>
    <w:p w14:paraId="6AC96DBB"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7A8D7E0B" w14:textId="77777777" w:rsidR="00B22593" w:rsidRPr="00A3026E" w:rsidRDefault="00B22593"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В октябре 1940 года руководство завода ГАЗ приняло решение о расформировании группы, которая занималась тракторами. Казакова и старшего инженера-конструктора С.Б. Михайлова руководство завода "сплавило" на завод № 466 (так назвали бывшее моторное производство ГАЗ-11, которое НКАП отобрало для выпуск двигателей М-105). По этому поводу Казаков, в феврале 1941 года, написал жалобное письмо. По его мнению, произошедшее было в высшей степени неправильным. Вместо ГАЗ разработку и выпуск такого тягача следовало перенести хоть на завод №37, хоть на ремонтный завод, при сохранении кооперации. Надо сказать, что Казаков как в воду глядел. Спустя 2 года примерно так и случилось с НАТИ-Д (20372).</w:t>
      </w:r>
    </w:p>
    <w:p w14:paraId="2129654F" w14:textId="77777777" w:rsidR="00B22593" w:rsidRPr="00A3026E" w:rsidRDefault="00B22593" w:rsidP="00A3026E">
      <w:pPr>
        <w:pStyle w:val="article-renderblock"/>
        <w:shd w:val="clear" w:color="auto" w:fill="FFFFFF"/>
        <w:spacing w:before="0" w:beforeAutospacing="0" w:after="0" w:afterAutospacing="0"/>
        <w:jc w:val="both"/>
        <w:rPr>
          <w:color w:val="0070C0"/>
          <w:sz w:val="16"/>
          <w:szCs w:val="16"/>
        </w:rPr>
      </w:pPr>
    </w:p>
    <w:p w14:paraId="4C838E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испытания изготовленных по инициативе автозавода им. Молотова опытных образцов грузовых автомобилей с двумя и тремя ведущими осями и 6-ти цилиндровым двигателем ГАЗ-63 и ГАЗ-33 на полигоне показали хорошие результаты по прохо</w:t>
      </w:r>
      <w:r w:rsidRPr="00A3026E">
        <w:rPr>
          <w:rFonts w:ascii="Times New Roman" w:hAnsi="Times New Roman"/>
          <w:color w:val="000000" w:themeColor="text1"/>
          <w:sz w:val="16"/>
          <w:szCs w:val="16"/>
        </w:rPr>
        <w:softHyphen/>
        <w:t>димости, динамике и экономике.</w:t>
      </w:r>
    </w:p>
    <w:p w14:paraId="6E046F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Автомобили со всеми ведущими колесами, как обладающие повышенной проходимостью, долж</w:t>
      </w:r>
      <w:r w:rsidRPr="00A3026E">
        <w:rPr>
          <w:rFonts w:ascii="Times New Roman" w:hAnsi="Times New Roman"/>
          <w:color w:val="000000" w:themeColor="text1"/>
          <w:sz w:val="16"/>
          <w:szCs w:val="16"/>
        </w:rPr>
        <w:softHyphen/>
        <w:t>ны стать основными армейскими грузовыми автомашинами.</w:t>
      </w:r>
    </w:p>
    <w:p w14:paraId="3B4636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Обеспечение Красной Армии автомобилями данного типа является необходимостью в ближайший год.</w:t>
      </w:r>
    </w:p>
    <w:p w14:paraId="0F9D2C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Вопрос производства грузовых автомобилей ГАЗ-33 и ГАЗ-63 до сего времени не решен.</w:t>
      </w:r>
    </w:p>
    <w:p w14:paraId="1BC94A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организовать на автозаводе им. Молотова производство данных автомобилей в 1941 году (11211).</w:t>
      </w:r>
    </w:p>
    <w:p w14:paraId="142A28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052C3FF" w14:textId="77777777" w:rsidR="0076621F" w:rsidRPr="00A3026E" w:rsidRDefault="0076621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октябре 1940 года цех по производству двигателей ГАЗ-11, которыми оснащался, в том числе, и ГАЗ-61, передали Наркомату авиационной промышленности. Вместо автомобильных моторов там решили выпускать авиационные. Тем оставили Красную армию не только без командирских машин, но и грузовиков ГАЗ-63, которые также предполагалось выпускать с 1941 года. Этими же моторами оснащались плавающие танки-разведчики Т-40 и бронеавтомобили ЛБ-62. Оставшихся моторов хватило лишь на поддержание выпуска Т-40, а о ЛБ-62, ГАЗ-61 и ГАЗ-63 пришлось на время забыть. Одним словом, начало 1941 года руководство ГАЗ им. Молотова встретило отнюдь не в радужном настроении.</w:t>
      </w:r>
    </w:p>
    <w:p w14:paraId="7235DC15" w14:textId="77777777" w:rsidR="0076621F" w:rsidRPr="00A3026E" w:rsidRDefault="0076621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Решение проблемы тоже пришло неожиданно. В своё время ГАЗ-61 появился благодаря тому, что Виталий Андреевич Грачёв, главный конструктор горьковских внедорожников, прочитал заметку, посвящённую полноприводному Ford-Marmon-Herrington LD1. Вот и в этот раз помогло изучение зарубежной прессы, но на сей раз отличился начальник Автотракторного управления Красной армии генерал-майор И. П. Тягунов. Изучая американские журналы, которые приходили к нему с завидной регулярностью, Иван Петрович заинтересовался заметкой, опубликованной в журнале Automotive Industries от 15 декабря 1940 года. Заметка была озаглавлена «Форд строит грузовики «Пигмей» для армии США».</w:t>
      </w:r>
    </w:p>
    <w:p w14:paraId="174918A7" w14:textId="77777777" w:rsidR="0076621F" w:rsidRPr="00A3026E" w:rsidRDefault="0076621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Эта заметка стала источником легенды о том, что первый советский «джип» создавался на основе Bantam BRC. Действительно, в материале указывалось, что American Bantam Car. Co. поставила 70 автомобилей из 1500, заказанных военными, а также упоминался конструктор Bantam BRC. Но на этом речь о Bantam в статье заканчивается, и дальше идёт разговор о другой машине, известной как Ford Pigmy. Более того, к заметке прилагалась фотография второго прототипа Ford Pigmy, а также его технические характеристики. О самом Bantam BRC (как и об однотипном Willys MA) руководство Главного автобронетанкового управления Красной армии (ГАБТУ) узнало лишь в августе 1941 года (17650).</w:t>
      </w:r>
    </w:p>
    <w:p w14:paraId="6A437E6E"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p>
    <w:p w14:paraId="3A5631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октября 1940 г. заводом № 65 проводилась доработка мотоцикла ТИЗ-50 с коляской (двигатель 2-х цилиндровый, 4-х тактный, мощность (проектная) 32 л.с.; 1200 см) по устранению дефектов.</w:t>
      </w:r>
    </w:p>
    <w:p w14:paraId="17C552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СНК СССР № 1423-559сс от 8.8.1940 г. обязывало НК боеприпасов (завод № 65) изготовить в 1940 г.:</w:t>
      </w:r>
    </w:p>
    <w:p w14:paraId="080DBF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 3 квартале 30 машин ТИЗ-50;</w:t>
      </w:r>
    </w:p>
    <w:p w14:paraId="127B5A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 4 квартале 120 машин ТИЗ-50.</w:t>
      </w:r>
    </w:p>
    <w:p w14:paraId="2148A9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завод № 65 только в октябре месяце 1940 г. предъявил опытные образцы ТИЗ-50 на окон</w:t>
      </w:r>
      <w:r w:rsidRPr="00A3026E">
        <w:rPr>
          <w:rFonts w:ascii="Times New Roman" w:hAnsi="Times New Roman"/>
          <w:color w:val="000000" w:themeColor="text1"/>
          <w:sz w:val="16"/>
          <w:szCs w:val="16"/>
        </w:rPr>
        <w:softHyphen/>
        <w:t>чательные испытания. Испытания проведены в октябре месяце 1941 г.</w:t>
      </w:r>
    </w:p>
    <w:p w14:paraId="7BAB57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надежности конструкции, проходимости и динамическим качествам мотоцикл показал впол</w:t>
      </w:r>
      <w:r w:rsidRPr="00A3026E">
        <w:rPr>
          <w:rFonts w:ascii="Times New Roman" w:hAnsi="Times New Roman"/>
          <w:color w:val="000000" w:themeColor="text1"/>
          <w:sz w:val="16"/>
          <w:szCs w:val="16"/>
        </w:rPr>
        <w:softHyphen/>
        <w:t>не удовлетворительные результаты.</w:t>
      </w:r>
    </w:p>
    <w:p w14:paraId="773CBC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комиссии по испытаниям утверждено Маршалом Советского Союза т. Кулик и НК боеприпасов т. Сергеевым и представлено в КО т. Вознесенскому с проектом постановления КО, обязывающим НК боеприпасов (завод № 65) организовать серийный выпуск ТИЗ-50 (11211).</w:t>
      </w:r>
    </w:p>
    <w:p w14:paraId="7024FC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5F906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Только в октябре месяце 1940 г. завод № 65 НКБ предъявил опытные образцы ТИЗ-50 на окон</w:t>
      </w:r>
      <w:r w:rsidRPr="00A3026E">
        <w:rPr>
          <w:rFonts w:ascii="Times New Roman" w:hAnsi="Times New Roman"/>
          <w:color w:val="000000" w:themeColor="text1"/>
          <w:sz w:val="16"/>
          <w:szCs w:val="16"/>
        </w:rPr>
        <w:softHyphen/>
        <w:t>чательные испытания. Испытания проведены в октябре месяце 1941 г.</w:t>
      </w:r>
    </w:p>
    <w:p w14:paraId="4D861F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надежности конструкции, проходимости и динамическим качествам мотоцикл показал впол</w:t>
      </w:r>
      <w:r w:rsidRPr="00A3026E">
        <w:rPr>
          <w:rFonts w:ascii="Times New Roman" w:hAnsi="Times New Roman"/>
          <w:color w:val="000000" w:themeColor="text1"/>
          <w:sz w:val="16"/>
          <w:szCs w:val="16"/>
        </w:rPr>
        <w:softHyphen/>
        <w:t>не удовлетворительные результаты.</w:t>
      </w:r>
    </w:p>
    <w:p w14:paraId="2D8523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комиссии по испытаниям утверждено Маршалом Советского Союза т. Кулик и НК боеприпасов т. Сергеевым и представлено в КО т. Вознесенскому с проектом постановления КО, обязывающим НК боеприпасов (завод № 65) организовать серийный выпуск ТИЗ-50 (11211).</w:t>
      </w:r>
    </w:p>
    <w:p w14:paraId="67AF6D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00F0B3E" w14:textId="77777777" w:rsidR="00CA0AAE" w:rsidRPr="00A3026E" w:rsidRDefault="00CA0AA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октября 1940 г. техническая документа</w:t>
      </w:r>
      <w:r w:rsidRPr="00A3026E">
        <w:rPr>
          <w:rFonts w:ascii="Times New Roman" w:hAnsi="Times New Roman"/>
          <w:color w:val="000000" w:themeColor="text1"/>
          <w:sz w:val="16"/>
          <w:szCs w:val="16"/>
        </w:rPr>
        <w:softHyphen/>
        <w:t>ция по  мотоколяска на на Кара</w:t>
      </w:r>
      <w:r w:rsidRPr="00A3026E">
        <w:rPr>
          <w:rFonts w:ascii="Times New Roman" w:hAnsi="Times New Roman"/>
          <w:color w:val="000000" w:themeColor="text1"/>
          <w:sz w:val="16"/>
          <w:szCs w:val="16"/>
        </w:rPr>
        <w:softHyphen/>
        <w:t>чаровский механический заводе Наркомата коммунального хозяйства так и не поступила, в связи с чем глава Наркомхоза РСФСР В. Макаров писал маршалу Ворошилову:</w:t>
      </w:r>
    </w:p>
    <w:p w14:paraId="6C2F265B" w14:textId="77777777" w:rsidR="00CA0AAE" w:rsidRPr="00A3026E" w:rsidRDefault="00CA0AAE" w:rsidP="00A3026E">
      <w:pPr>
        <w:pStyle w:val="40"/>
        <w:shd w:val="clear" w:color="auto" w:fill="auto"/>
        <w:spacing w:before="0" w:line="240" w:lineRule="auto"/>
        <w:jc w:val="both"/>
        <w:rPr>
          <w:rFonts w:ascii="Times New Roman" w:cs="Times New Roman"/>
          <w:color w:val="000000" w:themeColor="text1"/>
          <w:sz w:val="16"/>
          <w:szCs w:val="16"/>
        </w:rPr>
      </w:pPr>
      <w:r w:rsidRPr="00A3026E">
        <w:rPr>
          <w:rStyle w:val="4a"/>
          <w:rFonts w:ascii="Times New Roman" w:hAnsi="Times New Roman" w:cs="Times New Roman"/>
          <w:i w:val="0"/>
          <w:color w:val="000000" w:themeColor="text1"/>
          <w:sz w:val="16"/>
          <w:szCs w:val="16"/>
        </w:rPr>
        <w:t>«Вся</w:t>
      </w:r>
      <w:r w:rsidRPr="00A3026E">
        <w:rPr>
          <w:rFonts w:ascii="Times New Roman" w:cs="Times New Roman"/>
          <w:color w:val="000000" w:themeColor="text1"/>
          <w:sz w:val="16"/>
          <w:szCs w:val="16"/>
        </w:rPr>
        <w:t xml:space="preserve"> техническая документация (чертежи и технические условия) на прицепную коляску должна быть представлена Карачаровскому заво</w:t>
      </w:r>
      <w:r w:rsidRPr="00A3026E">
        <w:rPr>
          <w:rFonts w:ascii="Times New Roman" w:cs="Times New Roman"/>
          <w:color w:val="000000" w:themeColor="text1"/>
          <w:sz w:val="16"/>
          <w:szCs w:val="16"/>
        </w:rPr>
        <w:softHyphen/>
        <w:t>ду Главмотовелопромом [...]. Гпавмотовелпром [...] приступил к проек</w:t>
      </w:r>
      <w:r w:rsidRPr="00A3026E">
        <w:rPr>
          <w:rFonts w:ascii="Times New Roman" w:cs="Times New Roman"/>
          <w:color w:val="000000" w:themeColor="text1"/>
          <w:sz w:val="16"/>
          <w:szCs w:val="16"/>
        </w:rPr>
        <w:softHyphen/>
        <w:t>тированию коляски образца БМВ-К-71 и может дать техническую доку</w:t>
      </w:r>
      <w:r w:rsidRPr="00A3026E">
        <w:rPr>
          <w:rFonts w:ascii="Times New Roman" w:cs="Times New Roman"/>
          <w:color w:val="000000" w:themeColor="text1"/>
          <w:sz w:val="16"/>
          <w:szCs w:val="16"/>
        </w:rPr>
        <w:softHyphen/>
        <w:t>ментацию Карачаровскому заводу после опробирования образца и кор</w:t>
      </w:r>
      <w:r w:rsidRPr="00A3026E">
        <w:rPr>
          <w:rFonts w:ascii="Times New Roman" w:cs="Times New Roman"/>
          <w:color w:val="000000" w:themeColor="text1"/>
          <w:sz w:val="16"/>
          <w:szCs w:val="16"/>
        </w:rPr>
        <w:softHyphen/>
        <w:t>ректировки чертежей.</w:t>
      </w:r>
    </w:p>
    <w:p w14:paraId="67DF7348" w14:textId="77777777" w:rsidR="00CA0AAE" w:rsidRPr="00A3026E" w:rsidRDefault="00CA0AAE" w:rsidP="00A3026E">
      <w:pPr>
        <w:pStyle w:val="40"/>
        <w:shd w:val="clear" w:color="auto" w:fill="auto"/>
        <w:spacing w:before="0" w:line="240" w:lineRule="auto"/>
        <w:jc w:val="both"/>
        <w:rPr>
          <w:rFonts w:ascii="Times New Roman" w:cs="Times New Roman"/>
          <w:color w:val="000000" w:themeColor="text1"/>
          <w:sz w:val="16"/>
          <w:szCs w:val="16"/>
        </w:rPr>
      </w:pPr>
      <w:r w:rsidRPr="00A3026E">
        <w:rPr>
          <w:rFonts w:ascii="Times New Roman" w:cs="Times New Roman"/>
          <w:color w:val="000000" w:themeColor="text1"/>
          <w:sz w:val="16"/>
          <w:szCs w:val="16"/>
        </w:rPr>
        <w:t>Не имея технической документации, Наркомхоз РСФСР лишен воз</w:t>
      </w:r>
      <w:r w:rsidRPr="00A3026E">
        <w:rPr>
          <w:rFonts w:ascii="Times New Roman" w:cs="Times New Roman"/>
          <w:color w:val="000000" w:themeColor="text1"/>
          <w:sz w:val="16"/>
          <w:szCs w:val="16"/>
        </w:rPr>
        <w:softHyphen/>
        <w:t>можности организовать выпуск в IV квартале 1940 года - 100 шт. при</w:t>
      </w:r>
      <w:r w:rsidRPr="00A3026E">
        <w:rPr>
          <w:rFonts w:ascii="Times New Roman" w:cs="Times New Roman"/>
          <w:color w:val="000000" w:themeColor="text1"/>
          <w:sz w:val="16"/>
          <w:szCs w:val="16"/>
        </w:rPr>
        <w:softHyphen/>
        <w:t>цепных колясок, а также произвести подготовку производства к выпуску прицепных колясок с начала 1941 года.</w:t>
      </w:r>
    </w:p>
    <w:p w14:paraId="025685AD" w14:textId="77777777" w:rsidR="00CA0AAE" w:rsidRPr="00A3026E" w:rsidRDefault="00CA0AAE" w:rsidP="00A3026E">
      <w:pPr>
        <w:pStyle w:val="40"/>
        <w:shd w:val="clear" w:color="auto" w:fill="auto"/>
        <w:spacing w:before="0" w:line="240" w:lineRule="auto"/>
        <w:jc w:val="both"/>
        <w:rPr>
          <w:rFonts w:ascii="Times New Roman" w:cs="Times New Roman"/>
          <w:color w:val="000000" w:themeColor="text1"/>
          <w:sz w:val="16"/>
          <w:szCs w:val="16"/>
        </w:rPr>
      </w:pPr>
      <w:r w:rsidRPr="00A3026E">
        <w:rPr>
          <w:rFonts w:ascii="Times New Roman" w:cs="Times New Roman"/>
          <w:color w:val="000000" w:themeColor="text1"/>
          <w:sz w:val="16"/>
          <w:szCs w:val="16"/>
        </w:rPr>
        <w:t>Прошу дать указание {...} обеспечить изготовление и передачу Наркомхозу РСФСР чертежей и технических условий коляски БМВ-К-71 не позже 15 декабря 1940 г. Это дает возможность подготовить произ</w:t>
      </w:r>
      <w:r w:rsidRPr="00A3026E">
        <w:rPr>
          <w:rFonts w:ascii="Times New Roman" w:cs="Times New Roman"/>
          <w:color w:val="000000" w:themeColor="text1"/>
          <w:sz w:val="16"/>
          <w:szCs w:val="16"/>
        </w:rPr>
        <w:softHyphen/>
        <w:t>водство к выпуску прицепных колясок в 1941 г.».</w:t>
      </w:r>
    </w:p>
    <w:p w14:paraId="4C52DC45" w14:textId="77777777" w:rsidR="00CA0AAE" w:rsidRPr="00A3026E" w:rsidRDefault="00CA0AA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своевременно техническую документацию на коляски Кара</w:t>
      </w:r>
      <w:r w:rsidRPr="00A3026E">
        <w:rPr>
          <w:rFonts w:ascii="Times New Roman" w:hAnsi="Times New Roman"/>
          <w:color w:val="000000" w:themeColor="text1"/>
          <w:sz w:val="16"/>
          <w:szCs w:val="16"/>
        </w:rPr>
        <w:softHyphen/>
        <w:t>чаровский завод так и не получил и был загружен выпуском другой про</w:t>
      </w:r>
      <w:r w:rsidRPr="00A3026E">
        <w:rPr>
          <w:rFonts w:ascii="Times New Roman" w:hAnsi="Times New Roman"/>
          <w:color w:val="000000" w:themeColor="text1"/>
          <w:sz w:val="16"/>
          <w:szCs w:val="16"/>
        </w:rPr>
        <w:softHyphen/>
        <w:t>дукции (15769).</w:t>
      </w:r>
    </w:p>
    <w:p w14:paraId="21D9132B" w14:textId="77777777" w:rsidR="00CA0AAE" w:rsidRPr="00A3026E" w:rsidRDefault="00CA0AAE" w:rsidP="00A3026E">
      <w:pPr>
        <w:spacing w:after="0" w:line="240" w:lineRule="auto"/>
        <w:jc w:val="both"/>
        <w:rPr>
          <w:rFonts w:ascii="Times New Roman" w:hAnsi="Times New Roman"/>
          <w:color w:val="000000" w:themeColor="text1"/>
          <w:sz w:val="16"/>
          <w:szCs w:val="16"/>
        </w:rPr>
      </w:pPr>
    </w:p>
    <w:p w14:paraId="1FC129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строительство в Красноярске филиала Норильского ГМК - Аффинажного завода - было выделено в самостоятельный завод № 169 НКВД. В 1952 г. завод переведен из системы МВД в МЦМ. Имел наименование «п/я 121» (-1967 г.).</w:t>
      </w:r>
    </w:p>
    <w:p w14:paraId="506C39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12.1942 г. введена в действие 1-я очередь завода - опытная обогатительно-аффинажная установка в здании бытового корпуса, а 23.03.1943 г. получены первые в СССР 1291 грамм платины и 3235 граммов палладия из норильской руды (этот день принято считать днем рождения завода). В том же году введены в строй отделение плавки цеха обогащения и цех никелевых солей. 11.05.1944 г. вышло постановление ГКО № 5858 об обеспечении работы завода. В 1944 г. введен цех аффинажа родия и иридия, цех газоводоочистки; в 1945 г. - цех аффинажа платины и палладия, освоен выпуск слитков этих металлов; в 1950 г. - цех фракционного электролиза. В 04.1953 г. введена в эксплуатацию первая на заводе гуммированная центрифуга ТВ 600/350 г в цехе № 3. 29.02.1956 г. вышел приказ МЦМ № 65 «Об организации на КЗЦМ опытно-промышленного производства полупроводниковых кремния и германия». В 1958 г. на базе электромеханической службы и ремонтно-механического цеха образован единый цех по ремонту и изготовлению нестандартизированного оборудования (цех № 10). С 1959 г. налажен выпуск слитков аффинированного золота, в 1962 г. - технического серебра; с 1960 г. - производство полупроводникового кремния, а с 1962 г. - полупроводникового германия.</w:t>
      </w:r>
    </w:p>
    <w:p w14:paraId="62E84E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1.01.1967 г. предприятие переименовали в Красноярский завод цветных металлов («Красцветмет»).</w:t>
      </w:r>
    </w:p>
    <w:p w14:paraId="050D10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ПСМ № 947 от 4.11.1989 г. образован Государственный концерн по производству цветных и драгоценных металлов «Норильский никель». В состав концерна вошел и «Красцветмет».</w:t>
      </w:r>
    </w:p>
    <w:p w14:paraId="613A64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1993 г. в Швейцарии было закуплено специализированное оборудование и налажен выпуск мерных слитков золота массой 1000, 500, 250, 100 граммов, позднее налажено производство мерных слитков массой от 1 до 50 граммов. В 1997 г. запущено производство аффинированного серебра.</w:t>
      </w:r>
    </w:p>
    <w:p w14:paraId="182403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указу Указу Президента РФ № 1017 от 30.06.1993 г. и распоряжению Госкомимущества № 727-р от 6.04.1994 г. завод в 12.1994 г. (вопреки воле коллектива) был акционирован и преобразован в дочернее ОАО «Красцветмет» им. В.Н. Гулидова» в составе РАО «Норильский никель». В 1999 г. заводу присвоено имя В.Н. Гулидова.</w:t>
      </w:r>
    </w:p>
    <w:p w14:paraId="3897C3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Крупнейший в России (2004 г.) аффинажный завод по производству золота (42%), металлов платиновой группы (98,5%).</w:t>
      </w:r>
    </w:p>
    <w:p w14:paraId="314160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(1943-45 г.)- М.И. Гутман, (1945 г.-)- Н.Д. Кужель, (-1984-88 г.)- Б.М. Грайвер, (1988 г.-)- В.Н. Гулидов. Гендиректор (-2003-08 г.-)- И.В. Тихов.</w:t>
      </w:r>
    </w:p>
    <w:p w14:paraId="340CF0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Начальники цехов: № 10 (1958 г.-)- П.Ф. Ливанов; фракционного электролиза (1950 г.-)- В.И. Заиграева.</w:t>
      </w:r>
    </w:p>
    <w:p w14:paraId="6F636125" w14:textId="77777777" w:rsidR="00B102FF" w:rsidRPr="00A3026E" w:rsidRDefault="00B102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Особое проектно-конструкторское и технологическое бюро № 3 (ОПКБ-3) 4-го спецотдела НКВД</w:t>
      </w:r>
    </w:p>
    <w:p w14:paraId="5292AA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Действовало при заводе № 169 НКВД в 1940-е  г. (11982).</w:t>
      </w:r>
    </w:p>
    <w:p w14:paraId="5FA4A7AD" w14:textId="77777777" w:rsidR="00B102FF" w:rsidRPr="00A3026E" w:rsidRDefault="00B102FF" w:rsidP="00A3026E">
      <w:pPr>
        <w:spacing w:after="0" w:line="240" w:lineRule="auto"/>
        <w:jc w:val="both"/>
        <w:rPr>
          <w:rFonts w:ascii="Times New Roman" w:hAnsi="Times New Roman"/>
          <w:color w:val="000000" w:themeColor="text1"/>
          <w:sz w:val="16"/>
          <w:szCs w:val="16"/>
        </w:rPr>
      </w:pPr>
    </w:p>
    <w:p w14:paraId="4AC17F40" w14:textId="77777777" w:rsidR="00926072" w:rsidRPr="00A3026E" w:rsidRDefault="0092607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на базе артельного предприятия «АРФО», выпускавшего фотоаппараты, репродукторы и другие товары широкого потребления был основан Московский завод автотракторной электроаппаратуры» (ЗАО «МЗАТЭ-2»). Завод выпускал боеприпасы для нужд фронта и запасные части для армейских автомобилей, участвовал в восстановлении народного хозяйства и развитии молодой автомобильной промышленности страны, комплектуя приборами зажигания легковые и грузовые автомобили всех автозаводов СССР. Завод был пионером в освоении электронных систем зажигания. Завод специализирован на выпуске изделий систем автомобильного зажигания от магнето для первых советских автомобилей до системы управления впрыском и зажиганием на перспективные модели ведущих автомобильных заводов России (17425).</w:t>
      </w:r>
    </w:p>
    <w:p w14:paraId="7C3B8733" w14:textId="77777777" w:rsidR="00926072" w:rsidRPr="00A3026E" w:rsidRDefault="00926072" w:rsidP="00A3026E">
      <w:pPr>
        <w:spacing w:after="0" w:line="240" w:lineRule="auto"/>
        <w:jc w:val="both"/>
        <w:rPr>
          <w:rFonts w:ascii="Times New Roman" w:hAnsi="Times New Roman"/>
          <w:color w:val="000000" w:themeColor="text1"/>
          <w:sz w:val="16"/>
          <w:szCs w:val="16"/>
        </w:rPr>
      </w:pPr>
    </w:p>
    <w:p w14:paraId="12BE9E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адмирал Л. М. Галлер негативно относился к увеличенным катерам реданного типа и, например, оценивая Г-8 отмечал, что этот катер имеет незначительные преимущества перед Г-5 в дальности плавания и мореходности, сложен в обслуживании четы</w:t>
      </w:r>
      <w:r w:rsidRPr="00A3026E">
        <w:rPr>
          <w:rFonts w:ascii="Times New Roman" w:hAnsi="Times New Roman"/>
          <w:color w:val="000000" w:themeColor="text1"/>
          <w:sz w:val="16"/>
          <w:szCs w:val="16"/>
        </w:rPr>
        <w:softHyphen/>
        <w:t>рехмоторной двигательной установки, которая обеспечивает "явно малую" (48 уз) скорость хода. Такая оценка была вызвана появле</w:t>
      </w:r>
      <w:r w:rsidRPr="00A3026E">
        <w:rPr>
          <w:rFonts w:ascii="Times New Roman" w:hAnsi="Times New Roman"/>
          <w:color w:val="000000" w:themeColor="text1"/>
          <w:sz w:val="16"/>
          <w:szCs w:val="16"/>
        </w:rPr>
        <w:softHyphen/>
        <w:t>нием новых типов малого реданного и более крупного — килево</w:t>
      </w:r>
      <w:r w:rsidRPr="00A3026E">
        <w:rPr>
          <w:rFonts w:ascii="Times New Roman" w:hAnsi="Times New Roman"/>
          <w:color w:val="000000" w:themeColor="text1"/>
          <w:sz w:val="16"/>
          <w:szCs w:val="16"/>
        </w:rPr>
        <w:softHyphen/>
        <w:t>го — катеров, а также изменением взглядов на боевое использова</w:t>
      </w:r>
      <w:r w:rsidRPr="00A3026E">
        <w:rPr>
          <w:rFonts w:ascii="Times New Roman" w:hAnsi="Times New Roman"/>
          <w:color w:val="000000" w:themeColor="text1"/>
          <w:sz w:val="16"/>
          <w:szCs w:val="16"/>
        </w:rPr>
        <w:softHyphen/>
        <w:t>ние этого класса кораблей в целом (3898).</w:t>
      </w:r>
    </w:p>
    <w:p w14:paraId="35CAA8E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ABDF4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решили повысить остойчивость эсминцев пр. 7 укладкой в трюм твердого балласта. Полное водоизмещение серийньгх эсмин</w:t>
      </w:r>
      <w:r w:rsidRPr="00A3026E">
        <w:rPr>
          <w:rFonts w:ascii="Times New Roman" w:hAnsi="Times New Roman"/>
          <w:color w:val="000000" w:themeColor="text1"/>
          <w:sz w:val="16"/>
          <w:szCs w:val="16"/>
        </w:rPr>
        <w:softHyphen/>
        <w:t>цев пр. 7у составило около 2530 т. В то же время радикального уси</w:t>
      </w:r>
      <w:r w:rsidRPr="00A3026E">
        <w:rPr>
          <w:rFonts w:ascii="Times New Roman" w:hAnsi="Times New Roman"/>
          <w:color w:val="000000" w:themeColor="text1"/>
          <w:sz w:val="16"/>
          <w:szCs w:val="16"/>
        </w:rPr>
        <w:softHyphen/>
        <w:t>ления прочности корпусов сделано не было. По сравнению с кораб</w:t>
      </w:r>
      <w:r w:rsidRPr="00A3026E">
        <w:rPr>
          <w:rFonts w:ascii="Times New Roman" w:hAnsi="Times New Roman"/>
          <w:color w:val="000000" w:themeColor="text1"/>
          <w:sz w:val="16"/>
          <w:szCs w:val="16"/>
        </w:rPr>
        <w:softHyphen/>
        <w:t>лями пр. 7 эсминцы типа "Сторожевой" имели также худшие усло</w:t>
      </w:r>
      <w:r w:rsidRPr="00A3026E">
        <w:rPr>
          <w:rFonts w:ascii="Times New Roman" w:hAnsi="Times New Roman"/>
          <w:color w:val="000000" w:themeColor="text1"/>
          <w:sz w:val="16"/>
          <w:szCs w:val="16"/>
        </w:rPr>
        <w:softHyphen/>
        <w:t>вия обитаемости и меньшую дальность плавания — 2773 мили при скорости 19,83 уз, но не уступали им в максимальной скорости хода (3898).</w:t>
      </w:r>
    </w:p>
    <w:p w14:paraId="246996C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1CA9E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эсминец "Сторожевой" всту</w:t>
      </w:r>
      <w:r w:rsidRPr="00A3026E">
        <w:rPr>
          <w:rFonts w:ascii="Times New Roman" w:hAnsi="Times New Roman"/>
          <w:color w:val="000000" w:themeColor="text1"/>
          <w:sz w:val="16"/>
          <w:szCs w:val="16"/>
        </w:rPr>
        <w:softHyphen/>
        <w:t>пил в строй. До начала Великой Отечест</w:t>
      </w:r>
      <w:r w:rsidRPr="00A3026E">
        <w:rPr>
          <w:rFonts w:ascii="Times New Roman" w:hAnsi="Times New Roman"/>
          <w:color w:val="000000" w:themeColor="text1"/>
          <w:sz w:val="16"/>
          <w:szCs w:val="16"/>
        </w:rPr>
        <w:softHyphen/>
        <w:t>венной войны завод 190 успел передать флоту также "Стойкий", "Смелый; "Сильный" и "Страшный" (акт приемки последнего был подписан 22 июня 1941 г.), спущенные на воду в 1938—1939 гг. Завод 189 сдал "Сердитый" (до 25 сентября 1940 г., когда ряд эс</w:t>
      </w:r>
      <w:r w:rsidRPr="00A3026E">
        <w:rPr>
          <w:rFonts w:ascii="Times New Roman" w:hAnsi="Times New Roman"/>
          <w:color w:val="000000" w:themeColor="text1"/>
          <w:sz w:val="16"/>
          <w:szCs w:val="16"/>
        </w:rPr>
        <w:softHyphen/>
        <w:t>минцев пр. 7у был переименован, — "Лихой"), "Славный" и "Суро</w:t>
      </w:r>
      <w:r w:rsidRPr="00A3026E">
        <w:rPr>
          <w:rFonts w:ascii="Times New Roman" w:hAnsi="Times New Roman"/>
          <w:color w:val="000000" w:themeColor="text1"/>
          <w:sz w:val="16"/>
          <w:szCs w:val="16"/>
        </w:rPr>
        <w:softHyphen/>
        <w:t>вый" ("Летучий"). Все они вошли в состав Краснознаменного Бал</w:t>
      </w:r>
      <w:r w:rsidRPr="00A3026E">
        <w:rPr>
          <w:rFonts w:ascii="Times New Roman" w:hAnsi="Times New Roman"/>
          <w:color w:val="000000" w:themeColor="text1"/>
          <w:sz w:val="16"/>
          <w:szCs w:val="16"/>
        </w:rPr>
        <w:softHyphen/>
        <w:t>тийского флота. Николаевский завод 200 завершил постройку "Смышленого" (при закладке — "Полезный"), который вошел в со</w:t>
      </w:r>
      <w:r w:rsidRPr="00A3026E">
        <w:rPr>
          <w:rFonts w:ascii="Times New Roman" w:hAnsi="Times New Roman"/>
          <w:color w:val="000000" w:themeColor="text1"/>
          <w:sz w:val="16"/>
          <w:szCs w:val="16"/>
        </w:rPr>
        <w:softHyphen/>
        <w:t>став Черноморского флота (3898).</w:t>
      </w:r>
    </w:p>
    <w:p w14:paraId="553AC2A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A4AC355"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313480F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644BC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октябре 1940 г., когда укомплектование новых полков ДБ-3Ф уже должно было подходить к концу, во многих из них вообще не было ни одного самолета. На 20 октября в 200-м и 203-м дбап имелось по шесть машин (из 62), в 221-м - 15, в 223-м - семь. </w:t>
      </w:r>
    </w:p>
    <w:p w14:paraId="55F7D8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Семь полков не получили ничего!</w:t>
      </w:r>
    </w:p>
    <w:p w14:paraId="202FA4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 не менее, уже к июлю 1940 г. появились части, практически полностью укомплектованные ДБ-ЗФ. Например, в 8-м дбап на 25 июля значатся даже 72 ДБ-ЗФ с моторами М-88. Новые самолеты стали поступать в Московский, Ленинградский, Северо-Кавказский и другие округа. Лишь на Дальнем Востоке монопольно царили старые ДБ-3. Там сохранилось еще немало машин с М-85 и М-86. "...в 5-й аб имеется 48 самолетов ДБ-3 первого выпуска разных заводов. Все эти самолеты требуют модернизации и в настоящее время небоеспособны из-за отсутствия запчастей, т.к. запчасти серийных самолетов не подходят", - сообщали оттуда.</w:t>
      </w:r>
    </w:p>
    <w:p w14:paraId="5EBF1F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Внедрение ДБ-ЗФ в строевых частях поначалу вызвало много неприятностей. "Первый же месяц эксплоатации этих самолетов выявил ряд серьезнейших дефектов и недостатков конструктивно-производственного порядка...", - писал в июне 1940 г. заместитель начальника ВВС Смушкевич новому наркому обороны маршалу Тимошенко. Расход горючего оказался почти вдвое больше, чем у ДБ-ЗБ. Впоследствии выявили дефект карбюраторов АК-88, дававших переобогащенную смесь. Карбюраторы еще периодически и горели при заходе на посадку. Жаловались на недостаточную прочность капотов моторов и всасывающих патрубков - трескаются. Полужесткие баки деформировались. Из-за неудачной конструкции заборников в баках оставался значительный невырабатываемый запас горючего, превышавший 150 л. И, наконец, в носовой кабине плохо закреплялось сиденье штурмана: "При резких толчках на рулении сиденье вместе со штурманом попадает в педали управления самолетом...".</w:t>
      </w:r>
    </w:p>
    <w:p w14:paraId="6531D3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ДБ-ЗФ не вызывал восторга и у пилотов. Изменение центровки привело к значительному снижению устойчивости. "Пилотажные качества самолетов ДБ-ЗФ в значительной степени ухудшились по сравнению с качествами самолета ДБ-3", - писал Смушкевич (12021).</w:t>
      </w:r>
    </w:p>
    <w:p w14:paraId="438426E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D58E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на основе воздушных армий особого назначения была создана Дальнебомбардировочная авиация (ДБА) Главного командования (9528).</w:t>
      </w:r>
    </w:p>
    <w:p w14:paraId="7ED1B72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6D6D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октября 1940 г., когда 135-й бап, который сыграл особую роль во внедрении ББ-1, возглавил полковник Б.В. Янсен, до мая 1941 г. в нем шла подготовка будущих инструкторов - 67 летчиков и 71 штурман (их часто называли летчики-наблюдатели) освоили все тонкости новой машины и перед войной успели переучить руководящий состав 9 полков. В исправном состоянии находилось около 50 бомбардировщиков; временами гул моторов над аэродромом не стихал с утра до позднего вечера.</w:t>
      </w:r>
    </w:p>
    <w:p w14:paraId="57164D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полку Янсена уделяли внимание и тактической подготовке. Учебные бомбометания показали, что из-за несовершенства прицелов максимальная высота сброса бомб не должна превышать 3000 м, а рабочая - 1000 - 1200 м. Хороших результатов добивались экипажи при бомбометании с 400 - 500 м. Вблизи земли атаки неприятельских истребителей снизу тогда представлялись маловероятными и военные согласились принимать бомбардировщики без люковой установки. Более того, когда в сентябре 1940 г. Комитет обороны рассматривал вопрос усиления пулеметно- пушечного вооружения серийных самолетов, то ББ-1 оказался единственной машиной, которую фактически "разоружили": вместо четырех крыльевых пулеметов оставили два. Война показала ошибочность этих выводов (12028).</w:t>
      </w:r>
    </w:p>
    <w:p w14:paraId="0DB9995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3CFA5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525DDED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8495D6B" w14:textId="77777777" w:rsidR="00B84190" w:rsidRPr="00A3026E" w:rsidRDefault="00B84190"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В октябре 1940 года самолет XF4U-1 представили командованию флота и представителям Воздушного корпуса армии (так в то время назывались ВВС США). Военные остались довольны осмотром. Сильное впечатление XF4U-1 произвел на представителя армии генерала Генри Арнольда. Ранее он не являлся сторонником установки двигателя с воздушным охлаждением на истребители и оказывал давление на фирму Pratt &amp; Whitney, пытаясь склонить ее к разработке новых моторов с водяным охлаждением. После знакомства с самолетом Chance Vought Арнольд изменил свое мнение и оставил конструкторов в покое.</w:t>
      </w:r>
    </w:p>
    <w:p w14:paraId="4191BBD2" w14:textId="77777777" w:rsidR="00B84190" w:rsidRPr="00A3026E" w:rsidRDefault="00B84190"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В ходе программы испытаний самолет достиг скорости 651,7 км/ч, что являлось наивысшим показателем среди истребителей США того времени. На пикировании XF4U-1 разгонялся до 885 км/ч. Остальные характеристики были не хуже. При взлетном весе 4252 кг скороподъемность на уровне моря составляла 13,2 м/с, практический потолок 10800 м. Взлетная дистанция в нормальных условиях — 110 м, а при встречном ветре 46 км/ч (это приблизительно равняется скорости хода авианосца во время выпуска самолетов — 25 узлов) не превышала 46 м. Таким образом, характеристики XF4U-1 оказались лучшими среди самолетов — участников конкурса и 30 июня 1941 года флот объявил истребитель Chance Vought победителем. Вслед за этим последовал заказ на 584 серийных самолета для палубной авиации и авиации Корпуса морской пехоты США. Истребитель получил традиционное для фирмы Chance Vought название — Corsair. Она всегда называла свои самолеты словами из пиратской терминологии (22903).</w:t>
      </w:r>
    </w:p>
    <w:p w14:paraId="0EDF3AFD" w14:textId="77777777" w:rsidR="00B84190" w:rsidRPr="00A3026E" w:rsidRDefault="00B84190" w:rsidP="00A3026E">
      <w:pPr>
        <w:pStyle w:val="article-renderblock"/>
        <w:shd w:val="clear" w:color="auto" w:fill="FFFFFF"/>
        <w:spacing w:before="0" w:beforeAutospacing="0" w:after="0" w:afterAutospacing="0"/>
        <w:jc w:val="both"/>
        <w:rPr>
          <w:color w:val="0070C0"/>
          <w:sz w:val="16"/>
          <w:szCs w:val="16"/>
        </w:rPr>
      </w:pPr>
    </w:p>
    <w:p w14:paraId="50BEA65E" w14:textId="77777777" w:rsidR="00B84190" w:rsidRPr="00A3026E" w:rsidRDefault="00B8419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Октябрь 1940 Немецкие люфтваффе начинают полеты по фотографированию над западными приграничными районами Советского Союза . Бомбардировщики Mitsubishi G3M Императорского военно-морского флота Японии ( союзническое название «Нелл») , базирующиеся в Ханое во французском Индокитае, начинают атаки на Бирманскую дорогу . Британские королевские военно-воздушные силы начинают установку IFF Mark II , первой оперативной системы идентификации друга или врага  (20795).</w:t>
      </w:r>
    </w:p>
    <w:p w14:paraId="3D014FD2" w14:textId="77777777" w:rsidR="00B84190" w:rsidRPr="00A3026E" w:rsidRDefault="00B84190" w:rsidP="00A3026E">
      <w:pPr>
        <w:spacing w:after="0" w:line="240" w:lineRule="auto"/>
        <w:jc w:val="both"/>
        <w:rPr>
          <w:rFonts w:ascii="Times New Roman" w:hAnsi="Times New Roman"/>
          <w:color w:val="0070C0"/>
          <w:sz w:val="16"/>
          <w:szCs w:val="16"/>
        </w:rPr>
      </w:pPr>
    </w:p>
    <w:p w14:paraId="294D03F0" w14:textId="77777777" w:rsidR="00B84190" w:rsidRPr="00A3026E" w:rsidRDefault="00B84190"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shd w:val="clear" w:color="auto" w:fill="FFFFFF"/>
        </w:rPr>
        <w:t xml:space="preserve">В октябре 1940 года </w:t>
      </w:r>
      <w:r w:rsidRPr="00A3026E">
        <w:rPr>
          <w:color w:val="0070C0"/>
          <w:sz w:val="16"/>
          <w:szCs w:val="16"/>
        </w:rPr>
        <w:t>председатель Консультативной комиссии по вопросам обороны (National Defense Advisory Commission) в составе семи человек, созданной Президентов мае и представлявших основные секторы американского «большого бизнеса» (Рузвельт предоставил ей право размещения контрактов от имени президента США в рамках чрезвычайных ассигнований на военные цели, выделенных конгрессом), Кнудсен</w:t>
      </w:r>
      <w:r w:rsidRPr="00A3026E">
        <w:rPr>
          <w:color w:val="0070C0"/>
          <w:sz w:val="16"/>
          <w:szCs w:val="16"/>
          <w:shd w:val="clear" w:color="auto" w:fill="FFFFFF"/>
        </w:rPr>
        <w:t xml:space="preserve"> собрал в огромном выставочном зале Детройта руководство всех ведущих автомобилестроительных фирм США. В зале разложили узлы и компоненты образцов авиационной техники, разработанных по заказу военного министерства. Всем присутствовавшим бизнесменам предложили изучить чертежи и техническую документацию представленных в зале изделий и по возвращении домой определить, производство каких из них они готовы освоить на своих предприятиях. Одновременно промышленники были предупреждены, что в случае всеобщей мобилизации правительство запретит выпуск в стране легковых автомобилей (21541).</w:t>
      </w:r>
    </w:p>
    <w:p w14:paraId="0A9CDED0" w14:textId="77777777" w:rsidR="00B84190" w:rsidRPr="00A3026E" w:rsidRDefault="00B84190" w:rsidP="00A3026E">
      <w:pPr>
        <w:pStyle w:val="article-renderblock"/>
        <w:shd w:val="clear" w:color="auto" w:fill="FFFFFF"/>
        <w:spacing w:before="0" w:beforeAutospacing="0" w:after="0" w:afterAutospacing="0"/>
        <w:jc w:val="both"/>
        <w:rPr>
          <w:color w:val="0070C0"/>
          <w:sz w:val="16"/>
          <w:szCs w:val="16"/>
        </w:rPr>
      </w:pPr>
    </w:p>
    <w:p w14:paraId="763A86CA"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октябре 1940 года в США было сформулировало новое задание на разработку проекта пушечного самолета. Артиллерийский корпус США должен был взять на себя часть проекта, состоящую из 75-мм пушки, системы управления огнем, разработку монтажных приспособлений и стереоскопического дальномера. Авиационный </w:t>
      </w:r>
      <w:r w:rsidRPr="00A3026E">
        <w:rPr>
          <w:rFonts w:ascii="Times New Roman" w:hAnsi="Times New Roman"/>
          <w:color w:val="000000" w:themeColor="text1"/>
          <w:sz w:val="16"/>
          <w:szCs w:val="16"/>
        </w:rPr>
        <w:lastRenderedPageBreak/>
        <w:t>корпус должен был разработать носитель для орудия. Однако, при этом оговаривалось, что проект необходимо вести по мере доступности финансовых средств, хотя и не позднее 1942 финансового года. Таким образом, в переводе на нормальный язык, проект пушечного самолета имел довольно низкий приоритет и средства на его реализацию выделялись по остаточному принципу.</w:t>
      </w:r>
    </w:p>
    <w:p w14:paraId="3E51E56D"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качестве авиационной версии 75-мм пушки были выбраны серийные орудия М2 с длиной ствола в 28.47 калибра и М3 с длиной ствола в 37.5 калибров. Обе пушки являлись развитием упоминаемой выше старой французской полевой пушки Matériel de 75mm Mle 1897. В начале 30-х годов Артиллерийский корпус США предпринял попытку модернизации состоявшего на вооружении французского орудия, приспособив его в качестве зенитного. Проект, получил обозначение Т6. Вслед за этим появилась нужда в танковом орудии, реализованном в пушке Т7. Модернизация свелась к появлению на пушке спускового крючка с ручкой пистолетного типа. Кроме того, была уменьшена величина отката ствола введением поворота откатного механизма на 90 градусов. В апреле 1941 года танковое орудие Т7 получило стандартное серийное обозначение М2, став основой вооружения американских средних танков М3 "Генерал Ли".</w:t>
      </w:r>
    </w:p>
    <w:p w14:paraId="66DB4BC1"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Впрочем, короткий ствол пушки М2 не позволял ей стать эффективным танковым вооружением, в июне 1941 года пушка прошла модернизацию, результатом которой стало появление длинноствольной версии М3, которая, собственно, и стала основным танковым орудием США во Второй Мировой войне.</w:t>
      </w:r>
    </w:p>
    <w:p w14:paraId="05F61E0F"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Первоначальные проработки Авиационного корпуса США предполагали применение обоих типов 75-мм пушек √ и М2, и М3. При этом более компактную М2 планировалось использовать в качестве основного вооружения для разрабатываемого тяжелого эскортного истребителя Curtiss ХР-71. В этом проекте пушку предполагалось разместить в носовой части, в перспективе оснастив автоматом заряжения. Истребитель Curtiss ХР-71, впрочем, так и не был реализован в металле. Более мощную М3, планировалось использовать для поражения наземных целей. Ее рассматривали в качестве основного вооружения перспективного бомбардировщика-штурмовика Douglas ХА-26В.</w:t>
      </w:r>
    </w:p>
    <w:p w14:paraId="4DEBCAFD"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концов, проанализировав оба проекта авиаспециалисты пришли к логичному выводу, что в качестве истребительного вооружения пушка столь большого калибра не особо актуальна и решено было сосредоточиться на варианте штурмовой версии на базе пушки М3. Работы по адаптации танковой пушки М3 в авиационный вариант возглавил капитан Горейс Квинн из Департамента боеприпасов (Army Ordnance Department).</w:t>
      </w:r>
    </w:p>
    <w:p w14:paraId="69D725D2"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Одной из самых интересных особенностей авиационной версии пушки М3 стало оснащение ее автоматической крышкой надульником, представлявшем собой подпружиненный "клюв", раскрывающийся при выстреле. Применение такого необычного устройства было вызвано опасением, что прорывавшиеся раскаленные пороховые газы с не до конца сгоревшими частицами пороха могут нанести ощутимый вред конструкции самолета. Авиационный лафет пушки М3, получивший проектное обозначение Т3 в первых версиях комплектовался таким надульником (версия Т3Е1), позднее, впрочем, выяснилось, что опасения инженеров по поводу воздействия горячих пороховых газов на планер оказались напрасными и от надульника отказались.</w:t>
      </w:r>
    </w:p>
    <w:p w14:paraId="7DD2E84A"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июне 1942 года на встрече представителей ВВС и артиллеристов в Калифорнии было решено в проекте разрабатываемого штурмовика Douglas ХА-26В заменить 75-мм орудие М3 на облегченную версию Т9, которая находилась в разработке. Тем не менее, развитие крупнокалиберной системы на базе М3 прекращено не было. В ожидании окончания работ по версии Т9 был выдан заказ на изготовление 750 комплектов авиационной версии 75-мм пушек М3 на станке Т3Е1 с надульником. В августе 1942 года станок получил серийное обозначение М6, а несколько измененная конструкция орудия получила обозначение М4.</w:t>
      </w:r>
    </w:p>
    <w:p w14:paraId="1F265A84"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период осени-зимы 1942 года на полигоне Эглин-Филд, Флорида, пушка М4 на станке М6 успешна прошла огневые испытания с использованием бронебойных снарядов - тяжелого М72 и облегченного М61. Обстрелам был подвергнут корпус среднего танка "Шерман" М4Е2, также были имитированы обстрелы подводной лодки в виде буксируемой мишени. К маю 1943 года, когда испытания, в целом были завершены, стало очевидным, что клюв-надульник перестает закрываться уже через три-четыре выстрела, а опасность прорыва горячих газов сильно преувеличена и ВВС отказались от этого девайса с сомнительной пользой.</w:t>
      </w:r>
    </w:p>
    <w:p w14:paraId="1D6B48B5"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мае 1942 года в инициативном порядке Артиллерийского корпуса была начата работа над облегченным вариантом уже чисто авиационной версии 75-мм пушки Т9 (если считать пушку М4 все же двойного назначения, как адаптации танковой М3 для нужд авиации). В проекте Т9 ставилась цель предельно облегчить систему при сохранении баллистических характеристик орудия М4.</w:t>
      </w:r>
    </w:p>
    <w:p w14:paraId="37D0F78F"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1942 года работы по проекту облегченного орудия разделился на два параллельных проекта √ собственно Т9, в котором был предусмотрен механизм автоматической загрузки снарядов, и Т13 √ более простой с ручной загрузкой. В ноябре 1942 года был выдан заказ на опытное производство 100 комплектов пушки Т9 с механизмом автоматической загрузки Т13 и авиационным станком Т15 для экспериментальной установке на самолеты.</w:t>
      </w:r>
    </w:p>
    <w:p w14:paraId="66B5FE71"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Характерно, что американцы, проанализировав тактику применения крупнокалиберных авиационных систем, пришли к выводу, что большая отдача орудия все равно не позволит сделать прицельно более одного выстрела, а стало быть автоматическая стрельба будет невостребована, излишне усложняя конструкцию. Практика использования автоматических пушек калибра от 37 мм и выше в других странах привели к таким же результатам. Прицельным был лишь только первый выстрел, который сбивал самолет с курса и для последующего выстрела приходилось вновь выравнивать самолета.</w:t>
      </w:r>
    </w:p>
    <w:p w14:paraId="6EEF188E"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марте 1943 года были проведены первые испытания новой 75-мм авиапушки Т9 с механической подачей снарядов Т13. В результате было обнаружено, что система требует доработки в части смещения центра тяжести ближе к дульному срезу. Подобные же изменения потребовались и в "ручной" версии пушки Т13. В результате появились модификации соответственно Т9Е1 и Т13Е1.</w:t>
      </w:r>
    </w:p>
    <w:p w14:paraId="658DE1D1"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Обширные испытания пушки Т13Е1 проводились на Абердинском полигоне США (Aberdeen Proving Ground). Испытания включали в себя стрельбу снарядами увеличенной мощности, стрельбу при экстремально низких температурах и детонационные испытания. Приемочные испытания на Арсенале Уотертаун показали удовлетворительный результат и пушка Т13Е1 была рекомендована к принятию на вооружение. В марте 1944 года после огневых испытаний с борта штурмовика North American B25H пушка была принята на вооружение, получив стандартный серийный индекс М5 с авиационным станком М9.</w:t>
      </w:r>
    </w:p>
    <w:p w14:paraId="0F1CEDDD"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этому времени 75мм пушка М4 уже год как применялась в войсках с борта среднего бомбардировщика В-25.</w:t>
      </w:r>
    </w:p>
    <w:p w14:paraId="63DDF014"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образец орудия М4 в начале 1942 года установили на серийный средний бомбардировщик В-25С-1 (серийный номер 41-13296), сместив пушку влево относительно продольной оси. Справа от орудия разместили боекомплект, насчитывавший 21 выстрел. Пушка М4 устанавливалась на безоткатном лафете М6 под креслом второго пилота. Общая длина ствола составляла 2,78 м, а общая длина всей орудийной установки достигала 3,28 м, поэтому пришлось пожертвовать частью бомбоотсека. Экипаж самолета, получивший обозначение XB-25G, состоял из двух пилотов, стрелка, радиста и штурмана, который одновременно был заряжающим. Лобовой обтекатель самолета обшили дюралевым листом, одновременно укоротив фюзеляж с 16,09 до 15,78 м. Кроме пушки М4 в носовой части фюзеляжа установили два неподвижных пулемета калибра 12,7 мм с боекомплектом по 400 выстрелов на ствол. Пушку и передние пулеметы наводил на цель пилот. Самолет оснастили оптическим прицелом N-3B и бомбо-артиллерийским прицелом А-1. Кроме того, для пристрелки можно было использовать трассы курсовых пулеметов. Когда цель оказывалась под огнем пулеметов, производился спуск орудия. Прицел А-1 использовался для бомбовых атак с небольшой высоты.</w:t>
      </w:r>
    </w:p>
    <w:p w14:paraId="54502354"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XB-25G совершил первые два пробных полета 22 октября 1942 года. Пилотировал самолет Эд Верджин, а место инженера занимал Пол Брюер. Первые испытания касались работы вспомогательных механизмов и системы зарядки пушки. Летные качества самолета почти не изменились, лишь максимальная скорость упала до 447 км/ч. В пикировании прототип успешно разогнался до 544 км/ч. На следующий день над Тихим океаном Верджин, Брюер и разработчик орудия - Квинн провели пробные стрельбы снарядами с уменьшенным до 50% и 75% от нормы метательным зарядом. В момент выстрела ощущался заметный толчок, но он не превышал допустимых пределов. Дыма почти не было, и видимость мгновенно восстанавливалась. 31 октября XB-25G перелетел в Канзас-Сити, где на нем установили бомбодержатели для 3000 фунтов (1362 кг) бомб, после чего машина вернулась в Инглвуд. После десяти часов испытаний 22 октября 1942 года XB-26G перелетел на базу Эглин-Филд (Флорида), где дальнейшие испытания проводились уже под эгидой USAAC.</w:t>
      </w:r>
    </w:p>
    <w:p w14:paraId="21683538"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завершились успешно. Почти тут же был подписан контракт на постройку 400 штук В-25G.</w:t>
      </w:r>
    </w:p>
    <w:p w14:paraId="35CE67CE"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Первыми переделке подверглись пять В-25С и 58 В-25С-20 и С-25. Было установлено дополнительное бронирование вокруг места заряжающего. Броня также прикрывала боекомплект 75-мм пушки и носовую часть фюзеляжа. Левая часть лобового стекла была частично закрыта листом дюраля, на котором монтировался пушечный прицел. Первые B-25G военные получили в мае 1943 года. Целиком заказ выполнили в августе 1943 года. В Инглвуде построили 400 самолетов в трех сериях: G-1, G-5 и G-10.</w:t>
      </w:r>
    </w:p>
    <w:p w14:paraId="4A712818"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мае 1944 года Объединенный Комитет по аэронавтике, рассматривая оснащенный пушкой М4 штурмовик B-25G лишь как временную меру, принял основным вариантом следующую версию машины B-25H, оснащенную облегченной пушкой М5. При этом, орудие рассматривалось как стандартное для оснащения Армии, Флота, а также поставок в страны союзницы, прежде всего в Великобританию. Пушка получила обозначение AN-M5, авиационный станок под нее AN-M9 (стандартный префикс AN √ обозначал Army-Navy √ то есть, для армии и флота).</w:t>
      </w:r>
    </w:p>
    <w:p w14:paraId="721C0DE3"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уже отмечалось выше, пушка АN-M5 нашла себя в качестве основного вооружения штурмовика North American B-25H. Прототип В-25Н (переделанный из версии В-25С-10, серийный ╧42-32372) впервые поднялся в воздух 15 мая 1943 года. Самолет пилотировал Эд Верджин, ему ассистировал механик Гас Пиктайрн. Первые серийные В-25Н стали прибывать в боевые части в феврале 1944 года. Основной тактикой атаки было открыть огонь с высоты 300 м и продолжать стрелять, снижаясь до 150 м. Пилот наводил машину на цель с помощью прицела N-6A. В среднем, за один боевой заход удавалось выстрелить три раза из 75-мм пушки. Теоретически хорошо тренированный экипаж мог обеспечить скорострельность орудия М5 до 30 выстрелов в минуту, однако, как правило, на практике темп стрельбы не превышал 3 - 4 выстр /мин. При применении облегченных фугасных снарядов М48 рекомендовалось держать скорость порядка 228 миль/ч (365 км/ч) на уровне моря. При большей скорости стабильность платформы "Самолет-пушка" ухудшалась.</w:t>
      </w:r>
    </w:p>
    <w:p w14:paraId="394DB041"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Пушечные штурмовики B-25G и B-25H, вооруженные 75-мм орудиями М4 и М5 оказались весьма полезными на Тихом океане для атак небольших транспортных судов японцев, в охоте за танками и зенитными батареями. В Бирме при атаках нефтяных месторождений Ланива один из штурмовиков "Митчелл" выпустив лишь 4 снаряда, устроил огненный шторм на нефтехранилище.</w:t>
      </w:r>
    </w:p>
    <w:p w14:paraId="746F91F0"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Применялись пушечные "Митчеллы" и на Средиземном море в охоте за судоходством. </w:t>
      </w:r>
    </w:p>
    <w:p w14:paraId="773EACB4"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Случалось, что по зубам штурмовикам оказывались и более серьезные цели:</w:t>
      </w:r>
    </w:p>
    <w:p w14:paraId="3A7473CC"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июня 1944 года в 30 милях от города Маноквари, Новая Гвинея, группа из двух В-25Н из 345-й бомбардировочной группы США огнем 75-мм пушек пустила на дно даже японский эсминец "Харусами" водоизмещением 1700 тонн. Для уничтожения корабля и гибели 74 членов его экипажа потребовалось удачное попадание лишь пяти 75-мм снарядов.</w:t>
      </w:r>
    </w:p>
    <w:p w14:paraId="208B1D12"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в целом, такие победы были редкостью. К началу 1945 года достойных целей на Тихом океане осталось мало, а применение пушечных "Митчеллов" в Европе с очень плотной и эффективной системой ПВО немцев было чревато большими потерями. Да и анализ боевых действий на Тихом океане выявил, что в большинстве случаев пулеметный шквал огня с последующим ракетным залпом и сбросом бомб по небольшим кораблям гораздо эффективнее чем несколько прямых попаданий 75-мм снарядов. В результате количество выпущенных В-25Н ограничилось примерно 1000 экземпляров.</w:t>
      </w:r>
    </w:p>
    <w:p w14:paraId="13E70BB7"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Планируемая установка 75-мм орудий М5 на новый штурмовик-бомбардировщик Douglas A-26 "Invader", имевший значительно большую скорость, чем В-25, заставила провести модернизацию орудия. Как уже отмечалось выше, стрельба из пушки была эффективной лишь на скоростях порядка 365 √ 375 км/ч. При достижении скорости 400 км/ч устойчивость самолета при выстреле из 75-мм пушки и, соответственно, точность стрельбы резко падала. В то же время, новый бомбардировщик А-26 оказался значительно быстрее. Чтобы улучшить устойчивость воздушной платформы при стрельбе была разработана новая версия пушки AN-M5A1 в которой был уменьшен шаг нарезки ствола с изначальных 511.5 мм до 440 мм на один оборот. Это привело к бóльшему закручиванию снаряда в стволе и, соответственно, улучшению кучности. Баллистические характеристики орудия практически не изменились. Впрочем, новая версия пушки распространения не получила. Было построено лишь 14 предсерийных пушечных штурмовиков А-26В "Инвейдер".</w:t>
      </w:r>
    </w:p>
    <w:p w14:paraId="21B92C98"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Разработка версии пушки Т9Е2, которую предполагалось оснастить автоматом заряжения, затянулась до лета 1944 года. Строго говоря, причиной этого было то, что особой нужды в ней авиаторы не видели. Ускорение проекта произошло лишь в конце 1942 года, когда по заказу армии была начата разработка нового проекта противотанкового штурмовика Beech ХА-38 "Grizzly", который хотели оснастить самым мощным из имеющегося вооружения. В связи с тем, что габариты самолета, заданные заказчиком, были весьма ограниченны, места для размещения "заряжающего" было не много. Первый прототип ХА-38 взлетел в мае 1944 года, а в следующем месяце на него был смонтирован артиллерийский комплекс, состоявший из собственно 75-мм пушки Т9Е2, подающего механизма Т13 и монтажной рамы Т15Е2. В июне же были проведены первые стрельбы из пушки на наземном полигоне в Тулса, штат Оклахома. Чуть позже испытания были продолжены уже в воздухе на полигоне Грэйт Бенд в Канзасе. В целом, было отмечено удовлетворительное поведение как самолета, так и орудийной системы.</w:t>
      </w:r>
    </w:p>
    <w:p w14:paraId="57F09723"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Сама по себе пушка Т9Е2 конструктивно не отличалась от серийной М5. Также станок Т15Е2 мало отличался от серийного М9. Интерес представлял лишь зарядно-подающий механизм Т13. Впрочем, ничего особенно революционного он собой не представлял. Это была лишь кольцевая обойма на 20 патронов, огибавшая казенную часть пушки сверху. Подача патронов из обоймы производилась гидравлическим цилиндром, расположенным над стволом орудия и управлялась вручную стрелком самолета. В штурмовике ХА-38 стрелок, или оператор вооружения находился перед местом пилота уровнем ниже.</w:t>
      </w:r>
    </w:p>
    <w:p w14:paraId="43E30456"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процессе выявления проблем с ограничением скорости носителя пушек М5, была проведена аналогичная модернизация и орудия Т9. Вариант с уменьшенным шагом нарезов в стволе аналогичный версии М5А1, получил обозначение Т9Е3. А к октябрю 1944 года пушка получила серийное обозначение М10 с зарядно-подающим устройством М4 и авиационной монтажной рамой М10.</w:t>
      </w:r>
    </w:p>
    <w:p w14:paraId="772A4349"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Незадолго до конца войны шла работа над полностью автоматической орудийной системой калибра 75 мм, однако, закрытие проекта штурмовика ХА-38 поставило крест и на разработках в США крупнокалиберных пушек. Программа 75-мм орудия М10 была закрыта летом 1945 года.</w:t>
      </w:r>
    </w:p>
    <w:p w14:paraId="2B6444E0"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75 -мм пушки M4, М5 и М10 являлись идентичными конструктивно. Это было однозарядное полуавтоматическое орудие с длинным откатом ствола и автоматическим вертикальным затвором. На ранних версиях пушек М4 и М5 монтировалась крышка надульник, состоявшая из 4 лепестков, которые открывались при попадании очередного снаряда в камору патронника. При выстреле и откате ствола лепестки смыкались.</w:t>
      </w:r>
    </w:p>
    <w:p w14:paraId="40B31ADE"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Масса пушки М4 составляла 405 кг, которая была уменьшена до 184 кг на версии М5. Со станками М6 и М9 системы весили 567 и 346 кг соответственно. Ствол длиной 2.78 м имел 24 правосторонних винтовых нареза шириной 6.3 мм и глубиной 0.5 мм. Начальная скорость в зависимости от применяемых боеприпасов колебалась в пределах от 600 м/ч до 620 м/с.</w:t>
      </w:r>
    </w:p>
    <w:p w14:paraId="321A9A28"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75-мм орудия М4; М5 и М10 использовали унитарные патроны 75x350R. В основном использовались ослабленные бронебойно-трассирующие снаряды "M72 Shot" массой 6,32 кг; масса выстрела 8,52 кг; начальная скорость 618 м/с. Бронебойные М61 массой 6.8 кг с начальной скоростью около 620 м/с. и фугасные М48 массой 8.2 кг, содержащие 676 граммов тротила с начальной скоростью 600 м/с. Ограниченно использовались также и осколочно-фугасные гранаты M42A1; масса снаряда 6,66 кг; масса выстрела 8,53 кг; начальная скорость 463 м/с.</w:t>
      </w:r>
    </w:p>
    <w:p w14:paraId="4198AC66"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Бронебойный снаряд М72 при угле встречи 60 градусов с дистанции 500 м пробивал 76 мм гомогенной брони и 66 мм закаленной брони. На дистанции 1000 м при тех же условиях толщины поражаемой брони составляла соответственно 63 и 53 мм.</w:t>
      </w:r>
    </w:p>
    <w:p w14:paraId="191AA3EB"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75-мм авиапушки в составе американской авиации применялись в бою только на штурмовых версиях бомбардировщиков "Митчелл" В-25G и B-25H, а также на их флотских версиях PBJ-1H. На Тихоокеанском ТВД пушечные версии применялись в 100-й эскадрилье 42 бомбардировочной группы 13 воздушного флота; 498 эскадрилье 345 бомбардировочной группы. Во всех четырех эскадрильях 38 бомбардировочной группы √ 822; 823; 71 и 405. В Юго-Восточной Азии пушечные "Митчеллы" летали в составе четырех эскадрилий 341-й бомбардировочной группы √ 11; 490; 22 и 491-й. Несколько B-25G числились даже в составе 418-й эскадрилье ночных истребителей в Ост-Индии.</w:t>
      </w:r>
    </w:p>
    <w:p w14:paraId="2E0F2033" w14:textId="77777777" w:rsidR="00340F1A" w:rsidRPr="00A3026E" w:rsidRDefault="00340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Помимо "Митчеллов" 75-мм пушки М5 устанавливались на бомбардировщиках Douglas A-26В "Invader". А на одном из них А-26В-5 также испытывалась и пушка М10. Кроме них 75-мм вооружение планировалось также на сверхтяжелых истребителях Lockheed XP-58 "Chain Lightning" и оставшемся в проекте Curtiss ХР-71. В конце Второй Мировой войны авиационную облегченную 75-мм пушку М5 под новым обозначением М6 почти без изменений установили на новый танк М24. Таким образом, эволюция старой французской пушки рождения конца 19 века, начавшись "на земле", там же и закончилась (17363).</w:t>
      </w:r>
    </w:p>
    <w:p w14:paraId="1553165A" w14:textId="77777777" w:rsidR="00340F1A" w:rsidRPr="00A3026E" w:rsidRDefault="00340F1A" w:rsidP="00A3026E">
      <w:pPr>
        <w:spacing w:after="0" w:line="240" w:lineRule="auto"/>
        <w:jc w:val="both"/>
        <w:rPr>
          <w:rFonts w:ascii="Times New Roman" w:hAnsi="Times New Roman"/>
          <w:color w:val="000000" w:themeColor="text1"/>
          <w:sz w:val="16"/>
          <w:szCs w:val="16"/>
        </w:rPr>
      </w:pPr>
    </w:p>
    <w:p w14:paraId="2F8D3B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 несмотря на массированное дипломатическое давление со стороны Германии, Италии и режима Виши правительство Чан Кайши отказалось от переговоров с Японией и продолжило пассивное сопротивление. При этом официально правительство Чан Кайши все еще не считало себя в состоянии войны с Японией.</w:t>
      </w:r>
    </w:p>
    <w:p w14:paraId="583688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Гражданская часть японского руководства - высшее чиновничество и аристократия - имела более трезвое понимание невозможности сплошной оккупации Китая. Она выступала за заключение мира с Китаем на условиях ограничения зоны оккупации главным образом территорией Манчжоу-го. Эта группировка считала главным геополитическим противником Японии Советский Союз. Задачи неизбежной борьбы с ним определяла, по мысли этих политиков, необходимость концентрации усилий на укреплении японских позиций в Манчжоу-го и требовала ограничения масштабов экспансии на материке. Эта группировка не отказывалась от доминирования Японии в Восточной Азии, в том числе и через создание некого широкого регионального объединения под японским лидерством. Но эта сфера мыслилась с непременным вхождением в нее мирного и лояльного по отношению к Японии Китая. Это предполагало необходимость урегулирования японо-китайских отношений. Представителем "ограничительной" линии в 40-х годах стал принц Фуминаро Коноэ.</w:t>
      </w:r>
    </w:p>
    <w:p w14:paraId="3F1ABD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военные круги - руководители военного и военно-морского министерств, начальники штабов видов вооруженных сил и среднее звено офицерского корпуса полевых армий требовали расширения агрессии против Китая. Для этого Японии было необходимо изолировать зону контроля Чан Кайши от внешнего мира. Поскольку основные порты и прибрежные районы Китая находились под японским контролем, главным источником снабжения китайского правительства были две железные дороги, соединявшие Южный Китай с британскими колониями - Бирмой и Французским Индокитаем. Их блокада была одной из главных целей Японии в регионе (3871).</w:t>
      </w:r>
    </w:p>
    <w:p w14:paraId="7FEDE6F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4C22309" w14:textId="77777777" w:rsidR="00947198" w:rsidRPr="00A3026E" w:rsidRDefault="0094719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октября 1940 г. по приказу Германского генштаба, каждый новый образец захваченной бронетехники в количестве двух экземпляров передавался в исследовательский центр Кумменсдорф для проведения всесторонних испытаний. После этого один образец оставлялся в выставочном центре арсенала Кумменсдорф, второй экземпляр направляли в коллекцию танкового музея вермахта в Штеттине (19202).</w:t>
      </w:r>
    </w:p>
    <w:p w14:paraId="06C70EFA" w14:textId="77777777" w:rsidR="00947198" w:rsidRPr="00A3026E" w:rsidRDefault="00947198" w:rsidP="00A3026E">
      <w:pPr>
        <w:spacing w:after="0" w:line="240" w:lineRule="auto"/>
        <w:jc w:val="both"/>
        <w:rPr>
          <w:rFonts w:ascii="Times New Roman" w:hAnsi="Times New Roman"/>
          <w:color w:val="000000" w:themeColor="text1"/>
          <w:sz w:val="16"/>
          <w:szCs w:val="16"/>
        </w:rPr>
      </w:pPr>
    </w:p>
    <w:p w14:paraId="1D9646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Люфтваффе начало фотографирование пограничных областей СССР (230,55).</w:t>
      </w:r>
    </w:p>
    <w:p w14:paraId="29108B1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AB3D1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в KWI была создана новая лаборатория по делению урана. Гейзенберг разрывался между двумя лабораториями в Берлине и Лейпциге. В октябре 1940 состоялась конференция по разделению изотопов урана и метод термодиффузии по прежнему рассматривался как предпочтительный (2221).</w:t>
      </w:r>
    </w:p>
    <w:p w14:paraId="5F889D1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FFD6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начались летные испытания Р-51 (173,258).</w:t>
      </w:r>
    </w:p>
    <w:p w14:paraId="6FE6D0D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4E6C5C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43D94D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983F5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октябре-ноябре 1940 г. были подготовлены новые эскизные про</w:t>
      </w:r>
      <w:r w:rsidRPr="00A3026E">
        <w:rPr>
          <w:rFonts w:ascii="Times New Roman" w:hAnsi="Times New Roman"/>
          <w:color w:val="000000" w:themeColor="text1"/>
          <w:sz w:val="16"/>
          <w:szCs w:val="16"/>
        </w:rPr>
        <w:softHyphen/>
        <w:t>екты по всем трем вариантам самоле</w:t>
      </w:r>
      <w:r w:rsidRPr="00A3026E">
        <w:rPr>
          <w:rFonts w:ascii="Times New Roman" w:hAnsi="Times New Roman"/>
          <w:color w:val="000000" w:themeColor="text1"/>
          <w:sz w:val="16"/>
          <w:szCs w:val="16"/>
        </w:rPr>
        <w:softHyphen/>
        <w:t>та «103», являвшиеся, по существу, предварительными техническими описаниями (10728).</w:t>
      </w:r>
    </w:p>
    <w:p w14:paraId="066DA0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6A555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октябре-ноябре 1940 г. провели специальные летные испытания И-16 тип 29 №292116 для реализации указаний ВВС эксплуатировать моторы М-63 на режимах пониженной мощности, т.е. на режимах мотора М-62. Они показали, что максимальная скорость снижается на 3-4%, а время на</w:t>
      </w:r>
      <w:r w:rsidRPr="00A3026E">
        <w:rPr>
          <w:rFonts w:ascii="Times New Roman" w:hAnsi="Times New Roman"/>
          <w:color w:val="000000" w:themeColor="text1"/>
          <w:sz w:val="16"/>
          <w:szCs w:val="16"/>
        </w:rPr>
        <w:softHyphen/>
        <w:t>бора высоты 5000 м увеличивается до 6,7 мин. Потолок не изменился (10667).</w:t>
      </w:r>
    </w:p>
    <w:p w14:paraId="7FDB5EB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CC85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октябре-ноябре 1940 за день до принятия И-301 ЛаГГ в массовую серию Г.М.Маленков потребовал выполнить полет на дальность 1000 км. Летал А.И.Никашин от Москвы до Курска, где бросал вымпел, и обратно. Начали в 5, а кончили - ночью. Пролетел 840. В баках осталось положенных 15% горючего. По другим данным - 92 кг (1204,84).</w:t>
      </w:r>
    </w:p>
    <w:p w14:paraId="4A2EC5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Точная дата так и не известна.</w:t>
      </w:r>
    </w:p>
    <w:p w14:paraId="7F618DE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C8DC8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октябре-ноябре 1940 А.И.Шахурин жаловался И.В.Сталину, что в АП - тревожное время. Старое производство - остановлено, новое - не началось Успеем - сказал И.В.Сталин (6,90).</w:t>
      </w:r>
    </w:p>
    <w:p w14:paraId="46606A9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BE59F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и ноябре 1937 года прошло 4 длительных испытания мотора АМ-34 на форсированных режимах (взлетная мощность 1200 л.с., номинальная мощность 1050 л.с. на 3500 м).</w:t>
      </w:r>
    </w:p>
    <w:p w14:paraId="33328A9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Форсированный мотор № 63 (с передачей на винт 0,732 и солеными клапанами) отработал на станке 80 часов, после чего произошла поломка дюралевой заглушки 3-й шатунной шейки коленвала. Блоки вместе с клапанами были переставлены на другой мотор № 51), где и отработали дополнительно 20 часов (до 100 часов). ……………</w:t>
      </w:r>
    </w:p>
    <w:p w14:paraId="34FAE02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Форсированный мотор № 65 (с передачей на винт 0,732 и солеными клапанами) отработали в общей сложности 100 режимных часов, из них 7, 5 часов максимальной мощности и 26,5 часов номинальной мощности с рядом дефектов и 4-мя промежуточными переборками блоков.</w:t>
      </w:r>
    </w:p>
    <w:p w14:paraId="1776EF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48D749B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форсированном моторе № 83 ( с передачей на винт 0,59 и несолеными клапанами из стали 81-63) было проведено госиспытание бензина Экстра.</w:t>
      </w:r>
    </w:p>
    <w:p w14:paraId="06341C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18462DA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мотор 3Б-1724, имеющий отличия от нормального ………………….</w:t>
      </w:r>
    </w:p>
    <w:p w14:paraId="57512D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испытании имели место отказы свечей и другие дефекты ……………</w:t>
      </w:r>
    </w:p>
    <w:p w14:paraId="603F71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7CDF737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проведенные в последние 1,5 месяца показали возможность работы основных деталей мотора АМ-34 на форсированных режимах (взлетная мощность 1200 л.с., номинальная мощность 1050 л.с. на высоте 3500 м) на станке в течение 100 часов по 45 МТУ.</w:t>
      </w:r>
    </w:p>
    <w:p w14:paraId="235E050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разборке моторов после испытаний обнаружены следующие два основных не изжитых дефекта:</w:t>
      </w:r>
    </w:p>
    <w:p w14:paraId="68F3EB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трещины головок цилиндровых блоков в перемычках седел клапанов;</w:t>
      </w:r>
    </w:p>
    <w:p w14:paraId="709FA2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выгорание и выветривание фасок клапанов выпуска.</w:t>
      </w:r>
    </w:p>
    <w:p w14:paraId="3720C6B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24 должен в кратчайший срок изжить эти дефекты для обеспечения длительной надежной работы мотора на форсированных режимах (7531, 62-65).</w:t>
      </w:r>
    </w:p>
    <w:p w14:paraId="7F746DB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0A1DC66" w14:textId="77777777" w:rsidR="0076621F" w:rsidRPr="00A3026E" w:rsidRDefault="0076621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 xml:space="preserve">В октябре — ноябре 1940 на НИП АВ ВВС в Ногинске на двухмоторном истребителе </w:t>
      </w:r>
      <w:r w:rsidRPr="00A3026E">
        <w:rPr>
          <w:color w:val="000000" w:themeColor="text1"/>
          <w:sz w:val="16"/>
          <w:szCs w:val="16"/>
          <w:lang w:val="en-US"/>
        </w:rPr>
        <w:t>Bf</w:t>
      </w:r>
      <w:r w:rsidRPr="00A3026E">
        <w:rPr>
          <w:color w:val="000000" w:themeColor="text1"/>
          <w:sz w:val="16"/>
          <w:szCs w:val="16"/>
        </w:rPr>
        <w:t xml:space="preserve"> 110</w:t>
      </w:r>
      <w:r w:rsidRPr="00A3026E">
        <w:rPr>
          <w:color w:val="000000" w:themeColor="text1"/>
          <w:sz w:val="16"/>
          <w:szCs w:val="16"/>
          <w:lang w:val="en-US"/>
        </w:rPr>
        <w:t>C</w:t>
      </w:r>
      <w:r w:rsidRPr="00A3026E">
        <w:rPr>
          <w:color w:val="000000" w:themeColor="text1"/>
          <w:sz w:val="16"/>
          <w:szCs w:val="16"/>
        </w:rPr>
        <w:t xml:space="preserve"> проходи</w:t>
      </w:r>
      <w:r w:rsidRPr="00A3026E">
        <w:rPr>
          <w:color w:val="000000" w:themeColor="text1"/>
          <w:sz w:val="16"/>
          <w:szCs w:val="16"/>
        </w:rPr>
        <w:softHyphen/>
        <w:t>ли стрельбовые летные испытания пушек ТКБ-201 и ПТБ-23 (с темпом стрельбы 600—610 выстр./мин). Первой к 11 октября их завершила пушка Волко</w:t>
      </w:r>
      <w:r w:rsidRPr="00A3026E">
        <w:rPr>
          <w:color w:val="000000" w:themeColor="text1"/>
          <w:sz w:val="16"/>
          <w:szCs w:val="16"/>
        </w:rPr>
        <w:softHyphen/>
        <w:t>ва—Ярцева, а к 12 ноября — пушка Таубина—Бабурина.</w:t>
      </w:r>
    </w:p>
    <w:p w14:paraId="4C910381" w14:textId="77777777" w:rsidR="0076621F" w:rsidRPr="00A3026E" w:rsidRDefault="0076621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Съемные пушечные установки для них в корот</w:t>
      </w:r>
      <w:r w:rsidRPr="00A3026E">
        <w:rPr>
          <w:color w:val="000000" w:themeColor="text1"/>
          <w:sz w:val="16"/>
          <w:szCs w:val="16"/>
        </w:rPr>
        <w:softHyphen/>
        <w:t>кий срок были разработаны в ОКО завода № 1 под руководством Н. И. Волкова.</w:t>
      </w:r>
    </w:p>
    <w:p w14:paraId="72404C85" w14:textId="77777777" w:rsidR="0076621F" w:rsidRPr="00A3026E" w:rsidRDefault="0076621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 баллистике (начальная скорость), темпу стрельбы, эффективности снаряда (вес снаряда, вес разрывного заряда) обе пушки были вполне равноценными образцами. Однако пушка ТКБ-201 и ее установка на самолете с боезапасом 81 пат</w:t>
      </w:r>
      <w:r w:rsidRPr="00A3026E">
        <w:rPr>
          <w:color w:val="000000" w:themeColor="text1"/>
          <w:sz w:val="16"/>
          <w:szCs w:val="16"/>
        </w:rPr>
        <w:softHyphen/>
        <w:t>рон оказалась тяжелее на 49,7 кг. Дело в том, что ТКБ-201 требовала установки на лафете аморти</w:t>
      </w:r>
      <w:r w:rsidRPr="00A3026E">
        <w:rPr>
          <w:color w:val="000000" w:themeColor="text1"/>
          <w:sz w:val="16"/>
          <w:szCs w:val="16"/>
        </w:rPr>
        <w:softHyphen/>
        <w:t>затора силы отдачи. У пушки ПТБ-23 устройства амортизации силы отдачи входили в конструкцию пушки. Собственно, именно по этой причине лафе</w:t>
      </w:r>
      <w:r w:rsidRPr="00A3026E">
        <w:rPr>
          <w:color w:val="000000" w:themeColor="text1"/>
          <w:sz w:val="16"/>
          <w:szCs w:val="16"/>
        </w:rPr>
        <w:softHyphen/>
        <w:t>ты для пушек ПТБ-23 и ТКБ-201, спроектированные и изготовленные одним и тем же заводом (№ 1) для проведения испытаний на одном и том же само</w:t>
      </w:r>
      <w:r w:rsidRPr="00A3026E">
        <w:rPr>
          <w:color w:val="000000" w:themeColor="text1"/>
          <w:sz w:val="16"/>
          <w:szCs w:val="16"/>
        </w:rPr>
        <w:softHyphen/>
        <w:t>лете (</w:t>
      </w:r>
      <w:r w:rsidRPr="00A3026E">
        <w:rPr>
          <w:color w:val="000000" w:themeColor="text1"/>
          <w:sz w:val="16"/>
          <w:szCs w:val="16"/>
          <w:lang w:val="en-US"/>
        </w:rPr>
        <w:t>Bf</w:t>
      </w:r>
      <w:r w:rsidRPr="00A3026E">
        <w:rPr>
          <w:color w:val="000000" w:themeColor="text1"/>
          <w:sz w:val="16"/>
          <w:szCs w:val="16"/>
        </w:rPr>
        <w:t>110</w:t>
      </w:r>
      <w:r w:rsidRPr="00A3026E">
        <w:rPr>
          <w:color w:val="000000" w:themeColor="text1"/>
          <w:sz w:val="16"/>
          <w:szCs w:val="16"/>
          <w:lang w:val="en-US"/>
        </w:rPr>
        <w:t>C</w:t>
      </w:r>
      <w:r w:rsidRPr="00A3026E">
        <w:rPr>
          <w:color w:val="000000" w:themeColor="text1"/>
          <w:sz w:val="16"/>
          <w:szCs w:val="16"/>
        </w:rPr>
        <w:t>), отличались по весу на 23,5 кг. Кроме этого, поскольку пушка ТКБ-201 при стрельбе от</w:t>
      </w:r>
      <w:r w:rsidRPr="00A3026E">
        <w:rPr>
          <w:color w:val="000000" w:themeColor="text1"/>
          <w:sz w:val="16"/>
          <w:szCs w:val="16"/>
        </w:rPr>
        <w:softHyphen/>
        <w:t>катывалась вся (на 9,5 мм), для надежной работы автоматики пушки требовалось отработать гибкий гильзоотвод и гибкий патронный рукав.</w:t>
      </w:r>
    </w:p>
    <w:p w14:paraId="27C4704C" w14:textId="77777777" w:rsidR="0076621F" w:rsidRPr="00A3026E" w:rsidRDefault="0076621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К числу несомненных достоинств пушки ТКБ-201 относили непрерывное питание (рассыпное зве</w:t>
      </w:r>
      <w:r w:rsidRPr="00A3026E">
        <w:rPr>
          <w:color w:val="000000" w:themeColor="text1"/>
          <w:sz w:val="16"/>
          <w:szCs w:val="16"/>
        </w:rPr>
        <w:softHyphen/>
        <w:t>но), меньшее количество деталей (109 против 170 у ПТБ-23) и более низкий процент отказов. На- стрел на одну поломку у пушки ТКБ-201 был почти вдвое выше, чем у пушки ПТБ-23, — 1415 выстре</w:t>
      </w:r>
      <w:r w:rsidRPr="00A3026E">
        <w:rPr>
          <w:color w:val="000000" w:themeColor="text1"/>
          <w:sz w:val="16"/>
          <w:szCs w:val="16"/>
        </w:rPr>
        <w:softHyphen/>
        <w:t>лов против 720 выстрелов. Общий процент задер</w:t>
      </w:r>
      <w:r w:rsidRPr="00A3026E">
        <w:rPr>
          <w:color w:val="000000" w:themeColor="text1"/>
          <w:sz w:val="16"/>
          <w:szCs w:val="16"/>
        </w:rPr>
        <w:softHyphen/>
        <w:t>жек при стрельбе в ходе испытаний не превысил 0,65%, в том числе 0,05% по вине пушки. На 6567 выстрелов пришлось 16 поломок.</w:t>
      </w:r>
    </w:p>
    <w:p w14:paraId="3614CF54" w14:textId="77777777" w:rsidR="0076621F" w:rsidRPr="00A3026E" w:rsidRDefault="0076621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ходе испытаний пушку ПТБ-23 расстреляли до полной живучести. В общей сложности на раз</w:t>
      </w:r>
      <w:r w:rsidRPr="00A3026E">
        <w:rPr>
          <w:color w:val="000000" w:themeColor="text1"/>
          <w:sz w:val="16"/>
          <w:szCs w:val="16"/>
        </w:rPr>
        <w:softHyphen/>
        <w:t>личных режимах полета (горизонтальный полет, пикирование, виражи) из пушки было выполнено 3710 выстрелов. Зафиксировали 31 поломку де</w:t>
      </w:r>
      <w:r w:rsidRPr="00A3026E">
        <w:rPr>
          <w:color w:val="000000" w:themeColor="text1"/>
          <w:sz w:val="16"/>
          <w:szCs w:val="16"/>
        </w:rPr>
        <w:softHyphen/>
        <w:t>талей пушки и 47 случаев задержек в стрельбе, из них 8 задержек — по вине автоматики пушки. Ударник затвора выдержал 870—2159 выстрелов, затвор — 3658 выстрелов.</w:t>
      </w:r>
    </w:p>
    <w:p w14:paraId="57629A70" w14:textId="77777777" w:rsidR="0076621F" w:rsidRPr="00A3026E" w:rsidRDefault="0076621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Тогда же пушку ПТБ-23 задействовали в испы</w:t>
      </w:r>
      <w:r w:rsidRPr="00A3026E">
        <w:rPr>
          <w:color w:val="000000" w:themeColor="text1"/>
          <w:sz w:val="16"/>
          <w:szCs w:val="16"/>
        </w:rPr>
        <w:softHyphen/>
        <w:t>таниях по определению фактической эффективно</w:t>
      </w:r>
      <w:r w:rsidRPr="00A3026E">
        <w:rPr>
          <w:color w:val="000000" w:themeColor="text1"/>
          <w:sz w:val="16"/>
          <w:szCs w:val="16"/>
        </w:rPr>
        <w:softHyphen/>
        <w:t>сти боеприпасов авиационного вооружения при действии по наземным целям. Стрельбы произво</w:t>
      </w:r>
      <w:r w:rsidRPr="00A3026E">
        <w:rPr>
          <w:color w:val="000000" w:themeColor="text1"/>
          <w:sz w:val="16"/>
          <w:szCs w:val="16"/>
        </w:rPr>
        <w:softHyphen/>
        <w:t>дились на НИП АВ ВВС на земле и с воздуха. Наи</w:t>
      </w:r>
      <w:r w:rsidRPr="00A3026E">
        <w:rPr>
          <w:color w:val="000000" w:themeColor="text1"/>
          <w:sz w:val="16"/>
          <w:szCs w:val="16"/>
        </w:rPr>
        <w:softHyphen/>
        <w:t>более «серьезной» целью был паровоз. Помимо ПТБ-23, по нему стреляли из пулеметов ШКАС и БС, пушек ШВАК и ракетными осколочными снарядами РС-82. Использовались самолеты: И-153, вооружен</w:t>
      </w:r>
      <w:r w:rsidRPr="00A3026E">
        <w:rPr>
          <w:color w:val="000000" w:themeColor="text1"/>
          <w:sz w:val="16"/>
          <w:szCs w:val="16"/>
        </w:rPr>
        <w:softHyphen/>
        <w:t>ный синхронным пулеметом БС калибра 12,7 мм и ракетными орудиями РО-82, И-16 с двумя син</w:t>
      </w:r>
      <w:r w:rsidRPr="00A3026E">
        <w:rPr>
          <w:color w:val="000000" w:themeColor="text1"/>
          <w:sz w:val="16"/>
          <w:szCs w:val="16"/>
        </w:rPr>
        <w:softHyphen/>
        <w:t xml:space="preserve">хронными пулеметами ШКАС и двумя крыльевыми пушками ШВАК, а также немецкий </w:t>
      </w:r>
      <w:r w:rsidRPr="00A3026E">
        <w:rPr>
          <w:color w:val="000000" w:themeColor="text1"/>
          <w:sz w:val="16"/>
          <w:szCs w:val="16"/>
          <w:lang w:val="en-US"/>
        </w:rPr>
        <w:t>Bf</w:t>
      </w:r>
      <w:r w:rsidRPr="00A3026E">
        <w:rPr>
          <w:color w:val="000000" w:themeColor="text1"/>
          <w:sz w:val="16"/>
          <w:szCs w:val="16"/>
        </w:rPr>
        <w:t>110</w:t>
      </w:r>
      <w:r w:rsidRPr="00A3026E">
        <w:rPr>
          <w:color w:val="000000" w:themeColor="text1"/>
          <w:sz w:val="16"/>
          <w:szCs w:val="16"/>
          <w:lang w:val="en-US"/>
        </w:rPr>
        <w:t>C</w:t>
      </w:r>
      <w:r w:rsidRPr="00A3026E">
        <w:rPr>
          <w:color w:val="000000" w:themeColor="text1"/>
          <w:sz w:val="16"/>
          <w:szCs w:val="16"/>
        </w:rPr>
        <w:t xml:space="preserve"> с пушкой ПТБ-23 на подфюзеляжной установке. Обстрел про</w:t>
      </w:r>
      <w:r w:rsidRPr="00A3026E">
        <w:rPr>
          <w:color w:val="000000" w:themeColor="text1"/>
          <w:sz w:val="16"/>
          <w:szCs w:val="16"/>
        </w:rPr>
        <w:softHyphen/>
        <w:t>изводился под углом 90 и 30° к направлению дви</w:t>
      </w:r>
      <w:r w:rsidRPr="00A3026E">
        <w:rPr>
          <w:color w:val="000000" w:themeColor="text1"/>
          <w:sz w:val="16"/>
          <w:szCs w:val="16"/>
        </w:rPr>
        <w:softHyphen/>
        <w:t>жения паровоза. Угол пикирования при стрельбе составлял 30—50°, дистанция стрельбы во всех случаях — 500—700 м.</w:t>
      </w:r>
    </w:p>
    <w:p w14:paraId="7CCB9B1E" w14:textId="77777777" w:rsidR="0076621F" w:rsidRPr="00A3026E" w:rsidRDefault="0076621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Надежное поражение паровоза получалось только при сквозном пробитии стенки котла. Для немедленной остановки паровоза необходимо бы</w:t>
      </w:r>
      <w:r w:rsidRPr="00A3026E">
        <w:rPr>
          <w:color w:val="000000" w:themeColor="text1"/>
          <w:sz w:val="16"/>
          <w:szCs w:val="16"/>
        </w:rPr>
        <w:softHyphen/>
        <w:t>ло обеспечить одну пробоину от снарядов калибра 20—23 мм или прямое попадание одного ракетно</w:t>
      </w:r>
      <w:r w:rsidRPr="00A3026E">
        <w:rPr>
          <w:color w:val="000000" w:themeColor="text1"/>
          <w:sz w:val="16"/>
          <w:szCs w:val="16"/>
        </w:rPr>
        <w:softHyphen/>
        <w:t>го снаряда РС-82 либо две пробоины от пуль кали</w:t>
      </w:r>
      <w:r w:rsidRPr="00A3026E">
        <w:rPr>
          <w:color w:val="000000" w:themeColor="text1"/>
          <w:sz w:val="16"/>
          <w:szCs w:val="16"/>
        </w:rPr>
        <w:softHyphen/>
        <w:t>бра 12,7 мм. Эти поражения «лишают возможности поддерживать в котле требуемого для хода рабоче</w:t>
      </w:r>
      <w:r w:rsidRPr="00A3026E">
        <w:rPr>
          <w:color w:val="000000" w:themeColor="text1"/>
          <w:sz w:val="16"/>
          <w:szCs w:val="16"/>
        </w:rPr>
        <w:softHyphen/>
        <w:t>го давления (11 —12 атм.)».</w:t>
      </w:r>
    </w:p>
    <w:p w14:paraId="2A0AC556" w14:textId="77777777" w:rsidR="0076621F" w:rsidRPr="00A3026E" w:rsidRDefault="0076621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Наилучшие результаты показала пушка ПТБ-23, бронебойные и бронебойно-зажигательные снаря</w:t>
      </w:r>
      <w:r w:rsidRPr="00A3026E">
        <w:rPr>
          <w:color w:val="000000" w:themeColor="text1"/>
          <w:sz w:val="16"/>
          <w:szCs w:val="16"/>
        </w:rPr>
        <w:softHyphen/>
        <w:t>ды которой надежно поражали паровоз уже в пер</w:t>
      </w:r>
      <w:r w:rsidRPr="00A3026E">
        <w:rPr>
          <w:color w:val="000000" w:themeColor="text1"/>
          <w:sz w:val="16"/>
          <w:szCs w:val="16"/>
        </w:rPr>
        <w:softHyphen/>
        <w:t>вой атаке. Наиболее эффективной была атака с пи</w:t>
      </w:r>
      <w:r w:rsidRPr="00A3026E">
        <w:rPr>
          <w:color w:val="000000" w:themeColor="text1"/>
          <w:sz w:val="16"/>
          <w:szCs w:val="16"/>
        </w:rPr>
        <w:softHyphen/>
        <w:t>кирования под углом 45—50° при стрельбе очере</w:t>
      </w:r>
      <w:r w:rsidRPr="00A3026E">
        <w:rPr>
          <w:color w:val="000000" w:themeColor="text1"/>
          <w:sz w:val="16"/>
          <w:szCs w:val="16"/>
        </w:rPr>
        <w:softHyphen/>
        <w:t>дями по 10—15 выстрелов.</w:t>
      </w:r>
    </w:p>
    <w:p w14:paraId="7A413C65" w14:textId="77777777" w:rsidR="0076621F" w:rsidRPr="00A3026E" w:rsidRDefault="0076621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Отмечалось, что бронебойные снаряды к пуш</w:t>
      </w:r>
      <w:r w:rsidRPr="00A3026E">
        <w:rPr>
          <w:color w:val="000000" w:themeColor="text1"/>
          <w:sz w:val="16"/>
          <w:szCs w:val="16"/>
        </w:rPr>
        <w:softHyphen/>
        <w:t>ке ШВАК дают большое число рикошетов, поэтому для нанесения паровозу требуемого поражения необходимо выполнить несколько прицельных за</w:t>
      </w:r>
      <w:r w:rsidRPr="00A3026E">
        <w:rPr>
          <w:color w:val="000000" w:themeColor="text1"/>
          <w:sz w:val="16"/>
          <w:szCs w:val="16"/>
        </w:rPr>
        <w:softHyphen/>
        <w:t>ходов.</w:t>
      </w:r>
    </w:p>
    <w:p w14:paraId="33B6EBD3" w14:textId="77777777" w:rsidR="0076621F" w:rsidRPr="00A3026E" w:rsidRDefault="0076621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Ракетные снаряды имели достаточную эффек</w:t>
      </w:r>
      <w:r w:rsidRPr="00A3026E">
        <w:rPr>
          <w:color w:val="000000" w:themeColor="text1"/>
          <w:sz w:val="16"/>
          <w:szCs w:val="16"/>
        </w:rPr>
        <w:softHyphen/>
        <w:t>тивность при стрельбе с дистанции не более 600— 700 м, но по сравнению с пушками калибра 23 мм «меткость стрельбы хуже». По этой причине их при</w:t>
      </w:r>
      <w:r w:rsidRPr="00A3026E">
        <w:rPr>
          <w:color w:val="000000" w:themeColor="text1"/>
          <w:sz w:val="16"/>
          <w:szCs w:val="16"/>
        </w:rPr>
        <w:softHyphen/>
        <w:t>менение по паровозам считалось целесообразным «только при отсутствии свободных самолетов, во</w:t>
      </w:r>
      <w:r w:rsidRPr="00A3026E">
        <w:rPr>
          <w:color w:val="000000" w:themeColor="text1"/>
          <w:sz w:val="16"/>
          <w:szCs w:val="16"/>
        </w:rPr>
        <w:softHyphen/>
        <w:t>оруженных пушками 20—23 мм».</w:t>
      </w:r>
    </w:p>
    <w:p w14:paraId="0B81BE52" w14:textId="77777777" w:rsidR="0076621F" w:rsidRPr="00A3026E" w:rsidRDefault="0076621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Стрельба по котлу паровоза из крупнокалибер</w:t>
      </w:r>
      <w:r w:rsidRPr="00A3026E">
        <w:rPr>
          <w:color w:val="000000" w:themeColor="text1"/>
          <w:sz w:val="16"/>
          <w:szCs w:val="16"/>
        </w:rPr>
        <w:softHyphen/>
        <w:t>ного пулемета БС бронебойной пулей Б-32 с боль</w:t>
      </w:r>
      <w:r w:rsidRPr="00A3026E">
        <w:rPr>
          <w:color w:val="000000" w:themeColor="text1"/>
          <w:sz w:val="16"/>
          <w:szCs w:val="16"/>
        </w:rPr>
        <w:softHyphen/>
        <w:t>шой дистанции (600—700 м) давала неудовлет</w:t>
      </w:r>
      <w:r w:rsidRPr="00A3026E">
        <w:rPr>
          <w:color w:val="000000" w:themeColor="text1"/>
          <w:sz w:val="16"/>
          <w:szCs w:val="16"/>
        </w:rPr>
        <w:softHyphen/>
        <w:t>ворительные результаты из-за малой пробивной способности пули. Поэтому применять для борьбы с паровозами самолеты с тяжелыми пулеметами допускалось только в самых крайних случаях при отсутствии других средств.</w:t>
      </w:r>
    </w:p>
    <w:p w14:paraId="0B6EF9E7" w14:textId="77777777" w:rsidR="0076621F" w:rsidRPr="00A3026E" w:rsidRDefault="0076621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Пулеметы ШКАС при действии по паровозу оказа</w:t>
      </w:r>
      <w:r w:rsidRPr="00A3026E">
        <w:rPr>
          <w:color w:val="000000" w:themeColor="text1"/>
          <w:sz w:val="16"/>
          <w:szCs w:val="16"/>
        </w:rPr>
        <w:softHyphen/>
        <w:t>лись совершенно неэффективными. Поэтому приме</w:t>
      </w:r>
      <w:r w:rsidRPr="00A3026E">
        <w:rPr>
          <w:color w:val="000000" w:themeColor="text1"/>
          <w:sz w:val="16"/>
          <w:szCs w:val="16"/>
        </w:rPr>
        <w:softHyphen/>
        <w:t>нение их против паровозов считалось бесполезным.</w:t>
      </w:r>
    </w:p>
    <w:p w14:paraId="3B75C98B" w14:textId="77777777" w:rsidR="0076621F" w:rsidRPr="00A3026E" w:rsidRDefault="0076621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После сравнительной оценки результатов по</w:t>
      </w:r>
      <w:r w:rsidRPr="00A3026E">
        <w:rPr>
          <w:color w:val="000000" w:themeColor="text1"/>
          <w:sz w:val="16"/>
          <w:szCs w:val="16"/>
        </w:rPr>
        <w:softHyphen/>
        <w:t>лигонных испытаний и учитывая, что ПТБ-23 по техническим решениям более передовая и имеет большую перспективу развития, пушка рекомендо</w:t>
      </w:r>
      <w:r w:rsidRPr="00A3026E">
        <w:rPr>
          <w:color w:val="000000" w:themeColor="text1"/>
          <w:sz w:val="16"/>
          <w:szCs w:val="16"/>
        </w:rPr>
        <w:softHyphen/>
        <w:t>валась в валовое производство при обязательном устранении выявленных в ходе стрельб дефектов и недостатков.</w:t>
      </w:r>
    </w:p>
    <w:p w14:paraId="30C19CEF" w14:textId="77777777" w:rsidR="0076621F" w:rsidRPr="00A3026E" w:rsidRDefault="0076621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Постановлением Комитета обороны при СНК СССР от 16 ноября 1940 г. авиационную пушку ПТБ-23 приняли на вооружение ВВС КА (17500).</w:t>
      </w:r>
    </w:p>
    <w:p w14:paraId="0EAE4296" w14:textId="77777777" w:rsidR="0076621F" w:rsidRPr="00A3026E" w:rsidRDefault="0076621F" w:rsidP="00A3026E">
      <w:pPr>
        <w:spacing w:after="0" w:line="240" w:lineRule="auto"/>
        <w:jc w:val="both"/>
        <w:rPr>
          <w:rFonts w:ascii="Times New Roman" w:eastAsia="Times New Roman" w:hAnsi="Times New Roman"/>
          <w:color w:val="000000" w:themeColor="text1"/>
          <w:sz w:val="16"/>
          <w:szCs w:val="16"/>
          <w:lang w:eastAsia="ru-RU"/>
        </w:rPr>
      </w:pPr>
    </w:p>
    <w:p w14:paraId="4E3D2C1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1BD13FA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583C6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октябре-ноябре 1940 г. Ижорский и Мариупольский заводы отлили шесть башен и один корпус КВ. С 25 января по 5 февраля башни были испытаны обстре</w:t>
      </w:r>
      <w:r w:rsidRPr="00A3026E">
        <w:rPr>
          <w:rFonts w:ascii="Times New Roman" w:hAnsi="Times New Roman"/>
          <w:color w:val="000000" w:themeColor="text1"/>
          <w:sz w:val="16"/>
          <w:szCs w:val="16"/>
        </w:rPr>
        <w:softHyphen/>
        <w:t>лом и осмотрены специальной комиссией. По результатам испытаний нарком тяжелого машиностроения А. Ефремов доложил К. Ворошилову, что к изготовлению литых башен Для КВ-1 и КВ-3 можно было приступать немедленно. Однако по целому ряду причин изготовление литых ба</w:t>
      </w:r>
      <w:r w:rsidRPr="00A3026E">
        <w:rPr>
          <w:rFonts w:ascii="Times New Roman" w:hAnsi="Times New Roman"/>
          <w:color w:val="000000" w:themeColor="text1"/>
          <w:sz w:val="16"/>
          <w:szCs w:val="16"/>
        </w:rPr>
        <w:softHyphen/>
        <w:t>шен танка КВ началось только в декабре 1941 г., а литые де</w:t>
      </w:r>
      <w:r w:rsidRPr="00A3026E">
        <w:rPr>
          <w:rFonts w:ascii="Times New Roman" w:hAnsi="Times New Roman"/>
          <w:color w:val="000000" w:themeColor="text1"/>
          <w:sz w:val="16"/>
          <w:szCs w:val="16"/>
        </w:rPr>
        <w:softHyphen/>
        <w:t>тали корпуса получил только танк КВ-13/ИС (10782).</w:t>
      </w:r>
    </w:p>
    <w:p w14:paraId="6B65FE9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2E4FD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октябре-ноябре 1940 г. были начаты работы по А-43. Возможно, что на</w:t>
      </w:r>
      <w:r w:rsidRPr="00A3026E">
        <w:rPr>
          <w:rFonts w:ascii="Times New Roman" w:hAnsi="Times New Roman"/>
          <w:color w:val="000000" w:themeColor="text1"/>
          <w:sz w:val="16"/>
          <w:szCs w:val="16"/>
        </w:rPr>
        <w:softHyphen/>
        <w:t>чалом работ по А-43 здесь считали проработку танка Т-34Т с торсионной подвеской, задание на который было дано в ок</w:t>
      </w:r>
      <w:r w:rsidRPr="00A3026E">
        <w:rPr>
          <w:rFonts w:ascii="Times New Roman" w:hAnsi="Times New Roman"/>
          <w:color w:val="000000" w:themeColor="text1"/>
          <w:sz w:val="16"/>
          <w:szCs w:val="16"/>
        </w:rPr>
        <w:softHyphen/>
        <w:t>тябре. Но в указанное время речи о создании новой боевой машины еще не шло, оговаривался лишь перевод серийных танков Т-34 со свечей на торсионы (10782).</w:t>
      </w:r>
    </w:p>
    <w:p w14:paraId="65DC75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A92AB9A"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октябре-ноябре 1940 г. состоялся испыта</w:t>
      </w:r>
      <w:r w:rsidRPr="00A3026E">
        <w:rPr>
          <w:rFonts w:ascii="Times New Roman" w:hAnsi="Times New Roman"/>
          <w:color w:val="0070C0"/>
          <w:sz w:val="16"/>
          <w:szCs w:val="16"/>
        </w:rPr>
        <w:softHyphen/>
        <w:t>тельный пробег автомобилей с газогенераторными установками, работающими на буром угле (22518).</w:t>
      </w:r>
    </w:p>
    <w:p w14:paraId="47CE1148" w14:textId="77777777" w:rsidR="00B22593" w:rsidRPr="00A3026E" w:rsidRDefault="00B22593" w:rsidP="00A3026E">
      <w:pPr>
        <w:spacing w:after="0" w:line="240" w:lineRule="auto"/>
        <w:jc w:val="both"/>
        <w:rPr>
          <w:rFonts w:ascii="Times New Roman" w:hAnsi="Times New Roman"/>
          <w:color w:val="0070C0"/>
          <w:sz w:val="16"/>
          <w:szCs w:val="16"/>
        </w:rPr>
      </w:pPr>
    </w:p>
    <w:p w14:paraId="559877B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5534F74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C0026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Поздней осенью 1940 года первые серийные танки Т-34 поступили в танковые соединения РККА (3862).</w:t>
      </w:r>
    </w:p>
    <w:p w14:paraId="5CD8B5A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BDBCC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A001AD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111E6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ноябрю 1941 заводом № 21 ВВС РККА были сданы 175 истребителей с М-63. Однако многочисленные случаи заклинивания моторов, выпущенных заводом № 19, - до 18 ноября по этой причине произошли 15 аварий, — заставили приостановить дальнейшую сдачу до изучения и устранения причин. К этому моменту были собраны 300 самолетов. В соответствии с указаниями НКАП с них пришлось снять моторы и отправить для доработки на завод-изготовитель. Всего завод № 19 успел получить обратно 384 М-63. Об этой ситуации Горьковский обком ВКП(б) даже сообщил в письме лично Сталину. [280 — ГУ ЦАНО, Ф. 2066, Оп. 6, Д. 506, Л. 5–7.] Получение же кондиционных моторов шло медленно, задерживая сдачу заводом уже собранных машин. Тем не менее к концу года титаническими усилиями конструкторов, испытателей и рабочих был полностью осуществлен переход с моторов М-25 и М-62 на более мощный М-63 с отработкой всей винтомоторной группы, правда, ценой резкого падения качества. Никогда еще истребители не выпускались такими плохими, как во второй половине 1940 г. Переход заставил в очередной раз переконструировать ряд сопряженных элементов. Пришлось изъять из производства 980 деталей и вновь освоить 1362 детали (11741).</w:t>
      </w:r>
    </w:p>
    <w:p w14:paraId="66B708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6CBEE4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880229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6BB88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ноябрю 1940 г. в ЦКБ-18 под руководством Ф. А. Каверина был разработан технический проект новой цельносварной лодки XVI серии, которая по размерам и внутреннему расположению в целом соответ</w:t>
      </w:r>
      <w:r w:rsidRPr="00A3026E">
        <w:rPr>
          <w:rFonts w:ascii="Times New Roman" w:hAnsi="Times New Roman"/>
          <w:color w:val="000000" w:themeColor="text1"/>
          <w:sz w:val="16"/>
          <w:szCs w:val="16"/>
        </w:rPr>
        <w:softHyphen/>
        <w:t>ствовала избранному прототипу — лодке 1Хбис серии. Детально проработанная технология ее постройки базировалась на опыте за</w:t>
      </w:r>
      <w:r w:rsidRPr="00A3026E">
        <w:rPr>
          <w:rFonts w:ascii="Times New Roman" w:hAnsi="Times New Roman"/>
          <w:color w:val="000000" w:themeColor="text1"/>
          <w:sz w:val="16"/>
          <w:szCs w:val="16"/>
        </w:rPr>
        <w:softHyphen/>
        <w:t>вода 196 в создании С-21. В проекте было допущено некоторое снижение подводной скорости (до 8,7 уз). Общее количество торпед было увеличено до 14. Устанавливались новые дизеля типа 4Д и впервые система беспузырной торпедной стрельбы (БТС) (3898).</w:t>
      </w:r>
    </w:p>
    <w:p w14:paraId="736A661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3DC780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4BF6349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F4D0C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ноябрю 1940 г. опытный экземпляр двигателя Уитла W.1 постройки «Ровер» наработал уже 20 часов. На самой «Пауэр джетс» времени тоже не теряли (7671,49).</w:t>
      </w:r>
    </w:p>
    <w:p w14:paraId="09EF17E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47530A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ED7EC1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C898A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 ноября 1940 производство ДБ-3Ф на 18 заводе встретило трудности из-за непоставки моторов М-87 и М-22, а производство ДБ-240 только начиналось. Аналогичная ситуация была на 39 заводе в отношении ПБ-100. На 126 вообще был бардак (618).</w:t>
      </w:r>
    </w:p>
    <w:p w14:paraId="1387777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FE8E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ГК завода 39 С.В.И. с письмом N 859с/окб направил директору и военпреду завода 126 сообщил о том, что согласно протокола совещания у Нач. 6 ГУ ВВС по вопросу устранения дефектов, выявленных на ДБ-3Ф в процессе эксплуатации, утвержденного Зам. Нач. ГУ ВВС г-л Астаховым и Зам. Наркома Ворониным бронированный стенки толщиной 6 мм подлежат замене на стенки толщиной 8 мм... (2689,19).</w:t>
      </w:r>
    </w:p>
    <w:p w14:paraId="16AB046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9D3BE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 ноября 1940 г., согласно Справке, предоставленной генералу Ф.А. Астахову (ГУ ВВС) и А.И. Шахурину, заводом № 135 построено 43 самолета ББ-1, из них 28 передано в строевые части ВВС. Остальные 15 машин находятся на заводском аэродроме по причинам замены на моторах М-88 нагнетателей.</w:t>
      </w:r>
    </w:p>
    <w:p w14:paraId="0B48B5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Выпускаемые самолеты заводом № 135 по данным государственных и войсковых испытаний имеют заниженную скорость Подъем авиабомб (461 - 467 км/час вместо 500 км/час). Даль- в самолет ность 900 км вместо 1000 - 1100 км.</w:t>
      </w:r>
    </w:p>
    <w:p w14:paraId="7F79C1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Отмечалось, что на самолете до настоящего времени не отработан радиополукомпас, хотя "завод № 135, согласно постановления КО от 13 августа 1940 г. должен устанавливать РПК-2 на всех выпускаемых самолетах с 1 октября. Постановление КО от 19 октября 1940 г. обязывало все выпускаемые самолеты ББ-1 с 1 декабря 1940 г. выпускать с установками по заполнению бензобаков нейтральным газом. В настоящее время заводом № 135 оборудовано этими установками два самолета ББ-1, которые будут предъявлены на госиспытания 11 ноября 1940 г.".</w:t>
      </w:r>
    </w:p>
    <w:p w14:paraId="7CF23D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справке указывалось, что до настоящего времени не выполнена работа по оборудованию серийных самолетов приспособлениями для бортовой зарядки кислородных баллонов, а также не завершены испытания в НИПАВ на ББ-1 с М-88 выливных авиационных приборов ВАП-200, которые военные считали весьма эффективным средством воздействия на неприятеля (11982).</w:t>
      </w:r>
    </w:p>
    <w:p w14:paraId="741E872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234B1D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года был изготовлен 1-й экземпляр двухмоторного ближнего бомбардировщика с моторами М-105 ТК Архангельского (4048).</w:t>
      </w:r>
    </w:p>
    <w:p w14:paraId="4A98A0D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C5F10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 ноября 1940 был готов первый экз. ББ с 2хМ-105ТК А.А.Архангельского, но без ТК (822).</w:t>
      </w:r>
    </w:p>
    <w:p w14:paraId="45F5BD2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670D68" w14:textId="77777777" w:rsidR="00C66762" w:rsidRPr="00A3026E" w:rsidRDefault="00C66762" w:rsidP="00A3026E">
      <w:pPr>
        <w:pStyle w:val="a3"/>
        <w:widowControl/>
        <w:rPr>
          <w:color w:val="000000" w:themeColor="text1"/>
          <w:lang w:val="ru-RU"/>
        </w:rPr>
      </w:pPr>
      <w:r w:rsidRPr="00A3026E">
        <w:rPr>
          <w:color w:val="000000" w:themeColor="text1"/>
          <w:lang w:val="ru-RU"/>
        </w:rPr>
        <w:t>1 ноября 1940 года начальник ОКБ № 30 Озимков, гл. конструктор ОКБ № 30 майор Шевченко, зам. гл. конструктора Никитин, парторг ОКБ № 30 Дынкин писали письмо № 273-с председателю СНК Молотову В.М.:</w:t>
      </w:r>
    </w:p>
    <w:p w14:paraId="2F7A597A" w14:textId="77777777" w:rsidR="00C66762" w:rsidRPr="00A3026E" w:rsidRDefault="00C66762" w:rsidP="00A3026E">
      <w:pPr>
        <w:pStyle w:val="a3"/>
        <w:widowControl/>
        <w:rPr>
          <w:color w:val="000000" w:themeColor="text1"/>
          <w:lang w:val="ru-RU"/>
        </w:rPr>
      </w:pPr>
      <w:r w:rsidRPr="00A3026E">
        <w:rPr>
          <w:color w:val="000000" w:themeColor="text1"/>
          <w:lang w:val="ru-RU"/>
        </w:rPr>
        <w:t>Особое конструкторское бюро № 30 НКАП рапортует Вам, Вячеслав Михайлович, что задание Партии и Правительства по решению проблемы создания нового вида самолета с изменяемой поверхностью крыльев путем превращения в воздухе по желанию летчика из биплана в моноплан, считаем нами решенным.</w:t>
      </w:r>
    </w:p>
    <w:p w14:paraId="03C75931" w14:textId="77777777" w:rsidR="00C66762" w:rsidRPr="00A3026E" w:rsidRDefault="00C66762" w:rsidP="00A3026E">
      <w:pPr>
        <w:pStyle w:val="a3"/>
        <w:widowControl/>
        <w:rPr>
          <w:color w:val="000000" w:themeColor="text1"/>
          <w:lang w:val="ru-RU"/>
        </w:rPr>
      </w:pPr>
      <w:r w:rsidRPr="00A3026E">
        <w:rPr>
          <w:color w:val="000000" w:themeColor="text1"/>
          <w:lang w:val="ru-RU"/>
        </w:rPr>
        <w:t>Экспериментальный самолет "ИС" с М-63 конструкции ОКБ № 30, прошедший основные испытания в биплане 26 октября 1940 года был впервые превращен в воздухе в моноплан летчиком-испытателем ЦАГИ Шияновым Ю.М.</w:t>
      </w:r>
    </w:p>
    <w:p w14:paraId="11B5654D" w14:textId="77777777" w:rsidR="00C66762" w:rsidRPr="00A3026E" w:rsidRDefault="00C66762" w:rsidP="00A3026E">
      <w:pPr>
        <w:pStyle w:val="a3"/>
        <w:widowControl/>
        <w:rPr>
          <w:color w:val="000000" w:themeColor="text1"/>
          <w:lang w:val="ru-RU"/>
        </w:rPr>
      </w:pPr>
      <w:r w:rsidRPr="00A3026E">
        <w:rPr>
          <w:color w:val="000000" w:themeColor="text1"/>
          <w:lang w:val="ru-RU"/>
        </w:rPr>
        <w:t>Как первое превращение самолета, так и последующие прошли отлично. Все механизмы работали безотказно. Величины нагрузок в воздухе на механизмы точно совпадают с нашими расчетами. Процесс уборки и выпуска крыльев протекает в течение 7 сек.</w:t>
      </w:r>
    </w:p>
    <w:p w14:paraId="76FBECCC" w14:textId="77777777" w:rsidR="00C66762" w:rsidRPr="00A3026E" w:rsidRDefault="00C66762" w:rsidP="00A3026E">
      <w:pPr>
        <w:pStyle w:val="a3"/>
        <w:widowControl/>
        <w:rPr>
          <w:color w:val="000000" w:themeColor="text1"/>
          <w:lang w:val="ru-RU"/>
        </w:rPr>
      </w:pPr>
      <w:r w:rsidRPr="00A3026E">
        <w:rPr>
          <w:color w:val="000000" w:themeColor="text1"/>
          <w:lang w:val="ru-RU"/>
        </w:rPr>
        <w:t>Удачное решение поставленной перед нами задачи позволяет создавать теперь самолеты совершенно нового вида, открывает перспективы к увеличению максимальных скоростей и нагрузок на один квадратный метр крыла и делает самолет безопасным и простым при посадках.</w:t>
      </w:r>
    </w:p>
    <w:p w14:paraId="39B8464C" w14:textId="77777777" w:rsidR="00C66762" w:rsidRPr="00A3026E" w:rsidRDefault="00C66762" w:rsidP="00A3026E">
      <w:pPr>
        <w:pStyle w:val="a3"/>
        <w:widowControl/>
        <w:rPr>
          <w:color w:val="000000" w:themeColor="text1"/>
          <w:lang w:val="ru-RU"/>
        </w:rPr>
      </w:pPr>
      <w:r w:rsidRPr="00A3026E">
        <w:rPr>
          <w:color w:val="000000" w:themeColor="text1"/>
          <w:lang w:val="ru-RU"/>
        </w:rPr>
        <w:t>Нами проработаны проекты по этой схеме не только истребителей, но и пикирующих бомбардировщиков.</w:t>
      </w:r>
    </w:p>
    <w:p w14:paraId="6D6D9292" w14:textId="77777777" w:rsidR="00C66762" w:rsidRPr="00A3026E" w:rsidRDefault="00C66762" w:rsidP="00A3026E">
      <w:pPr>
        <w:pStyle w:val="a3"/>
        <w:widowControl/>
        <w:rPr>
          <w:color w:val="000000" w:themeColor="text1"/>
          <w:lang w:val="ru-RU"/>
        </w:rPr>
      </w:pPr>
      <w:r w:rsidRPr="00A3026E">
        <w:rPr>
          <w:color w:val="000000" w:themeColor="text1"/>
          <w:lang w:val="ru-RU"/>
        </w:rPr>
        <w:t>Необходимо отметить, что для пикирующих бомбардировщиков наша схема еще более приемлема, открывая широкие возможности к увеличению полезных нагрузок до 300 кг на один квадратный метр, позволяя благополучно решить вопрос с пикированием (3377, 97).</w:t>
      </w:r>
    </w:p>
    <w:p w14:paraId="1F9CD763" w14:textId="77777777" w:rsidR="00C66762" w:rsidRPr="00A3026E" w:rsidRDefault="00C66762" w:rsidP="00A3026E">
      <w:pPr>
        <w:pStyle w:val="a3"/>
        <w:widowControl/>
        <w:rPr>
          <w:color w:val="000000" w:themeColor="text1"/>
          <w:lang w:val="ru-RU"/>
        </w:rPr>
      </w:pPr>
    </w:p>
    <w:p w14:paraId="5EFFBD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г. начальник ОКБ N 30 Озимков, гл. конструктор ОКБ N 30 майор Шевченко, зам. гл. конструктора Никитин, парторг ОКБ N 30 Дынкин писали письмо N 273с председателю СНК Молотову.</w:t>
      </w:r>
    </w:p>
    <w:p w14:paraId="141A29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Особое конструкторское бюро N 30 НКАП рапортует Вам, Вячеслав Михайлович, что задание партии и правительства по решению проблемы создания нового вида самолета с изменяемой поверхностью крыльев, путем превращения в воздухе, по желанию летчика, из биплана в моноплан, считаем нами решенными.</w:t>
      </w:r>
    </w:p>
    <w:p w14:paraId="4AAE11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Экспериментальный самолет "ИС" с М-63, конструкции ОКБ N 30, прошедший основные испытания в биплане, 26.Х.40 г. был впервые превращен в воздухе в моноплан летчиком-испытателем ЦАГИ Шияновым Ю.М.</w:t>
      </w:r>
    </w:p>
    <w:p w14:paraId="12EFFD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первое превращение самолета, так и следующие прошли отлично. Все механизмы работали безотказно. Величины нагрузок в воздухе на механизмы точно совпадают с нашими расчетами. Процесс уборки и выпуска крыльев протекает в течение 7 сек.</w:t>
      </w:r>
    </w:p>
    <w:p w14:paraId="1BEDB1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Удачное решение поставленной перед нами задачи позволяет создавать теперь самолеты совершенно нового вида, открывает перспективы к увеличению максимальных скоростей и нагрузок на один квадратный метр крыла и делает самолет безопасным и простым при посадках.</w:t>
      </w:r>
    </w:p>
    <w:p w14:paraId="08CFFE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Нами проработаны проекты по этой схеме не только истребителей, но и пикирующих бомбардировщиков.</w:t>
      </w:r>
    </w:p>
    <w:p w14:paraId="2E571B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для пикирующих бомбардировщиков наша схема еще более приемлема, открывая широкие возможности к увеличению полезных нагрузок до 300 кг на один квадратный метр, позволяя благоприятно решить вопрос с пикированием (2876,133).</w:t>
      </w:r>
    </w:p>
    <w:p w14:paraId="5EBA7FD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C723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вышел приказ НКАП N 607с, согласно которому в связи с назначением тов. Грушина главным конструктором завода 135 было признано, что КБ-1 при МАИ с 1 ноября считается прекратившим свою деятельность. Правопреемником стал завод 135. Бригаду рабочих и ИТР КБ-1, выделенную для проведения летных испытаний ББ-МАИ, сохранили до их завершения (418,1).</w:t>
      </w:r>
    </w:p>
    <w:p w14:paraId="79AC17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назначением тов. Грушина главным конструк</w:t>
      </w:r>
      <w:r w:rsidRPr="00A3026E">
        <w:rPr>
          <w:rFonts w:ascii="Times New Roman" w:hAnsi="Times New Roman"/>
          <w:color w:val="000000" w:themeColor="text1"/>
          <w:sz w:val="16"/>
          <w:szCs w:val="16"/>
        </w:rPr>
        <w:softHyphen/>
        <w:t>тором Завода № 135 - ПРИКАЗЫВАЮ:</w:t>
      </w:r>
    </w:p>
    <w:p w14:paraId="5A11D2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w:t>
      </w:r>
    </w:p>
    <w:p w14:paraId="78BBA5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Признать КБ № 1 при МАИ тов. Грушина с 1-го ноября 1940 года прекратившим свою деятельность, без обращения его к ликвидации /ст. 15 По становления СНК СССР" №</w:t>
      </w:r>
      <w:r w:rsidRPr="00A3026E">
        <w:rPr>
          <w:rFonts w:ascii="Times New Roman" w:hAnsi="Times New Roman"/>
          <w:color w:val="000000" w:themeColor="text1"/>
          <w:sz w:val="16"/>
          <w:szCs w:val="16"/>
          <w:vertAlign w:val="superscript"/>
        </w:rPr>
        <w:t>-</w:t>
      </w:r>
      <w:r w:rsidRPr="00A3026E">
        <w:rPr>
          <w:rFonts w:ascii="Times New Roman" w:hAnsi="Times New Roman"/>
          <w:color w:val="000000" w:themeColor="text1"/>
          <w:sz w:val="16"/>
          <w:szCs w:val="16"/>
        </w:rPr>
        <w:t>50З от 16-го апреля 1940. года/. Правоприемником КБ № 1 при МАИ по заключенным им договорам считать завод № 135.</w:t>
      </w:r>
    </w:p>
    <w:p w14:paraId="51C398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p w14:paraId="57BF78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7-му Главному Управлению дать указание и оформить надлежащим порядком передачу имущества, числящегося на балансе ГСП % 1 при МА1", другим организациям 7-го Главно</w:t>
      </w:r>
      <w:r w:rsidRPr="00A3026E">
        <w:rPr>
          <w:rFonts w:ascii="Times New Roman" w:hAnsi="Times New Roman"/>
          <w:color w:val="000000" w:themeColor="text1"/>
          <w:sz w:val="16"/>
          <w:szCs w:val="16"/>
        </w:rPr>
        <w:softHyphen/>
        <w:t>го Управления.</w:t>
      </w:r>
    </w:p>
    <w:p w14:paraId="678400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3</w:t>
      </w:r>
    </w:p>
    <w:p w14:paraId="4E0A54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7-му Главному Управлению принять меры к использова</w:t>
      </w:r>
      <w:r w:rsidRPr="00A3026E">
        <w:rPr>
          <w:rFonts w:ascii="Times New Roman" w:hAnsi="Times New Roman"/>
          <w:color w:val="000000" w:themeColor="text1"/>
          <w:sz w:val="16"/>
          <w:szCs w:val="16"/>
        </w:rPr>
        <w:softHyphen/>
        <w:t>нию на работе по специальности всех освобождающихся работников в связи с прекращением деятельности КБ №1 при МАИ.</w:t>
      </w:r>
    </w:p>
    <w:p w14:paraId="7D5742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4</w:t>
      </w:r>
    </w:p>
    <w:p w14:paraId="179C50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Директору МАИ тов. СЕМИЧАСТНОМУ М.Ф, сохранить за бывшими работникани КБ № 1 при МАИ занимаемую ими площадь в зданиях МАИ до предоставления им площади по месту новой работы.</w:t>
      </w:r>
    </w:p>
    <w:p w14:paraId="62D0BB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5</w:t>
      </w:r>
    </w:p>
    <w:p w14:paraId="7CBC64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Бригаду рабочих и ИТР КБ № 1 при МАИ, выделенную для проведения летных испытаний самолета ББ-МАИ, включить в...(418,1).</w:t>
      </w:r>
    </w:p>
    <w:p w14:paraId="62641EE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0358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 ноября 1940:</w:t>
      </w:r>
    </w:p>
    <w:p w14:paraId="39713B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 выпуска И-16 заводом №21 по состоянии) на 1 ноября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567"/>
      </w:tblGrid>
      <w:tr w:rsidR="00983732" w:rsidRPr="00A3026E" w14:paraId="31FE3638" w14:textId="77777777" w:rsidTr="00EA0DA7">
        <w:tc>
          <w:tcPr>
            <w:tcW w:w="2093" w:type="dxa"/>
            <w:tcBorders>
              <w:top w:val="single" w:sz="12" w:space="0" w:color="auto"/>
            </w:tcBorders>
          </w:tcPr>
          <w:p w14:paraId="481411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 тип 24</w:t>
            </w:r>
          </w:p>
        </w:tc>
        <w:tc>
          <w:tcPr>
            <w:tcW w:w="567" w:type="dxa"/>
            <w:tcBorders>
              <w:top w:val="single" w:sz="12" w:space="0" w:color="auto"/>
            </w:tcBorders>
          </w:tcPr>
          <w:p w14:paraId="450027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586</w:t>
            </w:r>
          </w:p>
        </w:tc>
      </w:tr>
      <w:tr w:rsidR="00983732" w:rsidRPr="00A3026E" w14:paraId="353198B8" w14:textId="77777777" w:rsidTr="00EA0DA7">
        <w:tc>
          <w:tcPr>
            <w:tcW w:w="2093" w:type="dxa"/>
          </w:tcPr>
          <w:p w14:paraId="0072C2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 тип 24 Р0</w:t>
            </w:r>
          </w:p>
        </w:tc>
        <w:tc>
          <w:tcPr>
            <w:tcW w:w="567" w:type="dxa"/>
          </w:tcPr>
          <w:p w14:paraId="4D9055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w:t>
            </w:r>
          </w:p>
        </w:tc>
      </w:tr>
      <w:tr w:rsidR="00983732" w:rsidRPr="00A3026E" w14:paraId="7DCEE940" w14:textId="77777777" w:rsidTr="00EA0DA7">
        <w:tc>
          <w:tcPr>
            <w:tcW w:w="2093" w:type="dxa"/>
          </w:tcPr>
          <w:p w14:paraId="4ABC95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 тип 28</w:t>
            </w:r>
          </w:p>
        </w:tc>
        <w:tc>
          <w:tcPr>
            <w:tcW w:w="567" w:type="dxa"/>
          </w:tcPr>
          <w:p w14:paraId="3FC4D9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239</w:t>
            </w:r>
          </w:p>
        </w:tc>
      </w:tr>
      <w:tr w:rsidR="00983732" w:rsidRPr="00A3026E" w14:paraId="1C9B46B2" w14:textId="77777777" w:rsidTr="00EA0DA7">
        <w:tc>
          <w:tcPr>
            <w:tcW w:w="2093" w:type="dxa"/>
          </w:tcPr>
          <w:p w14:paraId="05D732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 тип 29</w:t>
            </w:r>
          </w:p>
        </w:tc>
        <w:tc>
          <w:tcPr>
            <w:tcW w:w="567" w:type="dxa"/>
          </w:tcPr>
          <w:p w14:paraId="2BB011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w:t>
            </w:r>
          </w:p>
        </w:tc>
      </w:tr>
      <w:tr w:rsidR="00983732" w:rsidRPr="00A3026E" w14:paraId="7129687C" w14:textId="77777777" w:rsidTr="00EA0DA7">
        <w:tc>
          <w:tcPr>
            <w:tcW w:w="2093" w:type="dxa"/>
          </w:tcPr>
          <w:p w14:paraId="0BF3D8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 тип 29 Р0</w:t>
            </w:r>
          </w:p>
        </w:tc>
        <w:tc>
          <w:tcPr>
            <w:tcW w:w="567" w:type="dxa"/>
          </w:tcPr>
          <w:p w14:paraId="24B93B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w:t>
            </w:r>
          </w:p>
        </w:tc>
      </w:tr>
      <w:tr w:rsidR="00983732" w:rsidRPr="00A3026E" w14:paraId="1F79018A" w14:textId="77777777" w:rsidTr="00EA0DA7">
        <w:tc>
          <w:tcPr>
            <w:tcW w:w="2093" w:type="dxa"/>
          </w:tcPr>
          <w:p w14:paraId="5C9A5D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Ути-4 тип 15</w:t>
            </w:r>
          </w:p>
        </w:tc>
        <w:tc>
          <w:tcPr>
            <w:tcW w:w="567" w:type="dxa"/>
          </w:tcPr>
          <w:p w14:paraId="2900D1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409</w:t>
            </w:r>
          </w:p>
        </w:tc>
      </w:tr>
      <w:tr w:rsidR="00983732" w:rsidRPr="00A3026E" w14:paraId="7CB3C0B6" w14:textId="77777777" w:rsidTr="00EA0DA7">
        <w:tc>
          <w:tcPr>
            <w:tcW w:w="2093" w:type="dxa"/>
            <w:tcBorders>
              <w:bottom w:val="single" w:sz="12" w:space="0" w:color="auto"/>
            </w:tcBorders>
          </w:tcPr>
          <w:p w14:paraId="003CD2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567" w:type="dxa"/>
            <w:tcBorders>
              <w:bottom w:val="single" w:sz="12" w:space="0" w:color="auto"/>
            </w:tcBorders>
          </w:tcPr>
          <w:p w14:paraId="385A56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1421</w:t>
            </w:r>
          </w:p>
        </w:tc>
      </w:tr>
    </w:tbl>
    <w:p w14:paraId="16F4F8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(12015).</w:t>
      </w:r>
    </w:p>
    <w:p w14:paraId="4EE1020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9189F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ноября 1940 начались гос. испытания И-21 1-го и 2-го с М-105, но 1-й окончил испытания 1 января 1941, а 2-й - 29 декабря 1940 (2090,234).</w:t>
      </w:r>
    </w:p>
    <w:p w14:paraId="30B208A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90315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закончились заводские испытания доработанного И-21-1, который провел л И.И.Буданов из-за болезни П.У.Фокина и машина была готова к перелету в Москву для повторных госиспытаний (8280,26).</w:t>
      </w:r>
    </w:p>
    <w:p w14:paraId="4655505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1F7EE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приказ НКАП N 609с установил сроки окончания первого этапа испытаний УТИ-28 В.К.Грибовского с МВ-6. 1-й экз. - 15 января 1941 и 2-й экз. - 15 февраля 1940 (418,4). Этот приказ дополнил приказ НКАП N 372сс от 28 июля 1940 (1270).</w:t>
      </w:r>
    </w:p>
    <w:p w14:paraId="2F93D5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дополнение к моему приказу от 24.УП.с.г.- за № 372сс</w:t>
      </w:r>
    </w:p>
    <w:p w14:paraId="5584A0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Р И К А 3 Ы В А Ю:</w:t>
      </w:r>
    </w:p>
    <w:p w14:paraId="5BFCF0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Установить нижеследующие сроки окончания первого этапа по самолету И-28 с мотором МВ-6 конструкций тов. ГРИБОВСКОГО:</w:t>
      </w:r>
    </w:p>
    <w:p w14:paraId="11A19B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й экземпляр - 15.1.41 г. и</w:t>
      </w:r>
    </w:p>
    <w:p w14:paraId="7FCE1C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экземпляр - 15. УП.41 г. (418,4)</w:t>
      </w:r>
    </w:p>
    <w:p w14:paraId="211EA4F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FAB1F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А.И.Ш. писал письмо N 5549 А.А.Жданову о выпуске УТ-3 на 47 заводе. Выпустили только 8 из-за конструктивных недоделок и основная загрузка по-прежнему УТ-2 (1178).</w:t>
      </w:r>
    </w:p>
    <w:p w14:paraId="52E24D7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C22A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закончился конкурс Осоавиахима на конструкцию новых планеров, объявленный в сентябре 1940. По транспортным победили РФ-7 О.К.А., а второе место - КАИ-5 Сокол Г.Н.Воробьева. Поощрительную премию дали Орлу И.И.Афанасьева, Б.В.Кучеренко и Л.Д.Роднянского. Г.Ф.Грошев участия не принял, а В.К.Грибовский был занят внедрением Гр-28 (94,46).</w:t>
      </w:r>
    </w:p>
    <w:p w14:paraId="09DF253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0A3B8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г. на войсковые испытания в НИИ ВВС поступил мотор М-63 на самолетах И-16 в г. Белград (3333,15).</w:t>
      </w:r>
    </w:p>
    <w:p w14:paraId="33E8DFB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7DB16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Сводная ведомость наличия самолетов в НИЦ ГУГВФ по состоянию на 1 ноября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94"/>
        <w:gridCol w:w="547"/>
        <w:gridCol w:w="821"/>
        <w:gridCol w:w="749"/>
        <w:gridCol w:w="763"/>
        <w:gridCol w:w="763"/>
        <w:gridCol w:w="742"/>
        <w:gridCol w:w="670"/>
        <w:gridCol w:w="850"/>
      </w:tblGrid>
      <w:tr w:rsidR="00983732" w:rsidRPr="00A3026E" w14:paraId="3A36825C" w14:textId="77777777" w:rsidTr="00EA0DA7">
        <w:trPr>
          <w:trHeight w:val="295"/>
        </w:trPr>
        <w:tc>
          <w:tcPr>
            <w:tcW w:w="994" w:type="dxa"/>
            <w:tcBorders>
              <w:top w:val="single" w:sz="12" w:space="0" w:color="auto"/>
            </w:tcBorders>
          </w:tcPr>
          <w:p w14:paraId="7AF038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w:t>
            </w:r>
          </w:p>
        </w:tc>
        <w:tc>
          <w:tcPr>
            <w:tcW w:w="547" w:type="dxa"/>
            <w:tcBorders>
              <w:top w:val="single" w:sz="12" w:space="0" w:color="auto"/>
            </w:tcBorders>
          </w:tcPr>
          <w:p w14:paraId="6CBA8E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У2</w:t>
            </w:r>
          </w:p>
        </w:tc>
        <w:tc>
          <w:tcPr>
            <w:tcW w:w="821" w:type="dxa"/>
            <w:tcBorders>
              <w:top w:val="single" w:sz="12" w:space="0" w:color="auto"/>
            </w:tcBorders>
          </w:tcPr>
          <w:p w14:paraId="4C060F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Ут-2</w:t>
            </w:r>
          </w:p>
        </w:tc>
        <w:tc>
          <w:tcPr>
            <w:tcW w:w="749" w:type="dxa"/>
            <w:tcBorders>
              <w:top w:val="single" w:sz="12" w:space="0" w:color="auto"/>
            </w:tcBorders>
          </w:tcPr>
          <w:p w14:paraId="1FA046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П-5</w:t>
            </w:r>
          </w:p>
        </w:tc>
        <w:tc>
          <w:tcPr>
            <w:tcW w:w="763" w:type="dxa"/>
            <w:tcBorders>
              <w:top w:val="single" w:sz="12" w:space="0" w:color="auto"/>
            </w:tcBorders>
          </w:tcPr>
          <w:p w14:paraId="62CE19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ПР-5</w:t>
            </w:r>
          </w:p>
        </w:tc>
        <w:tc>
          <w:tcPr>
            <w:tcW w:w="763" w:type="dxa"/>
            <w:tcBorders>
              <w:top w:val="single" w:sz="12" w:space="0" w:color="auto"/>
            </w:tcBorders>
          </w:tcPr>
          <w:p w14:paraId="17B4A2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Сталь-3</w:t>
            </w:r>
          </w:p>
        </w:tc>
        <w:tc>
          <w:tcPr>
            <w:tcW w:w="742" w:type="dxa"/>
            <w:tcBorders>
              <w:top w:val="single" w:sz="12" w:space="0" w:color="auto"/>
            </w:tcBorders>
          </w:tcPr>
          <w:p w14:paraId="07B7F9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ПСН1</w:t>
            </w:r>
          </w:p>
        </w:tc>
        <w:tc>
          <w:tcPr>
            <w:tcW w:w="670" w:type="dxa"/>
            <w:tcBorders>
              <w:top w:val="single" w:sz="12" w:space="0" w:color="auto"/>
            </w:tcBorders>
          </w:tcPr>
          <w:p w14:paraId="37DDF9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ПС43</w:t>
            </w:r>
          </w:p>
        </w:tc>
        <w:tc>
          <w:tcPr>
            <w:tcW w:w="850" w:type="dxa"/>
            <w:tcBorders>
              <w:top w:val="single" w:sz="12" w:space="0" w:color="auto"/>
            </w:tcBorders>
          </w:tcPr>
          <w:p w14:paraId="59AC18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r>
      <w:tr w:rsidR="00983732" w:rsidRPr="00A3026E" w14:paraId="622AEE68" w14:textId="77777777" w:rsidTr="00EA0DA7">
        <w:trPr>
          <w:trHeight w:val="295"/>
        </w:trPr>
        <w:tc>
          <w:tcPr>
            <w:tcW w:w="994" w:type="dxa"/>
          </w:tcPr>
          <w:p w14:paraId="5833D2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НИИГВФ</w:t>
            </w:r>
          </w:p>
        </w:tc>
        <w:tc>
          <w:tcPr>
            <w:tcW w:w="547" w:type="dxa"/>
          </w:tcPr>
          <w:p w14:paraId="572117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821" w:type="dxa"/>
          </w:tcPr>
          <w:p w14:paraId="2B8F97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49" w:type="dxa"/>
          </w:tcPr>
          <w:p w14:paraId="3EA518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763" w:type="dxa"/>
          </w:tcPr>
          <w:p w14:paraId="5EB999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763" w:type="dxa"/>
          </w:tcPr>
          <w:p w14:paraId="1147A0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42" w:type="dxa"/>
          </w:tcPr>
          <w:p w14:paraId="03E1BD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670" w:type="dxa"/>
          </w:tcPr>
          <w:p w14:paraId="063768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850" w:type="dxa"/>
          </w:tcPr>
          <w:p w14:paraId="16C016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r>
      <w:tr w:rsidR="00983732" w:rsidRPr="00A3026E" w14:paraId="4A038A94" w14:textId="77777777" w:rsidTr="00EA0DA7">
        <w:trPr>
          <w:trHeight w:val="266"/>
        </w:trPr>
        <w:tc>
          <w:tcPr>
            <w:tcW w:w="994" w:type="dxa"/>
          </w:tcPr>
          <w:p w14:paraId="2408EC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ЛИИГВФ</w:t>
            </w:r>
          </w:p>
        </w:tc>
        <w:tc>
          <w:tcPr>
            <w:tcW w:w="547" w:type="dxa"/>
          </w:tcPr>
          <w:p w14:paraId="05636A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821" w:type="dxa"/>
          </w:tcPr>
          <w:p w14:paraId="51FFDD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749" w:type="dxa"/>
          </w:tcPr>
          <w:p w14:paraId="5FEB72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763" w:type="dxa"/>
          </w:tcPr>
          <w:p w14:paraId="66874D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3" w:type="dxa"/>
          </w:tcPr>
          <w:p w14:paraId="6FA515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742" w:type="dxa"/>
          </w:tcPr>
          <w:p w14:paraId="2B3DF2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670" w:type="dxa"/>
          </w:tcPr>
          <w:p w14:paraId="02998C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0" w:type="dxa"/>
          </w:tcPr>
          <w:p w14:paraId="57AE05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w:t>
            </w:r>
          </w:p>
        </w:tc>
      </w:tr>
      <w:tr w:rsidR="00983732" w:rsidRPr="00A3026E" w14:paraId="24A874B8" w14:textId="77777777" w:rsidTr="00EA0DA7">
        <w:trPr>
          <w:trHeight w:val="310"/>
        </w:trPr>
        <w:tc>
          <w:tcPr>
            <w:tcW w:w="994" w:type="dxa"/>
            <w:tcBorders>
              <w:bottom w:val="single" w:sz="12" w:space="0" w:color="auto"/>
            </w:tcBorders>
          </w:tcPr>
          <w:p w14:paraId="04E820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547" w:type="dxa"/>
            <w:tcBorders>
              <w:bottom w:val="single" w:sz="12" w:space="0" w:color="auto"/>
            </w:tcBorders>
          </w:tcPr>
          <w:p w14:paraId="583800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821" w:type="dxa"/>
            <w:tcBorders>
              <w:bottom w:val="single" w:sz="12" w:space="0" w:color="auto"/>
            </w:tcBorders>
          </w:tcPr>
          <w:p w14:paraId="777803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749" w:type="dxa"/>
            <w:tcBorders>
              <w:bottom w:val="single" w:sz="12" w:space="0" w:color="auto"/>
            </w:tcBorders>
          </w:tcPr>
          <w:p w14:paraId="52328B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763" w:type="dxa"/>
            <w:tcBorders>
              <w:bottom w:val="single" w:sz="12" w:space="0" w:color="auto"/>
            </w:tcBorders>
          </w:tcPr>
          <w:p w14:paraId="7816AE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763" w:type="dxa"/>
            <w:tcBorders>
              <w:bottom w:val="single" w:sz="12" w:space="0" w:color="auto"/>
            </w:tcBorders>
          </w:tcPr>
          <w:p w14:paraId="1942F0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742" w:type="dxa"/>
            <w:tcBorders>
              <w:bottom w:val="single" w:sz="12" w:space="0" w:color="auto"/>
            </w:tcBorders>
          </w:tcPr>
          <w:p w14:paraId="3819F6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670" w:type="dxa"/>
            <w:tcBorders>
              <w:bottom w:val="single" w:sz="12" w:space="0" w:color="auto"/>
            </w:tcBorders>
          </w:tcPr>
          <w:p w14:paraId="56FF1D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850" w:type="dxa"/>
            <w:tcBorders>
              <w:bottom w:val="single" w:sz="12" w:space="0" w:color="auto"/>
            </w:tcBorders>
          </w:tcPr>
          <w:p w14:paraId="140BD2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r>
    </w:tbl>
    <w:p w14:paraId="6D9272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Составлена по: РГАЭ. Ф. 9527. Оп. 1. Д. 1б11. Л. 58,60,68,70,72,85-86. (11672,505).</w:t>
      </w:r>
    </w:p>
    <w:p w14:paraId="263C0F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92B3D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г. по приказу № 607с деятельность КБ-1 при МАИ, возглавляемого Грушиным, была прекращена, а П.Д. Грушин назначен гл. конструктором ОКО завода № 135 (ОКО-135, ОКБ завода № 135 НКАП гл. конструктора П.Д. Грушина). ОКБ действовало до эвакуации завода в конце 1941 г.</w:t>
      </w:r>
    </w:p>
    <w:p w14:paraId="3AE6F4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обеспечению серийного выпуска Су-2. Продолжены работы по ББ-МАИ, создан опытный истребитель Гр-1 (ДИС-135), проект Гр-2. При эвакуации во время бомбежки техдокументация на Гр-1 была уничтожена.</w:t>
      </w:r>
    </w:p>
    <w:p w14:paraId="494BC9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Далее Грушин был зам. гл. конструктора ОКБ-21.</w:t>
      </w:r>
    </w:p>
    <w:p w14:paraId="7B7575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(08.1940 г.-)- П.Д. Грушин (11982).</w:t>
      </w:r>
    </w:p>
    <w:p w14:paraId="641EC9A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BE4FB0"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ноября 1940 года А.И.</w:t>
      </w:r>
      <w:r w:rsidRPr="00A3026E">
        <w:rPr>
          <w:rStyle w:val="760"/>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Шахурин отвечал на запрос А.А. Жда</w:t>
      </w:r>
      <w:r w:rsidRPr="00A3026E">
        <w:rPr>
          <w:rFonts w:ascii="Times New Roman" w:hAnsi="Times New Roman"/>
          <w:color w:val="0070C0"/>
          <w:sz w:val="16"/>
          <w:szCs w:val="16"/>
        </w:rPr>
        <w:softHyphen/>
        <w:t>нова о загрузке завода № 47 (19942).</w:t>
      </w:r>
    </w:p>
    <w:p w14:paraId="0A0417F0" w14:textId="77777777" w:rsidR="00B22593" w:rsidRPr="00A3026E" w:rsidRDefault="00B22593" w:rsidP="00A3026E">
      <w:pPr>
        <w:spacing w:after="0" w:line="240" w:lineRule="auto"/>
        <w:jc w:val="both"/>
        <w:rPr>
          <w:rFonts w:ascii="Times New Roman" w:hAnsi="Times New Roman"/>
          <w:color w:val="0070C0"/>
          <w:sz w:val="16"/>
          <w:szCs w:val="16"/>
        </w:rPr>
      </w:pPr>
    </w:p>
    <w:p w14:paraId="0C2BAD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7,62 мм скорострельный пулемет Юрченко в турельном варианте был доставлен на полигон для заводских и полигонных испытаний. Производится определение темпа, рассеивания и работы автоматики. Рассеивание удовлетворительное. Темп оказался в пределах 3800-4100 выстрелов в минуту. Автоматика проверялась на 6000 выстрелов (7713, 206-211).</w:t>
      </w:r>
    </w:p>
    <w:p w14:paraId="02B4245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3E2F5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г. закончились стендовые испытания катапульты Н-2, которые проходили С 25 октября. Всего было произведено пять стартов самолета КОР-1. Впоследствии эти две катапуль</w:t>
      </w:r>
      <w:r w:rsidRPr="00A3026E">
        <w:rPr>
          <w:rFonts w:ascii="Times New Roman" w:hAnsi="Times New Roman"/>
          <w:color w:val="000000" w:themeColor="text1"/>
          <w:sz w:val="16"/>
          <w:szCs w:val="16"/>
        </w:rPr>
        <w:softHyphen/>
        <w:t>ты (Н-1 и Н-2) установили на крейсеры «Калинин» и «Ка</w:t>
      </w:r>
      <w:r w:rsidRPr="00A3026E">
        <w:rPr>
          <w:rFonts w:ascii="Times New Roman" w:hAnsi="Times New Roman"/>
          <w:color w:val="000000" w:themeColor="text1"/>
          <w:sz w:val="16"/>
          <w:szCs w:val="16"/>
        </w:rPr>
        <w:softHyphen/>
        <w:t>ганович» Тихоокеанского флота.</w:t>
      </w:r>
    </w:p>
    <w:p w14:paraId="44FC64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накануне войны на советских военных кораблях имелись пять катапульт: одна старая - К-3 («Красный Кавказ») и четыре новых - К-12А («Киров»), К-12В («Ворошилов»), ЗК-1 («Максим Горький»), Н-1 («Парижская коммуна»).</w:t>
      </w:r>
    </w:p>
    <w:p w14:paraId="21B8FC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Ниже приводятся характеристики катапульт ЗК-1, ЗК-2Б и К-12.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93"/>
        <w:gridCol w:w="845"/>
        <w:gridCol w:w="816"/>
        <w:gridCol w:w="835"/>
      </w:tblGrid>
      <w:tr w:rsidR="00983732" w:rsidRPr="00A3026E" w14:paraId="2036E799" w14:textId="77777777" w:rsidTr="00EA0DA7">
        <w:trPr>
          <w:trHeight w:val="394"/>
        </w:trPr>
        <w:tc>
          <w:tcPr>
            <w:tcW w:w="2093" w:type="dxa"/>
            <w:tcBorders>
              <w:top w:val="single" w:sz="12" w:space="0" w:color="auto"/>
            </w:tcBorders>
          </w:tcPr>
          <w:p w14:paraId="50C6B4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Borders>
              <w:top w:val="single" w:sz="12" w:space="0" w:color="auto"/>
            </w:tcBorders>
          </w:tcPr>
          <w:p w14:paraId="720DAB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ЗК-1</w:t>
            </w:r>
          </w:p>
        </w:tc>
        <w:tc>
          <w:tcPr>
            <w:tcW w:w="816" w:type="dxa"/>
            <w:tcBorders>
              <w:top w:val="single" w:sz="12" w:space="0" w:color="auto"/>
            </w:tcBorders>
          </w:tcPr>
          <w:p w14:paraId="11692F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К-12</w:t>
            </w:r>
          </w:p>
        </w:tc>
        <w:tc>
          <w:tcPr>
            <w:tcW w:w="835" w:type="dxa"/>
            <w:tcBorders>
              <w:top w:val="single" w:sz="12" w:space="0" w:color="auto"/>
            </w:tcBorders>
          </w:tcPr>
          <w:p w14:paraId="0B5D95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ЗК-2Б</w:t>
            </w:r>
          </w:p>
        </w:tc>
      </w:tr>
      <w:tr w:rsidR="00983732" w:rsidRPr="00A3026E" w14:paraId="5D7DD5F5" w14:textId="77777777" w:rsidTr="00EA0DA7">
        <w:trPr>
          <w:trHeight w:val="394"/>
        </w:trPr>
        <w:tc>
          <w:tcPr>
            <w:tcW w:w="2093" w:type="dxa"/>
          </w:tcPr>
          <w:p w14:paraId="755FAC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Габаритная длина (м)</w:t>
            </w:r>
          </w:p>
          <w:p w14:paraId="7277F4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7EEAC3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24,6</w:t>
            </w:r>
          </w:p>
          <w:p w14:paraId="0F64E8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2D430B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p w14:paraId="001D65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02D263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24,4</w:t>
            </w:r>
          </w:p>
          <w:p w14:paraId="5C3E4F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25E3784" w14:textId="77777777" w:rsidTr="00EA0DA7">
        <w:trPr>
          <w:trHeight w:val="326"/>
        </w:trPr>
        <w:tc>
          <w:tcPr>
            <w:tcW w:w="2093" w:type="dxa"/>
          </w:tcPr>
          <w:p w14:paraId="3F85EF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Габаритная ширина (м)</w:t>
            </w:r>
          </w:p>
          <w:p w14:paraId="103FC1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78E6AA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w:t>
            </w:r>
          </w:p>
          <w:p w14:paraId="4439AE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73E1BC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p w14:paraId="35FF1C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170721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p w14:paraId="079ECE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7B6687F" w14:textId="77777777" w:rsidTr="00EA0DA7">
        <w:trPr>
          <w:trHeight w:val="317"/>
        </w:trPr>
        <w:tc>
          <w:tcPr>
            <w:tcW w:w="2093" w:type="dxa"/>
          </w:tcPr>
          <w:p w14:paraId="2384BC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стартового пути (м)</w:t>
            </w:r>
          </w:p>
          <w:p w14:paraId="363A12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6CF6AB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p w14:paraId="4E13C8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68102B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p w14:paraId="4F6F18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7408B2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p w14:paraId="0CC75F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538D567" w14:textId="77777777" w:rsidTr="00EA0DA7">
        <w:trPr>
          <w:trHeight w:val="317"/>
        </w:trPr>
        <w:tc>
          <w:tcPr>
            <w:tcW w:w="2093" w:type="dxa"/>
          </w:tcPr>
          <w:p w14:paraId="0BD3B2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Колея (м)</w:t>
            </w:r>
          </w:p>
          <w:p w14:paraId="53773E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20AA25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p w14:paraId="3A70E4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180669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p w14:paraId="48FFF7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1ECE13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p w14:paraId="62CBF3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778B3E0" w14:textId="77777777" w:rsidTr="00EA0DA7">
        <w:trPr>
          <w:trHeight w:val="317"/>
        </w:trPr>
        <w:tc>
          <w:tcPr>
            <w:tcW w:w="2093" w:type="dxa"/>
          </w:tcPr>
          <w:p w14:paraId="305F9E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Высота тележки (мм)</w:t>
            </w:r>
          </w:p>
          <w:p w14:paraId="5F4D4C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336C99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885</w:t>
            </w:r>
          </w:p>
          <w:p w14:paraId="685B9E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1DE9F0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870</w:t>
            </w:r>
          </w:p>
          <w:p w14:paraId="32B3C0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34FBB0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1180</w:t>
            </w:r>
          </w:p>
          <w:p w14:paraId="36A6C8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748B223" w14:textId="77777777" w:rsidTr="00EA0DA7">
        <w:trPr>
          <w:trHeight w:val="336"/>
        </w:trPr>
        <w:tc>
          <w:tcPr>
            <w:tcW w:w="2093" w:type="dxa"/>
          </w:tcPr>
          <w:p w14:paraId="2C9973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тележки (м)</w:t>
            </w:r>
          </w:p>
          <w:p w14:paraId="15FBD6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797184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p w14:paraId="12FF02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5C2059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p w14:paraId="601372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65290C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p w14:paraId="72DB04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92821D6" w14:textId="77777777" w:rsidTr="00EA0DA7">
        <w:trPr>
          <w:trHeight w:val="278"/>
        </w:trPr>
        <w:tc>
          <w:tcPr>
            <w:tcW w:w="2093" w:type="dxa"/>
            <w:tcBorders>
              <w:bottom w:val="single" w:sz="12" w:space="0" w:color="auto"/>
            </w:tcBorders>
          </w:tcPr>
          <w:p w14:paraId="1AE6CA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катапульты (т)</w:t>
            </w:r>
          </w:p>
          <w:p w14:paraId="22F345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Borders>
              <w:bottom w:val="single" w:sz="12" w:space="0" w:color="auto"/>
            </w:tcBorders>
          </w:tcPr>
          <w:p w14:paraId="69BFFC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28,5</w:t>
            </w:r>
          </w:p>
          <w:p w14:paraId="05512D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Borders>
              <w:bottom w:val="single" w:sz="12" w:space="0" w:color="auto"/>
            </w:tcBorders>
          </w:tcPr>
          <w:p w14:paraId="165973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p w14:paraId="00BA0E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Borders>
              <w:bottom w:val="single" w:sz="12" w:space="0" w:color="auto"/>
            </w:tcBorders>
          </w:tcPr>
          <w:p w14:paraId="7CCCF8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p w14:paraId="5E658E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13A6FA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(11107).</w:t>
      </w:r>
    </w:p>
    <w:p w14:paraId="07E46F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23F6504" w14:textId="77777777" w:rsidR="0029647E" w:rsidRPr="00A3026E" w:rsidRDefault="0029647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1 ноября 1940 года при задании подготовить в 1940 году 24.000 пилотов было подготовлено 15.348 пилотов и обучалось 9.414 человек. На тот же период было совершено 22.806 прыжков. На 1941 год ставилась задача подготовить также 24.000 пилотов, организовать 3.395 прыжков для постоянного состава, 23.826 – для курсантов-пилотов и 20.210 – для бойцов-десантников, всего – 47.431 парашютный прыжок с самолета. Все эти данные касались только авиации Осоавиахима (ГАРФ. Ф. Р – 8355. Оп. 5. Д. 38. Л. 57.) (21402).</w:t>
      </w:r>
    </w:p>
    <w:p w14:paraId="651319CD" w14:textId="77777777" w:rsidR="0029647E" w:rsidRPr="00A3026E" w:rsidRDefault="0029647E" w:rsidP="00A3026E">
      <w:pPr>
        <w:spacing w:after="0" w:line="240" w:lineRule="auto"/>
        <w:jc w:val="both"/>
        <w:rPr>
          <w:rFonts w:ascii="Times New Roman" w:hAnsi="Times New Roman"/>
          <w:color w:val="0070C0"/>
          <w:sz w:val="16"/>
          <w:szCs w:val="16"/>
        </w:rPr>
      </w:pPr>
    </w:p>
    <w:p w14:paraId="45191D3C"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ноября 1940 г.</w:t>
      </w:r>
    </w:p>
    <w:p w14:paraId="6F83546C"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Памятная записка Ф. Шуленбурга о перевозке из Германии на Дальний Восток аэроплана</w:t>
      </w:r>
    </w:p>
    <w:p w14:paraId="1C4A93F8"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ноября 1940 г.</w:t>
      </w:r>
    </w:p>
    <w:p w14:paraId="741B57C0"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Москва</w:t>
      </w:r>
    </w:p>
    <w:p w14:paraId="5802459A"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Секретно</w:t>
      </w:r>
    </w:p>
    <w:p w14:paraId="6A3511AA"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дополнение к памятной записке от 21 октября с.г. по вопросу о перевозке из Германии на Дальний Восток аэроплана в разобранном виде, германское правительство поручило мне сообщить правительству СССР, что означенную перевозку предполагается произвести через Владивосток в Японию.</w:t>
      </w:r>
    </w:p>
    <w:p w14:paraId="10F3961B"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Кроме того, германское правительство было бы очень признательно правительству СССР за разрешение тем же способом и По тому же направлению произвести перевозку еще второго аэроплана.</w:t>
      </w:r>
    </w:p>
    <w:p w14:paraId="6BD23A23"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Помета: Вручено т. Молотову Шуленбургом 1.11.1940 г.</w:t>
      </w:r>
    </w:p>
    <w:p w14:paraId="7B0D309F"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АП РФ. Ф. 3. On. 64. Д. 678. Л. 103. Заверенная копия (20416).</w:t>
      </w:r>
    </w:p>
    <w:p w14:paraId="440F30C8" w14:textId="77777777" w:rsidR="00B22593" w:rsidRPr="00A3026E" w:rsidRDefault="00B22593" w:rsidP="00A3026E">
      <w:pPr>
        <w:spacing w:after="0" w:line="240" w:lineRule="auto"/>
        <w:jc w:val="both"/>
        <w:rPr>
          <w:rFonts w:ascii="Times New Roman" w:hAnsi="Times New Roman"/>
          <w:color w:val="0070C0"/>
          <w:sz w:val="16"/>
          <w:szCs w:val="16"/>
        </w:rPr>
      </w:pPr>
    </w:p>
    <w:p w14:paraId="6184C678"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3DBEE2C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F0DD4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Л. Мехлис отправил под грифом «Совершенно секретно» письмо на имя И. Сталина и К. Ворошилова, в котором, в частности, говорилось:</w:t>
      </w:r>
    </w:p>
    <w:p w14:paraId="30AED8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присланным на мое имя письмом военинженером т. Каливода (бывший военпред АБТУКА на Кировском за</w:t>
      </w:r>
      <w:r w:rsidRPr="00A3026E">
        <w:rPr>
          <w:rFonts w:ascii="Times New Roman" w:hAnsi="Times New Roman"/>
          <w:color w:val="000000" w:themeColor="text1"/>
          <w:sz w:val="16"/>
          <w:szCs w:val="16"/>
        </w:rPr>
        <w:softHyphen/>
        <w:t>воде) в котором он сообщил, что танки КВ имеют серьезные конструктивные недостатки, Народный комиссариат госу</w:t>
      </w:r>
      <w:r w:rsidRPr="00A3026E">
        <w:rPr>
          <w:rFonts w:ascii="Times New Roman" w:hAnsi="Times New Roman"/>
          <w:color w:val="000000" w:themeColor="text1"/>
          <w:sz w:val="16"/>
          <w:szCs w:val="16"/>
        </w:rPr>
        <w:softHyphen/>
        <w:t>дарственного контроля по согласованию с т. Ворошиловым проверил на Кировском заводе производство танков КВ. В результате установлено следующее. Гарантийный километраж, установленный для КВ в 2000 км, по отдельным узлам и агрегатам не выдерживаются, что подтверждается рядом проведенных заводом испытаний.</w:t>
      </w:r>
    </w:p>
    <w:p w14:paraId="3EADB9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Коробка перемены передач КВ не обладает достаточной прочностью... Введенный в августе с.г. в конструкцию короб</w:t>
      </w:r>
      <w:r w:rsidRPr="00A3026E">
        <w:rPr>
          <w:rFonts w:ascii="Times New Roman" w:hAnsi="Times New Roman"/>
          <w:color w:val="000000" w:themeColor="text1"/>
          <w:sz w:val="16"/>
          <w:szCs w:val="16"/>
        </w:rPr>
        <w:softHyphen/>
        <w:t>ки передач замок, фиксирующий положение шестерен, умень</w:t>
      </w:r>
      <w:r w:rsidRPr="00A3026E">
        <w:rPr>
          <w:rFonts w:ascii="Times New Roman" w:hAnsi="Times New Roman"/>
          <w:color w:val="000000" w:themeColor="text1"/>
          <w:sz w:val="16"/>
          <w:szCs w:val="16"/>
        </w:rPr>
        <w:softHyphen/>
        <w:t>шает возможность аварийных поломок, однако, прочность самой коробки по-прежнему остается неудовлетворитель</w:t>
      </w:r>
      <w:r w:rsidRPr="00A3026E">
        <w:rPr>
          <w:rFonts w:ascii="Times New Roman" w:hAnsi="Times New Roman"/>
          <w:color w:val="000000" w:themeColor="text1"/>
          <w:sz w:val="16"/>
          <w:szCs w:val="16"/>
        </w:rPr>
        <w:softHyphen/>
        <w:t>ной. В октябре завод получил от войсковой части акт-рекла</w:t>
      </w:r>
      <w:r w:rsidRPr="00A3026E">
        <w:rPr>
          <w:rFonts w:ascii="Times New Roman" w:hAnsi="Times New Roman"/>
          <w:color w:val="000000" w:themeColor="text1"/>
          <w:sz w:val="16"/>
          <w:szCs w:val="16"/>
        </w:rPr>
        <w:softHyphen/>
        <w:t>мацию, в котором указано, что в танке № 3622 (принят во</w:t>
      </w:r>
      <w:r w:rsidRPr="00A3026E">
        <w:rPr>
          <w:rFonts w:ascii="Times New Roman" w:hAnsi="Times New Roman"/>
          <w:color w:val="000000" w:themeColor="text1"/>
          <w:sz w:val="16"/>
          <w:szCs w:val="16"/>
        </w:rPr>
        <w:softHyphen/>
        <w:t>енпредом 3 сентября) скручен промежуточный вал коробки скоростей и разрушен конический подшипник.</w:t>
      </w:r>
    </w:p>
    <w:p w14:paraId="29B32D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Система охлаждения КВ не обеспечивает нормальную ра</w:t>
      </w:r>
      <w:r w:rsidRPr="00A3026E">
        <w:rPr>
          <w:rFonts w:ascii="Times New Roman" w:hAnsi="Times New Roman"/>
          <w:color w:val="000000" w:themeColor="text1"/>
          <w:sz w:val="16"/>
          <w:szCs w:val="16"/>
        </w:rPr>
        <w:softHyphen/>
        <w:t>боту двигателя, вследствие высоких температур и масла в радиаторе. Бортовые фрикционы отказывают в работе вследствие перегрева из-за неудовлетворительной смазки подшипников фрикциона. Введенный заводом лабиринтный сальник не держит смазки.</w:t>
      </w:r>
    </w:p>
    <w:p w14:paraId="59E7A5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танках КВ № 3652, 3653, прошедших контрольные ис</w:t>
      </w:r>
      <w:r w:rsidRPr="00A3026E">
        <w:rPr>
          <w:rFonts w:ascii="Times New Roman" w:hAnsi="Times New Roman"/>
          <w:color w:val="000000" w:themeColor="text1"/>
          <w:sz w:val="16"/>
          <w:szCs w:val="16"/>
        </w:rPr>
        <w:softHyphen/>
        <w:t>пытания пробегом и принятых военпредом в сентябре, при подготовке отгрузки их в войсковую часть обнаружена течь через сальники бортовых передач.</w:t>
      </w:r>
    </w:p>
    <w:p w14:paraId="26CB0E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Воздушный фильтр двигателя не обеспечивает нормаль</w:t>
      </w:r>
      <w:r w:rsidRPr="00A3026E">
        <w:rPr>
          <w:rFonts w:ascii="Times New Roman" w:hAnsi="Times New Roman"/>
          <w:color w:val="000000" w:themeColor="text1"/>
          <w:sz w:val="16"/>
          <w:szCs w:val="16"/>
        </w:rPr>
        <w:softHyphen/>
        <w:t>ную очистку воздуха от пыли, вследствие чего при движении по пыльному проселку двигатель отказывает в работе.</w:t>
      </w:r>
    </w:p>
    <w:p w14:paraId="56FDD0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Чертежи и технические условия (ТУ) на изготовление и прием танков КВ заводом до сих пор полностью не отработа</w:t>
      </w:r>
      <w:r w:rsidRPr="00A3026E">
        <w:rPr>
          <w:rFonts w:ascii="Times New Roman" w:hAnsi="Times New Roman"/>
          <w:color w:val="000000" w:themeColor="text1"/>
          <w:sz w:val="16"/>
          <w:szCs w:val="16"/>
        </w:rPr>
        <w:softHyphen/>
        <w:t>ны и АБ-ТУ КА не утверждены. Отсутствие утвержденных чертежей и ТУ затрудняет работу военной приемки и тор</w:t>
      </w:r>
      <w:r w:rsidRPr="00A3026E">
        <w:rPr>
          <w:rFonts w:ascii="Times New Roman" w:hAnsi="Times New Roman"/>
          <w:color w:val="000000" w:themeColor="text1"/>
          <w:sz w:val="16"/>
          <w:szCs w:val="16"/>
        </w:rPr>
        <w:softHyphen/>
        <w:t>мозит развертывание серийного производства.</w:t>
      </w:r>
    </w:p>
    <w:p w14:paraId="622F8C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Особенно необходимо отметить наличие основных конст</w:t>
      </w:r>
      <w:r w:rsidRPr="00A3026E">
        <w:rPr>
          <w:rFonts w:ascii="Times New Roman" w:hAnsi="Times New Roman"/>
          <w:color w:val="000000" w:themeColor="text1"/>
          <w:sz w:val="16"/>
          <w:szCs w:val="16"/>
        </w:rPr>
        <w:softHyphen/>
        <w:t>руктивных недостатков КВ, подлежащих устранению в кратчайшие сроки</w:t>
      </w:r>
    </w:p>
    <w:p w14:paraId="553688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недостаточное время работы двигателя без ремонта (80-100 часов), что снижает боеспособность танка;</w:t>
      </w:r>
    </w:p>
    <w:p w14:paraId="282324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плохая обзорность из танка, уступающая средним не</w:t>
      </w:r>
      <w:r w:rsidRPr="00A3026E">
        <w:rPr>
          <w:rFonts w:ascii="Times New Roman" w:hAnsi="Times New Roman"/>
          <w:color w:val="000000" w:themeColor="text1"/>
          <w:sz w:val="16"/>
          <w:szCs w:val="16"/>
        </w:rPr>
        <w:softHyphen/>
        <w:t>мецким танкам.</w:t>
      </w:r>
    </w:p>
    <w:p w14:paraId="674CA6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трудность управления танком в бою.</w:t>
      </w:r>
    </w:p>
    <w:p w14:paraId="02899B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Проверкой установлены также факты незаконного оформления приемом-сдачей незаконченных производством танков КВ.</w:t>
      </w:r>
    </w:p>
    <w:p w14:paraId="7431AC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Кировского завода Зальцман И.М. дважды пред</w:t>
      </w:r>
      <w:r w:rsidRPr="00A3026E">
        <w:rPr>
          <w:rFonts w:ascii="Times New Roman" w:hAnsi="Times New Roman"/>
          <w:color w:val="000000" w:themeColor="text1"/>
          <w:sz w:val="16"/>
          <w:szCs w:val="16"/>
        </w:rPr>
        <w:softHyphen/>
        <w:t>ставлял в Наркомат тяжелого машиностроения неправильные сведения о выполнении производства танков в июле-августе с.г.</w:t>
      </w:r>
    </w:p>
    <w:p w14:paraId="30ACB2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отчете за июль директор КЗ сообщил о выпуске в июле 15 КВ, фактически заводом сдано АБТУКА в этом месяце толь</w:t>
      </w:r>
      <w:r w:rsidRPr="00A3026E">
        <w:rPr>
          <w:rFonts w:ascii="Times New Roman" w:hAnsi="Times New Roman"/>
          <w:color w:val="000000" w:themeColor="text1"/>
          <w:sz w:val="16"/>
          <w:szCs w:val="16"/>
        </w:rPr>
        <w:softHyphen/>
        <w:t>ко 5 танков. Остальные 10 не были закончены производством. Доделка их и сдача военпреду продолжа/гись до 22-24 августа.</w:t>
      </w:r>
    </w:p>
    <w:p w14:paraId="6C3DAC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отчете за август заводом указан выпуск 22 КВ, факты- . чески же на 1 сентября было сдано военпреду только 11 танков.</w:t>
      </w:r>
    </w:p>
    <w:p w14:paraId="14FFCC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неправильные сведения представлялись директором завода Зальцманом И.М. с ведома и согласия начальника бро</w:t>
      </w:r>
      <w:r w:rsidRPr="00A3026E">
        <w:rPr>
          <w:rFonts w:ascii="Times New Roman" w:hAnsi="Times New Roman"/>
          <w:color w:val="000000" w:themeColor="text1"/>
          <w:sz w:val="16"/>
          <w:szCs w:val="16"/>
        </w:rPr>
        <w:softHyphen/>
        <w:t>нетанкового управления КА Коробкова В.М. и его заместите</w:t>
      </w:r>
      <w:r w:rsidRPr="00A3026E">
        <w:rPr>
          <w:rFonts w:ascii="Times New Roman" w:hAnsi="Times New Roman"/>
          <w:color w:val="000000" w:themeColor="text1"/>
          <w:sz w:val="16"/>
          <w:szCs w:val="16"/>
        </w:rPr>
        <w:softHyphen/>
        <w:t>ля Алымова Н.Н., которые давали распоряжения старшему военпреду АБТУ КА на Кировском заводе Шпитанову А.Ф. об оформлении приемом незаконченных производством танков.</w:t>
      </w:r>
    </w:p>
    <w:p w14:paraId="3453D0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выявленными проверкой фактами представления ложных сведений о выполнении плана выпуска танков КВ и оформления приемом незаконченной производством продукции на виновных — директора Кировского завода Зальцмана И.М. и старшего военпреда АБТУ КА Шпитанова А.Ф. мною нало</w:t>
      </w:r>
      <w:r w:rsidRPr="00A3026E">
        <w:rPr>
          <w:rFonts w:ascii="Times New Roman" w:hAnsi="Times New Roman"/>
          <w:color w:val="000000" w:themeColor="text1"/>
          <w:sz w:val="16"/>
          <w:szCs w:val="16"/>
        </w:rPr>
        <w:softHyphen/>
        <w:t>жены дисциплинарные взыскания.</w:t>
      </w:r>
    </w:p>
    <w:p w14:paraId="0E7139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БТУ КА Коробкову В. М. и его заместителю Алымову Н.Н. указано на неправильные действия, выразившие</w:t>
      </w:r>
      <w:r w:rsidRPr="00A3026E">
        <w:rPr>
          <w:rFonts w:ascii="Times New Roman" w:hAnsi="Times New Roman"/>
          <w:color w:val="000000" w:themeColor="text1"/>
          <w:sz w:val="16"/>
          <w:szCs w:val="16"/>
        </w:rPr>
        <w:softHyphen/>
        <w:t>ся в отдаче распоряжений старшему военпреду Шпита</w:t>
      </w:r>
      <w:r w:rsidRPr="00A3026E">
        <w:rPr>
          <w:rFonts w:ascii="Times New Roman" w:hAnsi="Times New Roman"/>
          <w:color w:val="000000" w:themeColor="text1"/>
          <w:sz w:val="16"/>
          <w:szCs w:val="16"/>
        </w:rPr>
        <w:softHyphen/>
        <w:t>нову А.Ф. о приеме незаконченных производством танков КВ.</w:t>
      </w:r>
    </w:p>
    <w:p w14:paraId="28C710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Полагаю, что сейчас целесообразно заслушать на Коми</w:t>
      </w:r>
      <w:r w:rsidRPr="00A3026E">
        <w:rPr>
          <w:rFonts w:ascii="Times New Roman" w:hAnsi="Times New Roman"/>
          <w:color w:val="000000" w:themeColor="text1"/>
          <w:sz w:val="16"/>
          <w:szCs w:val="16"/>
        </w:rPr>
        <w:softHyphen/>
        <w:t>тете Обороны о ходе работ по выпуску танка КВ и устране</w:t>
      </w:r>
      <w:r w:rsidRPr="00A3026E">
        <w:rPr>
          <w:rFonts w:ascii="Times New Roman" w:hAnsi="Times New Roman"/>
          <w:color w:val="000000" w:themeColor="text1"/>
          <w:sz w:val="16"/>
          <w:szCs w:val="16"/>
        </w:rPr>
        <w:softHyphen/>
        <w:t>нии конструктивных недостатков» (10782).</w:t>
      </w:r>
    </w:p>
    <w:p w14:paraId="77C2D1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и это письмо не возымело быстрых результатов, так как снижать выпуск мощных танков, очень нужных для оснащения формируемых танковых корпусов, не решились. Более того, несмотря на неоднократные сигналы, по</w:t>
      </w:r>
      <w:r w:rsidRPr="00A3026E">
        <w:rPr>
          <w:rFonts w:ascii="Times New Roman" w:hAnsi="Times New Roman"/>
          <w:color w:val="000000" w:themeColor="text1"/>
          <w:sz w:val="16"/>
          <w:szCs w:val="16"/>
        </w:rPr>
        <w:softHyphen/>
        <w:t>даваемые Д. Павловым, Г. Куликом и Л. Мехлисом, по прежнему главным показателем работы Кировского завода остался суточный выпуск в ущерб качеству выпускаемой продукции, так как многие считали, что переделать уже имеющиеся танки проще, чем выпустить новые (10782).</w:t>
      </w:r>
    </w:p>
    <w:p w14:paraId="07EDE8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C6CCB8F"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ноября 1940 года была Докладная записка наркома госконтроля СССР Л. З. Мехлиса И. В. Сталину и председателю СНК СССР В. М. Молотову "О производстве танков "КВ" на Кировском заводе и наличии в них конструктивных недоработок"</w:t>
      </w:r>
    </w:p>
    <w:p w14:paraId="04CA0C7D"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связи с присланным на мое имя письмом военным инженером тоя. Каливода (бывпий военпред ГАБТУ КА на Кировском заводе), в ко</w:t>
      </w:r>
      <w:r w:rsidRPr="00A3026E">
        <w:rPr>
          <w:rFonts w:ascii="Times New Roman" w:hAnsi="Times New Roman"/>
          <w:color w:val="0070C0"/>
          <w:sz w:val="16"/>
          <w:szCs w:val="16"/>
        </w:rPr>
        <w:softHyphen/>
        <w:t>тором он сообщил, что танки "КБ" имеют серьезные конструктивные недостатки. Наркомат Государственного Контроля, по согласованию в тов. Ворошиловым К.Е. .проверил на Кировском заводе производство танков "КВ".</w:t>
      </w:r>
    </w:p>
    <w:p w14:paraId="564DBB3A"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результате проверки установлено:</w:t>
      </w:r>
    </w:p>
    <w:p w14:paraId="7F14732A"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Гарантийный километраж, установленнцй для танка "КВ" в 2000 клм., по отдельным узлам и агрегатам не выдерживается, что подтверждается рядом проведенных заводом испытаний.</w:t>
      </w:r>
    </w:p>
    <w:p w14:paraId="4E92FCF5"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Коробка перемены передач танка "КВ" не обладает достаточной прочностью, вследствие чего при испытании машин(№ У-21 (в июле месяце с.г.) имели место две аварийные поломки.</w:t>
      </w:r>
    </w:p>
    <w:p w14:paraId="77FF0FA7"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Введенный заводом в августе с.г. в коробку перемени передач замок, фиксирующий положение шестерен, уменьшает возможность ава</w:t>
      </w:r>
      <w:r w:rsidRPr="00A3026E">
        <w:rPr>
          <w:rFonts w:ascii="Times New Roman" w:hAnsi="Times New Roman"/>
          <w:color w:val="0070C0"/>
          <w:sz w:val="16"/>
          <w:szCs w:val="16"/>
        </w:rPr>
        <w:softHyphen/>
        <w:t>рийных поломок, однако, прочность самой коробки попрежнему оста- ется неудовлетворительной. В октябре месяце завод получил от войсковой частя акт-рекламацию, в котором указано,что в танке № 3622 (принят военпредом 3.1Х-40г.) скручен промежуточный вал коробки скоро стен и разрушен конический подшипник.</w:t>
      </w:r>
    </w:p>
    <w:p w14:paraId="0F0872E8"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Система охлаждения танка "КВ" не обеспечивает нормальную работу двигателя, вследствие высоких температур воды и масла в радиаторе (107-112°).</w:t>
      </w:r>
    </w:p>
    <w:p w14:paraId="522CDDDC"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Бортовые Фрикционы отказывают в работе вследствие пере</w:t>
      </w:r>
      <w:r w:rsidRPr="00A3026E">
        <w:rPr>
          <w:rFonts w:ascii="Times New Roman" w:hAnsi="Times New Roman"/>
          <w:color w:val="0070C0"/>
          <w:sz w:val="16"/>
          <w:szCs w:val="16"/>
        </w:rPr>
        <w:softHyphen/>
        <w:t>грева, вызванного неудовлетворительной смазкой подшипников Фрик</w:t>
      </w:r>
      <w:r w:rsidRPr="00A3026E">
        <w:rPr>
          <w:rFonts w:ascii="Times New Roman" w:hAnsi="Times New Roman"/>
          <w:color w:val="0070C0"/>
          <w:sz w:val="16"/>
          <w:szCs w:val="16"/>
        </w:rPr>
        <w:softHyphen/>
        <w:t>циона. Введенный заводом лабиринтный сальник не держит смазки.</w:t>
      </w:r>
    </w:p>
    <w:p w14:paraId="1E4827E0"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В танках "КВ" №№ 3652 и 3653, прошедших контрольное испыта</w:t>
      </w:r>
      <w:r w:rsidRPr="00A3026E">
        <w:rPr>
          <w:rFonts w:ascii="Times New Roman" w:hAnsi="Times New Roman"/>
          <w:color w:val="0070C0"/>
          <w:sz w:val="16"/>
          <w:szCs w:val="16"/>
        </w:rPr>
        <w:softHyphen/>
        <w:t>ния пробегом и принятых военпредом в сентябре месяце с.г., при подготовке к отгрузке их в войсковые части обнаружена течь че</w:t>
      </w:r>
      <w:r w:rsidRPr="00A3026E">
        <w:rPr>
          <w:rFonts w:ascii="Times New Roman" w:hAnsi="Times New Roman"/>
          <w:color w:val="0070C0"/>
          <w:sz w:val="16"/>
          <w:szCs w:val="16"/>
        </w:rPr>
        <w:softHyphen/>
        <w:t>рез сальники бортовых передач.</w:t>
      </w:r>
    </w:p>
    <w:p w14:paraId="512E85E1"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Воздушный фильтр двигателя не обеспечивает нормальную очистку воздуха от пыли, вследствие чего npи движении по пыльно</w:t>
      </w:r>
      <w:r w:rsidRPr="00A3026E">
        <w:rPr>
          <w:rFonts w:ascii="Times New Roman" w:hAnsi="Times New Roman"/>
          <w:color w:val="0070C0"/>
          <w:sz w:val="16"/>
          <w:szCs w:val="16"/>
        </w:rPr>
        <w:softHyphen/>
        <w:t>му проселку двигатель отказывает в работе (испытание танка № У-1 в июле с.г.).</w:t>
      </w:r>
    </w:p>
    <w:p w14:paraId="00D2E9D9"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Чертежи и технические условия на изготовление и прием тан</w:t>
      </w:r>
      <w:r w:rsidRPr="00A3026E">
        <w:rPr>
          <w:rFonts w:ascii="Times New Roman" w:hAnsi="Times New Roman"/>
          <w:color w:val="0070C0"/>
          <w:sz w:val="16"/>
          <w:szCs w:val="16"/>
        </w:rPr>
        <w:softHyphen/>
        <w:t>ков "КВ" заводом до сих пор полностью не отработаны и ГАБТУ КА не утверждены.</w:t>
      </w:r>
    </w:p>
    <w:p w14:paraId="3661ECE5"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Отсутствие утвержденьях чертежей и технических условий затрудняет работу военной приемки и тормозит развертывание се</w:t>
      </w:r>
      <w:r w:rsidRPr="00A3026E">
        <w:rPr>
          <w:rFonts w:ascii="Times New Roman" w:hAnsi="Times New Roman"/>
          <w:color w:val="0070C0"/>
          <w:sz w:val="16"/>
          <w:szCs w:val="16"/>
        </w:rPr>
        <w:softHyphen/>
        <w:t>рийного производства</w:t>
      </w:r>
    </w:p>
    <w:p w14:paraId="65C9D678"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Особенно необходимо отметить наличие основных конструктив</w:t>
      </w:r>
      <w:r w:rsidRPr="00A3026E">
        <w:rPr>
          <w:rFonts w:ascii="Times New Roman" w:hAnsi="Times New Roman"/>
          <w:color w:val="0070C0"/>
          <w:sz w:val="16"/>
          <w:szCs w:val="16"/>
        </w:rPr>
        <w:softHyphen/>
        <w:t>ных недостатков танка "КВ", подл ежащих устранению в кратчайший срок:</w:t>
      </w:r>
    </w:p>
    <w:p w14:paraId="0B35B7A0"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недостаточное время работа двигателя без ремонта (80-100 ч.), что снижает его боеспособность;</w:t>
      </w:r>
    </w:p>
    <w:p w14:paraId="26D23C89"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плохая видимостъ (обзорность) из танка, уступающая средним немецким танкам;</w:t>
      </w:r>
    </w:p>
    <w:p w14:paraId="6A690B37"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трудности управления танком в бою.</w:t>
      </w:r>
    </w:p>
    <w:p w14:paraId="5AE026B4"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Проверкой установлен также факты незаконного оформления приемом-сдачей незаконченных производством танков "КЗ".</w:t>
      </w:r>
    </w:p>
    <w:p w14:paraId="6439AC8B"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Директор Кировского завода Зальцман И.К. дважды предста</w:t>
      </w:r>
      <w:r w:rsidRPr="00A3026E">
        <w:rPr>
          <w:rFonts w:ascii="Times New Roman" w:hAnsi="Times New Roman"/>
          <w:color w:val="0070C0"/>
          <w:sz w:val="16"/>
          <w:szCs w:val="16"/>
        </w:rPr>
        <w:softHyphen/>
        <w:t>вил в Наркомтяжмаш неправильные сведения о выполнении производ</w:t>
      </w:r>
      <w:r w:rsidRPr="00A3026E">
        <w:rPr>
          <w:rFonts w:ascii="Times New Roman" w:hAnsi="Times New Roman"/>
          <w:color w:val="0070C0"/>
          <w:sz w:val="16"/>
          <w:szCs w:val="16"/>
        </w:rPr>
        <w:softHyphen/>
        <w:t>ства танков в июле и августе месяце с.г.</w:t>
      </w:r>
    </w:p>
    <w:p w14:paraId="139D3295"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отчете за июль месяц директор кировского завода сообщил о выпуске в июле 15-ти танков, а фактически заводом сдано ГАБТУ КА в этом месяце только 5_танК0В. Осталыве 10 танков не были закончены производством. Доделка их и сдача военпреду продолжались до 22-24 августа с.г.</w:t>
      </w:r>
    </w:p>
    <w:p w14:paraId="10AA28B1"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отчете за август месяц заводом указан выпуск в августе 22-х танков "КВ", фактически на 1 сентября с.г. было сдано воен</w:t>
      </w:r>
      <w:r w:rsidRPr="00A3026E">
        <w:rPr>
          <w:rFonts w:ascii="Times New Roman" w:hAnsi="Times New Roman"/>
          <w:color w:val="0070C0"/>
          <w:sz w:val="16"/>
          <w:szCs w:val="16"/>
        </w:rPr>
        <w:softHyphen/>
        <w:t>преду только 11 танков.</w:t>
      </w:r>
    </w:p>
    <w:p w14:paraId="6AE7C85E"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Эти неправильные сведения представлялись директором Киров</w:t>
      </w:r>
      <w:r w:rsidRPr="00A3026E">
        <w:rPr>
          <w:rFonts w:ascii="Times New Roman" w:hAnsi="Times New Roman"/>
          <w:color w:val="0070C0"/>
          <w:sz w:val="16"/>
          <w:szCs w:val="16"/>
        </w:rPr>
        <w:softHyphen/>
        <w:t>ского завода Зальцман И.М. с ведома и согласия начальника Броне</w:t>
      </w:r>
      <w:r w:rsidRPr="00A3026E">
        <w:rPr>
          <w:rFonts w:ascii="Times New Roman" w:hAnsi="Times New Roman"/>
          <w:color w:val="0070C0"/>
          <w:sz w:val="16"/>
          <w:szCs w:val="16"/>
        </w:rPr>
        <w:softHyphen/>
        <w:t>танкового Управления КА Коробкова Б.М. и его заместителя Алымо</w:t>
      </w:r>
      <w:r w:rsidRPr="00A3026E">
        <w:rPr>
          <w:rFonts w:ascii="Times New Roman" w:hAnsi="Times New Roman"/>
          <w:color w:val="0070C0"/>
          <w:sz w:val="16"/>
          <w:szCs w:val="16"/>
        </w:rPr>
        <w:softHyphen/>
        <w:t>ва И. Некоторые давали распоряжения ст. военпреду ГАБТУ КА на Кировском заводе Шпитанову А.Ф. об оформлении приемом незакончен</w:t>
      </w:r>
      <w:r w:rsidRPr="00A3026E">
        <w:rPr>
          <w:rFonts w:ascii="Times New Roman" w:hAnsi="Times New Roman"/>
          <w:color w:val="0070C0"/>
          <w:sz w:val="16"/>
          <w:szCs w:val="16"/>
        </w:rPr>
        <w:softHyphen/>
        <w:t>ных производством танков.</w:t>
      </w:r>
    </w:p>
    <w:p w14:paraId="58FEB595"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Ст. военпред ГАБТУ КА Шпитанов А.Ф. допустил исправление в приемо-сдаточных документах(актах) дат фактического приема тан</w:t>
      </w:r>
      <w:r w:rsidRPr="00A3026E">
        <w:rPr>
          <w:rFonts w:ascii="Times New Roman" w:hAnsi="Times New Roman"/>
          <w:color w:val="0070C0"/>
          <w:sz w:val="16"/>
          <w:szCs w:val="16"/>
        </w:rPr>
        <w:softHyphen/>
        <w:t>ков "КЗ".</w:t>
      </w:r>
    </w:p>
    <w:p w14:paraId="3E8903A6"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Проверкой также установлено, что постановление Комитета Обо</w:t>
      </w:r>
      <w:r w:rsidRPr="00A3026E">
        <w:rPr>
          <w:rFonts w:ascii="Times New Roman" w:hAnsi="Times New Roman"/>
          <w:color w:val="0070C0"/>
          <w:sz w:val="16"/>
          <w:szCs w:val="16"/>
        </w:rPr>
        <w:softHyphen/>
        <w:t>роны от 5.У1-40г., обязывающее Кировский завод изготовить к 1 октября 1940 г. два опытных образца танка "СП", директором Ки</w:t>
      </w:r>
      <w:r w:rsidRPr="00A3026E">
        <w:rPr>
          <w:rFonts w:ascii="Times New Roman" w:hAnsi="Times New Roman"/>
          <w:color w:val="0070C0"/>
          <w:sz w:val="16"/>
          <w:szCs w:val="16"/>
        </w:rPr>
        <w:softHyphen/>
        <w:t>ровского завода Зальцма ном И.М. не выполнено. Завод изготовил только чертежи танка "СП". К производству образцов на 10 октяб</w:t>
      </w:r>
      <w:r w:rsidRPr="00A3026E">
        <w:rPr>
          <w:rFonts w:ascii="Times New Roman" w:hAnsi="Times New Roman"/>
          <w:color w:val="0070C0"/>
          <w:sz w:val="16"/>
          <w:szCs w:val="16"/>
        </w:rPr>
        <w:softHyphen/>
        <w:t>ря с.г. завод не приступил.</w:t>
      </w:r>
    </w:p>
    <w:p w14:paraId="295DCE13"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связи с выявленными проверкой фактами представления лож</w:t>
      </w:r>
      <w:r w:rsidRPr="00A3026E">
        <w:rPr>
          <w:rFonts w:ascii="Times New Roman" w:hAnsi="Times New Roman"/>
          <w:color w:val="0070C0"/>
          <w:sz w:val="16"/>
          <w:szCs w:val="16"/>
        </w:rPr>
        <w:softHyphen/>
        <w:t>ных сведений о выполнении плана выпуска танков "КВ" и оформле</w:t>
      </w:r>
      <w:r w:rsidRPr="00A3026E">
        <w:rPr>
          <w:rFonts w:ascii="Times New Roman" w:hAnsi="Times New Roman"/>
          <w:color w:val="0070C0"/>
          <w:sz w:val="16"/>
          <w:szCs w:val="16"/>
        </w:rPr>
        <w:softHyphen/>
        <w:t>ния приемок незаконченной производством продукции на виновных - директора Кировского завода  Зальцмана И.М. и ст. военпреда ГАБТУ КА Шпитанова А.Ф. мною наложены дисциплинарные взыскания.</w:t>
      </w:r>
    </w:p>
    <w:p w14:paraId="0EB76F6B"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Начальнику ГАБТУ КА Коробкову Б.М. и его заместителю Алымо</w:t>
      </w:r>
      <w:r w:rsidRPr="00A3026E">
        <w:rPr>
          <w:rFonts w:ascii="Times New Roman" w:hAnsi="Times New Roman"/>
          <w:color w:val="0070C0"/>
          <w:sz w:val="16"/>
          <w:szCs w:val="16"/>
        </w:rPr>
        <w:softHyphen/>
        <w:t>ву Н.Н. указано на неправильные действия, выразившиеся в отдаче распоряжений ст. военпреду Шпитанову А.Ф. о приеме незаконченных производством танков "КВ".</w:t>
      </w:r>
    </w:p>
    <w:p w14:paraId="2E3A1E69" w14:textId="77777777" w:rsidR="00B22593" w:rsidRPr="00A3026E" w:rsidRDefault="00B2259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Полагаю, что сейчас целесообразно заслушать на Комитете Обо</w:t>
      </w:r>
      <w:r w:rsidRPr="00A3026E">
        <w:rPr>
          <w:rFonts w:ascii="Times New Roman" w:hAnsi="Times New Roman"/>
          <w:color w:val="0070C0"/>
          <w:sz w:val="16"/>
          <w:szCs w:val="16"/>
        </w:rPr>
        <w:softHyphen/>
        <w:t>рот о ходе работ по выпуску танка "КВ" и устранении конструк</w:t>
      </w:r>
      <w:r w:rsidRPr="00A3026E">
        <w:rPr>
          <w:rFonts w:ascii="Times New Roman" w:hAnsi="Times New Roman"/>
          <w:color w:val="0070C0"/>
          <w:sz w:val="16"/>
          <w:szCs w:val="16"/>
        </w:rPr>
        <w:softHyphen/>
        <w:t>тивных недостатков (22071).</w:t>
      </w:r>
    </w:p>
    <w:p w14:paraId="06AD6103" w14:textId="77777777" w:rsidR="00B22593" w:rsidRPr="00A3026E" w:rsidRDefault="00B22593" w:rsidP="00A3026E">
      <w:pPr>
        <w:spacing w:after="0" w:line="240" w:lineRule="auto"/>
        <w:jc w:val="both"/>
        <w:rPr>
          <w:rFonts w:ascii="Times New Roman" w:hAnsi="Times New Roman"/>
          <w:color w:val="0070C0"/>
          <w:sz w:val="16"/>
          <w:szCs w:val="16"/>
        </w:rPr>
      </w:pPr>
    </w:p>
    <w:p w14:paraId="4D0EFE02"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года — первым — на Кировский завод поступил корпус с башней Т-150. Сборку танка завершили в декабре 1940 года.</w:t>
      </w:r>
    </w:p>
    <w:p w14:paraId="533367FE"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Т-150 был построен на агрегатах серийного КВ и отличался от него только увеличенной толщиной брони корпуса (вместо 75 мм — 90 мм). Так как утолщение броневых листов производилось наружу, то все внутренние габариты машины сохранялись.</w:t>
      </w:r>
    </w:p>
    <w:p w14:paraId="7629703C"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по внутренней компоновке Т-150 практически не отличался от серийного КВ-1. Машина вооружалась 76,2-мм пушкой Ф-32, спаренной с пулеметом ДТ. Кроме того, второй ДТ устанавливался в кормовой части башни, а третий — в лобовом листе корпуса. Боекомплект состоял из 111 выстрелов к пушке и 42 дисков к пулеметам ДТ (2646 патронов). Из-за возросшей массы танка до 50,2 в ходовой части установили усиленные кронштейны подвески. Кроме того, танк оснастили двигателем В-5 мощностью 700 л.с. но запас топлива оставался прежним — 615 л, а запас хода по шоссе составлял 220 км.</w:t>
      </w:r>
    </w:p>
    <w:p w14:paraId="2EC39C64"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 внешним отличием Т-150 от серийного КВ-1 стала командирская башенка с шестью смотровыми приборами в стенках и перископическим ПТК в крыше. Башенка монтировалась на крыше башни справа по ходу, поэтому командир машины теперь размещался справа. За ним находилось место заряжающего, а наводчик находился слева от пушки.</w:t>
      </w:r>
    </w:p>
    <w:p w14:paraId="21538611"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танка с броней в 100 мм — «объект 220» — поступил на Кировский завод 7 декабря 1940 года, а сборку машины завершили в первых числах нового, 1941 года. Машина имела удлиненную на один каток (по сравнению с серийным КВ-1) ходовую часть. На это конструкторам пришлой пойти из-за существенного увеличения массы «объекта 220» (боевая масса составляла 62,7 т), что произошло из-за увеличения основной брони до 100 мм и установки мощной 85-мм пушки в башне значительных размеров.</w:t>
      </w:r>
    </w:p>
    <w:p w14:paraId="1C4AF692"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«объекта 220» (также в документах встречаются обозначения Т-220 и КВ-220) представлял собой удлиненный корпус КВ-1 с увеличенной до 100 мм броней лобовой части и бортов. Как и в случае с Т-150, утолщение производилось наружу.</w:t>
      </w:r>
    </w:p>
    <w:p w14:paraId="02E201F4"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и в серийном КВ-1, у КВ-220 впереди в отделении управления размещались механик-водитель и стрелок-радист. А вот в башне находилось четыре человека — слева от пушки наводчик и командир машины, а справа — два заряжающих.</w:t>
      </w:r>
    </w:p>
    <w:p w14:paraId="3371A8FC"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Основное вооружение КВ-220 состояло из 85-мм танковой пушки Ф-30, установку которой спроектировала группа инженеров СКБ-2 под руководством прикомандированного с завода № 92 конструктора П.Ф. Муравьева. Пушка монтировалась в башне довольно больших размеров, имевшей вертикальные стенки. Для стрельбы использовались перископический прицел ПТ-6 и телескопический ТОД. Для монтажа и демонтажа пушки в кормовом листе башни был прорезан люк довольно больших размеров.</w:t>
      </w:r>
    </w:p>
    <w:p w14:paraId="2A6C9FFF"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орудия, КВ-220 имел три пулемета ДТ — один спаренный с пушкой, второй — в лобовом листе корпуса, слева от механика-водителя, и третий — в командирской башенке на крыше башни. Боекомплект состоял из 91 выстрела к 8 5-мм пушке и 64 дисков (4032 патрона) к ДТ.</w:t>
      </w:r>
    </w:p>
    <w:p w14:paraId="2442B8F4"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КВ-220 оснащался дизельным двигателем В-2СН мощностью 850 л.с. Емкость топливных баков составила 825–845 л. Машина получила новую коробку перемены передач, спроектированную Н.Ф. Шашмуриным по типу коробки КВ-1, но усиленную и доработанную. Коробка имела меньшие габариты по сравнению с серийной, а так же больший запас прочности и улучшенные динамические характеристики.</w:t>
      </w:r>
    </w:p>
    <w:p w14:paraId="2EBE2EC6"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Ходовая часть выполнялась по типу серийных КВ, но имела семь опорных и четыре поддерживающих катка (на борт) (17434).</w:t>
      </w:r>
    </w:p>
    <w:p w14:paraId="51153C5E" w14:textId="77777777" w:rsidR="0016176C" w:rsidRPr="00A3026E" w:rsidRDefault="0016176C" w:rsidP="00A3026E">
      <w:pPr>
        <w:spacing w:after="0" w:line="240" w:lineRule="auto"/>
        <w:jc w:val="both"/>
        <w:rPr>
          <w:rFonts w:ascii="Times New Roman" w:hAnsi="Times New Roman"/>
          <w:color w:val="000000" w:themeColor="text1"/>
          <w:sz w:val="16"/>
          <w:szCs w:val="16"/>
        </w:rPr>
      </w:pPr>
    </w:p>
    <w:p w14:paraId="36B9C5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было принято решение о прекра</w:t>
      </w:r>
      <w:r w:rsidRPr="00A3026E">
        <w:rPr>
          <w:rFonts w:ascii="Times New Roman" w:hAnsi="Times New Roman"/>
          <w:color w:val="000000" w:themeColor="text1"/>
          <w:sz w:val="16"/>
          <w:szCs w:val="16"/>
        </w:rPr>
        <w:softHyphen/>
        <w:t>щении работ над А-41 - первой модификацией А-34, так как макетная комиссия усомни</w:t>
      </w:r>
      <w:r w:rsidRPr="00A3026E">
        <w:rPr>
          <w:rFonts w:ascii="Times New Roman" w:hAnsi="Times New Roman"/>
          <w:color w:val="000000" w:themeColor="text1"/>
          <w:sz w:val="16"/>
          <w:szCs w:val="16"/>
        </w:rPr>
        <w:softHyphen/>
        <w:t>лась в соответствии параметров проекта требованиям ТЗ (установить на существующем корпусе башню с кругом об</w:t>
      </w:r>
      <w:r w:rsidRPr="00A3026E">
        <w:rPr>
          <w:rFonts w:ascii="Times New Roman" w:hAnsi="Times New Roman"/>
          <w:color w:val="000000" w:themeColor="text1"/>
          <w:sz w:val="16"/>
          <w:szCs w:val="16"/>
        </w:rPr>
        <w:softHyphen/>
        <w:t>служивания 1700 мм без переделки корпуса было сочтено не</w:t>
      </w:r>
      <w:r w:rsidRPr="00A3026E">
        <w:rPr>
          <w:rFonts w:ascii="Times New Roman" w:hAnsi="Times New Roman"/>
          <w:color w:val="000000" w:themeColor="text1"/>
          <w:sz w:val="16"/>
          <w:szCs w:val="16"/>
        </w:rPr>
        <w:softHyphen/>
        <w:t>возможным). Также нереальным признали возможность из</w:t>
      </w:r>
      <w:r w:rsidRPr="00A3026E">
        <w:rPr>
          <w:rFonts w:ascii="Times New Roman" w:hAnsi="Times New Roman"/>
          <w:color w:val="000000" w:themeColor="text1"/>
          <w:sz w:val="16"/>
          <w:szCs w:val="16"/>
        </w:rPr>
        <w:softHyphen/>
        <w:t>готовления в отведенный срок принципиально новой КПП, отвергнута конструкция цельноштампованных башен (10782).</w:t>
      </w:r>
    </w:p>
    <w:p w14:paraId="0FCF3A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C0AD013"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w:t>
      </w:r>
    </w:p>
    <w:p w14:paraId="65DD187B"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ЦАМО Фонд 38 Опись 11355 Дело 32 лист 157 </w:t>
      </w:r>
    </w:p>
    <w:p w14:paraId="6E010DA2"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3974EFB8"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 № 3</w:t>
      </w:r>
    </w:p>
    <w:p w14:paraId="561D4706"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ходе изготовления приспособлений и штампов по А-34 на 1/XI-1940 г.</w:t>
      </w:r>
    </w:p>
    <w:p w14:paraId="3C3AA193"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наименованиях) </w:t>
      </w:r>
    </w:p>
    <w:p w14:paraId="30554990"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Стандартные приспособления в штуках.</w:t>
      </w:r>
    </w:p>
    <w:p w14:paraId="52F3E5E3"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ТЕХНОЛОГ ЗАВОДА подпись (РАТИНОВ)</w:t>
      </w:r>
    </w:p>
    <w:p w14:paraId="71C727BA"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5 экз. </w:t>
      </w:r>
    </w:p>
    <w:p w14:paraId="004C0ADA"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5370 </w:t>
      </w:r>
    </w:p>
    <w:p w14:paraId="0048FF7A"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2.XI.40 г. (18212).</w:t>
      </w:r>
    </w:p>
    <w:p w14:paraId="0B7D9A3B" w14:textId="77777777" w:rsidR="00DE4BE3" w:rsidRPr="00A3026E" w:rsidRDefault="00DE4BE3" w:rsidP="00A3026E">
      <w:pPr>
        <w:spacing w:after="0" w:line="240" w:lineRule="auto"/>
        <w:jc w:val="both"/>
        <w:rPr>
          <w:rFonts w:ascii="Times New Roman" w:hAnsi="Times New Roman"/>
          <w:color w:val="000000" w:themeColor="text1"/>
          <w:sz w:val="16"/>
          <w:szCs w:val="16"/>
        </w:rPr>
      </w:pPr>
    </w:p>
    <w:p w14:paraId="6C92800B"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w:t>
      </w:r>
    </w:p>
    <w:p w14:paraId="4B470A28"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ЦАМО Фонд 38 Опись 11355 Дело 32 лист 158 </w:t>
      </w:r>
    </w:p>
    <w:p w14:paraId="7F5D7C9D"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40829C4E"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 № 4</w:t>
      </w:r>
    </w:p>
    <w:p w14:paraId="6DB32D2E"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выполнения кооперирующими заводами деталей машины А-34 на 1 ноября 1940 года. </w:t>
      </w:r>
    </w:p>
    <w:p w14:paraId="0DD93D8B"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Поставщикам. </w:t>
      </w:r>
    </w:p>
    <w:p w14:paraId="621AAC79"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ТЕХНОЛОГ ЗАВОДА подпись (РАТИНОВ)</w:t>
      </w:r>
    </w:p>
    <w:p w14:paraId="345799E4"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5 экз. </w:t>
      </w:r>
    </w:p>
    <w:p w14:paraId="1FB783F1"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5370 </w:t>
      </w:r>
    </w:p>
    <w:p w14:paraId="5E4D6C4C"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2.XI.40 г. (18212)</w:t>
      </w:r>
    </w:p>
    <w:p w14:paraId="5B407ED8" w14:textId="77777777" w:rsidR="00DE4BE3" w:rsidRPr="00A3026E" w:rsidRDefault="00DE4BE3" w:rsidP="00A3026E">
      <w:pPr>
        <w:spacing w:after="0" w:line="240" w:lineRule="auto"/>
        <w:jc w:val="both"/>
        <w:rPr>
          <w:rFonts w:ascii="Times New Roman" w:hAnsi="Times New Roman"/>
          <w:color w:val="000000" w:themeColor="text1"/>
          <w:sz w:val="16"/>
          <w:szCs w:val="16"/>
        </w:rPr>
      </w:pPr>
    </w:p>
    <w:p w14:paraId="544EF923"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w:t>
      </w:r>
    </w:p>
    <w:p w14:paraId="74B8974B"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Фонд 38 Опись 11355 Дело 32 лист 156</w:t>
      </w:r>
    </w:p>
    <w:p w14:paraId="68910171"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1DF14D28"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 № 2</w:t>
      </w:r>
    </w:p>
    <w:p w14:paraId="4D29A9BC"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 ходе внедрения технологии по А-34 на 1/XI-1940 г. </w:t>
      </w:r>
    </w:p>
    <w:p w14:paraId="52615F99"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ТЕХНОЛОГ ЗАВОДА подпись (РАТИНОВ)</w:t>
      </w:r>
    </w:p>
    <w:p w14:paraId="7C9D434D"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5 экз. </w:t>
      </w:r>
    </w:p>
    <w:p w14:paraId="382BCF31"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5370 </w:t>
      </w:r>
    </w:p>
    <w:p w14:paraId="03B86C23"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2.XI.40 г. (18212).</w:t>
      </w:r>
    </w:p>
    <w:p w14:paraId="55192C51" w14:textId="77777777" w:rsidR="00DE4BE3" w:rsidRPr="00A3026E" w:rsidRDefault="00DE4BE3" w:rsidP="00A3026E">
      <w:pPr>
        <w:spacing w:after="0" w:line="240" w:lineRule="auto"/>
        <w:jc w:val="both"/>
        <w:rPr>
          <w:rFonts w:ascii="Times New Roman" w:hAnsi="Times New Roman"/>
          <w:color w:val="000000" w:themeColor="text1"/>
          <w:sz w:val="16"/>
          <w:szCs w:val="16"/>
        </w:rPr>
      </w:pPr>
    </w:p>
    <w:p w14:paraId="41C602B5"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1 ноября 1940 г. с начала производства танка Т-34 и в его конструкцию было внесено 491 изменение, из них по установленным перечням – 55, по причинам конструктивных неполадок 266 изменений, по причинам технологическим 123 и по разным причинам 47 изменений. Наиболее значимыми доработками конструкции танка Т-34, являлись: </w:t>
      </w:r>
    </w:p>
    <w:p w14:paraId="6462A714"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устранение причин, вызывавших раздутие масляных баков; </w:t>
      </w:r>
    </w:p>
    <w:p w14:paraId="37B0957D"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устранение течи топлива из воздушного крана; </w:t>
      </w:r>
    </w:p>
    <w:p w14:paraId="0C63B37B"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повышение надежности работы стартера СТ-700 и усиление его крепления на коробке передач; </w:t>
      </w:r>
    </w:p>
    <w:p w14:paraId="67E92BB4"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обеспечение более легкого переключения передач; </w:t>
      </w:r>
    </w:p>
    <w:p w14:paraId="773E972B"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облегчение доступа к кормовым бакам и агрегатам трансмиссии; </w:t>
      </w:r>
    </w:p>
    <w:p w14:paraId="373A3359"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установка радиостанции 71-ТК-3 в носовой части корпуса танка; </w:t>
      </w:r>
    </w:p>
    <w:p w14:paraId="4ED0B85F"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обеспечение надежного уплотнения крышки люка механика-водителя, защищавшего отделение управления танка от проникновения в него жидкости и свинцовых брызг от пуль при обстреле; </w:t>
      </w:r>
    </w:p>
    <w:p w14:paraId="383DE296" w14:textId="77777777" w:rsidR="00DE4BE3" w:rsidRPr="00A3026E" w:rsidRDefault="00DE4BE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разработка конструкции башни, обеспечивавшей установку пушки Ф-34 (18206).</w:t>
      </w:r>
    </w:p>
    <w:p w14:paraId="392A78AC" w14:textId="77777777" w:rsidR="00DE4BE3" w:rsidRPr="00A3026E" w:rsidRDefault="00DE4BE3" w:rsidP="00A3026E">
      <w:pPr>
        <w:spacing w:after="0" w:line="240" w:lineRule="auto"/>
        <w:jc w:val="both"/>
        <w:rPr>
          <w:rFonts w:ascii="Times New Roman" w:hAnsi="Times New Roman"/>
          <w:color w:val="000000" w:themeColor="text1"/>
          <w:sz w:val="16"/>
          <w:szCs w:val="16"/>
        </w:rPr>
      </w:pPr>
    </w:p>
    <w:p w14:paraId="2D6432B5"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 ноября 1940 г. на заводе № 183 из 8957 наименований инструментария было изготовлено 6315 наименований, или 70%. Неполное оснащение производства инструментарием повлекло задержку внедрения технологии по ряду узлов и деталей танка Т</w:t>
      </w:r>
      <w:r w:rsidRPr="00A3026E">
        <w:rPr>
          <w:rFonts w:ascii="Times New Roman" w:hAnsi="Times New Roman"/>
          <w:color w:val="000000" w:themeColor="text1"/>
          <w:sz w:val="16"/>
          <w:szCs w:val="16"/>
        </w:rPr>
        <w:noBreakHyphen/>
        <w:t>34. Из разработанных заводом 2601 техпроцесса на 1 ноября 1940 г. сдано цехам только 1362 техпроцесса, или 52%. Выпуск танков Т</w:t>
      </w:r>
      <w:r w:rsidRPr="00A3026E">
        <w:rPr>
          <w:rFonts w:ascii="Times New Roman" w:hAnsi="Times New Roman"/>
          <w:color w:val="000000" w:themeColor="text1"/>
          <w:sz w:val="16"/>
          <w:szCs w:val="16"/>
        </w:rPr>
        <w:noBreakHyphen/>
        <w:t>34 по важнейшим узлам и деталям производился по временной технологии, что вызвало увеличение затрат рабочего времени на механическую обработку деталей танка. Трудоемкость механической обработки на один танк составила 1518 нормо-часов против запланированных 1038 нормо-часов (18033).</w:t>
      </w:r>
    </w:p>
    <w:p w14:paraId="77FA0385" w14:textId="77777777" w:rsidR="00893AC8" w:rsidRPr="00A3026E" w:rsidRDefault="00893AC8" w:rsidP="00A3026E">
      <w:pPr>
        <w:spacing w:after="0" w:line="240" w:lineRule="auto"/>
        <w:jc w:val="both"/>
        <w:rPr>
          <w:rFonts w:ascii="Times New Roman" w:hAnsi="Times New Roman"/>
          <w:color w:val="000000" w:themeColor="text1"/>
          <w:sz w:val="16"/>
          <w:szCs w:val="16"/>
        </w:rPr>
      </w:pPr>
    </w:p>
    <w:p w14:paraId="4D6607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г. Письмом № 80378 Комитет обороны был поставлен АТУ в известность о невыполнении постановления в установленные сроки. По Постановлению комитета обороны № 303сс от 12.7.1940 г. НАТИ должен был спроектировать и изготовить компрессорные установки на трактора «Ворошиловец» и «С-2» к 1.09.1940 г.</w:t>
      </w:r>
    </w:p>
    <w:p w14:paraId="5E30AE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Необходимость оборудования тяжелого трактора «Ворошиловец» и среднего «С-2» компрессор</w:t>
      </w:r>
      <w:r w:rsidRPr="00A3026E">
        <w:rPr>
          <w:rFonts w:ascii="Times New Roman" w:hAnsi="Times New Roman"/>
          <w:color w:val="000000" w:themeColor="text1"/>
          <w:sz w:val="16"/>
          <w:szCs w:val="16"/>
        </w:rPr>
        <w:softHyphen/>
        <w:t>ными установками вызывается требованиями ГАУ КА, так как корпусная артиллерия и артиллерия большой мощности, для буксировки которой они предназначаются, имеют пневматическое обору</w:t>
      </w:r>
      <w:r w:rsidRPr="00A3026E">
        <w:rPr>
          <w:rFonts w:ascii="Times New Roman" w:hAnsi="Times New Roman"/>
          <w:color w:val="000000" w:themeColor="text1"/>
          <w:sz w:val="16"/>
          <w:szCs w:val="16"/>
        </w:rPr>
        <w:softHyphen/>
        <w:t>дование (11211).</w:t>
      </w:r>
    </w:p>
    <w:p w14:paraId="0C9656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E8247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г. Письмом Маршала Советского Союза т. Кулик НКО просило народного комиссара среднего машиностроения т. Малышева обязать ЗИМ ускорить подготовку производства и выпуск ГАЗ-61.</w:t>
      </w:r>
    </w:p>
    <w:p w14:paraId="67034D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1939 г. автозаводом были изготовлены два опытных образца ГАЗ-61. Заводские испыта</w:t>
      </w:r>
      <w:r w:rsidRPr="00A3026E">
        <w:rPr>
          <w:rFonts w:ascii="Times New Roman" w:hAnsi="Times New Roman"/>
          <w:color w:val="000000" w:themeColor="text1"/>
          <w:sz w:val="16"/>
          <w:szCs w:val="16"/>
        </w:rPr>
        <w:softHyphen/>
        <w:t>ния этих машин показали хорошие результаты по проходимости в тяжелых дорожных условиях и на препятствиях.</w:t>
      </w:r>
    </w:p>
    <w:p w14:paraId="04B46E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июля 1940 г. вышло Постановление КО № 333сс и 19 декабря 1939 г. вышло Постановления КО № 443сс, которые обязывали автозавод им. Молотова:</w:t>
      </w:r>
    </w:p>
    <w:p w14:paraId="19086B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Организовать серийное производство автомобилей ГАЗ-61 с 1.10.1940 г.</w:t>
      </w:r>
    </w:p>
    <w:p w14:paraId="7314B5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Создать мощность завода по выпуску автомобилей ГАЗ-61 с 1.8.1941 г. — 1000 шт. в год.</w:t>
      </w:r>
    </w:p>
    <w:p w14:paraId="7C9174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подготовка производства этих автомобилей на автозаводе им. Молотова идет недопусти</w:t>
      </w:r>
      <w:r w:rsidRPr="00A3026E">
        <w:rPr>
          <w:rFonts w:ascii="Times New Roman" w:hAnsi="Times New Roman"/>
          <w:color w:val="000000" w:themeColor="text1"/>
          <w:sz w:val="16"/>
          <w:szCs w:val="16"/>
        </w:rPr>
        <w:softHyphen/>
        <w:t>мо медленно.</w:t>
      </w:r>
    </w:p>
    <w:p w14:paraId="732629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Инструмента и штампов изготовлено всего лишь на 30-35%. Оборудования автозавод еще не по</w:t>
      </w:r>
      <w:r w:rsidRPr="00A3026E">
        <w:rPr>
          <w:rFonts w:ascii="Times New Roman" w:hAnsi="Times New Roman"/>
          <w:color w:val="000000" w:themeColor="text1"/>
          <w:sz w:val="16"/>
          <w:szCs w:val="16"/>
        </w:rPr>
        <w:softHyphen/>
        <w:t>лучал (11211).</w:t>
      </w:r>
    </w:p>
    <w:p w14:paraId="1A05658F"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5C15CED4"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4BAC777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27062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г. Народный комиссар обороны СССР Маршал Советского Союза С. Тимошенко утвердил Приказ об установлении воинских званий для рядового и младшего начальствующего состава Красной Армии и введении в действие положения о прохождении службы младшим начальствующим составом</w:t>
      </w:r>
    </w:p>
    <w:p w14:paraId="1C8776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Глава первая</w:t>
      </w:r>
    </w:p>
    <w:p w14:paraId="13C692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 рядовому составу относятся: красноармейцы, ефрейторы.</w:t>
      </w:r>
    </w:p>
    <w:p w14:paraId="440144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 роду службы младший начальствующий состав подразделяется: на командный, технический, административный, медицинский и ветеринарный.</w:t>
      </w:r>
    </w:p>
    <w:p w14:paraId="7FAA1D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Звание ефрейтора (строевой, технической, административной службы) присваивается лучшим красноармейцам, прошедшим по окончании первого года 30-дневный инструкторский сбор при части по специальности и выдержавшим установленные испытания.</w:t>
      </w:r>
    </w:p>
    <w:p w14:paraId="3C39A7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Звание младшего сержанта присваивается:</w:t>
      </w:r>
    </w:p>
    <w:p w14:paraId="0AC9FC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курсантам, окончившим полковые (батальонные) или специальные (для технического, административного, медицинского и ветеринарного состава) школы;</w:t>
      </w:r>
    </w:p>
    <w:p w14:paraId="01EF75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увольнении в запас лучшим ефрейторам, прошедшим перед окончанием действительной службы специальные трехмесячные сборы при части и выдержавшим испытание.</w:t>
      </w:r>
    </w:p>
    <w:p w14:paraId="5A6B60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Звание сержанта присваивается лучшим младшим сержантам, прокомандовавшим подразделением не менее шести месяцев и выдержавшим установленные испытания.</w:t>
      </w:r>
    </w:p>
    <w:p w14:paraId="645844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Младшие сержанты, не выдержавшие испытание на звание сержанта, держат повторные испытания через 6 месяцев.</w:t>
      </w:r>
    </w:p>
    <w:p w14:paraId="29573D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Звание старшего сержанта присваивается лучшим сержантам, прокомандовавшим подразделением не менее одного года и выдержавшим установленные испытания.</w:t>
      </w:r>
    </w:p>
    <w:p w14:paraId="12D03F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представленные и не выдержавшие испытание на звание старшего сержанта держат повторные испытания через 6 месяцев.</w:t>
      </w:r>
    </w:p>
    <w:p w14:paraId="5A0FB4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Звание старшины присваивается лучшим старшим сержантам, прокомандовавшим не менее чем полтора года подразделением и прошедшим специальные трехмесячные курсы старшин.</w:t>
      </w:r>
    </w:p>
    <w:p w14:paraId="2789D0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Младшему техническому, административному, медицинскому и ветеринарному составу звания сержанта, старшего сержанта и старшины присваиваются после сдачи испытаний в аттестационном порядке по прослужении на соответствующих специальных должностях тех же сроков, как указано для командного состава ст.ст. 4, 5, 6 и 7 настоящего Положения.</w:t>
      </w:r>
    </w:p>
    <w:p w14:paraId="6D1397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Лица младшего начальствующего состава, окончившие действительную службу и поступившие на сверхсрочную службу, обязаны прослужить не менее трех лет.</w:t>
      </w:r>
    </w:p>
    <w:p w14:paraId="23B486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Лицам младшего начальствующего состава, прослужившим на сверхсрочной службе три года и более, может быть присвоено воинское звание «младший лейтенант» в следующих случаях:</w:t>
      </w:r>
    </w:p>
    <w:p w14:paraId="5F9C42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желающим продолжать службу в кадрах Красной Армии — после прохождения шестимесячных курсов и сдачи испытаний;</w:t>
      </w:r>
    </w:p>
    <w:p w14:paraId="08A91A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после сдачи испытаний признанным соответствующими к занятию должностей среднего начальствующего состава при увольнении их в запас.</w:t>
      </w:r>
    </w:p>
    <w:p w14:paraId="5A5B61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Глава II. Присвоение воинских званий и знаки различия</w:t>
      </w:r>
    </w:p>
    <w:p w14:paraId="7EAE3C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Право присвоения воинских званий принадлежит: </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3154"/>
        <w:gridCol w:w="4180"/>
      </w:tblGrid>
      <w:tr w:rsidR="00983732" w:rsidRPr="00A3026E" w14:paraId="4D593666" w14:textId="77777777" w:rsidTr="00EA0DA7">
        <w:trPr>
          <w:trHeight w:val="195"/>
        </w:trPr>
        <w:tc>
          <w:tcPr>
            <w:tcW w:w="3154" w:type="dxa"/>
            <w:tcBorders>
              <w:top w:val="single" w:sz="12" w:space="0" w:color="auto"/>
            </w:tcBorders>
          </w:tcPr>
          <w:p w14:paraId="7D50DE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Воинские звания</w:t>
            </w:r>
          </w:p>
        </w:tc>
        <w:tc>
          <w:tcPr>
            <w:tcW w:w="4180" w:type="dxa"/>
            <w:tcBorders>
              <w:top w:val="single" w:sz="12" w:space="0" w:color="auto"/>
            </w:tcBorders>
          </w:tcPr>
          <w:p w14:paraId="2269BB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Кому принадлежит право присваивать звания</w:t>
            </w:r>
          </w:p>
        </w:tc>
      </w:tr>
      <w:tr w:rsidR="00983732" w:rsidRPr="00A3026E" w14:paraId="6E3E35D3" w14:textId="77777777" w:rsidTr="00EA0DA7">
        <w:trPr>
          <w:trHeight w:val="195"/>
        </w:trPr>
        <w:tc>
          <w:tcPr>
            <w:tcW w:w="3154" w:type="dxa"/>
          </w:tcPr>
          <w:p w14:paraId="7288BF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Ефрейтора</w:t>
            </w:r>
          </w:p>
        </w:tc>
        <w:tc>
          <w:tcPr>
            <w:tcW w:w="4180" w:type="dxa"/>
          </w:tcPr>
          <w:p w14:paraId="032645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Командиру части</w:t>
            </w:r>
          </w:p>
        </w:tc>
      </w:tr>
      <w:tr w:rsidR="00983732" w:rsidRPr="00A3026E" w14:paraId="3B6F6628" w14:textId="77777777" w:rsidTr="00EA0DA7">
        <w:trPr>
          <w:trHeight w:val="195"/>
        </w:trPr>
        <w:tc>
          <w:tcPr>
            <w:tcW w:w="3154" w:type="dxa"/>
          </w:tcPr>
          <w:p w14:paraId="63A3D4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Младшего сержанта</w:t>
            </w:r>
          </w:p>
        </w:tc>
        <w:tc>
          <w:tcPr>
            <w:tcW w:w="4180" w:type="dxa"/>
          </w:tcPr>
          <w:p w14:paraId="1F0C71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Командиру дивизии (или ему равным)</w:t>
            </w:r>
          </w:p>
        </w:tc>
      </w:tr>
      <w:tr w:rsidR="00983732" w:rsidRPr="00A3026E" w14:paraId="491D1C17" w14:textId="77777777" w:rsidTr="00EA0DA7">
        <w:trPr>
          <w:trHeight w:val="195"/>
        </w:trPr>
        <w:tc>
          <w:tcPr>
            <w:tcW w:w="3154" w:type="dxa"/>
          </w:tcPr>
          <w:p w14:paraId="3BAEE9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Сержанта</w:t>
            </w:r>
          </w:p>
        </w:tc>
        <w:tc>
          <w:tcPr>
            <w:tcW w:w="4180" w:type="dxa"/>
          </w:tcPr>
          <w:p w14:paraId="403B97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Командиру дивизии (или ему равным)</w:t>
            </w:r>
          </w:p>
        </w:tc>
      </w:tr>
      <w:tr w:rsidR="00983732" w:rsidRPr="00A3026E" w14:paraId="1301734A" w14:textId="77777777" w:rsidTr="00EA0DA7">
        <w:trPr>
          <w:trHeight w:val="195"/>
        </w:trPr>
        <w:tc>
          <w:tcPr>
            <w:tcW w:w="3154" w:type="dxa"/>
          </w:tcPr>
          <w:p w14:paraId="7CCB7B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Старшего сержанта</w:t>
            </w:r>
          </w:p>
        </w:tc>
        <w:tc>
          <w:tcPr>
            <w:tcW w:w="4180" w:type="dxa"/>
          </w:tcPr>
          <w:p w14:paraId="255042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Командиру дивизии (или ему равным)</w:t>
            </w:r>
          </w:p>
        </w:tc>
      </w:tr>
      <w:tr w:rsidR="00983732" w:rsidRPr="00A3026E" w14:paraId="73410649" w14:textId="77777777" w:rsidTr="00EA0DA7">
        <w:trPr>
          <w:trHeight w:val="195"/>
        </w:trPr>
        <w:tc>
          <w:tcPr>
            <w:tcW w:w="3154" w:type="dxa"/>
            <w:tcBorders>
              <w:bottom w:val="single" w:sz="12" w:space="0" w:color="auto"/>
            </w:tcBorders>
          </w:tcPr>
          <w:p w14:paraId="39B09D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Старшины</w:t>
            </w:r>
          </w:p>
        </w:tc>
        <w:tc>
          <w:tcPr>
            <w:tcW w:w="4180" w:type="dxa"/>
            <w:tcBorders>
              <w:bottom w:val="single" w:sz="12" w:space="0" w:color="auto"/>
            </w:tcBorders>
          </w:tcPr>
          <w:p w14:paraId="4799D3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Военному совету округа</w:t>
            </w:r>
          </w:p>
        </w:tc>
      </w:tr>
    </w:tbl>
    <w:p w14:paraId="209B03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Снижение в воинских званиях младшего начальствующего состава, вплоть до разжалования в рядовые, производится согласно Дисциплинарному уставу Красной Армии.</w:t>
      </w:r>
    </w:p>
    <w:p w14:paraId="75E020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12. Для ефрейтора и младшего начальствующего состава устанавливаются следующие знаки различия: </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3213"/>
        <w:gridCol w:w="5712"/>
      </w:tblGrid>
      <w:tr w:rsidR="00983732" w:rsidRPr="00A3026E" w14:paraId="4A94A85D" w14:textId="77777777" w:rsidTr="00EA0DA7">
        <w:trPr>
          <w:trHeight w:val="195"/>
        </w:trPr>
        <w:tc>
          <w:tcPr>
            <w:tcW w:w="3213" w:type="dxa"/>
            <w:tcBorders>
              <w:top w:val="single" w:sz="12" w:space="0" w:color="auto"/>
            </w:tcBorders>
          </w:tcPr>
          <w:p w14:paraId="323990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Воинские звания</w:t>
            </w:r>
          </w:p>
        </w:tc>
        <w:tc>
          <w:tcPr>
            <w:tcW w:w="5712" w:type="dxa"/>
            <w:tcBorders>
              <w:top w:val="single" w:sz="12" w:space="0" w:color="auto"/>
            </w:tcBorders>
          </w:tcPr>
          <w:p w14:paraId="6574BD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Знаки различия на петлицах по роду войск или службы</w:t>
            </w:r>
          </w:p>
        </w:tc>
      </w:tr>
      <w:tr w:rsidR="00983732" w:rsidRPr="00A3026E" w14:paraId="30B15877" w14:textId="77777777" w:rsidTr="00EA0DA7">
        <w:trPr>
          <w:trHeight w:val="195"/>
        </w:trPr>
        <w:tc>
          <w:tcPr>
            <w:tcW w:w="3213" w:type="dxa"/>
          </w:tcPr>
          <w:p w14:paraId="440BCB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Ефрейтор</w:t>
            </w:r>
          </w:p>
        </w:tc>
        <w:tc>
          <w:tcPr>
            <w:tcW w:w="5712" w:type="dxa"/>
          </w:tcPr>
          <w:p w14:paraId="138A03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Петлицы младшего начсостава угольникомс металлическим</w:t>
            </w:r>
          </w:p>
        </w:tc>
      </w:tr>
      <w:tr w:rsidR="00983732" w:rsidRPr="00A3026E" w14:paraId="743D17CC" w14:textId="77777777" w:rsidTr="00EA0DA7">
        <w:trPr>
          <w:trHeight w:val="195"/>
        </w:trPr>
        <w:tc>
          <w:tcPr>
            <w:tcW w:w="3213" w:type="dxa"/>
          </w:tcPr>
          <w:p w14:paraId="1E9BA3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Младший сержант</w:t>
            </w:r>
          </w:p>
        </w:tc>
        <w:tc>
          <w:tcPr>
            <w:tcW w:w="5712" w:type="dxa"/>
          </w:tcPr>
          <w:p w14:paraId="53CCD6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треугольник</w:t>
            </w:r>
          </w:p>
        </w:tc>
      </w:tr>
      <w:tr w:rsidR="00983732" w:rsidRPr="00A3026E" w14:paraId="2539DE80" w14:textId="77777777" w:rsidTr="00EA0DA7">
        <w:trPr>
          <w:trHeight w:val="195"/>
        </w:trPr>
        <w:tc>
          <w:tcPr>
            <w:tcW w:w="3213" w:type="dxa"/>
          </w:tcPr>
          <w:p w14:paraId="66C6F4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Сержант</w:t>
            </w:r>
          </w:p>
        </w:tc>
        <w:tc>
          <w:tcPr>
            <w:tcW w:w="5712" w:type="dxa"/>
          </w:tcPr>
          <w:p w14:paraId="79935B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треугольника</w:t>
            </w:r>
          </w:p>
        </w:tc>
      </w:tr>
      <w:tr w:rsidR="00983732" w:rsidRPr="00A3026E" w14:paraId="1E1A1E9D" w14:textId="77777777" w:rsidTr="00EA0DA7">
        <w:trPr>
          <w:trHeight w:val="195"/>
        </w:trPr>
        <w:tc>
          <w:tcPr>
            <w:tcW w:w="3213" w:type="dxa"/>
          </w:tcPr>
          <w:p w14:paraId="38199A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Старший сержант</w:t>
            </w:r>
          </w:p>
        </w:tc>
        <w:tc>
          <w:tcPr>
            <w:tcW w:w="5712" w:type="dxa"/>
          </w:tcPr>
          <w:p w14:paraId="4956B2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Три треугольника</w:t>
            </w:r>
          </w:p>
        </w:tc>
      </w:tr>
      <w:tr w:rsidR="00983732" w:rsidRPr="00A3026E" w14:paraId="37704BF3" w14:textId="77777777" w:rsidTr="00EA0DA7">
        <w:trPr>
          <w:trHeight w:val="195"/>
        </w:trPr>
        <w:tc>
          <w:tcPr>
            <w:tcW w:w="3213" w:type="dxa"/>
            <w:tcBorders>
              <w:bottom w:val="single" w:sz="12" w:space="0" w:color="auto"/>
            </w:tcBorders>
          </w:tcPr>
          <w:p w14:paraId="6B1526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Старшина</w:t>
            </w:r>
          </w:p>
        </w:tc>
        <w:tc>
          <w:tcPr>
            <w:tcW w:w="5712" w:type="dxa"/>
            <w:tcBorders>
              <w:bottom w:val="single" w:sz="12" w:space="0" w:color="auto"/>
            </w:tcBorders>
          </w:tcPr>
          <w:p w14:paraId="2575E8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Четыре треугольника на петлицах обшитых параллельно канту золотым галуном</w:t>
            </w:r>
          </w:p>
        </w:tc>
      </w:tr>
    </w:tbl>
    <w:p w14:paraId="6A1E76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Лица младшего начальствующего состава обязаны носить установленную форму одежды как на службе, так и вне службы.</w:t>
      </w:r>
    </w:p>
    <w:p w14:paraId="2DB31D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Глава III. Назначение на должности</w:t>
      </w:r>
    </w:p>
    <w:p w14:paraId="4B7CBD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14. Устанавливается следующее соотношение между типовыми должностями и воинскими званиями: </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3125"/>
        <w:gridCol w:w="3669"/>
      </w:tblGrid>
      <w:tr w:rsidR="00983732" w:rsidRPr="00A3026E" w14:paraId="74C73496" w14:textId="77777777" w:rsidTr="00EA0DA7">
        <w:trPr>
          <w:trHeight w:val="195"/>
        </w:trPr>
        <w:tc>
          <w:tcPr>
            <w:tcW w:w="3125" w:type="dxa"/>
            <w:tcBorders>
              <w:top w:val="single" w:sz="12" w:space="0" w:color="auto"/>
            </w:tcBorders>
          </w:tcPr>
          <w:p w14:paraId="0B8E48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Должности</w:t>
            </w:r>
          </w:p>
        </w:tc>
        <w:tc>
          <w:tcPr>
            <w:tcW w:w="3669" w:type="dxa"/>
            <w:tcBorders>
              <w:top w:val="single" w:sz="12" w:space="0" w:color="auto"/>
            </w:tcBorders>
          </w:tcPr>
          <w:p w14:paraId="6C903E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Воинские звания</w:t>
            </w:r>
          </w:p>
        </w:tc>
      </w:tr>
      <w:tr w:rsidR="00983732" w:rsidRPr="00A3026E" w14:paraId="7A402037" w14:textId="77777777" w:rsidTr="00EA0DA7">
        <w:trPr>
          <w:trHeight w:val="195"/>
        </w:trPr>
        <w:tc>
          <w:tcPr>
            <w:tcW w:w="3125" w:type="dxa"/>
          </w:tcPr>
          <w:p w14:paraId="19395C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 командира отделения</w:t>
            </w:r>
          </w:p>
        </w:tc>
        <w:tc>
          <w:tcPr>
            <w:tcW w:w="3669" w:type="dxa"/>
          </w:tcPr>
          <w:p w14:paraId="4890E8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Ефрейтор</w:t>
            </w:r>
          </w:p>
        </w:tc>
      </w:tr>
      <w:tr w:rsidR="00983732" w:rsidRPr="00A3026E" w14:paraId="510E2C37" w14:textId="77777777" w:rsidTr="00EA0DA7">
        <w:trPr>
          <w:trHeight w:val="195"/>
        </w:trPr>
        <w:tc>
          <w:tcPr>
            <w:tcW w:w="3125" w:type="dxa"/>
          </w:tcPr>
          <w:p w14:paraId="0920E8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 отделения</w:t>
            </w:r>
          </w:p>
        </w:tc>
        <w:tc>
          <w:tcPr>
            <w:tcW w:w="3669" w:type="dxa"/>
          </w:tcPr>
          <w:p w14:paraId="4E73F1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Младший сержант</w:t>
            </w:r>
          </w:p>
        </w:tc>
      </w:tr>
      <w:tr w:rsidR="00983732" w:rsidRPr="00A3026E" w14:paraId="42418189" w14:textId="77777777" w:rsidTr="00EA0DA7">
        <w:trPr>
          <w:trHeight w:val="195"/>
        </w:trPr>
        <w:tc>
          <w:tcPr>
            <w:tcW w:w="3125" w:type="dxa"/>
          </w:tcPr>
          <w:p w14:paraId="27C30F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 командира взвода</w:t>
            </w:r>
          </w:p>
        </w:tc>
        <w:tc>
          <w:tcPr>
            <w:tcW w:w="3669" w:type="dxa"/>
          </w:tcPr>
          <w:p w14:paraId="0129F8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Старший сержант</w:t>
            </w:r>
          </w:p>
        </w:tc>
      </w:tr>
      <w:tr w:rsidR="00983732" w:rsidRPr="00A3026E" w14:paraId="33331E6F" w14:textId="77777777" w:rsidTr="00EA0DA7">
        <w:trPr>
          <w:trHeight w:val="195"/>
        </w:trPr>
        <w:tc>
          <w:tcPr>
            <w:tcW w:w="3125" w:type="dxa"/>
            <w:tcBorders>
              <w:bottom w:val="single" w:sz="12" w:space="0" w:color="auto"/>
            </w:tcBorders>
          </w:tcPr>
          <w:p w14:paraId="661342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Старшина роты</w:t>
            </w:r>
          </w:p>
        </w:tc>
        <w:tc>
          <w:tcPr>
            <w:tcW w:w="3669" w:type="dxa"/>
            <w:tcBorders>
              <w:bottom w:val="single" w:sz="12" w:space="0" w:color="auto"/>
            </w:tcBorders>
          </w:tcPr>
          <w:p w14:paraId="0BDCDD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Старший сержант</w:t>
            </w:r>
          </w:p>
        </w:tc>
      </w:tr>
    </w:tbl>
    <w:p w14:paraId="4B2357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Соотношение между остальными должностями и воинскими званиями устанавливается штатами войсковых частей, штабов и учреждений Красной Армии.</w:t>
      </w:r>
    </w:p>
    <w:p w14:paraId="25DEA9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 Право назначения на должности и смещения с должностей (кроме случаев, предусмотренных Дисциплинарным уставом Красной Армии) принадлежит: </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3080"/>
        <w:gridCol w:w="2719"/>
        <w:gridCol w:w="3261"/>
      </w:tblGrid>
      <w:tr w:rsidR="00983732" w:rsidRPr="00A3026E" w14:paraId="4B1E0B38" w14:textId="77777777" w:rsidTr="00EA0DA7">
        <w:trPr>
          <w:trHeight w:val="195"/>
        </w:trPr>
        <w:tc>
          <w:tcPr>
            <w:tcW w:w="3080" w:type="dxa"/>
            <w:tcBorders>
              <w:top w:val="single" w:sz="12" w:space="0" w:color="auto"/>
            </w:tcBorders>
          </w:tcPr>
          <w:p w14:paraId="6A167B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Должности</w:t>
            </w:r>
          </w:p>
        </w:tc>
        <w:tc>
          <w:tcPr>
            <w:tcW w:w="2719" w:type="dxa"/>
            <w:gridSpan w:val="2"/>
            <w:tcBorders>
              <w:top w:val="single" w:sz="12" w:space="0" w:color="auto"/>
            </w:tcBorders>
          </w:tcPr>
          <w:p w14:paraId="7B8C29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Кому принадлежит право</w:t>
            </w:r>
          </w:p>
        </w:tc>
      </w:tr>
      <w:tr w:rsidR="00983732" w:rsidRPr="00A3026E" w14:paraId="24D493D3" w14:textId="77777777" w:rsidTr="00EA0DA7">
        <w:trPr>
          <w:trHeight w:val="195"/>
        </w:trPr>
        <w:tc>
          <w:tcPr>
            <w:tcW w:w="3080" w:type="dxa"/>
          </w:tcPr>
          <w:p w14:paraId="5AA14E4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719" w:type="dxa"/>
          </w:tcPr>
          <w:p w14:paraId="794468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назначать на должности</w:t>
            </w:r>
          </w:p>
        </w:tc>
        <w:tc>
          <w:tcPr>
            <w:tcW w:w="3261" w:type="dxa"/>
          </w:tcPr>
          <w:p w14:paraId="506098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смещать на низшие должности</w:t>
            </w:r>
          </w:p>
        </w:tc>
      </w:tr>
      <w:tr w:rsidR="00983732" w:rsidRPr="00A3026E" w14:paraId="0A228D1A" w14:textId="77777777" w:rsidTr="00EA0DA7">
        <w:trPr>
          <w:trHeight w:val="195"/>
        </w:trPr>
        <w:tc>
          <w:tcPr>
            <w:tcW w:w="3080" w:type="dxa"/>
          </w:tcPr>
          <w:p w14:paraId="0A37DB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 командира отделения (и ему равных)</w:t>
            </w:r>
          </w:p>
        </w:tc>
        <w:tc>
          <w:tcPr>
            <w:tcW w:w="2719" w:type="dxa"/>
          </w:tcPr>
          <w:p w14:paraId="1BDC1E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Командиру части</w:t>
            </w:r>
          </w:p>
        </w:tc>
        <w:tc>
          <w:tcPr>
            <w:tcW w:w="3261" w:type="dxa"/>
          </w:tcPr>
          <w:p w14:paraId="667AA5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Командиру части</w:t>
            </w:r>
          </w:p>
        </w:tc>
      </w:tr>
      <w:tr w:rsidR="00983732" w:rsidRPr="00A3026E" w14:paraId="0EE08A48" w14:textId="77777777" w:rsidTr="00EA0DA7">
        <w:trPr>
          <w:trHeight w:val="195"/>
        </w:trPr>
        <w:tc>
          <w:tcPr>
            <w:tcW w:w="3080" w:type="dxa"/>
          </w:tcPr>
          <w:p w14:paraId="6A8BD3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Командира отделения</w:t>
            </w:r>
          </w:p>
        </w:tc>
        <w:tc>
          <w:tcPr>
            <w:tcW w:w="2719" w:type="dxa"/>
          </w:tcPr>
          <w:p w14:paraId="1148F9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Командиру части</w:t>
            </w:r>
          </w:p>
        </w:tc>
        <w:tc>
          <w:tcPr>
            <w:tcW w:w="3261" w:type="dxa"/>
          </w:tcPr>
          <w:p w14:paraId="378BF2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Командиру части</w:t>
            </w:r>
          </w:p>
        </w:tc>
      </w:tr>
      <w:tr w:rsidR="00983732" w:rsidRPr="00A3026E" w14:paraId="53B81CD8" w14:textId="77777777" w:rsidTr="00EA0DA7">
        <w:trPr>
          <w:trHeight w:val="195"/>
        </w:trPr>
        <w:tc>
          <w:tcPr>
            <w:tcW w:w="3080" w:type="dxa"/>
          </w:tcPr>
          <w:p w14:paraId="5725AC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Помощника командира взвода (и ему равных)</w:t>
            </w:r>
          </w:p>
        </w:tc>
        <w:tc>
          <w:tcPr>
            <w:tcW w:w="2719" w:type="dxa"/>
          </w:tcPr>
          <w:p w14:paraId="5B5B25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Командиру дивизии (ему равным)</w:t>
            </w:r>
          </w:p>
        </w:tc>
        <w:tc>
          <w:tcPr>
            <w:tcW w:w="3261" w:type="dxa"/>
          </w:tcPr>
          <w:p w14:paraId="52AD0C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Командиру дивизии (ему равным)</w:t>
            </w:r>
          </w:p>
        </w:tc>
      </w:tr>
      <w:tr w:rsidR="00983732" w:rsidRPr="00A3026E" w14:paraId="18E11F65" w14:textId="77777777" w:rsidTr="00EA0DA7">
        <w:trPr>
          <w:trHeight w:val="195"/>
        </w:trPr>
        <w:tc>
          <w:tcPr>
            <w:tcW w:w="3080" w:type="dxa"/>
            <w:tcBorders>
              <w:bottom w:val="single" w:sz="12" w:space="0" w:color="auto"/>
            </w:tcBorders>
          </w:tcPr>
          <w:p w14:paraId="59375A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Старшины роты (ему равных)</w:t>
            </w:r>
          </w:p>
        </w:tc>
        <w:tc>
          <w:tcPr>
            <w:tcW w:w="2719" w:type="dxa"/>
            <w:tcBorders>
              <w:bottom w:val="single" w:sz="12" w:space="0" w:color="auto"/>
            </w:tcBorders>
          </w:tcPr>
          <w:p w14:paraId="3BA2EC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Командиру корпуса (ему равным)</w:t>
            </w:r>
          </w:p>
        </w:tc>
        <w:tc>
          <w:tcPr>
            <w:tcW w:w="3261" w:type="dxa"/>
            <w:tcBorders>
              <w:bottom w:val="single" w:sz="12" w:space="0" w:color="auto"/>
            </w:tcBorders>
          </w:tcPr>
          <w:p w14:paraId="746319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Командиру корпуса (ему равным)</w:t>
            </w:r>
          </w:p>
        </w:tc>
      </w:tr>
    </w:tbl>
    <w:p w14:paraId="0F7E24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Смещение лиц младшего начальствующего состава на низшие должности производится после установления несоответствия их занимаемой должности.</w:t>
      </w:r>
    </w:p>
    <w:p w14:paraId="754784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Снижение и отстранение от должностей младшего начальствующего состава за совершенные проступки по службе или нарушения общественного порядка производятся согласно Дисциплинарному уставу Красной Армии.</w:t>
      </w:r>
    </w:p>
    <w:p w14:paraId="53C21A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Глава IV. Об отпусках</w:t>
      </w:r>
    </w:p>
    <w:p w14:paraId="58754F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Лицам младшего начальствующего состава третьего года действительной службы разрешается предоставлять до десяти дней краткосрочный отпуск (не считая времени на проезд к месту отпуска и обратно) в виде поощрения за отличную службу.</w:t>
      </w:r>
    </w:p>
    <w:p w14:paraId="278839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Описание петлиц для младшего начальствующего состава Красной Армии</w:t>
      </w:r>
    </w:p>
    <w:p w14:paraId="300073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Цвет петлиц по роду войск или службы. Петлицы имеют: суконный кант, установленный для соответствующего рода войск, на гимнастерочных петлицах посередине красный продольный просвет шириною 0,5 см. Петлицы шинельные посередине имеют поперечный красный просвет шириною 1 см. На петлицах для старшин параллельно канту имеется золотой галун шириною 0,3 см (двухпроцентного золочения и серебрения).</w:t>
      </w:r>
    </w:p>
    <w:p w14:paraId="1C6254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Размеры петлиц в пришитом виде: а) шинельные — длина с угла на угол 11 см, ширина с угла на угол 8.5 см, длина окантованной стороны 6,5 см, ширина окантовки петлиц 0,25 см.</w:t>
      </w:r>
    </w:p>
    <w:p w14:paraId="035CAC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гимнастерочные: длина 10 см и ширина вместе с окантовкой 3,25 см.</w:t>
      </w:r>
    </w:p>
    <w:p w14:paraId="155CC9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петлицах носится эмблема, присвоенная по роду войск, и в верхнем углу петлицы треугольник из желтого металла.</w:t>
      </w:r>
    </w:p>
    <w:p w14:paraId="2399B6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Младший начальствующий состав носит присвоенные ему знаки различия:</w:t>
      </w:r>
    </w:p>
    <w:p w14:paraId="5AED42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старшина — четыре эмалевых треугольника,</w:t>
      </w:r>
    </w:p>
    <w:p w14:paraId="5B1602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старший сержант — три эмалевых треугольниа,</w:t>
      </w:r>
    </w:p>
    <w:p w14:paraId="767C29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сержант — два эмалевых треугольника,</w:t>
      </w:r>
    </w:p>
    <w:p w14:paraId="14456C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младший сержант — один эмалевый треугольник,</w:t>
      </w:r>
    </w:p>
    <w:p w14:paraId="46550F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ефрейтор — нет.</w:t>
      </w:r>
    </w:p>
    <w:p w14:paraId="4845A6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Красноармейцы с высшим и законченным средним образованием во время обучения в учебных ротах (батареях, эскадронах) носят петлицы, установленные приказом НКО СССР 1940 г. № 87 для курсантов полковых школ.</w:t>
      </w:r>
    </w:p>
    <w:p w14:paraId="3316FE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сдачи испытаний на звание младшего начсостава носят петлицы, установленные для младшего начальствующего состава.</w:t>
      </w:r>
    </w:p>
    <w:p w14:paraId="1424D6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Главный интендант Красной Армии генерал-лейтенант интендантской службы А. Хрулев (10601).</w:t>
      </w:r>
    </w:p>
    <w:p w14:paraId="6439A95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22F190"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3E99CB3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D152B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года состоялась десятая встреча Уманского с Уэллесом, на которой больше никто не присутствовал ни с советской, ни с американской стороны. Уэллес констатировал достижение по ряду вопросов в резуль</w:t>
      </w:r>
      <w:r w:rsidRPr="00A3026E">
        <w:rPr>
          <w:rFonts w:ascii="Times New Roman" w:hAnsi="Times New Roman"/>
          <w:color w:val="000000" w:themeColor="text1"/>
          <w:sz w:val="16"/>
          <w:szCs w:val="16"/>
        </w:rPr>
        <w:softHyphen/>
        <w:t>тате хода переговоров, но Уманский не согласился с этой формулировкой. «Я возразил ему: соглашение по четвертому пункту о задержанных станках и будущих заказах я пока не могу считать достигнутым... Я напомнил Уэл-лесу, что... имеется предусмотренный проектом Микояна обмен нотами о недискриминационном режиме, включая отмену морального эмбарго, и заявил, что... продолжаю считать вопрос о станках нерешенным», - отмечал Уманский в телеграмме Молотову от 1.11.1940 года. По данным Уманского, «Уэллес обещал принять все меры к ускорению решения по всем спискам станков, в отношении же морального эмбарго снова заявил, что оно будет отменено по подписании обмена нотами, и по своей инициативе добавил, что это автоматически будет означать и разрешение американского пра</w:t>
      </w:r>
      <w:r w:rsidRPr="00A3026E">
        <w:rPr>
          <w:rFonts w:ascii="Times New Roman" w:hAnsi="Times New Roman"/>
          <w:color w:val="000000" w:themeColor="text1"/>
          <w:sz w:val="16"/>
          <w:szCs w:val="16"/>
        </w:rPr>
        <w:softHyphen/>
        <w:t>вительства на заказ катализаторных крекингов». Важная деталь: Уэллес за</w:t>
      </w:r>
      <w:r w:rsidRPr="00A3026E">
        <w:rPr>
          <w:rFonts w:ascii="Times New Roman" w:hAnsi="Times New Roman"/>
          <w:color w:val="000000" w:themeColor="text1"/>
          <w:sz w:val="16"/>
          <w:szCs w:val="16"/>
        </w:rPr>
        <w:softHyphen/>
        <w:t>явил Уманскому: «В наших переговорах мы настолько были поглощены ликвидацией накопившихся трудностей, что не обменивались мнениями о происходящих и предстоящих событиях». Этот факт говорит о том, что в центр ведущихся переговоров стали выходить, помимо разрешения прак</w:t>
      </w:r>
      <w:r w:rsidRPr="00A3026E">
        <w:rPr>
          <w:rFonts w:ascii="Times New Roman" w:hAnsi="Times New Roman"/>
          <w:color w:val="000000" w:themeColor="text1"/>
          <w:sz w:val="16"/>
          <w:szCs w:val="16"/>
        </w:rPr>
        <w:softHyphen/>
        <w:t>тических вопросов советско-американских связей и прежде всего технико-экономических контактов, также и проблемы обсуждения международной ситуации в целом и частные внешнеполитические вопросы.</w:t>
      </w:r>
    </w:p>
    <w:p w14:paraId="2036CF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целом же, по сравнению с предшествующей встречей, десятая не вне</w:t>
      </w:r>
      <w:r w:rsidRPr="00A3026E">
        <w:rPr>
          <w:rFonts w:ascii="Times New Roman" w:hAnsi="Times New Roman"/>
          <w:color w:val="000000" w:themeColor="text1"/>
          <w:sz w:val="16"/>
          <w:szCs w:val="16"/>
        </w:rPr>
        <w:softHyphen/>
        <w:t>сла ничего существенно нового ни в проблему морального эмбарго, ни в способы разрешения проблем экономических связей СССР с США.</w:t>
      </w:r>
    </w:p>
    <w:p w14:paraId="71C219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Интересен подготовленный Отделом европейских дел Меморандум от 26 ноября, где рассмотрено текущее состояние переговоров с советским послом. В нем отмечается существующая «проблема станков», а также указы</w:t>
      </w:r>
      <w:r w:rsidRPr="00A3026E">
        <w:rPr>
          <w:rFonts w:ascii="Times New Roman" w:hAnsi="Times New Roman"/>
          <w:color w:val="000000" w:themeColor="text1"/>
          <w:sz w:val="16"/>
          <w:szCs w:val="16"/>
        </w:rPr>
        <w:softHyphen/>
        <w:t>вается, что посол еще раз подчеркнул необходимость отмены морального эмбарго и в связи с этим потребовал, «чтобы мы дали гарантии, что позво</w:t>
      </w:r>
      <w:r w:rsidRPr="00A3026E">
        <w:rPr>
          <w:rFonts w:ascii="Times New Roman" w:hAnsi="Times New Roman"/>
          <w:color w:val="000000" w:themeColor="text1"/>
          <w:sz w:val="16"/>
          <w:szCs w:val="16"/>
        </w:rPr>
        <w:softHyphen/>
        <w:t>лим компании Келлог продать советскому правительству оборудование для крекинга бензина стоимостью примерно в 12,5 миллионов долларов».</w:t>
      </w:r>
    </w:p>
    <w:p w14:paraId="3E5C9E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28.11.1940 года состоялась одиннадцатая встреча К.А. Уманского с С. Уэллесом, на которой кроме них никто не присутствовал. Она состояла из четырех частей, причем первым из обсуждавшихся был вопрос о стан</w:t>
      </w:r>
      <w:r w:rsidRPr="00A3026E">
        <w:rPr>
          <w:rFonts w:ascii="Times New Roman" w:hAnsi="Times New Roman"/>
          <w:color w:val="000000" w:themeColor="text1"/>
          <w:sz w:val="16"/>
          <w:szCs w:val="16"/>
        </w:rPr>
        <w:softHyphen/>
        <w:t>ках и машинах. Уманский выразил недовольство результатами работы ко</w:t>
      </w:r>
      <w:r w:rsidRPr="00A3026E">
        <w:rPr>
          <w:rFonts w:ascii="Times New Roman" w:hAnsi="Times New Roman"/>
          <w:color w:val="000000" w:themeColor="text1"/>
          <w:sz w:val="16"/>
          <w:szCs w:val="16"/>
        </w:rPr>
        <w:softHyphen/>
        <w:t>миссии Максуэлла, которая должна была пересмотреть запрет на вывоз материалов и оборудования, заказанных СССР: «Я в решительной форме настаивал на освобождении всего оборудования в порту, аннулировании ордеров на реквизицию и радикальном пересмотре списка запретов на оборудование, находящееся в производстве, в духе предложений советс</w:t>
      </w:r>
      <w:r w:rsidRPr="00A3026E">
        <w:rPr>
          <w:rFonts w:ascii="Times New Roman" w:hAnsi="Times New Roman"/>
          <w:color w:val="000000" w:themeColor="text1"/>
          <w:sz w:val="16"/>
          <w:szCs w:val="16"/>
        </w:rPr>
        <w:softHyphen/>
        <w:t>кого правительства, переданных мною Уэллесу 7 октября. Уэллес отве</w:t>
      </w:r>
      <w:r w:rsidRPr="00A3026E">
        <w:rPr>
          <w:rFonts w:ascii="Times New Roman" w:hAnsi="Times New Roman"/>
          <w:color w:val="000000" w:themeColor="text1"/>
          <w:sz w:val="16"/>
          <w:szCs w:val="16"/>
        </w:rPr>
        <w:softHyphen/>
        <w:t>тил, что поставит перед полковником Максуэллом вопрос о пересмотре принятых решений, сообщит мне на днях результаты. Он-де сам не ожи</w:t>
      </w:r>
      <w:r w:rsidRPr="00A3026E">
        <w:rPr>
          <w:rFonts w:ascii="Times New Roman" w:hAnsi="Times New Roman"/>
          <w:color w:val="000000" w:themeColor="text1"/>
          <w:sz w:val="16"/>
          <w:szCs w:val="16"/>
        </w:rPr>
        <w:softHyphen/>
        <w:t>дал, что комиссия не сможет пойти нам в большей степени навстречу», -сообщал К.А. Уманский в телеграмме В.М. Молотову от 28.11.1940 года. Он приводил важные факты о режиме работы советских авиамоторных специалистов на американском авиамоторном заводе. «Как пример про</w:t>
      </w:r>
      <w:r w:rsidRPr="00A3026E">
        <w:rPr>
          <w:rFonts w:ascii="Times New Roman" w:hAnsi="Times New Roman"/>
          <w:color w:val="000000" w:themeColor="text1"/>
          <w:sz w:val="16"/>
          <w:szCs w:val="16"/>
        </w:rPr>
        <w:softHyphen/>
        <w:t>должающейся дискриминации против наших граждан, я вынужден снова назвать вопрос об условии работы членов комиссии завода имени Стали</w:t>
      </w:r>
      <w:r w:rsidRPr="00A3026E">
        <w:rPr>
          <w:rFonts w:ascii="Times New Roman" w:hAnsi="Times New Roman"/>
          <w:color w:val="000000" w:themeColor="text1"/>
          <w:sz w:val="16"/>
          <w:szCs w:val="16"/>
        </w:rPr>
        <w:softHyphen/>
        <w:t>на на заводе Райта; несмотря на обещание его, Уэллеса, о допуске к озна</w:t>
      </w:r>
      <w:r w:rsidRPr="00A3026E">
        <w:rPr>
          <w:rFonts w:ascii="Times New Roman" w:hAnsi="Times New Roman"/>
          <w:color w:val="000000" w:themeColor="text1"/>
          <w:sz w:val="16"/>
          <w:szCs w:val="16"/>
        </w:rPr>
        <w:softHyphen/>
        <w:t>комлению с технологическим процессом, за три месяца в результате этого обещания было проведено всего четыре экскурсии в цеха для семи членов комиссии со всякими ограничениями, отказано в устройстве четырех дру</w:t>
      </w:r>
      <w:r w:rsidRPr="00A3026E">
        <w:rPr>
          <w:rFonts w:ascii="Times New Roman" w:hAnsi="Times New Roman"/>
          <w:color w:val="000000" w:themeColor="text1"/>
          <w:sz w:val="16"/>
          <w:szCs w:val="16"/>
        </w:rPr>
        <w:softHyphen/>
        <w:t>гих экскурсий, между тем как договор о техпомощи предусматривает не осмотры, а текущее ознакомление с технологическим процессом. Поэто</w:t>
      </w:r>
      <w:r w:rsidRPr="00A3026E">
        <w:rPr>
          <w:rFonts w:ascii="Times New Roman" w:hAnsi="Times New Roman"/>
          <w:color w:val="000000" w:themeColor="text1"/>
          <w:sz w:val="16"/>
          <w:szCs w:val="16"/>
        </w:rPr>
        <w:softHyphen/>
        <w:t>му я вынужден снова считать вопрос о режиме комиссии на заводе Райта неурегулированным. Как доказательство, я передал Уэллесу официально полученную нашей комиссией копию письма представителя морской раз</w:t>
      </w:r>
      <w:r w:rsidRPr="00A3026E">
        <w:rPr>
          <w:rFonts w:ascii="Times New Roman" w:hAnsi="Times New Roman"/>
          <w:color w:val="000000" w:themeColor="text1"/>
          <w:sz w:val="16"/>
          <w:szCs w:val="16"/>
        </w:rPr>
        <w:softHyphen/>
        <w:t>ведки при заводе, в которой последний, игнорируя договор о техничес</w:t>
      </w:r>
      <w:r w:rsidRPr="00A3026E">
        <w:rPr>
          <w:rFonts w:ascii="Times New Roman" w:hAnsi="Times New Roman"/>
          <w:color w:val="000000" w:themeColor="text1"/>
          <w:sz w:val="16"/>
          <w:szCs w:val="16"/>
        </w:rPr>
        <w:softHyphen/>
        <w:t>кой помощи, заявляет директору завода, что американское правительство не может позволить использовать завод для целей обучения». Уэллес со</w:t>
      </w:r>
      <w:r w:rsidRPr="00A3026E">
        <w:rPr>
          <w:rFonts w:ascii="Times New Roman" w:hAnsi="Times New Roman"/>
          <w:color w:val="000000" w:themeColor="text1"/>
          <w:sz w:val="16"/>
          <w:szCs w:val="16"/>
        </w:rPr>
        <w:softHyphen/>
        <w:t>гласился с этим и «обещал добиться у морского министерства улучшения режима комиссии на заводе Райта»</w:t>
      </w:r>
      <w:r w:rsidRPr="00A3026E">
        <w:rPr>
          <w:rFonts w:ascii="Times New Roman" w:hAnsi="Times New Roman"/>
          <w:color w:val="000000" w:themeColor="text1"/>
          <w:sz w:val="16"/>
          <w:szCs w:val="16"/>
          <w:vertAlign w:val="superscript"/>
        </w:rPr>
        <w:t>115</w:t>
      </w:r>
      <w:r w:rsidRPr="00A3026E">
        <w:rPr>
          <w:rFonts w:ascii="Times New Roman" w:hAnsi="Times New Roman"/>
          <w:color w:val="000000" w:themeColor="text1"/>
          <w:sz w:val="16"/>
          <w:szCs w:val="16"/>
        </w:rPr>
        <w:t>. Таким образом, итог одиннадцатой встречи не содержал каких-либо положительных тенденций в советско-американских экономических контактах.</w:t>
      </w:r>
    </w:p>
    <w:p w14:paraId="0234D8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«16 декабря состоялась 12-я встреча с Уэллесом, длившаяся 2 часа», - со</w:t>
      </w:r>
      <w:r w:rsidRPr="00A3026E">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A3026E">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A3026E">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A3026E">
        <w:rPr>
          <w:rFonts w:ascii="Times New Roman" w:hAnsi="Times New Roman"/>
          <w:color w:val="000000" w:themeColor="text1"/>
          <w:sz w:val="16"/>
          <w:szCs w:val="16"/>
        </w:rPr>
        <w:softHyphen/>
        <w:t>ны США. В пересмотре списка участвовали представители промышленнос</w:t>
      </w:r>
      <w:r w:rsidRPr="00A3026E">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A3026E">
        <w:rPr>
          <w:rFonts w:ascii="Times New Roman" w:hAnsi="Times New Roman"/>
          <w:color w:val="000000" w:themeColor="text1"/>
          <w:sz w:val="16"/>
          <w:szCs w:val="16"/>
        </w:rPr>
        <w:softHyphen/>
        <w:t>ти, авиационной, морской и артиллерийской, в этом оборудовании, аме</w:t>
      </w:r>
      <w:r w:rsidRPr="00A3026E">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A3026E">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A3026E">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A3026E">
        <w:rPr>
          <w:rFonts w:ascii="Times New Roman" w:hAnsi="Times New Roman"/>
          <w:color w:val="000000" w:themeColor="text1"/>
          <w:sz w:val="16"/>
          <w:szCs w:val="16"/>
        </w:rPr>
        <w:softHyphen/>
        <w:t>ходящихся в производстве, американское правительство сочло возможным лицензировать на экспорт советских заказов на сумму 495 тысяч долларов. К.А. Уманский ответил, что передаст эту информацию советскому прави</w:t>
      </w:r>
      <w:r w:rsidRPr="00A3026E">
        <w:rPr>
          <w:rFonts w:ascii="Times New Roman" w:hAnsi="Times New Roman"/>
          <w:color w:val="000000" w:themeColor="text1"/>
          <w:sz w:val="16"/>
          <w:szCs w:val="16"/>
        </w:rPr>
        <w:softHyphen/>
        <w:t>тельству. Он отметил: «Однако, при этой передаче я должен буду разъяснить своему правительству, что в ценностном выражении американское прави</w:t>
      </w:r>
      <w:r w:rsidRPr="00A3026E">
        <w:rPr>
          <w:rFonts w:ascii="Times New Roman" w:hAnsi="Times New Roman"/>
          <w:color w:val="000000" w:themeColor="text1"/>
          <w:sz w:val="16"/>
          <w:szCs w:val="16"/>
        </w:rPr>
        <w:softHyphen/>
        <w:t>тельство освобождает лишь около 60% принятого и в основном отгружен</w:t>
      </w:r>
      <w:r w:rsidRPr="00A3026E">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A3026E">
        <w:rPr>
          <w:rFonts w:ascii="Times New Roman" w:hAnsi="Times New Roman"/>
          <w:color w:val="000000" w:themeColor="text1"/>
          <w:sz w:val="16"/>
          <w:szCs w:val="16"/>
        </w:rPr>
        <w:softHyphen/>
        <w:t>ких заказов, находящихся в производстве, К.А. Уманский подчеркнул: «Кон</w:t>
      </w:r>
      <w:r w:rsidRPr="00A3026E">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A3026E">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A3026E">
        <w:rPr>
          <w:rFonts w:ascii="Times New Roman" w:hAnsi="Times New Roman"/>
          <w:color w:val="000000" w:themeColor="text1"/>
          <w:sz w:val="16"/>
          <w:szCs w:val="16"/>
        </w:rPr>
        <w:softHyphen/>
        <w:t>листы видят оборонный характер освобожденных станков и машин, вклю</w:t>
      </w:r>
      <w:r w:rsidRPr="00A3026E">
        <w:rPr>
          <w:rFonts w:ascii="Times New Roman" w:hAnsi="Times New Roman"/>
          <w:color w:val="000000" w:themeColor="text1"/>
          <w:sz w:val="16"/>
          <w:szCs w:val="16"/>
        </w:rPr>
        <w:softHyphen/>
        <w:t>чающих тяжелые станки, снарядные прессы, авиамоторы и т.д., безуслов</w:t>
      </w:r>
      <w:r w:rsidRPr="00A3026E">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A3026E">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A3026E">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4051BC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A3026E">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A3026E">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A3026E">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A3026E">
        <w:rPr>
          <w:rFonts w:ascii="Times New Roman" w:hAnsi="Times New Roman"/>
          <w:color w:val="000000" w:themeColor="text1"/>
          <w:sz w:val="16"/>
          <w:szCs w:val="16"/>
        </w:rPr>
        <w:softHyphen/>
        <w:t>цией определенного числа станков и машин за компенсацию; обязательство американского правительства в форме обмена нотами рассматривать все со</w:t>
      </w:r>
      <w:r w:rsidRPr="00A3026E">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A3026E">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A3026E">
        <w:rPr>
          <w:rFonts w:ascii="Times New Roman" w:hAnsi="Times New Roman"/>
          <w:color w:val="000000" w:themeColor="text1"/>
          <w:sz w:val="16"/>
          <w:szCs w:val="16"/>
        </w:rPr>
        <w:softHyphen/>
        <w:t>тво не может дать нам ни гарантии неаннулирования выдаваемых лицензий, ни автоматического возобновления договоров на запрещаемое к вывозу обо</w:t>
      </w:r>
      <w:r w:rsidRPr="00A3026E">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A3026E">
        <w:rPr>
          <w:rFonts w:ascii="Times New Roman" w:hAnsi="Times New Roman"/>
          <w:color w:val="000000" w:themeColor="text1"/>
          <w:sz w:val="16"/>
          <w:szCs w:val="16"/>
        </w:rPr>
        <w:softHyphen/>
        <w:t>роительной и машиностроительной промышленности это исключают».</w:t>
      </w:r>
    </w:p>
    <w:p w14:paraId="1AA8EB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Пятый вопрос встречи касался поездок в СССР американских специалис</w:t>
      </w:r>
      <w:r w:rsidRPr="00A3026E">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A3026E">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A3026E">
        <w:rPr>
          <w:rFonts w:ascii="Times New Roman" w:hAnsi="Times New Roman"/>
          <w:color w:val="000000" w:themeColor="text1"/>
          <w:sz w:val="16"/>
          <w:szCs w:val="16"/>
        </w:rPr>
        <w:softHyphen/>
        <w:t>га будут рассмотрены», на что К.А. Уманский, комментируя в телеграмме его слова, отметил: «Это является ответом с опозданием на четыре с половиной месяца на поднятый мной при второй встрече</w:t>
      </w:r>
      <w:r w:rsidRPr="00A3026E">
        <w:rPr>
          <w:rFonts w:ascii="Times New Roman" w:hAnsi="Times New Roman"/>
          <w:color w:val="000000" w:themeColor="text1"/>
          <w:sz w:val="16"/>
          <w:szCs w:val="16"/>
          <w:vertAlign w:val="superscript"/>
        </w:rPr>
        <w:t>118</w:t>
      </w:r>
      <w:r w:rsidRPr="00A3026E">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5D6788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A3026E">
        <w:rPr>
          <w:rFonts w:ascii="Times New Roman" w:hAnsi="Times New Roman"/>
          <w:color w:val="000000" w:themeColor="text1"/>
          <w:sz w:val="16"/>
          <w:szCs w:val="16"/>
          <w:vertAlign w:val="superscript"/>
        </w:rPr>
        <w:t>119</w:t>
      </w:r>
      <w:r w:rsidRPr="00A3026E">
        <w:rPr>
          <w:rFonts w:ascii="Times New Roman" w:hAnsi="Times New Roman"/>
          <w:color w:val="000000" w:themeColor="text1"/>
          <w:sz w:val="16"/>
          <w:szCs w:val="16"/>
        </w:rPr>
        <w:t>.</w:t>
      </w:r>
    </w:p>
    <w:p w14:paraId="67EE3E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Телеграмма Уманского от 17.12.1940 года, вероятно, является самым важ</w:t>
      </w:r>
      <w:r w:rsidRPr="00A3026E">
        <w:rPr>
          <w:rFonts w:ascii="Times New Roman" w:hAnsi="Times New Roman"/>
          <w:color w:val="000000" w:themeColor="text1"/>
          <w:sz w:val="16"/>
          <w:szCs w:val="16"/>
        </w:rPr>
        <w:softHyphen/>
        <w:t>ным документом, освещающим переговоры советского полпреда с замес</w:t>
      </w:r>
      <w:r w:rsidRPr="00A3026E">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A3026E">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A3026E">
        <w:rPr>
          <w:rFonts w:ascii="Times New Roman" w:hAnsi="Times New Roman"/>
          <w:color w:val="000000" w:themeColor="text1"/>
          <w:sz w:val="16"/>
          <w:szCs w:val="16"/>
        </w:rPr>
        <w:softHyphen/>
        <w:t>ных советско-американских переговоров, проводившихся в 1940 году в пе</w:t>
      </w:r>
      <w:r w:rsidRPr="00A3026E">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A3026E">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A3026E">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39D20E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Американская сторона отразила ход переговоров встречи в Меморанду</w:t>
      </w:r>
      <w:r w:rsidRPr="00A3026E">
        <w:rPr>
          <w:rFonts w:ascii="Times New Roman" w:hAnsi="Times New Roman"/>
          <w:color w:val="000000" w:themeColor="text1"/>
          <w:sz w:val="16"/>
          <w:szCs w:val="16"/>
        </w:rPr>
        <w:softHyphen/>
        <w:t>ме о переговорах, составленном Гендерсоном 16 декабря 1940 года. С аме</w:t>
      </w:r>
      <w:r w:rsidRPr="00A3026E">
        <w:rPr>
          <w:rFonts w:ascii="Times New Roman" w:hAnsi="Times New Roman"/>
          <w:color w:val="000000" w:themeColor="text1"/>
          <w:sz w:val="16"/>
          <w:szCs w:val="16"/>
        </w:rPr>
        <w:softHyphen/>
        <w:t>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A3026E">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A3026E">
        <w:rPr>
          <w:rFonts w:ascii="Times New Roman" w:hAnsi="Times New Roman"/>
          <w:color w:val="000000" w:themeColor="text1"/>
          <w:sz w:val="16"/>
          <w:szCs w:val="16"/>
        </w:rPr>
        <w:softHyphen/>
        <w:t>ки. Обсуждение проблемы морального эмбарго текстуально почти до</w:t>
      </w:r>
      <w:r w:rsidRPr="00A3026E">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A3026E">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4A7938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A3026E">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A3026E">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A3026E">
        <w:rPr>
          <w:rFonts w:ascii="Times New Roman" w:hAnsi="Times New Roman"/>
          <w:color w:val="000000" w:themeColor="text1"/>
          <w:sz w:val="16"/>
          <w:szCs w:val="16"/>
        </w:rPr>
        <w:softHyphen/>
        <w:t>лучить часть заказанного в США промышленного оборудования. Более того, не было никаких гарантий в связи с целым комплексом причин, что вновь за</w:t>
      </w:r>
      <w:r w:rsidRPr="00A3026E">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277336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A3026E">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0A0FDD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оборудованию, находящемуся в производстве, можно сказать следу</w:t>
      </w:r>
      <w:r w:rsidRPr="00A3026E">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A3026E">
        <w:rPr>
          <w:rFonts w:ascii="Times New Roman" w:hAnsi="Times New Roman"/>
          <w:color w:val="000000" w:themeColor="text1"/>
          <w:sz w:val="16"/>
          <w:szCs w:val="16"/>
        </w:rPr>
        <w:softHyphen/>
        <w:t>ветственно, 87,5 % не могло быть получено СССР.</w:t>
      </w:r>
    </w:p>
    <w:p w14:paraId="1DBE91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32F1A8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поводу режима комиссии НКАПа на заводе Райта: по первую полови</w:t>
      </w:r>
      <w:r w:rsidRPr="00A3026E">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A3026E">
        <w:rPr>
          <w:rFonts w:ascii="Times New Roman" w:hAnsi="Times New Roman"/>
          <w:color w:val="000000" w:themeColor="text1"/>
          <w:sz w:val="16"/>
          <w:szCs w:val="16"/>
        </w:rPr>
        <w:softHyphen/>
        <w:t>ты комиссии американская сторона не сообщила.</w:t>
      </w:r>
    </w:p>
    <w:p w14:paraId="7BE03A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A3026E">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643607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A3026E">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A3026E">
        <w:rPr>
          <w:rFonts w:ascii="Times New Roman" w:hAnsi="Times New Roman"/>
          <w:color w:val="000000" w:themeColor="text1"/>
          <w:sz w:val="16"/>
          <w:szCs w:val="16"/>
        </w:rPr>
        <w:softHyphen/>
        <w:t>нии СССР как в экономической, так и в политической области, и послед</w:t>
      </w:r>
      <w:r w:rsidRPr="00A3026E">
        <w:rPr>
          <w:rFonts w:ascii="Times New Roman" w:hAnsi="Times New Roman"/>
          <w:color w:val="000000" w:themeColor="text1"/>
          <w:sz w:val="16"/>
          <w:szCs w:val="16"/>
        </w:rPr>
        <w:softHyphen/>
        <w:t>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конста</w:t>
      </w:r>
      <w:r w:rsidRPr="00A3026E">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07BD6D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915741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17144F0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128BF3A"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1 ноября </w:t>
      </w:r>
      <w:r w:rsidRPr="00A3026E">
        <w:rPr>
          <w:rFonts w:ascii="Times New Roman" w:hAnsi="Times New Roman"/>
          <w:color w:val="000000" w:themeColor="text1"/>
          <w:sz w:val="16"/>
          <w:szCs w:val="16"/>
        </w:rPr>
        <w:t>в 1940 году состоялся первый полет поплавкового патрульного бомбардировщика-торпедоносца «N-3PB» (на озере Эльсинор в Калифорнии). «N-3PN» стал первым серийным самолетом, разработанным фирмой «Northrop Aircraft Inc.», и самым быстрым военным морским самолетом того времени (14817).</w:t>
      </w:r>
    </w:p>
    <w:p w14:paraId="133CB4F8" w14:textId="77777777" w:rsidR="00616643" w:rsidRPr="00A3026E" w:rsidRDefault="00616643" w:rsidP="00A3026E">
      <w:pPr>
        <w:spacing w:after="0" w:line="240" w:lineRule="auto"/>
        <w:jc w:val="both"/>
        <w:rPr>
          <w:rFonts w:ascii="Times New Roman" w:hAnsi="Times New Roman"/>
          <w:color w:val="000000" w:themeColor="text1"/>
          <w:sz w:val="16"/>
          <w:szCs w:val="16"/>
        </w:rPr>
      </w:pPr>
    </w:p>
    <w:p w14:paraId="1CC90B8A" w14:textId="77777777" w:rsidR="0029647E" w:rsidRPr="00A3026E" w:rsidRDefault="0029647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 xml:space="preserve">1 ноября 1940 выполнил первый полет Нортроп Н-3ПБ (20795). </w:t>
      </w:r>
    </w:p>
    <w:p w14:paraId="67CC6E18" w14:textId="77777777" w:rsidR="0029647E" w:rsidRPr="00A3026E" w:rsidRDefault="0029647E" w:rsidP="00A3026E">
      <w:pPr>
        <w:spacing w:after="0" w:line="240" w:lineRule="auto"/>
        <w:jc w:val="both"/>
        <w:rPr>
          <w:rFonts w:ascii="Times New Roman" w:hAnsi="Times New Roman"/>
          <w:color w:val="0070C0"/>
          <w:sz w:val="16"/>
          <w:szCs w:val="16"/>
        </w:rPr>
      </w:pPr>
    </w:p>
    <w:p w14:paraId="28A87B11" w14:textId="77777777" w:rsidR="0029647E" w:rsidRPr="00A3026E" w:rsidRDefault="0029647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ноября 1940 Состоялся первый полёт поплавкового патрульного бомбардировщика-торпедоносца N-3PB (на озере Эльсинор в Калифорнии). N-3PN стал первым серийным самолётом, разработанным фирмой Northrop Aircraft Inc., и самым быстрым военным морским самолётом того времени (22319).</w:t>
      </w:r>
    </w:p>
    <w:p w14:paraId="628607AD" w14:textId="77777777" w:rsidR="0029647E" w:rsidRPr="00A3026E" w:rsidRDefault="0029647E" w:rsidP="00A3026E">
      <w:pPr>
        <w:spacing w:after="0" w:line="240" w:lineRule="auto"/>
        <w:jc w:val="both"/>
        <w:rPr>
          <w:rFonts w:ascii="Times New Roman" w:hAnsi="Times New Roman"/>
          <w:color w:val="0070C0"/>
          <w:sz w:val="16"/>
          <w:szCs w:val="16"/>
        </w:rPr>
      </w:pPr>
    </w:p>
    <w:p w14:paraId="1AF737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английская армия высадилась на Крите (3186).</w:t>
      </w:r>
    </w:p>
    <w:p w14:paraId="191D0C6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A720B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итальянцы бомбили Афины и Салоники в Греции (2244,8).</w:t>
      </w:r>
    </w:p>
    <w:p w14:paraId="542466B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84C7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ноября 1940 Части греческого 3ак, перейдя границу на правом фланге фронта, нанесли контрудар по итальянским войскам в р-не г.Корча, продвинувшись до 15км вглубь албанской территории (7594).</w:t>
      </w:r>
    </w:p>
    <w:p w14:paraId="67F741B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A0E92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F1DC86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49CD5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 П.А.Воронин писал в Главки НКАП письмо N 5560 о том, что постановлением Правительства N 411 утвержден план текущих военных заказов на 4 кв. 1940 для НКО, НКВМФ, НКВД и т.п. Также о том, что этим же постановлением Правительства "...2. Предложено прекратить оборудование самолетов ДБ-3 и СБ эхолотами БК-3, т.к. опытные образцы при испытаниях показали неудовлетворительные результаты и НКО забракованы" (1273).</w:t>
      </w:r>
    </w:p>
    <w:p w14:paraId="1FC02C0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6581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 на заводе № 18 первый ДБ-3Ф передали налетные испытания. К 22 декабря на приемку там поступили 14 бомбардировщиков. К Новому году план выполнили, но военная приемка не пропустила ни одной машины. С декабря в Воронеже параллельно пошла сборка самолетов с моторами М-87 и винтами ВИШ-3 и М-88 и ВИШ-23. Кроме двигателей и винтов они ничем не отличались. Завод № 39 до марта комплектовал свои машины только М-88. Последний официально даже не был принят на вооружение, это произошло только 24 января 1940 г. (12021).</w:t>
      </w:r>
    </w:p>
    <w:p w14:paraId="132302A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12867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 приказом наркома авиа</w:t>
      </w:r>
      <w:r w:rsidRPr="00A3026E">
        <w:rPr>
          <w:rFonts w:ascii="Times New Roman" w:hAnsi="Times New Roman"/>
          <w:color w:val="000000" w:themeColor="text1"/>
          <w:sz w:val="16"/>
          <w:szCs w:val="16"/>
        </w:rPr>
        <w:softHyphen/>
        <w:t xml:space="preserve">промышленности № 612 </w:t>
      </w:r>
      <w:r w:rsidRPr="00A3026E">
        <w:rPr>
          <w:rFonts w:ascii="Times New Roman" w:hAnsi="Times New Roman"/>
          <w:iCs/>
          <w:color w:val="000000" w:themeColor="text1"/>
          <w:sz w:val="16"/>
          <w:szCs w:val="16"/>
        </w:rPr>
        <w:t xml:space="preserve">"...директор завода № 39 т. Соколов и Главный конструктор ОКБ т. Ильюшин" </w:t>
      </w:r>
      <w:r w:rsidRPr="00A3026E">
        <w:rPr>
          <w:rFonts w:ascii="Times New Roman" w:hAnsi="Times New Roman"/>
          <w:color w:val="000000" w:themeColor="text1"/>
          <w:sz w:val="16"/>
          <w:szCs w:val="16"/>
        </w:rPr>
        <w:t xml:space="preserve">обязывались </w:t>
      </w:r>
      <w:r w:rsidRPr="00A3026E">
        <w:rPr>
          <w:rFonts w:ascii="Times New Roman" w:hAnsi="Times New Roman"/>
          <w:iCs/>
          <w:color w:val="000000" w:themeColor="text1"/>
          <w:sz w:val="16"/>
          <w:szCs w:val="16"/>
        </w:rPr>
        <w:t>"освободить не позднее 1 декабря с. г. все площади, занимаемые ОКБ на территории завода</w:t>
      </w:r>
      <w:r w:rsidRPr="00A3026E">
        <w:rPr>
          <w:rFonts w:ascii="Times New Roman" w:hAnsi="Times New Roman"/>
          <w:color w:val="000000" w:themeColor="text1"/>
          <w:sz w:val="16"/>
          <w:szCs w:val="16"/>
        </w:rPr>
        <w:t xml:space="preserve"> Л/о 39... " (6467).</w:t>
      </w:r>
    </w:p>
    <w:p w14:paraId="460FD12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7D6EF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 приказом наркома авиапромышленности №612 директор завода №39 т. Соколов и Главный конструктор ОКБ т. Ильюшин» обязывались «освободить не позднее 1 декабря с. г. все площади, занимаемые ОКБ на территории завода № 39...»</w:t>
      </w:r>
    </w:p>
    <w:p w14:paraId="3BA450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этой связи переделка находящегося пока вне конкуренции бронированного штурмовика БШ-2 из двухместного в одноместный (с последующим переходом, по мере совершенствования АМ-38-го, к двухместному варианту, как это требовалось по заданию) и форсирование по нему доводочных работ вполне логичны.</w:t>
      </w:r>
    </w:p>
    <w:p w14:paraId="29BC7B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Этот шаг позволял весьма быстро решить как проблему запуска нового штурмовика в серию и вооружение ВВС КА столь нужным современным типом боевого самолета, так и проблему сохранения для ОКБ мощной опытно-производственной базы. О цене же такого решения, измеряемого в условиях большой войны многими сотнями жизней летчиков, тогда/ по-видимому, особо не задумывались...</w:t>
      </w:r>
    </w:p>
    <w:p w14:paraId="3EEBEA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прошествии стольких лет остается лишь предполагать об истинных причинах принятого С. В. Ильюшиным решения.</w:t>
      </w:r>
    </w:p>
    <w:p w14:paraId="7BA145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Факты же остаются фактами - существование ЦКБ-57 было узаконено лишь накануне (!) его первого вылета, когда приказом по НКАП, подписанным 11 октября 1940 г. заместителем наркома авиационной промышленности по опытному строительству и науке А.С.Яковлевым, С.В.Ильюшину поручалось к 15 (!) октября 1940 г. выпустить на заводские летные испытания самолет БШ-2 №1 с АМ-38 в одноместном и в двухместном вариантах.</w:t>
      </w:r>
    </w:p>
    <w:p w14:paraId="74FA7F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Этим же приказом, для проведения летных испытаний назначался летчик-испытатель В.К.Коккинаки, а сами испытания требовалось завершить в течение 1,5 месяцев.</w:t>
      </w:r>
    </w:p>
    <w:p w14:paraId="48F445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Содержание этого приказа вызывает недоумение.</w:t>
      </w:r>
    </w:p>
    <w:p w14:paraId="5E0B29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Во-первых, как можно было в один и тот же день передать один и тот же экземпляр самолета на заводские испытания в одноместном и в двухместном вариантах.</w:t>
      </w:r>
    </w:p>
    <w:p w14:paraId="6D3272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Во-вторых, в приказе заделана подпись Наркома А. И. Шахурина, однако подписал приказ А. С. Яковлев - второе лицо в табели о рангах наркомата. Он же и завизировал приказ (!). То есть, отсутствие на приказе подписи наркома - непростая случайность.</w:t>
      </w:r>
    </w:p>
    <w:p w14:paraId="436CBF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В-третьих, в тексте приказа не указан номер Постановления Комитета обороны при СНК, «во исполнение» которого должен был бы выйти этот приказ. Номер же Постановления КО являлся в то время неотъемлемой частью любого приказа по НКАП, изменяющего техническое задание конструктору, и не мог быть «случайно забыт» тогдашними бюрократами.</w:t>
      </w:r>
    </w:p>
    <w:p w14:paraId="3DF110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существующему в то время порядку новый вариант самолета мог быть задан только через Постановление, в крайнем случае, через Распоряжение Комитета обороны при СНК.</w:t>
      </w:r>
    </w:p>
    <w:p w14:paraId="6413D9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Постановлении в обязательном порядке для НКАП определялись количество опытных образцов и сроки их предъявления на испытания, а Главному управлению ВВС КА ставилась задача к определенному сроку разработать ТТТ на новый вариант самолета. Только после этого издавался Приказ по НКАП.</w:t>
      </w:r>
    </w:p>
    <w:p w14:paraId="688E77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упомянутом выше приказе никакой ссылки на Постановление Комитета Обороны нет.</w:t>
      </w:r>
    </w:p>
    <w:p w14:paraId="3C83A6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В-четвертых, из текста приказа следует, что наркомат ничего не знал о проделанной в ОКБ С. В. Ильюшина работе по переделке БШ-2 в одноместный вариант, что само по себе маловероятно (9649).</w:t>
      </w:r>
    </w:p>
    <w:p w14:paraId="21A3F56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0A10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 вышел приказ НКАП N 612cc в исполнение постановления КО от 15 октября 1940 во изменение постановления КО от 23 июня 1940 N 275 о постройке в первом полугодии 1941 10 самолетов 100 в варианте истребителя сопровождения. Это постановление КО предусматривало в п. 3. Обязать НКАП для быстрейшей постройки высотных самолетов организовать не позднее 1 января 1941 на заводе 39 опытную производственную базу. Что в приказе и было предусмотрено (1273).</w:t>
      </w:r>
    </w:p>
    <w:p w14:paraId="5F275B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Получается, что В.М.П. не вместо С.В.И., а + к нему. Подписали К.Е.В. и М.Пугаев (1273).</w:t>
      </w:r>
    </w:p>
    <w:p w14:paraId="03E8AAF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FF4B28F" w14:textId="77777777" w:rsidR="00C66762" w:rsidRPr="00A3026E" w:rsidRDefault="00C66762" w:rsidP="00A3026E">
      <w:pPr>
        <w:pStyle w:val="a3"/>
        <w:widowControl/>
        <w:rPr>
          <w:color w:val="000000" w:themeColor="text1"/>
          <w:lang w:val="ru-RU"/>
        </w:rPr>
      </w:pPr>
      <w:r w:rsidRPr="00A3026E">
        <w:rPr>
          <w:color w:val="000000" w:themeColor="text1"/>
          <w:lang w:val="ru-RU"/>
        </w:rPr>
        <w:t>2 ноября 1940 года Вознесенскому Н.А.</w:t>
      </w:r>
    </w:p>
    <w:p w14:paraId="3972DB16" w14:textId="77777777" w:rsidR="00C66762" w:rsidRPr="00A3026E" w:rsidRDefault="00C66762" w:rsidP="00A3026E">
      <w:pPr>
        <w:pStyle w:val="a3"/>
        <w:widowControl/>
        <w:rPr>
          <w:color w:val="000000" w:themeColor="text1"/>
          <w:lang w:val="ru-RU"/>
        </w:rPr>
      </w:pPr>
      <w:r w:rsidRPr="00A3026E">
        <w:rPr>
          <w:color w:val="000000" w:themeColor="text1"/>
          <w:lang w:val="ru-RU"/>
        </w:rPr>
        <w:t>По указанию Молотова посылаю записку Озимкова, Шевченко и др. (Послана НКАП – Шахурину, ВВС – Рачагову и Ворошилову) (3377, 96).</w:t>
      </w:r>
    </w:p>
    <w:p w14:paraId="064BAB3F" w14:textId="77777777" w:rsidR="00C66762" w:rsidRPr="00A3026E" w:rsidRDefault="00C66762" w:rsidP="00A3026E">
      <w:pPr>
        <w:pStyle w:val="a3"/>
        <w:widowControl/>
        <w:rPr>
          <w:color w:val="000000" w:themeColor="text1"/>
          <w:lang w:val="ru-RU"/>
        </w:rPr>
      </w:pPr>
    </w:p>
    <w:p w14:paraId="7455CD42" w14:textId="77777777" w:rsidR="00FB3026" w:rsidRPr="00A3026E" w:rsidRDefault="00FB302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2 ноября 1940 года начальник 6 управле</w:t>
      </w:r>
      <w:r w:rsidRPr="00A3026E">
        <w:rPr>
          <w:rFonts w:ascii="Times New Roman" w:hAnsi="Times New Roman"/>
          <w:color w:val="0070C0"/>
          <w:sz w:val="16"/>
          <w:szCs w:val="16"/>
          <w:lang w:eastAsia="ru-RU" w:bidi="ru-RU"/>
        </w:rPr>
        <w:softHyphen/>
        <w:t>ния ГУ ВВС бригинженер Лапин направил за</w:t>
      </w:r>
      <w:r w:rsidRPr="00A3026E">
        <w:rPr>
          <w:rFonts w:ascii="Times New Roman" w:hAnsi="Times New Roman"/>
          <w:color w:val="0070C0"/>
          <w:sz w:val="16"/>
          <w:szCs w:val="16"/>
          <w:lang w:eastAsia="ru-RU" w:bidi="ru-RU"/>
        </w:rPr>
        <w:softHyphen/>
        <w:t>мначальника ГУ ВВС генерал-лейтенанту авиации Астахову письмо № 500980сс:</w:t>
      </w:r>
    </w:p>
    <w:p w14:paraId="1AB04175" w14:textId="77777777" w:rsidR="00FB3026" w:rsidRPr="00A3026E" w:rsidRDefault="00FB3026" w:rsidP="00A3026E">
      <w:pPr>
        <w:spacing w:after="0" w:line="240" w:lineRule="auto"/>
        <w:jc w:val="both"/>
        <w:rPr>
          <w:rFonts w:ascii="Times New Roman" w:hAnsi="Times New Roman"/>
          <w:color w:val="0070C0"/>
          <w:sz w:val="16"/>
          <w:szCs w:val="16"/>
          <w:lang w:eastAsia="ru-RU" w:bidi="ru-RU"/>
        </w:rPr>
      </w:pPr>
      <w:r w:rsidRPr="00A3026E">
        <w:rPr>
          <w:rFonts w:ascii="Times New Roman" w:hAnsi="Times New Roman"/>
          <w:color w:val="0070C0"/>
          <w:sz w:val="16"/>
          <w:szCs w:val="16"/>
          <w:lang w:eastAsia="ru-RU" w:bidi="ru-RU"/>
        </w:rPr>
        <w:t>«Представляю на Ваше рассмотрение сведения о состоянии самолетов внедрен</w:t>
      </w:r>
      <w:r w:rsidRPr="00A3026E">
        <w:rPr>
          <w:rFonts w:ascii="Times New Roman" w:hAnsi="Times New Roman"/>
          <w:color w:val="0070C0"/>
          <w:sz w:val="16"/>
          <w:szCs w:val="16"/>
          <w:lang w:eastAsia="ru-RU" w:bidi="ru-RU"/>
        </w:rPr>
        <w:softHyphen/>
        <w:t>ных и внедряемых в серийное производство на заводах НКАП на 1 ноября 1940 года. По</w:t>
      </w:r>
      <w:r w:rsidRPr="00A3026E">
        <w:rPr>
          <w:rFonts w:ascii="Times New Roman" w:hAnsi="Times New Roman"/>
          <w:color w:val="0070C0"/>
          <w:sz w:val="16"/>
          <w:szCs w:val="16"/>
          <w:lang w:eastAsia="ru-RU" w:bidi="ru-RU"/>
        </w:rPr>
        <w:softHyphen/>
        <w:t>становлением Комитета Обороны № 413сс от 19 октября 1940 года заводу № 18 уста</w:t>
      </w:r>
      <w:r w:rsidRPr="00A3026E">
        <w:rPr>
          <w:rFonts w:ascii="Times New Roman" w:hAnsi="Times New Roman"/>
          <w:color w:val="0070C0"/>
          <w:sz w:val="16"/>
          <w:szCs w:val="16"/>
          <w:lang w:eastAsia="ru-RU" w:bidi="ru-RU"/>
        </w:rPr>
        <w:softHyphen/>
        <w:t>новлена программа постройки самолетов на последние 5 месяцев 1940 года. Для НКО - 65 самолетов и НКВМФ - 5 самолетов со срока</w:t>
      </w:r>
      <w:r w:rsidRPr="00A3026E">
        <w:rPr>
          <w:rFonts w:ascii="Times New Roman" w:hAnsi="Times New Roman"/>
          <w:color w:val="0070C0"/>
          <w:sz w:val="16"/>
          <w:szCs w:val="16"/>
          <w:lang w:eastAsia="ru-RU" w:bidi="ru-RU"/>
        </w:rPr>
        <w:softHyphen/>
        <w:t>ми подачи начиная с октября 1940 года. Производство самолетов ДБ-240 на заводе № 18 в настоящее время находится в сле</w:t>
      </w:r>
      <w:r w:rsidRPr="00A3026E">
        <w:rPr>
          <w:rFonts w:ascii="Times New Roman" w:hAnsi="Times New Roman"/>
          <w:color w:val="0070C0"/>
          <w:sz w:val="16"/>
          <w:szCs w:val="16"/>
          <w:lang w:eastAsia="ru-RU" w:bidi="ru-RU"/>
        </w:rPr>
        <w:softHyphen/>
        <w:t>дующем состоянии: Самолетов с установ</w:t>
      </w:r>
      <w:r w:rsidRPr="00A3026E">
        <w:rPr>
          <w:rFonts w:ascii="Times New Roman" w:hAnsi="Times New Roman"/>
          <w:color w:val="0070C0"/>
          <w:sz w:val="16"/>
          <w:szCs w:val="16"/>
          <w:lang w:eastAsia="ru-RU" w:bidi="ru-RU"/>
        </w:rPr>
        <w:softHyphen/>
        <w:t>ленными моторами М-105 - 6 штук. В про</w:t>
      </w:r>
      <w:r w:rsidRPr="00A3026E">
        <w:rPr>
          <w:rFonts w:ascii="Times New Roman" w:hAnsi="Times New Roman"/>
          <w:color w:val="0070C0"/>
          <w:sz w:val="16"/>
          <w:szCs w:val="16"/>
          <w:lang w:eastAsia="ru-RU" w:bidi="ru-RU"/>
        </w:rPr>
        <w:softHyphen/>
        <w:t>цессе сборки самолетов без моторов - 8 штук. Предъявлен военпреду без колес и ра</w:t>
      </w:r>
      <w:r w:rsidRPr="00A3026E">
        <w:rPr>
          <w:rFonts w:ascii="Times New Roman" w:hAnsi="Times New Roman"/>
          <w:color w:val="0070C0"/>
          <w:sz w:val="16"/>
          <w:szCs w:val="16"/>
          <w:lang w:eastAsia="ru-RU" w:bidi="ru-RU"/>
        </w:rPr>
        <w:softHyphen/>
        <w:t>диаторов - 1 самолет» (21406).</w:t>
      </w:r>
    </w:p>
    <w:p w14:paraId="76CBEF4E" w14:textId="77777777" w:rsidR="00FB3026" w:rsidRPr="00A3026E" w:rsidRDefault="00FB3026" w:rsidP="00A3026E">
      <w:pPr>
        <w:spacing w:after="0" w:line="240" w:lineRule="auto"/>
        <w:jc w:val="both"/>
        <w:rPr>
          <w:rFonts w:ascii="Times New Roman" w:hAnsi="Times New Roman"/>
          <w:color w:val="0070C0"/>
          <w:sz w:val="16"/>
          <w:szCs w:val="16"/>
        </w:rPr>
      </w:pPr>
    </w:p>
    <w:p w14:paraId="1FF531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 года начальник 6 управления ГУ ВВС бригинженер Лапин писал письмо № 500980сс зам. начальника ГУ ВВС генерал-лейтенанту авиации Астахову</w:t>
      </w:r>
    </w:p>
    <w:p w14:paraId="1C7CD7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Представляю на Ваше рассмотрение сведения о состоянии самолетов внедренных и внедряемых в серийное производство на заводах НКАП на 1 ноября 1940 года.</w:t>
      </w:r>
    </w:p>
    <w:p w14:paraId="7C5511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Сведения о состоянии самолетов внедренных и внедряемых в серийное производство на заводах НКАП на 1 ноября 1940 года.</w:t>
      </w:r>
    </w:p>
    <w:p w14:paraId="6698F4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ПБ-100 2М-105</w:t>
      </w:r>
    </w:p>
    <w:p w14:paraId="14E356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при СНК за № 275сс от 23 июня 1940 года было определено внедрение в серийное производство самолета ПБ-100 2М-105 со следующими летно-тактическими данными:</w:t>
      </w:r>
    </w:p>
    <w:p w14:paraId="70708D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5000 м – 540 км/час</w:t>
      </w:r>
    </w:p>
    <w:p w14:paraId="28E3B1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при 0,9 максимальной скорости – 1500 км</w:t>
      </w:r>
    </w:p>
    <w:p w14:paraId="4221A0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 413сс от 19 октября 1940 года и № 335сс программа заводу № 39 была установлена для НКО 25 самолетов и заводу № 22 – 50 самолетов, обоим со сроками поставки начиная с октября 1940 года.</w:t>
      </w:r>
    </w:p>
    <w:p w14:paraId="1F1893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 ноября 1940 года освоение самолета ПБ-100 на заводе № 39 находится в следующем состоянии:</w:t>
      </w:r>
    </w:p>
    <w:p w14:paraId="0CCED1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выход первых машин на аэродром нужно ожидать не ранее середины ноября 1940 года.</w:t>
      </w:r>
    </w:p>
    <w:p w14:paraId="753CDC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в сборочном цехе завода находится два самолета, из них первый самолет не обеспечен крыльями, капотами моторов, рулями поворота, бензобаками, коками винта и нет более ста наименований мелких деталей изготовления завода № 39.</w:t>
      </w:r>
    </w:p>
    <w:p w14:paraId="3AF2A2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сборки первого самолета завод № 39 не обеспечен электромоторами для управления шасси и щитками, литьем для всасывающих патрубков, колесами. Готовность этих агрегатов определяется 5 ноября 1940 года.</w:t>
      </w:r>
    </w:p>
    <w:p w14:paraId="095FE8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самолет обеспечен: центропланом, передней и задней частью фюзеляжа.</w:t>
      </w:r>
    </w:p>
    <w:p w14:paraId="3F5847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 заводе имеется следующий задел: крылья: один комплект находится на внестапельных работах, второй комплект собирается на стапелях. Центроплан: 3-й и 4-й находятся на внестапельной доводке, 5-й собирается на стапеле. 2-я серия центропланов не обеспечена деталями свыше 200 наименований. Передняя часть фюзеляжа Ф-1: 3-й находится на внестапельной доводке, 4-й и 5-й собираются на стапелях. Хвостовая часть фюзеляжа в таком же состоянии, как и Ф-1.</w:t>
      </w:r>
    </w:p>
    <w:p w14:paraId="38BBBE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установкой на самолет целого ряда новых не испытанных приборов и агрегатов (электромоторов, стрелковых установок и пр.) последние направляются в НИИ ВВС и НИПАВ ВВС для прохождения лабораторных испытаний.</w:t>
      </w:r>
    </w:p>
    <w:p w14:paraId="1582A6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ПБ-100 в том виде как он запущен в серийное производство летных испытаний не проходил.</w:t>
      </w:r>
    </w:p>
    <w:p w14:paraId="5039E5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заводу № 22</w:t>
      </w:r>
    </w:p>
    <w:p w14:paraId="58319B8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Оснастка производства самолета ПБ-100 на заводе № 22 на 1 ноября 1940 года полностью не сделана.</w:t>
      </w:r>
    </w:p>
    <w:p w14:paraId="02284A6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производство запущены детали по крупным агрегатам на 5 самолетов и по мелким на 20-30 штук.</w:t>
      </w:r>
    </w:p>
    <w:p w14:paraId="5EBB52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Фактически начата сборка только хвостовой части центроплана на 1-ю машину.</w:t>
      </w:r>
    </w:p>
    <w:p w14:paraId="536230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78EB51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Причины задержки графика выпуска ПБ-100 заводом № 22 заключаются в медленном развертывании работ самим же заводом.</w:t>
      </w:r>
    </w:p>
    <w:p w14:paraId="769237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ББ-1 М-88</w:t>
      </w:r>
    </w:p>
    <w:p w14:paraId="625685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за № 77сс от 19 февраля 1940 года и № 23сс от 11 января 1940 года заводу № 135 НКАП была установлена программа до 1 июля 1940 года в количестве 110 самолетов ББ-1 М-88 с тем, чтобы с этого времени перейти на выпуск модифицированного самолета ББ-1 со скоростью не менее 500 км/час.</w:t>
      </w:r>
    </w:p>
    <w:p w14:paraId="2C5122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за № 190сс от 4 мая 1940 года определено внедрение в серийное производство самолета ББ-1 М-88 на заводах №№ 31 и 207.</w:t>
      </w:r>
    </w:p>
    <w:p w14:paraId="3FB36D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за № 115сс от 4 марта 1940 года гл. конструктор самолета ББ-1 Сухой, обязан был модифицировать самолет ББ-1 под мотор М-90 с максимальной скоростью полета 560 км/час на высоте 7000 м и предъявлением на госиспытания первого экземпляра самолета к 1 сентября 1940 года и второго экземпляра к 15 сентября 1940 года.</w:t>
      </w:r>
    </w:p>
    <w:p w14:paraId="616A58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 ноября 1940 года заводом № 135 построено 43 самолета ББ-1 (5 самолетов с мотором М-87 и 38 самолетов с мотором М-88), из них:</w:t>
      </w:r>
    </w:p>
    <w:p w14:paraId="47E026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самолетов ББ-1 передано в строевые части ВВС. Остальные 15 самолетов ББ-1 находятся на аэродроме завода № 135 по причинам замены на моторах М-88 нагнетателей.</w:t>
      </w:r>
    </w:p>
    <w:p w14:paraId="7D3B4F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Выпускаемые самолеты заводом № 135 по данным государственных и войсковых испытаний имеют заниженную скорость (461-467 км/час вместо 500 км/час). Дальность 900 км вместо 1000-1100 км.</w:t>
      </w:r>
    </w:p>
    <w:p w14:paraId="675340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до настоящего времени не отработано РПК-2, хотя завод № 135, согласно постановления КО за № 352сс от 13 августа 1940 года должен устанавливать РПК-2 на всех выпускаемых самолетах с 1 октября 1940 года.</w:t>
      </w:r>
    </w:p>
    <w:p w14:paraId="7FD650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за № 413 от 19 октября 1940 года все выпускаемые самолеты ББ-1 с 1 декабря 1940 года должны выпускаться с установками по заполнению бензобаков нейтральным газом.</w:t>
      </w:r>
    </w:p>
    <w:p w14:paraId="5BCF44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заводом № 135 оборудовано этими установками два самолета ББ-1, которые будут предъявлены на госиспытания 11 ноября 1940 года.</w:t>
      </w:r>
    </w:p>
    <w:p w14:paraId="39861D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Этим же постановлением КО (№ 413сс) заводы НКАП №№ 135, 31 и 207 обязаны выпускать самолеты ББ-1 оборудованные приспособлениями для бортовой зарядки кислородных баллонов, что до настоящего времени не выполняется по причинам неотработанности на заводе им. Матвеева (в Ленинграде) приспособлений бортозарядки.</w:t>
      </w:r>
    </w:p>
    <w:p w14:paraId="69210C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заключенного договора с ГУ ВВС, завод № 135 обязан поставлять самолеты с ВАП-200, что не выполняется по причинам: ВАП-200 находятся на испытании в НИПАВ с 8 июля 1940 года, но в связи с прекращением полетов на самолете ББ-1 с М-88 до настоящего времени испытаний не прошел.</w:t>
      </w:r>
    </w:p>
    <w:p w14:paraId="33DAAF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для ускорения прохождения испытаний в конце сентября 1940 года НИПАВу был дан один самолет ББ-1 с М-87.</w:t>
      </w:r>
    </w:p>
    <w:p w14:paraId="678B51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Выпущенные самолеты ББ-1 не были обеспечены кондиционными колесами, последние только в конце октября 1940 года прошли госиспытания. В настоящее время принимаются меры по замене колес на всех ранее выпущенных самолетах.</w:t>
      </w:r>
    </w:p>
    <w:p w14:paraId="66BE09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заводу № 31</w:t>
      </w:r>
    </w:p>
    <w:p w14:paraId="238F7D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на заводе № 31 заканчиваются производством первые 10 самолетов ББ-1, которые поступят на аэродром в течении 1940 года.</w:t>
      </w:r>
    </w:p>
    <w:p w14:paraId="52BF04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207</w:t>
      </w:r>
    </w:p>
    <w:p w14:paraId="050FC8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сборочном цехе завода № 207 находятся первые два самолета ББ-1, которые поступят на аэродром в ноябре 1940 года.</w:t>
      </w:r>
    </w:p>
    <w:p w14:paraId="498CB3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207 совершенно не обеспечен заделами.</w:t>
      </w:r>
    </w:p>
    <w:p w14:paraId="35DE0B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самолета ББ-1</w:t>
      </w:r>
    </w:p>
    <w:p w14:paraId="226411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модифицированный самолет ББ-1 с мотором М-81 (вместо мотора М-90) должен поступить на заводские испытания в первых числах ноября 1940 года (вместо сентября 1940 года).</w:t>
      </w:r>
    </w:p>
    <w:p w14:paraId="73FDE3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Неудовлетворительный выпуск самолетов ББ-1 объясняется:</w:t>
      </w:r>
    </w:p>
    <w:p w14:paraId="6E147CE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Недоведенностью моторов М-88.</w:t>
      </w:r>
    </w:p>
    <w:p w14:paraId="23096D8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Недоведенностью самолета по шасси, что потребовало в течение июля и августа произвести переделку шасси на 28 самолетах, переданных в части ВВС и внести изменения в заделы.</w:t>
      </w:r>
    </w:p>
    <w:p w14:paraId="3BBBE7B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Неудовлетворительной кооперацией между заводами №№ 135, 31 и 207.</w:t>
      </w:r>
    </w:p>
    <w:p w14:paraId="32B5A4E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Совершенно неудовлетворительным качеством механического парка и рабочей силы на заводе № 207, что ставит его в полную зависимость от заводов №№ 135, 31 и заводов-поставщиков.</w:t>
      </w:r>
    </w:p>
    <w:p w14:paraId="7D8540E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Неудовлетворительной организационной работой заводов №№ 135, 31 и 207.</w:t>
      </w:r>
    </w:p>
    <w:p w14:paraId="7C180D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завод № 207 не имеет аэродрома. Аэродром завода № 31 требует расчистки, подходов и расширения.</w:t>
      </w:r>
    </w:p>
    <w:p w14:paraId="41CCAB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Дефекты, выявленные на самолетах ББ-1 в результате войсковых испытаний, заводом устраняются, согласно установленных сроков, с незначительными запозданиями.</w:t>
      </w:r>
    </w:p>
    <w:p w14:paraId="63CBAB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СБ (завод № 22)</w:t>
      </w:r>
    </w:p>
    <w:p w14:paraId="176EFA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постановления КО за № 240сс от 1 июня 1940 года завод № 22 перешел на выпуск самолетов СБ с 1 июля в пикирующем варианте.</w:t>
      </w:r>
    </w:p>
    <w:p w14:paraId="178A11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войсковой эксплуатации самолета СБ в пикирующем варианте выявлены массовые случаи деформации обшивки крыльев и стрингеров крыла.</w:t>
      </w:r>
    </w:p>
    <w:p w14:paraId="26CD1B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предварительным заключениям комиссии НКАП устанавливается недостаточная прочность крыла и намечается необходимость усиления крыла, путем бужирования лонжеронов в месте телескопического стыка, постановки дополнительных стрингеров и увеличения диаметра заклепок.</w:t>
      </w:r>
    </w:p>
    <w:p w14:paraId="25ABE2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более детального изучения характера деформации самолета СБ нами выделен один самолет и направлен для всестороннего анализа на заводе № 22. Время окончания работы комиссии не определено.</w:t>
      </w:r>
    </w:p>
    <w:p w14:paraId="4E19CE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наши запросы гл. конструктором самолета Архангельским сообщено, что на самолете СБ можно допускать эксплуатационные перегрузки не более 3,5.</w:t>
      </w:r>
    </w:p>
    <w:p w14:paraId="4F0794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неясностью вопроса прочности самолета СБ целесообразно проведение работ по оборудованию самолетов СБ в строевых частях ВВС под пикирующий вариант (согласно постановления КО № 240сс от 1 июня 1940 года) временно отложить.</w:t>
      </w:r>
    </w:p>
    <w:p w14:paraId="70C977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Осваиваемые в настоящее время заводом № 22 самолеты СБ с мотором М-105 госиспытаний не проходили и имеют следующие основные дефекты:</w:t>
      </w:r>
    </w:p>
    <w:p w14:paraId="7C00CD3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Всасывающие патрубки нагнетателя не обеспечивают расчетной высоты 4300 м, по данным завода высота определена около 4090 метров.</w:t>
      </w:r>
    </w:p>
    <w:p w14:paraId="45CE693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Лопаются по сотам воздушно-масляные радиаторы в месте входа.</w:t>
      </w:r>
    </w:p>
    <w:p w14:paraId="1AA7248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обеспечен полный слив масла из воздушно-масляных радиаторов.</w:t>
      </w:r>
    </w:p>
    <w:p w14:paraId="1931BFD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М-105 не додают 50 оборотов (причины не выявлены).</w:t>
      </w:r>
    </w:p>
    <w:p w14:paraId="249A532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М-105 имеют плохую приемистость на оборотах 1500-1600.</w:t>
      </w:r>
    </w:p>
    <w:p w14:paraId="4F75FA0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заливке 50 кг масла в маслобаки во время пробы моторов на земле, масло выбивает через горловину бака. Емкость малсобака 95 кг.</w:t>
      </w:r>
    </w:p>
    <w:p w14:paraId="7C04E0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22 неудовлетворительно выполняет свои обязательства по рекламационным материалам поступающим из строевых частей, основными из них являются:</w:t>
      </w:r>
    </w:p>
    <w:p w14:paraId="6228CDB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Окраска самолетов (завод в течение 1939-40 гг. выпускает самолеты с 2-х слойным покрытием вместо 3-х слойного).</w:t>
      </w:r>
    </w:p>
    <w:p w14:paraId="526966D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замене труб водосистемы (массовое корродирование).</w:t>
      </w:r>
    </w:p>
    <w:p w14:paraId="309BDD4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доводке открытия бомболюков (не открывается при всех положениях стрелковых точек и фонарей).</w:t>
      </w:r>
    </w:p>
    <w:p w14:paraId="668531C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замене коллекторов и раструбов выхлопа мотора (массовый выход по трещинам).</w:t>
      </w:r>
    </w:p>
    <w:p w14:paraId="1ED38D9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выпущенные и выпускаемые самолеты СБ не обеспечивают полного слива масла из воздушно-масляных радиаторов.</w:t>
      </w:r>
    </w:p>
    <w:p w14:paraId="34EB9B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125</w:t>
      </w:r>
    </w:p>
    <w:p w14:paraId="4DC1AE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заключенного договора на 1940 год завод № 125 выпускает не полностью модифицированные самолеты СБ (винтомоторная группа не обнижена).</w:t>
      </w:r>
    </w:p>
    <w:p w14:paraId="1A58B0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Качество производства самолетов на заводе № 125 находится в неудовлетворительном состоянии. Завод допускает неправильную термическую обработку лонжеронов фюзеляжа (вместо требуемой крепости 42 кг/мм кв. с крепостью в 34-36 кг/мм кв.), производит без разрешения заказчика и гл. конструктора замену материала Д42 на Д-4, что по заключению гл. конструктора Архангельского понижает прочность самолета примерно на 5%.</w:t>
      </w:r>
    </w:p>
    <w:p w14:paraId="577C8D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неудовлетворительно поставлено хранение и маркировка материалов. Пропускается а производство термически необработанные заклепки и др.</w:t>
      </w:r>
    </w:p>
    <w:p w14:paraId="60416A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w:t>
      </w:r>
    </w:p>
    <w:p w14:paraId="48B066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СБ-РК</w:t>
      </w:r>
    </w:p>
    <w:p w14:paraId="326203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 240сс от 1 июня 1940 года завод № 22 НКАП обязан во II полугодии изготовить 330 самолетов СБ-РК для НКО и 30 самолетов для НКВМФ. Первые три самолета как эталоны должны были быть изготовлены к 15 августа 1940 года. Самолет должен иметь скорость 490 км/час.</w:t>
      </w:r>
    </w:p>
    <w:p w14:paraId="7521B1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за № 335сс предусмотрена поставка самолетов СБ-РК в августе 1940 года.</w:t>
      </w:r>
    </w:p>
    <w:p w14:paraId="28A7B8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 ноября 1940 года заводом изготовлены и выведены на аэродром 2 самолета. В цехах окончательной сборки находятся 4 самолета.</w:t>
      </w:r>
    </w:p>
    <w:p w14:paraId="454D2A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Летные заводские испытания первого самолета показали (по данным завода):</w:t>
      </w:r>
    </w:p>
    <w:p w14:paraId="3C6592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 488 км/час</w:t>
      </w:r>
    </w:p>
    <w:p w14:paraId="1FBBA6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Продольная устойчивость – нейтральная</w:t>
      </w:r>
    </w:p>
    <w:p w14:paraId="7CED1C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имеет недоработанные температурные режимы – масла и воды (вода 100-110 градусов вместо 85-90, масло 110-120 вместо 90-95).</w:t>
      </w:r>
    </w:p>
    <w:p w14:paraId="2F7CD0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Причины срыва поставки самолетов СБ-РК являются:</w:t>
      </w:r>
    </w:p>
    <w:p w14:paraId="62455B1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Неудовлетворительная организация работы завода (графики изготовления деталей и агрегатов систематически срываются).</w:t>
      </w:r>
    </w:p>
    <w:p w14:paraId="19C50E5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Частые изменения в чертежах по недоработанности конструкции.</w:t>
      </w:r>
    </w:p>
    <w:p w14:paraId="37C4499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Неудовлетворительная работа заводов поставщиков (завод № 94 – водорадиаторы и др.).</w:t>
      </w:r>
    </w:p>
    <w:p w14:paraId="004911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испытанию самолетов СБ с М-105 оборудованных ТК-2Б</w:t>
      </w:r>
    </w:p>
    <w:p w14:paraId="0E3928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 240сс от 1 июня 1940 года завод № 22 к 1 сентября 1940 года обязан провести испытания трех самолетов СБ с М-105 с ТК-2Б и в случае положительных результатов испытания внедрить в серийное производство.</w:t>
      </w:r>
    </w:p>
    <w:p w14:paraId="41CF63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выполнения этого постановления завод оборудовал 23 февраля 1940 года один самолет ТК-2Б. В процессе испытаний самолета выявились следующие основные недостатки:</w:t>
      </w:r>
    </w:p>
    <w:p w14:paraId="4C340DF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Вибрация хвостового оперения от срыва струй.</w:t>
      </w:r>
    </w:p>
    <w:p w14:paraId="040870A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Коробление противопожарных жароупорных листов на обшивке центроплана за мотором и обшивки крыльев от высоких температур выходящих из турбокомпрессора газов.</w:t>
      </w:r>
    </w:p>
    <w:p w14:paraId="52D6B22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Нагрев рессивера турбокомпрессора и выхлопных патрубков и др. Всего произведено 14 полетов. Испытания не закончены.</w:t>
      </w:r>
    </w:p>
    <w:p w14:paraId="117D42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Вывезенные из цеха окончательной сборки 3 самолета под ТК-2Б не имеют моторов.</w:t>
      </w:r>
    </w:p>
    <w:p w14:paraId="0D79B5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ДБ-240</w:t>
      </w:r>
    </w:p>
    <w:p w14:paraId="114249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 236сс от 29 мая 1940 года определено внедрение в серийное производство самолетов ДБ-240 на заводе № 18.</w:t>
      </w:r>
    </w:p>
    <w:p w14:paraId="36FE53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должен выпускаться по типу самолета № 1 выпуска завода № 240, с внесением изменений, полученных в результате госиспытаний. Госиспытания закончить к 25 июля 1940 года.</w:t>
      </w:r>
    </w:p>
    <w:p w14:paraId="55D68E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 413сс от 19 октября 1940 года заводу № 18 установлена программа постройки самолетов на последние 5 месяцев 1940 года. Для НКО – 65 самолетов и НКВМФ – 5 самолетов со сроками подачи начиная с октября 1940 года.</w:t>
      </w:r>
    </w:p>
    <w:p w14:paraId="231FCA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ДБ-240 госиспытаний не выдержал. На самолете имеется большое количество дефектов.</w:t>
      </w:r>
    </w:p>
    <w:p w14:paraId="15A070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Отчета о результатах госиспытаний самолета ДБ-240 до настоящего времени 6 управлением ГУ ВВС от НИИ ВВС не получено.</w:t>
      </w:r>
    </w:p>
    <w:p w14:paraId="470A61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самолетов ДБ-240 на заводе № 18 в настоящее время находится в следующем состоянии:</w:t>
      </w:r>
    </w:p>
    <w:p w14:paraId="7447B59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Самолетов с установленными моторами М-105 – 6 штук</w:t>
      </w:r>
    </w:p>
    <w:p w14:paraId="7E0F11E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процессе сборки самолетов без моторов – 8 штук</w:t>
      </w:r>
    </w:p>
    <w:p w14:paraId="232F1BB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 военпреду без колес и радиаторов – 1 самолет</w:t>
      </w:r>
    </w:p>
    <w:p w14:paraId="61482A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Тб-7 4АМ-35</w:t>
      </w:r>
    </w:p>
    <w:p w14:paraId="28A0DD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 413сс от 19 октября 1940 года завод № 124 обязан поставить НКО 11 самолетов ТБ-7.</w:t>
      </w:r>
    </w:p>
    <w:p w14:paraId="3E5BEF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 ноября 1940 года принято ГУ ВВС 10 самолетов ТБ-7.</w:t>
      </w:r>
    </w:p>
    <w:p w14:paraId="67F725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Находятся на аэродроме завода 2 самолета ТБ-7 с моторами М-35. Не принятых – 1 самолет ТБ-7, который проходит заводской облет.</w:t>
      </w:r>
    </w:p>
    <w:p w14:paraId="0F5CD3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Основными дефектами самолетов являются:</w:t>
      </w:r>
    </w:p>
    <w:p w14:paraId="7726F75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Некондиционность пневматиков колеса.</w:t>
      </w:r>
    </w:p>
    <w:p w14:paraId="2CECF95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нагнетателей моторов М-35 (7713).</w:t>
      </w:r>
    </w:p>
    <w:p w14:paraId="1A2736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ДБ-3ф</w:t>
      </w:r>
    </w:p>
    <w:p w14:paraId="6D5E20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 201сс от 14 мая 1940 года ГУ ВВС было разрешено принимать самолеты ДБ-3ф с максимальной скоростью 425 км/час при дальности 3200 км. Одновременно НКАП был обязан предъявить на госиспытания не позднее 1 июля 1940 года самолет ДБ-3ф с летно-тактическими данными, обусловленными постановлениями КО от 29 июля 1939 года за № 223сс ( с максимальной скоростью 475 км/час).</w:t>
      </w:r>
    </w:p>
    <w:p w14:paraId="4EFF58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на госиспытания 17 июля 1940 года самолет ДБ-3ф с 2М-88 за № 39801 постройки завода № 39 показал максимальную скорость с радиополукомпасом РПК-2, МВ-3, МВ-2 и антенной 429 км/час.</w:t>
      </w:r>
    </w:p>
    <w:p w14:paraId="34F3FE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эксплуатации самолетов ДБ-3ф в частях ВВС установлено, что на самолете имеется большое количество дефектов при недоведенности мотора М-88.</w:t>
      </w:r>
    </w:p>
    <w:p w14:paraId="0F7724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Проведенным мною совещанием с директорами заводов №№ 39 и 18 и гл. конструктором С.В.И. установлены сроки устранения дефектов в строевых частях ВВС и в серийном производстве, что и выполняется с незначительным запаздыванием.</w:t>
      </w:r>
    </w:p>
    <w:p w14:paraId="68C419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Сдача самолетов ДБ-3ф заводами №№ 18 и 39 в течении сентября и октября 1940 года было резко сокращена по причинам недоведенности моторов М-88 и М-87.</w:t>
      </w:r>
    </w:p>
    <w:p w14:paraId="460BE5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заводы №№ 18 и 39 производят замену крышек и спиливают ребра жесткости картера на моторе М-87.</w:t>
      </w:r>
    </w:p>
    <w:p w14:paraId="51603A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Замена нагнетателей на моторах М-88 проходит неудовлетворительно по причинам отсутствия нагнетателей.</w:t>
      </w:r>
    </w:p>
    <w:p w14:paraId="73ABAC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126. Согласно заключенного договора на 1940 год выпускает самолеты ДБ-3 с 2М-87.</w:t>
      </w:r>
    </w:p>
    <w:p w14:paraId="1BF9CC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Качество работы завода неудовлетворительно, что неоднократно ставилось нами перед наркомом авиапромышленности Шахуриным и доводилось до сведения группы контроля КО.</w:t>
      </w:r>
    </w:p>
    <w:p w14:paraId="592D48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года работой завода № 126 заинтересовался Верховный прокурор СССР.</w:t>
      </w:r>
    </w:p>
    <w:p w14:paraId="394E15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Основными дефектами на самолете ДБ-3 2М-87 выпуска завода № 126 являются:</w:t>
      </w:r>
    </w:p>
    <w:p w14:paraId="0391DDA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Неудовлетворительное изготовление бензобаков по причинам самовольного изменения заводом № 126 установленной технологии их изготовления.</w:t>
      </w:r>
    </w:p>
    <w:p w14:paraId="0DF0A88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Скрытый брак в штурвалах управления, что вызвало необходимость переборки последних.</w:t>
      </w:r>
    </w:p>
    <w:p w14:paraId="647F307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Недодача скоростей 20-25 км/час.</w:t>
      </w:r>
    </w:p>
    <w:p w14:paraId="7E7340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Летная станция завода настолько неудовлетворительно оборудована, что не может определить действительных скоростей и грамотно провести серийные испытания самолетов.</w:t>
      </w:r>
    </w:p>
    <w:p w14:paraId="266F6E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126 так же неудовлетворительно реагирует на рекламационные материалы, поступающие к нему из строевых частей ВВС.</w:t>
      </w:r>
    </w:p>
    <w:p w14:paraId="1BE2A5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КО за № 236сс от 29 июля 1939 года о выпуске заводом самолетов ДБ-3ф не выполнено.</w:t>
      </w:r>
    </w:p>
    <w:p w14:paraId="6101F0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должен был построить два самолета ДБ-3ф в I полугодии 1940 года.</w:t>
      </w:r>
    </w:p>
    <w:p w14:paraId="226A56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ближайшие дни с завода № 126 должна вернуться комиссия НКАП, производившая обследование работы завода.</w:t>
      </w:r>
    </w:p>
    <w:p w14:paraId="647282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Истребительная авиация</w:t>
      </w:r>
    </w:p>
    <w:p w14:paraId="18098C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Справка о внедрении в серийное производство самолета И-26 с мотором М-105П</w:t>
      </w:r>
    </w:p>
    <w:p w14:paraId="415F6D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за № 246сс от 29 июля 1939 года гл. конструктору завода № 115 Яковлеву была задана постройка самолета И-26 в двух экземплярах со сроками сдачи на госиспытания 1 экземпляра в феврале 1940 года, 2-го экземпляра – в апреле 1940 года.</w:t>
      </w:r>
    </w:p>
    <w:p w14:paraId="05071B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самолета И-26 был 27 апреля 1940 года разбит на заводских испытаниях.</w:t>
      </w:r>
    </w:p>
    <w:p w14:paraId="7CC01B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экземпляр самолета И-26 на госиспытания в НИИ ВВС был предъявлен 26 мая 1940 года.</w:t>
      </w:r>
    </w:p>
    <w:p w14:paraId="70DA58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Госиспытания в НИИ ВВС проводились с 1 по 15 июня 1940 года. За это время было выполнено 52 полета общей продолжительностью 21 час.</w:t>
      </w:r>
    </w:p>
    <w:p w14:paraId="038AA8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заключению НИИ ВВС от 19 июня 1940 года самолет И-26 был предъявлен на госиспытания в недоведенном состоянии и поэтому не был испытан на пикирование, высший пилотаж с перегрузками, штопор, бочки, отработку стрелково-пушечного вооружения и полеты выше 5500 метров.</w:t>
      </w:r>
    </w:p>
    <w:p w14:paraId="796BEA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самолет госиспытаний не выдержал вследствие наличия на самолете следующих основных дефектов:</w:t>
      </w:r>
    </w:p>
    <w:p w14:paraId="3C0C9A4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Недостаточная прочность носка крыла (составляющая 67% от норм прочности), что лимитировало полеты с перегрузками.</w:t>
      </w:r>
    </w:p>
    <w:p w14:paraId="4A888C5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Недоведенность шасси самолета и невозможность их уборки при наборе высоты и скорости выше 220 км/час.</w:t>
      </w:r>
    </w:p>
    <w:p w14:paraId="737D801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Наличие высокой температуры воздуха в кабине (свыше 40 градусов) и попадание в нее отработанных газов мотора.</w:t>
      </w:r>
    </w:p>
    <w:p w14:paraId="30A79D9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Недоведенность винтомоторной группы, вследствие чего невозможна эксплуатация мотора на номинальной мощности при наборе высоты (перегрев масла).</w:t>
      </w:r>
    </w:p>
    <w:p w14:paraId="29557C5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Недоведенность вооружения, когда при стрельбе звенья и гильзы попадают в стабилизатор и разрушают обшивку. При стрельбе в воздухе имеется большая вибрация пулеметов и пушки.</w:t>
      </w:r>
    </w:p>
    <w:p w14:paraId="4F90620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Наличие больших усилий на гашетке спуска пулеметов (27 кг), пневмопуски не отработаны.</w:t>
      </w:r>
    </w:p>
    <w:p w14:paraId="710CD45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Недостаточный запас продольной устойчивости.</w:t>
      </w:r>
    </w:p>
    <w:p w14:paraId="143B2A3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Неудовлетворительная конструкция фонаря. В случае необходимости покинуть самолет на пикировании, летчик не сможет выпрыгнуть с парашютом.</w:t>
      </w:r>
    </w:p>
    <w:p w14:paraId="3CCEFF0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Электрооборудование самолета не обеспечивает нормальной работы летчика в полете: посадочные средства и внутреннее освещение отсутствуют, вследствие чего в условиях ночи самолет не боеспособен.</w:t>
      </w:r>
    </w:p>
    <w:p w14:paraId="6C19BB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заключению НИИ ВВС все замеченные на госиспытаниях дефекты самолета И-26 подлежат устранению на серийных машинах завода № 301.</w:t>
      </w:r>
    </w:p>
    <w:p w14:paraId="3242C9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И-26 должен быть испытан заводом № 115 на пикирование, штопор, высший пилотаж к 1 июля 1940 года и предъявлен на повторные госиспытания. Одновременно Техсовет НИИ ВВС считал необходимым форсировать сдачу серийных самолетов на войсковые испытания.</w:t>
      </w:r>
    </w:p>
    <w:p w14:paraId="473057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 от завода № 301 было принято в предъявленном состоянии 10 самолетов для войсковых испытаний и один самолет для госиспытаний в НИИ ВВС. Из-за наличия дефектов конструктивно-производственного характера самолет И-26 был возвращен из НИИ ВВС обратно на завод для доводки. Большинство дефектов, выявленных на госиспытаниях по опытному самолету И-26, заводом № 301 не были устранены.</w:t>
      </w:r>
    </w:p>
    <w:p w14:paraId="24875D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Основными неустраненными дефектами остались:</w:t>
      </w:r>
    </w:p>
    <w:p w14:paraId="7825FBB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Перегрев масла при наборе высоты.</w:t>
      </w:r>
    </w:p>
    <w:p w14:paraId="643602C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Невозможность уборки шасси в полете с закрытой полотняной частью купола крыла.</w:t>
      </w:r>
    </w:p>
    <w:p w14:paraId="0714825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Наличие высокой температуры в кабине летчика.</w:t>
      </w:r>
    </w:p>
    <w:p w14:paraId="38D9812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Недостаточная продольная устойчивость самолета.</w:t>
      </w:r>
    </w:p>
    <w:p w14:paraId="0B3D63F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полностью не доведено и в воздухе не отстреляно.</w:t>
      </w:r>
    </w:p>
    <w:p w14:paraId="4D3061D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Большие усилия на гашетки.</w:t>
      </w:r>
    </w:p>
    <w:p w14:paraId="5426DCB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Программа заводских испытаний полностью не выполнена. Невыполненными полетами остались:</w:t>
      </w:r>
    </w:p>
    <w:p w14:paraId="71EDF6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пикирование до 650 км/час;</w:t>
      </w:r>
    </w:p>
    <w:p w14:paraId="5125CC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полет на потолок;</w:t>
      </w:r>
    </w:p>
    <w:p w14:paraId="321096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километраж;</w:t>
      </w:r>
    </w:p>
    <w:p w14:paraId="4158B6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летно-посадочные свойства;</w:t>
      </w:r>
    </w:p>
    <w:p w14:paraId="0355A7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полеты на дальность.</w:t>
      </w:r>
    </w:p>
    <w:p w14:paraId="0817D2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Принятые на войсковые испытания самолеты И-26 имели следующие основные дефекты:</w:t>
      </w:r>
    </w:p>
    <w:p w14:paraId="14EC2F2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Отсутствие надежно запирающихся замков ног шасси в выпущенном положении. При боковых ударах возможно складывание ног шасси.</w:t>
      </w:r>
    </w:p>
    <w:p w14:paraId="43D9370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Цилиндры уборки и подъема ног шасси, костыля и щитков часто травят воздух.</w:t>
      </w:r>
    </w:p>
    <w:p w14:paraId="7F20847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Мал зазор между покрышкой колеса и полувилкой ног шасси.</w:t>
      </w:r>
    </w:p>
    <w:p w14:paraId="1D86DEA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Отсутствие механического показателя положения ног шасси.</w:t>
      </w:r>
    </w:p>
    <w:p w14:paraId="5A17F48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Отсутствие бензиномера.</w:t>
      </w:r>
    </w:p>
    <w:p w14:paraId="640D76D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заводских испытаниях наблюдались массовые случаи вывертывания и потери в полете шурупов люков бензобаков и зализов.</w:t>
      </w:r>
    </w:p>
    <w:p w14:paraId="73945FE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Недостаточная вентиляция кабины летчика.</w:t>
      </w:r>
    </w:p>
    <w:p w14:paraId="1E31212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Невозможность в полете открыть фонарь летчика и поэтому фонарь законтрен в открытом положении.</w:t>
      </w:r>
    </w:p>
    <w:p w14:paraId="5DD19A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войсковых испытаниях самолетов в 11 истребительном полку (Кубинка) с 4 октября по 14 октября 1940 года были выявлены следующие основные дефекты:</w:t>
      </w:r>
    </w:p>
    <w:p w14:paraId="4D0ED59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Утеря в массовом количестве шурупов крепящих зализы и люки бензобаков.</w:t>
      </w:r>
    </w:p>
    <w:p w14:paraId="4D259E0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Быстрая утечка воздуха из пневмосистемы самолета.</w:t>
      </w:r>
    </w:p>
    <w:p w14:paraId="372D7DD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Через 10-12 полетов выходят из строя покрышки баллонов костыля.</w:t>
      </w:r>
    </w:p>
    <w:p w14:paraId="67426E0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Выбивает масло из суфлера мотора и забрызгивает фонарь летчика.</w:t>
      </w:r>
    </w:p>
    <w:p w14:paraId="7A83440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Греются моторы, вследствие чего температура выходящего масла на коротких и непродолжительных полетах достигает 112-115 градусов С.</w:t>
      </w:r>
    </w:p>
    <w:p w14:paraId="18D6943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Отказ амортстоек и заклинивание штока.</w:t>
      </w:r>
    </w:p>
    <w:p w14:paraId="7B00042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Перегорание лампочек электросигнализации и отсутствие механического указателя положения ног шасси.</w:t>
      </w:r>
    </w:p>
    <w:p w14:paraId="4AAD0D2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Трудность контролирования расхода горючего из-за отсутствия бензиномера.</w:t>
      </w:r>
    </w:p>
    <w:p w14:paraId="6BDEBD6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Обрыв предохранительного троса костыля.</w:t>
      </w:r>
    </w:p>
    <w:p w14:paraId="5B15EF2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Лопаются покрышки баллона костыля.</w:t>
      </w:r>
    </w:p>
    <w:p w14:paraId="73840B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Помимо перечисленных дефектов, самолеты И-26 выпускаемые заводами №№ 301 и 292 не оборудованы:</w:t>
      </w:r>
    </w:p>
    <w:p w14:paraId="2BB341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радиостанцией,</w:t>
      </w:r>
    </w:p>
    <w:p w14:paraId="16E1B7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генератором ГС-350,</w:t>
      </w:r>
    </w:p>
    <w:p w14:paraId="6C3C5B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установкой для подвесных б/баков,</w:t>
      </w:r>
    </w:p>
    <w:p w14:paraId="627F47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проводкой для заполнения б/баков инертным газом,</w:t>
      </w:r>
    </w:p>
    <w:p w14:paraId="47F4C0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посадочной фарой или подкрыльным факелом,</w:t>
      </w:r>
    </w:p>
    <w:p w14:paraId="138139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приспособлениями для фото-кино-пулемета и конусной установкой,</w:t>
      </w:r>
    </w:p>
    <w:p w14:paraId="5F7CA9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приборами: вариометром, авиагоризонтом, бензиномерами, трехстрелочным моторным индикатором с новым реле, штепсельной розеткой для переносной лампы,</w:t>
      </w:r>
    </w:p>
    <w:p w14:paraId="4C7223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пневмопуском для пулеметов и пушки,</w:t>
      </w:r>
    </w:p>
    <w:p w14:paraId="51C983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бортовым штуцером для зарядки кислородного баллона.</w:t>
      </w:r>
    </w:p>
    <w:p w14:paraId="3AD22B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основные агрегаты выпускаемых самолетов – крыло, фюзеляж, оперение в 1940 году будут не взаимозаменяемы. Гарантийных срок службы самолета завод № 301 установил 100 часов или 5 месяцев при условии ангарного хранения.</w:t>
      </w:r>
    </w:p>
    <w:p w14:paraId="2BCF90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прямого договора с заводом № 301, последний должен в I полугодии 1940 года сдать ГУ ВВС 25 самолетов И-26, фактически же сдано ноль.</w:t>
      </w:r>
    </w:p>
    <w:p w14:paraId="54E763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постановлению КО за № 413сс от 19 мая 1940 года за 5 месяцев 1940 года завод № 301 должен сдать ГУ ВВС 72 самолета. На 1 ноября 1940 года принято и оформлено 17 самолетов.</w:t>
      </w:r>
    </w:p>
    <w:p w14:paraId="4BF25F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постановлению КО за № 413сс завод № 292 за 5 месяцев 1940 года должен сдать ГУ ВВС 100 самолетов И-26. На 1 ноября 1940 года заводом № 292 сдано ноль. По этому постановлению завод № 126 должен сдать 10 самолетов. На 1 ноября 1940 года сдано ноль.</w:t>
      </w:r>
    </w:p>
    <w:p w14:paraId="2C3C41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самолету И-200 АМ35А</w:t>
      </w:r>
    </w:p>
    <w:p w14:paraId="1E9F7C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от 25 мая за № 224сс вменялось в обязанность заводу № 1 самолет И-200 АМ35А передать на госиспытания к 10 июня 1940 года.</w:t>
      </w:r>
    </w:p>
    <w:p w14:paraId="6780D4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сдан на госиспытания 29 августа 1940 года. Отчет госиспытаний утвержден 20 сентября 1940 года.</w:t>
      </w:r>
    </w:p>
    <w:p w14:paraId="547524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 413сс от 19 октября 1940 года предусмотрен выпуск серийных самолетов в следующие сроки:</w:t>
      </w:r>
    </w:p>
    <w:p w14:paraId="2CF4B0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август – 3 самолета</w:t>
      </w:r>
    </w:p>
    <w:p w14:paraId="422AF8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сентябрь – 18 самолетов</w:t>
      </w:r>
    </w:p>
    <w:p w14:paraId="0590DD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октябрь – 18 самолетов</w:t>
      </w:r>
    </w:p>
    <w:p w14:paraId="2199EC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ноябрь – 28 самолетов</w:t>
      </w:r>
    </w:p>
    <w:p w14:paraId="291FFF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декабрь - 48 самолетов</w:t>
      </w:r>
    </w:p>
    <w:p w14:paraId="4B9899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 115 самолетов</w:t>
      </w:r>
    </w:p>
    <w:p w14:paraId="383653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 ноября поступило из сборочного цеха для облета на аэродром первые 10 самолетов.</w:t>
      </w:r>
    </w:p>
    <w:p w14:paraId="173267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Запоздание сборки серийных самолетов И-200 АМ35А объясняется:</w:t>
      </w:r>
    </w:p>
    <w:p w14:paraId="03B3E62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Отсутствием моторов, которые стали поступать с 24 завода в октябре 1940 года.</w:t>
      </w:r>
    </w:p>
    <w:p w14:paraId="2792173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Большой брак дельта древесины для лонжеронов, поставляемых заводом № 167.</w:t>
      </w:r>
    </w:p>
    <w:p w14:paraId="2A90EAF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Большое количество изменений вносимые в чертежи на серийные самолеты, что вызывалось необходимостью усиления и доработки конструкций самолета:</w:t>
      </w:r>
    </w:p>
    <w:p w14:paraId="14933E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центроплана,</w:t>
      </w:r>
    </w:p>
    <w:p w14:paraId="6FCED1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шасси,</w:t>
      </w:r>
    </w:p>
    <w:p w14:paraId="6C5A8A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консоли крыла,</w:t>
      </w:r>
    </w:p>
    <w:p w14:paraId="68704A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винтомоторной группы.</w:t>
      </w:r>
    </w:p>
    <w:p w14:paraId="36DC83F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Отставание по выполнению плана изготовления: стапелей, инструмента и приспособлений.</w:t>
      </w:r>
    </w:p>
    <w:p w14:paraId="44C050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приеме военпредом головной серии в количестве 10 самолетов и их облете выявлены дефекты, заставившие гл. конструктора самолета внести дополнительные изменения в чертежи и произвести переделки на готовых самолетах:</w:t>
      </w:r>
    </w:p>
    <w:p w14:paraId="20DC7B2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Переделана воздушная система уборки ног шасси.</w:t>
      </w:r>
    </w:p>
    <w:p w14:paraId="456CE29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Усилены коки винта.</w:t>
      </w:r>
    </w:p>
    <w:p w14:paraId="7D3E159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Усилены водорадиаторы.</w:t>
      </w:r>
    </w:p>
    <w:p w14:paraId="51CE63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на первой головной серии самолетов И-200 имеются следующие основные дефекты:</w:t>
      </w:r>
    </w:p>
    <w:p w14:paraId="75DB2AB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проверены штопорные свойства самолета.</w:t>
      </w:r>
    </w:p>
    <w:p w14:paraId="7402CF9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Слабы колеса 600х180 – требуется установить 650х200 мм.</w:t>
      </w:r>
    </w:p>
    <w:p w14:paraId="2AE228A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 не оборудованы под подогрев от лампы АПЛ-1.</w:t>
      </w:r>
    </w:p>
    <w:p w14:paraId="413D3D1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Винты ВИШ-22Е и ВИШ-61 не подобраны – на взлете не снимают полной мощности мотора.</w:t>
      </w:r>
    </w:p>
    <w:p w14:paraId="655D99A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Водорадиаторы ОП-229 не годны – текут по обичайке.</w:t>
      </w:r>
    </w:p>
    <w:p w14:paraId="52DDB1D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 бензиномеров у центропланных бензобаков.</w:t>
      </w:r>
    </w:p>
    <w:p w14:paraId="1DFCEBE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Пневматика уборки хвостового колеса не годная, с колеса соскакивает резина (необходимо установить пневматик).</w:t>
      </w:r>
    </w:p>
    <w:p w14:paraId="0AF2285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Мала дальность полета – 580 км вместо 650 км.</w:t>
      </w:r>
    </w:p>
    <w:p w14:paraId="0701CF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 ноября 1940 года на заводе № 1 в заделе имеется 20 самолетов, при полном отсутствии моторов и консолей крыла.</w:t>
      </w:r>
    </w:p>
    <w:p w14:paraId="6B7773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сентября 1940 года поступил на заводские испытания 4-й опытный самолет с устраненными дефектами, выявленными на госиспытании.</w:t>
      </w:r>
    </w:p>
    <w:p w14:paraId="609FA5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самолету И-153 М62</w:t>
      </w:r>
    </w:p>
    <w:p w14:paraId="67972E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И-153 М62 и с М63 выпускается заводом № 1 с апреля 1939 года, несмотря на это, остается недоведенным и имеет большое количество дефектов – основными из которых являются:</w:t>
      </w:r>
    </w:p>
    <w:p w14:paraId="2DCED06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Недостаточная прочность самолета потребовала ограничения скорости пикирования до 540 км/час. В течение 1940 года имел место ряд случаев разрушения самолетов в воздухе:</w:t>
      </w:r>
    </w:p>
    <w:p w14:paraId="721E39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3 случая отрыва в воздухе хвостовой части фюзеляжа;</w:t>
      </w:r>
    </w:p>
    <w:p w14:paraId="0C9524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3 случая отрыва в воздухе коробки крыльев;</w:t>
      </w:r>
    </w:p>
    <w:p w14:paraId="509FCB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массовые случаи поломки задних ломающихся подкосов ног шасси.</w:t>
      </w:r>
    </w:p>
    <w:p w14:paraId="1D3EEEA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неудовлетворительно отработана винтомоторная группа по температурным режимам при недоведенности мотора М62 и М63.</w:t>
      </w:r>
    </w:p>
    <w:p w14:paraId="1256201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Неудовлетворительно подобран винт АВ-1 и ВВ-1 при недоведенности последних (наблюдается раскрутка винтов на пикировании).</w:t>
      </w:r>
    </w:p>
    <w:p w14:paraId="0D1AA8C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 допускает применение материалов, для самолетов И-153, не отвечающих стандарту, что усложняет как их изготовление в производстве, так и ремонт в частях ВВС. (Для изготовления фюзеляжей допускаются хромансилевые трубы с повышенным содержанием углерода).</w:t>
      </w:r>
    </w:p>
    <w:p w14:paraId="52CA26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Проведенными в апреле статиспытаниями хвостовой части фюзеляжа причина разрушения самолета в воздухе не установлена.</w:t>
      </w:r>
    </w:p>
    <w:p w14:paraId="302D08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июля 1940 года заводом № 1с целью усиления коробки крыльев, ставятся усиленные сережки крепления лент-расчалок.</w:t>
      </w:r>
    </w:p>
    <w:p w14:paraId="4ABC76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бригада завода проводит смену сережек крепления лент-расчалок в частях ВВС (работа должна быть закончена к 1 февраля 1941 года).</w:t>
      </w:r>
    </w:p>
    <w:p w14:paraId="3B2BC5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заводом № 1 были проведены статиспытания переднего лонжерона стабилизатора.</w:t>
      </w:r>
    </w:p>
    <w:p w14:paraId="193C2A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серийных самолетах заводом производится усиление заднего ломающегося подкоса ног шасси, в отношении самолетов находящихся в частях ВВС – этот вопрос еще не отработан.</w:t>
      </w:r>
    </w:p>
    <w:p w14:paraId="3442FD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Совершенно неудовлетворительно завод реагирует на получаемые им рекламационные материалы из частей ВВС и не выполняет в срок принятых обязательств.</w:t>
      </w:r>
    </w:p>
    <w:p w14:paraId="09132A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самолету ББ-22</w:t>
      </w:r>
    </w:p>
    <w:p w14:paraId="3F63E1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постановления КО за № 171сс от 20 июня 1939 года, завод № 1 развернул производство самолетов ББ-22.</w:t>
      </w:r>
    </w:p>
    <w:p w14:paraId="75BBC1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 224сс от 25 мая 1940 года производство самолетов ББ-22 на заводе № 1 было снято со сдачей НКО имеющегося задела 100 самолетов в 1940 году.</w:t>
      </w:r>
    </w:p>
    <w:p w14:paraId="3F02BD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 ноября 1940 года заводом поставлено 69 самолетов, остальные самолеты находятся в производстве.</w:t>
      </w:r>
    </w:p>
    <w:p w14:paraId="673850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за № 171сс от 20 июня 1939 года, производство самолетов ББ-22 было возложено на завод № 81. По постановлению КО № 178сс завод № 81 в I полугодии должен был сдать НКО 25 самолетов ББ-22, последующим постановлением КО № 413сс от 19 октября 1940 года заводу № 81 была установлена программа на последние 5 месяцев 1940 года в количестве 92 самолетов.</w:t>
      </w:r>
    </w:p>
    <w:p w14:paraId="766D19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 ноября 1940 года заводом выпущено 30 самолетов из них 1 самолет разбит при облете летчиком военпредства.</w:t>
      </w:r>
    </w:p>
    <w:p w14:paraId="527900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завод № 81 переходит на выпуск модифицированного самолета ББ-22 с моторами М105 и добавочными бензобаками. Кроме того завод отрабатывает самолет ББ-22 в пикирующем варианте (проходит заводские испытания).</w:t>
      </w:r>
    </w:p>
    <w:p w14:paraId="07049D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процессе кратковременной эксплуатации самолетов ББ-22 2М-103 выявлены дефекты, повлекшие за собой следующие переделки на выпускаемых самолетах:</w:t>
      </w:r>
    </w:p>
    <w:p w14:paraId="57085A3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Переделка противопожарных перегородок.</w:t>
      </w:r>
    </w:p>
    <w:p w14:paraId="767935C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Постановка масляных фильтров.</w:t>
      </w:r>
    </w:p>
    <w:p w14:paraId="23104E8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кронштейнов крепления электродатчиков тахометров.</w:t>
      </w:r>
    </w:p>
    <w:p w14:paraId="43A0B4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самолетах, находящихся в частях ВВС, завод № 81 берет обязательство произвести соответствующие работы по данным переделкам.</w:t>
      </w:r>
    </w:p>
    <w:p w14:paraId="074AEB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И-16 М-63</w:t>
      </w:r>
    </w:p>
    <w:p w14:paraId="604403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И-16 находится в серийном производстве на заводе № 21 с 1934 года и до настоящего времени имеет целый ряд дефектов, говорящих о недоведенности самолета.</w:t>
      </w:r>
    </w:p>
    <w:p w14:paraId="2C5235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103"/>
      </w:tblGrid>
      <w:tr w:rsidR="00983732" w:rsidRPr="00A3026E" w14:paraId="3409A14C" w14:textId="77777777" w:rsidTr="00EA0DA7">
        <w:tc>
          <w:tcPr>
            <w:tcW w:w="4928" w:type="dxa"/>
          </w:tcPr>
          <w:p w14:paraId="68E2DB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дефекта</w:t>
            </w:r>
          </w:p>
        </w:tc>
        <w:tc>
          <w:tcPr>
            <w:tcW w:w="5103" w:type="dxa"/>
          </w:tcPr>
          <w:p w14:paraId="62034F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Принятые меры</w:t>
            </w:r>
          </w:p>
        </w:tc>
      </w:tr>
      <w:tr w:rsidR="00983732" w:rsidRPr="00A3026E" w14:paraId="05F462CF" w14:textId="77777777" w:rsidTr="00EA0DA7">
        <w:tc>
          <w:tcPr>
            <w:tcW w:w="4928" w:type="dxa"/>
          </w:tcPr>
          <w:p w14:paraId="707D9E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М-63 и винт АВ-1 не надежны</w:t>
            </w:r>
          </w:p>
        </w:tc>
        <w:tc>
          <w:tcPr>
            <w:tcW w:w="5103" w:type="dxa"/>
          </w:tcPr>
          <w:p w14:paraId="1E3C2F6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AF15F62" w14:textId="77777777" w:rsidTr="00EA0DA7">
        <w:tc>
          <w:tcPr>
            <w:tcW w:w="4928" w:type="dxa"/>
          </w:tcPr>
          <w:p w14:paraId="0B7F5C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выхлопных патрубков 1, 3, 7, 8, 9 цилиндров.</w:t>
            </w:r>
          </w:p>
        </w:tc>
        <w:tc>
          <w:tcPr>
            <w:tcW w:w="5103" w:type="dxa"/>
          </w:tcPr>
          <w:p w14:paraId="300C17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Заменен материал и увеличена его толщина.</w:t>
            </w:r>
          </w:p>
        </w:tc>
      </w:tr>
      <w:tr w:rsidR="00983732" w:rsidRPr="00A3026E" w14:paraId="2DDCC80F" w14:textId="77777777" w:rsidTr="00EA0DA7">
        <w:tc>
          <w:tcPr>
            <w:tcW w:w="4928" w:type="dxa"/>
          </w:tcPr>
          <w:p w14:paraId="78E50B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Поломка кронштейнов выхлопных патрубков 1 и 6 цилиндров.</w:t>
            </w:r>
          </w:p>
        </w:tc>
        <w:tc>
          <w:tcPr>
            <w:tcW w:w="5103" w:type="dxa"/>
          </w:tcPr>
          <w:p w14:paraId="05F89E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Усилен кронштейн.</w:t>
            </w:r>
          </w:p>
        </w:tc>
      </w:tr>
      <w:tr w:rsidR="00983732" w:rsidRPr="00A3026E" w14:paraId="4626F325" w14:textId="77777777" w:rsidTr="00EA0DA7">
        <w:tc>
          <w:tcPr>
            <w:tcW w:w="4928" w:type="dxa"/>
          </w:tcPr>
          <w:p w14:paraId="09F3BF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Массовое травление воздуха из амортизатора костыля.</w:t>
            </w:r>
          </w:p>
        </w:tc>
        <w:tc>
          <w:tcPr>
            <w:tcW w:w="5103" w:type="dxa"/>
          </w:tcPr>
          <w:p w14:paraId="66F7A9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Устраняется путем лужения сварного шва. Выпущен бюллетень.</w:t>
            </w:r>
          </w:p>
        </w:tc>
      </w:tr>
      <w:tr w:rsidR="00983732" w:rsidRPr="00A3026E" w14:paraId="0CAEAA3B" w14:textId="77777777" w:rsidTr="00EA0DA7">
        <w:tc>
          <w:tcPr>
            <w:tcW w:w="4928" w:type="dxa"/>
          </w:tcPr>
          <w:p w14:paraId="5F4ABC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Разрушений кронштейна трубки «Пито».</w:t>
            </w:r>
          </w:p>
        </w:tc>
        <w:tc>
          <w:tcPr>
            <w:tcW w:w="5103" w:type="dxa"/>
          </w:tcPr>
          <w:p w14:paraId="51217C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Производственный дефект. Усилен контроль на заводе.</w:t>
            </w:r>
          </w:p>
        </w:tc>
      </w:tr>
      <w:tr w:rsidR="00983732" w:rsidRPr="00A3026E" w14:paraId="41A1BBD4" w14:textId="77777777" w:rsidTr="00EA0DA7">
        <w:tc>
          <w:tcPr>
            <w:tcW w:w="4928" w:type="dxa"/>
          </w:tcPr>
          <w:p w14:paraId="23C543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Трещины в щитках шасси и их кронштейнах.</w:t>
            </w:r>
          </w:p>
        </w:tc>
        <w:tc>
          <w:tcPr>
            <w:tcW w:w="5103" w:type="dxa"/>
          </w:tcPr>
          <w:p w14:paraId="61CE47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Кронштейны усилены. Усилен контроль за выколоткой щитков.</w:t>
            </w:r>
          </w:p>
        </w:tc>
      </w:tr>
      <w:tr w:rsidR="00983732" w:rsidRPr="00A3026E" w14:paraId="27542AD9" w14:textId="77777777" w:rsidTr="00EA0DA7">
        <w:tc>
          <w:tcPr>
            <w:tcW w:w="4928" w:type="dxa"/>
          </w:tcPr>
          <w:p w14:paraId="74AF7C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тормозных колодок колес.</w:t>
            </w:r>
          </w:p>
        </w:tc>
        <w:tc>
          <w:tcPr>
            <w:tcW w:w="5103" w:type="dxa"/>
          </w:tcPr>
          <w:p w14:paraId="0B35BB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Заменяются диски колес на усиленные.</w:t>
            </w:r>
          </w:p>
        </w:tc>
      </w:tr>
      <w:tr w:rsidR="00983732" w:rsidRPr="00A3026E" w14:paraId="06D6E906" w14:textId="77777777" w:rsidTr="00EA0DA7">
        <w:tc>
          <w:tcPr>
            <w:tcW w:w="4928" w:type="dxa"/>
          </w:tcPr>
          <w:p w14:paraId="62FC88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перегородки добавочных маслобаков.</w:t>
            </w:r>
          </w:p>
        </w:tc>
        <w:tc>
          <w:tcPr>
            <w:tcW w:w="5103" w:type="dxa"/>
          </w:tcPr>
          <w:p w14:paraId="0D1201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Маслобаки заменяются на усиленные.</w:t>
            </w:r>
          </w:p>
        </w:tc>
      </w:tr>
      <w:tr w:rsidR="00983732" w:rsidRPr="00A3026E" w14:paraId="1FE91F6C" w14:textId="77777777" w:rsidTr="00EA0DA7">
        <w:tc>
          <w:tcPr>
            <w:tcW w:w="4928" w:type="dxa"/>
          </w:tcPr>
          <w:p w14:paraId="7DB62D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Разрушение замков «Ферри».</w:t>
            </w:r>
          </w:p>
        </w:tc>
        <w:tc>
          <w:tcPr>
            <w:tcW w:w="5103" w:type="dxa"/>
          </w:tcPr>
          <w:p w14:paraId="510AA1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Замки усилены по типу завода № 1.</w:t>
            </w:r>
          </w:p>
        </w:tc>
      </w:tr>
      <w:tr w:rsidR="00983732" w:rsidRPr="00A3026E" w14:paraId="00656BE7" w14:textId="77777777" w:rsidTr="00EA0DA7">
        <w:tc>
          <w:tcPr>
            <w:tcW w:w="4928" w:type="dxa"/>
          </w:tcPr>
          <w:p w14:paraId="4D6747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Люфты в карданах элерон и шарнирах ГУКа ручного управления.</w:t>
            </w:r>
          </w:p>
        </w:tc>
        <w:tc>
          <w:tcPr>
            <w:tcW w:w="5103" w:type="dxa"/>
          </w:tcPr>
          <w:p w14:paraId="0E236E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Производственный дефект. Пересматриваются выпуска на приемку деталей. В одиночном комплекте увеличено количество втулок.</w:t>
            </w:r>
          </w:p>
        </w:tc>
      </w:tr>
      <w:tr w:rsidR="00983732" w:rsidRPr="00A3026E" w14:paraId="07CE6811" w14:textId="77777777" w:rsidTr="00EA0DA7">
        <w:tc>
          <w:tcPr>
            <w:tcW w:w="4928" w:type="dxa"/>
          </w:tcPr>
          <w:p w14:paraId="4DE932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Самопроизвольный отход сектора газа от поставленного положения.</w:t>
            </w:r>
          </w:p>
        </w:tc>
        <w:tc>
          <w:tcPr>
            <w:tcW w:w="5103" w:type="dxa"/>
          </w:tcPr>
          <w:p w14:paraId="064E60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Выпущен бюллетень по регулировке сектора газа.</w:t>
            </w:r>
          </w:p>
        </w:tc>
      </w:tr>
      <w:tr w:rsidR="00983732" w:rsidRPr="00A3026E" w14:paraId="4D727272" w14:textId="77777777" w:rsidTr="00EA0DA7">
        <w:tc>
          <w:tcPr>
            <w:tcW w:w="4928" w:type="dxa"/>
          </w:tcPr>
          <w:p w14:paraId="147B03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Трещины в капотах мотора.</w:t>
            </w:r>
          </w:p>
        </w:tc>
        <w:tc>
          <w:tcPr>
            <w:tcW w:w="5103" w:type="dxa"/>
          </w:tcPr>
          <w:p w14:paraId="4E37CA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Проведено усиление капота в местах появления трещин.</w:t>
            </w:r>
          </w:p>
        </w:tc>
      </w:tr>
    </w:tbl>
    <w:p w14:paraId="3A9D5D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(7713, 300-329).</w:t>
      </w:r>
    </w:p>
    <w:p w14:paraId="42281C4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7D143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 г. вышло совместное постановление ЦК ВКП(б) и СНК СССР №2187-936-40, где важнейшими направлениями работ моторостроителей определены: освоение серийного производства мощных моторов АМ-37, М-107П и М-89. Этот документ, в частности, обязывал В.Л.Климова и директора завода №26 П.Д.Лаврентьева к Первомаю 1941 г. провести 100-часовые испытания М-107П (4537).</w:t>
      </w:r>
    </w:p>
    <w:p w14:paraId="52092E7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5477C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 вышел приказ НКАП N 619сс в исполнение постановления Правительства от 28 октября 1940 об организации производства боевых самолетов в Эстонской, Латвийской и Литовской Союзных республиках (418,51).</w:t>
      </w:r>
    </w:p>
    <w:p w14:paraId="628586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Приказано ПГУ организовать (418,51):</w:t>
      </w:r>
    </w:p>
    <w:p w14:paraId="378119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 Эстонии в Таллинне самолетостроительный завод 463 по производству истребителей И-301 с доведением годовой мощности до 350 самолетов к 1 декабря 1941 и выпустить в 1940 - 50</w:t>
      </w:r>
    </w:p>
    <w:p w14:paraId="6EAF6F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 Латвии в Риге самолетостроительный завод 464 по производству УТИ-26 с доведением годовой мощности до 800 самолетов к 1 декабря 1941 и выпустить в 1940 - 200</w:t>
      </w:r>
    </w:p>
    <w:p w14:paraId="5B6765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 Литве в Каунасе самолетостроительный завод 465 по производству УТИ-26 с доведением годовой мощности до 100 самолетов к 1 декабря 1941 и выпустить в 1940 - 10</w:t>
      </w:r>
    </w:p>
    <w:p w14:paraId="28B806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Приказано Пятому ГУ организовать в Эстонии, в Тарту организовать завод 382 по производству авиаприборов (418,51).</w:t>
      </w:r>
    </w:p>
    <w:p w14:paraId="36F007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 СЕКРЕТНО</w:t>
      </w:r>
    </w:p>
    <w:p w14:paraId="316618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w:t>
      </w:r>
    </w:p>
    <w:p w14:paraId="34BF54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Народного Комиссара Авиационной Промышленности СССР</w:t>
      </w:r>
    </w:p>
    <w:p w14:paraId="2B098B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исполнение юстановления Правительства от 28 октября 1940 года об организации производства боевых самолетов в Эстонской, Латвийской и Литовсгой Союзных Республиках, ПРИКАЗЫВАЮ:</w:t>
      </w:r>
    </w:p>
    <w:p w14:paraId="282A97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Начальнику Первого Главного Управления:</w:t>
      </w:r>
    </w:p>
    <w:p w14:paraId="04F28E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организовать в Эстонской ССР в г. Талине самолетостроительный завод по производству истребителей И-301, с доведением годовой мощности завода до 350 самолетов к 1 декабря 1941 года.</w:t>
      </w:r>
    </w:p>
    <w:p w14:paraId="686281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 в 1941 году определить в количестве 50 самолетов,</w:t>
      </w:r>
    </w:p>
    <w:p w14:paraId="2613BB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Организовав в Латвийской ССР в г. Риге самолетостроительный завод по производству УТИ-26, с доведением годовой мощности завода до 800 самолетов к 1 марта 1942 года.</w:t>
      </w:r>
    </w:p>
    <w:p w14:paraId="5E0573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 в 1941 году определить в 200 самолетов.</w:t>
      </w:r>
    </w:p>
    <w:p w14:paraId="122EEE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Организовать в Литовской ССР в г. Каунасе самолетостроительный завод по производству УТИ-26 с доведением мощности завода до 100 самолетов к 1 декабря 1941 года.</w:t>
      </w:r>
    </w:p>
    <w:p w14:paraId="2D88E4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 в 1941 году определить в 10 самолетов.</w:t>
      </w:r>
    </w:p>
    <w:p w14:paraId="77AF42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Начальнику Пятого Главного Управления организовать в г. Тарту Эстонской ССР завод по производству авиационных приборов.</w:t>
      </w:r>
    </w:p>
    <w:p w14:paraId="198E3E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Начальнику Первого Главного Управления для организации производства самолетов, принять следующие предприятия:</w:t>
      </w:r>
    </w:p>
    <w:p w14:paraId="010A95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Эстонской ССР</w:t>
      </w:r>
    </w:p>
    <w:p w14:paraId="0E1D22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Фанерно-мебельнуго фабрику "Лютер", законсервированный завод "Двигатель", Авторемонтный, механический и литейный цехи предприятия "Илъ-Мартине", авиационные мастерские с аэродромом.</w:t>
      </w:r>
    </w:p>
    <w:p w14:paraId="0EB057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Латвийской ССР</w:t>
      </w:r>
    </w:p>
    <w:p w14:paraId="1E27AA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Новый Рижский городской автобусный гараж, производственные корпуса бывшего акционерного общест</w:t>
      </w:r>
      <w:r w:rsidRPr="00A3026E">
        <w:rPr>
          <w:rFonts w:ascii="Times New Roman" w:hAnsi="Times New Roman"/>
          <w:color w:val="000000" w:themeColor="text1"/>
          <w:sz w:val="16"/>
          <w:szCs w:val="16"/>
        </w:rPr>
        <w:softHyphen/>
        <w:t>ва "Проводник".</w:t>
      </w:r>
    </w:p>
    <w:p w14:paraId="72C08C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Литовской ССР</w:t>
      </w:r>
    </w:p>
    <w:p w14:paraId="5FCD20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Авиационные мастерские в Каунасе с аэродромам. Метизный завод "Тильманс".</w:t>
      </w:r>
    </w:p>
    <w:p w14:paraId="5B5362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Передать Наркомату Местной Промышленности Литовской ССР оборудование завода "Тильманс" неиспользуемое для само</w:t>
      </w:r>
      <w:r w:rsidRPr="00A3026E">
        <w:rPr>
          <w:rFonts w:ascii="Times New Roman" w:hAnsi="Times New Roman"/>
          <w:color w:val="000000" w:themeColor="text1"/>
          <w:sz w:val="16"/>
          <w:szCs w:val="16"/>
        </w:rPr>
        <w:softHyphen/>
        <w:t>летостроения.</w:t>
      </w:r>
    </w:p>
    <w:p w14:paraId="28EBF3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Начальнику Пятого Главного Управления принять теле</w:t>
      </w:r>
      <w:r w:rsidRPr="00A3026E">
        <w:rPr>
          <w:rFonts w:ascii="Times New Roman" w:hAnsi="Times New Roman"/>
          <w:color w:val="000000" w:themeColor="text1"/>
          <w:sz w:val="16"/>
          <w:szCs w:val="16"/>
        </w:rPr>
        <w:softHyphen/>
        <w:t>фонную фабрику в г. Тарту Эстонской ССР для организации про</w:t>
      </w:r>
      <w:r w:rsidRPr="00A3026E">
        <w:rPr>
          <w:rFonts w:ascii="Times New Roman" w:hAnsi="Times New Roman"/>
          <w:color w:val="000000" w:themeColor="text1"/>
          <w:sz w:val="16"/>
          <w:szCs w:val="16"/>
        </w:rPr>
        <w:softHyphen/>
        <w:t>изводства авиационных приборов.</w:t>
      </w:r>
    </w:p>
    <w:p w14:paraId="7EF605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Начальнику ГУКС"а организовать для строительства заводов, указанных в пункте 1-м этого дриказа, специализи</w:t>
      </w:r>
      <w:r w:rsidRPr="00A3026E">
        <w:rPr>
          <w:rFonts w:ascii="Times New Roman" w:hAnsi="Times New Roman"/>
          <w:color w:val="000000" w:themeColor="text1"/>
          <w:sz w:val="16"/>
          <w:szCs w:val="16"/>
        </w:rPr>
        <w:softHyphen/>
        <w:t>рованные строительно-монтажные тресты в городах Талине, Риге.</w:t>
      </w:r>
    </w:p>
    <w:p w14:paraId="3F2B9E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Строительно-монтажному тресту в гор. Талине присвоить № 16 и строительно-монтажному тресту в г. Риге № 17.</w:t>
      </w:r>
    </w:p>
    <w:p w14:paraId="0769C7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Начальникам ГУКС"а и 1-ГПИ обеспечить строительства самолетных заводов в городах Талине, Риге и Каунасе проек</w:t>
      </w:r>
      <w:r w:rsidRPr="00A3026E">
        <w:rPr>
          <w:rFonts w:ascii="Times New Roman" w:hAnsi="Times New Roman"/>
          <w:color w:val="000000" w:themeColor="text1"/>
          <w:sz w:val="16"/>
          <w:szCs w:val="16"/>
        </w:rPr>
        <w:softHyphen/>
        <w:t>тами и рабочими чертежами к 1. П. 1941 года (418,51).</w:t>
      </w:r>
    </w:p>
    <w:p w14:paraId="0016E4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Начальнику ЦФО НКАП оформить получение из резервного фонда СНК СССР:</w:t>
      </w:r>
    </w:p>
    <w:p w14:paraId="095AE0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отпущенные на 1940 год для капитального строительства, приобретения оборудования, материалов, транспорта и механизмов-для заводов в г.г. Талине, Риге и Каунасе - 30 млн. рублей, в том числе 15 млн.рублей в оборотные средства трестов;</w:t>
      </w:r>
    </w:p>
    <w:p w14:paraId="7E6DEE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выделенные на подготовку производства боевых самоле</w:t>
      </w:r>
      <w:r w:rsidRPr="00A3026E">
        <w:rPr>
          <w:rFonts w:ascii="Times New Roman" w:hAnsi="Times New Roman"/>
          <w:color w:val="000000" w:themeColor="text1"/>
          <w:sz w:val="16"/>
          <w:szCs w:val="16"/>
        </w:rPr>
        <w:softHyphen/>
        <w:t>тов и авиационных приборов в г.г. Талине, Риге, Каунасе и Тарту 6 млн. рублей.</w:t>
      </w:r>
    </w:p>
    <w:p w14:paraId="5A5967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Начальнику ИНО обеспечить импорт оборудования для самолетных заводов в Эстонской, Латвийской и Литовской ССР на сумму 5 млн. рублей.</w:t>
      </w:r>
    </w:p>
    <w:p w14:paraId="32DC03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Вновь организуемым самолетостроительным заводам присвоить следующие номера:</w:t>
      </w:r>
    </w:p>
    <w:p w14:paraId="3D88F1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гор. Таллине № 463,</w:t>
      </w:r>
    </w:p>
    <w:p w14:paraId="49AD8A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гор. Риге № 464,</w:t>
      </w:r>
    </w:p>
    <w:p w14:paraId="21A6C0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 гор. Каунасе № 465</w:t>
      </w:r>
    </w:p>
    <w:p w14:paraId="1526F4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в административном отношении подчинить их Первому Главному Управлению НКАП,</w:t>
      </w:r>
    </w:p>
    <w:p w14:paraId="127FE7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Вновь организуемому приборостроительному заводу в гор. Тарту присвоить № 382 и в административном отношении подчинить его Пятому Главному Управлению НКАП.</w:t>
      </w:r>
    </w:p>
    <w:p w14:paraId="4FD217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Этим асе поотановлением Правительства обязаны:</w:t>
      </w:r>
    </w:p>
    <w:p w14:paraId="49EEC6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Совнарком Латвийской ССР:</w:t>
      </w:r>
    </w:p>
    <w:p w14:paraId="684FB5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 1.ХП.1940 года разместить предприятия, находящиеся в зданиях бывшего акционерного общества "Проводник" передава</w:t>
      </w:r>
      <w:r w:rsidRPr="00A3026E">
        <w:rPr>
          <w:rFonts w:ascii="Times New Roman" w:hAnsi="Times New Roman"/>
          <w:color w:val="000000" w:themeColor="text1"/>
          <w:sz w:val="16"/>
          <w:szCs w:val="16"/>
        </w:rPr>
        <w:softHyphen/>
        <w:t>емых в НКАП (418,51).</w:t>
      </w:r>
    </w:p>
    <w:p w14:paraId="54E43FE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37357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 г. по приказу № 472к КБ-20 завода № 156 НКАП было ликвидировано, личный состав переведен в ОКБ завода № 120. Тем же приказом гл. конструктор  Г.Е. Чупилко снят, вместо него назначен П.В. Флеров.</w:t>
      </w:r>
    </w:p>
    <w:p w14:paraId="0AF0D5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364с от 19.07.1940 г. из состава ОКБ выделилась конструкторская группа для разработки амортстоек шасси и костылей. И.О. Начальника КБ по агрегатам шасси назначен Н.В. Куликов. По приказу НКАП № 473с от 23.05.1941 г. конструкторская группа по шасси завода № 120 в полном составе переведена в новое ОКБ завода № 119 НКАП.</w:t>
      </w:r>
    </w:p>
    <w:p w14:paraId="543FDB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филиале завода № 120 в Нижнем Тагиле действовал филиал ОКБ. По приказу № 1045с от 6.10.1941 г. оборудование и личный состав филиала ОКБ переданы серийному производству для увеличения выпуска колес.</w:t>
      </w:r>
    </w:p>
    <w:p w14:paraId="30D493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(06-07.1940 г.)- Н.В. Куликов, (-11.1940 г.)-  Г.Е. Чупилко, (2.11.1940-41 г.-)- П.В. Флеров.</w:t>
      </w:r>
    </w:p>
    <w:p w14:paraId="66379C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гл. конструктора (-06.1940 г.)- Н.В. Куликов, (06.1940 г.-)- Н.И. Жохов (11982).</w:t>
      </w:r>
    </w:p>
    <w:p w14:paraId="7E762A5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426E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 г. в состав завода № 82 был влит радиозавод № 85 ГУ ГВФ. Полностью завод должен был быть введен в строй в 1941 г. К середине 1941 г. завод имел две территории: старую и новую.</w:t>
      </w:r>
    </w:p>
    <w:p w14:paraId="0DA053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729сс от 22.07.1941 г. завод № 82 ЗГУ НКАП эвакуирован в  г. Казань на площадку завода № 27 НКАП. Организационно завод влит в состав завода № 27, но по приказам № 1091с от 1.11.1941 г. и № 1145сс от 20.11.1941 г. производство авиадизеля М-30 выделено вновь в самостоятельное производство на мощностях бывшего завода № 82 и под тем же номером действовало в Казани.</w:t>
      </w:r>
    </w:p>
    <w:p w14:paraId="5AAE8B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возобновлением производства М-30 на старой площадке завода в Тушино, в соответствии с пост. ГКО № 1207сс от 24.01.1942 г. и приказом № 74с от 26.01.1942 г. завод № 82 к 03.1942 г. был переведен обратно в Тушино со всем оборудованием и личным составом и должен был выпустить к 1.05.1942 г. серийный мотор М-30. Вскоре по прибытии для обеспечения быстрейшей организации в Москве завода-дублера по производству АМ-38 в соответствии с пост. ГКО № 1440сс от 14.03.1942 г. и приказом № 206сс от 16.03.1942 г. завод № 82 ликвидирован, все оборудование и основная часть личного состава переданы заводу № 45 НКАП. Выпуск М-30 временно приостановлен, а задел по нему передан в ЦИАМ.</w:t>
      </w:r>
    </w:p>
    <w:p w14:paraId="7536A2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239с от 30.03.1942 г. на площадке бывшего завода № 82 образован в системе Главремуправления завод по ремонту моторов «Мерлин» и «Аллисон». Выпуск запчастей к авиамоторам.</w:t>
      </w:r>
    </w:p>
    <w:p w14:paraId="4C0001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374101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Директор (1932-35 г.)- С.Е. Киселев, (1936 г.)- </w:t>
      </w:r>
      <w:r w:rsidRPr="00A3026E">
        <w:rPr>
          <w:rFonts w:ascii="Times New Roman" w:hAnsi="Times New Roman"/>
          <w:color w:val="000000" w:themeColor="text1"/>
          <w:sz w:val="16"/>
          <w:szCs w:val="16"/>
          <w:lang w:val="en-US"/>
        </w:rPr>
        <w:t>B</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C</w:t>
      </w:r>
      <w:r w:rsidRPr="00A3026E">
        <w:rPr>
          <w:rFonts w:ascii="Times New Roman" w:hAnsi="Times New Roman"/>
          <w:color w:val="000000" w:themeColor="text1"/>
          <w:sz w:val="16"/>
          <w:szCs w:val="16"/>
        </w:rPr>
        <w:t>. Войтов, (1937 г.)- А.С. Черняков, (1938-41 г.)- С.Н. Жилин, (1941-42 г.-)- В.Н. Дубов.</w:t>
      </w:r>
      <w:r w:rsidRPr="00A3026E">
        <w:rPr>
          <w:rFonts w:ascii="Times New Roman" w:hAnsi="Times New Roman"/>
          <w:color w:val="000000" w:themeColor="text1"/>
          <w:sz w:val="16"/>
          <w:szCs w:val="16"/>
          <w:vertAlign w:val="superscript"/>
        </w:rPr>
        <w:t>49</w:t>
      </w:r>
    </w:p>
    <w:p w14:paraId="53D65A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(конец 1930-х)- А. Г. Таканаев</w:t>
      </w:r>
      <w:r w:rsidRPr="00A3026E">
        <w:rPr>
          <w:rFonts w:ascii="Times New Roman" w:hAnsi="Times New Roman"/>
          <w:color w:val="000000" w:themeColor="text1"/>
          <w:sz w:val="16"/>
          <w:szCs w:val="16"/>
          <w:vertAlign w:val="superscript"/>
        </w:rPr>
        <w:t>34</w:t>
      </w:r>
      <w:r w:rsidRPr="00A3026E">
        <w:rPr>
          <w:rFonts w:ascii="Times New Roman" w:hAnsi="Times New Roman"/>
          <w:color w:val="000000" w:themeColor="text1"/>
          <w:sz w:val="16"/>
          <w:szCs w:val="16"/>
        </w:rPr>
        <w:t>.</w:t>
      </w:r>
    </w:p>
    <w:p w14:paraId="61592F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конструкторы: (1942 г.)- Ф.Я. Тулупов (М-30) (11982).</w:t>
      </w:r>
    </w:p>
    <w:p w14:paraId="3573575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EA92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 года дивинженер И. Сакриер писал письмо № 553574с начальнику вооружения и снабжения ГУ ВВС генерал-лейтенанту авиации Астахову</w:t>
      </w:r>
    </w:p>
    <w:p w14:paraId="560F89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года в моем присутствии были испытаны на Ногинском полигоне ряд объектов вооружения.</w:t>
      </w:r>
    </w:p>
    <w:p w14:paraId="2D2A80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 о результатах испытаний:</w:t>
      </w:r>
    </w:p>
    <w:p w14:paraId="5295FAF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полигон была доставлена 23 мм пушка Таубина с расчетным темпом стрельбы 600 выстрелов в минуту. Пушка предназначена для установки на самолете Мессершмидт с целью проведения полигонных испытаний на земле и в воздухе.</w:t>
      </w:r>
    </w:p>
    <w:p w14:paraId="5ECA3C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на полигоне был замерен темп стрельбы пушки на самолете. Он оказался по 23 выстрелам равным – 627 выстрелов в минуту. 1 ноября темп снова поверялся т оказался равным в пределах 609-616 выстрелов.</w:t>
      </w:r>
    </w:p>
    <w:p w14:paraId="0F71D3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ближайших 2-3 дней пушка будет окончательно отлажена на самолете, после чего начнутся систематические полигонные испытания.</w:t>
      </w:r>
    </w:p>
    <w:p w14:paraId="1CBC2B6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полигоне находились на испытаниях осветительные бомбы САБ-15 и САБ-25 с новым снаряжением, предложенным ОТБ НКВД. Корпуса этих бомб штатные, а снаряжение их, предложенное ОТБ НКВД, предусматривает повышение светосилы этих бомб и замену дефицитных компонентов снаряжения.</w:t>
      </w:r>
    </w:p>
    <w:p w14:paraId="79D975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испытаниях особо себя показали два варианта осветительных бомб:</w:t>
      </w:r>
    </w:p>
    <w:p w14:paraId="268AA3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САБ-15 со светосилой около 600 тысяч свечей, с временем горения 3 минуты 15 секунд (у штатной светосила 400 тысяч свечей, при том же времени горения);</w:t>
      </w:r>
    </w:p>
    <w:p w14:paraId="2FA103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б) САБ-25 со светосилой 1 миллион свечей, с временем горения 2 мин. 40 секунд (у штатной – светосила 600 тысяч свечей при времени горения 3 мин. 20 секунд).</w:t>
      </w:r>
    </w:p>
    <w:p w14:paraId="4F18CF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моем присутствии в промежуток времени 19-22 часа были сброшены с самолета ДБ-3 20 бомб с высоты 1500 метров. Бомбы начали действовать с высоты 800 метров. Попутно второй самолет (СБ) в течение одного вылета производил бомбометание с 2000 метров – всего сбросил 5 бомб.</w:t>
      </w:r>
    </w:p>
    <w:p w14:paraId="05CF40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Наблюдая освещаемость местности с земли, на расстоянии одного километра от центра сбрасывания бомб, я видел следующее: при САБ-15 – просматривалась опушка леса на расстоянии до 2 км. При освещении этой бомбы я прочитывал в записной книжке номера телефонов, написанные чернилами.</w:t>
      </w:r>
    </w:p>
    <w:p w14:paraId="7AD7AC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САБ-25 (1 миллион свечей) – хорошо просматривалась опушка леса, вышки на полигоне на расстоянии до 2 км, насыпи у воронок от бомб на расстоянии до 1 км. Свободно можно было читать газету и карандашные записи в записной книжке.</w:t>
      </w:r>
    </w:p>
    <w:p w14:paraId="3EF502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отзывам штурманов освещаемость местности обоих бомб, со снаряжением ОТБ НКВД лучше, чем при штатных бомбах.</w:t>
      </w:r>
    </w:p>
    <w:p w14:paraId="586266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Сейчас испытания закончены и к 5 ноября 1940 года будет составлен отчет. Промышленность согласна к переходу на новое снаряжение. По получении отчета будет представлено Вам на утверждение решение о переходе на новую рецептуру снаряжения осветительных бомб.</w:t>
      </w:r>
    </w:p>
    <w:p w14:paraId="51F870A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полигоне находилась на испытании партия 12,7 мм патрон с беспламенным порохом. При мне был произведен в темноте отстрел этого пороха с турельного 12,7 мм пулемета Березина в сравнении со штатным порохом.</w:t>
      </w:r>
    </w:p>
    <w:p w14:paraId="430759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стрельбе патронами со штатным порохом пламя из канала ствола мешало в процессе стрельбы рассматривать фанерный щит находившийся на расстоянии около 200 м. Я этот щит видел до начала открытия огня, затем при стрельбе я не в состоянии был его рассматривать.</w:t>
      </w:r>
    </w:p>
    <w:p w14:paraId="0C0B81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стрельбе патронами с беспламенным порохом я все время не терял из виду щита, как до начала открытия огня, так и при самой стрельбе. Пламя при стрельбе с этим порохом значительно меньше и имеет темную окраску.</w:t>
      </w:r>
    </w:p>
    <w:p w14:paraId="307503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Присутствующие со мной полковник Шевченко и в/инженер 1 ранга Глущенко, также отмечали большую разницу в степени влияния пламени обоих порохов.</w:t>
      </w:r>
    </w:p>
    <w:p w14:paraId="140B1E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Помимо отстрела патрон с беспламенным порохом на земле, летчик майор Звонарев произвел в этот же вечер 31 октября в период 19-22 часов, два ночных полета на самолете И-153 со стрельбой с синхронного пулемета Березина. Стрельба производилась с пикирования по песчаной мишени. Пулемет был снаряжен патронной лентой, в которой вначале было уложено половина патрон с беспламенным порохом, а вторая половина патрон со штатным порохом.</w:t>
      </w:r>
    </w:p>
    <w:p w14:paraId="09A847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обоих полетах летчик выпустил все патроны, по его отзывам стрелять ночью можно с обоими видами патрон; однако при беспламенном порохе стрельбу вести лучше, мишень при самой стрельбе из виду почти не теряется.</w:t>
      </w:r>
    </w:p>
    <w:p w14:paraId="17DD34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Сейчас мной дано указание изготовить партию пороха для широкой его поверки на большом числе патрон, как в части возможного его применения при стрельбе из синхронных пулеметов, так и в части влияния этого пороха на живучесть пулемета, загрязнения его и т.д.</w:t>
      </w:r>
    </w:p>
    <w:p w14:paraId="1C22E3D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октября 1940 года на полигон были доставлены 28 бомб с приспособлениями для создания шума при полете бомбы. Всего имелось около 14 вариантов разных приспособлений.</w:t>
      </w:r>
    </w:p>
    <w:p w14:paraId="018A7D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восемь из указанных вариантов (сирены гудки) подверглись испытанию бомбометанием с воздуха с самолета ДБ-3. Никакого звучащего эффекта, кроме обычного шума падения бомбы получено не было. При ближайшей летной погоде будут сброшены остальные варианты.</w:t>
      </w:r>
    </w:p>
    <w:p w14:paraId="38FE6B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Даны задания на разработку звучащих приспособлений еще ряду лиц и ожидается поступление новых образцов (7713, 202-205).</w:t>
      </w:r>
    </w:p>
    <w:p w14:paraId="1361791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6FE0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 по 11 ноября 1940 года проходили повторные испытания модернизированной ампульной кассеты (АК-2у) конструкции серийного цеха завода № 145</w:t>
      </w:r>
    </w:p>
    <w:p w14:paraId="67F5BA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5901F9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Лукашев</w:t>
      </w:r>
    </w:p>
    <w:p w14:paraId="3BC30F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453C04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Целью испытания модернизированной ампульной кассеты (АК-2у) явилась проверка следующих элементов:</w:t>
      </w:r>
    </w:p>
    <w:p w14:paraId="2A785CD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Прочности и надежности конструкции.</w:t>
      </w:r>
    </w:p>
    <w:p w14:paraId="668F0DB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Возможности применения осколочных бомб, и в частности, бомбы АО-15.</w:t>
      </w:r>
    </w:p>
    <w:p w14:paraId="190EA66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Удобства и безопасности в эксплуатации кассеты в свете сделанных конструктивных изменений.</w:t>
      </w:r>
    </w:p>
    <w:p w14:paraId="6212DE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8DDF67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Предъявленная серийным цехом завода № 145 на повторные полигонные испытания модернизированная ампульная кассета АК-2 ум полигонные испытания не выдержала (7405).</w:t>
      </w:r>
    </w:p>
    <w:p w14:paraId="4643EC5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6CFCF81" w14:textId="77777777" w:rsidR="00C1206A" w:rsidRPr="00A3026E" w:rsidRDefault="00C1206A"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5D585D48" w14:textId="77777777" w:rsidR="00C1206A" w:rsidRPr="00A3026E" w:rsidRDefault="00C1206A" w:rsidP="00A3026E">
      <w:pPr>
        <w:spacing w:after="0" w:line="240" w:lineRule="auto"/>
        <w:jc w:val="both"/>
        <w:rPr>
          <w:rFonts w:ascii="Times New Roman" w:hAnsi="Times New Roman"/>
          <w:iCs/>
          <w:color w:val="000000" w:themeColor="text1"/>
          <w:sz w:val="16"/>
          <w:szCs w:val="16"/>
        </w:rPr>
      </w:pPr>
    </w:p>
    <w:p w14:paraId="21FF6FB2"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 г. из Москвы в Харьков прибыл ведущий инженер ГАБТУ КА подполковник И.Г. Панов с целью проверки своевременного и надлежащего выполнения заводом № 183 своих обязательств по внесению в конструкцию танка Т-34 изменений, изложенных в приложениях № 5, 8 и 9 к дополнительному соглашению № 4-529,. </w:t>
      </w:r>
    </w:p>
    <w:p w14:paraId="5F6CBFA7"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И.Г. Панову предстояло совместно с руководством завода выработать решения по ряду проблем, тормозивших приемку танков Т-34 заказчиком. К таким проблемам, прежде всего, относились: </w:t>
      </w:r>
    </w:p>
    <w:p w14:paraId="6A014826"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низкое качество гусениц, не выдерживавших гарантийного срока службы; </w:t>
      </w:r>
    </w:p>
    <w:p w14:paraId="4E39DBE1"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частые случаи деформации (задиры и «скручивание») главного вала коробки передач; </w:t>
      </w:r>
    </w:p>
    <w:p w14:paraId="1CB52D2B"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увеличенный люфт в шариковой опоре башни на части собранных танках; </w:t>
      </w:r>
    </w:p>
    <w:p w14:paraId="6D9289B5"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дополнительная механическая обработка выреза амбразуры в лобовом листе башни для обеспечения максимального угла возвышения пушки Л-11 в 30˚; </w:t>
      </w:r>
    </w:p>
    <w:p w14:paraId="29B9E2B6"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многочисленные трещины на броневых деталях корпусов и башен танков Т-34, возникавших после сварки деталей между собой. </w:t>
      </w:r>
    </w:p>
    <w:p w14:paraId="5B3B20A1"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эти и ряд других вопросов были рассмотрены на совещании, состоявшемся 5 ноября 1940 г. у директора завода № 183 Ю.Е. Максарева. Кроме самого директора и подполковника И.Г. Панова в работе совещания приняли участие и.о. главного конструктора завода № 183 А.А. Морозов, районный инженер ГАБТУ КА на заводе № 183 Д.М. Козырев, военный представитель ГАБТУ КА на заводе № 183 П.Ф. Русаков, а также представитель Главспецмаша НКСМ Н.И. Масальская. </w:t>
      </w:r>
    </w:p>
    <w:p w14:paraId="065FA964"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Относительно гусениц на совещании было принято следующее решение – до тех пор, пока СТЗ не обеспечит гарантийного срока службы траков, к каждому выпущенному и отправленному в войска танку Т-34 досылать по второму комплекту гусениц. </w:t>
      </w:r>
    </w:p>
    <w:p w14:paraId="1EF22032"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увеличения прочности главного вала коробки передач было решено изготовлять его из стали марки 18ХНВА, как показавшей лучшие результаты на испытаниях. При этом на уже собранных танках Т-34 замену валов производить не планировалось, а в случае появления на валах задиров, завод № 183 был обязан устранять их путем зачистки. </w:t>
      </w:r>
    </w:p>
    <w:p w14:paraId="49C9E0DA"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Увеличенный до 5 мм люфт, который не должен был превышать 3 мм, предлагалось признать допустимым, внеся в технические условия на сборку и приемку танков Т-34 соответствующие изменения. </w:t>
      </w:r>
    </w:p>
    <w:p w14:paraId="60C3D7FF"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Дополнительных работ по механической обработке (шлифовке) амбразур в лобовом листе башен для обеспечения максимального угла возвышения пушки Л-11 в 30˚ на совещании было решено не производить. Башни, обеспечивавшие максимальный угол возвышения пушки в 25˚ предлагалось оставить без доработки. </w:t>
      </w:r>
    </w:p>
    <w:p w14:paraId="54423271"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Относительно трещин на броневых деталях корпусов и башен танков Т-34 участники совещания постановили – до проведения специальных испытаний обстрелом носового узла корпуса руководствоваться решением, ранее зафиксированным в </w:t>
      </w:r>
      <w:hyperlink r:id="rId62" w:tgtFrame="_blank" w:history="1">
        <w:r w:rsidRPr="00A3026E">
          <w:rPr>
            <w:rStyle w:val="a5"/>
            <w:rFonts w:ascii="Times New Roman" w:hAnsi="Times New Roman"/>
            <w:color w:val="000000" w:themeColor="text1"/>
            <w:sz w:val="16"/>
            <w:szCs w:val="16"/>
          </w:rPr>
          <w:t>протоколе</w:t>
        </w:r>
      </w:hyperlink>
      <w:r w:rsidRPr="00A3026E">
        <w:rPr>
          <w:rFonts w:ascii="Times New Roman" w:hAnsi="Times New Roman"/>
          <w:color w:val="000000" w:themeColor="text1"/>
          <w:sz w:val="16"/>
          <w:szCs w:val="16"/>
        </w:rPr>
        <w:t> от 29 августа 1940 г.: «Допустить исправление трещин высверловкой с последующей их заваркой аустенитовыми электродами» (18206). </w:t>
      </w:r>
    </w:p>
    <w:p w14:paraId="0A960CF8" w14:textId="77777777" w:rsidR="00C1206A" w:rsidRPr="00A3026E" w:rsidRDefault="00C1206A" w:rsidP="00A3026E">
      <w:pPr>
        <w:spacing w:after="0" w:line="240" w:lineRule="auto"/>
        <w:jc w:val="both"/>
        <w:rPr>
          <w:rFonts w:ascii="Times New Roman" w:hAnsi="Times New Roman"/>
          <w:color w:val="000000" w:themeColor="text1"/>
          <w:sz w:val="16"/>
          <w:szCs w:val="16"/>
        </w:rPr>
      </w:pPr>
    </w:p>
    <w:p w14:paraId="397C397F"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w:t>
      </w:r>
    </w:p>
    <w:p w14:paraId="6DB687D6"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ЦАМО Фонд 38 Опись 11355 Дело 32 лист 155 </w:t>
      </w:r>
    </w:p>
    <w:p w14:paraId="0E86209F"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4A9E1B40"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 № 1</w:t>
      </w:r>
    </w:p>
    <w:p w14:paraId="2E883587"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 ходе подготовки инструмента по А-34 на 1/XI-40 г. </w:t>
      </w:r>
    </w:p>
    <w:p w14:paraId="3A7A3643"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ТЕХНОЛОГ ЗАВОДА подпись (РАТИНОВ)</w:t>
      </w:r>
    </w:p>
    <w:p w14:paraId="7D808758"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5 экз. </w:t>
      </w:r>
    </w:p>
    <w:p w14:paraId="46D54776"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Фукс </w:t>
      </w:r>
    </w:p>
    <w:p w14:paraId="7F234385"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5370 </w:t>
      </w:r>
    </w:p>
    <w:p w14:paraId="06E2345D" w14:textId="77777777" w:rsidR="00C1206A" w:rsidRPr="00A3026E" w:rsidRDefault="00C1206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2.XI.40 г. (18212).</w:t>
      </w:r>
    </w:p>
    <w:p w14:paraId="2EFF8EC1" w14:textId="77777777" w:rsidR="00C1206A" w:rsidRPr="00A3026E" w:rsidRDefault="00C1206A" w:rsidP="00A3026E">
      <w:pPr>
        <w:spacing w:after="0" w:line="240" w:lineRule="auto"/>
        <w:jc w:val="both"/>
        <w:rPr>
          <w:rFonts w:ascii="Times New Roman" w:hAnsi="Times New Roman"/>
          <w:color w:val="000000" w:themeColor="text1"/>
          <w:sz w:val="16"/>
          <w:szCs w:val="16"/>
        </w:rPr>
      </w:pPr>
    </w:p>
    <w:p w14:paraId="1D145A15"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w:t>
      </w:r>
    </w:p>
    <w:p w14:paraId="30D0948C"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ЦАМО Фонд 38 Опись 11355 Дело 32 лист 83 – 84 </w:t>
      </w:r>
    </w:p>
    <w:p w14:paraId="4CDF8C2F"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3711D24C"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1 </w:t>
      </w:r>
    </w:p>
    <w:p w14:paraId="41BD84AD"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Исх. № 609с </w:t>
      </w:r>
    </w:p>
    <w:p w14:paraId="1E97BD3D"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2/ХI-40 г. </w:t>
      </w:r>
    </w:p>
    <w:p w14:paraId="3E437F36"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1 ОТДЕЛА БТУ КА</w:t>
      </w:r>
    </w:p>
    <w:p w14:paraId="3E742158"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ВОЕНИНЖЕНЕРУ 1 РАНГА т. ПАВЛОВУ</w:t>
      </w:r>
    </w:p>
    <w:p w14:paraId="083007EF"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ОПЕРАТИВНАЯ СВОДКА</w:t>
      </w:r>
    </w:p>
    <w:p w14:paraId="35AD22EF"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выполнении заводом № 183 им. КОМИНТЕРНА заказа АБТУ РККА</w:t>
      </w:r>
    </w:p>
    <w:p w14:paraId="4E21ECC3"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 ОКТЯБРЬ месяц 1940 год. </w:t>
      </w:r>
    </w:p>
    <w:p w14:paraId="0684C8B0"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Х) – Из общего количества отправленных машин Т-34 сначала года, исключено 3 машины, возвратившиеся на завод для просмотра и дооборудования, эти машины ранее были отправлены: 1) Заводу № 8 две машины, 2) Нач. Инженерной службы ЛВО – одна машина. Данные три машины исключены, потому что после их готовности будут отправлены в новые адреса согласно имеющейся общей разнарядки, и могли быть показаны отправленными дважды. </w:t>
      </w:r>
    </w:p>
    <w:p w14:paraId="2F13C53B"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По БТ-7М.</w:t>
      </w:r>
    </w:p>
    <w:p w14:paraId="2482323D"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Положение остается таким же, как было в Сентябре с.г. </w:t>
      </w:r>
    </w:p>
    <w:p w14:paraId="31CE24C7"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По Т-34.</w:t>
      </w:r>
    </w:p>
    <w:p w14:paraId="4C65BF3B"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Кроме принятых 45 машин на заводе имеется в заделе: а) Прошли большой пробег и находятся под пригонкой и установкой вооружения 55 машин. б) Собраны, находятся на подготовке и заводских испытаниях 15 машин. в) На конвейере в стадии сборки находится 10 машин. Всего в заделе – 80 машин. г) Обеспечено броней заводом "ИЛЬИЧА"по корпусу 196 комплектов, по башне 196 комплектов, из них собрано и сдано приемке ГАБТУ КА: корпусов 138, башен 124. Из этого количества отправлено на СТЗ корпусов 10, башен 10. Кроме этого в заделе корпусов 24, башен 61. </w:t>
      </w:r>
    </w:p>
    <w:p w14:paraId="76662B93"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Основными причинами невыполнения программы являются: </w:t>
      </w:r>
    </w:p>
    <w:p w14:paraId="48A28AE2"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Не полностью оснащены цеха приспособлениями, инструментом, особенно по корпусному отделу. </w:t>
      </w:r>
    </w:p>
    <w:p w14:paraId="1EB6C9E9"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Ввиду того, что машина запущена в производство недостаточно проверенная и отработанная, в процессе изготовления и испытаний обнаруживается много дефектов, которые приходится выправлять в серийном производстве. </w:t>
      </w:r>
    </w:p>
    <w:p w14:paraId="656C9FE5"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Довольно трудоемкой работой оказалось изготовление, подгонка маски и монтаж пушки в башню, а заводом не было своевременно принято мер по разработке технологии и оснащения этого участка. </w:t>
      </w:r>
    </w:p>
    <w:p w14:paraId="133F137F"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Имеет место несвоевременное обеспечение завода металлом, покупными изделиями и заготовками с кооперирующих заводов. </w:t>
      </w:r>
    </w:p>
    <w:p w14:paraId="75DBB9EA"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Недостаточно серьезно занимается завод коренным улучшением организации производства и технологии, зачастую вопросами технологии занимаются на отдельных участках, тогда когда производство стопорится, получается брак и, естественно, принимаются паллиативные решения, не решающие вопроса окончательно для дальнейшего серийного производства и очевидно не сокращающие цикл изготовления того или другого механизма, особенно часто имеет место такой метод по корпусному отделу. В результате чего конечно выпуск продукции не увеличивается. </w:t>
      </w:r>
    </w:p>
    <w:p w14:paraId="09782A7E"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За Октябрь мес. прошло большими пробегами Октябрьского выпуска 32 машины, из которых 17 машин и 4 машины Сентябрьской сборки всего 21 машина ходили в повторный большой пробег от одного до 4-х раз. Кроме этого дополнительно испытывались контрольными пробегами от одного до пяти раз 16 машин Октябрьских и 15 машин Сентябрьских, т.е. всего 31 машина, по следующим дефектам: </w:t>
      </w:r>
    </w:p>
    <w:p w14:paraId="6202C736"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Заедание каретки 3 – 4 передачи на шлицах главного вала – 13 машин – конструктивный дефект. По проверке выявления причин заедания каретки проводились опытные пробеги на 12 машинах, две машины ходили со смазкой № 8, 2 машины с увеличенным зазором между шлицами главного вала и кареткой 3 – 4 передачи, 2 машины с валами повышенной твердости (лунка 3,1 – 3,2), 4 машины с валами из материала 18 ХНВА каленые и 2 машины с валами из материала ХН-4. Лучшие результаты показали в работе валы из материала 18 ХНВА каленые, которые запущены в серийное производство и устанавливаются на машины с № 121 от нуля. </w:t>
      </w:r>
    </w:p>
    <w:p w14:paraId="1FA15F9A"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Замена и зачистка зубьев цилиндрических шестерней К.П.П. по сколам – 28 машин. Окончательного анализа причин сколов завод до настоящего времени не дал, но мнение Военпреда, что основными причинами дефекта являются: </w:t>
      </w:r>
    </w:p>
    <w:p w14:paraId="0CDD4986"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Неудачно подобрано соотношение передач (при разработке КПП для этой машины). </w:t>
      </w:r>
    </w:p>
    <w:p w14:paraId="205A6476"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Неудовлетворительная работа гл. фрикциона. </w:t>
      </w:r>
    </w:p>
    <w:p w14:paraId="46CCC0FC"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Недостаточное внимание уделяется технологии завалки зуба и термообработки шестерен. </w:t>
      </w:r>
    </w:p>
    <w:p w14:paraId="38144D47"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121 машины вводятся изменения в главном фрикционе, которые улучшают чистоту переключения передач, проводится тщательная проверка термообработки шестерен и завалка зубьев шестерен. </w:t>
      </w:r>
    </w:p>
    <w:p w14:paraId="7DE56C70"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Замена мотора – 3 машины. Заедает привод передачи к подкачивающему топливному насосу БНК-6, заводом № 75 приняты меры к изжитию этого дефекта. </w:t>
      </w:r>
    </w:p>
    <w:p w14:paraId="657E081C"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Замена дисков главного фрикциона по задирам и короблению – 12 машин. Измененный фрикцион передан на изготовление и испытание в опытный цех. </w:t>
      </w:r>
    </w:p>
    <w:p w14:paraId="2F0A0B17"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Разрушение роликового подшипника и обрыв струны ведущей шестерни бортовой передачи – 1 машина. Небрежный монтаж – усилен контроль. </w:t>
      </w:r>
    </w:p>
    <w:p w14:paraId="2F5840EE"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Заедание привода спидометра в бортовой передаче – 1 машина – небрежный монтаж. Контроль усилен. </w:t>
      </w:r>
    </w:p>
    <w:p w14:paraId="67BFC08D"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Замена ведомых и ведущих шестерен бортовой передачи – с перекосом работали зубья, большая коническая выработка, выкрашивание цементационного слоя на зубьях ведущей шестерни – 5 машин. Причиной большой выработки и выкрашивания цементационного слоя на зубьях шестерни выясняется. Проверяется материал и термообработка. </w:t>
      </w:r>
    </w:p>
    <w:p w14:paraId="424AD61C"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Течь смазки через концевые уплотнения главного вала КПП – 11 машин. Конструктивный дефект – с 101 машины введен обратный сток масла в картер, введено уплотнение суриковой мастикой втулки по шлицам вала и сделано отражательное кольцо. Дефект изжит. </w:t>
      </w:r>
    </w:p>
    <w:p w14:paraId="4C04D7CC"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Кроме указанных дефектов, по которым машины испытывались дополнительно большими и контрольными пробегами имеются следующие дефекты: </w:t>
      </w:r>
    </w:p>
    <w:p w14:paraId="70D78EF7"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Разрыв траков гусеницы – 4 случая, недоброкачественная отливка траков, большое количество трещин и раковин, по которым было забраковано до 1000 траков новых, не допущенных к постановке на машину. </w:t>
      </w:r>
    </w:p>
    <w:p w14:paraId="18947C1D"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Большое количество случаев выхода пальцев гусениц – увеличенные отверстия под шплинты и прорыв внешней стенки отверстия под шплинты, вследствие этого шплинты пальцев выпадают, и следовательно выходят пальцы гусеницы – вызваны представители из завода СТЗ, изготавливающие траки гусеницы. </w:t>
      </w:r>
    </w:p>
    <w:p w14:paraId="136A2B0C"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Порыв резины колес – забраковано 30 дисков – резину рвет гребнями траков гусеницы в ходу машины после 25 клм. ослабевает лента гусеницы по выработке проушин траков и при разворотах гусеницы имеется прогиб ленты гусеницы, вследствие этого гребни набегают на резину колес. </w:t>
      </w:r>
    </w:p>
    <w:p w14:paraId="6B021BE9"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Сведения по конструктивным изменениям согласно Вашего письма № 76512с будут высланы дополнительно, т.к. завод учета по предусмотренным формой элементам не ведет и поэтому Конструкторское бюро выбирает предусмотренные формой сведения из различных документов и сможет эту выборку с 1-й машины закончить только к концу Ноября мес. 1940 г. </w:t>
      </w:r>
    </w:p>
    <w:p w14:paraId="4AF5AE75"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На Ноябрь мес. с.г. завод запланировал сдать 300-й номер от нуля. </w:t>
      </w:r>
    </w:p>
    <w:p w14:paraId="4E329F3C"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ПО ЗАПЧАСТЯМ БТ.</w:t>
      </w:r>
    </w:p>
    <w:p w14:paraId="0713ADBF"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Завод ориентировочно предполагает до конца с.г. сдать запчастей ГАБТУ КА на сумму 3 – 4 мил. руб. В основном запускает в производство траки, пальцы, гусеницы и другие детали, которые проходят по оборудованию механических цехов, кроме этого готовит ведомость деталей, имеющихся в наличии в складах завода по различным типам БТ, которые предложи ГАБТУ КА. На Ноябрь мес. твердой суммы сдачи запчастей ГАБТУ КА не запланировано. </w:t>
      </w:r>
    </w:p>
    <w:p w14:paraId="18FD2FE9"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РАЙОННОГО ИНЖЕНЕРА ГАБТУ КА КАПИТАН подпись (РУСАКОВ)</w:t>
      </w:r>
    </w:p>
    <w:p w14:paraId="4423C7F9"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Отпечатано 2 экз. (18211).</w:t>
      </w:r>
    </w:p>
    <w:p w14:paraId="2BBB7C7E" w14:textId="77777777" w:rsidR="00742483" w:rsidRPr="00A3026E" w:rsidRDefault="00742483" w:rsidP="00A3026E">
      <w:pPr>
        <w:spacing w:after="0" w:line="240" w:lineRule="auto"/>
        <w:jc w:val="both"/>
        <w:rPr>
          <w:rFonts w:ascii="Times New Roman" w:hAnsi="Times New Roman"/>
          <w:color w:val="000000" w:themeColor="text1"/>
          <w:sz w:val="16"/>
          <w:szCs w:val="16"/>
        </w:rPr>
      </w:pPr>
    </w:p>
    <w:p w14:paraId="52A3A9DD"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w:t>
      </w:r>
    </w:p>
    <w:p w14:paraId="6BB8770C"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w:t>
      </w:r>
      <w:hyperlink r:id="rId63" w:tgtFrame="_blank" w:history="1">
        <w:r w:rsidRPr="00A3026E">
          <w:rPr>
            <w:rStyle w:val="a5"/>
            <w:rFonts w:ascii="Times New Roman" w:hAnsi="Times New Roman"/>
            <w:color w:val="000000" w:themeColor="text1"/>
            <w:sz w:val="16"/>
            <w:szCs w:val="16"/>
          </w:rPr>
          <w:t>оперативной сводки № 609с</w:t>
        </w:r>
      </w:hyperlink>
      <w:r w:rsidRPr="00A3026E">
        <w:rPr>
          <w:rFonts w:ascii="Times New Roman" w:hAnsi="Times New Roman"/>
          <w:color w:val="000000" w:themeColor="text1"/>
          <w:sz w:val="16"/>
          <w:szCs w:val="16"/>
        </w:rPr>
        <w:t> о выполнении заводом № 183 заказа ГАБТУ КА за октябрь 1940 г: </w:t>
      </w:r>
    </w:p>
    <w:p w14:paraId="1EBBF98D"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принятых 45 машин [с начала производства] на заводе имеется в заделе: </w:t>
      </w:r>
    </w:p>
    <w:p w14:paraId="2C61692B"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прошли большой пробег и находятся под пригонкой и установкой вооружения 55 машин. </w:t>
      </w:r>
    </w:p>
    <w:p w14:paraId="300C7362"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кроме того находятся на подготовке и заводских испытаниях 15 машин. </w:t>
      </w:r>
    </w:p>
    <w:p w14:paraId="68B34B7E"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 конвейере в стадии сборки находится 10 машин. Всего в заделе – 80 машин. </w:t>
      </w:r>
    </w:p>
    <w:p w14:paraId="41641942"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Обеспечено броней заводом "Ильича" по корпусу – 196 комплектов, по башне – 196 комплектов, из них собрано и сдано приемке ГАБТУ КА: корпусов – 138, башен – 124. Из этого количества отправлено "СТЗ" корпусов 10, башен 10. Кроме этого в заделе корпусов 24, башен 61».</w:t>
      </w:r>
    </w:p>
    <w:p w14:paraId="3829D5D0"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32. Л. 83]</w:t>
      </w:r>
    </w:p>
    <w:p w14:paraId="37FC686D"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Основными причинами столь серьезного невыполнения октябрьского плана являлись следующие недостатки в работе завода, указанные военным представителем ГАБТУ КА на заводе № 183 капитаном П.Ф. Русаковым в этой же сводке: </w:t>
      </w:r>
    </w:p>
    <w:p w14:paraId="693EEB99"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Не полностью оснащены цеха приспособлениями, инструментом, особенно по корпусному отделу. </w:t>
      </w:r>
    </w:p>
    <w:p w14:paraId="2DE129CB"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Ввиду того, что машина запущена в производство не достаточно проверенная и отработанная, в процессе изготовления и испытаний обнаруживается много дефектов, которые приходится выправлять в серийном производстве. </w:t>
      </w:r>
    </w:p>
    <w:p w14:paraId="320D2916"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Довольно трудоемкой работой оказалось изготовление, подгонка маски и монтаж пушки в башню, а заводом не было своевременно принято мер по разработке технологии и оснащения этого участка. </w:t>
      </w:r>
    </w:p>
    <w:p w14:paraId="3DEE10C0"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г) Имеет место несвоевременное обеспечение завода металлом, покупными деталями и заготовками с кооперирующих заводов. </w:t>
      </w:r>
    </w:p>
    <w:p w14:paraId="710574D5"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Не достаточно серьезно занимается завод коренным улучшением организации производства и технологии, зачастую вопросами технологии занимаются на отдельных участках тогда, когда производство стопорится. Получается брак, и естественно применяются паллиативные решения, не решающие вопроса окончательно для дальнейшего серийного производства и очевидно не сокращающие цикл изготовления того или другого механизма, особенно часто имеет место этот метод по корпусному отделу. В результате чего конечно выпуск продукции не увеличивается».</w:t>
      </w:r>
    </w:p>
    <w:p w14:paraId="795FFC79"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32. Л. 83 об.] (18206).</w:t>
      </w:r>
    </w:p>
    <w:p w14:paraId="726599C7" w14:textId="77777777" w:rsidR="00742483" w:rsidRPr="00A3026E" w:rsidRDefault="00742483" w:rsidP="00A3026E">
      <w:pPr>
        <w:spacing w:after="0" w:line="240" w:lineRule="auto"/>
        <w:jc w:val="both"/>
        <w:rPr>
          <w:rFonts w:ascii="Times New Roman" w:hAnsi="Times New Roman"/>
          <w:color w:val="000000" w:themeColor="text1"/>
          <w:sz w:val="16"/>
          <w:szCs w:val="16"/>
        </w:rPr>
      </w:pPr>
    </w:p>
    <w:p w14:paraId="3EC94FD1"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субботу, 2 ноября 1940 г., колонна в составе легкового автомобиля М-1, трёх средних танков Т-34 (Т-34 № 608-01, 423-41 и 547-29, на время испытаний эти машины получили условные наименования «танк № 1», «танк № 2» и «танк № 3»), трёх грузовых автомобилей ЗИС-5, двух топливозаправщиков, авто-кухни, автобуса ГАЗ-АА и ремонтной мастерской («летучка») типа «Б» выдвинулась из Харькова в направлении Орла. </w:t>
      </w:r>
    </w:p>
    <w:p w14:paraId="4C07EDC0"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первый же день пробега на 126 км пути в районе села Яковлево (30 км северо-западнее Белгорода) при преодолении канавы при крене свыше 20º на танке № 3 произошло спадание гусеницы и её заклинивание. Вследствие этого была погнута ось кривошипа направляющего колеса, сорван обрезиненный бандаж и разрушен шарикоподшипник направляющего колеса. После устранения этих неисправностей, пробег был продолжен. Несмотря на вынужденную остановку, темп движения был высоким, и в Орёл колонна прибыла на день раньше, чем было предусмотрено графиком. </w:t>
      </w:r>
    </w:p>
    <w:p w14:paraId="6738BD02"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Находясь в Орле, 4 ноября 1940 г. экипажи произвели техническое обслуживание танков и устранили возникшие в ходе пробега мелкие неисправности. А на следующий день, 5 ноября 1940 г. колонна продолжила движение по шоссе в направлении подмосковной Кубинки. Преодолев 257 км, к исходу дня участники пробега достигли Серпухова, где во время малого привала танки были дозаправлены ГСМ и обслужены в объеме контрольного осмотра. Остававшиеся до Кубинки 133 км были пройдены 6 ноября 1940 г. по грунтовой лесной дороге – старому почтовому тракту. </w:t>
      </w:r>
    </w:p>
    <w:p w14:paraId="06B7E2E7"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только колонна прибыла на НИ полигон ГАБТУ КА, командир пробега майор Е.Е. Геркевич отправил заместителю начальника ГАБТУ КА генерал-майору технических войск И.А. Лебедеву </w:t>
      </w:r>
      <w:hyperlink r:id="rId64" w:tgtFrame="_blank" w:history="1">
        <w:r w:rsidRPr="00A3026E">
          <w:rPr>
            <w:rStyle w:val="a5"/>
            <w:rFonts w:ascii="Times New Roman" w:hAnsi="Times New Roman"/>
            <w:color w:val="000000" w:themeColor="text1"/>
            <w:sz w:val="16"/>
            <w:szCs w:val="16"/>
          </w:rPr>
          <w:t>донесение № 0835с</w:t>
        </w:r>
      </w:hyperlink>
      <w:r w:rsidRPr="00A3026E">
        <w:rPr>
          <w:rFonts w:ascii="Times New Roman" w:hAnsi="Times New Roman"/>
          <w:color w:val="000000" w:themeColor="text1"/>
          <w:sz w:val="16"/>
          <w:szCs w:val="16"/>
        </w:rPr>
        <w:t> следующего содержания: </w:t>
      </w:r>
    </w:p>
    <w:p w14:paraId="57885DFB"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w:t>
      </w:r>
    </w:p>
    <w:p w14:paraId="258A4A84"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ПРОБЕГА ТАНКОВ Т-34 ПО МАРШРУТУ ХАРЬКОВ-КУБИНКА.</w:t>
      </w:r>
    </w:p>
    <w:p w14:paraId="455965BF"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(5-ти дневный марш – 4 ходовых дня, 1 день – техосмотр)</w:t>
      </w:r>
    </w:p>
    <w:p w14:paraId="11A12848"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Пройдено километров – 760. </w:t>
      </w:r>
    </w:p>
    <w:p w14:paraId="6E93081A"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них: а) по грунтовым дорогам и целине – 359. </w:t>
      </w:r>
    </w:p>
    <w:p w14:paraId="19AAC542"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шоссе со смешанным покрытием – 401. </w:t>
      </w:r>
    </w:p>
    <w:p w14:paraId="475E3989"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чистого движения – 36 ч. 35 м. </w:t>
      </w:r>
    </w:p>
    <w:p w14:paraId="04D21E55"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работы двигателей – 39 ч. </w:t>
      </w:r>
    </w:p>
    <w:p w14:paraId="0BE24307"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скорость чистого движения – 20,6 км/час. </w:t>
      </w:r>
    </w:p>
    <w:p w14:paraId="0232141A"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техническая скорость – 17,0 км/час. </w:t>
      </w:r>
    </w:p>
    <w:p w14:paraId="5639D188"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Поломки и неисправности: </w:t>
      </w:r>
    </w:p>
    <w:p w14:paraId="03282F12"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Гусеницы танков приведены в полную негодность вследствие наличия трещин в траках и растяжения. Шплинты, удерживающие пальцы в проушинах траков срезаются через 100 – 150 км. – на </w:t>
      </w:r>
    </w:p>
    <w:p w14:paraId="37A275CB"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всех машинах. </w:t>
      </w:r>
    </w:p>
    <w:p w14:paraId="6E8DC5B0"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переходе канавы погнут кривошип ленивца и сорван бандаж (при сваливании гусеницы) – танк № 3. </w:t>
      </w:r>
    </w:p>
    <w:p w14:paraId="4FE5D2B8"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Течь масла через кран, соединяющий масляные баки с радиатором – танк № 3. </w:t>
      </w:r>
    </w:p>
    <w:p w14:paraId="3ED1B855"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Излом трубки манометра горючего – танк № 3. </w:t>
      </w:r>
    </w:p>
    <w:p w14:paraId="0E996667"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Срезано 6 болтов, крепящих зубчатый венец маховика – танк № 1. </w:t>
      </w:r>
    </w:p>
    <w:p w14:paraId="2DFA48DF"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Разрушение муфты опережения впрыска – танк № 2. </w:t>
      </w:r>
    </w:p>
    <w:p w14:paraId="75CA697A"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Отказ в работе стартера вследствие сгорания обмотки реле и изломов перемычки – танки № 2 и № 3. </w:t>
      </w:r>
    </w:p>
    <w:p w14:paraId="713D5EAF"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Отказ в работе главного фрикциона – танк № 2 (коробление дисков). </w:t>
      </w:r>
    </w:p>
    <w:p w14:paraId="5A665908"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Состояние танков после марша. </w:t>
      </w:r>
    </w:p>
    <w:p w14:paraId="237272AE"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танки требуют немедленной замены гусениц – дальнейшее движение без этого невозможно. </w:t>
      </w:r>
    </w:p>
    <w:p w14:paraId="78A650D4"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 2 – замена дисков главного фрикциона. </w:t>
      </w:r>
    </w:p>
    <w:p w14:paraId="1F77CA22"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 1 – постановка 6-ти болтов венца маховика. </w:t>
      </w:r>
    </w:p>
    <w:p w14:paraId="51922A3B"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выполнении этих работ танки могут продолжать марш».</w:t>
      </w:r>
    </w:p>
    <w:p w14:paraId="6F6AF5E4"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1182. Л. 22 – 23]</w:t>
      </w:r>
    </w:p>
    <w:p w14:paraId="75683192"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донесении сохранилась резолюция И.А. Лебедева: «т. Афонину. Танки осмотреть, привести в порядок и продолжить испытание по установленной программе». </w:t>
      </w:r>
    </w:p>
    <w:p w14:paraId="3942B715"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день празднования 23-й годовщины Великой Октябрьской социалистической революции, 7 ноября 1940 г., экипажи с группой ремонтников занимались восстановлением танков. На всех «тридцатьчетвёрках» были заменены гусеницы, а на танке № 2 установлены новые диски в главном фрикционе. В пятницу, 8 ноября 1940 г., экипажи танков Т-34 проводили техническое обслуживание вверенных им на период испытания боевых машин. А весь следующий день был посвящен подготовке танков к стрельбе, в ходе которой, согласно программе испытаний, предстояло определить меткость и кучность при ведении огня из пушки и пулеметов, а так же выполнить упражнение по боевой стрельбе взводом танков. При этом боевая стрельба взводом танков, проводившаяся в целях «определения соответствия вооружения огневым задачам, поставленным перед танками данного типа», была организована согласно следующей методике, изложенной в программе испытаний: </w:t>
      </w:r>
    </w:p>
    <w:p w14:paraId="4F768302"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«Стрельба по целям ведется с коротких остановок. Средняя скорость движения 12 – 16 км/ч. Дистанция между танками по фронту 30 метров. </w:t>
      </w:r>
    </w:p>
    <w:p w14:paraId="108CD087"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Начинает движение танк № 1 (средний) за 100 мт. от линии огня и при подходе к ней открывает огонь из пушки по цели № 1 (Эскарп. Высота вала 1,5 мт. Дистанция от линии огня 400 мт. Количество снарядов 10 шт.). </w:t>
      </w:r>
    </w:p>
    <w:p w14:paraId="052874A2"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Танки № 2 (правый) и № 3 (левый) начинают движение к линии огня после первого выстрела танка № 1 и при подходе к ней открывают огонь по целям № 23 (Два ПТО. Дистанция от линии огня 800 мт. Количество снарядов 10 шт. по пять снарядов на каждый танк). </w:t>
      </w:r>
    </w:p>
    <w:p w14:paraId="7C0F170E"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 1 разрушив цель № 1 проходит препятствие перенося огонь на цель № 2 (Надолбы деревянные. Дистанция от линии огня 700 мт. Количество снарядов 15 шт.). </w:t>
      </w:r>
    </w:p>
    <w:p w14:paraId="69F47ABB"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Остальные два танка выполнив задание по целям № 23 следуют за танком № 1 и открывают огонь: танк № 2 (правый) из пушки по цели № 31 (Амбразура ДОТа. Дистанция от линии огня 800 мт. Количество снарядов 8 шт.), танк № 3 (левый) из пулеметов по целям №№ 12, 19 (Охранение ДОТа. Дистанция от линии огня 800 мт. Количество патрон 126 шт.). </w:t>
      </w:r>
    </w:p>
    <w:p w14:paraId="63154181"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разрушения средним танком цели № 2 его движение вперед заканчивается и стрельба прекращается. Танки № 2 и № 3 проходят разрушенное препятствие (цель № 2) и одновременно ведут огонь из пушек по целям №№ 43, 16, 13 (Взвод полковой артиллерии. Дистанция от линии огня 1900 мт. Количество снарядов 12 шт. по 6 снарядов на каждый танк). </w:t>
      </w:r>
    </w:p>
    <w:p w14:paraId="417EEF71"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Расход боеприпасов: снарядов 76,2 – 55, патрон 7,62 – 126. </w:t>
      </w:r>
    </w:p>
    <w:p w14:paraId="3DB4AC60"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Учет времени производится от первого выстрела и до последнего».</w:t>
      </w:r>
    </w:p>
    <w:p w14:paraId="5745AF0C"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14 – 15]</w:t>
      </w:r>
    </w:p>
    <w:p w14:paraId="275946D6"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стрельбой состоялись 10 ноября 1940 г., и уже на первом этапе по определению кучности стрельбы пушки Л-11, после повторного не полного (до 120 мм) наката, вызванного отказом в работе ножного спуска пушки, танк № 2 был отправлен для устранения неисправности. В связи с этим решение огневой задачи, возлагавшейся на танковый взвод, пришлось выполнять только двум танкам – № 1 и № 3. </w:t>
      </w:r>
    </w:p>
    <w:p w14:paraId="26FF53AA"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Ровно 15 минут потребовалось сокращённому взводу для выполнения поставленной задачи. Танком № 1 с дистанции 400 м при стрельбе с короткой остановки по противотанковому препятствию типа эскарп было израсходовано 10 снарядов, 4 из них попали точно в цель. По второй цели (группа надолб) с дистанции 300 м было произведено 15 выстрелов. В результате 4 прямых попаданий 3 надолба было сбито. </w:t>
      </w:r>
    </w:p>
    <w:p w14:paraId="2C396505"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стрельбы у экипажа танка № 3 оказались несколько скромнее: из 12 снарядов, выпущенных по полковой батарее, расположенной на дистанции 1000 м, только один снаряд попал точно в цель, и ещё два снаряда разорвались в радиусе 10 – 15 м от неё. Из 6 снарядов, направленных на уничтожение противотанкового орудия, находившегося на удалении 800 м от танка, только один снаряд разорвался в радиусе 10 – 15 м от цели. При стрельбе по ДОТу, расположенному на дистанции 400 м, из 6 выпущенных снарядов в «зачётный круг» не попал ни один. </w:t>
      </w:r>
    </w:p>
    <w:p w14:paraId="30E53680"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следующий день после стрельбы, 11 ноября 1940 г., на НИ полигоне ГАБТУ КА были проведены испытания танков Т-34 по преодолению естественных препятствий. В результате испытаний были получены следующие показатели проходимости танка Т-34 в осенних условиях: </w:t>
      </w:r>
    </w:p>
    <w:p w14:paraId="6468A37D"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«Подъемы и косогоры:</w:t>
      </w:r>
    </w:p>
    <w:p w14:paraId="1D54EE32"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Водные преграды:</w:t>
      </w:r>
    </w:p>
    <w:p w14:paraId="5E42AA56"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Танк преодолевает вброд водные преграды глубиной 1,25 – 1,3 мтр. при твердом грунте дна. Крутизны выхода не должна превышать 20 – 25°, крутизна входа 30 – 35°. </w:t>
      </w:r>
    </w:p>
    <w:p w14:paraId="3E8D8B98"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Заболоченные участки:</w:t>
      </w:r>
    </w:p>
    <w:p w14:paraId="573124B4"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Торфяное болото с плотным покровом толщиной 0,5 – 0,8 мтр. (выдерживающим лошадь) танк не преодолевает. Гусеницы прорезают покров, и танк вывешивается на днище. При одностороннем погружении имеют место выходы гребней траков из опорных колес (на не погруженной гусенице)».</w:t>
      </w:r>
    </w:p>
    <w:p w14:paraId="1359E91B"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72 – 73]</w:t>
      </w:r>
    </w:p>
    <w:p w14:paraId="7B5070DE"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итоге специалистами НИ полигона ГАБТУ КА был сделан вывод о том, что проходимость танка Т-34 в осенних условиях неудовлетворительная по следующим причинам: </w:t>
      </w:r>
    </w:p>
    <w:p w14:paraId="58070077"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Входящая в зацепление с грунтом поверхность трака недостаточно развита (малый коэффициент зацепления), следствием чего является буксование гусениц на подъемах даже при незначительно влажном покрове. Эффективность входящих в комплект шпор незначительна. </w:t>
      </w:r>
    </w:p>
    <w:p w14:paraId="1FA9ACF9"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Фиксация гусеницы в опорных колесах ненадежна вследствие малого количества опорных колес и постоянно возникающей слабины гусениц (от износов). Ненадежность фиксации гусениц лимитирует преодоление косогоров – при движении с креном свыше 20 – 23° при поворотах гусеница "сваливается". Сваливание гусениц отмечено так же при преодолении канав под углом менее 90°. </w:t>
      </w:r>
    </w:p>
    <w:p w14:paraId="4B5D9AD5"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Малое количество опорных колес, помимо изложенного в § 2, отрицательно влияет на проходимость по заболоченным участкам, несмотря на небольшое общее удельное давление».</w:t>
      </w:r>
    </w:p>
    <w:p w14:paraId="6109B711"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73 – 74]</w:t>
      </w:r>
    </w:p>
    <w:p w14:paraId="4CC0F146"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Возможности танка Т-34 по преодолению водных преград вброд, напротив, специалистами полигона были признаны вполне удовлетворительными. </w:t>
      </w:r>
    </w:p>
    <w:p w14:paraId="20F4EC10"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этот же день, 11 ноября 1940 г., на полигоне состоялись испытания по определению силы тяги и буксировочных возможностей танка Т-34. В качестве буксируемого (тормозного) приспособления использовался плуг-канавокопатель конструкции НИИТ КА. Испытания проводились по следующей методике: </w:t>
      </w:r>
    </w:p>
    <w:p w14:paraId="6F10EF49"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буксирных цепях между испытываемым танком и буксирным тормозным приспособлением (плуг-канавокопатель) подвешивался пружинный динамометр "Амслер" на 1000 кгр. </w:t>
      </w:r>
    </w:p>
    <w:p w14:paraId="77B8BCAD"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Торможение испытываемого танка производилось путем постепенного опускания лемеха канавокопателя в грунт, до необходимой загрузки. </w:t>
      </w:r>
    </w:p>
    <w:p w14:paraId="052B2E1D"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Испытание проводилось на горизонтальных участках. </w:t>
      </w:r>
    </w:p>
    <w:p w14:paraId="6494CC59"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Сила тяги на крюке замерялась при движении танков на 1 и 2 передачах. Буксировка танками прицепного груза на асфальтовом шоссе производилась на 2 и 3 передачах. </w:t>
      </w:r>
    </w:p>
    <w:p w14:paraId="3B706CEA"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Обработка диаграмм динамометра производилась по среднеарифметической величине из данных 2-х заездов».</w:t>
      </w:r>
    </w:p>
    <w:p w14:paraId="630F2D24"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1853. Л. 7]</w:t>
      </w:r>
    </w:p>
    <w:p w14:paraId="584399A4"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испытаний было установлено, что тяговое усилие на крюке при движении танка Т-34 по проселочной дороге на 1-й передаче составляет 6,70 тс, а при движении на 2-й передаче при частоте вращения коленчатого вала двигателя 550 оборотов в минуту – 8,75 тс. </w:t>
      </w:r>
    </w:p>
    <w:p w14:paraId="346A0112"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11 ноября 1940 г. на полигоне были проведены испытания средств связи танков Т-34, в ходе которых было определено, что дальность связи с помощью радиостанции 73-ТК-3 через микрофон, во время движения обоих машин не превышает 10 км, а во время стоянки составляет 15 – 18 км. При этом были выявлены следующие основные недостатки установки радиостанции в носовой части корпуса танка Т-34: </w:t>
      </w:r>
    </w:p>
    <w:p w14:paraId="61B7D6DE"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 приемником очень трудно оперировать (слишком низко и глубоко расположен). </w:t>
      </w:r>
    </w:p>
    <w:p w14:paraId="64BAFFDA"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Антенна при подъеме цепляет за запдетали, расположенные на [надгусеничной] полке. </w:t>
      </w:r>
    </w:p>
    <w:p w14:paraId="74F63C0A"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ходу танка по шоссе получается сильное дробление слов при приеме. </w:t>
      </w:r>
    </w:p>
    <w:p w14:paraId="256A306A"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Ручным регулятором напряжения пользоваться невозможно из-за неудачного расположения (не виден вольтметр)».</w:t>
      </w:r>
    </w:p>
    <w:p w14:paraId="75D011D2"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1182. Л. 140 – 141]</w:t>
      </w:r>
    </w:p>
    <w:p w14:paraId="4A4891C9" w14:textId="77777777" w:rsidR="00742483" w:rsidRPr="00A3026E" w:rsidRDefault="0074248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двух последующих дней, 12 и 13 ноября 1940 г., танки готовились к дальнейшему пробегу – силами экипажей и группы ремонтников производилось их техническое обслуживание и ремонт. (18173)</w:t>
      </w:r>
    </w:p>
    <w:p w14:paraId="5D0DA675" w14:textId="77777777" w:rsidR="00742483" w:rsidRPr="00A3026E" w:rsidRDefault="00742483" w:rsidP="00A3026E">
      <w:pPr>
        <w:spacing w:after="0" w:line="240" w:lineRule="auto"/>
        <w:jc w:val="both"/>
        <w:rPr>
          <w:rFonts w:ascii="Times New Roman" w:hAnsi="Times New Roman"/>
          <w:color w:val="000000" w:themeColor="text1"/>
          <w:sz w:val="16"/>
          <w:szCs w:val="16"/>
        </w:rPr>
      </w:pPr>
    </w:p>
    <w:p w14:paraId="6FB7B98E"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765681B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FBBDA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 были введены персональные воинские звания для рядового и младшего начсостава РККА (3481).</w:t>
      </w:r>
    </w:p>
    <w:p w14:paraId="14BDD63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1CF72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 года вышел Приказ НКО об установлении воинских званий для рядового и младшего начальствующего состава Красной Армии и введении в действие положения о прохождении службы младшим начальствующим составом № 391.</w:t>
      </w:r>
    </w:p>
    <w:p w14:paraId="1E7295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повышения ответственности младшего начальствующего состава за состояние боевой подготовки подразделений, воспитания бойцов и укрепления воинской дисциплины, а также дальнейшего поднятия авторитета младшего начальствующего состава приказываю:</w:t>
      </w:r>
    </w:p>
    <w:p w14:paraId="2CEEA5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Установить для рядового и младшего начальствующего состава Красной Армии следующие воинские звания:</w:t>
      </w:r>
    </w:p>
    <w:p w14:paraId="5A484C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Для рядового состава:</w:t>
      </w:r>
    </w:p>
    <w:p w14:paraId="22B12F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красноармеец,</w:t>
      </w:r>
    </w:p>
    <w:p w14:paraId="02719E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ефрейтор.</w:t>
      </w:r>
    </w:p>
    <w:p w14:paraId="5BCB3D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Для младшего начальствующего состава:</w:t>
      </w:r>
    </w:p>
    <w:p w14:paraId="1F0589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младший сержант,</w:t>
      </w:r>
    </w:p>
    <w:p w14:paraId="3270D3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сержант,</w:t>
      </w:r>
    </w:p>
    <w:p w14:paraId="2D78F8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старший сержант,</w:t>
      </w:r>
    </w:p>
    <w:p w14:paraId="14CFAE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старшина.</w:t>
      </w:r>
    </w:p>
    <w:p w14:paraId="7E5DF1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Ввести в действие объявляемое Положение о прохождении службы младшим начальствующим составом.</w:t>
      </w:r>
    </w:p>
    <w:p w14:paraId="750774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соответствии с настоящим приказом в течение ноября и декабря месяцев с. г. присвоить новые воинские звания, руководствуясь нижеследующим:</w:t>
      </w:r>
    </w:p>
    <w:p w14:paraId="3A14DA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звание «ефрейтор» — лучшим красноармейцам второго года службы, могущим проводить начальное обучение красноармейцев, по представлению командиров подразделений — приказами командиров отдельных частей и им соответствующих;</w:t>
      </w:r>
    </w:p>
    <w:p w14:paraId="4D1915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звания «младший сержант», «сержант» и «старший сержант» — младшему начальствующему составу частей, входящих в состав дивизий и бригад, по представлению командиров частей в строгом соответствии с пп. 4, 5 и 6 Положения — приказами командиров дивизий и бригад, корпусных частей — приказами командиров корпусов, а частей, непосредственно подчиненных военным советам округов, армий, — приказами военных советов округов, армий;</w:t>
      </w:r>
    </w:p>
    <w:p w14:paraId="5653EA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звание «старшина» — старшинам подразделений и лучшим младшим командирам, прокомандовавшим подразделением не менее двух лет и могущим исполнять обязанности старшины роты (батареи, эскадрона) и им соответствующих, по представлению командиров соединений и отдельных частей (не входящих в состав соединений) — приказами военных советов округов, армий.</w:t>
      </w:r>
    </w:p>
    <w:p w14:paraId="6C5C84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Придавая исключительно важное значение присвоению новых воинских званий младшему начальствующему составу, требую тщательного индивидуального подхода к каждому младшему командиру, не допуская огульного присвоения воинских званий и не превышая общего количества штатных должностей.</w:t>
      </w:r>
    </w:p>
    <w:p w14:paraId="345782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Установить с 1 января 1941 г. для младшего начальствующего состава утвержденные мною новые знаки различия, согласно прилагаемому описанию.</w:t>
      </w:r>
    </w:p>
    <w:p w14:paraId="1C43B1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Представить в Генеральный штаб Красной Армии к 15 января 1941 г. сведения о количестве младшего начальствующего состава по родам войск и служб, отдельно на срочнослужащих и сверхсрочнослужащих, которым присвоено новое воинское звание.</w:t>
      </w:r>
    </w:p>
    <w:p w14:paraId="6BFF25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Приказы РВС СССР 1931 г. № 135, 1932 г. № 232 и 1934 г. № 62</w:t>
      </w:r>
    </w:p>
    <w:p w14:paraId="3643BB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отменить.</w:t>
      </w:r>
    </w:p>
    <w:p w14:paraId="5F819A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СССР Маршал Советского Союза С. Тимошенко (10601).</w:t>
      </w:r>
    </w:p>
    <w:p w14:paraId="0A0B558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FDBCB11"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2 ноября 1940 г.</w:t>
      </w:r>
    </w:p>
    <w:p w14:paraId="5E0A3486"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СОВ. СЕКРЕТНО</w:t>
      </w:r>
    </w:p>
    <w:p w14:paraId="488DE181"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ЦК ВКП(б)</w:t>
      </w:r>
    </w:p>
    <w:p w14:paraId="0610F020"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N 4713/б</w:t>
      </w:r>
    </w:p>
    <w:p w14:paraId="52D8C26E"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г. Москва</w:t>
      </w:r>
    </w:p>
    <w:p w14:paraId="60A7E8C0"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Товарищу Сталину</w:t>
      </w:r>
    </w:p>
    <w:p w14:paraId="2498F215"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Во исполнение Ваших указаний о военнопленных поляках и чехах нами проделано следующее:</w:t>
      </w:r>
    </w:p>
    <w:p w14:paraId="1A8BCB6D"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1. В лагерях НКВД СССР в настоящее время содержится военнопленных поляков 18.297 человек, в том числе: генералов - 2, полковников и подполковников - 39, майоров и капитанов - 222, поручиков и подпоручиков - 6, младшего комсостава - 4.022, рядовых - 13.321.</w:t>
      </w:r>
    </w:p>
    <w:p w14:paraId="0007C621"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lastRenderedPageBreak/>
        <w:t>2. Из 18.297 человек 11.998 являются жителями территории, отошедшей Германии.</w:t>
      </w:r>
    </w:p>
    <w:p w14:paraId="454895F0"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Военнопленных, интернированных в Литве и Латвии и вывезенных в лагеря НКВД СССР, насчитывается 3.303 человека.</w:t>
      </w:r>
    </w:p>
    <w:p w14:paraId="0CACE9A4"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Подавляющая часть остальных военнопленных за исключением комсостава, занята на работах по строительству шосссейной и железной дорог.</w:t>
      </w:r>
    </w:p>
    <w:p w14:paraId="608BE456"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Кроме того, во внутренней тюрьме НКВД СССР находятся 22 офицера бывшей польской армии, арестованных органами НКВД как участники различных антисоветских организаций, действовавших на территории западных областей Украины и Белоруссии.</w:t>
      </w:r>
    </w:p>
    <w:p w14:paraId="71C39413"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Младшие офицеры заявляют, что они будут действовать в соответствии с приказами, полученными от какого-либо польского генерала.</w:t>
      </w:r>
    </w:p>
    <w:p w14:paraId="77149F20"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Конкретно следует остановиться на позициях следующих отдельных лиц:</w:t>
      </w:r>
    </w:p>
    <w:p w14:paraId="6D298323"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а) генерал Янушайтес заявил, что он может взять на себя руководство польскими частями (вписано от руки), если таковые будут организованы на территории Советского Союза для борьбы с Германией (вписано от руки), безотносительно к установкам в этом вопросе "правительства" Сикорского. Однако считает целесообразным наметить специальную политическую платформу с изложением будущей судьбы Польши (вписано от руки) и одновременно с этим, как он выразился, "смягчить климат" для поляков, проживающих в западных областях Украины и Белоруссии.</w:t>
      </w:r>
    </w:p>
    <w:p w14:paraId="6C98C0EF"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б) генерал Боруто-Спехович заявил, что он может предпринять те или иные шаги только по указанию "правительства" Сикорского, которое, по его мнению, представляет интересы польского народа.</w:t>
      </w:r>
    </w:p>
    <w:p w14:paraId="3B2E8E54"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 генерал Пржздецкий сделал заявление, аналогичное заявлению Боруто-Спеховича.</w:t>
      </w:r>
    </w:p>
    <w:p w14:paraId="04170FF3"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г) несколько полковников и подполковников (Берлинг, Букоемский, Горчинский, Тышинский) заявили, что они всецело передают себя в распоряжение Советской власти и что с большой охотой возьмут на себя организацию и руководство какими-либо военными соединениями (вписано от руки) из числа военнопленных поляков, предназначенными для борьбы с Германией (вписано от руки) в интересах создания Польши как национального государства. Будущая Польша мыслится ими как тесно связанная в той или иной форме с Советским Союзом.</w:t>
      </w:r>
    </w:p>
    <w:p w14:paraId="03CB922E"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Для прощупывания настроений остальной массы военнопленных, содержащихся в лагерях НКВД, на места были посланы бригады оперативных работников НКВД СССР с соответствующими заданиями.</w:t>
      </w:r>
    </w:p>
    <w:p w14:paraId="33B3AB54"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 результате проведенной работы установлено, что подавляющее большинство военнопленных безусловно может быть использовано для организации польской военной части (вписано от руки).</w:t>
      </w:r>
    </w:p>
    <w:p w14:paraId="0EC08D56"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Для этой цели нам представляется целесообразным:</w:t>
      </w:r>
    </w:p>
    <w:p w14:paraId="0BFACB3A"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Не отказываясь от мысли использовать в качестве руководителей польской военной части (вписано от руки) генералов Янушайтиса и Боруто-Спеховича, имена которых могут привлечь определенные круги бывших польских военных, поручить организацию на первое время дивизии (вписано от руки) упомянутой выше группе полковников и подполковников (справки на них прилагаются) которые производят впечатление толковых, знающих военное дело, правильно политически мыслящих и искренних людей.</w:t>
      </w:r>
    </w:p>
    <w:p w14:paraId="2F531F47"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Этой группе следует предоставить возможность переговорить в конспиративной форме со своими единомышленниками в лагерях для военнопленных поляков и отобрать кадровый состав будущей дивизии (вписано от руки).</w:t>
      </w:r>
    </w:p>
    <w:p w14:paraId="22E3AAE8"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После того, как кадровый состав будет подобран, следует в одном из совхозов на юго-востоке СССР организовать штаб (вписано от руки) и место занятий дивизии (вписано от руки). Совместно со специально выделенными работниками штаба РККА (вписано от руки) составляется план формирования дивизии (вписано от руки), решается вопрос о характере дивизии (танковая, моторизованная, стрелковая) (вписано от руки) и обеспечивается ее материально-техническое снабжение.</w:t>
      </w:r>
    </w:p>
    <w:p w14:paraId="13203E08"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Одновременно с этим в лагерях для военнопленных поляков среди рядовых и младшего комсостава органами НКВД должна вестись соответствующая работа по вербовке людей в дивизию (вписано от руки).</w:t>
      </w:r>
    </w:p>
    <w:p w14:paraId="56F871C7"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По мере вербовки и окончания проверки вербуемых, последние партиями направляются к месту расположения штаба дивизии (вписано от руки), где с ними проводятся соответствующие занятия.</w:t>
      </w:r>
    </w:p>
    <w:p w14:paraId="1431B3F7"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Организация дивизии (вписано от руки) и подготовка ее проводятся под руководством Генштаба РККА (вписано от руки). При дивизизии (вписано от руки) организуется Особое отделение НКВД СССР (вписано от руки) с задачами обеспечения внутреннего освещения личного состава дивизии (вписано от руки).</w:t>
      </w:r>
    </w:p>
    <w:p w14:paraId="51D1C7F2"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Что касается военнопленных чехов, то их в лагере НКВД насчитывается 577 человек (501 чех и 76 словаков), в том числе: штабных капитанов и капитанов - 8 человек, младших офицеров - 39, младшего комсостава - 176 человек и рядовых 354.</w:t>
      </w:r>
    </w:p>
    <w:p w14:paraId="77F0781C"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 процессе бесед с отобранными из их числа 13-ю офицерами установлено, что все они считают своим исконным врагом Германию (вписано от руки) и хотят драться с ней за восстановление Чехословацкого государства (вписано от руки). Себя они расматривают как военнообязанных чешской армии, своим вождем считают Бенеша и в случае, если на территории Советского Союза будут организованы какие-либо чешские военные части (вписано от руки), вступят в них по приказу Бенеша или, как минимум, своего командира полковника Свобода (вписано от руки), ныне находящегося за границей. Свобода (вписано от руки) нами из-за границы вызван.</w:t>
      </w:r>
    </w:p>
    <w:p w14:paraId="5F3CCB46"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Приложение: по тексту.</w:t>
      </w:r>
    </w:p>
    <w:p w14:paraId="3A4F1512"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НАРОДНЫЙ КОМИССАР ВНУТРЕННИХ ДЕЛ СОЮЗА ССР Л. БЕРИЯ (9714)</w:t>
      </w:r>
    </w:p>
    <w:p w14:paraId="06E828D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3725BCD" w14:textId="77777777" w:rsidR="00C66762"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За</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рубежом</w:t>
      </w:r>
      <w:r w:rsidRPr="00A3026E">
        <w:rPr>
          <w:rFonts w:ascii="Times New Roman" w:hAnsi="Times New Roman"/>
          <w:i/>
          <w:iCs/>
          <w:color w:val="000000" w:themeColor="text1"/>
          <w:sz w:val="16"/>
          <w:szCs w:val="16"/>
          <w:lang w:val="en-US"/>
        </w:rPr>
        <w:t>:</w:t>
      </w:r>
    </w:p>
    <w:p w14:paraId="25388FB5" w14:textId="77777777" w:rsidR="00C66762" w:rsidRPr="00A3026E" w:rsidRDefault="00C66762" w:rsidP="00A3026E">
      <w:pPr>
        <w:spacing w:after="0" w:line="240" w:lineRule="auto"/>
        <w:jc w:val="both"/>
        <w:rPr>
          <w:rFonts w:ascii="Times New Roman" w:hAnsi="Times New Roman"/>
          <w:iCs/>
          <w:color w:val="000000" w:themeColor="text1"/>
          <w:sz w:val="16"/>
          <w:szCs w:val="16"/>
          <w:lang w:val="en-US"/>
        </w:rPr>
      </w:pPr>
    </w:p>
    <w:p w14:paraId="05EDCA21"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2 November 1940 British Army and Airforce go to the aid of Greece (270).</w:t>
      </w:r>
    </w:p>
    <w:p w14:paraId="0E701062"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7C3142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ноября 1940 Британская армия и ВВС начали оказывать помощь Греции (270).</w:t>
      </w:r>
    </w:p>
    <w:p w14:paraId="08D17D4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7C0A10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3EF64C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1F95C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ноября 1940 г. вышло распоряжение начальника ВВС КА о проведении войсковых испытаний МИГ-1 (9984).</w:t>
      </w:r>
    </w:p>
    <w:p w14:paraId="064CC5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A37E5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ноября 1940 г. Н.Н.П. написал письмо заместителям наркома авиационной промыш</w:t>
      </w:r>
      <w:r w:rsidRPr="00A3026E">
        <w:rPr>
          <w:rFonts w:ascii="Times New Roman" w:hAnsi="Times New Roman"/>
          <w:color w:val="000000" w:themeColor="text1"/>
          <w:sz w:val="16"/>
          <w:szCs w:val="16"/>
        </w:rPr>
        <w:softHyphen/>
        <w:t>ленности Яковлеву и Воронину, в котором отразил ис</w:t>
      </w:r>
      <w:r w:rsidRPr="00A3026E">
        <w:rPr>
          <w:rFonts w:ascii="Times New Roman" w:hAnsi="Times New Roman"/>
          <w:color w:val="000000" w:themeColor="text1"/>
          <w:sz w:val="16"/>
          <w:szCs w:val="16"/>
        </w:rPr>
        <w:softHyphen/>
        <w:t>тинное положение дел с серийным выпуском машины:</w:t>
      </w:r>
    </w:p>
    <w:p w14:paraId="5D59B0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Работа по самолету И-180 начинает разворачи</w:t>
      </w:r>
      <w:r w:rsidRPr="00A3026E">
        <w:rPr>
          <w:rFonts w:ascii="Times New Roman" w:hAnsi="Times New Roman"/>
          <w:color w:val="000000" w:themeColor="text1"/>
          <w:sz w:val="16"/>
          <w:szCs w:val="16"/>
        </w:rPr>
        <w:softHyphen/>
        <w:t>ваться не только по войсковой серии, но и по первой и второй сериям этих самолетов. Как показывают прила</w:t>
      </w:r>
      <w:r w:rsidRPr="00A3026E">
        <w:rPr>
          <w:rFonts w:ascii="Times New Roman" w:hAnsi="Times New Roman"/>
          <w:color w:val="000000" w:themeColor="text1"/>
          <w:sz w:val="16"/>
          <w:szCs w:val="16"/>
        </w:rPr>
        <w:softHyphen/>
        <w:t>гаемые ведомости задела на ЗО.УШ.-40 г., заготовка на первую серию заканчивается, а на вторую развернуты полностью.</w:t>
      </w:r>
    </w:p>
    <w:p w14:paraId="54C9AE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Сборка самолетов из заготовок ведется пока мало</w:t>
      </w:r>
      <w:r w:rsidRPr="00A3026E">
        <w:rPr>
          <w:rFonts w:ascii="Times New Roman" w:hAnsi="Times New Roman"/>
          <w:color w:val="000000" w:themeColor="text1"/>
          <w:sz w:val="16"/>
          <w:szCs w:val="16"/>
        </w:rPr>
        <w:softHyphen/>
        <w:t>удовлетворительно. В августе не закончена сборка вой</w:t>
      </w:r>
      <w:r w:rsidRPr="00A3026E">
        <w:rPr>
          <w:rFonts w:ascii="Times New Roman" w:hAnsi="Times New Roman"/>
          <w:color w:val="000000" w:themeColor="text1"/>
          <w:sz w:val="16"/>
          <w:szCs w:val="16"/>
        </w:rPr>
        <w:softHyphen/>
        <w:t>сковой серии, как предполагалось; также не будет закончена сборка первой серии, что следовало по плану.</w:t>
      </w:r>
    </w:p>
    <w:p w14:paraId="5832AF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Общее запаздывание по сборке на сегодня можно оценить в один месяц, а это ставит под сомнение выпол</w:t>
      </w:r>
      <w:r w:rsidRPr="00A3026E">
        <w:rPr>
          <w:rFonts w:ascii="Times New Roman" w:hAnsi="Times New Roman"/>
          <w:color w:val="000000" w:themeColor="text1"/>
          <w:sz w:val="16"/>
          <w:szCs w:val="16"/>
        </w:rPr>
        <w:softHyphen/>
        <w:t>нение программы этого года по самолету И-180 на заво</w:t>
      </w:r>
      <w:r w:rsidRPr="00A3026E">
        <w:rPr>
          <w:rFonts w:ascii="Times New Roman" w:hAnsi="Times New Roman"/>
          <w:color w:val="000000" w:themeColor="text1"/>
          <w:sz w:val="16"/>
          <w:szCs w:val="16"/>
        </w:rPr>
        <w:softHyphen/>
        <w:t>де № 21.</w:t>
      </w:r>
    </w:p>
    <w:p w14:paraId="2B7ED9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Основным вопросом, тормозящим окончание и облет самолетов И-180, является вопрос с мотором М-88. Не говоря уже о том, что на имеющихся на заводе №21 моторах М-88 летать нельзя, по заводу № 21 ходят всяко</w:t>
      </w:r>
      <w:r w:rsidRPr="00A3026E">
        <w:rPr>
          <w:rFonts w:ascii="Times New Roman" w:hAnsi="Times New Roman"/>
          <w:color w:val="000000" w:themeColor="text1"/>
          <w:sz w:val="16"/>
          <w:szCs w:val="16"/>
        </w:rPr>
        <w:softHyphen/>
        <w:t>го рода слухи об окончательном снятии мотора М-88 с серийного производства, а в связи с этим и закрытия производства самолета И-180.</w:t>
      </w:r>
    </w:p>
    <w:p w14:paraId="3C6360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Совершенно необходимо в самом срочном порядке добиться получения на завод кондиционных моторов М-88 с тем, чтобы в ближайшее время начать облет за</w:t>
      </w:r>
      <w:r w:rsidRPr="00A3026E">
        <w:rPr>
          <w:rFonts w:ascii="Times New Roman" w:hAnsi="Times New Roman"/>
          <w:color w:val="000000" w:themeColor="text1"/>
          <w:sz w:val="16"/>
          <w:szCs w:val="16"/>
        </w:rPr>
        <w:softHyphen/>
        <w:t>конченных самолетов.</w:t>
      </w:r>
    </w:p>
    <w:p w14:paraId="4B7DB0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Несмотря на постановление Коллегии Наркомата по заводу №21 от 25.У1. с/г об отпуске оборудования, станки, наряженные наркоматом, до сих пор заводом № 21 не получены, вследствие чего создается угроза за</w:t>
      </w:r>
      <w:r w:rsidRPr="00A3026E">
        <w:rPr>
          <w:rFonts w:ascii="Times New Roman" w:hAnsi="Times New Roman"/>
          <w:color w:val="000000" w:themeColor="text1"/>
          <w:sz w:val="16"/>
          <w:szCs w:val="16"/>
        </w:rPr>
        <w:softHyphen/>
        <w:t>готовке механических деталей для самолета И-180. Не</w:t>
      </w:r>
      <w:r w:rsidRPr="00A3026E">
        <w:rPr>
          <w:rFonts w:ascii="Times New Roman" w:hAnsi="Times New Roman"/>
          <w:color w:val="000000" w:themeColor="text1"/>
          <w:sz w:val="16"/>
          <w:szCs w:val="16"/>
        </w:rPr>
        <w:softHyphen/>
        <w:t>обходимо побудить завод №21 ускорить реализацию наряда на станки и, кроме того, разместить на других за</w:t>
      </w:r>
      <w:r w:rsidRPr="00A3026E">
        <w:rPr>
          <w:rFonts w:ascii="Times New Roman" w:hAnsi="Times New Roman"/>
          <w:color w:val="000000" w:themeColor="text1"/>
          <w:sz w:val="16"/>
          <w:szCs w:val="16"/>
        </w:rPr>
        <w:softHyphen/>
        <w:t>водах наркомата изготовление механических деталей.</w:t>
      </w:r>
    </w:p>
    <w:p w14:paraId="2FEB5C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Заводу № 21 постановлением Правительства опре</w:t>
      </w:r>
      <w:r w:rsidRPr="00A3026E">
        <w:rPr>
          <w:rFonts w:ascii="Times New Roman" w:hAnsi="Times New Roman"/>
          <w:color w:val="000000" w:themeColor="text1"/>
          <w:sz w:val="16"/>
          <w:szCs w:val="16"/>
        </w:rPr>
        <w:softHyphen/>
        <w:t>делена премия за освоение самолета И-180 в 3000000 рублей. Заводом № 21 уточнена премиальная система и доведена до отдельного работника. Однако было бы це</w:t>
      </w:r>
      <w:r w:rsidRPr="00A3026E">
        <w:rPr>
          <w:rFonts w:ascii="Times New Roman" w:hAnsi="Times New Roman"/>
          <w:color w:val="000000" w:themeColor="text1"/>
          <w:sz w:val="16"/>
          <w:szCs w:val="16"/>
        </w:rPr>
        <w:softHyphen/>
        <w:t>лесообразно по примеру других заводов дать право за</w:t>
      </w:r>
      <w:r w:rsidRPr="00A3026E">
        <w:rPr>
          <w:rFonts w:ascii="Times New Roman" w:hAnsi="Times New Roman"/>
          <w:color w:val="000000" w:themeColor="text1"/>
          <w:sz w:val="16"/>
          <w:szCs w:val="16"/>
        </w:rPr>
        <w:softHyphen/>
        <w:t>воду №21 выдавать премию авансом в небольших размерах тем работникам, коим закончен свой участок работы или кои показали большую и инициативную ра</w:t>
      </w:r>
      <w:r w:rsidRPr="00A3026E">
        <w:rPr>
          <w:rFonts w:ascii="Times New Roman" w:hAnsi="Times New Roman"/>
          <w:color w:val="000000" w:themeColor="text1"/>
          <w:sz w:val="16"/>
          <w:szCs w:val="16"/>
        </w:rPr>
        <w:softHyphen/>
        <w:t>боту по освоению И-180.</w:t>
      </w:r>
    </w:p>
    <w:p w14:paraId="733A33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Подобное мероприятие сильно стимулировало бы и ускорило бы работу по И-180» (10667).</w:t>
      </w:r>
    </w:p>
    <w:p w14:paraId="1AD0197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C6D15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ноября 1940 года Уваров представил:</w:t>
      </w:r>
    </w:p>
    <w:p w14:paraId="3FCCE6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Сведения о газовой турбине системы проф. В.В. Уварова и ее преимуществах перед поршневыми двигателями</w:t>
      </w:r>
    </w:p>
    <w:p w14:paraId="32AC88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ГТУ-3 имеет следующие основные данные:</w:t>
      </w:r>
    </w:p>
    <w:p w14:paraId="1FFA46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Эффективная мощность Ne=1500 л.с. в земных условиях и 400 л.с. на высоте Н=10000 м без наддува.</w:t>
      </w:r>
    </w:p>
    <w:p w14:paraId="5F6761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Расход топлива в земных условиях – 300 гр/л.с.ч. и на высоте Н=10000 м – 250 гр/л.с.ч.</w:t>
      </w:r>
    </w:p>
    <w:p w14:paraId="1C112C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на лошадиную силу …. = 0,7-0,8 кг и габариты:</w:t>
      </w:r>
    </w:p>
    <w:p w14:paraId="59DA65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800х900 мм и длина l-2300 мм до втулки винта.</w:t>
      </w:r>
    </w:p>
    <w:p w14:paraId="2A68E4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Приведенные данные соответствуют опытному образцу, изготовленному в настоящее время. При серийном производстве, габариты и вес могут быть снижены, а экономичность, в случае применения регенерации (при некотором увеличении габаритов, на том же миделе) повышена до 40% и выше, что соответствует расходу топлива 150 гр/л.с.ч.</w:t>
      </w:r>
    </w:p>
    <w:p w14:paraId="15135C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преимущества ГТУ-3 перед поршневыми авиамоторами заключаются в следующем:</w:t>
      </w:r>
    </w:p>
    <w:p w14:paraId="22BDEAE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Возрастание к.п.д. с подъемом на высоту на Н=10000 м к.п.д. вместо 21% у земли поднимается до 26%. В поршневых двигателях к.п.д. с подъемом на высоту падает. Последнее объясняется относительным снижением мощности на сжатие воздуха при подъеме, в то время как поршневым моторам это несвойственно.</w:t>
      </w:r>
    </w:p>
    <w:p w14:paraId="6AE99DD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Снижение мощности в газовой турбине, по высоте, работающей без наддува, меньше чем в поршневых двигателях, из-за влияния плотности воздуха.</w:t>
      </w:r>
    </w:p>
    <w:p w14:paraId="1F5A5AD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Нетребовательность к топливу и пожарная безопасность (моторная нефть).</w:t>
      </w:r>
    </w:p>
    <w:p w14:paraId="685ABF7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Проста конструкции и эксплуатации, а также долговечность.</w:t>
      </w:r>
    </w:p>
    <w:p w14:paraId="7C712E1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Возможность получения в одном агрегате любой мощности.</w:t>
      </w:r>
    </w:p>
    <w:p w14:paraId="1D0343F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Идеальная уравновешенность, что благоприятно повлияет на работу корпуса самолета.</w:t>
      </w:r>
    </w:p>
    <w:p w14:paraId="21521E9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Возможность применения регенерации, что нецелесообразно из-за потери литровой мощности у поршневых двигателей.</w:t>
      </w:r>
    </w:p>
    <w:p w14:paraId="666C368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Возможная высотность 15000-17000 м, что даже теоретически недостижимоо для поршневых двигателей. Удельный вес турбины на указанной высоте может быть получен 0,8 кг/л.с. (3377, 19).</w:t>
      </w:r>
    </w:p>
    <w:p w14:paraId="6074072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5E430230" w14:textId="77777777" w:rsidR="00BB5780"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BB7CCEB" w14:textId="77777777" w:rsidR="00BB5780" w:rsidRPr="00A3026E" w:rsidRDefault="00BB5780" w:rsidP="00A3026E">
      <w:pPr>
        <w:spacing w:after="0" w:line="240" w:lineRule="auto"/>
        <w:jc w:val="both"/>
        <w:rPr>
          <w:rFonts w:ascii="Times New Roman" w:hAnsi="Times New Roman"/>
          <w:iCs/>
          <w:color w:val="000000" w:themeColor="text1"/>
          <w:sz w:val="16"/>
          <w:szCs w:val="16"/>
        </w:rPr>
      </w:pPr>
    </w:p>
    <w:p w14:paraId="653D3946" w14:textId="77777777" w:rsidR="00BB5780" w:rsidRPr="00A3026E" w:rsidRDefault="00BB5780"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color w:val="000000" w:themeColor="text1"/>
          <w:sz w:val="16"/>
          <w:szCs w:val="16"/>
        </w:rPr>
        <w:t>3 марта 1940 г. Л. П. Берия обратился в Экономсовет СНК СССР с предложениями об освоении в промышленном производстве разработанных ОТБ НКВД средств вооружения. В записке сообщалось: «Группой арестованных под руководством арестованного С. И. Лукашова (бывший работник Артиллерийского Управления НКО) разработаны 45 мм бронебойно-зажигательный снаряд и два образца зажигательных авиационных бомб. Группа арестованного Рябова (бывший работник Артиллерийского Управления НКО) разработала конструкцию зарядов, позволяющую получить беспламенный и бездымный артиллерийский выстрел. Ими также разработан специальный пороховой заряд для бронебойной пули Б-30. Группа под руководством з/к Фишмана (бывший начальник Химуправления НКО) разработала новый образец противогаза, защитная мощность которого в два раза превышает мощность принятого на вооружение противогаза МТ-4. Группа заключенных под руководством Ступникова (бывший главный инженер НКОП) разработала новую технологию производства серной кислоты, позволяющую повысить производительность действующих сернокислотных заводов в три раза. Зеки-оборонщики, многие из которых оказались под арестом из-за ложных доносов или выбитых под пыткой свидетельских показаний, не могли не задумываться над вопросом о целесообразности выполнения своих профессиональных обязанностей на свободе.</w:t>
      </w:r>
    </w:p>
    <w:p w14:paraId="78CB0D77" w14:textId="77777777" w:rsidR="00BB5780" w:rsidRPr="00A3026E" w:rsidRDefault="00BB5780" w:rsidP="00A3026E">
      <w:pPr>
        <w:spacing w:after="0" w:line="240" w:lineRule="auto"/>
        <w:jc w:val="both"/>
        <w:rPr>
          <w:rFonts w:ascii="Times New Roman" w:hAnsi="Times New Roman"/>
          <w:iCs/>
          <w:color w:val="000000" w:themeColor="text1"/>
          <w:sz w:val="16"/>
          <w:szCs w:val="16"/>
        </w:rPr>
      </w:pPr>
    </w:p>
    <w:p w14:paraId="20D082A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7A31BE7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16423EF"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3 ноября </w:t>
      </w:r>
      <w:r w:rsidRPr="00A3026E">
        <w:rPr>
          <w:rFonts w:ascii="Times New Roman" w:hAnsi="Times New Roman"/>
          <w:color w:val="000000" w:themeColor="text1"/>
          <w:sz w:val="16"/>
          <w:szCs w:val="16"/>
        </w:rPr>
        <w:t>в 1940 году в Великобританию проник единственный немецкий шпион за все время 2-ой мировой войны, который избежал плена и перевербовки. Шпион имел при себе документы на имя гражданина Голландии Тер Браака, много ездил по стране, но никаких сведений передать не успел - застрелился. Впоследствии еще двое утверждали, что выбрасывались на парашюте на Британские острова, а потом вернулись в Германию, но доказательств не предъявили, посему Тер Браак один такой уникум. Интересно, а какое отношение имел он к настоящему Тер Брааку, нидерландскому писателю-нигилисту? Что самое удивительное - писатель умер в 1940 году, а шпион застрелился 1 апреля 1941 года (14819).</w:t>
      </w:r>
    </w:p>
    <w:p w14:paraId="59C35FDD" w14:textId="77777777" w:rsidR="00616643" w:rsidRPr="00A3026E" w:rsidRDefault="00616643" w:rsidP="00A3026E">
      <w:pPr>
        <w:spacing w:after="0" w:line="240" w:lineRule="auto"/>
        <w:jc w:val="both"/>
        <w:rPr>
          <w:rFonts w:ascii="Times New Roman" w:hAnsi="Times New Roman"/>
          <w:color w:val="000000" w:themeColor="text1"/>
          <w:sz w:val="16"/>
          <w:szCs w:val="16"/>
        </w:rPr>
      </w:pPr>
    </w:p>
    <w:p w14:paraId="37418B89" w14:textId="77777777" w:rsidR="00616643" w:rsidRPr="00A3026E" w:rsidRDefault="00616643" w:rsidP="00A3026E">
      <w:pPr>
        <w:spacing w:after="0" w:line="240" w:lineRule="auto"/>
        <w:jc w:val="both"/>
        <w:rPr>
          <w:rStyle w:val="ucoz-forum-post"/>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3 ноября 1940 года</w:t>
      </w:r>
      <w:r w:rsidRPr="00A3026E">
        <w:rPr>
          <w:rStyle w:val="ucoz-forum-post"/>
          <w:rFonts w:ascii="Times New Roman" w:hAnsi="Times New Roman"/>
          <w:color w:val="000000" w:themeColor="text1"/>
          <w:sz w:val="16"/>
          <w:szCs w:val="16"/>
        </w:rPr>
        <w:t xml:space="preserve"> В Грецию прибывают первые английские самолеты для борьбы с итальянцами. Греческие ВВС, основным истребителем которых был PZL Р.24,испытывали острую нехватку техники. Однако уже 3 ноября в Грецию начали прибывать английские авиационные части, укомплектованные бомбардировщиками типа Bristol "Blenheim" и Vickers "Wellington". Главной целью английских бомбардировщиков стала итальянская авиабаза в албанском городе Велона. Лишенные прикрытия, английские бомбардировщики несли тяжелые потери, особенно от новых итальянских истребителей Macchi МС.200. Несмотря на успехи в воздухе, на земле у итальянцев дела шли намного хуже. Грекам удалось быстро остановить итальянское наступление, а затем выбить противника со своей территории и перенести боевые действия в Албанию. Тем временем англичане перебросили в Грецию некоторое количество истребителей Gloster "Gladiator" (www.airwar.ru/enc/fww2/gladtor.html) (14819).</w:t>
      </w:r>
    </w:p>
    <w:p w14:paraId="6892CFF9" w14:textId="77777777" w:rsidR="00616643" w:rsidRPr="00A3026E" w:rsidRDefault="00616643" w:rsidP="00A3026E">
      <w:pPr>
        <w:spacing w:after="0" w:line="240" w:lineRule="auto"/>
        <w:jc w:val="both"/>
        <w:rPr>
          <w:rStyle w:val="ucoz-forum-post"/>
          <w:rFonts w:ascii="Times New Roman" w:hAnsi="Times New Roman"/>
          <w:color w:val="000000" w:themeColor="text1"/>
          <w:sz w:val="16"/>
          <w:szCs w:val="16"/>
        </w:rPr>
      </w:pPr>
    </w:p>
    <w:p w14:paraId="63416F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ноября 1940 в Грецию прибыли первые английские самолеты для борьбы с итальянцами (4962).</w:t>
      </w:r>
    </w:p>
    <w:p w14:paraId="604E3FA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4EBF1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ноября 1940 британские войска оккупировали Суда-Бей на Кипре (3481).</w:t>
      </w:r>
    </w:p>
    <w:p w14:paraId="5AA1AE2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7A2703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7DB7153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3B4C9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закончилась передача в опытное производство завода 156 чертежей 103У "головастика" А.Н.Т. (1835,14).</w:t>
      </w:r>
    </w:p>
    <w:p w14:paraId="799A5F9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2510F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закон</w:t>
      </w:r>
      <w:r w:rsidRPr="00A3026E">
        <w:rPr>
          <w:rFonts w:ascii="Times New Roman" w:hAnsi="Times New Roman"/>
          <w:color w:val="000000" w:themeColor="text1"/>
          <w:sz w:val="16"/>
          <w:szCs w:val="16"/>
        </w:rPr>
        <w:softHyphen/>
        <w:t>чилась передача рабочих чертежей в опытное производство. 9 апреля 1941 г. постройка самолета была законче</w:t>
      </w:r>
      <w:r w:rsidRPr="00A3026E">
        <w:rPr>
          <w:rFonts w:ascii="Times New Roman" w:hAnsi="Times New Roman"/>
          <w:color w:val="000000" w:themeColor="text1"/>
          <w:sz w:val="16"/>
          <w:szCs w:val="16"/>
        </w:rPr>
        <w:softHyphen/>
        <w:t>на, 15 мая летчик-испытатель М А.Нюх</w:t>
      </w:r>
      <w:r w:rsidRPr="00A3026E">
        <w:rPr>
          <w:rFonts w:ascii="Times New Roman" w:hAnsi="Times New Roman"/>
          <w:color w:val="000000" w:themeColor="text1"/>
          <w:sz w:val="16"/>
          <w:szCs w:val="16"/>
        </w:rPr>
        <w:softHyphen/>
        <w:t>тиков совершил на «103У» первый полет. В июне - июле самолет вместе с первой машиной «103» проходил го</w:t>
      </w:r>
      <w:r w:rsidRPr="00A3026E">
        <w:rPr>
          <w:rFonts w:ascii="Times New Roman" w:hAnsi="Times New Roman"/>
          <w:color w:val="000000" w:themeColor="text1"/>
          <w:sz w:val="16"/>
          <w:szCs w:val="16"/>
        </w:rPr>
        <w:softHyphen/>
        <w:t>сударственные испытания (10728).</w:t>
      </w:r>
    </w:p>
    <w:p w14:paraId="6ABE03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68D03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4 ноября 1940 было выполнено 11 полетов. В качестве основных дефектов самолета отмечались: высокая температура воды (95-100" С) и масла (110-1 15"С) и недостаточная продольная устойчивость (9655).</w:t>
      </w:r>
    </w:p>
    <w:p w14:paraId="3AD1245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46CB458"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КОР-1 № 203107 был потерян во время сдаточных испытаний. Л М.В.Цепилов и н А.Н.Безуглый повреждений не получили. Авария произошла из-за разрушения основного поплавка на пробеге вследствие его недостаточной прочности. Затонул на глубине 2.5 м, достали 5 ноября, но решили, что ремонту не подлежит (9079).</w:t>
      </w:r>
    </w:p>
    <w:p w14:paraId="594F3C0E"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p>
    <w:p w14:paraId="4FBFC5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г. при проведении сдаточных испытаний самолет КОР-1 №203107 потерпел аварию в районе Таганрога. Машина скапотировала при посадке, экипаж в составе летчика М.В.Цепилова и наблюдателя А.Н.Безуглого не пострадал. Глубина на месте происшествия была небольшой, и полузатонувший КОР-1 подняли уже на следующий день. Причиной аварии стало разрушение центрального поплавка на пробеге вследствие его недостаточной прочности. Восстанавливать самолет не стали (9966).</w:t>
      </w:r>
    </w:p>
    <w:p w14:paraId="0B11F00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A3112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г. при проведении сдаточных испытаний на Азовском море в районе Таганрога произошла авария самолета КОР-1 (заводской №203107) по причине разрушения носовой части основного поплавка. Летчик М.В.Цепилов и наблюдатель А.Н.Незутлый остались невредимыми (11107). Аварий</w:t>
      </w:r>
      <w:r w:rsidRPr="00A3026E">
        <w:rPr>
          <w:rFonts w:ascii="Times New Roman" w:hAnsi="Times New Roman"/>
          <w:color w:val="000000" w:themeColor="text1"/>
          <w:sz w:val="16"/>
          <w:szCs w:val="16"/>
        </w:rPr>
        <w:softHyphen/>
        <w:t>ная комиссия установила, что причиной аварии стало разрушение основного поплавка на пробеге вследствие недостаточной его прочности. КОР-1 после аварии быст</w:t>
      </w:r>
      <w:r w:rsidRPr="00A3026E">
        <w:rPr>
          <w:rFonts w:ascii="Times New Roman" w:hAnsi="Times New Roman"/>
          <w:color w:val="000000" w:themeColor="text1"/>
          <w:sz w:val="16"/>
          <w:szCs w:val="16"/>
        </w:rPr>
        <w:softHyphen/>
        <w:t>ро затонул на небольшой глубине -2,5 метра. Так как бы</w:t>
      </w:r>
      <w:r w:rsidRPr="00A3026E">
        <w:rPr>
          <w:rFonts w:ascii="Times New Roman" w:hAnsi="Times New Roman"/>
          <w:color w:val="000000" w:themeColor="text1"/>
          <w:sz w:val="16"/>
          <w:szCs w:val="16"/>
        </w:rPr>
        <w:softHyphen/>
        <w:t>стро стемнело, доставали его уже на следующий день. Вы</w:t>
      </w:r>
      <w:r w:rsidRPr="00A3026E">
        <w:rPr>
          <w:rFonts w:ascii="Times New Roman" w:hAnsi="Times New Roman"/>
          <w:color w:val="000000" w:themeColor="text1"/>
          <w:sz w:val="16"/>
          <w:szCs w:val="16"/>
        </w:rPr>
        <w:softHyphen/>
        <w:t>яснилось, что самолет ремонту не подлежит (11107).</w:t>
      </w:r>
    </w:p>
    <w:p w14:paraId="578CA0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8FD17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г. при проведении сдаточных испытаний на Азовском море в районе Таганрога произошла авария самолета КОР-1 (заводской №203107) по причине разрушения носовой части основного поплавка. Летчик М.В.Цепилов и наблюдатель А.Н.Безуглый остались невредимыми, однако самолет затонул (12301).</w:t>
      </w:r>
    </w:p>
    <w:p w14:paraId="30858AE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E2E8B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г. при проведении сдаточных испытаний само</w:t>
      </w:r>
      <w:r w:rsidRPr="00A3026E">
        <w:rPr>
          <w:rFonts w:ascii="Times New Roman" w:hAnsi="Times New Roman"/>
          <w:color w:val="000000" w:themeColor="text1"/>
          <w:sz w:val="16"/>
          <w:szCs w:val="16"/>
        </w:rPr>
        <w:softHyphen/>
        <w:t>лет КОР-1 №203107 потерпел аварию в районе Таганрога. Машина скапотировала при посадке, экипаж в составе летчика М.В. Цепилова и наблюдателя А.Н. Безуглого при этом не по</w:t>
      </w:r>
      <w:r w:rsidRPr="00A3026E">
        <w:rPr>
          <w:rFonts w:ascii="Times New Roman" w:hAnsi="Times New Roman"/>
          <w:color w:val="000000" w:themeColor="text1"/>
          <w:sz w:val="16"/>
          <w:szCs w:val="16"/>
        </w:rPr>
        <w:softHyphen/>
        <w:t>страдали. Так как глубина на месте происшествия была не</w:t>
      </w:r>
      <w:r w:rsidRPr="00A3026E">
        <w:rPr>
          <w:rFonts w:ascii="Times New Roman" w:hAnsi="Times New Roman"/>
          <w:color w:val="000000" w:themeColor="text1"/>
          <w:sz w:val="16"/>
          <w:szCs w:val="16"/>
        </w:rPr>
        <w:softHyphen/>
        <w:t>большой, полузатонувший КОР-1 подняли уже на следующий день. Причиной аварии стало разрушение центрального поплавка на пробеге вследствие его недостаточной проч</w:t>
      </w:r>
      <w:r w:rsidRPr="00A3026E">
        <w:rPr>
          <w:rFonts w:ascii="Times New Roman" w:hAnsi="Times New Roman"/>
          <w:color w:val="000000" w:themeColor="text1"/>
          <w:sz w:val="16"/>
          <w:szCs w:val="16"/>
        </w:rPr>
        <w:softHyphen/>
        <w:t>ности. Восстанавливать самолет не стали, он был списан (12279).</w:t>
      </w:r>
    </w:p>
    <w:p w14:paraId="2AA871D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B247F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г. при проведении сдаточных испытаний само</w:t>
      </w:r>
      <w:r w:rsidRPr="00A3026E">
        <w:rPr>
          <w:rFonts w:ascii="Times New Roman" w:hAnsi="Times New Roman"/>
          <w:color w:val="000000" w:themeColor="text1"/>
          <w:sz w:val="16"/>
          <w:szCs w:val="16"/>
        </w:rPr>
        <w:softHyphen/>
        <w:t>лет КОР-1 №203107 потерпел аварию в районе Таганрога. Машина скапотировала при посадке, экипаж в составе летчика М.В. Цепилова и наблюдателя А.Н. Безуглого при этом не по</w:t>
      </w:r>
      <w:r w:rsidRPr="00A3026E">
        <w:rPr>
          <w:rFonts w:ascii="Times New Roman" w:hAnsi="Times New Roman"/>
          <w:color w:val="000000" w:themeColor="text1"/>
          <w:sz w:val="16"/>
          <w:szCs w:val="16"/>
        </w:rPr>
        <w:softHyphen/>
        <w:t>страдали. Так как глубина на месте происшествия была не</w:t>
      </w:r>
      <w:r w:rsidRPr="00A3026E">
        <w:rPr>
          <w:rFonts w:ascii="Times New Roman" w:hAnsi="Times New Roman"/>
          <w:color w:val="000000" w:themeColor="text1"/>
          <w:sz w:val="16"/>
          <w:szCs w:val="16"/>
        </w:rPr>
        <w:softHyphen/>
        <w:t>большой, полузатонувший КОР-1 подняли уже на следующий день. Причиной аварии стало разрушение центрального поплавка на пробеге вследствие его недостаточной проч</w:t>
      </w:r>
      <w:r w:rsidRPr="00A3026E">
        <w:rPr>
          <w:rFonts w:ascii="Times New Roman" w:hAnsi="Times New Roman"/>
          <w:color w:val="000000" w:themeColor="text1"/>
          <w:sz w:val="16"/>
          <w:szCs w:val="16"/>
        </w:rPr>
        <w:softHyphen/>
        <w:t>ности. Восстанавливать самолет не стали, он был списан (12279).</w:t>
      </w:r>
    </w:p>
    <w:p w14:paraId="622BF5A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B7C34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 ноября 1940 г. один самолет КОР-1 с заводским №20310 был потерян при проведе</w:t>
      </w:r>
      <w:r w:rsidRPr="00A3026E">
        <w:rPr>
          <w:rFonts w:ascii="Times New Roman" w:hAnsi="Times New Roman"/>
          <w:color w:val="000000" w:themeColor="text1"/>
          <w:sz w:val="16"/>
          <w:szCs w:val="16"/>
        </w:rPr>
        <w:softHyphen/>
        <w:t>нии сдаточных испытаний на Азовском мо</w:t>
      </w:r>
      <w:r w:rsidRPr="00A3026E">
        <w:rPr>
          <w:rFonts w:ascii="Times New Roman" w:hAnsi="Times New Roman"/>
          <w:color w:val="000000" w:themeColor="text1"/>
          <w:sz w:val="16"/>
          <w:szCs w:val="16"/>
        </w:rPr>
        <w:softHyphen/>
        <w:t>ре в районе Таганрога. Летчик М.В. Цепи- лов и наблюдатель А.Н. Безуглый в резуль</w:t>
      </w:r>
      <w:r w:rsidRPr="00A3026E">
        <w:rPr>
          <w:rFonts w:ascii="Times New Roman" w:hAnsi="Times New Roman"/>
          <w:color w:val="000000" w:themeColor="text1"/>
          <w:sz w:val="16"/>
          <w:szCs w:val="16"/>
        </w:rPr>
        <w:softHyphen/>
        <w:t>тате этого происшествия остались целыми и невредимыми. Аварийная комиссия устано</w:t>
      </w:r>
      <w:r w:rsidRPr="00A3026E">
        <w:rPr>
          <w:rFonts w:ascii="Times New Roman" w:hAnsi="Times New Roman"/>
          <w:color w:val="000000" w:themeColor="text1"/>
          <w:sz w:val="16"/>
          <w:szCs w:val="16"/>
        </w:rPr>
        <w:softHyphen/>
        <w:t>вила, что причиной аварии стало разруше</w:t>
      </w:r>
      <w:r w:rsidRPr="00A3026E">
        <w:rPr>
          <w:rFonts w:ascii="Times New Roman" w:hAnsi="Times New Roman"/>
          <w:color w:val="000000" w:themeColor="text1"/>
          <w:sz w:val="16"/>
          <w:szCs w:val="16"/>
        </w:rPr>
        <w:softHyphen/>
        <w:t>ние основного поплавка на пробеге вследст зие недостаточной его прочности. КОР-1 по</w:t>
      </w:r>
      <w:r w:rsidRPr="00A3026E">
        <w:rPr>
          <w:rFonts w:ascii="Times New Roman" w:hAnsi="Times New Roman"/>
          <w:color w:val="000000" w:themeColor="text1"/>
          <w:sz w:val="16"/>
          <w:szCs w:val="16"/>
        </w:rPr>
        <w:softHyphen/>
        <w:t>сле аварии быстро затонул на небольшой глу</w:t>
      </w:r>
      <w:r w:rsidRPr="00A3026E">
        <w:rPr>
          <w:rFonts w:ascii="Times New Roman" w:hAnsi="Times New Roman"/>
          <w:color w:val="000000" w:themeColor="text1"/>
          <w:sz w:val="16"/>
          <w:szCs w:val="16"/>
        </w:rPr>
        <w:softHyphen/>
        <w:t>бине — 2,5 метра. Так как быстро стемнело, доставали его уже на следующий день. При</w:t>
      </w:r>
      <w:r w:rsidRPr="00A3026E">
        <w:rPr>
          <w:rFonts w:ascii="Times New Roman" w:hAnsi="Times New Roman"/>
          <w:color w:val="000000" w:themeColor="text1"/>
          <w:sz w:val="16"/>
          <w:szCs w:val="16"/>
        </w:rPr>
        <w:softHyphen/>
        <w:t>знавалось, что самолет ремонту не подлежит (12301).</w:t>
      </w:r>
    </w:p>
    <w:p w14:paraId="76FADA7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09C4E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вышло постановления СНК N 1882-779сс от 4 ноября 1940 по вопросу об изготовлении опытных образцов вооружения для Наркомобороны, в исполнение которого вышел приказ НКАП N 625сс (418,77).</w:t>
      </w:r>
    </w:p>
    <w:p w14:paraId="5783A42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03D73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была подготовлена Справка:</w:t>
      </w:r>
    </w:p>
    <w:p w14:paraId="008FDD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ИСТРЕБИТЕЛЬНОЙ АВИАЦИИ</w:t>
      </w:r>
    </w:p>
    <w:p w14:paraId="2A2CB9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w:t>
      </w:r>
    </w:p>
    <w:p w14:paraId="10DD75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старой машине "Чайка" завод свою программу не только выпол</w:t>
      </w:r>
      <w:r w:rsidRPr="00A3026E">
        <w:rPr>
          <w:rFonts w:ascii="Times New Roman" w:hAnsi="Times New Roman"/>
          <w:color w:val="000000" w:themeColor="text1"/>
          <w:sz w:val="16"/>
          <w:szCs w:val="16"/>
        </w:rPr>
        <w:softHyphen/>
        <w:t>няет, но и перевыполняет, кроме того, окончательно закрыв утвержден</w:t>
      </w:r>
      <w:r w:rsidRPr="00A3026E">
        <w:rPr>
          <w:rFonts w:ascii="Times New Roman" w:hAnsi="Times New Roman"/>
          <w:color w:val="000000" w:themeColor="text1"/>
          <w:sz w:val="16"/>
          <w:szCs w:val="16"/>
        </w:rPr>
        <w:softHyphen/>
        <w:t>ную программу по самолету ББ-22, что же касается новой машины И-200, следует отметить, что завод сильно развернул подготовку производ</w:t>
      </w:r>
      <w:r w:rsidRPr="00A3026E">
        <w:rPr>
          <w:rFonts w:ascii="Times New Roman" w:hAnsi="Times New Roman"/>
          <w:color w:val="000000" w:themeColor="text1"/>
          <w:sz w:val="16"/>
          <w:szCs w:val="16"/>
        </w:rPr>
        <w:softHyphen/>
        <w:t>ства к этой машине, сделал хороший задел и сейчас состояние таково, что в сборочном цехе 50 самолетов находятся без моторов.</w:t>
      </w:r>
    </w:p>
    <w:p w14:paraId="1AEDC0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21</w:t>
      </w:r>
    </w:p>
    <w:p w14:paraId="2DF279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заводу № 21 неудовлетворительна сдача серийной машины И-16 тип 29 происходит, главным образом, из-за недоработки мотора М-63А, что безусловно тормозит сдачу программы завода № 21 и не дает воз</w:t>
      </w:r>
      <w:r w:rsidRPr="00A3026E">
        <w:rPr>
          <w:rFonts w:ascii="Times New Roman" w:hAnsi="Times New Roman"/>
          <w:color w:val="000000" w:themeColor="text1"/>
          <w:sz w:val="16"/>
          <w:szCs w:val="16"/>
        </w:rPr>
        <w:softHyphen/>
        <w:t>можности полного разворота по выполнению своей программы.</w:t>
      </w:r>
    </w:p>
    <w:p w14:paraId="4A1A72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в настоящее время по решению Правительства развернул подготовку производства по машине И-200, получая всюнеобходимую документацию на заводе № 1.</w:t>
      </w:r>
    </w:p>
    <w:p w14:paraId="73A39B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153</w:t>
      </w:r>
    </w:p>
    <w:p w14:paraId="6695D5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то, что завод имел затруднения переходя, на клепаль</w:t>
      </w:r>
      <w:r w:rsidRPr="00A3026E">
        <w:rPr>
          <w:rFonts w:ascii="Times New Roman" w:hAnsi="Times New Roman"/>
          <w:color w:val="000000" w:themeColor="text1"/>
          <w:sz w:val="16"/>
          <w:szCs w:val="16"/>
        </w:rPr>
        <w:softHyphen/>
        <w:t>ное крыло и выполняя то требование заказчика, которое было пред'явлено, согласно договора, однако завод полностью смог бы выполнить свою программу, если бы его не тормозили, также как и на заводе № 21 машины по некондиционности мотора М-63.</w:t>
      </w:r>
    </w:p>
    <w:p w14:paraId="1D2915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301</w:t>
      </w:r>
    </w:p>
    <w:p w14:paraId="4C213E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осваивает новый истребитель И-26. Следует отметить, что конструктивно машина была окончательно не отработана, заводу при</w:t>
      </w:r>
      <w:r w:rsidRPr="00A3026E">
        <w:rPr>
          <w:rFonts w:ascii="Times New Roman" w:hAnsi="Times New Roman"/>
          <w:color w:val="000000" w:themeColor="text1"/>
          <w:sz w:val="16"/>
          <w:szCs w:val="16"/>
        </w:rPr>
        <w:softHyphen/>
        <w:t>шлось претерпеть большое количество изменений, несмотяр на это завод все-таки выпустил по 1 ноября - 19 самолетов. Задел у завода № 301 имеется такой, какой безусловно сможет обеспечить выполнение годовой программы, но однако работу завода срывает подача заводом № 26 моторов М-105П. Обеспеченность на сегодняшний день.</w:t>
      </w:r>
    </w:p>
    <w:p w14:paraId="3279A0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Совершенно неудовлетворительная подача винтов заводом № 28 ВИШ-61П, если только завод № 301 будет обеспечен моторами и винтами можно требовать с завода, на основании состояния его производства, выполнение годовой программы.</w:t>
      </w:r>
    </w:p>
    <w:p w14:paraId="7F1180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292</w:t>
      </w:r>
    </w:p>
    <w:p w14:paraId="5D7937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июле месяце приступил к освоению машин И-26, В настоящее время на аэродроме 7 машин; 3 из них приняты заказчиком, а осталь</w:t>
      </w:r>
      <w:r w:rsidRPr="00A3026E">
        <w:rPr>
          <w:rFonts w:ascii="Times New Roman" w:hAnsi="Times New Roman"/>
          <w:color w:val="000000" w:themeColor="text1"/>
          <w:sz w:val="16"/>
          <w:szCs w:val="16"/>
        </w:rPr>
        <w:softHyphen/>
        <w:t>ные 4 окончательно собраны, но без винтов.</w:t>
      </w:r>
    </w:p>
    <w:p w14:paraId="0E5342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в такой же степени нуждается и в моторах и в винтах. Кроме того, заводу систематически не допоставляются: тормозные колеса 600x180 и хвостовые колеса 250x95, в августе-сентябре отсут</w:t>
      </w:r>
      <w:r w:rsidRPr="00A3026E">
        <w:rPr>
          <w:rFonts w:ascii="Times New Roman" w:hAnsi="Times New Roman"/>
          <w:color w:val="000000" w:themeColor="text1"/>
          <w:sz w:val="16"/>
          <w:szCs w:val="16"/>
        </w:rPr>
        <w:softHyphen/>
        <w:t>ствовала система запуска типа ВС-50. В зависимости от того, как завод будет обеспечен моторами и винтами- будет выполнена производ</w:t>
      </w:r>
      <w:r w:rsidRPr="00A3026E">
        <w:rPr>
          <w:rFonts w:ascii="Times New Roman" w:hAnsi="Times New Roman"/>
          <w:color w:val="000000" w:themeColor="text1"/>
          <w:sz w:val="16"/>
          <w:szCs w:val="16"/>
        </w:rPr>
        <w:softHyphen/>
        <w:t>ственная программа.</w:t>
      </w:r>
    </w:p>
    <w:p w14:paraId="2B2E05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БОМБАРДИРОВОЧНОЙ АВИАЦИИ</w:t>
      </w:r>
    </w:p>
    <w:p w14:paraId="1F8782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18</w:t>
      </w:r>
    </w:p>
    <w:p w14:paraId="2CB5AF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старой машине ДБ-ЗФ завод по существу заканчивает свою производственную программу по выкатке самолетов на аэродром, но не омоторенныш, ввиду отсутствия моторов М-87 или М-88.</w:t>
      </w:r>
    </w:p>
    <w:p w14:paraId="511815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Срыв программы по этой машине на заводе 18 об'ясняется только одной причиной - неподачей моторов М-87 или М-88. Кроме этого,завод внедряет в серийное производство машину ДВ-240.</w:t>
      </w:r>
    </w:p>
    <w:p w14:paraId="23F085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Подготовка производства к серийному выпуску этой машины на заводе 18 идет удовлетворительно иссостояние этой машины, на се-годйяпший день таково, что первая машина в ближайшие два-три дня будет выкачена на аэродром.</w:t>
      </w:r>
    </w:p>
    <w:p w14:paraId="5D418E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заводы-смежники отстают от завода № 18. До настоящего времени заводу поставлено только три комплекта балок ДЕР-19-20, 4 комплекта носовщфстановок НУФ, 1 комплект водяных радиаторов ОП-158, 2 комплекта маслорадиаторов ОП-218 и совершенно не постав</w:t>
      </w:r>
      <w:r w:rsidRPr="00A3026E">
        <w:rPr>
          <w:rFonts w:ascii="Times New Roman" w:hAnsi="Times New Roman"/>
          <w:color w:val="000000" w:themeColor="text1"/>
          <w:sz w:val="16"/>
          <w:szCs w:val="16"/>
        </w:rPr>
        <w:softHyphen/>
        <w:t>лены колеса 1100x1400, турель ТАТ-ВТ, кассеты КД-3-240 и КД-2-240.</w:t>
      </w:r>
    </w:p>
    <w:p w14:paraId="36F567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чтобы в блинжайшее время иметь окончательное заключение по этой машине, так как государственное испытание проходит неудовлетворительно.</w:t>
      </w:r>
    </w:p>
    <w:p w14:paraId="7F95E3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22</w:t>
      </w:r>
    </w:p>
    <w:p w14:paraId="3445BF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 22 сходит с серийного производства машина СБ. Заходит на серийное производство машина СБ-РК и "100"; следует от</w:t>
      </w:r>
      <w:r w:rsidRPr="00A3026E">
        <w:rPr>
          <w:rFonts w:ascii="Times New Roman" w:hAnsi="Times New Roman"/>
          <w:color w:val="000000" w:themeColor="text1"/>
          <w:sz w:val="16"/>
          <w:szCs w:val="16"/>
        </w:rPr>
        <w:softHyphen/>
        <w:t>метить, что завод № 22 ведет совершенно неудовлетворительную под</w:t>
      </w:r>
      <w:r w:rsidRPr="00A3026E">
        <w:rPr>
          <w:rFonts w:ascii="Times New Roman" w:hAnsi="Times New Roman"/>
          <w:color w:val="000000" w:themeColor="text1"/>
          <w:sz w:val="16"/>
          <w:szCs w:val="16"/>
        </w:rPr>
        <w:softHyphen/>
        <w:t>готовку производства к серии указанных машин» По СБ-РК завод иск</w:t>
      </w:r>
      <w:r w:rsidRPr="00A3026E">
        <w:rPr>
          <w:rFonts w:ascii="Times New Roman" w:hAnsi="Times New Roman"/>
          <w:color w:val="000000" w:themeColor="text1"/>
          <w:sz w:val="16"/>
          <w:szCs w:val="16"/>
        </w:rPr>
        <w:softHyphen/>
        <w:t>лючительно плохо снабжается водяными радиаторами ОП-302 , масля</w:t>
      </w:r>
      <w:r w:rsidRPr="00A3026E">
        <w:rPr>
          <w:rFonts w:ascii="Times New Roman" w:hAnsi="Times New Roman"/>
          <w:color w:val="000000" w:themeColor="text1"/>
          <w:sz w:val="16"/>
          <w:szCs w:val="16"/>
        </w:rPr>
        <w:softHyphen/>
        <w:t>ными радиаторами ОП-260 и моторными помпами- агрегат 88Р.</w:t>
      </w:r>
    </w:p>
    <w:p w14:paraId="72CCAF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в октябре месяце не выполнил своей производственной программы, главным образом, потому что не подготовился своевре</w:t>
      </w:r>
      <w:r w:rsidRPr="00A3026E">
        <w:rPr>
          <w:rFonts w:ascii="Times New Roman" w:hAnsi="Times New Roman"/>
          <w:color w:val="000000" w:themeColor="text1"/>
          <w:sz w:val="16"/>
          <w:szCs w:val="16"/>
        </w:rPr>
        <w:softHyphen/>
        <w:t>менно к переходу на мотор М-105 с мотора М-103.</w:t>
      </w:r>
    </w:p>
    <w:p w14:paraId="31832B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Надо отметить, что на заводе исключительно .слабая инстру мен</w:t>
      </w:r>
      <w:r w:rsidRPr="00A3026E">
        <w:rPr>
          <w:rFonts w:ascii="Times New Roman" w:hAnsi="Times New Roman"/>
          <w:color w:val="000000" w:themeColor="text1"/>
          <w:sz w:val="16"/>
          <w:szCs w:val="16"/>
        </w:rPr>
        <w:softHyphen/>
        <w:t>тальная база, директору завода в ближайшее же время нужно развер</w:t>
      </w:r>
      <w:r w:rsidRPr="00A3026E">
        <w:rPr>
          <w:rFonts w:ascii="Times New Roman" w:hAnsi="Times New Roman"/>
          <w:color w:val="000000" w:themeColor="text1"/>
          <w:sz w:val="16"/>
          <w:szCs w:val="16"/>
        </w:rPr>
        <w:softHyphen/>
        <w:t>нуть ее и усилить за счет поступающего на завод оборудования.</w:t>
      </w:r>
    </w:p>
    <w:p w14:paraId="102661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31</w:t>
      </w:r>
    </w:p>
    <w:p w14:paraId="2B7AF2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осваивает по серийному производству два новых типа ма</w:t>
      </w:r>
      <w:r w:rsidRPr="00A3026E">
        <w:rPr>
          <w:rFonts w:ascii="Times New Roman" w:hAnsi="Times New Roman"/>
          <w:color w:val="000000" w:themeColor="text1"/>
          <w:sz w:val="16"/>
          <w:szCs w:val="16"/>
        </w:rPr>
        <w:softHyphen/>
        <w:t>шин: ББ-1 и МДР-б. Как по той, так и по другой машине завод не справляется с производственной программой, главным образом, потому что на заводе нет надлежащей напряженности в выполнении производ</w:t>
      </w:r>
      <w:r w:rsidRPr="00A3026E">
        <w:rPr>
          <w:rFonts w:ascii="Times New Roman" w:hAnsi="Times New Roman"/>
          <w:color w:val="000000" w:themeColor="text1"/>
          <w:sz w:val="16"/>
          <w:szCs w:val="16"/>
        </w:rPr>
        <w:softHyphen/>
        <w:t>ственной программы и слаба инструментальная база; имеющиеся пер</w:t>
      </w:r>
      <w:r w:rsidRPr="00A3026E">
        <w:rPr>
          <w:rFonts w:ascii="Times New Roman" w:hAnsi="Times New Roman"/>
          <w:color w:val="000000" w:themeColor="text1"/>
          <w:sz w:val="16"/>
          <w:szCs w:val="16"/>
        </w:rPr>
        <w:softHyphen/>
        <w:t>вые машины ББ-1 на заводе № 31 также в настоящее время не обеспечены моторами М-88.</w:t>
      </w:r>
    </w:p>
    <w:p w14:paraId="26B0B4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39</w:t>
      </w:r>
    </w:p>
    <w:p w14:paraId="63F912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старой машине ДБ-ЗФ задел на заводе не плохой, есть возможность выполнить производственную годовую программу при условии обеспеченности завода моторами М-87 или М-88, что же касается самолета "100" - состояние производства на заводе № 39 идет совершенно неудовлетворительно.</w:t>
      </w:r>
    </w:p>
    <w:p w14:paraId="653530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новое руководство завода принимает все меры к тому, чтобы подготовка-машин типа "100" к серийному произ</w:t>
      </w:r>
      <w:r w:rsidRPr="00A3026E">
        <w:rPr>
          <w:rFonts w:ascii="Times New Roman" w:hAnsi="Times New Roman"/>
          <w:color w:val="000000" w:themeColor="text1"/>
          <w:sz w:val="16"/>
          <w:szCs w:val="16"/>
        </w:rPr>
        <w:softHyphen/>
        <w:t>водству была закончена.</w:t>
      </w:r>
    </w:p>
    <w:p w14:paraId="449F9E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решение Коллегии и приказ Народного Комиссара заводу до сих пор не поставлены следующие агрегаты: верхняя стрелковая, внутренние и гондольнне бомбардировочные установки, аг</w:t>
      </w:r>
      <w:r w:rsidRPr="00A3026E">
        <w:rPr>
          <w:rFonts w:ascii="Times New Roman" w:hAnsi="Times New Roman"/>
          <w:color w:val="000000" w:themeColor="text1"/>
          <w:sz w:val="16"/>
          <w:szCs w:val="16"/>
        </w:rPr>
        <w:softHyphen/>
        <w:t>регаты самопуска производства завода № 132.</w:t>
      </w:r>
    </w:p>
    <w:p w14:paraId="3AA160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остальные агрегаты поданы на 1-2 самолета.</w:t>
      </w:r>
    </w:p>
    <w:p w14:paraId="5C0151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81</w:t>
      </w:r>
    </w:p>
    <w:p w14:paraId="39A313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Установленная программа по машине ББ-1 всем необходимым заводу № 81, обеспечена.</w:t>
      </w:r>
    </w:p>
    <w:p w14:paraId="403B57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самолетов заводом сданы заказчику. С 30 машины завод перешел на модификацию самолета ББ-22, что отразилось на сдаче машин- Первая машина в первой декаде ноября месяца будет выкачена на аэродром, каковой необходимо в наикратчайший срок провести испытания.</w:t>
      </w:r>
    </w:p>
    <w:p w14:paraId="3F881E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81 недостаточно развернул производство для выполнения годовой программы.</w:t>
      </w:r>
    </w:p>
    <w:p w14:paraId="6413D4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124</w:t>
      </w:r>
    </w:p>
    <w:p w14:paraId="67D1ED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124 машину типа ТБ-7 сдал заказчику, все самолеты обеспеченные моторами.</w:t>
      </w:r>
    </w:p>
    <w:p w14:paraId="7B9111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завод исключительно нуждается в моторах. В зависимости от обеспеченности моторами и колесами 1600x500 к ТБ-7, завод будет сдавать свою продукцию.</w:t>
      </w:r>
    </w:p>
    <w:p w14:paraId="075493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машине ДС-3 заводом сдано 4 машины, директор завода</w:t>
      </w:r>
      <w:r w:rsidRPr="00A3026E">
        <w:rPr>
          <w:rFonts w:ascii="Times New Roman" w:hAnsi="Times New Roman"/>
          <w:color w:val="000000" w:themeColor="text1"/>
          <w:sz w:val="16"/>
          <w:szCs w:val="16"/>
          <w:vertAlign w:val="subscript"/>
        </w:rPr>
        <w:t>(</w:t>
      </w:r>
      <w:r w:rsidRPr="00A3026E">
        <w:rPr>
          <w:rFonts w:ascii="Times New Roman" w:hAnsi="Times New Roman"/>
          <w:color w:val="000000" w:themeColor="text1"/>
          <w:sz w:val="16"/>
          <w:szCs w:val="16"/>
        </w:rPr>
        <w:t>заяв</w:t>
      </w:r>
      <w:r w:rsidRPr="00A3026E">
        <w:rPr>
          <w:rFonts w:ascii="Times New Roman" w:hAnsi="Times New Roman"/>
          <w:color w:val="000000" w:themeColor="text1"/>
          <w:sz w:val="16"/>
          <w:szCs w:val="16"/>
        </w:rPr>
        <w:softHyphen/>
        <w:t>ляет, что он в состоянии сдать до конца года всего лишь 10 штук, •при обеспечении .их моторами -М-62ИР и радиаторами ОП-175.</w:t>
      </w:r>
    </w:p>
    <w:p w14:paraId="52B7DA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В 125</w:t>
      </w:r>
    </w:p>
    <w:p w14:paraId="7247FE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свою производстве. иную программу не только выполняет но и перевыполняет. Задержка на заводе происходит из-за неподачи ему моторов, однако следует отметить, что необходимо командиро</w:t>
      </w:r>
      <w:r w:rsidRPr="00A3026E">
        <w:rPr>
          <w:rFonts w:ascii="Times New Roman" w:hAnsi="Times New Roman"/>
          <w:color w:val="000000" w:themeColor="text1"/>
          <w:sz w:val="16"/>
          <w:szCs w:val="16"/>
        </w:rPr>
        <w:softHyphen/>
        <w:t>вать на завод № 125 работников Главка для того, чтобы подчеркнуть переход завода № 125 на 201-ю серию.</w:t>
      </w:r>
    </w:p>
    <w:p w14:paraId="4F0DC0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135</w:t>
      </w:r>
    </w:p>
    <w:p w14:paraId="5D8C5B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окончательно освоил в серийном производстве машины ББ-1. Задел на заводе не плохой. Завод мог бы выполнить свою производственную программу, если бы его обеспечили моторами М-88 и колесами 750x250- с одной с'емнюй ребордой.</w:t>
      </w:r>
    </w:p>
    <w:p w14:paraId="6CA8D0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сегодняшний день заводу необходимо не менее 80 штук мо</w:t>
      </w:r>
      <w:r w:rsidRPr="00A3026E">
        <w:rPr>
          <w:rFonts w:ascii="Times New Roman" w:hAnsi="Times New Roman"/>
          <w:color w:val="000000" w:themeColor="text1"/>
          <w:sz w:val="16"/>
          <w:szCs w:val="16"/>
        </w:rPr>
        <w:softHyphen/>
        <w:t>торов М-88.</w:t>
      </w:r>
    </w:p>
    <w:p w14:paraId="23438E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Зазод : 126 .</w:t>
      </w:r>
    </w:p>
    <w:p w14:paraId="71C701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Исключительно плохо работает по своей вине.</w:t>
      </w:r>
    </w:p>
    <w:p w14:paraId="7A9687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 завод послана специальная комиссия, которая выявляет не</w:t>
      </w:r>
      <w:r w:rsidRPr="00A3026E">
        <w:rPr>
          <w:rFonts w:ascii="Times New Roman" w:hAnsi="Times New Roman"/>
          <w:color w:val="000000" w:themeColor="text1"/>
          <w:sz w:val="16"/>
          <w:szCs w:val="16"/>
        </w:rPr>
        <w:softHyphen/>
        <w:t>обходимые меры для улучшения работы. В ближайшее время возвращает</w:t>
      </w:r>
      <w:r w:rsidRPr="00A3026E">
        <w:rPr>
          <w:rFonts w:ascii="Times New Roman" w:hAnsi="Times New Roman"/>
          <w:color w:val="000000" w:themeColor="text1"/>
          <w:sz w:val="16"/>
          <w:szCs w:val="16"/>
        </w:rPr>
        <w:softHyphen/>
        <w:t>ся в Москву, после чего будут приняты практические мероприятия.</w:t>
      </w:r>
    </w:p>
    <w:p w14:paraId="7BC810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207</w:t>
      </w:r>
    </w:p>
    <w:p w14:paraId="45399E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Первые две машины находятся на выкатке на аэродроме. Завод занимается,главным образом, механическим оборудованием. По своей технологии машина ББ-1 требует большого количества станко-часов, что безусловно трудно поддается освоению на заводе № 207.</w:t>
      </w:r>
    </w:p>
    <w:p w14:paraId="4E7901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производства на заводе таково, что начиная с нояб</w:t>
      </w:r>
      <w:r w:rsidRPr="00A3026E">
        <w:rPr>
          <w:rFonts w:ascii="Times New Roman" w:hAnsi="Times New Roman"/>
          <w:color w:val="000000" w:themeColor="text1"/>
          <w:sz w:val="16"/>
          <w:szCs w:val="16"/>
        </w:rPr>
        <w:softHyphen/>
        <w:t>ря месяца завод в состоянии сдавать небольшим количеством заказ</w:t>
      </w:r>
      <w:r w:rsidRPr="00A3026E">
        <w:rPr>
          <w:rFonts w:ascii="Times New Roman" w:hAnsi="Times New Roman"/>
          <w:color w:val="000000" w:themeColor="text1"/>
          <w:sz w:val="16"/>
          <w:szCs w:val="16"/>
        </w:rPr>
        <w:softHyphen/>
        <w:t>чику машины»</w:t>
      </w:r>
    </w:p>
    <w:p w14:paraId="133596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84</w:t>
      </w:r>
    </w:p>
    <w:p w14:paraId="09CBB3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окончательно освоил производство машин "Дуглас". Сейчас заводу нужно помочь в двух вещах: обеспечить моторами М-62ИР; увеличить станочный парк, так как машина Дуглас является трудоемкой по своей величине и состояние механического парка на заводе очень слабое.</w:t>
      </w:r>
    </w:p>
    <w:p w14:paraId="66A919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УЧЕБНЫМ САМОЛЕТАМ</w:t>
      </w:r>
    </w:p>
    <w:p w14:paraId="0040A5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21</w:t>
      </w:r>
    </w:p>
    <w:p w14:paraId="4B1D60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УТИ-4 завод выполнил свою производственную программу и имеется возможность дать 250 штук сверх плана за счет И-16 типа 29.</w:t>
      </w:r>
    </w:p>
    <w:p w14:paraId="410D10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по этой машине обеспечить завод моторами М-25В, винтами В-25 с узкой лопастью.</w:t>
      </w:r>
    </w:p>
    <w:p w14:paraId="2D42F2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23</w:t>
      </w:r>
    </w:p>
    <w:p w14:paraId="7C569F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делает три типа машин УТИ-2, С-2 и внедряет в серийное производство боевую машину И-301.</w:t>
      </w:r>
    </w:p>
    <w:p w14:paraId="221FEA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до конца года в состоянии сдать за 5 месяцев 800 учеб</w:t>
      </w:r>
      <w:r w:rsidRPr="00A3026E">
        <w:rPr>
          <w:rFonts w:ascii="Times New Roman" w:hAnsi="Times New Roman"/>
          <w:color w:val="000000" w:themeColor="text1"/>
          <w:sz w:val="16"/>
          <w:szCs w:val="16"/>
        </w:rPr>
        <w:softHyphen/>
        <w:t>ных машин, кроме освоения машины И-301.</w:t>
      </w:r>
    </w:p>
    <w:p w14:paraId="3D6296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47</w:t>
      </w:r>
    </w:p>
    <w:p w14:paraId="0A409C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47 делал самолет УТ-2, потом был переведен на производство УТ-3.</w:t>
      </w:r>
    </w:p>
    <w:p w14:paraId="6BB54D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завод обратно перешел на производство ма</w:t>
      </w:r>
      <w:r w:rsidRPr="00A3026E">
        <w:rPr>
          <w:rFonts w:ascii="Times New Roman" w:hAnsi="Times New Roman"/>
          <w:color w:val="000000" w:themeColor="text1"/>
          <w:sz w:val="16"/>
          <w:szCs w:val="16"/>
        </w:rPr>
        <w:softHyphen/>
        <w:t>шин УТ-2 ввиду недоработанности конструктивной машины УТ-3.</w:t>
      </w:r>
    </w:p>
    <w:p w14:paraId="2562AD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завод № 47 имеет возможность сдать всего лишь 100 машин УТ-2.</w:t>
      </w:r>
    </w:p>
    <w:p w14:paraId="55A8F7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Плохое состояние производства по заводам Первого Главного Управления объясняется еще и тем, что Первое Главное Управление недостаточно уделяло внимания заводам при том положении, когда заводы переходили на новые типы машин.</w:t>
      </w:r>
    </w:p>
    <w:p w14:paraId="4E347D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Также в недостаточной степени уделялось внимание и со сто</w:t>
      </w:r>
      <w:r w:rsidRPr="00A3026E">
        <w:rPr>
          <w:rFonts w:ascii="Times New Roman" w:hAnsi="Times New Roman"/>
          <w:color w:val="000000" w:themeColor="text1"/>
          <w:sz w:val="16"/>
          <w:szCs w:val="16"/>
        </w:rPr>
        <w:softHyphen/>
        <w:t>роны других Главков, как-то в частности, по радиаторам, колесам, карбюраторам, и главным образом, по моторам, что безусловно отра</w:t>
      </w:r>
      <w:r w:rsidRPr="00A3026E">
        <w:rPr>
          <w:rFonts w:ascii="Times New Roman" w:hAnsi="Times New Roman"/>
          <w:color w:val="000000" w:themeColor="text1"/>
          <w:sz w:val="16"/>
          <w:szCs w:val="16"/>
        </w:rPr>
        <w:softHyphen/>
        <w:t>зилось также на производственной программе.</w:t>
      </w:r>
    </w:p>
    <w:p w14:paraId="4ECFC1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w:t>
      </w:r>
    </w:p>
    <w:p w14:paraId="133B00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Обязать Первое Главное Управление и директоров заводов переключить все внимание на освоение новых машин и выполнение пятимесячной программы с таким расчетом, чтобы каждый день работы заводов находился под контролем Первого Главного Управления и Наркомата.</w:t>
      </w:r>
    </w:p>
    <w:p w14:paraId="598C53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Обеспечить самолетные заводы моторами и особенно моторами М-88.</w:t>
      </w:r>
    </w:p>
    <w:p w14:paraId="77686F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Принять меры к тому, чтобы завод № 28 освоил в ближай</w:t>
      </w:r>
      <w:r w:rsidRPr="00A3026E">
        <w:rPr>
          <w:rFonts w:ascii="Times New Roman" w:hAnsi="Times New Roman"/>
          <w:color w:val="000000" w:themeColor="text1"/>
          <w:sz w:val="16"/>
          <w:szCs w:val="16"/>
        </w:rPr>
        <w:softHyphen/>
        <w:t>шее время в серийном производстве винт ВИШ-61П, из-за которого сры</w:t>
      </w:r>
      <w:r w:rsidRPr="00A3026E">
        <w:rPr>
          <w:rFonts w:ascii="Times New Roman" w:hAnsi="Times New Roman"/>
          <w:color w:val="000000" w:themeColor="text1"/>
          <w:sz w:val="16"/>
          <w:szCs w:val="16"/>
        </w:rPr>
        <w:softHyphen/>
        <w:t>вается сдача машин И-26 (465,35).</w:t>
      </w:r>
    </w:p>
    <w:p w14:paraId="7C82075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3600A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г. НАЧАЛЬНИК ЦАГИ ГЕНЕРАЛ-МАЙОР АВИАЦИИ Петров и УПРАВЛЯЮЩИЙ 18 СТРОИТ. МОНТАЖНЫМ ТРЕСТОМ НКАП Шполянский писали письмо № 14/797с НАРОДНОМУ КОМИССАРУ ГОСУДАРСТВЕННОГО КОНТРОЛЯ СОЮЗА ССР тов. МЕХЛИС.</w:t>
      </w:r>
    </w:p>
    <w:p w14:paraId="3673CA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СНК Союза ССР и ЦК ВКП (б) своим решением от 25/4-1935 года поставили перед ЦАГИ ряд серьезных задач, связанных с повышением скорости и прочности самолетов, а также с разреше</w:t>
      </w:r>
      <w:r w:rsidRPr="00A3026E">
        <w:rPr>
          <w:rFonts w:ascii="Times New Roman" w:hAnsi="Times New Roman"/>
          <w:color w:val="000000" w:themeColor="text1"/>
          <w:sz w:val="16"/>
          <w:szCs w:val="16"/>
        </w:rPr>
        <w:softHyphen/>
        <w:t>нием проблемы штопора.</w:t>
      </w:r>
    </w:p>
    <w:p w14:paraId="1320DC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решения этих проблем СНК Союза ССР и ЦК ВКП (б) тем же решением утвердили строительство нескольких специализиро</w:t>
      </w:r>
      <w:r w:rsidRPr="00A3026E">
        <w:rPr>
          <w:rFonts w:ascii="Times New Roman" w:hAnsi="Times New Roman"/>
          <w:color w:val="000000" w:themeColor="text1"/>
          <w:sz w:val="16"/>
          <w:szCs w:val="16"/>
        </w:rPr>
        <w:softHyphen/>
        <w:t>ванных лабораторий уникального характера.</w:t>
      </w:r>
    </w:p>
    <w:p w14:paraId="6EB9AE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Оборудование для новых лабораторий ЦАГИ, постановления</w:t>
      </w:r>
      <w:r w:rsidRPr="00A3026E">
        <w:rPr>
          <w:rFonts w:ascii="Times New Roman" w:hAnsi="Times New Roman"/>
          <w:color w:val="000000" w:themeColor="text1"/>
          <w:sz w:val="16"/>
          <w:szCs w:val="16"/>
        </w:rPr>
        <w:softHyphen/>
        <w:t>ми Комитета Обороны при СНК Союза ССР от 20/У1-38 года за № 130с/с. и Экономсовета при Совнаркоме СССР от 27/8-40 г. за № 1479/432с предложено изготовить ряду заводов НКТМ, НКОМ, НКЭП и НКНП.</w:t>
      </w:r>
    </w:p>
    <w:p w14:paraId="646504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значительная часть работы выполнена, уже сданы в эксплоатацию об"екты принципиально-новые по своему техническому содержанию.</w:t>
      </w:r>
    </w:p>
    <w:p w14:paraId="126113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текущем году перед ЦАГИ и 18 Строительно-Монтажным трестом стоит задача сдать в эксплоатацию такие лаборатории как скоростная аэродинамическая труба, лаборатория изучения прочности самолетов и вертикальная штопорная труба.</w:t>
      </w:r>
    </w:p>
    <w:p w14:paraId="312C25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Пуск указанных выше лабораторий целиком зависит от своевременной поставки оборудования, в соответствии с сущест</w:t>
      </w:r>
      <w:r w:rsidRPr="00A3026E">
        <w:rPr>
          <w:rFonts w:ascii="Times New Roman" w:hAnsi="Times New Roman"/>
          <w:color w:val="000000" w:themeColor="text1"/>
          <w:sz w:val="16"/>
          <w:szCs w:val="16"/>
        </w:rPr>
        <w:softHyphen/>
        <w:t>вующими постановлениями.</w:t>
      </w:r>
    </w:p>
    <w:p w14:paraId="05A233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неоднократные правительственные указания заводам об исключительной важности и оборонном значении новых об"ектов ЦАГИ, некоторые заводы систематически не выполняют порученных им работ, срывая тем самым пуск в эксплоатацию заканчивающихся строительством лабораторий.</w:t>
      </w:r>
    </w:p>
    <w:p w14:paraId="3AA1A9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Центральный Аэро-Гидродинамический Институт имени п.Е. Жуковского и 18 Строительно-Монтажный Трест НКАП просят Вашего вмешательства в дело укомплектования лабораторий ЦАГИ оборудованием и принятия соответствующих мер.</w:t>
      </w:r>
    </w:p>
    <w:p w14:paraId="6701D2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Оборудование решающее пуск новых объектов ЦАГИ, определяется следующим списком:</w:t>
      </w:r>
    </w:p>
    <w:p w14:paraId="4BFFED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Завод "Электросила" им. Кирова НКЭП:</w:t>
      </w:r>
    </w:p>
    <w:p w14:paraId="344D76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Мотор 2x2 МП-18 - главный привод скоростной аородинамической трубы. Срок изготовления - сентябрь 1940 г.</w:t>
      </w:r>
    </w:p>
    <w:p w14:paraId="1ACD29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Мотор АЭВО 84/2 с агрегатами- - для винтового прибора скоростной трубы. Срок изготовления по постановлению - 4 кв. 1940 г.</w:t>
      </w:r>
    </w:p>
    <w:p w14:paraId="4BCE33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Турбомотор СМ"3000 - для скоростной трубы. Срок изго</w:t>
      </w:r>
      <w:r w:rsidRPr="00A3026E">
        <w:rPr>
          <w:rFonts w:ascii="Times New Roman" w:hAnsi="Times New Roman"/>
          <w:color w:val="000000" w:themeColor="text1"/>
          <w:sz w:val="16"/>
          <w:szCs w:val="16"/>
        </w:rPr>
        <w:softHyphen/>
        <w:t>товления по постановлению - 4 квартал 1940 г.</w:t>
      </w:r>
    </w:p>
    <w:p w14:paraId="4094DD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Моторы кольцевого барьера штопорной трубы с агрегатами В-258 - 4 шт. Срок изготовления по постановлению -17 квартал 1940 г.</w:t>
      </w:r>
    </w:p>
    <w:p w14:paraId="2A0C42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Мотор-генераторы по заводским заказам 61-7108 и 61-7110 - 7 штук. Срок изготовления по постановлению - 4 квартал 1940 г.</w:t>
      </w:r>
    </w:p>
    <w:p w14:paraId="334EE0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Мотор МПВ-10 главного привода, штопорной трубы с агре</w:t>
      </w:r>
      <w:r w:rsidRPr="00A3026E">
        <w:rPr>
          <w:rFonts w:ascii="Times New Roman" w:hAnsi="Times New Roman"/>
          <w:color w:val="000000" w:themeColor="text1"/>
          <w:sz w:val="16"/>
          <w:szCs w:val="16"/>
        </w:rPr>
        <w:softHyphen/>
        <w:t>гатами. Срок изготовления по постановлению - 10/Х-40 г.</w:t>
      </w:r>
    </w:p>
    <w:p w14:paraId="73F887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не сдал ЦАГИ ни одной машины. Ход работ на заводе крайне неудовлетворителен. Сроки изготовления частично сорва</w:t>
      </w:r>
      <w:r w:rsidRPr="00A3026E">
        <w:rPr>
          <w:rFonts w:ascii="Times New Roman" w:hAnsi="Times New Roman"/>
          <w:color w:val="000000" w:themeColor="text1"/>
          <w:sz w:val="16"/>
          <w:szCs w:val="16"/>
        </w:rPr>
        <w:softHyphen/>
        <w:t>ны, частично находятся под угрозой срыва.</w:t>
      </w:r>
    </w:p>
    <w:p w14:paraId="2081D0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Старо-Краматорский завод им. С. Орджоникидзе НКТМ:</w:t>
      </w:r>
    </w:p>
    <w:p w14:paraId="2F2E71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гидравлический испытательный пресс на 200 тонн с двумя комплектами динамометра и насоса. Срок изготовления по постановлению - 15 ноября 1940 г. Заказ находится под под угрозой срыва, работы на заводе развернуты слабо.</w:t>
      </w:r>
    </w:p>
    <w:p w14:paraId="23CCFA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Ново-Краматорский завод им. Сталина НКТМ:</w:t>
      </w:r>
    </w:p>
    <w:p w14:paraId="09BF7B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специальных копра для ударных испытаний. Срок изготовления по постановлению - 15 февраля 1941 года. Завод отказывается изготовлять копры и до настоящего времени к работай не приступал.</w:t>
      </w:r>
    </w:p>
    <w:p w14:paraId="11E601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5-ти тоннометрового копра до. настоящего времени задерживается ЦНИИТИПШем НКТМ.</w:t>
      </w:r>
    </w:p>
    <w:p w14:paraId="3FCFEC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Завод "Борец" НКНП:</w:t>
      </w:r>
    </w:p>
    <w:p w14:paraId="26B9C3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турбокомпрессор для скоростной аэродинамической трубы. Срок изготовления по постановлению - октябрь 1940 г.</w:t>
      </w:r>
    </w:p>
    <w:p w14:paraId="3F9BA7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срок сорван и перспективы окончания работ до настоящего времени неясны.</w:t>
      </w:r>
    </w:p>
    <w:p w14:paraId="517254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Завод имени Калинина НКОМ:</w:t>
      </w:r>
    </w:p>
    <w:p w14:paraId="2A2D92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центробежные насосы 18 НДС 1800 м3 - 2 штуки. Сроки поставки по постановлению - 3 квартал 40 г. и 4 квар</w:t>
      </w:r>
      <w:r w:rsidRPr="00A3026E">
        <w:rPr>
          <w:rFonts w:ascii="Times New Roman" w:hAnsi="Times New Roman"/>
          <w:color w:val="000000" w:themeColor="text1"/>
          <w:sz w:val="16"/>
          <w:szCs w:val="16"/>
        </w:rPr>
        <w:softHyphen/>
        <w:t>тал 1940 г. Первый срок заводом сорван, второй срок пол угрозой срыва.</w:t>
      </w:r>
    </w:p>
    <w:p w14:paraId="316B3B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ГЛАВЭНЕРГОМАШПРОМ НКЭП обязан постановлением изготовить в Ш квартале 1940 года:</w:t>
      </w:r>
    </w:p>
    <w:p w14:paraId="79E066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постоянного тока 220 в. 1,05квт. 2800об/мин. -72 шт. и моторы постоянного тока 220 в, 2,8 квт. 2800 об/мин. - 15 шт. Сроки поставки сорваны.</w:t>
      </w:r>
    </w:p>
    <w:p w14:paraId="30BFB1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Харьковский Электромеханический завод НКЭП:</w:t>
      </w:r>
    </w:p>
    <w:p w14:paraId="44FE70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моторгенераторы 220 в. 65кв. постоянного тока - 2 шт. со сроком поставки - Ш квартал 1940 года. Срок поставки сорван.</w:t>
      </w:r>
    </w:p>
    <w:p w14:paraId="702F09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Завод им. Ленина НКТМ в г. Харькове:</w:t>
      </w:r>
    </w:p>
    <w:p w14:paraId="579746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специальные 3-х тонные электрокранбалки с пролетом 6,8 мт со сроком поставки - февраль 1941 г. Завод к работам не приступил, что ставит под угрозу конечный срок поставки.</w:t>
      </w:r>
    </w:p>
    <w:p w14:paraId="618023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Прожекторный зазод НКЭП:</w:t>
      </w:r>
    </w:p>
    <w:p w14:paraId="0BDB39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специальные прожекторы для штопорной трубы со сроком изготовления в 17 квартале 1940 года. Сроки поставки заводом срываются (10683).</w:t>
      </w:r>
    </w:p>
    <w:p w14:paraId="743CB2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7A0E9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года нарком обороны маршал Тимошенко писал письмо председателю КО маршалу Ворошилову</w:t>
      </w:r>
    </w:p>
    <w:p w14:paraId="531978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w:t>
      </w:r>
    </w:p>
    <w:p w14:paraId="132367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Ваших указаний о необходимости провести всесторонние испытания «Огненного дождя» в 1940 году на специальных учениях на Авиационном химическом полигоне (Уральск) был испытан гранулированный фосфор из выливных химических приборов с малых и больших высот и установлено, что:</w:t>
      </w:r>
    </w:p>
    <w:p w14:paraId="504A6D5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Гранулированный фосфор можно безопасно для самолетов применять с малых и больших высот из выливных химических приборов, причем применение с малых высот до 50 метров в виде «Огненного дождя» дает значительный боевой эффект по живой силе в колоннах, кавалерии, обозах, так как горящие гранулы фосфора, попадая на живую силу, прожигают обмундирование и наносят сильные ожоги.</w:t>
      </w:r>
    </w:p>
    <w:p w14:paraId="52508541" w14:textId="77777777" w:rsidR="00C66762" w:rsidRPr="00A3026E" w:rsidRDefault="00C66762" w:rsidP="00A3026E">
      <w:pPr>
        <w:pStyle w:val="22"/>
        <w:widowControl/>
        <w:rPr>
          <w:color w:val="000000" w:themeColor="text1"/>
        </w:rPr>
      </w:pPr>
      <w:r w:rsidRPr="00A3026E">
        <w:rPr>
          <w:color w:val="000000" w:themeColor="text1"/>
        </w:rPr>
        <w:t>Одновременно горящие гранулы фосфора зажигают в летних условиях легковоспламеняющиеся материалы, лесные массивы с сухой растительностью, деревни, самолеты с перкалевым покрытием.</w:t>
      </w:r>
    </w:p>
    <w:p w14:paraId="7614FDBB" w14:textId="77777777" w:rsidR="00C66762" w:rsidRPr="00A3026E" w:rsidRDefault="00C66762" w:rsidP="00A3026E">
      <w:pPr>
        <w:pStyle w:val="22"/>
        <w:widowControl/>
        <w:rPr>
          <w:color w:val="000000" w:themeColor="text1"/>
        </w:rPr>
      </w:pPr>
      <w:r w:rsidRPr="00A3026E">
        <w:rPr>
          <w:color w:val="000000" w:themeColor="text1"/>
        </w:rPr>
        <w:t>При применении гранул фосфора из выливных химических приборов без орошения их дымовой смесью из дополнительного прибора, с высот от 1000 м и выше, гранулы фосфора в воздухе не загораются, но загораются при ударе о землю, в летних условиях.</w:t>
      </w:r>
    </w:p>
    <w:p w14:paraId="1E56D7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на площади с сухой растительностью, горящие гранулы фосфора вызовут пожар одновременно на всей площади.</w:t>
      </w:r>
    </w:p>
    <w:p w14:paraId="04862D0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 бис, И-153 – ВАП-6м – 2 шт.</w:t>
      </w:r>
    </w:p>
    <w:p w14:paraId="2A7B1F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 – ВАП-500 – 2 шт.</w:t>
      </w:r>
    </w:p>
    <w:p w14:paraId="506881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 – ВАП-500 – 3 шт.</w:t>
      </w:r>
    </w:p>
    <w:p w14:paraId="544F323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Снаряжение приборов не вызывает затруднений.</w:t>
      </w:r>
    </w:p>
    <w:p w14:paraId="7D46D62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Хранение гранулированного фосфора в банках в растворе хлористого кальция в течение уже 2-х лет, никаких затруднений не вызывает.</w:t>
      </w:r>
    </w:p>
    <w:p w14:paraId="219366E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Выливные приборы и дополнительные приборы заказываются в серийном производстве.</w:t>
      </w:r>
    </w:p>
    <w:p w14:paraId="2EDF446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Сырьевая база фосфора в стране имеется достаточная.</w:t>
      </w:r>
    </w:p>
    <w:p w14:paraId="4650A5E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Производством гранулированный фосфор освоен Чернореченским химическим комбинатом.</w:t>
      </w:r>
    </w:p>
    <w:p w14:paraId="1EFA1B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что на основании проведенных испытаний в 1940 году на специальных учениях и испытаний предыдущих лет, гранулированный фосфор дает достаточный боевой эффект для поражения живой силы в виде «Огненного дождя», а также для создания мощной дымовой завесы и зажигания легковоспламеняемых объектов при применении с малых и больших высот и может быть использован как средство нападения в летних условиях (7711, 304-306).</w:t>
      </w:r>
    </w:p>
    <w:p w14:paraId="7BFF379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03F65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780D5B4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37311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года были начаты заводские испытания стрельбой первого образца 203-мм гаубицы БЛ-39. На следующий день на 16-м выстреле при стрельбе под углом 72,5 после выстрела ствол упал до угла +16 и вышел из строя подъемный механизм. Система была снята с испытаний. В 1940 году до войсковых испытаний БЛ-39 дело не дошло (3861).</w:t>
      </w:r>
    </w:p>
    <w:p w14:paraId="606E696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6CEE3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года за № 61/82 вышло поручение О.Б. ЦК ВКП(б) Выписка из протокола № 61 с запиской секретаря Куйбышевского обкома ВКП(б) Канунникова о положении с вопросом по внедрению заменителей цветных металлов на заводе № 42 НКБ (7479, 112-116).</w:t>
      </w:r>
    </w:p>
    <w:p w14:paraId="4A0100F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390035E" w14:textId="77777777" w:rsidR="00861FED" w:rsidRPr="00A3026E" w:rsidRDefault="00861FED"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К 4 ноября 1940 г. за счёт чрезвычайного напряжения КБ и остановки работ над пушками опытный образец АП-12,7 в турельном варианте был готов. Он имел автоматику, функционирующую за счёт короткого хода ствола, магазинное питание и вес всего 12,5 кг. Обладая запасом времени до испытаний, Таубин начал переработку пулемёта под ленту ДШК (позже выяснится неудачность выбора ленты — авиаконструкторы настаивали на рассыпной ленте пулемёта УБ). Пулемёт АП-12,7 показали представителю ВВС дивинженеру И. Сакриеру (впоследствии он был расстрелян вместе с Таубиным), который доложил о готовности оружия в ГУ ВВС, откуда эта информация ушла к руководству страны. Вывод о готовности пулемёта был сделан Сакриером без проведения полигонных испытаний, но на самом деле пулемёт не мог быть даже допущен к ним, т.к. выходил из строя после 150–200 выстрелов.</w:t>
      </w:r>
    </w:p>
    <w:p w14:paraId="66DDE09F" w14:textId="77777777" w:rsidR="00861FED" w:rsidRPr="00A3026E" w:rsidRDefault="00861FED"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Дело в том, что его автоматика была спроектирована так, что могла функционировать только при больших скоростях подвижных частей (по некоторым данным — около 17–18 м/с). При этом Таубин, в погоне за снижением веса оружия, предельно сократил размеры сечений многих ответственных деталей, что привело к снижению их прочности и поломкам при соударениях на больших скоростях.</w:t>
      </w:r>
    </w:p>
    <w:p w14:paraId="68FF2BCB" w14:textId="77777777" w:rsidR="00861FED" w:rsidRPr="00A3026E" w:rsidRDefault="00861FED"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Разработка пулемёта АП-12,7 была поручена ОКБ-16 Постановлением СНК СССР и ЦК ВКП(б) от 4 октября 1940 г. «Об изготовлении опытных образцов вооружения для НКО». Срок разработки пулемёта устанавливался жёсткий — не позже 25 декабря он должен поступить на полигонные испытания.</w:t>
      </w:r>
    </w:p>
    <w:p w14:paraId="20400A80" w14:textId="77777777" w:rsidR="00861FED" w:rsidRPr="00A3026E" w:rsidRDefault="00861FED"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Требования к пулемёту были под стать срокам — по боевым характеристикам и ёмкости системы питания он не должен уступать 12,7-мм пулемёту Березина, но весить в два раза меньше, а живучесть иметь в два раза больше! Почему Таубину поставили столь суровые условия? Дело в том, что к тому времени осуществлявшаяся с 1938 г. разработка пулемётов Березина и Салищева не дала ожидаемых результатов — их живучесть была низкой, доводка шла медленно. Сложно утверждать точно, но, похоже, руководство страны поверило, что «восходящая звезда» Оборонпрома Я. Г. Таубин сможет в короткий срок решить проблему оснащения авиации крупнокалиберным пулемётом. Соблюдение подобных сроков и уровня разработки даже сейчас представляется крайне трудным, а тогда возможностей было существенно меньше — САПР, ЧПУ и обрабатывающих центров ещё не было… Понимал ли Таубин всю сложность задания и меру ответственности за его неисполнение? Хотя на волне успеха с разработкой МП-6 он вполне мог поверить, что в состоянии справиться с заданием в короткий срок (19195).</w:t>
      </w:r>
    </w:p>
    <w:p w14:paraId="53DF9EB9" w14:textId="77777777" w:rsidR="00861FED" w:rsidRPr="00A3026E" w:rsidRDefault="00861FED"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44D91153"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567A692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11FF7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г. вышел приказ НКО Об ускорении работ по приспособлению зданий школ Наркомпроса под госпитали в военное время. № 0310.</w:t>
      </w:r>
    </w:p>
    <w:p w14:paraId="3274FA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Произведенной проверкой Наркомпросом и Наркомфином РСФСР в июле — сентябре текущего года установлено:</w:t>
      </w:r>
    </w:p>
    <w:p w14:paraId="4CBC09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Контроль за выполнением работ по приспособлению школ под госпитали со стороны квартирных органов не производился. Приемка выполненных работ актами не оформлена. Проекты и сметы на работы второй очереди не составлены.</w:t>
      </w:r>
    </w:p>
    <w:p w14:paraId="64B402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городах Тула, Уфа, Омск, Ростов-на-Дону, Архангельск, Тамбов и других выявлено значительное количество недоделок по специальным работам и отклонений от типовых проектов в школах постройки 1936 — 1939 гг.</w:t>
      </w:r>
    </w:p>
    <w:p w14:paraId="68DC4C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Приказываю:</w:t>
      </w:r>
    </w:p>
    <w:p w14:paraId="666E2A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КЭУ Главного интендатского управления Красной Армии, начальнику Санитарного управления Красной Армии и военным советам округов:</w:t>
      </w:r>
    </w:p>
    <w:p w14:paraId="2B605B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Уточнить совместно с Наркомпросом соответствующей союзной республики список типовых школ постройки 1936 — 1939 гг., подлежащих приспособлению под госпитали военного времени.</w:t>
      </w:r>
    </w:p>
    <w:p w14:paraId="2AA1D9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течение ноября — декабря с. г. совместно с представителями исполкомов и отделами народного образования произвести проверку готовности приспособленных под госпитали школ и выполнение работ по перечню № 1.</w:t>
      </w:r>
    </w:p>
    <w:p w14:paraId="1E247A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обнаружении отклонений от проектов, строительных дефектов и недоделок требовать их устранения и привлечения виновных к ответственности.</w:t>
      </w:r>
    </w:p>
    <w:p w14:paraId="7885E0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Приемку специальных работ во вновь приспосабливаемых зданиях под госпитали производить немедленно по их выполнении, для чего в состав приемочных комиссий назначать представителей санитарной и квартирно-экс-плуатационной служб округа.</w:t>
      </w:r>
    </w:p>
    <w:p w14:paraId="4310FC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 января 1941 г. донести мне через Главного интенданта Красной Армии о результатах проверки и принятых мерах к устранению обнаруженных недочетов.</w:t>
      </w:r>
    </w:p>
    <w:p w14:paraId="7DAE79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Заместитель Народного комиссара обороны СССР Маршал Советского Союза С. Буденный (10600).</w:t>
      </w:r>
    </w:p>
    <w:p w14:paraId="2986EE3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86D1AB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4CA7499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8BF98B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греческие войска перешли в контрнаступление против итальянцев (4962).</w:t>
      </w:r>
    </w:p>
    <w:p w14:paraId="7951D9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4085E5D"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November 4 1940 Spanish incorporation of international zone of Tangier (1223).</w:t>
      </w:r>
    </w:p>
    <w:p w14:paraId="60190833"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3B5C74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ноября 1940 Испания захватила Танжер (1223).</w:t>
      </w:r>
    </w:p>
    <w:p w14:paraId="64E97DA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C85AC3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5F2D415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63105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Кочеригин писал Зам. нач. 7 ГУ Н.С.Шишкину письмо N 2731 (входящий 5720) c попыткой спасти ОПБ и перевести его на другой мотор вместо М-90 (2062,89).</w:t>
      </w:r>
    </w:p>
    <w:p w14:paraId="01AD816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84A2E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ГК завода 39 С.В.И. с письмом N 1030с/окб направил директору и военпреду заводов 18, 39 и 126 сообщил о том, что согласно распоряжению Зам. НКАП Воронина (отношение N 273/639с от 5 сентября 1940) направляет эскизы установки прицела НКПБ-3 на ЦКБ-30Ф для внедрения в порядке приказа N 518сс... (2689,24).</w:t>
      </w:r>
    </w:p>
    <w:p w14:paraId="50DB35F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4B140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ли п Байдуков, Юмашев писали А.И.Ш., копия Нач. ВВС КА Я.В.Смушкевичу:</w:t>
      </w:r>
    </w:p>
    <w:p w14:paraId="1EF818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участия в боевых действиях на Сев. Зап. фронте замечены след. недостатки по самолету ДБ-3 с М-87, который нами эксплуатировался:</w:t>
      </w:r>
    </w:p>
    <w:p w14:paraId="2ED2AC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мотору М-87Б - полно (разр. редуктор за 17 час., заклинение вала за 29 час., прогар поршня за 20 час., заедание сектора газа из-за обмерзания заслонки карбюратора, забивается всасывающий патрубок на рулежке, обледенение сетки всасывающего патрубка, обледенение жалюзи, свечи низкого качества, альфометры врут, маслорадиаторы замерзают, перегрев мотора на земле и переохлаждение на крейсерской скорости).</w:t>
      </w:r>
    </w:p>
    <w:p w14:paraId="631E0A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самолету ДБ-3</w:t>
      </w:r>
    </w:p>
    <w:p w14:paraId="128B12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Задняя центровка (продольная неустойчивость);</w:t>
      </w:r>
    </w:p>
    <w:p w14:paraId="7C59C7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Бензин перетекает из бака в бак, что неприятно в слепом полете;</w:t>
      </w:r>
    </w:p>
    <w:p w14:paraId="1B54DA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Бензобаки одной группы имеют неодинаковую выработку;</w:t>
      </w:r>
    </w:p>
    <w:p w14:paraId="213EE9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лыжи сильно примерзают, нужно 8-10 чел. качать и форсаж при страгивании;</w:t>
      </w:r>
    </w:p>
    <w:p w14:paraId="0597D6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Гироскопы от трубок Вентури работают вяло даже на 220-240 км/час.;</w:t>
      </w:r>
    </w:p>
    <w:p w14:paraId="2CFFB8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Трубки Вентури при обледенении выходят из строя и при отказе автопилота слепой полет невозможен;</w:t>
      </w:r>
    </w:p>
    <w:p w14:paraId="6962D0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Приборы расположены скверно;</w:t>
      </w:r>
    </w:p>
    <w:p w14:paraId="0EED06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Освещение кабин не позволяет видеть некоторые приборы;</w:t>
      </w:r>
    </w:p>
    <w:p w14:paraId="361280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При полностью включенном освещении отсвечивает на лобовое стекло;</w:t>
      </w:r>
    </w:p>
    <w:p w14:paraId="7EE148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Рычаги шасси, форсажа и винта поставлены в разнобой;</w:t>
      </w:r>
    </w:p>
    <w:p w14:paraId="23BA27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Скверно стопорятся рычаги форсажа и легкого шага;</w:t>
      </w:r>
    </w:p>
    <w:p w14:paraId="379A2E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Антиобледенители винтов капризны, отвлекают штурмана, который качает;</w:t>
      </w:r>
    </w:p>
    <w:p w14:paraId="30FF4C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Нейтральным газом не обеспечены все группы бензобаков;</w:t>
      </w:r>
    </w:p>
    <w:p w14:paraId="4D293C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При обледенении лед пробивает остекление кабины штурмана;</w:t>
      </w:r>
    </w:p>
    <w:p w14:paraId="421434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При обледенении штурманская кабина настолько обмерзает, что шторки заедают, а пулемет не стреляет;</w:t>
      </w:r>
    </w:p>
    <w:p w14:paraId="1C21C2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Хвостовая огневая точка не обеспечивает защиты;</w:t>
      </w:r>
    </w:p>
    <w:p w14:paraId="562A4F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так как берут 4 чл. экипажа, надо доп. кислородный прибор и телефон (1203).</w:t>
      </w:r>
    </w:p>
    <w:p w14:paraId="3045ADB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C2631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с письмом № 26/458 Зам. Нач. ОКО Жиганова Зам. Нач. 7 ГУ НКАП Шишкину был направлен Отчет о ДВИЖЕНИИ ОПЫТНЫХ РАБОТ В ОКО ЗАВОДА № 135 на 5 ноября 1940 г.</w:t>
      </w:r>
    </w:p>
    <w:p w14:paraId="604C9E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маш..330 (Заказ 360)</w:t>
      </w:r>
    </w:p>
    <w:p w14:paraId="767405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Техническая готовность узлов по незаконченным монтажам на 5 ноября:</w:t>
      </w:r>
    </w:p>
    <w:p w14:paraId="5C0589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w:t>
      </w:r>
    </w:p>
    <w:p w14:paraId="5B8266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Капот</w:t>
      </w:r>
    </w:p>
    <w:p w14:paraId="349343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Маслорадиатор</w:t>
      </w:r>
    </w:p>
    <w:p w14:paraId="10A248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Маслопроводка</w:t>
      </w:r>
    </w:p>
    <w:p w14:paraId="3CBA6E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Водорадиатор</w:t>
      </w:r>
    </w:p>
    <w:p w14:paraId="573202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Костыль</w:t>
      </w:r>
    </w:p>
    <w:p w14:paraId="349132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Козырек</w:t>
      </w:r>
    </w:p>
    <w:p w14:paraId="415B8E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Кок на винт</w:t>
      </w:r>
    </w:p>
    <w:p w14:paraId="706689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Щитки шасси</w:t>
      </w:r>
    </w:p>
    <w:p w14:paraId="28AC63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 группа</w:t>
      </w:r>
    </w:p>
    <w:p w14:paraId="786C13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Щели крыла</w:t>
      </w:r>
    </w:p>
    <w:p w14:paraId="6547B5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Указанные готовые изделия до сих пор не получены: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4B9872F0" w14:textId="77777777" w:rsidTr="00EA0DA7">
        <w:tc>
          <w:tcPr>
            <w:tcW w:w="5636" w:type="dxa"/>
            <w:tcBorders>
              <w:top w:val="single" w:sz="12" w:space="0" w:color="auto"/>
            </w:tcBorders>
            <w:shd w:val="clear" w:color="auto" w:fill="FFFFFF"/>
          </w:tcPr>
          <w:p w14:paraId="0B14E6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Винта ВИШ-61</w:t>
            </w:r>
          </w:p>
        </w:tc>
        <w:tc>
          <w:tcPr>
            <w:tcW w:w="4822" w:type="dxa"/>
            <w:tcBorders>
              <w:top w:val="single" w:sz="12" w:space="0" w:color="auto"/>
            </w:tcBorders>
            <w:shd w:val="clear" w:color="auto" w:fill="FFFFFF"/>
          </w:tcPr>
          <w:p w14:paraId="3BDDEB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 28</w:t>
            </w:r>
          </w:p>
        </w:tc>
      </w:tr>
      <w:tr w:rsidR="00983732" w:rsidRPr="00A3026E" w14:paraId="3E059184" w14:textId="77777777" w:rsidTr="00EA0DA7">
        <w:tc>
          <w:tcPr>
            <w:tcW w:w="5636" w:type="dxa"/>
            <w:tcBorders>
              <w:bottom w:val="single" w:sz="12" w:space="0" w:color="auto"/>
            </w:tcBorders>
            <w:shd w:val="clear" w:color="auto" w:fill="FFFFFF"/>
          </w:tcPr>
          <w:p w14:paraId="327E41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Р-7</w:t>
            </w:r>
          </w:p>
        </w:tc>
        <w:tc>
          <w:tcPr>
            <w:tcW w:w="4822" w:type="dxa"/>
            <w:tcBorders>
              <w:bottom w:val="single" w:sz="12" w:space="0" w:color="auto"/>
            </w:tcBorders>
            <w:shd w:val="clear" w:color="auto" w:fill="FFFFFF"/>
          </w:tcPr>
          <w:p w14:paraId="309422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 20</w:t>
            </w:r>
          </w:p>
        </w:tc>
      </w:tr>
    </w:tbl>
    <w:p w14:paraId="76AC3B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Мех. Бензиномер “Теленваль” </w:t>
      </w:r>
      <w:r w:rsidRPr="00A3026E">
        <w:rPr>
          <w:rFonts w:ascii="Times New Roman" w:hAnsi="Times New Roman"/>
          <w:color w:val="000000" w:themeColor="text1"/>
          <w:sz w:val="16"/>
          <w:szCs w:val="16"/>
        </w:rPr>
        <w:tab/>
        <w:t>з-д № 213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5A504870" w14:textId="77777777" w:rsidTr="00EA0DA7">
        <w:tc>
          <w:tcPr>
            <w:tcW w:w="5636" w:type="dxa"/>
            <w:tcBorders>
              <w:top w:val="single" w:sz="12" w:space="0" w:color="auto"/>
              <w:bottom w:val="single" w:sz="12" w:space="0" w:color="auto"/>
            </w:tcBorders>
            <w:shd w:val="clear" w:color="auto" w:fill="FFFFFF"/>
          </w:tcPr>
          <w:p w14:paraId="486675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Рация</w:t>
            </w:r>
          </w:p>
        </w:tc>
        <w:tc>
          <w:tcPr>
            <w:tcW w:w="4822" w:type="dxa"/>
            <w:tcBorders>
              <w:top w:val="single" w:sz="12" w:space="0" w:color="auto"/>
              <w:bottom w:val="single" w:sz="12" w:space="0" w:color="auto"/>
            </w:tcBorders>
            <w:shd w:val="clear" w:color="auto" w:fill="FFFFFF"/>
          </w:tcPr>
          <w:p w14:paraId="1DAEE9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 203</w:t>
            </w:r>
          </w:p>
        </w:tc>
      </w:tr>
    </w:tbl>
    <w:p w14:paraId="54F7E4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серийной машины</w:t>
      </w:r>
    </w:p>
    <w:p w14:paraId="450F81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Проектирование ВМГ с М-90 прекратили</w:t>
      </w:r>
    </w:p>
    <w:p w14:paraId="7EE601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smallCaps/>
          <w:color w:val="000000" w:themeColor="text1"/>
          <w:sz w:val="16"/>
          <w:szCs w:val="16"/>
        </w:rPr>
        <w:t xml:space="preserve">Производство: </w:t>
      </w:r>
      <w:r w:rsidRPr="00A3026E">
        <w:rPr>
          <w:rFonts w:ascii="Times New Roman" w:hAnsi="Times New Roman"/>
          <w:color w:val="000000" w:themeColor="text1"/>
          <w:sz w:val="16"/>
          <w:szCs w:val="16"/>
        </w:rPr>
        <w:t>"МН" с мотором М-9О - продолжается изготовление шасси и щитков шасси</w:t>
      </w:r>
    </w:p>
    <w:p w14:paraId="58D84F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"МН" о мотором м-81 (дублер) монтаж машины закончен, машина выведена на аэродром</w:t>
      </w:r>
    </w:p>
    <w:p w14:paraId="7D636B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Планер для стат. испытаний.</w:t>
      </w:r>
    </w:p>
    <w:p w14:paraId="6A14D0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Закончены статиспытания шасси, монтируется управление щитками и элеронами для испытания и подготавливается к испытанию оперение.</w:t>
      </w:r>
    </w:p>
    <w:p w14:paraId="3BA209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ББ-МАИ</w:t>
      </w:r>
    </w:p>
    <w:p w14:paraId="52503E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Продолжилось проектирование изменяемых узлов</w:t>
      </w:r>
    </w:p>
    <w:p w14:paraId="6B82BB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Запушщено производства руля глубины, стабилизатор и управление рулем глубины (874,77).</w:t>
      </w:r>
    </w:p>
    <w:p w14:paraId="115015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84A60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года дивинженер И. Сакриер писал письмо № 553577с начальнику вооружения и снабжения ГУ ВВС генерал-лейтенанту авиации Астахову</w:t>
      </w:r>
    </w:p>
    <w:p w14:paraId="68613A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 о ходе работ по разработке и испытанию опытных объектов стрелково-пушечного вооружения по состоянию на 4 ноября 1940 года.</w:t>
      </w:r>
    </w:p>
    <w:p w14:paraId="75109CC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испытаниям синхронных пушек ШВАК.</w:t>
      </w:r>
    </w:p>
    <w:p w14:paraId="195B38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Сейчас осталось произвести отстрел из 12,7 мм пулеметов Березина на 3-х самолетах И-153. По заданию начальника ГУ ВВС 2 самолета И-153 с пулеметами Березина начальником 8 управления ГУ ВВС в/инженером 1 ранга Никоновым лично отлажены и опробованы стрельбой и подлежат сдаче председателю комиссии полковнику Сбытову. Сдача должна состояться сегодня. Однако полковник Сбытов не прибыл. Я дал указание Никонову срочно связаться с Сбытовым и сдать ему самолеты.</w:t>
      </w:r>
    </w:p>
    <w:p w14:paraId="5B90F8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Третий самолет подготовлен в Люберцах. ОН должен перелететь в Кубинку, где будет поверен стрельбой начальником 8 управления ГУ ВВС в/инженером 1 ранга Никоновым и сдан полковнику Сбытову. Перелет задерживается погодой. Пробный отстрел и сдача третьего самолета займет 2-3 часа.</w:t>
      </w:r>
    </w:p>
    <w:p w14:paraId="63A2E1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окончание испытаний нужно 3 летных дня. Отсутствие погоды задерживает окончание испытаний.</w:t>
      </w:r>
    </w:p>
    <w:p w14:paraId="7ABDFE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Никонову дано указание неотлучно находиться в Кубинке и мероприятиями на месте обеспечить испытания в кратчайший срок.</w:t>
      </w:r>
    </w:p>
    <w:p w14:paraId="65D913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Обстановка докладывается мне ежедневно.</w:t>
      </w:r>
    </w:p>
    <w:p w14:paraId="53C8F70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изготовлению и испытанию 20 мм снаряда ШВАК с содержанием 5 грамм взрывчатого вещества.</w:t>
      </w:r>
    </w:p>
    <w:p w14:paraId="5FBAC2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 снарядов снаряжены и 4 ноября 1940 года утром вместе с нитроглицериновым порохом отправлены на патронирование на Софринский полигон НКБ. Гильзы для патронирования 2 октября 1940 года отправлены из Тулы и уже прибыли в Софрино.</w:t>
      </w:r>
    </w:p>
    <w:p w14:paraId="1ABA2B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Патронирование будет закончено к 7 ноября 1940 года, испытания будут начаты 12 ноября 1940 года, для чего на полигоне подготовляется мишенная обстановка.</w:t>
      </w:r>
    </w:p>
    <w:p w14:paraId="732C2D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Помимо этого, ввиду симптомов неудовлетворительного поведения нитроглицеринового пороха (разгар канала и быстрое падение начальной скорости), подготовляется 1000 штук этих же снарядов, но с зарядом пороха в гильзе из обычного пироксилинового пороха. Кроме того упрощается снаряжение самого снаряда путем вставки в него готовых заранее спрессованных шашек из смеси гексогена и тротила.</w:t>
      </w:r>
    </w:p>
    <w:p w14:paraId="00D3B0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Изготовление этой 1000 штук ожидается к 20 ноября 1940 года.</w:t>
      </w:r>
    </w:p>
    <w:p w14:paraId="541AA54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изготовлению и испытанию 20 мм бронебойного снаряда к пушке ШВАК с пробиваемой способностью 20 мм на 200 метров.</w:t>
      </w:r>
    </w:p>
    <w:p w14:paraId="1D42B8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Шпитальный сообщил, что он приступил к изготовлению 500 штук бронебойных снарядов. Срока пока не сообщил. Чертежи и техническую документацию на эти снаряды также пока не дал.</w:t>
      </w:r>
    </w:p>
    <w:p w14:paraId="23BD73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 дополнительно дал задание НИИ № 24 также изготовить опытную партию бронебойных снарядов, с возможно наибольшей пробиваемостью. НИИ № 24 обещало эти снаряды изготовить к 15 ноября 1940 года.</w:t>
      </w:r>
    </w:p>
    <w:p w14:paraId="3608BF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доставке всех снарядов испытания будут произведены незамедлительно.</w:t>
      </w:r>
    </w:p>
    <w:p w14:paraId="08A482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докладываю, что при заводском отстреле 21 октября 1940 года бронебойных снарядов ШВАК, доставленных от Шпитального, когда было получено из 5 попаданий 5 пробитий 20 мм брони на дистанцию 200 метров, полигон произвел стрельбу с той же дистанции по той же бронеплите отстрел бронебойно-зажигательными пулями из турельного пулемета Березина. При 10 попаданиях в плиту получено 7 сквозных пробоин и 3 пули застряли в толщине плиты.</w:t>
      </w:r>
    </w:p>
    <w:p w14:paraId="2A28A02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письме от 4 ноября 1940 года Шпитальный сообщил, что им заканчиваются для заводских испытаний 23 мм 37 мм бронебойные снаряды повышенной мощности. По получении они будут незамедлительно испытаны и положительные результаты использованы для изготовления опытной партии для полигонных испытаний.</w:t>
      </w:r>
    </w:p>
    <w:p w14:paraId="7395485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изготовлению и испытанию 23 мм пушек Таубина-Бабурина.</w:t>
      </w:r>
    </w:p>
    <w:p w14:paraId="41043C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Ковровском заводе № 2 на 4 ноября 1940 года изготовлено 7 пушек первого варианта с темпом 550-570 выстрелов в минуту. Из них принято 6 штук и в стадии приемки еще одна пушка.</w:t>
      </w:r>
    </w:p>
    <w:p w14:paraId="5A860B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пушки использованы следующим образом:</w:t>
      </w:r>
    </w:p>
    <w:p w14:paraId="638275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 установлена на самолете Пашенина и проходит сейчас испытания на заводе № 21. На земле выпущено около 750 снарядов. Установка с мотором действует удовлетворительно. Из-за отсутствия погоды, стрельба в воздухе изо дня в день откладывается. На заводе находится представитель Управления Белецкий.</w:t>
      </w:r>
    </w:p>
    <w:p w14:paraId="1EE95D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 – расстреляна на заводе № 2 на живучесть и выпустила около 5,5 тысяч выстрелов.</w:t>
      </w:r>
    </w:p>
    <w:p w14:paraId="79C2D6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3 – устанавливается на самолете СБ для проведения летных испытаний согласно Постановления СНК от 4 октября 1940 года. Установка уже разработана и изготовлена. Предполагается к 11 ноября 1940 года закончить монтаж ее на заводе № 22.</w:t>
      </w:r>
    </w:p>
    <w:p w14:paraId="42A535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4 – отправлена в Рыбинск на завод № 29 для установки ее на моторе М-105П.</w:t>
      </w:r>
    </w:p>
    <w:p w14:paraId="5709DE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5 – передана С.В.И. для установки ее в крыльях "БШ".</w:t>
      </w:r>
    </w:p>
    <w:p w14:paraId="309B8A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6 – передана Лавочкину. 10 ноября 1940 года будет доставлена на завод № 301.</w:t>
      </w:r>
    </w:p>
    <w:p w14:paraId="5A1C59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7 – которая сейчас принимается военпредом, к 12 ноября будет доставлена в Москву для установки на второй самолет СБ, Установка займет один день.</w:t>
      </w:r>
    </w:p>
    <w:p w14:paraId="0C9486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на заводе № 2 изготовлен один образец пушки Таубина-Бабурина по второму варианту (600 выстрелов в минуту). При отстреле пушка сразу дала автоматический огонь. Темп оказался равным 615 выстрелов в минуту.</w:t>
      </w:r>
    </w:p>
    <w:p w14:paraId="38F3277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испытании 23 мм пушки Таубина-Бабурина на самолете Мессершмидт.</w:t>
      </w:r>
    </w:p>
    <w:p w14:paraId="633D51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3-5 дней происходит окончательная отладка установки пушки с темпом 600 выстрелов в минуту на самолёте. Предполагается закончить отладку установки 6 ноября 1940 года.</w:t>
      </w:r>
    </w:p>
    <w:p w14:paraId="4260027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поставке 2-х моторов М-105П, приспособленных под 23 мм пушку Таубина-Бабурина.</w:t>
      </w:r>
    </w:p>
    <w:p w14:paraId="784C58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должны были быть поданы к 1 ноября 1940 года. Однако НКАП несмотря на наше вмешательство и вмешательство ОКБ-16 (Таубина) поздно дал указания заводу № 26. Поэтому моторы еще не поданы.</w:t>
      </w:r>
    </w:p>
    <w:p w14:paraId="23F62B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Представитель от ОКБ-16 (Таубина) и от 8 управления ГУ ВВС находятся на заводе. Ожидаю донесения 6 ноября 1940 года.</w:t>
      </w:r>
    </w:p>
    <w:p w14:paraId="35EF8E5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изготовлению 12,7 мм пулемета Таубина. Срок предъявления на испытания 25 декабря 1940 года.</w:t>
      </w:r>
    </w:p>
    <w:p w14:paraId="423371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 в турельном варианте под магазинное питание изготовлен. Лично мне показан. Вес оказался равным 12,5 кг. Заводскую одиночную стрельбу по 1 выстрелу (40 штук) выдержал. 2 ноября 1940 года из него было выпущено 200 выстрелов автоматическим огнем. Темп еще не замерялся.</w:t>
      </w:r>
    </w:p>
    <w:p w14:paraId="4A9503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Сейчас Таубин приспосабливает к пулемету звеньевое питание (лентой) под звено к пулемету Березина и под звено к 12,7 мм пулемету Дегтярева-Шпагина.</w:t>
      </w:r>
    </w:p>
    <w:p w14:paraId="51BBD4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предполагается очередная стрельба, на которой я думаю быть. 6 ноября возможно будет измерен темп.</w:t>
      </w:r>
    </w:p>
    <w:p w14:paraId="2DD6F07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изготовлению 37 мм пушки Таубина.</w:t>
      </w:r>
    </w:p>
    <w:p w14:paraId="29D479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предъявления на испытания 25 декабря 1940 года.</w:t>
      </w:r>
    </w:p>
    <w:p w14:paraId="57515C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Идет разработка чертежей.</w:t>
      </w:r>
    </w:p>
    <w:p w14:paraId="6749243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изготовлению 37 мм пушки Шпитального.</w:t>
      </w:r>
    </w:p>
    <w:p w14:paraId="7BFF99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предъявления на испытания 25 декабря 1940 года.</w:t>
      </w:r>
    </w:p>
    <w:p w14:paraId="17B6EB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Данных о состоянии работы не имеется. По заявлению Шпитального будет подана в срок.</w:t>
      </w:r>
    </w:p>
    <w:p w14:paraId="5F70627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7,62 мм скорострельном пулемете Юрченко.</w:t>
      </w:r>
    </w:p>
    <w:p w14:paraId="757E6F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 в турельном варианте 1 ноября доставлен на полигон для заводских и полигонных испытаний. Производится определение темпа, рассеивания и работы автоматики.</w:t>
      </w:r>
    </w:p>
    <w:p w14:paraId="0E99E6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Рассеивание удовлетворительное. Темп оказался в пределах 3800-4100 выстрелов в минуту.</w:t>
      </w:r>
    </w:p>
    <w:p w14:paraId="411CE3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Автоматика будет проверена на 6000 выстрелов. После этого ожидается к 20 ноября 1940 года предъявление турельного образца на официальные полигонные испытания, с предусмотренным приспособлением для синхронной стрельбы.</w:t>
      </w:r>
    </w:p>
    <w:p w14:paraId="0C4A321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облегченных крыльевых пушках ШВАК.</w:t>
      </w:r>
    </w:p>
    <w:p w14:paraId="156F3E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предложению Шпитального завод изготовил и предъявил на полигон 2 образца облегченных пушек ШВАК весом в 35 кг взамен 40 кг.</w:t>
      </w:r>
    </w:p>
    <w:p w14:paraId="67C8C7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Облегчение сделано за счет выемки металла с основных деталей. В связи с этим основное испытание пушки было – стрельба на живучесть, с поддержанием нормального темпа стрельбы 700-800 выстрелов в минуту.</w:t>
      </w:r>
    </w:p>
    <w:p w14:paraId="1C9332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Обе пушки выпустили по 12000 выстрелов и испытания выдержали. К 17 ноября будет оформлен отчет (7713, 206-211).</w:t>
      </w:r>
    </w:p>
    <w:p w14:paraId="56068FE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4CA89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года начальник НИП АВ ВВС полковник Шевченко утвердил:</w:t>
      </w:r>
    </w:p>
    <w:p w14:paraId="791BEA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полигонным испытаниям осколочных бомб АО-8М6 ст. чугуна п.п. 65 и 68, снаряженных смесью К-2 методом шнекования 1940 года завода № 12</w:t>
      </w:r>
    </w:p>
    <w:p w14:paraId="3EF1B1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10 сентября 1940 года</w:t>
      </w:r>
    </w:p>
    <w:p w14:paraId="592801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12 октября 1940 года</w:t>
      </w:r>
    </w:p>
    <w:p w14:paraId="6EC189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11D69D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2 ранга Дьячков</w:t>
      </w:r>
    </w:p>
    <w:p w14:paraId="715896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6E83133F" w14:textId="77777777" w:rsidR="00C66762" w:rsidRPr="00A3026E" w:rsidRDefault="00C66762" w:rsidP="00A3026E">
      <w:pPr>
        <w:pStyle w:val="22"/>
        <w:widowControl/>
        <w:rPr>
          <w:color w:val="000000" w:themeColor="text1"/>
        </w:rPr>
      </w:pPr>
      <w:r w:rsidRPr="00A3026E">
        <w:rPr>
          <w:color w:val="000000" w:themeColor="text1"/>
        </w:rPr>
        <w:t>Испытания имели целью определить:</w:t>
      </w:r>
    </w:p>
    <w:p w14:paraId="358653E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Осколочное действие бомбы.</w:t>
      </w:r>
    </w:p>
    <w:p w14:paraId="7D4D435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Дробление корпуса бомбы ВВ.</w:t>
      </w:r>
    </w:p>
    <w:p w14:paraId="181D67E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Безотказность действия.</w:t>
      </w:r>
    </w:p>
    <w:p w14:paraId="3B28CAB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бомб в полете.</w:t>
      </w:r>
    </w:p>
    <w:p w14:paraId="26F66D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6DD6EB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 АО-8М6 сталистого чугуна, снаряженные ТНТ+ДМН 80/20 шнекованием 1940 года, завода № 12, как давшиепо осколочному действию и безотказности удовлетворительные результаты, полигонные испытания выдержали (7587).</w:t>
      </w:r>
    </w:p>
    <w:p w14:paraId="07EC2D2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0A8D1B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принято решение, превращающее ГВФ во вспомогательную организацию ВВС. Учебные заведения ГВФ и ВВС предъявляли одинаковые требования к кандидатам с 2 сентября 1935 (69,113).</w:t>
      </w:r>
    </w:p>
    <w:p w14:paraId="626480F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4B3AB6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3BC2EF4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0612E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во время заводских испытаний стрельбой первого образца 203-мм гаубицы БЛ-39 на 16-м выстреле при стрельбе под углом 72,5 после выстрела ствол упал до угла +16 и вышел из строя подъемный механизм. Система была снята с испытаний. В 1940 году до войсковых испытаний БЛ-39 дело не дошло (3861).</w:t>
      </w:r>
    </w:p>
    <w:p w14:paraId="6B421D4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269DD6B"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года</w:t>
      </w:r>
    </w:p>
    <w:p w14:paraId="12604DBB"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ЦК ВКП(б) товарищу СТАЛИНУ СНК СССР товарищу МОЛОТОВУ</w:t>
      </w:r>
    </w:p>
    <w:p w14:paraId="1392BC14"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РЕЗУЛЬТАТАХ ПРОВЕРКИ АППАРАТА НАРКОМАТА БОЕПРИПАСОВ СОЮЗА ССР</w:t>
      </w:r>
    </w:p>
    <w:p w14:paraId="7F460721"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постановлением ЦК ВКП(б) от 26 сентября 1940 года Народный Комиссариат Госконтроля СССР и Народный Комиссариат Внутренних дел СССР проверил аппарат Народного Комиссариата боеприпасов.</w:t>
      </w:r>
    </w:p>
    <w:p w14:paraId="3C8C8236"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Проверку производили 55 работников Наркомата Госконтроля и НКВД СССР под руководством главного контролера Наркомата Госконтроля тов. Гафарова и заместителя начальника Главного Экономического управления НКВД СССР тов. Наседкина.</w:t>
      </w:r>
    </w:p>
    <w:p w14:paraId="756C29F4"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Проверка аппарата производилась путем личного ознакомления с сотрудниками Наркомата, с их практической работой и изучения соответствующих документальных данных.</w:t>
      </w:r>
    </w:p>
    <w:p w14:paraId="51927BC3"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с этим происходила проверка производственной деятельности 1-го и 2-го Главных Управлений и Главснаба НКБ.</w:t>
      </w:r>
    </w:p>
    <w:p w14:paraId="7BA2C712"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Установлено, что промышленность боеприпасов находится в тяжелом положении.</w:t>
      </w:r>
    </w:p>
    <w:p w14:paraId="2EBBF893"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9 месяцев 1940 года НКБ выполнил годовой план по валовой продукции всего на 68,1 проц., а по товарной продукции - на 61,3 проц.</w:t>
      </w:r>
    </w:p>
    <w:p w14:paraId="7C3BDCC4"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этого на заводах НКБ образовалось огромное количество продукции незавершенной производством. На 1 октября т.г. остатки незавершенного производства составили 1020 миллионов рублей против 688 миллионов рублей (по плану на 1 января 1941 года).</w:t>
      </w:r>
    </w:p>
    <w:p w14:paraId="1F914257"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Работа НКБ ухудшается из квартала в квартал. План 1 квартала по оборонной продукции выполнен на 87,9 проц., II квартала - на 85,1 проц., III квартала - на 55,8 проц. За 9 месяцев 1940 года НКБ недодал Красной Армии и Военно-Морскому флоту 4,2 миллиона комплектов выстрелов сухопутной артиллерии, 3 миллиона мин, 2 миллиона авиабомб и 205 тысяч комплектов выстрелов морской артиллерии.</w:t>
      </w:r>
    </w:p>
    <w:p w14:paraId="22AAD641"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НКБ должен был выпустить в 1940 году вместо латунных артиллерийских гильз 5,7 миллионов железных. Не отработав технологического процесса, НКБ изготовил за 9 месяцев 1117 тысяч железных гильз, из которых 963 тысячи пошли в брак.</w:t>
      </w:r>
    </w:p>
    <w:p w14:paraId="0EEA3C81"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то же время пошло в брак большое количество взрывателей новых конструкций ГВМЗ и МГ-8. Взрывателей МП и Д-1 при плане в 3,3 миллиона не сдано ни одной штуки.</w:t>
      </w:r>
    </w:p>
    <w:p w14:paraId="4B1FDFE1"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Запуск в массовое производство недоработанных конструкций, систематические нарушения технологических процессов и недоработка некоторых из них привели к образованию на заводах большого брака, убытки от которого по НКБ (без 3-го главка) составили за 8 месяцев 1940 года 167 миллионов рублей.</w:t>
      </w:r>
    </w:p>
    <w:p w14:paraId="20DC8B5D"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Неудовлетворительная постановка в НКБ планирования и комплектации, а также неравномерное выполнение планов по отдельным элементам выстрела (гильзы, корпуса, взрыватели) привели к скоплению на складах Народного Комиссариата Обороны и Народного Комиссариата Военно-Морского Флота на 1 октября 1940 года некомплектной продукции сверх нормы на 185 миллионов рублей.</w:t>
      </w:r>
    </w:p>
    <w:p w14:paraId="47DB3358"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Основная причина такого неудовлетворительного состояния производства предприятий НКБ заключается в слабости руководства наркома:</w:t>
      </w:r>
    </w:p>
    <w:p w14:paraId="3F4D9887"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Оперативное руководство предприятиями в НКБ подменено изданием многочисленных приказов.</w:t>
      </w:r>
    </w:p>
    <w:p w14:paraId="1EE1398E"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наличии всего 80 предприятий нарком боеприпасов т. Сергеев за 9 месяцев т.г. издал 633 приказа (не считая приказов по личному составу). За тот же период 4-мя главными управлениями НКБ издано еще 1079 приказов.</w:t>
      </w:r>
    </w:p>
    <w:p w14:paraId="4169AD24"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ряде приказов исполнителям давались явно нереальные сроки. Так, например, в приказе № 203с директору Тульского завода № 176 предлагалось «построить фосфатировочное отделение цеха № 4, смонтировать ванны и сдать в эксплуатацию». Приказ был подписан 5 июня, сдан для рассылки 7 июня, а срок исполнения указанной в приказе работы был определен 8 июня.</w:t>
      </w:r>
    </w:p>
    <w:p w14:paraId="0E240C88"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 189с завод № 144 обязывался «не позднее 1 июня 1940 года разработать графики работы цехов на июнь месяц с учетом покрытия недоделок за апрель - май месяцы». Этот приказ был подписан 31 мая, а прибыл на завод после истечения установленного срока исполнения.</w:t>
      </w:r>
    </w:p>
    <w:p w14:paraId="180177B4"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за № 151с отмечается плохое состояние техники безопасности на заводах. Пунктом 8-м исполнители обязуются представить т. Сергееву на утверждение 29 апреля план работ, а сам приказ подписан 4 мая.</w:t>
      </w:r>
    </w:p>
    <w:p w14:paraId="0B59F402"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Контроля за исполнением приказов в НКБ нет, а сами приказы носят часто декларативный характер. Приказом № 151с от 4 мая начальники 1, 2 и 3 главков обязывались к 10 мая «разрешить вопрос об использовании или ликвидации бракованной продукции и запретить впредь хранить таковую на заводах в больших количествах». Этот приказ не выполнен, и заводские дворы завалены бракованной продукцией.</w:t>
      </w:r>
    </w:p>
    <w:p w14:paraId="14F2AC5F"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Точно так же обстоит дело с пересмотром норм загрузки и хранения взрывчатых веществ и материалов на заводах. По приказу т. Сергеева эту работу должны были закончить в мае «с тем, чтобы перегруз мастерских и цехов ВВ не превышал установленных норм». Этот приказ также не выполнен, о чем, в частности, свидетельствуют известные ЦК ВКП(б) и СНК СССР факты по 9-му и 80-му заводам.</w:t>
      </w:r>
    </w:p>
    <w:p w14:paraId="3CCB8277"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НКБ ведется огромная переписка, загружающая аппарат.</w:t>
      </w:r>
    </w:p>
    <w:p w14:paraId="6658F3C8"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4-е главное управление Наркомата за 9 месяцев 1940 года представило на имя наркома и его заместителей 355 докладных записок; технический отдел наркомата - 309 докладных записок.</w:t>
      </w:r>
    </w:p>
    <w:p w14:paraId="7D8D36B7"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3 квартал т.г. в НКБ ежедневно поступало с завода и строек в среднем по 1400 писем и отправлялось 880.</w:t>
      </w:r>
    </w:p>
    <w:p w14:paraId="2D78FC5F"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тот же срок НКБ направил в правительственные органы (Совнарком, Комитет Обороны, Экономсовет и Хозяйственный Совет) 1220 писем, т.е. свыше 5 писем в день. Значительное количество вопросов, поставленных в этих письмах, не носили принципиального характера и могли быть разрешены непосредственно самим наркоматом или его главками.</w:t>
      </w:r>
    </w:p>
    <w:p w14:paraId="1576A5F3"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3.Широко применялась система наложения взысканий и снятия с работы руководящего состава предприятий, цехов и смен.</w:t>
      </w:r>
    </w:p>
    <w:p w14:paraId="03C9222A"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январь - август т.г. нарком боеприпасов наложил на 72 руководящих работника 149 взысканий; начальнику 1-го главного управления Горину было вынесено 10 взысканий; бывшему директору завода № 12 Сорокину - 7 взысканий. На того же Сорокина начальник 1-го главка наложил дополнительно еще 3 взыскания. Директор завода № 142 Ножкин имеет 15 взысканий; директор завода № 113 Чашин - 8 взысканий.</w:t>
      </w:r>
    </w:p>
    <w:p w14:paraId="5630524A"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Наряду с этим в короткие перерывы между взысканиями некоторые директора заводов премировались за успешную работу.</w:t>
      </w:r>
    </w:p>
    <w:p w14:paraId="16D1C118"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директору завода № 4 Брук 11 февраля было объявлено предупреждение за невыполнение плана (приказа № 52), 14 марта он был премирован месячным окладом за выполнение плана (приказ № 97с), 23 апреля ему объявляется выговор за плохую организацию производства (приказ № 144с), а 29 апреля он премируется 2-месячным окладом. Директор завода № 10 Бодров в 1940 году получил 5 взысканий и 2 премии.</w:t>
      </w:r>
    </w:p>
    <w:p w14:paraId="07E971E4"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полтора года наркоматом снято с работы 26 руководителей предприятий и 18 главных инженеров. Только на заводе № 78 за это время в цехе № 4 было сменено 5 начальников, 8 заместителей начальников и 14 начальников отделений, а в цехе № 2 - 3 начальника, 5 помощников начальников и 3 старших технолога; на заводе № 9 сменено 22 начальника смен и 15 мастеров.</w:t>
      </w:r>
    </w:p>
    <w:p w14:paraId="21C2E5D6"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отсутствии в системе НКБ достаточного количества инженеров НКБ за 7 месяцев 1940 г., по неполным данным, уволил с завода 1226 дипломированных инженеров.</w:t>
      </w:r>
    </w:p>
    <w:p w14:paraId="4CF80A73"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Тов. Сергеев плохо разбирается в людях, не умеет их распознавать. Большим доверием у него пользовался Иняшкин - заместитель наркома по кадрам (снят с работы в процессе проверки НКБ). Этому Иняшкину т. Сергеев передоверил все дело подбора и расстановки кадров. В результате Иняшкин, отличавшийся безделием, пьянством и самоснабжением, развалил работу по кадрам. На руководящую работу в наркомате и главках Иняшкин выдвигал негодных людей, засорял аппарат наркомата политически сомнительными и малоквалифицированными работниками.</w:t>
      </w:r>
    </w:p>
    <w:p w14:paraId="62B5B119"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Среди сотрудников наркомата имеется 14 бывших офицеров царской армии, 70 выходцев из дворян, помещиков и кулаков, 31 судившихся за различные преступления, 17 исключенных из ВКП(б), 28 имеющих родственников за границей, 69 человек, родственники которых репрессированы за антисоветскую работу, и т.д.</w:t>
      </w:r>
    </w:p>
    <w:p w14:paraId="6F57E552"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Многим из этих лиц не место в аппарате НКБ. Между тем в 1940 г. в порядке сокращения штатов из центрального аппарата удалено 171 член ВКП(б), 166 инженерно-технических работников. Само сокращение было всецело передоверено Иняшкину и начальникам главков.</w:t>
      </w:r>
    </w:p>
    <w:p w14:paraId="1A056172"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Характерно, что на руководящей работе в НКБ находились 10 человек, которые ранее вместе с Иняшкиным работали на заводе №11, как-то: Шибанов - зам. наркома, Ефремов - нач. 2-го главка (арестован), Черняев - зам. главного инженера 2 главка (арестован), Кузьмин - нач. мобилизационного отдела 2 главка и другие.</w:t>
      </w:r>
    </w:p>
    <w:p w14:paraId="5B780032"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Другой заместитель наркома Хренков Н.М. до выдвижения на эту работу (июнь 1939 года) возглавил управление комплектации наркомата, которое подчинено ему и сейчас. Как в 1939 году, так и в 1940 году управление комплектации работает из рук вон плохо.</w:t>
      </w:r>
    </w:p>
    <w:p w14:paraId="25AC5755"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Проводимая Хренковым работа вызывает явное подозрение во вредительстве.</w:t>
      </w:r>
    </w:p>
    <w:p w14:paraId="5F9F1133"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3940 гола по сдаче Наркомату Обороны комплектных выстрелов по сухопутной артиллерии за 9 месяцев выполнен только на 57,7 проц., по авиабомбам - на 59,9 проц.; по сдаче продукции Наркомату Военно-Морского флота - на 58,5 проц. План сдачи выстрелов по крупным калибрам сорван: не сдано ни одного выстрела для 152 мм пушки «БР-2», 210 мм «БР-17» и 280 мм мортиры «БР-5».</w:t>
      </w:r>
    </w:p>
    <w:p w14:paraId="7463A9A4"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Также плохо работает руководимый Хренковым мобилизационный отдел, Осенью 1939 года к развертыванию работы по мобилизационному плану заводы наркомата оказались неподготовленными.</w:t>
      </w:r>
    </w:p>
    <w:p w14:paraId="2E6FE9CC"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будучи председателем комиссии по выявлению причин и виновников взрыва 175 тонн пороха на заводе № 9, Хренков пытался в своем заключении смазать действительные причины взрыва и отвлечь от ныне арестованных виновников взрыва.</w:t>
      </w:r>
    </w:p>
    <w:p w14:paraId="1668FC45"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Заместитель наркома толстоВ Г.А. работает недобросовестно. Будучи председателем комиссии на заводе № 53 по выяснению причин массового брака капсюлей-воспламенителей «Шкасс», Толстой пытался замазать истинные причины брака, скрыть имевшие место на заводе № 53 нарушения технического процесса, а равно скрыть виновников брака 159 млн капсюлей-воспламенителей.</w:t>
      </w:r>
    </w:p>
    <w:p w14:paraId="54A2AFA4"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Начальник 1-го Главного управления (производство взрывных веществ и снаряжение) НКБ - Горин С.П., по специальности механик химического машиностроения, не обеспечивает руководства работой Главка и заводов.</w:t>
      </w:r>
    </w:p>
    <w:p w14:paraId="003918D9"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Головой план по оборонной продукции за 9 месяцев т.г. выполнен главком всего лишь на 57,5 проц.</w:t>
      </w:r>
    </w:p>
    <w:p w14:paraId="297AF062"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Будучи директором завода № 80, т. Горин с работой не справлялся. Выдвинутый на должность начальника главка вследствие своих личных связей с бывшим зам. наркома Михайловым, Горин охватить работу не сумел и не обеспечил выполнения производственной программы.</w:t>
      </w:r>
    </w:p>
    <w:p w14:paraId="6C64B83E"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Отделы главка (плановый, технический, капитального строительства и другие) работают неудовлетворительно.</w:t>
      </w:r>
    </w:p>
    <w:p w14:paraId="6EFD062D"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заводам №№ 12. 15 и 56 на второй квартал было запланировано снаряжение 76 мм дистанционных гранат, а производство для них дымоблеско-усиливающих шашек «ДУ-5» не было запланировано. В результате план снаряжения гранат Главком был сорван и на заводах скопилось 720,8 тысяч неснаряженных корпусов гранат.</w:t>
      </w:r>
    </w:p>
    <w:p w14:paraId="7BE2DCA9"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200 технологических процессов, подлежащих утверждению по приказу НКБ к 1 сентября, т. Горин к 11 октября утвердил только два.</w:t>
      </w:r>
    </w:p>
    <w:p w14:paraId="49384A63"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Годовой план капитального строительства за 8 месяцев т.г. выполнен всего на 40,5 проц., а план ввода в эксплуатацию новых объектов - на 14.0 проц.</w:t>
      </w:r>
    </w:p>
    <w:p w14:paraId="0F8A8FB6"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Начальник 2-го главного управления (капсюльно-взрывательное) НКБ - Ефремов (ныне арестован) не принял меры к ликвидации массового брака капсюлей-взрывателей «Шкасс».</w:t>
      </w:r>
    </w:p>
    <w:p w14:paraId="51B7E121"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 9 месяцев 1940 г. брак по этим капсюлям составил 159 млн штук. В массовом браке капсюлей-взрывателей «Шкасс» вместе с Ефремовым виновен также зам. главного инженера Главка Черняен А.Ф. (ныне арестован), который являлся инициатором перехода без достаточной подготовки и проверки на лакировку капсюлей идиголовым лаком вместо шеллачного. Убытки от брака за 8 месяцев по Главку составляют 49,7 миллионов рублей.</w:t>
      </w:r>
    </w:p>
    <w:p w14:paraId="164488AE"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Ефремов сорвал выполнение ряда важнейших решений Правительства, в частности постановление Комитета Обороны № ЗЗ5сс от 26.У1Г.1940 года об изготовлении НКАГТ авиасвечей ВГ-2 и ВГ-12.</w:t>
      </w:r>
    </w:p>
    <w:p w14:paraId="5E3C3EF2"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Также не справляется с работой начальник 3-го Главного управления (производство порохов) НКБ Дынкин Н.П.</w:t>
      </w:r>
    </w:p>
    <w:p w14:paraId="4847AB8C"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Годовой план по Главку за 9 месяцев по оборонной продукции выполнен только на 64,3 проц.</w:t>
      </w:r>
    </w:p>
    <w:p w14:paraId="008CE757"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Техническое руководство заводами запущено.</w:t>
      </w:r>
    </w:p>
    <w:p w14:paraId="3893A10A"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Ряд технологических процессов (производство пороха марки А-19 и П-45 и из сырья РП) не был достаточно отработан. На исполнение недоброкачественной продукции пороха только по 4 заводам (№№ 9, 14, 40, 204) было в 1940 году израсходовано 745 тысяч декалитров спирта.</w:t>
      </w:r>
    </w:p>
    <w:p w14:paraId="1295CB76"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уделяя должного внимания постановке техники безопасности на заводах, Дынкин передоверил этот серьезный участок работы малоквалифицированному работнику Макееву.</w:t>
      </w:r>
    </w:p>
    <w:p w14:paraId="17AB301B"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Директору завода № 9 Дынкин дал разрешение на хранение преступно завышенной нормы пороха в производственных зданиях завода. На этом заводе 26 сентября т.г. имел место взрыв пороха, в результате которого погибло 15 человек и тяжело ранено 18 человек.</w:t>
      </w:r>
    </w:p>
    <w:p w14:paraId="1D61452A"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Крепко запутано в Главке дело снабжения заводов.</w:t>
      </w:r>
    </w:p>
    <w:p w14:paraId="37A72F6E"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Заводу № 6 в июне т.г. было занаряжено 3 тонны кристаллического нафталина, в то время как завод нафталин не заказывал. Заводу № 40 было предложено заключить договор с Петровским заводом № 323 на постановку 5 тысяч пеналов под заряд 203/50. Имея большие запасы пеналов, завод № 40 трижды отказывался от их получения. Однако Главк продолжал засылать ненужные пеналы, прекратил их отгрузку лишь после третьего протеста завода.</w:t>
      </w:r>
    </w:p>
    <w:p w14:paraId="23D35A44"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Заводу № 59, имевшему 9-месячный запас центролита, до самого последнего времени Главк продолжал засылать центролит, несмотря на просьбы завода прекратить его отгрузку. В то же время завод № 6 совершенно не имел центролита и остро нуждался в нем.</w:t>
      </w:r>
    </w:p>
    <w:p w14:paraId="7E3AAB3B"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Предприятия 4-го Главного управления (производство корпусов снарядов) за 9 месяцев выполнили годовой план по оборонной продукции лишь на 51,5 проц.</w:t>
      </w:r>
    </w:p>
    <w:p w14:paraId="2BC7F00B"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Убытки от брака по заводам Главка за 8 месяцев составили 67,2 миллиона рублей.</w:t>
      </w:r>
    </w:p>
    <w:p w14:paraId="3050A858"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Главка Иванов Н.Д. никаких действенных мер к ликвидации брака не принимал. Никто из виновников брака к ответственности не привлечен. Принятая в Главке система учета брака не отражает действительного положения.</w:t>
      </w:r>
    </w:p>
    <w:p w14:paraId="21570359"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Главки Наркомата, его отделы и управления засорены малоквалифицированными и политически сомнительными людьми. НКВД СССР арестовано 8 человек руководящих работников НКБ (начальник 2-го Главка Ефремов, зам. главного инженера того же Главка Черняев, начальник Главснаба Купер, член технического совета Сидора, начальник секции технического совета Янов, начальник технического отдела Тольский, инженер-диспетчер Дацук, инженер Паршин).</w:t>
      </w:r>
    </w:p>
    <w:p w14:paraId="22283CD5"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проверки установлена необходимость увольнения из системы НКБ 62 человек.</w:t>
      </w:r>
    </w:p>
    <w:p w14:paraId="7CB28680"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Подлежат снятию с должности, как не справившиеся с работой, 49 человек.</w:t>
      </w:r>
    </w:p>
    <w:p w14:paraId="67DED582"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Списки подлежащих увольнению с характеристиками при этом прилагаются.</w:t>
      </w:r>
    </w:p>
    <w:p w14:paraId="6AB1C38D"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Нынешнее руководство Наркомата Боеприпасов, по нашему мнению, не в состоянии выправить создавшегося положения и справиться с задачами, стоящими перед промышленностью боеприпасов. Прежде всего это касается самого наркома боеприпасов т. Сергеева. Считаем необходимым:</w:t>
      </w:r>
    </w:p>
    <w:p w14:paraId="40A7E492"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Поручить Управлению кадров ЦК ВКП(б) в двухдекадный срок укрепить аппарат НКБ проверенными и технически подготовленными работниками, назначив в первую очередь начальников 1-го, 2-го и 3-го главков. Предупредить начальника 4-го Главка т. Иванова, что если он в месячный срок не улучшит работу Главка, то будет снят с должности и привлечен к ответственности.</w:t>
      </w:r>
    </w:p>
    <w:p w14:paraId="03F8818B"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Заместителя наркома т. Толстова снять с должности, назначив его начальником Главснабжения НКБ.</w:t>
      </w:r>
    </w:p>
    <w:p w14:paraId="6F8E766D"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Снять с должности секретаря партийной организации НКБ т. Акатова как не справляющегося с работой.</w:t>
      </w:r>
    </w:p>
    <w:p w14:paraId="476237FF"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Арестовать зам. наркома Хренкова, и дело о нем передать НКВД.</w:t>
      </w:r>
    </w:p>
    <w:p w14:paraId="1E0B09FB"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 декабре заслушать на заседании Оргбюро ЦК ВКП(б) доклад руководства наркомата и Управления кадров ЦК ВКП(б) о проделанной работе по укреплению аппарата НКБ.</w:t>
      </w:r>
    </w:p>
    <w:p w14:paraId="288A9B95"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по тексту.</w:t>
      </w:r>
    </w:p>
    <w:p w14:paraId="687F5BD9"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Государственного Контроля Союза ССР</w:t>
      </w:r>
    </w:p>
    <w:p w14:paraId="78F380ED"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 МЕХЛИС </w:t>
      </w:r>
    </w:p>
    <w:p w14:paraId="30A5EFEC"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Народный комиссар внутренних дел Союза ССР </w:t>
      </w:r>
    </w:p>
    <w:p w14:paraId="68F1F2E5"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БЕРИЯ</w:t>
      </w:r>
    </w:p>
    <w:p w14:paraId="250023F1"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года</w:t>
      </w:r>
    </w:p>
    <w:p w14:paraId="116FABD8"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 РФ. Ф. 3. Оп. 58. Д. 343а. Л. 155-164. Подлинник. Машинопись (12215).</w:t>
      </w:r>
    </w:p>
    <w:p w14:paraId="04204867" w14:textId="77777777" w:rsidR="00616643" w:rsidRPr="00A3026E" w:rsidRDefault="00616643" w:rsidP="00A3026E">
      <w:pPr>
        <w:spacing w:after="0" w:line="240" w:lineRule="auto"/>
        <w:jc w:val="both"/>
        <w:rPr>
          <w:rFonts w:ascii="Times New Roman" w:hAnsi="Times New Roman"/>
          <w:color w:val="000000" w:themeColor="text1"/>
          <w:sz w:val="16"/>
          <w:szCs w:val="16"/>
        </w:rPr>
      </w:pPr>
    </w:p>
    <w:p w14:paraId="65863D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5 ноября 1940 Кировский завод сдал всего лишь один танк Т-150 с броней 90 мм и с пушкой Ф-32, а к 5 де</w:t>
      </w:r>
      <w:r w:rsidRPr="00A3026E">
        <w:rPr>
          <w:rFonts w:ascii="Times New Roman" w:hAnsi="Times New Roman"/>
          <w:color w:val="000000" w:themeColor="text1"/>
          <w:sz w:val="16"/>
          <w:szCs w:val="16"/>
        </w:rPr>
        <w:softHyphen/>
        <w:t>кабря один Т-220 с броней 100 мм и пушкой Ф-30. При этом масса Т-150 превысила 50 т, и потому на него планировалось установить 650 л.с. дизель В-5, но был уста</w:t>
      </w:r>
      <w:r w:rsidRPr="00A3026E">
        <w:rPr>
          <w:rFonts w:ascii="Times New Roman" w:hAnsi="Times New Roman"/>
          <w:color w:val="000000" w:themeColor="text1"/>
          <w:sz w:val="16"/>
          <w:szCs w:val="16"/>
        </w:rPr>
        <w:softHyphen/>
        <w:t>новлен лишь форсированный до 600 л.с. В-2. Внешне же танк почти ничем не отличался от ставших уже привычны</w:t>
      </w:r>
      <w:r w:rsidRPr="00A3026E">
        <w:rPr>
          <w:rFonts w:ascii="Times New Roman" w:hAnsi="Times New Roman"/>
          <w:color w:val="000000" w:themeColor="text1"/>
          <w:sz w:val="16"/>
          <w:szCs w:val="16"/>
        </w:rPr>
        <w:softHyphen/>
        <w:t>ми КВ-1. Танк же Т-220 (в документах называется также КВ-220, «Объект 220») имел удлиненный корпус, растяну</w:t>
      </w:r>
      <w:r w:rsidRPr="00A3026E">
        <w:rPr>
          <w:rFonts w:ascii="Times New Roman" w:hAnsi="Times New Roman"/>
          <w:color w:val="000000" w:themeColor="text1"/>
          <w:sz w:val="16"/>
          <w:szCs w:val="16"/>
        </w:rPr>
        <w:softHyphen/>
        <w:t>тое на один каток шасси и увеличенную башню с 85-мм орудием Ф-30. Поскольку масса танка превысила 65 т, на него был установлен дизель В-5 мощностью 700 л.с. Однако оба танка, будучи переданными на испытания, недолго уте</w:t>
      </w:r>
      <w:r w:rsidRPr="00A3026E">
        <w:rPr>
          <w:rFonts w:ascii="Times New Roman" w:hAnsi="Times New Roman"/>
          <w:color w:val="000000" w:themeColor="text1"/>
          <w:sz w:val="16"/>
          <w:szCs w:val="16"/>
        </w:rPr>
        <w:softHyphen/>
        <w:t>шали своих создателей. Т-150 был снят с испытаний через месяц, когда его пробег лишь приблизился к 200 км. У него сильно перегревалось масло в двигателе, «вылетали» под</w:t>
      </w:r>
      <w:r w:rsidRPr="00A3026E">
        <w:rPr>
          <w:rFonts w:ascii="Times New Roman" w:hAnsi="Times New Roman"/>
          <w:color w:val="000000" w:themeColor="text1"/>
          <w:sz w:val="16"/>
          <w:szCs w:val="16"/>
        </w:rPr>
        <w:softHyphen/>
        <w:t>шипники в КПП, причем все неприятности почему-то про</w:t>
      </w:r>
      <w:r w:rsidRPr="00A3026E">
        <w:rPr>
          <w:rFonts w:ascii="Times New Roman" w:hAnsi="Times New Roman"/>
          <w:color w:val="000000" w:themeColor="text1"/>
          <w:sz w:val="16"/>
          <w:szCs w:val="16"/>
        </w:rPr>
        <w:softHyphen/>
        <w:t>являлись именно при движении по шоссе на 3-й и 4-й пере</w:t>
      </w:r>
      <w:r w:rsidRPr="00A3026E">
        <w:rPr>
          <w:rFonts w:ascii="Times New Roman" w:hAnsi="Times New Roman"/>
          <w:color w:val="000000" w:themeColor="text1"/>
          <w:sz w:val="16"/>
          <w:szCs w:val="16"/>
        </w:rPr>
        <w:softHyphen/>
        <w:t>дачах. Танк же Т-220 просуществовал на полигоне рекордно короткий отрезок времени. Дизель В-5 сломался уже на вто</w:t>
      </w:r>
      <w:r w:rsidRPr="00A3026E">
        <w:rPr>
          <w:rFonts w:ascii="Times New Roman" w:hAnsi="Times New Roman"/>
          <w:color w:val="000000" w:themeColor="text1"/>
          <w:sz w:val="16"/>
          <w:szCs w:val="16"/>
        </w:rPr>
        <w:softHyphen/>
        <w:t>рой день. Танки были отправлены на доработку...(10782).</w:t>
      </w:r>
    </w:p>
    <w:p w14:paraId="69E31C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8CF4F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ноября 1940 Кировским заводом был сдан один KB с броней 90 мм и пушкой Ф-32 (в документах именуется «танк Т-150»), а 5 декабря — один KB со 100-мм броней и 85-мм орудием (по документам значится как Т-220, КВ-220 или объект 220). </w:t>
      </w:r>
    </w:p>
    <w:p w14:paraId="5434F4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Т-150 был построен на агрегатах серийного KB и отличался от него только увеличенной толщиной брони корпуса (вместо 75 мм — 90). Так как утолщение броневых листов производилось наружу, то внутренние габариты машины были сохранены. Кроме того, на Т-150 стояли измененные кронштейны ходовой части и командирская башенка с перископом и тремя смотровыми приборами. В связи с возросшей массой танка, достигшей 50 т, на нем установили двигатель В-2, форсированный до 700 л.с. </w:t>
      </w:r>
    </w:p>
    <w:p w14:paraId="0E9ECA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15 января по 14 февраля 1941 года машина проходила полигонные испытания (пройдено 199 км), выявившие ряд существенных недостатков в работе двигателя. Так, при движении по шоссе на 3-й и 4-й передачах при температуре наружного воздуха — 9... 12° масло в двигателе сильно перегревалось. По этой причине танк был снят с испытаний, а Кировский завод и завод № 75 в Харькове (головное предприятие по выпуску двигателей В-2. — Прим. авт.) получили задание улучшить систему охлаждения и снизить перепад температуры масла, проходящего через двигатель. </w:t>
      </w:r>
    </w:p>
    <w:p w14:paraId="7CD560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КВ-220 внешне отличался от своих собратьев большей длиной корпуса, увеличенной на один опорный каток ходовой частью и новой башней с 85-мм орудием Ф-30. Последнее было специально спроектировано для вооружения этого танка в КБ завода № 92 под руководством В.Г.Грабина и осенью 1940 года успешно прошло испытания в танке Т-28. Из-за сильно возросшей массы танка, достигшей 62 т, на нем установили двигатель В-5 мощностью 700 л.с. 30 января 1941 года КВ-220 поступил на испытания, прекратившиеся уже на следующий день из-за поломки двигателя (11640).</w:t>
      </w:r>
    </w:p>
    <w:p w14:paraId="20D94C3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B4CB36A"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г. у директора завода № 183 Ю.Е. Максарева состоялось совещание. Кроме самого директора и подполковника И.Г. Панова в работе совещания приняли участие и.о. главного конструктора завода № 183 А.А. Морозов, районный инженер ГАБТУ КА на заводе № 183 Д.М. Козырев, военный представитель ГАБТУ КА на заводе № 183 П.Ф. Русаков, а также представитель Главспецмаша НКСМ Н.И. Масальская. </w:t>
      </w:r>
    </w:p>
    <w:p w14:paraId="588BCB83"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Относительно гусениц на совещании было принято следующее решение – до тех пор, пока СТЗ не обеспечит гарантийного срока службы траков, к каждому выпущенному и отправленному в войска танку Т-34 досылать по второму комплекту гусениц. </w:t>
      </w:r>
    </w:p>
    <w:p w14:paraId="060B50E9"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увеличения прочности главного вала коробки передач было решено изготовлять его из стали марки 18ХНВА, как показавшей лучшие результаты на испытаниях. При этом на уже собранных танках Т-34 замену валов производить не планировалось, а в случае появления на валах задиров, завод № 183 был обязан устранять их путем зачистки. </w:t>
      </w:r>
    </w:p>
    <w:p w14:paraId="7B2BB8D5"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Увеличенный до 5 мм люфт, который не должен был превышать 3 мм, предлагалось признать допустимым, внеся в технические условия на сборку и приемку танков Т-34 соответствующие изменения. </w:t>
      </w:r>
    </w:p>
    <w:p w14:paraId="575EBA70"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Дополнительных работ по механической обработке (шлифовке) амбразур в лобовом листе башен для обеспечения максимального угла возвышения пушки Л-11 в 30˚ на совещании было решено не производить. Башни, обеспечивавшие максимальный угол возвышения пушки в 25˚ предлагалось оставить без доработки. </w:t>
      </w:r>
    </w:p>
    <w:p w14:paraId="68234CA7"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Относительно трещин на броневых деталях корпусов и башен танков Т-34 участники совещания постановили – до проведения специальных испытаний обстрелом носового узла корпуса руководствоваться решением, ранее зафиксированным в </w:t>
      </w:r>
      <w:hyperlink r:id="rId65" w:tgtFrame="_blank" w:history="1">
        <w:r w:rsidRPr="00A3026E">
          <w:rPr>
            <w:rStyle w:val="a5"/>
            <w:rFonts w:ascii="Times New Roman" w:hAnsi="Times New Roman"/>
            <w:color w:val="000000" w:themeColor="text1"/>
            <w:sz w:val="16"/>
            <w:szCs w:val="16"/>
          </w:rPr>
          <w:t>протоколе</w:t>
        </w:r>
      </w:hyperlink>
      <w:r w:rsidRPr="00A3026E">
        <w:rPr>
          <w:rFonts w:ascii="Times New Roman" w:hAnsi="Times New Roman"/>
          <w:color w:val="000000" w:themeColor="text1"/>
          <w:sz w:val="16"/>
          <w:szCs w:val="16"/>
        </w:rPr>
        <w:t> от 29 августа 1940 г.: «Допустить исправление трещин высверловкой с последующей их заваркой аустенитовыми электродами».</w:t>
      </w:r>
    </w:p>
    <w:p w14:paraId="2D408713"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Протокол совещания от 5 ноября 1940 г. вместе с материалами, касавшимися выполнения заводом № 183 перечней изменений конструкции и доработок по танку Т-34, в этот же день с </w:t>
      </w:r>
      <w:hyperlink r:id="rId66" w:tgtFrame="_blank" w:history="1">
        <w:r w:rsidRPr="00A3026E">
          <w:rPr>
            <w:rStyle w:val="a5"/>
            <w:rFonts w:ascii="Times New Roman" w:hAnsi="Times New Roman"/>
            <w:color w:val="000000" w:themeColor="text1"/>
            <w:sz w:val="16"/>
            <w:szCs w:val="16"/>
          </w:rPr>
          <w:t>препроводительным письмом № СО6017</w:t>
        </w:r>
      </w:hyperlink>
      <w:r w:rsidRPr="00A3026E">
        <w:rPr>
          <w:rFonts w:ascii="Times New Roman" w:hAnsi="Times New Roman"/>
          <w:color w:val="000000" w:themeColor="text1"/>
          <w:sz w:val="16"/>
          <w:szCs w:val="16"/>
        </w:rPr>
        <w:t> были отправлены в Москву руководству ГАБТУ КА и НКСМ для принятия соответствующих решений  (18206). </w:t>
      </w:r>
    </w:p>
    <w:p w14:paraId="1F8AA6AA" w14:textId="77777777" w:rsidR="00544CFD" w:rsidRPr="00A3026E" w:rsidRDefault="00544CFD" w:rsidP="00A3026E">
      <w:pPr>
        <w:spacing w:after="0" w:line="240" w:lineRule="auto"/>
        <w:jc w:val="both"/>
        <w:rPr>
          <w:rFonts w:ascii="Times New Roman" w:hAnsi="Times New Roman"/>
          <w:color w:val="000000" w:themeColor="text1"/>
          <w:sz w:val="16"/>
          <w:szCs w:val="16"/>
        </w:rPr>
      </w:pPr>
    </w:p>
    <w:p w14:paraId="25289B88"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г.</w:t>
      </w:r>
    </w:p>
    <w:p w14:paraId="21E366BB"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1084 лист 2 </w:t>
      </w:r>
    </w:p>
    <w:p w14:paraId="2BE8E1DC"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202D8B2B"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Ноября 1940 г. </w:t>
      </w:r>
    </w:p>
    <w:p w14:paraId="0E40A6B9"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СО6017 </w:t>
      </w:r>
    </w:p>
    <w:p w14:paraId="6148C03A"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БТУ КА – г. Москва</w:t>
      </w:r>
    </w:p>
    <w:p w14:paraId="3F0353AD"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ГЛАВСПЕЦМАША НКСМ – г. Москва</w:t>
      </w:r>
    </w:p>
    <w:p w14:paraId="7DADEF2F"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РАЙИНЖУ ГАБТУ КА НА ЗАВОДЕ № 183</w:t>
      </w:r>
    </w:p>
    <w:p w14:paraId="14BDC807"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этом препровождаем Вам материалы по выполнению перечня конструктивных изменений по машине Т-34, приложенных к договору на 1940 год и протокол совещания у Директора завода № 183 от 5/XI-40 г. </w:t>
      </w:r>
    </w:p>
    <w:p w14:paraId="4FAF6206"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ПРИЛОЖЕНИЕ: Упомянутое на … листах. </w:t>
      </w:r>
    </w:p>
    <w:p w14:paraId="165063D6"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И.О. Гл. КОНСТРУКТОР подпись 5.XI-40 (МОРОЗОВ)</w:t>
      </w:r>
    </w:p>
    <w:p w14:paraId="2512D28C"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4 экз. </w:t>
      </w:r>
    </w:p>
    <w:p w14:paraId="5E241B7A"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5/XI-40 г. </w:t>
      </w:r>
    </w:p>
    <w:p w14:paraId="2A3EF043"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Морозов </w:t>
      </w:r>
    </w:p>
    <w:p w14:paraId="4B94051E"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5458 </w:t>
      </w:r>
    </w:p>
    <w:p w14:paraId="08953462"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документе пометы: </w:t>
      </w:r>
    </w:p>
    <w:p w14:paraId="5F0736F7"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Подробно разберите весь материал по пунктам и лично с вед. инженером доложите что завод еще не выполнил. подпись Б.М. Коробкова 12.11.40» </w:t>
      </w:r>
    </w:p>
    <w:p w14:paraId="32D497BE"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«Протокол утвержден с изменениями, см. утв. протокол» </w:t>
      </w:r>
    </w:p>
    <w:p w14:paraId="20CE3116"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1084 лист 6 </w:t>
      </w:r>
    </w:p>
    <w:p w14:paraId="213DE366"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5E4981B1"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ПРОТОКОЛ</w:t>
      </w:r>
    </w:p>
    <w:p w14:paraId="450141A3"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Пересмотра выполнения приложенных к договору перечней конструктивных изменений по танку Т-34 и запросов завода.</w:t>
      </w:r>
    </w:p>
    <w:p w14:paraId="5C3FD7FD"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Гусеницы не выдерживают гарантийного срока танка. Поставить вопрос перед НКСМ об улучшении качества выпускаемой гусеницы заводом СТЗ. До получения гусеницы, гарантирующей полный пробег танка, досылать к каждому танку по второму комплекту гусеницы. </w:t>
      </w:r>
    </w:p>
    <w:p w14:paraId="184DF395"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Задиры на валах коробки перемены передач разрешить устранять путем зачистки с обязательной последующей проверкой пробегом. </w:t>
      </w:r>
    </w:p>
    <w:p w14:paraId="01865979"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О допущении надрывов в бронелистах корпуса решить по результатам обстрела бракованного носа. До получения результатов обстрела приемку корпусов производить в соответствии с решением в протоколе от 29/VIII-40 г., подписанного начальником ГАБТУ КА тов. Федоренко и Директором завода 183. </w:t>
      </w:r>
    </w:p>
    <w:p w14:paraId="1A232F3B"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полях помета: «к 1.12.40 г.» </w:t>
      </w:r>
    </w:p>
    <w:p w14:paraId="52D7ADB8"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Внести изменения в Т.У. о расширении люфта башни до 5 мм вместо 3 мм. </w:t>
      </w:r>
    </w:p>
    <w:p w14:paraId="37305588"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полях помета: «Искл.» </w:t>
      </w:r>
    </w:p>
    <w:p w14:paraId="544E10EE"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Главный вал коробки перемены передач изготовлять из стали 18ХНВА. На собранных танках замену валов не производить. </w:t>
      </w:r>
    </w:p>
    <w:p w14:paraId="51EC6216"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Башни, имеющие вырез в амбразуре обеспечивающие подъем системы + 25° не расшлифовывать под + 30°. </w:t>
      </w:r>
    </w:p>
    <w:p w14:paraId="747BC7D8"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полях помета: на полях помета: «об. особо» </w:t>
      </w:r>
    </w:p>
    <w:p w14:paraId="4BAEB236"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Испытание крышек бортовой передачи, изготовленных с отступлением в химанализе, производить обстрелом по нормам, установленным для литой брони 35 мм. </w:t>
      </w:r>
    </w:p>
    <w:p w14:paraId="07F7AE7E"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полях помета: «Искл.» </w:t>
      </w:r>
    </w:p>
    <w:p w14:paraId="43EDC854"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Основания смотровых приборов литой башни должны быть не вварными, а отлиты заодно с корпусом башни. </w:t>
      </w:r>
    </w:p>
    <w:p w14:paraId="142B0CF8"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Вместо металлических зеркал в смотровых приборах устанавливать зеркальные триплексы. </w:t>
      </w:r>
    </w:p>
    <w:p w14:paraId="529D4063"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 изменения в протоколе и предлагаемом перечне доработок вводятся по утверждению Нач. ГАБТУ КА и Нач. Главспецмаша НКСМ. </w:t>
      </w:r>
    </w:p>
    <w:p w14:paraId="75BBFBF0"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ЗАВОДА подпись (МАКСАРЕВ)</w:t>
      </w:r>
    </w:p>
    <w:p w14:paraId="47BD2E8F"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И.О. ГЛАВНЫЙ КОНСТРУКТОР подпись 5.XI.40 (МОРОЗОВ)</w:t>
      </w:r>
    </w:p>
    <w:p w14:paraId="3FAFEDE7"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ПРЕДСТАВИТЕЛИ ГАБТУ КА подпись (ПАНОВ)</w:t>
      </w:r>
    </w:p>
    <w:p w14:paraId="5B469B78"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подпись (КОЗЫРЕВ)</w:t>
      </w:r>
    </w:p>
    <w:p w14:paraId="3EC741A8"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подпись (РУСАКОВ)</w:t>
      </w:r>
    </w:p>
    <w:p w14:paraId="7D2E958E"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ПРЕДСТАВИТЕЛЬ ГЛАВСПЕЦМАША подпись (МАСАЛЬСКАЯ)</w:t>
      </w:r>
    </w:p>
    <w:p w14:paraId="7F2C6C62"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4 экз. </w:t>
      </w:r>
    </w:p>
    <w:p w14:paraId="6646D8EC"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5/XI-40 г. № 5457 </w:t>
      </w:r>
    </w:p>
    <w:p w14:paraId="46FCB02C"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1084 лист 3 – 5 </w:t>
      </w:r>
    </w:p>
    <w:p w14:paraId="66FF6B0A"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6FBA3D6A"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 ПЕРЕЧНЯ КОНСТРУКТИВНЫХ ДОРАБОТОК И УЛУЧШЕНИЙ ПО МАШИНЕ "34",</w:t>
      </w:r>
    </w:p>
    <w:p w14:paraId="56D30318"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ПРЕДУСМОТРЕННЫХ ВОЙСКОВОЙ КОМИССИЕЙ.</w:t>
      </w:r>
    </w:p>
    <w:p w14:paraId="782A85A9"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ПРИЛОЖЕНИЕ № 5 К ДОГОВОРУ. </w:t>
      </w:r>
    </w:p>
    <w:p w14:paraId="12568B59"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ЗАВОДА подпись (МАКСАРЕВ)</w:t>
      </w:r>
    </w:p>
    <w:p w14:paraId="1D2C9EFD"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ГАБТУ КА ПОДПОЛКОВНИК подпись 5/XI (ПАНОВ)</w:t>
      </w:r>
    </w:p>
    <w:p w14:paraId="53DC1897"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РАЙИНЖ ГАБТУ КА подпись (КОЗЫРЕВ)</w:t>
      </w:r>
    </w:p>
    <w:p w14:paraId="3DA83A0A"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КАПИТАН подпись (РУСАКОВ)</w:t>
      </w:r>
    </w:p>
    <w:p w14:paraId="79C75BA9"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ГЛАВСПЕЦМАША подпись (МАСАЛЬСКАЯ)</w:t>
      </w:r>
    </w:p>
    <w:p w14:paraId="70144DEA"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5 экз. </w:t>
      </w:r>
    </w:p>
    <w:p w14:paraId="55FDFD06"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Морозов </w:t>
      </w:r>
    </w:p>
    <w:p w14:paraId="0BE0A221"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5450 </w:t>
      </w:r>
    </w:p>
    <w:p w14:paraId="43B88263"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5/XI-40 г. </w:t>
      </w:r>
    </w:p>
    <w:p w14:paraId="186EE4DD"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1084 лист 7 – 8 </w:t>
      </w:r>
    </w:p>
    <w:p w14:paraId="714E9E0A"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7011E8D4"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 перечня вводимых дополнительных улучшений по машине Т-34 по требованию АБТУ КА</w:t>
      </w:r>
    </w:p>
    <w:p w14:paraId="7A1E0F50"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Приложение № 8 к договору. </w:t>
      </w:r>
    </w:p>
    <w:p w14:paraId="6E3E6B78"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5 экз. </w:t>
      </w:r>
    </w:p>
    <w:p w14:paraId="6BADBAB9"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5451 </w:t>
      </w:r>
    </w:p>
    <w:p w14:paraId="02E14D36"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1084 лист 10 – 13 </w:t>
      </w:r>
    </w:p>
    <w:p w14:paraId="185BC9CA"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14591491"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 ПЕРЕЧНЯ КОНСТРУКТИВНЫХ ИЗМЕНЕНИЙ И ДОРАБОТОК НА ТАНКЕ, ПОДЛЕЖАЩИХ УСТРАНЕНИЮ В 1940 г.</w:t>
      </w:r>
    </w:p>
    <w:p w14:paraId="3876C269"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СОСТАВЛЕН 29/VIII-1940 ГОДА.</w:t>
      </w:r>
    </w:p>
    <w:p w14:paraId="3F0D17C7"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СОСТОЯНИЕ НА 30/Х-1940 г. </w:t>
      </w:r>
    </w:p>
    <w:p w14:paraId="7455FAC4"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ЗАВОДА подпись (МАКСАРЕВ)</w:t>
      </w:r>
    </w:p>
    <w:p w14:paraId="21822A5D"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ГАБТУ КА ПОДПОЛКОВНИК подпись 5/XI (ПАНОВ)</w:t>
      </w:r>
    </w:p>
    <w:p w14:paraId="19A000B0"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РАЙИНЖ ГАБТУ КА подпись 5/XI (КОЗЫРЕВ)</w:t>
      </w:r>
    </w:p>
    <w:p w14:paraId="2A471DAE"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КАПИТАН подпись (РУСАКОВ)</w:t>
      </w:r>
    </w:p>
    <w:p w14:paraId="054A6977"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"ГЛАВСПЕЦМАША" подпись (МАСАЛЬСКАЯ)</w:t>
      </w:r>
    </w:p>
    <w:p w14:paraId="12BCB820"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5 экз. </w:t>
      </w:r>
    </w:p>
    <w:p w14:paraId="6CF05872"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Исп. Морозов </w:t>
      </w:r>
    </w:p>
    <w:p w14:paraId="5B7E0FCA"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5450 </w:t>
      </w:r>
    </w:p>
    <w:p w14:paraId="0E309453"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5/XI-40 г. </w:t>
      </w:r>
    </w:p>
    <w:p w14:paraId="78B6E2C1"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1084 лист 14, 9 </w:t>
      </w:r>
    </w:p>
    <w:p w14:paraId="1B260592"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1CB06478"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 ПЕРЕЧНЯ ДОПОЛНИТЕЛЬНО ВВОДИМОГО В ИНДИВИДУАЛЬНЫЙ КОМПЛЕКТ ВОЗИМОГО НА МАШИНЕ "Т-34" "ЗИП"</w:t>
      </w:r>
    </w:p>
    <w:p w14:paraId="360B0C70"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ВЫПУСК НЕОБХОДИМОЙ ДОКУМЕНТАЦИИ НА 1940.</w:t>
      </w:r>
    </w:p>
    <w:p w14:paraId="60E8EB0B"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ПРИЛОЖЕНИЕ № 9 К ДОГОВОРУ НА 1940 г. </w:t>
      </w:r>
    </w:p>
    <w:p w14:paraId="628DF456"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ЗАВОДА подпись (МАКСАРЕВ)</w:t>
      </w:r>
    </w:p>
    <w:p w14:paraId="7AE3844B"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ГАБТУ КА ПОДПОЛКОВНИК подпись (ПАНОВ)</w:t>
      </w:r>
    </w:p>
    <w:p w14:paraId="05573786"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РАЙИНЖ ГАБТУ КА подпись 5/XI (КОЗЫРЕВ)</w:t>
      </w:r>
    </w:p>
    <w:p w14:paraId="7DF9AFF8"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КАПИТАН подпись (РУСАКОВ)</w:t>
      </w:r>
    </w:p>
    <w:p w14:paraId="6EE0C84F"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"ГЛАВСПЕЦМАША" подпись (МАСАЛЬСКАЯ)</w:t>
      </w:r>
    </w:p>
    <w:p w14:paraId="40716B6C"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5 экз. </w:t>
      </w:r>
    </w:p>
    <w:p w14:paraId="5A32D74A"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Морозов </w:t>
      </w:r>
    </w:p>
    <w:p w14:paraId="6B7A0F8A"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5450 </w:t>
      </w:r>
    </w:p>
    <w:p w14:paraId="44B32349" w14:textId="77777777" w:rsidR="00544CFD" w:rsidRPr="00A3026E" w:rsidRDefault="00544C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5/XI-40 г. (18218).</w:t>
      </w:r>
    </w:p>
    <w:p w14:paraId="275D6EA1" w14:textId="77777777" w:rsidR="00544CFD" w:rsidRPr="00A3026E" w:rsidRDefault="00544CFD" w:rsidP="00A3026E">
      <w:pPr>
        <w:spacing w:after="0" w:line="240" w:lineRule="auto"/>
        <w:jc w:val="both"/>
        <w:rPr>
          <w:rFonts w:ascii="Times New Roman" w:hAnsi="Times New Roman"/>
          <w:color w:val="000000" w:themeColor="text1"/>
          <w:sz w:val="16"/>
          <w:szCs w:val="16"/>
        </w:rPr>
      </w:pPr>
    </w:p>
    <w:p w14:paraId="4669D86D" w14:textId="77777777" w:rsidR="00616643" w:rsidRPr="00A3026E" w:rsidRDefault="00616643" w:rsidP="00A3026E">
      <w:pPr>
        <w:shd w:val="clear" w:color="auto" w:fill="FFFFFF"/>
        <w:spacing w:after="0" w:line="240" w:lineRule="auto"/>
        <w:jc w:val="both"/>
        <w:rPr>
          <w:rFonts w:ascii="Times New Roman" w:eastAsia="Times New Roman" w:hAnsi="Times New Roman"/>
          <w:color w:val="000000" w:themeColor="text1"/>
          <w:sz w:val="16"/>
          <w:szCs w:val="16"/>
        </w:rPr>
      </w:pPr>
      <w:r w:rsidRPr="00A3026E">
        <w:rPr>
          <w:rFonts w:ascii="Times New Roman" w:eastAsia="Times New Roman" w:hAnsi="Times New Roman"/>
          <w:color w:val="000000" w:themeColor="text1"/>
          <w:sz w:val="16"/>
          <w:szCs w:val="16"/>
        </w:rPr>
        <w:t>5 ноября 1940 года чертёж корпуса САУ «212» был окончательно утверждён Ж. Я. Котиным. Можно заметить, что для стрелка-радиста места в отделении управления не было предусмотрено. Внешне установка «212» в значительной степени напоминала экранированную СУ-14. Боевое отделение разместили в кормовой части корпуса, моторное отделение по центру, а отделение управления впереди. В носовой части, к слову, место нашлось лишь для механика-водителя, которого сместили влево. Иногда по аналогии с КВ-1, при реконструкции «212» курсовой пулемёт ставят в лобовой лист корпуса. При такой вольной интерпретации облика установки следует учитывать, что стрелку-радисту тяжело работать, когда через его спину проходит вал двигателя.</w:t>
      </w:r>
    </w:p>
    <w:p w14:paraId="65A0A171" w14:textId="77777777" w:rsidR="00616643" w:rsidRPr="00A3026E" w:rsidRDefault="00616643" w:rsidP="00A3026E">
      <w:pPr>
        <w:shd w:val="clear" w:color="auto" w:fill="FFFFFF"/>
        <w:spacing w:after="0" w:line="240" w:lineRule="auto"/>
        <w:jc w:val="both"/>
        <w:rPr>
          <w:rFonts w:ascii="Times New Roman" w:eastAsia="Times New Roman" w:hAnsi="Times New Roman"/>
          <w:color w:val="000000" w:themeColor="text1"/>
          <w:sz w:val="16"/>
          <w:szCs w:val="16"/>
        </w:rPr>
      </w:pPr>
      <w:r w:rsidRPr="00A3026E">
        <w:rPr>
          <w:rFonts w:ascii="Times New Roman" w:eastAsia="Times New Roman" w:hAnsi="Times New Roman"/>
          <w:color w:val="000000" w:themeColor="text1"/>
          <w:sz w:val="16"/>
          <w:szCs w:val="16"/>
        </w:rPr>
        <w:t>Несмотря на то, что из-за технического задания проектируемая САУ получалась довольно крупной, на фоне предшественников, особенно СУ-14, «212» выглядела заметно меньше. Ощущение громоздкости придавала большая рубка в кормовой части, хотя в реальности «212» была менее чем на полметра длиннее и незначительно выше Т-220, который выступал для неё базой. При кормовом размещении боевого отделения и таком большом орудии, как БР-2, сделать рубку меньшей коллектив СКБ-4 не смог физически. В качестве силовой установки для «212» предполагалось использовать 850-сильный двигатель В-2СН, представлявший собой В-2 с установкой механического нагнетателя от авиационного мотора АМ-38. Этот же двигатель собирались ставить и на Т-220 (15739).</w:t>
      </w:r>
    </w:p>
    <w:p w14:paraId="5E5E4FB4" w14:textId="77777777" w:rsidR="00616643" w:rsidRPr="00A3026E" w:rsidRDefault="00616643" w:rsidP="00A3026E">
      <w:pPr>
        <w:shd w:val="clear" w:color="auto" w:fill="FFFFFF"/>
        <w:spacing w:after="0" w:line="240" w:lineRule="auto"/>
        <w:jc w:val="both"/>
        <w:rPr>
          <w:rFonts w:ascii="Times New Roman" w:eastAsia="Times New Roman" w:hAnsi="Times New Roman"/>
          <w:color w:val="000000" w:themeColor="text1"/>
          <w:sz w:val="16"/>
          <w:szCs w:val="16"/>
        </w:rPr>
      </w:pPr>
    </w:p>
    <w:p w14:paraId="63249C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г. на Кировском заводе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был построен опытный Т-150 с броней 90 мм, а 5.12.1940 г.- Т-220 с броней 100 мм. В соответствии с пост. СНК № 548-232сс от 15.03.1941 г. заводу поручено с 06.1940 г. начать серийный выпуск Т-150 (КВ-3) (11982).</w:t>
      </w:r>
    </w:p>
    <w:p w14:paraId="0E96F09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97C39D"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0C384F2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74255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Протокол № 22. Решения ПБ за 29 октября - 21 ноября 1940 г.</w:t>
      </w:r>
    </w:p>
    <w:p w14:paraId="76E36F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05.11,40</w:t>
      </w:r>
      <w:r w:rsidRPr="00A3026E">
        <w:rPr>
          <w:rFonts w:ascii="Times New Roman" w:hAnsi="Times New Roman"/>
          <w:color w:val="000000" w:themeColor="text1"/>
          <w:sz w:val="16"/>
          <w:szCs w:val="16"/>
        </w:rPr>
        <w:t xml:space="preserve"> г</w:t>
      </w:r>
      <w:r w:rsidRPr="00A3026E">
        <w:rPr>
          <w:rFonts w:ascii="Times New Roman" w:hAnsi="Times New Roman"/>
          <w:color w:val="000000" w:themeColor="text1"/>
          <w:sz w:val="16"/>
          <w:szCs w:val="16"/>
          <w:u w:val="single"/>
        </w:rPr>
        <w:t>.</w:t>
      </w:r>
    </w:p>
    <w:p w14:paraId="0E42C2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89. Вопрос НКО. Об упразднении Военного Совета при НКО СССР*. П. 92. О комплектовании школ и училищ летчиков ВВС КА*.</w:t>
      </w:r>
    </w:p>
    <w:p w14:paraId="321AB0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93. Об организации пулеметно-артиллерийской моторизованной бригады и воздушно-десантной бригады*.</w:t>
      </w:r>
    </w:p>
    <w:p w14:paraId="44EE57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94. О военно-воздушных силах КА (11773).</w:t>
      </w:r>
    </w:p>
    <w:p w14:paraId="0692570D" w14:textId="77777777" w:rsidR="00C66762" w:rsidRPr="00A3026E" w:rsidRDefault="00C66762" w:rsidP="00A3026E">
      <w:pPr>
        <w:shd w:val="clear" w:color="auto" w:fill="FFFFFF"/>
        <w:spacing w:after="0" w:line="240" w:lineRule="auto"/>
        <w:jc w:val="both"/>
        <w:rPr>
          <w:rFonts w:ascii="Times New Roman" w:hAnsi="Times New Roman"/>
          <w:bCs/>
          <w:color w:val="000000" w:themeColor="text1"/>
          <w:sz w:val="16"/>
          <w:szCs w:val="16"/>
        </w:rPr>
      </w:pPr>
    </w:p>
    <w:p w14:paraId="37224612"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г. вышло ПОСТАНОВЛЕНИЕ СОВЕТА НАРОДНЫХ КОМИССАРОВ СОЮЗА ССР "О ВОЕННО-ВОЗДУШНЫХ СИЛАХ КРАСНОЙ АРМИИ" № 2265-977сс</w:t>
      </w:r>
    </w:p>
    <w:p w14:paraId="38E6EA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 секретно </w:t>
      </w:r>
    </w:p>
    <w:p w14:paraId="0DCA47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(Особая папка) </w:t>
      </w:r>
    </w:p>
    <w:p w14:paraId="2431B6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Совет Народных Комиссаров Союза ССР ПОСТАНОВЛЯЕТ:</w:t>
      </w:r>
    </w:p>
    <w:p w14:paraId="223DBD52"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По дальнебомбардировочной авиации</w:t>
      </w:r>
    </w:p>
    <w:p w14:paraId="3594C2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 целях повышения специальной подготовки дальнебомбардировочной авиации, соответствующей возлагаемым на нее задачам - дальнебомбардировочные авиационные полки, вооруженные самолетами ТБЗ, ТБ7 и ДБЗ, выделить в самостоятельные дальнебомбардировочные дивизии в составе трех дальнебомбардировочных авиационных полков.</w:t>
      </w:r>
    </w:p>
    <w:p w14:paraId="26E8A0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Дальнебомбардировочные авиационные дивизии именовать: авиационными дивизиями Дальнего Действия (ДД).</w:t>
      </w:r>
    </w:p>
    <w:p w14:paraId="45592B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Авиационные дивизии ДД в учебно-строевом отношении подчинить Начальнику Главного управления ВВС Красной Армии, а в административно-хозяйственном отношении - Командующим войсками военных округов, на территории которых они будут дислоцированы.</w:t>
      </w:r>
    </w:p>
    <w:p w14:paraId="08EA26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Для руководства боевой и специальной подготовкой авиадивизий ДД ввести должность Помощника Начальника Главного управления ВВС Красной Армии по дальнебомбардировочной авиации и образовать в составе ГУВВС Управление дальнебомбардировочной авиации.</w:t>
      </w:r>
    </w:p>
    <w:p w14:paraId="19CE5D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Помощником Начальника Главного управления ВВС Красной Армии по дальнебомбардировочной авиации назначить генерал-лейтенанта авиации тов.Проскурова.</w:t>
      </w:r>
    </w:p>
    <w:p w14:paraId="1CE50B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5.Утвердить следующий состав дальнебомбардировочной авиации: </w:t>
      </w:r>
    </w:p>
    <w:p w14:paraId="19E9BE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40-я авиадивизия ДД в составе 53, 204 и 200 авиаполков ДБЗ с дислокацией - Кречевицы, Крестцы; </w:t>
      </w:r>
    </w:p>
    <w:p w14:paraId="373814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51-я авиадивизия ДД в составе 1 и 7-го авиаполков ТБЗ и 203 авиаполка ДБЗ с дислокацией - Сольцы, Великие Луки, Едрово; </w:t>
      </w:r>
    </w:p>
    <w:p w14:paraId="7D72A1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42-я авиадивизия ДД в составе: 3-го авиаполка ТБЗ, 98 и 212 авиаполков ДБЗ с дислокацией - Шаталово - Пуховичи; </w:t>
      </w:r>
    </w:p>
    <w:p w14:paraId="31BD04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35-я авиадивизия ДД в составе: 96, 207 и 219 авиаполков ДБЗ с дислокацией - Боровская, Брянск; </w:t>
      </w:r>
    </w:p>
    <w:p w14:paraId="3B6B5F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52-я авиадивизия ДД в составе: 100, 223 и 221 авиаполков ДБЗ с дислокацией - Орел, Щигры; </w:t>
      </w:r>
    </w:p>
    <w:p w14:paraId="212E90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48-я авиадивизия ДД в составе: 51, 220 и 222 авиаполков ДБЗ с дислокацией - Курск, Обоянь; </w:t>
      </w:r>
    </w:p>
    <w:p w14:paraId="127B60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ж) 18-я авиадивизия ДД в составе: 14 авиаполка ТБЗ, 90 и 93 авиаполков ДБЗ с дислокацией - Житомир, Борисполь; </w:t>
      </w:r>
    </w:p>
    <w:p w14:paraId="223A2D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 22-я авиадивизия ДД в составе: 8, 11 и 21 авиаполков ДБЗ с дислокацией - Запорожье, Саки; </w:t>
      </w:r>
    </w:p>
    <w:p w14:paraId="2CE83D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 50-я авиадивизия ДД в составе: 81, 228, 229 и 231 авиаполков ДБЗ с дислокацией - Ростов, Новочеркасск; </w:t>
      </w:r>
    </w:p>
    <w:p w14:paraId="6489A5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27-я авиадивизия ДД в составе: 6, 42, 83, 12 авиаполков ДБЗ с дислокацией - Кировабад, Евлах, Базиани, Кутаиси; </w:t>
      </w:r>
    </w:p>
    <w:p w14:paraId="0F8F2E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 33-я авиадивизия ДД в составе 10 и 14 авиаполков ДБЗ, третий полк дивизии сформировать в 1941 году. Дислокация - Воздвиженка; </w:t>
      </w:r>
    </w:p>
    <w:p w14:paraId="02E6D2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 53-я авиадивизия в составе; 251 авиаполк ТБЗ, 139 и 22 авиаполков ДБЗ с дислокацией - Хабаровск, Куйбышевка; </w:t>
      </w:r>
    </w:p>
    <w:p w14:paraId="6C37F5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 30-я авиадивизия в составе: 250 авиаполк ТБЗ, 4-й авиаполк ДБЗ и третий полк сформировать в 1941 году с дислокацией - Уккурей, Сохондо; </w:t>
      </w:r>
    </w:p>
    <w:p w14:paraId="39C734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7-й авиаполк ДБЗ, дислоцированный в г.Митава, иметь отдельным полком, не входящим в состав дивизии.</w:t>
      </w:r>
    </w:p>
    <w:p w14:paraId="2A3A89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В целях объединения руководства авиадивизиями ДД, дислоцированными в одном направлении, сформировать управления авиационных корпусов: </w:t>
      </w:r>
    </w:p>
    <w:p w14:paraId="22A8E1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Управление 1 авиакорпуса - Едрово, в составе 40 и 51 авиадивизий ДД и 7 авиаполка ДД; </w:t>
      </w:r>
    </w:p>
    <w:p w14:paraId="43DA69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Управление 2 авиакорпуса - Орел, в составе 48 и 52 авиадивизий ДД; </w:t>
      </w:r>
    </w:p>
    <w:p w14:paraId="2D04AC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Управление 3 авиакорпуса - Шаталово, в составе 35 и 42 авиадивизий ДД; </w:t>
      </w:r>
    </w:p>
    <w:p w14:paraId="275A3B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Управление 4 авиакорпуса - Запорожье, в составе 22 и 50 авиадивизий ДД; </w:t>
      </w:r>
    </w:p>
    <w:p w14:paraId="4BA40D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Управление 5 авиакорпуса - Хабаровск, в составе 33 и 53 авиадивизий ДД.</w:t>
      </w:r>
    </w:p>
    <w:p w14:paraId="6F9CCE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Для подготовки к совместным действиям дальнебомбардировочной авиации с истребительной авиацией сопровождения - иметь в составе каждого авиационного корпуса ДД по одной авиадивизии двухмоторных истребителей в составе трех истребительных авиаполков каждая.</w:t>
      </w:r>
    </w:p>
    <w:p w14:paraId="6DB1A3CD"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По развитию Военно-Воздушных Сил Красной Армии</w:t>
      </w:r>
    </w:p>
    <w:p w14:paraId="52E5F1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 составе Военно-Воздушных Сил Красной Армии к концу 1941 года иметь в строю бомбардировочной и истребительной авиации (без штурмовой, разведывательной, войсковой и вспомогательной авиации) в количестве 20 000 самолетов.</w:t>
      </w:r>
    </w:p>
    <w:p w14:paraId="5A6D8E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 Установить в составе бомбардировочной и истребительной авиации, исключая штурмовую, разведывательную и войсковую авиацию - 45% бомбардировочной авиации (дальнебомбардировочной и ближнебомбардировочной) и 55% истребительной (одномоторной и двухмоторной).</w:t>
      </w:r>
    </w:p>
    <w:p w14:paraId="380041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В этих целях для доведения бомбардировочной и истребительной авиации до указанного количества самолетов в строю, Наркомату Обороны сформировать в 1941 году следующее количество авиаполков с базами: </w:t>
      </w:r>
    </w:p>
    <w:p w14:paraId="7CEF00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дальнебомбардировочных авиационных полков, предусмотренных 1 разделом настоящего Постановления - 2 авиаполка; </w:t>
      </w:r>
    </w:p>
    <w:p w14:paraId="77FC16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ближнебомбардировочных авиационных полков - 23 авиаполка; </w:t>
      </w:r>
    </w:p>
    <w:p w14:paraId="1D0B01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двухмоторных истребительных авиационных полков, для авиакорпусов ДД, согласно 1 раздела настоящего Постановления и для прикрытия пунктов ПВО Москвы, Ленинграда и Баку, - всего - 22 авиаполка; </w:t>
      </w:r>
    </w:p>
    <w:p w14:paraId="4A3D46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одномоторных истребительных авиационных полков - 53 авиаполка.</w:t>
      </w:r>
    </w:p>
    <w:p w14:paraId="2BD30F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- 100 авиаполков </w:t>
      </w:r>
    </w:p>
    <w:p w14:paraId="5B111A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вновь организуемых авиационных полков сформировать 25 управлений авиадивизий.</w:t>
      </w:r>
    </w:p>
    <w:p w14:paraId="3A2675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Для усиления штурмовой авиации сверх бомбардировочных и истребительных авиаполков сформировать в 1941 году 4 штурмовых авиационных полка.</w:t>
      </w:r>
    </w:p>
    <w:p w14:paraId="7078CB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Установить следующий состав Военно-Воздушных Сил к концу 1941 года: </w:t>
      </w:r>
    </w:p>
    <w:p w14:paraId="652EB9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фронтовая авиация (вся) </w:t>
      </w:r>
    </w:p>
    <w:p w14:paraId="4C9DE1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тяжелых дальнебомбардировочных полков (ТБЗ, ТБ7, ДБ240) - 306 самолетов </w:t>
      </w:r>
    </w:p>
    <w:p w14:paraId="5FD73F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36 дальнебомбардировочных полков (ДБЗ, ДБ240) - 2.196 самолетов </w:t>
      </w:r>
    </w:p>
    <w:p w14:paraId="5FA7FC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102 ближнебомбардировочных полка (СБ, ББ-22 и ББ-1) - 6.222 самолетов </w:t>
      </w:r>
    </w:p>
    <w:p w14:paraId="4A8144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смешанных полка (СБ и И16) - 165 самолетов </w:t>
      </w:r>
    </w:p>
    <w:p w14:paraId="5C3478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22 двухмоторных истребительных полка - 1.386 самолетов </w:t>
      </w:r>
    </w:p>
    <w:p w14:paraId="640E86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149 одномоторных истребительных полков - 9.387 самолетов </w:t>
      </w:r>
    </w:p>
    <w:p w14:paraId="1C52E3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 штурмовых авиаполков - 945 самолетов </w:t>
      </w:r>
    </w:p>
    <w:p w14:paraId="32F59C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разведывательных авиаполков - 610 самолетов </w:t>
      </w:r>
    </w:p>
    <w:p w14:paraId="137517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62 корпусные эскадрильи (связь, корректировка, ближняя разведка) - 954 самолета </w:t>
      </w:r>
    </w:p>
    <w:p w14:paraId="0E1484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22.171 самолет.</w:t>
      </w:r>
    </w:p>
    <w:p w14:paraId="441FFFBA"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Подготовка летно-технического состава</w:t>
      </w:r>
    </w:p>
    <w:p w14:paraId="1AA257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Программой подготовки летно-технического состава предусмотреть доведение к концу 1941 года до 60.000 летчиков в строю, с соответствующим количеством, по установленному соотношению видов авиации, - летнабов, воздушных стрелков, технического состава и младших авиаспециалистов, обеспечивающих 60.000 экипажей и обслуживание 32.433 самолетов наземным техническим составом.</w:t>
      </w:r>
    </w:p>
    <w:p w14:paraId="610AE1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В этих целях утвердить подготовку в 1941 году следующего количества летно-технического состава: </w:t>
      </w:r>
    </w:p>
    <w:p w14:paraId="798B91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летчиков..................... 32.500 чел.</w:t>
      </w:r>
    </w:p>
    <w:p w14:paraId="7A4E54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летнабов..................... 15.000 чел.</w:t>
      </w:r>
    </w:p>
    <w:p w14:paraId="2A1AFF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авиатехников и авиамехаников... 16.000 чел.</w:t>
      </w:r>
    </w:p>
    <w:p w14:paraId="68BF07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воздушных стрелков.............. 16.000 чел.</w:t>
      </w:r>
    </w:p>
    <w:p w14:paraId="037E5E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младших авиаспециалистов........ 22.000 чел.</w:t>
      </w:r>
    </w:p>
    <w:p w14:paraId="21FD54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Для выполнения программы подготовки летно-технического состава утвердить следующие мероприятия: </w:t>
      </w:r>
    </w:p>
    <w:p w14:paraId="0EB114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увеличение пропускной способности существующих авиационных училищ и школ на..... 7.680 чел.</w:t>
      </w:r>
    </w:p>
    <w:p w14:paraId="3A7694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формирование десяти новых авиационных училищ общей емкостью переменного состава 7.920 "-" </w:t>
      </w:r>
    </w:p>
    <w:p w14:paraId="7222F8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формирование восьми новых авиационных школ стрелков-бомбардиров, общей емкостью переменного состава.............. 7.500 "-" </w:t>
      </w:r>
    </w:p>
    <w:p w14:paraId="42A713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формирование восьми новых авиатехнических школ с общей численностью переменного состава................................ 7.250 "-" </w:t>
      </w:r>
    </w:p>
    <w:p w14:paraId="1EA863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увеличение существующих школ воздушных стрелков на 750 курсантов и формирование семи новых школ воздушных стрелков, с общей численностью переменного состава....... 3.050 "-" </w:t>
      </w:r>
    </w:p>
    <w:p w14:paraId="3D077D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увеличение существующих окружных школ младших авиаспециалистов на............. 5.250 "-" </w:t>
      </w:r>
    </w:p>
    <w:p w14:paraId="63773B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Обязать Начальника Главного Управления Гражданского Воздушного Флота передать Наркомату Обороны со всем личным составом, с квартирным, казарменным фондами и имуществом Тамбовское училище летчиков и Московский техникум спецслужб Главного Управления Гражданского Воздушного Флота.</w:t>
      </w:r>
    </w:p>
    <w:p w14:paraId="70222E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Обязать Центральный Совет Осоавиахима передать Народному Комиссариату Обороны со всем личным составом, с квартирным, казарменным фондами и имуществом Херсонскую, Ульяновскую и Астафьевскую школы подготовки инструкторов летчиков Осоавиахима.</w:t>
      </w:r>
    </w:p>
    <w:p w14:paraId="6A5B11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Обязать Совнаркомы союзных республик по представлению НКО СССР выделить жилой и складской фонды для размещения новых авиачастей и авиационных училищ и отвести земельные участки для постройки аэродромов и авиаполигонов.</w:t>
      </w:r>
    </w:p>
    <w:p w14:paraId="42C838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Обязать НКО в месячный срок разработать и представить в Совнарком СССР развернутый план потребности в жилой и складской площадях и отводе необходимых земельных участков для аэродромов и авиаполигонов.</w:t>
      </w:r>
    </w:p>
    <w:p w14:paraId="163226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Для устройства, приспособления и обзаведения новых авиационных училищ и школ Наркомфину СССР отпустить в 1940 г. 17.500 тыс. рублей и на учебные расходы для новых и расширяемых училищ - 15.300 тыс.рублей, всего - 32.800 тыс. рублей.</w:t>
      </w:r>
    </w:p>
    <w:p w14:paraId="1CF9E4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Для обеспечения подготовки летно-технического состава в новых и расширяющихся военных училищах и школах, отпустить Наркомату Обороны сверх планового отпуска в 1941 году: </w:t>
      </w:r>
    </w:p>
    <w:p w14:paraId="39AF35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авиагорючего 112 099 тонн </w:t>
      </w:r>
    </w:p>
    <w:p w14:paraId="119C65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авиамасел 9 282 -"- </w:t>
      </w:r>
    </w:p>
    <w:p w14:paraId="37E5FE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автогорючего 13.678 -"- </w:t>
      </w:r>
    </w:p>
    <w:p w14:paraId="0D70C0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автомашин транспортных 1.483 -"- </w:t>
      </w:r>
    </w:p>
    <w:p w14:paraId="39A547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специальных машин 1.494 -"- </w:t>
      </w:r>
    </w:p>
    <w:p w14:paraId="14BD23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тракторов 362 -"- </w:t>
      </w:r>
    </w:p>
    <w:p w14:paraId="370BA8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бензо-маслотары 33.284 м. куб.</w:t>
      </w:r>
    </w:p>
    <w:p w14:paraId="555B9D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Обязать Наркомат Авиационной Промышленности подать Наркомату Обороны до 1 января 1941 года - 600 кабин СБ двойного управления и 400 самолетов УТИ-4.</w:t>
      </w:r>
    </w:p>
    <w:p w14:paraId="36B913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НКО в плане заказов на 1941 год предусмотреть увеличение заказов на моторы, запчасти, автотранспорт, спецмашины, строительные механизмы, спецоборудование, вооружение, материалы и инструмент, необходимые для обеспечения оргмероприятий ВВС 1941 года.</w:t>
      </w:r>
    </w:p>
    <w:p w14:paraId="7534B6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Наркомату Строительных Материалов в 1941 году изготовить для НКО (ВВС) - 103 разборных стандартных домика для обеспечения работы на дополнительных школьных аэродромах.</w:t>
      </w:r>
    </w:p>
    <w:p w14:paraId="0250FB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Для обеспечения постройки дополнительной сети оперативных аэродромов и для обеспечения частей ВВС разрешить НКО к 1 марта 1941 года сформировать 16 инженерно-аэродромных батальонов и 53 авиатехнические роты.</w:t>
      </w:r>
    </w:p>
    <w:p w14:paraId="77BD7F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Наркому Обороны к 1 января 1941 года представить в Совнарком СССР предложения по содержанию резерва летного состава, образующегося после выполнения программы подготовки 1941 г., и поддержанию его летной квалификации.</w:t>
      </w:r>
    </w:p>
    <w:p w14:paraId="3BC1781D" w14:textId="77777777" w:rsidR="00616643" w:rsidRPr="00A3026E" w:rsidRDefault="0061664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Увеличение численности Красной Армии</w:t>
      </w:r>
    </w:p>
    <w:p w14:paraId="0829CA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Увеличить численность Военно-Воздушных Сил Красной Армии на 173.484 человека, из них: </w:t>
      </w:r>
    </w:p>
    <w:p w14:paraId="464B56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на доведение количества боевых самолетов до 20.000 самолетов 88.760 человек; </w:t>
      </w:r>
    </w:p>
    <w:p w14:paraId="533A26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на расширение существующих и формирование новых авиационных училищ 81.878 человек; </w:t>
      </w:r>
    </w:p>
    <w:p w14:paraId="78D1CF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 формирование инженерно-аэродромных батальонов для подготовки аэродромной сети 7.846 человек.</w:t>
      </w:r>
    </w:p>
    <w:p w14:paraId="2420D5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Общую численность Военно-Воздушных Сил Красной Армии иметь - 542.746 человек; </w:t>
      </w:r>
    </w:p>
    <w:p w14:paraId="1AB755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Штатную численность Красной Армии с проведением указанных выше мероприятий с 1 января 1941 года установить - 3.753.189 человек.</w:t>
      </w:r>
    </w:p>
    <w:p w14:paraId="06622B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Зам. Председателя Совета Народных Комиссаров Союза ССР А.Микоян </w:t>
      </w:r>
    </w:p>
    <w:p w14:paraId="7F372B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Управляющий делами Совета Народных Комиссаров СССР М.Хломов </w:t>
      </w:r>
    </w:p>
    <w:p w14:paraId="027A26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ПОПРАВКА</w:t>
      </w:r>
    </w:p>
    <w:p w14:paraId="232796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Постановлению Совета Народных Комиссаров Союза ССР № 2265-977сс от 5 ноября 1940 г.</w:t>
      </w:r>
    </w:p>
    <w:p w14:paraId="40B320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военно-воздушных силах Красной Армии</w:t>
      </w:r>
    </w:p>
    <w:p w14:paraId="330100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НАПЕЧАТАНО: </w:t>
      </w:r>
    </w:p>
    <w:p w14:paraId="488880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По дальнебомбардировочной авиации</w:t>
      </w:r>
    </w:p>
    <w:p w14:paraId="37BB77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 Для руководства боевой и специальной подготовкой авиадивизий ДД ввести должность Помощника Начальника Главного Управления ВВС Красной Армии по дальнебомбардировочной авиации и образовать в составе ГУБВС Управление дальнебомбардировочной авиации. Помощником Начальника Главного Управления ВВС Красной Армии по дальнебомбардировочной авиации назначить генерал-лейтенанта авиации тов.Проскурова.</w:t>
      </w:r>
    </w:p>
    <w:p w14:paraId="2DDADF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Подготовка летно-технического состава</w:t>
      </w:r>
    </w:p>
    <w:p w14:paraId="40BCA7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Для обеспечения подготовки летно-технического состава в новых и расширяющихся военных училищах и школах отпустить Наркомату Обороны сверх планового отпуска в 1941 году: </w:t>
      </w:r>
    </w:p>
    <w:p w14:paraId="206B66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авиагорючего 112.099 тонн </w:t>
      </w:r>
    </w:p>
    <w:p w14:paraId="53587B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авиамасел 9.282 -"- </w:t>
      </w:r>
    </w:p>
    <w:p w14:paraId="04792D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автогорючего 13.678 -"- </w:t>
      </w:r>
    </w:p>
    <w:p w14:paraId="37D774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автомашин транспортных 1.493 -"- </w:t>
      </w:r>
    </w:p>
    <w:p w14:paraId="5F8E70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специальных машин 1.494 -"- </w:t>
      </w:r>
    </w:p>
    <w:p w14:paraId="767CC5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тракторов 362 -"- </w:t>
      </w:r>
    </w:p>
    <w:p w14:paraId="2BB330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бензо-маслотары 33.284 куб. м.</w:t>
      </w:r>
    </w:p>
    <w:p w14:paraId="144CF2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СЛЕДУЕТ ЧИТАТЬ: </w:t>
      </w:r>
    </w:p>
    <w:p w14:paraId="66F117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 дальнебомбардировочной авиации</w:t>
      </w:r>
    </w:p>
    <w:p w14:paraId="4A19C9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Для руководства боевой и специальной подготовкой авиадивизий ДЦ ввести должность Заместителя Начальника Главного Управления ВВС Красной Армии по дальнебомбардировочной авиации и образовать в составе ГУВВС Управление дальнебомбардировочной авиации. Заместителем Начальника Главного Управления ВВС Красной Армии по дальнебомбардировочной авиации назначить генерал-лейтенанта авиации тов.Проскурова.</w:t>
      </w:r>
    </w:p>
    <w:p w14:paraId="5A48FD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Подготовка летно-технического состава</w:t>
      </w:r>
    </w:p>
    <w:p w14:paraId="3D34CB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Для обеспечения подготовки летно-технического состава в новых и расширяющихся военных училищах и школах отпустить Наркомату Обороны сверх планового отпуска в 1941 году: </w:t>
      </w:r>
    </w:p>
    <w:p w14:paraId="2D7EBB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авиагорючего 112.099 тонн </w:t>
      </w:r>
    </w:p>
    <w:p w14:paraId="71E637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авиамасел 9.282 тонны </w:t>
      </w:r>
    </w:p>
    <w:p w14:paraId="27DE83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автогорючего 13.678 тонн </w:t>
      </w:r>
    </w:p>
    <w:p w14:paraId="1E5EDF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автомашин транспортных 1.493 штуки </w:t>
      </w:r>
    </w:p>
    <w:p w14:paraId="38B438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специальных машин 1.484 штуки </w:t>
      </w:r>
    </w:p>
    <w:p w14:paraId="74D87F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тракторов 362 штуки </w:t>
      </w:r>
    </w:p>
    <w:p w14:paraId="309F63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бензо-маслотары 33.284 куб. м.</w:t>
      </w:r>
    </w:p>
    <w:p w14:paraId="6DADB3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Управляющий делами Совета Народных Комиссаров СССР М.Хломов </w:t>
      </w:r>
    </w:p>
    <w:p w14:paraId="3BD3FD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 РФ. Ф.93. Коллекция документов. Машинопись на бланке: "Постановление Совета Народных Комиссаров СССР". Заверенная копия. Имеются пометы (10694).</w:t>
      </w:r>
    </w:p>
    <w:p w14:paraId="4EA63ED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AC65E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принимается утвержденное Политбюро ЦК ВКП(б) постановление СНК № 2265-977 "О военно-воздушных силах Красной Армии". По программе развития ВВС, принятой этим постановлением, к концу 1941 года ВВС должны были насчитывать 32432 самолета и 60 тысяч летных экипажей. Для реализации задачи, в соответствии с решением ЦК ВКП(б) и Правительства № 2466-1096 от 7 декабря 1940 г., НКАП в 1941 году должен был поставить 16530 боевых самолетов (из них 8510 истребителей новых типов). Из открытых в последнее время документов стало известно, что советская военная разведка оценивала общее число самолетов в ВВС Германии и ее союзников в сентябре 1940 г. в 15100 самолетов, что соответствовало числу самолетов в ВВС КА (15520). Эти ошибочные, завышенные в несколько раз, данные разведка докладывала Правительству (на 22 июня 1941 г. вся авиационная группировка противника у границ СССР насчитывала всего 4795 самолетов, в том числе 3909 самолетов всех типов ВВС Германии). Исходя из ложной посылки, чтобы обеспечить Советскому Союзу в преддверии войны количественное и качественное превосходство в авиации, принимались все описанные выше постановления, а также многие другие по различным вопросам авиастроения и подготовке летных кадров (12048).</w:t>
      </w:r>
    </w:p>
    <w:p w14:paraId="0732B93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F8B798" w14:textId="77777777" w:rsidR="00C66762" w:rsidRPr="00A3026E" w:rsidRDefault="00C66762"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5 ноября 1940 года решением Политбюро и СНК была утверждена программа «усиления», точнее говоря, удвоения военно-воздушных сил. Вместо авиационных армий было решено создать Дальнебомбардировочную авиацию, для чего — выделить авиаполки, вооруженные самолетами ТБ-3, ДБ-3, ТБ-7 в авиадивизии дальнего действия трехполкового состава. Предполагалось сформировать пять авиакорпусов ДБА, в состав каждого из которых должны были войти две бомбардировочные и одна истребительная дивизия, три отдельные дивизии ДД и один отдельный авиаполк. Помощником начальника Главного управления ВВС по ДБА был назначен генерал-лейтенант И.И. Проскуров. В течение 1941 года планировалось создать управления еще 104 авиаполков полков, в том числе 22 полка дальних двухмоторных истребителей, 25 авиадивизий и довести общее количество самолетов до 32 тысяч, из них 22 171 боевых (12623).</w:t>
      </w:r>
    </w:p>
    <w:p w14:paraId="43A80DAC" w14:textId="77777777" w:rsidR="00C66762" w:rsidRPr="00A3026E" w:rsidRDefault="00C66762" w:rsidP="00A3026E">
      <w:pPr>
        <w:spacing w:after="0" w:line="240" w:lineRule="auto"/>
        <w:jc w:val="both"/>
        <w:rPr>
          <w:rFonts w:ascii="Times New Roman" w:hAnsi="Times New Roman"/>
          <w:bCs/>
          <w:color w:val="000000" w:themeColor="text1"/>
          <w:sz w:val="16"/>
          <w:szCs w:val="16"/>
        </w:rPr>
      </w:pPr>
    </w:p>
    <w:p w14:paraId="212155F4"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5 ноября 1940 г. в постановлении № 2263-976 СНК СССР «О комплектовании школ и училищ летчиков ВВС Красной Армии» в категорической форме требовалось:</w:t>
      </w:r>
    </w:p>
    <w:p w14:paraId="16EB3CA6"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1) Обязать Центральный совет Осоавиахима подготовить дополнительно для НКО в системе Осоавиахима 20 000 летчиков на самолете У-2 – к 15 мая 1941 г.</w:t>
      </w:r>
    </w:p>
    <w:p w14:paraId="598258F6"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2) Обязать начальника Главного управления Гражданского воздушного флота подготовить для НКО в системе ГВФ 10 000 летчиков на самолете У-2 – к 1 октября 1941 г.</w:t>
      </w:r>
    </w:p>
    <w:p w14:paraId="789BB918"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И далее:</w:t>
      </w:r>
    </w:p>
    <w:p w14:paraId="0918C4DC"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Обязать Наркомавиапром поставить дополнительно:</w:t>
      </w:r>
    </w:p>
    <w:p w14:paraId="1644D835"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 Осоавиахиму – 350 самолетов У-2 и 550 запасных моторов М-11;</w:t>
      </w:r>
    </w:p>
    <w:p w14:paraId="6A272A24"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 ГВФ – 720 самолетов У-2 и 400 запасных моторов М-11;</w:t>
      </w:r>
    </w:p>
    <w:p w14:paraId="7B888C74"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 дефицитные запасные части и ремонтные материалы к самолету У-2 и мотору М-11 для нужд Осоавиахима и ГВФ [Там же, с. 117-118].</w:t>
      </w:r>
    </w:p>
    <w:p w14:paraId="40813521"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Учитывая то обстоятельство, что в Ленинграде производились почти все учебные самолеты, получается, что данное постановление СНК Союза ССР обязало авиапром города взять на себя всю нагрузку и ответственность за выполнение этого важного государственного задания.</w:t>
      </w:r>
    </w:p>
    <w:p w14:paraId="37DFF78C"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Однако сравнительно отлаженный процесс серийного выпуска тысяч учебных и легких специальных самолетов в декабре 1940 г. был прерван. Вначале в соответствии с приказом Наркома авиационной промышленности А. И. Шахурина № 521 от 2 октября 1940 г. ленинградскому заводу № 23 было поручено изготовить пробную малую серию в количестве 5 машин перспективного истребителя И-301 [6, д. 49, л. 97]. Затем 6 декабря 1940 г. завод был полностью переключен на выпуск этого истребителя, названного впоследствии по имени его создателей авиаконструкторов С. А. Лавочкина, В. П. Горбунова и М. И. Гудкова ЛаГГ-3.</w:t>
      </w:r>
    </w:p>
    <w:p w14:paraId="2628976B"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При этом производство самолетов У-2 было передано на новый ленинградский авиазавод № 387, а УТ-2 – на авиазавод № 47.</w:t>
      </w:r>
    </w:p>
    <w:p w14:paraId="7E45AA60"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Всего с 1929 г. по 1940 г. авиационный завод № 23 выпустил около 14 000 легкомоторных самолетов У-2 различных модификаций [4, с. 3]. Авторами на основании архивных документов завода за 1938-1940 гг. подсчитано, что, кроме того, в течение этих лет путевку в небо здесь получили 672 новейших в то время учебно-тренировочных самолета УТ-2 (12697).</w:t>
      </w:r>
    </w:p>
    <w:p w14:paraId="51A62228"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p>
    <w:p w14:paraId="6D7926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с учетом провала АОН-1 в Финляндии - упразднили армии (66,236).</w:t>
      </w:r>
    </w:p>
    <w:p w14:paraId="5BD94BD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A3F5D3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2BE8906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72DF9AC"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ноября 1940 четыре эскадрильи Королевских ВВС направляются в Грецию для поддержки страны в случае нападений Италии (20795).</w:t>
      </w:r>
    </w:p>
    <w:p w14:paraId="39D03E3C" w14:textId="77777777" w:rsidR="00E05597" w:rsidRPr="00A3026E" w:rsidRDefault="00E05597" w:rsidP="00A3026E">
      <w:pPr>
        <w:spacing w:after="0" w:line="240" w:lineRule="auto"/>
        <w:jc w:val="both"/>
        <w:rPr>
          <w:rFonts w:ascii="Times New Roman" w:hAnsi="Times New Roman"/>
          <w:color w:val="0070C0"/>
          <w:sz w:val="16"/>
          <w:szCs w:val="16"/>
        </w:rPr>
      </w:pPr>
    </w:p>
    <w:p w14:paraId="04F05C4B"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ноября 1940 Воздушный корпус армии США задействует Гавайские военно-воздушные силы, свои первые военно-воздушные силы, базирующиеся за пределами континентальной части Соединенных Штатов (20795).</w:t>
      </w:r>
    </w:p>
    <w:p w14:paraId="14114A38" w14:textId="77777777" w:rsidR="00E05597" w:rsidRPr="00A3026E" w:rsidRDefault="00E05597" w:rsidP="00A3026E">
      <w:pPr>
        <w:spacing w:after="0" w:line="240" w:lineRule="auto"/>
        <w:jc w:val="both"/>
        <w:rPr>
          <w:rFonts w:ascii="Times New Roman" w:hAnsi="Times New Roman"/>
          <w:color w:val="0070C0"/>
          <w:sz w:val="16"/>
          <w:szCs w:val="16"/>
        </w:rPr>
      </w:pPr>
    </w:p>
    <w:p w14:paraId="13F79AF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во время массированного налета немецкой авиации на Британию погибло более 14 тысяч человек (4962).</w:t>
      </w:r>
    </w:p>
    <w:p w14:paraId="1D00419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DE0BAC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немецкий линкор «Адмирал Шпее» в Атлантике затопил английский крейсер «Джервис бей» (4962).</w:t>
      </w:r>
    </w:p>
    <w:p w14:paraId="216A79B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CCBA9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Ф.Рузвельт был переизбран президентом 3 раз - впервые в истории (2100;1797).</w:t>
      </w:r>
    </w:p>
    <w:p w14:paraId="7C2746A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CE1378" w14:textId="77777777" w:rsidR="00BA2190" w:rsidRPr="00A3026E" w:rsidRDefault="00BA2190"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5 ноября</w:t>
      </w:r>
      <w:r w:rsidRPr="00A3026E">
        <w:rPr>
          <w:rFonts w:ascii="Times New Roman" w:hAnsi="Times New Roman"/>
          <w:color w:val="000000" w:themeColor="text1"/>
          <w:sz w:val="16"/>
          <w:szCs w:val="16"/>
        </w:rPr>
        <w:t xml:space="preserve"> в 1940 году пользовавшийся у американцев огромной популярностью Франклин Делано Рузвельт (1882–1945), дважды — в 1932 и 1936 годах — избиравшийся президентом США, беспрецедентным образом одержал победу в третьей президентской гонке. Но на этом дело не закончилось: истек еще один </w:t>
      </w:r>
      <w:r w:rsidRPr="00A3026E">
        <w:rPr>
          <w:rFonts w:ascii="Times New Roman" w:hAnsi="Times New Roman"/>
          <w:color w:val="000000" w:themeColor="text1"/>
          <w:sz w:val="16"/>
          <w:szCs w:val="16"/>
        </w:rPr>
        <w:lastRenderedPageBreak/>
        <w:t>четырехлетний президентский срок, и 7 ноября 1944 года Рузвельт снова был переизбран. 12 апреля 1945 года он умер, и на посту главы государства его сменил Гарри Трумэн (1884–1972), до этого вице-президент. А в 1947 году конгресс принял поправку к Конституции, гласившую, что «ни одно лицо не может быть избрано на пост президента более двух раз» (14821).</w:t>
      </w:r>
    </w:p>
    <w:p w14:paraId="41CD88E2" w14:textId="77777777" w:rsidR="00BA2190" w:rsidRPr="00A3026E" w:rsidRDefault="00BA2190" w:rsidP="00A3026E">
      <w:pPr>
        <w:spacing w:after="0" w:line="240" w:lineRule="auto"/>
        <w:jc w:val="both"/>
        <w:rPr>
          <w:rFonts w:ascii="Times New Roman" w:hAnsi="Times New Roman"/>
          <w:color w:val="000000" w:themeColor="text1"/>
          <w:sz w:val="16"/>
          <w:szCs w:val="16"/>
        </w:rPr>
      </w:pPr>
    </w:p>
    <w:p w14:paraId="050918FA"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90FDE4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0CE16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С.В.И. писал П.А.Воронину и А.И.Ш. письмо N 1319 (1273).</w:t>
      </w:r>
    </w:p>
    <w:p w14:paraId="7D3900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1937 нами был выпущен в морском поплавковом варианте самолет ДБ-3 с мотором М-86.</w:t>
      </w:r>
    </w:p>
    <w:p w14:paraId="0ED31C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Естественно этот самолет подвергается серьезным конструктивным изменениям и очень значительно отличается по конструкции от сухопутного самолета ДБ-3 как по силовой схеме конструкции крыла, так и по своему чисто морскому оборудованию.</w:t>
      </w:r>
    </w:p>
    <w:p w14:paraId="53EB40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Этот самолет был сдан на гос. испытания весной 1938, которые были закончены в июне 1938.</w:t>
      </w:r>
    </w:p>
    <w:p w14:paraId="0310D4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показал весьма хорошие летные данные, грузоподъемность и взлетно-посадочные свойства как гидросамолет.</w:t>
      </w:r>
    </w:p>
    <w:p w14:paraId="37B50C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Тогда этот самолет был лучшей машиной в морской авиации и представлял высокую ценность еще и потому, что это был единственный реальный современный самолет морской авиации. Но самолет по непонятным причинам своевременно заказан не был.</w:t>
      </w:r>
    </w:p>
    <w:p w14:paraId="37ACF7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Теперь же спустя 2.5 года ставится вопрос о серийной постройке, причем не того самолета, который прошел гос. испытания, а о постройке самолета Ф, которому установка на поплавки никогда не задавалась и самолета Ф на поплавках не существует.</w:t>
      </w:r>
    </w:p>
    <w:p w14:paraId="018D62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того, чтобы самолет Ф поставить на поплавки в его силовую схему и конструкцию нужно внести коренные изменения.</w:t>
      </w:r>
    </w:p>
    <w:p w14:paraId="281A8A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мне сообщали в 1940 возник вопрос о постройке на 126 заводе 20 самолетов ДБ-3Б по чертежам самолета ДБ-3 на поплавках, прошедшего гос. испытания весной 1938. Чертежи этого самолета и все технические материалы по нему мы послали на завод 126, где они в настоящее время и находятся.</w:t>
      </w:r>
    </w:p>
    <w:p w14:paraId="1D2D0D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необходимым доложить Вам свое мнение о том, что строить поплавковый самолет, прошедший гос. испытания 2.5 года назад нецелесообразно, тем более, что для завода 126 это представит огромнейшие трудности и ломку производства, так как самолет ДБ-3 у него сошел с производства.</w:t>
      </w:r>
    </w:p>
    <w:p w14:paraId="647B05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же касается самолета ДБ-3Ф на поплавках, то такого самолета не существует, и это совершенно точно известно Управлению ВМФ" (1273).</w:t>
      </w:r>
    </w:p>
    <w:p w14:paraId="5E7FEF7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DBA5E62" w14:textId="5F221AA6"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ноября 1940 года С.В.И сообщал Воронину и Шахурину:</w:t>
      </w:r>
    </w:p>
    <w:p w14:paraId="71C3C4B8"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1937г. нами был выпущен в морском поплавко</w:t>
      </w:r>
      <w:r w:rsidRPr="00A3026E">
        <w:rPr>
          <w:rFonts w:ascii="Times New Roman" w:hAnsi="Times New Roman"/>
          <w:color w:val="0070C0"/>
          <w:sz w:val="16"/>
          <w:szCs w:val="16"/>
        </w:rPr>
        <w:softHyphen/>
        <w:t>вом варианте самолет ДБ-3 с мотором М-86.</w:t>
      </w:r>
    </w:p>
    <w:p w14:paraId="7E5EAF11"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Естественно, этот самолет подвергается се</w:t>
      </w:r>
      <w:r w:rsidRPr="00A3026E">
        <w:rPr>
          <w:rFonts w:ascii="Times New Roman" w:hAnsi="Times New Roman"/>
          <w:color w:val="0070C0"/>
          <w:sz w:val="16"/>
          <w:szCs w:val="16"/>
        </w:rPr>
        <w:softHyphen/>
        <w:t>рьезным конструктивным изменениям и очень значительно отличается по конструкции от сухо</w:t>
      </w:r>
      <w:r w:rsidRPr="00A3026E">
        <w:rPr>
          <w:rFonts w:ascii="Times New Roman" w:hAnsi="Times New Roman"/>
          <w:color w:val="0070C0"/>
          <w:sz w:val="16"/>
          <w:szCs w:val="16"/>
        </w:rPr>
        <w:softHyphen/>
        <w:t>путного самолета ДБ-3 как по силовой схеме кон</w:t>
      </w:r>
      <w:r w:rsidRPr="00A3026E">
        <w:rPr>
          <w:rFonts w:ascii="Times New Roman" w:hAnsi="Times New Roman"/>
          <w:color w:val="0070C0"/>
          <w:sz w:val="16"/>
          <w:szCs w:val="16"/>
        </w:rPr>
        <w:softHyphen/>
        <w:t>струкции крыла, так и по своему чисто морскому оборудованию.</w:t>
      </w:r>
    </w:p>
    <w:p w14:paraId="116F127E"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Этот самолет был сдан на государственные испы</w:t>
      </w:r>
      <w:r w:rsidRPr="00A3026E">
        <w:rPr>
          <w:rFonts w:ascii="Times New Roman" w:hAnsi="Times New Roman"/>
          <w:color w:val="0070C0"/>
          <w:sz w:val="16"/>
          <w:szCs w:val="16"/>
        </w:rPr>
        <w:softHyphen/>
        <w:t>тания весной 1938 г., которые были закончены в июне 1938 г.</w:t>
      </w:r>
    </w:p>
    <w:p w14:paraId="6D25343A"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Самолет показал весьма хорошие летные данные, грузоподъемность и взлетно-посадочные свойства как гидросамолет.</w:t>
      </w:r>
    </w:p>
    <w:p w14:paraId="475187B6"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Тогда этот самолет был лучшей машиной в мор</w:t>
      </w:r>
      <w:r w:rsidRPr="00A3026E">
        <w:rPr>
          <w:rFonts w:ascii="Times New Roman" w:hAnsi="Times New Roman"/>
          <w:color w:val="0070C0"/>
          <w:sz w:val="16"/>
          <w:szCs w:val="16"/>
        </w:rPr>
        <w:softHyphen/>
        <w:t>ской авиации и представлял высокую ценность еще и потому, что это был единственный реальный со</w:t>
      </w:r>
      <w:r w:rsidRPr="00A3026E">
        <w:rPr>
          <w:rFonts w:ascii="Times New Roman" w:hAnsi="Times New Roman"/>
          <w:color w:val="0070C0"/>
          <w:sz w:val="16"/>
          <w:szCs w:val="16"/>
        </w:rPr>
        <w:softHyphen/>
        <w:t>временный самолет морской авиации. Но самолет по непонятным причинам своевременно заказан не был.</w:t>
      </w:r>
    </w:p>
    <w:p w14:paraId="1DD027A9"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Теперь же спустя 2,5 года ставится вопрос о се</w:t>
      </w:r>
      <w:r w:rsidRPr="00A3026E">
        <w:rPr>
          <w:rFonts w:ascii="Times New Roman" w:hAnsi="Times New Roman"/>
          <w:color w:val="0070C0"/>
          <w:sz w:val="16"/>
          <w:szCs w:val="16"/>
        </w:rPr>
        <w:softHyphen/>
        <w:t>рийной постройке, причем не того самолета, который прошел государственные испытания, а о построй</w:t>
      </w:r>
      <w:r w:rsidRPr="00A3026E">
        <w:rPr>
          <w:rFonts w:ascii="Times New Roman" w:hAnsi="Times New Roman"/>
          <w:color w:val="0070C0"/>
          <w:sz w:val="16"/>
          <w:szCs w:val="16"/>
        </w:rPr>
        <w:softHyphen/>
        <w:t>ке самолета «Ф», которому установка на поплавки никогда не задавалась и самолета «Ф» на поплавках не существует.</w:t>
      </w:r>
    </w:p>
    <w:p w14:paraId="558E505D"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Для того чтобы самолет «Ф» поставить на поплав</w:t>
      </w:r>
      <w:r w:rsidRPr="00A3026E">
        <w:rPr>
          <w:rFonts w:ascii="Times New Roman" w:hAnsi="Times New Roman"/>
          <w:color w:val="0070C0"/>
          <w:sz w:val="16"/>
          <w:szCs w:val="16"/>
        </w:rPr>
        <w:softHyphen/>
        <w:t>ки, в его силовую схему и конструкцию нужно внести коренные изменения.</w:t>
      </w:r>
    </w:p>
    <w:p w14:paraId="4FADF50C"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Как мне сообщали, в 1940 г. возник вопрос о по</w:t>
      </w:r>
      <w:r w:rsidRPr="00A3026E">
        <w:rPr>
          <w:rFonts w:ascii="Times New Roman" w:hAnsi="Times New Roman"/>
          <w:color w:val="0070C0"/>
          <w:sz w:val="16"/>
          <w:szCs w:val="16"/>
        </w:rPr>
        <w:softHyphen/>
        <w:t>стройке на заводе № 12620 самолетов ДБ-ЗБ по чер</w:t>
      </w:r>
      <w:r w:rsidRPr="00A3026E">
        <w:rPr>
          <w:rFonts w:ascii="Times New Roman" w:hAnsi="Times New Roman"/>
          <w:color w:val="0070C0"/>
          <w:sz w:val="16"/>
          <w:szCs w:val="16"/>
        </w:rPr>
        <w:softHyphen/>
        <w:t>тежам самолета ДБ-3 на поплавках, прошедшего государственные испытания весной 1938 г. Чертежи этого самолета и все технические материалы по нему мы послали на завод № 126, где они в настоящее вре</w:t>
      </w:r>
      <w:r w:rsidRPr="00A3026E">
        <w:rPr>
          <w:rFonts w:ascii="Times New Roman" w:hAnsi="Times New Roman"/>
          <w:color w:val="0070C0"/>
          <w:sz w:val="16"/>
          <w:szCs w:val="16"/>
        </w:rPr>
        <w:softHyphen/>
        <w:t>мя и находятся.</w:t>
      </w:r>
    </w:p>
    <w:p w14:paraId="5F9EB176"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Считаю необходимым доложить Вам свое мнение о том, что строить поплавковый самолет, прошедший государственные испытания 2,5 года назад, неце</w:t>
      </w:r>
      <w:r w:rsidRPr="00A3026E">
        <w:rPr>
          <w:rFonts w:ascii="Times New Roman" w:hAnsi="Times New Roman"/>
          <w:color w:val="0070C0"/>
          <w:sz w:val="16"/>
          <w:szCs w:val="16"/>
        </w:rPr>
        <w:softHyphen/>
        <w:t>лесообразно, тем более что для завода № 126 это представит огромнейшие трудности и ломку произ</w:t>
      </w:r>
      <w:r w:rsidRPr="00A3026E">
        <w:rPr>
          <w:rFonts w:ascii="Times New Roman" w:hAnsi="Times New Roman"/>
          <w:color w:val="0070C0"/>
          <w:sz w:val="16"/>
          <w:szCs w:val="16"/>
        </w:rPr>
        <w:softHyphen/>
        <w:t>водства, так как &lt;...&gt; ДБ-3 у него сошел с производ</w:t>
      </w:r>
      <w:r w:rsidRPr="00A3026E">
        <w:rPr>
          <w:rFonts w:ascii="Times New Roman" w:hAnsi="Times New Roman"/>
          <w:color w:val="0070C0"/>
          <w:sz w:val="16"/>
          <w:szCs w:val="16"/>
        </w:rPr>
        <w:softHyphen/>
        <w:t>ства.</w:t>
      </w:r>
    </w:p>
    <w:p w14:paraId="660AEF7B"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Что же касается &lt;...&gt; ДБ-ЗФ на поплавках, то та</w:t>
      </w:r>
      <w:r w:rsidRPr="00A3026E">
        <w:rPr>
          <w:rFonts w:ascii="Times New Roman" w:hAnsi="Times New Roman"/>
          <w:color w:val="0070C0"/>
          <w:sz w:val="16"/>
          <w:szCs w:val="16"/>
        </w:rPr>
        <w:softHyphen/>
        <w:t>кого самолета не существует, и это совершенно точ</w:t>
      </w:r>
      <w:r w:rsidRPr="00A3026E">
        <w:rPr>
          <w:rFonts w:ascii="Times New Roman" w:hAnsi="Times New Roman"/>
          <w:color w:val="0070C0"/>
          <w:sz w:val="16"/>
          <w:szCs w:val="16"/>
        </w:rPr>
        <w:softHyphen/>
        <w:t>но известно Управлению ВМФ».</w:t>
      </w:r>
    </w:p>
    <w:p w14:paraId="4C9225F0"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Спустя девять дней в истории с поплавковым вари</w:t>
      </w:r>
      <w:r w:rsidRPr="00A3026E">
        <w:rPr>
          <w:rFonts w:ascii="Times New Roman" w:hAnsi="Times New Roman"/>
          <w:color w:val="0070C0"/>
          <w:sz w:val="16"/>
          <w:szCs w:val="16"/>
        </w:rPr>
        <w:softHyphen/>
        <w:t>антом ДБ-ЗФ была поставлена точка. Дело в том, что в октябре Комитет Обороны пересмотрел ранее под</w:t>
      </w:r>
      <w:r w:rsidRPr="00A3026E">
        <w:rPr>
          <w:rFonts w:ascii="Times New Roman" w:hAnsi="Times New Roman"/>
          <w:color w:val="0070C0"/>
          <w:sz w:val="16"/>
          <w:szCs w:val="16"/>
        </w:rPr>
        <w:softHyphen/>
        <w:t>писанные документы и обязал НКАП поставить ВМФ торпедоносцы ДБ-3 и ДБ-ЗФ в колесном варианте, т.е. в том виде, в каком они были освоены промыш</w:t>
      </w:r>
      <w:r w:rsidRPr="00A3026E">
        <w:rPr>
          <w:rFonts w:ascii="Times New Roman" w:hAnsi="Times New Roman"/>
          <w:color w:val="0070C0"/>
          <w:sz w:val="16"/>
          <w:szCs w:val="16"/>
        </w:rPr>
        <w:softHyphen/>
        <w:t>ленностью и, в частности, заводами № 126 и № 39.</w:t>
      </w:r>
    </w:p>
    <w:p w14:paraId="1DC64361"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Завод № 126 обязывался сдать заказчику 30 ДБ-3 Т в колесном варианте и 10 ДБ-ЗФТ, а завод № 39—49 ДБ-ЗФТ.</w:t>
      </w:r>
    </w:p>
    <w:p w14:paraId="5A1395E3"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Построить же 20 самолетов на поплавках не пред</w:t>
      </w:r>
      <w:r w:rsidRPr="00A3026E">
        <w:rPr>
          <w:rFonts w:ascii="Times New Roman" w:hAnsi="Times New Roman"/>
          <w:color w:val="0070C0"/>
          <w:sz w:val="16"/>
          <w:szCs w:val="16"/>
        </w:rPr>
        <w:softHyphen/>
        <w:t>ставлялось возможным, поскольку ДБ-3 по загото</w:t>
      </w:r>
      <w:r w:rsidRPr="00A3026E">
        <w:rPr>
          <w:rFonts w:ascii="Times New Roman" w:hAnsi="Times New Roman"/>
          <w:color w:val="0070C0"/>
          <w:sz w:val="16"/>
          <w:szCs w:val="16"/>
        </w:rPr>
        <w:softHyphen/>
        <w:t>вительным и агрегатно-сборочным цехам завода № 126 сошел с производства, а конструктивные из</w:t>
      </w:r>
      <w:r w:rsidRPr="00A3026E">
        <w:rPr>
          <w:rFonts w:ascii="Times New Roman" w:hAnsi="Times New Roman"/>
          <w:color w:val="0070C0"/>
          <w:sz w:val="16"/>
          <w:szCs w:val="16"/>
        </w:rPr>
        <w:softHyphen/>
        <w:t>менения, необходимые для поплавкового варианта, внести невозможно, т. к. они влекли за собой изме</w:t>
      </w:r>
      <w:r w:rsidRPr="00A3026E">
        <w:rPr>
          <w:rFonts w:ascii="Times New Roman" w:hAnsi="Times New Roman"/>
          <w:color w:val="0070C0"/>
          <w:sz w:val="16"/>
          <w:szCs w:val="16"/>
        </w:rPr>
        <w:softHyphen/>
        <w:t>нение силовой схемы конструкции крыла и требовали установки морского оборудования (23188).</w:t>
      </w:r>
    </w:p>
    <w:p w14:paraId="3C6A0167" w14:textId="77777777" w:rsidR="00E05597" w:rsidRPr="00A3026E" w:rsidRDefault="00E05597" w:rsidP="00A3026E">
      <w:pPr>
        <w:spacing w:after="0" w:line="240" w:lineRule="auto"/>
        <w:jc w:val="both"/>
        <w:rPr>
          <w:rFonts w:ascii="Times New Roman" w:hAnsi="Times New Roman"/>
          <w:color w:val="0070C0"/>
          <w:sz w:val="16"/>
          <w:szCs w:val="16"/>
        </w:rPr>
      </w:pPr>
    </w:p>
    <w:p w14:paraId="6D131D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Юрий Константинович Станкевич поднял опытный "Б" в воздух. Спустя двадцать дней, после завершения девятого полета произошла авария. На рулежке разрушилась верхняя опора стержня амортизатора шасси, конструкцию которого заимствовали с СБ. Стойка шасси подломилась, и перемещавшийся уже на небольшой скорости бомбардировщик лег на крыло (6409).</w:t>
      </w:r>
    </w:p>
    <w:p w14:paraId="116CD15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A7E9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после получения из ЦАГИ заключения летчик Ю. К. Станкевич выполнил на Б-1 первый полет. Выполнив 6 полетов, которые в целом прошли успешно, машину решили перегнать летом обратно на аэродром 22-го завода в Фили (9660).</w:t>
      </w:r>
    </w:p>
    <w:p w14:paraId="42C00B6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C812F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г. летчик Ю.К.Станкевич выполнил первый полет «Б-1» А.А.А. с Центрального аэродрома Москвы. После выполнения 9 полетов машину решили перегнать в Фили, на аэродром завода № 22 (6206, 21).</w:t>
      </w:r>
    </w:p>
    <w:p w14:paraId="6305425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BCFB4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года были начаты заводские испытания двухмоторного ближнего бомбардировщика с моторами М-105 ТК Архангельского, который был изготовлен к 1 ноября 1940 года. 26 ноября 1940 года на рулежке сложилось шасси (4048, 4).</w:t>
      </w:r>
    </w:p>
    <w:p w14:paraId="4A4BFC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032B7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г. первый полет "Б" с Центрального аэродрома Москвы совершил летчик Ю.К.Станкевич. После выполнения 9 полетов машину решили перегнать в Фили, на аэродром завода N 22. 26 ноября 1940 г., после осуществления перелета, во время руления по аэродрому сломались подкосы левой стойки шасси, в результате чего самолет получил небольшие повреждения. Самолет "Б" был окрашен светло-серой эмалью без нанесения опознавательных знаков. В качестве отличия имел нетипичную декоративную отделку в виде полос и "молний" на фюзеляже, моторных гондолах и хвостовом оперении. На рулях поворота с каждой стороны была нарисована стилизованная буква "Б" (12027).</w:t>
      </w:r>
    </w:p>
    <w:p w14:paraId="14B9C4C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BC070F2"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ноября 1940 вышло Постановление Политбюро ЦК ВКП(б) "О программе завода № 22 на 1941 год" о производстве самолетов СБ-РК и ПБ-10 с двумя моторами М-105 (пр. № 22/22-оп за 29 октября - 21 ноября 1940 г., п. 7)</w:t>
      </w:r>
    </w:p>
    <w:p w14:paraId="20B9FD69"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117.- О программе завода № 22 на 1941 г.</w:t>
      </w:r>
    </w:p>
    <w:p w14:paraId="1A3B649D"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 СНК СССР и ЦК ВКП/6/)</w:t>
      </w:r>
    </w:p>
    <w:p w14:paraId="738F88BD"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Совет Народных Комиссаров Союза ССР и Центральные Комитет ВКП(б) постановляют:</w:t>
      </w:r>
    </w:p>
    <w:p w14:paraId="647DB338"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Народного Комиссара Авиационной промышленности тов. Шахурина А.И. и директора завода № 22 тов. Окуло</w:t>
      </w:r>
      <w:r w:rsidRPr="00A3026E">
        <w:rPr>
          <w:rFonts w:ascii="Times New Roman" w:hAnsi="Times New Roman"/>
          <w:color w:val="0070C0"/>
          <w:sz w:val="16"/>
          <w:szCs w:val="16"/>
        </w:rPr>
        <w:softHyphen/>
        <w:t>ва В.А. обеспенить выпуск в 1941 г. нижеследующего коли</w:t>
      </w:r>
      <w:r w:rsidRPr="00A3026E">
        <w:rPr>
          <w:rFonts w:ascii="Times New Roman" w:hAnsi="Times New Roman"/>
          <w:color w:val="0070C0"/>
          <w:sz w:val="16"/>
          <w:szCs w:val="16"/>
        </w:rPr>
        <w:softHyphen/>
        <w:t>чества самолетов:</w:t>
      </w:r>
    </w:p>
    <w:p w14:paraId="45514F39"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СБ-РК с 2-мя моторами М-105:</w:t>
      </w:r>
    </w:p>
    <w:p w14:paraId="5B591C6A"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Всего за 1941 год - 4000 самолетов, в том числе:</w:t>
      </w:r>
    </w:p>
    <w:p w14:paraId="04A3FF21"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в 1 квартале - 300 самолетов, в марте 100 самолетов, во П </w:t>
      </w:r>
      <w:r w:rsidRPr="00A3026E">
        <w:rPr>
          <w:rFonts w:ascii="Times New Roman" w:hAnsi="Times New Roman"/>
          <w:color w:val="0070C0"/>
          <w:sz w:val="16"/>
          <w:szCs w:val="16"/>
        </w:rPr>
        <w:tab/>
        <w:t>- 300</w:t>
      </w:r>
      <w:r w:rsidRPr="00A3026E">
        <w:rPr>
          <w:rFonts w:ascii="Times New Roman" w:hAnsi="Times New Roman"/>
          <w:color w:val="0070C0"/>
          <w:sz w:val="16"/>
          <w:szCs w:val="16"/>
        </w:rPr>
        <w:tab/>
        <w:t>" в июне 100 "</w:t>
      </w:r>
    </w:p>
    <w:p w14:paraId="227F48B1"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Ш</w:t>
      </w:r>
      <w:r w:rsidRPr="00A3026E">
        <w:rPr>
          <w:rFonts w:ascii="Times New Roman" w:hAnsi="Times New Roman"/>
          <w:color w:val="0070C0"/>
          <w:sz w:val="16"/>
          <w:szCs w:val="16"/>
        </w:rPr>
        <w:tab/>
        <w:t>"</w:t>
      </w:r>
      <w:r w:rsidRPr="00A3026E">
        <w:rPr>
          <w:rFonts w:ascii="Times New Roman" w:hAnsi="Times New Roman"/>
          <w:color w:val="0070C0"/>
          <w:sz w:val="16"/>
          <w:szCs w:val="16"/>
        </w:rPr>
        <w:tab/>
        <w:t>- 250</w:t>
      </w:r>
      <w:r w:rsidRPr="00A3026E">
        <w:rPr>
          <w:rFonts w:ascii="Times New Roman" w:hAnsi="Times New Roman"/>
          <w:color w:val="0070C0"/>
          <w:sz w:val="16"/>
          <w:szCs w:val="16"/>
        </w:rPr>
        <w:tab/>
        <w:t>в сентябре</w:t>
      </w:r>
      <w:r w:rsidRPr="00A3026E">
        <w:rPr>
          <w:rFonts w:ascii="Times New Roman" w:hAnsi="Times New Roman"/>
          <w:color w:val="0070C0"/>
          <w:sz w:val="16"/>
          <w:szCs w:val="16"/>
        </w:rPr>
        <w:tab/>
        <w:t>75</w:t>
      </w:r>
    </w:p>
    <w:p w14:paraId="08146E85"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1У</w:t>
      </w:r>
      <w:r w:rsidRPr="00A3026E">
        <w:rPr>
          <w:rFonts w:ascii="Times New Roman" w:hAnsi="Times New Roman"/>
          <w:color w:val="0070C0"/>
          <w:sz w:val="16"/>
          <w:szCs w:val="16"/>
        </w:rPr>
        <w:tab/>
      </w:r>
      <w:r w:rsidRPr="00A3026E">
        <w:rPr>
          <w:rFonts w:ascii="Times New Roman" w:hAnsi="Times New Roman"/>
          <w:color w:val="0070C0"/>
          <w:sz w:val="16"/>
          <w:szCs w:val="16"/>
        </w:rPr>
        <w:tab/>
        <w:t>- 160</w:t>
      </w:r>
      <w:r w:rsidRPr="00A3026E">
        <w:rPr>
          <w:rFonts w:ascii="Times New Roman" w:hAnsi="Times New Roman"/>
          <w:color w:val="0070C0"/>
          <w:sz w:val="16"/>
          <w:szCs w:val="16"/>
        </w:rPr>
        <w:tab/>
        <w:t>"в декабре</w:t>
      </w:r>
      <w:r w:rsidRPr="00A3026E">
        <w:rPr>
          <w:rFonts w:ascii="Times New Roman" w:hAnsi="Times New Roman"/>
          <w:color w:val="0070C0"/>
          <w:sz w:val="16"/>
          <w:szCs w:val="16"/>
        </w:rPr>
        <w:tab/>
        <w:t>50</w:t>
      </w:r>
      <w:r w:rsidRPr="00A3026E">
        <w:rPr>
          <w:rFonts w:ascii="Times New Roman" w:hAnsi="Times New Roman"/>
          <w:color w:val="0070C0"/>
          <w:sz w:val="16"/>
          <w:szCs w:val="16"/>
        </w:rPr>
        <w:tab/>
        <w:t>"</w:t>
      </w:r>
    </w:p>
    <w:p w14:paraId="12E08AFC"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ПБ-100 с 2-мя моторами M-105</w:t>
      </w:r>
    </w:p>
    <w:p w14:paraId="4B408E88"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Всего за 1941 год - 1000 самолетов, в том числе: в 1 квартале 100 самолетов, в марте 50 самол.</w:t>
      </w:r>
    </w:p>
    <w:p w14:paraId="06A8DEF6"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 II "</w:t>
      </w:r>
      <w:r w:rsidRPr="00A3026E">
        <w:rPr>
          <w:rFonts w:ascii="Times New Roman" w:hAnsi="Times New Roman"/>
          <w:color w:val="0070C0"/>
          <w:sz w:val="16"/>
          <w:szCs w:val="16"/>
        </w:rPr>
        <w:tab/>
        <w:t>200</w:t>
      </w:r>
      <w:r w:rsidRPr="00A3026E">
        <w:rPr>
          <w:rFonts w:ascii="Times New Roman" w:hAnsi="Times New Roman"/>
          <w:color w:val="0070C0"/>
          <w:sz w:val="16"/>
          <w:szCs w:val="16"/>
        </w:rPr>
        <w:tab/>
        <w:t>" в июне 80</w:t>
      </w:r>
    </w:p>
    <w:p w14:paraId="177E37E5"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Ш</w:t>
      </w:r>
      <w:r w:rsidRPr="00A3026E">
        <w:rPr>
          <w:rFonts w:ascii="Times New Roman" w:hAnsi="Times New Roman"/>
          <w:color w:val="0070C0"/>
          <w:sz w:val="16"/>
          <w:szCs w:val="16"/>
        </w:rPr>
        <w:tab/>
        <w:t>"</w:t>
      </w:r>
      <w:r w:rsidRPr="00A3026E">
        <w:rPr>
          <w:rFonts w:ascii="Times New Roman" w:hAnsi="Times New Roman"/>
          <w:color w:val="0070C0"/>
          <w:sz w:val="16"/>
          <w:szCs w:val="16"/>
        </w:rPr>
        <w:tab/>
        <w:t>300</w:t>
      </w:r>
      <w:r w:rsidRPr="00A3026E">
        <w:rPr>
          <w:rFonts w:ascii="Times New Roman" w:hAnsi="Times New Roman"/>
          <w:color w:val="0070C0"/>
          <w:sz w:val="16"/>
          <w:szCs w:val="16"/>
        </w:rPr>
        <w:tab/>
        <w:t>" в сентябре 100 ”</w:t>
      </w:r>
    </w:p>
    <w:p w14:paraId="60330C54"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1У</w:t>
      </w:r>
      <w:r w:rsidRPr="00A3026E">
        <w:rPr>
          <w:rFonts w:ascii="Times New Roman" w:hAnsi="Times New Roman"/>
          <w:color w:val="0070C0"/>
          <w:sz w:val="16"/>
          <w:szCs w:val="16"/>
        </w:rPr>
        <w:tab/>
        <w:t>" 400</w:t>
      </w:r>
      <w:r w:rsidRPr="00A3026E">
        <w:rPr>
          <w:rFonts w:ascii="Times New Roman" w:hAnsi="Times New Roman"/>
          <w:color w:val="0070C0"/>
          <w:sz w:val="16"/>
          <w:szCs w:val="16"/>
        </w:rPr>
        <w:tab/>
        <w:t>" в декабре 150 "</w:t>
      </w:r>
    </w:p>
    <w:p w14:paraId="216CDEF0"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 в 1 квартале 1942 г. в количество 600 самолетов, в том число в марте 200 самолетов.</w:t>
      </w:r>
    </w:p>
    <w:p w14:paraId="68B170A8"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В целях обеспечения постройки самолетов эталонов для программы 1941 года обязать:'</w:t>
      </w:r>
    </w:p>
    <w:p w14:paraId="7A3BC434"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а) директора завода № 22 тов. Окулова В.А. и главного конструктора завода тов. Архангельского А.А. к 15.XII.1940 г. закончить постройку эталона самолета CБ-PK;</w:t>
      </w:r>
    </w:p>
    <w:p w14:paraId="61E303A9"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начальника Особого Технического Бюро НКВД т. Крав</w:t>
      </w:r>
      <w:r w:rsidRPr="00A3026E">
        <w:rPr>
          <w:rFonts w:ascii="Times New Roman" w:hAnsi="Times New Roman"/>
          <w:color w:val="0070C0"/>
          <w:sz w:val="16"/>
          <w:szCs w:val="16"/>
        </w:rPr>
        <w:softHyphen/>
        <w:t>ченко к 20.XI. 1940г. закончить отработку чертежей эталона самолета ПБ-100, а директора завода № 22 тов. Окулова В.А. закончить постройку его к 1.1.1941 года.</w:t>
      </w:r>
    </w:p>
    <w:p w14:paraId="5D106580"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Обязать директора завода № 22 тов. Окулова В.А.:</w:t>
      </w:r>
    </w:p>
    <w:p w14:paraId="5912CA0C"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в ноябре и декабре 1940 г. развернуть подготовку производства, полностью обеспечивающую выполнение утверж</w:t>
      </w:r>
      <w:r w:rsidRPr="00A3026E">
        <w:rPr>
          <w:rFonts w:ascii="Times New Roman" w:hAnsi="Times New Roman"/>
          <w:color w:val="0070C0"/>
          <w:sz w:val="16"/>
          <w:szCs w:val="16"/>
        </w:rPr>
        <w:softHyphen/>
        <w:t>денной настоящим постановлением программы выпуска самоле</w:t>
      </w:r>
      <w:r w:rsidRPr="00A3026E">
        <w:rPr>
          <w:rFonts w:ascii="Times New Roman" w:hAnsi="Times New Roman"/>
          <w:color w:val="0070C0"/>
          <w:sz w:val="16"/>
          <w:szCs w:val="16"/>
        </w:rPr>
        <w:softHyphen/>
        <w:t>тов;</w:t>
      </w:r>
    </w:p>
    <w:p w14:paraId="40DE1370"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закончить изготовлении оснастки (стапельные при</w:t>
      </w:r>
      <w:r w:rsidRPr="00A3026E">
        <w:rPr>
          <w:rFonts w:ascii="Times New Roman" w:hAnsi="Times New Roman"/>
          <w:color w:val="0070C0"/>
          <w:sz w:val="16"/>
          <w:szCs w:val="16"/>
        </w:rPr>
        <w:softHyphen/>
        <w:t>способления, кондуктора, штампы, инструмент и проч.) в 1 квартале 1941 года на выпуск 4 самолетов СБ-РК и 2 самолетов ПБ-100 в день и в П квартале 1941 года на выпуск 4-х са</w:t>
      </w:r>
      <w:r w:rsidRPr="00A3026E">
        <w:rPr>
          <w:rFonts w:ascii="Times New Roman" w:hAnsi="Times New Roman"/>
          <w:color w:val="0070C0"/>
          <w:sz w:val="16"/>
          <w:szCs w:val="16"/>
        </w:rPr>
        <w:softHyphen/>
        <w:t>молетов ПБ-100 в день.</w:t>
      </w:r>
    </w:p>
    <w:p w14:paraId="229C8ACD"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Обязать Народного Комиссара Текстильной промыш</w:t>
      </w:r>
      <w:r w:rsidRPr="00A3026E">
        <w:rPr>
          <w:rFonts w:ascii="Times New Roman" w:hAnsi="Times New Roman"/>
          <w:color w:val="0070C0"/>
          <w:sz w:val="16"/>
          <w:szCs w:val="16"/>
        </w:rPr>
        <w:softHyphen/>
        <w:t>ленности СССР тов. Акимова И.Н. передать завод № 7 имени 1 мая Наркомату Авиационной промышленности для организа</w:t>
      </w:r>
      <w:r w:rsidRPr="00A3026E">
        <w:rPr>
          <w:rFonts w:ascii="Times New Roman" w:hAnsi="Times New Roman"/>
          <w:color w:val="0070C0"/>
          <w:sz w:val="16"/>
          <w:szCs w:val="16"/>
        </w:rPr>
        <w:softHyphen/>
        <w:t>ции филиале завода № 22 по производству механических деталей и россыпи к самолетам СБ-РК,ТБ-З и ПБ-100. Передачу заводе произвести по балансу на 1.Х.1940г.</w:t>
      </w:r>
    </w:p>
    <w:p w14:paraId="6A85AF84"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Обязать Народного Комиссара Химической промышлен</w:t>
      </w:r>
      <w:r w:rsidRPr="00A3026E">
        <w:rPr>
          <w:rFonts w:ascii="Times New Roman" w:hAnsi="Times New Roman"/>
          <w:color w:val="0070C0"/>
          <w:sz w:val="16"/>
          <w:szCs w:val="16"/>
        </w:rPr>
        <w:softHyphen/>
        <w:t>ности СССР тов. Денисова изготовить на заводах химической промышленности 98 наименований изделий из пластмассы, виниловых смол и резины по спецификации завода № 22, со сроком поставки к 1.П.1941.</w:t>
      </w:r>
    </w:p>
    <w:p w14:paraId="25AB3B03"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Для обеспечения программы 1941 г. обязать Народно</w:t>
      </w:r>
      <w:r w:rsidRPr="00A3026E">
        <w:rPr>
          <w:rFonts w:ascii="Times New Roman" w:hAnsi="Times New Roman"/>
          <w:color w:val="0070C0"/>
          <w:sz w:val="16"/>
          <w:szCs w:val="16"/>
        </w:rPr>
        <w:softHyphen/>
        <w:t>го Комиссара Авиационной промышленности тов. Шахурина А.И. и директора завода 22 тов. Окулова В.А. построить в 1941 г. и сдавать частями в эксплоатацию в течение 1, 11 и 11! кварталов следующие об’екты:</w:t>
      </w:r>
    </w:p>
    <w:p w14:paraId="3503B6AF"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Новый инструментальный цех,</w:t>
      </w:r>
    </w:p>
    <w:p w14:paraId="6A84342F"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Термический цех шахтных ночей,</w:t>
      </w:r>
    </w:p>
    <w:p w14:paraId="6CD2DC64"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Центральную компрессорную,</w:t>
      </w:r>
    </w:p>
    <w:p w14:paraId="705DE90D"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Склад цветных металлов,</w:t>
      </w:r>
    </w:p>
    <w:p w14:paraId="5DC29A52"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3 трансформаторных подстанции,</w:t>
      </w:r>
    </w:p>
    <w:p w14:paraId="0DA72CB6"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 Расширение штамповочного цеха,</w:t>
      </w:r>
    </w:p>
    <w:p w14:paraId="616AEB53"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ж) Расширение аэродрома,</w:t>
      </w:r>
    </w:p>
    <w:p w14:paraId="5DD2CB9B"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 Центральную котельную.</w:t>
      </w:r>
    </w:p>
    <w:p w14:paraId="7AD9EE32"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Обязать Народного Комиссара Авиационное промышлен</w:t>
      </w:r>
      <w:r w:rsidRPr="00A3026E">
        <w:rPr>
          <w:rFonts w:ascii="Times New Roman" w:hAnsi="Times New Roman"/>
          <w:color w:val="0070C0"/>
          <w:sz w:val="16"/>
          <w:szCs w:val="16"/>
        </w:rPr>
        <w:softHyphen/>
        <w:t>ности тов. Шахурина А.И. выделить заводу № 22 на промышлен</w:t>
      </w:r>
      <w:r w:rsidRPr="00A3026E">
        <w:rPr>
          <w:rFonts w:ascii="Times New Roman" w:hAnsi="Times New Roman"/>
          <w:color w:val="0070C0"/>
          <w:sz w:val="16"/>
          <w:szCs w:val="16"/>
        </w:rPr>
        <w:softHyphen/>
        <w:t>ное, жилищно-коммунальное и бытовое строительство 50 млн. рублей, в том числе на промстроительство 40 млн. рублей, из них на приобретение оборудования 10 млн. рублей.</w:t>
      </w:r>
    </w:p>
    <w:p w14:paraId="1593DBCB"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Промбанку СССР финансировать в 1941 г. строитель</w:t>
      </w:r>
      <w:r w:rsidRPr="00A3026E">
        <w:rPr>
          <w:rFonts w:ascii="Times New Roman" w:hAnsi="Times New Roman"/>
          <w:color w:val="0070C0"/>
          <w:sz w:val="16"/>
          <w:szCs w:val="16"/>
        </w:rPr>
        <w:softHyphen/>
        <w:t>ство завода № 22 по проектам и сметам на отдельные объек</w:t>
      </w:r>
      <w:r w:rsidRPr="00A3026E">
        <w:rPr>
          <w:rFonts w:ascii="Times New Roman" w:hAnsi="Times New Roman"/>
          <w:color w:val="0070C0"/>
          <w:sz w:val="16"/>
          <w:szCs w:val="16"/>
        </w:rPr>
        <w:softHyphen/>
        <w:t>ты и виды работ.</w:t>
      </w:r>
    </w:p>
    <w:p w14:paraId="6463B650"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Народному Комиссару Авиационной промышленности тов. Шахурину А. И. выделить из фондов НКАП заводу № 22 221 единиц станочного оборудования, согласно приложению № 1, с поставкой в 1 и II кварталах 1941 года.</w:t>
      </w:r>
    </w:p>
    <w:p w14:paraId="60560469"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Экономсовету при CНК СССР выделить целевым назна</w:t>
      </w:r>
      <w:r w:rsidRPr="00A3026E">
        <w:rPr>
          <w:rFonts w:ascii="Times New Roman" w:hAnsi="Times New Roman"/>
          <w:color w:val="0070C0"/>
          <w:sz w:val="16"/>
          <w:szCs w:val="16"/>
        </w:rPr>
        <w:softHyphen/>
        <w:t>чением заводу № 22, в счет фондов HKAП согласно приложениям завода № 22:</w:t>
      </w:r>
    </w:p>
    <w:p w14:paraId="5EF418D1"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электрооборудование и электроматериалы по прило</w:t>
      </w:r>
      <w:r w:rsidRPr="00A3026E">
        <w:rPr>
          <w:rFonts w:ascii="Times New Roman" w:hAnsi="Times New Roman"/>
          <w:color w:val="0070C0"/>
          <w:sz w:val="16"/>
          <w:szCs w:val="16"/>
        </w:rPr>
        <w:softHyphen/>
        <w:t>жению № 2</w:t>
      </w:r>
    </w:p>
    <w:p w14:paraId="5569009C"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вентиляторы и калориферы по приложение № 4;</w:t>
      </w:r>
    </w:p>
    <w:p w14:paraId="38495616"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компрессорные и паровые котлы по приложение № 5;</w:t>
      </w:r>
    </w:p>
    <w:p w14:paraId="707855AB"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строительные материалы по приложению № 6;</w:t>
      </w:r>
    </w:p>
    <w:p w14:paraId="537B6C7E"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слаботочное оборудование по приложению № 7.</w:t>
      </w:r>
    </w:p>
    <w:p w14:paraId="40FE02DA"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Народному Комиссару Внешней Торговли разместить заказ на импорт оборудования для завода № 22, согласно приложение № 3, с поставкой в 1941 г.</w:t>
      </w:r>
    </w:p>
    <w:p w14:paraId="6BC0404E"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Кроме того немедленно закупить у германских фирм Кольман и Шток 4 продольно-фрезерных станка с длиной ходя 4 мт., с поставкой заводу в 1У квартале 1940 года.</w:t>
      </w:r>
    </w:p>
    <w:p w14:paraId="496FEBBE"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12. Обязать директора завода № 22 тов. Окулова В.А. подготовить в течение 1941 г. 1200 квалифицированных ра</w:t>
      </w:r>
      <w:r w:rsidRPr="00A3026E">
        <w:rPr>
          <w:rFonts w:ascii="Times New Roman" w:hAnsi="Times New Roman"/>
          <w:color w:val="0070C0"/>
          <w:sz w:val="16"/>
          <w:szCs w:val="16"/>
        </w:rPr>
        <w:softHyphen/>
        <w:t>бочих на производственных площадях и оборудовании завода.</w:t>
      </w:r>
    </w:p>
    <w:p w14:paraId="65B3B828"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 Запретить директорам московских предприятии и учреждений выселение рабочих, работающих на заводе № 22, из домов, подведомственных этим предприятиям и учреждениям.</w:t>
      </w:r>
    </w:p>
    <w:p w14:paraId="3AACB218"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 Разрешить директору завода № 22 тов. Окулову Р.А. израсходовать 1 млн. рублен для доплаты за наем жил. площади в подмосковных районах в частных доках и дачах, а также оплату транспорта по доставке рабочих и ИТР к месту рабо</w:t>
      </w:r>
      <w:r w:rsidRPr="00A3026E">
        <w:rPr>
          <w:rFonts w:ascii="Times New Roman" w:hAnsi="Times New Roman"/>
          <w:color w:val="0070C0"/>
          <w:sz w:val="16"/>
          <w:szCs w:val="16"/>
        </w:rPr>
        <w:softHyphen/>
        <w:t>ты и обратно.</w:t>
      </w:r>
    </w:p>
    <w:p w14:paraId="0E391B36"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 Обязать Народного Комиссара Финансов СССР т. Зверева выделить в распоряжение Народного Комиссара Авиацион</w:t>
      </w:r>
      <w:r w:rsidRPr="00A3026E">
        <w:rPr>
          <w:rFonts w:ascii="Times New Roman" w:hAnsi="Times New Roman"/>
          <w:color w:val="0070C0"/>
          <w:sz w:val="16"/>
          <w:szCs w:val="16"/>
        </w:rPr>
        <w:softHyphen/>
        <w:t>ной промышленности тов. Шахурина А.И. в 1941 г. для заво</w:t>
      </w:r>
      <w:r w:rsidRPr="00A3026E">
        <w:rPr>
          <w:rFonts w:ascii="Times New Roman" w:hAnsi="Times New Roman"/>
          <w:color w:val="0070C0"/>
          <w:sz w:val="16"/>
          <w:szCs w:val="16"/>
        </w:rPr>
        <w:softHyphen/>
        <w:t>да № 22:</w:t>
      </w:r>
    </w:p>
    <w:p w14:paraId="3FD5ADF3"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на улучшение технологического процесса производ</w:t>
      </w:r>
      <w:r w:rsidRPr="00A3026E">
        <w:rPr>
          <w:rFonts w:ascii="Times New Roman" w:hAnsi="Times New Roman"/>
          <w:color w:val="0070C0"/>
          <w:sz w:val="16"/>
          <w:szCs w:val="16"/>
        </w:rPr>
        <w:softHyphen/>
        <w:t>ства самолетов СБ-РК и постановку производства самолетов ПБ-100 - 10 млн.руб., в том числе по фонду зарплаты 5 млн. рублей;</w:t>
      </w:r>
    </w:p>
    <w:p w14:paraId="037F1A20"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на премирование рабочих и ИТР завода № 22 за вы</w:t>
      </w:r>
      <w:r w:rsidRPr="00A3026E">
        <w:rPr>
          <w:rFonts w:ascii="Times New Roman" w:hAnsi="Times New Roman"/>
          <w:color w:val="0070C0"/>
          <w:sz w:val="16"/>
          <w:szCs w:val="16"/>
        </w:rPr>
        <w:softHyphen/>
        <w:t>полнение программы 1941 г. 5 мил. руб. с равномерной выдачей премий за выполнение квартальных программ.</w:t>
      </w:r>
    </w:p>
    <w:p w14:paraId="3E19DEBE"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Выписки посланы:</w:t>
      </w:r>
    </w:p>
    <w:p w14:paraId="018303CE"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т.т. Шахурину, Окулову, Хломову;</w:t>
      </w:r>
    </w:p>
    <w:p w14:paraId="1A35B514"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Берия, Кравченко – 26, Акимову-4,</w:t>
      </w:r>
    </w:p>
    <w:p w14:paraId="19707F6F"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Денисову-5. Гроссману-8, Микояну-11,</w:t>
      </w:r>
    </w:p>
    <w:p w14:paraId="0BD58907"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Пронину - 12, Звереву – 15 (22072).</w:t>
      </w:r>
    </w:p>
    <w:p w14:paraId="19F67626" w14:textId="77777777" w:rsidR="00E05597" w:rsidRPr="00A3026E" w:rsidRDefault="00E05597" w:rsidP="00A3026E">
      <w:pPr>
        <w:spacing w:after="0" w:line="240" w:lineRule="auto"/>
        <w:jc w:val="both"/>
        <w:rPr>
          <w:rFonts w:ascii="Times New Roman" w:hAnsi="Times New Roman"/>
          <w:color w:val="0070C0"/>
          <w:sz w:val="16"/>
          <w:szCs w:val="16"/>
        </w:rPr>
      </w:pPr>
    </w:p>
    <w:p w14:paraId="7984EC08"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ноября 1940 вышло Постановление Комитета обороны при СНК СССР № 436сс "О принятии на вооружение ВВС Красной Армии и авиации ВМФ системы расчета слепой посадки "Ночь-1" для бомбардировочных самолетов"</w:t>
      </w:r>
    </w:p>
    <w:p w14:paraId="7B5FE5B4" w14:textId="77777777" w:rsidR="00E05597" w:rsidRPr="00A3026E" w:rsidRDefault="00E055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Систему расчета слепой посадки бомбардировочных самоле</w:t>
      </w:r>
      <w:r w:rsidRPr="00A3026E">
        <w:rPr>
          <w:rFonts w:ascii="Times New Roman" w:hAnsi="Times New Roman"/>
          <w:color w:val="0070C0"/>
          <w:sz w:val="16"/>
          <w:szCs w:val="16"/>
        </w:rPr>
        <w:softHyphen/>
        <w:t>тов "НОЧЬ-1", состоящую из наземного устройства и 2-х радио - маяков производства завода № 327 Наркомэлектропрома, работавших на ультра-коротких волнах, и самолетного устройства про</w:t>
      </w:r>
      <w:r w:rsidRPr="00A3026E">
        <w:rPr>
          <w:rFonts w:ascii="Times New Roman" w:hAnsi="Times New Roman"/>
          <w:color w:val="0070C0"/>
          <w:sz w:val="16"/>
          <w:szCs w:val="16"/>
        </w:rPr>
        <w:softHyphen/>
        <w:t>изводства завода № 210, принять на вооружение Военно-Воздушныз Сил Красной Армии и авиации Военно-Морского флота (22073).</w:t>
      </w:r>
    </w:p>
    <w:p w14:paraId="28FC2580" w14:textId="77777777" w:rsidR="00E05597" w:rsidRPr="00A3026E" w:rsidRDefault="00E05597" w:rsidP="00A3026E">
      <w:pPr>
        <w:spacing w:after="0" w:line="240" w:lineRule="auto"/>
        <w:jc w:val="both"/>
        <w:rPr>
          <w:rFonts w:ascii="Times New Roman" w:hAnsi="Times New Roman"/>
          <w:color w:val="0070C0"/>
          <w:sz w:val="16"/>
          <w:szCs w:val="16"/>
        </w:rPr>
      </w:pPr>
    </w:p>
    <w:p w14:paraId="35BE73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Каневский подписал сводку о подготовке самолетов к параду. Должны были лететь более 40 ББ-22, И-200, И-26 (1170).</w:t>
      </w:r>
    </w:p>
    <w:p w14:paraId="666CC50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5CF83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начались испытания первого экз. ББ с 2хМ-105ТК А.А.Архангельского, но без ТК (822). Это был СБ Б 2М-105 (2090,232).</w:t>
      </w:r>
    </w:p>
    <w:p w14:paraId="34FB271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21679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группа Як-1 вылетела из Кубинки на тушинский аэродром и ночью сели успешно при одном прожекторе (65,43).</w:t>
      </w:r>
    </w:p>
    <w:p w14:paraId="532E418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9400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года начальник НИП АВ ВВС полковник Шевченко утвердил:</w:t>
      </w:r>
    </w:p>
    <w:p w14:paraId="38D0EF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о полигонных испытаниях пяти турельных и пяти синхронных пулеметов "ШКАС" калибра 7,62 мм, изготовленных валовым порядком в 1940 году</w:t>
      </w:r>
    </w:p>
    <w:p w14:paraId="428C18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9 сентября 1940 года</w:t>
      </w:r>
    </w:p>
    <w:p w14:paraId="13A383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25 октября 1940 года</w:t>
      </w:r>
    </w:p>
    <w:p w14:paraId="02FE40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6EF227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Ивашечкин</w:t>
      </w:r>
    </w:p>
    <w:p w14:paraId="5ADC18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48AA02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автоматику и живучесть пулеметов при стрельбе на земле и с самолета в воздухе до исчерпания живучести ствольной коробки.</w:t>
      </w:r>
    </w:p>
    <w:p w14:paraId="3D2EC7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6B42BD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Турельный пулемет "ШКАС" может нормально работать при полной взаимозаменяемости деталей, за исключением ствольной коробки и затыльника, в среднем до 35000-40000 выстрелов.</w:t>
      </w:r>
    </w:p>
    <w:p w14:paraId="0902903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Синхронный пулемет "ШКАС" может нормально работать при полной взаимозаменяемости деталей, за исключением ствольной коробки и затыльника, в среднем до 20000-25000 выстрелов (7434).</w:t>
      </w:r>
    </w:p>
    <w:p w14:paraId="4262DE1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65EF62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г. временный начальник опытного отдела НИП АВ ВВС КА военинженер 1 ранга Г.И.Глушенко направил на имя начальника 8 управления ГУ ВВС КА военинженера 1 ранга Никонова отчет по полигонным испытаниям установки. Естественно, поскольку в задней части орудия жестко крепился пиропистолет. заряжать орудие снарядом можно было только с передней части {с так называемого «дульного среза).</w:t>
      </w:r>
    </w:p>
    <w:p w14:paraId="2BA8D7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тем тема блокирования ракетных орудий в ракетно-орудий</w:t>
      </w:r>
      <w:r w:rsidRPr="00A3026E">
        <w:rPr>
          <w:rFonts w:ascii="Times New Roman" w:hAnsi="Times New Roman"/>
          <w:color w:val="000000" w:themeColor="text1"/>
          <w:sz w:val="16"/>
          <w:szCs w:val="16"/>
        </w:rPr>
        <w:softHyphen/>
        <w:t>ные батареи нашла в предвоенный период довольно смелое продолже</w:t>
      </w:r>
      <w:r w:rsidRPr="00A3026E">
        <w:rPr>
          <w:rFonts w:ascii="Times New Roman" w:hAnsi="Times New Roman"/>
          <w:color w:val="000000" w:themeColor="text1"/>
          <w:sz w:val="16"/>
          <w:szCs w:val="16"/>
        </w:rPr>
        <w:softHyphen/>
        <w:t xml:space="preserve">ние. Так, в НИИ-3 НКБ были спроектированы, созданы и испытаны восемнадцатизарядная ракетно-орудийная батарея 18РОБ-82 для стрельбы ракетными снарядами калибра 82 мм и пятизарядная </w:t>
      </w:r>
      <w:r w:rsidRPr="00A3026E">
        <w:rPr>
          <w:rFonts w:ascii="Times New Roman" w:hAnsi="Times New Roman"/>
          <w:color w:val="000000" w:themeColor="text1"/>
          <w:sz w:val="16"/>
          <w:szCs w:val="16"/>
        </w:rPr>
        <w:lastRenderedPageBreak/>
        <w:t>ракетно-орудийная батарея 5РОБ-132 для стрельбы ракетными снарядами калибра 132 мм с бомбардировщиков ДБ-3. Обе они были предназначены для замены однопланочных «стационарных ракетных орудий путем подвески в су</w:t>
      </w:r>
      <w:r w:rsidRPr="00A3026E">
        <w:rPr>
          <w:rFonts w:ascii="Times New Roman" w:hAnsi="Times New Roman"/>
          <w:color w:val="000000" w:themeColor="text1"/>
          <w:sz w:val="16"/>
          <w:szCs w:val="16"/>
        </w:rPr>
        <w:softHyphen/>
        <w:t>ществующие бомбовые замки Дер-31 под консоли плоскостей самолета». Перед обычной схемой установки РО батареи имели преимущество в том, что их можно было использовать только когда перед экипажем самолета ставили боевую задачу по применению ракетного вооружения ТТТ на эти РОБ обнаружить не удалось. Характер переписки по этой теме свидетельствует об инициативной разработке конструкторов (11402).</w:t>
      </w:r>
    </w:p>
    <w:p w14:paraId="07687E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EB746E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828EC6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5012F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г. маршал С. Тимошенко об</w:t>
      </w:r>
      <w:r w:rsidRPr="00A3026E">
        <w:rPr>
          <w:rFonts w:ascii="Times New Roman" w:hAnsi="Times New Roman"/>
          <w:color w:val="000000" w:themeColor="text1"/>
          <w:sz w:val="16"/>
          <w:szCs w:val="16"/>
        </w:rPr>
        <w:softHyphen/>
        <w:t>ратился к Председателю КО при СНК СССР К. Ворошило</w:t>
      </w:r>
      <w:r w:rsidRPr="00A3026E">
        <w:rPr>
          <w:rFonts w:ascii="Times New Roman" w:hAnsi="Times New Roman"/>
          <w:color w:val="000000" w:themeColor="text1"/>
          <w:sz w:val="16"/>
          <w:szCs w:val="16"/>
        </w:rPr>
        <w:softHyphen/>
        <w:t>ву со следующим письмом:</w:t>
      </w:r>
    </w:p>
    <w:p w14:paraId="1995F6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«Проведенные опытные учения Танковых и Механизиро</w:t>
      </w:r>
      <w:r w:rsidRPr="00A3026E">
        <w:rPr>
          <w:rFonts w:ascii="Times New Roman" w:hAnsi="Times New Roman"/>
          <w:color w:val="000000" w:themeColor="text1"/>
          <w:sz w:val="16"/>
          <w:szCs w:val="16"/>
        </w:rPr>
        <w:softHyphen/>
        <w:t>ванных Войск показали, что вопросы управления танковыми подразделениями крайне затруднены.</w:t>
      </w:r>
    </w:p>
    <w:p w14:paraId="29305F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Смотровой прибор механика-водителя танка Т III на исследовании в НИБТполигоне.</w:t>
      </w:r>
    </w:p>
    <w:p w14:paraId="3FBCA4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длительных пробегов и испытаний танков, а также изучение передовых образцов иностранной танко</w:t>
      </w:r>
      <w:r w:rsidRPr="00A3026E">
        <w:rPr>
          <w:rFonts w:ascii="Times New Roman" w:hAnsi="Times New Roman"/>
          <w:color w:val="000000" w:themeColor="text1"/>
          <w:sz w:val="16"/>
          <w:szCs w:val="16"/>
        </w:rPr>
        <w:softHyphen/>
        <w:t>вой техники показывают, что в Тактико-Технические тре</w:t>
      </w:r>
      <w:r w:rsidRPr="00A3026E">
        <w:rPr>
          <w:rFonts w:ascii="Times New Roman" w:hAnsi="Times New Roman"/>
          <w:color w:val="000000" w:themeColor="text1"/>
          <w:sz w:val="16"/>
          <w:szCs w:val="16"/>
        </w:rPr>
        <w:softHyphen/>
        <w:t>бования по нашим танкам необходимо внести соответству</w:t>
      </w:r>
      <w:r w:rsidRPr="00A3026E">
        <w:rPr>
          <w:rFonts w:ascii="Times New Roman" w:hAnsi="Times New Roman"/>
          <w:color w:val="000000" w:themeColor="text1"/>
          <w:sz w:val="16"/>
          <w:szCs w:val="16"/>
        </w:rPr>
        <w:softHyphen/>
        <w:t>ющие дополнения.</w:t>
      </w:r>
    </w:p>
    <w:p w14:paraId="42FC2C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Танковому командиру, начиная от отдельного танка и выше, необходимо дать возможность полного и постоянного наблюдения за полем боя, за обстановкой и за подчиненными ему танками, освободив его окончательно от обязанности ар</w:t>
      </w:r>
      <w:r w:rsidRPr="00A3026E">
        <w:rPr>
          <w:rFonts w:ascii="Times New Roman" w:hAnsi="Times New Roman"/>
          <w:color w:val="000000" w:themeColor="text1"/>
          <w:sz w:val="16"/>
          <w:szCs w:val="16"/>
        </w:rPr>
        <w:softHyphen/>
        <w:t>тиллериста или заряжающего.</w:t>
      </w:r>
    </w:p>
    <w:p w14:paraId="5F4AF5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 время смотровые приборы и средства обозрения для командира ограниченны и вызывают крайнюю необходи</w:t>
      </w:r>
      <w:r w:rsidRPr="00A3026E">
        <w:rPr>
          <w:rFonts w:ascii="Times New Roman" w:hAnsi="Times New Roman"/>
          <w:color w:val="000000" w:themeColor="text1"/>
          <w:sz w:val="16"/>
          <w:szCs w:val="16"/>
        </w:rPr>
        <w:softHyphen/>
        <w:t>мость увеличения круговой видимости и обзорности для каж</w:t>
      </w:r>
      <w:r w:rsidRPr="00A3026E">
        <w:rPr>
          <w:rFonts w:ascii="Times New Roman" w:hAnsi="Times New Roman"/>
          <w:color w:val="000000" w:themeColor="text1"/>
          <w:sz w:val="16"/>
          <w:szCs w:val="16"/>
        </w:rPr>
        <w:softHyphen/>
        <w:t>дого отдельного танка.</w:t>
      </w:r>
    </w:p>
    <w:p w14:paraId="59BB73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необходимо значительно понизить усилия на приводах управления танком при вождении.</w:t>
      </w:r>
    </w:p>
    <w:p w14:paraId="075634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повышения боевых качеств танков... необходимо внести следующие дополнения в ТТТ.</w:t>
      </w:r>
    </w:p>
    <w:p w14:paraId="113542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Установить на башнях танков специальные командир</w:t>
      </w:r>
      <w:r w:rsidRPr="00A3026E">
        <w:rPr>
          <w:rFonts w:ascii="Times New Roman" w:hAnsi="Times New Roman"/>
          <w:color w:val="000000" w:themeColor="text1"/>
          <w:sz w:val="16"/>
          <w:szCs w:val="16"/>
        </w:rPr>
        <w:softHyphen/>
        <w:t>ские смотровые башенки с круговым обзором.</w:t>
      </w:r>
    </w:p>
    <w:p w14:paraId="434D4B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Пересмотреть численный состав экипажей.</w:t>
      </w:r>
    </w:p>
    <w:p w14:paraId="0766E7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Уточнить вооружение и боекомплект.</w:t>
      </w:r>
    </w:p>
    <w:p w14:paraId="11C8B4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Для внешней связи потребовать установки р/с КРСТБ меньш. по габаритам, чем 71-ТКипроще в настройке.</w:t>
      </w:r>
    </w:p>
    <w:p w14:paraId="5BBA1C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Для внутренней связи потребовать применение ларин</w:t>
      </w:r>
      <w:r w:rsidRPr="00A3026E">
        <w:rPr>
          <w:rFonts w:ascii="Times New Roman" w:hAnsi="Times New Roman"/>
          <w:color w:val="000000" w:themeColor="text1"/>
          <w:sz w:val="16"/>
          <w:szCs w:val="16"/>
        </w:rPr>
        <w:softHyphen/>
        <w:t>гофонов взамен громоздких микрофонов.</w:t>
      </w:r>
    </w:p>
    <w:p w14:paraId="0DE935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 Смотровые приборы механика-водителя и радиста заме</w:t>
      </w:r>
      <w:r w:rsidRPr="00A3026E">
        <w:rPr>
          <w:rFonts w:ascii="Times New Roman" w:hAnsi="Times New Roman"/>
          <w:color w:val="000000" w:themeColor="text1"/>
          <w:sz w:val="16"/>
          <w:szCs w:val="16"/>
        </w:rPr>
        <w:softHyphen/>
        <w:t>нить на более совершенные. Водителю, кроме того, установить оптический смотровой прибор.</w:t>
      </w:r>
    </w:p>
    <w:p w14:paraId="46C33B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Потребовать гарантийный срок работы танка не ме</w:t>
      </w:r>
      <w:r w:rsidRPr="00A3026E">
        <w:rPr>
          <w:rFonts w:ascii="Times New Roman" w:hAnsi="Times New Roman"/>
          <w:color w:val="000000" w:themeColor="text1"/>
          <w:sz w:val="16"/>
          <w:szCs w:val="16"/>
        </w:rPr>
        <w:softHyphen/>
        <w:t>нее 600 часов до К. Р.</w:t>
      </w:r>
    </w:p>
    <w:p w14:paraId="4ACB48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Подвеску танка Т-34 переделать на индивидуальную</w:t>
      </w:r>
    </w:p>
    <w:p w14:paraId="739D75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торсионную.</w:t>
      </w:r>
    </w:p>
    <w:p w14:paraId="7AA68A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В первой половине 1941 г. заводы должны разработать и подготовить к серийному выпуску планетарную трансмис</w:t>
      </w:r>
      <w:r w:rsidRPr="00A3026E">
        <w:rPr>
          <w:rFonts w:ascii="Times New Roman" w:hAnsi="Times New Roman"/>
          <w:color w:val="000000" w:themeColor="text1"/>
          <w:sz w:val="16"/>
          <w:szCs w:val="16"/>
        </w:rPr>
        <w:softHyphen/>
        <w:t>сию для танков Т-34 и КВ. Это позволит увеличить среднюю скорость танков и облегчить управление.</w:t>
      </w:r>
    </w:p>
    <w:p w14:paraId="62223A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Представляю проект постановления КО.</w:t>
      </w:r>
    </w:p>
    <w:p w14:paraId="562D26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утвердить.</w:t>
      </w:r>
    </w:p>
    <w:p w14:paraId="1D20C5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Маршал Советского Союза С. Тимошенко» (10782).</w:t>
      </w:r>
    </w:p>
    <w:p w14:paraId="0D3399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F9C41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г. по результатам испытаний первых танков маршал С. К. Тимошенко обратился в правительство с письмом, в котором, в частности, говорилось: «В первой половине 1941 г. заводы должны разработать и подготовить к серийному производству планетарную трансмиссию для Т-34 и КВ. Это позволит увеличить среднюю скорость танков и облегчить управление». Однако за оставшиеся полтора года до войны наказ Тимошенко так и не был выполнен конструкторами и промышленностью (11741).</w:t>
      </w:r>
    </w:p>
    <w:p w14:paraId="787814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1C09D62"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г., учитывая важность и срочность вопроса повышения боевых качеств новых танков, народный комиссар обороны СССР С.К. Тимошенко направил председателю Комитета обороны при СНК СССР К.Е. Ворошилову </w:t>
      </w:r>
      <w:hyperlink r:id="rId67" w:tgtFrame="_blank" w:history="1">
        <w:r w:rsidRPr="00A3026E">
          <w:rPr>
            <w:rStyle w:val="a5"/>
            <w:rFonts w:ascii="Times New Roman" w:hAnsi="Times New Roman"/>
            <w:color w:val="000000" w:themeColor="text1"/>
            <w:sz w:val="16"/>
            <w:szCs w:val="16"/>
          </w:rPr>
          <w:t>письмо № 17800сс</w:t>
        </w:r>
      </w:hyperlink>
      <w:r w:rsidRPr="00A3026E">
        <w:rPr>
          <w:rFonts w:ascii="Times New Roman" w:hAnsi="Times New Roman"/>
          <w:color w:val="000000" w:themeColor="text1"/>
          <w:sz w:val="16"/>
          <w:szCs w:val="16"/>
        </w:rPr>
        <w:t> следующего содержания: </w:t>
      </w:r>
    </w:p>
    <w:p w14:paraId="456282DB"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«Проведенные опытные учения танковых и механизированных частей и соединений показали, что вопросы управления танковыми подразделениями крайне затруднительны. После первого же этапа боя нарушается взаимодействие и связь отдельных танков и танковых подразделений. </w:t>
      </w:r>
    </w:p>
    <w:p w14:paraId="6F42E59F"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длительных пробегов и испытаний танков, а также изучение образцов иностранной танковой техники показывают, что в тактико-технические требования по нашим танкам СП, Т-34 и КВ необходимо внести соответствующие дополнения. </w:t>
      </w:r>
    </w:p>
    <w:p w14:paraId="746FEB56"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Танковому командиру, начиная от отдельного танка и выше необходимо дать возможность полного и постоянного наблюдения за полем боя, за обстановкой и за подчиненными ему танками, освободив его окончательно от дополнительной обязанности артиллериста или заряжающего. </w:t>
      </w:r>
    </w:p>
    <w:p w14:paraId="04A435B6"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смотровые приборы и средства обзорности для командира ограничены и вызывают крайнюю необходимость увеличения круговой видимости и обзорности для каждого отдельного танка. </w:t>
      </w:r>
    </w:p>
    <w:p w14:paraId="2AAD3726"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повышения боевых качеств танков СП, Т-34 и КВ необходимо внести следующие дополнения в тактико-технические требования: </w:t>
      </w:r>
    </w:p>
    <w:p w14:paraId="522970D7"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Установить на башнях танков СП, Т-34 и КВ специальные командирские смотровые башенки с круговым обзором. </w:t>
      </w:r>
    </w:p>
    <w:p w14:paraId="1ADABF40"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Пересмотреть численный состав экипажей. </w:t>
      </w:r>
    </w:p>
    <w:p w14:paraId="54E7B73E"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Уточнить вооружение и боекомплект. </w:t>
      </w:r>
    </w:p>
    <w:p w14:paraId="586D99D1"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Для внешней связи потребовать установку рации КРСТБ, меньшую по габаритам, чем 71-ТК-3 и проще в настройке. </w:t>
      </w:r>
    </w:p>
    <w:p w14:paraId="7FB2CE06"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Для внутренней связи потребовать применение ларингофонов взамен громоздких микрофонов; </w:t>
      </w:r>
    </w:p>
    <w:p w14:paraId="0996B9FD"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Смотровые приборы водителя и радиста заменить на более совершенные. Водителю кроме того установить оптический смотровой прибор. </w:t>
      </w:r>
    </w:p>
    <w:p w14:paraId="7669D17C"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Потребовать гарантийный срок работы танка не менее 600 часов до капитального ремонта. </w:t>
      </w:r>
    </w:p>
    <w:p w14:paraId="54967330"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Подвеску танка Т-34 переделать на индивидуальную, торсионную, что позволит получить дополнительный объем внутри танка, занятый для ограждения пружин подвески. </w:t>
      </w:r>
    </w:p>
    <w:p w14:paraId="2ACDDD11"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В первой половине 1941 г. заводы должны разработать и подготовить к серийному выпуску планетарную трансмиссию для танков СП, Т-34 и КВ. Это позволит увеличить средние скорости танков и облегчить управление. </w:t>
      </w:r>
    </w:p>
    <w:p w14:paraId="36A6ACD8"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Представляю проект постановления КО. Прошу утвердить».</w:t>
      </w:r>
    </w:p>
    <w:p w14:paraId="3341A1E0"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Ф.4. Оп.14. Д. 2892. Л.76 – 77]</w:t>
      </w:r>
    </w:p>
    <w:p w14:paraId="77EBEC2F"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приложенном к письму проекте постановления «О дополнениях в тактико-технические требования по танкам СП, Т-34 и КВ», относительно танка Т-34 предусматривалось следующее: </w:t>
      </w:r>
    </w:p>
    <w:p w14:paraId="30D0B0CD"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увеличение экипажа до пяти человек, трое из которых (командир, наводчик и заряжающий) должны были располагаться в боевом отделении; </w:t>
      </w:r>
    </w:p>
    <w:p w14:paraId="511B6756"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расширение башни и установка на ее крыше командирской башенки с круговым обзором; </w:t>
      </w:r>
    </w:p>
    <w:p w14:paraId="2358374B"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увеличение боекомплекта и установка боеукладки, позволяющей производить 6 – 8 прицельных выстрелов в минуту при движении танка; </w:t>
      </w:r>
    </w:p>
    <w:p w14:paraId="0A4E050D"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замена пружинной подвески на торсионную; </w:t>
      </w:r>
    </w:p>
    <w:p w14:paraId="6E247E2A"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установка более совершенных смотровых приборов; </w:t>
      </w:r>
    </w:p>
    <w:p w14:paraId="0909052D"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оснащение танка более совершенными средствами внешней и внутренней связи. </w:t>
      </w:r>
    </w:p>
    <w:p w14:paraId="3A1842D3"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Также в проекте постановления был перечислен ряд менее существенных доработок конструкции танка Т-34, повышавших его боевые и эксплуатационные качества. При этом на реализацию всех изменений и улучшений, согласно этому документу, промышленности отводилось менее двух месяцев. </w:t>
      </w:r>
    </w:p>
    <w:p w14:paraId="4FC86A53"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конструкция танка Т-34, освоение крупносерийного производства которого только налаживалось на заводе № 183 и СТЗ, должна была подвернуться значительным изменениям. Необходимость этих изменений подтверждалась и промежуточными результатами длительного пробега трех серийных танков Т-34 по маршруту Харьков – Кубинка – Смоленск – Киев – Харьков (18206).</w:t>
      </w:r>
    </w:p>
    <w:p w14:paraId="56A3CB8A" w14:textId="77777777" w:rsidR="000D0FFC" w:rsidRPr="00A3026E" w:rsidRDefault="000D0FFC" w:rsidP="00A3026E">
      <w:pPr>
        <w:spacing w:after="0" w:line="240" w:lineRule="auto"/>
        <w:jc w:val="both"/>
        <w:rPr>
          <w:rFonts w:ascii="Times New Roman" w:hAnsi="Times New Roman"/>
          <w:color w:val="000000" w:themeColor="text1"/>
          <w:sz w:val="16"/>
          <w:szCs w:val="16"/>
        </w:rPr>
      </w:pPr>
    </w:p>
    <w:p w14:paraId="64C461B8"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г.</w:t>
      </w:r>
    </w:p>
    <w:p w14:paraId="5CE5C1F5"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4 Опись 14 Дело 2892 листы 76 – 77 </w:t>
      </w:r>
    </w:p>
    <w:p w14:paraId="754EC657"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 СЕКРЕТНО. </w:t>
      </w:r>
    </w:p>
    <w:p w14:paraId="6A1BFED9"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2 </w:t>
      </w:r>
    </w:p>
    <w:p w14:paraId="4F0CC5CA"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Ноября 1940 г. </w:t>
      </w:r>
    </w:p>
    <w:p w14:paraId="380CB2FF"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17800сс </w:t>
      </w:r>
    </w:p>
    <w:p w14:paraId="5A3BA798"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ПРЕДСЕДАТЕЛЮ КОМИТЕТА ОБОРОНЫ при СНК СССР</w:t>
      </w:r>
    </w:p>
    <w:p w14:paraId="3D994C95"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МАРШАЛУ СОВЕТСКОГО СОЮЗА тов. ВОРОШИЛОВУ</w:t>
      </w:r>
    </w:p>
    <w:p w14:paraId="3D1BCC37"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Проведенные опытные учения танковых и механизированных частей и соединений показали, что вопросы управления танковыми подразделениями крайне затруднительны. После первого же этапа боя нарушается взаимодействие и связь отдельных танков и танковых подразделений. </w:t>
      </w:r>
    </w:p>
    <w:p w14:paraId="6E763CE2"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Результаты длительных пробегов и испытаний танков, а также изучение образцов иностранной танковой техники показывают, что в тактико-технические требования по нашим танкам СП, Т-34 и КВ необходимо внести соответствующие дополнения. </w:t>
      </w:r>
    </w:p>
    <w:p w14:paraId="490AA150"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Танковому командиру, начиная от отдельного танка и выше, необходимо дать возможность полного и постоянного наблюдения за полем боя, за обстановкой и за подчиненными ему танками, освободив его окончательно от дополнительной обязанности артиллериста или заряжающего. </w:t>
      </w:r>
    </w:p>
    <w:p w14:paraId="37DB539A"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настоящее время смотровые приборы и средства обзорности для командира ограничены и вызывают крайнюю необходимость увеличения круговой видимости и обзорности для каждого отдельного танка. </w:t>
      </w:r>
    </w:p>
    <w:p w14:paraId="7423171B"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Одновременно вызывается необходимость резко понизить усилия на рычагах и педалях управления и переключения передач при вождении танка. </w:t>
      </w:r>
    </w:p>
    <w:p w14:paraId="013A50B0"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целях повышения боевых качеств танков СП, Т-34 и КВ необходимо внести следующие дополнения в тактико-технические требования: </w:t>
      </w:r>
    </w:p>
    <w:p w14:paraId="35361660"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Установить на башнях танков СП, Т-34 и КВ специальные командирские смотровые башенки с круговым обзором. </w:t>
      </w:r>
    </w:p>
    <w:p w14:paraId="770541AE"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Пересмотреть численный состав экипажей. </w:t>
      </w:r>
    </w:p>
    <w:p w14:paraId="1FB5AFA1"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Уточнить вооружение и боекомплект. </w:t>
      </w:r>
    </w:p>
    <w:p w14:paraId="181F75A7"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Для внешней связи потребовать установку рации КРСТБ, меньшую по габаритам, чем 71-ТК-3 и проще в настройке. </w:t>
      </w:r>
    </w:p>
    <w:p w14:paraId="09F14A0F"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Для внутренней связи потребовать применение ларингофонов взамен громоздких микрофонов. </w:t>
      </w:r>
    </w:p>
    <w:p w14:paraId="08B2D262"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Смотровые приборы водителя и радиста заменить на более совершенные. Водителю кроме того устанавливать оптический смотровой прибор. </w:t>
      </w:r>
    </w:p>
    <w:p w14:paraId="4F3D9E2A"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Потребовать гарантийный срок работы танка не менее 600 часов до капитального ремонта. </w:t>
      </w:r>
    </w:p>
    <w:p w14:paraId="09E9A3AD"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Подвеску танка Т-34 переделать на индивидуальную, торсионную, что позволит получить дополнительный объем внутри танка, занятый для ограждения пружин подвески. </w:t>
      </w:r>
    </w:p>
    <w:p w14:paraId="6338E555"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В первой половине 1941 г. заводы должны разработать и подготовить к серийному выпуску планетарную трансмиссию для танков СП, Т-34 и КВ. Это позволит увеличить средние скорости танков и облегчить управление. </w:t>
      </w:r>
    </w:p>
    <w:p w14:paraId="18C2E4A5"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Представляю проект постановления КО. </w:t>
      </w:r>
    </w:p>
    <w:p w14:paraId="07CA3D99"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Прошу утвердить. </w:t>
      </w:r>
    </w:p>
    <w:p w14:paraId="74A9DE23"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ПРИЛОЖЕНИЕ: на 4-х листах. </w:t>
      </w:r>
    </w:p>
    <w:p w14:paraId="33BBD076"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МАРШАЛ СОВЕТСКОГО СОЮЗА (С. ТИМОШЕНКО)</w:t>
      </w:r>
    </w:p>
    <w:p w14:paraId="47392080"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Верно: подпись </w:t>
      </w:r>
    </w:p>
    <w:p w14:paraId="75A09BF9"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4 Опись 14 Дело 2892 листы 78 – 81 </w:t>
      </w:r>
    </w:p>
    <w:p w14:paraId="2D8C989E"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 СЕКРЕТНО. </w:t>
      </w:r>
    </w:p>
    <w:p w14:paraId="05C7B44D"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___ </w:t>
      </w:r>
    </w:p>
    <w:p w14:paraId="595CABB6"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w:t>
      </w:r>
    </w:p>
    <w:p w14:paraId="533458BB"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КОМИТЕТА ОБОРОНЫ при СНК СОЮЗА ССР</w:t>
      </w:r>
    </w:p>
    <w:p w14:paraId="1A3CE231"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___</w:t>
      </w:r>
    </w:p>
    <w:p w14:paraId="2CBE26A0"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"___" Ноября 1940 года.</w:t>
      </w:r>
    </w:p>
    <w:p w14:paraId="15DCA424"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Москва-Кремль</w:t>
      </w:r>
    </w:p>
    <w:p w14:paraId="4C91AEA7"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СОДЕРЖАНИЕ: О дополнениях в тактико-технические требования по танкам СП, Т-34 и КВ.</w:t>
      </w:r>
    </w:p>
    <w:p w14:paraId="0BE611A4"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КОМИТЕТ ОБОРОНЫ ПОСТАНОВЛЯЕТ:</w:t>
      </w:r>
    </w:p>
    <w:p w14:paraId="143F734F"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Внести в тактико-технические требования по танкам СП, Т-34 и КВ следующие дополнения: </w:t>
      </w:r>
    </w:p>
    <w:p w14:paraId="6137500D"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Для повышения удобства работы орудийного расчета на танках СП, Т-34 и КВ произвести расширение орудийной башни и установить на ней специальную командирскую смотровую башенку с круговым обзором. </w:t>
      </w:r>
    </w:p>
    <w:p w14:paraId="2206DEF6"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Установить состав экипажей танков СП, Т-34 и КВ в следующих количествах: </w:t>
      </w:r>
    </w:p>
    <w:p w14:paraId="7CA44DD8"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для танка СП четыре человека, из которых водитель в носовой части, а командир и два артиллериста в башне танка. </w:t>
      </w:r>
    </w:p>
    <w:p w14:paraId="464B4670"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для танков Т-34 и КВ пять человек, из которых командир и два артиллериста в башне танка, а водитель и радист в носовой части танка. </w:t>
      </w:r>
    </w:p>
    <w:p w14:paraId="50DA10FA"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Вооружение танков утвердить в следующем порядке: </w:t>
      </w:r>
    </w:p>
    <w:p w14:paraId="58CA1BF0"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для танка СП – одна 45 мм пушка, спаренная с пулеметом ДТ в башне танка и два пистолета-пулемета Дегтярева (ППД), из которых: один в башне для стрельбы из люков и второй водителю; </w:t>
      </w:r>
    </w:p>
    <w:p w14:paraId="5C9EAD36"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для танка Т-34 – одна 76 мм пушка, спаренная с пулеметом ДТ в башне, второй пулемет ДТ радисту и один пистолет-пулемет Дегтярева (ППД) в башне танка для стрельбы из люков; </w:t>
      </w:r>
    </w:p>
    <w:p w14:paraId="4E67E774"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для танка КВ – одна 76 мм пушка, спаренная с пулеметом ДТ в башне танка, второй пулемет ДТ установить радисту, третий пулемет ДТ установить в нише башни и один пистолет-пулемет Дегтярева (ППД) в башне танка для стрельбы из люков. </w:t>
      </w:r>
    </w:p>
    <w:p w14:paraId="03272A21"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Боекомплект на танках Т-34 и КВ установить в следующих количествах: </w:t>
      </w:r>
    </w:p>
    <w:p w14:paraId="1087F76D"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для танка КВ – 76 мм снарядов не менее 115 шт., и винт. патронов не менее 4000 шт. и патронов для ППД не менее 500 шт. </w:t>
      </w:r>
    </w:p>
    <w:p w14:paraId="4B2BD65C"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для танка Т-34 – 76 мм снарядов не менее 100 шт., винт. патронов не менее 4500 шт. и патронов для ППД не менее 500 шт. </w:t>
      </w:r>
    </w:p>
    <w:p w14:paraId="6BCB5605"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Боеукладка снарядов на танках СП, Т-34 и КВ должна быть удобной при пользовании и обеспечивать экипажу темп стрельбы не менее 6 – 8 выстрелов в минуту на ходу танка. </w:t>
      </w:r>
    </w:p>
    <w:p w14:paraId="72AFEC68"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Смотровые приборы водителя и радиста на танках СП, Т-34 и КВ должны обеспечивать видимость обеих крыльев танка, не пропускать пуль и свинцовых брызг, а также быстро сменяться при поражениях. </w:t>
      </w:r>
    </w:p>
    <w:p w14:paraId="620D55E1"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Для лучшего обеспечения наблюдения при вождении танков СП, Т-34 и КВ установить в них для водителя дополнительный оптический прибор. </w:t>
      </w:r>
    </w:p>
    <w:p w14:paraId="34A47B92"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Для наблюдения из танков СП, Т-34 и КВ по сторонам установить бортовые смотровые приборы (по одному на сторону) для удобного пользования ими водителю и радисту танка. </w:t>
      </w:r>
    </w:p>
    <w:p w14:paraId="252559EC"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Для внешней связи танков СП, Т-34 и КВ установить рацию КРСТБ, предусмотрев возможность размещения и работу рации 71-ТК-3. </w:t>
      </w:r>
    </w:p>
    <w:p w14:paraId="24F769F5"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Внутританковая связь, телефон и ларингофон должны обеспечивать связь: </w:t>
      </w:r>
    </w:p>
    <w:p w14:paraId="42A8B0D3"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на танке СП – командиру с водителем и артиллеристом; </w:t>
      </w:r>
    </w:p>
    <w:p w14:paraId="5C9459CE"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на танке Т-34 и КВ – командиру с водителем, радистом и артиллеристом. </w:t>
      </w:r>
    </w:p>
    <w:p w14:paraId="424614CB"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По танку Т-34 подвеску танка выполнить индивидуальной, торсионной с установкой на передних и задних катках амортизаторов. Поддерживающие катки выполнить с внутренней амортизацией. </w:t>
      </w:r>
    </w:p>
    <w:p w14:paraId="15988B3D"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Межремонтный срок работы танков СП, Т-34 и КВ должен быть не менее 600 часов, до капитального ремонта. </w:t>
      </w:r>
    </w:p>
    <w:p w14:paraId="18224E52"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Обязать НКСМ и НКТМ к 1.I-1941 г. изготовить образцы и подготовить производство к выпуску серийных танков Т-34 и КВ с внесенными дополнениями, согласно настоящего постановления. </w:t>
      </w:r>
    </w:p>
    <w:p w14:paraId="77236B3D"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 Для обеспечения легкости управления и повышения максимальных скоростей танков СП и КВ до 40 – 50 км/час и танка Т-34 до 60 – 70 км/час – обязать НКСМ и НКТМ к 1.IV-1941 г. изготовить образцы и подготовить производство серийного выпуска планетарной трансмиссии для танков СП, Т-34 и КВ. </w:t>
      </w:r>
    </w:p>
    <w:p w14:paraId="24D5FFFE"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Агрегаты планетарной трансмиссии, смонтированные в танке, должны работать безотказно установленный срок до капитального ремонта. </w:t>
      </w:r>
    </w:p>
    <w:p w14:paraId="40CA7E6D"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 Обязать завод № 75 (НКСМ) с 1.I-1941 г. выпускать двигатели дизель В-2, В-2к и В-3 с гарантийным сроком работы в танке не менее 250 часов. </w:t>
      </w:r>
    </w:p>
    <w:p w14:paraId="3360FC8E"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1941 г. доработать дизели В-2, В-2к и В-3 с гарантийным сроком работы в танке не менее 500 – 600 часов и к 1.VIII-1941 г. полностью подготовить производство для их серийного выпуска, обеспечивающего потребность танкостроительных заводов и НКО. </w:t>
      </w:r>
    </w:p>
    <w:p w14:paraId="2AC5AF13"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14. Обязать НКО и НКСМ в 15-ти дневный срок пересмотреть конструкцию и решить вопрос о целесообразности оставления на танке Т-34 выпуска 1940 года переднего люка водителя и выявить возможность установки блока триплекс взамен зеркального прибора. </w:t>
      </w:r>
    </w:p>
    <w:p w14:paraId="7CDA3D6C"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 В целях обеспечения серийного выпуска танков СП, Т-34 и КВ в 1941 году по НКСМ и НКТМ аппаратурой внутританковой и внешней связи, обязать НКЭП – завод № 197 освоить серийное производство ларингофонов к 1.I-1941 г. и завод № 203 к 1.I-1941 г. освоить серийное производство раций КРСТБ. </w:t>
      </w:r>
    </w:p>
    <w:p w14:paraId="5B734A0D"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два экз. </w:t>
      </w:r>
    </w:p>
    <w:p w14:paraId="70ECAB43" w14:textId="77777777" w:rsidR="00FB6685" w:rsidRPr="00A3026E" w:rsidRDefault="00FB668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5.11.40 в.е. (18209).</w:t>
      </w:r>
    </w:p>
    <w:p w14:paraId="427321AD" w14:textId="77777777" w:rsidR="00FB6685" w:rsidRPr="00A3026E" w:rsidRDefault="00FB6685" w:rsidP="00A3026E">
      <w:pPr>
        <w:spacing w:after="0" w:line="240" w:lineRule="auto"/>
        <w:jc w:val="both"/>
        <w:rPr>
          <w:rFonts w:ascii="Times New Roman" w:hAnsi="Times New Roman"/>
          <w:color w:val="000000" w:themeColor="text1"/>
          <w:sz w:val="16"/>
          <w:szCs w:val="16"/>
        </w:rPr>
      </w:pPr>
    </w:p>
    <w:p w14:paraId="55DFB8E5"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г. по грунтовой лесной дороге – старому почтовому тракту Т-34 № 608-01, 423-41 и 547-29, на время испытаний эти машины получили условные наименования «танк № 1», «танк № 2» и «танк № 3» были пройдены остававшиеся до Кубинки 133 км. </w:t>
      </w:r>
    </w:p>
    <w:p w14:paraId="02C51B3C"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только колонна прибыла на НИ полигон ГАБТУ КА, командир пробега майор Е.Е. Геркевич отправил заместителю начальника ГАБТУ КА генерал-майору технических войск И.А. Лебедеву </w:t>
      </w:r>
      <w:hyperlink r:id="rId68" w:tgtFrame="_blank" w:history="1">
        <w:r w:rsidRPr="00A3026E">
          <w:rPr>
            <w:rStyle w:val="a5"/>
            <w:rFonts w:ascii="Times New Roman" w:hAnsi="Times New Roman"/>
            <w:color w:val="000000" w:themeColor="text1"/>
            <w:sz w:val="16"/>
            <w:szCs w:val="16"/>
          </w:rPr>
          <w:t>донесение № 0835с</w:t>
        </w:r>
      </w:hyperlink>
      <w:r w:rsidRPr="00A3026E">
        <w:rPr>
          <w:rFonts w:ascii="Times New Roman" w:hAnsi="Times New Roman"/>
          <w:color w:val="000000" w:themeColor="text1"/>
          <w:sz w:val="16"/>
          <w:szCs w:val="16"/>
        </w:rPr>
        <w:t> следующего содержания: </w:t>
      </w:r>
    </w:p>
    <w:p w14:paraId="5EB291CE"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«РЕЗУЛЬТАТЫ</w:t>
      </w:r>
    </w:p>
    <w:p w14:paraId="039070D8"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ПРОБЕГА ТАНКОВ Т-34 ПО МАРШРУТУ ХАРЬКОВ-КУБИНКА.</w:t>
      </w:r>
    </w:p>
    <w:p w14:paraId="5745D340"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(5-ти дневный марш – 4 ходовых дня, 1 день – техосмотр)</w:t>
      </w:r>
    </w:p>
    <w:p w14:paraId="2CC634B7"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Пройдено километров – 760. </w:t>
      </w:r>
    </w:p>
    <w:p w14:paraId="4AE10AA0"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них: а) по грунтовым дорогам и целине – 359. </w:t>
      </w:r>
    </w:p>
    <w:p w14:paraId="3661742B"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шоссе со смешанным покрытием – 401. </w:t>
      </w:r>
    </w:p>
    <w:p w14:paraId="53B25981"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чистого движения – 36 ч. 35 м. </w:t>
      </w:r>
    </w:p>
    <w:p w14:paraId="7C20996E"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работы двигателей – 39 ч. </w:t>
      </w:r>
    </w:p>
    <w:p w14:paraId="09AAFC90"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скорость чистого движения – 20,6 км/час. </w:t>
      </w:r>
    </w:p>
    <w:p w14:paraId="7FA7CD7E"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техническая скорость – 17,0 км/час. </w:t>
      </w:r>
    </w:p>
    <w:p w14:paraId="638348EB"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Поломки и неисправности: </w:t>
      </w:r>
    </w:p>
    <w:p w14:paraId="3E9139CF"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Гусеницы танков приведены в полную негодность вследствие наличия трещин в траках и растяжения. Шплинты, удерживающие пальцы в проушинах траков срезаются через 100 – 150 км. – на </w:t>
      </w:r>
    </w:p>
    <w:p w14:paraId="64639D41"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всех машинах. </w:t>
      </w:r>
    </w:p>
    <w:p w14:paraId="5C94A565"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переходе канавы погнут кривошип ленивца и сорван бандаж (при сваливании гусеницы) – танк № 3. </w:t>
      </w:r>
    </w:p>
    <w:p w14:paraId="4D9A0B47"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Течь масла через кран, соединяющий масляные баки с радиатором – танк № 3. </w:t>
      </w:r>
    </w:p>
    <w:p w14:paraId="29AF78BD"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Излом трубки манометра горючего – танк № 3. </w:t>
      </w:r>
    </w:p>
    <w:p w14:paraId="4BB7AB3F"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Срезано 6 болтов, крепящих зубчатый венец маховика – танк № 1. </w:t>
      </w:r>
    </w:p>
    <w:p w14:paraId="60317FC1"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Разрушение муфты опережения впрыска – танк № 2. </w:t>
      </w:r>
    </w:p>
    <w:p w14:paraId="65FEF038"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Отказ в работе стартера вследствие сгорания обмотки реле и изломов перемычки – танки № 2 и № 3. </w:t>
      </w:r>
    </w:p>
    <w:p w14:paraId="00527DC6"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Отказ в работе главного фрикциона – танк № 2 (коробление дисков). </w:t>
      </w:r>
    </w:p>
    <w:p w14:paraId="77AFB7D8"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Состояние танков после марша. </w:t>
      </w:r>
    </w:p>
    <w:p w14:paraId="2B2CCC0A"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танки требуют немедленной замены гусениц – дальнейшее движение без этого невозможно. </w:t>
      </w:r>
    </w:p>
    <w:p w14:paraId="709C5327"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 2 – замена дисков главного фрикциона. </w:t>
      </w:r>
    </w:p>
    <w:p w14:paraId="382EEFDC"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 1 – постановка 6-ти болтов венца маховика. </w:t>
      </w:r>
    </w:p>
    <w:p w14:paraId="7BB4ABF3"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выполнении этих работ танки могут продолжать марш».</w:t>
      </w:r>
    </w:p>
    <w:p w14:paraId="5D359218"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1182. Л. 22 – 23]</w:t>
      </w:r>
    </w:p>
    <w:p w14:paraId="6B3296A1"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донесении сохранилась резолюция И.А. Лебедева: «т. Афонину. Танки осмотреть, привести в порядок и продолжить испытание по установленной программе». </w:t>
      </w:r>
    </w:p>
    <w:p w14:paraId="0EC99E9E"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день празднования 23-й годовщины Великой Октябрьской социалистической революции, 7 ноября 1940 г., экипажи с группой ремонтников занимались восстановлением танков. На всех «тридцатьчетвёрках» были заменены гусеницы, а на танке № 2 установлены новые диски в главном фрикционе. В пятницу, 8 ноября 1940 г., экипажи танков Т-34 проводили техническое обслуживание вверенных им на период испытания боевых машин. А весь следующий день был посвящен подготовке танков к стрельбе, в ходе которой, согласно программе испытаний, предстояло определить меткость и кучность при ведении огня из пушки и пулеметов, а так же выполнить упражнение по боевой стрельбе взводом танков. При этом боевая стрельба взводом танков, проводившаяся в целях «определения соответствия вооружения огневым задачам, поставленным перед танками данного типа», была организована согласно следующей методике, изложенной в программе испытаний: </w:t>
      </w:r>
    </w:p>
    <w:p w14:paraId="67D6DE40"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«Стрельба по целям ведется с коротких остановок. Средняя скорость движения 12 – 16 км/ч. Дистанция между танками по фронту 30 метров. </w:t>
      </w:r>
    </w:p>
    <w:p w14:paraId="391928B3"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Начинает движение танк № 1 (средний) за 100 мт. от линии огня и при подходе к ней открывает огонь из пушки по цели № 1 (Эскарп. Высота вала 1,5 мт. Дистанция от линии огня 400 мт. Количество снарядов 10 шт.). </w:t>
      </w:r>
    </w:p>
    <w:p w14:paraId="153B20A3"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Танки № 2 (правый) и № 3 (левый) начинают движение к линии огня после первого выстрела танка № 1 и при подходе к ней открывают огонь по целям № 23 (Два ПТО. Дистанция от линии огня 800 мт. Количество снарядов 10 шт. по пять снарядов на каждый танк). </w:t>
      </w:r>
    </w:p>
    <w:p w14:paraId="185FDD3E"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 1 разрушив цель № 1 проходит препятствие перенося огонь на цель № 2 (Надолбы деревянные. Дистанция от линии огня 700 мт. Количество снарядов 15 шт.). </w:t>
      </w:r>
    </w:p>
    <w:p w14:paraId="30B746B3"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Остальные два танка выполнив задание по целям № 23 следуют за танком № 1 и открывают огонь: танк № 2 (правый) из пушки по цели № 31 (Амбразура ДОТа. Дистанция от линии огня 800 мт. Количество снарядов 8 шт.), танк № 3 (левый) из пулеметов по целям №№ 12, 19 (Охранение ДОТа. Дистанция от линии огня 800 мт. Количество патрон 126 шт.). </w:t>
      </w:r>
    </w:p>
    <w:p w14:paraId="02201D31"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разрушения средним танком цели № 2 его движение вперед заканчивается и стрельба прекращается. Танки № 2 и № 3 проходят разрушенное препятствие (цель № 2) и одновременно ведут огонь из пушек по целям №№ 43, 16, 13 (Взвод полковой артиллерии. Дистанция от линии огня 1900 мт. Количество снарядов 12 шт. по 6 снарядов на каждый танк). </w:t>
      </w:r>
    </w:p>
    <w:p w14:paraId="250CA450"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Расход боеприпасов: снарядов 76,2 – 55, патрон 7,62 – 126. </w:t>
      </w:r>
    </w:p>
    <w:p w14:paraId="71085DCA"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Учет времени производится от первого выстрела и до последнего».</w:t>
      </w:r>
    </w:p>
    <w:p w14:paraId="6902FF39"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14 – 15]</w:t>
      </w:r>
    </w:p>
    <w:p w14:paraId="33061CD4"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стрельбой состоялись 10 ноября 1940 г., и уже на первом этапе по определению кучности стрельбы пушки Л-11, после повторного не полного (до 120 мм) наката, вызванного отказом в работе ножного спуска пушки, танк № 2 был отправлен для устранения неисправности. В связи с этим решение огневой задачи, возлагавшейся на танковый взвод, пришлось выполнять только двум танкам – № 1 и № 3. </w:t>
      </w:r>
    </w:p>
    <w:p w14:paraId="0C8CB2CE"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Ровно 15 минут потребовалось сокращённому взводу для выполнения поставленной задачи. Танком № 1 с дистанции 400 м при стрельбе с короткой остановки по противотанковому препятствию типа эскарп было израсходовано 10 снарядов, 4 из них попали точно в цель. По второй цели (группа надолб) с дистанции 300 м было произведено 15 выстрелов. В результате 4 прямых попаданий 3 надолба было сбито. </w:t>
      </w:r>
    </w:p>
    <w:p w14:paraId="0CB44EBF"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стрельбы у экипажа танка № 3 оказались несколько скромнее: из 12 снарядов, выпущенных по полковой батарее, расположенной на дистанции 1000 м, только один снаряд попал точно в цель, и ещё два снаряда разорвались в радиусе 10 – 15 м от неё. Из 6 снарядов, направленных на уничтожение противотанкового орудия, находившегося на удалении 800 м от танка, только один снаряд разорвался в радиусе 10 – 15 м от цели. При стрельбе по ДОТу, расположенному на дистанции 400 м, из 6 выпущенных снарядов в «зачётный круг» не попал ни один. </w:t>
      </w:r>
    </w:p>
    <w:p w14:paraId="7C3DBAEB"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следующий день после стрельбы, 11 ноября 1940 г., на НИ полигоне ГАБТУ КА были проведены испытания танков Т-34 по преодолению естественных препятствий. В результате испытаний были получены следующие показатели проходимости танка Т-34 в осенних условиях: </w:t>
      </w:r>
    </w:p>
    <w:p w14:paraId="6738B8CA"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«Подъемы и косогоры:</w:t>
      </w:r>
    </w:p>
    <w:p w14:paraId="0615FB1F"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Водные преграды:</w:t>
      </w:r>
    </w:p>
    <w:p w14:paraId="144F90A8"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преодолевает вброд водные преграды глубиной 1,25 – 1,3 мтр. при твердом грунте дна. Крутизны выхода не должна превышать 20 – 25°, крутизна входа 30 – 35°. </w:t>
      </w:r>
    </w:p>
    <w:p w14:paraId="4B6D3FF1"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Заболоченные участки:</w:t>
      </w:r>
    </w:p>
    <w:p w14:paraId="393AE242"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Торфяное болото с плотным покровом толщиной 0,5 – 0,8 мтр. (выдерживающим лошадь) танк не преодолевает. Гусеницы прорезают покров, и танк вывешивается на днище. При одностороннем погружении имеют место выходы гребней траков из опорных колес (на не погруженной гусенице)».</w:t>
      </w:r>
    </w:p>
    <w:p w14:paraId="2306D26C"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72 – 73]</w:t>
      </w:r>
    </w:p>
    <w:p w14:paraId="57C347E8"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итоге специалистами НИ полигона ГАБТУ КА был сделан вывод о том, что проходимость танка Т-34 в осенних условиях неудовлетворительная по следующим причинам: </w:t>
      </w:r>
    </w:p>
    <w:p w14:paraId="79AA84D7"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Входящая в зацепление с грунтом поверхность трака недостаточно развита (малый коэффициент зацепления), следствием чего является буксование гусениц на подъемах даже при незначительно влажном покрове. Эффективность входящих в комплект шпор незначительна. </w:t>
      </w:r>
    </w:p>
    <w:p w14:paraId="1DB72C16"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Фиксация гусеницы в опорных колесах ненадежна вследствие малого количества опорных колес и постоянно возникающей слабины гусениц (от износов). Ненадежность фиксации гусениц лимитирует преодоление косогоров – при движении с креном свыше 20 – 23° при поворотах гусеница "сваливается". Сваливание гусениц отмечено так же при преодолении канав под углом менее 90°. </w:t>
      </w:r>
    </w:p>
    <w:p w14:paraId="172304C3"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Малое количество опорных колес, помимо изложенного в § 2, отрицательно влияет на проходимость по заболоченным участкам, несмотря на небольшое общее удельное давление».</w:t>
      </w:r>
    </w:p>
    <w:p w14:paraId="357A6C3B"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73 – 74]</w:t>
      </w:r>
    </w:p>
    <w:p w14:paraId="3496E089"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Возможности танка Т-34 по преодолению водных преград вброд, напротив, специалистами полигона были признаны вполне удовлетворительными. </w:t>
      </w:r>
    </w:p>
    <w:p w14:paraId="1B30BE17"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этот же день, 11 ноября 1940 г., на полигоне состоялись испытания по определению силы тяги и буксировочных возможностей танка Т-34. В качестве буксируемого (тормозного) приспособления использовался плуг-канавокопатель конструкции НИИТ КА. Испытания проводились по следующей методике: </w:t>
      </w:r>
    </w:p>
    <w:p w14:paraId="37F9356C"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буксирных цепях между испытываемым танком и буксирным тормозным приспособлением (плуг-канавокопатель) подвешивался пружинный динамометр "Амслер" на 1000 кгр. </w:t>
      </w:r>
    </w:p>
    <w:p w14:paraId="6E834B7F"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 Торможение испытываемого танка производилось путем постепенного опускания лемеха канавокопателя в грунт, до необходимой загрузки. </w:t>
      </w:r>
    </w:p>
    <w:p w14:paraId="3DF42A1E"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Испытание проводилось на горизонтальных участках. </w:t>
      </w:r>
    </w:p>
    <w:p w14:paraId="5B0098CA"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Сила тяги на крюке замерялась при движении танков на 1 и 2 передачах. Буксировка танками прицепного груза на асфальтовом шоссе производилась на 2 и 3 передачах. </w:t>
      </w:r>
    </w:p>
    <w:p w14:paraId="40F259B2"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Обработка диаграмм динамометра производилась по среднеарифметической величине из данных 2-х заездов».</w:t>
      </w:r>
    </w:p>
    <w:p w14:paraId="2C67D31D"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1853. Л. 7]</w:t>
      </w:r>
    </w:p>
    <w:p w14:paraId="261AC406"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испытаний было установлено, что тяговое усилие на крюке при движении танка Т-34 по проселочной дороге на 1-й передаче составляет 6,70 тс, а при движении на 2-й передаче при частоте вращения коленчатого вала двигателя 550 оборотов в минуту – 8,75 тс. </w:t>
      </w:r>
    </w:p>
    <w:p w14:paraId="6BDECE67"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11 ноября 1940 г. на полигоне были проведены испытания средств связи танков Т-34, в ходе которых было определено, что дальность связи с помощью радиостанции 73-ТК-3 через микрофон, во время движения обоих машин не превышает 10 км, а во время стоянки составляет 15 – 18 км. При этом были выявлены следующие основные недостатки установки радиостанции в носовой части корпуса танка Т-34: </w:t>
      </w:r>
    </w:p>
    <w:p w14:paraId="5DA13669"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 приемником очень трудно оперировать (слишком низко и глубоко расположен). </w:t>
      </w:r>
    </w:p>
    <w:p w14:paraId="0CB130B1"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Антенна при подъеме цепляет за запдетали, расположенные на [надгусеничной] полке. </w:t>
      </w:r>
    </w:p>
    <w:p w14:paraId="04A5A1EA"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ходу танка по шоссе получается сильное дробление слов при приеме. </w:t>
      </w:r>
    </w:p>
    <w:p w14:paraId="6141368B"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Ручным регулятором напряжения пользоваться невозможно из-за неудачного расположения (не виден вольтметр)».</w:t>
      </w:r>
    </w:p>
    <w:p w14:paraId="1DD6569A"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1182. Л. 140 – 141]</w:t>
      </w:r>
    </w:p>
    <w:p w14:paraId="42C51F32"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двух последующих дней, 12 и 13 ноября 1940 г., танки готовились к дальнейшему пробегу – силами экипажей и группы ремонтников производилось их техническое обслуживание и ремонт. (18173)</w:t>
      </w:r>
    </w:p>
    <w:p w14:paraId="1F4AA56C" w14:textId="77777777" w:rsidR="000D0FFC" w:rsidRPr="00A3026E" w:rsidRDefault="000D0FFC" w:rsidP="00A3026E">
      <w:pPr>
        <w:spacing w:after="0" w:line="240" w:lineRule="auto"/>
        <w:jc w:val="both"/>
        <w:rPr>
          <w:rFonts w:ascii="Times New Roman" w:hAnsi="Times New Roman"/>
          <w:color w:val="000000" w:themeColor="text1"/>
          <w:sz w:val="16"/>
          <w:szCs w:val="16"/>
        </w:rPr>
      </w:pPr>
    </w:p>
    <w:p w14:paraId="0DB8D510"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1950</w:t>
      </w:r>
    </w:p>
    <w:p w14:paraId="06D27C77"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1182 листы 22 – 23 </w:t>
      </w:r>
    </w:p>
    <w:p w14:paraId="53FD96CE"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428F31CE"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1 </w:t>
      </w:r>
    </w:p>
    <w:p w14:paraId="0A7684EE"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6.11.1940 г. </w:t>
      </w:r>
    </w:p>
    <w:p w14:paraId="7FD650CF"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0835с </w:t>
      </w:r>
    </w:p>
    <w:p w14:paraId="5BE717CC"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Начальника ГАБТУ КА</w:t>
      </w:r>
    </w:p>
    <w:p w14:paraId="4B88DE07"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Генерал-майору технических войск т. Лебедеву И.А.</w:t>
      </w:r>
    </w:p>
    <w:p w14:paraId="5CBA821E"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w:t>
      </w:r>
    </w:p>
    <w:p w14:paraId="7A1E8EFD"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ПРОБЕГА ТАНКОВ Т-34 ПО МАРШРУТУ ХАРЬКОВ – КУБИНКА.</w:t>
      </w:r>
    </w:p>
    <w:p w14:paraId="016074CD"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(5-ти дневный марш – 4 ходовых дня, 1 день – техосмотр)</w:t>
      </w:r>
    </w:p>
    <w:p w14:paraId="6C6D9DBC"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Пройдено километров – 760. </w:t>
      </w:r>
    </w:p>
    <w:p w14:paraId="44491728"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 них: а) по грунтовым дорогам и целине – 359. </w:t>
      </w:r>
    </w:p>
    <w:p w14:paraId="430A2117"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по шоссе со смешанным покрытием – 401. </w:t>
      </w:r>
    </w:p>
    <w:p w14:paraId="76A434BC"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Время чистого движения – 36 ч. 35 м. </w:t>
      </w:r>
    </w:p>
    <w:p w14:paraId="14881825"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Время работы двигателей – 39 ч. </w:t>
      </w:r>
    </w:p>
    <w:p w14:paraId="4413030E"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Средняя скорость чистого движения – 20,6 км/час. </w:t>
      </w:r>
    </w:p>
    <w:p w14:paraId="28691218"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Средняя техническая скорость – 17,0 км/час. </w:t>
      </w:r>
    </w:p>
    <w:p w14:paraId="61E7ECAC"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Поломки и неисправности: </w:t>
      </w:r>
    </w:p>
    <w:p w14:paraId="196F670A"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Гусеницы танков приведены в полную негодность вследствие наличия трещин в траках и растяжения. Шплинты, удерживающие пальцы в проушинах траков срезаются через 100 – 150 км. – на всех машинах. </w:t>
      </w:r>
    </w:p>
    <w:p w14:paraId="61D0BB54"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При переходе канавы погнут кривошип ленивца и сорван бандаж (при сваливании гусеницы) – танк № 3. </w:t>
      </w:r>
    </w:p>
    <w:p w14:paraId="1FAF7769"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Течь масла через кран, соединяющий масляные баки с радиатором – танк № 3. </w:t>
      </w:r>
    </w:p>
    <w:p w14:paraId="2984AE38"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Излом трубки манометра горючего – танк № 3. </w:t>
      </w:r>
    </w:p>
    <w:p w14:paraId="621C6139"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Срезано 6 болтов, крепящих зубчатый венец маховика – танк № 1. </w:t>
      </w:r>
    </w:p>
    <w:p w14:paraId="75CAC176"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Разрушение муфты опережения впрыска – танк № 2. </w:t>
      </w:r>
    </w:p>
    <w:p w14:paraId="7E6CD26F"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ж) Отказ в работе стартера вследствие сгорания обмотки реле и изломов перемычки – танки № 2 и № 3. </w:t>
      </w:r>
    </w:p>
    <w:p w14:paraId="2FD1F538"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 Отказ в работе главного фрикциона – танк № 2 (коробление дисков). </w:t>
      </w:r>
    </w:p>
    <w:p w14:paraId="24B939CA"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Состояние танков после марша. </w:t>
      </w:r>
    </w:p>
    <w:p w14:paraId="70EAC90E"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 танки требуют немедленной замены гусениц – дальнейшее движение без этого невозможно. </w:t>
      </w:r>
    </w:p>
    <w:p w14:paraId="7A3013A5"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 № 2 – замена дисков главного фрикциона. </w:t>
      </w:r>
    </w:p>
    <w:p w14:paraId="216EA0FF"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 № 1 – постановка 6-ти болтов венца маховика. </w:t>
      </w:r>
    </w:p>
    <w:p w14:paraId="2C231A73"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выполнении этих работ танки могут продолжать марш. </w:t>
      </w:r>
    </w:p>
    <w:p w14:paraId="59BA7003"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 ПРОБЕГА МАЙОР подпись (ГЕРКЕВИЧ)</w:t>
      </w:r>
    </w:p>
    <w:p w14:paraId="606812CE"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21/XI </w:t>
      </w:r>
    </w:p>
    <w:p w14:paraId="13A6625F"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В двух экз. </w:t>
      </w:r>
    </w:p>
    <w:p w14:paraId="7118A1D0"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документе резолюция И.А. Лебедева: </w:t>
      </w:r>
    </w:p>
    <w:p w14:paraId="59049775" w14:textId="77777777" w:rsidR="000D0FFC" w:rsidRPr="00A3026E" w:rsidRDefault="000D0FF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 Афонину. Танки осмотреть, привести в порядок и продолжить испытание по установленной программе. подпись 6.11.1940 г.» (18180).</w:t>
      </w:r>
    </w:p>
    <w:p w14:paraId="203336C0" w14:textId="77777777" w:rsidR="000D0FFC" w:rsidRPr="00A3026E" w:rsidRDefault="000D0FFC" w:rsidP="00A3026E">
      <w:pPr>
        <w:spacing w:after="0" w:line="240" w:lineRule="auto"/>
        <w:jc w:val="both"/>
        <w:rPr>
          <w:rFonts w:ascii="Times New Roman" w:hAnsi="Times New Roman"/>
          <w:color w:val="000000" w:themeColor="text1"/>
          <w:sz w:val="16"/>
          <w:szCs w:val="16"/>
        </w:rPr>
      </w:pPr>
    </w:p>
    <w:p w14:paraId="67C836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было решено внести в Т-34 ряд изменений (10782).</w:t>
      </w:r>
    </w:p>
    <w:p w14:paraId="06CD48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D530FEC"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ноября 1940 г.</w:t>
      </w:r>
    </w:p>
    <w:p w14:paraId="0696A688"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ГАРФ Фонд Р8418 Опись 24 Дело 960 Лист 1</w:t>
      </w:r>
    </w:p>
    <w:p w14:paraId="5C7F620E"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СЕКРЕТНО.</w:t>
      </w:r>
    </w:p>
    <w:p w14:paraId="1DE1AB33"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Экз. № 1</w:t>
      </w:r>
    </w:p>
    <w:p w14:paraId="75717D85"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ноября 1940 г.</w:t>
      </w:r>
    </w:p>
    <w:p w14:paraId="1DE947C9"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01673</w:t>
      </w:r>
    </w:p>
    <w:p w14:paraId="1973B639"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КОМИТЕТ ОБОРОНЫ ПРИ СНК СССР</w:t>
      </w:r>
    </w:p>
    <w:p w14:paraId="07227823"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ПОЛКОВНИКУ – т. ЩЕРБАКОВУ.</w:t>
      </w:r>
    </w:p>
    <w:p w14:paraId="50677882"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сем препровождаю технический проект планетарной трансмиссии Т-34. Расчет и описание будут высланы дополнительно.</w:t>
      </w:r>
    </w:p>
    <w:p w14:paraId="2C86E9FF"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Получение просим подтвердить.</w:t>
      </w:r>
    </w:p>
    <w:p w14:paraId="4ECB9C26"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ПРИЛОЖЕНИЕ: Один комплект чертежей на 19 л. и 1 фотография. Только адресату.</w:t>
      </w:r>
    </w:p>
    <w:p w14:paraId="743246B4"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НАЧАЛЬНИК АКАДЕМИИ</w:t>
      </w:r>
    </w:p>
    <w:p w14:paraId="47CF4C9E"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ГЕНЕРАЛ-МАЙОР ТАНКОВЫХ ВОЙСК подпись (КОВАЛЕВ)</w:t>
      </w:r>
    </w:p>
    <w:p w14:paraId="76BB3285"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Отп. в 2 экз.</w:t>
      </w:r>
    </w:p>
    <w:p w14:paraId="068E1274"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Исп. Шайн</w:t>
      </w:r>
    </w:p>
    <w:p w14:paraId="1366A29E"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5.11.40 № 75</w:t>
      </w:r>
    </w:p>
    <w:p w14:paraId="63793CE5"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документе помета: «Вопрос докладывался тов. Ворошилову К.Е. Дано указание договориться НКО и НКСМ. 4/I-40 г. подпись»</w:t>
      </w:r>
    </w:p>
    <w:p w14:paraId="3D22118E"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ГАРФ Фонд Р8418 Опись 24 Дело 960 Лист 2 – 3</w:t>
      </w:r>
    </w:p>
    <w:p w14:paraId="5F0851CC"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ОПИСЬ</w:t>
      </w:r>
    </w:p>
    <w:p w14:paraId="5D36D773"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Чертежей Т-34-П отсылаемых</w:t>
      </w:r>
    </w:p>
    <w:p w14:paraId="1BF4368A"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Все чертежи в одном экземпляре. Всего чертежей девятнадцать (19).</w:t>
      </w:r>
    </w:p>
    <w:p w14:paraId="02DD04DC"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ЗАВ. АРХИВОМ НИО подпись (КАВЕРИНА)</w:t>
      </w:r>
    </w:p>
    <w:p w14:paraId="74100C4A" w14:textId="77777777" w:rsidR="00EE316A" w:rsidRPr="00A3026E" w:rsidRDefault="00EE316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"04" Ноября 1940 г. (20381).</w:t>
      </w:r>
    </w:p>
    <w:p w14:paraId="26B45EB5" w14:textId="77777777" w:rsidR="00EE316A" w:rsidRPr="00A3026E" w:rsidRDefault="00EE316A" w:rsidP="00A3026E">
      <w:pPr>
        <w:spacing w:after="0" w:line="240" w:lineRule="auto"/>
        <w:jc w:val="both"/>
        <w:rPr>
          <w:rFonts w:ascii="Times New Roman" w:hAnsi="Times New Roman"/>
          <w:color w:val="0070C0"/>
          <w:sz w:val="16"/>
          <w:szCs w:val="16"/>
        </w:rPr>
      </w:pPr>
    </w:p>
    <w:p w14:paraId="0C669C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6 ноября 1940 г. письмом № 80400 ГАБТУ Красной Армии просило ускорить конструктивную дора</w:t>
      </w:r>
      <w:r w:rsidRPr="00A3026E">
        <w:rPr>
          <w:rFonts w:ascii="Times New Roman" w:hAnsi="Times New Roman"/>
          <w:color w:val="000000" w:themeColor="text1"/>
          <w:sz w:val="16"/>
          <w:szCs w:val="16"/>
        </w:rPr>
        <w:softHyphen/>
        <w:t>ботку трактора и устранение дефектов и предъявить на повторные полигонные испытания. В апреле-августе 1940 г. были изготовлены опытные образцы трактора СТЗ-2ТД и проведены полигонные испытания. Потом трактора находились на заводе в разобранном виде, но никакой работы по уст</w:t>
      </w:r>
      <w:r w:rsidRPr="00A3026E">
        <w:rPr>
          <w:rFonts w:ascii="Times New Roman" w:hAnsi="Times New Roman"/>
          <w:color w:val="000000" w:themeColor="text1"/>
          <w:sz w:val="16"/>
          <w:szCs w:val="16"/>
        </w:rPr>
        <w:softHyphen/>
        <w:t>ранению выявленных дефектов заводом не велось. По Постановлению комитета обороны № 443 от 19.12.1939 г. Сталинградский тракторный завод должен был изготовить и провести совместно с НКО испытания двух опытных образцов.</w:t>
      </w:r>
    </w:p>
    <w:p w14:paraId="578DC3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 СТЗ-2ТД спроектирован на базе трактора СТЗ-5.</w:t>
      </w:r>
    </w:p>
    <w:p w14:paraId="74815F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данные:</w:t>
      </w:r>
    </w:p>
    <w:p w14:paraId="224178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 6,7 тонн.</w:t>
      </w:r>
    </w:p>
    <w:p w14:paraId="44AEEC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Максимальная мощность двигателя — 98л.с.</w:t>
      </w:r>
    </w:p>
    <w:p w14:paraId="05B27A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Максимальная скорость — 36 км/час.</w:t>
      </w:r>
    </w:p>
    <w:p w14:paraId="2B0FA8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Максимальное тяговое усилие на крюке — 7250 кг.</w:t>
      </w:r>
    </w:p>
    <w:p w14:paraId="12C7B3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 предназначен для использования в Красной Армии в качестве тягача дивизионной и корпусной артиллерии и как транспортер для перевозки грузов общевойскового назначения.</w:t>
      </w:r>
    </w:p>
    <w:p w14:paraId="12419C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своим тактико-техническим качествам, при условии доработки трактора (устранение основ</w:t>
      </w:r>
      <w:r w:rsidRPr="00A3026E">
        <w:rPr>
          <w:rFonts w:ascii="Times New Roman" w:hAnsi="Times New Roman"/>
          <w:color w:val="000000" w:themeColor="text1"/>
          <w:sz w:val="16"/>
          <w:szCs w:val="16"/>
        </w:rPr>
        <w:softHyphen/>
        <w:t>ных дефектов, выявленных на полигонных испытаниях), он значительно лучше выпускаемых в на</w:t>
      </w:r>
      <w:r w:rsidRPr="00A3026E">
        <w:rPr>
          <w:rFonts w:ascii="Times New Roman" w:hAnsi="Times New Roman"/>
          <w:color w:val="000000" w:themeColor="text1"/>
          <w:sz w:val="16"/>
          <w:szCs w:val="16"/>
        </w:rPr>
        <w:softHyphen/>
        <w:t>стоящее время средних тракторов, обладая более высокой скоростью при больших тяговых усилиях на крюке и лучшей проходимостью (11211).</w:t>
      </w:r>
    </w:p>
    <w:p w14:paraId="7A1E6D09"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7C49E0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г. письмом № 80401с АТУ Красной Армии просило зам. Наркома среднего машино</w:t>
      </w:r>
      <w:r w:rsidRPr="00A3026E">
        <w:rPr>
          <w:rFonts w:ascii="Times New Roman" w:hAnsi="Times New Roman"/>
          <w:color w:val="000000" w:themeColor="text1"/>
          <w:sz w:val="16"/>
          <w:szCs w:val="16"/>
        </w:rPr>
        <w:softHyphen/>
        <w:t>строения т. Горегляд ускорить и обеспечить окончание заводских испытаний и предъявление трак</w:t>
      </w:r>
      <w:r w:rsidRPr="00A3026E">
        <w:rPr>
          <w:rFonts w:ascii="Times New Roman" w:hAnsi="Times New Roman"/>
          <w:color w:val="000000" w:themeColor="text1"/>
          <w:sz w:val="16"/>
          <w:szCs w:val="16"/>
        </w:rPr>
        <w:softHyphen/>
        <w:t>торов на полигонные испытания. По Постановлению комитета обороны № 303сс от 12.7.1940 г. Горьковский автозавод должен был изготовить два опытных образца трактора ГАЗ-22, провести заводские испытания и представить на полигонные испытания в ноябре 1940 г.</w:t>
      </w:r>
    </w:p>
    <w:p w14:paraId="3935FC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 «ГАЗ-22» - легкий трактор, спроектированный на базе танка Т-40, с унификацией ос</w:t>
      </w:r>
      <w:r w:rsidRPr="00A3026E">
        <w:rPr>
          <w:rFonts w:ascii="Times New Roman" w:hAnsi="Times New Roman"/>
          <w:color w:val="000000" w:themeColor="text1"/>
          <w:sz w:val="16"/>
          <w:szCs w:val="16"/>
        </w:rPr>
        <w:softHyphen/>
        <w:t>новных механизмов.</w:t>
      </w:r>
    </w:p>
    <w:p w14:paraId="672DDD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данные:</w:t>
      </w:r>
    </w:p>
    <w:p w14:paraId="658699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 3,5 тонн.</w:t>
      </w:r>
    </w:p>
    <w:p w14:paraId="77AAC4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Максимальная мощность двигателя — 83 л.с.</w:t>
      </w:r>
    </w:p>
    <w:p w14:paraId="6D2EB9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Максимальная скорость — 45 км/час.</w:t>
      </w:r>
    </w:p>
    <w:p w14:paraId="347DFB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Максимальное тяговое усилие на крюке — 3 тонны.</w:t>
      </w:r>
    </w:p>
    <w:p w14:paraId="601D4DEC"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Трактор предназначается для использования в Красной Армии в качестве тягача полковой и противотанко</w:t>
      </w:r>
      <w:r w:rsidRPr="00A3026E">
        <w:rPr>
          <w:i w:val="0"/>
          <w:iCs w:val="0"/>
          <w:color w:val="000000" w:themeColor="text1"/>
          <w:spacing w:val="0"/>
          <w:kern w:val="0"/>
          <w:position w:val="0"/>
          <w:sz w:val="16"/>
          <w:szCs w:val="16"/>
          <w:lang w:val="ru-RU"/>
        </w:rPr>
        <w:softHyphen/>
        <w:t>вой артиллерии и как транспортер для перевозки грузов общевойскового назначения взамен трактора «Комсо</w:t>
      </w:r>
      <w:r w:rsidRPr="00A3026E">
        <w:rPr>
          <w:i w:val="0"/>
          <w:iCs w:val="0"/>
          <w:color w:val="000000" w:themeColor="text1"/>
          <w:spacing w:val="0"/>
          <w:kern w:val="0"/>
          <w:position w:val="0"/>
          <w:sz w:val="16"/>
          <w:szCs w:val="16"/>
          <w:lang w:val="ru-RU"/>
        </w:rPr>
        <w:softHyphen/>
        <w:t>молец», т.к. он имеет более мощный двигатель и полную унификацию основных механизмов с танком Т-40 (11211).</w:t>
      </w:r>
    </w:p>
    <w:p w14:paraId="5F4337FD"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30C7DC46"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7E5A2A7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41C0A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появились спецшколы ВВС в системе Наркомата просвещения (69,117).</w:t>
      </w:r>
    </w:p>
    <w:p w14:paraId="22CD655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CB4A0B4" w14:textId="77777777" w:rsidR="00BA2190" w:rsidRPr="00A3026E" w:rsidRDefault="00BA2190"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6 ноября</w:t>
      </w:r>
      <w:r w:rsidRPr="00A3026E">
        <w:rPr>
          <w:rFonts w:ascii="Times New Roman" w:hAnsi="Times New Roman"/>
          <w:color w:val="000000" w:themeColor="text1"/>
          <w:sz w:val="16"/>
          <w:szCs w:val="16"/>
        </w:rPr>
        <w:t xml:space="preserve"> в 1940 году принято Постановление ЦК ВКП(б) и СНК СССР о создании в системе наркоматов просвещения РСФСР и УССР 20 специальных школ ВВС (8-10 классы), в которых целенаправленно шел отбор будущих курсантов для авиационных училищ (14822).</w:t>
      </w:r>
    </w:p>
    <w:p w14:paraId="7885EFC8" w14:textId="77777777" w:rsidR="00BA2190" w:rsidRPr="00A3026E" w:rsidRDefault="00BA2190" w:rsidP="00A3026E">
      <w:pPr>
        <w:spacing w:after="0" w:line="240" w:lineRule="auto"/>
        <w:jc w:val="both"/>
        <w:rPr>
          <w:rFonts w:ascii="Times New Roman" w:hAnsi="Times New Roman"/>
          <w:color w:val="000000" w:themeColor="text1"/>
          <w:sz w:val="16"/>
          <w:szCs w:val="16"/>
        </w:rPr>
      </w:pPr>
    </w:p>
    <w:p w14:paraId="454CB6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г. вышел приказ О результатах НКО осенних инспекторских смотров штабов и войск ряда военных округов и Дальневосточного фронта № 0306.</w:t>
      </w:r>
    </w:p>
    <w:p w14:paraId="2AF10E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Моими заместителями Маршалами Советского Союза тт. Буденным С. М. и Куликом Г. И., генерал-инспектором пехоты генерал-лейтенантом т. Смирновым и его заместителем генерал-лейтенантом т. Антонюком осенью текущего года проведены смотровые учения штабов и войск Одесского, Закавказского, Сибирского, Забайкальского, Прибалтийского военных округов и Дальневосточного фронта.</w:t>
      </w:r>
    </w:p>
    <w:p w14:paraId="7CBBAA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смотровых учений установлено:</w:t>
      </w:r>
    </w:p>
    <w:p w14:paraId="4685EB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Подготовка пехоты в Одесском и Прибалтийском военных округах — низкая, в Закавказском, Сибирском, Забайкальском военных округах и Дальневосточном фронте — посредственная.</w:t>
      </w:r>
    </w:p>
    <w:p w14:paraId="1AB771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лучшую сторону выделяются: 20 сд ЗакВО и 46 сд ЗабВО.</w:t>
      </w:r>
    </w:p>
    <w:p w14:paraId="0A7711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недочеты в подготовке пехоты:</w:t>
      </w:r>
    </w:p>
    <w:p w14:paraId="14F1AD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слабо осуществляется разведка и наблюдение за полем боя;</w:t>
      </w:r>
    </w:p>
    <w:p w14:paraId="16A08A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 отработаны бой в предполье и техника атаки в глубине обороны;</w:t>
      </w:r>
    </w:p>
    <w:p w14:paraId="27DC39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плохо организуется взаимодействие пехоты, артиллерии и танков;</w:t>
      </w:r>
    </w:p>
    <w:p w14:paraId="46A953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 освоено управление взводом и ротой в наступательном бою.</w:t>
      </w:r>
    </w:p>
    <w:p w14:paraId="68FB4F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Подготовка артиллерии — посредственная; слабо слажены артдивизионы и полки: взаимодействие артиллерии с пехотой в наступлении нарушается в динамике боя.</w:t>
      </w:r>
    </w:p>
    <w:p w14:paraId="0C235B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Минометные взводы и роты в огневой и тактической подготовке добились лишь начальных успехов.</w:t>
      </w:r>
    </w:p>
    <w:p w14:paraId="438382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Лучшую слаженность показала на учениях артиллерия 20 сд ЗакВО и 119 сд СибВО.</w:t>
      </w:r>
    </w:p>
    <w:p w14:paraId="2744B3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недочеты в подготовке артиллерии:</w:t>
      </w:r>
    </w:p>
    <w:p w14:paraId="11B260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плохо организуется и ведется разведка и наблюдение в период боя в предполье;</w:t>
      </w:r>
    </w:p>
    <w:p w14:paraId="031C46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передовые пункты батарей и дивизионов в процессе боя отстают от командиров рот и батальонов.</w:t>
      </w:r>
    </w:p>
    <w:p w14:paraId="6ECAF8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Подготовка танковых частей и подразделений в тактическом и огневом отношениях — посредственная. В лучшую сторону выделяются действия огнеметных танков.</w:t>
      </w:r>
    </w:p>
    <w:p w14:paraId="7BA15F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недочеты в подготовке танковых частей:</w:t>
      </w:r>
    </w:p>
    <w:p w14:paraId="78D002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неумение взаимодействовать с мелкими пехотными подразделениями в предполье;</w:t>
      </w:r>
    </w:p>
    <w:p w14:paraId="5EF04F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недостаточно твердое управление командирами взводов своими подразделениями;</w:t>
      </w:r>
    </w:p>
    <w:p w14:paraId="4431D1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экипажи танков не обучены наблюдению за полем боя.</w:t>
      </w:r>
    </w:p>
    <w:p w14:paraId="463827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Подготовка авиации не отвечает современным требованиям.</w:t>
      </w:r>
    </w:p>
    <w:p w14:paraId="7360B9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Авиационные командиры слабо знают тактику наземных войск и не умеют организовать с ними взаимодействия на поле боя.</w:t>
      </w:r>
    </w:p>
    <w:p w14:paraId="60CA1C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лучшую сторону выделяются части 25-й авиационной дивизии ЗакВО; 15-й истребительный и 150-й легкобомбардировочный полки ЗабВО.</w:t>
      </w:r>
    </w:p>
    <w:p w14:paraId="44ABC5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Подготовка войск связи в Одесском и Прибалтийском военных округах — низкая, в Закавказском, Сибирском и Забайкальском военных округах, а также в Дальневосточном фронте — посредственная.</w:t>
      </w:r>
    </w:p>
    <w:p w14:paraId="0CD04C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недочеты в подготовке войск связи:</w:t>
      </w:r>
    </w:p>
    <w:p w14:paraId="2E22DD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телефонная связь в период боя и предполье работает с перебоями;</w:t>
      </w:r>
    </w:p>
    <w:p w14:paraId="0AA9E8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кабельные линии прокладываются небрежно;</w:t>
      </w:r>
    </w:p>
    <w:p w14:paraId="33364C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светосигнальные приборы используются мало;</w:t>
      </w:r>
    </w:p>
    <w:p w14:paraId="45293C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посыльные для связи подготовлены слабо и используются неумело.</w:t>
      </w:r>
    </w:p>
    <w:p w14:paraId="5A0E73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Подготовка инженерных частей — посредственная; в лучшую сторону по подготовке выделяются корпусные саперные батальоны.</w:t>
      </w:r>
    </w:p>
    <w:p w14:paraId="776410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Недочетами в подготовке инженерных частей является недостаточная грамотность их командиров в тактическом отношении.</w:t>
      </w:r>
    </w:p>
    <w:p w14:paraId="54E4A7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Химическая подготовка — посредственная.</w:t>
      </w:r>
    </w:p>
    <w:p w14:paraId="62F2AB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Подготовка командного состава — неравномерная; большая часть средних командиров подготовлена слабо, особенно низкая подготовка у командиров взводов. Подготовка командиров батальонов и полков — посредственная.</w:t>
      </w:r>
    </w:p>
    <w:p w14:paraId="12AE3E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лучшую сторону выделяется подготовка среднего комсостава в частях ЗакВО и в 46 сд ЗабВО.</w:t>
      </w:r>
    </w:p>
    <w:p w14:paraId="419F16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недочеты в подготовке командного состава:</w:t>
      </w:r>
    </w:p>
    <w:p w14:paraId="0F4039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пехотные командиры слабо знают тактико-технические данные специальных родов войск и придаваемых средств усиления;</w:t>
      </w:r>
    </w:p>
    <w:p w14:paraId="2DDF39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 умеют быстро оценивать обстановку и четко ставить задачи на местности;</w:t>
      </w:r>
    </w:p>
    <w:p w14:paraId="67BF63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 умеют организовать разведку и наблюдение за полем боя;</w:t>
      </w:r>
    </w:p>
    <w:p w14:paraId="3456AE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 имеют навыков в организации взаимодействия пехоты, артиллерии и танков, а также взаимодействия огня и движения.</w:t>
      </w:r>
    </w:p>
    <w:p w14:paraId="7C603E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Подготовка штабов корпусов и дивизий — слабая, особенно плохо подготовлены штабы стрелковых полков и батальонов.</w:t>
      </w:r>
    </w:p>
    <w:p w14:paraId="134218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Штабы специальных соединений и частей артиллерийских, танковых и авиационных подготовлены слабо и не слажены.</w:t>
      </w:r>
    </w:p>
    <w:p w14:paraId="69C28A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Во всех штабах плохо организуется разведка и наблюдение за полем боя. Полученные от разведки данные о противнике штабы не умеют обобщать и не делают должных выводов.</w:t>
      </w:r>
    </w:p>
    <w:p w14:paraId="675659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Организация взаимодействия родов войск — слабое место для всех штабов.</w:t>
      </w:r>
    </w:p>
    <w:p w14:paraId="76C341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лучшую сторону выделяются штабы 25-й авиадивизии и 41-й танковой бригады ЗакВО.</w:t>
      </w:r>
    </w:p>
    <w:p w14:paraId="3BAAB0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Все отмеченные недочеты явились в результате медленного выполнения войсковыми частями моего приказа № 120 и слабой требовательности со стороны военных советов округов.</w:t>
      </w:r>
    </w:p>
    <w:p w14:paraId="1E535A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Приказываю:</w:t>
      </w:r>
    </w:p>
    <w:p w14:paraId="7ECE71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Военным советам Одесского, Закавказского, Сибирского, Забайкальского, Прибалтийского военных округов и Дальневосточного фронта в наступающем учебном году заложить твердые основы методики боевой подготовки войск, руководствуясь моей директивой Военному совету Западного особого военного округа (в копии военным советам всех округов) от 27.9.40 г. № 15119 с.</w:t>
      </w:r>
    </w:p>
    <w:p w14:paraId="50F20E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Военным советам остальных военных округов проверить организацию и ход боевой подготовки частей и в случае обнаружения отступления от моих указаний принять решительные меры по поднятию качества занятий.</w:t>
      </w:r>
    </w:p>
    <w:p w14:paraId="711058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 результатах выполнения настоящего приказа донести мне к 1 декабря 1940 г.</w:t>
      </w:r>
    </w:p>
    <w:p w14:paraId="1B2EE7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СССР Маршал Советского Союза С. Тимошенко (10599).</w:t>
      </w:r>
    </w:p>
    <w:p w14:paraId="7172826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1011F1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331219B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8710D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на торжественном собрании в честь 23 годовщины ВОР выступал М.И.К. (2536,178).</w:t>
      </w:r>
    </w:p>
    <w:p w14:paraId="0424509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33D9A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03131E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8032DFD" w14:textId="77777777" w:rsidR="00D64F5D" w:rsidRPr="00A3026E" w:rsidRDefault="00D64F5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ноября 1940 происходит первый бой между самолетами свободной Франции и Vichy, когда два самолета Vichy атакуют два Westland Lysanders вблизи Либревилла, Французская Экваториальная Африка. Оба Лизандера повреждены, но возвращаются на базу (20795).</w:t>
      </w:r>
    </w:p>
    <w:p w14:paraId="0D082884" w14:textId="77777777" w:rsidR="00D64F5D" w:rsidRPr="00A3026E" w:rsidRDefault="00D64F5D" w:rsidP="00A3026E">
      <w:pPr>
        <w:spacing w:after="0" w:line="240" w:lineRule="auto"/>
        <w:jc w:val="both"/>
        <w:rPr>
          <w:rFonts w:ascii="Times New Roman" w:hAnsi="Times New Roman"/>
          <w:color w:val="0070C0"/>
          <w:sz w:val="16"/>
          <w:szCs w:val="16"/>
        </w:rPr>
      </w:pPr>
    </w:p>
    <w:p w14:paraId="5A5570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Рим. Приказом Верховного Командования итальянские войска в Албании сведены в ГР.А "Албания" (9 и 11А) под командование ген.У.Содду (7594).</w:t>
      </w:r>
    </w:p>
    <w:p w14:paraId="1ADCC05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1CB1A41"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6 November 1940 Roosevelt re-elected President of the US for the 3rd time (270).</w:t>
      </w:r>
    </w:p>
    <w:p w14:paraId="07BAEAE3"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28D1AD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ноября 1940 Ф.Д.Р. был переизбран 3 раз (270).</w:t>
      </w:r>
    </w:p>
    <w:p w14:paraId="0EFCD99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333824" w14:textId="77777777" w:rsidR="00BA2190" w:rsidRPr="00A3026E" w:rsidRDefault="00BA2190"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6 ноября</w:t>
      </w:r>
      <w:r w:rsidRPr="00A3026E">
        <w:rPr>
          <w:rFonts w:ascii="Times New Roman" w:hAnsi="Times New Roman"/>
          <w:color w:val="000000" w:themeColor="text1"/>
          <w:sz w:val="16"/>
          <w:szCs w:val="16"/>
        </w:rPr>
        <w:t xml:space="preserve"> в 1940 году в Швейцарии введено ночное затемнение (14822).</w:t>
      </w:r>
    </w:p>
    <w:p w14:paraId="68FD73D9" w14:textId="77777777" w:rsidR="00BA2190" w:rsidRPr="00A3026E" w:rsidRDefault="00BA2190" w:rsidP="00A3026E">
      <w:pPr>
        <w:spacing w:after="0" w:line="240" w:lineRule="auto"/>
        <w:jc w:val="both"/>
        <w:rPr>
          <w:rFonts w:ascii="Times New Roman" w:hAnsi="Times New Roman"/>
          <w:color w:val="000000" w:themeColor="text1"/>
          <w:sz w:val="16"/>
          <w:szCs w:val="16"/>
        </w:rPr>
      </w:pPr>
    </w:p>
    <w:p w14:paraId="5E52439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4F6F58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13727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ноября 1940-го С.В.Ильюшин обратился с письмом к И.В.Сталину. После обсуждения технических особенностей БШ-2 и его одноместного варианта ЦКБ-57, оценки военными специалистами их боевых качеств Сталин принял решение о запуске в крупносерийное производство одноместного варианта самолета.</w:t>
      </w:r>
    </w:p>
    <w:p w14:paraId="1BEB58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Эталоном для сери и должен был стать самолет, в конструкции которого учитывались практически все предъявлявшиеся к штурмовику требования (9532,4).</w:t>
      </w:r>
    </w:p>
    <w:p w14:paraId="2EBCF05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15D6C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ноября 1940 г. С.В.Ильюшин обратился с письмом к И.В.Сталину. После обсуждения технических особенностей самолетов БШ-2 и ЦКБ-57, оценки военными специалистами их боевых качеств, И.В.Сталин принял решение о запуске в крупносерийное производство одноместного варианта самолета (9528).</w:t>
      </w:r>
    </w:p>
    <w:p w14:paraId="1827F3A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BBDC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ноября 1940 ББ-3 М-81 пе</w:t>
      </w:r>
      <w:r w:rsidRPr="00A3026E">
        <w:rPr>
          <w:rFonts w:ascii="Times New Roman" w:hAnsi="Times New Roman"/>
          <w:color w:val="000000" w:themeColor="text1"/>
          <w:sz w:val="16"/>
          <w:szCs w:val="16"/>
        </w:rPr>
        <w:softHyphen/>
        <w:t>ревезли на заводской аэродром, а проектирование ББ-3 М-90 прекра</w:t>
      </w:r>
      <w:r w:rsidRPr="00A3026E">
        <w:rPr>
          <w:rFonts w:ascii="Times New Roman" w:hAnsi="Times New Roman"/>
          <w:color w:val="000000" w:themeColor="text1"/>
          <w:sz w:val="16"/>
          <w:szCs w:val="16"/>
        </w:rPr>
        <w:softHyphen/>
        <w:t>тили (11849).</w:t>
      </w:r>
    </w:p>
    <w:p w14:paraId="7513BE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1908B5A" w14:textId="77777777" w:rsidR="00D453A6" w:rsidRPr="00A3026E" w:rsidRDefault="00D453A6"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В начале ноября 1940 ББ-3 с М-81 перевезли на заводской аэродром, а работу по варианту с М-90 на время прекратили. 29 ноября 1940 г. летчик-испытатель А П. Деев поднял ББ-3 в воздух. На сле</w:t>
      </w:r>
      <w:r w:rsidRPr="00A3026E">
        <w:rPr>
          <w:rFonts w:ascii="Times New Roman" w:cs="Times New Roman"/>
          <w:color w:val="000000" w:themeColor="text1"/>
          <w:spacing w:val="0"/>
        </w:rPr>
        <w:softHyphen/>
        <w:t>дующий день при выполнении второго полета мотор вышел из строя После этого самолет законсервировали, так как решением правительства М-81 сняли с производства.</w:t>
      </w:r>
    </w:p>
    <w:p w14:paraId="713EBBE8" w14:textId="77777777" w:rsidR="00D453A6" w:rsidRPr="00A3026E" w:rsidRDefault="00D453A6"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По-видимому, Павел Осипович пред</w:t>
      </w:r>
      <w:r w:rsidRPr="00A3026E">
        <w:rPr>
          <w:rFonts w:ascii="Times New Roman" w:cs="Times New Roman"/>
          <w:color w:val="000000" w:themeColor="text1"/>
          <w:spacing w:val="0"/>
        </w:rPr>
        <w:softHyphen/>
        <w:t>видел такую ситуацию, поэтому еще в начале октября 1940 г. в его конструк</w:t>
      </w:r>
      <w:r w:rsidRPr="00A3026E">
        <w:rPr>
          <w:rFonts w:ascii="Times New Roman" w:cs="Times New Roman"/>
          <w:color w:val="000000" w:themeColor="text1"/>
          <w:spacing w:val="0"/>
        </w:rPr>
        <w:softHyphen/>
        <w:t>торском бюро завершили разработку эс</w:t>
      </w:r>
      <w:r w:rsidRPr="00A3026E">
        <w:rPr>
          <w:rFonts w:ascii="Times New Roman" w:cs="Times New Roman"/>
          <w:color w:val="000000" w:themeColor="text1"/>
          <w:spacing w:val="0"/>
        </w:rPr>
        <w:softHyphen/>
        <w:t>кизного проекта модификации ББ-3 под мотор АМ-37 В пояснительной записке к проекту отмечалось, что изменения касаются только винтомоторной группы и в небольшой части фюзеляжа Капотиро</w:t>
      </w:r>
      <w:r w:rsidRPr="00A3026E">
        <w:rPr>
          <w:rFonts w:ascii="Times New Roman" w:cs="Times New Roman"/>
          <w:color w:val="000000" w:themeColor="text1"/>
          <w:spacing w:val="0"/>
        </w:rPr>
        <w:softHyphen/>
        <w:t>вание АМ-37 несколько улучшило обзор летчика по сравнению с М-81</w:t>
      </w:r>
    </w:p>
    <w:p w14:paraId="0EBBA6AD" w14:textId="77777777" w:rsidR="00D453A6" w:rsidRPr="00A3026E" w:rsidRDefault="00D453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 же время применение двига</w:t>
      </w:r>
      <w:r w:rsidRPr="00A3026E">
        <w:rPr>
          <w:rFonts w:ascii="Times New Roman" w:hAnsi="Times New Roman"/>
          <w:color w:val="000000" w:themeColor="text1"/>
          <w:sz w:val="16"/>
          <w:szCs w:val="16"/>
        </w:rPr>
        <w:softHyphen/>
        <w:t>теля водяного охлаждения требовало применения помимо маслорадиатора также радиатора для воды, а в случае АМ-37 - еще и промежуточного ради</w:t>
      </w:r>
      <w:r w:rsidRPr="00A3026E">
        <w:rPr>
          <w:rFonts w:ascii="Times New Roman" w:hAnsi="Times New Roman"/>
          <w:color w:val="000000" w:themeColor="text1"/>
          <w:sz w:val="16"/>
          <w:szCs w:val="16"/>
        </w:rPr>
        <w:softHyphen/>
        <w:t>атора (интеркулера) для охлаждения воздуха, поступающего в карбюратор На новом варианте ББ-3 предусматри</w:t>
      </w:r>
      <w:r w:rsidRPr="00A3026E">
        <w:rPr>
          <w:rFonts w:ascii="Times New Roman" w:hAnsi="Times New Roman"/>
          <w:color w:val="000000" w:themeColor="text1"/>
          <w:sz w:val="16"/>
          <w:szCs w:val="16"/>
        </w:rPr>
        <w:softHyphen/>
        <w:t>валась установка водяного радиатора площадью 28 дм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воздушного - 12 дм</w:t>
      </w:r>
      <w:r w:rsidRPr="00A3026E">
        <w:rPr>
          <w:rFonts w:ascii="Times New Roman" w:hAnsi="Times New Roman"/>
          <w:color w:val="000000" w:themeColor="text1"/>
          <w:sz w:val="16"/>
          <w:szCs w:val="16"/>
          <w:vertAlign w:val="superscript"/>
        </w:rPr>
        <w:t xml:space="preserve">2 </w:t>
      </w:r>
      <w:r w:rsidRPr="00A3026E">
        <w:rPr>
          <w:rFonts w:ascii="Times New Roman" w:hAnsi="Times New Roman"/>
          <w:color w:val="000000" w:themeColor="text1"/>
          <w:sz w:val="16"/>
          <w:szCs w:val="16"/>
        </w:rPr>
        <w:t>и масляного - 9 дм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Из условий мини</w:t>
      </w:r>
      <w:r w:rsidRPr="00A3026E">
        <w:rPr>
          <w:rFonts w:ascii="Times New Roman" w:hAnsi="Times New Roman"/>
          <w:color w:val="000000" w:themeColor="text1"/>
          <w:sz w:val="16"/>
          <w:szCs w:val="16"/>
        </w:rPr>
        <w:softHyphen/>
        <w:t>мальных переделок ББ-1 и невозмож</w:t>
      </w:r>
      <w:r w:rsidRPr="00A3026E">
        <w:rPr>
          <w:rFonts w:ascii="Times New Roman" w:hAnsi="Times New Roman"/>
          <w:color w:val="000000" w:themeColor="text1"/>
          <w:sz w:val="16"/>
          <w:szCs w:val="16"/>
        </w:rPr>
        <w:softHyphen/>
        <w:t>ности размещения радиаторов в крыле, все они монтировались под мотором в общем туннеле, который имел общий вход и выходы, отдельно регулируемые для каждого радиатора.</w:t>
      </w:r>
    </w:p>
    <w:p w14:paraId="4FF5E3D5" w14:textId="77777777" w:rsidR="00D453A6" w:rsidRPr="00A3026E" w:rsidRDefault="00D453A6"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Такой подход позволял с минималь</w:t>
      </w:r>
      <w:r w:rsidRPr="00A3026E">
        <w:rPr>
          <w:rFonts w:ascii="Times New Roman" w:cs="Times New Roman"/>
          <w:color w:val="000000" w:themeColor="text1"/>
          <w:spacing w:val="0"/>
        </w:rPr>
        <w:softHyphen/>
        <w:t>ными переделками серийного завода выпускать самолет с любым из мото</w:t>
      </w:r>
      <w:r w:rsidRPr="00A3026E">
        <w:rPr>
          <w:rFonts w:ascii="Times New Roman" w:cs="Times New Roman"/>
          <w:color w:val="000000" w:themeColor="text1"/>
          <w:spacing w:val="0"/>
        </w:rPr>
        <w:softHyphen/>
        <w:t>ров - АМ-37, М-81 и М-90 в зависимости от требований заказчика и возможностей промышленности. Единственными изме</w:t>
      </w:r>
      <w:r w:rsidRPr="00A3026E">
        <w:rPr>
          <w:rFonts w:ascii="Times New Roman" w:cs="Times New Roman"/>
          <w:color w:val="000000" w:themeColor="text1"/>
          <w:spacing w:val="0"/>
        </w:rPr>
        <w:softHyphen/>
        <w:t>нениями планера при переходе с АМ-37 на двигатели воздушного охлаждения стала бы установка обтекателя в перед</w:t>
      </w:r>
      <w:r w:rsidRPr="00A3026E">
        <w:rPr>
          <w:rFonts w:ascii="Times New Roman" w:cs="Times New Roman"/>
          <w:color w:val="000000" w:themeColor="text1"/>
          <w:spacing w:val="0"/>
        </w:rPr>
        <w:softHyphen/>
        <w:t>ней нижней части фюзеляжа и смещение киля в противоположную сторону, так как направление вращения винта у АМ-37 и звездообразных М-81 и М-90 противо</w:t>
      </w:r>
      <w:r w:rsidRPr="00A3026E">
        <w:rPr>
          <w:rFonts w:ascii="Times New Roman" w:cs="Times New Roman"/>
          <w:color w:val="000000" w:themeColor="text1"/>
          <w:spacing w:val="0"/>
        </w:rPr>
        <w:softHyphen/>
        <w:t>положны.</w:t>
      </w:r>
    </w:p>
    <w:p w14:paraId="273249EF" w14:textId="77777777" w:rsidR="00D453A6" w:rsidRPr="00A3026E" w:rsidRDefault="00D453A6"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Емкость бензобаков 850 л обеспечи</w:t>
      </w:r>
      <w:r w:rsidRPr="00A3026E">
        <w:rPr>
          <w:rFonts w:ascii="Times New Roman" w:cs="Times New Roman"/>
          <w:color w:val="000000" w:themeColor="text1"/>
          <w:spacing w:val="0"/>
        </w:rPr>
        <w:softHyphen/>
        <w:t>вала дальность полета в перегрузочном варианте 1200 км. Нормальная заправ</w:t>
      </w:r>
      <w:r w:rsidRPr="00A3026E">
        <w:rPr>
          <w:rFonts w:ascii="Times New Roman" w:cs="Times New Roman"/>
          <w:color w:val="000000" w:themeColor="text1"/>
          <w:spacing w:val="0"/>
        </w:rPr>
        <w:softHyphen/>
        <w:t>ка 525 кг соответствовала дальности 1000 км</w:t>
      </w:r>
    </w:p>
    <w:p w14:paraId="4F4B0A59" w14:textId="77777777" w:rsidR="00D453A6" w:rsidRPr="00A3026E" w:rsidRDefault="00D453A6"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Фюзеляж серийного ББ-1 изменялся в нижней передней части, куда заходил туннель радиаторов На крыло навеши</w:t>
      </w:r>
      <w:r w:rsidRPr="00A3026E">
        <w:rPr>
          <w:rFonts w:ascii="Times New Roman" w:cs="Times New Roman"/>
          <w:color w:val="000000" w:themeColor="text1"/>
          <w:spacing w:val="0"/>
        </w:rPr>
        <w:softHyphen/>
        <w:t>вались автоматические предкрылки для улучшения поперечной управляемости. Оборудование соответствовало ББ-1, к нему добавлялись радиополукомпас РПК-2 и бронеспинка стрелка для защиты от огня сзади Сохранялось вооружение серийного бомбардировщика, к которому добавлялась люковая установка.</w:t>
      </w:r>
    </w:p>
    <w:p w14:paraId="0CD8DED6" w14:textId="77777777" w:rsidR="00D453A6" w:rsidRPr="00A3026E" w:rsidRDefault="00D453A6"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Полетный вес самолета определялся в 4620 кг Расчетные данные: время подъ</w:t>
      </w:r>
      <w:r w:rsidRPr="00A3026E">
        <w:rPr>
          <w:rFonts w:ascii="Times New Roman" w:cs="Times New Roman"/>
          <w:color w:val="000000" w:themeColor="text1"/>
          <w:spacing w:val="0"/>
        </w:rPr>
        <w:softHyphen/>
        <w:t>ема на 6000 м - 10,5 мин, практический потолок - 9500 м, максимальная скорость у земли - 450 км/ч, на высоте 6000 м - 550 км/ч. посадочная - 116 км/ч, длина разбега - 350 м (19102).</w:t>
      </w:r>
    </w:p>
    <w:p w14:paraId="76E97DCC" w14:textId="77777777" w:rsidR="00D453A6" w:rsidRPr="00A3026E" w:rsidRDefault="00D453A6" w:rsidP="00A3026E">
      <w:pPr>
        <w:pStyle w:val="26"/>
        <w:shd w:val="clear" w:color="auto" w:fill="auto"/>
        <w:spacing w:after="0" w:line="240" w:lineRule="auto"/>
        <w:ind w:firstLine="0"/>
        <w:rPr>
          <w:rFonts w:ascii="Times New Roman" w:cs="Times New Roman"/>
          <w:color w:val="000000" w:themeColor="text1"/>
          <w:spacing w:val="0"/>
        </w:rPr>
      </w:pPr>
    </w:p>
    <w:p w14:paraId="768BF4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ноября 1940 г. закончились войсковые испытания шестерки СБ, снабженных двигателями М-105, которые шли с июля 1940. Испытания проходили в 95 СБАП (командир полковник Пестов) 46-и авиадивизии Московского военного округа под Калининым. В ходе испытании выявилось неудовлетворительное качество установленных М-105. Одна машина совершила вынужденную посадку по причине выхода из строя силовой установки в районе станции Крюково, пять СБ после замены двигателей продолжили испытания (№2,242. 5/2i2. 6/242. 7/242. 9, 242). В зимний период войсковые испытания на 10 СБ 2 М-105 продолжили в южных районах Советского Союза (6413).</w:t>
      </w:r>
    </w:p>
    <w:p w14:paraId="7240A8E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59B85C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A68B6A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E3412D1"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 xml:space="preserve">В начале ноября 1940, ХПЗ, оправдываясь за срыв программы выпуска Т-34 вообще и за октябрь 1940 г. в частности (всего с начала года заводу надлежало поставить 255 танков, в том числе 115 за октябрь, фактически поставлено 45 танков, в том числе 1 — за октябрь), сообщал: </w:t>
      </w:r>
      <w:r w:rsidRPr="00A3026E">
        <w:rPr>
          <w:iCs/>
          <w:color w:val="000000" w:themeColor="text1"/>
          <w:sz w:val="16"/>
          <w:szCs w:val="16"/>
        </w:rPr>
        <w:t>«Основными причинами невыполнения программы является:</w:t>
      </w:r>
    </w:p>
    <w:p w14:paraId="7EC28FD9"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а) Не полностью оснащены цеха приспособлениями, инструментом, особенно по корпусному отделу.</w:t>
      </w:r>
    </w:p>
    <w:p w14:paraId="09157351"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б) Ввиду того, что машина запущена в производство недостаточно проверенная и отработанная, в процессе изготовления и испытаний обнаруживается много дефектов, которые приходится выправлять в серийном производстве.</w:t>
      </w:r>
    </w:p>
    <w:p w14:paraId="16F5AB17"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 Довольно трудоемкой работой оказалось изготовление, подгонка маски и монтаж пушки в башню, а заводом не было своевременно предпринято мер по разработке технологии и оснащению этого участка.</w:t>
      </w:r>
    </w:p>
    <w:p w14:paraId="69B161D4"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г) Имеет место несвоевременное обеспечение завода металлом, покупными изделиями и заготовками с кооперирующих заводов…»</w:t>
      </w:r>
      <w:hyperlink r:id="rId69" w:anchor="n_232" w:history="1">
        <w:r w:rsidRPr="00A3026E">
          <w:rPr>
            <w:rStyle w:val="a5"/>
            <w:color w:val="000000" w:themeColor="text1"/>
            <w:sz w:val="16"/>
            <w:szCs w:val="16"/>
          </w:rPr>
          <w:t>[232]</w:t>
        </w:r>
      </w:hyperlink>
    </w:p>
    <w:p w14:paraId="5502DF0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A31ECC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8563A3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F04C7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ноября 1940 С.В.И. обратился с письмом к И.В.С. о судьбе БШ-2 (ЦКБ-55) (3846,12).</w:t>
      </w:r>
    </w:p>
    <w:p w14:paraId="35623E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С.В.И. опять встретил какое-то сопротивление (вернее не встретил поддержки) в вопросе начала серийного производства и считая, что оно могло начаться еще полгода назад через две-три недели после завершения заводских испытаний ЦКБ-57 опять писал И.В.С. и вручил письмо 7 ноября (23,23).</w:t>
      </w:r>
    </w:p>
    <w:p w14:paraId="15174C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Примечательно, но ни ЦКБ-55, ни ЦКБ-57 так и не попали на Красную площадь и 7 ноября 1940. Получается, что вообще не был на этих парадах за исключением того, что был в Куйбышеве 7 ноября 1941.</w:t>
      </w:r>
    </w:p>
    <w:p w14:paraId="39EAF7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данным, ветеранов ОКБ, решение о строительстве одноместного самолета было напрямую связано с письмом С.В.И. в ЦК ВКП(б), переданном 7 ноября (180,12).</w:t>
      </w:r>
    </w:p>
    <w:p w14:paraId="06172A2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1B884AA" w14:textId="77777777" w:rsidR="00BA2190" w:rsidRPr="00A3026E" w:rsidRDefault="00BA219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ноября 1940:</w:t>
      </w:r>
    </w:p>
    <w:p w14:paraId="5EC64293" w14:textId="77777777" w:rsidR="00BA2190" w:rsidRPr="00A3026E" w:rsidRDefault="00BA219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беседы на И.В.С. и Димитрова на обеде после праздничной демонстрации 7 ноября 1940 года</w:t>
      </w:r>
    </w:p>
    <w:p w14:paraId="76F4F2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Зашел разговор о Гражданской войне на Южном фронте. (Разногласия между Сталиным и Троцким).</w:t>
      </w:r>
    </w:p>
    <w:p w14:paraId="2E1802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Спросил (Г. М. Димитров. — </w:t>
      </w:r>
      <w:r w:rsidRPr="00A3026E">
        <w:rPr>
          <w:rFonts w:ascii="Times New Roman" w:hAnsi="Times New Roman"/>
          <w:iCs/>
          <w:color w:val="000000" w:themeColor="text1"/>
          <w:sz w:val="16"/>
          <w:szCs w:val="16"/>
        </w:rPr>
        <w:t>Ред.</w:t>
      </w:r>
      <w:r w:rsidRPr="00A3026E">
        <w:rPr>
          <w:rFonts w:ascii="Times New Roman" w:hAnsi="Times New Roman"/>
          <w:color w:val="000000" w:themeColor="text1"/>
          <w:sz w:val="16"/>
          <w:szCs w:val="16"/>
        </w:rPr>
        <w:t>) Иосифа Виссарионовича, по какому признаку происходил подбор руководящих кадров.</w:t>
      </w:r>
    </w:p>
    <w:p w14:paraId="6A1E2C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Иосиф Виссарионович</w:t>
      </w:r>
      <w:r w:rsidRPr="00A3026E">
        <w:rPr>
          <w:rFonts w:ascii="Times New Roman" w:hAnsi="Times New Roman"/>
          <w:color w:val="000000" w:themeColor="text1"/>
          <w:sz w:val="16"/>
          <w:szCs w:val="16"/>
        </w:rPr>
        <w:t>: Троцкий держался за старых офицеров, специалистов, которые часто изменяли. Мы, наоборот, подбирали верных революции людей, связанных с массами, преимущественно унтер-офицеров из низов, хотя и ясно осознавали значение честных специалистов.</w:t>
      </w:r>
    </w:p>
    <w:p w14:paraId="2290B3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Владимир Ильич вначале был склонен думать, что я отношусь наплевательски к специалистам. Он вызвал меня в Москву. Троцкий и Пятаков старались доказать это и заступались за двух специалистов, снятых мною. Как раз в этот момент получилось сообщение с фронта, что один из них предал, а другой — дезертировал. Ильич, прочитав эту телеграмму, изобличил Троцкого и Пятакова, признал правильность наших действий…</w:t>
      </w:r>
    </w:p>
    <w:p w14:paraId="2447EA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Нас история избаловала. Мы получили сравнительно легко много успехов. Это и создало у многих самодовольство, опасное самодовольство. Люди не хотят учиться, хотя и условия для учебы у нас прекрасные. Думают, что, раз они из рабочих и крестьян, раз у них руки мозолистые, они уже все могут, незачем им дальше учиться и работать над собой. Между тем — настоящие тупицы.</w:t>
      </w:r>
    </w:p>
    <w:p w14:paraId="7603AC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нас много честных, храбрых людей, но забывают, что храбрость одна далеко не достаточна, нужно знать, уметь.</w:t>
      </w:r>
    </w:p>
    <w:p w14:paraId="05F3B0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«Век живи, век учись!».</w:t>
      </w:r>
    </w:p>
    <w:p w14:paraId="70D445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постоянно учиться и каждые 2–3 года переучиваться. Но у нас не любят учиться. Не изучают уроков войны с Финляндией, уроков войны в Европе.</w:t>
      </w:r>
    </w:p>
    <w:p w14:paraId="1A6AFE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Мы победили японцев на Халхин-Голе. Но наши самолеты оказались ниже японских по скоростности и высотности.</w:t>
      </w:r>
    </w:p>
    <w:p w14:paraId="15BA5C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Мы не готовы для такой войны, которая идет между Германией и Англией.</w:t>
      </w:r>
    </w:p>
    <w:p w14:paraId="296ACA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Оказалось, что наши самолеты могут задерживаться только до 35 минут в воздухе, а немецкие и английские по несколько часов!</w:t>
      </w:r>
    </w:p>
    <w:p w14:paraId="00F0E1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Если наши воздушные силы, транспорт и т. д. не будут на равной высоте наших врагов (а такие у нас все капиталистические государства и те, которые прикрашиваются под наших друзей!), они нас съедят.</w:t>
      </w:r>
    </w:p>
    <w:p w14:paraId="340E46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Только при равных материальных силах мы можем победить, потому что опираемся на народ, народ с нами.</w:t>
      </w:r>
    </w:p>
    <w:p w14:paraId="22B812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для этого надо учиться, надо знать, надо уметь.</w:t>
      </w:r>
    </w:p>
    <w:p w14:paraId="0A97D0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тем, никто из военного ведомства не сигнализировал насчет самолетов. Никто из вас не думал об этом.</w:t>
      </w:r>
    </w:p>
    <w:p w14:paraId="7D2D34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 вызывал наших конструкторов и спрашивал их: можно ли сделать так, чтобы и наши самолеты задерживались в воздухе дольше? Ответили: Можно, но никто нам такого задания не давал! И теперь этот недостаток исправляется.</w:t>
      </w:r>
    </w:p>
    <w:p w14:paraId="4A5479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нас теперь пехота перестраивается, кавалерия была всегда хорошая, надо заняться серьезно авиацией и противовоздушной обороной.</w:t>
      </w:r>
    </w:p>
    <w:p w14:paraId="25D435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этим я сейчас каждый день занимаюсь, принимаю конструкторов и других специалистов.</w:t>
      </w:r>
    </w:p>
    <w:p w14:paraId="590FB9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я один занимаюсь со всеми этими вопросами. Никто из вас об этом и не думает. Я стою один.</w:t>
      </w:r>
    </w:p>
    <w:p w14:paraId="4B5119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Ведь я могу учиться, читать, следить каждый день; почему вы это не можете делать? Не любите учиться, самодовольно живете себе. Растрачиваете наследство Ленина.</w:t>
      </w:r>
    </w:p>
    <w:p w14:paraId="014FE0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r w:rsidRPr="00A3026E">
        <w:rPr>
          <w:rFonts w:ascii="Times New Roman" w:hAnsi="Times New Roman"/>
          <w:iCs/>
          <w:color w:val="000000" w:themeColor="text1"/>
          <w:sz w:val="16"/>
          <w:szCs w:val="16"/>
        </w:rPr>
        <w:t>Калинин</w:t>
      </w:r>
      <w:r w:rsidRPr="00A3026E">
        <w:rPr>
          <w:rFonts w:ascii="Times New Roman" w:hAnsi="Times New Roman"/>
          <w:color w:val="000000" w:themeColor="text1"/>
          <w:sz w:val="16"/>
          <w:szCs w:val="16"/>
        </w:rPr>
        <w:t>: Нужно подумать насчет распределения времени, как-то времени не хватает!).</w:t>
      </w:r>
    </w:p>
    <w:p w14:paraId="706BC5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 не в этом дело! Люди беспечные, не хотят учиться и переучиваться. Выслушают меня и все оставят по-старому. Но я вам покажу, если выйду из терпения. (Вы знаете, как я это могу). Так ударю по толстякам, что все затрещит.</w:t>
      </w:r>
    </w:p>
    <w:p w14:paraId="7185ED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 пью за тех коммунистов, за тех большевиков — партийных и беспартийных (беспартийные большевики обыкновенно менее самодовольны!), которые понимают, что надо учиться и переучиваться.</w:t>
      </w:r>
    </w:p>
    <w:p w14:paraId="39F2D0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Димитров Г. Дневник. (9 март 1933 — 6 фебруари 1949).</w:t>
      </w:r>
    </w:p>
    <w:p w14:paraId="334157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София, 1997. С. 200–201 (11868).</w:t>
      </w:r>
    </w:p>
    <w:p w14:paraId="6CB5CDB0" w14:textId="77777777" w:rsidR="00BA2190" w:rsidRPr="00A3026E" w:rsidRDefault="00BA2190" w:rsidP="00A3026E">
      <w:pPr>
        <w:spacing w:after="0" w:line="240" w:lineRule="auto"/>
        <w:jc w:val="both"/>
        <w:rPr>
          <w:rFonts w:ascii="Times New Roman" w:hAnsi="Times New Roman"/>
          <w:color w:val="000000" w:themeColor="text1"/>
          <w:sz w:val="16"/>
          <w:szCs w:val="16"/>
        </w:rPr>
      </w:pPr>
    </w:p>
    <w:p w14:paraId="15A0C0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ноября 1940 пять И-26 11 иап во главе с Г.А.Когрушевым (65,44) пролетели на максимальной скорости над Красной Площадью (198,17).</w:t>
      </w:r>
    </w:p>
    <w:p w14:paraId="530DF5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Воздушные парады были в нескольких городах и вовлекли 5000 машин, хотя хотели 8000, но не смогли из-за погоды (438,791).</w:t>
      </w:r>
    </w:p>
    <w:p w14:paraId="59A2A5A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B9E1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ноября 1940 г. пять И-26 (среди них И-26-П1) 11-го иап, ведущий группы - командир полка полковой комиссар Г.А. Когрушев, на максимальной скорости пронеслись над Красной площадью, приняв участие в воздушном параде, посвященном 23-й годовщине Октябрьской революции (12048).</w:t>
      </w:r>
    </w:p>
    <w:p w14:paraId="28FD1F0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19B0F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ноября 1940 в параде приняли участие И-200-1 и 2 (4415,35).</w:t>
      </w:r>
    </w:p>
    <w:p w14:paraId="04A30D5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E42A4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ноября 1940 г. для военного парада были подго</w:t>
      </w:r>
      <w:r w:rsidRPr="00A3026E">
        <w:rPr>
          <w:rFonts w:ascii="Times New Roman" w:hAnsi="Times New Roman"/>
          <w:color w:val="000000" w:themeColor="text1"/>
          <w:sz w:val="16"/>
          <w:szCs w:val="16"/>
        </w:rPr>
        <w:softHyphen/>
        <w:t>товлены девять самолетов И—200, в том числе два опытных — зав. № 2 и № 3. В ходе тренировочных полетов впервые в довольно яркой форме выявилась неудовлетворительная надежность силовой установ</w:t>
      </w:r>
      <w:r w:rsidRPr="00A3026E">
        <w:rPr>
          <w:rFonts w:ascii="Times New Roman" w:hAnsi="Times New Roman"/>
          <w:color w:val="000000" w:themeColor="text1"/>
          <w:sz w:val="16"/>
          <w:szCs w:val="16"/>
        </w:rPr>
        <w:softHyphen/>
        <w:t>ки истребителя. В нескольких случаях летчики, по их заявлениям, чудом выходили из очень опасных ситуаций (9984).</w:t>
      </w:r>
    </w:p>
    <w:p w14:paraId="5DB0BE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0983E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ноября 1940 года, согласно записям в дневнике Г.М. Димитрова, после демонстрации на обеде у И.В. Сталина присутствовали Молотов, Калинин, Ворошилов, Буденный, Андреев, Каганович, Берия, Микоян, Шверник, Булганин, Маленков, Щербаков, командующий Московского округа генерал армии Тюленев, Димитров, после вызвали Тимошенко (Невежин В.А. Застольные речи Сталина. С. 233.). Сталин заявил следующее:</w:t>
      </w:r>
    </w:p>
    <w:p w14:paraId="4B97BA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постоянно учиться и каждые 2 – 3 года переучиваться. Но у нас не любят учиться. Не изучают уроков войны с Финляндией, уроков войны в Европе.</w:t>
      </w:r>
    </w:p>
    <w:p w14:paraId="16E6C0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Мы победили японцев на Халхин-Голе. Но наши самолеты оказались ниже японских по скоростности и высотности. Мы не готовы для такой войны, которая идет между Германией и Англией.</w:t>
      </w:r>
    </w:p>
    <w:p w14:paraId="2D8394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Оказалось, что наши самолеты могут задерживаться только до 35 минут в воздухе, а немецкие и английские по несколько часов! Если наши воздушные силы, транспорт и т.д. не будут на равной высоте наших врагов (а такие у нас все капиталистические государства и те, которые прикрашиваются под наших друзей!), они нас съедят.</w:t>
      </w:r>
    </w:p>
    <w:p w14:paraId="2BE29F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Только при равных материальных силах мы можем победить, потому что опираемся на народ, народ с нами.</w:t>
      </w:r>
    </w:p>
    <w:p w14:paraId="300138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для этого надо учиться, надо знать, надо уметь.</w:t>
      </w:r>
    </w:p>
    <w:p w14:paraId="39F26D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тем, никто из военного ведомства не сигнализировал насчет самолетов. Никто из вас не думал об этом.</w:t>
      </w:r>
    </w:p>
    <w:p w14:paraId="24548D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 вызывал наших конструкторов и спрашивал их: можно ли сделать так, чтобы и наши самолеты задерживались в воздухе дольше? Ответили: Можно, но никто нам такого задания не давал! И теперь этот недостаток исправляется.</w:t>
      </w:r>
    </w:p>
    <w:p w14:paraId="5AC656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нас теперь пехота перестраивается, кавалерия была всегда хорошая, надо заняться серьезно авиацией и противовоздушной обороной.</w:t>
      </w:r>
    </w:p>
    <w:p w14:paraId="05FF99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этим я сейчас каждый день занимаюсь, принимаю конструкторов и других специалистов.</w:t>
      </w:r>
    </w:p>
    <w:p w14:paraId="39A730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я один занимаюсь со всеми этими вопросами. Никто из вас об этом и не думает. Я стою один.</w:t>
      </w:r>
    </w:p>
    <w:p w14:paraId="5DF0E9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Ведь я могу учиться, читать, следить каждый день; почему вы это не можете делать? Не любите учиться, самодовольно живете себе. Растрачиваете наследство Ленина.</w:t>
      </w:r>
    </w:p>
    <w:p w14:paraId="7E34C6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(Калинин: Нужно подумать насчет распределения времени, как-то времени не хватает!).</w:t>
      </w:r>
    </w:p>
    <w:p w14:paraId="49AF64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 не в этом дело! Люди беспечные, не хотят учиться и переучиваться.</w:t>
      </w:r>
    </w:p>
    <w:p w14:paraId="689C56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Выслушают меня и все оставят по-старому. Но я вам покажу, если выйду из терпения. (Вы знаете, как я это могу). Так ударю по толстякам, что все затрещит» (Цит. по: Невежин В.А. Застольные речи Сталина. С. 234-235.).</w:t>
      </w:r>
    </w:p>
    <w:p w14:paraId="509C1D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Г.М. Димитров описывает последующую реакцию присутствующих: «Все стояли прямо и слушали молчаливо, видимо никак не ожидали от Иосифа Виссарионовича такие Leviten (наставления (нем.)). В глазах Ворошилова показались слезы.</w:t>
      </w:r>
    </w:p>
    <w:p w14:paraId="1022FB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своего выступления Иосиф Виссарионович особенно обращался к Кагановичу и к Берия.</w:t>
      </w:r>
    </w:p>
    <w:p w14:paraId="290705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Никогда я не видел и не слышал Иосифа Виссарионовича таким, как в этот памятный вечер» (Невежин В.А. Указ. соч. С. 236.).</w:t>
      </w:r>
    </w:p>
    <w:p w14:paraId="0D6A2A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 Невежин делает из этого эпизода следующий вывод: «Следовательно, Сталин осознавал, что ни решения мартовского (1940 года) пленума ЦК ВКП(б), ни материалы совещания при ЦК высшего начальствующего состава РККА 14 – 17 апреля 1940 года, где обсуждались итоги и уроки военных действий против Финляндии, не стали основополагающими для тех, кто отвечал за боевую подготовку советских Вооруженных Сил» (Там же. С. 233.) (11672).</w:t>
      </w:r>
    </w:p>
    <w:p w14:paraId="3CDA5EE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07785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7 ноября 1940 г. на обеде после демонстрации и показа новой авиатехники над Красной площадью И.В.С., как следует из дневника Г.М. Димитрова, сказал следующее:</w:t>
      </w:r>
    </w:p>
    <w:p w14:paraId="243757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"...Мы не готовы для такой войны, которая идет между Германией и Англией. Оказалось, что наши самолеты могут задерживаться только до 35 минут в воздухе, а немецкие и английские по несколько часов!</w:t>
      </w:r>
    </w:p>
    <w:p w14:paraId="7A3124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тем никто из военного ведомства не сигнализировал насчет самолетов. Никто из вас не думал об этом (на обеде присутствовали Молотов, Калинин, Ворошилов, Буденный, Андреев, Каганович, Берия, Микоян, Шверник, Булганин, Маленков, Щербаков, Тюленев, Димитров, Тимошенко). Я вызывал наших конструкторов и спрашивал их: можно ли сделать так, чтобы и наши самолеты задерживались в воздухе дольше? Ответили: Можно, но никто нам такого задания не давал! И теперь этот недостаток исправляется. У нас теперь пехота перестраивается, кавалерия всегда была хорошая, надо заняться серьезно авиацией и противовоздушной обороной. С этим я сейчас каждый день занимаюсь, принимаю конструкторов и других специалистов. Но я один занимаюсь со всеми этими вопросами. Никто из вас об этом и не думает. Я стою один" (12048).</w:t>
      </w:r>
    </w:p>
    <w:p w14:paraId="4A497D7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5F88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7 ноября по 21 декабря 1940 года на НИП АВ проходили полигонные испытания осколочных авиабомб переделанных из 82 мм мин марки АО-3</w:t>
      </w:r>
    </w:p>
    <w:p w14:paraId="6C02FA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 в/инженер 2 ранга Галкин</w:t>
      </w:r>
    </w:p>
    <w:p w14:paraId="494631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24D2C2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Испытанием определить:</w:t>
      </w:r>
    </w:p>
    <w:p w14:paraId="447EE7E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Осколочный эффект каждого варианта.</w:t>
      </w:r>
    </w:p>
    <w:p w14:paraId="5394523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на траектории.</w:t>
      </w:r>
    </w:p>
    <w:p w14:paraId="7C2360D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Безотказность действия снаряжения от принятых на вооружение взрывателей.</w:t>
      </w:r>
    </w:p>
    <w:p w14:paraId="74464B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7D5018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проведенных испытаниях осколочные бомбы АО-3 кг переделанные из 82 мм мин, показали неудовлетворительные результаты по устойчивости на траектории, давшие по этой причине 21 отказ, что составляет 6% к числу найденных.</w:t>
      </w:r>
    </w:p>
    <w:p w14:paraId="51A79C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АВ считает возможным допустить АО-3 кг на снабжение ВВС как крайнюю временную меру, в любом из испытанных вариантов снаряжения с одновременной постановкой задачи перед РСМ о проведении срочных работ по улучшению баллистики бомбы и подачей партии в 500 штук для повторных полигонных испытаний (7551).</w:t>
      </w:r>
    </w:p>
    <w:p w14:paraId="26256D5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4E0F4E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521232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34D8C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ноября 1940 г.</w:t>
      </w:r>
    </w:p>
    <w:p w14:paraId="71167F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ПОЛИТБЮРО ЦК ВКП(б) О РЕЗУЛЬТАТАХ ПРОВЕРКИ НАРКОМАТА БОЕПРИПАСОВ С ПРИЛОЖЕНИЕМ ЗАПИСКИ Л.З. МЕХЛИСА И Л.П. БЕРИИ</w:t>
      </w:r>
    </w:p>
    <w:p w14:paraId="07348F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 аппарате Наркомата боеприпасов СССР </w:t>
      </w:r>
    </w:p>
    <w:p w14:paraId="066324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Поручить Управлению кадров ЦК ВКП(б) в двухдекадный срок укрепить аппарат НКБ проверенными и технически подготовленными работниками, назначив, в первую очередь, начальников 1-го, 2-го и 3-го Главков. Предупредить начальника 4-го Главка т. Иванова, что если он в месячный срок не улучшит работу Главка, то будет снят с должности и привлечен к ответственности.</w:t>
      </w:r>
    </w:p>
    <w:p w14:paraId="246FA7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Заместителя наркома т. Толстова снять с должности, назначив его начальником Главснаб НКБ.</w:t>
      </w:r>
    </w:p>
    <w:p w14:paraId="6A7E26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Снять с должности секретаря партийной организации НКБ т. Акатова как не справляющегося с работой.</w:t>
      </w:r>
    </w:p>
    <w:p w14:paraId="04AAF3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Арестовать зам. наркома Хренкова и дело о нем передать НКВД.</w:t>
      </w:r>
    </w:p>
    <w:p w14:paraId="2D41FC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 декабре заслушать на заседании Оргбюро ЦК ВКП(б) доклад руководства наркомата и Управления кадров ЦК ВКП(б) о проделанной работе по укреплению аппарата НКБ.</w:t>
      </w:r>
    </w:p>
    <w:p w14:paraId="5773E0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года</w:t>
      </w:r>
    </w:p>
    <w:p w14:paraId="1373AC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ЦК ВКП(б) товарищу СТАЛИНУ СНК СССР товарищу МОЛОТОВУ</w:t>
      </w:r>
    </w:p>
    <w:p w14:paraId="57A00F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РЕЗУЛЬТАТАХ ПРОВЕРКИ АППАРАТА НАРКОМАТА БОЕПРИПАСОВ СОЮЗА ССР</w:t>
      </w:r>
    </w:p>
    <w:p w14:paraId="327FE9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постановлением ЦК ВКП(б) от 26 сентября 1940 года Народный Комиссариат Госконтроля СССР и Народный Комиссариат Внутренних дел СССР проверил аппарат Народного Комиссариата боеприпасов.</w:t>
      </w:r>
    </w:p>
    <w:p w14:paraId="701BCC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Проверку производили 55 работников Наркомата Госконтроля и НКВД СССР под руководством главного контролера Наркомата Госконтроля тов. Гафарова и заместителя начальника Главного Экономического управления НКВД СССР тов. Наседкина.</w:t>
      </w:r>
    </w:p>
    <w:p w14:paraId="75922F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Проверка аппарата производилась путем личного ознакомления с сотрудниками Наркомата, с их практической работой и изучения соответствующих документальных данных.</w:t>
      </w:r>
    </w:p>
    <w:p w14:paraId="042645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с этим происходила проверка производственной деятельности 1-го и 2-го Главных Управлений и Главснаба НКБ.</w:t>
      </w:r>
    </w:p>
    <w:p w14:paraId="4B3A85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Установлено, что промышленность боеприпасов находится в тяжелом положении.</w:t>
      </w:r>
    </w:p>
    <w:p w14:paraId="1F2EF1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9 месяцев 1940 года НКБ выполнил годовой план по валовой продукции всего на 68,1 проц., а по товарной продукции - на 61,3 проц.</w:t>
      </w:r>
    </w:p>
    <w:p w14:paraId="66ED5F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этого на заводах НКБ образовалось огромное количество продукции незавершенной производством. На 1 октября т.г. остатки незавершенного производства составили 1020 миллионов рублей против 688 миллионов рублей (по плану на 1 января 1941 года).</w:t>
      </w:r>
    </w:p>
    <w:p w14:paraId="3B8733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 НКБ ухудшается из квартала в квартал. План 1 квартала по оборонной продукции выполнен на 87,9 проц., II квартала - на 85,1 проц., III квартала - на 55,8 проц. За 9 месяцев 1940 года НКБ недодал Красной Армии и Военно-Морскому флоту 4,2 миллиона комплектов выстрелов сухопутной артиллерии, 3 миллиона мин, 2 миллиона авиабомб и 205 тысяч комплектов выстрелов морской артиллерии.</w:t>
      </w:r>
    </w:p>
    <w:p w14:paraId="4CD100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НКБ должен был выпустить в 1940 году вместо латунных артиллерийских гильз 5,7 миллионов железных. Не отработав технологического процесса, НКБ изготовил за 9 месяцев 1117 тысяч железных гильз, из которых 963 тысячи пошли в брак.</w:t>
      </w:r>
    </w:p>
    <w:p w14:paraId="090A91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то же время пошло в брак большое количество взрывателей новых конструкций ГВМЗ и МГ-8. Взрывателей МП и Д-1 при плане в 3,3 миллиона не сдано ни одной штуки.</w:t>
      </w:r>
    </w:p>
    <w:p w14:paraId="7571E4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Запуск в массовое производство недоработанных конструкций, систематические нарушения технологических процессов и недоработка некоторых из них привели к образованию на заводах большого брака, убытки от которого по НКБ (без 3-го главка) составили за 8 месяцев 1940 года 167 миллионов рублей.</w:t>
      </w:r>
    </w:p>
    <w:p w14:paraId="2D5B47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Неудовлетворительная постановка в НКБ планирования и комплектации, а также неравномерное выполнение планов по отдельным элементам выстрела (гильзы, корпуса, взрыватели) привели к скоплению на складах Народного Комиссариата Обороны и Народного Комиссариата Военно-Морского Флота на 1 октября 1940 года некомплектной продукции сверх нормы на 185 миллионов рублей.</w:t>
      </w:r>
    </w:p>
    <w:p w14:paraId="21C481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Основная причина такого неудовлетворительного состояния производства предприятий НКБ заключается в слабости руководства наркома:</w:t>
      </w:r>
    </w:p>
    <w:p w14:paraId="0AAAB9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Оперативное руководство предприятиями в НКБ подменено изданием многочисленных приказов.</w:t>
      </w:r>
    </w:p>
    <w:p w14:paraId="529804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наличии всего 80 предприятий нарком боеприпасов т. Сергеев за 9 месяцев т.г. издал 633 приказа (не считая приказов по личному составу). За тот же период 4-мя главными управлениями НКБ издано еще 1079 приказов.</w:t>
      </w:r>
    </w:p>
    <w:p w14:paraId="2CECD4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ряде приказов исполнителям давались явно нереальные сроки. Так, например, в приказе № 203с директору Тульского завода № 176 предлагалось «построить фосфатировочное отделение цеха № 4, смонтировать ванны и сдать в эксплуатацию». Приказ был подписан 5 июня, сдан для рассылки 7 июня, а срок исполнения указанной в приказе работы был определен 8 июня.</w:t>
      </w:r>
    </w:p>
    <w:p w14:paraId="1493D0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 189с завод № 144 обязывался «не позднее 1 июня 1940 года разработать графики работы цехов на июнь месяц с учетом покрытия недоделок за апрель - май месяцы». Этот приказ был подписан 31 мая, а прибыл на завод после истечения установленного срока исполнения.</w:t>
      </w:r>
    </w:p>
    <w:p w14:paraId="05C50D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за № 151с отмечается плохое состояние техники безопасности на заводах. Пунктом 8-м исполнители обязуются представить т. Сергееву на утверждение 29 апреля план работ, а сам приказ подписан 4 мая.</w:t>
      </w:r>
    </w:p>
    <w:p w14:paraId="73B0D7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Контроля за исполнением приказов в НКБ нет, а сами приказы носят часто декларативный характер. Приказом № 151с от 4 мая начальники 1, 2 и 3 главков обязывались к 10 мая «разрешить вопрос об использовании или ликвидации бракованной продукции и запретить впредь хранить таковую на заводах в больших количествах». Этот приказ не выполнен, и заводские дворы завалены бракованной продукцией.</w:t>
      </w:r>
    </w:p>
    <w:p w14:paraId="623822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Точно так же обстоит дело с пересмотром норм загрузки и хранения взрывчатых веществ и материалов на заводах. По приказу т. Сергеева эту работу должны были закончить в мае «с тем, чтобы перегруз мастерских и цехов ВВ не превышал установленных норм». Этот приказ также не выполнен, о чем, в частности, свидетельствуют известные ЦК ВКП(б) и СНК СССР факты по 9-му и 80-му заводам.</w:t>
      </w:r>
    </w:p>
    <w:p w14:paraId="1E9591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НКБ ведется огромная переписка, загружающая аппарат.</w:t>
      </w:r>
    </w:p>
    <w:p w14:paraId="6AEF03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4-е главное управление Наркомата за 9 месяцев 1940 года представило на имя наркома и его заместителей 355 докладных записок; технический отдел наркомата - 309 докладных записок.</w:t>
      </w:r>
    </w:p>
    <w:p w14:paraId="6E59A6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3 квартал т.г. в НКБ ежедневно поступало с завода и строек в среднем по 1400 писем и отправлялось 880.</w:t>
      </w:r>
    </w:p>
    <w:p w14:paraId="0043E5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 тот же срок НКБ направил в правительственные органы (Совнарком, Комитет Обороны, Экономсовет и Хозяйственный Совет) 1220 писем, т.е. свыше 5 писем в день. Значительное количество вопросов, поставленных в этих письмах, не носили принципиального характера и могли быть разрешены непосредственно самим наркоматом или его главками.</w:t>
      </w:r>
    </w:p>
    <w:p w14:paraId="47D9F2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3.Широко применялась система наложения взысканий и снятия с работы руководящего состава предприятий, цехов и смен.</w:t>
      </w:r>
    </w:p>
    <w:p w14:paraId="0F4638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январь - август т.г. нарком боеприпасов наложил на 72 руководящих работника 149 взысканий; начальнику 1-го главного управления Горину было вынесено 10 взысканий; бывшему директору завода № 12 Сорокину - 7 взысканий. На того же Сорокина начальник 1-го главка наложил дополнительно еще 3 взыскания. Директор завода № 142 Ножкин имеет 15 взысканий; директор завода № 113 Чашин - 8 взысканий.</w:t>
      </w:r>
    </w:p>
    <w:p w14:paraId="13F4CA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Наряду с этим в короткие перерывы между взысканиями некоторые директора заводов премировались за успешную работу.</w:t>
      </w:r>
    </w:p>
    <w:p w14:paraId="310390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директору завода № 4 Брук 11 февраля было объявлено предупреждение за невыполнение плана (приказа № 52), 14 марта он был премирован месячным окладом за выполнение плана (приказ № 97с), 23 апреля ему объявляется выговор за плохую организацию производства (приказ № 144с), а 29 апреля он премируется 2-месячным окладом. Директор завода № 10 Бодров в 1940 году получил 5 взысканий и 2 премии.</w:t>
      </w:r>
    </w:p>
    <w:p w14:paraId="70CF16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полтора года наркоматом снято с работы 26 руководителей предприятий и 18 главных инженеров. Только на заводе № 78 за это время в цехе № 4 было сменено 5 начальников, 8 заместителей начальников и 14 начальников отделений, а в цехе № 2 - 3 начальника, 5 помощников начальников и 3 старших технолога; на заводе № 9 сменено 22 начальника смен и 15 мастеров.</w:t>
      </w:r>
    </w:p>
    <w:p w14:paraId="539A1D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отсутствии в системе НКБ достаточного количества инженеров НКБ за 7 месяцев 1940 г., по неполным данным, уволил с завода 1226 дипломированных инженеров.</w:t>
      </w:r>
    </w:p>
    <w:p w14:paraId="5A72E2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Тов. Сергеев плохо разбирается в людях, не умеет их распознавать. Большим доверием у него пользовался Иняшкин - заместитель наркома по кадрам (снят с работы в процессе проверки НКБ). Этому Иняшкину т. Сергеев передоверил все дело подбора и расстановки кадров. В результате Иняшкин, отличавшийся безделием, пьянством и самоснабжением, развалил работу по кадрам. На руководящую работу в наркомате и главках Иняшкин выдвигал негодных людей, засорял аппарат наркомата политически сомнительными и малоквалифицированными работниками.</w:t>
      </w:r>
    </w:p>
    <w:p w14:paraId="045CAD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Среди сотрудников наркомата имеется 14 бывших офицеров царской армии, 70 выходцев из дворян, помещиков и кулаков, 31 судившихся за различные преступления, 17 исключенных из ВКП(б), 28 имеющих родственников за границей, 69 человек, родственники которых репрессированы за антисоветскую работу, и т.д.</w:t>
      </w:r>
    </w:p>
    <w:p w14:paraId="72871A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Многим из этих лиц не место в аппарате НКБ. Между тем в 1940 г. в порядке сокращения штатов из центрального аппарата удалено 171 член ВКП(б), 166 инженерно-технических работников. Само сокращение было всецело передоверено Иняшкину и начальникам главков.</w:t>
      </w:r>
    </w:p>
    <w:p w14:paraId="44184B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Характерно, что на руководящей работе в НКБ находились 10 человек, которые ранее вместе с Иняшкиным работали на заводе №11, как-то: Шибанов - зам. наркома, Ефремов - нач. 2-го главка (арестован), Черняев - зам. главного инженера 2 главка (арестован), Кузьмин - нач. мобилизационного отдела 2 главка и другие.</w:t>
      </w:r>
    </w:p>
    <w:p w14:paraId="730D8F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Другой заместитель наркома Хренков Н.М. до выдвижения на эту работу (июнь 1939 года) возглавил управление комплектации наркомата, которое подчинено ему и сейчас. Как в 1939 году, так и в 1940 году управление комплектации работает из рук вон плохо.</w:t>
      </w:r>
    </w:p>
    <w:p w14:paraId="6A4BF8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Проводимая Хренковым работа вызывает явное подозрение во вредительстве.</w:t>
      </w:r>
    </w:p>
    <w:p w14:paraId="7F830E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3940 гола по сдаче Наркомату Обороны комплектных выстрелов по сухопутной артиллерии за 9 месяцев выполнен только на 57,7 проц., по авиабомбам - на 59,9 проц.; по сдаче продукции Наркомату Военно-Морского флота - на 58,5 проц. План сдачи выстрелов по крупным калибрам сорван: не сдано ни одного выстрела для 152 мм пушки «БР-2», 210 мм «БР-17» и 280 мм мортиры «БР-5».</w:t>
      </w:r>
    </w:p>
    <w:p w14:paraId="61C975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Также плохо работает руководимый Хренковым мобилизационный отдел, Осенью 1939 года к развертыванию работы по мобилизационному плану заводы наркомата оказались неподготовленными.</w:t>
      </w:r>
    </w:p>
    <w:p w14:paraId="08AD5F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1940 года, будучи председателем комиссии по выявлению причин и виновников взрыва 175 тонн пороха на заводе № 9, Хренков пытался в своем заключении смазать действительные причины взрыва и отвлечь от ныне арестованных виновников взрыва.</w:t>
      </w:r>
    </w:p>
    <w:p w14:paraId="7E47E7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Заместитель наркома толстоВ Г.А. работает недобросовестно. Будучи председателем комиссии на заводе № 53 по выяснению причин массового брака капсюлей-воспламенителей «Шкасс», Толстой пытался замазать истинные причины брака, скрыть имевшие место на заводе № 53 нарушения технического процесса, а равно скрыть виновников брака 159 млн капсюлей-воспламенителей.</w:t>
      </w:r>
    </w:p>
    <w:p w14:paraId="278F49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Начальник 1-го Главного управления (производство взрывных веществ и снаряжение) НКБ - Горин С.П., по специальности механик химического машиностроения, не обеспечивает руководства работой Главка и заводов.</w:t>
      </w:r>
    </w:p>
    <w:p w14:paraId="3F04F2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Головой план по оборонной продукции за 9 месяцев т.г. выполнен главком всего лишь на 57,5 проц.</w:t>
      </w:r>
    </w:p>
    <w:p w14:paraId="3BD5EB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Будучи директором завода № 80, т. Горин с работой не справлялся. Выдвинутый на должность начальника главка вследствие своих личных связей с бывшим зам. наркома Михайловым, Горин охватить работу не сумел и не обеспечил выполнения производственной программы.</w:t>
      </w:r>
    </w:p>
    <w:p w14:paraId="18C824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Отделы главка (плановый, технический, капитального строительства и другие) работают неудовлетворительно.</w:t>
      </w:r>
    </w:p>
    <w:p w14:paraId="511D1C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заводам №№ 12. 15 и 56 на второй квартал было запланировано снаряжение 76 мм дистанционных гранат, а производство для них дымоблеско-усиливающих шашек «ДУ-5» не было запланировано. В результате план снаряжения гранат Главком был сорван и на заводах скопилось 720,8 тысяч неснаряженных корпусов гранат.</w:t>
      </w:r>
    </w:p>
    <w:p w14:paraId="64E244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200 технологических процессов, подлежащих утверждению по приказу НКБ к 1 сентября, т. Горин к 11 октября утвердил только два.</w:t>
      </w:r>
    </w:p>
    <w:p w14:paraId="57654E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Годовой план капитального строительства за 8 месяцев т.г. выполнен всего на 40,5 проц., а план ввода в эксплуатацию новых объектов - на 14.0 проц.</w:t>
      </w:r>
    </w:p>
    <w:p w14:paraId="6486E5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Начальник 2-го главного управления (капсюльно-взрывательное) НКБ - Ефремов (ныне арестован) не принял меры к ликвидации массового брака капсюлей-взрывателей «Шкасс».</w:t>
      </w:r>
    </w:p>
    <w:p w14:paraId="262DF6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9 месяцев 1940 г. брак по этим капсюлям составил 159 млн штук. В массовом браке капсюлей-взрывателей «Шкасс» вместе с Ефремовым виновен также зам. главного инженера Главка Черняен А.Ф. (ныне арестован), который являлся инициатором перехода без достаточной подготовки и проверки на лакировку капсюлей идиголовым лаком вместо шеллачного. Убытки от брака за 8 месяцев по Главку составляют 49,7 миллионов рублей.</w:t>
      </w:r>
    </w:p>
    <w:p w14:paraId="4C4540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Ефремов сорвал выполнение ряда важнейших решений Правительства, в частности постановление Комитета Обороны № ЗЗ5сс от 26.У1Г.1940 года об изготовлении НКАГТ авиасвечей ВГ-2 и ВГ-12.</w:t>
      </w:r>
    </w:p>
    <w:p w14:paraId="17CBC1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Также не справляется с работой начальник 3-го Главного управления (производство порохов) НКБ Дынкин Н.П.</w:t>
      </w:r>
    </w:p>
    <w:p w14:paraId="7EDCE3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Годовой план по Главку за 9 месяцев по оборонной продукции выполнен только на 64,3 проц.</w:t>
      </w:r>
    </w:p>
    <w:p w14:paraId="7B1BAC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Техническое руководство заводами запущено.</w:t>
      </w:r>
    </w:p>
    <w:p w14:paraId="6FA354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Ряд технологических процессов (производство пороха марки А-19 и П-45 и из сырья РП) не был достаточно отработан. На исполнение недоброкачественной продукции пороха только по 4 заводам (№№ 9, 14, 40, 204) было в 1940 году израсходовано 745 тысяч декалитров спирта.</w:t>
      </w:r>
    </w:p>
    <w:p w14:paraId="67FCB2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уделяя должного внимания постановке техники безопасности на заводах, Дынкин передоверил этот серьезный участок работы малоквалифицированному работнику Макееву.</w:t>
      </w:r>
    </w:p>
    <w:p w14:paraId="645D91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Директору завода № 9 Дынкин дал разрешение на хранение преступно завышенной нормы пороха в производственных зданиях завода. На этом заводе 26 сентября т.г. имел место взрыв пороха, в результате которого погибло 15 человек и тяжело ранено 18 человек.</w:t>
      </w:r>
    </w:p>
    <w:p w14:paraId="74A19C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Крепко запутано в Главке дело снабжения заводов.</w:t>
      </w:r>
    </w:p>
    <w:p w14:paraId="77085A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Заводу № 6 в июне т.г. было занаряжено 3 тонны кристаллического нафталина, в то время как завод нафталин не заказывал. Заводу № 40 было предложено заключить договор с Петровским заводом № 323 на постановку 5 тысяч пеналов под заряд 203/50. Имея большие запасы пеналов, завод № 40 трижды отказывался от их получения. Однако Главк продолжал засылать ненужные пеналы, прекратил их отгрузку лишь после третьего протеста завода.</w:t>
      </w:r>
    </w:p>
    <w:p w14:paraId="16801E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Заводу № 59, имевшему 9-месячный запас центролита, до самого последнего времени Главк продолжал засылать центролит, несмотря на просьбы завода прекратить его отгрузку. В то же время завод № 6 совершенно не имел центролита и остро нуждался в нем.</w:t>
      </w:r>
    </w:p>
    <w:p w14:paraId="4C1422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Предприятия 4-го Главного управления (производство корпусов снарядов) за 9 месяцев выполнили годовой план по оборонной продукции лишь на 51,5 проц.</w:t>
      </w:r>
    </w:p>
    <w:p w14:paraId="3B7234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Убытки от брака по заводам Главка за 8 месяцев составили 67,2 миллиона рублей.</w:t>
      </w:r>
    </w:p>
    <w:p w14:paraId="2745E7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Главка Иванов Н.Д. никаких действенных мер к ликвидации брака не принимал. Никто из виновников брака к ответственности не привлечен. Принятая в Главке система учета брака не отражает действительного положения.</w:t>
      </w:r>
    </w:p>
    <w:p w14:paraId="3FD383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Главки Наркомата, его отделы и управления засорены малоквалифицированными и политически сомнительными людьми. НКВД СССР арестовано 8 человек руководящих работников НКБ (начальник 2-го Главка Ефремов, зам. главного инженера того же Главка Черняев, начальник Главснаба Купер, член технического совета Сидора, начальник секции технического совета Янов, начальник технического отдела Тольский, инженер-диспетчер Дацук, инженер Паршин).</w:t>
      </w:r>
    </w:p>
    <w:p w14:paraId="305EE2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проверки установлена необходимость увольнения из системы НКБ 62 человек.</w:t>
      </w:r>
    </w:p>
    <w:p w14:paraId="43232C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Подлежат снятию с должности, как не справившиеся с работой, 49 человек.</w:t>
      </w:r>
    </w:p>
    <w:p w14:paraId="37803C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Списки подлежащих увольнению с характеристиками при этом прилагаются.</w:t>
      </w:r>
    </w:p>
    <w:p w14:paraId="4DAA16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Нынешнее руководство Наркомата Боеприпасов, по нашему мнению, не в состоянии выправить создавшегося положения и справиться с задачами, стоящими перед промышленностью боеприпасов. Прежде всего это касается самого наркома боеприпасов т. Сергеева. Считаем необходимым:</w:t>
      </w:r>
    </w:p>
    <w:p w14:paraId="1124D7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 Поручить Управлению кадров ЦК ВКП(б) в двухдекадный срок укрепить аппарат НКБ проверенными и технически подготовленными работниками, назначив в первую очередь начальников 1-го, 2-го и 3-го главков. Предупредить начальника 4-го Главка т. Иванова, что если он в месячный срок не улучшит работу Главка, то будет снят с должности и привлечен к ответственности.</w:t>
      </w:r>
    </w:p>
    <w:p w14:paraId="4D6223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Заместителя наркома т. Толстова снять с должности, назначив его начальником Главснабжения НКБ.</w:t>
      </w:r>
    </w:p>
    <w:p w14:paraId="48EFB4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Снять с должности секретаря партийной организации НКБ т. Акатова как не справляющегося с работой.</w:t>
      </w:r>
    </w:p>
    <w:p w14:paraId="2EFDD8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Арестовать зам. наркома Хренкова, и дело о нем передать НКВД.</w:t>
      </w:r>
    </w:p>
    <w:p w14:paraId="5B76A4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 декабре заслушать на заседании Оргбюро ЦК ВКП(б) доклад руководства наркомата и Управления кадров ЦК ВКП(б) о проделанной работе по укреплению аппарата НКБ.</w:t>
      </w:r>
    </w:p>
    <w:p w14:paraId="718CF9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по тексту.</w:t>
      </w:r>
    </w:p>
    <w:p w14:paraId="4842E8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Государственного Контроля Союза ССР</w:t>
      </w:r>
    </w:p>
    <w:p w14:paraId="49D24E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 МЕХЛИС </w:t>
      </w:r>
    </w:p>
    <w:p w14:paraId="2419A4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Народный комиссар внутренних дел Союза ССР </w:t>
      </w:r>
    </w:p>
    <w:p w14:paraId="06D1E1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БЕРИЯ</w:t>
      </w:r>
    </w:p>
    <w:p w14:paraId="3CC947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ноября 1940 года</w:t>
      </w:r>
    </w:p>
    <w:p w14:paraId="10B605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 РФ. Ф. 3. Оп. 58. Д. 343а. Л. 155-164. Подлинник. Машинопись (12215).</w:t>
      </w:r>
    </w:p>
    <w:p w14:paraId="31EC77B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7B9D0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ноября 1940 года вышел приказ № 41 с НКВ</w:t>
      </w:r>
    </w:p>
    <w:p w14:paraId="0E78B02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Государственный Оптико-механический завод ОГПУ (ГОМЗ) впредь именовать завод № 349 ОГПУ</w:t>
      </w:r>
    </w:p>
    <w:p w14:paraId="470A990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Ленинградский Оптико-механический завод (ЛОМЗ) впредь именовать завод № 350</w:t>
      </w:r>
    </w:p>
    <w:p w14:paraId="7C9D07E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«Прогресс» впредь именовать завод № 357</w:t>
      </w:r>
    </w:p>
    <w:p w14:paraId="2F45979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Ленинградский завод оптического стекла (ЛЕНЗОС) впредь именовать завод № 354</w:t>
      </w:r>
    </w:p>
    <w:p w14:paraId="1BD45D6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Изюмский завод оптического стекла им. Дзержинского впредь именовать завод № 353 им. Дзержинского</w:t>
      </w:r>
    </w:p>
    <w:p w14:paraId="3D0F4B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«Геодезия» впредь именовать завод № 356</w:t>
      </w:r>
    </w:p>
    <w:p w14:paraId="0EE075F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Загорский Оптико-механический завод (ЗОМЗ) впредь именовать завод № 355 (6239, 4).</w:t>
      </w:r>
    </w:p>
    <w:p w14:paraId="541AB8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015DE2B"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7 ноября 1940 года Краматорский завод тяжелого станкостроения, созданный в 1937, выпустил свою первую продукцию — вальцетокарные станки.</w:t>
      </w:r>
    </w:p>
    <w:p w14:paraId="01F8E2DA"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 xml:space="preserve">24 февраля 1941 года завод был принят в эксплуатацию, был изготовлен опытный образец глубокорасточного станка модели 2940А. В начале </w:t>
      </w:r>
      <w:hyperlink r:id="rId70" w:tooltip="Вторая мировая война" w:history="1">
        <w:r w:rsidRPr="00A3026E">
          <w:rPr>
            <w:rStyle w:val="a5"/>
            <w:color w:val="000000" w:themeColor="text1"/>
            <w:sz w:val="16"/>
            <w:szCs w:val="16"/>
            <w:u w:val="none"/>
          </w:rPr>
          <w:t>войны</w:t>
        </w:r>
      </w:hyperlink>
      <w:r w:rsidRPr="00A3026E">
        <w:rPr>
          <w:color w:val="000000" w:themeColor="text1"/>
          <w:sz w:val="16"/>
          <w:szCs w:val="16"/>
        </w:rPr>
        <w:t xml:space="preserve"> с предприятия были призваны и ушли добровольцами на фронт 800 человек.</w:t>
      </w:r>
    </w:p>
    <w:p w14:paraId="442386C2"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 xml:space="preserve">К 20 октября 1941 года завод был эвакуирован в город </w:t>
      </w:r>
      <w:hyperlink r:id="rId71" w:tooltip="Новосибирск" w:history="1">
        <w:r w:rsidRPr="00A3026E">
          <w:rPr>
            <w:rStyle w:val="a5"/>
            <w:color w:val="000000" w:themeColor="text1"/>
            <w:sz w:val="16"/>
            <w:szCs w:val="16"/>
            <w:u w:val="none"/>
          </w:rPr>
          <w:t>Новосибирск</w:t>
        </w:r>
      </w:hyperlink>
      <w:r w:rsidRPr="00A3026E">
        <w:rPr>
          <w:color w:val="000000" w:themeColor="text1"/>
          <w:sz w:val="16"/>
          <w:szCs w:val="16"/>
        </w:rPr>
        <w:t>.</w:t>
      </w:r>
    </w:p>
    <w:p w14:paraId="21F597D9"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 xml:space="preserve">В сентябре </w:t>
      </w:r>
      <w:hyperlink r:id="rId72" w:tooltip="1943 год" w:history="1">
        <w:r w:rsidRPr="00A3026E">
          <w:rPr>
            <w:rStyle w:val="a5"/>
            <w:color w:val="000000" w:themeColor="text1"/>
            <w:sz w:val="16"/>
            <w:szCs w:val="16"/>
            <w:u w:val="none"/>
          </w:rPr>
          <w:t>1943 года</w:t>
        </w:r>
      </w:hyperlink>
      <w:r w:rsidRPr="00A3026E">
        <w:rPr>
          <w:color w:val="000000" w:themeColor="text1"/>
          <w:sz w:val="16"/>
          <w:szCs w:val="16"/>
        </w:rPr>
        <w:t xml:space="preserve"> Краматорск был освобождён и сразу началось восстановление предприятия.</w:t>
      </w:r>
    </w:p>
    <w:p w14:paraId="65CF225E"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В 1947—1950-х годах завод освоил производство слиткоразрезных станков модели 1865.</w:t>
      </w:r>
    </w:p>
    <w:p w14:paraId="56665560"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 xml:space="preserve">В 1952 году группа конструкторов завода за освоение производства вальцетокарных и вальцешлифовальных станков была удостоена </w:t>
      </w:r>
      <w:hyperlink r:id="rId73" w:tooltip="Государственная премия СССР" w:history="1">
        <w:r w:rsidRPr="00A3026E">
          <w:rPr>
            <w:rStyle w:val="a5"/>
            <w:color w:val="000000" w:themeColor="text1"/>
            <w:sz w:val="16"/>
            <w:szCs w:val="16"/>
            <w:u w:val="none"/>
          </w:rPr>
          <w:t>Государственной премии СССР</w:t>
        </w:r>
      </w:hyperlink>
      <w:r w:rsidRPr="00A3026E">
        <w:rPr>
          <w:color w:val="000000" w:themeColor="text1"/>
          <w:sz w:val="16"/>
          <w:szCs w:val="16"/>
        </w:rPr>
        <w:t>.</w:t>
      </w:r>
    </w:p>
    <w:p w14:paraId="2EE62CED"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В 1954 году была завершена сборка уникального глубокорасточного станка модели 2959 для расточки отверстий диаметром до 1300 мм и длиной до 30 м. Длина станка составила 95 метров.</w:t>
      </w:r>
    </w:p>
    <w:p w14:paraId="4F564CE6"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 xml:space="preserve">В </w:t>
      </w:r>
      <w:hyperlink r:id="rId74" w:tooltip="1966 год" w:history="1">
        <w:r w:rsidRPr="00A3026E">
          <w:rPr>
            <w:rStyle w:val="a5"/>
            <w:color w:val="000000" w:themeColor="text1"/>
            <w:sz w:val="16"/>
            <w:szCs w:val="16"/>
            <w:u w:val="none"/>
          </w:rPr>
          <w:t>1966 году</w:t>
        </w:r>
      </w:hyperlink>
      <w:r w:rsidRPr="00A3026E">
        <w:rPr>
          <w:color w:val="000000" w:themeColor="text1"/>
          <w:sz w:val="16"/>
          <w:szCs w:val="16"/>
        </w:rPr>
        <w:t xml:space="preserve"> завод был награждён </w:t>
      </w:r>
      <w:hyperlink r:id="rId75" w:tooltip="Орден Трудового Красного Знамени" w:history="1">
        <w:r w:rsidRPr="00A3026E">
          <w:rPr>
            <w:rStyle w:val="a5"/>
            <w:color w:val="000000" w:themeColor="text1"/>
            <w:sz w:val="16"/>
            <w:szCs w:val="16"/>
            <w:u w:val="none"/>
          </w:rPr>
          <w:t>Орденом Трудового Красного знамени</w:t>
        </w:r>
      </w:hyperlink>
      <w:r w:rsidRPr="00A3026E">
        <w:rPr>
          <w:color w:val="000000" w:themeColor="text1"/>
          <w:sz w:val="16"/>
          <w:szCs w:val="16"/>
        </w:rPr>
        <w:t xml:space="preserve"> за досрочное выполнение заданий </w:t>
      </w:r>
      <w:hyperlink r:id="rId76" w:tooltip="Семилетка" w:history="1">
        <w:r w:rsidRPr="00A3026E">
          <w:rPr>
            <w:rStyle w:val="a5"/>
            <w:color w:val="000000" w:themeColor="text1"/>
            <w:sz w:val="16"/>
            <w:szCs w:val="16"/>
            <w:u w:val="none"/>
          </w:rPr>
          <w:t>семилетки</w:t>
        </w:r>
      </w:hyperlink>
      <w:r w:rsidRPr="00A3026E">
        <w:rPr>
          <w:color w:val="000000" w:themeColor="text1"/>
          <w:sz w:val="16"/>
          <w:szCs w:val="16"/>
        </w:rPr>
        <w:t xml:space="preserve"> по выпуску тяжелых и уникальных станков.</w:t>
      </w:r>
    </w:p>
    <w:p w14:paraId="3CD0F45D"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 xml:space="preserve">В </w:t>
      </w:r>
      <w:hyperlink r:id="rId77" w:tooltip="1967 год" w:history="1">
        <w:r w:rsidRPr="00A3026E">
          <w:rPr>
            <w:rStyle w:val="a5"/>
            <w:color w:val="000000" w:themeColor="text1"/>
            <w:sz w:val="16"/>
            <w:szCs w:val="16"/>
            <w:u w:val="none"/>
          </w:rPr>
          <w:t>1967 году</w:t>
        </w:r>
      </w:hyperlink>
      <w:r w:rsidRPr="00A3026E">
        <w:rPr>
          <w:color w:val="000000" w:themeColor="text1"/>
          <w:sz w:val="16"/>
          <w:szCs w:val="16"/>
        </w:rPr>
        <w:t xml:space="preserve"> по просьбе трудового коллектива заводу было присвоено имя </w:t>
      </w:r>
      <w:hyperlink r:id="rId78" w:tooltip="Чубарь, Влас Яковлевич" w:history="1">
        <w:r w:rsidRPr="00A3026E">
          <w:rPr>
            <w:rStyle w:val="a5"/>
            <w:color w:val="000000" w:themeColor="text1"/>
            <w:sz w:val="16"/>
            <w:szCs w:val="16"/>
            <w:u w:val="none"/>
          </w:rPr>
          <w:t>В. Я. Чубаря</w:t>
        </w:r>
      </w:hyperlink>
      <w:r w:rsidRPr="00A3026E">
        <w:rPr>
          <w:color w:val="000000" w:themeColor="text1"/>
          <w:sz w:val="16"/>
          <w:szCs w:val="16"/>
        </w:rPr>
        <w:t>. 29 апреля 1970 в сквере перед заводом был установлен его бюст (демонтирован в 2014).</w:t>
      </w:r>
    </w:p>
    <w:p w14:paraId="373B6156"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 xml:space="preserve">В </w:t>
      </w:r>
      <w:hyperlink r:id="rId79" w:tooltip="1970 год" w:history="1">
        <w:r w:rsidRPr="00A3026E">
          <w:rPr>
            <w:rStyle w:val="a5"/>
            <w:color w:val="000000" w:themeColor="text1"/>
            <w:sz w:val="16"/>
            <w:szCs w:val="16"/>
            <w:u w:val="none"/>
          </w:rPr>
          <w:t>1970 году</w:t>
        </w:r>
      </w:hyperlink>
      <w:r w:rsidRPr="00A3026E">
        <w:rPr>
          <w:color w:val="000000" w:themeColor="text1"/>
          <w:sz w:val="16"/>
          <w:szCs w:val="16"/>
        </w:rPr>
        <w:t xml:space="preserve"> завод изготовил 235 тяжёлых станков, включая 99 станков новых моделей. Тяжёлый токарный станок модели 1А685.01Ф2 был первым станком с </w:t>
      </w:r>
      <w:hyperlink r:id="rId80" w:tooltip="ЧПУ" w:history="1">
        <w:r w:rsidRPr="00A3026E">
          <w:rPr>
            <w:rStyle w:val="a5"/>
            <w:color w:val="000000" w:themeColor="text1"/>
            <w:sz w:val="16"/>
            <w:szCs w:val="16"/>
            <w:u w:val="none"/>
          </w:rPr>
          <w:t>ЧПУ</w:t>
        </w:r>
      </w:hyperlink>
      <w:r w:rsidRPr="00A3026E">
        <w:rPr>
          <w:color w:val="000000" w:themeColor="text1"/>
          <w:sz w:val="16"/>
          <w:szCs w:val="16"/>
        </w:rPr>
        <w:t>, выпущенным заводом.</w:t>
      </w:r>
    </w:p>
    <w:p w14:paraId="7C11FA01"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1971—1980 - расцвет производительности: по 200-210 станков ежегодно.</w:t>
      </w:r>
    </w:p>
    <w:p w14:paraId="58B0E96E"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 xml:space="preserve">В </w:t>
      </w:r>
      <w:hyperlink r:id="rId81" w:tooltip="1971 год" w:history="1">
        <w:r w:rsidRPr="00A3026E">
          <w:rPr>
            <w:rStyle w:val="a5"/>
            <w:color w:val="000000" w:themeColor="text1"/>
            <w:sz w:val="16"/>
            <w:szCs w:val="16"/>
            <w:u w:val="none"/>
          </w:rPr>
          <w:t>1971 году</w:t>
        </w:r>
      </w:hyperlink>
      <w:r w:rsidRPr="00A3026E">
        <w:rPr>
          <w:color w:val="000000" w:themeColor="text1"/>
          <w:sz w:val="16"/>
          <w:szCs w:val="16"/>
        </w:rPr>
        <w:t xml:space="preserve"> на </w:t>
      </w:r>
      <w:hyperlink r:id="rId82" w:tooltip="Уралмашзавод" w:history="1">
        <w:r w:rsidRPr="00A3026E">
          <w:rPr>
            <w:rStyle w:val="a5"/>
            <w:color w:val="000000" w:themeColor="text1"/>
            <w:sz w:val="16"/>
            <w:szCs w:val="16"/>
            <w:u w:val="none"/>
          </w:rPr>
          <w:t>Уралмашзаводе</w:t>
        </w:r>
      </w:hyperlink>
      <w:r w:rsidRPr="00A3026E">
        <w:rPr>
          <w:color w:val="000000" w:themeColor="text1"/>
          <w:sz w:val="16"/>
          <w:szCs w:val="16"/>
        </w:rPr>
        <w:t xml:space="preserve"> была смонтирована не имеющая аналогов в мире автоматическая линия для обработки осей колёсных пар </w:t>
      </w:r>
      <w:hyperlink r:id="rId83" w:tooltip="Вагон" w:history="1">
        <w:r w:rsidRPr="00A3026E">
          <w:rPr>
            <w:rStyle w:val="a5"/>
            <w:color w:val="000000" w:themeColor="text1"/>
            <w:sz w:val="16"/>
            <w:szCs w:val="16"/>
            <w:u w:val="none"/>
          </w:rPr>
          <w:t>вагонов</w:t>
        </w:r>
      </w:hyperlink>
      <w:r w:rsidRPr="00A3026E">
        <w:rPr>
          <w:color w:val="000000" w:themeColor="text1"/>
          <w:sz w:val="16"/>
          <w:szCs w:val="16"/>
        </w:rPr>
        <w:t>.</w:t>
      </w:r>
    </w:p>
    <w:p w14:paraId="15F7FE8D"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 xml:space="preserve">В </w:t>
      </w:r>
      <w:hyperlink r:id="rId84" w:tooltip="1971 год" w:history="1">
        <w:r w:rsidRPr="00A3026E">
          <w:rPr>
            <w:rStyle w:val="a5"/>
            <w:color w:val="000000" w:themeColor="text1"/>
            <w:sz w:val="16"/>
            <w:szCs w:val="16"/>
            <w:u w:val="none"/>
          </w:rPr>
          <w:t>1971 году</w:t>
        </w:r>
      </w:hyperlink>
      <w:r w:rsidRPr="00A3026E">
        <w:rPr>
          <w:color w:val="000000" w:themeColor="text1"/>
          <w:sz w:val="16"/>
          <w:szCs w:val="16"/>
        </w:rPr>
        <w:t xml:space="preserve"> группе конструкторов завода была присвоена Государственная премия СССР за создание тяжелых станков новых типов (модели 1А660, 1А665, 1А670, 1А675, 1А680)</w:t>
      </w:r>
      <w:hyperlink r:id="rId85" w:anchor="cite_note-.D0.98.D1.81.D1.82.D0.BE.D1.80.D0.B8.D1.8F_.D0.9A.D0.97.D0.A2.D0.A1-2" w:history="1">
        <w:r w:rsidRPr="00A3026E">
          <w:rPr>
            <w:rStyle w:val="a5"/>
            <w:color w:val="000000" w:themeColor="text1"/>
            <w:sz w:val="16"/>
            <w:szCs w:val="16"/>
            <w:u w:val="none"/>
            <w:vertAlign w:val="superscript"/>
          </w:rPr>
          <w:t>[2]</w:t>
        </w:r>
      </w:hyperlink>
      <w:r w:rsidRPr="00A3026E">
        <w:rPr>
          <w:color w:val="000000" w:themeColor="text1"/>
          <w:sz w:val="16"/>
          <w:szCs w:val="16"/>
        </w:rPr>
        <w:t>.</w:t>
      </w:r>
    </w:p>
    <w:p w14:paraId="65ED15AD"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В 1972 установлен заводской рекорд — выпущено 287 станков.</w:t>
      </w:r>
    </w:p>
    <w:p w14:paraId="53657F5D"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В 1975 открыт заводской спортивный комплекс «Старт» (ныне не используется).</w:t>
      </w:r>
    </w:p>
    <w:p w14:paraId="77D3F3BD"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В 1992 году заводом было начато производство пилорам.</w:t>
      </w:r>
    </w:p>
    <w:p w14:paraId="193A9B83"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 xml:space="preserve">11 октября 2010 после масштабной реконструкции на площадях завода было открыто ООО «Фурлендер Виндтехнолоджи» по производству </w:t>
      </w:r>
      <w:hyperlink r:id="rId86" w:tooltip="Ветроэнергетическая установка" w:history="1">
        <w:r w:rsidRPr="00A3026E">
          <w:rPr>
            <w:rStyle w:val="a5"/>
            <w:color w:val="000000" w:themeColor="text1"/>
            <w:sz w:val="16"/>
            <w:szCs w:val="16"/>
            <w:u w:val="none"/>
          </w:rPr>
          <w:t>ветроэнергетических установок</w:t>
        </w:r>
      </w:hyperlink>
      <w:r w:rsidRPr="00A3026E">
        <w:rPr>
          <w:color w:val="000000" w:themeColor="text1"/>
          <w:sz w:val="16"/>
          <w:szCs w:val="16"/>
        </w:rPr>
        <w:t>, при этом производство башен и рам гондол ветряков организовано непосредственно на КЗТС.</w:t>
      </w:r>
    </w:p>
    <w:p w14:paraId="786CC22F" w14:textId="77777777" w:rsidR="000F7F0C" w:rsidRPr="00A3026E" w:rsidRDefault="000F7F0C" w:rsidP="00A3026E">
      <w:pPr>
        <w:pStyle w:val="ae"/>
        <w:spacing w:before="0" w:after="0"/>
        <w:jc w:val="both"/>
        <w:rPr>
          <w:color w:val="000000" w:themeColor="text1"/>
          <w:sz w:val="16"/>
          <w:szCs w:val="16"/>
        </w:rPr>
      </w:pPr>
      <w:r w:rsidRPr="00A3026E">
        <w:rPr>
          <w:color w:val="000000" w:themeColor="text1"/>
          <w:sz w:val="16"/>
          <w:szCs w:val="16"/>
        </w:rPr>
        <w:t>10 июня 2014 механообрабатывающий цех завода пострадал от обстрела (17418).</w:t>
      </w:r>
    </w:p>
    <w:p w14:paraId="7F627DDB" w14:textId="77777777" w:rsidR="000F7F0C" w:rsidRPr="00A3026E" w:rsidRDefault="000F7F0C" w:rsidP="00A3026E">
      <w:pPr>
        <w:tabs>
          <w:tab w:val="left" w:pos="11199"/>
        </w:tabs>
        <w:spacing w:after="0" w:line="240" w:lineRule="auto"/>
        <w:jc w:val="both"/>
        <w:rPr>
          <w:rFonts w:ascii="Times New Roman" w:hAnsi="Times New Roman"/>
          <w:color w:val="000000" w:themeColor="text1"/>
          <w:sz w:val="16"/>
          <w:szCs w:val="16"/>
        </w:rPr>
      </w:pPr>
    </w:p>
    <w:p w14:paraId="00833346"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4452A98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23E29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ноября 1940 г. летчики 106-м шап, базировавшегося на аэродроме Ак-Тепе неподалеку от Ашхабада, участвовали в праздничном параде в Ташкенте. В строю тогда пролетели 50 штурмовиков, еще два находилось на близлежащем аэродроме в резерве (11992).</w:t>
      </w:r>
    </w:p>
    <w:p w14:paraId="15D5DA7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82BB8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ноября 1940 г. вышел Приказ НКО с приветствием личному составу Красной Армии в связи с 23-й годовщиной Великой Октябрьской Социалистической Революции № 400.</w:t>
      </w:r>
    </w:p>
    <w:p w14:paraId="504E8D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Товарищи красноармейцы, командиры и политработники!</w:t>
      </w:r>
    </w:p>
    <w:p w14:paraId="709857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Сегодня, в день 23-й годовщины Великой Октябрьской социалистической революции, 193-миллионный советский народ отмечает истекший год, как год новых достижений и побед социализма, одержанных нашей страной под руководством большевистской партии, под мудрым водительством великого Сталина.</w:t>
      </w:r>
    </w:p>
    <w:p w14:paraId="1F6C17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Советский народ с чувством глубокой веры в свои силы успешно проводит в жизнь величественный план третьей сталинской пятилетки.</w:t>
      </w:r>
    </w:p>
    <w:p w14:paraId="10D627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всех областях хозяйственной, политической и культурной жизни страны достигнуты крупные успехи.</w:t>
      </w:r>
    </w:p>
    <w:p w14:paraId="02A46B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Растет, крепнет и непрерывно движется вперед наша социалистическая промышленность. Все больше увеличивается производство предметов вооружения, машин, нефти, металла, угля и товаров широкого потребления. Неуклонно повышается производительность труда. Повсюду укрепляется трудовая и государственная дисциплина. Все больше ширится стахановское движение.</w:t>
      </w:r>
    </w:p>
    <w:p w14:paraId="78BDB2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Одержаны новые крупные победы и в области социалистического земледелия. Возросла сила и мощь колхозного строя. Решения партии и правительства об изменениях в политике заготовок и закупок сельскохозяйственных продуктов открыли широчайшие возможности для дальнейшего процветания и еще более быстрого развития всех отраслей сельского хозяйства.</w:t>
      </w:r>
    </w:p>
    <w:p w14:paraId="207D27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Социалистическое государство стало во много раз сильнее и более могущественным в оборонном и хозяйственном отношении.</w:t>
      </w:r>
    </w:p>
    <w:p w14:paraId="7C591D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23-ю годовщину Великой Октябрьской социалистической революции мы отмечаем в исключительно опасной и тревожной международной обстановке.</w:t>
      </w:r>
    </w:p>
    <w:p w14:paraId="01CE56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Вторая империалистическая война, ведущаяся за мировое господство, принимает все более широкие размеры, охватывая новые территории и новые народы.</w:t>
      </w:r>
    </w:p>
    <w:p w14:paraId="63E3D3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Мудрая сталинская внешняя политика Советского правительства — политика мира между народами и обеспечения безопасности нашей Родины — привела к новым замечательным победам. Неизмеримо возросла роль Советского Союза в разрешении международных вопросов. Повысился его авторитет в глазах трудящихся всего мира.</w:t>
      </w:r>
    </w:p>
    <w:p w14:paraId="363B92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Опираясь на силу и мощь Красной Армии, Советское правительство мирным путем разрешило советско-румынский конфликт по вопросу о Бессарабии и Северной Буковине. В Литве, Латвии и Эстонии уничтожена ненавистная для трудящихся масс власть помещиков и капиталистов. Там, где буржуазия пыталась вопреки воле народов этих стран строить козни против страны социализма, теперь строится новая, свободная, счастливая жизнь в интересах народа, вставшего на путь социалистического строительства.</w:t>
      </w:r>
    </w:p>
    <w:p w14:paraId="267C7B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Защищая безопасность своих рубежей и обеспечивая свои государственные интересы, Советский Союз значительно вырос и продвинул свои границы на запад.</w:t>
      </w:r>
    </w:p>
    <w:p w14:paraId="1095D9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СССР прочно встал на берегах Финского залива, Балтийского моря и Дуная. Капиталистическому миру пришлось потесниться и уступить.</w:t>
      </w:r>
    </w:p>
    <w:p w14:paraId="5FCEBC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как бы ни велики были наши достижения, не нам, бойцам Красной Армии, зазнаваться и успокаиваться на достигнутом.</w:t>
      </w:r>
    </w:p>
    <w:p w14:paraId="191674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напряженной международной обстановке, чреватой различными неожиданностями, мы должны проявить максимальную бдительность и всегда помнить указания товарища Сталина о том, что «нужно весь народ держать в состоянии мобилизационной готовности перед лицом опасности военного нападения, чтобы никакая случайность и никакие фокусы наших внешних врагов не могли застигнуть нас врасплох».</w:t>
      </w:r>
    </w:p>
    <w:p w14:paraId="0D8B9D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это обязывает нас еще больше усилить хозяйственную и оборонную мощь нашей страны и всемерно укрепить Красную Армию и Военно-Морской Флот.</w:t>
      </w:r>
    </w:p>
    <w:p w14:paraId="402677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Наша родная Красная Армия, являясь могучим оплотом мирного труда народов Советского Союза, верным стражем завоеваний Великой Октябрьской социалистической революции, неуклонно укрепляет свою мощь.</w:t>
      </w:r>
    </w:p>
    <w:p w14:paraId="1EC4D7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Красная Армия всегда готова по первому зову партии и правительства дать сокрушительный отпор всем, кто осмелится посягнуть на священные границы нашего социалистического государства.</w:t>
      </w:r>
    </w:p>
    <w:p w14:paraId="009A98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Чтобы быть на высоте этих требований, необходимо непрерывно учиться, учиться упорно и настойчиво, смело и уверенно двигать вперед порученное нам военное дело, используя богатый опыт последних войн.</w:t>
      </w:r>
    </w:p>
    <w:p w14:paraId="45C7DE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Товарищи красноармейцы, командиры и политработники!</w:t>
      </w:r>
    </w:p>
    <w:p w14:paraId="1FBDFB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Овладевайте военными знаниями, направьте всю свою силу и энергию на дальнейшее повышение качества боевой подготовки Красной Армии. Укрепляйте единоначалие и советскую воинскую дисциплину.</w:t>
      </w:r>
    </w:p>
    <w:p w14:paraId="56546E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Будьте всегда готовы к защите своей социалистической Родины.</w:t>
      </w:r>
    </w:p>
    <w:p w14:paraId="001C08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Поздравляю вас с всенародным праздником 23-й годовщины Великой Октябрьской социалистической революции.</w:t>
      </w:r>
    </w:p>
    <w:p w14:paraId="4E8416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 здравствует великая семья народов Советского Союза!</w:t>
      </w:r>
    </w:p>
    <w:p w14:paraId="3C7067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 здравствует наша славная Красная Армия!</w:t>
      </w:r>
    </w:p>
    <w:p w14:paraId="3F3BB2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 здравствует партия Ленина-Сталина — руководитель и организатор побед Октября!</w:t>
      </w:r>
    </w:p>
    <w:p w14:paraId="703A1C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 здравствует наш родной и любимый великий Сталин!</w:t>
      </w:r>
    </w:p>
    <w:p w14:paraId="006DE1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СССР Маршал Советского союза С. Тимошенко (10598).</w:t>
      </w:r>
    </w:p>
    <w:p w14:paraId="1269CC1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C7B598" w14:textId="77777777" w:rsidR="00BA2190"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2B8E7DBF" w14:textId="77777777" w:rsidR="00BA2190" w:rsidRPr="00A3026E" w:rsidRDefault="00BA2190" w:rsidP="00A3026E">
      <w:pPr>
        <w:spacing w:after="0" w:line="240" w:lineRule="auto"/>
        <w:jc w:val="both"/>
        <w:rPr>
          <w:rFonts w:ascii="Times New Roman" w:hAnsi="Times New Roman"/>
          <w:iCs/>
          <w:color w:val="000000" w:themeColor="text1"/>
          <w:sz w:val="16"/>
          <w:szCs w:val="16"/>
        </w:rPr>
      </w:pPr>
    </w:p>
    <w:p w14:paraId="573EBB5A" w14:textId="77777777" w:rsidR="00281432" w:rsidRPr="00A3026E" w:rsidRDefault="0028143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ноября 1940 г. во время праздничного обеда после парада Сталин совершенно неожиданно выступил с далеко непраздничной, гневной речью. Суть ее свелась к обвинению своего окружения в нежелании учиться: «Люди не хотят учиться, хотя и условия для учебы у нас прекрасные. Думают, что раз они из рабочих и крестьян, раз у них руки мозолистые, они уже все могут, незачем им дальше учиться и работать над собой. Между тем – настоящие тупицы». Но все же острие сталинского гнева оказалось направленным на военных, им досталось более остальных: «…Необходимо постоянно учиться и каждые 2–3 года переучиваться. Но у нас не любят учиться. Не изучают уроков войны с Финляндией, уроков войны в Европе Мы не готовы для такой войны, которая идет между Германией и Англией Люди беспечные не хотят учиться и переучиваться. Выслушают меня и все оставят по-старому. Но я вам покажу, если выйду из терпения. (Вы знаете, как я это могу). Так ударю по толстякам, что все затрещит» (21522).</w:t>
      </w:r>
    </w:p>
    <w:p w14:paraId="1CA6562C" w14:textId="77777777" w:rsidR="00281432" w:rsidRPr="00A3026E" w:rsidRDefault="00281432" w:rsidP="00A3026E">
      <w:pPr>
        <w:spacing w:after="0" w:line="240" w:lineRule="auto"/>
        <w:jc w:val="both"/>
        <w:rPr>
          <w:rFonts w:ascii="Times New Roman" w:hAnsi="Times New Roman"/>
          <w:color w:val="0070C0"/>
          <w:sz w:val="16"/>
          <w:szCs w:val="16"/>
        </w:rPr>
      </w:pPr>
    </w:p>
    <w:p w14:paraId="147ACB73" w14:textId="77777777" w:rsidR="00BA2190" w:rsidRPr="00A3026E" w:rsidRDefault="00BA2190"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7 ноября</w:t>
      </w:r>
      <w:r w:rsidRPr="00A3026E">
        <w:rPr>
          <w:rFonts w:ascii="Times New Roman" w:hAnsi="Times New Roman"/>
          <w:color w:val="000000" w:themeColor="text1"/>
          <w:sz w:val="16"/>
          <w:szCs w:val="16"/>
        </w:rPr>
        <w:t xml:space="preserve"> в 1940 году на территории цитрусового сада Всероссийского института цветоводства и субтропических культур в городе Сочи известный исследователь Арктики академик О.Ю.Шмидт сделал первую прививку на деревце дикого лимона, посаженном в 1934 г. селекционером Ф.Зориным для получения новых морозостойких сортов цитрусовых. С тех пор на этом дереве растут ветки, привитые представителями 167 стран мира - главами государств, видными общественными деятелями, космонавтами, актерами. В 1957 г. вьетнамские врачи предложили назвать это уникальное дерево-сад «Деревом Дружбы» (14823).</w:t>
      </w:r>
    </w:p>
    <w:p w14:paraId="45DBC40F" w14:textId="77777777" w:rsidR="00BA2190" w:rsidRPr="00A3026E" w:rsidRDefault="00BA2190" w:rsidP="00A3026E">
      <w:pPr>
        <w:spacing w:after="0" w:line="240" w:lineRule="auto"/>
        <w:jc w:val="both"/>
        <w:rPr>
          <w:rFonts w:ascii="Times New Roman" w:hAnsi="Times New Roman"/>
          <w:color w:val="000000" w:themeColor="text1"/>
          <w:sz w:val="16"/>
          <w:szCs w:val="16"/>
        </w:rPr>
      </w:pPr>
    </w:p>
    <w:p w14:paraId="1AFD3FA7" w14:textId="77777777" w:rsidR="00BA2190"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007FB919" w14:textId="77777777" w:rsidR="00BA2190" w:rsidRPr="00A3026E" w:rsidRDefault="00BA2190" w:rsidP="00A3026E">
      <w:pPr>
        <w:spacing w:after="0" w:line="240" w:lineRule="auto"/>
        <w:jc w:val="both"/>
        <w:rPr>
          <w:rFonts w:ascii="Times New Roman" w:hAnsi="Times New Roman"/>
          <w:iCs/>
          <w:color w:val="000000" w:themeColor="text1"/>
          <w:sz w:val="16"/>
          <w:szCs w:val="16"/>
        </w:rPr>
      </w:pPr>
    </w:p>
    <w:p w14:paraId="3EEC95E0" w14:textId="77777777" w:rsidR="00BA2190" w:rsidRPr="00A3026E" w:rsidRDefault="00BA2190"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7 ноября</w:t>
      </w:r>
      <w:r w:rsidRPr="00A3026E">
        <w:rPr>
          <w:rFonts w:ascii="Times New Roman" w:hAnsi="Times New Roman"/>
          <w:color w:val="000000" w:themeColor="text1"/>
          <w:sz w:val="16"/>
          <w:szCs w:val="16"/>
        </w:rPr>
        <w:t xml:space="preserve"> в 1940 году председатель Президиума Верховного Совета СССР М.И.Калинин отмечал: «…сейчас идет война между великими, руководящими европейскими державами, и уже четвертый год продолжается война на Дальнем Востоке. Значит, в состоянии войны находится почти весь мир. Из больших государств фактически лишь один Советский Союз находится вне войны, соблюдая строгий нейтралитет. Я должен сказать, что такое положение не создается само собой. Оно есть результат наших внутренних достижений и успехов нашей внешней политики» (14823).</w:t>
      </w:r>
    </w:p>
    <w:p w14:paraId="153E8925" w14:textId="77777777" w:rsidR="00BA2190" w:rsidRPr="00A3026E" w:rsidRDefault="00BA2190" w:rsidP="00A3026E">
      <w:pPr>
        <w:spacing w:after="0" w:line="240" w:lineRule="auto"/>
        <w:jc w:val="both"/>
        <w:rPr>
          <w:rFonts w:ascii="Times New Roman" w:hAnsi="Times New Roman"/>
          <w:color w:val="000000" w:themeColor="text1"/>
          <w:sz w:val="16"/>
          <w:szCs w:val="16"/>
        </w:rPr>
      </w:pPr>
    </w:p>
    <w:p w14:paraId="1B201C6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9EF15C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42261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ноября 1940 Ирландия объявила о своем нейтралитете во второй мировой войне и отказала Англии в праве использования ирландских портов для борьбы с немцами (4962).</w:t>
      </w:r>
    </w:p>
    <w:p w14:paraId="5608597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95E2838" w14:textId="77777777" w:rsidR="00BA2190" w:rsidRPr="00A3026E" w:rsidRDefault="00BA2190"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7 ноября</w:t>
      </w:r>
      <w:r w:rsidRPr="00A3026E">
        <w:rPr>
          <w:rFonts w:ascii="Times New Roman" w:hAnsi="Times New Roman"/>
          <w:color w:val="000000" w:themeColor="text1"/>
          <w:sz w:val="16"/>
          <w:szCs w:val="16"/>
        </w:rPr>
        <w:t xml:space="preserve"> в 1940 году Ирландия объявила о своем нейтралитете во второй мировой войне и отказала Великобритании в праве использования ирландских портов для борьбы с Германией (14823).</w:t>
      </w:r>
    </w:p>
    <w:p w14:paraId="4C399FF8" w14:textId="77777777" w:rsidR="00BA2190" w:rsidRPr="00A3026E" w:rsidRDefault="00BA2190" w:rsidP="00A3026E">
      <w:pPr>
        <w:spacing w:after="0" w:line="240" w:lineRule="auto"/>
        <w:jc w:val="both"/>
        <w:rPr>
          <w:rFonts w:ascii="Times New Roman" w:hAnsi="Times New Roman"/>
          <w:color w:val="000000" w:themeColor="text1"/>
          <w:sz w:val="16"/>
          <w:szCs w:val="16"/>
        </w:rPr>
      </w:pPr>
    </w:p>
    <w:p w14:paraId="59BACCB3" w14:textId="77777777" w:rsidR="00BA2190" w:rsidRPr="00A3026E" w:rsidRDefault="00BA2190"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7 ноября</w:t>
      </w:r>
      <w:r w:rsidRPr="00A3026E">
        <w:rPr>
          <w:rFonts w:ascii="Times New Roman" w:hAnsi="Times New Roman"/>
          <w:color w:val="000000" w:themeColor="text1"/>
          <w:sz w:val="16"/>
          <w:szCs w:val="16"/>
        </w:rPr>
        <w:t xml:space="preserve"> в 1940 году Греческие войска остановили итальянское наступление (14823).</w:t>
      </w:r>
    </w:p>
    <w:p w14:paraId="6E4BE689" w14:textId="77777777" w:rsidR="00BA2190" w:rsidRPr="00A3026E" w:rsidRDefault="00BA2190" w:rsidP="00A3026E">
      <w:pPr>
        <w:spacing w:after="0" w:line="240" w:lineRule="auto"/>
        <w:jc w:val="both"/>
        <w:rPr>
          <w:rFonts w:ascii="Times New Roman" w:hAnsi="Times New Roman"/>
          <w:color w:val="000000" w:themeColor="text1"/>
          <w:sz w:val="16"/>
          <w:szCs w:val="16"/>
        </w:rPr>
      </w:pPr>
    </w:p>
    <w:p w14:paraId="70D80B1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B2EF60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3A168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ноября 1940 А.С.Я. с дачи Наркомавиапрома (в Подлипках) был вызван в Кремль к В.М.Молотову. Тот сообщил, что А.С.Я. включен в делегацию для переговоров с А.Гитлером. Ехать завтра в 9, без паспорта и т.п. (74,180).</w:t>
      </w:r>
    </w:p>
    <w:p w14:paraId="222177B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8FA7BC6"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C6B420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9D1045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ноября 1940 английская авиация впервые бомбила Мюнхен, вынудив Гитлера отменить традиционную речь там в честь годовщины «пивного путча» (4962).</w:t>
      </w:r>
    </w:p>
    <w:p w14:paraId="62A0A33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3D82C4A" w14:textId="77777777" w:rsidR="00281432" w:rsidRPr="00A3026E" w:rsidRDefault="0028143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ноября 1940 сбиты и взяты в плен первые летчики «Свободной Франции» (20795).</w:t>
      </w:r>
    </w:p>
    <w:p w14:paraId="7727F676" w14:textId="77777777" w:rsidR="00281432" w:rsidRPr="00A3026E" w:rsidRDefault="00281432" w:rsidP="00A3026E">
      <w:pPr>
        <w:spacing w:after="0" w:line="240" w:lineRule="auto"/>
        <w:jc w:val="both"/>
        <w:rPr>
          <w:rFonts w:ascii="Times New Roman" w:hAnsi="Times New Roman"/>
          <w:color w:val="0070C0"/>
          <w:sz w:val="16"/>
          <w:szCs w:val="16"/>
        </w:rPr>
      </w:pPr>
    </w:p>
    <w:p w14:paraId="47A19F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ноября 1940 в ходе контратаки против итальянцев греческие войска вошли на территорию Албании (4962).</w:t>
      </w:r>
    </w:p>
    <w:p w14:paraId="1E704E9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583919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ноября 1940 подорвавшись на мине, затонул торговый корабль «Сити Рэйвилль» - первая морская потеря США во второй мировой войне (4962).</w:t>
      </w:r>
    </w:p>
    <w:p w14:paraId="3375BB3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69C8AB1"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November 08 Fri. 1940 SS CITY OF RAYVILLE sinks after hitting a mine laid by German raider off Cape Otway, Bass Strait, Australia; first United States merchant vessel sunk in World War II (1064).</w:t>
      </w:r>
    </w:p>
    <w:p w14:paraId="7E819458"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4C24F1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ноября 1940 в результате взрыва немецкой мины взорвался и затонул корабль CITY OF RAYVILLE в Австралии. Первое судно США, потерянное в ВМВ (1064).</w:t>
      </w:r>
    </w:p>
    <w:p w14:paraId="404AD2A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17FE77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72DEE2A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BA9B2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ноября 1940 г. закончили первый опытный САМ-13, оснащенный двумя двигателями "Рено" 220 л.с. В это время строился второй опытный экземпляр. Заводские испытания начались в Воронеже во второй половине 1940 г. Летал летчик Н.Д.Фиксон, которому удалось даже с не полностью убранным шасси (не убиралась до конца передняя стойка) достичь значений полетной скорости в пределах 520-560 км/ч. Дальнейшие испытания были прерваны по указанию заместителя наркома авиапромышленности А.С.Яковлева. САМ-13 перевезли в Москву для проведения в ЦАГИ сначала натурных продувок в аэродинамической трубе, а затем флаттерных испытаний крыла. Полные летные испытания самолета провести не удалось. По данным В.Б.Шаврова, испытательные полеты на САМ-13 велись в начале 1941 г., однако подтверждения этому не имеется (11952).</w:t>
      </w:r>
    </w:p>
    <w:p w14:paraId="683D3AD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0061D66" w14:textId="77777777" w:rsidR="00BA2190" w:rsidRPr="00A3026E" w:rsidRDefault="00BA219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ноября 1940 г. закончили первый опытный САМ-13, который оснастили двумя двигателями «Рено» 220 л.с. В это время строился второй опытный экземпляр. Заводские испытания начались в Воронеже во второй половине 1940 г. Летал летчик Н.Д.Фиксон, которому удалось даже с не полностью убранным шасси (не убиралась до конца передняя стойка) достичь значений полетной скорости в пределах 520-560 км/ч. Дальнейшие испытания были прерваны по указанию заместителя наркома авиапромышленности А.С.Яковлева. САМ-13 перевезли в Москву для проведения в ЦАГИ сначала натурных продувок в аэродинамической трубе, а затем флаттерных испытаний крыла. Полные летные испытания самолета провести не удалось. По данным В.Б.Шаврова, испытательные полеты на САМ-13 велись в начале 1941 г., однако подтверждения этому не имеется (15564).</w:t>
      </w:r>
    </w:p>
    <w:p w14:paraId="55A291BE" w14:textId="77777777" w:rsidR="00BA2190" w:rsidRPr="00A3026E" w:rsidRDefault="00BA2190" w:rsidP="00A3026E">
      <w:pPr>
        <w:spacing w:after="0" w:line="240" w:lineRule="auto"/>
        <w:jc w:val="both"/>
        <w:rPr>
          <w:rFonts w:ascii="Times New Roman" w:hAnsi="Times New Roman"/>
          <w:color w:val="000000" w:themeColor="text1"/>
          <w:sz w:val="16"/>
          <w:szCs w:val="16"/>
        </w:rPr>
      </w:pPr>
    </w:p>
    <w:p w14:paraId="58BE0EFF" w14:textId="77777777" w:rsidR="00BA2190" w:rsidRPr="00A3026E" w:rsidRDefault="00BA219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9 ноября 1940. Поэтому, спустя неделю после проведения короткого цикла полетов, второй ИП-21 передали для наземных испытаний вооружения, состоящего из пушки ПТБ-23 калибра 23 мм, установленной в развале блока цилиндров, и двух синхронных пулеметов ШКАС. В описании пушки указывалось, что она была снабжена магазином общей емкостью на 81 снаряд, который крепился непосредственно на пушке и являлся ее неотъемлемой деталью. В свою очередь, магазин состоял из девяти обойм, включавших по 9 снарядов. Управление огнем из пушки механическое, перезарядка пневматическая.</w:t>
      </w:r>
    </w:p>
    <w:p w14:paraId="0E5238D6" w14:textId="77777777" w:rsidR="00BA2190" w:rsidRPr="00A3026E" w:rsidRDefault="00BA219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вооружения велись на полигоне авиазавода № 21. На земле выпустили из пушки 536 снарядов и произвели 2350 выстрелов из каждого пулемета. 10 ноября начались воздушные стрельбы — летчик Большаков произвел в воздухе 76 выстрелов из пушки. Однако уже 14 ноября все прекратилось, причины указывались следующие:</w:t>
      </w:r>
    </w:p>
    <w:p w14:paraId="035B2850" w14:textId="77777777" w:rsidR="00BA2190" w:rsidRPr="00A3026E" w:rsidRDefault="00BA219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вооружения в воздухе не закончены ввиду отлета в Москву по приказанию начальника ГУ ВВС РККА генерал-лейтенанта авиации Рычагова» (15561).</w:t>
      </w:r>
    </w:p>
    <w:p w14:paraId="5B262BE0" w14:textId="77777777" w:rsidR="00BA2190" w:rsidRPr="00A3026E" w:rsidRDefault="00BA2190" w:rsidP="00A3026E">
      <w:pPr>
        <w:spacing w:after="0" w:line="240" w:lineRule="auto"/>
        <w:jc w:val="both"/>
        <w:rPr>
          <w:rFonts w:ascii="Times New Roman" w:hAnsi="Times New Roman"/>
          <w:color w:val="000000" w:themeColor="text1"/>
          <w:sz w:val="16"/>
          <w:szCs w:val="16"/>
        </w:rPr>
      </w:pPr>
    </w:p>
    <w:p w14:paraId="626E0D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ноября 1940 г. на имя главного инженера завода №80 НКБ Синявского от директора НИИ-3 НКБ Б.М.Слонимера поступило письмо следующего содержания. «Согласно договора с АУ КА, в НИИ-3 разработали ракетный осветитетельно-сигнальный снаряд РОСС-140. Для факелов в ГСКБ-47 предложили свою рецептуру осветительного состава. В результате испытаний уста</w:t>
      </w:r>
      <w:r w:rsidRPr="00A3026E">
        <w:rPr>
          <w:rFonts w:ascii="Times New Roman" w:hAnsi="Times New Roman"/>
          <w:color w:val="000000" w:themeColor="text1"/>
          <w:sz w:val="16"/>
          <w:szCs w:val="16"/>
        </w:rPr>
        <w:softHyphen/>
        <w:t>новлено, что длина факела - 195 мм, диаметр - 120 мм, светосила -750.000 свечей, продолжительность горения составляет 120 с. Просим вас сообщить свои соображения по принятию состава в производство и возможности его долговременного хранения». В итоге было снаря</w:t>
      </w:r>
      <w:r w:rsidRPr="00A3026E">
        <w:rPr>
          <w:rFonts w:ascii="Times New Roman" w:hAnsi="Times New Roman"/>
          <w:color w:val="000000" w:themeColor="text1"/>
          <w:sz w:val="16"/>
          <w:szCs w:val="16"/>
        </w:rPr>
        <w:softHyphen/>
        <w:t>жено всего 250 факелов (11402).</w:t>
      </w:r>
    </w:p>
    <w:p w14:paraId="330EEBB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753407" w14:textId="77777777" w:rsidR="00BA2190"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5159D000" w14:textId="77777777" w:rsidR="00BA2190" w:rsidRPr="00A3026E" w:rsidRDefault="00BA2190" w:rsidP="00A3026E">
      <w:pPr>
        <w:spacing w:after="0" w:line="240" w:lineRule="auto"/>
        <w:jc w:val="both"/>
        <w:rPr>
          <w:rFonts w:ascii="Times New Roman" w:hAnsi="Times New Roman"/>
          <w:iCs/>
          <w:color w:val="000000" w:themeColor="text1"/>
          <w:sz w:val="16"/>
          <w:szCs w:val="16"/>
        </w:rPr>
      </w:pPr>
    </w:p>
    <w:p w14:paraId="7D8D7992" w14:textId="77777777" w:rsidR="00BA2190" w:rsidRPr="00A3026E" w:rsidRDefault="00BA2190"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9 ноября </w:t>
      </w:r>
      <w:r w:rsidRPr="00A3026E">
        <w:rPr>
          <w:rFonts w:ascii="Times New Roman" w:hAnsi="Times New Roman"/>
          <w:color w:val="000000" w:themeColor="text1"/>
          <w:sz w:val="16"/>
          <w:szCs w:val="16"/>
        </w:rPr>
        <w:t>в 1940 году в советских средних школах вводится обязательное преподавание иностранных языков. Любопытно, что с первых дней советской власти и примерно до начала 1960-х в подавляющем большинстве школ будут преподавать немецкий. После октября 1917 это было логично: со дня на день ждали социалистической революции в Германии, немецкий стал бы, так сказать, языком межнационального общения (14825).</w:t>
      </w:r>
    </w:p>
    <w:p w14:paraId="377DD39F" w14:textId="77777777" w:rsidR="00BA2190" w:rsidRPr="00A3026E" w:rsidRDefault="00BA2190" w:rsidP="00A3026E">
      <w:pPr>
        <w:spacing w:after="0" w:line="240" w:lineRule="auto"/>
        <w:jc w:val="both"/>
        <w:rPr>
          <w:rFonts w:ascii="Times New Roman" w:hAnsi="Times New Roman"/>
          <w:color w:val="000000" w:themeColor="text1"/>
          <w:sz w:val="16"/>
          <w:szCs w:val="16"/>
        </w:rPr>
      </w:pPr>
    </w:p>
    <w:p w14:paraId="712C3EB8" w14:textId="77777777" w:rsidR="00BA2190"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496F0F61" w14:textId="77777777" w:rsidR="00BA2190" w:rsidRPr="00A3026E" w:rsidRDefault="00BA2190" w:rsidP="00A3026E">
      <w:pPr>
        <w:spacing w:after="0" w:line="240" w:lineRule="auto"/>
        <w:jc w:val="both"/>
        <w:rPr>
          <w:rFonts w:ascii="Times New Roman" w:hAnsi="Times New Roman"/>
          <w:iCs/>
          <w:color w:val="000000" w:themeColor="text1"/>
          <w:sz w:val="16"/>
          <w:szCs w:val="16"/>
        </w:rPr>
      </w:pPr>
    </w:p>
    <w:p w14:paraId="44ADE3DD" w14:textId="77777777" w:rsidR="00BA2190" w:rsidRPr="00A3026E" w:rsidRDefault="00BA2190"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9 ноября </w:t>
      </w:r>
      <w:r w:rsidRPr="00A3026E">
        <w:rPr>
          <w:rFonts w:ascii="Times New Roman" w:hAnsi="Times New Roman"/>
          <w:color w:val="000000" w:themeColor="text1"/>
          <w:sz w:val="16"/>
          <w:szCs w:val="16"/>
        </w:rPr>
        <w:t>в 1940 году в директивах, данных И.В.Сталиным Председателю СНК СССР и Народному комиссару иностранных дел СССР В.М.Молотову перед переговорами в Берлине с Гитлером и Риббентропом, содержатся пожелания участия СССР в определении будущего Ирана и Турции, подтверждение былых претензий на Финляндию, пожелание скорейшего заключения почетного мира между Китаем и Японией и признание японских интересов в Маньчжурии и Нидерландской Индии (14825).</w:t>
      </w:r>
    </w:p>
    <w:p w14:paraId="5E0B7724" w14:textId="77777777" w:rsidR="00BA2190" w:rsidRPr="00A3026E" w:rsidRDefault="00BA2190" w:rsidP="00A3026E">
      <w:pPr>
        <w:spacing w:after="0" w:line="240" w:lineRule="auto"/>
        <w:jc w:val="both"/>
        <w:rPr>
          <w:rFonts w:ascii="Times New Roman" w:hAnsi="Times New Roman"/>
          <w:color w:val="000000" w:themeColor="text1"/>
          <w:sz w:val="16"/>
          <w:szCs w:val="16"/>
        </w:rPr>
      </w:pPr>
    </w:p>
    <w:p w14:paraId="78E68275" w14:textId="77777777" w:rsidR="00D453A6" w:rsidRPr="00A3026E" w:rsidRDefault="00D453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ноября 1940. Управляющий делами Совнаркома СССР Я. Е. Чадаев в беседе с историком ГА. Куманевым вспоминал: "Утром 9 ноября 1940 г. мне позвонил Н. А. Булганин и пригласил прибыть вечером на Белорусский вокзал для проводов Молотова, отбывавшего из Москвы. Куда он уезжал во главе советской делегации, я узнал только на вокзале, возле которого стояла масса посольских машин с флажками. Было много провожающих. В назначенное время от перрона Белорусского вокзала отошел необычный литерный поезд, состоявший из нескольких вагонов западноевропейского образца. В них расположились члены и сотрудники советской правительственной делегации. Но не успел поезд отойти и десятка метров, как вдруг с резким толчком остановился. Что такое" Через несколько минут опять поехали. И вторично, не дойдя до конца платформы, поезд вновь остановился с еще более резким толчком. Забегали, засуетились железнодорожники, произошла какая-то заминка. Что случилось" Оказывается, этим же поездом ехал германский посол граф фон Шуленбург. Это он дважды останавливал состав стоп-краном только потому, что к моменту отхода поезда из посольства ему не доставили... парадный мундир, в котором он собирался выйти из вагона в Берлине. В конце концов, поезд ушел, не дождавшись мундира. Позже мы узнали, что посольскую машину с чемоданами фон Шуленбурга не пропустили на привокзальную площадь, т. к. она не имела специального пропуска. Когда стал известен инцидент с мундиром германского посла, вдогонку за поездом были посланы две легковые автомашины. Они должны были догнать состав и на одной из промежуточных станций погрузить багаж графа. Все это происходило поздней осенью, в гололедицу. Машина мчались по Можайскому шоссе с огромной скоростью, одна - с багажом, другая - резервная. Где-то по дороге в районе Голицыно или Кубинки первая машина потерпела аварию. Чемоданы перегрузили во вторую, и, кажется, в Вязьме они были благополучно доставлены вконец изнервничавшемуся послу" (18701).</w:t>
      </w:r>
    </w:p>
    <w:p w14:paraId="3E27AF4D" w14:textId="77777777" w:rsidR="00D453A6" w:rsidRPr="00A3026E" w:rsidRDefault="00D453A6" w:rsidP="00A3026E">
      <w:pPr>
        <w:spacing w:after="0" w:line="240" w:lineRule="auto"/>
        <w:jc w:val="both"/>
        <w:rPr>
          <w:rFonts w:ascii="Times New Roman" w:hAnsi="Times New Roman"/>
          <w:color w:val="000000" w:themeColor="text1"/>
          <w:sz w:val="16"/>
          <w:szCs w:val="16"/>
        </w:rPr>
      </w:pPr>
    </w:p>
    <w:p w14:paraId="137CECED" w14:textId="77777777" w:rsidR="00C66762"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За</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рубежом</w:t>
      </w:r>
      <w:r w:rsidRPr="00A3026E">
        <w:rPr>
          <w:rFonts w:ascii="Times New Roman" w:hAnsi="Times New Roman"/>
          <w:i/>
          <w:iCs/>
          <w:color w:val="000000" w:themeColor="text1"/>
          <w:sz w:val="16"/>
          <w:szCs w:val="16"/>
          <w:lang w:val="en-US"/>
        </w:rPr>
        <w:t>:</w:t>
      </w:r>
    </w:p>
    <w:p w14:paraId="3A99EC4E" w14:textId="77777777" w:rsidR="00C66762" w:rsidRPr="00A3026E" w:rsidRDefault="00C66762" w:rsidP="00A3026E">
      <w:pPr>
        <w:spacing w:after="0" w:line="240" w:lineRule="auto"/>
        <w:jc w:val="both"/>
        <w:rPr>
          <w:rFonts w:ascii="Times New Roman" w:hAnsi="Times New Roman"/>
          <w:iCs/>
          <w:color w:val="000000" w:themeColor="text1"/>
          <w:sz w:val="16"/>
          <w:szCs w:val="16"/>
          <w:lang w:val="en-US"/>
        </w:rPr>
      </w:pPr>
    </w:p>
    <w:p w14:paraId="3E0B4C9F"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November 9, 1940: Start of a counter-offensive by the British 8th Army (Wavell) against Italian forces that have advanced into Egypt (3819).</w:t>
      </w:r>
    </w:p>
    <w:p w14:paraId="528732E6"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27B871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ноября 1940 началось британское контрнаступление (8А, Вавель) против итальянских войск и вошли в Египет (3819).</w:t>
      </w:r>
    </w:p>
    <w:p w14:paraId="69F2B3E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EED0E2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745729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E4AFF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вышло постановление Правительства "Об организации опытно-производственной базы "десантно-транспортных объектов" и вновь организованному заводу в Бескудниково потом присвоили номер 468 (1316,9).</w:t>
      </w:r>
    </w:p>
    <w:p w14:paraId="6E48E97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E3211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состоялся первый полет СК-2 М.Р.Бисновата - экспериментального, дублера СК. Испытания велись до 10 января 1941. Опоздал (4,74).</w:t>
      </w:r>
    </w:p>
    <w:p w14:paraId="61D0019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DA90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вышел приказ НКАП N 623cc в исполнение постановления КО N 418cc от 31 октября, о строительстве самолета типа "Аэрокобра" с мотором М-37 в исполнение которого вышел приказ НКАП N 623сс (418,74).</w:t>
      </w:r>
    </w:p>
    <w:p w14:paraId="72F099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Поручено директору завода N 301 тов. Эскину Ю.Б. и главному конструктору тов. Гудкову М.И. Машина на трехколесном шасси должна была быть построена в двух экз. с предъявлением на гос. испытания 1-го - 15 августа 1941, 2-го - 15 сентября 1941 (418,74).</w:t>
      </w:r>
    </w:p>
    <w:p w14:paraId="134CFF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Главному конструктору завода N 24 тов. Микулину А.А. было поручено изготовить мотор М-37 с длинным валом и выносным редуктором и сдать первый к 15 марта, четвертый - к 15 июня (418,75).</w:t>
      </w:r>
    </w:p>
    <w:p w14:paraId="0BF556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СОВ.СЕКРЕТНО</w:t>
      </w:r>
    </w:p>
    <w:p w14:paraId="5E16DE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w:t>
      </w:r>
    </w:p>
    <w:p w14:paraId="2E5B51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Народного Комиссара Авиационной Промышленности СССР</w:t>
      </w:r>
    </w:p>
    <w:p w14:paraId="005606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исполнение постановления Правительства от 31.Х.1940 года о строительстве самолета типа "Аэрокобра” с мотором АМ-37 с. длин</w:t>
      </w:r>
      <w:r w:rsidRPr="00A3026E">
        <w:rPr>
          <w:rFonts w:ascii="Times New Roman" w:hAnsi="Times New Roman"/>
          <w:color w:val="000000" w:themeColor="text1"/>
          <w:sz w:val="16"/>
          <w:szCs w:val="16"/>
        </w:rPr>
        <w:softHyphen/>
        <w:t>ным валом и выносным редуктором - ПРИКАЗЫВАЮ:</w:t>
      </w:r>
    </w:p>
    <w:p w14:paraId="7F3E14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Директору завода № 301 тов. Эскину Ю.Б. и главному конст</w:t>
      </w:r>
      <w:r w:rsidRPr="00A3026E">
        <w:rPr>
          <w:rFonts w:ascii="Times New Roman" w:hAnsi="Times New Roman"/>
          <w:color w:val="000000" w:themeColor="text1"/>
          <w:sz w:val="16"/>
          <w:szCs w:val="16"/>
        </w:rPr>
        <w:softHyphen/>
        <w:t>руктору тов. Гудкову М.И. построить самолет типа "Аэрокобра" с мо</w:t>
      </w:r>
      <w:r w:rsidRPr="00A3026E">
        <w:rPr>
          <w:rFonts w:ascii="Times New Roman" w:hAnsi="Times New Roman"/>
          <w:color w:val="000000" w:themeColor="text1"/>
          <w:sz w:val="16"/>
          <w:szCs w:val="16"/>
        </w:rPr>
        <w:softHyphen/>
        <w:t>тором АМ-37 на трехколесном шасси в двух экземплярах и предъявить на государственные испытания:</w:t>
      </w:r>
    </w:p>
    <w:p w14:paraId="0BA30E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к 15 августа 1941 года,</w:t>
      </w:r>
    </w:p>
    <w:p w14:paraId="098003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экземпляр к 15 сентября 1941 года</w:t>
      </w:r>
    </w:p>
    <w:p w14:paraId="0F0F12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 следующими летно-тактичёскими данными:</w:t>
      </w:r>
    </w:p>
    <w:p w14:paraId="50367C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7000 метров</w:t>
      </w:r>
      <w:r w:rsidRPr="00A3026E">
        <w:rPr>
          <w:rFonts w:ascii="Times New Roman" w:hAnsi="Times New Roman"/>
          <w:color w:val="000000" w:themeColor="text1"/>
          <w:sz w:val="16"/>
          <w:szCs w:val="16"/>
        </w:rPr>
        <w:tab/>
        <w:t>700 км/час</w:t>
      </w:r>
    </w:p>
    <w:p w14:paraId="55546E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r w:rsidRPr="00A3026E">
        <w:rPr>
          <w:rFonts w:ascii="Times New Roman" w:hAnsi="Times New Roman"/>
          <w:color w:val="000000" w:themeColor="text1"/>
          <w:sz w:val="16"/>
          <w:szCs w:val="16"/>
        </w:rPr>
        <w:tab/>
        <w:t>135 км/час.</w:t>
      </w:r>
    </w:p>
    <w:p w14:paraId="2328E9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под'ема на высоту 8000 мт.</w:t>
      </w:r>
      <w:r w:rsidRPr="00A3026E">
        <w:rPr>
          <w:rFonts w:ascii="Times New Roman" w:hAnsi="Times New Roman"/>
          <w:color w:val="000000" w:themeColor="text1"/>
          <w:sz w:val="16"/>
          <w:szCs w:val="16"/>
        </w:rPr>
        <w:tab/>
        <w:t>10,0 мин.</w:t>
      </w:r>
    </w:p>
    <w:p w14:paraId="738EFC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r w:rsidRPr="00A3026E">
        <w:rPr>
          <w:rFonts w:ascii="Times New Roman" w:hAnsi="Times New Roman"/>
          <w:color w:val="000000" w:themeColor="text1"/>
          <w:sz w:val="16"/>
          <w:szCs w:val="16"/>
        </w:rPr>
        <w:tab/>
        <w:t>11.000 мт.</w:t>
      </w:r>
    </w:p>
    <w:p w14:paraId="4F81F2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Дальность на 0,9 максимальной скорости при нормальной нагрузке </w:t>
      </w:r>
      <w:r w:rsidRPr="00A3026E">
        <w:rPr>
          <w:rFonts w:ascii="Times New Roman" w:hAnsi="Times New Roman"/>
          <w:color w:val="000000" w:themeColor="text1"/>
          <w:sz w:val="16"/>
          <w:szCs w:val="16"/>
        </w:rPr>
        <w:tab/>
        <w:t>1.000 км.</w:t>
      </w:r>
    </w:p>
    <w:p w14:paraId="47482D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r w:rsidRPr="00A3026E">
        <w:rPr>
          <w:rFonts w:ascii="Times New Roman" w:hAnsi="Times New Roman"/>
          <w:color w:val="000000" w:themeColor="text1"/>
          <w:sz w:val="16"/>
          <w:szCs w:val="16"/>
        </w:rPr>
        <w:tab/>
        <w:t>1.400 км.</w:t>
      </w:r>
    </w:p>
    <w:p w14:paraId="370CC9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1 пушка калибра 23 мм с количеством снарядов 81 шт.</w:t>
      </w:r>
    </w:p>
    <w:p w14:paraId="00AA28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калибра 12,7 мм Березина с количеством' патрон 440 штук;</w:t>
      </w:r>
    </w:p>
    <w:p w14:paraId="1AE7C1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калибра 7,62. мм Шкас с количеством патрон 1300 штук.</w:t>
      </w:r>
    </w:p>
    <w:p w14:paraId="47EDA1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Главному конструктору завода № 24 тов. Микулину А.А. изготовить мотор М-37 с длинным валом и выносным редуктором в количестве 4-х штук и сдать ОКБ завода № 301 в следующие сроки:</w:t>
      </w:r>
    </w:p>
    <w:p w14:paraId="0267C3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w:t>
      </w:r>
      <w:r w:rsidRPr="00A3026E">
        <w:rPr>
          <w:rFonts w:ascii="Times New Roman" w:hAnsi="Times New Roman"/>
          <w:color w:val="000000" w:themeColor="text1"/>
          <w:sz w:val="16"/>
          <w:szCs w:val="16"/>
        </w:rPr>
        <w:tab/>
        <w:t>к 15 марта 1941 года</w:t>
      </w:r>
    </w:p>
    <w:p w14:paraId="61BF87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и третий, экземпляры</w:t>
      </w:r>
      <w:r w:rsidRPr="00A3026E">
        <w:rPr>
          <w:rFonts w:ascii="Times New Roman" w:hAnsi="Times New Roman"/>
          <w:color w:val="000000" w:themeColor="text1"/>
          <w:sz w:val="16"/>
          <w:szCs w:val="16"/>
        </w:rPr>
        <w:tab/>
        <w:t>к 1 мая 1941 года</w:t>
      </w:r>
    </w:p>
    <w:p w14:paraId="0BB1BD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четвертый экземпляр</w:t>
      </w:r>
      <w:r w:rsidRPr="00A3026E">
        <w:rPr>
          <w:rFonts w:ascii="Times New Roman" w:hAnsi="Times New Roman"/>
          <w:color w:val="000000" w:themeColor="text1"/>
          <w:sz w:val="16"/>
          <w:szCs w:val="16"/>
        </w:rPr>
        <w:tab/>
        <w:t>к 15 июня 1941 года.</w:t>
      </w:r>
    </w:p>
    <w:p w14:paraId="3CCDA3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3. Начальнику ЦФО НКАП тов. Хавину И.Е. в недельный срок.офо] мить получение через НКФин СССР выделенные из резервного фонда СНК СССР средства:</w:t>
      </w:r>
    </w:p>
    <w:p w14:paraId="37F5D6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на постройку и испытание 2 экземпляров самолета -5 млн. рублей, из них 1 млн.рублей в 1940 году;</w:t>
      </w:r>
    </w:p>
    <w:p w14:paraId="6D4370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мое распоряжение для поощрения рабочих ИТР и служащих завода № 301 за выполнение задания в срок, премиальный фонд в сумме 600 тысяч рублей, из них:</w:t>
      </w:r>
    </w:p>
    <w:p w14:paraId="4F3286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первый экземпляр 400 тыс.рублей</w:t>
      </w:r>
    </w:p>
    <w:p w14:paraId="605E99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второй экземпляр . 200 тыс.рублей</w:t>
      </w:r>
    </w:p>
    <w:p w14:paraId="28362A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Директору завода № 301 тов. Эскину Ю.Б. и главному кон</w:t>
      </w:r>
      <w:r w:rsidRPr="00A3026E">
        <w:rPr>
          <w:rFonts w:ascii="Times New Roman" w:hAnsi="Times New Roman"/>
          <w:color w:val="000000" w:themeColor="text1"/>
          <w:sz w:val="16"/>
          <w:szCs w:val="16"/>
        </w:rPr>
        <w:softHyphen/>
        <w:t>структору тов.Гудкову М.И.:</w:t>
      </w:r>
    </w:p>
    <w:p w14:paraId="411A1C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довести до сведения коллектив конструкторов, ИТР, рабо</w:t>
      </w:r>
      <w:r w:rsidRPr="00A3026E">
        <w:rPr>
          <w:rFonts w:ascii="Times New Roman" w:hAnsi="Times New Roman"/>
          <w:color w:val="000000" w:themeColor="text1"/>
          <w:sz w:val="16"/>
          <w:szCs w:val="16"/>
        </w:rPr>
        <w:softHyphen/>
        <w:t>чих и служащих завода,что за своевременное выполнение работ по строительству самолета "Аэрокобра” установлена премия;</w:t>
      </w:r>
    </w:p>
    <w:p w14:paraId="21B775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выплата премии за своевременное выполнение работ по строительству самолета "Аэрокобра" в соответствии с Положением о премировании производится с моего утверждения.</w:t>
      </w:r>
    </w:p>
    <w:p w14:paraId="16211F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АВИАЦИОННОЙ ПРОМЫШЛЕННОСТИ СССР</w:t>
      </w:r>
    </w:p>
    <w:p w14:paraId="0FB04B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А.Шахурин (418,75).</w:t>
      </w:r>
    </w:p>
    <w:p w14:paraId="794C4B6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EF699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вышел приказ НКАП, которым на завод № 21 было переведено ОКБ С.А.Л.. Этот же документ предписывал закончить доводку и испытание И-21 и с середины декаббря прекратить изготовление 4-го экземпляра с увеличенной дальностью, усиленным вооружением (две дополнительных огневых точки) и предкрылками. Для завершения работ Пашинину выделили 20 конструкторов (8280,26).</w:t>
      </w:r>
    </w:p>
    <w:p w14:paraId="555B26C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0211D93" w14:textId="77777777" w:rsidR="00281432" w:rsidRPr="00A3026E" w:rsidRDefault="0028143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ноября 1940 года А.И. Шахурин своим приказом № 624сс назначил С.А. Лавочкина главным конструктором ленинградского завода № 23, а спустя две недели Семен Алексеевич получил новую должность. 16 ноября 1940 года вышло новое постановление правительства, теперь о программе завода № 21 на 1941 год, а 23 ноября приказом НКАП № 657сс во исполнение этого постановления С.А. Лавочкин стал главным конструктором горьковского авиазавода, которому было приказано выпустить в 1941 году 1800 самолетов И-301 с М-105П. Из них в первом квартале – 75 машин, в том числе в марте – 60 штук. Производство И-16 и запчастей к ним следовало свернуть в марте 1941 года, выпустив к этому моменту 400 самолетов (23197).</w:t>
      </w:r>
    </w:p>
    <w:p w14:paraId="21785EB4" w14:textId="77777777" w:rsidR="00281432" w:rsidRPr="00A3026E" w:rsidRDefault="00281432" w:rsidP="00A3026E">
      <w:pPr>
        <w:spacing w:after="0" w:line="240" w:lineRule="auto"/>
        <w:jc w:val="both"/>
        <w:rPr>
          <w:rFonts w:ascii="Times New Roman" w:hAnsi="Times New Roman"/>
          <w:color w:val="0070C0"/>
          <w:sz w:val="16"/>
          <w:szCs w:val="16"/>
        </w:rPr>
      </w:pPr>
    </w:p>
    <w:p w14:paraId="24EB4E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г. возобновились испытания И-135. Попельнюшенко, повредившего при запуске мотора М-11 руку, заменил летчик-испытатель Федоров. За время испытаний были выполнены следующие работы:</w:t>
      </w:r>
    </w:p>
    <w:p w14:paraId="723607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определены взлетно-посадочные свойства самолета;</w:t>
      </w:r>
    </w:p>
    <w:p w14:paraId="1DB8A2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сняты балансировочные кривые на горизонтальном полете, на планировании и на наборе высоты;</w:t>
      </w:r>
    </w:p>
    <w:p w14:paraId="4F5178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определены максимальные скорости полета на высотах до 6000 метров;</w:t>
      </w:r>
    </w:p>
    <w:p w14:paraId="0391A0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определена скороподъемность до 5000 метров:</w:t>
      </w:r>
    </w:p>
    <w:p w14:paraId="04BFD2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проведены испытания на флаттер и бафтинг, определена сверхмаксимальная скорость;</w:t>
      </w:r>
    </w:p>
    <w:p w14:paraId="4E008C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определены скорости полета с включенными ТК;</w:t>
      </w:r>
    </w:p>
    <w:p w14:paraId="060EC0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проведен отстрел оружия в тире.</w:t>
      </w:r>
    </w:p>
    <w:p w14:paraId="7EEEE3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летных испытаний самолет показал хорошую продольную и поперечную устойчивость, а также удовлетворительную устойчивость. Взлет и посадка просты и особенностей не имели. Усилия на ручке и педалях были нормальными.(6406).</w:t>
      </w:r>
    </w:p>
    <w:p w14:paraId="2DACA3B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310AE38"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w:t>
      </w:r>
      <w:r w:rsidRPr="00A3026E">
        <w:rPr>
          <w:rFonts w:ascii="Times New Roman" w:hAnsi="Times New Roman"/>
          <w:color w:val="000000" w:themeColor="text1"/>
          <w:sz w:val="16"/>
          <w:szCs w:val="16"/>
        </w:rPr>
        <w:softHyphen/>
        <w:t>бря 1940 испытания И-135 продолжил летчик В.П. Фе</w:t>
      </w:r>
      <w:r w:rsidRPr="00A3026E">
        <w:rPr>
          <w:rFonts w:ascii="Times New Roman" w:hAnsi="Times New Roman"/>
          <w:color w:val="000000" w:themeColor="text1"/>
          <w:sz w:val="16"/>
          <w:szCs w:val="16"/>
        </w:rPr>
        <w:softHyphen/>
        <w:t>доров. В полетах была получена мак</w:t>
      </w:r>
      <w:r w:rsidRPr="00A3026E">
        <w:rPr>
          <w:rFonts w:ascii="Times New Roman" w:hAnsi="Times New Roman"/>
          <w:color w:val="000000" w:themeColor="text1"/>
          <w:sz w:val="16"/>
          <w:szCs w:val="16"/>
        </w:rPr>
        <w:softHyphen/>
        <w:t>симальная скорость 580 км/ч на высоте 4000 м, но в январе 1941 г. вышли из строя ТК-2 (обгорели лопатки турбины). Пока ТК ремонтировались в ЦИАМ, на са</w:t>
      </w:r>
      <w:r w:rsidRPr="00A3026E">
        <w:rPr>
          <w:rFonts w:ascii="Times New Roman" w:hAnsi="Times New Roman"/>
          <w:color w:val="000000" w:themeColor="text1"/>
          <w:sz w:val="16"/>
          <w:szCs w:val="16"/>
        </w:rPr>
        <w:softHyphen/>
        <w:t>молете выполнили доработку маслоси- стемы и в феврале продолжили полеты без ТК. С 10 марта на самолете устанав</w:t>
      </w:r>
      <w:r w:rsidRPr="00A3026E">
        <w:rPr>
          <w:rFonts w:ascii="Times New Roman" w:hAnsi="Times New Roman"/>
          <w:color w:val="000000" w:themeColor="text1"/>
          <w:sz w:val="16"/>
          <w:szCs w:val="16"/>
        </w:rPr>
        <w:softHyphen/>
        <w:t>ливали новые ТК, и к 21 апреля 1941 г. он был готов продолжать летные испыта</w:t>
      </w:r>
      <w:r w:rsidRPr="00A3026E">
        <w:rPr>
          <w:rFonts w:ascii="Times New Roman" w:hAnsi="Times New Roman"/>
          <w:color w:val="000000" w:themeColor="text1"/>
          <w:sz w:val="16"/>
          <w:szCs w:val="16"/>
        </w:rPr>
        <w:softHyphen/>
        <w:t>ния. К этому времени был закончен в по</w:t>
      </w:r>
      <w:r w:rsidRPr="00A3026E">
        <w:rPr>
          <w:rFonts w:ascii="Times New Roman" w:hAnsi="Times New Roman"/>
          <w:color w:val="000000" w:themeColor="text1"/>
          <w:sz w:val="16"/>
          <w:szCs w:val="16"/>
        </w:rPr>
        <w:softHyphen/>
        <w:t>стройке и подготовлен к испытаниям вто</w:t>
      </w:r>
      <w:r w:rsidRPr="00A3026E">
        <w:rPr>
          <w:rFonts w:ascii="Times New Roman" w:hAnsi="Times New Roman"/>
          <w:color w:val="000000" w:themeColor="text1"/>
          <w:sz w:val="16"/>
          <w:szCs w:val="16"/>
        </w:rPr>
        <w:softHyphen/>
        <w:t>рой экземпляр И-135. Но к этому времени они давно потеряли актуальность - все заводы НКАП были загружены выпуском более удачливых конкурентов, и в осталь</w:t>
      </w:r>
      <w:r w:rsidRPr="00A3026E">
        <w:rPr>
          <w:rFonts w:ascii="Times New Roman" w:hAnsi="Times New Roman"/>
          <w:color w:val="000000" w:themeColor="text1"/>
          <w:sz w:val="16"/>
          <w:szCs w:val="16"/>
        </w:rPr>
        <w:softHyphen/>
        <w:t>ных уже не было необходимости.</w:t>
      </w:r>
    </w:p>
    <w:p w14:paraId="41F869EB" w14:textId="77777777" w:rsidR="00906CFA" w:rsidRPr="00A3026E" w:rsidRDefault="00906CFA" w:rsidP="00A3026E">
      <w:pPr>
        <w:spacing w:after="0" w:line="240" w:lineRule="auto"/>
        <w:jc w:val="both"/>
        <w:rPr>
          <w:rFonts w:ascii="Times New Roman" w:hAnsi="Times New Roman"/>
          <w:color w:val="000000" w:themeColor="text1"/>
          <w:sz w:val="16"/>
          <w:szCs w:val="16"/>
        </w:rPr>
      </w:pPr>
    </w:p>
    <w:p w14:paraId="720432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испытания И-135 возобновились. Из-за болезни П.М.Попельнюшенко даль</w:t>
      </w:r>
      <w:r w:rsidRPr="00A3026E">
        <w:rPr>
          <w:rFonts w:ascii="Times New Roman" w:hAnsi="Times New Roman"/>
          <w:color w:val="000000" w:themeColor="text1"/>
          <w:sz w:val="16"/>
          <w:szCs w:val="16"/>
        </w:rPr>
        <w:softHyphen/>
        <w:t>нейшие полеты продолжил летчик-испытатель В.П.Федоров. До конца 1940 года по программе испыта</w:t>
      </w:r>
      <w:r w:rsidRPr="00A3026E">
        <w:rPr>
          <w:rFonts w:ascii="Times New Roman" w:hAnsi="Times New Roman"/>
          <w:color w:val="000000" w:themeColor="text1"/>
          <w:sz w:val="16"/>
          <w:szCs w:val="16"/>
        </w:rPr>
        <w:softHyphen/>
        <w:t>ний были выполнены следующие работы:</w:t>
      </w:r>
    </w:p>
    <w:p w14:paraId="2610CD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определены взлетно-посадоч</w:t>
      </w:r>
      <w:r w:rsidRPr="00A3026E">
        <w:rPr>
          <w:rFonts w:ascii="Times New Roman" w:hAnsi="Times New Roman"/>
          <w:color w:val="000000" w:themeColor="text1"/>
          <w:sz w:val="16"/>
          <w:szCs w:val="16"/>
        </w:rPr>
        <w:softHyphen/>
        <w:t>ные характеристиками;</w:t>
      </w:r>
    </w:p>
    <w:p w14:paraId="6DB24C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сняты балансировочные кри</w:t>
      </w:r>
      <w:r w:rsidRPr="00A3026E">
        <w:rPr>
          <w:rFonts w:ascii="Times New Roman" w:hAnsi="Times New Roman"/>
          <w:color w:val="000000" w:themeColor="text1"/>
          <w:sz w:val="16"/>
          <w:szCs w:val="16"/>
        </w:rPr>
        <w:softHyphen/>
        <w:t>вые в горизонтальном полете, при планировании и при наборе высо</w:t>
      </w:r>
      <w:r w:rsidRPr="00A3026E">
        <w:rPr>
          <w:rFonts w:ascii="Times New Roman" w:hAnsi="Times New Roman"/>
          <w:color w:val="000000" w:themeColor="text1"/>
          <w:sz w:val="16"/>
          <w:szCs w:val="16"/>
        </w:rPr>
        <w:softHyphen/>
        <w:t>ты;</w:t>
      </w:r>
    </w:p>
    <w:p w14:paraId="6C36D0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сняты максимальные скорости на высотах до 6000 м. (зафиксирова</w:t>
      </w:r>
      <w:r w:rsidRPr="00A3026E">
        <w:rPr>
          <w:rFonts w:ascii="Times New Roman" w:hAnsi="Times New Roman"/>
          <w:color w:val="000000" w:themeColor="text1"/>
          <w:sz w:val="16"/>
          <w:szCs w:val="16"/>
        </w:rPr>
        <w:softHyphen/>
        <w:t>на максимальная скорость 580 км/ч на высоте 4000 м);</w:t>
      </w:r>
    </w:p>
    <w:p w14:paraId="0DEA3A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определена скороподъемность до 5000 м;</w:t>
      </w:r>
    </w:p>
    <w:p w14:paraId="6DD27B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проведено испытание на флат</w:t>
      </w:r>
      <w:r w:rsidRPr="00A3026E">
        <w:rPr>
          <w:rFonts w:ascii="Times New Roman" w:hAnsi="Times New Roman"/>
          <w:color w:val="000000" w:themeColor="text1"/>
          <w:sz w:val="16"/>
          <w:szCs w:val="16"/>
        </w:rPr>
        <w:softHyphen/>
        <w:t>тер и бафтинг в диапазоне скорос</w:t>
      </w:r>
      <w:r w:rsidRPr="00A3026E">
        <w:rPr>
          <w:rFonts w:ascii="Times New Roman" w:hAnsi="Times New Roman"/>
          <w:color w:val="000000" w:themeColor="text1"/>
          <w:sz w:val="16"/>
          <w:szCs w:val="16"/>
        </w:rPr>
        <w:softHyphen/>
        <w:t>тей от 150 до 600 км/ч по прибору;</w:t>
      </w:r>
    </w:p>
    <w:p w14:paraId="3ED85F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произведен отстрел оружия в тире.</w:t>
      </w:r>
    </w:p>
    <w:p w14:paraId="0DD28E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летных испытаний само</w:t>
      </w:r>
      <w:r w:rsidRPr="00A3026E">
        <w:rPr>
          <w:rFonts w:ascii="Times New Roman" w:hAnsi="Times New Roman"/>
          <w:color w:val="000000" w:themeColor="text1"/>
          <w:sz w:val="16"/>
          <w:szCs w:val="16"/>
        </w:rPr>
        <w:softHyphen/>
        <w:t>лет Су-1 показал хорошую продоль</w:t>
      </w:r>
      <w:r w:rsidRPr="00A3026E">
        <w:rPr>
          <w:rFonts w:ascii="Times New Roman" w:hAnsi="Times New Roman"/>
          <w:color w:val="000000" w:themeColor="text1"/>
          <w:sz w:val="16"/>
          <w:szCs w:val="16"/>
        </w:rPr>
        <w:softHyphen/>
        <w:t>ную и поперечную устойчивость. Взлет и посадка отличались просто</w:t>
      </w:r>
      <w:r w:rsidRPr="00A3026E">
        <w:rPr>
          <w:rFonts w:ascii="Times New Roman" w:hAnsi="Times New Roman"/>
          <w:color w:val="000000" w:themeColor="text1"/>
          <w:sz w:val="16"/>
          <w:szCs w:val="16"/>
        </w:rPr>
        <w:softHyphen/>
        <w:t>той и никаких особенностей не име</w:t>
      </w:r>
      <w:r w:rsidRPr="00A3026E">
        <w:rPr>
          <w:rFonts w:ascii="Times New Roman" w:hAnsi="Times New Roman"/>
          <w:color w:val="000000" w:themeColor="text1"/>
          <w:sz w:val="16"/>
          <w:szCs w:val="16"/>
        </w:rPr>
        <w:softHyphen/>
        <w:t>ли. Усилия на ручку и педали - нор</w:t>
      </w:r>
      <w:r w:rsidRPr="00A3026E">
        <w:rPr>
          <w:rFonts w:ascii="Times New Roman" w:hAnsi="Times New Roman"/>
          <w:color w:val="000000" w:themeColor="text1"/>
          <w:sz w:val="16"/>
          <w:szCs w:val="16"/>
        </w:rPr>
        <w:softHyphen/>
        <w:t>мальные (11847).</w:t>
      </w:r>
    </w:p>
    <w:p w14:paraId="61A349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03B1E3C"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испытания И-135 (Су-1) возобновились. Из-за болезни П.М.Попельнюшенко дальнейшие полеты продолжил летчик-испытатель В.П.Федоров. До конца 1940 года по программе испытаний были выполнены следующие работы:</w:t>
      </w:r>
    </w:p>
    <w:p w14:paraId="0703CA4D"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определены взлетно-посадочные характеристиками;</w:t>
      </w:r>
    </w:p>
    <w:p w14:paraId="3774B208"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сняты балансировочные кривые в горизонтальном полете, при планировании и при наборе высоты;</w:t>
      </w:r>
    </w:p>
    <w:p w14:paraId="12DEB061"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сняты максимальные скорости на высотах до 6000 м. (зафиксирована максимальная скорость 580 км/ч на высоте 4000 м);</w:t>
      </w:r>
    </w:p>
    <w:p w14:paraId="04213A0E"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определена скороподъемность до 5000 м;</w:t>
      </w:r>
    </w:p>
    <w:p w14:paraId="09BCE323"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проведено испытание на флаттер и бафтинг в диапазоне скоростей от 150 до 600 км/ч по прибору;</w:t>
      </w:r>
    </w:p>
    <w:p w14:paraId="2E626419"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 отстрел оружия в тире.</w:t>
      </w:r>
    </w:p>
    <w:p w14:paraId="0FA6D745"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летных испытаний самолет Су-1 показал хорошую продольную и поперечную устойчивость. Взлет и посадка отличались простотой и никаких особенностей не имели. Усилия на ручку и педали – нормальные (15578).</w:t>
      </w:r>
    </w:p>
    <w:p w14:paraId="0E9D30C9" w14:textId="77777777" w:rsidR="0048608B" w:rsidRPr="00A3026E" w:rsidRDefault="0048608B" w:rsidP="00A3026E">
      <w:pPr>
        <w:spacing w:after="0" w:line="240" w:lineRule="auto"/>
        <w:jc w:val="both"/>
        <w:rPr>
          <w:rFonts w:ascii="Times New Roman" w:hAnsi="Times New Roman"/>
          <w:color w:val="000000" w:themeColor="text1"/>
          <w:sz w:val="16"/>
          <w:szCs w:val="16"/>
        </w:rPr>
      </w:pPr>
    </w:p>
    <w:p w14:paraId="3F6543C5"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начались воздушные стрельбы на втором ИП-21 — летчик Большаков произвел в воздухе 76 выстрелов из пушки. Однако уже 14 ноября все прекратилось, причины указывались следующие: «Испытания вооружения в воздухе не закончены ввиду отлета в Москву по приказанию начальника ГУ ВВС РККА генерал-лейтенанта авиации Рычагова» (15561).</w:t>
      </w:r>
    </w:p>
    <w:p w14:paraId="2AE5B19D" w14:textId="77777777" w:rsidR="0048608B" w:rsidRPr="00A3026E" w:rsidRDefault="0048608B" w:rsidP="00A3026E">
      <w:pPr>
        <w:spacing w:after="0" w:line="240" w:lineRule="auto"/>
        <w:jc w:val="both"/>
        <w:rPr>
          <w:rFonts w:ascii="Times New Roman" w:hAnsi="Times New Roman"/>
          <w:color w:val="000000" w:themeColor="text1"/>
          <w:sz w:val="16"/>
          <w:szCs w:val="16"/>
        </w:rPr>
      </w:pPr>
    </w:p>
    <w:p w14:paraId="48DB8DBB" w14:textId="77777777" w:rsidR="00893AC8" w:rsidRPr="00A3026E" w:rsidRDefault="00893AC8"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 ноября 1940 г. Г.М. Шиянов поднял машину СК-2 в полёт. Испытания проводились с колёсным шасси. Не обошлось без происшествий. 6 декабря при выпуске шасси лётчик, не рассчитав силы, вырвал ручку с тросиком гидропривода шасси и вынужден был сажать самолёт на живот на скорости около 200 км/час. К аварийной посадке готовились и пожарные, и санитарные машины, но она оказалась на удивление удачной. Повреждения были невелики, и через 10 дней машина снова была в воздухе. 17 января А.Н. Гринчик, впервые пилотировавший СК 2, при пробеге после посадки сошёл с очищенной от снега полосы аэродрома, самолёт зарылся в сугроб, скапотировал и погнул винт. Винт сменили, и 29 января полёты продолжили (17489).</w:t>
      </w:r>
    </w:p>
    <w:p w14:paraId="29D91388" w14:textId="77777777" w:rsidR="00893AC8" w:rsidRPr="00A3026E" w:rsidRDefault="00893AC8" w:rsidP="00A3026E">
      <w:pPr>
        <w:spacing w:after="0" w:line="240" w:lineRule="auto"/>
        <w:jc w:val="both"/>
        <w:rPr>
          <w:rFonts w:ascii="Times New Roman" w:eastAsia="Times New Roman" w:hAnsi="Times New Roman"/>
          <w:color w:val="000000" w:themeColor="text1"/>
          <w:sz w:val="16"/>
          <w:szCs w:val="16"/>
          <w:lang w:eastAsia="ru-RU"/>
        </w:rPr>
      </w:pPr>
    </w:p>
    <w:p w14:paraId="07CEFE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Нач. НИИ ВВС А.И.Филин утвердил Отчет о 50 часовых летных испытаниях АМ-35А на И-200, которые состоялись с 4 сентября по 17 октября 1940 (841).</w:t>
      </w:r>
    </w:p>
    <w:p w14:paraId="2B0C39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 м А.А.Автономов</w:t>
      </w:r>
    </w:p>
    <w:p w14:paraId="0F1979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стл И.М.Савченко</w:t>
      </w:r>
    </w:p>
    <w:p w14:paraId="5F4E4E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 Н.М.Милославский</w:t>
      </w:r>
    </w:p>
    <w:p w14:paraId="5A2700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вт2р Чернибыл</w:t>
      </w:r>
    </w:p>
    <w:p w14:paraId="2558C8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 вт1р Ф.Щукин</w:t>
      </w:r>
    </w:p>
    <w:p w14:paraId="5A1B07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9E993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Мотор АМ-35А № 7 специальные 50-часовые летные испытания в НИИ ВВС КА из-за аварии нагнетателя не прошел.</w:t>
      </w:r>
    </w:p>
    <w:p w14:paraId="70BD14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Просить Нач. 8 ГУ НКАП не позднее 1 января 1941 предъявить в НИИ ВВС мотор АМ-35А с измененным нагнетателем на с-те И-2000 на повторные специальные 50-часовые летные испытания</w:t>
      </w:r>
    </w:p>
    <w:p w14:paraId="20B80F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Подписали: Левин, Сидорин 20 октября 1940</w:t>
      </w:r>
    </w:p>
    <w:p w14:paraId="503BFD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Вывод:</w:t>
      </w:r>
    </w:p>
    <w:p w14:paraId="2885C1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24 часу работы в воздухе произошла авария нагнетателя - разрушилась опора валика крыльчатки нагнетателя:</w:t>
      </w:r>
    </w:p>
    <w:p w14:paraId="2E61EA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маслосистема с-та И-200 не обеспечивает нормальной подачи масла в мотор при обратной перегрузке (вход в пикирование с лета)</w:t>
      </w:r>
    </w:p>
    <w:p w14:paraId="7D6ED0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водорадиатор с трубкой диаметром 8 мм работает ненадежно, потек</w:t>
      </w:r>
    </w:p>
    <w:p w14:paraId="1F4287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винт не сохраняет обороты в горизонтальном полете на высоте 7000 м и дает раскрутку на пикировании с газом и без газа</w:t>
      </w:r>
    </w:p>
    <w:p w14:paraId="5649F7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редукция для с-та не подобрана (надо 0,92 изменить на более низкую). Следует испытать с-т с редукцией 0,732 (841).</w:t>
      </w:r>
    </w:p>
    <w:p w14:paraId="6E97EF7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5CB5D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приказом НКАП N 624 С.А.Л. назначили ГК завода 23 (862).</w:t>
      </w:r>
    </w:p>
    <w:p w14:paraId="75D3035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B34CA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зам. НКАП Хруничев писал письмо № 6455 Зам. Наркома Торговли Ковалеву:</w:t>
      </w:r>
    </w:p>
    <w:p w14:paraId="734A31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Письмом от 31 октября 1940 за № Н-39/2813 вам сообщены контингенты работающих по з-м № 382 в Могилеве и № 383 в Минске, которые переведены на закрытую форму торговли. Следует считать в г. Могилеве з-д 459 вместо з-да 382 и в г. Минске з-д 453 вместо з-да 383 (418, 262).</w:t>
      </w:r>
    </w:p>
    <w:p w14:paraId="006B04C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A233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В.М.М. отправился в Берлин (2536,180).</w:t>
      </w:r>
    </w:p>
    <w:p w14:paraId="7D8DA33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BB2F03" w14:textId="77777777" w:rsidR="00906CFA" w:rsidRPr="00A3026E" w:rsidRDefault="00906CFA"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510766F9" w14:textId="77777777" w:rsidR="00906CFA" w:rsidRPr="00A3026E" w:rsidRDefault="00906CFA" w:rsidP="00A3026E">
      <w:pPr>
        <w:spacing w:after="0" w:line="240" w:lineRule="auto"/>
        <w:jc w:val="both"/>
        <w:rPr>
          <w:rFonts w:ascii="Times New Roman" w:hAnsi="Times New Roman"/>
          <w:iCs/>
          <w:color w:val="000000" w:themeColor="text1"/>
          <w:sz w:val="16"/>
          <w:szCs w:val="16"/>
        </w:rPr>
      </w:pPr>
    </w:p>
    <w:p w14:paraId="240632FA"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г. на НИИБТ состоялись испытания стрельбой Т-34 № 608-01, 423-41 и 547-29, на время испытаний эти машины получили условные наименования «танк № 1», «танк № 2» и «танк № 3», и уже на первом этапе по определению кучности стрельбы пушки Л-11, после повторного не полного (до 120 мм) наката, вызванного отказом в работе ножного спуска пушки, танк № 2 был отправлен для устранения неисправности. В связи с этим решение огневой задачи, возлагавшейся на танковый взвод, пришлось выполнять только двум танкам – № 1 и № 3. </w:t>
      </w:r>
    </w:p>
    <w:p w14:paraId="1CDE7677"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Ровно 15 минут потребовалось сокращённому взводу для выполнения поставленной задачи. Танком № 1 с дистанции 400 м при стрельбе с короткой остановки по противотанковому препятствию типа эскарп было израсходовано 10 снарядов, 4 из них попали точно в цель. По второй цели (группа надолб) с дистанции 300 м было произведено 15 выстрелов. В результате 4 прямых попаданий 3 надолба было сбито. </w:t>
      </w:r>
    </w:p>
    <w:p w14:paraId="1D737E50"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стрельбы у экипажа танка № 3 оказались несколько скромнее: из 12 снарядов, выпущенных по полковой батарее, расположенной на дистанции 1000 м, только один снаряд попал точно в цель, и ещё два снаряда разорвались в радиусе 10 – 15 м от неё. Из 6 снарядов, направленных на уничтожение противотанкового орудия, находившегося на удалении 800 м от танка, только один снаряд разорвался в радиусе 10 – 15 м от цели. При стрельбе по ДОТу, расположенному на дистанции 400 м, из 6 выпущенных снарядов в «зачётный круг» не попал ни один. </w:t>
      </w:r>
    </w:p>
    <w:p w14:paraId="72C176AF"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следующий день после стрельбы, 11 ноября 1940 г., на НИ полигоне ГАБТУ КА были проведены испытания танков Т-34 по преодолению естественных препятствий. В результате испытаний были получены следующие показатели проходимости танка Т-34 в осенних условиях: </w:t>
      </w:r>
    </w:p>
    <w:p w14:paraId="02F31D8D"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«Подъемы и косогоры:</w:t>
      </w:r>
    </w:p>
    <w:p w14:paraId="43C15502"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Водные преграды:</w:t>
      </w:r>
    </w:p>
    <w:p w14:paraId="6AE6FCB3"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преодолевает вброд водные преграды глубиной 1,25 – 1,3 мтр. при твердом грунте дна. Крутизны выхода не должна превышать 20 – 25°, крутизна входа 30 – 35°. </w:t>
      </w:r>
    </w:p>
    <w:p w14:paraId="3A79611B"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Заболоченные участки:</w:t>
      </w:r>
    </w:p>
    <w:p w14:paraId="5D8F08DF"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Торфяное болото с плотным покровом толщиной 0,5 – 0,8 мтр. (выдерживающим лошадь) танк не преодолевает. Гусеницы прорезают покров, и танк вывешивается на днище. При одностороннем погружении имеют место выходы гребней траков из опорных колес (на не погруженной гусенице)».</w:t>
      </w:r>
    </w:p>
    <w:p w14:paraId="53543877"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72 – 73]</w:t>
      </w:r>
    </w:p>
    <w:p w14:paraId="610704D2"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итоге специалистами НИ полигона ГАБТУ КА был сделан вывод о том, что проходимость танка Т-34 в осенних условиях неудовлетворительная по следующим причинам: </w:t>
      </w:r>
    </w:p>
    <w:p w14:paraId="6550D317"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Входящая в зацепление с грунтом поверхность трака недостаточно развита (малый коэффициент зацепления), следствием чего является буксование гусениц на подъемах даже при незначительно влажном покрове. Эффективность входящих в комплект шпор незначительна. </w:t>
      </w:r>
    </w:p>
    <w:p w14:paraId="68BEFB49"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Фиксация гусеницы в опорных колесах ненадежна вследствие малого количества опорных колес и постоянно возникающей слабины гусениц (от износов). Ненадежность фиксации гусениц лимитирует преодоление косогоров – при движении с креном свыше 20 – 23° при поворотах гусеница "сваливается". Сваливание гусениц отмечено так же при преодолении канав под углом менее 90°. </w:t>
      </w:r>
    </w:p>
    <w:p w14:paraId="01BB08DF"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Малое количество опорных колес, помимо изложенного в § 2, отрицательно влияет на проходимость по заболоченным участкам, несмотря на небольшое общее удельное давление».</w:t>
      </w:r>
    </w:p>
    <w:p w14:paraId="7F501552"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73 – 74]</w:t>
      </w:r>
    </w:p>
    <w:p w14:paraId="3E4EE17A"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Возможности танка Т-34 по преодолению водных преград вброд, напротив, специалистами полигона были признаны вполне удовлетворительными. </w:t>
      </w:r>
    </w:p>
    <w:p w14:paraId="732CEB72"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этот же день, 11 ноября 1940 г., на полигоне состоялись испытания по определению силы тяги и буксировочных возможностей танка Т-34. В качестве буксируемого (тормозного) приспособления использовался плуг-канавокопатель конструкции НИИТ КА. Испытания проводились по следующей методике: </w:t>
      </w:r>
    </w:p>
    <w:p w14:paraId="1D51645C"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буксирных цепях между испытываемым танком и буксирным тормозным приспособлением (плуг-канавокопатель) подвешивался пружинный динамометр "Амслер" на 1000 кгр. </w:t>
      </w:r>
    </w:p>
    <w:p w14:paraId="5683DF48"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Торможение испытываемого танка производилось путем постепенного опускания лемеха канавокопателя в грунт, до необходимой загрузки. </w:t>
      </w:r>
    </w:p>
    <w:p w14:paraId="1C19C066"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Испытание проводилось на горизонтальных участках. </w:t>
      </w:r>
    </w:p>
    <w:p w14:paraId="22F6CA78"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Сила тяги на крюке замерялась при движении танков на 1 и 2 передачах. Буксировка танками прицепного груза на асфальтовом шоссе производилась на 2 и 3 передачах. </w:t>
      </w:r>
    </w:p>
    <w:p w14:paraId="70C22705"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Обработка диаграмм динамометра производилась по среднеарифметической величине из данных 2-х заездов».</w:t>
      </w:r>
    </w:p>
    <w:p w14:paraId="635FEB51"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1853. Л. 7]</w:t>
      </w:r>
    </w:p>
    <w:p w14:paraId="71D3700B"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испытаний было установлено, что тяговое усилие на крюке при движении танка Т-34 по проселочной дороге на 1-й передаче составляет 6,70 тс, а при движении на 2-й передаче при частоте вращения коленчатого вала двигателя 550 оборотов в минуту – 8,75 тс. </w:t>
      </w:r>
    </w:p>
    <w:p w14:paraId="577E4C3B"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11 ноября 1940 г. на полигоне были проведены испытания средств связи танков Т-34, в ходе которых было определено, что дальность связи с помощью радиостанции 73-ТК-3 через микрофон, во время движения обоих машин не превышает 10 км, а во время стоянки составляет 15 – 18 км. При этом были выявлены следующие основные недостатки установки радиостанции в носовой части корпуса танка Т-34: </w:t>
      </w:r>
    </w:p>
    <w:p w14:paraId="233F658D"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 приемником очень трудно оперировать (слишком низко и глубоко расположен). </w:t>
      </w:r>
    </w:p>
    <w:p w14:paraId="52279E33"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Антенна при подъеме цепляет за запдетали, расположенные на [надгусеничной] полке. </w:t>
      </w:r>
    </w:p>
    <w:p w14:paraId="54ECEB69"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ходу танка по шоссе получается сильное дробление слов при приеме. </w:t>
      </w:r>
    </w:p>
    <w:p w14:paraId="200FEFAA"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Ручным регулятором напряжения пользоваться невозможно из-за неудачного расположения (не виден вольтметр)».</w:t>
      </w:r>
    </w:p>
    <w:p w14:paraId="1E6A2267"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1182. Л. 140 – 141]</w:t>
      </w:r>
    </w:p>
    <w:p w14:paraId="68B6947E"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двух последующих дней, 12 и 13 ноября 1940 г., танки готовились к дальнейшему пробегу – силами экипажей и группы ремонтников производилось их техническое обслуживание и ремонт. (18173)</w:t>
      </w:r>
    </w:p>
    <w:p w14:paraId="3F6BA620" w14:textId="77777777" w:rsidR="00906CFA" w:rsidRPr="00A3026E" w:rsidRDefault="00906CFA" w:rsidP="00A3026E">
      <w:pPr>
        <w:spacing w:after="0" w:line="240" w:lineRule="auto"/>
        <w:jc w:val="both"/>
        <w:rPr>
          <w:rFonts w:ascii="Times New Roman" w:hAnsi="Times New Roman"/>
          <w:color w:val="000000" w:themeColor="text1"/>
          <w:sz w:val="16"/>
          <w:szCs w:val="16"/>
        </w:rPr>
      </w:pPr>
    </w:p>
    <w:p w14:paraId="1FD0F93C"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10 ноября 1940 г., как следует из </w:t>
      </w:r>
      <w:hyperlink r:id="rId87" w:tgtFrame="_blank" w:history="1">
        <w:r w:rsidRPr="00A3026E">
          <w:rPr>
            <w:rStyle w:val="a5"/>
            <w:rFonts w:ascii="Times New Roman" w:hAnsi="Times New Roman"/>
            <w:color w:val="000000" w:themeColor="text1"/>
            <w:sz w:val="16"/>
            <w:szCs w:val="16"/>
          </w:rPr>
          <w:t>декадной сводки № 625с</w:t>
        </w:r>
      </w:hyperlink>
      <w:r w:rsidRPr="00A3026E">
        <w:rPr>
          <w:rFonts w:ascii="Times New Roman" w:hAnsi="Times New Roman"/>
          <w:color w:val="000000" w:themeColor="text1"/>
          <w:sz w:val="16"/>
          <w:szCs w:val="16"/>
        </w:rPr>
        <w:t> «О ходе подготовки производства серийного выпуска машин А-34 на заводе № 183», из разработанных 2495 технологических процессов было обеспечено оснасткой и внедрено в производство всего лишь 1494 техпроцесса (19206). </w:t>
      </w:r>
    </w:p>
    <w:p w14:paraId="2EF643F2" w14:textId="77777777" w:rsidR="00906CFA" w:rsidRPr="00A3026E" w:rsidRDefault="00906CFA" w:rsidP="00A3026E">
      <w:pPr>
        <w:spacing w:after="0" w:line="240" w:lineRule="auto"/>
        <w:jc w:val="both"/>
        <w:rPr>
          <w:rFonts w:ascii="Times New Roman" w:hAnsi="Times New Roman"/>
          <w:color w:val="000000" w:themeColor="text1"/>
          <w:sz w:val="16"/>
          <w:szCs w:val="16"/>
        </w:rPr>
      </w:pPr>
    </w:p>
    <w:p w14:paraId="389969E4"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10 ноября 1940 г., как следует из </w:t>
      </w:r>
      <w:hyperlink r:id="rId88" w:tgtFrame="_blank" w:history="1">
        <w:r w:rsidRPr="00A3026E">
          <w:rPr>
            <w:rStyle w:val="a5"/>
            <w:rFonts w:ascii="Times New Roman" w:hAnsi="Times New Roman"/>
            <w:color w:val="000000" w:themeColor="text1"/>
            <w:sz w:val="16"/>
            <w:szCs w:val="16"/>
          </w:rPr>
          <w:t>декадной сводки № 625с</w:t>
        </w:r>
      </w:hyperlink>
      <w:r w:rsidRPr="00A3026E">
        <w:rPr>
          <w:rFonts w:ascii="Times New Roman" w:hAnsi="Times New Roman"/>
          <w:color w:val="000000" w:themeColor="text1"/>
          <w:sz w:val="16"/>
          <w:szCs w:val="16"/>
        </w:rPr>
        <w:t> «О ходе подготовки производства серийного выпуска машин А-34 на заводе № 183», из разработанных 2495 технологических процессов было обеспечено оснасткой и внедрено в производство всего лишь 1494 техпроцесса. </w:t>
      </w:r>
    </w:p>
    <w:p w14:paraId="70801489"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октябре 1940 г. военпредовские испытания большим пробегом прошли 32 танка Т-34, из которых 11 машин выдержали испытания с первого раза, и 21 машина ходила в повторный большой пробег от одного до четырех раз каждая. Помимо этого в октябре 1940 г. дополнительно испытывался контрольными пробегами от одного до пяти раз еще 31 танк Т-34, из которых 16 машин было октябрьской сборки и 15 – сентябрьской. </w:t>
      </w:r>
    </w:p>
    <w:p w14:paraId="7CA0BB42"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Наиболее массовыми дефектами, обнаруженными в ходе больших и контрольных пробегов, были следующие дефекты: </w:t>
      </w:r>
    </w:p>
    <w:p w14:paraId="3D3CDDF8"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заедание каретки 3 – 4 передачи на шлицах главного вала коробки передач; </w:t>
      </w:r>
    </w:p>
    <w:p w14:paraId="631C4AD5"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сколы цементационного слоя металла на зубьях цилиндрических шестерен коробки передач; </w:t>
      </w:r>
    </w:p>
    <w:p w14:paraId="4F6FC21E"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течь масла через концевые уплотнения главного вала коробки передач; </w:t>
      </w:r>
    </w:p>
    <w:p w14:paraId="0D76D297"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коробление дисков главного фрикциона; </w:t>
      </w:r>
    </w:p>
    <w:p w14:paraId="2279AE98"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заедание привода передачи к подкачивающему топливному насосу БНК-6 дизеля В-2 (по вине завода № 75) </w:t>
      </w:r>
    </w:p>
    <w:p w14:paraId="312BB87D"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разрывы траков (недоброкачественная отливка) и большое количество случаев выхода пальцев гусеницы из траков. </w:t>
      </w:r>
    </w:p>
    <w:p w14:paraId="755160E2"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Выполняя требования ГАБТУ КА по повышению качества и боевых свойств танка Т-34, в октябре 1940 г. в отделе «500» завода № 183 был проведен большой объем опытных и конструкторских работ (18206). </w:t>
      </w:r>
    </w:p>
    <w:p w14:paraId="4DFEB743" w14:textId="77777777" w:rsidR="00906CFA" w:rsidRPr="00A3026E" w:rsidRDefault="00906CFA" w:rsidP="00A3026E">
      <w:pPr>
        <w:spacing w:after="0" w:line="240" w:lineRule="auto"/>
        <w:jc w:val="both"/>
        <w:rPr>
          <w:rFonts w:ascii="Times New Roman" w:hAnsi="Times New Roman"/>
          <w:color w:val="000000" w:themeColor="text1"/>
          <w:sz w:val="16"/>
          <w:szCs w:val="16"/>
        </w:rPr>
      </w:pPr>
    </w:p>
    <w:p w14:paraId="3FC9543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29B18C4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B5ED9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вышло секретное постановление Политбюро "О передаче в порядке помощи немецкой стороне клише и технологии для изготовления банкнот британских фунтов-стерлингов (2536,218).</w:t>
      </w:r>
    </w:p>
    <w:p w14:paraId="20DC49E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E0BB16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1A0B24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72C0056" w14:textId="77777777" w:rsidR="00281432" w:rsidRPr="00A3026E" w:rsidRDefault="0028143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11–12 ноября (ночь) 1940 Fairey Swordfish с HMS Illustrious совершает очень успешный рейд против кораблей итальянского королевского флота (Regia Marina ) в Таранто, Италия. В результате поврежден линкор Conte di Cavour до состояния, не подлежащего ремонту, и серьезно повреждены два других, Littorio и Caio Duilio .Налет также повредил крейсер и два эсминца, потопил два вспомогательных корабля, разрушил ангары для гидросамолетов и резервуары для хранения нефти. Безусловно, это был самый успешный авианалёт с авианосцев против вражеских крупных кораблей на сегодняшний день, и это первый случай в истории, когда самолёты выводят из строя вражеский флот и изменяют баланс сил на море без посторонней помощи (20795).</w:t>
      </w:r>
    </w:p>
    <w:p w14:paraId="5E15A88D" w14:textId="77777777" w:rsidR="00281432" w:rsidRPr="00A3026E" w:rsidRDefault="00281432" w:rsidP="00A3026E">
      <w:pPr>
        <w:spacing w:after="0" w:line="240" w:lineRule="auto"/>
        <w:jc w:val="both"/>
        <w:rPr>
          <w:rFonts w:ascii="Times New Roman" w:hAnsi="Times New Roman"/>
          <w:color w:val="0070C0"/>
          <w:sz w:val="16"/>
          <w:szCs w:val="16"/>
        </w:rPr>
      </w:pPr>
    </w:p>
    <w:p w14:paraId="74F37D86" w14:textId="77777777" w:rsidR="00281432" w:rsidRPr="00A3026E" w:rsidRDefault="0028143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ноября 1940 начинаются регулярные перевозки американских военных самолетов через Атлантику (20795).</w:t>
      </w:r>
    </w:p>
    <w:p w14:paraId="3C237C9C" w14:textId="77777777" w:rsidR="00281432" w:rsidRPr="00A3026E" w:rsidRDefault="00281432" w:rsidP="00A3026E">
      <w:pPr>
        <w:spacing w:after="0" w:line="240" w:lineRule="auto"/>
        <w:jc w:val="both"/>
        <w:rPr>
          <w:rFonts w:ascii="Times New Roman" w:hAnsi="Times New Roman"/>
          <w:color w:val="0070C0"/>
          <w:sz w:val="16"/>
          <w:szCs w:val="16"/>
        </w:rPr>
      </w:pPr>
    </w:p>
    <w:p w14:paraId="6CE31D2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английская торпедная атака уничтожила значительную часть итальянского флота в Тарранто (4962).</w:t>
      </w:r>
    </w:p>
    <w:p w14:paraId="5FE38F6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8016206"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November 10/11 1940 Torpedo bomber raid cripples Italian fleet at Taranto, Italy (1050).</w:t>
      </w:r>
    </w:p>
    <w:p w14:paraId="281A4078"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12280F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(11 - 2100) ноября 1940 итальянский флот был разгромлен английскими торпедоносцами в Таранто в Италии (1797).</w:t>
      </w:r>
    </w:p>
    <w:p w14:paraId="25EADF1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E7D10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умер Чемберлен (2244,8).</w:t>
      </w:r>
    </w:p>
    <w:p w14:paraId="5EF0EEF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C0BD8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началась доставка американских самолетов из Ньюфаундленда в Северную Ирландию (2244,8).</w:t>
      </w:r>
    </w:p>
    <w:p w14:paraId="4D7EEE1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97FC4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ноября 1940 Уолт Дисней дал согласие доносить ФБР о «коммунистических элементах» в Голливуде (4962).</w:t>
      </w:r>
    </w:p>
    <w:p w14:paraId="559080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39EE30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17766C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CAF53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вышел приказ 7 ГУ N 41:</w:t>
      </w:r>
    </w:p>
    <w:p w14:paraId="6D31F2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готовности к 1 вылету самолета ББ-3 М-81 назначить комиссию..." (2031,66).</w:t>
      </w:r>
    </w:p>
    <w:p w14:paraId="3036935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8C00E28" w14:textId="77777777" w:rsidR="001E1F2E" w:rsidRPr="00A3026E" w:rsidRDefault="001E1F2E"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11 ноября 1940 Павел Осипович Сухой получили разрешение на дополнительные испытания скоростного штурмовика-бомбарди</w:t>
      </w:r>
      <w:r w:rsidRPr="00A3026E">
        <w:rPr>
          <w:rFonts w:ascii="Times New Roman" w:cs="Times New Roman"/>
          <w:color w:val="000000" w:themeColor="text1"/>
          <w:spacing w:val="0"/>
        </w:rPr>
        <w:softHyphen/>
        <w:t>ровщика ШБ - ББ-2. В их ходе 27 ноября экипаж в составе летчика Н Д Фиксона и наблюдателя - ведущего инженера 8-го отдела ЦАГИ М Д Соко</w:t>
      </w:r>
      <w:r w:rsidRPr="00A3026E">
        <w:rPr>
          <w:rFonts w:ascii="Times New Roman" w:cs="Times New Roman"/>
          <w:color w:val="000000" w:themeColor="text1"/>
          <w:spacing w:val="0"/>
        </w:rPr>
        <w:softHyphen/>
        <w:t>лова совершил вынужденную посадку на летнем аэродроме Липицы, расположен</w:t>
      </w:r>
      <w:r w:rsidRPr="00A3026E">
        <w:rPr>
          <w:rFonts w:ascii="Times New Roman" w:cs="Times New Roman"/>
          <w:color w:val="000000" w:themeColor="text1"/>
          <w:spacing w:val="0"/>
        </w:rPr>
        <w:softHyphen/>
        <w:t>ном в десяти километрах восточнее Сер</w:t>
      </w:r>
      <w:r w:rsidRPr="00A3026E">
        <w:rPr>
          <w:rFonts w:ascii="Times New Roman" w:cs="Times New Roman"/>
          <w:color w:val="000000" w:themeColor="text1"/>
          <w:spacing w:val="0"/>
        </w:rPr>
        <w:softHyphen/>
        <w:t>пухова Причиной посадки стал перегрев и выброс масла с одновременным паде</w:t>
      </w:r>
      <w:r w:rsidRPr="00A3026E">
        <w:rPr>
          <w:rFonts w:ascii="Times New Roman" w:cs="Times New Roman"/>
          <w:color w:val="000000" w:themeColor="text1"/>
          <w:spacing w:val="0"/>
        </w:rPr>
        <w:softHyphen/>
        <w:t>нием его давления 28 ноября комиссия 8-го отдела ЦАГИ осмотрела самолет и мотор, и после опробования его на всех режимах дала разрешение на перелет самолета в Раменское.</w:t>
      </w:r>
    </w:p>
    <w:p w14:paraId="3AEBF74A" w14:textId="77777777" w:rsidR="001E1F2E" w:rsidRPr="00A3026E" w:rsidRDefault="001E1F2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Через час после взлета с места вы</w:t>
      </w:r>
      <w:r w:rsidRPr="00A3026E">
        <w:rPr>
          <w:rFonts w:ascii="Times New Roman" w:hAnsi="Times New Roman"/>
          <w:color w:val="000000" w:themeColor="text1"/>
          <w:sz w:val="16"/>
          <w:szCs w:val="16"/>
        </w:rPr>
        <w:softHyphen/>
        <w:t>нужденной посадки мотор</w:t>
      </w:r>
      <w:r w:rsidRPr="00A3026E">
        <w:rPr>
          <w:rStyle w:val="aff8"/>
          <w:rFonts w:ascii="Times New Roman" w:hAnsi="Times New Roman" w:cs="Times New Roman"/>
          <w:b w:val="0"/>
          <w:color w:val="000000" w:themeColor="text1"/>
          <w:spacing w:val="0"/>
          <w:sz w:val="16"/>
          <w:szCs w:val="16"/>
        </w:rPr>
        <w:t xml:space="preserve"> М</w:t>
      </w:r>
      <w:r w:rsidRPr="00A3026E">
        <w:rPr>
          <w:rFonts w:ascii="Times New Roman" w:hAnsi="Times New Roman"/>
          <w:color w:val="000000" w:themeColor="text1"/>
          <w:sz w:val="16"/>
          <w:szCs w:val="16"/>
        </w:rPr>
        <w:t>-88 стал давать перебои, а затем совсем оста</w:t>
      </w:r>
      <w:r w:rsidRPr="00A3026E">
        <w:rPr>
          <w:rFonts w:ascii="Times New Roman" w:hAnsi="Times New Roman"/>
          <w:color w:val="000000" w:themeColor="text1"/>
          <w:sz w:val="16"/>
          <w:szCs w:val="16"/>
        </w:rPr>
        <w:softHyphen/>
        <w:t>новился Летчик совершил аварийную посадку на пашню вблизи аэродрома войсковой части в районе Подольска При приземлении Фиксон получил травму лица и попал в больницу, а на самолете были сломаны опоры шасси, погнут винт, повреждены консоли крыла, всасывающий патрубок и тоннель мас</w:t>
      </w:r>
      <w:r w:rsidRPr="00A3026E">
        <w:rPr>
          <w:rFonts w:ascii="Times New Roman" w:hAnsi="Times New Roman"/>
          <w:color w:val="000000" w:themeColor="text1"/>
          <w:sz w:val="16"/>
          <w:szCs w:val="16"/>
        </w:rPr>
        <w:softHyphen/>
        <w:t>ляного радиатора.</w:t>
      </w:r>
    </w:p>
    <w:p w14:paraId="097A94CC" w14:textId="77777777" w:rsidR="001E1F2E" w:rsidRPr="00A3026E" w:rsidRDefault="001E1F2E"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Расследование установило, что оста</w:t>
      </w:r>
      <w:r w:rsidRPr="00A3026E">
        <w:rPr>
          <w:rFonts w:ascii="Times New Roman" w:cs="Times New Roman"/>
          <w:color w:val="000000" w:themeColor="text1"/>
          <w:spacing w:val="0"/>
        </w:rPr>
        <w:softHyphen/>
        <w:t>новка мотора произошла из-за полной выработки горючего из фюзеляжного бака, при остатке около 220 л в крыль</w:t>
      </w:r>
      <w:r w:rsidRPr="00A3026E">
        <w:rPr>
          <w:rFonts w:ascii="Times New Roman" w:cs="Times New Roman"/>
          <w:color w:val="000000" w:themeColor="text1"/>
          <w:spacing w:val="0"/>
        </w:rPr>
        <w:softHyphen/>
        <w:t>евых баках, так что виновником аварии являлся Фиксон</w:t>
      </w:r>
    </w:p>
    <w:p w14:paraId="3EAB1174" w14:textId="77777777" w:rsidR="001E1F2E" w:rsidRPr="00A3026E" w:rsidRDefault="001E1F2E"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По всей видимости, самолет ШБ не восстанавливался, работы по нему пре</w:t>
      </w:r>
      <w:r w:rsidRPr="00A3026E">
        <w:rPr>
          <w:rFonts w:ascii="Times New Roman" w:cs="Times New Roman"/>
          <w:color w:val="000000" w:themeColor="text1"/>
          <w:spacing w:val="0"/>
        </w:rPr>
        <w:softHyphen/>
        <w:t>кратили постановлением СНК СССР и ЦК ВКП(б) от 16 апреля 1941 г. (19102).</w:t>
      </w:r>
    </w:p>
    <w:p w14:paraId="43C96396" w14:textId="77777777" w:rsidR="001E1F2E" w:rsidRPr="00A3026E" w:rsidRDefault="001E1F2E" w:rsidP="00A3026E">
      <w:pPr>
        <w:pStyle w:val="26"/>
        <w:shd w:val="clear" w:color="auto" w:fill="auto"/>
        <w:spacing w:after="0" w:line="240" w:lineRule="auto"/>
        <w:ind w:firstLine="0"/>
        <w:rPr>
          <w:rFonts w:ascii="Times New Roman" w:cs="Times New Roman"/>
          <w:color w:val="000000" w:themeColor="text1"/>
          <w:spacing w:val="0"/>
        </w:rPr>
      </w:pPr>
    </w:p>
    <w:p w14:paraId="1FFE40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разрешение на допол</w:t>
      </w:r>
      <w:r w:rsidRPr="00A3026E">
        <w:rPr>
          <w:rFonts w:ascii="Times New Roman" w:hAnsi="Times New Roman"/>
          <w:color w:val="000000" w:themeColor="text1"/>
          <w:sz w:val="16"/>
          <w:szCs w:val="16"/>
        </w:rPr>
        <w:softHyphen/>
        <w:t>нительные испытания ББ-2 М-88 было получено (11849).</w:t>
      </w:r>
    </w:p>
    <w:p w14:paraId="77F080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08AD1E7" w14:textId="77777777" w:rsidR="0048608B" w:rsidRPr="00A3026E" w:rsidRDefault="0048608B" w:rsidP="00A3026E">
      <w:pPr>
        <w:pStyle w:val="a3"/>
        <w:rPr>
          <w:color w:val="000000" w:themeColor="text1"/>
          <w:lang w:val="ru-RU"/>
        </w:rPr>
      </w:pPr>
      <w:r w:rsidRPr="00A3026E">
        <w:rPr>
          <w:color w:val="000000" w:themeColor="text1"/>
          <w:lang w:val="ru-RU"/>
        </w:rPr>
        <w:t>11 ноября 1940 было получено разрешение на дополнительные испытания ББ-2 М-88 (15975).</w:t>
      </w:r>
    </w:p>
    <w:p w14:paraId="48A36E0C" w14:textId="77777777" w:rsidR="0048608B" w:rsidRPr="00A3026E" w:rsidRDefault="0048608B" w:rsidP="00A3026E">
      <w:pPr>
        <w:pStyle w:val="a3"/>
        <w:rPr>
          <w:color w:val="000000" w:themeColor="text1"/>
          <w:lang w:val="ru-RU"/>
        </w:rPr>
      </w:pPr>
    </w:p>
    <w:p w14:paraId="40C1A81D" w14:textId="77777777" w:rsidR="00C66762" w:rsidRPr="00A3026E" w:rsidRDefault="00C66762" w:rsidP="00A3026E">
      <w:pPr>
        <w:pStyle w:val="a3"/>
        <w:widowControl/>
        <w:rPr>
          <w:color w:val="000000" w:themeColor="text1"/>
          <w:lang w:val="ru-RU"/>
        </w:rPr>
      </w:pPr>
      <w:r w:rsidRPr="00A3026E">
        <w:rPr>
          <w:color w:val="000000" w:themeColor="text1"/>
          <w:lang w:val="ru-RU"/>
        </w:rPr>
        <w:t>11 ноября 1940 года было подготовлено Постановление КО (проект).</w:t>
      </w:r>
    </w:p>
    <w:p w14:paraId="605B2DA2" w14:textId="77777777" w:rsidR="00C66762" w:rsidRPr="00A3026E" w:rsidRDefault="00C66762" w:rsidP="00A3026E">
      <w:pPr>
        <w:pStyle w:val="a3"/>
        <w:widowControl/>
        <w:rPr>
          <w:color w:val="000000" w:themeColor="text1"/>
          <w:lang w:val="ru-RU"/>
        </w:rPr>
      </w:pPr>
      <w:r w:rsidRPr="00A3026E">
        <w:rPr>
          <w:color w:val="000000" w:themeColor="text1"/>
          <w:lang w:val="ru-RU"/>
        </w:rPr>
        <w:t>О летно-тактических характеристиках самолетов И-200, ДИС-200, ББ-22ДИС, И-26 и И-301</w:t>
      </w:r>
    </w:p>
    <w:p w14:paraId="24F29C89" w14:textId="77777777" w:rsidR="00C66762" w:rsidRPr="00A3026E" w:rsidRDefault="00C66762" w:rsidP="00A3026E">
      <w:pPr>
        <w:pStyle w:val="a3"/>
        <w:widowControl/>
        <w:rPr>
          <w:color w:val="000000" w:themeColor="text1"/>
          <w:lang w:val="ru-RU"/>
        </w:rPr>
      </w:pPr>
      <w:r w:rsidRPr="00A3026E">
        <w:rPr>
          <w:color w:val="000000" w:themeColor="text1"/>
          <w:lang w:val="ru-RU"/>
        </w:rPr>
        <w:t>В развитие постановления ЦК ВКП(б) и СНК № 1854-773 от 2 октября 1940 года КО постановляет:</w:t>
      </w:r>
    </w:p>
    <w:p w14:paraId="0A6BF0D7" w14:textId="77777777" w:rsidR="00C66762" w:rsidRPr="00A3026E" w:rsidRDefault="00C66762" w:rsidP="00A3026E">
      <w:pPr>
        <w:pStyle w:val="a3"/>
        <w:widowControl/>
        <w:rPr>
          <w:color w:val="000000" w:themeColor="text1"/>
          <w:lang w:val="ru-RU"/>
        </w:rPr>
      </w:pPr>
      <w:r w:rsidRPr="00A3026E">
        <w:rPr>
          <w:color w:val="000000" w:themeColor="text1"/>
          <w:lang w:val="ru-RU"/>
        </w:rPr>
        <w:t>Установить следующие летно-технические характеристики:</w:t>
      </w:r>
    </w:p>
    <w:p w14:paraId="6A031D01"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Для истребителя И-200 с мотором АМ-35А (улучшенного) при дальности полета в 1000 км.</w:t>
      </w:r>
    </w:p>
    <w:p w14:paraId="147C9259" w14:textId="77777777" w:rsidR="00C66762" w:rsidRPr="00A3026E" w:rsidRDefault="00C66762" w:rsidP="00A3026E">
      <w:pPr>
        <w:pStyle w:val="a3"/>
        <w:widowControl/>
        <w:rPr>
          <w:color w:val="000000" w:themeColor="text1"/>
          <w:lang w:val="ru-RU"/>
        </w:rPr>
      </w:pPr>
      <w:r w:rsidRPr="00A3026E">
        <w:rPr>
          <w:color w:val="000000" w:themeColor="text1"/>
          <w:lang w:val="ru-RU"/>
        </w:rPr>
        <w:t>Максимальная скорость на высоте 7200 м – 628 км/час</w:t>
      </w:r>
    </w:p>
    <w:p w14:paraId="0A0711CA" w14:textId="77777777" w:rsidR="00C66762" w:rsidRPr="00A3026E" w:rsidRDefault="00C66762" w:rsidP="00A3026E">
      <w:pPr>
        <w:pStyle w:val="a3"/>
        <w:widowControl/>
        <w:rPr>
          <w:color w:val="000000" w:themeColor="text1"/>
          <w:lang w:val="ru-RU"/>
        </w:rPr>
      </w:pPr>
      <w:r w:rsidRPr="00A3026E">
        <w:rPr>
          <w:color w:val="000000" w:themeColor="text1"/>
          <w:lang w:val="ru-RU"/>
        </w:rPr>
        <w:t>Посадочная скорость – 127 км/час</w:t>
      </w:r>
    </w:p>
    <w:p w14:paraId="4C42215D" w14:textId="77777777" w:rsidR="00C66762" w:rsidRPr="00A3026E" w:rsidRDefault="00C66762" w:rsidP="00A3026E">
      <w:pPr>
        <w:pStyle w:val="a3"/>
        <w:widowControl/>
        <w:rPr>
          <w:color w:val="000000" w:themeColor="text1"/>
          <w:lang w:val="ru-RU"/>
        </w:rPr>
      </w:pPr>
      <w:r w:rsidRPr="00A3026E">
        <w:rPr>
          <w:color w:val="000000" w:themeColor="text1"/>
          <w:lang w:val="ru-RU"/>
        </w:rPr>
        <w:t>Потолок практический – 12000 м</w:t>
      </w:r>
    </w:p>
    <w:p w14:paraId="2006C25B" w14:textId="77777777" w:rsidR="00C66762" w:rsidRPr="00A3026E" w:rsidRDefault="00C66762" w:rsidP="00A3026E">
      <w:pPr>
        <w:pStyle w:val="a3"/>
        <w:widowControl/>
        <w:rPr>
          <w:color w:val="000000" w:themeColor="text1"/>
          <w:lang w:val="ru-RU"/>
        </w:rPr>
      </w:pPr>
      <w:r w:rsidRPr="00A3026E">
        <w:rPr>
          <w:color w:val="000000" w:themeColor="text1"/>
          <w:lang w:val="ru-RU"/>
        </w:rPr>
        <w:t>Время подъема на высоту 8000 м – 8,5 мин.</w:t>
      </w:r>
    </w:p>
    <w:p w14:paraId="3E5AE12B"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Для истребителя И-26 с мотором М-105П (улучшенного) при дальности полета в 1100 км.</w:t>
      </w:r>
    </w:p>
    <w:p w14:paraId="3F7D0CBB" w14:textId="77777777" w:rsidR="00C66762" w:rsidRPr="00A3026E" w:rsidRDefault="00C66762" w:rsidP="00A3026E">
      <w:pPr>
        <w:pStyle w:val="a3"/>
        <w:widowControl/>
        <w:rPr>
          <w:color w:val="000000" w:themeColor="text1"/>
          <w:lang w:val="ru-RU"/>
        </w:rPr>
      </w:pPr>
      <w:r w:rsidRPr="00A3026E">
        <w:rPr>
          <w:color w:val="000000" w:themeColor="text1"/>
          <w:lang w:val="ru-RU"/>
        </w:rPr>
        <w:t>Максимальная скорость на высоте 5000 м – 600 км/час</w:t>
      </w:r>
    </w:p>
    <w:p w14:paraId="3B5E412B" w14:textId="77777777" w:rsidR="00C66762" w:rsidRPr="00A3026E" w:rsidRDefault="00C66762" w:rsidP="00A3026E">
      <w:pPr>
        <w:pStyle w:val="a3"/>
        <w:widowControl/>
        <w:rPr>
          <w:color w:val="000000" w:themeColor="text1"/>
          <w:lang w:val="ru-RU"/>
        </w:rPr>
      </w:pPr>
      <w:r w:rsidRPr="00A3026E">
        <w:rPr>
          <w:color w:val="000000" w:themeColor="text1"/>
          <w:lang w:val="ru-RU"/>
        </w:rPr>
        <w:t>Посадочная скорость – 120 км/час</w:t>
      </w:r>
    </w:p>
    <w:p w14:paraId="29F6E34B" w14:textId="77777777" w:rsidR="00C66762" w:rsidRPr="00A3026E" w:rsidRDefault="00C66762" w:rsidP="00A3026E">
      <w:pPr>
        <w:pStyle w:val="a3"/>
        <w:widowControl/>
        <w:rPr>
          <w:color w:val="000000" w:themeColor="text1"/>
          <w:lang w:val="ru-RU"/>
        </w:rPr>
      </w:pPr>
      <w:r w:rsidRPr="00A3026E">
        <w:rPr>
          <w:color w:val="000000" w:themeColor="text1"/>
          <w:lang w:val="ru-RU"/>
        </w:rPr>
        <w:t>Потолок практический – 10000 м</w:t>
      </w:r>
    </w:p>
    <w:p w14:paraId="7F7A7175" w14:textId="77777777" w:rsidR="00C66762" w:rsidRPr="00A3026E" w:rsidRDefault="00C66762" w:rsidP="00A3026E">
      <w:pPr>
        <w:pStyle w:val="a3"/>
        <w:widowControl/>
        <w:rPr>
          <w:color w:val="000000" w:themeColor="text1"/>
          <w:lang w:val="ru-RU"/>
        </w:rPr>
      </w:pPr>
      <w:r w:rsidRPr="00A3026E">
        <w:rPr>
          <w:color w:val="000000" w:themeColor="text1"/>
          <w:lang w:val="ru-RU"/>
        </w:rPr>
        <w:t>Время подъема на высоту 5000 м – 6 мин.</w:t>
      </w:r>
    </w:p>
    <w:p w14:paraId="175FA512"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Для истребителя И-301 с мотором М-105 (улучшенного) при дальности полета в 1000 км.</w:t>
      </w:r>
    </w:p>
    <w:p w14:paraId="4B4C57EA" w14:textId="77777777" w:rsidR="00C66762" w:rsidRPr="00A3026E" w:rsidRDefault="00C66762" w:rsidP="00A3026E">
      <w:pPr>
        <w:pStyle w:val="a3"/>
        <w:widowControl/>
        <w:rPr>
          <w:color w:val="000000" w:themeColor="text1"/>
          <w:lang w:val="ru-RU"/>
        </w:rPr>
      </w:pPr>
      <w:r w:rsidRPr="00A3026E">
        <w:rPr>
          <w:color w:val="000000" w:themeColor="text1"/>
          <w:lang w:val="ru-RU"/>
        </w:rPr>
        <w:t>Максимальная скорость на высоте 5000 м – 600 км/час</w:t>
      </w:r>
    </w:p>
    <w:p w14:paraId="4AD58493" w14:textId="77777777" w:rsidR="00C66762" w:rsidRPr="00A3026E" w:rsidRDefault="00C66762" w:rsidP="00A3026E">
      <w:pPr>
        <w:pStyle w:val="a3"/>
        <w:widowControl/>
        <w:rPr>
          <w:color w:val="000000" w:themeColor="text1"/>
          <w:lang w:val="ru-RU"/>
        </w:rPr>
      </w:pPr>
      <w:r w:rsidRPr="00A3026E">
        <w:rPr>
          <w:color w:val="000000" w:themeColor="text1"/>
          <w:lang w:val="ru-RU"/>
        </w:rPr>
        <w:t>Посадочная скорость – 120 км/час</w:t>
      </w:r>
    </w:p>
    <w:p w14:paraId="7C4BC9B3" w14:textId="77777777" w:rsidR="00C66762" w:rsidRPr="00A3026E" w:rsidRDefault="00C66762" w:rsidP="00A3026E">
      <w:pPr>
        <w:pStyle w:val="a3"/>
        <w:widowControl/>
        <w:rPr>
          <w:color w:val="000000" w:themeColor="text1"/>
          <w:lang w:val="ru-RU"/>
        </w:rPr>
      </w:pPr>
      <w:r w:rsidRPr="00A3026E">
        <w:rPr>
          <w:color w:val="000000" w:themeColor="text1"/>
          <w:lang w:val="ru-RU"/>
        </w:rPr>
        <w:t>Потолок практический – 10000 м</w:t>
      </w:r>
    </w:p>
    <w:p w14:paraId="0285D11E"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Для истребителя ДИС-200 с двумя моторами АМ-37 при дальности полета не менее 2000 км.</w:t>
      </w:r>
    </w:p>
    <w:p w14:paraId="62B40D64" w14:textId="77777777" w:rsidR="00C66762" w:rsidRPr="00A3026E" w:rsidRDefault="00C66762" w:rsidP="00A3026E">
      <w:pPr>
        <w:pStyle w:val="a3"/>
        <w:widowControl/>
        <w:rPr>
          <w:color w:val="000000" w:themeColor="text1"/>
          <w:lang w:val="ru-RU"/>
        </w:rPr>
      </w:pPr>
      <w:r w:rsidRPr="00A3026E">
        <w:rPr>
          <w:color w:val="000000" w:themeColor="text1"/>
          <w:lang w:val="ru-RU"/>
        </w:rPr>
        <w:t>Максимальная скорость на высоте 7300 м – 635 км/час</w:t>
      </w:r>
    </w:p>
    <w:p w14:paraId="30729697" w14:textId="77777777" w:rsidR="00C66762" w:rsidRPr="00A3026E" w:rsidRDefault="00C66762" w:rsidP="00A3026E">
      <w:pPr>
        <w:pStyle w:val="a3"/>
        <w:widowControl/>
        <w:rPr>
          <w:color w:val="000000" w:themeColor="text1"/>
          <w:lang w:val="ru-RU"/>
        </w:rPr>
      </w:pPr>
      <w:r w:rsidRPr="00A3026E">
        <w:rPr>
          <w:color w:val="000000" w:themeColor="text1"/>
          <w:lang w:val="ru-RU"/>
        </w:rPr>
        <w:t>Посадочная скорость – 126 км/час</w:t>
      </w:r>
    </w:p>
    <w:p w14:paraId="3707E07E" w14:textId="77777777" w:rsidR="00C66762" w:rsidRPr="00A3026E" w:rsidRDefault="00C66762" w:rsidP="00A3026E">
      <w:pPr>
        <w:pStyle w:val="a3"/>
        <w:widowControl/>
        <w:rPr>
          <w:color w:val="000000" w:themeColor="text1"/>
          <w:lang w:val="ru-RU"/>
        </w:rPr>
      </w:pPr>
      <w:r w:rsidRPr="00A3026E">
        <w:rPr>
          <w:color w:val="000000" w:themeColor="text1"/>
          <w:lang w:val="ru-RU"/>
        </w:rPr>
        <w:t>Потолок практический – 10900 м</w:t>
      </w:r>
    </w:p>
    <w:p w14:paraId="443C201C" w14:textId="77777777" w:rsidR="00C66762" w:rsidRPr="00A3026E" w:rsidRDefault="00C66762" w:rsidP="00A3026E">
      <w:pPr>
        <w:pStyle w:val="a3"/>
        <w:widowControl/>
        <w:rPr>
          <w:color w:val="000000" w:themeColor="text1"/>
          <w:lang w:val="ru-RU"/>
        </w:rPr>
      </w:pPr>
      <w:r w:rsidRPr="00A3026E">
        <w:rPr>
          <w:color w:val="000000" w:themeColor="text1"/>
          <w:lang w:val="ru-RU"/>
        </w:rPr>
        <w:t>Время подъема на высоту 8000 м – 12,5 мин.</w:t>
      </w:r>
    </w:p>
    <w:p w14:paraId="51A89FF2" w14:textId="77777777" w:rsidR="00C66762" w:rsidRPr="00A3026E" w:rsidRDefault="00C66762" w:rsidP="00A3026E">
      <w:pPr>
        <w:pStyle w:val="a3"/>
        <w:widowControl/>
        <w:rPr>
          <w:color w:val="000000" w:themeColor="text1"/>
          <w:lang w:val="ru-RU"/>
        </w:rPr>
      </w:pPr>
      <w:r w:rsidRPr="00A3026E">
        <w:rPr>
          <w:color w:val="000000" w:themeColor="text1"/>
          <w:lang w:val="ru-RU"/>
        </w:rPr>
        <w:t>Вооружение:</w:t>
      </w:r>
    </w:p>
    <w:p w14:paraId="4D0CF595" w14:textId="77777777" w:rsidR="00C66762" w:rsidRPr="00A3026E" w:rsidRDefault="00C66762" w:rsidP="00A3026E">
      <w:pPr>
        <w:pStyle w:val="a3"/>
        <w:widowControl/>
        <w:rPr>
          <w:color w:val="000000" w:themeColor="text1"/>
          <w:lang w:val="ru-RU"/>
        </w:rPr>
      </w:pPr>
      <w:r w:rsidRPr="00A3026E">
        <w:rPr>
          <w:color w:val="000000" w:themeColor="text1"/>
          <w:lang w:val="ru-RU"/>
        </w:rPr>
        <w:t>4 пулемета ШКАС 7,62 мм с запасом патрон по 1200 штук на каждый</w:t>
      </w:r>
    </w:p>
    <w:p w14:paraId="053639D6" w14:textId="77777777" w:rsidR="00C66762" w:rsidRPr="00A3026E" w:rsidRDefault="00C66762" w:rsidP="00A3026E">
      <w:pPr>
        <w:pStyle w:val="a3"/>
        <w:widowControl/>
        <w:rPr>
          <w:color w:val="000000" w:themeColor="text1"/>
          <w:lang w:val="ru-RU"/>
        </w:rPr>
      </w:pPr>
      <w:r w:rsidRPr="00A3026E">
        <w:rPr>
          <w:color w:val="000000" w:themeColor="text1"/>
          <w:lang w:val="ru-RU"/>
        </w:rPr>
        <w:t>2 пулемета БС 12,7 мм с запасом патрон по 550 штук на каждый</w:t>
      </w:r>
    </w:p>
    <w:p w14:paraId="0C557F04" w14:textId="77777777" w:rsidR="00C66762" w:rsidRPr="00A3026E" w:rsidRDefault="00C66762" w:rsidP="00A3026E">
      <w:pPr>
        <w:pStyle w:val="a3"/>
        <w:widowControl/>
        <w:rPr>
          <w:color w:val="000000" w:themeColor="text1"/>
          <w:lang w:val="ru-RU"/>
        </w:rPr>
      </w:pPr>
      <w:r w:rsidRPr="00A3026E">
        <w:rPr>
          <w:color w:val="000000" w:themeColor="text1"/>
          <w:lang w:val="ru-RU"/>
        </w:rPr>
        <w:t>2 пушки Таубина 23 мм с запасом снарядов по 81 шт. на каждую</w:t>
      </w:r>
    </w:p>
    <w:p w14:paraId="46F67FBD"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Для истребителя ББ-22 ДИС с двумя моторами М-105 при дальности полета не менее 2000 км.</w:t>
      </w:r>
    </w:p>
    <w:p w14:paraId="798F53D8" w14:textId="77777777" w:rsidR="00C66762" w:rsidRPr="00A3026E" w:rsidRDefault="00C66762" w:rsidP="00A3026E">
      <w:pPr>
        <w:pStyle w:val="a3"/>
        <w:widowControl/>
        <w:rPr>
          <w:color w:val="000000" w:themeColor="text1"/>
          <w:lang w:val="ru-RU"/>
        </w:rPr>
      </w:pPr>
      <w:r w:rsidRPr="00A3026E">
        <w:rPr>
          <w:color w:val="000000" w:themeColor="text1"/>
          <w:lang w:val="ru-RU"/>
        </w:rPr>
        <w:t>Максимальная скорость на высоте 5000 м – 590 км/час</w:t>
      </w:r>
    </w:p>
    <w:p w14:paraId="0A906BAD" w14:textId="77777777" w:rsidR="00C66762" w:rsidRPr="00A3026E" w:rsidRDefault="00C66762" w:rsidP="00A3026E">
      <w:pPr>
        <w:pStyle w:val="a3"/>
        <w:widowControl/>
        <w:rPr>
          <w:color w:val="000000" w:themeColor="text1"/>
          <w:lang w:val="ru-RU"/>
        </w:rPr>
      </w:pPr>
      <w:r w:rsidRPr="00A3026E">
        <w:rPr>
          <w:color w:val="000000" w:themeColor="text1"/>
          <w:lang w:val="ru-RU"/>
        </w:rPr>
        <w:t>Посадочная скорость – 130 км/час</w:t>
      </w:r>
    </w:p>
    <w:p w14:paraId="617F7608" w14:textId="77777777" w:rsidR="00C66762" w:rsidRPr="00A3026E" w:rsidRDefault="00C66762" w:rsidP="00A3026E">
      <w:pPr>
        <w:pStyle w:val="a3"/>
        <w:widowControl/>
        <w:rPr>
          <w:color w:val="000000" w:themeColor="text1"/>
          <w:lang w:val="ru-RU"/>
        </w:rPr>
      </w:pPr>
      <w:r w:rsidRPr="00A3026E">
        <w:rPr>
          <w:color w:val="000000" w:themeColor="text1"/>
          <w:lang w:val="ru-RU"/>
        </w:rPr>
        <w:t>Потолок практический – 11000 м</w:t>
      </w:r>
    </w:p>
    <w:p w14:paraId="71DFF4DC" w14:textId="77777777" w:rsidR="00C66762" w:rsidRPr="00A3026E" w:rsidRDefault="00C66762" w:rsidP="00A3026E">
      <w:pPr>
        <w:pStyle w:val="a3"/>
        <w:widowControl/>
        <w:rPr>
          <w:color w:val="000000" w:themeColor="text1"/>
          <w:lang w:val="ru-RU"/>
        </w:rPr>
      </w:pPr>
      <w:r w:rsidRPr="00A3026E">
        <w:rPr>
          <w:color w:val="000000" w:themeColor="text1"/>
          <w:lang w:val="ru-RU"/>
        </w:rPr>
        <w:t>Время подъема на высоту 5000 м – 7,5 мин.</w:t>
      </w:r>
    </w:p>
    <w:p w14:paraId="37C1819A" w14:textId="77777777" w:rsidR="00C66762" w:rsidRPr="00A3026E" w:rsidRDefault="00C66762" w:rsidP="00A3026E">
      <w:pPr>
        <w:pStyle w:val="a3"/>
        <w:widowControl/>
        <w:rPr>
          <w:color w:val="000000" w:themeColor="text1"/>
          <w:lang w:val="ru-RU"/>
        </w:rPr>
      </w:pPr>
      <w:r w:rsidRPr="00A3026E">
        <w:rPr>
          <w:color w:val="000000" w:themeColor="text1"/>
          <w:lang w:val="ru-RU"/>
        </w:rPr>
        <w:lastRenderedPageBreak/>
        <w:t>Вооружение:</w:t>
      </w:r>
    </w:p>
    <w:p w14:paraId="1595B728" w14:textId="77777777" w:rsidR="00C66762" w:rsidRPr="00A3026E" w:rsidRDefault="00C66762" w:rsidP="00A3026E">
      <w:pPr>
        <w:pStyle w:val="a3"/>
        <w:widowControl/>
        <w:rPr>
          <w:color w:val="000000" w:themeColor="text1"/>
          <w:lang w:val="ru-RU"/>
        </w:rPr>
      </w:pPr>
      <w:r w:rsidRPr="00A3026E">
        <w:rPr>
          <w:color w:val="000000" w:themeColor="text1"/>
          <w:lang w:val="ru-RU"/>
        </w:rPr>
        <w:t>2 пушки ШВАК 20 мм с запасом снарядов по 300 штук на каждую</w:t>
      </w:r>
    </w:p>
    <w:p w14:paraId="2BA03494" w14:textId="77777777" w:rsidR="00C66762" w:rsidRPr="00A3026E" w:rsidRDefault="00C66762" w:rsidP="00A3026E">
      <w:pPr>
        <w:pStyle w:val="a3"/>
        <w:widowControl/>
        <w:rPr>
          <w:color w:val="000000" w:themeColor="text1"/>
          <w:lang w:val="ru-RU"/>
        </w:rPr>
      </w:pPr>
      <w:r w:rsidRPr="00A3026E">
        <w:rPr>
          <w:color w:val="000000" w:themeColor="text1"/>
          <w:lang w:val="ru-RU"/>
        </w:rPr>
        <w:t>3 пулемета ШКАС 7,62 мм с запасом патрон по 1500 штук на каждый (3377, 89-90).</w:t>
      </w:r>
    </w:p>
    <w:p w14:paraId="3C0DCA56" w14:textId="77777777" w:rsidR="00C66762" w:rsidRPr="00A3026E" w:rsidRDefault="00C66762" w:rsidP="00A3026E">
      <w:pPr>
        <w:pStyle w:val="a3"/>
        <w:widowControl/>
        <w:rPr>
          <w:color w:val="000000" w:themeColor="text1"/>
          <w:lang w:val="ru-RU"/>
        </w:rPr>
      </w:pPr>
    </w:p>
    <w:p w14:paraId="643FD0E8" w14:textId="77777777" w:rsidR="00281432" w:rsidRPr="00A3026E" w:rsidRDefault="0028143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11 ноября 1940 года состоялось заседа</w:t>
      </w:r>
      <w:r w:rsidRPr="00A3026E">
        <w:rPr>
          <w:rFonts w:ascii="Times New Roman" w:hAnsi="Times New Roman"/>
          <w:color w:val="0070C0"/>
          <w:sz w:val="16"/>
          <w:szCs w:val="16"/>
          <w:lang w:eastAsia="ru-RU" w:bidi="ru-RU"/>
        </w:rPr>
        <w:softHyphen/>
        <w:t>ние Технического Совета при НИИ ВВС, в рабо</w:t>
      </w:r>
      <w:r w:rsidRPr="00A3026E">
        <w:rPr>
          <w:rFonts w:ascii="Times New Roman" w:hAnsi="Times New Roman"/>
          <w:color w:val="0070C0"/>
          <w:sz w:val="16"/>
          <w:szCs w:val="16"/>
          <w:lang w:eastAsia="ru-RU" w:bidi="ru-RU"/>
        </w:rPr>
        <w:softHyphen/>
        <w:t>те которого приняли участие генералы Рыча</w:t>
      </w:r>
      <w:r w:rsidRPr="00A3026E">
        <w:rPr>
          <w:rFonts w:ascii="Times New Roman" w:hAnsi="Times New Roman"/>
          <w:color w:val="0070C0"/>
          <w:sz w:val="16"/>
          <w:szCs w:val="16"/>
          <w:lang w:eastAsia="ru-RU" w:bidi="ru-RU"/>
        </w:rPr>
        <w:softHyphen/>
        <w:t>гов, Астахов, Гусев и Федоров, представители промышленности, а также летный и инженер</w:t>
      </w:r>
      <w:r w:rsidRPr="00A3026E">
        <w:rPr>
          <w:rFonts w:ascii="Times New Roman" w:hAnsi="Times New Roman"/>
          <w:color w:val="0070C0"/>
          <w:sz w:val="16"/>
          <w:szCs w:val="16"/>
          <w:lang w:eastAsia="ru-RU" w:bidi="ru-RU"/>
        </w:rPr>
        <w:softHyphen/>
        <w:t>ный состав НИИ ВВС, участвовавший в испыта</w:t>
      </w:r>
      <w:r w:rsidRPr="00A3026E">
        <w:rPr>
          <w:rFonts w:ascii="Times New Roman" w:hAnsi="Times New Roman"/>
          <w:color w:val="0070C0"/>
          <w:sz w:val="16"/>
          <w:szCs w:val="16"/>
          <w:lang w:eastAsia="ru-RU" w:bidi="ru-RU"/>
        </w:rPr>
        <w:softHyphen/>
        <w:t>ниях ДБ-240 (Протокол № 12). Решение Тех</w:t>
      </w:r>
      <w:r w:rsidRPr="00A3026E">
        <w:rPr>
          <w:rFonts w:ascii="Times New Roman" w:hAnsi="Times New Roman"/>
          <w:color w:val="0070C0"/>
          <w:sz w:val="16"/>
          <w:szCs w:val="16"/>
          <w:lang w:eastAsia="ru-RU" w:bidi="ru-RU"/>
        </w:rPr>
        <w:softHyphen/>
        <w:t>нического Совета: «.Совет считает:</w:t>
      </w:r>
    </w:p>
    <w:p w14:paraId="7F3E50F5" w14:textId="1C68061F" w:rsidR="00281432" w:rsidRPr="00A3026E" w:rsidRDefault="00281432" w:rsidP="00A3026E">
      <w:pPr>
        <w:widowControl w:val="0"/>
        <w:tabs>
          <w:tab w:val="left" w:pos="505"/>
        </w:tabs>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а) моторы М-105 для самолета ДБ-240 являются слабыми по своей мощности и вы</w:t>
      </w:r>
      <w:r w:rsidRPr="00A3026E">
        <w:rPr>
          <w:rFonts w:ascii="Times New Roman" w:hAnsi="Times New Roman"/>
          <w:color w:val="0070C0"/>
          <w:sz w:val="16"/>
          <w:szCs w:val="16"/>
          <w:lang w:eastAsia="ru-RU" w:bidi="ru-RU"/>
        </w:rPr>
        <w:softHyphen/>
        <w:t>сотности. С моторами М-105 самолет ДБ- 240 считать переходным к самолету с более мощными моторами;</w:t>
      </w:r>
    </w:p>
    <w:p w14:paraId="14B4D0CD" w14:textId="34FCAF67" w:rsidR="00281432" w:rsidRPr="00A3026E" w:rsidRDefault="00281432" w:rsidP="00A3026E">
      <w:pPr>
        <w:widowControl w:val="0"/>
        <w:tabs>
          <w:tab w:val="left" w:pos="505"/>
        </w:tabs>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б) считать целесообразной постройку са</w:t>
      </w:r>
      <w:r w:rsidRPr="00A3026E">
        <w:rPr>
          <w:rFonts w:ascii="Times New Roman" w:hAnsi="Times New Roman"/>
          <w:color w:val="0070C0"/>
          <w:sz w:val="16"/>
          <w:szCs w:val="16"/>
          <w:lang w:eastAsia="ru-RU" w:bidi="ru-RU"/>
        </w:rPr>
        <w:softHyphen/>
        <w:t>молетов ДБ-240 под моторы АМ-35А и в даль</w:t>
      </w:r>
      <w:r w:rsidRPr="00A3026E">
        <w:rPr>
          <w:rFonts w:ascii="Times New Roman" w:hAnsi="Times New Roman"/>
          <w:color w:val="0070C0"/>
          <w:sz w:val="16"/>
          <w:szCs w:val="16"/>
          <w:lang w:eastAsia="ru-RU" w:bidi="ru-RU"/>
        </w:rPr>
        <w:softHyphen/>
        <w:t>нейшем под моторы АМ-37 или под дизели;</w:t>
      </w:r>
    </w:p>
    <w:p w14:paraId="77BAFD72" w14:textId="50529249" w:rsidR="00281432" w:rsidRPr="00A3026E" w:rsidRDefault="00281432" w:rsidP="00A3026E">
      <w:pPr>
        <w:widowControl w:val="0"/>
        <w:tabs>
          <w:tab w:val="left" w:pos="514"/>
        </w:tabs>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в) опытный экземпляр самолета ДБ-240 с М-105 необходимо немедленно передать на завод № 240 с целью установки на него к 15 декабря 1940 года моторов АМ-35А, доводки управляемости самолета и выявления его летно-технических данных..</w:t>
      </w:r>
    </w:p>
    <w:p w14:paraId="5B99E85C" w14:textId="77777777" w:rsidR="00281432" w:rsidRPr="00A3026E" w:rsidRDefault="0028143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Один из самолетов ДБ-240 2М-105 с устраненными дефектами надлежит предъ</w:t>
      </w:r>
      <w:r w:rsidRPr="00A3026E">
        <w:rPr>
          <w:rFonts w:ascii="Times New Roman" w:hAnsi="Times New Roman"/>
          <w:color w:val="0070C0"/>
          <w:sz w:val="16"/>
          <w:szCs w:val="16"/>
          <w:lang w:eastAsia="ru-RU" w:bidi="ru-RU"/>
        </w:rPr>
        <w:softHyphen/>
        <w:t>явить в НИИ ВВС на контрольные испыта</w:t>
      </w:r>
      <w:r w:rsidRPr="00A3026E">
        <w:rPr>
          <w:rFonts w:ascii="Times New Roman" w:hAnsi="Times New Roman"/>
          <w:color w:val="0070C0"/>
          <w:sz w:val="16"/>
          <w:szCs w:val="16"/>
          <w:lang w:eastAsia="ru-RU" w:bidi="ru-RU"/>
        </w:rPr>
        <w:softHyphen/>
        <w:t>ния...;</w:t>
      </w:r>
    </w:p>
    <w:p w14:paraId="3A740BA1" w14:textId="77777777" w:rsidR="00281432" w:rsidRPr="00A3026E" w:rsidRDefault="0028143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е) Технический Совет отмечает низкое качество заводских испытаний самолета ДБ-240 2М-105, в результате чего основные дефекты самолета на испытаниях не вы</w:t>
      </w:r>
      <w:r w:rsidRPr="00A3026E">
        <w:rPr>
          <w:rFonts w:ascii="Times New Roman" w:hAnsi="Times New Roman"/>
          <w:color w:val="0070C0"/>
          <w:sz w:val="16"/>
          <w:szCs w:val="16"/>
          <w:lang w:eastAsia="ru-RU" w:bidi="ru-RU"/>
        </w:rPr>
        <w:softHyphen/>
        <w:t>явлены и надлежащим образом не оценены, что привело к затяжке в их устранении» (21406).</w:t>
      </w:r>
    </w:p>
    <w:p w14:paraId="10EF0325" w14:textId="77777777" w:rsidR="00281432" w:rsidRPr="00A3026E" w:rsidRDefault="00281432" w:rsidP="00A3026E">
      <w:pPr>
        <w:autoSpaceDE w:val="0"/>
        <w:autoSpaceDN w:val="0"/>
        <w:adjustRightInd w:val="0"/>
        <w:spacing w:after="0" w:line="240" w:lineRule="auto"/>
        <w:jc w:val="both"/>
        <w:rPr>
          <w:rFonts w:ascii="Times New Roman" w:hAnsi="Times New Roman"/>
          <w:color w:val="0070C0"/>
          <w:sz w:val="16"/>
          <w:szCs w:val="16"/>
          <w:lang w:eastAsia="ru-RU" w:bidi="ru-RU"/>
        </w:rPr>
      </w:pPr>
    </w:p>
    <w:p w14:paraId="78182466"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согласно журналу оперативной справки по мотору 120, мотор М120ТК К-122 прошел заводские стендовые испытания (50 час.) на первой ступени нагнетателя (998).</w:t>
      </w:r>
    </w:p>
    <w:p w14:paraId="5139511E"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p>
    <w:p w14:paraId="1EE9D3AD" w14:textId="77777777" w:rsidR="00376A8F" w:rsidRPr="00A3026E" w:rsidRDefault="00376A8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w:t>
      </w:r>
      <w:r w:rsidRPr="00A3026E">
        <w:rPr>
          <w:rFonts w:ascii="Times New Roman" w:hAnsi="Times New Roman"/>
          <w:color w:val="000000" w:themeColor="text1"/>
          <w:sz w:val="16"/>
          <w:szCs w:val="16"/>
        </w:rPr>
        <w:softHyphen/>
        <w:t>бря 1940 после доводок пер</w:t>
      </w:r>
      <w:r w:rsidRPr="00A3026E">
        <w:rPr>
          <w:rFonts w:ascii="Times New Roman" w:hAnsi="Times New Roman"/>
          <w:color w:val="000000" w:themeColor="text1"/>
          <w:sz w:val="16"/>
          <w:szCs w:val="16"/>
        </w:rPr>
        <w:softHyphen/>
        <w:t>вый опытный экземпляр И-21 вторично поступил на госиспытания. Для улучшения продольной устойчиво</w:t>
      </w:r>
      <w:r w:rsidRPr="00A3026E">
        <w:rPr>
          <w:rFonts w:ascii="Times New Roman" w:hAnsi="Times New Roman"/>
          <w:color w:val="000000" w:themeColor="text1"/>
          <w:sz w:val="16"/>
          <w:szCs w:val="16"/>
        </w:rPr>
        <w:softHyphen/>
        <w:t>сти крылу была придана стрельчатость в плане, чем достигнута центровка 24,5% САХ вместо прежних 34%. Летали лет</w:t>
      </w:r>
      <w:r w:rsidRPr="00A3026E">
        <w:rPr>
          <w:rFonts w:ascii="Times New Roman" w:hAnsi="Times New Roman"/>
          <w:color w:val="000000" w:themeColor="text1"/>
          <w:sz w:val="16"/>
          <w:szCs w:val="16"/>
        </w:rPr>
        <w:softHyphen/>
        <w:t>чики-испытатели Стефановский и Суп</w:t>
      </w:r>
      <w:r w:rsidRPr="00A3026E">
        <w:rPr>
          <w:rFonts w:ascii="Times New Roman" w:hAnsi="Times New Roman"/>
          <w:color w:val="000000" w:themeColor="text1"/>
          <w:sz w:val="16"/>
          <w:szCs w:val="16"/>
        </w:rPr>
        <w:softHyphen/>
        <w:t>рун, всего было выполнено 39 полетов, в которых получена максимальная ско</w:t>
      </w:r>
      <w:r w:rsidRPr="00A3026E">
        <w:rPr>
          <w:rFonts w:ascii="Times New Roman" w:hAnsi="Times New Roman"/>
          <w:color w:val="000000" w:themeColor="text1"/>
          <w:sz w:val="16"/>
          <w:szCs w:val="16"/>
        </w:rPr>
        <w:softHyphen/>
        <w:t>рость 573 км/ч на 2-й границе высотно</w:t>
      </w:r>
      <w:r w:rsidRPr="00A3026E">
        <w:rPr>
          <w:rFonts w:ascii="Times New Roman" w:hAnsi="Times New Roman"/>
          <w:color w:val="000000" w:themeColor="text1"/>
          <w:sz w:val="16"/>
          <w:szCs w:val="16"/>
        </w:rPr>
        <w:softHyphen/>
        <w:t>сти 4800 м.</w:t>
      </w:r>
    </w:p>
    <w:p w14:paraId="0B6A5D48" w14:textId="77777777" w:rsidR="00376A8F" w:rsidRPr="00A3026E" w:rsidRDefault="00376A8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 НИИ ВВС:</w:t>
      </w:r>
    </w:p>
    <w:p w14:paraId="0A8946EF" w14:textId="77777777" w:rsidR="00376A8F" w:rsidRPr="00A3026E" w:rsidRDefault="00376A8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максимальной скорости ниже лучших отечественных и многих ино</w:t>
      </w:r>
      <w:r w:rsidRPr="00A3026E">
        <w:rPr>
          <w:rFonts w:ascii="Times New Roman" w:hAnsi="Times New Roman"/>
          <w:color w:val="000000" w:themeColor="text1"/>
          <w:sz w:val="16"/>
          <w:szCs w:val="16"/>
        </w:rPr>
        <w:softHyphen/>
        <w:t>странных самолетов;</w:t>
      </w:r>
    </w:p>
    <w:p w14:paraId="4F730601" w14:textId="77777777" w:rsidR="00376A8F" w:rsidRPr="00A3026E" w:rsidRDefault="00376A8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поперечная недоста</w:t>
      </w:r>
      <w:r w:rsidRPr="00A3026E">
        <w:rPr>
          <w:rFonts w:ascii="Times New Roman" w:hAnsi="Times New Roman"/>
          <w:color w:val="000000" w:themeColor="text1"/>
          <w:sz w:val="16"/>
          <w:szCs w:val="16"/>
        </w:rPr>
        <w:softHyphen/>
        <w:t>точна, пути нейтральная, продольная не</w:t>
      </w:r>
      <w:r w:rsidRPr="00A3026E">
        <w:rPr>
          <w:rFonts w:ascii="Times New Roman" w:hAnsi="Times New Roman"/>
          <w:color w:val="000000" w:themeColor="text1"/>
          <w:sz w:val="16"/>
          <w:szCs w:val="16"/>
        </w:rPr>
        <w:softHyphen/>
        <w:t>достаточна;</w:t>
      </w:r>
    </w:p>
    <w:p w14:paraId="0ABA43A3" w14:textId="77777777" w:rsidR="00376A8F" w:rsidRPr="00A3026E" w:rsidRDefault="00376A8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-большая посадочная скорость 164 км/ч из-за большой нагрузки на крыло 185 кг/м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p w14:paraId="26C16D94" w14:textId="77777777" w:rsidR="00376A8F" w:rsidRPr="00A3026E" w:rsidRDefault="00376A8F" w:rsidP="00A3026E">
      <w:pPr>
        <w:tabs>
          <w:tab w:val="left" w:pos="385"/>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неустойчив при посадке, эффектив</w:t>
      </w:r>
      <w:r w:rsidRPr="00A3026E">
        <w:rPr>
          <w:rFonts w:ascii="Times New Roman" w:hAnsi="Times New Roman"/>
          <w:color w:val="000000" w:themeColor="text1"/>
          <w:sz w:val="16"/>
          <w:szCs w:val="16"/>
        </w:rPr>
        <w:softHyphen/>
        <w:t>ность элеронов недостаточна - сложен в пилотировании;</w:t>
      </w:r>
    </w:p>
    <w:p w14:paraId="6595846E" w14:textId="77777777" w:rsidR="00376A8F" w:rsidRPr="00A3026E" w:rsidRDefault="00376A8F" w:rsidP="00A3026E">
      <w:pPr>
        <w:tabs>
          <w:tab w:val="left" w:pos="3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вооружение: одна пушка 23 мм и два ШКАС недостаточно - не соответст</w:t>
      </w:r>
      <w:r w:rsidRPr="00A3026E">
        <w:rPr>
          <w:rFonts w:ascii="Times New Roman" w:hAnsi="Times New Roman"/>
          <w:color w:val="000000" w:themeColor="text1"/>
          <w:sz w:val="16"/>
          <w:szCs w:val="16"/>
        </w:rPr>
        <w:softHyphen/>
        <w:t>вует ТТТ на 1941 год;</w:t>
      </w:r>
    </w:p>
    <w:p w14:paraId="34065C9C" w14:textId="77777777" w:rsidR="00376A8F" w:rsidRPr="00A3026E" w:rsidRDefault="00376A8F" w:rsidP="00A3026E">
      <w:pPr>
        <w:tabs>
          <w:tab w:val="left" w:pos="404"/>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отсутствуют радиосвязь, металли</w:t>
      </w:r>
      <w:r w:rsidRPr="00A3026E">
        <w:rPr>
          <w:rFonts w:ascii="Times New Roman" w:hAnsi="Times New Roman"/>
          <w:color w:val="000000" w:themeColor="text1"/>
          <w:sz w:val="16"/>
          <w:szCs w:val="16"/>
        </w:rPr>
        <w:softHyphen/>
        <w:t>зация, экранировка и посадочное осве</w:t>
      </w:r>
      <w:r w:rsidRPr="00A3026E">
        <w:rPr>
          <w:rFonts w:ascii="Times New Roman" w:hAnsi="Times New Roman"/>
          <w:color w:val="000000" w:themeColor="text1"/>
          <w:sz w:val="16"/>
          <w:szCs w:val="16"/>
        </w:rPr>
        <w:softHyphen/>
        <w:t>щение.</w:t>
      </w:r>
    </w:p>
    <w:p w14:paraId="731B8EAE" w14:textId="77777777" w:rsidR="00376A8F" w:rsidRPr="00A3026E" w:rsidRDefault="00376A8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НИИ ВВС:</w:t>
      </w:r>
    </w:p>
    <w:p w14:paraId="033DAA64" w14:textId="77777777" w:rsidR="00376A8F" w:rsidRPr="00A3026E" w:rsidRDefault="00376A8F" w:rsidP="00A3026E">
      <w:pPr>
        <w:tabs>
          <w:tab w:val="left" w:pos="39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госиспытания не прошел, для серий</w:t>
      </w:r>
      <w:r w:rsidRPr="00A3026E">
        <w:rPr>
          <w:rFonts w:ascii="Times New Roman" w:hAnsi="Times New Roman"/>
          <w:color w:val="000000" w:themeColor="text1"/>
          <w:sz w:val="16"/>
          <w:szCs w:val="16"/>
        </w:rPr>
        <w:softHyphen/>
        <w:t>ного производства не пригоден;</w:t>
      </w:r>
    </w:p>
    <w:p w14:paraId="6FBE777F" w14:textId="77777777" w:rsidR="00376A8F" w:rsidRPr="00A3026E" w:rsidRDefault="00376A8F" w:rsidP="00A3026E">
      <w:pPr>
        <w:tabs>
          <w:tab w:val="left" w:pos="3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самолет передать в ЦАГИ для иссле</w:t>
      </w:r>
      <w:r w:rsidRPr="00A3026E">
        <w:rPr>
          <w:rFonts w:ascii="Times New Roman" w:hAnsi="Times New Roman"/>
          <w:color w:val="000000" w:themeColor="text1"/>
          <w:sz w:val="16"/>
          <w:szCs w:val="16"/>
        </w:rPr>
        <w:softHyphen/>
        <w:t>дования его в трубе и даче рекомендаций главному конструктору в его дальнейшей работе над истребительными самолетами.</w:t>
      </w:r>
    </w:p>
    <w:p w14:paraId="78FB33AE" w14:textId="77777777" w:rsidR="00376A8F" w:rsidRPr="00A3026E" w:rsidRDefault="00376A8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Акт по госиспытаниям был утвержден начальником ГУ ВВС Рычаговым только 24 января 1941 г.</w:t>
      </w:r>
    </w:p>
    <w:p w14:paraId="57FA8462" w14:textId="77777777" w:rsidR="00376A8F" w:rsidRPr="00A3026E" w:rsidRDefault="00376A8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назначения Лавочкина глав</w:t>
      </w:r>
      <w:r w:rsidRPr="00A3026E">
        <w:rPr>
          <w:rFonts w:ascii="Times New Roman" w:hAnsi="Times New Roman"/>
          <w:color w:val="000000" w:themeColor="text1"/>
          <w:sz w:val="16"/>
          <w:szCs w:val="16"/>
        </w:rPr>
        <w:softHyphen/>
        <w:t>ным конструктором завода №21, М.М. Па- шинин получил назначение главным кон</w:t>
      </w:r>
      <w:r w:rsidRPr="00A3026E">
        <w:rPr>
          <w:rFonts w:ascii="Times New Roman" w:hAnsi="Times New Roman"/>
          <w:color w:val="000000" w:themeColor="text1"/>
          <w:sz w:val="16"/>
          <w:szCs w:val="16"/>
        </w:rPr>
        <w:softHyphen/>
        <w:t>структором на вновь организуемый ави</w:t>
      </w:r>
      <w:r w:rsidRPr="00A3026E">
        <w:rPr>
          <w:rFonts w:ascii="Times New Roman" w:hAnsi="Times New Roman"/>
          <w:color w:val="000000" w:themeColor="text1"/>
          <w:sz w:val="16"/>
          <w:szCs w:val="16"/>
        </w:rPr>
        <w:softHyphen/>
        <w:t>азавод в Ригу для внедрения там УТИ-26. Конечно, коллектив завода №21 и осо</w:t>
      </w:r>
      <w:r w:rsidRPr="00A3026E">
        <w:rPr>
          <w:rFonts w:ascii="Times New Roman" w:hAnsi="Times New Roman"/>
          <w:color w:val="000000" w:themeColor="text1"/>
          <w:sz w:val="16"/>
          <w:szCs w:val="16"/>
        </w:rPr>
        <w:softHyphen/>
        <w:t>бенно ОКБ Пашинина был обижен от</w:t>
      </w:r>
      <w:r w:rsidRPr="00A3026E">
        <w:rPr>
          <w:rFonts w:ascii="Times New Roman" w:hAnsi="Times New Roman"/>
          <w:color w:val="000000" w:themeColor="text1"/>
          <w:sz w:val="16"/>
          <w:szCs w:val="16"/>
        </w:rPr>
        <w:softHyphen/>
        <w:t>рицательной оценкой своего детища, и пытался винить в этом «высшие силы». 19 января 1941 г. конструктора завода 21 Федулов и Минц написали К.Е. Вороши</w:t>
      </w:r>
      <w:r w:rsidRPr="00A3026E">
        <w:rPr>
          <w:rFonts w:ascii="Times New Roman" w:hAnsi="Times New Roman"/>
          <w:color w:val="000000" w:themeColor="text1"/>
          <w:sz w:val="16"/>
          <w:szCs w:val="16"/>
        </w:rPr>
        <w:softHyphen/>
        <w:t>лову письмо с просьбой назначить допол</w:t>
      </w:r>
      <w:r w:rsidRPr="00A3026E">
        <w:rPr>
          <w:rFonts w:ascii="Times New Roman" w:hAnsi="Times New Roman"/>
          <w:color w:val="000000" w:themeColor="text1"/>
          <w:sz w:val="16"/>
          <w:szCs w:val="16"/>
        </w:rPr>
        <w:softHyphen/>
        <w:t>нительные «беспристрастные» испытания И-21, в котором были такие слова:</w:t>
      </w:r>
    </w:p>
    <w:p w14:paraId="40B58C47" w14:textId="77777777" w:rsidR="00376A8F" w:rsidRPr="00A3026E" w:rsidRDefault="00376A8F"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«...Справедливо рассчитывая на по</w:t>
      </w:r>
      <w:r w:rsidRPr="00A3026E">
        <w:rPr>
          <w:rFonts w:ascii="Times New Roman" w:hAnsi="Times New Roman" w:cs="Times New Roman"/>
          <w:color w:val="000000" w:themeColor="text1"/>
        </w:rPr>
        <w:softHyphen/>
        <w:t>мощь и поддержку опытного отдела НКАП, руководимого т. Яковлевым, коллек</w:t>
      </w:r>
      <w:r w:rsidRPr="00A3026E">
        <w:rPr>
          <w:rFonts w:ascii="Times New Roman" w:hAnsi="Times New Roman" w:cs="Times New Roman"/>
          <w:color w:val="000000" w:themeColor="text1"/>
        </w:rPr>
        <w:softHyphen/>
        <w:t>тив встретил вместо этого, в лучшем случае, стену равнодушия.</w:t>
      </w:r>
    </w:p>
    <w:p w14:paraId="0FD3501F" w14:textId="77777777" w:rsidR="00376A8F" w:rsidRPr="00A3026E" w:rsidRDefault="00376A8F"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Если мы имеем сегодня возможность сказать, что коллективом завода 21 со</w:t>
      </w:r>
      <w:r w:rsidRPr="00A3026E">
        <w:rPr>
          <w:rFonts w:ascii="Times New Roman" w:hAnsi="Times New Roman" w:cs="Times New Roman"/>
          <w:color w:val="000000" w:themeColor="text1"/>
        </w:rPr>
        <w:softHyphen/>
        <w:t>здан истребитель, не уступающий ни по своим летно-тактическим данным, ни по своему вооружению любому аналогичному самолету, а в части эксплуатационной и производственной доведенности превос</w:t>
      </w:r>
      <w:r w:rsidRPr="00A3026E">
        <w:rPr>
          <w:rFonts w:ascii="Times New Roman" w:hAnsi="Times New Roman" w:cs="Times New Roman"/>
          <w:color w:val="000000" w:themeColor="text1"/>
        </w:rPr>
        <w:softHyphen/>
        <w:t>ходящий их все, в то же время должны с горечью добавить, что это сделано не при помощи опытного управления НКАП, а во многом вопреки ему.</w:t>
      </w:r>
    </w:p>
    <w:p w14:paraId="38B55DF3" w14:textId="77777777" w:rsidR="00376A8F" w:rsidRPr="00A3026E" w:rsidRDefault="00376A8F"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Рядом сложившихся обстоятельств, создалось положение, при котором НИИ ВВС КА поддерживал самолет конструкции т.Лавочкина, а НКАП самолет конструкции т. Яковлева, таким образом всякий третий аналогичный самолет стоял на пути пер</w:t>
      </w:r>
      <w:r w:rsidRPr="00A3026E">
        <w:rPr>
          <w:rFonts w:ascii="Times New Roman" w:hAnsi="Times New Roman" w:cs="Times New Roman"/>
          <w:color w:val="000000" w:themeColor="text1"/>
        </w:rPr>
        <w:softHyphen/>
        <w:t>вых двух. Этим третьим самолетом был истребитель конструкции т. Пашинина.</w:t>
      </w:r>
    </w:p>
    <w:p w14:paraId="20E1FEF5" w14:textId="77777777" w:rsidR="00376A8F" w:rsidRPr="00A3026E" w:rsidRDefault="00376A8F"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Поэтому с самого начала и до насто</w:t>
      </w:r>
      <w:r w:rsidRPr="00A3026E">
        <w:rPr>
          <w:rFonts w:ascii="Times New Roman" w:hAnsi="Times New Roman" w:cs="Times New Roman"/>
          <w:color w:val="000000" w:themeColor="text1"/>
        </w:rPr>
        <w:softHyphen/>
        <w:t>ящего времени всякий промах возводился в степень неисправимого дефекта, вся</w:t>
      </w:r>
      <w:r w:rsidRPr="00A3026E">
        <w:rPr>
          <w:rFonts w:ascii="Times New Roman" w:hAnsi="Times New Roman" w:cs="Times New Roman"/>
          <w:color w:val="000000" w:themeColor="text1"/>
        </w:rPr>
        <w:softHyphen/>
        <w:t>кая мелкая ошибка раздувалась до разме- . ров, порочащих всю конструкцию и коллек</w:t>
      </w:r>
      <w:r w:rsidRPr="00A3026E">
        <w:rPr>
          <w:rFonts w:ascii="Times New Roman" w:hAnsi="Times New Roman" w:cs="Times New Roman"/>
          <w:color w:val="000000" w:themeColor="text1"/>
        </w:rPr>
        <w:softHyphen/>
        <w:t>тив, ее создавший, и всячески распростра</w:t>
      </w:r>
      <w:r w:rsidRPr="00A3026E">
        <w:rPr>
          <w:rFonts w:ascii="Times New Roman" w:hAnsi="Times New Roman" w:cs="Times New Roman"/>
          <w:color w:val="000000" w:themeColor="text1"/>
        </w:rPr>
        <w:softHyphen/>
        <w:t>нялись всевозможные сведения, основан</w:t>
      </w:r>
      <w:r w:rsidRPr="00A3026E">
        <w:rPr>
          <w:rFonts w:ascii="Times New Roman" w:hAnsi="Times New Roman" w:cs="Times New Roman"/>
          <w:color w:val="000000" w:themeColor="text1"/>
        </w:rPr>
        <w:softHyphen/>
        <w:t>ные на таком, мягко говоря, неправильном утрировании фактов...</w:t>
      </w:r>
    </w:p>
    <w:p w14:paraId="18FEC204" w14:textId="77777777" w:rsidR="00376A8F" w:rsidRPr="00A3026E" w:rsidRDefault="00376A8F"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Несмотря на то, что все претен</w:t>
      </w:r>
      <w:r w:rsidRPr="00A3026E">
        <w:rPr>
          <w:rFonts w:ascii="Times New Roman" w:hAnsi="Times New Roman" w:cs="Times New Roman"/>
          <w:color w:val="000000" w:themeColor="text1"/>
        </w:rPr>
        <w:softHyphen/>
        <w:t>зии, основанные на вышеуказанном утри</w:t>
      </w:r>
      <w:r w:rsidRPr="00A3026E">
        <w:rPr>
          <w:rFonts w:ascii="Times New Roman" w:hAnsi="Times New Roman" w:cs="Times New Roman"/>
          <w:color w:val="000000" w:themeColor="text1"/>
        </w:rPr>
        <w:softHyphen/>
        <w:t>ровании фактов, предъявлялись без вся</w:t>
      </w:r>
      <w:r w:rsidRPr="00A3026E">
        <w:rPr>
          <w:rFonts w:ascii="Times New Roman" w:hAnsi="Times New Roman" w:cs="Times New Roman"/>
          <w:color w:val="000000" w:themeColor="text1"/>
        </w:rPr>
        <w:softHyphen/>
        <w:t>кого анализа их причин, кстати сказать легко устранимых, главный конструктор самолета т. Пашинин не оказался в плену этих, подчас довольно авторитетных (с точки зрения значения их авторов) мне</w:t>
      </w:r>
      <w:r w:rsidRPr="00A3026E">
        <w:rPr>
          <w:rFonts w:ascii="Times New Roman" w:hAnsi="Times New Roman" w:cs="Times New Roman"/>
          <w:color w:val="000000" w:themeColor="text1"/>
        </w:rPr>
        <w:softHyphen/>
        <w:t>ний и мобилизовал коллектив на полное устранение всех, даже мельчайших недо</w:t>
      </w:r>
      <w:r w:rsidRPr="00A3026E">
        <w:rPr>
          <w:rFonts w:ascii="Times New Roman" w:hAnsi="Times New Roman" w:cs="Times New Roman"/>
          <w:color w:val="000000" w:themeColor="text1"/>
        </w:rPr>
        <w:softHyphen/>
        <w:t>статков с тем, чтобы прекратить всякие разговоры о низкой скорости, недоста</w:t>
      </w:r>
      <w:r w:rsidRPr="00A3026E">
        <w:rPr>
          <w:rFonts w:ascii="Times New Roman" w:hAnsi="Times New Roman" w:cs="Times New Roman"/>
          <w:color w:val="000000" w:themeColor="text1"/>
        </w:rPr>
        <w:softHyphen/>
        <w:t>точной устойчивости и других усиленно распространявшихся оценках, чтобы вы</w:t>
      </w:r>
      <w:r w:rsidRPr="00A3026E">
        <w:rPr>
          <w:rFonts w:ascii="Times New Roman" w:hAnsi="Times New Roman" w:cs="Times New Roman"/>
          <w:color w:val="000000" w:themeColor="text1"/>
        </w:rPr>
        <w:softHyphen/>
        <w:t>бить всякую почву из под ног подобных «исследователей», что и было сделано на третьем экземпляре.</w:t>
      </w:r>
    </w:p>
    <w:p w14:paraId="0065D219" w14:textId="77777777" w:rsidR="00376A8F" w:rsidRPr="00A3026E" w:rsidRDefault="00376A8F"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Этот самолет должен был быть пе</w:t>
      </w:r>
      <w:r w:rsidRPr="00A3026E">
        <w:rPr>
          <w:rFonts w:ascii="Times New Roman" w:hAnsi="Times New Roman" w:cs="Times New Roman"/>
          <w:color w:val="000000" w:themeColor="text1"/>
        </w:rPr>
        <w:softHyphen/>
        <w:t>редан для проведения полных летных ис</w:t>
      </w:r>
      <w:r w:rsidRPr="00A3026E">
        <w:rPr>
          <w:rFonts w:ascii="Times New Roman" w:hAnsi="Times New Roman" w:cs="Times New Roman"/>
          <w:color w:val="000000" w:themeColor="text1"/>
        </w:rPr>
        <w:softHyphen/>
        <w:t>пытаний в 8-й отдел ЦАГИ.</w:t>
      </w:r>
    </w:p>
    <w:p w14:paraId="5D39B6DD" w14:textId="77777777" w:rsidR="00376A8F" w:rsidRPr="00A3026E" w:rsidRDefault="00376A8F"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Теперь, этот последний путь для до</w:t>
      </w:r>
      <w:r w:rsidRPr="00A3026E">
        <w:rPr>
          <w:rFonts w:ascii="Times New Roman" w:hAnsi="Times New Roman" w:cs="Times New Roman"/>
          <w:color w:val="000000" w:themeColor="text1"/>
        </w:rPr>
        <w:softHyphen/>
        <w:t>казательства несостоятельности рас</w:t>
      </w:r>
      <w:r w:rsidRPr="00A3026E">
        <w:rPr>
          <w:rFonts w:ascii="Times New Roman" w:hAnsi="Times New Roman" w:cs="Times New Roman"/>
          <w:color w:val="000000" w:themeColor="text1"/>
        </w:rPr>
        <w:softHyphen/>
        <w:t>пространяемых сведений о самолете И-21 закрывается:</w:t>
      </w:r>
    </w:p>
    <w:p w14:paraId="0A291574" w14:textId="77777777" w:rsidR="00376A8F" w:rsidRPr="00A3026E" w:rsidRDefault="00376A8F"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Немедленно после отъезда т. Паши</w:t>
      </w:r>
      <w:r w:rsidRPr="00A3026E">
        <w:rPr>
          <w:rFonts w:ascii="Times New Roman" w:hAnsi="Times New Roman" w:cs="Times New Roman"/>
          <w:color w:val="000000" w:themeColor="text1"/>
        </w:rPr>
        <w:softHyphen/>
        <w:t>нина в г. Ригу, заместителем Наркома ави</w:t>
      </w:r>
      <w:r w:rsidRPr="00A3026E">
        <w:rPr>
          <w:rFonts w:ascii="Times New Roman" w:hAnsi="Times New Roman" w:cs="Times New Roman"/>
          <w:color w:val="000000" w:themeColor="text1"/>
        </w:rPr>
        <w:softHyphen/>
        <w:t>ационной промышленности т. Яковле</w:t>
      </w:r>
      <w:r w:rsidRPr="00A3026E">
        <w:rPr>
          <w:rFonts w:ascii="Times New Roman" w:hAnsi="Times New Roman" w:cs="Times New Roman"/>
          <w:color w:val="000000" w:themeColor="text1"/>
        </w:rPr>
        <w:softHyphen/>
        <w:t>вым дано указание Заместителю Началь</w:t>
      </w:r>
      <w:r w:rsidRPr="00A3026E">
        <w:rPr>
          <w:rFonts w:ascii="Times New Roman" w:hAnsi="Times New Roman" w:cs="Times New Roman"/>
          <w:color w:val="000000" w:themeColor="text1"/>
        </w:rPr>
        <w:softHyphen/>
        <w:t>ника 7-го ГУ НКАП т. Шишкину о передаче именно 3-го самолета в «Бюро Новой тех</w:t>
      </w:r>
      <w:r w:rsidRPr="00A3026E">
        <w:rPr>
          <w:rFonts w:ascii="Times New Roman" w:hAnsi="Times New Roman" w:cs="Times New Roman"/>
          <w:color w:val="000000" w:themeColor="text1"/>
        </w:rPr>
        <w:softHyphen/>
        <w:t>ники» ЦАГИ, где он будет по существу уничтожен, хотя если есть в такой пе</w:t>
      </w:r>
      <w:r w:rsidRPr="00A3026E">
        <w:rPr>
          <w:rFonts w:ascii="Times New Roman" w:hAnsi="Times New Roman" w:cs="Times New Roman"/>
          <w:color w:val="000000" w:themeColor="text1"/>
        </w:rPr>
        <w:softHyphen/>
        <w:t>редаче необходимость, для этого может быть использован находящийся в НИИ первый самолет, совершивший уже более ста полетов.</w:t>
      </w:r>
    </w:p>
    <w:p w14:paraId="6528CAD8" w14:textId="77777777" w:rsidR="00376A8F" w:rsidRPr="00A3026E" w:rsidRDefault="00376A8F"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Это последнее известие глубоко воз</w:t>
      </w:r>
      <w:r w:rsidRPr="00A3026E">
        <w:rPr>
          <w:rFonts w:ascii="Times New Roman" w:hAnsi="Times New Roman" w:cs="Times New Roman"/>
          <w:color w:val="000000" w:themeColor="text1"/>
        </w:rPr>
        <w:softHyphen/>
        <w:t>мутило и взволновало нас и по существу заставило обратиться к Вам с этим письмом...»</w:t>
      </w:r>
    </w:p>
    <w:p w14:paraId="68FABA26" w14:textId="77777777" w:rsidR="00376A8F" w:rsidRPr="00A3026E" w:rsidRDefault="00376A8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Нужно отметить, что 2-й опытный эк</w:t>
      </w:r>
      <w:r w:rsidRPr="00A3026E">
        <w:rPr>
          <w:rFonts w:ascii="Times New Roman" w:hAnsi="Times New Roman"/>
          <w:color w:val="000000" w:themeColor="text1"/>
          <w:sz w:val="16"/>
          <w:szCs w:val="16"/>
        </w:rPr>
        <w:softHyphen/>
        <w:t>земпляр И-21 прошел испытания воору</w:t>
      </w:r>
      <w:r w:rsidRPr="00A3026E">
        <w:rPr>
          <w:rFonts w:ascii="Times New Roman" w:hAnsi="Times New Roman"/>
          <w:color w:val="000000" w:themeColor="text1"/>
          <w:sz w:val="16"/>
          <w:szCs w:val="16"/>
        </w:rPr>
        <w:softHyphen/>
        <w:t>жения в воздухе на НИП АВ, где из пушки Таубина было сделано до 4000 выстре</w:t>
      </w:r>
      <w:r w:rsidRPr="00A3026E">
        <w:rPr>
          <w:rFonts w:ascii="Times New Roman" w:hAnsi="Times New Roman"/>
          <w:color w:val="000000" w:themeColor="text1"/>
          <w:sz w:val="16"/>
          <w:szCs w:val="16"/>
        </w:rPr>
        <w:softHyphen/>
        <w:t>лов, а из пулеметов ШКАС - до 25000 вы</w:t>
      </w:r>
      <w:r w:rsidRPr="00A3026E">
        <w:rPr>
          <w:rFonts w:ascii="Times New Roman" w:hAnsi="Times New Roman"/>
          <w:color w:val="000000" w:themeColor="text1"/>
          <w:sz w:val="16"/>
          <w:szCs w:val="16"/>
        </w:rPr>
        <w:softHyphen/>
        <w:t>стрелов, а заводом №21 был построен 3-й улучшенный опытный экземпляр И-21, за испытания которого теперь и ра</w:t>
      </w:r>
      <w:r w:rsidRPr="00A3026E">
        <w:rPr>
          <w:rFonts w:ascii="Times New Roman" w:hAnsi="Times New Roman"/>
          <w:color w:val="000000" w:themeColor="text1"/>
          <w:sz w:val="16"/>
          <w:szCs w:val="16"/>
        </w:rPr>
        <w:softHyphen/>
        <w:t>товали конструктора завода №21.</w:t>
      </w:r>
    </w:p>
    <w:p w14:paraId="75C44368" w14:textId="77777777" w:rsidR="00376A8F" w:rsidRPr="00A3026E" w:rsidRDefault="00376A8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указанного письма Яков</w:t>
      </w:r>
      <w:r w:rsidRPr="00A3026E">
        <w:rPr>
          <w:rFonts w:ascii="Times New Roman" w:hAnsi="Times New Roman"/>
          <w:color w:val="000000" w:themeColor="text1"/>
          <w:sz w:val="16"/>
          <w:szCs w:val="16"/>
        </w:rPr>
        <w:softHyphen/>
        <w:t>лев был вынужден дать указания о про</w:t>
      </w:r>
      <w:r w:rsidRPr="00A3026E">
        <w:rPr>
          <w:rFonts w:ascii="Times New Roman" w:hAnsi="Times New Roman"/>
          <w:color w:val="000000" w:themeColor="text1"/>
          <w:sz w:val="16"/>
          <w:szCs w:val="16"/>
        </w:rPr>
        <w:softHyphen/>
        <w:t>ведении испытаний И-21-3 в ЦАГИ.Та</w:t>
      </w:r>
      <w:r w:rsidRPr="00A3026E">
        <w:rPr>
          <w:rFonts w:ascii="Times New Roman" w:hAnsi="Times New Roman"/>
          <w:color w:val="000000" w:themeColor="text1"/>
          <w:sz w:val="16"/>
          <w:szCs w:val="16"/>
        </w:rPr>
        <w:softHyphen/>
        <w:t>кие испытания были выполнены в апреле 1941 г., но оценка машины, как нетрудно догадаться, осталась прежней (19740).</w:t>
      </w:r>
    </w:p>
    <w:p w14:paraId="055AD370" w14:textId="77777777" w:rsidR="00376A8F" w:rsidRPr="00A3026E" w:rsidRDefault="00376A8F" w:rsidP="00A3026E">
      <w:pPr>
        <w:spacing w:after="0" w:line="240" w:lineRule="auto"/>
        <w:jc w:val="both"/>
        <w:rPr>
          <w:rFonts w:ascii="Times New Roman" w:hAnsi="Times New Roman"/>
          <w:color w:val="000000" w:themeColor="text1"/>
          <w:sz w:val="16"/>
          <w:szCs w:val="16"/>
        </w:rPr>
      </w:pPr>
    </w:p>
    <w:p w14:paraId="086E1D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года закончились повторные испытания модернизированной ампульной кассеты (АК-2у) конструкции серийного цеха завода № 145, которые проходили с 2 ноября</w:t>
      </w:r>
    </w:p>
    <w:p w14:paraId="036D5D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15B2BB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Лукашев</w:t>
      </w:r>
    </w:p>
    <w:p w14:paraId="04C2EC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44E4F9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Целью испытания модернизированной ампульной кассеты (АК-2у) явилась проверка следующих элементов:</w:t>
      </w:r>
    </w:p>
    <w:p w14:paraId="1F557E0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Прочности и надежности конструкции.</w:t>
      </w:r>
    </w:p>
    <w:p w14:paraId="2DCF8B9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Возможности применения осколочных бомб, и в частности, бомбы АО-15.</w:t>
      </w:r>
    </w:p>
    <w:p w14:paraId="0E2BAFB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Удобства и безопасности в эксплуатации кассеты в свете сделанных конструктивных изменений.</w:t>
      </w:r>
    </w:p>
    <w:p w14:paraId="3D0019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7D3BC0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Предъявленная серийным цехом завода № 145 на повторные полигонные испытания модернизированная ампульная кассета АК-2 ум полигонные испытания не выдержала (7405).</w:t>
      </w:r>
    </w:p>
    <w:p w14:paraId="20E2289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1F3C425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г. был основан 121 АРЗ (6395).</w:t>
      </w:r>
    </w:p>
    <w:p w14:paraId="65C8AA8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E4341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вышло постановление Правительства от "О программе завода 22 на 1941" (1318,237).</w:t>
      </w:r>
    </w:p>
    <w:p w14:paraId="5540553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01260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вышел приказ НКАП N 625сс в исполнение постановления СНК N 1882-779 сс от 4 ноября 1940 по вопросу об изготовлении опытных образцов вооружения для Наркомобороны (418,77).</w:t>
      </w:r>
    </w:p>
    <w:p w14:paraId="7C050F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Директору завода 32 тов. М.С.Жезлову было приказано для испытания в воздухе пушек Я.Г.Таубина калибра 23 мм, обеспечить проектирование, изготовление и монтаж на представленных ВВС трех самолетах СБ (АНТ-40) установок под пушку Я.Г.Таубина (работа производится за счет ВВС).</w:t>
      </w:r>
    </w:p>
    <w:p w14:paraId="692B2E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Начальнику Третьего ГУ было приказано обеспечить немедленную подачу двух моторов М-105П с приспособленными картерами для крепления 23 мм пушек Я.Г.Таубина и произвести совместный отстрел пушек с моторами для определения прочности крепления.</w:t>
      </w:r>
    </w:p>
    <w:p w14:paraId="38ADCF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Директору завода 26 тов. Лаврентьеву и главному конструктору тов. В.Я.Климову приказано разработать крепление 37 мм пушки конструкции Б.Г.Шпитального для установки на моторе М-105 и передать два мотора для монтажа и отстрела пушки тов. Шпитального к 1 января 1941.</w:t>
      </w:r>
    </w:p>
    <w:p w14:paraId="7F0C80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Яковлеву А.С. оказать необходимую помощь тов. Шпитальному при установке 37 мм пушки на самолет (418,77).</w:t>
      </w:r>
    </w:p>
    <w:p w14:paraId="1DA948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w:t>
      </w:r>
    </w:p>
    <w:p w14:paraId="02622A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СОВ.СЕКРЕТНО</w:t>
      </w:r>
    </w:p>
    <w:p w14:paraId="0B06CA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Народного Комиссара Авиационной Промышленности СССР</w:t>
      </w:r>
    </w:p>
    <w:p w14:paraId="1E8207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исполнение постановления Правительства от 4.X.1940 года по вопросу об изготовлении опытных образцов вооружения для Наркомобороны, ПРИКАЗЫВАЮ:</w:t>
      </w:r>
    </w:p>
    <w:p w14:paraId="7D5377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Директору завода № 32 тов. Жезлову для испытания в воздухе пушек Таубина калибра 23 мм, обеспечить проектирование, изготовление и монтаж на представляемых ВВС трех самолетах “СБ” установок под пушку Таубина ( работа производится за счет ВВС).</w:t>
      </w:r>
    </w:p>
    <w:p w14:paraId="061321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Начальнику Третьего Главного Управления обеспечить немедленно подачу двух моторов М-105П с приспособленными картерами для крепления 23 мм. пушек Таубина и произвести сов</w:t>
      </w:r>
      <w:r w:rsidRPr="00A3026E">
        <w:rPr>
          <w:rFonts w:ascii="Times New Roman" w:hAnsi="Times New Roman"/>
          <w:color w:val="000000" w:themeColor="text1"/>
          <w:sz w:val="16"/>
          <w:szCs w:val="16"/>
        </w:rPr>
        <w:softHyphen/>
        <w:t>местный отстрел пушек с моторами для определения прочности крепления.</w:t>
      </w:r>
    </w:p>
    <w:p w14:paraId="270BC4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Директору завода № 26 тов. Лаврентьеву и ГК тов. Климову разработать крепление 37 мм пушки констр. Шпитального для установки на мотор М-105 и передать два мотора для монтажа и отстрела пушки т. Шпитального к 1.1.41 г.</w:t>
      </w:r>
    </w:p>
    <w:p w14:paraId="0983D0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Моему заместителю тов. Яковлеву А.С. оказать необходимую помощь т. Шпитальному в установке 37 мм пушки на самолет (418,77).</w:t>
      </w:r>
    </w:p>
    <w:p w14:paraId="20EA25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1BE49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 стал 12 ноября 1940 ГСТ (грамота N 4) "за выдающиеся достижения в области создания новых типов вооружения (по самолетом), поднимающих оборонную мощь СССР" вместе с Б.Г.Шпитальным и А.А.Микулиным (67,145).</w:t>
      </w:r>
    </w:p>
    <w:p w14:paraId="0C25AAA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0FFD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Воронин писал Рычагову и С.В.И. письмо N 5663 "Считаю нецелесообразным производить дальнейшую замену моторов М-87 на М-88 до выработки ресурса (1295,13).</w:t>
      </w:r>
    </w:p>
    <w:p w14:paraId="2C8BE30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D915D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возобновились летные испытания УПО-21 конструкции А.А.Смолина, который стоял с 27 августа 1940 в ангаре из-за запрета директора завода 21 Воронина. Разрешения на полеты дал А.С.Я. Полетел на следующий день, но 19 разбился и пострадали И.А.Квасов и А.А.Смолин (2080,134).</w:t>
      </w:r>
    </w:p>
    <w:p w14:paraId="1CAFAAA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A32FB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на завод 21 пришло разщрешение НКАП на испытания КПО-21 (10212).</w:t>
      </w:r>
    </w:p>
    <w:p w14:paraId="30D9ADE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9F1739A"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г.</w:t>
      </w:r>
    </w:p>
    <w:p w14:paraId="2EEC9803"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163. Докладная записка наркома авиационной промышленности СССР А. И. Шахурина председателю Комитета обороны при СНК СССР К. Е. Ворошилову об изменении организации работы по созданию телемеханических самолетов</w:t>
      </w:r>
    </w:p>
    <w:p w14:paraId="4590865A"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Источник: </w:t>
      </w:r>
    </w:p>
    <w:p w14:paraId="547F0DAD"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657.</w:t>
      </w:r>
    </w:p>
    <w:p w14:paraId="293C7DAA"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Архив: </w:t>
      </w:r>
    </w:p>
    <w:p w14:paraId="10ADB81B"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 РФ. Ф. Р-8418. Оп. 24. Д. 781. Л. 90. Подлинник.</w:t>
      </w:r>
    </w:p>
    <w:p w14:paraId="737C9303"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Комитета обороны от 26 января 1940 г. № 42сс о постройке телемеханических самолетов не выполнено. Завод № 379, НИИ</w:t>
      </w:r>
      <w:r w:rsidRPr="00A3026E">
        <w:rPr>
          <w:rFonts w:ascii="Times New Roman" w:hAnsi="Times New Roman"/>
          <w:color w:val="000000" w:themeColor="text1"/>
          <w:sz w:val="16"/>
          <w:szCs w:val="16"/>
        </w:rPr>
        <w:noBreakHyphen/>
        <w:t>20 и конструкторская группа Никольского вследствие новизны разрабатываемых вопросов, технических трудностей и отсутствия опыта не справились с выполнением работ в установленный срок.</w:t>
      </w:r>
    </w:p>
    <w:p w14:paraId="0D20C491"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докладываю, что положение с разработкой и постройкой телемеханических самолетов требует некоторых организационных мероприятий, направленных на ускорение отработки телемеханического самолета и экономию народных средств.</w:t>
      </w:r>
    </w:p>
    <w:p w14:paraId="3D21A67F"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одновременно ведутся работы по телемеханизации 9 самолетов, разработке 3 наземных командных пунктов и 3 командных пунктов на самолетах. Одновременная разработка такого большого количества телемеханических самолетов, когда не отработана еще сама телемеханическая аппаратура, ведет к распылению сил и средств и по существу, затягивает разрешение основной задачи создания телемеханической аппаратуры.</w:t>
      </w:r>
    </w:p>
    <w:p w14:paraId="4EFD3C57"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Поэтому прошу во изменение постановлений Комитета обороны при СНК Союза ССР № 42сс и № 311сс[</w:t>
      </w:r>
      <w:hyperlink r:id="rId89" w:anchor="p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 сего года рассмотреть и утвердить сокращенный план разработки телемеханических самолетов с новыми сроками.</w:t>
      </w:r>
    </w:p>
    <w:p w14:paraId="6400A627"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Новым планом предусматривается постройка только 5 телемеханических самолетов вместо 9, кроме того, сокращается одна радиолиния.</w:t>
      </w:r>
    </w:p>
    <w:p w14:paraId="07F30A20"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прошу увеличить бюджетные ассигнования завода № 379 на 1940 г. с 3,7 млн. руб. до 8,2 млн. руб., так как выделенные средства ни в какой мере не соответствуют действительному объему работ и были установлены в период отсутствия данных, необходимых для их правильного определения.</w:t>
      </w:r>
    </w:p>
    <w:p w14:paraId="11D82CF1"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Шахурин[</w:t>
      </w:r>
      <w:hyperlink r:id="rId90" w:anchor="p2" w:history="1">
        <w:r w:rsidRPr="00A3026E">
          <w:rPr>
            <w:rFonts w:ascii="Times New Roman" w:hAnsi="Times New Roman"/>
            <w:color w:val="000000" w:themeColor="text1"/>
            <w:sz w:val="16"/>
            <w:szCs w:val="16"/>
          </w:rPr>
          <w:t>2</w:t>
        </w:r>
      </w:hyperlink>
      <w:r w:rsidRPr="00A3026E">
        <w:rPr>
          <w:rFonts w:ascii="Times New Roman" w:hAnsi="Times New Roman"/>
          <w:color w:val="000000" w:themeColor="text1"/>
          <w:sz w:val="16"/>
          <w:szCs w:val="16"/>
        </w:rPr>
        <w:t>]</w:t>
      </w:r>
    </w:p>
    <w:p w14:paraId="2D40DFAF"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Резолюция: «Тимошенко. Прошу дать заключения. К. Ворошилов 12 ноября 1940 г.».</w:t>
      </w:r>
    </w:p>
    <w:p w14:paraId="2CD21704"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w:t>
      </w:r>
    </w:p>
    <w:p w14:paraId="12C9B126"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91" w:anchor="s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 Ошибка в номере постановления. Речь идет о постановлении Комитета обороны при СНК СССР № 311сс “Об утверждении плана опытных заказов НК ВМФ на 1940 г.» от 23 июля 1940 г. (ГА РФ. Ф. Р</w:t>
      </w:r>
      <w:r w:rsidRPr="00A3026E">
        <w:rPr>
          <w:rFonts w:ascii="Times New Roman" w:hAnsi="Times New Roman"/>
          <w:color w:val="000000" w:themeColor="text1"/>
          <w:sz w:val="16"/>
          <w:szCs w:val="16"/>
        </w:rPr>
        <w:noBreakHyphen/>
        <w:t>8414. Оп. 28. Д. 119. Л. 234</w:t>
      </w:r>
      <w:r w:rsidRPr="00A3026E">
        <w:rPr>
          <w:rFonts w:ascii="Times New Roman" w:hAnsi="Times New Roman"/>
          <w:color w:val="000000" w:themeColor="text1"/>
          <w:sz w:val="16"/>
          <w:szCs w:val="16"/>
        </w:rPr>
        <w:noBreakHyphen/>
        <w:t>336.).</w:t>
      </w:r>
    </w:p>
    <w:p w14:paraId="5E9DB739"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92" w:anchor="s2" w:history="1">
        <w:r w:rsidRPr="00A3026E">
          <w:rPr>
            <w:rFonts w:ascii="Times New Roman" w:hAnsi="Times New Roman"/>
            <w:color w:val="000000" w:themeColor="text1"/>
            <w:sz w:val="16"/>
            <w:szCs w:val="16"/>
          </w:rPr>
          <w:t>2</w:t>
        </w:r>
      </w:hyperlink>
      <w:r w:rsidRPr="00A3026E">
        <w:rPr>
          <w:rFonts w:ascii="Times New Roman" w:hAnsi="Times New Roman"/>
          <w:color w:val="000000" w:themeColor="text1"/>
          <w:sz w:val="16"/>
          <w:szCs w:val="16"/>
        </w:rPr>
        <w:t>] Согласно постановлениям Комитета обороны № 42сс от 26 января 1940 г. и № 331сс от 23 июля 1940 г., Наркомат авиационной промышленности СССР должен был изготовить и сдать в 1940 г. на полигонные испытания Наркомата обороны СССР и Наркомата ВМФ СССР телемеханические самолеты ТБ</w:t>
      </w:r>
      <w:r w:rsidRPr="00A3026E">
        <w:rPr>
          <w:rFonts w:ascii="Times New Roman" w:hAnsi="Times New Roman"/>
          <w:color w:val="000000" w:themeColor="text1"/>
          <w:sz w:val="16"/>
          <w:szCs w:val="16"/>
        </w:rPr>
        <w:noBreakHyphen/>
        <w:t>3 и СБ, УТ</w:t>
      </w:r>
      <w:r w:rsidRPr="00A3026E">
        <w:rPr>
          <w:rFonts w:ascii="Times New Roman" w:hAnsi="Times New Roman"/>
          <w:color w:val="000000" w:themeColor="text1"/>
          <w:sz w:val="16"/>
          <w:szCs w:val="16"/>
        </w:rPr>
        <w:noBreakHyphen/>
        <w:t>2 и ДБ</w:t>
      </w:r>
      <w:r w:rsidRPr="00A3026E">
        <w:rPr>
          <w:rFonts w:ascii="Times New Roman" w:hAnsi="Times New Roman"/>
          <w:color w:val="000000" w:themeColor="text1"/>
          <w:sz w:val="16"/>
          <w:szCs w:val="16"/>
        </w:rPr>
        <w:noBreakHyphen/>
        <w:t>3, гидросамолет, а также командные самолеты управления ДБ</w:t>
      </w:r>
      <w:r w:rsidRPr="00A3026E">
        <w:rPr>
          <w:rFonts w:ascii="Times New Roman" w:hAnsi="Times New Roman"/>
          <w:color w:val="000000" w:themeColor="text1"/>
          <w:sz w:val="16"/>
          <w:szCs w:val="16"/>
        </w:rPr>
        <w:noBreakHyphen/>
        <w:t>3 и СБ. Завод № 379 выполнил работы: по телемеханическому самолету ТБ</w:t>
      </w:r>
      <w:r w:rsidRPr="00A3026E">
        <w:rPr>
          <w:rFonts w:ascii="Times New Roman" w:hAnsi="Times New Roman"/>
          <w:color w:val="000000" w:themeColor="text1"/>
          <w:sz w:val="16"/>
          <w:szCs w:val="16"/>
        </w:rPr>
        <w:noBreakHyphen/>
        <w:t>3 со взлетом без посадки — на 95%, по телемеханическому самолету ТБ</w:t>
      </w:r>
      <w:r w:rsidRPr="00A3026E">
        <w:rPr>
          <w:rFonts w:ascii="Times New Roman" w:hAnsi="Times New Roman"/>
          <w:color w:val="000000" w:themeColor="text1"/>
          <w:sz w:val="16"/>
          <w:szCs w:val="16"/>
        </w:rPr>
        <w:noBreakHyphen/>
        <w:t>3 со взлетом и посадкой — на 70%, по телемеханическому самолету СБ со взлетом без посадки — на 75%, по телемеханическому самолету СБ со взлетом и посадкой — подготовлен к полетам для регулировки телемеханической аппаратуры, по командным самолетам СБ и ДБ</w:t>
      </w:r>
      <w:r w:rsidRPr="00A3026E">
        <w:rPr>
          <w:rFonts w:ascii="Times New Roman" w:hAnsi="Times New Roman"/>
          <w:color w:val="000000" w:themeColor="text1"/>
          <w:sz w:val="16"/>
          <w:szCs w:val="16"/>
        </w:rPr>
        <w:noBreakHyphen/>
        <w:t>3 — радиомеханическое оборудование изготовлено и прошло стендовые испытания. Сами машины были подготовлены  к полетам для регулировки оборудования в воздухе. НИИ</w:t>
      </w:r>
      <w:r w:rsidRPr="00A3026E">
        <w:rPr>
          <w:rFonts w:ascii="Times New Roman" w:hAnsi="Times New Roman"/>
          <w:color w:val="000000" w:themeColor="text1"/>
          <w:sz w:val="16"/>
          <w:szCs w:val="16"/>
        </w:rPr>
        <w:noBreakHyphen/>
        <w:t>22 выполнил работы: по телемеханическому самолету УТ</w:t>
      </w:r>
      <w:r w:rsidRPr="00A3026E">
        <w:rPr>
          <w:rFonts w:ascii="Times New Roman" w:hAnsi="Times New Roman"/>
          <w:color w:val="000000" w:themeColor="text1"/>
          <w:sz w:val="16"/>
          <w:szCs w:val="16"/>
        </w:rPr>
        <w:noBreakHyphen/>
        <w:t>2 со взлетом и посадкой  — на 90%, по командному самолету СБ — завершен монтаж аппаратуры на самолете, производятся летные испытания по регулировке аппаратуры. На НИИ</w:t>
      </w:r>
      <w:r w:rsidRPr="00A3026E">
        <w:rPr>
          <w:rFonts w:ascii="Times New Roman" w:hAnsi="Times New Roman"/>
          <w:color w:val="000000" w:themeColor="text1"/>
          <w:sz w:val="16"/>
          <w:szCs w:val="16"/>
        </w:rPr>
        <w:noBreakHyphen/>
        <w:t>20 по состоянию на 12 декабря 1940 г. велась разработка 5 комплектов радиотелемеханического оборудования типа “Кварц”, 2 комплектов радиотелемеханического оборудования типа “Молния”, радиоаппаратура была изготовлена и проходила летные испытания. Общие фактические затраты на телемеханические самолеты и оборудование составили по Наркомату авиационной промышленности 9,014 млн. руб., из них 1940 г. — 7,639 млн. руб. вместо запланированных 4 млн. руб. Таким образом, за 10 месяцев 1940 г. расходы были превышены на 3,6 млн. руб. В ноябре-декабре 1940 г. планировалась вложить на работы еще около 1 млн. руб., таким образом увеличив финансирование на 4,6 млн. руб. (ГАРФ. Ф. Р</w:t>
      </w:r>
      <w:r w:rsidRPr="00A3026E">
        <w:rPr>
          <w:rFonts w:ascii="Times New Roman" w:hAnsi="Times New Roman"/>
          <w:color w:val="000000" w:themeColor="text1"/>
          <w:sz w:val="16"/>
          <w:szCs w:val="16"/>
        </w:rPr>
        <w:noBreakHyphen/>
        <w:t>8418. Оп. 24. Д. 781.)</w:t>
      </w:r>
    </w:p>
    <w:p w14:paraId="638AFD4A"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 РФ. Ф. Р-8418. Оп. 24. Д. 781. Л. 90. Подлинник (18005).</w:t>
      </w:r>
    </w:p>
    <w:p w14:paraId="6623FC30" w14:textId="77777777" w:rsidR="00893AC8" w:rsidRPr="00A3026E" w:rsidRDefault="00893AC8" w:rsidP="00A3026E">
      <w:pPr>
        <w:spacing w:after="0" w:line="240" w:lineRule="auto"/>
        <w:jc w:val="both"/>
        <w:rPr>
          <w:rFonts w:ascii="Times New Roman" w:hAnsi="Times New Roman"/>
          <w:color w:val="000000" w:themeColor="text1"/>
          <w:sz w:val="16"/>
          <w:szCs w:val="16"/>
        </w:rPr>
      </w:pPr>
    </w:p>
    <w:p w14:paraId="7AC8FF55" w14:textId="77777777" w:rsidR="006028C5" w:rsidRPr="00A3026E" w:rsidRDefault="006028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ноября 1940 года была Докладная записка наркома авиационной промышленности СССР А. И. Шахурина председателю Комитета обороны при СНК СССР К. Е. Ворошилову о невыполнении постановления о строительстве телемеханических самолетов</w:t>
      </w:r>
    </w:p>
    <w:p w14:paraId="0BF848EF" w14:textId="77777777" w:rsidR="006028C5" w:rsidRPr="00A3026E" w:rsidRDefault="006028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 Комитета обороны от 26.1.1940 № 42сс о постройке телемеханических самолетов не выполнено.</w:t>
      </w:r>
    </w:p>
    <w:p w14:paraId="4F129F69" w14:textId="77777777" w:rsidR="006028C5" w:rsidRPr="00A3026E" w:rsidRDefault="006028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Завод ; 379, НИИ-20 и конструкторская группа Никольского вследствие новизны разрабатываемых вопросов, технических трудностей не справились с выполнением работ в установленный срок.</w:t>
      </w:r>
    </w:p>
    <w:p w14:paraId="187A6DE4" w14:textId="77777777" w:rsidR="006028C5" w:rsidRPr="00A3026E" w:rsidRDefault="006028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Одновременно докладываю, что положение с разработкой и поставкой телемеханических самолетов требует некоторых органи</w:t>
      </w:r>
      <w:r w:rsidRPr="00A3026E">
        <w:rPr>
          <w:rFonts w:ascii="Times New Roman" w:hAnsi="Times New Roman"/>
          <w:color w:val="0070C0"/>
          <w:sz w:val="16"/>
          <w:szCs w:val="16"/>
        </w:rPr>
        <w:softHyphen/>
        <w:t>зационных мероприятий, направленных на ускорение отработки телемеханического самолета и экономии народных средств.</w:t>
      </w:r>
    </w:p>
    <w:p w14:paraId="2BD68923" w14:textId="77777777" w:rsidR="006028C5" w:rsidRPr="00A3026E" w:rsidRDefault="006028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настоящее время одновременно ведутся работа по телемеха</w:t>
      </w:r>
      <w:r w:rsidRPr="00A3026E">
        <w:rPr>
          <w:rFonts w:ascii="Times New Roman" w:hAnsi="Times New Roman"/>
          <w:color w:val="0070C0"/>
          <w:sz w:val="16"/>
          <w:szCs w:val="16"/>
        </w:rPr>
        <w:softHyphen/>
        <w:t>низации 9 самолетов, разработке 3-х наземных командных пунктов и 3-х командных пунктов на самолетах.</w:t>
      </w:r>
    </w:p>
    <w:p w14:paraId="6057DE3A" w14:textId="77777777" w:rsidR="006028C5" w:rsidRPr="00A3026E" w:rsidRDefault="006028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Одновременная разработка такого большого количества телемеханических самолетов, когда не oтработана еще сама телемехани</w:t>
      </w:r>
      <w:r w:rsidRPr="00A3026E">
        <w:rPr>
          <w:rFonts w:ascii="Times New Roman" w:hAnsi="Times New Roman"/>
          <w:color w:val="0070C0"/>
          <w:sz w:val="16"/>
          <w:szCs w:val="16"/>
        </w:rPr>
        <w:softHyphen/>
        <w:t>ческая аппаратура, ведет к распылению сил и средств и по существу затягивает разрешение основной задачи создания телемеханической аппаратуры.</w:t>
      </w:r>
    </w:p>
    <w:p w14:paraId="25F54119" w14:textId="77777777" w:rsidR="006028C5" w:rsidRPr="00A3026E" w:rsidRDefault="006028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Поэтому прошу во изменение постановлений Комитета Обороны при СНК Союза ССР № 42сс и № 311сс сего года, рассмотреть и утвердить сокращенный план разработки телемеханических самолетов с новыми сроками.</w:t>
      </w:r>
    </w:p>
    <w:p w14:paraId="4CCF1062" w14:textId="77777777" w:rsidR="006028C5" w:rsidRPr="00A3026E" w:rsidRDefault="006028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Новым планом предусматривается постройка только 5 телемеханических самолетов вместо 9, кроме того сокращается одна радиолиния.</w:t>
      </w:r>
    </w:p>
    <w:p w14:paraId="3EB45133" w14:textId="77777777" w:rsidR="006028C5" w:rsidRPr="00A3026E" w:rsidRDefault="006028C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Одновременно прошу увеличить бюджетные ассигнования за</w:t>
      </w:r>
      <w:r w:rsidRPr="00A3026E">
        <w:rPr>
          <w:rFonts w:ascii="Times New Roman" w:hAnsi="Times New Roman"/>
          <w:color w:val="0070C0"/>
          <w:sz w:val="16"/>
          <w:szCs w:val="16"/>
        </w:rPr>
        <w:softHyphen/>
        <w:t>вода № 379 на 1940 г. с 3,7 млн.руб. до 8,2 млн.руб. т.к. выде</w:t>
      </w:r>
      <w:r w:rsidRPr="00A3026E">
        <w:rPr>
          <w:rFonts w:ascii="Times New Roman" w:hAnsi="Times New Roman"/>
          <w:color w:val="0070C0"/>
          <w:sz w:val="16"/>
          <w:szCs w:val="16"/>
        </w:rPr>
        <w:softHyphen/>
        <w:t>ленные средства, ни в какой мере, не соответствуют действительно</w:t>
      </w:r>
      <w:r w:rsidRPr="00A3026E">
        <w:rPr>
          <w:rFonts w:ascii="Times New Roman" w:hAnsi="Times New Roman"/>
          <w:color w:val="0070C0"/>
          <w:sz w:val="16"/>
          <w:szCs w:val="16"/>
        </w:rPr>
        <w:softHyphen/>
        <w:t>му об"ему работ и были установлены - в период отсутствия данных необходимых для их правильного определения (22074).</w:t>
      </w:r>
    </w:p>
    <w:p w14:paraId="269BE3F3" w14:textId="77777777" w:rsidR="006028C5" w:rsidRPr="00A3026E" w:rsidRDefault="006028C5" w:rsidP="00A3026E">
      <w:pPr>
        <w:autoSpaceDE w:val="0"/>
        <w:autoSpaceDN w:val="0"/>
        <w:adjustRightInd w:val="0"/>
        <w:spacing w:after="0" w:line="240" w:lineRule="auto"/>
        <w:jc w:val="both"/>
        <w:rPr>
          <w:rFonts w:ascii="Times New Roman" w:hAnsi="Times New Roman"/>
          <w:color w:val="0070C0"/>
          <w:sz w:val="16"/>
          <w:szCs w:val="16"/>
          <w:lang w:eastAsia="ru-RU" w:bidi="ru-RU"/>
        </w:rPr>
      </w:pPr>
    </w:p>
    <w:p w14:paraId="0D8EA4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11 ноября 1940 год, дата основания 121 АРЗ. Основан 11 ноября 1940 года, как 55-е стационарные авиаремонтные мастерские (далее - САМ). В августе 1946 года 55-е САМ были реорганизованы в 321 авиационно-ремонтную базу, а в марте 1952 года был сформирован 121 Авиационный ремонтный завод. За свою историю завод освоил ремонт авиадвигателей: Аллисон, Мер-лин-10, Мерлин-20, АШ-21, М-105, М-1Г, ВК-1, ВК-1А, ВК-1Ф, Р-11Ф2С-300, Р-27Ф2М-300, РД-33, АЛ-31Ф, АИ-9, АИ-9В,Р-29-300. В настоящее время 121 АРЗ производит капитальный, средний ремонты и ремонт по техническому состоянию авиационных двигателей: РД-33, АЛ-31Ф, АИ-9, АИ-9В, Р-27Ф2М-300, Р-29-300, ГТДЭ-117-1, ВК-1ТМ, М-14П, М-14Х, а также ВКА-99, КСА-2, КСА-3 и всех их комплектующих агрегатов, устанавливаемых на самолеты МиГ-29, Су-27, Як-18, Як-50,Як-52 и вертолеты Ми-24, Ми-8. Что касается самолетного направления, то с начала своего основания завод осуществлял ремонт самолетов: Р-5, И-16, ЛАГТ-3, ИЛ-2, ПО-2, Як-3, ЛА-5, «Аэрокобра», Харрикейн, МиГ-15, Ил-28, МиГ-17, МиГ-19, МиГ-21, а в настоящее время ремонтирует такие изделия как: МиГ-23, МиГ-29 и их модификации; Су-25, Су-27 и их модификации; производит модернизацию самолетов Су-25 в Су-25СМ. За успехи в выполнении государственных заказов в 1986 году завод награжден орденом Трудового Красного Знамени.</w:t>
      </w:r>
    </w:p>
    <w:p w14:paraId="344559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394217C"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11 ноября </w:t>
      </w:r>
      <w:r w:rsidRPr="00A3026E">
        <w:rPr>
          <w:rFonts w:ascii="Times New Roman" w:hAnsi="Times New Roman"/>
          <w:color w:val="000000" w:themeColor="text1"/>
          <w:sz w:val="16"/>
          <w:szCs w:val="16"/>
        </w:rPr>
        <w:t>в 1940 году основан 121 АРЗ. Основан как 55-е стационарные авиаремонтные мастерские (далее - САМ). В августе 1946 года 55-е САМ были реорганизованы в 321 авиационно-ремонтную базу, а в марте 1952 года был сформирован 121 Авиационный ремонтный завод. За свою историю завод освоил ремонт авиадвигателей: «Аллисон», «Мерлин-10», «Мерлин-20», «АШ-21», «М-105», «М-1Г», «ВК-1», «ВК-1А», «ВК-1Ф», «Р-11Ф2С-300», «Р-27Ф2М-300», «РД-33», «АЛ-31Ф», «АИ-9», «АИ-9В», «Р-29-300». В настоящее время 121 АРЗ производит капитальный, средний ремонты и ремонт по техническому состоянию авиационных двигателей: «РД-33», «АЛ-31Ф», «АИ-9», «АИ-9В», «Р-27Ф2М-300», «Р-29-300», «ГТДЭ-117-1», «ВК-1ТМ», «М-14П», «М-14Х», а также «ВКА-99», «КСА-2», «КСА-3» и всех их комплектующих агрегатов, устанавливаемых на самолеты «МиГ-29», «Су-27», «Як-182, «Як-50», «Як-52» и вертолеты «Ми-24», «Ми-8». Что касается самолетного направления, то с начала своего основания завод осуществлял ремонт самолетов: «Р-5», «И-16», «ЛАГТ-3», «ИЛ-2», «ПО-2», «Як-3», «ЛА-5», «Аэрокобра», «Харрикейн», «МиГ-15», «Ил-28», «МиГ-17», «МиГ-19», «МиГ-21», а в настоящее время ремонтирует такие изделия как: «МиГ-23», «МиГ-29» и их модификации; «Су-25», «Су-27» и их модификации; производит модернизацию самолетов «Су-25» в «Су-25СМ». За успехи в выполнении государственных заказов в 1986 году завод награжден орденом Трудового Красного Знамени. Ныне ОАО «121 Авиационный ремонтный завод» базируется в Московской области в посёлке Старый Городок, вблизи военного аэродрома Кубинка (14827).</w:t>
      </w:r>
    </w:p>
    <w:p w14:paraId="44D57B79" w14:textId="77777777" w:rsidR="0048608B" w:rsidRPr="00A3026E" w:rsidRDefault="0048608B" w:rsidP="00A3026E">
      <w:pPr>
        <w:spacing w:after="0" w:line="240" w:lineRule="auto"/>
        <w:jc w:val="both"/>
        <w:rPr>
          <w:rFonts w:ascii="Times New Roman" w:hAnsi="Times New Roman"/>
          <w:color w:val="000000" w:themeColor="text1"/>
          <w:sz w:val="16"/>
          <w:szCs w:val="16"/>
        </w:rPr>
      </w:pPr>
    </w:p>
    <w:p w14:paraId="4CEE9A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1940 г. из письма военинженера 1 ранга А.Г.Костикова: “В НИИ-3 проходит испытания модернизированный взрыватель АВ-96, способный запускаться от новых РЗ, горящих с меньшим давлением в ка</w:t>
      </w:r>
      <w:r w:rsidRPr="00A3026E">
        <w:rPr>
          <w:rFonts w:ascii="Times New Roman" w:hAnsi="Times New Roman"/>
          <w:color w:val="000000" w:themeColor="text1"/>
          <w:sz w:val="16"/>
          <w:szCs w:val="16"/>
        </w:rPr>
        <w:softHyphen/>
        <w:t>мере. Это опытные РС-82, заряженные одношашечным РЗ Нз-70/10-200, РБС-82 с двухшашечным Нз-70/10-275 и штатные РС-82 с семишашечным РЗ из Н-24/6-230. Дальнейшее испытание 82-мм образцов (объект 155 с взрывателем РД) до выяснения причин самопроизвольного разрыва можно вести с взрывателем ГВМЗ. Сжигание в них пороха НГВ-60, Ю-200 по продолжительности аналогично горению в 203- и 305-мм камерах. Из-за крупной установочной резьбы даже свинцовая прокладка не предо</w:t>
      </w:r>
      <w:r w:rsidRPr="00A3026E">
        <w:rPr>
          <w:rFonts w:ascii="Times New Roman" w:hAnsi="Times New Roman"/>
          <w:color w:val="000000" w:themeColor="text1"/>
          <w:sz w:val="16"/>
          <w:szCs w:val="16"/>
        </w:rPr>
        <w:softHyphen/>
        <w:t>храняет от прорыва пламени в БЧ РС. Запрессованный пороховой замед</w:t>
      </w:r>
      <w:r w:rsidRPr="00A3026E">
        <w:rPr>
          <w:rFonts w:ascii="Times New Roman" w:hAnsi="Times New Roman"/>
          <w:color w:val="000000" w:themeColor="text1"/>
          <w:sz w:val="16"/>
          <w:szCs w:val="16"/>
        </w:rPr>
        <w:softHyphen/>
        <w:t>литель сгорает раньше РЗ. Таким образом, взрыватель РД небезопасен» (11402).</w:t>
      </w:r>
    </w:p>
    <w:p w14:paraId="789FE2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8BBD9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г. в лаборатории №2 НИИ-3 НКБ в присутствии представителя ЦКБ-22 Н.Соловьева состоялись испытания модернизированного взрывателя АВ-96 в 82-мм ракетных камерах. На них представили 20 охолощенных взрывателей с устраненными недостатками первого испытания 1940 г. (отчет В.Шитова и М.Горшкова за июль 1940 г. по объекту 157).</w:t>
      </w:r>
    </w:p>
    <w:p w14:paraId="4988B4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Новые взрыватели отличались увеличенным диаметром взводного поршня, что позволяло взводить их при меньших давлениях в камере двигателя ракетного снаряда (это было особенно актуально в зимнее время, когда стандартные РЗ боеприпасов горели со значительно меньшей величиной максимального давления). Кроме того, вместо двух теперь предохранитель удерживался всего одним шариком. Диаметр фланца корпуса взрывателя увеличили до 40 мм, а высоту буртика - до 8 мм.</w:t>
      </w:r>
    </w:p>
    <w:p w14:paraId="1C8BE6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Испытывали взрыватели на специальном стенде, выполненном в виде камеры ракетного двигателя, подобной штатным боеприпасам и сна</w:t>
      </w:r>
      <w:r w:rsidRPr="00A3026E">
        <w:rPr>
          <w:rFonts w:ascii="Times New Roman" w:hAnsi="Times New Roman"/>
          <w:color w:val="000000" w:themeColor="text1"/>
          <w:sz w:val="16"/>
          <w:szCs w:val="16"/>
        </w:rPr>
        <w:softHyphen/>
        <w:t>ряженной 7-шашечным РЗ из пороха Н-24/6-230 мм (6 опытов). Помимо этого, их протестировали и в камере двигателя штатного ракетно-бронебойного снаряда с РЗ из одной трехканальной трехлепестковой шашки Нз-70/10-200 мм (18 опытов) и 7-шашечным РЗ из пороха ;.Н-24/6-230 мм (6 опытов). Помимо того, их протестировали и в камере в температурном диапазоне от -50 до +50°С. Воспламеняли РЗ пиропатронами ПГТ-1 через сопло.</w:t>
      </w:r>
    </w:p>
    <w:p w14:paraId="3E1E21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итогам работ отмечено, что в случаях сжигания 7-шашечных РЗ. Трижды взрыватели взвелись не полностью. Причины этого выяснить не удалось, и расследование потребует дополнительных опытов. Затем свинцовая прокладка между корпусом взрывателя и БЧ боеприпаса далеко не всегда обеспечивала герметичность. Конструкторы предложили для этих целей испытать паронитовые или пресс-шпановые прокладки.</w:t>
      </w:r>
    </w:p>
    <w:p w14:paraId="24F994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2.8 Варианты вооружения боевых самолетов УВС РККА и ВВС Красной Армии ракетными снарядами вспомогательного и специального назначения калибров 82 и 132 мм до первой половины 1941 г.</w:t>
      </w:r>
    </w:p>
    <w:tbl>
      <w:tblPr>
        <w:tblW w:w="0" w:type="auto"/>
        <w:tblInd w:w="40" w:type="dxa"/>
        <w:tblLayout w:type="fixed"/>
        <w:tblCellMar>
          <w:left w:w="40" w:type="dxa"/>
          <w:right w:w="40" w:type="dxa"/>
        </w:tblCellMar>
        <w:tblLook w:val="0000" w:firstRow="0" w:lastRow="0" w:firstColumn="0" w:lastColumn="0" w:noHBand="0" w:noVBand="0"/>
      </w:tblPr>
      <w:tblGrid>
        <w:gridCol w:w="1915"/>
        <w:gridCol w:w="734"/>
        <w:gridCol w:w="1325"/>
        <w:gridCol w:w="1930"/>
      </w:tblGrid>
      <w:tr w:rsidR="00983732" w:rsidRPr="00A3026E" w14:paraId="6CEEA5D0" w14:textId="77777777" w:rsidTr="00EA0DA7">
        <w:trPr>
          <w:trHeight w:val="461"/>
        </w:trPr>
        <w:tc>
          <w:tcPr>
            <w:tcW w:w="1915" w:type="dxa"/>
            <w:tcBorders>
              <w:top w:val="single" w:sz="6" w:space="0" w:color="auto"/>
              <w:left w:val="single" w:sz="6" w:space="0" w:color="auto"/>
              <w:bottom w:val="single" w:sz="6" w:space="0" w:color="auto"/>
              <w:right w:val="single" w:sz="6" w:space="0" w:color="auto"/>
            </w:tcBorders>
          </w:tcPr>
          <w:p w14:paraId="15B0DC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и. марка самолета</w:t>
            </w:r>
          </w:p>
          <w:p w14:paraId="3CF9ED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5B1555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Калибр / боезапас</w:t>
            </w:r>
          </w:p>
          <w:p w14:paraId="5C7326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88B73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 количество ракетных орудий</w:t>
            </w:r>
          </w:p>
          <w:p w14:paraId="28E333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2F3FB2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Место расположения пусковых</w:t>
            </w:r>
          </w:p>
          <w:p w14:paraId="39AAEA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F9D6E16" w14:textId="77777777" w:rsidTr="00EA0DA7">
        <w:trPr>
          <w:trHeight w:val="180"/>
        </w:trPr>
        <w:tc>
          <w:tcPr>
            <w:tcW w:w="1915" w:type="dxa"/>
            <w:tcBorders>
              <w:top w:val="single" w:sz="6" w:space="0" w:color="auto"/>
              <w:left w:val="single" w:sz="6" w:space="0" w:color="auto"/>
              <w:bottom w:val="single" w:sz="6" w:space="0" w:color="auto"/>
              <w:right w:val="single" w:sz="6" w:space="0" w:color="auto"/>
            </w:tcBorders>
          </w:tcPr>
          <w:p w14:paraId="1A5C12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Истребитель И- 153</w:t>
            </w:r>
          </w:p>
          <w:p w14:paraId="59330F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16DD43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132/4</w:t>
            </w:r>
          </w:p>
          <w:p w14:paraId="418392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F9CA8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2x2 РОБ- 132</w:t>
            </w:r>
          </w:p>
          <w:p w14:paraId="67E95B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7E63C7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 нижним крылом</w:t>
            </w:r>
          </w:p>
          <w:p w14:paraId="54E927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DA8EE07" w14:textId="77777777" w:rsidTr="00EA0DA7">
        <w:trPr>
          <w:trHeight w:val="202"/>
        </w:trPr>
        <w:tc>
          <w:tcPr>
            <w:tcW w:w="1915" w:type="dxa"/>
            <w:tcBorders>
              <w:top w:val="single" w:sz="6" w:space="0" w:color="auto"/>
              <w:left w:val="single" w:sz="6" w:space="0" w:color="auto"/>
              <w:bottom w:val="single" w:sz="6" w:space="0" w:color="auto"/>
              <w:right w:val="single" w:sz="6" w:space="0" w:color="auto"/>
            </w:tcBorders>
          </w:tcPr>
          <w:p w14:paraId="2594FC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Истребитель И- 16</w:t>
            </w:r>
          </w:p>
          <w:p w14:paraId="5FB661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72C5D3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132/4</w:t>
            </w:r>
          </w:p>
          <w:p w14:paraId="2A46CB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8E747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2х2РОБ-132</w:t>
            </w:r>
          </w:p>
          <w:p w14:paraId="5BA614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0D753A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 консолями крыла</w:t>
            </w:r>
          </w:p>
          <w:p w14:paraId="654A47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5643F99" w14:textId="77777777" w:rsidTr="00EA0DA7">
        <w:trPr>
          <w:trHeight w:val="216"/>
        </w:trPr>
        <w:tc>
          <w:tcPr>
            <w:tcW w:w="1915" w:type="dxa"/>
            <w:tcBorders>
              <w:top w:val="single" w:sz="6" w:space="0" w:color="auto"/>
              <w:left w:val="single" w:sz="6" w:space="0" w:color="auto"/>
              <w:bottom w:val="single" w:sz="6" w:space="0" w:color="auto"/>
              <w:right w:val="single" w:sz="6" w:space="0" w:color="auto"/>
            </w:tcBorders>
          </w:tcPr>
          <w:p w14:paraId="04C066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ИстребительИ-16 тип 18Р</w:t>
            </w:r>
          </w:p>
          <w:p w14:paraId="642EBB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6FDE1A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82/8</w:t>
            </w:r>
          </w:p>
          <w:p w14:paraId="36B885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FDE6A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8хУРО-82</w:t>
            </w:r>
          </w:p>
          <w:p w14:paraId="72A221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50F6EC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 консолями крыла</w:t>
            </w:r>
          </w:p>
          <w:p w14:paraId="2BE9DA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FB809CE" w14:textId="77777777" w:rsidTr="00EA0DA7">
        <w:trPr>
          <w:trHeight w:val="180"/>
        </w:trPr>
        <w:tc>
          <w:tcPr>
            <w:tcW w:w="1915" w:type="dxa"/>
            <w:tcBorders>
              <w:top w:val="single" w:sz="6" w:space="0" w:color="auto"/>
              <w:left w:val="single" w:sz="6" w:space="0" w:color="auto"/>
              <w:bottom w:val="single" w:sz="6" w:space="0" w:color="auto"/>
              <w:right w:val="single" w:sz="6" w:space="0" w:color="auto"/>
            </w:tcBorders>
          </w:tcPr>
          <w:p w14:paraId="31E8BA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Истребитель И-15бис</w:t>
            </w:r>
          </w:p>
        </w:tc>
        <w:tc>
          <w:tcPr>
            <w:tcW w:w="734" w:type="dxa"/>
            <w:tcBorders>
              <w:top w:val="single" w:sz="6" w:space="0" w:color="auto"/>
              <w:left w:val="single" w:sz="6" w:space="0" w:color="auto"/>
              <w:bottom w:val="single" w:sz="6" w:space="0" w:color="auto"/>
              <w:right w:val="single" w:sz="6" w:space="0" w:color="auto"/>
            </w:tcBorders>
          </w:tcPr>
          <w:p w14:paraId="4845E7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82/8</w:t>
            </w:r>
          </w:p>
          <w:p w14:paraId="3CC49C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DABFB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8хУРО-82</w:t>
            </w:r>
          </w:p>
          <w:p w14:paraId="29CCED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35CCF8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 нижним крылом</w:t>
            </w:r>
          </w:p>
          <w:p w14:paraId="13780D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BACECA2" w14:textId="77777777" w:rsidTr="00EA0DA7">
        <w:trPr>
          <w:trHeight w:val="202"/>
        </w:trPr>
        <w:tc>
          <w:tcPr>
            <w:tcW w:w="1915" w:type="dxa"/>
            <w:tcBorders>
              <w:top w:val="single" w:sz="6" w:space="0" w:color="auto"/>
              <w:left w:val="single" w:sz="6" w:space="0" w:color="auto"/>
              <w:bottom w:val="single" w:sz="6" w:space="0" w:color="auto"/>
              <w:right w:val="single" w:sz="6" w:space="0" w:color="auto"/>
            </w:tcBorders>
          </w:tcPr>
          <w:p w14:paraId="525D2B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Штурмовик Ил-2</w:t>
            </w:r>
          </w:p>
          <w:p w14:paraId="5B4A99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57E4FC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132/8</w:t>
            </w:r>
          </w:p>
          <w:p w14:paraId="06B09C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07A25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8хУРО-132</w:t>
            </w:r>
          </w:p>
          <w:p w14:paraId="290712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0F6A7E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 консолями крыла</w:t>
            </w:r>
          </w:p>
          <w:p w14:paraId="038977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D924046" w14:textId="77777777" w:rsidTr="00EA0DA7">
        <w:trPr>
          <w:trHeight w:val="194"/>
        </w:trPr>
        <w:tc>
          <w:tcPr>
            <w:tcW w:w="1915" w:type="dxa"/>
            <w:tcBorders>
              <w:top w:val="single" w:sz="6" w:space="0" w:color="auto"/>
              <w:left w:val="single" w:sz="6" w:space="0" w:color="auto"/>
              <w:bottom w:val="single" w:sz="6" w:space="0" w:color="auto"/>
              <w:right w:val="single" w:sz="6" w:space="0" w:color="auto"/>
            </w:tcBorders>
          </w:tcPr>
          <w:p w14:paraId="43FED8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Бомбардировщик СБ</w:t>
            </w:r>
          </w:p>
          <w:p w14:paraId="22B30B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49DFDB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132/10</w:t>
            </w:r>
          </w:p>
          <w:p w14:paraId="2BF966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9DD89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2x5 РОБ-132</w:t>
            </w:r>
          </w:p>
          <w:p w14:paraId="62EA0C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47F4DB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 консолями крыла</w:t>
            </w:r>
          </w:p>
          <w:p w14:paraId="17A705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DBDCB72" w14:textId="77777777" w:rsidTr="00EA0DA7">
        <w:trPr>
          <w:trHeight w:val="202"/>
        </w:trPr>
        <w:tc>
          <w:tcPr>
            <w:tcW w:w="1915" w:type="dxa"/>
            <w:tcBorders>
              <w:top w:val="single" w:sz="6" w:space="0" w:color="auto"/>
              <w:left w:val="single" w:sz="6" w:space="0" w:color="auto"/>
              <w:bottom w:val="single" w:sz="6" w:space="0" w:color="auto"/>
              <w:right w:val="single" w:sz="6" w:space="0" w:color="auto"/>
            </w:tcBorders>
          </w:tcPr>
          <w:p w14:paraId="6EB8A9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Бомбардировщик Пе-2</w:t>
            </w:r>
          </w:p>
          <w:p w14:paraId="3D5044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4B4F9A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132/10</w:t>
            </w:r>
          </w:p>
          <w:p w14:paraId="47E0B9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33918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2х5РОБ-132</w:t>
            </w:r>
          </w:p>
          <w:p w14:paraId="106704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5B179B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 консолями крыла</w:t>
            </w:r>
          </w:p>
          <w:p w14:paraId="33A9A2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24D23DA" w14:textId="77777777" w:rsidTr="00EA0DA7">
        <w:trPr>
          <w:trHeight w:val="202"/>
        </w:trPr>
        <w:tc>
          <w:tcPr>
            <w:tcW w:w="1915" w:type="dxa"/>
            <w:tcBorders>
              <w:top w:val="single" w:sz="6" w:space="0" w:color="auto"/>
              <w:left w:val="single" w:sz="6" w:space="0" w:color="auto"/>
              <w:bottom w:val="single" w:sz="6" w:space="0" w:color="auto"/>
              <w:right w:val="single" w:sz="6" w:space="0" w:color="auto"/>
            </w:tcBorders>
          </w:tcPr>
          <w:p w14:paraId="453286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Бомбардировщик СПБ</w:t>
            </w:r>
          </w:p>
          <w:p w14:paraId="3E68E9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59D05E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132/12</w:t>
            </w:r>
          </w:p>
          <w:p w14:paraId="29C750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E555D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Кассетница</w:t>
            </w:r>
          </w:p>
          <w:p w14:paraId="0BE947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0F684B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 фюзеляжем</w:t>
            </w:r>
          </w:p>
          <w:p w14:paraId="2F198D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080413D" w14:textId="77777777" w:rsidTr="00EA0DA7">
        <w:trPr>
          <w:trHeight w:val="230"/>
        </w:trPr>
        <w:tc>
          <w:tcPr>
            <w:tcW w:w="1915" w:type="dxa"/>
            <w:tcBorders>
              <w:top w:val="single" w:sz="6" w:space="0" w:color="auto"/>
              <w:left w:val="single" w:sz="6" w:space="0" w:color="auto"/>
              <w:bottom w:val="single" w:sz="6" w:space="0" w:color="auto"/>
              <w:right w:val="single" w:sz="6" w:space="0" w:color="auto"/>
            </w:tcBorders>
          </w:tcPr>
          <w:p w14:paraId="646513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Бомбардировщик ДБ-3</w:t>
            </w:r>
          </w:p>
          <w:p w14:paraId="14B83C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7AECB6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82/36</w:t>
            </w:r>
          </w:p>
          <w:p w14:paraId="6623FB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D6FFF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2х18РОБ-82</w:t>
            </w:r>
          </w:p>
          <w:p w14:paraId="1CB41D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44E092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 консолями крыла</w:t>
            </w:r>
          </w:p>
          <w:p w14:paraId="76615E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235380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(11402).</w:t>
      </w:r>
    </w:p>
    <w:p w14:paraId="557A4E3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016A65C" w14:textId="77777777" w:rsidR="00696731" w:rsidRPr="00A3026E" w:rsidRDefault="0069673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11 </w:t>
      </w:r>
      <w:bookmarkStart w:id="36" w:name="YANDEX_4"/>
      <w:bookmarkEnd w:id="36"/>
      <w:r w:rsidRPr="00A3026E">
        <w:rPr>
          <w:rStyle w:val="highlight"/>
          <w:rFonts w:ascii="Times New Roman" w:hAnsi="Times New Roman"/>
          <w:color w:val="000000" w:themeColor="text1"/>
          <w:sz w:val="16"/>
          <w:szCs w:val="16"/>
        </w:rPr>
        <w:t> ноября </w:t>
      </w:r>
      <w:bookmarkStart w:id="37" w:name="YANDEX_5"/>
      <w:bookmarkEnd w:id="37"/>
      <w:r w:rsidRPr="00A3026E">
        <w:rPr>
          <w:rStyle w:val="highlight"/>
          <w:rFonts w:ascii="Times New Roman" w:hAnsi="Times New Roman"/>
          <w:color w:val="000000" w:themeColor="text1"/>
          <w:sz w:val="16"/>
          <w:szCs w:val="16"/>
        </w:rPr>
        <w:t> 1940 </w:t>
      </w:r>
      <w:r w:rsidRPr="00A3026E">
        <w:rPr>
          <w:rFonts w:ascii="Times New Roman" w:hAnsi="Times New Roman"/>
          <w:color w:val="000000" w:themeColor="text1"/>
          <w:sz w:val="16"/>
          <w:szCs w:val="16"/>
        </w:rPr>
        <w:t xml:space="preserve"> года </w:t>
      </w:r>
      <w:bookmarkStart w:id="38" w:name="YANDEX_6"/>
      <w:bookmarkEnd w:id="38"/>
      <w:r w:rsidRPr="00A3026E">
        <w:rPr>
          <w:rStyle w:val="highlight"/>
          <w:rFonts w:ascii="Times New Roman" w:hAnsi="Times New Roman"/>
          <w:color w:val="000000" w:themeColor="text1"/>
          <w:sz w:val="16"/>
          <w:szCs w:val="16"/>
        </w:rPr>
        <w:t> будущий 121 АРЗ в кубинке, созданный в 1939, </w:t>
      </w:r>
      <w:bookmarkStart w:id="39" w:name="YANDEX_LAST"/>
      <w:bookmarkEnd w:id="39"/>
      <w:r w:rsidRPr="00A3026E">
        <w:rPr>
          <w:rFonts w:ascii="Times New Roman" w:hAnsi="Times New Roman"/>
          <w:color w:val="000000" w:themeColor="text1"/>
          <w:sz w:val="16"/>
          <w:szCs w:val="16"/>
        </w:rPr>
        <w:t xml:space="preserve"> уже функционировал в качестве стационарных ремонтных мастерских ВВС, а с началом Великой Отечественной войны стал дислоцироваться на прифронтовых аэродромах.</w:t>
      </w:r>
    </w:p>
    <w:p w14:paraId="0FF8FB3B" w14:textId="77777777" w:rsidR="00696731" w:rsidRPr="00A3026E" w:rsidRDefault="0069673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Много раз меняя место своего пребывания, к 10-му мая 1944-го года 121-й АРЗ наконец-то на постоянной основе был размещен в поселке Кубинка, рядом с крупнейшей авиабазой Московского военного округа.</w:t>
      </w:r>
    </w:p>
    <w:p w14:paraId="5DCAB7CF" w14:textId="77777777" w:rsidR="00696731" w:rsidRPr="00A3026E" w:rsidRDefault="0069673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своего существования специалистами 121-го АРЗ в разные годы был освоен ремонт более двух десятков различных типов самолетов, среди которых такие известные машины как штурмовики Ил-2, бомбардировщики Ил-28, истребители И-16, ЛаГГ-3, Як-3, Р-39 "Аэрокобра", МиГ-15 - 23 и МиГ-29, Су-27 и Су-25. Каждый новый тип самолета знаменовал очередную ступень в развитии предприятия и внедрение все более сложных технологических процессов ремонта авиационной техники. Сейчас завод специализируется на ремонте и модернизации штурмовиков Сухого.</w:t>
      </w:r>
    </w:p>
    <w:p w14:paraId="44FA74F0" w14:textId="77777777" w:rsidR="00696731" w:rsidRPr="00A3026E" w:rsidRDefault="0069673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территории 121-го АРЗ с недавних пор существует свой музей, причем он включает в себя как отдельное тщательно оформленное помещение в здании Цеха №2, так и обширную наземную экспозицию. В наземной экспозиции выставлены различные образцы самолетов и вертолетов, основная часть из которых, в то или иное время, ремонтировалась на заводе, но есть и непрофильная техника: Як-28, Як-36, Ми-2, Ми-24, Ка-27, Су-25, Су-27УБ, МиГ-23УБ, МиГ-25РБ, МиГ-29(9-12) (17419).</w:t>
      </w:r>
    </w:p>
    <w:p w14:paraId="5764F4E0" w14:textId="77777777" w:rsidR="00696731" w:rsidRPr="00A3026E" w:rsidRDefault="00696731" w:rsidP="00A3026E">
      <w:pPr>
        <w:spacing w:after="0" w:line="240" w:lineRule="auto"/>
        <w:jc w:val="both"/>
        <w:rPr>
          <w:rFonts w:ascii="Times New Roman" w:hAnsi="Times New Roman"/>
          <w:color w:val="000000" w:themeColor="text1"/>
          <w:sz w:val="16"/>
          <w:szCs w:val="16"/>
        </w:rPr>
      </w:pPr>
    </w:p>
    <w:p w14:paraId="57131F7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13AB469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CBFDC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ноября 1940 г. в своем заключении на запрос Кулика Грабин указывает, что ПТР никогда не сможет заменить полноценное противотанковое орудие. Среди причин он называл - 1) уязвимость расчета из-за отсутствия у ПТР броневого закрытия 2) большую длину ружья, что делало его неудобным при транспортировке 3) ПТР не позволяет взять правильное упреждение, осуществить поправку в стрельбе в случае промаха, точно наводить оружие по уязвимому месту танка. Были названы и еще </w:t>
      </w:r>
      <w:r w:rsidRPr="00A3026E">
        <w:rPr>
          <w:rFonts w:ascii="Times New Roman" w:hAnsi="Times New Roman"/>
          <w:color w:val="000000" w:themeColor="text1"/>
          <w:sz w:val="16"/>
          <w:szCs w:val="16"/>
        </w:rPr>
        <w:lastRenderedPageBreak/>
        <w:t>две причины. Противотанковое ружье не позволит добиться достаточно сильного заброневого воздействия, если только его калибр не буден увеличен до 20-25 мм. А в этом случае его вес будет сопоставим с весом противотанковой пушки. Кроме того, упор делался на высокую стоимость такого оружия, так как сверление длинных тонких стволов и изготовление нарезов в них, является чрезвычайно дорогим и трудоемким.</w:t>
      </w:r>
    </w:p>
    <w:p w14:paraId="57747B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Война сразу показала всю ошибочность решения Кулика. Советская пехота оказалась лишена эффективного ПТ средства ближнего боя. Попытка наладить в начале войны массовый выпуск ружей Рукавишникова не увенчалась успехом. Доводка и постановка его на производство требовали бы большого времени. Правда, отдельные ПТР Рукавишникова использовались в частях Западного фронта при обороне Москвы. Была предпринята попытка производства копии 7.92-мм PzB.39, но она не дала результата — кроме технологических проблем сказалась и недостаточная бронепробиваемость (12094).</w:t>
      </w:r>
    </w:p>
    <w:p w14:paraId="2AB96AA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63E25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Style w:val="af0"/>
          <w:rFonts w:ascii="Times New Roman" w:hAnsi="Times New Roman"/>
          <w:i w:val="0"/>
          <w:iCs w:val="0"/>
          <w:color w:val="000000" w:themeColor="text1"/>
          <w:sz w:val="16"/>
          <w:szCs w:val="16"/>
        </w:rPr>
        <w:t>11 ноября 1940</w:t>
      </w:r>
      <w:r w:rsidRPr="00A3026E">
        <w:rPr>
          <w:rFonts w:ascii="Times New Roman" w:hAnsi="Times New Roman"/>
          <w:color w:val="000000" w:themeColor="text1"/>
          <w:sz w:val="16"/>
          <w:szCs w:val="16"/>
        </w:rPr>
        <w:t xml:space="preserve"> вышло Постановление политбюро ЦК ВКП(б) о результатах проверки наркомата боеприпасов с приложением записки Л.З. Мехлиса и Л.П. Берии № 123 — Об аппарате Наркомата боеприпасов СССР </w:t>
      </w:r>
    </w:p>
    <w:p w14:paraId="393616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Поручить Управлению кадров ЦК ВКП(б) в двухдекадный срок укрепить аппарат НКБ проверенными и технически подготовленными работниками, назначив в первую очередь начальников 1-го, 2-го и 3-го Главков. Предупредить начальника 4-го Главка т. Иванова, что если он в месячный срок не улучшит работу Главка, то будет снят с должности и привлечен к ответственности. </w:t>
      </w:r>
    </w:p>
    <w:p w14:paraId="6AFBFA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Заместителя наркома т. Толстова снять с должности, назначив его начальником Главснаб НКБ. </w:t>
      </w:r>
    </w:p>
    <w:p w14:paraId="5FBB88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Снять с должности секретаря партийной организации НКБ т. Акатова как не справляющегося с работой. </w:t>
      </w:r>
    </w:p>
    <w:p w14:paraId="3862BD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Арестовать зам. наркома Хренкова и дело о нем передать НКВД. </w:t>
      </w:r>
    </w:p>
    <w:p w14:paraId="3F142F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В декабре заслушать на заседании Оргбюро ЦК ВКП(б) доклад руководства наркомата и Управления кадров ЦК ВКП(б) о проделанной работе по укреплению аппарата НКБ. </w:t>
      </w:r>
    </w:p>
    <w:p w14:paraId="0477D9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ЦК ВКП(б) товарищу Сталину </w:t>
      </w:r>
    </w:p>
    <w:p w14:paraId="04D253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СНК СССР товарищу Молотову</w:t>
      </w:r>
    </w:p>
    <w:p w14:paraId="13E6E1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 РЕЗУЛЬТАТАХ ПРОВЕРКИ АППАРАТА НАРКОМАТА БОЕПРИПАСОВ СОЮЗА ССР </w:t>
      </w:r>
    </w:p>
    <w:p w14:paraId="1B6E84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соответствии с постановлением ЦК ВКП(б) от 26 сентября 1940 года Народный Комиссариат Госконтроля СССР и Народный Комиссариат Внутренних дел СССР проверил аппарат Народного Комиссариата боеприпасов. </w:t>
      </w:r>
    </w:p>
    <w:p w14:paraId="79CF74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Проверку производили 55 работников Наркомата Госконтроля и НКВД СССР под руководством главного контролера Наркомата Госконтроля тов. Гафарова и заместителя начальника Главного Экономического управления НКВД СССР тов. Наседкина. </w:t>
      </w:r>
    </w:p>
    <w:p w14:paraId="26A7BC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Проверка аппарата производилась путем личного ознакомления с сотрудниками Наркомата, с их практической работой и изучения соответствующих документальных данных. </w:t>
      </w:r>
    </w:p>
    <w:p w14:paraId="0BEFE8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Одновременно с этим происходила проверка производственной деятельности 1-го и 2-го Главных Управлений и Главснаба НКБ. </w:t>
      </w:r>
    </w:p>
    <w:p w14:paraId="0DC12D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Установлено, что промышленность боеприпасов находится в тяжелом положении. </w:t>
      </w:r>
    </w:p>
    <w:p w14:paraId="470C84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 9 месяцев 1940 года НКБ выполнил годовой план по валовой продукции всего на 68,1 проц., а по товарной продукции — на 61,3 проц. </w:t>
      </w:r>
    </w:p>
    <w:p w14:paraId="463444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результате этого на заводах НКБ образовалось огромное количество продукции незавершенной производством. На 1 октября т.г. остатки незавершенного производства составили 1020 миллионов рублей против 688 миллионов рублей (по плану на 1 января 1941 года). </w:t>
      </w:r>
    </w:p>
    <w:p w14:paraId="5E3EE7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Работа НКБ ухудшается из квартала в квартал. План 1 квартала по оборонной продукции выполнен на 87,9 проц., II квартала — на 85,1 проц., III квартала — на 55,8 проц. За 9 месяцев 1940 года НКБ недодал Красной Армии и Военно-Морскому флоту 4,2 миллиона комплектов выстрелов сухопутной артиллерии, 3 миллиона мин, 2 миллиона авиабомб и 205 тысяч комплектов выстрелов морской артиллерии. </w:t>
      </w:r>
    </w:p>
    <w:p w14:paraId="2E5519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НКБ должен был выпустить в 1940 году вместо латунных артиллерийских гильз 5,7 миллионов железных. Не отработав технологического процесса, НКБ изготовил за 9 месяцев 1117 тысяч железных гильз, из которых 963 тысячи пошли в брак. </w:t>
      </w:r>
    </w:p>
    <w:p w14:paraId="11BEA8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 то же время пошло в брак большое количество взрывателей новых конструкций ГВМЗ и МГ-8. Взрывателей МП и Д-1 при плане в 3,3 миллиона не сдано ни одной штуки. </w:t>
      </w:r>
    </w:p>
    <w:p w14:paraId="5A6427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Запуск в массовое производство недоработанных конструкций, систематические нарушения технологических процессов и недоработка некоторых из них привели к образованию на заводах большого брака, убытки от которого по НКБ (без 3-го главка) составили за 8 месяцев 1940 года 167 миллионов рублей. </w:t>
      </w:r>
    </w:p>
    <w:p w14:paraId="4F3A0C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Неудовлетворительная постановка в НКБ планирования и комплектации, а также неравномерное выполнение планов по отдельным элементам выстрела (гильзы, корпуса, взрыватели) привели к скоплению на складах Народного Комиссариата Обороны и Народного Комиссариата Военно-Морского Флота на 1 октября 1940 года некомплектной продукции сверх нормы на 185 миллионов рублей. </w:t>
      </w:r>
    </w:p>
    <w:p w14:paraId="0101B6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Основная причина такого неудовлетворительного состояния производства предприятий НКБ заключается в слабости руководства наркома: </w:t>
      </w:r>
    </w:p>
    <w:p w14:paraId="39C513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Оперативное руководство предприятиями в НКБ подменено изданием многочисленных приказов. </w:t>
      </w:r>
    </w:p>
    <w:p w14:paraId="589615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наличии всего 80 предприятий нарком боеприпасов т. Сергеев за 9 месяцев т.г. издал 633 приказа (не считая приказов по личному составу). За тот же период 4-мя главными управлениями НКБ издано еще 1079 приказов. </w:t>
      </w:r>
    </w:p>
    <w:p w14:paraId="10C521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ряде приказов исполнителям давались явно нереальные сроки. Так, например, в приказе № 203с директору Тульского завода № 176 предлагалось «построить фосфатировочное отделение цеха № 4, смонтировать ванны и сдать в эксплуатацию». Приказ был подписан 5 июня, сдан для рассылки 7 июня, а срок исполнения указанной в приказе работы был определен 8 июня. </w:t>
      </w:r>
    </w:p>
    <w:p w14:paraId="75A516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Приказом № 189с завод № 144 (гор. Сталино) обязывался «не позднее 1 июня 1940 года разработать графики работы цехов на июнь месяц с учетом покрытия недоделок за апрель — май месяцы». Этот приказ был подписан 31 мая, а прибыл на завод после истечения установленного срока исполнения. </w:t>
      </w:r>
    </w:p>
    <w:p w14:paraId="596D9A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Приказом за № 151с отмечается плохое состояние техники безопасности на заводах. Пунктом 8-м исполнители обязуются представить т. Сергееву на утверждение 29 апреля план работ, а сам приказ подписан 4 мая. </w:t>
      </w:r>
    </w:p>
    <w:p w14:paraId="5CC18C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Контроля за исполнением приказов в НКБ нет, а сами приказы носят часто декларативный характер. Приказом № 151с от 4 мая начальники 1, 2 и 3 главков обязывались к 10 мая «разрешить вопрос об использовании или ликвидации бракованной продукции и запретить впредь хранить таковую на заводах в больших количествах». Этот приказ не выполнен, и заводские дворы завалены бракованной продукцией. </w:t>
      </w:r>
    </w:p>
    <w:p w14:paraId="083967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Точно так же обстоит дело с пересмотром норм загрузки и хранения взрывчатых веществ и материалов на заводах. По приказу т. Сергеева эту работу должны были закончить в мае «с тем, чтобы перегруз мастерских и цехов ВВ не превышал установленных норм». Этот приказ также не выполнен, о чем, в частности, свидетельствуют известные ЦК ВКП(б) и СНК СССР факты по 9-му и 80-му заводам. </w:t>
      </w:r>
    </w:p>
    <w:p w14:paraId="1D38B3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В НКБ ведется огромная переписка, загружающая аппарат. </w:t>
      </w:r>
    </w:p>
    <w:p w14:paraId="234DA9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Так, 4-е главное управление Наркомата за 9 месяцев 1940 года представило на имя наркома и его заместителей 355 докладных записок; технический отдел наркомата — 309 докладных записок. </w:t>
      </w:r>
    </w:p>
    <w:p w14:paraId="757330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 3 квартал т.г. в НКБ ежедневно поступало с завода и строек в среднем по 1400 писем и отправлялось 880. </w:t>
      </w:r>
    </w:p>
    <w:p w14:paraId="5F0C48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 тот же срок НКБ направил в правительственные органы (Совнарком, Комитет Обороны, Экономсовет и Хозяйственный Совет) 1220 писем, т.е. свыше 5 писем в день. Значительное количество вопросов, поставленных в этих письмах, не носили принципиального характера и могли быть разрешены непосредственно самим наркоматом или его главками. </w:t>
      </w:r>
    </w:p>
    <w:p w14:paraId="75539B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3.Широко применялась система наложения взысканий и снятия с работы руководящего состава предприятий, цехов и смен. </w:t>
      </w:r>
    </w:p>
    <w:p w14:paraId="238721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 январь — август т.г. нарком боеприпасов наложил на 72 руководящих работника 149 взысканий; начальнику 1-го главного управления Горину было вынесено 10 взысканий; бывшему директору завода № 12 Сорокину — 7 взысканий. На того же Сорокина начальник 1-го главка наложил дополнительно еще 3 взыскания. Директор завода № 142 Ножкин имеет 15 взысканий; директор завода № 113 Чашин — 8 взысканий. </w:t>
      </w:r>
    </w:p>
    <w:p w14:paraId="122E17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Наряду с этим в короткие перерывы между взысканиями некоторые директора заводов премировались за успешную работу. </w:t>
      </w:r>
    </w:p>
    <w:p w14:paraId="0D46B5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Так, директору завода № 4 Брук 11 февраля было объявлено предупреждение за невыполнение плана (приказа № 52), 14 марта он был премирован месячным окладом за выполнение плана (приказ № 97с), 23 апреля ему объявляется выговор за плохую организацию производства (приказ № 144с), а 29 апреля он премируется 2-месячным окладом. Директор завода № 10 Бодров в 1940 году получил 5 взысканий и 2 премии. </w:t>
      </w:r>
    </w:p>
    <w:p w14:paraId="6CACD8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 полтора года наркоматом снято с работы 26 руководителей предприятий и 18 главных инженеров. Только на заводе № 78 за это время в цехе № 4 было сменено 5 начальников, 8 заместителей начальников и 14 начальников отделений, а в цехе № 2 — 3 начальника, 5 помощников начальников и 3 старших технолога; на заводе № 9 сменено 22 начальника смен и 15 мастеров. </w:t>
      </w:r>
    </w:p>
    <w:p w14:paraId="3DEFC0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отсутствии в системе НКБ достаточного количества инженеров НКБ за 7 месяцев 1940 г., по неполным данным, уволил с завода 1226 дипломированных инженеров. </w:t>
      </w:r>
    </w:p>
    <w:p w14:paraId="31B6C9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Тов. Сергеев плохо разбирается в людях, не умеет их распознавать. Большим доверием у него пользовался Иняшкин — заместитель наркома по кадрам (снят с работы в процессе проверки НКБ). Этому Иняшкину т. Сергеев передоверил все дело подбора и расстановки кадров. В результате Иняшкин, отличавшийся безделием, пьянством и самоснабжением, развалил работу по кадрам. На руководящую работу в наркомате и главках Иняшкин выдвигал негодных людей, засорял аппарат наркомата политически сомнительными и малоквалифицированными работниками. </w:t>
      </w:r>
    </w:p>
    <w:p w14:paraId="4C4AF5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Среди сотрудников наркомата имеется 14 бывших офицеров царской армии, 70 выходцев из дворян, помещиков и кулаков, 31 судившихся за различные преступления, 17 исключенных из ВКП(б), 28 имеющих родственников за границей, 69 человек, родственники которых репрессированы за антисоветскую работу, и т.д. </w:t>
      </w:r>
    </w:p>
    <w:p w14:paraId="72C46E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Многим из этих лиц не место в аппарате НКБ. Между тем в 1940 г. в порядке сокращения штатов из центрального аппарата удалено 171 член ВКП(б), 166 инженерно-технических работников. Само сокращение было всецело передоверено Иняшкину и начальникам главков. </w:t>
      </w:r>
    </w:p>
    <w:p w14:paraId="74C835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Характерно, что на руководящей работе в НКБ находились 10 человек, которые ранее вместе с Иняшкиным работали на заводе № 11, как-то: Шибанов — зам. наркома, Ефремов — нач. 2-го главка (арестован), Черняев — зам. главного инженера 2 главка (арестован), Кузьмин — нач. мобилизационного отдела 2 главка и другие. </w:t>
      </w:r>
    </w:p>
    <w:p w14:paraId="3FBDF0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Другой заместитель наркома Хренков Н.М. до выдвижения на эту работу (июнь 1939 года) возглавил управление комплектации наркомата, которое подчинено ему и сейчас. Как в 1939 году, так и в 1940 году управление комплектации работает из рук вон плохо. </w:t>
      </w:r>
    </w:p>
    <w:p w14:paraId="74C7D8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Проводимая Хренковым работа вызывает явное подозрение во вредительстве. </w:t>
      </w:r>
    </w:p>
    <w:p w14:paraId="31B90A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План 1940 года по сдаче Наркомату Обороны комплектных выстрелов по сухопутной артиллерии за 9 месяцев выполнен только на 57,7 проц., по авиабомбам — на 59,9 проц.; по сдаче продукции Наркомату Военно-Морского флота — на 58,5 проц. План сдачи выстрелов по крупным калибрам сорван: не сдано ни одного выстрела для 152 мм пушки «БР-2», 210 мм «БР-17» и 280 мм мортиры «БР-5». </w:t>
      </w:r>
    </w:p>
    <w:p w14:paraId="22D864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Также плохо работает руководимый Хренковым мобилизационный отдел. Осенью 1939 года к развертыванию работы по мобилизационному плану заводы наркомата оказались неподготовленными. </w:t>
      </w:r>
    </w:p>
    <w:p w14:paraId="628DAE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октябре 1940 года, будучи председателем комиссии по выявлению причин и виновников взрыва 175 тонн пороха на заводе № 9, Хренков пытался в своем заключении смазать действительные причины взрыва и отвлечь от ныне арестованных виновников взрыва. </w:t>
      </w:r>
    </w:p>
    <w:p w14:paraId="7073EE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Заместитель наркома Толстов Г.А. работает недобросовестно. Будучи председателем комиссии на заводе № 53 по выяснению причин массового брака капсюлей-воспламенителей «Шкасс», Толстов пытался замазать истинные причины брака, скрыть имевшие место на заводе № 53 нарушения технического процесса, а равно скрыть виновников брака 159 млн капсюлей-воспламенителей. </w:t>
      </w:r>
    </w:p>
    <w:p w14:paraId="2A825C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Начальник 1-го Главного управления (производство взрывных веществ и снаряжение) НКБ — Горин С.П., по специальности механик химического машиностроения, не обеспечивает руководства работой Главка и заводов. </w:t>
      </w:r>
    </w:p>
    <w:p w14:paraId="66339E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Годовой план по оборонной продукции за 9 месяцев т.г. выполнен главком всего лишь на 57,5 проц. </w:t>
      </w:r>
    </w:p>
    <w:p w14:paraId="655F18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Будучи директором завода № 80, т. Горин с работой не справлялся. Выдвинутый на должность начальника главка вследствие своих личных связей с бывшим зам. наркома Михайловым, Горин охватить работу не сумел и не обеспечил выполнения производственной программы. </w:t>
      </w:r>
    </w:p>
    <w:p w14:paraId="0C3609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Отделы главка (плановый, технический, капитального строительства и другие) работают неудовлетворительно. </w:t>
      </w:r>
    </w:p>
    <w:p w14:paraId="100F38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заводам №№ 12, 15 и 56 на второй квартал было запланировано снаряжение 76 мм дистанционных гранат, а производство для них дымоблескоусиливающих шашек «ДУ-5» не было запланировано. В результате план снаряжения гранат Главком был сорван и на заводах скопилось 720,8 тысяч неснаряженных корпусов гранат. </w:t>
      </w:r>
    </w:p>
    <w:p w14:paraId="32F727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 200 технологических процессов, подлежащих утверждению по приказу НКБ к 1 сентября, т. Горин к 11 октября утвердил только два. </w:t>
      </w:r>
    </w:p>
    <w:p w14:paraId="4EA39E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Годовой план капитального строительства за 8 месяцев т.г. выполнен всего на 40,5 проц., а план ввода в эксплуатацию новых объектов — на 14,0 проц. </w:t>
      </w:r>
    </w:p>
    <w:p w14:paraId="75F467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Начальник 2-го главного управления (капсюльно-взрывательное) НКБ — Ефремов (ныне арестован) не принял меры к ликвидации массового брака капсюлей-взрывателей «Шкасс». </w:t>
      </w:r>
    </w:p>
    <w:p w14:paraId="3C3BBA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 9 месяцев 1940 г. брак по этим капсюлям составил 159 млн штук. В массовом браке капсюлей-взрывателей «Шкасс» вместе с Ефремовым виновен также зам. главного инженера Главка Черняев А.Ф. (ныне арестован), который являлся инициатором перехода без достаточной подготовки и проверки на лакировку капсюлей идитоловым лаком вместо шеллачного. Убытки от брака за 8 месяцев по Главку составляют 49,7 миллионов рублей. </w:t>
      </w:r>
    </w:p>
    <w:p w14:paraId="5A6A38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Ефремов сорвал выполнение ряда важнейших решений Правительства, в частности постановление Комитета Обороны № 335сс от 26.VII.1940 года об изготовлении НКАП авиасвечей ВГ-2 и ВГ-12. </w:t>
      </w:r>
    </w:p>
    <w:p w14:paraId="38125D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Также не справляется с работой начальник 3-го Главного управления (производство порохов) НКБ Дынкин Н.П. </w:t>
      </w:r>
    </w:p>
    <w:p w14:paraId="3387AA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Годовой план по Главку за 9 месяцев по оборонной продукции выполнен только на 64,3 проц. </w:t>
      </w:r>
    </w:p>
    <w:p w14:paraId="76ADDC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Техническое руководство заводами запущено. </w:t>
      </w:r>
    </w:p>
    <w:p w14:paraId="06E8F5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Ряд технологических процессов (производство пороха марки А-19 и П-45 и из сырья РП) не был достаточно отработан. На исполнение недоброкачественной продукции пороха только по 4 заводам (№№ 9, 14, 40, 204) было в 1940 году израсходовано 745 тысяч декалитров спирта. </w:t>
      </w:r>
    </w:p>
    <w:p w14:paraId="3222CC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 уделяя должного внимания постановке техники безопасности на заводах, Дынкин передоверил этот серьезный участок работы малоквалифицированному работнику Макееву. </w:t>
      </w:r>
    </w:p>
    <w:p w14:paraId="7BF9A2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Директору завода № 9 Дынкин дал разрешение на хранение преступно завышенной нормы пороха в производственных зданиях завода. На этом заводе 26 сентября т.г. имел место взрыв пороха, в результате которого погибло 15 человек и тяжело ранено 18 человек. </w:t>
      </w:r>
    </w:p>
    <w:p w14:paraId="32E380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Крепко запутано в Главке дело снабжения заводов. </w:t>
      </w:r>
    </w:p>
    <w:p w14:paraId="5CC28F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Заводу № 6 в июне т.г. было занаряжено 3 тонны кристаллического нафталина, в то время как завод нафталин не заказывал. Заводу № 40 было предложено заключить договор с Петровским заводом № 323 на постановку 5 тысяч пеналов под заряд 203/50. Имея большие запасы пеналов, завод № 40 трижды отказывался от их получения. Однако Главк продолжал засылать ненужные пеналы, прекратил их отгрузку лишь после третьего протеста завода. </w:t>
      </w:r>
    </w:p>
    <w:p w14:paraId="2F08A4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Заводу № 59, имевшему 9-месячный запас центролита, до самого последнего времени Главк продолжал засылать центролит, несмотря на просьбы завода прекратить его отгрузку. В то же время завод № 6 совершенно не имел центролита и остро нуждался в нем. </w:t>
      </w:r>
    </w:p>
    <w:p w14:paraId="7999C6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Предприятия 4-го Главного управления (производство корпусов снарядов) за 9 месяцев выполнили годовой план по оборонной продукции лишь на 51,5 проц. </w:t>
      </w:r>
    </w:p>
    <w:p w14:paraId="1B5CB2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Убытки от брака по заводам Главка за 8 месяцев составили 67,2 миллиона рублей. </w:t>
      </w:r>
    </w:p>
    <w:p w14:paraId="4E3536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Начальник Главка Иванов Н.Д. никаких действенных мер к ликвидации брака не принимал. Никто из виновников брака к ответственности не привлечен. Принятая в Главке система учета брака не отражает действительного положения. </w:t>
      </w:r>
    </w:p>
    <w:p w14:paraId="6A6909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Главки Наркомата, его отделы и управления засорены малоквалифицированными и политически сомнительными людьми. НКВД СССР арестовано 8 человек руководящих работников НКБ (начальник 2-го Главка Ефремов, зам. главного инженера того же Главка Черняев, начальник Главснаба Купер, член технического совета Сидора, начальник секции технического совета Янов, начальник технического отдела Тольский, инженер-диспетчер Дацук, инженер Паршин). </w:t>
      </w:r>
    </w:p>
    <w:p w14:paraId="5A963C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результате проверки установлена необходимость увольнения из системы НКБ 62 человек. </w:t>
      </w:r>
    </w:p>
    <w:p w14:paraId="508F00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Подлежат снятию с должности, как не справившиеся с работой, 49 человек. </w:t>
      </w:r>
    </w:p>
    <w:p w14:paraId="191CE2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Списки подлежащих увольнению с характеристиками при этом прилагаются. </w:t>
      </w:r>
    </w:p>
    <w:p w14:paraId="0432C1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_______________ </w:t>
      </w:r>
    </w:p>
    <w:p w14:paraId="2A3BF3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Нынешнее руководство Наркомата Боеприпасов, по нашему мнению, не в состоянии выправить создавшегося положения и справиться с задачами, стоящими перед промышленностью боеприпасов. Прежде всего это касается самого наркома боеприпасов т. Сергеева. </w:t>
      </w:r>
    </w:p>
    <w:p w14:paraId="58F807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Считаем необходимым: </w:t>
      </w:r>
    </w:p>
    <w:p w14:paraId="3E3A24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Поручить Управлению кадров ЦК ВКП(б) в двухдекадный срок укрепить аппарат НКБ проверенными и технически подготовленными работниками, назначив в первую очередь начальников 1-го, 2-го и 3-го главков. Предупредить начальника 4-го Главка т. Иванова, что если он в месячный срок не улучшит работу Главка, то будет снят с должности и привлечен к ответственности. </w:t>
      </w:r>
    </w:p>
    <w:p w14:paraId="579AC3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Заместителя наркома т. Толстова снять с должности, назначив его начальником Главснабжения НКБ. </w:t>
      </w:r>
    </w:p>
    <w:p w14:paraId="675CD8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Снять с должности секретаря партийной организации НКБ т. Акатова как не справляющегося с работой. </w:t>
      </w:r>
    </w:p>
    <w:p w14:paraId="6FE618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Арестовать зам. наркома Хренкова, и дело о нем передать НКВД. </w:t>
      </w:r>
    </w:p>
    <w:p w14:paraId="6955D5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В декабре заслушать на заседании Оргбюро ЦК ВКП(б) доклад руководства наркомата и Управления кадров ЦК ВКП(б) о проделанной работе по укреплению аппарата НКБ. </w:t>
      </w:r>
    </w:p>
    <w:p w14:paraId="1CE293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Приложение: по тексту. </w:t>
      </w:r>
    </w:p>
    <w:p w14:paraId="3B3F7A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Народный комиссар Государственного Контроля Союза ССР </w:t>
      </w:r>
    </w:p>
    <w:p w14:paraId="0D3DAF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 МЕХЛИС </w:t>
      </w:r>
    </w:p>
    <w:p w14:paraId="127C64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внутренних дел Союза ССР Л. Берия</w:t>
      </w:r>
    </w:p>
    <w:p w14:paraId="4929C3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ноября 1940 года </w:t>
      </w:r>
    </w:p>
    <w:p w14:paraId="6250DA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3534 </w:t>
      </w:r>
    </w:p>
    <w:p w14:paraId="52DBBB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АП РФ. Ф. 3. Оп. 58. Д. 343а. Л. 155—164. Подлинник. Машинопись. </w:t>
      </w:r>
    </w:p>
    <w:p w14:paraId="52AFCE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Протокол № 22. </w:t>
      </w:r>
    </w:p>
    <w:p w14:paraId="3D94DD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тексте имеется машинописная помета о рассылке: «Т.т. Мехлису, Берия, Андрееву, Маленкову, Сергееву — все; Хломову — 2; МК ВКП(б) — 3» (11430).</w:t>
      </w:r>
    </w:p>
    <w:p w14:paraId="1311D47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E10A223"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11 ноября 1940 г., на НИ полигоне ГАБТУ КА были проведены испытания танков Т-34 (Т-34 № 608-01, 423-41 и 547-29, на время испытаний эти машины получили условные наименования «танк № 1», «танк № 2» и «танк № 3») по преодолению естественных препятствий. В результате испытаний были получены следующие показатели проходимости танка Т-34 в осенних условиях: </w:t>
      </w:r>
    </w:p>
    <w:p w14:paraId="4F28E870"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«Подъемы и косогоры:</w:t>
      </w:r>
    </w:p>
    <w:p w14:paraId="6F69F4B7"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Водные преграды:</w:t>
      </w:r>
    </w:p>
    <w:p w14:paraId="4EDDFD20"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преодолевает вброд водные преграды глубиной 1,25 – 1,3 мтр. при твердом грунте дна. Крутизны выхода не должна превышать 20 – 25°, крутизна входа 30 – 35°. </w:t>
      </w:r>
    </w:p>
    <w:p w14:paraId="35449D27"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Заболоченные участки:</w:t>
      </w:r>
    </w:p>
    <w:p w14:paraId="244DA38E"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Торфяное болото с плотным покровом толщиной 0,5 – 0,8 мтр. (выдерживающим лошадь) танк не преодолевает. Гусеницы прорезают покров, и танк вывешивается на днище. При одностороннем погружении имеют место выходы гребней траков из опорных колес (на не погруженной гусенице)».</w:t>
      </w:r>
    </w:p>
    <w:p w14:paraId="518855E0"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72 – 73]</w:t>
      </w:r>
    </w:p>
    <w:p w14:paraId="765363AA"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итоге специалистами НИ полигона ГАБТУ КА был сделан вывод о том, что проходимость танка Т-34 в осенних условиях неудовлетворительная по следующим причинам: </w:t>
      </w:r>
    </w:p>
    <w:p w14:paraId="7823632C"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Входящая в зацепление с грунтом поверхность трака недостаточно развита (малый коэффициент зацепления), следствием чего является буксование гусениц на подъемах даже при незначительно влажном покрове. Эффективность входящих в комплект шпор незначительна. </w:t>
      </w:r>
    </w:p>
    <w:p w14:paraId="00A076EA"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Фиксация гусеницы в опорных колесах ненадежна вследствие малого количества опорных колес и постоянно возникающей слабины гусениц (от износов). Ненадежность фиксации гусениц лимитирует преодоление косогоров – при движении с креном свыше 20 – 23° при поворотах гусеница "сваливается". Сваливание гусениц отмечено так же при преодолении канав под углом менее 90°. </w:t>
      </w:r>
    </w:p>
    <w:p w14:paraId="26FEA016"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Малое количество опорных колес, помимо изложенного в § 2, отрицательно влияет на проходимость по заболоченным участкам, несмотря на небольшое общее удельное давление».</w:t>
      </w:r>
    </w:p>
    <w:p w14:paraId="115044DD"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73 – 74]</w:t>
      </w:r>
    </w:p>
    <w:p w14:paraId="4F6E7B3C"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Возможности танка Т-34 по преодолению водных преград вброд, напротив, специалистами полигона были признаны вполне удовлетворительными. </w:t>
      </w:r>
    </w:p>
    <w:p w14:paraId="5C7A7DAE"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этот же день, 11 ноября 1940 г., на полигоне состоялись испытания по определению силы тяги и буксировочных возможностей танка Т-34. В качестве буксируемого (тормозного) приспособления использовался плуг-канавокопатель конструкции НИИТ КА. Испытания проводились по следующей методике: </w:t>
      </w:r>
    </w:p>
    <w:p w14:paraId="62346C4D"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буксирных цепях между испытываемым танком и буксирным тормозным приспособлением (плуг-канавокопатель) подвешивался пружинный динамометр "Амслер" на 1000 кгр. </w:t>
      </w:r>
    </w:p>
    <w:p w14:paraId="102BBBFD"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Торможение испытываемого танка производилось путем постепенного опускания лемеха канавокопателя в грунт, до необходимой загрузки. </w:t>
      </w:r>
    </w:p>
    <w:p w14:paraId="78D78F9B"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Испытание проводилось на горизонтальных участках. </w:t>
      </w:r>
    </w:p>
    <w:p w14:paraId="00AD1E14"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Сила тяги на крюке замерялась при движении танков на 1 и 2 передачах. Буксировка танками прицепного груза на асфальтовом шоссе производилась на 2 и 3 передачах. </w:t>
      </w:r>
    </w:p>
    <w:p w14:paraId="0C67A6FB"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Обработка диаграмм динамометра производилась по среднеарифметической величине из данных 2-х заездов».</w:t>
      </w:r>
    </w:p>
    <w:p w14:paraId="7F7DAA1F"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1853. Л. 7]</w:t>
      </w:r>
    </w:p>
    <w:p w14:paraId="12F462C9"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испытаний было установлено, что тяговое усилие на крюке при движении танка Т-34 по проселочной дороге на 1-й передаче составляет 6,70 тс, а при движении на 2-й передаче при частоте вращения коленчатого вала двигателя 550 оборотов в минуту – 8,75 тс. </w:t>
      </w:r>
    </w:p>
    <w:p w14:paraId="447E6A19"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11 ноября 1940 г. на полигоне были проведены испытания средств связи танков Т-34, в ходе которых было определено, что дальность связи с помощью радиостанции 73-ТК-3 через микрофон, во время движения обоих машин не превышает 10 км, а во время стоянки составляет 15 – 18 км. При этом были выявлены следующие основные недостатки установки радиостанции в носовой части корпуса танка Т-34: </w:t>
      </w:r>
    </w:p>
    <w:p w14:paraId="40B919F3"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 приемником очень трудно оперировать (слишком низко и глубоко расположен). </w:t>
      </w:r>
    </w:p>
    <w:p w14:paraId="18254317"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Антенна при подъеме цепляет за запдетали, расположенные на [надгусеничной] полке. </w:t>
      </w:r>
    </w:p>
    <w:p w14:paraId="688B8B97"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ходу танка по шоссе получается сильное дробление слов при приеме. </w:t>
      </w:r>
    </w:p>
    <w:p w14:paraId="4C770F93"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Ручным регулятором напряжения пользоваться невозможно из-за неудачного расположения (не виден вольтметр)».</w:t>
      </w:r>
    </w:p>
    <w:p w14:paraId="0E9D4D93"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1182. Л. 140 – 141]</w:t>
      </w:r>
    </w:p>
    <w:p w14:paraId="43B5CBB5"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двух последующих дней, 12 и 13 ноября 1940 г., танки готовились к дальнейшему пробегу – силами экипажей и группы ремонтников производилось их техническое обслуживание и ремонт. (18173)</w:t>
      </w:r>
    </w:p>
    <w:p w14:paraId="3054A749" w14:textId="77777777" w:rsidR="00906CFA" w:rsidRPr="00A3026E" w:rsidRDefault="00906CFA" w:rsidP="00A3026E">
      <w:pPr>
        <w:spacing w:after="0" w:line="240" w:lineRule="auto"/>
        <w:jc w:val="both"/>
        <w:rPr>
          <w:rFonts w:ascii="Times New Roman" w:hAnsi="Times New Roman"/>
          <w:color w:val="000000" w:themeColor="text1"/>
          <w:sz w:val="16"/>
          <w:szCs w:val="16"/>
        </w:rPr>
      </w:pPr>
    </w:p>
    <w:p w14:paraId="3AA26EC4"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г.</w:t>
      </w:r>
    </w:p>
    <w:p w14:paraId="0480277A"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ЦАМО Фонд 38 Опись 11355 Дело 32 листы 153 – 154 </w:t>
      </w:r>
    </w:p>
    <w:p w14:paraId="437737BB"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4FA1D48E"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1 </w:t>
      </w:r>
    </w:p>
    <w:p w14:paraId="0E641A57"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Ноября 1940 г. </w:t>
      </w:r>
    </w:p>
    <w:p w14:paraId="31532B69"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625с </w:t>
      </w:r>
    </w:p>
    <w:p w14:paraId="5EB530A3"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1 ОТДЕЛА БТУ КА</w:t>
      </w:r>
    </w:p>
    <w:p w14:paraId="6817C0B8"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ВОЕНИНЖЕНЕРУ I РАНГА т. ПАВЛОВУ</w:t>
      </w:r>
    </w:p>
    <w:p w14:paraId="72493512"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Направляя Вам сводки о ходе подготовки производства серийного выпуска машин А-34 на заводе № 183 по состоянию на 1/XI-40 г., доношу следующее: </w:t>
      </w:r>
    </w:p>
    <w:p w14:paraId="7D85F8C2"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 числа 2495 разработанных техпроцессов, указанных в сводке № 2 внедрено (сдано по актам цехам) на 10/XI-40 г. всего 1494 техпроцесса или 60%. В том числе по механическим цехам отдела 100 сдано по акту 264 техпроцесса или 32%. Тоже по отделу "700" сдано по акту 408 техпроцессов или 57%. </w:t>
      </w:r>
    </w:p>
    <w:p w14:paraId="17A5292F"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Задержка в сдаче по акту остальных техпроцессов происходит главным образом вследствие отсутствия необходимого оснащения техпроцессов приспособлениями и специальным мерительным и режущим инструментом. В связи с этим техпроцессы нарушаются, вызывая увеличенную затрату времени и денег. Например картер коробки передач должен по техпроцессу растачиваться при помощи специальной борштанги по 2 картера сразу, но ввиду отсутствия этой борштанги расточка производится по одному картеру, что вызывает удвоенную затрату времени и средств на обработку. По механическому цеху 119 отдела 100 доплата на отклонения от техпроцесса в Сентябре составляла 70%, в Октябре 58% (ориентировочно) по отношению к установленным нормо-часам по техпроцессу. Снижение процента доплаты объясняется увеличением оснастки. </w:t>
      </w:r>
    </w:p>
    <w:p w14:paraId="3629A98C"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Наряду с задержкой в изготовлении приспособлений кооперированными заводами, так например СТЗ из заказанного количества 251 наименования спецприспособлений изготовил на 1/XI-40 г. всего 65 наименований (см. сводку № 3), имеет место задержка заводам № 183 введения в работу изготовленных приспособлений. Так, например, на заводе № 183 имеется 17 наименований (количество 298 штук) стандартных приспособлений и пневматических патронов к станкам, полученных с ХТЗ во 2-й половине Сентября и в Октябре, которые до сих пор лежат неиспользованными и даже не поступили еще в наладку. Пневматика не применяется ввиду отсутствия подводки воздуха, стандартные приспособления не передаются в наладку вследствие отсутствия необходимой для работы комплектности дополнительными к ним приспособлениями и инструментом. </w:t>
      </w:r>
    </w:p>
    <w:p w14:paraId="775A1F8C"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Положение со специальным инструментом попрежнему тяжелое. Завод 75 не выполняет сроки поставки инструмента. Особенно тяжело сказывается в отделе 100 отсутствие следующего инструмента: протяжка № 1-979 (дет. 34.34.067), № 1-9813 (дет. 34.34.063), № 1-9817 (дет. 34.30.041), № 1-9839 (дет. 34.34.011), № 1-9842 (дет. 34.08.045), № 1-9846 (дет. 34.11.001), № 1-9846 (дет. 34.16.001), № 1-9884 (дет. 34.34.024), долбяки № 5-3636, фрезы № 5-3809 (дет. 34.15.027-1), № 5-3821 (дет. 34.17.001), калибры по чертежам 8-13600, 8-13601, 8-12452, 8-14039, 8-14265, 8-14266, 8-14077. </w:t>
      </w:r>
    </w:p>
    <w:p w14:paraId="577926D5"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СТЗ задерживается изготовление контрольных приспособлений для проверки трудоемких деталей в отделе "100". Подача заготовок кооперируемыми заводами задерживается по следующим деталям: </w:t>
      </w:r>
    </w:p>
    <w:p w14:paraId="5DD3A5A6"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СТЗ – 34.08.017, 34.08.024, 34.12.001, 34.16.004, 34.16.005, 34.17.002, 34.15.027, 34.04.005, 34.04.011, 34.27.053, 8.18.10, 34.44.004, 34.44.005, 34.44.006. </w:t>
      </w:r>
    </w:p>
    <w:p w14:paraId="1B86BD34"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Завод № 75 – 34.12.004, 34.13.001, 34.15.027, 34.20.082, 34.20.083, 34.20.085, 34.20.089, 34.20.156, 34.20.161, 34.20.162, 34.20.170, 34.20.192, по литью детали 34.08.030-1 и 34.08.031-1. </w:t>
      </w:r>
    </w:p>
    <w:p w14:paraId="1B153CF3"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ЗИС – дет. 34.07.008. </w:t>
      </w:r>
    </w:p>
    <w:p w14:paraId="18CFED94"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значительной степени мешает налаживанию технологии изготовления А-34 большое количество различных конструктивных изменений. Так, например, за время с момента введения в серию А-34 и по 1/XI-40 г. было внесено 491 конструктивное изменение. Из них по установленным перечням – 55. По причинам конструктивных неполадок 266 изменений, по причинам технологическим 123 и по разным причинам 47 изменений. </w:t>
      </w:r>
    </w:p>
    <w:p w14:paraId="7BD9FC30"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отношении обеспечения техпроцесса оснасткой и упорядочения технологии (устранение нарушения техпроцесса и чертежей) по отдельным цехам и по отделам завода особенно тяжелое положение в отделе 700, который подает корпуса с целым рядом отступлений от чертежей и техусловий (трещины брони, нарушение размеров заднего моста, неправильная приварка труб и т.д.), что значительно затрудняет и сборку в отделе 100. </w:t>
      </w:r>
    </w:p>
    <w:p w14:paraId="74ACAAD4"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РАЙОННЫЙ ИНЖЕНЕР ГАБТУ КА ВОЕНИНЖЕНЕР 2 РАНГА подпись (КОЗЫРЕВ)</w:t>
      </w:r>
    </w:p>
    <w:p w14:paraId="1F228EB7"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Отпечатано 2 экз. </w:t>
      </w:r>
    </w:p>
    <w:p w14:paraId="0BC9B429"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 Киселев (18212).</w:t>
      </w:r>
    </w:p>
    <w:p w14:paraId="54114CC7" w14:textId="77777777" w:rsidR="00906CFA" w:rsidRPr="00A3026E" w:rsidRDefault="00906CFA" w:rsidP="00A3026E">
      <w:pPr>
        <w:spacing w:after="0" w:line="240" w:lineRule="auto"/>
        <w:jc w:val="both"/>
        <w:rPr>
          <w:rFonts w:ascii="Times New Roman" w:hAnsi="Times New Roman"/>
          <w:color w:val="000000" w:themeColor="text1"/>
          <w:sz w:val="16"/>
          <w:szCs w:val="16"/>
        </w:rPr>
      </w:pPr>
    </w:p>
    <w:p w14:paraId="36BB5DDD"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w:t>
      </w:r>
    </w:p>
    <w:p w14:paraId="4D0CAC85"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w:t>
      </w:r>
      <w:hyperlink r:id="rId93" w:tgtFrame="_blank" w:history="1">
        <w:r w:rsidRPr="00A3026E">
          <w:rPr>
            <w:rStyle w:val="a5"/>
            <w:rFonts w:ascii="Times New Roman" w:hAnsi="Times New Roman"/>
            <w:color w:val="000000" w:themeColor="text1"/>
            <w:sz w:val="16"/>
            <w:szCs w:val="16"/>
          </w:rPr>
          <w:t>сводки № 604с</w:t>
        </w:r>
      </w:hyperlink>
      <w:r w:rsidRPr="00A3026E">
        <w:rPr>
          <w:rFonts w:ascii="Times New Roman" w:hAnsi="Times New Roman"/>
          <w:color w:val="000000" w:themeColor="text1"/>
          <w:sz w:val="16"/>
          <w:szCs w:val="16"/>
        </w:rPr>
        <w:t>, составленной военным представителем ГАБТУ КА на заводе № 183 военинженером 3 ранга Г.А. Алексеевым: </w:t>
      </w:r>
    </w:p>
    <w:p w14:paraId="7A433DDC"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Испытание главного вала коробки перемены передач маш. Т-34 на скручивание: </w:t>
      </w:r>
    </w:p>
    <w:p w14:paraId="00A90F12"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имевшихся случаев скручивания главных валов К.П.П. при испытании машин на стационаре и в сдаточных пробегах, были проведены испытания серийного вала, серийного вала с повышенной твердостью, с диаметром лунки по "БРИНЕЛЛЮ" 3,2 вместо 3,6 и вал с серийными размерами из материала 18 ХНВА. </w:t>
      </w:r>
    </w:p>
    <w:p w14:paraId="70B3D99D"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проводились на месте с разъединенными гусеницами путем резкого выключения и включения бортовых фрикционов на 4-й передаче при 1800 оборот/мин. колен. вала двигателя, а также аналогичное включение и выключение при движении маш. на всех передачах. </w:t>
      </w:r>
    </w:p>
    <w:p w14:paraId="3EB03F18"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испытаний на месте серийный вал был скручен, причем смещение шлицов произошло на 7 – 8 мм. Серийный вал с повышенной твердостью скрутился до 3-х мм. Такой же вал при испытании в движении на третьей передаче скрутился на 0,3 мм, но при этом также скрутился промежуточный вал и неподвижная шестерня 3-й передачи. Вал из стали 18 ХНВА каленый при испытании в движении не скрутился, а при испытании на месте скрутился на 1,4 мм. Вал из 18 ХНВА цементированный при испытании на месте не скрутился. </w:t>
      </w:r>
    </w:p>
    <w:p w14:paraId="0A713FAF"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Заводоуправление приняло решение перейти на изготовление валов из стали 18 ХНВА. Для сравнения такие же испытания были проведены на маш. А-7М [БТ-7М], при этом вал был скручен на 1,5 – 2 мм. </w:t>
      </w:r>
    </w:p>
    <w:p w14:paraId="35A4C663"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Испытание "груш" в башне на проникновение свинцовых брызг в башню при обстреле простыми пулями. </w:t>
      </w:r>
    </w:p>
    <w:p w14:paraId="0D5B8515"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Испытанию были подвергнуты "груши" со специальными выточками по наружному диаметру "груши", специально пригнанные путем разворачивания отверстия под "грушу". Кроме этого, внутри башни был установлен специальный защитный кожух. </w:t>
      </w:r>
    </w:p>
    <w:p w14:paraId="0B0D2430"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показали хорошие результаты. Основная масса свинцовых брызг задержалась в выточках "груши" и незначительная часть проникших вовнутрь башни свинцовых брызг задержана защитным кожухом. </w:t>
      </w:r>
    </w:p>
    <w:p w14:paraId="123209B3"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Испытание смотровых приборов – водителя и в башне на проникновение свинцовых брызг при попадании в них простой пулей, при этом в смотровые приборы вставлялись зеркала металлические, из стекла сталинит и из стекла "ТРИПЛЕКС". Во всех случаях попадания пули в смотровые приборы вовнутрь машины проникает значительное количество свинцовых брызг. Зеркала при этом металлические пробиваются и покрываются матовым налетом свинцовой пыли, видимость значительно ухудшается. Из стекла сталинит разбиваются на мелкие куски. Из стекла "ТРИПЛЕКС" пробиваются и покрываются трещинами. </w:t>
      </w:r>
    </w:p>
    <w:p w14:paraId="24AADDB6"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Поставленный на центральный смотровой прибор водителя специальный кожух задерживает свинцовые брызги от проникновения в машину, но очень неудобен в пользовании и никак не решает вопроса о сохранении видимости. </w:t>
      </w:r>
    </w:p>
    <w:p w14:paraId="4A08661C"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Испытание люка водителя, люка в кормовом листе и люка в нише башни на проникновение свинцовых брызг через зазоры этих люков вовнутрь машины. </w:t>
      </w:r>
    </w:p>
    <w:p w14:paraId="3F421597"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люке водителя был установлен по нижним и боковым кромкам специальный желобок из 1,5 мм железа, а по верхней кромке в крышку люка вставлена резина. При попадании значительного количества пуль в зазоры люка, желобок и резина пробиваются, и брызги попадают вовнутрь машины. </w:t>
      </w:r>
    </w:p>
    <w:p w14:paraId="65431E64"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этого испытания по всему контуру крышки люка были приварены спец. планки, перекрывающие зазоры в люке, а на корпусе вокруг люка приварена рамка, в которую входят планки, приваренные к крышке люка. Созданный таким образом лабиринт не пропускает свинцовых брызг, но при этом происходит заклинивание люка. Кроме того, такое устройство ослабляет бронь в зоне сварных швов, как на корпусе, так и на крышке люка. Через зазоры в люках ниши башни и в кормовом листе брызги свободно проникают вовнутрь машины».</w:t>
      </w:r>
    </w:p>
    <w:p w14:paraId="5AF1C8AE" w14:textId="77777777" w:rsidR="00906CFA" w:rsidRPr="00A3026E" w:rsidRDefault="00906C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1182. Л. 20 – 21] (18206).</w:t>
      </w:r>
    </w:p>
    <w:p w14:paraId="08AC99B3" w14:textId="77777777" w:rsidR="00906CFA" w:rsidRPr="00A3026E" w:rsidRDefault="00906CFA" w:rsidP="00A3026E">
      <w:pPr>
        <w:spacing w:after="0" w:line="240" w:lineRule="auto"/>
        <w:jc w:val="both"/>
        <w:rPr>
          <w:rFonts w:ascii="Times New Roman" w:hAnsi="Times New Roman"/>
          <w:color w:val="000000" w:themeColor="text1"/>
          <w:sz w:val="16"/>
          <w:szCs w:val="16"/>
        </w:rPr>
      </w:pPr>
    </w:p>
    <w:p w14:paraId="60911D60"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3A20D24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830B9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циркуляром НКВД № 270 для несовершеннолетних заключенных колоний НКВД устанавливались: для заключенных в возрасте от 12 до 16 лет - 4-часовой рабочий день на производстве (в ученических мастерских) и 4 часа занятий в школе; от 16 до 18 лет - 8-часовой рабочий день на производстве (в ученических мастерских) и 2 часа занятий (7560).</w:t>
      </w:r>
    </w:p>
    <w:p w14:paraId="2046623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731B23D" w14:textId="77777777" w:rsidR="00C66762"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За</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рубежом</w:t>
      </w:r>
      <w:r w:rsidRPr="00A3026E">
        <w:rPr>
          <w:rFonts w:ascii="Times New Roman" w:hAnsi="Times New Roman"/>
          <w:i/>
          <w:iCs/>
          <w:color w:val="000000" w:themeColor="text1"/>
          <w:sz w:val="16"/>
          <w:szCs w:val="16"/>
          <w:lang w:val="en-US"/>
        </w:rPr>
        <w:t>:</w:t>
      </w:r>
    </w:p>
    <w:p w14:paraId="588FB017" w14:textId="77777777" w:rsidR="00C66762" w:rsidRPr="00A3026E" w:rsidRDefault="00C66762" w:rsidP="00A3026E">
      <w:pPr>
        <w:spacing w:after="0" w:line="240" w:lineRule="auto"/>
        <w:jc w:val="both"/>
        <w:rPr>
          <w:rFonts w:ascii="Times New Roman" w:hAnsi="Times New Roman"/>
          <w:iCs/>
          <w:color w:val="000000" w:themeColor="text1"/>
          <w:sz w:val="16"/>
          <w:szCs w:val="16"/>
          <w:lang w:val="en-US"/>
        </w:rPr>
      </w:pPr>
    </w:p>
    <w:p w14:paraId="1B634BB5" w14:textId="77777777" w:rsidR="0048608B" w:rsidRPr="00A3026E" w:rsidRDefault="0048608B"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November 11, 1940: British naval aircraft attack the Italian fleet at Taranto, sinking or damaging three battleships (3819).</w:t>
      </w:r>
    </w:p>
    <w:p w14:paraId="4B5C2111" w14:textId="77777777" w:rsidR="0048608B" w:rsidRPr="00A3026E" w:rsidRDefault="0048608B" w:rsidP="00A3026E">
      <w:pPr>
        <w:spacing w:after="0" w:line="240" w:lineRule="auto"/>
        <w:jc w:val="both"/>
        <w:rPr>
          <w:rFonts w:ascii="Times New Roman" w:hAnsi="Times New Roman"/>
          <w:color w:val="000000" w:themeColor="text1"/>
          <w:sz w:val="16"/>
          <w:szCs w:val="16"/>
          <w:lang w:val="en-US"/>
        </w:rPr>
      </w:pPr>
    </w:p>
    <w:p w14:paraId="286D59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английской авиацией в бухте Таранто уничтожены три итальянских линкора (4962).</w:t>
      </w:r>
    </w:p>
    <w:p w14:paraId="060F52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4DEB6E7"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11 ноября </w:t>
      </w:r>
      <w:r w:rsidRPr="00A3026E">
        <w:rPr>
          <w:rFonts w:ascii="Times New Roman" w:hAnsi="Times New Roman"/>
          <w:color w:val="000000" w:themeColor="text1"/>
          <w:sz w:val="16"/>
          <w:szCs w:val="16"/>
        </w:rPr>
        <w:t>в 1940 году 21 британский торпедоносец-бомбардировщик «Суордфиш» из состава авиагрупп авианосцев Игл и Иластриес взлетели с палубы авианосца «Илластриес» (3 самолета из за механических проблем не смогли принять участия в операции) в ходе налета двух волн самолетнов на порт Таранто торпедами с неконтактными взрывателями были повреждены и сели на грунд три линкора, один из них - "Конте ди кавур" так и не был впоследствии восстановлен. Ни одна из попавших в итальянские корабли английских полубронебойных авиабомб не взорвалась. Огнем итальянской зентиной артилерии сбито два Суордфиша и несколько собственных аэростатов заграждения. Одним из первых отчет об этой опрерации составил японский атташе в Италии. Японцы сделали надлежащие выводы при подготовке к Перл-Харбору (14827).</w:t>
      </w:r>
    </w:p>
    <w:p w14:paraId="3F1B80ED" w14:textId="77777777" w:rsidR="0048608B" w:rsidRPr="00A3026E" w:rsidRDefault="0048608B" w:rsidP="00A3026E">
      <w:pPr>
        <w:spacing w:after="0" w:line="240" w:lineRule="auto"/>
        <w:jc w:val="both"/>
        <w:rPr>
          <w:rFonts w:ascii="Times New Roman" w:hAnsi="Times New Roman"/>
          <w:color w:val="000000" w:themeColor="text1"/>
          <w:sz w:val="16"/>
          <w:szCs w:val="16"/>
        </w:rPr>
      </w:pPr>
    </w:p>
    <w:p w14:paraId="1D2DE91A"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ВВС Великобритании атаковали итальянские корабли в Таранто и сражение длилось до 12 ноября (3186).</w:t>
      </w:r>
    </w:p>
    <w:p w14:paraId="05545E98" w14:textId="77777777" w:rsidR="0048608B" w:rsidRPr="00A3026E" w:rsidRDefault="0048608B" w:rsidP="00A3026E">
      <w:pPr>
        <w:spacing w:after="0" w:line="240" w:lineRule="auto"/>
        <w:jc w:val="both"/>
        <w:rPr>
          <w:rFonts w:ascii="Times New Roman" w:hAnsi="Times New Roman"/>
          <w:color w:val="000000" w:themeColor="text1"/>
          <w:sz w:val="16"/>
          <w:szCs w:val="16"/>
        </w:rPr>
      </w:pPr>
    </w:p>
    <w:p w14:paraId="10BDA00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в концлагере Дахау казнены 55 польских интеллигента - первая массовая казнь нацистов в Дахау (4962).</w:t>
      </w:r>
    </w:p>
    <w:p w14:paraId="55B0BF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8AF69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фашистами расстреляна демонстрация парижских студентов на Елисейских полях (4962).</w:t>
      </w:r>
    </w:p>
    <w:p w14:paraId="7C739D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A648B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гитлеровцы расстреляли демонстрацию студентов на Елисейских полях (3481).</w:t>
      </w:r>
    </w:p>
    <w:p w14:paraId="7E52F79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F0E213"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11 ноября </w:t>
      </w:r>
      <w:r w:rsidRPr="00A3026E">
        <w:rPr>
          <w:rFonts w:ascii="Times New Roman" w:hAnsi="Times New Roman"/>
          <w:color w:val="000000" w:themeColor="text1"/>
          <w:sz w:val="16"/>
          <w:szCs w:val="16"/>
        </w:rPr>
        <w:t>в 1940 году между германским министерством информации и пропаганды о ОКВ заключено соглашение о более тесном взаимодействии «в области духовного просвещения и воспитания вермахта» (14827).</w:t>
      </w:r>
    </w:p>
    <w:p w14:paraId="671DCFBD" w14:textId="77777777" w:rsidR="0048608B" w:rsidRPr="00A3026E" w:rsidRDefault="0048608B" w:rsidP="00A3026E">
      <w:pPr>
        <w:spacing w:after="0" w:line="240" w:lineRule="auto"/>
        <w:jc w:val="both"/>
        <w:rPr>
          <w:rFonts w:ascii="Times New Roman" w:hAnsi="Times New Roman"/>
          <w:color w:val="000000" w:themeColor="text1"/>
          <w:sz w:val="16"/>
          <w:szCs w:val="16"/>
        </w:rPr>
      </w:pPr>
    </w:p>
    <w:p w14:paraId="7DB761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итальянские ВВС бомбили Англию и потери составили 6 бомбардировщиков и 3 истребителя (2240).</w:t>
      </w:r>
    </w:p>
    <w:p w14:paraId="7F251FA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3D337F"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11 ноября </w:t>
      </w:r>
      <w:r w:rsidRPr="00A3026E">
        <w:rPr>
          <w:rFonts w:ascii="Times New Roman" w:hAnsi="Times New Roman"/>
          <w:color w:val="000000" w:themeColor="text1"/>
          <w:sz w:val="16"/>
          <w:szCs w:val="16"/>
        </w:rPr>
        <w:t>в 1940 году польское и чехословацкое правительства в изгнании, находящиеся в Лондоне, достигли договоренности о создании в послевоенной Европе польско-чехословацкой конфедерации (14827).</w:t>
      </w:r>
    </w:p>
    <w:p w14:paraId="1CED6E86" w14:textId="77777777" w:rsidR="0048608B" w:rsidRPr="00A3026E" w:rsidRDefault="0048608B" w:rsidP="00A3026E">
      <w:pPr>
        <w:spacing w:after="0" w:line="240" w:lineRule="auto"/>
        <w:jc w:val="both"/>
        <w:rPr>
          <w:rFonts w:ascii="Times New Roman" w:hAnsi="Times New Roman"/>
          <w:color w:val="000000" w:themeColor="text1"/>
          <w:sz w:val="16"/>
          <w:szCs w:val="16"/>
        </w:rPr>
      </w:pPr>
    </w:p>
    <w:p w14:paraId="5BB5C6EC"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11 ноября </w:t>
      </w:r>
      <w:r w:rsidRPr="00A3026E">
        <w:rPr>
          <w:rFonts w:ascii="Times New Roman" w:hAnsi="Times New Roman"/>
          <w:color w:val="000000" w:themeColor="text1"/>
          <w:sz w:val="16"/>
          <w:szCs w:val="16"/>
        </w:rPr>
        <w:t>в 1940 году Артур Уильям Сидней Херрингтон, уже известный истории тем, что стал первым наемным рабочим в компании Харлей-Дэвидсон, явил миру джип. Год назад в США был объявлен открытый конкурс на легковой военный автомобиль, который мог бы заменить мотоциклы с коляской, а также армейский вариант безнадежно устаревшего «Ford-Т». Новая машина обязательно должна была иметь:</w:t>
      </w:r>
    </w:p>
    <w:p w14:paraId="679D2712"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грузоподъемность не меньше 600 фунтов (272 кг);</w:t>
      </w:r>
    </w:p>
    <w:p w14:paraId="12F0C77E"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базу (расстояние между осями) не больше 75 дюймов (190,5 см);</w:t>
      </w:r>
    </w:p>
    <w:p w14:paraId="3A21DA1B"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высоту не больше 36 дюймов (91,2 см);</w:t>
      </w:r>
    </w:p>
    <w:p w14:paraId="3FB91387"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двигатель, способный поддерживать скорость в интервале от 3 до 50 миль/ч (от 4,8 до 80 км/ч);</w:t>
      </w:r>
    </w:p>
    <w:p w14:paraId="3A2EF417"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прямоугольный корпус;</w:t>
      </w:r>
    </w:p>
    <w:p w14:paraId="3656EC39"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двухскоростную (как минимум) коробку передач и полный привод;</w:t>
      </w:r>
    </w:p>
    <w:p w14:paraId="3FB126B1"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откидывающееся ветровое стекло;</w:t>
      </w:r>
    </w:p>
    <w:p w14:paraId="0A2621EE"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сиденья для трех человек;</w:t>
      </w:r>
    </w:p>
    <w:p w14:paraId="73F061D4"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фары спереди и сзади;</w:t>
      </w:r>
    </w:p>
    <w:p w14:paraId="67E5EEF6"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общий вес не больше 1200 фунтов (544 кг).</w:t>
      </w:r>
    </w:p>
    <w:p w14:paraId="7B0D3166"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Выполнить все условия в максимальном приближении удалось только трем компаниям – «Ford Motor Сompany», «Willys-Overland» и «American Bantam Car Company». Опередил всех «Bantam, ему и отдали было предпочтение, но тут выяснилось, что спешка хороша только при ловле блох. Бентамовский вездеход полевых испытаний не прошел, бесславно перевернувшись на первой же кочке. Еще раз внимательно ознакомившись с предъявленными образцами, высокая комиссия отдала предпочтение детищу Херрингтона из компании «Willys-Overland». «Willys Military model MB» отличался простотой конструкции. Двигатель с "лежачим" блоком цилиндров делал 4000 оборотов в минуту и не глох в течение 100 часов безостановочной работы. Воздушный фильтр был усовершенствованным вариантом фордовского, а масляный фильтр располагался гораздо выше, чем в обычных машинах. Шестивольтовый аккумулятор питал передние фары, крепившиеся на шарнирах, - их можно было разворачивать на 180 градусов. От мотора через динамо питались радар, радиопередатчик, сварочный агрегат и десантное оборудование. Коробка передач имела три скорости. Всем был хорош "виллис", но тяжел чрезвычайно, и инженеры, поразмыслив, укоротили болты, взяли потоньше металл, да и покрасили вездеходик слоем потоньше, сэкономив государству аж 4,5 кг краски! Вновь взвешенный "виллис" оказался легче запланированного на 200 граммов. Поставлять джипы в армию начали в июле 1941 года по цене 738 долларов 74 цента за штуку, и первые из них вступили в бой намного раньше, чем американские солдаты: прямо с конвейера "виллисы" отправили в подразделения английской пехоты. Каждые полторы минуты с конвейера сходил один джип, а всего за войну было собрано больше трети миллиона "виллисов". У первого джипа был и гражданский двойник – «CJ-2A», что расшифровалось как civil jeep - "гражданский джип", а «Willys Military model MB» прошел еще через две войны, корейскую и вьетнамскую, отправившись в отставку только в 1981 году под натиском хищномордого "Хаммера". Теперь о названии. Тут версий три. Официальная, экзотическая и армейская. Начнем по порядку. Джип - это аббревиатура – «GP», «General Purpose Vehicle», так якобы его в армейских документах величали, но в документах как раз такое выражение и не встречается, там "виллис" описывается как truck, quarter ton, four by four, and command reconnaissance, что можно перевести как "четвертьтонный полноприводной командирский разведывательный автомобиль". По версии №2 джип назван в честь некой невидимой твари джип, обитающей, по поверьям граждан США предвоенных лет, в Африке, причем в четвертом измерении (invisible, fourth dimensional creature of Africa). Что касается третьей версии, так известно, что в американской армии тех лет джипами дразнили новобранцев в честь героя популярного в те годы мультсериала о матросике Папай, странного пучеглазого зверя по имени Юджин Джип. Глянули, мол, солдаты на "лупоглазый" автомобильчик и ахнули: "Так ведь это же Юджин Джип!" (14827).</w:t>
      </w:r>
    </w:p>
    <w:p w14:paraId="442D14AF" w14:textId="77777777" w:rsidR="0048608B" w:rsidRPr="00A3026E" w:rsidRDefault="0048608B" w:rsidP="00A3026E">
      <w:pPr>
        <w:spacing w:after="0" w:line="240" w:lineRule="auto"/>
        <w:jc w:val="both"/>
        <w:rPr>
          <w:rFonts w:ascii="Times New Roman" w:hAnsi="Times New Roman"/>
          <w:color w:val="000000" w:themeColor="text1"/>
          <w:sz w:val="16"/>
          <w:szCs w:val="16"/>
        </w:rPr>
      </w:pPr>
    </w:p>
    <w:p w14:paraId="107F5684" w14:textId="77777777" w:rsidR="0048608B" w:rsidRPr="00A3026E" w:rsidRDefault="0048608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компания Willis Overland начала выпуск своего GP - джипа (3481).</w:t>
      </w:r>
    </w:p>
    <w:p w14:paraId="0026D0BC" w14:textId="77777777" w:rsidR="0048608B" w:rsidRPr="00A3026E" w:rsidRDefault="0048608B" w:rsidP="00A3026E">
      <w:pPr>
        <w:spacing w:after="0" w:line="240" w:lineRule="auto"/>
        <w:jc w:val="both"/>
        <w:rPr>
          <w:rFonts w:ascii="Times New Roman" w:hAnsi="Times New Roman"/>
          <w:color w:val="000000" w:themeColor="text1"/>
          <w:sz w:val="16"/>
          <w:szCs w:val="16"/>
        </w:rPr>
      </w:pPr>
    </w:p>
    <w:p w14:paraId="6C227A69" w14:textId="77777777" w:rsidR="0048608B" w:rsidRPr="00A3026E" w:rsidRDefault="0048608B"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ноября 1940 выпущены первые автомобили «Джип» (4962).</w:t>
      </w:r>
    </w:p>
    <w:p w14:paraId="01BEFE3E" w14:textId="77777777" w:rsidR="0048608B" w:rsidRPr="00A3026E" w:rsidRDefault="0048608B" w:rsidP="00A3026E">
      <w:pPr>
        <w:tabs>
          <w:tab w:val="left" w:pos="11199"/>
        </w:tabs>
        <w:spacing w:after="0" w:line="240" w:lineRule="auto"/>
        <w:jc w:val="both"/>
        <w:rPr>
          <w:rFonts w:ascii="Times New Roman" w:hAnsi="Times New Roman"/>
          <w:color w:val="000000" w:themeColor="text1"/>
          <w:sz w:val="16"/>
          <w:szCs w:val="16"/>
        </w:rPr>
      </w:pPr>
    </w:p>
    <w:p w14:paraId="172C483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8DA7E6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13131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Зам. нач. ПГУ Шиц писал справку N 8777-2 по письму Нач. авиации ВМФ Жаворонкова от 16 октября 1940 N 53306с (1304,258):</w:t>
      </w:r>
    </w:p>
    <w:p w14:paraId="274E93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"Постановления КО NN 77сс от 17 февраля 1940 и 296сс от июля 1940 отменены последующим решением КО N 413 от 19 октября 1940 как утратившие силы.</w:t>
      </w:r>
    </w:p>
    <w:p w14:paraId="0C73EB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Этими постановлениями НКАП обязывался поставить ВМФ ДБ-3 и ДБ-3Ф (торпедоносец) в колесном варианте, т.е. в каком они были освоены промышленностью и в частности заводами 126 и 39.</w:t>
      </w:r>
    </w:p>
    <w:p w14:paraId="5629BA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126 в течение года сдаст НКВМФ 35 торпедоносцев ДБ-3 в колесном варианте, в т.ч. 10 самолетов готово.</w:t>
      </w:r>
    </w:p>
    <w:p w14:paraId="19D1FB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Решением КО N 413сс от 19 октября 1940 НКАП обязывается сдать ВМФ: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28"/>
        <w:gridCol w:w="1710"/>
        <w:gridCol w:w="1710"/>
      </w:tblGrid>
      <w:tr w:rsidR="00983732" w:rsidRPr="00A3026E" w14:paraId="0CFA3B31" w14:textId="77777777" w:rsidTr="00EA0DA7">
        <w:tc>
          <w:tcPr>
            <w:tcW w:w="1728" w:type="dxa"/>
            <w:tcBorders>
              <w:top w:val="single" w:sz="12" w:space="0" w:color="auto"/>
            </w:tcBorders>
          </w:tcPr>
          <w:p w14:paraId="279DD1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1710" w:type="dxa"/>
            <w:tcBorders>
              <w:top w:val="single" w:sz="12" w:space="0" w:color="auto"/>
            </w:tcBorders>
          </w:tcPr>
          <w:p w14:paraId="6C763C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ДБ-3Т</w:t>
            </w:r>
          </w:p>
        </w:tc>
        <w:tc>
          <w:tcPr>
            <w:tcW w:w="1710" w:type="dxa"/>
            <w:tcBorders>
              <w:top w:val="single" w:sz="12" w:space="0" w:color="auto"/>
            </w:tcBorders>
          </w:tcPr>
          <w:p w14:paraId="0EFCA2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завода 126</w:t>
            </w:r>
          </w:p>
        </w:tc>
      </w:tr>
      <w:tr w:rsidR="00983732" w:rsidRPr="00A3026E" w14:paraId="7950E91F" w14:textId="77777777" w:rsidTr="00EA0DA7">
        <w:tc>
          <w:tcPr>
            <w:tcW w:w="1728" w:type="dxa"/>
          </w:tcPr>
          <w:p w14:paraId="76BD86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1710" w:type="dxa"/>
          </w:tcPr>
          <w:p w14:paraId="5FEE91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ДБ-3ФТ</w:t>
            </w:r>
          </w:p>
        </w:tc>
        <w:tc>
          <w:tcPr>
            <w:tcW w:w="1710" w:type="dxa"/>
          </w:tcPr>
          <w:p w14:paraId="5E54E1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завода 126</w:t>
            </w:r>
          </w:p>
        </w:tc>
      </w:tr>
      <w:tr w:rsidR="00983732" w:rsidRPr="00A3026E" w14:paraId="56BCF308" w14:textId="77777777" w:rsidTr="00EA0DA7">
        <w:tc>
          <w:tcPr>
            <w:tcW w:w="1728" w:type="dxa"/>
            <w:tcBorders>
              <w:bottom w:val="single" w:sz="12" w:space="0" w:color="auto"/>
            </w:tcBorders>
          </w:tcPr>
          <w:p w14:paraId="300C4A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w:t>
            </w:r>
          </w:p>
        </w:tc>
        <w:tc>
          <w:tcPr>
            <w:tcW w:w="1710" w:type="dxa"/>
            <w:tcBorders>
              <w:bottom w:val="single" w:sz="12" w:space="0" w:color="auto"/>
            </w:tcBorders>
          </w:tcPr>
          <w:p w14:paraId="62A2C8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ДБ-3ФТ</w:t>
            </w:r>
          </w:p>
        </w:tc>
        <w:tc>
          <w:tcPr>
            <w:tcW w:w="1710" w:type="dxa"/>
            <w:tcBorders>
              <w:bottom w:val="single" w:sz="12" w:space="0" w:color="auto"/>
            </w:tcBorders>
          </w:tcPr>
          <w:p w14:paraId="19E73A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завода 39</w:t>
            </w:r>
          </w:p>
        </w:tc>
      </w:tr>
    </w:tbl>
    <w:p w14:paraId="29C457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Выполнить 20 самолетов на поплавках невозможно:</w:t>
      </w:r>
    </w:p>
    <w:p w14:paraId="6C54B1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Самолет ДБ-3 по заготовительным и агрегатно-сборочным цехам завода 126 сошел с производства, конструктивные изменения, требующиеся для поплавкового варианта, внесены быть не могут, т.к. они несут за собой изменение силовой схемы конструкции крыла и требуют установки чисто морского оборудования.</w:t>
      </w:r>
    </w:p>
    <w:p w14:paraId="083CC1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Самолет ДБ-3Ф на поплавках никогда не проектировался. Для того, чтобы поставить его на поплавки необходимо в силовую схему самолета и его конструкцию внести коренные изменения, что также практически невозможно вследствие того, что на этот вариант нет чертежей. Кроме того самолет находится в производстве 1.5 месяца и заводами 39 и 18 полностью выполнены годовые программы по заготовительным и агрегатным цехам.</w:t>
      </w:r>
    </w:p>
    <w:p w14:paraId="1DDFCF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Следовательно НКАП может поставить ВМФ торпедоносцы только на колесах как ДБ-3, а также и ДБ-3Ф (1304,258).</w:t>
      </w:r>
    </w:p>
    <w:p w14:paraId="2E3610F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E77FC4D" w14:textId="77777777" w:rsidR="00DE74E5" w:rsidRPr="00A3026E" w:rsidRDefault="00DE74E5" w:rsidP="00A3026E">
      <w:pPr>
        <w:autoSpaceDE w:val="0"/>
        <w:autoSpaceDN w:val="0"/>
        <w:adjustRightInd w:val="0"/>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12 ноября 1940 года состоялось совеща</w:t>
      </w:r>
      <w:r w:rsidRPr="00A3026E">
        <w:rPr>
          <w:rFonts w:ascii="Times New Roman" w:hAnsi="Times New Roman"/>
          <w:color w:val="0070C0"/>
          <w:sz w:val="16"/>
          <w:szCs w:val="16"/>
          <w:lang w:eastAsia="ru-RU" w:bidi="ru-RU"/>
        </w:rPr>
        <w:softHyphen/>
        <w:t>ние в ГУ ВВС с участием представителей НКАП по вопросу устранения дефектов самолета ДБ-240-2М-105, выявленных в процессе го</w:t>
      </w:r>
      <w:r w:rsidRPr="00A3026E">
        <w:rPr>
          <w:rFonts w:ascii="Times New Roman" w:hAnsi="Times New Roman"/>
          <w:color w:val="0070C0"/>
          <w:sz w:val="16"/>
          <w:szCs w:val="16"/>
          <w:lang w:eastAsia="ru-RU" w:bidi="ru-RU"/>
        </w:rPr>
        <w:softHyphen/>
        <w:t>сударственных испытаний. Был выработан согласованный график со сроками и поряд</w:t>
      </w:r>
      <w:r w:rsidRPr="00A3026E">
        <w:rPr>
          <w:rFonts w:ascii="Times New Roman" w:hAnsi="Times New Roman"/>
          <w:color w:val="0070C0"/>
          <w:sz w:val="16"/>
          <w:szCs w:val="16"/>
          <w:lang w:eastAsia="ru-RU" w:bidi="ru-RU"/>
        </w:rPr>
        <w:softHyphen/>
        <w:t>ком их устранения (21406).</w:t>
      </w:r>
    </w:p>
    <w:p w14:paraId="2C16D24B" w14:textId="77777777" w:rsidR="00DE74E5" w:rsidRPr="00A3026E" w:rsidRDefault="00DE74E5" w:rsidP="00A3026E">
      <w:pPr>
        <w:autoSpaceDE w:val="0"/>
        <w:autoSpaceDN w:val="0"/>
        <w:adjustRightInd w:val="0"/>
        <w:spacing w:after="0" w:line="240" w:lineRule="auto"/>
        <w:jc w:val="both"/>
        <w:rPr>
          <w:rFonts w:ascii="Times New Roman" w:hAnsi="Times New Roman"/>
          <w:color w:val="0070C0"/>
          <w:sz w:val="16"/>
          <w:szCs w:val="16"/>
        </w:rPr>
      </w:pPr>
    </w:p>
    <w:p w14:paraId="6B36096E" w14:textId="77777777" w:rsidR="0048608B" w:rsidRPr="00A3026E" w:rsidRDefault="0048608B"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12 ноября 1940 протокол осмотра макета ТИС был утвержден и через два дня направлен в заинтересованные организации.</w:t>
      </w:r>
    </w:p>
    <w:p w14:paraId="1314AD29" w14:textId="77777777" w:rsidR="0048608B" w:rsidRPr="00A3026E" w:rsidRDefault="0048608B"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Поскольку формально в НИИ ВВС еще отсутствовали материалы эскизно</w:t>
      </w:r>
      <w:r w:rsidRPr="00A3026E">
        <w:rPr>
          <w:rFonts w:ascii="Times New Roman" w:cs="Times New Roman"/>
          <w:color w:val="000000" w:themeColor="text1"/>
          <w:spacing w:val="0"/>
        </w:rPr>
        <w:softHyphen/>
        <w:t>го проекта, то приняли решение в де</w:t>
      </w:r>
      <w:r w:rsidRPr="00A3026E">
        <w:rPr>
          <w:rFonts w:ascii="Times New Roman" w:cs="Times New Roman"/>
          <w:color w:val="000000" w:themeColor="text1"/>
          <w:spacing w:val="0"/>
          <w:vertAlign w:val="superscript"/>
        </w:rPr>
        <w:t xml:space="preserve">: </w:t>
      </w:r>
      <w:r w:rsidRPr="00A3026E">
        <w:rPr>
          <w:rFonts w:ascii="Times New Roman" w:cs="Times New Roman"/>
          <w:color w:val="000000" w:themeColor="text1"/>
          <w:spacing w:val="0"/>
        </w:rPr>
        <w:t>кабре повторно осмотреть макет са</w:t>
      </w:r>
      <w:r w:rsidRPr="00A3026E">
        <w:rPr>
          <w:rFonts w:ascii="Times New Roman" w:cs="Times New Roman"/>
          <w:color w:val="000000" w:themeColor="text1"/>
          <w:spacing w:val="0"/>
        </w:rPr>
        <w:softHyphen/>
        <w:t>молета. Предполагалось, что к этому времени в НИИ ВВС будут отработаны ТТТ к самолету, главный конструктор са</w:t>
      </w:r>
      <w:r w:rsidRPr="00A3026E">
        <w:rPr>
          <w:rFonts w:ascii="Times New Roman" w:cs="Times New Roman"/>
          <w:color w:val="000000" w:themeColor="text1"/>
          <w:spacing w:val="0"/>
        </w:rPr>
        <w:softHyphen/>
        <w:t>молета представит материалы эскизно</w:t>
      </w:r>
      <w:r w:rsidRPr="00A3026E">
        <w:rPr>
          <w:rFonts w:ascii="Times New Roman" w:cs="Times New Roman"/>
          <w:color w:val="000000" w:themeColor="text1"/>
          <w:spacing w:val="0"/>
        </w:rPr>
        <w:softHyphen/>
        <w:t>го проекта в окончательном виде, в ма</w:t>
      </w:r>
      <w:r w:rsidRPr="00A3026E">
        <w:rPr>
          <w:rFonts w:ascii="Times New Roman" w:cs="Times New Roman"/>
          <w:color w:val="000000" w:themeColor="text1"/>
          <w:spacing w:val="0"/>
        </w:rPr>
        <w:softHyphen/>
        <w:t>кет будут внесены изменения, согласно протоколу предварительного осмотра макетной комиссии (15755).</w:t>
      </w:r>
    </w:p>
    <w:p w14:paraId="1B43BC76" w14:textId="77777777" w:rsidR="0048608B" w:rsidRPr="00A3026E" w:rsidRDefault="0048608B" w:rsidP="00A3026E">
      <w:pPr>
        <w:pStyle w:val="26"/>
        <w:shd w:val="clear" w:color="auto" w:fill="auto"/>
        <w:spacing w:after="0" w:line="240" w:lineRule="auto"/>
        <w:ind w:firstLine="0"/>
        <w:rPr>
          <w:rFonts w:ascii="Times New Roman" w:cs="Times New Roman"/>
          <w:color w:val="000000" w:themeColor="text1"/>
          <w:spacing w:val="0"/>
        </w:rPr>
      </w:pPr>
    </w:p>
    <w:p w14:paraId="10A1C8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гла Гусевым был утвержден протокол макетной комиссии ГУ ВВС КА по макету одноместного двухмоторного истребителя сопровождения ДИС МиГ с 2хАМ-37 (в одноместном варианте вместо 2-х местного, требуемого макетной комиссией) (990,6).</w:t>
      </w:r>
    </w:p>
    <w:p w14:paraId="29842B4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7D48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Нач. ГУ ВВС КА гла Рычаговым был утвержден протокол макетной комиссии ГУ ВВС КА по макету одноместного двухмоторного истребителя сопровождения ДИС МиГ с 2хАМ-37 конструкции М и Г</w:t>
      </w:r>
    </w:p>
    <w:p w14:paraId="3751D8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 Комиссии врид нач. НИИ ВВС КА ви1р Лосюков, пом. Нач. ГУ ВВС КА дивинженер Сакриер, нач. 2 упр. ГУ ВВС би Иоффе, би Лапин, Грендаль, Синяк, Салимов, Стефаненко, Микоян, Гуревич, В.А.Туркина, Матин, Микулин, Флиссен и т.д.</w:t>
      </w:r>
    </w:p>
    <w:p w14:paraId="59F99C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Стефаненко - с-т имеет чрезмерно большую нагрузку. Вираж будет большой, он не сможет вести бой с одноместными истребителями. Нужна защита хвоста, обязательно нужен второй чел-к</w:t>
      </w:r>
    </w:p>
    <w:p w14:paraId="57E6A1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В.А.Туркина: у 2-х местного истребителя со скоростью 600 км/час стрелок почти не стреляет и ДИС можно применять как пикирующий бомбардировщик (990,9).</w:t>
      </w:r>
    </w:p>
    <w:p w14:paraId="45CA03D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01533F" w14:textId="77777777" w:rsidR="00C66762" w:rsidRPr="00A3026E" w:rsidRDefault="00C66762" w:rsidP="00A3026E">
      <w:pPr>
        <w:pStyle w:val="a3"/>
        <w:widowControl/>
        <w:rPr>
          <w:color w:val="000000" w:themeColor="text1"/>
          <w:lang w:val="ru-RU"/>
        </w:rPr>
      </w:pPr>
      <w:r w:rsidRPr="00A3026E">
        <w:rPr>
          <w:color w:val="000000" w:themeColor="text1"/>
          <w:lang w:val="ru-RU"/>
        </w:rPr>
        <w:t>12 ноября 1940 года гл. конструктор завода № 1 НКАП Микоян А.И. писал письмо № 12367 в КО</w:t>
      </w:r>
    </w:p>
    <w:p w14:paraId="37E38E6D" w14:textId="77777777" w:rsidR="00C66762" w:rsidRPr="00A3026E" w:rsidRDefault="00C66762" w:rsidP="00A3026E">
      <w:pPr>
        <w:pStyle w:val="a3"/>
        <w:widowControl/>
        <w:rPr>
          <w:color w:val="000000" w:themeColor="text1"/>
          <w:lang w:val="ru-RU"/>
        </w:rPr>
      </w:pPr>
      <w:r w:rsidRPr="00A3026E">
        <w:rPr>
          <w:color w:val="000000" w:themeColor="text1"/>
          <w:lang w:val="ru-RU"/>
        </w:rPr>
        <w:t>Сообщаем летно-тактические данные самолета ДИС-200.</w:t>
      </w:r>
    </w:p>
    <w:p w14:paraId="2FDBACDD" w14:textId="77777777" w:rsidR="00C66762" w:rsidRPr="00A3026E" w:rsidRDefault="00C66762" w:rsidP="00A3026E">
      <w:pPr>
        <w:pStyle w:val="a3"/>
        <w:widowControl/>
        <w:rPr>
          <w:color w:val="000000" w:themeColor="text1"/>
          <w:lang w:val="ru-RU"/>
        </w:rPr>
      </w:pPr>
      <w:r w:rsidRPr="00A3026E">
        <w:rPr>
          <w:color w:val="000000" w:themeColor="text1"/>
          <w:lang w:val="ru-RU"/>
        </w:rPr>
        <w:t>Экипаж – 1 человек.</w:t>
      </w:r>
    </w:p>
    <w:p w14:paraId="198355C8" w14:textId="77777777" w:rsidR="00C66762" w:rsidRPr="00A3026E" w:rsidRDefault="00C66762" w:rsidP="00A3026E">
      <w:pPr>
        <w:pStyle w:val="a3"/>
        <w:widowControl/>
        <w:rPr>
          <w:color w:val="000000" w:themeColor="text1"/>
          <w:lang w:val="ru-RU"/>
        </w:rPr>
      </w:pPr>
      <w:r w:rsidRPr="00A3026E">
        <w:rPr>
          <w:color w:val="000000" w:themeColor="text1"/>
          <w:lang w:val="ru-RU"/>
        </w:rPr>
        <w:t>(Одна из опытных машин будет построена в двухместном варианте).</w:t>
      </w:r>
    </w:p>
    <w:p w14:paraId="5E7E95AC" w14:textId="77777777" w:rsidR="00C66762" w:rsidRPr="00A3026E" w:rsidRDefault="00C66762" w:rsidP="00A3026E">
      <w:pPr>
        <w:pStyle w:val="a3"/>
        <w:widowControl/>
        <w:rPr>
          <w:color w:val="000000" w:themeColor="text1"/>
          <w:lang w:val="ru-RU"/>
        </w:rPr>
      </w:pPr>
      <w:r w:rsidRPr="00A3026E">
        <w:rPr>
          <w:color w:val="000000" w:themeColor="text1"/>
          <w:lang w:val="ru-RU"/>
        </w:rPr>
        <w:t>Стрелковое вооружение.</w:t>
      </w:r>
    </w:p>
    <w:p w14:paraId="3940D448"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Четыре пулемета ШКАС с емкостью патронных коробок 4800 штук</w:t>
      </w:r>
    </w:p>
    <w:p w14:paraId="071C9E1C"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Два пулемета БС (калибром 12,7 мм с емкостью патронных коробок – 1100 штук</w:t>
      </w:r>
    </w:p>
    <w:p w14:paraId="6FEA4461"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Две пушки Таубина калибром 23 мм с емкостью магазинов – 120 снарядов</w:t>
      </w:r>
    </w:p>
    <w:p w14:paraId="094E1D86" w14:textId="77777777" w:rsidR="00C66762" w:rsidRPr="00A3026E" w:rsidRDefault="00C66762" w:rsidP="00A3026E">
      <w:pPr>
        <w:pStyle w:val="a3"/>
        <w:widowControl/>
        <w:rPr>
          <w:color w:val="000000" w:themeColor="text1"/>
          <w:lang w:val="ru-RU"/>
        </w:rPr>
      </w:pPr>
      <w:r w:rsidRPr="00A3026E">
        <w:rPr>
          <w:color w:val="000000" w:themeColor="text1"/>
          <w:lang w:val="ru-RU"/>
        </w:rPr>
        <w:t>(После получения пушки с отъемным магазином, емкость магазинов будет доведена до 200-240 снарядов на обе пушки).</w:t>
      </w:r>
    </w:p>
    <w:p w14:paraId="14CF60E5" w14:textId="77777777" w:rsidR="00C66762" w:rsidRPr="00A3026E" w:rsidRDefault="00C66762" w:rsidP="00A3026E">
      <w:pPr>
        <w:pStyle w:val="a3"/>
        <w:widowControl/>
        <w:rPr>
          <w:color w:val="000000" w:themeColor="text1"/>
          <w:lang w:val="ru-RU"/>
        </w:rPr>
      </w:pPr>
      <w:r w:rsidRPr="00A3026E">
        <w:rPr>
          <w:color w:val="000000" w:themeColor="text1"/>
          <w:lang w:val="ru-RU"/>
        </w:rPr>
        <w:t>Бомбардировочное вооружение (перегрузочные варианты).</w:t>
      </w:r>
    </w:p>
    <w:p w14:paraId="72C4E20B"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Одна бомба – 1000 кг</w:t>
      </w:r>
    </w:p>
    <w:p w14:paraId="0620AA53"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Две бомбы по – 500 кг</w:t>
      </w:r>
    </w:p>
    <w:p w14:paraId="2E32DC0A"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Три бомбы по – 250 кг</w:t>
      </w:r>
    </w:p>
    <w:p w14:paraId="703033B6" w14:textId="77777777" w:rsidR="00C66762" w:rsidRPr="00A3026E" w:rsidRDefault="00C66762" w:rsidP="00A3026E">
      <w:pPr>
        <w:pStyle w:val="a3"/>
        <w:widowControl/>
        <w:tabs>
          <w:tab w:val="left" w:pos="360"/>
        </w:tabs>
        <w:rPr>
          <w:color w:val="000000" w:themeColor="text1"/>
          <w:lang w:val="ru-RU"/>
        </w:rPr>
      </w:pPr>
      <w:r w:rsidRPr="00A3026E">
        <w:rPr>
          <w:color w:val="000000" w:themeColor="text1"/>
          <w:lang w:val="ru-RU"/>
        </w:rPr>
        <w:t>Одна торпеда – 1000 кг</w:t>
      </w:r>
    </w:p>
    <w:p w14:paraId="043CC348" w14:textId="77777777" w:rsidR="00C66762" w:rsidRPr="00A3026E" w:rsidRDefault="00C66762" w:rsidP="00A3026E">
      <w:pPr>
        <w:pStyle w:val="a3"/>
        <w:widowControl/>
        <w:rPr>
          <w:color w:val="000000" w:themeColor="text1"/>
          <w:lang w:val="ru-RU"/>
        </w:rPr>
      </w:pPr>
      <w:r w:rsidRPr="00A3026E">
        <w:rPr>
          <w:color w:val="000000" w:themeColor="text1"/>
          <w:lang w:val="ru-RU"/>
        </w:rPr>
        <w:t>Бомбы могут сбрасываться с пикирования.</w:t>
      </w:r>
    </w:p>
    <w:p w14:paraId="2A1C65DE" w14:textId="77777777" w:rsidR="00C66762" w:rsidRPr="00A3026E" w:rsidRDefault="00C66762" w:rsidP="00A3026E">
      <w:pPr>
        <w:pStyle w:val="a3"/>
        <w:widowControl/>
        <w:rPr>
          <w:color w:val="000000" w:themeColor="text1"/>
          <w:lang w:val="ru-RU"/>
        </w:rPr>
      </w:pPr>
      <w:r w:rsidRPr="00A3026E">
        <w:rPr>
          <w:color w:val="000000" w:themeColor="text1"/>
          <w:lang w:val="ru-RU"/>
        </w:rPr>
        <w:t>Летные данные</w:t>
      </w:r>
    </w:p>
    <w:p w14:paraId="1E7CBEC8" w14:textId="77777777" w:rsidR="00C66762" w:rsidRPr="00A3026E" w:rsidRDefault="00C66762" w:rsidP="00A3026E">
      <w:pPr>
        <w:pStyle w:val="a3"/>
        <w:widowControl/>
        <w:rPr>
          <w:color w:val="000000" w:themeColor="text1"/>
          <w:lang w:val="ru-RU"/>
        </w:rPr>
      </w:pPr>
      <w:r w:rsidRPr="00A3026E">
        <w:rPr>
          <w:color w:val="000000" w:themeColor="text1"/>
          <w:lang w:val="ru-RU"/>
        </w:rPr>
        <w:t>Максимальная скорость самолета на высоте 7300 м с мотором АМ37 – 635 км/час</w:t>
      </w:r>
    </w:p>
    <w:p w14:paraId="32AFBCEC" w14:textId="77777777" w:rsidR="00C66762" w:rsidRPr="00A3026E" w:rsidRDefault="00C66762" w:rsidP="00A3026E">
      <w:pPr>
        <w:pStyle w:val="a3"/>
        <w:widowControl/>
        <w:rPr>
          <w:color w:val="000000" w:themeColor="text1"/>
          <w:lang w:val="ru-RU"/>
        </w:rPr>
      </w:pPr>
      <w:r w:rsidRPr="00A3026E">
        <w:rPr>
          <w:color w:val="000000" w:themeColor="text1"/>
          <w:lang w:val="ru-RU"/>
        </w:rPr>
        <w:t>Скороподъемность на 5000 м – 6,5 мин.</w:t>
      </w:r>
    </w:p>
    <w:p w14:paraId="1AEF8167" w14:textId="77777777" w:rsidR="00C66762" w:rsidRPr="00A3026E" w:rsidRDefault="00C66762" w:rsidP="00A3026E">
      <w:pPr>
        <w:pStyle w:val="a3"/>
        <w:widowControl/>
        <w:rPr>
          <w:color w:val="000000" w:themeColor="text1"/>
          <w:lang w:val="ru-RU"/>
        </w:rPr>
      </w:pPr>
      <w:r w:rsidRPr="00A3026E">
        <w:rPr>
          <w:color w:val="000000" w:themeColor="text1"/>
          <w:lang w:val="ru-RU"/>
        </w:rPr>
        <w:t>Максимальная скорость с мотором АМ-35А на высоте 7200 м – 612 км/час</w:t>
      </w:r>
    </w:p>
    <w:p w14:paraId="714413D2" w14:textId="77777777" w:rsidR="00C66762" w:rsidRPr="00A3026E" w:rsidRDefault="00C66762" w:rsidP="00A3026E">
      <w:pPr>
        <w:pStyle w:val="a3"/>
        <w:widowControl/>
        <w:rPr>
          <w:color w:val="000000" w:themeColor="text1"/>
          <w:lang w:val="ru-RU"/>
        </w:rPr>
      </w:pPr>
      <w:r w:rsidRPr="00A3026E">
        <w:rPr>
          <w:color w:val="000000" w:themeColor="text1"/>
          <w:lang w:val="ru-RU"/>
        </w:rPr>
        <w:t>Скороподъемность на 5000 м – 7,8 мин.</w:t>
      </w:r>
    </w:p>
    <w:p w14:paraId="5BB96376" w14:textId="77777777" w:rsidR="00C66762" w:rsidRPr="00A3026E" w:rsidRDefault="00C66762" w:rsidP="00A3026E">
      <w:pPr>
        <w:pStyle w:val="a3"/>
        <w:widowControl/>
        <w:rPr>
          <w:color w:val="000000" w:themeColor="text1"/>
          <w:lang w:val="ru-RU"/>
        </w:rPr>
      </w:pPr>
      <w:r w:rsidRPr="00A3026E">
        <w:rPr>
          <w:color w:val="000000" w:themeColor="text1"/>
          <w:lang w:val="ru-RU"/>
        </w:rPr>
        <w:t>Посадочная скорость при нормальном полетном весе 6700 кг (с посадочными приспособлениями) – 136 км/час</w:t>
      </w:r>
    </w:p>
    <w:p w14:paraId="72298F97" w14:textId="77777777" w:rsidR="00C66762" w:rsidRPr="00A3026E" w:rsidRDefault="00C66762" w:rsidP="00A3026E">
      <w:pPr>
        <w:pStyle w:val="a3"/>
        <w:widowControl/>
        <w:rPr>
          <w:color w:val="000000" w:themeColor="text1"/>
          <w:lang w:val="ru-RU"/>
        </w:rPr>
      </w:pPr>
      <w:r w:rsidRPr="00A3026E">
        <w:rPr>
          <w:color w:val="000000" w:themeColor="text1"/>
          <w:lang w:val="ru-RU"/>
        </w:rPr>
        <w:lastRenderedPageBreak/>
        <w:t>Тоже с выгоревшим горючим и без патрон – 126 км/час</w:t>
      </w:r>
    </w:p>
    <w:p w14:paraId="3F767902" w14:textId="77777777" w:rsidR="00C66762" w:rsidRPr="00A3026E" w:rsidRDefault="00C66762" w:rsidP="00A3026E">
      <w:pPr>
        <w:pStyle w:val="a3"/>
        <w:widowControl/>
        <w:rPr>
          <w:color w:val="000000" w:themeColor="text1"/>
          <w:lang w:val="ru-RU"/>
        </w:rPr>
      </w:pPr>
      <w:r w:rsidRPr="00A3026E">
        <w:rPr>
          <w:color w:val="000000" w:themeColor="text1"/>
          <w:lang w:val="ru-RU"/>
        </w:rPr>
        <w:t>Дальность на 0,8 Vmax при расходе горючего 0,255 кгр/л.с. (расход горючего заменен на совместных испытаниях мотора на заводе № 24) – 2240 км</w:t>
      </w:r>
    </w:p>
    <w:p w14:paraId="3F0D23F5" w14:textId="77777777" w:rsidR="00C66762" w:rsidRPr="00A3026E" w:rsidRDefault="00C66762" w:rsidP="00A3026E">
      <w:pPr>
        <w:pStyle w:val="a3"/>
        <w:widowControl/>
        <w:rPr>
          <w:color w:val="000000" w:themeColor="text1"/>
          <w:lang w:val="ru-RU"/>
        </w:rPr>
      </w:pPr>
      <w:r w:rsidRPr="00A3026E">
        <w:rPr>
          <w:color w:val="000000" w:themeColor="text1"/>
          <w:lang w:val="ru-RU"/>
        </w:rPr>
        <w:t>Продолжительность полета на этом режиме – 4,5 часа</w:t>
      </w:r>
    </w:p>
    <w:p w14:paraId="76294CDC" w14:textId="77777777" w:rsidR="00C66762" w:rsidRPr="00A3026E" w:rsidRDefault="00C66762" w:rsidP="00A3026E">
      <w:pPr>
        <w:pStyle w:val="a3"/>
        <w:widowControl/>
        <w:rPr>
          <w:color w:val="000000" w:themeColor="text1"/>
          <w:lang w:val="ru-RU"/>
        </w:rPr>
      </w:pPr>
      <w:r w:rsidRPr="00A3026E">
        <w:rPr>
          <w:color w:val="000000" w:themeColor="text1"/>
          <w:lang w:val="ru-RU"/>
        </w:rPr>
        <w:t>Тоже, но при расходе горючего 0,285 кг/л.с.час</w:t>
      </w:r>
    </w:p>
    <w:p w14:paraId="2976927A" w14:textId="77777777" w:rsidR="00C66762" w:rsidRPr="00A3026E" w:rsidRDefault="00C66762" w:rsidP="00A3026E">
      <w:pPr>
        <w:pStyle w:val="a3"/>
        <w:widowControl/>
        <w:rPr>
          <w:color w:val="000000" w:themeColor="text1"/>
          <w:lang w:val="ru-RU"/>
        </w:rPr>
      </w:pPr>
      <w:r w:rsidRPr="00A3026E">
        <w:rPr>
          <w:color w:val="000000" w:themeColor="text1"/>
          <w:lang w:val="ru-RU"/>
        </w:rPr>
        <w:t>(практически ожидаемый расход) – 2000 км</w:t>
      </w:r>
    </w:p>
    <w:p w14:paraId="44DE2438" w14:textId="77777777" w:rsidR="00C66762" w:rsidRPr="00A3026E" w:rsidRDefault="00C66762" w:rsidP="00A3026E">
      <w:pPr>
        <w:pStyle w:val="a3"/>
        <w:widowControl/>
        <w:rPr>
          <w:color w:val="000000" w:themeColor="text1"/>
          <w:lang w:val="ru-RU"/>
        </w:rPr>
      </w:pPr>
      <w:r w:rsidRPr="00A3026E">
        <w:rPr>
          <w:color w:val="000000" w:themeColor="text1"/>
          <w:lang w:val="ru-RU"/>
        </w:rPr>
        <w:t>Продолжительность полета – 4 часа (3377, 87-88).</w:t>
      </w:r>
    </w:p>
    <w:p w14:paraId="19204047" w14:textId="77777777" w:rsidR="00C66762" w:rsidRPr="00A3026E" w:rsidRDefault="00C66762" w:rsidP="00A3026E">
      <w:pPr>
        <w:pStyle w:val="a3"/>
        <w:widowControl/>
        <w:rPr>
          <w:color w:val="000000" w:themeColor="text1"/>
          <w:lang w:val="ru-RU"/>
        </w:rPr>
      </w:pPr>
    </w:p>
    <w:p w14:paraId="054EA5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года закончились гос. испытания опытного одноместного истребителя И-26 М-105П № 3 с винтом ВИШ-61 конструкции инженера Яковлева постройки завода № 115 на пикирование, штопор, отстрел вооружения, устойчивость и пилотаж, которые проходили с 13 октября 1940 (6896).</w:t>
      </w:r>
    </w:p>
    <w:p w14:paraId="3535EAE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7081AE0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2 ранга Максимов</w:t>
      </w:r>
    </w:p>
    <w:p w14:paraId="39FF3E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подполковник Стефановский</w:t>
      </w:r>
    </w:p>
    <w:p w14:paraId="101C17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Третий экземпляр самолета И-26 является копией второго экземпляра, проходившего гос. испытания в НИИ ВВС с 1 по 15 июня 1940 года и не закончившего их вследствие недостаточной прочности конструкции.</w:t>
      </w:r>
    </w:p>
    <w:p w14:paraId="20CCD9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И-26 № 3 отличается от И-26 № 2 некоторыми изменениями, выполненными заводом № 115 в порядке реализации отчета по его гос. испытаниям.</w:t>
      </w:r>
    </w:p>
    <w:p w14:paraId="6DD0FB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0552924E"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самолета на пикирование.</w:t>
      </w:r>
    </w:p>
    <w:p w14:paraId="4BC37800"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Выявление штопорных свойств самолета.</w:t>
      </w:r>
    </w:p>
    <w:p w14:paraId="24DF84A6"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Выявление пилотажных качеств самолета.</w:t>
      </w:r>
    </w:p>
    <w:p w14:paraId="2DF09651"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вооружения самолета.</w:t>
      </w:r>
    </w:p>
    <w:p w14:paraId="01C37C3E"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Снятие характеристик устойчивости самолета.</w:t>
      </w:r>
    </w:p>
    <w:p w14:paraId="43820FB2"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Проверка выполнения указаний по спецоборудованию, данных в отчете по гос. испытаниям самолета И-26, экземпляр № 2.</w:t>
      </w:r>
    </w:p>
    <w:p w14:paraId="6FA0E9D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дополнительные гос. испытания 13 октября 1940 года.</w:t>
      </w:r>
    </w:p>
    <w:p w14:paraId="0B37ED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закончил гос. испытания 12 ноября 1940 года. Итого самолет испытан за 31 день. Летные испытания – 8 дней.</w:t>
      </w:r>
    </w:p>
    <w:p w14:paraId="7BA1B54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5B5652E" w14:textId="77777777" w:rsidR="00C66762" w:rsidRPr="00A3026E"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И-26 М-105 с винтом ВИШ-61 экземпляр № 3 считать прошедшим гос. испытания удовлетворительно.</w:t>
      </w:r>
    </w:p>
    <w:p w14:paraId="1AF7424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6804"/>
        <w:gridCol w:w="1701"/>
      </w:tblGrid>
      <w:tr w:rsidR="00983732" w:rsidRPr="00A3026E" w14:paraId="7EDBF8EF" w14:textId="77777777" w:rsidTr="00EA0DA7">
        <w:tc>
          <w:tcPr>
            <w:tcW w:w="2093" w:type="dxa"/>
          </w:tcPr>
          <w:p w14:paraId="1AB714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Дата</w:t>
            </w:r>
          </w:p>
        </w:tc>
        <w:tc>
          <w:tcPr>
            <w:tcW w:w="6804" w:type="dxa"/>
          </w:tcPr>
          <w:p w14:paraId="7C8765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Содержание работ</w:t>
            </w:r>
          </w:p>
        </w:tc>
        <w:tc>
          <w:tcPr>
            <w:tcW w:w="1701" w:type="dxa"/>
          </w:tcPr>
          <w:p w14:paraId="715256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B30704D" w14:textId="77777777" w:rsidTr="00EA0DA7">
        <w:tc>
          <w:tcPr>
            <w:tcW w:w="2093" w:type="dxa"/>
          </w:tcPr>
          <w:p w14:paraId="57E9EB2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октября 1940 года</w:t>
            </w:r>
          </w:p>
        </w:tc>
        <w:tc>
          <w:tcPr>
            <w:tcW w:w="6804" w:type="dxa"/>
          </w:tcPr>
          <w:p w14:paraId="43EDFFA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принят на гос. испытания. Произведено 2 полета на пилотаж с засечкой времени выполнения фигур.</w:t>
            </w:r>
          </w:p>
        </w:tc>
        <w:tc>
          <w:tcPr>
            <w:tcW w:w="1701" w:type="dxa"/>
          </w:tcPr>
          <w:p w14:paraId="1C76232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40 мин.</w:t>
            </w:r>
          </w:p>
        </w:tc>
      </w:tr>
      <w:tr w:rsidR="00983732" w:rsidRPr="00A3026E" w14:paraId="12551DFC" w14:textId="77777777" w:rsidTr="00EA0DA7">
        <w:tc>
          <w:tcPr>
            <w:tcW w:w="2093" w:type="dxa"/>
          </w:tcPr>
          <w:p w14:paraId="0C513C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года</w:t>
            </w:r>
          </w:p>
        </w:tc>
        <w:tc>
          <w:tcPr>
            <w:tcW w:w="6804" w:type="dxa"/>
          </w:tcPr>
          <w:p w14:paraId="239BFD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полет на штопор и пикирование до 500 км/час.</w:t>
            </w:r>
          </w:p>
        </w:tc>
        <w:tc>
          <w:tcPr>
            <w:tcW w:w="1701" w:type="dxa"/>
          </w:tcPr>
          <w:p w14:paraId="324EC12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 мин.</w:t>
            </w:r>
          </w:p>
        </w:tc>
      </w:tr>
      <w:tr w:rsidR="00983732" w:rsidRPr="00A3026E" w14:paraId="1251D441" w14:textId="77777777" w:rsidTr="00EA0DA7">
        <w:tc>
          <w:tcPr>
            <w:tcW w:w="2093" w:type="dxa"/>
          </w:tcPr>
          <w:p w14:paraId="666C09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года</w:t>
            </w:r>
          </w:p>
        </w:tc>
        <w:tc>
          <w:tcPr>
            <w:tcW w:w="6804" w:type="dxa"/>
          </w:tcPr>
          <w:p w14:paraId="59A588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полет на отстрел вооружения.</w:t>
            </w:r>
          </w:p>
        </w:tc>
        <w:tc>
          <w:tcPr>
            <w:tcW w:w="1701" w:type="dxa"/>
          </w:tcPr>
          <w:p w14:paraId="3E670C5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мин.</w:t>
            </w:r>
          </w:p>
        </w:tc>
      </w:tr>
      <w:tr w:rsidR="00983732" w:rsidRPr="00A3026E" w14:paraId="0836C399" w14:textId="77777777" w:rsidTr="00EA0DA7">
        <w:tc>
          <w:tcPr>
            <w:tcW w:w="2093" w:type="dxa"/>
          </w:tcPr>
          <w:p w14:paraId="6848893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года</w:t>
            </w:r>
          </w:p>
        </w:tc>
        <w:tc>
          <w:tcPr>
            <w:tcW w:w="6804" w:type="dxa"/>
          </w:tcPr>
          <w:p w14:paraId="41C602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Три полета на стрельбу по щитам.</w:t>
            </w:r>
          </w:p>
        </w:tc>
        <w:tc>
          <w:tcPr>
            <w:tcW w:w="1701" w:type="dxa"/>
          </w:tcPr>
          <w:p w14:paraId="6450BB8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мин.</w:t>
            </w:r>
          </w:p>
        </w:tc>
      </w:tr>
      <w:tr w:rsidR="00983732" w:rsidRPr="00A3026E" w14:paraId="5DFC959B" w14:textId="77777777" w:rsidTr="00EA0DA7">
        <w:tc>
          <w:tcPr>
            <w:tcW w:w="2093" w:type="dxa"/>
          </w:tcPr>
          <w:p w14:paraId="37FA75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года</w:t>
            </w:r>
          </w:p>
        </w:tc>
        <w:tc>
          <w:tcPr>
            <w:tcW w:w="6804" w:type="dxa"/>
          </w:tcPr>
          <w:p w14:paraId="1E838D2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полета на стрельбу.</w:t>
            </w:r>
          </w:p>
        </w:tc>
        <w:tc>
          <w:tcPr>
            <w:tcW w:w="1701" w:type="dxa"/>
          </w:tcPr>
          <w:p w14:paraId="37CA110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мин.</w:t>
            </w:r>
          </w:p>
        </w:tc>
      </w:tr>
      <w:tr w:rsidR="00983732" w:rsidRPr="00A3026E" w14:paraId="1422B706" w14:textId="77777777" w:rsidTr="00EA0DA7">
        <w:tc>
          <w:tcPr>
            <w:tcW w:w="2093" w:type="dxa"/>
          </w:tcPr>
          <w:p w14:paraId="3E04478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октября 1940 года</w:t>
            </w:r>
          </w:p>
        </w:tc>
        <w:tc>
          <w:tcPr>
            <w:tcW w:w="6804" w:type="dxa"/>
          </w:tcPr>
          <w:p w14:paraId="453804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Подполковником Стефановским произведено 4 полета: один на отстрел пушки и пулеметов на автоматику; три для стрельбы из пулеметов по наземным мишеням.</w:t>
            </w:r>
          </w:p>
        </w:tc>
        <w:tc>
          <w:tcPr>
            <w:tcW w:w="1701" w:type="dxa"/>
          </w:tcPr>
          <w:p w14:paraId="111CACE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30 мин.</w:t>
            </w:r>
          </w:p>
        </w:tc>
      </w:tr>
      <w:tr w:rsidR="00983732" w:rsidRPr="00A3026E" w14:paraId="3BAFC1D5" w14:textId="77777777" w:rsidTr="00EA0DA7">
        <w:tc>
          <w:tcPr>
            <w:tcW w:w="2093" w:type="dxa"/>
          </w:tcPr>
          <w:p w14:paraId="12D41A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года</w:t>
            </w:r>
          </w:p>
        </w:tc>
        <w:tc>
          <w:tcPr>
            <w:tcW w:w="6804" w:type="dxa"/>
          </w:tcPr>
          <w:p w14:paraId="6DFB194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Три полета. Один на пикирование до скорости по прибору в 635 км/час. Два для снятия характеристик продольной и боковой устойчивости.</w:t>
            </w:r>
          </w:p>
        </w:tc>
        <w:tc>
          <w:tcPr>
            <w:tcW w:w="1701" w:type="dxa"/>
          </w:tcPr>
          <w:p w14:paraId="5504FE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55 мин.</w:t>
            </w:r>
          </w:p>
        </w:tc>
      </w:tr>
      <w:tr w:rsidR="00983732" w:rsidRPr="00A3026E" w14:paraId="086FB551" w14:textId="77777777" w:rsidTr="00EA0DA7">
        <w:tc>
          <w:tcPr>
            <w:tcW w:w="2093" w:type="dxa"/>
          </w:tcPr>
          <w:p w14:paraId="60ABED8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года</w:t>
            </w:r>
          </w:p>
        </w:tc>
        <w:tc>
          <w:tcPr>
            <w:tcW w:w="6804" w:type="dxa"/>
          </w:tcPr>
          <w:p w14:paraId="3EC45C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полета для определения продольной устойчивости самолета с задней и передней центровками.</w:t>
            </w:r>
          </w:p>
        </w:tc>
        <w:tc>
          <w:tcPr>
            <w:tcW w:w="1701" w:type="dxa"/>
          </w:tcPr>
          <w:p w14:paraId="0E1CF8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50 мин.</w:t>
            </w:r>
          </w:p>
        </w:tc>
      </w:tr>
      <w:tr w:rsidR="00983732" w:rsidRPr="00A3026E" w14:paraId="2D180364" w14:textId="77777777" w:rsidTr="00EA0DA7">
        <w:tc>
          <w:tcPr>
            <w:tcW w:w="2093" w:type="dxa"/>
          </w:tcPr>
          <w:p w14:paraId="408B8F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года</w:t>
            </w:r>
          </w:p>
        </w:tc>
        <w:tc>
          <w:tcPr>
            <w:tcW w:w="6804" w:type="dxa"/>
          </w:tcPr>
          <w:p w14:paraId="44FEF9B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полет летчика Груздева на пилотаж, пикирование и штопор.</w:t>
            </w:r>
          </w:p>
        </w:tc>
        <w:tc>
          <w:tcPr>
            <w:tcW w:w="1701" w:type="dxa"/>
          </w:tcPr>
          <w:p w14:paraId="04BEF70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 мин.</w:t>
            </w:r>
          </w:p>
        </w:tc>
      </w:tr>
      <w:tr w:rsidR="00983732" w:rsidRPr="00A3026E" w14:paraId="5D99E45A" w14:textId="77777777" w:rsidTr="00EA0DA7">
        <w:tc>
          <w:tcPr>
            <w:tcW w:w="2093" w:type="dxa"/>
          </w:tcPr>
          <w:p w14:paraId="0D46D51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года</w:t>
            </w:r>
          </w:p>
        </w:tc>
        <w:tc>
          <w:tcPr>
            <w:tcW w:w="6804" w:type="dxa"/>
          </w:tcPr>
          <w:p w14:paraId="716AA5C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Летчиками НИИ капитанами Прошаковым и Николаевым и ст. лейтенантом Кубышкиным произведено 3 полета на штопор, пикирование и пилотаж.</w:t>
            </w:r>
          </w:p>
        </w:tc>
        <w:tc>
          <w:tcPr>
            <w:tcW w:w="1701" w:type="dxa"/>
          </w:tcPr>
          <w:p w14:paraId="2367BB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час. 20 мин.</w:t>
            </w:r>
          </w:p>
        </w:tc>
      </w:tr>
    </w:tbl>
    <w:p w14:paraId="73DA2E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(6896).</w:t>
      </w:r>
    </w:p>
    <w:p w14:paraId="143134D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EC52F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И-26-3 закончились гос. испытания в НИИ ВВС, которые начались 13 октября 1940 (65,23).</w:t>
      </w:r>
    </w:p>
    <w:p w14:paraId="2DCCF2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21 ноября</w:t>
      </w:r>
    </w:p>
    <w:p w14:paraId="2A7F794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75B96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закончились госиспытания И-26-3, которые шли с 13 октября 1940 и начались на пикирование, штопор, отстрел вооружения, устойчивость и пилотаж. Судя по материалам испытаний, определение максимальной скорости не производилось, но увеличение полетного веса по сравнению с И-26-11 на 110 кг позволяет предположить ее уменьшение на 2-5 км/ч. Процесс испытаний еше более ускорился. За месяц было выполнено 23 полета, несмотря на перерыв для подготовки и участия самолета в параде 7 ноября.</w:t>
      </w:r>
    </w:p>
    <w:p w14:paraId="0FA09E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Вот небольшая часть хроники испытаний:</w:t>
      </w:r>
    </w:p>
    <w:p w14:paraId="1FFBA7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октября - выполнено два полета на сложный пилотаж.</w:t>
      </w:r>
    </w:p>
    <w:p w14:paraId="145D84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 П.М. Стефановский выполнил полет на штопор и пикирование.</w:t>
      </w:r>
    </w:p>
    <w:p w14:paraId="62A944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16 по 24 октября - доведено вооружение. </w:t>
      </w:r>
    </w:p>
    <w:p w14:paraId="12BAB9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октября - при выводе из пикирования с углом 46-50° на приборной скорости 570 км/ч деформировались щиток стойки шасси и каркас подвижной части фонаря кабины, которые тут же были сняты и отправлены на завод для усиления.</w:t>
      </w:r>
    </w:p>
    <w:p w14:paraId="20652B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стал заметно лучше. Прочность носков крыла была доведена до 107 %, кабина пилота оборудована вентиляцией, конструкция вооружения изменена, шасси усилено и устранены другие более мелкие недостатки. А в отношении ВМ Г (перегрев масла при работе мотора на номинальных оборотах, неравномерная выработка горючего) и шасси (невозможность уборки его после взлета на скорости 250 км/ч, соответствующей максимальной скороподъемности) самолет остался недоведенным.</w:t>
      </w:r>
    </w:p>
    <w:p w14:paraId="64363E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результатам государственных испытаний утвердили 9 декабря 1940 г. В нем отмечалось, что "самолет И-26-III с мотором М-105П и винтом ВИШ-61 конструкции тов. Яковлева прошел государственные испытания удовлетворительно, но недове- денность конструкции самолета (шасси, воздушная система), ВМГ (перегрев масла, плохая работа карбюраторов на оборотах мотора 1600-1900 об/мин), а также несоответствие специального оборудования ТТТ ВВС КА (отсутствуют радиооборудование, ночные посадочные средства, генератор, бензиномер) снижают летные, эксплуатационные и боевые качества машины".</w:t>
      </w:r>
    </w:p>
    <w:p w14:paraId="101251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не обладал такой большой максимальной скоростью, как И-200, таким мошным вооружением, как И-301 (табл. I, с. 24), но выгодно отличался от них тем, что раньше вышел на стадию испытаний. Соответственно, весь цикл доводки и внедрения в серию у него проходил с опережением. Кроме того, если сравнить все опытные истребители этого периода, то можно сделать вывод, что истребители И-21 конструктора М.М. Пашинина и И-330 П.О. Сухого с аналогичным мотором и вооружением вышли на испытания значительно позже (И-21 - в декабре 1940 г., а И-ЗЗО - летом 1941 г.). Причем, И-21 имел несколько худшие летные данные и проблемы с устойчивостью, а на И-330, обладавшем лучшими данными, чем И-26, был установлен турбокомпрессор, на доводку которого требовалось время. Все другие конкурсные истребители (как и предусматривалось ТТТ) не имели пушки. Машины И-28 конструктора В.П. Яценко, И-180 Н.Н. Поликарпова. ИС-1 В.В. Никитина, И-207 № 3 А.А. Боровкова и И.Ф. Флорова уступали И-26 в скорости. САМ-13 С.А. Москалева, СК-2 М.Р. Бисновата, И-185 Н.Н. Поликарпова, превосходившие истребитель Яковлева в скорости, появились на испытаниях гораздо позже. При этом опытные САМ-13 и СК-2 испытывались без вооружения. Правда, по указанию А.С. Яковлева, как заместителя наркома по опытному самолетостроению, на самолет СК-2 установили два синхронных пулемета БС с боекомплектом по 200 патронов на пулемет и прицел ПАН-23. Импровизированную стрелковую установку разместили по бортам самолета и закрыли специальными обтекателями, но перед летными испытаниями ее демонтировали (позже, по материалам испытаний, было признано нецелесообразным передавать машину СК-2 на государственные испытания из-за невозможности ее и O.K. Антонов. использования в качестве истребителя).</w:t>
      </w:r>
    </w:p>
    <w:p w14:paraId="29BC18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Архив Г. Петрова Процесс доводки многих опытных истребителей затянулся до начала войны, а потери, понесенные авиацией в первые дни войны, и эвакуация заводов сократили сроки внедрения опытных машин в серию с шести до трех месяцев и сделали невозможным их серийный выпуск.</w:t>
      </w:r>
    </w:p>
    <w:p w14:paraId="300574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Проектирование и изготовление опытных И-26 обошлось в 5.948 тысяч рублей. Перерасход был небольшим. На два прототипа было выделено пять миллионов рублей (в том числе два - в качестве премиального фонда). Дополнительные средства были изысканы за счет снятия из задания ОКБ третьей опытной машины Р-12 (обозначение ВВС разведывательного самолета № 22). </w:t>
      </w:r>
    </w:p>
    <w:p w14:paraId="5C40A5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 1. Сравнительные характеристики опытных истребителей плана постройки 1939-1940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983732" w:rsidRPr="00A3026E" w14:paraId="43759BE4" w14:textId="77777777" w:rsidTr="00EA0DA7">
        <w:tc>
          <w:tcPr>
            <w:tcW w:w="1245" w:type="dxa"/>
            <w:tcBorders>
              <w:top w:val="single" w:sz="12" w:space="0" w:color="auto"/>
            </w:tcBorders>
          </w:tcPr>
          <w:p w14:paraId="370CB1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Истребители</w:t>
            </w:r>
          </w:p>
        </w:tc>
        <w:tc>
          <w:tcPr>
            <w:tcW w:w="1245" w:type="dxa"/>
            <w:tcBorders>
              <w:top w:val="single" w:sz="12" w:space="0" w:color="auto"/>
            </w:tcBorders>
          </w:tcPr>
          <w:p w14:paraId="7D153B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И-21</w:t>
            </w:r>
          </w:p>
        </w:tc>
        <w:tc>
          <w:tcPr>
            <w:tcW w:w="1245" w:type="dxa"/>
            <w:tcBorders>
              <w:top w:val="single" w:sz="12" w:space="0" w:color="auto"/>
            </w:tcBorders>
          </w:tcPr>
          <w:p w14:paraId="3299BD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w:t>
            </w:r>
          </w:p>
        </w:tc>
        <w:tc>
          <w:tcPr>
            <w:tcW w:w="1245" w:type="dxa"/>
            <w:tcBorders>
              <w:top w:val="single" w:sz="12" w:space="0" w:color="auto"/>
            </w:tcBorders>
          </w:tcPr>
          <w:p w14:paraId="4F0AA3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И-28</w:t>
            </w:r>
          </w:p>
        </w:tc>
        <w:tc>
          <w:tcPr>
            <w:tcW w:w="1245" w:type="dxa"/>
            <w:tcBorders>
              <w:top w:val="single" w:sz="12" w:space="0" w:color="auto"/>
            </w:tcBorders>
          </w:tcPr>
          <w:p w14:paraId="662653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И-180-3</w:t>
            </w:r>
          </w:p>
        </w:tc>
        <w:tc>
          <w:tcPr>
            <w:tcW w:w="1245" w:type="dxa"/>
            <w:tcBorders>
              <w:top w:val="single" w:sz="12" w:space="0" w:color="auto"/>
            </w:tcBorders>
          </w:tcPr>
          <w:p w14:paraId="674B05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w:t>
            </w:r>
          </w:p>
        </w:tc>
        <w:tc>
          <w:tcPr>
            <w:tcW w:w="1245" w:type="dxa"/>
            <w:tcBorders>
              <w:top w:val="single" w:sz="12" w:space="0" w:color="auto"/>
            </w:tcBorders>
          </w:tcPr>
          <w:p w14:paraId="440D02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И-270 №3</w:t>
            </w:r>
          </w:p>
        </w:tc>
        <w:tc>
          <w:tcPr>
            <w:tcW w:w="1245" w:type="dxa"/>
            <w:tcBorders>
              <w:top w:val="single" w:sz="12" w:space="0" w:color="auto"/>
            </w:tcBorders>
          </w:tcPr>
          <w:p w14:paraId="42271A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w:t>
            </w:r>
          </w:p>
        </w:tc>
        <w:tc>
          <w:tcPr>
            <w:tcW w:w="1245" w:type="dxa"/>
            <w:tcBorders>
              <w:top w:val="single" w:sz="12" w:space="0" w:color="auto"/>
            </w:tcBorders>
          </w:tcPr>
          <w:p w14:paraId="7132C3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И-330</w:t>
            </w:r>
          </w:p>
        </w:tc>
      </w:tr>
      <w:tr w:rsidR="00983732" w:rsidRPr="00A3026E" w14:paraId="08C33693" w14:textId="77777777" w:rsidTr="00EA0DA7">
        <w:tc>
          <w:tcPr>
            <w:tcW w:w="1245" w:type="dxa"/>
          </w:tcPr>
          <w:p w14:paraId="11EA42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Тип мотора</w:t>
            </w:r>
          </w:p>
        </w:tc>
        <w:tc>
          <w:tcPr>
            <w:tcW w:w="1245" w:type="dxa"/>
          </w:tcPr>
          <w:p w14:paraId="6314B5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245" w:type="dxa"/>
          </w:tcPr>
          <w:p w14:paraId="2C8DD5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245" w:type="dxa"/>
          </w:tcPr>
          <w:p w14:paraId="584948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c>
          <w:tcPr>
            <w:tcW w:w="1245" w:type="dxa"/>
          </w:tcPr>
          <w:p w14:paraId="0E6FF7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c>
          <w:tcPr>
            <w:tcW w:w="1245" w:type="dxa"/>
          </w:tcPr>
          <w:p w14:paraId="787C73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w:t>
            </w:r>
          </w:p>
        </w:tc>
        <w:tc>
          <w:tcPr>
            <w:tcW w:w="1245" w:type="dxa"/>
          </w:tcPr>
          <w:p w14:paraId="595F01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c>
          <w:tcPr>
            <w:tcW w:w="1245" w:type="dxa"/>
          </w:tcPr>
          <w:p w14:paraId="2CC380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245" w:type="dxa"/>
          </w:tcPr>
          <w:p w14:paraId="632E78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 с ТК</w:t>
            </w:r>
          </w:p>
        </w:tc>
      </w:tr>
      <w:tr w:rsidR="00983732" w:rsidRPr="00A3026E" w14:paraId="41437915" w14:textId="77777777" w:rsidTr="00EA0DA7">
        <w:tc>
          <w:tcPr>
            <w:tcW w:w="1245" w:type="dxa"/>
          </w:tcPr>
          <w:p w14:paraId="44115B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л.с.</w:t>
            </w:r>
          </w:p>
        </w:tc>
        <w:tc>
          <w:tcPr>
            <w:tcW w:w="1245" w:type="dxa"/>
          </w:tcPr>
          <w:p w14:paraId="68FB9C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1245" w:type="dxa"/>
          </w:tcPr>
          <w:p w14:paraId="17AA94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1245" w:type="dxa"/>
          </w:tcPr>
          <w:p w14:paraId="0606F7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245" w:type="dxa"/>
          </w:tcPr>
          <w:p w14:paraId="546134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245" w:type="dxa"/>
          </w:tcPr>
          <w:p w14:paraId="3032AA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1245" w:type="dxa"/>
          </w:tcPr>
          <w:p w14:paraId="22C9CC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w:t>
            </w:r>
          </w:p>
        </w:tc>
        <w:tc>
          <w:tcPr>
            <w:tcW w:w="1245" w:type="dxa"/>
          </w:tcPr>
          <w:p w14:paraId="32AD3E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1245" w:type="dxa"/>
          </w:tcPr>
          <w:p w14:paraId="3B5184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r>
      <w:tr w:rsidR="00983732" w:rsidRPr="00A3026E" w14:paraId="215C460B" w14:textId="77777777" w:rsidTr="00EA0DA7">
        <w:tc>
          <w:tcPr>
            <w:tcW w:w="1245" w:type="dxa"/>
          </w:tcPr>
          <w:p w14:paraId="5488E1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Взлетный вес, кг</w:t>
            </w:r>
          </w:p>
        </w:tc>
        <w:tc>
          <w:tcPr>
            <w:tcW w:w="1245" w:type="dxa"/>
          </w:tcPr>
          <w:p w14:paraId="223A72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2754</w:t>
            </w:r>
          </w:p>
        </w:tc>
        <w:tc>
          <w:tcPr>
            <w:tcW w:w="1245" w:type="dxa"/>
          </w:tcPr>
          <w:p w14:paraId="373D9C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2700</w:t>
            </w:r>
          </w:p>
        </w:tc>
        <w:tc>
          <w:tcPr>
            <w:tcW w:w="1245" w:type="dxa"/>
          </w:tcPr>
          <w:p w14:paraId="51BBDE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2730</w:t>
            </w:r>
          </w:p>
        </w:tc>
        <w:tc>
          <w:tcPr>
            <w:tcW w:w="1245" w:type="dxa"/>
          </w:tcPr>
          <w:p w14:paraId="2F49A5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2424</w:t>
            </w:r>
          </w:p>
        </w:tc>
        <w:tc>
          <w:tcPr>
            <w:tcW w:w="1245" w:type="dxa"/>
          </w:tcPr>
          <w:p w14:paraId="3761C2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2988</w:t>
            </w:r>
          </w:p>
        </w:tc>
        <w:tc>
          <w:tcPr>
            <w:tcW w:w="1245" w:type="dxa"/>
          </w:tcPr>
          <w:p w14:paraId="3C8100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1879</w:t>
            </w:r>
          </w:p>
        </w:tc>
        <w:tc>
          <w:tcPr>
            <w:tcW w:w="1245" w:type="dxa"/>
          </w:tcPr>
          <w:p w14:paraId="3C0003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2968</w:t>
            </w:r>
          </w:p>
        </w:tc>
        <w:tc>
          <w:tcPr>
            <w:tcW w:w="1245" w:type="dxa"/>
          </w:tcPr>
          <w:p w14:paraId="67A0DD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2875</w:t>
            </w:r>
          </w:p>
        </w:tc>
      </w:tr>
      <w:tr w:rsidR="00983732" w:rsidRPr="00A3026E" w14:paraId="710C8DEB" w14:textId="77777777" w:rsidTr="00EA0DA7">
        <w:tc>
          <w:tcPr>
            <w:tcW w:w="1245" w:type="dxa"/>
          </w:tcPr>
          <w:p w14:paraId="6BF7CF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у земли, км/ч</w:t>
            </w:r>
          </w:p>
        </w:tc>
        <w:tc>
          <w:tcPr>
            <w:tcW w:w="1245" w:type="dxa"/>
          </w:tcPr>
          <w:p w14:paraId="1CDFD0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488</w:t>
            </w:r>
          </w:p>
        </w:tc>
        <w:tc>
          <w:tcPr>
            <w:tcW w:w="1245" w:type="dxa"/>
          </w:tcPr>
          <w:p w14:paraId="5159C2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c>
          <w:tcPr>
            <w:tcW w:w="1245" w:type="dxa"/>
          </w:tcPr>
          <w:p w14:paraId="7B7E0E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439</w:t>
            </w:r>
          </w:p>
        </w:tc>
        <w:tc>
          <w:tcPr>
            <w:tcW w:w="1245" w:type="dxa"/>
          </w:tcPr>
          <w:p w14:paraId="2E0045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456</w:t>
            </w:r>
          </w:p>
        </w:tc>
        <w:tc>
          <w:tcPr>
            <w:tcW w:w="1245" w:type="dxa"/>
          </w:tcPr>
          <w:p w14:paraId="5B84C3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c>
          <w:tcPr>
            <w:tcW w:w="1245" w:type="dxa"/>
          </w:tcPr>
          <w:p w14:paraId="0F44DA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427</w:t>
            </w:r>
          </w:p>
        </w:tc>
        <w:tc>
          <w:tcPr>
            <w:tcW w:w="1245" w:type="dxa"/>
          </w:tcPr>
          <w:p w14:paraId="5F8BD4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503</w:t>
            </w:r>
          </w:p>
        </w:tc>
        <w:tc>
          <w:tcPr>
            <w:tcW w:w="1245" w:type="dxa"/>
          </w:tcPr>
          <w:p w14:paraId="12736C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r>
      <w:tr w:rsidR="00983732" w:rsidRPr="00A3026E" w14:paraId="7714474F" w14:textId="77777777" w:rsidTr="00EA0DA7">
        <w:tc>
          <w:tcPr>
            <w:tcW w:w="1245" w:type="dxa"/>
          </w:tcPr>
          <w:p w14:paraId="09AD52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км/ч</w:t>
            </w:r>
          </w:p>
        </w:tc>
        <w:tc>
          <w:tcPr>
            <w:tcW w:w="1245" w:type="dxa"/>
          </w:tcPr>
          <w:p w14:paraId="594F5C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573</w:t>
            </w:r>
          </w:p>
        </w:tc>
        <w:tc>
          <w:tcPr>
            <w:tcW w:w="1245" w:type="dxa"/>
          </w:tcPr>
          <w:p w14:paraId="549F00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585.5</w:t>
            </w:r>
          </w:p>
        </w:tc>
        <w:tc>
          <w:tcPr>
            <w:tcW w:w="1245" w:type="dxa"/>
          </w:tcPr>
          <w:p w14:paraId="72E0B9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w:t>
            </w:r>
          </w:p>
        </w:tc>
        <w:tc>
          <w:tcPr>
            <w:tcW w:w="1245" w:type="dxa"/>
          </w:tcPr>
          <w:p w14:paraId="3242FE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245" w:type="dxa"/>
          </w:tcPr>
          <w:p w14:paraId="4F2F0D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636</w:t>
            </w:r>
          </w:p>
        </w:tc>
        <w:tc>
          <w:tcPr>
            <w:tcW w:w="1245" w:type="dxa"/>
          </w:tcPr>
          <w:p w14:paraId="5B37FF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c>
          <w:tcPr>
            <w:tcW w:w="1245" w:type="dxa"/>
          </w:tcPr>
          <w:p w14:paraId="0E421C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w:t>
            </w:r>
          </w:p>
        </w:tc>
        <w:tc>
          <w:tcPr>
            <w:tcW w:w="1245" w:type="dxa"/>
          </w:tcPr>
          <w:p w14:paraId="194494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641</w:t>
            </w:r>
          </w:p>
        </w:tc>
      </w:tr>
      <w:tr w:rsidR="00983732" w:rsidRPr="00A3026E" w14:paraId="4DDB6B1D" w14:textId="77777777" w:rsidTr="00EA0DA7">
        <w:tc>
          <w:tcPr>
            <w:tcW w:w="1245" w:type="dxa"/>
          </w:tcPr>
          <w:p w14:paraId="600091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5000 м, мин</w:t>
            </w:r>
          </w:p>
        </w:tc>
        <w:tc>
          <w:tcPr>
            <w:tcW w:w="1245" w:type="dxa"/>
          </w:tcPr>
          <w:p w14:paraId="10E028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245" w:type="dxa"/>
          </w:tcPr>
          <w:p w14:paraId="028A33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245" w:type="dxa"/>
          </w:tcPr>
          <w:p w14:paraId="0AEEB4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245" w:type="dxa"/>
          </w:tcPr>
          <w:p w14:paraId="029E7E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c>
          <w:tcPr>
            <w:tcW w:w="1245" w:type="dxa"/>
          </w:tcPr>
          <w:p w14:paraId="156C8A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w:t>
            </w:r>
          </w:p>
        </w:tc>
        <w:tc>
          <w:tcPr>
            <w:tcW w:w="1245" w:type="dxa"/>
          </w:tcPr>
          <w:p w14:paraId="001948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w:t>
            </w:r>
          </w:p>
        </w:tc>
        <w:tc>
          <w:tcPr>
            <w:tcW w:w="1245" w:type="dxa"/>
          </w:tcPr>
          <w:p w14:paraId="64FBF0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w:t>
            </w:r>
          </w:p>
        </w:tc>
        <w:tc>
          <w:tcPr>
            <w:tcW w:w="1245" w:type="dxa"/>
          </w:tcPr>
          <w:p w14:paraId="3047CE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w:t>
            </w:r>
          </w:p>
        </w:tc>
      </w:tr>
      <w:tr w:rsidR="00983732" w:rsidRPr="00A3026E" w14:paraId="3BF0EF4D" w14:textId="77777777" w:rsidTr="00EA0DA7">
        <w:tc>
          <w:tcPr>
            <w:tcW w:w="1245" w:type="dxa"/>
          </w:tcPr>
          <w:p w14:paraId="75A916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м</w:t>
            </w:r>
          </w:p>
        </w:tc>
        <w:tc>
          <w:tcPr>
            <w:tcW w:w="1245" w:type="dxa"/>
          </w:tcPr>
          <w:p w14:paraId="72DB58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10 600</w:t>
            </w:r>
          </w:p>
        </w:tc>
        <w:tc>
          <w:tcPr>
            <w:tcW w:w="1245" w:type="dxa"/>
          </w:tcPr>
          <w:p w14:paraId="63D4D9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10 200</w:t>
            </w:r>
          </w:p>
        </w:tc>
        <w:tc>
          <w:tcPr>
            <w:tcW w:w="1245" w:type="dxa"/>
          </w:tcPr>
          <w:p w14:paraId="77A9E0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10 800</w:t>
            </w:r>
          </w:p>
        </w:tc>
        <w:tc>
          <w:tcPr>
            <w:tcW w:w="1245" w:type="dxa"/>
          </w:tcPr>
          <w:p w14:paraId="4B2564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10 250</w:t>
            </w:r>
          </w:p>
        </w:tc>
        <w:tc>
          <w:tcPr>
            <w:tcW w:w="1245" w:type="dxa"/>
          </w:tcPr>
          <w:p w14:paraId="748566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12 000</w:t>
            </w:r>
          </w:p>
        </w:tc>
        <w:tc>
          <w:tcPr>
            <w:tcW w:w="1245" w:type="dxa"/>
          </w:tcPr>
          <w:p w14:paraId="3CBD84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10 200</w:t>
            </w:r>
          </w:p>
        </w:tc>
        <w:tc>
          <w:tcPr>
            <w:tcW w:w="1245" w:type="dxa"/>
          </w:tcPr>
          <w:p w14:paraId="4D8E0D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9600</w:t>
            </w:r>
          </w:p>
        </w:tc>
        <w:tc>
          <w:tcPr>
            <w:tcW w:w="1245" w:type="dxa"/>
          </w:tcPr>
          <w:p w14:paraId="5DB676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12 500*</w:t>
            </w:r>
          </w:p>
        </w:tc>
      </w:tr>
      <w:tr w:rsidR="00983732" w:rsidRPr="00A3026E" w14:paraId="47417830" w14:textId="77777777" w:rsidTr="00EA0DA7">
        <w:tc>
          <w:tcPr>
            <w:tcW w:w="1245" w:type="dxa"/>
          </w:tcPr>
          <w:p w14:paraId="251932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км</w:t>
            </w:r>
          </w:p>
        </w:tc>
        <w:tc>
          <w:tcPr>
            <w:tcW w:w="1245" w:type="dxa"/>
          </w:tcPr>
          <w:p w14:paraId="52AF02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w:t>
            </w:r>
          </w:p>
        </w:tc>
        <w:tc>
          <w:tcPr>
            <w:tcW w:w="1245" w:type="dxa"/>
          </w:tcPr>
          <w:p w14:paraId="1F0DBE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1245" w:type="dxa"/>
          </w:tcPr>
          <w:p w14:paraId="6D5751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1245" w:type="dxa"/>
          </w:tcPr>
          <w:p w14:paraId="49E61B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1245" w:type="dxa"/>
          </w:tcPr>
          <w:p w14:paraId="1BC308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c>
          <w:tcPr>
            <w:tcW w:w="1245" w:type="dxa"/>
          </w:tcPr>
          <w:p w14:paraId="241A19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245" w:type="dxa"/>
          </w:tcPr>
          <w:p w14:paraId="184F02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w:t>
            </w:r>
          </w:p>
        </w:tc>
        <w:tc>
          <w:tcPr>
            <w:tcW w:w="1245" w:type="dxa"/>
          </w:tcPr>
          <w:p w14:paraId="2A0CC7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w:t>
            </w:r>
          </w:p>
        </w:tc>
      </w:tr>
      <w:tr w:rsidR="00983732" w:rsidRPr="00A3026E" w14:paraId="2EAFDCF5" w14:textId="77777777" w:rsidTr="00EA0DA7">
        <w:tc>
          <w:tcPr>
            <w:tcW w:w="1245" w:type="dxa"/>
          </w:tcPr>
          <w:p w14:paraId="35ACB2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топлива, кг</w:t>
            </w:r>
          </w:p>
        </w:tc>
        <w:tc>
          <w:tcPr>
            <w:tcW w:w="1245" w:type="dxa"/>
          </w:tcPr>
          <w:p w14:paraId="3D53B1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w:t>
            </w:r>
          </w:p>
        </w:tc>
        <w:tc>
          <w:tcPr>
            <w:tcW w:w="1245" w:type="dxa"/>
          </w:tcPr>
          <w:p w14:paraId="4ED4C9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w:t>
            </w:r>
          </w:p>
        </w:tc>
        <w:tc>
          <w:tcPr>
            <w:tcW w:w="1245" w:type="dxa"/>
          </w:tcPr>
          <w:p w14:paraId="5455BD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245" w:type="dxa"/>
          </w:tcPr>
          <w:p w14:paraId="786552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1245" w:type="dxa"/>
          </w:tcPr>
          <w:p w14:paraId="62095B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1245" w:type="dxa"/>
          </w:tcPr>
          <w:p w14:paraId="1C030A3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3BAC2E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280</w:t>
            </w:r>
          </w:p>
        </w:tc>
        <w:tc>
          <w:tcPr>
            <w:tcW w:w="1245" w:type="dxa"/>
          </w:tcPr>
          <w:p w14:paraId="577496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378D40E4" w14:textId="77777777" w:rsidTr="00EA0DA7">
        <w:tc>
          <w:tcPr>
            <w:tcW w:w="1245" w:type="dxa"/>
          </w:tcPr>
          <w:p w14:paraId="2BBC77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 кг</w:t>
            </w:r>
          </w:p>
        </w:tc>
        <w:tc>
          <w:tcPr>
            <w:tcW w:w="1245" w:type="dxa"/>
          </w:tcPr>
          <w:p w14:paraId="784505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0AE516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118E7D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245" w:type="dxa"/>
          </w:tcPr>
          <w:p w14:paraId="22791F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245" w:type="dxa"/>
          </w:tcPr>
          <w:p w14:paraId="1BAA47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1245" w:type="dxa"/>
          </w:tcPr>
          <w:p w14:paraId="6E827E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245" w:type="dxa"/>
          </w:tcPr>
          <w:p w14:paraId="1F44A1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2702F5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69DF601E" w14:textId="77777777" w:rsidTr="00EA0DA7">
        <w:tc>
          <w:tcPr>
            <w:tcW w:w="1245" w:type="dxa"/>
          </w:tcPr>
          <w:p w14:paraId="40FF47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Пулеметы</w:t>
            </w:r>
          </w:p>
        </w:tc>
        <w:tc>
          <w:tcPr>
            <w:tcW w:w="1245" w:type="dxa"/>
          </w:tcPr>
          <w:p w14:paraId="1C72E0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7E1615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304553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2x12.7</w:t>
            </w:r>
          </w:p>
        </w:tc>
        <w:tc>
          <w:tcPr>
            <w:tcW w:w="1245" w:type="dxa"/>
          </w:tcPr>
          <w:p w14:paraId="6E9F80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2x12.7</w:t>
            </w:r>
          </w:p>
        </w:tc>
        <w:tc>
          <w:tcPr>
            <w:tcW w:w="1245" w:type="dxa"/>
          </w:tcPr>
          <w:p w14:paraId="7822D5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1x12.7</w:t>
            </w:r>
          </w:p>
        </w:tc>
        <w:tc>
          <w:tcPr>
            <w:tcW w:w="1245" w:type="dxa"/>
          </w:tcPr>
          <w:p w14:paraId="6B5707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4x7.62</w:t>
            </w:r>
          </w:p>
        </w:tc>
        <w:tc>
          <w:tcPr>
            <w:tcW w:w="1245" w:type="dxa"/>
          </w:tcPr>
          <w:p w14:paraId="04C253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1x12.7</w:t>
            </w:r>
          </w:p>
        </w:tc>
        <w:tc>
          <w:tcPr>
            <w:tcW w:w="1245" w:type="dxa"/>
          </w:tcPr>
          <w:p w14:paraId="2E0751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o 2x7.62</w:t>
            </w:r>
          </w:p>
        </w:tc>
      </w:tr>
      <w:tr w:rsidR="00983732" w:rsidRPr="00A3026E" w14:paraId="20C8DC44" w14:textId="77777777" w:rsidTr="00EA0DA7">
        <w:tc>
          <w:tcPr>
            <w:tcW w:w="1245" w:type="dxa"/>
          </w:tcPr>
          <w:p w14:paraId="3977495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30469F9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206675F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15C98C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70186F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748A4D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78C0C4F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16521CE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672C125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3CBD8DE" w14:textId="77777777" w:rsidTr="00EA0DA7">
        <w:tc>
          <w:tcPr>
            <w:tcW w:w="1245" w:type="dxa"/>
          </w:tcPr>
          <w:p w14:paraId="54B6E0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Боекомплект пулеметов, патр.</w:t>
            </w:r>
          </w:p>
        </w:tc>
        <w:tc>
          <w:tcPr>
            <w:tcW w:w="1245" w:type="dxa"/>
          </w:tcPr>
          <w:p w14:paraId="06DB69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245" w:type="dxa"/>
          </w:tcPr>
          <w:p w14:paraId="2A71CA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w:t>
            </w:r>
          </w:p>
        </w:tc>
        <w:tc>
          <w:tcPr>
            <w:tcW w:w="1245" w:type="dxa"/>
          </w:tcPr>
          <w:p w14:paraId="6A7AC9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245" w:type="dxa"/>
          </w:tcPr>
          <w:p w14:paraId="03918A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c>
          <w:tcPr>
            <w:tcW w:w="1245" w:type="dxa"/>
          </w:tcPr>
          <w:p w14:paraId="016E7C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245" w:type="dxa"/>
          </w:tcPr>
          <w:p w14:paraId="06B75F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2200</w:t>
            </w:r>
          </w:p>
        </w:tc>
        <w:tc>
          <w:tcPr>
            <w:tcW w:w="1245" w:type="dxa"/>
          </w:tcPr>
          <w:p w14:paraId="43C568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w:t>
            </w:r>
          </w:p>
        </w:tc>
        <w:tc>
          <w:tcPr>
            <w:tcW w:w="1245" w:type="dxa"/>
          </w:tcPr>
          <w:p w14:paraId="0737D3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w:t>
            </w:r>
          </w:p>
        </w:tc>
      </w:tr>
      <w:tr w:rsidR="00983732" w:rsidRPr="00A3026E" w14:paraId="4AEB0F91" w14:textId="77777777" w:rsidTr="00EA0DA7">
        <w:tc>
          <w:tcPr>
            <w:tcW w:w="1245" w:type="dxa"/>
          </w:tcPr>
          <w:p w14:paraId="3E4B753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6FDCC48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036B569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47E4BA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1245" w:type="dxa"/>
          </w:tcPr>
          <w:p w14:paraId="2CC3CD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245" w:type="dxa"/>
          </w:tcPr>
          <w:p w14:paraId="6EBA72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1245" w:type="dxa"/>
          </w:tcPr>
          <w:p w14:paraId="01BA561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6485065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45" w:type="dxa"/>
          </w:tcPr>
          <w:p w14:paraId="5E50557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CB532AF" w14:textId="77777777" w:rsidTr="00EA0DA7">
        <w:tc>
          <w:tcPr>
            <w:tcW w:w="1245" w:type="dxa"/>
          </w:tcPr>
          <w:p w14:paraId="36C112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Пушки</w:t>
            </w:r>
          </w:p>
        </w:tc>
        <w:tc>
          <w:tcPr>
            <w:tcW w:w="1245" w:type="dxa"/>
          </w:tcPr>
          <w:p w14:paraId="27DC92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1x20</w:t>
            </w:r>
          </w:p>
        </w:tc>
        <w:tc>
          <w:tcPr>
            <w:tcW w:w="1245" w:type="dxa"/>
          </w:tcPr>
          <w:p w14:paraId="53EDD0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1x20</w:t>
            </w:r>
          </w:p>
        </w:tc>
        <w:tc>
          <w:tcPr>
            <w:tcW w:w="1245" w:type="dxa"/>
          </w:tcPr>
          <w:p w14:paraId="65595D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306755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073971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41B519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5BAA18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1x23</w:t>
            </w:r>
          </w:p>
        </w:tc>
        <w:tc>
          <w:tcPr>
            <w:tcW w:w="1245" w:type="dxa"/>
          </w:tcPr>
          <w:p w14:paraId="27798A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1x20</w:t>
            </w:r>
          </w:p>
        </w:tc>
      </w:tr>
      <w:tr w:rsidR="00983732" w:rsidRPr="00A3026E" w14:paraId="23347761" w14:textId="77777777" w:rsidTr="00EA0DA7">
        <w:tc>
          <w:tcPr>
            <w:tcW w:w="1245" w:type="dxa"/>
          </w:tcPr>
          <w:p w14:paraId="4E6658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Боекомплект пушек, снарядов</w:t>
            </w:r>
          </w:p>
        </w:tc>
        <w:tc>
          <w:tcPr>
            <w:tcW w:w="1245" w:type="dxa"/>
          </w:tcPr>
          <w:p w14:paraId="476AED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tc>
        <w:tc>
          <w:tcPr>
            <w:tcW w:w="1245" w:type="dxa"/>
          </w:tcPr>
          <w:p w14:paraId="6C364A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1245" w:type="dxa"/>
          </w:tcPr>
          <w:p w14:paraId="79E652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140251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380007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74216C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4157A1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tc>
        <w:tc>
          <w:tcPr>
            <w:tcW w:w="1245" w:type="dxa"/>
          </w:tcPr>
          <w:p w14:paraId="59D032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5C952E14" w14:textId="77777777" w:rsidTr="00EA0DA7">
        <w:tc>
          <w:tcPr>
            <w:tcW w:w="1245" w:type="dxa"/>
            <w:tcBorders>
              <w:bottom w:val="single" w:sz="12" w:space="0" w:color="auto"/>
            </w:tcBorders>
          </w:tcPr>
          <w:p w14:paraId="2ED492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Дата первого полета</w:t>
            </w:r>
          </w:p>
        </w:tc>
        <w:tc>
          <w:tcPr>
            <w:tcW w:w="1245" w:type="dxa"/>
            <w:tcBorders>
              <w:bottom w:val="single" w:sz="12" w:space="0" w:color="auto"/>
            </w:tcBorders>
          </w:tcPr>
          <w:p w14:paraId="2C17CA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11.7.40</w:t>
            </w:r>
          </w:p>
        </w:tc>
        <w:tc>
          <w:tcPr>
            <w:tcW w:w="1245" w:type="dxa"/>
            <w:tcBorders>
              <w:bottom w:val="single" w:sz="12" w:space="0" w:color="auto"/>
            </w:tcBorders>
          </w:tcPr>
          <w:p w14:paraId="27B036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13.1.40</w:t>
            </w:r>
          </w:p>
        </w:tc>
        <w:tc>
          <w:tcPr>
            <w:tcW w:w="1245" w:type="dxa"/>
            <w:tcBorders>
              <w:bottom w:val="single" w:sz="12" w:space="0" w:color="auto"/>
            </w:tcBorders>
          </w:tcPr>
          <w:p w14:paraId="2E3193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10.6.39</w:t>
            </w:r>
          </w:p>
        </w:tc>
        <w:tc>
          <w:tcPr>
            <w:tcW w:w="1245" w:type="dxa"/>
            <w:tcBorders>
              <w:bottom w:val="single" w:sz="12" w:space="0" w:color="auto"/>
            </w:tcBorders>
          </w:tcPr>
          <w:p w14:paraId="3F06E6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10.2.40</w:t>
            </w:r>
          </w:p>
        </w:tc>
        <w:tc>
          <w:tcPr>
            <w:tcW w:w="1245" w:type="dxa"/>
            <w:tcBorders>
              <w:bottom w:val="single" w:sz="12" w:space="0" w:color="auto"/>
            </w:tcBorders>
          </w:tcPr>
          <w:p w14:paraId="06C24F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5.4.40</w:t>
            </w:r>
          </w:p>
        </w:tc>
        <w:tc>
          <w:tcPr>
            <w:tcW w:w="1245" w:type="dxa"/>
            <w:tcBorders>
              <w:bottom w:val="single" w:sz="12" w:space="0" w:color="auto"/>
            </w:tcBorders>
          </w:tcPr>
          <w:p w14:paraId="676BA1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23.4.40</w:t>
            </w:r>
          </w:p>
        </w:tc>
        <w:tc>
          <w:tcPr>
            <w:tcW w:w="1245" w:type="dxa"/>
            <w:tcBorders>
              <w:bottom w:val="single" w:sz="12" w:space="0" w:color="auto"/>
            </w:tcBorders>
          </w:tcPr>
          <w:p w14:paraId="271958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31.3.40</w:t>
            </w:r>
          </w:p>
        </w:tc>
        <w:tc>
          <w:tcPr>
            <w:tcW w:w="1245" w:type="dxa"/>
            <w:tcBorders>
              <w:bottom w:val="single" w:sz="12" w:space="0" w:color="auto"/>
            </w:tcBorders>
          </w:tcPr>
          <w:p w14:paraId="126234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15.6.40</w:t>
            </w:r>
          </w:p>
        </w:tc>
      </w:tr>
    </w:tbl>
    <w:p w14:paraId="6215A8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 расчетные данные (12048).</w:t>
      </w:r>
    </w:p>
    <w:p w14:paraId="73DFE54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F6BFF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г. план завода № 292 по выпуску И-26 был скорректирован: три машины головной серии следовало выпустить до 1 ноября, 20 машин - до 25 ноября, Цех начинки а 80 - к концу года. Но и этот план оказался фюзеляжей 1944 г. невыполненным. Всего в I940 г. завод № 292 Архив С. Кузнецова выпустил 16 самолетов (из них пять самолетов было принято военной приемкой в ноябре и 11 - в декабре), и ни одна машина из этого числа не была отправлена в части (12048).</w:t>
      </w:r>
    </w:p>
    <w:p w14:paraId="1D37C2E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3DDD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12 ноября по 27 декабря 1940 года проходили гос. испытания самолета И-21 с М-105П конструкции инженера Пашинина производства завода № 21</w:t>
      </w:r>
    </w:p>
    <w:p w14:paraId="0377D9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27E05F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2 ранга Ерышев</w:t>
      </w:r>
    </w:p>
    <w:p w14:paraId="65C4C3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вед. летчик подполковник Стефановский</w:t>
      </w:r>
    </w:p>
    <w:p w14:paraId="48834A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вед. летчик подполковник Супрун</w:t>
      </w:r>
    </w:p>
    <w:p w14:paraId="6FDEA7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4BBDD9C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Проверка летно-тактических данных самолета.</w:t>
      </w:r>
    </w:p>
    <w:p w14:paraId="4D5883D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Определение его устойчивости, управляемости, маневренности и дальности полета.</w:t>
      </w:r>
    </w:p>
    <w:p w14:paraId="57C6425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Оценка конструкции самолета и доведенности винто-моторной группы, вооружения и спецоборудования.</w:t>
      </w:r>
    </w:p>
    <w:p w14:paraId="6BECEEA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Определение соответствия самолета с Тактико-техническими требованиями.</w:t>
      </w:r>
    </w:p>
    <w:p w14:paraId="7B8B98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И-21 с М-105П с винтом ВИШ-61 конструкции Пашинина, производства завода № 21 был изготовлен по Постановлению КО № 106сс от 4 марта 1940 года.</w:t>
      </w:r>
    </w:p>
    <w:p w14:paraId="3568B2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испытаний 45 дней, из них летных дней – 11.</w:t>
      </w:r>
    </w:p>
    <w:p w14:paraId="0C9DE2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FFB2A0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И-21 гос. испытания в НИИ ВВС не прошел (4069,145-171).</w:t>
      </w:r>
    </w:p>
    <w:p w14:paraId="0186FE5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2D74B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Зам. НКАП П.Воронин писал письмо N Н-36/3005 Нач. ГУ ВВС Рычагову и ГК завода 39 С.В.И.:</w:t>
      </w:r>
    </w:p>
    <w:p w14:paraId="08812A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нецелесообразным производить дальнейшую замену М-87 на М-88 до выработки ресурса." (1295,13).</w:t>
      </w:r>
    </w:p>
    <w:p w14:paraId="5E525A6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8634E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вышли приказы НКАП N 627сс и 628сс о сдаче кабин и самолетов УТИ-4 (1170).</w:t>
      </w:r>
    </w:p>
    <w:p w14:paraId="34DA242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FAA3A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Смолин и Квасов летали на УПО-21 20 минут (10212).</w:t>
      </w:r>
    </w:p>
    <w:p w14:paraId="3091036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63D48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года за № 28 с 1 октября 1940 года с опытного производства сквозных часовых камней на базе учебных мастерских школы ФЗУ согласно приказа Главэлектроаппарата начал эксплуатационную деятельность завод технических камней в Угличе.</w:t>
      </w:r>
    </w:p>
    <w:p w14:paraId="381484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переходом строительства в ведение НК общего машиностроения на основании приказа от 14 декабря 1940 года за № 637 опытное производство было переименовано в опытный завод ТТК-2.</w:t>
      </w:r>
    </w:p>
    <w:p w14:paraId="06351F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строился до октября 1941 года. 23 октября 1941 года началась эвакуация на Восток.</w:t>
      </w:r>
    </w:p>
    <w:p w14:paraId="3F0FE1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НКМВ за № 14 от 12 января 1942 года небольшая часть эвакуированного завода была возвращена в Углич для восстановления завода.</w:t>
      </w:r>
    </w:p>
    <w:p w14:paraId="5F496E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было начато в середине 1942 года в небольшом объеме (часовые камни).</w:t>
      </w:r>
    </w:p>
    <w:p w14:paraId="1F1FBC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также получил эвакуированное оборудование с Петергофского завода (10424).</w:t>
      </w:r>
    </w:p>
    <w:p w14:paraId="1F7EED8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36A6E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НКАП А.И.Ш. писал письмо № Н-25/1989</w:t>
      </w:r>
    </w:p>
    <w:p w14:paraId="051BB3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ЦК ВКП(б) тов. СТАЛИНУ И.В.</w:t>
      </w:r>
    </w:p>
    <w:p w14:paraId="12B696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ПРЕДСЕДАТЕЛЮ СНК СССР тов. МОЛОТОВУ В.М.</w:t>
      </w:r>
    </w:p>
    <w:p w14:paraId="01BF3A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СОВЕТА ПО ОБОРОННОИ ПРОМЫШЛЕННОСТИ ПРИ СНК тов. ВОЗНЕСЕНСКОМУ Н.А.</w:t>
      </w:r>
    </w:p>
    <w:p w14:paraId="204536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организация предприятий авиационной прошпленвостн в Эстонской, Латвийской и Л</w:t>
      </w:r>
      <w:r w:rsidRPr="00A3026E">
        <w:rPr>
          <w:rFonts w:ascii="Times New Roman" w:hAnsi="Times New Roman"/>
          <w:smallCaps/>
          <w:color w:val="000000" w:themeColor="text1"/>
          <w:sz w:val="16"/>
          <w:szCs w:val="16"/>
        </w:rPr>
        <w:t xml:space="preserve">итовской </w:t>
      </w:r>
      <w:r w:rsidRPr="00A3026E">
        <w:rPr>
          <w:rFonts w:ascii="Times New Roman" w:hAnsi="Times New Roman"/>
          <w:color w:val="000000" w:themeColor="text1"/>
          <w:sz w:val="16"/>
          <w:szCs w:val="16"/>
        </w:rPr>
        <w:t>ССР.</w:t>
      </w:r>
    </w:p>
    <w:p w14:paraId="1A45A5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всех 3-х республиках имеютсясамолетостроительные конструкторские органкзации, которые спроектировали и выпусттили некоторое количество самолетов разных конструкций.</w:t>
      </w:r>
    </w:p>
    <w:p w14:paraId="7CE26F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 изготавливались в мастерских в кооперации с другими промышленными предприятиясм этих стран.</w:t>
      </w:r>
    </w:p>
    <w:p w14:paraId="15E34C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приборы, вооружкние, шасси и конструкционные материалы ( за исключением древесины) ввозились из-за границы.</w:t>
      </w:r>
    </w:p>
    <w:p w14:paraId="4C02CE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всех этих республиках может быть организовано серийное производство самолетов на базе существующих цромышленных предприятий и конструкторских групп.</w:t>
      </w:r>
    </w:p>
    <w:p w14:paraId="22BA57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Эстонской ССР</w:t>
      </w:r>
    </w:p>
    <w:p w14:paraId="61BF96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Существубщая конструкторская группа под руководством инженера Пост, вместе с производственными рабочими состоит из 160 человек. При использования всех специалистов, не работающих по специальности, опытная группа может быть немедленно доведена до 300 человек.</w:t>
      </w:r>
    </w:p>
    <w:p w14:paraId="0DEF01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городе Таллине шмеются следующще предприятия, которые могут быть приспособлены для самолетостроения:</w:t>
      </w:r>
    </w:p>
    <w:p w14:paraId="251FF8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мебельная фабрика “Лютер”</w:t>
      </w:r>
    </w:p>
    <w:p w14:paraId="5682B3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механический завод “Франц Круль”</w:t>
      </w:r>
    </w:p>
    <w:p w14:paraId="6F3199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электро-технический завод "Вольта"</w:t>
      </w:r>
    </w:p>
    <w:p w14:paraId="5CD9B8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г) законсервированный завод “Двигатслъ", находящийся у аэродрома</w:t>
      </w:r>
    </w:p>
    <w:p w14:paraId="27854F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телефонная фабрика в г. Тарту.</w:t>
      </w:r>
    </w:p>
    <w:p w14:paraId="4042A9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базе существующего конструкторского бюро в перечисленных заводов можетбыть организован крупно-серийный завод по произ</w:t>
      </w:r>
      <w:r w:rsidRPr="00A3026E">
        <w:rPr>
          <w:rFonts w:ascii="Times New Roman" w:hAnsi="Times New Roman"/>
          <w:color w:val="000000" w:themeColor="text1"/>
          <w:sz w:val="16"/>
          <w:szCs w:val="16"/>
        </w:rPr>
        <w:softHyphen/>
        <w:t>водству истребителей смешанных конструкций, а на телефонной фаб</w:t>
      </w:r>
      <w:r w:rsidRPr="00A3026E">
        <w:rPr>
          <w:rFonts w:ascii="Times New Roman" w:hAnsi="Times New Roman"/>
          <w:color w:val="000000" w:themeColor="text1"/>
          <w:sz w:val="16"/>
          <w:szCs w:val="16"/>
        </w:rPr>
        <w:softHyphen/>
        <w:t>рике в г.Тарту - производство приборов.</w:t>
      </w:r>
    </w:p>
    <w:p w14:paraId="58622A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 самолетов может быть начато уже в 1941 г., а мощ</w:t>
      </w:r>
      <w:r w:rsidRPr="00A3026E">
        <w:rPr>
          <w:rFonts w:ascii="Times New Roman" w:hAnsi="Times New Roman"/>
          <w:color w:val="000000" w:themeColor="text1"/>
          <w:sz w:val="16"/>
          <w:szCs w:val="16"/>
        </w:rPr>
        <w:softHyphen/>
        <w:t xml:space="preserve">ность завода, при </w:t>
      </w:r>
      <w:r w:rsidRPr="00A3026E">
        <w:rPr>
          <w:rFonts w:ascii="Times New Roman" w:hAnsi="Times New Roman"/>
          <w:smallCaps/>
          <w:color w:val="000000" w:themeColor="text1"/>
          <w:sz w:val="16"/>
          <w:szCs w:val="16"/>
        </w:rPr>
        <w:t xml:space="preserve">использовании </w:t>
      </w:r>
      <w:r w:rsidRPr="00A3026E">
        <w:rPr>
          <w:rFonts w:ascii="Times New Roman" w:hAnsi="Times New Roman"/>
          <w:color w:val="000000" w:themeColor="text1"/>
          <w:sz w:val="16"/>
          <w:szCs w:val="16"/>
        </w:rPr>
        <w:t>всех имеющихся площадей, неко</w:t>
      </w:r>
      <w:r w:rsidRPr="00A3026E">
        <w:rPr>
          <w:rFonts w:ascii="Times New Roman" w:hAnsi="Times New Roman"/>
          <w:color w:val="000000" w:themeColor="text1"/>
          <w:sz w:val="16"/>
          <w:szCs w:val="16"/>
        </w:rPr>
        <w:softHyphen/>
        <w:t>тором дооборудовании в восстановлении 2-х корпусов на заводе “Двмгатель” может быть доведена до 800 единиц в год.</w:t>
      </w:r>
    </w:p>
    <w:p w14:paraId="4912A3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на машиностроительном заводе “Ильмарине” без дополнительных крупных затрат, может быть организован завод по типу № 261 для производства водо-масло-заправщиков с выпуском до 1000 шт. в год.</w:t>
      </w:r>
    </w:p>
    <w:p w14:paraId="6B1513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Латвийской ССР</w:t>
      </w:r>
    </w:p>
    <w:p w14:paraId="2294FD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Существующая конструкторская группа под руководством конструктора Ирбятис находится на заводе ВЭФ в гор. Риге, где имеется опытный цех по производству самолегов с плодадью 2500 кв. м. в выпускаются самолета (учебный и тренировочнвй истреби</w:t>
      </w:r>
      <w:r w:rsidRPr="00A3026E">
        <w:rPr>
          <w:rFonts w:ascii="Times New Roman" w:hAnsi="Times New Roman"/>
          <w:color w:val="000000" w:themeColor="text1"/>
          <w:sz w:val="16"/>
          <w:szCs w:val="16"/>
        </w:rPr>
        <w:softHyphen/>
        <w:t>тель). В настоящее время выполняется заказ Латвийской армии на 6 самолетов.</w:t>
      </w:r>
    </w:p>
    <w:p w14:paraId="48DC56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гор. Риге имеются следующие предприятия, которые могут быть приспособлены под самолетостроение:</w:t>
      </w:r>
    </w:p>
    <w:p w14:paraId="47F38F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Завод Войрагс - вагоностроительный иавтосборочный</w:t>
      </w:r>
    </w:p>
    <w:p w14:paraId="65D583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заводы Эренпрайс и Латвелла - велосипедные</w:t>
      </w:r>
    </w:p>
    <w:p w14:paraId="4B24DF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завод ВЭФ - самолетостроительный и электротехнический</w:t>
      </w:r>
    </w:p>
    <w:p w14:paraId="60921C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законченный строительством, но не принятый в эксплуатацию авто-сборочный гараж (основной пролет 56 м)</w:t>
      </w:r>
    </w:p>
    <w:p w14:paraId="6058AC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свободная площадка, граничащая с заводом ВЭФ для организации ЛИС и аэродрома.</w:t>
      </w:r>
    </w:p>
    <w:p w14:paraId="44EEF6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в городах Риге и Липайе имеется ряд машиностроительных заводов и фабрик, которые могут обслужить самолетостроительные заводы производством штампов, приспособ</w:t>
      </w:r>
      <w:r w:rsidRPr="00A3026E">
        <w:rPr>
          <w:rFonts w:ascii="Times New Roman" w:hAnsi="Times New Roman"/>
          <w:color w:val="000000" w:themeColor="text1"/>
          <w:sz w:val="16"/>
          <w:szCs w:val="16"/>
        </w:rPr>
        <w:softHyphen/>
        <w:t>лений, фанеры, краски.</w:t>
      </w:r>
    </w:p>
    <w:p w14:paraId="1E75AC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базе существущей конструкторской группы и перечисленных заводов может быть организовав крупный серийный самолетострои</w:t>
      </w:r>
      <w:r w:rsidRPr="00A3026E">
        <w:rPr>
          <w:rFonts w:ascii="Times New Roman" w:hAnsi="Times New Roman"/>
          <w:color w:val="000000" w:themeColor="text1"/>
          <w:sz w:val="16"/>
          <w:szCs w:val="16"/>
        </w:rPr>
        <w:softHyphen/>
        <w:t>тельный завод по производству бомбардировщиков смешанной конст</w:t>
      </w:r>
      <w:r w:rsidRPr="00A3026E">
        <w:rPr>
          <w:rFonts w:ascii="Times New Roman" w:hAnsi="Times New Roman"/>
          <w:color w:val="000000" w:themeColor="text1"/>
          <w:sz w:val="16"/>
          <w:szCs w:val="16"/>
        </w:rPr>
        <w:softHyphen/>
        <w:t>рукции.</w:t>
      </w:r>
    </w:p>
    <w:p w14:paraId="2365DC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 самолетов может быть начат в 1941 г., а мощность завода при использовании всех имеющихся площадей и некотором дооборудовании может быть доведена до 500 единиц в год.</w:t>
      </w:r>
    </w:p>
    <w:p w14:paraId="15CAAA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Литовской ССР</w:t>
      </w:r>
    </w:p>
    <w:p w14:paraId="1B052A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Существующее конструкторское бюро под руководством инженеера Гусайтис находится в гор. Каунас, где имеются авиационные мастерский, площадью в 4000 кв. м с общим количеством работноков 200 человек*</w:t>
      </w:r>
    </w:p>
    <w:p w14:paraId="303FCE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мастерские производят самолеты учебные и штурмовики.</w:t>
      </w:r>
    </w:p>
    <w:p w14:paraId="1AE00B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за время существования мастерских было выпущено около 200 самолетов разных типов смешанной конструкции.</w:t>
      </w:r>
    </w:p>
    <w:p w14:paraId="202D26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мастерских имеется аэродром:</w:t>
      </w:r>
    </w:p>
    <w:p w14:paraId="7F333B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гор. Каунас может быть использован завод Тильманс, производящий метизы (шурупы, болты, заклепки, посуду, лемеха и др.), для изготовления самолетных деталей и агрегатов.</w:t>
      </w:r>
    </w:p>
    <w:p w14:paraId="6B705C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Его производственная площадь - 12000 кв. м с общим количеством работающих 300 человек.</w:t>
      </w:r>
    </w:p>
    <w:p w14:paraId="50984E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базе конструкторского бюро, сущеотвущях мастерских и указанного завода может бил организован мелко-серийный самолетостроительный завод.</w:t>
      </w:r>
    </w:p>
    <w:p w14:paraId="7E0CFA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указанных мастерских выпуск самолетов может быть в 1941 году и, при использовании завода Тильманс как цеха, мощность авиационной мастерской может быть доведен до 100 самолетов (штурмовиков смешанной конструкции) в год (9819,288).</w:t>
      </w:r>
    </w:p>
    <w:p w14:paraId="52EB8C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17FC8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Зам. ГК Ромейко-Гурко писал письмо № 25/2125 Зам. Нач. 7 ГУ НКАП тов. Шишкину С.Н.</w:t>
      </w:r>
    </w:p>
    <w:p w14:paraId="0E3B84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дать распоряжение 3-й лаборатории ЦАГИ выслать на завод № 135 бригаду для определения собственных частот колебаний крыла, ф-жа, оперения и управления с-та И-135 (дублер). Самолет будет готов к испытаниям 20 ноября с.г. (874,78).</w:t>
      </w:r>
    </w:p>
    <w:p w14:paraId="1C4BB77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FC99A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г. М.И.Калинин вручил Николаю Ни</w:t>
      </w:r>
      <w:r w:rsidRPr="00A3026E">
        <w:rPr>
          <w:rFonts w:ascii="Times New Roman" w:hAnsi="Times New Roman"/>
          <w:color w:val="000000" w:themeColor="text1"/>
          <w:sz w:val="16"/>
          <w:szCs w:val="16"/>
        </w:rPr>
        <w:softHyphen/>
        <w:t>колаевичу орден Ленина и Золотую медаль «Серп и Мо</w:t>
      </w:r>
      <w:r w:rsidRPr="00A3026E">
        <w:rPr>
          <w:rFonts w:ascii="Times New Roman" w:hAnsi="Times New Roman"/>
          <w:color w:val="000000" w:themeColor="text1"/>
          <w:sz w:val="16"/>
          <w:szCs w:val="16"/>
        </w:rPr>
        <w:softHyphen/>
        <w:t>лот» за номером 4. На следующий день коллектив завода № 51 направил Поликарпову приветственный адрес:</w:t>
      </w:r>
    </w:p>
    <w:p w14:paraId="143C1D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«Многоуважаемый Николай Николаевич!</w:t>
      </w:r>
    </w:p>
    <w:p w14:paraId="6152C2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Коллектив завода горячо поздравляет Вас с присвое</w:t>
      </w:r>
      <w:r w:rsidRPr="00A3026E">
        <w:rPr>
          <w:rFonts w:ascii="Times New Roman" w:hAnsi="Times New Roman"/>
          <w:color w:val="000000" w:themeColor="text1"/>
          <w:sz w:val="16"/>
          <w:szCs w:val="16"/>
        </w:rPr>
        <w:softHyphen/>
        <w:t>нием Вам Президиумом Верховного Совета Союза Со</w:t>
      </w:r>
      <w:r w:rsidRPr="00A3026E">
        <w:rPr>
          <w:rFonts w:ascii="Times New Roman" w:hAnsi="Times New Roman"/>
          <w:color w:val="000000" w:themeColor="text1"/>
          <w:sz w:val="16"/>
          <w:szCs w:val="16"/>
        </w:rPr>
        <w:softHyphen/>
        <w:t>ветских Социалистических Республик звания Героя Социалистического Труда.</w:t>
      </w:r>
    </w:p>
    <w:p w14:paraId="3EF829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Мы, работники руководимого Вами коллектива, обя</w:t>
      </w:r>
      <w:r w:rsidRPr="00A3026E">
        <w:rPr>
          <w:rFonts w:ascii="Times New Roman" w:hAnsi="Times New Roman"/>
          <w:color w:val="000000" w:themeColor="text1"/>
          <w:sz w:val="16"/>
          <w:szCs w:val="16"/>
        </w:rPr>
        <w:softHyphen/>
        <w:t>зуемся отдать все наши силы и энергию на дело созда</w:t>
      </w:r>
      <w:r w:rsidRPr="00A3026E">
        <w:rPr>
          <w:rFonts w:ascii="Times New Roman" w:hAnsi="Times New Roman"/>
          <w:color w:val="000000" w:themeColor="text1"/>
          <w:sz w:val="16"/>
          <w:szCs w:val="16"/>
        </w:rPr>
        <w:softHyphen/>
        <w:t>ния совместно с Вами новых типов боевых самолетов.</w:t>
      </w:r>
    </w:p>
    <w:p w14:paraId="5162D5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Желаем Вам еще больших успехов в Вашей плодо</w:t>
      </w:r>
      <w:r w:rsidRPr="00A3026E">
        <w:rPr>
          <w:rFonts w:ascii="Times New Roman" w:hAnsi="Times New Roman"/>
          <w:color w:val="000000" w:themeColor="text1"/>
          <w:sz w:val="16"/>
          <w:szCs w:val="16"/>
        </w:rPr>
        <w:softHyphen/>
        <w:t>творной жизни и работе по укреплению мощи Совет</w:t>
      </w:r>
      <w:r w:rsidRPr="00A3026E">
        <w:rPr>
          <w:rFonts w:ascii="Times New Roman" w:hAnsi="Times New Roman"/>
          <w:color w:val="000000" w:themeColor="text1"/>
          <w:sz w:val="16"/>
          <w:szCs w:val="16"/>
        </w:rPr>
        <w:softHyphen/>
        <w:t>ской авиации» (10667).</w:t>
      </w:r>
    </w:p>
    <w:p w14:paraId="57AFA1D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7E05C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Военпред ГУАС КА на заводе № 156 Ст. Вп ви1р Бровко писал письмо № 0111 Директору завода № 156 Ляпидевскому:</w:t>
      </w:r>
    </w:p>
    <w:p w14:paraId="453EA3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установкой на самолет "102" совершенно новых стрелковых установок, которые согласно приказа НКАП и ВВС. за № 527сс/0013 от 4/Х-40 г. должны пройти госиспытания до установки их на самолет, прошу Вашего распоряжения ускорить в производстве следующие объекты стрелкового вооружения:</w:t>
      </w:r>
    </w:p>
    <w:p w14:paraId="0F056A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Герметическую переднюю (носовую) кабину с стрелковой установкой</w:t>
      </w:r>
    </w:p>
    <w:p w14:paraId="5DE2FD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Стенд верхней стрелковой установки для спарка “Дус”</w:t>
      </w:r>
    </w:p>
    <w:p w14:paraId="6812D3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Нижнюю стрелковую установку со стендом.</w:t>
      </w:r>
    </w:p>
    <w:p w14:paraId="354713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Означенные об"екты желательно окончить в произ</w:t>
      </w:r>
      <w:r w:rsidRPr="00A3026E">
        <w:rPr>
          <w:rFonts w:ascii="Times New Roman" w:hAnsi="Times New Roman"/>
          <w:color w:val="000000" w:themeColor="text1"/>
          <w:sz w:val="16"/>
          <w:szCs w:val="16"/>
        </w:rPr>
        <w:softHyphen/>
        <w:t>водстве к 15/ХП-40 г. с таким расчетом, чтобы можно было закончить заводские и госиспытания к 1/П-41 г.</w:t>
      </w:r>
    </w:p>
    <w:p w14:paraId="02BF75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6044852"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 xml:space="preserve">К 12 ноября 1940 стрельбовые летные испытания на НИП АВ ВВС в Ногинске на двухмоторном истребителе </w:t>
      </w:r>
      <w:r w:rsidRPr="00A3026E">
        <w:rPr>
          <w:color w:val="000000" w:themeColor="text1"/>
          <w:sz w:val="16"/>
          <w:szCs w:val="16"/>
          <w:lang w:val="en-US"/>
        </w:rPr>
        <w:t>Bf</w:t>
      </w:r>
      <w:r w:rsidRPr="00A3026E">
        <w:rPr>
          <w:color w:val="000000" w:themeColor="text1"/>
          <w:sz w:val="16"/>
          <w:szCs w:val="16"/>
        </w:rPr>
        <w:t xml:space="preserve"> 110</w:t>
      </w:r>
      <w:r w:rsidRPr="00A3026E">
        <w:rPr>
          <w:color w:val="000000" w:themeColor="text1"/>
          <w:sz w:val="16"/>
          <w:szCs w:val="16"/>
          <w:lang w:val="en-US"/>
        </w:rPr>
        <w:t>C</w:t>
      </w:r>
      <w:r w:rsidRPr="00A3026E">
        <w:rPr>
          <w:color w:val="000000" w:themeColor="text1"/>
          <w:sz w:val="16"/>
          <w:szCs w:val="16"/>
        </w:rPr>
        <w:t xml:space="preserve"> завершила пушка Таубина—Бабурина.</w:t>
      </w:r>
    </w:p>
    <w:p w14:paraId="6D57257D"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Съемные пушечные установки для них в корот</w:t>
      </w:r>
      <w:r w:rsidRPr="00A3026E">
        <w:rPr>
          <w:color w:val="000000" w:themeColor="text1"/>
          <w:sz w:val="16"/>
          <w:szCs w:val="16"/>
        </w:rPr>
        <w:softHyphen/>
        <w:t>кий срок были разработаны в ОКО завода № 1 под руководством Н. И. Волкова.</w:t>
      </w:r>
    </w:p>
    <w:p w14:paraId="434629FB"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 баллистике (начальная скорость), темпу стрельбы, эффективности снаряда (вес снаряда, вес разрывного заряда) обе пушки были вполне равноценными образцами. Однако пушка ТКБ-201 и ее установка на самолете с боезапасом 81 пат</w:t>
      </w:r>
      <w:r w:rsidRPr="00A3026E">
        <w:rPr>
          <w:color w:val="000000" w:themeColor="text1"/>
          <w:sz w:val="16"/>
          <w:szCs w:val="16"/>
        </w:rPr>
        <w:softHyphen/>
        <w:t>рон оказалась тяжелее на 49,7 кг. Дело в том, что ТКБ-201 требовала установки на лафете аморти</w:t>
      </w:r>
      <w:r w:rsidRPr="00A3026E">
        <w:rPr>
          <w:color w:val="000000" w:themeColor="text1"/>
          <w:sz w:val="16"/>
          <w:szCs w:val="16"/>
        </w:rPr>
        <w:softHyphen/>
        <w:t>затора силы отдачи. У пушки ПТБ-23 устройства амортизации силы отдачи входили в конструкцию пушки. Собственно, именно по этой причине лафе</w:t>
      </w:r>
      <w:r w:rsidRPr="00A3026E">
        <w:rPr>
          <w:color w:val="000000" w:themeColor="text1"/>
          <w:sz w:val="16"/>
          <w:szCs w:val="16"/>
        </w:rPr>
        <w:softHyphen/>
        <w:t>ты для пушек ПТБ-23 и ТКБ-201, спроектированные и изготовленные одним и тем же заводом (№ 1) для проведения испытаний на одном и том же само</w:t>
      </w:r>
      <w:r w:rsidRPr="00A3026E">
        <w:rPr>
          <w:color w:val="000000" w:themeColor="text1"/>
          <w:sz w:val="16"/>
          <w:szCs w:val="16"/>
        </w:rPr>
        <w:softHyphen/>
        <w:t>лете (</w:t>
      </w:r>
      <w:r w:rsidRPr="00A3026E">
        <w:rPr>
          <w:color w:val="000000" w:themeColor="text1"/>
          <w:sz w:val="16"/>
          <w:szCs w:val="16"/>
          <w:lang w:val="en-US"/>
        </w:rPr>
        <w:t>Bf</w:t>
      </w:r>
      <w:r w:rsidRPr="00A3026E">
        <w:rPr>
          <w:color w:val="000000" w:themeColor="text1"/>
          <w:sz w:val="16"/>
          <w:szCs w:val="16"/>
        </w:rPr>
        <w:t>110</w:t>
      </w:r>
      <w:r w:rsidRPr="00A3026E">
        <w:rPr>
          <w:color w:val="000000" w:themeColor="text1"/>
          <w:sz w:val="16"/>
          <w:szCs w:val="16"/>
          <w:lang w:val="en-US"/>
        </w:rPr>
        <w:t>C</w:t>
      </w:r>
      <w:r w:rsidRPr="00A3026E">
        <w:rPr>
          <w:color w:val="000000" w:themeColor="text1"/>
          <w:sz w:val="16"/>
          <w:szCs w:val="16"/>
        </w:rPr>
        <w:t>), отличались по весу на 23,5 кг. Кроме этого, поскольку пушка ТКБ-201 при стрельбе от</w:t>
      </w:r>
      <w:r w:rsidRPr="00A3026E">
        <w:rPr>
          <w:color w:val="000000" w:themeColor="text1"/>
          <w:sz w:val="16"/>
          <w:szCs w:val="16"/>
        </w:rPr>
        <w:softHyphen/>
        <w:t>катывалась вся (на 9,5 мм), для надежной работы автоматики пушки требовалось отработать гибкий гильзоотвод и гибкий патронный рукав.</w:t>
      </w:r>
    </w:p>
    <w:p w14:paraId="75C55D5E"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К числу несомненных достоинств пушки ТКБ-201 относили непрерывное питание (рассыпное зве</w:t>
      </w:r>
      <w:r w:rsidRPr="00A3026E">
        <w:rPr>
          <w:color w:val="000000" w:themeColor="text1"/>
          <w:sz w:val="16"/>
          <w:szCs w:val="16"/>
        </w:rPr>
        <w:softHyphen/>
        <w:t>но), меньшее количество деталей (109 против 170 у ПТБ-23) и более низкий процент отказов. На- стрел на одну поломку у пушки ТКБ-201 был почти вдвое выше, чем у пушки ПТБ-23, — 1415 выстре</w:t>
      </w:r>
      <w:r w:rsidRPr="00A3026E">
        <w:rPr>
          <w:color w:val="000000" w:themeColor="text1"/>
          <w:sz w:val="16"/>
          <w:szCs w:val="16"/>
        </w:rPr>
        <w:softHyphen/>
        <w:t>лов против 720 выстрелов. Общий процент задер</w:t>
      </w:r>
      <w:r w:rsidRPr="00A3026E">
        <w:rPr>
          <w:color w:val="000000" w:themeColor="text1"/>
          <w:sz w:val="16"/>
          <w:szCs w:val="16"/>
        </w:rPr>
        <w:softHyphen/>
        <w:t>жек при стрельбе в ходе испытаний не превысил 0,65%, в том числе 0,05% по вине пушки. На 6567 выстрелов пришлось 16 поломок.</w:t>
      </w:r>
    </w:p>
    <w:p w14:paraId="2F9BE186"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ходе испытаний пушку ПТБ-23 расстреляли до полной живучести. В общей сложности на раз</w:t>
      </w:r>
      <w:r w:rsidRPr="00A3026E">
        <w:rPr>
          <w:color w:val="000000" w:themeColor="text1"/>
          <w:sz w:val="16"/>
          <w:szCs w:val="16"/>
        </w:rPr>
        <w:softHyphen/>
        <w:t>личных режимах полета (горизонтальный полет, пикирование, виражи) из пушки было выполнено 3710 выстрелов. Зафиксировали 31 поломку де</w:t>
      </w:r>
      <w:r w:rsidRPr="00A3026E">
        <w:rPr>
          <w:color w:val="000000" w:themeColor="text1"/>
          <w:sz w:val="16"/>
          <w:szCs w:val="16"/>
        </w:rPr>
        <w:softHyphen/>
        <w:t>талей пушки и 47 случаев задержек в стрельбе, из них 8 задержек — по вине автоматики пушки. Ударник затвора выдержал 870—2159 выстрелов, затвор — 3658 выстрелов.</w:t>
      </w:r>
    </w:p>
    <w:p w14:paraId="0A27AD9F"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Тогда же пушку ПТБ-23 задействовали в испы</w:t>
      </w:r>
      <w:r w:rsidRPr="00A3026E">
        <w:rPr>
          <w:color w:val="000000" w:themeColor="text1"/>
          <w:sz w:val="16"/>
          <w:szCs w:val="16"/>
        </w:rPr>
        <w:softHyphen/>
        <w:t>таниях по определению фактической эффективно</w:t>
      </w:r>
      <w:r w:rsidRPr="00A3026E">
        <w:rPr>
          <w:color w:val="000000" w:themeColor="text1"/>
          <w:sz w:val="16"/>
          <w:szCs w:val="16"/>
        </w:rPr>
        <w:softHyphen/>
        <w:t>сти боеприпасов авиационного вооружения при действии по наземным целям. Стрельбы произво</w:t>
      </w:r>
      <w:r w:rsidRPr="00A3026E">
        <w:rPr>
          <w:color w:val="000000" w:themeColor="text1"/>
          <w:sz w:val="16"/>
          <w:szCs w:val="16"/>
        </w:rPr>
        <w:softHyphen/>
        <w:t>дились на НИП АВ ВВС на земле и с воздуха. Наи</w:t>
      </w:r>
      <w:r w:rsidRPr="00A3026E">
        <w:rPr>
          <w:color w:val="000000" w:themeColor="text1"/>
          <w:sz w:val="16"/>
          <w:szCs w:val="16"/>
        </w:rPr>
        <w:softHyphen/>
        <w:t>более «серьезной» целью был паровоз. Помимо ПТБ-23, по нему стреляли из пулеметов ШКАС и БС, пушек ШВАК и ракетными осколочными снарядами РС-82. Использовались самолеты: И-153, вооружен</w:t>
      </w:r>
      <w:r w:rsidRPr="00A3026E">
        <w:rPr>
          <w:color w:val="000000" w:themeColor="text1"/>
          <w:sz w:val="16"/>
          <w:szCs w:val="16"/>
        </w:rPr>
        <w:softHyphen/>
        <w:t>ный синхронным пулеметом БС калибра 12,7 мм и ракетными орудиями РО-82, И-16 с двумя син</w:t>
      </w:r>
      <w:r w:rsidRPr="00A3026E">
        <w:rPr>
          <w:color w:val="000000" w:themeColor="text1"/>
          <w:sz w:val="16"/>
          <w:szCs w:val="16"/>
        </w:rPr>
        <w:softHyphen/>
        <w:t xml:space="preserve">хронными пулеметами ШКАС и двумя крыльевыми пушками ШВАК, а также немецкий </w:t>
      </w:r>
      <w:r w:rsidRPr="00A3026E">
        <w:rPr>
          <w:color w:val="000000" w:themeColor="text1"/>
          <w:sz w:val="16"/>
          <w:szCs w:val="16"/>
          <w:lang w:val="en-US"/>
        </w:rPr>
        <w:t>Bf</w:t>
      </w:r>
      <w:r w:rsidRPr="00A3026E">
        <w:rPr>
          <w:color w:val="000000" w:themeColor="text1"/>
          <w:sz w:val="16"/>
          <w:szCs w:val="16"/>
        </w:rPr>
        <w:t>110</w:t>
      </w:r>
      <w:r w:rsidRPr="00A3026E">
        <w:rPr>
          <w:color w:val="000000" w:themeColor="text1"/>
          <w:sz w:val="16"/>
          <w:szCs w:val="16"/>
          <w:lang w:val="en-US"/>
        </w:rPr>
        <w:t>C</w:t>
      </w:r>
      <w:r w:rsidRPr="00A3026E">
        <w:rPr>
          <w:color w:val="000000" w:themeColor="text1"/>
          <w:sz w:val="16"/>
          <w:szCs w:val="16"/>
        </w:rPr>
        <w:t xml:space="preserve"> с пушкой ПТБ-23 на подфюзеляжной установке. Обстрел про</w:t>
      </w:r>
      <w:r w:rsidRPr="00A3026E">
        <w:rPr>
          <w:color w:val="000000" w:themeColor="text1"/>
          <w:sz w:val="16"/>
          <w:szCs w:val="16"/>
        </w:rPr>
        <w:softHyphen/>
        <w:t>изводился под углом 90 и 30° к направлению дви</w:t>
      </w:r>
      <w:r w:rsidRPr="00A3026E">
        <w:rPr>
          <w:color w:val="000000" w:themeColor="text1"/>
          <w:sz w:val="16"/>
          <w:szCs w:val="16"/>
        </w:rPr>
        <w:softHyphen/>
        <w:t>жения паровоза. Угол пикирования при стрельбе составлял 30—50°, дистанция стрельбы во всех случаях — 500—700 м.</w:t>
      </w:r>
    </w:p>
    <w:p w14:paraId="2F3C5B5E"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Надежное поражение паровоза получалось только при сквозном пробитии стенки котла. Для немедленной остановки паровоза необходимо бы</w:t>
      </w:r>
      <w:r w:rsidRPr="00A3026E">
        <w:rPr>
          <w:color w:val="000000" w:themeColor="text1"/>
          <w:sz w:val="16"/>
          <w:szCs w:val="16"/>
        </w:rPr>
        <w:softHyphen/>
        <w:t>ло обеспечить одну пробоину от снарядов калибра 20—23 мм или прямое попадание одного ракетно</w:t>
      </w:r>
      <w:r w:rsidRPr="00A3026E">
        <w:rPr>
          <w:color w:val="000000" w:themeColor="text1"/>
          <w:sz w:val="16"/>
          <w:szCs w:val="16"/>
        </w:rPr>
        <w:softHyphen/>
        <w:t>го снаряда РС-82 либо две пробоины от пуль кали</w:t>
      </w:r>
      <w:r w:rsidRPr="00A3026E">
        <w:rPr>
          <w:color w:val="000000" w:themeColor="text1"/>
          <w:sz w:val="16"/>
          <w:szCs w:val="16"/>
        </w:rPr>
        <w:softHyphen/>
        <w:t>бра 12,7 мм. Эти поражения «лишают возможности поддерживать в котле требуемого для хода рабоче</w:t>
      </w:r>
      <w:r w:rsidRPr="00A3026E">
        <w:rPr>
          <w:color w:val="000000" w:themeColor="text1"/>
          <w:sz w:val="16"/>
          <w:szCs w:val="16"/>
        </w:rPr>
        <w:softHyphen/>
        <w:t>го давления (11 —12 атм.)».</w:t>
      </w:r>
    </w:p>
    <w:p w14:paraId="3989FE3D"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Наилучшие результаты показала пушка ПТБ-23, бронебойные и бронебойно-зажигательные снаря</w:t>
      </w:r>
      <w:r w:rsidRPr="00A3026E">
        <w:rPr>
          <w:color w:val="000000" w:themeColor="text1"/>
          <w:sz w:val="16"/>
          <w:szCs w:val="16"/>
        </w:rPr>
        <w:softHyphen/>
        <w:t>ды которой надежно поражали паровоз уже в пер</w:t>
      </w:r>
      <w:r w:rsidRPr="00A3026E">
        <w:rPr>
          <w:color w:val="000000" w:themeColor="text1"/>
          <w:sz w:val="16"/>
          <w:szCs w:val="16"/>
        </w:rPr>
        <w:softHyphen/>
        <w:t>вой атаке. Наиболее эффективной была атака с пи</w:t>
      </w:r>
      <w:r w:rsidRPr="00A3026E">
        <w:rPr>
          <w:color w:val="000000" w:themeColor="text1"/>
          <w:sz w:val="16"/>
          <w:szCs w:val="16"/>
        </w:rPr>
        <w:softHyphen/>
        <w:t>кирования под углом 45—50° при стрельбе очере</w:t>
      </w:r>
      <w:r w:rsidRPr="00A3026E">
        <w:rPr>
          <w:color w:val="000000" w:themeColor="text1"/>
          <w:sz w:val="16"/>
          <w:szCs w:val="16"/>
        </w:rPr>
        <w:softHyphen/>
        <w:t>дями по 10—15 выстрелов.</w:t>
      </w:r>
    </w:p>
    <w:p w14:paraId="7DEB42DF"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Отмечалось, что бронебойные снаряды к пуш</w:t>
      </w:r>
      <w:r w:rsidRPr="00A3026E">
        <w:rPr>
          <w:color w:val="000000" w:themeColor="text1"/>
          <w:sz w:val="16"/>
          <w:szCs w:val="16"/>
        </w:rPr>
        <w:softHyphen/>
        <w:t>ке ШВАК дают большое число рикошетов, поэтому для нанесения паровозу требуемого поражения необходимо выполнить несколько прицельных за</w:t>
      </w:r>
      <w:r w:rsidRPr="00A3026E">
        <w:rPr>
          <w:color w:val="000000" w:themeColor="text1"/>
          <w:sz w:val="16"/>
          <w:szCs w:val="16"/>
        </w:rPr>
        <w:softHyphen/>
        <w:t>ходов.</w:t>
      </w:r>
    </w:p>
    <w:p w14:paraId="4571679D"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lastRenderedPageBreak/>
        <w:t>Ракетные снаряды имели достаточную эффек</w:t>
      </w:r>
      <w:r w:rsidRPr="00A3026E">
        <w:rPr>
          <w:color w:val="000000" w:themeColor="text1"/>
          <w:sz w:val="16"/>
          <w:szCs w:val="16"/>
        </w:rPr>
        <w:softHyphen/>
        <w:t>тивность при стрельбе с дистанции не более 600— 700 м, но по сравнению с пушками калибра 23 мм «меткость стрельбы хуже». По этой причине их при</w:t>
      </w:r>
      <w:r w:rsidRPr="00A3026E">
        <w:rPr>
          <w:color w:val="000000" w:themeColor="text1"/>
          <w:sz w:val="16"/>
          <w:szCs w:val="16"/>
        </w:rPr>
        <w:softHyphen/>
        <w:t>менение по паровозам считалось целесообразным «только при отсутствии свободных самолетов, во</w:t>
      </w:r>
      <w:r w:rsidRPr="00A3026E">
        <w:rPr>
          <w:color w:val="000000" w:themeColor="text1"/>
          <w:sz w:val="16"/>
          <w:szCs w:val="16"/>
        </w:rPr>
        <w:softHyphen/>
        <w:t>оруженных пушками 20—23 мм».</w:t>
      </w:r>
    </w:p>
    <w:p w14:paraId="2AA0BC97"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Стрельба по котлу паровоза из крупнокалибер</w:t>
      </w:r>
      <w:r w:rsidRPr="00A3026E">
        <w:rPr>
          <w:color w:val="000000" w:themeColor="text1"/>
          <w:sz w:val="16"/>
          <w:szCs w:val="16"/>
        </w:rPr>
        <w:softHyphen/>
        <w:t>ного пулемета БС бронебойной пулей Б-32 с боль</w:t>
      </w:r>
      <w:r w:rsidRPr="00A3026E">
        <w:rPr>
          <w:color w:val="000000" w:themeColor="text1"/>
          <w:sz w:val="16"/>
          <w:szCs w:val="16"/>
        </w:rPr>
        <w:softHyphen/>
        <w:t>шой дистанции (600—700 м) давала неудовлет</w:t>
      </w:r>
      <w:r w:rsidRPr="00A3026E">
        <w:rPr>
          <w:color w:val="000000" w:themeColor="text1"/>
          <w:sz w:val="16"/>
          <w:szCs w:val="16"/>
        </w:rPr>
        <w:softHyphen/>
        <w:t>ворительные результаты из-за малой пробивной способности пули. Поэтому применять для борьбы с паровозами самолеты с тяжелыми пулеметами допускалось только в самых крайних случаях при отсутствии других средств.</w:t>
      </w:r>
    </w:p>
    <w:p w14:paraId="736FBC6D"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Пулеметы ШКАС при действии по паровозу оказа</w:t>
      </w:r>
      <w:r w:rsidRPr="00A3026E">
        <w:rPr>
          <w:color w:val="000000" w:themeColor="text1"/>
          <w:sz w:val="16"/>
          <w:szCs w:val="16"/>
        </w:rPr>
        <w:softHyphen/>
        <w:t>лись совершенно неэффективными. Поэтому приме</w:t>
      </w:r>
      <w:r w:rsidRPr="00A3026E">
        <w:rPr>
          <w:color w:val="000000" w:themeColor="text1"/>
          <w:sz w:val="16"/>
          <w:szCs w:val="16"/>
        </w:rPr>
        <w:softHyphen/>
        <w:t>нение их против паровозов считалось бесполезным.</w:t>
      </w:r>
    </w:p>
    <w:p w14:paraId="209C9E0E"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После сравнительной оценки результатов по</w:t>
      </w:r>
      <w:r w:rsidRPr="00A3026E">
        <w:rPr>
          <w:color w:val="000000" w:themeColor="text1"/>
          <w:sz w:val="16"/>
          <w:szCs w:val="16"/>
        </w:rPr>
        <w:softHyphen/>
        <w:t>лигонных испытаний и учитывая, что ПТБ-23 по техническим решениям более передовая и имеет большую перспективу развития, пушка рекомендо</w:t>
      </w:r>
      <w:r w:rsidRPr="00A3026E">
        <w:rPr>
          <w:color w:val="000000" w:themeColor="text1"/>
          <w:sz w:val="16"/>
          <w:szCs w:val="16"/>
        </w:rPr>
        <w:softHyphen/>
        <w:t>валась в валовое производство при обязательном устранении выявленных в ходе стрельб дефектов и недостатков.</w:t>
      </w:r>
    </w:p>
    <w:p w14:paraId="33684DB0"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Постановлением Комитета обороны при СНК СССР от 16 ноября 1940 г. авиационную пушку ПТБ-23 приняли на вооружение ВВС КА (17500).</w:t>
      </w:r>
    </w:p>
    <w:p w14:paraId="4379212B" w14:textId="77777777" w:rsidR="00893AC8" w:rsidRPr="00A3026E" w:rsidRDefault="00893AC8" w:rsidP="00A3026E">
      <w:pPr>
        <w:spacing w:after="0" w:line="240" w:lineRule="auto"/>
        <w:jc w:val="both"/>
        <w:rPr>
          <w:rFonts w:ascii="Times New Roman" w:eastAsia="Times New Roman" w:hAnsi="Times New Roman"/>
          <w:color w:val="000000" w:themeColor="text1"/>
          <w:sz w:val="16"/>
          <w:szCs w:val="16"/>
          <w:lang w:eastAsia="ru-RU"/>
        </w:rPr>
      </w:pPr>
    </w:p>
    <w:p w14:paraId="18FA4C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12/11-Х1-40 г. Секретарь Воронежского Обкома ВКП(б) писла письмо в ЦК ВКП(б) тов.СТАЛИНУ (вход. Секретариат НКАП № 10350 от 23 ноября).</w:t>
      </w:r>
    </w:p>
    <w:p w14:paraId="555021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 состоянии подготовки </w:t>
      </w:r>
      <w:r w:rsidRPr="00A3026E">
        <w:rPr>
          <w:rFonts w:ascii="Times New Roman" w:hAnsi="Times New Roman"/>
          <w:smallCaps/>
          <w:color w:val="000000" w:themeColor="text1"/>
          <w:sz w:val="16"/>
          <w:szCs w:val="16"/>
        </w:rPr>
        <w:t xml:space="preserve">серийного производства </w:t>
      </w:r>
      <w:r w:rsidRPr="00A3026E">
        <w:rPr>
          <w:rFonts w:ascii="Times New Roman" w:hAnsi="Times New Roman"/>
          <w:color w:val="000000" w:themeColor="text1"/>
          <w:sz w:val="16"/>
          <w:szCs w:val="16"/>
        </w:rPr>
        <w:t>М-11 НА ЗАВОДЕ имени СТАЛИНА.</w:t>
      </w:r>
    </w:p>
    <w:p w14:paraId="7E2E11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Завод им.Сталина был принят 15.IX. с.г..За время с 1.5.IX по 15.Х работа была направлена на свертывание дизель</w:t>
      </w:r>
      <w:r w:rsidRPr="00A3026E">
        <w:rPr>
          <w:rFonts w:ascii="Times New Roman" w:hAnsi="Times New Roman"/>
          <w:color w:val="000000" w:themeColor="text1"/>
          <w:sz w:val="16"/>
          <w:szCs w:val="16"/>
        </w:rPr>
        <w:softHyphen/>
        <w:t>ного производства.</w:t>
      </w:r>
    </w:p>
    <w:p w14:paraId="486F20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сделано практически:</w:t>
      </w:r>
    </w:p>
    <w:p w14:paraId="6A3CB0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Подготовлена к передаче вся техническая докумен</w:t>
      </w:r>
      <w:r w:rsidRPr="00A3026E">
        <w:rPr>
          <w:rFonts w:ascii="Times New Roman" w:hAnsi="Times New Roman"/>
          <w:color w:val="000000" w:themeColor="text1"/>
          <w:sz w:val="16"/>
          <w:szCs w:val="16"/>
        </w:rPr>
        <w:softHyphen/>
        <w:t>тация по дизелям;</w:t>
      </w:r>
    </w:p>
    <w:p w14:paraId="354149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Проверено контролем и упаковано все незавершенное производство и спецприспособления по дизелям и спецпро-дукции;</w:t>
      </w:r>
    </w:p>
    <w:p w14:paraId="24A903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Демонтировано все оборудование дизельного и спе</w:t>
      </w:r>
      <w:r w:rsidRPr="00A3026E">
        <w:rPr>
          <w:rFonts w:ascii="Times New Roman" w:hAnsi="Times New Roman"/>
          <w:color w:val="000000" w:themeColor="text1"/>
          <w:sz w:val="16"/>
          <w:szCs w:val="16"/>
        </w:rPr>
        <w:softHyphen/>
        <w:t>циального производства.</w:t>
      </w:r>
    </w:p>
    <w:p w14:paraId="0303A9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 подготовке к развертыванию производства М-11.</w:t>
      </w:r>
    </w:p>
    <w:p w14:paraId="3E7A94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сделано практически:</w:t>
      </w:r>
    </w:p>
    <w:p w14:paraId="7F914F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Закреплены существующие площади за новыми цехами;</w:t>
      </w:r>
    </w:p>
    <w:p w14:paraId="049130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Укомплектованы оборудованием новые цеха на программу 1941 года. Причем используется с завода имени Сталина 250 станков и подлежит передаче с завода № 16 -191 станок. Недостает 55 станков, которые покрываются за счет фондов, выделенных КО~в~ТУ квартале 1940 года и в 1 квартале 1941 года;</w:t>
      </w:r>
    </w:p>
    <w:p w14:paraId="5100AB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Сделаны планировки новых цехов;</w:t>
      </w:r>
    </w:p>
    <w:p w14:paraId="21B4A7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Распределены по цехам и отделам все ИТР и рабочие завода им.Сталина;</w:t>
      </w:r>
    </w:p>
    <w:p w14:paraId="2A957E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ИТР всего на заводе 270 человек, должно быть к 1.1.1941 г. - 400 человек. Перебрасывается с завода № 16 -90 человек. Недостающее количество - 40 человек ИТР бу</w:t>
      </w:r>
      <w:r w:rsidRPr="00A3026E">
        <w:rPr>
          <w:rFonts w:ascii="Times New Roman" w:hAnsi="Times New Roman"/>
          <w:color w:val="000000" w:themeColor="text1"/>
          <w:sz w:val="16"/>
          <w:szCs w:val="16"/>
        </w:rPr>
        <w:softHyphen/>
        <w:t>дет пополнено за счет выдвижения из кадров заводов № 16 и им.Сталина;</w:t>
      </w:r>
    </w:p>
    <w:p w14:paraId="443000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Всего на заводе - 1070 человек рабочих, потреб</w:t>
      </w:r>
      <w:r w:rsidRPr="00A3026E">
        <w:rPr>
          <w:rFonts w:ascii="Times New Roman" w:hAnsi="Times New Roman"/>
          <w:color w:val="000000" w:themeColor="text1"/>
          <w:sz w:val="16"/>
          <w:szCs w:val="16"/>
        </w:rPr>
        <w:softHyphen/>
        <w:t>ность на программу 1941 года - 1700 человек. Недостающее количество 630 человек будет пополнено за счет переброски с завода $ 16 - 280 человек, досрочного выпуска ФЗУ -120 человек и остальные 230 человек будут пополнены за счет бригадного ученичества;</w:t>
      </w:r>
    </w:p>
    <w:p w14:paraId="008F4A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Из наличного состава работников завода им.Стали</w:t>
      </w:r>
      <w:r w:rsidRPr="00A3026E">
        <w:rPr>
          <w:rFonts w:ascii="Times New Roman" w:hAnsi="Times New Roman"/>
          <w:color w:val="000000" w:themeColor="text1"/>
          <w:sz w:val="16"/>
          <w:szCs w:val="16"/>
        </w:rPr>
        <w:softHyphen/>
        <w:t>на прошло обучение на заводе № 16 всего 365 человек, из них рабочих - 298 и ИТР - 67 человек;</w:t>
      </w:r>
    </w:p>
    <w:p w14:paraId="142E8A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С завода да 16 за период 15.X - 11.XI переброше</w:t>
      </w:r>
      <w:r w:rsidRPr="00A3026E">
        <w:rPr>
          <w:rFonts w:ascii="Times New Roman" w:hAnsi="Times New Roman"/>
          <w:color w:val="000000" w:themeColor="text1"/>
          <w:sz w:val="16"/>
          <w:szCs w:val="16"/>
        </w:rPr>
        <w:softHyphen/>
        <w:t>но 67 станков, остальные 124 станка будут переброшены и установлены до 25.XI.40 г.</w:t>
      </w:r>
    </w:p>
    <w:p w14:paraId="588D01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на заводе им.Сталина, согласно новой техноло</w:t>
      </w:r>
      <w:r w:rsidRPr="00A3026E">
        <w:rPr>
          <w:rFonts w:ascii="Times New Roman" w:hAnsi="Times New Roman"/>
          <w:color w:val="000000" w:themeColor="text1"/>
          <w:sz w:val="16"/>
          <w:szCs w:val="16"/>
        </w:rPr>
        <w:softHyphen/>
        <w:t>гии и новых планировок, установлено на 11.XI - 231 станок.</w:t>
      </w:r>
    </w:p>
    <w:p w14:paraId="346D27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Инструментальный цех с 1.XI работает полностью в 2 смены. '</w:t>
      </w:r>
    </w:p>
    <w:p w14:paraId="5A8D38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производственных цехах 10.XI началась обработка по первым операциям следующих деталей М-11: коленчатый вал, цилиндр, шестерни, три детали револьверного цеха.</w:t>
      </w:r>
    </w:p>
    <w:p w14:paraId="76BEE0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Решением КО завод им.Сталина в 1940 г. должен выпустить 200 моторов М-11. Указанное количество будет выполнено полностью. Сдача моторов М-11 на заводе им.Сталина начнется с 10.ХП.1940 года. По строительству первой очереди, обеспечи</w:t>
      </w:r>
      <w:r w:rsidRPr="00A3026E">
        <w:rPr>
          <w:rFonts w:ascii="Times New Roman" w:hAnsi="Times New Roman"/>
          <w:color w:val="000000" w:themeColor="text1"/>
          <w:sz w:val="16"/>
          <w:szCs w:val="16"/>
        </w:rPr>
        <w:softHyphen/>
        <w:t>вающей выпуск 200 моторов будут сданы следующие об"екты:</w:t>
      </w:r>
    </w:p>
    <w:p w14:paraId="13BFE3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испытательная станция - к 22.XI.40 г.,</w:t>
      </w:r>
    </w:p>
    <w:p w14:paraId="43945F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новая котельная (1 котел) - к 20.XI.40 г.,</w:t>
      </w:r>
    </w:p>
    <w:p w14:paraId="2E1845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сборочно-переборочный цех - к 1.ХП.40 г.</w:t>
      </w:r>
    </w:p>
    <w:p w14:paraId="742EC1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ходу строительства сомнение вызывает сборочно-переборочный дех, в котором работа развернута неудовлетворительно. При помощи, которую намечает Обком, этот цех может быть закончен в установленный срок - к 1.ХП.40 г.</w:t>
      </w:r>
    </w:p>
    <w:p w14:paraId="40C8C7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СЕКРЕТАРЬ ВОРОНЕЖСКОГО ОБКОМА ВКП(б) НИКИТИН (9820,79).</w:t>
      </w:r>
    </w:p>
    <w:p w14:paraId="719DB9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11.Х1.40 г.</w:t>
      </w:r>
    </w:p>
    <w:p w14:paraId="4AD3251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141B2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C 12 но 14 ноября 1940 г. в НИИ-3 НКБ во 2-й лаборатории В.Г.Бессонова в присутствии начальника 6-го отдела М.П.Елисеева и ведущего технолога И. Я Лапшина прошли контрольные испытания снаряда ОФР-82 модели СЛ-005. После опытов по сжиганию РЗ на различных стендах, механических повреждений корпуса боеприпаса не обнаружили. Комиссии рекомендовала конструкторам во избежание порчи резьбы предусмотреть специальные захваты и приспособления для установки внутреннего дна БЧ. Таким образом, ограничений для сдачи партии боеприпасов на полигонные испытания больше не оставалось.Ведущим инженером по полигонным испытаниям снарядов ОФР-82 модели СЛ-005 был назначен Булгаков. На них предполагалось из напра</w:t>
      </w:r>
      <w:r w:rsidRPr="00A3026E">
        <w:rPr>
          <w:rFonts w:ascii="Times New Roman" w:hAnsi="Times New Roman"/>
          <w:color w:val="000000" w:themeColor="text1"/>
          <w:sz w:val="16"/>
          <w:szCs w:val="16"/>
        </w:rPr>
        <w:softHyphen/>
        <w:t>вляющей с углом возвышения 40° отстрелять 45 боеприпасов (22 инерт</w:t>
      </w:r>
      <w:r w:rsidRPr="00A3026E">
        <w:rPr>
          <w:rFonts w:ascii="Times New Roman" w:hAnsi="Times New Roman"/>
          <w:color w:val="000000" w:themeColor="text1"/>
          <w:sz w:val="16"/>
          <w:szCs w:val="16"/>
        </w:rPr>
        <w:softHyphen/>
        <w:t>ных и 23 с боевым снаряжением), окончательно снаряженных взрывате</w:t>
      </w:r>
      <w:r w:rsidRPr="00A3026E">
        <w:rPr>
          <w:rFonts w:ascii="Times New Roman" w:hAnsi="Times New Roman"/>
          <w:color w:val="000000" w:themeColor="text1"/>
          <w:sz w:val="16"/>
          <w:szCs w:val="16"/>
        </w:rPr>
        <w:softHyphen/>
        <w:t>лями АМ-А. Для подрыва и бронеяме приготовили 5 снарядов с нес наря</w:t>
      </w:r>
      <w:r w:rsidRPr="00A3026E">
        <w:rPr>
          <w:rFonts w:ascii="Times New Roman" w:hAnsi="Times New Roman"/>
          <w:color w:val="000000" w:themeColor="text1"/>
          <w:sz w:val="16"/>
          <w:szCs w:val="16"/>
        </w:rPr>
        <w:softHyphen/>
        <w:t>женным и двигателями. Результаты их дробления требовалось сравнить с отчетом по испытаниям РОС-82 модели 3-00497. Более подробных све</w:t>
      </w:r>
      <w:r w:rsidRPr="00A3026E">
        <w:rPr>
          <w:rFonts w:ascii="Times New Roman" w:hAnsi="Times New Roman"/>
          <w:color w:val="000000" w:themeColor="text1"/>
          <w:sz w:val="16"/>
          <w:szCs w:val="16"/>
        </w:rPr>
        <w:softHyphen/>
        <w:t>дений о судьбе данного боеприпаса не обнаружено.</w:t>
      </w:r>
    </w:p>
    <w:p w14:paraId="705C45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технологию ротационной ковки в этот период вес же использовали на механических заводах, правда, для изготовления второстепенные де</w:t>
      </w:r>
      <w:r w:rsidRPr="00A3026E">
        <w:rPr>
          <w:rFonts w:ascii="Times New Roman" w:hAnsi="Times New Roman"/>
          <w:color w:val="000000" w:themeColor="text1"/>
          <w:sz w:val="16"/>
          <w:szCs w:val="16"/>
        </w:rPr>
        <w:softHyphen/>
        <w:t>талей и узлов РС с «немонолитными» корпусами двигателей по устарев</w:t>
      </w:r>
      <w:r w:rsidRPr="00A3026E">
        <w:rPr>
          <w:rFonts w:ascii="Times New Roman" w:hAnsi="Times New Roman"/>
          <w:color w:val="000000" w:themeColor="text1"/>
          <w:sz w:val="16"/>
          <w:szCs w:val="16"/>
        </w:rPr>
        <w:softHyphen/>
        <w:t>шей схеме. В частности, в 1940 г. процесс производства осколочно-фу</w:t>
      </w:r>
      <w:r w:rsidRPr="00A3026E">
        <w:rPr>
          <w:rFonts w:ascii="Times New Roman" w:hAnsi="Times New Roman"/>
          <w:color w:val="000000" w:themeColor="text1"/>
          <w:sz w:val="16"/>
          <w:szCs w:val="16"/>
        </w:rPr>
        <w:softHyphen/>
        <w:t>гасных ракет ОФР- 132 модели 128600 предусматривал изготовление кор</w:t>
      </w:r>
      <w:r w:rsidRPr="00A3026E">
        <w:rPr>
          <w:rFonts w:ascii="Times New Roman" w:hAnsi="Times New Roman"/>
          <w:color w:val="000000" w:themeColor="text1"/>
          <w:sz w:val="16"/>
          <w:szCs w:val="16"/>
        </w:rPr>
        <w:softHyphen/>
        <w:t>пусов БЧ из штампованных стальных стаканов. Однако, при наличии ко</w:t>
      </w:r>
      <w:r w:rsidRPr="00A3026E">
        <w:rPr>
          <w:rFonts w:ascii="Times New Roman" w:hAnsi="Times New Roman"/>
          <w:color w:val="000000" w:themeColor="text1"/>
          <w:sz w:val="16"/>
          <w:szCs w:val="16"/>
        </w:rPr>
        <w:softHyphen/>
        <w:t>вочных приспособлений, их рентабельнее было изготавливать из толсто</w:t>
      </w:r>
      <w:r w:rsidRPr="00A3026E">
        <w:rPr>
          <w:rFonts w:ascii="Times New Roman" w:hAnsi="Times New Roman"/>
          <w:color w:val="000000" w:themeColor="text1"/>
          <w:sz w:val="16"/>
          <w:szCs w:val="16"/>
        </w:rPr>
        <w:softHyphen/>
        <w:t>стенных цельнотянутых труб 135/15 мм. К этому времени подобную ме</w:t>
      </w:r>
      <w:r w:rsidRPr="00A3026E">
        <w:rPr>
          <w:rFonts w:ascii="Times New Roman" w:hAnsi="Times New Roman"/>
          <w:color w:val="000000" w:themeColor="text1"/>
          <w:sz w:val="16"/>
          <w:szCs w:val="16"/>
        </w:rPr>
        <w:softHyphen/>
        <w:t>тодику ковки, помимо завода имени Ленина, освоили и на заводе имени Карла Либкнехта, где серийно изготавливали цельнокованые корпуса фугасных авиабомб калибрами 50-500 кг.</w:t>
      </w:r>
    </w:p>
    <w:p w14:paraId="1EECD0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в производстве данного боеприпаса использовали и из</w:t>
      </w:r>
      <w:r w:rsidRPr="00A3026E">
        <w:rPr>
          <w:rFonts w:ascii="Times New Roman" w:hAnsi="Times New Roman"/>
          <w:color w:val="000000" w:themeColor="text1"/>
          <w:sz w:val="16"/>
          <w:szCs w:val="16"/>
        </w:rPr>
        <w:softHyphen/>
        <w:t>готовленные на редуцир-машинах или ковочных приспособлениях подготовки крышки-сопла. Для этого требовались стальные толстостенные цельнотянутые трубы 135/20 мм. Сопловые рюмки рекомендовал ко</w:t>
      </w:r>
      <w:r w:rsidRPr="00A3026E">
        <w:rPr>
          <w:rFonts w:ascii="Times New Roman" w:hAnsi="Times New Roman"/>
          <w:color w:val="000000" w:themeColor="text1"/>
          <w:sz w:val="16"/>
          <w:szCs w:val="16"/>
        </w:rPr>
        <w:softHyphen/>
        <w:t>вать «попарно с последующей разделкой на две штуки», что снижало их себестоимость на 35 руб. Как видно, до единого блока «камера-сопло» здесь дело еще не дошло.</w:t>
      </w:r>
    </w:p>
    <w:p w14:paraId="7E136A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Любопытна и технология производства стальных сопловых обтекателей, доведенная еще в предвоенные годы до совершенства. Помимо высокотехнологичных бесшовных (глубокой вытяжки) при изготовлении опускается автогенная сварка обтекателя сопла из развертки с последующей обсадкой заготовки пол прессом. В этом случае одно из крыльев перекрывает линию шва с соответствующей зачисткой шва в точках напряжения. Зато среди многочисленных ракетных боеприпасов в экспозициях музеев нет-нет да и встретятся изготовленные в военные годы с отступлениями отданного правила со сварным швом под накладкой из пластины между двумя крыльями стабилизатора.</w:t>
      </w:r>
    </w:p>
    <w:p w14:paraId="49FC6B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ОФР-132 имели узел воспламенения из двух пиросвечей и одного порохового воспламенителя в донной части двигателя. Даже в мирное время допускались отступления от жесткого правила помешать последний между двумя фанерными диафрагмами. Вместо фанеры раз</w:t>
      </w:r>
      <w:r w:rsidRPr="00A3026E">
        <w:rPr>
          <w:rFonts w:ascii="Times New Roman" w:hAnsi="Times New Roman"/>
          <w:color w:val="000000" w:themeColor="text1"/>
          <w:sz w:val="16"/>
          <w:szCs w:val="16"/>
        </w:rPr>
        <w:softHyphen/>
        <w:t>решалось использовать грубый картон из бумажного литья. Обтекатель сопла с крыльями стабилизатора приваривали в районе соплового среза в нескольких точках. На первый взгляд, то, что прочность крепления .крыльев проверяли одновременно под нагрузкой в 50 кг, давало основания полагать, что это был 132-мм боеприпас с полноразмерным двигателем длиной 550 мм. поскольку его масса в окончательно снаряженном виде составляла около 47 кг. Однако позже выяснилось, что у 132-мм РОС этот тест проводили с трехкратной нагрузкой, то есть в 150 кг. Между делом, в НИИ-3 НКБ весьма немногочисленные научные коллективы успевали уделять внимание и вопросам эксплуатации своих разработок в экстремальных ситуациях (11402).</w:t>
      </w:r>
    </w:p>
    <w:p w14:paraId="73ACC7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6734BD9" w14:textId="77777777" w:rsidR="00C66762" w:rsidRPr="00A3026E" w:rsidRDefault="001F3559" w:rsidP="00A3026E">
      <w:pPr>
        <w:shd w:val="clear" w:color="auto" w:fill="FFFFFF"/>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50318E16" w14:textId="77777777" w:rsidR="00C66762" w:rsidRPr="00A3026E" w:rsidRDefault="00C66762" w:rsidP="00A3026E">
      <w:pPr>
        <w:shd w:val="clear" w:color="auto" w:fill="FFFFFF"/>
        <w:spacing w:after="0" w:line="240" w:lineRule="auto"/>
        <w:jc w:val="both"/>
        <w:rPr>
          <w:rFonts w:ascii="Times New Roman" w:hAnsi="Times New Roman"/>
          <w:iCs/>
          <w:color w:val="000000" w:themeColor="text1"/>
          <w:sz w:val="16"/>
          <w:szCs w:val="16"/>
        </w:rPr>
      </w:pPr>
    </w:p>
    <w:p w14:paraId="1824BC0F" w14:textId="77777777" w:rsidR="00A80473" w:rsidRPr="00A3026E" w:rsidRDefault="00A8047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г. заключение по испытаниям люка механика-водителя Т-34 было утверждено исполняющим обязанности главного конструктора завода № 183 А.А. Морозовым, 15 ноября 1940 г. согласовано с районным инженером ГАБТУ КА Д.М. Козыревым и 18 ноября 1940 г. с </w:t>
      </w:r>
      <w:hyperlink r:id="rId94" w:tgtFrame="_blank" w:history="1">
        <w:r w:rsidRPr="00A3026E">
          <w:rPr>
            <w:rStyle w:val="a5"/>
            <w:rFonts w:ascii="Times New Roman" w:hAnsi="Times New Roman"/>
            <w:color w:val="000000" w:themeColor="text1"/>
            <w:sz w:val="16"/>
            <w:szCs w:val="16"/>
          </w:rPr>
          <w:t>препроводительным письмом № СО6228</w:t>
        </w:r>
      </w:hyperlink>
      <w:r w:rsidRPr="00A3026E">
        <w:rPr>
          <w:rFonts w:ascii="Times New Roman" w:hAnsi="Times New Roman"/>
          <w:color w:val="000000" w:themeColor="text1"/>
          <w:sz w:val="16"/>
          <w:szCs w:val="16"/>
        </w:rPr>
        <w:t> отправлено в ГАБТУ КА. Ответ из Москвы не заставил себя долго ждать, 30 ноября 1940 г. заместитель начальника БТУ ГАБТУ КА военинженер 1 ранга Н.Н. Алымов в </w:t>
      </w:r>
      <w:hyperlink r:id="rId95" w:tgtFrame="_blank" w:history="1">
        <w:r w:rsidRPr="00A3026E">
          <w:rPr>
            <w:rStyle w:val="a5"/>
            <w:rFonts w:ascii="Times New Roman" w:hAnsi="Times New Roman"/>
            <w:color w:val="000000" w:themeColor="text1"/>
            <w:sz w:val="16"/>
            <w:szCs w:val="16"/>
          </w:rPr>
          <w:t>письме № 77253с</w:t>
        </w:r>
      </w:hyperlink>
      <w:r w:rsidRPr="00A3026E">
        <w:rPr>
          <w:rFonts w:ascii="Times New Roman" w:hAnsi="Times New Roman"/>
          <w:color w:val="000000" w:themeColor="text1"/>
          <w:sz w:val="16"/>
          <w:szCs w:val="16"/>
        </w:rPr>
        <w:t> на имя Д.М. Козырева одобрил принятые на заводе № 183 решения по уплотнению люков танка Т-34, и потребовал их скорейшего выполнения (18206).</w:t>
      </w:r>
    </w:p>
    <w:p w14:paraId="544F4BA9" w14:textId="77777777" w:rsidR="00A80473" w:rsidRPr="00A3026E" w:rsidRDefault="00A80473" w:rsidP="00A3026E">
      <w:pPr>
        <w:spacing w:after="0" w:line="240" w:lineRule="auto"/>
        <w:jc w:val="both"/>
        <w:rPr>
          <w:rFonts w:ascii="Times New Roman" w:hAnsi="Times New Roman"/>
          <w:color w:val="000000" w:themeColor="text1"/>
          <w:sz w:val="16"/>
          <w:szCs w:val="16"/>
        </w:rPr>
      </w:pPr>
    </w:p>
    <w:p w14:paraId="011685CA" w14:textId="77777777" w:rsidR="00A80473" w:rsidRPr="00A3026E" w:rsidRDefault="00A8047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 ноября 1940 Нарком общего машиностроения А. Паршин письмом № 8564с обратился в Правительство с просьбой разрешить поставить на производство на Ижевском мотоциклетном заводе «частично модернизированный мотоцикл Л-8 /мотор и коробка скоростей Л-8 на экипажной части ИЖ-9/» с организацией его выпуска в течение III квартала 1941 г., с тем чтобы с IV квартала 1941 перейти на производство мотоцикла Л-8, модернизированного в соответствии с требованиями ГАБТУ КА. Оценка ГАБТУ модернизированного мотоцикла оказалась даже выше чем у Л-8: «произведенная Ижевским мотозаводом частичная модернизация </w:t>
      </w:r>
      <w:r w:rsidRPr="00A3026E">
        <w:rPr>
          <w:rFonts w:ascii="Times New Roman" w:hAnsi="Times New Roman"/>
          <w:color w:val="000000" w:themeColor="text1"/>
          <w:sz w:val="16"/>
          <w:szCs w:val="16"/>
        </w:rPr>
        <w:lastRenderedPageBreak/>
        <w:t>удовлетворяет основные требования ГАБТУ как существующей конструкции мотоцикла Л-8 по снижению веса и повышению клиренса». Новый мотоцикл был одобрен военными, поэтому с планов производства Л-8 был снят, и 4 марта 1941 г. правительственным Постановлением он был утвержден к серийному производству в качестве основного легкого армейского мотоцикла под маркой ИЖ-12. Серийное производство ИЖ-12 предполагалось начать не только в Ижевске, но и в Серпухове вместо мопедов («малолитражных мотоциклов»).</w:t>
      </w:r>
    </w:p>
    <w:p w14:paraId="58173F5E" w14:textId="77777777" w:rsidR="00A80473" w:rsidRPr="00A3026E" w:rsidRDefault="00A80473" w:rsidP="00A3026E">
      <w:pPr>
        <w:spacing w:after="0" w:line="240" w:lineRule="auto"/>
        <w:jc w:val="both"/>
        <w:rPr>
          <w:rFonts w:ascii="Times New Roman" w:hAnsi="Times New Roman"/>
          <w:color w:val="000000" w:themeColor="text1"/>
          <w:sz w:val="16"/>
          <w:szCs w:val="16"/>
        </w:rPr>
      </w:pPr>
    </w:p>
    <w:p w14:paraId="0EE6E0B4" w14:textId="77777777" w:rsidR="00A80473" w:rsidRPr="00A3026E" w:rsidRDefault="00A8047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г. начальник БТУ ГАБТУ КА военинженер 1 ранга Б.М. Коробков и начальник 2-го отдела БТУ ГАБТУ КА военинженер 2 ранга П.А. Демьяненко направили заместителю начальника УС КА военинженеру 1 ранга Н.Г. Малькову </w:t>
      </w:r>
      <w:hyperlink r:id="rId96" w:tgtFrame="_blank" w:history="1">
        <w:r w:rsidRPr="00A3026E">
          <w:rPr>
            <w:rStyle w:val="a5"/>
            <w:rFonts w:ascii="Times New Roman" w:hAnsi="Times New Roman"/>
            <w:color w:val="000000" w:themeColor="text1"/>
            <w:sz w:val="16"/>
            <w:szCs w:val="16"/>
          </w:rPr>
          <w:t>письмо № 76960с</w:t>
        </w:r>
      </w:hyperlink>
      <w:r w:rsidRPr="00A3026E">
        <w:rPr>
          <w:rFonts w:ascii="Times New Roman" w:hAnsi="Times New Roman"/>
          <w:color w:val="000000" w:themeColor="text1"/>
          <w:sz w:val="16"/>
          <w:szCs w:val="16"/>
        </w:rPr>
        <w:t> следующего содержания: </w:t>
      </w:r>
    </w:p>
    <w:p w14:paraId="4A471961" w14:textId="77777777" w:rsidR="00A80473" w:rsidRPr="00A3026E" w:rsidRDefault="00A8047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снять заказ на изготовление телекода "ТК-12" в 1941 г. в количестве 500 шт. по причинам: </w:t>
      </w:r>
    </w:p>
    <w:p w14:paraId="24A57CBA" w14:textId="77777777" w:rsidR="00A80473" w:rsidRPr="00A3026E" w:rsidRDefault="00A8047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Конструктивной недоработки ТК-12 и его механической непрочности; </w:t>
      </w:r>
    </w:p>
    <w:p w14:paraId="7BAEA0EA" w14:textId="77777777" w:rsidR="00A80473" w:rsidRPr="00A3026E" w:rsidRDefault="00A8047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ТК-12 рассчитаны на установку в машинах А-8 и Т-26, которые в 1941 г. с производства сняты; </w:t>
      </w:r>
    </w:p>
    <w:p w14:paraId="75603DCC" w14:textId="77777777" w:rsidR="00A80473" w:rsidRPr="00A3026E" w:rsidRDefault="00A8047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Установка ТК-12 в машинах "КВ" и "Т-34" требует дополнительно 2-х слаботочных колец в ВКУ; </w:t>
      </w:r>
    </w:p>
    <w:p w14:paraId="082FA0A4" w14:textId="77777777" w:rsidR="00A80473" w:rsidRPr="00A3026E" w:rsidRDefault="00A8047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Спаривать ТК-12 с рацией КРСТБ – нецелесообразно, в силу того, что последняя вместе с телекодом работать не будет. Кроме того, сама рация КРСТБ, стабилизированная кварцем, надежна и проста в эксплоатации. </w:t>
      </w:r>
    </w:p>
    <w:p w14:paraId="26326BDA" w14:textId="77777777" w:rsidR="00A80473" w:rsidRPr="00A3026E" w:rsidRDefault="00A8047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Имеющиеся в войсках телекоды ТК-12 подлежат более длительной эксплоатации с целью выявления всех конструктивных недостатков и окончательного заключения войсковых частей о целесообразности установки их в танках».</w:t>
      </w:r>
    </w:p>
    <w:p w14:paraId="77604D7A" w14:textId="77777777" w:rsidR="00A80473" w:rsidRPr="00A3026E" w:rsidRDefault="00A8047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1130. Л. 125]</w:t>
      </w:r>
    </w:p>
    <w:p w14:paraId="448945DE" w14:textId="77777777" w:rsidR="00A80473" w:rsidRPr="00A3026E" w:rsidRDefault="00A8047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Забегая вперед, скажем, что решение вопроса о целесообразности установки телекодов ТК-12 в танки затянулось до начала Великой Отечественной войны. В конечном итоге производство телекодов так и не было возобновлено и танки Т-34 этим средством связи оснащены не были (18160).</w:t>
      </w:r>
    </w:p>
    <w:p w14:paraId="614A3BED" w14:textId="77777777" w:rsidR="00A80473" w:rsidRPr="00A3026E" w:rsidRDefault="00A80473" w:rsidP="00A3026E">
      <w:pPr>
        <w:spacing w:after="0" w:line="240" w:lineRule="auto"/>
        <w:jc w:val="both"/>
        <w:rPr>
          <w:rFonts w:ascii="Times New Roman" w:hAnsi="Times New Roman"/>
          <w:color w:val="000000" w:themeColor="text1"/>
          <w:sz w:val="16"/>
          <w:szCs w:val="16"/>
        </w:rPr>
      </w:pPr>
    </w:p>
    <w:p w14:paraId="77E9CA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г. ГАБТУ своим письмом просило народного комиссара среднего машиностроения т. Малышева обеспечить автозавод им. Сталина необходимым оборудованием для производства ав</w:t>
      </w:r>
      <w:r w:rsidRPr="00A3026E">
        <w:rPr>
          <w:rFonts w:ascii="Times New Roman" w:hAnsi="Times New Roman"/>
          <w:color w:val="000000" w:themeColor="text1"/>
          <w:sz w:val="16"/>
          <w:szCs w:val="16"/>
        </w:rPr>
        <w:softHyphen/>
        <w:t>томобиля ЗИС-32 и в кратчайший срок доработать опытный образец ЗИС-32 для повторных поли</w:t>
      </w:r>
      <w:r w:rsidRPr="00A3026E">
        <w:rPr>
          <w:rFonts w:ascii="Times New Roman" w:hAnsi="Times New Roman"/>
          <w:color w:val="000000" w:themeColor="text1"/>
          <w:sz w:val="16"/>
          <w:szCs w:val="16"/>
        </w:rPr>
        <w:softHyphen/>
        <w:t>гонных испытаний.</w:t>
      </w:r>
    </w:p>
    <w:p w14:paraId="5F0EC8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июля 1940 г. вышло Постановление КО № 333сс и 19 декабря 1939 г. вышло Постановления КО № 443сс, которые обязывали автозавод им. им. Сталина:</w:t>
      </w:r>
    </w:p>
    <w:p w14:paraId="553CD2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Организовать серийное производство автомобилей ЗИС-32 с 1.10.1940 г.</w:t>
      </w:r>
    </w:p>
    <w:p w14:paraId="196EE5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Создать мощность завода по выпуску ЗИС-32 с 1.8.1941 г. до 2000 шт. в год.</w:t>
      </w:r>
    </w:p>
    <w:p w14:paraId="4E7584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Полигонные испытания показали, что представленные опытные образцы ЗИС-32 конструктивно и производственно недоработаны (имеют дефекты) (11211).</w:t>
      </w:r>
    </w:p>
    <w:p w14:paraId="0D5925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FF89E44" w14:textId="77777777" w:rsidR="00C66762"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Внешняя</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политика</w:t>
      </w:r>
      <w:r w:rsidRPr="00A3026E">
        <w:rPr>
          <w:rFonts w:ascii="Times New Roman" w:hAnsi="Times New Roman"/>
          <w:i/>
          <w:iCs/>
          <w:color w:val="000000" w:themeColor="text1"/>
          <w:sz w:val="16"/>
          <w:szCs w:val="16"/>
          <w:lang w:val="en-US"/>
        </w:rPr>
        <w:t>:</w:t>
      </w:r>
    </w:p>
    <w:p w14:paraId="6FDC5F62" w14:textId="77777777" w:rsidR="00C66762" w:rsidRPr="00A3026E" w:rsidRDefault="00C66762" w:rsidP="00A3026E">
      <w:pPr>
        <w:spacing w:after="0" w:line="240" w:lineRule="auto"/>
        <w:jc w:val="both"/>
        <w:rPr>
          <w:rFonts w:ascii="Times New Roman" w:hAnsi="Times New Roman"/>
          <w:iCs/>
          <w:color w:val="000000" w:themeColor="text1"/>
          <w:sz w:val="16"/>
          <w:szCs w:val="16"/>
          <w:lang w:val="en-US"/>
        </w:rPr>
      </w:pPr>
    </w:p>
    <w:p w14:paraId="744413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lang w:val="en-US"/>
        </w:rPr>
        <w:t xml:space="preserve">November 12, 1940: Soviet foreign minister Molotov visits Hitler at Berlin to discuss mutual spheres of interest, especially regarding Finland. </w:t>
      </w:r>
      <w:r w:rsidRPr="00A3026E">
        <w:rPr>
          <w:rFonts w:ascii="Times New Roman" w:hAnsi="Times New Roman"/>
          <w:color w:val="000000" w:themeColor="text1"/>
          <w:sz w:val="16"/>
          <w:szCs w:val="16"/>
        </w:rPr>
        <w:t>The talks show serious disagreements between the participants (3819).</w:t>
      </w:r>
    </w:p>
    <w:p w14:paraId="72B7D01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0B827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12-13 ноября 1940 на переговорах с Риббентропом и Гитлером Молотов упорно добивался разъяснений смысла отдельных положений договора, особенно тех, которые касались признания японского лидерства в "великом восточно-азиатском пространстве", которое могло подразумевать как дальневосточные территории СССР, так и те районы, на доминирование в которых Советский Союз претендовал (Монголия, Синьцзян) (3871).</w:t>
      </w:r>
    </w:p>
    <w:p w14:paraId="03DCBF8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6ABFA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12-13 ноября 1940 состоялся визит В.М.Молотова в Берлин (1103,226).</w:t>
      </w:r>
    </w:p>
    <w:p w14:paraId="4EA5A3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СССР было предложено присоединиться к Антикоминтерновскому пакту и разделить "британское наследство" в Азии (1348,245).</w:t>
      </w:r>
    </w:p>
    <w:p w14:paraId="438E08E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AF81E92" w14:textId="77777777" w:rsidR="00762412" w:rsidRPr="00A3026E" w:rsidRDefault="00762412"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12 ноября </w:t>
      </w:r>
      <w:r w:rsidRPr="00A3026E">
        <w:rPr>
          <w:rFonts w:ascii="Times New Roman" w:hAnsi="Times New Roman"/>
          <w:color w:val="000000" w:themeColor="text1"/>
          <w:sz w:val="16"/>
          <w:szCs w:val="16"/>
        </w:rPr>
        <w:t>в 1940 году народный комиссар иностранных дел СССР Молотов прибывает с визитом в Берлин для переговоров с Гитлером и министром иностранных дел Риббентропом. Немцы уклончиво говорят о своих планах в отношении СССР, а Молотов выражает сомнение в способности Германии завоевать Англию (визит продолжается до 14 ноября) (14828).</w:t>
      </w:r>
    </w:p>
    <w:p w14:paraId="5BB997A9" w14:textId="77777777" w:rsidR="00762412" w:rsidRPr="00A3026E" w:rsidRDefault="00762412" w:rsidP="00A3026E">
      <w:pPr>
        <w:spacing w:after="0" w:line="240" w:lineRule="auto"/>
        <w:jc w:val="both"/>
        <w:rPr>
          <w:rFonts w:ascii="Times New Roman" w:hAnsi="Times New Roman"/>
          <w:color w:val="000000" w:themeColor="text1"/>
          <w:sz w:val="16"/>
          <w:szCs w:val="16"/>
        </w:rPr>
      </w:pPr>
    </w:p>
    <w:p w14:paraId="79FC1950" w14:textId="77777777" w:rsidR="00AB040C" w:rsidRPr="00A3026E" w:rsidRDefault="00AB040C"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12 ноября </w:t>
      </w:r>
      <w:r w:rsidRPr="00A3026E">
        <w:rPr>
          <w:rFonts w:ascii="Times New Roman" w:hAnsi="Times New Roman"/>
          <w:color w:val="000000" w:themeColor="text1"/>
          <w:sz w:val="16"/>
          <w:szCs w:val="16"/>
        </w:rPr>
        <w:t>в 1940 году (12-13 ноября) визит председателя СНК народного комиссара иностранных дел СССР В.М.Молотова в Берлин. Советско-германские переговоры показали, что СССР готов присоединиться к Тройственному пакту, но выставленные им условия были совершенно неприемлемы для Германии, поскольку требовали ее отказа от вмешательства в Финляндии и закрывали ей возможность продвижения на Ближний Восток и Балканы (14828).</w:t>
      </w:r>
    </w:p>
    <w:p w14:paraId="576419FB" w14:textId="77777777" w:rsidR="00AB040C" w:rsidRPr="00A3026E" w:rsidRDefault="00AB040C" w:rsidP="00A3026E">
      <w:pPr>
        <w:spacing w:after="0" w:line="240" w:lineRule="auto"/>
        <w:jc w:val="both"/>
        <w:rPr>
          <w:rFonts w:ascii="Times New Roman" w:hAnsi="Times New Roman"/>
          <w:color w:val="000000" w:themeColor="text1"/>
          <w:sz w:val="16"/>
          <w:szCs w:val="16"/>
        </w:rPr>
      </w:pPr>
    </w:p>
    <w:p w14:paraId="36459F3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27F972B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7B3CF9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Гитлер приказал предпринять все возможные политические меры для втягивания в войну Испании (4962).</w:t>
      </w:r>
    </w:p>
    <w:p w14:paraId="382FDBA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F0968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А.Г. приказал подготовить план нападения на СССР (3797).</w:t>
      </w:r>
    </w:p>
    <w:p w14:paraId="46E9E69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40BC60" w14:textId="77777777" w:rsidR="00AB040C" w:rsidRPr="00A3026E" w:rsidRDefault="00AB040C"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12 ноября </w:t>
      </w:r>
      <w:r w:rsidRPr="00A3026E">
        <w:rPr>
          <w:rFonts w:ascii="Times New Roman" w:hAnsi="Times New Roman"/>
          <w:color w:val="000000" w:themeColor="text1"/>
          <w:sz w:val="16"/>
          <w:szCs w:val="16"/>
        </w:rPr>
        <w:t>в 1940 году (12-22 ноября) вторая депортация французов из Эльзаса и Лотарингии в неокупированную часть Франции (всего было депортировано 187 тысяч человек) (14828).</w:t>
      </w:r>
    </w:p>
    <w:p w14:paraId="4C877036" w14:textId="77777777" w:rsidR="00AB040C" w:rsidRPr="00A3026E" w:rsidRDefault="00AB040C" w:rsidP="00A3026E">
      <w:pPr>
        <w:spacing w:after="0" w:line="240" w:lineRule="auto"/>
        <w:jc w:val="both"/>
        <w:rPr>
          <w:rFonts w:ascii="Times New Roman" w:hAnsi="Times New Roman"/>
          <w:color w:val="000000" w:themeColor="text1"/>
          <w:sz w:val="16"/>
          <w:szCs w:val="16"/>
        </w:rPr>
      </w:pPr>
    </w:p>
    <w:p w14:paraId="02E8B0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в США с разницей 10 мин с 8 час. утра было взорвано три военных завода - месть А.Г. за победу Т.Рузвельта (2536,205).</w:t>
      </w:r>
    </w:p>
    <w:p w14:paraId="33C5BD5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3FC6CD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5E98A7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B70EC51" w14:textId="77777777" w:rsidR="00C66762" w:rsidRPr="00A3026E" w:rsidRDefault="00C66762" w:rsidP="00A3026E">
      <w:pPr>
        <w:pStyle w:val="22"/>
        <w:widowControl/>
        <w:rPr>
          <w:color w:val="000000" w:themeColor="text1"/>
        </w:rPr>
      </w:pPr>
      <w:r w:rsidRPr="00A3026E">
        <w:rPr>
          <w:color w:val="000000" w:themeColor="text1"/>
        </w:rPr>
        <w:t>13 ноября 1940 года начальник НИП АВ ГУАС полковник Шевченко утвердил:</w:t>
      </w:r>
    </w:p>
    <w:p w14:paraId="26269C0B" w14:textId="77777777" w:rsidR="00C66762" w:rsidRPr="00A3026E" w:rsidRDefault="00C66762" w:rsidP="00A3026E">
      <w:pPr>
        <w:pStyle w:val="22"/>
        <w:widowControl/>
        <w:rPr>
          <w:color w:val="000000" w:themeColor="text1"/>
        </w:rPr>
      </w:pPr>
      <w:r w:rsidRPr="00A3026E">
        <w:rPr>
          <w:color w:val="000000" w:themeColor="text1"/>
        </w:rPr>
        <w:t>Предварительное заключение по полигонным испытаниям прибора ВАП-200 на самолете ББ-1 М-87</w:t>
      </w:r>
    </w:p>
    <w:p w14:paraId="323D29D0" w14:textId="77777777" w:rsidR="00C66762" w:rsidRPr="00A3026E" w:rsidRDefault="00C66762" w:rsidP="00A3026E">
      <w:pPr>
        <w:pStyle w:val="22"/>
        <w:widowControl/>
        <w:rPr>
          <w:color w:val="000000" w:themeColor="text1"/>
        </w:rPr>
      </w:pPr>
      <w:r w:rsidRPr="00A3026E">
        <w:rPr>
          <w:color w:val="000000" w:themeColor="text1"/>
        </w:rPr>
        <w:t>Предварительные данные дают возможность предполагать получение удовлетворительных боевых эффектов на стойких ОВ (7652).</w:t>
      </w:r>
    </w:p>
    <w:p w14:paraId="6F79E5E7" w14:textId="77777777" w:rsidR="00C66762" w:rsidRPr="00A3026E" w:rsidRDefault="00C66762" w:rsidP="00A3026E">
      <w:pPr>
        <w:pStyle w:val="22"/>
        <w:widowControl/>
        <w:rPr>
          <w:color w:val="000000" w:themeColor="text1"/>
        </w:rPr>
      </w:pPr>
    </w:p>
    <w:p w14:paraId="3275CA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вышел приказ НКАП N 631с согласно которому Нач. 8-го отдела ЦАГИ А.В.Чесалову и ГК М.Р.Бисновату было поручено провести заводские испытания модифицированного экспериментального самолета ЦАГИ СК2-М105 в срок 2 месяца со дня первого полета. Л-и - Шиянов Г.М. (413,14).</w:t>
      </w:r>
    </w:p>
    <w:p w14:paraId="6BF3D1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 1</w:t>
      </w:r>
    </w:p>
    <w:p w14:paraId="03B73B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Нечальнику 8-го Отдела ЦАГИ тов. ЧЕСАЛОВУ А .В. и главному конструктору тов. БИСНОВАТ М.Р. провести за</w:t>
      </w:r>
      <w:r w:rsidRPr="00A3026E">
        <w:rPr>
          <w:rFonts w:ascii="Times New Roman" w:hAnsi="Times New Roman"/>
          <w:color w:val="000000" w:themeColor="text1"/>
          <w:sz w:val="16"/>
          <w:szCs w:val="16"/>
        </w:rPr>
        <w:softHyphen/>
        <w:t>водские испытания модифицированного экспериментального самолета ЦАГИ СК2-М105 в срок два месяца со дня первого полета.</w:t>
      </w:r>
    </w:p>
    <w:p w14:paraId="276677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 2</w:t>
      </w:r>
    </w:p>
    <w:p w14:paraId="21064C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Назначить летчиком испытателем самолета СК2-М105 тов. ШИЯНОВА Г.М., летчика 8-го Отдела ЦАГИ.</w:t>
      </w:r>
    </w:p>
    <w:p w14:paraId="09A315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 3</w:t>
      </w:r>
    </w:p>
    <w:p w14:paraId="507ECF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Установитъ дополнительную заработную плату лет</w:t>
      </w:r>
      <w:r w:rsidRPr="00A3026E">
        <w:rPr>
          <w:rFonts w:ascii="Times New Roman" w:hAnsi="Times New Roman"/>
          <w:color w:val="000000" w:themeColor="text1"/>
          <w:sz w:val="16"/>
          <w:szCs w:val="16"/>
        </w:rPr>
        <w:softHyphen/>
        <w:t>чику тов. ШИЯНОВУ Г.М. за проведение заводских испыта</w:t>
      </w:r>
      <w:r w:rsidRPr="00A3026E">
        <w:rPr>
          <w:rFonts w:ascii="Times New Roman" w:hAnsi="Times New Roman"/>
          <w:color w:val="000000" w:themeColor="text1"/>
          <w:sz w:val="16"/>
          <w:szCs w:val="16"/>
        </w:rPr>
        <w:softHyphen/>
        <w:t>ний в указанный срок в сумме тридцать тысяч рублей (413,14).</w:t>
      </w:r>
    </w:p>
    <w:p w14:paraId="2BF26A6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DE7E4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вышел приказ НКАП N 632с согласно которому для проведения дополнительных испытаний самолета "С" конструкции В.Ф.Болховитинова В.Ф. в был назначен л-и Кудрин Б.Н. (413,16).</w:t>
      </w:r>
    </w:p>
    <w:p w14:paraId="1426A3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 1</w:t>
      </w:r>
    </w:p>
    <w:p w14:paraId="295FCD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проведения дополнительных летных испытаний самолета '”С" конструкцин инженера БОЛХОВИТИНОВА В.Ф. в соответствии с решепием Комитета по госиспытаииям,- летчиком-испытателем назначаю тов. КУДРИНА Б.Н.</w:t>
      </w:r>
    </w:p>
    <w:p w14:paraId="5B4842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 2</w:t>
      </w:r>
    </w:p>
    <w:p w14:paraId="7E2670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Установить летчику испытателю тов. КУДРИНУ Б.Н. .дополнительною зарпллату в размере 10.000 рублей за проведение летных испытаний к 15.1.1941. г. (413,16).</w:t>
      </w:r>
    </w:p>
    <w:p w14:paraId="23AC52B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EEE5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произошла первая катастрофа ТБ-7 (АНТ-42) из-за отказа дизельного двигателя М-40Ф. Погиб л венгр Л.О.Немет (434,7).</w:t>
      </w:r>
    </w:p>
    <w:p w14:paraId="7BDE3BE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7AD74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первая катастрофа ТБ-7 (АНТ-42) была в декабре 1940 в 14 таб (1103,222).</w:t>
      </w:r>
    </w:p>
    <w:p w14:paraId="745BFD8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81A6E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было принято окончательное решение строить серию ДБ-240 с М-105, т.к. М-1-6 так и не появился (2391,7).</w:t>
      </w:r>
    </w:p>
    <w:p w14:paraId="7902771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A22A8E" w14:textId="77777777" w:rsidR="00FF6C23" w:rsidRPr="00A3026E" w:rsidRDefault="00FF6C23" w:rsidP="00A3026E">
      <w:pPr>
        <w:autoSpaceDE w:val="0"/>
        <w:autoSpaceDN w:val="0"/>
        <w:adjustRightInd w:val="0"/>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 ноября 1940 Технический Совет с участием военных и представителей промышленности указал на многочисленные недостатки ДБ-240 2М-105, но все же согласился принять его в эксплуатацию с ограничением по весу. В серии пришлось снять механизмы уборки в походное положение верхней и люковой пулеметных установок, хотя это вело к потере скорости и дальности. Ермолаева и директора завода №18 Шенкмана обязали предъявить серийный ДБ-240 с устраненными дефектами и проработать установку АМ-37, М-40 и АМ-35А. Из всех этих моторов готов был лишь последний. Хотя он был тяжелее и «прожорливее» М-105, под него начали спешно переделывать первый опытный самолет (22833).</w:t>
      </w:r>
    </w:p>
    <w:p w14:paraId="6647538A" w14:textId="77777777" w:rsidR="00FF6C23" w:rsidRPr="00A3026E" w:rsidRDefault="00FF6C23" w:rsidP="00A3026E">
      <w:pPr>
        <w:autoSpaceDE w:val="0"/>
        <w:autoSpaceDN w:val="0"/>
        <w:adjustRightInd w:val="0"/>
        <w:spacing w:after="0" w:line="240" w:lineRule="auto"/>
        <w:jc w:val="both"/>
        <w:rPr>
          <w:rFonts w:ascii="Times New Roman" w:hAnsi="Times New Roman"/>
          <w:color w:val="0070C0"/>
          <w:sz w:val="16"/>
          <w:szCs w:val="16"/>
        </w:rPr>
      </w:pPr>
    </w:p>
    <w:p w14:paraId="595CB9AF" w14:textId="77777777" w:rsidR="00FF6C23" w:rsidRPr="00A3026E" w:rsidRDefault="00FF6C23" w:rsidP="00A3026E">
      <w:pPr>
        <w:autoSpaceDE w:val="0"/>
        <w:autoSpaceDN w:val="0"/>
        <w:adjustRightInd w:val="0"/>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 ноября 1940 года на совещании испытателей НИИ ВВС и конструкторов ОКБ-240 было рекомендовано установить на ДБ-240 только что запущенные в серию моторы АМ35А с воздушными винтами ВИШ-22Т с увеличенным на 400 мм диаметром, переделав центроплан и шасси. Совместный приказ N 640c/0288 от 14.11.40 г. наряду с решением принять 70 самолетов с М-105 обязывал Ермолаева и завод № 18 построить к 1 января 1941 года эталон Ер-2 2АМ-35 (22871).</w:t>
      </w:r>
    </w:p>
    <w:p w14:paraId="554C65A2" w14:textId="77777777" w:rsidR="00FF6C23" w:rsidRPr="00A3026E" w:rsidRDefault="00FF6C23" w:rsidP="00A3026E">
      <w:pPr>
        <w:autoSpaceDE w:val="0"/>
        <w:autoSpaceDN w:val="0"/>
        <w:adjustRightInd w:val="0"/>
        <w:spacing w:after="0" w:line="240" w:lineRule="auto"/>
        <w:jc w:val="both"/>
        <w:rPr>
          <w:rFonts w:ascii="Times New Roman" w:hAnsi="Times New Roman"/>
          <w:color w:val="0070C0"/>
          <w:sz w:val="16"/>
          <w:szCs w:val="16"/>
        </w:rPr>
      </w:pPr>
    </w:p>
    <w:p w14:paraId="6E9E87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г. в НИИ ВВС было созвано заседание Технического Совета, в работе которого приняли участие генералы Рычагов, Астахов (заместитель начальника ГУ ВВС), Гусев, Федоров и Филин, представители промышленности Шиц (заместитель начальника Первого ГУ НКАП), Озимков, Ермолаев и Шенкман (директор зав. №18), а также летный и инженерный состав НИИ ВВС, участвовавший в испытаниях ДБ-240. Докладывали ведущий инженер по самолету военинженер 3 ранга Н.Н.Фингеров, летчики майор М.А.Нюхтиков и подполковник П. М.Стефановский.</w:t>
      </w:r>
    </w:p>
    <w:p w14:paraId="52B434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 Технического Совета:</w:t>
      </w:r>
    </w:p>
    <w:p w14:paraId="665DF8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на ГИ опытный самолет ДБ-240 с 2М-105 (из-за отсутствия М-106) производства завода № 240 в результате испытаний показал, что:</w:t>
      </w:r>
    </w:p>
    <w:p w14:paraId="3E151E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самолет с большой длиной разбега в перегрузочном варианте. Требует аэродромов с размерами 2500х2500 м, наличия взлетной дорожки с длиной 1200-1300 м;</w:t>
      </w:r>
    </w:p>
    <w:p w14:paraId="4B3B2A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самолет имеет неудовлетворительную продольную и недостаточную поперечную устойчивость и большие усилия на штурвале и педалях;</w:t>
      </w:r>
    </w:p>
    <w:p w14:paraId="37EBC9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не доведено стрелковое вооружение и в предъявленном виде исключает возможность его нормальной эксплуатации;</w:t>
      </w:r>
    </w:p>
    <w:p w14:paraId="6BAE69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бомбардировочное вооружение не обеспечивает безопасность сбрасывания бомб и не дает возможности разгрузки бомбоотсека от бомб калибра 250 и 500 кг;</w:t>
      </w:r>
    </w:p>
    <w:p w14:paraId="1D1357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не обеспечивается нормальная температура масла и воды ВМГ при высокой температуре воздуха у земли...</w:t>
      </w:r>
    </w:p>
    <w:p w14:paraId="0A0FD1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Наряду с перечисленными недостатками самолет ДБ-240 имеет ряд весьма положительных свойств - хороший обзор из кабины летчика и штурмана, большую емкость бензобаков, возможность подвески внутри фюзеляжа 4-х бомб по 500 кг, хорошую схему оборонительного огня и несложность взлета и посадки.</w:t>
      </w:r>
    </w:p>
    <w:p w14:paraId="1BF1FB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этого Технический Совет считает:</w:t>
      </w:r>
    </w:p>
    <w:p w14:paraId="2D5880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моторы М-105 для самолета ДБ-240 являются слабыми по своей мощности и высотности. С моторами М-105 самолет ДБ-240 считать переходным к самолету с более мощными моторами;</w:t>
      </w:r>
    </w:p>
    <w:p w14:paraId="37556D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считать целесообразной постройку самолетов ДБ-240 под моторы АМ-35А и в дальнейшем под моторы АМ-37 или под дизели;</w:t>
      </w:r>
    </w:p>
    <w:p w14:paraId="63516E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опытный экземпляр самолета ДБ-240 с 2М-105 необходимо немедленно передать на завод №240 с целью установки на него к 15 декабря 1940 г. моторов АМ-35А, доводки управляемости самолета и выявления его летно-технических данных;</w:t>
      </w:r>
    </w:p>
    <w:p w14:paraId="45F652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дефекты самолета ДБ-240 2М-105, выявленные в процессе государственных испытаний, подлежат устранению на самолетах ДБ-240 производства завода №240 в порядке и по срокам, определенным протоколом совещания в ГУ ВВС КА от 12 ноября 1940 г. с участием представителей НКАП.</w:t>
      </w:r>
    </w:p>
    <w:p w14:paraId="15B9FB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из самолетов ДБ-240 2М-105 с устраненными дефектами надлежит предъявить в НИИ ВВС на контрольные испытания...;</w:t>
      </w:r>
    </w:p>
    <w:p w14:paraId="1B00C7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Технический Совет отмечает низкое качество заводских испытаний самолета ДБ-240 2М-105, в результате чего основные дефекты самолета на испытаниях не выявлены и надлежащим образом не оценены, что привело к затяжке в их устранении" (3322,11).</w:t>
      </w:r>
    </w:p>
    <w:p w14:paraId="07F4136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9997C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закончи</w:t>
      </w:r>
      <w:r w:rsidRPr="00A3026E">
        <w:rPr>
          <w:rFonts w:ascii="Times New Roman" w:hAnsi="Times New Roman"/>
          <w:color w:val="000000" w:themeColor="text1"/>
          <w:sz w:val="16"/>
          <w:szCs w:val="16"/>
        </w:rPr>
        <w:softHyphen/>
        <w:t>ли разработку чертежей для серийного выпуска МиГ-3. Несмотря на весьма короткий срок, остававшийся до конца года, коллектив завода, не задерживая производство, провёл его соответствующую подготовку, пересмотрел технологический про</w:t>
      </w:r>
      <w:r w:rsidRPr="00A3026E">
        <w:rPr>
          <w:rFonts w:ascii="Times New Roman" w:hAnsi="Times New Roman"/>
          <w:color w:val="000000" w:themeColor="text1"/>
          <w:sz w:val="16"/>
          <w:szCs w:val="16"/>
        </w:rPr>
        <w:softHyphen/>
        <w:t>цесс. Уже 20 декабря МиГ-3 полно</w:t>
      </w:r>
      <w:r w:rsidRPr="00A3026E">
        <w:rPr>
          <w:rFonts w:ascii="Times New Roman" w:hAnsi="Times New Roman"/>
          <w:color w:val="000000" w:themeColor="text1"/>
          <w:sz w:val="16"/>
          <w:szCs w:val="16"/>
        </w:rPr>
        <w:softHyphen/>
        <w:t>стью сменил в серии своего пред</w:t>
      </w:r>
      <w:r w:rsidRPr="00A3026E">
        <w:rPr>
          <w:rFonts w:ascii="Times New Roman" w:hAnsi="Times New Roman"/>
          <w:color w:val="000000" w:themeColor="text1"/>
          <w:sz w:val="16"/>
          <w:szCs w:val="16"/>
        </w:rPr>
        <w:softHyphen/>
        <w:t>шественника. В декабре завод №1 выпустил 80 истребителей МиГ-1 и 20 МиГ-3. В этом же месяце в строевые части отправили первые 40 самолётов МиГ-1. Таким образом, от начала проектирования до поставки серий</w:t>
      </w:r>
      <w:r w:rsidRPr="00A3026E">
        <w:rPr>
          <w:rFonts w:ascii="Times New Roman" w:hAnsi="Times New Roman"/>
          <w:color w:val="000000" w:themeColor="text1"/>
          <w:sz w:val="16"/>
          <w:szCs w:val="16"/>
        </w:rPr>
        <w:softHyphen/>
        <w:t>ной продукции в войска, прошёл всего один год. Всего из построен</w:t>
      </w:r>
      <w:r w:rsidRPr="00A3026E">
        <w:rPr>
          <w:rFonts w:ascii="Times New Roman" w:hAnsi="Times New Roman"/>
          <w:color w:val="000000" w:themeColor="text1"/>
          <w:sz w:val="16"/>
          <w:szCs w:val="16"/>
        </w:rPr>
        <w:softHyphen/>
        <w:t>ных в 1940 г. 120 истребителей в распоряжение ВВС КА направили 92 МиГ-1 и 19 МиГ-3. Остальные самолёты предназначались для авиации ВМФ.</w:t>
      </w:r>
    </w:p>
    <w:p w14:paraId="5059C1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успешное выполнение пра</w:t>
      </w:r>
      <w:r w:rsidRPr="00A3026E">
        <w:rPr>
          <w:rFonts w:ascii="Times New Roman" w:hAnsi="Times New Roman"/>
          <w:color w:val="000000" w:themeColor="text1"/>
          <w:sz w:val="16"/>
          <w:szCs w:val="16"/>
        </w:rPr>
        <w:softHyphen/>
        <w:t>вительственного задания в облас</w:t>
      </w:r>
      <w:r w:rsidRPr="00A3026E">
        <w:rPr>
          <w:rFonts w:ascii="Times New Roman" w:hAnsi="Times New Roman"/>
          <w:color w:val="000000" w:themeColor="text1"/>
          <w:sz w:val="16"/>
          <w:szCs w:val="16"/>
        </w:rPr>
        <w:softHyphen/>
        <w:t>ти создания и освоения в произ</w:t>
      </w:r>
      <w:r w:rsidRPr="00A3026E">
        <w:rPr>
          <w:rFonts w:ascii="Times New Roman" w:hAnsi="Times New Roman"/>
          <w:color w:val="000000" w:themeColor="text1"/>
          <w:sz w:val="16"/>
          <w:szCs w:val="16"/>
        </w:rPr>
        <w:softHyphen/>
        <w:t>водстве новых образцов авиацион</w:t>
      </w:r>
      <w:r w:rsidRPr="00A3026E">
        <w:rPr>
          <w:rFonts w:ascii="Times New Roman" w:hAnsi="Times New Roman"/>
          <w:color w:val="000000" w:themeColor="text1"/>
          <w:sz w:val="16"/>
          <w:szCs w:val="16"/>
        </w:rPr>
        <w:softHyphen/>
        <w:t>ной техники 31 декабря 1940 г. авиазавод №1 им. Авиахима был награждён орденом Ленина, а боль</w:t>
      </w:r>
      <w:r w:rsidRPr="00A3026E">
        <w:rPr>
          <w:rFonts w:ascii="Times New Roman" w:hAnsi="Times New Roman"/>
          <w:color w:val="000000" w:themeColor="text1"/>
          <w:sz w:val="16"/>
          <w:szCs w:val="16"/>
        </w:rPr>
        <w:softHyphen/>
        <w:t>шая группа конструкторов, инжене</w:t>
      </w:r>
      <w:r w:rsidRPr="00A3026E">
        <w:rPr>
          <w:rFonts w:ascii="Times New Roman" w:hAnsi="Times New Roman"/>
          <w:color w:val="000000" w:themeColor="text1"/>
          <w:sz w:val="16"/>
          <w:szCs w:val="16"/>
        </w:rPr>
        <w:softHyphen/>
        <w:t>ров и рабочих - орденами и меда</w:t>
      </w:r>
      <w:r w:rsidRPr="00A3026E">
        <w:rPr>
          <w:rFonts w:ascii="Times New Roman" w:hAnsi="Times New Roman"/>
          <w:color w:val="000000" w:themeColor="text1"/>
          <w:sz w:val="16"/>
          <w:szCs w:val="16"/>
        </w:rPr>
        <w:softHyphen/>
        <w:t>лями. А.И. Микояна и М.И. Гуреви-ча наградили орденами Ленина, а за разработку новой конструкции самолёта они удостоились также Сталинской премии первой степе</w:t>
      </w:r>
      <w:r w:rsidRPr="00A3026E">
        <w:rPr>
          <w:rFonts w:ascii="Times New Roman" w:hAnsi="Times New Roman"/>
          <w:color w:val="000000" w:themeColor="text1"/>
          <w:sz w:val="16"/>
          <w:szCs w:val="16"/>
        </w:rPr>
        <w:softHyphen/>
        <w:t>ни.</w:t>
      </w:r>
    </w:p>
    <w:p w14:paraId="1E5B50D8" w14:textId="77777777" w:rsidR="00C66762" w:rsidRPr="00A3026E" w:rsidRDefault="00C66762" w:rsidP="00A3026E">
      <w:pPr>
        <w:pStyle w:val="af9"/>
        <w:spacing w:before="0" w:after="0"/>
        <w:jc w:val="both"/>
        <w:rPr>
          <w:color w:val="000000" w:themeColor="text1"/>
          <w:sz w:val="16"/>
          <w:szCs w:val="16"/>
        </w:rPr>
      </w:pPr>
      <w:r w:rsidRPr="00A3026E">
        <w:rPr>
          <w:color w:val="000000" w:themeColor="text1"/>
          <w:sz w:val="16"/>
          <w:szCs w:val="16"/>
        </w:rPr>
        <w:t>Стоит отметить, что большую помощь в части скоростного про</w:t>
      </w:r>
      <w:r w:rsidRPr="00A3026E">
        <w:rPr>
          <w:color w:val="000000" w:themeColor="text1"/>
          <w:sz w:val="16"/>
          <w:szCs w:val="16"/>
        </w:rPr>
        <w:softHyphen/>
        <w:t>ектирования, изготовления опытных образцов и внедрения в серию ис</w:t>
      </w:r>
      <w:r w:rsidRPr="00A3026E">
        <w:rPr>
          <w:color w:val="000000" w:themeColor="text1"/>
          <w:sz w:val="16"/>
          <w:szCs w:val="16"/>
        </w:rPr>
        <w:softHyphen/>
        <w:t>требителей МиГ-1 и МиГ-3 оказы</w:t>
      </w:r>
      <w:r w:rsidRPr="00A3026E">
        <w:rPr>
          <w:color w:val="000000" w:themeColor="text1"/>
          <w:sz w:val="16"/>
          <w:szCs w:val="16"/>
        </w:rPr>
        <w:softHyphen/>
        <w:t>вало военное представительство ГУ ВВС КА на заводе №1. За успеш</w:t>
      </w:r>
      <w:r w:rsidRPr="00A3026E">
        <w:rPr>
          <w:color w:val="000000" w:themeColor="text1"/>
          <w:sz w:val="16"/>
          <w:szCs w:val="16"/>
        </w:rPr>
        <w:softHyphen/>
        <w:t>ную работу по внедрению в серий</w:t>
      </w:r>
      <w:r w:rsidRPr="00A3026E">
        <w:rPr>
          <w:color w:val="000000" w:themeColor="text1"/>
          <w:sz w:val="16"/>
          <w:szCs w:val="16"/>
        </w:rPr>
        <w:softHyphen/>
        <w:t>ное производство новых самолётов в соответствии с приказом ГУ ВВС КА от 31 декабря 1940 г. получили благодарность и были премирова</w:t>
      </w:r>
      <w:r w:rsidRPr="00A3026E">
        <w:rPr>
          <w:color w:val="000000" w:themeColor="text1"/>
          <w:sz w:val="16"/>
          <w:szCs w:val="16"/>
        </w:rPr>
        <w:softHyphen/>
        <w:t>ны старший военпред военинженер 2-го ранга М.В. Францев, райин-женер военинженер 1-го ранга Ф.М. Шишкин, военпреды военин</w:t>
      </w:r>
      <w:r w:rsidRPr="00A3026E">
        <w:rPr>
          <w:color w:val="000000" w:themeColor="text1"/>
          <w:sz w:val="16"/>
          <w:szCs w:val="16"/>
        </w:rPr>
        <w:softHyphen/>
        <w:t>женер 1-го ранга И.Ф. Воедило и военинженер 2-го ранга Т.П. Гал</w:t>
      </w:r>
      <w:r w:rsidRPr="00A3026E">
        <w:rPr>
          <w:color w:val="000000" w:themeColor="text1"/>
          <w:sz w:val="16"/>
          <w:szCs w:val="16"/>
        </w:rPr>
        <w:softHyphen/>
        <w:t>кин, старший техник военинженер 2-го ранга Л.К. Макаренко, а также лётчики майор А.Э. Шитц и ка</w:t>
      </w:r>
      <w:r w:rsidRPr="00A3026E">
        <w:rPr>
          <w:color w:val="000000" w:themeColor="text1"/>
          <w:sz w:val="16"/>
          <w:szCs w:val="16"/>
        </w:rPr>
        <w:softHyphen/>
        <w:t>питан И.А. Доброскокин (11761).</w:t>
      </w:r>
    </w:p>
    <w:p w14:paraId="30393C52" w14:textId="77777777" w:rsidR="00C66762" w:rsidRPr="00A3026E" w:rsidRDefault="00C66762" w:rsidP="00A3026E">
      <w:pPr>
        <w:pStyle w:val="af9"/>
        <w:spacing w:before="0" w:after="0"/>
        <w:jc w:val="both"/>
        <w:rPr>
          <w:color w:val="000000" w:themeColor="text1"/>
          <w:sz w:val="16"/>
          <w:szCs w:val="16"/>
        </w:rPr>
      </w:pPr>
    </w:p>
    <w:p w14:paraId="1ECBE5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года постановление № 422сс КО</w:t>
      </w:r>
    </w:p>
    <w:p w14:paraId="0F1F77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возобновлении выпуска авиационных моторов М-88 производства завода № 29</w:t>
      </w:r>
    </w:p>
    <w:p w14:paraId="45343C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постановляет:</w:t>
      </w:r>
    </w:p>
    <w:p w14:paraId="000985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окончанием работ по устранению дефектов мотора М-88 и получения удовлетворительных результатов в процессе испытания, постановление КО № 340сс от 6 августа 1940 года отменить и разрешить НКАП возобновить серийный выпуск моторов М-88 на заводе № 29 (7595, 282).</w:t>
      </w:r>
    </w:p>
    <w:p w14:paraId="0846191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43E2F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вышло постановление КО N 422сс "О возобновлении выпуска авиационных моторов М-88 производства завода 29". КО постановил: "...В связи с окончанием работ по устранению дефектов мотора М-88 и получения удовлетворительных результатов в процессе испытаний, постановление КО N 340сс от 6 августа 1940 отменить и разрешить НКАП возобновить серийный выпуск моторов М-88 на заводе 29" (1273).</w:t>
      </w:r>
    </w:p>
    <w:p w14:paraId="60A776D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8726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Смолин и Квасов летали на УПО-21 час, а потом 24 минуты Квасов выписывал виражи и восьмерки (10212).</w:t>
      </w:r>
    </w:p>
    <w:p w14:paraId="42EBA1B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4A8B0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г. начальником 8-го управления ГУ ВВС КА военинжснером 1 ранга Никоновым были утверждены ТТТ на отработку РБС-82. разработанные начальником 4 отдела 8-го управления ГУ ВВС КА военинженером 1 ранга Матаевым и начальником 1 отделения 1 отдела 8-го управления военинженером 2 ранга Рыжасвым. В них, в частности, говорилось, что РБС-82 предназначены для стрельбы с самолетов- истребителей по целям с броневым покрытием толщиной до 50 мм. С дистанции 1500 м и углах встречи с броней до 30" от нормали (коэффициент качества брони К=2400). Для этого при массе окончательно снаряженного не более 16 кг, максимальная скорость боеприпаса должна была составлять не менее 350 м/с.</w:t>
      </w:r>
    </w:p>
    <w:p w14:paraId="367E19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нового РБС (из материалов исключительно отечественного производства) должна была допускать стрельбу из штатных РО-82, поэтому систему воспламенения требовалось предусмотреть от штатного пиропистолета. А, кроме того, обеспечить герметичность и надежность при хранении и транспортировке в негерметичной укупорке. При назем-Ной стрельбе снарядами из 6-метровых направляющих рассеивание не Допускалось менее определенных пределов - по дальности - не более 1/100, а по боковому направлению - 1/70 дистанции огня. Максимальное Давление в камере двигателя требовалось ограничить 250-270 кг/см</w:t>
      </w:r>
      <w:r w:rsidRPr="00A3026E">
        <w:rPr>
          <w:rFonts w:ascii="Times New Roman" w:hAnsi="Times New Roman"/>
          <w:color w:val="000000" w:themeColor="text1"/>
          <w:sz w:val="16"/>
          <w:szCs w:val="16"/>
          <w:vertAlign w:val="superscript"/>
        </w:rPr>
        <w:t>:</w:t>
      </w:r>
      <w:r w:rsidRPr="00A3026E">
        <w:rPr>
          <w:rFonts w:ascii="Times New Roman" w:hAnsi="Times New Roman"/>
          <w:color w:val="000000" w:themeColor="text1"/>
          <w:sz w:val="16"/>
          <w:szCs w:val="16"/>
        </w:rPr>
        <w:t xml:space="preserve"> (хотя на механических заводах все корпуса двигателей к РБС-82 испытывали давлением в 300 кг/см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а нормальным горение РЗ обеспечить в ин</w:t>
      </w:r>
      <w:r w:rsidRPr="00A3026E">
        <w:rPr>
          <w:rFonts w:ascii="Times New Roman" w:hAnsi="Times New Roman"/>
          <w:color w:val="000000" w:themeColor="text1"/>
          <w:sz w:val="16"/>
          <w:szCs w:val="16"/>
        </w:rPr>
        <w:softHyphen/>
        <w:t>тервале температур от -50 до +50°С.</w:t>
      </w:r>
    </w:p>
    <w:p w14:paraId="1EA65C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Впрочем, экстренный переход к производству новых пороховых шашек создал множество проблем. Но главный инженер НИИ-3 НКБ военинженер 1 ранга А.Г.Костиков торопился быстрее решить их - задерж</w:t>
      </w:r>
      <w:r w:rsidRPr="00A3026E">
        <w:rPr>
          <w:rFonts w:ascii="Times New Roman" w:hAnsi="Times New Roman"/>
          <w:color w:val="000000" w:themeColor="text1"/>
          <w:sz w:val="16"/>
          <w:szCs w:val="16"/>
        </w:rPr>
        <w:softHyphen/>
        <w:t>ка в производстве уже принятых на вооружение авиации ВМФ новых РБС-82 по вине разработчика могла стоить ему не только должности но и жизни. В памяти сотрудников Наркомата боеприпасов и НИИ-3 НКБ еще свежими были воспоминания о расправах НКВД над конст</w:t>
      </w:r>
      <w:r w:rsidRPr="00A3026E">
        <w:rPr>
          <w:rFonts w:ascii="Times New Roman" w:hAnsi="Times New Roman"/>
          <w:color w:val="000000" w:themeColor="text1"/>
          <w:sz w:val="16"/>
          <w:szCs w:val="16"/>
        </w:rPr>
        <w:softHyphen/>
        <w:t>рукторами, затянувшими сдачу в серийное производство ракетных сис</w:t>
      </w:r>
      <w:r w:rsidRPr="00A3026E">
        <w:rPr>
          <w:rFonts w:ascii="Times New Roman" w:hAnsi="Times New Roman"/>
          <w:color w:val="000000" w:themeColor="text1"/>
          <w:sz w:val="16"/>
          <w:szCs w:val="16"/>
        </w:rPr>
        <w:softHyphen/>
        <w:t>тем РОС-82 и РОС-132. На всякий случай ему не мешаю и подстрахо</w:t>
      </w:r>
      <w:r w:rsidRPr="00A3026E">
        <w:rPr>
          <w:rFonts w:ascii="Times New Roman" w:hAnsi="Times New Roman"/>
          <w:color w:val="000000" w:themeColor="text1"/>
          <w:sz w:val="16"/>
          <w:szCs w:val="16"/>
        </w:rPr>
        <w:softHyphen/>
        <w:t>ваться официальным письмом, где при необходимости можно было кон</w:t>
      </w:r>
      <w:r w:rsidRPr="00A3026E">
        <w:rPr>
          <w:rFonts w:ascii="Times New Roman" w:hAnsi="Times New Roman"/>
          <w:color w:val="000000" w:themeColor="text1"/>
          <w:sz w:val="16"/>
          <w:szCs w:val="16"/>
        </w:rPr>
        <w:softHyphen/>
        <w:t>статировать вину смежников в срыве сроков (11402).</w:t>
      </w:r>
    </w:p>
    <w:p w14:paraId="6F38BD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EC4E7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г. начальник 8-го управления ГУ ВВС КА военинженер 1 ранга Никонов утвердил ТТТ на разработку вооружения истреби</w:t>
      </w:r>
      <w:r w:rsidRPr="00A3026E">
        <w:rPr>
          <w:rFonts w:ascii="Times New Roman" w:hAnsi="Times New Roman"/>
          <w:color w:val="000000" w:themeColor="text1"/>
          <w:sz w:val="16"/>
          <w:szCs w:val="16"/>
        </w:rPr>
        <w:softHyphen/>
        <w:t>теля И-153 — ракетных снарядов РС-50 для «увеличения огневой мощи в залпе с целью поражения воздушного противника прямым попадани</w:t>
      </w:r>
      <w:r w:rsidRPr="00A3026E">
        <w:rPr>
          <w:rFonts w:ascii="Times New Roman" w:hAnsi="Times New Roman"/>
          <w:color w:val="000000" w:themeColor="text1"/>
          <w:sz w:val="16"/>
          <w:szCs w:val="16"/>
        </w:rPr>
        <w:softHyphen/>
        <w:t>ем, а также по живым целям на местности и по самолетам на аэродроме». Над их составлением трудились начальник 1 отдела 8 управления ГУ ВВС КА военинженер 1 ранга Матаев и начальник 1 отделения 1 отдела 8 ; управления военинженер 2 ранга Рыжаев.</w:t>
      </w:r>
    </w:p>
    <w:p w14:paraId="12EE66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Конструктивное оформление РС-50 на самолете должно было удовлетворять требованиям:</w:t>
      </w:r>
    </w:p>
    <w:p w14:paraId="5ED203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масса конструкции подвески не более 750 г на один РС;</w:t>
      </w:r>
    </w:p>
    <w:p w14:paraId="39E0A9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местоположение РС-50 на И-153 - по усмотрению конструктора;</w:t>
      </w:r>
    </w:p>
    <w:p w14:paraId="7ADCE1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зарядка и перезарядка не должна превышать 10 мин для 25 штук;</w:t>
      </w:r>
    </w:p>
    <w:p w14:paraId="06D022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подвеску максимально унифицировать под узлы крепления РО-82, а съемные подвески - под бомбовые балки;</w:t>
      </w:r>
    </w:p>
    <w:p w14:paraId="79C9B5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ракетной системы должна была позволять брать на борт одновременно четыре РС-82 и двадцать РС-50 или только пятьдесят РС-50, управление стрельбой - от ЭСБР-3, электропроводка подвески должна была обеспечивать стрельбу семью залпами по шесть РС-50 и одним по восемь РС-50. При залповой стрельбе требовалась симметричная разгрузка, а для холодной пристрелки РО-50 - специальные приспособления для использования на земле (11402).</w:t>
      </w:r>
    </w:p>
    <w:p w14:paraId="4A3DAC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B0447B1"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К 13 ноября 1940 г. начальник 8-го Управления ГУ ВВС КА военинженер 1-го ранга Никонов утвер</w:t>
      </w:r>
      <w:r w:rsidRPr="00A3026E">
        <w:rPr>
          <w:color w:val="000000" w:themeColor="text1"/>
          <w:sz w:val="16"/>
          <w:szCs w:val="16"/>
        </w:rPr>
        <w:softHyphen/>
        <w:t>дил ТТТ на разработку вооружения истребителей И-153 и И-16 ракетными бронебойными снарядами типа РБС-82 и РБС-132. Одновременно ставилась за</w:t>
      </w:r>
      <w:r w:rsidRPr="00A3026E">
        <w:rPr>
          <w:color w:val="000000" w:themeColor="text1"/>
          <w:sz w:val="16"/>
          <w:szCs w:val="16"/>
        </w:rPr>
        <w:softHyphen/>
        <w:t>дача на доработку штатных ракетных орудий РО-82 и РО-132 электроконтактами таким образом, чтобы они допускали работу пиропистолетов.</w:t>
      </w:r>
    </w:p>
    <w:p w14:paraId="2E3F345B"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Ракетная система включала два комплекта пу</w:t>
      </w:r>
      <w:r w:rsidRPr="00A3026E">
        <w:rPr>
          <w:color w:val="000000" w:themeColor="text1"/>
          <w:sz w:val="16"/>
          <w:szCs w:val="16"/>
        </w:rPr>
        <w:softHyphen/>
        <w:t>сковых устройств (всего 4 ракетных орудия по два на каждом), смонтированных на консолях крыла И-16 или на нижних плоскостях И-153. Система должна была состоять из штатных ракетных орудий РО-132, оборудованных в дополнение к пиропи- столету электроконтактами воспламенения. Управ</w:t>
      </w:r>
      <w:r w:rsidRPr="00A3026E">
        <w:rPr>
          <w:color w:val="000000" w:themeColor="text1"/>
          <w:sz w:val="16"/>
          <w:szCs w:val="16"/>
        </w:rPr>
        <w:softHyphen/>
        <w:t>ление огнем осуществлялось от ЭСБР-3п. Требова</w:t>
      </w:r>
      <w:r w:rsidRPr="00A3026E">
        <w:rPr>
          <w:color w:val="000000" w:themeColor="text1"/>
          <w:sz w:val="16"/>
          <w:szCs w:val="16"/>
        </w:rPr>
        <w:softHyphen/>
        <w:t>лось предусмотреть защиту самолета и ракетных снарядов от газовой струи и продуктов горения ракетного заряда. Кроме того, установка и снятие системы должны были обеспечиваться силами тех</w:t>
      </w:r>
      <w:r w:rsidRPr="00A3026E">
        <w:rPr>
          <w:color w:val="000000" w:themeColor="text1"/>
          <w:sz w:val="16"/>
          <w:szCs w:val="16"/>
        </w:rPr>
        <w:softHyphen/>
        <w:t>нического состава частей. При этом время на мон</w:t>
      </w:r>
      <w:r w:rsidRPr="00A3026E">
        <w:rPr>
          <w:color w:val="000000" w:themeColor="text1"/>
          <w:sz w:val="16"/>
          <w:szCs w:val="16"/>
        </w:rPr>
        <w:softHyphen/>
        <w:t>таж и демонтаж системы ограничивалось двумя и одним часом соответственно. Вес системы без боекомплекта не должен был превышать 40 кг.</w:t>
      </w:r>
    </w:p>
    <w:p w14:paraId="49C865D8"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Для стрельбы с пикирования РБС-132 довольно оперативно была разработана ракетно-орудийная бата</w:t>
      </w:r>
      <w:r w:rsidRPr="00A3026E">
        <w:rPr>
          <w:color w:val="000000" w:themeColor="text1"/>
          <w:sz w:val="16"/>
          <w:szCs w:val="16"/>
        </w:rPr>
        <w:softHyphen/>
        <w:t>рея 2РОБ-132 конструкции Бардюкова на два штатных орудия РО-132. Система предусматривала два варианта ее уста</w:t>
      </w:r>
      <w:r w:rsidRPr="00A3026E">
        <w:rPr>
          <w:color w:val="000000" w:themeColor="text1"/>
          <w:sz w:val="16"/>
          <w:szCs w:val="16"/>
        </w:rPr>
        <w:softHyphen/>
        <w:t>новки на самолет.</w:t>
      </w:r>
    </w:p>
    <w:p w14:paraId="27F7E0B1"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Первый вариант предполагал под</w:t>
      </w:r>
      <w:r w:rsidRPr="00A3026E">
        <w:rPr>
          <w:color w:val="000000" w:themeColor="text1"/>
          <w:sz w:val="16"/>
          <w:szCs w:val="16"/>
        </w:rPr>
        <w:softHyphen/>
        <w:t>веску батареи под плоскость нижне</w:t>
      </w:r>
      <w:r w:rsidRPr="00A3026E">
        <w:rPr>
          <w:color w:val="000000" w:themeColor="text1"/>
          <w:sz w:val="16"/>
          <w:szCs w:val="16"/>
        </w:rPr>
        <w:softHyphen/>
        <w:t>го крыла И-153 на два замка штат</w:t>
      </w:r>
      <w:r w:rsidRPr="00A3026E">
        <w:rPr>
          <w:color w:val="000000" w:themeColor="text1"/>
          <w:sz w:val="16"/>
          <w:szCs w:val="16"/>
        </w:rPr>
        <w:softHyphen/>
        <w:t>ных бомбодержателя. Для этого на 2РОБ-132 имелись специальные хому</w:t>
      </w:r>
      <w:r w:rsidRPr="00A3026E">
        <w:rPr>
          <w:color w:val="000000" w:themeColor="text1"/>
          <w:sz w:val="16"/>
          <w:szCs w:val="16"/>
        </w:rPr>
        <w:softHyphen/>
        <w:t>ты и проушины для бомбодержателя. Параллельность в установке орудий в горизонтальной плоскости достига</w:t>
      </w:r>
      <w:r w:rsidRPr="00A3026E">
        <w:rPr>
          <w:color w:val="000000" w:themeColor="text1"/>
          <w:sz w:val="16"/>
          <w:szCs w:val="16"/>
        </w:rPr>
        <w:softHyphen/>
        <w:t>лась регулировкой специальными ко</w:t>
      </w:r>
      <w:r w:rsidRPr="00A3026E">
        <w:rPr>
          <w:color w:val="000000" w:themeColor="text1"/>
          <w:sz w:val="16"/>
          <w:szCs w:val="16"/>
        </w:rPr>
        <w:softHyphen/>
        <w:t>нусами. При необходимости установку можно было сбросить, используя для этого штатные средства бомбардиро</w:t>
      </w:r>
      <w:r w:rsidRPr="00A3026E">
        <w:rPr>
          <w:color w:val="000000" w:themeColor="text1"/>
          <w:sz w:val="16"/>
          <w:szCs w:val="16"/>
        </w:rPr>
        <w:softHyphen/>
        <w:t>вочного вооружения самолета.</w:t>
      </w:r>
    </w:p>
    <w:p w14:paraId="6B73BC3E"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 второму варианту батареи кре</w:t>
      </w:r>
      <w:r w:rsidRPr="00A3026E">
        <w:rPr>
          <w:color w:val="000000" w:themeColor="text1"/>
          <w:sz w:val="16"/>
          <w:szCs w:val="16"/>
        </w:rPr>
        <w:softHyphen/>
        <w:t>пились в гнездах для установочных болтов ракетных орудий на болтах хо</w:t>
      </w:r>
      <w:r w:rsidRPr="00A3026E">
        <w:rPr>
          <w:color w:val="000000" w:themeColor="text1"/>
          <w:sz w:val="16"/>
          <w:szCs w:val="16"/>
        </w:rPr>
        <w:softHyphen/>
        <w:t>мутов. В вертикальной плоскости каж</w:t>
      </w:r>
      <w:r w:rsidRPr="00A3026E">
        <w:rPr>
          <w:color w:val="000000" w:themeColor="text1"/>
          <w:sz w:val="16"/>
          <w:szCs w:val="16"/>
        </w:rPr>
        <w:softHyphen/>
        <w:t>дое орудие регулировалось своими болтами, а в горизонтальной плоско</w:t>
      </w:r>
      <w:r w:rsidRPr="00A3026E">
        <w:rPr>
          <w:color w:val="000000" w:themeColor="text1"/>
          <w:sz w:val="16"/>
          <w:szCs w:val="16"/>
        </w:rPr>
        <w:softHyphen/>
        <w:t>сти — хомутами (17500).</w:t>
      </w:r>
    </w:p>
    <w:p w14:paraId="52097D79" w14:textId="77777777" w:rsidR="00893AC8" w:rsidRPr="00A3026E" w:rsidRDefault="00893AC8" w:rsidP="00A3026E">
      <w:pPr>
        <w:pStyle w:val="128"/>
        <w:shd w:val="clear" w:color="auto" w:fill="auto"/>
        <w:spacing w:after="0" w:line="240" w:lineRule="auto"/>
        <w:jc w:val="both"/>
        <w:rPr>
          <w:color w:val="000000" w:themeColor="text1"/>
          <w:sz w:val="16"/>
          <w:szCs w:val="16"/>
        </w:rPr>
      </w:pPr>
    </w:p>
    <w:p w14:paraId="511F7AF9" w14:textId="77777777" w:rsidR="006F29FD" w:rsidRPr="00A3026E" w:rsidRDefault="006F29FD"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3FBD9180" w14:textId="77777777" w:rsidR="006F29FD" w:rsidRPr="00A3026E" w:rsidRDefault="006F29FD" w:rsidP="00A3026E">
      <w:pPr>
        <w:spacing w:after="0" w:line="240" w:lineRule="auto"/>
        <w:jc w:val="both"/>
        <w:rPr>
          <w:rFonts w:ascii="Times New Roman" w:hAnsi="Times New Roman"/>
          <w:iCs/>
          <w:color w:val="000000" w:themeColor="text1"/>
          <w:sz w:val="16"/>
          <w:szCs w:val="16"/>
        </w:rPr>
      </w:pPr>
    </w:p>
    <w:p w14:paraId="4D3B7C8E"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13 ноября 1940 г. </w:t>
      </w:r>
    </w:p>
    <w:p w14:paraId="7E262E52"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Приказ Народного Комиссара Вооружения СССР о присвоении Государственному Машиностроительному заводу №7 имени М. В. Фрунзе </w:t>
      </w:r>
    </w:p>
    <w:p w14:paraId="19CBFEB8"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№355744 </w:t>
      </w:r>
    </w:p>
    <w:p w14:paraId="41F7A74B"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Архив ОАО </w:t>
      </w:r>
    </w:p>
    <w:p w14:paraId="54D9C8E7"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г. Москва 13 ноября 1940 г. </w:t>
      </w:r>
    </w:p>
    <w:p w14:paraId="41FD2BE5"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Указом Президиума Верховного Совета Союза ССР от 10 ноября 1940 г. удовлетворена просьба рабочих, инженерно-технических работников и служащих Государственного Машиностроительного завода №7 и ходатайство общественных организаций г. Ленинграда о присвоении заводу имени М. В. ФРУНЗЕ. </w:t>
      </w:r>
    </w:p>
    <w:p w14:paraId="2889D233"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ПРИКАЗЫВАЮ: </w:t>
      </w:r>
    </w:p>
    <w:p w14:paraId="4A51B87B"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Государственный Машиностроительный завод №7 впредь именовать - Государственный Машиностроительный завод №7 имени М. В. ФРУНЗЕ. </w:t>
      </w:r>
    </w:p>
    <w:p w14:paraId="3C1F2B3D"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Народный Комиссар Вооружения СССР Б. Ванников (20074).</w:t>
      </w:r>
    </w:p>
    <w:p w14:paraId="12CA93DC" w14:textId="77777777" w:rsidR="00383FC3" w:rsidRPr="00A3026E" w:rsidRDefault="00383FC3" w:rsidP="00A3026E">
      <w:pPr>
        <w:spacing w:after="0" w:line="240" w:lineRule="auto"/>
        <w:jc w:val="both"/>
        <w:rPr>
          <w:rFonts w:ascii="Times New Roman" w:hAnsi="Times New Roman"/>
          <w:color w:val="0070C0"/>
          <w:sz w:val="16"/>
          <w:szCs w:val="16"/>
        </w:rPr>
      </w:pPr>
    </w:p>
    <w:p w14:paraId="6683BCAE"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начальник БТУ ГАБТУ КА военинженер 1 ранга Б.М. Коробков незамедлительно уведомил заместителя народного комиссара среднего машиностроения А.А. Горегляда, директора завода № 183 Ю.Е. Максарёва, и районного инженера ГАБТУ КА на заводе № 183 Д.М. Козырева о полученных результатах первого этапа испытаний танков Т-34. В </w:t>
      </w:r>
      <w:hyperlink r:id="rId97" w:tgtFrame="_blank" w:history="1">
        <w:r w:rsidRPr="00A3026E">
          <w:rPr>
            <w:rStyle w:val="a5"/>
            <w:rFonts w:ascii="Times New Roman" w:hAnsi="Times New Roman"/>
            <w:color w:val="000000" w:themeColor="text1"/>
            <w:sz w:val="16"/>
            <w:szCs w:val="16"/>
          </w:rPr>
          <w:t>письме № 76988с</w:t>
        </w:r>
      </w:hyperlink>
      <w:r w:rsidRPr="00A3026E">
        <w:rPr>
          <w:rFonts w:ascii="Times New Roman" w:hAnsi="Times New Roman"/>
          <w:color w:val="000000" w:themeColor="text1"/>
          <w:sz w:val="16"/>
          <w:szCs w:val="16"/>
        </w:rPr>
        <w:t> от 13 ноября 1940 г. вышеуказанным должностным лицам было сообщено следующее: </w:t>
      </w:r>
    </w:p>
    <w:p w14:paraId="66EA4F9A"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процессе ходовых испытаний танков Т-34 Харьков – Москва подтверждены ранее указанные в письме № 73381с от 4.6.40 г. и в перечне конструктивных изменений, подписанных директором завода № 183 тов. МАКСАРЕВЫМ и Генерал-лейтенантом Танковых войск тов. ФЕДОРЕНКО следующие недостатки: </w:t>
      </w:r>
    </w:p>
    <w:p w14:paraId="45FCB278"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Крупным дефектом аварийного характера является частая поломка траков гусениц. За пробег Харьков – Москва гусеницы пришли в полную негодность на всех машинах. Гусеницы поставлены новые. </w:t>
      </w:r>
    </w:p>
    <w:p w14:paraId="0A57722D"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Имевшийся ранее дефект коробления дисков главного фрикциона остался и на сегодня. Введение чугунных дисков не исключило указанного дефекта, что подтверждается этим же пробегом Харьков – Москва. </w:t>
      </w:r>
    </w:p>
    <w:p w14:paraId="57C3CDE3"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Установленные смотровые приборы при пыльной дороге и плохой погоде делают машину слепой. При запыленных зеркалках управление танком невозможно. Снег и грязь, попадая на зеркалки, залепляют их и не дают возможности водителю управлять танком при закрытом люке. Об этом недостатке неоднократно указывалось нами заводу и в письмах НКСМ и, несмотря на это, дефект оказался не устраненным. </w:t>
      </w:r>
    </w:p>
    <w:p w14:paraId="0DBE5762"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Завод № 183 обязан был разработать боеукладку снарядов, обеспечивающую удобную и быструю работу экипажа. Однако, к пробегу этого пункта завод № 183 не выполнил. </w:t>
      </w:r>
    </w:p>
    <w:p w14:paraId="5A2AFCE1"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Последняя конструкция усиленного вентилятора также не надежна в работе и не обеспечивает гарантийного пробега танка. В пробеге Харьков – Москва один вентилятор уже вышел из строя на 800 километре вследствие поломки лопастей вентилятора. </w:t>
      </w:r>
    </w:p>
    <w:p w14:paraId="3E341902"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Вас обязать Сталинградский Тракторный завод и завод № 183 немедленно, не дожидаясь окончаний испытаний приступить к устранению указанных дефектов».</w:t>
      </w:r>
    </w:p>
    <w:p w14:paraId="6FB03053"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1022. Л. 367] (18173)</w:t>
      </w:r>
    </w:p>
    <w:p w14:paraId="553ACEBF" w14:textId="77777777" w:rsidR="006F29FD" w:rsidRPr="00A3026E" w:rsidRDefault="006F29FD" w:rsidP="00A3026E">
      <w:pPr>
        <w:spacing w:after="0" w:line="240" w:lineRule="auto"/>
        <w:jc w:val="both"/>
        <w:rPr>
          <w:rFonts w:ascii="Times New Roman" w:hAnsi="Times New Roman"/>
          <w:color w:val="000000" w:themeColor="text1"/>
          <w:sz w:val="16"/>
          <w:szCs w:val="16"/>
        </w:rPr>
      </w:pPr>
    </w:p>
    <w:p w14:paraId="4C1A531F"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г.</w:t>
      </w:r>
    </w:p>
    <w:p w14:paraId="28F3AF05"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1022 лист 367 </w:t>
      </w:r>
    </w:p>
    <w:p w14:paraId="278E15BB"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10E46248"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4 </w:t>
      </w:r>
    </w:p>
    <w:p w14:paraId="249B123D"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 Ноября 1940 г. </w:t>
      </w:r>
    </w:p>
    <w:p w14:paraId="6C177CD5"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76988с </w:t>
      </w:r>
    </w:p>
    <w:p w14:paraId="5C1CECF1"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ЗАМЕСТИТЕЛЮ НАРОДНОГО КОМИССАРА</w:t>
      </w:r>
    </w:p>
    <w:p w14:paraId="5CBAB33D"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СРЕДНЕГО МАШИНОСТРОЕНИЯ тов. ГОРЕГЛЯД</w:t>
      </w:r>
    </w:p>
    <w:p w14:paraId="017B1543"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Здесь, Рязанская 8а.</w:t>
      </w:r>
    </w:p>
    <w:p w14:paraId="69EB669B"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ДИРЕКТОРУ ЗАВОДА № 183 тов. МАКСАРЕВУ</w:t>
      </w:r>
    </w:p>
    <w:p w14:paraId="06CC3C27"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РАЙИНЖЕНЕРУ НА ЗАВОДЕ № 183 тов. КОЗЫРЕВУ</w:t>
      </w:r>
    </w:p>
    <w:p w14:paraId="642C5C10"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Харьков, завод № 183</w:t>
      </w:r>
    </w:p>
    <w:p w14:paraId="14D4BEFC"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процессе ходовых испытаний танков Т-34 Харьков–Москва подтверждены ранее указанные в письме № 73381с от 4.6.40 г. и в перечне конструктивных изменений, подписанных директором завода № 183 тов. МАКСАРЕВЫМ и Генерал-лейтенантом Танковых войск тов. ФЕДОРЕНКО следующие недостатки: </w:t>
      </w:r>
    </w:p>
    <w:p w14:paraId="40AF95F9"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Крупным дефектом аварийного характера является частая поломка траков гусениц. За пробег Харьков–Москва гусеницы пришли в полную негодность на всех машинах. Гусеницы поставлены новые. </w:t>
      </w:r>
    </w:p>
    <w:p w14:paraId="2B1955CA"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Имевшийся ранее дефект коробления дисков главного фрикциона остался и на сегодня. Введение чугунных дисков не исключило указанного дефекта, что подтверждается этим же пробегом Харьков–Москва. </w:t>
      </w:r>
    </w:p>
    <w:p w14:paraId="05FCE22E"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Установленные смотровые приборы при пыльной дороге и плохой погоде делают машину слепой. При запыленных зеркалках управление танком невозможно. Снег и грязь, попадая на зеркалки, залепляют их и не дают возможности водителю управлять танком при закрытом люке. Об этом недостатке неоднократно указывалось нами заводу и в письмах НКСМ и, несмотря на это, дефект оказался не устраненным. </w:t>
      </w:r>
    </w:p>
    <w:p w14:paraId="517DB03D"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Завод № 183 обязан был разработать боеукладку снарядов, обеспечивающую удобную и быструю работу экипажа. Однако, к пробегу этого пункта завод № 183 не выполнил. </w:t>
      </w:r>
    </w:p>
    <w:p w14:paraId="5DDEF078"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Последняя конструкция усиленного вентилятора также не надежна в работе и не обеспечивает гарантийного пробега танка. В пробеге Харьков–Москва один вентилятор уже вышел из строя на 800 километре вследствие поломки лопастей вентилятора. </w:t>
      </w:r>
    </w:p>
    <w:p w14:paraId="4CBC2367"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Прошу Вас обязать Сталинградский Тракторный завод и завод № 183 немедленно, не дожидаясь окончаний испытаний приступить к устранению указанных дефектов. </w:t>
      </w:r>
    </w:p>
    <w:p w14:paraId="68A71143"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НАЧАЛЬНИК БРОНЕТАНКОВОГО УПРАВЛЕНИЯ КРАСНОЙ АРМИИ</w:t>
      </w:r>
    </w:p>
    <w:p w14:paraId="6C4E384A"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ВОЕНИНЖЕНЕР 1 РАНГА (КОРОБКОВ)</w:t>
      </w:r>
    </w:p>
    <w:p w14:paraId="0FD25FE1"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4 экз. </w:t>
      </w:r>
    </w:p>
    <w:p w14:paraId="14B4EAEC"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Агриков </w:t>
      </w:r>
    </w:p>
    <w:p w14:paraId="7BA50B57"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13.11.1940 г. № 1049</w:t>
      </w:r>
    </w:p>
    <w:p w14:paraId="05B0FDDF" w14:textId="77777777" w:rsidR="006F29FD" w:rsidRPr="00A3026E" w:rsidRDefault="006F29FD" w:rsidP="00A3026E">
      <w:pPr>
        <w:spacing w:after="0" w:line="240" w:lineRule="auto"/>
        <w:jc w:val="both"/>
        <w:rPr>
          <w:rFonts w:ascii="Times New Roman" w:hAnsi="Times New Roman"/>
          <w:color w:val="000000" w:themeColor="text1"/>
          <w:sz w:val="16"/>
          <w:szCs w:val="16"/>
        </w:rPr>
      </w:pPr>
    </w:p>
    <w:p w14:paraId="720811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года была выдана первая промышленная партия глинозема на Тихвинском (ныне – Бокситогорском) глиноземном заводе в Ленинградской области (12245).</w:t>
      </w:r>
    </w:p>
    <w:p w14:paraId="3AA0C63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4E1CBEE"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2559450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CB9CF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г. лодка Д-1 Декабрист, которая под командованием капитан-лейтенанта Ф. М. Ельтищева во время советско-финляндской войны совершил три боевых похо</w:t>
      </w:r>
      <w:r w:rsidRPr="00A3026E">
        <w:rPr>
          <w:rFonts w:ascii="Times New Roman" w:hAnsi="Times New Roman"/>
          <w:color w:val="000000" w:themeColor="text1"/>
          <w:sz w:val="16"/>
          <w:szCs w:val="16"/>
        </w:rPr>
        <w:softHyphen/>
        <w:t>да для дозорной службы в районе Варде—Нордкап, погибла в Мотовском заливе со всем экипажем (55 чел.). Вероятной причиной гибели явилось значительное пре</w:t>
      </w:r>
      <w:r w:rsidRPr="00A3026E">
        <w:rPr>
          <w:rFonts w:ascii="Times New Roman" w:hAnsi="Times New Roman"/>
          <w:color w:val="000000" w:themeColor="text1"/>
          <w:sz w:val="16"/>
          <w:szCs w:val="16"/>
        </w:rPr>
        <w:softHyphen/>
        <w:t>вышение предельной глубины погружения. Известно, что прочный корпус выдерживал без деформации погружение до 120 м (Д-2 в 1938 г.). В случае с Д-1 нельзя исключить и возможность взрыва артиллерийского боезапаса (3898).</w:t>
      </w:r>
    </w:p>
    <w:p w14:paraId="2F60C0D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DD1E8C5" w14:textId="77777777" w:rsidR="00AB040C" w:rsidRPr="00A3026E" w:rsidRDefault="00AB040C"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13 ноября </w:t>
      </w:r>
      <w:r w:rsidRPr="00A3026E">
        <w:rPr>
          <w:rFonts w:ascii="Times New Roman" w:hAnsi="Times New Roman"/>
          <w:color w:val="000000" w:themeColor="text1"/>
          <w:sz w:val="16"/>
          <w:szCs w:val="16"/>
        </w:rPr>
        <w:t>в 1940 году вблизи Кольского полуострова затонула дизельная подводная лодка "Д-1" (до 21 августа 1934 г. — "Декабрист"). Весь экипаж погиб. Считается первой потерей отечественного подводного флота в XX в. Тайна катастрофы не разгадана по сей день (14829).</w:t>
      </w:r>
    </w:p>
    <w:p w14:paraId="68DB950C" w14:textId="77777777" w:rsidR="00AB040C" w:rsidRPr="00A3026E" w:rsidRDefault="00AB040C" w:rsidP="00A3026E">
      <w:pPr>
        <w:spacing w:after="0" w:line="240" w:lineRule="auto"/>
        <w:jc w:val="both"/>
        <w:rPr>
          <w:rFonts w:ascii="Times New Roman" w:hAnsi="Times New Roman"/>
          <w:iCs/>
          <w:color w:val="000000" w:themeColor="text1"/>
          <w:sz w:val="16"/>
          <w:szCs w:val="16"/>
        </w:rPr>
      </w:pPr>
    </w:p>
    <w:p w14:paraId="4AF1D22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3A176E5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FEFFE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В.М.М. встретился в Берлине с А.Гитлером (3481).</w:t>
      </w:r>
    </w:p>
    <w:p w14:paraId="2514B53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6784836" w14:textId="77777777" w:rsidR="00AB040C" w:rsidRPr="00A3026E" w:rsidRDefault="00AB040C"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13 ноября </w:t>
      </w:r>
      <w:r w:rsidRPr="00A3026E">
        <w:rPr>
          <w:rFonts w:ascii="Times New Roman" w:hAnsi="Times New Roman"/>
          <w:color w:val="000000" w:themeColor="text1"/>
          <w:sz w:val="16"/>
          <w:szCs w:val="16"/>
        </w:rPr>
        <w:t>в 1940 году глава советской делегации Вячеслав Молотов встречается в Берлине с Адольфом Гитлером (14829).</w:t>
      </w:r>
    </w:p>
    <w:p w14:paraId="6F76FB8F" w14:textId="77777777" w:rsidR="00AB040C" w:rsidRPr="00A3026E" w:rsidRDefault="00AB040C" w:rsidP="00A3026E">
      <w:pPr>
        <w:spacing w:after="0" w:line="240" w:lineRule="auto"/>
        <w:jc w:val="both"/>
        <w:rPr>
          <w:rFonts w:ascii="Times New Roman" w:hAnsi="Times New Roman"/>
          <w:color w:val="000000" w:themeColor="text1"/>
          <w:sz w:val="16"/>
          <w:szCs w:val="16"/>
        </w:rPr>
      </w:pPr>
    </w:p>
    <w:p w14:paraId="429D82C7" w14:textId="77777777" w:rsidR="00AB040C" w:rsidRPr="00A3026E" w:rsidRDefault="00AB040C"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13 ноября 1940 г.БЕСЕДА ПРЕДСЕДАТЕЛЯ СОВНАРКОМА, НАРКОМА ИНОСТРАННЫХ ДЕЛ СССР В.М.МОЛОТОВА С КОМАНДУЮЩИМ ВВС, МИНИСТРОМ АВИАЦИИ ГЕРМАНИИ РЕЙХСМАРШАЛОМ ГЕРМАНИИ Г.ГЕРИНГОМ В БЕРЛИНЕ</w:t>
      </w:r>
    </w:p>
    <w:p w14:paraId="2FAEE070"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Сов. секретно </w:t>
      </w:r>
    </w:p>
    <w:p w14:paraId="62E501DA"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Особая папка </w:t>
      </w:r>
    </w:p>
    <w:p w14:paraId="0684E7E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После взаимных приветствий Геринг заявляет, что прошедшая ночь в Берлине прошла спокойно. Англичане не могли прилететь в Берлин из-за сильного ветра с Запада. Расстояние до Берлина, говорит Геринг, вообще является для них предельным. Кроме того, при западном ветре свыше 70 км/час в Берлине всегда бывает спокойно. Осенью преобладают западные ветры, сильно затрудняющие действия английской авиации. Его летчикам, говорит Геринг, эти ветры только помогают лететь обратно в Германию. </w:t>
      </w:r>
    </w:p>
    <w:p w14:paraId="33C07AD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Далее Геринг заявляет, что рад познакомиться с т.Молотовым. Ему, Герингу, известно, что благодаря вмешательству т.Молотова были преодолены трудности, которые возникали в ходе экономических отношений с СССР. </w:t>
      </w:r>
    </w:p>
    <w:p w14:paraId="7A35EE6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Тов.Молотов заявляет, что ему известно, что рейхсмаршал ведает большим количеством хозяйственных, политических и военных дел, но он не знает, где лежит центр тяжести деятельности рейхсмаршала. В данный момент, говорит т.Молотов, вероятно, наполовину в военно-воздушных делах и наполовину в экономических. Тов.Молотов говорит, что ему известно, что Геринг относится к выдающимся организаторам Германии. </w:t>
      </w:r>
    </w:p>
    <w:p w14:paraId="02081D9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Отвечая, Геринг говорит, что т.Молотов прав, что центр тяжести его, Геринга, деятельности лежит в авиации. Вчера он был на фронте и выехал в Берлин с намерением познакомиться с т.Молотовым. Сегодня он снова возвращается на фронт. Он полагает, что авиация [есть] то оружие, которое разобьет Англию. Ему известны разрушения в Лондоне по фотографиям, которые он видел, и кроме того, он может себе представить, что означают сотни тонн бомб, бросаемых на город, по сравнению с беспокойством, которое причиняет жителям городов даже один вражеский самолет. Он, Геринг, думает, что экономика Англии не выдержит таких ударов германской авиации. </w:t>
      </w:r>
    </w:p>
    <w:p w14:paraId="0C6415F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Геринг заявляет, что англичане утверждают, что они пульверизировали вокзалы в Берлине. Тов. Молотов может смотреть, что хочет, и не увидит существенных разрушений. Бомбы попали в больницу, в лакокрасочный завод, лесной склад, в несколько домов и упали в парк "Тиргартен". Напротив, говорит Геринг, по фотографиям можно сделать вывод, что положение в Лондоне очень тяжелое. </w:t>
      </w:r>
    </w:p>
    <w:p w14:paraId="76ABF5C8"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Он хотел бы, чтобы т.Молотов убедился в английской лжи. Разрушения в Германии несравнимы с тем, что удалось германской авиации сделать в Англии, о чем т. Молотов имеет, вероятно, представление по докладам полпредства СССР в Лондоне. Там груды пепла. </w:t>
      </w:r>
    </w:p>
    <w:p w14:paraId="3E00E1F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Далее говорит, что он хочет перейти к вопросу советско-германских экономических отношений. Он заявляет, что в переговорах были затяжки. Он со своей стороны приложил все усилия к осуществлению переговоров на деле. Ему ясно, что выполнение экономических обязательств было бы мерилом доверия вождей и народов друг к другу. </w:t>
      </w:r>
    </w:p>
    <w:p w14:paraId="42E8EBFD"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Геринг заявляет, что они, идя на сближение с СССР, произвели полную переориентировку их внешней политики. Когда в переговорах выявилась возможность взаимопонимания двух народов, он это приветствовал. Это взаимопонимание было решающим для Германии. Эту новую ориентировку он, Геринг, рассматривает не как нечто преходящее, а как совершенно окончательное и бесповоротное решение Германского правительства. Мы понимаем, говорит Геринг, что повороты в политике таких великих народов должны привести к прочной длительной политике. Нельзя бросаться от одного к другому, тем более, когда речь идет о таких больших народах, обладающих большой интервенцией. Геринг просит передать сказанное им т.Сталину И.В. Геринг добавляет, что только благодаря таким людям, как Сталин и Гитлер, удалось вызволить такие великие народы из опасности войны друг с другом. Теперь, говорит Геринг, несколько слов об экономических делах. </w:t>
      </w:r>
    </w:p>
    <w:p w14:paraId="7CB2120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Геринг говорит, что само собой разумеется, что всякие делегации, будь то русские или германские, имеют поручения вести переговоры. Каждая делегация должна занимать позиции, отвечающие интересам своего государства. При этом делегации, ведя переговоры друг с другом, уходят часто в мелочи, и возникают разногласия. Задача руководителей, по мнению Геринга, состоит в том, чтобы вмешаться в таких случаях и навести порядок. Он со своей стороны давал указания для преодоления трудностей и полагает, что если появляются задержки в переговорах, то руководители должны сказать свое властное слово. Он, Геринг, думает, что дело делегаций - заниматься мелочами, а руководители должны уделять внимание крупным вопросам. </w:t>
      </w:r>
    </w:p>
    <w:p w14:paraId="566AEE4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Далее Геринг говорит, что нарушение сроков поставок Германией объясняется тем, что Германия ведет войну, и тем, что заказы СССР концентрируются на предметы вооружения. Тем не менее он обещает, что все возможное будет выполнено. Было бы, конечно, легче это сделать, если бы советские заказы не концентрировались в одной отрасли, а распределялись бы на целый ряд отраслей. Кроме того, его внимание обращали также на тот факт, что русские неясно представляют себе, что они хотят заказать. Если бы, говорит Геринг, здесь действовали быстрее, то это содействовало бы выполнению русских желаний. Геринг заявляет, что надо всячески содействовать ускорению дела и проявлять больше доверия. Он со своей стороны, когда речь шла о ценах, сказал, что нужно отодвинуть этот вопрос на задний план и сначала выполнять заказ. Так было в мае, когда СССР хотел возможно скорее получить самолеты. </w:t>
      </w:r>
    </w:p>
    <w:p w14:paraId="5F435814"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Геринг заявляет, что ему известно, что СССР выполняет свои поставки в срок и даже раньше. По его словам, девизная пика не имеет значения. Образовавшийся дефицит будет сбалансирован. Геринг заявляет, что нужно планировать и решать вопросы в крупных чертах. Чем шире основа, говорит он, тем глубже наши отношения. </w:t>
      </w:r>
    </w:p>
    <w:p w14:paraId="3596EC0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Отвечая на заявление Геринга, т.Молотов говорит, что теперь в вопросе о советско-германских отношениях, помимо наличия добрых желаний и намерений государственных руководителей, мы имеем год существования отношений на новой базе и итоги их успешного развития. Наши намерения и цели подтвердились жизнью. Тем более, следовательно, можно говорить о прочности этих отношений и о том, что они были задуманы основательно. И Советское правительство, и И.В.Сталин, с которым он, т.Молотов, много говорит о советско-германских отношениях, убеждены, что найдена хорошая база для развития дружественных отношений между СССР и Германией. Эти отношения построены на глубоких интересах не [только] сегодняшнего дня. </w:t>
      </w:r>
    </w:p>
    <w:p w14:paraId="79E8BC0D"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Тов.Молотов говорит, что за экономическими отношениями он не следит во всех деталях. Этим занимается Микоян, которого, по словам т.Молотова, хорошо знает Хильгер. Он, Микоян, в курсе дела. Все существенное, конечно, мне известно. Тов.Молотов заявляет, что ему не всегда понятно, почему не выполняются заказы СССР, учитывая, что в экономическом отношении положение Германии улучшилось в результате войны и привлечения ресурсов из других стран. Нам непонятно, говорит т.Молотов, почему возникают задержки в поставках или почему вопросы тех[нической] помощи, в которой мы заинтересованы, ставятся так, что у наших организаций отпадает заинтересованность в ней. Тов.Молотов признает, что иногда бывают виноваты наши хозяйственные организации из-за своего бюрократизма и неповоротливости. </w:t>
      </w:r>
    </w:p>
    <w:p w14:paraId="708328D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Тов.Молотов выражает надежду, что трудности в советско-германских экономических отношениях могут быть ликвидированы, и заявляет, что он со своей стороны готов всячески содействовать этому. Тем более, он готов это сделать после того, как выслушал рейхсмаршала и знает, что рейхсмаршал следит за нашими хозяйственными делами, несмотря на свою занятость военными делами. </w:t>
      </w:r>
    </w:p>
    <w:p w14:paraId="72C1E1E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lastRenderedPageBreak/>
        <w:t xml:space="preserve">Тов.Молотов заявляет, что он смотрит на хозяйственные отношения оптимистически и что он уверен, что мы будем идти к новым успехам. Он добавляет, что его оптимизм обоснован, ибо из его разговора с рейхсканцлером он, т.Молотов, видит, насколько глубоко желание продолжать и развивать советско-германские отношения. </w:t>
      </w:r>
    </w:p>
    <w:p w14:paraId="1304E84A"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Геринг отвечает, что он тоже не в курсе всех мелочей. На вопрос т.Молотова о причинах задержки выполнения отдельных заказов Геринг заявляет следующее. Разумеется, Германия экономически укрепилась, имея в своем распоряжении больше территории. Но он, Геринг, должен напомнить, что при этом речь идет о территории стран, которые вели войну, повлекшую за собой большие разрушения. </w:t>
      </w:r>
    </w:p>
    <w:p w14:paraId="3E50125C"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Англичане разрушали все самым жестоким образом. Французы не отставали от них. Как выглядят эти страны экономически? - спрашивает Геринг и, отвечая сам на этот вопрос, говорит, что машины фабрик и заводов были увезены во внутрь страны. Чертежи сожжены. Шахты разрушены. Требуется время, чтобы это восстановить, организовать и привести в порядок. Геринг заявляет, что они стремятся создать для себя прочный экономический базис, направленный против Англии и США. По мере восстановления хозяйства оккупированных Германией стран производственная мощность Германии возрастет и будут скорее удовлетворены желания СССР. </w:t>
      </w:r>
    </w:p>
    <w:p w14:paraId="20DD251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Геринг сообщает далее, что для лучшего и быстрого удовлетворения русских желаний им организован специальный Русский комитет. В этом комитете представлены все заинтересованные лица. Туда входят представители министерства иностранных дел, участвовавшие в переговорах с СССР, там имеются также представители непосредственных исполнителей заказов, туда входит и его представитель. Между этими людьми часто возникают разногласия. Например, министерство сельского хозяйства говорит, что оно хочет получить столько-то миллионов тонн кормов. Промышленность, говорит Геринг, должна компенсировать это. Представители промышленности заявляют, что русские имеют такие-то требования. Одновременно их предприятия выполняют заказы военно-морского ведомства, аналогичные заказам СССР. Военно-морское ведомство требует выполнения своих заказов в первую очередь. Возникают трения. Надо искать компромисса. Задача Русского комитета, говорит Геринг, состоит в том, чтобы разрешать такие трудности, за которыми он должен следить. </w:t>
      </w:r>
    </w:p>
    <w:p w14:paraId="5EE4E31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Геринг просит принять во внимание, что Германия ведет войну и что хотя промышленность Германии сильно развита, но она имеет огромные заказы. Он говорит, что у них нет намерения задерживать выполнение заказов, и заверяет, что положение улучшится. Одновременно Геринг говорит снова о том, что выполнение заказов задерживается, так как имеются неясности по отдельным статьям их. Например, говорит он, русские потребовали определенных броневых плит, которые нуждаются в особой закалке. Германские техники указывали, что заказ на эти броневые плиты нельзя было выполнить по техническим причинам, и предлагали другие плиты, поскольку их можно было выполнить быстро. Однако русские настаивали на своем, и возникла задержка. Геринг признается, что иногда в задержках они тоже виноваты, и в частности их военное ведомство, требующее выполнения своих заказов в первую очередь. </w:t>
      </w:r>
    </w:p>
    <w:p w14:paraId="0DE97767"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Геринг заявляет, что в отношении тех[нической] помощи он дал указания, чтобы она была предоставлена. Но иногда требования русских идут слишком далеко, - говорит он. Он заявляет, что фирмы даже по отношению к ним не всегда бывают откровенны. </w:t>
      </w:r>
    </w:p>
    <w:p w14:paraId="50964FCE"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Геринг говорит также, что задержки вызываются тем, что советская сторона изменяет иногда свои желания, что нарушает их планы. Кроме того, говорит он, советские заказы относятся к высококачественной и сложной продукции. Геринг заявляет, что они признают для себя важность поставок СССР, но СССР легче выполнить их, поскольку здесь речь идет о сырье. Германии выполнять свои поставки труднее, так как нужно еще изготовить поставляемую продукцию. </w:t>
      </w:r>
    </w:p>
    <w:p w14:paraId="3180842D"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Тов.Молотов говорит, что хочет ответить в отношении конкретных вопросов, в частности насчет броневых плит. Тов.Молотов указывает, что этот вопрос вряд ли будет представлять большие затруднения, а может быть, и совсем отпадет. Тов.Молотов заявляет, что Германия могла бы оказать существенную техническую помощь. Он не хочет останавливаться на мелочах, но заявляет, что если наши организации затрагивают военные секреты, то мы не требуем их раскрытия. Мы просим, говорит т.Молотов, чтобы нам дали ясный ответ, что это секрет, что это внутренний вопрос Германии. Тов.Молотов заявляет, что по встречным вопросам - нефти и зерну - мы можем и должны договориться. Трудностей к взаимному удовлетворению нет. Была бы заинтересованность, говорит т.Молотов, и можно найти решения. </w:t>
      </w:r>
    </w:p>
    <w:p w14:paraId="2A5B933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Геринг заявляет, что в связи с визитом т.Молотова в Берлин он приложит все усилия, чтобы по возможности выполнить желания СССР. То же относится к вопросу тех[нической] помощи. Геринг заявляет, что он того же мнения, что непреодолимых трудностей нет. Он просит передать свой сердечный привет И.В.Сталину. </w:t>
      </w:r>
    </w:p>
    <w:p w14:paraId="162C12F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Записал В.Павлов </w:t>
      </w:r>
    </w:p>
    <w:p w14:paraId="33DFF04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АП РФ. Ф.З. Оп.64. Д.675. Л/7.84-92. Автограф. </w:t>
      </w:r>
    </w:p>
    <w:p w14:paraId="3111EB9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 Стерли в порошок (нем.). </w:t>
      </w:r>
    </w:p>
    <w:p w14:paraId="1788269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 Пика - издержки, расходы, сборы (11447). </w:t>
      </w:r>
    </w:p>
    <w:p w14:paraId="5D3C8EA5"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7739477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B76FC1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EB2CFC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Гитлер приказал Герингу подготовить немецкую авиацию для вторжения в СССР к маю 1941 года (4962).</w:t>
      </w:r>
    </w:p>
    <w:p w14:paraId="3CD91C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02BBC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Компания Виллис начала испытания джипа (3481).</w:t>
      </w:r>
    </w:p>
    <w:p w14:paraId="58F50C6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BE9D8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ноября 1940 состоялась премьера мультфильма Уолта Диснея «Фантазия» (4962).</w:t>
      </w:r>
    </w:p>
    <w:p w14:paraId="65350D6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F50704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BEF31C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25644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года А.И.Шахурин своим приказом освободил П.Н.Голубкова от занимаемой дол</w:t>
      </w:r>
      <w:r w:rsidRPr="00A3026E">
        <w:rPr>
          <w:rFonts w:ascii="Times New Roman" w:hAnsi="Times New Roman"/>
          <w:color w:val="000000" w:themeColor="text1"/>
          <w:sz w:val="16"/>
          <w:szCs w:val="16"/>
        </w:rPr>
        <w:softHyphen/>
        <w:t>жности, назначив П.О.Сухого ди</w:t>
      </w:r>
      <w:r w:rsidRPr="00A3026E">
        <w:rPr>
          <w:rFonts w:ascii="Times New Roman" w:hAnsi="Times New Roman"/>
          <w:color w:val="000000" w:themeColor="text1"/>
          <w:sz w:val="16"/>
          <w:szCs w:val="16"/>
        </w:rPr>
        <w:softHyphen/>
        <w:t>ректором и главным конструктором завода №289. Однако и эти мероприятия не способствовали ускорению работ по ОБШ (Су-6), поскольку до сере</w:t>
      </w:r>
      <w:r w:rsidRPr="00A3026E">
        <w:rPr>
          <w:rFonts w:ascii="Times New Roman" w:hAnsi="Times New Roman"/>
          <w:color w:val="000000" w:themeColor="text1"/>
          <w:sz w:val="16"/>
          <w:szCs w:val="16"/>
        </w:rPr>
        <w:softHyphen/>
        <w:t>дины января 1941 года отсутство</w:t>
      </w:r>
      <w:r w:rsidRPr="00A3026E">
        <w:rPr>
          <w:rFonts w:ascii="Times New Roman" w:hAnsi="Times New Roman"/>
          <w:color w:val="000000" w:themeColor="text1"/>
          <w:sz w:val="16"/>
          <w:szCs w:val="16"/>
        </w:rPr>
        <w:softHyphen/>
        <w:t>вал летный экземпляр мотора М-71. Но и поступивший двигатель имел некондиционные магнето и синхро</w:t>
      </w:r>
      <w:r w:rsidRPr="00A3026E">
        <w:rPr>
          <w:rFonts w:ascii="Times New Roman" w:hAnsi="Times New Roman"/>
          <w:color w:val="000000" w:themeColor="text1"/>
          <w:sz w:val="16"/>
          <w:szCs w:val="16"/>
        </w:rPr>
        <w:softHyphen/>
        <w:t>низатор, пригодные только для ра</w:t>
      </w:r>
      <w:r w:rsidRPr="00A3026E">
        <w:rPr>
          <w:rFonts w:ascii="Times New Roman" w:hAnsi="Times New Roman"/>
          <w:color w:val="000000" w:themeColor="text1"/>
          <w:sz w:val="16"/>
          <w:szCs w:val="16"/>
        </w:rPr>
        <w:softHyphen/>
        <w:t>боты на земле (11845).</w:t>
      </w:r>
    </w:p>
    <w:p w14:paraId="7282C0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36C13DD" w14:textId="77777777" w:rsidR="00383FC3" w:rsidRPr="00A3026E" w:rsidRDefault="00383FC3" w:rsidP="00A3026E">
      <w:pPr>
        <w:pStyle w:val="171"/>
        <w:shd w:val="clear" w:color="auto" w:fill="auto"/>
        <w:spacing w:before="0" w:line="240" w:lineRule="auto"/>
        <w:ind w:firstLine="0"/>
        <w:jc w:val="both"/>
        <w:rPr>
          <w:rFonts w:ascii="Times New Roman" w:hAnsi="Times New Roman" w:cs="Times New Roman"/>
          <w:color w:val="0070C0"/>
          <w:sz w:val="16"/>
          <w:szCs w:val="16"/>
        </w:rPr>
      </w:pPr>
      <w:r w:rsidRPr="00A3026E">
        <w:rPr>
          <w:rFonts w:ascii="Times New Roman" w:hAnsi="Times New Roman" w:cs="Times New Roman"/>
          <w:color w:val="0070C0"/>
          <w:sz w:val="16"/>
          <w:szCs w:val="16"/>
        </w:rPr>
        <w:t>14 ноября 1940 приказом по НКАП директор завода №289 Голубков был освобожден от занимаемой должно</w:t>
      </w:r>
      <w:r w:rsidRPr="00A3026E">
        <w:rPr>
          <w:rFonts w:ascii="Times New Roman" w:hAnsi="Times New Roman" w:cs="Times New Roman"/>
          <w:color w:val="0070C0"/>
          <w:sz w:val="16"/>
          <w:szCs w:val="16"/>
        </w:rPr>
        <w:softHyphen/>
        <w:t>сти, а директором и главным конструкто</w:t>
      </w:r>
      <w:r w:rsidRPr="00A3026E">
        <w:rPr>
          <w:rFonts w:ascii="Times New Roman" w:hAnsi="Times New Roman" w:cs="Times New Roman"/>
          <w:color w:val="0070C0"/>
          <w:sz w:val="16"/>
          <w:szCs w:val="16"/>
        </w:rPr>
        <w:softHyphen/>
        <w:t>ром завода стал Сухой (19844).</w:t>
      </w:r>
    </w:p>
    <w:p w14:paraId="7442E424" w14:textId="77777777" w:rsidR="00383FC3" w:rsidRPr="00A3026E" w:rsidRDefault="00383FC3" w:rsidP="00A3026E">
      <w:pPr>
        <w:pStyle w:val="171"/>
        <w:shd w:val="clear" w:color="auto" w:fill="auto"/>
        <w:spacing w:before="0" w:line="240" w:lineRule="auto"/>
        <w:ind w:firstLine="0"/>
        <w:jc w:val="both"/>
        <w:rPr>
          <w:rFonts w:ascii="Times New Roman" w:hAnsi="Times New Roman" w:cs="Times New Roman"/>
          <w:color w:val="0070C0"/>
          <w:sz w:val="16"/>
          <w:szCs w:val="16"/>
        </w:rPr>
      </w:pPr>
    </w:p>
    <w:p w14:paraId="1D21B6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вышел приказ НКАП N 541cc о разворачивании производства ПБ-100 на заводе 450 (416,149) и И200 в Киеве (1312,93).</w:t>
      </w:r>
    </w:p>
    <w:p w14:paraId="315A2E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Наверное было и по другим машинам</w:t>
      </w:r>
    </w:p>
    <w:p w14:paraId="6BC3A34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B5CBF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вышел совместный приказ НКАП и ГУВВС N 640c/0288, в котором было согласовано принять и оформить 70 машин ДБ-240 с моторами М-105, изготовленных 18 заводом по образцу эталона 1 тов. Ермолаева с устраненными дефектами. Допустили к эксплуатации с ограничениями и обязали В.Г.Ермолаева и завод 240 провести заводские испытания по сокращенной программе и 15 декабря 1940 передать на гос. испытания ДБ-240 с М37. НИИ ВВС должен был закончить испытания 5 января 1941. Обязали директора завода 18 к 1 января 1941 изготовить эталон ДБ-240 с М-35А. Обязали В.Г.Ермолаева закончить вариант ДБ-240 с М-40Р к 1 марта 1941 и к 25 марта сдать в НИИ ВВС на гос. испытания (413,32).</w:t>
      </w:r>
    </w:p>
    <w:p w14:paraId="4037EF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w:t>
      </w:r>
    </w:p>
    <w:p w14:paraId="3CE8E0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НАРОДНОМУ КОМИССАРИАТУ АВИАЦИОННОЙ ПРОМЫШЛЕННОСТИ и ГЛАВНОМУ УПРАВЛЕНИЮ ВОЕННЫХ ВОЗДУШНЫХ СИЛ КРАСНОЙ АРМИИ № 640с/0288</w:t>
      </w:r>
    </w:p>
    <w:p w14:paraId="4CE7EF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МОСКВА.</w:t>
      </w:r>
    </w:p>
    <w:p w14:paraId="78E44A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постановлением К.О. от 29.5.с/г. № 236сс утвердить протокол совещания по доводке машины ДБ-240.</w:t>
      </w:r>
    </w:p>
    <w:p w14:paraId="691DFA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Принять и оформить 70 машин ДБ-240 с моторами М-105, изготовленных зав )дом $ 18 по образцу эталона $ 1 конструкции тов* ЕРМОЛАЕВА с устраненными дефектами, согласно утвержден</w:t>
      </w:r>
      <w:r w:rsidRPr="00A3026E">
        <w:rPr>
          <w:rFonts w:ascii="Times New Roman" w:hAnsi="Times New Roman"/>
          <w:color w:val="000000" w:themeColor="text1"/>
          <w:sz w:val="16"/>
          <w:szCs w:val="16"/>
        </w:rPr>
        <w:softHyphen/>
        <w:t>ного перечня.</w:t>
      </w:r>
    </w:p>
    <w:p w14:paraId="3E2835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Самолет ДБ-240 допустить к эксплоатации, ограничив максимальней взлетный вес в 12,000 кг. Работу винтомоторной группы разрешить эксплоатировать при 2400 об/мин,мотора, допуская 2700 об/мин, в короткий промежуток времени до 5-6 минут.</w:t>
      </w:r>
    </w:p>
    <w:p w14:paraId="27A660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Обязать гл.конструктора тов. ЕРМОЛАЕВА и завод № 240 провести заводские испытания по сокращенной программе и 15.ХП.40 г. передать на гос. испытание самолет ДБ-240 с мо</w:t>
      </w:r>
      <w:r w:rsidRPr="00A3026E">
        <w:rPr>
          <w:rFonts w:ascii="Times New Roman" w:hAnsi="Times New Roman"/>
          <w:color w:val="000000" w:themeColor="text1"/>
          <w:sz w:val="16"/>
          <w:szCs w:val="16"/>
        </w:rPr>
        <w:softHyphen/>
        <w:t>тором М-37 - НИИ ВВС Красной Армии.</w:t>
      </w:r>
    </w:p>
    <w:p w14:paraId="34D128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НИИ ВВС КА закончить испытания и дать заключение к 5.1.41 года.</w:t>
      </w:r>
    </w:p>
    <w:p w14:paraId="56FF35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Утвердить для производства заводу № 18 с 71 машины, самолет ДБ-240 с мотором М-35А.</w:t>
      </w:r>
    </w:p>
    <w:p w14:paraId="17A49F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серийного производства чертежами и эталоном, обязать гл. конструктора тов. ЕРМОЛАЕВА и директора завода № 240 тов. ОЗИМКОВА произвести на самолете № 1 монтаж моторов М-35А и отработать чертежи и винтомоторную группу к 1.1.41 г.</w:t>
      </w:r>
    </w:p>
    <w:p w14:paraId="2175AA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директора завода № 18 к 1.1.41 года изготовить эталон машинч ДБ-240 с мотором М-35А, включив все утвержден</w:t>
      </w:r>
      <w:r w:rsidRPr="00A3026E">
        <w:rPr>
          <w:rFonts w:ascii="Times New Roman" w:hAnsi="Times New Roman"/>
          <w:color w:val="000000" w:themeColor="text1"/>
          <w:sz w:val="16"/>
          <w:szCs w:val="16"/>
        </w:rPr>
        <w:softHyphen/>
        <w:t>ные изменения после гос.испытаний.</w:t>
      </w:r>
    </w:p>
    <w:p w14:paraId="3A09C5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Обязать гл. конструктора тов. ЕРМОЛАЕВА закончить вариант самолета ДБ-240 с мотором М-40ф к 1.Ш.41 г. и к 25.Ш.41 г. сдать НИИ ВВС КА на гос. испытания.</w:t>
      </w:r>
    </w:p>
    <w:p w14:paraId="23DB9D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НИИ ВВС КА закончить гос. испытания и дать заключение к 15.4.41 года.</w:t>
      </w:r>
    </w:p>
    <w:p w14:paraId="3B42EC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Гл. конструктору тов. ЕРМОЛАЕВУ по всем утвержденным пунктам замечаний НИИ ВВС после гос. испытаний, принятым с первой машины, дать чертежи заводу № 18 - к 25.Х1.40 г.</w:t>
      </w:r>
    </w:p>
    <w:p w14:paraId="117198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 все изменения, принятые с 71 машины, дать чертежи заводу № 18 - 15.ХП.с.г.</w:t>
      </w:r>
    </w:p>
    <w:p w14:paraId="4DE216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АВИАЦИОННОЙ ПРОМЫШЛЕННОСТИ СССР.</w:t>
      </w:r>
    </w:p>
    <w:p w14:paraId="7594F4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/ШАХУРИН/.</w:t>
      </w:r>
    </w:p>
    <w:p w14:paraId="6E6964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ГУ В.В.С. КА ГЕНЕРАЛ-ЛЕЙТЕНАНТ АВИАЦИИ</w:t>
      </w:r>
    </w:p>
    <w:p w14:paraId="5C4B0F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РЫЧАГОВ (413,22).</w:t>
      </w:r>
    </w:p>
    <w:p w14:paraId="469749C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4F534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г., вскоре после окончания гос. испытаний ДБ-240 2М-105, Ермолаев получил от НКАП указание установить на первый опытный самолет более мощные моторы АМ-35А конструкции А.А.Микулина, с которыми разработчики надеялись заметно улучшить летные данные. Однако в первую очередь предполагалось уменьшить длину разбега и взлетную дистанцию. Двигатель указанного типа был значительно тяжелее М-105 (на 230 кг) и имел больший удельный расход топлива (285-315 г/л.с.хч против 270-288 г/л.с.хч у М-105), что не могло не сказаться на дальности полета. Однако повышенная мощность моторов казалась в тот момент более важной: помимо лучших взлетных характеристик, она должна была обеспечить полет на одном моторе без снижения (при ограниченной полетной массе, разумеется), а также более высокую скорость на маршруте. На самолете смонтировали новые моторамы и усилили центроплан, переделали основные амортстойки с целью установки колес увеличенных размеров (1200х450 мм). Срок предъявления машины на гос. испытания был установлен 1 апреля 1941 г. На этом этапе (середина ноября 1940 г.) предполагали, что к работам подключится и серийный завод N 18, который должен был, начиная с 71-й машины, выпускать ермолаевские бомбардировщики с моторами АМ-35А (3322,29).</w:t>
      </w:r>
    </w:p>
    <w:p w14:paraId="3DF94A7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FAA84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года начальник ГУ ВВС генерал-лейтенант авиации Рычагов утвердил:</w:t>
      </w:r>
    </w:p>
    <w:p w14:paraId="6BB1E6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госиспытаниям опытного двухмоторного бомбардировщика ДБ-240 2М-105</w:t>
      </w:r>
    </w:p>
    <w:p w14:paraId="22E67E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7F7E6F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Отделения 1 отдела НИИ ВВС в/инженер 1 ранга Марков</w:t>
      </w:r>
    </w:p>
    <w:p w14:paraId="30882C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3 ранга Фингеров</w:t>
      </w:r>
    </w:p>
    <w:p w14:paraId="73205B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летчики:</w:t>
      </w:r>
    </w:p>
    <w:p w14:paraId="3B59B9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капитан Дудкин</w:t>
      </w:r>
    </w:p>
    <w:p w14:paraId="7C2501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майор Нюхтиков</w:t>
      </w:r>
    </w:p>
    <w:p w14:paraId="32B774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построен по постановлению КО № 227 от 29 июля 1939 года.</w:t>
      </w:r>
    </w:p>
    <w:p w14:paraId="42F392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Была задана постройка двух экземпляров двухмоторного бомбардировщика дальнего действия. Сроки готовности самолетов были установлены:</w:t>
      </w:r>
    </w:p>
    <w:p w14:paraId="154F69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экземпляр – к 1 апреля 1940 года</w:t>
      </w:r>
    </w:p>
    <w:p w14:paraId="22825A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экземпляр – к 1 мая 1940 года</w:t>
      </w:r>
    </w:p>
    <w:p w14:paraId="7DD416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самолета предъявлен на госиспытания 27 сентября 1940 года.</w:t>
      </w:r>
    </w:p>
    <w:p w14:paraId="4C725B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на госиспытания самолет имеет отступления от тактико-технических требований.</w:t>
      </w:r>
    </w:p>
    <w:p w14:paraId="5A3382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 них следующие:</w:t>
      </w:r>
    </w:p>
    <w:p w14:paraId="051D226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Отсутствует установка под фотоаппарат – АФА-"Б".</w:t>
      </w:r>
    </w:p>
    <w:p w14:paraId="49BE4DA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Отсутствуют антиобледенители крыла, оперения и винтов моторов.</w:t>
      </w:r>
    </w:p>
    <w:p w14:paraId="24B5869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Отсутствует обогрев кабин самолета.</w:t>
      </w:r>
    </w:p>
    <w:p w14:paraId="62F8110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Отсутствует подвеска осветительных бомб.</w:t>
      </w:r>
    </w:p>
    <w:p w14:paraId="61B368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3ACF3AA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соответствие самолета тактико-техническим требованиям.</w:t>
      </w:r>
    </w:p>
    <w:p w14:paraId="3B0AE25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состояние и работу винтомоторной группы.</w:t>
      </w:r>
    </w:p>
    <w:p w14:paraId="2B9A78E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бомбардировочного и стрелкового вооружений.</w:t>
      </w:r>
    </w:p>
    <w:p w14:paraId="601DFAF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электрооборудования и связи.</w:t>
      </w:r>
    </w:p>
    <w:p w14:paraId="7931613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Дать эксплуатационную оценку самолета.</w:t>
      </w:r>
    </w:p>
    <w:p w14:paraId="766A8C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ДБ-240 с двумя моторами М-105 и винтами ВИШ-22Е Д=3,0 м конструкции Ермолаева, производства завода № 240.</w:t>
      </w:r>
    </w:p>
    <w:p w14:paraId="70AF86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Испытываемый самолет представляет из себя цельнометаллический моноплан с крылом "обратной чайки".</w:t>
      </w:r>
    </w:p>
    <w:p w14:paraId="18D605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были начаты 27 сентября 1940 года и закончены 15 октября 1940 года</w:t>
      </w:r>
    </w:p>
    <w:p w14:paraId="659B46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испытания – 19 дней, из них летных дней – 10.</w:t>
      </w:r>
    </w:p>
    <w:p w14:paraId="10FAA0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госиспытаний было произведено 28 полетов продолжительностью 26 час. 40 мин.</w:t>
      </w:r>
    </w:p>
    <w:p w14:paraId="79F766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3123C6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самолет ДБ-240 с двумя моторами М-105 конструкции инженера Ермолаева производства завода № 240 на госиспытаниях показал, что:</w:t>
      </w:r>
    </w:p>
    <w:p w14:paraId="0DA388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самолет имеет неудовлетворительную продольную и недостаточную поперечную устойчивость и весьма большие усилия на штурвал и педали;</w:t>
      </w:r>
    </w:p>
    <w:p w14:paraId="55CB48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самолет имеет большую длину разбега, требующую для эксплуатации самолета в перегрузочном варианте аэродромов размерами 2500х2500 м со взлетной дорожкой 1200-1300 м;</w:t>
      </w:r>
    </w:p>
    <w:p w14:paraId="72B2A4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не доведено стрелковое вооружение, исключающее возможность его нормальной эксплуатации;</w:t>
      </w:r>
    </w:p>
    <w:p w14:paraId="4A58BA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бомбардировочное вооружение не обеспечивает безопасное сбрасывание бомб и не дает возможности разгрузить бомбовый отсек от бомб калибром 250 и 500 кг;</w:t>
      </w:r>
    </w:p>
    <w:p w14:paraId="48F054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перегрев масла и воды, что не обеспечивает нормальную эксплуатацию винтомоторной группы и приводит к снижению летных данных самолета при высоких температурах воздуха у земли,</w:t>
      </w:r>
    </w:p>
    <w:p w14:paraId="46F2DA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также ряд других дефектов, затрудняющих его эксплуатацию.</w:t>
      </w:r>
    </w:p>
    <w:p w14:paraId="6DAB9A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устранения основных дефектов самолет ДБ-240 не может быть допущен для нормальной эксплуатации в строевых частях ВВС.</w:t>
      </w:r>
    </w:p>
    <w:p w14:paraId="6B54C9C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Наряду с перечисленными недостатками, самолет ДБ-240 имеет ряд весьма положительных свойств – хороший обзор из кабин летчика и штурмана, большую емкость бензобаков, возможность подвески внутри фюзеляжа 4-х бомб по 500 кг, хорошую схему оборонительного огня и несложность взлета и посадки.</w:t>
      </w:r>
    </w:p>
    <w:p w14:paraId="2ECD6D6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Наличие у самолета ДБ-240 с моторами М-105 большой длины разбега и низкого потолка указывает, что моторы М-105 для самолета ДБ-240 являются слабыми по своей мощности и высотности. С моторами М-105 самолет ДБ-240 считать переходным к самолету с более мощными моторами.</w:t>
      </w:r>
    </w:p>
    <w:p w14:paraId="19EAAC0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Признать целесообразным постройку самолета ДБ-240 под моторы АМ-35А и в дальнейшем под мотор АМ-37 или под дизель.</w:t>
      </w:r>
    </w:p>
    <w:p w14:paraId="5AD5AD4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экземпляр самолета ДБ-240 2М-105, находящийся в НИИ ВВС, необходимо немедленно передать на завод № 240, с целью установки на него к 15 декабря 1940 года моторов АМ-35А, доводки управляемости самолетом и выявления летно-тактических данных с мотором АМ-35А.</w:t>
      </w:r>
    </w:p>
    <w:p w14:paraId="526573D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Дефекты самолета ДБ-240, выявленные в процессе госиспытаний, подлежат устранению на самолетах ДБ-240 в порядке и по срокам, которые установит командование ГУ ВВС.</w:t>
      </w:r>
    </w:p>
    <w:p w14:paraId="191A64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из самолетов ДБ-240 2М-105 производства завода № 18, с устраненными дефектами, надлежит предъявить в НИИ ВВС на контрольные испытания.</w:t>
      </w:r>
    </w:p>
    <w:p w14:paraId="247E7D6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необходимым поручить гл. конструктору самолета ДБ-240 и директору завода № 18 подготовить на заводе № 18 эталон первого полугодия 1941 года самолета ДБ-240 с моторами АМ-35А, редукция которых должна быть наивыгоднейшая.</w:t>
      </w:r>
    </w:p>
    <w:p w14:paraId="239EABD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быстрейшей доводки и отработки самолета ДБ-240 необходимо провести войсковые испытания самолетов ДБ-240 с моторами М-105, обязав завод № 18 предъявить самолеты ДБ-240 на войсковые испытания к 1 декабря 1940 года.</w:t>
      </w:r>
    </w:p>
    <w:p w14:paraId="193350D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низкое качество заводских испытаний самолета, в результате чего основные дефекты самолета на заводских испытаниях были не вскрыты и должным образом не оценены, что привело к затяжкам в устранении дефектов самолета ДБ-240 (7763).</w:t>
      </w:r>
    </w:p>
    <w:p w14:paraId="60B20E7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29E2DA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года начальник ГУ ВВС генерал-лейтенант авиации Рычагов утвердил Отчет по госиспытаниям опытного двухмоторного бомбардировщика ДБ-240 2М-105</w:t>
      </w:r>
    </w:p>
    <w:p w14:paraId="7EDDB6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1AB705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Отделения 1 отдела НИИ ВВС в/инженер 1 ранга Марков</w:t>
      </w:r>
    </w:p>
    <w:p w14:paraId="7A5953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3 ранга Фингеров</w:t>
      </w:r>
    </w:p>
    <w:p w14:paraId="4FDC11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летчики:</w:t>
      </w:r>
    </w:p>
    <w:p w14:paraId="489A0A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капитан Дудкин</w:t>
      </w:r>
    </w:p>
    <w:p w14:paraId="588D72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майор Нюхтиков</w:t>
      </w:r>
    </w:p>
    <w:p w14:paraId="457604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проводились с 27 сентября до 15 октября 1940 г.</w:t>
      </w:r>
    </w:p>
    <w:p w14:paraId="5BA073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дней - 19, летных дней -10, ремонт - 6, наземные испытания - 3</w:t>
      </w:r>
    </w:p>
    <w:p w14:paraId="35804D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Выполнил 28 полетов и налетал 26:40</w:t>
      </w:r>
    </w:p>
    <w:p w14:paraId="162F4C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Самолет построен по постановлению КО № 227 от 29 июля 1939 года.</w:t>
      </w:r>
    </w:p>
    <w:p w14:paraId="2FA4B4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Была задана постройка двух экземпляров двухмоторного бомбардировщика дальнего действия. Сроки готовности самолетов были установлены:</w:t>
      </w:r>
    </w:p>
    <w:p w14:paraId="5CB2E9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экземпляр – к 1 апреля 1940 года</w:t>
      </w:r>
    </w:p>
    <w:p w14:paraId="56A7FE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экземпляр – к 1 мая 1940 года</w:t>
      </w:r>
    </w:p>
    <w:p w14:paraId="05DD18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DF73A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Признать целесообразнымпостроить с-т ДБ-240 под мотор АМ-35, а в дальнейшем под мотор АМ-37 или под дизель, т.к. мощность мотора недостаточна для данного с-та (727,1)</w:t>
      </w:r>
    </w:p>
    <w:p w14:paraId="609E040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42D8B6E7" w14:textId="77777777" w:rsidR="00D67A2C" w:rsidRPr="00A3026E" w:rsidRDefault="00D67A2C" w:rsidP="00A3026E">
      <w:pPr>
        <w:autoSpaceDE w:val="0"/>
        <w:autoSpaceDN w:val="0"/>
        <w:adjustRightInd w:val="0"/>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14 ноября 1940 года начальник Главного Управления ВВС Красной Армии Павел Васильевич Рычагов утвер</w:t>
      </w:r>
      <w:r w:rsidRPr="00A3026E">
        <w:rPr>
          <w:rFonts w:ascii="Times New Roman" w:hAnsi="Times New Roman"/>
          <w:color w:val="0070C0"/>
          <w:sz w:val="16"/>
          <w:szCs w:val="16"/>
          <w:lang w:eastAsia="ru-RU" w:bidi="ru-RU"/>
        </w:rPr>
        <w:softHyphen/>
        <w:t>дил «Отчет по государственным испытаниям опытного двухмоторного бомбардировщика ДБ-240-2М-105», тем самым подведя итог огромному этапу серьезных работ, начало которых было положено вечером 4 января 1939 года в Кремле в ходе беседы Сталина с оставшимися «на воле» после ареста Роберта Людвиго</w:t>
      </w:r>
      <w:r w:rsidRPr="00A3026E">
        <w:rPr>
          <w:rFonts w:ascii="Times New Roman" w:hAnsi="Times New Roman"/>
          <w:color w:val="0070C0"/>
          <w:sz w:val="16"/>
          <w:szCs w:val="16"/>
          <w:lang w:eastAsia="ru-RU" w:bidi="ru-RU"/>
        </w:rPr>
        <w:softHyphen/>
        <w:t>вича Бартини конструкторами и испытателями пассажирского самолета «Сталь-7». Неожиданно Сталин предложил разработать дальний бомбардировщик именно на его базе (21406).</w:t>
      </w:r>
    </w:p>
    <w:p w14:paraId="0EED92C3" w14:textId="77777777" w:rsidR="00D67A2C" w:rsidRPr="00A3026E" w:rsidRDefault="00D67A2C" w:rsidP="00A3026E">
      <w:pPr>
        <w:autoSpaceDE w:val="0"/>
        <w:autoSpaceDN w:val="0"/>
        <w:adjustRightInd w:val="0"/>
        <w:spacing w:after="0" w:line="240" w:lineRule="auto"/>
        <w:jc w:val="both"/>
        <w:rPr>
          <w:rFonts w:ascii="Times New Roman" w:hAnsi="Times New Roman"/>
          <w:color w:val="0070C0"/>
          <w:sz w:val="16"/>
          <w:szCs w:val="16"/>
        </w:rPr>
      </w:pPr>
    </w:p>
    <w:p w14:paraId="4B240A52"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 xml:space="preserve">14 ноября 1940 года вышел совместный приказ НКАП и ГУ ВВС № </w:t>
      </w:r>
      <w:r w:rsidRPr="00A3026E">
        <w:rPr>
          <w:rFonts w:ascii="Times New Roman" w:hAnsi="Times New Roman"/>
          <w:color w:val="0070C0"/>
          <w:sz w:val="16"/>
          <w:szCs w:val="16"/>
          <w:lang w:bidi="en-US"/>
        </w:rPr>
        <w:t>640</w:t>
      </w:r>
      <w:r w:rsidRPr="00A3026E">
        <w:rPr>
          <w:rFonts w:ascii="Times New Roman" w:hAnsi="Times New Roman"/>
          <w:color w:val="0070C0"/>
          <w:sz w:val="16"/>
          <w:szCs w:val="16"/>
          <w:lang w:val="en-US" w:bidi="en-US"/>
        </w:rPr>
        <w:t>c</w:t>
      </w:r>
      <w:r w:rsidRPr="00A3026E">
        <w:rPr>
          <w:rFonts w:ascii="Times New Roman" w:hAnsi="Times New Roman"/>
          <w:color w:val="0070C0"/>
          <w:sz w:val="16"/>
          <w:szCs w:val="16"/>
          <w:lang w:bidi="en-US"/>
        </w:rPr>
        <w:t xml:space="preserve">/0288: </w:t>
      </w:r>
      <w:r w:rsidRPr="00A3026E">
        <w:rPr>
          <w:rFonts w:ascii="Times New Roman" w:hAnsi="Times New Roman"/>
          <w:color w:val="0070C0"/>
          <w:sz w:val="16"/>
          <w:szCs w:val="16"/>
          <w:lang w:eastAsia="ru-RU" w:bidi="ru-RU"/>
        </w:rPr>
        <w:t>«В соот</w:t>
      </w:r>
      <w:r w:rsidRPr="00A3026E">
        <w:rPr>
          <w:rFonts w:ascii="Times New Roman" w:hAnsi="Times New Roman"/>
          <w:color w:val="0070C0"/>
          <w:sz w:val="16"/>
          <w:szCs w:val="16"/>
          <w:lang w:eastAsia="ru-RU" w:bidi="ru-RU"/>
        </w:rPr>
        <w:softHyphen/>
        <w:t>ветствии с постановлением Комитета Обо</w:t>
      </w:r>
      <w:r w:rsidRPr="00A3026E">
        <w:rPr>
          <w:rFonts w:ascii="Times New Roman" w:hAnsi="Times New Roman"/>
          <w:color w:val="0070C0"/>
          <w:sz w:val="16"/>
          <w:szCs w:val="16"/>
          <w:lang w:eastAsia="ru-RU" w:bidi="ru-RU"/>
        </w:rPr>
        <w:softHyphen/>
        <w:t>роны от 29.5. с/г. № 236ссутвердить про</w:t>
      </w:r>
      <w:r w:rsidRPr="00A3026E">
        <w:rPr>
          <w:rFonts w:ascii="Times New Roman" w:hAnsi="Times New Roman"/>
          <w:color w:val="0070C0"/>
          <w:sz w:val="16"/>
          <w:szCs w:val="16"/>
          <w:lang w:eastAsia="ru-RU" w:bidi="ru-RU"/>
        </w:rPr>
        <w:softHyphen/>
        <w:t>токол совещания по доводке машины ДБ- 240.</w:t>
      </w:r>
    </w:p>
    <w:p w14:paraId="40ACD091" w14:textId="5262682E" w:rsidR="00D67A2C" w:rsidRPr="00A3026E" w:rsidRDefault="00D67A2C" w:rsidP="00A3026E">
      <w:pPr>
        <w:widowControl w:val="0"/>
        <w:tabs>
          <w:tab w:val="left" w:pos="481"/>
        </w:tabs>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1) Принять и оформить 70 машин ДБ-240 с моторами М-105, изготовленных заводом № 18 по образцу эталона № 1 конструкции согласно утвержденного перечня.</w:t>
      </w:r>
    </w:p>
    <w:p w14:paraId="40CA3047" w14:textId="516E4CEC" w:rsidR="00D67A2C" w:rsidRPr="00A3026E" w:rsidRDefault="00D67A2C" w:rsidP="00A3026E">
      <w:pPr>
        <w:widowControl w:val="0"/>
        <w:tabs>
          <w:tab w:val="left" w:pos="490"/>
        </w:tabs>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2) Самолет ДБ-240 допустить к эксплоатации (именно так в 1930-е годы писа</w:t>
      </w:r>
      <w:r w:rsidRPr="00A3026E">
        <w:rPr>
          <w:rFonts w:ascii="Times New Roman" w:hAnsi="Times New Roman"/>
          <w:color w:val="0070C0"/>
          <w:sz w:val="16"/>
          <w:szCs w:val="16"/>
          <w:lang w:eastAsia="ru-RU" w:bidi="ru-RU"/>
        </w:rPr>
        <w:softHyphen/>
        <w:t>ли это слово, в противовес эксплуатации - которая «человека человеком». - Прим. Ред.), ограничив максимальный взлетный вес в 12000 кг. Работу винтомоторной группы разрешить эксплоатировать при 2400 об/мин мотора, допуская 2700 об/мин в короткий промежуток времени до 5-6 минут.</w:t>
      </w:r>
    </w:p>
    <w:p w14:paraId="27AAF953" w14:textId="6059E8F7" w:rsidR="00D67A2C" w:rsidRPr="00A3026E" w:rsidRDefault="00D67A2C" w:rsidP="00A3026E">
      <w:pPr>
        <w:widowControl w:val="0"/>
        <w:tabs>
          <w:tab w:val="left" w:pos="486"/>
        </w:tabs>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3) Обязать главного конструктора тов. Ермолаева и завод № 240 провести заводские испытания по сокращенной программе и 15.ХП.40 г. передать на госиспытание само</w:t>
      </w:r>
      <w:r w:rsidRPr="00A3026E">
        <w:rPr>
          <w:rFonts w:ascii="Times New Roman" w:hAnsi="Times New Roman"/>
          <w:color w:val="0070C0"/>
          <w:sz w:val="16"/>
          <w:szCs w:val="16"/>
          <w:lang w:eastAsia="ru-RU" w:bidi="ru-RU"/>
        </w:rPr>
        <w:softHyphen/>
        <w:t>лет ДБ-240 с мотором М-37 в НИИ ВВС Крас</w:t>
      </w:r>
      <w:r w:rsidRPr="00A3026E">
        <w:rPr>
          <w:rFonts w:ascii="Times New Roman" w:hAnsi="Times New Roman"/>
          <w:color w:val="0070C0"/>
          <w:sz w:val="16"/>
          <w:szCs w:val="16"/>
          <w:lang w:eastAsia="ru-RU" w:bidi="ru-RU"/>
        </w:rPr>
        <w:softHyphen/>
        <w:t>ной Армии. НИИ ВВС КА закончить испыта</w:t>
      </w:r>
      <w:r w:rsidRPr="00A3026E">
        <w:rPr>
          <w:rFonts w:ascii="Times New Roman" w:hAnsi="Times New Roman"/>
          <w:color w:val="0070C0"/>
          <w:sz w:val="16"/>
          <w:szCs w:val="16"/>
          <w:lang w:eastAsia="ru-RU" w:bidi="ru-RU"/>
        </w:rPr>
        <w:softHyphen/>
        <w:t>ния и дать заключение к 5.1.41 года.</w:t>
      </w:r>
    </w:p>
    <w:p w14:paraId="652B9D59" w14:textId="0B024AFB" w:rsidR="00D67A2C" w:rsidRPr="00A3026E" w:rsidRDefault="00D67A2C" w:rsidP="00A3026E">
      <w:pPr>
        <w:widowControl w:val="0"/>
        <w:tabs>
          <w:tab w:val="left" w:pos="481"/>
        </w:tabs>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4) Утвердить для производства заводу № 18 с 71 машины, самолет ДБ-240 с мотором М-35А. Для обеспечения серийного производ</w:t>
      </w:r>
      <w:r w:rsidRPr="00A3026E">
        <w:rPr>
          <w:rFonts w:ascii="Times New Roman" w:hAnsi="Times New Roman"/>
          <w:color w:val="0070C0"/>
          <w:sz w:val="16"/>
          <w:szCs w:val="16"/>
          <w:lang w:eastAsia="ru-RU" w:bidi="ru-RU"/>
        </w:rPr>
        <w:softHyphen/>
        <w:t>ства чертежами и эталоном, обязать глав</w:t>
      </w:r>
      <w:r w:rsidRPr="00A3026E">
        <w:rPr>
          <w:rFonts w:ascii="Times New Roman" w:hAnsi="Times New Roman"/>
          <w:color w:val="0070C0"/>
          <w:sz w:val="16"/>
          <w:szCs w:val="16"/>
          <w:lang w:eastAsia="ru-RU" w:bidi="ru-RU"/>
        </w:rPr>
        <w:softHyphen/>
        <w:t>ного конструктора тов. Ермолаева и дирек</w:t>
      </w:r>
      <w:r w:rsidRPr="00A3026E">
        <w:rPr>
          <w:rFonts w:ascii="Times New Roman" w:hAnsi="Times New Roman"/>
          <w:color w:val="0070C0"/>
          <w:sz w:val="16"/>
          <w:szCs w:val="16"/>
          <w:lang w:eastAsia="ru-RU" w:bidi="ru-RU"/>
        </w:rPr>
        <w:softHyphen/>
        <w:t>тора завода № 240 тов. Озимкова произве</w:t>
      </w:r>
      <w:r w:rsidRPr="00A3026E">
        <w:rPr>
          <w:rFonts w:ascii="Times New Roman" w:hAnsi="Times New Roman"/>
          <w:color w:val="0070C0"/>
          <w:sz w:val="16"/>
          <w:szCs w:val="16"/>
          <w:lang w:eastAsia="ru-RU" w:bidi="ru-RU"/>
        </w:rPr>
        <w:softHyphen/>
        <w:t>сти на самолете № 1 монтаж моторов М- 35А и отработать чертежи и винтомотор</w:t>
      </w:r>
      <w:r w:rsidRPr="00A3026E">
        <w:rPr>
          <w:rFonts w:ascii="Times New Roman" w:hAnsi="Times New Roman"/>
          <w:color w:val="0070C0"/>
          <w:sz w:val="16"/>
          <w:szCs w:val="16"/>
          <w:lang w:eastAsia="ru-RU" w:bidi="ru-RU"/>
        </w:rPr>
        <w:softHyphen/>
        <w:t>ную группу к 1.1.41 г. Обязать директора за</w:t>
      </w:r>
      <w:r w:rsidRPr="00A3026E">
        <w:rPr>
          <w:rFonts w:ascii="Times New Roman" w:hAnsi="Times New Roman"/>
          <w:color w:val="0070C0"/>
          <w:sz w:val="16"/>
          <w:szCs w:val="16"/>
          <w:lang w:eastAsia="ru-RU" w:bidi="ru-RU"/>
        </w:rPr>
        <w:softHyphen/>
        <w:t>вода № 18 к 1.1.41 года изготовить эталон машины ДБ-240 с мотором М-35А, включив все утвержденные изменения после госиспытаний.</w:t>
      </w:r>
    </w:p>
    <w:p w14:paraId="55404203" w14:textId="4040A0CF" w:rsidR="00D67A2C" w:rsidRPr="00A3026E" w:rsidRDefault="00D67A2C" w:rsidP="00A3026E">
      <w:pPr>
        <w:widowControl w:val="0"/>
        <w:tabs>
          <w:tab w:val="left" w:pos="481"/>
        </w:tabs>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 xml:space="preserve">5) Обязать главного конструктора тов. Ермолаева закончить вариант самолета ДБ- 240 с мотором М-40ф к 1.Ш.41 г. и к </w:t>
      </w:r>
      <w:r w:rsidRPr="00A3026E">
        <w:rPr>
          <w:rFonts w:ascii="Times New Roman" w:hAnsi="Times New Roman"/>
          <w:color w:val="0070C0"/>
          <w:sz w:val="16"/>
          <w:szCs w:val="16"/>
          <w:lang w:bidi="en-US"/>
        </w:rPr>
        <w:t>25.</w:t>
      </w:r>
      <w:r w:rsidRPr="00A3026E">
        <w:rPr>
          <w:rFonts w:ascii="Times New Roman" w:hAnsi="Times New Roman"/>
          <w:color w:val="0070C0"/>
          <w:sz w:val="16"/>
          <w:szCs w:val="16"/>
          <w:lang w:val="en-US" w:bidi="en-US"/>
        </w:rPr>
        <w:t>III</w:t>
      </w:r>
      <w:r w:rsidRPr="00A3026E">
        <w:rPr>
          <w:rFonts w:ascii="Times New Roman" w:hAnsi="Times New Roman"/>
          <w:color w:val="0070C0"/>
          <w:sz w:val="16"/>
          <w:szCs w:val="16"/>
          <w:lang w:bidi="en-US"/>
        </w:rPr>
        <w:t xml:space="preserve">.41 </w:t>
      </w:r>
      <w:r w:rsidRPr="00A3026E">
        <w:rPr>
          <w:rFonts w:ascii="Times New Roman" w:hAnsi="Times New Roman"/>
          <w:color w:val="0070C0"/>
          <w:sz w:val="16"/>
          <w:szCs w:val="16"/>
          <w:lang w:eastAsia="ru-RU" w:bidi="ru-RU"/>
        </w:rPr>
        <w:t>г. сдать НИИ ВВС КА на госиспытания. НИИ</w:t>
      </w:r>
    </w:p>
    <w:p w14:paraId="1D314F66"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ВВС КА закончить госиспытания и дать за</w:t>
      </w:r>
      <w:r w:rsidRPr="00A3026E">
        <w:rPr>
          <w:rFonts w:ascii="Times New Roman" w:hAnsi="Times New Roman"/>
          <w:color w:val="0070C0"/>
          <w:sz w:val="16"/>
          <w:szCs w:val="16"/>
          <w:lang w:eastAsia="ru-RU" w:bidi="ru-RU"/>
        </w:rPr>
        <w:softHyphen/>
        <w:t>ключение к 15.4.41 года.</w:t>
      </w:r>
    </w:p>
    <w:p w14:paraId="07BFBB86" w14:textId="77777777" w:rsidR="00D67A2C" w:rsidRPr="00A3026E" w:rsidRDefault="00D67A2C" w:rsidP="00A3026E">
      <w:pPr>
        <w:autoSpaceDE w:val="0"/>
        <w:autoSpaceDN w:val="0"/>
        <w:adjustRightInd w:val="0"/>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Главному конструктору тов. Ермолае</w:t>
      </w:r>
      <w:r w:rsidRPr="00A3026E">
        <w:rPr>
          <w:rFonts w:ascii="Times New Roman" w:hAnsi="Times New Roman"/>
          <w:color w:val="0070C0"/>
          <w:sz w:val="16"/>
          <w:szCs w:val="16"/>
          <w:lang w:eastAsia="ru-RU" w:bidi="ru-RU"/>
        </w:rPr>
        <w:softHyphen/>
        <w:t>ву по всем утвержденным пунктам замеча</w:t>
      </w:r>
      <w:r w:rsidRPr="00A3026E">
        <w:rPr>
          <w:rFonts w:ascii="Times New Roman" w:hAnsi="Times New Roman"/>
          <w:color w:val="0070C0"/>
          <w:sz w:val="16"/>
          <w:szCs w:val="16"/>
          <w:lang w:eastAsia="ru-RU" w:bidi="ru-RU"/>
        </w:rPr>
        <w:softHyphen/>
        <w:t>ний НИИ ВВС после гос. испытаний, приня</w:t>
      </w:r>
      <w:r w:rsidRPr="00A3026E">
        <w:rPr>
          <w:rFonts w:ascii="Times New Roman" w:hAnsi="Times New Roman"/>
          <w:color w:val="0070C0"/>
          <w:sz w:val="16"/>
          <w:szCs w:val="16"/>
          <w:lang w:eastAsia="ru-RU" w:bidi="ru-RU"/>
        </w:rPr>
        <w:softHyphen/>
        <w:t xml:space="preserve">тым с первой машины, дать чертежи заводу № 18 - к </w:t>
      </w:r>
      <w:r w:rsidRPr="00A3026E">
        <w:rPr>
          <w:rFonts w:ascii="Times New Roman" w:hAnsi="Times New Roman"/>
          <w:color w:val="0070C0"/>
          <w:sz w:val="16"/>
          <w:szCs w:val="16"/>
          <w:lang w:bidi="en-US"/>
        </w:rPr>
        <w:t>25.</w:t>
      </w:r>
      <w:r w:rsidRPr="00A3026E">
        <w:rPr>
          <w:rFonts w:ascii="Times New Roman" w:hAnsi="Times New Roman"/>
          <w:color w:val="0070C0"/>
          <w:sz w:val="16"/>
          <w:szCs w:val="16"/>
          <w:lang w:val="en-US" w:bidi="en-US"/>
        </w:rPr>
        <w:t>XI</w:t>
      </w:r>
      <w:r w:rsidRPr="00A3026E">
        <w:rPr>
          <w:rFonts w:ascii="Times New Roman" w:hAnsi="Times New Roman"/>
          <w:color w:val="0070C0"/>
          <w:sz w:val="16"/>
          <w:szCs w:val="16"/>
          <w:lang w:bidi="en-US"/>
        </w:rPr>
        <w:t xml:space="preserve">.40 </w:t>
      </w:r>
      <w:r w:rsidRPr="00A3026E">
        <w:rPr>
          <w:rFonts w:ascii="Times New Roman" w:hAnsi="Times New Roman"/>
          <w:color w:val="0070C0"/>
          <w:sz w:val="16"/>
          <w:szCs w:val="16"/>
          <w:lang w:eastAsia="ru-RU" w:bidi="ru-RU"/>
        </w:rPr>
        <w:t>г. На все изменения, приня</w:t>
      </w:r>
      <w:r w:rsidRPr="00A3026E">
        <w:rPr>
          <w:rFonts w:ascii="Times New Roman" w:hAnsi="Times New Roman"/>
          <w:color w:val="0070C0"/>
          <w:sz w:val="16"/>
          <w:szCs w:val="16"/>
          <w:lang w:eastAsia="ru-RU" w:bidi="ru-RU"/>
        </w:rPr>
        <w:softHyphen/>
        <w:t>тые с 71 машины, дать чертежи заводу № 18 - 15.ХП.с/г» (21406).</w:t>
      </w:r>
    </w:p>
    <w:p w14:paraId="6189B162" w14:textId="77777777" w:rsidR="00D67A2C" w:rsidRPr="00A3026E" w:rsidRDefault="00D67A2C" w:rsidP="00A3026E">
      <w:pPr>
        <w:autoSpaceDE w:val="0"/>
        <w:autoSpaceDN w:val="0"/>
        <w:adjustRightInd w:val="0"/>
        <w:spacing w:after="0" w:line="240" w:lineRule="auto"/>
        <w:jc w:val="both"/>
        <w:rPr>
          <w:rFonts w:ascii="Times New Roman" w:hAnsi="Times New Roman"/>
          <w:color w:val="0070C0"/>
          <w:sz w:val="16"/>
          <w:szCs w:val="16"/>
        </w:rPr>
      </w:pPr>
    </w:p>
    <w:p w14:paraId="290D42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14 ноября 1940, несмотря на то, что погода была вполне благоприятной, на ОКО-ббис удалось выполнить всего пять испытатель</w:t>
      </w:r>
      <w:r w:rsidRPr="00A3026E">
        <w:rPr>
          <w:rFonts w:ascii="Times New Roman" w:hAnsi="Times New Roman"/>
          <w:color w:val="000000" w:themeColor="text1"/>
          <w:sz w:val="16"/>
          <w:szCs w:val="16"/>
        </w:rPr>
        <w:softHyphen/>
        <w:t>ных полетов с суммарным налетом 3 ч.</w:t>
      </w:r>
    </w:p>
    <w:p w14:paraId="7CB95C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Дело в том, что летчик-испытатель Емельянов одновременно был задейство</w:t>
      </w:r>
      <w:r w:rsidRPr="00A3026E">
        <w:rPr>
          <w:rFonts w:ascii="Times New Roman" w:hAnsi="Times New Roman"/>
          <w:color w:val="000000" w:themeColor="text1"/>
          <w:sz w:val="16"/>
          <w:szCs w:val="16"/>
        </w:rPr>
        <w:softHyphen/>
        <w:t>ван еще на двух опытных самолетах. В частности, в ноябре он летал на само</w:t>
      </w:r>
      <w:r w:rsidRPr="00A3026E">
        <w:rPr>
          <w:rFonts w:ascii="Times New Roman" w:hAnsi="Times New Roman"/>
          <w:color w:val="000000" w:themeColor="text1"/>
          <w:sz w:val="16"/>
          <w:szCs w:val="16"/>
        </w:rPr>
        <w:softHyphen/>
        <w:t>лете ББ-1 Сухого вместо выполнения программы заводских испытаний ОКО- ббис.</w:t>
      </w:r>
    </w:p>
    <w:p w14:paraId="6E2480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Ведущий инженер по самолету от НИИ ВВС военинженер 1-го ранга И.Г. Лазарев был вынужден обратиться непосред</w:t>
      </w:r>
      <w:r w:rsidRPr="00A3026E">
        <w:rPr>
          <w:rFonts w:ascii="Times New Roman" w:hAnsi="Times New Roman"/>
          <w:color w:val="000000" w:themeColor="text1"/>
          <w:sz w:val="16"/>
          <w:szCs w:val="16"/>
        </w:rPr>
        <w:softHyphen/>
        <w:t>ственно к начальнику 8-й лаборатории ЦАГИ А.В. Чесалову с требованием возвратить Емелья</w:t>
      </w:r>
      <w:r w:rsidRPr="00A3026E">
        <w:rPr>
          <w:rFonts w:ascii="Times New Roman" w:hAnsi="Times New Roman"/>
          <w:color w:val="000000" w:themeColor="text1"/>
          <w:sz w:val="16"/>
          <w:szCs w:val="16"/>
        </w:rPr>
        <w:softHyphen/>
        <w:t>нова и сделать все возможное, чтобы не допустить срыва летных испытаний боевого самолета, в котором очень заинтересованы ВВС. После весьма «напряженной» беседы с Лазаревым, Чесалов обещал «переключить летчика Емельянова целиком на самолет ОКО-ббис». Как показали дальнейшие события, своего обещания Чесалов не выполнил. Емельянов продолжал при</w:t>
      </w:r>
      <w:r w:rsidRPr="00A3026E">
        <w:rPr>
          <w:rFonts w:ascii="Times New Roman" w:hAnsi="Times New Roman"/>
          <w:color w:val="000000" w:themeColor="text1"/>
          <w:sz w:val="16"/>
          <w:szCs w:val="16"/>
        </w:rPr>
        <w:softHyphen/>
        <w:t>влекаться к полетам на других самолетах в ущерб программе ОКО-ббис.</w:t>
      </w:r>
    </w:p>
    <w:p w14:paraId="096E4E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первых полетов ОКО-ббис исследовался на бафтинг и флаттер. Ни того, ни другого не обнаружили. При полете на флаттер скорость самолета при пикировании с высоты 5000 м до 4000 м доводилась до 575 км/ч по прибору. Опре</w:t>
      </w:r>
      <w:r w:rsidRPr="00A3026E">
        <w:rPr>
          <w:rFonts w:ascii="Times New Roman" w:hAnsi="Times New Roman"/>
          <w:color w:val="000000" w:themeColor="text1"/>
          <w:sz w:val="16"/>
          <w:szCs w:val="16"/>
        </w:rPr>
        <w:softHyphen/>
        <w:t>делили 1-ю границу высотности и сняли балансировочные кривые. На приборной скорости менее 300 км/ч продольная устойчивость оказалась недостаточной. Отмечались большие нагрузки на органы управления. Обнаружилась значительная разница в величине нагрузки на ручку управления (8-10 кг) между моторным и безмоторным полетом. При одном работающем моторе самолет допускал полет без снижения.</w:t>
      </w:r>
    </w:p>
    <w:p w14:paraId="67CE30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25 ноября было выполнено еще два полета. Определялась максимальная скорость по высотам полета. Скорость у земли с учетом всех поправок получилась равной 470 км/ч.</w:t>
      </w:r>
    </w:p>
    <w:p w14:paraId="6C2A41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Произвели отстрел стрелково- пушечного вооружения в тире. Из каждой пушки и пулемета выпустили по одному боекомплекту. Обнаружились незначи</w:t>
      </w:r>
      <w:r w:rsidRPr="00A3026E">
        <w:rPr>
          <w:rFonts w:ascii="Times New Roman" w:hAnsi="Times New Roman"/>
          <w:color w:val="000000" w:themeColor="text1"/>
          <w:sz w:val="16"/>
          <w:szCs w:val="16"/>
        </w:rPr>
        <w:softHyphen/>
        <w:t>тельные огрехи монтажа оружия и системы управления огнем, но в целом вооружение работало нормально.</w:t>
      </w:r>
    </w:p>
    <w:p w14:paraId="2C1D04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самолет облетал летчик- испытатель Ю.К. Станкевич, который летал и на ОКО-6. По его мнению, «бис» был значительно более устойчив, чем его предшественник. Нагрузки на руль высоты выше, особенно при изменении режима полета. При перекладывании из одного виража в другой самолет на действие рулей реагировал медленно:</w:t>
      </w:r>
      <w:r w:rsidRPr="00A3026E">
        <w:rPr>
          <w:rStyle w:val="aff6"/>
          <w:rFonts w:ascii="Times New Roman" w:hAnsi="Times New Roman" w:cs="Times New Roman"/>
          <w:i w:val="0"/>
          <w:color w:val="000000" w:themeColor="text1"/>
        </w:rPr>
        <w:t xml:space="preserve"> «чувствуется также нагрузка</w:t>
      </w:r>
      <w:r w:rsidRPr="00A3026E">
        <w:rPr>
          <w:rFonts w:ascii="Times New Roman" w:hAnsi="Times New Roman"/>
          <w:color w:val="000000" w:themeColor="text1"/>
          <w:sz w:val="16"/>
          <w:szCs w:val="16"/>
        </w:rPr>
        <w:t>, а</w:t>
      </w:r>
      <w:r w:rsidRPr="00A3026E">
        <w:rPr>
          <w:rStyle w:val="aff6"/>
          <w:rFonts w:ascii="Times New Roman" w:hAnsi="Times New Roman" w:cs="Times New Roman"/>
          <w:i w:val="0"/>
          <w:color w:val="000000" w:themeColor="text1"/>
        </w:rPr>
        <w:t xml:space="preserve"> вместе с ней недостаточная </w:t>
      </w:r>
      <w:r w:rsidRPr="00A3026E">
        <w:rPr>
          <w:rStyle w:val="8MicrosoftSansSerif8pt"/>
          <w:rFonts w:ascii="Times New Roman" w:hAnsi="Times New Roman" w:cs="Times New Roman"/>
          <w:i w:val="0"/>
          <w:color w:val="000000" w:themeColor="text1"/>
          <w:lang w:val="ru-RU"/>
        </w:rPr>
        <w:t>для</w:t>
      </w:r>
      <w:r w:rsidRPr="00A3026E">
        <w:rPr>
          <w:rStyle w:val="81"/>
          <w:rFonts w:ascii="Times New Roman" w:hAnsi="Times New Roman" w:cs="Times New Roman"/>
          <w:color w:val="000000" w:themeColor="text1"/>
        </w:rPr>
        <w:t xml:space="preserve"> истребителя энергичность пере</w:t>
      </w:r>
      <w:r w:rsidRPr="00A3026E">
        <w:rPr>
          <w:rStyle w:val="81"/>
          <w:rFonts w:ascii="Times New Roman" w:hAnsi="Times New Roman" w:cs="Times New Roman"/>
          <w:color w:val="000000" w:themeColor="text1"/>
        </w:rPr>
        <w:softHyphen/>
        <w:t>кладывания».</w:t>
      </w:r>
    </w:p>
    <w:p w14:paraId="7041D5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этот день повторно отстреляли в тире все вооружение. После устранения выявленных дефектов, пушки и пулеметы работали хорошо, отказов не было.</w:t>
      </w:r>
    </w:p>
    <w:p w14:paraId="28B006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следует из сводки НИИ ВВС по опытным работам, для завершения заводских испытаний ОКО-ббис 2М-88р необходимо было 6-7 летных дней для исследования устойчивости самолета, его маневренности, испытаний вооружения в воздухе и пикирование.</w:t>
      </w:r>
    </w:p>
    <w:p w14:paraId="04057B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этому дню официально завершился второй этап заводских испытаний первого экземпляра ОКО-6 2М-88б/р. Вследствие недостаточной максимальной скорости и устойчивости было принято решение не предъявлять самолет на государственные испытания, а использовать машину в интересах испытаний второго экземпляра ОКО-ббис 2М-88р, в том числе, для отра</w:t>
      </w:r>
      <w:r w:rsidRPr="00A3026E">
        <w:rPr>
          <w:rFonts w:ascii="Times New Roman" w:hAnsi="Times New Roman"/>
          <w:color w:val="000000" w:themeColor="text1"/>
          <w:sz w:val="16"/>
          <w:szCs w:val="16"/>
        </w:rPr>
        <w:softHyphen/>
        <w:t>ботки реактивных выхлопных патрубков, бомбодержателей, ракетного оружия. Как следует из документов, после отработки реактивных выхлопных патрубков само</w:t>
      </w:r>
      <w:r w:rsidRPr="00A3026E">
        <w:rPr>
          <w:rFonts w:ascii="Times New Roman" w:hAnsi="Times New Roman"/>
          <w:color w:val="000000" w:themeColor="text1"/>
          <w:sz w:val="16"/>
          <w:szCs w:val="16"/>
        </w:rPr>
        <w:softHyphen/>
        <w:t>лет планировалось</w:t>
      </w:r>
      <w:r w:rsidRPr="00A3026E">
        <w:rPr>
          <w:rStyle w:val="aff6"/>
          <w:rFonts w:ascii="Times New Roman" w:hAnsi="Times New Roman" w:cs="Times New Roman"/>
          <w:i w:val="0"/>
          <w:color w:val="000000" w:themeColor="text1"/>
        </w:rPr>
        <w:t xml:space="preserve"> «поставить в цех для модификации под новую винтомоторную группу - мотор М-90».</w:t>
      </w:r>
      <w:r w:rsidRPr="00A3026E">
        <w:rPr>
          <w:rFonts w:ascii="Times New Roman" w:hAnsi="Times New Roman"/>
          <w:color w:val="000000" w:themeColor="text1"/>
          <w:sz w:val="16"/>
          <w:szCs w:val="16"/>
        </w:rPr>
        <w:t xml:space="preserve"> Ожидалось, что после замены моторов (в масле обнаружена металлическая стружка) ОКО-6 будет готов к полетам 10 декабря.</w:t>
      </w:r>
    </w:p>
    <w:p w14:paraId="615F9E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 же время на ОКО-ббис усилили каркасы коков винтов, так как на них появи</w:t>
      </w:r>
      <w:r w:rsidRPr="00A3026E">
        <w:rPr>
          <w:rFonts w:ascii="Times New Roman" w:hAnsi="Times New Roman"/>
          <w:color w:val="000000" w:themeColor="text1"/>
          <w:sz w:val="16"/>
          <w:szCs w:val="16"/>
        </w:rPr>
        <w:softHyphen/>
        <w:t>лись трещины. На выхлопные патрубки установили специальные реактивные насадки. Рассчитывали получить прибавку в скорости полета. Одновременно смонтиро</w:t>
      </w:r>
      <w:r w:rsidRPr="00A3026E">
        <w:rPr>
          <w:rFonts w:ascii="Times New Roman" w:hAnsi="Times New Roman"/>
          <w:color w:val="000000" w:themeColor="text1"/>
          <w:sz w:val="16"/>
          <w:szCs w:val="16"/>
        </w:rPr>
        <w:softHyphen/>
        <w:t>вали бомбодержатель для подвески 500-кг бомбы и электропроводку управления сбросом бомб.</w:t>
      </w:r>
    </w:p>
    <w:p w14:paraId="2C40A1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обработке результатов предыду</w:t>
      </w:r>
      <w:r w:rsidRPr="00A3026E">
        <w:rPr>
          <w:rFonts w:ascii="Times New Roman" w:hAnsi="Times New Roman"/>
          <w:color w:val="000000" w:themeColor="text1"/>
          <w:sz w:val="16"/>
          <w:szCs w:val="16"/>
        </w:rPr>
        <w:softHyphen/>
        <w:t>щих полетов обнаружился исключительно большой разброс точек скорости, не позволявший построить кривые скорости по высотам. Предположили, что причина заключается в негерметичности испы</w:t>
      </w:r>
      <w:r w:rsidRPr="00A3026E">
        <w:rPr>
          <w:rFonts w:ascii="Times New Roman" w:hAnsi="Times New Roman"/>
          <w:color w:val="000000" w:themeColor="text1"/>
          <w:sz w:val="16"/>
          <w:szCs w:val="16"/>
        </w:rPr>
        <w:softHyphen/>
        <w:t>тательной аппаратуры, которая привела к ошибкам тарировочной кривой. Для выяснения истинных причин требовалось повторить все полеты на определение максимальных скоростей по высотам полета. Ведущему инженеру по самолету В.М. Елагину пришлось докладывать наверх, что программа летных испытаний на 6 декабря отработана только на 30-35% (выполнены полеты на устойчивость, кило</w:t>
      </w:r>
      <w:r w:rsidRPr="00A3026E">
        <w:rPr>
          <w:rFonts w:ascii="Times New Roman" w:hAnsi="Times New Roman"/>
          <w:color w:val="000000" w:themeColor="text1"/>
          <w:sz w:val="16"/>
          <w:szCs w:val="16"/>
        </w:rPr>
        <w:softHyphen/>
        <w:t>метраж, на дальность, скорости по высотам не обработаны). Однако возможность уложиться в заданные сроки окончания заводских испытаний еще оставалась.</w:t>
      </w:r>
    </w:p>
    <w:p w14:paraId="468E56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23 декабря были проведены дополни</w:t>
      </w:r>
      <w:r w:rsidRPr="00A3026E">
        <w:rPr>
          <w:rFonts w:ascii="Times New Roman" w:hAnsi="Times New Roman"/>
          <w:color w:val="000000" w:themeColor="text1"/>
          <w:sz w:val="16"/>
          <w:szCs w:val="16"/>
        </w:rPr>
        <w:softHyphen/>
        <w:t>тельные полеты на определение скорости по высотам, взлетно-посадочных свойств и повторно снята балансировочная кривая. Удалось установить, что причиной раз</w:t>
      </w:r>
      <w:r w:rsidRPr="00A3026E">
        <w:rPr>
          <w:rFonts w:ascii="Times New Roman" w:hAnsi="Times New Roman"/>
          <w:color w:val="000000" w:themeColor="text1"/>
          <w:sz w:val="16"/>
          <w:szCs w:val="16"/>
        </w:rPr>
        <w:softHyphen/>
        <w:t>броса точек максимальной скорости по высотам являлось различное положение юбок моторных капотов, которые само</w:t>
      </w:r>
      <w:r w:rsidRPr="00A3026E">
        <w:rPr>
          <w:rFonts w:ascii="Times New Roman" w:hAnsi="Times New Roman"/>
          <w:color w:val="000000" w:themeColor="text1"/>
          <w:sz w:val="16"/>
          <w:szCs w:val="16"/>
        </w:rPr>
        <w:softHyphen/>
        <w:t>произвольно смещались в полете при определении скоростей, а вовсе не неис</w:t>
      </w:r>
      <w:r w:rsidRPr="00A3026E">
        <w:rPr>
          <w:rFonts w:ascii="Times New Roman" w:hAnsi="Times New Roman"/>
          <w:color w:val="000000" w:themeColor="text1"/>
          <w:sz w:val="16"/>
          <w:szCs w:val="16"/>
        </w:rPr>
        <w:softHyphen/>
        <w:t>правность испытательной аппаратуры, как считалось ранее. Замеренные после устранения дефекта скорости полета и скороподъемности почти совпали с расчет</w:t>
      </w:r>
      <w:r w:rsidRPr="00A3026E">
        <w:rPr>
          <w:rFonts w:ascii="Times New Roman" w:hAnsi="Times New Roman"/>
          <w:color w:val="000000" w:themeColor="text1"/>
          <w:sz w:val="16"/>
          <w:szCs w:val="16"/>
        </w:rPr>
        <w:softHyphen/>
        <w:t>ными значениями.Балансировочная кривая имела такой же вид, что и полученная до этого. Посадочная скорость получилась равной 135 км/ч.</w:t>
      </w:r>
    </w:p>
    <w:p w14:paraId="5D8733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был установлен дополни</w:t>
      </w:r>
      <w:r w:rsidRPr="00A3026E">
        <w:rPr>
          <w:rFonts w:ascii="Times New Roman" w:hAnsi="Times New Roman"/>
          <w:color w:val="000000" w:themeColor="text1"/>
          <w:sz w:val="16"/>
          <w:szCs w:val="16"/>
        </w:rPr>
        <w:softHyphen/>
        <w:t>тельный фюзеляжный бензобак емкостью 467 л, но в воздухе его так и не опробовали. Изменили схему управления пушечным огнем, после чего испытали (в третий раз) все вооружение стрельбой в тире и затем в воздухе. Стреляли по щитам на НИП АВ ВВС. Задержек и отказов не было.</w:t>
      </w:r>
    </w:p>
    <w:p w14:paraId="26E17A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ОКО-ббис к этому времени было выполнено 28 полетов с суммарным нале</w:t>
      </w:r>
      <w:r w:rsidRPr="00A3026E">
        <w:rPr>
          <w:rFonts w:ascii="Times New Roman" w:hAnsi="Times New Roman"/>
          <w:color w:val="000000" w:themeColor="text1"/>
          <w:sz w:val="16"/>
          <w:szCs w:val="16"/>
        </w:rPr>
        <w:softHyphen/>
        <w:t>том 16 ч, из них 11 полетов на определение взлетно-посадочных свойств самолета. За время полетов никаких крупных дефектов не наблюдалось. По программе испытаний оставались полеты: на маневренность, устойчивость с предельно задней цен</w:t>
      </w:r>
      <w:r w:rsidRPr="00A3026E">
        <w:rPr>
          <w:rFonts w:ascii="Times New Roman" w:hAnsi="Times New Roman"/>
          <w:color w:val="000000" w:themeColor="text1"/>
          <w:sz w:val="16"/>
          <w:szCs w:val="16"/>
        </w:rPr>
        <w:softHyphen/>
        <w:t>тровкой, на пикирование и на определение скоростей и скороподъемности до 9000 м. Всего требовалось выполнить 6-7 полетов. Как докладывал помощник ведущего инже</w:t>
      </w:r>
      <w:r w:rsidRPr="00A3026E">
        <w:rPr>
          <w:rFonts w:ascii="Times New Roman" w:hAnsi="Times New Roman"/>
          <w:color w:val="000000" w:themeColor="text1"/>
          <w:sz w:val="16"/>
          <w:szCs w:val="16"/>
        </w:rPr>
        <w:softHyphen/>
        <w:t>нера по самолету от НИИ ВВС военинженер 3-го ранга Николаев, «срок окончания заводских испытаний может быть обе</w:t>
      </w:r>
      <w:r w:rsidRPr="00A3026E">
        <w:rPr>
          <w:rFonts w:ascii="Times New Roman" w:hAnsi="Times New Roman"/>
          <w:color w:val="000000" w:themeColor="text1"/>
          <w:sz w:val="16"/>
          <w:szCs w:val="16"/>
        </w:rPr>
        <w:softHyphen/>
        <w:t>спечен при наличии летной погоды».</w:t>
      </w:r>
    </w:p>
    <w:p w14:paraId="332081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следующей недели удалось выполнить шесть полетов. Определили скорости горизонтального полета и скороподъемность до высоты 9000 м. Сняли балансировочные кривые при предельно задней центровке самолета. Исследовали «бис» на штопор и виражи с открытым фонарем (для этого сняли колпак фонаря). Выполнили полет с подвесными бензобаками.</w:t>
      </w:r>
    </w:p>
    <w:p w14:paraId="0104AB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полетах выяснилось, что самолет в штопор входит неохотно и выходит из него без задержки. Ввод в штоп'ор выполнялся на высоте 5000 м на скорости 170-180 км/ч. На виражах, «очевидно из-за отсутствия фонаря летчика, имелись потряхивания». Нагрузки на руль высоты по-прежнему были значительными. Полученные данные по расходам горючего позволяли сделать вывод, что дальность полета в 1200 км для самолета вполне реальная.</w:t>
      </w:r>
    </w:p>
    <w:p w14:paraId="2B3B6D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31 декабря при выполнении полета на фигуры пилотажа - виражи, боевые развороты, перевороты, бочки и т.д., установили что при виражах на малой ско</w:t>
      </w:r>
      <w:r w:rsidRPr="00A3026E">
        <w:rPr>
          <w:rFonts w:ascii="Times New Roman" w:hAnsi="Times New Roman"/>
          <w:color w:val="000000" w:themeColor="text1"/>
          <w:sz w:val="16"/>
          <w:szCs w:val="16"/>
        </w:rPr>
        <w:softHyphen/>
        <w:t>рости наблюдаются значительные нагрузки на элероны. В конце полета на фигуры обрезало мотор. Летчик благополучно произвел вынужденную посадку на аэро</w:t>
      </w:r>
      <w:r w:rsidRPr="00A3026E">
        <w:rPr>
          <w:rFonts w:ascii="Times New Roman" w:hAnsi="Times New Roman"/>
          <w:color w:val="000000" w:themeColor="text1"/>
          <w:sz w:val="16"/>
          <w:szCs w:val="16"/>
        </w:rPr>
        <w:softHyphen/>
        <w:t>дром Быково. Как оказалось, Емельянов забыл переключиться на фюзеляжный бензобак. В результате бензин перестал поступать в карбюратор. Перелететь на аэродром Раменское удалось только 6 января следующего года. До завершения программы оставалось выполнить еще только два полета - на пикирование и отстрел вооружения.</w:t>
      </w:r>
    </w:p>
    <w:p w14:paraId="21E2F8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января 1941 г. программа полетов была полностью выполнена и заводские испытания официально завершили. К этому времени самолет налетал около 30 ч (всего 38 полетов). Помимо А.И. Емельянова и Ю.К. Станкевича, самолет облетали А.Б. Юмашев и Н.В. Гаврилов.</w:t>
      </w:r>
    </w:p>
    <w:p w14:paraId="1B5B61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полета соста</w:t>
      </w:r>
      <w:r w:rsidRPr="00A3026E">
        <w:rPr>
          <w:rFonts w:ascii="Times New Roman" w:hAnsi="Times New Roman"/>
          <w:color w:val="000000" w:themeColor="text1"/>
          <w:sz w:val="16"/>
          <w:szCs w:val="16"/>
        </w:rPr>
        <w:softHyphen/>
        <w:t>вила 595 км/ч - на 2-й границе высотности 7200 м, 575 км/ч - на 1 -й границе высотно</w:t>
      </w:r>
      <w:r w:rsidRPr="00A3026E">
        <w:rPr>
          <w:rFonts w:ascii="Times New Roman" w:hAnsi="Times New Roman"/>
          <w:color w:val="000000" w:themeColor="text1"/>
          <w:sz w:val="16"/>
          <w:szCs w:val="16"/>
        </w:rPr>
        <w:softHyphen/>
        <w:t>сти 5000 м, и 470 км/ч - у земли. Посадочная скорость - 144 км/ч. Время подъема на высоту 5000 м - 6,3 мин. Практический потолок - 10000 м. Дальность на высоте 1000 м на скорости 0,9 максимальной скорости - 1200 км. Разбег с бетона с выпущенными на 23° щитками - 324 м. Про</w:t>
      </w:r>
      <w:r w:rsidRPr="00A3026E">
        <w:rPr>
          <w:rFonts w:ascii="Times New Roman" w:hAnsi="Times New Roman"/>
          <w:color w:val="000000" w:themeColor="text1"/>
          <w:sz w:val="16"/>
          <w:szCs w:val="16"/>
        </w:rPr>
        <w:softHyphen/>
        <w:t>бег по бетону с использованием тормозов и с отклоненными на 45° щитками - 406 м.</w:t>
      </w:r>
    </w:p>
    <w:p w14:paraId="1BB623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самолета составлял около 5 т.</w:t>
      </w:r>
    </w:p>
    <w:p w14:paraId="35808A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качестве основных недостатков самолета отмечались следующие. Большие нагрузки на рули высоты и элероны. Тугое управление триммерами рулей высоты и направления, а также юбками капота мотора на высоте 8000-9000 м. Отсасывание в полете щитков. Самопро</w:t>
      </w:r>
      <w:r w:rsidRPr="00A3026E">
        <w:rPr>
          <w:rFonts w:ascii="Times New Roman" w:hAnsi="Times New Roman"/>
          <w:color w:val="000000" w:themeColor="text1"/>
          <w:sz w:val="16"/>
          <w:szCs w:val="16"/>
        </w:rPr>
        <w:softHyphen/>
        <w:t>извольное перемещение в полете секторов газа, высотного корректора и управления винтами, которые плохо фиксировались. Неудовлетворительная работа автоматов высотных корректоров. При стрельбе из пушек и пулеметов пороховые газы проникали в кабину летчика. Кроме того, отстрелянные гильзы пулеметов попадали по винтам. К концу испытаний в выхлоп</w:t>
      </w:r>
      <w:r w:rsidRPr="00A3026E">
        <w:rPr>
          <w:rFonts w:ascii="Times New Roman" w:hAnsi="Times New Roman"/>
          <w:color w:val="000000" w:themeColor="text1"/>
          <w:sz w:val="16"/>
          <w:szCs w:val="16"/>
        </w:rPr>
        <w:softHyphen/>
        <w:t>ных коллекторах моторов образовались трещины (12614).</w:t>
      </w:r>
    </w:p>
    <w:p w14:paraId="1F43828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BF3B1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начались заводские испытания ББ МАИ М-105 (2090,232).</w:t>
      </w:r>
    </w:p>
    <w:p w14:paraId="4EE9FBB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16A44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года была подготовлена Сравнительная таблица летно-технических данных двухмоторных бомбардировщиков с моторами М105.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418"/>
        <w:gridCol w:w="1417"/>
        <w:gridCol w:w="1418"/>
        <w:gridCol w:w="1417"/>
        <w:gridCol w:w="2207"/>
      </w:tblGrid>
      <w:tr w:rsidR="00983732" w:rsidRPr="00A3026E" w14:paraId="7D33C291" w14:textId="77777777" w:rsidTr="00EA0DA7">
        <w:tc>
          <w:tcPr>
            <w:tcW w:w="1951" w:type="dxa"/>
            <w:tcBorders>
              <w:top w:val="single" w:sz="12" w:space="0" w:color="auto"/>
            </w:tcBorders>
          </w:tcPr>
          <w:p w14:paraId="64D730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Самолет/данные</w:t>
            </w:r>
          </w:p>
        </w:tc>
        <w:tc>
          <w:tcPr>
            <w:tcW w:w="1418" w:type="dxa"/>
            <w:tcBorders>
              <w:top w:val="single" w:sz="12" w:space="0" w:color="auto"/>
            </w:tcBorders>
          </w:tcPr>
          <w:p w14:paraId="2E6D57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ПБ "100"</w:t>
            </w:r>
          </w:p>
        </w:tc>
        <w:tc>
          <w:tcPr>
            <w:tcW w:w="1417" w:type="dxa"/>
            <w:tcBorders>
              <w:top w:val="single" w:sz="12" w:space="0" w:color="auto"/>
            </w:tcBorders>
          </w:tcPr>
          <w:p w14:paraId="33BBFD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СБ-РК</w:t>
            </w:r>
          </w:p>
        </w:tc>
        <w:tc>
          <w:tcPr>
            <w:tcW w:w="1418" w:type="dxa"/>
            <w:tcBorders>
              <w:top w:val="single" w:sz="12" w:space="0" w:color="auto"/>
            </w:tcBorders>
          </w:tcPr>
          <w:p w14:paraId="4E070B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w:t>
            </w:r>
          </w:p>
        </w:tc>
        <w:tc>
          <w:tcPr>
            <w:tcW w:w="1417" w:type="dxa"/>
            <w:tcBorders>
              <w:top w:val="single" w:sz="12" w:space="0" w:color="auto"/>
            </w:tcBorders>
          </w:tcPr>
          <w:p w14:paraId="7F3E32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p>
        </w:tc>
        <w:tc>
          <w:tcPr>
            <w:tcW w:w="2207" w:type="dxa"/>
            <w:tcBorders>
              <w:top w:val="single" w:sz="12" w:space="0" w:color="auto"/>
            </w:tcBorders>
          </w:tcPr>
          <w:p w14:paraId="101127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w:t>
            </w:r>
          </w:p>
        </w:tc>
      </w:tr>
      <w:tr w:rsidR="00983732" w:rsidRPr="00A3026E" w14:paraId="1A12E136" w14:textId="77777777" w:rsidTr="00EA0DA7">
        <w:tc>
          <w:tcPr>
            <w:tcW w:w="1951" w:type="dxa"/>
          </w:tcPr>
          <w:p w14:paraId="45BC41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1418" w:type="dxa"/>
          </w:tcPr>
          <w:p w14:paraId="6219F8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7600 кг</w:t>
            </w:r>
          </w:p>
        </w:tc>
        <w:tc>
          <w:tcPr>
            <w:tcW w:w="1417" w:type="dxa"/>
          </w:tcPr>
          <w:p w14:paraId="195E5A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6300 кг</w:t>
            </w:r>
          </w:p>
        </w:tc>
        <w:tc>
          <w:tcPr>
            <w:tcW w:w="1418" w:type="dxa"/>
          </w:tcPr>
          <w:p w14:paraId="53C0F0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 кг</w:t>
            </w:r>
          </w:p>
        </w:tc>
        <w:tc>
          <w:tcPr>
            <w:tcW w:w="1417" w:type="dxa"/>
          </w:tcPr>
          <w:p w14:paraId="2BE3C2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 кг</w:t>
            </w:r>
          </w:p>
        </w:tc>
        <w:tc>
          <w:tcPr>
            <w:tcW w:w="2207" w:type="dxa"/>
          </w:tcPr>
          <w:p w14:paraId="5BBA6DC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4515E04" w14:textId="77777777" w:rsidTr="00EA0DA7">
        <w:tc>
          <w:tcPr>
            <w:tcW w:w="1951" w:type="dxa"/>
          </w:tcPr>
          <w:p w14:paraId="61568D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w:t>
            </w:r>
          </w:p>
        </w:tc>
        <w:tc>
          <w:tcPr>
            <w:tcW w:w="1418" w:type="dxa"/>
          </w:tcPr>
          <w:p w14:paraId="508488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 8 км/час/</w:t>
            </w:r>
          </w:p>
        </w:tc>
        <w:tc>
          <w:tcPr>
            <w:tcW w:w="1417" w:type="dxa"/>
          </w:tcPr>
          <w:p w14:paraId="0781BB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 км/час/</w:t>
            </w:r>
          </w:p>
        </w:tc>
        <w:tc>
          <w:tcPr>
            <w:tcW w:w="1418" w:type="dxa"/>
          </w:tcPr>
          <w:p w14:paraId="1707D3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 км/час/</w:t>
            </w:r>
          </w:p>
        </w:tc>
        <w:tc>
          <w:tcPr>
            <w:tcW w:w="1417" w:type="dxa"/>
          </w:tcPr>
          <w:p w14:paraId="223953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 км/час/*</w:t>
            </w:r>
          </w:p>
        </w:tc>
        <w:tc>
          <w:tcPr>
            <w:tcW w:w="2207" w:type="dxa"/>
          </w:tcPr>
          <w:p w14:paraId="0C48EA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расчетная</w:t>
            </w:r>
          </w:p>
        </w:tc>
      </w:tr>
      <w:tr w:rsidR="00983732" w:rsidRPr="00A3026E" w14:paraId="6CAA7777" w14:textId="77777777" w:rsidTr="00EA0DA7">
        <w:tc>
          <w:tcPr>
            <w:tcW w:w="1951" w:type="dxa"/>
          </w:tcPr>
          <w:p w14:paraId="2090BB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на</w:t>
            </w:r>
          </w:p>
        </w:tc>
        <w:tc>
          <w:tcPr>
            <w:tcW w:w="1418" w:type="dxa"/>
          </w:tcPr>
          <w:p w14:paraId="6B7D08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4800 м</w:t>
            </w:r>
          </w:p>
        </w:tc>
        <w:tc>
          <w:tcPr>
            <w:tcW w:w="1417" w:type="dxa"/>
          </w:tcPr>
          <w:p w14:paraId="36BE23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4700 м</w:t>
            </w:r>
          </w:p>
        </w:tc>
        <w:tc>
          <w:tcPr>
            <w:tcW w:w="1418" w:type="dxa"/>
          </w:tcPr>
          <w:p w14:paraId="37679F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5100 м</w:t>
            </w:r>
          </w:p>
        </w:tc>
        <w:tc>
          <w:tcPr>
            <w:tcW w:w="1417" w:type="dxa"/>
          </w:tcPr>
          <w:p w14:paraId="1D50C8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 м</w:t>
            </w:r>
          </w:p>
        </w:tc>
        <w:tc>
          <w:tcPr>
            <w:tcW w:w="2207" w:type="dxa"/>
          </w:tcPr>
          <w:p w14:paraId="3F20E97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62CE008" w14:textId="77777777" w:rsidTr="00EA0DA7">
        <w:tc>
          <w:tcPr>
            <w:tcW w:w="1951" w:type="dxa"/>
          </w:tcPr>
          <w:p w14:paraId="62B5F1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высоте</w:t>
            </w:r>
          </w:p>
        </w:tc>
        <w:tc>
          <w:tcPr>
            <w:tcW w:w="1418" w:type="dxa"/>
          </w:tcPr>
          <w:p w14:paraId="78F579D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Pr>
          <w:p w14:paraId="7C51346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52535B7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Pr>
          <w:p w14:paraId="62E878D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207" w:type="dxa"/>
          </w:tcPr>
          <w:p w14:paraId="0B7081B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78DCC2F" w14:textId="77777777" w:rsidTr="00EA0DA7">
        <w:tc>
          <w:tcPr>
            <w:tcW w:w="1951" w:type="dxa"/>
          </w:tcPr>
          <w:p w14:paraId="329B86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w:t>
            </w:r>
          </w:p>
        </w:tc>
        <w:tc>
          <w:tcPr>
            <w:tcW w:w="1418" w:type="dxa"/>
          </w:tcPr>
          <w:p w14:paraId="138760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 км</w:t>
            </w:r>
          </w:p>
        </w:tc>
        <w:tc>
          <w:tcPr>
            <w:tcW w:w="1417" w:type="dxa"/>
          </w:tcPr>
          <w:p w14:paraId="4B8BA6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 км**</w:t>
            </w:r>
          </w:p>
        </w:tc>
        <w:tc>
          <w:tcPr>
            <w:tcW w:w="1418" w:type="dxa"/>
          </w:tcPr>
          <w:p w14:paraId="4770A9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1250 км</w:t>
            </w:r>
          </w:p>
        </w:tc>
        <w:tc>
          <w:tcPr>
            <w:tcW w:w="1417" w:type="dxa"/>
          </w:tcPr>
          <w:p w14:paraId="481B2D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 км*</w:t>
            </w:r>
          </w:p>
        </w:tc>
        <w:tc>
          <w:tcPr>
            <w:tcW w:w="2207" w:type="dxa"/>
          </w:tcPr>
          <w:p w14:paraId="55BE10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полными баками</w:t>
            </w:r>
          </w:p>
        </w:tc>
      </w:tr>
      <w:tr w:rsidR="00983732" w:rsidRPr="00A3026E" w14:paraId="308D2A7A" w14:textId="77777777" w:rsidTr="00EA0DA7">
        <w:tc>
          <w:tcPr>
            <w:tcW w:w="1951" w:type="dxa"/>
          </w:tcPr>
          <w:p w14:paraId="15DF14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....Vmax, технич.</w:t>
            </w:r>
          </w:p>
        </w:tc>
        <w:tc>
          <w:tcPr>
            <w:tcW w:w="1418" w:type="dxa"/>
          </w:tcPr>
          <w:p w14:paraId="2A2400D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Pr>
          <w:p w14:paraId="424245D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037D8F3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Pr>
          <w:p w14:paraId="02EAEE9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207" w:type="dxa"/>
          </w:tcPr>
          <w:p w14:paraId="09D0F6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расчетная</w:t>
            </w:r>
          </w:p>
        </w:tc>
      </w:tr>
      <w:tr w:rsidR="00983732" w:rsidRPr="00A3026E" w14:paraId="01E47DDA" w14:textId="77777777" w:rsidTr="00EA0DA7">
        <w:tc>
          <w:tcPr>
            <w:tcW w:w="1951" w:type="dxa"/>
          </w:tcPr>
          <w:p w14:paraId="32A347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Радиус действия</w:t>
            </w:r>
          </w:p>
        </w:tc>
        <w:tc>
          <w:tcPr>
            <w:tcW w:w="1418" w:type="dxa"/>
          </w:tcPr>
          <w:p w14:paraId="3CFEBF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600-650 км</w:t>
            </w:r>
          </w:p>
        </w:tc>
        <w:tc>
          <w:tcPr>
            <w:tcW w:w="1417" w:type="dxa"/>
          </w:tcPr>
          <w:p w14:paraId="14136C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48351E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 км</w:t>
            </w:r>
          </w:p>
        </w:tc>
        <w:tc>
          <w:tcPr>
            <w:tcW w:w="1417" w:type="dxa"/>
          </w:tcPr>
          <w:p w14:paraId="38DBEA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207" w:type="dxa"/>
          </w:tcPr>
          <w:p w14:paraId="67C4BF1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D713AB4" w14:textId="77777777" w:rsidTr="00EA0DA7">
        <w:tc>
          <w:tcPr>
            <w:tcW w:w="1951" w:type="dxa"/>
          </w:tcPr>
          <w:p w14:paraId="35BCBE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w:t>
            </w:r>
          </w:p>
        </w:tc>
        <w:tc>
          <w:tcPr>
            <w:tcW w:w="1418" w:type="dxa"/>
          </w:tcPr>
          <w:p w14:paraId="24D7D39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Pr>
          <w:p w14:paraId="06DCDDD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6236308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Pr>
          <w:p w14:paraId="53EFAAB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207" w:type="dxa"/>
          </w:tcPr>
          <w:p w14:paraId="2C741C5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D165600" w14:textId="77777777" w:rsidTr="00EA0DA7">
        <w:tc>
          <w:tcPr>
            <w:tcW w:w="1951" w:type="dxa"/>
          </w:tcPr>
          <w:p w14:paraId="7BE615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w:t>
            </w:r>
          </w:p>
        </w:tc>
        <w:tc>
          <w:tcPr>
            <w:tcW w:w="1418" w:type="dxa"/>
          </w:tcPr>
          <w:p w14:paraId="44D5E6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8000-8500 м</w:t>
            </w:r>
          </w:p>
        </w:tc>
        <w:tc>
          <w:tcPr>
            <w:tcW w:w="1417" w:type="dxa"/>
          </w:tcPr>
          <w:p w14:paraId="5CFFE2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10100 м</w:t>
            </w:r>
          </w:p>
        </w:tc>
        <w:tc>
          <w:tcPr>
            <w:tcW w:w="1418" w:type="dxa"/>
          </w:tcPr>
          <w:p w14:paraId="5FAAC0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9100 м</w:t>
            </w:r>
          </w:p>
        </w:tc>
        <w:tc>
          <w:tcPr>
            <w:tcW w:w="1417" w:type="dxa"/>
          </w:tcPr>
          <w:p w14:paraId="34A43B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 м*</w:t>
            </w:r>
          </w:p>
        </w:tc>
        <w:tc>
          <w:tcPr>
            <w:tcW w:w="2207" w:type="dxa"/>
          </w:tcPr>
          <w:p w14:paraId="1B9563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*расчетная</w:t>
            </w:r>
          </w:p>
        </w:tc>
      </w:tr>
      <w:tr w:rsidR="00983732" w:rsidRPr="00A3026E" w14:paraId="405D39B3" w14:textId="77777777" w:rsidTr="00EA0DA7">
        <w:tc>
          <w:tcPr>
            <w:tcW w:w="1951" w:type="dxa"/>
          </w:tcPr>
          <w:p w14:paraId="6CEE22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Нормальная</w:t>
            </w:r>
          </w:p>
        </w:tc>
        <w:tc>
          <w:tcPr>
            <w:tcW w:w="1418" w:type="dxa"/>
          </w:tcPr>
          <w:p w14:paraId="06B072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 внутрь</w:t>
            </w:r>
          </w:p>
        </w:tc>
        <w:tc>
          <w:tcPr>
            <w:tcW w:w="1417" w:type="dxa"/>
          </w:tcPr>
          <w:p w14:paraId="3A1D26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 внутрь</w:t>
            </w:r>
          </w:p>
        </w:tc>
        <w:tc>
          <w:tcPr>
            <w:tcW w:w="1418" w:type="dxa"/>
          </w:tcPr>
          <w:p w14:paraId="0B4C57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 внутрь</w:t>
            </w:r>
          </w:p>
        </w:tc>
        <w:tc>
          <w:tcPr>
            <w:tcW w:w="1417" w:type="dxa"/>
          </w:tcPr>
          <w:p w14:paraId="0ACBFD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 кг внутрь</w:t>
            </w:r>
          </w:p>
        </w:tc>
        <w:tc>
          <w:tcPr>
            <w:tcW w:w="2207" w:type="dxa"/>
          </w:tcPr>
          <w:p w14:paraId="4ED79AD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0D69E5D" w14:textId="77777777" w:rsidTr="00EA0DA7">
        <w:tc>
          <w:tcPr>
            <w:tcW w:w="1951" w:type="dxa"/>
          </w:tcPr>
          <w:p w14:paraId="537B55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1418" w:type="dxa"/>
          </w:tcPr>
          <w:p w14:paraId="3D9D47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или 600 снаружи</w:t>
            </w:r>
          </w:p>
        </w:tc>
        <w:tc>
          <w:tcPr>
            <w:tcW w:w="1417" w:type="dxa"/>
          </w:tcPr>
          <w:p w14:paraId="55DB85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или 600 снаружи</w:t>
            </w:r>
          </w:p>
        </w:tc>
        <w:tc>
          <w:tcPr>
            <w:tcW w:w="1418" w:type="dxa"/>
          </w:tcPr>
          <w:p w14:paraId="619FC4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или 500 снаружи</w:t>
            </w:r>
          </w:p>
        </w:tc>
        <w:tc>
          <w:tcPr>
            <w:tcW w:w="1417" w:type="dxa"/>
          </w:tcPr>
          <w:p w14:paraId="4949C34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207" w:type="dxa"/>
          </w:tcPr>
          <w:p w14:paraId="2DD5096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B274512" w14:textId="77777777" w:rsidTr="00EA0DA7">
        <w:tc>
          <w:tcPr>
            <w:tcW w:w="1951" w:type="dxa"/>
          </w:tcPr>
          <w:p w14:paraId="24864F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Предельная</w:t>
            </w:r>
          </w:p>
        </w:tc>
        <w:tc>
          <w:tcPr>
            <w:tcW w:w="1418" w:type="dxa"/>
          </w:tcPr>
          <w:p w14:paraId="4FB1E7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 кг</w:t>
            </w:r>
          </w:p>
        </w:tc>
        <w:tc>
          <w:tcPr>
            <w:tcW w:w="1417" w:type="dxa"/>
          </w:tcPr>
          <w:p w14:paraId="76FEEE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 кг</w:t>
            </w:r>
          </w:p>
        </w:tc>
        <w:tc>
          <w:tcPr>
            <w:tcW w:w="1418" w:type="dxa"/>
          </w:tcPr>
          <w:p w14:paraId="2D0FE0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 кг</w:t>
            </w:r>
          </w:p>
        </w:tc>
        <w:tc>
          <w:tcPr>
            <w:tcW w:w="1417" w:type="dxa"/>
          </w:tcPr>
          <w:p w14:paraId="553451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 кг</w:t>
            </w:r>
          </w:p>
        </w:tc>
        <w:tc>
          <w:tcPr>
            <w:tcW w:w="2207" w:type="dxa"/>
          </w:tcPr>
          <w:p w14:paraId="5319AD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полной емкости замков</w:t>
            </w:r>
          </w:p>
        </w:tc>
      </w:tr>
      <w:tr w:rsidR="00983732" w:rsidRPr="00A3026E" w14:paraId="4449D091" w14:textId="77777777" w:rsidTr="00EA0DA7">
        <w:tc>
          <w:tcPr>
            <w:tcW w:w="1951" w:type="dxa"/>
          </w:tcPr>
          <w:p w14:paraId="4C918A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1418" w:type="dxa"/>
          </w:tcPr>
          <w:p w14:paraId="068963D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Pr>
          <w:p w14:paraId="5FC8900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2C4AB46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Pr>
          <w:p w14:paraId="48F805B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207" w:type="dxa"/>
          </w:tcPr>
          <w:p w14:paraId="6E0155E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66DCB8A" w14:textId="77777777" w:rsidTr="00EA0DA7">
        <w:tc>
          <w:tcPr>
            <w:tcW w:w="1951" w:type="dxa"/>
          </w:tcPr>
          <w:p w14:paraId="5ED32D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w:t>
            </w:r>
          </w:p>
        </w:tc>
        <w:tc>
          <w:tcPr>
            <w:tcW w:w="1418" w:type="dxa"/>
          </w:tcPr>
          <w:p w14:paraId="66859E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чел.</w:t>
            </w:r>
          </w:p>
        </w:tc>
        <w:tc>
          <w:tcPr>
            <w:tcW w:w="1417" w:type="dxa"/>
          </w:tcPr>
          <w:p w14:paraId="2F0F4F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чел.</w:t>
            </w:r>
          </w:p>
        </w:tc>
        <w:tc>
          <w:tcPr>
            <w:tcW w:w="1418" w:type="dxa"/>
          </w:tcPr>
          <w:p w14:paraId="7965AA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чел.</w:t>
            </w:r>
          </w:p>
        </w:tc>
        <w:tc>
          <w:tcPr>
            <w:tcW w:w="1417" w:type="dxa"/>
          </w:tcPr>
          <w:p w14:paraId="4C4B2E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чел.</w:t>
            </w:r>
          </w:p>
        </w:tc>
        <w:tc>
          <w:tcPr>
            <w:tcW w:w="2207" w:type="dxa"/>
          </w:tcPr>
          <w:p w14:paraId="7B4D100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9CC7C50" w14:textId="77777777" w:rsidTr="00EA0DA7">
        <w:tc>
          <w:tcPr>
            <w:tcW w:w="1951" w:type="dxa"/>
          </w:tcPr>
          <w:p w14:paraId="4D2661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w:t>
            </w:r>
          </w:p>
        </w:tc>
        <w:tc>
          <w:tcPr>
            <w:tcW w:w="1418" w:type="dxa"/>
          </w:tcPr>
          <w:p w14:paraId="5465E3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пулемета:</w:t>
            </w:r>
          </w:p>
        </w:tc>
        <w:tc>
          <w:tcPr>
            <w:tcW w:w="1417" w:type="dxa"/>
          </w:tcPr>
          <w:p w14:paraId="63C70D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пулемета</w:t>
            </w:r>
          </w:p>
        </w:tc>
        <w:tc>
          <w:tcPr>
            <w:tcW w:w="1418" w:type="dxa"/>
          </w:tcPr>
          <w:p w14:paraId="66572D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w:t>
            </w:r>
          </w:p>
        </w:tc>
        <w:tc>
          <w:tcPr>
            <w:tcW w:w="1417" w:type="dxa"/>
          </w:tcPr>
          <w:p w14:paraId="396733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w:t>
            </w:r>
          </w:p>
        </w:tc>
        <w:tc>
          <w:tcPr>
            <w:tcW w:w="2207" w:type="dxa"/>
          </w:tcPr>
          <w:p w14:paraId="472B78F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E80AB77" w14:textId="77777777" w:rsidTr="00EA0DA7">
        <w:tc>
          <w:tcPr>
            <w:tcW w:w="1951" w:type="dxa"/>
          </w:tcPr>
          <w:p w14:paraId="64C9E8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1418" w:type="dxa"/>
          </w:tcPr>
          <w:p w14:paraId="30D8E0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вперед</w:t>
            </w:r>
          </w:p>
        </w:tc>
        <w:tc>
          <w:tcPr>
            <w:tcW w:w="1417" w:type="dxa"/>
          </w:tcPr>
          <w:p w14:paraId="0B2FC9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вперед</w:t>
            </w:r>
          </w:p>
        </w:tc>
        <w:tc>
          <w:tcPr>
            <w:tcW w:w="1418" w:type="dxa"/>
          </w:tcPr>
          <w:p w14:paraId="4359C0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вперед</w:t>
            </w:r>
          </w:p>
        </w:tc>
        <w:tc>
          <w:tcPr>
            <w:tcW w:w="1417" w:type="dxa"/>
          </w:tcPr>
          <w:p w14:paraId="652B8A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вперед</w:t>
            </w:r>
          </w:p>
        </w:tc>
        <w:tc>
          <w:tcPr>
            <w:tcW w:w="2207" w:type="dxa"/>
          </w:tcPr>
          <w:p w14:paraId="5276B16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62F0810" w14:textId="77777777" w:rsidTr="00EA0DA7">
        <w:tc>
          <w:tcPr>
            <w:tcW w:w="1951" w:type="dxa"/>
          </w:tcPr>
          <w:p w14:paraId="193EAF0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14CE4F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вверх-назад</w:t>
            </w:r>
          </w:p>
        </w:tc>
        <w:tc>
          <w:tcPr>
            <w:tcW w:w="1417" w:type="dxa"/>
          </w:tcPr>
          <w:p w14:paraId="49D664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вверх назад</w:t>
            </w:r>
          </w:p>
        </w:tc>
        <w:tc>
          <w:tcPr>
            <w:tcW w:w="1418" w:type="dxa"/>
          </w:tcPr>
          <w:p w14:paraId="40D19E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назад</w:t>
            </w:r>
          </w:p>
        </w:tc>
        <w:tc>
          <w:tcPr>
            <w:tcW w:w="1417" w:type="dxa"/>
          </w:tcPr>
          <w:p w14:paraId="44A77E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назад вверх</w:t>
            </w:r>
          </w:p>
        </w:tc>
        <w:tc>
          <w:tcPr>
            <w:tcW w:w="2207" w:type="dxa"/>
          </w:tcPr>
          <w:p w14:paraId="68B1C06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1AC7F0C" w14:textId="77777777" w:rsidTr="00EA0DA7">
        <w:tc>
          <w:tcPr>
            <w:tcW w:w="1951" w:type="dxa"/>
          </w:tcPr>
          <w:p w14:paraId="5554FCB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386FED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вниз назад</w:t>
            </w:r>
          </w:p>
        </w:tc>
        <w:tc>
          <w:tcPr>
            <w:tcW w:w="1417" w:type="dxa"/>
          </w:tcPr>
          <w:p w14:paraId="38F4F6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вниз назад</w:t>
            </w:r>
          </w:p>
        </w:tc>
        <w:tc>
          <w:tcPr>
            <w:tcW w:w="1418" w:type="dxa"/>
          </w:tcPr>
          <w:p w14:paraId="28A6F5A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Pr>
          <w:p w14:paraId="282BD09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207" w:type="dxa"/>
          </w:tcPr>
          <w:p w14:paraId="33EE8D3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117B265" w14:textId="77777777" w:rsidTr="00EA0DA7">
        <w:tc>
          <w:tcPr>
            <w:tcW w:w="1951" w:type="dxa"/>
          </w:tcPr>
          <w:p w14:paraId="3192EA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w:t>
            </w:r>
          </w:p>
        </w:tc>
        <w:tc>
          <w:tcPr>
            <w:tcW w:w="1418" w:type="dxa"/>
          </w:tcPr>
          <w:p w14:paraId="6C2E42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 км/час</w:t>
            </w:r>
          </w:p>
        </w:tc>
        <w:tc>
          <w:tcPr>
            <w:tcW w:w="1417" w:type="dxa"/>
          </w:tcPr>
          <w:p w14:paraId="45B22C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 км/час</w:t>
            </w:r>
          </w:p>
        </w:tc>
        <w:tc>
          <w:tcPr>
            <w:tcW w:w="1418" w:type="dxa"/>
          </w:tcPr>
          <w:p w14:paraId="5F6DDA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142 км/час</w:t>
            </w:r>
          </w:p>
        </w:tc>
        <w:tc>
          <w:tcPr>
            <w:tcW w:w="1417" w:type="dxa"/>
          </w:tcPr>
          <w:p w14:paraId="147320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 км/час*</w:t>
            </w:r>
          </w:p>
        </w:tc>
        <w:tc>
          <w:tcPr>
            <w:tcW w:w="2207" w:type="dxa"/>
          </w:tcPr>
          <w:p w14:paraId="1FB515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*расчетная</w:t>
            </w:r>
          </w:p>
        </w:tc>
      </w:tr>
      <w:tr w:rsidR="00983732" w:rsidRPr="00A3026E" w14:paraId="7F34DCAA" w14:textId="77777777" w:rsidTr="00EA0DA7">
        <w:tc>
          <w:tcPr>
            <w:tcW w:w="1951" w:type="dxa"/>
          </w:tcPr>
          <w:p w14:paraId="052379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w:t>
            </w:r>
          </w:p>
        </w:tc>
        <w:tc>
          <w:tcPr>
            <w:tcW w:w="1418" w:type="dxa"/>
          </w:tcPr>
          <w:p w14:paraId="3CEA8F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 м</w:t>
            </w:r>
          </w:p>
        </w:tc>
        <w:tc>
          <w:tcPr>
            <w:tcW w:w="1417" w:type="dxa"/>
          </w:tcPr>
          <w:p w14:paraId="0D8E17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1F24EF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 м</w:t>
            </w:r>
          </w:p>
        </w:tc>
        <w:tc>
          <w:tcPr>
            <w:tcW w:w="1417" w:type="dxa"/>
          </w:tcPr>
          <w:p w14:paraId="670727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 м</w:t>
            </w:r>
          </w:p>
        </w:tc>
        <w:tc>
          <w:tcPr>
            <w:tcW w:w="2207" w:type="dxa"/>
          </w:tcPr>
          <w:p w14:paraId="1889F2D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459BB15" w14:textId="77777777" w:rsidTr="00EA0DA7">
        <w:tc>
          <w:tcPr>
            <w:tcW w:w="1951" w:type="dxa"/>
          </w:tcPr>
          <w:p w14:paraId="2A0274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w:t>
            </w:r>
          </w:p>
        </w:tc>
        <w:tc>
          <w:tcPr>
            <w:tcW w:w="1418" w:type="dxa"/>
          </w:tcPr>
          <w:p w14:paraId="3B3927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 м</w:t>
            </w:r>
          </w:p>
        </w:tc>
        <w:tc>
          <w:tcPr>
            <w:tcW w:w="1417" w:type="dxa"/>
          </w:tcPr>
          <w:p w14:paraId="1A9D0D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18" w:type="dxa"/>
          </w:tcPr>
          <w:p w14:paraId="162BE0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 м</w:t>
            </w:r>
          </w:p>
        </w:tc>
        <w:tc>
          <w:tcPr>
            <w:tcW w:w="1417" w:type="dxa"/>
          </w:tcPr>
          <w:p w14:paraId="2C51E4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207" w:type="dxa"/>
          </w:tcPr>
          <w:p w14:paraId="5CC172B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094A83E" w14:textId="77777777" w:rsidTr="00EA0DA7">
        <w:tc>
          <w:tcPr>
            <w:tcW w:w="1951" w:type="dxa"/>
          </w:tcPr>
          <w:p w14:paraId="016AD2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при</w:t>
            </w:r>
          </w:p>
        </w:tc>
        <w:tc>
          <w:tcPr>
            <w:tcW w:w="1418" w:type="dxa"/>
          </w:tcPr>
          <w:p w14:paraId="7A23B3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1417" w:type="dxa"/>
          </w:tcPr>
          <w:p w14:paraId="469B55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1418" w:type="dxa"/>
          </w:tcPr>
          <w:p w14:paraId="502DC4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1417" w:type="dxa"/>
          </w:tcPr>
          <w:p w14:paraId="06D98C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2207" w:type="dxa"/>
          </w:tcPr>
          <w:p w14:paraId="62E043C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BDA9178" w14:textId="77777777" w:rsidTr="00EA0DA7">
        <w:tc>
          <w:tcPr>
            <w:tcW w:w="1951" w:type="dxa"/>
            <w:tcBorders>
              <w:bottom w:val="single" w:sz="12" w:space="0" w:color="auto"/>
            </w:tcBorders>
          </w:tcPr>
          <w:p w14:paraId="72073D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нормальном весе (1293,140)</w:t>
            </w:r>
          </w:p>
        </w:tc>
        <w:tc>
          <w:tcPr>
            <w:tcW w:w="1418" w:type="dxa"/>
            <w:tcBorders>
              <w:bottom w:val="single" w:sz="12" w:space="0" w:color="auto"/>
            </w:tcBorders>
          </w:tcPr>
          <w:p w14:paraId="1ADE5F3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Borders>
              <w:bottom w:val="single" w:sz="12" w:space="0" w:color="auto"/>
            </w:tcBorders>
          </w:tcPr>
          <w:p w14:paraId="5FF6D54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Borders>
              <w:bottom w:val="single" w:sz="12" w:space="0" w:color="auto"/>
            </w:tcBorders>
          </w:tcPr>
          <w:p w14:paraId="1B6210D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Borders>
              <w:bottom w:val="single" w:sz="12" w:space="0" w:color="auto"/>
            </w:tcBorders>
          </w:tcPr>
          <w:p w14:paraId="1C2DCDF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207" w:type="dxa"/>
            <w:tcBorders>
              <w:bottom w:val="single" w:sz="12" w:space="0" w:color="auto"/>
            </w:tcBorders>
          </w:tcPr>
          <w:p w14:paraId="24437B3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1B0B940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63B2F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с письмом № 5250 был направлен Список предприятий НКАП, которые необходимо включить в число режимных предприятий: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68"/>
        <w:gridCol w:w="2880"/>
        <w:gridCol w:w="3510"/>
      </w:tblGrid>
      <w:tr w:rsidR="00983732" w:rsidRPr="00A3026E" w14:paraId="271EA4C8" w14:textId="77777777" w:rsidTr="00EA0DA7">
        <w:tc>
          <w:tcPr>
            <w:tcW w:w="1368" w:type="dxa"/>
          </w:tcPr>
          <w:p w14:paraId="479E1D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tc>
        <w:tc>
          <w:tcPr>
            <w:tcW w:w="2880" w:type="dxa"/>
          </w:tcPr>
          <w:p w14:paraId="17D81F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Казань</w:t>
            </w:r>
          </w:p>
        </w:tc>
        <w:tc>
          <w:tcPr>
            <w:tcW w:w="3510" w:type="dxa"/>
          </w:tcPr>
          <w:p w14:paraId="593A28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Авиамоторы</w:t>
            </w:r>
          </w:p>
        </w:tc>
      </w:tr>
      <w:tr w:rsidR="00983732" w:rsidRPr="00A3026E" w14:paraId="47F8A099" w14:textId="77777777" w:rsidTr="00EA0DA7">
        <w:tc>
          <w:tcPr>
            <w:tcW w:w="1368" w:type="dxa"/>
          </w:tcPr>
          <w:p w14:paraId="5DA459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2880" w:type="dxa"/>
          </w:tcPr>
          <w:p w14:paraId="0505DE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Кимры</w:t>
            </w:r>
          </w:p>
        </w:tc>
        <w:tc>
          <w:tcPr>
            <w:tcW w:w="3510" w:type="dxa"/>
          </w:tcPr>
          <w:p w14:paraId="4D3366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w:t>
            </w:r>
          </w:p>
        </w:tc>
      </w:tr>
      <w:tr w:rsidR="00983732" w:rsidRPr="00A3026E" w14:paraId="0AD69149" w14:textId="77777777" w:rsidTr="00EA0DA7">
        <w:tc>
          <w:tcPr>
            <w:tcW w:w="1368" w:type="dxa"/>
          </w:tcPr>
          <w:p w14:paraId="2835DB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w:t>
            </w:r>
          </w:p>
        </w:tc>
        <w:tc>
          <w:tcPr>
            <w:tcW w:w="2880" w:type="dxa"/>
          </w:tcPr>
          <w:p w14:paraId="353E5F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w:t>
            </w:r>
          </w:p>
        </w:tc>
        <w:tc>
          <w:tcPr>
            <w:tcW w:w="3510" w:type="dxa"/>
          </w:tcPr>
          <w:p w14:paraId="34F3DF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Авиамоторы</w:t>
            </w:r>
          </w:p>
        </w:tc>
      </w:tr>
      <w:tr w:rsidR="00983732" w:rsidRPr="00A3026E" w14:paraId="5848CA2F" w14:textId="77777777" w:rsidTr="00EA0DA7">
        <w:tc>
          <w:tcPr>
            <w:tcW w:w="1368" w:type="dxa"/>
          </w:tcPr>
          <w:p w14:paraId="64904B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c>
          <w:tcPr>
            <w:tcW w:w="2880" w:type="dxa"/>
          </w:tcPr>
          <w:p w14:paraId="0EB401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Мосвка</w:t>
            </w:r>
          </w:p>
        </w:tc>
        <w:tc>
          <w:tcPr>
            <w:tcW w:w="3510" w:type="dxa"/>
          </w:tcPr>
          <w:p w14:paraId="2AAA09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w:t>
            </w:r>
          </w:p>
        </w:tc>
      </w:tr>
      <w:tr w:rsidR="00983732" w:rsidRPr="00A3026E" w14:paraId="27EF6DA8" w14:textId="77777777" w:rsidTr="00EA0DA7">
        <w:tc>
          <w:tcPr>
            <w:tcW w:w="1368" w:type="dxa"/>
          </w:tcPr>
          <w:p w14:paraId="7B814C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2880" w:type="dxa"/>
          </w:tcPr>
          <w:p w14:paraId="2A67A6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Кунцево</w:t>
            </w:r>
          </w:p>
        </w:tc>
        <w:tc>
          <w:tcPr>
            <w:tcW w:w="3510" w:type="dxa"/>
          </w:tcPr>
          <w:p w14:paraId="6573D6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w:t>
            </w:r>
          </w:p>
        </w:tc>
      </w:tr>
      <w:tr w:rsidR="00983732" w:rsidRPr="00A3026E" w14:paraId="2B8A7A97" w14:textId="77777777" w:rsidTr="00EA0DA7">
        <w:tc>
          <w:tcPr>
            <w:tcW w:w="1368" w:type="dxa"/>
          </w:tcPr>
          <w:p w14:paraId="274E8B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99</w:t>
            </w:r>
          </w:p>
        </w:tc>
        <w:tc>
          <w:tcPr>
            <w:tcW w:w="2880" w:type="dxa"/>
          </w:tcPr>
          <w:p w14:paraId="0B38E3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Улан-Уде</w:t>
            </w:r>
          </w:p>
        </w:tc>
        <w:tc>
          <w:tcPr>
            <w:tcW w:w="3510" w:type="dxa"/>
          </w:tcPr>
          <w:p w14:paraId="2081B8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w:t>
            </w:r>
          </w:p>
        </w:tc>
      </w:tr>
      <w:tr w:rsidR="00983732" w:rsidRPr="00A3026E" w14:paraId="7A335313" w14:textId="77777777" w:rsidTr="00EA0DA7">
        <w:tc>
          <w:tcPr>
            <w:tcW w:w="1368" w:type="dxa"/>
          </w:tcPr>
          <w:p w14:paraId="7A8DAC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c>
          <w:tcPr>
            <w:tcW w:w="2880" w:type="dxa"/>
          </w:tcPr>
          <w:p w14:paraId="281312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w:t>
            </w:r>
          </w:p>
        </w:tc>
        <w:tc>
          <w:tcPr>
            <w:tcW w:w="3510" w:type="dxa"/>
          </w:tcPr>
          <w:p w14:paraId="7EB82A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Опытные с-ты</w:t>
            </w:r>
          </w:p>
        </w:tc>
      </w:tr>
      <w:tr w:rsidR="00983732" w:rsidRPr="00A3026E" w14:paraId="3908C7AD" w14:textId="77777777" w:rsidTr="00EA0DA7">
        <w:tc>
          <w:tcPr>
            <w:tcW w:w="1368" w:type="dxa"/>
          </w:tcPr>
          <w:p w14:paraId="1E06EC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w:t>
            </w:r>
          </w:p>
        </w:tc>
        <w:tc>
          <w:tcPr>
            <w:tcW w:w="2880" w:type="dxa"/>
          </w:tcPr>
          <w:p w14:paraId="0A9980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ДВК</w:t>
            </w:r>
          </w:p>
        </w:tc>
        <w:tc>
          <w:tcPr>
            <w:tcW w:w="3510" w:type="dxa"/>
          </w:tcPr>
          <w:p w14:paraId="3DD896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w:t>
            </w:r>
          </w:p>
        </w:tc>
      </w:tr>
      <w:tr w:rsidR="00983732" w:rsidRPr="00A3026E" w14:paraId="40B73D89" w14:textId="77777777" w:rsidTr="00EA0DA7">
        <w:tc>
          <w:tcPr>
            <w:tcW w:w="1368" w:type="dxa"/>
          </w:tcPr>
          <w:p w14:paraId="20E11B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119</w:t>
            </w:r>
          </w:p>
        </w:tc>
        <w:tc>
          <w:tcPr>
            <w:tcW w:w="2880" w:type="dxa"/>
          </w:tcPr>
          <w:p w14:paraId="76D7AE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w:t>
            </w:r>
          </w:p>
        </w:tc>
        <w:tc>
          <w:tcPr>
            <w:tcW w:w="3510" w:type="dxa"/>
          </w:tcPr>
          <w:p w14:paraId="4B4C14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w:t>
            </w:r>
          </w:p>
        </w:tc>
      </w:tr>
      <w:tr w:rsidR="00983732" w:rsidRPr="00A3026E" w14:paraId="3CC50EF9" w14:textId="77777777" w:rsidTr="00EA0DA7">
        <w:tc>
          <w:tcPr>
            <w:tcW w:w="1368" w:type="dxa"/>
          </w:tcPr>
          <w:p w14:paraId="50C078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2880" w:type="dxa"/>
          </w:tcPr>
          <w:p w14:paraId="02D214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Реутово</w:t>
            </w:r>
          </w:p>
        </w:tc>
        <w:tc>
          <w:tcPr>
            <w:tcW w:w="3510" w:type="dxa"/>
          </w:tcPr>
          <w:p w14:paraId="505736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Авиаколеса</w:t>
            </w:r>
          </w:p>
        </w:tc>
      </w:tr>
      <w:tr w:rsidR="00983732" w:rsidRPr="00A3026E" w14:paraId="4D05604B" w14:textId="77777777" w:rsidTr="00EA0DA7">
        <w:tc>
          <w:tcPr>
            <w:tcW w:w="1368" w:type="dxa"/>
          </w:tcPr>
          <w:p w14:paraId="6EDC35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w:t>
            </w:r>
          </w:p>
        </w:tc>
        <w:tc>
          <w:tcPr>
            <w:tcW w:w="2880" w:type="dxa"/>
          </w:tcPr>
          <w:p w14:paraId="110347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w:t>
            </w:r>
          </w:p>
        </w:tc>
        <w:tc>
          <w:tcPr>
            <w:tcW w:w="3510" w:type="dxa"/>
          </w:tcPr>
          <w:p w14:paraId="45E068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Спецприспособления</w:t>
            </w:r>
          </w:p>
        </w:tc>
      </w:tr>
      <w:tr w:rsidR="00983732" w:rsidRPr="00A3026E" w14:paraId="1926FC90" w14:textId="77777777" w:rsidTr="00EA0DA7">
        <w:tc>
          <w:tcPr>
            <w:tcW w:w="1368" w:type="dxa"/>
          </w:tcPr>
          <w:p w14:paraId="624BEA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w:t>
            </w:r>
          </w:p>
        </w:tc>
        <w:tc>
          <w:tcPr>
            <w:tcW w:w="2880" w:type="dxa"/>
          </w:tcPr>
          <w:p w14:paraId="156A2E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w:t>
            </w:r>
          </w:p>
        </w:tc>
        <w:tc>
          <w:tcPr>
            <w:tcW w:w="3510" w:type="dxa"/>
          </w:tcPr>
          <w:p w14:paraId="258C79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r>
      <w:tr w:rsidR="00983732" w:rsidRPr="00A3026E" w14:paraId="14026749" w14:textId="77777777" w:rsidTr="00EA0DA7">
        <w:tc>
          <w:tcPr>
            <w:tcW w:w="1368" w:type="dxa"/>
          </w:tcPr>
          <w:p w14:paraId="07B3DC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2880" w:type="dxa"/>
          </w:tcPr>
          <w:p w14:paraId="1A2F6E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Ступино</w:t>
            </w:r>
          </w:p>
        </w:tc>
        <w:tc>
          <w:tcPr>
            <w:tcW w:w="3510" w:type="dxa"/>
          </w:tcPr>
          <w:p w14:paraId="28A66F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Авиапрокат и винты</w:t>
            </w:r>
          </w:p>
        </w:tc>
      </w:tr>
      <w:tr w:rsidR="00983732" w:rsidRPr="00A3026E" w14:paraId="7E844B97" w14:textId="77777777" w:rsidTr="00EA0DA7">
        <w:tc>
          <w:tcPr>
            <w:tcW w:w="1368" w:type="dxa"/>
          </w:tcPr>
          <w:p w14:paraId="3B411F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2880" w:type="dxa"/>
          </w:tcPr>
          <w:p w14:paraId="4C6741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Новосибирск</w:t>
            </w:r>
          </w:p>
        </w:tc>
        <w:tc>
          <w:tcPr>
            <w:tcW w:w="3510" w:type="dxa"/>
          </w:tcPr>
          <w:p w14:paraId="304C69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w:t>
            </w:r>
          </w:p>
        </w:tc>
      </w:tr>
      <w:tr w:rsidR="00983732" w:rsidRPr="00A3026E" w14:paraId="26457825" w14:textId="77777777" w:rsidTr="00EA0DA7">
        <w:tc>
          <w:tcPr>
            <w:tcW w:w="1368" w:type="dxa"/>
          </w:tcPr>
          <w:p w14:paraId="3454E9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w:t>
            </w:r>
          </w:p>
        </w:tc>
        <w:tc>
          <w:tcPr>
            <w:tcW w:w="2880" w:type="dxa"/>
          </w:tcPr>
          <w:p w14:paraId="389A20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w:t>
            </w:r>
          </w:p>
        </w:tc>
        <w:tc>
          <w:tcPr>
            <w:tcW w:w="3510" w:type="dxa"/>
          </w:tcPr>
          <w:p w14:paraId="0BD931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w:t>
            </w:r>
          </w:p>
        </w:tc>
      </w:tr>
      <w:tr w:rsidR="00983732" w:rsidRPr="00A3026E" w14:paraId="5D95BFCB" w14:textId="77777777" w:rsidTr="00EA0DA7">
        <w:tc>
          <w:tcPr>
            <w:tcW w:w="1368" w:type="dxa"/>
          </w:tcPr>
          <w:p w14:paraId="521EF2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218</w:t>
            </w:r>
          </w:p>
        </w:tc>
        <w:tc>
          <w:tcPr>
            <w:tcW w:w="2880" w:type="dxa"/>
          </w:tcPr>
          <w:p w14:paraId="083B38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w:t>
            </w:r>
          </w:p>
        </w:tc>
        <w:tc>
          <w:tcPr>
            <w:tcW w:w="3510" w:type="dxa"/>
          </w:tcPr>
          <w:p w14:paraId="62E3F0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 и морские приборы</w:t>
            </w:r>
          </w:p>
        </w:tc>
      </w:tr>
      <w:tr w:rsidR="00983732" w:rsidRPr="00A3026E" w14:paraId="228486C6" w14:textId="77777777" w:rsidTr="00EA0DA7">
        <w:tc>
          <w:tcPr>
            <w:tcW w:w="1368" w:type="dxa"/>
          </w:tcPr>
          <w:p w14:paraId="54EBB4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219</w:t>
            </w:r>
          </w:p>
        </w:tc>
        <w:tc>
          <w:tcPr>
            <w:tcW w:w="2880" w:type="dxa"/>
          </w:tcPr>
          <w:p w14:paraId="71785F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Реутово</w:t>
            </w:r>
          </w:p>
        </w:tc>
        <w:tc>
          <w:tcPr>
            <w:tcW w:w="3510" w:type="dxa"/>
          </w:tcPr>
          <w:p w14:paraId="31F86D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Авиалитье</w:t>
            </w:r>
          </w:p>
        </w:tc>
      </w:tr>
      <w:tr w:rsidR="00983732" w:rsidRPr="00A3026E" w14:paraId="7A07B27B" w14:textId="77777777" w:rsidTr="00EA0DA7">
        <w:tc>
          <w:tcPr>
            <w:tcW w:w="1368" w:type="dxa"/>
          </w:tcPr>
          <w:p w14:paraId="51330E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w:t>
            </w:r>
          </w:p>
        </w:tc>
        <w:tc>
          <w:tcPr>
            <w:tcW w:w="2880" w:type="dxa"/>
          </w:tcPr>
          <w:p w14:paraId="2ECCBD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w:t>
            </w:r>
          </w:p>
        </w:tc>
        <w:tc>
          <w:tcPr>
            <w:tcW w:w="3510" w:type="dxa"/>
          </w:tcPr>
          <w:p w14:paraId="7FA1B7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Навигационные и метеорологические приборы</w:t>
            </w:r>
          </w:p>
        </w:tc>
      </w:tr>
      <w:tr w:rsidR="00983732" w:rsidRPr="00A3026E" w14:paraId="23FFEEB9" w14:textId="77777777" w:rsidTr="00EA0DA7">
        <w:tc>
          <w:tcPr>
            <w:tcW w:w="1368" w:type="dxa"/>
          </w:tcPr>
          <w:p w14:paraId="145714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2880" w:type="dxa"/>
          </w:tcPr>
          <w:p w14:paraId="6BC195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w:t>
            </w:r>
          </w:p>
        </w:tc>
        <w:tc>
          <w:tcPr>
            <w:tcW w:w="3510" w:type="dxa"/>
          </w:tcPr>
          <w:p w14:paraId="7C8F64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Теплоизмерительные приборы</w:t>
            </w:r>
          </w:p>
        </w:tc>
      </w:tr>
      <w:tr w:rsidR="00983732" w:rsidRPr="00A3026E" w14:paraId="5278306D" w14:textId="77777777" w:rsidTr="00EA0DA7">
        <w:tc>
          <w:tcPr>
            <w:tcW w:w="1368" w:type="dxa"/>
          </w:tcPr>
          <w:p w14:paraId="2C75E8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c>
          <w:tcPr>
            <w:tcW w:w="2880" w:type="dxa"/>
          </w:tcPr>
          <w:p w14:paraId="42609B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w:t>
            </w:r>
          </w:p>
        </w:tc>
        <w:tc>
          <w:tcPr>
            <w:tcW w:w="3510" w:type="dxa"/>
          </w:tcPr>
          <w:p w14:paraId="0F372A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w:t>
            </w:r>
          </w:p>
        </w:tc>
      </w:tr>
      <w:tr w:rsidR="00983732" w:rsidRPr="00A3026E" w14:paraId="07B71CEC" w14:textId="77777777" w:rsidTr="00EA0DA7">
        <w:tc>
          <w:tcPr>
            <w:tcW w:w="1368" w:type="dxa"/>
          </w:tcPr>
          <w:p w14:paraId="67E6B8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266</w:t>
            </w:r>
          </w:p>
        </w:tc>
        <w:tc>
          <w:tcPr>
            <w:tcW w:w="2880" w:type="dxa"/>
          </w:tcPr>
          <w:p w14:paraId="194531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w:t>
            </w:r>
          </w:p>
        </w:tc>
        <w:tc>
          <w:tcPr>
            <w:tcW w:w="3510" w:type="dxa"/>
          </w:tcPr>
          <w:p w14:paraId="0E9867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Спецприборы</w:t>
            </w:r>
          </w:p>
        </w:tc>
      </w:tr>
      <w:tr w:rsidR="00983732" w:rsidRPr="00A3026E" w14:paraId="37A1C7C2" w14:textId="77777777" w:rsidTr="00EA0DA7">
        <w:tc>
          <w:tcPr>
            <w:tcW w:w="1368" w:type="dxa"/>
          </w:tcPr>
          <w:p w14:paraId="16DD35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288</w:t>
            </w:r>
          </w:p>
        </w:tc>
        <w:tc>
          <w:tcPr>
            <w:tcW w:w="2880" w:type="dxa"/>
          </w:tcPr>
          <w:p w14:paraId="3F4BA0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Савелово</w:t>
            </w:r>
          </w:p>
        </w:tc>
        <w:tc>
          <w:tcPr>
            <w:tcW w:w="3510" w:type="dxa"/>
          </w:tcPr>
          <w:p w14:paraId="534FCE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w:t>
            </w:r>
          </w:p>
        </w:tc>
      </w:tr>
      <w:tr w:rsidR="00983732" w:rsidRPr="00A3026E" w14:paraId="165CE925" w14:textId="77777777" w:rsidTr="00EA0DA7">
        <w:tc>
          <w:tcPr>
            <w:tcW w:w="1368" w:type="dxa"/>
          </w:tcPr>
          <w:p w14:paraId="547925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289</w:t>
            </w:r>
          </w:p>
        </w:tc>
        <w:tc>
          <w:tcPr>
            <w:tcW w:w="2880" w:type="dxa"/>
          </w:tcPr>
          <w:p w14:paraId="46B10E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Подлипки</w:t>
            </w:r>
          </w:p>
        </w:tc>
        <w:tc>
          <w:tcPr>
            <w:tcW w:w="3510" w:type="dxa"/>
          </w:tcPr>
          <w:p w14:paraId="1176D1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Опытные высотные самолеты</w:t>
            </w:r>
          </w:p>
        </w:tc>
      </w:tr>
      <w:tr w:rsidR="00983732" w:rsidRPr="00A3026E" w14:paraId="4B3EFFE4" w14:textId="77777777" w:rsidTr="00EA0DA7">
        <w:tc>
          <w:tcPr>
            <w:tcW w:w="1368" w:type="dxa"/>
          </w:tcPr>
          <w:p w14:paraId="0568E1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292</w:t>
            </w:r>
          </w:p>
        </w:tc>
        <w:tc>
          <w:tcPr>
            <w:tcW w:w="2880" w:type="dxa"/>
          </w:tcPr>
          <w:p w14:paraId="239504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Саратов</w:t>
            </w:r>
          </w:p>
        </w:tc>
        <w:tc>
          <w:tcPr>
            <w:tcW w:w="3510" w:type="dxa"/>
          </w:tcPr>
          <w:p w14:paraId="26E21B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w:t>
            </w:r>
          </w:p>
        </w:tc>
      </w:tr>
      <w:tr w:rsidR="00983732" w:rsidRPr="00A3026E" w14:paraId="342C1374" w14:textId="77777777" w:rsidTr="00EA0DA7">
        <w:tc>
          <w:tcPr>
            <w:tcW w:w="1368" w:type="dxa"/>
          </w:tcPr>
          <w:p w14:paraId="4AEBA5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301</w:t>
            </w:r>
          </w:p>
        </w:tc>
        <w:tc>
          <w:tcPr>
            <w:tcW w:w="2880" w:type="dxa"/>
          </w:tcPr>
          <w:p w14:paraId="4D3020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Химки</w:t>
            </w:r>
          </w:p>
        </w:tc>
        <w:tc>
          <w:tcPr>
            <w:tcW w:w="3510" w:type="dxa"/>
          </w:tcPr>
          <w:p w14:paraId="4A6C34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Опытные самолеты</w:t>
            </w:r>
          </w:p>
        </w:tc>
      </w:tr>
      <w:tr w:rsidR="00983732" w:rsidRPr="00A3026E" w14:paraId="0E8D15E6" w14:textId="77777777" w:rsidTr="00EA0DA7">
        <w:tc>
          <w:tcPr>
            <w:tcW w:w="1368" w:type="dxa"/>
          </w:tcPr>
          <w:p w14:paraId="19F312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339</w:t>
            </w:r>
          </w:p>
        </w:tc>
        <w:tc>
          <w:tcPr>
            <w:tcW w:w="2880" w:type="dxa"/>
          </w:tcPr>
          <w:p w14:paraId="1D1965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Пермь</w:t>
            </w:r>
          </w:p>
        </w:tc>
        <w:tc>
          <w:tcPr>
            <w:tcW w:w="3510" w:type="dxa"/>
          </w:tcPr>
          <w:p w14:paraId="725053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Авиамоторы</w:t>
            </w:r>
          </w:p>
        </w:tc>
      </w:tr>
      <w:tr w:rsidR="00983732" w:rsidRPr="00A3026E" w14:paraId="31B4E5EA" w14:textId="77777777" w:rsidTr="00EA0DA7">
        <w:tc>
          <w:tcPr>
            <w:tcW w:w="1368" w:type="dxa"/>
          </w:tcPr>
          <w:p w14:paraId="558DC5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379</w:t>
            </w:r>
          </w:p>
        </w:tc>
        <w:tc>
          <w:tcPr>
            <w:tcW w:w="2880" w:type="dxa"/>
          </w:tcPr>
          <w:p w14:paraId="3ADC2BF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510" w:type="dxa"/>
          </w:tcPr>
          <w:p w14:paraId="2B8F40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Автопилоты и авиаприборы</w:t>
            </w:r>
          </w:p>
        </w:tc>
      </w:tr>
      <w:tr w:rsidR="00983732" w:rsidRPr="00A3026E" w14:paraId="1F24F0D5" w14:textId="77777777" w:rsidTr="00EA0DA7">
        <w:tc>
          <w:tcPr>
            <w:tcW w:w="1368" w:type="dxa"/>
          </w:tcPr>
          <w:p w14:paraId="03E510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ГПИ</w:t>
            </w:r>
          </w:p>
        </w:tc>
        <w:tc>
          <w:tcPr>
            <w:tcW w:w="2880" w:type="dxa"/>
          </w:tcPr>
          <w:p w14:paraId="05C0B8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w:t>
            </w:r>
          </w:p>
        </w:tc>
        <w:tc>
          <w:tcPr>
            <w:tcW w:w="3510" w:type="dxa"/>
          </w:tcPr>
          <w:p w14:paraId="4D7867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Проектирование</w:t>
            </w:r>
          </w:p>
        </w:tc>
      </w:tr>
      <w:tr w:rsidR="00983732" w:rsidRPr="00A3026E" w14:paraId="27C37497" w14:textId="77777777" w:rsidTr="00EA0DA7">
        <w:tc>
          <w:tcPr>
            <w:tcW w:w="1368" w:type="dxa"/>
          </w:tcPr>
          <w:p w14:paraId="6737D7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ГПИ</w:t>
            </w:r>
          </w:p>
        </w:tc>
        <w:tc>
          <w:tcPr>
            <w:tcW w:w="2880" w:type="dxa"/>
          </w:tcPr>
          <w:p w14:paraId="64496AB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510" w:type="dxa"/>
          </w:tcPr>
          <w:p w14:paraId="6F90F9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Проектирование</w:t>
            </w:r>
          </w:p>
        </w:tc>
      </w:tr>
      <w:tr w:rsidR="00983732" w:rsidRPr="00A3026E" w14:paraId="61B561C2" w14:textId="77777777" w:rsidTr="00EA0DA7">
        <w:tc>
          <w:tcPr>
            <w:tcW w:w="1368" w:type="dxa"/>
          </w:tcPr>
          <w:p w14:paraId="105C85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НИИ-12</w:t>
            </w:r>
          </w:p>
        </w:tc>
        <w:tc>
          <w:tcPr>
            <w:tcW w:w="2880" w:type="dxa"/>
          </w:tcPr>
          <w:p w14:paraId="48868F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w:t>
            </w:r>
          </w:p>
        </w:tc>
        <w:tc>
          <w:tcPr>
            <w:tcW w:w="3510" w:type="dxa"/>
          </w:tcPr>
          <w:p w14:paraId="6D333C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НИР авиаприборов</w:t>
            </w:r>
          </w:p>
        </w:tc>
      </w:tr>
      <w:tr w:rsidR="00983732" w:rsidRPr="00A3026E" w14:paraId="492DDD89" w14:textId="77777777" w:rsidTr="00EA0DA7">
        <w:tc>
          <w:tcPr>
            <w:tcW w:w="1368" w:type="dxa"/>
          </w:tcPr>
          <w:p w14:paraId="06742D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НИИ-22</w:t>
            </w:r>
          </w:p>
        </w:tc>
        <w:tc>
          <w:tcPr>
            <w:tcW w:w="2880" w:type="dxa"/>
          </w:tcPr>
          <w:p w14:paraId="3202D2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w:t>
            </w:r>
          </w:p>
        </w:tc>
        <w:tc>
          <w:tcPr>
            <w:tcW w:w="3510" w:type="dxa"/>
          </w:tcPr>
          <w:p w14:paraId="315FF4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НИР телемеханика</w:t>
            </w:r>
          </w:p>
        </w:tc>
      </w:tr>
      <w:tr w:rsidR="00983732" w:rsidRPr="00A3026E" w14:paraId="472B237C" w14:textId="77777777" w:rsidTr="00EA0DA7">
        <w:tc>
          <w:tcPr>
            <w:tcW w:w="1368" w:type="dxa"/>
          </w:tcPr>
          <w:p w14:paraId="7F98BD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ВИАМ</w:t>
            </w:r>
          </w:p>
        </w:tc>
        <w:tc>
          <w:tcPr>
            <w:tcW w:w="2880" w:type="dxa"/>
          </w:tcPr>
          <w:p w14:paraId="21AA53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w:t>
            </w:r>
          </w:p>
        </w:tc>
        <w:tc>
          <w:tcPr>
            <w:tcW w:w="3510" w:type="dxa"/>
          </w:tcPr>
          <w:p w14:paraId="1E5BE9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Новые материалы</w:t>
            </w:r>
          </w:p>
        </w:tc>
      </w:tr>
      <w:tr w:rsidR="00983732" w:rsidRPr="00A3026E" w14:paraId="2C570EB7" w14:textId="77777777" w:rsidTr="00EA0DA7">
        <w:tc>
          <w:tcPr>
            <w:tcW w:w="1368" w:type="dxa"/>
          </w:tcPr>
          <w:p w14:paraId="5CFD30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ОКБ-22</w:t>
            </w:r>
          </w:p>
        </w:tc>
        <w:tc>
          <w:tcPr>
            <w:tcW w:w="2880" w:type="dxa"/>
          </w:tcPr>
          <w:p w14:paraId="7846F4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w:t>
            </w:r>
          </w:p>
        </w:tc>
        <w:tc>
          <w:tcPr>
            <w:tcW w:w="3510" w:type="dxa"/>
          </w:tcPr>
          <w:p w14:paraId="551547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Опытные самолеты</w:t>
            </w:r>
          </w:p>
        </w:tc>
      </w:tr>
      <w:tr w:rsidR="00983732" w:rsidRPr="00A3026E" w14:paraId="3B76CC2B" w14:textId="77777777" w:rsidTr="00EA0DA7">
        <w:tc>
          <w:tcPr>
            <w:tcW w:w="1368" w:type="dxa"/>
          </w:tcPr>
          <w:p w14:paraId="22DC45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281</w:t>
            </w:r>
          </w:p>
        </w:tc>
        <w:tc>
          <w:tcPr>
            <w:tcW w:w="2880" w:type="dxa"/>
          </w:tcPr>
          <w:p w14:paraId="776D4E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Куйбышев</w:t>
            </w:r>
          </w:p>
        </w:tc>
        <w:tc>
          <w:tcPr>
            <w:tcW w:w="3510" w:type="dxa"/>
          </w:tcPr>
          <w:p w14:paraId="376512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Моторо-агрегатный з-д со сроком окончания 01.01.42</w:t>
            </w:r>
          </w:p>
        </w:tc>
      </w:tr>
      <w:tr w:rsidR="00983732" w:rsidRPr="00A3026E" w14:paraId="4012BC47" w14:textId="77777777" w:rsidTr="00EA0DA7">
        <w:tc>
          <w:tcPr>
            <w:tcW w:w="1368" w:type="dxa"/>
          </w:tcPr>
          <w:p w14:paraId="5783719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880" w:type="dxa"/>
          </w:tcPr>
          <w:p w14:paraId="68A8FA1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510" w:type="dxa"/>
          </w:tcPr>
          <w:p w14:paraId="358EBD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(7482)</w:t>
            </w:r>
          </w:p>
        </w:tc>
      </w:tr>
    </w:tbl>
    <w:p w14:paraId="29CDD2D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81EAD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Зам. Нач. 7 ГУ С.Шишкин писал письмо N 3/2373 Секретарю ЦК КП(б) Азербайджана Чеплакову:</w:t>
      </w:r>
    </w:p>
    <w:p w14:paraId="2BF757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"Присланное Вами предложение и Эмирова было рассмотрено постоянной экспертной комиссией НКАП и было отклонено, как технически неправильное.</w:t>
      </w:r>
    </w:p>
    <w:p w14:paraId="4AE944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Автор не разбирается в основных физических законах и ошибочно считает, что винтовые самолеты пригодны для полетов в безвоздушном пространстве." (1448,163).</w:t>
      </w:r>
    </w:p>
    <w:p w14:paraId="71FD945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830BD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было письмо Директору НИИ-3 НКБ от зам. начальника 4-го ГУ НКБ Березина: «Согласно резолюции наркома боеприпасов тов. Сергеева на письме начальника авиации ВМФ от 30 октября 1940 г., Вам предлагается:</w:t>
      </w:r>
    </w:p>
    <w:p w14:paraId="70E1AC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Отработать РЗ для БРАВ и БетАБ калибров 305 и 254 мм на пороховых шашках длиной не свыше 1000 мм, что вызвано трудностью изго-эвления шашек длиной 1400 мм на заводе №59;</w:t>
      </w:r>
    </w:p>
    <w:p w14:paraId="1C95AB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основе работы откорректировать чертежи и ТУ, предоставив весь материал на рассмотрение в техотдел НКБ не позже 10 декабря 1940 г.» (11402).</w:t>
      </w:r>
    </w:p>
    <w:p w14:paraId="34D216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AAF877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3AEC5F6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914F2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закончились испытания на живучесть образца 45 мм автоматической пушки ЗИК-45 (позже ставшей 49-К), сделанной на заводе 8 Калинина в Подлипках, походившие с 30 июля 1940. Пушка была сделана по образцу Бофорса и в 1940 была принята на вооружение. Завод 8 получил заказ на 190 на 1940, но в середине 1940 приняли решение о вооружении 25 мм и 37 мм зенитными автоматами и работу по 45 мм прекратили (1116,53).</w:t>
      </w:r>
    </w:p>
    <w:p w14:paraId="53B24F2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A9442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1944 года опытный образец новой полковой 76-мм пушки М3-1 прибыл на Государственный артиллерийский Краснознаменный полигон. В ходе полигонных испытаний было сделано 1375 выстрелов, из которых 1024 на нормальном и 351 на уменьшенном заряде. Обкатка не проводилась, так как после 3,5 км возки по булыжной мостовой произошла поломка левого рычага подрессоривания. Испытания возкой были приостановлены. К моменту завершения полигонных испытаний осталось произвести стрельбы в объеме 460 выстрелов и обкатку 1000 км.</w:t>
      </w:r>
    </w:p>
    <w:p w14:paraId="24C7D1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Ствол пушки М3-1 - моноблок с навинтным казенником, тремя захватами, закрепляющими ствол стальными плитами. Затвор горизонтальный клиновой с 1/4 автоматики. Затвор автоматически закрывался при заряжании. Производство выстрела и открывание затвора после выстрела производилось вручную.</w:t>
      </w:r>
    </w:p>
    <w:p w14:paraId="20AE0A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пушки являлась новой, отличной от общепринятых конструкций полевых систем. В основу ее была положена идея несущего щита (заимствование от 75/55-мм германской противотанковой пушки РАК-41), на котором смонтированы основные части орудия: верхний станок с механизмами наведения и прицелом, раздвижные станины, торсионное подрессоривание с полуосями и дисковыми мотоциклетными колесами с резиновыми покрышками. Раздвижные станины снабжены параллелограмным устройством, обеспечивающим установку орудия на четыре точки на неровной местности.</w:t>
      </w:r>
    </w:p>
    <w:p w14:paraId="4FD19B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Верхний станок полушаровой формы, закрепленный в щите с помощью вертикальных цапф, обеспечивает горизонтальное наведение 25°. Вертикальное перемещение качающейся части обеспечивается горизонтальными подцапфенниками верхнего станка, в которых помещаются цапфы люльки. Механизм вертикального наведения - секторный, горизонтального наведения - винтовой. Короб люльки спереди закрывался крышкой, в которой закреплен шток тормоза отката. Противооткатные устройства состояли из гидравлического тормоза отката и пружинного накатника. Они взяты полностью от 45-мм противотанковой пушки М-42, за исключением наковок на внутренней поверхности цилиндра тормоза отката, которые уширены до 14 мм вместо 12,5 мм. Прицел - модернизированный от 76-мм пушки обр. 1927 г.</w:t>
      </w:r>
    </w:p>
    <w:p w14:paraId="37513D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Щит экранированный, состоял из двух листов - переднего толщиной 4 мм и заднего толщиной 3 мм. Станины раздвижные коробчатого сечения, снабжены стопорами колес в боевом положении, упирающимися в покрышки колес при полностью раздвинутых станинах. Колеса дисковые с пневмошиной и резиновыми покрышками от мотоциклетных колес. Оба колеса взаимозаменяемы по ступицам. За время проведения неполных испытаний (в зимнее время) конструкция орудия оказалась в целом хороша, однако ряд узлов были явно недоработаны:</w:t>
      </w:r>
    </w:p>
    <w:p w14:paraId="42BF1F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Противооткатные устройства работали с перегрузкой и не соответствовали мощности орудия.</w:t>
      </w:r>
    </w:p>
    <w:p w14:paraId="392FFC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Щит недостаточно прикрывал наводчика и замкового.</w:t>
      </w:r>
    </w:p>
    <w:p w14:paraId="010053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Щиток спускового механизма недостаточно прикрывал руку наводчика от ударов откатных частей.</w:t>
      </w:r>
    </w:p>
    <w:p w14:paraId="047FED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Ненадежен спусковой механизм.</w:t>
      </w:r>
    </w:p>
    <w:p w14:paraId="3AC23D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На орудии отсутствовали крюки для закрепления лямок.</w:t>
      </w:r>
    </w:p>
    <w:p w14:paraId="48CA33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низких температурах нормальные заряды под осколочно-фугасный и кумулятивный снаряды дают неполное сгорание пороха, которое практически допустимо, и остатки картуза, засоряющего затвор.</w:t>
      </w:r>
    </w:p>
    <w:p w14:paraId="10360F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Нормальный заряд под осколочно-фугасный снаряд может быть принят для комплектации выстрелов.</w:t>
      </w:r>
    </w:p>
    <w:p w14:paraId="0501ED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Нормальный заряд под кумулятивный снаряд не удовлетворяет требованиям программы Арткома (начальная скорость 335 м/с и давление в канале ствола не более 1000 кг/см2), и может быть рекомендован как временный для комплектации выстрелов.</w:t>
      </w:r>
    </w:p>
    <w:p w14:paraId="35EFDE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Кучность по щиту удовлетворительная. Кучность осколочно-фугасного снаряда по местности удовлетворительная.</w:t>
      </w:r>
    </w:p>
    <w:p w14:paraId="4E3B43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боекомплект пушки приняты унитарные патроны с осколочно-фугасными и кумулятивными снарядами.</w:t>
      </w:r>
    </w:p>
    <w:p w14:paraId="5286A3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Бронепробиваемость: максимальная толщина гомогенной брони, пробиваемая кумулятивным снарядом под углом 30- к нормали с дистанции 65 м 60 мм.</w:t>
      </w:r>
    </w:p>
    <w:p w14:paraId="122C14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Скорострельность: без исправления наводки с расчетом 3 человека - 13 выстрелов в минуту.</w:t>
      </w:r>
    </w:p>
    <w:p w14:paraId="401D6B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пушки: при стрельбе с бетона недостаточная; при стрельбе с грунта удовлетворительная. Велика сбиваемость наводки.</w:t>
      </w:r>
    </w:p>
    <w:p w14:paraId="43C2ED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заключению комиссии Государственного артиллерийского Краснознаменного полигона:</w:t>
      </w:r>
    </w:p>
    <w:p w14:paraId="280BA4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 своим боевым и эксплуатационным качествам М3-1 может служить орудием непосредственной поддержки пехоты с ограниченной возможностью борьбы с легкими танками.</w:t>
      </w:r>
    </w:p>
    <w:p w14:paraId="61C3A0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Опытный образец испытаний стрельбой в объеме 1375 выстрелов не выдержал. Основной недостаток - неудовлетворительная работа противооткатных устройств и малая живучесть основных деталей тормоза отката.</w:t>
      </w:r>
    </w:p>
    <w:p w14:paraId="28EC28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образец нуждается в доработке, главным образом противооткатных устройств, и устранении ряда других недостатков (3861).</w:t>
      </w:r>
    </w:p>
    <w:p w14:paraId="06E5A3C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2C8CD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НКО был издан приказ № 0320 «О проведении полигонно-войсковых испытаний 76,2-мм танковой пушки завода № 92, установленной в танк Т-34» (10782).</w:t>
      </w:r>
    </w:p>
    <w:p w14:paraId="5C79E6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B929E63" w14:textId="77777777" w:rsidR="009D1F38" w:rsidRPr="00A3026E" w:rsidRDefault="00A3026E" w:rsidP="00A3026E">
      <w:pPr>
        <w:spacing w:after="0" w:line="240" w:lineRule="auto"/>
        <w:jc w:val="both"/>
        <w:rPr>
          <w:rFonts w:ascii="Times New Roman" w:eastAsia="Times New Roman" w:hAnsi="Times New Roman"/>
          <w:color w:val="000000" w:themeColor="text1"/>
          <w:sz w:val="16"/>
          <w:szCs w:val="16"/>
          <w:lang w:eastAsia="ru-RU"/>
        </w:rPr>
      </w:pPr>
      <w:hyperlink r:id="rId98" w:history="1">
        <w:r w:rsidR="009D1F38" w:rsidRPr="00A3026E">
          <w:rPr>
            <w:rFonts w:ascii="Times New Roman" w:eastAsia="Times New Roman" w:hAnsi="Times New Roman"/>
            <w:color w:val="000000" w:themeColor="text1"/>
            <w:sz w:val="16"/>
            <w:szCs w:val="16"/>
            <w:lang w:eastAsia="ru-RU"/>
          </w:rPr>
          <w:t xml:space="preserve">14 </w:t>
        </w:r>
      </w:hyperlink>
      <w:hyperlink r:id="rId99" w:history="1">
        <w:r w:rsidR="009D1F38" w:rsidRPr="00A3026E">
          <w:rPr>
            <w:rFonts w:ascii="Times New Roman" w:eastAsia="Times New Roman" w:hAnsi="Times New Roman"/>
            <w:color w:val="000000" w:themeColor="text1"/>
            <w:sz w:val="16"/>
            <w:szCs w:val="16"/>
            <w:lang w:eastAsia="ru-RU"/>
          </w:rPr>
          <w:t> ноября </w:t>
        </w:r>
      </w:hyperlink>
      <w:hyperlink r:id="rId100" w:history="1">
        <w:r w:rsidR="009D1F38" w:rsidRPr="00A3026E">
          <w:rPr>
            <w:rFonts w:ascii="Times New Roman" w:eastAsia="Times New Roman" w:hAnsi="Times New Roman"/>
            <w:color w:val="000000" w:themeColor="text1"/>
            <w:sz w:val="16"/>
            <w:szCs w:val="16"/>
            <w:lang w:eastAsia="ru-RU"/>
          </w:rPr>
          <w:t> 1940 </w:t>
        </w:r>
      </w:hyperlink>
      <w:r w:rsidR="009D1F38" w:rsidRPr="00A3026E">
        <w:rPr>
          <w:rFonts w:ascii="Times New Roman" w:eastAsia="Times New Roman" w:hAnsi="Times New Roman"/>
          <w:color w:val="000000" w:themeColor="text1"/>
          <w:sz w:val="16"/>
          <w:szCs w:val="16"/>
          <w:lang w:eastAsia="ru-RU"/>
        </w:rPr>
        <w:t xml:space="preserve"> года в </w:t>
      </w:r>
      <w:hyperlink r:id="rId101" w:history="1">
        <w:r w:rsidR="009D1F38" w:rsidRPr="00A3026E">
          <w:rPr>
            <w:rFonts w:ascii="Times New Roman" w:eastAsia="Times New Roman" w:hAnsi="Times New Roman"/>
            <w:color w:val="000000" w:themeColor="text1"/>
            <w:sz w:val="16"/>
            <w:szCs w:val="16"/>
            <w:lang w:eastAsia="ru-RU"/>
          </w:rPr>
          <w:t>НКО</w:t>
        </w:r>
      </w:hyperlink>
      <w:r w:rsidR="009D1F38" w:rsidRPr="00A3026E">
        <w:rPr>
          <w:rFonts w:ascii="Times New Roman" w:eastAsia="Times New Roman" w:hAnsi="Times New Roman"/>
          <w:color w:val="000000" w:themeColor="text1"/>
          <w:sz w:val="16"/>
          <w:szCs w:val="16"/>
          <w:lang w:eastAsia="ru-RU"/>
        </w:rPr>
        <w:t xml:space="preserve"> был издан приказ № 0320 «О проведении полигонно-войсковых испытаний 76-мм танковой пушки Ф-34 </w:t>
      </w:r>
      <w:bookmarkStart w:id="40" w:name="YANDEX_7"/>
      <w:bookmarkEnd w:id="40"/>
      <w:r w:rsidR="009D1F38" w:rsidRPr="00A3026E">
        <w:rPr>
          <w:rFonts w:ascii="Times New Roman" w:eastAsia="Times New Roman" w:hAnsi="Times New Roman"/>
          <w:color w:val="000000" w:themeColor="text1"/>
          <w:sz w:val="16"/>
          <w:szCs w:val="16"/>
          <w:lang w:eastAsia="ru-RU"/>
        </w:rPr>
        <w:t xml:space="preserve"> завода  № 92, установленной в Т-34», в этот же день заместитель наркома обороны СССР, начальник </w:t>
      </w:r>
      <w:hyperlink r:id="rId102" w:history="1">
        <w:r w:rsidR="009D1F38" w:rsidRPr="00A3026E">
          <w:rPr>
            <w:rFonts w:ascii="Times New Roman" w:eastAsia="Times New Roman" w:hAnsi="Times New Roman"/>
            <w:color w:val="000000" w:themeColor="text1"/>
            <w:sz w:val="16"/>
            <w:szCs w:val="16"/>
            <w:lang w:eastAsia="ru-RU"/>
          </w:rPr>
          <w:t>ГАУ</w:t>
        </w:r>
      </w:hyperlink>
      <w:r w:rsidR="009D1F38" w:rsidRPr="00A3026E">
        <w:rPr>
          <w:rFonts w:ascii="Times New Roman" w:eastAsia="Times New Roman" w:hAnsi="Times New Roman"/>
          <w:color w:val="000000" w:themeColor="text1"/>
          <w:sz w:val="16"/>
          <w:szCs w:val="16"/>
          <w:lang w:eastAsia="ru-RU"/>
        </w:rPr>
        <w:t xml:space="preserve"> РККА Маршал Советского Союза </w:t>
      </w:r>
      <w:hyperlink r:id="rId103" w:history="1">
        <w:r w:rsidR="009D1F38" w:rsidRPr="00A3026E">
          <w:rPr>
            <w:rFonts w:ascii="Times New Roman" w:eastAsia="Times New Roman" w:hAnsi="Times New Roman"/>
            <w:color w:val="000000" w:themeColor="text1"/>
            <w:sz w:val="16"/>
            <w:szCs w:val="16"/>
            <w:lang w:eastAsia="ru-RU"/>
          </w:rPr>
          <w:t>Кулик</w:t>
        </w:r>
      </w:hyperlink>
      <w:r w:rsidR="009D1F38" w:rsidRPr="00A3026E">
        <w:rPr>
          <w:rFonts w:ascii="Times New Roman" w:eastAsia="Times New Roman" w:hAnsi="Times New Roman"/>
          <w:color w:val="000000" w:themeColor="text1"/>
          <w:sz w:val="16"/>
          <w:szCs w:val="16"/>
          <w:lang w:eastAsia="ru-RU"/>
        </w:rPr>
        <w:t xml:space="preserve"> утвердил ТТТ на эту пушку.</w:t>
      </w:r>
    </w:p>
    <w:p w14:paraId="52D31042" w14:textId="77777777" w:rsidR="009D1F38" w:rsidRPr="00A3026E" w:rsidRDefault="00A3026E" w:rsidP="00A3026E">
      <w:pPr>
        <w:spacing w:after="0" w:line="240" w:lineRule="auto"/>
        <w:jc w:val="both"/>
        <w:rPr>
          <w:rFonts w:ascii="Times New Roman" w:eastAsia="Times New Roman" w:hAnsi="Times New Roman"/>
          <w:color w:val="000000" w:themeColor="text1"/>
          <w:sz w:val="16"/>
          <w:szCs w:val="16"/>
          <w:lang w:eastAsia="ru-RU"/>
        </w:rPr>
      </w:pPr>
      <w:hyperlink r:id="rId104" w:history="1">
        <w:r w:rsidR="009D1F38" w:rsidRPr="00A3026E">
          <w:rPr>
            <w:rFonts w:ascii="Times New Roman" w:eastAsia="Times New Roman" w:hAnsi="Times New Roman"/>
            <w:color w:val="000000" w:themeColor="text1"/>
            <w:sz w:val="16"/>
            <w:szCs w:val="16"/>
            <w:lang w:eastAsia="ru-RU"/>
          </w:rPr>
          <w:t>21</w:t>
        </w:r>
      </w:hyperlink>
      <w:r w:rsidR="009D1F38" w:rsidRPr="00A3026E">
        <w:rPr>
          <w:rFonts w:ascii="Times New Roman" w:eastAsia="Times New Roman" w:hAnsi="Times New Roman"/>
          <w:color w:val="000000" w:themeColor="text1"/>
          <w:sz w:val="16"/>
          <w:szCs w:val="16"/>
          <w:lang w:eastAsia="ru-RU"/>
        </w:rPr>
        <w:t>-</w:t>
      </w:r>
      <w:hyperlink r:id="rId105" w:history="1">
        <w:r w:rsidR="009D1F38" w:rsidRPr="00A3026E">
          <w:rPr>
            <w:rFonts w:ascii="Times New Roman" w:eastAsia="Times New Roman" w:hAnsi="Times New Roman"/>
            <w:color w:val="000000" w:themeColor="text1"/>
            <w:sz w:val="16"/>
            <w:szCs w:val="16"/>
            <w:lang w:eastAsia="ru-RU"/>
          </w:rPr>
          <w:t xml:space="preserve">23 </w:t>
        </w:r>
      </w:hyperlink>
      <w:bookmarkStart w:id="41" w:name="YANDEX_8"/>
      <w:bookmarkEnd w:id="41"/>
      <w:r w:rsidR="00CB3A4D" w:rsidRPr="00A3026E">
        <w:rPr>
          <w:rFonts w:ascii="Times New Roman" w:eastAsia="Times New Roman" w:hAnsi="Times New Roman"/>
          <w:color w:val="000000" w:themeColor="text1"/>
          <w:sz w:val="16"/>
          <w:szCs w:val="16"/>
          <w:lang w:eastAsia="ru-RU"/>
        </w:rPr>
        <w:fldChar w:fldCharType="begin"/>
      </w:r>
      <w:r w:rsidR="009D1F38" w:rsidRPr="00A3026E">
        <w:rPr>
          <w:rFonts w:ascii="Times New Roman" w:eastAsia="Times New Roman" w:hAnsi="Times New Roman"/>
          <w:color w:val="000000" w:themeColor="text1"/>
          <w:sz w:val="16"/>
          <w:szCs w:val="16"/>
          <w:lang w:eastAsia="ru-RU"/>
        </w:rPr>
        <w:instrText xml:space="preserve"> HYPERLINK "http://dic.academic.ru/dic.nsf/ruwiki/3073" </w:instrText>
      </w:r>
      <w:r w:rsidR="00CB3A4D" w:rsidRPr="00A3026E">
        <w:rPr>
          <w:rFonts w:ascii="Times New Roman" w:eastAsia="Times New Roman" w:hAnsi="Times New Roman"/>
          <w:color w:val="000000" w:themeColor="text1"/>
          <w:sz w:val="16"/>
          <w:szCs w:val="16"/>
          <w:lang w:eastAsia="ru-RU"/>
        </w:rPr>
        <w:fldChar w:fldCharType="separate"/>
      </w:r>
      <w:r w:rsidR="009D1F38" w:rsidRPr="00A3026E">
        <w:rPr>
          <w:rFonts w:ascii="Times New Roman" w:eastAsia="Times New Roman" w:hAnsi="Times New Roman"/>
          <w:color w:val="000000" w:themeColor="text1"/>
          <w:sz w:val="16"/>
          <w:szCs w:val="16"/>
          <w:lang w:eastAsia="ru-RU"/>
        </w:rPr>
        <w:t> ноября </w:t>
      </w:r>
      <w:r w:rsidR="00CB3A4D" w:rsidRPr="00A3026E">
        <w:rPr>
          <w:rFonts w:ascii="Times New Roman" w:eastAsia="Times New Roman" w:hAnsi="Times New Roman"/>
          <w:color w:val="000000" w:themeColor="text1"/>
          <w:sz w:val="16"/>
          <w:szCs w:val="16"/>
          <w:lang w:eastAsia="ru-RU"/>
        </w:rPr>
        <w:fldChar w:fldCharType="end"/>
      </w:r>
      <w:bookmarkStart w:id="42" w:name="YANDEX_9"/>
      <w:bookmarkEnd w:id="42"/>
      <w:r w:rsidR="00CB3A4D" w:rsidRPr="00A3026E">
        <w:rPr>
          <w:rFonts w:ascii="Times New Roman" w:eastAsia="Times New Roman" w:hAnsi="Times New Roman"/>
          <w:color w:val="000000" w:themeColor="text1"/>
          <w:sz w:val="16"/>
          <w:szCs w:val="16"/>
          <w:lang w:eastAsia="ru-RU"/>
        </w:rPr>
        <w:fldChar w:fldCharType="begin"/>
      </w:r>
      <w:r w:rsidR="009D1F38" w:rsidRPr="00A3026E">
        <w:rPr>
          <w:rFonts w:ascii="Times New Roman" w:eastAsia="Times New Roman" w:hAnsi="Times New Roman"/>
          <w:color w:val="000000" w:themeColor="text1"/>
          <w:sz w:val="16"/>
          <w:szCs w:val="16"/>
          <w:lang w:eastAsia="ru-RU"/>
        </w:rPr>
        <w:instrText xml:space="preserve"> HYPERLINK "http://dic.academic.ru/dic.nsf/ruwiki/1208" </w:instrText>
      </w:r>
      <w:r w:rsidR="00CB3A4D" w:rsidRPr="00A3026E">
        <w:rPr>
          <w:rFonts w:ascii="Times New Roman" w:eastAsia="Times New Roman" w:hAnsi="Times New Roman"/>
          <w:color w:val="000000" w:themeColor="text1"/>
          <w:sz w:val="16"/>
          <w:szCs w:val="16"/>
          <w:lang w:eastAsia="ru-RU"/>
        </w:rPr>
        <w:fldChar w:fldCharType="separate"/>
      </w:r>
      <w:r w:rsidR="009D1F38" w:rsidRPr="00A3026E">
        <w:rPr>
          <w:rFonts w:ascii="Times New Roman" w:eastAsia="Times New Roman" w:hAnsi="Times New Roman"/>
          <w:color w:val="000000" w:themeColor="text1"/>
          <w:sz w:val="16"/>
          <w:szCs w:val="16"/>
          <w:lang w:eastAsia="ru-RU"/>
        </w:rPr>
        <w:t> 1940 </w:t>
      </w:r>
      <w:r w:rsidR="00CB3A4D" w:rsidRPr="00A3026E">
        <w:rPr>
          <w:rFonts w:ascii="Times New Roman" w:eastAsia="Times New Roman" w:hAnsi="Times New Roman"/>
          <w:color w:val="000000" w:themeColor="text1"/>
          <w:sz w:val="16"/>
          <w:szCs w:val="16"/>
          <w:lang w:eastAsia="ru-RU"/>
        </w:rPr>
        <w:fldChar w:fldCharType="end"/>
      </w:r>
      <w:r w:rsidR="009D1F38" w:rsidRPr="00A3026E">
        <w:rPr>
          <w:rFonts w:ascii="Times New Roman" w:eastAsia="Times New Roman" w:hAnsi="Times New Roman"/>
          <w:color w:val="000000" w:themeColor="text1"/>
          <w:sz w:val="16"/>
          <w:szCs w:val="16"/>
          <w:lang w:eastAsia="ru-RU"/>
        </w:rPr>
        <w:t xml:space="preserve"> года танк Т-34 с установленной пушкой подвергся интенсивным испытаниям на Гороховецком полигоне </w:t>
      </w:r>
      <w:hyperlink r:id="rId106" w:history="1">
        <w:r w:rsidR="009D1F38" w:rsidRPr="00A3026E">
          <w:rPr>
            <w:rFonts w:ascii="Times New Roman" w:eastAsia="Times New Roman" w:hAnsi="Times New Roman"/>
            <w:color w:val="000000" w:themeColor="text1"/>
            <w:sz w:val="16"/>
            <w:szCs w:val="16"/>
            <w:lang w:eastAsia="ru-RU"/>
          </w:rPr>
          <w:t>МВО</w:t>
        </w:r>
      </w:hyperlink>
      <w:r w:rsidR="009D1F38" w:rsidRPr="00A3026E">
        <w:rPr>
          <w:rFonts w:ascii="Times New Roman" w:eastAsia="Times New Roman" w:hAnsi="Times New Roman"/>
          <w:color w:val="000000" w:themeColor="text1"/>
          <w:sz w:val="16"/>
          <w:szCs w:val="16"/>
          <w:lang w:eastAsia="ru-RU"/>
        </w:rPr>
        <w:t xml:space="preserve"> (за три дня было произведено 2807 выстрелов). Комиссия в составе главного конструктора </w:t>
      </w:r>
      <w:bookmarkStart w:id="43" w:name="YANDEX_10"/>
      <w:bookmarkEnd w:id="43"/>
      <w:r w:rsidR="009D1F38" w:rsidRPr="00A3026E">
        <w:rPr>
          <w:rFonts w:ascii="Times New Roman" w:eastAsia="Times New Roman" w:hAnsi="Times New Roman"/>
          <w:color w:val="000000" w:themeColor="text1"/>
          <w:sz w:val="16"/>
          <w:szCs w:val="16"/>
          <w:lang w:eastAsia="ru-RU"/>
        </w:rPr>
        <w:t xml:space="preserve"> завода  № 92 генерал-майора </w:t>
      </w:r>
      <w:hyperlink r:id="rId107" w:history="1">
        <w:r w:rsidR="009D1F38" w:rsidRPr="00A3026E">
          <w:rPr>
            <w:rFonts w:ascii="Times New Roman" w:eastAsia="Times New Roman" w:hAnsi="Times New Roman"/>
            <w:color w:val="000000" w:themeColor="text1"/>
            <w:sz w:val="16"/>
            <w:szCs w:val="16"/>
            <w:lang w:eastAsia="ru-RU"/>
          </w:rPr>
          <w:t>В. Г. Грабина</w:t>
        </w:r>
      </w:hyperlink>
      <w:r w:rsidR="009D1F38" w:rsidRPr="00A3026E">
        <w:rPr>
          <w:rFonts w:ascii="Times New Roman" w:eastAsia="Times New Roman" w:hAnsi="Times New Roman"/>
          <w:color w:val="000000" w:themeColor="text1"/>
          <w:sz w:val="16"/>
          <w:szCs w:val="16"/>
          <w:lang w:eastAsia="ru-RU"/>
        </w:rPr>
        <w:t xml:space="preserve">, начальника кафедры артиллерии ВАММ военного инженера 1-го ранга Н. С. Огурцова, представителя 14-й танковой дивизии </w:t>
      </w:r>
      <w:hyperlink r:id="rId108" w:history="1">
        <w:r w:rsidR="009D1F38" w:rsidRPr="00A3026E">
          <w:rPr>
            <w:rFonts w:ascii="Times New Roman" w:eastAsia="Times New Roman" w:hAnsi="Times New Roman"/>
            <w:color w:val="000000" w:themeColor="text1"/>
            <w:sz w:val="16"/>
            <w:szCs w:val="16"/>
            <w:lang w:eastAsia="ru-RU"/>
          </w:rPr>
          <w:t>лейтенанта</w:t>
        </w:r>
      </w:hyperlink>
      <w:r w:rsidR="009D1F38" w:rsidRPr="00A3026E">
        <w:rPr>
          <w:rFonts w:ascii="Times New Roman" w:eastAsia="Times New Roman" w:hAnsi="Times New Roman"/>
          <w:color w:val="000000" w:themeColor="text1"/>
          <w:sz w:val="16"/>
          <w:szCs w:val="16"/>
          <w:lang w:eastAsia="ru-RU"/>
        </w:rPr>
        <w:t xml:space="preserve"> Амелина и конструктора </w:t>
      </w:r>
      <w:bookmarkStart w:id="44" w:name="YANDEX_11"/>
      <w:bookmarkEnd w:id="44"/>
      <w:r w:rsidR="009D1F38" w:rsidRPr="00A3026E">
        <w:rPr>
          <w:rFonts w:ascii="Times New Roman" w:eastAsia="Times New Roman" w:hAnsi="Times New Roman"/>
          <w:color w:val="000000" w:themeColor="text1"/>
          <w:sz w:val="16"/>
          <w:szCs w:val="16"/>
          <w:lang w:eastAsia="ru-RU"/>
        </w:rPr>
        <w:t xml:space="preserve"> завода  № 92 </w:t>
      </w:r>
      <w:hyperlink r:id="rId109" w:history="1">
        <w:r w:rsidR="009D1F38" w:rsidRPr="00A3026E">
          <w:rPr>
            <w:rFonts w:ascii="Times New Roman" w:eastAsia="Times New Roman" w:hAnsi="Times New Roman"/>
            <w:color w:val="000000" w:themeColor="text1"/>
            <w:sz w:val="16"/>
            <w:szCs w:val="16"/>
            <w:lang w:eastAsia="ru-RU"/>
          </w:rPr>
          <w:t>П. Ф. Муравьёва</w:t>
        </w:r>
      </w:hyperlink>
      <w:r w:rsidR="009D1F38" w:rsidRPr="00A3026E">
        <w:rPr>
          <w:rFonts w:ascii="Times New Roman" w:eastAsia="Times New Roman" w:hAnsi="Times New Roman"/>
          <w:color w:val="000000" w:themeColor="text1"/>
          <w:sz w:val="16"/>
          <w:szCs w:val="16"/>
          <w:lang w:eastAsia="ru-RU"/>
        </w:rPr>
        <w:t xml:space="preserve"> по результатам полигонно-войсковых испытаний сделала вывод, что «76-мм танковая пушка Ф-34 является вполне современной пушкой для Т-34» и в заключении предложила рекомендовать танковую пушку Ф-34 на вооружение танка Т-34.</w:t>
      </w:r>
    </w:p>
    <w:p w14:paraId="06239B15" w14:textId="77777777" w:rsidR="009D1F38" w:rsidRPr="00A3026E" w:rsidRDefault="009D1F38" w:rsidP="00A3026E">
      <w:pPr>
        <w:spacing w:after="0" w:line="240" w:lineRule="auto"/>
        <w:jc w:val="both"/>
        <w:rPr>
          <w:rFonts w:ascii="Times New Roman" w:eastAsia="Times New Roman" w:hAnsi="Times New Roman"/>
          <w:bCs/>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После внесения изменений в конструкцию, в июле 1941 года орудие было принято на вооружение </w:t>
      </w:r>
      <w:hyperlink r:id="rId110" w:history="1">
        <w:r w:rsidRPr="00A3026E">
          <w:rPr>
            <w:rFonts w:ascii="Times New Roman" w:eastAsia="Times New Roman" w:hAnsi="Times New Roman"/>
            <w:color w:val="000000" w:themeColor="text1"/>
            <w:sz w:val="16"/>
            <w:szCs w:val="16"/>
            <w:lang w:eastAsia="ru-RU"/>
          </w:rPr>
          <w:t>Красной армии</w:t>
        </w:r>
      </w:hyperlink>
      <w:r w:rsidRPr="00A3026E">
        <w:rPr>
          <w:rFonts w:ascii="Times New Roman" w:eastAsia="Times New Roman" w:hAnsi="Times New Roman"/>
          <w:color w:val="000000" w:themeColor="text1"/>
          <w:sz w:val="16"/>
          <w:szCs w:val="16"/>
          <w:lang w:eastAsia="ru-RU"/>
        </w:rPr>
        <w:t xml:space="preserve"> под официальным наименованием </w:t>
      </w:r>
      <w:r w:rsidRPr="00A3026E">
        <w:rPr>
          <w:rFonts w:ascii="Times New Roman" w:eastAsia="Times New Roman" w:hAnsi="Times New Roman"/>
          <w:bCs/>
          <w:color w:val="000000" w:themeColor="text1"/>
          <w:sz w:val="16"/>
          <w:szCs w:val="16"/>
          <w:lang w:eastAsia="ru-RU"/>
        </w:rPr>
        <w:t>76-мм танковая пушка обр.  1940  г. (17420).</w:t>
      </w:r>
    </w:p>
    <w:p w14:paraId="1F0125B6" w14:textId="77777777" w:rsidR="009D1F38" w:rsidRPr="00A3026E" w:rsidRDefault="009D1F38" w:rsidP="00A3026E">
      <w:pPr>
        <w:spacing w:after="0" w:line="240" w:lineRule="auto"/>
        <w:jc w:val="both"/>
        <w:rPr>
          <w:rFonts w:ascii="Times New Roman" w:eastAsia="Times New Roman" w:hAnsi="Times New Roman"/>
          <w:color w:val="000000" w:themeColor="text1"/>
          <w:sz w:val="16"/>
          <w:szCs w:val="16"/>
          <w:lang w:eastAsia="ru-RU"/>
        </w:rPr>
      </w:pPr>
    </w:p>
    <w:p w14:paraId="0A1069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года Приказом наркома обороны №0320 и дополнительно устным приказанием Маршала Советского Союза Г. Кулика, с 20 по 23 ноября 1940 года на заводе № 92и на Гороховецком полигоне МВО прошли приемка и поли- гонно-войсковые испытания 76-мм пушки Ф-34 в танке Т-34 комиссией под председательством начальника 3-го отдела УБП ГАУ полковника Горбатова. От завода № 92 на испытаниях присутствовал и В. Грабин.</w:t>
      </w:r>
    </w:p>
    <w:p w14:paraId="32B0BC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Артсистема поступила в распоряжение комиссии 20 ноября, она была собрана и смонтирована в танк к вечеру того же дня. Монтаж и отладка нового мотора в Т-34 были закончены только 21 ноября. Чертежи системы поступили в распоряжение комиссии 20 ноября.</w:t>
      </w:r>
    </w:p>
    <w:p w14:paraId="413F15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три дня из пушки было выпущено 2807 снарядов, а на тактических занятиях экипаж, выделенный из 14-й танковой дивизии, расстрелял боекомплект (77 выстрелов) с хода за 44 минуты, добившись при этом 11 прямых попаданий. Танкисты показали скорострельность 3 выстрела в минуту, а в некоторых ситуациях она доходила до 5 выстрелов в минуту. Кроме того, орудие показало и хорошие результаты по кучности боя на дистанции в 1000 метров. В своем заключении комиссия, проводившая испытания, писала:</w:t>
      </w:r>
    </w:p>
    <w:p w14:paraId="2C2DFD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«76-мм танковая пушка Ф-34 испытание выдержала. Комиссия считает возможным рекомендовать ее для принятия на вооружение танка Т-34» (12217).</w:t>
      </w:r>
    </w:p>
    <w:p w14:paraId="7B738CF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AF4DDF1"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14 ноября 1940 года пробег трех танков Т-34 (Т-34 № 608-01, 423-41 и 547-29, на время испытаний эти машины получили условные наименования «танк № 1», «танк № 2» и «танк № 3») был продолжен. Колонна, двигаясь по шоссе со смешенным покрытием, а затем по старому почтовому тракту, в этот день преодолела участок Кубинка – Руза – Можайск – Гжатск – Вязьма протяженностью 270 км. В районе 40 км северо-восточнее Вязьмы на танке № 1 из-за разрушения лопаток был заменён центробежный вентилятор системы охлаждения двигателя. На этой же машине во время ремонта в связи с износом и короблением были заменены диски в главном фрикционе. </w:t>
      </w:r>
    </w:p>
    <w:p w14:paraId="3EF32F28"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только отремонтированный танк № 1 прибыл в Вязьму, где для остальных участников пробега был организован малый привал, марш был продолжен, и к исходу 15 ноября 1940 г., пройдя 244 км, колонна прибыла в Смоленск. В этом старинном русском городе в течение трёх дней производилось техническое обслуживание, и осуществлялся ремонт танков Т-34 – на танке № 2 были заменены на новые разрушившийся центробежный вентилятор системы охлаждения двигателя и диски в главном фрикционе. На танке № 3 из-за коробления также были заменены диски главного фрикциона. </w:t>
      </w:r>
    </w:p>
    <w:p w14:paraId="1264EBBF"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того как танки Т-34 были приведены в надлежащее состояние пробег был продолжен, 19 и 20 ноября 1940 г. маршрут пробега проходил в основном по дорогам Белоруссии. После двухдневного марша протяжённостью свыше 370 км в Гомеле был организован большой привал. В течение 21 ноября 1940 г. личный состав занимался обслуживанием техники и производил текущий ремонт танков. В пятницу 22 ноября 1940 г. колонна продолжила движение и к вечеру 23 ноября 1940 г. прибыла в Киевское танко-техническое училище (КТТУ). За два дня танки Т-34 в среднем прошли по 230 км, притом и в эти дни не обошлось без серьезных поломок. В районе Чернигова на танке № 3 в очередной раз вышел из строя главный фрикцион. В полевых условиях диски главного фрикциона были заменены на новые, кроме этого на танке № 3 был заменен центробежный вентилятор системы охлаждения двигателя, в котором начали разрушаться лопатки. </w:t>
      </w:r>
    </w:p>
    <w:p w14:paraId="44B4CC89"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воскресенье, 24 ноября 1940 г., основное внимание участников пробега было сосредоточено на подготовке танков к предстоящей стрельбе. Согласно программе испытания вооружения танков Т-34 боевой стрельбой на первом этапе экипажам предстояло выполнить огневую задачу в составе танкового взвода, а на втором – каждым танком самостоятельно. </w:t>
      </w:r>
    </w:p>
    <w:p w14:paraId="67178EEA"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Условия выполнения огневой задачи в составе взвода, по отношению к стрельбам, проведенным в Кубинке, были несколько упрощены: </w:t>
      </w:r>
    </w:p>
    <w:p w14:paraId="0DD29D79"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«Цели №№ 12, 19 снимаются. Вместо цели № 2 (надолбы) вводится цель № 2а (минное поле). При разрушении минного поля огонь ведется одновременно из 3-х танков с остановки. </w:t>
      </w:r>
    </w:p>
    <w:p w14:paraId="63EFE519"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этом выполнении определяется скорострельность пушек и концентрация СО и СО2. </w:t>
      </w:r>
    </w:p>
    <w:p w14:paraId="0534EE7D"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Количество снарядов 30 шт., по 10 штук на каждый танк. После разрушения цели № 2а, три танка проходят вперед и ведут огонь: танк № 1 и № 2 по цели №№ 43, 16, 13 (Взвод полковой артиллерии. Дистанция от линии огня 1900 мт. Количество снарядов 14 шт., по 7 снарядов на каждый танк), и танк № 3 обстреливает цель № 31 (амбразура ДОТа. Дистанция от линии огня 800 мт. Количество снарядов 7 штук). </w:t>
      </w:r>
    </w:p>
    <w:p w14:paraId="5AADF54B"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Расход боеприпасов – снарядов 76,2 – 71 шт.».</w:t>
      </w:r>
    </w:p>
    <w:p w14:paraId="5EA82DD0"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15]</w:t>
      </w:r>
    </w:p>
    <w:p w14:paraId="74F27028"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касается условий выполнения упражнения при стрельбе одиночным танком, то они были хорошо известны экипажам, так как полностью соответствовали Курсу огневой подготовки 1939 г. (КОП-39). (18173).</w:t>
      </w:r>
    </w:p>
    <w:p w14:paraId="13C5A871" w14:textId="77777777" w:rsidR="006F29FD" w:rsidRPr="00A3026E" w:rsidRDefault="006F29FD" w:rsidP="00A3026E">
      <w:pPr>
        <w:spacing w:after="0" w:line="240" w:lineRule="auto"/>
        <w:jc w:val="both"/>
        <w:rPr>
          <w:rFonts w:ascii="Times New Roman" w:hAnsi="Times New Roman"/>
          <w:color w:val="000000" w:themeColor="text1"/>
          <w:sz w:val="16"/>
          <w:szCs w:val="16"/>
        </w:rPr>
      </w:pPr>
    </w:p>
    <w:p w14:paraId="20DBBEE9"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г. в распоряжении № 57 начальника корпусного отдела «700» Ф.В. Савостина в частности было указано: </w:t>
      </w:r>
    </w:p>
    <w:p w14:paraId="2937AB8A"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быстрейшего освоения сварки аустенитными электродами в производстве "700" и соответствующего использования опыта НИИ-48 по сварке такими электродами, – ПРЕДЛАГАЮ: </w:t>
      </w:r>
    </w:p>
    <w:p w14:paraId="57BC9E21"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т. ЗОЛОТАРЕВУ совместно с представителем НИИ-48 т. ЯШИНЫМ представить мне технические условия на компоненты и электроды и технологический процесс на изготовление обмазки и электродов. Срок 14.XI-1940 г. </w:t>
      </w:r>
    </w:p>
    <w:p w14:paraId="7A0B3F63"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 ЧУДНОВСКОМУ: а) Заготовить компоненты для обмазки в соответствии с техническими условиями, в количестве необходимом для выполнения задания. Срок 15.XI-1940 г. </w:t>
      </w:r>
    </w:p>
    <w:p w14:paraId="1C8BAC48"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Произвести подготовку 300 кгр. аустенитовых электродов (сортировку по длине, очистку окалины и т.д.) и их обмазку согласно техпроцессов. Срок 18.XI-1940 г. </w:t>
      </w:r>
    </w:p>
    <w:p w14:paraId="355D0E9D"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Н-ку "748" т. СИДОРОВУ с 17.XI-1940 г. для освоения сварки аустенитовыми электродами обязать мастеров-инструкторов т. ШЕЛАМОВА и т. МИНАКОВА одновременно с выполнением ими прямых обязанностей приобрести от т. ЯШИНА навыки по сварке. </w:t>
      </w:r>
    </w:p>
    <w:p w14:paraId="4E066950"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Также выделить с 18.XI-1940 г. на срок 10 дней в распоряжение т. ЯШИНА сварщика т. ШЕВЧЕНКО В.М. с освобождением от производственных работ для освоения сварки аустенитовыми электродами и последующего обучения им сварке этими электродами группы сварщиков. </w:t>
      </w:r>
    </w:p>
    <w:p w14:paraId="6702F874"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Мастерам-инструкторам т. ШЕЛАМОВУ и т. МИНАКОВУ и сварщику т. ШЕВЧЕНКО произвести обучение сварщиков сварке аустенитовыми электродами: </w:t>
      </w:r>
    </w:p>
    <w:p w14:paraId="78026489"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22.XI-1940 г. – 5 сварщиков </w:t>
      </w:r>
    </w:p>
    <w:p w14:paraId="0ED7D947"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25.XI-1940 г. – 10 сварщиков. </w:t>
      </w:r>
    </w:p>
    <w:p w14:paraId="09B735DD"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т. ЗОЛОТАРЕВУ и т. ЯШИНУ разработать программы обучения и испытания сварщиков и представить мне на утверждение 18.XI-1940 г. </w:t>
      </w:r>
    </w:p>
    <w:p w14:paraId="549A142F"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Сварщиков, прошедших обучение подвергнуть испытаниям в комиссии по утвержденной мною программе. </w:t>
      </w:r>
    </w:p>
    <w:p w14:paraId="3605320E"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Нач. "748" т. СИДОРОВУ с 22.XI-1940 г. приступить к сборке и сварке коробок [корпусов] с применением аустенитовых электродов в узлах, оговоренных в перечне мероприятий, утвержденных ЗД т. МАХОНИНЫМ. Сборку и сварку вести точно по технологическому процессу, разработанному т. ЯШИНЫМ и под его наблюдением, закончить не позднее 27.XI-1940 г. </w:t>
      </w:r>
    </w:p>
    <w:p w14:paraId="005E1AE8"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Общее наблюдение за точным выполнением настоящего распоряжения возлагаю на т. ЗОЛОТАРЕВА».</w:t>
      </w:r>
    </w:p>
    <w:p w14:paraId="353AE543" w14:textId="77777777" w:rsidR="006F29FD" w:rsidRPr="00A3026E" w:rsidRDefault="006F29F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157. Л. 148] (18206).</w:t>
      </w:r>
    </w:p>
    <w:p w14:paraId="2F7A10E9" w14:textId="77777777" w:rsidR="006F29FD" w:rsidRPr="00A3026E" w:rsidRDefault="006F29FD" w:rsidP="00A3026E">
      <w:pPr>
        <w:spacing w:after="0" w:line="240" w:lineRule="auto"/>
        <w:jc w:val="both"/>
        <w:rPr>
          <w:rFonts w:ascii="Times New Roman" w:hAnsi="Times New Roman"/>
          <w:color w:val="000000" w:themeColor="text1"/>
          <w:sz w:val="16"/>
          <w:szCs w:val="16"/>
        </w:rPr>
      </w:pPr>
    </w:p>
    <w:p w14:paraId="696757B7"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 ноября 1940 г.</w:t>
      </w:r>
    </w:p>
    <w:p w14:paraId="3C9D007D"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ГАРФ Фонд Р8418 Опись 24 Дело 960 Лист 23</w:t>
      </w:r>
    </w:p>
    <w:p w14:paraId="6E28A2A9"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Секретно</w:t>
      </w:r>
    </w:p>
    <w:p w14:paraId="27F512C6"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Экз. № 1</w:t>
      </w:r>
    </w:p>
    <w:p w14:paraId="7FDE06A0"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 ноября 1940 г.</w:t>
      </w:r>
    </w:p>
    <w:p w14:paraId="03B11A05"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01701</w:t>
      </w:r>
    </w:p>
    <w:p w14:paraId="3C3FE8E4"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КОМИТЕТ ОБОРОНЫ ПРИ СНК СССР</w:t>
      </w:r>
    </w:p>
    <w:p w14:paraId="7AD639B5"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ПОЛКОВНИКУ – т. ЩЕРБАКОВУ.</w:t>
      </w:r>
    </w:p>
    <w:p w14:paraId="0770CE84"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дополнение к н/№ 01673 от 6.11.40 г.</w:t>
      </w:r>
    </w:p>
    <w:p w14:paraId="0DAF57E0"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этом препровождаю краткое описание и синьки к техническому проекту "Планетарной трансмиссии для Т-34".</w:t>
      </w:r>
    </w:p>
    <w:p w14:paraId="1ACAEF83"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ПРИЛОЖЕНИЕ: Упомянутое на 9 листах (только адресату).</w:t>
      </w:r>
    </w:p>
    <w:p w14:paraId="765344D6"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НАЧАЛЬНИК НАУЧНО-ИССЛЕДОВАТЕЛЬСКОГО ОТДЕЛЕНИЯ</w:t>
      </w:r>
    </w:p>
    <w:p w14:paraId="7384B42F"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БРИГИНЖЕНЕР подпись (ДАВИДОВИЧ)</w:t>
      </w:r>
    </w:p>
    <w:p w14:paraId="45016563"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Отп. в 2 экз.</w:t>
      </w:r>
    </w:p>
    <w:p w14:paraId="619B599C"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Исп. Шайн</w:t>
      </w:r>
    </w:p>
    <w:p w14:paraId="1FC99CED"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ГАРФ Фонд Р8418 Опись 24 Дело 960 Лист 24 – 31</w:t>
      </w:r>
    </w:p>
    <w:p w14:paraId="1495EF1E"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Секретно</w:t>
      </w:r>
    </w:p>
    <w:p w14:paraId="5702FC28"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Экз. № 1</w:t>
      </w:r>
    </w:p>
    <w:p w14:paraId="28907575"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КРАТКОЕ ОПИСАНИЕ ПЛАНЕТАРНОЙ ТРАНСМИССИИ ДЛЯ Т-34.</w:t>
      </w:r>
    </w:p>
    <w:p w14:paraId="48F6C4B2"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Принципиальная схема.</w:t>
      </w:r>
    </w:p>
    <w:p w14:paraId="3DE4CD89"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Вся трансмиссия состоит из следующих основных агрегатов:</w:t>
      </w:r>
    </w:p>
    <w:p w14:paraId="0DADD7B1"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главный редуктор, размещаемый на носке коленчатого вала, имеющий три передачи;</w:t>
      </w:r>
    </w:p>
    <w:p w14:paraId="61384963"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поперечная передача (коническая пара);</w:t>
      </w:r>
    </w:p>
    <w:p w14:paraId="47643B9F"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бортовые редукторы (по одному на борт), дающие по две ступени прямого хода и одну ступень заднего;</w:t>
      </w:r>
    </w:p>
    <w:p w14:paraId="6B5028BD"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бортовые передачи с постоянным передаточным числом, оставляемые без изменений (серийные).</w:t>
      </w:r>
    </w:p>
    <w:p w14:paraId="7D37BCAA"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Главный редуктор (см. схему) размещается на носке коленчатого вала двигателя и состоит из двух планетарных рядов, заключенных во вращающийся картер.</w:t>
      </w:r>
    </w:p>
    <w:p w14:paraId="5E4DB613"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затягивании тормоза Т, солнечная шестерня первого ряда (Z1 = 40) неподвижна, ведет венец внутреннего зацепления (Z1 = 72), оси сателлитов являются ведомым элементом. Включена медленная ступень (см. план скоростей).</w:t>
      </w:r>
    </w:p>
    <w:p w14:paraId="664EDB87"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включении фрикциона (Ф) весь главный редуктор вращается как одно целое.</w:t>
      </w:r>
    </w:p>
    <w:p w14:paraId="7A48C812"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затягивании тормоза (Т2) неподвижная солнечная шестерня второго ряда (Z2 = 38), ведущими являются оси сателлитов, ведомым – венец внутреннего зацепления второго ряда (Z2 = 82), связанный в одно целое с водилом первого ряда. Передаточное отношение и план скоростей показан на схеме.</w:t>
      </w:r>
    </w:p>
    <w:p w14:paraId="5530484F"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Бортовой редуктор – представляет собой однорядную планетарную передачу с внутренним зацеплением с ведущей солнечной шестерней (Z1 = 28), ведомыми осями сателлитов и тормозным венцом внутреннего зацепления Z1 = 64.</w:t>
      </w:r>
    </w:p>
    <w:p w14:paraId="3852DC96"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Редукторы каждого борта (в пером варианте) имеют два фрикциона и два тормоза, с помощью которых на борту м.б. включены либо медленная либо быстрая ступени или задний ход.</w:t>
      </w:r>
    </w:p>
    <w:p w14:paraId="5DE530D2"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Медленная ступень – осуществляется при затягивании тормоза (Т1), сидящего на дополнительном валике заднего хода и связанного через пару шестерен (Z = 24 и Z = 55) с венцом внутреннего зацепления. При этом фрикционы включены. Передаточное отношение см. на схеме.</w:t>
      </w:r>
    </w:p>
    <w:p w14:paraId="3C8EC952"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Быстрая ступень – осуществляется включением фрикционов (Ф), при этом передаточное отношение редуктора равно единице.</w:t>
      </w:r>
    </w:p>
    <w:p w14:paraId="4CCE313F"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Задний ход включается с помощью фрикциона заднего хода (Фзх), соединяющего венец внутреннего зацепления (Z1 = 64) с дополнительным поперечным валиком.</w:t>
      </w:r>
    </w:p>
    <w:p w14:paraId="1D440B4A"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Сочетание этих передаточных отношений дает 6 передач вперед и 3 назад. Последовательность включения следующая:</w:t>
      </w:r>
    </w:p>
    <w:p w14:paraId="5671E1B6"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Первые три передачи осуществляются последовательно тремя ступенями главного редуктора с низшей передачей бортового редуктора. Три высших передачи (4, 5 и 6) осуществляются также последовательно тремя ступенями главного редуктора, но с быстрой ступенью бортового редуктора, когда последний вращается как одно целое без относительного вращения планетарных шестерен.</w:t>
      </w:r>
    </w:p>
    <w:p w14:paraId="69ECD610"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Поворот на высших передачах осуществляется выключением фрикциона быстрой ступени на отстающей стороне и включением медленной, т.е. затягиванием (если есть необходимость в крутом повороте) тормоза медленной ступени.</w:t>
      </w:r>
    </w:p>
    <w:p w14:paraId="3DDD0093"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Поворот на низших (1, 2 и 3) передачах осуществляется выключением тормоза медленной ступени, что соответствует выключению одной гусеницы и включением фрикциона заднего хода, что соответствует вращению гусеницы в противоположном направлении. Если нет необходимости в крутом повороте, то фрикцион заднего хода включается не полностью, подобно тому, как при бортовых фрикционах пробуксовывает тормоз при повороте.</w:t>
      </w:r>
    </w:p>
    <w:p w14:paraId="626BDC4B"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Управление передачами сведено к рычагу кулисы (избирателю скорости) и педали, выполняющей роль педали главного фрикциона. Процесс переключения таков же как и при обычной трансмиссии; при нажатии на педаль выключается предыдущая передача, рычагом кулисы избирается последующая – отпусканием педали включается избранная передача.</w:t>
      </w:r>
    </w:p>
    <w:p w14:paraId="5EEF21BB"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Управление поворотами сведено к двум бортовым рычагам. При повороте направо, потянув рычаг правого борта на себя, выключается предыдущая ступень на борту, при дальнейшем движении рычага включается низшая ступень на борту или задняя, в зависимости от того, на какой передаче происходило прямолинейное движение.</w:t>
      </w:r>
    </w:p>
    <w:p w14:paraId="16EDDFC6"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Применение беспружинных фрикционов и тормозов с переменным передаточным числом привода к тормозу и автоматической регулировкой зазоров между тормозным барабаном и лентой представилось возможным иметь малые усилия на рычагах без специальных сервоустройств. Усилия на рычагах управления не превышают (по подсчету) 12 – 14 кг. Максимальное усилие на педали не более 18 кг.</w:t>
      </w:r>
    </w:p>
    <w:p w14:paraId="3EAE646E"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Второй вариант бортового редуктора.</w:t>
      </w:r>
    </w:p>
    <w:p w14:paraId="434F9DF6"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 втором варианте проекта главный редуктор остается без изменений. Оба бортовых редуктора объединяются в один агрегат с поперечной передачей (см. схему). На поперечном валу посажена солнечная шестерня 1-го ряда. Водила ряда (1) и ряда (2) через зубчатую муфту связаны с бортовой передачей и являются ведомым элементом. Венец внутреннего зацепления первого ряда (А1) связан с тормозным барабаном Т1 и солнечной шестерней (А2) второго ряда. Венец внутреннего зацепления второго ряда связан с тормозом Т2 – заднего хода. Фрикцион Ф соединяет тормозной барабан с ведомым элементом.</w:t>
      </w:r>
    </w:p>
    <w:p w14:paraId="606BC394"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Медленная ступень осуществляется при затягивании тормоза Т1 (см. план скоростей).</w:t>
      </w:r>
    </w:p>
    <w:p w14:paraId="213ADD1C"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Быстрая ступень осуществляется включением фрикциона, при этом весь редуктор вращается как одно целое.</w:t>
      </w:r>
    </w:p>
    <w:p w14:paraId="6A413491"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Задний ход осуществляется затягиванием тормоза (Т2), при этом в передаче участвуют оба планетарных ряда.</w:t>
      </w:r>
    </w:p>
    <w:p w14:paraId="628A7DC2"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Поворот выполняется, как и при первом варианте, комбинированием разных передач на бортах. Торможение машины выполняется одновременным затягиванием тормозов Т1 и Т2.</w:t>
      </w:r>
    </w:p>
    <w:p w14:paraId="76076892"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Как и в первом варианте все управление сведено к рычагу кулисы, педали (вместо педали бортового фрикциона) и двум бортовым рычагам, по одному на каждом борту.</w:t>
      </w:r>
    </w:p>
    <w:p w14:paraId="154394DD"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Второй вариант конструктивно проще первого и выполняет все те же функции, а потому и является основным вариантом для разработки рабочих чертежей.</w:t>
      </w:r>
    </w:p>
    <w:p w14:paraId="5CB2A472"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Краткие расчетные данные по трансмиссии.</w:t>
      </w:r>
    </w:p>
    <w:p w14:paraId="4C5B922A"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Кинематические.</w:t>
      </w:r>
    </w:p>
    <w:p w14:paraId="70032C8C"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Скорости движения машины на разных передачах и при различных числах оборотов будут:</w:t>
      </w:r>
    </w:p>
    <w:p w14:paraId="44D0E827"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Таблица № 1 скоростей движения машины.</w:t>
      </w:r>
    </w:p>
    <w:p w14:paraId="1D66EC39"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Как видно из таблицы, распределение скоростей следует считать весьма удачным в обоих вариантах. Отношение соседних передач превышает 1,56 (на низших передачах) и составляет 1,425 и 1,47 на высших, что обеспечивает хорошее переключение передач без перерывов в характеристике.</w:t>
      </w:r>
    </w:p>
    <w:p w14:paraId="10810833"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Для суждениях о числах оборотов отдельных элементов на медленных ступенях и при различных числах оборотов двигателя приводим таблицу 2.</w:t>
      </w:r>
    </w:p>
    <w:p w14:paraId="41243690"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Таблица 2 чисел оборотов элементов бортового редуктора (2-го варианта)</w:t>
      </w:r>
    </w:p>
    <w:p w14:paraId="254E0855"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Как видно из таблицы, во всех случаях движения числа оборотов всех элементов лежат в пределах обычно применяемых. Исключение составляет случай движения на третьей задней, где число оборотов сателлитов доходит до 4300 об/мин. Но эту передачу мы не применяем.</w:t>
      </w:r>
    </w:p>
    <w:p w14:paraId="3DA26C70"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Прочностные данные.</w:t>
      </w:r>
    </w:p>
    <w:p w14:paraId="1B26CA13"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 отправные расчетные данные принято:</w:t>
      </w:r>
    </w:p>
    <w:p w14:paraId="3A22F605"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Максимальный момент двигателя (за вычетом потерь на вентилятор) Mg = 267 Кг×М при Ng = 1100 об/мин.</w:t>
      </w:r>
    </w:p>
    <w:p w14:paraId="6A4503B7"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Вес машины (перспективный) G = 31000 кг.</w:t>
      </w:r>
    </w:p>
    <w:p w14:paraId="74AC84E1"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Максимальное число оборотов Ng max = 1800 об/мин.</w:t>
      </w:r>
    </w:p>
    <w:p w14:paraId="1972A02E"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Таблица напряжений в зубьях шестерен.</w:t>
      </w:r>
    </w:p>
    <w:p w14:paraId="5D77C2AD"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Как видно из таблицы, условные напряжения изгиба во всей планетарной трансмиссии весьма невысоки. Высокие напряжения лишь в бортовой передаче (существующей), однако на опытном образце их можно допустить, чтобы не переделывать бортовой передачи, т.к. при обнаружении повышенного износа можно найти пути его устранения.</w:t>
      </w:r>
    </w:p>
    <w:p w14:paraId="56744901"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Напряжения на шлицах главного редуктора не превышают 1230 кг/см², шлицы остальных элементов имеют также вполне допустимые напряжения.</w:t>
      </w:r>
    </w:p>
    <w:p w14:paraId="46218341"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Удельные давления в тормозах также лежат в допустимых пределах и не превышают удельных давлений, принятых в тормозах машины Т-28.</w:t>
      </w:r>
    </w:p>
    <w:p w14:paraId="0EB530EE"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Преимущества, получаемые при планетарной трансмиссии (краткий перечень).</w:t>
      </w:r>
    </w:p>
    <w:p w14:paraId="5822C58B"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Повышение динамических свойств машины за счет:</w:t>
      </w:r>
    </w:p>
    <w:p w14:paraId="49015058"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увеличения числа передач – средняя скорость выше;</w:t>
      </w:r>
    </w:p>
    <w:p w14:paraId="52741A8E"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увеличения преодолеваемого подъема до 45° за счет снижения первой передачи;</w:t>
      </w:r>
    </w:p>
    <w:p w14:paraId="4B2BAA94"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исключение возможности остановки машины при переключении передач, т.к. нет включаемых шестерен, каждая передача включается с минимальным перерывом в приводе мощности к ведущим колесам;</w:t>
      </w:r>
    </w:p>
    <w:p w14:paraId="653BC64E"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улучшения поворотливости вследствие экономии мощности, расходуемой при повороте;</w:t>
      </w:r>
    </w:p>
    <w:p w14:paraId="413396AC"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улучшения поворотливости на мягких грунтах и в узких местах и проходах за счет возможности поворота вокруг центра тяжести машины. При этом сокращается площадь поворота на 50 – 60% и уменьшается возможность буксования из-за нагребания гусеницей грунта.</w:t>
      </w:r>
    </w:p>
    <w:p w14:paraId="73281362"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Облегчение управления за счет:</w:t>
      </w:r>
    </w:p>
    <w:p w14:paraId="637C7AB4"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простоты операции при переключениях (линейное перемещение рычажка кулисы – без нагрузки);</w:t>
      </w:r>
    </w:p>
    <w:p w14:paraId="397C3F01"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малых усилий на управление за счет применения беспружинных фрикционов;</w:t>
      </w:r>
    </w:p>
    <w:p w14:paraId="6E89ED9D"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нет необходимости выравнивать скорости для бесшумного включения.</w:t>
      </w:r>
    </w:p>
    <w:p w14:paraId="3C6DA196"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Повышение износоустойчивости за счет:</w:t>
      </w:r>
    </w:p>
    <w:p w14:paraId="54DCD394"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передачи усилий через несколько зубьев, что дает возможность снизить напряжения, а в дальнейшем применять дешевые стали для шестерен;</w:t>
      </w:r>
    </w:p>
    <w:p w14:paraId="36ADB7AC"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отсутствия торцевых отколов от зубьев, портящих смазку и увеличивающих износ шестерен и подшипников.</w:t>
      </w:r>
    </w:p>
    <w:p w14:paraId="416C1255"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Облегчение обслуживания за счет:</w:t>
      </w:r>
    </w:p>
    <w:p w14:paraId="6A082057"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применения фрикциона и тормозов с автоматической регулировкой по мере износа, что устраняет необходимость регулировать тормоза и фрикционы (устанавливаем пока на главном редукторе и всех тормозах, в дальнейшем, если будет необходимо, и на бортовых фрикционах).</w:t>
      </w:r>
    </w:p>
    <w:p w14:paraId="54CDA529"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облегчается демонтаж за счет выемки (во втором варианте) всего агрегата (механизмы поворота и коническая пара) без разборки.</w:t>
      </w:r>
    </w:p>
    <w:p w14:paraId="704603E3"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Кроме того, имеется возможность уменьшить длину трансмиссионного отделения.</w:t>
      </w:r>
    </w:p>
    <w:p w14:paraId="49100E2E"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недостаткам следует отнести несколько более высокую точность изготовления для отдельных деталей, однако, вполне приемлемую для наших заводов, о чем говорит опыт Кировского завода с бортовой передачей КВ планетарного типа, показавшей себя хорошо в работе.</w:t>
      </w:r>
    </w:p>
    <w:p w14:paraId="07FCD826"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Подробное описание и расчет трансмиссии по оформлению будет представлен дополнительно.</w:t>
      </w:r>
    </w:p>
    <w:p w14:paraId="09FCF0B1"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ВОЕНИНЖЕНЕР 2 РАНГА подпись (Благонравов)</w:t>
      </w:r>
    </w:p>
    <w:p w14:paraId="47AA6355"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14.11.40.</w:t>
      </w:r>
    </w:p>
    <w:p w14:paraId="6EB19416"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Отп. 3 экз.</w:t>
      </w:r>
    </w:p>
    <w:p w14:paraId="2D8AF286"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14.XI.40 г.</w:t>
      </w:r>
    </w:p>
    <w:p w14:paraId="4686D320" w14:textId="77777777" w:rsidR="00383FC3" w:rsidRPr="00A3026E" w:rsidRDefault="00383FC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ААК (20382).</w:t>
      </w:r>
    </w:p>
    <w:p w14:paraId="3D5E414D" w14:textId="77777777" w:rsidR="00383FC3" w:rsidRPr="00A3026E" w:rsidRDefault="00383FC3" w:rsidP="00A3026E">
      <w:pPr>
        <w:spacing w:after="0" w:line="240" w:lineRule="auto"/>
        <w:jc w:val="both"/>
        <w:rPr>
          <w:rFonts w:ascii="Times New Roman" w:hAnsi="Times New Roman"/>
          <w:color w:val="0070C0"/>
          <w:sz w:val="16"/>
          <w:szCs w:val="16"/>
        </w:rPr>
      </w:pPr>
    </w:p>
    <w:p w14:paraId="78E78D2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661E776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9D724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закончился визит В.М.М. в Берлин (3481).</w:t>
      </w:r>
    </w:p>
    <w:p w14:paraId="0DB14E2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60FF9C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закончились неудачей советско-германские переговоры о присоединении СССР к альянсу фашистских государств (4962).</w:t>
      </w:r>
    </w:p>
    <w:p w14:paraId="0DEDDEF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98FB9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после урожайного лета Молотов прибыл в Берлин - подбить итоги. Молотов спрашивает у Гитлера, как германская военная миссия оказалась в Румынии, и что делают в Финляндии германские войска. Ведь это нарушает условия пакта. Заикаясь, Гитлер объясняет, что миссия прибыла в Румынию по приглашению Антонеску для обучения румынских войск, а в Финляндии части вермахта пребывают транзитом, по пути в Норвегию. Молотов не успокаивается - в Румынии уж слишком много частей для одной миссии и они все прибывают, а "норвежский десант" засел в Финляндии и никуда больше не двигается, а совсем наоборот - размещается вдоль советской границы и строит укрепления. Гитлер пообещал разобраться. И предложил рассмотреть вопрос раздела Англии, которая вот-вот потерпит поражение. Молотов ответил, что его больше интересует обстановка в соседних с Советским Союзом государствах - Финляндии и Румынии. А еще он спросил, какие планы у Гитлера в отношении Турции, Болгарии и Румынии. Советское правительство считает, что германо</w:t>
      </w:r>
      <w:r w:rsidRPr="00A3026E">
        <w:rPr>
          <w:rFonts w:ascii="Times New Roman" w:hAnsi="Times New Roman"/>
          <w:color w:val="000000" w:themeColor="text1"/>
          <w:sz w:val="16"/>
          <w:szCs w:val="16"/>
        </w:rPr>
        <w:noBreakHyphen/>
        <w:t>итальянские гарантии, предоставленные недавно Румынии, направлены против интересов СССР. Эти гарантии должны быть аннулированы. Гитлер тут же заявил, что это требование невыполнимо. Тогда Молотов поставил такой вопрос: – Что сказала бы Германия, если Советский Союз, учитывая свою заинтересованность в безопасности района, прилегающего к его юго</w:t>
      </w:r>
      <w:r w:rsidRPr="00A3026E">
        <w:rPr>
          <w:rFonts w:ascii="Times New Roman" w:hAnsi="Times New Roman"/>
          <w:color w:val="000000" w:themeColor="text1"/>
          <w:sz w:val="16"/>
          <w:szCs w:val="16"/>
        </w:rPr>
        <w:noBreakHyphen/>
        <w:t>западным границам, дал бы гарантии Болгарии, подобно тому, как Германия и Италия дали гарантии Румынии? Это замечание вывело Гитлера из равновесия. Он визгливо прокричал: – Разве царь Борис просил у вас гарантий? Мне надо посоветоваться с дуче. И вообще - ужасно болит голова. Молотов не унимался: - А почему вы срываете поставки оборудования? Гитлер ответил: - Нам очень трудно, мы ведем борьбу с Англией не на жизнь, а на смерть. Молотов улыбнулся: - Только что вы говорили, что Англия уже практически разбита. Так какая из ваших стран борется на жизнь, а какая на смерть? И от чьих бомб мы все время прячемся в бункере? Гитлеру давно так не хамили. На этом переговоры кончились. Они не могли кончиться иначе. Накануне переговоров Гитлер издал распоряжение № 18. «Политические переговоры с целью выяснить позицию России на ближайшее время начинаются. Независимо от того, какой будет исход этих переговоров, следует продолжать все уже предусмотренные ранее приготовления для Востока. Дальнейшие указания на этот счет последуют, как только мною будут утверждены основные положения операционного плана».</w:t>
      </w:r>
    </w:p>
    <w:p w14:paraId="19C16D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Молотов покидает Берлин, а Гитлер отдает приказ на разработку плана "Ост", после чего увидел свет план "Барбаросса". Для нас это не было тайной, как ни странно. В это же время в Разведке НКВД было заведено дело "Затея", куда подшивались все сведения о ходе разработки и воплощения в жизнь плана нападения на СССР (12629).</w:t>
      </w:r>
    </w:p>
    <w:p w14:paraId="2C83CE5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790EE5F" w14:textId="77777777" w:rsidR="007C711E" w:rsidRPr="00A3026E" w:rsidRDefault="007C711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Вечером состоялось заседание Политбюро ЦК ВКП(б), на котором В. М. Молотов доложил, что отклонил в Берлине предложение Гитлера и Риббентропа о присоединении СССР к военному блоку Германии, Италии и Японии (18701).</w:t>
      </w:r>
    </w:p>
    <w:p w14:paraId="6E15A6DF" w14:textId="77777777" w:rsidR="007C711E" w:rsidRPr="00A3026E" w:rsidRDefault="007C711E" w:rsidP="00A3026E">
      <w:pPr>
        <w:spacing w:after="0" w:line="240" w:lineRule="auto"/>
        <w:jc w:val="both"/>
        <w:rPr>
          <w:rFonts w:ascii="Times New Roman" w:hAnsi="Times New Roman"/>
          <w:color w:val="000000" w:themeColor="text1"/>
          <w:sz w:val="16"/>
          <w:szCs w:val="16"/>
        </w:rPr>
      </w:pPr>
    </w:p>
    <w:p w14:paraId="4FAFBC96"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23E29ED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9F625B0"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14–15 ноября (ночь) 1940 - 437 самолетов ВВС Германии (Люфтваффе ) совершают массированный налет на Ковентри . 380 мирных жителей убиты и около 800 ранены (20795).</w:t>
      </w:r>
    </w:p>
    <w:p w14:paraId="0310BEDD" w14:textId="77777777" w:rsidR="00D67A2C" w:rsidRPr="00A3026E" w:rsidRDefault="00D67A2C" w:rsidP="00A3026E">
      <w:pPr>
        <w:spacing w:after="0" w:line="240" w:lineRule="auto"/>
        <w:jc w:val="both"/>
        <w:rPr>
          <w:rFonts w:ascii="Times New Roman" w:hAnsi="Times New Roman"/>
          <w:color w:val="0070C0"/>
          <w:sz w:val="16"/>
          <w:szCs w:val="16"/>
        </w:rPr>
      </w:pPr>
    </w:p>
    <w:p w14:paraId="47F431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500 фашистских бомбардировщиков разрушили английский город Ковентри (4962).</w:t>
      </w:r>
    </w:p>
    <w:p w14:paraId="7E0DEA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6F58134"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November 14, 1940: Using a total force of 449 bombers, the Luftwaffe launches a heavy night attack against the major manufacturing city of Coventry, causing severe damage to industrial and civilian installations. The raid kills 550 people (3819).</w:t>
      </w:r>
    </w:p>
    <w:p w14:paraId="436A93B6"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6AB195A4"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14 November 1940 Coventry is bombed by the Luftwaffe and suffers extensive damage (270).</w:t>
      </w:r>
    </w:p>
    <w:p w14:paraId="39C69D54"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138E76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Люфтваффе разбомбили Ковентри (270). На самом деле в ночь с 14 на 15 ноября 1940 (2244,8). Погибло 586 чел. и 60 тыс. зданий - ответ на налет на Мюнхен 8 ноября 1940 (2438,110).</w:t>
      </w:r>
    </w:p>
    <w:p w14:paraId="5B70AE2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CD4F40B" w14:textId="77777777" w:rsidR="00AB040C" w:rsidRPr="00A3026E" w:rsidRDefault="00AB040C"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14 ноября</w:t>
      </w:r>
      <w:r w:rsidRPr="00A3026E">
        <w:rPr>
          <w:rFonts w:ascii="Times New Roman" w:hAnsi="Times New Roman"/>
          <w:color w:val="000000" w:themeColor="text1"/>
          <w:sz w:val="16"/>
          <w:szCs w:val="16"/>
        </w:rPr>
        <w:t xml:space="preserve"> в 1940 году 500 немецких бомбардировщиков совершают налет на английский город Ковентри (в 35 км к востоку от Бирмингема) и сбросают на него 600 тонн бомб большой взрывной силы и тысячи зажигательных бомб. Погибают 586 жителей, разрушаются около 60 тысяч зданий, в том числе знаменитый старинный собор. Германский рейд частично спровоцирован английской бомбежкой Мюнхена 8 ноября того же года. Воздушный налет на Ковентри породит в немецком языке новое слово - "ковентрировать", т.е. уничтожать дотла. Англичане к тому времени расшифровали секретные немецкие коды; Черчилль знал, что на Ковентри готовится мощный налет, и стоял перед дилеммой: спасать город и его жителей или принести их в жертву, но не дать понять Германии, что раскрыли ее стратегическую тайну. Дилемма решилась в пользу секретности (14830).</w:t>
      </w:r>
    </w:p>
    <w:p w14:paraId="60A30B7B" w14:textId="77777777" w:rsidR="00AB040C" w:rsidRPr="00A3026E" w:rsidRDefault="00AB040C" w:rsidP="00A3026E">
      <w:pPr>
        <w:spacing w:after="0" w:line="240" w:lineRule="auto"/>
        <w:jc w:val="both"/>
        <w:rPr>
          <w:rFonts w:ascii="Times New Roman" w:hAnsi="Times New Roman"/>
          <w:color w:val="000000" w:themeColor="text1"/>
          <w:sz w:val="16"/>
          <w:szCs w:val="16"/>
        </w:rPr>
      </w:pPr>
    </w:p>
    <w:p w14:paraId="69FC64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ноября 1940 ГРЕЦИЯ. Части Западно-Македонской А(гр) перешли в общее наступление против итальянских войск ГР.А "Албания" (7594).</w:t>
      </w:r>
    </w:p>
    <w:p w14:paraId="12A63F6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EDC4CE2" w14:textId="77777777" w:rsidR="00AB040C" w:rsidRPr="00A3026E" w:rsidRDefault="00AB040C"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14 ноября</w:t>
      </w:r>
      <w:r w:rsidRPr="00A3026E">
        <w:rPr>
          <w:rFonts w:ascii="Times New Roman" w:hAnsi="Times New Roman"/>
          <w:color w:val="000000" w:themeColor="text1"/>
          <w:sz w:val="16"/>
          <w:szCs w:val="16"/>
        </w:rPr>
        <w:t xml:space="preserve"> в 1940 году начало греческого наступления на границе с Албанией (14830).</w:t>
      </w:r>
    </w:p>
    <w:p w14:paraId="347E3F7C" w14:textId="77777777" w:rsidR="00AB040C" w:rsidRPr="00A3026E" w:rsidRDefault="00AB040C" w:rsidP="00A3026E">
      <w:pPr>
        <w:spacing w:after="0" w:line="240" w:lineRule="auto"/>
        <w:jc w:val="both"/>
        <w:rPr>
          <w:rFonts w:ascii="Times New Roman" w:hAnsi="Times New Roman"/>
          <w:color w:val="000000" w:themeColor="text1"/>
          <w:sz w:val="16"/>
          <w:szCs w:val="16"/>
        </w:rPr>
      </w:pPr>
    </w:p>
    <w:p w14:paraId="6A56598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DB575F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57A9F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ноября 1940 П.В.Рычаговым был подписан отчет об испытаниях ДБ-240 с 2хМ1-5 продолжались, которые начались 29 сентября и продолжались по 15 октября 1940. Было признано необходимым построить ДБ-240 под мотор АМ-35А, а в дальнейшем - АМ-37 или под дизели (727).</w:t>
      </w:r>
    </w:p>
    <w:p w14:paraId="4C5721B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5B54D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ноября 1939 был утвержден макет СББ с М-105ТК Архангельского (10395,38).</w:t>
      </w:r>
    </w:p>
    <w:p w14:paraId="5771209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9FD07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15 ноября 1940 года до 1 января 1941 года и январь 1941 года завод № 387 работал над освоением спущенного объекта ЛАГГ-3, одновременно проводя строительство, переоборудование и реконструкцию существующих цехов применительно к новым условиям (9343).</w:t>
      </w:r>
    </w:p>
    <w:p w14:paraId="6B08D82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D5A5B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ноября 1940 вышел приказ НКАП N 637сс в исполнение постановления КО N 422сс от 13 ноября 1940 вышло "О возобновлении выпуска авиационных моторов М-88 производства завода 29". КО постановил: "...В связи с окончанием работ по устранению дефектов мотора М-88 и получения удовлетворительных результатов в процессе испытаний, постановление КО N 340сс от 6 августа 1940 отменить и разрешить НКАП возобновить серийный выпуск моторов М-88 на заводе 29" (1273).</w:t>
      </w:r>
    </w:p>
    <w:p w14:paraId="1E77911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C05B070" w14:textId="77777777" w:rsidR="00AB040C" w:rsidRPr="00A3026E" w:rsidRDefault="00AB040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15 ноября 1940 эскизный проект самолета ТИС 2АМ-37 (или 2АМ-35А) поступил в НИИ ВВС и получил высокую оцен</w:t>
      </w:r>
      <w:r w:rsidRPr="00A3026E">
        <w:rPr>
          <w:rFonts w:ascii="Times New Roman" w:cs="Times New Roman"/>
          <w:color w:val="000000" w:themeColor="text1"/>
          <w:spacing w:val="0"/>
        </w:rPr>
        <w:softHyphen/>
        <w:t>ку по летным данным и вооружению.</w:t>
      </w:r>
    </w:p>
    <w:p w14:paraId="314EA26A" w14:textId="77777777" w:rsidR="00AB040C" w:rsidRPr="00A3026E" w:rsidRDefault="00AB040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При нормальном полетном весе 6976 кг максимальная скорость с мо</w:t>
      </w:r>
      <w:r w:rsidRPr="00A3026E">
        <w:rPr>
          <w:rFonts w:ascii="Times New Roman" w:cs="Times New Roman"/>
          <w:color w:val="000000" w:themeColor="text1"/>
          <w:spacing w:val="0"/>
        </w:rPr>
        <w:softHyphen/>
        <w:t>торами АМ-37 по расчетам составля</w:t>
      </w:r>
      <w:r w:rsidRPr="00A3026E">
        <w:rPr>
          <w:rFonts w:ascii="Times New Roman" w:cs="Times New Roman"/>
          <w:color w:val="000000" w:themeColor="text1"/>
          <w:spacing w:val="0"/>
        </w:rPr>
        <w:softHyphen/>
        <w:t>ла 650 км/ч на высоте 7300 м и 531 км/ч у земли. Время подъема на высоту 5000 м не превышало 5,7 мин, а на вы</w:t>
      </w:r>
      <w:r w:rsidRPr="00A3026E">
        <w:rPr>
          <w:rFonts w:ascii="Times New Roman" w:cs="Times New Roman"/>
          <w:color w:val="000000" w:themeColor="text1"/>
          <w:spacing w:val="0"/>
        </w:rPr>
        <w:softHyphen/>
        <w:t>соту 8000 м - 10,2 мин. Практический потолок - 11650 м. Разбег получался около 433 м, пробег - 236 м. Скоростная дальность полета (на 0,9 максимальной скорости) достигала 1070 км (в пере</w:t>
      </w:r>
      <w:r w:rsidRPr="00A3026E">
        <w:rPr>
          <w:rFonts w:ascii="Times New Roman" w:cs="Times New Roman"/>
          <w:color w:val="000000" w:themeColor="text1"/>
          <w:spacing w:val="0"/>
        </w:rPr>
        <w:softHyphen/>
        <w:t>грузку 1720 км).</w:t>
      </w:r>
    </w:p>
    <w:p w14:paraId="30B97B60" w14:textId="77777777" w:rsidR="00AB040C" w:rsidRPr="00A3026E" w:rsidRDefault="00AB040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Летные данные с моторами АМ-35А, соответственно, получались хуже: мак</w:t>
      </w:r>
      <w:r w:rsidRPr="00A3026E">
        <w:rPr>
          <w:rFonts w:ascii="Times New Roman" w:cs="Times New Roman"/>
          <w:color w:val="000000" w:themeColor="text1"/>
          <w:spacing w:val="0"/>
        </w:rPr>
        <w:softHyphen/>
        <w:t>симальная скорость 619 км/ч - на вы</w:t>
      </w:r>
      <w:r w:rsidRPr="00A3026E">
        <w:rPr>
          <w:rFonts w:ascii="Times New Roman" w:cs="Times New Roman"/>
          <w:color w:val="000000" w:themeColor="text1"/>
          <w:spacing w:val="0"/>
        </w:rPr>
        <w:softHyphen/>
        <w:t>соте 7300 м, 527 км/ч - у земли, время подъема на 5000 м - 6,6 мин, потолок - 11200 м, разбег и пробег - 419 и 236 м, соответственно, скоростная дальность - 1200 км (1980 км в перегрузку).</w:t>
      </w:r>
    </w:p>
    <w:p w14:paraId="56BED48F" w14:textId="77777777" w:rsidR="00AB040C" w:rsidRPr="00A3026E" w:rsidRDefault="00AB040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Вооружение включало четыре пуле</w:t>
      </w:r>
      <w:r w:rsidRPr="00A3026E">
        <w:rPr>
          <w:rFonts w:ascii="Times New Roman" w:cs="Times New Roman"/>
          <w:color w:val="000000" w:themeColor="text1"/>
          <w:spacing w:val="0"/>
        </w:rPr>
        <w:softHyphen/>
        <w:t>мета ШКАС (4800 патронов) в носовой батарее, две пушки ШВАК (800 снаря</w:t>
      </w:r>
      <w:r w:rsidRPr="00A3026E">
        <w:rPr>
          <w:rFonts w:ascii="Times New Roman" w:cs="Times New Roman"/>
          <w:color w:val="000000" w:themeColor="text1"/>
          <w:spacing w:val="0"/>
        </w:rPr>
        <w:softHyphen/>
        <w:t>дов) и два пулемета калибра 12,7 мм БС (1000 патронов) в центроплане. Оборо</w:t>
      </w:r>
      <w:r w:rsidRPr="00A3026E">
        <w:rPr>
          <w:rFonts w:ascii="Times New Roman" w:cs="Times New Roman"/>
          <w:color w:val="000000" w:themeColor="text1"/>
          <w:spacing w:val="0"/>
        </w:rPr>
        <w:softHyphen/>
        <w:t>нительное вооружение состояло из пу</w:t>
      </w:r>
      <w:r w:rsidRPr="00A3026E">
        <w:rPr>
          <w:rFonts w:ascii="Times New Roman" w:cs="Times New Roman"/>
          <w:color w:val="000000" w:themeColor="text1"/>
          <w:spacing w:val="0"/>
        </w:rPr>
        <w:softHyphen/>
        <w:t>лемета ШКАС (750 патронов) на верхней шкворневой турели ТСС-1 и пулемета ШКАС (750 патронов) в нижней люковой установке КЛУ-2 у стрелка-радиста.</w:t>
      </w:r>
    </w:p>
    <w:p w14:paraId="71ED651C" w14:textId="77777777" w:rsidR="00AB040C" w:rsidRPr="00A3026E" w:rsidRDefault="00AB040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Сохранялась возможность установки в центроплане двух 37-мм пушек вместо пушек ШВАК и крупнокалиберных пуле</w:t>
      </w:r>
      <w:r w:rsidRPr="00A3026E">
        <w:rPr>
          <w:rFonts w:ascii="Times New Roman" w:cs="Times New Roman"/>
          <w:color w:val="000000" w:themeColor="text1"/>
          <w:spacing w:val="0"/>
        </w:rPr>
        <w:softHyphen/>
        <w:t>метов БС.</w:t>
      </w:r>
    </w:p>
    <w:p w14:paraId="3B4CEA58" w14:textId="77777777" w:rsidR="00AB040C" w:rsidRPr="00A3026E" w:rsidRDefault="00AB040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lastRenderedPageBreak/>
        <w:t>Для расширения круга решаемых тактических задач боевого применения самолета предусматривалась установ</w:t>
      </w:r>
      <w:r w:rsidRPr="00A3026E">
        <w:rPr>
          <w:rFonts w:ascii="Times New Roman" w:cs="Times New Roman"/>
          <w:color w:val="000000" w:themeColor="text1"/>
          <w:spacing w:val="0"/>
        </w:rPr>
        <w:softHyphen/>
        <w:t>ка двух подфюзеляжных держателей ем</w:t>
      </w:r>
      <w:r w:rsidRPr="00A3026E">
        <w:rPr>
          <w:rFonts w:ascii="Times New Roman" w:cs="Times New Roman"/>
          <w:color w:val="000000" w:themeColor="text1"/>
          <w:spacing w:val="0"/>
        </w:rPr>
        <w:softHyphen/>
        <w:t>костью по 500 кг каждый (ФАБ-100, 250 и 500, БРАБ-200 и 500, ХАБ-100 и 200, РРАБ-3), штатных ампульно-бомбовых кассет, выливных, зажигательных и уни</w:t>
      </w:r>
      <w:r w:rsidRPr="00A3026E">
        <w:rPr>
          <w:rFonts w:ascii="Times New Roman" w:cs="Times New Roman"/>
          <w:color w:val="000000" w:themeColor="text1"/>
          <w:spacing w:val="0"/>
        </w:rPr>
        <w:softHyphen/>
        <w:t>версальных химических авиаприборов. Кроме того, имелась возможность раз</w:t>
      </w:r>
      <w:r w:rsidRPr="00A3026E">
        <w:rPr>
          <w:rFonts w:ascii="Times New Roman" w:cs="Times New Roman"/>
          <w:color w:val="000000" w:themeColor="text1"/>
          <w:spacing w:val="0"/>
        </w:rPr>
        <w:softHyphen/>
        <w:t>местить четыре бомбы калибра от 25 до 100 кг (при соответствующем уменьше</w:t>
      </w:r>
      <w:r w:rsidRPr="00A3026E">
        <w:rPr>
          <w:rFonts w:ascii="Times New Roman" w:cs="Times New Roman"/>
          <w:color w:val="000000" w:themeColor="text1"/>
          <w:spacing w:val="0"/>
        </w:rPr>
        <w:softHyphen/>
        <w:t>нии веса топлива) «внутри фюзеляжа на выпускной кассете», что позволяло их сбрасывать с пикирования. Вся бомбо</w:t>
      </w:r>
      <w:r w:rsidRPr="00A3026E">
        <w:rPr>
          <w:rFonts w:ascii="Times New Roman" w:cs="Times New Roman"/>
          <w:color w:val="000000" w:themeColor="text1"/>
          <w:spacing w:val="0"/>
        </w:rPr>
        <w:softHyphen/>
        <w:t>вая нагрузка подвешивалась только в перегрузку.</w:t>
      </w:r>
    </w:p>
    <w:p w14:paraId="10C6FF86" w14:textId="77777777" w:rsidR="00AB040C" w:rsidRPr="00A3026E" w:rsidRDefault="00AB040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Отметим, что мощное стрелково-пушечное вооружение ТИС, осо</w:t>
      </w:r>
      <w:r w:rsidRPr="00A3026E">
        <w:rPr>
          <w:rFonts w:ascii="Times New Roman" w:cs="Times New Roman"/>
          <w:color w:val="000000" w:themeColor="text1"/>
          <w:spacing w:val="0"/>
        </w:rPr>
        <w:softHyphen/>
        <w:t>бенно с 37-мм пушками, в сочетании с возможностью прицельной стрель</w:t>
      </w:r>
      <w:r w:rsidRPr="00A3026E">
        <w:rPr>
          <w:rFonts w:ascii="Times New Roman" w:cs="Times New Roman"/>
          <w:color w:val="000000" w:themeColor="text1"/>
          <w:spacing w:val="0"/>
        </w:rPr>
        <w:softHyphen/>
        <w:t>бы и бомбометания с пикирования и применения боевых химических ве</w:t>
      </w:r>
      <w:r w:rsidRPr="00A3026E">
        <w:rPr>
          <w:rFonts w:ascii="Times New Roman" w:cs="Times New Roman"/>
          <w:color w:val="000000" w:themeColor="text1"/>
          <w:spacing w:val="0"/>
        </w:rPr>
        <w:softHyphen/>
        <w:t>ществ (отравляющих и зажигатель</w:t>
      </w:r>
      <w:r w:rsidRPr="00A3026E">
        <w:rPr>
          <w:rFonts w:ascii="Times New Roman" w:cs="Times New Roman"/>
          <w:color w:val="000000" w:themeColor="text1"/>
          <w:spacing w:val="0"/>
        </w:rPr>
        <w:softHyphen/>
        <w:t>ных) обеспечивало повышенную бое</w:t>
      </w:r>
      <w:r w:rsidRPr="00A3026E">
        <w:rPr>
          <w:rFonts w:ascii="Times New Roman" w:cs="Times New Roman"/>
          <w:color w:val="000000" w:themeColor="text1"/>
          <w:spacing w:val="0"/>
        </w:rPr>
        <w:softHyphen/>
        <w:t>вую эффективность при действии по наиболее распространенным назем</w:t>
      </w:r>
      <w:r w:rsidRPr="00A3026E">
        <w:rPr>
          <w:rFonts w:ascii="Times New Roman" w:cs="Times New Roman"/>
          <w:color w:val="000000" w:themeColor="text1"/>
          <w:spacing w:val="0"/>
        </w:rPr>
        <w:softHyphen/>
        <w:t>ным целям (танки, артиллерия, парово</w:t>
      </w:r>
      <w:r w:rsidRPr="00A3026E">
        <w:rPr>
          <w:rFonts w:ascii="Times New Roman" w:cs="Times New Roman"/>
          <w:color w:val="000000" w:themeColor="text1"/>
          <w:spacing w:val="0"/>
        </w:rPr>
        <w:softHyphen/>
        <w:t>зы, автотранспорт, бронеколпаки, са</w:t>
      </w:r>
      <w:r w:rsidRPr="00A3026E">
        <w:rPr>
          <w:rFonts w:ascii="Times New Roman" w:cs="Times New Roman"/>
          <w:color w:val="000000" w:themeColor="text1"/>
          <w:spacing w:val="0"/>
        </w:rPr>
        <w:softHyphen/>
        <w:t>молеты на аэродромах, корабли и т.д.). Это позволяло классифицировать ТИС 2АМ-37 как многоцелевой самолет, ис</w:t>
      </w:r>
      <w:r w:rsidRPr="00A3026E">
        <w:rPr>
          <w:rFonts w:ascii="Times New Roman" w:cs="Times New Roman"/>
          <w:color w:val="000000" w:themeColor="text1"/>
          <w:spacing w:val="0"/>
        </w:rPr>
        <w:softHyphen/>
        <w:t>требитель-бомбардировщик или как ис</w:t>
      </w:r>
      <w:r w:rsidRPr="00A3026E">
        <w:rPr>
          <w:rFonts w:ascii="Times New Roman" w:cs="Times New Roman"/>
          <w:color w:val="000000" w:themeColor="text1"/>
          <w:spacing w:val="0"/>
        </w:rPr>
        <w:softHyphen/>
        <w:t>требитель-штурмовик, но при условии бронирования экипажа, моторов, водо- и маслорадиаторов.</w:t>
      </w:r>
    </w:p>
    <w:p w14:paraId="3D456B15" w14:textId="77777777" w:rsidR="00AB040C" w:rsidRPr="00A3026E" w:rsidRDefault="00AB040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Самолет планировалось оснастить различным современным пилотажно- навигационным, электро-, радио- и фо</w:t>
      </w:r>
      <w:r w:rsidRPr="00A3026E">
        <w:rPr>
          <w:rFonts w:ascii="Times New Roman" w:cs="Times New Roman"/>
          <w:color w:val="000000" w:themeColor="text1"/>
          <w:spacing w:val="0"/>
        </w:rPr>
        <w:softHyphen/>
        <w:t>тооборудованием, что позволяло вы</w:t>
      </w:r>
      <w:r w:rsidRPr="00A3026E">
        <w:rPr>
          <w:rFonts w:ascii="Times New Roman" w:cs="Times New Roman"/>
          <w:color w:val="000000" w:themeColor="text1"/>
          <w:spacing w:val="0"/>
        </w:rPr>
        <w:softHyphen/>
        <w:t>полнять полеты ночью и в сложных метеоусловиях, а также вести разведку на большой дальности.</w:t>
      </w:r>
    </w:p>
    <w:p w14:paraId="2B29CF56" w14:textId="77777777" w:rsidR="00AB040C" w:rsidRPr="00A3026E" w:rsidRDefault="00AB040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Военные специалисты отметили большую нагрузку на крыло. Поскольку конструкция самолета ТИС разрабаты</w:t>
      </w:r>
      <w:r w:rsidRPr="00A3026E">
        <w:rPr>
          <w:rFonts w:ascii="Times New Roman" w:cs="Times New Roman"/>
          <w:color w:val="000000" w:themeColor="text1"/>
          <w:spacing w:val="0"/>
        </w:rPr>
        <w:softHyphen/>
        <w:t>валась с использованием основных ре</w:t>
      </w:r>
      <w:r w:rsidRPr="00A3026E">
        <w:rPr>
          <w:rFonts w:ascii="Times New Roman" w:cs="Times New Roman"/>
          <w:color w:val="000000" w:themeColor="text1"/>
          <w:spacing w:val="0"/>
        </w:rPr>
        <w:softHyphen/>
        <w:t>шений самолета СПБ (ВИТ-2), то особое внимание обращалось на возможную не</w:t>
      </w:r>
      <w:r w:rsidRPr="00A3026E">
        <w:rPr>
          <w:rFonts w:ascii="Times New Roman" w:cs="Times New Roman"/>
          <w:color w:val="000000" w:themeColor="text1"/>
          <w:spacing w:val="0"/>
        </w:rPr>
        <w:softHyphen/>
        <w:t>устойчивость самолета в продольном и поперечном отношении. Действитель</w:t>
      </w:r>
      <w:r w:rsidRPr="00A3026E">
        <w:rPr>
          <w:rFonts w:ascii="Times New Roman" w:cs="Times New Roman"/>
          <w:color w:val="000000" w:themeColor="text1"/>
          <w:spacing w:val="0"/>
        </w:rPr>
        <w:softHyphen/>
        <w:t>но, при уменьшении площади крыла на 7,76 м</w:t>
      </w:r>
      <w:r w:rsidRPr="00A3026E">
        <w:rPr>
          <w:rFonts w:ascii="Times New Roman" w:cs="Times New Roman"/>
          <w:color w:val="000000" w:themeColor="text1"/>
          <w:spacing w:val="0"/>
          <w:vertAlign w:val="superscript"/>
        </w:rPr>
        <w:t>2</w:t>
      </w:r>
      <w:r w:rsidRPr="00A3026E">
        <w:rPr>
          <w:rFonts w:ascii="Times New Roman" w:cs="Times New Roman"/>
          <w:color w:val="000000" w:themeColor="text1"/>
          <w:spacing w:val="0"/>
        </w:rPr>
        <w:t xml:space="preserve"> ТИС имел такое же соотноше</w:t>
      </w:r>
      <w:r w:rsidRPr="00A3026E">
        <w:rPr>
          <w:rFonts w:ascii="Times New Roman" w:cs="Times New Roman"/>
          <w:color w:val="000000" w:themeColor="text1"/>
          <w:spacing w:val="0"/>
        </w:rPr>
        <w:softHyphen/>
        <w:t>ние площадей крыла и оперения как и самолет СПБ, который в ходе заводских летных испытаний показал недостаточ</w:t>
      </w:r>
      <w:r w:rsidRPr="00A3026E">
        <w:rPr>
          <w:rFonts w:ascii="Times New Roman" w:cs="Times New Roman"/>
          <w:color w:val="000000" w:themeColor="text1"/>
          <w:spacing w:val="0"/>
        </w:rPr>
        <w:softHyphen/>
        <w:t>ную продольную устойчивость. По этой причине комиссия потребовала пред</w:t>
      </w:r>
      <w:r w:rsidRPr="00A3026E">
        <w:rPr>
          <w:rFonts w:ascii="Times New Roman" w:cs="Times New Roman"/>
          <w:color w:val="000000" w:themeColor="text1"/>
          <w:spacing w:val="0"/>
        </w:rPr>
        <w:softHyphen/>
        <w:t>принять все возможные меры к обеспе</w:t>
      </w:r>
      <w:r w:rsidRPr="00A3026E">
        <w:rPr>
          <w:rFonts w:ascii="Times New Roman" w:cs="Times New Roman"/>
          <w:color w:val="000000" w:themeColor="text1"/>
          <w:spacing w:val="0"/>
        </w:rPr>
        <w:softHyphen/>
        <w:t>чению устойчивости самолета по всем трем осям.</w:t>
      </w:r>
    </w:p>
    <w:p w14:paraId="7E03CD63" w14:textId="77777777" w:rsidR="00AB040C" w:rsidRPr="00A3026E" w:rsidRDefault="00AB040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Кроме того, предлагалось прорабо</w:t>
      </w:r>
      <w:r w:rsidRPr="00A3026E">
        <w:rPr>
          <w:rFonts w:ascii="Times New Roman" w:cs="Times New Roman"/>
          <w:color w:val="000000" w:themeColor="text1"/>
          <w:spacing w:val="0"/>
        </w:rPr>
        <w:softHyphen/>
        <w:t>тать вариант самолета с деревянным фюзеляжем и консолями, предусмо</w:t>
      </w:r>
      <w:r w:rsidRPr="00A3026E">
        <w:rPr>
          <w:rFonts w:ascii="Times New Roman" w:cs="Times New Roman"/>
          <w:color w:val="000000" w:themeColor="text1"/>
          <w:spacing w:val="0"/>
        </w:rPr>
        <w:softHyphen/>
        <w:t>треть установку фибровых бензобаков, а также уменьшить нагрузку на крыло до 180-190 кг/м</w:t>
      </w:r>
      <w:r w:rsidRPr="00A3026E">
        <w:rPr>
          <w:rFonts w:ascii="Times New Roman" w:cs="Times New Roman"/>
          <w:color w:val="000000" w:themeColor="text1"/>
          <w:spacing w:val="0"/>
          <w:vertAlign w:val="superscript"/>
        </w:rPr>
        <w:t>2</w:t>
      </w:r>
      <w:r w:rsidRPr="00A3026E">
        <w:rPr>
          <w:rFonts w:ascii="Times New Roman" w:cs="Times New Roman"/>
          <w:color w:val="000000" w:themeColor="text1"/>
          <w:spacing w:val="0"/>
        </w:rPr>
        <w:t>.</w:t>
      </w:r>
    </w:p>
    <w:p w14:paraId="72EB432D" w14:textId="77777777" w:rsidR="00AB040C" w:rsidRPr="00A3026E" w:rsidRDefault="00AB040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В то же время подчеркивалось, что по летно-тактическим данным и воору</w:t>
      </w:r>
      <w:r w:rsidRPr="00A3026E">
        <w:rPr>
          <w:rFonts w:ascii="Times New Roman" w:cs="Times New Roman"/>
          <w:color w:val="000000" w:themeColor="text1"/>
          <w:spacing w:val="0"/>
        </w:rPr>
        <w:softHyphen/>
        <w:t>жению «самолет представляет значи</w:t>
      </w:r>
      <w:r w:rsidRPr="00A3026E">
        <w:rPr>
          <w:rFonts w:ascii="Times New Roman" w:cs="Times New Roman"/>
          <w:color w:val="000000" w:themeColor="text1"/>
          <w:spacing w:val="0"/>
        </w:rPr>
        <w:softHyphen/>
        <w:t>тельный интерес для ВВС» (15755).</w:t>
      </w:r>
    </w:p>
    <w:p w14:paraId="467D0B0F" w14:textId="77777777" w:rsidR="00AB040C" w:rsidRPr="00A3026E" w:rsidRDefault="00AB040C" w:rsidP="00A3026E">
      <w:pPr>
        <w:pStyle w:val="26"/>
        <w:shd w:val="clear" w:color="auto" w:fill="auto"/>
        <w:spacing w:after="0" w:line="240" w:lineRule="auto"/>
        <w:ind w:firstLine="0"/>
        <w:rPr>
          <w:rFonts w:ascii="Times New Roman" w:cs="Times New Roman"/>
          <w:color w:val="000000" w:themeColor="text1"/>
          <w:spacing w:val="0"/>
        </w:rPr>
      </w:pPr>
    </w:p>
    <w:p w14:paraId="461E26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ноября 1940 г. на войсковые испытания в НИИ ВВС поступил мотор М-63 на самолетах И-16 и И-153 в г.Севастополь-Кача (3333,15).</w:t>
      </w:r>
    </w:p>
    <w:p w14:paraId="0DA788C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F365C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ноября 1940 11 моторов ДБ-601 (Даймлер Бенц) поступили на испытательную станцию НИИ ВВС К.А. для антикоррозионной обработки (3333,15).</w:t>
      </w:r>
    </w:p>
    <w:p w14:paraId="13952A5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C86B5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ноября 1940 года. Начальник 10 управления Главного управления ВВС генерал-майор интендантской службы Константинов, начальник 5 отдела 10 управления ГУ ВВС в/инженер 3 ранга Гончаров.</w:t>
      </w:r>
    </w:p>
    <w:p w14:paraId="36DAE04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Ориентировочная потребность недешифрируемой, защитной краски (цвета 4-БО) для постоянного покрытия имеющихся в авиачастях боевых самолетов по состоянию на 1 января 1941 года и учебных самолетов, подлежащих капитальному ремонту в 1941 году</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76"/>
        <w:gridCol w:w="1134"/>
        <w:gridCol w:w="1134"/>
        <w:gridCol w:w="1134"/>
        <w:gridCol w:w="1134"/>
        <w:gridCol w:w="1134"/>
        <w:gridCol w:w="1134"/>
        <w:gridCol w:w="992"/>
        <w:gridCol w:w="993"/>
        <w:gridCol w:w="992"/>
      </w:tblGrid>
      <w:tr w:rsidR="00983732" w:rsidRPr="00A3026E" w14:paraId="7342A22F" w14:textId="77777777" w:rsidTr="00EA0DA7">
        <w:tc>
          <w:tcPr>
            <w:tcW w:w="1276" w:type="dxa"/>
          </w:tcPr>
          <w:p w14:paraId="05DBA3E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1134" w:type="dxa"/>
          </w:tcPr>
          <w:p w14:paraId="562B4B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Боевые самолеты типа СБ и ДБ-3</w:t>
            </w:r>
          </w:p>
        </w:tc>
        <w:tc>
          <w:tcPr>
            <w:tcW w:w="1134" w:type="dxa"/>
          </w:tcPr>
          <w:p w14:paraId="55F5A5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Боевые самолеты типа И-16 и И-153</w:t>
            </w:r>
          </w:p>
        </w:tc>
        <w:tc>
          <w:tcPr>
            <w:tcW w:w="1134" w:type="dxa"/>
          </w:tcPr>
          <w:p w14:paraId="4BE5184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для боевых самолетов</w:t>
            </w:r>
          </w:p>
        </w:tc>
        <w:tc>
          <w:tcPr>
            <w:tcW w:w="1134" w:type="dxa"/>
          </w:tcPr>
          <w:p w14:paraId="2EE178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Металлич. учебные самолеты</w:t>
            </w:r>
          </w:p>
        </w:tc>
        <w:tc>
          <w:tcPr>
            <w:tcW w:w="1134" w:type="dxa"/>
          </w:tcPr>
          <w:p w14:paraId="1AD1A66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Деревян. учебные самолеты</w:t>
            </w:r>
          </w:p>
        </w:tc>
        <w:tc>
          <w:tcPr>
            <w:tcW w:w="1134" w:type="dxa"/>
          </w:tcPr>
          <w:p w14:paraId="77EA65C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для учебных самолетов</w:t>
            </w:r>
          </w:p>
        </w:tc>
        <w:tc>
          <w:tcPr>
            <w:tcW w:w="992" w:type="dxa"/>
          </w:tcPr>
          <w:p w14:paraId="764EAC3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требуется для металлич. самолетов</w:t>
            </w:r>
          </w:p>
        </w:tc>
        <w:tc>
          <w:tcPr>
            <w:tcW w:w="993" w:type="dxa"/>
          </w:tcPr>
          <w:p w14:paraId="4332048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требуется для самолетов деревян. конструкций</w:t>
            </w:r>
          </w:p>
        </w:tc>
        <w:tc>
          <w:tcPr>
            <w:tcW w:w="992" w:type="dxa"/>
          </w:tcPr>
          <w:p w14:paraId="70E3EE8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w:t>
            </w:r>
          </w:p>
        </w:tc>
      </w:tr>
      <w:tr w:rsidR="00983732" w:rsidRPr="00A3026E" w14:paraId="17B411E3" w14:textId="77777777" w:rsidTr="00EA0DA7">
        <w:tc>
          <w:tcPr>
            <w:tcW w:w="1276" w:type="dxa"/>
          </w:tcPr>
          <w:p w14:paraId="5E54C9B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Необходимое количество готовой краски в тоннах:</w:t>
            </w:r>
          </w:p>
          <w:p w14:paraId="75CAD6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метал.</w:t>
            </w:r>
          </w:p>
          <w:p w14:paraId="0185A4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Самолетов</w:t>
            </w:r>
          </w:p>
          <w:p w14:paraId="7F0D4D6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сам-тов</w:t>
            </w:r>
          </w:p>
          <w:p w14:paraId="3C5F86D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деревянных конструкций</w:t>
            </w:r>
          </w:p>
        </w:tc>
        <w:tc>
          <w:tcPr>
            <w:tcW w:w="1134" w:type="dxa"/>
          </w:tcPr>
          <w:p w14:paraId="37C3E4D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12F72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451739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3CBFA8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356563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118</w:t>
            </w:r>
          </w:p>
          <w:p w14:paraId="623597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D01F37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34" w:type="dxa"/>
          </w:tcPr>
          <w:p w14:paraId="0EE556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F3335A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A9EFFE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0CBCA1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51381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78594C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4E9F28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196</w:t>
            </w:r>
          </w:p>
        </w:tc>
        <w:tc>
          <w:tcPr>
            <w:tcW w:w="1134" w:type="dxa"/>
          </w:tcPr>
          <w:p w14:paraId="6E0960E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8D8866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5A894F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F671A6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16C990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118</w:t>
            </w:r>
          </w:p>
          <w:p w14:paraId="7E36FFB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EFE45A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196</w:t>
            </w:r>
          </w:p>
        </w:tc>
        <w:tc>
          <w:tcPr>
            <w:tcW w:w="1134" w:type="dxa"/>
          </w:tcPr>
          <w:p w14:paraId="1BC347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D9045F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2D858D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0D5EB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9A935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p w14:paraId="6B87FF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B5AEEC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34" w:type="dxa"/>
          </w:tcPr>
          <w:p w14:paraId="4A879AE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F4EF38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2E23B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C0A7D1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96F014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5290D3A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914F6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1134" w:type="dxa"/>
          </w:tcPr>
          <w:p w14:paraId="544358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69CED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D5FBDA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CFB06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53C33B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p w14:paraId="519848D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A2F79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992" w:type="dxa"/>
          </w:tcPr>
          <w:p w14:paraId="6A45FD9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A1D67B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520884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C182F5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6DCA4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w:t>
            </w:r>
          </w:p>
          <w:p w14:paraId="1998D2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6DFBE1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3" w:type="dxa"/>
          </w:tcPr>
          <w:p w14:paraId="208C277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BD3A38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1363A7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86D530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515FF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67EBCC9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C15D7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266</w:t>
            </w:r>
          </w:p>
        </w:tc>
        <w:tc>
          <w:tcPr>
            <w:tcW w:w="992" w:type="dxa"/>
          </w:tcPr>
          <w:p w14:paraId="4CE9535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E2EFD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BB0E0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B9249D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627BB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w:t>
            </w:r>
          </w:p>
          <w:p w14:paraId="5D59F4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EF5D33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266</w:t>
            </w:r>
          </w:p>
        </w:tc>
      </w:tr>
      <w:tr w:rsidR="00983732" w:rsidRPr="00A3026E" w14:paraId="63CE4207" w14:textId="77777777" w:rsidTr="00EA0DA7">
        <w:tc>
          <w:tcPr>
            <w:tcW w:w="1276" w:type="dxa"/>
          </w:tcPr>
          <w:p w14:paraId="721EFA7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Количество компонентов, входящих в состав красочной смеси по рецептуре ВИАМ НКАП (в тоннах):</w:t>
            </w:r>
          </w:p>
          <w:p w14:paraId="297ABE1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Охра золотистая</w:t>
            </w:r>
          </w:p>
          <w:p w14:paraId="64DBF1C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Тальк</w:t>
            </w:r>
          </w:p>
          <w:p w14:paraId="64D7C6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Стеарат цинка</w:t>
            </w:r>
          </w:p>
          <w:p w14:paraId="44E20B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Крон оранжевый</w:t>
            </w:r>
          </w:p>
          <w:p w14:paraId="2ED6367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Зеленая окись хрома</w:t>
            </w:r>
          </w:p>
          <w:p w14:paraId="6AF477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Крон свинцовый</w:t>
            </w:r>
          </w:p>
          <w:p w14:paraId="3F9874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Лак глифталевый</w:t>
            </w:r>
          </w:p>
          <w:p w14:paraId="56A7781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Лак целонит</w:t>
            </w:r>
          </w:p>
          <w:p w14:paraId="71B81FB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1134" w:type="dxa"/>
          </w:tcPr>
          <w:p w14:paraId="3FA5A3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07473C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E8AE6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1B1CA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CA8CE8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30792E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49C099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12936A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52393F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p w14:paraId="40F054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p w14:paraId="5ED38C1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4B162F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0,6</w:t>
            </w:r>
          </w:p>
          <w:p w14:paraId="542F2C3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0C0560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w:t>
            </w:r>
          </w:p>
          <w:p w14:paraId="5DB23E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A19CE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13,6</w:t>
            </w:r>
          </w:p>
          <w:p w14:paraId="6B04A1F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BC5AD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59978FC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674002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61,4</w:t>
            </w:r>
          </w:p>
          <w:p w14:paraId="4B37258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1DA840F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118</w:t>
            </w:r>
          </w:p>
        </w:tc>
        <w:tc>
          <w:tcPr>
            <w:tcW w:w="1134" w:type="dxa"/>
          </w:tcPr>
          <w:p w14:paraId="5AD19DD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6A15E4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7ABB3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10B3A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6D378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9C6FCF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1E493E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90C14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F84532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1,62</w:t>
            </w:r>
          </w:p>
          <w:p w14:paraId="7275E2F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w:t>
            </w:r>
          </w:p>
          <w:p w14:paraId="2F901C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69308A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p w14:paraId="11BFEE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B2D535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64E2AB8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6DA8CF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5,95</w:t>
            </w:r>
          </w:p>
          <w:p w14:paraId="695DD6E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00A8E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3,03</w:t>
            </w:r>
          </w:p>
          <w:p w14:paraId="4019CB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897361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1C02A9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177,6</w:t>
            </w:r>
          </w:p>
          <w:p w14:paraId="2D34613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196</w:t>
            </w:r>
          </w:p>
        </w:tc>
        <w:tc>
          <w:tcPr>
            <w:tcW w:w="1134" w:type="dxa"/>
          </w:tcPr>
          <w:p w14:paraId="4D81344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0BF1FF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F3B46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01876F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59A01F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049EE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F4A683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48DA8B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98DD2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10,62</w:t>
            </w:r>
          </w:p>
          <w:p w14:paraId="40C747A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31,7</w:t>
            </w:r>
          </w:p>
          <w:p w14:paraId="38139A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314036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p w14:paraId="11D412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FD9E1D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w:t>
            </w:r>
          </w:p>
          <w:p w14:paraId="34BA4E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A614F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19,55</w:t>
            </w:r>
          </w:p>
          <w:p w14:paraId="3232B4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E4E8F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3,03</w:t>
            </w:r>
          </w:p>
          <w:p w14:paraId="06E17E4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3B715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61,4</w:t>
            </w:r>
          </w:p>
          <w:p w14:paraId="71CC64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177,6</w:t>
            </w:r>
          </w:p>
          <w:p w14:paraId="4942806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314</w:t>
            </w:r>
          </w:p>
        </w:tc>
        <w:tc>
          <w:tcPr>
            <w:tcW w:w="1134" w:type="dxa"/>
          </w:tcPr>
          <w:p w14:paraId="1743E6A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2F541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5E7765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BB354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9C61F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0BC6A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73C7CC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68B261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3415E1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0,5</w:t>
            </w:r>
          </w:p>
          <w:p w14:paraId="1DC30CA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p w14:paraId="5EC9C91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E33A64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0,1</w:t>
            </w:r>
          </w:p>
          <w:p w14:paraId="1E7F03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9C2B69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0,4</w:t>
            </w:r>
          </w:p>
          <w:p w14:paraId="0DE422F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41D27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0,7</w:t>
            </w:r>
          </w:p>
          <w:p w14:paraId="6D8A02E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29E4D2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6E03C1E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1321C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p w14:paraId="1A6AD87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1000355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134" w:type="dxa"/>
          </w:tcPr>
          <w:p w14:paraId="730AFC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78E7F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0C31A5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7D5F65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6590C3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135F19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D8231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6BAA0C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0B70E5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0,58</w:t>
            </w:r>
          </w:p>
          <w:p w14:paraId="79AF13B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p w14:paraId="4C9394E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4C4BB9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0,8</w:t>
            </w:r>
          </w:p>
          <w:p w14:paraId="1A5D368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5015BA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2026705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DAF619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2,14</w:t>
            </w:r>
          </w:p>
          <w:p w14:paraId="4C3F9DF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F9D05B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w:t>
            </w:r>
          </w:p>
          <w:p w14:paraId="05F0512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F656C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2101557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63,4</w:t>
            </w:r>
          </w:p>
          <w:p w14:paraId="4B3817E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1134" w:type="dxa"/>
          </w:tcPr>
          <w:p w14:paraId="41F923A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DD97C6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B8596B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EF3BF8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80757D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CC0A23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51B5DF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5F1764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B531A3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w:t>
            </w:r>
          </w:p>
          <w:p w14:paraId="5E21B86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w:t>
            </w:r>
          </w:p>
          <w:p w14:paraId="4EACFE8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DAD14B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0,9</w:t>
            </w:r>
          </w:p>
          <w:p w14:paraId="5401DAD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63498A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0,4</w:t>
            </w:r>
          </w:p>
          <w:p w14:paraId="0AD1543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B98FDD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2,84</w:t>
            </w:r>
          </w:p>
          <w:p w14:paraId="574E6FC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723F7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w:t>
            </w:r>
          </w:p>
          <w:p w14:paraId="39E41FE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FA969C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p w14:paraId="214C480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63,4</w:t>
            </w:r>
          </w:p>
          <w:p w14:paraId="0674A9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w:t>
            </w:r>
          </w:p>
        </w:tc>
        <w:tc>
          <w:tcPr>
            <w:tcW w:w="992" w:type="dxa"/>
          </w:tcPr>
          <w:p w14:paraId="44A80AC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DB2E6D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34E787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46FFCB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73FCF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608507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803E5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894045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177B57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p w14:paraId="2879FFC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27,3</w:t>
            </w:r>
          </w:p>
          <w:p w14:paraId="6B567C2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FE62F4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0,7</w:t>
            </w:r>
          </w:p>
          <w:p w14:paraId="6CB160E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BE0811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w:t>
            </w:r>
          </w:p>
          <w:p w14:paraId="1EC47E1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324DC4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14,3</w:t>
            </w:r>
          </w:p>
          <w:p w14:paraId="6823F0B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5D6F4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626E9FA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8F08D2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64,4</w:t>
            </w:r>
          </w:p>
          <w:p w14:paraId="4F6330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2B4E9F0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w:t>
            </w:r>
          </w:p>
        </w:tc>
        <w:tc>
          <w:tcPr>
            <w:tcW w:w="993" w:type="dxa"/>
          </w:tcPr>
          <w:p w14:paraId="0237D5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3013A5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128B2A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15A188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86C539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ED0234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1E4FB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89A18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AAE22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p w14:paraId="4574840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w:t>
            </w:r>
          </w:p>
          <w:p w14:paraId="21F940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21A3DA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p w14:paraId="73BD47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F5BAD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3B2ADA8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60E003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8,09</w:t>
            </w:r>
          </w:p>
          <w:p w14:paraId="122B77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89CFF8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4,11</w:t>
            </w:r>
          </w:p>
          <w:p w14:paraId="2A029EA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18E302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06D967A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241</w:t>
            </w:r>
          </w:p>
          <w:p w14:paraId="5D6A9A0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266</w:t>
            </w:r>
          </w:p>
        </w:tc>
        <w:tc>
          <w:tcPr>
            <w:tcW w:w="992" w:type="dxa"/>
          </w:tcPr>
          <w:p w14:paraId="5DA4045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8484D5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8CC99A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C2EEC8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F353A4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80AA9D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C2164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818AD4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5BD756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11,7</w:t>
            </w:r>
          </w:p>
          <w:p w14:paraId="504D079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p w14:paraId="362927A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3E274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w:t>
            </w:r>
          </w:p>
          <w:p w14:paraId="01A5D0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12D53E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w:t>
            </w:r>
          </w:p>
          <w:p w14:paraId="52F9AD2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F7562E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22,39</w:t>
            </w:r>
          </w:p>
          <w:p w14:paraId="655F08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9E1DA7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4,11</w:t>
            </w:r>
          </w:p>
          <w:p w14:paraId="38861AC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BBF576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64,4</w:t>
            </w:r>
          </w:p>
          <w:p w14:paraId="4689135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241</w:t>
            </w:r>
          </w:p>
          <w:p w14:paraId="13B6B8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390</w:t>
            </w:r>
          </w:p>
        </w:tc>
      </w:tr>
    </w:tbl>
    <w:p w14:paraId="7AC8003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(4190, 16).</w:t>
      </w:r>
    </w:p>
    <w:p w14:paraId="65BD8A4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36FDF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15 ноября 1940 г. к программе наземного и воздушною отстрела РС-82 штатного снаряжания для определения элементов траектории полета и разброса точек разрыва, помимо Чернореза, подключили и военинженера 1 ранта Онисько. Цель работы - получить с достаточной для практического использования точностью значения элементов тра</w:t>
      </w:r>
      <w:r w:rsidRPr="00A3026E">
        <w:rPr>
          <w:rFonts w:ascii="Times New Roman" w:hAnsi="Times New Roman"/>
          <w:color w:val="000000" w:themeColor="text1"/>
          <w:sz w:val="16"/>
          <w:szCs w:val="16"/>
        </w:rPr>
        <w:softHyphen/>
        <w:t>ектории РС-82 при наземной стрельбе, определить для условий воз</w:t>
      </w:r>
      <w:r w:rsidRPr="00A3026E">
        <w:rPr>
          <w:rFonts w:ascii="Times New Roman" w:hAnsi="Times New Roman"/>
          <w:color w:val="000000" w:themeColor="text1"/>
          <w:sz w:val="16"/>
          <w:szCs w:val="16"/>
        </w:rPr>
        <w:softHyphen/>
        <w:t>душной стрельбы очередями по четыре РС характер разброса точек раз</w:t>
      </w:r>
      <w:r w:rsidRPr="00A3026E">
        <w:rPr>
          <w:rFonts w:ascii="Times New Roman" w:hAnsi="Times New Roman"/>
          <w:color w:val="000000" w:themeColor="text1"/>
          <w:sz w:val="16"/>
          <w:szCs w:val="16"/>
        </w:rPr>
        <w:softHyphen/>
        <w:t>рыва. От испытателей также требовалось дать заключение об устойчи</w:t>
      </w:r>
      <w:r w:rsidRPr="00A3026E">
        <w:rPr>
          <w:rFonts w:ascii="Times New Roman" w:hAnsi="Times New Roman"/>
          <w:color w:val="000000" w:themeColor="text1"/>
          <w:sz w:val="16"/>
          <w:szCs w:val="16"/>
        </w:rPr>
        <w:softHyphen/>
        <w:t>вости РС-82 на траектории. Наконец-то в Управлении ВВС осознали, что гарантированно уничтожить воздушную цель одним-двумя РС ма</w:t>
      </w:r>
      <w:r w:rsidRPr="00A3026E">
        <w:rPr>
          <w:rFonts w:ascii="Times New Roman" w:hAnsi="Times New Roman"/>
          <w:color w:val="000000" w:themeColor="text1"/>
          <w:sz w:val="16"/>
          <w:szCs w:val="16"/>
        </w:rPr>
        <w:softHyphen/>
        <w:t>ловероятно. Статистические данные, приобретенные военными входе исследований. имели существенное значение. На наземных испытаниях эти снаряды отстреливали из трехметрового станка конструкции НИИ-3 НКБ. В воздушных (с самолета И-16) использовали боеприпасы без дымовой трассы - РОС-82 модели 3-00863, принятые представителями ВВС, и штатные РОС-82 модели 3-00497г из состава 96-й партии завода №70 НКБ (11402).</w:t>
      </w:r>
    </w:p>
    <w:p w14:paraId="65DB33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555E2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ноября 1940 г. на НИПАВ ГУ ВВС КА закончилась широкая программа полигонных испытаний облегченных РО-82 конструкции Огородникова, которые проходили с 4 октя</w:t>
      </w:r>
      <w:r w:rsidRPr="00A3026E">
        <w:rPr>
          <w:rFonts w:ascii="Times New Roman" w:hAnsi="Times New Roman"/>
          <w:color w:val="000000" w:themeColor="text1"/>
          <w:sz w:val="16"/>
          <w:szCs w:val="16"/>
        </w:rPr>
        <w:softHyphen/>
        <w:t>бря. Этап исследования живучести потребовал от</w:t>
      </w:r>
      <w:r w:rsidRPr="00A3026E">
        <w:rPr>
          <w:rFonts w:ascii="Times New Roman" w:hAnsi="Times New Roman"/>
          <w:color w:val="000000" w:themeColor="text1"/>
          <w:sz w:val="16"/>
          <w:szCs w:val="16"/>
        </w:rPr>
        <w:softHyphen/>
        <w:t>стрела 163 боевых снарядов на наземном стенде. После каждого выстре</w:t>
      </w:r>
      <w:r w:rsidRPr="00A3026E">
        <w:rPr>
          <w:rFonts w:ascii="Times New Roman" w:hAnsi="Times New Roman"/>
          <w:color w:val="000000" w:themeColor="text1"/>
          <w:sz w:val="16"/>
          <w:szCs w:val="16"/>
        </w:rPr>
        <w:softHyphen/>
        <w:t>ла пусковую осматривали с пристрастием. Еще бы, - заводчане в очеред</w:t>
      </w:r>
      <w:r w:rsidRPr="00A3026E">
        <w:rPr>
          <w:rFonts w:ascii="Times New Roman" w:hAnsi="Times New Roman"/>
          <w:color w:val="000000" w:themeColor="text1"/>
          <w:sz w:val="16"/>
          <w:szCs w:val="16"/>
        </w:rPr>
        <w:softHyphen/>
        <w:t>ной раз решили превзойти конструкторов из могущественного НИИ-3 НКБ! Но, за исключением прогара трубки пиропистолета на 61-м выст</w:t>
      </w:r>
      <w:r w:rsidRPr="00A3026E">
        <w:rPr>
          <w:rFonts w:ascii="Times New Roman" w:hAnsi="Times New Roman"/>
          <w:color w:val="000000" w:themeColor="text1"/>
          <w:sz w:val="16"/>
          <w:szCs w:val="16"/>
        </w:rPr>
        <w:softHyphen/>
        <w:t>реле, неполадок больше не возникло. Заменив пиропистолсты новыми, из жаропрочной стали, военные до окончания всей программы испыта</w:t>
      </w:r>
      <w:r w:rsidRPr="00A3026E">
        <w:rPr>
          <w:rFonts w:ascii="Times New Roman" w:hAnsi="Times New Roman"/>
          <w:color w:val="000000" w:themeColor="text1"/>
          <w:sz w:val="16"/>
          <w:szCs w:val="16"/>
        </w:rPr>
        <w:softHyphen/>
        <w:t>ний с подобными неприятностями больше не сталкивались (11402).</w:t>
      </w:r>
    </w:p>
    <w:p w14:paraId="6ADC0B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6A56AD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3002AB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874B22A"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С 15 ноября и до середины декабря 1940 г. оба танка А-34 № 311-11-3 и А-34 № 311-11-3 находились в цехе «540» отдела «500» завода № 183, где производился их капитальный ремонт. Во время ремонта с танков А-34 были демонтированы пушки Л-11 и отправлены в Ленинград на Кировский завод для доработки их противооткатных устройств. После доработки пушки Л-11 были возвращены на завод № 183 и в дальнейшем установлены на серийные танки Т-34 с заводскими номерами 938-21 и 938-70. После капитального ремонта танки А-34 без основного оружия были готовы к новым испытаниям (17625). </w:t>
      </w:r>
    </w:p>
    <w:p w14:paraId="4FE3A164" w14:textId="77777777" w:rsidR="00893AC8" w:rsidRPr="00A3026E" w:rsidRDefault="00893AC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AB352A4" w14:textId="77777777" w:rsidR="007C711E" w:rsidRPr="00A3026E" w:rsidRDefault="007C711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ноября 1940 г. заключеник по испытаниям люка механика-водителя Т-34 согласовано с районным инженером ГАБТУ КА Д.М. Козыревым и 18 ноября 1940 г. с </w:t>
      </w:r>
      <w:hyperlink r:id="rId111" w:tgtFrame="_blank" w:history="1">
        <w:r w:rsidRPr="00A3026E">
          <w:rPr>
            <w:rStyle w:val="a5"/>
            <w:rFonts w:ascii="Times New Roman" w:hAnsi="Times New Roman"/>
            <w:color w:val="000000" w:themeColor="text1"/>
            <w:sz w:val="16"/>
            <w:szCs w:val="16"/>
          </w:rPr>
          <w:t>препроводительным письмом № СО6228</w:t>
        </w:r>
      </w:hyperlink>
      <w:r w:rsidRPr="00A3026E">
        <w:rPr>
          <w:rFonts w:ascii="Times New Roman" w:hAnsi="Times New Roman"/>
          <w:color w:val="000000" w:themeColor="text1"/>
          <w:sz w:val="16"/>
          <w:szCs w:val="16"/>
        </w:rPr>
        <w:t> отправлено в ГАБТУ КА. Ответ из Москвы не заставил себя долго ждать, 30 ноября 1940 г. заместитель начальника БТУ ГАБТУ КА военинженер 1 ранга Н.Н. Алымов в </w:t>
      </w:r>
      <w:hyperlink r:id="rId112" w:tgtFrame="_blank" w:history="1">
        <w:r w:rsidRPr="00A3026E">
          <w:rPr>
            <w:rStyle w:val="a5"/>
            <w:rFonts w:ascii="Times New Roman" w:hAnsi="Times New Roman"/>
            <w:color w:val="000000" w:themeColor="text1"/>
            <w:sz w:val="16"/>
            <w:szCs w:val="16"/>
          </w:rPr>
          <w:t>письме № 77253с</w:t>
        </w:r>
      </w:hyperlink>
      <w:r w:rsidRPr="00A3026E">
        <w:rPr>
          <w:rFonts w:ascii="Times New Roman" w:hAnsi="Times New Roman"/>
          <w:color w:val="000000" w:themeColor="text1"/>
          <w:sz w:val="16"/>
          <w:szCs w:val="16"/>
        </w:rPr>
        <w:t> на имя Д.М. Козырева одобрил принятые на заводе № 183 решения по уплотнению люков танка Т-34, и потребовал их скорейшего выполнения (18206).</w:t>
      </w:r>
    </w:p>
    <w:p w14:paraId="7C764B32" w14:textId="77777777" w:rsidR="007C711E" w:rsidRPr="00A3026E" w:rsidRDefault="007C711E" w:rsidP="00A3026E">
      <w:pPr>
        <w:spacing w:after="0" w:line="240" w:lineRule="auto"/>
        <w:jc w:val="both"/>
        <w:rPr>
          <w:rFonts w:ascii="Times New Roman" w:hAnsi="Times New Roman"/>
          <w:color w:val="000000" w:themeColor="text1"/>
          <w:sz w:val="16"/>
          <w:szCs w:val="16"/>
        </w:rPr>
      </w:pPr>
    </w:p>
    <w:p w14:paraId="612FB3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ноября 1940 г.</w:t>
      </w:r>
    </w:p>
    <w:p w14:paraId="7E02422B"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Style w:val="a7"/>
          <w:rFonts w:ascii="Times New Roman" w:hAnsi="Times New Roman"/>
          <w:b w:val="0"/>
          <w:bCs w:val="0"/>
          <w:color w:val="000000" w:themeColor="text1"/>
          <w:sz w:val="16"/>
          <w:szCs w:val="16"/>
        </w:rPr>
        <w:t>Приказ НКВД СССР № 001433 «О строительстве алюминиевых заводов и гидроэлектростанций»</w:t>
      </w:r>
    </w:p>
    <w:p w14:paraId="37B15D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Style w:val="af0"/>
          <w:rFonts w:ascii="Times New Roman" w:hAnsi="Times New Roman"/>
          <w:i w:val="0"/>
          <w:iCs w:val="0"/>
          <w:color w:val="000000" w:themeColor="text1"/>
          <w:sz w:val="16"/>
          <w:szCs w:val="16"/>
        </w:rPr>
        <w:t>Совершенно секретно</w:t>
      </w:r>
    </w:p>
    <w:p w14:paraId="2A6E87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СНК СССР и ЦК ВКП (б) № 1994-836с от 11 октября 1940 года на НКВД СССР возложено строительство алюминиевых заводов и гидростанций, с вводом в действие их в 1941—1943 гг.</w:t>
      </w:r>
      <w:r w:rsidR="00656225" w:rsidRPr="00A3026E">
        <w:rPr>
          <w:rFonts w:ascii="Times New Roman" w:hAnsi="Times New Roman"/>
          <w:sz w:val="16"/>
          <w:szCs w:val="16"/>
        </w:rPr>
        <w:fldChar w:fldCharType="begin"/>
      </w:r>
      <w:r w:rsidR="00656225" w:rsidRPr="00A3026E">
        <w:rPr>
          <w:rFonts w:ascii="Times New Roman" w:hAnsi="Times New Roman"/>
          <w:color w:val="000000" w:themeColor="text1"/>
          <w:sz w:val="16"/>
          <w:szCs w:val="16"/>
        </w:rPr>
        <w:instrText xml:space="preserve">ref HYPERLINK  \l "1_" \* MERGEFORMAT </w:instrText>
      </w:r>
      <w:r w:rsidR="00656225" w:rsidRPr="00A3026E">
        <w:rPr>
          <w:rFonts w:ascii="Times New Roman" w:hAnsi="Times New Roman"/>
          <w:sz w:val="16"/>
          <w:szCs w:val="16"/>
        </w:rPr>
        <w:fldChar w:fldCharType="separate"/>
      </w:r>
      <w:r w:rsidRPr="00A3026E">
        <w:rPr>
          <w:rStyle w:val="a5"/>
          <w:rFonts w:ascii="Times New Roman" w:hAnsi="Times New Roman"/>
          <w:color w:val="000000" w:themeColor="text1"/>
          <w:sz w:val="16"/>
          <w:szCs w:val="16"/>
        </w:rPr>
        <w:t>1</w:t>
      </w:r>
      <w:r w:rsidR="00656225" w:rsidRPr="00A3026E">
        <w:rPr>
          <w:rStyle w:val="a5"/>
          <w:rFonts w:ascii="Times New Roman" w:hAnsi="Times New Roman"/>
          <w:color w:val="000000" w:themeColor="text1"/>
          <w:sz w:val="16"/>
          <w:szCs w:val="16"/>
        </w:rPr>
        <w:fldChar w:fldCharType="end"/>
      </w:r>
    </w:p>
    <w:p w14:paraId="6D4D36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исполнения этой исключительно важной и ответственной задачи, ПРИКАЗЫВАЮ:</w:t>
      </w:r>
    </w:p>
    <w:p w14:paraId="46310C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Возложить на ГУЛАГ НКВД (Управление промышленного строительства) строительство следующих заводов:</w:t>
      </w:r>
    </w:p>
    <w:p w14:paraId="62CC38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Style w:val="af0"/>
          <w:rFonts w:ascii="Times New Roman" w:hAnsi="Times New Roman"/>
          <w:i w:val="0"/>
          <w:iCs w:val="0"/>
          <w:color w:val="000000" w:themeColor="text1"/>
          <w:sz w:val="16"/>
          <w:szCs w:val="16"/>
        </w:rPr>
        <w:t>Кандалакшский алюминиевый завод</w:t>
      </w:r>
    </w:p>
    <w:p w14:paraId="4F93F043"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а) цех анодной массы — 18 т[ысяч] тонн, ввод в действие 1 января 1942 г.;</w:t>
      </w:r>
    </w:p>
    <w:p w14:paraId="797512FA"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б) 1-я серия электролиза — 15 т[ысяч] т[он]н. Ввод в действие в 1941 г., из них: на 7,5 т[ысяч] т[он]н. — 1 августа 1941 г., на 7,5 т[ысяч] т[он]н. — 1 сентября 1941 г.</w:t>
      </w:r>
    </w:p>
    <w:p w14:paraId="1B65FC74"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 xml:space="preserve">в) 2-я серия электролиза — 15 т[ысяч] т[он]н., ввод в действие </w:t>
      </w:r>
      <w:r w:rsidRPr="00A3026E">
        <w:rPr>
          <w:color w:val="000000" w:themeColor="text1"/>
          <w:sz w:val="16"/>
          <w:szCs w:val="16"/>
        </w:rPr>
        <w:t>IV</w:t>
      </w:r>
      <w:r w:rsidRPr="00A3026E">
        <w:rPr>
          <w:color w:val="000000" w:themeColor="text1"/>
          <w:sz w:val="16"/>
          <w:szCs w:val="16"/>
          <w:lang w:val="ru-RU"/>
        </w:rPr>
        <w:t xml:space="preserve"> квар тал 1943 г.</w:t>
      </w:r>
    </w:p>
    <w:p w14:paraId="3292BC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Style w:val="af0"/>
          <w:rFonts w:ascii="Times New Roman" w:hAnsi="Times New Roman"/>
          <w:i w:val="0"/>
          <w:iCs w:val="0"/>
          <w:color w:val="000000" w:themeColor="text1"/>
          <w:sz w:val="16"/>
          <w:szCs w:val="16"/>
        </w:rPr>
        <w:t>Богословский алюминиевый завод</w:t>
      </w:r>
    </w:p>
    <w:p w14:paraId="42654CFF"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 xml:space="preserve">электролизный цех — 15 т[ысяч] т[он]н, ввод в действие </w:t>
      </w:r>
      <w:r w:rsidRPr="00A3026E">
        <w:rPr>
          <w:color w:val="000000" w:themeColor="text1"/>
          <w:sz w:val="16"/>
          <w:szCs w:val="16"/>
        </w:rPr>
        <w:t>IV</w:t>
      </w:r>
      <w:r w:rsidRPr="00A3026E">
        <w:rPr>
          <w:color w:val="000000" w:themeColor="text1"/>
          <w:sz w:val="16"/>
          <w:szCs w:val="16"/>
          <w:lang w:val="ru-RU"/>
        </w:rPr>
        <w:t xml:space="preserve"> кв[артал] 1943 г.</w:t>
      </w:r>
    </w:p>
    <w:p w14:paraId="4347A821"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 xml:space="preserve">глиноземный цех — 100 т[ысяч] т[он]н, ввод в действие </w:t>
      </w:r>
      <w:r w:rsidRPr="00A3026E">
        <w:rPr>
          <w:color w:val="000000" w:themeColor="text1"/>
          <w:sz w:val="16"/>
          <w:szCs w:val="16"/>
        </w:rPr>
        <w:t>II</w:t>
      </w:r>
      <w:r w:rsidRPr="00A3026E">
        <w:rPr>
          <w:color w:val="000000" w:themeColor="text1"/>
          <w:sz w:val="16"/>
          <w:szCs w:val="16"/>
          <w:lang w:val="ru-RU"/>
        </w:rPr>
        <w:t xml:space="preserve"> кв[артал] 1943 г.</w:t>
      </w:r>
    </w:p>
    <w:p w14:paraId="2F09DD7F"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 xml:space="preserve">ТЭЦ — 75 т[ысяч] кВт, ввод в действие </w:t>
      </w:r>
      <w:r w:rsidRPr="00A3026E">
        <w:rPr>
          <w:color w:val="000000" w:themeColor="text1"/>
          <w:sz w:val="16"/>
          <w:szCs w:val="16"/>
        </w:rPr>
        <w:t>II</w:t>
      </w:r>
      <w:r w:rsidRPr="00A3026E">
        <w:rPr>
          <w:color w:val="000000" w:themeColor="text1"/>
          <w:sz w:val="16"/>
          <w:szCs w:val="16"/>
          <w:lang w:val="ru-RU"/>
        </w:rPr>
        <w:t xml:space="preserve"> кв[артал] 1943 г.</w:t>
      </w:r>
    </w:p>
    <w:p w14:paraId="28830D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Style w:val="af0"/>
          <w:rFonts w:ascii="Times New Roman" w:hAnsi="Times New Roman"/>
          <w:i w:val="0"/>
          <w:iCs w:val="0"/>
          <w:color w:val="000000" w:themeColor="text1"/>
          <w:sz w:val="16"/>
          <w:szCs w:val="16"/>
        </w:rPr>
        <w:t>Тихвинский алюминиевый завод</w:t>
      </w:r>
    </w:p>
    <w:p w14:paraId="4696BE39"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 xml:space="preserve">электролизный цех — 15 т[ысяч] тонн, ввод в действие </w:t>
      </w:r>
      <w:r w:rsidRPr="00A3026E">
        <w:rPr>
          <w:color w:val="000000" w:themeColor="text1"/>
          <w:sz w:val="16"/>
          <w:szCs w:val="16"/>
        </w:rPr>
        <w:t>III</w:t>
      </w:r>
      <w:r w:rsidRPr="00A3026E">
        <w:rPr>
          <w:color w:val="000000" w:themeColor="text1"/>
          <w:sz w:val="16"/>
          <w:szCs w:val="16"/>
          <w:lang w:val="ru-RU"/>
        </w:rPr>
        <w:t xml:space="preserve"> кв[артал] 1942 г.</w:t>
      </w:r>
    </w:p>
    <w:p w14:paraId="200C68E6"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 xml:space="preserve">глиноземный цех — 50 т[ысяч] т[он]н, ввод в действие </w:t>
      </w:r>
      <w:r w:rsidRPr="00A3026E">
        <w:rPr>
          <w:color w:val="000000" w:themeColor="text1"/>
          <w:sz w:val="16"/>
          <w:szCs w:val="16"/>
        </w:rPr>
        <w:t>III</w:t>
      </w:r>
      <w:r w:rsidRPr="00A3026E">
        <w:rPr>
          <w:color w:val="000000" w:themeColor="text1"/>
          <w:sz w:val="16"/>
          <w:szCs w:val="16"/>
          <w:lang w:val="ru-RU"/>
        </w:rPr>
        <w:t xml:space="preserve"> кв[артал]</w:t>
      </w:r>
    </w:p>
    <w:p w14:paraId="17211161"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1943 г.</w:t>
      </w:r>
    </w:p>
    <w:p w14:paraId="6AA477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Style w:val="af0"/>
          <w:rFonts w:ascii="Times New Roman" w:hAnsi="Times New Roman"/>
          <w:i w:val="0"/>
          <w:iCs w:val="0"/>
          <w:color w:val="000000" w:themeColor="text1"/>
          <w:sz w:val="16"/>
          <w:szCs w:val="16"/>
        </w:rPr>
        <w:t xml:space="preserve">Кольский глиноземный завод </w:t>
      </w:r>
    </w:p>
    <w:p w14:paraId="427DCB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нефелинах) 100 т[ысяч] тонн, ввод в действие III кв[артал] 1943 г.</w:t>
      </w:r>
    </w:p>
    <w:p w14:paraId="6F031C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Style w:val="af0"/>
          <w:rFonts w:ascii="Times New Roman" w:hAnsi="Times New Roman"/>
          <w:i w:val="0"/>
          <w:iCs w:val="0"/>
          <w:color w:val="000000" w:themeColor="text1"/>
          <w:sz w:val="16"/>
          <w:szCs w:val="16"/>
        </w:rPr>
        <w:t>Кандалакшский алюминиевый завод</w:t>
      </w:r>
    </w:p>
    <w:p w14:paraId="6577A8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термическому способу) 5 т[ысяч] тонн, ввод в действие II кв[артал] 1943 г.</w:t>
      </w:r>
    </w:p>
    <w:p w14:paraId="3A8EAC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Возложить на Главгидрострой НКВД строительство следующих объектов: </w:t>
      </w:r>
    </w:p>
    <w:p w14:paraId="0E7D42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Style w:val="af0"/>
          <w:rFonts w:ascii="Times New Roman" w:hAnsi="Times New Roman"/>
          <w:i w:val="0"/>
          <w:iCs w:val="0"/>
          <w:color w:val="000000" w:themeColor="text1"/>
          <w:sz w:val="16"/>
          <w:szCs w:val="16"/>
        </w:rPr>
        <w:t>Маткожненский алюминиевый завод</w:t>
      </w:r>
    </w:p>
    <w:p w14:paraId="767026EA"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 xml:space="preserve">1 серия электролиза 15 т[ысяч] тонн, ввод в действие </w:t>
      </w:r>
      <w:r w:rsidRPr="00A3026E">
        <w:rPr>
          <w:color w:val="000000" w:themeColor="text1"/>
          <w:sz w:val="16"/>
          <w:szCs w:val="16"/>
        </w:rPr>
        <w:t>II</w:t>
      </w:r>
      <w:r w:rsidRPr="00A3026E">
        <w:rPr>
          <w:color w:val="000000" w:themeColor="text1"/>
          <w:sz w:val="16"/>
          <w:szCs w:val="16"/>
          <w:lang w:val="ru-RU"/>
        </w:rPr>
        <w:t xml:space="preserve"> кв[артал] 1942 г.</w:t>
      </w:r>
    </w:p>
    <w:p w14:paraId="4791E893"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 xml:space="preserve">2 серия электролиза 15 т[ысяч] тонн, ввод в действие </w:t>
      </w:r>
      <w:r w:rsidRPr="00A3026E">
        <w:rPr>
          <w:color w:val="000000" w:themeColor="text1"/>
          <w:sz w:val="16"/>
          <w:szCs w:val="16"/>
        </w:rPr>
        <w:t>IV</w:t>
      </w:r>
      <w:r w:rsidRPr="00A3026E">
        <w:rPr>
          <w:color w:val="000000" w:themeColor="text1"/>
          <w:sz w:val="16"/>
          <w:szCs w:val="16"/>
          <w:lang w:val="ru-RU"/>
        </w:rPr>
        <w:t xml:space="preserve"> кв[артал] 1942 г.</w:t>
      </w:r>
    </w:p>
    <w:p w14:paraId="43943C20"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 xml:space="preserve">Маткожненская гидростанция </w:t>
      </w:r>
      <w:r w:rsidRPr="00A3026E">
        <w:rPr>
          <w:color w:val="000000" w:themeColor="text1"/>
          <w:sz w:val="16"/>
          <w:szCs w:val="16"/>
        </w:rPr>
        <w:t>I</w:t>
      </w:r>
      <w:r w:rsidRPr="00A3026E">
        <w:rPr>
          <w:color w:val="000000" w:themeColor="text1"/>
          <w:sz w:val="16"/>
          <w:szCs w:val="16"/>
          <w:lang w:val="ru-RU"/>
        </w:rPr>
        <w:t xml:space="preserve"> кв[артал] 1942 г. (обеспеченная круглогодовая мощность 72 кВт) </w:t>
      </w:r>
    </w:p>
    <w:p w14:paraId="28D3609B"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 xml:space="preserve">Ондская гидростанция </w:t>
      </w:r>
      <w:r w:rsidRPr="00A3026E">
        <w:rPr>
          <w:color w:val="000000" w:themeColor="text1"/>
          <w:sz w:val="16"/>
          <w:szCs w:val="16"/>
        </w:rPr>
        <w:t>IV</w:t>
      </w:r>
      <w:r w:rsidRPr="00A3026E">
        <w:rPr>
          <w:color w:val="000000" w:themeColor="text1"/>
          <w:sz w:val="16"/>
          <w:szCs w:val="16"/>
          <w:lang w:val="ru-RU"/>
        </w:rPr>
        <w:t xml:space="preserve"> кв[артал] 1942 г.</w:t>
      </w:r>
      <w:r w:rsidR="00656225" w:rsidRPr="00A3026E">
        <w:rPr>
          <w:sz w:val="16"/>
          <w:szCs w:val="16"/>
        </w:rPr>
        <w:fldChar w:fldCharType="begin"/>
      </w:r>
      <w:r w:rsidR="00656225" w:rsidRPr="00A3026E">
        <w:rPr>
          <w:color w:val="000000" w:themeColor="text1"/>
          <w:sz w:val="16"/>
          <w:szCs w:val="16"/>
        </w:rPr>
        <w:instrText>refHYPERLINK</w:instrText>
      </w:r>
      <w:r w:rsidR="00656225" w:rsidRPr="00A3026E">
        <w:rPr>
          <w:color w:val="000000" w:themeColor="text1"/>
          <w:sz w:val="16"/>
          <w:szCs w:val="16"/>
          <w:lang w:val="ru-RU"/>
        </w:rPr>
        <w:instrText xml:space="preserve">  \</w:instrText>
      </w:r>
      <w:r w:rsidR="00656225" w:rsidRPr="00A3026E">
        <w:rPr>
          <w:color w:val="000000" w:themeColor="text1"/>
          <w:sz w:val="16"/>
          <w:szCs w:val="16"/>
        </w:rPr>
        <w:instrText>l</w:instrText>
      </w:r>
      <w:r w:rsidR="00656225" w:rsidRPr="00A3026E">
        <w:rPr>
          <w:color w:val="000000" w:themeColor="text1"/>
          <w:sz w:val="16"/>
          <w:szCs w:val="16"/>
          <w:lang w:val="ru-RU"/>
        </w:rPr>
        <w:instrText xml:space="preserve"> "2_" \* </w:instrText>
      </w:r>
      <w:r w:rsidR="00656225" w:rsidRPr="00A3026E">
        <w:rPr>
          <w:color w:val="000000" w:themeColor="text1"/>
          <w:sz w:val="16"/>
          <w:szCs w:val="16"/>
        </w:rPr>
        <w:instrText>MERGEFORMAT</w:instrText>
      </w:r>
      <w:r w:rsidR="00656225" w:rsidRPr="00A3026E">
        <w:rPr>
          <w:sz w:val="16"/>
          <w:szCs w:val="16"/>
        </w:rPr>
        <w:fldChar w:fldCharType="separate"/>
      </w:r>
      <w:r w:rsidRPr="00A3026E">
        <w:rPr>
          <w:rStyle w:val="a5"/>
          <w:color w:val="000000" w:themeColor="text1"/>
          <w:sz w:val="16"/>
          <w:szCs w:val="16"/>
          <w:lang w:val="ru-RU"/>
        </w:rPr>
        <w:t>2</w:t>
      </w:r>
      <w:r w:rsidR="00656225" w:rsidRPr="00A3026E">
        <w:rPr>
          <w:rStyle w:val="a5"/>
          <w:color w:val="000000" w:themeColor="text1"/>
          <w:sz w:val="16"/>
          <w:szCs w:val="16"/>
          <w:lang w:val="ru-RU"/>
        </w:rPr>
        <w:fldChar w:fldCharType="end"/>
      </w:r>
    </w:p>
    <w:p w14:paraId="502DF1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Возложить на ГУЛЖДС НКВД строительство железнодорожной ветки, соединяющей Хизоварское кианитовое месторождение с железной дорогой Лоухи—Кестеньга, со сроком окончания 1 мая 1941 г.</w:t>
      </w:r>
    </w:p>
    <w:p w14:paraId="0D836C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Для строительства перечисленных заводов и гидростанций организовать:</w:t>
      </w:r>
    </w:p>
    <w:p w14:paraId="05F5ED4E"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а) Управление Кандалакшского строительства НКВД (Кандалакшский алюминиевый завод, Кольский глиноземный завод, Кандалакшский алюминиевый завод по термическому способу) и Кандалакшского исправительно-трудового лагеря, выделив последний из состава комбината «Североникель»;</w:t>
      </w:r>
    </w:p>
    <w:p w14:paraId="469D87D3"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б) Управление строительства Тихвинского алюминиевого завода и Тихвинского исправительно-трудового лагеря НКВД, с местонахождением в Бокситогорске Ленинградской обл.;</w:t>
      </w:r>
    </w:p>
    <w:p w14:paraId="2470963A"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в) Управление строительства Богословского алюминиевого завода и Богословского исправительно-трудового лагеря НКВД, с местонахожде нием ст. Бокситы, железной дороги им. Кагановича;</w:t>
      </w:r>
    </w:p>
    <w:p w14:paraId="0E3FEA1E"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г) Управление Маткожненского строительства (алюминиевый завод, Маткожненская ГЭС и Ондская ГЭС) и Маткожненского исправительно-[70]трудового лагеря НКВД, с местонахождением разъезд Сосновец Кировской железной дороги.</w:t>
      </w:r>
    </w:p>
    <w:p w14:paraId="450539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Назначить:</w:t>
      </w:r>
    </w:p>
    <w:p w14:paraId="747A8FC0"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Начальником строительства Тихвинского завода и Тихвинского лагеря НКВД — тов. Самарина И.В.</w:t>
      </w:r>
    </w:p>
    <w:p w14:paraId="1CE9ACD1"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Зам. нач. строительства — тов. Овчинникова</w:t>
      </w:r>
    </w:p>
    <w:p w14:paraId="4B978F56"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Начальником работ — тов. Альянова Г.М.</w:t>
      </w:r>
    </w:p>
    <w:p w14:paraId="1062C60A"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Начальником строительства Богословского завода и Богословского лагеря НКВД — тов. Тарасюк.</w:t>
      </w:r>
    </w:p>
    <w:p w14:paraId="38542169"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Главным инженером — тов. Ткачук</w:t>
      </w:r>
    </w:p>
    <w:p w14:paraId="0E928054"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 xml:space="preserve">Зам. главн[ого] инженера — тов. Рюмина </w:t>
      </w:r>
    </w:p>
    <w:p w14:paraId="2551DF6C"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Начальником Маткожненского строительства и лагеря НКВД — тов. Паперовского В.И.</w:t>
      </w:r>
    </w:p>
    <w:p w14:paraId="50F501F5"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Главным инженером — тов. Зубрик К.М.</w:t>
      </w:r>
    </w:p>
    <w:p w14:paraId="6258F808"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Начальником Кандалакшского строительства и лагеря НКВД — тов. Бойкова И.П.</w:t>
      </w:r>
    </w:p>
    <w:p w14:paraId="0A30378E"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Зам. нач. стр[оительст]ва и лагеря НКВД (по глиноземному заводу) — тов. Ходырева</w:t>
      </w:r>
    </w:p>
    <w:p w14:paraId="76D00498"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Зам. нач. строительства — тов. Кричмар</w:t>
      </w:r>
    </w:p>
    <w:p w14:paraId="254D3C66"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Зам. главн[ого] инженера — тов. Лангман</w:t>
      </w:r>
    </w:p>
    <w:p w14:paraId="1F12CE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Организовать в составе Управления промышленного строитель ства ГУЛАГа НКВД — Отдел строительства алюминиевых заводов, в составе — 16 человек.</w:t>
      </w:r>
    </w:p>
    <w:p w14:paraId="2F7E51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Заместителю начальника ГУЛАГа НКВД тов. Сафонову довести к 1 января 1941 года численность: Тихвинского лагеря до 2500 человек, Богословского лагеря до 1 000 человек, Маткожненского лагеря до 3000 человек, и увеличить численность Кандалакшского лагеря на 3000 человек, из них к 15 ноября 1940 г. на 1000 человек.</w:t>
      </w:r>
    </w:p>
    <w:p w14:paraId="1BFFD7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Начальнику Отдела кадров ГУЛАГа НКВД тов. Кузнецову в месячный срок обеспечить строительство алюминиевых заводов необходимыми кадрами как инженерно-технического персонала, так и по линии лагерных отделов.</w:t>
      </w:r>
    </w:p>
    <w:p w14:paraId="40F535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Возложить на Управление Кандалакшского лагеря НКВД предоставление рабочей силы на строительство гидроэлектростанции «Нива 3» на договорных началах.</w:t>
      </w:r>
    </w:p>
    <w:p w14:paraId="1A18AD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Возложить на Тихвинский и Богословский лагеря НКВД предоставление рабочей силы на договорных началах по 500 человек Тихвинским бокситовым рудникам и Северо-Уральским бокситовым рудникам.</w:t>
      </w:r>
    </w:p>
    <w:p w14:paraId="3FCF57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Начальнику Управления снабжения ГУЛАГа НКВД тов. Уварову выделить из имеющегося наличия необходимые для организационного периода материалы и оборудование, с последующим возмещением их из фондов, выделяемых для строительства алюминиевых заводов.</w:t>
      </w:r>
    </w:p>
    <w:p w14:paraId="106829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Начальнику Отдела общего снабжения ГУЛАГа НКВД тов. Силину выделить фонды на продовольствие, вещдовольствие, фураж, лагерный инвентарь, товары ширпотреба — для вновь организуемых лагерей и обеспечить своевременную отправку этих товаров.</w:t>
      </w:r>
    </w:p>
    <w:p w14:paraId="0703EE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Начальнику комбината «Североникель» тов. Царевскому:</w:t>
      </w:r>
    </w:p>
    <w:p w14:paraId="3CE9DA97"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а) Передать Управлению строительства Кандалакшского алюминиевого завода продовольствие, фураж, вещевое довольствие и промышленные товары, согласно положений №№ 1, 2, 3</w:t>
      </w:r>
      <w:r w:rsidR="00656225" w:rsidRPr="00A3026E">
        <w:rPr>
          <w:sz w:val="16"/>
          <w:szCs w:val="16"/>
        </w:rPr>
        <w:fldChar w:fldCharType="begin"/>
      </w:r>
      <w:r w:rsidR="00656225" w:rsidRPr="00A3026E">
        <w:rPr>
          <w:color w:val="000000" w:themeColor="text1"/>
          <w:sz w:val="16"/>
          <w:szCs w:val="16"/>
        </w:rPr>
        <w:instrText>refHYPERLINK</w:instrText>
      </w:r>
      <w:r w:rsidR="00656225" w:rsidRPr="00A3026E">
        <w:rPr>
          <w:color w:val="000000" w:themeColor="text1"/>
          <w:sz w:val="16"/>
          <w:szCs w:val="16"/>
          <w:lang w:val="ru-RU"/>
        </w:rPr>
        <w:instrText xml:space="preserve">  \</w:instrText>
      </w:r>
      <w:r w:rsidR="00656225" w:rsidRPr="00A3026E">
        <w:rPr>
          <w:color w:val="000000" w:themeColor="text1"/>
          <w:sz w:val="16"/>
          <w:szCs w:val="16"/>
        </w:rPr>
        <w:instrText>l</w:instrText>
      </w:r>
      <w:r w:rsidR="00656225" w:rsidRPr="00A3026E">
        <w:rPr>
          <w:color w:val="000000" w:themeColor="text1"/>
          <w:sz w:val="16"/>
          <w:szCs w:val="16"/>
          <w:lang w:val="ru-RU"/>
        </w:rPr>
        <w:instrText xml:space="preserve"> "3" \* </w:instrText>
      </w:r>
      <w:r w:rsidR="00656225" w:rsidRPr="00A3026E">
        <w:rPr>
          <w:color w:val="000000" w:themeColor="text1"/>
          <w:sz w:val="16"/>
          <w:szCs w:val="16"/>
        </w:rPr>
        <w:instrText>MERGEFORMAT</w:instrText>
      </w:r>
      <w:r w:rsidR="00656225" w:rsidRPr="00A3026E">
        <w:rPr>
          <w:sz w:val="16"/>
          <w:szCs w:val="16"/>
        </w:rPr>
        <w:fldChar w:fldCharType="separate"/>
      </w:r>
      <w:r w:rsidRPr="00A3026E">
        <w:rPr>
          <w:rStyle w:val="a5"/>
          <w:color w:val="000000" w:themeColor="text1"/>
          <w:sz w:val="16"/>
          <w:szCs w:val="16"/>
          <w:lang w:val="ru-RU"/>
        </w:rPr>
        <w:t>(</w:t>
      </w:r>
      <w:r w:rsidR="00656225" w:rsidRPr="00A3026E">
        <w:rPr>
          <w:rStyle w:val="a5"/>
          <w:color w:val="000000" w:themeColor="text1"/>
          <w:sz w:val="16"/>
          <w:szCs w:val="16"/>
          <w:lang w:val="ru-RU"/>
        </w:rPr>
        <w:fldChar w:fldCharType="end"/>
      </w:r>
      <w:r w:rsidR="00656225" w:rsidRPr="00A3026E">
        <w:rPr>
          <w:sz w:val="16"/>
          <w:szCs w:val="16"/>
        </w:rPr>
        <w:fldChar w:fldCharType="begin"/>
      </w:r>
      <w:r w:rsidR="00656225" w:rsidRPr="00A3026E">
        <w:rPr>
          <w:color w:val="000000" w:themeColor="text1"/>
          <w:sz w:val="16"/>
          <w:szCs w:val="16"/>
        </w:rPr>
        <w:instrText>refHYPERLINK</w:instrText>
      </w:r>
      <w:r w:rsidR="00656225" w:rsidRPr="00A3026E">
        <w:rPr>
          <w:color w:val="000000" w:themeColor="text1"/>
          <w:sz w:val="16"/>
          <w:szCs w:val="16"/>
          <w:lang w:val="ru-RU"/>
        </w:rPr>
        <w:instrText xml:space="preserve">  \</w:instrText>
      </w:r>
      <w:r w:rsidR="00656225" w:rsidRPr="00A3026E">
        <w:rPr>
          <w:color w:val="000000" w:themeColor="text1"/>
          <w:sz w:val="16"/>
          <w:szCs w:val="16"/>
        </w:rPr>
        <w:instrText>l</w:instrText>
      </w:r>
      <w:r w:rsidR="00656225" w:rsidRPr="00A3026E">
        <w:rPr>
          <w:color w:val="000000" w:themeColor="text1"/>
          <w:sz w:val="16"/>
          <w:szCs w:val="16"/>
          <w:lang w:val="ru-RU"/>
        </w:rPr>
        <w:instrText xml:space="preserve"> "3_" \* </w:instrText>
      </w:r>
      <w:r w:rsidR="00656225" w:rsidRPr="00A3026E">
        <w:rPr>
          <w:color w:val="000000" w:themeColor="text1"/>
          <w:sz w:val="16"/>
          <w:szCs w:val="16"/>
        </w:rPr>
        <w:instrText>MERGEFORMAT</w:instrText>
      </w:r>
      <w:r w:rsidR="00656225" w:rsidRPr="00A3026E">
        <w:rPr>
          <w:sz w:val="16"/>
          <w:szCs w:val="16"/>
        </w:rPr>
        <w:fldChar w:fldCharType="separate"/>
      </w:r>
      <w:r w:rsidRPr="00A3026E">
        <w:rPr>
          <w:rStyle w:val="a5"/>
          <w:color w:val="000000" w:themeColor="text1"/>
          <w:sz w:val="16"/>
          <w:szCs w:val="16"/>
          <w:lang w:val="ru-RU"/>
        </w:rPr>
        <w:t>*)</w:t>
      </w:r>
      <w:r w:rsidR="00656225" w:rsidRPr="00A3026E">
        <w:rPr>
          <w:rStyle w:val="a5"/>
          <w:color w:val="000000" w:themeColor="text1"/>
          <w:sz w:val="16"/>
          <w:szCs w:val="16"/>
          <w:lang w:val="ru-RU"/>
        </w:rPr>
        <w:fldChar w:fldCharType="end"/>
      </w:r>
      <w:r w:rsidRPr="00A3026E">
        <w:rPr>
          <w:color w:val="000000" w:themeColor="text1"/>
          <w:sz w:val="16"/>
          <w:szCs w:val="16"/>
          <w:lang w:val="ru-RU"/>
        </w:rPr>
        <w:t>.</w:t>
      </w:r>
    </w:p>
    <w:p w14:paraId="7273B336"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Кроме того, оставить на месте все материальные ценности и товары, имеющиеся сейчас на площадке строительства Кандалакшского алюми ниевого завода.</w:t>
      </w:r>
    </w:p>
    <w:p w14:paraId="5BAF0F15"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б) К 15 ноября 1940 года отправить Управлению строительства Кандалакшского алюминиевого завода все материалы и оборудование, прибывшие в течение 1940 года на площадку «Североникель» для алюминиевого завода, но до сих пор не переданные алюминиевому заводу.</w:t>
      </w:r>
    </w:p>
    <w:p w14:paraId="65E28B31"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в) К 15 ноября обеспечить изготовление и доставку Кандалакшскому алюминиевому заводу деревянных щитов для постройки бараков под жилье на 3 000 человек.</w:t>
      </w:r>
    </w:p>
    <w:p w14:paraId="3F02CC97"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г) Оставить Управлению Кандалакшского алюминиевого завода имеющиеся на площадке кадры инженерно-технических и лагерных работников.</w:t>
      </w:r>
    </w:p>
    <w:p w14:paraId="696F85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Зам. начальника Управления промышленного строительства ГУЛАГа НКВД — т. Поддубко выехать в Кандалакшу сроком на 1 месяц для оказания практической помощи по организации строительства и лагеря.</w:t>
      </w:r>
    </w:p>
    <w:p w14:paraId="764E9A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15. Начальнику УНКВД по Ленинградской области тов. Гоглидзе, начальнику УНКВД по Свердловской области тов. Иванову, народному комиссару внутренних дел Карело-Финской ССР — тов. Баскакову и начальнику УНКВД по Мурманской области — тов. Ручкину оказывать повседневную помощь и содействие строительству алюминиевых заводов и гидростанций.</w:t>
      </w:r>
    </w:p>
    <w:p w14:paraId="4097AA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Style w:val="af0"/>
          <w:rFonts w:ascii="Times New Roman" w:hAnsi="Times New Roman"/>
          <w:i w:val="0"/>
          <w:iCs w:val="0"/>
          <w:color w:val="000000" w:themeColor="text1"/>
          <w:sz w:val="16"/>
          <w:szCs w:val="16"/>
        </w:rPr>
        <w:t>Народный комиссар внутренних дел СССР Л. Берия.</w:t>
      </w:r>
    </w:p>
    <w:p w14:paraId="15724D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Помета: Отемен прик[азом] № 0160-1954 г.</w:t>
      </w:r>
    </w:p>
    <w:p w14:paraId="5D0C48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 РФ. Ф. Р—9401. Оп. 1а. Д. 60. Л. 61—66. Ротаторный экз. (12113).</w:t>
      </w:r>
    </w:p>
    <w:p w14:paraId="3B51EBC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0CE8B6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1EC5E58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90324FD"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15 ноября 1940 г. "ПРАВДА" писала: Товарищ Молотов имел беседу с рейхсмаршалом господином Герингом и заместителем господина Гитлера по партии национал-социалистов господином Гессом...(9712).</w:t>
      </w:r>
    </w:p>
    <w:p w14:paraId="78AED98B" w14:textId="77777777" w:rsidR="00C66762" w:rsidRPr="00A3026E" w:rsidRDefault="00C66762" w:rsidP="00A3026E">
      <w:pPr>
        <w:pStyle w:val="a8"/>
        <w:widowControl/>
        <w:jc w:val="both"/>
        <w:rPr>
          <w:rFonts w:ascii="Times New Roman" w:hAnsi="Times New Roman" w:cs="Times New Roman"/>
          <w:color w:val="000000" w:themeColor="text1"/>
        </w:rPr>
      </w:pPr>
    </w:p>
    <w:p w14:paraId="66DCAF5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B3EA02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C92B6F5" w14:textId="77777777" w:rsidR="00AB040C" w:rsidRPr="00A3026E" w:rsidRDefault="00AB040C"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15 ноября </w:t>
      </w:r>
      <w:r w:rsidRPr="00A3026E">
        <w:rPr>
          <w:rFonts w:ascii="Times New Roman" w:hAnsi="Times New Roman"/>
          <w:color w:val="000000" w:themeColor="text1"/>
          <w:sz w:val="16"/>
          <w:szCs w:val="16"/>
        </w:rPr>
        <w:t>в 1940 году массированная бомбардировка немецкой авиацией Ковентри. Погибло 568 человек (14831).</w:t>
      </w:r>
    </w:p>
    <w:p w14:paraId="5381B716" w14:textId="77777777" w:rsidR="00AB040C" w:rsidRPr="00A3026E" w:rsidRDefault="00AB040C" w:rsidP="00A3026E">
      <w:pPr>
        <w:spacing w:after="0" w:line="240" w:lineRule="auto"/>
        <w:jc w:val="both"/>
        <w:rPr>
          <w:rFonts w:ascii="Times New Roman" w:hAnsi="Times New Roman"/>
          <w:color w:val="000000" w:themeColor="text1"/>
          <w:sz w:val="16"/>
          <w:szCs w:val="16"/>
        </w:rPr>
      </w:pPr>
    </w:p>
    <w:p w14:paraId="325997F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ноября 1940 в Варшаве немецкими властями сооружена огромная стена, отделявшая еврейское гетто от города (4962).</w:t>
      </w:r>
    </w:p>
    <w:p w14:paraId="3228AC5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D6746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ноября 1940 было закрыто Варшавское гетто (2244,8).</w:t>
      </w:r>
    </w:p>
    <w:p w14:paraId="5DF5CFD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A330A0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ноября 1940 английские войска пересекли границу Ливии (4962).</w:t>
      </w:r>
    </w:p>
    <w:p w14:paraId="53156F3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8593AD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23264F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257B6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середине ноября 1940 комиссия из представителей НКАП, ВВС и ЦАГИ на основании характеристик ПБ-100, СБ-РК, ББ-22ПБ и Б сделала вывод о целесообразности запуска в серию ПБ-100 и о сохранении серии ББ-22 (1112,42).</w:t>
      </w:r>
    </w:p>
    <w:p w14:paraId="69FCD45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36A3E4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К середине ноября 1940 были готовы два мотора МВ-12 из первой партии в 25 моторов, которые поставили на заводские испытания. Оба вышли из строя из-за поломок ПЦН, причем проработав не более трех часов. Оказалось, что при сборке не смогли выдержать весьма точных зазоров оригинала. К 1 декабря собрали третий мотор. В том же месяце приступили к изготовлению деталей для десяти двигателей МВ-12. Руководство ГУАП задержку с выпуском моторов "Рено" списало на последствия вредительства. Дело в том, что в 1937 г. была репрессирована большая группа руководящих работников завода № 16. На освоении производства копий французских двигателей останавливаться не собирались. Предполагалась широкая программа их модернизации. Моторы хотели оснастить двухскоростными ПЦН, турбонаддувом, редукторами. Особое внимание уделялось мотору МВ-12, который предназначался в первую очередь для легких истребителей. На нем хотели смонтировать редуктор, синхронизатор и пушку. На первом этапе на модификации МВ-12Ф планировали поднять максимальную мощность до 500 л.с. путем повышения частоты вращения вала. В сентябре 1938 г. начали проектировать редукторный вариант МВ-12Р с пушкой. Годом позже приступили к работе над другим вариантом МВ-12Р, впоследствии переименованным в М-12Р. На этой модификации размеры цилиндров намеревались привести к общему для всего семейства стандарту: диаметр - 120 мм, ход поршня - 140 мм вместо прежних 114 мм и 122 мм. Рабочий объем доводился до 19,0 л (при исходном 14,93 л). ПЦН был двухскоростным. Предлагалось также создание 24-цилиндрового двигателя на основе спаренного МВ-12. Но фактически все эти работы остановились на стадии эскизных проектов, опытных образцов не строили (11479).</w:t>
      </w:r>
    </w:p>
    <w:p w14:paraId="3DE3361B"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509F72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середине ноября 1940 г. на состоявшемся совещании тов. Микулин дал обеща</w:t>
      </w:r>
      <w:r w:rsidRPr="00A3026E">
        <w:rPr>
          <w:rFonts w:ascii="Times New Roman" w:hAnsi="Times New Roman"/>
          <w:color w:val="000000" w:themeColor="text1"/>
          <w:sz w:val="16"/>
          <w:szCs w:val="16"/>
        </w:rPr>
        <w:softHyphen/>
        <w:t>ние в кратчайший срок устранить все недостатки в работе мотора АМ—35А. Тем не менее, мотор до сих пор продолжает оставаться в работе ненадежным и вынужденные посадки, связанные с явным риском разрушения машины, продолжаются. Массовые вы</w:t>
      </w:r>
      <w:r w:rsidRPr="00A3026E">
        <w:rPr>
          <w:rFonts w:ascii="Times New Roman" w:hAnsi="Times New Roman"/>
          <w:color w:val="000000" w:themeColor="text1"/>
          <w:sz w:val="16"/>
          <w:szCs w:val="16"/>
        </w:rPr>
        <w:softHyphen/>
        <w:t>нужденные посадки оканчивались благополучно лишь потому, что летчики производили полеты непо</w:t>
      </w:r>
      <w:r w:rsidRPr="00A3026E">
        <w:rPr>
          <w:rFonts w:ascii="Times New Roman" w:hAnsi="Times New Roman"/>
          <w:color w:val="000000" w:themeColor="text1"/>
          <w:sz w:val="16"/>
          <w:szCs w:val="16"/>
        </w:rPr>
        <w:softHyphen/>
        <w:t>средственно над аэродромом. Тем не менее, некото</w:t>
      </w:r>
      <w:r w:rsidRPr="00A3026E">
        <w:rPr>
          <w:rFonts w:ascii="Times New Roman" w:hAnsi="Times New Roman"/>
          <w:color w:val="000000" w:themeColor="text1"/>
          <w:sz w:val="16"/>
          <w:szCs w:val="16"/>
        </w:rPr>
        <w:softHyphen/>
        <w:t>рые из них были критического характера и лишь бла</w:t>
      </w:r>
      <w:r w:rsidRPr="00A3026E">
        <w:rPr>
          <w:rFonts w:ascii="Times New Roman" w:hAnsi="Times New Roman"/>
          <w:color w:val="000000" w:themeColor="text1"/>
          <w:sz w:val="16"/>
          <w:szCs w:val="16"/>
        </w:rPr>
        <w:softHyphen/>
        <w:t>годаря квалифицированному летному составу не заканчивались катастрофами (9984).</w:t>
      </w:r>
    </w:p>
    <w:p w14:paraId="0FEF66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E4E819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54CDCEC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68365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ноября 1940 года постановление № 423сс КО</w:t>
      </w:r>
    </w:p>
    <w:p w14:paraId="29DE1B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принятии на вооружение 23 мм авиационной пушки Таубина-Бабурина</w:t>
      </w:r>
    </w:p>
    <w:p w14:paraId="48CD9F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постановляет:</w:t>
      </w:r>
    </w:p>
    <w:p w14:paraId="13773D9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Принять на вооружение ВВС 23 мм авиационную пушку Таубина-Бабурина с темпом стрельбы 600 выстрелов в минуту (МП-6).</w:t>
      </w:r>
    </w:p>
    <w:p w14:paraId="6083328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Наркомвооружения Ванникова Б.Л. организовать на заводе № 2 имени Киркиж производство этих пушек (7595, 283).</w:t>
      </w:r>
    </w:p>
    <w:p w14:paraId="24357ED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34FE1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ноября 1940 вышло постановление КО N 423, которым на вооружение была принята пушка Таубина МП-6 со скорострельностью 600 выстрелов в минуту для замены МП-3 со скорострельностью 300 (4415,35).</w:t>
      </w:r>
    </w:p>
    <w:p w14:paraId="1A80A08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39C0E53" w14:textId="77777777" w:rsidR="007C711E" w:rsidRPr="00A3026E" w:rsidRDefault="007C711E" w:rsidP="00A3026E">
      <w:pPr>
        <w:pStyle w:val="ae"/>
        <w:shd w:val="clear" w:color="auto" w:fill="FFFFFF"/>
        <w:spacing w:before="0" w:after="0"/>
        <w:jc w:val="both"/>
        <w:rPr>
          <w:color w:val="000000" w:themeColor="text1"/>
          <w:sz w:val="16"/>
          <w:szCs w:val="16"/>
        </w:rPr>
      </w:pPr>
      <w:r w:rsidRPr="00A3026E">
        <w:rPr>
          <w:color w:val="000000" w:themeColor="text1"/>
          <w:sz w:val="16"/>
          <w:szCs w:val="16"/>
        </w:rPr>
        <w:t>16 ноября 1940 г. постановлением № 423сс Комитета обороны, несмотря на то, что цикл испытаний МП-6 ещё не был завершён (она не прошла стрельбу на живучесть в объеме 10 000 выстр.), а результаты испытаний по ряду пунктов внушали тревогу, её приняли на вооружение ВВС РККА (19193).</w:t>
      </w:r>
    </w:p>
    <w:p w14:paraId="24DE5C79" w14:textId="77777777" w:rsidR="007C711E" w:rsidRPr="00A3026E" w:rsidRDefault="007C711E" w:rsidP="00A3026E">
      <w:pPr>
        <w:pStyle w:val="ae"/>
        <w:shd w:val="clear" w:color="auto" w:fill="FFFFFF"/>
        <w:spacing w:before="0" w:after="0"/>
        <w:jc w:val="both"/>
        <w:rPr>
          <w:color w:val="000000" w:themeColor="text1"/>
          <w:sz w:val="16"/>
          <w:szCs w:val="16"/>
        </w:rPr>
      </w:pPr>
    </w:p>
    <w:p w14:paraId="018E4B07" w14:textId="77777777" w:rsidR="007C711E" w:rsidRPr="00A3026E" w:rsidRDefault="007C711E" w:rsidP="00A3026E">
      <w:pPr>
        <w:pStyle w:val="ae"/>
        <w:shd w:val="clear" w:color="auto" w:fill="FFFFFF"/>
        <w:spacing w:before="0" w:after="0"/>
        <w:jc w:val="both"/>
        <w:rPr>
          <w:color w:val="000000" w:themeColor="text1"/>
          <w:sz w:val="16"/>
          <w:szCs w:val="16"/>
        </w:rPr>
      </w:pPr>
      <w:r w:rsidRPr="00A3026E">
        <w:rPr>
          <w:color w:val="000000" w:themeColor="text1"/>
          <w:sz w:val="16"/>
          <w:szCs w:val="16"/>
        </w:rPr>
        <w:t>16 ноября 1940 г. вышло Постановление КО № 423сс, согласно которому производство МП-6 должно было осуществляться на заводе № 2 НКВ (г. Ковров), несколько позднее к нему присоединился и завод № 66 НКВ (г. Тула). Совместное Постановление СНК СССР и ЦК ВКП (б) № 2470-1100сс "О мероприятиях по обеспечению программы Наркомавиапрома на 1941 год" устанавливало объём заказа пушек МП-6 на 1941 г. в количестве 7550 штук с началом выпуска первых серийных образцов на заводе № 2 с 20 января 1941 г. и на заводе № 66 с 15 февраля того же года. Но практически одновременно с началом организации серийного производства МП-6 с ней начали происходить нехорошие явления. Пушка принималась на вооружение с магазинным питанием, хотя с самого начала было ясно, что необходим её перевод на ленточное питание. Складывалась странная ситуация: заводы начинают осваивать производство пушки с магазином, а параллельно с этим с середины декабря 1940 ОКБ-16 в авральном порядке дорабатывает пушку под ленту. В этой работе Таубина с одной стороны "подгонял" Нарком вооружения Б. Л. Ванников, с другой - конструктор штурмовика БШ-2 С. В. Ильюшин, нуждающийся в доработке места для пушки в крыле самолета. К 27 декабря 1940 г. штурмовик БШ-2 был готов, но пушки МП-6 с ленточным питанием по-прежнему не было. Тогда Ильюшин принял решение ставить на штурмовик пушку МП-6 с магазином и в этом виде готовить его к государственным испытаниям, назначенным на 10 января 1941 г. МП-6 с ленточным питанием удалось изготовить в первых числах января, буквально накануне испытаний. С 10 по 22 января состоялись сравнительные испытания пушек ВЯ и МП-6 с ленточным питанием на двух БШ-2 и обе пушки прошли их успешно. Но Ильюшин выбрал для штурмовика пушку ВЯ, мотивировав свое решение меньшим значением усилия её отдачи (19193).</w:t>
      </w:r>
    </w:p>
    <w:p w14:paraId="4AE10071" w14:textId="77777777" w:rsidR="007C711E" w:rsidRPr="00A3026E" w:rsidRDefault="007C711E" w:rsidP="00A3026E">
      <w:pPr>
        <w:pStyle w:val="ae"/>
        <w:shd w:val="clear" w:color="auto" w:fill="FFFFFF"/>
        <w:spacing w:before="0" w:after="0"/>
        <w:jc w:val="both"/>
        <w:rPr>
          <w:color w:val="000000" w:themeColor="text1"/>
          <w:sz w:val="16"/>
          <w:szCs w:val="16"/>
        </w:rPr>
      </w:pPr>
    </w:p>
    <w:p w14:paraId="34DAD209" w14:textId="77777777" w:rsidR="007C711E" w:rsidRPr="00A3026E" w:rsidRDefault="007C711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но</w:t>
      </w:r>
      <w:r w:rsidRPr="00A3026E">
        <w:rPr>
          <w:rFonts w:ascii="Times New Roman" w:hAnsi="Times New Roman"/>
          <w:color w:val="000000" w:themeColor="text1"/>
          <w:sz w:val="16"/>
          <w:szCs w:val="16"/>
        </w:rPr>
        <w:softHyphen/>
        <w:t>ября 1940 вышло очередное постановление Правительства о программе завода №21 на 1941 год (приказ НКАП №657сс от 23.11.40 г.), круто изменившее положение и И-301, и Лавочкина:</w:t>
      </w:r>
    </w:p>
    <w:p w14:paraId="49B86030" w14:textId="77777777" w:rsidR="007C711E" w:rsidRPr="00A3026E" w:rsidRDefault="007C711E"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«1. Зам. Наркома т. Воронину П.А. и директору завода №21 т. Воронину В.П. обеспечить выпуск в 1941 году следую</w:t>
      </w:r>
      <w:r w:rsidRPr="00A3026E">
        <w:rPr>
          <w:rFonts w:ascii="Times New Roman" w:hAnsi="Times New Roman" w:cs="Times New Roman"/>
          <w:color w:val="000000" w:themeColor="text1"/>
        </w:rPr>
        <w:softHyphen/>
        <w:t>щего количества самолетов:</w:t>
      </w:r>
    </w:p>
    <w:p w14:paraId="414EDEC4" w14:textId="77777777" w:rsidR="007C711E" w:rsidRPr="00A3026E" w:rsidRDefault="007C711E"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а) И-301 с М-105П - в количестве 1800 самолетов, из них:</w:t>
      </w:r>
    </w:p>
    <w:p w14:paraId="09C4CA11" w14:textId="77777777" w:rsidR="007C711E" w:rsidRPr="00A3026E" w:rsidRDefault="007C711E"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 I кв. - 75 самолетов, в том числе в марте - 60 самолетов</w:t>
      </w:r>
    </w:p>
    <w:p w14:paraId="5D889EE1" w14:textId="77777777" w:rsidR="007C711E" w:rsidRPr="00A3026E" w:rsidRDefault="007C711E" w:rsidP="00A3026E">
      <w:pPr>
        <w:pStyle w:val="80"/>
        <w:shd w:val="clear" w:color="auto" w:fill="auto"/>
        <w:tabs>
          <w:tab w:val="left" w:pos="396"/>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 II - 225 июне - 90</w:t>
      </w:r>
    </w:p>
    <w:p w14:paraId="5D43FA20" w14:textId="77777777" w:rsidR="007C711E" w:rsidRPr="00A3026E" w:rsidRDefault="007C711E" w:rsidP="00A3026E">
      <w:pPr>
        <w:pStyle w:val="80"/>
        <w:shd w:val="clear" w:color="auto" w:fill="auto"/>
        <w:tabs>
          <w:tab w:val="left" w:pos="396"/>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 xml:space="preserve">- </w:t>
      </w:r>
      <w:r w:rsidRPr="00A3026E">
        <w:rPr>
          <w:rFonts w:ascii="Times New Roman" w:hAnsi="Times New Roman" w:cs="Times New Roman"/>
          <w:color w:val="000000" w:themeColor="text1"/>
          <w:lang w:val="en-US"/>
        </w:rPr>
        <w:t>Ill</w:t>
      </w:r>
      <w:r w:rsidRPr="00A3026E">
        <w:rPr>
          <w:rFonts w:ascii="Times New Roman" w:hAnsi="Times New Roman" w:cs="Times New Roman"/>
          <w:color w:val="000000" w:themeColor="text1"/>
        </w:rPr>
        <w:t xml:space="preserve"> - 650 сентябре - 250 -IV-850 декабре-300;</w:t>
      </w:r>
    </w:p>
    <w:p w14:paraId="13DF760B" w14:textId="77777777" w:rsidR="007C711E" w:rsidRPr="00A3026E" w:rsidRDefault="007C711E"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и обеспечить выпуск самолетов И-301 в I квартале 1942 г. в количестве 900 са</w:t>
      </w:r>
      <w:r w:rsidRPr="00A3026E">
        <w:rPr>
          <w:rFonts w:ascii="Times New Roman" w:hAnsi="Times New Roman" w:cs="Times New Roman"/>
          <w:color w:val="000000" w:themeColor="text1"/>
        </w:rPr>
        <w:softHyphen/>
        <w:t>молетов, в том числе в марте - 300.</w:t>
      </w:r>
    </w:p>
    <w:p w14:paraId="7EC0445B" w14:textId="77777777" w:rsidR="007C711E" w:rsidRPr="00A3026E" w:rsidRDefault="007C711E"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б) И-16 - 400 самолетов и закончить изготовление самолетов типа И-16 в марте 1941 г...</w:t>
      </w:r>
    </w:p>
    <w:p w14:paraId="310B5863" w14:textId="77777777" w:rsidR="007C711E" w:rsidRPr="00A3026E" w:rsidRDefault="007C711E"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4. Во изменение моего приказа №624 от 10.11.40 г. т.Лавочкина С.А. назначить главным конструктором завода №21 и обязываю его целиком сосредоточиться на внедрении в серию самолета И-301».</w:t>
      </w:r>
    </w:p>
    <w:p w14:paraId="1B4A9539" w14:textId="77777777" w:rsidR="007C711E" w:rsidRPr="00A3026E" w:rsidRDefault="007C711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И это уже совсем другой калибр: те</w:t>
      </w:r>
      <w:r w:rsidRPr="00A3026E">
        <w:rPr>
          <w:rFonts w:ascii="Times New Roman" w:hAnsi="Times New Roman"/>
          <w:color w:val="000000" w:themeColor="text1"/>
          <w:sz w:val="16"/>
          <w:szCs w:val="16"/>
        </w:rPr>
        <w:softHyphen/>
        <w:t>перь Лавочкин получил в свое распо</w:t>
      </w:r>
      <w:r w:rsidRPr="00A3026E">
        <w:rPr>
          <w:rFonts w:ascii="Times New Roman" w:hAnsi="Times New Roman"/>
          <w:color w:val="000000" w:themeColor="text1"/>
          <w:sz w:val="16"/>
          <w:szCs w:val="16"/>
        </w:rPr>
        <w:softHyphen/>
        <w:t>ряжение второй по величине «истреби</w:t>
      </w:r>
      <w:r w:rsidRPr="00A3026E">
        <w:rPr>
          <w:rFonts w:ascii="Times New Roman" w:hAnsi="Times New Roman"/>
          <w:color w:val="000000" w:themeColor="text1"/>
          <w:sz w:val="16"/>
          <w:szCs w:val="16"/>
        </w:rPr>
        <w:softHyphen/>
        <w:t>тельный» завод страны. А затем в число предприятий, которым было предписано в 1941 году выпускать самолеты И-301, были включены заводы №№153 (Ново</w:t>
      </w:r>
      <w:r w:rsidRPr="00A3026E">
        <w:rPr>
          <w:rFonts w:ascii="Times New Roman" w:hAnsi="Times New Roman"/>
          <w:color w:val="000000" w:themeColor="text1"/>
          <w:sz w:val="16"/>
          <w:szCs w:val="16"/>
        </w:rPr>
        <w:softHyphen/>
        <w:t>сибирск), 165 (Днепропетровск) и 31 (Та</w:t>
      </w:r>
      <w:r w:rsidRPr="00A3026E">
        <w:rPr>
          <w:rFonts w:ascii="Times New Roman" w:hAnsi="Times New Roman"/>
          <w:color w:val="000000" w:themeColor="text1"/>
          <w:sz w:val="16"/>
          <w:szCs w:val="16"/>
        </w:rPr>
        <w:softHyphen/>
        <w:t>ганрог), т.е. всего 6 заводов. И это при том, что И-301 так пока еще и не прошел го</w:t>
      </w:r>
      <w:r w:rsidRPr="00A3026E">
        <w:rPr>
          <w:rFonts w:ascii="Times New Roman" w:hAnsi="Times New Roman"/>
          <w:color w:val="000000" w:themeColor="text1"/>
          <w:sz w:val="16"/>
          <w:szCs w:val="16"/>
        </w:rPr>
        <w:softHyphen/>
        <w:t>сиспытаний, в отличие от И-200 и теперь уже третьего опытного экземпляра И-26 (19740).</w:t>
      </w:r>
    </w:p>
    <w:p w14:paraId="174B7B95" w14:textId="77777777" w:rsidR="007C711E" w:rsidRPr="00A3026E" w:rsidRDefault="007C711E" w:rsidP="00A3026E">
      <w:pPr>
        <w:spacing w:after="0" w:line="240" w:lineRule="auto"/>
        <w:jc w:val="both"/>
        <w:rPr>
          <w:rFonts w:ascii="Times New Roman" w:hAnsi="Times New Roman"/>
          <w:color w:val="000000" w:themeColor="text1"/>
          <w:sz w:val="16"/>
          <w:szCs w:val="16"/>
        </w:rPr>
      </w:pPr>
    </w:p>
    <w:p w14:paraId="74D516D4"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 ноября 1940 года вышло новое постановление правительства, теперь о программе завода № 21 на 1941 год, а 23 ноября приказом НКАП № 657сс во исполнение этого постановления С.А. Лавочкин стал главным конструктором горьковского авиазавода, которому было приказано выпустить в 1941 году 1800 самолетов И-301 с М-105П. Из них в первом квартале – 75 машин, в том числе в марте – 60 штук. Производство И-16 и запчастей к ним следовало свернуть в марте 1941 года, выпустив к этому моменту 400 самолетов (23197).</w:t>
      </w:r>
    </w:p>
    <w:p w14:paraId="2DD9BB5A" w14:textId="77777777" w:rsidR="00D67A2C" w:rsidRPr="00A3026E" w:rsidRDefault="00D67A2C" w:rsidP="00A3026E">
      <w:pPr>
        <w:spacing w:after="0" w:line="240" w:lineRule="auto"/>
        <w:jc w:val="both"/>
        <w:rPr>
          <w:rFonts w:ascii="Times New Roman" w:hAnsi="Times New Roman"/>
          <w:color w:val="0070C0"/>
          <w:sz w:val="16"/>
          <w:szCs w:val="16"/>
        </w:rPr>
      </w:pPr>
    </w:p>
    <w:p w14:paraId="0AC33C85"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 ноября 1940</w:t>
      </w:r>
    </w:p>
    <w:p w14:paraId="7EF578E1"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1028. Решения ПБ за 29 октября 1940 г. (протокол № 22)</w:t>
      </w:r>
    </w:p>
    <w:p w14:paraId="2A2B4348"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16.XI.40 г.</w:t>
      </w:r>
    </w:p>
    <w:p w14:paraId="58C0D83A"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162. О программе завода № 24 Наркомавиапрома на 1941 год (постановление СНК СССР и ЦК ВКП(б)). — ОП.</w:t>
      </w:r>
    </w:p>
    <w:p w14:paraId="79341650"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163. О производстве авиамоторов М-105 на заводе № 19 имени Сталина (постановление СНК СССР и ЦК ВКП(б)). — ОП.</w:t>
      </w:r>
    </w:p>
    <w:p w14:paraId="5E48F4D2"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164. О программе завода № 21 на 1941 год (постановление СНК СССР и ЦК ВКП(б)). — ОП.</w:t>
      </w:r>
    </w:p>
    <w:p w14:paraId="2FE4FC93"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165. О производстве дельта-древесины на Муромском и Старо-Русском фанерных комбинатах (постановление СНК СССР и ЦК ВКП(б)). — ОП.</w:t>
      </w:r>
    </w:p>
    <w:p w14:paraId="7EBA5689"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166. О ежедневной информации по выпуску моторов и самолетов (20905).</w:t>
      </w:r>
    </w:p>
    <w:p w14:paraId="4D96BC61" w14:textId="77777777" w:rsidR="00D67A2C" w:rsidRPr="00A3026E" w:rsidRDefault="00D67A2C" w:rsidP="00A3026E">
      <w:pPr>
        <w:spacing w:after="0" w:line="240" w:lineRule="auto"/>
        <w:jc w:val="both"/>
        <w:rPr>
          <w:rFonts w:ascii="Times New Roman" w:hAnsi="Times New Roman"/>
          <w:color w:val="0070C0"/>
          <w:sz w:val="16"/>
          <w:szCs w:val="16"/>
        </w:rPr>
      </w:pPr>
    </w:p>
    <w:p w14:paraId="45D0CE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ноября 1940 вышло постановление Правительства "О программе завода 24" (1316,231).</w:t>
      </w:r>
    </w:p>
    <w:p w14:paraId="7697C05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BA68760"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16 ноября 1940 вышло </w:t>
      </w:r>
      <w:r w:rsidRPr="00A3026E">
        <w:rPr>
          <w:rFonts w:ascii="Times New Roman" w:hAnsi="Times New Roman"/>
          <w:color w:val="0070C0"/>
          <w:sz w:val="16"/>
          <w:szCs w:val="16"/>
          <w:shd w:val="clear" w:color="auto" w:fill="FFFFFF"/>
        </w:rPr>
        <w:t xml:space="preserve">Постановление Политбюро ЦК ВКП(б) "О программе завода № 24 Наркомавиапрома на </w:t>
      </w:r>
      <w:r w:rsidRPr="00A3026E">
        <w:rPr>
          <w:rFonts w:ascii="Times New Roman" w:hAnsi="Times New Roman"/>
          <w:color w:val="0070C0"/>
          <w:sz w:val="16"/>
          <w:szCs w:val="16"/>
        </w:rPr>
        <w:t>1941 г." (пр. № 22/22-оп за 29 октября - 21 ноября 1940 г., п. 162)</w:t>
      </w:r>
    </w:p>
    <w:p w14:paraId="2EA4325C"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16.XI.40г.</w:t>
      </w:r>
    </w:p>
    <w:p w14:paraId="6C2CCE02"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 162</w:t>
      </w:r>
    </w:p>
    <w:p w14:paraId="0DE813B9"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Совет Народных Комиссаров Союза ССР и Центральный Комитет ВКП(б) постановляет:</w:t>
      </w:r>
    </w:p>
    <w:p w14:paraId="1B495063"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Народного комиссара Авиационной промыш</w:t>
      </w:r>
      <w:r w:rsidRPr="00A3026E">
        <w:rPr>
          <w:rFonts w:ascii="Times New Roman" w:hAnsi="Times New Roman"/>
          <w:color w:val="0070C0"/>
          <w:sz w:val="16"/>
          <w:szCs w:val="16"/>
        </w:rPr>
        <w:softHyphen/>
        <w:t>ленности т.Шахурина и директора завода № 24 toв. Дубова обеспечить в 1941 году выпуск 7.150 моторов, в том числе:</w:t>
      </w:r>
    </w:p>
    <w:p w14:paraId="669DB7EF"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квартал П квартал 3 квартал ГУ квартал</w:t>
      </w:r>
    </w:p>
    <w:p w14:paraId="4BA64116"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Всего В т.ч-. март;Всего В т.ч. июнь Всего В’ т'.ч. сентябрь Всего В т.ч. декабрь</w:t>
      </w:r>
    </w:p>
    <w:p w14:paraId="441BCD19"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АМ-35А 1000</w:t>
      </w:r>
      <w:r w:rsidRPr="00A3026E">
        <w:rPr>
          <w:rFonts w:ascii="Times New Roman" w:hAnsi="Times New Roman"/>
          <w:color w:val="0070C0"/>
          <w:sz w:val="16"/>
          <w:szCs w:val="16"/>
        </w:rPr>
        <w:tab/>
        <w:t>400</w:t>
      </w:r>
      <w:r w:rsidRPr="00A3026E">
        <w:rPr>
          <w:rFonts w:ascii="Times New Roman" w:hAnsi="Times New Roman"/>
          <w:color w:val="0070C0"/>
          <w:sz w:val="16"/>
          <w:szCs w:val="16"/>
        </w:rPr>
        <w:tab/>
        <w:t>1500</w:t>
      </w:r>
      <w:r w:rsidRPr="00A3026E">
        <w:rPr>
          <w:rFonts w:ascii="Times New Roman" w:hAnsi="Times New Roman"/>
          <w:color w:val="0070C0"/>
          <w:sz w:val="16"/>
          <w:szCs w:val="16"/>
        </w:rPr>
        <w:tab/>
        <w:t>000</w:t>
      </w:r>
      <w:r w:rsidRPr="00A3026E">
        <w:rPr>
          <w:rFonts w:ascii="Times New Roman" w:hAnsi="Times New Roman"/>
          <w:color w:val="0070C0"/>
          <w:sz w:val="16"/>
          <w:szCs w:val="16"/>
        </w:rPr>
        <w:tab/>
        <w:t>2000</w:t>
      </w:r>
      <w:r w:rsidRPr="00A3026E">
        <w:rPr>
          <w:rFonts w:ascii="Times New Roman" w:hAnsi="Times New Roman"/>
          <w:color w:val="0070C0"/>
          <w:sz w:val="16"/>
          <w:szCs w:val="16"/>
        </w:rPr>
        <w:tab/>
        <w:t>ТОО</w:t>
      </w:r>
      <w:r w:rsidRPr="00A3026E">
        <w:rPr>
          <w:rFonts w:ascii="Times New Roman" w:hAnsi="Times New Roman"/>
          <w:color w:val="0070C0"/>
          <w:sz w:val="16"/>
          <w:szCs w:val="16"/>
        </w:rPr>
        <w:tab/>
        <w:t>2300</w:t>
      </w:r>
      <w:r w:rsidRPr="00A3026E">
        <w:rPr>
          <w:rFonts w:ascii="Times New Roman" w:hAnsi="Times New Roman"/>
          <w:color w:val="0070C0"/>
          <w:sz w:val="16"/>
          <w:szCs w:val="16"/>
        </w:rPr>
        <w:tab/>
        <w:t>800</w:t>
      </w:r>
    </w:p>
    <w:p w14:paraId="79980554"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ГАМ-24МС 100</w:t>
      </w:r>
      <w:r w:rsidRPr="00A3026E">
        <w:rPr>
          <w:rFonts w:ascii="Times New Roman" w:hAnsi="Times New Roman"/>
          <w:color w:val="0070C0"/>
          <w:sz w:val="16"/>
          <w:szCs w:val="16"/>
        </w:rPr>
        <w:tab/>
        <w:t>-</w:t>
      </w:r>
      <w:r w:rsidRPr="00A3026E">
        <w:rPr>
          <w:rFonts w:ascii="Times New Roman" w:hAnsi="Times New Roman"/>
          <w:color w:val="0070C0"/>
          <w:sz w:val="16"/>
          <w:szCs w:val="16"/>
        </w:rPr>
        <w:tab/>
        <w:t>100</w:t>
      </w:r>
      <w:r w:rsidRPr="00A3026E">
        <w:rPr>
          <w:rFonts w:ascii="Times New Roman" w:hAnsi="Times New Roman"/>
          <w:color w:val="0070C0"/>
          <w:sz w:val="16"/>
          <w:szCs w:val="16"/>
        </w:rPr>
        <w:tab/>
        <w:t>-</w:t>
      </w:r>
      <w:r w:rsidRPr="00A3026E">
        <w:rPr>
          <w:rFonts w:ascii="Times New Roman" w:hAnsi="Times New Roman"/>
          <w:color w:val="0070C0"/>
          <w:sz w:val="16"/>
          <w:szCs w:val="16"/>
        </w:rPr>
        <w:tab/>
        <w:t>100</w:t>
      </w:r>
      <w:r w:rsidRPr="00A3026E">
        <w:rPr>
          <w:rFonts w:ascii="Times New Roman" w:hAnsi="Times New Roman"/>
          <w:color w:val="0070C0"/>
          <w:sz w:val="16"/>
          <w:szCs w:val="16"/>
        </w:rPr>
        <w:tab/>
        <w:t>-</w:t>
      </w:r>
      <w:r w:rsidRPr="00A3026E">
        <w:rPr>
          <w:rFonts w:ascii="Times New Roman" w:hAnsi="Times New Roman"/>
          <w:color w:val="0070C0"/>
          <w:sz w:val="16"/>
          <w:szCs w:val="16"/>
        </w:rPr>
        <w:tab/>
        <w:t>50</w:t>
      </w:r>
      <w:r w:rsidRPr="00A3026E">
        <w:rPr>
          <w:rFonts w:ascii="Times New Roman" w:hAnsi="Times New Roman"/>
          <w:color w:val="0070C0"/>
          <w:sz w:val="16"/>
          <w:szCs w:val="16"/>
        </w:rPr>
        <w:tab/>
        <w:t>-</w:t>
      </w:r>
    </w:p>
    <w:p w14:paraId="58117222"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Для обеспечения заданной программы разрешить Нарком</w:t>
      </w:r>
      <w:r w:rsidRPr="00A3026E">
        <w:rPr>
          <w:rFonts w:ascii="Times New Roman" w:hAnsi="Times New Roman"/>
          <w:color w:val="0070C0"/>
          <w:sz w:val="16"/>
          <w:szCs w:val="16"/>
        </w:rPr>
        <w:softHyphen/>
        <w:t>авиапрому тов. Шахурину с 1-го января 1941 годе прекратить на заводе № 24 изготовление:</w:t>
      </w:r>
    </w:p>
    <w:p w14:paraId="30545DB1"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всех модификаций мотора М-62 и запасных частей к ним</w:t>
      </w:r>
    </w:p>
    <w:p w14:paraId="2F9B12E3"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всех модификаций мотора АР-34 и запасных частом к ним;</w:t>
      </w:r>
    </w:p>
    <w:p w14:paraId="6B306228"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турбокомпрессоров и запасных частой г ним;</w:t>
      </w:r>
    </w:p>
    <w:p w14:paraId="3A32949D"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заказов по мотору М-20;</w:t>
      </w:r>
    </w:p>
    <w:p w14:paraId="417C1D15"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моторов ГАМ-35ФН для катеров.</w:t>
      </w:r>
    </w:p>
    <w:p w14:paraId="5174847F"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Разрешить НКАП перенести срок исполнения первых 2-х мо</w:t>
      </w:r>
      <w:r w:rsidRPr="00A3026E">
        <w:rPr>
          <w:rFonts w:ascii="Times New Roman" w:hAnsi="Times New Roman"/>
          <w:color w:val="0070C0"/>
          <w:sz w:val="16"/>
          <w:szCs w:val="16"/>
        </w:rPr>
        <w:softHyphen/>
        <w:t>торов М-20 на 1.У1.1941 г.</w:t>
      </w:r>
    </w:p>
    <w:p w14:paraId="7E0BDC1E"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Обязать завод № 24 закончить работы по опытному мотору ГАМ-35ФН с окончанием государственных испытаний к 1 февраля 1941 года.</w:t>
      </w:r>
    </w:p>
    <w:p w14:paraId="28085EE4"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Наркомфину и НКАП списать за счет государства с ба</w:t>
      </w:r>
      <w:r w:rsidRPr="00A3026E">
        <w:rPr>
          <w:rFonts w:ascii="Times New Roman" w:hAnsi="Times New Roman"/>
          <w:color w:val="0070C0"/>
          <w:sz w:val="16"/>
          <w:szCs w:val="16"/>
        </w:rPr>
        <w:softHyphen/>
        <w:t>ланса завода № 24 затраты и потери, связанные с прекращенном производства моторов, агрегатов и деталей, перечисленных в пункте 2.</w:t>
      </w:r>
    </w:p>
    <w:p w14:paraId="642D0B32"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Наркому Авиационной Промышленностн тов.Шахурину и директору завода тов. Дубову:</w:t>
      </w:r>
    </w:p>
    <w:p w14:paraId="2F136A1C"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обеспечить в 1941 году расширение литейного веха, построив дополнительный корпус производственной; площадью 15.000 кв.метров, со сдачей в эксплоатацию:</w:t>
      </w:r>
    </w:p>
    <w:p w14:paraId="16DA920F"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1 августа 1911 года - 7.000 кв.мтр.</w:t>
      </w:r>
    </w:p>
    <w:p w14:paraId="5A2213C7"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1 ноября 1941 года - 8.000</w:t>
      </w:r>
    </w:p>
    <w:p w14:paraId="685D9A53"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закончить в 1941 году строительство серийной, испы</w:t>
      </w:r>
      <w:r w:rsidRPr="00A3026E">
        <w:rPr>
          <w:rFonts w:ascii="Times New Roman" w:hAnsi="Times New Roman"/>
          <w:color w:val="0070C0"/>
          <w:sz w:val="16"/>
          <w:szCs w:val="16"/>
        </w:rPr>
        <w:softHyphen/>
        <w:t>тательной станции, со следующими сроками сдачи в эксплоатацию:</w:t>
      </w:r>
    </w:p>
    <w:p w14:paraId="69F6449B"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15 января 1941 года - 8 боксов и бытовки</w:t>
      </w:r>
    </w:p>
    <w:p w14:paraId="27B2E213"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w:t>
      </w:r>
      <w:r w:rsidRPr="00A3026E">
        <w:rPr>
          <w:rFonts w:ascii="Times New Roman" w:hAnsi="Times New Roman"/>
          <w:color w:val="0070C0"/>
          <w:sz w:val="16"/>
          <w:szCs w:val="16"/>
        </w:rPr>
        <w:tab/>
        <w:t>1</w:t>
      </w:r>
      <w:r w:rsidRPr="00A3026E">
        <w:rPr>
          <w:rFonts w:ascii="Times New Roman" w:hAnsi="Times New Roman"/>
          <w:color w:val="0070C0"/>
          <w:sz w:val="16"/>
          <w:szCs w:val="16"/>
        </w:rPr>
        <w:tab/>
        <w:t>марта</w:t>
      </w:r>
      <w:r w:rsidRPr="00A3026E">
        <w:rPr>
          <w:rFonts w:ascii="Times New Roman" w:hAnsi="Times New Roman"/>
          <w:color w:val="0070C0"/>
          <w:sz w:val="16"/>
          <w:szCs w:val="16"/>
        </w:rPr>
        <w:tab/>
        <w:t>"</w:t>
      </w:r>
      <w:r w:rsidRPr="00A3026E">
        <w:rPr>
          <w:rFonts w:ascii="Times New Roman" w:hAnsi="Times New Roman"/>
          <w:color w:val="0070C0"/>
          <w:sz w:val="16"/>
          <w:szCs w:val="16"/>
        </w:rPr>
        <w:tab/>
        <w:t>- 4</w:t>
      </w:r>
      <w:r w:rsidRPr="00A3026E">
        <w:rPr>
          <w:rFonts w:ascii="Times New Roman" w:hAnsi="Times New Roman"/>
          <w:color w:val="0070C0"/>
          <w:sz w:val="16"/>
          <w:szCs w:val="16"/>
        </w:rPr>
        <w:tab/>
        <w:t>бокса</w:t>
      </w:r>
    </w:p>
    <w:p w14:paraId="1497BEBC"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fldChar w:fldCharType="begin"/>
      </w:r>
      <w:r w:rsidRPr="00A3026E">
        <w:rPr>
          <w:rFonts w:ascii="Times New Roman" w:hAnsi="Times New Roman"/>
          <w:color w:val="0070C0"/>
          <w:sz w:val="16"/>
          <w:szCs w:val="16"/>
        </w:rPr>
        <w:instrText xml:space="preserve"> TOC \o "1-5" \h \z </w:instrText>
      </w:r>
      <w:r w:rsidRPr="00A3026E">
        <w:rPr>
          <w:rFonts w:ascii="Times New Roman" w:hAnsi="Times New Roman"/>
          <w:color w:val="0070C0"/>
          <w:sz w:val="16"/>
          <w:szCs w:val="16"/>
        </w:rPr>
        <w:fldChar w:fldCharType="separate"/>
      </w:r>
      <w:r w:rsidRPr="00A3026E">
        <w:rPr>
          <w:rFonts w:ascii="Times New Roman" w:hAnsi="Times New Roman"/>
          <w:color w:val="0070C0"/>
          <w:sz w:val="16"/>
          <w:szCs w:val="16"/>
        </w:rPr>
        <w:t>к</w:t>
      </w:r>
      <w:r w:rsidRPr="00A3026E">
        <w:rPr>
          <w:rFonts w:ascii="Times New Roman" w:hAnsi="Times New Roman"/>
          <w:color w:val="0070C0"/>
          <w:sz w:val="16"/>
          <w:szCs w:val="16"/>
        </w:rPr>
        <w:tab/>
        <w:t>1</w:t>
      </w:r>
      <w:r w:rsidRPr="00A3026E">
        <w:rPr>
          <w:rFonts w:ascii="Times New Roman" w:hAnsi="Times New Roman"/>
          <w:color w:val="0070C0"/>
          <w:sz w:val="16"/>
          <w:szCs w:val="16"/>
        </w:rPr>
        <w:tab/>
        <w:t>июня</w:t>
      </w:r>
      <w:r w:rsidRPr="00A3026E">
        <w:rPr>
          <w:rFonts w:ascii="Times New Roman" w:hAnsi="Times New Roman"/>
          <w:color w:val="0070C0"/>
          <w:sz w:val="16"/>
          <w:szCs w:val="16"/>
        </w:rPr>
        <w:tab/>
        <w:t>"</w:t>
      </w:r>
      <w:r w:rsidRPr="00A3026E">
        <w:rPr>
          <w:rFonts w:ascii="Times New Roman" w:hAnsi="Times New Roman"/>
          <w:color w:val="0070C0"/>
          <w:sz w:val="16"/>
          <w:szCs w:val="16"/>
        </w:rPr>
        <w:tab/>
        <w:t xml:space="preserve"> -12</w:t>
      </w:r>
    </w:p>
    <w:p w14:paraId="1C7CDEE2"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w:t>
      </w:r>
      <w:r w:rsidRPr="00A3026E">
        <w:rPr>
          <w:rFonts w:ascii="Times New Roman" w:hAnsi="Times New Roman"/>
          <w:color w:val="0070C0"/>
          <w:sz w:val="16"/>
          <w:szCs w:val="16"/>
        </w:rPr>
        <w:tab/>
        <w:t>1</w:t>
      </w:r>
      <w:r w:rsidRPr="00A3026E">
        <w:rPr>
          <w:rFonts w:ascii="Times New Roman" w:hAnsi="Times New Roman"/>
          <w:color w:val="0070C0"/>
          <w:sz w:val="16"/>
          <w:szCs w:val="16"/>
        </w:rPr>
        <w:tab/>
        <w:t>августа</w:t>
      </w:r>
      <w:r w:rsidRPr="00A3026E">
        <w:rPr>
          <w:rFonts w:ascii="Times New Roman" w:hAnsi="Times New Roman"/>
          <w:color w:val="0070C0"/>
          <w:sz w:val="16"/>
          <w:szCs w:val="16"/>
        </w:rPr>
        <w:tab/>
        <w:t>"</w:t>
      </w:r>
      <w:r w:rsidRPr="00A3026E">
        <w:rPr>
          <w:rFonts w:ascii="Times New Roman" w:hAnsi="Times New Roman"/>
          <w:color w:val="0070C0"/>
          <w:sz w:val="16"/>
          <w:szCs w:val="16"/>
        </w:rPr>
        <w:tab/>
        <w:t>-16</w:t>
      </w:r>
    </w:p>
    <w:p w14:paraId="7D7F3A7F"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1 октября "</w:t>
      </w:r>
      <w:r w:rsidRPr="00A3026E">
        <w:rPr>
          <w:rFonts w:ascii="Times New Roman" w:hAnsi="Times New Roman"/>
          <w:color w:val="0070C0"/>
          <w:sz w:val="16"/>
          <w:szCs w:val="16"/>
        </w:rPr>
        <w:tab/>
        <w:t>"</w:t>
      </w:r>
      <w:r w:rsidRPr="00A3026E">
        <w:rPr>
          <w:rFonts w:ascii="Times New Roman" w:hAnsi="Times New Roman"/>
          <w:color w:val="0070C0"/>
          <w:sz w:val="16"/>
          <w:szCs w:val="16"/>
        </w:rPr>
        <w:tab/>
        <w:t>8</w:t>
      </w:r>
      <w:r w:rsidRPr="00A3026E">
        <w:rPr>
          <w:rFonts w:ascii="Times New Roman" w:hAnsi="Times New Roman"/>
          <w:color w:val="0070C0"/>
          <w:sz w:val="16"/>
          <w:szCs w:val="16"/>
        </w:rPr>
        <w:fldChar w:fldCharType="end"/>
      </w:r>
    </w:p>
    <w:p w14:paraId="14F41566"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Обязать Наркомстрой тов. Гинзбург:</w:t>
      </w:r>
    </w:p>
    <w:p w14:paraId="72E595E3"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изготовить и смонтировать 2100 тн. металлоконструк</w:t>
      </w:r>
      <w:r w:rsidRPr="00A3026E">
        <w:rPr>
          <w:rFonts w:ascii="Times New Roman" w:hAnsi="Times New Roman"/>
          <w:color w:val="0070C0"/>
          <w:sz w:val="16"/>
          <w:szCs w:val="16"/>
        </w:rPr>
        <w:softHyphen/>
        <w:t>ций для литейного цеха завода 24 к 15 апреля 1941 года:</w:t>
      </w:r>
    </w:p>
    <w:p w14:paraId="6CB40944"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закончить строительство опытных цехов завода № 24 со следующими сроками:</w:t>
      </w:r>
    </w:p>
    <w:p w14:paraId="51D473CF"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w:t>
      </w:r>
    </w:p>
    <w:p w14:paraId="5E6B9AA6"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Московскому Городскому Исполнительному Комитету:</w:t>
      </w:r>
    </w:p>
    <w:p w14:paraId="6118B2F6"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отвести в точение 15 дней участки для строительства стандартных домов и строительства механических цехов;</w:t>
      </w:r>
    </w:p>
    <w:p w14:paraId="0B966D59"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освободить участки, предназначенные для расширения литейного цеха;</w:t>
      </w:r>
    </w:p>
    <w:p w14:paraId="24EDAAFA"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обеспечить в 1941 году строительство завода местны</w:t>
      </w:r>
      <w:r w:rsidRPr="00A3026E">
        <w:rPr>
          <w:rFonts w:ascii="Times New Roman" w:hAnsi="Times New Roman"/>
          <w:color w:val="0070C0"/>
          <w:sz w:val="16"/>
          <w:szCs w:val="16"/>
        </w:rPr>
        <w:softHyphen/>
        <w:t>ми строительными материалами {кирпич, известь, алебастр и др.)</w:t>
      </w:r>
    </w:p>
    <w:p w14:paraId="4CC502C6"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w:t>
      </w:r>
    </w:p>
    <w:p w14:paraId="3D084A7C"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Ванникову - 21.24 Ефремову – 25, Малышеву (НКСМ)-26 Денисову – 27 (22075).</w:t>
      </w:r>
    </w:p>
    <w:p w14:paraId="021E47C0" w14:textId="77777777" w:rsidR="00D67A2C" w:rsidRPr="00A3026E" w:rsidRDefault="00D67A2C" w:rsidP="00A3026E">
      <w:pPr>
        <w:spacing w:after="0" w:line="240" w:lineRule="auto"/>
        <w:jc w:val="both"/>
        <w:rPr>
          <w:rFonts w:ascii="Times New Roman" w:hAnsi="Times New Roman"/>
          <w:color w:val="0070C0"/>
          <w:sz w:val="16"/>
          <w:szCs w:val="16"/>
        </w:rPr>
      </w:pPr>
    </w:p>
    <w:p w14:paraId="5EB335EA"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 ноября 1940 г.</w:t>
      </w:r>
    </w:p>
    <w:p w14:paraId="1C282F73"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 ПОЛИТБЮРО ЦК ВКП(б) "О ЕЖЕДНЕВНОЙ ИНФОРМАЦИИ ПО ВЫПУСКУ МОТОРОВ И САМОЛЕТОВ"</w:t>
      </w:r>
    </w:p>
    <w:p w14:paraId="4CB1064C"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w:t>
      </w:r>
    </w:p>
    <w:p w14:paraId="3E4B824D"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 ноября 1940 г.</w:t>
      </w:r>
    </w:p>
    <w:p w14:paraId="71D2A501"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Строго секретно</w:t>
      </w:r>
    </w:p>
    <w:p w14:paraId="3910F9D2"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директоров моторных и самолетных заводов НКАП, начиная с 16 ноября 1940 года давать ежедневные сообщения ЦК ВКП(б) и Наркомату авиационной промышленности:</w:t>
      </w:r>
    </w:p>
    <w:p w14:paraId="5B4CBAD7"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по моторным заводам - количество принятых военпредами моторов по каждому типу мотора;</w:t>
      </w:r>
    </w:p>
    <w:p w14:paraId="29A8A3DF"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по самолетным заводам - количество принятых военпредами боевых и учебных самолетов по каждому типу самолета.</w:t>
      </w:r>
    </w:p>
    <w:p w14:paraId="45A36CB7"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Сообщения в ЦК ВКП(б) и НКАП должны даваться за подписью директоров заводов и направляться с московских заводов совершенно секретной почтой, а со всех других заводов шифрованными телеграммами.</w:t>
      </w:r>
    </w:p>
    <w:p w14:paraId="298E85FE"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Секретарь ЦК ВКП(б)</w:t>
      </w:r>
    </w:p>
    <w:p w14:paraId="5BB72F1F"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АП РФ. Ф.93. Коллекция документов (206120).</w:t>
      </w:r>
    </w:p>
    <w:p w14:paraId="1D97ADE7" w14:textId="77777777" w:rsidR="00D67A2C" w:rsidRPr="00A3026E" w:rsidRDefault="00D67A2C" w:rsidP="00A3026E">
      <w:pPr>
        <w:spacing w:after="0" w:line="240" w:lineRule="auto"/>
        <w:jc w:val="both"/>
        <w:rPr>
          <w:rFonts w:ascii="Times New Roman" w:hAnsi="Times New Roman"/>
          <w:color w:val="0070C0"/>
          <w:sz w:val="16"/>
          <w:szCs w:val="16"/>
        </w:rPr>
      </w:pPr>
    </w:p>
    <w:p w14:paraId="36BA8C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ноября 1940 года вышел приказ НИИ ВВС № 0253</w:t>
      </w:r>
    </w:p>
    <w:p w14:paraId="2DA7C5F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 серийного самолета СБ-2М105 № 9/327 (пикирующий вариант) (6890, 157).</w:t>
      </w:r>
    </w:p>
    <w:p w14:paraId="186384E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CEF68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ноября 1940 г. на совместном засе</w:t>
      </w:r>
      <w:r w:rsidRPr="00A3026E">
        <w:rPr>
          <w:rFonts w:ascii="Times New Roman" w:hAnsi="Times New Roman"/>
          <w:color w:val="000000" w:themeColor="text1"/>
          <w:sz w:val="16"/>
          <w:szCs w:val="16"/>
        </w:rPr>
        <w:softHyphen/>
        <w:t>дании СНК и ЦК ВКП(б) рассматривалось Положение с производством моторов А.А.Микулина на 1941 г. Было ре</w:t>
      </w:r>
      <w:r w:rsidRPr="00A3026E">
        <w:rPr>
          <w:rFonts w:ascii="Times New Roman" w:hAnsi="Times New Roman"/>
          <w:color w:val="000000" w:themeColor="text1"/>
          <w:sz w:val="16"/>
          <w:szCs w:val="16"/>
        </w:rPr>
        <w:softHyphen/>
        <w:t>шено с начала года на заводе № 24 прекратить выпуск различных модификаций М—62, турбоком</w:t>
      </w:r>
      <w:r w:rsidRPr="00A3026E">
        <w:rPr>
          <w:rFonts w:ascii="Times New Roman" w:hAnsi="Times New Roman"/>
          <w:color w:val="000000" w:themeColor="text1"/>
          <w:sz w:val="16"/>
          <w:szCs w:val="16"/>
        </w:rPr>
        <w:softHyphen/>
        <w:t>прессоров и других объектов, не имевших теперь первостепенного значения. Зато намечалось постро</w:t>
      </w:r>
      <w:r w:rsidRPr="00A3026E">
        <w:rPr>
          <w:rFonts w:ascii="Times New Roman" w:hAnsi="Times New Roman"/>
          <w:color w:val="000000" w:themeColor="text1"/>
          <w:sz w:val="16"/>
          <w:szCs w:val="16"/>
        </w:rPr>
        <w:softHyphen/>
        <w:t>ить АМ—35А в количестве 6800 единиц, сдав 1000 та</w:t>
      </w:r>
      <w:r w:rsidRPr="00A3026E">
        <w:rPr>
          <w:rFonts w:ascii="Times New Roman" w:hAnsi="Times New Roman"/>
          <w:color w:val="000000" w:themeColor="text1"/>
          <w:sz w:val="16"/>
          <w:szCs w:val="16"/>
        </w:rPr>
        <w:softHyphen/>
        <w:t>ких моторов в первом квартале 1941 г. Тогда же пла</w:t>
      </w:r>
      <w:r w:rsidRPr="00A3026E">
        <w:rPr>
          <w:rFonts w:ascii="Times New Roman" w:hAnsi="Times New Roman"/>
          <w:color w:val="000000" w:themeColor="text1"/>
          <w:sz w:val="16"/>
          <w:szCs w:val="16"/>
        </w:rPr>
        <w:softHyphen/>
        <w:t>нировалось подключить к выполнению программы столь важного для страны мотора вновь строящийся завод № 452 в Днепропетровске (9984).</w:t>
      </w:r>
    </w:p>
    <w:p w14:paraId="477FCF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D4155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16 ноября 1940 с письмом № 26/470 Зам. Нач. ОКО Жиганова Зам. Нач. 7 ГУ НКАП Шишкину был направлен Отчет о ДВИЖЕНИИ ОПЫТНЫХ РАБОТ В ОКО ЗАВОДА № 135 на 15 ноября 1940 г.</w:t>
      </w:r>
    </w:p>
    <w:p w14:paraId="1E82B1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маш..330 (Заказ 360)</w:t>
      </w:r>
    </w:p>
    <w:p w14:paraId="16E877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По незаконченным монтажам техническая готовность узлов следующая:</w:t>
      </w:r>
    </w:p>
    <w:p w14:paraId="6F40F2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w:t>
      </w:r>
    </w:p>
    <w:p w14:paraId="299CB6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Капот</w:t>
      </w:r>
    </w:p>
    <w:p w14:paraId="7C1A41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Маслорадиатор</w:t>
      </w:r>
    </w:p>
    <w:p w14:paraId="16462B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Маслопроводка</w:t>
      </w:r>
    </w:p>
    <w:p w14:paraId="1D1246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Водорадиатор</w:t>
      </w:r>
    </w:p>
    <w:p w14:paraId="612A62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Костыль</w:t>
      </w:r>
    </w:p>
    <w:p w14:paraId="32004E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Козырек</w:t>
      </w:r>
    </w:p>
    <w:p w14:paraId="50D95D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Кок на винт</w:t>
      </w:r>
    </w:p>
    <w:p w14:paraId="3DD5DA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Щитки шасси</w:t>
      </w:r>
    </w:p>
    <w:p w14:paraId="50341B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 группа</w:t>
      </w:r>
    </w:p>
    <w:p w14:paraId="7A2072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Щели крыла</w:t>
      </w:r>
    </w:p>
    <w:p w14:paraId="49E58C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Вносятся изменения в установленные агрегаты:</w:t>
      </w:r>
    </w:p>
    <w:p w14:paraId="063B5B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Руль поворота</w:t>
      </w:r>
    </w:p>
    <w:p w14:paraId="2E2639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газоанализатора</w:t>
      </w:r>
    </w:p>
    <w:p w14:paraId="0B7F51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Ранее указанные готовые изделия до сих пор не получены</w:t>
      </w:r>
    </w:p>
    <w:p w14:paraId="2E5DE9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серийной машины с М-81 (дублер)</w:t>
      </w:r>
    </w:p>
    <w:p w14:paraId="63DF7B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Вносятся конструктивные изменения в чертежах шасси и ВМГ для запуска в производство.</w:t>
      </w:r>
    </w:p>
    <w:p w14:paraId="0FA2D3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Планер для стат. испытаний.</w:t>
      </w:r>
    </w:p>
    <w:p w14:paraId="748FEE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Продолжается монтаж управления щитками и элеронами (левыми) для испытания и подготавливается к испытанию оперение.</w:t>
      </w:r>
    </w:p>
    <w:p w14:paraId="50BEC9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ББ-МАИ</w:t>
      </w:r>
    </w:p>
    <w:p w14:paraId="425445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Продолжилось проектирование изменяемых узлов</w:t>
      </w:r>
    </w:p>
    <w:p w14:paraId="35E850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Производится заготовка деталей по рулю глубины, стабилизатору и управлению рулем глубины. Запущены в производство костыль и крылья (874,79).</w:t>
      </w:r>
    </w:p>
    <w:p w14:paraId="2C5FFC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96824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Style w:val="af0"/>
          <w:rFonts w:ascii="Times New Roman" w:hAnsi="Times New Roman"/>
          <w:i w:val="0"/>
          <w:iCs w:val="0"/>
          <w:color w:val="000000" w:themeColor="text1"/>
          <w:sz w:val="16"/>
          <w:szCs w:val="16"/>
        </w:rPr>
        <w:t>16 ноября 1940</w:t>
      </w:r>
      <w:r w:rsidRPr="00A3026E">
        <w:rPr>
          <w:rFonts w:ascii="Times New Roman" w:hAnsi="Times New Roman"/>
          <w:color w:val="000000" w:themeColor="text1"/>
          <w:sz w:val="16"/>
          <w:szCs w:val="16"/>
        </w:rPr>
        <w:t xml:space="preserve"> вышло Постановление политбюро ЦК ВКП(б) "о ежедневной информации по выпуску моторов и самолетов"</w:t>
      </w:r>
    </w:p>
    <w:p w14:paraId="2B4E4C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166 — О ежедневной информации по выпуску моторов и самолетов </w:t>
      </w:r>
    </w:p>
    <w:p w14:paraId="75DB7A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Обязать директоров моторных и самолетных заводов НКАП, начиная с 16 ноября 1940 года, давать ежедневные сообщения ЦК ВКП(б) и Наркомату авиационной промышленности: </w:t>
      </w:r>
    </w:p>
    <w:p w14:paraId="7FEF44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по моторным заводам — количество принятых военпредами моторов по каждому типу мотора; </w:t>
      </w:r>
    </w:p>
    <w:p w14:paraId="191622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по самолетным заводам — количество принятых военпредами боевых и учебных самолетов по каждому типу самолета. </w:t>
      </w:r>
    </w:p>
    <w:p w14:paraId="013920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Сообщения в ЦК ВКП(б) и НКАП должны даваться за подписью директоров заводов и направляться с московских заводов совершенно секретной почтой, а со всех других заводов шифрованными телеграммами. </w:t>
      </w:r>
    </w:p>
    <w:p w14:paraId="07AEB8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РГАСПИ. Ф. 17. Оп. 3. Д. 1029. Л. 46. Подлинник. Машинопись. </w:t>
      </w:r>
    </w:p>
    <w:p w14:paraId="54F13D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Протокол № 22 (11430).</w:t>
      </w:r>
    </w:p>
    <w:p w14:paraId="45BF97F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4DA156"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shd w:val="clear" w:color="auto" w:fill="FFFFFF"/>
        </w:rPr>
        <w:t>16 ноября 1940 вышло Постановление Комитета обороны при СНК СССР №423сс "О принятии на вооружение 23-мм авиационной пушки Таубина-Бабурина" (22076).</w:t>
      </w:r>
    </w:p>
    <w:p w14:paraId="203329D3" w14:textId="77777777" w:rsidR="00D67A2C" w:rsidRPr="00A3026E" w:rsidRDefault="00D67A2C" w:rsidP="00A3026E">
      <w:pPr>
        <w:spacing w:after="0" w:line="240" w:lineRule="auto"/>
        <w:jc w:val="both"/>
        <w:rPr>
          <w:rFonts w:ascii="Times New Roman" w:hAnsi="Times New Roman"/>
          <w:color w:val="0070C0"/>
          <w:sz w:val="16"/>
          <w:szCs w:val="16"/>
        </w:rPr>
      </w:pPr>
    </w:p>
    <w:p w14:paraId="6234B88A" w14:textId="77777777" w:rsidR="00893AC8" w:rsidRPr="00A3026E" w:rsidRDefault="00893AC8"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1B98649F" w14:textId="77777777" w:rsidR="00893AC8" w:rsidRPr="00A3026E" w:rsidRDefault="00893AC8" w:rsidP="00A3026E">
      <w:pPr>
        <w:spacing w:after="0" w:line="240" w:lineRule="auto"/>
        <w:jc w:val="both"/>
        <w:rPr>
          <w:rFonts w:ascii="Times New Roman" w:hAnsi="Times New Roman"/>
          <w:iCs/>
          <w:color w:val="000000" w:themeColor="text1"/>
          <w:sz w:val="16"/>
          <w:szCs w:val="16"/>
        </w:rPr>
      </w:pPr>
    </w:p>
    <w:p w14:paraId="4058DD1C"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r w:rsidRPr="00A3026E">
        <w:rPr>
          <w:rFonts w:ascii="Times New Roman" w:hAnsi="Times New Roman"/>
          <w:color w:val="000000" w:themeColor="text1"/>
          <w:sz w:val="16"/>
          <w:szCs w:val="16"/>
        </w:rPr>
        <w:noBreakHyphen/>
        <w:t>17 ноября 1940 г. в статье Андре Моруа “Как Франция проиграла войну”, опубликованной в газете “Правда” № 318</w:t>
      </w:r>
      <w:r w:rsidRPr="00A3026E">
        <w:rPr>
          <w:rFonts w:ascii="Times New Roman" w:hAnsi="Times New Roman"/>
          <w:color w:val="000000" w:themeColor="text1"/>
          <w:sz w:val="16"/>
          <w:szCs w:val="16"/>
        </w:rPr>
        <w:noBreakHyphen/>
        <w:t>319, указывается: «Заводы “Шкода” изготовили такие броневые плиты, о которых раньше и не мечтали» (18012).</w:t>
      </w:r>
    </w:p>
    <w:p w14:paraId="2C27619A" w14:textId="77777777" w:rsidR="00893AC8" w:rsidRPr="00A3026E" w:rsidRDefault="00893AC8" w:rsidP="00A3026E">
      <w:pPr>
        <w:spacing w:after="0" w:line="240" w:lineRule="auto"/>
        <w:jc w:val="both"/>
        <w:rPr>
          <w:rFonts w:ascii="Times New Roman" w:hAnsi="Times New Roman"/>
          <w:color w:val="000000" w:themeColor="text1"/>
          <w:sz w:val="16"/>
          <w:szCs w:val="16"/>
        </w:rPr>
      </w:pPr>
    </w:p>
    <w:p w14:paraId="7DD81008" w14:textId="77777777" w:rsidR="00C64F82" w:rsidRPr="00A3026E" w:rsidRDefault="00C64F82"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64EC00DC" w14:textId="77777777" w:rsidR="00C64F82" w:rsidRPr="00A3026E" w:rsidRDefault="00C64F82" w:rsidP="00A3026E">
      <w:pPr>
        <w:spacing w:after="0" w:line="240" w:lineRule="auto"/>
        <w:jc w:val="both"/>
        <w:rPr>
          <w:rFonts w:ascii="Times New Roman" w:hAnsi="Times New Roman"/>
          <w:iCs/>
          <w:color w:val="000000" w:themeColor="text1"/>
          <w:sz w:val="16"/>
          <w:szCs w:val="16"/>
        </w:rPr>
      </w:pPr>
    </w:p>
    <w:p w14:paraId="4CE9DEC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ноября 1940. Газета "Московский большевик" сообщала: "Немало хлопот доставляет зимой сбрасывание снега с крыш. Десятки тысяч рублей расходуются в Москве на это дело. К тому же лопаты и кирки портят крыши. Работник Мосжилуправления тов. В. Ефремов сконструировал устройство для очистки крыш от снега, названное им "воздушной защитой кровли". На крышу ставится небольшой вентилятор с электромоторчиком. Во время снегопада он движется по рельсам, сдувая снег. Первый такой вентилятор сейчас устанавливается на крыше дома - 3 по Кузнецкому мосту" (18701).</w:t>
      </w:r>
    </w:p>
    <w:p w14:paraId="43152102" w14:textId="77777777" w:rsidR="00C64F82" w:rsidRPr="00A3026E" w:rsidRDefault="00C64F82" w:rsidP="00A3026E">
      <w:pPr>
        <w:spacing w:after="0" w:line="240" w:lineRule="auto"/>
        <w:jc w:val="both"/>
        <w:rPr>
          <w:rFonts w:ascii="Times New Roman" w:hAnsi="Times New Roman"/>
          <w:color w:val="000000" w:themeColor="text1"/>
          <w:sz w:val="16"/>
          <w:szCs w:val="16"/>
        </w:rPr>
      </w:pPr>
    </w:p>
    <w:p w14:paraId="1CA02EF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48362FB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1D066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ноября 1940 английская авиация нанесла ответный удар по Гамбургу (3481).</w:t>
      </w:r>
    </w:p>
    <w:p w14:paraId="12E9D44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C2CCA03"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 ноября 1940 - В ответ на удар по Ковентри британская авиация совершила первый налёт на Гамбург (22385).</w:t>
      </w:r>
    </w:p>
    <w:p w14:paraId="2D4E9DC6" w14:textId="77777777" w:rsidR="00D67A2C" w:rsidRPr="00A3026E" w:rsidRDefault="00D67A2C" w:rsidP="00A3026E">
      <w:pPr>
        <w:spacing w:after="0" w:line="240" w:lineRule="auto"/>
        <w:jc w:val="both"/>
        <w:rPr>
          <w:rFonts w:ascii="Times New Roman" w:hAnsi="Times New Roman"/>
          <w:color w:val="0070C0"/>
          <w:sz w:val="16"/>
          <w:szCs w:val="16"/>
        </w:rPr>
      </w:pPr>
    </w:p>
    <w:p w14:paraId="2F808F2A" w14:textId="77777777" w:rsidR="00AB040C" w:rsidRPr="00A3026E" w:rsidRDefault="00AB040C"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16 ноября </w:t>
      </w:r>
      <w:r w:rsidRPr="00A3026E">
        <w:rPr>
          <w:rFonts w:ascii="Times New Roman" w:hAnsi="Times New Roman"/>
          <w:color w:val="000000" w:themeColor="text1"/>
          <w:sz w:val="16"/>
          <w:szCs w:val="16"/>
        </w:rPr>
        <w:t>в 1940 году в ответ на бомбардировку Ковентри британские ВВС совершили свой первый налёт на Гамбург. Густая облачность над целью сделала невозможным точное бомбометание и самолёты сбросили бомбы где попало. В результате налёта погибло около 200 жителей Гамбурга. К концу войны жертвами бомбардировок в Гамбурге стали почти 50 000 человек (14832).</w:t>
      </w:r>
    </w:p>
    <w:p w14:paraId="72011805" w14:textId="77777777" w:rsidR="00AB040C" w:rsidRPr="00A3026E" w:rsidRDefault="00AB040C" w:rsidP="00A3026E">
      <w:pPr>
        <w:spacing w:after="0" w:line="240" w:lineRule="auto"/>
        <w:jc w:val="both"/>
        <w:rPr>
          <w:rFonts w:ascii="Times New Roman" w:hAnsi="Times New Roman"/>
          <w:color w:val="000000" w:themeColor="text1"/>
          <w:sz w:val="16"/>
          <w:szCs w:val="16"/>
        </w:rPr>
      </w:pPr>
    </w:p>
    <w:p w14:paraId="2F0368E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30DB83B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057CB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ноября 1940 г. нарком авиапромышленности А.И.Шахурин и начальник ГУ ВВС П.В.Рычагов издали совместный приказ №640/0288, один из пунктов которого предусматривал:</w:t>
      </w:r>
    </w:p>
    <w:p w14:paraId="73309C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"Принять и оформить 70 самолетов ДБ-240 2М-105, изготовленных по образцу эталона с устраненными дефектами; самолет ДБ-240 2М-105 принять к эксплуатации с ограничением взлетного веса 12000 кг", а другой обязывал главного конструктора Ермолаева провести заводские испытания бомбардировщика ДБ-240 с двумя моторами АМ-37 по сокращенной программе и к 15 декабря 1940 г. (то есть через месяц!) предъявить самолет на государственные испытания (3322,11).</w:t>
      </w:r>
    </w:p>
    <w:p w14:paraId="2AF5AD8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E0EA9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ноября 1940 г. согласно письму Н.Н.П. были закончены войсковые испытаний самолетов И-153 (Чайка) с синхронными пушками ШВАК калибром 20 мм. Ре</w:t>
      </w:r>
      <w:r w:rsidRPr="00A3026E">
        <w:rPr>
          <w:rFonts w:ascii="Times New Roman" w:hAnsi="Times New Roman"/>
          <w:color w:val="000000" w:themeColor="text1"/>
          <w:sz w:val="16"/>
          <w:szCs w:val="16"/>
        </w:rPr>
        <w:softHyphen/>
        <w:t>зультаты испытаний признаны Комиссией ВВС вполне удовлетворительными и показали, что самолет И-153 с синхронными пушками является актуальным штурмо</w:t>
      </w:r>
      <w:r w:rsidRPr="00A3026E">
        <w:rPr>
          <w:rFonts w:ascii="Times New Roman" w:hAnsi="Times New Roman"/>
          <w:color w:val="000000" w:themeColor="text1"/>
          <w:sz w:val="16"/>
          <w:szCs w:val="16"/>
        </w:rPr>
        <w:softHyphen/>
        <w:t>виком для борьбы с танками и наземными целями. Вви</w:t>
      </w:r>
      <w:r w:rsidRPr="00A3026E">
        <w:rPr>
          <w:rFonts w:ascii="Times New Roman" w:hAnsi="Times New Roman"/>
          <w:color w:val="000000" w:themeColor="text1"/>
          <w:sz w:val="16"/>
          <w:szCs w:val="16"/>
        </w:rPr>
        <w:softHyphen/>
        <w:t>ду этого, прошу Вашего распоряжения о серийном выпуске указанных самолетов». Такое распоряжение последовало, и И-153П строил</w:t>
      </w:r>
      <w:r w:rsidRPr="00A3026E">
        <w:rPr>
          <w:rFonts w:ascii="Times New Roman" w:hAnsi="Times New Roman"/>
          <w:color w:val="000000" w:themeColor="text1"/>
          <w:sz w:val="16"/>
          <w:szCs w:val="16"/>
        </w:rPr>
        <w:softHyphen/>
        <w:t>ся серийно в 1940-1941 гг., участвовал в Великой Отече</w:t>
      </w:r>
      <w:r w:rsidRPr="00A3026E">
        <w:rPr>
          <w:rFonts w:ascii="Times New Roman" w:hAnsi="Times New Roman"/>
          <w:color w:val="000000" w:themeColor="text1"/>
          <w:sz w:val="16"/>
          <w:szCs w:val="16"/>
        </w:rPr>
        <w:softHyphen/>
        <w:t>ственной войне (10667).</w:t>
      </w:r>
    </w:p>
    <w:p w14:paraId="0396BE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90B9899"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5CE9F8E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6FE8F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17 по 20 ноября 1940 в Генштабе под руководством Тимошенко была проведена двусторонняя оперативно-стратегическая игра на картах и армия и флот встретились в Кенигсберге (2536,234).</w:t>
      </w:r>
    </w:p>
    <w:p w14:paraId="3EC6D82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D605711" w14:textId="77777777" w:rsidR="00AB040C"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23F918C5" w14:textId="77777777" w:rsidR="00AB040C" w:rsidRPr="00A3026E" w:rsidRDefault="00AB040C" w:rsidP="00A3026E">
      <w:pPr>
        <w:spacing w:after="0" w:line="240" w:lineRule="auto"/>
        <w:jc w:val="both"/>
        <w:rPr>
          <w:rFonts w:ascii="Times New Roman" w:hAnsi="Times New Roman"/>
          <w:iCs/>
          <w:color w:val="000000" w:themeColor="text1"/>
          <w:sz w:val="16"/>
          <w:szCs w:val="16"/>
        </w:rPr>
      </w:pPr>
    </w:p>
    <w:p w14:paraId="2637FF21" w14:textId="77777777" w:rsidR="00AB040C" w:rsidRPr="00A3026E" w:rsidRDefault="00AB040C"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17 ноября </w:t>
      </w:r>
      <w:r w:rsidRPr="00A3026E">
        <w:rPr>
          <w:rFonts w:ascii="Times New Roman" w:hAnsi="Times New Roman"/>
          <w:color w:val="000000" w:themeColor="text1"/>
          <w:sz w:val="16"/>
          <w:szCs w:val="16"/>
        </w:rPr>
        <w:t>в 1940 году массированная бомбардировка британскими ВВС Мангейма (14833).</w:t>
      </w:r>
    </w:p>
    <w:p w14:paraId="4D436C5B" w14:textId="77777777" w:rsidR="00AB040C" w:rsidRPr="00A3026E" w:rsidRDefault="00AB040C" w:rsidP="00A3026E">
      <w:pPr>
        <w:spacing w:after="0" w:line="240" w:lineRule="auto"/>
        <w:jc w:val="both"/>
        <w:rPr>
          <w:rFonts w:ascii="Times New Roman" w:hAnsi="Times New Roman"/>
          <w:color w:val="000000" w:themeColor="text1"/>
          <w:sz w:val="16"/>
          <w:szCs w:val="16"/>
        </w:rPr>
      </w:pPr>
    </w:p>
    <w:p w14:paraId="27F4D5C4"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В ночь с 17 на 18 сентября 1940 г. несколько английских привязных аэростатов заграждения были сорваны штормовым ветром и унесены на материк. Обрывки тросов вызвали замыкания электропроводов и повреждения антенн. Так родилась идея послать аэростаты для нарушения работы линий электропередач в Германии. Министерство авиации не поддержало проект, опасаясь принятия аналогичных мер Германией. Однако идею поддержали в Департаменте боновой защиты (Boom Defence Department), учитывая то, что направление ветра на высоте более 4,8 км в 55 % случаев благоприятно для запусков аэростатов из Англии, тогда как только в 38 % — из Германии. Кроме того, к шарам можно подвешивать зажигательные бомбы, что позволяло инициировать пожары на территории противника, не рискуя при этом экипажами. Запуски начались из района порта Гарвич (Harwich) 20 марта 1942 г. Наибольший успех был достигнут 12 июля 1942 г., когда трос аэростата вывел из строя 110 кВ линию электропередачи под Лейпцигом, что повлекло за собой пожар на электростанции, общий ущерб от которого составил 1 млн фунтов стерлингов. Досталось и нейтралам. Так, в ночь с 19 на 20 января 1944 г. неуправляемый аэростат нарушил освещение железной дороги Лунд–Фалькенберг (Швеция), что привело к столкновению двух поездов. Атаки продолжались до сентября 1944 г. Всего было выпущено 99 142 автоматических аэростата, большая часть которых — 53 543 —снаряжалась зажигательными бомбами. Общие затраты на операцию составили 220 тыс. фунтов стерлингов (22756).</w:t>
      </w:r>
    </w:p>
    <w:p w14:paraId="76B99A30" w14:textId="77777777" w:rsidR="00D67A2C" w:rsidRPr="00A3026E" w:rsidRDefault="00D67A2C" w:rsidP="00A3026E">
      <w:pPr>
        <w:spacing w:after="0" w:line="240" w:lineRule="auto"/>
        <w:jc w:val="both"/>
        <w:rPr>
          <w:rFonts w:ascii="Times New Roman" w:hAnsi="Times New Roman"/>
          <w:color w:val="0070C0"/>
          <w:sz w:val="16"/>
          <w:szCs w:val="16"/>
        </w:rPr>
      </w:pPr>
    </w:p>
    <w:p w14:paraId="495D2969" w14:textId="77777777" w:rsidR="00D67A2C" w:rsidRPr="00A3026E" w:rsidRDefault="00D67A2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 ноября 1940 прошла операция White, вторая попытка британского авианосца HMS Argus доставить 14 Харрикейновраганов RAF Hawker и два Blackburn Skuas военно-воздушных сил флота на Мальту, которая почти полностью провалилась, когда самолеты были выпущены на слишком большой дальность и заблудились в непогоду. Только четыре Харрикейна и один Скуа достигают Мальты; остальные погибли в Средиземное море с потерей всех своих пилотов, кроме одного, а один Скуа терпит крушение на Сицилии , где итальянцы захватывают его команду (20795).</w:t>
      </w:r>
    </w:p>
    <w:p w14:paraId="160A724B" w14:textId="77777777" w:rsidR="00D67A2C" w:rsidRPr="00A3026E" w:rsidRDefault="00D67A2C" w:rsidP="00A3026E">
      <w:pPr>
        <w:spacing w:after="0" w:line="240" w:lineRule="auto"/>
        <w:jc w:val="both"/>
        <w:rPr>
          <w:rFonts w:ascii="Times New Roman" w:hAnsi="Times New Roman"/>
          <w:color w:val="0070C0"/>
          <w:sz w:val="16"/>
          <w:szCs w:val="16"/>
        </w:rPr>
      </w:pPr>
    </w:p>
    <w:p w14:paraId="2EA0B0F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5B16EE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2F9AF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ноября 1940 года. Шишкин, Петров, Чесалов подготовили справку Сравнение самолетов ПБ"100", СБРК, ББ-22 и "Б".</w:t>
      </w:r>
    </w:p>
    <w:p w14:paraId="1FBD52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сравнения следует:</w:t>
      </w:r>
    </w:p>
    <w:p w14:paraId="3D169F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Скорость.</w:t>
      </w:r>
    </w:p>
    <w:p w14:paraId="27EC55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максимальные скорости в таблице даны при расположении бомбовой нагрузки внутри фюзеляжа.</w:t>
      </w:r>
    </w:p>
    <w:p w14:paraId="30A666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Наибольшую скорость имеет самолет ББ-22 за счет малой площади крыльев и большой посадочной скорости, но следует учесть, что из самолета ББ-22 выжато все и для него почти нет перспективы роста скорости.</w:t>
      </w:r>
    </w:p>
    <w:p w14:paraId="7AB0B8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Замена моторов на более мощные для ББ-22, увеличение вооружения и дальности самолета невозможны из-за взлетно-посадочных свойств и малых габаритов самолета.</w:t>
      </w:r>
    </w:p>
    <w:p w14:paraId="689FF6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СБРК - мала и дальнейшее ее увеличение путем модификации самолета невозможно из-за малой прочности его.</w:t>
      </w:r>
    </w:p>
    <w:p w14:paraId="5BC082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"Б" имеет проектную скорость, лежащую между данными "ПБ-100" и ББ-22, но самолет опаздывает более чем на год в сравнении с вышеуказанными самолетами, а следовательно, в смысле скорости самолет отстает и имеет к тому же меньшую прочность, чем ПБ-100.</w:t>
      </w:r>
    </w:p>
    <w:p w14:paraId="036178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самолета ПБ-100 и ББ-22 могут производить бомбардирования с пикирования только при наружной подвеске бомб. Скорости самолетов при этом падают: ПБ-100 - до 500 км в час и ББ-22 - до... км в час. При этом ПБ-100 несет 4 бомбы по 250 кг, а ББ-22 2х250 и 2х100.</w:t>
      </w:r>
    </w:p>
    <w:p w14:paraId="4D547C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 СБРК и "Б" могут сбрасывать бомбы с пикирования и... фюзеляжа, поэтому их скорость не понизится, если СБ РК и "Б" понесет лишь 6х100. Если же им дать бомбовую нагрузку такую же, как у ПБ-100, то скорость их понизится на 20 км.</w:t>
      </w:r>
    </w:p>
    <w:p w14:paraId="3D469F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Следовательно, скорости при полете на бомбометание с пикирования будут: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38"/>
        <w:gridCol w:w="2430"/>
        <w:gridCol w:w="2340"/>
        <w:gridCol w:w="2250"/>
      </w:tblGrid>
      <w:tr w:rsidR="00983732" w:rsidRPr="00A3026E" w14:paraId="0ECED8B9" w14:textId="77777777" w:rsidTr="00EA0DA7">
        <w:tc>
          <w:tcPr>
            <w:tcW w:w="2538" w:type="dxa"/>
            <w:tcBorders>
              <w:top w:val="single" w:sz="12" w:space="0" w:color="auto"/>
            </w:tcBorders>
          </w:tcPr>
          <w:p w14:paraId="5972DE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ПБ-100</w:t>
            </w:r>
          </w:p>
        </w:tc>
        <w:tc>
          <w:tcPr>
            <w:tcW w:w="2430" w:type="dxa"/>
            <w:tcBorders>
              <w:top w:val="single" w:sz="12" w:space="0" w:color="auto"/>
            </w:tcBorders>
          </w:tcPr>
          <w:p w14:paraId="26C362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 РК</w:t>
            </w:r>
          </w:p>
        </w:tc>
        <w:tc>
          <w:tcPr>
            <w:tcW w:w="2340" w:type="dxa"/>
            <w:tcBorders>
              <w:top w:val="single" w:sz="12" w:space="0" w:color="auto"/>
            </w:tcBorders>
          </w:tcPr>
          <w:p w14:paraId="309A71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w:t>
            </w:r>
          </w:p>
        </w:tc>
        <w:tc>
          <w:tcPr>
            <w:tcW w:w="2250" w:type="dxa"/>
            <w:tcBorders>
              <w:top w:val="single" w:sz="12" w:space="0" w:color="auto"/>
            </w:tcBorders>
          </w:tcPr>
          <w:p w14:paraId="2FF2C0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p>
        </w:tc>
      </w:tr>
      <w:tr w:rsidR="00983732" w:rsidRPr="00A3026E" w14:paraId="7F884290" w14:textId="77777777" w:rsidTr="00EA0DA7">
        <w:tc>
          <w:tcPr>
            <w:tcW w:w="2538" w:type="dxa"/>
            <w:tcBorders>
              <w:bottom w:val="single" w:sz="12" w:space="0" w:color="auto"/>
            </w:tcBorders>
          </w:tcPr>
          <w:p w14:paraId="305CE0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2430" w:type="dxa"/>
            <w:tcBorders>
              <w:bottom w:val="single" w:sz="12" w:space="0" w:color="auto"/>
            </w:tcBorders>
          </w:tcPr>
          <w:p w14:paraId="762B45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w:t>
            </w:r>
          </w:p>
        </w:tc>
        <w:tc>
          <w:tcPr>
            <w:tcW w:w="2340" w:type="dxa"/>
            <w:tcBorders>
              <w:bottom w:val="single" w:sz="12" w:space="0" w:color="auto"/>
            </w:tcBorders>
          </w:tcPr>
          <w:p w14:paraId="752334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2250" w:type="dxa"/>
            <w:tcBorders>
              <w:bottom w:val="single" w:sz="12" w:space="0" w:color="auto"/>
            </w:tcBorders>
          </w:tcPr>
          <w:p w14:paraId="62AF70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530</w:t>
            </w:r>
          </w:p>
        </w:tc>
      </w:tr>
    </w:tbl>
    <w:p w14:paraId="296E8E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скорости для 1941-42 г.г. будут малы и следует расценить самолеты с точки зрения дальнейшего роста их скорости за счет модификации под более мощные моторы.</w:t>
      </w:r>
    </w:p>
    <w:p w14:paraId="115B4F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Наибольшие возможности в этом смысле имеет:</w:t>
      </w:r>
    </w:p>
    <w:p w14:paraId="77153C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ПБ-100, затем самолет "Б", а СБ-РК и ББ-22 возможности модификации имеют в значительно меньшей мере.</w:t>
      </w:r>
    </w:p>
    <w:p w14:paraId="04B9A7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Бомбовая нагрузка и дальность.</w:t>
      </w:r>
    </w:p>
    <w:p w14:paraId="61658D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ББ-22 может нести калибры бомб от 100 кг до 2.. кг, самолеты "Б", ПБ-100 и СБ РК - от 100 кг до 500 кг.</w:t>
      </w:r>
    </w:p>
    <w:p w14:paraId="0FF520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Предельные бомбовые нагрузки для сбрасывания с пикирования и практическая дальность при этом: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1559"/>
        <w:gridCol w:w="1418"/>
        <w:gridCol w:w="1417"/>
        <w:gridCol w:w="3118"/>
      </w:tblGrid>
      <w:tr w:rsidR="00983732" w:rsidRPr="00A3026E" w14:paraId="22C82FF1" w14:textId="77777777" w:rsidTr="00EA0DA7">
        <w:tc>
          <w:tcPr>
            <w:tcW w:w="3085" w:type="dxa"/>
            <w:tcBorders>
              <w:top w:val="single" w:sz="12" w:space="0" w:color="auto"/>
            </w:tcBorders>
          </w:tcPr>
          <w:p w14:paraId="49FC62A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559" w:type="dxa"/>
            <w:tcBorders>
              <w:top w:val="single" w:sz="12" w:space="0" w:color="auto"/>
            </w:tcBorders>
          </w:tcPr>
          <w:p w14:paraId="7262BD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ПБ-100</w:t>
            </w:r>
          </w:p>
        </w:tc>
        <w:tc>
          <w:tcPr>
            <w:tcW w:w="1418" w:type="dxa"/>
            <w:tcBorders>
              <w:top w:val="single" w:sz="12" w:space="0" w:color="auto"/>
            </w:tcBorders>
          </w:tcPr>
          <w:p w14:paraId="511910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 РК</w:t>
            </w:r>
          </w:p>
        </w:tc>
        <w:tc>
          <w:tcPr>
            <w:tcW w:w="1417" w:type="dxa"/>
            <w:tcBorders>
              <w:top w:val="single" w:sz="12" w:space="0" w:color="auto"/>
            </w:tcBorders>
          </w:tcPr>
          <w:p w14:paraId="49A88D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w:t>
            </w:r>
          </w:p>
        </w:tc>
        <w:tc>
          <w:tcPr>
            <w:tcW w:w="3118" w:type="dxa"/>
            <w:tcBorders>
              <w:top w:val="single" w:sz="12" w:space="0" w:color="auto"/>
            </w:tcBorders>
          </w:tcPr>
          <w:p w14:paraId="623EEA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p>
        </w:tc>
      </w:tr>
      <w:tr w:rsidR="00983732" w:rsidRPr="00A3026E" w14:paraId="533E63A8" w14:textId="77777777" w:rsidTr="00EA0DA7">
        <w:tc>
          <w:tcPr>
            <w:tcW w:w="3085" w:type="dxa"/>
          </w:tcPr>
          <w:p w14:paraId="74E3E4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Предельная бомбовая</w:t>
            </w:r>
          </w:p>
        </w:tc>
        <w:tc>
          <w:tcPr>
            <w:tcW w:w="1559" w:type="dxa"/>
          </w:tcPr>
          <w:p w14:paraId="65CF50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 кг/1200 км</w:t>
            </w:r>
          </w:p>
        </w:tc>
        <w:tc>
          <w:tcPr>
            <w:tcW w:w="1418" w:type="dxa"/>
          </w:tcPr>
          <w:p w14:paraId="5D5B4E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 кг/1000 км</w:t>
            </w:r>
          </w:p>
        </w:tc>
        <w:tc>
          <w:tcPr>
            <w:tcW w:w="1417" w:type="dxa"/>
          </w:tcPr>
          <w:p w14:paraId="12D579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 кг/900 км</w:t>
            </w:r>
          </w:p>
        </w:tc>
        <w:tc>
          <w:tcPr>
            <w:tcW w:w="3118" w:type="dxa"/>
          </w:tcPr>
          <w:p w14:paraId="22AFF4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 кг/900 км</w:t>
            </w:r>
          </w:p>
        </w:tc>
      </w:tr>
      <w:tr w:rsidR="00983732" w:rsidRPr="00A3026E" w14:paraId="0855E855" w14:textId="77777777" w:rsidTr="00EA0DA7">
        <w:tc>
          <w:tcPr>
            <w:tcW w:w="3085" w:type="dxa"/>
          </w:tcPr>
          <w:p w14:paraId="1B8216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нагрузка/дальность</w:t>
            </w:r>
          </w:p>
        </w:tc>
        <w:tc>
          <w:tcPr>
            <w:tcW w:w="1559" w:type="dxa"/>
          </w:tcPr>
          <w:p w14:paraId="6892BC0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6044B4C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Pr>
          <w:p w14:paraId="46D74A3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118" w:type="dxa"/>
          </w:tcPr>
          <w:p w14:paraId="4C482F9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CFCE9BE" w14:textId="77777777" w:rsidTr="00EA0DA7">
        <w:tc>
          <w:tcPr>
            <w:tcW w:w="3085" w:type="dxa"/>
          </w:tcPr>
          <w:p w14:paraId="62BEB4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практическая на 0,9</w:t>
            </w:r>
          </w:p>
        </w:tc>
        <w:tc>
          <w:tcPr>
            <w:tcW w:w="1559" w:type="dxa"/>
          </w:tcPr>
          <w:p w14:paraId="492952F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515FA09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Pr>
          <w:p w14:paraId="5C9FE3A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118" w:type="dxa"/>
          </w:tcPr>
          <w:p w14:paraId="7CED0C4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0E9ADA63" w14:textId="77777777" w:rsidTr="00EA0DA7">
        <w:tc>
          <w:tcPr>
            <w:tcW w:w="3085" w:type="dxa"/>
          </w:tcPr>
          <w:p w14:paraId="7D9FF1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 перегрузкой</w:t>
            </w:r>
          </w:p>
        </w:tc>
        <w:tc>
          <w:tcPr>
            <w:tcW w:w="1559" w:type="dxa"/>
          </w:tcPr>
          <w:p w14:paraId="7C0EB54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5B4E3B4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Pr>
          <w:p w14:paraId="63456A8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118" w:type="dxa"/>
          </w:tcPr>
          <w:p w14:paraId="7913FB4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EAEFF74" w14:textId="77777777" w:rsidTr="00EA0DA7">
        <w:tc>
          <w:tcPr>
            <w:tcW w:w="3085" w:type="dxa"/>
          </w:tcPr>
          <w:p w14:paraId="65B8BF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20% запасом горюч.)</w:t>
            </w:r>
          </w:p>
        </w:tc>
        <w:tc>
          <w:tcPr>
            <w:tcW w:w="1559" w:type="dxa"/>
          </w:tcPr>
          <w:p w14:paraId="7B96E8B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676B7BB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Pr>
          <w:p w14:paraId="217517D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118" w:type="dxa"/>
          </w:tcPr>
          <w:p w14:paraId="24201AC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70BCA9C" w14:textId="77777777" w:rsidTr="00EA0DA7">
        <w:tc>
          <w:tcPr>
            <w:tcW w:w="3085" w:type="dxa"/>
          </w:tcPr>
          <w:p w14:paraId="1A8AFE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 самолета по</w:t>
            </w:r>
          </w:p>
        </w:tc>
        <w:tc>
          <w:tcPr>
            <w:tcW w:w="1559" w:type="dxa"/>
          </w:tcPr>
          <w:p w14:paraId="615EBD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 тонно-км.</w:t>
            </w:r>
          </w:p>
        </w:tc>
        <w:tc>
          <w:tcPr>
            <w:tcW w:w="1418" w:type="dxa"/>
          </w:tcPr>
          <w:p w14:paraId="0AA7BA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 тонно-км.</w:t>
            </w:r>
          </w:p>
        </w:tc>
        <w:tc>
          <w:tcPr>
            <w:tcW w:w="1417" w:type="dxa"/>
          </w:tcPr>
          <w:p w14:paraId="5FA9D4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 тонно-км.</w:t>
            </w:r>
          </w:p>
        </w:tc>
        <w:tc>
          <w:tcPr>
            <w:tcW w:w="3118" w:type="dxa"/>
          </w:tcPr>
          <w:p w14:paraId="1150E2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 тонно-км.</w:t>
            </w:r>
          </w:p>
        </w:tc>
      </w:tr>
      <w:tr w:rsidR="00983732" w:rsidRPr="00A3026E" w14:paraId="2E863E78" w14:textId="77777777" w:rsidTr="00EA0DA7">
        <w:tc>
          <w:tcPr>
            <w:tcW w:w="3085" w:type="dxa"/>
          </w:tcPr>
          <w:p w14:paraId="4A68C0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перевозке бомб</w:t>
            </w:r>
          </w:p>
        </w:tc>
        <w:tc>
          <w:tcPr>
            <w:tcW w:w="1559" w:type="dxa"/>
          </w:tcPr>
          <w:p w14:paraId="2FAA015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2801485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Pr>
          <w:p w14:paraId="5441B34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118" w:type="dxa"/>
          </w:tcPr>
          <w:p w14:paraId="7787C46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8C48F0D" w14:textId="77777777" w:rsidTr="00EA0DA7">
        <w:tc>
          <w:tcPr>
            <w:tcW w:w="3085" w:type="dxa"/>
          </w:tcPr>
          <w:p w14:paraId="6F174B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Скорости при этом</w:t>
            </w:r>
          </w:p>
        </w:tc>
        <w:tc>
          <w:tcPr>
            <w:tcW w:w="1559" w:type="dxa"/>
          </w:tcPr>
          <w:p w14:paraId="6BA8DF3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8" w:type="dxa"/>
          </w:tcPr>
          <w:p w14:paraId="48871DD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17" w:type="dxa"/>
          </w:tcPr>
          <w:p w14:paraId="029170A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118" w:type="dxa"/>
          </w:tcPr>
          <w:p w14:paraId="209B16C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E0DA8AC" w14:textId="77777777" w:rsidTr="00EA0DA7">
        <w:tc>
          <w:tcPr>
            <w:tcW w:w="3085" w:type="dxa"/>
            <w:tcBorders>
              <w:bottom w:val="single" w:sz="12" w:space="0" w:color="auto"/>
            </w:tcBorders>
          </w:tcPr>
          <w:p w14:paraId="27B0EB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(0,9 макс.)</w:t>
            </w:r>
          </w:p>
        </w:tc>
        <w:tc>
          <w:tcPr>
            <w:tcW w:w="1559" w:type="dxa"/>
            <w:tcBorders>
              <w:bottom w:val="single" w:sz="12" w:space="0" w:color="auto"/>
            </w:tcBorders>
          </w:tcPr>
          <w:p w14:paraId="494BFD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 км/час</w:t>
            </w:r>
          </w:p>
        </w:tc>
        <w:tc>
          <w:tcPr>
            <w:tcW w:w="1418" w:type="dxa"/>
            <w:tcBorders>
              <w:bottom w:val="single" w:sz="12" w:space="0" w:color="auto"/>
            </w:tcBorders>
          </w:tcPr>
          <w:p w14:paraId="03365C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 км/час</w:t>
            </w:r>
          </w:p>
        </w:tc>
        <w:tc>
          <w:tcPr>
            <w:tcW w:w="1417" w:type="dxa"/>
            <w:tcBorders>
              <w:bottom w:val="single" w:sz="12" w:space="0" w:color="auto"/>
            </w:tcBorders>
          </w:tcPr>
          <w:p w14:paraId="57881A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465 км/час</w:t>
            </w:r>
          </w:p>
        </w:tc>
        <w:tc>
          <w:tcPr>
            <w:tcW w:w="3118" w:type="dxa"/>
            <w:tcBorders>
              <w:bottom w:val="single" w:sz="12" w:space="0" w:color="auto"/>
            </w:tcBorders>
          </w:tcPr>
          <w:p w14:paraId="1B6EA0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476 км/час</w:t>
            </w:r>
          </w:p>
        </w:tc>
      </w:tr>
    </w:tbl>
    <w:p w14:paraId="6D0CD3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Стрелковое вооружение, экипаж, обзор.</w:t>
      </w:r>
    </w:p>
    <w:p w14:paraId="20143F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мощи огневой защиты самолеты можно расположить в следующем порядке:</w:t>
      </w:r>
    </w:p>
    <w:p w14:paraId="43DB4A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ПБ-100, имеющий 4 пулемета (с защитой нижней задней зоны) при 3 чел. экипажа</w:t>
      </w:r>
    </w:p>
    <w:p w14:paraId="4EBB7B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СБ РК, имеющий 3 пулемета (с защитой нижней задней зоны) при 3 чел. экипажа</w:t>
      </w:r>
    </w:p>
    <w:p w14:paraId="0978BF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"Б", имеющий 2 пулемета, из них 1 ультра-шкас и 1 крупно-калиберный</w:t>
      </w:r>
    </w:p>
    <w:p w14:paraId="7851E9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ББ-22, имеющий 2 пулемета шкас (без защиты нижней задней зоны) при 2 чел. экипажа.</w:t>
      </w:r>
    </w:p>
    <w:p w14:paraId="797FDB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обзору и удобству расположения экипажа, самолеты можно разместить в следующем порядке:</w:t>
      </w:r>
    </w:p>
    <w:p w14:paraId="390C56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ПБ-100</w:t>
      </w:r>
      <w:r w:rsidRPr="00A3026E">
        <w:rPr>
          <w:rFonts w:ascii="Times New Roman" w:hAnsi="Times New Roman"/>
          <w:color w:val="000000" w:themeColor="text1"/>
          <w:sz w:val="16"/>
          <w:szCs w:val="16"/>
        </w:rPr>
        <w:tab/>
        <w:t>летчик и штурман в непосредственной близости друг от друга, нос самолета застеклен.</w:t>
      </w:r>
    </w:p>
    <w:p w14:paraId="295435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 - то же</w:t>
      </w:r>
    </w:p>
    <w:p w14:paraId="1E9922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ББ-22 - то же, но нос самолета не застеклен. Обзор для летчика хороший, для штурмана - хуже.</w:t>
      </w:r>
    </w:p>
    <w:p w14:paraId="73D01B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СБ РК - экипаж разобщен, застекление носа не приспособлено для наводки с пикирования.</w:t>
      </w:r>
    </w:p>
    <w:p w14:paraId="11C641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Прочность и живучесть конструкции при поражениях.</w:t>
      </w:r>
    </w:p>
    <w:p w14:paraId="7DCC1C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прочности самолеты располагаются в следующем порядке: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78"/>
        <w:gridCol w:w="3060"/>
        <w:gridCol w:w="3150"/>
      </w:tblGrid>
      <w:tr w:rsidR="00983732" w:rsidRPr="00A3026E" w14:paraId="564472F2" w14:textId="77777777" w:rsidTr="00EA0DA7">
        <w:tc>
          <w:tcPr>
            <w:tcW w:w="3078" w:type="dxa"/>
            <w:tcBorders>
              <w:top w:val="single" w:sz="12" w:space="0" w:color="auto"/>
            </w:tcBorders>
          </w:tcPr>
          <w:p w14:paraId="1A72FE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ПБ-100 </w:t>
            </w:r>
          </w:p>
        </w:tc>
        <w:tc>
          <w:tcPr>
            <w:tcW w:w="3060" w:type="dxa"/>
            <w:tcBorders>
              <w:top w:val="single" w:sz="12" w:space="0" w:color="auto"/>
            </w:tcBorders>
          </w:tcPr>
          <w:p w14:paraId="48961B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коээфициент прочности</w:t>
            </w:r>
          </w:p>
        </w:tc>
        <w:tc>
          <w:tcPr>
            <w:tcW w:w="3150" w:type="dxa"/>
            <w:tcBorders>
              <w:top w:val="single" w:sz="12" w:space="0" w:color="auto"/>
            </w:tcBorders>
          </w:tcPr>
          <w:p w14:paraId="41A0F0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r>
      <w:tr w:rsidR="00983732" w:rsidRPr="00A3026E" w14:paraId="5ABCB697" w14:textId="77777777" w:rsidTr="00EA0DA7">
        <w:tc>
          <w:tcPr>
            <w:tcW w:w="3078" w:type="dxa"/>
          </w:tcPr>
          <w:p w14:paraId="1AFA9E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ББ-22 -"- </w:t>
            </w:r>
          </w:p>
        </w:tc>
        <w:tc>
          <w:tcPr>
            <w:tcW w:w="3060" w:type="dxa"/>
          </w:tcPr>
          <w:p w14:paraId="1B8C826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150" w:type="dxa"/>
          </w:tcPr>
          <w:p w14:paraId="787279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r>
      <w:tr w:rsidR="00983732" w:rsidRPr="00A3026E" w14:paraId="425DCD9A" w14:textId="77777777" w:rsidTr="00EA0DA7">
        <w:tc>
          <w:tcPr>
            <w:tcW w:w="3078" w:type="dxa"/>
          </w:tcPr>
          <w:p w14:paraId="14B5A6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"Б" -"-</w:t>
            </w:r>
          </w:p>
        </w:tc>
        <w:tc>
          <w:tcPr>
            <w:tcW w:w="3060" w:type="dxa"/>
          </w:tcPr>
          <w:p w14:paraId="17D1DDC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150" w:type="dxa"/>
          </w:tcPr>
          <w:p w14:paraId="693571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r>
      <w:tr w:rsidR="00983732" w:rsidRPr="00A3026E" w14:paraId="2796F966" w14:textId="77777777" w:rsidTr="00EA0DA7">
        <w:tc>
          <w:tcPr>
            <w:tcW w:w="3078" w:type="dxa"/>
            <w:tcBorders>
              <w:bottom w:val="single" w:sz="12" w:space="0" w:color="auto"/>
            </w:tcBorders>
          </w:tcPr>
          <w:p w14:paraId="23A56E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СБ РК -"-</w:t>
            </w:r>
          </w:p>
        </w:tc>
        <w:tc>
          <w:tcPr>
            <w:tcW w:w="3060" w:type="dxa"/>
            <w:tcBorders>
              <w:bottom w:val="single" w:sz="12" w:space="0" w:color="auto"/>
            </w:tcBorders>
          </w:tcPr>
          <w:p w14:paraId="1C7EB20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3150" w:type="dxa"/>
            <w:tcBorders>
              <w:bottom w:val="single" w:sz="12" w:space="0" w:color="auto"/>
            </w:tcBorders>
          </w:tcPr>
          <w:p w14:paraId="43802E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r>
    </w:tbl>
    <w:p w14:paraId="65EA89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живучести конструкции при поражениях и сроку службы, самолеты располагаются в таком порядке:</w:t>
      </w:r>
    </w:p>
    <w:p w14:paraId="71BB55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ПБ-100 - металлическое крыло кессонной многострингерной конструкции с несущей обшивкой и продольным гофром. фюзеляж монокок бесстрингерный. Баки протектированы. Высокая общая прочность.</w:t>
      </w:r>
    </w:p>
    <w:p w14:paraId="3ADBF1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 - то же, но фюзеляж монокок стрингерный и общая прочность ниже.</w:t>
      </w:r>
    </w:p>
    <w:p w14:paraId="22B9D5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СБ РК - крыло двухлонжеронное, фюзеляж монокок стрингерный.</w:t>
      </w:r>
    </w:p>
    <w:p w14:paraId="4E3DD8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ББ-22 - крыло однолонжеронное, лонжерон мощный деревянный. Фюзеляж - сварной, прочность которого зависит от целости любой из труб.</w:t>
      </w:r>
    </w:p>
    <w:p w14:paraId="35B68D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Оценка самолетов с точки зрения массового производства.</w:t>
      </w:r>
    </w:p>
    <w:p w14:paraId="3757A1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точки зрения массового производства самолеты можно расположить в следующем порядке:</w:t>
      </w:r>
    </w:p>
    <w:p w14:paraId="37CB81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ББ-22 - простота конструкции и обработки дерева</w:t>
      </w:r>
    </w:p>
    <w:p w14:paraId="1541CF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ПБ-100 - большое применение штампованных частей</w:t>
      </w:r>
    </w:p>
    <w:p w14:paraId="18D3A7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"Б"</w:t>
      </w:r>
    </w:p>
    <w:p w14:paraId="0AC2F8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СБ РК</w:t>
      </w:r>
    </w:p>
    <w:p w14:paraId="74C5C7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точки зрения быстроты внедрения в ближайшие полгода в массовое производство, самолеты располагаются так:</w:t>
      </w:r>
    </w:p>
    <w:p w14:paraId="627921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 СБ РК</w:t>
      </w:r>
    </w:p>
    <w:p w14:paraId="5C01BB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ББ-22</w:t>
      </w:r>
    </w:p>
    <w:p w14:paraId="4978CD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ПБ-100</w:t>
      </w:r>
    </w:p>
    <w:p w14:paraId="3A6EC1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w:t>
      </w:r>
    </w:p>
    <w:p w14:paraId="45F37D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Потолок и рабочая высота полета.</w:t>
      </w:r>
    </w:p>
    <w:p w14:paraId="2931F7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самолеты имеют практическую высоту боевого применения не менее 8000-8500 м.</w:t>
      </w:r>
    </w:p>
    <w:p w14:paraId="7CE69D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Взлетно-посадочные свойства.</w:t>
      </w:r>
    </w:p>
    <w:p w14:paraId="362F56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взлетно-посадочным свойствам самолеты можно расположить в таком порядке:</w:t>
      </w:r>
    </w:p>
    <w:p w14:paraId="51122C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СБ РК2. "Б"</w:t>
      </w:r>
    </w:p>
    <w:p w14:paraId="413A1D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ПБ-100</w:t>
      </w:r>
    </w:p>
    <w:p w14:paraId="6D9052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ББ-22</w:t>
      </w:r>
    </w:p>
    <w:p w14:paraId="54B719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самолетов "Б", ПБ-100 и ББ-22 для нормальной массовой эксплуатации будут требоваться аэродромы не менее 1500 метров при открытых подходах и непременно с бетонированными дорожками для зимнего и переходного времени.</w:t>
      </w:r>
    </w:p>
    <w:p w14:paraId="0F62F7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Очень важно отметить, что таких аэродромов у нас совершенно недостаточно.</w:t>
      </w:r>
    </w:p>
    <w:p w14:paraId="62C81C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Материалы.</w:t>
      </w:r>
    </w:p>
    <w:p w14:paraId="31F775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самолеты из дюралюминия, кроме ББ-22, который имеет смешанную конструкцию (дерево, сталь, полотно).</w:t>
      </w:r>
    </w:p>
    <w:p w14:paraId="7D753B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157B75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сравнительного анализа приведенных выше материалов следует, что по летно-тактическим и боевым данным лучшим самолетом из рассмотренных является самолет ПБ-100, как имеющий:</w:t>
      </w:r>
    </w:p>
    <w:p w14:paraId="3C486C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Наибольшую бомбовую нагрузку,</w:t>
      </w:r>
    </w:p>
    <w:p w14:paraId="417CB5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Наибольшую дальность,</w:t>
      </w:r>
    </w:p>
    <w:p w14:paraId="6850CA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Лучшую огневую защиту,</w:t>
      </w:r>
    </w:p>
    <w:p w14:paraId="7E73FD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Скорость, близкую к скоростям лучших самолетов из рассмотренных, с возможностью ее дальнейшего увеличения путем модификации самолета.</w:t>
      </w:r>
    </w:p>
    <w:p w14:paraId="42C033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Наивысшую прочность.</w:t>
      </w:r>
    </w:p>
    <w:p w14:paraId="628DCD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Основными недостатками этого самолета является его относительная дороговизна и применение дюралюминия, поэтому необходимо при внедрении самолета ПБ-100 в массовую серию сохранить в серии самолет ББ-22, как дешевый самолет из недефицитных материалов, годный в качестве переходного для обучения и тренировки экипажа скоростных бомбардировщиков, а также для применения на некоторых участках фронта.</w:t>
      </w:r>
    </w:p>
    <w:p w14:paraId="7508DA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касается самолета СБ РК, то по своим данным он уступает самолету ПБ-100 и не имеет в перспективе значительного улучшения летных данных.</w:t>
      </w:r>
    </w:p>
    <w:p w14:paraId="6FBA46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Свойства самолета "Б", только что вышедшего на заводские испытания в непикирующем варианте, еще совершенно не ясны, в пикирующем варианте только что предъявлен макет.</w:t>
      </w:r>
    </w:p>
    <w:p w14:paraId="583982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Этот самолет идет по сравнению с ПБ-100 с опозданием на год, а его летно-тактические данные не столь сильно отличаются от данных ПБ-100, даже уступая ему по дальности.</w:t>
      </w:r>
    </w:p>
    <w:p w14:paraId="3160A1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 по данной машине может приниматься только после проведения испытаний (2090,212).</w:t>
      </w:r>
    </w:p>
    <w:p w14:paraId="6310541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4767E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ноября 1940 комиссия в составе С.Н.Шишкина, И.Ф.Петрова и А,В,Чесалова, проведя сравнительную оценку ПБ-100, СБ-РК, Б-2, а также ББ-22 дала рекомендацию по выбору машины для серии и пришли к выводу, что по ЛТД лучшим является ПБ-100 (1759,7;2090,212).</w:t>
      </w:r>
    </w:p>
    <w:p w14:paraId="50F1EC0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BF88C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ноября 1940 г., состоялось заседание объединенной комиссии НКАП, ВВС и ЦАГИ, в ходе работы которой на основании сравнения основных характеристик бомбардировщиков ПБ-100, СБ-РК, ББ-22ПБ и Б был сделан вывод о целесообразности запуска в серийное производство в качестве основного пикирующего бомбардировщика ВВС КА самолета ПБ-100 и о сохранении в серии ББ-22 (для подстраховки "сотки", поскольку строился из недефицитных материалов). В отношении самолета Б-1 указывалось, что последний по сравнению с ПБ-100 при таких же моторах и исходном оборонительном вооружении имеет существенно лучшие взлетно-посадочные характеристики и скороподъемность. Однако никаких решений по Б-1 (о прекращении или об активизации работ по самолету) комиссия не приняла. По заключению комиссии, "...самолет Б по сравнению с ПБ-100 идет с опозданием на один год и не прошел пока испытаний". Столь осторожное поведение комиссии вполне объяснимо. С одной стороны, члены комиссии, возможно, уже понимали, что в случае войны хорошо отработанная технология бомбардировщика Б и его хорошие взлетно-посадочные и пилотажные качества будут играть едва ли не решающую роль в быстром развертывании массового производства боевых машин и подготовки летного состава военного времени, имеющего во всех отношениях слабую начальную летную подготовку. Кроме того, запуск в массовую серию довольно сложного для советского авиапрома бомбардировщика Пе-2 еще таил множество подводных камней, а ожидать хороших результатов от ББ-22ПБ 2М-105 все же не приходилось. Но, с другой стороны, как себя поведет Б-1 в дальнейшем, и особенно его мотоустановка, было еще до конца не ясно. Члены комиссии мудро решили не рисковать - "Лучше синица в руке, чем журавль в небе". Решение по Б-1 отложили "на потом", а Архангельскому оставили шанс довести свой бомбардировщик до летно-боевого состояния. Воспользовавшись аварией, КБ Архангельского решило одновременно с ремонтом шасси внести в конструкцию самолета ряд изменений по результатам первых испытательных полетов (9660).</w:t>
      </w:r>
    </w:p>
    <w:p w14:paraId="3938C0C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14871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ноября 1940 вышел приказ НКАП N 641сс в исполнение постановления Правительства от 11 ноября 1940 "О программе завода 22 на 1941" (1318,237):</w:t>
      </w:r>
    </w:p>
    <w:p w14:paraId="63381C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Нач. ПГУ и директору завода 22 обеспечить выпуск в 1941 следующего количества самолетов:</w:t>
      </w:r>
    </w:p>
    <w:p w14:paraId="7AB255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СБ-РК с 2хМ-105 1000 - с 300 в 1 кв. до 150 в 4 кв.</w:t>
      </w:r>
    </w:p>
    <w:p w14:paraId="268E76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ПБ-100 с 2хМ-105 1000 - с 50 в 1 кв. до 400 в 4 кв.</w:t>
      </w:r>
    </w:p>
    <w:p w14:paraId="4272D7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целях обеспечения постройки самолетов эталонов для программы 1941:</w:t>
      </w:r>
    </w:p>
    <w:p w14:paraId="4AAFD9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директору 22 завода В.А.Окулову и ГК А.А.А. к 15 декабря 1940 закончить постройку эталона СБ-РК</w:t>
      </w:r>
    </w:p>
    <w:p w14:paraId="574142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директору 22 завода В.А.Окулову закончить постройку эталона ПБ-100 к 1 января 1940 по чертежам, отработку которых ОТБ НКВД обязательно закончит к 20 ноября 1940 (1318,237).</w:t>
      </w:r>
    </w:p>
    <w:p w14:paraId="7DA82CA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7C617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18 ноября по 27 декабря 1940 в НИИ ВВС испытывался первый экз. И-21 М.М.Пашинина, но не выдержал из-за неустойчивости и сложности в пилотировании. Поэтому ходатайствовали перед НКАП о снятии задания (822).</w:t>
      </w:r>
    </w:p>
    <w:p w14:paraId="4576D39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A9FD31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18 ноября по 15 декабря 1940 года 2 экз. самолета И-21 Пашинина проходил испытания вооружения на полигоне НИПАВ (4048, 4).</w:t>
      </w:r>
    </w:p>
    <w:p w14:paraId="607222F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5B5846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18 ноября по 27 декабря 1940 проходили повторные гос. испытания доработанного И-21-1 Пашинина (8280,26).</w:t>
      </w:r>
    </w:p>
    <w:p w14:paraId="6FA52F3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F1256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ноября 1940 вышел приказ НКАП N 642, согласно которому для проведения заводских испытаний И-301 2ТК-2 конструкции В.П.Горбунова, С.А.Л. и М.И.Гудкова приказано:</w:t>
      </w:r>
    </w:p>
    <w:p w14:paraId="6D9A06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Ли по заводским испытаниям назначить А.И.Никашина;</w:t>
      </w:r>
    </w:p>
    <w:p w14:paraId="48ED47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Заводские испытания провести в срок два с половиной месяца со дня первого полета;</w:t>
      </w:r>
    </w:p>
    <w:p w14:paraId="51E9F7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Установить дополнительную зарплату в сумме 50000 руб." (871,1).</w:t>
      </w:r>
    </w:p>
    <w:p w14:paraId="17CD538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B0AF1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ноября 1940 был подготовлен Перечень N 2929 опытных самолетов по типам, проходивших испытания в 1940 (2090,232а):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42"/>
        <w:gridCol w:w="1642"/>
        <w:gridCol w:w="1642"/>
        <w:gridCol w:w="1642"/>
        <w:gridCol w:w="1642"/>
        <w:gridCol w:w="1642"/>
      </w:tblGrid>
      <w:tr w:rsidR="00983732" w:rsidRPr="00A3026E" w14:paraId="7C0D4015" w14:textId="77777777" w:rsidTr="00EA0DA7">
        <w:tc>
          <w:tcPr>
            <w:tcW w:w="1642" w:type="dxa"/>
            <w:tcBorders>
              <w:top w:val="single" w:sz="12" w:space="0" w:color="auto"/>
            </w:tcBorders>
          </w:tcPr>
          <w:p w14:paraId="2DF124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N п/п Наименование</w:t>
            </w:r>
          </w:p>
        </w:tc>
        <w:tc>
          <w:tcPr>
            <w:tcW w:w="1642" w:type="dxa"/>
            <w:tcBorders>
              <w:top w:val="single" w:sz="12" w:space="0" w:color="auto"/>
            </w:tcBorders>
          </w:tcPr>
          <w:p w14:paraId="17128D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Заводские</w:t>
            </w:r>
          </w:p>
        </w:tc>
        <w:tc>
          <w:tcPr>
            <w:tcW w:w="1642" w:type="dxa"/>
            <w:tcBorders>
              <w:top w:val="single" w:sz="12" w:space="0" w:color="auto"/>
            </w:tcBorders>
          </w:tcPr>
          <w:p w14:paraId="3DD043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Государственные</w:t>
            </w:r>
          </w:p>
        </w:tc>
        <w:tc>
          <w:tcPr>
            <w:tcW w:w="1642" w:type="dxa"/>
            <w:tcBorders>
              <w:top w:val="single" w:sz="12" w:space="0" w:color="auto"/>
            </w:tcBorders>
          </w:tcPr>
          <w:p w14:paraId="79C372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Совместные</w:t>
            </w:r>
          </w:p>
        </w:tc>
        <w:tc>
          <w:tcPr>
            <w:tcW w:w="1642" w:type="dxa"/>
            <w:tcBorders>
              <w:top w:val="single" w:sz="12" w:space="0" w:color="auto"/>
            </w:tcBorders>
          </w:tcPr>
          <w:p w14:paraId="5A1A73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Передача</w:t>
            </w:r>
          </w:p>
        </w:tc>
        <w:tc>
          <w:tcPr>
            <w:tcW w:w="1642" w:type="dxa"/>
            <w:tcBorders>
              <w:top w:val="single" w:sz="12" w:space="0" w:color="auto"/>
            </w:tcBorders>
          </w:tcPr>
          <w:p w14:paraId="43DC78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w:t>
            </w:r>
          </w:p>
        </w:tc>
      </w:tr>
      <w:tr w:rsidR="00983732" w:rsidRPr="00A3026E" w14:paraId="43ADB50D" w14:textId="77777777" w:rsidTr="00EA0DA7">
        <w:tc>
          <w:tcPr>
            <w:tcW w:w="1642" w:type="dxa"/>
            <w:tcBorders>
              <w:bottom w:val="single" w:sz="12" w:space="0" w:color="auto"/>
            </w:tcBorders>
          </w:tcPr>
          <w:p w14:paraId="2360664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2" w:type="dxa"/>
            <w:tcBorders>
              <w:bottom w:val="single" w:sz="12" w:space="0" w:color="auto"/>
            </w:tcBorders>
          </w:tcPr>
          <w:p w14:paraId="4440AD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w:t>
            </w:r>
          </w:p>
        </w:tc>
        <w:tc>
          <w:tcPr>
            <w:tcW w:w="1642" w:type="dxa"/>
            <w:tcBorders>
              <w:bottom w:val="single" w:sz="12" w:space="0" w:color="auto"/>
            </w:tcBorders>
          </w:tcPr>
          <w:p w14:paraId="00471D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w:t>
            </w:r>
          </w:p>
        </w:tc>
        <w:tc>
          <w:tcPr>
            <w:tcW w:w="1642" w:type="dxa"/>
            <w:tcBorders>
              <w:bottom w:val="single" w:sz="12" w:space="0" w:color="auto"/>
            </w:tcBorders>
          </w:tcPr>
          <w:p w14:paraId="433CEB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w:t>
            </w:r>
          </w:p>
        </w:tc>
        <w:tc>
          <w:tcPr>
            <w:tcW w:w="1642" w:type="dxa"/>
            <w:tcBorders>
              <w:bottom w:val="single" w:sz="12" w:space="0" w:color="auto"/>
            </w:tcBorders>
          </w:tcPr>
          <w:p w14:paraId="133181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серию</w:t>
            </w:r>
          </w:p>
        </w:tc>
        <w:tc>
          <w:tcPr>
            <w:tcW w:w="1642" w:type="dxa"/>
            <w:tcBorders>
              <w:bottom w:val="single" w:sz="12" w:space="0" w:color="auto"/>
            </w:tcBorders>
          </w:tcPr>
          <w:p w14:paraId="6D2F1E6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7A077B9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C1CBE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ноября 1940 был подготовлен Перечень N 2830 опытных самолетов и модификаций, проходивших испытания в 1940 (2090,234):</w:t>
      </w:r>
    </w:p>
    <w:p w14:paraId="45B2BD5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5160E7D"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18 ноября 1940 г. ведущим инженером В.В.Волковичем был составлен отчет по испытаниям PZL-Лось.</w:t>
      </w:r>
    </w:p>
    <w:p w14:paraId="6A36BC7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С 27 июня по 20 октября 1940 г. в лаборатории №3 ЦАГИ на предмет исследования внешних нагрузок на хвостовом оперении испытывался "польский самолет PZL-Лось, двухмоторный бомбардировщик-моноплан со средним расположением крыла, с двойным вертикальным оперением", причем указывалось, что "самолет </w:t>
      </w:r>
      <w:r w:rsidRPr="00A3026E">
        <w:rPr>
          <w:i w:val="0"/>
          <w:iCs w:val="0"/>
          <w:color w:val="000000" w:themeColor="text1"/>
          <w:spacing w:val="0"/>
          <w:kern w:val="0"/>
          <w:position w:val="0"/>
          <w:sz w:val="16"/>
          <w:szCs w:val="16"/>
          <w:lang w:val="ru-RU"/>
        </w:rPr>
        <w:lastRenderedPageBreak/>
        <w:t>достаточно изношен". Судя по этим признакам, а также по двигателям "Бристоль Пегас" ХII, этот самолет относился к модификации PZL P37A bis, которая к началу войны использовалась в Польше, в основном, для учебных целей. На нем летал летчик В.И.Терехин.</w:t>
      </w:r>
    </w:p>
    <w:p w14:paraId="50E9AA40"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 работе указаны результаты летных испытаний на распределение давления по поверхности горизонтального и вертикального оперения самолета на различных режимах полета. </w:t>
      </w:r>
    </w:p>
    <w:p w14:paraId="2F3544D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Вышеприведенные данные о самолете "Лось" отличаются от информации, приводимой В.Р.Котельниковым в статье ""Лось" в небе". Он сообщал, что ни один из двух попавших в СССР экземпляров после весны 1940 г. не восстанавливался и не эксплуатировался. Но это было не так. Как явствует из документов, на 8 октября 1940 г. в составе самолетного парка 8-й лаборатории ЦАГИ значилось два типа польских машин. Одной из них был ПЗЛ "Лось", выпущенный в 1938 г, который находился в лаборатории с апреля 1940 г. К этому времени он налетал 127 часов и один раз побывал в ремонте. Эти данные практически полностью совпадают с описывавшимся В.Р.Котельниковым PZL P.37A bis из НИИ ВВС: во-первых, он был также выпущен в первой половине 1938 г., во-вторых также имел налет более 100 часов, а в третьих работы по его обследованию в НИИ ВВС завершились именно в конце весны 1940 г Так как других самолетов типа "Лось" в авиапарке ЦАГИ не было, с уверенностью можно сказать, что он был передан туда из НИИ ВВС и, в отличии от версии В.Р.Котельникова, его изучение, включая летные испытания, все-таки было продолжено. </w:t>
      </w:r>
    </w:p>
    <w:p w14:paraId="299F0C6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своих воспоминаниях известный советский летчик-испытатель П.М.Стефановский характеризовал "Лось" как "вполне современный бомбардировщик". Он указывал, что перед тем как передать польские машины в НИИ ВВС, ""Лосей" продемонстрировали нашему правительству на земле и в воздухе" (11465).</w:t>
      </w:r>
    </w:p>
    <w:p w14:paraId="55AAAD05"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0FBC73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18 ноября 1940 года ведущим инженером В.В. Волковичем был составлен отчет об испытаниях PZL-Лось (Там же. Л.2). </w:t>
      </w:r>
    </w:p>
    <w:p w14:paraId="4B98A7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работе указаны результаты летных испытаний на распределение давления по поверхности горизонтального и вертикального оперения самолета на различных режимах полета (Там же. Л.3).</w:t>
      </w:r>
    </w:p>
    <w:p w14:paraId="3A6F16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период с 27 июня по 20 октября 1940 года в лаборатории № 3 ЦАГИ на предмет исследования внешних нагрузок на хвостовом оперении испытывался «польский самолет PZL-Лось, двухмоторный бомбардировщикмоноплан со средним расположением крыла, с двойным вертикальным оперением», причем указывалось, что «самолет достаточно изношен» (Самарский филиал РГАНТД. Ф. Р-217. Оп. 3-1. Д. 90. Л. 6, 16.).</w:t>
      </w:r>
    </w:p>
    <w:p w14:paraId="52B09A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Судя по этим признакам, а также по двигателям Бристоль Пегас XII, этот самолет относился к модификации PZL P.37A bis, которая к началу войны использовалась в Польше в основном для учебных целей. На нем летал летчик В.И. Терехин.</w:t>
      </w:r>
    </w:p>
    <w:p w14:paraId="5C148E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Вышеприведенные данные о самолете «Лось» отличаются от информации, приводимой В.Р. Котельниковым. Он сообщал, что ни один из двух попавших в НИИ ВВС экземпляров после весны 1940 года не восстанавливался и не эксплуатировался (Котельников В.Р. «Лось» в небе. Польский бомбардировщик PZL-37. С. 26.). Но это было не так. Как явствует из архивных документов, на 8 октября 1940 года в составе самолетного парка 8-ой лаборатории ЦАГИ значился ПЗЛ «Лось», выпущенный в 1938 году, который находился в лаборатории с апреля 1940 года. К этому времени он налетал 127 часов и один раз побывал в ремонте (Самарский филиал РГАНТД. Ф. Р-220. Оп. 2-6. Д. 3. Л. 4 323 Там же.). Эти данные практически полностью совпадают с описывавшимся В.Р. Котельниковым PZL P.37A bis из НИИ ВВС: во-первых, он был также выпущен в первой половине 1938 года, во-вторых, также имел налет более 100 часов, а в-третьих, работы по его обследованию в НИИ ВВС завершились именно в конце весны 1940 года. Так как других самолетов типа «Лось» в авиапарке ЦАГИ не было, с уверенностью можно сказать, что он был передан туда из НИИ ВВС и его изучение, включая летные испытания, всетаки было продолжено.</w:t>
      </w:r>
    </w:p>
    <w:p w14:paraId="1B9B0B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Польская авиатехника из состава самолетного парка 8-й лаборатории ЦАГИ на 8 октября 1940 года была также представлена еще одним типом.</w:t>
      </w:r>
    </w:p>
    <w:p w14:paraId="26273B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был учебный самолет RWD-8 (РВД-8), попавший в лабораторию в июне 1940 года в двух экземплярах. В документе указано, что они налетали по 34 часа каждый, хотя, вероятно, в данном случае его составители ошиблись – такой одинаковый синхронный налет маловероятен, и, по всей видимости, эта цифра относилась только к одной из двух машин.</w:t>
      </w:r>
    </w:p>
    <w:p w14:paraId="4A257A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1939 года был захвачен принадлежавший Польше американский пассажирский самолет Локхид Электра (Lockheed L-10A «Electra»). Согласно отчету об испытаниях Локхид Электра, проводившихся с 31 марта по 12 апреля 1941 года, начальником НИИ ГВФ Авербахом и начальником летного отдела института Табаровским констатировалась «полная возможность эксплуатации самолета без ограничений» и было решено эту машину «отнести ко второму классу самолетного парка ГВФ» (Там же. Ф. Р-4. Оп. 2-1. Д. 290. Л. 1, 1а.).</w:t>
      </w:r>
    </w:p>
    <w:p w14:paraId="1AE202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Секретный отдел Научно-исследовательского Химического института (НИХИ) РККА направил письмо 15 мая 1940 года на имя директора Всесоюзного института авиационных материалов (ВИАМ) за подписями замначальника НИХИ и начальника секретного отдела института военинженера 3-го ранга Кондратьева. В нем сообщалось: «Направляю вам образец польского авиационного клея и его анализ для изучения и возможного использования в Вашей работе». К письму прилагалась банка с клеем и анализ №8 на одном листе «Испытание польского авиационного клея», который был подписан начальником 1-го отдела НИХИ РККА военинженером 2-го ранга Рулиным и научным сотрудником Ю.Н. Дагаевой. Последняя вместе с лаборантом Кузьминовой произвела анализ клея в марте 1940 года. Эти материалы 25 мая 1940 года передавались замначальника 9-й лаборатории ВИАМ Чеботаревскому (Там же. Ф. Р-124. Д. 86. Л. 54.) (11672).</w:t>
      </w:r>
    </w:p>
    <w:p w14:paraId="6B94DB8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8B7DF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18 по 27 ноября 1940 года на НИП АВ ВВС проходили полигонные испытания модернизированного прибора ВАП-6 м конструкции завода "Вулкан" на самолете И-15 бис</w:t>
      </w:r>
    </w:p>
    <w:p w14:paraId="5110C5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0B79D6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Лукашев</w:t>
      </w:r>
    </w:p>
    <w:p w14:paraId="5C1C3F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42C734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процессе полигонных испытаний необходимо было проверить следующие конструктивно-эксплуатационные элементы:</w:t>
      </w:r>
    </w:p>
    <w:p w14:paraId="6F265A2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и надежность конструкции.</w:t>
      </w:r>
    </w:p>
    <w:p w14:paraId="2D5D776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Безотказность работы механизмов прибора.</w:t>
      </w:r>
    </w:p>
    <w:p w14:paraId="75BAF10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Возможность забрызгивания самолета.</w:t>
      </w:r>
    </w:p>
    <w:p w14:paraId="1FBE6DD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дробления жидкости на площади при выливании.</w:t>
      </w:r>
    </w:p>
    <w:p w14:paraId="6789B8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968070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на полигонные испытания заводом "ВУЛКАН" модернизированный ВАП-6 м полигонные испытания выдержал (7602).</w:t>
      </w:r>
    </w:p>
    <w:p w14:paraId="16E3362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25A0FA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ноября 1940 г. А.Г.Костиков утвердил программу воздушных и наземных испытаний крыльев самолетов И-153 и И-16 с установленными на них РО-132. Целью их было сначала установить, возможна ли стрельба короткими РОС-132 с истребителей И-153 и И-16. Кроме того, требовалось уточнить, насколько влияет газовая струя на обшивку крыльев и узлы крепления РО. Затем, после получения положительных результа</w:t>
      </w:r>
      <w:r w:rsidRPr="00A3026E">
        <w:rPr>
          <w:rFonts w:ascii="Times New Roman" w:hAnsi="Times New Roman"/>
          <w:color w:val="000000" w:themeColor="text1"/>
          <w:sz w:val="16"/>
          <w:szCs w:val="16"/>
        </w:rPr>
        <w:softHyphen/>
        <w:t>тов, требовалось перейти к стрельбе уже РОФС-132. В ходе ее определить действие газовой струи на стабилизатор соседнего РС и крыльчатку его дистанционного взрывателя АГДТ.</w:t>
      </w:r>
    </w:p>
    <w:p w14:paraId="2BBD21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каждой из установленных на самолетах И-153 и И-16 доработанной консоли крыла необходимо было отстрелять по 20 шт. РОФС-132 или РБС-132. а затем с этих же машин в полете по 30 шт. РС на каждый само</w:t>
      </w:r>
      <w:r w:rsidRPr="00A3026E">
        <w:rPr>
          <w:rFonts w:ascii="Times New Roman" w:hAnsi="Times New Roman"/>
          <w:color w:val="000000" w:themeColor="text1"/>
          <w:sz w:val="16"/>
          <w:szCs w:val="16"/>
        </w:rPr>
        <w:softHyphen/>
        <w:t>лет. Места падения снарядов замерять не требовалось. В итоге при полу</w:t>
      </w:r>
      <w:r w:rsidRPr="00A3026E">
        <w:rPr>
          <w:rFonts w:ascii="Times New Roman" w:hAnsi="Times New Roman"/>
          <w:color w:val="000000" w:themeColor="text1"/>
          <w:sz w:val="16"/>
          <w:szCs w:val="16"/>
        </w:rPr>
        <w:softHyphen/>
        <w:t>чении положительных результатов стрельбы, разрешалось произвести пуск залпом. Состоялись ли испытания, и каковы были их результаты - неизвестно, но поиск документов продолжается.</w:t>
      </w:r>
    </w:p>
    <w:p w14:paraId="11C2B6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Универсальными ракетными орудиями в НИИ-3 НКБ занялись еще в 1939 г. — сказывалась необходимость срочного испытания РБС-132 и РОФС-132. Кто стал автором облегченного образна УРО-132 с новым пиропистолетом. К сожалению, не известно (11402).</w:t>
      </w:r>
    </w:p>
    <w:p w14:paraId="75F284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3D9350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ED4D06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54C8896"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На 18 ноября 1940 г. была подготовлена справка:</w:t>
      </w:r>
    </w:p>
    <w:p w14:paraId="1420DC1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Из оперативной сводки по заводу № 183. </w:t>
      </w:r>
    </w:p>
    <w:p w14:paraId="4BA8A3C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Выполнено на 18.11.1940 г.: Обеспечена герметичность люка механика-водителя с 01.09.1940 г.; </w:t>
      </w:r>
    </w:p>
    <w:p w14:paraId="1FA06E20"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Установлены 4 топливных бака емкостью по 30-50 л. 01.11.1940 г.; </w:t>
      </w:r>
    </w:p>
    <w:p w14:paraId="68AD911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Сделаны вырезы в фальшбортах для вынимания пальцев траверс со 101 машины; </w:t>
      </w:r>
    </w:p>
    <w:p w14:paraId="65A547B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Выгнут рычаг КПП с 61 машины; </w:t>
      </w:r>
    </w:p>
    <w:p w14:paraId="10BE6366"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Защита проводов к фарам с 38 машины (11450).</w:t>
      </w:r>
    </w:p>
    <w:p w14:paraId="72F800F1"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2F4902E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Ноября 1940 г.</w:t>
      </w:r>
    </w:p>
    <w:p w14:paraId="1F02352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1182 листы 54 </w:t>
      </w:r>
    </w:p>
    <w:p w14:paraId="32BE316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457AD9A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18 Ноября 1940 г. </w:t>
      </w:r>
    </w:p>
    <w:p w14:paraId="14FD625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СО6228 </w:t>
      </w:r>
    </w:p>
    <w:p w14:paraId="57B3838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Главное Авто-бронетанковое управление Кр. Ар.</w:t>
      </w:r>
    </w:p>
    <w:p w14:paraId="1CCA4BB5"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г. Москва, Красная площадь 2-й дом НКО</w:t>
      </w:r>
    </w:p>
    <w:p w14:paraId="17C71AE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военному представителю на з-де № 183</w:t>
      </w:r>
    </w:p>
    <w:p w14:paraId="4C60A41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"520" и 71СО</w:t>
      </w:r>
    </w:p>
    <w:p w14:paraId="32846784"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вопросу: испытания люков маш. А-34. </w:t>
      </w:r>
    </w:p>
    <w:p w14:paraId="1C84064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сем препровождаем заключение № 035 от 31.Х.40 г. по испытанию, на проникновение свинцовых брызг, уплотнений люков танка А-34. </w:t>
      </w:r>
    </w:p>
    <w:p w14:paraId="0FF184A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ПРИЛОЖЕНИЕ: На 4 листах. </w:t>
      </w:r>
    </w:p>
    <w:p w14:paraId="3F7B7AC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/Главный инженер завода № 183 подпись Р.Г. Ривкина (МАХОНИН)</w:t>
      </w:r>
    </w:p>
    <w:p w14:paraId="7F21D1E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И.О. Главного конструктора подпись 13.XI.40 (МОРОЗОВ)</w:t>
      </w:r>
    </w:p>
    <w:p w14:paraId="4F7F3C53"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6 экз. </w:t>
      </w:r>
    </w:p>
    <w:p w14:paraId="5F3A2414"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Сумченко </w:t>
      </w:r>
    </w:p>
    <w:p w14:paraId="5486EAA2"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5400 </w:t>
      </w:r>
    </w:p>
    <w:p w14:paraId="56E41AB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3.XI.40 г. </w:t>
      </w:r>
    </w:p>
    <w:p w14:paraId="07E2FFA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1182 листы 54а – 58 </w:t>
      </w:r>
    </w:p>
    <w:p w14:paraId="2A779E7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4A05FB9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Завод им. КОМИНТЕРНА </w:t>
      </w:r>
    </w:p>
    <w:p w14:paraId="6290AB1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Цех 540 </w:t>
      </w:r>
    </w:p>
    <w:p w14:paraId="63005AC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 035</w:t>
      </w:r>
    </w:p>
    <w:p w14:paraId="1FA7AB2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31.10.40 г.</w:t>
      </w:r>
    </w:p>
    <w:p w14:paraId="7E5E0B13"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испытания на проникновение свинцовых брызг через щели люков танка А-34.</w:t>
      </w:r>
    </w:p>
    <w:p w14:paraId="78DBC72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СО6228</w:t>
      </w:r>
    </w:p>
    <w:p w14:paraId="2274B2C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СЕКРЕТНО.</w:t>
      </w:r>
    </w:p>
    <w:p w14:paraId="71FB8DB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"УТВЕРЖДАЮ" </w:t>
      </w:r>
    </w:p>
    <w:p w14:paraId="5A79081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И.О. Гл. Конструктор (МОРОЗОВ) </w:t>
      </w:r>
    </w:p>
    <w:p w14:paraId="7037327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подпись А.А. Морозова 13/XI 40 г. </w:t>
      </w:r>
    </w:p>
    <w:p w14:paraId="1096F0B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Дописано от руки: </w:t>
      </w:r>
    </w:p>
    <w:p w14:paraId="099D8A6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заключением "540" и добавлением пом. военпреда тов. Алексеева согласен, за исключением пункта 1, добавленного т. Алексеевым.</w:t>
      </w:r>
    </w:p>
    <w:p w14:paraId="7BD356C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15/XI подпись Д.М. Козырева» </w:t>
      </w:r>
    </w:p>
    <w:p w14:paraId="75B5D7F4"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 035 ОТ 31.Х.40</w:t>
      </w:r>
    </w:p>
    <w:p w14:paraId="5C2A919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вопросу: Испытания на проникновение свинцовых брызг через щели люков танка А-34. </w:t>
      </w:r>
    </w:p>
    <w:p w14:paraId="68213C7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Основание: Распоряжение И.О. Главного конструктора, заказ 049115. </w:t>
      </w:r>
    </w:p>
    <w:p w14:paraId="5E1A0B9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Характеристика.</w:t>
      </w:r>
    </w:p>
    <w:p w14:paraId="283C19B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Испытанию подвергаются: </w:t>
      </w:r>
    </w:p>
    <w:p w14:paraId="24B45F1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Серийный люк водителя с лабиринтовым уплотнением. </w:t>
      </w:r>
    </w:p>
    <w:p w14:paraId="36B10A1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Серийный люк в нише башни. </w:t>
      </w:r>
    </w:p>
    <w:p w14:paraId="40DCDD3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Серийный люк в корме машины. </w:t>
      </w:r>
    </w:p>
    <w:p w14:paraId="741E433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Цель.</w:t>
      </w:r>
    </w:p>
    <w:p w14:paraId="480496F3"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Испытания производятся с целью выявления: </w:t>
      </w:r>
    </w:p>
    <w:p w14:paraId="731FD4B2"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Надежности лабиринтового уплотнения люка водителя от проникновения свинцовых брызг во внутрь танка. </w:t>
      </w:r>
    </w:p>
    <w:p w14:paraId="272FAA8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Степени проникновения свинцовых брызг через щели люка в нише башни. </w:t>
      </w:r>
    </w:p>
    <w:p w14:paraId="6AACB17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Степени проникновения и повреждения свинцовыми брызгами деталей и механизмов трансмиссионного отделения танка. </w:t>
      </w:r>
    </w:p>
    <w:p w14:paraId="7E20E83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Программа испытаний.</w:t>
      </w:r>
    </w:p>
    <w:p w14:paraId="4F79527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Люки танка А-34 обстрелять пулеметом "ДТ" с дистанции 50 мт., простыми пулями. </w:t>
      </w:r>
    </w:p>
    <w:p w14:paraId="7C5E240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Ориентировочное количество попаданий 15 – 20 для каждого люка. </w:t>
      </w:r>
    </w:p>
    <w:p w14:paraId="429A121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Для выявления степени проникновения свинцовых брызг, вовнутрь машины установить картонные экраны. </w:t>
      </w:r>
    </w:p>
    <w:p w14:paraId="2BB4D08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ПРИМЕЧАНИЕ: В нише башни должна быть установлена укладка дисков "ДТ". </w:t>
      </w:r>
    </w:p>
    <w:p w14:paraId="52AF97A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Результаты испытаний люка водителя.</w:t>
      </w:r>
    </w:p>
    <w:p w14:paraId="355A347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Люк водителя с лабиринтовым уплотнением был обстрелян винтовочным и пулеметным огнем с дистанции 30 мт. простыми пулями. </w:t>
      </w:r>
    </w:p>
    <w:p w14:paraId="609AAB2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При осмотре внутреннего картонного листа, после 7-ми попаданий в щели люка простыми пулями, обнаружено 3 пятна свинцовой пыли и одно пробивание свинцом картона в нижней части. </w:t>
      </w:r>
    </w:p>
    <w:p w14:paraId="28A55B7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При осмотре после 12 – 15 попаданий в щель обнаружено: </w:t>
      </w:r>
    </w:p>
    <w:p w14:paraId="6AB31C6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Пробоины уплотнительного железного желобка в количестве 5 пробоин. </w:t>
      </w:r>
    </w:p>
    <w:p w14:paraId="74558763"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Против пробоин в желобках обнаружены сквозные пробоины картонного листа. </w:t>
      </w:r>
    </w:p>
    <w:p w14:paraId="1037D75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Разрушение свинцовыми брызгами уплотнительной резины в верхней части люка. </w:t>
      </w:r>
    </w:p>
    <w:p w14:paraId="494D713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Пробоина 40×70 мм в картонном листе против разрушения уплотнительной резины. </w:t>
      </w:r>
    </w:p>
    <w:p w14:paraId="3AFDE6F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Ввиду того, что уплотнение люка водителя с помощью железного желобка не предохраняет от проникновения свинцовых брызг, вокруг люка были приварены перекрывающие планки. Планки приварены на дверках люка и носовом листе. Перед испытанием пробоины в желобке были заварены, а уплотнительная резина была заменена новой. </w:t>
      </w:r>
    </w:p>
    <w:p w14:paraId="39922EE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Люк водителя с уплотнительным желобком и перекрывающими планками был обстрелян пулеметным огнем (100 – 150 попаданий в стык планок) простыми пулями с дистанции 12 – 15 мт. При осмотре, после обстрела, пробоин в картоне и следов проникновения свинцовых брызг вовнутрь машины не обнаружено. Вся поверхность картонного листа была покрыта обыкновенной пылью. </w:t>
      </w:r>
    </w:p>
    <w:p w14:paraId="381D3A7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Нижняя планка, приваренная к носовому листу корпуса, была отбита пулями по сварке (длиной L=200 мм) от корпуса. Дверку люка открыть было трудно, вследствие наплыва свинцовых брызг на запорах замка. </w:t>
      </w:r>
    </w:p>
    <w:p w14:paraId="5458C112"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Люк ниши башни.</w:t>
      </w:r>
    </w:p>
    <w:p w14:paraId="6BF3A135"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Люк ниши башни обстрелян из винтовки простыми пулями с дистанции 30 мт. При осмотре картонного листа (установленного перед укладкой), после 4-х попаданий в щель люка, обнаружено 9-ть пробоин картона, а также следы свинцовых брызг. </w:t>
      </w:r>
    </w:p>
    <w:p w14:paraId="7C7C6E0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Люк в корме.</w:t>
      </w:r>
    </w:p>
    <w:p w14:paraId="4C95110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Люк в корме был обстрелян пулеметным огнем простыми пулями с дистанции 20 мт. Количество попаданий в щель 12 – 15 пуль. При осмотре деталей и механизмов трансмиссионного отделения, после обстрела, обнаружено повреждения свинцовыми брызгами проводов заднего фонаря. </w:t>
      </w:r>
    </w:p>
    <w:p w14:paraId="0DBB0C5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 Выводы.</w:t>
      </w:r>
    </w:p>
    <w:p w14:paraId="5BD5346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основании произведенных испытаний необходимо констатировать: </w:t>
      </w:r>
    </w:p>
    <w:p w14:paraId="1D493D1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Уплотнение люка водителя с помощью желобка не предохраняет полностью от проникновения свинцовых брызг вовнутрь машины. </w:t>
      </w:r>
    </w:p>
    <w:p w14:paraId="1DB9B975"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Желобок сделан из тонкого материала, вследствие чего пробивается свинцовыми брызгами. </w:t>
      </w:r>
    </w:p>
    <w:p w14:paraId="790C7B04"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Уплотнение люка с помощью резины (в верхней части люка) не предохраняет от проникновения свинцовых брызг. </w:t>
      </w:r>
    </w:p>
    <w:p w14:paraId="6ED84D8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Уплотнение люка водителя с помощью желобка и перекрывающих планок полностью предохраняет от проникновения свинцовых брызг вовнутрь машины. </w:t>
      </w:r>
    </w:p>
    <w:p w14:paraId="7B22FE4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Крепление перекрывающих планок к корпусу с помощью сварки ненадежно. </w:t>
      </w:r>
    </w:p>
    <w:p w14:paraId="088283C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Запоры люка водителя заклиниваются от попадания свинцовых брызг. </w:t>
      </w:r>
    </w:p>
    <w:p w14:paraId="12052403"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Свинцовые брызги проникают вовнутрь башни (укладкой ниши башни полностью не задерживаются) через щели люка ниши. </w:t>
      </w:r>
    </w:p>
    <w:p w14:paraId="6A43309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Свинцовые брызги проникают в трансмиссионное отделение через щели люка и повреждают электропроводы. </w:t>
      </w:r>
    </w:p>
    <w:p w14:paraId="2EAC4F8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3749244"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основании вышеизложенного считать: </w:t>
      </w:r>
    </w:p>
    <w:p w14:paraId="4A1BFD7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Уплотнение люка водителя производить с помощью желобка и перекрывающих планок, усилив крепление последних к корпусу. На дальнейшее воизбежание повреждения и замятия уплотняющего желобка, последний необходимо утолстить до 4-х – 5 мм. </w:t>
      </w:r>
    </w:p>
    <w:p w14:paraId="2ED7920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Люки в нише башни и корме уплотнить с помощью желобка (по типу существующего уплотнения люка водителя). </w:t>
      </w:r>
    </w:p>
    <w:p w14:paraId="1F08E6B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Запор люка водителя изменить с расчетом устранения заклинки. </w:t>
      </w:r>
    </w:p>
    <w:p w14:paraId="3386BBD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П. Нач. "500" (ГУТНИК)</w:t>
      </w:r>
    </w:p>
    <w:p w14:paraId="52E1E38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п/п Нач. "540" (ГОРЮН)</w:t>
      </w:r>
    </w:p>
    <w:p w14:paraId="3EE28E8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подпись (СУМЧЕНКО)</w:t>
      </w:r>
    </w:p>
    <w:p w14:paraId="1481CA4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6 экз. </w:t>
      </w:r>
    </w:p>
    <w:p w14:paraId="5238B57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Сумченко </w:t>
      </w:r>
    </w:p>
    <w:p w14:paraId="64977E1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пз. пор. № 5400 </w:t>
      </w:r>
    </w:p>
    <w:p w14:paraId="22CDE21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3.XI-40 г.</w:t>
      </w:r>
    </w:p>
    <w:p w14:paraId="4F6892F5"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С п.1 заключения в части приварки перекрывающих планок не согласен, т.к. приваркой этих планок ослабляется бронь корпуса и крышки люка. </w:t>
      </w:r>
    </w:p>
    <w:p w14:paraId="79DA96B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Для выяснения полной картины о стойкости всего корпуса, и в частности носовой его части, в зоне люка водителя, смотровых приборов водителя и в зоне установки пулемета, считаю необходимым провести обстрел полностью собранной машины из всех видов противотанкового оружия, начиная от простой пули и кончая 76 мм снарядом. После чего решить вопрос о необходимости люка водителя и установки пулемета в носу машины. </w:t>
      </w:r>
    </w:p>
    <w:p w14:paraId="51D5094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В остальном согласен для переделки на существующем парке машин. </w:t>
      </w:r>
    </w:p>
    <w:p w14:paraId="74D0D88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Один экземпляр заключения направить в ГАБТУ. </w:t>
      </w:r>
    </w:p>
    <w:p w14:paraId="0B10A68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Военпред ГАБТУ военинженер 3 ранга (Алексеев)</w:t>
      </w:r>
    </w:p>
    <w:p w14:paraId="18D1C5C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6 экз. </w:t>
      </w:r>
    </w:p>
    <w:p w14:paraId="429D9F1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Сумченко </w:t>
      </w:r>
    </w:p>
    <w:p w14:paraId="33EC09F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пз. пор. № 5400 </w:t>
      </w:r>
    </w:p>
    <w:p w14:paraId="014845A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3.XI-40 г. </w:t>
      </w:r>
    </w:p>
    <w:p w14:paraId="4CA5764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оригинала верно: подпись (18214).</w:t>
      </w:r>
    </w:p>
    <w:p w14:paraId="02B774BD" w14:textId="77777777" w:rsidR="00C64F82" w:rsidRPr="00A3026E" w:rsidRDefault="00C64F82" w:rsidP="00A3026E">
      <w:pPr>
        <w:spacing w:after="0" w:line="240" w:lineRule="auto"/>
        <w:jc w:val="both"/>
        <w:rPr>
          <w:rFonts w:ascii="Times New Roman" w:hAnsi="Times New Roman"/>
          <w:color w:val="000000" w:themeColor="text1"/>
          <w:sz w:val="16"/>
          <w:szCs w:val="16"/>
        </w:rPr>
      </w:pPr>
    </w:p>
    <w:p w14:paraId="530627AA" w14:textId="77777777" w:rsidR="00403E07" w:rsidRPr="00A3026E" w:rsidRDefault="00403E07" w:rsidP="00A3026E">
      <w:pPr>
        <w:pStyle w:val="af2"/>
        <w:jc w:val="both"/>
        <w:rPr>
          <w:i w:val="0"/>
          <w:iCs w:val="0"/>
          <w:color w:val="000000" w:themeColor="text1"/>
          <w:spacing w:val="0"/>
          <w:kern w:val="0"/>
          <w:position w:val="0"/>
          <w:sz w:val="16"/>
          <w:szCs w:val="16"/>
          <w:lang w:val="ru-RU"/>
        </w:rPr>
      </w:pPr>
      <w:r w:rsidRPr="00A3026E">
        <w:rPr>
          <w:i w:val="0"/>
          <w:color w:val="000000" w:themeColor="text1"/>
          <w:spacing w:val="0"/>
          <w:kern w:val="0"/>
          <w:position w:val="0"/>
          <w:sz w:val="16"/>
          <w:szCs w:val="16"/>
          <w:lang w:val="ru-RU"/>
        </w:rPr>
        <w:t>18 ноября 1940 г. в понедельник Совет по экономике при СНК СССР издал постановление о введении норм на автобензин и смазочные материалы для автотранспорта. Нормы 1936 г. на ГСМ, как завышенные, отменены. Для автомобилей Горьковского автозавода, в частности, введены нормы (на 100 км автопробега): ГАЗ — А – 12 л, ГАЗ – АА – 20,5 л, ГАЗ — С1 – 21 л. Через год горьковская полуторка ГАЗ-АА подтвердила норму 20,5 л, — удачный фордовский движок с низкой степенью сжатия, требовал ухода, но тянул на самых низких сортах бензина, на лигроине (дизельное тракторное топливо), а если двигатель прогретый, то даже на тракторном и бытовом керосине. Это не раз выручало шоферов полуторки в годы войны (17398).</w:t>
      </w:r>
    </w:p>
    <w:p w14:paraId="2E2C76A8" w14:textId="77777777" w:rsidR="00403E07" w:rsidRPr="00A3026E" w:rsidRDefault="00403E07" w:rsidP="00A3026E">
      <w:pPr>
        <w:pStyle w:val="af2"/>
        <w:jc w:val="both"/>
        <w:rPr>
          <w:i w:val="0"/>
          <w:iCs w:val="0"/>
          <w:color w:val="000000" w:themeColor="text1"/>
          <w:spacing w:val="0"/>
          <w:kern w:val="0"/>
          <w:position w:val="0"/>
          <w:sz w:val="16"/>
          <w:szCs w:val="16"/>
          <w:lang w:val="ru-RU"/>
        </w:rPr>
      </w:pPr>
    </w:p>
    <w:p w14:paraId="7AD0E9F6"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3BAC87E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4E603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нояб</w:t>
      </w:r>
      <w:r w:rsidRPr="00A3026E">
        <w:rPr>
          <w:rFonts w:ascii="Times New Roman" w:hAnsi="Times New Roman"/>
          <w:color w:val="000000" w:themeColor="text1"/>
          <w:sz w:val="16"/>
          <w:szCs w:val="16"/>
        </w:rPr>
        <w:softHyphen/>
        <w:t>ря 1940 6-ю эскадрилью вновь вернули в Чэн</w:t>
      </w:r>
      <w:r w:rsidRPr="00A3026E">
        <w:rPr>
          <w:rFonts w:ascii="Times New Roman" w:hAnsi="Times New Roman"/>
          <w:color w:val="000000" w:themeColor="text1"/>
          <w:sz w:val="16"/>
          <w:szCs w:val="16"/>
        </w:rPr>
        <w:softHyphen/>
        <w:t>ду для дополнительных тренировок. На ДБ-3 хотели перевооружить также 9-ю и 11-ю эскадрильи, которые даже на</w:t>
      </w:r>
      <w:r w:rsidRPr="00A3026E">
        <w:rPr>
          <w:rFonts w:ascii="Times New Roman" w:hAnsi="Times New Roman"/>
          <w:color w:val="000000" w:themeColor="text1"/>
          <w:sz w:val="16"/>
          <w:szCs w:val="16"/>
        </w:rPr>
        <w:softHyphen/>
        <w:t>правили в Чэнду, но позднее их вновь доукомплектовали СБ. По отзывам наших инструкторов, ки</w:t>
      </w:r>
      <w:r w:rsidRPr="00A3026E">
        <w:rPr>
          <w:rFonts w:ascii="Times New Roman" w:hAnsi="Times New Roman"/>
          <w:color w:val="000000" w:themeColor="text1"/>
          <w:sz w:val="16"/>
          <w:szCs w:val="16"/>
        </w:rPr>
        <w:softHyphen/>
        <w:t>тайские экипажи были подготовлены слабо. Систематическая боевая учеба практически отсутствовала, летали ма</w:t>
      </w:r>
      <w:r w:rsidRPr="00A3026E">
        <w:rPr>
          <w:rFonts w:ascii="Times New Roman" w:hAnsi="Times New Roman"/>
          <w:color w:val="000000" w:themeColor="text1"/>
          <w:sz w:val="16"/>
          <w:szCs w:val="16"/>
        </w:rPr>
        <w:softHyphen/>
        <w:t>ло, высотные полеты не осваивались. При этом китайцы несли довольно большие потери, в основном не боевые. Так, 4 октября 1940 г. взлетевший по тревоге ДБ-3 из 6-й эскадрильи с китай</w:t>
      </w:r>
      <w:r w:rsidRPr="00A3026E">
        <w:rPr>
          <w:rFonts w:ascii="Times New Roman" w:hAnsi="Times New Roman"/>
          <w:color w:val="000000" w:themeColor="text1"/>
          <w:sz w:val="16"/>
          <w:szCs w:val="16"/>
        </w:rPr>
        <w:softHyphen/>
        <w:t>ским экипажем из-за неполадок слиш</w:t>
      </w:r>
      <w:r w:rsidRPr="00A3026E">
        <w:rPr>
          <w:rFonts w:ascii="Times New Roman" w:hAnsi="Times New Roman"/>
          <w:color w:val="000000" w:themeColor="text1"/>
          <w:sz w:val="16"/>
          <w:szCs w:val="16"/>
        </w:rPr>
        <w:softHyphen/>
        <w:t>ком рано вернулся на базу Тайпинсы и был сбит над аэродромом. 2 января 1941 г. над Ченду потерпел аварию и по</w:t>
      </w:r>
      <w:r w:rsidRPr="00A3026E">
        <w:rPr>
          <w:rFonts w:ascii="Times New Roman" w:hAnsi="Times New Roman"/>
          <w:color w:val="000000" w:themeColor="text1"/>
          <w:sz w:val="16"/>
          <w:szCs w:val="16"/>
        </w:rPr>
        <w:softHyphen/>
        <w:t>гиб вместе с самолетом экипаж коман</w:t>
      </w:r>
      <w:r w:rsidRPr="00A3026E">
        <w:rPr>
          <w:rFonts w:ascii="Times New Roman" w:hAnsi="Times New Roman"/>
          <w:color w:val="000000" w:themeColor="text1"/>
          <w:sz w:val="16"/>
          <w:szCs w:val="16"/>
        </w:rPr>
        <w:softHyphen/>
        <w:t>дира 14-й эскадрильи Ли Чансюна. 13 февраля 1941 г. у заместителя команди</w:t>
      </w:r>
      <w:r w:rsidRPr="00A3026E">
        <w:rPr>
          <w:rFonts w:ascii="Times New Roman" w:hAnsi="Times New Roman"/>
          <w:color w:val="000000" w:themeColor="text1"/>
          <w:sz w:val="16"/>
          <w:szCs w:val="16"/>
        </w:rPr>
        <w:softHyphen/>
        <w:t>ра 8-й группы Лян Гочжана во время тренировочного полета отказал мотор. При вынужденной посадке в уезде Цзя-ньян самолет сгорел вместе с экипажем. 18 июня 1941 г. из-за неисправности потерпел аварию взлетевший по трево</w:t>
      </w:r>
      <w:r w:rsidRPr="00A3026E">
        <w:rPr>
          <w:rFonts w:ascii="Times New Roman" w:hAnsi="Times New Roman"/>
          <w:color w:val="000000" w:themeColor="text1"/>
          <w:sz w:val="16"/>
          <w:szCs w:val="16"/>
        </w:rPr>
        <w:softHyphen/>
        <w:t>ге в Ланьчжоу ДБ-3 летчика Мэн Цзун-жао из 14-й эскадрильи, штурман и ра</w:t>
      </w:r>
      <w:r w:rsidRPr="00A3026E">
        <w:rPr>
          <w:rFonts w:ascii="Times New Roman" w:hAnsi="Times New Roman"/>
          <w:color w:val="000000" w:themeColor="text1"/>
          <w:sz w:val="16"/>
          <w:szCs w:val="16"/>
        </w:rPr>
        <w:softHyphen/>
        <w:t>дист погибли. 1 октября 1942 г. во вре</w:t>
      </w:r>
      <w:r w:rsidRPr="00A3026E">
        <w:rPr>
          <w:rFonts w:ascii="Times New Roman" w:hAnsi="Times New Roman"/>
          <w:color w:val="000000" w:themeColor="text1"/>
          <w:sz w:val="16"/>
          <w:szCs w:val="16"/>
        </w:rPr>
        <w:softHyphen/>
        <w:t>мя дальнего тренировочного полета в районе Цзяюйгуань исчез вместе с эки</w:t>
      </w:r>
      <w:r w:rsidRPr="00A3026E">
        <w:rPr>
          <w:rFonts w:ascii="Times New Roman" w:hAnsi="Times New Roman"/>
          <w:color w:val="000000" w:themeColor="text1"/>
          <w:sz w:val="16"/>
          <w:szCs w:val="16"/>
        </w:rPr>
        <w:softHyphen/>
        <w:t>пажем бомбардировщик командира 6-й эскадрильи Чжоу Шиюна (10734,39).</w:t>
      </w:r>
    </w:p>
    <w:p w14:paraId="6727F9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39AEAA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928017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ECE4B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ноября 1940 Р.Зорге сообщил, что А.Г. задумал и осуществляет план нападения на СССР (2536,219).</w:t>
      </w:r>
    </w:p>
    <w:p w14:paraId="0B2A394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DE4673B"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November 18 1940 The Chief of Naval Operations authorized use of the abbreviation, "RADAR", in unclassified correspondence and conversation and directed that the phrase, Radio Detection and Ranging Equipment, be used in lieu of terms such as Radio Ranging Equipment, Radio Detection Equipment, Radio Echo Equipment, or Pulse Radio Equipment (1090).</w:t>
      </w:r>
    </w:p>
    <w:p w14:paraId="6E5927BC"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6D564750" w14:textId="77777777" w:rsidR="00403E07" w:rsidRPr="00A3026E" w:rsidRDefault="00403E0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ноября 1940 г. греческий летчик Григорис Валканас на польском самолете-истребителе PZL P.24 совершил таран итальянского истребителя над городом Корча в Албании. Самолет Валканаса и итальянский самолет загорелись, летчики погибли. Греческому герою было 24 года (17398).</w:t>
      </w:r>
    </w:p>
    <w:p w14:paraId="21FAB72F" w14:textId="77777777" w:rsidR="00403E07" w:rsidRPr="00A3026E" w:rsidRDefault="00403E07" w:rsidP="00A3026E">
      <w:pPr>
        <w:spacing w:after="0" w:line="240" w:lineRule="auto"/>
        <w:jc w:val="both"/>
        <w:rPr>
          <w:rFonts w:ascii="Times New Roman" w:hAnsi="Times New Roman"/>
          <w:color w:val="000000" w:themeColor="text1"/>
          <w:sz w:val="16"/>
          <w:szCs w:val="16"/>
        </w:rPr>
      </w:pPr>
    </w:p>
    <w:p w14:paraId="2A5247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ноября 1940 Командующий морскими операциями США разрешил использование слова радар в несекретной корреспонденции и разговорах (1090).</w:t>
      </w:r>
    </w:p>
    <w:p w14:paraId="319E8F1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E3409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B31AA4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16545E1" w14:textId="77777777" w:rsidR="00D22A5E" w:rsidRPr="00A3026E" w:rsidRDefault="00D22A5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19 ноября 1940 эскизный проект ОПБ АМ-37 был ут</w:t>
      </w:r>
      <w:r w:rsidRPr="00A3026E">
        <w:rPr>
          <w:rFonts w:ascii="Times New Roman" w:hAnsi="Times New Roman"/>
          <w:color w:val="0070C0"/>
          <w:sz w:val="16"/>
          <w:szCs w:val="16"/>
        </w:rPr>
        <w:softHyphen/>
        <w:t>вержден Кочеригиным, а 7 декабря был представ</w:t>
      </w:r>
      <w:r w:rsidRPr="00A3026E">
        <w:rPr>
          <w:rFonts w:ascii="Times New Roman" w:hAnsi="Times New Roman"/>
          <w:color w:val="0070C0"/>
          <w:sz w:val="16"/>
          <w:szCs w:val="16"/>
        </w:rPr>
        <w:softHyphen/>
        <w:t>лен для рассмотрения в экспертную комиссию НКАП. Само</w:t>
      </w:r>
      <w:r w:rsidRPr="00A3026E">
        <w:rPr>
          <w:rFonts w:ascii="Times New Roman" w:hAnsi="Times New Roman"/>
          <w:color w:val="0070C0"/>
          <w:sz w:val="16"/>
          <w:szCs w:val="16"/>
        </w:rPr>
        <w:softHyphen/>
        <w:t>лет определялся как модификация ОПБ с М-90. В крыле был использован профиль NACA 230 с относительной толщиной 19 %. К особым отличиям следует отнести высокое разме</w:t>
      </w:r>
      <w:r w:rsidRPr="00A3026E">
        <w:rPr>
          <w:rFonts w:ascii="Times New Roman" w:hAnsi="Times New Roman"/>
          <w:color w:val="0070C0"/>
          <w:sz w:val="16"/>
          <w:szCs w:val="16"/>
        </w:rPr>
        <w:softHyphen/>
        <w:t>щение летчика в увеличенном по высоте фонаре пилота, что в сочетании с «опущенным капотом» двигателя заметно (на 15 градусов) улучшало обзор из кабины. Указывались следующие его проектные характеристики:</w:t>
      </w:r>
    </w:p>
    <w:p w14:paraId="3536AFD7" w14:textId="77777777" w:rsidR="00D22A5E" w:rsidRPr="00A3026E" w:rsidRDefault="00D22A5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fldChar w:fldCharType="begin"/>
      </w:r>
      <w:r w:rsidRPr="00A3026E">
        <w:rPr>
          <w:rFonts w:ascii="Times New Roman" w:hAnsi="Times New Roman"/>
          <w:color w:val="0070C0"/>
          <w:sz w:val="16"/>
          <w:szCs w:val="16"/>
        </w:rPr>
        <w:instrText xml:space="preserve"> TOC \o "1-5" \h \z </w:instrText>
      </w:r>
      <w:r w:rsidRPr="00A3026E">
        <w:rPr>
          <w:rFonts w:ascii="Times New Roman" w:hAnsi="Times New Roman"/>
          <w:color w:val="0070C0"/>
          <w:sz w:val="16"/>
          <w:szCs w:val="16"/>
        </w:rPr>
        <w:fldChar w:fldCharType="separate"/>
      </w:r>
      <w:r w:rsidRPr="00A3026E">
        <w:rPr>
          <w:rFonts w:ascii="Times New Roman" w:hAnsi="Times New Roman"/>
          <w:color w:val="0070C0"/>
          <w:sz w:val="16"/>
          <w:szCs w:val="16"/>
        </w:rPr>
        <w:t>Длина в линии полета (м)</w:t>
      </w:r>
      <w:r w:rsidRPr="00A3026E">
        <w:rPr>
          <w:rFonts w:ascii="Times New Roman" w:hAnsi="Times New Roman"/>
          <w:color w:val="0070C0"/>
          <w:sz w:val="16"/>
          <w:szCs w:val="16"/>
        </w:rPr>
        <w:tab/>
        <w:t>9,87</w:t>
      </w:r>
    </w:p>
    <w:p w14:paraId="0E04A28D" w14:textId="77777777" w:rsidR="00D22A5E" w:rsidRPr="00A3026E" w:rsidRDefault="00D22A5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Размах крыла (м)</w:t>
      </w:r>
      <w:r w:rsidRPr="00A3026E">
        <w:rPr>
          <w:rFonts w:ascii="Times New Roman" w:hAnsi="Times New Roman"/>
          <w:color w:val="0070C0"/>
          <w:sz w:val="16"/>
          <w:szCs w:val="16"/>
        </w:rPr>
        <w:tab/>
        <w:t>11,2</w:t>
      </w:r>
    </w:p>
    <w:p w14:paraId="62DCADB9" w14:textId="77777777" w:rsidR="00D22A5E" w:rsidRPr="00A3026E" w:rsidRDefault="00D22A5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Площадь крыла (кв.м)</w:t>
      </w:r>
      <w:r w:rsidRPr="00A3026E">
        <w:rPr>
          <w:rFonts w:ascii="Times New Roman" w:hAnsi="Times New Roman"/>
          <w:color w:val="0070C0"/>
          <w:sz w:val="16"/>
          <w:szCs w:val="16"/>
        </w:rPr>
        <w:tab/>
        <w:t>21,0</w:t>
      </w:r>
    </w:p>
    <w:p w14:paraId="47017C61" w14:textId="77777777" w:rsidR="00D22A5E" w:rsidRPr="00A3026E" w:rsidRDefault="00D22A5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Вес пустого (кг)</w:t>
      </w:r>
      <w:r w:rsidRPr="00A3026E">
        <w:rPr>
          <w:rFonts w:ascii="Times New Roman" w:hAnsi="Times New Roman"/>
          <w:color w:val="0070C0"/>
          <w:sz w:val="16"/>
          <w:szCs w:val="16"/>
        </w:rPr>
        <w:tab/>
        <w:t>2648</w:t>
      </w:r>
    </w:p>
    <w:p w14:paraId="1F0D7DD7" w14:textId="77777777" w:rsidR="00D22A5E" w:rsidRPr="00A3026E" w:rsidRDefault="00D22A5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Полетный вес (кг)</w:t>
      </w:r>
      <w:r w:rsidRPr="00A3026E">
        <w:rPr>
          <w:rFonts w:ascii="Times New Roman" w:hAnsi="Times New Roman"/>
          <w:color w:val="0070C0"/>
          <w:sz w:val="16"/>
          <w:szCs w:val="16"/>
        </w:rPr>
        <w:tab/>
        <w:t>4010</w:t>
      </w:r>
    </w:p>
    <w:p w14:paraId="63A16A75" w14:textId="77777777" w:rsidR="00D22A5E" w:rsidRPr="00A3026E" w:rsidRDefault="00D22A5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Нагрузка на крыло (кг/ кв.м)</w:t>
      </w:r>
      <w:r w:rsidRPr="00A3026E">
        <w:rPr>
          <w:rFonts w:ascii="Times New Roman" w:hAnsi="Times New Roman"/>
          <w:color w:val="0070C0"/>
          <w:sz w:val="16"/>
          <w:szCs w:val="16"/>
        </w:rPr>
        <w:tab/>
        <w:t>190</w:t>
      </w:r>
      <w:r w:rsidRPr="00A3026E">
        <w:rPr>
          <w:rFonts w:ascii="Times New Roman" w:hAnsi="Times New Roman"/>
          <w:color w:val="0070C0"/>
          <w:sz w:val="16"/>
          <w:szCs w:val="16"/>
        </w:rPr>
        <w:fldChar w:fldCharType="end"/>
      </w:r>
    </w:p>
    <w:p w14:paraId="427E040A" w14:textId="77777777" w:rsidR="00D22A5E" w:rsidRPr="00A3026E" w:rsidRDefault="00D22A5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Вооружение ОПБ АМ-37 в основном соответствовало вооружению самолета ОПБ М-90. В одном из вариантов предполагалось использовать пушечное вооружение.</w:t>
      </w:r>
    </w:p>
    <w:p w14:paraId="776DBEEF" w14:textId="77777777" w:rsidR="00D22A5E" w:rsidRPr="00A3026E" w:rsidRDefault="00D22A5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Максимальная скорость полета по расчетам составляла: у земли 462 км/ч, на высоте 7000 м - 580 км/ч. Время на</w:t>
      </w:r>
      <w:r w:rsidRPr="00A3026E">
        <w:rPr>
          <w:rFonts w:ascii="Times New Roman" w:hAnsi="Times New Roman"/>
          <w:color w:val="0070C0"/>
          <w:sz w:val="16"/>
          <w:szCs w:val="16"/>
        </w:rPr>
        <w:softHyphen/>
        <w:t>бора высоты 5000 м - 6,8 мин. Дальность полета - 960 км.</w:t>
      </w:r>
    </w:p>
    <w:p w14:paraId="4842C5B8" w14:textId="77777777" w:rsidR="00D22A5E" w:rsidRPr="00A3026E" w:rsidRDefault="00D22A5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рассмотрении эскизного проекта ОПБ АМ-37 комис</w:t>
      </w:r>
      <w:r w:rsidRPr="00A3026E">
        <w:rPr>
          <w:rFonts w:ascii="Times New Roman" w:hAnsi="Times New Roman"/>
          <w:color w:val="0070C0"/>
          <w:sz w:val="16"/>
          <w:szCs w:val="16"/>
        </w:rPr>
        <w:softHyphen/>
        <w:t>сия НКАП под председательством Б.Н. Юрьева заключи</w:t>
      </w:r>
      <w:r w:rsidRPr="00A3026E">
        <w:rPr>
          <w:rFonts w:ascii="Times New Roman" w:hAnsi="Times New Roman"/>
          <w:color w:val="0070C0"/>
          <w:sz w:val="16"/>
          <w:szCs w:val="16"/>
        </w:rPr>
        <w:softHyphen/>
        <w:t>ла, что расчетные характеристики являются реальными, од</w:t>
      </w:r>
      <w:r w:rsidRPr="00A3026E">
        <w:rPr>
          <w:rFonts w:ascii="Times New Roman" w:hAnsi="Times New Roman"/>
          <w:color w:val="0070C0"/>
          <w:sz w:val="16"/>
          <w:szCs w:val="16"/>
        </w:rPr>
        <w:softHyphen/>
        <w:t>нако постройка самолета целесообразна после проведе</w:t>
      </w:r>
      <w:r w:rsidRPr="00A3026E">
        <w:rPr>
          <w:rFonts w:ascii="Times New Roman" w:hAnsi="Times New Roman"/>
          <w:color w:val="0070C0"/>
          <w:sz w:val="16"/>
          <w:szCs w:val="16"/>
        </w:rPr>
        <w:softHyphen/>
        <w:t>ния летных испытаний ОПБ М-90 (20362).</w:t>
      </w:r>
    </w:p>
    <w:p w14:paraId="44A7F717" w14:textId="77777777" w:rsidR="00D22A5E" w:rsidRPr="00A3026E" w:rsidRDefault="00D22A5E" w:rsidP="00A3026E">
      <w:pPr>
        <w:shd w:val="clear" w:color="auto" w:fill="FFFFFF"/>
        <w:spacing w:after="0" w:line="240" w:lineRule="auto"/>
        <w:jc w:val="both"/>
        <w:rPr>
          <w:rFonts w:ascii="Times New Roman" w:hAnsi="Times New Roman"/>
          <w:color w:val="0070C0"/>
          <w:sz w:val="16"/>
          <w:szCs w:val="16"/>
        </w:rPr>
      </w:pPr>
    </w:p>
    <w:p w14:paraId="6B5E8C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 ноября 1940 по 2(1)4 февраля 1941 в НИИ ВВС проводились специальные гос. испытания И-26-3 на пикирование в НИИ ВВС (65,25).</w:t>
      </w:r>
    </w:p>
    <w:p w14:paraId="2546F6A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E7134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эскизный проект ОПБ с двигателем АМ- 37 был утвержден Кочеригиным, а 7 декабря 1940 г. был представлен для рас</w:t>
      </w:r>
      <w:r w:rsidRPr="00A3026E">
        <w:rPr>
          <w:rFonts w:ascii="Times New Roman" w:hAnsi="Times New Roman"/>
          <w:color w:val="000000" w:themeColor="text1"/>
          <w:sz w:val="16"/>
          <w:szCs w:val="16"/>
        </w:rPr>
        <w:softHyphen/>
        <w:t>смотрения в экспертную комиссию НКАП. Самолет определялся как модификация ОПБ с М-90. Особо отмечалось, что с АМ-37 уве</w:t>
      </w:r>
      <w:r w:rsidRPr="00A3026E">
        <w:rPr>
          <w:rFonts w:ascii="Times New Roman" w:hAnsi="Times New Roman"/>
          <w:color w:val="000000" w:themeColor="text1"/>
          <w:sz w:val="16"/>
          <w:szCs w:val="16"/>
        </w:rPr>
        <w:softHyphen/>
        <w:t>личен угол обзора летчику вперед на 15 гра</w:t>
      </w:r>
      <w:r w:rsidRPr="00A3026E">
        <w:rPr>
          <w:rFonts w:ascii="Times New Roman" w:hAnsi="Times New Roman"/>
          <w:color w:val="000000" w:themeColor="text1"/>
          <w:sz w:val="16"/>
          <w:szCs w:val="16"/>
        </w:rPr>
        <w:softHyphen/>
        <w:t>дусов. Указывались следующие проектные характеристики ОПБ М-37:</w:t>
      </w: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455"/>
        <w:gridCol w:w="842"/>
      </w:tblGrid>
      <w:tr w:rsidR="00983732" w:rsidRPr="00A3026E" w14:paraId="2105A960" w14:textId="77777777" w:rsidTr="00EA0DA7">
        <w:trPr>
          <w:trHeight w:val="216"/>
        </w:trPr>
        <w:tc>
          <w:tcPr>
            <w:tcW w:w="2455" w:type="dxa"/>
            <w:shd w:val="clear" w:color="auto" w:fill="FFFFFF"/>
          </w:tcPr>
          <w:p w14:paraId="47FC63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крыла (м)</w:t>
            </w:r>
          </w:p>
        </w:tc>
        <w:tc>
          <w:tcPr>
            <w:tcW w:w="842" w:type="dxa"/>
            <w:shd w:val="clear" w:color="auto" w:fill="FFFFFF"/>
          </w:tcPr>
          <w:p w14:paraId="389401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w:t>
            </w:r>
          </w:p>
        </w:tc>
      </w:tr>
      <w:tr w:rsidR="00983732" w:rsidRPr="00A3026E" w14:paraId="5282AEB4" w14:textId="77777777" w:rsidTr="00EA0DA7">
        <w:trPr>
          <w:trHeight w:val="212"/>
        </w:trPr>
        <w:tc>
          <w:tcPr>
            <w:tcW w:w="2455" w:type="dxa"/>
            <w:shd w:val="clear" w:color="auto" w:fill="FFFFFF"/>
          </w:tcPr>
          <w:p w14:paraId="713F98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tc>
        <w:tc>
          <w:tcPr>
            <w:tcW w:w="842" w:type="dxa"/>
            <w:shd w:val="clear" w:color="auto" w:fill="FFFFFF"/>
          </w:tcPr>
          <w:p w14:paraId="2FBBCB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r>
      <w:tr w:rsidR="00983732" w:rsidRPr="00A3026E" w14:paraId="24E03BE1" w14:textId="77777777" w:rsidTr="00EA0DA7">
        <w:trPr>
          <w:trHeight w:val="209"/>
        </w:trPr>
        <w:tc>
          <w:tcPr>
            <w:tcW w:w="2455" w:type="dxa"/>
            <w:shd w:val="clear" w:color="auto" w:fill="FFFFFF"/>
          </w:tcPr>
          <w:p w14:paraId="7A7501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(кг)</w:t>
            </w:r>
          </w:p>
        </w:tc>
        <w:tc>
          <w:tcPr>
            <w:tcW w:w="842" w:type="dxa"/>
            <w:shd w:val="clear" w:color="auto" w:fill="FFFFFF"/>
          </w:tcPr>
          <w:p w14:paraId="75D91A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r>
      <w:tr w:rsidR="00983732" w:rsidRPr="00A3026E" w14:paraId="726A34CB" w14:textId="77777777" w:rsidTr="00EA0DA7">
        <w:trPr>
          <w:trHeight w:val="227"/>
        </w:trPr>
        <w:tc>
          <w:tcPr>
            <w:tcW w:w="2455" w:type="dxa"/>
            <w:shd w:val="clear" w:color="auto" w:fill="FFFFFF"/>
          </w:tcPr>
          <w:p w14:paraId="4965FE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на крыло (кг/м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tc>
        <w:tc>
          <w:tcPr>
            <w:tcW w:w="842" w:type="dxa"/>
            <w:shd w:val="clear" w:color="auto" w:fill="FFFFFF"/>
          </w:tcPr>
          <w:p w14:paraId="68CF43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w:t>
            </w:r>
          </w:p>
        </w:tc>
      </w:tr>
      <w:tr w:rsidR="00983732" w:rsidRPr="00A3026E" w14:paraId="14400B05" w14:textId="77777777" w:rsidTr="00EA0DA7">
        <w:trPr>
          <w:trHeight w:val="216"/>
        </w:trPr>
        <w:tc>
          <w:tcPr>
            <w:tcW w:w="2455" w:type="dxa"/>
            <w:shd w:val="clear" w:color="auto" w:fill="FFFFFF"/>
          </w:tcPr>
          <w:p w14:paraId="6F7837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Горючее</w:t>
            </w:r>
          </w:p>
        </w:tc>
        <w:tc>
          <w:tcPr>
            <w:tcW w:w="842" w:type="dxa"/>
            <w:shd w:val="clear" w:color="auto" w:fill="FFFFFF"/>
          </w:tcPr>
          <w:p w14:paraId="71F9B9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 л</w:t>
            </w:r>
          </w:p>
        </w:tc>
      </w:tr>
      <w:tr w:rsidR="00983732" w:rsidRPr="00A3026E" w14:paraId="099FE55C" w14:textId="77777777" w:rsidTr="00EA0DA7">
        <w:trPr>
          <w:trHeight w:val="191"/>
        </w:trPr>
        <w:tc>
          <w:tcPr>
            <w:tcW w:w="2455" w:type="dxa"/>
            <w:shd w:val="clear" w:color="auto" w:fill="FFFFFF"/>
          </w:tcPr>
          <w:p w14:paraId="77F385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w:t>
            </w:r>
          </w:p>
        </w:tc>
        <w:tc>
          <w:tcPr>
            <w:tcW w:w="842" w:type="dxa"/>
            <w:shd w:val="clear" w:color="auto" w:fill="FFFFFF"/>
          </w:tcPr>
          <w:p w14:paraId="5448D8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 кг</w:t>
            </w:r>
          </w:p>
        </w:tc>
      </w:tr>
    </w:tbl>
    <w:p w14:paraId="562EC1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с двигателем АМ-37 вызвал боль</w:t>
      </w:r>
      <w:r w:rsidRPr="00A3026E">
        <w:rPr>
          <w:rFonts w:ascii="Times New Roman" w:hAnsi="Times New Roman"/>
          <w:color w:val="000000" w:themeColor="text1"/>
          <w:sz w:val="16"/>
          <w:szCs w:val="16"/>
        </w:rPr>
        <w:softHyphen/>
        <w:t>шой интерес, однако комиссия наркома</w:t>
      </w:r>
      <w:r w:rsidRPr="00A3026E">
        <w:rPr>
          <w:rFonts w:ascii="Times New Roman" w:hAnsi="Times New Roman"/>
          <w:color w:val="000000" w:themeColor="text1"/>
          <w:sz w:val="16"/>
          <w:szCs w:val="16"/>
        </w:rPr>
        <w:softHyphen/>
        <w:t>та постановила продолжить над ним работу только после удачных полетов модификации с двигателем М-90 (12301).</w:t>
      </w:r>
    </w:p>
    <w:p w14:paraId="5AD19FB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E855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1937 года районный инженер УМТС ВВС в/инженер 1 ранга Левин писал письмо заместителю наркома обороны начальнику ВВС командарму 2 ранга Алкснису</w:t>
      </w:r>
    </w:p>
    <w:p w14:paraId="0A1BF7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Справка</w:t>
      </w:r>
    </w:p>
    <w:p w14:paraId="6DE870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об испытаниях мотора М34</w:t>
      </w:r>
    </w:p>
    <w:p w14:paraId="0943A2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и ноябре 1937 года прошло 4 длительных испытания мотора АМ-34 на форсированных режимах (взлетная мощность 1200 л.с., номинальная мощность 1050 л.с. на 3500 м).</w:t>
      </w:r>
    </w:p>
    <w:p w14:paraId="02CF4D0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Форсированный мотор № 63 (с передачей на винт 0,732 и солеными клапанами) отработал на станке 80 часов, после чего произошла поломка дюралевой заглушки 3-й шатунной шейки коленвала. Блоки вместе с клапанами были переставлены на другой мотор № 51), где и отработали дополнительно 20 часов (до 100 часов). ……………</w:t>
      </w:r>
    </w:p>
    <w:p w14:paraId="65CAA59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Форсированный мотор № 65 (с передачей на винт 0,732 и солеными клапанами) отработали в общей сложности 100 режимных часов, из них 7, 5 часов максимальной мощности и 26,5 часов номинальной мощности с рядом дефектов и 4-мя промежуточными переборками блоков.</w:t>
      </w:r>
    </w:p>
    <w:p w14:paraId="2A4047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7F16781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форсированном моторе № 83 ( с передачей на винт 0,59 и несолеными клапанами из стали 81-63) было проведено госиспытание бензина Экстра.</w:t>
      </w:r>
    </w:p>
    <w:p w14:paraId="1C0B14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701D76A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мотор 3Б-1724, имеющий отличия от нормального ………………….</w:t>
      </w:r>
    </w:p>
    <w:p w14:paraId="355D68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испытании имели место отказы свечей и другие дефекты ……………</w:t>
      </w:r>
    </w:p>
    <w:p w14:paraId="5B7008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73F5EEB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проведенные в последние 1,5 месяца показали возможность работы основных деталей мотора АМ-34 на форсированных режимах (взлетная мощность 1200 л.с., номинальная мощность 1050 л.с. на высоте 3500 м) на станке в течение 100 часов по 45 МТУ.</w:t>
      </w:r>
    </w:p>
    <w:p w14:paraId="3CD51E2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разборке моторов после испытаний обнаружены следующие два основных не изжитых дефекта:</w:t>
      </w:r>
    </w:p>
    <w:p w14:paraId="56F1C4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трещины головок цилиндровых блоков в перемычках седел клапанов;</w:t>
      </w:r>
    </w:p>
    <w:p w14:paraId="141A02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выгорание и выветривание фасок клапанов выпуска.</w:t>
      </w:r>
    </w:p>
    <w:p w14:paraId="44EBC08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24 должен в кратчайший срок изжить эти дефекты для обеспечения длительной надежной работы мотора на форсированных режимах (7531, 62-65).</w:t>
      </w:r>
    </w:p>
    <w:p w14:paraId="2346E83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24878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Квасов разбился на УПО-21. Борис бросился к месту аварии, перепрыгнув по дороге заполненную водой канаву и перебравшись через забор с колючей (!) проволокой. Посреди обломков самолета стоял А.Смолин и пытался вытереть кровь с лица крагой. Передняя часть самолета с кабиной пилота была полностью разрушена. На вопрос, где Квасов, конструктор сделал неопределенный жест по направлению к железнодорожным путям. Выброшенному на полотно дороги летчику, получившему многочисленные переломы, уже оказывали первую помощь. По распбряжехуйю начальника ЛИС завода №21 П.У.Фокина Смолина с Квасовым отвезли на машине в больницу. Квасов жаловался на боль и просил ехать потише. Вскоре Квасов скончался. Трещина в черепной кости стала роковым следствием удара головой о рельс. (10212).</w:t>
      </w:r>
    </w:p>
    <w:p w14:paraId="6143A88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BA44D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произошла катастрофа самолета УПО N 1 с мотором Додж 6 N 633329-9 выпуска 24 августа 1940 под управлением л И.А.Квасова и с А.А.Смолиным в экипаже. Разбили полностью, л получил увечья, Смолин почти не пострадал. Выпустили в полет с краном, открытым на расходный бачок (2080,127).</w:t>
      </w:r>
    </w:p>
    <w:p w14:paraId="6931C24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4F67B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приказом НКО № 0323 был сформирован на базе Остафьевских авиационных мастерских Центрального Совета Осоавиахима СССР будующий "99-й завод авиационного технологического оборудования". Первым начальником трех стационарных авиационных мастерских Московского военного округа был воентехник 2-го ранга Ф.В.Балин. Во время Великой Отечественной войны предприятие выполняло фронтовые задачи: дни и ночи личный состав мастерских обеспечивал качественный ремонт авиационного оборудования. В приказах командования военных лет за самоотверженный и высокопроизводительный труд отмечались: жестянщик Баженов, дефектовщик Кухарцов, начальники цехов Молоканкин, Запруднов, Шабохин. После войны мастерские постепенно превращались в базовый авиаремонтный завод военно-воздушных сил: строились новые цеха и новые здания инженерно-технического назначения. С 1966 года завод стал изготавливать технологическое оборудование для оснащения ремонтных предприятий и смотровых частей ВВС РФ. Сейчас заводом освоен ремонт гидроскопических авиационных систем Ц-050, Ц-060, средств связи - Р-863, Р-800Л2. В разные годы заводом руководили его директора: М.А.Владимиров, В.А.Семенов, В.Ф.Миронов, А.С.Проскуряков. С 1998 года завод возглавляет В.А.Крыгин. В настоящее время "99-й ЗАТО" сотрудничает с "Новосибирским Авиационным промышленным объединением им. В.П.Чкалова", с ОАО "Авиаэкспорт". Завод выполняет государственные оборонные заказы. С 1999 года постоянно растет объем выпускаемой продукции (10762).</w:t>
      </w:r>
    </w:p>
    <w:p w14:paraId="6EEEA9A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4F09A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г. по приказу № 649с им. Артема (ГС Завод № 455 ИМ. Артема НКАП, АО «Днепровский машиностроительный завод в Киеве», Днепровский машиностроительный завод «Венглинский, Ольшанский и К°», Завод «Млошевский и К</w:t>
      </w:r>
      <w:r w:rsidRPr="00A3026E">
        <w:rPr>
          <w:rFonts w:ascii="Times New Roman" w:hAnsi="Times New Roman"/>
          <w:color w:val="000000" w:themeColor="text1"/>
          <w:sz w:val="16"/>
          <w:szCs w:val="16"/>
          <w:vertAlign w:val="superscript"/>
        </w:rPr>
        <w:t>0</w:t>
      </w:r>
      <w:r w:rsidRPr="00A3026E">
        <w:rPr>
          <w:rFonts w:ascii="Times New Roman" w:hAnsi="Times New Roman"/>
          <w:color w:val="000000" w:themeColor="text1"/>
          <w:sz w:val="16"/>
          <w:szCs w:val="16"/>
        </w:rPr>
        <w:t>», Машиностроительный завод им. Артема, Завод им. Артема НКОМ /г. Киев/) получил наименование ГС завод № 455 им. Артема. Для укрепления производства на завод переведена группа ИТР и рабочих с завода № 145 НКАП.</w:t>
      </w:r>
    </w:p>
    <w:p w14:paraId="2D55D2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началом войны начато производство агрегатов бомбардировочного химвооружения (выливные авиационные приборы ВАП-200, ампульно-бомбовые кассеты АБК-3, АБКП-500).</w:t>
      </w:r>
    </w:p>
    <w:p w14:paraId="50685C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началом войны завод № 455 эвакуирован в Куйбышев на площадку Лаборатории гидроузла и по приказу № 1121 сс от 15.11.1941 г. влит в состав эвакуированного сюда же завода № 145 НКАП.</w:t>
      </w:r>
    </w:p>
    <w:p w14:paraId="4EBBCA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площадке эвакуированного завода № 455 в Киеве по приказу № 4с от 3.01.1944 г. были сформированы Ремонтные мастерские, которые в том же году преобразованы в новый Завод № 485 им. Артема НКАП.</w:t>
      </w:r>
    </w:p>
    <w:p w14:paraId="156027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(10.1940 г.-)- Е.А. Рогов (11982).</w:t>
      </w:r>
    </w:p>
    <w:p w14:paraId="24D7BA6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16F3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НКБ Ванников поставил А.А.Волкова и С.А.Ярцева о том, что пушка ПТБ принята на вооружение (1248,115).</w:t>
      </w:r>
    </w:p>
    <w:p w14:paraId="22757BA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0158D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г. в Центральном Доме работников искусств состоялось чествование Н.Н.Поликарпова, А.А.Микулина, Б.Г.Шпитального (10667).</w:t>
      </w:r>
    </w:p>
    <w:p w14:paraId="25D07B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A1205D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30773EE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9B430E7"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г. в постановлении Комитета обороны при СНК СССР № 428сс «О дополнениях и изменениях в тактико-технические требования по танкам “КВ”, “Т</w:t>
      </w:r>
      <w:r w:rsidRPr="00A3026E">
        <w:rPr>
          <w:rFonts w:ascii="Times New Roman" w:hAnsi="Times New Roman"/>
          <w:color w:val="000000" w:themeColor="text1"/>
          <w:sz w:val="16"/>
          <w:szCs w:val="16"/>
        </w:rPr>
        <w:noBreakHyphen/>
        <w:t>34”, “Т</w:t>
      </w:r>
      <w:r w:rsidRPr="00A3026E">
        <w:rPr>
          <w:rFonts w:ascii="Times New Roman" w:hAnsi="Times New Roman"/>
          <w:color w:val="000000" w:themeColor="text1"/>
          <w:sz w:val="16"/>
          <w:szCs w:val="16"/>
        </w:rPr>
        <w:noBreakHyphen/>
        <w:t>40”» от устанавливались следующие тактико-технические требования для танка КВ: 1) полный боевой вес с артсистемой 152</w:t>
      </w:r>
      <w:r w:rsidRPr="00A3026E">
        <w:rPr>
          <w:rFonts w:ascii="Times New Roman" w:hAnsi="Times New Roman"/>
          <w:color w:val="000000" w:themeColor="text1"/>
          <w:sz w:val="16"/>
          <w:szCs w:val="16"/>
        </w:rPr>
        <w:noBreakHyphen/>
        <w:t>мм — 50 т, с артсистемой 76</w:t>
      </w:r>
      <w:r w:rsidRPr="00A3026E">
        <w:rPr>
          <w:rFonts w:ascii="Times New Roman" w:hAnsi="Times New Roman"/>
          <w:color w:val="000000" w:themeColor="text1"/>
          <w:sz w:val="16"/>
          <w:szCs w:val="16"/>
        </w:rPr>
        <w:noBreakHyphen/>
        <w:t>мм — 42,5 т; 2) на вооружении с обеими артсистемами три пулемета ДТ (один, спаренный с пушкой, — в башне танка, второй — в нише башни для стрельбы назад и третий — в носовой части танка) и один пистолет-пулемет Дегтярева в башне танка для стрельбы из люков; 3) экипаж для танка с артсистемой 152</w:t>
      </w:r>
      <w:r w:rsidRPr="00A3026E">
        <w:rPr>
          <w:rFonts w:ascii="Times New Roman" w:hAnsi="Times New Roman"/>
          <w:color w:val="000000" w:themeColor="text1"/>
          <w:sz w:val="16"/>
          <w:szCs w:val="16"/>
        </w:rPr>
        <w:noBreakHyphen/>
        <w:t>мм — 6 чел., с артсистемой 76</w:t>
      </w:r>
      <w:r w:rsidRPr="00A3026E">
        <w:rPr>
          <w:rFonts w:ascii="Times New Roman" w:hAnsi="Times New Roman"/>
          <w:color w:val="000000" w:themeColor="text1"/>
          <w:sz w:val="16"/>
          <w:szCs w:val="16"/>
        </w:rPr>
        <w:noBreakHyphen/>
        <w:t>мм — 5 чел.; 4) на башне танка должна быть командирская башенка с круговым обзором; 5) боеукладка снарядов и патронов должна быть удобной при пользовании, а смотровые приборы водителя должны обеспечивать видимость обоих крыльев танка, не пропускать пуль и свинцовых брызг; 6) для внешней связи использовать рацию “КРСТБ”, а для внутренней — танковое переговорное устройство на 4 точки (командир, водитель, радист, артиллерист); 7) дизель-мотор типа В</w:t>
      </w:r>
      <w:r w:rsidRPr="00A3026E">
        <w:rPr>
          <w:rFonts w:ascii="Times New Roman" w:hAnsi="Times New Roman"/>
          <w:color w:val="000000" w:themeColor="text1"/>
          <w:sz w:val="16"/>
          <w:szCs w:val="16"/>
        </w:rPr>
        <w:noBreakHyphen/>
        <w:t>2 (В</w:t>
      </w:r>
      <w:r w:rsidRPr="00A3026E">
        <w:rPr>
          <w:rFonts w:ascii="Times New Roman" w:hAnsi="Times New Roman"/>
          <w:color w:val="000000" w:themeColor="text1"/>
          <w:sz w:val="16"/>
          <w:szCs w:val="16"/>
        </w:rPr>
        <w:noBreakHyphen/>
        <w:t>5) 700 л. с.; 8) предусмотреть возможность установки на танк КВ огнемета с дальностью не менее 90 м и с запасом огневой смеси не менее чем на 10</w:t>
      </w:r>
      <w:r w:rsidRPr="00A3026E">
        <w:rPr>
          <w:rFonts w:ascii="Times New Roman" w:hAnsi="Times New Roman"/>
          <w:color w:val="000000" w:themeColor="text1"/>
          <w:sz w:val="16"/>
          <w:szCs w:val="16"/>
        </w:rPr>
        <w:noBreakHyphen/>
        <w:t>12 выстрелов. Кировскому заводу предписывалось ввести все эти дополнения и изменения в конструкцию танка КВ с 1 марта 1941 г., а заводу № 75 Наркомата среднего машиностроения СССР обеспечить с 1 января 1941 г. выпуск следующих дизель-моторов для танков КВ: В</w:t>
      </w:r>
      <w:r w:rsidRPr="00A3026E">
        <w:rPr>
          <w:rFonts w:ascii="Times New Roman" w:hAnsi="Times New Roman"/>
          <w:color w:val="000000" w:themeColor="text1"/>
          <w:sz w:val="16"/>
          <w:szCs w:val="16"/>
        </w:rPr>
        <w:noBreakHyphen/>
        <w:t>2</w:t>
      </w:r>
      <w:r w:rsidRPr="00A3026E">
        <w:rPr>
          <w:rFonts w:ascii="Times New Roman" w:hAnsi="Times New Roman"/>
          <w:color w:val="000000" w:themeColor="text1"/>
          <w:sz w:val="16"/>
          <w:szCs w:val="16"/>
        </w:rPr>
        <w:noBreakHyphen/>
        <w:t>К (600 л. с.) и В</w:t>
      </w:r>
      <w:r w:rsidRPr="00A3026E">
        <w:rPr>
          <w:rFonts w:ascii="Times New Roman" w:hAnsi="Times New Roman"/>
          <w:color w:val="000000" w:themeColor="text1"/>
          <w:sz w:val="16"/>
          <w:szCs w:val="16"/>
        </w:rPr>
        <w:noBreakHyphen/>
        <w:t>5 (700 л. с.). (ГА РФ. Ф. 3. Оп. 46. Д. 344. Л. 232</w:t>
      </w:r>
      <w:r w:rsidRPr="00A3026E">
        <w:rPr>
          <w:rFonts w:ascii="Times New Roman" w:hAnsi="Times New Roman"/>
          <w:color w:val="000000" w:themeColor="text1"/>
          <w:sz w:val="16"/>
          <w:szCs w:val="16"/>
        </w:rPr>
        <w:noBreakHyphen/>
        <w:t>234, 237.) (18018).</w:t>
      </w:r>
    </w:p>
    <w:p w14:paraId="40C4EEBA" w14:textId="77777777" w:rsidR="00893AC8" w:rsidRPr="00A3026E" w:rsidRDefault="00893AC8" w:rsidP="00A3026E">
      <w:pPr>
        <w:spacing w:after="0" w:line="240" w:lineRule="auto"/>
        <w:jc w:val="both"/>
        <w:rPr>
          <w:rFonts w:ascii="Times New Roman" w:hAnsi="Times New Roman"/>
          <w:color w:val="000000" w:themeColor="text1"/>
          <w:sz w:val="16"/>
          <w:szCs w:val="16"/>
        </w:rPr>
      </w:pPr>
    </w:p>
    <w:p w14:paraId="5E07231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г. на состоявшемся в Кремле заседании Комитета обороны при СНК СССР было принято </w:t>
      </w:r>
      <w:hyperlink r:id="rId113" w:tgtFrame="_blank" w:history="1">
        <w:r w:rsidRPr="00A3026E">
          <w:rPr>
            <w:rStyle w:val="a5"/>
            <w:rFonts w:ascii="Times New Roman" w:hAnsi="Times New Roman"/>
            <w:color w:val="000000" w:themeColor="text1"/>
            <w:sz w:val="16"/>
            <w:szCs w:val="16"/>
          </w:rPr>
          <w:t>Постановление № 428сс «О дополнениях и изменениях в тактико-технические требования по танкам КВ, Т-34 и Т-40»</w:t>
        </w:r>
      </w:hyperlink>
      <w:r w:rsidRPr="00A3026E">
        <w:rPr>
          <w:rFonts w:ascii="Times New Roman" w:hAnsi="Times New Roman"/>
          <w:color w:val="000000" w:themeColor="text1"/>
          <w:sz w:val="16"/>
          <w:szCs w:val="16"/>
        </w:rPr>
        <w:t>. Ниже приведем выписки из этого документа, непосредственно касающиеся танка Т-34: </w:t>
      </w:r>
    </w:p>
    <w:p w14:paraId="52DB360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танку Т-34 в дополнение к тактико-техническим требованиям, утвержденным постановлениями КО при СНК СССР от 27.2.39 г. за № 45сс и от 19.12.39 г. за № 443сс, внести следующие дополнения и изменения: </w:t>
      </w:r>
    </w:p>
    <w:p w14:paraId="3EB4753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Полный боевой вес для танка Т-34 установить не более 26 тонн. </w:t>
      </w:r>
    </w:p>
    <w:p w14:paraId="2C02CF6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вооружение танка Т-34 утвердить 76 мм. пушку Л-11, спаренную с пулеметом ДТ в башне танка, второй пулемет ДТ – радисту и один пулемет-пистолет (ППД) в башне для стрельбы из люков. </w:t>
      </w:r>
    </w:p>
    <w:p w14:paraId="02DB49E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января 1941 г. танк Т-34 вооружать 76 мм. пушкой Ф-34. </w:t>
      </w:r>
    </w:p>
    <w:p w14:paraId="31AF188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Боекомплект для танка Т-34 установить: </w:t>
      </w:r>
    </w:p>
    <w:p w14:paraId="254DE02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Снарядов для 76 мм. пушки не менее 100 шт. </w:t>
      </w:r>
    </w:p>
    <w:p w14:paraId="379DC7A2"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Патронов к ДТ не менее 4.500 шт. </w:t>
      </w:r>
    </w:p>
    <w:p w14:paraId="3B006EE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Патронов к ППД не менее 500 шт. </w:t>
      </w:r>
    </w:p>
    <w:p w14:paraId="1AABD16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Ручных гранат не менее 25 шт. </w:t>
      </w:r>
    </w:p>
    <w:p w14:paraId="4C8D9125"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Бронирование – толщину брони и угла наклона установить: </w:t>
      </w:r>
    </w:p>
    <w:p w14:paraId="6E0616C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щиток водителя 45 мм. при угле наклона – 30° </w:t>
      </w:r>
    </w:p>
    <w:p w14:paraId="7AA49E1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лобовой лист 45 мм. при угле наклона – 57° </w:t>
      </w:r>
    </w:p>
    <w:p w14:paraId="1850E0F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бортовой вертикальный лист 45 мм при угле наклона – 0° </w:t>
      </w:r>
    </w:p>
    <w:p w14:paraId="71D462F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бортовой наклонный лист 40 мм. при угле наклона – 40° </w:t>
      </w:r>
    </w:p>
    <w:p w14:paraId="7BE66144"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кормовой наклонный лист и нижний лист 40 мм при угле наклона – 45–47° </w:t>
      </w:r>
    </w:p>
    <w:p w14:paraId="502E7A7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днище в передней части – 20 мм. в задней части – 16 мм. </w:t>
      </w:r>
    </w:p>
    <w:p w14:paraId="221E194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крыша боевого отделения – 20 мм. моторного – 16 мм. </w:t>
      </w:r>
    </w:p>
    <w:p w14:paraId="77BD7D8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борт башни 45 мм. при угле наклона – 30° </w:t>
      </w:r>
    </w:p>
    <w:p w14:paraId="3B85AD1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дно ниши башни – 20 мм. </w:t>
      </w:r>
    </w:p>
    <w:p w14:paraId="124E076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крыша башни – 20 мм. </w:t>
      </w:r>
    </w:p>
    <w:p w14:paraId="567DB44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Бронировка артсистемы и бортовой передачи должна быть равнопрочной всему корпусу. </w:t>
      </w:r>
    </w:p>
    <w:p w14:paraId="2F7B0AA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 танк Т-34 устанавливать двигатель дизель В-2-К 600 л.с. </w:t>
      </w:r>
    </w:p>
    <w:p w14:paraId="1E5454E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Система охлаждения, смазки и питания горючим должны обеспечить нормальную работу дизеля в течение 10 – 12 часов безостановочного движения танка при любых режимах работы дизеля и при температурах наружного воздуха от –40° до +40°С. </w:t>
      </w:r>
    </w:p>
    <w:p w14:paraId="2448F5A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Воздухоочиститель должен гарантировать очистку воздуха не менее чем на 95 % в течение 10 – 12-ти часов работы в условиях запыленности без промывки. </w:t>
      </w:r>
    </w:p>
    <w:p w14:paraId="1E05178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Запуск дизеля производить от электростартера и электроинерционного стартера с ручной раскруткой или от электростартера и воздухопуска без выхода экипажа из танка. </w:t>
      </w:r>
    </w:p>
    <w:p w14:paraId="44648CA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Вентилятор должен обеспечивать надежное охлаждение двигателя и без поломок гарантировать срок работы танка до капитального ремонта. </w:t>
      </w:r>
    </w:p>
    <w:p w14:paraId="6074D11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Для повышения удобства работы орудийного расчета и для лучшего управления танком произвести расширение башни без изменения погона и установить на крыше башни командирскую башенку с круговым обзором. </w:t>
      </w:r>
    </w:p>
    <w:p w14:paraId="7C871555"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Боеукладка снарядов и патронов на танке Т-34 должна быть удобной при пользовании и обеспечивать экипажу темп стрельбы не менее 6 прицельных выстрелов в минуту на ходу танка. Угол возвышения артустановки +30° и угол снижения –5°. </w:t>
      </w:r>
    </w:p>
    <w:p w14:paraId="654A48E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Смотровые приборы водителя и радиста танка Т-34 должны обеспечивать видимость обоих крыльев танка, не пропускать пуль и свинцовых брызг, быстро сменяться при поражении и иметь возможность хорошего очищения от пыли, снега и грязи. Для лучшего обеспечения наблюдения при вождении танка установить для водителя дополнительный смотровой прибор, решив при этом вопрос целесообразности оставления на танке переднего люка водителя. Для наблюдения из танка по сторонам установить бортовые смотровые приборы (по одному на сторону) для удобного пользования ими водителю и радисту танка. </w:t>
      </w:r>
    </w:p>
    <w:p w14:paraId="6DDAA1E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Для внешней связи установить в носовой части рацию КРСТБ, предусмотрев возможность размещения и работы рации 71-ТК-З. Антенна – штыревая, укладывающаяся вдоль борта изнутри танка. Для внутренней связи – ТПУ на три точки (командир, водитель, радист). </w:t>
      </w:r>
    </w:p>
    <w:p w14:paraId="7781DD4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Предусмотреть возможность установки на танке Т-34 огнемета с дальностью огнеметания не менее 90 мт. и с запасом огнесмеси не менее, чем на 10 – 12 выстрелов. </w:t>
      </w:r>
    </w:p>
    <w:p w14:paraId="4C13D0C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Межремонтный пробег работы танка Т-34 должен быть не менее 7.000 клм. до капитального ремонта. Главный и бортовые фрикционы должны обеспечивать надежную работу при любых дорожных условиях движения без коробления дисков. Регулировка агрегатов трансмиссии должна производиться не чаще, чем через 1.000 клм. движения. </w:t>
      </w:r>
    </w:p>
    <w:p w14:paraId="2F3D3B3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Гарантийный километраж работы ходовой части (траки, пальцы, катки, ведущее колесо и т.д.) танка установить не менее 3.000 клм. </w:t>
      </w:r>
    </w:p>
    <w:p w14:paraId="5B163793"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Зацепление гусеницы сделать цевочным, предусмотрев крепление шпор. </w:t>
      </w:r>
    </w:p>
    <w:p w14:paraId="7E5EE6E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завод № 183 НКСМ все указанные дополнения и изменения, согласно настоящему постановлению, ввести на танк Т-34 с 1 февраля 1941 г. </w:t>
      </w:r>
    </w:p>
    <w:p w14:paraId="19CC35D5"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НКСМ и НКО к 1 января 1941 г. представить в К.О. свои предложения о переходе на производство танков Т-34 с торсионной подвеской».</w:t>
      </w:r>
    </w:p>
    <w:p w14:paraId="4A39FC0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[ГАРФ. Ф. 8418. Оп. 28. Д. 122. Л. 234 – 236]</w:t>
      </w:r>
    </w:p>
    <w:p w14:paraId="2D86759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Этим же постановлением завод № 75 с 1 января 1941 г. обязывался обеспечить гарантийный срок работы дизелей В-2 и В-2-К не менее 150 моточасов, а с 1 июня 1941 г. – не менее 200 моточасов (напомним, что в 1940 г. гарантийный срок работы дизеля В-2 составлял всего 100 моточасов). </w:t>
      </w:r>
    </w:p>
    <w:p w14:paraId="1A5A85B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с принятием Постановления № 428сс коллективу завода № 183 надлежало параллельно с освоением массового производства танка Т-34 в кратчайшие сроки, менее чем за два с половиной месяца, произвести его модернизацию. Это было крайне непростой задачей, особенно с учетом того факта, что в октябре 1940 г. заводу № 183 удалось окончательно сдать заказчику вместо предусмотренных планом 115, только один танк Т-34 (18206).</w:t>
      </w:r>
    </w:p>
    <w:p w14:paraId="1DC87F1F" w14:textId="77777777" w:rsidR="00C64F82" w:rsidRPr="00A3026E" w:rsidRDefault="00C64F82" w:rsidP="00A3026E">
      <w:pPr>
        <w:spacing w:after="0" w:line="240" w:lineRule="auto"/>
        <w:jc w:val="both"/>
        <w:rPr>
          <w:rFonts w:ascii="Times New Roman" w:hAnsi="Times New Roman"/>
          <w:color w:val="000000" w:themeColor="text1"/>
          <w:sz w:val="16"/>
          <w:szCs w:val="16"/>
        </w:rPr>
      </w:pPr>
    </w:p>
    <w:p w14:paraId="2FC1803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 ноября 1940 г. </w:t>
      </w:r>
    </w:p>
    <w:p w14:paraId="2D614B93"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ГАРФ Фонд 8418 Опись 28 Дело 122 листы 232 – 237 </w:t>
      </w:r>
    </w:p>
    <w:p w14:paraId="089D0EB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 Секретно. </w:t>
      </w:r>
    </w:p>
    <w:p w14:paraId="0C4A1A7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1</w:t>
      </w:r>
    </w:p>
    <w:p w14:paraId="11E5D924"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 428сс</w:t>
      </w:r>
    </w:p>
    <w:p w14:paraId="39C7FD5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Комитета обороны при СНК Союза ССР</w:t>
      </w:r>
    </w:p>
    <w:p w14:paraId="484FB6F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г. Москва, Кремль</w:t>
      </w:r>
    </w:p>
    <w:p w14:paraId="352B2E4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дополнениях и изменениях в тактико-технические требования по танкам КВ, Т-34 и Т-40.</w:t>
      </w:r>
    </w:p>
    <w:p w14:paraId="549BEA2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КОМИТЕТ ОБОРОНЫ при СНК СССР постановляет: </w:t>
      </w:r>
    </w:p>
    <w:p w14:paraId="7C72E47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танку КВ в тактико-технические требования, утвержденные постановлением КО при СНК СССР от 15 мая 1939 г. за № 118сс внести следующие дополнения и изменения: </w:t>
      </w:r>
    </w:p>
    <w:p w14:paraId="5EB44EB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Полный боевой вес для танка КВ установить: </w:t>
      </w:r>
    </w:p>
    <w:p w14:paraId="463CFBC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 артсистемой 152 мм. – 50 тн., </w:t>
      </w:r>
    </w:p>
    <w:p w14:paraId="2C93E2B4"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 артсистемой 76 мм – 42,5 тн. </w:t>
      </w:r>
    </w:p>
    <w:p w14:paraId="406CCBF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Габариты танка КВ установить: </w:t>
      </w:r>
    </w:p>
    <w:p w14:paraId="28D97B8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Установить на вооружение танка КВ, как с 152 мм., так и с 76 мм. артсистемой, три пулемета ДТ, разместив их: </w:t>
      </w:r>
    </w:p>
    <w:p w14:paraId="3A64B7B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один пулемет, спаренный с пушкой, в башне танка; </w:t>
      </w:r>
    </w:p>
    <w:p w14:paraId="44E9DBB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второй пулемет в нише башни танка (для стрельбы назад); </w:t>
      </w:r>
    </w:p>
    <w:p w14:paraId="5A9F310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третий пулемет – в носовой части танка. </w:t>
      </w:r>
    </w:p>
    <w:p w14:paraId="2828DE2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в каждый танк КВ ввести на вооружение один пулемет-пистолет Дегтярева (ППД) в башне танка для стрельбы из люков. </w:t>
      </w:r>
    </w:p>
    <w:p w14:paraId="42DFDE6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Боекомплект для танка КВ установить: </w:t>
      </w:r>
    </w:p>
    <w:p w14:paraId="2164EE64"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Экипаж танка КВ установить: </w:t>
      </w:r>
    </w:p>
    <w:p w14:paraId="381A304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для танка с 152 мм. артсистемой – 6 человек (командир и три артиллериста в башне танка, водитель и радист в носовой части танка); </w:t>
      </w:r>
    </w:p>
    <w:p w14:paraId="5FBB8F6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для танка с 76 мм. артсистемой – 5 человек (командир и два артиллериста в башне танка, водитель и радист в носовой части танка); </w:t>
      </w:r>
    </w:p>
    <w:p w14:paraId="39793A4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Для повышения удобства работы и управления танков КВ установить на башне танка командирскую башенку с круговым обзором. </w:t>
      </w:r>
    </w:p>
    <w:p w14:paraId="7ABEC502"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Боеукладка снарядов и патронов в танке КВ должна быть удобной при пользовании и обеспечивать экипажу темп стрельбы из 152 мм. пушки не менее двух (с остановки), а из 76 мм. пушки не менее шести прицельных выстрелов в минуту на ходу танка. </w:t>
      </w:r>
    </w:p>
    <w:p w14:paraId="0398D58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Смотровые приборы водителя на танке КВ должны обеспечивать видимость обоих крыльев танка, не пропускать пуль и свинцовых брызг, быстро сменяться при поражении и иметь возможность хорошего очищения от пыли, снега и грязи. Для удобства наблюдения и повышения меткости при ведении огня, на пулемет радиста установить оптический прицел. </w:t>
      </w:r>
    </w:p>
    <w:p w14:paraId="1944D3B2"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Для внешней связи танка КВ установить рацию КРСТБ, предусмотрев возможность размещения и работы рации 71-ТК-3. Для внутренней связи установить ТПУ на 4 точки (командир, водитель, радист и артиллерист). </w:t>
      </w:r>
    </w:p>
    <w:p w14:paraId="007A0ED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В танк КВ устанавливать дизель-мотор типа В-2 (В-5) 700 л.с. в существующих габаритах, обеспечив взаимозаменяемость без переделок танке. </w:t>
      </w:r>
    </w:p>
    <w:p w14:paraId="6598D46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Система охлаждения, смазки и питания горючим должны обеспечить нормальную работу дизеля в течение 10 часов безостановочного движения танка при любых режимах работы дизеля и при температурах наружного воздуха от +40° до –40°С. </w:t>
      </w:r>
    </w:p>
    <w:p w14:paraId="331A56E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Межремонтный пробег работы танка КВ должен быть, не менее 6.000 клм. до капитального ремонта. Гарантийный километраж работы ходовой части (пальцы, траки, катки и т.д.) должен быть не менее – 3.000 клм. </w:t>
      </w:r>
    </w:p>
    <w:p w14:paraId="1483CFA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Предусмотреть возможность установки на танке КВ огнемета с дальностью огнеметания не менее 90 мт. и с запасом огнесмеси не менее, чем на 10 – 12 выстрелов. </w:t>
      </w:r>
    </w:p>
    <w:p w14:paraId="1FC2124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Кировский завод Наркомтяжмаша все указанные дополнения и изменения, согласно настоящему постановлению, ввести на танк "КВ" с 1 марта 1941 года. </w:t>
      </w:r>
    </w:p>
    <w:p w14:paraId="734535F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 танку Т-34 дополнительно к тактико-техническим требованиям, утвержденным постановлениями КО при СНК СССР от 27.2.39 г. за № 45сс и от 19.12.39 г. за № 443сс, внести следующие дополнения и изменения: </w:t>
      </w:r>
    </w:p>
    <w:p w14:paraId="413439B2"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Полный боевой вес для танка Т-34 установить не более 26 тонн. </w:t>
      </w:r>
    </w:p>
    <w:p w14:paraId="0B9629F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вооружение танка Т-34 утвердить 76 мм. пушку Л-11, спаренную с пулеметом ДТ в башне танка, второй пулемет ДТ – радисту и один пулемет-пистолет (ППД) в башне для стрельбы из люков. С 1 января 1941 г. танк Т-34 вооружать 76 мм. пушкой Ф-34. </w:t>
      </w:r>
    </w:p>
    <w:p w14:paraId="1AD4F3C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Боекомплект для танка Т-34 установить: </w:t>
      </w:r>
    </w:p>
    <w:p w14:paraId="7699B7B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Снарядов для 76 мм. пушки не менее – 100 шт. </w:t>
      </w:r>
    </w:p>
    <w:p w14:paraId="022ADDA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Патронов к ДТ не менее – 4.500 шт. </w:t>
      </w:r>
    </w:p>
    <w:p w14:paraId="4186EDD2"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Патронов к ППД не менее – 500 шт. </w:t>
      </w:r>
    </w:p>
    <w:p w14:paraId="705E5F1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Ручных гранат не менее – 25 шт. </w:t>
      </w:r>
    </w:p>
    <w:p w14:paraId="6F71EE7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Бронирование – толщину брони и угла наклона установить: </w:t>
      </w:r>
    </w:p>
    <w:p w14:paraId="00D6E6B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щиток водителя 45 мм. при угле наклона – 30° </w:t>
      </w:r>
    </w:p>
    <w:p w14:paraId="4F5CA71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лобовой лист 45 мм. при угле наклона – 57° </w:t>
      </w:r>
    </w:p>
    <w:p w14:paraId="3083A75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бортовой вертикальный лист 45 мм при угле наклона – 0° </w:t>
      </w:r>
    </w:p>
    <w:p w14:paraId="45B8064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бортовой наклонный лист 40 мм. при угле наклона – 40° </w:t>
      </w:r>
    </w:p>
    <w:p w14:paraId="3FD4CE4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кормовой наклонный лист и нижний лист 40 мм при угле наклона – 45 – 47° </w:t>
      </w:r>
    </w:p>
    <w:p w14:paraId="61FAF58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днище в передней части – 20 мм. </w:t>
      </w:r>
    </w:p>
    <w:p w14:paraId="73AB080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задней части – 16 мм. </w:t>
      </w:r>
    </w:p>
    <w:p w14:paraId="0360AEC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крыша боевого отделения– 20 мм. </w:t>
      </w:r>
    </w:p>
    <w:p w14:paraId="2F1E741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моторного – 16 мм. </w:t>
      </w:r>
    </w:p>
    <w:p w14:paraId="3E58881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борт башни 45 мм. при угле наклона – 30° </w:t>
      </w:r>
    </w:p>
    <w:p w14:paraId="6569F694"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дно ниши башни – 20 мм. </w:t>
      </w:r>
    </w:p>
    <w:p w14:paraId="2D25814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крыша башни – 20 мм. </w:t>
      </w:r>
    </w:p>
    <w:p w14:paraId="12DC6D43"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Бронировка артсистемы и бортовой передачи должна быть равнопрочной всему корпусу. </w:t>
      </w:r>
    </w:p>
    <w:p w14:paraId="2D58643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 танк Т-34 устанавливать двигатель дизель В-2-К 600 л.с. </w:t>
      </w:r>
    </w:p>
    <w:p w14:paraId="3309EA73"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Система охлаждения, смазки и питания горючим должны обеспечить нормальную работу дизеля в течение 10 – 12 часов безостановочного движения танка при любых режимах работы дизеля и при температурах наружного воздуха от –40° до +40°С. </w:t>
      </w:r>
    </w:p>
    <w:p w14:paraId="1E740E6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Воздухоочиститель должен гарантировать очистку воздуха не менее чем на 95% в течение 10 – 12-ти часов работы в условиях запыленности без промывки. </w:t>
      </w:r>
    </w:p>
    <w:p w14:paraId="655949F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Запуск дизеля производить от электростартера и электроинерционного стартера с ручной раскруткой или от электростартера и воздухопуска без выхода экипажа из танка. Вентилятор должен обеспечивать надежное охлаждение двигателя и без поломок гарантировать срок работы танка до капитального ремонта. </w:t>
      </w:r>
    </w:p>
    <w:p w14:paraId="2D77DD6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Для повышения удобства работы орудийного расчета и для лучшего управления танком произвести расширение башни без изменения погона и установить на крыше башни командирскую башенку с круговым обзором. </w:t>
      </w:r>
    </w:p>
    <w:p w14:paraId="6A7498B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Боеукладка снарядов и патронов на танке Т-34 должна быть удобной при пользовании и обеспечивать экипажу темп стрельбы не менее 6 прицельных выстрелов в минуту на ходу танка. Угол возвышения артустановки +30° и угол снижения –5°. </w:t>
      </w:r>
    </w:p>
    <w:p w14:paraId="1614AE4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Смотровые приборы водителя и радиста танка Т-34 должны обеспечивать видимость обоих крыльев танка, не пропускать пуль и свинцовых брызг, быстро сменяться при поражении и иметь возможность хорошего очищения от пыли, снега и грязи. Для лучшего обеспечения наблюдения при вождении танка установить для водителя дополнительный смотровой прибор, решив при этом вопрос целесообразности оставления на танке переднего люка водителя. Для наблюдения из танка по сторонам установить бортовые смотровые приборы (по одному на сторону) для удобного пользования ими водителю и радисту танка. </w:t>
      </w:r>
    </w:p>
    <w:p w14:paraId="326FB4C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Для внешней связи установить в носовой части рацию КРСТБ, предусмотрев возможность размещения и работы радии 71-ТК-З. Антенна – штыревая, укладывающаяся вдоль борта изнутри танка. Для внутренней связи – ТПУ на три точки (командир, водитель, радист). </w:t>
      </w:r>
    </w:p>
    <w:p w14:paraId="027763A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Предусмотреть возможность установки на танке Т-34 огнемета с дальностью огнеметания не менее 90 мт. и с запасом огнесмеси не менее, чем на 10 – 12 выстрелов. </w:t>
      </w:r>
    </w:p>
    <w:p w14:paraId="3937C9D3"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Межремонтный пробег работы танка Т-34 должен быть не менее 7.000 клм. до капитального ремонта. Главный и бортовые фрикционы должны обеспечивать надежную работу при любых дорожных условиях движения без коробления дисков. Регулировка агрегатов трансмиссии должна производиться не чаще, чем через 1.000 клм. движения. Гарантийный километраж работы ходовой части (траки, пальцы, катки, ведущее колесо и т.д.) танка установить не менее 3.000 клм. </w:t>
      </w:r>
    </w:p>
    <w:p w14:paraId="2C4685A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Зацепление гусеницы сделать цевочным, предусмотрев крепление шпор. </w:t>
      </w:r>
    </w:p>
    <w:p w14:paraId="2882855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завод № 183 НКСМ все указанные дополнения и изменения, согласно настоящему постановлению, ввести на танк Т-34 с 1 февраля 1941 г. </w:t>
      </w:r>
    </w:p>
    <w:p w14:paraId="3242A92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НКСМ и НКО к 1 января 1941 г. представить в К.О. свои предложения о переходе на производство танков Т-34 с торсионной подвеской. </w:t>
      </w:r>
    </w:p>
    <w:p w14:paraId="4261419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танку Т-40 разрешить заводу № 37 НКСМ выпуск серийных танков по тактико-технической характеристике (приложение № 1) по чертежам и техусловиям, утвержденным НКО (ГАБТУ КА). </w:t>
      </w:r>
    </w:p>
    <w:p w14:paraId="281E560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Межремонтный пробег танка Т-40 должен быть не менее 8.000 клм. до капитального ремонта. Установить гарантийный километраж на ходовую часть (траки, пальцы, катки и т.д.) танка Т-40 не менее 4.000 клм. пробега. Обязать Наркомсредмаш, Наркомнефтепром и Наркомхимпром устранить недостатки по танку Т-40 в сроки, согласно прилагаемому перечню (приложение № 2). </w:t>
      </w:r>
    </w:p>
    <w:p w14:paraId="2ED76DB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Постановления КО № 198сс от 7.7.1938 г. и № 45сс от 27.2.39 г. в отношении тактико-технических требований но танку Т-40 – отменить. </w:t>
      </w:r>
    </w:p>
    <w:p w14:paraId="1999B6A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завод № 75 НКСМ с 1 января 1941 г. обеспечить выпуск дизель-моторов: </w:t>
      </w:r>
    </w:p>
    <w:p w14:paraId="39016AC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В-2 (500 л.с.) для танков Т-34, </w:t>
      </w:r>
    </w:p>
    <w:p w14:paraId="066A380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B-2-K (600 л.с.) для танков Т-34 и КВ, </w:t>
      </w:r>
    </w:p>
    <w:p w14:paraId="33F40EF4"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В-5 (700 л.с.) для танков КВ, </w:t>
      </w:r>
    </w:p>
    <w:p w14:paraId="34EE7923"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В-3 (300 л.с. с измененным картером) для танков Т-50. </w:t>
      </w:r>
    </w:p>
    <w:p w14:paraId="3BAA0D0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Гарантийный срок работы в танках дизель-моторов В-2, В-2-К, В-5 и В-3 установить с 1 января 1941 г. не менее 150 часов, а с 1 июня 1941 г. не менее 200 часов. </w:t>
      </w:r>
    </w:p>
    <w:p w14:paraId="05C2B32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Наркомсредмаш – т. МАЛЫШЕВУ к 1 января 1941 г. представить на утверждение в К.О. проект по расширению производства дизель-моторов В-2, В-2-К, В-5 и В-3 в количествах, обеспечивающих потребность НКО по выпуску танков KB, Т-34 и Т-50 из расчета один запасный мотор на каждые два танка.</w:t>
      </w:r>
    </w:p>
    <w:p w14:paraId="19602222"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КОМИТЕТА ОБОРОНЫ ПРИ СНК СОЮЗА ССР (К. Ворошилов)</w:t>
      </w:r>
    </w:p>
    <w:p w14:paraId="180A3DF5"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СЕКРЕТАРЬ КОМИТЕТА ОБОРОНЫ ПРИ СНК СОЮЗА ССР подпись (М. Пугаев) (18556).</w:t>
      </w:r>
    </w:p>
    <w:p w14:paraId="5BF79E0B" w14:textId="77777777" w:rsidR="00C64F82" w:rsidRPr="00A3026E" w:rsidRDefault="00C64F82" w:rsidP="00A3026E">
      <w:pPr>
        <w:spacing w:after="0" w:line="240" w:lineRule="auto"/>
        <w:jc w:val="both"/>
        <w:rPr>
          <w:rFonts w:ascii="Times New Roman" w:hAnsi="Times New Roman"/>
          <w:color w:val="000000" w:themeColor="text1"/>
          <w:sz w:val="16"/>
          <w:szCs w:val="16"/>
        </w:rPr>
      </w:pPr>
    </w:p>
    <w:p w14:paraId="4576F51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года вышло постановление Комитета обороны при СНК Союза ССР №428сс «О дополнениях и изменениях в тактико-технические требования по танкам КВ, Т-34 и Т-40». С подачи НКСМ и Народного комиссариата тяжёлого машиностроения (НКТМ) планировавшаяся модернизация Т-34 оказалась куда менее глубокой, чем предлагалось руководством ГАБТУ КА. Планировалось поставить двигатель В-2К от КВ-1, расширить башню (без увеличения диаметра башенного погона), поставив командирскую башенку, а также рассмотреть возможность установки торсионной подвески. Столь скромные метаморфозы объяснялись прежде всего желанием получить в кратчайшие сроки, возможно, менее совершенный, но более надёжный танк. Дело в том, что одновременно повышались требования к надёжности. Впрочем, в ГАБТУ КА столь «мягкие» пункты постановления №428сс посчитали недостаточными. Там полагали, что необходимо расширять не только башню, но и её погон (до 1600 мм), а также сделать командира отдельным членом экипажа (18281).</w:t>
      </w:r>
    </w:p>
    <w:p w14:paraId="7FA67A07" w14:textId="77777777" w:rsidR="00C64F82" w:rsidRPr="00A3026E" w:rsidRDefault="00C64F82" w:rsidP="00A3026E">
      <w:pPr>
        <w:spacing w:after="0" w:line="240" w:lineRule="auto"/>
        <w:jc w:val="both"/>
        <w:rPr>
          <w:rFonts w:ascii="Times New Roman" w:hAnsi="Times New Roman"/>
          <w:color w:val="000000" w:themeColor="text1"/>
          <w:sz w:val="16"/>
          <w:szCs w:val="16"/>
        </w:rPr>
      </w:pPr>
    </w:p>
    <w:p w14:paraId="30A4619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 ноября 1940 г. </w:t>
      </w:r>
    </w:p>
    <w:p w14:paraId="2D40D23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ГАРФ Фонд 8418 Опись 28 Дело 122 листы 232 – 237 </w:t>
      </w:r>
    </w:p>
    <w:p w14:paraId="2ACD8B8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 Секретно. </w:t>
      </w:r>
    </w:p>
    <w:p w14:paraId="2A6F9EE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1 </w:t>
      </w:r>
    </w:p>
    <w:p w14:paraId="1730C9D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 428сс</w:t>
      </w:r>
    </w:p>
    <w:p w14:paraId="45BCB5A4"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Комитета обороны при СНК Союза ССР</w:t>
      </w:r>
    </w:p>
    <w:p w14:paraId="739141A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г. Москва, Кремль</w:t>
      </w:r>
    </w:p>
    <w:p w14:paraId="26914F4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дополнениях и изменениях в тактико-технические требования по танкам КВ, Т-34 и Т-40.</w:t>
      </w:r>
    </w:p>
    <w:p w14:paraId="2F9C4BD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КОМИТЕТ ОБОРОНЫ при СНК СССР постановляет: </w:t>
      </w:r>
    </w:p>
    <w:p w14:paraId="1A171FA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танку КВ в тактико-технические требования, утвержденные постановлением КО при СНК СССР от 15 мая 1939 г. за № 118сс внести следующие дополнения и изменения: </w:t>
      </w:r>
    </w:p>
    <w:p w14:paraId="0426E0C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Полный боевой вес для танка КВ установить: </w:t>
      </w:r>
    </w:p>
    <w:p w14:paraId="6289FD3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с артсистемой 152 мм. – 50 тн., </w:t>
      </w:r>
    </w:p>
    <w:p w14:paraId="62C43FC2"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б) с артсистемой 76 мм – 42,5 тн. </w:t>
      </w:r>
    </w:p>
    <w:p w14:paraId="1DCEDD54"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Габариты танка КВ установить: </w:t>
      </w:r>
    </w:p>
    <w:p w14:paraId="240DAFE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Установить на вооружение танка КВ, как с 152 мм., так и с 76 мм. артсистемой, три пулемета ДТ, разместив их: </w:t>
      </w:r>
    </w:p>
    <w:p w14:paraId="3C227A0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один пулемет, спаренный с пушкой, в башне танка; </w:t>
      </w:r>
    </w:p>
    <w:p w14:paraId="11B0261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второй пулемет в нише башни танка (для стрельбы назад); </w:t>
      </w:r>
    </w:p>
    <w:p w14:paraId="2DB278D5"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третий пулемет – в носовой части танка. </w:t>
      </w:r>
    </w:p>
    <w:p w14:paraId="32D23E8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Кроме того в каждый танк КВ ввести на вооружение один пулемет-пистолет Дегтярева (ППД) в башне танка для стрельбы из люков. </w:t>
      </w:r>
    </w:p>
    <w:p w14:paraId="46B4740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Боекомплект для танка КВ установить: </w:t>
      </w:r>
    </w:p>
    <w:p w14:paraId="13D47EA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Экипаж танка КВ установить: </w:t>
      </w:r>
    </w:p>
    <w:p w14:paraId="5A0C5A8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для танка с 152 мм. артсистемой – 6 человек (командир и три артиллериста в башне танка, водитель и радист в носовой части танка); </w:t>
      </w:r>
    </w:p>
    <w:p w14:paraId="26FB042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для танка с 76 мм. артсистемой – 5 человек (командир и два артиллериста в башне танка, водитель и радист в носовой части танка); </w:t>
      </w:r>
    </w:p>
    <w:p w14:paraId="06DA3A3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Для повышения удобства работы и управления танков КВ установить на башне танка командирскую башенку с круговым обзором. </w:t>
      </w:r>
    </w:p>
    <w:p w14:paraId="7CF7E362"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Боеукладка снарядов и патронов в танке КВ должна быть удобной при пользовании и обеспечивать экипажу темп стрельбы из 152 мм. пушки не менее двух (с остановки), а из 76 мм. пушки не менее шести прицельных выстрелов в минуту на ходу танка. </w:t>
      </w:r>
    </w:p>
    <w:p w14:paraId="4CDB288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Смотровые приборы водителя на танке КВ должны обеспечивать видимость обоих крыльев танка, не пропускать пуль и свинцовых брызг, быстро сменяться при поражении и иметь возможность хорошего очищения от пыли, снега и грязи. Для удобства наблюдения и повышения меткости при ведении огня, на пулемет радиста установить оптический прицел. </w:t>
      </w:r>
    </w:p>
    <w:p w14:paraId="0EAE9BB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Для внешней связи танка КВ установить рацию КРСТБ, предусмотрев возможность размещения и работы рации 71-ТК-3. Для внутренней связи установить ТПУ на 4 точки (командир, водитель, радист и артиллерист). </w:t>
      </w:r>
    </w:p>
    <w:p w14:paraId="5B975DD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В танк КВ устанавливать дизель-мотор типа В-2 (В-5) 700 л.с. в существующих габаритах, обеспечив взаимозаменяемость без переделок танке. </w:t>
      </w:r>
    </w:p>
    <w:p w14:paraId="58F7F61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Система охлаждения, смазки и питания горючим должны обеспечить нормальную работу дизеля в течение 10 часов безостановочного движения танка при любых режимах работы дизеля и при температурах наружного воздуха от +40° до –40°С. </w:t>
      </w:r>
    </w:p>
    <w:p w14:paraId="3BA7D8C5"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Межремонтный пробег работы танка КВ должен быть, не менее 6.000 клм. до капитального ремонта. Гарантийный километраж работы ходовой части (пальцы, траки, катки и т.д.) должен быть не менее – 3.000 клм. </w:t>
      </w:r>
    </w:p>
    <w:p w14:paraId="3133DB4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 Предусмотреть возможность установки на танке КВ огнемета с дальностью огнеметания не менее 90 мт. и с запасом огнесмеси не менее, чем на 10 – 12 выстрелов. </w:t>
      </w:r>
    </w:p>
    <w:p w14:paraId="2D70FBB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Обязать Кировский завод Наркомтяжмаша все указанные дополнения и изменения, согласно настоящему постановлению, ввести на танк "КВ" с 1 марта 1941 года. </w:t>
      </w:r>
    </w:p>
    <w:p w14:paraId="6275F7D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танку Т-34 дополнительно к тактико-техническим требованиям, утвержденным постановлениями КО при СНК СССР от 27.2.39 г. за № 45сс и от 19.12.39 г. за № 443сс, внести следующие дополнения и изменения: </w:t>
      </w:r>
    </w:p>
    <w:p w14:paraId="62B1FB2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Полный боевой вес для танка Т-34 установить не более 26 тонн. </w:t>
      </w:r>
    </w:p>
    <w:p w14:paraId="60FDC1C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На вооружение танка Т-34 утвердить 76 мм. пушку Л-11, спаренную с пулеметом ДТ в башне танка, второй пулемет ДТ – радисту и один пулемет-пистолет (ППД) в башне для стрельбы из люков. С 1 января 1941 г. танк Т-34 вооружать 76 мм. пушкой Ф-34. </w:t>
      </w:r>
    </w:p>
    <w:p w14:paraId="0200576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Боекомплект для танка Т-34 установить: </w:t>
      </w:r>
    </w:p>
    <w:p w14:paraId="6226996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Снарядов для 76 мм. пушки не менее – 100 шт. </w:t>
      </w:r>
    </w:p>
    <w:p w14:paraId="7DD910F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Патронов к ДТ не менее – 4.500 шт. </w:t>
      </w:r>
    </w:p>
    <w:p w14:paraId="0B6BC153"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Патронов к ППД не менее – 500 шт. </w:t>
      </w:r>
    </w:p>
    <w:p w14:paraId="3FE443A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Ручных гранат не менее – 25 шт. </w:t>
      </w:r>
    </w:p>
    <w:p w14:paraId="33032CF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Бронирование – толщину брони и угла наклона установить: </w:t>
      </w:r>
    </w:p>
    <w:p w14:paraId="1BE1B3E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щиток водителя 45 мм. при угле наклона – 30° </w:t>
      </w:r>
    </w:p>
    <w:p w14:paraId="3CBFCEDB"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лобовой лист 45 мм. при угле наклона – 57° </w:t>
      </w:r>
    </w:p>
    <w:p w14:paraId="256F7FE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бортовой вертикальный лист 45 мм при угле наклона – 0° </w:t>
      </w:r>
    </w:p>
    <w:p w14:paraId="418A7A5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бортовой наклонный лист 40 мм. при угле наклона – 40° </w:t>
      </w:r>
    </w:p>
    <w:p w14:paraId="78832E25"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кормовой наклонный лист и нижний лист 40 мм при угле наклона – 45 – 47° </w:t>
      </w:r>
    </w:p>
    <w:p w14:paraId="5B8E2E8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днище в передней части – 20 мм. </w:t>
      </w:r>
    </w:p>
    <w:p w14:paraId="789C299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задней части – 16 мм. </w:t>
      </w:r>
    </w:p>
    <w:p w14:paraId="19F46E4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ж) крыша боевого отделения– 20 мм. </w:t>
      </w:r>
    </w:p>
    <w:p w14:paraId="51388844"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моторного – 16 мм. </w:t>
      </w:r>
    </w:p>
    <w:p w14:paraId="00D0820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 борт башни 45 мм. при угле наклона – 30° </w:t>
      </w:r>
    </w:p>
    <w:p w14:paraId="5A1A1565"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 дно ниши башни – 20 мм. </w:t>
      </w:r>
    </w:p>
    <w:p w14:paraId="35B3BA6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крыша башни – 20 мм. </w:t>
      </w:r>
    </w:p>
    <w:p w14:paraId="4B01F5C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Бронировка артсистемы и бортовой передачи должна быть равнопрочной всему корпусу. </w:t>
      </w:r>
    </w:p>
    <w:p w14:paraId="253DB0C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На танк Т-34 устанавливать двигатель дизель В-2-К 600 л.с. </w:t>
      </w:r>
    </w:p>
    <w:p w14:paraId="4AB3769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Система охлаждения, смазки и питания горючим должны обеспечить нормальную работу дизеля в течение 10 – 12 часов безостановочного движения танка при любых режимах работы дизеля и при температурах наружного воздуха от –40° до +40°С. </w:t>
      </w:r>
    </w:p>
    <w:p w14:paraId="61D976D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Воздухоочиститель должен гарантировать очистку воздуха не менее чем на 95% в течение 10 – 12-ти часов работы в условиях запыленности без промывки. </w:t>
      </w:r>
    </w:p>
    <w:p w14:paraId="6EB0025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Запуск дизеля производить от электростартера и электроинерционного стартера с ручной раскруткой или от электростартера и воздухопуска без выхода экипажа из танка. Вентилятор должен обеспечивать надежное охлаждение двигателя и без поломок гарантировать срок работы танка до капитального ремонта. </w:t>
      </w:r>
    </w:p>
    <w:p w14:paraId="7156E2A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Для повышения удобства работы орудийного расчета и для лучшего управления танком произвести расширение башни без изменения погона и установить на крыше башни командирскую башенку с круговым обзором. </w:t>
      </w:r>
    </w:p>
    <w:p w14:paraId="2D42F8A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Боеукладка снарядов и патронов на танке Т-34 должна быть удобной при пользовании и обеспечивать экипажу темп стрельбы не менее 6 прицельных выстрелов в минуту на ходу танка. Угол возвышения артустановки +30° и угол снижения –5°. </w:t>
      </w:r>
    </w:p>
    <w:p w14:paraId="7D4A684C"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Смотровые приборы водителя и радиста танка Т-34 должны обеспечивать видимость обоих крыльев танка, не пропускать пуль и свинцовых брызг, быстро сменяться при поражении и иметь возможность хорошего очищения от пыли, снега и грязи. Для лучшего обеспечения наблюдения при вождении танка установить для водителя дополнительный смотровой прибор, решив при этом вопрос целесообразности оставления на танке переднего люка водителя. Для наблюдения из танка по сторонам установить бортовые смотровые приборы (по одному на сторону) для удобного пользования ими водителю и радисту танка. </w:t>
      </w:r>
    </w:p>
    <w:p w14:paraId="2A9023F2"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Для внешней связи установить в носовой части рацию КРСТБ, предусмотрев возможность размещения и работы радии 71-ТК-З. Антенна – штыревая, укладывающаяся вдоль борта изнутри танка. Для внутренней связи – ТПУ на три точки (командир, водитель, радист). </w:t>
      </w:r>
    </w:p>
    <w:p w14:paraId="76BFC9F6"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Предусмотреть возможность установки на танке Т-34 огнемета с дальностью огнеметания не менее 90 мт. и с запасом огнесмеси не менее, чем на 10 – 12 выстрелов. </w:t>
      </w:r>
    </w:p>
    <w:p w14:paraId="36B3D469"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Межремонтный пробег работы танка Т-34 должен быть не менее 7.000 клм. до капитального ремонта. Главный и бортовые фрикционы должны обеспечивать надежную работу при любых дорожных условиях движения без коробления дисков. Регулировка агрегатов трансмиссии должна производиться не чаще, чем через 1.000 клм. движения. Гарантийный километраж работы ходовой части (траки, пальцы, катки, ведущее колесо и т.д.) танка установить не менее 3.000 клм. </w:t>
      </w:r>
    </w:p>
    <w:p w14:paraId="2BE8854E"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Зацепление гусеницы сделать цевочным, предусмотрев крепление шпор. </w:t>
      </w:r>
    </w:p>
    <w:p w14:paraId="124ECDE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Обязать завод № 183 НКСМ все указанные дополнения и изменения, согласно настоящему постановлению, ввести на танк Т-34 с 1 февраля 1941 г. </w:t>
      </w:r>
    </w:p>
    <w:p w14:paraId="743E55E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Обязать НКСМ и НКО к 1 января 1941 г. представить в К.О. свои предложения о переходе на производство танков Т-34 с торсионной подвеской. </w:t>
      </w:r>
    </w:p>
    <w:p w14:paraId="1672A590"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танку Т-40 разрешить заводу № 37 НКСМ выпуск серийных танков по тактико-технической характеристике (приложение № 1) по чертежам и техусловиям, утвержденным НКО (ГАБТУ КА). </w:t>
      </w:r>
    </w:p>
    <w:p w14:paraId="4746379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Межремонтный пробег танка Т-40 должен быть не менее 8.000 клм. до капитального ремонта. Установить гарантийный километраж на ходовую часть (траки, пальцы, катки и т.д.) танка Т-40 не менее 4.000 клм. пробега. Обязать Наркомсредмаш, Наркомнефтепром и Наркомхимпром устранить недостатки по танку Т-40 в сроки, согласно прилагаемому перечню (приложение № 2). </w:t>
      </w:r>
    </w:p>
    <w:p w14:paraId="6BCF711F"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Постановления КО № 198сс от 7.7.1938 г. и № 45сс от 27.2.39 г. в отношении тактико-технических требований но танку Т-40 – отменить. </w:t>
      </w:r>
    </w:p>
    <w:p w14:paraId="1033A73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Обязать завод № 75 НКСМ с 1 января 1941 г. обеспечить выпуск дизель-моторов: </w:t>
      </w:r>
    </w:p>
    <w:p w14:paraId="28A32461"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В-2 (500 л.с.) для танков Т-34, </w:t>
      </w:r>
    </w:p>
    <w:p w14:paraId="15B75B95"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B-2-K (600 л.с.) для танков Т-34 и КВ, </w:t>
      </w:r>
    </w:p>
    <w:p w14:paraId="36411B67"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В-5 (700 л.с.) для танков КВ, </w:t>
      </w:r>
    </w:p>
    <w:p w14:paraId="7AC501B3"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В-3 (300 л.с. с измененным картером) для танков Т-50. </w:t>
      </w:r>
    </w:p>
    <w:p w14:paraId="72DF3493"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Гарантийный срок работы в танках дизель-моторов В-2, В-2-К, В-5 и В-3 установить с 1 января 1941 г. не менее 150 часов, а с 1 июня 1941 г. не менее 200 часов. </w:t>
      </w:r>
    </w:p>
    <w:p w14:paraId="77F0D1A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Наркомсредмаш – т. МАЛЫШЕВУ к 1 января 1941 г. представить на утверждение в К.О. проект по расширению производства дизель-моторов В-2, В-2-К, В-5 и В-3 в количествах, обеспечивающих потребность НКО по выпуску танков KB, Т-34 и Т-50 из расчета один запасный мотор на каждые два танка. </w:t>
      </w:r>
    </w:p>
    <w:p w14:paraId="6CA8D7CD"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КОМИТЕТА ОБОРОНЫ ПРИ СНК СОЮЗА ССР (К. Ворошилов)</w:t>
      </w:r>
    </w:p>
    <w:p w14:paraId="246BBA5A"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СЕКРЕТАРЬ КОМИТЕТА ОБОРОНЫ ПРИ СНК СОЮЗА ССР подпись (М. Пугаев) (18210).</w:t>
      </w:r>
    </w:p>
    <w:p w14:paraId="53D8D14E" w14:textId="77777777" w:rsidR="00C64F82" w:rsidRPr="00A3026E" w:rsidRDefault="00C64F82" w:rsidP="00A3026E">
      <w:pPr>
        <w:spacing w:after="0" w:line="240" w:lineRule="auto"/>
        <w:jc w:val="both"/>
        <w:rPr>
          <w:rFonts w:ascii="Times New Roman" w:hAnsi="Times New Roman"/>
          <w:color w:val="000000" w:themeColor="text1"/>
          <w:sz w:val="16"/>
          <w:szCs w:val="16"/>
        </w:rPr>
      </w:pPr>
    </w:p>
    <w:p w14:paraId="3FE28988"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г. Комитетом обороны при СНК СССР было принято </w:t>
      </w:r>
      <w:hyperlink r:id="rId114" w:tgtFrame="_blank" w:history="1">
        <w:r w:rsidRPr="00A3026E">
          <w:rPr>
            <w:rStyle w:val="a5"/>
            <w:rFonts w:ascii="Times New Roman" w:hAnsi="Times New Roman"/>
            <w:color w:val="000000" w:themeColor="text1"/>
            <w:sz w:val="16"/>
            <w:szCs w:val="16"/>
          </w:rPr>
          <w:t>Постановление № 428сс</w:t>
        </w:r>
      </w:hyperlink>
      <w:r w:rsidRPr="00A3026E">
        <w:rPr>
          <w:rFonts w:ascii="Times New Roman" w:hAnsi="Times New Roman"/>
          <w:color w:val="000000" w:themeColor="text1"/>
          <w:sz w:val="16"/>
          <w:szCs w:val="16"/>
        </w:rPr>
        <w:t>, в котором требования к системе воздухоочистки двигателя танка Т-34 были ужесточены. Теперь воздухоочиститель, установленный в танке Т-34, должен был гарантировать очистку воздуха не менее чем на 95 % в течение 10 – 12-ти часов работы в условиях запыленности без промывки.</w:t>
      </w:r>
    </w:p>
    <w:p w14:paraId="70C30B55" w14:textId="77777777" w:rsidR="00C64F82" w:rsidRPr="00A3026E" w:rsidRDefault="00C64F8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новыми требованиями, программа сравнительных стендовых испытаний воздухоочистителей была откорректирована. Для проведения испытаний воздухоочистителей в декабре 1940 г. была создана комиссия под председательством старшего инженера Государственного союзного научно-исследовательского и экспериментального автотракторного института (далее – НАТИ) М.М. Затравкина. В состав комиссии вошли: от БТУ ГАБТУ КА – военинженер 3 ранга А.А. Лаврушенко, курировавший производство дизеля В-2; от завода № 75 – главный конструктор завода и директор НИИ 1600 Т.П. Чупахин; от завода № 183 – исполняющий обязанности главного конструктора завода А.А. Морозов; от завода № 174 – старший инженер-исследователь Г.И. Нестеров и от ленинградского Кировского завода – старший инженер СКБ-2 Е.П. Дедов (19114).</w:t>
      </w:r>
    </w:p>
    <w:p w14:paraId="0596AF6C" w14:textId="77777777" w:rsidR="00C64F82" w:rsidRPr="00A3026E" w:rsidRDefault="00C64F82" w:rsidP="00A3026E">
      <w:pPr>
        <w:spacing w:after="0" w:line="240" w:lineRule="auto"/>
        <w:jc w:val="both"/>
        <w:rPr>
          <w:rFonts w:ascii="Times New Roman" w:hAnsi="Times New Roman"/>
          <w:color w:val="000000" w:themeColor="text1"/>
          <w:sz w:val="16"/>
          <w:szCs w:val="16"/>
        </w:rPr>
      </w:pPr>
    </w:p>
    <w:p w14:paraId="199BE7EF"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shd w:val="clear" w:color="auto" w:fill="FFFFFF"/>
        </w:rPr>
        <w:t>19 ноября 1940 г. вышло Постановление Комитета обороны при СНК СССР № 428сс "О дополнениях и изменениях в тактико-технические требования по танкам КВ, Т-34, Т-40" с приложениями (22078).</w:t>
      </w:r>
    </w:p>
    <w:p w14:paraId="0D1D7081" w14:textId="77777777" w:rsidR="007119F2" w:rsidRPr="00A3026E" w:rsidRDefault="007119F2" w:rsidP="00A3026E">
      <w:pPr>
        <w:spacing w:after="0" w:line="240" w:lineRule="auto"/>
        <w:jc w:val="both"/>
        <w:rPr>
          <w:rFonts w:ascii="Times New Roman" w:hAnsi="Times New Roman"/>
          <w:color w:val="0070C0"/>
          <w:sz w:val="16"/>
          <w:szCs w:val="16"/>
        </w:rPr>
      </w:pPr>
    </w:p>
    <w:p w14:paraId="0FA47BA9" w14:textId="77777777" w:rsidR="00D22A5E" w:rsidRPr="00A3026E" w:rsidRDefault="00D22A5E"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19 ноября 1940 года было подписано постановление Комитета обороны при СНК Союза ССР №428сс "О дополнениях и изменениях в тактико-технические требования по танкам КВ, Т-34 и Т-40". Объем модернизации был не столь большим, как вначале, тем не менее, торсионная подвеска осталась на повестке дня. Да и в ГАБТУ КА не согласились с той программой-минимум, которая утверждалась постановлением. Например, башню предлагалось расширить без увеличения диаметра погона. Но было очевидно, что расширять его надо - с 1420 до 1600 мм. При этом нельзя сказать, что А.А. Морозов не был готов к такому развитию событий. О том, что погон надо расширять, говорилось еще весной 1940 года. Существовал даже технический проект трехместной башни с расширенным до 1600 мм погоном, но тогда его в дело не пустили. Причины прозаичны: подобное изменение тянуло за собой срыв сроков выпуска Т-34, поэтому тогда объем башни увеличили за счет изменения ее формы. И вот теперь в ГАБТУ КА созрели до более существенных изменений (21265).</w:t>
      </w:r>
    </w:p>
    <w:p w14:paraId="3428ADEE" w14:textId="77777777" w:rsidR="00D22A5E" w:rsidRPr="00A3026E" w:rsidRDefault="00D22A5E" w:rsidP="00A3026E">
      <w:pPr>
        <w:pStyle w:val="article-renderblock"/>
        <w:shd w:val="clear" w:color="auto" w:fill="FFFFFF"/>
        <w:spacing w:before="0" w:beforeAutospacing="0" w:after="0" w:afterAutospacing="0"/>
        <w:jc w:val="both"/>
        <w:rPr>
          <w:color w:val="0070C0"/>
          <w:sz w:val="16"/>
          <w:szCs w:val="16"/>
        </w:rPr>
      </w:pPr>
    </w:p>
    <w:p w14:paraId="00D479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года постановлением Комитета обороны № 428 сс для повышения боевых качеств предусматривалось внести в конструкцию Т-34 целый ряд изменений, как-то: установка более мощного двигателя, командирской смотровой башенки и дополнительных смотровых приборов, улучшение размещения экипажа, повышение гарантийного километража танка и т.д. Работы в этом направлении начались в конце 1940 года и велись вплоть до начала Великой Отечественной войны (12217).</w:t>
      </w:r>
    </w:p>
    <w:p w14:paraId="723E929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58A31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года постановлени ем Комитета Обороны № 428 осенью 1940 года на самом «верху» было принято решение о проведении работ поулучшению конструкции танка Т-34. Появившееся 19 ноября постановление Комитета Обороны №428 предусматривало увеличить размер башни, улучшить надежность работы трансмиссии и ходовой части, атакже еще целый ряд изменений по улучшению боевыхсвойств Т-34. На основе этого документа появился подписанный 25 ноября 1940 года наркомом среднего машиностроения приказ по наркомату № 268, в котором конструкторскому бюро 520 завода №183 поручалось проведение мероприятий по улучшению конструкции Т-34 и выполнению требований, заданных постановлением № 428 (12217).</w:t>
      </w:r>
    </w:p>
    <w:p w14:paraId="019ACD8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CA8F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АБТУ санкционировало изготовление в опытном порядке танка Т-34 с торсионной подвеской (10782).</w:t>
      </w:r>
    </w:p>
    <w:p w14:paraId="38013F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2DD095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вышло постановление КО № 427, согласно которому в КБ з-да № 174 им. Ворошилова был разработан танковый огнемет (5219, 32).</w:t>
      </w:r>
    </w:p>
    <w:p w14:paraId="14BD0DF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33CD02F6"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19 ноября 1940 г. Комитет обороны Постановлением № 427сс утвердил тактико-технические требования по танку «Т-50» и обязал НКСМ и НКТМ к 15 января 1941 года изготовить по два опыт</w:t>
      </w:r>
      <w:r w:rsidRPr="00A3026E">
        <w:rPr>
          <w:i w:val="0"/>
          <w:iCs w:val="0"/>
          <w:color w:val="000000" w:themeColor="text1"/>
          <w:spacing w:val="0"/>
          <w:kern w:val="0"/>
          <w:position w:val="0"/>
          <w:sz w:val="16"/>
          <w:szCs w:val="16"/>
          <w:lang w:val="ru-RU"/>
        </w:rPr>
        <w:softHyphen/>
        <w:t>ных образца.</w:t>
      </w:r>
    </w:p>
    <w:p w14:paraId="5AF76F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завод № 174 НКСМ (г. Ленинград) изготовил два танка «Т-50», которые в насто</w:t>
      </w:r>
      <w:r w:rsidRPr="00A3026E">
        <w:rPr>
          <w:rFonts w:ascii="Times New Roman" w:hAnsi="Times New Roman"/>
          <w:color w:val="000000" w:themeColor="text1"/>
          <w:sz w:val="16"/>
          <w:szCs w:val="16"/>
        </w:rPr>
        <w:softHyphen/>
        <w:t>ящее время проходят заводские испытания.</w:t>
      </w:r>
    </w:p>
    <w:p w14:paraId="617CB2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Кировском заводе НКТМ (г. Ленинград) два танка «Т-50», по данным завода, будут изготов</w:t>
      </w:r>
      <w:r w:rsidRPr="00A3026E">
        <w:rPr>
          <w:rFonts w:ascii="Times New Roman" w:hAnsi="Times New Roman"/>
          <w:color w:val="000000" w:themeColor="text1"/>
          <w:sz w:val="16"/>
          <w:szCs w:val="16"/>
        </w:rPr>
        <w:softHyphen/>
        <w:t>лены только к 20-25 января 1941 г. (11211)</w:t>
      </w:r>
    </w:p>
    <w:p w14:paraId="07E80D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C47A4F8"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г. Постановлением Комитета обороны при СНК СССР № 427сс Кировский завод НКТМ обязан был спроектировать и изготовить к 15 января 1941 г. 2 опытных образца танка Т</w:t>
      </w:r>
      <w:r w:rsidRPr="00A3026E">
        <w:rPr>
          <w:rFonts w:ascii="Times New Roman" w:hAnsi="Times New Roman"/>
          <w:color w:val="000000" w:themeColor="text1"/>
          <w:sz w:val="16"/>
          <w:szCs w:val="16"/>
        </w:rPr>
        <w:noBreakHyphen/>
        <w:t>50. Завод не выполнил этого задания. Ни одного опытного образца танка Т</w:t>
      </w:r>
      <w:r w:rsidRPr="00A3026E">
        <w:rPr>
          <w:rFonts w:ascii="Times New Roman" w:hAnsi="Times New Roman"/>
          <w:color w:val="000000" w:themeColor="text1"/>
          <w:sz w:val="16"/>
          <w:szCs w:val="16"/>
        </w:rPr>
        <w:noBreakHyphen/>
        <w:t>50 к установленному сроку не изготовлено.</w:t>
      </w:r>
    </w:p>
    <w:p w14:paraId="1390B47C"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Причиной невыполнения постановления КО является несвоевременная и некачественная разработка рабочих чертежей и технических условий конструкторским бюро завода (18033).</w:t>
      </w:r>
    </w:p>
    <w:p w14:paraId="3168AC39" w14:textId="77777777" w:rsidR="00893AC8" w:rsidRPr="00A3026E" w:rsidRDefault="00893AC8" w:rsidP="00A3026E">
      <w:pPr>
        <w:spacing w:after="0" w:line="240" w:lineRule="auto"/>
        <w:jc w:val="both"/>
        <w:rPr>
          <w:rFonts w:ascii="Times New Roman" w:hAnsi="Times New Roman"/>
          <w:color w:val="000000" w:themeColor="text1"/>
          <w:sz w:val="16"/>
          <w:szCs w:val="16"/>
        </w:rPr>
      </w:pPr>
    </w:p>
    <w:p w14:paraId="17A3E2DF" w14:textId="77777777" w:rsidR="00893AC8" w:rsidRPr="00A3026E" w:rsidRDefault="00893A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г. Постановлением Комитета обороны при СНК СССР № 427сс Ижорский завод обязан был поставить к 15 декабря 1940 г. Кировскому заводу НКТМ и заводу № 174 НКСМ четыре опытных корпуса Т</w:t>
      </w:r>
      <w:r w:rsidRPr="00A3026E">
        <w:rPr>
          <w:rFonts w:ascii="Times New Roman" w:hAnsi="Times New Roman"/>
          <w:color w:val="000000" w:themeColor="text1"/>
          <w:sz w:val="16"/>
          <w:szCs w:val="16"/>
        </w:rPr>
        <w:noBreakHyphen/>
        <w:t>50. На 1 марта 1941 г. завод изготовил и сдал два корпуса Т</w:t>
      </w:r>
      <w:r w:rsidRPr="00A3026E">
        <w:rPr>
          <w:rFonts w:ascii="Times New Roman" w:hAnsi="Times New Roman"/>
          <w:color w:val="000000" w:themeColor="text1"/>
          <w:sz w:val="16"/>
          <w:szCs w:val="16"/>
        </w:rPr>
        <w:noBreakHyphen/>
        <w:t>50 заводу № 174 НКСМ и один корпус Кировскому заводу (18033).</w:t>
      </w:r>
    </w:p>
    <w:p w14:paraId="05434887" w14:textId="77777777" w:rsidR="00893AC8" w:rsidRPr="00A3026E" w:rsidRDefault="00893AC8" w:rsidP="00A3026E">
      <w:pPr>
        <w:spacing w:after="0" w:line="240" w:lineRule="auto"/>
        <w:jc w:val="both"/>
        <w:rPr>
          <w:rFonts w:ascii="Times New Roman" w:hAnsi="Times New Roman"/>
          <w:color w:val="000000" w:themeColor="text1"/>
          <w:sz w:val="16"/>
          <w:szCs w:val="16"/>
        </w:rPr>
      </w:pPr>
    </w:p>
    <w:p w14:paraId="02279CD9" w14:textId="77777777" w:rsidR="007119F2" w:rsidRPr="00A3026E" w:rsidRDefault="007119F2"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19 ноября 1940 года вышло постановление Комитета Обороны при СНК Союза ССР №427сс, согласно которому завод №174, а также Кировский завод, изготовляли по 2 образца танка Т-50. Танки эти требовалось закончить к 15 января 1941 года.</w:t>
      </w:r>
    </w:p>
    <w:p w14:paraId="44B8DD90" w14:textId="77777777" w:rsidR="007119F2" w:rsidRPr="00A3026E" w:rsidRDefault="007119F2"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С заданием на разработку Т-50 лучше справились на заводе №174. Пока Кировский Завод тянул с разработкой, его конкуренты энергично работали над машиной, больше того, наверху особо и не сомневались, кто выиграет (21068).</w:t>
      </w:r>
    </w:p>
    <w:p w14:paraId="0318C804" w14:textId="77777777" w:rsidR="007119F2" w:rsidRPr="00A3026E" w:rsidRDefault="007119F2" w:rsidP="00A3026E">
      <w:pPr>
        <w:pStyle w:val="article-renderblock"/>
        <w:shd w:val="clear" w:color="auto" w:fill="FFFFFF"/>
        <w:spacing w:before="0" w:beforeAutospacing="0" w:after="0" w:afterAutospacing="0"/>
        <w:jc w:val="both"/>
        <w:rPr>
          <w:color w:val="0070C0"/>
          <w:sz w:val="16"/>
          <w:szCs w:val="16"/>
        </w:rPr>
      </w:pPr>
    </w:p>
    <w:p w14:paraId="68BDFEBE" w14:textId="77777777" w:rsidR="007119F2" w:rsidRPr="00A3026E" w:rsidRDefault="007119F2"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19 ноября 1940 года вышло постановление Комитета Обороны при СНК Союза ССР №427сс, согласно которому завод №174, а также Кировский завод, изготовляли по 2 образца танка Т-50. Срок изготовления - 15 января 1941 года. 2 декабря 1940 года был продемонстрирован полноразмерный макет Т-50, который являлся прямым развитием Т-126. Так вот, в рамках требований предусматривалась возможность установки в Т-50 танкового огнемета. Дистанция огнеметания должна была составлять не менее 90 метров, а запас огнесмеси - не менее 150 литров.</w:t>
      </w:r>
    </w:p>
    <w:p w14:paraId="5BE2AF31" w14:textId="77777777" w:rsidR="007119F2" w:rsidRPr="00A3026E" w:rsidRDefault="007119F2"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Тематическим планом на 1941 год работа по установке огнемета в Т-50 шла пунктом №6. Сроком исполнения работ указывалось 1 февраля 1941 года (20878).</w:t>
      </w:r>
    </w:p>
    <w:p w14:paraId="2267D86C" w14:textId="77777777" w:rsidR="007119F2" w:rsidRPr="00A3026E" w:rsidRDefault="007119F2" w:rsidP="00A3026E">
      <w:pPr>
        <w:pStyle w:val="article-renderblock"/>
        <w:shd w:val="clear" w:color="auto" w:fill="FFFFFF"/>
        <w:spacing w:before="0" w:beforeAutospacing="0" w:after="0" w:afterAutospacing="0"/>
        <w:jc w:val="both"/>
        <w:rPr>
          <w:color w:val="0070C0"/>
          <w:sz w:val="16"/>
          <w:szCs w:val="16"/>
        </w:rPr>
      </w:pPr>
    </w:p>
    <w:p w14:paraId="04E6771D"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19 ноября 1940 года вышло Постановление Комитета обороны при СНК СССР № 427сс "О проектировании и изготовлении опытных образцов легких танков Т-50" с приложениями</w:t>
      </w:r>
    </w:p>
    <w:p w14:paraId="187438C7"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Комитет Оборони при СНК Союза ССР Постановляет:</w:t>
      </w:r>
    </w:p>
    <w:p w14:paraId="3DB2E856"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Утвердить представленные Народным Комиссариатом Обороны Союза ССР тактико-технические требования на проектирование и изготовление опытных образцов легких танков "Т-50".</w:t>
      </w:r>
    </w:p>
    <w:p w14:paraId="1387EE02"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Обязать Наркомсредмаш (тов. Малышева) спроектировать и изготовить на заводе № 174 имени тов. Ворошилова к 15-му января 1941 года два опытных образца танков "Т-50" по тактико-техническим требованиям 1200 ( Приложение )? 1).</w:t>
      </w:r>
    </w:p>
    <w:p w14:paraId="60C27022"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Обязать Наркомтяжмаш (тов.Ефремова) спроектировать и изготовить на Кировском заводе к 15-му января 1941 года два опытных образца танков "Т-50" по тактико-техническим требованиям I НКО ( Приложение К 1).</w:t>
      </w:r>
    </w:p>
    <w:p w14:paraId="1E54A50A"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Обязать Наркомсудпром (тов.Носенко) изготовить на Ижорском заводе, не позднее 15-го декабря 1940 года четыре корпуса I Для опытных образцов танков "Т-50" по заказам Кировского завода Наркомтяжмаша и завода № 174 Наркомсредмаша.</w:t>
      </w:r>
    </w:p>
    <w:p w14:paraId="304C3E8F"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Обязать Наркомсредмаш (тов. Малышева) спроектировать и изготовить к 1 февраля 1941 года на заводе № 174 опытный образец огнемета для танка "Т-50” с дальностью огнеметания не менее 90 мтр. и запасом огнесмеси не менее 150 литров. Огнемет должен быть установлен в "Т-50" дополнительно к принятому вооружению.</w:t>
      </w:r>
    </w:p>
    <w:p w14:paraId="7808CA30"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Утвердить кооперацию по изготовлению танка " Т-50", согласно приложению № 2.</w:t>
      </w:r>
    </w:p>
    <w:p w14:paraId="04419644"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На проектирование и изготовление двух опытных образцов танков "Т-50 " отпустить Наркомсредмашу из резервного фонда СНК СССР 3 млн.рублей.</w:t>
      </w:r>
    </w:p>
    <w:p w14:paraId="632E67DF"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П. 4 постановления КО № № 408сс от 18 октября 1940 и постановление КО № 246сс от 5 июня 1940г. в части отпуска Наркомтяжмашу из резервного фонда СНК СССР 2,5 млн .рублей - отменить (22077).</w:t>
      </w:r>
    </w:p>
    <w:p w14:paraId="0653C68F" w14:textId="77777777" w:rsidR="007119F2" w:rsidRPr="00A3026E" w:rsidRDefault="007119F2" w:rsidP="00A3026E">
      <w:pPr>
        <w:spacing w:after="0" w:line="240" w:lineRule="auto"/>
        <w:jc w:val="both"/>
        <w:rPr>
          <w:rFonts w:ascii="Times New Roman" w:hAnsi="Times New Roman"/>
          <w:color w:val="0070C0"/>
          <w:sz w:val="16"/>
          <w:szCs w:val="16"/>
        </w:rPr>
      </w:pPr>
    </w:p>
    <w:p w14:paraId="56F508AE" w14:textId="77777777" w:rsidR="007119F2" w:rsidRPr="00A3026E" w:rsidRDefault="007119F2"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lastRenderedPageBreak/>
        <w:t>19 ноября 1940 года вышло постановление Комитета Обороны при СНК Союза ССР №427сс, согласно которому завод №174, а также Кировский завод, изготовляли по 2 образца нового танка. Для обоих заводов индекс был одинаковым - Т-50. Новую машину требовалось изготовить в кратчайший срок - к 15 января 1941 года. В результате Кировский завод, к тому моменту явно отстававший со своим Т-211, получил второй шанс. А в программе создания нового танка сопровождения снова обострилась конкуренция.</w:t>
      </w:r>
    </w:p>
    <w:p w14:paraId="115AE5E9" w14:textId="77777777" w:rsidR="007119F2" w:rsidRPr="00A3026E" w:rsidRDefault="007119F2"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Для Кировского завода работы по новой машине изначально выглядели более проблематичными. Дело в том, что у завода №174 опытные образцы все же оказались построены и испытаны. Да, с кучей недочетов, но это всё равно более выгодная стартовая позиция. Произошло своеобразное "обнуление" результатов. Не менее существенной проблемой было то, что Т-211, предыдущая машина Кировского завода, выглядела менее приспособленной к новым тактико-техническим требованиям. Это означало, что строить собственный вариант Т-50 будет сложнее.</w:t>
      </w:r>
    </w:p>
    <w:p w14:paraId="6732E84B" w14:textId="77777777" w:rsidR="007119F2" w:rsidRPr="00A3026E" w:rsidRDefault="007119F2"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Как и в случае с Т-211, ведущим инженером машины стал Ермолаев. По большому счету, начинать приходилось с чистого листа. Или не с чистого. Как следует из документов, оставшихся их архива Н.Ф. Шашмурина, в 1940 году прорабатывался легкий танк К-1. Эта боевая машина должна была иметь низкий силуэт и боевую массу около 9 тонн. Моторно-трансмиссионная группа бралась от Т-26 с форсированным мотором. Машина явно имела инициативный характер, поэтому даже в документах Кировского завода не проходит. Тем не менее, она здорово напоминает то, что потом станет известно как Т-50 Кировского завода. Либо Шашмурин с Ермолаевым создавали своим машины параллельно, либо, как писал сам Шашмурин, Т-50 вырос из К-1. Кроме того, Шашмурин имел прямое отношение к коробке передач для Т-50 (22720).</w:t>
      </w:r>
    </w:p>
    <w:p w14:paraId="27067E7B" w14:textId="77777777" w:rsidR="007119F2" w:rsidRPr="00A3026E" w:rsidRDefault="007119F2"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014209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Постановлением КО №428сс, 9 октября 1940 Постановлением КО № 330сс, 29 августа 1940 г. Постановлением КО № 373сс, 28 мая 1939 Постановление КО № 124сс перед бронетанковой промышленностью были поставлены следующие за</w:t>
      </w:r>
      <w:r w:rsidRPr="00A3026E">
        <w:rPr>
          <w:rFonts w:ascii="Times New Roman" w:hAnsi="Times New Roman"/>
          <w:color w:val="000000" w:themeColor="text1"/>
          <w:sz w:val="16"/>
          <w:szCs w:val="16"/>
        </w:rPr>
        <w:softHyphen/>
        <w:t>дачи:</w:t>
      </w:r>
    </w:p>
    <w:p w14:paraId="5D6FB4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Изыскание и внедрение в производство брони повышенной бронестойкости (без увеличения толщин) и создание литых конструкций из броневой стали.</w:t>
      </w:r>
    </w:p>
    <w:p w14:paraId="217109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Увеличение сроков службы основных агрегатов танка (двигатель, коробка перемены передач, бортовые фрикционы, гусеницы и др.).</w:t>
      </w:r>
    </w:p>
    <w:p w14:paraId="0883CC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Разработка и освоение в производстве улучшенной трансмиссии и ходовой части танка (пла</w:t>
      </w:r>
      <w:r w:rsidRPr="00A3026E">
        <w:rPr>
          <w:rFonts w:ascii="Times New Roman" w:hAnsi="Times New Roman"/>
          <w:color w:val="000000" w:themeColor="text1"/>
          <w:sz w:val="16"/>
          <w:szCs w:val="16"/>
        </w:rPr>
        <w:softHyphen/>
        <w:t>нетарные передачи, торсионная подвеска, металлические катки с внутренней резиновой амортиза</w:t>
      </w:r>
      <w:r w:rsidRPr="00A3026E">
        <w:rPr>
          <w:rFonts w:ascii="Times New Roman" w:hAnsi="Times New Roman"/>
          <w:color w:val="000000" w:themeColor="text1"/>
          <w:sz w:val="16"/>
          <w:szCs w:val="16"/>
        </w:rPr>
        <w:softHyphen/>
        <w:t>цией, резино-металлические гусеницы и пр.).</w:t>
      </w:r>
    </w:p>
    <w:p w14:paraId="433CC6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Усовершенствование систем управления танками (удобство работы экипажей, снижение уси</w:t>
      </w:r>
      <w:r w:rsidRPr="00A3026E">
        <w:rPr>
          <w:rFonts w:ascii="Times New Roman" w:hAnsi="Times New Roman"/>
          <w:color w:val="000000" w:themeColor="text1"/>
          <w:sz w:val="16"/>
          <w:szCs w:val="16"/>
        </w:rPr>
        <w:softHyphen/>
        <w:t>лий на рычагах и пр.).</w:t>
      </w:r>
    </w:p>
    <w:p w14:paraId="0DA806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БТУ ГАБТУ КА военинженер 1 ранга Коробков</w:t>
      </w:r>
    </w:p>
    <w:p w14:paraId="0218DF3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ЦАМО. Ф. 38. Оп. 11569. Д. 300. Л. 16-24. Подлинник (11211).</w:t>
      </w:r>
    </w:p>
    <w:p w14:paraId="0F38933C"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341F5EED"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19 ноября 1940</w:t>
      </w:r>
    </w:p>
    <w:p w14:paraId="3289874F"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РГВА Фонд 31811 Опись 2 Дело 1182 лист 76</w:t>
      </w:r>
    </w:p>
    <w:p w14:paraId="6118BA0A"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[Рукописный документ]</w:t>
      </w:r>
    </w:p>
    <w:p w14:paraId="0CA5F165"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Секретно</w:t>
      </w:r>
    </w:p>
    <w:p w14:paraId="552A6869"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Справка</w:t>
      </w:r>
    </w:p>
    <w:p w14:paraId="56F4713D"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Схема планетарной трансмиссии выбрана правильно. Работать трансмиссия должна.</w:t>
      </w:r>
    </w:p>
    <w:p w14:paraId="7AA91CFB"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Отрицательное.</w:t>
      </w:r>
    </w:p>
    <w:p w14:paraId="44C9B1A2"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Трудность изготовления (32 шестерни).</w:t>
      </w:r>
    </w:p>
    <w:p w14:paraId="08B075C9"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Сложность монтажа.</w:t>
      </w:r>
    </w:p>
    <w:p w14:paraId="74A36301"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Много шарнирных соединений на тягах управления, что даст большой люфт и может вызвать несовпадение кулачка желаемой передачи.</w:t>
      </w:r>
    </w:p>
    <w:p w14:paraId="3B1A060A"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Низко расположены тяги по днищу танка.</w:t>
      </w:r>
    </w:p>
    <w:p w14:paraId="70667E07"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Ленточные тормоза будут быстро выходить из строя – считаю нужно заменить.</w:t>
      </w:r>
    </w:p>
    <w:p w14:paraId="26FDCEED"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Отсутствует торможение при работающем двигателе, что необходимо иметь на случай увеличения оборотов двигателя выше предельно-нормальных (двигатель идет в разнос).</w:t>
      </w:r>
    </w:p>
    <w:p w14:paraId="71F821A7"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Мала максимальная расчетная скорость.</w:t>
      </w:r>
    </w:p>
    <w:p w14:paraId="572FEF6A"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Положительное – указано на стр. 7 за исключением: пункт 1 д) практически едва ли будет ощутимо. 3. а) Снижение напряжения в шестернях – маловероятно.</w:t>
      </w:r>
    </w:p>
    <w:p w14:paraId="65009723"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Вывод:</w:t>
      </w:r>
    </w:p>
    <w:p w14:paraId="62B30D8D"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Несмотря на трудность изготовления, считаю необходимым по второму варианту под руководством т. Благонравова разработать при заводе № 183 рабочие чертежи не позднее 15.1.41 г. и изготовить два опытных образца к 15.3.41 г., которые установить на опытных танках и испытать.</w:t>
      </w:r>
    </w:p>
    <w:p w14:paraId="0A1BD363"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19.XI.40</w:t>
      </w:r>
    </w:p>
    <w:p w14:paraId="6889256D"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Нач. 1-го отд. 3-го отдела БТУ КА подпись И.Г. Панова.</w:t>
      </w:r>
    </w:p>
    <w:p w14:paraId="706DA3BB"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Дописано от руки:</w:t>
      </w:r>
    </w:p>
    <w:p w14:paraId="392F34AB"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«Вопросы к т. Благонравову и ответы</w:t>
      </w:r>
    </w:p>
    <w:p w14:paraId="63046826"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Сколько всех шестерен? – 32 шт.</w:t>
      </w:r>
    </w:p>
    <w:p w14:paraId="3B1C6674"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Какое число шарнирных соединений на приводе борт. рычага? – 12 – 15</w:t>
      </w:r>
    </w:p>
    <w:p w14:paraId="4B933227"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Возможно ли торможение танка без выключения двигателя? – Нет, но можно предусмотреть.</w:t>
      </w:r>
    </w:p>
    <w:p w14:paraId="68F7DCFB"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Какие изменения нужно сделать в носке коленвала мотора? – Никаких.</w:t>
      </w:r>
    </w:p>
    <w:p w14:paraId="07E568B9"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Что выполняет роль синхронизатора? – Фрикционы.</w:t>
      </w:r>
    </w:p>
    <w:p w14:paraId="06EF2507"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Влияет люфт тяг на кулачек переключения передач? – Не влияет.</w:t>
      </w:r>
    </w:p>
    <w:p w14:paraId="1F6C2A47"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Каков зазор между тягами и полом? – Тот же что сейчас есть.</w:t>
      </w:r>
    </w:p>
    <w:p w14:paraId="139EAA21"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Материал шестерен? – 30ХМА.</w:t>
      </w:r>
    </w:p>
    <w:p w14:paraId="48F180A4"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Почему ленточные тормоза? Зная их малую надежность.– Ленточные тормоза с наклепкой ферродо дают самый большой коэффициент трения и меньше по габариту.</w:t>
      </w:r>
    </w:p>
    <w:p w14:paraId="73E0E672" w14:textId="77777777" w:rsidR="007119F2" w:rsidRPr="00A3026E" w:rsidRDefault="007119F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Подпись И.Г. Панова» (20383).</w:t>
      </w:r>
    </w:p>
    <w:p w14:paraId="15F59F93" w14:textId="77777777" w:rsidR="007119F2" w:rsidRPr="00A3026E" w:rsidRDefault="007119F2" w:rsidP="00A3026E">
      <w:pPr>
        <w:spacing w:after="0" w:line="240" w:lineRule="auto"/>
        <w:jc w:val="both"/>
        <w:rPr>
          <w:rFonts w:ascii="Times New Roman" w:hAnsi="Times New Roman"/>
          <w:color w:val="0070C0"/>
          <w:sz w:val="16"/>
          <w:szCs w:val="16"/>
        </w:rPr>
      </w:pPr>
    </w:p>
    <w:p w14:paraId="5539050F" w14:textId="77777777" w:rsidR="00D22A5E" w:rsidRPr="00A3026E" w:rsidRDefault="00D22A5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19 ноября 1940 г. в </w:t>
      </w:r>
      <w:hyperlink r:id="rId115" w:tgtFrame="_blank" w:history="1">
        <w:r w:rsidRPr="00A3026E">
          <w:rPr>
            <w:rStyle w:val="a5"/>
            <w:rFonts w:ascii="Times New Roman" w:hAnsi="Times New Roman"/>
            <w:color w:val="0070C0"/>
            <w:sz w:val="16"/>
            <w:szCs w:val="16"/>
          </w:rPr>
          <w:t>справке</w:t>
        </w:r>
      </w:hyperlink>
      <w:r w:rsidRPr="00A3026E">
        <w:rPr>
          <w:rFonts w:ascii="Times New Roman" w:hAnsi="Times New Roman"/>
          <w:color w:val="0070C0"/>
          <w:sz w:val="16"/>
          <w:szCs w:val="16"/>
        </w:rPr>
        <w:t>, составленной начальником 1-го отделения 3-го отдела БТУ ГАБТУ КА подполковником И.Г. Пановым для своего руководства, в частности, было указано: Схема планетарной трансмиссии выбрана правильно. Работать трансмиссия должна. При этом для изготовления опытного образца трансмиссии наиболее приемлемым был признан второй вариант технического проекта, с бортовыми планетарными редукторами, объединенными с понижающей конической передачей в один агрегат. В итоге подполковником И.Г. Пановым было предложено следующее:</w:t>
      </w:r>
    </w:p>
    <w:p w14:paraId="0783FAC7" w14:textId="77777777" w:rsidR="00D22A5E" w:rsidRPr="00A3026E" w:rsidRDefault="00D22A5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«Несмотря на трудность изготовления, считаю необходимым по второму варианту под руководством т. Благонравова разработать при заводе № 183 рабочие чертежи не позднее 15.1.41 г. и изготовить два опытных образца к 15.3.41 г., которые установить на опытных танках и испытать».</w:t>
      </w:r>
    </w:p>
    <w:p w14:paraId="6D384E1A" w14:textId="77777777" w:rsidR="00D22A5E" w:rsidRPr="00A3026E" w:rsidRDefault="00D22A5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[РГВА. Ф. 31811. Оп. 2. Д. 1182. Л. 76 с об.]</w:t>
      </w:r>
    </w:p>
    <w:p w14:paraId="241922EC" w14:textId="77777777" w:rsidR="00D22A5E" w:rsidRPr="00A3026E" w:rsidRDefault="00D22A5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Результаты рассмотрения технического проекта «планетарной трансмиссии» для танка Т-34 были доложены заместителю народного комиссара обороны Маршалу Советского Союза Г.И. Кулику, а сам технический проект передан на завод № 183. В дальнейшем вопрос об изготовлении опытных образцов «планетарной трансмиссии» для танка Т-34 решался между Г.И. Куликом и председателем Комитета обороны при СНК СССР К.Е. Ворошиловым (20377).</w:t>
      </w:r>
    </w:p>
    <w:p w14:paraId="735D8BBA" w14:textId="77777777" w:rsidR="00D22A5E" w:rsidRPr="00A3026E" w:rsidRDefault="00D22A5E" w:rsidP="00A3026E">
      <w:pPr>
        <w:spacing w:after="0" w:line="240" w:lineRule="auto"/>
        <w:jc w:val="both"/>
        <w:rPr>
          <w:rFonts w:ascii="Times New Roman" w:hAnsi="Times New Roman"/>
          <w:color w:val="0070C0"/>
          <w:sz w:val="16"/>
          <w:szCs w:val="16"/>
        </w:rPr>
      </w:pPr>
    </w:p>
    <w:p w14:paraId="08750C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19 ноября 1940 один опытный образец трактора «А-42» был изготовлен, прошел заводскую обкатку и подготавливается к заводским испытаниям. Второй образец заканчивается сборкой 20-25 ноября. По Постановлению комитета обороны № 191 ее от 4.5.1940 г. завод № 183 должен был изготовить и сдать на полигонные испытания к 1.10.1940 г. два опытных образца трактора «А-42».</w:t>
      </w:r>
    </w:p>
    <w:p w14:paraId="0D5F73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Письмом № 80315 от 19.10.1940 г. АТУ Красной Армии просило зам. Наркома среднего машино</w:t>
      </w:r>
      <w:r w:rsidRPr="00A3026E">
        <w:rPr>
          <w:rFonts w:ascii="Times New Roman" w:hAnsi="Times New Roman"/>
          <w:color w:val="000000" w:themeColor="text1"/>
          <w:sz w:val="16"/>
          <w:szCs w:val="16"/>
        </w:rPr>
        <w:softHyphen/>
        <w:t>строения т. Горегляд обязать завод закончить сборку опытных образцов в кратчайший срок и предъ</w:t>
      </w:r>
      <w:r w:rsidRPr="00A3026E">
        <w:rPr>
          <w:rFonts w:ascii="Times New Roman" w:hAnsi="Times New Roman"/>
          <w:color w:val="000000" w:themeColor="text1"/>
          <w:sz w:val="16"/>
          <w:szCs w:val="16"/>
        </w:rPr>
        <w:softHyphen/>
        <w:t>явить их на полигонные испытания.</w:t>
      </w:r>
    </w:p>
    <w:p w14:paraId="21CDBF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 «А-42» является тяжелым трактором, спроектированным на базе танка Т-34, с унифика</w:t>
      </w:r>
      <w:r w:rsidRPr="00A3026E">
        <w:rPr>
          <w:rFonts w:ascii="Times New Roman" w:hAnsi="Times New Roman"/>
          <w:color w:val="000000" w:themeColor="text1"/>
          <w:sz w:val="16"/>
          <w:szCs w:val="16"/>
        </w:rPr>
        <w:softHyphen/>
        <w:t>цией основных механизмов.</w:t>
      </w:r>
    </w:p>
    <w:p w14:paraId="6D45A0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данные:</w:t>
      </w:r>
    </w:p>
    <w:p w14:paraId="232D2E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 17 тонн.</w:t>
      </w:r>
    </w:p>
    <w:p w14:paraId="1756C5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Максимальная мощность двигателя — 500 л.с.</w:t>
      </w:r>
    </w:p>
    <w:p w14:paraId="76D9EA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Максимальная скорость — 47 км/час.</w:t>
      </w:r>
    </w:p>
    <w:p w14:paraId="20FFC7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Максимальное тяговое усилие на крюке — 15000 кг.</w:t>
      </w:r>
    </w:p>
    <w:p w14:paraId="0F830C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 предназначается для использования в Красной Армии в качестве тягача артиллерии большой мощности и для буксировки тяжелых танков (11211).</w:t>
      </w:r>
    </w:p>
    <w:p w14:paraId="3189CDA5"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0EA2FE66"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1E063F2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0B1D2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19 ноября 1940 И.В.С. направил ультиматум Болгарии с требованиями размещения войск и создания баз флота в обмен на помощь в случае нападения. Болгары отказались (2536,220).</w:t>
      </w:r>
    </w:p>
    <w:p w14:paraId="70F4949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1F4AF2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52EF7C3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87C8A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в Англии впервые были успешно осуществлен перехват самолетов с использованием радаров AI и GCI (2240).</w:t>
      </w:r>
    </w:p>
    <w:p w14:paraId="6CC98A5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ACCEF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греки нанесли поражение итальянцам и начали наступление через границу Албании (2244,8).</w:t>
      </w:r>
    </w:p>
    <w:p w14:paraId="72FE1EB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C463EB9" w14:textId="77777777" w:rsidR="00D22A5E" w:rsidRPr="00A3026E" w:rsidRDefault="00D22A5E" w:rsidP="00A3026E">
      <w:pPr>
        <w:spacing w:after="0" w:line="240" w:lineRule="auto"/>
        <w:jc w:val="both"/>
        <w:rPr>
          <w:rFonts w:ascii="Times New Roman" w:hAnsi="Times New Roman"/>
          <w:color w:val="0070C0"/>
          <w:sz w:val="16"/>
          <w:szCs w:val="16"/>
          <w:lang w:val="en-US"/>
        </w:rPr>
      </w:pPr>
      <w:r w:rsidRPr="00A3026E">
        <w:rPr>
          <w:rFonts w:ascii="Times New Roman" w:hAnsi="Times New Roman"/>
          <w:color w:val="0070C0"/>
          <w:sz w:val="16"/>
          <w:szCs w:val="16"/>
          <w:lang w:val="en-US"/>
        </w:rPr>
        <w:t xml:space="preserve">19 </w:t>
      </w:r>
      <w:r w:rsidRPr="00A3026E">
        <w:rPr>
          <w:rFonts w:ascii="Times New Roman" w:hAnsi="Times New Roman"/>
          <w:color w:val="0070C0"/>
          <w:sz w:val="16"/>
          <w:szCs w:val="16"/>
        </w:rPr>
        <w:t>ноября</w:t>
      </w:r>
      <w:r w:rsidRPr="00A3026E">
        <w:rPr>
          <w:rFonts w:ascii="Times New Roman" w:hAnsi="Times New Roman"/>
          <w:color w:val="0070C0"/>
          <w:sz w:val="16"/>
          <w:szCs w:val="16"/>
          <w:lang w:val="en-US"/>
        </w:rPr>
        <w:t xml:space="preserve">  1940 Boston-Maine Airways </w:t>
      </w:r>
      <w:r w:rsidRPr="00A3026E">
        <w:rPr>
          <w:rFonts w:ascii="Times New Roman" w:hAnsi="Times New Roman"/>
          <w:color w:val="0070C0"/>
          <w:sz w:val="16"/>
          <w:szCs w:val="16"/>
        </w:rPr>
        <w:t>переименована</w:t>
      </w:r>
      <w:r w:rsidRPr="00A3026E">
        <w:rPr>
          <w:rFonts w:ascii="Times New Roman" w:hAnsi="Times New Roman"/>
          <w:color w:val="0070C0"/>
          <w:sz w:val="16"/>
          <w:szCs w:val="16"/>
          <w:lang w:val="en-US"/>
        </w:rPr>
        <w:t xml:space="preserve"> </w:t>
      </w:r>
      <w:r w:rsidRPr="00A3026E">
        <w:rPr>
          <w:rFonts w:ascii="Times New Roman" w:hAnsi="Times New Roman"/>
          <w:color w:val="0070C0"/>
          <w:sz w:val="16"/>
          <w:szCs w:val="16"/>
        </w:rPr>
        <w:t>в</w:t>
      </w:r>
      <w:r w:rsidRPr="00A3026E">
        <w:rPr>
          <w:rFonts w:ascii="Times New Roman" w:hAnsi="Times New Roman"/>
          <w:color w:val="0070C0"/>
          <w:sz w:val="16"/>
          <w:szCs w:val="16"/>
          <w:lang w:val="en-US"/>
        </w:rPr>
        <w:t xml:space="preserve"> Northeast Airlines  (20795).</w:t>
      </w:r>
    </w:p>
    <w:p w14:paraId="3DE10BA2" w14:textId="77777777" w:rsidR="00D22A5E" w:rsidRPr="00A3026E" w:rsidRDefault="00D22A5E" w:rsidP="00A3026E">
      <w:pPr>
        <w:spacing w:after="0" w:line="240" w:lineRule="auto"/>
        <w:jc w:val="both"/>
        <w:rPr>
          <w:rFonts w:ascii="Times New Roman" w:hAnsi="Times New Roman"/>
          <w:color w:val="0070C0"/>
          <w:sz w:val="16"/>
          <w:szCs w:val="16"/>
          <w:lang w:val="en-US"/>
        </w:rPr>
      </w:pPr>
    </w:p>
    <w:p w14:paraId="19EC99D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ноября 1940 в Швейцарии запрещена профашистская партия - Швейцарское Национальное Движение</w:t>
      </w:r>
    </w:p>
    <w:p w14:paraId="24D6744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2383B0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523CACC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CBDC5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20-21 ноября 1940 на партсобрании отд. 1 НИИ ВВС говорилось о том, что БШ-2 дал первый опыт работы по выполнению постановления ЦК ВКП(б) и СНК. Бригада Н.С.Куликова, А.К.Долгова, Соколова, Брагина, Романова и др. испытали самолет в течение 14 календарных дней и работали днем и ночью. Брагин меняя мотор не спал больше суток и машина не простояла и лишнего часа. Партсобрание, прошедшее в апреле, поставило эту бригаду в пример для всего коллектива (853,80).</w:t>
      </w:r>
    </w:p>
    <w:p w14:paraId="174542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решения:</w:t>
      </w:r>
    </w:p>
    <w:p w14:paraId="57218E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Опытные самолеты испытывались в сроки, указанные в решениях ЦК ВКП(б) и СНК</w:t>
      </w:r>
    </w:p>
    <w:p w14:paraId="3D5F6D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научно-испытательной работе заняли авангардную роль: Долгов, Супрун, Лазарев, Березин, Никитченко.</w:t>
      </w:r>
    </w:p>
    <w:p w14:paraId="10F257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опыт работы по выполнению Постановлений ЦК ВКП(б) нам дала бригада БШ-2 т. Куникова, б/п, коммунистов Долгова, Тартарновског, Соколова, Брагина, Авакимова, Романова.</w:t>
      </w:r>
    </w:p>
    <w:p w14:paraId="3C0573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 бригада испытала с-т в течение 14 календарных дней. Они работали днем и ночью. Т.т. Тарновскому и Брагину пришлось менять мотор, они не спали целые сутки и все же машина не простояла лишнего часа. Партсобрание, прошедшее в апреле, поставило в пример эту бригаду для всего коллектива. Этой бригаде был посвящен спецбюллетень, выпущенный редколлегией.</w:t>
      </w:r>
    </w:p>
    <w:p w14:paraId="382C6E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доклада Пастухова: Нач. 2 ГУ Политпропаганды РККА к2р т. Запорожец в своей директиве от 4 ноября 1940 “О проведении организованной компании в армейских п/о” признал, что п/собрания должны пройти под под знаменем проверки работы п/организаций по выполнению мероприятий Партии и Правительства и НКО О мартовском с.г. пленуме в деле укрепления единоначалия, налаживания советской воинской дисциплины и дальнейшего повышения боеспособности КА.</w:t>
      </w:r>
    </w:p>
    <w:p w14:paraId="1BA4B4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Образцы исполнительской работы показали коммунисты тт. ...</w:t>
      </w:r>
    </w:p>
    <w:p w14:paraId="18BAD0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этом году коллектив 1 отд. провел огромную работу.</w:t>
      </w:r>
    </w:p>
    <w:p w14:paraId="51CABB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Испытано 13 опытных с-тов, 24 серийных с-та, 9 иностранных с-тов, дано 52 заключения, составлено 5 инструкций по эксплуатации. Много переучено летного и технического состава на новую матчасть. Проведено много экскурсий, поакзов новой матчасти, макетных комиссий.</w:t>
      </w:r>
    </w:p>
    <w:p w14:paraId="697A02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Супрун оказал помощь по И-301 (853,80).</w:t>
      </w:r>
    </w:p>
    <w:p w14:paraId="08BD2D0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C7630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ноября 1940 было изготовлено новое крыло стрельчатого очертания, приспособленное для установки двух пушек Я.Г.Таубина МП-6 и двух пулеметов ШКАСС. Моторама была удлинена и опущена вниз. В задней кабине был установлен дополнительны бензобак (162,11).</w:t>
      </w:r>
    </w:p>
    <w:p w14:paraId="3D3B03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ясно, зачем его делали, ведь в приказе от 11 октября 1940 этот пункт был вычеркнут.</w:t>
      </w:r>
    </w:p>
    <w:p w14:paraId="1C05668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3B75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ноября 1940 за МП-6 дали ордена и медали (177,296). Я.Г.Таубин и М.Н.Бабурин были награждены ОЛ за разработку 23 мм пушки МП-6 (мотор-пушка) для самолетов - предполагалась для А.И.Микояна, С.А.Лавочкина и С.В.И. (87,5).</w:t>
      </w:r>
    </w:p>
    <w:p w14:paraId="02241A9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E1DAF49" w14:textId="77777777" w:rsidR="00893AC8" w:rsidRPr="00A3026E" w:rsidRDefault="00893A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20 ноября 1940 за успешное освоение новых образцов вооружения Указом Президиума Верховного Со</w:t>
      </w:r>
      <w:r w:rsidRPr="00A3026E">
        <w:rPr>
          <w:color w:val="000000" w:themeColor="text1"/>
          <w:sz w:val="16"/>
          <w:szCs w:val="16"/>
        </w:rPr>
        <w:softHyphen/>
        <w:t>вета СССР от Я. Г. Таубин и М. Н. Бабурин были награждены высшей наградой Союза ССР ор</w:t>
      </w:r>
      <w:r w:rsidRPr="00A3026E">
        <w:rPr>
          <w:color w:val="000000" w:themeColor="text1"/>
          <w:sz w:val="16"/>
          <w:szCs w:val="16"/>
        </w:rPr>
        <w:softHyphen/>
        <w:t>деном Ленина. Ордена и медали получили еще 15 наиболее отличившихся работников ОКБ-16. В том числе орденом Красной Звезды наградили на</w:t>
      </w:r>
      <w:r w:rsidRPr="00A3026E">
        <w:rPr>
          <w:color w:val="000000" w:themeColor="text1"/>
          <w:sz w:val="16"/>
          <w:szCs w:val="16"/>
        </w:rPr>
        <w:softHyphen/>
        <w:t>чальника исследовательского отдела военинжене- ра 1-го ранга К. К. Глухарева, а орденом Трудового Красного Знамени — ведущего инженера А. Э. Нудельмана (17500).</w:t>
      </w:r>
    </w:p>
    <w:p w14:paraId="13DA4A7B" w14:textId="77777777" w:rsidR="00893AC8" w:rsidRPr="00A3026E" w:rsidRDefault="00893AC8" w:rsidP="00A3026E">
      <w:pPr>
        <w:pStyle w:val="128"/>
        <w:shd w:val="clear" w:color="auto" w:fill="auto"/>
        <w:spacing w:after="0" w:line="240" w:lineRule="auto"/>
        <w:jc w:val="both"/>
        <w:rPr>
          <w:color w:val="000000" w:themeColor="text1"/>
          <w:sz w:val="16"/>
          <w:szCs w:val="16"/>
        </w:rPr>
      </w:pPr>
    </w:p>
    <w:p w14:paraId="38681BB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ноября 1940 года Начальник 5 отдела НИИ ВВС в/инженер 1 ранга Саморуков утвердил Отчет по замеру вибрации самолета ДБ-3 в полете (6760).</w:t>
      </w:r>
    </w:p>
    <w:p w14:paraId="0CFB01F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1486F7B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1 ранга – Пебарт</w:t>
      </w:r>
    </w:p>
    <w:p w14:paraId="18DAB81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19D45D0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Получить данные по вибрации мотора, подмоторной рамы, фюзеляжа, крыла, хвостового оперения, радиооборудования и приборного щитка самолета ДБ-3 в горизонтальном прямолинейном полете на высоте 1000 м и высоте 6000 м.</w:t>
      </w:r>
    </w:p>
    <w:p w14:paraId="0301FB9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 испытаний</w:t>
      </w:r>
    </w:p>
    <w:p w14:paraId="7E1D70B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ДБ-3 № 1606, двухмоторный моноплан. Снабжен моторами типа М-87а, четырнадцатицилиндровыми.</w:t>
      </w:r>
    </w:p>
    <w:p w14:paraId="4A7B45A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Вибрация замерялась в горизонтальном прямолинейном полете на высотах 1000 м и 6000 м (6760).</w:t>
      </w:r>
    </w:p>
    <w:p w14:paraId="762AEDC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7F1DA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ноября 1941 г. НКАП обязал КБ и завод №126 установить двигатели М-82 на одном самолете ДБ-3Ф, а с 1 марта следующего года уже выпустить первую серию (7666).</w:t>
      </w:r>
    </w:p>
    <w:p w14:paraId="444A7CE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8A6A4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ноября 1940 состоялось совещание постоянной экспертной комиссии НКАП по рассмотрению эскизных проектов (протокол 16). Рассмотрели:</w:t>
      </w:r>
    </w:p>
    <w:p w14:paraId="2BFBE2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дальнего бомбардировщика САМ-20 с 3хМ-105 конструкции и Москалева - самолет с двумя хвостовыми и средним фюзеляжем и двумя тянущими и одним толкающим винтом. На боковых балках по стрелковой точке. Мотогондолы - под крылом. Цельнометаллический с 3-х колесным шасси. Заключение: "Проект интереса не представляет, постройка нецелесообразна." (1448,177).</w:t>
      </w:r>
    </w:p>
    <w:p w14:paraId="793C28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самолета МДР-288-1, морского дальнего разведчика-бомбардировщика и постановщика мин конструкции Самсонова. Высокорасположенное крыло типа чайка. Два дизель-мотора. Лодочный. Поплавки не убираются. Бомб до 3000 кг. Заключение: "Самолет, как удовлетворяющий требованиям заказчика, строить целесообразно", но А.С.Я. заключение не утвердил (1448,198).</w:t>
      </w:r>
    </w:p>
    <w:p w14:paraId="13F2867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A1D4D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ноября 1940 за N 3989 появился график выпуска моторов М-105 и АМ-35А на 1941 (1169).</w:t>
      </w:r>
    </w:p>
    <w:p w14:paraId="3132681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5D0E0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20 ноября 1940 в ОКБ А.С.Я действовал заказ “Проектирование и изготовление самолета типа УТ-23 или самолета № 24” (7526, 9).</w:t>
      </w:r>
    </w:p>
    <w:p w14:paraId="694AF2C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B508B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ноября 1940 был подготовлен проект</w:t>
      </w:r>
    </w:p>
    <w:p w14:paraId="5C09FA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w:t>
      </w:r>
    </w:p>
    <w:p w14:paraId="05CD9F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СНК Союза СССР и ЦК ВКП(б)</w:t>
      </w:r>
    </w:p>
    <w:p w14:paraId="3C5A9D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программе выпуска самолетов и авиамоторов в 1941 году.</w:t>
      </w:r>
    </w:p>
    <w:p w14:paraId="7B5D9A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Совет Народных Комиссаров Союза ССР и Центральный Комитет ВКП/б/ ПОСТАНОВЛЯЮТ:</w:t>
      </w:r>
    </w:p>
    <w:p w14:paraId="50FFF3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Установить НКАП следующую программу выпуска самолетов в 1941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1165"/>
        <w:gridCol w:w="1165"/>
        <w:gridCol w:w="1165"/>
        <w:gridCol w:w="1165"/>
        <w:gridCol w:w="1165"/>
        <w:gridCol w:w="1165"/>
      </w:tblGrid>
      <w:tr w:rsidR="00983732" w:rsidRPr="00A3026E" w14:paraId="424D3411" w14:textId="77777777" w:rsidTr="00EA0DA7">
        <w:tc>
          <w:tcPr>
            <w:tcW w:w="4219" w:type="dxa"/>
            <w:tcBorders>
              <w:top w:val="single" w:sz="12" w:space="0" w:color="auto"/>
            </w:tcBorders>
          </w:tcPr>
          <w:p w14:paraId="063FEA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самолета</w:t>
            </w:r>
          </w:p>
        </w:tc>
        <w:tc>
          <w:tcPr>
            <w:tcW w:w="1165" w:type="dxa"/>
            <w:tcBorders>
              <w:top w:val="single" w:sz="12" w:space="0" w:color="auto"/>
            </w:tcBorders>
          </w:tcPr>
          <w:p w14:paraId="5D1AF0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1165" w:type="dxa"/>
            <w:tcBorders>
              <w:top w:val="single" w:sz="12" w:space="0" w:color="auto"/>
            </w:tcBorders>
          </w:tcPr>
          <w:p w14:paraId="6D93B4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том числе I кв.:</w:t>
            </w:r>
          </w:p>
        </w:tc>
        <w:tc>
          <w:tcPr>
            <w:tcW w:w="1165" w:type="dxa"/>
            <w:tcBorders>
              <w:top w:val="single" w:sz="12" w:space="0" w:color="auto"/>
            </w:tcBorders>
          </w:tcPr>
          <w:p w14:paraId="567D5A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кв.</w:t>
            </w:r>
          </w:p>
        </w:tc>
        <w:tc>
          <w:tcPr>
            <w:tcW w:w="1165" w:type="dxa"/>
            <w:tcBorders>
              <w:top w:val="single" w:sz="12" w:space="0" w:color="auto"/>
            </w:tcBorders>
          </w:tcPr>
          <w:p w14:paraId="220843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кв.</w:t>
            </w:r>
          </w:p>
        </w:tc>
        <w:tc>
          <w:tcPr>
            <w:tcW w:w="1165" w:type="dxa"/>
            <w:tcBorders>
              <w:top w:val="single" w:sz="12" w:space="0" w:color="auto"/>
            </w:tcBorders>
          </w:tcPr>
          <w:p w14:paraId="32130C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 кв.</w:t>
            </w:r>
          </w:p>
        </w:tc>
        <w:tc>
          <w:tcPr>
            <w:tcW w:w="1165" w:type="dxa"/>
            <w:tcBorders>
              <w:top w:val="single" w:sz="12" w:space="0" w:color="auto"/>
            </w:tcBorders>
          </w:tcPr>
          <w:p w14:paraId="1FDED2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кварт. 1942 г.</w:t>
            </w:r>
          </w:p>
        </w:tc>
      </w:tr>
      <w:tr w:rsidR="00983732" w:rsidRPr="00A3026E" w14:paraId="20A9F2BE" w14:textId="77777777" w:rsidTr="00EA0DA7">
        <w:tc>
          <w:tcPr>
            <w:tcW w:w="4219" w:type="dxa"/>
          </w:tcPr>
          <w:p w14:paraId="26D355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самолетов</w:t>
            </w:r>
          </w:p>
        </w:tc>
        <w:tc>
          <w:tcPr>
            <w:tcW w:w="1165" w:type="dxa"/>
          </w:tcPr>
          <w:p w14:paraId="148BB8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20060</w:t>
            </w:r>
          </w:p>
        </w:tc>
        <w:tc>
          <w:tcPr>
            <w:tcW w:w="1165" w:type="dxa"/>
          </w:tcPr>
          <w:p w14:paraId="4F4324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3243</w:t>
            </w:r>
          </w:p>
        </w:tc>
        <w:tc>
          <w:tcPr>
            <w:tcW w:w="1165" w:type="dxa"/>
          </w:tcPr>
          <w:p w14:paraId="5DEDAD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3997</w:t>
            </w:r>
          </w:p>
        </w:tc>
        <w:tc>
          <w:tcPr>
            <w:tcW w:w="1165" w:type="dxa"/>
          </w:tcPr>
          <w:p w14:paraId="021E95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5812</w:t>
            </w:r>
          </w:p>
        </w:tc>
        <w:tc>
          <w:tcPr>
            <w:tcW w:w="1165" w:type="dxa"/>
          </w:tcPr>
          <w:p w14:paraId="6A5B30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7008</w:t>
            </w:r>
          </w:p>
        </w:tc>
        <w:tc>
          <w:tcPr>
            <w:tcW w:w="1165" w:type="dxa"/>
          </w:tcPr>
          <w:p w14:paraId="47519A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7845</w:t>
            </w:r>
          </w:p>
        </w:tc>
      </w:tr>
      <w:tr w:rsidR="00983732" w:rsidRPr="00A3026E" w14:paraId="0CA40933" w14:textId="77777777" w:rsidTr="00EA0DA7">
        <w:tc>
          <w:tcPr>
            <w:tcW w:w="4219" w:type="dxa"/>
          </w:tcPr>
          <w:p w14:paraId="32D231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т.ч.:</w:t>
            </w:r>
          </w:p>
        </w:tc>
        <w:tc>
          <w:tcPr>
            <w:tcW w:w="1165" w:type="dxa"/>
          </w:tcPr>
          <w:p w14:paraId="44C96F3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7EBCDDA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2E9165B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1AF7903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2664886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79D21CB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794DD88" w14:textId="77777777" w:rsidTr="00EA0DA7">
        <w:tc>
          <w:tcPr>
            <w:tcW w:w="4219" w:type="dxa"/>
          </w:tcPr>
          <w:p w14:paraId="0C019A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Истребители</w:t>
            </w:r>
          </w:p>
        </w:tc>
        <w:tc>
          <w:tcPr>
            <w:tcW w:w="1165" w:type="dxa"/>
          </w:tcPr>
          <w:p w14:paraId="34A084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0D0DFAB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6C584EF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12D9552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36A5B9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0ECF08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D8990CE" w14:textId="77777777" w:rsidTr="00EA0DA7">
        <w:tc>
          <w:tcPr>
            <w:tcW w:w="4219" w:type="dxa"/>
          </w:tcPr>
          <w:p w14:paraId="650387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 АМ-35А</w:t>
            </w:r>
          </w:p>
        </w:tc>
        <w:tc>
          <w:tcPr>
            <w:tcW w:w="1165" w:type="dxa"/>
          </w:tcPr>
          <w:p w14:paraId="538210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3600</w:t>
            </w:r>
          </w:p>
        </w:tc>
        <w:tc>
          <w:tcPr>
            <w:tcW w:w="1165" w:type="dxa"/>
          </w:tcPr>
          <w:p w14:paraId="3FB529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165" w:type="dxa"/>
          </w:tcPr>
          <w:p w14:paraId="241862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860</w:t>
            </w:r>
          </w:p>
        </w:tc>
        <w:tc>
          <w:tcPr>
            <w:tcW w:w="1165" w:type="dxa"/>
          </w:tcPr>
          <w:p w14:paraId="5691D8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1080</w:t>
            </w:r>
          </w:p>
        </w:tc>
        <w:tc>
          <w:tcPr>
            <w:tcW w:w="1165" w:type="dxa"/>
          </w:tcPr>
          <w:p w14:paraId="342075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1160</w:t>
            </w:r>
          </w:p>
        </w:tc>
        <w:tc>
          <w:tcPr>
            <w:tcW w:w="1165" w:type="dxa"/>
          </w:tcPr>
          <w:p w14:paraId="5C51E9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5F659FFB" w14:textId="77777777" w:rsidTr="00EA0DA7">
        <w:tc>
          <w:tcPr>
            <w:tcW w:w="4219" w:type="dxa"/>
          </w:tcPr>
          <w:p w14:paraId="318514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И-301 М-105</w:t>
            </w:r>
          </w:p>
        </w:tc>
        <w:tc>
          <w:tcPr>
            <w:tcW w:w="1165" w:type="dxa"/>
          </w:tcPr>
          <w:p w14:paraId="596272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2450</w:t>
            </w:r>
          </w:p>
        </w:tc>
        <w:tc>
          <w:tcPr>
            <w:tcW w:w="1165" w:type="dxa"/>
          </w:tcPr>
          <w:p w14:paraId="30D85E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1165" w:type="dxa"/>
          </w:tcPr>
          <w:p w14:paraId="77C07E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165" w:type="dxa"/>
          </w:tcPr>
          <w:p w14:paraId="2EAEB6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875</w:t>
            </w:r>
          </w:p>
        </w:tc>
        <w:tc>
          <w:tcPr>
            <w:tcW w:w="1165" w:type="dxa"/>
          </w:tcPr>
          <w:p w14:paraId="7F9805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1165" w:type="dxa"/>
          </w:tcPr>
          <w:p w14:paraId="062548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1320</w:t>
            </w:r>
          </w:p>
        </w:tc>
      </w:tr>
      <w:tr w:rsidR="00983732" w:rsidRPr="00A3026E" w14:paraId="7955FA63" w14:textId="77777777" w:rsidTr="00EA0DA7">
        <w:tc>
          <w:tcPr>
            <w:tcW w:w="4219" w:type="dxa"/>
          </w:tcPr>
          <w:p w14:paraId="58B748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М-105</w:t>
            </w:r>
          </w:p>
        </w:tc>
        <w:tc>
          <w:tcPr>
            <w:tcW w:w="1165" w:type="dxa"/>
          </w:tcPr>
          <w:p w14:paraId="0A5351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2100</w:t>
            </w:r>
          </w:p>
        </w:tc>
        <w:tc>
          <w:tcPr>
            <w:tcW w:w="1165" w:type="dxa"/>
          </w:tcPr>
          <w:p w14:paraId="3970E3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280</w:t>
            </w:r>
          </w:p>
        </w:tc>
        <w:tc>
          <w:tcPr>
            <w:tcW w:w="1165" w:type="dxa"/>
          </w:tcPr>
          <w:p w14:paraId="3AC6A3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1165" w:type="dxa"/>
          </w:tcPr>
          <w:p w14:paraId="718069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590</w:t>
            </w:r>
          </w:p>
        </w:tc>
        <w:tc>
          <w:tcPr>
            <w:tcW w:w="1165" w:type="dxa"/>
          </w:tcPr>
          <w:p w14:paraId="665FF4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830</w:t>
            </w:r>
          </w:p>
        </w:tc>
        <w:tc>
          <w:tcPr>
            <w:tcW w:w="1165" w:type="dxa"/>
          </w:tcPr>
          <w:p w14:paraId="0A22EF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1085</w:t>
            </w:r>
          </w:p>
        </w:tc>
      </w:tr>
      <w:tr w:rsidR="00983732" w:rsidRPr="00A3026E" w14:paraId="01520D4D" w14:textId="77777777" w:rsidTr="00EA0DA7">
        <w:tc>
          <w:tcPr>
            <w:tcW w:w="4219" w:type="dxa"/>
          </w:tcPr>
          <w:p w14:paraId="727398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 моторный истребитель конструкции Яковлева 2М-105</w:t>
            </w:r>
          </w:p>
        </w:tc>
        <w:tc>
          <w:tcPr>
            <w:tcW w:w="1165" w:type="dxa"/>
          </w:tcPr>
          <w:p w14:paraId="57A5E6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165" w:type="dxa"/>
          </w:tcPr>
          <w:p w14:paraId="129384C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4058FB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1165" w:type="dxa"/>
          </w:tcPr>
          <w:p w14:paraId="30AA46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1165" w:type="dxa"/>
          </w:tcPr>
          <w:p w14:paraId="0F65F8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c>
          <w:tcPr>
            <w:tcW w:w="1165" w:type="dxa"/>
          </w:tcPr>
          <w:p w14:paraId="55F05D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r>
      <w:tr w:rsidR="00983732" w:rsidRPr="00A3026E" w14:paraId="7FA46FB2" w14:textId="77777777" w:rsidTr="00EA0DA7">
        <w:tc>
          <w:tcPr>
            <w:tcW w:w="4219" w:type="dxa"/>
          </w:tcPr>
          <w:p w14:paraId="43D4EF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истребителей:</w:t>
            </w:r>
          </w:p>
        </w:tc>
        <w:tc>
          <w:tcPr>
            <w:tcW w:w="1165" w:type="dxa"/>
          </w:tcPr>
          <w:p w14:paraId="5AF137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8350</w:t>
            </w:r>
          </w:p>
        </w:tc>
        <w:tc>
          <w:tcPr>
            <w:tcW w:w="1165" w:type="dxa"/>
          </w:tcPr>
          <w:p w14:paraId="72EF1D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855</w:t>
            </w:r>
          </w:p>
        </w:tc>
        <w:tc>
          <w:tcPr>
            <w:tcW w:w="1165" w:type="dxa"/>
          </w:tcPr>
          <w:p w14:paraId="5A5B3D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1570</w:t>
            </w:r>
          </w:p>
        </w:tc>
        <w:tc>
          <w:tcPr>
            <w:tcW w:w="1165" w:type="dxa"/>
          </w:tcPr>
          <w:p w14:paraId="793FFC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2620</w:t>
            </w:r>
          </w:p>
        </w:tc>
        <w:tc>
          <w:tcPr>
            <w:tcW w:w="1165" w:type="dxa"/>
          </w:tcPr>
          <w:p w14:paraId="26BCCF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3305</w:t>
            </w:r>
          </w:p>
        </w:tc>
        <w:tc>
          <w:tcPr>
            <w:tcW w:w="1165" w:type="dxa"/>
          </w:tcPr>
          <w:p w14:paraId="34641C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3755</w:t>
            </w:r>
          </w:p>
        </w:tc>
      </w:tr>
      <w:tr w:rsidR="00983732" w:rsidRPr="00A3026E" w14:paraId="3FE4269C" w14:textId="77777777" w:rsidTr="00EA0DA7">
        <w:tc>
          <w:tcPr>
            <w:tcW w:w="4219" w:type="dxa"/>
          </w:tcPr>
          <w:p w14:paraId="625DEC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бомбардировщики ДО 2К=35А,2М-40</w:t>
            </w:r>
          </w:p>
        </w:tc>
        <w:tc>
          <w:tcPr>
            <w:tcW w:w="1165" w:type="dxa"/>
          </w:tcPr>
          <w:p w14:paraId="48481AC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1137804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1940408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50F7C7F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4CBE470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3AB7FFF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581003B" w14:textId="77777777" w:rsidTr="00EA0DA7">
        <w:tc>
          <w:tcPr>
            <w:tcW w:w="4219" w:type="dxa"/>
          </w:tcPr>
          <w:p w14:paraId="2EAA14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w:t>
            </w:r>
          </w:p>
        </w:tc>
        <w:tc>
          <w:tcPr>
            <w:tcW w:w="1165" w:type="dxa"/>
          </w:tcPr>
          <w:p w14:paraId="4DD2E7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1480 </w:t>
            </w:r>
          </w:p>
        </w:tc>
        <w:tc>
          <w:tcPr>
            <w:tcW w:w="1165" w:type="dxa"/>
          </w:tcPr>
          <w:p w14:paraId="2EFD0F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1165" w:type="dxa"/>
          </w:tcPr>
          <w:p w14:paraId="3D534D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270 </w:t>
            </w:r>
          </w:p>
        </w:tc>
        <w:tc>
          <w:tcPr>
            <w:tcW w:w="1165" w:type="dxa"/>
          </w:tcPr>
          <w:p w14:paraId="3FD45C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415 </w:t>
            </w:r>
          </w:p>
        </w:tc>
        <w:tc>
          <w:tcPr>
            <w:tcW w:w="1165" w:type="dxa"/>
          </w:tcPr>
          <w:p w14:paraId="50FA8C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595 </w:t>
            </w:r>
          </w:p>
        </w:tc>
        <w:tc>
          <w:tcPr>
            <w:tcW w:w="1165" w:type="dxa"/>
          </w:tcPr>
          <w:p w14:paraId="36F7A4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635 </w:t>
            </w:r>
          </w:p>
        </w:tc>
      </w:tr>
      <w:tr w:rsidR="00983732" w:rsidRPr="00A3026E" w14:paraId="7054804F" w14:textId="77777777" w:rsidTr="00EA0DA7">
        <w:tc>
          <w:tcPr>
            <w:tcW w:w="4219" w:type="dxa"/>
          </w:tcPr>
          <w:p w14:paraId="50F2C9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ПБ-100 2М-105 </w:t>
            </w:r>
          </w:p>
        </w:tc>
        <w:tc>
          <w:tcPr>
            <w:tcW w:w="1165" w:type="dxa"/>
          </w:tcPr>
          <w:p w14:paraId="0D2812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1700 </w:t>
            </w:r>
          </w:p>
        </w:tc>
        <w:tc>
          <w:tcPr>
            <w:tcW w:w="1165" w:type="dxa"/>
          </w:tcPr>
          <w:p w14:paraId="555405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170 </w:t>
            </w:r>
          </w:p>
        </w:tc>
        <w:tc>
          <w:tcPr>
            <w:tcW w:w="1165" w:type="dxa"/>
          </w:tcPr>
          <w:p w14:paraId="136493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335 </w:t>
            </w:r>
          </w:p>
        </w:tc>
        <w:tc>
          <w:tcPr>
            <w:tcW w:w="1165" w:type="dxa"/>
          </w:tcPr>
          <w:p w14:paraId="1479EF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515 </w:t>
            </w:r>
          </w:p>
        </w:tc>
        <w:tc>
          <w:tcPr>
            <w:tcW w:w="1165" w:type="dxa"/>
          </w:tcPr>
          <w:p w14:paraId="24D3E5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680 </w:t>
            </w:r>
          </w:p>
        </w:tc>
        <w:tc>
          <w:tcPr>
            <w:tcW w:w="1165" w:type="dxa"/>
          </w:tcPr>
          <w:p w14:paraId="701BA9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955 </w:t>
            </w:r>
          </w:p>
        </w:tc>
      </w:tr>
      <w:tr w:rsidR="00983732" w:rsidRPr="00A3026E" w14:paraId="77842BA3" w14:textId="77777777" w:rsidTr="00EA0DA7">
        <w:tc>
          <w:tcPr>
            <w:tcW w:w="4219" w:type="dxa"/>
          </w:tcPr>
          <w:p w14:paraId="74CB42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СБ-РК 2М-105 </w:t>
            </w:r>
          </w:p>
        </w:tc>
        <w:tc>
          <w:tcPr>
            <w:tcW w:w="1165" w:type="dxa"/>
          </w:tcPr>
          <w:p w14:paraId="34B851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1100 </w:t>
            </w:r>
          </w:p>
        </w:tc>
        <w:tc>
          <w:tcPr>
            <w:tcW w:w="1165" w:type="dxa"/>
          </w:tcPr>
          <w:p w14:paraId="1E1609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 </w:t>
            </w:r>
          </w:p>
        </w:tc>
        <w:tc>
          <w:tcPr>
            <w:tcW w:w="1165" w:type="dxa"/>
          </w:tcPr>
          <w:p w14:paraId="4E7237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310 </w:t>
            </w:r>
          </w:p>
        </w:tc>
        <w:tc>
          <w:tcPr>
            <w:tcW w:w="1165" w:type="dxa"/>
          </w:tcPr>
          <w:p w14:paraId="0ED7BA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285 </w:t>
            </w:r>
          </w:p>
        </w:tc>
        <w:tc>
          <w:tcPr>
            <w:tcW w:w="1165" w:type="dxa"/>
          </w:tcPr>
          <w:p w14:paraId="051C12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205 </w:t>
            </w:r>
          </w:p>
        </w:tc>
        <w:tc>
          <w:tcPr>
            <w:tcW w:w="1165" w:type="dxa"/>
          </w:tcPr>
          <w:p w14:paraId="20F524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70 </w:t>
            </w:r>
          </w:p>
        </w:tc>
      </w:tr>
      <w:tr w:rsidR="00983732" w:rsidRPr="00A3026E" w14:paraId="45618DB1" w14:textId="77777777" w:rsidTr="00EA0DA7">
        <w:tc>
          <w:tcPr>
            <w:tcW w:w="4219" w:type="dxa"/>
          </w:tcPr>
          <w:p w14:paraId="248B00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ББ-22 2М-Ю5 </w:t>
            </w:r>
          </w:p>
        </w:tc>
        <w:tc>
          <w:tcPr>
            <w:tcW w:w="1165" w:type="dxa"/>
          </w:tcPr>
          <w:p w14:paraId="03A20B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400 </w:t>
            </w:r>
          </w:p>
        </w:tc>
        <w:tc>
          <w:tcPr>
            <w:tcW w:w="1165" w:type="dxa"/>
          </w:tcPr>
          <w:p w14:paraId="7A8ED1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65 </w:t>
            </w:r>
          </w:p>
        </w:tc>
        <w:tc>
          <w:tcPr>
            <w:tcW w:w="1165" w:type="dxa"/>
          </w:tcPr>
          <w:p w14:paraId="53F5FB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c>
          <w:tcPr>
            <w:tcW w:w="1165" w:type="dxa"/>
          </w:tcPr>
          <w:p w14:paraId="1EBFE3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1165" w:type="dxa"/>
          </w:tcPr>
          <w:p w14:paraId="427574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125 </w:t>
            </w:r>
          </w:p>
        </w:tc>
        <w:tc>
          <w:tcPr>
            <w:tcW w:w="1165" w:type="dxa"/>
          </w:tcPr>
          <w:p w14:paraId="2EF343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 </w:t>
            </w:r>
          </w:p>
        </w:tc>
      </w:tr>
      <w:tr w:rsidR="00983732" w:rsidRPr="00A3026E" w14:paraId="659D1DE6" w14:textId="77777777" w:rsidTr="00EA0DA7">
        <w:tc>
          <w:tcPr>
            <w:tcW w:w="4219" w:type="dxa"/>
          </w:tcPr>
          <w:p w14:paraId="4A858B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ТБ-7 4АМ-35А, 4М-40 </w:t>
            </w:r>
          </w:p>
        </w:tc>
        <w:tc>
          <w:tcPr>
            <w:tcW w:w="1165" w:type="dxa"/>
          </w:tcPr>
          <w:p w14:paraId="0056E2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70 </w:t>
            </w:r>
          </w:p>
        </w:tc>
        <w:tc>
          <w:tcPr>
            <w:tcW w:w="1165" w:type="dxa"/>
          </w:tcPr>
          <w:p w14:paraId="203C91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w:t>
            </w:r>
          </w:p>
        </w:tc>
        <w:tc>
          <w:tcPr>
            <w:tcW w:w="1165" w:type="dxa"/>
          </w:tcPr>
          <w:p w14:paraId="4EA235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 </w:t>
            </w:r>
          </w:p>
        </w:tc>
        <w:tc>
          <w:tcPr>
            <w:tcW w:w="1165" w:type="dxa"/>
          </w:tcPr>
          <w:p w14:paraId="3FEFCE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 </w:t>
            </w:r>
          </w:p>
        </w:tc>
        <w:tc>
          <w:tcPr>
            <w:tcW w:w="1165" w:type="dxa"/>
          </w:tcPr>
          <w:p w14:paraId="6DD312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 </w:t>
            </w:r>
          </w:p>
        </w:tc>
        <w:tc>
          <w:tcPr>
            <w:tcW w:w="1165" w:type="dxa"/>
          </w:tcPr>
          <w:p w14:paraId="558B8C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 </w:t>
            </w:r>
          </w:p>
        </w:tc>
      </w:tr>
      <w:tr w:rsidR="00983732" w:rsidRPr="00A3026E" w14:paraId="3337BE5B" w14:textId="77777777" w:rsidTr="00EA0DA7">
        <w:tc>
          <w:tcPr>
            <w:tcW w:w="4219" w:type="dxa"/>
          </w:tcPr>
          <w:p w14:paraId="5790DE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ББ-1 М-88,89 </w:t>
            </w:r>
          </w:p>
        </w:tc>
        <w:tc>
          <w:tcPr>
            <w:tcW w:w="1165" w:type="dxa"/>
          </w:tcPr>
          <w:p w14:paraId="6BAF7F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1150 </w:t>
            </w:r>
          </w:p>
        </w:tc>
        <w:tc>
          <w:tcPr>
            <w:tcW w:w="1165" w:type="dxa"/>
          </w:tcPr>
          <w:p w14:paraId="46BB83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165 </w:t>
            </w:r>
          </w:p>
        </w:tc>
        <w:tc>
          <w:tcPr>
            <w:tcW w:w="1165" w:type="dxa"/>
          </w:tcPr>
          <w:p w14:paraId="22AC02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240 </w:t>
            </w:r>
          </w:p>
        </w:tc>
        <w:tc>
          <w:tcPr>
            <w:tcW w:w="1165" w:type="dxa"/>
          </w:tcPr>
          <w:p w14:paraId="3BE794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330 </w:t>
            </w:r>
          </w:p>
        </w:tc>
        <w:tc>
          <w:tcPr>
            <w:tcW w:w="1165" w:type="dxa"/>
          </w:tcPr>
          <w:p w14:paraId="3E36FE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415 </w:t>
            </w:r>
          </w:p>
        </w:tc>
        <w:tc>
          <w:tcPr>
            <w:tcW w:w="1165" w:type="dxa"/>
          </w:tcPr>
          <w:p w14:paraId="5EC7D4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485 </w:t>
            </w:r>
          </w:p>
        </w:tc>
      </w:tr>
      <w:tr w:rsidR="00983732" w:rsidRPr="00A3026E" w14:paraId="70D2FDEC" w14:textId="77777777" w:rsidTr="00EA0DA7">
        <w:tc>
          <w:tcPr>
            <w:tcW w:w="4219" w:type="dxa"/>
          </w:tcPr>
          <w:p w14:paraId="7C8E6F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 2М-105, 103</w:t>
            </w:r>
          </w:p>
        </w:tc>
        <w:tc>
          <w:tcPr>
            <w:tcW w:w="1165" w:type="dxa"/>
          </w:tcPr>
          <w:p w14:paraId="7F46C5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700 </w:t>
            </w:r>
          </w:p>
        </w:tc>
        <w:tc>
          <w:tcPr>
            <w:tcW w:w="1165" w:type="dxa"/>
          </w:tcPr>
          <w:p w14:paraId="591384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 </w:t>
            </w:r>
          </w:p>
        </w:tc>
        <w:tc>
          <w:tcPr>
            <w:tcW w:w="1165" w:type="dxa"/>
          </w:tcPr>
          <w:p w14:paraId="5CCF54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170 </w:t>
            </w:r>
          </w:p>
        </w:tc>
        <w:tc>
          <w:tcPr>
            <w:tcW w:w="1165" w:type="dxa"/>
          </w:tcPr>
          <w:p w14:paraId="18E20F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185 </w:t>
            </w:r>
          </w:p>
        </w:tc>
        <w:tc>
          <w:tcPr>
            <w:tcW w:w="1165" w:type="dxa"/>
          </w:tcPr>
          <w:p w14:paraId="337783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195 </w:t>
            </w:r>
          </w:p>
        </w:tc>
        <w:tc>
          <w:tcPr>
            <w:tcW w:w="1165" w:type="dxa"/>
          </w:tcPr>
          <w:p w14:paraId="0B08EF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195 </w:t>
            </w:r>
          </w:p>
        </w:tc>
      </w:tr>
      <w:tr w:rsidR="00983732" w:rsidRPr="00A3026E" w14:paraId="32520D40" w14:textId="77777777" w:rsidTr="00EA0DA7">
        <w:tc>
          <w:tcPr>
            <w:tcW w:w="4219" w:type="dxa"/>
          </w:tcPr>
          <w:p w14:paraId="696449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ДБ-3Ф 2М-88 </w:t>
            </w:r>
          </w:p>
        </w:tc>
        <w:tc>
          <w:tcPr>
            <w:tcW w:w="1165" w:type="dxa"/>
          </w:tcPr>
          <w:p w14:paraId="476C92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350 </w:t>
            </w:r>
          </w:p>
        </w:tc>
        <w:tc>
          <w:tcPr>
            <w:tcW w:w="1165" w:type="dxa"/>
          </w:tcPr>
          <w:p w14:paraId="2B2CBD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70 </w:t>
            </w:r>
          </w:p>
        </w:tc>
        <w:tc>
          <w:tcPr>
            <w:tcW w:w="1165" w:type="dxa"/>
          </w:tcPr>
          <w:p w14:paraId="6E65B5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85 </w:t>
            </w:r>
          </w:p>
        </w:tc>
        <w:tc>
          <w:tcPr>
            <w:tcW w:w="1165" w:type="dxa"/>
          </w:tcPr>
          <w:p w14:paraId="4EFBE9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90 </w:t>
            </w:r>
          </w:p>
        </w:tc>
        <w:tc>
          <w:tcPr>
            <w:tcW w:w="1165" w:type="dxa"/>
          </w:tcPr>
          <w:p w14:paraId="31318C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105 </w:t>
            </w:r>
          </w:p>
        </w:tc>
        <w:tc>
          <w:tcPr>
            <w:tcW w:w="1165" w:type="dxa"/>
          </w:tcPr>
          <w:p w14:paraId="54F0BB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125 </w:t>
            </w:r>
          </w:p>
        </w:tc>
      </w:tr>
      <w:tr w:rsidR="00983732" w:rsidRPr="00A3026E" w14:paraId="5FE175D9" w14:textId="77777777" w:rsidTr="00EA0DA7">
        <w:tc>
          <w:tcPr>
            <w:tcW w:w="4219" w:type="dxa"/>
          </w:tcPr>
          <w:p w14:paraId="10D317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Итого бомбардировщииков:- </w:t>
            </w:r>
          </w:p>
        </w:tc>
        <w:tc>
          <w:tcPr>
            <w:tcW w:w="1165" w:type="dxa"/>
          </w:tcPr>
          <w:p w14:paraId="0D4805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6950 </w:t>
            </w:r>
          </w:p>
        </w:tc>
        <w:tc>
          <w:tcPr>
            <w:tcW w:w="1165" w:type="dxa"/>
          </w:tcPr>
          <w:p w14:paraId="1F0610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1128 </w:t>
            </w:r>
          </w:p>
        </w:tc>
        <w:tc>
          <w:tcPr>
            <w:tcW w:w="1165" w:type="dxa"/>
          </w:tcPr>
          <w:p w14:paraId="46B3E4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1522 </w:t>
            </w:r>
          </w:p>
        </w:tc>
        <w:tc>
          <w:tcPr>
            <w:tcW w:w="1165" w:type="dxa"/>
          </w:tcPr>
          <w:p w14:paraId="7E5C7D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1950 </w:t>
            </w:r>
          </w:p>
        </w:tc>
        <w:tc>
          <w:tcPr>
            <w:tcW w:w="1165" w:type="dxa"/>
          </w:tcPr>
          <w:p w14:paraId="3D534E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2350 </w:t>
            </w:r>
          </w:p>
        </w:tc>
        <w:tc>
          <w:tcPr>
            <w:tcW w:w="1165" w:type="dxa"/>
          </w:tcPr>
          <w:p w14:paraId="3FE56F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2655 </w:t>
            </w:r>
          </w:p>
        </w:tc>
      </w:tr>
      <w:tr w:rsidR="00983732" w:rsidRPr="00A3026E" w14:paraId="55E3FC5A" w14:textId="77777777" w:rsidTr="00EA0DA7">
        <w:tc>
          <w:tcPr>
            <w:tcW w:w="4219" w:type="dxa"/>
          </w:tcPr>
          <w:p w14:paraId="6772ED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Штурмовики </w:t>
            </w:r>
          </w:p>
        </w:tc>
        <w:tc>
          <w:tcPr>
            <w:tcW w:w="1165" w:type="dxa"/>
          </w:tcPr>
          <w:p w14:paraId="3F1DC2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73BEBE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779180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23FAF6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6DCABF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1618F1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1283BB1" w14:textId="77777777" w:rsidTr="00EA0DA7">
        <w:tc>
          <w:tcPr>
            <w:tcW w:w="4219" w:type="dxa"/>
          </w:tcPr>
          <w:p w14:paraId="2654DB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БШ АМ-35А </w:t>
            </w:r>
          </w:p>
        </w:tc>
        <w:tc>
          <w:tcPr>
            <w:tcW w:w="1165" w:type="dxa"/>
          </w:tcPr>
          <w:p w14:paraId="20839E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400 </w:t>
            </w:r>
          </w:p>
        </w:tc>
        <w:tc>
          <w:tcPr>
            <w:tcW w:w="1165" w:type="dxa"/>
          </w:tcPr>
          <w:p w14:paraId="7475BF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 </w:t>
            </w:r>
          </w:p>
        </w:tc>
        <w:tc>
          <w:tcPr>
            <w:tcW w:w="1165" w:type="dxa"/>
          </w:tcPr>
          <w:p w14:paraId="6433CE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70 </w:t>
            </w:r>
          </w:p>
        </w:tc>
        <w:tc>
          <w:tcPr>
            <w:tcW w:w="1165" w:type="dxa"/>
          </w:tcPr>
          <w:p w14:paraId="327B7F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120 </w:t>
            </w:r>
          </w:p>
        </w:tc>
        <w:tc>
          <w:tcPr>
            <w:tcW w:w="1165" w:type="dxa"/>
          </w:tcPr>
          <w:p w14:paraId="46E1E7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190 </w:t>
            </w:r>
          </w:p>
        </w:tc>
        <w:tc>
          <w:tcPr>
            <w:tcW w:w="1165" w:type="dxa"/>
          </w:tcPr>
          <w:p w14:paraId="636913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260 </w:t>
            </w:r>
          </w:p>
        </w:tc>
      </w:tr>
      <w:tr w:rsidR="00983732" w:rsidRPr="00A3026E" w14:paraId="6A0A6EBD" w14:textId="77777777" w:rsidTr="00EA0DA7">
        <w:tc>
          <w:tcPr>
            <w:tcW w:w="4219" w:type="dxa"/>
          </w:tcPr>
          <w:p w14:paraId="0F86C7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Морские</w:t>
            </w:r>
          </w:p>
        </w:tc>
        <w:tc>
          <w:tcPr>
            <w:tcW w:w="1165" w:type="dxa"/>
          </w:tcPr>
          <w:p w14:paraId="40B176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730F0E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23B153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64EA23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056712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5E3673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276AE39" w14:textId="77777777" w:rsidTr="00EA0DA7">
        <w:tc>
          <w:tcPr>
            <w:tcW w:w="4219" w:type="dxa"/>
          </w:tcPr>
          <w:p w14:paraId="2D473D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МДР-6 2М-62</w:t>
            </w:r>
          </w:p>
        </w:tc>
        <w:tc>
          <w:tcPr>
            <w:tcW w:w="1165" w:type="dxa"/>
          </w:tcPr>
          <w:p w14:paraId="210E2B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1165" w:type="dxa"/>
          </w:tcPr>
          <w:p w14:paraId="37AC0C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 </w:t>
            </w:r>
          </w:p>
        </w:tc>
        <w:tc>
          <w:tcPr>
            <w:tcW w:w="1165" w:type="dxa"/>
          </w:tcPr>
          <w:p w14:paraId="5E55B1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45 </w:t>
            </w:r>
          </w:p>
        </w:tc>
        <w:tc>
          <w:tcPr>
            <w:tcW w:w="1165" w:type="dxa"/>
          </w:tcPr>
          <w:p w14:paraId="1877D6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 </w:t>
            </w:r>
          </w:p>
        </w:tc>
        <w:tc>
          <w:tcPr>
            <w:tcW w:w="1165" w:type="dxa"/>
          </w:tcPr>
          <w:p w14:paraId="485AFB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65 </w:t>
            </w:r>
          </w:p>
        </w:tc>
        <w:tc>
          <w:tcPr>
            <w:tcW w:w="1165" w:type="dxa"/>
          </w:tcPr>
          <w:p w14:paraId="657B9E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80 </w:t>
            </w:r>
          </w:p>
        </w:tc>
      </w:tr>
      <w:tr w:rsidR="00983732" w:rsidRPr="00A3026E" w14:paraId="5D62E53D" w14:textId="77777777" w:rsidTr="00EA0DA7">
        <w:tc>
          <w:tcPr>
            <w:tcW w:w="4219" w:type="dxa"/>
          </w:tcPr>
          <w:p w14:paraId="2E069E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Транспортные.</w:t>
            </w:r>
          </w:p>
        </w:tc>
        <w:tc>
          <w:tcPr>
            <w:tcW w:w="1165" w:type="dxa"/>
          </w:tcPr>
          <w:p w14:paraId="4EEDB8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10C51B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74BEAA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518F30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7D4C64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76ACC7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714BC27" w14:textId="77777777" w:rsidTr="00EA0DA7">
        <w:tc>
          <w:tcPr>
            <w:tcW w:w="4219" w:type="dxa"/>
          </w:tcPr>
          <w:p w14:paraId="36013C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ПС-84 2М-62 ИР</w:t>
            </w:r>
          </w:p>
        </w:tc>
        <w:tc>
          <w:tcPr>
            <w:tcW w:w="1165" w:type="dxa"/>
          </w:tcPr>
          <w:p w14:paraId="6885CC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 </w:t>
            </w:r>
          </w:p>
        </w:tc>
        <w:tc>
          <w:tcPr>
            <w:tcW w:w="1165" w:type="dxa"/>
          </w:tcPr>
          <w:p w14:paraId="70118F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 </w:t>
            </w:r>
          </w:p>
        </w:tc>
        <w:tc>
          <w:tcPr>
            <w:tcW w:w="1165" w:type="dxa"/>
          </w:tcPr>
          <w:p w14:paraId="6CC4CB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 </w:t>
            </w:r>
          </w:p>
        </w:tc>
        <w:tc>
          <w:tcPr>
            <w:tcW w:w="1165" w:type="dxa"/>
          </w:tcPr>
          <w:p w14:paraId="54CF79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90 </w:t>
            </w:r>
          </w:p>
        </w:tc>
        <w:tc>
          <w:tcPr>
            <w:tcW w:w="1165" w:type="dxa"/>
          </w:tcPr>
          <w:p w14:paraId="36788E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1165" w:type="dxa"/>
          </w:tcPr>
          <w:p w14:paraId="4A0D9B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120 </w:t>
            </w:r>
          </w:p>
        </w:tc>
      </w:tr>
      <w:tr w:rsidR="00983732" w:rsidRPr="00A3026E" w14:paraId="2F3EFB80" w14:textId="77777777" w:rsidTr="00EA0DA7">
        <w:tc>
          <w:tcPr>
            <w:tcW w:w="4219" w:type="dxa"/>
          </w:tcPr>
          <w:p w14:paraId="4182CE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Итого боевые самолетов :- </w:t>
            </w:r>
          </w:p>
        </w:tc>
        <w:tc>
          <w:tcPr>
            <w:tcW w:w="1165" w:type="dxa"/>
          </w:tcPr>
          <w:p w14:paraId="523616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16200 </w:t>
            </w:r>
          </w:p>
        </w:tc>
        <w:tc>
          <w:tcPr>
            <w:tcW w:w="1165" w:type="dxa"/>
          </w:tcPr>
          <w:p w14:paraId="000ACD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2073 </w:t>
            </w:r>
          </w:p>
        </w:tc>
        <w:tc>
          <w:tcPr>
            <w:tcW w:w="1165" w:type="dxa"/>
          </w:tcPr>
          <w:p w14:paraId="3988D0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3267 </w:t>
            </w:r>
          </w:p>
        </w:tc>
        <w:tc>
          <w:tcPr>
            <w:tcW w:w="1165" w:type="dxa"/>
          </w:tcPr>
          <w:p w14:paraId="50C245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4840 </w:t>
            </w:r>
          </w:p>
        </w:tc>
        <w:tc>
          <w:tcPr>
            <w:tcW w:w="1165" w:type="dxa"/>
          </w:tcPr>
          <w:p w14:paraId="47DEAC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6020 </w:t>
            </w:r>
          </w:p>
        </w:tc>
        <w:tc>
          <w:tcPr>
            <w:tcW w:w="1165" w:type="dxa"/>
          </w:tcPr>
          <w:p w14:paraId="449BFC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6870 </w:t>
            </w:r>
          </w:p>
        </w:tc>
      </w:tr>
      <w:tr w:rsidR="00983732" w:rsidRPr="00A3026E" w14:paraId="36BC0FCC" w14:textId="77777777" w:rsidTr="00EA0DA7">
        <w:tc>
          <w:tcPr>
            <w:tcW w:w="4219" w:type="dxa"/>
          </w:tcPr>
          <w:p w14:paraId="1E4336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Учебные и учебно- тренировоч. с-ты</w:t>
            </w:r>
          </w:p>
        </w:tc>
        <w:tc>
          <w:tcPr>
            <w:tcW w:w="1165" w:type="dxa"/>
          </w:tcPr>
          <w:p w14:paraId="13A076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0DFF29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10F0B7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7DB448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085CC6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6A255F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07B3F67" w14:textId="77777777" w:rsidTr="00EA0DA7">
        <w:tc>
          <w:tcPr>
            <w:tcW w:w="4219" w:type="dxa"/>
          </w:tcPr>
          <w:p w14:paraId="67B6E7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УТИ-26 М-105</w:t>
            </w:r>
          </w:p>
        </w:tc>
        <w:tc>
          <w:tcPr>
            <w:tcW w:w="1165" w:type="dxa"/>
          </w:tcPr>
          <w:p w14:paraId="6ECA53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1165" w:type="dxa"/>
          </w:tcPr>
          <w:p w14:paraId="6304AC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1165" w:type="dxa"/>
          </w:tcPr>
          <w:p w14:paraId="456844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1165" w:type="dxa"/>
          </w:tcPr>
          <w:p w14:paraId="4C11D3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 </w:t>
            </w:r>
          </w:p>
        </w:tc>
        <w:tc>
          <w:tcPr>
            <w:tcW w:w="1165" w:type="dxa"/>
          </w:tcPr>
          <w:p w14:paraId="62F773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83 </w:t>
            </w:r>
          </w:p>
        </w:tc>
        <w:tc>
          <w:tcPr>
            <w:tcW w:w="1165" w:type="dxa"/>
          </w:tcPr>
          <w:p w14:paraId="4A209E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140 </w:t>
            </w:r>
          </w:p>
        </w:tc>
      </w:tr>
      <w:tr w:rsidR="00983732" w:rsidRPr="00A3026E" w14:paraId="0FCA3059" w14:textId="77777777" w:rsidTr="00EA0DA7">
        <w:tc>
          <w:tcPr>
            <w:tcW w:w="4219" w:type="dxa"/>
          </w:tcPr>
          <w:p w14:paraId="733C38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УТИ-4 М-25В</w:t>
            </w:r>
          </w:p>
        </w:tc>
        <w:tc>
          <w:tcPr>
            <w:tcW w:w="1165" w:type="dxa"/>
          </w:tcPr>
          <w:p w14:paraId="68497C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1150 </w:t>
            </w:r>
          </w:p>
        </w:tc>
        <w:tc>
          <w:tcPr>
            <w:tcW w:w="1165" w:type="dxa"/>
          </w:tcPr>
          <w:p w14:paraId="66469F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630 </w:t>
            </w:r>
          </w:p>
        </w:tc>
        <w:tc>
          <w:tcPr>
            <w:tcW w:w="1165" w:type="dxa"/>
          </w:tcPr>
          <w:p w14:paraId="3E54F9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1165" w:type="dxa"/>
          </w:tcPr>
          <w:p w14:paraId="5CF0DA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240 </w:t>
            </w:r>
          </w:p>
        </w:tc>
        <w:tc>
          <w:tcPr>
            <w:tcW w:w="1165" w:type="dxa"/>
          </w:tcPr>
          <w:p w14:paraId="1F09CA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80 </w:t>
            </w:r>
          </w:p>
        </w:tc>
        <w:tc>
          <w:tcPr>
            <w:tcW w:w="1165" w:type="dxa"/>
          </w:tcPr>
          <w:p w14:paraId="55A0AA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r>
      <w:tr w:rsidR="00983732" w:rsidRPr="00A3026E" w14:paraId="5DE5DA40" w14:textId="77777777" w:rsidTr="00EA0DA7">
        <w:tc>
          <w:tcPr>
            <w:tcW w:w="4219" w:type="dxa"/>
          </w:tcPr>
          <w:p w14:paraId="5AAD8F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УТ-2 М-11</w:t>
            </w:r>
          </w:p>
        </w:tc>
        <w:tc>
          <w:tcPr>
            <w:tcW w:w="1165" w:type="dxa"/>
          </w:tcPr>
          <w:p w14:paraId="4F6866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800 </w:t>
            </w:r>
          </w:p>
        </w:tc>
        <w:tc>
          <w:tcPr>
            <w:tcW w:w="1165" w:type="dxa"/>
          </w:tcPr>
          <w:p w14:paraId="732BF7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115 </w:t>
            </w:r>
          </w:p>
        </w:tc>
        <w:tc>
          <w:tcPr>
            <w:tcW w:w="1165" w:type="dxa"/>
          </w:tcPr>
          <w:p w14:paraId="78CA2F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155 </w:t>
            </w:r>
          </w:p>
        </w:tc>
        <w:tc>
          <w:tcPr>
            <w:tcW w:w="1165" w:type="dxa"/>
          </w:tcPr>
          <w:p w14:paraId="7F8B02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230 </w:t>
            </w:r>
          </w:p>
        </w:tc>
        <w:tc>
          <w:tcPr>
            <w:tcW w:w="1165" w:type="dxa"/>
          </w:tcPr>
          <w:p w14:paraId="12F948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 </w:t>
            </w:r>
          </w:p>
        </w:tc>
        <w:tc>
          <w:tcPr>
            <w:tcW w:w="1165" w:type="dxa"/>
          </w:tcPr>
          <w:p w14:paraId="00587D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310 </w:t>
            </w:r>
          </w:p>
        </w:tc>
      </w:tr>
      <w:tr w:rsidR="00983732" w:rsidRPr="00A3026E" w14:paraId="0856B76D" w14:textId="77777777" w:rsidTr="00EA0DA7">
        <w:tc>
          <w:tcPr>
            <w:tcW w:w="4219" w:type="dxa"/>
          </w:tcPr>
          <w:p w14:paraId="55F2C1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У-2</w:t>
            </w:r>
          </w:p>
        </w:tc>
        <w:tc>
          <w:tcPr>
            <w:tcW w:w="1165" w:type="dxa"/>
          </w:tcPr>
          <w:p w14:paraId="5D0214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1500 </w:t>
            </w:r>
          </w:p>
        </w:tc>
        <w:tc>
          <w:tcPr>
            <w:tcW w:w="1165" w:type="dxa"/>
          </w:tcPr>
          <w:p w14:paraId="33D513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1165" w:type="dxa"/>
          </w:tcPr>
          <w:p w14:paraId="105141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 </w:t>
            </w:r>
          </w:p>
        </w:tc>
        <w:tc>
          <w:tcPr>
            <w:tcW w:w="1165" w:type="dxa"/>
          </w:tcPr>
          <w:p w14:paraId="183EC9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475 </w:t>
            </w:r>
          </w:p>
        </w:tc>
        <w:tc>
          <w:tcPr>
            <w:tcW w:w="1165" w:type="dxa"/>
          </w:tcPr>
          <w:p w14:paraId="3BCC83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525 </w:t>
            </w:r>
          </w:p>
        </w:tc>
        <w:tc>
          <w:tcPr>
            <w:tcW w:w="1165" w:type="dxa"/>
          </w:tcPr>
          <w:p w14:paraId="2FE892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r>
      <w:tr w:rsidR="00983732" w:rsidRPr="00A3026E" w14:paraId="44C56C65" w14:textId="77777777" w:rsidTr="00EA0DA7">
        <w:tc>
          <w:tcPr>
            <w:tcW w:w="4219" w:type="dxa"/>
          </w:tcPr>
          <w:p w14:paraId="01C778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С-2 М-11</w:t>
            </w:r>
          </w:p>
        </w:tc>
        <w:tc>
          <w:tcPr>
            <w:tcW w:w="1165" w:type="dxa"/>
          </w:tcPr>
          <w:p w14:paraId="5C5C73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 </w:t>
            </w:r>
          </w:p>
        </w:tc>
        <w:tc>
          <w:tcPr>
            <w:tcW w:w="1165" w:type="dxa"/>
          </w:tcPr>
          <w:p w14:paraId="61B4EC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225 </w:t>
            </w:r>
          </w:p>
        </w:tc>
        <w:tc>
          <w:tcPr>
            <w:tcW w:w="1165" w:type="dxa"/>
          </w:tcPr>
          <w:p w14:paraId="74D13E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75 </w:t>
            </w:r>
          </w:p>
        </w:tc>
        <w:tc>
          <w:tcPr>
            <w:tcW w:w="1165" w:type="dxa"/>
          </w:tcPr>
          <w:p w14:paraId="1A6853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1165" w:type="dxa"/>
          </w:tcPr>
          <w:p w14:paraId="2F4CDF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1165" w:type="dxa"/>
          </w:tcPr>
          <w:p w14:paraId="3332F3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39037EB" w14:textId="77777777" w:rsidTr="00EA0DA7">
        <w:tc>
          <w:tcPr>
            <w:tcW w:w="4219" w:type="dxa"/>
            <w:tcBorders>
              <w:bottom w:val="single" w:sz="12" w:space="0" w:color="auto"/>
            </w:tcBorders>
          </w:tcPr>
          <w:p w14:paraId="64DC44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Итогоучебные:</w:t>
            </w:r>
          </w:p>
        </w:tc>
        <w:tc>
          <w:tcPr>
            <w:tcW w:w="1165" w:type="dxa"/>
            <w:tcBorders>
              <w:bottom w:val="single" w:sz="12" w:space="0" w:color="auto"/>
            </w:tcBorders>
          </w:tcPr>
          <w:p w14:paraId="714056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3860 </w:t>
            </w:r>
          </w:p>
        </w:tc>
        <w:tc>
          <w:tcPr>
            <w:tcW w:w="1165" w:type="dxa"/>
            <w:tcBorders>
              <w:bottom w:val="single" w:sz="12" w:space="0" w:color="auto"/>
            </w:tcBorders>
          </w:tcPr>
          <w:p w14:paraId="4C39F0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1170 </w:t>
            </w:r>
          </w:p>
        </w:tc>
        <w:tc>
          <w:tcPr>
            <w:tcW w:w="1165" w:type="dxa"/>
            <w:tcBorders>
              <w:bottom w:val="single" w:sz="12" w:space="0" w:color="auto"/>
            </w:tcBorders>
          </w:tcPr>
          <w:p w14:paraId="65BB07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730 </w:t>
            </w:r>
          </w:p>
        </w:tc>
        <w:tc>
          <w:tcPr>
            <w:tcW w:w="1165" w:type="dxa"/>
            <w:tcBorders>
              <w:bottom w:val="single" w:sz="12" w:space="0" w:color="auto"/>
            </w:tcBorders>
          </w:tcPr>
          <w:p w14:paraId="530A5F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972 </w:t>
            </w:r>
          </w:p>
        </w:tc>
        <w:tc>
          <w:tcPr>
            <w:tcW w:w="1165" w:type="dxa"/>
            <w:tcBorders>
              <w:bottom w:val="single" w:sz="12" w:space="0" w:color="auto"/>
            </w:tcBorders>
          </w:tcPr>
          <w:p w14:paraId="500D12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988 </w:t>
            </w:r>
          </w:p>
        </w:tc>
        <w:tc>
          <w:tcPr>
            <w:tcW w:w="1165" w:type="dxa"/>
            <w:tcBorders>
              <w:bottom w:val="single" w:sz="12" w:space="0" w:color="auto"/>
            </w:tcBorders>
          </w:tcPr>
          <w:p w14:paraId="209086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975 </w:t>
            </w:r>
          </w:p>
        </w:tc>
      </w:tr>
    </w:tbl>
    <w:p w14:paraId="2EBE1D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Установить ННАП следуэдуо программу выпуска моторов в 1941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1165"/>
        <w:gridCol w:w="1165"/>
        <w:gridCol w:w="1165"/>
        <w:gridCol w:w="1165"/>
        <w:gridCol w:w="1165"/>
        <w:gridCol w:w="1165"/>
      </w:tblGrid>
      <w:tr w:rsidR="00983732" w:rsidRPr="00A3026E" w14:paraId="1103C67F" w14:textId="77777777" w:rsidTr="00EA0DA7">
        <w:tc>
          <w:tcPr>
            <w:tcW w:w="4219" w:type="dxa"/>
            <w:tcBorders>
              <w:top w:val="single" w:sz="12" w:space="0" w:color="auto"/>
            </w:tcBorders>
          </w:tcPr>
          <w:p w14:paraId="4E73C7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мотора</w:t>
            </w:r>
          </w:p>
        </w:tc>
        <w:tc>
          <w:tcPr>
            <w:tcW w:w="1165" w:type="dxa"/>
            <w:tcBorders>
              <w:top w:val="single" w:sz="12" w:space="0" w:color="auto"/>
            </w:tcBorders>
          </w:tcPr>
          <w:p w14:paraId="4AC9E6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1165" w:type="dxa"/>
            <w:tcBorders>
              <w:top w:val="single" w:sz="12" w:space="0" w:color="auto"/>
            </w:tcBorders>
          </w:tcPr>
          <w:p w14:paraId="3E9AC6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том числе I кв.:</w:t>
            </w:r>
          </w:p>
        </w:tc>
        <w:tc>
          <w:tcPr>
            <w:tcW w:w="1165" w:type="dxa"/>
            <w:tcBorders>
              <w:top w:val="single" w:sz="12" w:space="0" w:color="auto"/>
            </w:tcBorders>
          </w:tcPr>
          <w:p w14:paraId="52C4F9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кв.</w:t>
            </w:r>
          </w:p>
        </w:tc>
        <w:tc>
          <w:tcPr>
            <w:tcW w:w="1165" w:type="dxa"/>
            <w:tcBorders>
              <w:top w:val="single" w:sz="12" w:space="0" w:color="auto"/>
            </w:tcBorders>
          </w:tcPr>
          <w:p w14:paraId="69A63E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кв.</w:t>
            </w:r>
          </w:p>
        </w:tc>
        <w:tc>
          <w:tcPr>
            <w:tcW w:w="1165" w:type="dxa"/>
            <w:tcBorders>
              <w:top w:val="single" w:sz="12" w:space="0" w:color="auto"/>
            </w:tcBorders>
          </w:tcPr>
          <w:p w14:paraId="29C27C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 кв.</w:t>
            </w:r>
          </w:p>
        </w:tc>
        <w:tc>
          <w:tcPr>
            <w:tcW w:w="1165" w:type="dxa"/>
            <w:tcBorders>
              <w:top w:val="single" w:sz="12" w:space="0" w:color="auto"/>
            </w:tcBorders>
          </w:tcPr>
          <w:p w14:paraId="25322D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кварт. 1942 г.</w:t>
            </w:r>
          </w:p>
        </w:tc>
      </w:tr>
      <w:tr w:rsidR="00983732" w:rsidRPr="00A3026E" w14:paraId="5179B2E6" w14:textId="77777777" w:rsidTr="00EA0DA7">
        <w:tc>
          <w:tcPr>
            <w:tcW w:w="4219" w:type="dxa"/>
          </w:tcPr>
          <w:p w14:paraId="58E2AA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моторов</w:t>
            </w:r>
          </w:p>
        </w:tc>
        <w:tc>
          <w:tcPr>
            <w:tcW w:w="1165" w:type="dxa"/>
          </w:tcPr>
          <w:p w14:paraId="0AC57B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41400</w:t>
            </w:r>
          </w:p>
        </w:tc>
        <w:tc>
          <w:tcPr>
            <w:tcW w:w="1165" w:type="dxa"/>
          </w:tcPr>
          <w:p w14:paraId="551B14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6870</w:t>
            </w:r>
          </w:p>
        </w:tc>
        <w:tc>
          <w:tcPr>
            <w:tcW w:w="1165" w:type="dxa"/>
          </w:tcPr>
          <w:p w14:paraId="0AE1D7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9050</w:t>
            </w:r>
          </w:p>
        </w:tc>
        <w:tc>
          <w:tcPr>
            <w:tcW w:w="1165" w:type="dxa"/>
          </w:tcPr>
          <w:p w14:paraId="150E17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11650</w:t>
            </w:r>
          </w:p>
        </w:tc>
        <w:tc>
          <w:tcPr>
            <w:tcW w:w="1165" w:type="dxa"/>
          </w:tcPr>
          <w:p w14:paraId="58A8FB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13830</w:t>
            </w:r>
          </w:p>
        </w:tc>
        <w:tc>
          <w:tcPr>
            <w:tcW w:w="1165" w:type="dxa"/>
          </w:tcPr>
          <w:p w14:paraId="65CBAB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15900</w:t>
            </w:r>
          </w:p>
        </w:tc>
      </w:tr>
      <w:tr w:rsidR="00983732" w:rsidRPr="00A3026E" w14:paraId="0B6D7402" w14:textId="77777777" w:rsidTr="00EA0DA7">
        <w:tc>
          <w:tcPr>
            <w:tcW w:w="4219" w:type="dxa"/>
          </w:tcPr>
          <w:p w14:paraId="44D110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т.ч.:</w:t>
            </w:r>
          </w:p>
        </w:tc>
        <w:tc>
          <w:tcPr>
            <w:tcW w:w="1165" w:type="dxa"/>
          </w:tcPr>
          <w:p w14:paraId="2373BEE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2A6F255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04F865C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48646D3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4FBE912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5CD250A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91D6D76" w14:textId="77777777" w:rsidTr="00EA0DA7">
        <w:tc>
          <w:tcPr>
            <w:tcW w:w="4219" w:type="dxa"/>
          </w:tcPr>
          <w:p w14:paraId="010839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боевой авиации</w:t>
            </w:r>
          </w:p>
        </w:tc>
        <w:tc>
          <w:tcPr>
            <w:tcW w:w="1165" w:type="dxa"/>
          </w:tcPr>
          <w:p w14:paraId="33A34B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1A83520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3AED76E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42F7FE4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5" w:type="dxa"/>
          </w:tcPr>
          <w:p w14:paraId="3EE3F2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49D205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8A99616" w14:textId="77777777" w:rsidTr="00EA0DA7">
        <w:tc>
          <w:tcPr>
            <w:tcW w:w="4219" w:type="dxa"/>
          </w:tcPr>
          <w:p w14:paraId="18FD00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М-105 </w:t>
            </w:r>
          </w:p>
        </w:tc>
        <w:tc>
          <w:tcPr>
            <w:tcW w:w="1165" w:type="dxa"/>
          </w:tcPr>
          <w:p w14:paraId="3D1227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19500 </w:t>
            </w:r>
          </w:p>
        </w:tc>
        <w:tc>
          <w:tcPr>
            <w:tcW w:w="1165" w:type="dxa"/>
          </w:tcPr>
          <w:p w14:paraId="7C7BA5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2750 </w:t>
            </w:r>
          </w:p>
        </w:tc>
        <w:tc>
          <w:tcPr>
            <w:tcW w:w="1165" w:type="dxa"/>
          </w:tcPr>
          <w:p w14:paraId="2E7972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4000 </w:t>
            </w:r>
          </w:p>
        </w:tc>
        <w:tc>
          <w:tcPr>
            <w:tcW w:w="1165" w:type="dxa"/>
          </w:tcPr>
          <w:p w14:paraId="043A7C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5650 </w:t>
            </w:r>
          </w:p>
        </w:tc>
        <w:tc>
          <w:tcPr>
            <w:tcW w:w="1165" w:type="dxa"/>
          </w:tcPr>
          <w:p w14:paraId="52B816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7100 </w:t>
            </w:r>
          </w:p>
        </w:tc>
        <w:tc>
          <w:tcPr>
            <w:tcW w:w="1165" w:type="dxa"/>
          </w:tcPr>
          <w:p w14:paraId="7B4D1E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8700 </w:t>
            </w:r>
          </w:p>
        </w:tc>
      </w:tr>
      <w:tr w:rsidR="00983732" w:rsidRPr="00A3026E" w14:paraId="661B99C6" w14:textId="77777777" w:rsidTr="00EA0DA7">
        <w:tc>
          <w:tcPr>
            <w:tcW w:w="4219" w:type="dxa"/>
          </w:tcPr>
          <w:p w14:paraId="7CEFB8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АМ-35А </w:t>
            </w:r>
          </w:p>
        </w:tc>
        <w:tc>
          <w:tcPr>
            <w:tcW w:w="1165" w:type="dxa"/>
          </w:tcPr>
          <w:p w14:paraId="137AD0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7050 </w:t>
            </w:r>
          </w:p>
        </w:tc>
        <w:tc>
          <w:tcPr>
            <w:tcW w:w="1165" w:type="dxa"/>
          </w:tcPr>
          <w:p w14:paraId="69ABF2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1050 </w:t>
            </w:r>
          </w:p>
        </w:tc>
        <w:tc>
          <w:tcPr>
            <w:tcW w:w="1165" w:type="dxa"/>
          </w:tcPr>
          <w:p w14:paraId="0483CD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1525 </w:t>
            </w:r>
          </w:p>
        </w:tc>
        <w:tc>
          <w:tcPr>
            <w:tcW w:w="1165" w:type="dxa"/>
          </w:tcPr>
          <w:p w14:paraId="4F756A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2075 </w:t>
            </w:r>
          </w:p>
        </w:tc>
        <w:tc>
          <w:tcPr>
            <w:tcW w:w="1165" w:type="dxa"/>
          </w:tcPr>
          <w:p w14:paraId="668CC4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2400 </w:t>
            </w:r>
          </w:p>
        </w:tc>
        <w:tc>
          <w:tcPr>
            <w:tcW w:w="1165" w:type="dxa"/>
          </w:tcPr>
          <w:p w14:paraId="414DF0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2750 </w:t>
            </w:r>
          </w:p>
        </w:tc>
      </w:tr>
      <w:tr w:rsidR="00983732" w:rsidRPr="00A3026E" w14:paraId="5CDEFFAF" w14:textId="77777777" w:rsidTr="00EA0DA7">
        <w:tc>
          <w:tcPr>
            <w:tcW w:w="4219" w:type="dxa"/>
          </w:tcPr>
          <w:p w14:paraId="4BE72E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М-40 </w:t>
            </w:r>
          </w:p>
        </w:tc>
        <w:tc>
          <w:tcPr>
            <w:tcW w:w="1165" w:type="dxa"/>
          </w:tcPr>
          <w:p w14:paraId="7EF766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2150 </w:t>
            </w:r>
          </w:p>
        </w:tc>
        <w:tc>
          <w:tcPr>
            <w:tcW w:w="1165" w:type="dxa"/>
          </w:tcPr>
          <w:p w14:paraId="743109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250 </w:t>
            </w:r>
          </w:p>
        </w:tc>
        <w:tc>
          <w:tcPr>
            <w:tcW w:w="1165" w:type="dxa"/>
          </w:tcPr>
          <w:p w14:paraId="1844FF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450 </w:t>
            </w:r>
          </w:p>
        </w:tc>
        <w:tc>
          <w:tcPr>
            <w:tcW w:w="1165" w:type="dxa"/>
          </w:tcPr>
          <w:p w14:paraId="2A0914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625 </w:t>
            </w:r>
          </w:p>
        </w:tc>
        <w:tc>
          <w:tcPr>
            <w:tcW w:w="1165" w:type="dxa"/>
          </w:tcPr>
          <w:p w14:paraId="396938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825 </w:t>
            </w:r>
          </w:p>
        </w:tc>
        <w:tc>
          <w:tcPr>
            <w:tcW w:w="1165" w:type="dxa"/>
          </w:tcPr>
          <w:p w14:paraId="14A018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925 </w:t>
            </w:r>
          </w:p>
        </w:tc>
      </w:tr>
      <w:tr w:rsidR="00983732" w:rsidRPr="00A3026E" w14:paraId="0664F3AF" w14:textId="77777777" w:rsidTr="00EA0DA7">
        <w:tc>
          <w:tcPr>
            <w:tcW w:w="4219" w:type="dxa"/>
          </w:tcPr>
          <w:p w14:paraId="7203B2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М-30 </w:t>
            </w:r>
          </w:p>
        </w:tc>
        <w:tc>
          <w:tcPr>
            <w:tcW w:w="1165" w:type="dxa"/>
          </w:tcPr>
          <w:p w14:paraId="12EFD8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350 </w:t>
            </w:r>
          </w:p>
        </w:tc>
        <w:tc>
          <w:tcPr>
            <w:tcW w:w="1165" w:type="dxa"/>
          </w:tcPr>
          <w:p w14:paraId="164D2D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1165" w:type="dxa"/>
          </w:tcPr>
          <w:p w14:paraId="29D751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 </w:t>
            </w:r>
          </w:p>
        </w:tc>
        <w:tc>
          <w:tcPr>
            <w:tcW w:w="1165" w:type="dxa"/>
          </w:tcPr>
          <w:p w14:paraId="446553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120 </w:t>
            </w:r>
          </w:p>
        </w:tc>
        <w:tc>
          <w:tcPr>
            <w:tcW w:w="1165" w:type="dxa"/>
          </w:tcPr>
          <w:p w14:paraId="7E39C2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180 </w:t>
            </w:r>
          </w:p>
        </w:tc>
        <w:tc>
          <w:tcPr>
            <w:tcW w:w="1165" w:type="dxa"/>
          </w:tcPr>
          <w:p w14:paraId="08D59F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225 </w:t>
            </w:r>
          </w:p>
        </w:tc>
      </w:tr>
      <w:tr w:rsidR="00983732" w:rsidRPr="00A3026E" w14:paraId="2C3DA168" w14:textId="77777777" w:rsidTr="00EA0DA7">
        <w:tc>
          <w:tcPr>
            <w:tcW w:w="4219" w:type="dxa"/>
          </w:tcPr>
          <w:p w14:paraId="69E536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М-62 </w:t>
            </w:r>
          </w:p>
        </w:tc>
        <w:tc>
          <w:tcPr>
            <w:tcW w:w="1165" w:type="dxa"/>
          </w:tcPr>
          <w:p w14:paraId="197AC3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1100 </w:t>
            </w:r>
          </w:p>
        </w:tc>
        <w:tc>
          <w:tcPr>
            <w:tcW w:w="1165" w:type="dxa"/>
          </w:tcPr>
          <w:p w14:paraId="15A525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350 </w:t>
            </w:r>
          </w:p>
        </w:tc>
        <w:tc>
          <w:tcPr>
            <w:tcW w:w="1165" w:type="dxa"/>
          </w:tcPr>
          <w:p w14:paraId="7BA89F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275 </w:t>
            </w:r>
          </w:p>
        </w:tc>
        <w:tc>
          <w:tcPr>
            <w:tcW w:w="1165" w:type="dxa"/>
          </w:tcPr>
          <w:p w14:paraId="0F05D7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1165" w:type="dxa"/>
          </w:tcPr>
          <w:p w14:paraId="6E30E2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275 </w:t>
            </w:r>
          </w:p>
        </w:tc>
        <w:tc>
          <w:tcPr>
            <w:tcW w:w="1165" w:type="dxa"/>
          </w:tcPr>
          <w:p w14:paraId="646FB3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r>
      <w:tr w:rsidR="00983732" w:rsidRPr="00A3026E" w14:paraId="6E4E90AC" w14:textId="77777777" w:rsidTr="00EA0DA7">
        <w:tc>
          <w:tcPr>
            <w:tcW w:w="4219" w:type="dxa"/>
          </w:tcPr>
          <w:p w14:paraId="5365DA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И-62 ИР </w:t>
            </w:r>
          </w:p>
        </w:tc>
        <w:tc>
          <w:tcPr>
            <w:tcW w:w="1165" w:type="dxa"/>
          </w:tcPr>
          <w:p w14:paraId="058A20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800 </w:t>
            </w:r>
          </w:p>
        </w:tc>
        <w:tc>
          <w:tcPr>
            <w:tcW w:w="1165" w:type="dxa"/>
          </w:tcPr>
          <w:p w14:paraId="1EFDB0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170 </w:t>
            </w:r>
          </w:p>
        </w:tc>
        <w:tc>
          <w:tcPr>
            <w:tcW w:w="1165" w:type="dxa"/>
          </w:tcPr>
          <w:p w14:paraId="056DD2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1165" w:type="dxa"/>
          </w:tcPr>
          <w:p w14:paraId="613713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230 </w:t>
            </w:r>
          </w:p>
        </w:tc>
        <w:tc>
          <w:tcPr>
            <w:tcW w:w="1165" w:type="dxa"/>
          </w:tcPr>
          <w:p w14:paraId="18E2D7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1165" w:type="dxa"/>
          </w:tcPr>
          <w:p w14:paraId="516D6F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r>
      <w:tr w:rsidR="00983732" w:rsidRPr="00A3026E" w14:paraId="7B0CCA70" w14:textId="77777777" w:rsidTr="00EA0DA7">
        <w:tc>
          <w:tcPr>
            <w:tcW w:w="4219" w:type="dxa"/>
          </w:tcPr>
          <w:p w14:paraId="5710FE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М-88 </w:t>
            </w:r>
          </w:p>
        </w:tc>
        <w:tc>
          <w:tcPr>
            <w:tcW w:w="1165" w:type="dxa"/>
          </w:tcPr>
          <w:p w14:paraId="41F9F9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4000 </w:t>
            </w:r>
          </w:p>
        </w:tc>
        <w:tc>
          <w:tcPr>
            <w:tcW w:w="1165" w:type="dxa"/>
          </w:tcPr>
          <w:p w14:paraId="2DF09E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1150 </w:t>
            </w:r>
          </w:p>
        </w:tc>
        <w:tc>
          <w:tcPr>
            <w:tcW w:w="1165" w:type="dxa"/>
          </w:tcPr>
          <w:p w14:paraId="02F72E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1050 </w:t>
            </w:r>
          </w:p>
        </w:tc>
        <w:tc>
          <w:tcPr>
            <w:tcW w:w="1165" w:type="dxa"/>
          </w:tcPr>
          <w:p w14:paraId="5FCFD9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950 </w:t>
            </w:r>
          </w:p>
        </w:tc>
        <w:tc>
          <w:tcPr>
            <w:tcW w:w="1165" w:type="dxa"/>
          </w:tcPr>
          <w:p w14:paraId="43E5F4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850 </w:t>
            </w:r>
          </w:p>
        </w:tc>
        <w:tc>
          <w:tcPr>
            <w:tcW w:w="1165" w:type="dxa"/>
          </w:tcPr>
          <w:p w14:paraId="67D1EA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750 </w:t>
            </w:r>
          </w:p>
        </w:tc>
      </w:tr>
      <w:tr w:rsidR="00983732" w:rsidRPr="00A3026E" w14:paraId="1E918E43" w14:textId="77777777" w:rsidTr="00EA0DA7">
        <w:tc>
          <w:tcPr>
            <w:tcW w:w="4219" w:type="dxa"/>
          </w:tcPr>
          <w:p w14:paraId="34BF23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М-89 </w:t>
            </w:r>
          </w:p>
        </w:tc>
        <w:tc>
          <w:tcPr>
            <w:tcW w:w="1165" w:type="dxa"/>
          </w:tcPr>
          <w:p w14:paraId="23B24C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1000 </w:t>
            </w:r>
          </w:p>
        </w:tc>
        <w:tc>
          <w:tcPr>
            <w:tcW w:w="1165" w:type="dxa"/>
          </w:tcPr>
          <w:p w14:paraId="0A1B69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1165" w:type="dxa"/>
          </w:tcPr>
          <w:p w14:paraId="589D06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 </w:t>
            </w:r>
          </w:p>
        </w:tc>
        <w:tc>
          <w:tcPr>
            <w:tcW w:w="1165" w:type="dxa"/>
          </w:tcPr>
          <w:p w14:paraId="1B1CE0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350 </w:t>
            </w:r>
          </w:p>
        </w:tc>
        <w:tc>
          <w:tcPr>
            <w:tcW w:w="1165" w:type="dxa"/>
          </w:tcPr>
          <w:p w14:paraId="3DE3C3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500 </w:t>
            </w:r>
          </w:p>
        </w:tc>
        <w:tc>
          <w:tcPr>
            <w:tcW w:w="1165" w:type="dxa"/>
          </w:tcPr>
          <w:p w14:paraId="65C3AB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750 </w:t>
            </w:r>
          </w:p>
        </w:tc>
      </w:tr>
      <w:tr w:rsidR="00983732" w:rsidRPr="00A3026E" w14:paraId="3E1560BD" w14:textId="77777777" w:rsidTr="00EA0DA7">
        <w:tc>
          <w:tcPr>
            <w:tcW w:w="4219" w:type="dxa"/>
          </w:tcPr>
          <w:p w14:paraId="510B6F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Итого моторов боев. авиации. </w:t>
            </w:r>
          </w:p>
        </w:tc>
        <w:tc>
          <w:tcPr>
            <w:tcW w:w="1165" w:type="dxa"/>
          </w:tcPr>
          <w:p w14:paraId="3ECB7A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35950 </w:t>
            </w:r>
          </w:p>
        </w:tc>
        <w:tc>
          <w:tcPr>
            <w:tcW w:w="1165" w:type="dxa"/>
          </w:tcPr>
          <w:p w14:paraId="1F21F2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5720 </w:t>
            </w:r>
          </w:p>
        </w:tc>
        <w:tc>
          <w:tcPr>
            <w:tcW w:w="1165" w:type="dxa"/>
          </w:tcPr>
          <w:p w14:paraId="745502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7700 </w:t>
            </w:r>
          </w:p>
        </w:tc>
        <w:tc>
          <w:tcPr>
            <w:tcW w:w="1165" w:type="dxa"/>
          </w:tcPr>
          <w:p w14:paraId="7C469F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10200 </w:t>
            </w:r>
          </w:p>
        </w:tc>
        <w:tc>
          <w:tcPr>
            <w:tcW w:w="1165" w:type="dxa"/>
          </w:tcPr>
          <w:p w14:paraId="3C7385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12330 </w:t>
            </w:r>
          </w:p>
        </w:tc>
        <w:tc>
          <w:tcPr>
            <w:tcW w:w="1165" w:type="dxa"/>
          </w:tcPr>
          <w:p w14:paraId="36D901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14400 </w:t>
            </w:r>
          </w:p>
        </w:tc>
      </w:tr>
      <w:tr w:rsidR="00983732" w:rsidRPr="00A3026E" w14:paraId="1017C8E1" w14:textId="77777777" w:rsidTr="00EA0DA7">
        <w:tc>
          <w:tcPr>
            <w:tcW w:w="4219" w:type="dxa"/>
          </w:tcPr>
          <w:p w14:paraId="552D0F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учебной авиации</w:t>
            </w:r>
          </w:p>
        </w:tc>
        <w:tc>
          <w:tcPr>
            <w:tcW w:w="1165" w:type="dxa"/>
          </w:tcPr>
          <w:p w14:paraId="3CB297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2A6195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7CA661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1602FB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0B6C76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5AF8A6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EB8F9D2" w14:textId="77777777" w:rsidTr="00EA0DA7">
        <w:tc>
          <w:tcPr>
            <w:tcW w:w="4219" w:type="dxa"/>
          </w:tcPr>
          <w:p w14:paraId="7B820D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М-25В </w:t>
            </w:r>
          </w:p>
        </w:tc>
        <w:tc>
          <w:tcPr>
            <w:tcW w:w="1165" w:type="dxa"/>
          </w:tcPr>
          <w:p w14:paraId="474AA0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1600 </w:t>
            </w:r>
          </w:p>
        </w:tc>
        <w:tc>
          <w:tcPr>
            <w:tcW w:w="1165" w:type="dxa"/>
          </w:tcPr>
          <w:p w14:paraId="150064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700 </w:t>
            </w:r>
          </w:p>
        </w:tc>
        <w:tc>
          <w:tcPr>
            <w:tcW w:w="1165" w:type="dxa"/>
          </w:tcPr>
          <w:p w14:paraId="4B1E53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500 </w:t>
            </w:r>
          </w:p>
        </w:tc>
        <w:tc>
          <w:tcPr>
            <w:tcW w:w="1165" w:type="dxa"/>
          </w:tcPr>
          <w:p w14:paraId="6586C2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 </w:t>
            </w:r>
          </w:p>
        </w:tc>
        <w:tc>
          <w:tcPr>
            <w:tcW w:w="1165" w:type="dxa"/>
          </w:tcPr>
          <w:p w14:paraId="7DD053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c>
          <w:tcPr>
            <w:tcW w:w="1165" w:type="dxa"/>
          </w:tcPr>
          <w:p w14:paraId="3C19A4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vertAlign w:val="subscript"/>
              </w:rPr>
              <w:t>вв</w:t>
            </w:r>
          </w:p>
        </w:tc>
      </w:tr>
      <w:tr w:rsidR="00983732" w:rsidRPr="00A3026E" w14:paraId="68F9D298" w14:textId="77777777" w:rsidTr="00EA0DA7">
        <w:tc>
          <w:tcPr>
            <w:tcW w:w="4219" w:type="dxa"/>
          </w:tcPr>
          <w:p w14:paraId="5954C3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М-11 </w:t>
            </w:r>
          </w:p>
        </w:tc>
        <w:tc>
          <w:tcPr>
            <w:tcW w:w="1165" w:type="dxa"/>
          </w:tcPr>
          <w:p w14:paraId="23E0F4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3500 </w:t>
            </w:r>
          </w:p>
        </w:tc>
        <w:tc>
          <w:tcPr>
            <w:tcW w:w="1165" w:type="dxa"/>
          </w:tcPr>
          <w:p w14:paraId="0819D1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400 </w:t>
            </w:r>
          </w:p>
        </w:tc>
        <w:tc>
          <w:tcPr>
            <w:tcW w:w="1165" w:type="dxa"/>
          </w:tcPr>
          <w:p w14:paraId="61972D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750 </w:t>
            </w:r>
          </w:p>
        </w:tc>
        <w:tc>
          <w:tcPr>
            <w:tcW w:w="1165" w:type="dxa"/>
          </w:tcPr>
          <w:p w14:paraId="7FC19D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1050 </w:t>
            </w:r>
          </w:p>
        </w:tc>
        <w:tc>
          <w:tcPr>
            <w:tcW w:w="1165" w:type="dxa"/>
          </w:tcPr>
          <w:p w14:paraId="41BC41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1300 </w:t>
            </w:r>
          </w:p>
        </w:tc>
        <w:tc>
          <w:tcPr>
            <w:tcW w:w="1165" w:type="dxa"/>
          </w:tcPr>
          <w:p w14:paraId="6E3B03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1500 </w:t>
            </w:r>
          </w:p>
        </w:tc>
      </w:tr>
      <w:tr w:rsidR="00983732" w:rsidRPr="00A3026E" w14:paraId="1CFB62B4" w14:textId="77777777" w:rsidTr="00EA0DA7">
        <w:tc>
          <w:tcPr>
            <w:tcW w:w="4219" w:type="dxa"/>
          </w:tcPr>
          <w:p w14:paraId="531111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Итого моторов учебн. авиации. </w:t>
            </w:r>
          </w:p>
        </w:tc>
        <w:tc>
          <w:tcPr>
            <w:tcW w:w="1165" w:type="dxa"/>
          </w:tcPr>
          <w:p w14:paraId="50E1AD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5100 </w:t>
            </w:r>
          </w:p>
        </w:tc>
        <w:tc>
          <w:tcPr>
            <w:tcW w:w="1165" w:type="dxa"/>
          </w:tcPr>
          <w:p w14:paraId="7CC59E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1100 </w:t>
            </w:r>
          </w:p>
        </w:tc>
        <w:tc>
          <w:tcPr>
            <w:tcW w:w="1165" w:type="dxa"/>
          </w:tcPr>
          <w:p w14:paraId="445433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1250 </w:t>
            </w:r>
          </w:p>
        </w:tc>
        <w:tc>
          <w:tcPr>
            <w:tcW w:w="1165" w:type="dxa"/>
          </w:tcPr>
          <w:p w14:paraId="6D4959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1350 </w:t>
            </w:r>
          </w:p>
        </w:tc>
        <w:tc>
          <w:tcPr>
            <w:tcW w:w="1165" w:type="dxa"/>
          </w:tcPr>
          <w:p w14:paraId="31F571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1400 </w:t>
            </w:r>
          </w:p>
        </w:tc>
        <w:tc>
          <w:tcPr>
            <w:tcW w:w="1165" w:type="dxa"/>
          </w:tcPr>
          <w:p w14:paraId="30147C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1500 </w:t>
            </w:r>
          </w:p>
        </w:tc>
      </w:tr>
      <w:tr w:rsidR="00983732" w:rsidRPr="00A3026E" w14:paraId="3E3D883B" w14:textId="77777777" w:rsidTr="00EA0DA7">
        <w:tc>
          <w:tcPr>
            <w:tcW w:w="4219" w:type="dxa"/>
          </w:tcPr>
          <w:p w14:paraId="730644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глиссерные</w:t>
            </w:r>
          </w:p>
        </w:tc>
        <w:tc>
          <w:tcPr>
            <w:tcW w:w="1165" w:type="dxa"/>
          </w:tcPr>
          <w:p w14:paraId="5277C8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585C06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5D8167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485AE1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6185B5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6198CE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3BE97AC" w14:textId="77777777" w:rsidTr="00EA0DA7">
        <w:tc>
          <w:tcPr>
            <w:tcW w:w="4219" w:type="dxa"/>
            <w:tcBorders>
              <w:bottom w:val="single" w:sz="12" w:space="0" w:color="auto"/>
            </w:tcBorders>
          </w:tcPr>
          <w:p w14:paraId="59A020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ГАМ-34 ВС </w:t>
            </w:r>
          </w:p>
        </w:tc>
        <w:tc>
          <w:tcPr>
            <w:tcW w:w="1165" w:type="dxa"/>
            <w:tcBorders>
              <w:bottom w:val="single" w:sz="12" w:space="0" w:color="auto"/>
            </w:tcBorders>
          </w:tcPr>
          <w:p w14:paraId="6F1B96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350 </w:t>
            </w:r>
          </w:p>
        </w:tc>
        <w:tc>
          <w:tcPr>
            <w:tcW w:w="1165" w:type="dxa"/>
            <w:tcBorders>
              <w:bottom w:val="single" w:sz="12" w:space="0" w:color="auto"/>
            </w:tcBorders>
          </w:tcPr>
          <w:p w14:paraId="107943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 </w:t>
            </w:r>
          </w:p>
        </w:tc>
        <w:tc>
          <w:tcPr>
            <w:tcW w:w="1165" w:type="dxa"/>
            <w:tcBorders>
              <w:bottom w:val="single" w:sz="12" w:space="0" w:color="auto"/>
            </w:tcBorders>
          </w:tcPr>
          <w:p w14:paraId="17265E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c>
          <w:tcPr>
            <w:tcW w:w="1165" w:type="dxa"/>
            <w:tcBorders>
              <w:bottom w:val="single" w:sz="12" w:space="0" w:color="auto"/>
            </w:tcBorders>
          </w:tcPr>
          <w:p w14:paraId="360CCA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c>
          <w:tcPr>
            <w:tcW w:w="1165" w:type="dxa"/>
            <w:tcBorders>
              <w:bottom w:val="single" w:sz="12" w:space="0" w:color="auto"/>
            </w:tcBorders>
          </w:tcPr>
          <w:p w14:paraId="23BBD5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c>
          <w:tcPr>
            <w:tcW w:w="1165" w:type="dxa"/>
            <w:tcBorders>
              <w:bottom w:val="single" w:sz="12" w:space="0" w:color="auto"/>
            </w:tcBorders>
          </w:tcPr>
          <w:p w14:paraId="77ED40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r>
    </w:tbl>
    <w:p w14:paraId="21CD8B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Установить программу выпуска самолетов по заводам НКАП в 1941 году: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97"/>
        <w:gridCol w:w="2141"/>
        <w:gridCol w:w="950"/>
        <w:gridCol w:w="691"/>
        <w:gridCol w:w="614"/>
        <w:gridCol w:w="595"/>
        <w:gridCol w:w="586"/>
        <w:gridCol w:w="1027"/>
      </w:tblGrid>
      <w:tr w:rsidR="00983732" w:rsidRPr="00A3026E" w14:paraId="690BA57B" w14:textId="77777777" w:rsidTr="00EA0DA7">
        <w:trPr>
          <w:trHeight w:val="20"/>
        </w:trPr>
        <w:tc>
          <w:tcPr>
            <w:tcW w:w="797" w:type="dxa"/>
            <w:tcBorders>
              <w:top w:val="single" w:sz="12" w:space="0" w:color="auto"/>
            </w:tcBorders>
          </w:tcPr>
          <w:p w14:paraId="657954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з-дов </w:t>
            </w:r>
          </w:p>
        </w:tc>
        <w:tc>
          <w:tcPr>
            <w:tcW w:w="2141" w:type="dxa"/>
            <w:tcBorders>
              <w:top w:val="single" w:sz="12" w:space="0" w:color="auto"/>
            </w:tcBorders>
          </w:tcPr>
          <w:p w14:paraId="7AA6A7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Тип самолета </w:t>
            </w:r>
          </w:p>
        </w:tc>
        <w:tc>
          <w:tcPr>
            <w:tcW w:w="950" w:type="dxa"/>
            <w:tcBorders>
              <w:top w:val="single" w:sz="12" w:space="0" w:color="auto"/>
            </w:tcBorders>
          </w:tcPr>
          <w:p w14:paraId="668768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3 1941 г. </w:t>
            </w:r>
          </w:p>
        </w:tc>
        <w:tc>
          <w:tcPr>
            <w:tcW w:w="2486" w:type="dxa"/>
            <w:gridSpan w:val="4"/>
            <w:tcBorders>
              <w:top w:val="single" w:sz="12" w:space="0" w:color="auto"/>
            </w:tcBorders>
          </w:tcPr>
          <w:p w14:paraId="73CD77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том числе </w:t>
            </w:r>
          </w:p>
        </w:tc>
        <w:tc>
          <w:tcPr>
            <w:tcW w:w="1027" w:type="dxa"/>
            <w:tcBorders>
              <w:top w:val="single" w:sz="12" w:space="0" w:color="auto"/>
            </w:tcBorders>
          </w:tcPr>
          <w:p w14:paraId="2C7394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 квартал 1942 г. </w:t>
            </w:r>
          </w:p>
        </w:tc>
      </w:tr>
      <w:tr w:rsidR="00983732" w:rsidRPr="00A3026E" w14:paraId="6F50C22D" w14:textId="77777777" w:rsidTr="00EA0DA7">
        <w:trPr>
          <w:trHeight w:val="20"/>
        </w:trPr>
        <w:tc>
          <w:tcPr>
            <w:tcW w:w="797" w:type="dxa"/>
          </w:tcPr>
          <w:p w14:paraId="7ED8430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41" w:type="dxa"/>
          </w:tcPr>
          <w:p w14:paraId="4990AAE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0" w:type="dxa"/>
          </w:tcPr>
          <w:p w14:paraId="4DFA2D4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91" w:type="dxa"/>
          </w:tcPr>
          <w:p w14:paraId="11A7B4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 кв. </w:t>
            </w:r>
          </w:p>
        </w:tc>
        <w:tc>
          <w:tcPr>
            <w:tcW w:w="614" w:type="dxa"/>
          </w:tcPr>
          <w:p w14:paraId="69D170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 кв. </w:t>
            </w:r>
          </w:p>
        </w:tc>
        <w:tc>
          <w:tcPr>
            <w:tcW w:w="595" w:type="dxa"/>
          </w:tcPr>
          <w:p w14:paraId="22E31F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Ш кв. </w:t>
            </w:r>
          </w:p>
        </w:tc>
        <w:tc>
          <w:tcPr>
            <w:tcW w:w="586" w:type="dxa"/>
          </w:tcPr>
          <w:p w14:paraId="7E37B1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1У кв. </w:t>
            </w:r>
          </w:p>
        </w:tc>
        <w:tc>
          <w:tcPr>
            <w:tcW w:w="1027" w:type="dxa"/>
          </w:tcPr>
          <w:p w14:paraId="399A4B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CF3670C" w14:textId="77777777" w:rsidTr="00EA0DA7">
        <w:trPr>
          <w:trHeight w:val="20"/>
        </w:trPr>
        <w:tc>
          <w:tcPr>
            <w:tcW w:w="797" w:type="dxa"/>
          </w:tcPr>
          <w:p w14:paraId="083618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 </w:t>
            </w:r>
          </w:p>
        </w:tc>
        <w:tc>
          <w:tcPr>
            <w:tcW w:w="2141" w:type="dxa"/>
          </w:tcPr>
          <w:p w14:paraId="1E5322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И-200 АМ-35А </w:t>
            </w:r>
          </w:p>
        </w:tc>
        <w:tc>
          <w:tcPr>
            <w:tcW w:w="950" w:type="dxa"/>
          </w:tcPr>
          <w:p w14:paraId="766059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3500 </w:t>
            </w:r>
          </w:p>
        </w:tc>
        <w:tc>
          <w:tcPr>
            <w:tcW w:w="691" w:type="dxa"/>
          </w:tcPr>
          <w:p w14:paraId="694BEB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500 </w:t>
            </w:r>
          </w:p>
        </w:tc>
        <w:tc>
          <w:tcPr>
            <w:tcW w:w="614" w:type="dxa"/>
          </w:tcPr>
          <w:p w14:paraId="2088EB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850 </w:t>
            </w:r>
          </w:p>
        </w:tc>
        <w:tc>
          <w:tcPr>
            <w:tcW w:w="595" w:type="dxa"/>
          </w:tcPr>
          <w:p w14:paraId="3FD24B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1С50 </w:t>
            </w:r>
          </w:p>
        </w:tc>
        <w:tc>
          <w:tcPr>
            <w:tcW w:w="586" w:type="dxa"/>
          </w:tcPr>
          <w:p w14:paraId="019F0B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1100 </w:t>
            </w:r>
          </w:p>
        </w:tc>
        <w:tc>
          <w:tcPr>
            <w:tcW w:w="1027" w:type="dxa"/>
          </w:tcPr>
          <w:p w14:paraId="4D875C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1125 </w:t>
            </w:r>
          </w:p>
        </w:tc>
      </w:tr>
      <w:tr w:rsidR="00983732" w:rsidRPr="00A3026E" w14:paraId="639D9BBC" w14:textId="77777777" w:rsidTr="00EA0DA7">
        <w:trPr>
          <w:trHeight w:val="20"/>
        </w:trPr>
        <w:tc>
          <w:tcPr>
            <w:tcW w:w="797" w:type="dxa"/>
          </w:tcPr>
          <w:p w14:paraId="00C51B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18 </w:t>
            </w:r>
          </w:p>
        </w:tc>
        <w:tc>
          <w:tcPr>
            <w:tcW w:w="2141" w:type="dxa"/>
          </w:tcPr>
          <w:p w14:paraId="24BE51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ДБ-240 2АМ-35А </w:t>
            </w:r>
          </w:p>
        </w:tc>
        <w:tc>
          <w:tcPr>
            <w:tcW w:w="950" w:type="dxa"/>
          </w:tcPr>
          <w:p w14:paraId="3443C9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450 </w:t>
            </w:r>
          </w:p>
        </w:tc>
        <w:tc>
          <w:tcPr>
            <w:tcW w:w="691" w:type="dxa"/>
          </w:tcPr>
          <w:p w14:paraId="27A2B1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614" w:type="dxa"/>
          </w:tcPr>
          <w:p w14:paraId="277033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250 </w:t>
            </w:r>
          </w:p>
        </w:tc>
        <w:tc>
          <w:tcPr>
            <w:tcW w:w="595" w:type="dxa"/>
          </w:tcPr>
          <w:p w14:paraId="1670E4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586" w:type="dxa"/>
          </w:tcPr>
          <w:p w14:paraId="03FBD2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1027" w:type="dxa"/>
          </w:tcPr>
          <w:p w14:paraId="6ECDAE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r>
      <w:tr w:rsidR="00983732" w:rsidRPr="00A3026E" w14:paraId="506EE8A8" w14:textId="77777777" w:rsidTr="00EA0DA7">
        <w:trPr>
          <w:trHeight w:val="20"/>
        </w:trPr>
        <w:tc>
          <w:tcPr>
            <w:tcW w:w="797" w:type="dxa"/>
          </w:tcPr>
          <w:p w14:paraId="306C74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2141" w:type="dxa"/>
          </w:tcPr>
          <w:p w14:paraId="4BAB3C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М-30</w:t>
            </w:r>
          </w:p>
        </w:tc>
        <w:tc>
          <w:tcPr>
            <w:tcW w:w="950" w:type="dxa"/>
          </w:tcPr>
          <w:p w14:paraId="032DA7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1000 </w:t>
            </w:r>
          </w:p>
        </w:tc>
        <w:tc>
          <w:tcPr>
            <w:tcW w:w="691" w:type="dxa"/>
          </w:tcPr>
          <w:p w14:paraId="097850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14" w:type="dxa"/>
          </w:tcPr>
          <w:p w14:paraId="67C181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 </w:t>
            </w:r>
          </w:p>
        </w:tc>
        <w:tc>
          <w:tcPr>
            <w:tcW w:w="595" w:type="dxa"/>
          </w:tcPr>
          <w:p w14:paraId="058A3E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-110 </w:t>
            </w:r>
          </w:p>
        </w:tc>
        <w:tc>
          <w:tcPr>
            <w:tcW w:w="586" w:type="dxa"/>
          </w:tcPr>
          <w:p w14:paraId="239A24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570 </w:t>
            </w:r>
          </w:p>
        </w:tc>
        <w:tc>
          <w:tcPr>
            <w:tcW w:w="1027" w:type="dxa"/>
          </w:tcPr>
          <w:p w14:paraId="6B7A5D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600 </w:t>
            </w:r>
          </w:p>
        </w:tc>
      </w:tr>
      <w:tr w:rsidR="00983732" w:rsidRPr="00A3026E" w14:paraId="18FDE371" w14:textId="77777777" w:rsidTr="00EA0DA7">
        <w:trPr>
          <w:trHeight w:val="20"/>
        </w:trPr>
        <w:tc>
          <w:tcPr>
            <w:tcW w:w="797" w:type="dxa"/>
          </w:tcPr>
          <w:p w14:paraId="49E050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21 </w:t>
            </w:r>
          </w:p>
        </w:tc>
        <w:tc>
          <w:tcPr>
            <w:tcW w:w="2141" w:type="dxa"/>
          </w:tcPr>
          <w:p w14:paraId="3D6C90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И-301 М-105 </w:t>
            </w:r>
          </w:p>
        </w:tc>
        <w:tc>
          <w:tcPr>
            <w:tcW w:w="950" w:type="dxa"/>
          </w:tcPr>
          <w:p w14:paraId="08F4BB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w:t>
            </w:r>
          </w:p>
        </w:tc>
        <w:tc>
          <w:tcPr>
            <w:tcW w:w="691" w:type="dxa"/>
          </w:tcPr>
          <w:p w14:paraId="2FBF01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75 </w:t>
            </w:r>
          </w:p>
        </w:tc>
        <w:tc>
          <w:tcPr>
            <w:tcW w:w="614" w:type="dxa"/>
          </w:tcPr>
          <w:p w14:paraId="4D9DE1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225 </w:t>
            </w:r>
          </w:p>
        </w:tc>
        <w:tc>
          <w:tcPr>
            <w:tcW w:w="595" w:type="dxa"/>
          </w:tcPr>
          <w:p w14:paraId="3CE6EB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650 </w:t>
            </w:r>
          </w:p>
        </w:tc>
        <w:tc>
          <w:tcPr>
            <w:tcW w:w="586" w:type="dxa"/>
          </w:tcPr>
          <w:p w14:paraId="01F6EE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850 </w:t>
            </w:r>
          </w:p>
        </w:tc>
        <w:tc>
          <w:tcPr>
            <w:tcW w:w="1027" w:type="dxa"/>
          </w:tcPr>
          <w:p w14:paraId="792845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900 </w:t>
            </w:r>
          </w:p>
        </w:tc>
      </w:tr>
      <w:tr w:rsidR="00983732" w:rsidRPr="00A3026E" w14:paraId="30FE61CB" w14:textId="77777777" w:rsidTr="00EA0DA7">
        <w:trPr>
          <w:trHeight w:val="20"/>
        </w:trPr>
        <w:tc>
          <w:tcPr>
            <w:tcW w:w="797" w:type="dxa"/>
          </w:tcPr>
          <w:p w14:paraId="5F0B1E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smallCaps/>
                <w:color w:val="000000" w:themeColor="text1"/>
                <w:sz w:val="16"/>
                <w:szCs w:val="16"/>
              </w:rPr>
              <w:t>21</w:t>
            </w:r>
          </w:p>
        </w:tc>
        <w:tc>
          <w:tcPr>
            <w:tcW w:w="2141" w:type="dxa"/>
          </w:tcPr>
          <w:p w14:paraId="489159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УТИ-4 М-253 </w:t>
            </w:r>
          </w:p>
        </w:tc>
        <w:tc>
          <w:tcPr>
            <w:tcW w:w="950" w:type="dxa"/>
          </w:tcPr>
          <w:p w14:paraId="0B2AE8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500 </w:t>
            </w:r>
          </w:p>
        </w:tc>
        <w:tc>
          <w:tcPr>
            <w:tcW w:w="691" w:type="dxa"/>
          </w:tcPr>
          <w:p w14:paraId="08169F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500 </w:t>
            </w:r>
          </w:p>
        </w:tc>
        <w:tc>
          <w:tcPr>
            <w:tcW w:w="614" w:type="dxa"/>
          </w:tcPr>
          <w:p w14:paraId="66FD9F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595" w:type="dxa"/>
          </w:tcPr>
          <w:p w14:paraId="2AE7EF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586" w:type="dxa"/>
          </w:tcPr>
          <w:p w14:paraId="1ECFC0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1027" w:type="dxa"/>
          </w:tcPr>
          <w:p w14:paraId="2305CF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r>
      <w:tr w:rsidR="00983732" w:rsidRPr="00A3026E" w14:paraId="2CD57470" w14:textId="77777777" w:rsidTr="00EA0DA7">
        <w:trPr>
          <w:trHeight w:val="20"/>
        </w:trPr>
        <w:tc>
          <w:tcPr>
            <w:tcW w:w="797" w:type="dxa"/>
          </w:tcPr>
          <w:p w14:paraId="29FA79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22 </w:t>
            </w:r>
          </w:p>
        </w:tc>
        <w:tc>
          <w:tcPr>
            <w:tcW w:w="2141" w:type="dxa"/>
          </w:tcPr>
          <w:p w14:paraId="090376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СБ-РК 2М-105 </w:t>
            </w:r>
          </w:p>
        </w:tc>
        <w:tc>
          <w:tcPr>
            <w:tcW w:w="950" w:type="dxa"/>
          </w:tcPr>
          <w:p w14:paraId="64E94A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1000 </w:t>
            </w:r>
          </w:p>
        </w:tc>
        <w:tc>
          <w:tcPr>
            <w:tcW w:w="691" w:type="dxa"/>
          </w:tcPr>
          <w:p w14:paraId="64DD2E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 </w:t>
            </w:r>
          </w:p>
        </w:tc>
        <w:tc>
          <w:tcPr>
            <w:tcW w:w="614" w:type="dxa"/>
          </w:tcPr>
          <w:p w14:paraId="14586D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 </w:t>
            </w:r>
          </w:p>
        </w:tc>
        <w:tc>
          <w:tcPr>
            <w:tcW w:w="595" w:type="dxa"/>
          </w:tcPr>
          <w:p w14:paraId="1F65D0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250 </w:t>
            </w:r>
          </w:p>
        </w:tc>
        <w:tc>
          <w:tcPr>
            <w:tcW w:w="586" w:type="dxa"/>
          </w:tcPr>
          <w:p w14:paraId="200655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 </w:t>
            </w:r>
          </w:p>
        </w:tc>
        <w:tc>
          <w:tcPr>
            <w:tcW w:w="1027" w:type="dxa"/>
          </w:tcPr>
          <w:p w14:paraId="2E0264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r>
      <w:tr w:rsidR="00983732" w:rsidRPr="00A3026E" w14:paraId="6B47DFA1" w14:textId="77777777" w:rsidTr="00EA0DA7">
        <w:trPr>
          <w:trHeight w:val="20"/>
        </w:trPr>
        <w:tc>
          <w:tcPr>
            <w:tcW w:w="797" w:type="dxa"/>
          </w:tcPr>
          <w:p w14:paraId="13E0B7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2141" w:type="dxa"/>
          </w:tcPr>
          <w:p w14:paraId="2EEE14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ПБ-100 2М-105 </w:t>
            </w:r>
          </w:p>
        </w:tc>
        <w:tc>
          <w:tcPr>
            <w:tcW w:w="950" w:type="dxa"/>
          </w:tcPr>
          <w:p w14:paraId="7E985D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691" w:type="dxa"/>
          </w:tcPr>
          <w:p w14:paraId="3650EB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c>
          <w:tcPr>
            <w:tcW w:w="614" w:type="dxa"/>
          </w:tcPr>
          <w:p w14:paraId="596E72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595" w:type="dxa"/>
          </w:tcPr>
          <w:p w14:paraId="7D1C9E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 </w:t>
            </w:r>
          </w:p>
        </w:tc>
        <w:tc>
          <w:tcPr>
            <w:tcW w:w="586" w:type="dxa"/>
          </w:tcPr>
          <w:p w14:paraId="4E00FC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400 </w:t>
            </w:r>
          </w:p>
        </w:tc>
        <w:tc>
          <w:tcPr>
            <w:tcW w:w="1027" w:type="dxa"/>
          </w:tcPr>
          <w:p w14:paraId="16E506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600 </w:t>
            </w:r>
          </w:p>
        </w:tc>
      </w:tr>
      <w:tr w:rsidR="00983732" w:rsidRPr="00A3026E" w14:paraId="338F04E5" w14:textId="77777777" w:rsidTr="00EA0DA7">
        <w:trPr>
          <w:trHeight w:val="20"/>
        </w:trPr>
        <w:tc>
          <w:tcPr>
            <w:tcW w:w="797" w:type="dxa"/>
          </w:tcPr>
          <w:p w14:paraId="3F5B17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23 </w:t>
            </w:r>
          </w:p>
        </w:tc>
        <w:tc>
          <w:tcPr>
            <w:tcW w:w="2141" w:type="dxa"/>
          </w:tcPr>
          <w:p w14:paraId="249DA4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И-301 2М-105 </w:t>
            </w:r>
          </w:p>
        </w:tc>
        <w:tc>
          <w:tcPr>
            <w:tcW w:w="950" w:type="dxa"/>
          </w:tcPr>
          <w:p w14:paraId="4EB349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400 </w:t>
            </w:r>
          </w:p>
        </w:tc>
        <w:tc>
          <w:tcPr>
            <w:tcW w:w="691" w:type="dxa"/>
          </w:tcPr>
          <w:p w14:paraId="4F1D3E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614" w:type="dxa"/>
          </w:tcPr>
          <w:p w14:paraId="2FFB00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 </w:t>
            </w:r>
          </w:p>
        </w:tc>
        <w:tc>
          <w:tcPr>
            <w:tcW w:w="595" w:type="dxa"/>
          </w:tcPr>
          <w:p w14:paraId="4B5DF6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 </w:t>
            </w:r>
          </w:p>
        </w:tc>
        <w:tc>
          <w:tcPr>
            <w:tcW w:w="586" w:type="dxa"/>
          </w:tcPr>
          <w:p w14:paraId="6EC97E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1027" w:type="dxa"/>
          </w:tcPr>
          <w:p w14:paraId="42F7B2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225 </w:t>
            </w:r>
          </w:p>
        </w:tc>
      </w:tr>
      <w:tr w:rsidR="00983732" w:rsidRPr="00A3026E" w14:paraId="096DBEFB" w14:textId="77777777" w:rsidTr="00EA0DA7">
        <w:trPr>
          <w:trHeight w:val="20"/>
        </w:trPr>
        <w:tc>
          <w:tcPr>
            <w:tcW w:w="797" w:type="dxa"/>
          </w:tcPr>
          <w:p w14:paraId="10BBA1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23 </w:t>
            </w:r>
          </w:p>
        </w:tc>
        <w:tc>
          <w:tcPr>
            <w:tcW w:w="2141" w:type="dxa"/>
          </w:tcPr>
          <w:p w14:paraId="093B22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С-2 М-11</w:t>
            </w:r>
          </w:p>
        </w:tc>
        <w:tc>
          <w:tcPr>
            <w:tcW w:w="950" w:type="dxa"/>
          </w:tcPr>
          <w:p w14:paraId="3CB2A0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691" w:type="dxa"/>
          </w:tcPr>
          <w:p w14:paraId="2BB52E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225 </w:t>
            </w:r>
          </w:p>
        </w:tc>
        <w:tc>
          <w:tcPr>
            <w:tcW w:w="614" w:type="dxa"/>
          </w:tcPr>
          <w:p w14:paraId="60BC7C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75 </w:t>
            </w:r>
          </w:p>
        </w:tc>
        <w:tc>
          <w:tcPr>
            <w:tcW w:w="595" w:type="dxa"/>
          </w:tcPr>
          <w:p w14:paraId="3A0FBA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586" w:type="dxa"/>
          </w:tcPr>
          <w:p w14:paraId="0883D5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1027" w:type="dxa"/>
          </w:tcPr>
          <w:p w14:paraId="44ABAF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r>
      <w:tr w:rsidR="00983732" w:rsidRPr="00A3026E" w14:paraId="4A93491A" w14:textId="77777777" w:rsidTr="00EA0DA7">
        <w:trPr>
          <w:trHeight w:val="20"/>
        </w:trPr>
        <w:tc>
          <w:tcPr>
            <w:tcW w:w="797" w:type="dxa"/>
          </w:tcPr>
          <w:p w14:paraId="524449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 </w:t>
            </w:r>
          </w:p>
        </w:tc>
        <w:tc>
          <w:tcPr>
            <w:tcW w:w="2141" w:type="dxa"/>
          </w:tcPr>
          <w:p w14:paraId="20B7FA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БШ 1М-35А </w:t>
            </w:r>
          </w:p>
        </w:tc>
        <w:tc>
          <w:tcPr>
            <w:tcW w:w="950" w:type="dxa"/>
          </w:tcPr>
          <w:p w14:paraId="4D0BE8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c>
          <w:tcPr>
            <w:tcW w:w="691" w:type="dxa"/>
          </w:tcPr>
          <w:p w14:paraId="5CD990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w:t>
            </w:r>
          </w:p>
        </w:tc>
        <w:tc>
          <w:tcPr>
            <w:tcW w:w="614" w:type="dxa"/>
          </w:tcPr>
          <w:p w14:paraId="21859F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 </w:t>
            </w:r>
          </w:p>
        </w:tc>
        <w:tc>
          <w:tcPr>
            <w:tcW w:w="595" w:type="dxa"/>
          </w:tcPr>
          <w:p w14:paraId="1E3B40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 </w:t>
            </w:r>
          </w:p>
        </w:tc>
        <w:tc>
          <w:tcPr>
            <w:tcW w:w="586" w:type="dxa"/>
          </w:tcPr>
          <w:p w14:paraId="621EB2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 </w:t>
            </w:r>
          </w:p>
        </w:tc>
        <w:tc>
          <w:tcPr>
            <w:tcW w:w="1027" w:type="dxa"/>
          </w:tcPr>
          <w:p w14:paraId="4EC3DA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 </w:t>
            </w:r>
          </w:p>
        </w:tc>
      </w:tr>
      <w:tr w:rsidR="00983732" w:rsidRPr="00A3026E" w14:paraId="1DE971DF" w14:textId="77777777" w:rsidTr="00EA0DA7">
        <w:trPr>
          <w:trHeight w:val="20"/>
        </w:trPr>
        <w:tc>
          <w:tcPr>
            <w:tcW w:w="797" w:type="dxa"/>
          </w:tcPr>
          <w:p w14:paraId="0F6837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31 </w:t>
            </w:r>
          </w:p>
        </w:tc>
        <w:tc>
          <w:tcPr>
            <w:tcW w:w="2141" w:type="dxa"/>
          </w:tcPr>
          <w:p w14:paraId="2C2AAC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ББ-1 М-88 </w:t>
            </w:r>
          </w:p>
        </w:tc>
        <w:tc>
          <w:tcPr>
            <w:tcW w:w="950" w:type="dxa"/>
          </w:tcPr>
          <w:p w14:paraId="7C1727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350 </w:t>
            </w:r>
          </w:p>
        </w:tc>
        <w:tc>
          <w:tcPr>
            <w:tcW w:w="691" w:type="dxa"/>
          </w:tcPr>
          <w:p w14:paraId="1F59A6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 </w:t>
            </w:r>
          </w:p>
        </w:tc>
        <w:tc>
          <w:tcPr>
            <w:tcW w:w="614" w:type="dxa"/>
          </w:tcPr>
          <w:p w14:paraId="4D5F40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80 </w:t>
            </w:r>
          </w:p>
        </w:tc>
        <w:tc>
          <w:tcPr>
            <w:tcW w:w="595" w:type="dxa"/>
          </w:tcPr>
          <w:p w14:paraId="5A277D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95 </w:t>
            </w:r>
          </w:p>
        </w:tc>
        <w:tc>
          <w:tcPr>
            <w:tcW w:w="586" w:type="dxa"/>
          </w:tcPr>
          <w:p w14:paraId="37FD93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125 </w:t>
            </w:r>
          </w:p>
        </w:tc>
        <w:tc>
          <w:tcPr>
            <w:tcW w:w="1027" w:type="dxa"/>
          </w:tcPr>
          <w:p w14:paraId="160376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 </w:t>
            </w:r>
          </w:p>
        </w:tc>
      </w:tr>
      <w:tr w:rsidR="00983732" w:rsidRPr="00A3026E" w14:paraId="40885E7A" w14:textId="77777777" w:rsidTr="00EA0DA7">
        <w:trPr>
          <w:trHeight w:val="20"/>
        </w:trPr>
        <w:tc>
          <w:tcPr>
            <w:tcW w:w="797" w:type="dxa"/>
          </w:tcPr>
          <w:p w14:paraId="1FC24A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31 </w:t>
            </w:r>
          </w:p>
        </w:tc>
        <w:tc>
          <w:tcPr>
            <w:tcW w:w="2141" w:type="dxa"/>
          </w:tcPr>
          <w:p w14:paraId="7BBF95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МДР-6 2М-62 </w:t>
            </w:r>
          </w:p>
        </w:tc>
        <w:tc>
          <w:tcPr>
            <w:tcW w:w="950" w:type="dxa"/>
          </w:tcPr>
          <w:p w14:paraId="7FE64B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691" w:type="dxa"/>
          </w:tcPr>
          <w:p w14:paraId="40E002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 </w:t>
            </w:r>
          </w:p>
        </w:tc>
        <w:tc>
          <w:tcPr>
            <w:tcW w:w="614" w:type="dxa"/>
          </w:tcPr>
          <w:p w14:paraId="6CB99A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45 </w:t>
            </w:r>
          </w:p>
        </w:tc>
        <w:tc>
          <w:tcPr>
            <w:tcW w:w="595" w:type="dxa"/>
          </w:tcPr>
          <w:p w14:paraId="276665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 </w:t>
            </w:r>
          </w:p>
        </w:tc>
        <w:tc>
          <w:tcPr>
            <w:tcW w:w="586" w:type="dxa"/>
          </w:tcPr>
          <w:p w14:paraId="1E4CC2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65 </w:t>
            </w:r>
          </w:p>
        </w:tc>
        <w:tc>
          <w:tcPr>
            <w:tcW w:w="1027" w:type="dxa"/>
          </w:tcPr>
          <w:p w14:paraId="01C368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80 </w:t>
            </w:r>
          </w:p>
        </w:tc>
      </w:tr>
      <w:tr w:rsidR="00983732" w:rsidRPr="00A3026E" w14:paraId="1E625EC0" w14:textId="77777777" w:rsidTr="00EA0DA7">
        <w:trPr>
          <w:trHeight w:val="20"/>
        </w:trPr>
        <w:tc>
          <w:tcPr>
            <w:tcW w:w="797" w:type="dxa"/>
          </w:tcPr>
          <w:p w14:paraId="4A9D57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 </w:t>
            </w:r>
          </w:p>
        </w:tc>
        <w:tc>
          <w:tcPr>
            <w:tcW w:w="2141" w:type="dxa"/>
          </w:tcPr>
          <w:p w14:paraId="1127FB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СБ-РК 214-105 </w:t>
            </w:r>
          </w:p>
        </w:tc>
        <w:tc>
          <w:tcPr>
            <w:tcW w:w="950" w:type="dxa"/>
          </w:tcPr>
          <w:p w14:paraId="45EB16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c>
          <w:tcPr>
            <w:tcW w:w="691" w:type="dxa"/>
          </w:tcPr>
          <w:p w14:paraId="66C6A1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614" w:type="dxa"/>
          </w:tcPr>
          <w:p w14:paraId="6D31FE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w:t>
            </w:r>
          </w:p>
        </w:tc>
        <w:tc>
          <w:tcPr>
            <w:tcW w:w="595" w:type="dxa"/>
          </w:tcPr>
          <w:p w14:paraId="3200AD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 </w:t>
            </w:r>
          </w:p>
        </w:tc>
        <w:tc>
          <w:tcPr>
            <w:tcW w:w="586" w:type="dxa"/>
          </w:tcPr>
          <w:p w14:paraId="5F0A7F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55 </w:t>
            </w:r>
          </w:p>
        </w:tc>
        <w:tc>
          <w:tcPr>
            <w:tcW w:w="1027" w:type="dxa"/>
          </w:tcPr>
          <w:p w14:paraId="30D2B4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70 </w:t>
            </w:r>
          </w:p>
        </w:tc>
      </w:tr>
      <w:tr w:rsidR="00983732" w:rsidRPr="00A3026E" w14:paraId="59C70CA1" w14:textId="77777777" w:rsidTr="00EA0DA7">
        <w:trPr>
          <w:trHeight w:val="20"/>
        </w:trPr>
        <w:tc>
          <w:tcPr>
            <w:tcW w:w="797" w:type="dxa"/>
          </w:tcPr>
          <w:p w14:paraId="3ED9A8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39 </w:t>
            </w:r>
          </w:p>
        </w:tc>
        <w:tc>
          <w:tcPr>
            <w:tcW w:w="2141" w:type="dxa"/>
          </w:tcPr>
          <w:p w14:paraId="3F2595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ПБ-100 2М-105 </w:t>
            </w:r>
          </w:p>
        </w:tc>
        <w:tc>
          <w:tcPr>
            <w:tcW w:w="950" w:type="dxa"/>
          </w:tcPr>
          <w:p w14:paraId="1FE817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600 </w:t>
            </w:r>
          </w:p>
        </w:tc>
        <w:tc>
          <w:tcPr>
            <w:tcW w:w="691" w:type="dxa"/>
          </w:tcPr>
          <w:p w14:paraId="25E3D1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70 </w:t>
            </w:r>
          </w:p>
        </w:tc>
        <w:tc>
          <w:tcPr>
            <w:tcW w:w="614" w:type="dxa"/>
          </w:tcPr>
          <w:p w14:paraId="2FD8CC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125 </w:t>
            </w:r>
          </w:p>
        </w:tc>
        <w:tc>
          <w:tcPr>
            <w:tcW w:w="595" w:type="dxa"/>
          </w:tcPr>
          <w:p w14:paraId="2B1DA1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175 </w:t>
            </w:r>
          </w:p>
        </w:tc>
        <w:tc>
          <w:tcPr>
            <w:tcW w:w="586" w:type="dxa"/>
          </w:tcPr>
          <w:p w14:paraId="2AB688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230 </w:t>
            </w:r>
          </w:p>
        </w:tc>
        <w:tc>
          <w:tcPr>
            <w:tcW w:w="1027" w:type="dxa"/>
          </w:tcPr>
          <w:p w14:paraId="379492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255 </w:t>
            </w:r>
          </w:p>
        </w:tc>
      </w:tr>
      <w:tr w:rsidR="00983732" w:rsidRPr="00A3026E" w14:paraId="68B4F981" w14:textId="77777777" w:rsidTr="00EA0DA7">
        <w:trPr>
          <w:trHeight w:val="20"/>
        </w:trPr>
        <w:tc>
          <w:tcPr>
            <w:tcW w:w="797" w:type="dxa"/>
          </w:tcPr>
          <w:p w14:paraId="443C5B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43 </w:t>
            </w:r>
          </w:p>
        </w:tc>
        <w:tc>
          <w:tcPr>
            <w:tcW w:w="2141" w:type="dxa"/>
          </w:tcPr>
          <w:p w14:paraId="5A8C1D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И-200 АМ-35А </w:t>
            </w:r>
          </w:p>
        </w:tc>
        <w:tc>
          <w:tcPr>
            <w:tcW w:w="950" w:type="dxa"/>
          </w:tcPr>
          <w:p w14:paraId="4C5079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c>
          <w:tcPr>
            <w:tcW w:w="691" w:type="dxa"/>
          </w:tcPr>
          <w:p w14:paraId="464DD9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614" w:type="dxa"/>
          </w:tcPr>
          <w:p w14:paraId="338BCA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w:t>
            </w:r>
          </w:p>
        </w:tc>
        <w:tc>
          <w:tcPr>
            <w:tcW w:w="595" w:type="dxa"/>
          </w:tcPr>
          <w:p w14:paraId="14DF56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 </w:t>
            </w:r>
          </w:p>
        </w:tc>
        <w:tc>
          <w:tcPr>
            <w:tcW w:w="586" w:type="dxa"/>
          </w:tcPr>
          <w:p w14:paraId="5702C0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 </w:t>
            </w:r>
          </w:p>
        </w:tc>
        <w:tc>
          <w:tcPr>
            <w:tcW w:w="1027" w:type="dxa"/>
          </w:tcPr>
          <w:p w14:paraId="1FB11D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75 </w:t>
            </w:r>
          </w:p>
        </w:tc>
      </w:tr>
      <w:tr w:rsidR="00983732" w:rsidRPr="00A3026E" w14:paraId="1763789E" w14:textId="77777777" w:rsidTr="00EA0DA7">
        <w:trPr>
          <w:trHeight w:val="20"/>
        </w:trPr>
        <w:tc>
          <w:tcPr>
            <w:tcW w:w="797" w:type="dxa"/>
          </w:tcPr>
          <w:p w14:paraId="01D4AC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47 </w:t>
            </w:r>
          </w:p>
        </w:tc>
        <w:tc>
          <w:tcPr>
            <w:tcW w:w="2141" w:type="dxa"/>
          </w:tcPr>
          <w:p w14:paraId="56D813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УТ-2 М-11 </w:t>
            </w:r>
          </w:p>
        </w:tc>
        <w:tc>
          <w:tcPr>
            <w:tcW w:w="950" w:type="dxa"/>
          </w:tcPr>
          <w:p w14:paraId="3A78E3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600 </w:t>
            </w:r>
          </w:p>
        </w:tc>
        <w:tc>
          <w:tcPr>
            <w:tcW w:w="691" w:type="dxa"/>
          </w:tcPr>
          <w:p w14:paraId="4AABEB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115 </w:t>
            </w:r>
          </w:p>
        </w:tc>
        <w:tc>
          <w:tcPr>
            <w:tcW w:w="614" w:type="dxa"/>
          </w:tcPr>
          <w:p w14:paraId="407B3A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140 </w:t>
            </w:r>
          </w:p>
        </w:tc>
        <w:tc>
          <w:tcPr>
            <w:tcW w:w="595" w:type="dxa"/>
          </w:tcPr>
          <w:p w14:paraId="528FB1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165 </w:t>
            </w:r>
          </w:p>
        </w:tc>
        <w:tc>
          <w:tcPr>
            <w:tcW w:w="586" w:type="dxa"/>
          </w:tcPr>
          <w:p w14:paraId="6DA0C4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180 </w:t>
            </w:r>
          </w:p>
        </w:tc>
        <w:tc>
          <w:tcPr>
            <w:tcW w:w="1027" w:type="dxa"/>
          </w:tcPr>
          <w:p w14:paraId="4B9467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180 </w:t>
            </w:r>
          </w:p>
        </w:tc>
      </w:tr>
      <w:tr w:rsidR="00983732" w:rsidRPr="00A3026E" w14:paraId="770DB438" w14:textId="77777777" w:rsidTr="00EA0DA7">
        <w:trPr>
          <w:trHeight w:val="20"/>
        </w:trPr>
        <w:tc>
          <w:tcPr>
            <w:tcW w:w="797" w:type="dxa"/>
          </w:tcPr>
          <w:p w14:paraId="5E16FB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81 </w:t>
            </w:r>
          </w:p>
        </w:tc>
        <w:tc>
          <w:tcPr>
            <w:tcW w:w="2141" w:type="dxa"/>
          </w:tcPr>
          <w:p w14:paraId="32BB16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ББ-22 2М-105 </w:t>
            </w:r>
          </w:p>
        </w:tc>
        <w:tc>
          <w:tcPr>
            <w:tcW w:w="950" w:type="dxa"/>
          </w:tcPr>
          <w:p w14:paraId="4E5BCE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400 </w:t>
            </w:r>
          </w:p>
        </w:tc>
        <w:tc>
          <w:tcPr>
            <w:tcW w:w="691" w:type="dxa"/>
          </w:tcPr>
          <w:p w14:paraId="331E0F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65 </w:t>
            </w:r>
          </w:p>
        </w:tc>
        <w:tc>
          <w:tcPr>
            <w:tcW w:w="614" w:type="dxa"/>
          </w:tcPr>
          <w:p w14:paraId="23350F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c>
          <w:tcPr>
            <w:tcW w:w="595" w:type="dxa"/>
          </w:tcPr>
          <w:p w14:paraId="45A002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НО </w:t>
            </w:r>
          </w:p>
        </w:tc>
        <w:tc>
          <w:tcPr>
            <w:tcW w:w="586" w:type="dxa"/>
          </w:tcPr>
          <w:p w14:paraId="267D9B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125 </w:t>
            </w:r>
          </w:p>
        </w:tc>
        <w:tc>
          <w:tcPr>
            <w:tcW w:w="1027" w:type="dxa"/>
          </w:tcPr>
          <w:p w14:paraId="3BC45C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 </w:t>
            </w:r>
          </w:p>
        </w:tc>
      </w:tr>
      <w:tr w:rsidR="00983732" w:rsidRPr="00A3026E" w14:paraId="7845933F" w14:textId="77777777" w:rsidTr="00EA0DA7">
        <w:trPr>
          <w:trHeight w:val="20"/>
        </w:trPr>
        <w:tc>
          <w:tcPr>
            <w:tcW w:w="797" w:type="dxa"/>
          </w:tcPr>
          <w:p w14:paraId="63C7CE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83 </w:t>
            </w:r>
          </w:p>
        </w:tc>
        <w:tc>
          <w:tcPr>
            <w:tcW w:w="2141" w:type="dxa"/>
          </w:tcPr>
          <w:p w14:paraId="03512A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И-26 М-105 </w:t>
            </w:r>
          </w:p>
        </w:tc>
        <w:tc>
          <w:tcPr>
            <w:tcW w:w="950" w:type="dxa"/>
          </w:tcPr>
          <w:p w14:paraId="5BC529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 </w:t>
            </w:r>
          </w:p>
        </w:tc>
        <w:tc>
          <w:tcPr>
            <w:tcW w:w="691" w:type="dxa"/>
          </w:tcPr>
          <w:p w14:paraId="35DDA0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614" w:type="dxa"/>
          </w:tcPr>
          <w:p w14:paraId="1270C0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595" w:type="dxa"/>
          </w:tcPr>
          <w:p w14:paraId="0A942C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 </w:t>
            </w:r>
          </w:p>
        </w:tc>
        <w:tc>
          <w:tcPr>
            <w:tcW w:w="586" w:type="dxa"/>
          </w:tcPr>
          <w:p w14:paraId="718029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 </w:t>
            </w:r>
          </w:p>
        </w:tc>
        <w:tc>
          <w:tcPr>
            <w:tcW w:w="1027" w:type="dxa"/>
          </w:tcPr>
          <w:p w14:paraId="5CD526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 </w:t>
            </w:r>
          </w:p>
        </w:tc>
      </w:tr>
      <w:tr w:rsidR="00983732" w:rsidRPr="00A3026E" w14:paraId="73CCAA25" w14:textId="77777777" w:rsidTr="00EA0DA7">
        <w:trPr>
          <w:trHeight w:val="20"/>
        </w:trPr>
        <w:tc>
          <w:tcPr>
            <w:tcW w:w="797" w:type="dxa"/>
          </w:tcPr>
          <w:p w14:paraId="202EC1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84 </w:t>
            </w:r>
          </w:p>
        </w:tc>
        <w:tc>
          <w:tcPr>
            <w:tcW w:w="2141" w:type="dxa"/>
          </w:tcPr>
          <w:p w14:paraId="3CCF02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ПС-84 2М-62-ИР </w:t>
            </w:r>
          </w:p>
        </w:tc>
        <w:tc>
          <w:tcPr>
            <w:tcW w:w="950" w:type="dxa"/>
          </w:tcPr>
          <w:p w14:paraId="6CA318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 </w:t>
            </w:r>
          </w:p>
        </w:tc>
        <w:tc>
          <w:tcPr>
            <w:tcW w:w="691" w:type="dxa"/>
          </w:tcPr>
          <w:p w14:paraId="47E233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 </w:t>
            </w:r>
          </w:p>
        </w:tc>
        <w:tc>
          <w:tcPr>
            <w:tcW w:w="614" w:type="dxa"/>
          </w:tcPr>
          <w:p w14:paraId="4BE2BE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 </w:t>
            </w:r>
          </w:p>
        </w:tc>
        <w:tc>
          <w:tcPr>
            <w:tcW w:w="595" w:type="dxa"/>
          </w:tcPr>
          <w:p w14:paraId="54ADD5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90 </w:t>
            </w:r>
          </w:p>
        </w:tc>
        <w:tc>
          <w:tcPr>
            <w:tcW w:w="586" w:type="dxa"/>
          </w:tcPr>
          <w:p w14:paraId="2BEBD4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w:t>
            </w:r>
          </w:p>
        </w:tc>
        <w:tc>
          <w:tcPr>
            <w:tcW w:w="1027" w:type="dxa"/>
          </w:tcPr>
          <w:p w14:paraId="113D32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120 </w:t>
            </w:r>
          </w:p>
        </w:tc>
      </w:tr>
      <w:tr w:rsidR="00983732" w:rsidRPr="00A3026E" w14:paraId="230B5225" w14:textId="77777777" w:rsidTr="00EA0DA7">
        <w:trPr>
          <w:trHeight w:val="20"/>
        </w:trPr>
        <w:tc>
          <w:tcPr>
            <w:tcW w:w="797" w:type="dxa"/>
          </w:tcPr>
          <w:p w14:paraId="0DA855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99 </w:t>
            </w:r>
          </w:p>
        </w:tc>
        <w:tc>
          <w:tcPr>
            <w:tcW w:w="2141" w:type="dxa"/>
          </w:tcPr>
          <w:p w14:paraId="0DD9D7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И-26 М-105 </w:t>
            </w:r>
          </w:p>
        </w:tc>
        <w:tc>
          <w:tcPr>
            <w:tcW w:w="950" w:type="dxa"/>
          </w:tcPr>
          <w:p w14:paraId="792F1B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c>
          <w:tcPr>
            <w:tcW w:w="691" w:type="dxa"/>
          </w:tcPr>
          <w:p w14:paraId="1F3A4C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614" w:type="dxa"/>
          </w:tcPr>
          <w:p w14:paraId="1A8E0D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w:t>
            </w:r>
          </w:p>
        </w:tc>
        <w:tc>
          <w:tcPr>
            <w:tcW w:w="595" w:type="dxa"/>
          </w:tcPr>
          <w:p w14:paraId="56B248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 </w:t>
            </w:r>
          </w:p>
        </w:tc>
        <w:tc>
          <w:tcPr>
            <w:tcW w:w="586" w:type="dxa"/>
          </w:tcPr>
          <w:p w14:paraId="1087E6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65 </w:t>
            </w:r>
          </w:p>
        </w:tc>
        <w:tc>
          <w:tcPr>
            <w:tcW w:w="1027" w:type="dxa"/>
          </w:tcPr>
          <w:p w14:paraId="48B000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r>
      <w:tr w:rsidR="00983732" w:rsidRPr="00A3026E" w14:paraId="6A5311FF" w14:textId="77777777" w:rsidTr="00EA0DA7">
        <w:trPr>
          <w:trHeight w:val="20"/>
        </w:trPr>
        <w:tc>
          <w:tcPr>
            <w:tcW w:w="797" w:type="dxa"/>
          </w:tcPr>
          <w:p w14:paraId="045B25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116 </w:t>
            </w:r>
          </w:p>
        </w:tc>
        <w:tc>
          <w:tcPr>
            <w:tcW w:w="2141" w:type="dxa"/>
          </w:tcPr>
          <w:p w14:paraId="37ADA0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УТ-2 М-11</w:t>
            </w:r>
          </w:p>
        </w:tc>
        <w:tc>
          <w:tcPr>
            <w:tcW w:w="950" w:type="dxa"/>
          </w:tcPr>
          <w:p w14:paraId="1AEAFD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691" w:type="dxa"/>
          </w:tcPr>
          <w:p w14:paraId="43FF1C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614" w:type="dxa"/>
          </w:tcPr>
          <w:p w14:paraId="2CFA4D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 </w:t>
            </w:r>
          </w:p>
        </w:tc>
        <w:tc>
          <w:tcPr>
            <w:tcW w:w="595" w:type="dxa"/>
          </w:tcPr>
          <w:p w14:paraId="198252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65 </w:t>
            </w:r>
          </w:p>
        </w:tc>
        <w:tc>
          <w:tcPr>
            <w:tcW w:w="586" w:type="dxa"/>
          </w:tcPr>
          <w:p w14:paraId="379BD1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120 </w:t>
            </w:r>
          </w:p>
        </w:tc>
        <w:tc>
          <w:tcPr>
            <w:tcW w:w="1027" w:type="dxa"/>
          </w:tcPr>
          <w:p w14:paraId="6FBE15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130 </w:t>
            </w:r>
          </w:p>
        </w:tc>
      </w:tr>
      <w:tr w:rsidR="00983732" w:rsidRPr="00A3026E" w14:paraId="5110DA2B" w14:textId="77777777" w:rsidTr="00EA0DA7">
        <w:trPr>
          <w:trHeight w:val="20"/>
        </w:trPr>
        <w:tc>
          <w:tcPr>
            <w:tcW w:w="797" w:type="dxa"/>
          </w:tcPr>
          <w:p w14:paraId="0FE656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w:t>
            </w:r>
          </w:p>
        </w:tc>
        <w:tc>
          <w:tcPr>
            <w:tcW w:w="2141" w:type="dxa"/>
          </w:tcPr>
          <w:p w14:paraId="129717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ТБ-7 4АМ-35А </w:t>
            </w:r>
          </w:p>
        </w:tc>
        <w:tc>
          <w:tcPr>
            <w:tcW w:w="950" w:type="dxa"/>
          </w:tcPr>
          <w:p w14:paraId="496EDE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 </w:t>
            </w:r>
          </w:p>
        </w:tc>
        <w:tc>
          <w:tcPr>
            <w:tcW w:w="691" w:type="dxa"/>
          </w:tcPr>
          <w:p w14:paraId="3D6B03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w:t>
            </w:r>
          </w:p>
        </w:tc>
        <w:tc>
          <w:tcPr>
            <w:tcW w:w="614" w:type="dxa"/>
          </w:tcPr>
          <w:p w14:paraId="4D6341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 </w:t>
            </w:r>
          </w:p>
        </w:tc>
        <w:tc>
          <w:tcPr>
            <w:tcW w:w="595" w:type="dxa"/>
          </w:tcPr>
          <w:p w14:paraId="73CC47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586" w:type="dxa"/>
          </w:tcPr>
          <w:p w14:paraId="7EE05D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1027" w:type="dxa"/>
          </w:tcPr>
          <w:p w14:paraId="005ED4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r>
      <w:tr w:rsidR="00983732" w:rsidRPr="00A3026E" w14:paraId="67668FC8" w14:textId="77777777" w:rsidTr="00EA0DA7">
        <w:trPr>
          <w:trHeight w:val="20"/>
        </w:trPr>
        <w:tc>
          <w:tcPr>
            <w:tcW w:w="797" w:type="dxa"/>
          </w:tcPr>
          <w:p w14:paraId="0E8E72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124 </w:t>
            </w:r>
          </w:p>
        </w:tc>
        <w:tc>
          <w:tcPr>
            <w:tcW w:w="2141" w:type="dxa"/>
          </w:tcPr>
          <w:p w14:paraId="09D4EA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ТБ-7 4М-40 </w:t>
            </w:r>
          </w:p>
        </w:tc>
        <w:tc>
          <w:tcPr>
            <w:tcW w:w="950" w:type="dxa"/>
          </w:tcPr>
          <w:p w14:paraId="4831ED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 </w:t>
            </w:r>
          </w:p>
        </w:tc>
        <w:tc>
          <w:tcPr>
            <w:tcW w:w="691" w:type="dxa"/>
          </w:tcPr>
          <w:p w14:paraId="3E6A7C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614" w:type="dxa"/>
          </w:tcPr>
          <w:p w14:paraId="16470F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595" w:type="dxa"/>
          </w:tcPr>
          <w:p w14:paraId="3F1EEA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 </w:t>
            </w:r>
          </w:p>
        </w:tc>
        <w:tc>
          <w:tcPr>
            <w:tcW w:w="586" w:type="dxa"/>
          </w:tcPr>
          <w:p w14:paraId="201600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 </w:t>
            </w:r>
          </w:p>
        </w:tc>
        <w:tc>
          <w:tcPr>
            <w:tcW w:w="1027" w:type="dxa"/>
          </w:tcPr>
          <w:p w14:paraId="072667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 </w:t>
            </w:r>
          </w:p>
        </w:tc>
      </w:tr>
      <w:tr w:rsidR="00983732" w:rsidRPr="00A3026E" w14:paraId="12A14C1E" w14:textId="77777777" w:rsidTr="00EA0DA7">
        <w:trPr>
          <w:trHeight w:val="20"/>
        </w:trPr>
        <w:tc>
          <w:tcPr>
            <w:tcW w:w="797" w:type="dxa"/>
          </w:tcPr>
          <w:p w14:paraId="64A6C8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125 </w:t>
            </w:r>
          </w:p>
        </w:tc>
        <w:tc>
          <w:tcPr>
            <w:tcW w:w="2141" w:type="dxa"/>
          </w:tcPr>
          <w:p w14:paraId="6D6665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СБ 2М-103 </w:t>
            </w:r>
          </w:p>
        </w:tc>
        <w:tc>
          <w:tcPr>
            <w:tcW w:w="950" w:type="dxa"/>
          </w:tcPr>
          <w:p w14:paraId="0C55EC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 </w:t>
            </w:r>
          </w:p>
        </w:tc>
        <w:tc>
          <w:tcPr>
            <w:tcW w:w="691" w:type="dxa"/>
          </w:tcPr>
          <w:p w14:paraId="5753D7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 </w:t>
            </w:r>
          </w:p>
        </w:tc>
        <w:tc>
          <w:tcPr>
            <w:tcW w:w="614" w:type="dxa"/>
          </w:tcPr>
          <w:p w14:paraId="46762B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595" w:type="dxa"/>
          </w:tcPr>
          <w:p w14:paraId="3E5CED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586" w:type="dxa"/>
          </w:tcPr>
          <w:p w14:paraId="0E18D8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1027" w:type="dxa"/>
          </w:tcPr>
          <w:p w14:paraId="6A246E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r>
      <w:tr w:rsidR="00983732" w:rsidRPr="00A3026E" w14:paraId="2B740A53" w14:textId="77777777" w:rsidTr="00EA0DA7">
        <w:trPr>
          <w:trHeight w:val="20"/>
        </w:trPr>
        <w:tc>
          <w:tcPr>
            <w:tcW w:w="797" w:type="dxa"/>
          </w:tcPr>
          <w:p w14:paraId="50F1DE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125 </w:t>
            </w:r>
          </w:p>
        </w:tc>
        <w:tc>
          <w:tcPr>
            <w:tcW w:w="2141" w:type="dxa"/>
          </w:tcPr>
          <w:p w14:paraId="69FF6E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СБ 2М-105 </w:t>
            </w:r>
          </w:p>
        </w:tc>
        <w:tc>
          <w:tcPr>
            <w:tcW w:w="950" w:type="dxa"/>
          </w:tcPr>
          <w:p w14:paraId="072F76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550 </w:t>
            </w:r>
          </w:p>
        </w:tc>
        <w:tc>
          <w:tcPr>
            <w:tcW w:w="691" w:type="dxa"/>
          </w:tcPr>
          <w:p w14:paraId="42D630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614" w:type="dxa"/>
          </w:tcPr>
          <w:p w14:paraId="2DFF80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170 </w:t>
            </w:r>
          </w:p>
        </w:tc>
        <w:tc>
          <w:tcPr>
            <w:tcW w:w="595" w:type="dxa"/>
          </w:tcPr>
          <w:p w14:paraId="3DE803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185 </w:t>
            </w:r>
          </w:p>
        </w:tc>
        <w:tc>
          <w:tcPr>
            <w:tcW w:w="586" w:type="dxa"/>
          </w:tcPr>
          <w:p w14:paraId="08D351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1У5 </w:t>
            </w:r>
          </w:p>
        </w:tc>
        <w:tc>
          <w:tcPr>
            <w:tcW w:w="1027" w:type="dxa"/>
          </w:tcPr>
          <w:p w14:paraId="2DEE56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195 </w:t>
            </w:r>
          </w:p>
        </w:tc>
      </w:tr>
      <w:tr w:rsidR="00983732" w:rsidRPr="00A3026E" w14:paraId="07B42F11" w14:textId="77777777" w:rsidTr="00EA0DA7">
        <w:trPr>
          <w:trHeight w:val="20"/>
        </w:trPr>
        <w:tc>
          <w:tcPr>
            <w:tcW w:w="797" w:type="dxa"/>
          </w:tcPr>
          <w:p w14:paraId="1DBCD2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126 </w:t>
            </w:r>
          </w:p>
        </w:tc>
        <w:tc>
          <w:tcPr>
            <w:tcW w:w="2141" w:type="dxa"/>
          </w:tcPr>
          <w:p w14:paraId="6FD68D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ДВ-3Ф 2М-88 </w:t>
            </w:r>
          </w:p>
        </w:tc>
        <w:tc>
          <w:tcPr>
            <w:tcW w:w="950" w:type="dxa"/>
          </w:tcPr>
          <w:p w14:paraId="1501A9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350 </w:t>
            </w:r>
          </w:p>
        </w:tc>
        <w:tc>
          <w:tcPr>
            <w:tcW w:w="691" w:type="dxa"/>
          </w:tcPr>
          <w:p w14:paraId="7BBE31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70 </w:t>
            </w:r>
          </w:p>
        </w:tc>
        <w:tc>
          <w:tcPr>
            <w:tcW w:w="614" w:type="dxa"/>
          </w:tcPr>
          <w:p w14:paraId="4A81EC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85 </w:t>
            </w:r>
          </w:p>
        </w:tc>
        <w:tc>
          <w:tcPr>
            <w:tcW w:w="595" w:type="dxa"/>
          </w:tcPr>
          <w:p w14:paraId="7564CC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90 </w:t>
            </w:r>
          </w:p>
        </w:tc>
        <w:tc>
          <w:tcPr>
            <w:tcW w:w="586" w:type="dxa"/>
          </w:tcPr>
          <w:p w14:paraId="37093E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105 </w:t>
            </w:r>
          </w:p>
        </w:tc>
        <w:tc>
          <w:tcPr>
            <w:tcW w:w="1027" w:type="dxa"/>
          </w:tcPr>
          <w:p w14:paraId="78AFB4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125 </w:t>
            </w:r>
          </w:p>
        </w:tc>
      </w:tr>
      <w:tr w:rsidR="00983732" w:rsidRPr="00A3026E" w14:paraId="4CD51043" w14:textId="77777777" w:rsidTr="00EA0DA7">
        <w:trPr>
          <w:trHeight w:val="20"/>
        </w:trPr>
        <w:tc>
          <w:tcPr>
            <w:tcW w:w="797" w:type="dxa"/>
          </w:tcPr>
          <w:p w14:paraId="267E52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135 </w:t>
            </w:r>
          </w:p>
        </w:tc>
        <w:tc>
          <w:tcPr>
            <w:tcW w:w="2141" w:type="dxa"/>
          </w:tcPr>
          <w:p w14:paraId="572A22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ББ-1 М-88-89 </w:t>
            </w:r>
          </w:p>
        </w:tc>
        <w:tc>
          <w:tcPr>
            <w:tcW w:w="950" w:type="dxa"/>
          </w:tcPr>
          <w:p w14:paraId="068815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600 </w:t>
            </w:r>
          </w:p>
        </w:tc>
        <w:tc>
          <w:tcPr>
            <w:tcW w:w="691" w:type="dxa"/>
          </w:tcPr>
          <w:p w14:paraId="2DAB10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c>
          <w:tcPr>
            <w:tcW w:w="614" w:type="dxa"/>
          </w:tcPr>
          <w:p w14:paraId="16939C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130 </w:t>
            </w:r>
          </w:p>
        </w:tc>
        <w:tc>
          <w:tcPr>
            <w:tcW w:w="595" w:type="dxa"/>
          </w:tcPr>
          <w:p w14:paraId="37EA11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170 </w:t>
            </w:r>
          </w:p>
        </w:tc>
        <w:tc>
          <w:tcPr>
            <w:tcW w:w="586" w:type="dxa"/>
          </w:tcPr>
          <w:p w14:paraId="29C0C9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1027" w:type="dxa"/>
          </w:tcPr>
          <w:p w14:paraId="640FCA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225 </w:t>
            </w:r>
          </w:p>
        </w:tc>
      </w:tr>
      <w:tr w:rsidR="00983732" w:rsidRPr="00A3026E" w14:paraId="485BD4C1" w14:textId="77777777" w:rsidTr="00EA0DA7">
        <w:trPr>
          <w:trHeight w:val="20"/>
        </w:trPr>
        <w:tc>
          <w:tcPr>
            <w:tcW w:w="797" w:type="dxa"/>
          </w:tcPr>
          <w:p w14:paraId="24DDA6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153 </w:t>
            </w:r>
          </w:p>
        </w:tc>
        <w:tc>
          <w:tcPr>
            <w:tcW w:w="2141" w:type="dxa"/>
          </w:tcPr>
          <w:p w14:paraId="664252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И-26 М-105 </w:t>
            </w:r>
          </w:p>
        </w:tc>
        <w:tc>
          <w:tcPr>
            <w:tcW w:w="950" w:type="dxa"/>
          </w:tcPr>
          <w:p w14:paraId="195C75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250 </w:t>
            </w:r>
          </w:p>
        </w:tc>
        <w:tc>
          <w:tcPr>
            <w:tcW w:w="691" w:type="dxa"/>
          </w:tcPr>
          <w:p w14:paraId="0B09BA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614" w:type="dxa"/>
          </w:tcPr>
          <w:p w14:paraId="0F5746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595" w:type="dxa"/>
          </w:tcPr>
          <w:p w14:paraId="224B31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 </w:t>
            </w:r>
          </w:p>
        </w:tc>
        <w:tc>
          <w:tcPr>
            <w:tcW w:w="586" w:type="dxa"/>
          </w:tcPr>
          <w:p w14:paraId="39C624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190 </w:t>
            </w:r>
          </w:p>
        </w:tc>
        <w:tc>
          <w:tcPr>
            <w:tcW w:w="1027" w:type="dxa"/>
          </w:tcPr>
          <w:p w14:paraId="016630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 </w:t>
            </w:r>
          </w:p>
        </w:tc>
      </w:tr>
      <w:tr w:rsidR="00983732" w:rsidRPr="00A3026E" w14:paraId="60A29D2F" w14:textId="77777777" w:rsidTr="00EA0DA7">
        <w:trPr>
          <w:trHeight w:val="20"/>
        </w:trPr>
        <w:tc>
          <w:tcPr>
            <w:tcW w:w="797" w:type="dxa"/>
          </w:tcPr>
          <w:p w14:paraId="05FDDB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153 </w:t>
            </w:r>
          </w:p>
        </w:tc>
        <w:tc>
          <w:tcPr>
            <w:tcW w:w="2141" w:type="dxa"/>
          </w:tcPr>
          <w:p w14:paraId="76CE95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УТИ-4 М-25В </w:t>
            </w:r>
          </w:p>
        </w:tc>
        <w:tc>
          <w:tcPr>
            <w:tcW w:w="950" w:type="dxa"/>
          </w:tcPr>
          <w:p w14:paraId="6E3830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650 </w:t>
            </w:r>
          </w:p>
        </w:tc>
        <w:tc>
          <w:tcPr>
            <w:tcW w:w="691" w:type="dxa"/>
          </w:tcPr>
          <w:p w14:paraId="7CAA25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130 </w:t>
            </w:r>
          </w:p>
        </w:tc>
        <w:tc>
          <w:tcPr>
            <w:tcW w:w="614" w:type="dxa"/>
          </w:tcPr>
          <w:p w14:paraId="2664C8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595" w:type="dxa"/>
          </w:tcPr>
          <w:p w14:paraId="037ACF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240 </w:t>
            </w:r>
          </w:p>
        </w:tc>
        <w:tc>
          <w:tcPr>
            <w:tcW w:w="586" w:type="dxa"/>
          </w:tcPr>
          <w:p w14:paraId="1981EB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80 </w:t>
            </w:r>
          </w:p>
        </w:tc>
        <w:tc>
          <w:tcPr>
            <w:tcW w:w="1027" w:type="dxa"/>
          </w:tcPr>
          <w:p w14:paraId="2822F8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r>
      <w:tr w:rsidR="00983732" w:rsidRPr="00A3026E" w14:paraId="5C84FD9E" w14:textId="77777777" w:rsidTr="00EA0DA7">
        <w:trPr>
          <w:trHeight w:val="20"/>
        </w:trPr>
        <w:tc>
          <w:tcPr>
            <w:tcW w:w="797" w:type="dxa"/>
          </w:tcPr>
          <w:p w14:paraId="5974F7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165 </w:t>
            </w:r>
          </w:p>
        </w:tc>
        <w:tc>
          <w:tcPr>
            <w:tcW w:w="2141" w:type="dxa"/>
          </w:tcPr>
          <w:p w14:paraId="7747EB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И-301 М-105 </w:t>
            </w:r>
          </w:p>
        </w:tc>
        <w:tc>
          <w:tcPr>
            <w:tcW w:w="950" w:type="dxa"/>
          </w:tcPr>
          <w:p w14:paraId="1D140D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691" w:type="dxa"/>
          </w:tcPr>
          <w:p w14:paraId="255ACB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614" w:type="dxa"/>
          </w:tcPr>
          <w:p w14:paraId="27323F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25 </w:t>
            </w:r>
          </w:p>
        </w:tc>
        <w:tc>
          <w:tcPr>
            <w:tcW w:w="595" w:type="dxa"/>
          </w:tcPr>
          <w:p w14:paraId="4DC7EC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65 </w:t>
            </w:r>
          </w:p>
        </w:tc>
        <w:tc>
          <w:tcPr>
            <w:tcW w:w="586" w:type="dxa"/>
          </w:tcPr>
          <w:p w14:paraId="09CAC8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w:t>
            </w:r>
          </w:p>
        </w:tc>
        <w:tc>
          <w:tcPr>
            <w:tcW w:w="1027" w:type="dxa"/>
          </w:tcPr>
          <w:p w14:paraId="436A35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130 </w:t>
            </w:r>
          </w:p>
        </w:tc>
      </w:tr>
      <w:tr w:rsidR="00983732" w:rsidRPr="00A3026E" w14:paraId="10B4EE45" w14:textId="77777777" w:rsidTr="00EA0DA7">
        <w:trPr>
          <w:trHeight w:val="20"/>
        </w:trPr>
        <w:tc>
          <w:tcPr>
            <w:tcW w:w="797" w:type="dxa"/>
          </w:tcPr>
          <w:p w14:paraId="75026C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207 </w:t>
            </w:r>
          </w:p>
        </w:tc>
        <w:tc>
          <w:tcPr>
            <w:tcW w:w="2141" w:type="dxa"/>
          </w:tcPr>
          <w:p w14:paraId="791A2B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ББ-1 М-88 </w:t>
            </w:r>
          </w:p>
        </w:tc>
        <w:tc>
          <w:tcPr>
            <w:tcW w:w="950" w:type="dxa"/>
          </w:tcPr>
          <w:p w14:paraId="7C0482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691" w:type="dxa"/>
          </w:tcPr>
          <w:p w14:paraId="54180B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 </w:t>
            </w:r>
          </w:p>
        </w:tc>
        <w:tc>
          <w:tcPr>
            <w:tcW w:w="614" w:type="dxa"/>
          </w:tcPr>
          <w:p w14:paraId="39852A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 </w:t>
            </w:r>
          </w:p>
        </w:tc>
        <w:tc>
          <w:tcPr>
            <w:tcW w:w="595" w:type="dxa"/>
          </w:tcPr>
          <w:p w14:paraId="44CF13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65 </w:t>
            </w:r>
          </w:p>
        </w:tc>
        <w:tc>
          <w:tcPr>
            <w:tcW w:w="586" w:type="dxa"/>
          </w:tcPr>
          <w:p w14:paraId="5735F0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90 </w:t>
            </w:r>
          </w:p>
        </w:tc>
        <w:tc>
          <w:tcPr>
            <w:tcW w:w="1027" w:type="dxa"/>
          </w:tcPr>
          <w:p w14:paraId="4B4E2A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110 </w:t>
            </w:r>
          </w:p>
        </w:tc>
      </w:tr>
      <w:tr w:rsidR="00983732" w:rsidRPr="00A3026E" w14:paraId="595118AC" w14:textId="77777777" w:rsidTr="00EA0DA7">
        <w:trPr>
          <w:trHeight w:val="20"/>
        </w:trPr>
        <w:tc>
          <w:tcPr>
            <w:tcW w:w="797" w:type="dxa"/>
          </w:tcPr>
          <w:p w14:paraId="082592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292 </w:t>
            </w:r>
          </w:p>
        </w:tc>
        <w:tc>
          <w:tcPr>
            <w:tcW w:w="2141" w:type="dxa"/>
          </w:tcPr>
          <w:p w14:paraId="247027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И-26 М-105 </w:t>
            </w:r>
          </w:p>
        </w:tc>
        <w:tc>
          <w:tcPr>
            <w:tcW w:w="950" w:type="dxa"/>
          </w:tcPr>
          <w:p w14:paraId="7D9EF4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1000 </w:t>
            </w:r>
          </w:p>
        </w:tc>
        <w:tc>
          <w:tcPr>
            <w:tcW w:w="691" w:type="dxa"/>
          </w:tcPr>
          <w:p w14:paraId="562536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170 </w:t>
            </w:r>
          </w:p>
        </w:tc>
        <w:tc>
          <w:tcPr>
            <w:tcW w:w="614" w:type="dxa"/>
          </w:tcPr>
          <w:p w14:paraId="6CB33E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Pr>
          <w:p w14:paraId="336F60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270 </w:t>
            </w:r>
          </w:p>
        </w:tc>
        <w:tc>
          <w:tcPr>
            <w:tcW w:w="586" w:type="dxa"/>
          </w:tcPr>
          <w:p w14:paraId="52CA54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320 </w:t>
            </w:r>
          </w:p>
        </w:tc>
        <w:tc>
          <w:tcPr>
            <w:tcW w:w="1027" w:type="dxa"/>
          </w:tcPr>
          <w:p w14:paraId="37231E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410 </w:t>
            </w:r>
          </w:p>
        </w:tc>
      </w:tr>
      <w:tr w:rsidR="00983732" w:rsidRPr="00A3026E" w14:paraId="7F09BFB1" w14:textId="77777777" w:rsidTr="00EA0DA7">
        <w:trPr>
          <w:trHeight w:val="20"/>
        </w:trPr>
        <w:tc>
          <w:tcPr>
            <w:tcW w:w="797" w:type="dxa"/>
          </w:tcPr>
          <w:p w14:paraId="172C69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301</w:t>
            </w:r>
          </w:p>
        </w:tc>
        <w:tc>
          <w:tcPr>
            <w:tcW w:w="2141" w:type="dxa"/>
          </w:tcPr>
          <w:p w14:paraId="1DD77C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М-105</w:t>
            </w:r>
          </w:p>
        </w:tc>
        <w:tc>
          <w:tcPr>
            <w:tcW w:w="950" w:type="dxa"/>
          </w:tcPr>
          <w:p w14:paraId="6EC4E6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691" w:type="dxa"/>
          </w:tcPr>
          <w:p w14:paraId="12B88B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614" w:type="dxa"/>
          </w:tcPr>
          <w:p w14:paraId="4CD277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w:t>
            </w:r>
          </w:p>
        </w:tc>
        <w:tc>
          <w:tcPr>
            <w:tcW w:w="595" w:type="dxa"/>
          </w:tcPr>
          <w:p w14:paraId="412D67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215 </w:t>
            </w:r>
          </w:p>
        </w:tc>
        <w:tc>
          <w:tcPr>
            <w:tcW w:w="586" w:type="dxa"/>
          </w:tcPr>
          <w:p w14:paraId="05E065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220 </w:t>
            </w:r>
          </w:p>
        </w:tc>
        <w:tc>
          <w:tcPr>
            <w:tcW w:w="1027" w:type="dxa"/>
          </w:tcPr>
          <w:p w14:paraId="0CA708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r>
      <w:tr w:rsidR="00983732" w:rsidRPr="00A3026E" w14:paraId="58DC2DF8" w14:textId="77777777" w:rsidTr="00EA0DA7">
        <w:trPr>
          <w:trHeight w:val="20"/>
        </w:trPr>
        <w:tc>
          <w:tcPr>
            <w:tcW w:w="797" w:type="dxa"/>
          </w:tcPr>
          <w:p w14:paraId="340BE8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380 </w:t>
            </w:r>
          </w:p>
        </w:tc>
        <w:tc>
          <w:tcPr>
            <w:tcW w:w="2141" w:type="dxa"/>
          </w:tcPr>
          <w:p w14:paraId="47F5AC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2-х мот. истреб. констр. Яковлева 2М-105 </w:t>
            </w:r>
          </w:p>
        </w:tc>
        <w:tc>
          <w:tcPr>
            <w:tcW w:w="950" w:type="dxa"/>
          </w:tcPr>
          <w:p w14:paraId="36E53A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691" w:type="dxa"/>
          </w:tcPr>
          <w:p w14:paraId="131261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14" w:type="dxa"/>
          </w:tcPr>
          <w:p w14:paraId="433AF4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595" w:type="dxa"/>
          </w:tcPr>
          <w:p w14:paraId="47C009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586" w:type="dxa"/>
          </w:tcPr>
          <w:p w14:paraId="2D2964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c>
          <w:tcPr>
            <w:tcW w:w="1027" w:type="dxa"/>
          </w:tcPr>
          <w:p w14:paraId="280B69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r>
      <w:tr w:rsidR="00983732" w:rsidRPr="00A3026E" w14:paraId="46B6D3F0" w14:textId="77777777" w:rsidTr="00EA0DA7">
        <w:trPr>
          <w:trHeight w:val="20"/>
        </w:trPr>
        <w:tc>
          <w:tcPr>
            <w:tcW w:w="797" w:type="dxa"/>
          </w:tcPr>
          <w:p w14:paraId="11DC59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381 </w:t>
            </w:r>
          </w:p>
        </w:tc>
        <w:tc>
          <w:tcPr>
            <w:tcW w:w="2141" w:type="dxa"/>
          </w:tcPr>
          <w:p w14:paraId="4D5C14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БШ АМ-35А </w:t>
            </w:r>
          </w:p>
        </w:tc>
        <w:tc>
          <w:tcPr>
            <w:tcW w:w="950" w:type="dxa"/>
          </w:tcPr>
          <w:p w14:paraId="60931C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691" w:type="dxa"/>
          </w:tcPr>
          <w:p w14:paraId="06C3BA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614" w:type="dxa"/>
          </w:tcPr>
          <w:p w14:paraId="1DD7F5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595" w:type="dxa"/>
          </w:tcPr>
          <w:p w14:paraId="00E2F6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586" w:type="dxa"/>
          </w:tcPr>
          <w:p w14:paraId="1E2144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027" w:type="dxa"/>
          </w:tcPr>
          <w:p w14:paraId="7D4121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36516E8B" w14:textId="77777777" w:rsidTr="00EA0DA7">
        <w:trPr>
          <w:trHeight w:val="20"/>
        </w:trPr>
        <w:tc>
          <w:tcPr>
            <w:tcW w:w="797" w:type="dxa"/>
          </w:tcPr>
          <w:p w14:paraId="6EED82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387 </w:t>
            </w:r>
          </w:p>
        </w:tc>
        <w:tc>
          <w:tcPr>
            <w:tcW w:w="2141" w:type="dxa"/>
          </w:tcPr>
          <w:p w14:paraId="28C063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У-2 М-11</w:t>
            </w:r>
          </w:p>
        </w:tc>
        <w:tc>
          <w:tcPr>
            <w:tcW w:w="950" w:type="dxa"/>
          </w:tcPr>
          <w:p w14:paraId="77B985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691" w:type="dxa"/>
          </w:tcPr>
          <w:p w14:paraId="234DE8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614" w:type="dxa"/>
          </w:tcPr>
          <w:p w14:paraId="7EE416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595" w:type="dxa"/>
          </w:tcPr>
          <w:p w14:paraId="0F3F3A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475</w:t>
            </w:r>
          </w:p>
        </w:tc>
        <w:tc>
          <w:tcPr>
            <w:tcW w:w="586" w:type="dxa"/>
          </w:tcPr>
          <w:p w14:paraId="07A709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c>
          <w:tcPr>
            <w:tcW w:w="1027" w:type="dxa"/>
          </w:tcPr>
          <w:p w14:paraId="2E3159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r>
      <w:tr w:rsidR="00983732" w:rsidRPr="00A3026E" w14:paraId="2791B395" w14:textId="77777777" w:rsidTr="00EA0DA7">
        <w:trPr>
          <w:trHeight w:val="20"/>
        </w:trPr>
        <w:tc>
          <w:tcPr>
            <w:tcW w:w="797" w:type="dxa"/>
          </w:tcPr>
          <w:p w14:paraId="6D0A9C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2141" w:type="dxa"/>
          </w:tcPr>
          <w:p w14:paraId="4B2736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ПБ-100 2М-105</w:t>
            </w:r>
          </w:p>
        </w:tc>
        <w:tc>
          <w:tcPr>
            <w:tcW w:w="950" w:type="dxa"/>
          </w:tcPr>
          <w:p w14:paraId="3A5877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691" w:type="dxa"/>
          </w:tcPr>
          <w:p w14:paraId="6EF63C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14" w:type="dxa"/>
          </w:tcPr>
          <w:p w14:paraId="7772D5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595" w:type="dxa"/>
          </w:tcPr>
          <w:p w14:paraId="0B80A5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586" w:type="dxa"/>
          </w:tcPr>
          <w:p w14:paraId="615B5C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1027" w:type="dxa"/>
          </w:tcPr>
          <w:p w14:paraId="08E72C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77CBF53D" w14:textId="77777777" w:rsidTr="00EA0DA7">
        <w:trPr>
          <w:trHeight w:val="20"/>
        </w:trPr>
        <w:tc>
          <w:tcPr>
            <w:tcW w:w="797" w:type="dxa"/>
          </w:tcPr>
          <w:p w14:paraId="1BA332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458</w:t>
            </w:r>
          </w:p>
        </w:tc>
        <w:tc>
          <w:tcPr>
            <w:tcW w:w="2141" w:type="dxa"/>
          </w:tcPr>
          <w:p w14:paraId="5EC984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 2М-35А</w:t>
            </w:r>
          </w:p>
        </w:tc>
        <w:tc>
          <w:tcPr>
            <w:tcW w:w="950" w:type="dxa"/>
          </w:tcPr>
          <w:p w14:paraId="73EEED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691" w:type="dxa"/>
          </w:tcPr>
          <w:p w14:paraId="301F6C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14" w:type="dxa"/>
          </w:tcPr>
          <w:p w14:paraId="40A334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Pr>
          <w:p w14:paraId="502552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586" w:type="dxa"/>
          </w:tcPr>
          <w:p w14:paraId="42EB58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1027" w:type="dxa"/>
          </w:tcPr>
          <w:p w14:paraId="59B45F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r>
      <w:tr w:rsidR="00983732" w:rsidRPr="00A3026E" w14:paraId="3922927B" w14:textId="77777777" w:rsidTr="00EA0DA7">
        <w:trPr>
          <w:trHeight w:val="20"/>
        </w:trPr>
        <w:tc>
          <w:tcPr>
            <w:tcW w:w="797" w:type="dxa"/>
          </w:tcPr>
          <w:p w14:paraId="668C27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463</w:t>
            </w:r>
          </w:p>
        </w:tc>
        <w:tc>
          <w:tcPr>
            <w:tcW w:w="2141" w:type="dxa"/>
          </w:tcPr>
          <w:p w14:paraId="29C44F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М-105</w:t>
            </w:r>
          </w:p>
        </w:tc>
        <w:tc>
          <w:tcPr>
            <w:tcW w:w="950" w:type="dxa"/>
          </w:tcPr>
          <w:p w14:paraId="6B2FCF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691" w:type="dxa"/>
          </w:tcPr>
          <w:p w14:paraId="2429A6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14" w:type="dxa"/>
          </w:tcPr>
          <w:p w14:paraId="6CF334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Pr>
          <w:p w14:paraId="493569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586" w:type="dxa"/>
          </w:tcPr>
          <w:p w14:paraId="211F71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1027" w:type="dxa"/>
          </w:tcPr>
          <w:p w14:paraId="4E554A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r>
      <w:tr w:rsidR="00983732" w:rsidRPr="00A3026E" w14:paraId="077AADBF" w14:textId="77777777" w:rsidTr="00EA0DA7">
        <w:trPr>
          <w:trHeight w:val="20"/>
        </w:trPr>
        <w:tc>
          <w:tcPr>
            <w:tcW w:w="797" w:type="dxa"/>
          </w:tcPr>
          <w:p w14:paraId="7E5A38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464</w:t>
            </w:r>
          </w:p>
        </w:tc>
        <w:tc>
          <w:tcPr>
            <w:tcW w:w="2141" w:type="dxa"/>
          </w:tcPr>
          <w:p w14:paraId="66373D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УТИ-26 М-105</w:t>
            </w:r>
          </w:p>
        </w:tc>
        <w:tc>
          <w:tcPr>
            <w:tcW w:w="950" w:type="dxa"/>
          </w:tcPr>
          <w:p w14:paraId="7034BE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691" w:type="dxa"/>
          </w:tcPr>
          <w:p w14:paraId="326DB1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14" w:type="dxa"/>
          </w:tcPr>
          <w:p w14:paraId="354815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Pr>
          <w:p w14:paraId="295E22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586" w:type="dxa"/>
          </w:tcPr>
          <w:p w14:paraId="1B5D2C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1027" w:type="dxa"/>
          </w:tcPr>
          <w:p w14:paraId="608FCB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71E565D8" w14:textId="77777777" w:rsidTr="00EA0DA7">
        <w:trPr>
          <w:trHeight w:val="20"/>
        </w:trPr>
        <w:tc>
          <w:tcPr>
            <w:tcW w:w="797" w:type="dxa"/>
            <w:tcBorders>
              <w:bottom w:val="single" w:sz="12" w:space="0" w:color="auto"/>
            </w:tcBorders>
          </w:tcPr>
          <w:p w14:paraId="086839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465</w:t>
            </w:r>
          </w:p>
        </w:tc>
        <w:tc>
          <w:tcPr>
            <w:tcW w:w="2141" w:type="dxa"/>
            <w:tcBorders>
              <w:bottom w:val="single" w:sz="12" w:space="0" w:color="auto"/>
            </w:tcBorders>
          </w:tcPr>
          <w:p w14:paraId="218116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КТИ-26 М-105</w:t>
            </w:r>
          </w:p>
        </w:tc>
        <w:tc>
          <w:tcPr>
            <w:tcW w:w="950" w:type="dxa"/>
            <w:tcBorders>
              <w:bottom w:val="single" w:sz="12" w:space="0" w:color="auto"/>
            </w:tcBorders>
          </w:tcPr>
          <w:p w14:paraId="70537F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691" w:type="dxa"/>
            <w:tcBorders>
              <w:bottom w:val="single" w:sz="12" w:space="0" w:color="auto"/>
            </w:tcBorders>
          </w:tcPr>
          <w:p w14:paraId="4E6054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14" w:type="dxa"/>
            <w:tcBorders>
              <w:bottom w:val="single" w:sz="12" w:space="0" w:color="auto"/>
            </w:tcBorders>
          </w:tcPr>
          <w:p w14:paraId="60A35B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Borders>
              <w:bottom w:val="single" w:sz="12" w:space="0" w:color="auto"/>
            </w:tcBorders>
          </w:tcPr>
          <w:p w14:paraId="75EE9B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586" w:type="dxa"/>
            <w:tcBorders>
              <w:bottom w:val="single" w:sz="12" w:space="0" w:color="auto"/>
            </w:tcBorders>
          </w:tcPr>
          <w:p w14:paraId="5DE2A7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1027" w:type="dxa"/>
            <w:tcBorders>
              <w:bottom w:val="single" w:sz="12" w:space="0" w:color="auto"/>
            </w:tcBorders>
          </w:tcPr>
          <w:p w14:paraId="5B449A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r>
    </w:tbl>
    <w:p w14:paraId="088101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Установить программу выпуска моторов по заводам НКАП</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97"/>
        <w:gridCol w:w="2141"/>
        <w:gridCol w:w="950"/>
        <w:gridCol w:w="691"/>
        <w:gridCol w:w="614"/>
        <w:gridCol w:w="595"/>
        <w:gridCol w:w="586"/>
        <w:gridCol w:w="1027"/>
      </w:tblGrid>
      <w:tr w:rsidR="00983732" w:rsidRPr="00A3026E" w14:paraId="0A5B755F" w14:textId="77777777" w:rsidTr="00EA0DA7">
        <w:trPr>
          <w:trHeight w:val="20"/>
        </w:trPr>
        <w:tc>
          <w:tcPr>
            <w:tcW w:w="797" w:type="dxa"/>
            <w:tcBorders>
              <w:top w:val="single" w:sz="12" w:space="0" w:color="auto"/>
            </w:tcBorders>
          </w:tcPr>
          <w:p w14:paraId="581B24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з-дов </w:t>
            </w:r>
          </w:p>
        </w:tc>
        <w:tc>
          <w:tcPr>
            <w:tcW w:w="2141" w:type="dxa"/>
            <w:tcBorders>
              <w:top w:val="single" w:sz="12" w:space="0" w:color="auto"/>
            </w:tcBorders>
          </w:tcPr>
          <w:p w14:paraId="24434B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Тип самолета </w:t>
            </w:r>
          </w:p>
        </w:tc>
        <w:tc>
          <w:tcPr>
            <w:tcW w:w="950" w:type="dxa"/>
            <w:tcBorders>
              <w:top w:val="single" w:sz="12" w:space="0" w:color="auto"/>
            </w:tcBorders>
          </w:tcPr>
          <w:p w14:paraId="44BF2C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в 1941 г. </w:t>
            </w:r>
          </w:p>
        </w:tc>
        <w:tc>
          <w:tcPr>
            <w:tcW w:w="2486" w:type="dxa"/>
            <w:gridSpan w:val="4"/>
            <w:tcBorders>
              <w:top w:val="single" w:sz="12" w:space="0" w:color="auto"/>
            </w:tcBorders>
          </w:tcPr>
          <w:p w14:paraId="752B17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том числе </w:t>
            </w:r>
          </w:p>
        </w:tc>
        <w:tc>
          <w:tcPr>
            <w:tcW w:w="1027" w:type="dxa"/>
            <w:tcBorders>
              <w:top w:val="single" w:sz="12" w:space="0" w:color="auto"/>
            </w:tcBorders>
          </w:tcPr>
          <w:p w14:paraId="113070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 квартал 1942 г. </w:t>
            </w:r>
          </w:p>
        </w:tc>
      </w:tr>
      <w:tr w:rsidR="00983732" w:rsidRPr="00A3026E" w14:paraId="74EAAF40" w14:textId="77777777" w:rsidTr="00EA0DA7">
        <w:trPr>
          <w:trHeight w:val="20"/>
        </w:trPr>
        <w:tc>
          <w:tcPr>
            <w:tcW w:w="797" w:type="dxa"/>
          </w:tcPr>
          <w:p w14:paraId="71B2794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41" w:type="dxa"/>
          </w:tcPr>
          <w:p w14:paraId="66E47D3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0" w:type="dxa"/>
          </w:tcPr>
          <w:p w14:paraId="66A4F67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91" w:type="dxa"/>
          </w:tcPr>
          <w:p w14:paraId="618FBE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 кв. </w:t>
            </w:r>
          </w:p>
        </w:tc>
        <w:tc>
          <w:tcPr>
            <w:tcW w:w="614" w:type="dxa"/>
          </w:tcPr>
          <w:p w14:paraId="629C24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 кв. </w:t>
            </w:r>
          </w:p>
        </w:tc>
        <w:tc>
          <w:tcPr>
            <w:tcW w:w="595" w:type="dxa"/>
          </w:tcPr>
          <w:p w14:paraId="1B21AE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Ш кв. </w:t>
            </w:r>
          </w:p>
        </w:tc>
        <w:tc>
          <w:tcPr>
            <w:tcW w:w="586" w:type="dxa"/>
          </w:tcPr>
          <w:p w14:paraId="761EC9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1У кв. </w:t>
            </w:r>
          </w:p>
        </w:tc>
        <w:tc>
          <w:tcPr>
            <w:tcW w:w="1027" w:type="dxa"/>
          </w:tcPr>
          <w:p w14:paraId="1623C2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1BAB040" w14:textId="77777777" w:rsidTr="00EA0DA7">
        <w:trPr>
          <w:trHeight w:val="20"/>
        </w:trPr>
        <w:tc>
          <w:tcPr>
            <w:tcW w:w="797" w:type="dxa"/>
          </w:tcPr>
          <w:p w14:paraId="6A520D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16 </w:t>
            </w:r>
          </w:p>
        </w:tc>
        <w:tc>
          <w:tcPr>
            <w:tcW w:w="2141" w:type="dxa"/>
          </w:tcPr>
          <w:p w14:paraId="68EC47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М-105 </w:t>
            </w:r>
          </w:p>
        </w:tc>
        <w:tc>
          <w:tcPr>
            <w:tcW w:w="950" w:type="dxa"/>
          </w:tcPr>
          <w:p w14:paraId="4B75AD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691" w:type="dxa"/>
          </w:tcPr>
          <w:p w14:paraId="7C8826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 </w:t>
            </w:r>
          </w:p>
        </w:tc>
        <w:tc>
          <w:tcPr>
            <w:tcW w:w="614" w:type="dxa"/>
          </w:tcPr>
          <w:p w14:paraId="0E35BC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400 </w:t>
            </w:r>
          </w:p>
        </w:tc>
        <w:tc>
          <w:tcPr>
            <w:tcW w:w="595" w:type="dxa"/>
          </w:tcPr>
          <w:p w14:paraId="3E828D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625 </w:t>
            </w:r>
          </w:p>
        </w:tc>
        <w:tc>
          <w:tcPr>
            <w:tcW w:w="586" w:type="dxa"/>
          </w:tcPr>
          <w:p w14:paraId="3185F8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675 </w:t>
            </w:r>
          </w:p>
        </w:tc>
        <w:tc>
          <w:tcPr>
            <w:tcW w:w="1027" w:type="dxa"/>
          </w:tcPr>
          <w:p w14:paraId="7B9C99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r>
      <w:tr w:rsidR="00983732" w:rsidRPr="00A3026E" w14:paraId="0EA46C62" w14:textId="77777777" w:rsidTr="00EA0DA7">
        <w:trPr>
          <w:trHeight w:val="20"/>
        </w:trPr>
        <w:tc>
          <w:tcPr>
            <w:tcW w:w="797" w:type="dxa"/>
          </w:tcPr>
          <w:p w14:paraId="320869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 </w:t>
            </w:r>
          </w:p>
        </w:tc>
        <w:tc>
          <w:tcPr>
            <w:tcW w:w="2141" w:type="dxa"/>
          </w:tcPr>
          <w:p w14:paraId="07CEF2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М-105 </w:t>
            </w:r>
          </w:p>
        </w:tc>
        <w:tc>
          <w:tcPr>
            <w:tcW w:w="950" w:type="dxa"/>
          </w:tcPr>
          <w:p w14:paraId="2927BE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2000 </w:t>
            </w:r>
          </w:p>
        </w:tc>
        <w:tc>
          <w:tcPr>
            <w:tcW w:w="691" w:type="dxa"/>
          </w:tcPr>
          <w:p w14:paraId="74BA70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614" w:type="dxa"/>
          </w:tcPr>
          <w:p w14:paraId="2F7D6A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250 </w:t>
            </w:r>
          </w:p>
        </w:tc>
        <w:tc>
          <w:tcPr>
            <w:tcW w:w="595" w:type="dxa"/>
          </w:tcPr>
          <w:p w14:paraId="79630C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700 </w:t>
            </w:r>
          </w:p>
        </w:tc>
        <w:tc>
          <w:tcPr>
            <w:tcW w:w="586" w:type="dxa"/>
          </w:tcPr>
          <w:p w14:paraId="67E425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1050 </w:t>
            </w:r>
          </w:p>
        </w:tc>
        <w:tc>
          <w:tcPr>
            <w:tcW w:w="1027" w:type="dxa"/>
          </w:tcPr>
          <w:p w14:paraId="367702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1250 </w:t>
            </w:r>
          </w:p>
        </w:tc>
      </w:tr>
      <w:tr w:rsidR="00983732" w:rsidRPr="00A3026E" w14:paraId="4B78FDCF" w14:textId="77777777" w:rsidTr="00EA0DA7">
        <w:trPr>
          <w:trHeight w:val="20"/>
        </w:trPr>
        <w:tc>
          <w:tcPr>
            <w:tcW w:w="797" w:type="dxa"/>
          </w:tcPr>
          <w:p w14:paraId="54DEB7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 </w:t>
            </w:r>
          </w:p>
        </w:tc>
        <w:tc>
          <w:tcPr>
            <w:tcW w:w="2141" w:type="dxa"/>
          </w:tcPr>
          <w:p w14:paraId="7F272A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М-62 </w:t>
            </w:r>
          </w:p>
        </w:tc>
        <w:tc>
          <w:tcPr>
            <w:tcW w:w="950" w:type="dxa"/>
          </w:tcPr>
          <w:p w14:paraId="1C8E68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1100 </w:t>
            </w:r>
          </w:p>
        </w:tc>
        <w:tc>
          <w:tcPr>
            <w:tcW w:w="691" w:type="dxa"/>
          </w:tcPr>
          <w:p w14:paraId="1E46D8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350 </w:t>
            </w:r>
          </w:p>
        </w:tc>
        <w:tc>
          <w:tcPr>
            <w:tcW w:w="614" w:type="dxa"/>
          </w:tcPr>
          <w:p w14:paraId="1EE6FE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275 </w:t>
            </w:r>
          </w:p>
        </w:tc>
        <w:tc>
          <w:tcPr>
            <w:tcW w:w="595" w:type="dxa"/>
          </w:tcPr>
          <w:p w14:paraId="1EC67C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586" w:type="dxa"/>
          </w:tcPr>
          <w:p w14:paraId="3F9AD3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275 </w:t>
            </w:r>
          </w:p>
        </w:tc>
        <w:tc>
          <w:tcPr>
            <w:tcW w:w="1027" w:type="dxa"/>
          </w:tcPr>
          <w:p w14:paraId="31A2BE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r>
      <w:tr w:rsidR="00983732" w:rsidRPr="00A3026E" w14:paraId="1C1F7A02" w14:textId="77777777" w:rsidTr="00EA0DA7">
        <w:trPr>
          <w:trHeight w:val="20"/>
        </w:trPr>
        <w:tc>
          <w:tcPr>
            <w:tcW w:w="797" w:type="dxa"/>
          </w:tcPr>
          <w:p w14:paraId="7BADD2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 </w:t>
            </w:r>
          </w:p>
        </w:tc>
        <w:tc>
          <w:tcPr>
            <w:tcW w:w="2141" w:type="dxa"/>
          </w:tcPr>
          <w:p w14:paraId="567826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М-62 ИР </w:t>
            </w:r>
          </w:p>
        </w:tc>
        <w:tc>
          <w:tcPr>
            <w:tcW w:w="950" w:type="dxa"/>
          </w:tcPr>
          <w:p w14:paraId="5A7ABB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800 </w:t>
            </w:r>
          </w:p>
        </w:tc>
        <w:tc>
          <w:tcPr>
            <w:tcW w:w="691" w:type="dxa"/>
          </w:tcPr>
          <w:p w14:paraId="316C70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170 </w:t>
            </w:r>
          </w:p>
        </w:tc>
        <w:tc>
          <w:tcPr>
            <w:tcW w:w="614" w:type="dxa"/>
          </w:tcPr>
          <w:p w14:paraId="28281B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595" w:type="dxa"/>
          </w:tcPr>
          <w:p w14:paraId="25AA9A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230 </w:t>
            </w:r>
          </w:p>
        </w:tc>
        <w:tc>
          <w:tcPr>
            <w:tcW w:w="586" w:type="dxa"/>
          </w:tcPr>
          <w:p w14:paraId="1D0847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1027" w:type="dxa"/>
          </w:tcPr>
          <w:p w14:paraId="619E97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r>
      <w:tr w:rsidR="00983732" w:rsidRPr="00A3026E" w14:paraId="463AEEB4" w14:textId="77777777" w:rsidTr="00EA0DA7">
        <w:trPr>
          <w:trHeight w:val="20"/>
        </w:trPr>
        <w:tc>
          <w:tcPr>
            <w:tcW w:w="797" w:type="dxa"/>
          </w:tcPr>
          <w:p w14:paraId="7E985D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 </w:t>
            </w:r>
          </w:p>
        </w:tc>
        <w:tc>
          <w:tcPr>
            <w:tcW w:w="2141" w:type="dxa"/>
          </w:tcPr>
          <w:p w14:paraId="363733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М-25В </w:t>
            </w:r>
          </w:p>
        </w:tc>
        <w:tc>
          <w:tcPr>
            <w:tcW w:w="950" w:type="dxa"/>
          </w:tcPr>
          <w:p w14:paraId="7ECB75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1600 </w:t>
            </w:r>
          </w:p>
        </w:tc>
        <w:tc>
          <w:tcPr>
            <w:tcW w:w="691" w:type="dxa"/>
          </w:tcPr>
          <w:p w14:paraId="5E77C3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700 </w:t>
            </w:r>
          </w:p>
        </w:tc>
        <w:tc>
          <w:tcPr>
            <w:tcW w:w="614" w:type="dxa"/>
          </w:tcPr>
          <w:p w14:paraId="33A2BD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500 </w:t>
            </w:r>
          </w:p>
        </w:tc>
        <w:tc>
          <w:tcPr>
            <w:tcW w:w="595" w:type="dxa"/>
          </w:tcPr>
          <w:p w14:paraId="055434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 </w:t>
            </w:r>
          </w:p>
        </w:tc>
        <w:tc>
          <w:tcPr>
            <w:tcW w:w="586" w:type="dxa"/>
          </w:tcPr>
          <w:p w14:paraId="0A6FD0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c>
          <w:tcPr>
            <w:tcW w:w="1027" w:type="dxa"/>
          </w:tcPr>
          <w:p w14:paraId="7EACCC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r>
      <w:tr w:rsidR="00983732" w:rsidRPr="00A3026E" w14:paraId="4CE83864" w14:textId="77777777" w:rsidTr="00EA0DA7">
        <w:trPr>
          <w:trHeight w:val="20"/>
        </w:trPr>
        <w:tc>
          <w:tcPr>
            <w:tcW w:w="797" w:type="dxa"/>
          </w:tcPr>
          <w:p w14:paraId="5DE45B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 </w:t>
            </w:r>
          </w:p>
        </w:tc>
        <w:tc>
          <w:tcPr>
            <w:tcW w:w="2141" w:type="dxa"/>
          </w:tcPr>
          <w:p w14:paraId="1CA30E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АМ-35А </w:t>
            </w:r>
          </w:p>
        </w:tc>
        <w:tc>
          <w:tcPr>
            <w:tcW w:w="950" w:type="dxa"/>
          </w:tcPr>
          <w:p w14:paraId="365E30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6800 </w:t>
            </w:r>
          </w:p>
        </w:tc>
        <w:tc>
          <w:tcPr>
            <w:tcW w:w="691" w:type="dxa"/>
          </w:tcPr>
          <w:p w14:paraId="566774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1050 </w:t>
            </w:r>
          </w:p>
        </w:tc>
        <w:tc>
          <w:tcPr>
            <w:tcW w:w="614" w:type="dxa"/>
          </w:tcPr>
          <w:p w14:paraId="59DB78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1500 </w:t>
            </w:r>
          </w:p>
        </w:tc>
        <w:tc>
          <w:tcPr>
            <w:tcW w:w="595" w:type="dxa"/>
          </w:tcPr>
          <w:p w14:paraId="53A5E5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2000 </w:t>
            </w:r>
          </w:p>
        </w:tc>
        <w:tc>
          <w:tcPr>
            <w:tcW w:w="586" w:type="dxa"/>
          </w:tcPr>
          <w:p w14:paraId="1E5F45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2250 </w:t>
            </w:r>
          </w:p>
        </w:tc>
        <w:tc>
          <w:tcPr>
            <w:tcW w:w="1027" w:type="dxa"/>
          </w:tcPr>
          <w:p w14:paraId="47F2E9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2500 </w:t>
            </w:r>
          </w:p>
        </w:tc>
      </w:tr>
      <w:tr w:rsidR="00983732" w:rsidRPr="00A3026E" w14:paraId="648E3717" w14:textId="77777777" w:rsidTr="00EA0DA7">
        <w:trPr>
          <w:trHeight w:val="20"/>
        </w:trPr>
        <w:tc>
          <w:tcPr>
            <w:tcW w:w="797" w:type="dxa"/>
          </w:tcPr>
          <w:p w14:paraId="03C834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2141" w:type="dxa"/>
          </w:tcPr>
          <w:p w14:paraId="328E8E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ГАМ-34 ВС</w:t>
            </w:r>
          </w:p>
        </w:tc>
        <w:tc>
          <w:tcPr>
            <w:tcW w:w="950" w:type="dxa"/>
          </w:tcPr>
          <w:p w14:paraId="21FFE0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691" w:type="dxa"/>
          </w:tcPr>
          <w:p w14:paraId="7056BB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614" w:type="dxa"/>
          </w:tcPr>
          <w:p w14:paraId="4A5B20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595" w:type="dxa"/>
          </w:tcPr>
          <w:p w14:paraId="24F7F8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586" w:type="dxa"/>
          </w:tcPr>
          <w:p w14:paraId="57F987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027" w:type="dxa"/>
          </w:tcPr>
          <w:p w14:paraId="1ABD20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7422AC4" w14:textId="77777777" w:rsidTr="00EA0DA7">
        <w:trPr>
          <w:trHeight w:val="20"/>
        </w:trPr>
        <w:tc>
          <w:tcPr>
            <w:tcW w:w="797" w:type="dxa"/>
          </w:tcPr>
          <w:p w14:paraId="3EE461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2141" w:type="dxa"/>
          </w:tcPr>
          <w:p w14:paraId="5A8B6C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c>
          <w:tcPr>
            <w:tcW w:w="950" w:type="dxa"/>
          </w:tcPr>
          <w:p w14:paraId="31D99E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10500</w:t>
            </w:r>
          </w:p>
        </w:tc>
        <w:tc>
          <w:tcPr>
            <w:tcW w:w="691" w:type="dxa"/>
          </w:tcPr>
          <w:p w14:paraId="049737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2100</w:t>
            </w:r>
          </w:p>
        </w:tc>
        <w:tc>
          <w:tcPr>
            <w:tcW w:w="614" w:type="dxa"/>
          </w:tcPr>
          <w:p w14:paraId="38430B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c>
          <w:tcPr>
            <w:tcW w:w="595" w:type="dxa"/>
          </w:tcPr>
          <w:p w14:paraId="7F2BA0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2800</w:t>
            </w:r>
          </w:p>
        </w:tc>
        <w:tc>
          <w:tcPr>
            <w:tcW w:w="586" w:type="dxa"/>
          </w:tcPr>
          <w:p w14:paraId="47CBD3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3100</w:t>
            </w:r>
          </w:p>
        </w:tc>
        <w:tc>
          <w:tcPr>
            <w:tcW w:w="1027" w:type="dxa"/>
          </w:tcPr>
          <w:p w14:paraId="716EEB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3200</w:t>
            </w:r>
          </w:p>
        </w:tc>
      </w:tr>
      <w:tr w:rsidR="00983732" w:rsidRPr="00A3026E" w14:paraId="3E2D52AC" w14:textId="77777777" w:rsidTr="00EA0DA7">
        <w:trPr>
          <w:trHeight w:val="20"/>
        </w:trPr>
        <w:tc>
          <w:tcPr>
            <w:tcW w:w="797" w:type="dxa"/>
          </w:tcPr>
          <w:p w14:paraId="506F8B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2141" w:type="dxa"/>
          </w:tcPr>
          <w:p w14:paraId="623D0A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т.ч. М-105П</w:t>
            </w:r>
          </w:p>
        </w:tc>
        <w:tc>
          <w:tcPr>
            <w:tcW w:w="950" w:type="dxa"/>
          </w:tcPr>
          <w:p w14:paraId="5AD19F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691" w:type="dxa"/>
          </w:tcPr>
          <w:p w14:paraId="36EFE6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614" w:type="dxa"/>
          </w:tcPr>
          <w:p w14:paraId="2C6EE7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595" w:type="dxa"/>
          </w:tcPr>
          <w:p w14:paraId="35AF65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w:t>
            </w:r>
          </w:p>
        </w:tc>
        <w:tc>
          <w:tcPr>
            <w:tcW w:w="586" w:type="dxa"/>
          </w:tcPr>
          <w:p w14:paraId="24E81D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2400</w:t>
            </w:r>
          </w:p>
        </w:tc>
        <w:tc>
          <w:tcPr>
            <w:tcW w:w="1027" w:type="dxa"/>
          </w:tcPr>
          <w:p w14:paraId="77C791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2900</w:t>
            </w:r>
          </w:p>
        </w:tc>
      </w:tr>
      <w:tr w:rsidR="00983732" w:rsidRPr="00A3026E" w14:paraId="44C2BE8B" w14:textId="77777777" w:rsidTr="00EA0DA7">
        <w:trPr>
          <w:trHeight w:val="20"/>
        </w:trPr>
        <w:tc>
          <w:tcPr>
            <w:tcW w:w="797" w:type="dxa"/>
          </w:tcPr>
          <w:p w14:paraId="6BC977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 </w:t>
            </w:r>
          </w:p>
        </w:tc>
        <w:tc>
          <w:tcPr>
            <w:tcW w:w="2141" w:type="dxa"/>
          </w:tcPr>
          <w:p w14:paraId="2B062C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М-105 </w:t>
            </w:r>
          </w:p>
        </w:tc>
        <w:tc>
          <w:tcPr>
            <w:tcW w:w="950" w:type="dxa"/>
          </w:tcPr>
          <w:p w14:paraId="26E7C3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1000 </w:t>
            </w:r>
          </w:p>
        </w:tc>
        <w:tc>
          <w:tcPr>
            <w:tcW w:w="691" w:type="dxa"/>
          </w:tcPr>
          <w:p w14:paraId="24444B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c>
          <w:tcPr>
            <w:tcW w:w="614" w:type="dxa"/>
          </w:tcPr>
          <w:p w14:paraId="6B0FC3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595" w:type="dxa"/>
          </w:tcPr>
          <w:p w14:paraId="56D203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 </w:t>
            </w:r>
          </w:p>
        </w:tc>
        <w:tc>
          <w:tcPr>
            <w:tcW w:w="586" w:type="dxa"/>
          </w:tcPr>
          <w:p w14:paraId="51D9A4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400 </w:t>
            </w:r>
          </w:p>
        </w:tc>
        <w:tc>
          <w:tcPr>
            <w:tcW w:w="1027" w:type="dxa"/>
          </w:tcPr>
          <w:p w14:paraId="25979F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600 </w:t>
            </w:r>
          </w:p>
        </w:tc>
      </w:tr>
      <w:tr w:rsidR="00983732" w:rsidRPr="00A3026E" w14:paraId="1AB5AAD2" w14:textId="77777777" w:rsidTr="00EA0DA7">
        <w:trPr>
          <w:trHeight w:val="20"/>
        </w:trPr>
        <w:tc>
          <w:tcPr>
            <w:tcW w:w="797" w:type="dxa"/>
          </w:tcPr>
          <w:p w14:paraId="7E14A6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29 </w:t>
            </w:r>
          </w:p>
        </w:tc>
        <w:tc>
          <w:tcPr>
            <w:tcW w:w="2141" w:type="dxa"/>
          </w:tcPr>
          <w:p w14:paraId="794910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М-88 </w:t>
            </w:r>
          </w:p>
        </w:tc>
        <w:tc>
          <w:tcPr>
            <w:tcW w:w="950" w:type="dxa"/>
          </w:tcPr>
          <w:p w14:paraId="030DF0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4000 </w:t>
            </w:r>
          </w:p>
        </w:tc>
        <w:tc>
          <w:tcPr>
            <w:tcW w:w="691" w:type="dxa"/>
          </w:tcPr>
          <w:p w14:paraId="48CF7C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1150 </w:t>
            </w:r>
          </w:p>
        </w:tc>
        <w:tc>
          <w:tcPr>
            <w:tcW w:w="614" w:type="dxa"/>
          </w:tcPr>
          <w:p w14:paraId="5AD978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1050 </w:t>
            </w:r>
          </w:p>
        </w:tc>
        <w:tc>
          <w:tcPr>
            <w:tcW w:w="595" w:type="dxa"/>
          </w:tcPr>
          <w:p w14:paraId="63E30D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950 </w:t>
            </w:r>
          </w:p>
        </w:tc>
        <w:tc>
          <w:tcPr>
            <w:tcW w:w="586" w:type="dxa"/>
          </w:tcPr>
          <w:p w14:paraId="1896C8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850 </w:t>
            </w:r>
          </w:p>
        </w:tc>
        <w:tc>
          <w:tcPr>
            <w:tcW w:w="1027" w:type="dxa"/>
          </w:tcPr>
          <w:p w14:paraId="6B8CFC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750 </w:t>
            </w:r>
          </w:p>
        </w:tc>
      </w:tr>
      <w:tr w:rsidR="00983732" w:rsidRPr="00A3026E" w14:paraId="03EF8289" w14:textId="77777777" w:rsidTr="00EA0DA7">
        <w:trPr>
          <w:trHeight w:val="20"/>
        </w:trPr>
        <w:tc>
          <w:tcPr>
            <w:tcW w:w="797" w:type="dxa"/>
          </w:tcPr>
          <w:p w14:paraId="4666FB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29 </w:t>
            </w:r>
          </w:p>
        </w:tc>
        <w:tc>
          <w:tcPr>
            <w:tcW w:w="2141" w:type="dxa"/>
          </w:tcPr>
          <w:p w14:paraId="77BBF2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М-89 </w:t>
            </w:r>
          </w:p>
        </w:tc>
        <w:tc>
          <w:tcPr>
            <w:tcW w:w="950" w:type="dxa"/>
          </w:tcPr>
          <w:p w14:paraId="006090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1000 </w:t>
            </w:r>
          </w:p>
        </w:tc>
        <w:tc>
          <w:tcPr>
            <w:tcW w:w="691" w:type="dxa"/>
          </w:tcPr>
          <w:p w14:paraId="138CC4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614" w:type="dxa"/>
          </w:tcPr>
          <w:p w14:paraId="1A5EE7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 </w:t>
            </w:r>
          </w:p>
        </w:tc>
        <w:tc>
          <w:tcPr>
            <w:tcW w:w="595" w:type="dxa"/>
          </w:tcPr>
          <w:p w14:paraId="45DB01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350 </w:t>
            </w:r>
          </w:p>
        </w:tc>
        <w:tc>
          <w:tcPr>
            <w:tcW w:w="586" w:type="dxa"/>
          </w:tcPr>
          <w:p w14:paraId="7DC49B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500 </w:t>
            </w:r>
          </w:p>
        </w:tc>
        <w:tc>
          <w:tcPr>
            <w:tcW w:w="1027" w:type="dxa"/>
          </w:tcPr>
          <w:p w14:paraId="7A860E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750 </w:t>
            </w:r>
          </w:p>
        </w:tc>
      </w:tr>
      <w:tr w:rsidR="00983732" w:rsidRPr="00A3026E" w14:paraId="381358F9" w14:textId="77777777" w:rsidTr="00EA0DA7">
        <w:trPr>
          <w:trHeight w:val="20"/>
        </w:trPr>
        <w:tc>
          <w:tcPr>
            <w:tcW w:w="797" w:type="dxa"/>
          </w:tcPr>
          <w:p w14:paraId="166F85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82 </w:t>
            </w:r>
          </w:p>
        </w:tc>
        <w:tc>
          <w:tcPr>
            <w:tcW w:w="2141" w:type="dxa"/>
          </w:tcPr>
          <w:p w14:paraId="4F6467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М-30 </w:t>
            </w:r>
          </w:p>
        </w:tc>
        <w:tc>
          <w:tcPr>
            <w:tcW w:w="950" w:type="dxa"/>
          </w:tcPr>
          <w:p w14:paraId="59DE4A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350 </w:t>
            </w:r>
          </w:p>
        </w:tc>
        <w:tc>
          <w:tcPr>
            <w:tcW w:w="691" w:type="dxa"/>
          </w:tcPr>
          <w:p w14:paraId="3FDD0A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614" w:type="dxa"/>
          </w:tcPr>
          <w:p w14:paraId="1DD6C6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 </w:t>
            </w:r>
          </w:p>
        </w:tc>
        <w:tc>
          <w:tcPr>
            <w:tcW w:w="595" w:type="dxa"/>
          </w:tcPr>
          <w:p w14:paraId="538CBD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120 </w:t>
            </w:r>
          </w:p>
        </w:tc>
        <w:tc>
          <w:tcPr>
            <w:tcW w:w="586" w:type="dxa"/>
          </w:tcPr>
          <w:p w14:paraId="595F4D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180 </w:t>
            </w:r>
          </w:p>
        </w:tc>
        <w:tc>
          <w:tcPr>
            <w:tcW w:w="1027" w:type="dxa"/>
          </w:tcPr>
          <w:p w14:paraId="381C7D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225 </w:t>
            </w:r>
          </w:p>
        </w:tc>
      </w:tr>
      <w:tr w:rsidR="00983732" w:rsidRPr="00A3026E" w14:paraId="0446F501" w14:textId="77777777" w:rsidTr="00EA0DA7">
        <w:trPr>
          <w:trHeight w:val="20"/>
        </w:trPr>
        <w:tc>
          <w:tcPr>
            <w:tcW w:w="797" w:type="dxa"/>
          </w:tcPr>
          <w:p w14:paraId="59491C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234 </w:t>
            </w:r>
          </w:p>
        </w:tc>
        <w:tc>
          <w:tcPr>
            <w:tcW w:w="2141" w:type="dxa"/>
          </w:tcPr>
          <w:p w14:paraId="64C6FA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М-105 </w:t>
            </w:r>
          </w:p>
        </w:tc>
        <w:tc>
          <w:tcPr>
            <w:tcW w:w="950" w:type="dxa"/>
          </w:tcPr>
          <w:p w14:paraId="407241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2000 </w:t>
            </w:r>
          </w:p>
        </w:tc>
        <w:tc>
          <w:tcPr>
            <w:tcW w:w="691" w:type="dxa"/>
          </w:tcPr>
          <w:p w14:paraId="7A4C46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150 </w:t>
            </w:r>
          </w:p>
        </w:tc>
        <w:tc>
          <w:tcPr>
            <w:tcW w:w="614" w:type="dxa"/>
          </w:tcPr>
          <w:p w14:paraId="5B300F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350 </w:t>
            </w:r>
          </w:p>
        </w:tc>
        <w:tc>
          <w:tcPr>
            <w:tcW w:w="595" w:type="dxa"/>
          </w:tcPr>
          <w:p w14:paraId="5DC0D4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600 </w:t>
            </w:r>
          </w:p>
        </w:tc>
        <w:tc>
          <w:tcPr>
            <w:tcW w:w="586" w:type="dxa"/>
          </w:tcPr>
          <w:p w14:paraId="4996D4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900 </w:t>
            </w:r>
          </w:p>
        </w:tc>
        <w:tc>
          <w:tcPr>
            <w:tcW w:w="1027" w:type="dxa"/>
          </w:tcPr>
          <w:p w14:paraId="3A7061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1200 </w:t>
            </w:r>
          </w:p>
        </w:tc>
      </w:tr>
      <w:tr w:rsidR="00983732" w:rsidRPr="00A3026E" w14:paraId="0AA83508" w14:textId="77777777" w:rsidTr="00EA0DA7">
        <w:trPr>
          <w:trHeight w:val="20"/>
        </w:trPr>
        <w:tc>
          <w:tcPr>
            <w:tcW w:w="797" w:type="dxa"/>
            <w:tcBorders>
              <w:bottom w:val="single" w:sz="12" w:space="0" w:color="auto"/>
            </w:tcBorders>
          </w:tcPr>
          <w:p w14:paraId="3131E8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384</w:t>
            </w:r>
          </w:p>
        </w:tc>
        <w:tc>
          <w:tcPr>
            <w:tcW w:w="2141" w:type="dxa"/>
            <w:tcBorders>
              <w:bottom w:val="single" w:sz="12" w:space="0" w:color="auto"/>
            </w:tcBorders>
          </w:tcPr>
          <w:p w14:paraId="62AAA4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М-105 </w:t>
            </w:r>
          </w:p>
        </w:tc>
        <w:tc>
          <w:tcPr>
            <w:tcW w:w="950" w:type="dxa"/>
            <w:tcBorders>
              <w:bottom w:val="single" w:sz="12" w:space="0" w:color="auto"/>
            </w:tcBorders>
          </w:tcPr>
          <w:p w14:paraId="47758F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1000 </w:t>
            </w:r>
          </w:p>
        </w:tc>
        <w:tc>
          <w:tcPr>
            <w:tcW w:w="691" w:type="dxa"/>
            <w:tcBorders>
              <w:bottom w:val="single" w:sz="12" w:space="0" w:color="auto"/>
            </w:tcBorders>
          </w:tcPr>
          <w:p w14:paraId="03FBDE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w:t>
            </w:r>
          </w:p>
        </w:tc>
        <w:tc>
          <w:tcPr>
            <w:tcW w:w="614" w:type="dxa"/>
            <w:tcBorders>
              <w:bottom w:val="single" w:sz="12" w:space="0" w:color="auto"/>
            </w:tcBorders>
          </w:tcPr>
          <w:p w14:paraId="708BE7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595" w:type="dxa"/>
            <w:tcBorders>
              <w:bottom w:val="single" w:sz="12" w:space="0" w:color="auto"/>
            </w:tcBorders>
          </w:tcPr>
          <w:p w14:paraId="42427D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 </w:t>
            </w:r>
          </w:p>
        </w:tc>
        <w:tc>
          <w:tcPr>
            <w:tcW w:w="586" w:type="dxa"/>
            <w:tcBorders>
              <w:bottom w:val="single" w:sz="12" w:space="0" w:color="auto"/>
            </w:tcBorders>
          </w:tcPr>
          <w:p w14:paraId="0BCA33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400 </w:t>
            </w:r>
          </w:p>
        </w:tc>
        <w:tc>
          <w:tcPr>
            <w:tcW w:w="1027" w:type="dxa"/>
            <w:tcBorders>
              <w:bottom w:val="single" w:sz="12" w:space="0" w:color="auto"/>
            </w:tcBorders>
          </w:tcPr>
          <w:p w14:paraId="671ACF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600 </w:t>
            </w:r>
          </w:p>
        </w:tc>
      </w:tr>
    </w:tbl>
    <w:p w14:paraId="72073D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Обязать НКАП выпускать моторы М-105 и М-105П со сроком службы 150 час. с 15 марта 1941 г. и АМ-35А со сроком службы 150 час. с 15 мая 1941 г. и моторы М-88 со сроком службы 150 час. с 1 марта 1941</w:t>
      </w:r>
    </w:p>
    <w:p w14:paraId="1AD465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На программу выпуска самолетов в 1941 году в обеспечение потребности ВВС КА, установить НКАП следующую программу выпуска винтов: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41"/>
        <w:gridCol w:w="950"/>
        <w:gridCol w:w="691"/>
        <w:gridCol w:w="614"/>
        <w:gridCol w:w="595"/>
        <w:gridCol w:w="586"/>
      </w:tblGrid>
      <w:tr w:rsidR="00983732" w:rsidRPr="00A3026E" w14:paraId="57735225" w14:textId="77777777" w:rsidTr="00EA0DA7">
        <w:trPr>
          <w:trHeight w:val="20"/>
        </w:trPr>
        <w:tc>
          <w:tcPr>
            <w:tcW w:w="2141" w:type="dxa"/>
            <w:tcBorders>
              <w:top w:val="single" w:sz="12" w:space="0" w:color="auto"/>
            </w:tcBorders>
          </w:tcPr>
          <w:p w14:paraId="6154AC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Тип самолета </w:t>
            </w:r>
          </w:p>
        </w:tc>
        <w:tc>
          <w:tcPr>
            <w:tcW w:w="950" w:type="dxa"/>
            <w:tcBorders>
              <w:top w:val="single" w:sz="12" w:space="0" w:color="auto"/>
            </w:tcBorders>
          </w:tcPr>
          <w:p w14:paraId="08677C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в 1941 г. </w:t>
            </w:r>
          </w:p>
        </w:tc>
        <w:tc>
          <w:tcPr>
            <w:tcW w:w="2486" w:type="dxa"/>
            <w:gridSpan w:val="4"/>
            <w:tcBorders>
              <w:top w:val="single" w:sz="12" w:space="0" w:color="auto"/>
            </w:tcBorders>
          </w:tcPr>
          <w:p w14:paraId="05242A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том числе </w:t>
            </w:r>
          </w:p>
        </w:tc>
      </w:tr>
      <w:tr w:rsidR="00983732" w:rsidRPr="00A3026E" w14:paraId="1687D7C1" w14:textId="77777777" w:rsidTr="00EA0DA7">
        <w:trPr>
          <w:trHeight w:val="20"/>
        </w:trPr>
        <w:tc>
          <w:tcPr>
            <w:tcW w:w="2141" w:type="dxa"/>
          </w:tcPr>
          <w:p w14:paraId="7E23460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0" w:type="dxa"/>
          </w:tcPr>
          <w:p w14:paraId="2A43878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91" w:type="dxa"/>
          </w:tcPr>
          <w:p w14:paraId="7BB293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 кв. </w:t>
            </w:r>
          </w:p>
        </w:tc>
        <w:tc>
          <w:tcPr>
            <w:tcW w:w="614" w:type="dxa"/>
          </w:tcPr>
          <w:p w14:paraId="0CCA65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 кв. </w:t>
            </w:r>
          </w:p>
        </w:tc>
        <w:tc>
          <w:tcPr>
            <w:tcW w:w="595" w:type="dxa"/>
          </w:tcPr>
          <w:p w14:paraId="4BA074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Ш кв. </w:t>
            </w:r>
          </w:p>
        </w:tc>
        <w:tc>
          <w:tcPr>
            <w:tcW w:w="586" w:type="dxa"/>
          </w:tcPr>
          <w:p w14:paraId="65A56E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1У кв. </w:t>
            </w:r>
          </w:p>
        </w:tc>
      </w:tr>
      <w:tr w:rsidR="00983732" w:rsidRPr="00A3026E" w14:paraId="541A71EB" w14:textId="77777777" w:rsidTr="00EA0DA7">
        <w:trPr>
          <w:trHeight w:val="20"/>
        </w:trPr>
        <w:tc>
          <w:tcPr>
            <w:tcW w:w="2141" w:type="dxa"/>
          </w:tcPr>
          <w:p w14:paraId="746CC5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винтов</w:t>
            </w:r>
          </w:p>
        </w:tc>
        <w:tc>
          <w:tcPr>
            <w:tcW w:w="950" w:type="dxa"/>
          </w:tcPr>
          <w:p w14:paraId="0BD452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30875</w:t>
            </w:r>
          </w:p>
        </w:tc>
        <w:tc>
          <w:tcPr>
            <w:tcW w:w="691" w:type="dxa"/>
          </w:tcPr>
          <w:p w14:paraId="6B65DB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6130 </w:t>
            </w:r>
          </w:p>
        </w:tc>
        <w:tc>
          <w:tcPr>
            <w:tcW w:w="614" w:type="dxa"/>
          </w:tcPr>
          <w:p w14:paraId="3D92E5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7035</w:t>
            </w:r>
          </w:p>
        </w:tc>
        <w:tc>
          <w:tcPr>
            <w:tcW w:w="595" w:type="dxa"/>
          </w:tcPr>
          <w:p w14:paraId="47686E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8190</w:t>
            </w:r>
          </w:p>
        </w:tc>
        <w:tc>
          <w:tcPr>
            <w:tcW w:w="586" w:type="dxa"/>
          </w:tcPr>
          <w:p w14:paraId="0C5280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9520</w:t>
            </w:r>
          </w:p>
        </w:tc>
      </w:tr>
      <w:tr w:rsidR="00983732" w:rsidRPr="00A3026E" w14:paraId="45366D81" w14:textId="77777777" w:rsidTr="00EA0DA7">
        <w:trPr>
          <w:trHeight w:val="20"/>
        </w:trPr>
        <w:tc>
          <w:tcPr>
            <w:tcW w:w="2141" w:type="dxa"/>
          </w:tcPr>
          <w:p w14:paraId="159136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ВИШ-61 для И-26, И-301, ПБ-100, УТИ-26</w:t>
            </w:r>
          </w:p>
        </w:tc>
        <w:tc>
          <w:tcPr>
            <w:tcW w:w="950" w:type="dxa"/>
          </w:tcPr>
          <w:p w14:paraId="7EDB85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10800</w:t>
            </w:r>
          </w:p>
        </w:tc>
        <w:tc>
          <w:tcPr>
            <w:tcW w:w="691" w:type="dxa"/>
          </w:tcPr>
          <w:p w14:paraId="46A7EA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614" w:type="dxa"/>
          </w:tcPr>
          <w:p w14:paraId="32CF93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595" w:type="dxa"/>
          </w:tcPr>
          <w:p w14:paraId="60697F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586" w:type="dxa"/>
          </w:tcPr>
          <w:p w14:paraId="4A5F4D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3800</w:t>
            </w:r>
          </w:p>
        </w:tc>
      </w:tr>
      <w:tr w:rsidR="00983732" w:rsidRPr="00A3026E" w14:paraId="42CBE428" w14:textId="77777777" w:rsidTr="00EA0DA7">
        <w:trPr>
          <w:trHeight w:val="20"/>
        </w:trPr>
        <w:tc>
          <w:tcPr>
            <w:tcW w:w="2141" w:type="dxa"/>
          </w:tcPr>
          <w:p w14:paraId="5413D4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ВИШ-22Е для ДБ-240, БШ, СБ-РК, ББ-22, И-300</w:t>
            </w:r>
          </w:p>
        </w:tc>
        <w:tc>
          <w:tcPr>
            <w:tcW w:w="950" w:type="dxa"/>
          </w:tcPr>
          <w:p w14:paraId="17DAFF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13200</w:t>
            </w:r>
          </w:p>
        </w:tc>
        <w:tc>
          <w:tcPr>
            <w:tcW w:w="691" w:type="dxa"/>
          </w:tcPr>
          <w:p w14:paraId="478109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c>
          <w:tcPr>
            <w:tcW w:w="614" w:type="dxa"/>
          </w:tcPr>
          <w:p w14:paraId="3C67E5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3200</w:t>
            </w:r>
          </w:p>
        </w:tc>
        <w:tc>
          <w:tcPr>
            <w:tcW w:w="595" w:type="dxa"/>
          </w:tcPr>
          <w:p w14:paraId="78E7D5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3500</w:t>
            </w:r>
          </w:p>
        </w:tc>
        <w:tc>
          <w:tcPr>
            <w:tcW w:w="586" w:type="dxa"/>
          </w:tcPr>
          <w:p w14:paraId="70FA06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r>
      <w:tr w:rsidR="00983732" w:rsidRPr="00A3026E" w14:paraId="426330BD" w14:textId="77777777" w:rsidTr="00EA0DA7">
        <w:trPr>
          <w:trHeight w:val="20"/>
        </w:trPr>
        <w:tc>
          <w:tcPr>
            <w:tcW w:w="2141" w:type="dxa"/>
          </w:tcPr>
          <w:p w14:paraId="22FCBD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ВИШ-23 для ББ-1, ДБ-3Ф</w:t>
            </w:r>
          </w:p>
        </w:tc>
        <w:tc>
          <w:tcPr>
            <w:tcW w:w="950" w:type="dxa"/>
          </w:tcPr>
          <w:p w14:paraId="54FCEC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3200</w:t>
            </w:r>
          </w:p>
        </w:tc>
        <w:tc>
          <w:tcPr>
            <w:tcW w:w="691" w:type="dxa"/>
          </w:tcPr>
          <w:p w14:paraId="061155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614" w:type="dxa"/>
          </w:tcPr>
          <w:p w14:paraId="620B3F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595" w:type="dxa"/>
          </w:tcPr>
          <w:p w14:paraId="649711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586" w:type="dxa"/>
          </w:tcPr>
          <w:p w14:paraId="1282E3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r>
      <w:tr w:rsidR="00983732" w:rsidRPr="00A3026E" w14:paraId="61E9F8F3" w14:textId="77777777" w:rsidTr="00EA0DA7">
        <w:trPr>
          <w:trHeight w:val="20"/>
        </w:trPr>
        <w:tc>
          <w:tcPr>
            <w:tcW w:w="2141" w:type="dxa"/>
          </w:tcPr>
          <w:p w14:paraId="7251A4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ВИШ-34 для ТБ-7</w:t>
            </w:r>
          </w:p>
        </w:tc>
        <w:tc>
          <w:tcPr>
            <w:tcW w:w="950" w:type="dxa"/>
          </w:tcPr>
          <w:p w14:paraId="4126FE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691" w:type="dxa"/>
          </w:tcPr>
          <w:p w14:paraId="0FEE03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614" w:type="dxa"/>
          </w:tcPr>
          <w:p w14:paraId="390A50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595" w:type="dxa"/>
          </w:tcPr>
          <w:p w14:paraId="5BAEB0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586" w:type="dxa"/>
          </w:tcPr>
          <w:p w14:paraId="57AEA4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r>
      <w:tr w:rsidR="00983732" w:rsidRPr="00A3026E" w14:paraId="7B8D7E50" w14:textId="77777777" w:rsidTr="00EA0DA7">
        <w:trPr>
          <w:trHeight w:val="20"/>
        </w:trPr>
        <w:tc>
          <w:tcPr>
            <w:tcW w:w="2141" w:type="dxa"/>
          </w:tcPr>
          <w:p w14:paraId="680067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ВИШ-21 для ПС-84</w:t>
            </w:r>
          </w:p>
        </w:tc>
        <w:tc>
          <w:tcPr>
            <w:tcW w:w="950" w:type="dxa"/>
          </w:tcPr>
          <w:p w14:paraId="728CC9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w:t>
            </w:r>
          </w:p>
        </w:tc>
        <w:tc>
          <w:tcPr>
            <w:tcW w:w="691" w:type="dxa"/>
          </w:tcPr>
          <w:p w14:paraId="1E097B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c>
          <w:tcPr>
            <w:tcW w:w="614" w:type="dxa"/>
          </w:tcPr>
          <w:p w14:paraId="6CE3C6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c>
          <w:tcPr>
            <w:tcW w:w="595" w:type="dxa"/>
          </w:tcPr>
          <w:p w14:paraId="794E9D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586" w:type="dxa"/>
          </w:tcPr>
          <w:p w14:paraId="580CBB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7C6DD139" w14:textId="77777777" w:rsidTr="00EA0DA7">
        <w:trPr>
          <w:trHeight w:val="20"/>
        </w:trPr>
        <w:tc>
          <w:tcPr>
            <w:tcW w:w="2141" w:type="dxa"/>
          </w:tcPr>
          <w:p w14:paraId="7E33B0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АВ-1 для И-153, И-16, МДР-6, и запас ВВС</w:t>
            </w:r>
          </w:p>
        </w:tc>
        <w:tc>
          <w:tcPr>
            <w:tcW w:w="950" w:type="dxa"/>
          </w:tcPr>
          <w:p w14:paraId="201699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691" w:type="dxa"/>
          </w:tcPr>
          <w:p w14:paraId="1E0079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614" w:type="dxa"/>
          </w:tcPr>
          <w:p w14:paraId="13501D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595" w:type="dxa"/>
          </w:tcPr>
          <w:p w14:paraId="039802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586" w:type="dxa"/>
          </w:tcPr>
          <w:p w14:paraId="7995A1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r>
      <w:tr w:rsidR="00983732" w:rsidRPr="00A3026E" w14:paraId="448F4705" w14:textId="77777777" w:rsidTr="00EA0DA7">
        <w:trPr>
          <w:trHeight w:val="20"/>
        </w:trPr>
        <w:tc>
          <w:tcPr>
            <w:tcW w:w="2141" w:type="dxa"/>
          </w:tcPr>
          <w:p w14:paraId="1C0073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В-25 для УТИ-4</w:t>
            </w:r>
          </w:p>
        </w:tc>
        <w:tc>
          <w:tcPr>
            <w:tcW w:w="950" w:type="dxa"/>
          </w:tcPr>
          <w:p w14:paraId="584CFF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w:t>
            </w:r>
          </w:p>
        </w:tc>
        <w:tc>
          <w:tcPr>
            <w:tcW w:w="691" w:type="dxa"/>
          </w:tcPr>
          <w:p w14:paraId="1CF91E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614" w:type="dxa"/>
          </w:tcPr>
          <w:p w14:paraId="1C1AF8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595" w:type="dxa"/>
          </w:tcPr>
          <w:p w14:paraId="51AB6B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586" w:type="dxa"/>
          </w:tcPr>
          <w:p w14:paraId="384831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19C6F335" w14:textId="77777777" w:rsidTr="00EA0DA7">
        <w:trPr>
          <w:trHeight w:val="20"/>
        </w:trPr>
        <w:tc>
          <w:tcPr>
            <w:tcW w:w="2141" w:type="dxa"/>
          </w:tcPr>
          <w:p w14:paraId="47A46F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ВЭМ-63 для И-16, И-153, МДР-6</w:t>
            </w:r>
          </w:p>
        </w:tc>
        <w:tc>
          <w:tcPr>
            <w:tcW w:w="950" w:type="dxa"/>
          </w:tcPr>
          <w:p w14:paraId="0A59FF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691" w:type="dxa"/>
          </w:tcPr>
          <w:p w14:paraId="39B800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614" w:type="dxa"/>
          </w:tcPr>
          <w:p w14:paraId="630430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Pr>
          <w:p w14:paraId="32C4E7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86" w:type="dxa"/>
          </w:tcPr>
          <w:p w14:paraId="46FAAC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715E63C" w14:textId="77777777" w:rsidTr="00EA0DA7">
        <w:trPr>
          <w:trHeight w:val="20"/>
        </w:trPr>
        <w:tc>
          <w:tcPr>
            <w:tcW w:w="2141" w:type="dxa"/>
            <w:tcBorders>
              <w:bottom w:val="single" w:sz="12" w:space="0" w:color="auto"/>
            </w:tcBorders>
          </w:tcPr>
          <w:p w14:paraId="006CE5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ВЭМ-107 для И-200, И-26</w:t>
            </w:r>
          </w:p>
        </w:tc>
        <w:tc>
          <w:tcPr>
            <w:tcW w:w="950" w:type="dxa"/>
            <w:tcBorders>
              <w:bottom w:val="single" w:sz="12" w:space="0" w:color="auto"/>
            </w:tcBorders>
          </w:tcPr>
          <w:p w14:paraId="6CBEE0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691" w:type="dxa"/>
            <w:tcBorders>
              <w:bottom w:val="single" w:sz="12" w:space="0" w:color="auto"/>
            </w:tcBorders>
          </w:tcPr>
          <w:p w14:paraId="71B9D8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614" w:type="dxa"/>
            <w:tcBorders>
              <w:bottom w:val="single" w:sz="12" w:space="0" w:color="auto"/>
            </w:tcBorders>
          </w:tcPr>
          <w:p w14:paraId="01A4DA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Borders>
              <w:bottom w:val="single" w:sz="12" w:space="0" w:color="auto"/>
            </w:tcBorders>
          </w:tcPr>
          <w:p w14:paraId="2C52E4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86" w:type="dxa"/>
            <w:tcBorders>
              <w:bottom w:val="single" w:sz="12" w:space="0" w:color="auto"/>
            </w:tcBorders>
          </w:tcPr>
          <w:p w14:paraId="0305F8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3E2E50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Программу выпуска винтов по заводам НКАП установить в следующих количествах: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97"/>
        <w:gridCol w:w="2141"/>
        <w:gridCol w:w="950"/>
        <w:gridCol w:w="691"/>
        <w:gridCol w:w="614"/>
        <w:gridCol w:w="595"/>
        <w:gridCol w:w="586"/>
      </w:tblGrid>
      <w:tr w:rsidR="00983732" w:rsidRPr="00A3026E" w14:paraId="2F20588D" w14:textId="77777777" w:rsidTr="00EA0DA7">
        <w:trPr>
          <w:trHeight w:val="20"/>
        </w:trPr>
        <w:tc>
          <w:tcPr>
            <w:tcW w:w="797" w:type="dxa"/>
            <w:tcBorders>
              <w:top w:val="single" w:sz="12" w:space="0" w:color="auto"/>
            </w:tcBorders>
          </w:tcPr>
          <w:p w14:paraId="11E05A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з-дов </w:t>
            </w:r>
          </w:p>
        </w:tc>
        <w:tc>
          <w:tcPr>
            <w:tcW w:w="2141" w:type="dxa"/>
            <w:tcBorders>
              <w:top w:val="single" w:sz="12" w:space="0" w:color="auto"/>
            </w:tcBorders>
          </w:tcPr>
          <w:p w14:paraId="670760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Тип самолета </w:t>
            </w:r>
          </w:p>
        </w:tc>
        <w:tc>
          <w:tcPr>
            <w:tcW w:w="950" w:type="dxa"/>
            <w:tcBorders>
              <w:top w:val="single" w:sz="12" w:space="0" w:color="auto"/>
            </w:tcBorders>
          </w:tcPr>
          <w:p w14:paraId="210C2C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в 1941 г. </w:t>
            </w:r>
          </w:p>
        </w:tc>
        <w:tc>
          <w:tcPr>
            <w:tcW w:w="2486" w:type="dxa"/>
            <w:gridSpan w:val="4"/>
            <w:tcBorders>
              <w:top w:val="single" w:sz="12" w:space="0" w:color="auto"/>
            </w:tcBorders>
          </w:tcPr>
          <w:p w14:paraId="6B0162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том числе </w:t>
            </w:r>
          </w:p>
        </w:tc>
      </w:tr>
      <w:tr w:rsidR="00983732" w:rsidRPr="00A3026E" w14:paraId="032E1A07" w14:textId="77777777" w:rsidTr="00EA0DA7">
        <w:trPr>
          <w:trHeight w:val="20"/>
        </w:trPr>
        <w:tc>
          <w:tcPr>
            <w:tcW w:w="797" w:type="dxa"/>
          </w:tcPr>
          <w:p w14:paraId="06F1EAF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41" w:type="dxa"/>
          </w:tcPr>
          <w:p w14:paraId="09D00C7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0" w:type="dxa"/>
          </w:tcPr>
          <w:p w14:paraId="0D7A884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91" w:type="dxa"/>
          </w:tcPr>
          <w:p w14:paraId="30C9A5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 кв. </w:t>
            </w:r>
          </w:p>
        </w:tc>
        <w:tc>
          <w:tcPr>
            <w:tcW w:w="614" w:type="dxa"/>
          </w:tcPr>
          <w:p w14:paraId="42CC52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 кв. </w:t>
            </w:r>
          </w:p>
        </w:tc>
        <w:tc>
          <w:tcPr>
            <w:tcW w:w="595" w:type="dxa"/>
          </w:tcPr>
          <w:p w14:paraId="339580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Ш кв. </w:t>
            </w:r>
          </w:p>
        </w:tc>
        <w:tc>
          <w:tcPr>
            <w:tcW w:w="586" w:type="dxa"/>
          </w:tcPr>
          <w:p w14:paraId="097FB4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1У кв. </w:t>
            </w:r>
          </w:p>
        </w:tc>
      </w:tr>
      <w:tr w:rsidR="00983732" w:rsidRPr="00A3026E" w14:paraId="542ED4DD" w14:textId="77777777" w:rsidTr="00EA0DA7">
        <w:trPr>
          <w:trHeight w:val="20"/>
        </w:trPr>
        <w:tc>
          <w:tcPr>
            <w:tcW w:w="797" w:type="dxa"/>
          </w:tcPr>
          <w:p w14:paraId="1AA92F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2141" w:type="dxa"/>
          </w:tcPr>
          <w:p w14:paraId="678940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ВИШ-61</w:t>
            </w:r>
          </w:p>
        </w:tc>
        <w:tc>
          <w:tcPr>
            <w:tcW w:w="950" w:type="dxa"/>
          </w:tcPr>
          <w:p w14:paraId="176EB6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3650</w:t>
            </w:r>
          </w:p>
        </w:tc>
        <w:tc>
          <w:tcPr>
            <w:tcW w:w="691" w:type="dxa"/>
          </w:tcPr>
          <w:p w14:paraId="0D654E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614" w:type="dxa"/>
          </w:tcPr>
          <w:p w14:paraId="0288DA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595" w:type="dxa"/>
          </w:tcPr>
          <w:p w14:paraId="5743B5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w:t>
            </w:r>
          </w:p>
        </w:tc>
        <w:tc>
          <w:tcPr>
            <w:tcW w:w="586" w:type="dxa"/>
          </w:tcPr>
          <w:p w14:paraId="5B8D3B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1650</w:t>
            </w:r>
          </w:p>
        </w:tc>
      </w:tr>
      <w:tr w:rsidR="00983732" w:rsidRPr="00A3026E" w14:paraId="370B4728" w14:textId="77777777" w:rsidTr="00EA0DA7">
        <w:trPr>
          <w:trHeight w:val="20"/>
        </w:trPr>
        <w:tc>
          <w:tcPr>
            <w:tcW w:w="797" w:type="dxa"/>
          </w:tcPr>
          <w:p w14:paraId="23A908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26BA53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ВИШ-22Е</w:t>
            </w:r>
          </w:p>
        </w:tc>
        <w:tc>
          <w:tcPr>
            <w:tcW w:w="950" w:type="dxa"/>
          </w:tcPr>
          <w:p w14:paraId="552ECB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11000</w:t>
            </w:r>
          </w:p>
        </w:tc>
        <w:tc>
          <w:tcPr>
            <w:tcW w:w="691" w:type="dxa"/>
          </w:tcPr>
          <w:p w14:paraId="7F4F29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614" w:type="dxa"/>
          </w:tcPr>
          <w:p w14:paraId="1B06AC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3100</w:t>
            </w:r>
          </w:p>
        </w:tc>
        <w:tc>
          <w:tcPr>
            <w:tcW w:w="595" w:type="dxa"/>
          </w:tcPr>
          <w:p w14:paraId="6A0441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3100</w:t>
            </w:r>
          </w:p>
        </w:tc>
        <w:tc>
          <w:tcPr>
            <w:tcW w:w="586" w:type="dxa"/>
          </w:tcPr>
          <w:p w14:paraId="404520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3300</w:t>
            </w:r>
          </w:p>
        </w:tc>
      </w:tr>
      <w:tr w:rsidR="00983732" w:rsidRPr="00A3026E" w14:paraId="0EE05848" w14:textId="77777777" w:rsidTr="00EA0DA7">
        <w:trPr>
          <w:trHeight w:val="20"/>
        </w:trPr>
        <w:tc>
          <w:tcPr>
            <w:tcW w:w="797" w:type="dxa"/>
          </w:tcPr>
          <w:p w14:paraId="46B5A7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41DBDE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ВИШ-23</w:t>
            </w:r>
          </w:p>
        </w:tc>
        <w:tc>
          <w:tcPr>
            <w:tcW w:w="950" w:type="dxa"/>
          </w:tcPr>
          <w:p w14:paraId="2AF70D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3200</w:t>
            </w:r>
          </w:p>
        </w:tc>
        <w:tc>
          <w:tcPr>
            <w:tcW w:w="691" w:type="dxa"/>
          </w:tcPr>
          <w:p w14:paraId="62DC9E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614" w:type="dxa"/>
          </w:tcPr>
          <w:p w14:paraId="44C4D0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595" w:type="dxa"/>
          </w:tcPr>
          <w:p w14:paraId="4D6F4C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586" w:type="dxa"/>
          </w:tcPr>
          <w:p w14:paraId="41CA74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r>
      <w:tr w:rsidR="00983732" w:rsidRPr="00A3026E" w14:paraId="7D0223BD" w14:textId="77777777" w:rsidTr="00EA0DA7">
        <w:trPr>
          <w:trHeight w:val="20"/>
        </w:trPr>
        <w:tc>
          <w:tcPr>
            <w:tcW w:w="797" w:type="dxa"/>
          </w:tcPr>
          <w:p w14:paraId="4FA772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65EE3E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ВИШ-21</w:t>
            </w:r>
          </w:p>
        </w:tc>
        <w:tc>
          <w:tcPr>
            <w:tcW w:w="950" w:type="dxa"/>
          </w:tcPr>
          <w:p w14:paraId="7FD935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w:t>
            </w:r>
          </w:p>
        </w:tc>
        <w:tc>
          <w:tcPr>
            <w:tcW w:w="691" w:type="dxa"/>
          </w:tcPr>
          <w:p w14:paraId="4AD780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c>
          <w:tcPr>
            <w:tcW w:w="614" w:type="dxa"/>
          </w:tcPr>
          <w:p w14:paraId="486065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c>
          <w:tcPr>
            <w:tcW w:w="595" w:type="dxa"/>
          </w:tcPr>
          <w:p w14:paraId="351E08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586" w:type="dxa"/>
          </w:tcPr>
          <w:p w14:paraId="5C31C9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6C0DAC2B" w14:textId="77777777" w:rsidTr="00EA0DA7">
        <w:trPr>
          <w:trHeight w:val="20"/>
        </w:trPr>
        <w:tc>
          <w:tcPr>
            <w:tcW w:w="797" w:type="dxa"/>
          </w:tcPr>
          <w:p w14:paraId="562210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73D2AA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950" w:type="dxa"/>
          </w:tcPr>
          <w:p w14:paraId="73D713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691" w:type="dxa"/>
          </w:tcPr>
          <w:p w14:paraId="1D03CF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614" w:type="dxa"/>
          </w:tcPr>
          <w:p w14:paraId="364F02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595" w:type="dxa"/>
          </w:tcPr>
          <w:p w14:paraId="1011E1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586" w:type="dxa"/>
          </w:tcPr>
          <w:p w14:paraId="190EE9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r>
      <w:tr w:rsidR="00983732" w:rsidRPr="00A3026E" w14:paraId="75EBC57A" w14:textId="77777777" w:rsidTr="00EA0DA7">
        <w:trPr>
          <w:trHeight w:val="20"/>
        </w:trPr>
        <w:tc>
          <w:tcPr>
            <w:tcW w:w="797" w:type="dxa"/>
          </w:tcPr>
          <w:p w14:paraId="6392E1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14E31E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В-25</w:t>
            </w:r>
          </w:p>
        </w:tc>
        <w:tc>
          <w:tcPr>
            <w:tcW w:w="950" w:type="dxa"/>
          </w:tcPr>
          <w:p w14:paraId="681A18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w:t>
            </w:r>
          </w:p>
        </w:tc>
        <w:tc>
          <w:tcPr>
            <w:tcW w:w="691" w:type="dxa"/>
          </w:tcPr>
          <w:p w14:paraId="4C24C1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614" w:type="dxa"/>
          </w:tcPr>
          <w:p w14:paraId="391AB4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595" w:type="dxa"/>
          </w:tcPr>
          <w:p w14:paraId="509110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586" w:type="dxa"/>
          </w:tcPr>
          <w:p w14:paraId="6821DB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7F6EACC3" w14:textId="77777777" w:rsidTr="00EA0DA7">
        <w:trPr>
          <w:trHeight w:val="20"/>
        </w:trPr>
        <w:tc>
          <w:tcPr>
            <w:tcW w:w="797" w:type="dxa"/>
          </w:tcPr>
          <w:p w14:paraId="7103D4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2141" w:type="dxa"/>
          </w:tcPr>
          <w:p w14:paraId="3AF0A4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ВИШ-61</w:t>
            </w:r>
          </w:p>
        </w:tc>
        <w:tc>
          <w:tcPr>
            <w:tcW w:w="950" w:type="dxa"/>
          </w:tcPr>
          <w:p w14:paraId="3CE4E6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6650</w:t>
            </w:r>
          </w:p>
        </w:tc>
        <w:tc>
          <w:tcPr>
            <w:tcW w:w="691" w:type="dxa"/>
          </w:tcPr>
          <w:p w14:paraId="347BCC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614" w:type="dxa"/>
          </w:tcPr>
          <w:p w14:paraId="0C687D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595" w:type="dxa"/>
          </w:tcPr>
          <w:p w14:paraId="1FAE7F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586" w:type="dxa"/>
          </w:tcPr>
          <w:p w14:paraId="046DB2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2150</w:t>
            </w:r>
          </w:p>
        </w:tc>
      </w:tr>
      <w:tr w:rsidR="00983732" w:rsidRPr="00A3026E" w14:paraId="23306DB1" w14:textId="77777777" w:rsidTr="00EA0DA7">
        <w:trPr>
          <w:trHeight w:val="20"/>
        </w:trPr>
        <w:tc>
          <w:tcPr>
            <w:tcW w:w="797" w:type="dxa"/>
          </w:tcPr>
          <w:p w14:paraId="53E6A6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528312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ВИШ-22Е</w:t>
            </w:r>
          </w:p>
        </w:tc>
        <w:tc>
          <w:tcPr>
            <w:tcW w:w="950" w:type="dxa"/>
          </w:tcPr>
          <w:p w14:paraId="0963CB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691" w:type="dxa"/>
          </w:tcPr>
          <w:p w14:paraId="5470BE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614" w:type="dxa"/>
          </w:tcPr>
          <w:p w14:paraId="044B46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Pr>
          <w:p w14:paraId="56E8BC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86" w:type="dxa"/>
          </w:tcPr>
          <w:p w14:paraId="39844A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10B8611" w14:textId="77777777" w:rsidTr="00EA0DA7">
        <w:trPr>
          <w:trHeight w:val="20"/>
        </w:trPr>
        <w:tc>
          <w:tcPr>
            <w:tcW w:w="797" w:type="dxa"/>
          </w:tcPr>
          <w:p w14:paraId="13ECD9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005902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ВИШ-24</w:t>
            </w:r>
          </w:p>
        </w:tc>
        <w:tc>
          <w:tcPr>
            <w:tcW w:w="950" w:type="dxa"/>
          </w:tcPr>
          <w:p w14:paraId="71C9F2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691" w:type="dxa"/>
          </w:tcPr>
          <w:p w14:paraId="6B6D13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614" w:type="dxa"/>
          </w:tcPr>
          <w:p w14:paraId="5283B3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595" w:type="dxa"/>
          </w:tcPr>
          <w:p w14:paraId="2192BF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586" w:type="dxa"/>
          </w:tcPr>
          <w:p w14:paraId="15BE4F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r>
      <w:tr w:rsidR="00983732" w:rsidRPr="00A3026E" w14:paraId="110093CA" w14:textId="77777777" w:rsidTr="00EA0DA7">
        <w:trPr>
          <w:trHeight w:val="20"/>
        </w:trPr>
        <w:tc>
          <w:tcPr>
            <w:tcW w:w="797" w:type="dxa"/>
          </w:tcPr>
          <w:p w14:paraId="722302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44202D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ВЭМ-63</w:t>
            </w:r>
          </w:p>
        </w:tc>
        <w:tc>
          <w:tcPr>
            <w:tcW w:w="950" w:type="dxa"/>
          </w:tcPr>
          <w:p w14:paraId="217F03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691" w:type="dxa"/>
          </w:tcPr>
          <w:p w14:paraId="20C0FF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614" w:type="dxa"/>
          </w:tcPr>
          <w:p w14:paraId="2725F8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Pr>
          <w:p w14:paraId="76AD51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86" w:type="dxa"/>
          </w:tcPr>
          <w:p w14:paraId="722BAF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CC14988" w14:textId="77777777" w:rsidTr="00EA0DA7">
        <w:trPr>
          <w:trHeight w:val="20"/>
        </w:trPr>
        <w:tc>
          <w:tcPr>
            <w:tcW w:w="797" w:type="dxa"/>
          </w:tcPr>
          <w:p w14:paraId="5E3268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4EE1BD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ВЭМ-107</w:t>
            </w:r>
          </w:p>
        </w:tc>
        <w:tc>
          <w:tcPr>
            <w:tcW w:w="950" w:type="dxa"/>
          </w:tcPr>
          <w:p w14:paraId="453337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691" w:type="dxa"/>
          </w:tcPr>
          <w:p w14:paraId="58F552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614" w:type="dxa"/>
          </w:tcPr>
          <w:p w14:paraId="5667AC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Pr>
          <w:p w14:paraId="624294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86" w:type="dxa"/>
          </w:tcPr>
          <w:p w14:paraId="2F5436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71C611D" w14:textId="77777777" w:rsidTr="00EA0DA7">
        <w:trPr>
          <w:trHeight w:val="20"/>
        </w:trPr>
        <w:tc>
          <w:tcPr>
            <w:tcW w:w="797" w:type="dxa"/>
            <w:tcBorders>
              <w:bottom w:val="single" w:sz="12" w:space="0" w:color="auto"/>
            </w:tcBorders>
          </w:tcPr>
          <w:p w14:paraId="2E2ECE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467</w:t>
            </w:r>
          </w:p>
        </w:tc>
        <w:tc>
          <w:tcPr>
            <w:tcW w:w="2141" w:type="dxa"/>
            <w:tcBorders>
              <w:bottom w:val="single" w:sz="12" w:space="0" w:color="auto"/>
            </w:tcBorders>
          </w:tcPr>
          <w:p w14:paraId="54AE6A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ВИШ-22Е</w:t>
            </w:r>
          </w:p>
        </w:tc>
        <w:tc>
          <w:tcPr>
            <w:tcW w:w="950" w:type="dxa"/>
            <w:tcBorders>
              <w:bottom w:val="single" w:sz="12" w:space="0" w:color="auto"/>
            </w:tcBorders>
          </w:tcPr>
          <w:p w14:paraId="422EC4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691" w:type="dxa"/>
            <w:tcBorders>
              <w:bottom w:val="single" w:sz="12" w:space="0" w:color="auto"/>
            </w:tcBorders>
          </w:tcPr>
          <w:p w14:paraId="17401A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14" w:type="dxa"/>
            <w:tcBorders>
              <w:bottom w:val="single" w:sz="12" w:space="0" w:color="auto"/>
            </w:tcBorders>
          </w:tcPr>
          <w:p w14:paraId="1156C4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Borders>
              <w:bottom w:val="single" w:sz="12" w:space="0" w:color="auto"/>
            </w:tcBorders>
          </w:tcPr>
          <w:p w14:paraId="48BD55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586" w:type="dxa"/>
            <w:tcBorders>
              <w:bottom w:val="single" w:sz="12" w:space="0" w:color="auto"/>
            </w:tcBorders>
          </w:tcPr>
          <w:p w14:paraId="228F1B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r>
    </w:tbl>
    <w:p w14:paraId="46C696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Наряду в выпуском указанного выше количества винтов обязать: комбинат 150 для самолетов ПБ-100, И-200, ДБ-240, ТБ-7 закончить работу по доводке винтов АВ-5 с проведением стендовых испытаний к 1 января 1941 г.</w:t>
      </w:r>
    </w:p>
    <w:p w14:paraId="4B76C4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В целях дальнейшего развития винтостроения и применения электромеханических винтов провести следующие работы:</w:t>
      </w:r>
    </w:p>
    <w:p w14:paraId="26694E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НИИ ВВС КА</w:t>
      </w:r>
    </w:p>
    <w:p w14:paraId="310211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провести сравнительные испытания лопастей винтов ВИШ-61П и ВИШ-22 на немецких самолетах к 20.ХП-40</w:t>
      </w:r>
    </w:p>
    <w:p w14:paraId="3756F6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б) провести испытание электромеханических винтов на семолете И-26 к 20.ХП и на самолете И-200 к мотором АМ-35А к 20 января 1941</w:t>
      </w:r>
    </w:p>
    <w:p w14:paraId="1E3A6C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НКАП (завод № 1)</w:t>
      </w:r>
    </w:p>
    <w:p w14:paraId="426538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провести к 5.ХП.1940 заводские летные испытания электромеханического винта типа VDM на самолете И-153 с мотором М-63 и передать в НИИ ВВС КА на государственные испытания, которые закончить 25.ХП.1940 г.</w:t>
      </w:r>
    </w:p>
    <w:p w14:paraId="402E7C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 20.ХП.1940 г. провести на заводе № 24совместные с НКО 100 часовые стендовые испытания электромеханического винта VDM на моторе М-62</w:t>
      </w:r>
    </w:p>
    <w:p w14:paraId="526EFF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выпустить в 1 кв. 1941 г. 100 электромеханических винтов типа VDM к моторам АМ-35А и М-105 и 25 винтов типа VDM к мотору М-62</w:t>
      </w:r>
    </w:p>
    <w:p w14:paraId="074BDB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Обязать директора завода № 28 т. Савельева и конструктора этого завода т. Никифорова разработать, изготовить т предъявить НИИ ВВС не позднее 15.1У.1941 г. на летные испытания электромеханические винты с автоматом регулятора постоянных оборотов.</w:t>
      </w:r>
    </w:p>
    <w:p w14:paraId="043E80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НИИ ВВС провести летные испытания не позднее 15.У.1941 г.</w:t>
      </w:r>
    </w:p>
    <w:p w14:paraId="6CCFF3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 В зависимости от результатов испытаний новых винтов и лопастей НКАП и НКО определить порядок перехода от установленной программы 1941 г. серийных винтов на иные типы, пересмотрев соответственно программу выпуска по типам и количествам.</w:t>
      </w:r>
    </w:p>
    <w:p w14:paraId="00CE0A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Установить НКВ по заводу № 2 на 1941 г. программу выпуска пушек и крупнеокалиберных пулеметов лоя авиационной промышленности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41"/>
        <w:gridCol w:w="950"/>
        <w:gridCol w:w="691"/>
        <w:gridCol w:w="614"/>
        <w:gridCol w:w="595"/>
        <w:gridCol w:w="586"/>
      </w:tblGrid>
      <w:tr w:rsidR="00983732" w:rsidRPr="00A3026E" w14:paraId="5713A8C1" w14:textId="77777777" w:rsidTr="00EA0DA7">
        <w:trPr>
          <w:trHeight w:val="20"/>
        </w:trPr>
        <w:tc>
          <w:tcPr>
            <w:tcW w:w="2141" w:type="dxa"/>
            <w:tcBorders>
              <w:top w:val="single" w:sz="12" w:space="0" w:color="auto"/>
            </w:tcBorders>
          </w:tcPr>
          <w:p w14:paraId="7B82AD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Тип самолета </w:t>
            </w:r>
          </w:p>
        </w:tc>
        <w:tc>
          <w:tcPr>
            <w:tcW w:w="950" w:type="dxa"/>
            <w:tcBorders>
              <w:top w:val="single" w:sz="12" w:space="0" w:color="auto"/>
            </w:tcBorders>
          </w:tcPr>
          <w:p w14:paraId="5F35A8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в 1941 г. </w:t>
            </w:r>
          </w:p>
        </w:tc>
        <w:tc>
          <w:tcPr>
            <w:tcW w:w="2486" w:type="dxa"/>
            <w:gridSpan w:val="4"/>
            <w:tcBorders>
              <w:top w:val="single" w:sz="12" w:space="0" w:color="auto"/>
            </w:tcBorders>
          </w:tcPr>
          <w:p w14:paraId="288D7D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том числе </w:t>
            </w:r>
          </w:p>
        </w:tc>
      </w:tr>
      <w:tr w:rsidR="00983732" w:rsidRPr="00A3026E" w14:paraId="7D2C0F64" w14:textId="77777777" w:rsidTr="00EA0DA7">
        <w:trPr>
          <w:trHeight w:val="20"/>
        </w:trPr>
        <w:tc>
          <w:tcPr>
            <w:tcW w:w="2141" w:type="dxa"/>
          </w:tcPr>
          <w:p w14:paraId="283DE27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0" w:type="dxa"/>
          </w:tcPr>
          <w:p w14:paraId="692677E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91" w:type="dxa"/>
          </w:tcPr>
          <w:p w14:paraId="03D1BB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 кв. </w:t>
            </w:r>
          </w:p>
        </w:tc>
        <w:tc>
          <w:tcPr>
            <w:tcW w:w="614" w:type="dxa"/>
          </w:tcPr>
          <w:p w14:paraId="2012B8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 кв. </w:t>
            </w:r>
          </w:p>
        </w:tc>
        <w:tc>
          <w:tcPr>
            <w:tcW w:w="595" w:type="dxa"/>
          </w:tcPr>
          <w:p w14:paraId="094D22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Ш кв. </w:t>
            </w:r>
          </w:p>
        </w:tc>
        <w:tc>
          <w:tcPr>
            <w:tcW w:w="586" w:type="dxa"/>
          </w:tcPr>
          <w:p w14:paraId="6F1E6C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1У кв. </w:t>
            </w:r>
          </w:p>
        </w:tc>
      </w:tr>
      <w:tr w:rsidR="00983732" w:rsidRPr="00A3026E" w14:paraId="3587215B" w14:textId="77777777" w:rsidTr="00EA0DA7">
        <w:trPr>
          <w:trHeight w:val="20"/>
        </w:trPr>
        <w:tc>
          <w:tcPr>
            <w:tcW w:w="2141" w:type="dxa"/>
          </w:tcPr>
          <w:p w14:paraId="1E5773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Пушки - всего</w:t>
            </w:r>
          </w:p>
        </w:tc>
        <w:tc>
          <w:tcPr>
            <w:tcW w:w="950" w:type="dxa"/>
          </w:tcPr>
          <w:p w14:paraId="1BF3FF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14755</w:t>
            </w:r>
          </w:p>
        </w:tc>
        <w:tc>
          <w:tcPr>
            <w:tcW w:w="691" w:type="dxa"/>
          </w:tcPr>
          <w:p w14:paraId="7A9AE8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808</w:t>
            </w:r>
          </w:p>
        </w:tc>
        <w:tc>
          <w:tcPr>
            <w:tcW w:w="614" w:type="dxa"/>
          </w:tcPr>
          <w:p w14:paraId="23E35D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3255</w:t>
            </w:r>
          </w:p>
        </w:tc>
        <w:tc>
          <w:tcPr>
            <w:tcW w:w="595" w:type="dxa"/>
          </w:tcPr>
          <w:p w14:paraId="648E24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4867</w:t>
            </w:r>
          </w:p>
        </w:tc>
        <w:tc>
          <w:tcPr>
            <w:tcW w:w="586" w:type="dxa"/>
          </w:tcPr>
          <w:p w14:paraId="3C0F64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6825</w:t>
            </w:r>
          </w:p>
        </w:tc>
      </w:tr>
      <w:tr w:rsidR="00983732" w:rsidRPr="00A3026E" w14:paraId="14D713F4" w14:textId="77777777" w:rsidTr="00EA0DA7">
        <w:trPr>
          <w:trHeight w:val="20"/>
        </w:trPr>
        <w:tc>
          <w:tcPr>
            <w:tcW w:w="2141" w:type="dxa"/>
          </w:tcPr>
          <w:p w14:paraId="1C177B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т.ч. Таубина</w:t>
            </w:r>
          </w:p>
        </w:tc>
        <w:tc>
          <w:tcPr>
            <w:tcW w:w="950" w:type="dxa"/>
          </w:tcPr>
          <w:p w14:paraId="4BF9DA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12608</w:t>
            </w:r>
          </w:p>
        </w:tc>
        <w:tc>
          <w:tcPr>
            <w:tcW w:w="691" w:type="dxa"/>
          </w:tcPr>
          <w:p w14:paraId="4B493B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449</w:t>
            </w:r>
          </w:p>
        </w:tc>
        <w:tc>
          <w:tcPr>
            <w:tcW w:w="614" w:type="dxa"/>
          </w:tcPr>
          <w:p w14:paraId="537CC2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2787</w:t>
            </w:r>
          </w:p>
        </w:tc>
        <w:tc>
          <w:tcPr>
            <w:tcW w:w="595" w:type="dxa"/>
          </w:tcPr>
          <w:p w14:paraId="744114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4260</w:t>
            </w:r>
          </w:p>
        </w:tc>
        <w:tc>
          <w:tcPr>
            <w:tcW w:w="586" w:type="dxa"/>
          </w:tcPr>
          <w:p w14:paraId="7FB9C5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6112</w:t>
            </w:r>
          </w:p>
        </w:tc>
      </w:tr>
      <w:tr w:rsidR="00983732" w:rsidRPr="00A3026E" w14:paraId="2CB2258C" w14:textId="77777777" w:rsidTr="00EA0DA7">
        <w:trPr>
          <w:trHeight w:val="20"/>
        </w:trPr>
        <w:tc>
          <w:tcPr>
            <w:tcW w:w="2141" w:type="dxa"/>
          </w:tcPr>
          <w:p w14:paraId="1A2544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ШВАК</w:t>
            </w:r>
          </w:p>
        </w:tc>
        <w:tc>
          <w:tcPr>
            <w:tcW w:w="950" w:type="dxa"/>
          </w:tcPr>
          <w:p w14:paraId="22B404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2147</w:t>
            </w:r>
          </w:p>
        </w:tc>
        <w:tc>
          <w:tcPr>
            <w:tcW w:w="691" w:type="dxa"/>
          </w:tcPr>
          <w:p w14:paraId="6F18B4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359</w:t>
            </w:r>
          </w:p>
        </w:tc>
        <w:tc>
          <w:tcPr>
            <w:tcW w:w="614" w:type="dxa"/>
          </w:tcPr>
          <w:p w14:paraId="21E126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468</w:t>
            </w:r>
          </w:p>
        </w:tc>
        <w:tc>
          <w:tcPr>
            <w:tcW w:w="595" w:type="dxa"/>
          </w:tcPr>
          <w:p w14:paraId="559E91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607</w:t>
            </w:r>
          </w:p>
        </w:tc>
        <w:tc>
          <w:tcPr>
            <w:tcW w:w="586" w:type="dxa"/>
          </w:tcPr>
          <w:p w14:paraId="3F43F2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713</w:t>
            </w:r>
          </w:p>
        </w:tc>
      </w:tr>
      <w:tr w:rsidR="00983732" w:rsidRPr="00A3026E" w14:paraId="398BE585" w14:textId="77777777" w:rsidTr="00EA0DA7">
        <w:trPr>
          <w:trHeight w:val="20"/>
        </w:trPr>
        <w:tc>
          <w:tcPr>
            <w:tcW w:w="2141" w:type="dxa"/>
          </w:tcPr>
          <w:p w14:paraId="495735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Пулеметы 12,7 - всего</w:t>
            </w:r>
          </w:p>
        </w:tc>
        <w:tc>
          <w:tcPr>
            <w:tcW w:w="950" w:type="dxa"/>
          </w:tcPr>
          <w:p w14:paraId="31AFB1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11002</w:t>
            </w:r>
          </w:p>
        </w:tc>
        <w:tc>
          <w:tcPr>
            <w:tcW w:w="691" w:type="dxa"/>
          </w:tcPr>
          <w:p w14:paraId="3C397E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1595</w:t>
            </w:r>
          </w:p>
        </w:tc>
        <w:tc>
          <w:tcPr>
            <w:tcW w:w="614" w:type="dxa"/>
          </w:tcPr>
          <w:p w14:paraId="04C714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2605</w:t>
            </w:r>
          </w:p>
        </w:tc>
        <w:tc>
          <w:tcPr>
            <w:tcW w:w="595" w:type="dxa"/>
          </w:tcPr>
          <w:p w14:paraId="646A5A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3335</w:t>
            </w:r>
          </w:p>
        </w:tc>
        <w:tc>
          <w:tcPr>
            <w:tcW w:w="586" w:type="dxa"/>
          </w:tcPr>
          <w:p w14:paraId="5F1EBE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3467</w:t>
            </w:r>
          </w:p>
        </w:tc>
      </w:tr>
      <w:tr w:rsidR="00983732" w:rsidRPr="00A3026E" w14:paraId="349C3903" w14:textId="77777777" w:rsidTr="00EA0DA7">
        <w:trPr>
          <w:trHeight w:val="20"/>
        </w:trPr>
        <w:tc>
          <w:tcPr>
            <w:tcW w:w="2141" w:type="dxa"/>
          </w:tcPr>
          <w:p w14:paraId="46F0E7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т.ч. Таубина</w:t>
            </w:r>
          </w:p>
        </w:tc>
        <w:tc>
          <w:tcPr>
            <w:tcW w:w="950" w:type="dxa"/>
          </w:tcPr>
          <w:p w14:paraId="22F2A3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8502</w:t>
            </w:r>
          </w:p>
        </w:tc>
        <w:tc>
          <w:tcPr>
            <w:tcW w:w="691" w:type="dxa"/>
          </w:tcPr>
          <w:p w14:paraId="5175EA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614" w:type="dxa"/>
          </w:tcPr>
          <w:p w14:paraId="33C009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1350</w:t>
            </w:r>
          </w:p>
        </w:tc>
        <w:tc>
          <w:tcPr>
            <w:tcW w:w="595" w:type="dxa"/>
          </w:tcPr>
          <w:p w14:paraId="6949F4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3335</w:t>
            </w:r>
          </w:p>
        </w:tc>
        <w:tc>
          <w:tcPr>
            <w:tcW w:w="586" w:type="dxa"/>
          </w:tcPr>
          <w:p w14:paraId="5522D6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3467</w:t>
            </w:r>
          </w:p>
        </w:tc>
      </w:tr>
      <w:tr w:rsidR="00983732" w:rsidRPr="00A3026E" w14:paraId="031F9E43" w14:textId="77777777" w:rsidTr="00EA0DA7">
        <w:trPr>
          <w:trHeight w:val="20"/>
        </w:trPr>
        <w:tc>
          <w:tcPr>
            <w:tcW w:w="2141" w:type="dxa"/>
            <w:tcBorders>
              <w:bottom w:val="single" w:sz="12" w:space="0" w:color="auto"/>
            </w:tcBorders>
          </w:tcPr>
          <w:p w14:paraId="6843E5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Березина</w:t>
            </w:r>
          </w:p>
        </w:tc>
        <w:tc>
          <w:tcPr>
            <w:tcW w:w="950" w:type="dxa"/>
            <w:tcBorders>
              <w:bottom w:val="single" w:sz="12" w:space="0" w:color="auto"/>
            </w:tcBorders>
          </w:tcPr>
          <w:p w14:paraId="0FCF29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c>
          <w:tcPr>
            <w:tcW w:w="691" w:type="dxa"/>
            <w:tcBorders>
              <w:bottom w:val="single" w:sz="12" w:space="0" w:color="auto"/>
            </w:tcBorders>
          </w:tcPr>
          <w:p w14:paraId="1986D5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1245</w:t>
            </w:r>
          </w:p>
        </w:tc>
        <w:tc>
          <w:tcPr>
            <w:tcW w:w="614" w:type="dxa"/>
            <w:tcBorders>
              <w:bottom w:val="single" w:sz="12" w:space="0" w:color="auto"/>
            </w:tcBorders>
          </w:tcPr>
          <w:p w14:paraId="64CB18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1255</w:t>
            </w:r>
          </w:p>
        </w:tc>
        <w:tc>
          <w:tcPr>
            <w:tcW w:w="595" w:type="dxa"/>
            <w:tcBorders>
              <w:bottom w:val="single" w:sz="12" w:space="0" w:color="auto"/>
            </w:tcBorders>
          </w:tcPr>
          <w:p w14:paraId="5E8379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86" w:type="dxa"/>
            <w:tcBorders>
              <w:bottom w:val="single" w:sz="12" w:space="0" w:color="auto"/>
            </w:tcBorders>
          </w:tcPr>
          <w:p w14:paraId="74E7FE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6F071F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Установить НКБ на 1941 год программу выпуска снарядов авиационного вооружения для обеспечения НКАП и ГУ ВВС КА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41"/>
        <w:gridCol w:w="950"/>
        <w:gridCol w:w="691"/>
        <w:gridCol w:w="614"/>
        <w:gridCol w:w="595"/>
        <w:gridCol w:w="586"/>
      </w:tblGrid>
      <w:tr w:rsidR="00983732" w:rsidRPr="00A3026E" w14:paraId="73402A55" w14:textId="77777777" w:rsidTr="00EA0DA7">
        <w:trPr>
          <w:trHeight w:val="20"/>
        </w:trPr>
        <w:tc>
          <w:tcPr>
            <w:tcW w:w="2141" w:type="dxa"/>
            <w:tcBorders>
              <w:top w:val="single" w:sz="12" w:space="0" w:color="auto"/>
            </w:tcBorders>
          </w:tcPr>
          <w:p w14:paraId="7F6061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Тип самолета </w:t>
            </w:r>
          </w:p>
        </w:tc>
        <w:tc>
          <w:tcPr>
            <w:tcW w:w="950" w:type="dxa"/>
            <w:tcBorders>
              <w:top w:val="single" w:sz="12" w:space="0" w:color="auto"/>
            </w:tcBorders>
          </w:tcPr>
          <w:p w14:paraId="2F828D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1941 г. (тыс.)</w:t>
            </w:r>
          </w:p>
        </w:tc>
        <w:tc>
          <w:tcPr>
            <w:tcW w:w="2486" w:type="dxa"/>
            <w:gridSpan w:val="4"/>
            <w:tcBorders>
              <w:top w:val="single" w:sz="12" w:space="0" w:color="auto"/>
            </w:tcBorders>
          </w:tcPr>
          <w:p w14:paraId="3E8444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том числе </w:t>
            </w:r>
          </w:p>
        </w:tc>
      </w:tr>
      <w:tr w:rsidR="00983732" w:rsidRPr="00A3026E" w14:paraId="6EA7ABA6" w14:textId="77777777" w:rsidTr="00EA0DA7">
        <w:trPr>
          <w:trHeight w:val="20"/>
        </w:trPr>
        <w:tc>
          <w:tcPr>
            <w:tcW w:w="2141" w:type="dxa"/>
          </w:tcPr>
          <w:p w14:paraId="7FA4EAB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50" w:type="dxa"/>
          </w:tcPr>
          <w:p w14:paraId="74CCBD8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91" w:type="dxa"/>
          </w:tcPr>
          <w:p w14:paraId="6D90B3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 кв. </w:t>
            </w:r>
          </w:p>
        </w:tc>
        <w:tc>
          <w:tcPr>
            <w:tcW w:w="614" w:type="dxa"/>
          </w:tcPr>
          <w:p w14:paraId="6331B1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 кв. </w:t>
            </w:r>
          </w:p>
        </w:tc>
        <w:tc>
          <w:tcPr>
            <w:tcW w:w="595" w:type="dxa"/>
          </w:tcPr>
          <w:p w14:paraId="047AC7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Ш кв. </w:t>
            </w:r>
          </w:p>
        </w:tc>
        <w:tc>
          <w:tcPr>
            <w:tcW w:w="586" w:type="dxa"/>
          </w:tcPr>
          <w:p w14:paraId="7544E2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1У кв. </w:t>
            </w:r>
          </w:p>
        </w:tc>
      </w:tr>
      <w:tr w:rsidR="00983732" w:rsidRPr="00A3026E" w14:paraId="161269AA" w14:textId="77777777" w:rsidTr="00EA0DA7">
        <w:trPr>
          <w:trHeight w:val="20"/>
        </w:trPr>
        <w:tc>
          <w:tcPr>
            <w:tcW w:w="2141" w:type="dxa"/>
          </w:tcPr>
          <w:p w14:paraId="317104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мм осколочно-зажигательные снаряды</w:t>
            </w:r>
          </w:p>
        </w:tc>
        <w:tc>
          <w:tcPr>
            <w:tcW w:w="950" w:type="dxa"/>
          </w:tcPr>
          <w:p w14:paraId="57D026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8150</w:t>
            </w:r>
          </w:p>
        </w:tc>
        <w:tc>
          <w:tcPr>
            <w:tcW w:w="691" w:type="dxa"/>
          </w:tcPr>
          <w:p w14:paraId="6771F8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614" w:type="dxa"/>
          </w:tcPr>
          <w:p w14:paraId="1A4A21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1450</w:t>
            </w:r>
          </w:p>
        </w:tc>
        <w:tc>
          <w:tcPr>
            <w:tcW w:w="595" w:type="dxa"/>
          </w:tcPr>
          <w:p w14:paraId="28E969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c>
          <w:tcPr>
            <w:tcW w:w="586" w:type="dxa"/>
          </w:tcPr>
          <w:p w14:paraId="1D8F1B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3200</w:t>
            </w:r>
          </w:p>
        </w:tc>
      </w:tr>
      <w:tr w:rsidR="00983732" w:rsidRPr="00A3026E" w14:paraId="4C4FBEF5" w14:textId="77777777" w:rsidTr="00EA0DA7">
        <w:trPr>
          <w:trHeight w:val="20"/>
        </w:trPr>
        <w:tc>
          <w:tcPr>
            <w:tcW w:w="2141" w:type="dxa"/>
          </w:tcPr>
          <w:p w14:paraId="5B6C49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мм бронебойно-зажигательные снаряды</w:t>
            </w:r>
          </w:p>
        </w:tc>
        <w:tc>
          <w:tcPr>
            <w:tcW w:w="950" w:type="dxa"/>
          </w:tcPr>
          <w:p w14:paraId="6459A7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4150</w:t>
            </w:r>
          </w:p>
        </w:tc>
        <w:tc>
          <w:tcPr>
            <w:tcW w:w="691" w:type="dxa"/>
          </w:tcPr>
          <w:p w14:paraId="5E8D16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614" w:type="dxa"/>
          </w:tcPr>
          <w:p w14:paraId="659AA0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595" w:type="dxa"/>
          </w:tcPr>
          <w:p w14:paraId="77FB5C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c>
          <w:tcPr>
            <w:tcW w:w="586" w:type="dxa"/>
          </w:tcPr>
          <w:p w14:paraId="0112E1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w:t>
            </w:r>
          </w:p>
        </w:tc>
      </w:tr>
      <w:tr w:rsidR="00983732" w:rsidRPr="00A3026E" w14:paraId="3E8A62FC" w14:textId="77777777" w:rsidTr="00EA0DA7">
        <w:trPr>
          <w:trHeight w:val="20"/>
        </w:trPr>
        <w:tc>
          <w:tcPr>
            <w:tcW w:w="2141" w:type="dxa"/>
          </w:tcPr>
          <w:p w14:paraId="2A5D88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950" w:type="dxa"/>
          </w:tcPr>
          <w:p w14:paraId="615172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12300</w:t>
            </w:r>
          </w:p>
        </w:tc>
        <w:tc>
          <w:tcPr>
            <w:tcW w:w="691" w:type="dxa"/>
          </w:tcPr>
          <w:p w14:paraId="0C9113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1250</w:t>
            </w:r>
          </w:p>
        </w:tc>
        <w:tc>
          <w:tcPr>
            <w:tcW w:w="614" w:type="dxa"/>
          </w:tcPr>
          <w:p w14:paraId="34A000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2250</w:t>
            </w:r>
          </w:p>
        </w:tc>
        <w:tc>
          <w:tcPr>
            <w:tcW w:w="595" w:type="dxa"/>
          </w:tcPr>
          <w:p w14:paraId="794A4B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3800</w:t>
            </w:r>
          </w:p>
        </w:tc>
        <w:tc>
          <w:tcPr>
            <w:tcW w:w="586" w:type="dxa"/>
          </w:tcPr>
          <w:p w14:paraId="32388D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r>
      <w:tr w:rsidR="00983732" w:rsidRPr="00A3026E" w14:paraId="6B91F4E4" w14:textId="77777777" w:rsidTr="00EA0DA7">
        <w:trPr>
          <w:trHeight w:val="20"/>
        </w:trPr>
        <w:tc>
          <w:tcPr>
            <w:tcW w:w="2141" w:type="dxa"/>
            <w:tcBorders>
              <w:bottom w:val="single" w:sz="12" w:space="0" w:color="auto"/>
            </w:tcBorders>
          </w:tcPr>
          <w:p w14:paraId="5E0422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т.ч. для НКАП</w:t>
            </w:r>
          </w:p>
        </w:tc>
        <w:tc>
          <w:tcPr>
            <w:tcW w:w="950" w:type="dxa"/>
            <w:tcBorders>
              <w:bottom w:val="single" w:sz="12" w:space="0" w:color="auto"/>
            </w:tcBorders>
          </w:tcPr>
          <w:p w14:paraId="5F9A67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691" w:type="dxa"/>
            <w:tcBorders>
              <w:bottom w:val="single" w:sz="12" w:space="0" w:color="auto"/>
            </w:tcBorders>
          </w:tcPr>
          <w:p w14:paraId="41813D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614" w:type="dxa"/>
            <w:tcBorders>
              <w:bottom w:val="single" w:sz="12" w:space="0" w:color="auto"/>
            </w:tcBorders>
          </w:tcPr>
          <w:p w14:paraId="162B5E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595" w:type="dxa"/>
            <w:tcBorders>
              <w:bottom w:val="single" w:sz="12" w:space="0" w:color="auto"/>
            </w:tcBorders>
          </w:tcPr>
          <w:p w14:paraId="18DE97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586" w:type="dxa"/>
            <w:tcBorders>
              <w:bottom w:val="single" w:sz="12" w:space="0" w:color="auto"/>
            </w:tcBorders>
          </w:tcPr>
          <w:p w14:paraId="2E6173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r>
    </w:tbl>
    <w:p w14:paraId="596CC2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Обязать НКБ в 1941 на заводе № 187 в течение трех месяцев по отработке и утверждению чертежа перейти на выпуск 20 мм осколочно-зажигательных снарядов в количестве 3600 штук и на выпуск 20 мм бронебойно-зажигательных снарядов в количестве 1800 тыс. штук, за счет производства 20 мм снарядов ШВАК старого образца. Из увеличенного выпуска 10% поставить НКАП.</w:t>
      </w:r>
    </w:p>
    <w:p w14:paraId="3C6C4D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Утвердить постановление Экономсовета “О повышении роли мастера на заводах НКАП (см. Приложение).</w:t>
      </w:r>
    </w:p>
    <w:p w14:paraId="21E164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Установить, что при выполнении 100% заводом установленной ему месячной программы самолетов, моторов и винтов руководящий состав завода (директор, начальники цехов, ги, зам. Директора по МТС, начальник производства и главный технолог) получают премию в размере месячного оклада, при условии выполнения программы предыдущего месяца не менее, чем на 90%.</w:t>
      </w:r>
    </w:p>
    <w:p w14:paraId="5ED54E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Принятием настоящего постановления считать исчерпанным все ранее вынесенные решения в отношении серийного производства самолетов и моторов на 1941 г.</w:t>
      </w:r>
    </w:p>
    <w:p w14:paraId="383486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Разрешить НКАП довести к 1 октября 1941 г. запасы материалов до 2-х месячной нормы. Предложить Экономсовету руководствоваться настоящим указанием при квартальном планировании фондов.</w:t>
      </w:r>
    </w:p>
    <w:p w14:paraId="52166E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Разрешить НКАП тов. А.И.Ш. прекратить с 1 января 1941 г. ремонт самолетов и моторов, находящихся на вооружении ВВС, обязав НКО обеспечить этот ремонт на своих рембазах (9820,22).</w:t>
      </w:r>
    </w:p>
    <w:p w14:paraId="4199E8F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88BE6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ноября 1940 года Начальник НИП АВ ВВС полковник Шевченко утвердил Отчет по повторным испытаниям модернизированной ампульной кассеты (АК-2у) конструкции серийного цеха завода № 145</w:t>
      </w:r>
    </w:p>
    <w:p w14:paraId="3A0897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2 ноября 1940 года</w:t>
      </w:r>
    </w:p>
    <w:p w14:paraId="76A2E1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11 ноября 1940 года</w:t>
      </w:r>
    </w:p>
    <w:p w14:paraId="61B230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0BFDD3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Лукашев</w:t>
      </w:r>
    </w:p>
    <w:p w14:paraId="23A262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27A834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Целью испытания модернизированной ампульной кассеты (АК-2у) явилась проверка следующих элементов:</w:t>
      </w:r>
    </w:p>
    <w:p w14:paraId="7AE8ED2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Прочности и надежности конструкции.</w:t>
      </w:r>
    </w:p>
    <w:p w14:paraId="54DF386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Возможности применения осколочных бомб, и в частности, бомбы АО-15.</w:t>
      </w:r>
    </w:p>
    <w:p w14:paraId="1283A0A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Удобства и безопасности в эксплуатации кассеты в свете сделанных конструктивных изменений.</w:t>
      </w:r>
    </w:p>
    <w:p w14:paraId="5EB733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546949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Предъявленная серийным цехом завода № 145 на повторные полигонные испытания модернизированная ампульная кассета АК-2 ум полигонные испытания не выдержала (7405).</w:t>
      </w:r>
    </w:p>
    <w:p w14:paraId="6FBE704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7E5C8A0"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54E9FE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60BCAA3" w14:textId="77777777" w:rsidR="00A3323F" w:rsidRPr="00A3026E" w:rsidRDefault="00A3323F" w:rsidP="00A3026E">
      <w:pPr>
        <w:autoSpaceDE w:val="0"/>
        <w:autoSpaceDN w:val="0"/>
        <w:adjustRightInd w:val="0"/>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 ноября 1940 г. приказом НКВ №317с была образована Комиссия по рассмотрению опытных образцов 50-мм миномета с газоотводным краном, 82-мм модернизированного батальонного и 160-мм дивизионного минометов, а также коллиматорных прицелов (универсального и для 50-мм миномета) завода №7. Председателем комиссии был назначен заместитель начальника технического отдела НКВ К. И. Гостев, в состав комиссии вошли представители НИИ-13 и УММВ ГАУ КА, всего 6 человек. В их числе был и Б. И. Шавырин.</w:t>
      </w:r>
    </w:p>
    <w:p w14:paraId="0D698DB5" w14:textId="77777777" w:rsidR="00A3323F" w:rsidRPr="00A3026E" w:rsidRDefault="00A3323F" w:rsidP="00A3026E">
      <w:pPr>
        <w:pStyle w:val="Default"/>
        <w:jc w:val="both"/>
        <w:rPr>
          <w:color w:val="0070C0"/>
          <w:sz w:val="16"/>
          <w:szCs w:val="16"/>
        </w:rPr>
      </w:pPr>
      <w:r w:rsidRPr="00A3026E">
        <w:rPr>
          <w:color w:val="0070C0"/>
          <w:sz w:val="16"/>
          <w:szCs w:val="16"/>
        </w:rPr>
        <w:t xml:space="preserve">Согласно акту от 25 ноября 1940 г. полностью прошел приемку только 50-мм миномет. Приемка 160-мм дивизионного миномета была запланирована после проведения дополнительных заводских испытаний, 82-мм модернизированный миномет к приемке не был принят по причине неготовности (отсутствовала опорная плита). Представленные на рассмотрение комиссии прицелы заводскому испытанию также не подвергались. Дополнительные заводские испытания 160-мм дивизионного миномета и прицелов, проведенные в форсированном порядке к 1 декабря, выявили ряд принципиальных недостатков, не позволявших допустить их к полигонным испытаниям, после чего опытные образцы были направлены на доработку на завод №7 (20074). </w:t>
      </w:r>
    </w:p>
    <w:p w14:paraId="256E1EF7" w14:textId="77777777" w:rsidR="00A3323F" w:rsidRPr="00A3026E" w:rsidRDefault="00A3323F" w:rsidP="00A3026E">
      <w:pPr>
        <w:spacing w:after="0" w:line="240" w:lineRule="auto"/>
        <w:jc w:val="both"/>
        <w:rPr>
          <w:rFonts w:ascii="Times New Roman" w:hAnsi="Times New Roman"/>
          <w:color w:val="0070C0"/>
          <w:sz w:val="16"/>
          <w:szCs w:val="16"/>
        </w:rPr>
      </w:pPr>
    </w:p>
    <w:p w14:paraId="745A46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20 по 23 ноября 1940 года на Гороховецком полигоне проходили полигонно-войсковые испытания (объем 1000 выстрелов) пушки Ф-34 в танке Т-34. По их результатам комиссия рекомендовала Ф-34 к принятию на вооружение. Вопреки некоторым публикациям, 76-мм пушка Ф-32, разработанная по одному техзаданию с Л-11, в танк Т-34 никогда не устанавливалась!</w:t>
      </w:r>
    </w:p>
    <w:p w14:paraId="464BA8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F806ACB" w14:textId="77777777" w:rsidR="009A141C" w:rsidRPr="00A3026E" w:rsidRDefault="009A141C"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С 20 по 23 ноября 1940 года на Гороховецком полигоне прошли полигонно-войсковые испытания 76-мм </w:t>
      </w:r>
      <w:bookmarkStart w:id="45" w:name="YANDEX_574"/>
      <w:bookmarkEnd w:id="45"/>
      <w:r w:rsidRPr="00A3026E">
        <w:rPr>
          <w:rFonts w:ascii="Times New Roman" w:hAnsi="Times New Roman"/>
          <w:bCs/>
          <w:color w:val="000000" w:themeColor="text1"/>
          <w:sz w:val="16"/>
          <w:szCs w:val="16"/>
        </w:rPr>
        <w:t xml:space="preserve"> пушки  Ф-34 в </w:t>
      </w:r>
      <w:bookmarkStart w:id="46" w:name="YANDEX_575"/>
      <w:bookmarkEnd w:id="46"/>
      <w:r w:rsidRPr="00A3026E">
        <w:rPr>
          <w:rFonts w:ascii="Times New Roman" w:hAnsi="Times New Roman"/>
          <w:bCs/>
          <w:color w:val="000000" w:themeColor="text1"/>
          <w:sz w:val="16"/>
          <w:szCs w:val="16"/>
        </w:rPr>
        <w:t xml:space="preserve"> танке  Т-34 в объеме 1000 выстрелов. Угол ВН -5°; +31°45’ (на корму угол снижения – 1°4Г). Скорострельность в условиях </w:t>
      </w:r>
      <w:bookmarkStart w:id="47" w:name="YANDEX_576"/>
      <w:bookmarkEnd w:id="47"/>
      <w:r w:rsidRPr="00A3026E">
        <w:rPr>
          <w:rFonts w:ascii="Times New Roman" w:hAnsi="Times New Roman"/>
          <w:bCs/>
          <w:color w:val="000000" w:themeColor="text1"/>
          <w:sz w:val="16"/>
          <w:szCs w:val="16"/>
        </w:rPr>
        <w:t xml:space="preserve"> танка  2-3 выстр./мин, на полигонном же станке скорострельность </w:t>
      </w:r>
      <w:bookmarkStart w:id="48" w:name="YANDEX_577"/>
      <w:bookmarkEnd w:id="48"/>
      <w:r w:rsidRPr="00A3026E">
        <w:rPr>
          <w:rFonts w:ascii="Times New Roman" w:hAnsi="Times New Roman"/>
          <w:bCs/>
          <w:color w:val="000000" w:themeColor="text1"/>
          <w:sz w:val="16"/>
          <w:szCs w:val="16"/>
        </w:rPr>
        <w:t xml:space="preserve"> пушки  Ф-34 без изменения наводки достигала 20 выстр./мин. По результатам испытаний комиссия рекомендовала Ф-34 к принятию на вооружение. Однако в </w:t>
      </w:r>
      <w:bookmarkStart w:id="49" w:name="YANDEX_578"/>
      <w:bookmarkEnd w:id="49"/>
      <w:r w:rsidRPr="00A3026E">
        <w:rPr>
          <w:rFonts w:ascii="Times New Roman" w:hAnsi="Times New Roman"/>
          <w:bCs/>
          <w:color w:val="000000" w:themeColor="text1"/>
          <w:sz w:val="16"/>
          <w:szCs w:val="16"/>
        </w:rPr>
        <w:t xml:space="preserve"> 1938  году руководство РККА утвердило новые тактико-технические требования на танковые </w:t>
      </w:r>
      <w:bookmarkStart w:id="50" w:name="YANDEX_579"/>
      <w:bookmarkEnd w:id="50"/>
      <w:r w:rsidRPr="00A3026E">
        <w:rPr>
          <w:rFonts w:ascii="Times New Roman" w:hAnsi="Times New Roman"/>
          <w:bCs/>
          <w:color w:val="000000" w:themeColor="text1"/>
          <w:sz w:val="16"/>
          <w:szCs w:val="16"/>
        </w:rPr>
        <w:t> пушки , где была уже баллистика 76- мм пушки обр. 1902/30 г. в 40 клб. Естественно, что обратились опять к Маханову и Грабину, которые попросту удлинили свои пушки. Модернизированная Л-11 получила индекс Л- 15, а Ф-32 – индекс Ф-34. Но на сей раз Маханов проиграл Грабину вчистую – о серийном производстве Л- 15 уже и речи не шло (17361).</w:t>
      </w:r>
    </w:p>
    <w:p w14:paraId="5C8DC569" w14:textId="77777777" w:rsidR="009A141C" w:rsidRPr="00A3026E" w:rsidRDefault="009A141C" w:rsidP="00A3026E">
      <w:pPr>
        <w:spacing w:after="0" w:line="240" w:lineRule="auto"/>
        <w:jc w:val="both"/>
        <w:rPr>
          <w:rFonts w:ascii="Times New Roman" w:hAnsi="Times New Roman"/>
          <w:color w:val="000000" w:themeColor="text1"/>
          <w:sz w:val="16"/>
          <w:szCs w:val="16"/>
        </w:rPr>
      </w:pPr>
    </w:p>
    <w:p w14:paraId="45DB3A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20 ноября 1940 завершились испытания Ф-34 на БТ-7А, а поскольку никаких серьезных недоработок в конструкции пушки найдено не было, то уже 21 ноября ору</w:t>
      </w:r>
      <w:r w:rsidRPr="00A3026E">
        <w:rPr>
          <w:rFonts w:ascii="Times New Roman" w:hAnsi="Times New Roman"/>
          <w:color w:val="000000" w:themeColor="text1"/>
          <w:sz w:val="16"/>
          <w:szCs w:val="16"/>
        </w:rPr>
        <w:softHyphen/>
        <w:t>дие было рекомендовано для принятия на вооружение и предстало перед приемочной комиссией НКО (10782).</w:t>
      </w:r>
    </w:p>
    <w:p w14:paraId="067000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1DC3B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ноября 1940 отчет о завершении заводских испытаний Ф-34 отправился в НКВ и ГАУ, а поскольку никаких серьезных недо</w:t>
      </w:r>
      <w:r w:rsidRPr="00A3026E">
        <w:rPr>
          <w:rFonts w:ascii="Times New Roman" w:hAnsi="Times New Roman"/>
          <w:color w:val="000000" w:themeColor="text1"/>
          <w:sz w:val="16"/>
          <w:szCs w:val="16"/>
        </w:rPr>
        <w:softHyphen/>
        <w:t>работок в конструкции пушки найдено не было, то 21 нояб</w:t>
      </w:r>
      <w:r w:rsidRPr="00A3026E">
        <w:rPr>
          <w:rFonts w:ascii="Times New Roman" w:hAnsi="Times New Roman"/>
          <w:color w:val="000000" w:themeColor="text1"/>
          <w:sz w:val="16"/>
          <w:szCs w:val="16"/>
        </w:rPr>
        <w:softHyphen/>
        <w:t>ря орудие предстало перед приемочной комиссией НКО (10782).</w:t>
      </w:r>
    </w:p>
    <w:p w14:paraId="48E934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58E4E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ноября 1940 на Гороховецком полигоне начались испы</w:t>
      </w:r>
      <w:r w:rsidRPr="00A3026E">
        <w:rPr>
          <w:rFonts w:ascii="Times New Roman" w:hAnsi="Times New Roman"/>
          <w:color w:val="000000" w:themeColor="text1"/>
          <w:sz w:val="16"/>
          <w:szCs w:val="16"/>
        </w:rPr>
        <w:softHyphen/>
        <w:t>тания орудия Ф-34 в башне танка Т-34 с экипажем 14-й тд. За три дня из опытного орудия было выпущено 2807 снаря</w:t>
      </w:r>
      <w:r w:rsidRPr="00A3026E">
        <w:rPr>
          <w:rFonts w:ascii="Times New Roman" w:hAnsi="Times New Roman"/>
          <w:color w:val="000000" w:themeColor="text1"/>
          <w:sz w:val="16"/>
          <w:szCs w:val="16"/>
        </w:rPr>
        <w:softHyphen/>
        <w:t>дов с максимальной скорострельностью до 5 выстр/мин. При этом отказов в работе орудия обнаружено не было и пушка Ф-34 рекомендовалась для принятия на вооружение (10782).</w:t>
      </w:r>
    </w:p>
    <w:p w14:paraId="2F69A1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2623F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ноября 1940 г. на испытания танка Т-34 была подана новая 76,2-мм пушка Ф-34, созданная в ОКБ-92 группой П. Муравьева под общим руководством В. Грабина по зака</w:t>
      </w:r>
      <w:r w:rsidRPr="00A3026E">
        <w:rPr>
          <w:rFonts w:ascii="Times New Roman" w:hAnsi="Times New Roman"/>
          <w:color w:val="000000" w:themeColor="text1"/>
          <w:sz w:val="16"/>
          <w:szCs w:val="16"/>
        </w:rPr>
        <w:softHyphen/>
        <w:t>зу ГАУ. Разработка пушки была начата согласно договору от 2 июня 1940 г. для воор'ужения «среднего танка нового типа» для «борьбы с живой силой и противотанковой артиллерией на больших расстояниях, а также средними и тяжелыми танками новых типов, защищенных броней 40-60 мм». Со</w:t>
      </w:r>
      <w:r w:rsidRPr="00A3026E">
        <w:rPr>
          <w:rFonts w:ascii="Times New Roman" w:hAnsi="Times New Roman"/>
          <w:color w:val="000000" w:themeColor="text1"/>
          <w:sz w:val="16"/>
          <w:szCs w:val="16"/>
        </w:rPr>
        <w:softHyphen/>
        <w:t>гласно требованиям НКСМ, выдвинутым на основании ре</w:t>
      </w:r>
      <w:r w:rsidRPr="00A3026E">
        <w:rPr>
          <w:rFonts w:ascii="Times New Roman" w:hAnsi="Times New Roman"/>
          <w:color w:val="000000" w:themeColor="text1"/>
          <w:sz w:val="16"/>
          <w:szCs w:val="16"/>
        </w:rPr>
        <w:softHyphen/>
        <w:t>шения КО при СНК и-ЦК ВКП(б) от 13 июня 1940 г., для вооружения нового среднего танка требовалось 76-мм орудие с баллистикой пушки Ф-22 (длина ствола — 50 калиб</w:t>
      </w:r>
      <w:r w:rsidRPr="00A3026E">
        <w:rPr>
          <w:rFonts w:ascii="Times New Roman" w:hAnsi="Times New Roman"/>
          <w:color w:val="000000" w:themeColor="text1"/>
          <w:sz w:val="16"/>
          <w:szCs w:val="16"/>
        </w:rPr>
        <w:softHyphen/>
        <w:t>ров). Приказом по НКВ № 164 ее от 14 июня 1940 г. заводу &gt;^ 92 предписывалось начать испытания нового орудия с полевого станка с 1 сентября 1940 г. Для ускорения разработки П. Муравьев и В. Норкин использовали задел по эскизному проекту 76,2-мм танко</w:t>
      </w:r>
      <w:r w:rsidRPr="00A3026E">
        <w:rPr>
          <w:rFonts w:ascii="Times New Roman" w:hAnsi="Times New Roman"/>
          <w:color w:val="000000" w:themeColor="text1"/>
          <w:sz w:val="16"/>
          <w:szCs w:val="16"/>
        </w:rPr>
        <w:softHyphen/>
        <w:t>вой пушки большой мощности Ф-27, разработанной в инициативном порядке в начале 1940 г., а также докумен</w:t>
      </w:r>
      <w:r w:rsidRPr="00A3026E">
        <w:rPr>
          <w:rFonts w:ascii="Times New Roman" w:hAnsi="Times New Roman"/>
          <w:color w:val="000000" w:themeColor="text1"/>
          <w:sz w:val="16"/>
          <w:szCs w:val="16"/>
        </w:rPr>
        <w:softHyphen/>
        <w:t>тацию на уже освоенное в серии орудие Ф-32. Несмотря на то что прототипом при разработке всех указанных ору</w:t>
      </w:r>
      <w:r w:rsidRPr="00A3026E">
        <w:rPr>
          <w:rFonts w:ascii="Times New Roman" w:hAnsi="Times New Roman"/>
          <w:color w:val="000000" w:themeColor="text1"/>
          <w:sz w:val="16"/>
          <w:szCs w:val="16"/>
        </w:rPr>
        <w:softHyphen/>
        <w:t>дий являлась пушка Ф-22, новая танковая пушка отлича</w:t>
      </w:r>
      <w:r w:rsidRPr="00A3026E">
        <w:rPr>
          <w:rFonts w:ascii="Times New Roman" w:hAnsi="Times New Roman"/>
          <w:color w:val="000000" w:themeColor="text1"/>
          <w:sz w:val="16"/>
          <w:szCs w:val="16"/>
        </w:rPr>
        <w:softHyphen/>
        <w:t>лась от нее не только установкой, а от серийной танковой Ф-32 (выпуск которой велся на Кировском заводе) не только длиной ствола. Была значительно снижена трудо</w:t>
      </w:r>
      <w:r w:rsidRPr="00A3026E">
        <w:rPr>
          <w:rFonts w:ascii="Times New Roman" w:hAnsi="Times New Roman"/>
          <w:color w:val="000000" w:themeColor="text1"/>
          <w:sz w:val="16"/>
          <w:szCs w:val="16"/>
        </w:rPr>
        <w:softHyphen/>
        <w:t>емкость изготовления казенника. В частности, вместо ме-ханообработки введено фасонное литье, штамповка, то</w:t>
      </w:r>
      <w:r w:rsidRPr="00A3026E">
        <w:rPr>
          <w:rFonts w:ascii="Times New Roman" w:hAnsi="Times New Roman"/>
          <w:color w:val="000000" w:themeColor="text1"/>
          <w:sz w:val="16"/>
          <w:szCs w:val="16"/>
        </w:rPr>
        <w:softHyphen/>
        <w:t>чечная сварка, уменьшено количество легирующих метал</w:t>
      </w:r>
      <w:r w:rsidRPr="00A3026E">
        <w:rPr>
          <w:rFonts w:ascii="Times New Roman" w:hAnsi="Times New Roman"/>
          <w:color w:val="000000" w:themeColor="text1"/>
          <w:sz w:val="16"/>
          <w:szCs w:val="16"/>
        </w:rPr>
        <w:softHyphen/>
        <w:t>лов в пользу углеродистой стали (10782).</w:t>
      </w:r>
    </w:p>
    <w:p w14:paraId="0E3BD1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7E5AF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20 по 23 ноября 1940 года на заводе № 92и на Гороховецком полигоне МВО прошли приемка и поли- гонно-войсковые испытания 76-мм пушки Ф-34 в танке Т-34 комиссией под председательством начальника 3-го отдела УБП ГАУ полковника Горбатова. От завода № 92 на испытаниях присутствовал и В. Грабин.</w:t>
      </w:r>
    </w:p>
    <w:p w14:paraId="317C8B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Артсистема поступила в распоряжение комиссии 20 ноября, она была собрана и смонтирована в танк к вечеру того же дня. Монтаж и отладка нового мотора в Т-34 были закончены только 21 ноября. Чертежи системы поступили в распоряжение комиссии 20 ноября.</w:t>
      </w:r>
    </w:p>
    <w:p w14:paraId="11F470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три дня из пушки было выпущено 2807 снарядов, а на тактических занятиях экипаж, выделенный из 14-й танковой дивизии, расстрелял боекомплект (77 выстрелов) с хода за 44 минуты, добившись при этом 11 прямых попаданий. Танкисты показали скорострельность 3 выстрела в минуту, а в некоторых ситуациях она доходила до 5 выстрелов в минуту. Кроме того, орудие показало и хорошие результаты по кучности боя на дистанции в 1000 метров. В своем заключении комиссия, проводившая испытания, писала:</w:t>
      </w:r>
    </w:p>
    <w:p w14:paraId="697E64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«76-мм танковая пушка Ф-34 испытание выдержала. Комиссия считает возможным рекомендовать ее для принятия на вооружение танка Т-34» (12217).</w:t>
      </w:r>
    </w:p>
    <w:p w14:paraId="30E62DC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7710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ноября 1940 г. в своем письме от директор завода №183 Ю.Е. Максарев столь высокую стоимость работ по двум А-34 объяснял следующим:</w:t>
      </w:r>
    </w:p>
    <w:p w14:paraId="37B627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Этот перерасход объясняется заниженной стоимостью по дого</w:t>
      </w:r>
      <w:r w:rsidRPr="00A3026E">
        <w:rPr>
          <w:rFonts w:ascii="Times New Roman" w:hAnsi="Times New Roman"/>
          <w:color w:val="000000" w:themeColor="text1"/>
          <w:sz w:val="16"/>
          <w:szCs w:val="16"/>
        </w:rPr>
        <w:softHyphen/>
        <w:t>вору и следующими причинами:</w:t>
      </w:r>
    </w:p>
    <w:p w14:paraId="6224E663" w14:textId="77777777" w:rsidR="00C66762" w:rsidRPr="00A3026E" w:rsidRDefault="00C66762" w:rsidP="00A3026E">
      <w:pPr>
        <w:tabs>
          <w:tab w:val="left" w:pos="514"/>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Высокая стоимость - бронедеталей, поступавших с Марзавода им. Ильича на обе машины.</w:t>
      </w:r>
    </w:p>
    <w:p w14:paraId="3CA74346" w14:textId="77777777" w:rsidR="00C66762" w:rsidRPr="00A3026E" w:rsidRDefault="00C66762" w:rsidP="00A3026E">
      <w:pPr>
        <w:tabs>
          <w:tab w:val="left" w:pos="505"/>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Отсутствие необходимой оснастки производства заставляло производить работы с повышенной затратой средств, как по рабо</w:t>
      </w:r>
      <w:r w:rsidRPr="00A3026E">
        <w:rPr>
          <w:rFonts w:ascii="Times New Roman" w:hAnsi="Times New Roman"/>
          <w:color w:val="000000" w:themeColor="text1"/>
          <w:sz w:val="16"/>
          <w:szCs w:val="16"/>
        </w:rPr>
        <w:softHyphen/>
        <w:t>чей силе, так и по материалам.</w:t>
      </w:r>
    </w:p>
    <w:p w14:paraId="77CCB010" w14:textId="77777777" w:rsidR="00C66762" w:rsidRPr="00A3026E" w:rsidRDefault="00C66762" w:rsidP="00A3026E">
      <w:pPr>
        <w:tabs>
          <w:tab w:val="left" w:pos="486"/>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r w:rsidRPr="00A3026E">
        <w:rPr>
          <w:rFonts w:ascii="Times New Roman" w:hAnsi="Times New Roman"/>
          <w:color w:val="000000" w:themeColor="text1"/>
          <w:sz w:val="16"/>
          <w:szCs w:val="16"/>
        </w:rPr>
        <w:tab/>
        <w:t>Расходы, связанные с отправкой и длительным пробегом ма</w:t>
      </w:r>
      <w:r w:rsidRPr="00A3026E">
        <w:rPr>
          <w:rFonts w:ascii="Times New Roman" w:hAnsi="Times New Roman"/>
          <w:color w:val="000000" w:themeColor="text1"/>
          <w:sz w:val="16"/>
          <w:szCs w:val="16"/>
        </w:rPr>
        <w:softHyphen/>
        <w:t>шин в Москву, что не было учтено договором. [РГВА. Ф. 31811. Оп. 2 д. 1182. Л. 99-100.] (11875).</w:t>
      </w:r>
    </w:p>
    <w:p w14:paraId="028B5BA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2D07ACD" w14:textId="77777777" w:rsidR="00A3323F" w:rsidRPr="00A3026E" w:rsidRDefault="00A3323F"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К 20 ноября 1940 года СКБ-2 Кировского завода подготовило два варианта эскизного проекта Т-50. При их разработке учитывалось изучение немецкого танка Pz.Kpfw.III, который выдавался и Кировскому заводу, и заводу №174 для поиска подходящих технических решений. Впрочем, периодически всплывающие утверждения о якобы копировании немецкого танка ничего, кроме смеха, не вызывают. Советские легкие танки были похожи разве что на себя. В случае с Т-50 кировского завода заимствование отчасти видно в форме башни (характерная немецкая "подкова"), размещении командира с смотровой башенке, плюс отчасти установка вооружения. Нашим военным два спаренных пулемета понравились, причем на Т-50 Кировского завода спаренная установка стояла, как и у немцев, раздельно (и с возможностью раздельной вертикальной наводки). Не самая лучшая идея, скажем так. В остальном машина была явно оригинальной. От Т-211 тут мало что осталось, хотя два варианта всё же имели к нему прямое отношение. Дело в том, что в 1940 году отрабатывался вопрос изготовления цельнолитых корпусов и башен. Поэтому первый вариант танка имел сварной корпус, а второй литой. От литой конструкции быстро отказались, поскольку технологию не отработали, но показать всё же были должны. Хотя бы для галочки.</w:t>
      </w:r>
    </w:p>
    <w:p w14:paraId="2303F5B2" w14:textId="77777777" w:rsidR="00A3323F" w:rsidRPr="00A3026E" w:rsidRDefault="00A3323F"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Далее эскизный проект, по первому варианту, оперативно переделали. Сроки были крайне ограничены: согласно приказу №46 по Кировскому заводу от 15 ноября 1940 года, уже к 20 декабря предполагалось выпустить комплект заводской документации. На работы по производству опытного образца выделялась сумма в 100000 рублей. Также шла бурная переписка между руководством Кировского и Ижорского завода. И.М. Зальцман, директор Кировского завода, форсировал работы (22720).</w:t>
      </w:r>
    </w:p>
    <w:p w14:paraId="69F584BA" w14:textId="77777777" w:rsidR="00A3323F" w:rsidRPr="00A3026E" w:rsidRDefault="00A3323F"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37473F94"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ноября 1940 г. Комитет обороны при СНК СССР принял постановление № 426сс “О создании на СТЗ нового танкового двигателя мощностью 500 л. с. и большим сроком службы”. В нем говорилось: «1. Обязать Наркомсредмаш — т. Малышева В. А. изготовить на СТЗ к 21 января 1941 г. 5 танковых двигателей-дизелей мощностью 500 л. с. и сроком службы не менее 500 часов по проекту, разработанному специальным конструкторским отделом СТЗ. 2. Поручить Наркомсредмаш — т. Малышеву В. А. совместно с НКО в течение I квартала 1941 г. провести всесторонние испытания изготовленных дизелей на танке Т</w:t>
      </w:r>
      <w:r w:rsidRPr="00A3026E">
        <w:rPr>
          <w:rFonts w:ascii="Times New Roman" w:hAnsi="Times New Roman"/>
          <w:color w:val="000000" w:themeColor="text1"/>
          <w:sz w:val="16"/>
          <w:szCs w:val="16"/>
        </w:rPr>
        <w:noBreakHyphen/>
        <w:t>34, на стенде и в НАТИ. Результаты испытаний вместе со своими предложениями по организации новой базы по производству танковых дизелей СТЗ представить в Комитет обороны не позднее 15 апреля 1941 г. 3. Наркомсредмаш — т. Малышеву В. А. выделить из средств наркомата необходимые ассигнования на финансирование работ, указанных в п. 1 и 2 настоящего постановления». (ГАРФ. Ф. Р</w:t>
      </w:r>
      <w:r w:rsidRPr="00A3026E">
        <w:rPr>
          <w:rFonts w:ascii="Times New Roman" w:hAnsi="Times New Roman"/>
          <w:color w:val="000000" w:themeColor="text1"/>
          <w:sz w:val="16"/>
          <w:szCs w:val="16"/>
        </w:rPr>
        <w:noBreakHyphen/>
        <w:t>8418. Оп. 24. Д. 954. Л. 1.) (18001).</w:t>
      </w:r>
    </w:p>
    <w:p w14:paraId="435ECF8F" w14:textId="77777777" w:rsidR="00250F99" w:rsidRPr="00A3026E" w:rsidRDefault="00250F99" w:rsidP="00A3026E">
      <w:pPr>
        <w:spacing w:after="0" w:line="240" w:lineRule="auto"/>
        <w:jc w:val="both"/>
        <w:rPr>
          <w:rFonts w:ascii="Times New Roman" w:hAnsi="Times New Roman"/>
          <w:color w:val="000000" w:themeColor="text1"/>
          <w:sz w:val="16"/>
          <w:szCs w:val="16"/>
        </w:rPr>
      </w:pPr>
    </w:p>
    <w:p w14:paraId="274D73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20-21 ноября 1940 г. на "малом охотнике" МО-521 Краснознаменного Балтийского флота проходили государственные испытания опытного образца гидролокатора "Тамир" (10700).</w:t>
      </w:r>
    </w:p>
    <w:p w14:paraId="615B555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7E5CBDE"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15CAAE4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B8CE7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20 по 22 ноября 1940 в Западном округе была военная игра и взяли Варшаву (2536,234).</w:t>
      </w:r>
    </w:p>
    <w:p w14:paraId="079C25E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C66D74D" w14:textId="77777777" w:rsidR="0043631F" w:rsidRPr="00A3026E" w:rsidRDefault="0043631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bCs/>
          <w:iCs/>
          <w:color w:val="000000" w:themeColor="text1"/>
          <w:sz w:val="16"/>
          <w:szCs w:val="16"/>
        </w:rPr>
        <w:t>20 ноября 1940 г.</w:t>
      </w:r>
      <w:r w:rsidRPr="00A3026E">
        <w:rPr>
          <w:rFonts w:ascii="Times New Roman" w:hAnsi="Times New Roman"/>
          <w:color w:val="000000" w:themeColor="text1"/>
          <w:sz w:val="16"/>
          <w:szCs w:val="16"/>
        </w:rPr>
        <w:t xml:space="preserve"> Распоряжение УВХЗ Красной Армии о расширении практики опытного долговременного хранения всех видов ОВ на ряде специально выделенных военно-химических складов, в том числе складах № 58 (ст.Кухеты, Грузинская Республика), № 137 (ст.Ржаница, Брянская область), № 140 (пос. Красная Речка, Хабаровский край), № 147 (разъезд Лесной, Читинская область), № 276 (ст.Селещино, Полтавская область), № 415 (ст.Арысь, Казахстан). К тому времени на опытном хранении находились образцы ОВ всех видов (иприт, люизит, дифосген и т.д.), всех заводов (Москвы, Чапаевска, Дзержинска и др.) и всех лет изготовления. Заводам № 102 (Чапаевск) и № 96 (Дзержинск) были даны задания по пополнению военных складов новыми образцами рецептур ОВ (17133).</w:t>
      </w:r>
    </w:p>
    <w:p w14:paraId="605E6A48" w14:textId="77777777" w:rsidR="0043631F" w:rsidRPr="00A3026E" w:rsidRDefault="0043631F" w:rsidP="00A3026E">
      <w:pPr>
        <w:shd w:val="clear" w:color="auto" w:fill="FFFFFF"/>
        <w:spacing w:after="0" w:line="240" w:lineRule="auto"/>
        <w:jc w:val="both"/>
        <w:rPr>
          <w:rFonts w:ascii="Times New Roman" w:hAnsi="Times New Roman"/>
          <w:color w:val="000000" w:themeColor="text1"/>
          <w:sz w:val="16"/>
          <w:szCs w:val="16"/>
        </w:rPr>
      </w:pPr>
    </w:p>
    <w:p w14:paraId="212026A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978582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8DA5E1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ноября 1940 к Антикоминтерновскому пакту присоединилась Венгрия (4962).</w:t>
      </w:r>
    </w:p>
    <w:p w14:paraId="7C59036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DE47F33"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November 20 1940 Hungary joins Axis (1037).</w:t>
      </w:r>
    </w:p>
    <w:p w14:paraId="41F0C03D"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4C0BAF9D"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November 20 1940 Hungary signed protocol of adherence to Axis tripartite pact at Vienna (1223).</w:t>
      </w:r>
    </w:p>
    <w:p w14:paraId="775CF080"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43834F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ноября 1940 Венгрия примкнула к странам оси (1037) и подписала в Вене соответствующий протокол (1223).</w:t>
      </w:r>
    </w:p>
    <w:p w14:paraId="1F9BCAB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BDC5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23 и 24 ноября 1940 г. сразу же вслед за окончанием переговоров СССР с Германией последовало присоединение к Тройственному пакту Венгрии, Румынии и Словакии. СССР оказывался на западе в окружении союзников Германии (3871).</w:t>
      </w:r>
    </w:p>
    <w:p w14:paraId="295716D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D14C8CC" w14:textId="77777777" w:rsidR="0043631F" w:rsidRPr="00A3026E" w:rsidRDefault="0043631F"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20 ноября</w:t>
      </w:r>
      <w:r w:rsidRPr="00A3026E">
        <w:rPr>
          <w:rFonts w:ascii="Times New Roman" w:hAnsi="Times New Roman"/>
          <w:color w:val="000000" w:themeColor="text1"/>
          <w:sz w:val="16"/>
          <w:szCs w:val="16"/>
        </w:rPr>
        <w:t xml:space="preserve"> в 1940 году Венгрия, Румыния и Словакия присоединились к "Тройственному пакту" (14836).</w:t>
      </w:r>
    </w:p>
    <w:p w14:paraId="7167E989" w14:textId="77777777" w:rsidR="0043631F" w:rsidRPr="00A3026E" w:rsidRDefault="0043631F" w:rsidP="00A3026E">
      <w:pPr>
        <w:spacing w:after="0" w:line="240" w:lineRule="auto"/>
        <w:jc w:val="both"/>
        <w:rPr>
          <w:rFonts w:ascii="Times New Roman" w:hAnsi="Times New Roman"/>
          <w:color w:val="000000" w:themeColor="text1"/>
          <w:sz w:val="16"/>
          <w:szCs w:val="16"/>
        </w:rPr>
      </w:pPr>
    </w:p>
    <w:p w14:paraId="3A772C26" w14:textId="77777777" w:rsidR="0043631F" w:rsidRPr="00A3026E" w:rsidRDefault="0043631F"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20 ноября</w:t>
      </w:r>
      <w:r w:rsidRPr="00A3026E">
        <w:rPr>
          <w:rFonts w:ascii="Times New Roman" w:hAnsi="Times New Roman"/>
          <w:color w:val="000000" w:themeColor="text1"/>
          <w:sz w:val="16"/>
          <w:szCs w:val="16"/>
        </w:rPr>
        <w:t xml:space="preserve"> в 1940 году в результате немецких воздушных налетов в Великобритании за месяц погибло 4558 человек (14836).</w:t>
      </w:r>
    </w:p>
    <w:p w14:paraId="08E57F8E" w14:textId="77777777" w:rsidR="0043631F" w:rsidRPr="00A3026E" w:rsidRDefault="0043631F" w:rsidP="00A3026E">
      <w:pPr>
        <w:spacing w:after="0" w:line="240" w:lineRule="auto"/>
        <w:jc w:val="both"/>
        <w:rPr>
          <w:rFonts w:ascii="Times New Roman" w:hAnsi="Times New Roman"/>
          <w:color w:val="000000" w:themeColor="text1"/>
          <w:sz w:val="16"/>
          <w:szCs w:val="16"/>
        </w:rPr>
      </w:pPr>
    </w:p>
    <w:p w14:paraId="675B24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ноября 1940 США и Великобритания заключили Соглашение о частичной стандартизации вооружения и обмене техническими новинками (3481).</w:t>
      </w:r>
    </w:p>
    <w:p w14:paraId="2E97323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96EF3E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3090938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5797A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ноября 1940 Кочеригин вновь писал Зам. нач. 7 ГУ Н.С.Шишкину письмо N 2874 (входящий 5797) c попыткой спасти ОПБ и перевести его на другой мотор вместо М-90 (2062,89).</w:t>
      </w:r>
    </w:p>
    <w:p w14:paraId="106E268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CC9AF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ноября 1940 ПГУ протоколом была утверждена программа 39 завода на 1940: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74"/>
        <w:gridCol w:w="2874"/>
        <w:gridCol w:w="2874"/>
      </w:tblGrid>
      <w:tr w:rsidR="00983732" w:rsidRPr="00A3026E" w14:paraId="5593CF17" w14:textId="77777777" w:rsidTr="00EA0DA7">
        <w:tc>
          <w:tcPr>
            <w:tcW w:w="2874" w:type="dxa"/>
            <w:tcBorders>
              <w:top w:val="single" w:sz="12" w:space="0" w:color="auto"/>
            </w:tcBorders>
          </w:tcPr>
          <w:p w14:paraId="1050A93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874" w:type="dxa"/>
            <w:tcBorders>
              <w:top w:val="single" w:sz="12" w:space="0" w:color="auto"/>
            </w:tcBorders>
          </w:tcPr>
          <w:p w14:paraId="01791C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2874" w:type="dxa"/>
            <w:tcBorders>
              <w:top w:val="single" w:sz="12" w:space="0" w:color="auto"/>
            </w:tcBorders>
          </w:tcPr>
          <w:p w14:paraId="1E3E42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w:t>
            </w:r>
          </w:p>
        </w:tc>
      </w:tr>
      <w:tr w:rsidR="00983732" w:rsidRPr="00A3026E" w14:paraId="06B8039F" w14:textId="77777777" w:rsidTr="00EA0DA7">
        <w:tc>
          <w:tcPr>
            <w:tcW w:w="2874" w:type="dxa"/>
          </w:tcPr>
          <w:p w14:paraId="227C76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w:t>
            </w:r>
          </w:p>
        </w:tc>
        <w:tc>
          <w:tcPr>
            <w:tcW w:w="2874" w:type="dxa"/>
          </w:tcPr>
          <w:p w14:paraId="1BE231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2874" w:type="dxa"/>
          </w:tcPr>
          <w:p w14:paraId="4F90F2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6F697FA8" w14:textId="77777777" w:rsidTr="00EA0DA7">
        <w:tc>
          <w:tcPr>
            <w:tcW w:w="2874" w:type="dxa"/>
            <w:tcBorders>
              <w:bottom w:val="single" w:sz="12" w:space="0" w:color="auto"/>
            </w:tcBorders>
          </w:tcPr>
          <w:p w14:paraId="5C6FA0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w:t>
            </w:r>
          </w:p>
        </w:tc>
        <w:tc>
          <w:tcPr>
            <w:tcW w:w="2874" w:type="dxa"/>
            <w:tcBorders>
              <w:bottom w:val="single" w:sz="12" w:space="0" w:color="auto"/>
            </w:tcBorders>
          </w:tcPr>
          <w:p w14:paraId="415B58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2874" w:type="dxa"/>
            <w:tcBorders>
              <w:bottom w:val="single" w:sz="12" w:space="0" w:color="auto"/>
            </w:tcBorders>
          </w:tcPr>
          <w:p w14:paraId="6867C1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(2514)</w:t>
            </w:r>
          </w:p>
        </w:tc>
      </w:tr>
    </w:tbl>
    <w:p w14:paraId="3D533A5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CF285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ноября 1940 закончились гос. испытания И-26-3, которые начались с 13 октября (844).</w:t>
      </w:r>
    </w:p>
    <w:p w14:paraId="3EF0EF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- 12 ноября</w:t>
      </w:r>
    </w:p>
    <w:p w14:paraId="3C2B9B7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FF79C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ноября 1940 закончились гос. испытания И-26-3, которые шли с 13 октября 1940.</w:t>
      </w:r>
    </w:p>
    <w:p w14:paraId="092DD3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в Чкаловской, Ярославской ж/д состоялось заседание Техсовета при НИИ ВВС (Протокол № 13) "О результатах гос. испытаний И-26-3 с М-105П с винтом ВИШ-61 конструкции т. А.С.Я., постройки завода № 115 на штопор, пикирование, пилотаж, устойчивость и отстрел оружия.</w:t>
      </w:r>
    </w:p>
    <w:p w14:paraId="3E0DB3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Техсовет НИИ ВВС под председательством Филина в составе члена Техсовета гмв Федорова в присутствии директора завода № 115 т. Ястребова, зам. ГК т. Виганд заслушала доклад вед. инженера НИИ ВВС КА ви2р т. Степанченка, содоклады вед. л. Стефановского и оценку свойств с-та от участвующих л и наземных испытаний.</w:t>
      </w:r>
    </w:p>
    <w:p w14:paraId="2EBEA8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Представленный на испытания 3-1 экх. С-та И-26 М-105П является копией 2-го экз. с-та И-26, проходившего госиспытания в НИИ ВВС с 1 по 1 июня 1940 и незакончевшего их вследствие недостаточной прочности крыла и недоведенности конструкции.</w:t>
      </w:r>
    </w:p>
    <w:p w14:paraId="635ED4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3-й экз. И-26 поступил на госиспытания в НИИ ВВС 13 октября 1940 и закончил их 12 ноября 1940 г.</w:t>
      </w:r>
    </w:p>
    <w:p w14:paraId="47F81D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был испытан на пикирование до 635 км/час по прибору, с перегрузкой до 4,5, на штопор до 3-х витков, на выполнение всех фигур высшего пилотажа и устойчивость.</w:t>
      </w:r>
    </w:p>
    <w:p w14:paraId="148345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 проведен отстрел вооружения на земле и в воздухе.</w:t>
      </w:r>
    </w:p>
    <w:p w14:paraId="0B0DFB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с-та И-26 экз. № 3 работало безотказно.</w:t>
      </w:r>
    </w:p>
    <w:p w14:paraId="326E44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части ВМГ (перегрев масла при работе мотора на номинальной мощности, неравномерность выработки горючего из баков) и шасси (невозможность уборки шасси на наивыгоднейшей скорости набора высоты 250 км/час) с-т остался недоведенным.</w:t>
      </w:r>
    </w:p>
    <w:p w14:paraId="4B38CF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не имеет радиостанции и установка ее не предусмотрена (отсутствует экранировка и металлизация). На с-те нет ночных посадочных средств и не предусмотрено место для фотоаппарата.</w:t>
      </w:r>
    </w:p>
    <w:p w14:paraId="5D6B10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w:t>
      </w:r>
    </w:p>
    <w:p w14:paraId="6F77A4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 И-26 экз. № 3 конструкции А.С.Я., проверенный в части стрелково-пушечного вооружения, а также на пилотаж, пикирование до скорости 635 км/час и штопор до 3-х витков считать прошедшим госиспытания.</w:t>
      </w:r>
    </w:p>
    <w:p w14:paraId="5BF881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677C33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Обратить внимание НКАП, что выполнение Постановления КО № 377 от 16 сентября 1940 об установке радиостанции РСИ-4 на серийные с-ты И-26 с 1 января 1941 не обеспечено, т.к. и 3-й экз. опытного ст-та И-26 был предъявдлен на госиспытания без рации и установка ее на с-т не предусмотрена.</w:t>
      </w:r>
    </w:p>
    <w:p w14:paraId="22DF1C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Устранение всех дефектов, выявленных во время госиспытаний опытных образцов, провести на всех выпущенных и выпускаемых с-тах И-26 в сроки по отдельному соглашению с НКАП ГУ ВВС КА.</w:t>
      </w:r>
    </w:p>
    <w:p w14:paraId="644B91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Необходимо на с-те И-26 выполнить постановление КО № 374 от 7 сентября 1940.</w:t>
      </w:r>
    </w:p>
    <w:p w14:paraId="420A61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Подписали Филин, Федоров,</w:t>
      </w:r>
    </w:p>
    <w:p w14:paraId="2353B0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Верно Гребенников 26 декабря 1940</w:t>
      </w:r>
    </w:p>
    <w:p w14:paraId="5CA424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госиспытаниям опытного одноместного истребителя И-26 М-105П № 3 с винтом ВИШ-61 Д 3 м конструкции и А.С.Я. постройки завода № 115 на пикироване, штопор, отстрел вооружения, устойчивость и пилотаж</w:t>
      </w:r>
    </w:p>
    <w:p w14:paraId="201D34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Ответственный исполнитель нач. отд. ви1р Васвод</w:t>
      </w:r>
    </w:p>
    <w:p w14:paraId="1B7176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 ви2р А.Т.Степанец</w:t>
      </w:r>
    </w:p>
    <w:p w14:paraId="6AD2F6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 п/п Стефановский</w:t>
      </w:r>
    </w:p>
    <w:p w14:paraId="3A5215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 испытаний:</w:t>
      </w:r>
    </w:p>
    <w:p w14:paraId="7A1358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Отличия экз. № 3 от экз. № 2</w:t>
      </w:r>
    </w:p>
    <w:p w14:paraId="532CE4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прочность носка крыла доведена до 107%</w:t>
      </w:r>
    </w:p>
    <w:p w14:paraId="7C53ED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увеличено давление в баллонах с 40 до 50 атм. Для обеспечения уборки шасси на взлете</w:t>
      </w:r>
    </w:p>
    <w:p w14:paraId="3AC8B9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кабина оборудована вентиляцией</w:t>
      </w:r>
    </w:p>
    <w:p w14:paraId="41871F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исключено попадание гильз и звеньев в стабилизатор</w:t>
      </w:r>
    </w:p>
    <w:p w14:paraId="77C0DD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увеличен запас патронов до 750 шт. для пулеметов и до 135 шт. для пушки</w:t>
      </w:r>
    </w:p>
    <w:p w14:paraId="3CF85B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усилены цилиндры амртизаторов шасси и замка подъемника</w:t>
      </w:r>
    </w:p>
    <w:p w14:paraId="1EEC51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установлены амортизаторы для быстрого открытия фонаря кабины</w:t>
      </w:r>
    </w:p>
    <w:p w14:paraId="6AF2BA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улучшен подход к хвостовой части фюзеляжа, установлен люк</w:t>
      </w:r>
    </w:p>
    <w:p w14:paraId="7CFA34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с-та увеличен на 74,5 кг, а вес полезной нагрузки за счет патронов на 25,5 кг (всего на 100 кг)</w:t>
      </w:r>
    </w:p>
    <w:p w14:paraId="25B425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Участники испытаний: Максимов, ви2р Степанец,</w:t>
      </w:r>
    </w:p>
    <w:p w14:paraId="0B223C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 Стефановский, к-н ...Иванов, берлин, Красовский, Турчак</w:t>
      </w:r>
    </w:p>
    <w:p w14:paraId="3B796D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с-та Сбитнев, Мякинина, Аверьянов, Иванников</w:t>
      </w:r>
    </w:p>
    <w:p w14:paraId="3C7CBC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облета Груздев, Прошаков, Кубышкин</w:t>
      </w:r>
    </w:p>
    <w:p w14:paraId="184ED8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Весовые данные:</w:t>
      </w:r>
    </w:p>
    <w:p w14:paraId="23D21D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с парашютом 90 кг</w:t>
      </w:r>
    </w:p>
    <w:p w14:paraId="4ECEF9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горючее 305</w:t>
      </w:r>
    </w:p>
    <w:p w14:paraId="75343F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 30</w:t>
      </w:r>
    </w:p>
    <w:p w14:paraId="706401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патроны ШКАС (1500) 49,5</w:t>
      </w:r>
    </w:p>
    <w:p w14:paraId="478D4C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снаряды для пушки ШВАК (135) 29,9</w:t>
      </w:r>
    </w:p>
    <w:p w14:paraId="12AF27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аккумулятор 9</w:t>
      </w:r>
    </w:p>
    <w:p w14:paraId="649C36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511,7</w:t>
      </w:r>
    </w:p>
    <w:p w14:paraId="57D425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2801 (ранее 2700 кг)</w:t>
      </w:r>
    </w:p>
    <w:p w14:paraId="00C22A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Увеличение веса за счет:</w:t>
      </w:r>
    </w:p>
    <w:p w14:paraId="33EA6C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увеличен запас патронов 26,5 кг</w:t>
      </w:r>
    </w:p>
    <w:p w14:paraId="435FE0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положенные в носке крыла и р/высоты грузы повышают критическую скорость флаттера - 16 кг</w:t>
      </w:r>
    </w:p>
    <w:p w14:paraId="503003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усиление носка крыла, обшивки крылазамков шасси и устранение дефектов - 58,5 кг</w:t>
      </w:r>
    </w:p>
    <w:p w14:paraId="5D0248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доступен для л строевых частей ВВС средней и нижесредней квалификации.</w:t>
      </w:r>
    </w:p>
    <w:p w14:paraId="3BB070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Раскрутки винта на пикировании не было</w:t>
      </w:r>
    </w:p>
    <w:p w14:paraId="7ADA26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Усилия на ручке для вывода из пикирования незначительные</w:t>
      </w:r>
    </w:p>
    <w:p w14:paraId="1DF8DB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Изменить оформление кабины, поставить боковую панель</w:t>
      </w:r>
    </w:p>
    <w:p w14:paraId="6F144C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Стрелково-пушечное вооружение работало безотказно</w:t>
      </w:r>
    </w:p>
    <w:p w14:paraId="78C27B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Требование о доводке ВМГ не выполнено</w:t>
      </w:r>
    </w:p>
    <w:p w14:paraId="580037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Спецоборудование ТТТ не удовлетворяет.</w:t>
      </w:r>
    </w:p>
    <w:p w14:paraId="1B5B01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 отчега по госиспытаниям И-26 № 3 и решение Техсовета НИИ ВВС КА по быстрейшей доводкне спецоборудования не реализованы</w:t>
      </w:r>
    </w:p>
    <w:p w14:paraId="0D67A2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BC631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 И-26 М-105П с винтом ВИШ-61 № 3 конструкции ГССТ, д.т.н. и А.С.Я. производства з-да № 115 считать прошедшим ГИ удовлетворительно</w:t>
      </w:r>
    </w:p>
    <w:p w14:paraId="5D7362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2E8EB8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Просить НКАП т. А.И.Ш. обязать ГК с-та И-26 А.С.Я. и завод № 115:</w:t>
      </w:r>
    </w:p>
    <w:p w14:paraId="34575D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обеспечить уборку шасси на скорости, требуемой ТТТ</w:t>
      </w:r>
    </w:p>
    <w:p w14:paraId="169FD9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обеспечить прочность и надежность на пикировании щитков шасси и крышки фонаря кабины на всех выпускаемых с-тах И-26</w:t>
      </w:r>
    </w:p>
    <w:p w14:paraId="0D7276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установить на с-те колеса согласно сортаменту НКАП</w:t>
      </w:r>
    </w:p>
    <w:p w14:paraId="7B2A3A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довести ВМГ</w:t>
      </w:r>
    </w:p>
    <w:p w14:paraId="1E013C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привести спецоборудование с-та в полное соответствие с существующими ТТТ</w:t>
      </w:r>
    </w:p>
    <w:p w14:paraId="308043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 Филин 6 декабря 1940 (844).</w:t>
      </w:r>
    </w:p>
    <w:p w14:paraId="43AE7DF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822E2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ноября 1940 Комиссия выяснила, что причиной аварии УПО-21 стал маленький топливный краник, призванный перенаправить бензин из основного бака в расходный бачок. На всякий пожарный случай краник надлежалозакрывать, а прогрев мотора осуществлять за счет бензина из расходного бачка. Перед взлетом краник следовало открьггь - так бензин из главной емкости ноступал в расходный бачок, а оттуда питал мотор. В виду «хитрости» расподожения летчик не мог из кабины проверить положение ручки краника - это надлежало сделать не допущенному на завод Зильперту. Четверо готовивших самолет ничего подозрительного не заметили...Положение в тот период на заводе не было -благополучным - сразу три глав-ных конструктора - Пашинин" (конструктор ИП-21), Лавочкин (соавтор ЛаГГ-3), Смолин (разработчик УПО-2) - вольно или невольно пытались перетянуть «одеяло на себя». С инициативой создания (перспективного по ряду мнений, но где строить?) самолета выступил инженер завода 21 Мельников. Такая чехарда, подогреваясь извне, не способствовала продуктивной работе. А тут еще и репрессии... В частности, «взяли» Воронина. В довершении разброда и шатаний к заводу примерился для постройки своего истребителя еще и Яковлев (10212).</w:t>
      </w:r>
    </w:p>
    <w:p w14:paraId="0D458E4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06FA63D" w14:textId="77777777" w:rsidR="0043631F" w:rsidRPr="00A3026E" w:rsidRDefault="0043631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ноября 1940 г. второй ИП-21 прибыл на подмосковный аэродром Чкаловская, а 27-го числа машину приняли к проведению государственных испытаний. Особо указывалось, что испытания истребителя конструкции Пашинина считать одной из первоочередных задач 1-го отдела НИИ ВВС. Ведущими летчиками назначили опытных испытателей Стефановского и Супруна (15561).</w:t>
      </w:r>
    </w:p>
    <w:p w14:paraId="16493C58" w14:textId="77777777" w:rsidR="0043631F" w:rsidRPr="00A3026E" w:rsidRDefault="0043631F" w:rsidP="00A3026E">
      <w:pPr>
        <w:spacing w:after="0" w:line="240" w:lineRule="auto"/>
        <w:jc w:val="both"/>
        <w:rPr>
          <w:rFonts w:ascii="Times New Roman" w:hAnsi="Times New Roman"/>
          <w:color w:val="000000" w:themeColor="text1"/>
          <w:sz w:val="16"/>
          <w:szCs w:val="16"/>
        </w:rPr>
      </w:pPr>
    </w:p>
    <w:p w14:paraId="129CA8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ноября 1940 года за подписью Сталина и Молотова на завод № 26 пришла телеграмма на имя директора завода Лаврентьева, главного инженера Мыздрикова, главного конструктора Климова, парторга ЦК ВКП (б) Голованева и первого секретаря Ярославского обкома партии Патоличева: «Нас мало интересует производство моторов 103. Эти моторы не являются современными, не годятся для серьезного боя, они скоро станут обузой для государства. Нас интересует производство моторов 105, простых и пушечных. Эти моторы нас более или менее приближают к современной технике. Мы хотели бы, чтобы производство моторов 105 нарастало у вас изо дня в день.</w:t>
      </w:r>
    </w:p>
    <w:p w14:paraId="1F00C5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Мы требуем, чтобы уже в ближайшие дни завод производил не 7 моторов в день, а 12, 15 и больше. Пишите нам сводки о производстве моторов 105, о достижениях завода будем судить по нарастанию производства моторов 105.</w:t>
      </w:r>
    </w:p>
    <w:p w14:paraId="7BAE3D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Считаем нужным сообщить вам, что месяца через 3—4 мы особенно будем интересоваться производством моторов 107. Эти моторы вполне современные, и они полностью ставят нас на уровень современной техники».</w:t>
      </w:r>
    </w:p>
    <w:p w14:paraId="666F86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тот же день Н. С. Патоличеву позвонили из ЦК ВКП(б) и передали указание — выехать на Верхневолжский завод, выработать график производства моторов М-105 и М- 107 и прислать его на утверждение.</w:t>
      </w:r>
    </w:p>
    <w:p w14:paraId="5F8AB1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«Кто тогда знал, — пишет Н. С. Патоличев в книге «Испытание на зрелость», — как это делать. Ведь обычно в первой половине месяца работали на задел, а вторую половину штурмовали месячную программу. Работали много и упорно. Партийная организация завода, весь коллектив и руководящие кадры проявили глубокое понимание требований ЦК. За несколько дней была проведена колоссальная техническая и организационная работа». Завод ежедневно отчитывался перед Центральным Комитетом партии об отгрузке моторов самолетостроителям.</w:t>
      </w:r>
    </w:p>
    <w:p w14:paraId="66D053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наркома, директора завода и главного конструктора вызвали в Кремль, к Сталину. Сталин, как обычно, был в сером кителе, в брюках, заправленных в сапоги. Приглашенных усадили за длинный стол с массивной пепельницей и телефонами, Сам бесшумным шагом ходил по кабинету. Говорил негромко, но твердо, а порой и властно, трубкой в полусогнутой руке подчеркивал наиболее важное и существенное из того, о чем шла речь. Больше всего И. В. Сталин интересовался моторами М-105 и М-107, их параметрами, возможностями. Он раскрыл красную записную книжку, в которой, видимо, содержались сведения о зарубежной технике и о наших новых моторах, и сказал: «Было бы у нас больше таких моторов, мы бы с этой сволочью разговаривали по-другому».</w:t>
      </w:r>
    </w:p>
    <w:p w14:paraId="612810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Месяца за три до начала войны директору Верхневолжского завода позвонили из наркомата: на завод едет немецкая делегация. Ее не хотели пускать, но «гости» настаивали.</w:t>
      </w:r>
    </w:p>
    <w:p w14:paraId="590495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в Германии находилась советская делегация. Членам делегации В. П. Баландину, А. С. Яковлеву и другим нашим специалистам немцы показали некоторые авиационные заводы. Делалось это с расчетом поразить советских людей своими достижениями, устрашить мощью своей техники.</w:t>
      </w:r>
    </w:p>
    <w:p w14:paraId="1FD830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вот теперь немцам показали московские заводы, но «гости» настаивали, чтобы их отвезли на волжский завод, ссылались на то, что сами-де они ничего не скрывали от советских специалистов. Во избежание дипломатических осложнений пришлось уступить.</w:t>
      </w:r>
    </w:p>
    <w:p w14:paraId="43B852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Немцы хорошо знали завод. Их рабочие, мастера, инженеры и другие специалисты длительное время работали в заводских цехах тогда, когда СССР закупил лицензию на крупповский мотор БМВ-6. Модернизированный нашими специалистами, он выпускался под маркой М-17. Немцам не терпелось узнать, как все это выглядит теперь, в канун уже подготовленной ими войны.</w:t>
      </w:r>
    </w:p>
    <w:p w14:paraId="113CAC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Осмотр завода они начали с центральной лаборатории. Оттуда направились в механические и горячие цеха, затем им показали сборку. Незваные гости увидели современное оснащение и оборудование, современную технологию. Их многое удивило. Больше всего интересовал сборочный цех. Они подолгу стояли у конвейера и не могли скрыть изумления: на немецких заводах конвейера на сборке моторов еще не было.</w:t>
      </w:r>
    </w:p>
    <w:p w14:paraId="5FACC8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Особое их внимание привлек мотор М-105. Самолет с таким мотором мог стрелять из пушки через полый вал редуктора. В честь немецкой делегации дали обед. К удивлению хозяев, немцы неожиданно заговорили по-русски. Они безмерно похвалялись мощью фашистской Германии.</w:t>
      </w:r>
    </w:p>
    <w:p w14:paraId="028615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Труженики завода проводили их с недобрым чувством. Черные гости! (11882).</w:t>
      </w:r>
    </w:p>
    <w:p w14:paraId="6CF080A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183D4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ноября 1940 года начальник Гл. управления ВВС генерал-лейтенант авиации Рычагов писал письмо № 501701сс наркому обороны маршалу Тимошенко</w:t>
      </w:r>
    </w:p>
    <w:p w14:paraId="196C76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ряда лет, с 1935 года по 1939 год и в 1940 году, на специальных учениях (г. Уральск) проверялся полигонными и войсковыми испытаниями «огненный дождь» основанный на применении из выливных химических приборов гранулированного желтого фосфора в растворе хлористого кальция.</w:t>
      </w:r>
    </w:p>
    <w:p w14:paraId="71019E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Гранулы имеют форму шара размером 20-25 мм в диаметре и весом 7-13 гр.</w:t>
      </w:r>
    </w:p>
    <w:p w14:paraId="661C8E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момент выливания гранулированный фосфор, смешиваясь с дымовой смесью из дополнительного прибора загорается и падает горящим. Наиболее благоприятные условия для горения фосфора имеют место летом.</w:t>
      </w:r>
    </w:p>
    <w:p w14:paraId="709703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способом можно применять гранулированный фосфор только с малых высот, в противном случае весь фосфор сгорит в воздухе.</w:t>
      </w:r>
    </w:p>
    <w:p w14:paraId="6C7424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случае применения с больших высот, гранулированный фосфор выливается из выливных химических приборов без дополнительного прибора. В этом случае гранулированный фосфор в воздухе во время падения не горит, а загорается в момент удара о землю, при этом загорание его может происходить только летом при температуре воздуха +15 градусов и выше.</w:t>
      </w:r>
    </w:p>
    <w:p w14:paraId="3EB619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………………………(7711, 300-303).</w:t>
      </w:r>
    </w:p>
    <w:p w14:paraId="6B031BD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1510BAE" w14:textId="77777777" w:rsidR="007C7CB6" w:rsidRPr="00A3026E" w:rsidRDefault="007C7CB6" w:rsidP="00A3026E">
      <w:pPr>
        <w:pStyle w:val="p1"/>
        <w:spacing w:before="0" w:beforeAutospacing="0" w:after="0" w:afterAutospacing="0"/>
        <w:jc w:val="both"/>
        <w:rPr>
          <w:rStyle w:val="af0"/>
          <w:color w:val="000000" w:themeColor="text1"/>
          <w:sz w:val="16"/>
          <w:szCs w:val="16"/>
        </w:rPr>
      </w:pPr>
      <w:r w:rsidRPr="00A3026E">
        <w:rPr>
          <w:color w:val="000000" w:themeColor="text1"/>
          <w:sz w:val="16"/>
          <w:szCs w:val="16"/>
        </w:rPr>
        <w:t>21 ноября 1940 – закончила работу вторая комиссия по расследованию деятельности А.Г. Костикова. Она полностью подтвердила результаты работы первой комиссии (Протокол № 0165 от 21.11.1940). Решением этой комиссии главному инженеру НИИ-3 А.Г. Костикову «за </w:t>
      </w:r>
      <w:r w:rsidRPr="00A3026E">
        <w:rPr>
          <w:rStyle w:val="af0"/>
          <w:color w:val="000000" w:themeColor="text1"/>
          <w:sz w:val="16"/>
          <w:szCs w:val="16"/>
        </w:rPr>
        <w:t>недостаточное техническое руководство отделами ин-та – объявить выговор и предупредить т. Костикова, что, если им до конца этого года не будет принято надлежащих мер к улучшению работы отделов, к нему будут применены суровые меры взыскания…» (19588).</w:t>
      </w:r>
    </w:p>
    <w:p w14:paraId="4D3A121D" w14:textId="77777777" w:rsidR="007C7CB6" w:rsidRPr="00A3026E" w:rsidRDefault="007C7CB6" w:rsidP="00A3026E">
      <w:pPr>
        <w:pStyle w:val="p1"/>
        <w:spacing w:before="0" w:beforeAutospacing="0" w:after="0" w:afterAutospacing="0"/>
        <w:jc w:val="both"/>
        <w:rPr>
          <w:color w:val="000000" w:themeColor="text1"/>
          <w:sz w:val="16"/>
          <w:szCs w:val="16"/>
        </w:rPr>
      </w:pPr>
    </w:p>
    <w:p w14:paraId="47D5BEC6" w14:textId="77777777" w:rsidR="007C7CB6" w:rsidRPr="00A3026E" w:rsidRDefault="007C7C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21 ноября 1940 г. в Москве было подписано «Соглашение об установлении регулярного воздушного сообщения между Союзом Советских Социалистических Республик и Тувинской Народной Республикой по маршруту Красноярск - Абакан - Кызыл». Этот документ с советской стороны подписал В.М. Коротков - по </w:t>
      </w:r>
      <w:r w:rsidRPr="00A3026E">
        <w:rPr>
          <w:rFonts w:ascii="Times New Roman" w:hAnsi="Times New Roman"/>
          <w:color w:val="000000" w:themeColor="text1"/>
          <w:sz w:val="16"/>
          <w:szCs w:val="16"/>
        </w:rPr>
        <w:lastRenderedPageBreak/>
        <w:t>уполномочиванию ГУГВФ при СНК СССР, с тувинской - полпред Намчак - по уполномочиванию Совета Министров Тувинской Республики. Срок действия Соглашения определялся на пять лет. Примечательно, что согласно Статье 4 Соглашения - самолеты должны были нести советские опознавательные знаки (18261).</w:t>
      </w:r>
    </w:p>
    <w:p w14:paraId="6E047C68" w14:textId="77777777" w:rsidR="007C7CB6" w:rsidRPr="00A3026E" w:rsidRDefault="007C7CB6" w:rsidP="00A3026E">
      <w:pPr>
        <w:spacing w:after="0" w:line="240" w:lineRule="auto"/>
        <w:jc w:val="both"/>
        <w:rPr>
          <w:rFonts w:ascii="Times New Roman" w:hAnsi="Times New Roman"/>
          <w:color w:val="000000" w:themeColor="text1"/>
          <w:sz w:val="16"/>
          <w:szCs w:val="16"/>
        </w:rPr>
      </w:pPr>
    </w:p>
    <w:p w14:paraId="3D2590C0" w14:textId="77777777" w:rsidR="007C7CB6" w:rsidRPr="00A3026E" w:rsidRDefault="007C7C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ноября 1940 г. в Москве было подписано «Соглашение об установлении регулярного воздушного сообщения между Союзом Советских Социалистических Республик и Тувинской Народной Республикой по маршруту Красноярск – Абакан – Кызыл». Этот документ с советской стороны подписал В.М. Коротков – по уполномочиванию ГУГВФ при СНК СССР, с тувинской – полпред Намчак – по уполномочиванию Совета Министров Тувинской Республики. Срок действия Соглашения определялся на пять лет. Примечательно, что согласно Статье 4 Соглашения – самолеты должны были нести советские опознавательные знаки.</w:t>
      </w:r>
    </w:p>
    <w:p w14:paraId="652EF009" w14:textId="77777777" w:rsidR="007C7CB6" w:rsidRPr="00A3026E" w:rsidRDefault="007C7C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Народная Республики Танну – Тува была образована в августе 1921 г., с 1930 г. официально именовалась «Тувинской Аратской Республикой», а 13 октября 1944 г. вошла в состав СССР на правах автономной области РСФСР (см. Бурков В.Г. Государственная геральдика и вексиллология: Россия, СНГ, Европа, Америка. Научно-справочное издание. – СПб., 2004. – С. 62–63). В цитируемых документах рассматриваемого периода она именуется «Тувинской Народной Республикой».</w:t>
      </w:r>
    </w:p>
    <w:p w14:paraId="54BB84C0" w14:textId="77777777" w:rsidR="007C7CB6" w:rsidRPr="00A3026E" w:rsidRDefault="007C7C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1939 г. Политбюро ЦК ВКП(б) № П 9 / 127 – ОП приняло решение «О мероприятиях по Тувинской Народной Республике». Пунктом III удовлетворялась просьба Правительства Тувинской Народной Республики по вопросу «О военном снаряжении Тувинского кавполка». В соответствующем подпункте речь шла о поставке авиатехники: «3) Обязать Наркомат Авиационной Промышленности в 1-ом квартале 1940 года сдать В/О «Техноэкспорт» один самолет У-2 с мотором М-11; В/О «Техноэкспорт»</w:t>
      </w:r>
    </w:p>
    <w:p w14:paraId="38E0A0C7" w14:textId="77777777" w:rsidR="007C7CB6" w:rsidRPr="00A3026E" w:rsidRDefault="007C7CB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этом же квартале отправить самолет в Тувинскую Народную Республику». Выписка по этому разделу была послана Наркому авиапромышленности М. М. Кагановичу (18512).</w:t>
      </w:r>
    </w:p>
    <w:p w14:paraId="1C84C2C5" w14:textId="77777777" w:rsidR="007C7CB6" w:rsidRPr="00A3026E" w:rsidRDefault="007C7CB6" w:rsidP="00A3026E">
      <w:pPr>
        <w:spacing w:after="0" w:line="240" w:lineRule="auto"/>
        <w:jc w:val="both"/>
        <w:rPr>
          <w:rFonts w:ascii="Times New Roman" w:hAnsi="Times New Roman"/>
          <w:color w:val="000000" w:themeColor="text1"/>
          <w:sz w:val="16"/>
          <w:szCs w:val="16"/>
        </w:rPr>
      </w:pPr>
    </w:p>
    <w:p w14:paraId="2C30B63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3CA393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0029E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ноября 1940 ору</w:t>
      </w:r>
      <w:r w:rsidRPr="00A3026E">
        <w:rPr>
          <w:rFonts w:ascii="Times New Roman" w:hAnsi="Times New Roman"/>
          <w:color w:val="000000" w:themeColor="text1"/>
          <w:sz w:val="16"/>
          <w:szCs w:val="16"/>
        </w:rPr>
        <w:softHyphen/>
        <w:t>дие Ф-34 было рекомендовано для принятия на вооружение и предстало перед приемочной комиссией НКО (10782).</w:t>
      </w:r>
    </w:p>
    <w:p w14:paraId="5F977B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1633D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ноября 1940 г. вышло решение НКО по 107 мм танковой пушке и к началу 1941 был изготовлен опытный образец, который прошел заводские и полигонные испытания на полевом ла</w:t>
      </w:r>
      <w:r w:rsidRPr="00A3026E">
        <w:rPr>
          <w:rFonts w:ascii="Times New Roman" w:hAnsi="Times New Roman"/>
          <w:color w:val="000000" w:themeColor="text1"/>
          <w:sz w:val="16"/>
          <w:szCs w:val="16"/>
        </w:rPr>
        <w:softHyphen/>
        <w:t>фете. Но на вооружение орудие принято не было (10782).</w:t>
      </w:r>
    </w:p>
    <w:p w14:paraId="672EC44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82BFAD0"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На 21 ноября 1940 г. из оперативной сводки по СТЗ:</w:t>
      </w:r>
    </w:p>
    <w:p w14:paraId="1A41A11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Корпусов и башен на СТЗ поступило 12 шт., моторов – 15. Собраны и прошли заводские испытания 2 машины, подготавливаются к военным испытаниям 4 машины, 5 машин – на конвейерной сборке. Испытания заводским пробегом дали положительные результаты. Отсутствуют пушки. </w:t>
      </w:r>
    </w:p>
    <w:p w14:paraId="62CD59D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Военный представитель 2-го ранга Хорутко (11450).</w:t>
      </w:r>
    </w:p>
    <w:p w14:paraId="7AFCD503" w14:textId="77777777" w:rsidR="00C66762" w:rsidRPr="00A3026E" w:rsidRDefault="00C66762" w:rsidP="00A3026E">
      <w:pPr>
        <w:pStyle w:val="Iauiue"/>
        <w:jc w:val="both"/>
        <w:rPr>
          <w:color w:val="000000" w:themeColor="text1"/>
          <w:sz w:val="16"/>
          <w:szCs w:val="16"/>
        </w:rPr>
      </w:pPr>
    </w:p>
    <w:p w14:paraId="47BB0298"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21 ноября по 7 декабря 1940 г. прошли войсковые (государственные) испытания радиостанции КРСТБ, которые были проведены в 18-й танковой дивизии 7-го механизированного корпуса Московского военного округа во время войсковых тактических и командно-штабных учений на местности при отработке тем:</w:t>
      </w:r>
    </w:p>
    <w:p w14:paraId="6C5F6878"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Танковый батальон в наступательном бою в составе С.П.</w:t>
      </w:r>
    </w:p>
    <w:p w14:paraId="2337A8F9"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Марш танковой дивизии в предвидении встречного боя и встречный бой.</w:t>
      </w:r>
    </w:p>
    <w:p w14:paraId="295A2928"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Ввод танковой дивизии в прорыв в составе мех.корпуса и бой в глубине с оперативными резервами противника».</w:t>
      </w:r>
    </w:p>
    <w:p w14:paraId="02E9AF10"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[РГВА. Ф. 31811. Оп. 3. Д. 2107. Л. 1]</w:t>
      </w:r>
    </w:p>
    <w:p w14:paraId="59EDAFE2"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Испытания проводились комиссией под председательством командира 7-го механизированного корпуса генерал-майора В.И. Виноградова. На период испытаний радиостанции КРСТБ были установлены в танках Т-26 и БТ-7, при этом управление радиостанциями осуществлялось непосредственно командирами танковых частей и подразделений. Дополнительно, в рамках войсковых испытаний, комиссией были проведены испытания по определению механической прочности радиостанции КРСТБ и максимальной дальности связи.</w:t>
      </w:r>
    </w:p>
    <w:p w14:paraId="0E815E5A"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итогам войсковых испытаний комиссия сделала следующие выводы, зафиксированные в </w:t>
      </w:r>
      <w:hyperlink r:id="rId116" w:tgtFrame="_blank" w:history="1">
        <w:r w:rsidRPr="00A3026E">
          <w:rPr>
            <w:rStyle w:val="a5"/>
            <w:rFonts w:ascii="Times New Roman" w:hAnsi="Times New Roman"/>
            <w:color w:val="0070C0"/>
            <w:sz w:val="16"/>
            <w:szCs w:val="16"/>
          </w:rPr>
          <w:t>Акте по войсковым (государственным) испытаниям танковой радиостанции типа КРСТБ</w:t>
        </w:r>
      </w:hyperlink>
      <w:r w:rsidRPr="00A3026E">
        <w:rPr>
          <w:rFonts w:ascii="Times New Roman" w:hAnsi="Times New Roman"/>
          <w:color w:val="0070C0"/>
          <w:sz w:val="16"/>
          <w:szCs w:val="16"/>
        </w:rPr>
        <w:t>, от 11 декабря 1940 г.:</w:t>
      </w:r>
    </w:p>
    <w:p w14:paraId="140D66BC"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Рация КРСТБ обеспечивает полную возможность надежного управления по радио танковыми частями и в танковой дивизии во всех видах боя.</w:t>
      </w:r>
    </w:p>
    <w:p w14:paraId="612AEB13"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Рация КРСТБ обеспечивает полную возможность поддержания радиосвязи с танковой рацией 71-ТК-1 и в сетях взаимодействия с рациями 5-АК и РБ.</w:t>
      </w:r>
    </w:p>
    <w:p w14:paraId="46891B42"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Рация КРСТБ очень проста в управлении, не имеет органов точной настройки, усложняющих пользование ею, не требует длительной тренировки для освоения правил ее эксплоатации. Применение ларингофона вместо микрофона освобождает руки командира в танке при радиосвязи.</w:t>
      </w:r>
    </w:p>
    <w:p w14:paraId="14E78746"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Рация обеспечивает возможность организации сети связи без предварительной и демаскирующей работы по налаживанию последней, весьма быстрый и точный переход из одной сети связи в другую и быстрое вхождение в связь.</w:t>
      </w:r>
    </w:p>
    <w:p w14:paraId="113D492C"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Рация КРСТБ обеспечивает в зимнее время, в условиях пересеченной местности и значительных электрических помех радиоприему следующие дальности связи:</w:t>
      </w:r>
    </w:p>
    <w:p w14:paraId="772CCE0F"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На ходу танков:</w:t>
      </w:r>
    </w:p>
    <w:p w14:paraId="0CEA14AE"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штыревой антенне высотою 1 метр – до 5 км.</w:t>
      </w:r>
    </w:p>
    <w:p w14:paraId="0B281B2D"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штыревой антенне высотою 2 метра – до 10 – 15 км.</w:t>
      </w:r>
    </w:p>
    <w:p w14:paraId="1CA73729"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штыревой антенне высотою 3 метра – до 20 км.</w:t>
      </w:r>
    </w:p>
    <w:p w14:paraId="55FBE102"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штыревой антенне высотою 4 метра – до 30 – 35 км.</w:t>
      </w:r>
    </w:p>
    <w:p w14:paraId="3AF3DDA6"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На стоянке танков:</w:t>
      </w:r>
    </w:p>
    <w:p w14:paraId="388AED91"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штыревой антенне высотою 1 метр – до 10 км.</w:t>
      </w:r>
    </w:p>
    <w:p w14:paraId="44C8995C"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штыревой антенне высотою 2 метра – до 15 – 20 км.</w:t>
      </w:r>
    </w:p>
    <w:p w14:paraId="5EB03569"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штыревой антенне высотою 3 метра – до 25 – 30 км.</w:t>
      </w:r>
    </w:p>
    <w:p w14:paraId="28FDF8EE"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штыревой антенне высотою 4 метра – до 40 – 45 км.</w:t>
      </w:r>
    </w:p>
    <w:p w14:paraId="324378A3"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Рабочий комплект рации КРСТБ невелик по габаритам (32 дцм.³), может быть удобно размещен в танке и обеспечен питанием от нормальной 12-ти вольтовой бортовой сети танка. Вес рабочей части – 33 кг.</w:t>
      </w:r>
    </w:p>
    <w:p w14:paraId="6177C534"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Рация КРСТБ обеспечивает возможность организации радиосвязи на одной волне в танковом батальоне и в танковом полку.</w:t>
      </w:r>
    </w:p>
    <w:p w14:paraId="4AD53A60"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Для обеспечения радиосвязи в танковой дивизии каждой рации КРСТБ необходимо придавать кварцы на 15 волн. Кроме того, у каждого начальника связи танковой дивизии и у начальника связи танкового корпуса должно быть 15 комплектов кварцев, каждый на 10 волн, отличных от волн, приданных непосредственно рации, для организации сетей командования от командира корпуса до командира полка.</w:t>
      </w:r>
    </w:p>
    <w:p w14:paraId="712D5096"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Рация КРСТБ имеет преимущества перед рацией 71-ТК-1, состоящей на вооружении Б.Т. войск Красной Армии. Сравнительные данные рации КРСТБ и 71-ТК-1 изложены в прилагаемой ведомости.</w:t>
      </w:r>
    </w:p>
    <w:p w14:paraId="727970EB"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В процессе войсковых испытаний выявлен ряд конструктивных и технических недостатков рации КРСТБ, подлежащих устранению в первой серии раций. Эти недостатки изложены в прилагаемом перечне конструктивных изменений. Комиссия отмечает низкое качество выполнения деталей опытной партии раций КРСТБ заводом № 203 НКЭП».</w:t>
      </w:r>
    </w:p>
    <w:p w14:paraId="37EDCCE6"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[РГВА. Ф. 31811. Оп. 3. Д. 2107. Л. 2 – 3]</w:t>
      </w:r>
    </w:p>
    <w:p w14:paraId="38DA7231"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мнению комиссии, после устранения всех выявленных во время испытаний недостатков, танковую радиостанцию КРСТБ следовало бы принять на вооружение танковых войск Красной Армии. Ниже приведены основные технические и эксплуатационные характеристики радиостанций КРСТБ и 71-ТК-3.</w:t>
      </w:r>
    </w:p>
    <w:p w14:paraId="2F5B8516" w14:textId="77777777" w:rsidR="00AD2916" w:rsidRPr="00A3026E" w:rsidRDefault="00AD2916"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[РГВА. Ф. 31811. Оп. 3. Д. 2107. Л. 14 – 15] (20104).</w:t>
      </w:r>
    </w:p>
    <w:p w14:paraId="650D7B2D" w14:textId="77777777" w:rsidR="00AD2916" w:rsidRPr="00A3026E" w:rsidRDefault="00AD2916" w:rsidP="00A3026E">
      <w:pPr>
        <w:spacing w:after="0" w:line="240" w:lineRule="auto"/>
        <w:jc w:val="both"/>
        <w:rPr>
          <w:rFonts w:ascii="Times New Roman" w:hAnsi="Times New Roman"/>
          <w:color w:val="0070C0"/>
          <w:sz w:val="16"/>
          <w:szCs w:val="16"/>
        </w:rPr>
      </w:pPr>
    </w:p>
    <w:p w14:paraId="5084C59B"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109DAC5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BE968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ноября 1940 И.В.С. провел совещание с военными (2536,221).</w:t>
      </w:r>
    </w:p>
    <w:p w14:paraId="1449FB3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53738C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28B302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0C2D8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ноября 1940 АЛБАНИЯ. Греческие войска, развивая наступление, пересекли греко-албанскую границу. Приказ ком.ГР.А "Албания"(ит) ген.У.Содду об общем отходе итальянских войск из Греции (7594).</w:t>
      </w:r>
    </w:p>
    <w:p w14:paraId="1DEFF7A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9FCB60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EE02E1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9560D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22 ноября 1940 С.А.Кочеригин направил наркому авиапромышленности А.И.Шахурину письмо, в котором обращал его внимание на недопустимо медленные темпы работ по ОПБ М-90, просил разрешения о замене мотора М-90 на мотор М-89 и, кроме того, ходатайствовал о переподчинении его ОКБ из ОТБ НКВД директору завода № 156 Ленкину (9649).</w:t>
      </w:r>
    </w:p>
    <w:p w14:paraId="0546BCE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5CA62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ноября 1940 ГУ ВВС КА сделал запрос о возможности эксплуатации СБ в пикирующем варианте без усиления крыльев (2706,194).</w:t>
      </w:r>
    </w:p>
    <w:p w14:paraId="402FE93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138E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ноября 1940 была закончена постройка И-190 М-88 Н.Н.П. и машина была передана на заводские испытания (2090,113).</w:t>
      </w:r>
    </w:p>
    <w:p w14:paraId="4E532BD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7C6059D" w14:textId="77777777" w:rsidR="00785D81" w:rsidRPr="00A3026E" w:rsidRDefault="00785D8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ночь с 22 на 23 ноября 1940 года на обратном пути с с войсковых испытаний автожира А-7 произошла авария. Машины благополучно добрались до Брянска, где их заправили, после чего двинулись дальше. Через 35–45 минут после вылета двигатели стали работать с перебоями. Автожир №4 совершил вынужденную посадку возле Сухиничей, а вот посадка автожира №2 привела к серьёзной аварии. Возле разъезда Живодовка (неподалеку от Жиздры) пилот посадил машину на глинистое поле, автожир завяз передней стойкой шасси в грунте и скапотировал. Машина получила серьёзные повреждения, но лётчики остались невредимы. Несмотря на существенные повреждения, машину отремонтировали. А-7 обладал очень большой живучестью: это была не первая авария для автожиров данного типа, и ни одна из них не закончилась списанием машины.</w:t>
      </w:r>
    </w:p>
    <w:p w14:paraId="32D23373" w14:textId="77777777" w:rsidR="00785D81" w:rsidRPr="00A3026E" w:rsidRDefault="00785D8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Причину проблемы нашли быстро. Вопреки инструкции создателей машины, согласно которой летом использовалось касторовое масло, а зимой авиационное масло СО, оно же МК, причём в подогретом виде, машину заправили авиационным маслом Д-17 (оно же МЗС). Для двигателей М-22 это масло было непригодным, поскольку имело пониженную вязкость, из-за чего снижалась компрессия, заливались свечи и происходила остановка мотора. Ошибку допустили составлявшие новую инструкцию по эксплуатации специалисты НИИ ВВС. Во избежание повтора инцидента эту инструкцию срочно заменили (18227).</w:t>
      </w:r>
    </w:p>
    <w:p w14:paraId="450C8D55" w14:textId="77777777" w:rsidR="00785D81" w:rsidRPr="00A3026E" w:rsidRDefault="00785D81" w:rsidP="00A3026E">
      <w:pPr>
        <w:spacing w:after="0" w:line="240" w:lineRule="auto"/>
        <w:jc w:val="both"/>
        <w:rPr>
          <w:rFonts w:ascii="Times New Roman" w:hAnsi="Times New Roman"/>
          <w:color w:val="000000" w:themeColor="text1"/>
          <w:sz w:val="16"/>
          <w:szCs w:val="16"/>
        </w:rPr>
      </w:pPr>
    </w:p>
    <w:p w14:paraId="0D96C5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ноября 1940 зам. нач. ПГУ НКАП А.Д.Шиц подписал справку по решениям Правительства о премирование за внедрение в серийное производство самолетов в 1940: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8"/>
        <w:gridCol w:w="3330"/>
      </w:tblGrid>
      <w:tr w:rsidR="00983732" w:rsidRPr="00A3026E" w14:paraId="7D381E69" w14:textId="77777777" w:rsidTr="00EA0DA7">
        <w:tc>
          <w:tcPr>
            <w:tcW w:w="3168" w:type="dxa"/>
            <w:tcBorders>
              <w:top w:val="single" w:sz="12" w:space="0" w:color="auto"/>
            </w:tcBorders>
          </w:tcPr>
          <w:p w14:paraId="6C21C9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w:t>
            </w:r>
          </w:p>
        </w:tc>
        <w:tc>
          <w:tcPr>
            <w:tcW w:w="3330" w:type="dxa"/>
            <w:tcBorders>
              <w:top w:val="single" w:sz="12" w:space="0" w:color="auto"/>
            </w:tcBorders>
          </w:tcPr>
          <w:p w14:paraId="6731D1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w:t>
            </w:r>
          </w:p>
        </w:tc>
      </w:tr>
      <w:tr w:rsidR="00983732" w:rsidRPr="00A3026E" w14:paraId="34D5BBDF" w14:textId="77777777" w:rsidTr="00EA0DA7">
        <w:tc>
          <w:tcPr>
            <w:tcW w:w="3168" w:type="dxa"/>
          </w:tcPr>
          <w:p w14:paraId="6CF3AA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3330" w:type="dxa"/>
          </w:tcPr>
          <w:p w14:paraId="5ADB94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w:t>
            </w:r>
          </w:p>
        </w:tc>
      </w:tr>
      <w:tr w:rsidR="00983732" w:rsidRPr="00A3026E" w14:paraId="6AEC9354" w14:textId="77777777" w:rsidTr="00EA0DA7">
        <w:tc>
          <w:tcPr>
            <w:tcW w:w="3168" w:type="dxa"/>
          </w:tcPr>
          <w:p w14:paraId="069528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3330" w:type="dxa"/>
          </w:tcPr>
          <w:p w14:paraId="2346B7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w:t>
            </w:r>
          </w:p>
        </w:tc>
      </w:tr>
      <w:tr w:rsidR="00983732" w:rsidRPr="00A3026E" w14:paraId="7C3AFCA2" w14:textId="77777777" w:rsidTr="00EA0DA7">
        <w:tc>
          <w:tcPr>
            <w:tcW w:w="3168" w:type="dxa"/>
          </w:tcPr>
          <w:p w14:paraId="10DCE0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3330" w:type="dxa"/>
          </w:tcPr>
          <w:p w14:paraId="04A2FF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И-180</w:t>
            </w:r>
          </w:p>
        </w:tc>
      </w:tr>
      <w:tr w:rsidR="00983732" w:rsidRPr="00A3026E" w14:paraId="3AFC47F7" w14:textId="77777777" w:rsidTr="00EA0DA7">
        <w:tc>
          <w:tcPr>
            <w:tcW w:w="3168" w:type="dxa"/>
          </w:tcPr>
          <w:p w14:paraId="7DFACB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3330" w:type="dxa"/>
          </w:tcPr>
          <w:p w14:paraId="195A5F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СБ-РК</w:t>
            </w:r>
          </w:p>
        </w:tc>
      </w:tr>
      <w:tr w:rsidR="00983732" w:rsidRPr="00A3026E" w14:paraId="64422027" w14:textId="77777777" w:rsidTr="00EA0DA7">
        <w:tc>
          <w:tcPr>
            <w:tcW w:w="3168" w:type="dxa"/>
          </w:tcPr>
          <w:p w14:paraId="7B619F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3330" w:type="dxa"/>
          </w:tcPr>
          <w:p w14:paraId="6B4229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ПБ-100</w:t>
            </w:r>
          </w:p>
        </w:tc>
      </w:tr>
      <w:tr w:rsidR="00983732" w:rsidRPr="00A3026E" w14:paraId="5F6EE805" w14:textId="77777777" w:rsidTr="00EA0DA7">
        <w:tc>
          <w:tcPr>
            <w:tcW w:w="3168" w:type="dxa"/>
          </w:tcPr>
          <w:p w14:paraId="57D86F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c>
          <w:tcPr>
            <w:tcW w:w="3330" w:type="dxa"/>
          </w:tcPr>
          <w:p w14:paraId="252A36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ПБ-100</w:t>
            </w:r>
          </w:p>
        </w:tc>
      </w:tr>
      <w:tr w:rsidR="00983732" w:rsidRPr="00A3026E" w14:paraId="0732C08F" w14:textId="77777777" w:rsidTr="00EA0DA7">
        <w:tc>
          <w:tcPr>
            <w:tcW w:w="3168" w:type="dxa"/>
          </w:tcPr>
          <w:p w14:paraId="3CC7F4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w:t>
            </w:r>
          </w:p>
        </w:tc>
        <w:tc>
          <w:tcPr>
            <w:tcW w:w="3330" w:type="dxa"/>
          </w:tcPr>
          <w:p w14:paraId="5DF47B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ТБ-7</w:t>
            </w:r>
          </w:p>
        </w:tc>
      </w:tr>
      <w:tr w:rsidR="00983732" w:rsidRPr="00A3026E" w14:paraId="5FC6513D" w14:textId="77777777" w:rsidTr="00EA0DA7">
        <w:tc>
          <w:tcPr>
            <w:tcW w:w="3168" w:type="dxa"/>
          </w:tcPr>
          <w:p w14:paraId="4111E6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w:t>
            </w:r>
          </w:p>
        </w:tc>
        <w:tc>
          <w:tcPr>
            <w:tcW w:w="3330" w:type="dxa"/>
          </w:tcPr>
          <w:p w14:paraId="66BF9B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ББ-1</w:t>
            </w:r>
          </w:p>
        </w:tc>
      </w:tr>
      <w:tr w:rsidR="00983732" w:rsidRPr="00A3026E" w14:paraId="4BE8F2BD" w14:textId="77777777" w:rsidTr="00EA0DA7">
        <w:tc>
          <w:tcPr>
            <w:tcW w:w="3168" w:type="dxa"/>
          </w:tcPr>
          <w:p w14:paraId="562778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292</w:t>
            </w:r>
          </w:p>
        </w:tc>
        <w:tc>
          <w:tcPr>
            <w:tcW w:w="3330" w:type="dxa"/>
          </w:tcPr>
          <w:p w14:paraId="4337BA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w:t>
            </w:r>
          </w:p>
        </w:tc>
      </w:tr>
      <w:tr w:rsidR="00983732" w:rsidRPr="00A3026E" w14:paraId="4A55C0A2" w14:textId="77777777" w:rsidTr="00EA0DA7">
        <w:tc>
          <w:tcPr>
            <w:tcW w:w="3168" w:type="dxa"/>
          </w:tcPr>
          <w:p w14:paraId="42B526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301</w:t>
            </w:r>
          </w:p>
        </w:tc>
        <w:tc>
          <w:tcPr>
            <w:tcW w:w="3330" w:type="dxa"/>
          </w:tcPr>
          <w:p w14:paraId="3A82E3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w:t>
            </w:r>
          </w:p>
        </w:tc>
      </w:tr>
      <w:tr w:rsidR="00983732" w:rsidRPr="00A3026E" w14:paraId="399E260C" w14:textId="77777777" w:rsidTr="00EA0DA7">
        <w:tc>
          <w:tcPr>
            <w:tcW w:w="3168" w:type="dxa"/>
          </w:tcPr>
          <w:p w14:paraId="56CBD6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3330" w:type="dxa"/>
          </w:tcPr>
          <w:p w14:paraId="64E829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ББ-1</w:t>
            </w:r>
          </w:p>
        </w:tc>
      </w:tr>
      <w:tr w:rsidR="00983732" w:rsidRPr="00A3026E" w14:paraId="4AE4A0E0" w14:textId="77777777" w:rsidTr="00EA0DA7">
        <w:tc>
          <w:tcPr>
            <w:tcW w:w="3168" w:type="dxa"/>
          </w:tcPr>
          <w:p w14:paraId="03265A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c>
          <w:tcPr>
            <w:tcW w:w="3330" w:type="dxa"/>
          </w:tcPr>
          <w:p w14:paraId="717905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УТ-1</w:t>
            </w:r>
          </w:p>
        </w:tc>
      </w:tr>
      <w:tr w:rsidR="00983732" w:rsidRPr="00A3026E" w14:paraId="1A61A247" w14:textId="77777777" w:rsidTr="00EA0DA7">
        <w:tc>
          <w:tcPr>
            <w:tcW w:w="3168" w:type="dxa"/>
          </w:tcPr>
          <w:p w14:paraId="3FFC8B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w:t>
            </w:r>
          </w:p>
        </w:tc>
        <w:tc>
          <w:tcPr>
            <w:tcW w:w="3330" w:type="dxa"/>
          </w:tcPr>
          <w:p w14:paraId="566FCE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w:t>
            </w:r>
          </w:p>
        </w:tc>
      </w:tr>
      <w:tr w:rsidR="00983732" w:rsidRPr="00A3026E" w14:paraId="15FAB51D" w14:textId="77777777" w:rsidTr="00EA0DA7">
        <w:tc>
          <w:tcPr>
            <w:tcW w:w="3168" w:type="dxa"/>
            <w:tcBorders>
              <w:bottom w:val="single" w:sz="12" w:space="0" w:color="auto"/>
            </w:tcBorders>
          </w:tcPr>
          <w:p w14:paraId="2E9B4B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381</w:t>
            </w:r>
          </w:p>
        </w:tc>
        <w:tc>
          <w:tcPr>
            <w:tcW w:w="3330" w:type="dxa"/>
            <w:tcBorders>
              <w:bottom w:val="single" w:sz="12" w:space="0" w:color="auto"/>
            </w:tcBorders>
          </w:tcPr>
          <w:p w14:paraId="16A368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БШ-2 (1173)</w:t>
            </w:r>
          </w:p>
        </w:tc>
      </w:tr>
    </w:tbl>
    <w:p w14:paraId="4E02D04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CFE381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1FB9EE6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AFC5D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ноября 1940 г. Автотракторное управление ГАБТУ КА своим письмом просило зам. Народного комис</w:t>
      </w:r>
      <w:r w:rsidRPr="00A3026E">
        <w:rPr>
          <w:rFonts w:ascii="Times New Roman" w:hAnsi="Times New Roman"/>
          <w:color w:val="000000" w:themeColor="text1"/>
          <w:sz w:val="16"/>
          <w:szCs w:val="16"/>
        </w:rPr>
        <w:softHyphen/>
        <w:t>сара среднего машиностроения т. Акопова об обеспечении автомобиля ГАЗ-ЗА цепями новой конструкции (11211).</w:t>
      </w:r>
    </w:p>
    <w:p w14:paraId="7E9EE761"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311F74AB" w14:textId="77777777" w:rsidR="00C66762"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За</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рубежом</w:t>
      </w:r>
      <w:r w:rsidRPr="00A3026E">
        <w:rPr>
          <w:rFonts w:ascii="Times New Roman" w:hAnsi="Times New Roman"/>
          <w:i/>
          <w:iCs/>
          <w:color w:val="000000" w:themeColor="text1"/>
          <w:sz w:val="16"/>
          <w:szCs w:val="16"/>
          <w:lang w:val="en-US"/>
        </w:rPr>
        <w:t>:</w:t>
      </w:r>
    </w:p>
    <w:p w14:paraId="1ECB847D" w14:textId="77777777" w:rsidR="00C66762" w:rsidRPr="00A3026E" w:rsidRDefault="00C66762" w:rsidP="00A3026E">
      <w:pPr>
        <w:spacing w:after="0" w:line="240" w:lineRule="auto"/>
        <w:jc w:val="both"/>
        <w:rPr>
          <w:rFonts w:ascii="Times New Roman" w:hAnsi="Times New Roman"/>
          <w:iCs/>
          <w:color w:val="000000" w:themeColor="text1"/>
          <w:sz w:val="16"/>
          <w:szCs w:val="16"/>
          <w:lang w:val="en-US"/>
        </w:rPr>
      </w:pPr>
    </w:p>
    <w:p w14:paraId="00A66404"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November 22 (23 - 1796) 1940 Romania joins Axis (1037).</w:t>
      </w:r>
    </w:p>
    <w:p w14:paraId="0A578E33"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5BF6FC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ноября 1940 Румыния присоединилась к странам оси (1037).</w:t>
      </w:r>
    </w:p>
    <w:p w14:paraId="2D40409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FA39BF"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November 22 1940 Greeks defeat Italian 9th Army (1050).</w:t>
      </w:r>
    </w:p>
    <w:p w14:paraId="5E860EE7"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57F6AE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ноября 1940 Греция разбила 9 итальянскую армию (1050).</w:t>
      </w:r>
    </w:p>
    <w:p w14:paraId="2D9CC41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1C7DF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A19B9C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7FA19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 вышел совместный приказ НКАП и ВВС № 657/0293, соглас</w:t>
      </w:r>
      <w:r w:rsidRPr="00A3026E">
        <w:rPr>
          <w:rFonts w:ascii="Times New Roman" w:hAnsi="Times New Roman"/>
          <w:color w:val="000000" w:themeColor="text1"/>
          <w:sz w:val="16"/>
          <w:szCs w:val="16"/>
        </w:rPr>
        <w:softHyphen/>
        <w:t>но которому С.В.Ильюшин обязывался в 2-х месячный срок разработать и ус</w:t>
      </w:r>
      <w:r w:rsidRPr="00A3026E">
        <w:rPr>
          <w:rFonts w:ascii="Times New Roman" w:hAnsi="Times New Roman"/>
          <w:color w:val="000000" w:themeColor="text1"/>
          <w:sz w:val="16"/>
          <w:szCs w:val="16"/>
        </w:rPr>
        <w:softHyphen/>
        <w:t>тановить на БШ-2 две пушки МП-6.</w:t>
      </w:r>
    </w:p>
    <w:p w14:paraId="30BFCB3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8E3EE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и 14 декабря 1940 приказами НКАП Ильюшин обязывался установить на БШ-2 две 23-мм пушки МП-6 и с ними к 10 января 1941 г. закончить заводские испытания. В это же время принимается решение об установке на БШ-2 мотора АМ-35А, пришедшего в производстве на смену АМ-35 (12020).</w:t>
      </w:r>
    </w:p>
    <w:p w14:paraId="6B35DF9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D3640AA" w14:textId="77777777" w:rsidR="00B20F0E" w:rsidRPr="00A3026E" w:rsidRDefault="00B20F0E" w:rsidP="00A3026E">
      <w:pPr>
        <w:autoSpaceDE w:val="0"/>
        <w:autoSpaceDN w:val="0"/>
        <w:adjustRightInd w:val="0"/>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23 ноября 1940 г. вышел совместный приказ НКАП и ВВС № 657/0293, согласно которому С. В. Ильюшин обязывался в двух месячный срок разработать и установить на БШ-2 две пушки калибра 23 мм МП-6 конструкции Я. Г. Таубина и М. Н. Бабурина (ОКБ-16 НКВ) (9649).</w:t>
      </w:r>
    </w:p>
    <w:p w14:paraId="555B9B17" w14:textId="77777777" w:rsidR="00B20F0E" w:rsidRPr="00A3026E" w:rsidRDefault="00B20F0E" w:rsidP="00A3026E">
      <w:pPr>
        <w:autoSpaceDE w:val="0"/>
        <w:autoSpaceDN w:val="0"/>
        <w:adjustRightInd w:val="0"/>
        <w:spacing w:after="0" w:line="240" w:lineRule="auto"/>
        <w:jc w:val="both"/>
        <w:rPr>
          <w:rFonts w:ascii="Times New Roman" w:hAnsi="Times New Roman"/>
          <w:color w:val="0070C0"/>
          <w:sz w:val="16"/>
          <w:szCs w:val="16"/>
        </w:rPr>
      </w:pPr>
    </w:p>
    <w:p w14:paraId="0CD04FA6" w14:textId="77777777" w:rsidR="00785D81" w:rsidRPr="00A3026E" w:rsidRDefault="00785D8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shd w:val="clear" w:color="auto" w:fill="FFFFFF"/>
        </w:rPr>
        <w:t>23 ноября 1940 г выходит приказ НКАП и ВВС №657/0293, согласно которому С.Ильюшин обязывался в двухмесячный срок установить на БШ-2 две пушки МП-6 (19205).</w:t>
      </w:r>
    </w:p>
    <w:p w14:paraId="2E8C3D0B" w14:textId="77777777" w:rsidR="00785D81" w:rsidRPr="00A3026E" w:rsidRDefault="00785D81" w:rsidP="00A3026E">
      <w:pPr>
        <w:spacing w:after="0" w:line="240" w:lineRule="auto"/>
        <w:jc w:val="both"/>
        <w:rPr>
          <w:rFonts w:ascii="Times New Roman" w:hAnsi="Times New Roman"/>
          <w:color w:val="000000" w:themeColor="text1"/>
          <w:sz w:val="16"/>
          <w:szCs w:val="16"/>
        </w:rPr>
      </w:pPr>
    </w:p>
    <w:p w14:paraId="550E89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вышел приказ НКАП и Начальника Гл. Управления ВВС КА N 657с/0293 (557c/0293 - 1248) "О конструировании и изготовлении установок на самолеты под 23 мм пушку и под 12.7 мм пулемет Таубина-Бабурина. Для создания стандартных установок под пушку и пулемет было приказано:</w:t>
      </w:r>
    </w:p>
    <w:p w14:paraId="29B002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Главным конструкторам и директорам заводов НКАП N 1 т.т. Дементьеву и А.И.Микояну, N 21 т.т. Воронину и Лавочкину, N 39 т.т. Соколову и Ильюшину и N 289 т. Сухому обеспечить конструирование и изготовление в двухмесячный срок следующих образцов стандартных установок для подачи на конкурсные испытания:</w:t>
      </w:r>
    </w:p>
    <w:p w14:paraId="604E23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установки 23 мм пушки в моторе - заводам 1 и 21</w:t>
      </w:r>
    </w:p>
    <w:p w14:paraId="30A732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фюзеляжных установок 23 мм пушек и 12.7 мм пулеметов - завод 1</w:t>
      </w:r>
    </w:p>
    <w:p w14:paraId="193662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крыльевых установок 23 мм пушек и 1277 мм пулеметов - заводы 1, 39 и 289.</w:t>
      </w:r>
    </w:p>
    <w:p w14:paraId="5666DD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Директору завода 32 тов., М.С.Жезлову и главным конструкторам КБ-2 и КБ-4 т.т. Можаровскому, Веневидову и Шебанову обеспечить конструирование, изготовление и подачу на испытания образцов турелей: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38"/>
        <w:gridCol w:w="4680"/>
      </w:tblGrid>
      <w:tr w:rsidR="00983732" w:rsidRPr="00A3026E" w14:paraId="259DCE88" w14:textId="77777777" w:rsidTr="00EA0DA7">
        <w:tc>
          <w:tcPr>
            <w:tcW w:w="4338" w:type="dxa"/>
            <w:tcBorders>
              <w:top w:val="single" w:sz="12" w:space="0" w:color="auto"/>
            </w:tcBorders>
          </w:tcPr>
          <w:p w14:paraId="4353E3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под пулемет 12.7 мм</w:t>
            </w:r>
          </w:p>
        </w:tc>
        <w:tc>
          <w:tcPr>
            <w:tcW w:w="4680" w:type="dxa"/>
            <w:tcBorders>
              <w:top w:val="single" w:sz="12" w:space="0" w:color="auto"/>
            </w:tcBorders>
          </w:tcPr>
          <w:p w14:paraId="045756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 23 февраля 1941</w:t>
            </w:r>
          </w:p>
        </w:tc>
      </w:tr>
      <w:tr w:rsidR="00983732" w:rsidRPr="00A3026E" w14:paraId="2D449F14" w14:textId="77777777" w:rsidTr="00EA0DA7">
        <w:tc>
          <w:tcPr>
            <w:tcW w:w="4338" w:type="dxa"/>
            <w:tcBorders>
              <w:bottom w:val="single" w:sz="12" w:space="0" w:color="auto"/>
            </w:tcBorders>
          </w:tcPr>
          <w:p w14:paraId="3208F8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под 23 мм пушку</w:t>
            </w:r>
          </w:p>
        </w:tc>
        <w:tc>
          <w:tcPr>
            <w:tcW w:w="4680" w:type="dxa"/>
            <w:tcBorders>
              <w:bottom w:val="single" w:sz="12" w:space="0" w:color="auto"/>
            </w:tcBorders>
          </w:tcPr>
          <w:p w14:paraId="1D219B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 1 мая 1941</w:t>
            </w:r>
          </w:p>
        </w:tc>
      </w:tr>
    </w:tbl>
    <w:p w14:paraId="3C9785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При разработке установок учесть результаты испытаний на самолетах И-21, И-301, Ме-110, СБ (АНТ-40), а также установок завода 26 на М-105П</w:t>
      </w:r>
    </w:p>
    <w:p w14:paraId="1BF110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При разработке стандартных установок конструкторам руководствоваться единым чертежом 23 мм пушки и 12.7 мм пулемета, представляемых ОКБ-16.</w:t>
      </w:r>
    </w:p>
    <w:p w14:paraId="0A055F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Для проведения испытаний и выбора лучшей установки назначаем комиссию в составе:</w:t>
      </w:r>
    </w:p>
    <w:p w14:paraId="0B37B3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Председателя - Начальника НИПАВ - полковника т. Шевченко,</w:t>
      </w:r>
    </w:p>
    <w:p w14:paraId="72EE12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НКАП бригинженер т.Занесений,</w:t>
      </w:r>
    </w:p>
    <w:p w14:paraId="324528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НИИ ВВС военинженер 1 ранга т. Ссорин</w:t>
      </w:r>
    </w:p>
    <w:p w14:paraId="2241C8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от ГУ ВВС военинженер 2 ранга т. Нырков</w:t>
      </w:r>
    </w:p>
    <w:p w14:paraId="50C038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ОКБ-16 по назначению Начальника ОКБ.</w:t>
      </w:r>
    </w:p>
    <w:p w14:paraId="7943BD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финансирование производить:</w:t>
      </w:r>
    </w:p>
    <w:p w14:paraId="36D313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самолетным установкам за счет ГУ ВВС НА;</w:t>
      </w:r>
    </w:p>
    <w:p w14:paraId="5AAFD5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турелям за счет госбюдаетных средств по плану опыт</w:t>
      </w:r>
      <w:r w:rsidRPr="00A3026E">
        <w:rPr>
          <w:rFonts w:ascii="Times New Roman" w:hAnsi="Times New Roman"/>
          <w:color w:val="000000" w:themeColor="text1"/>
          <w:sz w:val="16"/>
          <w:szCs w:val="16"/>
        </w:rPr>
        <w:softHyphen/>
        <w:t>ных работ 1941 года;</w:t>
      </w:r>
    </w:p>
    <w:p w14:paraId="269C3D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Для премирования конструкторов за лучшие образцы, при</w:t>
      </w:r>
      <w:r w:rsidRPr="00A3026E">
        <w:rPr>
          <w:rFonts w:ascii="Times New Roman" w:hAnsi="Times New Roman"/>
          <w:color w:val="000000" w:themeColor="text1"/>
          <w:sz w:val="16"/>
          <w:szCs w:val="16"/>
        </w:rPr>
        <w:softHyphen/>
        <w:t>нятые комиссией, НКАП выделяет 75.000 рублей.</w:t>
      </w:r>
    </w:p>
    <w:p w14:paraId="52E860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(А.Шахурин)</w:t>
      </w:r>
    </w:p>
    <w:p w14:paraId="37B7E6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(Рычагов) (419,53)</w:t>
      </w:r>
    </w:p>
    <w:p w14:paraId="251551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77763C2" w14:textId="77777777" w:rsidR="00B20F0E" w:rsidRPr="00A3026E" w:rsidRDefault="00B20F0E" w:rsidP="00A3026E">
      <w:pPr>
        <w:autoSpaceDE w:val="0"/>
        <w:autoSpaceDN w:val="0"/>
        <w:adjustRightInd w:val="0"/>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23 ноября 1940 Госкомиссия в акте установила срок службы мотора АМ-35А до первой переборки в 100 часов. Однако ни одного Ил-2 с этим мотором построено не было, так как программа выпуска АМ-35А на заводе № 24 приказом А. И. Шахурина № 785 от 30 декабря 1940 г. была сокращена на 2000 штук, а ведь этот мотор устанавливался на скоростной истребитель МиГ-1 (позже МиГ-3), которому он был нужнее, чем низковысотному штурмовику (9649).</w:t>
      </w:r>
    </w:p>
    <w:p w14:paraId="5A3ACEB6" w14:textId="77777777" w:rsidR="00B20F0E" w:rsidRPr="00A3026E" w:rsidRDefault="00B20F0E" w:rsidP="00A3026E">
      <w:pPr>
        <w:autoSpaceDE w:val="0"/>
        <w:autoSpaceDN w:val="0"/>
        <w:adjustRightInd w:val="0"/>
        <w:spacing w:after="0" w:line="240" w:lineRule="auto"/>
        <w:jc w:val="both"/>
        <w:rPr>
          <w:rFonts w:ascii="Times New Roman" w:hAnsi="Times New Roman"/>
          <w:color w:val="0070C0"/>
          <w:sz w:val="16"/>
          <w:szCs w:val="16"/>
        </w:rPr>
      </w:pPr>
    </w:p>
    <w:p w14:paraId="3DE722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 Совместным приказом от НКАП и ВВС обязали главных конструкторов Микояна, Лавочкина, Ильюшина и Сухого обеспечить в двухмесячный срок разработку и изготовление стандартных установок под пушку МП—6 и пулемет АП—12,7 конструкции Таубина и Бабурина (9984).</w:t>
      </w:r>
    </w:p>
    <w:p w14:paraId="671FDD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C8EC784" w14:textId="77777777" w:rsidR="00250F99" w:rsidRPr="00A3026E" w:rsidRDefault="00250F99"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23 ноября 1940 вышел совместный приказ НКАП и ВВС № 657/0298 «О конструировании и изготов</w:t>
      </w:r>
      <w:r w:rsidRPr="00A3026E">
        <w:rPr>
          <w:color w:val="000000" w:themeColor="text1"/>
          <w:sz w:val="16"/>
          <w:szCs w:val="16"/>
        </w:rPr>
        <w:softHyphen/>
        <w:t>лении установок на самолеты под 23-мм пушку и под 12,7-мм пулемет Таубина—Бабурина».</w:t>
      </w:r>
    </w:p>
    <w:p w14:paraId="1C88EC32" w14:textId="77777777" w:rsidR="00250F99" w:rsidRPr="00A3026E" w:rsidRDefault="00250F99"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Согласно приказу А. И. Микоян, С. А. Лавочкин, С. В. Ильюшин, П. О. Сухой и директора заводов № 1, 21 и 39 — П. В. Дементьев, П. А. Воронин и Л. П. Соколов — обязывались под автоматы ОКБ-16 разработать и изготовить стандартные установки «для подачи на конкурсные испытания». Установки требовалось предъявить в течение 2 месяцев со дня выхода приказа.</w:t>
      </w:r>
    </w:p>
    <w:p w14:paraId="4BD9FA74" w14:textId="77777777" w:rsidR="00250F99" w:rsidRPr="00A3026E" w:rsidRDefault="00250F99"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Одновременно директору завода № 32 М. С. Жезлову и главным конструкторам КБ-2 и КБ-4 завода Г. М. Можаровскому, И. В. Веневидову и И. П. Шебанову поручалась разработка турелей: под 12,7-мм пулемет АП-12,7 — к 23 февраля, под пушку ПТБ-23 — к 1 мая 1941 г.</w:t>
      </w:r>
    </w:p>
    <w:p w14:paraId="046A0824" w14:textId="77777777" w:rsidR="00250F99" w:rsidRPr="00A3026E" w:rsidRDefault="00250F99"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Для проведения испытаний назначалась комис</w:t>
      </w:r>
      <w:r w:rsidRPr="00A3026E">
        <w:rPr>
          <w:color w:val="000000" w:themeColor="text1"/>
          <w:sz w:val="16"/>
          <w:szCs w:val="16"/>
        </w:rPr>
        <w:softHyphen/>
        <w:t>сия в составе начальника НИП АВ ВВС полковника Г. М. Шевченко (председатель комиссии), бригинже- нера П. Я. Залесского (от НКАП), военинженера 1-го ранга К. П. Ссорина (от НИИ ВВС), военинженера 2-го ранга Г. Г. Ныркова (от ГУ ВВС) и представителя ОКБ-16.</w:t>
      </w:r>
    </w:p>
    <w:p w14:paraId="72C6F1F1" w14:textId="77777777" w:rsidR="00250F99" w:rsidRPr="00A3026E" w:rsidRDefault="00250F99"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От участников конкурса требовалось руко</w:t>
      </w:r>
      <w:r w:rsidRPr="00A3026E">
        <w:rPr>
          <w:color w:val="000000" w:themeColor="text1"/>
          <w:sz w:val="16"/>
          <w:szCs w:val="16"/>
        </w:rPr>
        <w:softHyphen/>
        <w:t>водствоваться едиными чертежами пушки ПТБ-23 и пулемета АП-12,7, а также учесть результаты ис</w:t>
      </w:r>
      <w:r w:rsidRPr="00A3026E">
        <w:rPr>
          <w:color w:val="000000" w:themeColor="text1"/>
          <w:sz w:val="16"/>
          <w:szCs w:val="16"/>
        </w:rPr>
        <w:softHyphen/>
        <w:t>пытаний пушки ПТБ-23 на самолетах И-21, И-301, Ме-110, СБ и пушечных установок завода № 26 на моторе М-105П (17500).</w:t>
      </w:r>
    </w:p>
    <w:p w14:paraId="553C927A" w14:textId="77777777" w:rsidR="00250F99" w:rsidRPr="00A3026E" w:rsidRDefault="00250F99" w:rsidP="00A3026E">
      <w:pPr>
        <w:pStyle w:val="128"/>
        <w:shd w:val="clear" w:color="auto" w:fill="auto"/>
        <w:spacing w:after="0" w:line="240" w:lineRule="auto"/>
        <w:jc w:val="both"/>
        <w:rPr>
          <w:color w:val="000000" w:themeColor="text1"/>
          <w:sz w:val="16"/>
          <w:szCs w:val="16"/>
        </w:rPr>
      </w:pPr>
    </w:p>
    <w:p w14:paraId="0FCC29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года начальник НИИ ВВС генерал-майор Филин писал письмо зам. начальника ГУ ВВС генерал-лейтенанту авиации Астахову.</w:t>
      </w:r>
    </w:p>
    <w:p w14:paraId="266AF6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 что на заводе N 81 запущен в серийное производство самолет ББ-22 с моторами М-105.</w:t>
      </w:r>
    </w:p>
    <w:p w14:paraId="708741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Указанный самолет представляет собой модификацию самолета ББ-22 с 2М-103, в который внесены изменения...</w:t>
      </w:r>
    </w:p>
    <w:p w14:paraId="0FEB19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со внесенными изменениями гос. испытаний не проходил.</w:t>
      </w:r>
    </w:p>
    <w:p w14:paraId="494DEF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4DE495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дать указания заводу N 81 о немедленном устранении дефектов на эталоне завода N 81 и внесении соответствующих изменений в чертежи изготовляемые на заводе N 380, а также о предъявлении самолета на гос. испытания в НИИ ВВС для утверждения в качестве эталона не позже 15 декабря 1940 г. (3489,28-30).</w:t>
      </w:r>
    </w:p>
    <w:p w14:paraId="5559A34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ADAD6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года начальник ГУ ВВС генерал-лейтенант авиации П. Рычагов писал письмо № 501713с наркому обороны маршалу Тимошенко</w:t>
      </w:r>
    </w:p>
    <w:p w14:paraId="685968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июле 1940 года был утвержден отчет по госиспытаниям дальнего бомбардировщика – летающее крыло (ДБЛК-2М-87Б), конструкции инженера Беляева и решение технического совета при НИИ ВВС по этому вопросу.</w:t>
      </w:r>
    </w:p>
    <w:p w14:paraId="4911AD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Указанными документами, конструктор обязывался провести на самолете ряд доводочных работ в целях улучшения:</w:t>
      </w:r>
    </w:p>
    <w:p w14:paraId="463C12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взлетно-посадочных свойств;</w:t>
      </w:r>
    </w:p>
    <w:p w14:paraId="0997F0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управляемости и устойчивости;</w:t>
      </w:r>
    </w:p>
    <w:p w14:paraId="24DF98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работы фюзеляжных стрелковых установок;</w:t>
      </w:r>
    </w:p>
    <w:p w14:paraId="30ED38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обзора экипажа.</w:t>
      </w:r>
    </w:p>
    <w:p w14:paraId="1799FB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работы не проведены и сам самолет до сих пор стоит не использованным на аэродроме НИИ ВВС.</w:t>
      </w:r>
    </w:p>
    <w:p w14:paraId="094E37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Схема ДБЛК имеет ряд преимуществ по сравнению с обычной схемой самолета:</w:t>
      </w:r>
    </w:p>
    <w:p w14:paraId="18A37E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возможность получения большей максимальной скорости на 35-40 км/час;</w:t>
      </w:r>
    </w:p>
    <w:p w14:paraId="532BD5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возможность более эффективной обороны задней полусферы самолета.</w:t>
      </w:r>
    </w:p>
    <w:p w14:paraId="53B694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Конструктором сейчас просчитан вариант этого самолета под два мотора М-71 (ДБ-380 2М-71) с измененным расположением экипажа и другими изменениями, вытекающими из указаний Технического совета при НИИ ВВС.</w:t>
      </w:r>
    </w:p>
    <w:p w14:paraId="1E6B1F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расчетам получены следующие данные:</w:t>
      </w:r>
    </w:p>
    <w:p w14:paraId="0EA661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6000 м – 590 км/час</w:t>
      </w:r>
    </w:p>
    <w:p w14:paraId="1FF760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 10500 м</w:t>
      </w:r>
    </w:p>
    <w:p w14:paraId="7036BD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в перегруженном варианте – 4000 км</w:t>
      </w:r>
    </w:p>
    <w:p w14:paraId="7F1921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емкость бомбодержателей – 2000 кг внутрь и 2000 кг снаружи</w:t>
      </w:r>
    </w:p>
    <w:p w14:paraId="023357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вооружение как и у ДБЛК, т.е. четыре подвижных пулемета 7,62 назад и два пулемета 7,62 мм вперед</w:t>
      </w:r>
    </w:p>
    <w:p w14:paraId="06ABA8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большое значение преимуществ схемы ДБЛК для боевых самолетов, прошу Вашего ходатайства перед КО о представлении самостоятельной производственной базы КБ Беляева, так как условия работы КБ на заводе № 156 не позволяют вести работу нужными темпами. Завод № 156 сейчас занят выполнением более актуальных работ по постройке самолетов бомбардировщиков 102 и 103.</w:t>
      </w:r>
    </w:p>
    <w:p w14:paraId="026C6A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возможным включить в план КБ Беляева на 1941 год помимо работ, связанных с доводкой ДБЛК (ДБ-350) и работ, связанных с достройкой истребителя, заданного по плану 1940 года, постройку одного экземпляра самолета ДБ-380 2М-71 с данными, указанными выше (7711, 382-383).</w:t>
      </w:r>
    </w:p>
    <w:p w14:paraId="1443867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D8926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года начальник НИИ ВВС генерал-майор авиации Филин писал письмо № 01297 начальнику ГУ ВВС генерал-лейтенанту авиации Рычагову.</w:t>
      </w:r>
    </w:p>
    <w:p w14:paraId="11A04FD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июле 1940 года был утвержден отчет по гос. испытаниям самолета ДБЛК-2М87Б конструкции инженера Беляева и решение Технического совета при НИИ по этому вопросу.</w:t>
      </w:r>
    </w:p>
    <w:p w14:paraId="4E2326F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Указанными документами конструктор обязывался провести на самолете ряд доводочных работ в целях улучшения:</w:t>
      </w:r>
    </w:p>
    <w:p w14:paraId="359BDA3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взлетно-посадочных свойств;</w:t>
      </w:r>
    </w:p>
    <w:p w14:paraId="370EE75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управляемости и устойчивости;</w:t>
      </w:r>
    </w:p>
    <w:p w14:paraId="51CEB8E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работы фюзеляжных стрелковых установок;</w:t>
      </w:r>
    </w:p>
    <w:p w14:paraId="0298086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обзора экипажа.</w:t>
      </w:r>
    </w:p>
    <w:p w14:paraId="1D88124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работы не проведены и сам самолет до сих пор стоит неиспользованный на аэродроме НИИ ВВС.</w:t>
      </w:r>
    </w:p>
    <w:p w14:paraId="08319E4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Схема ДБЛК имеет ряд преимуществ по сравнению с обычной схемой самолета:</w:t>
      </w:r>
    </w:p>
    <w:p w14:paraId="7292305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возможность получения большей максимальной скорости на 35-40 км/час;</w:t>
      </w:r>
    </w:p>
    <w:p w14:paraId="6D560B1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возможность более эффективной обороны задней полусферы самолета.</w:t>
      </w:r>
    </w:p>
    <w:p w14:paraId="18F4714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Конструктором сейчас просчитан вариант этого самолета под два мотора М-71 (ДБ-380-2М71) с измененным расположением экипажа и другими изменениями, вытекающими из указаний Техсовета при НИИ. Получены данные:</w:t>
      </w:r>
    </w:p>
    <w:p w14:paraId="74A9CD3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6000 м – 590 км/час</w:t>
      </w:r>
    </w:p>
    <w:p w14:paraId="3132817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 10500 м</w:t>
      </w:r>
    </w:p>
    <w:p w14:paraId="799D549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в перегруженном варианте – 4000 км</w:t>
      </w:r>
    </w:p>
    <w:p w14:paraId="23C43FE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Емкость бомбодержателей – 2000 кг внутрь и 2000 кг – снаружи</w:t>
      </w:r>
    </w:p>
    <w:p w14:paraId="3AD4BA1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вооружение то же, что и у ДБЛК.</w:t>
      </w:r>
    </w:p>
    <w:p w14:paraId="0DF2F1A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большое значение преимуществ схемы ДБЛК для боевых самолетов, необходимо возбудить ходатайство перед КО о предоставлении КБ Беляева самостоятельной производственной базы.</w:t>
      </w:r>
    </w:p>
    <w:p w14:paraId="3C2D2E1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возможным включить в план на 1941 год КБ Беляева, помимо работ по доводке построенного экземпляра ДБЛК и достройке истребителя, заданного планом 1940 года, постройку одного экземпляра самолета ДБ-380-2М-71 (6893, 45-46).</w:t>
      </w:r>
    </w:p>
    <w:p w14:paraId="2C4F134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0A492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приказом НКАП С.А.Л. назначен ГК завода 21 (862).</w:t>
      </w:r>
    </w:p>
    <w:p w14:paraId="7492E39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FBF461B" w14:textId="77777777" w:rsidR="005D6604" w:rsidRPr="00A3026E" w:rsidRDefault="005D66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23 ноября 1940 г. Приказом по НКАП № 657  главным конструктором завода №21 был назначен Семен Алексеевич Лавочкин. Завод приступил к выпуску более скоростной машины ЛаГГ-3 (21100).</w:t>
      </w:r>
    </w:p>
    <w:p w14:paraId="07F12C2A" w14:textId="77777777" w:rsidR="005D6604" w:rsidRPr="00A3026E" w:rsidRDefault="005D6604" w:rsidP="00A3026E">
      <w:pPr>
        <w:spacing w:after="0" w:line="240" w:lineRule="auto"/>
        <w:jc w:val="both"/>
        <w:rPr>
          <w:rFonts w:ascii="Times New Roman" w:hAnsi="Times New Roman"/>
          <w:color w:val="0070C0"/>
          <w:sz w:val="16"/>
          <w:szCs w:val="16"/>
        </w:rPr>
      </w:pPr>
    </w:p>
    <w:p w14:paraId="423249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 приказом НКАП № 657 С.А.Лавочкин был назначен главным конструктором завода № 21 с задачей целиком сосредоточиться на внедрении самолета И-301 в серийное производство, но это еще не означало, что Семен Алексеевич стал Главным по самолету в целом (4707).</w:t>
      </w:r>
    </w:p>
    <w:p w14:paraId="1E46735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FC30AED" w14:textId="77777777" w:rsidR="00785D81" w:rsidRPr="00A3026E" w:rsidRDefault="00785D81" w:rsidP="00A3026E">
      <w:pPr>
        <w:pStyle w:val="5e"/>
        <w:shd w:val="clear" w:color="auto" w:fill="auto"/>
        <w:tabs>
          <w:tab w:val="left" w:pos="4715"/>
        </w:tabs>
        <w:spacing w:line="240" w:lineRule="auto"/>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23 ноября 1940 г. согласно приказу НКАП № 657 С.А.Л получил долж</w:t>
      </w:r>
      <w:r w:rsidRPr="00A3026E">
        <w:rPr>
          <w:rFonts w:ascii="Times New Roman" w:hAnsi="Times New Roman" w:cs="Times New Roman"/>
          <w:color w:val="000000" w:themeColor="text1"/>
          <w:sz w:val="16"/>
          <w:szCs w:val="16"/>
        </w:rPr>
        <w:softHyphen/>
        <w:t>ность главного конструктора авиаза</w:t>
      </w:r>
      <w:r w:rsidRPr="00A3026E">
        <w:rPr>
          <w:rFonts w:ascii="Times New Roman" w:hAnsi="Times New Roman" w:cs="Times New Roman"/>
          <w:color w:val="000000" w:themeColor="text1"/>
          <w:sz w:val="16"/>
          <w:szCs w:val="16"/>
        </w:rPr>
        <w:softHyphen/>
        <w:t>вода № 21 в Горьком. 10 февраля 1941 г. вышел еще один приказ нар</w:t>
      </w:r>
      <w:r w:rsidRPr="00A3026E">
        <w:rPr>
          <w:rFonts w:ascii="Times New Roman" w:hAnsi="Times New Roman" w:cs="Times New Roman"/>
          <w:color w:val="000000" w:themeColor="text1"/>
          <w:sz w:val="16"/>
          <w:szCs w:val="16"/>
        </w:rPr>
        <w:softHyphen/>
        <w:t>комата, которым это предприятие было определено как головное в ос</w:t>
      </w:r>
      <w:r w:rsidRPr="00A3026E">
        <w:rPr>
          <w:rFonts w:ascii="Times New Roman" w:hAnsi="Times New Roman" w:cs="Times New Roman"/>
          <w:color w:val="000000" w:themeColor="text1"/>
          <w:sz w:val="16"/>
          <w:szCs w:val="16"/>
        </w:rPr>
        <w:softHyphen/>
        <w:t>воении ЛаГГ-3 (19106).</w:t>
      </w:r>
    </w:p>
    <w:p w14:paraId="4886DC6C" w14:textId="77777777" w:rsidR="00785D81" w:rsidRPr="00A3026E" w:rsidRDefault="00785D81" w:rsidP="00A3026E">
      <w:pPr>
        <w:pStyle w:val="5e"/>
        <w:shd w:val="clear" w:color="auto" w:fill="auto"/>
        <w:spacing w:line="240" w:lineRule="auto"/>
        <w:rPr>
          <w:rFonts w:ascii="Times New Roman" w:hAnsi="Times New Roman" w:cs="Times New Roman"/>
          <w:color w:val="000000" w:themeColor="text1"/>
          <w:sz w:val="16"/>
          <w:szCs w:val="16"/>
        </w:rPr>
      </w:pPr>
    </w:p>
    <w:p w14:paraId="78C2E9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 по приказу НКАП № 657сс часть ОКБ-301 под руководством гл. конструктора С.А. Лавочкина переведена на завод № 21 НКАП для координации доводки и организации серийного производства самолета И-301 (ЛаГГ-1). Лавочкин назначен гл. конструктором завода (однако вначале планировалось перевести его на завод № 23). В распоряжение Лавочкина передан имеющийся состав ИТР завода. ОКБ работало здесь под названием ОКБ-21 НКАП. В конце 1941 г. сюда эвакуировалась часть ОКБ-301 из Химок.</w:t>
      </w:r>
    </w:p>
    <w:p w14:paraId="6877A0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решением о развертывании на заводе производства Як-7 вместо ЛаГТ-3, в соответствии с пост. ГКО № 1388сс от 4.03.1942 г. и приказом № 185сс от 9.03.1942 г. основной состав ОКБ был отправлен на завод № 31. Небольшая часть коллектива во главе с Лавочкиным осталась в Горьком для завершения серии ЛаГГ-3. Затем Лавочкину удалось добиться у руководства продолжения производства на заводе Ла-5. В связи с этим уже размещенная на новом месте часть ОКБ и опытное производство были направлены обратно на завод № 21 в соответствии с пост. ГКО № 1786сс от 19.05.1942 г. и приказом № 412с от 30.05.1942 г. Опытная база ОКБ на заводе № 21 была восстановлена лишь к 07.1942 г., а полностью коллектив возвратился из Тбилиси только осенью 1942 г. Эти непродуманные перемещения, виновником которых был прежде всего зам. наркома А.С. Яковлев, пагубно сказывались на работе коллектива. 2.11.1942 г. вышло постановление ГКО № 2467сс об улучшении летных данных самолета ЛаГГ-3. 15.11.1942 г. вышло постановление ГКО № 2514 об улучшении летных и эксплуатационных данных Ла-5. 9.12.1942 г. -новое постановление ГКО № 2604 об улучшении Ла-5.</w:t>
      </w:r>
    </w:p>
    <w:p w14:paraId="50473B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487с от 10.08.1943 г. для усиления опытной базы образован Филиал ОКБ-21 при заводе № 381. С 04.1944 г. по приказу № 209с от 22.03.1044 г. филиал ОКБ-21 (или ОКБ-381 НКАП) реорганизован в самостоятельный опытный Завод № 81 НКАП.</w:t>
      </w:r>
    </w:p>
    <w:p w14:paraId="57B8EC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Создан истребитель ЛаГГ-5 (в соответствии с пост. ГКО № 2249 от 6.09.1942 г. переименован в Ла-5), первый полет 21.03.1942 г. В годы войны- работы по освоению серии Ла-5, модификациям Ла-7.</w:t>
      </w:r>
    </w:p>
    <w:p w14:paraId="6C59AE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12.1945 г. ОКБ-21 было возвращено на завод № 301 НКАП в Химки и воссоединено с переведенным туда заводом № 81 НКАП с присвоением названия ОКБ-301 НКАП. (Имеется информация, что ОКБ С.А. Лавочкина с 10.1944 г. базировалось на заводе № 81. Здесь ОКБ получило название КБ-81. А уже потом вернулось на завод №301).</w:t>
      </w:r>
    </w:p>
    <w:p w14:paraId="47858D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(11.1940-12.1945 г.)- С.А. Лавочкин.</w:t>
      </w:r>
    </w:p>
    <w:p w14:paraId="6998E5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Зам. гл. конструктора (1941-43 г.)- П.Д. Грушин, (1943-45 г.-)- С.М. Алексеев.</w:t>
      </w:r>
    </w:p>
    <w:p w14:paraId="29B901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КБ М.И. Гудкова на заводе № 21 НКАП</w:t>
      </w:r>
    </w:p>
    <w:p w14:paraId="396BF3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12.1941 г. на завод № 21 с завода № 153 НКАП переведено КБ М.И. Гудкова для внедрения в серию самолетов Гу-37 (К-37) и Гу-82. Затем КБ переведено в Москву на территорию завода № 156 (было там весной 1943 г.) (11982).</w:t>
      </w:r>
    </w:p>
    <w:p w14:paraId="7D6FF44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AFB76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 по приказу № 657сс С.А. Лавочкин назначен гл. конструктором завода № 21, часть ОКБ-301 под его руководством была переведена на завод № 21 НКАП и продолжила работы по доводке и организации серии И-301 как ОКБ-21. Другая часть ОКБ под руководством В.П. Горбунова переведена на завод № 31 НКАП и действовала как ОКБ-31. Основная часть ОКБ-301 под руководством М.И. Гудкова продолжила работы по модификациям ЛаГГ-3 в Химках. Ответственным конструктором по самолету остался С.М. Лавочкин. 14.08.1941 г. вышло постановление ГКО № 482 о серийном производстве ЛаГГ-3.</w:t>
      </w:r>
    </w:p>
    <w:p w14:paraId="2BFC03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1072сс от 15.10.1941 г. планировалось эвакуировать ОКБ на завод № 21, затем- на завод № 31, но это не было выполнено. В -12.1941 г. ОКБ-301 Гудкова было эвакуировано в Новосибирск на завод № 153. Продолжены работы по модификации ЛаГТ-3 с пушками Шпитального и Таубина, самолету Гу-37.</w:t>
      </w:r>
    </w:p>
    <w:p w14:paraId="7E13AB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12.1941 г. Гудков с группой сотрудников откомандирован в Горький на завод № 21 для внедрения в серию самолетов Гу-37 и Гу-82. Но на заводе № 21 он так и не работал, т.к. ему препятствовал Лавочкин. В итоге через несколько месяцев Гудков вернулся в Химки на старое место. Оставшаяся в Новосибирске часть коллектива, работавшая при СКБ-1 завода № 153, по приказу № 145с от 21.02.1942 г. была реэвакуирована на площадку бывшего завода № 301 в Химки. Были построены самолеты Гу-37, Гу-82, проект ЛаГГ-3 с дополнительным РТД- 1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Люльки. После аварии Гу-37 по приказу № 405с от 1.07.1943 г. ОКБ-301 было ликвидировано, личный состав передан в ОКБ Лавочкина. Этим же приказом М.И. Гудков назначен зам. начальника ОТК завода № 84 НКАП. Затем (на 01.1946 г.) Гудков снова занимался конструкторской деятельностью, в 1956-59г,- гл. конструктор ОКБ-424 МАГ1 по автоматическим аэростатам.</w:t>
      </w:r>
    </w:p>
    <w:p w14:paraId="539A83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(1937-30.12.1938 г.)- А.А. Дубровин, (05.1939 г.-&gt; М.И. Гудков.</w:t>
      </w:r>
    </w:p>
    <w:p w14:paraId="69A797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гл. конструктора (1937-38 г.)- А. Г. Брунов.</w:t>
      </w:r>
    </w:p>
    <w:p w14:paraId="5D7CA1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Ответственный руководитель (05.1939 г.-)- М.И. Гудков (11982).</w:t>
      </w:r>
    </w:p>
    <w:p w14:paraId="11454CB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9CA3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 вышел приказ НКАП о запуске в серию улучшенного И-301 с увеличенным запасом топлива на заводе № 21. Головным был определен завод в Горьком, куда предстояло переехать большей части сотрудников КБ во главе с Лавочкиным, в Таганрог направлялся Горбунов; Гудков оставался в Химках в должности главного конструктора ОКБ. Триумвират распался (4707).</w:t>
      </w:r>
    </w:p>
    <w:p w14:paraId="562642B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DB43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появился приказ НКАП о выпуске варианта ЛаГГ-1 с увеличенной дальностью (с пятью баками) как ЛаГГ-3. И наконец в декабре вышло постановление о производстве этого самолета сразу несколькими заводами. Лавочкина, Горбунова и Гудкова удостоили Сталинской премии (11983).</w:t>
      </w:r>
    </w:p>
    <w:p w14:paraId="3ABEFBD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BD12E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вышел приказ НКАП N 657сс в исполнение Постановления Правительства от 16 ноября 1940 о программе завода 21 на 1941:</w:t>
      </w:r>
    </w:p>
    <w:p w14:paraId="32FEDA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Зам. наркома П.А.Воронину и директору завода В.П.Воронину приказано выпускать в 1941 следующие количества самолетов:</w:t>
      </w:r>
    </w:p>
    <w:p w14:paraId="76237F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И-301 с М-105П в количестве 1800 с-тов</w:t>
      </w:r>
    </w:p>
    <w:p w14:paraId="4AE844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них в 1 кв. 75 с-тов, в т.ч. в марте - 60 с-тов</w:t>
      </w:r>
    </w:p>
    <w:p w14:paraId="4B89C6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кв. - 225, в т.ч. в июне - 90</w:t>
      </w:r>
    </w:p>
    <w:p w14:paraId="7FA078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кв. - 650, в т.ч. в сентябре - 250</w:t>
      </w:r>
    </w:p>
    <w:p w14:paraId="4A4994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кв. - 850, в т.ч. в декабре - 300</w:t>
      </w:r>
    </w:p>
    <w:p w14:paraId="03C626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обеспечить выпуск с-тов И-301 в 1 кв. 1942 в количестве 900, в т.ч. в марте - 300</w:t>
      </w:r>
    </w:p>
    <w:p w14:paraId="63BB8B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И-16 - 400 самолетов с окончанием производства с-тов и запчастей в марте 1941;</w:t>
      </w:r>
    </w:p>
    <w:p w14:paraId="2CF561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Директору завода 301 тов. Ю.Б.Эскину в 10 дневный срок выделить в распоряжение ГК т. С.А.Л. группу конструкторов, ранее работающих на постройке самолета И-301, согласно прилагаемому списку;</w:t>
      </w:r>
    </w:p>
    <w:p w14:paraId="5C9996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Директору завода N 23 тов. Фролову:</w:t>
      </w:r>
    </w:p>
    <w:p w14:paraId="0B40D6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изготовить и передать на завод 21 эталон самолета 301 на программу 1941 г. к 1 января;</w:t>
      </w:r>
    </w:p>
    <w:p w14:paraId="5182E6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передать заводу 21 чертежи самолета И-301 к 5 декабря 1940, технологию и чертежи приспособлений к 15 декабря 1940, комплект шаблонов и эталонов стыковочных приспособлений к 25 декабря 1940</w:t>
      </w:r>
    </w:p>
    <w:p w14:paraId="25D61A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 изменение моего приказа N 624 от 10 ноября 1940 тов. Лавочкина назначить ГК завода 21 обязав его целиком сосредоточится на внедрение в серию И-301;</w:t>
      </w:r>
    </w:p>
    <w:p w14:paraId="21B18E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директору завода тов. Воронину передать в распоряжение ГК Лавочкина все ОКБ с производством;</w:t>
      </w:r>
    </w:p>
    <w:p w14:paraId="33B6BB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директору завода тов. Эскину:</w:t>
      </w:r>
    </w:p>
    <w:p w14:paraId="044E5A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вплоть до получения жил. площади в г. Горьком и Ленинграде сохранить переведенным в распоряжение Лавочкина работникам жилплощадь на заводе 301;</w:t>
      </w:r>
    </w:p>
    <w:p w14:paraId="4CFD08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требованию тов. Лавочкина обеспечить командировку отд. работников, оставшихся на заводе № 301, но ранее занятых на постройке опытной машины, согласованных в каждом случае с ГК тов. Гудковым</w:t>
      </w:r>
    </w:p>
    <w:p w14:paraId="222D24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Нач. Главснаба т. П...выделить з-ду № 21 в первом полугодии 1941 из фонда НКАП 124 металлообрабатывающих станка и т.д. и т.п. (включая импортные станки и расширение завода № 21 за счет корпусов завода “Гудок октября”)</w:t>
      </w:r>
    </w:p>
    <w:p w14:paraId="38DDB5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 А.И.Ш. (871).</w:t>
      </w:r>
    </w:p>
    <w:p w14:paraId="2C78F97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8080A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К 23 ноября 1940 АМ-35А удовлетворительно прошел государ</w:t>
      </w:r>
      <w:r w:rsidRPr="00A3026E">
        <w:rPr>
          <w:rFonts w:ascii="Times New Roman" w:hAnsi="Times New Roman"/>
          <w:color w:val="000000" w:themeColor="text1"/>
          <w:sz w:val="16"/>
          <w:szCs w:val="16"/>
        </w:rPr>
        <w:softHyphen/>
        <w:t>ственные испытания на станке, одна</w:t>
      </w:r>
      <w:r w:rsidRPr="00A3026E">
        <w:rPr>
          <w:rFonts w:ascii="Times New Roman" w:hAnsi="Times New Roman"/>
          <w:color w:val="000000" w:themeColor="text1"/>
          <w:sz w:val="16"/>
          <w:szCs w:val="16"/>
        </w:rPr>
        <w:softHyphen/>
        <w:t>ко этот мотор предназначался (в си</w:t>
      </w:r>
      <w:r w:rsidRPr="00A3026E">
        <w:rPr>
          <w:rFonts w:ascii="Times New Roman" w:hAnsi="Times New Roman"/>
          <w:color w:val="000000" w:themeColor="text1"/>
          <w:sz w:val="16"/>
          <w:szCs w:val="16"/>
        </w:rPr>
        <w:softHyphen/>
        <w:t>лу своей высотности) прежде всего для высотного скоростного истреби</w:t>
      </w:r>
      <w:r w:rsidRPr="00A3026E">
        <w:rPr>
          <w:rFonts w:ascii="Times New Roman" w:hAnsi="Times New Roman"/>
          <w:color w:val="000000" w:themeColor="text1"/>
          <w:sz w:val="16"/>
          <w:szCs w:val="16"/>
        </w:rPr>
        <w:softHyphen/>
        <w:t>теля (МиГ-1/МиГ-З), а никак не для низковысотного штурмовика. Так и случилось - ни одного Ил-2 с этим мотором построено не было (4140).</w:t>
      </w:r>
    </w:p>
    <w:p w14:paraId="279509E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BA928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вышел приказ НКАП N 660сс в исполнение постановления Правительства "О программе завода 24"</w:t>
      </w:r>
    </w:p>
    <w:p w14:paraId="4379F0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Зам. наркома В.П.Баландину и директору завода 24 В.М.Дубову:</w:t>
      </w:r>
    </w:p>
    <w:p w14:paraId="380B27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обеспечить в 1941 выпуск 7150 моторов, в т.ч. АМ-35А - 6800</w:t>
      </w:r>
    </w:p>
    <w:p w14:paraId="1F0689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для обеспечения заданной программы с 1 января 1941 прекратить выпуск на заводе 24 М-62, АМ-34, М-20, ГАМ-35ФН для катеров (1316,231).</w:t>
      </w:r>
    </w:p>
    <w:p w14:paraId="58D609B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6402C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был утвержден Отчет по государственным 100 часовым испытаниям на станке АМ-35А N 170, которые проводились с 16 июля по 13 сентября 1940 (840).</w:t>
      </w:r>
    </w:p>
    <w:p w14:paraId="06E665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получения характеристик мотора АМ-35А в нагнетателе увеличено передаточное число с 12,7 на АМ-35 до 14,6 мм и диаметр крыльчатки с 272 мм до 275 мм</w:t>
      </w:r>
    </w:p>
    <w:p w14:paraId="4FBFB9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к 1-му марта 1941 разработать и провести дополнительные испытания ремонтные зазоры и допуска мотора АМ-35А на основе чего составить к 1 сентября 1941 издать руководство по ремонту мотора АМ-35А (840,9).</w:t>
      </w:r>
    </w:p>
    <w:p w14:paraId="0945072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82F99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Правительственная ко</w:t>
      </w:r>
      <w:r w:rsidRPr="00A3026E">
        <w:rPr>
          <w:rFonts w:ascii="Times New Roman" w:hAnsi="Times New Roman"/>
          <w:color w:val="000000" w:themeColor="text1"/>
          <w:sz w:val="16"/>
          <w:szCs w:val="16"/>
        </w:rPr>
        <w:softHyphen/>
        <w:t>миссия в своем заключении от установила ресурс АМ—35А, равный 100 часам (9984).</w:t>
      </w:r>
    </w:p>
    <w:p w14:paraId="1512C2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BB24E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 был подписан Акт об удовлетворительном окончании госиспытаний на станке мотора АМ-35А.</w:t>
      </w:r>
    </w:p>
    <w:p w14:paraId="527CD1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Правительственная комиссия, назначенная КО при СНК СССР для проведения госиспытаний мотора АМ-35А, рассмотрела материалы дополнительных работ, проведенных заводом № 24 в период с 20 сентября по 22 ноября 1944 для устранения основных дефектов мотора АМ-35А, указанных в заключении Правительственной комиссии по госиспытаниям мотора АМ-35А от 20 сентября 1940 г.:</w:t>
      </w:r>
    </w:p>
    <w:p w14:paraId="197207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разрушение задней опоры вала нагнетателя</w:t>
      </w:r>
    </w:p>
    <w:p w14:paraId="469053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недостаточной высотности маслопомпы.</w:t>
      </w:r>
    </w:p>
    <w:p w14:paraId="29DF0B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Правительственная комиссия установила, что в результате этих работ заводом № 24 проведены:</w:t>
      </w:r>
    </w:p>
    <w:p w14:paraId="6CCE85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приемояные (сдаточные и контрольные) испытания партии в 30 шт. моторов без разрушения задней опоря вала нагнетателя</w:t>
      </w:r>
    </w:p>
    <w:p w14:paraId="49EDAA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совместные 80-часовые испытания мотора АМ-35А № 169 с измененной конструкцией нагнетателя (новый материал опоры, измененная конструкция валика, введена наружная смазка) и модифицированной маслопомпой с улучшенной высотностью.</w:t>
      </w:r>
    </w:p>
    <w:p w14:paraId="3DBF7A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проходили при повышенной неуравновешенности угла крыльчатки (9,5 гр. вместо 2,5 гр., допускаемом в производстве мотора АМ-35А) и пониженном давлении масла (от 4,5 до 5,5 вместо допустимого давления 6 атм.).</w:t>
      </w:r>
    </w:p>
    <w:p w14:paraId="75DBD6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осмотре после этого испытания задняя опора валика крыльчатки нагнетателя была в удовлетворительном состоянии.</w:t>
      </w:r>
    </w:p>
    <w:p w14:paraId="0DB639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положительных результатов испытаний:</w:t>
      </w:r>
    </w:p>
    <w:p w14:paraId="22D33E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Правительственная комиссия признает госиспытания мотора АМ-35А на станке удовлетворительными</w:t>
      </w:r>
    </w:p>
    <w:p w14:paraId="1D1222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Срок службы мотора АМ-35А до первой перебоки установить 100 часов</w:t>
      </w:r>
    </w:p>
    <w:p w14:paraId="5BCCD1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Ограничить выпуск мотора АМ-35А с прежней конструкцией нагнетателя - 250 моторов</w:t>
      </w:r>
    </w:p>
    <w:p w14:paraId="5B7DF3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Правительственная комиссия считает необходимым НКАП представить НКО на войсковые испытания 10 с-тов И-200 с мотором АМ-35А с нагнетателем прежней конструкции не позднее 1 декабря 1940 г. и на детные (войсковые и специальные) испытания 10 с-тов И-200 с мотором АМ-35А с нагнетателем измененной конструкции не позднее 1 января 1941 г.</w:t>
      </w:r>
    </w:p>
    <w:p w14:paraId="09F69C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НКО (ГУ ВВС КА) закончить эти испытания в полуторомесячный срок, считая со дня предъявления.</w:t>
      </w:r>
    </w:p>
    <w:p w14:paraId="54F11A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 задира поршней и гильз цилендров, растрескивания свинцовой бронзы коренных вкладышей коленвала и насечек на барабане вала и шестернях редуктора, выявленные при выпуске моторов нулевой и первой серии - устранить не позднее 1 февраля 1941 г.</w:t>
      </w:r>
    </w:p>
    <w:p w14:paraId="409A5D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Остальные дефекты мотора АМ-35А, указанные в выводах по результатам госиспытаний, а также при выпуске моторов нулевой и первой серий, устранить не позднее 1 мая 1941 г. и т.д...</w:t>
      </w:r>
    </w:p>
    <w:p w14:paraId="7CF690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Отработать ремонтную документацию по АМ-35А к 1 сентября 1941 г.</w:t>
      </w:r>
    </w:p>
    <w:p w14:paraId="1A1AD4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комиссии Левин 23 ноября 1940</w:t>
      </w:r>
    </w:p>
    <w:p w14:paraId="124BEE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сентября 1940 было подписано заключение по 100-часовым госиспытаниям на станке мотора АМ-35А</w:t>
      </w:r>
    </w:p>
    <w:p w14:paraId="0611A6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закончились 100-часовые госиспытания на станке мотора АМ-35А, которые проходили с 16 июля 1940</w:t>
      </w:r>
    </w:p>
    <w:p w14:paraId="6E396C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Госкомиссия:</w:t>
      </w:r>
    </w:p>
    <w:p w14:paraId="2C073C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 нач. ОМТ НИИ ВВС КА би М.АА.Левин</w:t>
      </w:r>
    </w:p>
    <w:p w14:paraId="2CAE0F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Члены - вед. и НИИ ви2р М.Т.Лушин</w:t>
      </w:r>
    </w:p>
    <w:p w14:paraId="2C8858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военпред на заводе № 24 ви2р М.Я.Калинников</w:t>
      </w:r>
    </w:p>
    <w:p w14:paraId="05B756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 8 ГУ НКАП Д.В.Королев</w:t>
      </w:r>
    </w:p>
    <w:p w14:paraId="658040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СКО зав. № 24 Е.М.Юдин</w:t>
      </w:r>
    </w:p>
    <w:p w14:paraId="0430BF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 8 ГУ НКАП М.П.Глаголева</w:t>
      </w:r>
    </w:p>
    <w:p w14:paraId="5D4049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по госиспытаниям:</w:t>
      </w:r>
    </w:p>
    <w:p w14:paraId="065D3C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Мотор АМ-25 № 170 пръявленный на ГИ удовлетворительно прошел 100-часовые ГИ на стенде, но испытания его агрегатов, а также приемочные испытания моторов малой серии и работа мотора на с-те И-200 выявили ряд дефектов. Наиболее серьезными из них являются: недостаточная высотность масляной помпы и разрушение задней опоры валика крыльчатки нагнетателя, до полного устранения которых надежность работы мотора на самолете не будет обеспечена.</w:t>
      </w:r>
    </w:p>
    <w:p w14:paraId="41E9EF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Поэтому госиспытания мотора АМ-35А будут признаны удовлетворительными после:</w:t>
      </w:r>
    </w:p>
    <w:p w14:paraId="4697E2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полного устранения заводом № 24 разрушения задней втулки валика нагнетателя,</w:t>
      </w:r>
    </w:p>
    <w:p w14:paraId="4BE269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окончательного сточасового испытания модифицированной масляной помпы с улучшеной высотностью на моторе АМ-35</w:t>
      </w:r>
    </w:p>
    <w:p w14:paraId="480151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повышения давления масла на с-те И-200 на высотах 8000-9000 м с 5.5 атм., имеющих место на этих высотах в настоящее время, до 6 атм. Или проверки надежности работы мотора на давлении 5,5 атм. 50-часовым испытанием 2-х моторов.</w:t>
      </w:r>
    </w:p>
    <w:p w14:paraId="759739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этого, Правительственной комиссией будет составлен акт об удовлетворительном окончании госиспытаний мотора АМ-35А</w:t>
      </w:r>
    </w:p>
    <w:p w14:paraId="45942B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необходимость скорейшего получения серийных моторов АМ-35А для с-та И-200,Правительственная комиссия считает целесообразным запустить мотор АМ-35А в серийное производство на заводе № 24 и обязать НКАП (завод № 24 и соответствующие агреганые заводы) полностью устранить до начала серийного выпуска мотора АМ-35А разрушение задней опоры валика крыльчатки нагнетателя и недостаточную высотность масляной помпы на с-те И-200, а также другие дефекты, перечисленные в п. 8 и 10 б, г, д, ж выводов по испытанию.</w:t>
      </w:r>
    </w:p>
    <w:p w14:paraId="60599C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Правительственная комиссия считает, что мотор АМ-35А не обеспечен винтом, соответствующим высотности мотора, т.к. надежность мотора АМ-35А еще не проверена в условиях эксплуатации частей ВВС КА. Правительственная комиссия считает необходимым ограничить серийный выпуск мотора АМ-35А до удовлетворительных результатов войсковых испытаний 200 моторами.</w:t>
      </w:r>
    </w:p>
    <w:p w14:paraId="68C532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Правительственная комиссия считает необходимым обязать НКАП (заводы № 1 и № 24) предъявитиь НКО (ГУ ВВС КА) 10 с-тов И-200 с моторами АМ-35А на войсковые испытания не позднее 15 октября 1940 и один И-200 с АМ-35А не спец. Летные испытания не позднее 25 сентября 1940 г. НКЩ (ГУ ВВС КА) провести эти испытания в полуторомесячный срок, считая со дня предъявления.</w:t>
      </w:r>
    </w:p>
    <w:p w14:paraId="7027DD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ПК Левин</w:t>
      </w:r>
    </w:p>
    <w:p w14:paraId="4464EC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Особое мнение тт. Королева, Глаголевой, Юдина:</w:t>
      </w:r>
    </w:p>
    <w:p w14:paraId="6EE0BD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основании приведенных длтительных 100-часовых испытаний мотор АМ-35А считать удовлетворительным</w:t>
      </w:r>
    </w:p>
    <w:p w14:paraId="3EC238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целях скорейшего развертывания производства считать необходимым запуск в серийное производство мотора АМ-35А на заводе № 24</w:t>
      </w:r>
    </w:p>
    <w:p w14:paraId="3BEB37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Дефекты недостаточно надежной работы опоры валика нагнетателя и недостаточной высотности маслосистемы должны быть устранены до начала выпуска из серийного производства мотора АМ-35А после нулевой серии.</w:t>
      </w:r>
    </w:p>
    <w:p w14:paraId="49BE4C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Устранение указанных дефектов проверить длительным 100-часовым комиссионным испытанием под наблюдением военного представителя ВВС на заводе № 24 не позже 15 октября 1940 г., после чего рвзрешить выпуск моторов на заводе.</w:t>
      </w:r>
    </w:p>
    <w:p w14:paraId="249AD9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 мотору</w:t>
      </w:r>
    </w:p>
    <w:p w14:paraId="6391FC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Взлетная мощность 1350 л.с. +/- 2%</w:t>
      </w:r>
    </w:p>
    <w:p w14:paraId="728570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Давление взлетное (за карбюратором) 1250 мм +/- 10мм</w:t>
      </w:r>
    </w:p>
    <w:p w14:paraId="0430D9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Давление взлетное на выходе нагнетателя 1350мм +/- 10%</w:t>
      </w:r>
    </w:p>
    <w:p w14:paraId="6125A2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Число оборотов на взлете 2050 +/- 2%</w:t>
      </w:r>
    </w:p>
    <w:p w14:paraId="7BC9B2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Удельный расход топлива 330-360 г/лс/час</w:t>
      </w:r>
    </w:p>
    <w:p w14:paraId="03E291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Температура воды на выходе не выше 120 гр</w:t>
      </w:r>
    </w:p>
    <w:p w14:paraId="25E3A7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Минимальная температура 60 гр.</w:t>
      </w:r>
    </w:p>
    <w:p w14:paraId="2994CC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Температура масла на выходе 85 гр. и не ниже 40 гр</w:t>
      </w:r>
    </w:p>
    <w:p w14:paraId="4C66A0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Номинальная мощность 1200</w:t>
      </w:r>
    </w:p>
    <w:p w14:paraId="181E37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 1040+/- 2%</w:t>
      </w:r>
    </w:p>
    <w:p w14:paraId="5A34AC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Рк 1125 мм+/- 10%</w:t>
      </w:r>
    </w:p>
    <w:p w14:paraId="31C4AC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Высотность - 2800-6000 м</w:t>
      </w:r>
    </w:p>
    <w:p w14:paraId="6110C5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у земли 1120+/- 2%</w:t>
      </w:r>
    </w:p>
    <w:p w14:paraId="5B76A1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Удельный расход 300-315 г/лс/ч</w:t>
      </w:r>
    </w:p>
    <w:p w14:paraId="711748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обороты 2250, мин. 450</w:t>
      </w:r>
    </w:p>
    <w:p w14:paraId="254B69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Сухой вес мотора (не входит Р-2, генератор, синхронизатор, выхлопные патрубки, а также помпы (Ак-4, МКЛ) - 830 кг +/- 2%</w:t>
      </w:r>
    </w:p>
    <w:p w14:paraId="592DEC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воды в системе 22 л</w:t>
      </w:r>
    </w:p>
    <w:p w14:paraId="51DC58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Габариты</w:t>
      </w:r>
    </w:p>
    <w:p w14:paraId="0D438D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2402 м</w:t>
      </w:r>
    </w:p>
    <w:p w14:paraId="73A911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866 мм</w:t>
      </w:r>
    </w:p>
    <w:p w14:paraId="382052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1088,8 мм (783)</w:t>
      </w:r>
    </w:p>
    <w:p w14:paraId="4B0F05F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A64AA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года приказ НКАП №659 по</w:t>
      </w:r>
      <w:r w:rsidRPr="00A3026E">
        <w:rPr>
          <w:rFonts w:ascii="Times New Roman" w:hAnsi="Times New Roman"/>
          <w:color w:val="000000" w:themeColor="text1"/>
          <w:sz w:val="16"/>
          <w:szCs w:val="16"/>
        </w:rPr>
        <w:softHyphen/>
        <w:t>становлял организовать на заводе №19 параллельно с производством моторов воздушного охлаждения М-62 и М-62ИР производство моторов жид</w:t>
      </w:r>
      <w:r w:rsidRPr="00A3026E">
        <w:rPr>
          <w:rFonts w:ascii="Times New Roman" w:hAnsi="Times New Roman"/>
          <w:color w:val="000000" w:themeColor="text1"/>
          <w:sz w:val="16"/>
          <w:szCs w:val="16"/>
        </w:rPr>
        <w:softHyphen/>
        <w:t>костного охлаждения М-105. В отно</w:t>
      </w:r>
      <w:r w:rsidRPr="00A3026E">
        <w:rPr>
          <w:rFonts w:ascii="Times New Roman" w:hAnsi="Times New Roman"/>
          <w:color w:val="000000" w:themeColor="text1"/>
          <w:sz w:val="16"/>
          <w:szCs w:val="16"/>
        </w:rPr>
        <w:softHyphen/>
        <w:t>шении же собственных разработок предлагалось: «В 1941 году мотор М-81 на заводе №19 не произво</w:t>
      </w:r>
      <w:r w:rsidRPr="00A3026E">
        <w:rPr>
          <w:rFonts w:ascii="Times New Roman" w:hAnsi="Times New Roman"/>
          <w:color w:val="000000" w:themeColor="text1"/>
          <w:sz w:val="16"/>
          <w:szCs w:val="16"/>
        </w:rPr>
        <w:softHyphen/>
        <w:t>дить. Производство мотора М-71 ог</w:t>
      </w:r>
      <w:r w:rsidRPr="00A3026E">
        <w:rPr>
          <w:rFonts w:ascii="Times New Roman" w:hAnsi="Times New Roman"/>
          <w:color w:val="000000" w:themeColor="text1"/>
          <w:sz w:val="16"/>
          <w:szCs w:val="16"/>
        </w:rPr>
        <w:softHyphen/>
        <w:t>раничить доведением его до госиспы</w:t>
      </w:r>
      <w:r w:rsidRPr="00A3026E">
        <w:rPr>
          <w:rFonts w:ascii="Times New Roman" w:hAnsi="Times New Roman"/>
          <w:color w:val="000000" w:themeColor="text1"/>
          <w:sz w:val="16"/>
          <w:szCs w:val="16"/>
        </w:rPr>
        <w:softHyphen/>
        <w:t>таний и выпуска малой серии в опыт</w:t>
      </w:r>
      <w:r w:rsidRPr="00A3026E">
        <w:rPr>
          <w:rFonts w:ascii="Times New Roman" w:hAnsi="Times New Roman"/>
          <w:color w:val="000000" w:themeColor="text1"/>
          <w:sz w:val="16"/>
          <w:szCs w:val="16"/>
        </w:rPr>
        <w:softHyphen/>
        <w:t>ном цехе в количестве 20 штук» (10686).</w:t>
      </w:r>
    </w:p>
    <w:p w14:paraId="22FD0F0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13722DD" w14:textId="77777777" w:rsidR="0043631F" w:rsidRPr="00A3026E" w:rsidRDefault="0043631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 вышел приказ НКАП № 659, который постановлял организовать на заводе № 19 параллельно с производством моторов воздушного охлаждения М-62 и М-62ИР производство моторов жидкостного охлаждения М-105. В отношении же собственных разработок предлагалось: «В 1941 г. мотор М-81 на заводе № 19 не производить. Производство мотора М-71 ограничить доведением его до госиспытаний и выпуска малой серии в опытном цехе в количестве 20 штук» (15788).</w:t>
      </w:r>
    </w:p>
    <w:p w14:paraId="1B415A85" w14:textId="77777777" w:rsidR="0043631F" w:rsidRPr="00A3026E" w:rsidRDefault="0043631F" w:rsidP="00A3026E">
      <w:pPr>
        <w:spacing w:after="0" w:line="240" w:lineRule="auto"/>
        <w:jc w:val="both"/>
        <w:rPr>
          <w:rFonts w:ascii="Times New Roman" w:hAnsi="Times New Roman"/>
          <w:color w:val="000000" w:themeColor="text1"/>
          <w:sz w:val="16"/>
          <w:szCs w:val="16"/>
        </w:rPr>
      </w:pPr>
    </w:p>
    <w:p w14:paraId="353A58D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года в НИИ ВВС был выдан наряд-приказ № 0267</w:t>
      </w:r>
    </w:p>
    <w:p w14:paraId="1A6DFBC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Специальные гос. испытания одномоторного одноместного истребителя АВИА-В534 (6890, 169).</w:t>
      </w:r>
    </w:p>
    <w:p w14:paraId="085FECF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31174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 Механический завод Главрыбсудстроя НКРП по приказу № 658с/01435/13 был передан в подчинение вновь образованному заводу № 451 в качестве филиала (11982).</w:t>
      </w:r>
    </w:p>
    <w:p w14:paraId="2FA1C22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BA21E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 Экономсовет при СНК разрешил Наркомату авиапромышленности официально ввести на ряде за</w:t>
      </w:r>
      <w:r w:rsidRPr="00A3026E">
        <w:rPr>
          <w:rFonts w:ascii="Times New Roman" w:hAnsi="Times New Roman"/>
          <w:color w:val="000000" w:themeColor="text1"/>
          <w:sz w:val="16"/>
          <w:szCs w:val="16"/>
        </w:rPr>
        <w:softHyphen/>
        <w:t>водов, находящихся в отдаленных регионах, поправочные коэф</w:t>
      </w:r>
      <w:r w:rsidRPr="00A3026E">
        <w:rPr>
          <w:rFonts w:ascii="Times New Roman" w:hAnsi="Times New Roman"/>
          <w:color w:val="000000" w:themeColor="text1"/>
          <w:sz w:val="16"/>
          <w:szCs w:val="16"/>
        </w:rPr>
        <w:softHyphen/>
        <w:t>фициенты к окладам инженерно-технических работников и служащих: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983732" w:rsidRPr="00A3026E" w14:paraId="2F11A583" w14:textId="77777777" w:rsidTr="00EA0DA7">
        <w:tc>
          <w:tcPr>
            <w:tcW w:w="2394" w:type="dxa"/>
            <w:tcBorders>
              <w:top w:val="single" w:sz="12" w:space="0" w:color="auto"/>
            </w:tcBorders>
          </w:tcPr>
          <w:p w14:paraId="457F71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w:t>
            </w:r>
          </w:p>
        </w:tc>
        <w:tc>
          <w:tcPr>
            <w:tcW w:w="2394" w:type="dxa"/>
            <w:tcBorders>
              <w:top w:val="single" w:sz="12" w:space="0" w:color="auto"/>
            </w:tcBorders>
          </w:tcPr>
          <w:p w14:paraId="452EF3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Поправочный коэффициент</w:t>
            </w:r>
          </w:p>
        </w:tc>
        <w:tc>
          <w:tcPr>
            <w:tcW w:w="2394" w:type="dxa"/>
            <w:tcBorders>
              <w:top w:val="single" w:sz="12" w:space="0" w:color="auto"/>
            </w:tcBorders>
          </w:tcPr>
          <w:p w14:paraId="354FE3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w:t>
            </w:r>
          </w:p>
        </w:tc>
        <w:tc>
          <w:tcPr>
            <w:tcW w:w="2394" w:type="dxa"/>
            <w:tcBorders>
              <w:top w:val="single" w:sz="12" w:space="0" w:color="auto"/>
            </w:tcBorders>
          </w:tcPr>
          <w:p w14:paraId="54D94A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Поправочный коэффициент</w:t>
            </w:r>
          </w:p>
        </w:tc>
      </w:tr>
      <w:tr w:rsidR="00983732" w:rsidRPr="00A3026E" w14:paraId="3F695A90" w14:textId="77777777" w:rsidTr="00EA0DA7">
        <w:tc>
          <w:tcPr>
            <w:tcW w:w="2394" w:type="dxa"/>
          </w:tcPr>
          <w:p w14:paraId="530758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w:t>
            </w:r>
          </w:p>
        </w:tc>
        <w:tc>
          <w:tcPr>
            <w:tcW w:w="2394" w:type="dxa"/>
          </w:tcPr>
          <w:p w14:paraId="5BEC2B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2394" w:type="dxa"/>
          </w:tcPr>
          <w:p w14:paraId="0E4459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99</w:t>
            </w:r>
          </w:p>
        </w:tc>
        <w:tc>
          <w:tcPr>
            <w:tcW w:w="2394" w:type="dxa"/>
          </w:tcPr>
          <w:p w14:paraId="6F30D5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r>
      <w:tr w:rsidR="00983732" w:rsidRPr="00A3026E" w14:paraId="35BEC226" w14:textId="77777777" w:rsidTr="00EA0DA7">
        <w:tc>
          <w:tcPr>
            <w:tcW w:w="2394" w:type="dxa"/>
          </w:tcPr>
          <w:p w14:paraId="47C42B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w:t>
            </w:r>
          </w:p>
        </w:tc>
        <w:tc>
          <w:tcPr>
            <w:tcW w:w="2394" w:type="dxa"/>
          </w:tcPr>
          <w:p w14:paraId="4BBBB6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c>
          <w:tcPr>
            <w:tcW w:w="2394" w:type="dxa"/>
          </w:tcPr>
          <w:p w14:paraId="7B5CCE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2394" w:type="dxa"/>
          </w:tcPr>
          <w:p w14:paraId="3263B2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r>
      <w:tr w:rsidR="00983732" w:rsidRPr="00A3026E" w14:paraId="0341AFEB" w14:textId="77777777" w:rsidTr="00EA0DA7">
        <w:tc>
          <w:tcPr>
            <w:tcW w:w="2394" w:type="dxa"/>
            <w:tcBorders>
              <w:bottom w:val="single" w:sz="12" w:space="0" w:color="auto"/>
            </w:tcBorders>
          </w:tcPr>
          <w:p w14:paraId="722B0B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w:t>
            </w:r>
          </w:p>
        </w:tc>
        <w:tc>
          <w:tcPr>
            <w:tcW w:w="2394" w:type="dxa"/>
            <w:tcBorders>
              <w:bottom w:val="single" w:sz="12" w:space="0" w:color="auto"/>
            </w:tcBorders>
          </w:tcPr>
          <w:p w14:paraId="785BF2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2394" w:type="dxa"/>
            <w:tcBorders>
              <w:bottom w:val="single" w:sz="12" w:space="0" w:color="auto"/>
            </w:tcBorders>
          </w:tcPr>
          <w:p w14:paraId="7A82D2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2394" w:type="dxa"/>
            <w:tcBorders>
              <w:bottom w:val="single" w:sz="12" w:space="0" w:color="auto"/>
            </w:tcBorders>
          </w:tcPr>
          <w:p w14:paraId="07CA9E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r>
    </w:tbl>
    <w:p w14:paraId="0A068E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Почасовые ставки рабочего I разряда в 1941 г. на некоторых заводах Наркомата авиапромышленности (в коп.)*</w:t>
      </w:r>
    </w:p>
    <w:tbl>
      <w:tblPr>
        <w:tblW w:w="0" w:type="auto"/>
        <w:tblInd w:w="40" w:type="dxa"/>
        <w:tblLayout w:type="fixed"/>
        <w:tblCellMar>
          <w:left w:w="40" w:type="dxa"/>
          <w:right w:w="40" w:type="dxa"/>
        </w:tblCellMar>
        <w:tblLook w:val="0000" w:firstRow="0" w:lastRow="0" w:firstColumn="0" w:lastColumn="0" w:noHBand="0" w:noVBand="0"/>
      </w:tblPr>
      <w:tblGrid>
        <w:gridCol w:w="2506"/>
        <w:gridCol w:w="1910"/>
        <w:gridCol w:w="1910"/>
      </w:tblGrid>
      <w:tr w:rsidR="00983732" w:rsidRPr="00A3026E" w14:paraId="6FE7C120" w14:textId="77777777" w:rsidTr="00EA0DA7">
        <w:trPr>
          <w:trHeight w:val="374"/>
        </w:trPr>
        <w:tc>
          <w:tcPr>
            <w:tcW w:w="2506" w:type="dxa"/>
            <w:tcBorders>
              <w:top w:val="single" w:sz="6" w:space="0" w:color="auto"/>
              <w:left w:val="single" w:sz="6" w:space="0" w:color="auto"/>
              <w:bottom w:val="single" w:sz="6" w:space="0" w:color="auto"/>
              <w:right w:val="single" w:sz="6" w:space="0" w:color="auto"/>
            </w:tcBorders>
          </w:tcPr>
          <w:p w14:paraId="389D82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w:t>
            </w:r>
          </w:p>
        </w:tc>
        <w:tc>
          <w:tcPr>
            <w:tcW w:w="1910" w:type="dxa"/>
            <w:tcBorders>
              <w:top w:val="single" w:sz="6" w:space="0" w:color="auto"/>
              <w:left w:val="single" w:sz="6" w:space="0" w:color="auto"/>
              <w:bottom w:val="single" w:sz="6" w:space="0" w:color="auto"/>
              <w:right w:val="single" w:sz="6" w:space="0" w:color="auto"/>
            </w:tcBorders>
          </w:tcPr>
          <w:p w14:paraId="0DA0B9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Ставка сдельщика</w:t>
            </w:r>
          </w:p>
        </w:tc>
        <w:tc>
          <w:tcPr>
            <w:tcW w:w="1910" w:type="dxa"/>
            <w:tcBorders>
              <w:top w:val="single" w:sz="6" w:space="0" w:color="auto"/>
              <w:left w:val="single" w:sz="6" w:space="0" w:color="auto"/>
              <w:bottom w:val="single" w:sz="6" w:space="0" w:color="auto"/>
              <w:right w:val="single" w:sz="6" w:space="0" w:color="auto"/>
            </w:tcBorders>
          </w:tcPr>
          <w:p w14:paraId="69FED2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Ставка повременщика</w:t>
            </w:r>
          </w:p>
        </w:tc>
      </w:tr>
      <w:tr w:rsidR="00983732" w:rsidRPr="00A3026E" w14:paraId="534C4C7F" w14:textId="77777777" w:rsidTr="00EA0DA7">
        <w:trPr>
          <w:trHeight w:val="374"/>
        </w:trPr>
        <w:tc>
          <w:tcPr>
            <w:tcW w:w="2506" w:type="dxa"/>
            <w:tcBorders>
              <w:top w:val="single" w:sz="6" w:space="0" w:color="auto"/>
              <w:left w:val="single" w:sz="6" w:space="0" w:color="auto"/>
              <w:bottom w:val="single" w:sz="6" w:space="0" w:color="auto"/>
              <w:right w:val="single" w:sz="6" w:space="0" w:color="auto"/>
            </w:tcBorders>
          </w:tcPr>
          <w:p w14:paraId="28E8DD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383 (Москва)</w:t>
            </w:r>
          </w:p>
        </w:tc>
        <w:tc>
          <w:tcPr>
            <w:tcW w:w="1910" w:type="dxa"/>
            <w:tcBorders>
              <w:top w:val="single" w:sz="6" w:space="0" w:color="auto"/>
              <w:left w:val="single" w:sz="6" w:space="0" w:color="auto"/>
              <w:bottom w:val="single" w:sz="6" w:space="0" w:color="auto"/>
              <w:right w:val="single" w:sz="6" w:space="0" w:color="auto"/>
            </w:tcBorders>
          </w:tcPr>
          <w:p w14:paraId="088112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78,75</w:t>
            </w:r>
          </w:p>
        </w:tc>
        <w:tc>
          <w:tcPr>
            <w:tcW w:w="1910" w:type="dxa"/>
            <w:tcBorders>
              <w:top w:val="single" w:sz="6" w:space="0" w:color="auto"/>
              <w:left w:val="single" w:sz="6" w:space="0" w:color="auto"/>
              <w:bottom w:val="single" w:sz="6" w:space="0" w:color="auto"/>
              <w:right w:val="single" w:sz="6" w:space="0" w:color="auto"/>
            </w:tcBorders>
          </w:tcPr>
          <w:p w14:paraId="5AB455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r>
      <w:tr w:rsidR="00983732" w:rsidRPr="00A3026E" w14:paraId="0CAFD9E0" w14:textId="77777777" w:rsidTr="00EA0DA7">
        <w:trPr>
          <w:trHeight w:val="374"/>
        </w:trPr>
        <w:tc>
          <w:tcPr>
            <w:tcW w:w="2506" w:type="dxa"/>
            <w:tcBorders>
              <w:top w:val="single" w:sz="6" w:space="0" w:color="auto"/>
              <w:left w:val="single" w:sz="6" w:space="0" w:color="auto"/>
              <w:bottom w:val="single" w:sz="6" w:space="0" w:color="auto"/>
              <w:right w:val="single" w:sz="6" w:space="0" w:color="auto"/>
            </w:tcBorders>
          </w:tcPr>
          <w:p w14:paraId="311F98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449 (Саратов)</w:t>
            </w:r>
          </w:p>
        </w:tc>
        <w:tc>
          <w:tcPr>
            <w:tcW w:w="1910" w:type="dxa"/>
            <w:tcBorders>
              <w:top w:val="single" w:sz="6" w:space="0" w:color="auto"/>
              <w:left w:val="single" w:sz="6" w:space="0" w:color="auto"/>
              <w:bottom w:val="single" w:sz="6" w:space="0" w:color="auto"/>
              <w:right w:val="single" w:sz="6" w:space="0" w:color="auto"/>
            </w:tcBorders>
          </w:tcPr>
          <w:p w14:paraId="2432E3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1910" w:type="dxa"/>
            <w:tcBorders>
              <w:top w:val="single" w:sz="6" w:space="0" w:color="auto"/>
              <w:left w:val="single" w:sz="6" w:space="0" w:color="auto"/>
              <w:bottom w:val="single" w:sz="6" w:space="0" w:color="auto"/>
              <w:right w:val="single" w:sz="6" w:space="0" w:color="auto"/>
            </w:tcBorders>
          </w:tcPr>
          <w:p w14:paraId="4F47B3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61,25</w:t>
            </w:r>
          </w:p>
        </w:tc>
      </w:tr>
      <w:tr w:rsidR="00983732" w:rsidRPr="00A3026E" w14:paraId="4D41CE76" w14:textId="77777777" w:rsidTr="00EA0DA7">
        <w:trPr>
          <w:trHeight w:val="374"/>
        </w:trPr>
        <w:tc>
          <w:tcPr>
            <w:tcW w:w="2506" w:type="dxa"/>
            <w:tcBorders>
              <w:top w:val="single" w:sz="6" w:space="0" w:color="auto"/>
              <w:left w:val="single" w:sz="6" w:space="0" w:color="auto"/>
              <w:bottom w:val="single" w:sz="6" w:space="0" w:color="auto"/>
              <w:right w:val="single" w:sz="6" w:space="0" w:color="auto"/>
            </w:tcBorders>
          </w:tcPr>
          <w:p w14:paraId="514614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 (Харьков)</w:t>
            </w:r>
          </w:p>
        </w:tc>
        <w:tc>
          <w:tcPr>
            <w:tcW w:w="1910" w:type="dxa"/>
            <w:tcBorders>
              <w:top w:val="single" w:sz="6" w:space="0" w:color="auto"/>
              <w:left w:val="single" w:sz="6" w:space="0" w:color="auto"/>
              <w:bottom w:val="single" w:sz="6" w:space="0" w:color="auto"/>
              <w:right w:val="single" w:sz="6" w:space="0" w:color="auto"/>
            </w:tcBorders>
          </w:tcPr>
          <w:p w14:paraId="088E7B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78,8</w:t>
            </w:r>
          </w:p>
        </w:tc>
        <w:tc>
          <w:tcPr>
            <w:tcW w:w="1910" w:type="dxa"/>
            <w:tcBorders>
              <w:top w:val="single" w:sz="6" w:space="0" w:color="auto"/>
              <w:left w:val="single" w:sz="6" w:space="0" w:color="auto"/>
              <w:bottom w:val="single" w:sz="6" w:space="0" w:color="auto"/>
              <w:right w:val="single" w:sz="6" w:space="0" w:color="auto"/>
            </w:tcBorders>
          </w:tcPr>
          <w:p w14:paraId="5D136C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65,6</w:t>
            </w:r>
          </w:p>
        </w:tc>
      </w:tr>
    </w:tbl>
    <w:p w14:paraId="709A64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Составлено по: РГАЭ. Ф. 8084. Оп. 1. Д. 647. Л. 20-23. (10788).</w:t>
      </w:r>
    </w:p>
    <w:p w14:paraId="6E0D6D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Соотношение тарифных ставок и реальных заработков в среднем по заводу № 22 в 1939 г.</w:t>
      </w:r>
    </w:p>
    <w:tbl>
      <w:tblPr>
        <w:tblW w:w="0" w:type="auto"/>
        <w:tblInd w:w="40" w:type="dxa"/>
        <w:tblLayout w:type="fixed"/>
        <w:tblCellMar>
          <w:left w:w="40" w:type="dxa"/>
          <w:right w:w="40" w:type="dxa"/>
        </w:tblCellMar>
        <w:tblLook w:val="0000" w:firstRow="0" w:lastRow="0" w:firstColumn="0" w:lastColumn="0" w:noHBand="0" w:noVBand="0"/>
      </w:tblPr>
      <w:tblGrid>
        <w:gridCol w:w="960"/>
        <w:gridCol w:w="1114"/>
        <w:gridCol w:w="1142"/>
        <w:gridCol w:w="902"/>
        <w:gridCol w:w="1085"/>
        <w:gridCol w:w="1114"/>
      </w:tblGrid>
      <w:tr w:rsidR="00983732" w:rsidRPr="00A3026E" w14:paraId="7919DFCA" w14:textId="77777777" w:rsidTr="00EA0DA7">
        <w:trPr>
          <w:trHeight w:val="624"/>
        </w:trPr>
        <w:tc>
          <w:tcPr>
            <w:tcW w:w="960" w:type="dxa"/>
            <w:tcBorders>
              <w:top w:val="single" w:sz="6" w:space="0" w:color="auto"/>
              <w:left w:val="single" w:sz="12" w:space="0" w:color="auto"/>
              <w:bottom w:val="single" w:sz="6" w:space="0" w:color="auto"/>
              <w:right w:val="single" w:sz="6" w:space="0" w:color="auto"/>
            </w:tcBorders>
          </w:tcPr>
          <w:p w14:paraId="142D63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Разряд</w:t>
            </w:r>
          </w:p>
          <w:p w14:paraId="2C547C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04084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Месячная тарифная ставка, руб.</w:t>
            </w:r>
          </w:p>
          <w:p w14:paraId="062D68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170D4B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Фактический заработок за май, 175 ра</w:t>
            </w:r>
            <w:r w:rsidRPr="00A3026E">
              <w:rPr>
                <w:rFonts w:ascii="Times New Roman" w:hAnsi="Times New Roman"/>
                <w:color w:val="000000" w:themeColor="text1"/>
                <w:sz w:val="16"/>
                <w:szCs w:val="16"/>
              </w:rPr>
              <w:softHyphen/>
              <w:t>бочих час.</w:t>
            </w:r>
          </w:p>
          <w:p w14:paraId="7411EA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E622D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Разряд</w:t>
            </w:r>
          </w:p>
          <w:p w14:paraId="4781F8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360A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Месячная тарифная ставка, руб.</w:t>
            </w:r>
          </w:p>
          <w:p w14:paraId="142DBD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39D9B9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Фактический заработок за май, 175 ра</w:t>
            </w:r>
            <w:r w:rsidRPr="00A3026E">
              <w:rPr>
                <w:rFonts w:ascii="Times New Roman" w:hAnsi="Times New Roman"/>
                <w:color w:val="000000" w:themeColor="text1"/>
                <w:sz w:val="16"/>
                <w:szCs w:val="16"/>
              </w:rPr>
              <w:softHyphen/>
              <w:t>бочих час.</w:t>
            </w:r>
          </w:p>
          <w:p w14:paraId="70A4B0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51AB1CF" w14:textId="77777777" w:rsidTr="00EA0DA7">
        <w:trPr>
          <w:trHeight w:val="278"/>
        </w:trPr>
        <w:tc>
          <w:tcPr>
            <w:tcW w:w="960" w:type="dxa"/>
            <w:tcBorders>
              <w:top w:val="single" w:sz="6" w:space="0" w:color="auto"/>
              <w:left w:val="single" w:sz="12" w:space="0" w:color="auto"/>
              <w:bottom w:val="single" w:sz="6" w:space="0" w:color="auto"/>
              <w:right w:val="single" w:sz="6" w:space="0" w:color="auto"/>
            </w:tcBorders>
          </w:tcPr>
          <w:p w14:paraId="70AB42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w:t>
            </w:r>
          </w:p>
          <w:p w14:paraId="75267E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0D311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p w14:paraId="1C4D10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537137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322</w:t>
            </w:r>
          </w:p>
          <w:p w14:paraId="396EF8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14C5D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w:t>
            </w:r>
          </w:p>
          <w:p w14:paraId="19993C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6AADA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386</w:t>
            </w:r>
          </w:p>
          <w:p w14:paraId="03A022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315D6A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620</w:t>
            </w:r>
          </w:p>
          <w:p w14:paraId="67DD05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36387E1" w14:textId="77777777" w:rsidTr="00EA0DA7">
        <w:trPr>
          <w:trHeight w:val="422"/>
        </w:trPr>
        <w:tc>
          <w:tcPr>
            <w:tcW w:w="960" w:type="dxa"/>
            <w:tcBorders>
              <w:top w:val="single" w:sz="6" w:space="0" w:color="auto"/>
              <w:left w:val="single" w:sz="12" w:space="0" w:color="auto"/>
              <w:bottom w:val="single" w:sz="12" w:space="0" w:color="auto"/>
              <w:right w:val="single" w:sz="6" w:space="0" w:color="auto"/>
            </w:tcBorders>
          </w:tcPr>
          <w:p w14:paraId="0C241E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w:t>
            </w:r>
          </w:p>
          <w:p w14:paraId="60B204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12" w:space="0" w:color="auto"/>
              <w:right w:val="single" w:sz="6" w:space="0" w:color="auto"/>
            </w:tcBorders>
          </w:tcPr>
          <w:p w14:paraId="286BA4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266</w:t>
            </w:r>
          </w:p>
          <w:p w14:paraId="449333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E1C03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12" w:space="0" w:color="auto"/>
              <w:right w:val="single" w:sz="6" w:space="0" w:color="auto"/>
            </w:tcBorders>
          </w:tcPr>
          <w:p w14:paraId="73AEC4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405</w:t>
            </w:r>
          </w:p>
          <w:p w14:paraId="12A999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12" w:space="0" w:color="auto"/>
              <w:right w:val="single" w:sz="6" w:space="0" w:color="auto"/>
            </w:tcBorders>
          </w:tcPr>
          <w:p w14:paraId="0F699D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VI</w:t>
            </w:r>
          </w:p>
          <w:p w14:paraId="61BE6D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12" w:space="0" w:color="auto"/>
              <w:right w:val="single" w:sz="6" w:space="0" w:color="auto"/>
            </w:tcBorders>
          </w:tcPr>
          <w:p w14:paraId="617433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459</w:t>
            </w:r>
          </w:p>
          <w:p w14:paraId="41E8EA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12" w:space="0" w:color="auto"/>
              <w:right w:val="single" w:sz="12" w:space="0" w:color="auto"/>
            </w:tcBorders>
          </w:tcPr>
          <w:p w14:paraId="1F8590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p w14:paraId="62005F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03DCF6C" w14:textId="77777777" w:rsidTr="00EA0DA7">
        <w:trPr>
          <w:trHeight w:val="422"/>
        </w:trPr>
        <w:tc>
          <w:tcPr>
            <w:tcW w:w="960" w:type="dxa"/>
            <w:tcBorders>
              <w:top w:val="single" w:sz="6" w:space="0" w:color="auto"/>
              <w:left w:val="single" w:sz="12" w:space="0" w:color="auto"/>
              <w:bottom w:val="single" w:sz="12" w:space="0" w:color="auto"/>
              <w:right w:val="single" w:sz="6" w:space="0" w:color="auto"/>
            </w:tcBorders>
          </w:tcPr>
          <w:p w14:paraId="5C608B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w:t>
            </w:r>
          </w:p>
        </w:tc>
        <w:tc>
          <w:tcPr>
            <w:tcW w:w="1114" w:type="dxa"/>
            <w:tcBorders>
              <w:top w:val="single" w:sz="6" w:space="0" w:color="auto"/>
              <w:left w:val="single" w:sz="6" w:space="0" w:color="auto"/>
              <w:bottom w:val="single" w:sz="12" w:space="0" w:color="auto"/>
              <w:right w:val="single" w:sz="6" w:space="0" w:color="auto"/>
            </w:tcBorders>
          </w:tcPr>
          <w:p w14:paraId="7ECBA9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322</w:t>
            </w:r>
          </w:p>
        </w:tc>
        <w:tc>
          <w:tcPr>
            <w:tcW w:w="1142" w:type="dxa"/>
            <w:tcBorders>
              <w:top w:val="single" w:sz="6" w:space="0" w:color="auto"/>
              <w:left w:val="single" w:sz="6" w:space="0" w:color="auto"/>
              <w:bottom w:val="single" w:sz="12" w:space="0" w:color="auto"/>
              <w:right w:val="single" w:sz="6" w:space="0" w:color="auto"/>
            </w:tcBorders>
          </w:tcPr>
          <w:p w14:paraId="662B34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495</w:t>
            </w:r>
          </w:p>
        </w:tc>
        <w:tc>
          <w:tcPr>
            <w:tcW w:w="902" w:type="dxa"/>
            <w:tcBorders>
              <w:top w:val="single" w:sz="6" w:space="0" w:color="auto"/>
              <w:left w:val="single" w:sz="6" w:space="0" w:color="auto"/>
              <w:bottom w:val="single" w:sz="12" w:space="0" w:color="auto"/>
              <w:right w:val="single" w:sz="6" w:space="0" w:color="auto"/>
            </w:tcBorders>
          </w:tcPr>
          <w:p w14:paraId="22838B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12" w:space="0" w:color="auto"/>
              <w:right w:val="single" w:sz="6" w:space="0" w:color="auto"/>
            </w:tcBorders>
          </w:tcPr>
          <w:p w14:paraId="2B9719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12" w:space="0" w:color="auto"/>
              <w:right w:val="single" w:sz="12" w:space="0" w:color="auto"/>
            </w:tcBorders>
          </w:tcPr>
          <w:p w14:paraId="5EA80E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0E4B57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Государственный архив Российской Федерации. Ф. 8418. Оп. 23. Д. 386. Л. 1 (10788).</w:t>
      </w:r>
    </w:p>
    <w:p w14:paraId="7B5748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E7587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 пытаясь закрепить рабочую силу на заводах и хоть как-то обуздать на</w:t>
      </w:r>
      <w:r w:rsidRPr="00A3026E">
        <w:rPr>
          <w:rFonts w:ascii="Times New Roman" w:hAnsi="Times New Roman"/>
          <w:color w:val="000000" w:themeColor="text1"/>
          <w:sz w:val="16"/>
          <w:szCs w:val="16"/>
        </w:rPr>
        <w:softHyphen/>
        <w:t>раставшую текучесть, Экономсовет при СНК разрешил НКАП официально ввести на ряде заводов, находящихся в отделённых регионах, поправочные коэффи</w:t>
      </w:r>
      <w:r w:rsidRPr="00A3026E">
        <w:rPr>
          <w:rFonts w:ascii="Times New Roman" w:hAnsi="Times New Roman"/>
          <w:color w:val="000000" w:themeColor="text1"/>
          <w:sz w:val="16"/>
          <w:szCs w:val="16"/>
        </w:rPr>
        <w:softHyphen/>
        <w:t>циенты к окладам ИТР и служащих:</w:t>
      </w:r>
    </w:p>
    <w:p w14:paraId="5DD473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Легко заметить, что чем восточней дислоцировался завод, тем больше на нём был поправочный коэффициент. Интерес</w:t>
      </w:r>
      <w:r w:rsidRPr="00A3026E">
        <w:rPr>
          <w:rFonts w:ascii="Times New Roman" w:hAnsi="Times New Roman"/>
          <w:color w:val="000000" w:themeColor="text1"/>
          <w:sz w:val="16"/>
          <w:szCs w:val="16"/>
        </w:rPr>
        <w:softHyphen/>
        <w:t>но, что руководство завода № 153, расположенного в Новоси</w:t>
      </w:r>
      <w:r w:rsidRPr="00A3026E">
        <w:rPr>
          <w:rFonts w:ascii="Times New Roman" w:hAnsi="Times New Roman"/>
          <w:color w:val="000000" w:themeColor="text1"/>
          <w:sz w:val="16"/>
          <w:szCs w:val="16"/>
        </w:rPr>
        <w:softHyphen/>
        <w:t>бирске, очень сетовало, что хотя снабжение товарами питания И широкого потребления Новосибирска, Иркутска и Улан-Удэ примерно одинаковое, уровень зарплат на «восточных» заво</w:t>
      </w:r>
      <w:r w:rsidRPr="00A3026E">
        <w:rPr>
          <w:rFonts w:ascii="Times New Roman" w:hAnsi="Times New Roman"/>
          <w:color w:val="000000" w:themeColor="text1"/>
          <w:sz w:val="16"/>
          <w:szCs w:val="16"/>
        </w:rPr>
        <w:softHyphen/>
        <w:t>дах выше, поэтому инженерные кадры предпочитали либо зацепиться за центральные регионы, где уровень снабжения был повыше, либо уж ехать за совсем «длинным рублём» на Дальний Восток. В результате новосибирский завод, оказав</w:t>
      </w:r>
      <w:r w:rsidRPr="00A3026E">
        <w:rPr>
          <w:rFonts w:ascii="Times New Roman" w:hAnsi="Times New Roman"/>
          <w:color w:val="000000" w:themeColor="text1"/>
          <w:sz w:val="16"/>
          <w:szCs w:val="16"/>
        </w:rPr>
        <w:softHyphen/>
        <w:t>шийся в положении «ни два, ни полтора», постоянно испыты</w:t>
      </w:r>
      <w:r w:rsidRPr="00A3026E">
        <w:rPr>
          <w:rFonts w:ascii="Times New Roman" w:hAnsi="Times New Roman"/>
          <w:color w:val="000000" w:themeColor="text1"/>
          <w:sz w:val="16"/>
          <w:szCs w:val="16"/>
        </w:rPr>
        <w:softHyphen/>
        <w:t>вал жёсткий дефицит ИТР (</w:t>
      </w:r>
      <w:r w:rsidRPr="00A3026E">
        <w:rPr>
          <w:rFonts w:ascii="Times New Roman" w:hAnsi="Times New Roman"/>
          <w:iCs/>
          <w:color w:val="000000" w:themeColor="text1"/>
          <w:sz w:val="16"/>
          <w:szCs w:val="16"/>
        </w:rPr>
        <w:t>Савицкий КМ.</w:t>
      </w:r>
      <w:r w:rsidRPr="00A3026E">
        <w:rPr>
          <w:rFonts w:ascii="Times New Roman" w:hAnsi="Times New Roman"/>
          <w:color w:val="000000" w:themeColor="text1"/>
          <w:sz w:val="16"/>
          <w:szCs w:val="16"/>
        </w:rPr>
        <w:t xml:space="preserve"> Указ. соч. С. 31).</w:t>
      </w:r>
    </w:p>
    <w:p w14:paraId="3A4CEB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Поправочные коэффициенты к окладам ИТР н служащих, введённые 23 ноября 1940 г. для сотрудников авиазаводов отдалённых регионов (РГАЭ. Ф. 8044. </w:t>
      </w:r>
      <w:r w:rsidRPr="00A3026E">
        <w:rPr>
          <w:rFonts w:ascii="Times New Roman" w:hAnsi="Times New Roman"/>
          <w:color w:val="000000" w:themeColor="text1"/>
          <w:sz w:val="16"/>
          <w:szCs w:val="16"/>
          <w:lang w:val="en-US"/>
        </w:rPr>
        <w:t xml:space="preserve">On. </w:t>
      </w:r>
      <w:r w:rsidRPr="00A3026E">
        <w:rPr>
          <w:rFonts w:ascii="Times New Roman" w:hAnsi="Times New Roman"/>
          <w:color w:val="000000" w:themeColor="text1"/>
          <w:sz w:val="16"/>
          <w:szCs w:val="16"/>
        </w:rPr>
        <w:t>1. Д. 408. Л. 38)</w:t>
      </w:r>
    </w:p>
    <w:tbl>
      <w:tblPr>
        <w:tblW w:w="0" w:type="auto"/>
        <w:tblInd w:w="8" w:type="dxa"/>
        <w:tblLayout w:type="fixed"/>
        <w:tblCellMar>
          <w:left w:w="0" w:type="dxa"/>
          <w:right w:w="0" w:type="dxa"/>
        </w:tblCellMar>
        <w:tblLook w:val="0000" w:firstRow="0" w:lastRow="0" w:firstColumn="0" w:lastColumn="0" w:noHBand="0" w:noVBand="0"/>
      </w:tblPr>
      <w:tblGrid>
        <w:gridCol w:w="2966"/>
        <w:gridCol w:w="2976"/>
      </w:tblGrid>
      <w:tr w:rsidR="00983732" w:rsidRPr="00A3026E" w14:paraId="6887932C" w14:textId="77777777" w:rsidTr="00EA0DA7">
        <w:trPr>
          <w:trHeight w:val="235"/>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340648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завода</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700771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Поправочный коэффициент</w:t>
            </w:r>
          </w:p>
        </w:tc>
      </w:tr>
      <w:tr w:rsidR="00983732" w:rsidRPr="00A3026E" w14:paraId="2C43B20E" w14:textId="77777777" w:rsidTr="00EA0DA7">
        <w:trPr>
          <w:trHeight w:val="221"/>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3425EE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2E37C3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r>
      <w:tr w:rsidR="00983732" w:rsidRPr="00A3026E" w14:paraId="5515E966" w14:textId="77777777" w:rsidTr="00EA0DA7">
        <w:trPr>
          <w:trHeight w:val="226"/>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3C128A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2E4982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r>
      <w:tr w:rsidR="00983732" w:rsidRPr="00A3026E" w14:paraId="7FA7AEE5" w14:textId="77777777" w:rsidTr="00EA0DA7">
        <w:trPr>
          <w:trHeight w:val="221"/>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44A7D1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75169D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r>
      <w:tr w:rsidR="00983732" w:rsidRPr="00A3026E" w14:paraId="36C067FB" w14:textId="77777777" w:rsidTr="00EA0DA7">
        <w:trPr>
          <w:trHeight w:val="221"/>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5EED84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99</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590884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r>
      <w:tr w:rsidR="00983732" w:rsidRPr="00A3026E" w14:paraId="3295E83F" w14:textId="77777777" w:rsidTr="00EA0DA7">
        <w:trPr>
          <w:trHeight w:val="226"/>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0E61EB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5D8782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r>
      <w:tr w:rsidR="00983732" w:rsidRPr="00A3026E" w14:paraId="36C67F25" w14:textId="77777777" w:rsidTr="00EA0DA7">
        <w:trPr>
          <w:trHeight w:val="240"/>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3BFB8E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3C94E2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lang w:val="en-US"/>
              </w:rPr>
              <w:t>U</w:t>
            </w:r>
          </w:p>
        </w:tc>
      </w:tr>
    </w:tbl>
    <w:p w14:paraId="78088D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Параллельно с повышением расценок на заводах, распо</w:t>
      </w:r>
      <w:r w:rsidRPr="00A3026E">
        <w:rPr>
          <w:rFonts w:ascii="Times New Roman" w:hAnsi="Times New Roman"/>
          <w:color w:val="000000" w:themeColor="text1"/>
          <w:sz w:val="16"/>
          <w:szCs w:val="16"/>
        </w:rPr>
        <w:softHyphen/>
        <w:t>ложенных в удалённых регионах страны, руководство НКАП пыталось сократить расходы на рабочую силу предприятий, дислоцированных ближе к центру. Так, например, в марте 1941 г. на ряде заводов—№ 1,16,22,32,33,34,39,84,305 — был проведён очередной пересмотр норм выработки, который вылился в массовое снижение расценок. Разумеется, это вы</w:t>
      </w:r>
      <w:r w:rsidRPr="00A3026E">
        <w:rPr>
          <w:rFonts w:ascii="Times New Roman" w:hAnsi="Times New Roman"/>
          <w:color w:val="000000" w:themeColor="text1"/>
          <w:sz w:val="16"/>
          <w:szCs w:val="16"/>
        </w:rPr>
        <w:softHyphen/>
        <w:t>звало определённую напряжённость в коллективе указанных заводов. Далеко не все рабочие, особенно вновь принятые на авиапредприятия, были в состоянии выполнять новые, повы</w:t>
      </w:r>
      <w:r w:rsidRPr="00A3026E">
        <w:rPr>
          <w:rFonts w:ascii="Times New Roman" w:hAnsi="Times New Roman"/>
          <w:color w:val="000000" w:themeColor="text1"/>
          <w:sz w:val="16"/>
          <w:szCs w:val="16"/>
        </w:rPr>
        <w:softHyphen/>
        <w:t xml:space="preserve">шенные нормы. Так, на заводе № 16 в I квартале 1941 г. с этой задачей не справились 18,6 % рабочих-сделыциков (РГАЭ. Ф. 8044.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674. Л. 44).</w:t>
      </w:r>
    </w:p>
    <w:p w14:paraId="7B2FFA8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AAA7D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 военные потребовали от директора завода № 12 снарядить нейтральной смесью с пороховой подсыпкой 100 штук РС-82 для испытания АВ-100. РС надлежало напра</w:t>
      </w:r>
      <w:r w:rsidRPr="00A3026E">
        <w:rPr>
          <w:rFonts w:ascii="Times New Roman" w:hAnsi="Times New Roman"/>
          <w:color w:val="000000" w:themeColor="text1"/>
          <w:sz w:val="16"/>
          <w:szCs w:val="16"/>
        </w:rPr>
        <w:softHyphen/>
        <w:t>вить на НИ ПАВ ВВС к 30 ноября 1940 г. Кроме того, в 1939 г. в ЦКБ-22 специально для оснащения ракетных снарядов разработали еще один ди</w:t>
      </w:r>
      <w:r w:rsidRPr="00A3026E">
        <w:rPr>
          <w:rFonts w:ascii="Times New Roman" w:hAnsi="Times New Roman"/>
          <w:color w:val="000000" w:themeColor="text1"/>
          <w:sz w:val="16"/>
          <w:szCs w:val="16"/>
        </w:rPr>
        <w:softHyphen/>
        <w:t>станционный взрыватель - АВ-89, но более подробных сведений о нем практически не встречается (11402).</w:t>
      </w:r>
    </w:p>
    <w:p w14:paraId="79A473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4ECCFC6" w14:textId="77777777" w:rsidR="00C66762" w:rsidRPr="00A3026E" w:rsidRDefault="001F3559" w:rsidP="00A3026E">
      <w:pPr>
        <w:shd w:val="clear" w:color="auto" w:fill="FFFFFF"/>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7BEBBB2A" w14:textId="77777777" w:rsidR="00C66762" w:rsidRPr="00A3026E" w:rsidRDefault="00C66762" w:rsidP="00A3026E">
      <w:pPr>
        <w:shd w:val="clear" w:color="auto" w:fill="FFFFFF"/>
        <w:spacing w:after="0" w:line="240" w:lineRule="auto"/>
        <w:jc w:val="both"/>
        <w:rPr>
          <w:rFonts w:ascii="Times New Roman" w:hAnsi="Times New Roman"/>
          <w:iCs/>
          <w:color w:val="000000" w:themeColor="text1"/>
          <w:sz w:val="16"/>
          <w:szCs w:val="16"/>
        </w:rPr>
      </w:pPr>
    </w:p>
    <w:p w14:paraId="1D782B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г. была подготовлена СПРАВКА-ДОКЛАД НАЧАЛЬНИКА АТУ О СОСТОЯНИИ РАБОТ ПО ИЗГОТОВЛЕНИЮ ОПЫТНЫХ ОБРАЗЦОВ ТРАКТОРОВ, АВТОМОБИЛЕЙ И МОТОЦИКЛОВ</w:t>
      </w:r>
    </w:p>
    <w:p w14:paraId="261A4D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Тракторы</w:t>
      </w:r>
    </w:p>
    <w:p w14:paraId="5A1085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Выпускаемые заводами сельскохозяйственные трактора совершенно не удовлетворяют такти</w:t>
      </w:r>
      <w:r w:rsidRPr="00A3026E">
        <w:rPr>
          <w:rFonts w:ascii="Times New Roman" w:hAnsi="Times New Roman"/>
          <w:color w:val="000000" w:themeColor="text1"/>
          <w:sz w:val="16"/>
          <w:szCs w:val="16"/>
        </w:rPr>
        <w:softHyphen/>
        <w:t>ко-техническим требованиям современной артиллерии.</w:t>
      </w:r>
    </w:p>
    <w:p w14:paraId="46E52A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вызвало необходимость создания новых типов тракторов-арттягачей, обладающих более высокими скоростями и тяговыми усилиями и имеющих специальное оборудование, необходимое при буксировке артсистем.</w:t>
      </w:r>
    </w:p>
    <w:p w14:paraId="608DAC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постановлений комитета обороны при СНК Союза ССР в текущем году должны быть изготовлены следующие опытные образцы тракторов:</w:t>
      </w:r>
    </w:p>
    <w:p w14:paraId="362AD7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Трактор «А-42».</w:t>
      </w:r>
    </w:p>
    <w:p w14:paraId="248D43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Постановлению комитета обороны № 191 ее от 4.5.1940 г. завод № 183 должен был изготовить и сдать на полигонные испытания к 1.10.1940 г. два опытных образца трактора «А-42».</w:t>
      </w:r>
    </w:p>
    <w:p w14:paraId="5A736A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19 ноября один опытный образец изготовлен, прошел заводскую обкатку и подготавливается к заводским испытаниям. Второй образец заканчивается сборкой 20-25 ноября.</w:t>
      </w:r>
    </w:p>
    <w:p w14:paraId="18BC6D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Письмом № 80315 от 19.10.1940 г. АТУ Красной Армии просило зам. Наркома среднего машино</w:t>
      </w:r>
      <w:r w:rsidRPr="00A3026E">
        <w:rPr>
          <w:rFonts w:ascii="Times New Roman" w:hAnsi="Times New Roman"/>
          <w:color w:val="000000" w:themeColor="text1"/>
          <w:sz w:val="16"/>
          <w:szCs w:val="16"/>
        </w:rPr>
        <w:softHyphen/>
        <w:t>строения т. Горегляд обязать завод закончить сборку опытных образцов в кратчайший срок и предъ</w:t>
      </w:r>
      <w:r w:rsidRPr="00A3026E">
        <w:rPr>
          <w:rFonts w:ascii="Times New Roman" w:hAnsi="Times New Roman"/>
          <w:color w:val="000000" w:themeColor="text1"/>
          <w:sz w:val="16"/>
          <w:szCs w:val="16"/>
        </w:rPr>
        <w:softHyphen/>
        <w:t>явить их на полигонные испытания.</w:t>
      </w:r>
    </w:p>
    <w:p w14:paraId="0FD1FE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 «А-42» является тяжелым трактором, спроектированным на базе танка Т-34, с унифика</w:t>
      </w:r>
      <w:r w:rsidRPr="00A3026E">
        <w:rPr>
          <w:rFonts w:ascii="Times New Roman" w:hAnsi="Times New Roman"/>
          <w:color w:val="000000" w:themeColor="text1"/>
          <w:sz w:val="16"/>
          <w:szCs w:val="16"/>
        </w:rPr>
        <w:softHyphen/>
        <w:t>цией основных механизмов.</w:t>
      </w:r>
    </w:p>
    <w:p w14:paraId="061A99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данные:</w:t>
      </w:r>
    </w:p>
    <w:p w14:paraId="458FFC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 17 тонн.</w:t>
      </w:r>
    </w:p>
    <w:p w14:paraId="3FD1E2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Максимальная мощность двигателя — 500 л.с.</w:t>
      </w:r>
    </w:p>
    <w:p w14:paraId="71ED99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Максимальная скорость — 47 км/час.</w:t>
      </w:r>
    </w:p>
    <w:p w14:paraId="4327F3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Максимальное тяговое усилие на крюке — 15000 кг.</w:t>
      </w:r>
    </w:p>
    <w:p w14:paraId="6EC235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 предназначается для использования в Красной Армии в качестве тягача артиллерии большой мощности и для буксировки тяжелых танков.</w:t>
      </w:r>
    </w:p>
    <w:p w14:paraId="2B82CB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Трактор «С-2» с дизельмотором 140-150 л.с.</w:t>
      </w:r>
    </w:p>
    <w:p w14:paraId="53B8291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По Постановлению комитета обороны № 191 ее от 4.5.1940 г. Челябинский тракторный за</w:t>
      </w:r>
      <w:r w:rsidRPr="00A3026E">
        <w:rPr>
          <w:i w:val="0"/>
          <w:iCs w:val="0"/>
          <w:color w:val="000000" w:themeColor="text1"/>
          <w:spacing w:val="0"/>
          <w:kern w:val="0"/>
          <w:position w:val="0"/>
          <w:sz w:val="16"/>
          <w:szCs w:val="16"/>
          <w:lang w:val="ru-RU"/>
        </w:rPr>
        <w:softHyphen/>
        <w:t>вод должен был изготовить два трактора «С-2» с дизельмотором «Д-11» и сдать их на полигон</w:t>
      </w:r>
      <w:r w:rsidRPr="00A3026E">
        <w:rPr>
          <w:i w:val="0"/>
          <w:iCs w:val="0"/>
          <w:color w:val="000000" w:themeColor="text1"/>
          <w:spacing w:val="0"/>
          <w:kern w:val="0"/>
          <w:position w:val="0"/>
          <w:sz w:val="16"/>
          <w:szCs w:val="16"/>
          <w:lang w:val="ru-RU"/>
        </w:rPr>
        <w:softHyphen/>
        <w:t>ные испытания к 1.8.1940 г. Полигонные и войсковые испытания трактора «С-2» показали не</w:t>
      </w:r>
      <w:r w:rsidRPr="00A3026E">
        <w:rPr>
          <w:i w:val="0"/>
          <w:iCs w:val="0"/>
          <w:color w:val="000000" w:themeColor="text1"/>
          <w:spacing w:val="0"/>
          <w:kern w:val="0"/>
          <w:position w:val="0"/>
          <w:sz w:val="16"/>
          <w:szCs w:val="16"/>
          <w:lang w:val="ru-RU"/>
        </w:rPr>
        <w:softHyphen/>
        <w:t>достаточную мощность двигателя, это послужило основанием форсирования дизельмотора до 140-150 л.с.</w:t>
      </w:r>
    </w:p>
    <w:p w14:paraId="5B0CA7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сего времени тракторы не изготовлены. По приказу директора завода опытные образцы должны быть изготовлены и отгружены на полигон к 15 ноября. Дизельмотор «Д-11» заводом изго</w:t>
      </w:r>
      <w:r w:rsidRPr="00A3026E">
        <w:rPr>
          <w:rFonts w:ascii="Times New Roman" w:hAnsi="Times New Roman"/>
          <w:color w:val="000000" w:themeColor="text1"/>
          <w:sz w:val="16"/>
          <w:szCs w:val="16"/>
        </w:rPr>
        <w:softHyphen/>
        <w:t>товлен и стендовые испытания его дали 160 л.с.</w:t>
      </w:r>
    </w:p>
    <w:p w14:paraId="0F84AA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Письмом № 80315с от 19.10.1940 г. АТУ Красной Армии просило зам. Наркома среднего машино</w:t>
      </w:r>
      <w:r w:rsidRPr="00A3026E">
        <w:rPr>
          <w:rFonts w:ascii="Times New Roman" w:hAnsi="Times New Roman"/>
          <w:color w:val="000000" w:themeColor="text1"/>
          <w:sz w:val="16"/>
          <w:szCs w:val="16"/>
        </w:rPr>
        <w:softHyphen/>
        <w:t>строения т. Горегляд ускорить сдачу опытных образцов на полигонные испытания.</w:t>
      </w:r>
    </w:p>
    <w:p w14:paraId="6F8A3D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Письмом № 80378 от 1.11.1940 г. комитет обороны был поставлен в известность о невыполнении постановления в установленный срок.</w:t>
      </w:r>
    </w:p>
    <w:p w14:paraId="2578BD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 «С-2» с дизельмотором «Д-11» - представляет серийный трактор «С-2» с установкой на нем более мощного двигателя (мощность двигателя «Д-11» доведена до 160л.с.).</w:t>
      </w:r>
    </w:p>
    <w:p w14:paraId="23FB25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данные:</w:t>
      </w:r>
    </w:p>
    <w:p w14:paraId="74E3FD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трактора— 13 тонн.</w:t>
      </w:r>
    </w:p>
    <w:p w14:paraId="696F04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Максимальная скорость — 25 км/час.</w:t>
      </w:r>
    </w:p>
    <w:p w14:paraId="6304190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Максимальное тяговое усилие на крюке — 10 тонн.</w:t>
      </w:r>
    </w:p>
    <w:p w14:paraId="2F41A1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 «С-2» с дизелем «Д-11» предназначается для использования в Красной Армии в качест</w:t>
      </w:r>
      <w:r w:rsidRPr="00A3026E">
        <w:rPr>
          <w:rFonts w:ascii="Times New Roman" w:hAnsi="Times New Roman"/>
          <w:color w:val="000000" w:themeColor="text1"/>
          <w:sz w:val="16"/>
          <w:szCs w:val="16"/>
        </w:rPr>
        <w:softHyphen/>
        <w:t>ве тягача корпусной артиллерии.</w:t>
      </w:r>
    </w:p>
    <w:p w14:paraId="03DD71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Трактор СТЗ-2ТД.</w:t>
      </w:r>
    </w:p>
    <w:p w14:paraId="615A4E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Постановлению комитета обороны № 443 от 19.12.1939 г. Сталинградский тракторный завод должен был изготовить и провести совместно с НКО испытания двух опытных образцов. Образцы изготовлены, полигонные испытания проведены в апреле-августе 1940 г.</w:t>
      </w:r>
    </w:p>
    <w:p w14:paraId="607F46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трактора находятся на заводе в разобранном виде, но никакой работы по уст</w:t>
      </w:r>
      <w:r w:rsidRPr="00A3026E">
        <w:rPr>
          <w:rFonts w:ascii="Times New Roman" w:hAnsi="Times New Roman"/>
          <w:color w:val="000000" w:themeColor="text1"/>
          <w:sz w:val="16"/>
          <w:szCs w:val="16"/>
        </w:rPr>
        <w:softHyphen/>
        <w:t>ранению выявленных дефектов заводом не ведется.</w:t>
      </w:r>
    </w:p>
    <w:p w14:paraId="0DAF18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Письмом № 80400 от 6.11.1940 г. ГАБТУ Красной Армии просит ускорить конструктивную дора</w:t>
      </w:r>
      <w:r w:rsidRPr="00A3026E">
        <w:rPr>
          <w:rFonts w:ascii="Times New Roman" w:hAnsi="Times New Roman"/>
          <w:color w:val="000000" w:themeColor="text1"/>
          <w:sz w:val="16"/>
          <w:szCs w:val="16"/>
        </w:rPr>
        <w:softHyphen/>
        <w:t>ботку трактора и устранение дефектов и предъявить на повторные полигонные испытания.</w:t>
      </w:r>
    </w:p>
    <w:p w14:paraId="115612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 СТЗ-2ТД спроектирован на базе трактора СТЗ-5.</w:t>
      </w:r>
    </w:p>
    <w:p w14:paraId="2E094B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данные:</w:t>
      </w:r>
    </w:p>
    <w:p w14:paraId="359894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 6,7 тонн.</w:t>
      </w:r>
    </w:p>
    <w:p w14:paraId="3997A2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Максимальная мощность двигателя — 98л.с.</w:t>
      </w:r>
    </w:p>
    <w:p w14:paraId="094F0D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Максимальная скорость — 36 км/час.</w:t>
      </w:r>
    </w:p>
    <w:p w14:paraId="38C63A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Максимальное тяговое усилие на крюке — 7250 кг.</w:t>
      </w:r>
    </w:p>
    <w:p w14:paraId="27C4C6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 предназначен для использования в Красной Армии в качестве тягача дивизионной и корпусной артиллерии и как транспортер для перевозки грузов общевойскового назначения.</w:t>
      </w:r>
    </w:p>
    <w:p w14:paraId="430F42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своим тактико-техническим качествам, при условии доработки трактора (устранение основ</w:t>
      </w:r>
      <w:r w:rsidRPr="00A3026E">
        <w:rPr>
          <w:rFonts w:ascii="Times New Roman" w:hAnsi="Times New Roman"/>
          <w:color w:val="000000" w:themeColor="text1"/>
          <w:sz w:val="16"/>
          <w:szCs w:val="16"/>
        </w:rPr>
        <w:softHyphen/>
        <w:t>ных дефектов, выявленных на полигонных испытаниях), он значительно лучше выпускаемых в на</w:t>
      </w:r>
      <w:r w:rsidRPr="00A3026E">
        <w:rPr>
          <w:rFonts w:ascii="Times New Roman" w:hAnsi="Times New Roman"/>
          <w:color w:val="000000" w:themeColor="text1"/>
          <w:sz w:val="16"/>
          <w:szCs w:val="16"/>
        </w:rPr>
        <w:softHyphen/>
        <w:t>стоящее время средних тракторов, обладая более высокой скоростью при больших тяговых усилиях на крюке и лучшей проходимостью.</w:t>
      </w:r>
    </w:p>
    <w:p w14:paraId="3B6A32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Трактор «ГАЗ-22».</w:t>
      </w:r>
    </w:p>
    <w:p w14:paraId="742332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Постановлению комитета обороны № 303сс от 12.7.1940 г. Горьковский автозавод должен был изготовить два опытных образца трактора ГАЗ-22, провести заводские испытания и представить на полигонные испытания в ноябре 1940 г.</w:t>
      </w:r>
    </w:p>
    <w:p w14:paraId="0546F8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Трактора изготовлены. Заводские испытания не закончены по причине отсутствия гусеничных цепей на заводе, которые должен поставить СТЗ.</w:t>
      </w:r>
    </w:p>
    <w:p w14:paraId="0EA7D3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Письмом № 80401с от 6.11.1940 г. АТУ Красной Армии просило зам. Наркома среднего машино</w:t>
      </w:r>
      <w:r w:rsidRPr="00A3026E">
        <w:rPr>
          <w:rFonts w:ascii="Times New Roman" w:hAnsi="Times New Roman"/>
          <w:color w:val="000000" w:themeColor="text1"/>
          <w:sz w:val="16"/>
          <w:szCs w:val="16"/>
        </w:rPr>
        <w:softHyphen/>
        <w:t>строения т. Горегляд ускорить и обеспечить окончание заводских испытаний и предъявление трак</w:t>
      </w:r>
      <w:r w:rsidRPr="00A3026E">
        <w:rPr>
          <w:rFonts w:ascii="Times New Roman" w:hAnsi="Times New Roman"/>
          <w:color w:val="000000" w:themeColor="text1"/>
          <w:sz w:val="16"/>
          <w:szCs w:val="16"/>
        </w:rPr>
        <w:softHyphen/>
        <w:t>торов на полигонные испытания.</w:t>
      </w:r>
    </w:p>
    <w:p w14:paraId="57785C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Трактор «ГАЗ-22» - легкий трактор, спроектированный на базе танка Т-40, с унификацией ос</w:t>
      </w:r>
      <w:r w:rsidRPr="00A3026E">
        <w:rPr>
          <w:rFonts w:ascii="Times New Roman" w:hAnsi="Times New Roman"/>
          <w:color w:val="000000" w:themeColor="text1"/>
          <w:sz w:val="16"/>
          <w:szCs w:val="16"/>
        </w:rPr>
        <w:softHyphen/>
        <w:t>новных механизмов.</w:t>
      </w:r>
    </w:p>
    <w:p w14:paraId="3F9178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данные:</w:t>
      </w:r>
    </w:p>
    <w:p w14:paraId="4AD0DA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 3,5 тонн.</w:t>
      </w:r>
    </w:p>
    <w:p w14:paraId="4949E8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Максимальная мощность двигателя — 83 л.с.</w:t>
      </w:r>
    </w:p>
    <w:p w14:paraId="337611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Максимальная скорость — 45 км/час.</w:t>
      </w:r>
    </w:p>
    <w:p w14:paraId="5389C7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Максимальное тяговое усилие на крюке — 3 тонны.</w:t>
      </w:r>
    </w:p>
    <w:p w14:paraId="67BCD99C"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Трактор предназначается для использования в Красной Армии в качестве тягача полковой и противотанко</w:t>
      </w:r>
      <w:r w:rsidRPr="00A3026E">
        <w:rPr>
          <w:i w:val="0"/>
          <w:iCs w:val="0"/>
          <w:color w:val="000000" w:themeColor="text1"/>
          <w:spacing w:val="0"/>
          <w:kern w:val="0"/>
          <w:position w:val="0"/>
          <w:sz w:val="16"/>
          <w:szCs w:val="16"/>
          <w:lang w:val="ru-RU"/>
        </w:rPr>
        <w:softHyphen/>
        <w:t>вой артиллерии и как транспортер для перевозки грузов общевойскового назначения взамен трактора «Комсо</w:t>
      </w:r>
      <w:r w:rsidRPr="00A3026E">
        <w:rPr>
          <w:i w:val="0"/>
          <w:iCs w:val="0"/>
          <w:color w:val="000000" w:themeColor="text1"/>
          <w:spacing w:val="0"/>
          <w:kern w:val="0"/>
          <w:position w:val="0"/>
          <w:sz w:val="16"/>
          <w:szCs w:val="16"/>
          <w:lang w:val="ru-RU"/>
        </w:rPr>
        <w:softHyphen/>
        <w:t>молец», т.к. он имеет более мощный двигатель и полную унификацию основных механизмов с танком Т-40.</w:t>
      </w:r>
    </w:p>
    <w:p w14:paraId="52F519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Оборудование тракторов «Ворошиловец» и «С-2» компрессорными установками.</w:t>
      </w:r>
    </w:p>
    <w:p w14:paraId="1FD695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Постановлению комитета обороны № 303сс от 12.7.1940 г. НАТИ должен был спроектировать и изготовить компрессорные установки на трактора «Ворошиловец» и «С-2» к 1.09.1940 г.</w:t>
      </w:r>
    </w:p>
    <w:p w14:paraId="063037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трактора «Ворошиловец» заводом № 183 оборудованы и направлены на испытания в Лугу.</w:t>
      </w:r>
    </w:p>
    <w:p w14:paraId="02CE9B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задерживается неподготовленностью артсистем (не закончены стрельбы).</w:t>
      </w:r>
    </w:p>
    <w:p w14:paraId="4B310B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Трактора «С-2» компрессорными установками Челябинским тракторным заводом еще не обору</w:t>
      </w:r>
      <w:r w:rsidRPr="00A3026E">
        <w:rPr>
          <w:rFonts w:ascii="Times New Roman" w:hAnsi="Times New Roman"/>
          <w:color w:val="000000" w:themeColor="text1"/>
          <w:sz w:val="16"/>
          <w:szCs w:val="16"/>
        </w:rPr>
        <w:softHyphen/>
        <w:t>дованы, из-за несоответствия разработанных НАТИ чертежей к трактору «С-2», по причине внесе</w:t>
      </w:r>
      <w:r w:rsidRPr="00A3026E">
        <w:rPr>
          <w:rFonts w:ascii="Times New Roman" w:hAnsi="Times New Roman"/>
          <w:color w:val="000000" w:themeColor="text1"/>
          <w:sz w:val="16"/>
          <w:szCs w:val="16"/>
        </w:rPr>
        <w:softHyphen/>
        <w:t>ния изменений в результате полигонных и войсковых испытаний.</w:t>
      </w:r>
    </w:p>
    <w:p w14:paraId="33977F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Письмом № 80315 от 19.10.1940 г. АТУ Красной Армии просило зам. Наркома среднего машино</w:t>
      </w:r>
      <w:r w:rsidRPr="00A3026E">
        <w:rPr>
          <w:rFonts w:ascii="Times New Roman" w:hAnsi="Times New Roman"/>
          <w:color w:val="000000" w:themeColor="text1"/>
          <w:sz w:val="16"/>
          <w:szCs w:val="16"/>
        </w:rPr>
        <w:softHyphen/>
        <w:t>строения т. Горегляд ускорить сдачу тракторов на полигонные испытания.</w:t>
      </w:r>
    </w:p>
    <w:p w14:paraId="55F4A7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Письмом № 80378 от 1.11.1940 г. комитет обороны был поставлен в известность о невыполнении постановления в установленные сроки.</w:t>
      </w:r>
    </w:p>
    <w:p w14:paraId="25BC28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Необходимость оборудования тяжелого трактора «Ворошиловец» и среднего «С-2» компрессор</w:t>
      </w:r>
      <w:r w:rsidRPr="00A3026E">
        <w:rPr>
          <w:rFonts w:ascii="Times New Roman" w:hAnsi="Times New Roman"/>
          <w:color w:val="000000" w:themeColor="text1"/>
          <w:sz w:val="16"/>
          <w:szCs w:val="16"/>
        </w:rPr>
        <w:softHyphen/>
        <w:t>ными установками вызывается требованиями ГАУ КА, так как корпусная артиллерия и артиллерия большой мощности, для буксировки которой они предназначаются, имеют пневматическое обору</w:t>
      </w:r>
      <w:r w:rsidRPr="00A3026E">
        <w:rPr>
          <w:rFonts w:ascii="Times New Roman" w:hAnsi="Times New Roman"/>
          <w:color w:val="000000" w:themeColor="text1"/>
          <w:sz w:val="16"/>
          <w:szCs w:val="16"/>
        </w:rPr>
        <w:softHyphen/>
        <w:t>дование.</w:t>
      </w:r>
    </w:p>
    <w:p w14:paraId="3E68BB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в разрешении вопросов изготовления специальных тягачей для арт</w:t>
      </w:r>
      <w:r w:rsidRPr="00A3026E">
        <w:rPr>
          <w:rFonts w:ascii="Times New Roman" w:hAnsi="Times New Roman"/>
          <w:color w:val="000000" w:themeColor="text1"/>
          <w:sz w:val="16"/>
          <w:szCs w:val="16"/>
        </w:rPr>
        <w:softHyphen/>
        <w:t>систем имеет место параллелизм в работе ГАБТУ и ГАУ Красной Армии (Арткома и отдела мехтяги ГАУ). Этот параллелизм сильно мешает в работе по правильному техническому разрешению вопро</w:t>
      </w:r>
      <w:r w:rsidRPr="00A3026E">
        <w:rPr>
          <w:rFonts w:ascii="Times New Roman" w:hAnsi="Times New Roman"/>
          <w:color w:val="000000" w:themeColor="text1"/>
          <w:sz w:val="16"/>
          <w:szCs w:val="16"/>
        </w:rPr>
        <w:softHyphen/>
        <w:t>сов мехтяги, разработке технических требований, наблюдению и контролю за процессом проекти</w:t>
      </w:r>
      <w:r w:rsidRPr="00A3026E">
        <w:rPr>
          <w:rFonts w:ascii="Times New Roman" w:hAnsi="Times New Roman"/>
          <w:color w:val="000000" w:themeColor="text1"/>
          <w:sz w:val="16"/>
          <w:szCs w:val="16"/>
        </w:rPr>
        <w:softHyphen/>
        <w:t>рования и изготовления опытных образцов. В качестве примеров можно привести следующее:</w:t>
      </w:r>
    </w:p>
    <w:p w14:paraId="52FFB3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Транспортный трактор «СТЗ-5» применяется как тягач дивизионной артиллерии, но в силу его тихоходности и ряда конструктивных недостатков Пленумом Арткома были утверждены тактико-технические требования на новый опытный образец тягача дивизионной артиллерии (СТЗ-2ТД). Из</w:t>
      </w:r>
      <w:r w:rsidRPr="00A3026E">
        <w:rPr>
          <w:rFonts w:ascii="Times New Roman" w:hAnsi="Times New Roman"/>
          <w:color w:val="000000" w:themeColor="text1"/>
          <w:sz w:val="16"/>
          <w:szCs w:val="16"/>
        </w:rPr>
        <w:softHyphen/>
        <w:t>готовление этого образца было внесено в план опытных работ Арткома на 1941 г. и заказ на их про</w:t>
      </w:r>
      <w:r w:rsidRPr="00A3026E">
        <w:rPr>
          <w:rFonts w:ascii="Times New Roman" w:hAnsi="Times New Roman"/>
          <w:color w:val="000000" w:themeColor="text1"/>
          <w:sz w:val="16"/>
          <w:szCs w:val="16"/>
        </w:rPr>
        <w:softHyphen/>
        <w:t>изводство был послан в НКСМ. Однако новым требованиям, утвержденным Атркомом, этот трактор не удовлетворяет.</w:t>
      </w:r>
    </w:p>
    <w:p w14:paraId="369D79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Неизвестно, следует ли дорабатывать трактор СТЗ-2ТД и налаживать производство машины, не удовлетворяющей в полной мере новым требованиям Арткома или отказаться от нее и признать, что деньги и время затраченное на разработку, изготовление и испытание СТЗ-2ТД пропали даром.</w:t>
      </w:r>
    </w:p>
    <w:p w14:paraId="5250A1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том же плане опытных работ Арткома на 1941 г. стоит изготовление легких тракторов по та</w:t>
      </w:r>
      <w:r w:rsidRPr="00A3026E">
        <w:rPr>
          <w:rFonts w:ascii="Times New Roman" w:hAnsi="Times New Roman"/>
          <w:color w:val="000000" w:themeColor="text1"/>
          <w:sz w:val="16"/>
          <w:szCs w:val="16"/>
        </w:rPr>
        <w:softHyphen/>
        <w:t>ктико-техническим требованиям Арткома в качестве тягачей для полковой и противотанковой ар</w:t>
      </w:r>
      <w:r w:rsidRPr="00A3026E">
        <w:rPr>
          <w:rFonts w:ascii="Times New Roman" w:hAnsi="Times New Roman"/>
          <w:color w:val="000000" w:themeColor="text1"/>
          <w:sz w:val="16"/>
          <w:szCs w:val="16"/>
        </w:rPr>
        <w:softHyphen/>
        <w:t>тиллерии. Но опытные образцы трактора этого типа уже изготовлены (ГАЗ-22) и испытываются.</w:t>
      </w:r>
    </w:p>
    <w:p w14:paraId="7A5C47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ясно, для чего заказываются Арткомом промышленности на 1941 г. новые образцы легково</w:t>
      </w:r>
      <w:r w:rsidRPr="00A3026E">
        <w:rPr>
          <w:rFonts w:ascii="Times New Roman" w:hAnsi="Times New Roman"/>
          <w:color w:val="000000" w:themeColor="text1"/>
          <w:sz w:val="16"/>
          <w:szCs w:val="16"/>
        </w:rPr>
        <w:softHyphen/>
        <w:t>го трактора, когда не дан ответ заводу о пригодности или непригодности уже разработанных, изго</w:t>
      </w:r>
      <w:r w:rsidRPr="00A3026E">
        <w:rPr>
          <w:rFonts w:ascii="Times New Roman" w:hAnsi="Times New Roman"/>
          <w:color w:val="000000" w:themeColor="text1"/>
          <w:sz w:val="16"/>
          <w:szCs w:val="16"/>
        </w:rPr>
        <w:softHyphen/>
        <w:t>товленных и подготовляемых к полигонным испытаниям образцов.</w:t>
      </w:r>
    </w:p>
    <w:p w14:paraId="4121C1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Приведенных примеров достаточно, чтобы доказать отсутствие целеустремленности в вопросах предъявления автотракторной промышленности действительно необходимых технических требова</w:t>
      </w:r>
      <w:r w:rsidRPr="00A3026E">
        <w:rPr>
          <w:rFonts w:ascii="Times New Roman" w:hAnsi="Times New Roman"/>
          <w:color w:val="000000" w:themeColor="text1"/>
          <w:sz w:val="16"/>
          <w:szCs w:val="16"/>
        </w:rPr>
        <w:softHyphen/>
        <w:t>ний по изготовлению нужных для Красной Армии специальных тракторов и отсутствие единого центра, руководящего проектированием, изготовлением опытных образцов машин, которые бы не устарели морально до появления их в свет, и кроме того, это приводит к ненормальному взаимоотно</w:t>
      </w:r>
      <w:r w:rsidRPr="00A3026E">
        <w:rPr>
          <w:rFonts w:ascii="Times New Roman" w:hAnsi="Times New Roman"/>
          <w:color w:val="000000" w:themeColor="text1"/>
          <w:sz w:val="16"/>
          <w:szCs w:val="16"/>
        </w:rPr>
        <w:softHyphen/>
        <w:t>шению НКО с промышленностью по вопросам тракторостроения.</w:t>
      </w:r>
    </w:p>
    <w:p w14:paraId="4704CB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устранения этого положения, дезорганизующего работу по тракторостроению, необходимо обязать отдел мехтяги ГАУ КА заниматься своихми функциями по вопросам эксплуатации и парковой службы тракторного парка в артиллерийских частях Красной Армии.</w:t>
      </w:r>
    </w:p>
    <w:p w14:paraId="1DF84F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свои требования к тракторам для артсистем ГАУ Красной Армии должно направлять только ГАБТУ, которое разрабатывает тактико-технические требования на трактора всех типов и разреша</w:t>
      </w:r>
      <w:r w:rsidRPr="00A3026E">
        <w:rPr>
          <w:rFonts w:ascii="Times New Roman" w:hAnsi="Times New Roman"/>
          <w:color w:val="000000" w:themeColor="text1"/>
          <w:sz w:val="16"/>
          <w:szCs w:val="16"/>
        </w:rPr>
        <w:softHyphen/>
        <w:t>ет все вопросы по опытному и серийному тракторостроению.</w:t>
      </w:r>
    </w:p>
    <w:p w14:paraId="59FF2A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Автомобили Легковой автомобиль со всеми ведущими осями ГАЗ-61</w:t>
      </w:r>
    </w:p>
    <w:p w14:paraId="2D19E79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Красная Армия ощущает большую потребность в командирской машине, обладающей хорошей динамикой, надежностью работы и проходимостью в полевых условиях. Автомобиль ГАЗ-61 может удовлетворить эту потребность Красной Армии.</w:t>
      </w:r>
    </w:p>
    <w:p w14:paraId="55D591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Постановления комитета обороны при СНК СССР № 443сс от 19.12.1939 г. и № ЗЗЗсс от 26.7.1940 г. обязывали автозавод им. Молотова:</w:t>
      </w:r>
    </w:p>
    <w:p w14:paraId="7D3B9D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Организовать серийное производство автомобилей ГАЗ-61 с 1.10.1940 г.</w:t>
      </w:r>
    </w:p>
    <w:p w14:paraId="731965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Создать мощность завода по выпуску автомобилей ГАЗ-61 с 1.8.1941 г. — 1000 шт. в год.</w:t>
      </w:r>
    </w:p>
    <w:p w14:paraId="304F09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1939 г. автозаводом были изготовлены два опытных образца ГАЗ-61. Заводские испыта</w:t>
      </w:r>
      <w:r w:rsidRPr="00A3026E">
        <w:rPr>
          <w:rFonts w:ascii="Times New Roman" w:hAnsi="Times New Roman"/>
          <w:color w:val="000000" w:themeColor="text1"/>
          <w:sz w:val="16"/>
          <w:szCs w:val="16"/>
        </w:rPr>
        <w:softHyphen/>
        <w:t>ния этих машин показали хорошие результаты по проходимости в тяжелых дорожных условиях и на препятствиях.</w:t>
      </w:r>
    </w:p>
    <w:p w14:paraId="633C4D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подготовка производства этих автомобилей на автозаводе им. Молотова идет недопусти</w:t>
      </w:r>
      <w:r w:rsidRPr="00A3026E">
        <w:rPr>
          <w:rFonts w:ascii="Times New Roman" w:hAnsi="Times New Roman"/>
          <w:color w:val="000000" w:themeColor="text1"/>
          <w:sz w:val="16"/>
          <w:szCs w:val="16"/>
        </w:rPr>
        <w:softHyphen/>
        <w:t>мо медленно.</w:t>
      </w:r>
    </w:p>
    <w:p w14:paraId="1B87F5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Инструмента и штампов изготовлено всего лишь на 30-35%. Оборудования автозавод еще не по</w:t>
      </w:r>
      <w:r w:rsidRPr="00A3026E">
        <w:rPr>
          <w:rFonts w:ascii="Times New Roman" w:hAnsi="Times New Roman"/>
          <w:color w:val="000000" w:themeColor="text1"/>
          <w:sz w:val="16"/>
          <w:szCs w:val="16"/>
        </w:rPr>
        <w:softHyphen/>
        <w:t>лучал.</w:t>
      </w:r>
    </w:p>
    <w:p w14:paraId="49E29B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Письмом Маршала Советского Союза т. Кулик от 1.11.1940 г. НКО просил народного комиссара среднего машиностроения т. Малышева обязать завод ускорить подготовку производства и выпуск ГАЗ-61.</w:t>
      </w:r>
    </w:p>
    <w:p w14:paraId="156CA4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Грузовой 2-хосный автомобиль со всеми ведущими осями ЗИС-32</w:t>
      </w:r>
    </w:p>
    <w:p w14:paraId="03E9E0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обеспечения Красной Армии грузовыми автомашинами повышенной проходимости, Постановления комитета обороны при СНК СССР № 443сс от 19.12.1939 г. и № ЗЗЗсс от 26.7.1940 г. обязывали автозавод им. Сталина:</w:t>
      </w:r>
    </w:p>
    <w:p w14:paraId="3E4AAD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Организовать серийное производство автомобилей ЗИС-32 с 1.10.1940 г.</w:t>
      </w:r>
    </w:p>
    <w:p w14:paraId="51E6C2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Создать мощность завода по выпуску ЗИС-32 с 1.8.1941 г. до 2000 шт. в год.</w:t>
      </w:r>
    </w:p>
    <w:p w14:paraId="1CC19C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августе месяце 1941 г. автозаводом им. Сталина были изготовлены два опытных образца ЗИС-32. Полигонные испытания показали, что представленные опытные образцы ЗИС-32 конструктивно и производственно недоработаны (имеют дефекты).</w:t>
      </w:r>
    </w:p>
    <w:p w14:paraId="4A95CE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Подготовка производства ЗИС-32 идет медленно и грозит срывом выпуска данного автомобиля в 1941 г.</w:t>
      </w:r>
    </w:p>
    <w:p w14:paraId="7024A0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 тормозом в организации производства по выпуску ЗИС-32 является отсутствие им</w:t>
      </w:r>
      <w:r w:rsidRPr="00A3026E">
        <w:rPr>
          <w:rFonts w:ascii="Times New Roman" w:hAnsi="Times New Roman"/>
          <w:color w:val="000000" w:themeColor="text1"/>
          <w:sz w:val="16"/>
          <w:szCs w:val="16"/>
        </w:rPr>
        <w:softHyphen/>
        <w:t>портного и отечественного оборудования для изготовления карданов «Рцепа» для переднего ведуще</w:t>
      </w:r>
      <w:r w:rsidRPr="00A3026E">
        <w:rPr>
          <w:rFonts w:ascii="Times New Roman" w:hAnsi="Times New Roman"/>
          <w:color w:val="000000" w:themeColor="text1"/>
          <w:sz w:val="16"/>
          <w:szCs w:val="16"/>
        </w:rPr>
        <w:softHyphen/>
        <w:t>го моста, раздаточной коробки и других деталей.</w:t>
      </w:r>
    </w:p>
    <w:p w14:paraId="4837AA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12.11.1940 г. ГАБТУ своим письмом просило народного комиссара среднего машиностроения т. Малышева обеспечить автозавод им. Сталина необходимым оборудованием для производства ав</w:t>
      </w:r>
      <w:r w:rsidRPr="00A3026E">
        <w:rPr>
          <w:rFonts w:ascii="Times New Roman" w:hAnsi="Times New Roman"/>
          <w:color w:val="000000" w:themeColor="text1"/>
          <w:sz w:val="16"/>
          <w:szCs w:val="16"/>
        </w:rPr>
        <w:softHyphen/>
        <w:t>томобиля ЗИС-32 и в кратчайший срок доработать опытный образец ЗИС-32 для повторных поли</w:t>
      </w:r>
      <w:r w:rsidRPr="00A3026E">
        <w:rPr>
          <w:rFonts w:ascii="Times New Roman" w:hAnsi="Times New Roman"/>
          <w:color w:val="000000" w:themeColor="text1"/>
          <w:sz w:val="16"/>
          <w:szCs w:val="16"/>
        </w:rPr>
        <w:softHyphen/>
        <w:t>гонных испытаний.</w:t>
      </w:r>
    </w:p>
    <w:p w14:paraId="1A8D7A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Полугусеничные автомобили ЗИС-22-52 и ГАЗ-бОп</w:t>
      </w:r>
    </w:p>
    <w:p w14:paraId="409ADC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указания ГАБТУ Красной Армии и НКСМ на автозаводе им. Молотова и в НАТИ в ав</w:t>
      </w:r>
      <w:r w:rsidRPr="00A3026E">
        <w:rPr>
          <w:rFonts w:ascii="Times New Roman" w:hAnsi="Times New Roman"/>
          <w:color w:val="000000" w:themeColor="text1"/>
          <w:sz w:val="16"/>
          <w:szCs w:val="16"/>
        </w:rPr>
        <w:softHyphen/>
        <w:t>густе месяце 1941 г. были изготовлены опытные образцы полугусеничных автомобилей ЗИС-22-52 и ГАЗ-бОп, с принудительным зацеплением.</w:t>
      </w:r>
    </w:p>
    <w:p w14:paraId="100461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Проведенные в октябре месяце 1941 г. полигонные испытания данных автомобилей показали, что автомобили обладают хорошей проходимостью по грязным проселочным дорогам, пахоте и за</w:t>
      </w:r>
      <w:r w:rsidRPr="00A3026E">
        <w:rPr>
          <w:rFonts w:ascii="Times New Roman" w:hAnsi="Times New Roman"/>
          <w:color w:val="000000" w:themeColor="text1"/>
          <w:sz w:val="16"/>
          <w:szCs w:val="16"/>
        </w:rPr>
        <w:softHyphen/>
        <w:t>болоченным местам.</w:t>
      </w:r>
    </w:p>
    <w:p w14:paraId="132ADD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показатели, выявленные на испытании, следующие:</w:t>
      </w:r>
    </w:p>
    <w:p w14:paraId="6E7BD5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Максимальная скорость</w:t>
      </w:r>
    </w:p>
    <w:p w14:paraId="1FC385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Средняя скорость по грязному проселку</w:t>
      </w:r>
    </w:p>
    <w:p w14:paraId="2AD367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Расход горючего на 100 км. по шоссе по проселку</w:t>
      </w:r>
    </w:p>
    <w:p w14:paraId="0B4728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Максимально преодолеваемый подъем</w:t>
      </w:r>
    </w:p>
    <w:p w14:paraId="43E86B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Удельное давление</w:t>
      </w:r>
    </w:p>
    <w:p w14:paraId="4682E3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- 38-40 км/час</w:t>
      </w:r>
    </w:p>
    <w:p w14:paraId="266E1A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- 14-16 км/час</w:t>
      </w:r>
    </w:p>
    <w:p w14:paraId="69078E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- 45-60 л</w:t>
      </w:r>
    </w:p>
    <w:p w14:paraId="61E374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- 75-95 л</w:t>
      </w:r>
    </w:p>
    <w:p w14:paraId="6E08AC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- 28°</w:t>
      </w:r>
    </w:p>
    <w:p w14:paraId="5DD2F6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- 0,2-0,4 кг/см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p w14:paraId="013623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испытании выявлены также дефекты, подлежащие устранению при изготовлении устано</w:t>
      </w:r>
      <w:r w:rsidRPr="00A3026E">
        <w:rPr>
          <w:rFonts w:ascii="Times New Roman" w:hAnsi="Times New Roman"/>
          <w:color w:val="000000" w:themeColor="text1"/>
          <w:sz w:val="16"/>
          <w:szCs w:val="16"/>
        </w:rPr>
        <w:softHyphen/>
        <w:t>вочной партии автомобилей.</w:t>
      </w:r>
    </w:p>
    <w:p w14:paraId="150333E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Для подготовки выпуска полугусеничных автомобилей в 1941 году и проведения войсковых ис</w:t>
      </w:r>
      <w:r w:rsidRPr="00A3026E">
        <w:rPr>
          <w:i w:val="0"/>
          <w:iCs w:val="0"/>
          <w:color w:val="000000" w:themeColor="text1"/>
          <w:spacing w:val="0"/>
          <w:kern w:val="0"/>
          <w:position w:val="0"/>
          <w:sz w:val="16"/>
          <w:szCs w:val="16"/>
          <w:lang w:val="ru-RU"/>
        </w:rPr>
        <w:softHyphen/>
        <w:t>пытаний необходимо не позднее 20.12.1940 г. изготовить на автозаводах им. Сталина и им. Молото</w:t>
      </w:r>
      <w:r w:rsidRPr="00A3026E">
        <w:rPr>
          <w:i w:val="0"/>
          <w:iCs w:val="0"/>
          <w:color w:val="000000" w:themeColor="text1"/>
          <w:spacing w:val="0"/>
          <w:kern w:val="0"/>
          <w:position w:val="0"/>
          <w:sz w:val="16"/>
          <w:szCs w:val="16"/>
          <w:lang w:val="ru-RU"/>
        </w:rPr>
        <w:softHyphen/>
        <w:t>ва по 5 автомашин с устранением всех дефектов, выявленных на полигонных испытаниях, о чем по</w:t>
      </w:r>
      <w:r w:rsidRPr="00A3026E">
        <w:rPr>
          <w:i w:val="0"/>
          <w:iCs w:val="0"/>
          <w:color w:val="000000" w:themeColor="text1"/>
          <w:spacing w:val="0"/>
          <w:kern w:val="0"/>
          <w:position w:val="0"/>
          <w:sz w:val="16"/>
          <w:szCs w:val="16"/>
          <w:lang w:val="ru-RU"/>
        </w:rPr>
        <w:softHyphen/>
        <w:t>сылается письмо НКСМ т. Малышеву.</w:t>
      </w:r>
    </w:p>
    <w:p w14:paraId="36EA39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Автомобильный двигатель дизель ЗИС-Д-7</w:t>
      </w:r>
    </w:p>
    <w:p w14:paraId="52BFC9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автозаводе им. Сталина сконструированы и изготовлены опытные образцы двигателя дизеля Д-7 мощностью 96 л.с. Двигатель в 1939 г. подвергался государственным испытаниям и показал хоро</w:t>
      </w:r>
      <w:r w:rsidRPr="00A3026E">
        <w:rPr>
          <w:rFonts w:ascii="Times New Roman" w:hAnsi="Times New Roman"/>
          <w:color w:val="000000" w:themeColor="text1"/>
          <w:sz w:val="16"/>
          <w:szCs w:val="16"/>
        </w:rPr>
        <w:softHyphen/>
        <w:t>шие результаты по экономике и надежности работы.</w:t>
      </w:r>
    </w:p>
    <w:p w14:paraId="2298D4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Технология производства двигателя несложна и не требует импортного оборудования.</w:t>
      </w:r>
    </w:p>
    <w:p w14:paraId="5C1A1F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Государственная комиссия постановила рекомендовать дизель ЗИС-Д-7 для постановки на мас</w:t>
      </w:r>
      <w:r w:rsidRPr="00A3026E">
        <w:rPr>
          <w:rFonts w:ascii="Times New Roman" w:hAnsi="Times New Roman"/>
          <w:color w:val="000000" w:themeColor="text1"/>
          <w:sz w:val="16"/>
          <w:szCs w:val="16"/>
        </w:rPr>
        <w:softHyphen/>
        <w:t>совое производство.</w:t>
      </w:r>
    </w:p>
    <w:p w14:paraId="712C04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Экономсовета за № ЭС-48с от 21.2.1940 г. обязывало автозавод им. Сталина ор</w:t>
      </w:r>
      <w:r w:rsidRPr="00A3026E">
        <w:rPr>
          <w:rFonts w:ascii="Times New Roman" w:hAnsi="Times New Roman"/>
          <w:color w:val="000000" w:themeColor="text1"/>
          <w:sz w:val="16"/>
          <w:szCs w:val="16"/>
        </w:rPr>
        <w:softHyphen/>
        <w:t>ганизовать производство дизелей на существующих площадях завода. Несмотря на это постановле</w:t>
      </w:r>
      <w:r w:rsidRPr="00A3026E">
        <w:rPr>
          <w:rFonts w:ascii="Times New Roman" w:hAnsi="Times New Roman"/>
          <w:color w:val="000000" w:themeColor="text1"/>
          <w:sz w:val="16"/>
          <w:szCs w:val="16"/>
        </w:rPr>
        <w:softHyphen/>
        <w:t>ние, вопрос производства дизелей на ЗИСе является до сего времени не решенным.</w:t>
      </w:r>
    </w:p>
    <w:p w14:paraId="40ACF1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Дизель Д-7 может быть установлен на грузовой автомобиль без всяких затруднений.</w:t>
      </w:r>
    </w:p>
    <w:p w14:paraId="45B326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данного дизеля на автомобиле ЯГ-6 удешевит эксплуатацию автотранспорта в стране, сэкономит большое количество дорогостоящего горючего и даст возможность подготовить кадры шоферов-дизелистов в автотранспорте страны. Дизель Д-7 может быть использован также на броне</w:t>
      </w:r>
      <w:r w:rsidRPr="00A3026E">
        <w:rPr>
          <w:rFonts w:ascii="Times New Roman" w:hAnsi="Times New Roman"/>
          <w:color w:val="000000" w:themeColor="text1"/>
          <w:sz w:val="16"/>
          <w:szCs w:val="16"/>
        </w:rPr>
        <w:softHyphen/>
        <w:t>автомобилях и других спец. машинах. Изготовленный Ижорским заводом один бронеавтомобиль БА-11 с дизелем Д-7 проходит полигонные испытания.</w:t>
      </w:r>
    </w:p>
    <w:p w14:paraId="04CA17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Грузовые автомобили: двухосный со всеми ведущими осями ГАЗ-63 и трехосный со всеми ведущими ГАЗ-33</w:t>
      </w:r>
    </w:p>
    <w:p w14:paraId="57EFAC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 инициативе автозавода им. Молотова изготовлены опытные образцы грузовых автомобилей с двумя и тремя ведущими осями и 6-ти цилиндровым двигателем ГАЗ-63 и ГАЗ-33.</w:t>
      </w:r>
    </w:p>
    <w:p w14:paraId="20C6B4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автомобилей на полигоне в октябре 1940 г. показали хорошие результаты по прохо</w:t>
      </w:r>
      <w:r w:rsidRPr="00A3026E">
        <w:rPr>
          <w:rFonts w:ascii="Times New Roman" w:hAnsi="Times New Roman"/>
          <w:color w:val="000000" w:themeColor="text1"/>
          <w:sz w:val="16"/>
          <w:szCs w:val="16"/>
        </w:rPr>
        <w:softHyphen/>
        <w:t>димости, динамике и экономике.</w:t>
      </w:r>
    </w:p>
    <w:p w14:paraId="020E6B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Автомобили со всеми ведущими колесами, как обладающие повышенной проходимостью, долж</w:t>
      </w:r>
      <w:r w:rsidRPr="00A3026E">
        <w:rPr>
          <w:rFonts w:ascii="Times New Roman" w:hAnsi="Times New Roman"/>
          <w:color w:val="000000" w:themeColor="text1"/>
          <w:sz w:val="16"/>
          <w:szCs w:val="16"/>
        </w:rPr>
        <w:softHyphen/>
        <w:t>ны стать основными армейскими грузовыми автомашинами.</w:t>
      </w:r>
    </w:p>
    <w:p w14:paraId="7E4783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Обеспечение Красной Армии автомобилями данного типа является необходимостью в ближайший год.</w:t>
      </w:r>
    </w:p>
    <w:p w14:paraId="18870A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Вопрос производства грузовых автомобилей ГАЗ-33 и ГАЗ-63 до сего времени не решен.</w:t>
      </w:r>
    </w:p>
    <w:p w14:paraId="0F9D98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организовать на автозаводе им. Молотова производство данных автомобилей в 1941 году.</w:t>
      </w:r>
    </w:p>
    <w:p w14:paraId="2BDEAC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Мотоциклы Мотоцикл с коляской ТИЗ-50</w:t>
      </w:r>
    </w:p>
    <w:p w14:paraId="189E91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(двигатель 2-х цилиндровый, 4-х тактный, мощность (проектная) 32 л.с.; 1200 см')</w:t>
      </w:r>
    </w:p>
    <w:p w14:paraId="1633E7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мае 1939 г. специальной межведомственной комиссией были проведены испытания двух опыт</w:t>
      </w:r>
      <w:r w:rsidRPr="00A3026E">
        <w:rPr>
          <w:rFonts w:ascii="Times New Roman" w:hAnsi="Times New Roman"/>
          <w:color w:val="000000" w:themeColor="text1"/>
          <w:sz w:val="16"/>
          <w:szCs w:val="16"/>
        </w:rPr>
        <w:softHyphen/>
        <w:t>ных образцов ТИЗ-50.</w:t>
      </w:r>
    </w:p>
    <w:p w14:paraId="604E95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испытаний мотоцикл был признан вполне соответствующим тактико-техническим тре</w:t>
      </w:r>
      <w:r w:rsidRPr="00A3026E">
        <w:rPr>
          <w:rFonts w:ascii="Times New Roman" w:hAnsi="Times New Roman"/>
          <w:color w:val="000000" w:themeColor="text1"/>
          <w:sz w:val="16"/>
          <w:szCs w:val="16"/>
        </w:rPr>
        <w:softHyphen/>
        <w:t>бованиям, предъявляемым к машинам данного класса, и могущим быть поставленным на производство при условии устранения производственных и конструктивных дефектов, выявленных при испытании.</w:t>
      </w:r>
    </w:p>
    <w:p w14:paraId="41C581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Доработка мотоцикла по устранению дефектов производилась заводом № 65 до октября 1940 г.</w:t>
      </w:r>
    </w:p>
    <w:p w14:paraId="511568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СНК СССР № 1423-559сс от 8.8.1940 г. обязывало НК боеприпасов (завод № 65) изготовить в 1940 г.:</w:t>
      </w:r>
    </w:p>
    <w:p w14:paraId="3D5E05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 3 квартале 30 машин ТИЗ-50;</w:t>
      </w:r>
    </w:p>
    <w:p w14:paraId="5B0F5A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 4 квартале 120 машин ТИЗ-50.</w:t>
      </w:r>
    </w:p>
    <w:p w14:paraId="7700C9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завод № 65 только в октябре месяце 1940 г. предъявил опытные образцы ТИЗ-50 на окон</w:t>
      </w:r>
      <w:r w:rsidRPr="00A3026E">
        <w:rPr>
          <w:rFonts w:ascii="Times New Roman" w:hAnsi="Times New Roman"/>
          <w:color w:val="000000" w:themeColor="text1"/>
          <w:sz w:val="16"/>
          <w:szCs w:val="16"/>
        </w:rPr>
        <w:softHyphen/>
        <w:t>чательные испытания. Испытания проведены в октябре месяце 1941 г.</w:t>
      </w:r>
    </w:p>
    <w:p w14:paraId="743857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надежности конструкции, проходимости и динамическим качествам мотоцикл показал впол</w:t>
      </w:r>
      <w:r w:rsidRPr="00A3026E">
        <w:rPr>
          <w:rFonts w:ascii="Times New Roman" w:hAnsi="Times New Roman"/>
          <w:color w:val="000000" w:themeColor="text1"/>
          <w:sz w:val="16"/>
          <w:szCs w:val="16"/>
        </w:rPr>
        <w:softHyphen/>
        <w:t>не удовлетворительные результаты.</w:t>
      </w:r>
    </w:p>
    <w:p w14:paraId="307769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комиссии по испытаниям утверждено Маршалом Советского Союза т. Кулик и НК боеприпасов т. Сергеевым и представлено в КО т. Вознесенскому с проектом постановления КО, обязывающим НК боеприпасов (завод № 65) организовать серийный выпуск ТИЗ-50.</w:t>
      </w:r>
    </w:p>
    <w:p w14:paraId="702278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Цепи противоскольжения для трехосных грузовых автомобилей по типу «МЕЙДТ и ВАХМАН» и для двухосных по типу «ГАЯНТ»</w:t>
      </w:r>
    </w:p>
    <w:p w14:paraId="756AF6A0"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1. На снабжении в Красной Армии для автомобилей ЗИС-6 и ГАЗ-ЗА находятся цепи противо</w:t>
      </w:r>
      <w:r w:rsidRPr="00A3026E">
        <w:rPr>
          <w:i w:val="0"/>
          <w:iCs w:val="0"/>
          <w:color w:val="000000" w:themeColor="text1"/>
          <w:spacing w:val="0"/>
          <w:kern w:val="0"/>
          <w:position w:val="0"/>
          <w:sz w:val="16"/>
          <w:szCs w:val="16"/>
          <w:lang w:val="ru-RU"/>
        </w:rPr>
        <w:softHyphen/>
        <w:t>скольжения типа «Оверолл». По конструктивным и эксплуатационным показателям цепи «Оверолл» являются мало пригодными для работы (мал срок службы 250-300 км, портят покрышки колес через 20-50 км).</w:t>
      </w:r>
    </w:p>
    <w:p w14:paraId="238442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указания ГАБТУ КА и НКСМ с сентября месяца 1941 г. на НИ полигон ГАБТУ КА бы</w:t>
      </w:r>
      <w:r w:rsidRPr="00A3026E">
        <w:rPr>
          <w:rFonts w:ascii="Times New Roman" w:hAnsi="Times New Roman"/>
          <w:color w:val="000000" w:themeColor="text1"/>
          <w:sz w:val="16"/>
          <w:szCs w:val="16"/>
        </w:rPr>
        <w:softHyphen/>
        <w:t>ли представлены на испытания опытные образцы цепей для автомобиля ГАЗ-ЗА, спроектированные и изготовленные автозаводом им. Молотова по типу цепей «Мейдт и Вахман».</w:t>
      </w:r>
    </w:p>
    <w:p w14:paraId="240185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Проведенные испытания показали, что цепи конструкции «ГАЗ» по всем показателям превосхо</w:t>
      </w:r>
      <w:r w:rsidRPr="00A3026E">
        <w:rPr>
          <w:rFonts w:ascii="Times New Roman" w:hAnsi="Times New Roman"/>
          <w:color w:val="000000" w:themeColor="text1"/>
          <w:sz w:val="16"/>
          <w:szCs w:val="16"/>
        </w:rPr>
        <w:softHyphen/>
        <w:t>дят цепи типа «Оверолл».</w:t>
      </w:r>
    </w:p>
    <w:p w14:paraId="696BAA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Выявленные на испытании дефекты легко устранимы. Автозаводы обязаны обеспечить посыла</w:t>
      </w:r>
      <w:r w:rsidRPr="00A3026E">
        <w:rPr>
          <w:rFonts w:ascii="Times New Roman" w:hAnsi="Times New Roman"/>
          <w:color w:val="000000" w:themeColor="text1"/>
          <w:sz w:val="16"/>
          <w:szCs w:val="16"/>
        </w:rPr>
        <w:softHyphen/>
        <w:t>емые в Красную Армию 3-хосные автомашины высококачественными цепями противоскольжения.</w:t>
      </w:r>
    </w:p>
    <w:p w14:paraId="626CC4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Автотракторное управление ГАБТУ КА своим письмом от 22.11.1940 г. просило зам. Народного комис</w:t>
      </w:r>
      <w:r w:rsidRPr="00A3026E">
        <w:rPr>
          <w:rFonts w:ascii="Times New Roman" w:hAnsi="Times New Roman"/>
          <w:color w:val="000000" w:themeColor="text1"/>
          <w:sz w:val="16"/>
          <w:szCs w:val="16"/>
        </w:rPr>
        <w:softHyphen/>
        <w:t>сара среднего машиностроения т. Акопова об обеспечении автомобиля ГАЗ-ЗА цепями новой конструкции.</w:t>
      </w:r>
    </w:p>
    <w:p w14:paraId="01C43D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снабжении в Красной Армии для 2-хосных грузовых автомобилей находятся цепи проти</w:t>
      </w:r>
      <w:r w:rsidRPr="00A3026E">
        <w:rPr>
          <w:rFonts w:ascii="Times New Roman" w:hAnsi="Times New Roman"/>
          <w:color w:val="000000" w:themeColor="text1"/>
          <w:sz w:val="16"/>
          <w:szCs w:val="16"/>
        </w:rPr>
        <w:softHyphen/>
        <w:t>воскольжения браслетного типа. Применение цепей данной конструкции не обеспечивает надлежа</w:t>
      </w:r>
      <w:r w:rsidRPr="00A3026E">
        <w:rPr>
          <w:rFonts w:ascii="Times New Roman" w:hAnsi="Times New Roman"/>
          <w:color w:val="000000" w:themeColor="text1"/>
          <w:sz w:val="16"/>
          <w:szCs w:val="16"/>
        </w:rPr>
        <w:softHyphen/>
        <w:t>щую проходимость автомобиля.</w:t>
      </w:r>
    </w:p>
    <w:p w14:paraId="606CFD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1938 г. по заданию АБТУ Красной Армии НАТИ изготовил цепи противоскольжения для 2-хос</w:t>
      </w:r>
      <w:r w:rsidRPr="00A3026E">
        <w:rPr>
          <w:rFonts w:ascii="Times New Roman" w:hAnsi="Times New Roman"/>
          <w:color w:val="000000" w:themeColor="text1"/>
          <w:sz w:val="16"/>
          <w:szCs w:val="16"/>
        </w:rPr>
        <w:softHyphen/>
        <w:t>ных автомобилей по типу «Гаянт».</w:t>
      </w:r>
    </w:p>
    <w:p w14:paraId="5035FE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цепей показало, что цепи надежно обеспечивают проходимость 2-хосного автомоби</w:t>
      </w:r>
      <w:r w:rsidRPr="00A3026E">
        <w:rPr>
          <w:rFonts w:ascii="Times New Roman" w:hAnsi="Times New Roman"/>
          <w:color w:val="000000" w:themeColor="text1"/>
          <w:sz w:val="16"/>
          <w:szCs w:val="16"/>
        </w:rPr>
        <w:softHyphen/>
        <w:t>ля в тяжелых дорожных условиях. Конструктивно и производственно цепи не сложны.</w:t>
      </w:r>
    </w:p>
    <w:p w14:paraId="427FA5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Автотракторное управление своим письмом от 4.10.1940 г. просило НКСМ окончательно доработать и из</w:t>
      </w:r>
      <w:r w:rsidRPr="00A3026E">
        <w:rPr>
          <w:rFonts w:ascii="Times New Roman" w:hAnsi="Times New Roman"/>
          <w:color w:val="000000" w:themeColor="text1"/>
          <w:sz w:val="16"/>
          <w:szCs w:val="16"/>
        </w:rPr>
        <w:softHyphen/>
        <w:t>готовить в текущем году 300 комплектов цепей данного типа и подготовиться к производству цепей в 1941 г.</w:t>
      </w:r>
    </w:p>
    <w:p w14:paraId="3600D0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автотракторного управления ГАБТУ Красной Армии бригинженер Тягунов</w:t>
      </w:r>
    </w:p>
    <w:p w14:paraId="58532F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4 отдела АТУ ГАБТУ КА военинженер 1 ранга Дацюк</w:t>
      </w:r>
    </w:p>
    <w:p w14:paraId="0A3F1A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11492. Д. 4. Л. 35-38 с об. Подлинник (11211).</w:t>
      </w:r>
    </w:p>
    <w:p w14:paraId="31DEB7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82EE66D"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4A4AAEA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E1BFC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23-25 ноября 1940 была оперативная игра КОВО во главе с Г.К.Ж. (2536,234).</w:t>
      </w:r>
    </w:p>
    <w:p w14:paraId="02BF7D5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738B6D9" w14:textId="77777777" w:rsidR="00C66762"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За</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рубежом</w:t>
      </w:r>
      <w:r w:rsidRPr="00A3026E">
        <w:rPr>
          <w:rFonts w:ascii="Times New Roman" w:hAnsi="Times New Roman"/>
          <w:i/>
          <w:iCs/>
          <w:color w:val="000000" w:themeColor="text1"/>
          <w:sz w:val="16"/>
          <w:szCs w:val="16"/>
          <w:lang w:val="en-US"/>
        </w:rPr>
        <w:t>:</w:t>
      </w:r>
    </w:p>
    <w:p w14:paraId="25CB4B73" w14:textId="77777777" w:rsidR="00C66762" w:rsidRPr="00A3026E" w:rsidRDefault="00C66762" w:rsidP="00A3026E">
      <w:pPr>
        <w:spacing w:after="0" w:line="240" w:lineRule="auto"/>
        <w:jc w:val="both"/>
        <w:rPr>
          <w:rFonts w:ascii="Times New Roman" w:hAnsi="Times New Roman"/>
          <w:iCs/>
          <w:color w:val="000000" w:themeColor="text1"/>
          <w:sz w:val="16"/>
          <w:szCs w:val="16"/>
          <w:lang w:val="en-US"/>
        </w:rPr>
      </w:pPr>
    </w:p>
    <w:p w14:paraId="031A301F"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November 23, 1940: Rumania joins the Tripartite Pact of Germany, Italy and Japan (3819).</w:t>
      </w:r>
    </w:p>
    <w:p w14:paraId="1EB4C614"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181FC0EE"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November 23 1940 Rumania signed protocol of adherence to Axis tripartite pact at Vienna (1223).</w:t>
      </w:r>
    </w:p>
    <w:p w14:paraId="15391A28"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4AAD28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Румыния в Вене подписала протокол о присоединении к странам оси (1223).</w:t>
      </w:r>
    </w:p>
    <w:p w14:paraId="6FF35AD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5F07F1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Румыния присоединилась к странам Оси (4962).</w:t>
      </w:r>
    </w:p>
    <w:p w14:paraId="5648436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D4FEE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Венгрия подписала протокол о присоединении к странам оси (3481).</w:t>
      </w:r>
    </w:p>
    <w:p w14:paraId="6E7834F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95812A" w14:textId="77777777" w:rsidR="0043631F" w:rsidRPr="00A3026E" w:rsidRDefault="0043631F"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23 ноября </w:t>
      </w:r>
      <w:r w:rsidRPr="00A3026E">
        <w:rPr>
          <w:rFonts w:ascii="Times New Roman" w:hAnsi="Times New Roman"/>
          <w:color w:val="000000" w:themeColor="text1"/>
          <w:sz w:val="16"/>
          <w:szCs w:val="16"/>
        </w:rPr>
        <w:t>в 1940 году Венгрия и Румыния присоединяются к трехстороннему пакту Германии, Италии и Японии, заключенному 27 сентября (14838).</w:t>
      </w:r>
    </w:p>
    <w:p w14:paraId="4688E506" w14:textId="77777777" w:rsidR="0043631F" w:rsidRPr="00A3026E" w:rsidRDefault="0043631F" w:rsidP="00A3026E">
      <w:pPr>
        <w:spacing w:after="0" w:line="240" w:lineRule="auto"/>
        <w:jc w:val="both"/>
        <w:rPr>
          <w:rFonts w:ascii="Times New Roman" w:hAnsi="Times New Roman"/>
          <w:color w:val="000000" w:themeColor="text1"/>
          <w:sz w:val="16"/>
          <w:szCs w:val="16"/>
        </w:rPr>
      </w:pPr>
    </w:p>
    <w:p w14:paraId="0CC6FC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C 23 ноября по 7 декабря 1940 в Индокитае было восстание против французских колонизаторов (3186).</w:t>
      </w:r>
    </w:p>
    <w:p w14:paraId="48E229E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76F3F6B" w14:textId="77777777" w:rsidR="0043631F" w:rsidRPr="00A3026E" w:rsidRDefault="0043631F"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23 ноября </w:t>
      </w:r>
      <w:r w:rsidRPr="00A3026E">
        <w:rPr>
          <w:rFonts w:ascii="Times New Roman" w:hAnsi="Times New Roman"/>
          <w:color w:val="000000" w:themeColor="text1"/>
          <w:sz w:val="16"/>
          <w:szCs w:val="16"/>
        </w:rPr>
        <w:t>в 1940 году (23 ноября – 8 декабря) антифранцузское восстание во Вьетнаме (14838).</w:t>
      </w:r>
    </w:p>
    <w:p w14:paraId="71E0A8EF" w14:textId="77777777" w:rsidR="0043631F" w:rsidRPr="00A3026E" w:rsidRDefault="0043631F" w:rsidP="00A3026E">
      <w:pPr>
        <w:spacing w:after="0" w:line="240" w:lineRule="auto"/>
        <w:jc w:val="both"/>
        <w:rPr>
          <w:rFonts w:ascii="Times New Roman" w:hAnsi="Times New Roman"/>
          <w:color w:val="000000" w:themeColor="text1"/>
          <w:sz w:val="16"/>
          <w:szCs w:val="16"/>
        </w:rPr>
      </w:pPr>
    </w:p>
    <w:p w14:paraId="52BDDA7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ноября 1940 в Камбодже началась война Франции и Таиланда (4962).</w:t>
      </w:r>
    </w:p>
    <w:p w14:paraId="587250E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496BA0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56BB86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08CEAD4" w14:textId="77777777" w:rsidR="00C66762" w:rsidRPr="00A3026E" w:rsidRDefault="00C66762" w:rsidP="00A3026E">
      <w:pPr>
        <w:pStyle w:val="22"/>
        <w:widowControl/>
        <w:rPr>
          <w:color w:val="000000" w:themeColor="text1"/>
        </w:rPr>
      </w:pPr>
      <w:r w:rsidRPr="00A3026E">
        <w:rPr>
          <w:color w:val="000000" w:themeColor="text1"/>
        </w:rPr>
        <w:t>24 ноября 1940 года начальник НИИ ВВС генерал-майор авиации Филин подписал:</w:t>
      </w:r>
    </w:p>
    <w:p w14:paraId="1919AA73" w14:textId="77777777" w:rsidR="00C66762" w:rsidRPr="00A3026E" w:rsidRDefault="00C66762" w:rsidP="00A3026E">
      <w:pPr>
        <w:pStyle w:val="22"/>
        <w:widowControl/>
        <w:rPr>
          <w:color w:val="000000" w:themeColor="text1"/>
        </w:rPr>
      </w:pPr>
      <w:r w:rsidRPr="00A3026E">
        <w:rPr>
          <w:color w:val="000000" w:themeColor="text1"/>
        </w:rPr>
        <w:t>Справку по самолету ПБ-100 и ББ-22 с мотором М-105</w:t>
      </w:r>
    </w:p>
    <w:p w14:paraId="08ACB2AE" w14:textId="77777777" w:rsidR="00C66762" w:rsidRPr="00A3026E" w:rsidRDefault="00C66762" w:rsidP="00A3026E">
      <w:pPr>
        <w:pStyle w:val="22"/>
        <w:widowControl/>
        <w:tabs>
          <w:tab w:val="left" w:pos="360"/>
        </w:tabs>
        <w:rPr>
          <w:color w:val="000000" w:themeColor="text1"/>
        </w:rPr>
      </w:pPr>
      <w:r w:rsidRPr="00A3026E">
        <w:rPr>
          <w:color w:val="000000" w:themeColor="text1"/>
        </w:rPr>
        <w:t>Самолет ПБ-100 является пикирующим бомбардировщиком и одновременно допускает бомбометание с горизонтального полета; самолет же ББ-22 допускает бомбометание только с горизонтального полета.</w:t>
      </w:r>
    </w:p>
    <w:p w14:paraId="644F79D3" w14:textId="77777777" w:rsidR="00C66762" w:rsidRPr="00A3026E" w:rsidRDefault="00C66762" w:rsidP="00A3026E">
      <w:pPr>
        <w:pStyle w:val="22"/>
        <w:widowControl/>
        <w:tabs>
          <w:tab w:val="left" w:pos="360"/>
        </w:tabs>
        <w:rPr>
          <w:color w:val="000000" w:themeColor="text1"/>
        </w:rPr>
      </w:pPr>
      <w:r w:rsidRPr="00A3026E">
        <w:rPr>
          <w:color w:val="000000" w:themeColor="text1"/>
        </w:rPr>
        <w:t>Самолет ПБ-100 имеет преимущества перед самолетом ББ-22 в отношении дальности, грузоподъемности, огневой защиты и обзора.</w:t>
      </w:r>
    </w:p>
    <w:p w14:paraId="580191D5" w14:textId="77777777" w:rsidR="00C66762" w:rsidRPr="00A3026E" w:rsidRDefault="00C66762" w:rsidP="00A3026E">
      <w:pPr>
        <w:pStyle w:val="22"/>
        <w:widowControl/>
        <w:tabs>
          <w:tab w:val="left" w:pos="360"/>
        </w:tabs>
        <w:rPr>
          <w:color w:val="000000" w:themeColor="text1"/>
        </w:rPr>
      </w:pPr>
      <w:r w:rsidRPr="00A3026E">
        <w:rPr>
          <w:color w:val="000000" w:themeColor="text1"/>
        </w:rPr>
        <w:t>По технике пилотирования можно предполагать, что самолеты ПБ-100 и ББ-22 особой разницы иметь не будут; более точных данных не имеется в силу того, что самолеты не облетаны и находятся в постройке.</w:t>
      </w:r>
    </w:p>
    <w:p w14:paraId="4F446DB9" w14:textId="77777777" w:rsidR="00C66762" w:rsidRPr="00A3026E" w:rsidRDefault="00C66762" w:rsidP="00A3026E">
      <w:pPr>
        <w:pStyle w:val="22"/>
        <w:widowControl/>
        <w:tabs>
          <w:tab w:val="left" w:pos="360"/>
        </w:tabs>
        <w:rPr>
          <w:color w:val="000000" w:themeColor="text1"/>
        </w:rPr>
      </w:pPr>
      <w:r w:rsidRPr="00A3026E">
        <w:rPr>
          <w:color w:val="000000" w:themeColor="text1"/>
        </w:rPr>
        <w:t>Несмотря на то, что моторы на обоих самолетах установлены М-105 эксплуатация винтомоторных групп самолетов ПБ-100 и ББ-22 имеют коренные отличия: самолет ББ-22 благодаря длительной заправке водою (15-20 минут на мотор), большому количеству точек слива воды и масла (28 точек на самолет) не допускает эксплуатацию при низких температурах; этих недостатков на самолете ПБ-100 не отмечается.</w:t>
      </w:r>
    </w:p>
    <w:p w14:paraId="0F3227C7" w14:textId="77777777" w:rsidR="00C66762" w:rsidRPr="00A3026E" w:rsidRDefault="00C66762" w:rsidP="00A3026E">
      <w:pPr>
        <w:pStyle w:val="22"/>
        <w:widowControl/>
        <w:tabs>
          <w:tab w:val="left" w:pos="360"/>
        </w:tabs>
        <w:rPr>
          <w:color w:val="000000" w:themeColor="text1"/>
        </w:rPr>
      </w:pPr>
      <w:r w:rsidRPr="00A3026E">
        <w:rPr>
          <w:color w:val="000000" w:themeColor="text1"/>
        </w:rPr>
        <w:t>Конструкции самолетов ПБ-100 и ББ-22 резко отличаются друг от друга: самолет ПБ-100 целиком металлической конструкции, самолет ББ-22 смешанной конструкции (дерево-металл) с преобладанием дерева.</w:t>
      </w:r>
    </w:p>
    <w:p w14:paraId="122CC168" w14:textId="77777777" w:rsidR="00C66762" w:rsidRPr="00A3026E" w:rsidRDefault="00C66762" w:rsidP="00A3026E">
      <w:pPr>
        <w:pStyle w:val="22"/>
        <w:widowControl/>
        <w:tabs>
          <w:tab w:val="left" w:pos="360"/>
        </w:tabs>
        <w:rPr>
          <w:color w:val="000000" w:themeColor="text1"/>
        </w:rPr>
      </w:pPr>
      <w:r w:rsidRPr="00A3026E">
        <w:rPr>
          <w:color w:val="000000" w:themeColor="text1"/>
        </w:rPr>
        <w:t>Несмотря на применение современной технологии (плазово-шаблонный метод, штамповка, болтовые сочленения) самолет ПБ-100 благодаря сложности оборудования является более сложным в производстве в сравнении с самолетом ББ-22.</w:t>
      </w:r>
    </w:p>
    <w:p w14:paraId="5A046A87" w14:textId="77777777" w:rsidR="00C66762" w:rsidRPr="00A3026E" w:rsidRDefault="00C66762" w:rsidP="00A3026E">
      <w:pPr>
        <w:pStyle w:val="22"/>
        <w:widowControl/>
        <w:tabs>
          <w:tab w:val="left" w:pos="360"/>
        </w:tabs>
        <w:rPr>
          <w:color w:val="000000" w:themeColor="text1"/>
        </w:rPr>
      </w:pPr>
      <w:r w:rsidRPr="00A3026E">
        <w:rPr>
          <w:color w:val="000000" w:themeColor="text1"/>
        </w:rPr>
        <w:t>Наличие на самолете ПБ-100 большого количества электромеханизмов с дистанционным управлением требует специальной подготовки летного и технического состава, чего не требует самолет ББ-22.</w:t>
      </w:r>
    </w:p>
    <w:p w14:paraId="76779C46" w14:textId="77777777" w:rsidR="00C66762" w:rsidRPr="00A3026E" w:rsidRDefault="00C66762" w:rsidP="00A3026E">
      <w:pPr>
        <w:pStyle w:val="22"/>
        <w:widowControl/>
        <w:tabs>
          <w:tab w:val="left" w:pos="360"/>
        </w:tabs>
        <w:rPr>
          <w:color w:val="000000" w:themeColor="text1"/>
        </w:rPr>
      </w:pPr>
      <w:r w:rsidRPr="00A3026E">
        <w:rPr>
          <w:color w:val="000000" w:themeColor="text1"/>
        </w:rPr>
        <w:lastRenderedPageBreak/>
        <w:t>Сроки службы самолета ПБ-100 в сравнении с самолетом ББ-22 будут значительно большими как в отношении эксплуатации в боевых условиях и ремонта, так и хранения во вне ангарных условиях. Основным недостатком конструкции самолета ББ-22 является то, что крыло не имеет разъема и при повреждении лонжерона крыла, самолет требует капитального ремонта или вовсе выбывает из строя; даже незначительный ремонт самолета деревянной конструкции требует теплого помещения. Эти недостатки для самолета ПБ-100 исключаются.</w:t>
      </w:r>
    </w:p>
    <w:p w14:paraId="65B32476" w14:textId="77777777" w:rsidR="00C66762" w:rsidRPr="00A3026E" w:rsidRDefault="00C66762" w:rsidP="00A3026E">
      <w:pPr>
        <w:pStyle w:val="22"/>
        <w:widowControl/>
        <w:rPr>
          <w:color w:val="000000" w:themeColor="text1"/>
        </w:rPr>
      </w:pPr>
      <w:r w:rsidRPr="00A3026E">
        <w:rPr>
          <w:color w:val="000000" w:themeColor="text1"/>
        </w:rPr>
        <w:t>Выводы</w:t>
      </w:r>
    </w:p>
    <w:p w14:paraId="248AA699" w14:textId="77777777" w:rsidR="00C66762" w:rsidRPr="00A3026E" w:rsidRDefault="00C66762" w:rsidP="00A3026E">
      <w:pPr>
        <w:pStyle w:val="22"/>
        <w:widowControl/>
        <w:tabs>
          <w:tab w:val="left" w:pos="360"/>
        </w:tabs>
        <w:rPr>
          <w:color w:val="000000" w:themeColor="text1"/>
        </w:rPr>
      </w:pPr>
      <w:r w:rsidRPr="00A3026E">
        <w:rPr>
          <w:color w:val="000000" w:themeColor="text1"/>
        </w:rPr>
        <w:t>Самолет ПБ-100 по сравнению с самолетом ББ-22 имеет следующие преимущества:</w:t>
      </w:r>
    </w:p>
    <w:p w14:paraId="76260C5A" w14:textId="77777777" w:rsidR="00C66762" w:rsidRPr="00A3026E" w:rsidRDefault="00C66762" w:rsidP="00A3026E">
      <w:pPr>
        <w:pStyle w:val="22"/>
        <w:widowControl/>
        <w:rPr>
          <w:color w:val="000000" w:themeColor="text1"/>
        </w:rPr>
      </w:pPr>
      <w:r w:rsidRPr="00A3026E">
        <w:rPr>
          <w:color w:val="000000" w:themeColor="text1"/>
        </w:rPr>
        <w:t>а) большую дальность;</w:t>
      </w:r>
    </w:p>
    <w:p w14:paraId="2CB4D18E" w14:textId="77777777" w:rsidR="00C66762" w:rsidRPr="00A3026E" w:rsidRDefault="00C66762" w:rsidP="00A3026E">
      <w:pPr>
        <w:pStyle w:val="22"/>
        <w:widowControl/>
        <w:rPr>
          <w:color w:val="000000" w:themeColor="text1"/>
        </w:rPr>
      </w:pPr>
      <w:r w:rsidRPr="00A3026E">
        <w:rPr>
          <w:color w:val="000000" w:themeColor="text1"/>
        </w:rPr>
        <w:t>б) большую грузоподъемность;</w:t>
      </w:r>
    </w:p>
    <w:p w14:paraId="2FD80DFA" w14:textId="77777777" w:rsidR="00C66762" w:rsidRPr="00A3026E" w:rsidRDefault="00C66762" w:rsidP="00A3026E">
      <w:pPr>
        <w:pStyle w:val="22"/>
        <w:widowControl/>
        <w:rPr>
          <w:color w:val="000000" w:themeColor="text1"/>
        </w:rPr>
      </w:pPr>
      <w:r w:rsidRPr="00A3026E">
        <w:rPr>
          <w:color w:val="000000" w:themeColor="text1"/>
        </w:rPr>
        <w:t>в) лучший обзор;</w:t>
      </w:r>
    </w:p>
    <w:p w14:paraId="0E9CFE0C" w14:textId="77777777" w:rsidR="00C66762" w:rsidRPr="00A3026E" w:rsidRDefault="00C66762" w:rsidP="00A3026E">
      <w:pPr>
        <w:pStyle w:val="22"/>
        <w:widowControl/>
        <w:rPr>
          <w:color w:val="000000" w:themeColor="text1"/>
        </w:rPr>
      </w:pPr>
      <w:r w:rsidRPr="00A3026E">
        <w:rPr>
          <w:color w:val="000000" w:themeColor="text1"/>
        </w:rPr>
        <w:t>г) лучшую огневую защиту;</w:t>
      </w:r>
    </w:p>
    <w:p w14:paraId="37CADE1D" w14:textId="77777777" w:rsidR="00C66762" w:rsidRPr="00A3026E" w:rsidRDefault="00C66762" w:rsidP="00A3026E">
      <w:pPr>
        <w:pStyle w:val="22"/>
        <w:widowControl/>
        <w:rPr>
          <w:color w:val="000000" w:themeColor="text1"/>
        </w:rPr>
      </w:pPr>
      <w:r w:rsidRPr="00A3026E">
        <w:rPr>
          <w:color w:val="000000" w:themeColor="text1"/>
        </w:rPr>
        <w:t>д) большую бомбовую емкость;</w:t>
      </w:r>
    </w:p>
    <w:p w14:paraId="7CB7CA82" w14:textId="77777777" w:rsidR="00C66762" w:rsidRPr="00A3026E" w:rsidRDefault="00C66762" w:rsidP="00A3026E">
      <w:pPr>
        <w:pStyle w:val="22"/>
        <w:widowControl/>
        <w:rPr>
          <w:color w:val="000000" w:themeColor="text1"/>
        </w:rPr>
      </w:pPr>
      <w:r w:rsidRPr="00A3026E">
        <w:rPr>
          <w:color w:val="000000" w:themeColor="text1"/>
        </w:rPr>
        <w:t>е) оборудован как пикирующий бомбардировщик и</w:t>
      </w:r>
    </w:p>
    <w:p w14:paraId="31E0E479" w14:textId="77777777" w:rsidR="00C66762" w:rsidRPr="00A3026E" w:rsidRDefault="00C66762" w:rsidP="00A3026E">
      <w:pPr>
        <w:pStyle w:val="22"/>
        <w:widowControl/>
        <w:rPr>
          <w:color w:val="000000" w:themeColor="text1"/>
        </w:rPr>
      </w:pPr>
      <w:r w:rsidRPr="00A3026E">
        <w:rPr>
          <w:color w:val="000000" w:themeColor="text1"/>
        </w:rPr>
        <w:t>ж) допускает эксплуатацию при любых климатических условиях.</w:t>
      </w:r>
    </w:p>
    <w:p w14:paraId="1BA9CA8E" w14:textId="77777777" w:rsidR="00C66762" w:rsidRPr="00A3026E" w:rsidRDefault="00C66762" w:rsidP="00A3026E">
      <w:pPr>
        <w:pStyle w:val="22"/>
        <w:widowControl/>
        <w:tabs>
          <w:tab w:val="left" w:pos="360"/>
        </w:tabs>
        <w:rPr>
          <w:color w:val="000000" w:themeColor="text1"/>
        </w:rPr>
      </w:pPr>
      <w:r w:rsidRPr="00A3026E">
        <w:rPr>
          <w:color w:val="000000" w:themeColor="text1"/>
        </w:rPr>
        <w:t>Самолет ББ-22 по сравнению с самолетом ПБ-100 более прост в производстве и оборудовании в силу чего является более дешевым.</w:t>
      </w:r>
    </w:p>
    <w:p w14:paraId="5BCC5FD5" w14:textId="77777777" w:rsidR="00C66762" w:rsidRPr="00A3026E" w:rsidRDefault="00C66762" w:rsidP="00A3026E">
      <w:pPr>
        <w:pStyle w:val="22"/>
        <w:widowControl/>
        <w:rPr>
          <w:color w:val="000000" w:themeColor="text1"/>
        </w:rPr>
      </w:pPr>
      <w:r w:rsidRPr="00A3026E">
        <w:rPr>
          <w:color w:val="000000" w:themeColor="text1"/>
        </w:rPr>
        <w:t>Сравнительная таблица летно-тактических данных самолетов ПБ-100 и ББ-22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3260"/>
        <w:gridCol w:w="3261"/>
      </w:tblGrid>
      <w:tr w:rsidR="00983732" w:rsidRPr="00A3026E" w14:paraId="6ADCD97C" w14:textId="77777777" w:rsidTr="00EA0DA7">
        <w:tc>
          <w:tcPr>
            <w:tcW w:w="3085" w:type="dxa"/>
          </w:tcPr>
          <w:p w14:paraId="4A855BB3" w14:textId="77777777" w:rsidR="00C66762" w:rsidRPr="00A3026E" w:rsidRDefault="00C66762" w:rsidP="00A3026E">
            <w:pPr>
              <w:pStyle w:val="22"/>
              <w:widowControl/>
              <w:rPr>
                <w:color w:val="000000" w:themeColor="text1"/>
              </w:rPr>
            </w:pPr>
            <w:r w:rsidRPr="00A3026E">
              <w:rPr>
                <w:color w:val="000000" w:themeColor="text1"/>
              </w:rPr>
              <w:t>Наименование</w:t>
            </w:r>
          </w:p>
        </w:tc>
        <w:tc>
          <w:tcPr>
            <w:tcW w:w="3260" w:type="dxa"/>
          </w:tcPr>
          <w:p w14:paraId="791BBC63" w14:textId="77777777" w:rsidR="00C66762" w:rsidRPr="00A3026E" w:rsidRDefault="00C66762" w:rsidP="00A3026E">
            <w:pPr>
              <w:pStyle w:val="22"/>
              <w:widowControl/>
              <w:rPr>
                <w:color w:val="000000" w:themeColor="text1"/>
              </w:rPr>
            </w:pPr>
            <w:r w:rsidRPr="00A3026E">
              <w:rPr>
                <w:color w:val="000000" w:themeColor="text1"/>
              </w:rPr>
              <w:t>ПБ-100</w:t>
            </w:r>
          </w:p>
        </w:tc>
        <w:tc>
          <w:tcPr>
            <w:tcW w:w="3261" w:type="dxa"/>
          </w:tcPr>
          <w:p w14:paraId="3817246A" w14:textId="77777777" w:rsidR="00C66762" w:rsidRPr="00A3026E" w:rsidRDefault="00C66762" w:rsidP="00A3026E">
            <w:pPr>
              <w:pStyle w:val="22"/>
              <w:widowControl/>
              <w:rPr>
                <w:color w:val="000000" w:themeColor="text1"/>
              </w:rPr>
            </w:pPr>
            <w:r w:rsidRPr="00A3026E">
              <w:rPr>
                <w:color w:val="000000" w:themeColor="text1"/>
              </w:rPr>
              <w:t>ББ-22</w:t>
            </w:r>
          </w:p>
        </w:tc>
      </w:tr>
      <w:tr w:rsidR="00983732" w:rsidRPr="00A3026E" w14:paraId="6EB4D986" w14:textId="77777777" w:rsidTr="00EA0DA7">
        <w:tc>
          <w:tcPr>
            <w:tcW w:w="3085" w:type="dxa"/>
          </w:tcPr>
          <w:p w14:paraId="3590683A" w14:textId="77777777" w:rsidR="00C66762" w:rsidRPr="00A3026E" w:rsidRDefault="00C66762" w:rsidP="00A3026E">
            <w:pPr>
              <w:pStyle w:val="22"/>
              <w:widowControl/>
              <w:rPr>
                <w:color w:val="000000" w:themeColor="text1"/>
              </w:rPr>
            </w:pPr>
            <w:r w:rsidRPr="00A3026E">
              <w:rPr>
                <w:color w:val="000000" w:themeColor="text1"/>
              </w:rPr>
              <w:t>Назначение самолета</w:t>
            </w:r>
          </w:p>
        </w:tc>
        <w:tc>
          <w:tcPr>
            <w:tcW w:w="3260" w:type="dxa"/>
          </w:tcPr>
          <w:p w14:paraId="7FFB4E69" w14:textId="77777777" w:rsidR="00C66762" w:rsidRPr="00A3026E" w:rsidRDefault="00C66762" w:rsidP="00A3026E">
            <w:pPr>
              <w:pStyle w:val="22"/>
              <w:widowControl/>
              <w:rPr>
                <w:color w:val="000000" w:themeColor="text1"/>
              </w:rPr>
            </w:pPr>
            <w:r w:rsidRPr="00A3026E">
              <w:rPr>
                <w:color w:val="000000" w:themeColor="text1"/>
              </w:rPr>
              <w:t>Ближний пикирующий бомбардировщик</w:t>
            </w:r>
          </w:p>
        </w:tc>
        <w:tc>
          <w:tcPr>
            <w:tcW w:w="3261" w:type="dxa"/>
          </w:tcPr>
          <w:p w14:paraId="66FC0E13" w14:textId="77777777" w:rsidR="00C66762" w:rsidRPr="00A3026E" w:rsidRDefault="00C66762" w:rsidP="00A3026E">
            <w:pPr>
              <w:pStyle w:val="22"/>
              <w:widowControl/>
              <w:rPr>
                <w:color w:val="000000" w:themeColor="text1"/>
              </w:rPr>
            </w:pPr>
            <w:r w:rsidRPr="00A3026E">
              <w:rPr>
                <w:color w:val="000000" w:themeColor="text1"/>
              </w:rPr>
              <w:t>Ближний бомбардировщик</w:t>
            </w:r>
          </w:p>
        </w:tc>
      </w:tr>
      <w:tr w:rsidR="00983732" w:rsidRPr="00A3026E" w14:paraId="2EB9EA41" w14:textId="77777777" w:rsidTr="00EA0DA7">
        <w:tc>
          <w:tcPr>
            <w:tcW w:w="3085" w:type="dxa"/>
          </w:tcPr>
          <w:p w14:paraId="2B09D5BA" w14:textId="77777777" w:rsidR="00C66762" w:rsidRPr="00A3026E" w:rsidRDefault="00C66762" w:rsidP="00A3026E">
            <w:pPr>
              <w:pStyle w:val="22"/>
              <w:widowControl/>
              <w:rPr>
                <w:color w:val="000000" w:themeColor="text1"/>
              </w:rPr>
            </w:pPr>
            <w:r w:rsidRPr="00A3026E">
              <w:rPr>
                <w:color w:val="000000" w:themeColor="text1"/>
              </w:rPr>
              <w:t>Моторы</w:t>
            </w:r>
          </w:p>
        </w:tc>
        <w:tc>
          <w:tcPr>
            <w:tcW w:w="3260" w:type="dxa"/>
          </w:tcPr>
          <w:p w14:paraId="335917B7" w14:textId="77777777" w:rsidR="00C66762" w:rsidRPr="00A3026E" w:rsidRDefault="00C66762" w:rsidP="00A3026E">
            <w:pPr>
              <w:pStyle w:val="22"/>
              <w:widowControl/>
              <w:rPr>
                <w:color w:val="000000" w:themeColor="text1"/>
              </w:rPr>
            </w:pPr>
            <w:r w:rsidRPr="00A3026E">
              <w:rPr>
                <w:color w:val="000000" w:themeColor="text1"/>
              </w:rPr>
              <w:t>2М-105</w:t>
            </w:r>
          </w:p>
        </w:tc>
        <w:tc>
          <w:tcPr>
            <w:tcW w:w="3261" w:type="dxa"/>
          </w:tcPr>
          <w:p w14:paraId="7BEF8478" w14:textId="77777777" w:rsidR="00C66762" w:rsidRPr="00A3026E" w:rsidRDefault="00C66762" w:rsidP="00A3026E">
            <w:pPr>
              <w:pStyle w:val="22"/>
              <w:widowControl/>
              <w:rPr>
                <w:color w:val="000000" w:themeColor="text1"/>
              </w:rPr>
            </w:pPr>
            <w:r w:rsidRPr="00A3026E">
              <w:rPr>
                <w:color w:val="000000" w:themeColor="text1"/>
              </w:rPr>
              <w:t>2М-105</w:t>
            </w:r>
          </w:p>
        </w:tc>
      </w:tr>
      <w:tr w:rsidR="00983732" w:rsidRPr="00A3026E" w14:paraId="2DEA3725" w14:textId="77777777" w:rsidTr="00EA0DA7">
        <w:tc>
          <w:tcPr>
            <w:tcW w:w="3085" w:type="dxa"/>
          </w:tcPr>
          <w:p w14:paraId="2D5C806D" w14:textId="77777777" w:rsidR="00C66762" w:rsidRPr="00A3026E" w:rsidRDefault="00C66762" w:rsidP="00A3026E">
            <w:pPr>
              <w:pStyle w:val="22"/>
              <w:widowControl/>
              <w:rPr>
                <w:color w:val="000000" w:themeColor="text1"/>
              </w:rPr>
            </w:pPr>
            <w:r w:rsidRPr="00A3026E">
              <w:rPr>
                <w:color w:val="000000" w:themeColor="text1"/>
              </w:rPr>
              <w:t>Экипаж</w:t>
            </w:r>
          </w:p>
        </w:tc>
        <w:tc>
          <w:tcPr>
            <w:tcW w:w="3260" w:type="dxa"/>
          </w:tcPr>
          <w:p w14:paraId="50B7B402" w14:textId="77777777" w:rsidR="00C66762" w:rsidRPr="00A3026E" w:rsidRDefault="00C66762" w:rsidP="00A3026E">
            <w:pPr>
              <w:pStyle w:val="22"/>
              <w:widowControl/>
              <w:rPr>
                <w:color w:val="000000" w:themeColor="text1"/>
              </w:rPr>
            </w:pPr>
            <w:r w:rsidRPr="00A3026E">
              <w:rPr>
                <w:color w:val="000000" w:themeColor="text1"/>
              </w:rPr>
              <w:t>3</w:t>
            </w:r>
          </w:p>
        </w:tc>
        <w:tc>
          <w:tcPr>
            <w:tcW w:w="3261" w:type="dxa"/>
          </w:tcPr>
          <w:p w14:paraId="32818579" w14:textId="77777777" w:rsidR="00C66762" w:rsidRPr="00A3026E" w:rsidRDefault="00C66762" w:rsidP="00A3026E">
            <w:pPr>
              <w:pStyle w:val="22"/>
              <w:widowControl/>
              <w:rPr>
                <w:color w:val="000000" w:themeColor="text1"/>
              </w:rPr>
            </w:pPr>
            <w:r w:rsidRPr="00A3026E">
              <w:rPr>
                <w:color w:val="000000" w:themeColor="text1"/>
              </w:rPr>
              <w:t>2</w:t>
            </w:r>
          </w:p>
        </w:tc>
      </w:tr>
      <w:tr w:rsidR="00983732" w:rsidRPr="00A3026E" w14:paraId="056FF39C" w14:textId="77777777" w:rsidTr="00EA0DA7">
        <w:tc>
          <w:tcPr>
            <w:tcW w:w="3085" w:type="dxa"/>
          </w:tcPr>
          <w:p w14:paraId="0D524529" w14:textId="77777777" w:rsidR="00C66762" w:rsidRPr="00A3026E" w:rsidRDefault="00C66762" w:rsidP="00A3026E">
            <w:pPr>
              <w:pStyle w:val="22"/>
              <w:widowControl/>
              <w:rPr>
                <w:color w:val="000000" w:themeColor="text1"/>
              </w:rPr>
            </w:pPr>
            <w:r w:rsidRPr="00A3026E">
              <w:rPr>
                <w:color w:val="000000" w:themeColor="text1"/>
              </w:rPr>
              <w:t>Нормальный полетный вес</w:t>
            </w:r>
          </w:p>
        </w:tc>
        <w:tc>
          <w:tcPr>
            <w:tcW w:w="3260" w:type="dxa"/>
          </w:tcPr>
          <w:p w14:paraId="2833EAA5" w14:textId="77777777" w:rsidR="00C66762" w:rsidRPr="00A3026E" w:rsidRDefault="00C66762" w:rsidP="00A3026E">
            <w:pPr>
              <w:pStyle w:val="22"/>
              <w:widowControl/>
              <w:rPr>
                <w:color w:val="000000" w:themeColor="text1"/>
              </w:rPr>
            </w:pPr>
            <w:r w:rsidRPr="00A3026E">
              <w:rPr>
                <w:color w:val="000000" w:themeColor="text1"/>
              </w:rPr>
              <w:t>7660</w:t>
            </w:r>
          </w:p>
        </w:tc>
        <w:tc>
          <w:tcPr>
            <w:tcW w:w="3261" w:type="dxa"/>
          </w:tcPr>
          <w:p w14:paraId="6ABD90FC" w14:textId="77777777" w:rsidR="00C66762" w:rsidRPr="00A3026E" w:rsidRDefault="00C66762" w:rsidP="00A3026E">
            <w:pPr>
              <w:pStyle w:val="22"/>
              <w:widowControl/>
              <w:rPr>
                <w:color w:val="000000" w:themeColor="text1"/>
              </w:rPr>
            </w:pPr>
            <w:r w:rsidRPr="00A3026E">
              <w:rPr>
                <w:color w:val="000000" w:themeColor="text1"/>
              </w:rPr>
              <w:t>6100</w:t>
            </w:r>
          </w:p>
        </w:tc>
      </w:tr>
      <w:tr w:rsidR="00983732" w:rsidRPr="00A3026E" w14:paraId="434E7CF4" w14:textId="77777777" w:rsidTr="00EA0DA7">
        <w:tc>
          <w:tcPr>
            <w:tcW w:w="3085" w:type="dxa"/>
          </w:tcPr>
          <w:p w14:paraId="32E155E7" w14:textId="77777777" w:rsidR="00C66762" w:rsidRPr="00A3026E" w:rsidRDefault="00C66762" w:rsidP="00A3026E">
            <w:pPr>
              <w:pStyle w:val="22"/>
              <w:widowControl/>
              <w:rPr>
                <w:color w:val="000000" w:themeColor="text1"/>
              </w:rPr>
            </w:pPr>
            <w:r w:rsidRPr="00A3026E">
              <w:rPr>
                <w:color w:val="000000" w:themeColor="text1"/>
              </w:rPr>
              <w:t>Нагрузка:</w:t>
            </w:r>
          </w:p>
          <w:p w14:paraId="09A95B88" w14:textId="77777777" w:rsidR="00C66762" w:rsidRPr="00A3026E" w:rsidRDefault="00C66762" w:rsidP="00A3026E">
            <w:pPr>
              <w:pStyle w:val="22"/>
              <w:widowControl/>
              <w:rPr>
                <w:color w:val="000000" w:themeColor="text1"/>
              </w:rPr>
            </w:pPr>
            <w:r w:rsidRPr="00A3026E">
              <w:rPr>
                <w:color w:val="000000" w:themeColor="text1"/>
              </w:rPr>
              <w:t>горючее</w:t>
            </w:r>
          </w:p>
          <w:p w14:paraId="4129375D" w14:textId="77777777" w:rsidR="00C66762" w:rsidRPr="00A3026E" w:rsidRDefault="00C66762" w:rsidP="00A3026E">
            <w:pPr>
              <w:pStyle w:val="22"/>
              <w:widowControl/>
              <w:rPr>
                <w:color w:val="000000" w:themeColor="text1"/>
              </w:rPr>
            </w:pPr>
            <w:r w:rsidRPr="00A3026E">
              <w:rPr>
                <w:color w:val="000000" w:themeColor="text1"/>
              </w:rPr>
              <w:t>бомб</w:t>
            </w:r>
          </w:p>
        </w:tc>
        <w:tc>
          <w:tcPr>
            <w:tcW w:w="3260" w:type="dxa"/>
          </w:tcPr>
          <w:p w14:paraId="653DC526" w14:textId="77777777" w:rsidR="00C66762" w:rsidRPr="00A3026E" w:rsidRDefault="00C66762" w:rsidP="00A3026E">
            <w:pPr>
              <w:pStyle w:val="22"/>
              <w:widowControl/>
              <w:rPr>
                <w:color w:val="000000" w:themeColor="text1"/>
              </w:rPr>
            </w:pPr>
          </w:p>
          <w:p w14:paraId="0DC11EE5" w14:textId="77777777" w:rsidR="00C66762" w:rsidRPr="00A3026E" w:rsidRDefault="00C66762" w:rsidP="00A3026E">
            <w:pPr>
              <w:pStyle w:val="22"/>
              <w:widowControl/>
              <w:rPr>
                <w:color w:val="000000" w:themeColor="text1"/>
              </w:rPr>
            </w:pPr>
            <w:r w:rsidRPr="00A3026E">
              <w:rPr>
                <w:color w:val="000000" w:themeColor="text1"/>
              </w:rPr>
              <w:t>800</w:t>
            </w:r>
          </w:p>
          <w:p w14:paraId="44CAF3BC" w14:textId="77777777" w:rsidR="00C66762" w:rsidRPr="00A3026E" w:rsidRDefault="00C66762" w:rsidP="00A3026E">
            <w:pPr>
              <w:pStyle w:val="22"/>
              <w:widowControl/>
              <w:rPr>
                <w:color w:val="000000" w:themeColor="text1"/>
              </w:rPr>
            </w:pPr>
            <w:r w:rsidRPr="00A3026E">
              <w:rPr>
                <w:color w:val="000000" w:themeColor="text1"/>
              </w:rPr>
              <w:t>6х100=600</w:t>
            </w:r>
          </w:p>
        </w:tc>
        <w:tc>
          <w:tcPr>
            <w:tcW w:w="3261" w:type="dxa"/>
          </w:tcPr>
          <w:p w14:paraId="38F54425" w14:textId="77777777" w:rsidR="00C66762" w:rsidRPr="00A3026E" w:rsidRDefault="00C66762" w:rsidP="00A3026E">
            <w:pPr>
              <w:pStyle w:val="22"/>
              <w:widowControl/>
              <w:rPr>
                <w:color w:val="000000" w:themeColor="text1"/>
              </w:rPr>
            </w:pPr>
          </w:p>
          <w:p w14:paraId="344418E8" w14:textId="77777777" w:rsidR="00C66762" w:rsidRPr="00A3026E" w:rsidRDefault="00C66762" w:rsidP="00A3026E">
            <w:pPr>
              <w:pStyle w:val="22"/>
              <w:widowControl/>
              <w:rPr>
                <w:color w:val="000000" w:themeColor="text1"/>
              </w:rPr>
            </w:pPr>
            <w:r w:rsidRPr="00A3026E">
              <w:rPr>
                <w:color w:val="000000" w:themeColor="text1"/>
              </w:rPr>
              <w:t>700</w:t>
            </w:r>
          </w:p>
          <w:p w14:paraId="337C517A" w14:textId="77777777" w:rsidR="00C66762" w:rsidRPr="00A3026E" w:rsidRDefault="00C66762" w:rsidP="00A3026E">
            <w:pPr>
              <w:pStyle w:val="22"/>
              <w:widowControl/>
              <w:rPr>
                <w:color w:val="000000" w:themeColor="text1"/>
              </w:rPr>
            </w:pPr>
            <w:r w:rsidRPr="00A3026E">
              <w:rPr>
                <w:color w:val="000000" w:themeColor="text1"/>
              </w:rPr>
              <w:t>4х100=400</w:t>
            </w:r>
          </w:p>
        </w:tc>
      </w:tr>
      <w:tr w:rsidR="00983732" w:rsidRPr="00A3026E" w14:paraId="36043F81" w14:textId="77777777" w:rsidTr="00EA0DA7">
        <w:tc>
          <w:tcPr>
            <w:tcW w:w="3085" w:type="dxa"/>
          </w:tcPr>
          <w:p w14:paraId="351C68FE" w14:textId="77777777" w:rsidR="00C66762" w:rsidRPr="00A3026E" w:rsidRDefault="00C66762" w:rsidP="00A3026E">
            <w:pPr>
              <w:pStyle w:val="22"/>
              <w:widowControl/>
              <w:rPr>
                <w:color w:val="000000" w:themeColor="text1"/>
              </w:rPr>
            </w:pPr>
            <w:r w:rsidRPr="00A3026E">
              <w:rPr>
                <w:color w:val="000000" w:themeColor="text1"/>
              </w:rPr>
              <w:t>Перегрузочный полетный вес</w:t>
            </w:r>
          </w:p>
        </w:tc>
        <w:tc>
          <w:tcPr>
            <w:tcW w:w="3260" w:type="dxa"/>
          </w:tcPr>
          <w:p w14:paraId="1DF4B5A3" w14:textId="77777777" w:rsidR="00C66762" w:rsidRPr="00A3026E" w:rsidRDefault="00C66762" w:rsidP="00A3026E">
            <w:pPr>
              <w:pStyle w:val="22"/>
              <w:widowControl/>
              <w:rPr>
                <w:color w:val="000000" w:themeColor="text1"/>
              </w:rPr>
            </w:pPr>
            <w:r w:rsidRPr="00A3026E">
              <w:rPr>
                <w:color w:val="000000" w:themeColor="text1"/>
              </w:rPr>
              <w:t>8400</w:t>
            </w:r>
          </w:p>
        </w:tc>
        <w:tc>
          <w:tcPr>
            <w:tcW w:w="3261" w:type="dxa"/>
          </w:tcPr>
          <w:p w14:paraId="4FE8EE21" w14:textId="77777777" w:rsidR="00C66762" w:rsidRPr="00A3026E" w:rsidRDefault="00C66762" w:rsidP="00A3026E">
            <w:pPr>
              <w:pStyle w:val="22"/>
              <w:widowControl/>
              <w:rPr>
                <w:color w:val="000000" w:themeColor="text1"/>
              </w:rPr>
            </w:pPr>
            <w:r w:rsidRPr="00A3026E">
              <w:rPr>
                <w:color w:val="000000" w:themeColor="text1"/>
              </w:rPr>
              <w:t>6400</w:t>
            </w:r>
          </w:p>
        </w:tc>
      </w:tr>
      <w:tr w:rsidR="00983732" w:rsidRPr="00A3026E" w14:paraId="646905E1" w14:textId="77777777" w:rsidTr="00EA0DA7">
        <w:tc>
          <w:tcPr>
            <w:tcW w:w="3085" w:type="dxa"/>
          </w:tcPr>
          <w:p w14:paraId="5C0517B2" w14:textId="77777777" w:rsidR="00C66762" w:rsidRPr="00A3026E" w:rsidRDefault="00C66762" w:rsidP="00A3026E">
            <w:pPr>
              <w:pStyle w:val="22"/>
              <w:widowControl/>
              <w:rPr>
                <w:color w:val="000000" w:themeColor="text1"/>
              </w:rPr>
            </w:pPr>
            <w:r w:rsidRPr="00A3026E">
              <w:rPr>
                <w:color w:val="000000" w:themeColor="text1"/>
              </w:rPr>
              <w:t>Нагрузка:</w:t>
            </w:r>
          </w:p>
          <w:p w14:paraId="4A6AEDB7" w14:textId="77777777" w:rsidR="00C66762" w:rsidRPr="00A3026E" w:rsidRDefault="00C66762" w:rsidP="00A3026E">
            <w:pPr>
              <w:pStyle w:val="22"/>
              <w:widowControl/>
              <w:rPr>
                <w:color w:val="000000" w:themeColor="text1"/>
              </w:rPr>
            </w:pPr>
            <w:r w:rsidRPr="00A3026E">
              <w:rPr>
                <w:color w:val="000000" w:themeColor="text1"/>
              </w:rPr>
              <w:t>горючее</w:t>
            </w:r>
          </w:p>
          <w:p w14:paraId="032E6E76" w14:textId="77777777" w:rsidR="00C66762" w:rsidRPr="00A3026E" w:rsidRDefault="00C66762" w:rsidP="00A3026E">
            <w:pPr>
              <w:pStyle w:val="22"/>
              <w:widowControl/>
              <w:rPr>
                <w:color w:val="000000" w:themeColor="text1"/>
              </w:rPr>
            </w:pPr>
            <w:r w:rsidRPr="00A3026E">
              <w:rPr>
                <w:color w:val="000000" w:themeColor="text1"/>
              </w:rPr>
              <w:t>бомб</w:t>
            </w:r>
          </w:p>
        </w:tc>
        <w:tc>
          <w:tcPr>
            <w:tcW w:w="3260" w:type="dxa"/>
          </w:tcPr>
          <w:p w14:paraId="27504457" w14:textId="77777777" w:rsidR="00C66762" w:rsidRPr="00A3026E" w:rsidRDefault="00C66762" w:rsidP="00A3026E">
            <w:pPr>
              <w:pStyle w:val="22"/>
              <w:widowControl/>
              <w:rPr>
                <w:color w:val="000000" w:themeColor="text1"/>
              </w:rPr>
            </w:pPr>
          </w:p>
          <w:p w14:paraId="4D5A7C2C" w14:textId="77777777" w:rsidR="00C66762" w:rsidRPr="00A3026E" w:rsidRDefault="00C66762" w:rsidP="00A3026E">
            <w:pPr>
              <w:pStyle w:val="22"/>
              <w:widowControl/>
              <w:rPr>
                <w:color w:val="000000" w:themeColor="text1"/>
              </w:rPr>
            </w:pPr>
            <w:r w:rsidRPr="00A3026E">
              <w:rPr>
                <w:color w:val="000000" w:themeColor="text1"/>
              </w:rPr>
              <w:t>1100</w:t>
            </w:r>
          </w:p>
          <w:p w14:paraId="235A882A" w14:textId="77777777" w:rsidR="00C66762" w:rsidRPr="00A3026E" w:rsidRDefault="00C66762" w:rsidP="00A3026E">
            <w:pPr>
              <w:pStyle w:val="22"/>
              <w:widowControl/>
              <w:rPr>
                <w:color w:val="000000" w:themeColor="text1"/>
              </w:rPr>
            </w:pPr>
            <w:r w:rsidRPr="00A3026E">
              <w:rPr>
                <w:color w:val="000000" w:themeColor="text1"/>
              </w:rPr>
              <w:t>2х500=1000 или 4х250=1000</w:t>
            </w:r>
          </w:p>
        </w:tc>
        <w:tc>
          <w:tcPr>
            <w:tcW w:w="3261" w:type="dxa"/>
          </w:tcPr>
          <w:p w14:paraId="6326877A" w14:textId="77777777" w:rsidR="00C66762" w:rsidRPr="00A3026E" w:rsidRDefault="00C66762" w:rsidP="00A3026E">
            <w:pPr>
              <w:pStyle w:val="22"/>
              <w:widowControl/>
              <w:rPr>
                <w:color w:val="000000" w:themeColor="text1"/>
              </w:rPr>
            </w:pPr>
          </w:p>
          <w:p w14:paraId="58283374" w14:textId="77777777" w:rsidR="00C66762" w:rsidRPr="00A3026E" w:rsidRDefault="00C66762" w:rsidP="00A3026E">
            <w:pPr>
              <w:pStyle w:val="22"/>
              <w:widowControl/>
              <w:rPr>
                <w:color w:val="000000" w:themeColor="text1"/>
              </w:rPr>
            </w:pPr>
            <w:r w:rsidRPr="00A3026E">
              <w:rPr>
                <w:color w:val="000000" w:themeColor="text1"/>
              </w:rPr>
              <w:t>700</w:t>
            </w:r>
          </w:p>
          <w:p w14:paraId="194AC4B5" w14:textId="77777777" w:rsidR="00C66762" w:rsidRPr="00A3026E" w:rsidRDefault="00C66762" w:rsidP="00A3026E">
            <w:pPr>
              <w:pStyle w:val="22"/>
              <w:widowControl/>
              <w:rPr>
                <w:color w:val="000000" w:themeColor="text1"/>
              </w:rPr>
            </w:pPr>
            <w:r w:rsidRPr="00A3026E">
              <w:rPr>
                <w:color w:val="000000" w:themeColor="text1"/>
              </w:rPr>
              <w:t>2х250=500 и 2х100=200</w:t>
            </w:r>
          </w:p>
        </w:tc>
      </w:tr>
      <w:tr w:rsidR="00983732" w:rsidRPr="00A3026E" w14:paraId="718CCE39" w14:textId="77777777" w:rsidTr="00EA0DA7">
        <w:tc>
          <w:tcPr>
            <w:tcW w:w="3085" w:type="dxa"/>
          </w:tcPr>
          <w:p w14:paraId="2C13766F" w14:textId="77777777" w:rsidR="00C66762" w:rsidRPr="00A3026E" w:rsidRDefault="00C66762" w:rsidP="00A3026E">
            <w:pPr>
              <w:pStyle w:val="22"/>
              <w:widowControl/>
              <w:rPr>
                <w:color w:val="000000" w:themeColor="text1"/>
              </w:rPr>
            </w:pPr>
            <w:r w:rsidRPr="00A3026E">
              <w:rPr>
                <w:color w:val="000000" w:themeColor="text1"/>
              </w:rPr>
              <w:t>Емкость бензобаков</w:t>
            </w:r>
          </w:p>
        </w:tc>
        <w:tc>
          <w:tcPr>
            <w:tcW w:w="3260" w:type="dxa"/>
          </w:tcPr>
          <w:p w14:paraId="01B3572C" w14:textId="77777777" w:rsidR="00C66762" w:rsidRPr="00A3026E" w:rsidRDefault="00C66762" w:rsidP="00A3026E">
            <w:pPr>
              <w:pStyle w:val="22"/>
              <w:widowControl/>
              <w:rPr>
                <w:color w:val="000000" w:themeColor="text1"/>
              </w:rPr>
            </w:pPr>
            <w:r w:rsidRPr="00A3026E">
              <w:rPr>
                <w:color w:val="000000" w:themeColor="text1"/>
              </w:rPr>
              <w:t>1450</w:t>
            </w:r>
          </w:p>
        </w:tc>
        <w:tc>
          <w:tcPr>
            <w:tcW w:w="3261" w:type="dxa"/>
          </w:tcPr>
          <w:p w14:paraId="5823D41A" w14:textId="77777777" w:rsidR="00C66762" w:rsidRPr="00A3026E" w:rsidRDefault="00C66762" w:rsidP="00A3026E">
            <w:pPr>
              <w:pStyle w:val="22"/>
              <w:widowControl/>
              <w:rPr>
                <w:color w:val="000000" w:themeColor="text1"/>
              </w:rPr>
            </w:pPr>
            <w:r w:rsidRPr="00A3026E">
              <w:rPr>
                <w:color w:val="000000" w:themeColor="text1"/>
              </w:rPr>
              <w:t>910</w:t>
            </w:r>
          </w:p>
        </w:tc>
      </w:tr>
      <w:tr w:rsidR="00983732" w:rsidRPr="00A3026E" w14:paraId="06F78876" w14:textId="77777777" w:rsidTr="00EA0DA7">
        <w:tc>
          <w:tcPr>
            <w:tcW w:w="3085" w:type="dxa"/>
          </w:tcPr>
          <w:p w14:paraId="41D05D50" w14:textId="77777777" w:rsidR="00C66762" w:rsidRPr="00A3026E" w:rsidRDefault="00C66762" w:rsidP="00A3026E">
            <w:pPr>
              <w:pStyle w:val="22"/>
              <w:widowControl/>
              <w:rPr>
                <w:color w:val="000000" w:themeColor="text1"/>
              </w:rPr>
            </w:pPr>
            <w:r w:rsidRPr="00A3026E">
              <w:rPr>
                <w:color w:val="000000" w:themeColor="text1"/>
              </w:rPr>
              <w:t xml:space="preserve">Максимальная скорость горизонтального полета на расчетной высоте </w:t>
            </w:r>
          </w:p>
        </w:tc>
        <w:tc>
          <w:tcPr>
            <w:tcW w:w="3260" w:type="dxa"/>
          </w:tcPr>
          <w:p w14:paraId="7198A299" w14:textId="77777777" w:rsidR="00C66762" w:rsidRPr="00A3026E" w:rsidRDefault="00C66762" w:rsidP="00A3026E">
            <w:pPr>
              <w:pStyle w:val="22"/>
              <w:widowControl/>
              <w:rPr>
                <w:color w:val="000000" w:themeColor="text1"/>
              </w:rPr>
            </w:pPr>
            <w:r w:rsidRPr="00A3026E">
              <w:rPr>
                <w:color w:val="000000" w:themeColor="text1"/>
              </w:rPr>
              <w:t>540/5000</w:t>
            </w:r>
          </w:p>
        </w:tc>
        <w:tc>
          <w:tcPr>
            <w:tcW w:w="3261" w:type="dxa"/>
          </w:tcPr>
          <w:p w14:paraId="07A2ADF0" w14:textId="77777777" w:rsidR="00C66762" w:rsidRPr="00A3026E" w:rsidRDefault="00C66762" w:rsidP="00A3026E">
            <w:pPr>
              <w:pStyle w:val="22"/>
              <w:widowControl/>
              <w:rPr>
                <w:color w:val="000000" w:themeColor="text1"/>
              </w:rPr>
            </w:pPr>
            <w:r w:rsidRPr="00A3026E">
              <w:rPr>
                <w:color w:val="000000" w:themeColor="text1"/>
              </w:rPr>
              <w:t>530/5000</w:t>
            </w:r>
          </w:p>
        </w:tc>
      </w:tr>
      <w:tr w:rsidR="00983732" w:rsidRPr="00A3026E" w14:paraId="48D60A1A" w14:textId="77777777" w:rsidTr="00EA0DA7">
        <w:tc>
          <w:tcPr>
            <w:tcW w:w="3085" w:type="dxa"/>
          </w:tcPr>
          <w:p w14:paraId="613ADA27" w14:textId="77777777" w:rsidR="00C66762" w:rsidRPr="00A3026E" w:rsidRDefault="00C66762" w:rsidP="00A3026E">
            <w:pPr>
              <w:pStyle w:val="22"/>
              <w:widowControl/>
              <w:rPr>
                <w:color w:val="000000" w:themeColor="text1"/>
              </w:rPr>
            </w:pPr>
            <w:r w:rsidRPr="00A3026E">
              <w:rPr>
                <w:color w:val="000000" w:themeColor="text1"/>
              </w:rPr>
              <w:t>Время набора высоты на 5000 м с нормальным полетным весом</w:t>
            </w:r>
          </w:p>
        </w:tc>
        <w:tc>
          <w:tcPr>
            <w:tcW w:w="3260" w:type="dxa"/>
          </w:tcPr>
          <w:p w14:paraId="29CFE85B" w14:textId="77777777" w:rsidR="00C66762" w:rsidRPr="00A3026E" w:rsidRDefault="00C66762" w:rsidP="00A3026E">
            <w:pPr>
              <w:pStyle w:val="22"/>
              <w:widowControl/>
              <w:rPr>
                <w:color w:val="000000" w:themeColor="text1"/>
              </w:rPr>
            </w:pPr>
            <w:r w:rsidRPr="00A3026E">
              <w:rPr>
                <w:color w:val="000000" w:themeColor="text1"/>
              </w:rPr>
              <w:t>10</w:t>
            </w:r>
          </w:p>
        </w:tc>
        <w:tc>
          <w:tcPr>
            <w:tcW w:w="3261" w:type="dxa"/>
          </w:tcPr>
          <w:p w14:paraId="2811AAE6" w14:textId="77777777" w:rsidR="00C66762" w:rsidRPr="00A3026E" w:rsidRDefault="00C66762" w:rsidP="00A3026E">
            <w:pPr>
              <w:pStyle w:val="22"/>
              <w:widowControl/>
              <w:rPr>
                <w:color w:val="000000" w:themeColor="text1"/>
              </w:rPr>
            </w:pPr>
            <w:r w:rsidRPr="00A3026E">
              <w:rPr>
                <w:color w:val="000000" w:themeColor="text1"/>
              </w:rPr>
              <w:t>8</w:t>
            </w:r>
          </w:p>
        </w:tc>
      </w:tr>
      <w:tr w:rsidR="00983732" w:rsidRPr="00A3026E" w14:paraId="1A1F7567" w14:textId="77777777" w:rsidTr="00EA0DA7">
        <w:tc>
          <w:tcPr>
            <w:tcW w:w="3085" w:type="dxa"/>
          </w:tcPr>
          <w:p w14:paraId="564E6B66" w14:textId="77777777" w:rsidR="00C66762" w:rsidRPr="00A3026E" w:rsidRDefault="00C66762" w:rsidP="00A3026E">
            <w:pPr>
              <w:pStyle w:val="22"/>
              <w:widowControl/>
              <w:rPr>
                <w:color w:val="000000" w:themeColor="text1"/>
              </w:rPr>
            </w:pPr>
            <w:r w:rsidRPr="00A3026E">
              <w:rPr>
                <w:color w:val="000000" w:themeColor="text1"/>
              </w:rPr>
              <w:t>Длина разбега</w:t>
            </w:r>
          </w:p>
        </w:tc>
        <w:tc>
          <w:tcPr>
            <w:tcW w:w="3260" w:type="dxa"/>
          </w:tcPr>
          <w:p w14:paraId="197B0DBC" w14:textId="77777777" w:rsidR="00C66762" w:rsidRPr="00A3026E" w:rsidRDefault="00C66762" w:rsidP="00A3026E">
            <w:pPr>
              <w:pStyle w:val="22"/>
              <w:widowControl/>
              <w:rPr>
                <w:color w:val="000000" w:themeColor="text1"/>
              </w:rPr>
            </w:pPr>
            <w:r w:rsidRPr="00A3026E">
              <w:rPr>
                <w:color w:val="000000" w:themeColor="text1"/>
              </w:rPr>
              <w:t>450</w:t>
            </w:r>
          </w:p>
        </w:tc>
        <w:tc>
          <w:tcPr>
            <w:tcW w:w="3261" w:type="dxa"/>
          </w:tcPr>
          <w:p w14:paraId="20CAAB6F" w14:textId="77777777" w:rsidR="00C66762" w:rsidRPr="00A3026E" w:rsidRDefault="00C66762" w:rsidP="00A3026E">
            <w:pPr>
              <w:pStyle w:val="22"/>
              <w:widowControl/>
              <w:rPr>
                <w:color w:val="000000" w:themeColor="text1"/>
              </w:rPr>
            </w:pPr>
            <w:r w:rsidRPr="00A3026E">
              <w:rPr>
                <w:color w:val="000000" w:themeColor="text1"/>
              </w:rPr>
              <w:t>400</w:t>
            </w:r>
          </w:p>
        </w:tc>
      </w:tr>
      <w:tr w:rsidR="00983732" w:rsidRPr="00A3026E" w14:paraId="0927E004" w14:textId="77777777" w:rsidTr="00EA0DA7">
        <w:tc>
          <w:tcPr>
            <w:tcW w:w="3085" w:type="dxa"/>
          </w:tcPr>
          <w:p w14:paraId="43E7AD1C" w14:textId="77777777" w:rsidR="00C66762" w:rsidRPr="00A3026E" w:rsidRDefault="00C66762" w:rsidP="00A3026E">
            <w:pPr>
              <w:pStyle w:val="22"/>
              <w:widowControl/>
              <w:rPr>
                <w:color w:val="000000" w:themeColor="text1"/>
              </w:rPr>
            </w:pPr>
            <w:r w:rsidRPr="00A3026E">
              <w:rPr>
                <w:color w:val="000000" w:themeColor="text1"/>
              </w:rPr>
              <w:t>Длина пробега</w:t>
            </w:r>
          </w:p>
        </w:tc>
        <w:tc>
          <w:tcPr>
            <w:tcW w:w="3260" w:type="dxa"/>
          </w:tcPr>
          <w:p w14:paraId="29E8E9F5" w14:textId="77777777" w:rsidR="00C66762" w:rsidRPr="00A3026E" w:rsidRDefault="00C66762" w:rsidP="00A3026E">
            <w:pPr>
              <w:pStyle w:val="22"/>
              <w:widowControl/>
              <w:rPr>
                <w:color w:val="000000" w:themeColor="text1"/>
              </w:rPr>
            </w:pPr>
            <w:r w:rsidRPr="00A3026E">
              <w:rPr>
                <w:color w:val="000000" w:themeColor="text1"/>
              </w:rPr>
              <w:t>400</w:t>
            </w:r>
          </w:p>
        </w:tc>
        <w:tc>
          <w:tcPr>
            <w:tcW w:w="3261" w:type="dxa"/>
          </w:tcPr>
          <w:p w14:paraId="67642D39" w14:textId="77777777" w:rsidR="00C66762" w:rsidRPr="00A3026E" w:rsidRDefault="00C66762" w:rsidP="00A3026E">
            <w:pPr>
              <w:pStyle w:val="22"/>
              <w:widowControl/>
              <w:rPr>
                <w:color w:val="000000" w:themeColor="text1"/>
              </w:rPr>
            </w:pPr>
            <w:r w:rsidRPr="00A3026E">
              <w:rPr>
                <w:color w:val="000000" w:themeColor="text1"/>
              </w:rPr>
              <w:t>350</w:t>
            </w:r>
          </w:p>
        </w:tc>
      </w:tr>
    </w:tbl>
    <w:p w14:paraId="59C9BA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3260"/>
        <w:gridCol w:w="3261"/>
      </w:tblGrid>
      <w:tr w:rsidR="00983732" w:rsidRPr="00A3026E" w14:paraId="7F417893" w14:textId="77777777" w:rsidTr="00EA0DA7">
        <w:tc>
          <w:tcPr>
            <w:tcW w:w="3085" w:type="dxa"/>
          </w:tcPr>
          <w:p w14:paraId="2AF30181" w14:textId="77777777" w:rsidR="00C66762" w:rsidRPr="00A3026E" w:rsidRDefault="00C66762" w:rsidP="00A3026E">
            <w:pPr>
              <w:pStyle w:val="22"/>
              <w:widowControl/>
              <w:rPr>
                <w:color w:val="000000" w:themeColor="text1"/>
              </w:rPr>
            </w:pPr>
            <w:r w:rsidRPr="00A3026E">
              <w:rPr>
                <w:color w:val="000000" w:themeColor="text1"/>
              </w:rPr>
              <w:t>Неподвижная передняя установка</w:t>
            </w:r>
          </w:p>
        </w:tc>
        <w:tc>
          <w:tcPr>
            <w:tcW w:w="3260" w:type="dxa"/>
          </w:tcPr>
          <w:p w14:paraId="478D6C9B" w14:textId="77777777" w:rsidR="00C66762" w:rsidRPr="00A3026E" w:rsidRDefault="00C66762" w:rsidP="00A3026E">
            <w:pPr>
              <w:pStyle w:val="22"/>
              <w:widowControl/>
              <w:rPr>
                <w:color w:val="000000" w:themeColor="text1"/>
              </w:rPr>
            </w:pPr>
            <w:r w:rsidRPr="00A3026E">
              <w:rPr>
                <w:color w:val="000000" w:themeColor="text1"/>
              </w:rPr>
              <w:t>2х7,62/1000</w:t>
            </w:r>
          </w:p>
        </w:tc>
        <w:tc>
          <w:tcPr>
            <w:tcW w:w="3261" w:type="dxa"/>
          </w:tcPr>
          <w:p w14:paraId="178C5FBC" w14:textId="77777777" w:rsidR="00C66762" w:rsidRPr="00A3026E" w:rsidRDefault="00C66762" w:rsidP="00A3026E">
            <w:pPr>
              <w:pStyle w:val="22"/>
              <w:widowControl/>
              <w:rPr>
                <w:color w:val="000000" w:themeColor="text1"/>
              </w:rPr>
            </w:pPr>
            <w:r w:rsidRPr="00A3026E">
              <w:rPr>
                <w:color w:val="000000" w:themeColor="text1"/>
              </w:rPr>
              <w:t>1х7,62/500</w:t>
            </w:r>
          </w:p>
        </w:tc>
      </w:tr>
      <w:tr w:rsidR="00983732" w:rsidRPr="00A3026E" w14:paraId="164ED69E" w14:textId="77777777" w:rsidTr="00EA0DA7">
        <w:tc>
          <w:tcPr>
            <w:tcW w:w="3085" w:type="dxa"/>
          </w:tcPr>
          <w:p w14:paraId="0DBB91F9" w14:textId="77777777" w:rsidR="00C66762" w:rsidRPr="00A3026E" w:rsidRDefault="00C66762" w:rsidP="00A3026E">
            <w:pPr>
              <w:pStyle w:val="22"/>
              <w:widowControl/>
              <w:rPr>
                <w:color w:val="000000" w:themeColor="text1"/>
              </w:rPr>
            </w:pPr>
            <w:r w:rsidRPr="00A3026E">
              <w:rPr>
                <w:color w:val="000000" w:themeColor="text1"/>
              </w:rPr>
              <w:t>Задняя верхняя установка</w:t>
            </w:r>
          </w:p>
        </w:tc>
        <w:tc>
          <w:tcPr>
            <w:tcW w:w="3260" w:type="dxa"/>
          </w:tcPr>
          <w:p w14:paraId="6FDBA697" w14:textId="77777777" w:rsidR="00C66762" w:rsidRPr="00A3026E" w:rsidRDefault="00C66762" w:rsidP="00A3026E">
            <w:pPr>
              <w:pStyle w:val="22"/>
              <w:widowControl/>
              <w:rPr>
                <w:color w:val="000000" w:themeColor="text1"/>
              </w:rPr>
            </w:pPr>
            <w:r w:rsidRPr="00A3026E">
              <w:rPr>
                <w:color w:val="000000" w:themeColor="text1"/>
              </w:rPr>
              <w:t>1х7,62/800</w:t>
            </w:r>
          </w:p>
        </w:tc>
        <w:tc>
          <w:tcPr>
            <w:tcW w:w="3261" w:type="dxa"/>
          </w:tcPr>
          <w:p w14:paraId="5892E458" w14:textId="77777777" w:rsidR="00C66762" w:rsidRPr="00A3026E" w:rsidRDefault="00C66762" w:rsidP="00A3026E">
            <w:pPr>
              <w:pStyle w:val="22"/>
              <w:widowControl/>
              <w:rPr>
                <w:color w:val="000000" w:themeColor="text1"/>
              </w:rPr>
            </w:pPr>
            <w:r w:rsidRPr="00A3026E">
              <w:rPr>
                <w:color w:val="000000" w:themeColor="text1"/>
              </w:rPr>
              <w:t>1х7,62/1000</w:t>
            </w:r>
          </w:p>
        </w:tc>
      </w:tr>
      <w:tr w:rsidR="00983732" w:rsidRPr="00A3026E" w14:paraId="1F04EA46" w14:textId="77777777" w:rsidTr="00EA0DA7">
        <w:tc>
          <w:tcPr>
            <w:tcW w:w="3085" w:type="dxa"/>
          </w:tcPr>
          <w:p w14:paraId="698C2C49" w14:textId="77777777" w:rsidR="00C66762" w:rsidRPr="00A3026E" w:rsidRDefault="00C66762" w:rsidP="00A3026E">
            <w:pPr>
              <w:pStyle w:val="22"/>
              <w:widowControl/>
              <w:rPr>
                <w:color w:val="000000" w:themeColor="text1"/>
              </w:rPr>
            </w:pPr>
            <w:r w:rsidRPr="00A3026E">
              <w:rPr>
                <w:color w:val="000000" w:themeColor="text1"/>
              </w:rPr>
              <w:t>Люковая установка</w:t>
            </w:r>
          </w:p>
        </w:tc>
        <w:tc>
          <w:tcPr>
            <w:tcW w:w="3260" w:type="dxa"/>
          </w:tcPr>
          <w:p w14:paraId="418BD1E6" w14:textId="77777777" w:rsidR="00C66762" w:rsidRPr="00A3026E" w:rsidRDefault="00C66762" w:rsidP="00A3026E">
            <w:pPr>
              <w:pStyle w:val="22"/>
              <w:widowControl/>
              <w:rPr>
                <w:color w:val="000000" w:themeColor="text1"/>
              </w:rPr>
            </w:pPr>
            <w:r w:rsidRPr="00A3026E">
              <w:rPr>
                <w:color w:val="000000" w:themeColor="text1"/>
              </w:rPr>
              <w:t>1х7,62/500</w:t>
            </w:r>
          </w:p>
        </w:tc>
        <w:tc>
          <w:tcPr>
            <w:tcW w:w="3261" w:type="dxa"/>
          </w:tcPr>
          <w:p w14:paraId="2C00352E" w14:textId="77777777" w:rsidR="00C66762" w:rsidRPr="00A3026E" w:rsidRDefault="00C66762" w:rsidP="00A3026E">
            <w:pPr>
              <w:pStyle w:val="22"/>
              <w:widowControl/>
              <w:rPr>
                <w:color w:val="000000" w:themeColor="text1"/>
              </w:rPr>
            </w:pPr>
            <w:r w:rsidRPr="00A3026E">
              <w:rPr>
                <w:color w:val="000000" w:themeColor="text1"/>
              </w:rPr>
              <w:t>Нет</w:t>
            </w:r>
          </w:p>
        </w:tc>
      </w:tr>
    </w:tbl>
    <w:p w14:paraId="1A9C3A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Бомбардировочное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3260"/>
        <w:gridCol w:w="3261"/>
      </w:tblGrid>
      <w:tr w:rsidR="00983732" w:rsidRPr="00A3026E" w14:paraId="6E0BDD2F" w14:textId="77777777" w:rsidTr="00EA0DA7">
        <w:tc>
          <w:tcPr>
            <w:tcW w:w="3085" w:type="dxa"/>
          </w:tcPr>
          <w:p w14:paraId="7681D2A1" w14:textId="77777777" w:rsidR="00C66762" w:rsidRPr="00A3026E" w:rsidRDefault="00C66762" w:rsidP="00A3026E">
            <w:pPr>
              <w:pStyle w:val="22"/>
              <w:widowControl/>
              <w:rPr>
                <w:color w:val="000000" w:themeColor="text1"/>
              </w:rPr>
            </w:pPr>
            <w:r w:rsidRPr="00A3026E">
              <w:rPr>
                <w:color w:val="000000" w:themeColor="text1"/>
              </w:rPr>
              <w:t>Внутренняя подвеска</w:t>
            </w:r>
          </w:p>
        </w:tc>
        <w:tc>
          <w:tcPr>
            <w:tcW w:w="3260" w:type="dxa"/>
          </w:tcPr>
          <w:p w14:paraId="6D7A67C4" w14:textId="77777777" w:rsidR="00C66762" w:rsidRPr="00A3026E" w:rsidRDefault="00C66762" w:rsidP="00A3026E">
            <w:pPr>
              <w:pStyle w:val="22"/>
              <w:widowControl/>
              <w:rPr>
                <w:color w:val="000000" w:themeColor="text1"/>
              </w:rPr>
            </w:pPr>
            <w:r w:rsidRPr="00A3026E">
              <w:rPr>
                <w:color w:val="000000" w:themeColor="text1"/>
              </w:rPr>
              <w:t>ФАБ-100х6</w:t>
            </w:r>
          </w:p>
        </w:tc>
        <w:tc>
          <w:tcPr>
            <w:tcW w:w="3261" w:type="dxa"/>
          </w:tcPr>
          <w:p w14:paraId="0BEBBF05" w14:textId="77777777" w:rsidR="00C66762" w:rsidRPr="00A3026E" w:rsidRDefault="00C66762" w:rsidP="00A3026E">
            <w:pPr>
              <w:pStyle w:val="22"/>
              <w:widowControl/>
              <w:rPr>
                <w:color w:val="000000" w:themeColor="text1"/>
              </w:rPr>
            </w:pPr>
            <w:r w:rsidRPr="00A3026E">
              <w:rPr>
                <w:color w:val="000000" w:themeColor="text1"/>
              </w:rPr>
              <w:t>ФАБ-100х4</w:t>
            </w:r>
          </w:p>
        </w:tc>
      </w:tr>
      <w:tr w:rsidR="00983732" w:rsidRPr="00A3026E" w14:paraId="4196F172" w14:textId="77777777" w:rsidTr="00EA0DA7">
        <w:tc>
          <w:tcPr>
            <w:tcW w:w="3085" w:type="dxa"/>
          </w:tcPr>
          <w:p w14:paraId="58314105" w14:textId="77777777" w:rsidR="00C66762" w:rsidRPr="00A3026E" w:rsidRDefault="00C66762" w:rsidP="00A3026E">
            <w:pPr>
              <w:pStyle w:val="22"/>
              <w:widowControl/>
              <w:rPr>
                <w:color w:val="000000" w:themeColor="text1"/>
              </w:rPr>
            </w:pPr>
            <w:r w:rsidRPr="00A3026E">
              <w:rPr>
                <w:color w:val="000000" w:themeColor="text1"/>
              </w:rPr>
              <w:t>Наружная подвеска</w:t>
            </w:r>
          </w:p>
        </w:tc>
        <w:tc>
          <w:tcPr>
            <w:tcW w:w="3260" w:type="dxa"/>
          </w:tcPr>
          <w:p w14:paraId="74983AD9" w14:textId="77777777" w:rsidR="00C66762" w:rsidRPr="00A3026E" w:rsidRDefault="00C66762" w:rsidP="00A3026E">
            <w:pPr>
              <w:pStyle w:val="22"/>
              <w:widowControl/>
              <w:rPr>
                <w:color w:val="000000" w:themeColor="text1"/>
              </w:rPr>
            </w:pPr>
            <w:r w:rsidRPr="00A3026E">
              <w:rPr>
                <w:color w:val="000000" w:themeColor="text1"/>
              </w:rPr>
              <w:t>ФАБ-100х4</w:t>
            </w:r>
          </w:p>
          <w:p w14:paraId="0F169577" w14:textId="77777777" w:rsidR="00C66762" w:rsidRPr="00A3026E" w:rsidRDefault="00C66762" w:rsidP="00A3026E">
            <w:pPr>
              <w:pStyle w:val="22"/>
              <w:widowControl/>
              <w:rPr>
                <w:color w:val="000000" w:themeColor="text1"/>
              </w:rPr>
            </w:pPr>
            <w:r w:rsidRPr="00A3026E">
              <w:rPr>
                <w:color w:val="000000" w:themeColor="text1"/>
              </w:rPr>
              <w:t>ФАБ-250х4</w:t>
            </w:r>
          </w:p>
          <w:p w14:paraId="7070A8CE" w14:textId="77777777" w:rsidR="00C66762" w:rsidRPr="00A3026E" w:rsidRDefault="00C66762" w:rsidP="00A3026E">
            <w:pPr>
              <w:pStyle w:val="22"/>
              <w:widowControl/>
              <w:rPr>
                <w:color w:val="000000" w:themeColor="text1"/>
              </w:rPr>
            </w:pPr>
            <w:r w:rsidRPr="00A3026E">
              <w:rPr>
                <w:color w:val="000000" w:themeColor="text1"/>
              </w:rPr>
              <w:t>ФАБ-500х2</w:t>
            </w:r>
          </w:p>
        </w:tc>
        <w:tc>
          <w:tcPr>
            <w:tcW w:w="3261" w:type="dxa"/>
          </w:tcPr>
          <w:p w14:paraId="2D08D7FB" w14:textId="77777777" w:rsidR="00C66762" w:rsidRPr="00A3026E" w:rsidRDefault="00C66762" w:rsidP="00A3026E">
            <w:pPr>
              <w:pStyle w:val="22"/>
              <w:widowControl/>
              <w:rPr>
                <w:color w:val="000000" w:themeColor="text1"/>
              </w:rPr>
            </w:pPr>
            <w:r w:rsidRPr="00A3026E">
              <w:rPr>
                <w:color w:val="000000" w:themeColor="text1"/>
              </w:rPr>
              <w:t>ФАБ-100х2</w:t>
            </w:r>
          </w:p>
          <w:p w14:paraId="47527673" w14:textId="77777777" w:rsidR="00C66762" w:rsidRPr="00A3026E" w:rsidRDefault="00C66762" w:rsidP="00A3026E">
            <w:pPr>
              <w:pStyle w:val="22"/>
              <w:widowControl/>
              <w:rPr>
                <w:color w:val="000000" w:themeColor="text1"/>
              </w:rPr>
            </w:pPr>
            <w:r w:rsidRPr="00A3026E">
              <w:rPr>
                <w:color w:val="000000" w:themeColor="text1"/>
              </w:rPr>
              <w:t>ФАБ-250х2</w:t>
            </w:r>
          </w:p>
        </w:tc>
      </w:tr>
      <w:tr w:rsidR="00983732" w:rsidRPr="00A3026E" w14:paraId="3B1D5EFD" w14:textId="77777777" w:rsidTr="00EA0DA7">
        <w:tc>
          <w:tcPr>
            <w:tcW w:w="3085" w:type="dxa"/>
          </w:tcPr>
          <w:p w14:paraId="56B969D2" w14:textId="77777777" w:rsidR="00C66762" w:rsidRPr="00A3026E" w:rsidRDefault="00C66762" w:rsidP="00A3026E">
            <w:pPr>
              <w:pStyle w:val="22"/>
              <w:widowControl/>
              <w:rPr>
                <w:color w:val="000000" w:themeColor="text1"/>
              </w:rPr>
            </w:pPr>
            <w:r w:rsidRPr="00A3026E">
              <w:rPr>
                <w:color w:val="000000" w:themeColor="text1"/>
              </w:rPr>
              <w:t>Площадь крыльев</w:t>
            </w:r>
          </w:p>
        </w:tc>
        <w:tc>
          <w:tcPr>
            <w:tcW w:w="3260" w:type="dxa"/>
          </w:tcPr>
          <w:p w14:paraId="221D7B1A" w14:textId="77777777" w:rsidR="00C66762" w:rsidRPr="00A3026E" w:rsidRDefault="00C66762" w:rsidP="00A3026E">
            <w:pPr>
              <w:pStyle w:val="22"/>
              <w:widowControl/>
              <w:rPr>
                <w:color w:val="000000" w:themeColor="text1"/>
              </w:rPr>
            </w:pPr>
            <w:r w:rsidRPr="00A3026E">
              <w:rPr>
                <w:color w:val="000000" w:themeColor="text1"/>
              </w:rPr>
              <w:t>40,7</w:t>
            </w:r>
          </w:p>
        </w:tc>
        <w:tc>
          <w:tcPr>
            <w:tcW w:w="3261" w:type="dxa"/>
          </w:tcPr>
          <w:p w14:paraId="600857CE" w14:textId="77777777" w:rsidR="00C66762" w:rsidRPr="00A3026E" w:rsidRDefault="00C66762" w:rsidP="00A3026E">
            <w:pPr>
              <w:pStyle w:val="22"/>
              <w:widowControl/>
              <w:rPr>
                <w:color w:val="000000" w:themeColor="text1"/>
              </w:rPr>
            </w:pPr>
            <w:r w:rsidRPr="00A3026E">
              <w:rPr>
                <w:color w:val="000000" w:themeColor="text1"/>
              </w:rPr>
              <w:t>29,4</w:t>
            </w:r>
          </w:p>
        </w:tc>
      </w:tr>
      <w:tr w:rsidR="00983732" w:rsidRPr="00A3026E" w14:paraId="7BE5D988" w14:textId="77777777" w:rsidTr="00EA0DA7">
        <w:trPr>
          <w:cantSplit/>
          <w:trHeight w:val="64"/>
        </w:trPr>
        <w:tc>
          <w:tcPr>
            <w:tcW w:w="3085" w:type="dxa"/>
          </w:tcPr>
          <w:p w14:paraId="70D1F1FD" w14:textId="77777777" w:rsidR="00C66762" w:rsidRPr="00A3026E" w:rsidRDefault="00C66762" w:rsidP="00A3026E">
            <w:pPr>
              <w:pStyle w:val="22"/>
              <w:widowControl/>
              <w:rPr>
                <w:color w:val="000000" w:themeColor="text1"/>
              </w:rPr>
            </w:pPr>
            <w:r w:rsidRPr="00A3026E">
              <w:rPr>
                <w:color w:val="000000" w:themeColor="text1"/>
              </w:rPr>
              <w:t>Нагрузка на 1 м кв.</w:t>
            </w:r>
          </w:p>
          <w:p w14:paraId="413D6E32" w14:textId="77777777" w:rsidR="00C66762" w:rsidRPr="00A3026E" w:rsidRDefault="00C66762" w:rsidP="00A3026E">
            <w:pPr>
              <w:pStyle w:val="22"/>
              <w:widowControl/>
              <w:rPr>
                <w:color w:val="000000" w:themeColor="text1"/>
              </w:rPr>
            </w:pPr>
            <w:r w:rsidRPr="00A3026E">
              <w:rPr>
                <w:color w:val="000000" w:themeColor="text1"/>
              </w:rPr>
              <w:t>с нормальным полетным весом</w:t>
            </w:r>
          </w:p>
          <w:p w14:paraId="6CB95498" w14:textId="77777777" w:rsidR="00C66762" w:rsidRPr="00A3026E" w:rsidRDefault="00C66762" w:rsidP="00A3026E">
            <w:pPr>
              <w:pStyle w:val="22"/>
              <w:widowControl/>
              <w:rPr>
                <w:color w:val="000000" w:themeColor="text1"/>
              </w:rPr>
            </w:pPr>
            <w:r w:rsidRPr="00A3026E">
              <w:rPr>
                <w:color w:val="000000" w:themeColor="text1"/>
              </w:rPr>
              <w:t>с перегрузочным полетным весом</w:t>
            </w:r>
          </w:p>
        </w:tc>
        <w:tc>
          <w:tcPr>
            <w:tcW w:w="3260" w:type="dxa"/>
          </w:tcPr>
          <w:p w14:paraId="1CEF42A8" w14:textId="77777777" w:rsidR="00C66762" w:rsidRPr="00A3026E" w:rsidRDefault="00C66762" w:rsidP="00A3026E">
            <w:pPr>
              <w:pStyle w:val="22"/>
              <w:widowControl/>
              <w:rPr>
                <w:color w:val="000000" w:themeColor="text1"/>
              </w:rPr>
            </w:pPr>
          </w:p>
          <w:p w14:paraId="21DCEF30" w14:textId="77777777" w:rsidR="00C66762" w:rsidRPr="00A3026E" w:rsidRDefault="00C66762" w:rsidP="00A3026E">
            <w:pPr>
              <w:pStyle w:val="22"/>
              <w:widowControl/>
              <w:rPr>
                <w:color w:val="000000" w:themeColor="text1"/>
              </w:rPr>
            </w:pPr>
            <w:r w:rsidRPr="00A3026E">
              <w:rPr>
                <w:color w:val="000000" w:themeColor="text1"/>
              </w:rPr>
              <w:t>198</w:t>
            </w:r>
          </w:p>
          <w:p w14:paraId="33D0DB35" w14:textId="77777777" w:rsidR="00C66762" w:rsidRPr="00A3026E" w:rsidRDefault="00C66762" w:rsidP="00A3026E">
            <w:pPr>
              <w:pStyle w:val="22"/>
              <w:widowControl/>
              <w:rPr>
                <w:color w:val="000000" w:themeColor="text1"/>
              </w:rPr>
            </w:pPr>
            <w:r w:rsidRPr="00A3026E">
              <w:rPr>
                <w:color w:val="000000" w:themeColor="text1"/>
              </w:rPr>
              <w:t>208</w:t>
            </w:r>
          </w:p>
        </w:tc>
        <w:tc>
          <w:tcPr>
            <w:tcW w:w="3261" w:type="dxa"/>
          </w:tcPr>
          <w:p w14:paraId="6E7640C4" w14:textId="77777777" w:rsidR="00C66762" w:rsidRPr="00A3026E" w:rsidRDefault="00C66762" w:rsidP="00A3026E">
            <w:pPr>
              <w:pStyle w:val="22"/>
              <w:widowControl/>
              <w:rPr>
                <w:color w:val="000000" w:themeColor="text1"/>
              </w:rPr>
            </w:pPr>
          </w:p>
          <w:p w14:paraId="499F881A" w14:textId="77777777" w:rsidR="00C66762" w:rsidRPr="00A3026E" w:rsidRDefault="00C66762" w:rsidP="00A3026E">
            <w:pPr>
              <w:pStyle w:val="22"/>
              <w:widowControl/>
              <w:rPr>
                <w:color w:val="000000" w:themeColor="text1"/>
              </w:rPr>
            </w:pPr>
            <w:r w:rsidRPr="00A3026E">
              <w:rPr>
                <w:color w:val="000000" w:themeColor="text1"/>
              </w:rPr>
              <w:t>208</w:t>
            </w:r>
          </w:p>
          <w:p w14:paraId="083532AD" w14:textId="77777777" w:rsidR="00C66762" w:rsidRPr="00A3026E" w:rsidRDefault="00C66762" w:rsidP="00A3026E">
            <w:pPr>
              <w:pStyle w:val="22"/>
              <w:widowControl/>
              <w:rPr>
                <w:color w:val="000000" w:themeColor="text1"/>
              </w:rPr>
            </w:pPr>
            <w:r w:rsidRPr="00A3026E">
              <w:rPr>
                <w:color w:val="000000" w:themeColor="text1"/>
              </w:rPr>
              <w:t>218</w:t>
            </w:r>
          </w:p>
        </w:tc>
      </w:tr>
    </w:tbl>
    <w:p w14:paraId="3BD72992" w14:textId="77777777" w:rsidR="00C66762" w:rsidRPr="00A3026E" w:rsidRDefault="00C66762" w:rsidP="00A3026E">
      <w:pPr>
        <w:pStyle w:val="22"/>
        <w:widowControl/>
        <w:rPr>
          <w:color w:val="000000" w:themeColor="text1"/>
        </w:rPr>
      </w:pPr>
      <w:r w:rsidRPr="00A3026E">
        <w:rPr>
          <w:color w:val="000000" w:themeColor="text1"/>
        </w:rPr>
        <w:t>Примечание: данные, приведенные в настоящей таблице, являются расчетными и летными испытаниями не подтверждены, так как самолеты еще находятся в производстве (7647, 201-205).</w:t>
      </w:r>
    </w:p>
    <w:p w14:paraId="4862A6EC" w14:textId="77777777" w:rsidR="00C66762" w:rsidRPr="00A3026E" w:rsidRDefault="00C66762" w:rsidP="00A3026E">
      <w:pPr>
        <w:pStyle w:val="22"/>
        <w:widowControl/>
        <w:rPr>
          <w:color w:val="000000" w:themeColor="text1"/>
        </w:rPr>
      </w:pPr>
    </w:p>
    <w:p w14:paraId="0BAA80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ноября 1940 начались заводские испытания И-301 М-105П С.А.Л. (2090,234).</w:t>
      </w:r>
    </w:p>
    <w:p w14:paraId="2707134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57A96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 ноября 1940 г. приказом Наркомата авиационной промышленности СССР был создан Трест организации авиационной промышленности «Оргавиапром». Переименован приказом наркомата от 27 апреля 1944 г. в Научно-исследовательский институт по организации авиационной промышленности «Оргавиапром» (НИИ «Оргавиапром») и приказом Министерства авиационной промышленности СССР от 26 мая 1947 г. в Научно-исследовательский институт технологии и организации производства (НИАТ) (12101). </w:t>
      </w:r>
    </w:p>
    <w:p w14:paraId="5ADB7113" w14:textId="77777777" w:rsidR="0043631F" w:rsidRPr="00A3026E" w:rsidRDefault="0043631F" w:rsidP="00A3026E">
      <w:pPr>
        <w:spacing w:after="0" w:line="240" w:lineRule="auto"/>
        <w:jc w:val="both"/>
        <w:rPr>
          <w:rFonts w:ascii="Times New Roman" w:hAnsi="Times New Roman"/>
          <w:iCs/>
          <w:color w:val="000000" w:themeColor="text1"/>
          <w:sz w:val="16"/>
          <w:szCs w:val="16"/>
        </w:rPr>
      </w:pPr>
    </w:p>
    <w:p w14:paraId="2F8DC58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CDF03B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29F38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ноября 1940 марионеточное правительство Словакии объявило о союзе с фашистской Германией (4962).</w:t>
      </w:r>
    </w:p>
    <w:p w14:paraId="714C8A1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059D1F9"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November 24 1940 Slovakia signed protocol of adherence to Axis tripartite pact at Berlin (1223).</w:t>
      </w:r>
    </w:p>
    <w:p w14:paraId="30D8F3A2"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0E074D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ноября 1940 Словакия подписала протокол о присоединении к трехстроннему протоколу стран оси (1223).</w:t>
      </w:r>
    </w:p>
    <w:p w14:paraId="49420F9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65CEF9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365F741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7FE91DD" w14:textId="77777777" w:rsidR="007B215D" w:rsidRPr="00A3026E" w:rsidRDefault="007B215D"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 ноября 1940 были подписаны три постановления Комитета Обороны по разработке двухмотор</w:t>
      </w:r>
      <w:r w:rsidRPr="00A3026E">
        <w:rPr>
          <w:rFonts w:ascii="Times New Roman" w:hAnsi="Times New Roman"/>
          <w:color w:val="0070C0"/>
          <w:sz w:val="16"/>
          <w:szCs w:val="16"/>
        </w:rPr>
        <w:softHyphen/>
        <w:t>ных истребителей для ВВС. По замыслу воен</w:t>
      </w:r>
      <w:r w:rsidRPr="00A3026E">
        <w:rPr>
          <w:rFonts w:ascii="Times New Roman" w:hAnsi="Times New Roman"/>
          <w:color w:val="0070C0"/>
          <w:sz w:val="16"/>
          <w:szCs w:val="16"/>
        </w:rPr>
        <w:softHyphen/>
        <w:t>ных, они должны были нести целую батарею из нескольких ШКАСов, БС и пушек Шпитального или Таубина, дальность полета хотели получить в 2000 километров, а потолок - 11 километров. Н.Н. Поликарпов и А.И. Микоян до ноября-декабря 1941 года согласно постановлениям №№430 и 431 должны были построить по три экземпляра самолетов под моторы АМ-37 со скоростью 630-635 км/ч, соответственно. Машины получили обозна</w:t>
      </w:r>
      <w:r w:rsidRPr="00A3026E">
        <w:rPr>
          <w:rFonts w:ascii="Times New Roman" w:hAnsi="Times New Roman"/>
          <w:color w:val="0070C0"/>
          <w:sz w:val="16"/>
          <w:szCs w:val="16"/>
        </w:rPr>
        <w:softHyphen/>
        <w:t>чения ДИС и ТИС. По постановлению №429 А.С. Яковлев должен был построить в одном экземпляре и передать на испытания к 1 марта 1941 года «модификацию самолета ББ- 22 в варианте одноместного истребителя сопровождения с двумя моторами М-105». Машина под обозначением ББ-22ИС должна была на высоте в 5 километров разгоняться до 585 км/ч, иметь потолок в 10 км и даль</w:t>
      </w:r>
      <w:r w:rsidRPr="00A3026E">
        <w:rPr>
          <w:rFonts w:ascii="Times New Roman" w:hAnsi="Times New Roman"/>
          <w:color w:val="0070C0"/>
          <w:sz w:val="16"/>
          <w:szCs w:val="16"/>
        </w:rPr>
        <w:softHyphen/>
        <w:t>ность 2000 километров. Последняя цифра представляется слишком оптимистичной с учетом результатов войсковых испытаний и предполагаемого набора вооружения из 3 ШКАСов и 2 ШВАК с боекомплектом в 4500 патронов и 1000 снарядов. Хотя на постройку самолета выделялось 1 400 000 рублей, а для премирования рабочих и служащих еще пол</w:t>
      </w:r>
      <w:r w:rsidRPr="00A3026E">
        <w:rPr>
          <w:rFonts w:ascii="Times New Roman" w:hAnsi="Times New Roman"/>
          <w:color w:val="0070C0"/>
          <w:sz w:val="16"/>
          <w:szCs w:val="16"/>
        </w:rPr>
        <w:softHyphen/>
        <w:t>миллиона, как за второй экземпляр опытного самолета, достоверных данных о постройке ББ-22ИС пока нет. Для опытных работ использовали самолет №22, все еще числив</w:t>
      </w:r>
      <w:r w:rsidRPr="00A3026E">
        <w:rPr>
          <w:rFonts w:ascii="Times New Roman" w:hAnsi="Times New Roman"/>
          <w:color w:val="0070C0"/>
          <w:sz w:val="16"/>
          <w:szCs w:val="16"/>
        </w:rPr>
        <w:softHyphen/>
        <w:t>шийся за заводом №115 и, как уже было ска</w:t>
      </w:r>
      <w:r w:rsidRPr="00A3026E">
        <w:rPr>
          <w:rFonts w:ascii="Times New Roman" w:hAnsi="Times New Roman"/>
          <w:color w:val="0070C0"/>
          <w:sz w:val="16"/>
          <w:szCs w:val="16"/>
        </w:rPr>
        <w:softHyphen/>
        <w:t>зано, финансировавшийся за счет средств КБ (19867).</w:t>
      </w:r>
    </w:p>
    <w:p w14:paraId="1C2E79AB" w14:textId="77777777" w:rsidR="007B215D" w:rsidRPr="00A3026E" w:rsidRDefault="007B215D"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704сс от 9 декабря 1940 была в основном связана с заводом №81 и, в некоторой степени, с заво</w:t>
      </w:r>
      <w:r w:rsidRPr="00A3026E">
        <w:rPr>
          <w:rFonts w:ascii="Times New Roman" w:hAnsi="Times New Roman"/>
          <w:color w:val="0070C0"/>
          <w:sz w:val="16"/>
          <w:szCs w:val="16"/>
        </w:rPr>
        <w:softHyphen/>
        <w:t>дом 115, но уже никак не с заводом № 1. Самолеты головной серии доработали лишь частично, грот на них не срезали, они остава</w:t>
      </w:r>
      <w:r w:rsidRPr="00A3026E">
        <w:rPr>
          <w:rFonts w:ascii="Times New Roman" w:hAnsi="Times New Roman"/>
          <w:color w:val="0070C0"/>
          <w:sz w:val="16"/>
          <w:szCs w:val="16"/>
        </w:rPr>
        <w:softHyphen/>
        <w:t xml:space="preserve">лись на заводе долгое время. </w:t>
      </w:r>
    </w:p>
    <w:p w14:paraId="3DFE594E" w14:textId="77777777" w:rsidR="007B215D" w:rsidRPr="00A3026E" w:rsidRDefault="007B215D" w:rsidP="00A3026E">
      <w:pPr>
        <w:shd w:val="clear" w:color="auto" w:fill="FFFFFF"/>
        <w:spacing w:after="0" w:line="240" w:lineRule="auto"/>
        <w:jc w:val="both"/>
        <w:rPr>
          <w:rFonts w:ascii="Times New Roman" w:hAnsi="Times New Roman"/>
          <w:color w:val="0070C0"/>
          <w:sz w:val="16"/>
          <w:szCs w:val="16"/>
        </w:rPr>
      </w:pPr>
    </w:p>
    <w:p w14:paraId="369C9AD2"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 ноября 1940 – протокол Политбюро</w:t>
      </w:r>
    </w:p>
    <w:p w14:paraId="30EC2DA7"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25.XI.40 г.</w:t>
      </w:r>
    </w:p>
    <w:p w14:paraId="6FA01E75"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67. О заводе ЦНИИТМАШ (постановление СНК СССР и ЦК ВКП(б) (ПБ от 11.XI.40 г., пр. № 22, п. 122).</w:t>
      </w:r>
    </w:p>
    <w:p w14:paraId="6CBD5095"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68. О моторах М-71 и М-81 завода № 19 (постановление ЦК ВКП(б) и СНК СССР). — ОП.</w:t>
      </w:r>
    </w:p>
    <w:p w14:paraId="35C95B7E"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69. Об истребителе конструкции Поликарпова. — ОП.</w:t>
      </w:r>
    </w:p>
    <w:p w14:paraId="08C7B1E4"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70. Об истребителе конструкции Микояна. — ОП.</w:t>
      </w:r>
    </w:p>
    <w:p w14:paraId="70002562"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71. Об истребителе конструкции Яковлева. — ОП.</w:t>
      </w:r>
    </w:p>
    <w:p w14:paraId="50A70B39"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22 ноября — 13 декабря 1940 г. Д. 1030. Решения ПБ за (протокол № 23) (20408)</w:t>
      </w:r>
    </w:p>
    <w:p w14:paraId="336675D4" w14:textId="77777777" w:rsidR="00DE412A" w:rsidRPr="00A3026E" w:rsidRDefault="00DE412A" w:rsidP="00A3026E">
      <w:pPr>
        <w:spacing w:after="0" w:line="240" w:lineRule="auto"/>
        <w:jc w:val="both"/>
        <w:rPr>
          <w:rFonts w:ascii="Times New Roman" w:hAnsi="Times New Roman"/>
          <w:color w:val="0070C0"/>
          <w:sz w:val="16"/>
          <w:szCs w:val="16"/>
        </w:rPr>
      </w:pPr>
    </w:p>
    <w:p w14:paraId="06F5EE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Зам. НКАП П.Воронин писал письмо N Н-42/3252 ГК завода 39 С.В.И. (копия - ГК В.М.П.):</w:t>
      </w:r>
    </w:p>
    <w:p w14:paraId="23DAC5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выпуском головного серийного ПБ-100 необходимо провести стат. испытания фюзеляжа и ЦП.</w:t>
      </w:r>
    </w:p>
    <w:p w14:paraId="1ACA03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Предоставьте возможность провести статиспытания указанных агрегатов в статлаборатории Вашего ОКБ (1293,153).</w:t>
      </w:r>
    </w:p>
    <w:p w14:paraId="52EB437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687A2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контролер Вахрушев - представитель КО СНК СССР - в журнале Учета выполнения постановлени правительства в отношении постановления КО N 275сс 1940 “О внедрении в серийное производство самолетов “100” в варианте ПБ” отметил:</w:t>
      </w:r>
    </w:p>
    <w:p w14:paraId="3C717E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производства и изготовления ПБ-100 на 39 и 22 заводе ... к постановлению КО № 2288-383сс (10395).</w:t>
      </w:r>
    </w:p>
    <w:p w14:paraId="68FEE25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3D0C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А.И.Филин как председатель макетной комиссии по 103 писал Л.П.Берии, что самолет нужен ВВС (172,138).</w:t>
      </w:r>
    </w:p>
    <w:p w14:paraId="62146FF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51975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Протокол № 23. Решения ПБ за 22 ноября - 13 декабря 1940 г.</w:t>
      </w:r>
    </w:p>
    <w:p w14:paraId="7CAAB2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25.11.40 г.</w:t>
      </w:r>
    </w:p>
    <w:p w14:paraId="3B9784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68. О моторах М-71 и М-81 завода № 19 (постановление ЦК ВКП (б) и СНК СССР)*.</w:t>
      </w:r>
    </w:p>
    <w:p w14:paraId="3EB2CC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69. Об истребителе конструкции Поликарпова*.</w:t>
      </w:r>
    </w:p>
    <w:p w14:paraId="6C5C57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70. Об истребителе конструкции Микояна*.</w:t>
      </w:r>
    </w:p>
    <w:p w14:paraId="2D9636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71. Об истребителе конструкции Яковлева*.</w:t>
      </w:r>
    </w:p>
    <w:p w14:paraId="76C6D3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30. 11.40 г.</w:t>
      </w:r>
    </w:p>
    <w:p w14:paraId="44AFC3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98. Вопрос НКО. Разрешение полетов на самолетах И-16, И-153*.</w:t>
      </w:r>
    </w:p>
    <w:p w14:paraId="25F1FD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06.12.40 г.</w:t>
      </w:r>
    </w:p>
    <w:p w14:paraId="4F9C4E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135. О порядке испытаний серийных авиационных моторов на заводах НКАП*.</w:t>
      </w:r>
    </w:p>
    <w:p w14:paraId="3A89C5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137. О программе выпуска авиационных винтов в 1941 г. (постановление СНК СССР и</w:t>
      </w:r>
    </w:p>
    <w:p w14:paraId="526E9E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ЦК ВКП (б))*.</w:t>
      </w:r>
    </w:p>
    <w:p w14:paraId="78D3DF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138. О программе выпуска авиационного вооружения в 1941 г. (постановление СНК СССР</w:t>
      </w:r>
    </w:p>
    <w:p w14:paraId="7326F0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ЦК ВКП (б))*.</w:t>
      </w:r>
    </w:p>
    <w:p w14:paraId="37F024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141. О программе завода № 26 на 1941 г. (постановление СНК СССР и ЦК ВКП (б))*.</w:t>
      </w:r>
    </w:p>
    <w:p w14:paraId="12BB58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142. О программе выпуска самолетов и авиамоторов в 1941 году*.</w:t>
      </w:r>
    </w:p>
    <w:p w14:paraId="384EC3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143. О боеприпасах для авиационных пушек (постановление СНК СССР и ЦК ВКП (б))*.</w:t>
      </w:r>
    </w:p>
    <w:p w14:paraId="40B2C6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10.12.40 г.</w:t>
      </w:r>
    </w:p>
    <w:p w14:paraId="257361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174. О проектировании и постройке опытного образца бронированных аэросаней*.</w:t>
      </w:r>
    </w:p>
    <w:p w14:paraId="567D8D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12.12.40 г.</w:t>
      </w:r>
    </w:p>
    <w:p w14:paraId="29A1FF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196. О прекращении работ по изготовлению корпусов танка «KB» из двухслойной брони*.</w:t>
      </w:r>
    </w:p>
    <w:p w14:paraId="46E657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13.3.40 г.</w:t>
      </w:r>
    </w:p>
    <w:p w14:paraId="0DC77F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205. Об изменениях в выпуске типов моторов по заводам №№ 384 и 19 (постановление СНК СССР и ЦК ВКП (б))* (11773).</w:t>
      </w:r>
    </w:p>
    <w:p w14:paraId="396113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C2D35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вышло постановление КО N 429сс о модификации ББ-22 в истребитель сопровождения ББ-22-ИС с 2хМ-105. 1-й - к 01.03.1941 (822).</w:t>
      </w:r>
    </w:p>
    <w:p w14:paraId="4D5EDE6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B8655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года постановление № 429сс КО</w:t>
      </w:r>
    </w:p>
    <w:p w14:paraId="7B8272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постройке самолета ББ-22-ИС на заводе № 115 НКАП</w:t>
      </w:r>
    </w:p>
    <w:p w14:paraId="566C1C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постановляет:</w:t>
      </w:r>
    </w:p>
    <w:p w14:paraId="0C89A75C" w14:textId="77777777" w:rsidR="00C66762" w:rsidRPr="00A3026E" w:rsidRDefault="00C66762" w:rsidP="00A3026E">
      <w:pPr>
        <w:pStyle w:val="22"/>
        <w:widowControl/>
        <w:tabs>
          <w:tab w:val="left" w:pos="360"/>
        </w:tabs>
        <w:rPr>
          <w:color w:val="000000" w:themeColor="text1"/>
        </w:rPr>
      </w:pPr>
      <w:r w:rsidRPr="00A3026E">
        <w:rPr>
          <w:color w:val="000000" w:themeColor="text1"/>
        </w:rPr>
        <w:t>1. Обязать НКАП, директора и гл. конструктора завода № 115 Яковлева спроектировать и построить в одном экземпляре модификацию самолета ББ-22 в варианте одноместного истребителя сопровождения с двумя моторами М-105 и предъявить на госиспытания к 1 марта 1941 года со следующими летно-техническими данными:</w:t>
      </w:r>
    </w:p>
    <w:p w14:paraId="17E61A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5000 м – 585 км/час</w:t>
      </w:r>
    </w:p>
    <w:p w14:paraId="7181AC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 140 км/час</w:t>
      </w:r>
    </w:p>
    <w:p w14:paraId="16B628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 – 10000 м</w:t>
      </w:r>
    </w:p>
    <w:p w14:paraId="6543BD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 5000 м – 6,5 мин.</w:t>
      </w:r>
    </w:p>
    <w:p w14:paraId="72CCC8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0,8 максимальной скорости - 2000 км</w:t>
      </w:r>
    </w:p>
    <w:p w14:paraId="352973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пулеметно-пушечная батарея, состоящая из трех пулеметов 7,62 мм Шкас с запасом патрон 4500 штук, двух пушек Швак калибра 20 мм с запасом патрон 1000 штук (7611, 251).</w:t>
      </w:r>
    </w:p>
    <w:p w14:paraId="1236F1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Наркомфин выделить из резервного фонда СНК Союза СССР заводу № 115 на постройку и испытание самолета 1.400.000 рублей.</w:t>
      </w:r>
    </w:p>
    <w:p w14:paraId="60D056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целях поощрения ИТР, рабочих и служащих завода № 115 за выполнение задания в срок, выделить в распоряжение НКАП премиальный фонд 500 тыс. руб. (10395).</w:t>
      </w:r>
    </w:p>
    <w:p w14:paraId="338E455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407EC3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года вышло постановление КО № 429</w:t>
      </w:r>
    </w:p>
    <w:p w14:paraId="6EFE7F6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ББ-22 в варианте истребителя сопровождения ББ-22-ИС с двумя моторами М-105.</w:t>
      </w:r>
    </w:p>
    <w:p w14:paraId="346A88E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экземпляр к 1 марта 1941 года.</w:t>
      </w:r>
    </w:p>
    <w:p w14:paraId="7612005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 Яковлев, завод № 115 (4048, 4).</w:t>
      </w:r>
    </w:p>
    <w:p w14:paraId="2BA328C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D61003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года вышло постановление КО № 430</w:t>
      </w:r>
    </w:p>
    <w:p w14:paraId="7D52ED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Постройка трех экземпляров истребителя «ДИС» с моторами 2АМ-37.</w:t>
      </w:r>
    </w:p>
    <w:p w14:paraId="717753B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экз. – к 1 августа 1941 года</w:t>
      </w:r>
    </w:p>
    <w:p w14:paraId="09D438A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экз. - к 1 сентября 1941 года</w:t>
      </w:r>
    </w:p>
    <w:p w14:paraId="2D8F158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экз. – к 1 ноября 1941 года</w:t>
      </w:r>
    </w:p>
    <w:p w14:paraId="653A676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 Микоян, завод № 1 (4048, 4).</w:t>
      </w:r>
    </w:p>
    <w:p w14:paraId="0C9D1E6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2A41C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года постановление № 430сс КО</w:t>
      </w:r>
    </w:p>
    <w:p w14:paraId="6CDE89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проектировании и постройке самолета ДИС на заводе № 1 НКАП</w:t>
      </w:r>
    </w:p>
    <w:p w14:paraId="3048BB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постановляет:</w:t>
      </w:r>
    </w:p>
    <w:p w14:paraId="71488BA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Обязать НКАП, директора завода № 1 Дементьева П.В. и гл. конструктора Микояна А.И.:</w:t>
      </w:r>
    </w:p>
    <w:p w14:paraId="0722F1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спроектировать и построить 3 экземпляра самолета с моторами АМ-37 и предъявить на госиспытания:</w:t>
      </w:r>
    </w:p>
    <w:p w14:paraId="629374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 1 августа 1941 года</w:t>
      </w:r>
    </w:p>
    <w:p w14:paraId="4DDF9C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экземпляр – 1 сентября 1941 года</w:t>
      </w:r>
    </w:p>
    <w:p w14:paraId="168F77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третий экземпляр – 1 ноября 1941 года</w:t>
      </w:r>
    </w:p>
    <w:p w14:paraId="18F031AC" w14:textId="77777777" w:rsidR="00C66762" w:rsidRPr="00A3026E" w:rsidRDefault="00C66762" w:rsidP="00A3026E">
      <w:pPr>
        <w:pStyle w:val="22"/>
        <w:widowControl/>
        <w:rPr>
          <w:color w:val="000000" w:themeColor="text1"/>
        </w:rPr>
      </w:pPr>
      <w:r w:rsidRPr="00A3026E">
        <w:rPr>
          <w:color w:val="000000" w:themeColor="text1"/>
        </w:rPr>
        <w:t>со следующими летно-техническими данными:</w:t>
      </w:r>
    </w:p>
    <w:p w14:paraId="51AE61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 635 км/час</w:t>
      </w:r>
    </w:p>
    <w:p w14:paraId="29EFEE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с применением посадочных приспособлений – 126 км/час</w:t>
      </w:r>
    </w:p>
    <w:p w14:paraId="749CCA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 – 11000 м</w:t>
      </w:r>
    </w:p>
    <w:p w14:paraId="3E1797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0,8 максимальной скорости - 2000 км</w:t>
      </w:r>
    </w:p>
    <w:p w14:paraId="2A1814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Вооружение: </w:t>
      </w:r>
    </w:p>
    <w:p w14:paraId="78D265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батарея в четыре пулемета Шкасс с емкостью патронных ящиков по 1200 штук на каждый</w:t>
      </w:r>
    </w:p>
    <w:p w14:paraId="3A7C0D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 пулемета БС с емкостью патронных ящиков по 550 штук на пулемет</w:t>
      </w:r>
    </w:p>
    <w:p w14:paraId="442D15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 пушка конструкции Таубина калибром 23 мм</w:t>
      </w:r>
    </w:p>
    <w:p w14:paraId="10B0FC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 в счет перегрузки: бомба или торпеда в 1000 кг или 2 шт. по 500 кг на наружной подвеске под фюзеляжем (7611, 252-253).</w:t>
      </w:r>
    </w:p>
    <w:p w14:paraId="70C8FF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Наркомфин выделить НКАП (заводу № 1) из резервного фонда СНК Союза СССР заводу № 301 на постройку и испытание 3-х экземпляров самолета с моторами АМ-37 - 12.500.000 рублей.</w:t>
      </w:r>
    </w:p>
    <w:p w14:paraId="6A0B62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целях поощрения ИТР, рабочих и служащих завода № 1 за выполнение задания в срок выделить в распоряжение НКАП премиальный фонд:</w:t>
      </w:r>
    </w:p>
    <w:p w14:paraId="51C128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за 1-й экз. - 1.000.000 руб.</w:t>
      </w:r>
    </w:p>
    <w:p w14:paraId="7A40F7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за 2-й экз. - 500.000 руб. (10395).</w:t>
      </w:r>
    </w:p>
    <w:p w14:paraId="2961780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B4768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вышло постановление КО N 430сс "О проектировании и постройке самолета ДИС на заводе 1 НКАП" (414,32).</w:t>
      </w:r>
    </w:p>
    <w:p w14:paraId="1D6DF4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данным ОКБ МиГ это было в октябре.</w:t>
      </w:r>
    </w:p>
    <w:p w14:paraId="1E37D8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постановил:</w:t>
      </w:r>
    </w:p>
    <w:p w14:paraId="5F891B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Обязать НКАП - директора завода 1 П.В.Дементьева и ГК А.И.М.:</w:t>
      </w:r>
    </w:p>
    <w:p w14:paraId="29FA0B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спроектировать и построить 3 экз. самолетов с моторами АМ-37 и предъявить на гос. испытания:</w:t>
      </w:r>
    </w:p>
    <w:p w14:paraId="788DD4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- 1 августа 1941</w:t>
      </w:r>
    </w:p>
    <w:p w14:paraId="740B61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- 1 сентября 1941</w:t>
      </w:r>
    </w:p>
    <w:p w14:paraId="73A4EF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3-й - 1 ноября 1941 (1274).</w:t>
      </w:r>
    </w:p>
    <w:p w14:paraId="198EAD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 следующими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3780"/>
      </w:tblGrid>
      <w:tr w:rsidR="00983732" w:rsidRPr="00A3026E" w14:paraId="3B1DBA38" w14:textId="77777777" w:rsidTr="00EA0DA7">
        <w:tc>
          <w:tcPr>
            <w:tcW w:w="3798" w:type="dxa"/>
            <w:tcBorders>
              <w:top w:val="single" w:sz="12" w:space="0" w:color="auto"/>
            </w:tcBorders>
          </w:tcPr>
          <w:p w14:paraId="11A7F6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макс. скорость</w:t>
            </w:r>
          </w:p>
        </w:tc>
        <w:tc>
          <w:tcPr>
            <w:tcW w:w="3780" w:type="dxa"/>
            <w:tcBorders>
              <w:top w:val="single" w:sz="12" w:space="0" w:color="auto"/>
            </w:tcBorders>
          </w:tcPr>
          <w:p w14:paraId="73AFD2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635 км/час;</w:t>
            </w:r>
          </w:p>
        </w:tc>
      </w:tr>
      <w:tr w:rsidR="00983732" w:rsidRPr="00A3026E" w14:paraId="56D60F80" w14:textId="77777777" w:rsidTr="00EA0DA7">
        <w:tc>
          <w:tcPr>
            <w:tcW w:w="3798" w:type="dxa"/>
          </w:tcPr>
          <w:p w14:paraId="7E7DDC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посадочная скорость</w:t>
            </w:r>
          </w:p>
        </w:tc>
        <w:tc>
          <w:tcPr>
            <w:tcW w:w="3780" w:type="dxa"/>
          </w:tcPr>
          <w:p w14:paraId="3D6E98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 км/час</w:t>
            </w:r>
          </w:p>
        </w:tc>
      </w:tr>
      <w:tr w:rsidR="00983732" w:rsidRPr="00A3026E" w14:paraId="7AC77FCE" w14:textId="77777777" w:rsidTr="00EA0DA7">
        <w:tc>
          <w:tcPr>
            <w:tcW w:w="3798" w:type="dxa"/>
          </w:tcPr>
          <w:p w14:paraId="6D1D84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дальность на 0.8 макс.</w:t>
            </w:r>
          </w:p>
        </w:tc>
        <w:tc>
          <w:tcPr>
            <w:tcW w:w="3780" w:type="dxa"/>
          </w:tcPr>
          <w:p w14:paraId="20731A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 км</w:t>
            </w:r>
          </w:p>
        </w:tc>
      </w:tr>
      <w:tr w:rsidR="00983732" w:rsidRPr="00A3026E" w14:paraId="40CB7E3E" w14:textId="77777777" w:rsidTr="00EA0DA7">
        <w:tc>
          <w:tcPr>
            <w:tcW w:w="3798" w:type="dxa"/>
            <w:tcBorders>
              <w:bottom w:val="single" w:sz="12" w:space="0" w:color="auto"/>
            </w:tcBorders>
          </w:tcPr>
          <w:p w14:paraId="527F05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практ. Потолок</w:t>
            </w:r>
          </w:p>
        </w:tc>
        <w:tc>
          <w:tcPr>
            <w:tcW w:w="3780" w:type="dxa"/>
            <w:tcBorders>
              <w:bottom w:val="single" w:sz="12" w:space="0" w:color="auto"/>
            </w:tcBorders>
          </w:tcPr>
          <w:p w14:paraId="6DF3E6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11000 м</w:t>
            </w:r>
          </w:p>
        </w:tc>
      </w:tr>
    </w:tbl>
    <w:p w14:paraId="59B6EE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59DF3C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Батарея в 4 ШКАС с 1200 патронов на каждый</w:t>
      </w:r>
    </w:p>
    <w:p w14:paraId="6429BB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2 БС с 550 патронами на каждый</w:t>
      </w:r>
    </w:p>
    <w:p w14:paraId="2FFFC1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Одна пушка Я.Г.Таубина калибром 23 мм</w:t>
      </w:r>
    </w:p>
    <w:p w14:paraId="01C0CE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 в счет нагрузки:</w:t>
      </w:r>
    </w:p>
    <w:p w14:paraId="5CCAD0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бомба или торпеда в 1000 кг или 2 по 500 кг на наружной подвеске (1274).</w:t>
      </w:r>
    </w:p>
    <w:p w14:paraId="6BA3835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AF351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вышло постановление КО N 430сс "О создании самолета ДИС" в 3-х экземплярах с 2хАМ-37. 1-й экз. - к 01.08.1941, 2-го - к 01.09.192, 3-го - к 01.10.1941 на заводе 1 НКАП (822).</w:t>
      </w:r>
    </w:p>
    <w:p w14:paraId="6378C6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 Правительства План опытного стро-ва, утвержденный Правительством 25 ноября 1940 № 480 (или 380)</w:t>
      </w:r>
    </w:p>
    <w:p w14:paraId="2B6E61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самолета - одноместный двухмоторный истребитель одноместный совповождения</w:t>
      </w:r>
    </w:p>
    <w:p w14:paraId="44933E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мотора - АМ-37</w:t>
      </w:r>
    </w:p>
    <w:p w14:paraId="5FCA4E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изготовления - Срок предъявления на госиспытания:</w:t>
      </w:r>
    </w:p>
    <w:p w14:paraId="6F38B4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 - 1.8.41 г.</w:t>
      </w:r>
    </w:p>
    <w:p w14:paraId="6D6472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экз. - 1.9.41 г.</w:t>
      </w:r>
    </w:p>
    <w:p w14:paraId="4176FD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3-й экз. - 1.11.41 г.</w:t>
      </w:r>
    </w:p>
    <w:p w14:paraId="0CEE20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 НКАП</w:t>
      </w:r>
    </w:p>
    <w:p w14:paraId="26533C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Особеннгости, указанные постановлением Правительства СССР: - Построить с-т ДИС-200 (МиГ-5) в 3-х экз.</w:t>
      </w:r>
    </w:p>
    <w:p w14:paraId="6240E7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 - 635 км/час</w:t>
      </w:r>
    </w:p>
    <w:p w14:paraId="6EFFE5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 посадочная - 126 км/час</w:t>
      </w:r>
    </w:p>
    <w:p w14:paraId="6A15A6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0,8 макс. - 2000 км</w:t>
      </w:r>
    </w:p>
    <w:p w14:paraId="5B9D1A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- 11000</w:t>
      </w:r>
    </w:p>
    <w:p w14:paraId="3505E8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3EB018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Батарею 4хШКАС по 1200 патронов на каждый</w:t>
      </w:r>
    </w:p>
    <w:p w14:paraId="04982D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2хБС с емкостью патронов 550 шт. на каждый</w:t>
      </w:r>
    </w:p>
    <w:p w14:paraId="5D1D16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1х23 мм (Таубина)</w:t>
      </w:r>
    </w:p>
    <w:p w14:paraId="3FE585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 в счет перегрузки - 1000 кг</w:t>
      </w:r>
    </w:p>
    <w:p w14:paraId="63326C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Торпеда 1000 кг или 2х500 бомб (990,2).</w:t>
      </w:r>
    </w:p>
    <w:p w14:paraId="2068401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E3042B9"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25 ноября 1940 вышло </w:t>
      </w:r>
      <w:r w:rsidRPr="00A3026E">
        <w:rPr>
          <w:rFonts w:ascii="Times New Roman" w:hAnsi="Times New Roman"/>
          <w:color w:val="0070C0"/>
          <w:sz w:val="16"/>
          <w:szCs w:val="16"/>
          <w:shd w:val="clear" w:color="auto" w:fill="FFFFFF"/>
        </w:rPr>
        <w:t>Постановление Политбюро ЦК ВКП(б) "Об истребителе конструкции тов. Микояна" (пр. № 23/23-оп за 22 ноября - 13 декабря 1940 г., п. 70)</w:t>
      </w:r>
    </w:p>
    <w:p w14:paraId="1C7CB1B0"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70.- Об истребителе конструкции тов. Микояна.</w:t>
      </w:r>
    </w:p>
    <w:p w14:paraId="76B977CA"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Утвердить следующее решение К.О.:</w:t>
      </w:r>
    </w:p>
    <w:p w14:paraId="44356BD4"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"Комитет Обороны при Совете Народных Комиссаров Союза ССР постановляет:</w:t>
      </w:r>
    </w:p>
    <w:p w14:paraId="50769023"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НКАП - директора завода № 1 тов. Дементьева П.В и главного конструктора тов. Микояна А.И.:</w:t>
      </w:r>
    </w:p>
    <w:p w14:paraId="6F846CAC"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спроектировать и построить 3 экземпляра самолета с моторами АМ-37 и пред"явить на государственные испытания:</w:t>
      </w:r>
    </w:p>
    <w:p w14:paraId="4649FA25"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w:t>
      </w:r>
      <w:r w:rsidRPr="00A3026E">
        <w:rPr>
          <w:rFonts w:ascii="Times New Roman" w:hAnsi="Times New Roman"/>
          <w:color w:val="0070C0"/>
          <w:sz w:val="16"/>
          <w:szCs w:val="16"/>
        </w:rPr>
        <w:tab/>
        <w:t>1-й экземпляр - 1 августа 1941 года</w:t>
      </w:r>
    </w:p>
    <w:p w14:paraId="1F0E3A6E"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2-й экземпляр - 1 сентября 1941 года</w:t>
      </w:r>
    </w:p>
    <w:p w14:paraId="7FE45165"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3-й экземпляр - 1 ноября 1941 года со следующими летно-тактическими данными: </w:t>
      </w:r>
    </w:p>
    <w:p w14:paraId="75137BCF"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Максимальная скорость</w:t>
      </w:r>
      <w:r w:rsidRPr="00A3026E">
        <w:rPr>
          <w:rFonts w:ascii="Times New Roman" w:hAnsi="Times New Roman"/>
          <w:color w:val="0070C0"/>
          <w:sz w:val="16"/>
          <w:szCs w:val="16"/>
        </w:rPr>
        <w:tab/>
        <w:t>635 км/ч</w:t>
      </w:r>
    </w:p>
    <w:p w14:paraId="0781B89A"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Посадочная скорость с применением посадочных приспособлений</w:t>
      </w:r>
      <w:r w:rsidRPr="00A3026E">
        <w:rPr>
          <w:rFonts w:ascii="Times New Roman" w:hAnsi="Times New Roman"/>
          <w:color w:val="0070C0"/>
          <w:sz w:val="16"/>
          <w:szCs w:val="16"/>
        </w:rPr>
        <w:tab/>
        <w:t>125 км/ч</w:t>
      </w:r>
    </w:p>
    <w:p w14:paraId="16939DED"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Дальность на 0,8 максимальной ско</w:t>
      </w:r>
      <w:r w:rsidRPr="00A3026E">
        <w:rPr>
          <w:rFonts w:ascii="Times New Roman" w:hAnsi="Times New Roman"/>
          <w:color w:val="0070C0"/>
          <w:sz w:val="16"/>
          <w:szCs w:val="16"/>
        </w:rPr>
        <w:softHyphen/>
        <w:t>рости</w:t>
      </w:r>
      <w:r w:rsidRPr="00A3026E">
        <w:rPr>
          <w:rFonts w:ascii="Times New Roman" w:hAnsi="Times New Roman"/>
          <w:color w:val="0070C0"/>
          <w:sz w:val="16"/>
          <w:szCs w:val="16"/>
        </w:rPr>
        <w:tab/>
      </w:r>
      <w:r w:rsidRPr="00A3026E">
        <w:rPr>
          <w:rFonts w:ascii="Times New Roman" w:hAnsi="Times New Roman"/>
          <w:color w:val="0070C0"/>
          <w:sz w:val="16"/>
          <w:szCs w:val="16"/>
        </w:rPr>
        <w:tab/>
        <w:t xml:space="preserve"> 2000 км</w:t>
      </w:r>
    </w:p>
    <w:p w14:paraId="381E467E"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Практический потолок </w:t>
      </w:r>
      <w:r w:rsidRPr="00A3026E">
        <w:rPr>
          <w:rFonts w:ascii="Times New Roman" w:hAnsi="Times New Roman"/>
          <w:color w:val="0070C0"/>
          <w:sz w:val="16"/>
          <w:szCs w:val="16"/>
        </w:rPr>
        <w:tab/>
        <w:t>11000 м</w:t>
      </w:r>
    </w:p>
    <w:p w14:paraId="7C832EDB"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Вооружение: 1) Батарея в четыре пулемета Шкас с емкостью патронных ящиков по 1200 штук на каж</w:t>
      </w:r>
      <w:r w:rsidRPr="00A3026E">
        <w:rPr>
          <w:rFonts w:ascii="Times New Roman" w:hAnsi="Times New Roman"/>
          <w:color w:val="0070C0"/>
          <w:sz w:val="16"/>
          <w:szCs w:val="16"/>
        </w:rPr>
        <w:softHyphen/>
        <w:t>дый пулемет.</w:t>
      </w:r>
    </w:p>
    <w:p w14:paraId="4FA974A7"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Два пулемета БС с емкостью патронных ящиков по 550 штук но пулемет.</w:t>
      </w:r>
    </w:p>
    <w:p w14:paraId="32ED167E"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0дна пушка конструкции Таубина калибром 23 мм.</w:t>
      </w:r>
    </w:p>
    <w:p w14:paraId="4C84A1DC"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Бомбовая нагрузка в счет перегрузки: бомба или торпеда в 1000 кгр. или 2 шт. по 500 кг. на наружной подвеске</w:t>
      </w:r>
    </w:p>
    <w:p w14:paraId="174256B5"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Обязать НКФ выделить НКАП (заводу № 1) из резервного фонда Совета Народных Комиссаров Союза ССР на постройку и испытание 3-х экземпляров самолетов с моторами АМ-37 - 12.500.000 рублей.</w:t>
      </w:r>
    </w:p>
    <w:p w14:paraId="670512CD"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В целях поощрения конструкторов, инженерно-техниче</w:t>
      </w:r>
      <w:r w:rsidRPr="00A3026E">
        <w:rPr>
          <w:rFonts w:ascii="Times New Roman" w:hAnsi="Times New Roman"/>
          <w:color w:val="0070C0"/>
          <w:sz w:val="16"/>
          <w:szCs w:val="16"/>
        </w:rPr>
        <w:softHyphen/>
        <w:t>ских работников и рабочих завода № 1 за выполнение указан</w:t>
      </w:r>
      <w:r w:rsidRPr="00A3026E">
        <w:rPr>
          <w:rFonts w:ascii="Times New Roman" w:hAnsi="Times New Roman"/>
          <w:color w:val="0070C0"/>
          <w:sz w:val="16"/>
          <w:szCs w:val="16"/>
        </w:rPr>
        <w:softHyphen/>
        <w:t>ного задания в срок, выделить в распоряжение Народного Комиссара Авиационной промышленности премиальный фонд:за первый экземпляр - 1.000.000 рублей  и за второй экземпляр -</w:t>
      </w:r>
      <w:r w:rsidRPr="00A3026E">
        <w:rPr>
          <w:rFonts w:ascii="Times New Roman" w:hAnsi="Times New Roman"/>
          <w:color w:val="0070C0"/>
          <w:sz w:val="16"/>
          <w:szCs w:val="16"/>
        </w:rPr>
        <w:tab/>
        <w:t>500.000 рублей.</w:t>
      </w:r>
    </w:p>
    <w:p w14:paraId="48AF3364"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Выписки посланы: т.т. Шахурину, Пугаеву (22079).</w:t>
      </w:r>
    </w:p>
    <w:p w14:paraId="045352E8" w14:textId="77777777" w:rsidR="00DE412A" w:rsidRPr="00A3026E" w:rsidRDefault="00DE412A" w:rsidP="00A3026E">
      <w:pPr>
        <w:spacing w:after="0" w:line="240" w:lineRule="auto"/>
        <w:jc w:val="both"/>
        <w:rPr>
          <w:rFonts w:ascii="Times New Roman" w:hAnsi="Times New Roman"/>
          <w:color w:val="0070C0"/>
          <w:sz w:val="16"/>
          <w:szCs w:val="16"/>
        </w:rPr>
      </w:pPr>
    </w:p>
    <w:p w14:paraId="5A6F4E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года Решением Политбюро ЦК ВКП(б) № П 23 / 70 - ОП «Об истребителе конструкции тов. Микояна» утверждалось соответству</w:t>
      </w:r>
      <w:r w:rsidRPr="00A3026E">
        <w:rPr>
          <w:rFonts w:ascii="Times New Roman" w:hAnsi="Times New Roman"/>
          <w:color w:val="000000" w:themeColor="text1"/>
          <w:sz w:val="16"/>
          <w:szCs w:val="16"/>
        </w:rPr>
        <w:softHyphen/>
        <w:t>ющее решение КО: Дементьев и Микоян обязывались спроектировать и построить 3 экземпляра самолета с моторами АМ-37 со следующими пара</w:t>
      </w:r>
      <w:r w:rsidRPr="00A3026E">
        <w:rPr>
          <w:rFonts w:ascii="Times New Roman" w:hAnsi="Times New Roman"/>
          <w:color w:val="000000" w:themeColor="text1"/>
          <w:sz w:val="16"/>
          <w:szCs w:val="16"/>
        </w:rPr>
        <w:softHyphen/>
        <w:t>метрами: максимальная скорость - 635 км/час, дальность полета на 0,8 мак</w:t>
      </w:r>
      <w:r w:rsidRPr="00A3026E">
        <w:rPr>
          <w:rFonts w:ascii="Times New Roman" w:hAnsi="Times New Roman"/>
          <w:color w:val="000000" w:themeColor="text1"/>
          <w:sz w:val="16"/>
          <w:szCs w:val="16"/>
        </w:rPr>
        <w:softHyphen/>
        <w:t>симальной скорости - 2000 км. Самым примечательным обстоятельством было вооружение самолета: «Бомбовая нагрузка в счет перегрузки: бомба или торпеда в 1000 кгр». Первый экземпляр должен был быть предъявлен на госиспытания к 1 августа 1941 года (РГАСПИ. Ф. 17. Оп. 162. Д 30. Л. 56-57.). Заметим, что речь шла не о специ</w:t>
      </w:r>
      <w:r w:rsidRPr="00A3026E">
        <w:rPr>
          <w:rFonts w:ascii="Times New Roman" w:hAnsi="Times New Roman"/>
          <w:color w:val="000000" w:themeColor="text1"/>
          <w:sz w:val="16"/>
          <w:szCs w:val="16"/>
        </w:rPr>
        <w:softHyphen/>
        <w:t>ализированном торпедоносце, а о массовом истребителе, который, тем не менее, должен был обладать особыми качествами с целью применения его против кораблей и судов предполагаемого противника. А еще ранее были оговорены условия быстрой смены производственной программы заво</w:t>
      </w:r>
      <w:r w:rsidRPr="00A3026E">
        <w:rPr>
          <w:rFonts w:ascii="Times New Roman" w:hAnsi="Times New Roman"/>
          <w:color w:val="000000" w:themeColor="text1"/>
          <w:sz w:val="16"/>
          <w:szCs w:val="16"/>
        </w:rPr>
        <w:softHyphen/>
        <w:t>да № 1 сразу же после создания новой машины. Решением Политбюро ЦК ВКП(б) № П 21 / 46 - ОП от 2 октября 1940 года было утверждено Постанов</w:t>
      </w:r>
      <w:r w:rsidRPr="00A3026E">
        <w:rPr>
          <w:rFonts w:ascii="Times New Roman" w:hAnsi="Times New Roman"/>
          <w:color w:val="000000" w:themeColor="text1"/>
          <w:sz w:val="16"/>
          <w:szCs w:val="16"/>
        </w:rPr>
        <w:softHyphen/>
        <w:t>ление СНК СССР и ЦК ВКП(б) «Об увеличении дальностей истребителей и постановке их производства на заводах». Им, в частности, предписывалось «после окончания государственных испытаний двухмоторного истребите</w:t>
      </w:r>
      <w:r w:rsidRPr="00A3026E">
        <w:rPr>
          <w:rFonts w:ascii="Times New Roman" w:hAnsi="Times New Roman"/>
          <w:color w:val="000000" w:themeColor="text1"/>
          <w:sz w:val="16"/>
          <w:szCs w:val="16"/>
        </w:rPr>
        <w:softHyphen/>
        <w:t>ля ДИС-200 конструкторов тт. Микояна А.И. и Гуревича М.И. прекратить на заводе № 1 производство И-200 и перейти на производство двухмоторно</w:t>
      </w:r>
      <w:r w:rsidRPr="00A3026E">
        <w:rPr>
          <w:rFonts w:ascii="Times New Roman" w:hAnsi="Times New Roman"/>
          <w:color w:val="000000" w:themeColor="text1"/>
          <w:sz w:val="16"/>
          <w:szCs w:val="16"/>
        </w:rPr>
        <w:softHyphen/>
        <w:t xml:space="preserve">го истребителя ДИС-200, при этом переходный период от одного самолета к другому ограничить 2 месяцами» (РГАСПИ. Ф. </w:t>
      </w:r>
      <w:r w:rsidRPr="00A3026E">
        <w:rPr>
          <w:rFonts w:ascii="Times New Roman" w:hAnsi="Times New Roman"/>
          <w:color w:val="000000" w:themeColor="text1"/>
          <w:sz w:val="16"/>
          <w:szCs w:val="16"/>
        </w:rPr>
        <w:lastRenderedPageBreak/>
        <w:t>17. Оп. 162. Д 29. Л. 125.). Таким образом, массовый высотный перехватчик МиГ-3 по плану сменялся в серии дальним истребителем, мо</w:t>
      </w:r>
      <w:r w:rsidRPr="00A3026E">
        <w:rPr>
          <w:rFonts w:ascii="Times New Roman" w:hAnsi="Times New Roman"/>
          <w:color w:val="000000" w:themeColor="text1"/>
          <w:sz w:val="16"/>
          <w:szCs w:val="16"/>
        </w:rPr>
        <w:softHyphen/>
        <w:t>гущим нести торпедное вооружение. Вряд ли стоит сомневаться, что в ус</w:t>
      </w:r>
      <w:r w:rsidRPr="00A3026E">
        <w:rPr>
          <w:rFonts w:ascii="Times New Roman" w:hAnsi="Times New Roman"/>
          <w:color w:val="000000" w:themeColor="text1"/>
          <w:sz w:val="16"/>
          <w:szCs w:val="16"/>
        </w:rPr>
        <w:softHyphen/>
        <w:t>ловиях континентальной войны с Германией применение ДИС-200 в такой конфигурации было бы весьма специфично, в первую очередь - из-за огра</w:t>
      </w:r>
      <w:r w:rsidRPr="00A3026E">
        <w:rPr>
          <w:rFonts w:ascii="Times New Roman" w:hAnsi="Times New Roman"/>
          <w:color w:val="000000" w:themeColor="text1"/>
          <w:sz w:val="16"/>
          <w:szCs w:val="16"/>
        </w:rPr>
        <w:softHyphen/>
        <w:t>ниченного наличия соответствующих целей.</w:t>
      </w:r>
    </w:p>
    <w:p w14:paraId="7B1616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этом же ряду - приоритет производства авиационных вооружений для борьбы с морскими целями - находится и решение о мероприятиях по рас</w:t>
      </w:r>
      <w:r w:rsidRPr="00A3026E">
        <w:rPr>
          <w:rFonts w:ascii="Times New Roman" w:hAnsi="Times New Roman"/>
          <w:color w:val="000000" w:themeColor="text1"/>
          <w:sz w:val="16"/>
          <w:szCs w:val="16"/>
        </w:rPr>
        <w:softHyphen/>
        <w:t>ширению выпуска крупных бронебойных бомб. Решением Политбюро ЦК ВКП(б) № П 30 / 51 - ОП от 4 апреля 1941 года было утверждено Постанов</w:t>
      </w:r>
      <w:r w:rsidRPr="00A3026E">
        <w:rPr>
          <w:rFonts w:ascii="Times New Roman" w:hAnsi="Times New Roman"/>
          <w:color w:val="000000" w:themeColor="text1"/>
          <w:sz w:val="16"/>
          <w:szCs w:val="16"/>
        </w:rPr>
        <w:softHyphen/>
        <w:t>ление СНК СССР и ЦК ВКП(б) «Об авиационном бомбовом вооружении», в котором обращалось внимание на «крупные недостатки в бомбовом воору</w:t>
      </w:r>
      <w:r w:rsidRPr="00A3026E">
        <w:rPr>
          <w:rFonts w:ascii="Times New Roman" w:hAnsi="Times New Roman"/>
          <w:color w:val="000000" w:themeColor="text1"/>
          <w:sz w:val="16"/>
          <w:szCs w:val="16"/>
        </w:rPr>
        <w:softHyphen/>
        <w:t>жении военно-воздушных сил». В Постановлении, в частности, отмечалось, что «в производстве и на вооружении военно-воздушных сил Красной армии крайне недостаточно крупных бомб», в числе которых назывались БРАБ-500 и БРАВ-1000, несмотря на то, что эти бомбы являлись основными в бронебой</w:t>
      </w:r>
      <w:r w:rsidRPr="00A3026E">
        <w:rPr>
          <w:rFonts w:ascii="Times New Roman" w:hAnsi="Times New Roman"/>
          <w:color w:val="000000" w:themeColor="text1"/>
          <w:sz w:val="16"/>
          <w:szCs w:val="16"/>
        </w:rPr>
        <w:softHyphen/>
        <w:t>ной группе бомб. Согласно Приложению к П. 11 Пост. СНК и ЦК от 4 апреля за № П 30/51 (ОП) к ранее утвержденному плану, в частности, предписывалось обязать Наркомат боеприпасов выпустить дополнительно для НКО и НКВМФ в 1941 году 700 авиабомб БРАВ-1000 (в том числе 600 для ВВС РККА и 100 для авиации НКВМФ). С учетом того, что на советско-германской границе не существовало аналогов ни линии Мажино, ни даже линии Маннергейма, а ориентацию на доктрину уничтожения с воздуха крупными бронебойными боеприпасами основных кораблей германского флота можно отбросить как ирреальную, можно сделать только один вывод - о подготовке к боевым дейс</w:t>
      </w:r>
      <w:r w:rsidRPr="00A3026E">
        <w:rPr>
          <w:rFonts w:ascii="Times New Roman" w:hAnsi="Times New Roman"/>
          <w:color w:val="000000" w:themeColor="text1"/>
          <w:sz w:val="16"/>
          <w:szCs w:val="16"/>
        </w:rPr>
        <w:softHyphen/>
        <w:t>твиям против страны или группы стран, которые располагали значительными силами мощных надводных кораблей (11710,328).</w:t>
      </w:r>
    </w:p>
    <w:p w14:paraId="197A0C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A44A0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вышло постановление КО N 431сс "О создании самолета ТИС" на заводе N 51 НКАП" (414,32). 1-й экз. - к 01.11.1941, 2-й - к 01.10.1941, 3-1 - к 01.12.1941 на заводах 84, 51 и 1 (822).</w:t>
      </w:r>
    </w:p>
    <w:p w14:paraId="35D82B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постановляет:</w:t>
      </w:r>
    </w:p>
    <w:p w14:paraId="41177A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НКАП - директор и ГК завода 51 Н.Н.П.:</w:t>
      </w:r>
    </w:p>
    <w:p w14:paraId="3CC929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Спроектировать и построить три летных экз. самолета ТИС, двухмоторный, двухместный тяжелый истребитель сопровождения с двумя моторами М-37 и предъявить на гос. испытания:</w:t>
      </w:r>
    </w:p>
    <w:p w14:paraId="0C47A6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- 1 сентября 1941</w:t>
      </w:r>
    </w:p>
    <w:p w14:paraId="33CD22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- 1 октября 1941</w:t>
      </w:r>
    </w:p>
    <w:p w14:paraId="5FA4DF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3-й - 1 декабря 1941 (1274).</w:t>
      </w:r>
    </w:p>
    <w:p w14:paraId="53230D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 следующими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3780"/>
      </w:tblGrid>
      <w:tr w:rsidR="00983732" w:rsidRPr="00A3026E" w14:paraId="059EB461" w14:textId="77777777" w:rsidTr="00EA0DA7">
        <w:tc>
          <w:tcPr>
            <w:tcW w:w="3798" w:type="dxa"/>
            <w:tcBorders>
              <w:top w:val="single" w:sz="12" w:space="0" w:color="auto"/>
            </w:tcBorders>
          </w:tcPr>
          <w:p w14:paraId="02BD8F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макс. скорость на 7000 м</w:t>
            </w:r>
          </w:p>
        </w:tc>
        <w:tc>
          <w:tcPr>
            <w:tcW w:w="3780" w:type="dxa"/>
            <w:tcBorders>
              <w:top w:val="single" w:sz="12" w:space="0" w:color="auto"/>
            </w:tcBorders>
          </w:tcPr>
          <w:p w14:paraId="3D3DC4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 км/час;</w:t>
            </w:r>
          </w:p>
        </w:tc>
      </w:tr>
      <w:tr w:rsidR="00983732" w:rsidRPr="00A3026E" w14:paraId="687652D8" w14:textId="77777777" w:rsidTr="00EA0DA7">
        <w:tc>
          <w:tcPr>
            <w:tcW w:w="3798" w:type="dxa"/>
          </w:tcPr>
          <w:p w14:paraId="347AB1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посадочная скорость</w:t>
            </w:r>
          </w:p>
        </w:tc>
        <w:tc>
          <w:tcPr>
            <w:tcW w:w="3780" w:type="dxa"/>
          </w:tcPr>
          <w:p w14:paraId="61FE00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 км/час</w:t>
            </w:r>
          </w:p>
        </w:tc>
      </w:tr>
      <w:tr w:rsidR="00983732" w:rsidRPr="00A3026E" w14:paraId="1E923348" w14:textId="77777777" w:rsidTr="00EA0DA7">
        <w:tc>
          <w:tcPr>
            <w:tcW w:w="3798" w:type="dxa"/>
          </w:tcPr>
          <w:p w14:paraId="1E5525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дальность на 0.8 макс.</w:t>
            </w:r>
          </w:p>
        </w:tc>
        <w:tc>
          <w:tcPr>
            <w:tcW w:w="3780" w:type="dxa"/>
          </w:tcPr>
          <w:p w14:paraId="437946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 км</w:t>
            </w:r>
          </w:p>
        </w:tc>
      </w:tr>
      <w:tr w:rsidR="00983732" w:rsidRPr="00A3026E" w14:paraId="71661DD2" w14:textId="77777777" w:rsidTr="00EA0DA7">
        <w:tc>
          <w:tcPr>
            <w:tcW w:w="3798" w:type="dxa"/>
            <w:tcBorders>
              <w:bottom w:val="single" w:sz="12" w:space="0" w:color="auto"/>
            </w:tcBorders>
          </w:tcPr>
          <w:p w14:paraId="69C60D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практ. Потолок</w:t>
            </w:r>
          </w:p>
        </w:tc>
        <w:tc>
          <w:tcPr>
            <w:tcW w:w="3780" w:type="dxa"/>
            <w:tcBorders>
              <w:bottom w:val="single" w:sz="12" w:space="0" w:color="auto"/>
            </w:tcBorders>
          </w:tcPr>
          <w:p w14:paraId="6DEE7E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11000 м</w:t>
            </w:r>
          </w:p>
        </w:tc>
      </w:tr>
    </w:tbl>
    <w:p w14:paraId="7592F9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227C5E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Носовая батарея в 4 ШКАС с 1100 патронов на каждый</w:t>
      </w:r>
    </w:p>
    <w:p w14:paraId="1837C6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2 ШВАК 20 мм с 350 патронами на каждую</w:t>
      </w:r>
    </w:p>
    <w:p w14:paraId="2EC0C7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2 БС с 400 патронами на каждый</w:t>
      </w:r>
    </w:p>
    <w:p w14:paraId="34ABC5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Верхняя шкворневая установка ШКАС с 1000 патронами</w:t>
      </w:r>
    </w:p>
    <w:p w14:paraId="3CC652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Нижняя люковая установка ШКАС с 500 патронами</w:t>
      </w:r>
    </w:p>
    <w:p w14:paraId="1F4A17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 в счет нагрузки:</w:t>
      </w:r>
    </w:p>
    <w:p w14:paraId="787297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бомба или торпеда в 1000 кг или 2 по 500 кг на наружной подвеске (1274).</w:t>
      </w:r>
    </w:p>
    <w:p w14:paraId="5F3C4B2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5F3C87E"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25 ноября 1940 вышло </w:t>
      </w:r>
      <w:r w:rsidRPr="00A3026E">
        <w:rPr>
          <w:rFonts w:ascii="Times New Roman" w:hAnsi="Times New Roman"/>
          <w:color w:val="0070C0"/>
          <w:sz w:val="16"/>
          <w:szCs w:val="16"/>
          <w:shd w:val="clear" w:color="auto" w:fill="FFFFFF"/>
        </w:rPr>
        <w:t>Постановление Политбюро ЦК ВКП(б) "Об истребителе конструкции тов. Поликарпова" (пр. № 23/23-оп за 22 ноября - 13 декабря 1940 г., п. 69)</w:t>
      </w:r>
    </w:p>
    <w:p w14:paraId="645F52E7"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69.- Об истребителе конструкции тов.Поликарпова.</w:t>
      </w:r>
    </w:p>
    <w:p w14:paraId="37FC4C8C"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Утвердить следующее решение К.О.:</w:t>
      </w:r>
    </w:p>
    <w:p w14:paraId="65116E86"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"Комитет Оборони при СНК СССР постановляет:</w:t>
      </w:r>
    </w:p>
    <w:p w14:paraId="68C9F873"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НКАП - директора и главного конструктора завода № 51 тов.Поликарпова Н.П.:</w:t>
      </w:r>
    </w:p>
    <w:p w14:paraId="274D3197"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спроектировать и построить 3 летных экземпляра са</w:t>
      </w:r>
      <w:r w:rsidRPr="00A3026E">
        <w:rPr>
          <w:rFonts w:ascii="Times New Roman" w:hAnsi="Times New Roman"/>
          <w:color w:val="0070C0"/>
          <w:sz w:val="16"/>
          <w:szCs w:val="16"/>
        </w:rPr>
        <w:softHyphen/>
        <w:t>молета "ТИС", двухмоторный двухместный тяжелый истребитель сопровождения с моторами АМ-37 и предъявить на государствен</w:t>
      </w:r>
      <w:r w:rsidRPr="00A3026E">
        <w:rPr>
          <w:rFonts w:ascii="Times New Roman" w:hAnsi="Times New Roman"/>
          <w:color w:val="0070C0"/>
          <w:sz w:val="16"/>
          <w:szCs w:val="16"/>
        </w:rPr>
        <w:softHyphen/>
        <w:t>ные испытания</w:t>
      </w:r>
    </w:p>
    <w:p w14:paraId="57743137"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1-й экземпляр</w:t>
      </w:r>
      <w:r w:rsidRPr="00A3026E">
        <w:rPr>
          <w:rFonts w:ascii="Times New Roman" w:hAnsi="Times New Roman"/>
          <w:color w:val="0070C0"/>
          <w:sz w:val="16"/>
          <w:szCs w:val="16"/>
        </w:rPr>
        <w:tab/>
        <w:t>-</w:t>
      </w:r>
      <w:r w:rsidRPr="00A3026E">
        <w:rPr>
          <w:rFonts w:ascii="Times New Roman" w:hAnsi="Times New Roman"/>
          <w:color w:val="0070C0"/>
          <w:sz w:val="16"/>
          <w:szCs w:val="16"/>
        </w:rPr>
        <w:tab/>
        <w:t>1</w:t>
      </w:r>
      <w:r w:rsidRPr="00A3026E">
        <w:rPr>
          <w:rFonts w:ascii="Times New Roman" w:hAnsi="Times New Roman"/>
          <w:color w:val="0070C0"/>
          <w:sz w:val="16"/>
          <w:szCs w:val="16"/>
        </w:rPr>
        <w:tab/>
        <w:t>сентября</w:t>
      </w:r>
      <w:r w:rsidRPr="00A3026E">
        <w:rPr>
          <w:rFonts w:ascii="Times New Roman" w:hAnsi="Times New Roman"/>
          <w:color w:val="0070C0"/>
          <w:sz w:val="16"/>
          <w:szCs w:val="16"/>
        </w:rPr>
        <w:tab/>
        <w:t>1941</w:t>
      </w:r>
      <w:r w:rsidRPr="00A3026E">
        <w:rPr>
          <w:rFonts w:ascii="Times New Roman" w:hAnsi="Times New Roman"/>
          <w:color w:val="0070C0"/>
          <w:sz w:val="16"/>
          <w:szCs w:val="16"/>
        </w:rPr>
        <w:tab/>
        <w:t>года</w:t>
      </w:r>
    </w:p>
    <w:p w14:paraId="1F90F023"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2-й экземпляр</w:t>
      </w:r>
      <w:r w:rsidRPr="00A3026E">
        <w:rPr>
          <w:rFonts w:ascii="Times New Roman" w:hAnsi="Times New Roman"/>
          <w:color w:val="0070C0"/>
          <w:sz w:val="16"/>
          <w:szCs w:val="16"/>
        </w:rPr>
        <w:tab/>
        <w:t>-</w:t>
      </w:r>
      <w:r w:rsidRPr="00A3026E">
        <w:rPr>
          <w:rFonts w:ascii="Times New Roman" w:hAnsi="Times New Roman"/>
          <w:color w:val="0070C0"/>
          <w:sz w:val="16"/>
          <w:szCs w:val="16"/>
        </w:rPr>
        <w:tab/>
        <w:t>1</w:t>
      </w:r>
      <w:r w:rsidRPr="00A3026E">
        <w:rPr>
          <w:rFonts w:ascii="Times New Roman" w:hAnsi="Times New Roman"/>
          <w:color w:val="0070C0"/>
          <w:sz w:val="16"/>
          <w:szCs w:val="16"/>
        </w:rPr>
        <w:tab/>
        <w:t>октября</w:t>
      </w:r>
      <w:r w:rsidRPr="00A3026E">
        <w:rPr>
          <w:rFonts w:ascii="Times New Roman" w:hAnsi="Times New Roman"/>
          <w:color w:val="0070C0"/>
          <w:sz w:val="16"/>
          <w:szCs w:val="16"/>
        </w:rPr>
        <w:tab/>
        <w:t>1941</w:t>
      </w:r>
      <w:r w:rsidRPr="00A3026E">
        <w:rPr>
          <w:rFonts w:ascii="Times New Roman" w:hAnsi="Times New Roman"/>
          <w:color w:val="0070C0"/>
          <w:sz w:val="16"/>
          <w:szCs w:val="16"/>
        </w:rPr>
        <w:tab/>
        <w:t>года</w:t>
      </w:r>
    </w:p>
    <w:p w14:paraId="16592A70"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3-й экземпляр</w:t>
      </w:r>
      <w:r w:rsidRPr="00A3026E">
        <w:rPr>
          <w:rFonts w:ascii="Times New Roman" w:hAnsi="Times New Roman"/>
          <w:color w:val="0070C0"/>
          <w:sz w:val="16"/>
          <w:szCs w:val="16"/>
        </w:rPr>
        <w:tab/>
        <w:t>-</w:t>
      </w:r>
      <w:r w:rsidRPr="00A3026E">
        <w:rPr>
          <w:rFonts w:ascii="Times New Roman" w:hAnsi="Times New Roman"/>
          <w:color w:val="0070C0"/>
          <w:sz w:val="16"/>
          <w:szCs w:val="16"/>
        </w:rPr>
        <w:tab/>
        <w:t>1</w:t>
      </w:r>
      <w:r w:rsidRPr="00A3026E">
        <w:rPr>
          <w:rFonts w:ascii="Times New Roman" w:hAnsi="Times New Roman"/>
          <w:color w:val="0070C0"/>
          <w:sz w:val="16"/>
          <w:szCs w:val="16"/>
        </w:rPr>
        <w:tab/>
        <w:t>декабря</w:t>
      </w:r>
      <w:r w:rsidRPr="00A3026E">
        <w:rPr>
          <w:rFonts w:ascii="Times New Roman" w:hAnsi="Times New Roman"/>
          <w:color w:val="0070C0"/>
          <w:sz w:val="16"/>
          <w:szCs w:val="16"/>
        </w:rPr>
        <w:tab/>
        <w:t>1941</w:t>
      </w:r>
      <w:r w:rsidRPr="00A3026E">
        <w:rPr>
          <w:rFonts w:ascii="Times New Roman" w:hAnsi="Times New Roman"/>
          <w:color w:val="0070C0"/>
          <w:sz w:val="16"/>
          <w:szCs w:val="16"/>
        </w:rPr>
        <w:tab/>
        <w:t>года</w:t>
      </w:r>
    </w:p>
    <w:p w14:paraId="75BDB53E"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 следующими летно-тактическими данными:</w:t>
      </w:r>
    </w:p>
    <w:p w14:paraId="09DF1253"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Максимальная скорость на высоте 7000 мт. - 530 км/ч</w:t>
      </w:r>
    </w:p>
    <w:p w14:paraId="4DCEA4F0"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Посадочная скорость с применением посадочных приспособлений</w:t>
      </w:r>
      <w:r w:rsidRPr="00A3026E">
        <w:rPr>
          <w:rFonts w:ascii="Times New Roman" w:hAnsi="Times New Roman"/>
          <w:color w:val="0070C0"/>
          <w:sz w:val="16"/>
          <w:szCs w:val="16"/>
        </w:rPr>
        <w:tab/>
        <w:t xml:space="preserve"> -</w:t>
      </w:r>
      <w:r w:rsidRPr="00A3026E">
        <w:rPr>
          <w:rFonts w:ascii="Times New Roman" w:hAnsi="Times New Roman"/>
          <w:color w:val="0070C0"/>
          <w:sz w:val="16"/>
          <w:szCs w:val="16"/>
        </w:rPr>
        <w:tab/>
        <w:t>135-140</w:t>
      </w:r>
    </w:p>
    <w:p w14:paraId="0B9A5A2A"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Дальность на 0,8 максимальной скорости -</w:t>
      </w:r>
      <w:r w:rsidRPr="00A3026E">
        <w:rPr>
          <w:rFonts w:ascii="Times New Roman" w:hAnsi="Times New Roman"/>
          <w:color w:val="0070C0"/>
          <w:sz w:val="16"/>
          <w:szCs w:val="16"/>
        </w:rPr>
        <w:tab/>
        <w:t>2000 км.</w:t>
      </w:r>
    </w:p>
    <w:p w14:paraId="3B81C1F8"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Практический потолок</w:t>
      </w:r>
      <w:r w:rsidRPr="00A3026E">
        <w:rPr>
          <w:rFonts w:ascii="Times New Roman" w:hAnsi="Times New Roman"/>
          <w:color w:val="0070C0"/>
          <w:sz w:val="16"/>
          <w:szCs w:val="16"/>
        </w:rPr>
        <w:tab/>
        <w:t xml:space="preserve"> -</w:t>
      </w:r>
      <w:r w:rsidRPr="00A3026E">
        <w:rPr>
          <w:rFonts w:ascii="Times New Roman" w:hAnsi="Times New Roman"/>
          <w:color w:val="0070C0"/>
          <w:sz w:val="16"/>
          <w:szCs w:val="16"/>
        </w:rPr>
        <w:tab/>
        <w:t>11000 мт.</w:t>
      </w:r>
    </w:p>
    <w:p w14:paraId="7BFB1038"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Вооружение: 1) носовая батарея в четыре</w:t>
      </w:r>
    </w:p>
    <w:p w14:paraId="69AA3F55"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пулемета Шкас с емкостью патронных ящиков по 1100</w:t>
      </w:r>
    </w:p>
    <w:p w14:paraId="434C9DFC"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патрон на каждый пулемет.</w:t>
      </w:r>
    </w:p>
    <w:p w14:paraId="6D559AEB"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Две пушки Швак калибра</w:t>
      </w:r>
    </w:p>
    <w:p w14:paraId="0825296D"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 мм. с емкостью патронных ящиков по 350 патрон на каждый пулемет.</w:t>
      </w:r>
    </w:p>
    <w:p w14:paraId="14B2FE69"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Два крупнокалиберных</w:t>
      </w:r>
    </w:p>
    <w:p w14:paraId="31D6C462"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(12,7'мм) пулемета Березина с емкость»; патронных ящи</w:t>
      </w:r>
      <w:r w:rsidRPr="00A3026E">
        <w:rPr>
          <w:rFonts w:ascii="Times New Roman" w:hAnsi="Times New Roman"/>
          <w:color w:val="0070C0"/>
          <w:sz w:val="16"/>
          <w:szCs w:val="16"/>
        </w:rPr>
        <w:softHyphen/>
        <w:t>ков по 400 патрон на каждый пулемет.</w:t>
      </w:r>
    </w:p>
    <w:p w14:paraId="1738ACF6"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Верхняя шкворневая установ</w:t>
      </w:r>
      <w:r w:rsidRPr="00A3026E">
        <w:rPr>
          <w:rFonts w:ascii="Times New Roman" w:hAnsi="Times New Roman"/>
          <w:color w:val="0070C0"/>
          <w:sz w:val="16"/>
          <w:szCs w:val="16"/>
        </w:rPr>
        <w:softHyphen/>
        <w:t>ка пулемета П1кас с 1000 патронами.</w:t>
      </w:r>
    </w:p>
    <w:p w14:paraId="7450062C"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Нижняя люковая установка пулемета Цкас с 500 пат</w:t>
      </w:r>
      <w:r w:rsidRPr="00A3026E">
        <w:rPr>
          <w:rFonts w:ascii="Times New Roman" w:hAnsi="Times New Roman"/>
          <w:color w:val="0070C0"/>
          <w:sz w:val="16"/>
          <w:szCs w:val="16"/>
        </w:rPr>
        <w:softHyphen/>
        <w:t>ронами.</w:t>
      </w:r>
    </w:p>
    <w:p w14:paraId="3D09B7A7"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Бомбовая нагрузка в счет перегрузки: одна бомба в1000 кг. или две бомбы по 500 кг. или более мелкие бомбы на наружной подвеске под фюзеляжем.</w:t>
      </w:r>
    </w:p>
    <w:p w14:paraId="38D74A46"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Обязать Народного Комиссара Авиационной промышленности привлечь к постройке указанных самолетов завод № 1 (директор тов.Дементьев) и завод № 84 (директор т.Ярунин).</w:t>
      </w:r>
    </w:p>
    <w:p w14:paraId="364939A5"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Обязать НКФ выделить НКАП (заводу № 1) из резервно</w:t>
      </w:r>
      <w:r w:rsidRPr="00A3026E">
        <w:rPr>
          <w:rFonts w:ascii="Times New Roman" w:hAnsi="Times New Roman"/>
          <w:color w:val="0070C0"/>
          <w:sz w:val="16"/>
          <w:szCs w:val="16"/>
        </w:rPr>
        <w:softHyphen/>
        <w:t>го фонда Совета Народных Комиссаров СССР на постройку и испытание 3-х экземпляров самолетов с моторами АМ-37 и од</w:t>
      </w:r>
      <w:r w:rsidRPr="00A3026E">
        <w:rPr>
          <w:rFonts w:ascii="Times New Roman" w:hAnsi="Times New Roman"/>
          <w:color w:val="0070C0"/>
          <w:sz w:val="16"/>
          <w:szCs w:val="16"/>
        </w:rPr>
        <w:softHyphen/>
        <w:t>ного экземпляра для статических испытании - 13.000.000 рублей</w:t>
      </w:r>
    </w:p>
    <w:p w14:paraId="32353D18"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В целях поощрения конструкторов, инженерно-технических работников и рабочих завода № 1 за выполнение указан</w:t>
      </w:r>
      <w:r w:rsidRPr="00A3026E">
        <w:rPr>
          <w:rFonts w:ascii="Times New Roman" w:hAnsi="Times New Roman"/>
          <w:color w:val="0070C0"/>
          <w:sz w:val="16"/>
          <w:szCs w:val="16"/>
        </w:rPr>
        <w:softHyphen/>
        <w:t>ного постановления в срок, выделить в распоряжение Народного Ко</w:t>
      </w:r>
      <w:r w:rsidRPr="00A3026E">
        <w:rPr>
          <w:rFonts w:ascii="Times New Roman" w:hAnsi="Times New Roman"/>
          <w:color w:val="0070C0"/>
          <w:sz w:val="16"/>
          <w:szCs w:val="16"/>
        </w:rPr>
        <w:softHyphen/>
        <w:t>миссаре Авиационной промышленности премиальный фонд.</w:t>
      </w:r>
    </w:p>
    <w:p w14:paraId="3F758681"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 первый экземпляр - 1.000.000 рублей за второй экземпляр -</w:t>
      </w:r>
      <w:r w:rsidRPr="00A3026E">
        <w:rPr>
          <w:rFonts w:ascii="Times New Roman" w:hAnsi="Times New Roman"/>
          <w:color w:val="0070C0"/>
          <w:sz w:val="16"/>
          <w:szCs w:val="16"/>
        </w:rPr>
        <w:tab/>
        <w:t>500.000 рублей.</w:t>
      </w:r>
    </w:p>
    <w:p w14:paraId="1AB5D2F7"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Bыnиски посланы: т.т. Шахурину, Пугаеву (22079).</w:t>
      </w:r>
    </w:p>
    <w:p w14:paraId="4C6B07E0" w14:textId="77777777" w:rsidR="00DE412A" w:rsidRPr="00A3026E" w:rsidRDefault="00DE412A" w:rsidP="00A3026E">
      <w:pPr>
        <w:spacing w:after="0" w:line="240" w:lineRule="auto"/>
        <w:jc w:val="both"/>
        <w:rPr>
          <w:rFonts w:ascii="Times New Roman" w:hAnsi="Times New Roman"/>
          <w:color w:val="0070C0"/>
          <w:sz w:val="16"/>
          <w:szCs w:val="16"/>
        </w:rPr>
      </w:pPr>
    </w:p>
    <w:p w14:paraId="271CC7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 вышло Постановление Комитета Обороны 29 ноября 1940 г. был выпущен Приказ НКАП «О создании самолета «ТИС» на заводе № 51» (9649).</w:t>
      </w:r>
    </w:p>
    <w:p w14:paraId="1622390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9F1E8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 согласно Постановлению Комитета Обороны СССР и соответствующему приказу НКАП от 29 ноября постройку самолета ТИС в трех экземпля</w:t>
      </w:r>
      <w:r w:rsidRPr="00A3026E">
        <w:rPr>
          <w:rFonts w:ascii="Times New Roman" w:hAnsi="Times New Roman"/>
          <w:color w:val="000000" w:themeColor="text1"/>
          <w:sz w:val="16"/>
          <w:szCs w:val="16"/>
        </w:rPr>
        <w:softHyphen/>
        <w:t>рах включили в план опытного строительства на 1941 г. Так как опытный завод № 51 еще не имел достаточно развитого производства, Поликарпов организовал коо</w:t>
      </w:r>
      <w:r w:rsidRPr="00A3026E">
        <w:rPr>
          <w:rFonts w:ascii="Times New Roman" w:hAnsi="Times New Roman"/>
          <w:color w:val="000000" w:themeColor="text1"/>
          <w:sz w:val="16"/>
          <w:szCs w:val="16"/>
        </w:rPr>
        <w:softHyphen/>
        <w:t>перацию с рядом других предприятий. Например, кон</w:t>
      </w:r>
      <w:r w:rsidRPr="00A3026E">
        <w:rPr>
          <w:rFonts w:ascii="Times New Roman" w:hAnsi="Times New Roman"/>
          <w:color w:val="000000" w:themeColor="text1"/>
          <w:sz w:val="16"/>
          <w:szCs w:val="16"/>
        </w:rPr>
        <w:softHyphen/>
        <w:t>соли крыла изготавливал завод № 84, шасси - завод № 167. Первый экземпляр ТИС с пушками ШВАК пост</w:t>
      </w:r>
      <w:r w:rsidRPr="00A3026E">
        <w:rPr>
          <w:rFonts w:ascii="Times New Roman" w:hAnsi="Times New Roman"/>
          <w:color w:val="000000" w:themeColor="text1"/>
          <w:sz w:val="16"/>
          <w:szCs w:val="16"/>
        </w:rPr>
        <w:softHyphen/>
        <w:t>роили 15 марта 1941 г. (10667).</w:t>
      </w:r>
    </w:p>
    <w:p w14:paraId="1069C55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4C550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года постановление № 431сс КО</w:t>
      </w:r>
    </w:p>
    <w:p w14:paraId="60A00F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создании самолета ТИС на заводе № 51 НКАП</w:t>
      </w:r>
    </w:p>
    <w:p w14:paraId="778EEB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постановляет:</w:t>
      </w:r>
    </w:p>
    <w:p w14:paraId="40F9245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НКАП, директора и гл. конструктора завода № 51 Поликарпова Н.Н.:</w:t>
      </w:r>
    </w:p>
    <w:p w14:paraId="30F3E3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а) спроектировать и построить 3 летных экземпляра самолета "ТИС", двухмоторный двухместный тяжелый истребитель сопровождения с двумя моторами АМ-37 и предъявить на госиспытания:</w:t>
      </w:r>
    </w:p>
    <w:p w14:paraId="1771C4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 1 сентября 1941 года</w:t>
      </w:r>
    </w:p>
    <w:p w14:paraId="0281CC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экземпляр – 1 октября 1941 года</w:t>
      </w:r>
    </w:p>
    <w:p w14:paraId="48856B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третий экземпляр – 1 декабря 1941 года</w:t>
      </w:r>
    </w:p>
    <w:p w14:paraId="4172175B" w14:textId="77777777" w:rsidR="00C66762" w:rsidRPr="00A3026E" w:rsidRDefault="00C66762" w:rsidP="00A3026E">
      <w:pPr>
        <w:pStyle w:val="22"/>
        <w:widowControl/>
        <w:rPr>
          <w:color w:val="000000" w:themeColor="text1"/>
        </w:rPr>
      </w:pPr>
      <w:r w:rsidRPr="00A3026E">
        <w:rPr>
          <w:color w:val="000000" w:themeColor="text1"/>
        </w:rPr>
        <w:t>со следующими летно-техническими данными:</w:t>
      </w:r>
    </w:p>
    <w:p w14:paraId="50F6D9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7000 м – 630 км/час</w:t>
      </w:r>
    </w:p>
    <w:p w14:paraId="28F921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с применением посадочных приспособлений – 135-140 км/час</w:t>
      </w:r>
    </w:p>
    <w:p w14:paraId="789650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 – 11000 м</w:t>
      </w:r>
    </w:p>
    <w:p w14:paraId="399AC6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0,8 максимальной скорости - 2000 км</w:t>
      </w:r>
    </w:p>
    <w:p w14:paraId="01C740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Вооружение: </w:t>
      </w:r>
    </w:p>
    <w:p w14:paraId="53F930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носовая батарея в четыре пулемета Шкасс с емкостью патронных ящиков по 1100 штук на каждый пулемет</w:t>
      </w:r>
    </w:p>
    <w:p w14:paraId="19D954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две пушки Швак калибра 20 мм с емкостью патронных ящиков по 350 патронов на каждую пушку</w:t>
      </w:r>
    </w:p>
    <w:p w14:paraId="4182BD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крупнокалиберных (12,7 мм) пулемета Березина с емкостью патронных ящиков по 400 патронов на каждый пулемет</w:t>
      </w:r>
    </w:p>
    <w:p w14:paraId="4FA4EB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верхняя шкворневая установка пулемета Шкас с 1000 патронами</w:t>
      </w:r>
    </w:p>
    <w:p w14:paraId="04EA32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нижняя люковая установка пулемета Шкас с 500 патронами</w:t>
      </w:r>
    </w:p>
    <w:p w14:paraId="27AB1A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 в счет перегрузки: одна бомба в 1000 кг или две бомбы по 500 кг или более мелкие бомбы на наружной подвеске под фюзеляжем</w:t>
      </w:r>
    </w:p>
    <w:p w14:paraId="6A3191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обязать нарокма авиапрома привлечь к постройке указанных самолетов завод № 1 (директор Дементьев) и завод № 84 (директор Ярунин) (7611, 254-255).</w:t>
      </w:r>
    </w:p>
    <w:p w14:paraId="0AA5155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A2F4433" w14:textId="77777777" w:rsidR="0043631F" w:rsidRPr="00A3026E" w:rsidRDefault="0043631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 постановлением Комитета Обороны при СНК СССР Поликарпову давалось задание на постройку 3-х экземпляров двухмоторного тя</w:t>
      </w:r>
      <w:r w:rsidRPr="00A3026E">
        <w:rPr>
          <w:rFonts w:ascii="Times New Roman" w:hAnsi="Times New Roman"/>
          <w:color w:val="000000" w:themeColor="text1"/>
          <w:sz w:val="16"/>
          <w:szCs w:val="16"/>
        </w:rPr>
        <w:softHyphen/>
        <w:t>жёлого истребителя сопровождения «ТИС» с 2АМ-37. Срок представления 1-го экз. — к 1 .</w:t>
      </w:r>
      <w:r w:rsidRPr="00A3026E">
        <w:rPr>
          <w:rFonts w:ascii="Times New Roman" w:hAnsi="Times New Roman"/>
          <w:color w:val="000000" w:themeColor="text1"/>
          <w:sz w:val="16"/>
          <w:szCs w:val="16"/>
          <w:lang w:val="en-US"/>
        </w:rPr>
        <w:t>IX</w:t>
      </w:r>
      <w:r w:rsidRPr="00A3026E">
        <w:rPr>
          <w:rFonts w:ascii="Times New Roman" w:hAnsi="Times New Roman"/>
          <w:color w:val="000000" w:themeColor="text1"/>
          <w:sz w:val="16"/>
          <w:szCs w:val="16"/>
        </w:rPr>
        <w:t>.41 г.; 2-го экз. — к 1 .Х.41 г.; 3-го экз. — к 1 .</w:t>
      </w:r>
      <w:r w:rsidRPr="00A3026E">
        <w:rPr>
          <w:rFonts w:ascii="Times New Roman" w:hAnsi="Times New Roman"/>
          <w:color w:val="000000" w:themeColor="text1"/>
          <w:sz w:val="16"/>
          <w:szCs w:val="16"/>
          <w:lang w:val="en-US"/>
        </w:rPr>
        <w:t>XII</w:t>
      </w:r>
      <w:r w:rsidRPr="00A3026E">
        <w:rPr>
          <w:rFonts w:ascii="Times New Roman" w:hAnsi="Times New Roman"/>
          <w:color w:val="000000" w:themeColor="text1"/>
          <w:sz w:val="16"/>
          <w:szCs w:val="16"/>
        </w:rPr>
        <w:t>.41 г. Начались работы по истребите</w:t>
      </w:r>
      <w:r w:rsidRPr="00A3026E">
        <w:rPr>
          <w:rFonts w:ascii="Times New Roman" w:hAnsi="Times New Roman"/>
          <w:color w:val="000000" w:themeColor="text1"/>
          <w:sz w:val="16"/>
          <w:szCs w:val="16"/>
        </w:rPr>
        <w:softHyphen/>
        <w:t>лю ИТП с мотором жидкостного охлаждения, планерам. Для уполовиненного коллектива, находящегося на неполностью развернутом заводе, этого было более чем достаточно.</w:t>
      </w:r>
    </w:p>
    <w:p w14:paraId="025843D4" w14:textId="77777777" w:rsidR="0043631F" w:rsidRPr="00A3026E" w:rsidRDefault="0043631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тем временем постепенно оформлялся. Началось строительство нового здания КБ по проекту архитектора Жолтовского (15804).</w:t>
      </w:r>
    </w:p>
    <w:p w14:paraId="0F2ED3B1" w14:textId="77777777" w:rsidR="0043631F" w:rsidRPr="00A3026E" w:rsidRDefault="0043631F" w:rsidP="00A3026E">
      <w:pPr>
        <w:spacing w:after="0" w:line="240" w:lineRule="auto"/>
        <w:jc w:val="both"/>
        <w:rPr>
          <w:rFonts w:ascii="Times New Roman" w:hAnsi="Times New Roman"/>
          <w:color w:val="000000" w:themeColor="text1"/>
          <w:sz w:val="16"/>
          <w:szCs w:val="16"/>
        </w:rPr>
      </w:pPr>
    </w:p>
    <w:p w14:paraId="127BDF35" w14:textId="77777777" w:rsidR="0043631F" w:rsidRPr="00A3026E" w:rsidRDefault="0043631F"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25 ноября 1940 г. вышло постановление Комитета Оборо</w:t>
      </w:r>
      <w:r w:rsidRPr="00A3026E">
        <w:rPr>
          <w:rFonts w:ascii="Times New Roman" w:cs="Times New Roman"/>
          <w:color w:val="000000" w:themeColor="text1"/>
          <w:spacing w:val="0"/>
        </w:rPr>
        <w:softHyphen/>
        <w:t>ны при СНК СССР «О создании самоле</w:t>
      </w:r>
      <w:r w:rsidRPr="00A3026E">
        <w:rPr>
          <w:rFonts w:ascii="Times New Roman" w:cs="Times New Roman"/>
          <w:color w:val="000000" w:themeColor="text1"/>
          <w:spacing w:val="0"/>
        </w:rPr>
        <w:softHyphen/>
        <w:t>та «ТИС» на заводе №51». Соответству</w:t>
      </w:r>
      <w:r w:rsidRPr="00A3026E">
        <w:rPr>
          <w:rFonts w:ascii="Times New Roman" w:cs="Times New Roman"/>
          <w:color w:val="000000" w:themeColor="text1"/>
          <w:spacing w:val="0"/>
        </w:rPr>
        <w:softHyphen/>
        <w:t>ющий ему приказ НКАП был подписан 29 ноября.</w:t>
      </w:r>
    </w:p>
    <w:p w14:paraId="352EBDAF" w14:textId="77777777" w:rsidR="0043631F" w:rsidRPr="00A3026E" w:rsidRDefault="0043631F"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Самолет требовалось построить в трех экземплярах и предъявить на го</w:t>
      </w:r>
      <w:r w:rsidRPr="00A3026E">
        <w:rPr>
          <w:rFonts w:ascii="Times New Roman" w:cs="Times New Roman"/>
          <w:color w:val="000000" w:themeColor="text1"/>
          <w:spacing w:val="0"/>
        </w:rPr>
        <w:softHyphen/>
        <w:t>сударственные испытания: 1-й эк</w:t>
      </w:r>
      <w:r w:rsidRPr="00A3026E">
        <w:rPr>
          <w:rFonts w:ascii="Times New Roman" w:cs="Times New Roman"/>
          <w:color w:val="000000" w:themeColor="text1"/>
          <w:spacing w:val="0"/>
        </w:rPr>
        <w:softHyphen/>
        <w:t>земпляр - не позже 1 сентября, 2-й экземпляр - 1 октября, 3-й экземпляр - 1 декабря 1941 г.</w:t>
      </w:r>
    </w:p>
    <w:p w14:paraId="5D2FBCB6" w14:textId="77777777" w:rsidR="0043631F" w:rsidRPr="00A3026E" w:rsidRDefault="0043631F"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Поскольку завод №51 обладал сла</w:t>
      </w:r>
      <w:r w:rsidRPr="00A3026E">
        <w:rPr>
          <w:rFonts w:ascii="Times New Roman" w:cs="Times New Roman"/>
          <w:color w:val="000000" w:themeColor="text1"/>
          <w:spacing w:val="0"/>
        </w:rPr>
        <w:softHyphen/>
        <w:t>бым станочным оборудованием и имел некомплект технологов, то к работам по постройке самолетов привлекались за</w:t>
      </w:r>
      <w:r w:rsidRPr="00A3026E">
        <w:rPr>
          <w:rFonts w:ascii="Times New Roman" w:cs="Times New Roman"/>
          <w:color w:val="000000" w:themeColor="text1"/>
          <w:spacing w:val="0"/>
        </w:rPr>
        <w:softHyphen/>
        <w:t>воды №1 и №84. За организацию этой работы несли персональную ответст</w:t>
      </w:r>
      <w:r w:rsidRPr="00A3026E">
        <w:rPr>
          <w:rFonts w:ascii="Times New Roman" w:cs="Times New Roman"/>
          <w:color w:val="000000" w:themeColor="text1"/>
          <w:spacing w:val="0"/>
        </w:rPr>
        <w:softHyphen/>
        <w:t>венность заместители наркома П.А. Во</w:t>
      </w:r>
      <w:r w:rsidRPr="00A3026E">
        <w:rPr>
          <w:rFonts w:ascii="Times New Roman" w:cs="Times New Roman"/>
          <w:color w:val="000000" w:themeColor="text1"/>
          <w:spacing w:val="0"/>
        </w:rPr>
        <w:softHyphen/>
        <w:t>ронин и А.С. Яковлев. Одновременно от</w:t>
      </w:r>
      <w:r w:rsidRPr="00A3026E">
        <w:rPr>
          <w:rFonts w:ascii="Times New Roman" w:cs="Times New Roman"/>
          <w:color w:val="000000" w:themeColor="text1"/>
          <w:spacing w:val="0"/>
        </w:rPr>
        <w:softHyphen/>
        <w:t>крывалось финансирование в объеме 13500 тыс. рублей (15755).</w:t>
      </w:r>
    </w:p>
    <w:p w14:paraId="0B677FAA" w14:textId="77777777" w:rsidR="0043631F" w:rsidRPr="00A3026E" w:rsidRDefault="0043631F" w:rsidP="00A3026E">
      <w:pPr>
        <w:pStyle w:val="26"/>
        <w:shd w:val="clear" w:color="auto" w:fill="auto"/>
        <w:spacing w:after="0" w:line="240" w:lineRule="auto"/>
        <w:ind w:firstLine="0"/>
        <w:rPr>
          <w:rFonts w:ascii="Times New Roman" w:cs="Times New Roman"/>
          <w:color w:val="000000" w:themeColor="text1"/>
          <w:spacing w:val="0"/>
        </w:rPr>
      </w:pPr>
    </w:p>
    <w:p w14:paraId="1C9965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года начальник 2 отдела 6 управления ГУ ВВС бригинженер Пискунов писал письмо № 502900с</w:t>
      </w:r>
    </w:p>
    <w:p w14:paraId="43DDFA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дальности полета самолета И-16 с М63 И-153 с М62 – с подвесными бензобаками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1276"/>
        <w:gridCol w:w="1248"/>
        <w:gridCol w:w="1247"/>
        <w:gridCol w:w="1203"/>
        <w:gridCol w:w="1204"/>
        <w:gridCol w:w="1338"/>
      </w:tblGrid>
      <w:tr w:rsidR="00983732" w:rsidRPr="00A3026E" w14:paraId="37C091F1" w14:textId="77777777" w:rsidTr="00EA0DA7">
        <w:tc>
          <w:tcPr>
            <w:tcW w:w="1526" w:type="dxa"/>
          </w:tcPr>
          <w:p w14:paraId="35DF24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самолета</w:t>
            </w:r>
          </w:p>
        </w:tc>
        <w:tc>
          <w:tcPr>
            <w:tcW w:w="1276" w:type="dxa"/>
          </w:tcPr>
          <w:p w14:paraId="4C9046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мотора</w:t>
            </w:r>
          </w:p>
        </w:tc>
        <w:tc>
          <w:tcPr>
            <w:tcW w:w="1248" w:type="dxa"/>
          </w:tcPr>
          <w:p w14:paraId="55F78F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1247" w:type="dxa"/>
          </w:tcPr>
          <w:p w14:paraId="153E0B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Количество горючего</w:t>
            </w:r>
          </w:p>
        </w:tc>
        <w:tc>
          <w:tcPr>
            <w:tcW w:w="1203" w:type="dxa"/>
          </w:tcPr>
          <w:p w14:paraId="08574A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 метров полета</w:t>
            </w:r>
          </w:p>
        </w:tc>
        <w:tc>
          <w:tcPr>
            <w:tcW w:w="1204" w:type="dxa"/>
          </w:tcPr>
          <w:p w14:paraId="17C976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км/час – об/мин.</w:t>
            </w:r>
          </w:p>
        </w:tc>
        <w:tc>
          <w:tcPr>
            <w:tcW w:w="1338" w:type="dxa"/>
          </w:tcPr>
          <w:p w14:paraId="26CD94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w:t>
            </w:r>
          </w:p>
        </w:tc>
      </w:tr>
      <w:tr w:rsidR="00983732" w:rsidRPr="00A3026E" w14:paraId="50C528F4" w14:textId="77777777" w:rsidTr="00EA0DA7">
        <w:tc>
          <w:tcPr>
            <w:tcW w:w="1526" w:type="dxa"/>
          </w:tcPr>
          <w:p w14:paraId="71AB97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w:t>
            </w:r>
          </w:p>
        </w:tc>
        <w:tc>
          <w:tcPr>
            <w:tcW w:w="1276" w:type="dxa"/>
          </w:tcPr>
          <w:p w14:paraId="5ED478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c>
          <w:tcPr>
            <w:tcW w:w="1248" w:type="dxa"/>
          </w:tcPr>
          <w:p w14:paraId="1829A6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2070</w:t>
            </w:r>
          </w:p>
        </w:tc>
        <w:tc>
          <w:tcPr>
            <w:tcW w:w="1247" w:type="dxa"/>
          </w:tcPr>
          <w:p w14:paraId="10F02D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tc>
        <w:tc>
          <w:tcPr>
            <w:tcW w:w="1203" w:type="dxa"/>
          </w:tcPr>
          <w:p w14:paraId="691283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4400</w:t>
            </w:r>
          </w:p>
        </w:tc>
        <w:tc>
          <w:tcPr>
            <w:tcW w:w="1204" w:type="dxa"/>
          </w:tcPr>
          <w:p w14:paraId="063F36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342-2080</w:t>
            </w:r>
          </w:p>
        </w:tc>
        <w:tc>
          <w:tcPr>
            <w:tcW w:w="1338" w:type="dxa"/>
          </w:tcPr>
          <w:p w14:paraId="4218E9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669</w:t>
            </w:r>
          </w:p>
        </w:tc>
      </w:tr>
      <w:tr w:rsidR="00983732" w:rsidRPr="00A3026E" w14:paraId="154CEF1F" w14:textId="77777777" w:rsidTr="00EA0DA7">
        <w:tc>
          <w:tcPr>
            <w:tcW w:w="1526" w:type="dxa"/>
          </w:tcPr>
          <w:p w14:paraId="36C10B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w:t>
            </w:r>
          </w:p>
        </w:tc>
        <w:tc>
          <w:tcPr>
            <w:tcW w:w="1276" w:type="dxa"/>
          </w:tcPr>
          <w:p w14:paraId="26D7BF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c>
          <w:tcPr>
            <w:tcW w:w="1248" w:type="dxa"/>
          </w:tcPr>
          <w:p w14:paraId="3DE13E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c>
          <w:tcPr>
            <w:tcW w:w="1247" w:type="dxa"/>
          </w:tcPr>
          <w:p w14:paraId="052272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tc>
        <w:tc>
          <w:tcPr>
            <w:tcW w:w="1203" w:type="dxa"/>
          </w:tcPr>
          <w:p w14:paraId="159F61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6500</w:t>
            </w:r>
          </w:p>
        </w:tc>
        <w:tc>
          <w:tcPr>
            <w:tcW w:w="1204" w:type="dxa"/>
          </w:tcPr>
          <w:p w14:paraId="1E7B04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c>
          <w:tcPr>
            <w:tcW w:w="1338" w:type="dxa"/>
          </w:tcPr>
          <w:p w14:paraId="705559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w:t>
            </w:r>
          </w:p>
        </w:tc>
      </w:tr>
      <w:tr w:rsidR="00983732" w:rsidRPr="00A3026E" w14:paraId="271AC0C4" w14:textId="77777777" w:rsidTr="00EA0DA7">
        <w:tc>
          <w:tcPr>
            <w:tcW w:w="1526" w:type="dxa"/>
          </w:tcPr>
          <w:p w14:paraId="437E45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И-153</w:t>
            </w:r>
          </w:p>
        </w:tc>
        <w:tc>
          <w:tcPr>
            <w:tcW w:w="1276" w:type="dxa"/>
          </w:tcPr>
          <w:p w14:paraId="5E3217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c>
          <w:tcPr>
            <w:tcW w:w="1248" w:type="dxa"/>
          </w:tcPr>
          <w:p w14:paraId="42B710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1930</w:t>
            </w:r>
          </w:p>
        </w:tc>
        <w:tc>
          <w:tcPr>
            <w:tcW w:w="1247" w:type="dxa"/>
          </w:tcPr>
          <w:p w14:paraId="03F143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390</w:t>
            </w:r>
          </w:p>
        </w:tc>
        <w:tc>
          <w:tcPr>
            <w:tcW w:w="1203" w:type="dxa"/>
          </w:tcPr>
          <w:p w14:paraId="59AD18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6650</w:t>
            </w:r>
          </w:p>
        </w:tc>
        <w:tc>
          <w:tcPr>
            <w:tcW w:w="1204" w:type="dxa"/>
          </w:tcPr>
          <w:p w14:paraId="60901B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w:t>
            </w:r>
          </w:p>
        </w:tc>
        <w:tc>
          <w:tcPr>
            <w:tcW w:w="1338" w:type="dxa"/>
          </w:tcPr>
          <w:p w14:paraId="136F12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bl>
    <w:p w14:paraId="4861F1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w:t>
      </w:r>
    </w:p>
    <w:p w14:paraId="707C799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И-16 М62 на дальность не испытывался.</w:t>
      </w:r>
    </w:p>
    <w:p w14:paraId="7251D87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 дальности И-16 М63 и И-153 М62 взяты от начальника штаба НИИ ГУ ВВС и отчета испытания в НИИ ГУ ВВС серийного самолета И-16 типа 28 № 28211-21 (7713, 222).</w:t>
      </w:r>
    </w:p>
    <w:p w14:paraId="48E95C9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613C8C23"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 ноября 1940 вышло Постановление Политбюро ЦК ВКП(б) "О моторах М-71 и М-81 завода № 19" (пр. № 23/23-оп за 22 ноября - 13 декабря 1940 г., п. 68)</w:t>
      </w:r>
    </w:p>
    <w:p w14:paraId="6AD8F899"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25.XI.40г.</w:t>
      </w:r>
    </w:p>
    <w:p w14:paraId="20C5F647"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68.- О моторах М-71 и М-81 завода № 19.</w:t>
      </w:r>
    </w:p>
    <w:p w14:paraId="6585BC76"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 СНК СССР и ЦК ВКП/б/).</w:t>
      </w:r>
    </w:p>
    <w:p w14:paraId="569BDD52"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связи с особой важностью для завода .№ 19 выпуска в 1941 году моторов М-105, согласно установленного правитель</w:t>
      </w:r>
      <w:r w:rsidRPr="00A3026E">
        <w:rPr>
          <w:rFonts w:ascii="Times New Roman" w:hAnsi="Times New Roman"/>
          <w:color w:val="0070C0"/>
          <w:sz w:val="16"/>
          <w:szCs w:val="16"/>
        </w:rPr>
        <w:softHyphen/>
        <w:t>ством плана, ЦК ВКП(б) и СНК СССР, во изменение ранее при</w:t>
      </w:r>
      <w:r w:rsidRPr="00A3026E">
        <w:rPr>
          <w:rFonts w:ascii="Times New Roman" w:hAnsi="Times New Roman"/>
          <w:color w:val="0070C0"/>
          <w:sz w:val="16"/>
          <w:szCs w:val="16"/>
        </w:rPr>
        <w:softHyphen/>
        <w:t>нятых решений по заводу № 19 от 23 октября 1940 года и от 16 ноября 1940 года, постановляют:</w:t>
      </w:r>
    </w:p>
    <w:p w14:paraId="3486868E"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Наркома Авиационной промышленности т.Шахурина, директора завода № 19 тов. Кожевникова и главного конст</w:t>
      </w:r>
      <w:r w:rsidRPr="00A3026E">
        <w:rPr>
          <w:rFonts w:ascii="Times New Roman" w:hAnsi="Times New Roman"/>
          <w:color w:val="0070C0"/>
          <w:sz w:val="16"/>
          <w:szCs w:val="16"/>
        </w:rPr>
        <w:softHyphen/>
        <w:t>руктора завода т. Швецова снять с производства и прекратить опытные работы по мотору М-81.</w:t>
      </w:r>
    </w:p>
    <w:p w14:paraId="27E4C16A"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Обязать главного конструктора завода № 19 тов.Шве</w:t>
      </w:r>
      <w:r w:rsidRPr="00A3026E">
        <w:rPr>
          <w:rFonts w:ascii="Times New Roman" w:hAnsi="Times New Roman"/>
          <w:color w:val="0070C0"/>
          <w:sz w:val="16"/>
          <w:szCs w:val="16"/>
        </w:rPr>
        <w:softHyphen/>
        <w:t>цова и директора завода № 19 тов. Кожевникова в проведении опытных работ сосредоточиться целиком на доводке и скорейшем выпуске мотора М-71 со следующими данными:</w:t>
      </w:r>
    </w:p>
    <w:p w14:paraId="0DDCD275"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взлетная мощность мотора - 2000 л.с.;</w:t>
      </w:r>
    </w:p>
    <w:p w14:paraId="6B8288E6"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номинальная мощность на высоте 4500 метров</w:t>
      </w:r>
      <w:r w:rsidRPr="00A3026E">
        <w:rPr>
          <w:rFonts w:ascii="Times New Roman" w:hAnsi="Times New Roman"/>
          <w:color w:val="0070C0"/>
          <w:sz w:val="16"/>
          <w:szCs w:val="16"/>
        </w:rPr>
        <w:tab/>
        <w:t xml:space="preserve"> - 1650 л.с.;</w:t>
      </w:r>
    </w:p>
    <w:p w14:paraId="09CADAD1"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вес мотора</w:t>
      </w:r>
      <w:r w:rsidRPr="00A3026E">
        <w:rPr>
          <w:rFonts w:ascii="Times New Roman" w:hAnsi="Times New Roman"/>
          <w:color w:val="0070C0"/>
          <w:sz w:val="16"/>
          <w:szCs w:val="16"/>
        </w:rPr>
        <w:tab/>
        <w:t xml:space="preserve"> - 1030 клгр.</w:t>
      </w:r>
    </w:p>
    <w:p w14:paraId="46392FC2"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50-ти часовне испытании мотора М-71 провести в январе месяце 1941 года и 100-часовые государственные испытания в августе месяце 1941 года.</w:t>
      </w:r>
    </w:p>
    <w:p w14:paraId="1AEA0949"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Обязать Наркомфин предусмотреть в плане 1941 года выделение 3.500 тыс. рублей на изготовление, доводку и испы</w:t>
      </w:r>
      <w:r w:rsidRPr="00A3026E">
        <w:rPr>
          <w:rFonts w:ascii="Times New Roman" w:hAnsi="Times New Roman"/>
          <w:color w:val="0070C0"/>
          <w:sz w:val="16"/>
          <w:szCs w:val="16"/>
        </w:rPr>
        <w:softHyphen/>
        <w:t>тании мотора М-71.</w:t>
      </w:r>
    </w:p>
    <w:p w14:paraId="1F72E6E6"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Наркомфину и Паркомавиапрому списать за счет госу</w:t>
      </w:r>
      <w:r w:rsidRPr="00A3026E">
        <w:rPr>
          <w:rFonts w:ascii="Times New Roman" w:hAnsi="Times New Roman"/>
          <w:color w:val="0070C0"/>
          <w:sz w:val="16"/>
          <w:szCs w:val="16"/>
        </w:rPr>
        <w:softHyphen/>
        <w:t>дарства с баланса завода № 19 затраты и потери, связанные с прекращением производства мотора М-81.</w:t>
      </w:r>
    </w:p>
    <w:p w14:paraId="1610D3EF"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Выписки посланы:</w:t>
      </w:r>
    </w:p>
    <w:p w14:paraId="1E9F2B27"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Т.т.Шахурину, Кожевникову, Швецову,</w:t>
      </w:r>
    </w:p>
    <w:p w14:paraId="5B473AE7"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Чадаеву-все; Звереву-3,4 (22079).</w:t>
      </w:r>
    </w:p>
    <w:p w14:paraId="56AB918C" w14:textId="77777777" w:rsidR="00DE412A" w:rsidRPr="00A3026E" w:rsidRDefault="00DE412A" w:rsidP="00A3026E">
      <w:pPr>
        <w:spacing w:after="0" w:line="240" w:lineRule="auto"/>
        <w:jc w:val="both"/>
        <w:rPr>
          <w:rFonts w:ascii="Times New Roman" w:hAnsi="Times New Roman"/>
          <w:color w:val="0070C0"/>
          <w:sz w:val="16"/>
          <w:szCs w:val="16"/>
        </w:rPr>
      </w:pPr>
    </w:p>
    <w:p w14:paraId="3B92CC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вышло постановление правительства N 480, утвердившее план опытного строительства на 1941 (990,2).</w:t>
      </w:r>
    </w:p>
    <w:p w14:paraId="09C4BF4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BEBF4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 по приказу № 687с/069 завод военно-стрелковых приборов № 1 Осоавиахима был передан в подчинение вновь образованному заводу № 451 в качестве филиала № 2 (11982).</w:t>
      </w:r>
    </w:p>
    <w:p w14:paraId="06219B9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25A02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Нач. НИИ ВВС Филин направил в НКАП А.И.Ш. запрос за N 976сс о допуске специалистов НИИ к БОК-15 и машине N 42, но допуск получили лишь 15 и 21 января 1941 (1295,340).</w:t>
      </w:r>
    </w:p>
    <w:p w14:paraId="622B9A9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D589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года начальник НИП АВ ВВС полковник Шевченко утвердил:</w:t>
      </w:r>
    </w:p>
    <w:p w14:paraId="4414C1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о контрольных испытаниях трех валовых пулеметов "БС" калибра 12,7 мм №№ НК19, НК29 и НБ22, предъявленных заводом № 2</w:t>
      </w:r>
    </w:p>
    <w:p w14:paraId="6B60D1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7C59C5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2 ранга Филиппов</w:t>
      </w:r>
    </w:p>
    <w:p w14:paraId="1AEB40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контрольных испытаний</w:t>
      </w:r>
    </w:p>
    <w:p w14:paraId="4E1DED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Стрельбой на земле и в воздухе проверить автоматику и живучесть деталей трех валовых пулеметов "БС" изготовления 1940 года.</w:t>
      </w:r>
    </w:p>
    <w:p w14:paraId="6D2051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BEF14B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Предъявленные заводом № 2 три серийных пулемета "БС" калибра 12,7 мм не обеспечивают установленной ТУ живучести основных деталей:</w:t>
      </w:r>
    </w:p>
    <w:p w14:paraId="6DFB8C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затвора, б) клина, в) корпуса отрывного механизма, г) рычага подачи. Живучесть которых неустойчива.</w:t>
      </w:r>
    </w:p>
    <w:p w14:paraId="66563F4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Необходимо отметить улучшение качества автоматики и живучести серийных пулеметов "БС" изготовления 1940 года в сравнении с серийными пулеметами 1939 года, проходившими контрольный отстрел на НИП АВ ВВС (7434).</w:t>
      </w:r>
    </w:p>
    <w:p w14:paraId="15C6BC0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0428DA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представители НИИИТ, ВИА КА и Штаба ВВС, после исследования изготовленных в ВИАМе образцов новых красок (6-ти глифталевых, 6-ти нитроцеллюлозных и 5-ти казеиновых), составили акт, согласно которому требовалась коррекция светлоты и цветового оттенка некоторых из них. Одновременно было сочтено "необходимым для форсирования введения деформирующей окраски самолетов, представление в ВВС КА уже имеющихся эталонов при одновременной работе ВИАМ над улучшением их согласно указаний данных 25. XI. 1940 г. тов. Чеботаревскому". Разработка постоянных и временных покрытий, которая велась в ВИАМе, затягивалась. По договору она должны была закончиться не позднее 25 октября 1940 г. передачей заказчику (ВВС) рецептур, временных ТУ и технологии изготовления. Позднее окончание темы было перенесено на 25 декабря, а работам придали "опытно-экспериментальный характер", т. е. оплата (45 849 руб.) не зависела от их результата (2771,26).</w:t>
      </w:r>
    </w:p>
    <w:p w14:paraId="2E5CA8A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BFE6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Управляющий 18 Строительно-Монтажным Трестом Шполянским была составлена Справка</w:t>
      </w:r>
    </w:p>
    <w:p w14:paraId="63ECBF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ходе изготовления специального оборудования для пусковых об"ектов Ц А Г И</w:t>
      </w:r>
    </w:p>
    <w:p w14:paraId="0C6D3C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Завод "Электросила имени С.М. КИРОВА НКЭП.</w:t>
      </w:r>
    </w:p>
    <w:p w14:paraId="55C3D4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обязан поставить 18 Строительно-Монтаж. Тресту эл. машины и спец.аггрегаты в соответствии с постановлениями ЦК ВКП(б) И СНК СССР № 130 сс, от 20/У1-38 г. и Экономсовета при СНК СССР № 1479/432с от 27/УШ-40 г.</w:t>
      </w:r>
    </w:p>
    <w:p w14:paraId="54BC2E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1.Мотор 2x2 МП-16 - главный привод скоростной аэродинамической трубы.</w:t>
      </w:r>
    </w:p>
    <w:p w14:paraId="525F5B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Мотор АДВО - 84/2 с агрегатами - для винтового прибора ско</w:t>
      </w:r>
      <w:r w:rsidRPr="00A3026E">
        <w:rPr>
          <w:rFonts w:ascii="Times New Roman" w:hAnsi="Times New Roman"/>
          <w:color w:val="000000" w:themeColor="text1"/>
          <w:sz w:val="16"/>
          <w:szCs w:val="16"/>
        </w:rPr>
        <w:softHyphen/>
        <w:t>ростной трубы.</w:t>
      </w:r>
    </w:p>
    <w:p w14:paraId="2F4C27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Мотоо СМ-3000 - для привода турбокомпрессора скоростной трубы.</w:t>
      </w:r>
    </w:p>
    <w:p w14:paraId="179EDE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Моторы В-255 4 шт. с агрегатами - для кольцевого барьера штопорной трубы.</w:t>
      </w:r>
    </w:p>
    <w:p w14:paraId="44D537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Мотор МПВ-10 с агрегатами - главный привод штопорной трубы.</w:t>
      </w:r>
    </w:p>
    <w:p w14:paraId="42CBC1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не выполнил сроков поставки и по первому и частично по второму постановлениям.</w:t>
      </w:r>
    </w:p>
    <w:p w14:paraId="1DC7F3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сентября 1940 г. заказы ЦАГИ на заводе практически не были запушены в производство за исключением мотора 2x2 МП-10.</w:t>
      </w:r>
    </w:p>
    <w:p w14:paraId="1AE66F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3авод ссылался на отсутствие баббита и немагнитной проволоки.</w:t>
      </w:r>
    </w:p>
    <w:p w14:paraId="1540BF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ускорения поставки нами были приняты меры к поставке заводу этих материалов.</w:t>
      </w:r>
    </w:p>
    <w:p w14:paraId="70103A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получив эти материалы израсходовал их на заказы других организаций.</w:t>
      </w:r>
    </w:p>
    <w:p w14:paraId="399A37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заводом указываются сроки поставки всех машин на декабрь 1940 г., что практически срывает окончание монтажа в текущем году.</w:t>
      </w:r>
    </w:p>
    <w:p w14:paraId="6C4A50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Старо-Краматорский завод им. С. ОРДЖОНИКИДЗЕ НКТМ</w:t>
      </w:r>
    </w:p>
    <w:p w14:paraId="79F8C8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Теми-же решениями, заводу передано проектирование и изготовление специального испытательного пресса на 200 тн. с комплектами динамометра и насоса.</w:t>
      </w:r>
    </w:p>
    <w:p w14:paraId="583118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выполнил проект в начале 1939 года, но не развернул его изготовления.</w:t>
      </w:r>
    </w:p>
    <w:p w14:paraId="6E7F97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окгябое текущего года завод включил его в план выпуска 4-го квартала с/г. и приступил к производству.</w:t>
      </w:r>
    </w:p>
    <w:p w14:paraId="2FF13C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НКТМ утверждая план 4-го квартала исключил этот пресс из поограммы завода чем нарушил и последнее решение правительства о выпуске пресса 15/X1-с/г.</w:t>
      </w:r>
    </w:p>
    <w:p w14:paraId="54A2E8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Ново-Краматорский завод им. СТАЛИНА.</w:t>
      </w:r>
    </w:p>
    <w:p w14:paraId="08C90A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решением ЦК ВКП(б) и СНК СССР № 130сс от 20/6-1938 г. Наркомат машиностроения возложил на ЦНИИШАШ проектирование и изготовление 2-х специальных копров для ис</w:t>
      </w:r>
      <w:r w:rsidRPr="00A3026E">
        <w:rPr>
          <w:rFonts w:ascii="Times New Roman" w:hAnsi="Times New Roman"/>
          <w:color w:val="000000" w:themeColor="text1"/>
          <w:sz w:val="16"/>
          <w:szCs w:val="16"/>
        </w:rPr>
        <w:softHyphen/>
        <w:t>следования авиаконструкций.</w:t>
      </w:r>
    </w:p>
    <w:p w14:paraId="23B186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ЦНИИТМАШ после неоднократных отказов приступил к проектированию, закончив проектирование одного копра во 2-м квартале 1940 г. и затянув окончание проекта второго копра до настоящего времени.</w:t>
      </w:r>
    </w:p>
    <w:p w14:paraId="6C8EAA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моменту окончания проектирования первого копра ЦНИИМАШ вопреки постановлению правительства категорически отказался от изготовления </w:t>
      </w:r>
      <w:r w:rsidRPr="00A3026E">
        <w:rPr>
          <w:rFonts w:ascii="Times New Roman" w:hAnsi="Times New Roman"/>
          <w:smallCaps/>
          <w:color w:val="000000" w:themeColor="text1"/>
          <w:sz w:val="16"/>
          <w:szCs w:val="16"/>
        </w:rPr>
        <w:t xml:space="preserve">копров </w:t>
      </w:r>
      <w:r w:rsidRPr="00A3026E">
        <w:rPr>
          <w:rFonts w:ascii="Times New Roman" w:hAnsi="Times New Roman"/>
          <w:color w:val="000000" w:themeColor="text1"/>
          <w:sz w:val="16"/>
          <w:szCs w:val="16"/>
        </w:rPr>
        <w:t>и фактически ничего не предпринимал для их изготовления.</w:t>
      </w:r>
    </w:p>
    <w:p w14:paraId="382D7D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Ввиду того, что время необходимое для постройки копров было упущено, НКТМ в соответствии с решением Экономсосета № 1479/432с от 27/УШ-40 г. возложил изготовление </w:t>
      </w:r>
      <w:r w:rsidRPr="00A3026E">
        <w:rPr>
          <w:rFonts w:ascii="Times New Roman" w:hAnsi="Times New Roman"/>
          <w:smallCaps/>
          <w:color w:val="000000" w:themeColor="text1"/>
          <w:sz w:val="16"/>
          <w:szCs w:val="16"/>
        </w:rPr>
        <w:t xml:space="preserve">копров </w:t>
      </w:r>
      <w:r w:rsidRPr="00A3026E">
        <w:rPr>
          <w:rFonts w:ascii="Times New Roman" w:hAnsi="Times New Roman"/>
          <w:color w:val="000000" w:themeColor="text1"/>
          <w:sz w:val="16"/>
          <w:szCs w:val="16"/>
        </w:rPr>
        <w:t>на Ново-Краматорский завод со сроком поставки: 15 февраля 1941 г.</w:t>
      </w:r>
    </w:p>
    <w:p w14:paraId="443C35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Завод не принимает к исполнению постановление </w:t>
      </w:r>
      <w:r w:rsidRPr="00A3026E">
        <w:rPr>
          <w:rFonts w:ascii="Times New Roman" w:hAnsi="Times New Roman"/>
          <w:smallCaps/>
          <w:color w:val="000000" w:themeColor="text1"/>
          <w:sz w:val="16"/>
          <w:szCs w:val="16"/>
        </w:rPr>
        <w:t>приводя р</w:t>
      </w:r>
      <w:r w:rsidRPr="00A3026E">
        <w:rPr>
          <w:rFonts w:ascii="Times New Roman" w:hAnsi="Times New Roman"/>
          <w:color w:val="000000" w:themeColor="text1"/>
          <w:sz w:val="16"/>
          <w:szCs w:val="16"/>
        </w:rPr>
        <w:t xml:space="preserve">азноообразные </w:t>
      </w:r>
      <w:r w:rsidRPr="00A3026E">
        <w:rPr>
          <w:rFonts w:ascii="Times New Roman" w:hAnsi="Times New Roman"/>
          <w:smallCaps/>
          <w:color w:val="000000" w:themeColor="text1"/>
          <w:sz w:val="16"/>
          <w:szCs w:val="16"/>
        </w:rPr>
        <w:t>причины в</w:t>
      </w:r>
      <w:r w:rsidRPr="00A3026E">
        <w:rPr>
          <w:rFonts w:ascii="Times New Roman" w:hAnsi="Times New Roman"/>
          <w:color w:val="000000" w:themeColor="text1"/>
          <w:sz w:val="16"/>
          <w:szCs w:val="16"/>
        </w:rPr>
        <w:t>плоть до дефектности проекта без достаточных на то оснований.</w:t>
      </w:r>
    </w:p>
    <w:p w14:paraId="54D701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Последний пункт может легко разрешиться НКТМ, т.к. обе оганиэации ему подведомственны.</w:t>
      </w:r>
    </w:p>
    <w:p w14:paraId="574E58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НКТМ до настоящего времени не </w:t>
      </w:r>
      <w:r w:rsidRPr="00A3026E">
        <w:rPr>
          <w:rFonts w:ascii="Times New Roman" w:hAnsi="Times New Roman"/>
          <w:smallCaps/>
          <w:color w:val="000000" w:themeColor="text1"/>
          <w:sz w:val="16"/>
          <w:szCs w:val="16"/>
        </w:rPr>
        <w:t xml:space="preserve">принял </w:t>
      </w:r>
      <w:r w:rsidRPr="00A3026E">
        <w:rPr>
          <w:rFonts w:ascii="Times New Roman" w:hAnsi="Times New Roman"/>
          <w:color w:val="000000" w:themeColor="text1"/>
          <w:sz w:val="16"/>
          <w:szCs w:val="16"/>
        </w:rPr>
        <w:t>мер к увязке взатимоотношений завода и института по этому заказу.</w:t>
      </w:r>
    </w:p>
    <w:p w14:paraId="739CAE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IУ. Завод БОРЕЦ НКНП.</w:t>
      </w:r>
    </w:p>
    <w:p w14:paraId="5CCFD1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Указанными выше решениями заводу предложено изготовить для ЦАГИ Турбокомпрессор ТК-2, спроектированный тем-же заводом.</w:t>
      </w:r>
    </w:p>
    <w:p w14:paraId="2BB500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Пущенный в 1939 году в производство турбокомпрессор до сентяб 1940 г. продвигался в производстве очень слабо.</w:t>
      </w:r>
    </w:p>
    <w:p w14:paraId="59D9AB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изготовлению машины развернулись необходимыми темпами только в октябре-ноябсе с/г.</w:t>
      </w:r>
    </w:p>
    <w:p w14:paraId="0E9B98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ЦАГИ со своей стороны, идя навстречу заводу взяло на себя изготовление части деталей и литья редукторов.</w:t>
      </w:r>
    </w:p>
    <w:p w14:paraId="022B28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настоящее время нами </w:t>
      </w:r>
      <w:r w:rsidRPr="00A3026E">
        <w:rPr>
          <w:rFonts w:ascii="Times New Roman" w:hAnsi="Times New Roman"/>
          <w:smallCaps/>
          <w:color w:val="000000" w:themeColor="text1"/>
          <w:sz w:val="16"/>
          <w:szCs w:val="16"/>
        </w:rPr>
        <w:t xml:space="preserve">приняты </w:t>
      </w:r>
      <w:r w:rsidRPr="00A3026E">
        <w:rPr>
          <w:rFonts w:ascii="Times New Roman" w:hAnsi="Times New Roman"/>
          <w:color w:val="000000" w:themeColor="text1"/>
          <w:sz w:val="16"/>
          <w:szCs w:val="16"/>
        </w:rPr>
        <w:t>меры к выпуску этих деталей к 10 декабря с/г.</w:t>
      </w:r>
    </w:p>
    <w:p w14:paraId="4CB721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Литье редукторов доставлено на завод в сентябре 1940 г.</w:t>
      </w:r>
    </w:p>
    <w:p w14:paraId="287E46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Зазод им. КАЛИНИНА НКОМ.</w:t>
      </w:r>
    </w:p>
    <w:p w14:paraId="0F5ED6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изготовляет для ЦАГИ центробежные насосы 18 НДС - 2 шт. необходимые для пуска скоростной трубы.</w:t>
      </w:r>
    </w:p>
    <w:p w14:paraId="446513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поставки первого насоса 3 квартал 1940 г. истек и получение насоса ничем не гарантировано.</w:t>
      </w:r>
    </w:p>
    <w:p w14:paraId="74BC53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ссылается на отсутствие приводных моторов.</w:t>
      </w:r>
    </w:p>
    <w:p w14:paraId="77CF10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УI Главэнергомашпром своим решением ЭКОСО при СНК за № 1479/432-с от 27/8-40 года обязал изготовить в Ш-м кв. моторы постоянного тока:</w:t>
      </w:r>
    </w:p>
    <w:p w14:paraId="5DBCD3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мощностью 1,05 кв., 220 вольт, 28.00 об/м. - 72 шт.</w:t>
      </w:r>
    </w:p>
    <w:p w14:paraId="300B34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 -"- ' 2,8 " 220 " 28.00 об/м. - 15 шт.</w:t>
      </w:r>
    </w:p>
    <w:p w14:paraId="38E0C8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невозможности получить данные моторы в текущем году наш представитель тов. Блаут вынужден был дать согласие на поставку этих моторов в 1-м кв. 1941 года;</w:t>
      </w:r>
    </w:p>
    <w:p w14:paraId="22863D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 Харьковский Электромеханический завод НКЭП.</w:t>
      </w:r>
    </w:p>
    <w:p w14:paraId="12E768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решению ЭКОСО от 27/8-40 г. за № 1479/432-с заводу предложено изготовить два моторгенератора постоянного тока, напряжением 220 вольт, мощностью 65 кв. Один в Ш квартале и второй в 1У-м квартале с/г. До настоящего воемени ни одного мотора не поставлено и поставка их в 1У-м квартале с/г. на</w:t>
      </w:r>
      <w:r w:rsidRPr="00A3026E">
        <w:rPr>
          <w:rFonts w:ascii="Times New Roman" w:hAnsi="Times New Roman"/>
          <w:color w:val="000000" w:themeColor="text1"/>
          <w:sz w:val="16"/>
          <w:szCs w:val="16"/>
        </w:rPr>
        <w:softHyphen/>
        <w:t>ходится под угрозой срыва.</w:t>
      </w:r>
    </w:p>
    <w:p w14:paraId="528DE6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УШ. Завод им. ЛЕНИНА НКТМ в гор. Харькове.</w:t>
      </w:r>
    </w:p>
    <w:p w14:paraId="28C9D0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Тем-же решением ЭКОСО завод должен был изготовить в феврале 1941 г. 7 шт. спецкранбалок. Эти кранбалки необходимы нам уже в настоящее время, но они до настоящего зоемени в производство не запущены и </w:t>
      </w:r>
      <w:r w:rsidRPr="00A3026E">
        <w:rPr>
          <w:rFonts w:ascii="Times New Roman" w:hAnsi="Times New Roman"/>
          <w:smallCaps/>
          <w:color w:val="000000" w:themeColor="text1"/>
          <w:sz w:val="16"/>
          <w:szCs w:val="16"/>
        </w:rPr>
        <w:t xml:space="preserve">срок </w:t>
      </w:r>
      <w:r w:rsidRPr="00A3026E">
        <w:rPr>
          <w:rFonts w:ascii="Times New Roman" w:hAnsi="Times New Roman"/>
          <w:color w:val="000000" w:themeColor="text1"/>
          <w:sz w:val="16"/>
          <w:szCs w:val="16"/>
        </w:rPr>
        <w:t>изготовления их находится под угрозой срыва, несмотря на то, что обращались к заводу с просьбой поставить нам их досрочно. '</w:t>
      </w:r>
    </w:p>
    <w:p w14:paraId="615369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IX. Прожекторный завод НКЭП.</w:t>
      </w:r>
    </w:p>
    <w:p w14:paraId="580CB6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решению ЭКОСО от 27/У111-1940 года за № 1479/432-с обязан был поставить в 1У квартале с/г. 50 штук прожекторов. Ни одного прожектора на сегодня мы не получили. Выполнение данного заказа находится под угрозой срыва (10683).</w:t>
      </w:r>
    </w:p>
    <w:p w14:paraId="7AB3DF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1918D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25 ноября 1940 и на НИПАВ ВВС КА приступили к баллистическо</w:t>
      </w:r>
      <w:r w:rsidRPr="00A3026E">
        <w:rPr>
          <w:rFonts w:ascii="Times New Roman" w:hAnsi="Times New Roman"/>
          <w:color w:val="000000" w:themeColor="text1"/>
          <w:sz w:val="16"/>
          <w:szCs w:val="16"/>
        </w:rPr>
        <w:softHyphen/>
        <w:t>му отстрелу и снарядов РОС-132 для составления наземных и воздушных таблиц стрельбы. От военных требовалось «по опытным данным назем</w:t>
      </w:r>
      <w:r w:rsidRPr="00A3026E">
        <w:rPr>
          <w:rFonts w:ascii="Times New Roman" w:hAnsi="Times New Roman"/>
          <w:color w:val="000000" w:themeColor="text1"/>
          <w:sz w:val="16"/>
          <w:szCs w:val="16"/>
        </w:rPr>
        <w:softHyphen/>
        <w:t>ного и воздушного отстрела, путем согласования найти коэффициент формы и баллистический коэффициент элементов траектории при воз</w:t>
      </w:r>
      <w:r w:rsidRPr="00A3026E">
        <w:rPr>
          <w:rFonts w:ascii="Times New Roman" w:hAnsi="Times New Roman"/>
          <w:color w:val="000000" w:themeColor="text1"/>
          <w:sz w:val="16"/>
          <w:szCs w:val="16"/>
        </w:rPr>
        <w:softHyphen/>
        <w:t>душной стрельбе. Составить для строевых частей ВВС КА наземные и воздушные таблицы стрельбы для скорости самолета 540 км/ч и высоты 10.000 м. Для такой серьезной работы годился далеко не любой полигон. Только НИПАВ ВВС КА в то время располагал одновременно кино- и фототеодолитами, хронографами и самолетом СБ. Данную программу разработали и выполняли также военинженер I ранга С.Онисько и военинженер 2 ранга Чернорез (11402).</w:t>
      </w:r>
    </w:p>
    <w:p w14:paraId="27EF93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CF730C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21667D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09B0D2E"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w:t>
      </w:r>
    </w:p>
    <w:p w14:paraId="675588A2"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164. Справка секретариата Комитета обороны при СНК СССР о состоянии производства литых стальных снарядов и мин</w:t>
      </w:r>
    </w:p>
    <w:p w14:paraId="57679068"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Источник: </w:t>
      </w:r>
    </w:p>
    <w:p w14:paraId="3B1BD2A7"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658-661.</w:t>
      </w:r>
    </w:p>
    <w:p w14:paraId="356D2796"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Архив: </w:t>
      </w:r>
    </w:p>
    <w:p w14:paraId="379473F1"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 РФ. Ф. Р-8418. Оп. 25. Д. 165. Л. 3-6. Копия.</w:t>
      </w:r>
    </w:p>
    <w:p w14:paraId="5530C535"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 73 от 29 апреля 1938 г., по предложению Днепропетровского трубного института НКЧМ, было решено изготовить две машины ПАК для центробежного литья стальных снарядных заготовок. Предполагалось, что метод центробежного литья даст возможность получить в большом количестве и лучшего качества снарядные заготовки, освобождая при этом прессовое оборудование, прокатные станы и нагревательные печи.</w:t>
      </w:r>
    </w:p>
    <w:p w14:paraId="4B0A683B"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Машина ПАК (названная по имени ее изобретателей — Поздышева, Артюхова и Крючкова, награжденных за это орденами СССР) представляет собой сложную установку, состоящую из конвейера, карусели и различных литейных приспособлений.</w:t>
      </w:r>
    </w:p>
    <w:p w14:paraId="694D8170"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Сущность метода центробежного литья заключается в том, что расплавленный металл, заполняя вращающиеся вокруг своей оси металлические формы, под действием центробежных сил стремится в стороны от оси вращения формы, образуя при этом внутреннюю камору снаряда, которая при незначительной механической обработке должна соответствовать снарядной каморе, получаемой методом штамповки.</w:t>
      </w:r>
    </w:p>
    <w:p w14:paraId="5D6B9601"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Изготовленные в 1938 г. две машины ПАК были установлены на заводах им. Дзержинского и “Серп и молот” НКЧМ и который постановлением КО № 190 от 13 июля 1939 г. обязывался отлить на них по одной партии 76- и 152</w:t>
      </w:r>
      <w:r w:rsidRPr="00A3026E">
        <w:rPr>
          <w:rFonts w:ascii="Times New Roman" w:hAnsi="Times New Roman"/>
          <w:color w:val="000000" w:themeColor="text1"/>
          <w:sz w:val="16"/>
          <w:szCs w:val="16"/>
        </w:rPr>
        <w:noBreakHyphen/>
        <w:t>мм осколочно-фугасных снарядных заготовок, отработав при этом технологию центробежного литья.</w:t>
      </w:r>
    </w:p>
    <w:p w14:paraId="036688EC"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Обследованием, произведенным секретариатом КО, установлено, что в результате двухлетней работы и больших затрат (израсходовано около 17 млн. руб.) машина ПАК не дала положительных результатов:</w:t>
      </w:r>
    </w:p>
    <w:p w14:paraId="0F9F7012"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на машине ПАК возможна отливка только 76</w:t>
      </w:r>
      <w:r w:rsidRPr="00A3026E">
        <w:rPr>
          <w:rFonts w:ascii="Times New Roman" w:hAnsi="Times New Roman"/>
          <w:color w:val="000000" w:themeColor="text1"/>
          <w:sz w:val="16"/>
          <w:szCs w:val="16"/>
        </w:rPr>
        <w:noBreakHyphen/>
        <w:t>мм снарядных заготовок. Отливать же 152</w:t>
      </w:r>
      <w:r w:rsidRPr="00A3026E">
        <w:rPr>
          <w:rFonts w:ascii="Times New Roman" w:hAnsi="Times New Roman"/>
          <w:color w:val="000000" w:themeColor="text1"/>
          <w:sz w:val="16"/>
          <w:szCs w:val="16"/>
        </w:rPr>
        <w:noBreakHyphen/>
        <w:t>мм снарядные заготовки по конструктивным соображениям невозможно; б) отливаемые снарядные заготовки, хотя по механическим качествам и наружному габариту и удовлетворительны, но совершенно непригодны по внутреннему очертанию, которое представляет собой небольшое углубление, крайне неудобное для механической обработки, и потребует для рассверловки каморы значительного увеличения станочного парка, расхода большого количества сверл и, следовательно, сокращения производительности механических цехов;</w:t>
      </w:r>
    </w:p>
    <w:p w14:paraId="729B2E10"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время механической обработки 76</w:t>
      </w:r>
      <w:r w:rsidRPr="00A3026E">
        <w:rPr>
          <w:rFonts w:ascii="Times New Roman" w:hAnsi="Times New Roman"/>
          <w:color w:val="000000" w:themeColor="text1"/>
          <w:sz w:val="16"/>
          <w:szCs w:val="16"/>
        </w:rPr>
        <w:noBreakHyphen/>
        <w:t>мм снарядов, отлитых на машине ПАК, составляет 99,4 мин. (вместо 52</w:t>
      </w:r>
      <w:r w:rsidRPr="00A3026E">
        <w:rPr>
          <w:rFonts w:ascii="Times New Roman" w:hAnsi="Times New Roman"/>
          <w:color w:val="000000" w:themeColor="text1"/>
          <w:sz w:val="16"/>
          <w:szCs w:val="16"/>
        </w:rPr>
        <w:noBreakHyphen/>
        <w:t>мм для штампованных корпусов), т. е. увеличивается на 47,4 мин;</w:t>
      </w:r>
    </w:p>
    <w:p w14:paraId="46431F9C"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при производстве снарядов способом штамповки отход металла составляет 62% (включая прокат и штамповку), а при центробежном литье на машине ПАК — 55,5% и, кроме того, 70% литейного брака, обнаруживаемого при механической обработке;</w:t>
      </w:r>
    </w:p>
    <w:p w14:paraId="182090FF"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практикой установлено, что машина ПАК может обеспечить поставку максимум 3 тыс. шт. 76</w:t>
      </w:r>
      <w:r w:rsidRPr="00A3026E">
        <w:rPr>
          <w:rFonts w:ascii="Times New Roman" w:hAnsi="Times New Roman"/>
          <w:color w:val="000000" w:themeColor="text1"/>
          <w:sz w:val="16"/>
          <w:szCs w:val="16"/>
        </w:rPr>
        <w:noBreakHyphen/>
        <w:t>мм снарядных заготовок в сутки; пресс же мощностью 150</w:t>
      </w:r>
      <w:r w:rsidRPr="00A3026E">
        <w:rPr>
          <w:rFonts w:ascii="Times New Roman" w:hAnsi="Times New Roman"/>
          <w:color w:val="000000" w:themeColor="text1"/>
          <w:sz w:val="16"/>
          <w:szCs w:val="16"/>
        </w:rPr>
        <w:noBreakHyphen/>
        <w:t>200 т даст выход штамповки до 5 тыс. шт. в сутки.</w:t>
      </w:r>
    </w:p>
    <w:p w14:paraId="34673AA3"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Следовательно, идея центробежного литья снарядных заготовок, воплощенная в машине ПАК, не имеет перспектив, и проведение опытов в этом направлении не отвечает практической целесообразности.</w:t>
      </w:r>
    </w:p>
    <w:p w14:paraId="77415B4C"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Заслуживающим внимания и всемерного внедрения в производство является метод литья снарядов в постоянные металлические формы, предложенный доктором технических наук, профессором Нехендзи.</w:t>
      </w:r>
    </w:p>
    <w:p w14:paraId="21587BE1"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по этому способу на заводе “Красный  Профинтерн” НКТМ под руководством НКБ и при участии НКО освоено серийно-валовое производство стальных литых 122</w:t>
      </w:r>
      <w:r w:rsidRPr="00A3026E">
        <w:rPr>
          <w:rFonts w:ascii="Times New Roman" w:hAnsi="Times New Roman"/>
          <w:color w:val="000000" w:themeColor="text1"/>
          <w:sz w:val="16"/>
          <w:szCs w:val="16"/>
        </w:rPr>
        <w:noBreakHyphen/>
        <w:t>мм осколочно-фугасных снарядов с черной каморой. При этом было доказано, что литые стальные снаряды имеют прочность корпуса и фугасность, сходные с штампованными снарядами, а по осколочному действию на 30</w:t>
      </w:r>
      <w:r w:rsidRPr="00A3026E">
        <w:rPr>
          <w:rFonts w:ascii="Times New Roman" w:hAnsi="Times New Roman"/>
          <w:color w:val="000000" w:themeColor="text1"/>
          <w:sz w:val="16"/>
          <w:szCs w:val="16"/>
        </w:rPr>
        <w:noBreakHyphen/>
        <w:t>40% выше последних. Производство литых стальных снарядов не требует проката и штамповки, транспорта заготовок, уменьшает расход топлива и металла, допускает низкую квалификацию рабочих, разрешает проблему районирования и увеличивает мобилизационные возможности страны.</w:t>
      </w:r>
    </w:p>
    <w:p w14:paraId="5A953796"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данным завода “Красный Профинтерн”, на каждую 1 тыс. шт. литых снарядов по сравнению с штампованными экономится 7,8 т мазута, 1,45 стано-часа на прокат, 1,3 пило/смены на резку заготовок в горячем состоянии, 2 прессо-смены на штамповку и 1,4 прессо-смены на обжим оживальной части снаряда. Кроме того, при выпуске 75 тыс. снарядов заводом “Красный Профинтерн” сэкономлено 8,4 млн. тонно-километров железнодорожного транспорта. Нормальный, установившийся цикл производства литых стальных снарядов составляет 4,5</w:t>
      </w:r>
      <w:r w:rsidRPr="00A3026E">
        <w:rPr>
          <w:rFonts w:ascii="Times New Roman" w:hAnsi="Times New Roman"/>
          <w:color w:val="000000" w:themeColor="text1"/>
          <w:sz w:val="16"/>
          <w:szCs w:val="16"/>
        </w:rPr>
        <w:noBreakHyphen/>
        <w:t>5 суток вместо 26</w:t>
      </w:r>
      <w:r w:rsidRPr="00A3026E">
        <w:rPr>
          <w:rFonts w:ascii="Times New Roman" w:hAnsi="Times New Roman"/>
          <w:color w:val="000000" w:themeColor="text1"/>
          <w:sz w:val="16"/>
          <w:szCs w:val="16"/>
        </w:rPr>
        <w:noBreakHyphen/>
        <w:t>27 для штампованных, т. е. меньше почти в 6 раз.</w:t>
      </w:r>
    </w:p>
    <w:p w14:paraId="29824EF5"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Придавая важное значение освоению производства литых стальных 122</w:t>
      </w:r>
      <w:r w:rsidRPr="00A3026E">
        <w:rPr>
          <w:rFonts w:ascii="Times New Roman" w:hAnsi="Times New Roman"/>
          <w:color w:val="000000" w:themeColor="text1"/>
          <w:sz w:val="16"/>
          <w:szCs w:val="16"/>
        </w:rPr>
        <w:noBreakHyphen/>
        <w:t>, 152</w:t>
      </w:r>
      <w:r w:rsidRPr="00A3026E">
        <w:rPr>
          <w:rFonts w:ascii="Times New Roman" w:hAnsi="Times New Roman"/>
          <w:color w:val="000000" w:themeColor="text1"/>
          <w:sz w:val="16"/>
          <w:szCs w:val="16"/>
        </w:rPr>
        <w:noBreakHyphen/>
        <w:t xml:space="preserve"> и 203</w:t>
      </w:r>
      <w:r w:rsidRPr="00A3026E">
        <w:rPr>
          <w:rFonts w:ascii="Times New Roman" w:hAnsi="Times New Roman"/>
          <w:color w:val="000000" w:themeColor="text1"/>
          <w:sz w:val="16"/>
          <w:szCs w:val="16"/>
        </w:rPr>
        <w:noBreakHyphen/>
        <w:t>мм снарядов и 120</w:t>
      </w:r>
      <w:r w:rsidRPr="00A3026E">
        <w:rPr>
          <w:rFonts w:ascii="Times New Roman" w:hAnsi="Times New Roman"/>
          <w:color w:val="000000" w:themeColor="text1"/>
          <w:sz w:val="16"/>
          <w:szCs w:val="16"/>
        </w:rPr>
        <w:noBreakHyphen/>
        <w:t>мм мин с черной каморой, Комитет обороны своим постановлением № 47 от 26 января 1940 г. обязал НКТМ, НКСП, НКЧМ и НКБ всемерно форсировать освоение заводами литья стальных снарядов и установил для этого определенные сроки. В настоящее время положение с освоением производства литых стальных снарядов и мин по калибрам находится в следующем состоянии:</w:t>
      </w:r>
    </w:p>
    <w:p w14:paraId="071BE234"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Осколочно-фугасные 122-мм снаряды</w:t>
      </w:r>
    </w:p>
    <w:p w14:paraId="53C18628"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1939 г. завод “Красный Профинтерн” НКТМ отлил и сдал НКО 32 тыс. 122</w:t>
      </w:r>
      <w:r w:rsidRPr="00A3026E">
        <w:rPr>
          <w:rFonts w:ascii="Times New Roman" w:hAnsi="Times New Roman"/>
          <w:color w:val="000000" w:themeColor="text1"/>
          <w:sz w:val="16"/>
          <w:szCs w:val="16"/>
        </w:rPr>
        <w:noBreakHyphen/>
        <w:t>мм стальных литых снарядов с черной каморой со средним браком 32% и постановлением КО № 47 обязан был перейти на валовое производство их, изготовив в 1940 г. 150 тыс. шт. За первое полугодие 1940 г. заводом сдано 57,5 тыс. шт. литых стальных снарядов. Средний процент брака при литье стальных снарядов составляет 20</w:t>
      </w:r>
      <w:r w:rsidRPr="00A3026E">
        <w:rPr>
          <w:rFonts w:ascii="Times New Roman" w:hAnsi="Times New Roman"/>
          <w:color w:val="000000" w:themeColor="text1"/>
          <w:sz w:val="16"/>
          <w:szCs w:val="16"/>
        </w:rPr>
        <w:noBreakHyphen/>
        <w:t>25%, т. е. на уровне производства снарядов методом штамповки. Материальные потери от брака уменьшаются до минимума благодаря тому, что почти весь брак, обнаруживаемый в механическом цехе, идет на изготовление авиабомб (АО</w:t>
      </w:r>
      <w:r w:rsidRPr="00A3026E">
        <w:rPr>
          <w:rFonts w:ascii="Times New Roman" w:hAnsi="Times New Roman"/>
          <w:color w:val="000000" w:themeColor="text1"/>
          <w:sz w:val="16"/>
          <w:szCs w:val="16"/>
        </w:rPr>
        <w:noBreakHyphen/>
        <w:t>25), показавших при испытании удовлетворительные результаты.</w:t>
      </w:r>
    </w:p>
    <w:p w14:paraId="42449F3F"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в августе месяце сего года завод “Красный Профинтерн” получил увеличенную программу по строительству вагонов и паровозов, что, загружая литейных цех, ставит под угрозу выполнение постановления КО № 47.</w:t>
      </w:r>
    </w:p>
    <w:p w14:paraId="5D9E113F"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то что приемка ГАУ КА около 70 тыс. стальных литых снарядов серийно-валового производства дает все основания заводу перейти на валовое производство, соответствующие мероприятия не развиваются. Также не принято со стороны НКТМ мер по изготовлению опытно-установочных партий этих снарядов на других заводах, используя опыт завода “Красный Профинтерн”.</w:t>
      </w:r>
    </w:p>
    <w:p w14:paraId="1408842B"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Представленные НКТМ (т. Малышевым и позже подтверждено т. Ефремовым), НКБ (т. Сергеевым) и НКО (т. Куликом), согласно постановлению КО № 47, списки работников, наиболее отличившихся при постановке серийно-валового производства 122</w:t>
      </w:r>
      <w:r w:rsidRPr="00A3026E">
        <w:rPr>
          <w:rFonts w:ascii="Times New Roman" w:hAnsi="Times New Roman"/>
          <w:color w:val="000000" w:themeColor="text1"/>
          <w:sz w:val="16"/>
          <w:szCs w:val="16"/>
        </w:rPr>
        <w:noBreakHyphen/>
        <w:t>мм литых снарядов, для награждения до сих пор не получили необходимого оформления.</w:t>
      </w:r>
    </w:p>
    <w:p w14:paraId="25C316C7"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Осколочно-фугасные 152-мм снаряды</w:t>
      </w:r>
    </w:p>
    <w:p w14:paraId="484D89C3"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Полигонные испытания литых стальных 152</w:t>
      </w:r>
      <w:r w:rsidRPr="00A3026E">
        <w:rPr>
          <w:rFonts w:ascii="Times New Roman" w:hAnsi="Times New Roman"/>
          <w:color w:val="000000" w:themeColor="text1"/>
          <w:sz w:val="16"/>
          <w:szCs w:val="16"/>
        </w:rPr>
        <w:noBreakHyphen/>
        <w:t>мм снарядов с черной каморой из опытной партии, изготовленной на Днепропетровском заводе металлургического оборудования НКЧМ, и механическая обработка на заводе № 79 НКБ дали, аналогично 122</w:t>
      </w:r>
      <w:r w:rsidRPr="00A3026E">
        <w:rPr>
          <w:rFonts w:ascii="Times New Roman" w:hAnsi="Times New Roman"/>
          <w:color w:val="000000" w:themeColor="text1"/>
          <w:sz w:val="16"/>
          <w:szCs w:val="16"/>
        </w:rPr>
        <w:noBreakHyphen/>
        <w:t>мм снарядам, удовлетворительные результаты по прочности корпуса, а также показали осколочное действие лучшее, чем у штампованных снарядов.</w:t>
      </w:r>
    </w:p>
    <w:p w14:paraId="61AAE3E4"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Отсутствие необходимой помощи заводу со стороны НКЧМ и некоторые объективные условия (отсутствие на ДЗМО цехов для изготовления огнеупоров и механической обработки пробных отливок, менее удачная конструкция снаряда и т. п.) несколько задержали развитие серийно-валового производства.</w:t>
      </w:r>
    </w:p>
    <w:p w14:paraId="73F58ACD"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Опытная партия литых 152</w:t>
      </w:r>
      <w:r w:rsidRPr="00A3026E">
        <w:rPr>
          <w:rFonts w:ascii="Times New Roman" w:hAnsi="Times New Roman"/>
          <w:color w:val="000000" w:themeColor="text1"/>
          <w:sz w:val="16"/>
          <w:szCs w:val="16"/>
        </w:rPr>
        <w:noBreakHyphen/>
        <w:t>мм снарядов успешно закончена на заводе “Красный Профинтерн” и часть ее отправлена на полигонные испытания; кроме того, опытные отливки начали изготавливаться на Новокраматорском заводе.</w:t>
      </w:r>
    </w:p>
    <w:p w14:paraId="2DDAC6AC"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203-мм бетонобойные снаряды</w:t>
      </w:r>
    </w:p>
    <w:p w14:paraId="3D04730D"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изготовленных на заводе “Красное Сормово” НКСП пробных отливок 203</w:t>
      </w:r>
      <w:r w:rsidRPr="00A3026E">
        <w:rPr>
          <w:rFonts w:ascii="Times New Roman" w:hAnsi="Times New Roman"/>
          <w:color w:val="000000" w:themeColor="text1"/>
          <w:sz w:val="16"/>
          <w:szCs w:val="16"/>
        </w:rPr>
        <w:noBreakHyphen/>
        <w:t>мм бетонобойных литых стальных снарядов с черной каморой было испытано стрельбой на прочность по обычным и усиленным бетонным стенкам 7 шт. снарядов. Из них 6 шт. дали удовлетворительные результаты, а один, без номера плавки и “неизвестного происхождения”, раскололся. На заводе “Красное Сормово” НКСП существует валовое производство кованых 203</w:t>
      </w:r>
      <w:r w:rsidRPr="00A3026E">
        <w:rPr>
          <w:rFonts w:ascii="Times New Roman" w:hAnsi="Times New Roman"/>
          <w:color w:val="000000" w:themeColor="text1"/>
          <w:sz w:val="16"/>
          <w:szCs w:val="16"/>
        </w:rPr>
        <w:noBreakHyphen/>
        <w:t>мм снарядов.</w:t>
      </w:r>
    </w:p>
    <w:p w14:paraId="6EBE86E5"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НИИ</w:t>
      </w:r>
      <w:r w:rsidRPr="00A3026E">
        <w:rPr>
          <w:rFonts w:ascii="Times New Roman" w:hAnsi="Times New Roman"/>
          <w:color w:val="000000" w:themeColor="text1"/>
          <w:sz w:val="16"/>
          <w:szCs w:val="16"/>
        </w:rPr>
        <w:noBreakHyphen/>
        <w:t>24 НКБ разработана и после полигонных испытаний принята ГАУ КА на вооружение другая конструкция снаряда, с более массивной носовой частью и более удобная с литейной точки зрения. По нашему запросу НКСП в настоящее время просчитывает возможность организации на заводе “Красное Сормово” валового производства литых снарядов по новому чертежу взамен кованых.</w:t>
      </w:r>
    </w:p>
    <w:p w14:paraId="1E4A02D8"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Ворошиловградском заводе НКТМ изготовили несколько первых отливок 203</w:t>
      </w:r>
      <w:r w:rsidRPr="00A3026E">
        <w:rPr>
          <w:rFonts w:ascii="Times New Roman" w:hAnsi="Times New Roman"/>
          <w:color w:val="000000" w:themeColor="text1"/>
          <w:sz w:val="16"/>
          <w:szCs w:val="16"/>
        </w:rPr>
        <w:noBreakHyphen/>
        <w:t>мм снарядов без учета опыта работы завода “Красное Сормово” и НИИ</w:t>
      </w:r>
      <w:r w:rsidRPr="00A3026E">
        <w:rPr>
          <w:rFonts w:ascii="Times New Roman" w:hAnsi="Times New Roman"/>
          <w:color w:val="000000" w:themeColor="text1"/>
          <w:sz w:val="16"/>
          <w:szCs w:val="16"/>
        </w:rPr>
        <w:noBreakHyphen/>
        <w:t>24, получили неудовлетворительные результаты и на этом успокоились.</w:t>
      </w:r>
    </w:p>
    <w:p w14:paraId="185BD17E"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Осколочно-фугасные и фугасные 120-мм мины</w:t>
      </w:r>
    </w:p>
    <w:p w14:paraId="15808B05"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“Красный Профинтерн” была изготовлена опытная партия осколочно-фугасных литых стальных с черной каморой 120</w:t>
      </w:r>
      <w:r w:rsidRPr="00A3026E">
        <w:rPr>
          <w:rFonts w:ascii="Times New Roman" w:hAnsi="Times New Roman"/>
          <w:color w:val="000000" w:themeColor="text1"/>
          <w:sz w:val="16"/>
          <w:szCs w:val="16"/>
        </w:rPr>
        <w:noBreakHyphen/>
        <w:t>мм мин путем отливки в металлические формы. В отличие от штампованных мин, изготовляемых свинтными из двух половин, литая мина является цельнокорпусной. Полигонные испытания 155 шт. опытной партии дали удовлетворительные результаты.</w:t>
      </w:r>
    </w:p>
    <w:p w14:paraId="7F61F3CA"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Днепродзержинском металлургическом заводе НКЧМ производится изготовление опытной партии осколочно-фугасных мин из бессемеровской стали. Здоровая отливка уже получена, но не отработан еще вопрос получения черной каморы, свободной от газовых пузырей.</w:t>
      </w:r>
    </w:p>
    <w:p w14:paraId="6BD27654"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им. Молотова НКСП и заводе № 77 НКБ ведутся подготовительные работы к изготовлению опытной партии 120</w:t>
      </w:r>
      <w:r w:rsidRPr="00A3026E">
        <w:rPr>
          <w:rFonts w:ascii="Times New Roman" w:hAnsi="Times New Roman"/>
          <w:color w:val="000000" w:themeColor="text1"/>
          <w:sz w:val="16"/>
          <w:szCs w:val="16"/>
        </w:rPr>
        <w:noBreakHyphen/>
        <w:t>мм литых стальных цельнокорпусных мин с черной каморой.</w:t>
      </w:r>
    </w:p>
    <w:p w14:paraId="04126EBA"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522E92F0"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Серийно-валовое производство 122</w:t>
      </w:r>
      <w:r w:rsidRPr="00A3026E">
        <w:rPr>
          <w:rFonts w:ascii="Times New Roman" w:hAnsi="Times New Roman"/>
          <w:color w:val="000000" w:themeColor="text1"/>
          <w:sz w:val="16"/>
          <w:szCs w:val="16"/>
        </w:rPr>
        <w:noBreakHyphen/>
        <w:t>мм осколочно-фугасных стальных литых снарядов с черной каморой освоено в степени, позволяющей развить валовое производство на заводе “Красный Профинтерн” и ставить установочные партии на других заводах.</w:t>
      </w:r>
    </w:p>
    <w:p w14:paraId="5FC7D1F5"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Удовлетворительные полигонные испытания литых стальных 152</w:t>
      </w:r>
      <w:r w:rsidRPr="00A3026E">
        <w:rPr>
          <w:rFonts w:ascii="Times New Roman" w:hAnsi="Times New Roman"/>
          <w:color w:val="000000" w:themeColor="text1"/>
          <w:sz w:val="16"/>
          <w:szCs w:val="16"/>
        </w:rPr>
        <w:noBreakHyphen/>
        <w:t xml:space="preserve"> и 203</w:t>
      </w:r>
      <w:r w:rsidRPr="00A3026E">
        <w:rPr>
          <w:rFonts w:ascii="Times New Roman" w:hAnsi="Times New Roman"/>
          <w:color w:val="000000" w:themeColor="text1"/>
          <w:sz w:val="16"/>
          <w:szCs w:val="16"/>
        </w:rPr>
        <w:noBreakHyphen/>
        <w:t>мм снарядов и 120</w:t>
      </w:r>
      <w:r w:rsidRPr="00A3026E">
        <w:rPr>
          <w:rFonts w:ascii="Times New Roman" w:hAnsi="Times New Roman"/>
          <w:color w:val="000000" w:themeColor="text1"/>
          <w:sz w:val="16"/>
          <w:szCs w:val="16"/>
        </w:rPr>
        <w:noBreakHyphen/>
        <w:t>мм мин позволяют перейти к освоению серийно-валового производства.</w:t>
      </w:r>
    </w:p>
    <w:p w14:paraId="0FCE9CDE"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Опытные отливки снарядов и мин из бессемеровской стали показали положительные результаты, поэтому в настоящее время задачей огромной государственной важности является всемерное внедрение этого способа в валовое производство осколочных и осколочно-фугасных снарядов.</w:t>
      </w:r>
    </w:p>
    <w:p w14:paraId="0464A39B"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 Комиссия т. Тевосяна узнала, что в Германии широко развито производство литых стальных снарядов в металлические формы по способу, близкому к разработанному у нас. В комиссии не было специалистов-литейщиков. Необходимо командировать в Германию несколько литейщиков, работающих в области литых снарядов, для изучения этого производства там. Нет сомнения, что даже беглый осмотр производства специалистами поможет быстрее ликвидировать встречающиеся трудности и разрешить ряд технических задач.</w:t>
      </w:r>
    </w:p>
    <w:p w14:paraId="23E51234"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 РФ. Ф. Р-8418. Оп. 25. Д. 165. Л. 3-6. Копия (18006).</w:t>
      </w:r>
    </w:p>
    <w:p w14:paraId="25F824C4" w14:textId="77777777" w:rsidR="00250F99" w:rsidRPr="00A3026E" w:rsidRDefault="00250F99" w:rsidP="00A3026E">
      <w:pPr>
        <w:spacing w:after="0" w:line="240" w:lineRule="auto"/>
        <w:jc w:val="both"/>
        <w:rPr>
          <w:rFonts w:ascii="Times New Roman" w:hAnsi="Times New Roman"/>
          <w:color w:val="000000" w:themeColor="text1"/>
          <w:sz w:val="16"/>
          <w:szCs w:val="16"/>
        </w:rPr>
      </w:pPr>
    </w:p>
    <w:p w14:paraId="3BA73E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 вышел прика</w:t>
      </w:r>
      <w:r w:rsidRPr="00A3026E">
        <w:rPr>
          <w:rFonts w:ascii="Times New Roman" w:hAnsi="Times New Roman"/>
          <w:color w:val="000000" w:themeColor="text1"/>
          <w:sz w:val="16"/>
          <w:szCs w:val="16"/>
        </w:rPr>
        <w:softHyphen/>
        <w:t>з НКСМ № 268 во исполнение которого на заводе № 183 состоялось расширен</w:t>
      </w:r>
      <w:r w:rsidRPr="00A3026E">
        <w:rPr>
          <w:rFonts w:ascii="Times New Roman" w:hAnsi="Times New Roman"/>
          <w:color w:val="000000" w:themeColor="text1"/>
          <w:sz w:val="16"/>
          <w:szCs w:val="16"/>
        </w:rPr>
        <w:softHyphen/>
        <w:t>ное совещание по вопросам выполнения планов на 1941 г. и улучшения конструкции Т-34. На этом совещании глав</w:t>
      </w:r>
      <w:r w:rsidRPr="00A3026E">
        <w:rPr>
          <w:rFonts w:ascii="Times New Roman" w:hAnsi="Times New Roman"/>
          <w:color w:val="000000" w:themeColor="text1"/>
          <w:sz w:val="16"/>
          <w:szCs w:val="16"/>
        </w:rPr>
        <w:softHyphen/>
        <w:t>ный конструктор Т-34 А. Морозов доложил о трех вариан</w:t>
      </w:r>
      <w:r w:rsidRPr="00A3026E">
        <w:rPr>
          <w:rFonts w:ascii="Times New Roman" w:hAnsi="Times New Roman"/>
          <w:color w:val="000000" w:themeColor="text1"/>
          <w:sz w:val="16"/>
          <w:szCs w:val="16"/>
        </w:rPr>
        <w:softHyphen/>
        <w:t>тах изменения конструкции указанного танка с целью лик</w:t>
      </w:r>
      <w:r w:rsidRPr="00A3026E">
        <w:rPr>
          <w:rFonts w:ascii="Times New Roman" w:hAnsi="Times New Roman"/>
          <w:color w:val="000000" w:themeColor="text1"/>
          <w:sz w:val="16"/>
          <w:szCs w:val="16"/>
        </w:rPr>
        <w:softHyphen/>
        <w:t>видации главных недостатков танка - тесноту внутри бое</w:t>
      </w:r>
      <w:r w:rsidRPr="00A3026E">
        <w:rPr>
          <w:rFonts w:ascii="Times New Roman" w:hAnsi="Times New Roman"/>
          <w:color w:val="000000" w:themeColor="text1"/>
          <w:sz w:val="16"/>
          <w:szCs w:val="16"/>
        </w:rPr>
        <w:softHyphen/>
        <w:t>вого отделения и слепоту экипажа без усложнения техно</w:t>
      </w:r>
      <w:r w:rsidRPr="00A3026E">
        <w:rPr>
          <w:rFonts w:ascii="Times New Roman" w:hAnsi="Times New Roman"/>
          <w:color w:val="000000" w:themeColor="text1"/>
          <w:sz w:val="16"/>
          <w:szCs w:val="16"/>
        </w:rPr>
        <w:softHyphen/>
        <w:t>логического процесса сборки и остановки производства.</w:t>
      </w:r>
    </w:p>
    <w:p w14:paraId="1A2149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первому варианту башня в целом оставалась прежней конфигурации и на прежнем погоне, но должна была получить выштампованные местные уширения в мес</w:t>
      </w:r>
      <w:r w:rsidRPr="00A3026E">
        <w:rPr>
          <w:rFonts w:ascii="Times New Roman" w:hAnsi="Times New Roman"/>
          <w:color w:val="000000" w:themeColor="text1"/>
          <w:sz w:val="16"/>
          <w:szCs w:val="16"/>
        </w:rPr>
        <w:softHyphen/>
        <w:t>тах расположения командира орудия и заряжающего, при</w:t>
      </w:r>
      <w:r w:rsidRPr="00A3026E">
        <w:rPr>
          <w:rFonts w:ascii="Times New Roman" w:hAnsi="Times New Roman"/>
          <w:color w:val="000000" w:themeColor="text1"/>
          <w:sz w:val="16"/>
          <w:szCs w:val="16"/>
        </w:rPr>
        <w:softHyphen/>
        <w:t>чем над головой командира орудия дополнительно уста</w:t>
      </w:r>
      <w:r w:rsidRPr="00A3026E">
        <w:rPr>
          <w:rFonts w:ascii="Times New Roman" w:hAnsi="Times New Roman"/>
          <w:color w:val="000000" w:themeColor="text1"/>
          <w:sz w:val="16"/>
          <w:szCs w:val="16"/>
        </w:rPr>
        <w:softHyphen/>
        <w:t>навливалась наблюдательная башенка.</w:t>
      </w:r>
    </w:p>
    <w:p w14:paraId="0A0392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вариант модернизации отличался от первого тем, что увеличение боевого отделения достигалось изменением угла наклона бортов башни. И третий — уширением погона до 1600 мм и изменением конструкции носовой части башни. Командирская башенка при этом размещалась в кормовой части башни слева, и под ней оборудовалось место команди</w:t>
      </w:r>
      <w:r w:rsidRPr="00A3026E">
        <w:rPr>
          <w:rFonts w:ascii="Times New Roman" w:hAnsi="Times New Roman"/>
          <w:color w:val="000000" w:themeColor="text1"/>
          <w:sz w:val="16"/>
          <w:szCs w:val="16"/>
        </w:rPr>
        <w:softHyphen/>
        <w:t>ра-наблюдателя. Третий вариант представлял собой переход на башню, напоминающую от А-41, но на погоне 1600 мм.</w:t>
      </w:r>
    </w:p>
    <w:p w14:paraId="460FCE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Обсуждение предложенных проектов показало, что пе</w:t>
      </w:r>
      <w:r w:rsidRPr="00A3026E">
        <w:rPr>
          <w:rFonts w:ascii="Times New Roman" w:hAnsi="Times New Roman"/>
          <w:color w:val="000000" w:themeColor="text1"/>
          <w:sz w:val="16"/>
          <w:szCs w:val="16"/>
        </w:rPr>
        <w:softHyphen/>
        <w:t>реход к выпуску танков по первым двум вариантам приво</w:t>
      </w:r>
      <w:r w:rsidRPr="00A3026E">
        <w:rPr>
          <w:rFonts w:ascii="Times New Roman" w:hAnsi="Times New Roman"/>
          <w:color w:val="000000" w:themeColor="text1"/>
          <w:sz w:val="16"/>
          <w:szCs w:val="16"/>
        </w:rPr>
        <w:softHyphen/>
        <w:t>дил к полной остановке производства Т-34 на 2-3 месяца, при этом сложность башни возрастала неимоверно. Третий вариант в целом удовлетворял требованиям по ликвидации тесноты боевого отделения и слепоты танка, но также тре</w:t>
      </w:r>
      <w:r w:rsidRPr="00A3026E">
        <w:rPr>
          <w:rFonts w:ascii="Times New Roman" w:hAnsi="Times New Roman"/>
          <w:color w:val="000000" w:themeColor="text1"/>
          <w:sz w:val="16"/>
          <w:szCs w:val="16"/>
        </w:rPr>
        <w:softHyphen/>
        <w:t>бовал изменения конструкции корпуса, остановки произ</w:t>
      </w:r>
      <w:r w:rsidRPr="00A3026E">
        <w:rPr>
          <w:rFonts w:ascii="Times New Roman" w:hAnsi="Times New Roman"/>
          <w:color w:val="000000" w:themeColor="text1"/>
          <w:sz w:val="16"/>
          <w:szCs w:val="16"/>
        </w:rPr>
        <w:softHyphen/>
        <w:t>водства на довольно большой срок, так как это приводило фактически к выпуску нового танка (10782).</w:t>
      </w:r>
    </w:p>
    <w:p w14:paraId="6769C9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066B3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года наркомом среднего машиностроения выпустил приказ по наркомату № 268 во исполнение постановления Комитета Обороны № 428 от 19 ноября, в котором конструкторскому бюро 520 завода №183 поручалось проведение мероприятий по улучшению конструкции Т-34 и выполнению требований, заданных постановлением № 428. Однако намеченные в этом документе пути повышения боевых свойств танка Т-34 не во всем устраивали военных.  (12217).</w:t>
      </w:r>
    </w:p>
    <w:p w14:paraId="5F12E0F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4D8CEA"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 Боевые стрельбы трех танков Т-34 (Т-34 № 608-01, 423-41 и 547-29, на время испытаний эти машины получили условные наименования «танк № 1», «танк № 2» и «танк № 3»), состоявшиеся на полигоне КТТУ, были начаты с решения огневой задачи взводом танков. Время, затраченное тремя экипажами танков на проведение стрельбы, составило 12 минут 15 секунд.</w:t>
      </w:r>
    </w:p>
    <w:p w14:paraId="2423F2C2"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во время стрельбы на полигоне КТТУ, так же как и при стрельбе на полигоне в Кубинке, имели место отказы в работе танковых пушек Л-11. Танк № 2 из-за не полного наката ствола пушки был отстранен от дальнейшего проведения боевых стрельб, в связи с чем во втором этапе стрельб, по решению огневой задачи отдельным танком, участвовали только танки № 1 и 3. </w:t>
      </w:r>
    </w:p>
    <w:p w14:paraId="1224B8CC"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Лучшие результаты показал экипаж танка № 3. Так, при стрельбе с коротких остановок по макету танка с дистанции 1200 м из четырёх выстрелов три снаряда попали точно в цель. У экипажа танка № 1 результат был скромнее: из четырёх выпущенных снарядов только один поразил цель. </w:t>
      </w:r>
    </w:p>
    <w:p w14:paraId="25D2260E"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стрельбе по цели «Артвзвод» с ходу с той же дистанции и таким же количеством выстрелов экипаж танка № 3 двумя снарядами поразил цель и ещё два снаряда разорвались на удалении не более 40 м от неё. В тех же условиях выполнения упражнения экипаж танка № 1 смог положить все четыре снаряда в радиусе, не превышающем 40 м от цели, при этом ни одного прямого попадания в цель зафиксировано не было. При стрельбе с ходу из лобового пулемёта отличился радист-пулеметчик танка № 1, который с расстояния в 450 м поразил 12 пулями (из 48 выпущенных) станковый пулемет. </w:t>
      </w:r>
    </w:p>
    <w:p w14:paraId="0A0AA68E"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следующий день после испытания вооружения на всех танках Т-34 были заменены гусеницы и часть вышедших из строя опорных катков, а также на танке № 1 заменены покоробленные диски главного фрикциона. Кроме этого экипажами было проведено очередное техническое обслуживание боевых машин. Одновременно с подготовкой танков к очередному этапу пробега специалисты по артиллерийскому вооружению НИ полигона ГАБТУ КА совместно с вызванным из Ленинграда представителем Кировского завода выясняли причины отказов в работе пушек Л-11 во время боевых стрельб. В результате осмотра пушек был составлен акт, в котором, в частности, было отмечено: </w:t>
      </w:r>
    </w:p>
    <w:p w14:paraId="55A4434B"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танке № 574-29 [в документе опечатка, следует читать 547-29] (ствол 779 противооткатное устройство № 1233), танк № 423-41 (ствол 824 противооткатное устройство № 1533), танк № 608-01 (ствол 827 противооткатное устройство № 1367) поставлены ползуны спуска, изготовленные из сырого металла, с неправильным профилем зацепления. При проведении стрельбы имелись случаи не зацепления ползуна за направляющую планку и износ металла ползуна. </w:t>
      </w:r>
    </w:p>
    <w:p w14:paraId="19B66672"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Причиной недокатов [не полного наката] является несвоевременное снятие ноги с педали ножного спуска, следствием чего ползун, упираясь в толкатель спуска, не проворачивается и не дает возможности защелке казенника соскочить с ползуна. </w:t>
      </w:r>
    </w:p>
    <w:p w14:paraId="0584E0DC"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ствол остается в положении недоката. </w:t>
      </w:r>
    </w:p>
    <w:p w14:paraId="55B3094C"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Считаем необходимым замену на всех ранее выпущенных артсистемах Л-11 ползунов спуска, изготовленных Кировским заводом из сырого металла с неправильным профилем зацепления, ползунами из каленого металла по новым чертежам».</w:t>
      </w:r>
    </w:p>
    <w:p w14:paraId="50789D59"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978. Л. 283]</w:t>
      </w:r>
    </w:p>
    <w:p w14:paraId="3E393906" w14:textId="77777777" w:rsidR="0061340E" w:rsidRPr="00A3026E" w:rsidRDefault="00A3026E" w:rsidP="00A3026E">
      <w:pPr>
        <w:spacing w:after="0" w:line="240" w:lineRule="auto"/>
        <w:jc w:val="both"/>
        <w:rPr>
          <w:rFonts w:ascii="Times New Roman" w:hAnsi="Times New Roman"/>
          <w:color w:val="000000" w:themeColor="text1"/>
          <w:sz w:val="16"/>
          <w:szCs w:val="16"/>
        </w:rPr>
      </w:pPr>
      <w:hyperlink r:id="rId117" w:tgtFrame="_blank" w:history="1"/>
      <w:r w:rsidR="0061340E" w:rsidRPr="00A3026E">
        <w:rPr>
          <w:rFonts w:ascii="Times New Roman" w:hAnsi="Times New Roman"/>
          <w:color w:val="000000" w:themeColor="text1"/>
          <w:sz w:val="16"/>
          <w:szCs w:val="16"/>
        </w:rPr>
        <w:t>В этот же день, 26 ноября 1940 г., данный документ с </w:t>
      </w:r>
      <w:hyperlink r:id="rId118" w:tgtFrame="_blank" w:history="1">
        <w:r w:rsidR="0061340E" w:rsidRPr="00A3026E">
          <w:rPr>
            <w:rStyle w:val="a5"/>
            <w:rFonts w:ascii="Times New Roman" w:hAnsi="Times New Roman"/>
            <w:color w:val="000000" w:themeColor="text1"/>
            <w:sz w:val="16"/>
            <w:szCs w:val="16"/>
          </w:rPr>
          <w:t>препроводительным письмом № 0857</w:t>
        </w:r>
      </w:hyperlink>
      <w:r w:rsidR="0061340E" w:rsidRPr="00A3026E">
        <w:rPr>
          <w:rFonts w:ascii="Times New Roman" w:hAnsi="Times New Roman"/>
          <w:color w:val="000000" w:themeColor="text1"/>
          <w:sz w:val="16"/>
          <w:szCs w:val="16"/>
        </w:rPr>
        <w:t>, был отправлен в ГАБТУ КА, в военные представительства на заводе № 183 и Кировском заводе, а также начальнику НИ полигона ГАБТУ КА (18173).</w:t>
      </w:r>
    </w:p>
    <w:p w14:paraId="344D5EEA" w14:textId="77777777" w:rsidR="0061340E" w:rsidRPr="00A3026E" w:rsidRDefault="0061340E" w:rsidP="00A3026E">
      <w:pPr>
        <w:spacing w:after="0" w:line="240" w:lineRule="auto"/>
        <w:jc w:val="both"/>
        <w:rPr>
          <w:rFonts w:ascii="Times New Roman" w:hAnsi="Times New Roman"/>
          <w:color w:val="000000" w:themeColor="text1"/>
          <w:sz w:val="16"/>
          <w:szCs w:val="16"/>
        </w:rPr>
      </w:pPr>
    </w:p>
    <w:p w14:paraId="173F18A4"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 после всестороннего изучения и консультаций, начальник ГАБТУ КА Я.Н. Федоренко и заместитель народного комиссара среднего машиностроения А.А. Горегляд подписали протокол по утверждению предложений, изложенных в протоколе от 5 ноября 1940 г. и приложенных к нему перечнях устранения дефектов. При этом часть решений, перечисленных в протоколе от 5 ноября 1940 г. подверглись изменениям. </w:t>
      </w:r>
    </w:p>
    <w:p w14:paraId="6AA1190D"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пункт протокола, касавшийся низкого качества гусениц, был изложен в следующей редакции: </w:t>
      </w:r>
    </w:p>
    <w:p w14:paraId="414B00E2"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получения гусеницы, гарантирующей полный пробег танка, что должно быть выполнено не позже 1-го февраля 1940 г. [опечатка, следует читать 1941 г.] – досылать к каждому танку по второму комплекту гусеницы».</w:t>
      </w:r>
    </w:p>
    <w:p w14:paraId="756DACEC"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1084. Л. 127]</w:t>
      </w:r>
    </w:p>
    <w:p w14:paraId="0B8FDD3D"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Пункт протокола об изменении материала главного вала коробки передач также был отредактирован: </w:t>
      </w:r>
    </w:p>
    <w:p w14:paraId="2927183F"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«Временно, до подбора менее дефицитной стали, по испытаниям удовлетворяющей поставленным требованиям, главный вал коробки перемены передач изготовлять из стали 18ХНВА. На собранных танках замену валов не производить».</w:t>
      </w:r>
    </w:p>
    <w:p w14:paraId="5BD9ED5F"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1084. Л. 127]</w:t>
      </w:r>
    </w:p>
    <w:p w14:paraId="52743019"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Пункт, касавшийся приемки танков Т-34 с увеличенным люфтом башни из протокола был исключен, но забегая вперед, скажем, что этот вопрос окончательно был решен только в начале 1941 г., о чем будет рассказано в следующих главах. Приемку машин с максимальным углом возвышения пушки Л-11 в 25˚ было решено «обсудить особо». Пункт протокола о трещинах в броневых деталях корпусов и башен танков Т-34 был принят в следующем виде: </w:t>
      </w:r>
    </w:p>
    <w:p w14:paraId="4E662013"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допущении надрывов в бронелистах корпуса решить по результатам обстрела бракованного носа. Представить материал обстрела для согласования вопросов приемки не позже 1/XII-40 года».</w:t>
      </w:r>
    </w:p>
    <w:p w14:paraId="3EE94F72"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1084. Л. 127]</w:t>
      </w:r>
    </w:p>
    <w:p w14:paraId="17999A63" w14:textId="77777777" w:rsidR="0061340E" w:rsidRPr="00A3026E" w:rsidRDefault="00A3026E" w:rsidP="00A3026E">
      <w:pPr>
        <w:spacing w:after="0" w:line="240" w:lineRule="auto"/>
        <w:jc w:val="both"/>
        <w:rPr>
          <w:rFonts w:ascii="Times New Roman" w:hAnsi="Times New Roman"/>
          <w:color w:val="000000" w:themeColor="text1"/>
          <w:sz w:val="16"/>
          <w:szCs w:val="16"/>
        </w:rPr>
      </w:pPr>
      <w:hyperlink r:id="rId119" w:tgtFrame="_blank" w:history="1"/>
      <w:r w:rsidR="0061340E" w:rsidRPr="00A3026E">
        <w:rPr>
          <w:rFonts w:ascii="Times New Roman" w:hAnsi="Times New Roman"/>
          <w:color w:val="000000" w:themeColor="text1"/>
          <w:sz w:val="16"/>
          <w:szCs w:val="16"/>
        </w:rPr>
        <w:t>Протокол от 25 ноября 1940 г. с </w:t>
      </w:r>
      <w:hyperlink r:id="rId120" w:tgtFrame="_blank" w:history="1">
        <w:r w:rsidR="0061340E" w:rsidRPr="00A3026E">
          <w:rPr>
            <w:rStyle w:val="a5"/>
            <w:rFonts w:ascii="Times New Roman" w:hAnsi="Times New Roman"/>
            <w:color w:val="000000" w:themeColor="text1"/>
            <w:sz w:val="16"/>
            <w:szCs w:val="16"/>
          </w:rPr>
          <w:t>препроводительным письмом № 77437с</w:t>
        </w:r>
      </w:hyperlink>
      <w:r w:rsidR="0061340E" w:rsidRPr="00A3026E">
        <w:rPr>
          <w:rFonts w:ascii="Times New Roman" w:hAnsi="Times New Roman"/>
          <w:color w:val="000000" w:themeColor="text1"/>
          <w:sz w:val="16"/>
          <w:szCs w:val="16"/>
        </w:rPr>
        <w:t> 14 декабря 1940 г. был отправлен на завод № 183 районному инженеру ГАБТУ КА Д.М. Козыреву для руководства в дальнейшей работе. </w:t>
      </w:r>
    </w:p>
    <w:p w14:paraId="7AC496DC"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Хотелось бы обратить внимание на то, что на момент отправки данного протокола в Харьков, «особое обсуждение» приемки танков Т-34 с максимальным углом возвышения пушки Л-11 в 25˚ уже состоялось. Дело в том, что этот вопрос не терпел дальнейших промедлений, так как по состоянию на начало ноября 1940 г. на всех танках, находившихся в заделе, и на танках, уже принятых заказчиком, максимальный угол возвышения пушки Л-11 составлял 25º, что не соответствовало требованиям ГАБТУ КА. </w:t>
      </w:r>
    </w:p>
    <w:p w14:paraId="62DC8063"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Напомним, что на изготовленных заводом № 183 в начале 1940 г. двух опытных танках А-34 максимальный угол возвышения пушки также составлял 25º. При проведении войсковых испытаний танков А-34 комиссией было установлено, что по тактическим условиям для танка Т-34 максимальный угол возвышения пушки необходимо увеличить до 30°. Это требование было включено в перечень изменений конструкции и доработок, приложенному к дополнительному соглашению № 4-529 к договору № 4-074 между заводом № 183 и ГАБТУ КА. В мае 1940 г. при разработке первого варианта расширенной башни танка Т-34, конструкторами КБ-520 были внесены изменения в размеры выреза в лобовом листе башни, обеспечивавшие угол возвышения пушки Л-11 до 30°. Однако при получении с завода № 183 новых чертежей, Мариупольский завод не внес необходимые изменения в шаблон для выреза амбразуры в лобовом листе башни, в результате чего получился задел в 143 башни с амбразурами, обеспечивающими максимальный угол возвышения пушки в 25°. В итоге к концу 1940 г. значительная часть этих башен заводом № 183 была установлена на танках Т-34. (18206).</w:t>
      </w:r>
    </w:p>
    <w:p w14:paraId="40364994" w14:textId="77777777" w:rsidR="0061340E" w:rsidRPr="00A3026E" w:rsidRDefault="0061340E" w:rsidP="00A3026E">
      <w:pPr>
        <w:spacing w:after="0" w:line="240" w:lineRule="auto"/>
        <w:jc w:val="both"/>
        <w:rPr>
          <w:rFonts w:ascii="Times New Roman" w:hAnsi="Times New Roman"/>
          <w:color w:val="000000" w:themeColor="text1"/>
          <w:sz w:val="16"/>
          <w:szCs w:val="16"/>
        </w:rPr>
      </w:pPr>
    </w:p>
    <w:p w14:paraId="7DB197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25 ноября 1940 г. вышло постановление СНК СССР “О включении в правительственную ВЧ</w:t>
      </w:r>
      <w:r w:rsidRPr="00A3026E">
        <w:rPr>
          <w:rFonts w:ascii="Times New Roman" w:hAnsi="Times New Roman"/>
          <w:color w:val="000000" w:themeColor="text1"/>
          <w:sz w:val="16"/>
          <w:szCs w:val="16"/>
        </w:rPr>
        <w:noBreakHyphen/>
        <w:t>связь объектов Военно-Воздушных Сил Красной Армии” № 2408</w:t>
      </w:r>
      <w:r w:rsidRPr="00A3026E">
        <w:rPr>
          <w:rFonts w:ascii="Times New Roman" w:hAnsi="Times New Roman"/>
          <w:color w:val="000000" w:themeColor="text1"/>
          <w:sz w:val="16"/>
          <w:szCs w:val="16"/>
        </w:rPr>
        <w:noBreakHyphen/>
        <w:t>107сс и аппаратура засекречивания стала устанавливалась на всех таких линиях. В соответствии с постановлением завод “Красная заря” был обязан разработать и изготовить к 01.01.1941 г. 10 образцов, а в течение февраля выпустить еще 150 комплектов панели ПЖ</w:t>
      </w:r>
      <w:r w:rsidRPr="00A3026E">
        <w:rPr>
          <w:rFonts w:ascii="Times New Roman" w:hAnsi="Times New Roman"/>
          <w:color w:val="000000" w:themeColor="text1"/>
          <w:sz w:val="16"/>
          <w:szCs w:val="16"/>
        </w:rPr>
        <w:noBreakHyphen/>
        <w:t>8, которая выполняла функции простого шифратора и подключалась непосредственно к аппаратуре ВЧ</w:t>
      </w:r>
      <w:r w:rsidRPr="00A3026E">
        <w:rPr>
          <w:rFonts w:ascii="Times New Roman" w:hAnsi="Times New Roman"/>
          <w:color w:val="000000" w:themeColor="text1"/>
          <w:sz w:val="16"/>
          <w:szCs w:val="16"/>
        </w:rPr>
        <w:noBreakHyphen/>
        <w:t>телефонирования СМТ</w:t>
      </w:r>
      <w:r w:rsidRPr="00A3026E">
        <w:rPr>
          <w:rFonts w:ascii="Times New Roman" w:hAnsi="Times New Roman"/>
          <w:color w:val="000000" w:themeColor="text1"/>
          <w:sz w:val="16"/>
          <w:szCs w:val="16"/>
        </w:rPr>
        <w:noBreakHyphen/>
        <w:t>34 (11671).</w:t>
      </w:r>
    </w:p>
    <w:p w14:paraId="20FB760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9EAE07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72B17EA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E55D0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появилась нота советского правительства А.Гитлеру с условиями присоединения СССР к Антикоминтерновскому пакту (1348,245).</w:t>
      </w:r>
    </w:p>
    <w:p w14:paraId="5D2998C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FD6C0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 СССР официально сообщил германской стороне об условиях своего присоединения к Тройственному пакту. Германия должна была немедленно вывести свои войска из Финляндии, положившись на гарантии СССР в отношении защиты всех ее экономических интересов в этой стране, включая поставки леса и никеля (1). В течение нескольких месяцев СССР должен был подписать пакт о взаимопомощи с Болгарией и получить в аренду территорию для строительства военно-морской базы в районе Босфора и Дарданелл (2). Центр территориальных устремлений СССР смещался таким образом, что его острие направлялось к югу от Батуми и Баку в направлении Турции и Персидского залива, а не Афганистана и Индии (3). Япония должна была отказаться от угольных и нефтяных концессий на Северном Сахалине (4). В тот же день, не дожидаясь германской реакции, СССР предложил правительству Болгарии заключить пакт о взаимопомощи. Советское предложение было отвергнуто (3871).</w:t>
      </w:r>
    </w:p>
    <w:p w14:paraId="0C941C3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90BD0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Советское правительство осуществило односторонний дипломатический шаг без консультаций с Германией, обратившись к Болгарии с предложением заключить пакт о взаимопомощи. Информируя Димитрова об этой советской инициативе, Сталин заявил: "Если болгары не примут это наше предложение, они попадут целиком в лапы немцев и итальянцев и тогда погибнут". Хотя данное предложение и было отклонено болгарским правительством, попытка СССР включить таким путём Болгарию в свою "сферу влияния" вызвала серьёзное недовольство в Берлине (9492).</w:t>
      </w:r>
    </w:p>
    <w:p w14:paraId="453D8EB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59993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г. в Москве нарком иностранных дел Молотов принял группу германских дипломатов во главе с послом Ф- Шуленбургом. В ходе беседы германский дипломат попросил разрешения отправить в Японию по Транссибирской магистрали два разобранных самолета. Молотов ответил, что ускорит решение этого вопроса. Речь шла о бортовых самолетах для крейсера «Комет». Однако советская сторона начала «тянуть резину» (10670,268).</w:t>
      </w:r>
    </w:p>
    <w:p w14:paraId="4FCE6A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CD7E546" w14:textId="77777777" w:rsidR="00785D81" w:rsidRPr="00A3026E" w:rsidRDefault="00785D8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Переводчик В. М. Бережков вспоминал: "Утром 25 ноября, то есть всего через десять дней после возвращения Молотова из Берлина, нарком вызвал меня к себе.</w:t>
      </w:r>
    </w:p>
    <w:p w14:paraId="41837A2F" w14:textId="77777777" w:rsidR="00785D81" w:rsidRPr="00A3026E" w:rsidRDefault="00785D8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Сегодня в девять вечера, - сказал он, как-то особенно пристально на меня глядя, -я принимаю Шуленбурга. Предупредите его заранее. Предстоит серьезный разговор. Будете переводить...</w:t>
      </w:r>
    </w:p>
    <w:p w14:paraId="6BF3290D" w14:textId="77777777" w:rsidR="00785D81" w:rsidRPr="00A3026E" w:rsidRDefault="00785D8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 позвонил в германское посольство и сообщил, что нарком ожидает посла в своем кабинете в Кремле сегодня вечером, в 21,00.</w:t>
      </w:r>
    </w:p>
    <w:p w14:paraId="6A7AB89A" w14:textId="77777777" w:rsidR="00785D81" w:rsidRPr="00A3026E" w:rsidRDefault="00785D8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Минут за десять я вышел к парадному подъезду здания Совнаркома, чтобы сопроводить посла к Молотову. Граф Вернер фон Шуленбург был мне уже знаком. Не раз приходилось сопровождать наркома внешней торговли Микояна в посольство Германии на улице Станиславского (бывший Леонть-евский переулок) и в личную резиденцию посла в Чистом переулке (там теперь обосновался патриарх всея Руси). Последний раз я видел Шуленбурга на перроне Белорусского вокзала, где он приветствовал Молотова, вернувшегося из Берлина. Тогда посол был в сверкающем цилиндре, во фраке и накинутом на плечи плаще. Теперь же на нем были темно-серое пальто и фетровая шляпа с едва загнутыми вверх полями, как и предписывала новейшая мода. Вместе с постои из черного "мерседеса" вышел советник посольства Густав Хильгер, отлично владевший русским языком и исполнявшим функции переводчика.</w:t>
      </w:r>
    </w:p>
    <w:p w14:paraId="0108E6E8" w14:textId="77777777" w:rsidR="00785D81" w:rsidRPr="00A3026E" w:rsidRDefault="00785D8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Оставив верхнюю одежду в гардеробе, мы поднялись в отделанном красным деревом лифте на второй этаж и направились в апартаменты Председателя Совета Народных Комиссаров СССР. Посол всегда блистал элегантностью. Темный, в едва заметную полоску костюм, белоснежный платок в нагрудном кармане, туго накрахмаленные манжеты, скрепленные крупными золотыми запонками, такой же жесткий воротничок, заставлявший держать голову высоко поднятой. Поэтому хорошо был виден широкий черный галстук, завязанный свободным узлом и заколотый булавкой с голубоватой жемчужиной. Наголо бритая голова и смуглая кожа, обтягивавшая скулы, придавали лицу с ухоженными усиками ориентальный облик... Шуленбург уверенно шествовал впереди нас по кремлевскому коридору - высокий, подтянутый, знающий себе цену. Кто мог подумать, что пройдет не так уж много времени и гестаповские палачи казнят его, как участника неудавшегося покушения на Гитлера"..</w:t>
      </w:r>
    </w:p>
    <w:p w14:paraId="4D8F0887" w14:textId="77777777" w:rsidR="00785D81" w:rsidRPr="00A3026E" w:rsidRDefault="00785D8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Поздоровавшись с гостями и предложив разместиться за стоявшим вдоль стены длинным столом, покрытым;зеленым сукном, Молотов заявил:</w:t>
      </w:r>
    </w:p>
    <w:p w14:paraId="0347105E" w14:textId="77777777" w:rsidR="00785D81" w:rsidRPr="00A3026E" w:rsidRDefault="00785D8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 пригласил вас, господин посол, чтобы сообщить следующее. Советское правительство внимательно рассмотрело предложение, сделанное 13 ноября министром иностранных дел Германии Риббентропом, и готово на определенных условиях положительно отнестись к заключению "пакта четырех" о политическом и экономическом сотрудничестве...</w:t>
      </w:r>
    </w:p>
    <w:p w14:paraId="584BA59D" w14:textId="77777777" w:rsidR="00785D81" w:rsidRPr="00A3026E" w:rsidRDefault="00785D8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Далее нарком перечислил упомянутые условия. Они сводились к следующему: немедленный вывод германских войск из Финляндии, обеспечение безопасности черноморских границ СССР путем заключения советско-болгарского договора о взаимопомощи, создание баз для военных и военно-морских сил СССР в районе Босфора и Дарданелл на основе долгосрочной аренды, признание советских преимущественных интересов в регионе южнее Батуми и Баку в направлении Персидского залива, отказ Японии от концессионных прав на уголь и нефть Северного Сахалина.</w:t>
      </w:r>
    </w:p>
    <w:p w14:paraId="691D4C1B" w14:textId="77777777" w:rsidR="00785D81" w:rsidRPr="00A3026E" w:rsidRDefault="00785D8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этими пожеланиями, -продолжал Молотов, - следует внести поправки в предложения господина Риббентропа относительно протоколов. Мы полагаем, что в случае возражений Турции против советских баз в проливах, трем державам - Германии, Италии и Советскому Союзу - следует разработать и осуществить необходимые дипломатические и военные мероприятия. Поэтому советское правительство считает, что четырехсторонний договор должен сопровождаться не двумя, как предусматривает, а пятью секретными протоколами...</w:t>
      </w:r>
    </w:p>
    <w:p w14:paraId="23FD9103" w14:textId="77777777" w:rsidR="00785D81" w:rsidRPr="00A3026E" w:rsidRDefault="00785D8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Кратко изложив содержание этих протоколов, нарком попросил посла срочно передать в Берлин советские соображения относительно "пакта четырех".</w:t>
      </w:r>
    </w:p>
    <w:p w14:paraId="51B0D477" w14:textId="77777777" w:rsidR="00785D81" w:rsidRPr="00A3026E" w:rsidRDefault="00785D8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Мы надеемся на скорый ответ германского правительства, - заключил Молотов.</w:t>
      </w:r>
    </w:p>
    <w:p w14:paraId="07D3B1CD" w14:textId="77777777" w:rsidR="00785D81" w:rsidRPr="00A3026E" w:rsidRDefault="00785D8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Провожая Шуленбурга к выходу, я был весь во власти обуревавших меня чувств. Наши базы на Босфоре и в Дарданеллах!... Неужели эту извечную мечту русских самодержцев осуществит Сталин" Действительно, будет, за что величать его мудрым и великим. Меня охватил какой-то великодержавный угар. Я совершенно не задумывался над тем, сколько горя, слез и крови принесла бы реализация этих планов..." (18701).</w:t>
      </w:r>
    </w:p>
    <w:p w14:paraId="5F58AD68" w14:textId="77777777" w:rsidR="00785D81" w:rsidRPr="00A3026E" w:rsidRDefault="00785D81" w:rsidP="00A3026E">
      <w:pPr>
        <w:spacing w:after="0" w:line="240" w:lineRule="auto"/>
        <w:jc w:val="both"/>
        <w:rPr>
          <w:rFonts w:ascii="Times New Roman" w:hAnsi="Times New Roman"/>
          <w:color w:val="000000" w:themeColor="text1"/>
          <w:sz w:val="16"/>
          <w:szCs w:val="16"/>
        </w:rPr>
      </w:pPr>
    </w:p>
    <w:p w14:paraId="680167D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18FA778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BC7711E" w14:textId="77777777" w:rsidR="00A23B5F" w:rsidRPr="00A3026E" w:rsidRDefault="00A23B5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совершил первый полет DH-98 Москито-1 (173,277).</w:t>
      </w:r>
    </w:p>
    <w:p w14:paraId="0D4B8343" w14:textId="77777777" w:rsidR="00A23B5F" w:rsidRPr="00A3026E" w:rsidRDefault="00A23B5F" w:rsidP="00A3026E">
      <w:pPr>
        <w:spacing w:after="0" w:line="240" w:lineRule="auto"/>
        <w:jc w:val="both"/>
        <w:rPr>
          <w:rFonts w:ascii="Times New Roman" w:hAnsi="Times New Roman"/>
          <w:color w:val="000000" w:themeColor="text1"/>
          <w:sz w:val="16"/>
          <w:szCs w:val="16"/>
        </w:rPr>
      </w:pPr>
    </w:p>
    <w:p w14:paraId="24F76261" w14:textId="77777777" w:rsidR="00A23B5F" w:rsidRPr="00A3026E" w:rsidRDefault="00A23B5F" w:rsidP="00A3026E">
      <w:pPr>
        <w:spacing w:after="0" w:line="240" w:lineRule="auto"/>
        <w:jc w:val="both"/>
        <w:rPr>
          <w:rStyle w:val="ucoz-forum-post"/>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25 ноября 1940 года</w:t>
      </w:r>
      <w:r w:rsidRPr="00A3026E">
        <w:rPr>
          <w:rStyle w:val="ucoz-forum-post"/>
          <w:rFonts w:ascii="Times New Roman" w:hAnsi="Times New Roman"/>
          <w:color w:val="000000" w:themeColor="text1"/>
          <w:sz w:val="16"/>
          <w:szCs w:val="16"/>
        </w:rPr>
        <w:t xml:space="preserve"> Первый полет бомбардировщика DH-98 «Москито», Англия. DH-98 - скоростной двухмоторный бомбардировщик представлял собой небольших размеров цельнодеревянный моноплан. Самолет был малозаметен для радаров ПВО противника, поскольку был сделан из дерева. Скорость - 640 км/ч, двигатели водяного охлаждения по 1460 л.с. каждый. На "Москито" не было вооружения - высокая скорость и малозаметность позволяли бомбардировщику уходить от преследования истребителей. Это была единственная английская машина, которая применялась для дневных бомбардировок Германии (14840).</w:t>
      </w:r>
    </w:p>
    <w:p w14:paraId="4185F031" w14:textId="77777777" w:rsidR="00A23B5F" w:rsidRPr="00A3026E" w:rsidRDefault="00A23B5F" w:rsidP="00A3026E">
      <w:pPr>
        <w:spacing w:after="0" w:line="240" w:lineRule="auto"/>
        <w:jc w:val="both"/>
        <w:rPr>
          <w:rStyle w:val="ucoz-forum-post"/>
          <w:rFonts w:ascii="Times New Roman" w:hAnsi="Times New Roman"/>
          <w:color w:val="000000" w:themeColor="text1"/>
          <w:sz w:val="16"/>
          <w:szCs w:val="16"/>
        </w:rPr>
      </w:pPr>
    </w:p>
    <w:p w14:paraId="61FC1904"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 ноября 1940 года — первый полёт многоцелевого бомбардировщика de Havilland DH.98 Mosquito.</w:t>
      </w:r>
    </w:p>
    <w:p w14:paraId="1F58A8AA"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1936 году британское авиационное министерство выпустило спецификацию P.13/36 на двухмоторный средний бомбардировщик. В ответ de Havilland представила проект DH.98 Mosquito. Пригодился опыт, полученный при создании гоночного самолёта DH.88 Comet и авиалайнера DH.91 Albatross.</w:t>
      </w:r>
    </w:p>
    <w:p w14:paraId="274B3F0D"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Mosquito был цельнодеревянным (фанера, бальса, ель) высокопланом. Оснащался двигателями Rolls-Royce Merlin 76/77. Экипаж состоял из 2 человек. Вооружение зависело от модификации — в роли бомбардировщика DH.98 мог нести до 1800 кг бомб. Максимальная скорость — до 668 км/ч. Дальность полёта — 2100 км.</w:t>
      </w:r>
    </w:p>
    <w:p w14:paraId="0CBE9F88"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Несмотря на скептическое отношение к невооружённому бомбардировщику, в 1941 году Mosquito приняли на вооружение. Всего построили 7781 самолёт. Они использовались как средние и ночные бомбардировщики, самолёты-разведчики, штурмовики и т.д. Сохранилось ~30 нелетающих Mosquito и 4 в лётном состоянии (22300).</w:t>
      </w:r>
    </w:p>
    <w:p w14:paraId="07FAD4AA" w14:textId="77777777" w:rsidR="00DE412A" w:rsidRPr="00A3026E" w:rsidRDefault="00DE412A" w:rsidP="00A3026E">
      <w:pPr>
        <w:spacing w:after="0" w:line="240" w:lineRule="auto"/>
        <w:jc w:val="both"/>
        <w:rPr>
          <w:rFonts w:ascii="Times New Roman" w:hAnsi="Times New Roman"/>
          <w:color w:val="0070C0"/>
          <w:sz w:val="16"/>
          <w:szCs w:val="16"/>
        </w:rPr>
      </w:pPr>
    </w:p>
    <w:p w14:paraId="3CBD3056" w14:textId="77777777" w:rsidR="00DE412A" w:rsidRPr="00A3026E" w:rsidRDefault="00DE412A"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 ноября 1940 года шеф-пилот фирмы Джеффри де Хевиленд (старший сын президента компании) и штурман Дж. Уокер облетали первый DH.98 Mosquito. Самолет получился скоростным и маневренным, а дальность с максимальной нагрузкой была приемлемой. Основные проблемы касались охлаждения моторов и кинематики шасси, но и они были решены. Самолет не срывался в штопор, и автоматические предкрылки убрали. Закрылки обеспечивали работу со стандартного бетонированного аэродрома с предельным весом. Усилия на рычагах управления и реакция на рули были в норме, но из-за задней центровки и большой нагрузки на крыло самолет оказался сложен в управлении и был доступен только летчикам высокой квалификации (22852).</w:t>
      </w:r>
    </w:p>
    <w:p w14:paraId="40F41E05" w14:textId="77777777" w:rsidR="00DE412A" w:rsidRPr="00A3026E" w:rsidRDefault="00DE412A" w:rsidP="00A3026E">
      <w:pPr>
        <w:shd w:val="clear" w:color="auto" w:fill="FFFFFF"/>
        <w:spacing w:after="0" w:line="240" w:lineRule="auto"/>
        <w:jc w:val="both"/>
        <w:rPr>
          <w:rFonts w:ascii="Times New Roman" w:hAnsi="Times New Roman"/>
          <w:color w:val="0070C0"/>
          <w:sz w:val="16"/>
          <w:szCs w:val="16"/>
        </w:rPr>
      </w:pPr>
    </w:p>
    <w:p w14:paraId="277EB3FF" w14:textId="77777777" w:rsidR="00D4018A" w:rsidRPr="00A3026E" w:rsidRDefault="00D4018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 ноября 1940 выполнил первый полет de Havilland Mosquito, прототип W4050 (20795).</w:t>
      </w:r>
    </w:p>
    <w:p w14:paraId="42CC1753" w14:textId="77777777" w:rsidR="00D4018A" w:rsidRPr="00A3026E" w:rsidRDefault="00D4018A" w:rsidP="00A3026E">
      <w:pPr>
        <w:spacing w:after="0" w:line="240" w:lineRule="auto"/>
        <w:jc w:val="both"/>
        <w:rPr>
          <w:rFonts w:ascii="Times New Roman" w:hAnsi="Times New Roman"/>
          <w:color w:val="0070C0"/>
          <w:sz w:val="16"/>
          <w:szCs w:val="16"/>
        </w:rPr>
      </w:pPr>
    </w:p>
    <w:p w14:paraId="70308A4B"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 ноября 1940 - Первый полет совершил средний бомбардировщик Martin B-26 Marauder, его поднял в воздух главный инженер К. Эбель (22484).</w:t>
      </w:r>
    </w:p>
    <w:p w14:paraId="11364F58" w14:textId="77777777" w:rsidR="00DE412A" w:rsidRPr="00A3026E" w:rsidRDefault="00DE412A" w:rsidP="00A3026E">
      <w:pPr>
        <w:spacing w:after="0" w:line="240" w:lineRule="auto"/>
        <w:jc w:val="both"/>
        <w:rPr>
          <w:rFonts w:ascii="Times New Roman" w:hAnsi="Times New Roman"/>
          <w:color w:val="0070C0"/>
          <w:sz w:val="16"/>
          <w:szCs w:val="16"/>
        </w:rPr>
      </w:pPr>
    </w:p>
    <w:p w14:paraId="54EB1F11" w14:textId="77777777" w:rsidR="00D4018A" w:rsidRPr="00A3026E" w:rsidRDefault="00D4018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25 ноября 1940 выполнил первый полет Мартин Б-26 Мародер (20795). </w:t>
      </w:r>
    </w:p>
    <w:p w14:paraId="5B13A15F" w14:textId="77777777" w:rsidR="00D4018A" w:rsidRPr="00A3026E" w:rsidRDefault="00D4018A" w:rsidP="00A3026E">
      <w:pPr>
        <w:spacing w:after="0" w:line="240" w:lineRule="auto"/>
        <w:jc w:val="both"/>
        <w:rPr>
          <w:rFonts w:ascii="Times New Roman" w:hAnsi="Times New Roman"/>
          <w:color w:val="0070C0"/>
          <w:sz w:val="16"/>
          <w:szCs w:val="16"/>
        </w:rPr>
      </w:pPr>
    </w:p>
    <w:p w14:paraId="6B8E8C40"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 ноября 1940 было заказано 134 серийных PBY-5 с 1200-сильными R-1830-92 и унифицированным со всеми типами самолетов ВМС оборудованием и вооружением (это позволило сэкономить тысячи долларов на каждой машине).</w:t>
      </w:r>
    </w:p>
    <w:p w14:paraId="56A776AC" w14:textId="77777777" w:rsidR="00DE412A" w:rsidRPr="00A3026E" w:rsidRDefault="00DE412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Из-за необходимости поставок в Англию по ленд-лизу, заказ на PBY-5 был увеличен и до 1943 года было построено 684 таких самолетов. За год отработали гидравлическую систему уборки шасси, обеспечили возможность подвески бомб калибра до 454 кг (их общая масса достигла 1814 кг), улучшили оборонительное вооружение, ввели броню и протектирование баков  (33816).</w:t>
      </w:r>
    </w:p>
    <w:p w14:paraId="71809566" w14:textId="77777777" w:rsidR="00DE412A" w:rsidRPr="00A3026E" w:rsidRDefault="00DE412A" w:rsidP="00A3026E">
      <w:pPr>
        <w:spacing w:after="0" w:line="240" w:lineRule="auto"/>
        <w:jc w:val="both"/>
        <w:rPr>
          <w:rFonts w:ascii="Times New Roman" w:hAnsi="Times New Roman"/>
          <w:color w:val="0070C0"/>
          <w:sz w:val="16"/>
          <w:szCs w:val="16"/>
        </w:rPr>
      </w:pPr>
    </w:p>
    <w:p w14:paraId="4A5C502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Болгария отвергла идею вступления в союз с Германией (4962).</w:t>
      </w:r>
    </w:p>
    <w:p w14:paraId="527CE06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BB8EA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ноября 1940 итальянцы вывели в море тяжелые корабли, но английские легкие крейсера и эсминцы нанесли им повреждения и поход закончился (2536,232).</w:t>
      </w:r>
    </w:p>
    <w:p w14:paraId="1FFA449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F24FC9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8FBE4A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27EED4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года в ходе заводских испытаний двухмоторного ближнего бомбардировщика с моторами М-105 ТК Архангельского на рулежке сложилось шасси (4048, 4).</w:t>
      </w:r>
    </w:p>
    <w:p w14:paraId="3A6168C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5FD65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г, после осуществления перелета, во время руления по аэродрому сломался подкос левой ноги шасси самолета Б-1 А.А.А.. Аварию определяли как ошибку, допущенную при конструировании узла шасси. Следует оговориться, что одностоечное шасси «Б» действительно получилось несколько «мудреным», что прекрасно иллюстрируют фото аварии. Ремонт шасси повлек за собой соответствующие доделки и доводки, что затянуло выход машины на аэродром. На фоне успешных испытаний и последующего запуска в серию Пе-2 интерес к «Б» пропал и его дальнейшее совершенствование прекратили (6206, 21).</w:t>
      </w:r>
    </w:p>
    <w:p w14:paraId="253246F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DA00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после завершения девятого полета произошла авария с самолетом Б. На рулежке разрушилась верхняя опора стержня амортизатора шасси, конструкцию которого заимствовали с СБ. Стойка шасси подломилась, и перемещавшийся уже на небольшой скорости бомбардировщик лег на крыло (6409).</w:t>
      </w:r>
    </w:p>
    <w:p w14:paraId="0A58992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F76E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г., после посадки на аэродром в Филях, во время руления сломался левый подкос шасси на Б-1 (9660).</w:t>
      </w:r>
    </w:p>
    <w:p w14:paraId="464CFF8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2F421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на рулежке сломали шасси первого экз. ББ с 2хМ-105ТК А.А.Архангельского, но без ТК (822). Это был Б и л был Станкевич (2080,176).</w:t>
      </w:r>
    </w:p>
    <w:p w14:paraId="3ABFD40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C363E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г., после осуществления перелета, во время руления по аэродрому сломались подкосы левой стойки шасси, в результате чего самолет получил небольшие повреждения. Самолет "Б" был окрашен светло-серой эмалью без нанесения опознавательных знаков. В качестве отличия имел нетипичную декоративную отделку в виде полос и "молний" на фюзеляже, моторных гондолах и хвостовом оперении. На рулях поворота с каждой стороны была нарисована стилизованная буква "Б" (12027).</w:t>
      </w:r>
    </w:p>
    <w:p w14:paraId="7815118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B4E18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г. Н.Н.Поликарпов направил народно</w:t>
      </w:r>
      <w:r w:rsidRPr="00A3026E">
        <w:rPr>
          <w:rFonts w:ascii="Times New Roman" w:hAnsi="Times New Roman"/>
          <w:color w:val="000000" w:themeColor="text1"/>
          <w:sz w:val="16"/>
          <w:szCs w:val="16"/>
        </w:rPr>
        <w:softHyphen/>
        <w:t>му комиссару авиационной промышленности А.И.Шахурину письмо:</w:t>
      </w:r>
    </w:p>
    <w:p w14:paraId="5E1553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 что войсковые испытаний самолетов И-153 (Чайка) с синхронными пушками ШВАК калибром 20 мм закончены 17 ноября 1940 г. Ре</w:t>
      </w:r>
      <w:r w:rsidRPr="00A3026E">
        <w:rPr>
          <w:rFonts w:ascii="Times New Roman" w:hAnsi="Times New Roman"/>
          <w:color w:val="000000" w:themeColor="text1"/>
          <w:sz w:val="16"/>
          <w:szCs w:val="16"/>
        </w:rPr>
        <w:softHyphen/>
        <w:t>зультаты испытаний признаны Комиссией ВВС вполне удовлетворительными и показали, что самолет И-153 с синхронными пушками является актуальным штурмо</w:t>
      </w:r>
      <w:r w:rsidRPr="00A3026E">
        <w:rPr>
          <w:rFonts w:ascii="Times New Roman" w:hAnsi="Times New Roman"/>
          <w:color w:val="000000" w:themeColor="text1"/>
          <w:sz w:val="16"/>
          <w:szCs w:val="16"/>
        </w:rPr>
        <w:softHyphen/>
        <w:t>виком для борьбы с танками и наземными целями. Вви</w:t>
      </w:r>
      <w:r w:rsidRPr="00A3026E">
        <w:rPr>
          <w:rFonts w:ascii="Times New Roman" w:hAnsi="Times New Roman"/>
          <w:color w:val="000000" w:themeColor="text1"/>
          <w:sz w:val="16"/>
          <w:szCs w:val="16"/>
        </w:rPr>
        <w:softHyphen/>
        <w:t>ду этого, прошу Вашего распоряжения о серийном выпуске указанных самолетов». Такое распоряжение последовало, и И-153П строил</w:t>
      </w:r>
      <w:r w:rsidRPr="00A3026E">
        <w:rPr>
          <w:rFonts w:ascii="Times New Roman" w:hAnsi="Times New Roman"/>
          <w:color w:val="000000" w:themeColor="text1"/>
          <w:sz w:val="16"/>
          <w:szCs w:val="16"/>
        </w:rPr>
        <w:softHyphen/>
        <w:t>ся серийно в 1940-1941 гг., участвовал в Великой Отече</w:t>
      </w:r>
      <w:r w:rsidRPr="00A3026E">
        <w:rPr>
          <w:rFonts w:ascii="Times New Roman" w:hAnsi="Times New Roman"/>
          <w:color w:val="000000" w:themeColor="text1"/>
          <w:sz w:val="16"/>
          <w:szCs w:val="16"/>
        </w:rPr>
        <w:softHyphen/>
        <w:t>ственной войне (10667).</w:t>
      </w:r>
    </w:p>
    <w:p w14:paraId="734381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FC52F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года нарком Шахурин докладывал Ста</w:t>
      </w:r>
      <w:r w:rsidRPr="00A3026E">
        <w:rPr>
          <w:rFonts w:ascii="Times New Roman" w:hAnsi="Times New Roman"/>
          <w:color w:val="000000" w:themeColor="text1"/>
          <w:sz w:val="16"/>
          <w:szCs w:val="16"/>
        </w:rPr>
        <w:softHyphen/>
        <w:t>лину:</w:t>
      </w:r>
    </w:p>
    <w:p w14:paraId="4AB7A1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Вашим указанием группой аресто</w:t>
      </w:r>
      <w:r w:rsidRPr="00A3026E">
        <w:rPr>
          <w:rFonts w:ascii="Times New Roman" w:hAnsi="Times New Roman"/>
          <w:color w:val="000000" w:themeColor="text1"/>
          <w:sz w:val="16"/>
          <w:szCs w:val="16"/>
        </w:rPr>
        <w:softHyphen/>
        <w:t>ванных специалистов &lt;...&gt; ОСБ (особое бюро, больше изве</w:t>
      </w:r>
      <w:r w:rsidRPr="00A3026E">
        <w:rPr>
          <w:rFonts w:ascii="Times New Roman" w:hAnsi="Times New Roman"/>
          <w:color w:val="000000" w:themeColor="text1"/>
          <w:sz w:val="16"/>
          <w:szCs w:val="16"/>
        </w:rPr>
        <w:softHyphen/>
        <w:t>стное как ЦКБ-29) под руководством То-машевича Д.Л. проектируется одноместный одномотор</w:t>
      </w:r>
      <w:r w:rsidRPr="00A3026E">
        <w:rPr>
          <w:rFonts w:ascii="Times New Roman" w:hAnsi="Times New Roman"/>
          <w:color w:val="000000" w:themeColor="text1"/>
          <w:sz w:val="16"/>
          <w:szCs w:val="16"/>
        </w:rPr>
        <w:softHyphen/>
        <w:t>ный истребитель ВИ-1 (с мотором М-105П-Ф с ТК).</w:t>
      </w:r>
    </w:p>
    <w:p w14:paraId="01BCE4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ВИ-1 проектируется в двух вариантах — с гермокаби-ной (ГК) и без гермокабины. Оба варианта имеют общую схему... Самолеты, будут отличаться только передней час</w:t>
      </w:r>
      <w:r w:rsidRPr="00A3026E">
        <w:rPr>
          <w:rFonts w:ascii="Times New Roman" w:hAnsi="Times New Roman"/>
          <w:color w:val="000000" w:themeColor="text1"/>
          <w:sz w:val="16"/>
          <w:szCs w:val="16"/>
        </w:rPr>
        <w:softHyphen/>
        <w:t>тью фюзеляжа».</w:t>
      </w:r>
    </w:p>
    <w:p w14:paraId="4683CF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расчетам эти машины (с гермокабиной и без нее) мог</w:t>
      </w:r>
      <w:r w:rsidRPr="00A3026E">
        <w:rPr>
          <w:rFonts w:ascii="Times New Roman" w:hAnsi="Times New Roman"/>
          <w:color w:val="000000" w:themeColor="text1"/>
          <w:sz w:val="16"/>
          <w:szCs w:val="16"/>
        </w:rPr>
        <w:softHyphen/>
        <w:t>ли развивать скорость 650 и 655 км/ч соответственно. На вы</w:t>
      </w:r>
      <w:r w:rsidRPr="00A3026E">
        <w:rPr>
          <w:rFonts w:ascii="Times New Roman" w:hAnsi="Times New Roman"/>
          <w:color w:val="000000" w:themeColor="text1"/>
          <w:sz w:val="16"/>
          <w:szCs w:val="16"/>
        </w:rPr>
        <w:softHyphen/>
        <w:t>соту 8000 метров они могли подниматься за 10 и 9,5 минут, и летать на расстояние до 1750 км. Вооружение планирова</w:t>
      </w:r>
      <w:r w:rsidRPr="00A3026E">
        <w:rPr>
          <w:rFonts w:ascii="Times New Roman" w:hAnsi="Times New Roman"/>
          <w:color w:val="000000" w:themeColor="text1"/>
          <w:sz w:val="16"/>
          <w:szCs w:val="16"/>
        </w:rPr>
        <w:softHyphen/>
        <w:t>лось из пушки калибра 23 мм, четырех пулеметов, два из ко</w:t>
      </w:r>
      <w:r w:rsidRPr="00A3026E">
        <w:rPr>
          <w:rFonts w:ascii="Times New Roman" w:hAnsi="Times New Roman"/>
          <w:color w:val="000000" w:themeColor="text1"/>
          <w:sz w:val="16"/>
          <w:szCs w:val="16"/>
        </w:rPr>
        <w:softHyphen/>
        <w:t>торых — крупнокалиберные (10745,193).</w:t>
      </w:r>
    </w:p>
    <w:p w14:paraId="49AA49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4D21A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с письмом № 26/479 Зам. Нач. ОКО Жиганова Зам. Нач. 7 ГУ НКАП Шишкину был направлен Отчет о ДВИЖЕНИИ ОПЫТНЫХ РАБОТ В ОКО ЗАВОДА № 135 на 25 ноября 1940 г.</w:t>
      </w:r>
    </w:p>
    <w:p w14:paraId="2B45DA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маш..330 (Заказ 360)</w:t>
      </w:r>
    </w:p>
    <w:p w14:paraId="31EC69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Техническая готовность незаконченных монтажей следующая:</w:t>
      </w:r>
    </w:p>
    <w:p w14:paraId="5589BE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w:t>
      </w:r>
    </w:p>
    <w:p w14:paraId="206B7C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Капот</w:t>
      </w:r>
    </w:p>
    <w:p w14:paraId="56A542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Маслорадиатор</w:t>
      </w:r>
    </w:p>
    <w:p w14:paraId="1CEB98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Маслопроводка</w:t>
      </w:r>
    </w:p>
    <w:p w14:paraId="154614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Водорадиатор</w:t>
      </w:r>
    </w:p>
    <w:p w14:paraId="3C9346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Костыль</w:t>
      </w:r>
    </w:p>
    <w:p w14:paraId="790B25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Козырек</w:t>
      </w:r>
    </w:p>
    <w:p w14:paraId="3BBACF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Кок на винт</w:t>
      </w:r>
    </w:p>
    <w:p w14:paraId="08A75E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Щитки шасси</w:t>
      </w:r>
    </w:p>
    <w:p w14:paraId="17E7EA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 группа</w:t>
      </w:r>
    </w:p>
    <w:p w14:paraId="372DD0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рулю и газоанализатору вносятся изменения в установленные агрегаты.</w:t>
      </w:r>
    </w:p>
    <w:p w14:paraId="73A7CF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сих пор не получены:</w:t>
      </w:r>
    </w:p>
    <w:p w14:paraId="07D326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p w14:paraId="4A7400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Пушка</w:t>
      </w:r>
    </w:p>
    <w:p w14:paraId="5F5630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Клапан двойного действия</w:t>
      </w:r>
    </w:p>
    <w:p w14:paraId="08A14B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Бензиномер Телевель</w:t>
      </w:r>
    </w:p>
    <w:p w14:paraId="2EE4AE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Рация</w:t>
      </w:r>
    </w:p>
    <w:p w14:paraId="161351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Р-2</w:t>
      </w:r>
    </w:p>
    <w:p w14:paraId="7E1C4A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серийной машины с М-81</w:t>
      </w:r>
    </w:p>
    <w:p w14:paraId="1E6630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Машина на заводском аэродроме, проводится подготовка к первому вылету.</w:t>
      </w:r>
    </w:p>
    <w:p w14:paraId="514DB7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17 ноября 1940 был заменен вал и проверен мотор.</w:t>
      </w:r>
    </w:p>
    <w:p w14:paraId="2D8517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Дано разрешение на эксплоатацию.</w:t>
      </w:r>
    </w:p>
    <w:p w14:paraId="65E9CC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сегодняшний день нет переходника к автомату Р7 - задерживает завод № 19</w:t>
      </w:r>
    </w:p>
    <w:p w14:paraId="554882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Планер МН для стат. испытаний.</w:t>
      </w:r>
    </w:p>
    <w:p w14:paraId="59BB90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Произведены испытания оперения, элеронова, щитков, управления рулями.</w:t>
      </w:r>
    </w:p>
    <w:p w14:paraId="0BB39C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Подготавливается испытание управления элеронами от 2-го пилота.</w:t>
      </w:r>
    </w:p>
    <w:p w14:paraId="0486DF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серийной машины с М-81 (дублер)</w:t>
      </w:r>
    </w:p>
    <w:p w14:paraId="454BED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Изготовление новой машины передано серийному производству.</w:t>
      </w:r>
    </w:p>
    <w:p w14:paraId="0CEE22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ББ-1 МАИ</w:t>
      </w:r>
    </w:p>
    <w:p w14:paraId="269CDA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Продолжилось проектирование изменяемых узлов</w:t>
      </w:r>
    </w:p>
    <w:p w14:paraId="6A7D56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Производится заготовка деталей по рулю глубины, стабилизатору, управлению, костылю и консолей крыла.</w:t>
      </w:r>
    </w:p>
    <w:p w14:paraId="657F20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Машина ДИС</w:t>
      </w:r>
    </w:p>
    <w:p w14:paraId="59161F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Производится увязка и разработка конструкции агрегатов</w:t>
      </w:r>
    </w:p>
    <w:p w14:paraId="40B081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Запущен в производство макет самолета и опытные отсеки крыла (874,80).</w:t>
      </w:r>
    </w:p>
    <w:p w14:paraId="4E63A81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0346F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года начальник НИП АВ ВВС полковник Шевченко утвердил:</w:t>
      </w:r>
    </w:p>
    <w:p w14:paraId="56B384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заводским испытаниям авиационно-дымовых шашек (АДШ) конструкции завода № 145</w:t>
      </w:r>
    </w:p>
    <w:p w14:paraId="3FE033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5 октября 1940 года</w:t>
      </w:r>
    </w:p>
    <w:p w14:paraId="172F8B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29 октября 1940 года</w:t>
      </w:r>
    </w:p>
    <w:p w14:paraId="160398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 ст. инженер 4 отделения опытного отдела НИП АВ ВВС в/инженер 2 ранга Рублев</w:t>
      </w:r>
    </w:p>
    <w:p w14:paraId="23050F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143ADA2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безотказность действия авиационных дымовых шашек и эффективность полученной при этом дымзавесы.</w:t>
      </w:r>
    </w:p>
    <w:p w14:paraId="30CEC42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возможность и безопасность применения дымшашек из кассет АБК-1 и АБК-3.</w:t>
      </w:r>
    </w:p>
    <w:p w14:paraId="074723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F20DC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Авиционно-дымовые шашки конструкции завода № 145 заводские испытания выдержали (7540).</w:t>
      </w:r>
    </w:p>
    <w:p w14:paraId="3AB8949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62A0A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было письмо УА ВМФ в НИИ-3 с просьбой откомандировать инженера в Северный флот (Мур</w:t>
      </w:r>
      <w:r w:rsidRPr="00A3026E">
        <w:rPr>
          <w:rFonts w:ascii="Times New Roman" w:hAnsi="Times New Roman"/>
          <w:color w:val="000000" w:themeColor="text1"/>
          <w:sz w:val="16"/>
          <w:szCs w:val="16"/>
        </w:rPr>
        <w:softHyphen/>
        <w:t>манск) для обучения личного состава авиации ВМФ применению РС-82» (11402).</w:t>
      </w:r>
    </w:p>
    <w:p w14:paraId="25E7645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9001B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г. Особое Совещание при Народном Комиссаре Внутренних Дел СССР</w:t>
      </w:r>
    </w:p>
    <w:p w14:paraId="54194D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СЛУШАЛИ, докладывал некто Кузнецов, ст. помощник Военного прокурора ПРИВО Басалаева (почему так – неясно: существовал приказ по НКВД, согласно которому доклад на ОСО делает местный начальник НКВД или его заместитель). </w:t>
      </w:r>
    </w:p>
    <w:p w14:paraId="69AC16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ПОСТАНОВИЛИ: … </w:t>
      </w:r>
      <w:r w:rsidRPr="00A3026E">
        <w:rPr>
          <w:rFonts w:ascii="Times New Roman" w:hAnsi="Times New Roman"/>
          <w:iCs/>
          <w:color w:val="000000" w:themeColor="text1"/>
          <w:sz w:val="16"/>
          <w:szCs w:val="16"/>
        </w:rPr>
        <w:t>Дайбога</w:t>
      </w:r>
      <w:r w:rsidRPr="00A3026E">
        <w:rPr>
          <w:rFonts w:ascii="Times New Roman" w:hAnsi="Times New Roman"/>
          <w:color w:val="000000" w:themeColor="text1"/>
          <w:sz w:val="16"/>
          <w:szCs w:val="16"/>
        </w:rPr>
        <w:t xml:space="preserve"> за шпионскую деятельность - заключить в исправительно-трудовой лагерь сроком на ВОСЕМЬ лет, считая срок с 17-го мая 1940 г., с зачётом предварительного заключения с 15 октября 1937 г. по 29 февраля 1940 года. </w:t>
      </w:r>
    </w:p>
    <w:p w14:paraId="09E51F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Местом отбытия наказания был определён Устьвымлаг, что в верховьях Волги у пос. Татарская Коми АССР. Очередной этап доставил сюда Семёна Ефимовича 7 декабря 1940 года…(12724).</w:t>
      </w:r>
    </w:p>
    <w:p w14:paraId="35E7EC1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57E8B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5086C80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DB5C7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26 ноября по 17 декабря 1940 для устранения недостатков, выявленных при испы</w:t>
      </w:r>
      <w:r w:rsidRPr="00A3026E">
        <w:rPr>
          <w:rFonts w:ascii="Times New Roman" w:hAnsi="Times New Roman"/>
          <w:color w:val="000000" w:themeColor="text1"/>
          <w:sz w:val="16"/>
          <w:szCs w:val="16"/>
        </w:rPr>
        <w:softHyphen/>
        <w:t>таниях, в конструкцию пушки Ф-34 были внесены следующие изменения: изготовлен новый цилиндр тормоза, кожух; добавлена специальная трубка для упрощения наполнения накатника жидкостью; для уравновешивания укороченного орудия сделаны вырезы в стенках гильзоулавливателя (10782).</w:t>
      </w:r>
    </w:p>
    <w:p w14:paraId="21B95A9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D41A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26 ноября по 16 декабря 1940 в конструкцию пушки Ф-34 внесли изменения по итогам испытаний, а также приступили к подготовке технологической документации для организации производства. В тот же день директор завода № 92 получил письмо от начальника АБТУ КА, в котором говорилось:</w:t>
      </w:r>
    </w:p>
    <w:p w14:paraId="0A1073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бесперебойного выполнения программы 1941 года танковыми заводами, прошу Вашего распоряжения об отгрузке пушек Ф-34 согласно следующего графика:</w:t>
      </w:r>
    </w:p>
    <w:p w14:paraId="342364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того же танка, что и на предыдущем фото, на правом борту виден стакан под антенну (АСКМ).</w:t>
      </w:r>
    </w:p>
    <w:p w14:paraId="4CD275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183: к 15.01 - 55 пушек; к 25.01 - 55 пушек. СТЗ:</w:t>
      </w:r>
    </w:p>
    <w:p w14:paraId="40F4D5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15.01 - 15 пушек; к 25.01 - 22 пушки. ЧТЗ:</w:t>
      </w:r>
    </w:p>
    <w:p w14:paraId="0BB348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15.01 - 3 пушки. ИТОГО: 150 штук». Первые 40 новых артсистем Ф-34 прибыли на завод № 183 в феврале, а первые танки Т-34 с такими пушками стали собирать в начале марта 1941 года, но при этом возникли проблемы с изготовлением бронировки пушки Ф-34. Так, по состоянию на 10 марта ситуация была следующей:</w:t>
      </w:r>
    </w:p>
    <w:p w14:paraId="780210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 машин прошли сдаточный пробег и находятся под монтажом системы Ф-34, установка которой задерживается из-за неподачи бронезащиты с завода им. Ильича (на 10 марта завод № 193 не получил ни одного комплекта), завод № 183 приступил к изготовлению 30 комплектов бронезащиты у себя на заводе. На 10 марта окончательно изготовлен один комплект» (12217).</w:t>
      </w:r>
    </w:p>
    <w:p w14:paraId="024A8A3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A55DCA"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г.</w:t>
      </w:r>
    </w:p>
    <w:p w14:paraId="630BC0E3"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978 лист 282 </w:t>
      </w:r>
    </w:p>
    <w:p w14:paraId="54F39F45"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21320CDC"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1 </w:t>
      </w:r>
    </w:p>
    <w:p w14:paraId="182411E4"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26 ноября 1940 г. </w:t>
      </w:r>
    </w:p>
    <w:p w14:paraId="3ACF139F"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0857 </w:t>
      </w:r>
    </w:p>
    <w:p w14:paraId="353092A7"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3 ОТДЕЛА БТУ КРАСНОЙ АРМИИ</w:t>
      </w:r>
    </w:p>
    <w:p w14:paraId="2376ECFB"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ВОЕНИНЖЕНЕРУ 1 РАНГА тов. АФОНИНУ</w:t>
      </w:r>
    </w:p>
    <w:p w14:paraId="246E2AA2"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СТАРШЕМУ ВОЕНПРЕДУ ГБТУ КА КИРОВСКОГО З-ДА</w:t>
      </w:r>
    </w:p>
    <w:p w14:paraId="31664D56"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СТАРШЕМУ ВОЕНПРЕДУ ЗАВОДА № 183</w:t>
      </w:r>
    </w:p>
    <w:p w14:paraId="3CB1B6D5"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ГБТУ КРАСНОЙ АРМИИ</w:t>
      </w:r>
    </w:p>
    <w:p w14:paraId="08BFD403"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Препровождаем акт осмотра артсистем Т-34 от 25-го ноября 1940 г. </w:t>
      </w:r>
    </w:p>
    <w:p w14:paraId="42352745"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ПРИЛОЖЕНИЕ: на одном листе. </w:t>
      </w:r>
    </w:p>
    <w:p w14:paraId="0C30540B"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 ПРОБЕГА МАЙОР подпись (ГЕРКЕВИЧ)</w:t>
      </w:r>
    </w:p>
    <w:p w14:paraId="3514D289"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в четырех экз. </w:t>
      </w:r>
    </w:p>
    <w:p w14:paraId="7ADD8F82"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документе резолюция С.А. Афонина: «т. Ненарокову. Срочно письмо т. Зальцман с копией акта и доклад т. Кулик. подпись 3/XII» </w:t>
      </w:r>
    </w:p>
    <w:p w14:paraId="20D761D8"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978 лист 283 </w:t>
      </w:r>
    </w:p>
    <w:p w14:paraId="01D15970"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5760D97B"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1 </w:t>
      </w:r>
    </w:p>
    <w:p w14:paraId="39841B94"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АКТ</w:t>
      </w:r>
    </w:p>
    <w:p w14:paraId="1C22C9B8"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Осмотра артсистем Л-11, установленных на танках Т-34 и отказавших в работе</w:t>
      </w:r>
    </w:p>
    <w:p w14:paraId="7DA16039"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боевых стрельбах 25.11.1940 г в гор. Киеве.</w:t>
      </w:r>
    </w:p>
    <w:p w14:paraId="32F55661"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На танке № 574-29 (ствол 779 противооткатное устройство № 1233), танк № 423-41 (ствол 824 противооткатное устройство № 1533), танк № 608-01 (ствол 827 противооткатное устройство № 1367) поставлены ползуны спуска, изготовленные из сырого металла, с неправильным профилем зацепления. При проведении стрельбы имелись случаи не зацепления ползуна за направляющую планку и износ металла ползуна. </w:t>
      </w:r>
    </w:p>
    <w:p w14:paraId="08FFA1D5"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Причиной недокатов является несвоевременное снятие ноги с педали ножного спуска, следствием чего ползун, упираясь в толкатель спуска, не проворачивается и не дает возможности защелке казенника соскочить с ползуна. Таким образом, ствол остается в положении недоката. </w:t>
      </w:r>
    </w:p>
    <w:p w14:paraId="51F00CA5"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Считаем необходимым замену на всех ранее выпущенных артсистемах Л-11 ползунов спуска, изготовленных Кировским заводом из сырого металла с неправильным профилем зацепления, ползунами из каленого металла по новым чертежам. </w:t>
      </w:r>
    </w:p>
    <w:p w14:paraId="0121EC7D"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3 РАНГА НИП ГБТУ КА подпись (ИВАНОВ)</w:t>
      </w:r>
    </w:p>
    <w:p w14:paraId="0D7A2306"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МЛ. ВОЕНТЕХНИК НИП ГБТУ КА подпись (КУЛАПИН)</w:t>
      </w:r>
    </w:p>
    <w:p w14:paraId="219E45B8"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ТЕХНОЛОГ СБ-3 КИРОВСКОГО ЗАВОДА подпись 26/XII-40 г. (М.Х. ВОСК) (18182).</w:t>
      </w:r>
    </w:p>
    <w:p w14:paraId="4FE56D16" w14:textId="77777777" w:rsidR="0061340E" w:rsidRPr="00A3026E" w:rsidRDefault="0061340E" w:rsidP="00A3026E">
      <w:pPr>
        <w:spacing w:after="0" w:line="240" w:lineRule="auto"/>
        <w:jc w:val="both"/>
        <w:rPr>
          <w:rFonts w:ascii="Times New Roman" w:hAnsi="Times New Roman"/>
          <w:color w:val="000000" w:themeColor="text1"/>
          <w:sz w:val="16"/>
          <w:szCs w:val="16"/>
        </w:rPr>
      </w:pPr>
    </w:p>
    <w:p w14:paraId="2F96C0E5"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г.</w:t>
      </w:r>
    </w:p>
    <w:p w14:paraId="4572CF88"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165. Докладная записка председателя Совета по машиностроению при СНК СССР В. А. Малышева секретарю ЦК ВКП(б) И. В. Сталину и председателю СНК СССР В. М. Молотову о переводе Сталинградского тракторного завода на производство танков и дизелей для танков</w:t>
      </w:r>
    </w:p>
    <w:p w14:paraId="6090730A"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Источник: </w:t>
      </w:r>
    </w:p>
    <w:p w14:paraId="209A3049"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661-662.</w:t>
      </w:r>
    </w:p>
    <w:p w14:paraId="563B1857"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Архив: </w:t>
      </w:r>
    </w:p>
    <w:p w14:paraId="3421A7CF"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РГАСПИ. Ф. 82. Оп. 2. Д. 548. Л. 16-17. Подлинник.</w:t>
      </w:r>
    </w:p>
    <w:p w14:paraId="0A2F80C0"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Совершенно секретно.</w:t>
      </w:r>
    </w:p>
    <w:p w14:paraId="5B6B0357"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все выпускаемые танки: КВ, Т</w:t>
      </w:r>
      <w:r w:rsidRPr="00A3026E">
        <w:rPr>
          <w:rFonts w:ascii="Times New Roman" w:hAnsi="Times New Roman"/>
          <w:color w:val="000000" w:themeColor="text1"/>
          <w:sz w:val="16"/>
          <w:szCs w:val="16"/>
        </w:rPr>
        <w:noBreakHyphen/>
        <w:t>34, БТ</w:t>
      </w:r>
      <w:r w:rsidRPr="00A3026E">
        <w:rPr>
          <w:rFonts w:ascii="Times New Roman" w:hAnsi="Times New Roman"/>
          <w:color w:val="000000" w:themeColor="text1"/>
          <w:sz w:val="16"/>
          <w:szCs w:val="16"/>
        </w:rPr>
        <w:noBreakHyphen/>
        <w:t>7 ставятся дизели типа В</w:t>
      </w:r>
      <w:r w:rsidRPr="00A3026E">
        <w:rPr>
          <w:rFonts w:ascii="Times New Roman" w:hAnsi="Times New Roman"/>
          <w:color w:val="000000" w:themeColor="text1"/>
          <w:sz w:val="16"/>
          <w:szCs w:val="16"/>
        </w:rPr>
        <w:noBreakHyphen/>
        <w:t>2 производства Харьковского завода № 75.</w:t>
      </w:r>
    </w:p>
    <w:p w14:paraId="336C0649"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выпуска танков в 1941 г. и замены двигателей в танковом парке в проекте плана на 1941 г. намечено к выпуску 5750 дизелей. Из них: для танков КВ — 1 тыс. шт., для танков Т</w:t>
      </w:r>
      <w:r w:rsidRPr="00A3026E">
        <w:rPr>
          <w:rFonts w:ascii="Times New Roman" w:hAnsi="Times New Roman"/>
          <w:color w:val="000000" w:themeColor="text1"/>
          <w:sz w:val="16"/>
          <w:szCs w:val="16"/>
        </w:rPr>
        <w:noBreakHyphen/>
        <w:t>34 — 3 тыс. шт., для арттягачей “Ворошиловец” — 900 шт., для танков БТ</w:t>
      </w:r>
      <w:r w:rsidRPr="00A3026E">
        <w:rPr>
          <w:rFonts w:ascii="Times New Roman" w:hAnsi="Times New Roman"/>
          <w:color w:val="000000" w:themeColor="text1"/>
          <w:sz w:val="16"/>
          <w:szCs w:val="16"/>
        </w:rPr>
        <w:noBreakHyphen/>
        <w:t>7 — 300 шт., для танков Т</w:t>
      </w:r>
      <w:r w:rsidRPr="00A3026E">
        <w:rPr>
          <w:rFonts w:ascii="Times New Roman" w:hAnsi="Times New Roman"/>
          <w:color w:val="000000" w:themeColor="text1"/>
          <w:sz w:val="16"/>
          <w:szCs w:val="16"/>
        </w:rPr>
        <w:noBreakHyphen/>
        <w:t>50 — 550 шт.</w:t>
      </w:r>
    </w:p>
    <w:p w14:paraId="5239E4A7"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Потребность танковых дизелей на 1941 военный год ориентировочно — 12 тыс., из них 5 тыс. дизелей — для замены двигателей в танках парка НКО.</w:t>
      </w:r>
    </w:p>
    <w:p w14:paraId="1205B51C"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Танковые дизели типа В</w:t>
      </w:r>
      <w:r w:rsidRPr="00A3026E">
        <w:rPr>
          <w:rFonts w:ascii="Times New Roman" w:hAnsi="Times New Roman"/>
          <w:color w:val="000000" w:themeColor="text1"/>
          <w:sz w:val="16"/>
          <w:szCs w:val="16"/>
        </w:rPr>
        <w:noBreakHyphen/>
        <w:t>2 в настоящее время изготовляются только одним Харьковским заводом № 75. За 10 месяцев 1940 г. этот завод изготовил 1491 дизель при плане 2205 дизелей. Выполнение плана, намеченного на 1941 г., потребует от завода № 75 увеличения выпуска в 3 раза против 1940 г.</w:t>
      </w:r>
    </w:p>
    <w:p w14:paraId="0001AFDE"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второй половине 1941 г. завод № 75 должен обеспечить месячный выпуск на уровне проектной мощности, но даже при освоении проектной мощности заводом № 75 (8 тыс. дизелей в год) потребность в танковых дизелях полностью не обеспечивается.</w:t>
      </w:r>
    </w:p>
    <w:p w14:paraId="5BC49011"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создать вторую базу по производству танковых дизелей. Такой базой может быть Сталинградский тракторный завод. Организация изготовления дизелей на Сталинградском тракторном заводе создаст в Сталинграде комплексное производство танков Т</w:t>
      </w:r>
      <w:r w:rsidRPr="00A3026E">
        <w:rPr>
          <w:rFonts w:ascii="Times New Roman" w:hAnsi="Times New Roman"/>
          <w:color w:val="000000" w:themeColor="text1"/>
          <w:sz w:val="16"/>
          <w:szCs w:val="16"/>
        </w:rPr>
        <w:noBreakHyphen/>
        <w:t>34: производство брони — завод “Красный Октябрь”, бронекорпусов и башен — “Красноармейская верфь”, производство танков и дизелей — Сталинградский тракторный завод.</w:t>
      </w:r>
    </w:p>
    <w:p w14:paraId="1ED7D3C4"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этом условии Сталинградский тракторный завод превращается в танковый завод, а производство тракторов переносится на Харьковский тракторный завод. Возможная мощность Сталинградского тракторного завода будет: танков Т</w:t>
      </w:r>
      <w:r w:rsidRPr="00A3026E">
        <w:rPr>
          <w:rFonts w:ascii="Times New Roman" w:hAnsi="Times New Roman"/>
          <w:color w:val="000000" w:themeColor="text1"/>
          <w:sz w:val="16"/>
          <w:szCs w:val="16"/>
        </w:rPr>
        <w:noBreakHyphen/>
        <w:t>34 — на 3 тыс. шт., танковых дизелей В</w:t>
      </w:r>
      <w:r w:rsidRPr="00A3026E">
        <w:rPr>
          <w:rFonts w:ascii="Times New Roman" w:hAnsi="Times New Roman"/>
          <w:color w:val="000000" w:themeColor="text1"/>
          <w:sz w:val="16"/>
          <w:szCs w:val="16"/>
        </w:rPr>
        <w:noBreakHyphen/>
        <w:t>2 — на 3,5 тыс. шт., запчастей эквивалентно — на 1 тыс. шт., снаряды 152 мм запасных частей к тракторам — на 60</w:t>
      </w:r>
      <w:r w:rsidRPr="00A3026E">
        <w:rPr>
          <w:rFonts w:ascii="Times New Roman" w:hAnsi="Times New Roman"/>
          <w:color w:val="000000" w:themeColor="text1"/>
          <w:sz w:val="16"/>
          <w:szCs w:val="16"/>
        </w:rPr>
        <w:noBreakHyphen/>
        <w:t>70 млн. руб. Поковки и литье для танка Т</w:t>
      </w:r>
      <w:r w:rsidRPr="00A3026E">
        <w:rPr>
          <w:rFonts w:ascii="Times New Roman" w:hAnsi="Times New Roman"/>
          <w:color w:val="000000" w:themeColor="text1"/>
          <w:sz w:val="16"/>
          <w:szCs w:val="16"/>
        </w:rPr>
        <w:noBreakHyphen/>
        <w:t>34 по кооперации для завода № 183.</w:t>
      </w:r>
    </w:p>
    <w:p w14:paraId="58E3C3A5"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моторов В</w:t>
      </w:r>
      <w:r w:rsidRPr="00A3026E">
        <w:rPr>
          <w:rFonts w:ascii="Times New Roman" w:hAnsi="Times New Roman"/>
          <w:color w:val="000000" w:themeColor="text1"/>
          <w:sz w:val="16"/>
          <w:szCs w:val="16"/>
        </w:rPr>
        <w:noBreakHyphen/>
        <w:t>2 располагается на имеющихся на заводе площадях. Особого строительства, за исключением испытательной станции и некоторого расширения и переоборудования цехов, не потребуется. Объем капиталовложений, включая и жилищное строительство, определяется в 35 млн. руб. Оборудованием придется доукомплектовать специальные линии в количестве 350 станков.</w:t>
      </w:r>
    </w:p>
    <w:p w14:paraId="34D568AF"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Серийное производство дизелей можно начать с I квартала 1942 г., выпустив уже в 1941 г., при выполнении плана по тракторам до 1 сентября 1941 г., установочную партию в 50 дизелей.</w:t>
      </w:r>
    </w:p>
    <w:p w14:paraId="7A1DCFF2"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касается тракторов, то Харьковский тракторный завод, при незначительном доукомплектовании оборудованием и окончании строительства сдаточного цеха, будет в состоянии обеспечить выпуск тракторов СТЗ, ХТЗ и СТЗ</w:t>
      </w:r>
      <w:r w:rsidRPr="00A3026E">
        <w:rPr>
          <w:rFonts w:ascii="Times New Roman" w:hAnsi="Times New Roman"/>
          <w:color w:val="000000" w:themeColor="text1"/>
          <w:sz w:val="16"/>
          <w:szCs w:val="16"/>
        </w:rPr>
        <w:noBreakHyphen/>
        <w:t>5 в 1942 г. на уровне текущего плана двух заводов: СТЗ и ХТЗ.</w:t>
      </w:r>
    </w:p>
    <w:p w14:paraId="64BF76F7"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Переоборудование СТЗ под производство дизелей можно провести с таким расчетом, чтобы в случае необходимости можно было в срок 4</w:t>
      </w:r>
      <w:r w:rsidRPr="00A3026E">
        <w:rPr>
          <w:rFonts w:ascii="Times New Roman" w:hAnsi="Times New Roman"/>
          <w:color w:val="000000" w:themeColor="text1"/>
          <w:sz w:val="16"/>
          <w:szCs w:val="16"/>
        </w:rPr>
        <w:noBreakHyphen/>
        <w:t>5 месяцев восстановить тракторное производство.</w:t>
      </w:r>
    </w:p>
    <w:p w14:paraId="2043CBE8"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рассмотреть это предложение и дать Ваше указание.</w:t>
      </w:r>
    </w:p>
    <w:p w14:paraId="63F24584"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постановления прилагается[</w:t>
      </w:r>
      <w:hyperlink r:id="rId121" w:anchor="p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w:t>
      </w:r>
    </w:p>
    <w:p w14:paraId="6061C8AB"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Малышев.</w:t>
      </w:r>
    </w:p>
    <w:p w14:paraId="225C41A8"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w:t>
      </w:r>
    </w:p>
    <w:p w14:paraId="484F9556"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122" w:anchor="s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 Не публикуется (см. там же, Л. 18-22).</w:t>
      </w:r>
    </w:p>
    <w:p w14:paraId="3020CCC6" w14:textId="77777777" w:rsidR="00250F99" w:rsidRPr="00A3026E" w:rsidRDefault="00250F9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РГАСПИ. Ф. 82. Оп. 2. Д. 548. Л. 16-17. Подлинник (18007).</w:t>
      </w:r>
    </w:p>
    <w:p w14:paraId="755C9B2C" w14:textId="77777777" w:rsidR="00250F99" w:rsidRPr="00A3026E" w:rsidRDefault="00250F99" w:rsidP="00A3026E">
      <w:pPr>
        <w:spacing w:after="0" w:line="240" w:lineRule="auto"/>
        <w:jc w:val="both"/>
        <w:rPr>
          <w:rFonts w:ascii="Times New Roman" w:hAnsi="Times New Roman"/>
          <w:color w:val="000000" w:themeColor="text1"/>
          <w:sz w:val="16"/>
          <w:szCs w:val="16"/>
        </w:rPr>
      </w:pPr>
    </w:p>
    <w:p w14:paraId="7CB9DF9E"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01C49B5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E877A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26-28 ноября 1940 была оперативная игра в ОВО и захватили порты от Констанцы до Варны (2536,234).</w:t>
      </w:r>
    </w:p>
    <w:p w14:paraId="5E704EB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8885F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31892E0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6B68F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года нарком внешней торговли А.И. Микоян отправил письмо № 19/2706 под грифом «секретно» на имя заместителя наркома авиапромышленности П.А. Воронина. В нем говорилось следующее: «Болгарское Военное Министерство обратилось к нашему Торгпредству с просьбой продать Болгарии запасные части на сумму около 100 тысяч долларов для самолетов СБ2 «Катюшка». Болгары сообщают, что эти самолеты куплены ими у чехословаков, которым в свое время действительно были проданы эти СБ. Перечень потребных запасных частей при сем прилагается.</w:t>
      </w:r>
    </w:p>
    <w:p w14:paraId="54B8FC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результате прошу сообщить мне» (РГАЭ. Ф. 8044. Оп. 1. Д. 436. Л. 224.).</w:t>
      </w:r>
    </w:p>
    <w:p w14:paraId="57C637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ответном письме Н-32/3962 от 24 декабря 1940 г. П.А. Воронин сообщал: «По вопросу: запчастей самолета СБ-2 «Катюшка» для Болгарии. При сем препровождаю перечень запасных частей самолета СБ-2 «Катюшка», которое можно будет передать Болгарии в настоящее время. Детали, не вошедшие в данную спецификацию, переданы быть не могут ввиду их конструктивных изменений.</w:t>
      </w:r>
    </w:p>
    <w:p w14:paraId="6A58C2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перечень деталей на двух листах» (Там же. Л. 220.) (11672).</w:t>
      </w:r>
    </w:p>
    <w:p w14:paraId="6A2C120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7BBA3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26 ноября 1940 германскому послу в Москве Шуленбургу было сообщено, что для продолжения переговоров, начатых в Берлине, германская сторона должна обеспечить выполнение ряда условий, в частности: немецкие войска должны немедленно покинуть Финляндию; в ближайшие месяцы должна быть обеспечена безопасность Советского Союза путем заключения пакта о взаимопомощи между Советским Союзом и Болгарией. Шуленбург обещал немедленно передать советское заявление своему правительству. Но ответа из Берлина не поступило (12629). </w:t>
      </w:r>
    </w:p>
    <w:p w14:paraId="347A72F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899D8D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212122F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F469281" w14:textId="77777777" w:rsidR="00173C44" w:rsidRPr="00A3026E"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26 ноября 1940 г. фирма Аэро сдала заказчику, то есть люфтваффе, последний В-71 В. 18 октября 1940 г. первый В-71В (107/TD+FA) покинул сборочный цех завода в Высочанах. Самолет передали в Рехлин для испытаний.</w:t>
      </w:r>
    </w:p>
    <w:p w14:paraId="216F2A9E" w14:textId="77777777" w:rsidR="00173C44" w:rsidRPr="00A3026E"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Завод Авиа в Чаковице построил 25 самолетов В-71 В (серийные номера 192 и 194 – 217). Последний самолет (217/SE+FY) был сдан 30 апреля 1941 г.</w:t>
      </w:r>
    </w:p>
    <w:p w14:paraId="40C2BB60" w14:textId="77777777" w:rsidR="00173C44" w:rsidRPr="00A3026E"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На момент вторжения германских войск в Чехословакию подготовка лицензионного производства самолетов В-71 на заводе Авиа продвинулось очень далеко. Немцы посчитали самолет идеальным буксировщиком и заказали фирмам Авиа и Аэро 76 В-71 А и 35 В-71В.</w:t>
      </w:r>
    </w:p>
    <w:p w14:paraId="099B32C3" w14:textId="77777777" w:rsidR="00173C44" w:rsidRPr="00A3026E"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Представлявший собой развитие самолета В-71 А самолет В-71 В появился в 1940 г. Длина буксировочного троса на нем была увеличена до 1000 м. Место оператора буксировочного оборудования смещено вперед, чтобы освободить место для усовершенствованной аппаратуры буксировки мишени. Масса буксировочного оборудования на В-71 А составляла 210 кг, на В-71 В – 280 кг. Немного вперед сместили козырек фонаря кабины пилота.</w:t>
      </w:r>
    </w:p>
    <w:p w14:paraId="21F710FF" w14:textId="77777777" w:rsidR="00173C44" w:rsidRPr="00A3026E"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деталях В-71В несколько отличался от своего предшественника В-71 А. Два небольших окошка треугольной формы за носовым остеклением фюзеляжа исчезли, на мачте радиоантенны появилась Т-образная насадка. В задней части центроплана левой консоли крыла появилась подножка, а на фюзеляже ниже кабины поручень. Створки бомбоотсека не ставились. На некоторых В- 71В поздней постройки ставились козырьки перед сдивжным фонарем задней кабины. На нижней поверхности каждой консоли крыла поставили по три узла для внешней подвески грузов.</w:t>
      </w:r>
    </w:p>
    <w:p w14:paraId="1E53DC48" w14:textId="77777777" w:rsidR="00173C44" w:rsidRPr="00A3026E"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Заводы Авиа и Аэро, оба – два. построили всего 35 самолетов В-71 В. Аэро – десять (серийные номера 107 – 116). </w:t>
      </w:r>
    </w:p>
    <w:p w14:paraId="1236813D" w14:textId="77777777" w:rsidR="00173C44" w:rsidRPr="00A3026E"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Всего в июле 1939 г. – апреле 1941 г.г. заводы Аэро и Авиа изготовили для люфтваффе в общей сложности 111 самолетов В- 71А и В-71 В.</w:t>
      </w:r>
    </w:p>
    <w:p w14:paraId="5008B4C9" w14:textId="77777777" w:rsidR="00173C44" w:rsidRPr="00A3026E" w:rsidRDefault="00173C44" w:rsidP="00A3026E">
      <w:pPr>
        <w:spacing w:after="0" w:line="240" w:lineRule="auto"/>
        <w:jc w:val="both"/>
        <w:rPr>
          <w:rFonts w:ascii="Times New Roman" w:hAnsi="Times New Roman"/>
          <w:iCs/>
          <w:color w:val="000000" w:themeColor="text1"/>
          <w:sz w:val="16"/>
          <w:szCs w:val="16"/>
        </w:rPr>
      </w:pPr>
    </w:p>
    <w:p w14:paraId="790C62A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по приказу нацистов создано гетто Варшавы (4962).</w:t>
      </w:r>
    </w:p>
    <w:p w14:paraId="6B308B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069BB4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Бельгийское Конго объявило войну Италии (4962).</w:t>
      </w:r>
    </w:p>
    <w:p w14:paraId="3341EB7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2F2B37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33DC569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6F1CD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ноября 1940 года экипаж ББ-2 М-88 в составе летчика-испытателя Н.Д.Фиксона и наблюдателя - ведущего ин</w:t>
      </w:r>
      <w:r w:rsidRPr="00A3026E">
        <w:rPr>
          <w:rFonts w:ascii="Times New Roman" w:hAnsi="Times New Roman"/>
          <w:color w:val="000000" w:themeColor="text1"/>
          <w:sz w:val="16"/>
          <w:szCs w:val="16"/>
        </w:rPr>
        <w:softHyphen/>
        <w:t>женера 8 отдела ЦАГИ М.Д.Соко</w:t>
      </w:r>
      <w:r w:rsidRPr="00A3026E">
        <w:rPr>
          <w:rFonts w:ascii="Times New Roman" w:hAnsi="Times New Roman"/>
          <w:color w:val="000000" w:themeColor="text1"/>
          <w:sz w:val="16"/>
          <w:szCs w:val="16"/>
        </w:rPr>
        <w:softHyphen/>
        <w:t>лова совершил вынужденную посад</w:t>
      </w:r>
      <w:r w:rsidRPr="00A3026E">
        <w:rPr>
          <w:rFonts w:ascii="Times New Roman" w:hAnsi="Times New Roman"/>
          <w:color w:val="000000" w:themeColor="text1"/>
          <w:sz w:val="16"/>
          <w:szCs w:val="16"/>
        </w:rPr>
        <w:softHyphen/>
        <w:t>ку на летнем аэродроме Липицы, расположенном в десяти километрах восточнее Серпухова. Причиной по</w:t>
      </w:r>
      <w:r w:rsidRPr="00A3026E">
        <w:rPr>
          <w:rFonts w:ascii="Times New Roman" w:hAnsi="Times New Roman"/>
          <w:color w:val="000000" w:themeColor="text1"/>
          <w:sz w:val="16"/>
          <w:szCs w:val="16"/>
        </w:rPr>
        <w:softHyphen/>
        <w:t>садки стал перегрев и выброс мас</w:t>
      </w:r>
      <w:r w:rsidRPr="00A3026E">
        <w:rPr>
          <w:rFonts w:ascii="Times New Roman" w:hAnsi="Times New Roman"/>
          <w:color w:val="000000" w:themeColor="text1"/>
          <w:sz w:val="16"/>
          <w:szCs w:val="16"/>
        </w:rPr>
        <w:softHyphen/>
        <w:t>ла с одновременным падением его давления (11849).</w:t>
      </w:r>
    </w:p>
    <w:p w14:paraId="2559E3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4856494" w14:textId="77777777" w:rsidR="00A23B5F" w:rsidRPr="00A3026E" w:rsidRDefault="00A23B5F" w:rsidP="00A3026E">
      <w:pPr>
        <w:pStyle w:val="a3"/>
        <w:tabs>
          <w:tab w:val="left" w:pos="630"/>
        </w:tabs>
        <w:rPr>
          <w:color w:val="000000" w:themeColor="text1"/>
          <w:lang w:val="ru-RU"/>
        </w:rPr>
      </w:pPr>
      <w:r w:rsidRPr="00A3026E">
        <w:rPr>
          <w:color w:val="000000" w:themeColor="text1"/>
          <w:lang w:val="ru-RU"/>
        </w:rPr>
        <w:t>27 ноября 1940 года экипаж в составе лётчика-испытателя Н.Д. Фиксона и наблю</w:t>
      </w:r>
      <w:r w:rsidRPr="00A3026E">
        <w:rPr>
          <w:color w:val="000000" w:themeColor="text1"/>
          <w:lang w:val="ru-RU"/>
        </w:rPr>
        <w:softHyphen/>
        <w:t>дателя - ведущего инженера 8 отдела ЦАГИ М.Д. Соколова совершил вынужденную по</w:t>
      </w:r>
      <w:r w:rsidRPr="00A3026E">
        <w:rPr>
          <w:color w:val="000000" w:themeColor="text1"/>
          <w:lang w:val="ru-RU"/>
        </w:rPr>
        <w:softHyphen/>
        <w:t xml:space="preserve">садку ББ-2 М-88 на летнем аэродроме Липицы, расположенном в десяти километрах восточнее г. Серпухова. Причиной посадки стал перегрев и выброс масла с </w:t>
      </w:r>
      <w:r w:rsidRPr="00A3026E">
        <w:rPr>
          <w:color w:val="000000" w:themeColor="text1"/>
          <w:lang w:val="ru-RU"/>
        </w:rPr>
        <w:lastRenderedPageBreak/>
        <w:t>одновременным падени</w:t>
      </w:r>
      <w:r w:rsidRPr="00A3026E">
        <w:rPr>
          <w:color w:val="000000" w:themeColor="text1"/>
          <w:lang w:val="ru-RU"/>
        </w:rPr>
        <w:softHyphen/>
        <w:t>ем его давления.</w:t>
      </w:r>
    </w:p>
    <w:p w14:paraId="0C703638" w14:textId="77777777" w:rsidR="00A23B5F" w:rsidRPr="00A3026E" w:rsidRDefault="00A23B5F" w:rsidP="00A3026E">
      <w:pPr>
        <w:pStyle w:val="a3"/>
        <w:tabs>
          <w:tab w:val="left" w:pos="577"/>
        </w:tabs>
        <w:rPr>
          <w:color w:val="000000" w:themeColor="text1"/>
          <w:lang w:val="ru-RU"/>
        </w:rPr>
      </w:pPr>
      <w:r w:rsidRPr="00A3026E">
        <w:rPr>
          <w:color w:val="000000" w:themeColor="text1"/>
          <w:lang w:val="ru-RU"/>
        </w:rPr>
        <w:t>27 ноября комиссия 8 отдела ЦАГИ осмотрела самолёт и мотор, и после опробования его на всех режимах дала разрешение на перелёт на аэродром Раменское.</w:t>
      </w:r>
    </w:p>
    <w:p w14:paraId="47DCBB84" w14:textId="77777777" w:rsidR="00A23B5F" w:rsidRPr="00A3026E" w:rsidRDefault="00A23B5F" w:rsidP="00A3026E">
      <w:pPr>
        <w:pStyle w:val="a3"/>
        <w:rPr>
          <w:color w:val="000000" w:themeColor="text1"/>
          <w:lang w:val="ru-RU"/>
        </w:rPr>
      </w:pPr>
      <w:r w:rsidRPr="00A3026E">
        <w:rPr>
          <w:color w:val="000000" w:themeColor="text1"/>
          <w:lang w:val="ru-RU"/>
        </w:rPr>
        <w:t>Через час после взлёта с места вынужденной посадки мотор М-88 стал давать перебои в работе, затем остановился. Экипаж совершил аварийную посадку на пашню вблизи аэро</w:t>
      </w:r>
      <w:r w:rsidRPr="00A3026E">
        <w:rPr>
          <w:color w:val="000000" w:themeColor="text1"/>
          <w:lang w:val="ru-RU"/>
        </w:rPr>
        <w:softHyphen/>
        <w:t>дрома войсковой части СПБ-134 недалеко от г. Подольска. При посадке лётчик получил травму лица и был отправлен в больницу, а на самолёте оказались сломаны опоры шасси, погнут винт, повреждены консоли крыла, всасывающий патрубок и тоннель масляного ради</w:t>
      </w:r>
      <w:r w:rsidRPr="00A3026E">
        <w:rPr>
          <w:color w:val="000000" w:themeColor="text1"/>
          <w:lang w:val="ru-RU"/>
        </w:rPr>
        <w:softHyphen/>
        <w:t>атора.</w:t>
      </w:r>
    </w:p>
    <w:p w14:paraId="7A128121" w14:textId="77777777" w:rsidR="00A23B5F" w:rsidRPr="00A3026E" w:rsidRDefault="00A23B5F" w:rsidP="00A3026E">
      <w:pPr>
        <w:pStyle w:val="a3"/>
        <w:rPr>
          <w:color w:val="000000" w:themeColor="text1"/>
          <w:lang w:val="ru-RU"/>
        </w:rPr>
      </w:pPr>
      <w:r w:rsidRPr="00A3026E">
        <w:rPr>
          <w:color w:val="000000" w:themeColor="text1"/>
          <w:lang w:val="ru-RU"/>
        </w:rPr>
        <w:t>Расследованием установлено, что остановка мотора произошла из-за полной выработки горючего из фюзеляжного бака при остатке около 220 литров в крыльевых баках. Виновник аварии - лётчик Н.Д. Фиксон, не переключивший баки вовремя.</w:t>
      </w:r>
    </w:p>
    <w:p w14:paraId="32F0C873" w14:textId="77777777" w:rsidR="00A23B5F" w:rsidRPr="00A3026E" w:rsidRDefault="00A23B5F" w:rsidP="00A3026E">
      <w:pPr>
        <w:pStyle w:val="a3"/>
        <w:rPr>
          <w:color w:val="000000" w:themeColor="text1"/>
          <w:lang w:val="ru-RU"/>
        </w:rPr>
      </w:pPr>
      <w:r w:rsidRPr="00A3026E">
        <w:rPr>
          <w:color w:val="000000" w:themeColor="text1"/>
          <w:lang w:val="ru-RU"/>
        </w:rPr>
        <w:t>По всей видимости, самолёт больше не восстанавливался, а постановлением СНК СССР и ЦК ВКП(б) от 16 апреля 1941 года работы по нему были прекращены.</w:t>
      </w:r>
    </w:p>
    <w:p w14:paraId="5A46A830" w14:textId="77777777" w:rsidR="00A23B5F" w:rsidRPr="00A3026E" w:rsidRDefault="00A23B5F" w:rsidP="00A3026E">
      <w:pPr>
        <w:pStyle w:val="a3"/>
        <w:rPr>
          <w:color w:val="000000" w:themeColor="text1"/>
          <w:lang w:val="ru-RU"/>
        </w:rPr>
      </w:pPr>
      <w:r w:rsidRPr="00A3026E">
        <w:rPr>
          <w:color w:val="000000" w:themeColor="text1"/>
          <w:lang w:val="ru-RU"/>
        </w:rPr>
        <w:t>По конструкции самолёт ББ-2 (ШБ) несколько отличался от серийного самолёта Су-2 (ББ-1).</w:t>
      </w:r>
    </w:p>
    <w:p w14:paraId="63AF0D0E" w14:textId="77777777" w:rsidR="00A23B5F" w:rsidRPr="00A3026E" w:rsidRDefault="00A23B5F" w:rsidP="00A3026E">
      <w:pPr>
        <w:pStyle w:val="a3"/>
        <w:rPr>
          <w:color w:val="000000" w:themeColor="text1"/>
          <w:lang w:val="ru-RU"/>
        </w:rPr>
      </w:pPr>
      <w:r w:rsidRPr="00A3026E">
        <w:rPr>
          <w:color w:val="000000" w:themeColor="text1"/>
          <w:lang w:val="ru-RU"/>
        </w:rPr>
        <w:t>При проектировании ББ-2 ставилась задача получить конструкцию простую в серийном производстве, с минимальным применением алюминиевых сплавов, заменённых сталью и дре</w:t>
      </w:r>
      <w:r w:rsidRPr="00A3026E">
        <w:rPr>
          <w:color w:val="000000" w:themeColor="text1"/>
          <w:lang w:val="ru-RU"/>
        </w:rPr>
        <w:softHyphen/>
        <w:t>весиной.</w:t>
      </w:r>
    </w:p>
    <w:p w14:paraId="4D94C733" w14:textId="77777777" w:rsidR="00A23B5F" w:rsidRPr="00A3026E" w:rsidRDefault="00A23B5F" w:rsidP="00A3026E">
      <w:pPr>
        <w:pStyle w:val="a3"/>
        <w:rPr>
          <w:color w:val="000000" w:themeColor="text1"/>
          <w:lang w:val="ru-RU"/>
        </w:rPr>
      </w:pPr>
      <w:r w:rsidRPr="00A3026E">
        <w:rPr>
          <w:color w:val="000000" w:themeColor="text1"/>
          <w:lang w:val="ru-RU"/>
        </w:rPr>
        <w:t>Фюзеляж и киль изготавливались целиком из древесины.</w:t>
      </w:r>
    </w:p>
    <w:p w14:paraId="5FAAC5B1" w14:textId="77777777" w:rsidR="00A23B5F" w:rsidRPr="00A3026E" w:rsidRDefault="00A23B5F" w:rsidP="00A3026E">
      <w:pPr>
        <w:pStyle w:val="a3"/>
        <w:rPr>
          <w:color w:val="000000" w:themeColor="text1"/>
          <w:lang w:val="ru-RU"/>
        </w:rPr>
      </w:pPr>
      <w:r w:rsidRPr="00A3026E">
        <w:rPr>
          <w:color w:val="000000" w:themeColor="text1"/>
          <w:lang w:val="ru-RU"/>
        </w:rPr>
        <w:t>В консольных частях крыла смешанной конструкции металл использовался только в лон</w:t>
      </w:r>
      <w:r w:rsidRPr="00A3026E">
        <w:rPr>
          <w:color w:val="000000" w:themeColor="text1"/>
          <w:lang w:val="ru-RU"/>
        </w:rPr>
        <w:softHyphen/>
        <w:t>жеронах, во второй нервюре и в законцовке. Смешанную конструкцию имел и центроплан крыла.</w:t>
      </w:r>
    </w:p>
    <w:p w14:paraId="356F1329" w14:textId="77777777" w:rsidR="00A23B5F" w:rsidRPr="00A3026E" w:rsidRDefault="00A23B5F" w:rsidP="00A3026E">
      <w:pPr>
        <w:pStyle w:val="a3"/>
        <w:rPr>
          <w:color w:val="000000" w:themeColor="text1"/>
          <w:lang w:val="ru-RU"/>
        </w:rPr>
      </w:pPr>
      <w:r w:rsidRPr="00A3026E">
        <w:rPr>
          <w:color w:val="000000" w:themeColor="text1"/>
          <w:lang w:val="ru-RU"/>
        </w:rPr>
        <w:t>ББ-2 отличался кинематикой уборки и выпуска основных опор шасси, убиравшихся назад в центроплан крыла с поворотом колес на 90°. Позднее аналогичная схема применялась на ис</w:t>
      </w:r>
      <w:r w:rsidRPr="00A3026E">
        <w:rPr>
          <w:color w:val="000000" w:themeColor="text1"/>
          <w:lang w:val="ru-RU"/>
        </w:rPr>
        <w:softHyphen/>
        <w:t>требителе Су-1, штурмовике Су-6 и в ряде других проектов (15975).</w:t>
      </w:r>
    </w:p>
    <w:p w14:paraId="013EC90A" w14:textId="77777777" w:rsidR="00A23B5F" w:rsidRPr="00A3026E" w:rsidRDefault="00A23B5F" w:rsidP="00A3026E">
      <w:pPr>
        <w:spacing w:after="0" w:line="240" w:lineRule="auto"/>
        <w:jc w:val="both"/>
        <w:rPr>
          <w:rFonts w:ascii="Times New Roman" w:hAnsi="Times New Roman"/>
          <w:color w:val="000000" w:themeColor="text1"/>
          <w:sz w:val="16"/>
          <w:szCs w:val="16"/>
        </w:rPr>
      </w:pPr>
    </w:p>
    <w:p w14:paraId="60B34080" w14:textId="77777777" w:rsidR="00B8575C" w:rsidRPr="00A3026E" w:rsidRDefault="00B8575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27 ноября 1940 экипаж в составе летчика Н Д Фиксона и наблюдателя - ведущего инженера 8-го отдела ЦАГИ М Д Соко</w:t>
      </w:r>
      <w:r w:rsidRPr="00A3026E">
        <w:rPr>
          <w:rFonts w:ascii="Times New Roman" w:cs="Times New Roman"/>
          <w:color w:val="000000" w:themeColor="text1"/>
          <w:spacing w:val="0"/>
        </w:rPr>
        <w:softHyphen/>
        <w:t>лова в ходе дополнительных испытаний скоростного штурмовика-бомбарди</w:t>
      </w:r>
      <w:r w:rsidRPr="00A3026E">
        <w:rPr>
          <w:rFonts w:ascii="Times New Roman" w:cs="Times New Roman"/>
          <w:color w:val="000000" w:themeColor="text1"/>
          <w:spacing w:val="0"/>
        </w:rPr>
        <w:softHyphen/>
        <w:t>ровщика ШБ - ББ-2 совершил вынужденную посадку на летнем аэродроме Липицы, расположен</w:t>
      </w:r>
      <w:r w:rsidRPr="00A3026E">
        <w:rPr>
          <w:rFonts w:ascii="Times New Roman" w:cs="Times New Roman"/>
          <w:color w:val="000000" w:themeColor="text1"/>
          <w:spacing w:val="0"/>
        </w:rPr>
        <w:softHyphen/>
        <w:t>ном в десяти километрах восточнее Сер</w:t>
      </w:r>
      <w:r w:rsidRPr="00A3026E">
        <w:rPr>
          <w:rFonts w:ascii="Times New Roman" w:cs="Times New Roman"/>
          <w:color w:val="000000" w:themeColor="text1"/>
          <w:spacing w:val="0"/>
        </w:rPr>
        <w:softHyphen/>
        <w:t>пухова Причиной посадки стал перегрев и выброс масла с одновременным паде</w:t>
      </w:r>
      <w:r w:rsidRPr="00A3026E">
        <w:rPr>
          <w:rFonts w:ascii="Times New Roman" w:cs="Times New Roman"/>
          <w:color w:val="000000" w:themeColor="text1"/>
          <w:spacing w:val="0"/>
        </w:rPr>
        <w:softHyphen/>
        <w:t>нием его давления 28 ноября комиссия 8-го отдела ЦАГИ осмотрела самолет и мотор, и после опробования его на всех режимах дала разрешение на перелет самолета в Раменское.</w:t>
      </w:r>
    </w:p>
    <w:p w14:paraId="57BE4D5C" w14:textId="77777777" w:rsidR="00B8575C" w:rsidRPr="00A3026E" w:rsidRDefault="00B8575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Через час после взлета с места вы</w:t>
      </w:r>
      <w:r w:rsidRPr="00A3026E">
        <w:rPr>
          <w:rFonts w:ascii="Times New Roman" w:hAnsi="Times New Roman"/>
          <w:color w:val="000000" w:themeColor="text1"/>
          <w:sz w:val="16"/>
          <w:szCs w:val="16"/>
        </w:rPr>
        <w:softHyphen/>
        <w:t>нужденной посадки мотор</w:t>
      </w:r>
      <w:r w:rsidRPr="00A3026E">
        <w:rPr>
          <w:rStyle w:val="aff8"/>
          <w:rFonts w:ascii="Times New Roman" w:hAnsi="Times New Roman" w:cs="Times New Roman"/>
          <w:b w:val="0"/>
          <w:color w:val="000000" w:themeColor="text1"/>
          <w:spacing w:val="0"/>
          <w:sz w:val="16"/>
          <w:szCs w:val="16"/>
        </w:rPr>
        <w:t xml:space="preserve"> М</w:t>
      </w:r>
      <w:r w:rsidRPr="00A3026E">
        <w:rPr>
          <w:rFonts w:ascii="Times New Roman" w:hAnsi="Times New Roman"/>
          <w:color w:val="000000" w:themeColor="text1"/>
          <w:sz w:val="16"/>
          <w:szCs w:val="16"/>
        </w:rPr>
        <w:t>-88 стал давать перебои, а затем совсем оста</w:t>
      </w:r>
      <w:r w:rsidRPr="00A3026E">
        <w:rPr>
          <w:rFonts w:ascii="Times New Roman" w:hAnsi="Times New Roman"/>
          <w:color w:val="000000" w:themeColor="text1"/>
          <w:sz w:val="16"/>
          <w:szCs w:val="16"/>
        </w:rPr>
        <w:softHyphen/>
        <w:t>новился Летчик совершил аварийную посадку на пашню вблизи аэродрома войсковой части в районе Подольска При приземлении Фиксон получил травму лица и попал в больницу, а на самолете были сломаны опоры шасси, погнут винт, повреждены консоли крыла, всасывающий патрубок и тоннель мас</w:t>
      </w:r>
      <w:r w:rsidRPr="00A3026E">
        <w:rPr>
          <w:rFonts w:ascii="Times New Roman" w:hAnsi="Times New Roman"/>
          <w:color w:val="000000" w:themeColor="text1"/>
          <w:sz w:val="16"/>
          <w:szCs w:val="16"/>
        </w:rPr>
        <w:softHyphen/>
        <w:t>ляного радиатора.</w:t>
      </w:r>
    </w:p>
    <w:p w14:paraId="3AAAA614" w14:textId="77777777" w:rsidR="00B8575C" w:rsidRPr="00A3026E" w:rsidRDefault="00B8575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Расследование установило, что оста</w:t>
      </w:r>
      <w:r w:rsidRPr="00A3026E">
        <w:rPr>
          <w:rFonts w:ascii="Times New Roman" w:cs="Times New Roman"/>
          <w:color w:val="000000" w:themeColor="text1"/>
          <w:spacing w:val="0"/>
        </w:rPr>
        <w:softHyphen/>
        <w:t>новка мотора произошла из-за полной выработки горючего из фюзеляжного бака, при остатке около 220 л в крыль</w:t>
      </w:r>
      <w:r w:rsidRPr="00A3026E">
        <w:rPr>
          <w:rFonts w:ascii="Times New Roman" w:cs="Times New Roman"/>
          <w:color w:val="000000" w:themeColor="text1"/>
          <w:spacing w:val="0"/>
        </w:rPr>
        <w:softHyphen/>
        <w:t>евых баках, так что виновником аварии являлся Фиксон</w:t>
      </w:r>
    </w:p>
    <w:p w14:paraId="3FB21712" w14:textId="77777777" w:rsidR="00B8575C" w:rsidRPr="00A3026E" w:rsidRDefault="00B8575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По всей видимости, самолет ШБ не восстанавливался, работы по нему пре</w:t>
      </w:r>
      <w:r w:rsidRPr="00A3026E">
        <w:rPr>
          <w:rFonts w:ascii="Times New Roman" w:cs="Times New Roman"/>
          <w:color w:val="000000" w:themeColor="text1"/>
          <w:spacing w:val="0"/>
        </w:rPr>
        <w:softHyphen/>
        <w:t>кратили постановлением СНК СССР и ЦК ВКП(б) от 16 апреля 1941 г. (19102).</w:t>
      </w:r>
    </w:p>
    <w:p w14:paraId="2E2BE428" w14:textId="77777777" w:rsidR="00B8575C" w:rsidRPr="00A3026E" w:rsidRDefault="00B8575C" w:rsidP="00A3026E">
      <w:pPr>
        <w:pStyle w:val="26"/>
        <w:shd w:val="clear" w:color="auto" w:fill="auto"/>
        <w:spacing w:after="0" w:line="240" w:lineRule="auto"/>
        <w:ind w:firstLine="0"/>
        <w:rPr>
          <w:rFonts w:ascii="Times New Roman" w:cs="Times New Roman"/>
          <w:color w:val="000000" w:themeColor="text1"/>
          <w:spacing w:val="0"/>
        </w:rPr>
      </w:pPr>
    </w:p>
    <w:p w14:paraId="64DCAB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ноября 1940 в Контрольном листе учета выполнения постановления КО СНК СССР № 239сс от 1 июня 1940 г. представителем КО СНК СССР - контролером Вахрушевым была сделана запись:</w:t>
      </w:r>
    </w:p>
    <w:p w14:paraId="00AB0B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СБ-РК</w:t>
      </w:r>
    </w:p>
    <w:p w14:paraId="3CEE0F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Первые полеты СБ РК собраны и выведены на аэродром завода для полетных испытаний. Два самолета СБ РК готовы к передаче на госиспытания в НИИ ВВС. В окончетельной сборке имеется еще 16 самолетов, но только три из них имеют крылья. Крыльевой цех не подает крылья из-за неполадок в производстве (10395).</w:t>
      </w:r>
    </w:p>
    <w:p w14:paraId="13E00F0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AD344C" w14:textId="77777777" w:rsidR="00A23B5F" w:rsidRPr="00A3026E" w:rsidRDefault="00A23B5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27-го ноября 1940 ИП-21 Пашинина приняли к проведению государственных испытаний. Особо указывалось, что испытания истребителя конструкции Пашинина считать одной из первоочередных задач 1-го отдела НИИ ВВС. Ведущими летчиками назначили опытных испытателей Стефановского и Супруна.</w:t>
      </w:r>
    </w:p>
    <w:p w14:paraId="30BBF64A" w14:textId="77777777" w:rsidR="00A23B5F" w:rsidRPr="00A3026E" w:rsidRDefault="00A23B5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Государственные испытания второй машины выявили ряд недостатков, на устранение которых понадобилось время. Одновременно происходящие события ставили под вопрос форсирование испытаний. На совещании при первом отделе 7-го (истребительного) Главного управления НКАП 4 декабря было решено дальнейшее совершенствование истребителя конструкции Пашинина прекратить. ОКБ и опытное производство завода № 21 в соответствии с еще более ранним приказом НКАП за № 623сс от 10 октября 1940 г. передавалось главному конструктору С.А. Лавочкину.</w:t>
      </w:r>
    </w:p>
    <w:p w14:paraId="35E454F1" w14:textId="77777777" w:rsidR="00A23B5F" w:rsidRPr="00A3026E" w:rsidRDefault="00A23B5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несмотря на столь категоричные и основательные решения, история ИП-21 продолжалась. Именно в эти дни был закончен и поднят в воздух летчиком И.И. Большаковым третий опытный экземпляр. По ускоренной программе до 14 декабря 1940 г. удалось провести заводские испытания самолета (15561).</w:t>
      </w:r>
    </w:p>
    <w:p w14:paraId="139B7626" w14:textId="77777777" w:rsidR="00A23B5F" w:rsidRPr="00A3026E" w:rsidRDefault="00A23B5F" w:rsidP="00A3026E">
      <w:pPr>
        <w:spacing w:after="0" w:line="240" w:lineRule="auto"/>
        <w:jc w:val="both"/>
        <w:rPr>
          <w:rFonts w:ascii="Times New Roman" w:hAnsi="Times New Roman"/>
          <w:color w:val="000000" w:themeColor="text1"/>
          <w:sz w:val="16"/>
          <w:szCs w:val="16"/>
        </w:rPr>
      </w:pPr>
    </w:p>
    <w:p w14:paraId="4E10460D" w14:textId="77777777" w:rsidR="00A23B5F" w:rsidRPr="00A3026E" w:rsidRDefault="00A23B5F"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27 ноября 1940 НИИ ВВС было подготовлено заключение по эскизному проекту ТИС с изменениями к про</w:t>
      </w:r>
      <w:r w:rsidRPr="00A3026E">
        <w:rPr>
          <w:rFonts w:ascii="Times New Roman" w:cs="Times New Roman"/>
          <w:color w:val="000000" w:themeColor="text1"/>
          <w:spacing w:val="0"/>
        </w:rPr>
        <w:softHyphen/>
        <w:t>екту достаточно бы</w:t>
      </w:r>
      <w:r w:rsidRPr="00A3026E">
        <w:rPr>
          <w:rFonts w:ascii="Times New Roman" w:cs="Times New Roman"/>
          <w:color w:val="000000" w:themeColor="text1"/>
          <w:spacing w:val="0"/>
        </w:rPr>
        <w:softHyphen/>
        <w:t>стро -. Начальник ВВС гене</w:t>
      </w:r>
      <w:r w:rsidRPr="00A3026E">
        <w:rPr>
          <w:rFonts w:ascii="Times New Roman" w:cs="Times New Roman"/>
          <w:color w:val="000000" w:themeColor="text1"/>
          <w:spacing w:val="0"/>
        </w:rPr>
        <w:softHyphen/>
        <w:t>рал-лейтенант П.В. Рычагов утвердил заключение 14 декабря (15755).</w:t>
      </w:r>
    </w:p>
    <w:p w14:paraId="615C4E0B" w14:textId="77777777" w:rsidR="00A23B5F" w:rsidRPr="00A3026E" w:rsidRDefault="00A23B5F" w:rsidP="00A3026E">
      <w:pPr>
        <w:pStyle w:val="26"/>
        <w:shd w:val="clear" w:color="auto" w:fill="auto"/>
        <w:spacing w:after="0" w:line="240" w:lineRule="auto"/>
        <w:ind w:firstLine="0"/>
        <w:rPr>
          <w:rFonts w:ascii="Times New Roman" w:cs="Times New Roman"/>
          <w:color w:val="000000" w:themeColor="text1"/>
          <w:spacing w:val="0"/>
        </w:rPr>
      </w:pPr>
    </w:p>
    <w:p w14:paraId="2D2AD6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ноября 1940 Главный Контролер НКГК по НКАП Слолдатов писал Зам. НАРОДНОГО КОМИССАРА ГОСУДАРСТВЕННОГО КОНТРОЛЯ СССР тов. ИВАНОВСКОМУ Г.И.</w:t>
      </w:r>
    </w:p>
    <w:p w14:paraId="5F6E63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проверке исполнения постановления Экономсовета при СН1К СССР от 27.УШ-40 г. в части поставки спецоборудования для ЦАГИ.</w:t>
      </w:r>
    </w:p>
    <w:p w14:paraId="28EC55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Справка.</w:t>
      </w:r>
    </w:p>
    <w:p w14:paraId="0D8ACA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письму начальника ЦАГИ и Управл. 18-го с тр. монтажного треста от 4.П-40 г.за № 14/797с о систематическом невыполнении некоторыми заводами постановления Экономсовета при СНК СССР от 27.УШ-40 г. за № 1479/422с мною было потребовано от соответствую</w:t>
      </w:r>
      <w:r w:rsidRPr="00A3026E">
        <w:rPr>
          <w:rFonts w:ascii="Times New Roman" w:hAnsi="Times New Roman"/>
          <w:color w:val="000000" w:themeColor="text1"/>
          <w:sz w:val="16"/>
          <w:szCs w:val="16"/>
        </w:rPr>
        <w:softHyphen/>
        <w:t>щих отделов и главков наркомата объяснение причин срыва сроков поставки оборудования и предложено им принять срочные меры для обеспечения полного выполнения указанного постановления.</w:t>
      </w:r>
    </w:p>
    <w:p w14:paraId="207BDF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принятых мер, Главэлэкгромашпром НКЭП, Производственно-распорядительный отдел НКТМ, Производствен</w:t>
      </w:r>
      <w:r w:rsidRPr="00A3026E">
        <w:rPr>
          <w:rFonts w:ascii="Times New Roman" w:hAnsi="Times New Roman"/>
          <w:color w:val="000000" w:themeColor="text1"/>
          <w:sz w:val="16"/>
          <w:szCs w:val="16"/>
        </w:rPr>
        <w:softHyphen/>
        <w:t>но-распорядительный отдел НКОМ, Главэлектросбыт НКЭП и завод "Борец". Заводы -поставщики оборудования для пусковых объектов ЦАГИ заметно улучшили производственную работу в части форсирования изготовления и поставки спецоборудования для ЦАГИ, о чем последний от своих поставщиков получил ряд телеграмм и писам об отгрузке изделий.</w:t>
      </w:r>
    </w:p>
    <w:p w14:paraId="4B4CE8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Отдельные заводы, как например: завод "Электросила", прожекторный завод, Ново-Краматорский завод им. Сталина и Харь</w:t>
      </w:r>
      <w:r w:rsidRPr="00A3026E">
        <w:rPr>
          <w:rFonts w:ascii="Times New Roman" w:hAnsi="Times New Roman"/>
          <w:color w:val="000000" w:themeColor="text1"/>
          <w:sz w:val="16"/>
          <w:szCs w:val="16"/>
        </w:rPr>
        <w:softHyphen/>
        <w:t>ковский завод им Ленина, несмотря на ряд затруднении, поста</w:t>
      </w:r>
      <w:r w:rsidRPr="00A3026E">
        <w:rPr>
          <w:rFonts w:ascii="Times New Roman" w:hAnsi="Times New Roman"/>
          <w:color w:val="000000" w:themeColor="text1"/>
          <w:sz w:val="16"/>
          <w:szCs w:val="16"/>
        </w:rPr>
        <w:softHyphen/>
        <w:t>новление Экономсовета выполняема установленный срок.</w:t>
      </w:r>
    </w:p>
    <w:p w14:paraId="607F0B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Старо-Краматорскил завод им. Орджоникидзе приостановил изготовление испытательного пресса на 200 тонн, так как его изготовление не было предусмотрено ни годовым, ни квартальным планами (1940 г.); вопрос об изготовлении пресса в 1941 году будет разрешен в ближайшее время в Госплане СССР при рассмотре</w:t>
      </w:r>
      <w:r w:rsidRPr="00A3026E">
        <w:rPr>
          <w:rFonts w:ascii="Times New Roman" w:hAnsi="Times New Roman"/>
          <w:color w:val="000000" w:themeColor="text1"/>
          <w:sz w:val="16"/>
          <w:szCs w:val="16"/>
        </w:rPr>
        <w:softHyphen/>
        <w:t>нии программы 1941 года.</w:t>
      </w:r>
    </w:p>
    <w:p w14:paraId="04DE7C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им.Калинина № 3 центробежный насос 18-НДС изготовит только в декабре 1940 г. (вместо 3 квартала с.г.), так как к этому времени будут поставлены электромоторы.</w:t>
      </w:r>
    </w:p>
    <w:p w14:paraId="665818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"Борец” изготовление турбокомпрессора ТК-250 по графику наметил на конец декабря 1940 г., вместо установленного Экономсоветом срока - октябрь 1940 г. Задержка по сдаче ТК-250 вызвана тем, что ЦАГИ не поставил отдельные мелкие детали для ТК-250.</w:t>
      </w:r>
    </w:p>
    <w:p w14:paraId="5CB465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Главэлектросбыт на моторы выдает ЦАГИ наряды на 1 квартал 1941 г., вместо установленного срока - Ш квартала.</w:t>
      </w:r>
    </w:p>
    <w:p w14:paraId="0FA690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Главный контролер по НКАП (10683,4).</w:t>
      </w:r>
    </w:p>
    <w:p w14:paraId="040836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A1FB2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ноября 1940 г. был создан Харьковский филиал ГПИ-1. Институт имел 8 филиалов: Ленинградский, созданный 22.07.1940 г.; Харьковский, созданный 27.11.1940 г.; Специальное проектное бюро № 1 (СПБ-1) в г. Куйбышев, организованное 6.08.1940 г., в 1947г. преобразовано в Куйбышевский филиал; СПБ-2; Сибирский филиал, созданный в 1951 г.; СПБ-6 в Казани, созданное 8.12.1941 г., 18.10.1952г. преобразовано в Казанский филиал; Омский филиал, организованный 17.10.1959г.; Уфимский филиал, организованый 18.02.1975г.; СПБ-11 в Ульяновске, созданное в 1976г.</w:t>
      </w:r>
    </w:p>
    <w:p w14:paraId="3D11B4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Харьковский филиал ГПИ-1, ГП «Южный государственный проектно-конструкторский институт авиационной промышленности («ЮжгипроНИИавиапром») /Украина 61023 г. Харьков ул. Сумская, 130А тел. (38057) 704-10-51/</w:t>
      </w:r>
    </w:p>
    <w:p w14:paraId="6B3ACE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Далее - самостоятельный «ЮжгипроНИИавиапром», головной институт Украины по комплексному проектированию предприятий авиационного и ВПК.</w:t>
      </w:r>
    </w:p>
    <w:p w14:paraId="4A0B84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(2002г.): разработка проектно-конструкторской документации на строительство, реконструкцию предприятий авиационного и ВПК, аэродромных комплексов, АСУВД.</w:t>
      </w:r>
    </w:p>
    <w:p w14:paraId="36E13D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Производственные площади (2002г.)- 6000 м2.</w:t>
      </w:r>
    </w:p>
    <w:p w14:paraId="7A1251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(2002г.)- более 200 чел.</w:t>
      </w:r>
    </w:p>
    <w:p w14:paraId="2BC0B9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(2002г.)- В.П. Силич.</w:t>
      </w:r>
    </w:p>
    <w:p w14:paraId="1BA516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(2002г.)- И.Н. Матлахов.</w:t>
      </w:r>
    </w:p>
    <w:p w14:paraId="2754D1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(2002г.)- О.Г. Зарница.</w:t>
      </w:r>
    </w:p>
    <w:p w14:paraId="7BF313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Создано: проекты предприятий: «Мотор-Сич», АНТК им. Антонова, ВАСО, Белокалитвенский меткомбинат, Тбилавиастрой, ТАВИА, Роствертол; аэродромные центры УВД в Донецке, Одессе, Харькове; радионавигационные системы обслуживания воздушного движения в Бахмаче, Виннице, Донецке, Днепропетровске, Кривом Рогу, Керчи, Львове, Мариуполе, Харькове.69 (11982).</w:t>
      </w:r>
    </w:p>
    <w:p w14:paraId="373DD5E1" w14:textId="77777777" w:rsidR="00A23B5F" w:rsidRPr="00A3026E" w:rsidRDefault="00A23B5F" w:rsidP="00A3026E">
      <w:pPr>
        <w:spacing w:after="0" w:line="240" w:lineRule="auto"/>
        <w:jc w:val="both"/>
        <w:rPr>
          <w:rFonts w:ascii="Times New Roman" w:hAnsi="Times New Roman"/>
          <w:color w:val="000000" w:themeColor="text1"/>
          <w:sz w:val="16"/>
          <w:szCs w:val="16"/>
        </w:rPr>
      </w:pPr>
    </w:p>
    <w:p w14:paraId="5A42EE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ноября 1940 года на НИП АВ ВВС закончились полигонные испытания модернизированного прибора ВАП-6 м конструкции завода "Вулкан" на самолете И-15 бис, которые проходили с 18 ноября 1940</w:t>
      </w:r>
    </w:p>
    <w:p w14:paraId="54B471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296775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Лукашев</w:t>
      </w:r>
    </w:p>
    <w:p w14:paraId="0118CC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2F636B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процессе полигонных испытаний необходимо было проверить следующие конструктивно-эксплуатационные элементы:</w:t>
      </w:r>
    </w:p>
    <w:p w14:paraId="141B89A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и надежность конструкции.</w:t>
      </w:r>
    </w:p>
    <w:p w14:paraId="7F7BFAE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Безотказность работы механизмов прибора.</w:t>
      </w:r>
    </w:p>
    <w:p w14:paraId="5256744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Возможность забрызгивания самолета.</w:t>
      </w:r>
    </w:p>
    <w:p w14:paraId="59B8D5E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дробления жидкости на площади при выливании.</w:t>
      </w:r>
    </w:p>
    <w:p w14:paraId="22F241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2C6C14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на полигонные испытания заводом "ВУЛКАН" модернизированный ВАП-6 м полигонные испытания выдержал (7602).</w:t>
      </w:r>
    </w:p>
    <w:p w14:paraId="5DF0D5F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B4C7E00" w14:textId="77777777" w:rsidR="0061340E" w:rsidRPr="00A3026E" w:rsidRDefault="0061340E"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08AC514" w14:textId="77777777" w:rsidR="0061340E" w:rsidRPr="00A3026E" w:rsidRDefault="0061340E" w:rsidP="00A3026E">
      <w:pPr>
        <w:spacing w:after="0" w:line="240" w:lineRule="auto"/>
        <w:jc w:val="both"/>
        <w:rPr>
          <w:rFonts w:ascii="Times New Roman" w:hAnsi="Times New Roman"/>
          <w:iCs/>
          <w:color w:val="000000" w:themeColor="text1"/>
          <w:sz w:val="16"/>
          <w:szCs w:val="16"/>
        </w:rPr>
      </w:pPr>
    </w:p>
    <w:p w14:paraId="26B76C81"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Утром 27 ноября 1940 г. колонна в составе трех танков Т-34 и машин сопровождения покинула Киевское танко-техническое училище и направилась в сторону Харькова. К исходу 30 ноября 1940 г. танки Т-34 достигли ворот родного завода № 183. За время четырехдневного марша по маршруту Киев – Харьков испытуемые танки преодолели общей сложностью 685 км, при этом движение происходило преимущественно по целине (убранным полям) и грунтовым дорогам. Не обошлось без поломок и в этот раз – во время марша на всех трех танках были заменены вышедшие из строя по причине коробления диски главного фрикциона. </w:t>
      </w:r>
    </w:p>
    <w:p w14:paraId="65CA5B57"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следующих дня после прибытия танков на завод, 1 и 2 декабря 1940 г., были посвящены техническому обслуживанию, проведению текущего ремонта и их подготовке к последнему этапу испытаний. На всех танках были заменены гусеницы. После того как машины были приведены в надлежащее состояние, 3 декабря 1940 г., на заводском полигоне были проведены контрольно-поверочные испытания по определению влияния износа отдельных узлов и механизмов на меткость и кучность боя при ведении огня из основного и вспомогательного оружия танков Т-34. Испытаниям подверглись два танка – № 1 и № 3, прошедшие к этому времени более 2600 км каждый. Стрельба на кучность из пушки Л-11 проводилась как с места, так и сходу по щиту размером 4×4 м. При стрельбе двенадцатью снарядами с места на дистанции 600 м боковое отклонение от центра эллипса рассеивания у пушки Л-11 танка № 1 составляло 0,3 м, а отклонение по вертикали – 0,52 м. У пушки танка № 3 кучность боя была несколько хуже – 0,6 м и 0,94 м соответственно. В отчете по испытаниям было отмечено: </w:t>
      </w:r>
    </w:p>
    <w:p w14:paraId="1F1F0794"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стрельбы на кучность, полученные после всех стрельб, и выраженные через сердцевинные полосы [эллипса рассеивания] в отклонениях по ширине и высоте, выше табличных [1,08 м и 1,44 м] данных для 76 мм. пушки образца 1927 года».</w:t>
      </w:r>
    </w:p>
    <w:p w14:paraId="04726C9F"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38]</w:t>
      </w:r>
    </w:p>
    <w:p w14:paraId="34BDB78D"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Проверка кучности пушки Л-11 при стрельбе с ходу была проведена на танке № 1. Из танка, двигавшегося со скоростью 10 км/ч, в течение 2 минут и 35 секунд с дистанции 600 – 300 м было произведено 11 выстрелов, 6 из которых попали в щит. При этом боковое отклонение снарядов от центра эллипса рассеивания составило 2,8 м, а отклонение по вертикали – 1,1 м. </w:t>
      </w:r>
    </w:p>
    <w:p w14:paraId="6D376101"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стрельбы на кучность с хода, – отмечалось в отчёте,– следует считать низкими, вследствие усложнения условий наводки при значительных люфтах поворотного и подъемного механизмов».</w:t>
      </w:r>
    </w:p>
    <w:p w14:paraId="009159D4"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38]</w:t>
      </w:r>
    </w:p>
    <w:p w14:paraId="632FD43C"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же как и во время предыдущих стрельб, проведенных в Кубинке и в Киеве, при стрельбе в Харькове в очередной раз имели место отказы в работе обеих пушек Л-11. </w:t>
      </w:r>
    </w:p>
    <w:p w14:paraId="3CEDE0CF"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Кучность стрельбы из спаренного с пушкой и лобового пулеметов ДТ была проверена на танке Т-34 № 3. Стрельба на кучность с места производилась короткими очередями по щиту размером 2×2 м с дистанции 400 м и по щиту размером 4×4 м – с дистанции 600 м. Стрельба велась одновременно из обоих пулеметов. На дистанции 400 м из 36 пуль, выпущенных из спаренного с пушкой пулемета ДТ, все 36 прошили щит. Из лобовой пулемётной установки было произведено 40 выстрелов и все 40 пуль пробили щит. При стрельбе с дистанции 600 м также были получены хорошие результаты – из каждого пулемёта было произведено по 60 выстрелов и все 120 пуль поразили цели. </w:t>
      </w:r>
    </w:p>
    <w:p w14:paraId="0CD6306E"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стрельбе с ходу с дистанции 200 – 150 м из 60 выстрелов, произведённых из каждого пулемёта, в щитах размером 2×2 м было зафиксировано 38 пулевых пробоин от спаренного пулемета и 51 пробоина – от лобового. После определения средних точек попадания в отчёте по испытаниям был сделан следующий вывод: </w:t>
      </w:r>
    </w:p>
    <w:p w14:paraId="100CAD87"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«Величины рассеивания для пулемета, спаренного с пушкой, не превышают нормальных данных для пулемета ДТ. При стрельбе из пулемета радиста величина рассеивания значительно возрастает и выходит за пределы нормальных данных, а количество пробоин уменьшается».</w:t>
      </w:r>
    </w:p>
    <w:p w14:paraId="5169C50C"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42]</w:t>
      </w:r>
    </w:p>
    <w:p w14:paraId="61B92F41"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следующий день после проведения стрельб, 4 декабря 1940 г., на всех танках было проверено состояние средств связи, а также проведены испытания по определению дальности радиосвязи между танками Т-34 № 1 и № 3. В отчёте по испытаниям состояние средств связи по возвращении танков в Харьков было описано так: </w:t>
      </w:r>
    </w:p>
    <w:p w14:paraId="1856BEE9"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рации после 2600 км. пробега: </w:t>
      </w:r>
    </w:p>
    <w:p w14:paraId="52E6B281"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всех трех танках антенны изогнуты и повреждены по всей длине запасными деталями и оборудованием, уложенными на крыле. Изоляторы ввода и стаканы забиты землей. </w:t>
      </w:r>
    </w:p>
    <w:p w14:paraId="775AF21A"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танке № 1 – не работает механизм подъема антенны – стержень "заел" во втулке. </w:t>
      </w:r>
    </w:p>
    <w:p w14:paraId="7706B738"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всех трех танках: </w:t>
      </w:r>
    </w:p>
    <w:p w14:paraId="57AFCF36"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Отвернуты и утеряны зажимные гайки на колодках питания. </w:t>
      </w:r>
    </w:p>
    <w:p w14:paraId="0EAD2BCD"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 умформерах приемников расшатаны (а на танке № 1 обломана) токоведущие клеммы – земля умформера. Клеммы залеплены грязью. </w:t>
      </w:r>
    </w:p>
    <w:p w14:paraId="24762181"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Промежуточные колодки на шлангах питания от умформера передатчика, находящиеся на уровне пола, покрыты грязью и маслом. </w:t>
      </w:r>
    </w:p>
    <w:p w14:paraId="62F01705"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Экранирующая оплетка на шлангах питания в местах зажима в вилку начала разрушаться. </w:t>
      </w:r>
    </w:p>
    <w:p w14:paraId="2FB00DC2"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танке № 1 умформер приемника дает сильный фон в телефонах своего приемника. Напряжение накала ламп – 3,8 вольта вместо 4 вольт. Вольтметр не работает. </w:t>
      </w:r>
    </w:p>
    <w:p w14:paraId="100C9762"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танке № 1 в цепи питания умформера приемника внутренний обрыв».</w:t>
      </w:r>
    </w:p>
    <w:p w14:paraId="4E183E27"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67]</w:t>
      </w:r>
    </w:p>
    <w:p w14:paraId="131536D0"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определении дальности радиосвязи было установлено, что во время движения обоих машин устойчивый прием и передача обеспечиваются на расстоянии всего лишь до 5 км, а на стоянках – до 8 км. «Как видно из приведенных данных, – было отмечено в отчёте, – после 2600 км. пробега качество работы рации ухудшилось и дальность связи резко снизилась». </w:t>
      </w:r>
    </w:p>
    <w:p w14:paraId="2FE47878"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 время, когда на танках Т-34 № 1 и № 3 испытывались средства связи, на танке № 2 приступили к демонтажу его основных узлов и агрегатов для проведения их дефектации. В течение трёх дней, с 4 по 6 декабря 1940 г., с танка были демонтированы и осмотрены: главный фрикцион, коробка передач, бортовые фрикционы, бортовые редукторы, источники и потребители электроэнергии. А снятый с танка дизель В-2 № 1227-06 был отправлен для дефектации на завод № 75. На этом испытания трех танков Т-34 длительным пробегом были завершены и специалисты НИ полигона ГАБТУ КА приступили к составлению отчета (19173).</w:t>
      </w:r>
    </w:p>
    <w:p w14:paraId="6AEE6231" w14:textId="77777777" w:rsidR="0061340E" w:rsidRPr="00A3026E" w:rsidRDefault="0061340E" w:rsidP="00A3026E">
      <w:pPr>
        <w:spacing w:after="0" w:line="240" w:lineRule="auto"/>
        <w:jc w:val="both"/>
        <w:rPr>
          <w:rFonts w:ascii="Times New Roman" w:hAnsi="Times New Roman"/>
          <w:color w:val="000000" w:themeColor="text1"/>
          <w:sz w:val="16"/>
          <w:szCs w:val="16"/>
        </w:rPr>
      </w:pPr>
    </w:p>
    <w:p w14:paraId="5639E065"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ноября 1940 г. пытаясь найти выход из сложившейся ситуации, заместитель народного комиссара среднего машиностроения А.А. Горегляд направил народному комиссару обороны СССР С.К. Тимошенко </w:t>
      </w:r>
      <w:hyperlink r:id="rId123" w:tgtFrame="_blank" w:history="1">
        <w:r w:rsidRPr="00A3026E">
          <w:rPr>
            <w:rStyle w:val="a5"/>
            <w:rFonts w:ascii="Times New Roman" w:hAnsi="Times New Roman"/>
            <w:color w:val="000000" w:themeColor="text1"/>
            <w:sz w:val="16"/>
            <w:szCs w:val="16"/>
          </w:rPr>
          <w:t>письмо № 25/9748</w:t>
        </w:r>
      </w:hyperlink>
      <w:r w:rsidRPr="00A3026E">
        <w:rPr>
          <w:rFonts w:ascii="Times New Roman" w:hAnsi="Times New Roman"/>
          <w:color w:val="000000" w:themeColor="text1"/>
          <w:sz w:val="16"/>
          <w:szCs w:val="16"/>
        </w:rPr>
        <w:t> со следующей просьбой: </w:t>
      </w:r>
    </w:p>
    <w:p w14:paraId="0562606E"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того, что разница в углах особо существенного значения не имеет, а расшлифовка бронедеталей под углом в 30° задержит производство, тем более что часть машин придется перебрать, прошу Вашего указания о приемке 143 танков Т-34 с углом возвышения системы 25°».</w:t>
      </w:r>
    </w:p>
    <w:p w14:paraId="2A1A185B"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1182. Л. 60] (18206).</w:t>
      </w:r>
    </w:p>
    <w:p w14:paraId="46251DF8" w14:textId="77777777" w:rsidR="0061340E" w:rsidRPr="00A3026E" w:rsidRDefault="0061340E" w:rsidP="00A3026E">
      <w:pPr>
        <w:spacing w:after="0" w:line="240" w:lineRule="auto"/>
        <w:jc w:val="both"/>
        <w:rPr>
          <w:rFonts w:ascii="Times New Roman" w:hAnsi="Times New Roman"/>
          <w:color w:val="000000" w:themeColor="text1"/>
          <w:sz w:val="16"/>
          <w:szCs w:val="16"/>
        </w:rPr>
      </w:pPr>
    </w:p>
    <w:p w14:paraId="18FB94CE"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ноября 1940</w:t>
      </w:r>
    </w:p>
    <w:p w14:paraId="068850EC"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1182 лист 60 </w:t>
      </w:r>
    </w:p>
    <w:p w14:paraId="3695160C"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107B9990"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___ </w:t>
      </w:r>
    </w:p>
    <w:p w14:paraId="70BEDC90"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Наш индекс 25/9748 </w:t>
      </w:r>
    </w:p>
    <w:p w14:paraId="65206371"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Дата 27/XI </w:t>
      </w:r>
    </w:p>
    <w:p w14:paraId="2693CBE1"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НАРОДНОМУ КОМИССАРУ ОБОРОНЫ</w:t>
      </w:r>
    </w:p>
    <w:p w14:paraId="0F014AD0"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МАРШАЛУ СОВЕТСКОГО СОЮЗА</w:t>
      </w:r>
    </w:p>
    <w:p w14:paraId="3F9FB965"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тов. ТИМОШЕНКО</w:t>
      </w:r>
    </w:p>
    <w:p w14:paraId="6D983B7E"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 Начальнику ГАБТУ КА ГЕНЕРАЛ-ЛЕЙТЕНАНТУ</w:t>
      </w:r>
    </w:p>
    <w:p w14:paraId="042F4EE2"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ФЕДОРЕНКО</w:t>
      </w:r>
    </w:p>
    <w:p w14:paraId="25F1DC31"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вопросу: приемки 143 танков Т-34 с углом возвышения системы 25°. </w:t>
      </w:r>
    </w:p>
    <w:p w14:paraId="4A98FE18"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Мариупольский завод им. Ильича приступил к изготовлению бронедеталей для танка Т-34 до окончательного утверждения серийных чертежей и изготовлял партию башен с согласия ГАБТУ КА по чертежам опытных образцов, т.е. под углом возвышения системы в 25°. </w:t>
      </w:r>
    </w:p>
    <w:p w14:paraId="6A58C4B2"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получении серийных чертежей с углом возвышения системы в 30°, завод Ильича не учел необходимости изменения шаблона для выреза амбразуры, в результате чего получился задел в 143 башни с углом 25°. Значительная часть этих башен заводом 183 установлена на машинах. </w:t>
      </w:r>
    </w:p>
    <w:p w14:paraId="6A7EC2AB"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Исходя из того, что разница в углах особо существенного значения не имеет, а расшлифовка бронедеталей под углом в 30° задержит производство, тем более что часть машин придется перебрать, прошу Вашего указания о приемке 143 танков Т-34 с углом возвышения системы 25°. </w:t>
      </w:r>
    </w:p>
    <w:p w14:paraId="1BFF0A71"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ЗАМ. НАРОДНОГО КОМИССАРА</w:t>
      </w:r>
    </w:p>
    <w:p w14:paraId="22404F3E"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СРЕДНЕГО МАШИНОСТРОЕНИЯ СССР (ГОРЕГЛЯД)</w:t>
      </w:r>
    </w:p>
    <w:p w14:paraId="182CCE39"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4 экз. </w:t>
      </w:r>
    </w:p>
    <w:p w14:paraId="09F02C3D" w14:textId="77777777" w:rsidR="0061340E" w:rsidRPr="00A3026E" w:rsidRDefault="0061340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6558 (18220).</w:t>
      </w:r>
    </w:p>
    <w:p w14:paraId="5DDDD73B" w14:textId="77777777" w:rsidR="0061340E" w:rsidRPr="00A3026E" w:rsidRDefault="0061340E" w:rsidP="00A3026E">
      <w:pPr>
        <w:spacing w:after="0" w:line="240" w:lineRule="auto"/>
        <w:jc w:val="both"/>
        <w:rPr>
          <w:rFonts w:ascii="Times New Roman" w:hAnsi="Times New Roman"/>
          <w:color w:val="000000" w:themeColor="text1"/>
          <w:sz w:val="16"/>
          <w:szCs w:val="16"/>
        </w:rPr>
      </w:pPr>
    </w:p>
    <w:p w14:paraId="409F7B92" w14:textId="77777777" w:rsidR="00A62B3F" w:rsidRPr="00A3026E" w:rsidRDefault="00A62B3F"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К 27 ноября 1940 закончили второй образец орудия Ф-30, а в начале декабря поставили в Т-28. Вместе с тем, происходившие далее события явно говорят о том, что Грабин стал терять интерес к 85-мм орудиям. Отчасти потому, что упомянутая 85-мм дивизионная пушка Ф-28 УДЛ (Ф-7) явно не имела перспектив, а для Ф-30 всё равно требовалась увеличенная башня. Поэтому в декабре 1940 года появилась новая разработка - 107-мм танковая пушка Ф-42. Одновременно шли работы и по 107-мм дивизионной пушке Ф-6 (наложение ствола с баллистикой по типу М-60 на лафет Ф-28) (21243).</w:t>
      </w:r>
    </w:p>
    <w:p w14:paraId="415467A1" w14:textId="77777777" w:rsidR="00A62B3F" w:rsidRPr="00A3026E" w:rsidRDefault="00A62B3F"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2296DFA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110FE99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6F9BB0E" w14:textId="77777777" w:rsidR="00A62B3F" w:rsidRPr="00A3026E" w:rsidRDefault="00A62B3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27 ноября 1940 французские летчики-первопроходцы Анри Гийоме и Жан Шиаппе, новый верховный комиссар Франции в Леванте, когда итальянский истребитель сбивает их авиалайнер Farman F.220 по имени Ле Верье, который Гийом пилотирует над Средиземным морем, доставляя Чиаппе в Сирию (20795).</w:t>
      </w:r>
    </w:p>
    <w:p w14:paraId="1589EA8B" w14:textId="77777777" w:rsidR="00A62B3F" w:rsidRPr="00A3026E" w:rsidRDefault="00A62B3F" w:rsidP="00A3026E">
      <w:pPr>
        <w:spacing w:after="0" w:line="240" w:lineRule="auto"/>
        <w:jc w:val="both"/>
        <w:rPr>
          <w:rFonts w:ascii="Times New Roman" w:hAnsi="Times New Roman"/>
          <w:color w:val="0070C0"/>
          <w:sz w:val="16"/>
          <w:szCs w:val="16"/>
        </w:rPr>
      </w:pPr>
    </w:p>
    <w:p w14:paraId="6512129D" w14:textId="77777777" w:rsidR="00A62B3F" w:rsidRPr="00A3026E" w:rsidRDefault="00A62B3F"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27 ноября 1940 во время битвы у мыса Спартивенто итальянский военно-морской командующий адмирал Иниго Кампиони приказывает своему флоту отступить, получив известие о силе противостоящих британских сил. Торпедный удар 11 Swordfish по отступающим кораблям неэффективен, как и запоздалое нападение итальянских высотных бомбардировщиков на британский авианосец HMS Ark Royal (20795).</w:t>
      </w:r>
    </w:p>
    <w:p w14:paraId="016103AE" w14:textId="77777777" w:rsidR="00A62B3F" w:rsidRPr="00A3026E" w:rsidRDefault="00A62B3F" w:rsidP="00A3026E">
      <w:pPr>
        <w:spacing w:after="0" w:line="240" w:lineRule="auto"/>
        <w:jc w:val="both"/>
        <w:rPr>
          <w:rFonts w:ascii="Times New Roman" w:hAnsi="Times New Roman"/>
          <w:color w:val="0070C0"/>
          <w:sz w:val="16"/>
          <w:szCs w:val="16"/>
        </w:rPr>
      </w:pPr>
    </w:p>
    <w:p w14:paraId="6EDC9096" w14:textId="77777777" w:rsidR="00A62B3F" w:rsidRPr="00A3026E" w:rsidRDefault="00A62B3F" w:rsidP="00A3026E">
      <w:pPr>
        <w:spacing w:after="0" w:line="240" w:lineRule="auto"/>
        <w:jc w:val="both"/>
        <w:rPr>
          <w:rFonts w:ascii="Times New Roman" w:hAnsi="Times New Roman"/>
          <w:color w:val="0070C0"/>
          <w:sz w:val="16"/>
          <w:szCs w:val="16"/>
          <w:lang w:val="en-US"/>
        </w:rPr>
      </w:pPr>
      <w:r w:rsidRPr="00A3026E">
        <w:rPr>
          <w:rFonts w:ascii="Times New Roman" w:hAnsi="Times New Roman"/>
          <w:color w:val="0070C0"/>
          <w:sz w:val="16"/>
          <w:szCs w:val="16"/>
          <w:lang w:val="en-US"/>
        </w:rPr>
        <w:t xml:space="preserve">27 </w:t>
      </w:r>
      <w:r w:rsidRPr="00A3026E">
        <w:rPr>
          <w:rFonts w:ascii="Times New Roman" w:hAnsi="Times New Roman"/>
          <w:color w:val="0070C0"/>
          <w:sz w:val="16"/>
          <w:szCs w:val="16"/>
        </w:rPr>
        <w:t>ноября</w:t>
      </w:r>
      <w:r w:rsidRPr="00A3026E">
        <w:rPr>
          <w:rFonts w:ascii="Times New Roman" w:hAnsi="Times New Roman"/>
          <w:color w:val="0070C0"/>
          <w:sz w:val="16"/>
          <w:szCs w:val="16"/>
          <w:lang w:val="en-US"/>
        </w:rPr>
        <w:t xml:space="preserve"> 1940 British West Indian Airlines, </w:t>
      </w:r>
      <w:r w:rsidRPr="00A3026E">
        <w:rPr>
          <w:rFonts w:ascii="Times New Roman" w:hAnsi="Times New Roman"/>
          <w:color w:val="0070C0"/>
          <w:sz w:val="16"/>
          <w:szCs w:val="16"/>
        </w:rPr>
        <w:t>будущая</w:t>
      </w:r>
      <w:r w:rsidRPr="00A3026E">
        <w:rPr>
          <w:rFonts w:ascii="Times New Roman" w:hAnsi="Times New Roman"/>
          <w:color w:val="0070C0"/>
          <w:sz w:val="16"/>
          <w:szCs w:val="16"/>
          <w:lang w:val="en-US"/>
        </w:rPr>
        <w:t xml:space="preserve"> BWIA West Indies Airways, </w:t>
      </w:r>
      <w:r w:rsidRPr="00A3026E">
        <w:rPr>
          <w:rFonts w:ascii="Times New Roman" w:hAnsi="Times New Roman"/>
          <w:color w:val="0070C0"/>
          <w:sz w:val="16"/>
          <w:szCs w:val="16"/>
        </w:rPr>
        <w:t>начинает</w:t>
      </w:r>
      <w:r w:rsidRPr="00A3026E">
        <w:rPr>
          <w:rFonts w:ascii="Times New Roman" w:hAnsi="Times New Roman"/>
          <w:color w:val="0070C0"/>
          <w:sz w:val="16"/>
          <w:szCs w:val="16"/>
          <w:lang w:val="en-US"/>
        </w:rPr>
        <w:t xml:space="preserve"> </w:t>
      </w:r>
      <w:r w:rsidRPr="00A3026E">
        <w:rPr>
          <w:rFonts w:ascii="Times New Roman" w:hAnsi="Times New Roman"/>
          <w:color w:val="0070C0"/>
          <w:sz w:val="16"/>
          <w:szCs w:val="16"/>
        </w:rPr>
        <w:t>полеты</w:t>
      </w:r>
      <w:r w:rsidRPr="00A3026E">
        <w:rPr>
          <w:rFonts w:ascii="Times New Roman" w:hAnsi="Times New Roman"/>
          <w:color w:val="0070C0"/>
          <w:sz w:val="16"/>
          <w:szCs w:val="16"/>
          <w:lang w:val="en-US"/>
        </w:rPr>
        <w:t xml:space="preserve"> (10795).</w:t>
      </w:r>
    </w:p>
    <w:p w14:paraId="1EA3CBDC" w14:textId="77777777" w:rsidR="00A62B3F" w:rsidRPr="00A3026E" w:rsidRDefault="00A62B3F" w:rsidP="00A3026E">
      <w:pPr>
        <w:spacing w:after="0" w:line="240" w:lineRule="auto"/>
        <w:jc w:val="both"/>
        <w:rPr>
          <w:rFonts w:ascii="Times New Roman" w:hAnsi="Times New Roman"/>
          <w:color w:val="0070C0"/>
          <w:sz w:val="16"/>
          <w:szCs w:val="16"/>
          <w:lang w:val="en-US"/>
        </w:rPr>
      </w:pPr>
    </w:p>
    <w:p w14:paraId="2A81BF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ноября 1940 в Румынии профашистская группа Железная гвардия убила 64 чел, в т.ч. бывшего премьера Jorga (3481).</w:t>
      </w:r>
    </w:p>
    <w:p w14:paraId="4E9D0D7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A1B226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ноября 1940 румынские фашисты убили премьер-министра Румынии Йоргу и еще 63 сторонника смещенного короля (4962).</w:t>
      </w:r>
    </w:p>
    <w:p w14:paraId="7E042A9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0E2432A" w14:textId="77777777" w:rsidR="00A23B5F" w:rsidRPr="00A3026E" w:rsidRDefault="00A23B5F"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27 ноября </w:t>
      </w:r>
      <w:r w:rsidRPr="00A3026E">
        <w:rPr>
          <w:rFonts w:ascii="Times New Roman" w:hAnsi="Times New Roman"/>
          <w:color w:val="000000" w:themeColor="text1"/>
          <w:sz w:val="16"/>
          <w:szCs w:val="16"/>
        </w:rPr>
        <w:t>в 1940 году запрещена деятельность Коммунистической партии Швейцарии (14842).</w:t>
      </w:r>
    </w:p>
    <w:p w14:paraId="03375C2E" w14:textId="77777777" w:rsidR="00A23B5F" w:rsidRPr="00A3026E" w:rsidRDefault="00A23B5F" w:rsidP="00A3026E">
      <w:pPr>
        <w:spacing w:after="0" w:line="240" w:lineRule="auto"/>
        <w:jc w:val="both"/>
        <w:rPr>
          <w:rFonts w:ascii="Times New Roman" w:hAnsi="Times New Roman"/>
          <w:color w:val="000000" w:themeColor="text1"/>
          <w:sz w:val="16"/>
          <w:szCs w:val="16"/>
        </w:rPr>
      </w:pPr>
    </w:p>
    <w:p w14:paraId="7DD813D8"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57E479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88CDE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комиссия 8 отдела ЦАГИ осмотрела самолет и мотор, и после опробования его на всех ре</w:t>
      </w:r>
      <w:r w:rsidRPr="00A3026E">
        <w:rPr>
          <w:rFonts w:ascii="Times New Roman" w:hAnsi="Times New Roman"/>
          <w:color w:val="000000" w:themeColor="text1"/>
          <w:sz w:val="16"/>
          <w:szCs w:val="16"/>
        </w:rPr>
        <w:softHyphen/>
        <w:t>жимах дала разрешение на перелет самолета ББ-2 на аэродром Рамен-ское.</w:t>
      </w:r>
    </w:p>
    <w:p w14:paraId="0F4FC0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Через час после взлета с места вынужденной посадки мотор М-88 стал давать перебои в работе, за</w:t>
      </w:r>
      <w:r w:rsidRPr="00A3026E">
        <w:rPr>
          <w:rFonts w:ascii="Times New Roman" w:hAnsi="Times New Roman"/>
          <w:color w:val="000000" w:themeColor="text1"/>
          <w:sz w:val="16"/>
          <w:szCs w:val="16"/>
        </w:rPr>
        <w:softHyphen/>
        <w:t>тем остановился. Экипаж совершил аварийную посадку на пашню вбли</w:t>
      </w:r>
      <w:r w:rsidRPr="00A3026E">
        <w:rPr>
          <w:rFonts w:ascii="Times New Roman" w:hAnsi="Times New Roman"/>
          <w:color w:val="000000" w:themeColor="text1"/>
          <w:sz w:val="16"/>
          <w:szCs w:val="16"/>
        </w:rPr>
        <w:softHyphen/>
        <w:t>зи аэродрома войсковой части СПБ-134 (район Подольска). При посад</w:t>
      </w:r>
      <w:r w:rsidRPr="00A3026E">
        <w:rPr>
          <w:rFonts w:ascii="Times New Roman" w:hAnsi="Times New Roman"/>
          <w:color w:val="000000" w:themeColor="text1"/>
          <w:sz w:val="16"/>
          <w:szCs w:val="16"/>
        </w:rPr>
        <w:softHyphen/>
        <w:t>ке летчик получил травму лица и был отправлен в больницу, а на самоле</w:t>
      </w:r>
      <w:r w:rsidRPr="00A3026E">
        <w:rPr>
          <w:rFonts w:ascii="Times New Roman" w:hAnsi="Times New Roman"/>
          <w:color w:val="000000" w:themeColor="text1"/>
          <w:sz w:val="16"/>
          <w:szCs w:val="16"/>
        </w:rPr>
        <w:softHyphen/>
        <w:t>те были сломаны опоры шасси, по</w:t>
      </w:r>
      <w:r w:rsidRPr="00A3026E">
        <w:rPr>
          <w:rFonts w:ascii="Times New Roman" w:hAnsi="Times New Roman"/>
          <w:color w:val="000000" w:themeColor="text1"/>
          <w:sz w:val="16"/>
          <w:szCs w:val="16"/>
        </w:rPr>
        <w:softHyphen/>
        <w:t>гнут винт, повреждены консоли кры</w:t>
      </w:r>
      <w:r w:rsidRPr="00A3026E">
        <w:rPr>
          <w:rFonts w:ascii="Times New Roman" w:hAnsi="Times New Roman"/>
          <w:color w:val="000000" w:themeColor="text1"/>
          <w:sz w:val="16"/>
          <w:szCs w:val="16"/>
        </w:rPr>
        <w:softHyphen/>
        <w:t>ла, всасывающий патрубок и туннель масляного радиатора.</w:t>
      </w:r>
    </w:p>
    <w:p w14:paraId="01A32D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Расследованием установлено, что остановка мотора произошла из-за полной выработки горючего из фю</w:t>
      </w:r>
      <w:r w:rsidRPr="00A3026E">
        <w:rPr>
          <w:rFonts w:ascii="Times New Roman" w:hAnsi="Times New Roman"/>
          <w:color w:val="000000" w:themeColor="text1"/>
          <w:sz w:val="16"/>
          <w:szCs w:val="16"/>
        </w:rPr>
        <w:softHyphen/>
        <w:t>зеляжного бака, при остатке около 220 литров в крыльевых баках. Ви</w:t>
      </w:r>
      <w:r w:rsidRPr="00A3026E">
        <w:rPr>
          <w:rFonts w:ascii="Times New Roman" w:hAnsi="Times New Roman"/>
          <w:color w:val="000000" w:themeColor="text1"/>
          <w:sz w:val="16"/>
          <w:szCs w:val="16"/>
        </w:rPr>
        <w:softHyphen/>
        <w:t>новник аварии - Н.Д.Фиксон.</w:t>
      </w:r>
    </w:p>
    <w:p w14:paraId="6C1AD1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всей видимости самолет не восстанавливался, а постановлени</w:t>
      </w:r>
      <w:r w:rsidRPr="00A3026E">
        <w:rPr>
          <w:rFonts w:ascii="Times New Roman" w:hAnsi="Times New Roman"/>
          <w:color w:val="000000" w:themeColor="text1"/>
          <w:sz w:val="16"/>
          <w:szCs w:val="16"/>
        </w:rPr>
        <w:softHyphen/>
        <w:t>ем СНК СССР и ЦК ВКП(б) от 16 апреля 1941 года работы по нему были прекращены.</w:t>
      </w:r>
    </w:p>
    <w:p w14:paraId="5BF294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конструкции самолет ББ-2 (ШБ) несколько отличался от серий</w:t>
      </w:r>
      <w:r w:rsidRPr="00A3026E">
        <w:rPr>
          <w:rFonts w:ascii="Times New Roman" w:hAnsi="Times New Roman"/>
          <w:color w:val="000000" w:themeColor="text1"/>
          <w:sz w:val="16"/>
          <w:szCs w:val="16"/>
        </w:rPr>
        <w:softHyphen/>
        <w:t>ного самолета Су-2 (ББ-1).</w:t>
      </w:r>
    </w:p>
    <w:p w14:paraId="0441AA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проектировании ББ-2 стави</w:t>
      </w:r>
      <w:r w:rsidRPr="00A3026E">
        <w:rPr>
          <w:rFonts w:ascii="Times New Roman" w:hAnsi="Times New Roman"/>
          <w:color w:val="000000" w:themeColor="text1"/>
          <w:sz w:val="16"/>
          <w:szCs w:val="16"/>
        </w:rPr>
        <w:softHyphen/>
        <w:t>лась задача получить конструкцию простую в серийном производстве, с минимальным применением алюми</w:t>
      </w:r>
      <w:r w:rsidRPr="00A3026E">
        <w:rPr>
          <w:rFonts w:ascii="Times New Roman" w:hAnsi="Times New Roman"/>
          <w:color w:val="000000" w:themeColor="text1"/>
          <w:sz w:val="16"/>
          <w:szCs w:val="16"/>
        </w:rPr>
        <w:softHyphen/>
        <w:t>ниевых сплавов, замененных сталью и древесиной.</w:t>
      </w:r>
    </w:p>
    <w:p w14:paraId="66412E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Фюзеляж и киль изготавливались целиком из древесины.</w:t>
      </w:r>
    </w:p>
    <w:p w14:paraId="6DA82D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консольных частях крыла - сме</w:t>
      </w:r>
      <w:r w:rsidRPr="00A3026E">
        <w:rPr>
          <w:rFonts w:ascii="Times New Roman" w:hAnsi="Times New Roman"/>
          <w:color w:val="000000" w:themeColor="text1"/>
          <w:sz w:val="16"/>
          <w:szCs w:val="16"/>
        </w:rPr>
        <w:softHyphen/>
        <w:t>шанной конструкции, металл исполь</w:t>
      </w:r>
      <w:r w:rsidRPr="00A3026E">
        <w:rPr>
          <w:rFonts w:ascii="Times New Roman" w:hAnsi="Times New Roman"/>
          <w:color w:val="000000" w:themeColor="text1"/>
          <w:sz w:val="16"/>
          <w:szCs w:val="16"/>
        </w:rPr>
        <w:softHyphen/>
        <w:t>зовался только в лонжеронах, во вто</w:t>
      </w:r>
      <w:r w:rsidRPr="00A3026E">
        <w:rPr>
          <w:rFonts w:ascii="Times New Roman" w:hAnsi="Times New Roman"/>
          <w:color w:val="000000" w:themeColor="text1"/>
          <w:sz w:val="16"/>
          <w:szCs w:val="16"/>
        </w:rPr>
        <w:softHyphen/>
        <w:t>рой нервюре и в законцовке. Сме</w:t>
      </w:r>
      <w:r w:rsidRPr="00A3026E">
        <w:rPr>
          <w:rFonts w:ascii="Times New Roman" w:hAnsi="Times New Roman"/>
          <w:color w:val="000000" w:themeColor="text1"/>
          <w:sz w:val="16"/>
          <w:szCs w:val="16"/>
        </w:rPr>
        <w:softHyphen/>
        <w:t>шанную конструкцию имел и цент</w:t>
      </w:r>
      <w:r w:rsidRPr="00A3026E">
        <w:rPr>
          <w:rFonts w:ascii="Times New Roman" w:hAnsi="Times New Roman"/>
          <w:color w:val="000000" w:themeColor="text1"/>
          <w:sz w:val="16"/>
          <w:szCs w:val="16"/>
        </w:rPr>
        <w:softHyphen/>
        <w:t>роплан крыла.</w:t>
      </w:r>
    </w:p>
    <w:p w14:paraId="67E8C6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ББ-2 отличался кинема</w:t>
      </w:r>
      <w:r w:rsidRPr="00A3026E">
        <w:rPr>
          <w:rFonts w:ascii="Times New Roman" w:hAnsi="Times New Roman"/>
          <w:color w:val="000000" w:themeColor="text1"/>
          <w:sz w:val="16"/>
          <w:szCs w:val="16"/>
        </w:rPr>
        <w:softHyphen/>
        <w:t>тикой уборки и выпуска основных опор шасси, убиравшихся назад в центроплан крыла с поворотом ко</w:t>
      </w:r>
      <w:r w:rsidRPr="00A3026E">
        <w:rPr>
          <w:rFonts w:ascii="Times New Roman" w:hAnsi="Times New Roman"/>
          <w:color w:val="000000" w:themeColor="text1"/>
          <w:sz w:val="16"/>
          <w:szCs w:val="16"/>
        </w:rPr>
        <w:softHyphen/>
        <w:t>лес на 90е. Впоследствии аналогич</w:t>
      </w:r>
      <w:r w:rsidRPr="00A3026E">
        <w:rPr>
          <w:rFonts w:ascii="Times New Roman" w:hAnsi="Times New Roman"/>
          <w:color w:val="000000" w:themeColor="text1"/>
          <w:sz w:val="16"/>
          <w:szCs w:val="16"/>
        </w:rPr>
        <w:softHyphen/>
        <w:t>ная схема применялась на самоле</w:t>
      </w:r>
      <w:r w:rsidRPr="00A3026E">
        <w:rPr>
          <w:rFonts w:ascii="Times New Roman" w:hAnsi="Times New Roman"/>
          <w:color w:val="000000" w:themeColor="text1"/>
          <w:sz w:val="16"/>
          <w:szCs w:val="16"/>
        </w:rPr>
        <w:softHyphen/>
        <w:t>тах Су-1, Су-6 и в ряде других про</w:t>
      </w:r>
      <w:r w:rsidRPr="00A3026E">
        <w:rPr>
          <w:rFonts w:ascii="Times New Roman" w:hAnsi="Times New Roman"/>
          <w:color w:val="000000" w:themeColor="text1"/>
          <w:sz w:val="16"/>
          <w:szCs w:val="16"/>
        </w:rPr>
        <w:softHyphen/>
        <w:t>ектов (11849).</w:t>
      </w:r>
    </w:p>
    <w:p w14:paraId="680796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62C14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года летчик-ис</w:t>
      </w:r>
      <w:r w:rsidRPr="00A3026E">
        <w:rPr>
          <w:rFonts w:ascii="Times New Roman" w:hAnsi="Times New Roman"/>
          <w:color w:val="000000" w:themeColor="text1"/>
          <w:sz w:val="16"/>
          <w:szCs w:val="16"/>
        </w:rPr>
        <w:softHyphen/>
        <w:t>пытатель А.П.Деев поднял ББ-3 М-81 в воздух. На следующий день, при выполнении второго полета мотор вышел из строя. Самолет законсер</w:t>
      </w:r>
      <w:r w:rsidRPr="00A3026E">
        <w:rPr>
          <w:rFonts w:ascii="Times New Roman" w:hAnsi="Times New Roman"/>
          <w:color w:val="000000" w:themeColor="text1"/>
          <w:sz w:val="16"/>
          <w:szCs w:val="16"/>
        </w:rPr>
        <w:softHyphen/>
        <w:t>вировали, т.к. решением правитель</w:t>
      </w:r>
      <w:r w:rsidRPr="00A3026E">
        <w:rPr>
          <w:rFonts w:ascii="Times New Roman" w:hAnsi="Times New Roman"/>
          <w:color w:val="000000" w:themeColor="text1"/>
          <w:sz w:val="16"/>
          <w:szCs w:val="16"/>
        </w:rPr>
        <w:softHyphen/>
        <w:t>ства М-81 сняли с производства (11849).</w:t>
      </w:r>
    </w:p>
    <w:p w14:paraId="642158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E4D4725" w14:textId="77777777" w:rsidR="00B25F1E" w:rsidRPr="00A3026E" w:rsidRDefault="00B25F1E"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28 ноября 1940 комиссия 8-го отдела ЦАГИ осмотрела скоростной штурмовик-бомбарди</w:t>
      </w:r>
      <w:r w:rsidRPr="00A3026E">
        <w:rPr>
          <w:rFonts w:ascii="Times New Roman" w:cs="Times New Roman"/>
          <w:color w:val="000000" w:themeColor="text1"/>
          <w:spacing w:val="0"/>
        </w:rPr>
        <w:softHyphen/>
        <w:t>ровщик ШБ - ББ-2, совершивший вынужденную посадку на летнем аэродроме Липицы, расположен</w:t>
      </w:r>
      <w:r w:rsidRPr="00A3026E">
        <w:rPr>
          <w:rFonts w:ascii="Times New Roman" w:cs="Times New Roman"/>
          <w:color w:val="000000" w:themeColor="text1"/>
          <w:spacing w:val="0"/>
        </w:rPr>
        <w:softHyphen/>
        <w:t>ном в десяти километрах восточнее Сер</w:t>
      </w:r>
      <w:r w:rsidRPr="00A3026E">
        <w:rPr>
          <w:rFonts w:ascii="Times New Roman" w:cs="Times New Roman"/>
          <w:color w:val="000000" w:themeColor="text1"/>
          <w:spacing w:val="0"/>
        </w:rPr>
        <w:softHyphen/>
        <w:t>пухова, 27 ноября 1940 и мотор, и после опробования его на всех режимах дала разрешение на перелет самолета в Раменское.</w:t>
      </w:r>
    </w:p>
    <w:p w14:paraId="25AF4111" w14:textId="77777777" w:rsidR="00B25F1E" w:rsidRPr="00A3026E" w:rsidRDefault="00B25F1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Через час после взлета с места вы</w:t>
      </w:r>
      <w:r w:rsidRPr="00A3026E">
        <w:rPr>
          <w:rFonts w:ascii="Times New Roman" w:hAnsi="Times New Roman"/>
          <w:color w:val="000000" w:themeColor="text1"/>
          <w:sz w:val="16"/>
          <w:szCs w:val="16"/>
        </w:rPr>
        <w:softHyphen/>
        <w:t>нужденной посадки мотор</w:t>
      </w:r>
      <w:r w:rsidRPr="00A3026E">
        <w:rPr>
          <w:rStyle w:val="aff8"/>
          <w:rFonts w:ascii="Times New Roman" w:hAnsi="Times New Roman" w:cs="Times New Roman"/>
          <w:b w:val="0"/>
          <w:color w:val="000000" w:themeColor="text1"/>
          <w:spacing w:val="0"/>
          <w:sz w:val="16"/>
          <w:szCs w:val="16"/>
        </w:rPr>
        <w:t xml:space="preserve"> М</w:t>
      </w:r>
      <w:r w:rsidRPr="00A3026E">
        <w:rPr>
          <w:rFonts w:ascii="Times New Roman" w:hAnsi="Times New Roman"/>
          <w:color w:val="000000" w:themeColor="text1"/>
          <w:sz w:val="16"/>
          <w:szCs w:val="16"/>
        </w:rPr>
        <w:t>-88 стал давать перебои, а затем совсем оста</w:t>
      </w:r>
      <w:r w:rsidRPr="00A3026E">
        <w:rPr>
          <w:rFonts w:ascii="Times New Roman" w:hAnsi="Times New Roman"/>
          <w:color w:val="000000" w:themeColor="text1"/>
          <w:sz w:val="16"/>
          <w:szCs w:val="16"/>
        </w:rPr>
        <w:softHyphen/>
        <w:t>новился Летчик совершил аварийную посадку на пашню вблизи аэродрома войсковой части в районе Подольска При приземлении Фиксон получил травму лица и попал в больницу, а на самолете были сломаны опоры шасси, погнут винт, повреждены консоли крыла, всасывающий патрубок и тоннель мас</w:t>
      </w:r>
      <w:r w:rsidRPr="00A3026E">
        <w:rPr>
          <w:rFonts w:ascii="Times New Roman" w:hAnsi="Times New Roman"/>
          <w:color w:val="000000" w:themeColor="text1"/>
          <w:sz w:val="16"/>
          <w:szCs w:val="16"/>
        </w:rPr>
        <w:softHyphen/>
        <w:t>ляного радиатора.</w:t>
      </w:r>
    </w:p>
    <w:p w14:paraId="4F5FEEEF" w14:textId="77777777" w:rsidR="00B25F1E" w:rsidRPr="00A3026E" w:rsidRDefault="00B25F1E"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Расследование установило, что оста</w:t>
      </w:r>
      <w:r w:rsidRPr="00A3026E">
        <w:rPr>
          <w:rFonts w:ascii="Times New Roman" w:cs="Times New Roman"/>
          <w:color w:val="000000" w:themeColor="text1"/>
          <w:spacing w:val="0"/>
        </w:rPr>
        <w:softHyphen/>
        <w:t>новка мотора произошла из-за полной выработки горючего из фюзеляжного бака, при остатке около 220 л в крыль</w:t>
      </w:r>
      <w:r w:rsidRPr="00A3026E">
        <w:rPr>
          <w:rFonts w:ascii="Times New Roman" w:cs="Times New Roman"/>
          <w:color w:val="000000" w:themeColor="text1"/>
          <w:spacing w:val="0"/>
        </w:rPr>
        <w:softHyphen/>
        <w:t>евых баках, так что виновником аварии являлся Фиксон</w:t>
      </w:r>
    </w:p>
    <w:p w14:paraId="2E5E24C9" w14:textId="77777777" w:rsidR="00B25F1E" w:rsidRPr="00A3026E" w:rsidRDefault="00B25F1E"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По всей видимости, самолет ШБ не восстанавливался, работы по нему пре</w:t>
      </w:r>
      <w:r w:rsidRPr="00A3026E">
        <w:rPr>
          <w:rFonts w:ascii="Times New Roman" w:cs="Times New Roman"/>
          <w:color w:val="000000" w:themeColor="text1"/>
          <w:spacing w:val="0"/>
        </w:rPr>
        <w:softHyphen/>
        <w:t>кратили постановлением СНК СССР и ЦК ВКП(б) от 16 апреля 1941 г. (19102).</w:t>
      </w:r>
    </w:p>
    <w:p w14:paraId="6CB60450" w14:textId="77777777" w:rsidR="00B25F1E" w:rsidRPr="00A3026E" w:rsidRDefault="00B25F1E" w:rsidP="00A3026E">
      <w:pPr>
        <w:pStyle w:val="26"/>
        <w:shd w:val="clear" w:color="auto" w:fill="auto"/>
        <w:spacing w:after="0" w:line="240" w:lineRule="auto"/>
        <w:ind w:firstLine="0"/>
        <w:rPr>
          <w:rFonts w:ascii="Times New Roman" w:cs="Times New Roman"/>
          <w:color w:val="000000" w:themeColor="text1"/>
          <w:spacing w:val="0"/>
        </w:rPr>
      </w:pPr>
    </w:p>
    <w:p w14:paraId="1DD074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Зам. Нач. ЦАГИ и Нач. БНТ Шумовский писал письмо N 7/2665с Нач. Техотдела НКАП Тарасевичу:</w:t>
      </w:r>
    </w:p>
    <w:p w14:paraId="610BEA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"Направляю Вам спецработу Шаурова "Бронирование самолетов" (2085).</w:t>
      </w:r>
    </w:p>
    <w:p w14:paraId="211FA4C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6016A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Лишь 28 ноября 1940 через приемку на заводе №18 прошли три бомбардировщика ДБ-3М с М-88 (7494).</w:t>
      </w:r>
    </w:p>
    <w:p w14:paraId="0F55A15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31B781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года при заводских испытаниях на аэродроме Раменское, 1-й экземпляр ближнего одномоторного бомбардировщика ББ-2 с мотором М-88 самолет потерпел аварию. Работы НКАП прекращены (4048, 4).</w:t>
      </w:r>
    </w:p>
    <w:p w14:paraId="2FDC1E3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A8025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года маршал С. Тимошенко писал письмо № 581с в Политбюро ЦК ВКП(б) Сталину</w:t>
      </w:r>
    </w:p>
    <w:p w14:paraId="11382D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запрещением 31 августа 1940 года полетов на самолетах И-16 и И-153 с мотором М-63, докладываю:</w:t>
      </w:r>
    </w:p>
    <w:p w14:paraId="3345C2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Части, вооруженные этими самолетами в течение трех месяцев не летают, летчики вследствие этого деквалифицируются, а материальная часть, хранящаяся вне ангаров и без продувания в воздухе портится.</w:t>
      </w:r>
    </w:p>
    <w:p w14:paraId="163E8C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Причиной запрещения полетов послужила недоброкачественность мотора М-63.</w:t>
      </w:r>
    </w:p>
    <w:p w14:paraId="78B344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Изучение всех случаев заклинивания показывает, что 80% разрушений происходит во время пилотирования при раскрутке винта выше 2300 об/мин и при использовании полной мощности мотора.</w:t>
      </w:r>
    </w:p>
    <w:p w14:paraId="104BB8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При ограничении оборотов мотора М-63 до 1900-2000 об/мин, наддува на взлете до 950, а на номинале до 850 мм ртутного столба, мощность мотора М-63 будет соответствовать мощности мотора М-62, следовательно, температурные режимы и условия работы этих моторов будут одинаковы.</w:t>
      </w:r>
    </w:p>
    <w:p w14:paraId="43F044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процессе эксплуатации разработана система контроля за работой мотора в период предполетной подготовки его к полету, которая дает возможность уловить момент начала заклинивания на земле и предотвратить выпуск в воздух с неисправным мотором.</w:t>
      </w:r>
    </w:p>
    <w:p w14:paraId="737682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этого, считаю возможным разрешить полеты для выполнения следующих задач:</w:t>
      </w:r>
    </w:p>
    <w:p w14:paraId="247BED8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Тренировка летчиков во взлете и посадке.</w:t>
      </w:r>
    </w:p>
    <w:p w14:paraId="41547A2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Воздушная стрельба по конусам.</w:t>
      </w:r>
    </w:p>
    <w:p w14:paraId="60DF451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Групповая слетанность в составе звена и девятки.</w:t>
      </w:r>
    </w:p>
    <w:p w14:paraId="706B820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Маршрутные полеты в районе аэродрома.</w:t>
      </w:r>
    </w:p>
    <w:p w14:paraId="67679F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Вашего утверждения (7398, 76-77).</w:t>
      </w:r>
    </w:p>
    <w:p w14:paraId="0D5C1FF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24435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г. первый модернизированный серийный самолет И-200 изготовили и передали на государственные испыта</w:t>
      </w:r>
      <w:r w:rsidRPr="00A3026E">
        <w:rPr>
          <w:rFonts w:ascii="Times New Roman" w:hAnsi="Times New Roman"/>
          <w:color w:val="000000" w:themeColor="text1"/>
          <w:sz w:val="16"/>
          <w:szCs w:val="16"/>
        </w:rPr>
        <w:softHyphen/>
        <w:t>ния. Нововведения обошлись неде</w:t>
      </w:r>
      <w:r w:rsidRPr="00A3026E">
        <w:rPr>
          <w:rFonts w:ascii="Times New Roman" w:hAnsi="Times New Roman"/>
          <w:color w:val="000000" w:themeColor="text1"/>
          <w:sz w:val="16"/>
          <w:szCs w:val="16"/>
        </w:rPr>
        <w:softHyphen/>
        <w:t>шево: взлетная масса машины возросла на 240 кг, а запас ее прочности уменьшился. Ухудшились также маневренные и скоростные показатели И—200 (9984). До конца года авиазавод №1 выпустил 111 истребителей типа И-200. В соответствии с постановлением правительства о новых наименованиях самолетов по заглавным буквам главных конструкторов первые 100 выпущенных экземпляров теперь следовало именовать МиГ-1 (Микоян и Гуревич - первый), а все последующие, в которые внесли изменения по типу четвертой опытной машины, начиная со 101-го самолета - МиГ-3. При этом первые 20 экземпляров серийный завод уже сдал как истребители И-200 (11954).</w:t>
      </w:r>
    </w:p>
    <w:p w14:paraId="2DCE14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5EEF3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г. первый серийный самолет И-200 был изготовлен и передан на государственные испытания. Нововведения обошлись недешево: взлетная масса машины возросла на 240 кг, а запас прочности ее уменьшился. Ухудшились также маневренные и скоростные показатели И-200 (12045).</w:t>
      </w:r>
    </w:p>
    <w:p w14:paraId="4AEFCC7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C848D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самолет КОР-2 (ЦКБ МС-9) облетал летчик-испытатель И.М. Сухомлин (10685).</w:t>
      </w:r>
    </w:p>
    <w:p w14:paraId="3441131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8651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закончились заводские испытания САМ-11 МВ-6, которые шли с 10 сентября 1940 (2090,232).</w:t>
      </w:r>
    </w:p>
    <w:p w14:paraId="1F0161D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1240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г. начальник 5 гл. управления НКАП Балакирев писал письмо N 3610 сс в КО.</w:t>
      </w:r>
    </w:p>
    <w:p w14:paraId="3E39BE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Исполнителями производственного задания по производству телемеханических самолетов в системе 5 ГУ НКАП являются: опытный завод N 379 и авторская группа инж. Никольского при НИИ-22. Кроме того, к изготовлению радиоустройств привлечен НИИ-20 НКЭП.</w:t>
      </w:r>
    </w:p>
    <w:p w14:paraId="485625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Объекты, подлежащие изготовлению делятся между исполнителями:</w:t>
      </w:r>
    </w:p>
    <w:p w14:paraId="2BF539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Опытный завод N 379.</w:t>
      </w:r>
    </w:p>
    <w:p w14:paraId="79BC67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Телемеханический самолет ТБ-3 без автоматической посадки - готовность на 1 ноября 1940 г. - 94,5%. Образец доведен до комплексных заводских испытаний.</w:t>
      </w:r>
    </w:p>
    <w:p w14:paraId="4BD9C0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То же ТБ-3 с автоматическим взлетом и посадкой. Готовность на 1 ноября 1940 г. - 75%. Образец доведен до стадии монтажа приборов на самолете.</w:t>
      </w:r>
    </w:p>
    <w:p w14:paraId="7BCD30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 же СБ - с автоматическим взлетом и посадкой. Готовность на 1 ноября 1940 г. - 70%. Образец доведен до регулировочных летных испытаний.</w:t>
      </w:r>
    </w:p>
    <w:p w14:paraId="09BC3E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Командный самолет ДБ-3.</w:t>
      </w:r>
    </w:p>
    <w:p w14:paraId="15C020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Спец-машина (командная) ГАЗ-аа.</w:t>
      </w:r>
    </w:p>
    <w:p w14:paraId="06B6EB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Подвижная лаборатория ЗИС-6. Ведущий конструктор Чачикян Р.Г.</w:t>
      </w:r>
    </w:p>
    <w:p w14:paraId="328112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Телемеханический самолет СБ - без автоматической посадки, готовность на 1 ноября 1940 г. - 75%. Образец доведен до монтажа приборов на самолете.</w:t>
      </w:r>
    </w:p>
    <w:p w14:paraId="1CACE2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Командный самолет СБ. Вед. конструктор - Неопалимов Г.Е.</w:t>
      </w:r>
    </w:p>
    <w:p w14:paraId="2F7CE8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НИИ-22.</w:t>
      </w:r>
    </w:p>
    <w:p w14:paraId="65EAEB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Телемеханический самолет УТ-2 с автоматическим взлетом и посадкой.</w:t>
      </w:r>
    </w:p>
    <w:p w14:paraId="00645A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Командный самолет СБ, готовность на 1 ноября 1940 г. 89%. Образец доведен до стадии лабораторных регулировочных испытаний приборов и монтажа на самолете.</w:t>
      </w:r>
    </w:p>
    <w:p w14:paraId="24E1A0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конструктор - Никольский (3281,92).</w:t>
      </w:r>
    </w:p>
    <w:p w14:paraId="7EDF5D5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A0C47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вышел приказ НКАП N 365 во исполнение постановления Правительства от 17 октября 1940 был утвержден Устав завода 459 3 ГУ (1647,28).</w:t>
      </w:r>
    </w:p>
    <w:p w14:paraId="241AB1B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F1FDD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вышел приказ НКАП N 366 во исполнение постановления Правительства от 17 октября 1940 был утвержден Устав завода 464 (1647,28).</w:t>
      </w:r>
    </w:p>
    <w:p w14:paraId="7485DC1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58B1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года нарком инос</w:t>
      </w:r>
      <w:r w:rsidRPr="00A3026E">
        <w:rPr>
          <w:rFonts w:ascii="Times New Roman" w:hAnsi="Times New Roman"/>
          <w:color w:val="000000" w:themeColor="text1"/>
          <w:sz w:val="16"/>
          <w:szCs w:val="16"/>
        </w:rPr>
        <w:softHyphen/>
        <w:t>транных дел В.М. Молотов во время встречи с пос</w:t>
      </w:r>
      <w:r w:rsidRPr="00A3026E">
        <w:rPr>
          <w:rFonts w:ascii="Times New Roman" w:hAnsi="Times New Roman"/>
          <w:color w:val="000000" w:themeColor="text1"/>
          <w:sz w:val="16"/>
          <w:szCs w:val="16"/>
        </w:rPr>
        <w:softHyphen/>
        <w:t>лом Германии в СССР Шуленбургом указал, что надеется, «что поставка Германией 30 тыс. тонн алюминия» будет осуществлена (Документы внешней политики. 1940 - 22 июня 1941. Т. XXIII. Кн. 2. (Часть 1). С. 153.). Соглашение о взаимных товарных поставках на второй договорной период по хо</w:t>
      </w:r>
      <w:r w:rsidRPr="00A3026E">
        <w:rPr>
          <w:rFonts w:ascii="Times New Roman" w:hAnsi="Times New Roman"/>
          <w:color w:val="000000" w:themeColor="text1"/>
          <w:sz w:val="16"/>
          <w:szCs w:val="16"/>
        </w:rPr>
        <w:softHyphen/>
        <w:t>зяйственному соглашению от 11 февраля 1940 года между СССР и Гер</w:t>
      </w:r>
      <w:r w:rsidRPr="00A3026E">
        <w:rPr>
          <w:rFonts w:ascii="Times New Roman" w:hAnsi="Times New Roman"/>
          <w:color w:val="000000" w:themeColor="text1"/>
          <w:sz w:val="16"/>
          <w:szCs w:val="16"/>
        </w:rPr>
        <w:softHyphen/>
        <w:t>манией включало в себя список 1Б германских поставок в СССР с 11 мая 1941 года до 1 августа 1942 года, который предусматривал по пункту 6 поставки 30000 тонн алюминия, начиная с апреля 1941 года (1941 год. Документы. Кн. 1. С. 529, 531.). В апреле 1941 года в СССР должна была поступить тысяча тонн алюминия, с 11 мая по 11 августа 1941 года - 5 тысяч тонн, в последующие кварталы предпо</w:t>
      </w:r>
      <w:r w:rsidRPr="00A3026E">
        <w:rPr>
          <w:rFonts w:ascii="Times New Roman" w:hAnsi="Times New Roman"/>
          <w:color w:val="000000" w:themeColor="text1"/>
          <w:sz w:val="16"/>
          <w:szCs w:val="16"/>
        </w:rPr>
        <w:softHyphen/>
        <w:t>лагалась поставка по 6 тысяч тонн (1941 год. Документы. Кн. 1. С. 535.).</w:t>
      </w:r>
    </w:p>
    <w:p w14:paraId="3B9A70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показатели более чем в 2,2 раза превосходили объем всего со</w:t>
      </w:r>
      <w:r w:rsidRPr="00A3026E">
        <w:rPr>
          <w:rFonts w:ascii="Times New Roman" w:hAnsi="Times New Roman"/>
          <w:color w:val="000000" w:themeColor="text1"/>
          <w:sz w:val="16"/>
          <w:szCs w:val="16"/>
        </w:rPr>
        <w:softHyphen/>
        <w:t>ветского импорта алюминия за последние три года и соответствовали 50% его производства в СССР в предвоенном 1940 году. Профессор Во</w:t>
      </w:r>
      <w:r w:rsidRPr="00A3026E">
        <w:rPr>
          <w:rFonts w:ascii="Times New Roman" w:hAnsi="Times New Roman"/>
          <w:color w:val="000000" w:themeColor="text1"/>
          <w:sz w:val="16"/>
          <w:szCs w:val="16"/>
        </w:rPr>
        <w:softHyphen/>
        <w:t>енно-исторического научно-исследовательского института в Потсдаме Ханс-Эрик Фолькман указывал на большую нагрузку, которая легла бы на германскую промышленность в случае соблюдения оговоренного объ</w:t>
      </w:r>
      <w:r w:rsidRPr="00A3026E">
        <w:rPr>
          <w:rFonts w:ascii="Times New Roman" w:hAnsi="Times New Roman"/>
          <w:color w:val="000000" w:themeColor="text1"/>
          <w:sz w:val="16"/>
          <w:szCs w:val="16"/>
        </w:rPr>
        <w:softHyphen/>
        <w:t>ема поставок алюминия: «Острую нехватку сырья ожидало также алюминиевое производство, тем более, что существенная доля его продукции предназначалась для так называемых «русских заказов», к выполнению которых намечалось приступить с апреля 1941 года» (Фолькман Х.-Э. Советский Союз в экономических расчетах «Третьего Рейха». 1933 -1941 годы. С. 82.). Если объем пред</w:t>
      </w:r>
      <w:r w:rsidRPr="00A3026E">
        <w:rPr>
          <w:rFonts w:ascii="Times New Roman" w:hAnsi="Times New Roman"/>
          <w:color w:val="000000" w:themeColor="text1"/>
          <w:sz w:val="16"/>
          <w:szCs w:val="16"/>
        </w:rPr>
        <w:softHyphen/>
        <w:t>полагаемого к отправке в СССР алюминия был «существенным» даже для германской экономики, то можно себе представить его значение для эко</w:t>
      </w:r>
      <w:r w:rsidRPr="00A3026E">
        <w:rPr>
          <w:rFonts w:ascii="Times New Roman" w:hAnsi="Times New Roman"/>
          <w:color w:val="000000" w:themeColor="text1"/>
          <w:sz w:val="16"/>
          <w:szCs w:val="16"/>
        </w:rPr>
        <w:softHyphen/>
        <w:t>номики СССР. Но даже в случае полного соблюдения графика поставок, до начала войны с Германией СССР смог бы получить только мизерную долю германского алюминия от общего предполагаемого объема - око</w:t>
      </w:r>
      <w:r w:rsidRPr="00A3026E">
        <w:rPr>
          <w:rFonts w:ascii="Times New Roman" w:hAnsi="Times New Roman"/>
          <w:color w:val="000000" w:themeColor="text1"/>
          <w:sz w:val="16"/>
          <w:szCs w:val="16"/>
        </w:rPr>
        <w:softHyphen/>
        <w:t>ло 10%. Это был серьезный просчет руководства СССР, ибо расчеты на значительные поставки из Германии неминуемо ставили в зависимость от них план отечественного авиапроизводства, а их срыв мог повлечь его существенный сбой (11710,262).</w:t>
      </w:r>
    </w:p>
    <w:p w14:paraId="2EDA74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DC0C7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г. полковник Г.М.Шевченко докладывал руковод</w:t>
      </w:r>
      <w:r w:rsidRPr="00A3026E">
        <w:rPr>
          <w:rFonts w:ascii="Times New Roman" w:hAnsi="Times New Roman"/>
          <w:color w:val="000000" w:themeColor="text1"/>
          <w:sz w:val="16"/>
          <w:szCs w:val="16"/>
        </w:rPr>
        <w:softHyphen/>
        <w:t>ству ВВС: «...На РО конструкции НИИ-3 НКБ было много сочленений и контактов, что часто приводило к коротким замыканиям 15 сети. Это потребовало применения предохранителей в иепи питания каждою ору</w:t>
      </w:r>
      <w:r w:rsidRPr="00A3026E">
        <w:rPr>
          <w:rFonts w:ascii="Times New Roman" w:hAnsi="Times New Roman"/>
          <w:color w:val="000000" w:themeColor="text1"/>
          <w:sz w:val="16"/>
          <w:szCs w:val="16"/>
        </w:rPr>
        <w:softHyphen/>
        <w:t>дия. В данное время на вооружении состоит ракетное орудие конструк</w:t>
      </w:r>
      <w:r w:rsidRPr="00A3026E">
        <w:rPr>
          <w:rFonts w:ascii="Times New Roman" w:hAnsi="Times New Roman"/>
          <w:color w:val="000000" w:themeColor="text1"/>
          <w:sz w:val="16"/>
          <w:szCs w:val="16"/>
        </w:rPr>
        <w:softHyphen/>
        <w:t>ции завода №32 (ЗРО-82), где в пиропистолетах применен серийный за</w:t>
      </w:r>
      <w:r w:rsidRPr="00A3026E">
        <w:rPr>
          <w:rFonts w:ascii="Times New Roman" w:hAnsi="Times New Roman"/>
          <w:color w:val="000000" w:themeColor="text1"/>
          <w:sz w:val="16"/>
          <w:szCs w:val="16"/>
        </w:rPr>
        <w:softHyphen/>
        <w:t>твор электропироспуска бомбодержателей, а значит, достаточно о: рани-читься одним предохранителем на 30 А для обшей иепи электропитания ракетного оружия» (11402).</w:t>
      </w:r>
    </w:p>
    <w:p w14:paraId="37BDD4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895869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B59CF4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F7106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года начальник ГАУ маршал Кулик приказал для 203-мм гаубиц М-40 и У-3 изготовить по 3 свободных трубы с крутизной нарезки в 25, 30 и 35 клб для определения наивыгоднейшей нарезки опытным путем. Война в значительной степени сорвала планы доработки М-40 на вооружение она так и не была принята (3861).</w:t>
      </w:r>
    </w:p>
    <w:p w14:paraId="5E206DA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1B69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года за № 49266 в СОП из ЦК ВКП(б) для исполнения поступили Записки Горюшинского и Меженинова о преждевременных неполных разрывах 152 мм и 203 мм бетонобойных снарядов в канале орудий (7479, 117-120).</w:t>
      </w:r>
    </w:p>
    <w:p w14:paraId="3FB59D0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55710E8"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Между 28 ноября и 18 декабря 1940. </w:t>
      </w:r>
      <w:r w:rsidRPr="00A3026E">
        <w:rPr>
          <w:rStyle w:val="a7"/>
          <w:rFonts w:ascii="Times New Roman" w:hAnsi="Times New Roman"/>
          <w:b w:val="0"/>
          <w:bCs w:val="0"/>
          <w:color w:val="000000" w:themeColor="text1"/>
          <w:sz w:val="16"/>
          <w:szCs w:val="16"/>
        </w:rPr>
        <w:t>Протокол заседания Политбюро № 23, 1940 г.</w:t>
      </w:r>
    </w:p>
    <w:p w14:paraId="683060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Программа по выпуску станков в 1939 году Наркомтяжпромом выполнена на 84,7%, а за 9 месяцев 1940 г. всего лишь на 54% к году. Особенно неудовлетворительно выполняется план по наиболее квалифицированным и дефицитным станкам. Так, план за 9 месяцев 1940 г. выполнен: по автоматам и полуавтоматам — на 38,5%, шлифовальным станкам — на 37%, расточным — на 25,7%, карусельным — на 53,8% и продольно-строгальным — на 27%. План освоения новых типов станков в 1939 г. выполнен на 52%, а за 9 месяцев 1940 г.— на 52,3% к году. Освоение новых высокопроизводительных современных типов металлорежущих станков, особенно автоматов и полуавтоматов, специальных станков для авиационной, танковой и снарядной промышленности проводится неудовлетворительно. Совнарком Союза ССР и ЦК ВКП(б) отмечают, что Наркомтяжмаш не уделяет достаточного внимания подготовке и росту конструкторов; кадры конструкторов-станкостроителей крайне недостаточны и распылены. Конструкторы-станкостроители еще плохо используют в своей работе опыт передовых заграничных станкостроительных заводов, </w:t>
      </w:r>
      <w:r w:rsidRPr="00A3026E">
        <w:rPr>
          <w:rFonts w:ascii="Times New Roman" w:hAnsi="Times New Roman"/>
          <w:color w:val="000000" w:themeColor="text1"/>
          <w:sz w:val="16"/>
          <w:szCs w:val="16"/>
        </w:rPr>
        <w:lastRenderedPageBreak/>
        <w:t xml:space="preserve">слабо изучают передовую технологию машиностроения и оборонной промышленности, в результате чего станкостроение отстает от уровня передовой заграничной станкостроительной техники. Выпускаемые станки недостаточно оснащаются принадлежностями и приспособлениями, что приводит к крайне низкому использованию станочного парка. Выпуск инструмента и абразивов не обеспечивает нужд народного хозяйства и отстает от намечаемых темпов развития станкостроения... </w:t>
      </w:r>
    </w:p>
    <w:p w14:paraId="22F524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Систематическое нарушение технологической дисциплины в литейных и металлообрабатывающих цехах станкостроительных заводов вызывает недопустимо высокий процент брака (16-18%), что в значительной степени увеличивает дефицит в литье и нарушает нормальный ход производства. </w:t>
      </w:r>
    </w:p>
    <w:p w14:paraId="318008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Совет Народных Комиссаров Союза ССР и Центральный Комитет ВКП(б) выражают уверенность, что рабочие, инженерно-технические работники и хозяйственные руководители станкостроительной промышленности под руководством партийных и советских организаций быстро преодолеют отставание и выведут станкостроение в ряды передовых отраслей (11652).</w:t>
      </w:r>
    </w:p>
    <w:p w14:paraId="17BFE58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7D46938"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Между 28 ноября и 18 декабря 1940. </w:t>
      </w:r>
      <w:r w:rsidRPr="00A3026E">
        <w:rPr>
          <w:rStyle w:val="a7"/>
          <w:rFonts w:ascii="Times New Roman" w:hAnsi="Times New Roman"/>
          <w:b w:val="0"/>
          <w:bCs w:val="0"/>
          <w:color w:val="000000" w:themeColor="text1"/>
          <w:sz w:val="16"/>
          <w:szCs w:val="16"/>
        </w:rPr>
        <w:t>Протокол заседания Политбюро № 23, 1940 г.</w:t>
      </w:r>
    </w:p>
    <w:p w14:paraId="6AD55D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 заработной плате освобожденным работникам первичных партийных организаций на предприятиях </w:t>
      </w:r>
    </w:p>
    <w:p w14:paraId="16761D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Установить с 1 ноября 1940 года следующие ставки заработной платы освобожденным работникам первичных партийных организаций на предприятиях: </w:t>
      </w:r>
    </w:p>
    <w:p w14:paraId="4C4F83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секретарям первичных партийных организаций в размере 75% от ставок заработной платы директоров соответствующих предприятий, но не свыше 1400 руб. в месяц; </w:t>
      </w:r>
    </w:p>
    <w:p w14:paraId="2182B4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заместителям секретарей первичных партийных организаций на 20% ниже ставок заработной платы секретарей; </w:t>
      </w:r>
    </w:p>
    <w:p w14:paraId="2E53EF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секретарям цеховых партийных организаций в размере 75% от ставок заработной платы начальников соответствующих цехов, но не свыше 1000 руб. в месяц; </w:t>
      </w:r>
    </w:p>
    <w:p w14:paraId="6521F4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инструкторам парткомов первичных партийных организаций на 150-200 руб. выше существующих ставок зарплаты; </w:t>
      </w:r>
    </w:p>
    <w:p w14:paraId="62AB5C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техническим работникам первичных партийных организаций установить надбавку в 10% по сравнению с заводскими (11652).</w:t>
      </w:r>
    </w:p>
    <w:p w14:paraId="6304D4F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B6A5FF1" w14:textId="77777777" w:rsidR="006707CB" w:rsidRPr="00A3026E" w:rsidRDefault="006707CB"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bCs/>
          <w:iCs/>
          <w:color w:val="000000" w:themeColor="text1"/>
          <w:sz w:val="16"/>
          <w:szCs w:val="16"/>
        </w:rPr>
        <w:t>28 ноября 1940 г.</w:t>
      </w:r>
      <w:r w:rsidRPr="00A3026E">
        <w:rPr>
          <w:rFonts w:ascii="Times New Roman" w:hAnsi="Times New Roman"/>
          <w:color w:val="000000" w:themeColor="text1"/>
          <w:sz w:val="16"/>
          <w:szCs w:val="16"/>
        </w:rPr>
        <w:t xml:space="preserve"> Утверждение начальником УВХЗ Красной Армии П.Г.Мельниковым секретного </w:t>
      </w:r>
      <w:r w:rsidRPr="00A3026E">
        <w:rPr>
          <w:rFonts w:ascii="Times New Roman" w:hAnsi="Times New Roman"/>
          <w:iCs/>
          <w:color w:val="000000" w:themeColor="text1"/>
          <w:sz w:val="16"/>
          <w:szCs w:val="16"/>
        </w:rPr>
        <w:t>«Руководства по хранению, осмотру и перевозкам имущества военно-химической защиты»</w:t>
      </w:r>
      <w:r w:rsidRPr="00A3026E">
        <w:rPr>
          <w:rFonts w:ascii="Times New Roman" w:hAnsi="Times New Roman"/>
          <w:color w:val="000000" w:themeColor="text1"/>
          <w:sz w:val="16"/>
          <w:szCs w:val="16"/>
        </w:rPr>
        <w:t xml:space="preserve"> — формальный конец эпохе закапывания химического оружия. Впервые даны указания по всем видам ОВ, причем их надлежало уничтожать </w:t>
      </w:r>
      <w:r w:rsidRPr="00A3026E">
        <w:rPr>
          <w:rFonts w:ascii="Times New Roman" w:hAnsi="Times New Roman"/>
          <w:iCs/>
          <w:color w:val="000000" w:themeColor="text1"/>
          <w:sz w:val="16"/>
          <w:szCs w:val="16"/>
        </w:rPr>
        <w:t>«на полигонах или специальных площадках, находящихся не ближе чем в 3 км от населенных пунктов»</w:t>
      </w:r>
      <w:r w:rsidRPr="00A3026E">
        <w:rPr>
          <w:rFonts w:ascii="Times New Roman" w:hAnsi="Times New Roman"/>
          <w:color w:val="000000" w:themeColor="text1"/>
          <w:sz w:val="16"/>
          <w:szCs w:val="16"/>
        </w:rPr>
        <w:t>. Предписано СОВ (иприт, люизит и их смеси) не закапывать в ямы с предварительным сжиганием, а обязательно сжигать в «корыте», вкопанном в землю (17133).</w:t>
      </w:r>
    </w:p>
    <w:p w14:paraId="4AEF8F72" w14:textId="77777777" w:rsidR="006707CB" w:rsidRPr="00A3026E" w:rsidRDefault="006707CB" w:rsidP="00A3026E">
      <w:pPr>
        <w:shd w:val="clear" w:color="auto" w:fill="FFFFFF"/>
        <w:spacing w:after="0" w:line="240" w:lineRule="auto"/>
        <w:jc w:val="both"/>
        <w:rPr>
          <w:rFonts w:ascii="Times New Roman" w:hAnsi="Times New Roman"/>
          <w:color w:val="000000" w:themeColor="text1"/>
          <w:sz w:val="16"/>
          <w:szCs w:val="16"/>
        </w:rPr>
      </w:pPr>
    </w:p>
    <w:p w14:paraId="635EDBA8"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491DB4A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3A8C889"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Между 28 ноября и 18 декабря 1940. </w:t>
      </w:r>
      <w:r w:rsidRPr="00A3026E">
        <w:rPr>
          <w:rStyle w:val="a7"/>
          <w:rFonts w:ascii="Times New Roman" w:hAnsi="Times New Roman"/>
          <w:b w:val="0"/>
          <w:bCs w:val="0"/>
          <w:color w:val="000000" w:themeColor="text1"/>
          <w:sz w:val="16"/>
          <w:szCs w:val="16"/>
        </w:rPr>
        <w:t>Протокол заседания Политбюро № 23, 1940 г.</w:t>
      </w:r>
    </w:p>
    <w:p w14:paraId="4D21DD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 освобождении от платы за обучение учащихся инвалидов-пенсионеров и их детей и воспитанников детских домов </w:t>
      </w:r>
    </w:p>
    <w:p w14:paraId="272924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Освободить от платы за обучение во всех средних и высших учебных заведениях инвалидов-пенсионеров и их детей в том случае, если получаемая ими пенсия является для них единственным источником средств к существованию, а также учащихся инвалидов... не получающих пенсии и направленных на учебу органами социального обеспечения. </w:t>
      </w:r>
    </w:p>
    <w:p w14:paraId="706227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Сохранить для воспитанников детских домов и детей, находящихся на патронате, бесплатность обучения в техникумах и 8-10 классах средних школ... (11652).</w:t>
      </w:r>
    </w:p>
    <w:p w14:paraId="008EE30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4A75A95"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Между 28 ноября и 18 декабря 1940. </w:t>
      </w:r>
      <w:r w:rsidRPr="00A3026E">
        <w:rPr>
          <w:rStyle w:val="a7"/>
          <w:rFonts w:ascii="Times New Roman" w:hAnsi="Times New Roman"/>
          <w:b w:val="0"/>
          <w:bCs w:val="0"/>
          <w:color w:val="000000" w:themeColor="text1"/>
          <w:sz w:val="16"/>
          <w:szCs w:val="16"/>
        </w:rPr>
        <w:t>Протокол заседания Политбюро № 23, 1940 г.</w:t>
      </w:r>
    </w:p>
    <w:p w14:paraId="234AC8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 переселении жителей из населенных пунктов 800-метровой пограничной полосы Черновицкой области УССР (в августе 1940 г. Северная Буковина была включена в состав СССР и стала называться Черновицкой областью) </w:t>
      </w:r>
    </w:p>
    <w:p w14:paraId="070C91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целях охраны государственных границ на территории Черновицкой области УССР СНК и ЦК ВКП(б) постановляют: </w:t>
      </w:r>
    </w:p>
    <w:p w14:paraId="084890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Обязать Совнарком УССР и ЦК КП(б)У переселить из населенных пунктов 800-метровой пограничной полосы 414 дворов с населением 1345 человек в тыловые районы Черновицкой области на земли и усадьбы, освободившиеся после эвакуации немецкого населения... </w:t>
      </w:r>
    </w:p>
    <w:p w14:paraId="62D4BA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Разрешить Совнаркому УССР и ЦК КП(б)У: </w:t>
      </w:r>
    </w:p>
    <w:p w14:paraId="160FC8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передать освободившиеся после переселения дома и другие строения населенных пунктов 800-метровой пограничной полосы в необходимом количестве в распоряжение пограничных войск НКВД УССР... </w:t>
      </w:r>
    </w:p>
    <w:p w14:paraId="767DF7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передать земли и леса, расположенные в 800-метровой пограничной полосе, в ведение пограничных войск НКВД УССР для проведения заградительных мероприятий (11652).</w:t>
      </w:r>
    </w:p>
    <w:p w14:paraId="599D19A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AEF3FA3"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Между 28 ноября и 18 декабря 1940. </w:t>
      </w:r>
      <w:r w:rsidRPr="00A3026E">
        <w:rPr>
          <w:rStyle w:val="a7"/>
          <w:rFonts w:ascii="Times New Roman" w:hAnsi="Times New Roman"/>
          <w:b w:val="0"/>
          <w:bCs w:val="0"/>
          <w:color w:val="000000" w:themeColor="text1"/>
          <w:sz w:val="16"/>
          <w:szCs w:val="16"/>
        </w:rPr>
        <w:t>Протокол заседания Политбюро № 23, 1940 г.</w:t>
      </w:r>
    </w:p>
    <w:p w14:paraId="476954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 упорядочении контроля за иностранной литературой, поступающей в Литовскую, Латвийскую и Эстонскую ССР </w:t>
      </w:r>
    </w:p>
    <w:p w14:paraId="2ECBC4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Распространить на Литовскую, Латвийскую и Эстонскую ССР порядок контроля над иностранной литературой. </w:t>
      </w:r>
    </w:p>
    <w:p w14:paraId="5A32F4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Обязать Народный комиссариат связи СССР всю иностранную литературу, поступающую в Литовскую, Латвийскую и Эстонскую союзные республики, направлять в Москву для цензурного просмотра. </w:t>
      </w:r>
    </w:p>
    <w:p w14:paraId="6FDBBF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Обязать уполномоченного СНК СССР по охране военных тайн в печати тов. Садчикова обеспечить просмотр всей иностранной литературы, поступающей в Литовскую, Латвийскую и Эстонскую ССР. </w:t>
      </w:r>
    </w:p>
    <w:p w14:paraId="5C533C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Установить, что выписка всей иностранной литературы для Литовской, Латвийской и Эстонской ССР производится через всесоюзное объединение "Международная книга" (11652).</w:t>
      </w:r>
    </w:p>
    <w:p w14:paraId="0036CA7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1029A4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6BE4E46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71BAA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года состоялась одиннадцатая встреча К.А. Уманского с С. Уэллесом, на которой кроме них никто не присутствовал. Она состояла из четырех частей, причем первым из обсуждавшихся был вопрос о стан</w:t>
      </w:r>
      <w:r w:rsidRPr="00A3026E">
        <w:rPr>
          <w:rFonts w:ascii="Times New Roman" w:hAnsi="Times New Roman"/>
          <w:color w:val="000000" w:themeColor="text1"/>
          <w:sz w:val="16"/>
          <w:szCs w:val="16"/>
        </w:rPr>
        <w:softHyphen/>
        <w:t>ках и машинах. Уманский выразил недовольство результатами работы ко</w:t>
      </w:r>
      <w:r w:rsidRPr="00A3026E">
        <w:rPr>
          <w:rFonts w:ascii="Times New Roman" w:hAnsi="Times New Roman"/>
          <w:color w:val="000000" w:themeColor="text1"/>
          <w:sz w:val="16"/>
          <w:szCs w:val="16"/>
        </w:rPr>
        <w:softHyphen/>
        <w:t>миссии Максуэлла, которая должна была пересмотреть запрет на вывоз материалов и оборудования, заказанных СССР: «Я в решительной форме настаивал на освобождении всего оборудования в порту, аннулировании ордеров на реквизицию и радикальном пересмотре списка запретов на оборудование, находящееся в производстве, в духе предложений советс</w:t>
      </w:r>
      <w:r w:rsidRPr="00A3026E">
        <w:rPr>
          <w:rFonts w:ascii="Times New Roman" w:hAnsi="Times New Roman"/>
          <w:color w:val="000000" w:themeColor="text1"/>
          <w:sz w:val="16"/>
          <w:szCs w:val="16"/>
        </w:rPr>
        <w:softHyphen/>
        <w:t>кого правительства, переданных мною Уэллесу 7 октября. Уэллес отве</w:t>
      </w:r>
      <w:r w:rsidRPr="00A3026E">
        <w:rPr>
          <w:rFonts w:ascii="Times New Roman" w:hAnsi="Times New Roman"/>
          <w:color w:val="000000" w:themeColor="text1"/>
          <w:sz w:val="16"/>
          <w:szCs w:val="16"/>
        </w:rPr>
        <w:softHyphen/>
        <w:t>тил, что поставит перед полковником Максуэллом вопрос о пересмотре принятых решений, сообщит мне на днях результаты. Он-де сам не ожи</w:t>
      </w:r>
      <w:r w:rsidRPr="00A3026E">
        <w:rPr>
          <w:rFonts w:ascii="Times New Roman" w:hAnsi="Times New Roman"/>
          <w:color w:val="000000" w:themeColor="text1"/>
          <w:sz w:val="16"/>
          <w:szCs w:val="16"/>
        </w:rPr>
        <w:softHyphen/>
        <w:t>дал, что комиссия не сможет пойти нам в большей степени навстречу», -сообщал К.А. Уманский в телеграмме В.М. Молотову от 28.11.1940 года. Он приводил важные факты о режиме работы советских авиамоторных специалистов на американском авиамоторном заводе. «Как пример про</w:t>
      </w:r>
      <w:r w:rsidRPr="00A3026E">
        <w:rPr>
          <w:rFonts w:ascii="Times New Roman" w:hAnsi="Times New Roman"/>
          <w:color w:val="000000" w:themeColor="text1"/>
          <w:sz w:val="16"/>
          <w:szCs w:val="16"/>
        </w:rPr>
        <w:softHyphen/>
        <w:t>должающейся дискриминации против наших граждан, я вынужден снова назвать вопрос об условии работы членов комиссии завода имени Стали</w:t>
      </w:r>
      <w:r w:rsidRPr="00A3026E">
        <w:rPr>
          <w:rFonts w:ascii="Times New Roman" w:hAnsi="Times New Roman"/>
          <w:color w:val="000000" w:themeColor="text1"/>
          <w:sz w:val="16"/>
          <w:szCs w:val="16"/>
        </w:rPr>
        <w:softHyphen/>
        <w:t>на на заводе Райта; несмотря на обещание его, Уэллеса, о допуске к озна</w:t>
      </w:r>
      <w:r w:rsidRPr="00A3026E">
        <w:rPr>
          <w:rFonts w:ascii="Times New Roman" w:hAnsi="Times New Roman"/>
          <w:color w:val="000000" w:themeColor="text1"/>
          <w:sz w:val="16"/>
          <w:szCs w:val="16"/>
        </w:rPr>
        <w:softHyphen/>
        <w:t>комлению с технологическим процессом, за три месяца в результате этого обещания было проведено всего четыре экскурсии в цеха для семи членов комиссии со всякими ограничениями, отказано в устройстве четырех дру</w:t>
      </w:r>
      <w:r w:rsidRPr="00A3026E">
        <w:rPr>
          <w:rFonts w:ascii="Times New Roman" w:hAnsi="Times New Roman"/>
          <w:color w:val="000000" w:themeColor="text1"/>
          <w:sz w:val="16"/>
          <w:szCs w:val="16"/>
        </w:rPr>
        <w:softHyphen/>
        <w:t>гих экскурсий, между тем как договор о техпомощи предусматривает не осмотры, а текущее ознакомление с технологическим процессом. Поэто</w:t>
      </w:r>
      <w:r w:rsidRPr="00A3026E">
        <w:rPr>
          <w:rFonts w:ascii="Times New Roman" w:hAnsi="Times New Roman"/>
          <w:color w:val="000000" w:themeColor="text1"/>
          <w:sz w:val="16"/>
          <w:szCs w:val="16"/>
        </w:rPr>
        <w:softHyphen/>
        <w:t>му я вынужден снова считать вопрос о режиме комиссии на заводе Райта неурегулированным. Как доказательство, я передал Уэллесу официально полученную нашей комиссией копию письма представителя морской раз</w:t>
      </w:r>
      <w:r w:rsidRPr="00A3026E">
        <w:rPr>
          <w:rFonts w:ascii="Times New Roman" w:hAnsi="Times New Roman"/>
          <w:color w:val="000000" w:themeColor="text1"/>
          <w:sz w:val="16"/>
          <w:szCs w:val="16"/>
        </w:rPr>
        <w:softHyphen/>
        <w:t>ведки при заводе, в которой последний, игнорируя договор о техничес</w:t>
      </w:r>
      <w:r w:rsidRPr="00A3026E">
        <w:rPr>
          <w:rFonts w:ascii="Times New Roman" w:hAnsi="Times New Roman"/>
          <w:color w:val="000000" w:themeColor="text1"/>
          <w:sz w:val="16"/>
          <w:szCs w:val="16"/>
        </w:rPr>
        <w:softHyphen/>
        <w:t>кой помощи, заявляет директору завода, что американское правительство не может позволить использовать завод для целей обучения». Уэллес со</w:t>
      </w:r>
      <w:r w:rsidRPr="00A3026E">
        <w:rPr>
          <w:rFonts w:ascii="Times New Roman" w:hAnsi="Times New Roman"/>
          <w:color w:val="000000" w:themeColor="text1"/>
          <w:sz w:val="16"/>
          <w:szCs w:val="16"/>
        </w:rPr>
        <w:softHyphen/>
        <w:t>гласился с этим и «обещал добиться у морского министерства улучшения режима комиссии на заводе Райта»</w:t>
      </w:r>
      <w:r w:rsidRPr="00A3026E">
        <w:rPr>
          <w:rFonts w:ascii="Times New Roman" w:hAnsi="Times New Roman"/>
          <w:color w:val="000000" w:themeColor="text1"/>
          <w:sz w:val="16"/>
          <w:szCs w:val="16"/>
          <w:vertAlign w:val="superscript"/>
        </w:rPr>
        <w:t>115</w:t>
      </w:r>
      <w:r w:rsidRPr="00A3026E">
        <w:rPr>
          <w:rFonts w:ascii="Times New Roman" w:hAnsi="Times New Roman"/>
          <w:color w:val="000000" w:themeColor="text1"/>
          <w:sz w:val="16"/>
          <w:szCs w:val="16"/>
        </w:rPr>
        <w:t>. Таким образом, итог одиннадцатой встречи не содержал каких-либо положительных тенденций в советско-американских экономических контактах.</w:t>
      </w:r>
    </w:p>
    <w:p w14:paraId="0B5D2B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состоялась 12-я встреча с Уэллесом, длившаяся 2 часа», - со</w:t>
      </w:r>
      <w:r w:rsidRPr="00A3026E">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A3026E">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A3026E">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A3026E">
        <w:rPr>
          <w:rFonts w:ascii="Times New Roman" w:hAnsi="Times New Roman"/>
          <w:color w:val="000000" w:themeColor="text1"/>
          <w:sz w:val="16"/>
          <w:szCs w:val="16"/>
        </w:rPr>
        <w:softHyphen/>
        <w:t>ны США. В пересмотре списка участвовали представители промышленнос</w:t>
      </w:r>
      <w:r w:rsidRPr="00A3026E">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A3026E">
        <w:rPr>
          <w:rFonts w:ascii="Times New Roman" w:hAnsi="Times New Roman"/>
          <w:color w:val="000000" w:themeColor="text1"/>
          <w:sz w:val="16"/>
          <w:szCs w:val="16"/>
        </w:rPr>
        <w:softHyphen/>
        <w:t>ти, авиационной, морской и артиллерийской, в этом оборудовании, аме</w:t>
      </w:r>
      <w:r w:rsidRPr="00A3026E">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A3026E">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A3026E">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A3026E">
        <w:rPr>
          <w:rFonts w:ascii="Times New Roman" w:hAnsi="Times New Roman"/>
          <w:color w:val="000000" w:themeColor="text1"/>
          <w:sz w:val="16"/>
          <w:szCs w:val="16"/>
        </w:rPr>
        <w:softHyphen/>
        <w:t>ходящихся в производстве, американское правительство сочло возможным лицензировать на экспорт советских заказов на сумму 495 тысяч долларов. К.А. Уманский ответил, что передаст эту информацию советскому прави</w:t>
      </w:r>
      <w:r w:rsidRPr="00A3026E">
        <w:rPr>
          <w:rFonts w:ascii="Times New Roman" w:hAnsi="Times New Roman"/>
          <w:color w:val="000000" w:themeColor="text1"/>
          <w:sz w:val="16"/>
          <w:szCs w:val="16"/>
        </w:rPr>
        <w:softHyphen/>
        <w:t xml:space="preserve">тельству. Он отметил: «Однако, при этой </w:t>
      </w:r>
      <w:r w:rsidRPr="00A3026E">
        <w:rPr>
          <w:rFonts w:ascii="Times New Roman" w:hAnsi="Times New Roman"/>
          <w:color w:val="000000" w:themeColor="text1"/>
          <w:sz w:val="16"/>
          <w:szCs w:val="16"/>
        </w:rPr>
        <w:lastRenderedPageBreak/>
        <w:t>передаче я должен буду разъяснить своему правительству, что в ценностном выражении американское прави</w:t>
      </w:r>
      <w:r w:rsidRPr="00A3026E">
        <w:rPr>
          <w:rFonts w:ascii="Times New Roman" w:hAnsi="Times New Roman"/>
          <w:color w:val="000000" w:themeColor="text1"/>
          <w:sz w:val="16"/>
          <w:szCs w:val="16"/>
        </w:rPr>
        <w:softHyphen/>
        <w:t>тельство освобождает лишь около 60% принятого и в основном отгружен</w:t>
      </w:r>
      <w:r w:rsidRPr="00A3026E">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A3026E">
        <w:rPr>
          <w:rFonts w:ascii="Times New Roman" w:hAnsi="Times New Roman"/>
          <w:color w:val="000000" w:themeColor="text1"/>
          <w:sz w:val="16"/>
          <w:szCs w:val="16"/>
        </w:rPr>
        <w:softHyphen/>
        <w:t>ких заказов, находящихся в производстве, К.А. Уманский подчеркнул: «Кон</w:t>
      </w:r>
      <w:r w:rsidRPr="00A3026E">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A3026E">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A3026E">
        <w:rPr>
          <w:rFonts w:ascii="Times New Roman" w:hAnsi="Times New Roman"/>
          <w:color w:val="000000" w:themeColor="text1"/>
          <w:sz w:val="16"/>
          <w:szCs w:val="16"/>
        </w:rPr>
        <w:softHyphen/>
        <w:t>листы видят оборонный характер освобожденных станков и машин, вклю</w:t>
      </w:r>
      <w:r w:rsidRPr="00A3026E">
        <w:rPr>
          <w:rFonts w:ascii="Times New Roman" w:hAnsi="Times New Roman"/>
          <w:color w:val="000000" w:themeColor="text1"/>
          <w:sz w:val="16"/>
          <w:szCs w:val="16"/>
        </w:rPr>
        <w:softHyphen/>
        <w:t>чающих тяжелые станки, снарядные прессы, авиамоторы и т.д., безуслов</w:t>
      </w:r>
      <w:r w:rsidRPr="00A3026E">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A3026E">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A3026E">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10564C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A3026E">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A3026E">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A3026E">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A3026E">
        <w:rPr>
          <w:rFonts w:ascii="Times New Roman" w:hAnsi="Times New Roman"/>
          <w:color w:val="000000" w:themeColor="text1"/>
          <w:sz w:val="16"/>
          <w:szCs w:val="16"/>
        </w:rPr>
        <w:softHyphen/>
        <w:t>цией определенного числа станков и машин за компенсацию; обязательство американского правительства в форме обмена нотами рассматривать все со</w:t>
      </w:r>
      <w:r w:rsidRPr="00A3026E">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A3026E">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A3026E">
        <w:rPr>
          <w:rFonts w:ascii="Times New Roman" w:hAnsi="Times New Roman"/>
          <w:color w:val="000000" w:themeColor="text1"/>
          <w:sz w:val="16"/>
          <w:szCs w:val="16"/>
        </w:rPr>
        <w:softHyphen/>
        <w:t>тво не может дать нам ни гарантии неаннулирования выдаваемых лицензий, ни автоматического возобновления договоров на запрещаемое к вывозу обо</w:t>
      </w:r>
      <w:r w:rsidRPr="00A3026E">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A3026E">
        <w:rPr>
          <w:rFonts w:ascii="Times New Roman" w:hAnsi="Times New Roman"/>
          <w:color w:val="000000" w:themeColor="text1"/>
          <w:sz w:val="16"/>
          <w:szCs w:val="16"/>
        </w:rPr>
        <w:softHyphen/>
        <w:t>роительной и машиностроительной промышленности это исключают».</w:t>
      </w:r>
    </w:p>
    <w:p w14:paraId="59AFAB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Пятый вопрос встречи касался поездок в СССР американских специалис</w:t>
      </w:r>
      <w:r w:rsidRPr="00A3026E">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A3026E">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A3026E">
        <w:rPr>
          <w:rFonts w:ascii="Times New Roman" w:hAnsi="Times New Roman"/>
          <w:color w:val="000000" w:themeColor="text1"/>
          <w:sz w:val="16"/>
          <w:szCs w:val="16"/>
        </w:rPr>
        <w:softHyphen/>
        <w:t>га будут рассмотрены», на что К.А. Уманский, комментируя в телеграмме его слова, отметил: «Это является ответом с опозданием на четыре с половиной месяца на поднятый мной при второй встрече</w:t>
      </w:r>
      <w:r w:rsidRPr="00A3026E">
        <w:rPr>
          <w:rFonts w:ascii="Times New Roman" w:hAnsi="Times New Roman"/>
          <w:color w:val="000000" w:themeColor="text1"/>
          <w:sz w:val="16"/>
          <w:szCs w:val="16"/>
          <w:vertAlign w:val="superscript"/>
        </w:rPr>
        <w:t>118</w:t>
      </w:r>
      <w:r w:rsidRPr="00A3026E">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434B34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A3026E">
        <w:rPr>
          <w:rFonts w:ascii="Times New Roman" w:hAnsi="Times New Roman"/>
          <w:color w:val="000000" w:themeColor="text1"/>
          <w:sz w:val="16"/>
          <w:szCs w:val="16"/>
          <w:vertAlign w:val="superscript"/>
        </w:rPr>
        <w:t>119</w:t>
      </w:r>
      <w:r w:rsidRPr="00A3026E">
        <w:rPr>
          <w:rFonts w:ascii="Times New Roman" w:hAnsi="Times New Roman"/>
          <w:color w:val="000000" w:themeColor="text1"/>
          <w:sz w:val="16"/>
          <w:szCs w:val="16"/>
        </w:rPr>
        <w:t>.</w:t>
      </w:r>
    </w:p>
    <w:p w14:paraId="37301E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Телеграмма Уманского от 17.12.1940 года, вероятно, является самым важ</w:t>
      </w:r>
      <w:r w:rsidRPr="00A3026E">
        <w:rPr>
          <w:rFonts w:ascii="Times New Roman" w:hAnsi="Times New Roman"/>
          <w:color w:val="000000" w:themeColor="text1"/>
          <w:sz w:val="16"/>
          <w:szCs w:val="16"/>
        </w:rPr>
        <w:softHyphen/>
        <w:t>ным документом, освещающим переговоры советского полпреда с замес</w:t>
      </w:r>
      <w:r w:rsidRPr="00A3026E">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A3026E">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A3026E">
        <w:rPr>
          <w:rFonts w:ascii="Times New Roman" w:hAnsi="Times New Roman"/>
          <w:color w:val="000000" w:themeColor="text1"/>
          <w:sz w:val="16"/>
          <w:szCs w:val="16"/>
        </w:rPr>
        <w:softHyphen/>
        <w:t>ных советско-американских переговоров, проводившихся в 1940 году в пе</w:t>
      </w:r>
      <w:r w:rsidRPr="00A3026E">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A3026E">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A3026E">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4C0066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Американская сторона отразила ход переговоров встречи в Меморанду</w:t>
      </w:r>
      <w:r w:rsidRPr="00A3026E">
        <w:rPr>
          <w:rFonts w:ascii="Times New Roman" w:hAnsi="Times New Roman"/>
          <w:color w:val="000000" w:themeColor="text1"/>
          <w:sz w:val="16"/>
          <w:szCs w:val="16"/>
        </w:rPr>
        <w:softHyphen/>
        <w:t>ме о переговорах, составленном Гендерсоном 16 декабря 1940 года. С аме</w:t>
      </w:r>
      <w:r w:rsidRPr="00A3026E">
        <w:rPr>
          <w:rFonts w:ascii="Times New Roman" w:hAnsi="Times New Roman"/>
          <w:color w:val="000000" w:themeColor="text1"/>
          <w:sz w:val="16"/>
          <w:szCs w:val="16"/>
        </w:rPr>
        <w:softHyphen/>
        <w:t>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A3026E">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A3026E">
        <w:rPr>
          <w:rFonts w:ascii="Times New Roman" w:hAnsi="Times New Roman"/>
          <w:color w:val="000000" w:themeColor="text1"/>
          <w:sz w:val="16"/>
          <w:szCs w:val="16"/>
        </w:rPr>
        <w:softHyphen/>
        <w:t>ки. Обсуждение проблемы морального эмбарго текстуально почти до</w:t>
      </w:r>
      <w:r w:rsidRPr="00A3026E">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A3026E">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465E86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A3026E">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A3026E">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A3026E">
        <w:rPr>
          <w:rFonts w:ascii="Times New Roman" w:hAnsi="Times New Roman"/>
          <w:color w:val="000000" w:themeColor="text1"/>
          <w:sz w:val="16"/>
          <w:szCs w:val="16"/>
        </w:rPr>
        <w:softHyphen/>
        <w:t>лучить часть заказанного в США промышленного оборудования. Более того, не было никаких гарантий в связи с целым комплексом причин, что вновь за</w:t>
      </w:r>
      <w:r w:rsidRPr="00A3026E">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334E54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A3026E">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5F1238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оборудованию, находящемуся в производстве, можно сказать следу</w:t>
      </w:r>
      <w:r w:rsidRPr="00A3026E">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A3026E">
        <w:rPr>
          <w:rFonts w:ascii="Times New Roman" w:hAnsi="Times New Roman"/>
          <w:color w:val="000000" w:themeColor="text1"/>
          <w:sz w:val="16"/>
          <w:szCs w:val="16"/>
        </w:rPr>
        <w:softHyphen/>
        <w:t>ветственно, 87,5 % не могло быть получено СССР.</w:t>
      </w:r>
    </w:p>
    <w:p w14:paraId="5900ED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13A291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поводу режима комиссии НКАПа на заводе Райта: по первую полови</w:t>
      </w:r>
      <w:r w:rsidRPr="00A3026E">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A3026E">
        <w:rPr>
          <w:rFonts w:ascii="Times New Roman" w:hAnsi="Times New Roman"/>
          <w:color w:val="000000" w:themeColor="text1"/>
          <w:sz w:val="16"/>
          <w:szCs w:val="16"/>
        </w:rPr>
        <w:softHyphen/>
        <w:t>ты комиссии американская сторона не сообщила.</w:t>
      </w:r>
    </w:p>
    <w:p w14:paraId="5EBB4A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A3026E">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5216A0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A3026E">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A3026E">
        <w:rPr>
          <w:rFonts w:ascii="Times New Roman" w:hAnsi="Times New Roman"/>
          <w:color w:val="000000" w:themeColor="text1"/>
          <w:sz w:val="16"/>
          <w:szCs w:val="16"/>
        </w:rPr>
        <w:softHyphen/>
        <w:t>нии СССР как в экономической, так и в политической области, и послед</w:t>
      </w:r>
      <w:r w:rsidRPr="00A3026E">
        <w:rPr>
          <w:rFonts w:ascii="Times New Roman" w:hAnsi="Times New Roman"/>
          <w:color w:val="000000" w:themeColor="text1"/>
          <w:sz w:val="16"/>
          <w:szCs w:val="16"/>
        </w:rPr>
        <w:softHyphen/>
        <w:t>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конста</w:t>
      </w:r>
      <w:r w:rsidRPr="00A3026E">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4913C0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5D61D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г. во время встречи В.М.М. с послом Германии в СССР Шуленбургом он указал, что надеется, "что поставка Германией 30 тыс. тонн алюминия" будет осуществлена (Внешняя торговля СССР за 1918-1940 гг. С. 312, 345, 379, 790, 691, 1078.). Соглашение о взаимных товарных поставках на второй договорной период по хозяйственному соглашению от 11 февраля 1940 г. между СССР и Германией включало в себя список "1Б" германских поставок в СССР с 11 мая 1941 г. до 1 августа 1942 г., который предусматривал по пункту 6 поставки 30000 тонн алюминия, начиная с апреля 1941 г. (Документы внешней политики. 1940-22 июня 1941. Т. XXIII. Кн. 2. (Ч. 1). 1 ноября 1940 г.- 1 марта 1941 г. М., 1998. С. 153.) В апреле 1941 г. в СССР должно было поступить 1000 тонн алюминия, с 11 мая по 11 августа 1941 г. - 5000 тысяч тонн, в последующие кварталы предполагалась поставка по 6000 тонн (1941 год. Кн. 1. С. 529, 531.). Это были внушительные цифры, которые более чем в 2,2 раза превосходили объем всего советского импорта алюминия за последние три года и соответствовали 50% его производства в СССР в предвоенном 1940 г. Профессор Военно-исторического научно-исследовательского института в Потсдаме Ханс-Эрик Фолькман указывал на большую нагрузку, которая легла бы на германскую промышленность в случае соблюдения оговоренного объема поставок алюминия: "Острую нехватку сырья ожидало также алюминиевое производство, тем более, что существенная доля его продукции предназначалась для так называемых "русских заказов" к выполнению которых намечалось приступить с апреля 1941 г." (1941 год. Кн. 1. С. 535.). Если объем предполагаемого к отправке в СССР алюминия был "существенным" даже для германской экономики, то можно себе представить его значение для экономики СССР. Но даже в случае полного соблюдения графика поставок, до начала войны с Германией СССР смог бы получить только мизерную долю германского алюминия от общего предполагаемого объема - около 10%. Это был серьезный просчет руководства СССР, ибо расчеты на значительные поставки из Германии неминуемо ставили в зависимость от них план отечественного авиапроизводства, а срыв их - мог повлечь его существенный сбой (11684).</w:t>
      </w:r>
    </w:p>
    <w:p w14:paraId="5236A79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C841DF" w14:textId="77777777" w:rsidR="006707CB" w:rsidRPr="00A3026E" w:rsidRDefault="006707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28 ноября 1940 г. нар</w:t>
      </w:r>
      <w:r w:rsidRPr="00A3026E">
        <w:rPr>
          <w:rFonts w:ascii="Times New Roman" w:hAnsi="Times New Roman"/>
          <w:color w:val="000000" w:themeColor="text1"/>
          <w:sz w:val="16"/>
          <w:szCs w:val="16"/>
        </w:rPr>
        <w:softHyphen/>
        <w:t>ком иностранных дел В.М. Молотов во время встречи с послом Гер</w:t>
      </w:r>
      <w:r w:rsidRPr="00A3026E">
        <w:rPr>
          <w:rFonts w:ascii="Times New Roman" w:hAnsi="Times New Roman"/>
          <w:color w:val="000000" w:themeColor="text1"/>
          <w:sz w:val="16"/>
          <w:szCs w:val="16"/>
        </w:rPr>
        <w:softHyphen/>
        <w:t>мании в СССР Шуленбургом указал, что надеется, «что поставка Германией 30 тыс. тонн алюминия» будет осуществлена. Соглашение о взаимных товарных поставках на второй договорной период по хозяйственному соглашению от 11 февраля 1940 г. между СССР и Германией включало в себя список «1Б» германских поставок в Союз с 11 мая 1941 г. до 1 августа 1942 г., предусматривавший поставки 30 тыс. т алюминия, начиная с апре</w:t>
      </w:r>
      <w:r w:rsidRPr="00A3026E">
        <w:rPr>
          <w:rFonts w:ascii="Times New Roman" w:hAnsi="Times New Roman"/>
          <w:color w:val="000000" w:themeColor="text1"/>
          <w:sz w:val="16"/>
          <w:szCs w:val="16"/>
        </w:rPr>
        <w:softHyphen/>
        <w:t>ля 1941 г. В том месяце в СССР должно было поступить 1000 т алюминия, с 11 мая по 11 августа 1941 г. — 5000 т, в последующие кварталы предполагалась поставка по 6000 т (15786).</w:t>
      </w:r>
    </w:p>
    <w:p w14:paraId="3E93BEB6" w14:textId="77777777" w:rsidR="006707CB" w:rsidRPr="00A3026E" w:rsidRDefault="006707CB" w:rsidP="00A3026E">
      <w:pPr>
        <w:spacing w:after="0" w:line="240" w:lineRule="auto"/>
        <w:jc w:val="both"/>
        <w:rPr>
          <w:rFonts w:ascii="Times New Roman" w:hAnsi="Times New Roman"/>
          <w:color w:val="000000" w:themeColor="text1"/>
          <w:sz w:val="16"/>
          <w:szCs w:val="16"/>
        </w:rPr>
      </w:pPr>
    </w:p>
    <w:p w14:paraId="4508168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254D45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B6205C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ноября 1940 в Берлине состоялась премьера нацистского фильма «Вечный жид» (4962).</w:t>
      </w:r>
    </w:p>
    <w:p w14:paraId="2A83D7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EF390D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108EDD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E9901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на завлде № 135 был произведен первый полет серийного ББ-1 с М-81 на высоте 350 м продолжительностью 25 минут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518"/>
        <w:gridCol w:w="4590"/>
      </w:tblGrid>
      <w:tr w:rsidR="00983732" w:rsidRPr="00A3026E" w14:paraId="178F1D66" w14:textId="77777777" w:rsidTr="00EA0DA7">
        <w:tc>
          <w:tcPr>
            <w:tcW w:w="4518" w:type="dxa"/>
            <w:tcBorders>
              <w:top w:val="single" w:sz="12" w:space="0" w:color="auto"/>
            </w:tcBorders>
          </w:tcPr>
          <w:p w14:paraId="5ECD5F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Температура вход.</w:t>
            </w:r>
          </w:p>
        </w:tc>
        <w:tc>
          <w:tcPr>
            <w:tcW w:w="4590" w:type="dxa"/>
            <w:tcBorders>
              <w:top w:val="single" w:sz="12" w:space="0" w:color="auto"/>
            </w:tcBorders>
          </w:tcPr>
          <w:p w14:paraId="07DF2B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r>
      <w:tr w:rsidR="00983732" w:rsidRPr="00A3026E" w14:paraId="224CBB26" w14:textId="77777777" w:rsidTr="00EA0DA7">
        <w:tc>
          <w:tcPr>
            <w:tcW w:w="4518" w:type="dxa"/>
          </w:tcPr>
          <w:p w14:paraId="686795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Температура выход</w:t>
            </w:r>
          </w:p>
        </w:tc>
        <w:tc>
          <w:tcPr>
            <w:tcW w:w="4590" w:type="dxa"/>
          </w:tcPr>
          <w:p w14:paraId="68E488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2394A4F3" w14:textId="77777777" w:rsidTr="00EA0DA7">
        <w:tc>
          <w:tcPr>
            <w:tcW w:w="4518" w:type="dxa"/>
          </w:tcPr>
          <w:p w14:paraId="74B472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Температура головок цилиндров</w:t>
            </w:r>
          </w:p>
        </w:tc>
        <w:tc>
          <w:tcPr>
            <w:tcW w:w="4590" w:type="dxa"/>
          </w:tcPr>
          <w:p w14:paraId="49A6EB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180-200</w:t>
            </w:r>
          </w:p>
        </w:tc>
      </w:tr>
      <w:tr w:rsidR="00983732" w:rsidRPr="00A3026E" w14:paraId="50B61DE5" w14:textId="77777777" w:rsidTr="00EA0DA7">
        <w:tc>
          <w:tcPr>
            <w:tcW w:w="4518" w:type="dxa"/>
            <w:tcBorders>
              <w:bottom w:val="single" w:sz="12" w:space="0" w:color="auto"/>
            </w:tcBorders>
          </w:tcPr>
          <w:p w14:paraId="1888B3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Температура 5-й головки</w:t>
            </w:r>
          </w:p>
        </w:tc>
        <w:tc>
          <w:tcPr>
            <w:tcW w:w="4590" w:type="dxa"/>
            <w:tcBorders>
              <w:bottom w:val="single" w:sz="12" w:space="0" w:color="auto"/>
            </w:tcBorders>
          </w:tcPr>
          <w:p w14:paraId="4F5A27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r>
    </w:tbl>
    <w:p w14:paraId="75A5B1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был произведен второй полет на высоте 2700 м продолжительностью 23 минуты. Из-за повышения температурного режима выхода до 130 мотор был выключен и самолет спланировал. При осмотре мотора обнаружено заклинение задней втулки вала винта (874,81).</w:t>
      </w:r>
    </w:p>
    <w:p w14:paraId="70856DC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9D043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29 ноября 1940 начались заводские испытания ББ-3 М-81 П.О.С. (2090,232).</w:t>
      </w:r>
    </w:p>
    <w:p w14:paraId="55C1377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0798E1E" w14:textId="77777777" w:rsidR="006707CB" w:rsidRPr="00A3026E" w:rsidRDefault="006707CB" w:rsidP="00A3026E">
      <w:pPr>
        <w:pStyle w:val="a3"/>
        <w:rPr>
          <w:color w:val="000000" w:themeColor="text1"/>
          <w:lang w:val="ru-RU"/>
        </w:rPr>
      </w:pPr>
      <w:r w:rsidRPr="00A3026E">
        <w:rPr>
          <w:color w:val="000000" w:themeColor="text1"/>
          <w:lang w:val="ru-RU"/>
        </w:rPr>
        <w:t>29 ноября 1940 г. лётчик-испытатель А.П. Деев поднял ББ-3 М-81 в воздух. На следующий день во время второго полёта мотор вышел из строя. Самолёт законсервировали, так как ре</w:t>
      </w:r>
      <w:r w:rsidRPr="00A3026E">
        <w:rPr>
          <w:color w:val="000000" w:themeColor="text1"/>
          <w:lang w:val="ru-RU"/>
        </w:rPr>
        <w:softHyphen/>
        <w:t>шением правительства М-81 сняли с производства (15975).</w:t>
      </w:r>
    </w:p>
    <w:p w14:paraId="024E1674" w14:textId="77777777" w:rsidR="006707CB" w:rsidRPr="00A3026E" w:rsidRDefault="006707CB" w:rsidP="00A3026E">
      <w:pPr>
        <w:pStyle w:val="a3"/>
        <w:rPr>
          <w:color w:val="000000" w:themeColor="text1"/>
          <w:lang w:val="ru-RU"/>
        </w:rPr>
      </w:pPr>
    </w:p>
    <w:p w14:paraId="08C015DE" w14:textId="77777777" w:rsidR="00452981" w:rsidRPr="00A3026E" w:rsidRDefault="00452981"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29 ноября 1940 г. летчик-испытатель А П. Деев поднял ББ-3 в воздух. На сле</w:t>
      </w:r>
      <w:r w:rsidRPr="00A3026E">
        <w:rPr>
          <w:rFonts w:ascii="Times New Roman" w:cs="Times New Roman"/>
          <w:color w:val="000000" w:themeColor="text1"/>
          <w:spacing w:val="0"/>
        </w:rPr>
        <w:softHyphen/>
        <w:t>дующий день при выполнении второго полета мотор вышел из строя После этого самолет законсервировали, так как решением правительства М-81 сняли с производства.</w:t>
      </w:r>
    </w:p>
    <w:p w14:paraId="4C13A231" w14:textId="77777777" w:rsidR="00452981" w:rsidRPr="00A3026E" w:rsidRDefault="00452981"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По-видимому, Павел Осипович пред</w:t>
      </w:r>
      <w:r w:rsidRPr="00A3026E">
        <w:rPr>
          <w:rFonts w:ascii="Times New Roman" w:cs="Times New Roman"/>
          <w:color w:val="000000" w:themeColor="text1"/>
          <w:spacing w:val="0"/>
        </w:rPr>
        <w:softHyphen/>
        <w:t>видел такую ситуацию, поэтому еще в начале октября 1940 г. в его конструк</w:t>
      </w:r>
      <w:r w:rsidRPr="00A3026E">
        <w:rPr>
          <w:rFonts w:ascii="Times New Roman" w:cs="Times New Roman"/>
          <w:color w:val="000000" w:themeColor="text1"/>
          <w:spacing w:val="0"/>
        </w:rPr>
        <w:softHyphen/>
        <w:t>торском бюро завершили разработку эс</w:t>
      </w:r>
      <w:r w:rsidRPr="00A3026E">
        <w:rPr>
          <w:rFonts w:ascii="Times New Roman" w:cs="Times New Roman"/>
          <w:color w:val="000000" w:themeColor="text1"/>
          <w:spacing w:val="0"/>
        </w:rPr>
        <w:softHyphen/>
        <w:t>кизного проекта модификации ББ-3 под мотор АМ-37 В пояснительной записке к проекту отмечалось, что изменения касаются только винтомоторной группы и в небольшой части фюзеляжа Капотиро</w:t>
      </w:r>
      <w:r w:rsidRPr="00A3026E">
        <w:rPr>
          <w:rFonts w:ascii="Times New Roman" w:cs="Times New Roman"/>
          <w:color w:val="000000" w:themeColor="text1"/>
          <w:spacing w:val="0"/>
        </w:rPr>
        <w:softHyphen/>
        <w:t>вание АМ-37 несколько улучшило обзор летчика по сравнению с М-81</w:t>
      </w:r>
    </w:p>
    <w:p w14:paraId="284219A5" w14:textId="77777777" w:rsidR="00452981" w:rsidRPr="00A3026E" w:rsidRDefault="0045298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 же время применение двига</w:t>
      </w:r>
      <w:r w:rsidRPr="00A3026E">
        <w:rPr>
          <w:rFonts w:ascii="Times New Roman" w:hAnsi="Times New Roman"/>
          <w:color w:val="000000" w:themeColor="text1"/>
          <w:sz w:val="16"/>
          <w:szCs w:val="16"/>
        </w:rPr>
        <w:softHyphen/>
        <w:t>теля водяного охлаждения требовало применения помимо маслорадиатора также радиатора для воды, а в случае АМ-37 - еще и промежуточного ради</w:t>
      </w:r>
      <w:r w:rsidRPr="00A3026E">
        <w:rPr>
          <w:rFonts w:ascii="Times New Roman" w:hAnsi="Times New Roman"/>
          <w:color w:val="000000" w:themeColor="text1"/>
          <w:sz w:val="16"/>
          <w:szCs w:val="16"/>
        </w:rPr>
        <w:softHyphen/>
        <w:t>атора (интеркулера) для охлаждения воздуха, поступающего в карбюратор На новом варианте ББ-3 предусматри</w:t>
      </w:r>
      <w:r w:rsidRPr="00A3026E">
        <w:rPr>
          <w:rFonts w:ascii="Times New Roman" w:hAnsi="Times New Roman"/>
          <w:color w:val="000000" w:themeColor="text1"/>
          <w:sz w:val="16"/>
          <w:szCs w:val="16"/>
        </w:rPr>
        <w:softHyphen/>
        <w:t>валась установка водяного радиатора площадью 28 дм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воздушного - 12 дм</w:t>
      </w:r>
      <w:r w:rsidRPr="00A3026E">
        <w:rPr>
          <w:rFonts w:ascii="Times New Roman" w:hAnsi="Times New Roman"/>
          <w:color w:val="000000" w:themeColor="text1"/>
          <w:sz w:val="16"/>
          <w:szCs w:val="16"/>
          <w:vertAlign w:val="superscript"/>
        </w:rPr>
        <w:t xml:space="preserve">2 </w:t>
      </w:r>
      <w:r w:rsidRPr="00A3026E">
        <w:rPr>
          <w:rFonts w:ascii="Times New Roman" w:hAnsi="Times New Roman"/>
          <w:color w:val="000000" w:themeColor="text1"/>
          <w:sz w:val="16"/>
          <w:szCs w:val="16"/>
        </w:rPr>
        <w:t>и масляного - 9 дм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Из условий мини</w:t>
      </w:r>
      <w:r w:rsidRPr="00A3026E">
        <w:rPr>
          <w:rFonts w:ascii="Times New Roman" w:hAnsi="Times New Roman"/>
          <w:color w:val="000000" w:themeColor="text1"/>
          <w:sz w:val="16"/>
          <w:szCs w:val="16"/>
        </w:rPr>
        <w:softHyphen/>
        <w:t>мальных переделок ББ-1 и невозмож</w:t>
      </w:r>
      <w:r w:rsidRPr="00A3026E">
        <w:rPr>
          <w:rFonts w:ascii="Times New Roman" w:hAnsi="Times New Roman"/>
          <w:color w:val="000000" w:themeColor="text1"/>
          <w:sz w:val="16"/>
          <w:szCs w:val="16"/>
        </w:rPr>
        <w:softHyphen/>
        <w:t>ности размещения радиаторов в крыле, все они монтировались под мотором в общем туннеле, который имел общий вход и выходы, отдельно регулируемые для каждого радиатора.</w:t>
      </w:r>
    </w:p>
    <w:p w14:paraId="0ADE900F" w14:textId="77777777" w:rsidR="00452981" w:rsidRPr="00A3026E" w:rsidRDefault="00452981"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Такой подход позволял с минималь</w:t>
      </w:r>
      <w:r w:rsidRPr="00A3026E">
        <w:rPr>
          <w:rFonts w:ascii="Times New Roman" w:cs="Times New Roman"/>
          <w:color w:val="000000" w:themeColor="text1"/>
          <w:spacing w:val="0"/>
        </w:rPr>
        <w:softHyphen/>
        <w:t>ными переделками серийного завода выпускать самолет с любым из мото</w:t>
      </w:r>
      <w:r w:rsidRPr="00A3026E">
        <w:rPr>
          <w:rFonts w:ascii="Times New Roman" w:cs="Times New Roman"/>
          <w:color w:val="000000" w:themeColor="text1"/>
          <w:spacing w:val="0"/>
        </w:rPr>
        <w:softHyphen/>
        <w:t>ров - АМ-37, М-81 и М-90 в зависимости от требований заказчика и возможностей промышленности. Единственными изме</w:t>
      </w:r>
      <w:r w:rsidRPr="00A3026E">
        <w:rPr>
          <w:rFonts w:ascii="Times New Roman" w:cs="Times New Roman"/>
          <w:color w:val="000000" w:themeColor="text1"/>
          <w:spacing w:val="0"/>
        </w:rPr>
        <w:softHyphen/>
        <w:t>нениями планера при переходе с АМ-37 на двигатели воздушного охлаждения стала бы установка обтекателя в перед</w:t>
      </w:r>
      <w:r w:rsidRPr="00A3026E">
        <w:rPr>
          <w:rFonts w:ascii="Times New Roman" w:cs="Times New Roman"/>
          <w:color w:val="000000" w:themeColor="text1"/>
          <w:spacing w:val="0"/>
        </w:rPr>
        <w:softHyphen/>
        <w:t>ней нижней части фюзеляжа и смещение киля в противоположную сторону, так как направление вращения винта у АМ-37 и звездообразных М-81 и М-90 противо</w:t>
      </w:r>
      <w:r w:rsidRPr="00A3026E">
        <w:rPr>
          <w:rFonts w:ascii="Times New Roman" w:cs="Times New Roman"/>
          <w:color w:val="000000" w:themeColor="text1"/>
          <w:spacing w:val="0"/>
        </w:rPr>
        <w:softHyphen/>
        <w:t>положны.</w:t>
      </w:r>
    </w:p>
    <w:p w14:paraId="17493D02" w14:textId="77777777" w:rsidR="00452981" w:rsidRPr="00A3026E" w:rsidRDefault="00452981"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Емкость бензобаков 850 л обеспечи</w:t>
      </w:r>
      <w:r w:rsidRPr="00A3026E">
        <w:rPr>
          <w:rFonts w:ascii="Times New Roman" w:cs="Times New Roman"/>
          <w:color w:val="000000" w:themeColor="text1"/>
          <w:spacing w:val="0"/>
        </w:rPr>
        <w:softHyphen/>
        <w:t>вала дальность полета в перегрузочном варианте 1200 км. Нормальная заправ</w:t>
      </w:r>
      <w:r w:rsidRPr="00A3026E">
        <w:rPr>
          <w:rFonts w:ascii="Times New Roman" w:cs="Times New Roman"/>
          <w:color w:val="000000" w:themeColor="text1"/>
          <w:spacing w:val="0"/>
        </w:rPr>
        <w:softHyphen/>
        <w:t>ка 525 кг соответствовала дальности 1000 км</w:t>
      </w:r>
    </w:p>
    <w:p w14:paraId="6FB639FC" w14:textId="77777777" w:rsidR="00452981" w:rsidRPr="00A3026E" w:rsidRDefault="00452981"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Фюзеляж серийного ББ-1 изменялся в нижней передней части, куда заходил туннель радиаторов На крыло навеши</w:t>
      </w:r>
      <w:r w:rsidRPr="00A3026E">
        <w:rPr>
          <w:rFonts w:ascii="Times New Roman" w:cs="Times New Roman"/>
          <w:color w:val="000000" w:themeColor="text1"/>
          <w:spacing w:val="0"/>
        </w:rPr>
        <w:softHyphen/>
        <w:t>вались автоматические предкрылки для улучшения поперечной управляемости. Оборудование соответствовало ББ-1, к нему добавлялись радиополукомпас РПК-2 и бронеспинка стрелка для защиты от огня сзади Сохранялось вооружение серийного бомбардировщика, к которому добавлялась люковая установка.</w:t>
      </w:r>
    </w:p>
    <w:p w14:paraId="3CDB6498" w14:textId="77777777" w:rsidR="00452981" w:rsidRPr="00A3026E" w:rsidRDefault="00452981"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Полетный вес самолета определялся в 4620 кг Расчетные данные: время подъ</w:t>
      </w:r>
      <w:r w:rsidRPr="00A3026E">
        <w:rPr>
          <w:rFonts w:ascii="Times New Roman" w:cs="Times New Roman"/>
          <w:color w:val="000000" w:themeColor="text1"/>
          <w:spacing w:val="0"/>
        </w:rPr>
        <w:softHyphen/>
        <w:t>ема на 6000 м - 10,5 мин, практический потолок - 9500 м, максимальная скорость у земли - 450 км/ч, на высоте 6000 м - 550 км/ч. посадочная - 116 км/ч, длина разбега - 350 м (19102).</w:t>
      </w:r>
    </w:p>
    <w:p w14:paraId="47AEF25C" w14:textId="77777777" w:rsidR="00452981" w:rsidRPr="00A3026E" w:rsidRDefault="00452981" w:rsidP="00A3026E">
      <w:pPr>
        <w:pStyle w:val="26"/>
        <w:shd w:val="clear" w:color="auto" w:fill="auto"/>
        <w:spacing w:after="0" w:line="240" w:lineRule="auto"/>
        <w:ind w:firstLine="0"/>
        <w:rPr>
          <w:rFonts w:ascii="Times New Roman" w:cs="Times New Roman"/>
          <w:color w:val="000000" w:themeColor="text1"/>
          <w:spacing w:val="0"/>
        </w:rPr>
      </w:pPr>
    </w:p>
    <w:p w14:paraId="1D9496C7" w14:textId="77777777" w:rsidR="006707CB" w:rsidRPr="00A3026E" w:rsidRDefault="006707CB"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29 ноября </w:t>
      </w:r>
      <w:r w:rsidRPr="00A3026E">
        <w:rPr>
          <w:rFonts w:ascii="Times New Roman" w:hAnsi="Times New Roman"/>
          <w:color w:val="000000" w:themeColor="text1"/>
          <w:sz w:val="16"/>
          <w:szCs w:val="16"/>
        </w:rPr>
        <w:t>в 1940 году первый полет на самолете «Су-2» с «М-81», А.П.Деев - Самолет имел бомбовую нагрузку 1000 кг, сильное стрелковое вооружение (шесть пулеметов). С 1940 г. «АНТ-51» стали выпускать серийно под обозначением «ББ-1» (ближний бомбардировщик первый), а вскоре ему присвоили наименование «Су-2». От опытных самолетов серийные отличались только конструкцией фюзеляжа, который вместо цельнометаллического стал деревянным. В период Великой Отечественной войны подразделения «Су-2» действовали на самых разных участках фронта. Последние серии самолета оснащались более мощными моторами «М-82» (в этом варианте самолет имел обозначение «Су-4»). В 1942 г. производство «Су-2» прекратили. Всего было построено 877 самолетов «Су-2» и «Су-4» (14844).</w:t>
      </w:r>
    </w:p>
    <w:p w14:paraId="68692496" w14:textId="77777777" w:rsidR="006707CB" w:rsidRPr="00A3026E" w:rsidRDefault="006707CB" w:rsidP="00A3026E">
      <w:pPr>
        <w:spacing w:after="0" w:line="240" w:lineRule="auto"/>
        <w:jc w:val="both"/>
        <w:rPr>
          <w:rFonts w:ascii="Times New Roman" w:hAnsi="Times New Roman"/>
          <w:color w:val="000000" w:themeColor="text1"/>
          <w:sz w:val="16"/>
          <w:szCs w:val="16"/>
        </w:rPr>
      </w:pPr>
    </w:p>
    <w:p w14:paraId="24AD75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г. Начальник Отделов спецслужб НИИ ВВС генерал-майор авиации Данилин утвердил Заключение по установке аппаратуры "Ночь-1" на самолете ДБ-3Ф.</w:t>
      </w:r>
    </w:p>
    <w:p w14:paraId="2D851F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Исполнитель:</w:t>
      </w:r>
    </w:p>
    <w:p w14:paraId="671C6F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2 ранга Харитонов</w:t>
      </w:r>
    </w:p>
    <w:p w14:paraId="48E521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Майор Курбан</w:t>
      </w:r>
    </w:p>
    <w:p w14:paraId="193597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37FE3A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правильность установки аппаратуры "Ночь-1" на новом типе самолета ДБ-3Ф.</w:t>
      </w:r>
    </w:p>
    <w:p w14:paraId="2F0923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0CB286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Установка аппаратуры "Ночь-1" на самолете ДБ-3Ф соответствует техническим требованиям и обеспечивает нормальную работу аппаратуры.</w:t>
      </w:r>
    </w:p>
    <w:p w14:paraId="37E8FC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При установке маркерной антенны две крайние стойки-изоляторы устанавливать на 20-25 см от концов антенны.</w:t>
      </w:r>
    </w:p>
    <w:p w14:paraId="001C1E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Вольтметр для контроля напряжения на приемнике в самолете не устанавливать (3167).</w:t>
      </w:r>
    </w:p>
    <w:p w14:paraId="51C44EC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30F5F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была окончена постройка второго опытного ДБ-4 и начались летные испытания. испытания пришлось прекратить, т.к. усилия КБ были направлены на обеспечение серийного производства ЦКБ-55 и ДБ-3Ф (3846,12).</w:t>
      </w:r>
    </w:p>
    <w:p w14:paraId="2FDAD0C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8874610" w14:textId="77777777" w:rsidR="006707CB" w:rsidRPr="00A3026E" w:rsidRDefault="006707CB"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29-го ноября 1940 года завершилась постройка второго опытного самолета ДБ-4, в конструкцию которого были внесены изменения. Однако уже после первых полетов второго экземпляра летные испытания ДБ-4 прекратили, так и не выявив полностью его летно-технических данных. Основными и более важными в то время направлениями деятельности коллектива ОКБ Ильюшина были работы по доводке и обеспечению серийного производства Ил-2 и ДБ-3Ф. Кроме того, создание скоростного дальнего бомбардировщика посчитали завершенным после запуска в октябре 1940 года в серийное производство самолета ДБ-240 В.Г. Ермолаева (Ер-2), который, проходя Государственные испытания с двигателями М-105, достиг максимальной скорости 500 км/ч и заданной дальности полета с нормальным бомбовым грузом (Новожилов Г.В.и др. Из истории советской авиации. Самолеты ОКБ имени С.В. Ильюшина. М.: Машиностроение, 1985) (15223).</w:t>
      </w:r>
    </w:p>
    <w:p w14:paraId="7897DEBA" w14:textId="77777777" w:rsidR="006707CB" w:rsidRPr="00A3026E" w:rsidRDefault="006707CB" w:rsidP="00A3026E">
      <w:pPr>
        <w:shd w:val="clear" w:color="auto" w:fill="FFFFFF"/>
        <w:spacing w:after="0" w:line="240" w:lineRule="auto"/>
        <w:jc w:val="both"/>
        <w:rPr>
          <w:rFonts w:ascii="Times New Roman" w:hAnsi="Times New Roman"/>
          <w:color w:val="000000" w:themeColor="text1"/>
          <w:sz w:val="16"/>
          <w:szCs w:val="16"/>
        </w:rPr>
      </w:pPr>
    </w:p>
    <w:p w14:paraId="75487C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вышел приказ НКАП N 674сс о модификации ББ-22 А.С.Я. в варианте одноместного истребителя сопровождения с 2хМ-105 (1278).</w:t>
      </w:r>
    </w:p>
    <w:p w14:paraId="78E7DE3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4400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года начальник 6 управления ГУ ВВС бригинженер Лапин писал письмо № 508945с зам. начальника ГУ ВВС генерал-лейтенанту авиации Астахову</w:t>
      </w:r>
    </w:p>
    <w:p w14:paraId="35D039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 сравнительную таблицу максимальных скоростей самолета ББ-22, полученных на испытании в НИИ ГУ ВВС и основные причины снижения максимальной скорости этого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134"/>
        <w:gridCol w:w="1134"/>
        <w:gridCol w:w="1134"/>
        <w:gridCol w:w="1134"/>
        <w:gridCol w:w="1134"/>
      </w:tblGrid>
      <w:tr w:rsidR="00983732" w:rsidRPr="00A3026E" w14:paraId="5C3D8DA4" w14:textId="77777777" w:rsidTr="00EA0DA7">
        <w:tc>
          <w:tcPr>
            <w:tcW w:w="2518" w:type="dxa"/>
          </w:tcPr>
          <w:p w14:paraId="104CD5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данных</w:t>
            </w:r>
          </w:p>
        </w:tc>
        <w:tc>
          <w:tcPr>
            <w:tcW w:w="1134" w:type="dxa"/>
          </w:tcPr>
          <w:p w14:paraId="6E9849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 22</w:t>
            </w:r>
          </w:p>
          <w:p w14:paraId="6356BA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115</w:t>
            </w:r>
          </w:p>
          <w:p w14:paraId="113A5C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май 1939 г.</w:t>
            </w:r>
          </w:p>
        </w:tc>
        <w:tc>
          <w:tcPr>
            <w:tcW w:w="1134" w:type="dxa"/>
          </w:tcPr>
          <w:p w14:paraId="06FEA570" w14:textId="77777777" w:rsidR="00C66762" w:rsidRPr="00A3026E" w:rsidRDefault="00C66762" w:rsidP="00A3026E">
            <w:pPr>
              <w:pStyle w:val="31"/>
              <w:widowControl/>
              <w:jc w:val="both"/>
              <w:rPr>
                <w:color w:val="000000" w:themeColor="text1"/>
              </w:rPr>
            </w:pPr>
            <w:r w:rsidRPr="00A3026E">
              <w:rPr>
                <w:color w:val="000000" w:themeColor="text1"/>
              </w:rPr>
              <w:t>Опытный ББ-22 завод № 115</w:t>
            </w:r>
          </w:p>
          <w:p w14:paraId="721D5C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февраль-май 1940 г.</w:t>
            </w:r>
          </w:p>
        </w:tc>
        <w:tc>
          <w:tcPr>
            <w:tcW w:w="1134" w:type="dxa"/>
          </w:tcPr>
          <w:p w14:paraId="6B84D1DD" w14:textId="77777777" w:rsidR="00C66762" w:rsidRPr="00A3026E" w:rsidRDefault="00C66762" w:rsidP="00A3026E">
            <w:pPr>
              <w:pStyle w:val="31"/>
              <w:widowControl/>
              <w:jc w:val="both"/>
              <w:rPr>
                <w:color w:val="000000" w:themeColor="text1"/>
              </w:rPr>
            </w:pPr>
            <w:r w:rsidRPr="00A3026E">
              <w:rPr>
                <w:color w:val="000000" w:themeColor="text1"/>
              </w:rPr>
              <w:t>Серийный № 1012 завод № 1</w:t>
            </w:r>
          </w:p>
          <w:p w14:paraId="6173EC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февраль-май 1940 г.</w:t>
            </w:r>
          </w:p>
        </w:tc>
        <w:tc>
          <w:tcPr>
            <w:tcW w:w="1134" w:type="dxa"/>
          </w:tcPr>
          <w:p w14:paraId="374941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 1033 завод № 1</w:t>
            </w:r>
          </w:p>
          <w:p w14:paraId="10604F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май 1940 г.</w:t>
            </w:r>
          </w:p>
        </w:tc>
        <w:tc>
          <w:tcPr>
            <w:tcW w:w="1134" w:type="dxa"/>
          </w:tcPr>
          <w:p w14:paraId="59E773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 1041 завод № 1</w:t>
            </w:r>
          </w:p>
          <w:p w14:paraId="1F42AE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ноябрь 1940 г. </w:t>
            </w:r>
          </w:p>
        </w:tc>
      </w:tr>
      <w:tr w:rsidR="00983732" w:rsidRPr="00A3026E" w14:paraId="3285624C" w14:textId="77777777" w:rsidTr="00EA0DA7">
        <w:tc>
          <w:tcPr>
            <w:tcW w:w="2518" w:type="dxa"/>
          </w:tcPr>
          <w:p w14:paraId="406FBA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самолета</w:t>
            </w:r>
          </w:p>
        </w:tc>
        <w:tc>
          <w:tcPr>
            <w:tcW w:w="1134" w:type="dxa"/>
          </w:tcPr>
          <w:p w14:paraId="195B25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5023</w:t>
            </w:r>
          </w:p>
        </w:tc>
        <w:tc>
          <w:tcPr>
            <w:tcW w:w="1134" w:type="dxa"/>
          </w:tcPr>
          <w:p w14:paraId="58BA4E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5315</w:t>
            </w:r>
          </w:p>
        </w:tc>
        <w:tc>
          <w:tcPr>
            <w:tcW w:w="1134" w:type="dxa"/>
          </w:tcPr>
          <w:p w14:paraId="7E58FA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5380</w:t>
            </w:r>
          </w:p>
        </w:tc>
        <w:tc>
          <w:tcPr>
            <w:tcW w:w="1134" w:type="dxa"/>
          </w:tcPr>
          <w:p w14:paraId="369436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взвешен</w:t>
            </w:r>
          </w:p>
        </w:tc>
        <w:tc>
          <w:tcPr>
            <w:tcW w:w="1134" w:type="dxa"/>
          </w:tcPr>
          <w:p w14:paraId="6EEA6D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5660</w:t>
            </w:r>
          </w:p>
        </w:tc>
      </w:tr>
      <w:tr w:rsidR="00983732" w:rsidRPr="00A3026E" w14:paraId="1B924867" w14:textId="77777777" w:rsidTr="00EA0DA7">
        <w:tc>
          <w:tcPr>
            <w:tcW w:w="2518" w:type="dxa"/>
          </w:tcPr>
          <w:p w14:paraId="4218BB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Мощность моторов</w:t>
            </w:r>
          </w:p>
        </w:tc>
        <w:tc>
          <w:tcPr>
            <w:tcW w:w="1134" w:type="dxa"/>
          </w:tcPr>
          <w:p w14:paraId="49D559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1920</w:t>
            </w:r>
          </w:p>
        </w:tc>
        <w:tc>
          <w:tcPr>
            <w:tcW w:w="1134" w:type="dxa"/>
          </w:tcPr>
          <w:p w14:paraId="18C716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1920</w:t>
            </w:r>
          </w:p>
        </w:tc>
        <w:tc>
          <w:tcPr>
            <w:tcW w:w="1134" w:type="dxa"/>
          </w:tcPr>
          <w:p w14:paraId="28AE7C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1920</w:t>
            </w:r>
          </w:p>
        </w:tc>
        <w:tc>
          <w:tcPr>
            <w:tcW w:w="1134" w:type="dxa"/>
          </w:tcPr>
          <w:p w14:paraId="48EF25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1920</w:t>
            </w:r>
          </w:p>
        </w:tc>
        <w:tc>
          <w:tcPr>
            <w:tcW w:w="1134" w:type="dxa"/>
          </w:tcPr>
          <w:p w14:paraId="198B99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1920</w:t>
            </w:r>
          </w:p>
        </w:tc>
      </w:tr>
      <w:tr w:rsidR="00983732" w:rsidRPr="00A3026E" w14:paraId="23FC686B" w14:textId="77777777" w:rsidTr="00EA0DA7">
        <w:tc>
          <w:tcPr>
            <w:tcW w:w="2518" w:type="dxa"/>
          </w:tcPr>
          <w:p w14:paraId="55F05B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Max скорость у земли</w:t>
            </w:r>
          </w:p>
        </w:tc>
        <w:tc>
          <w:tcPr>
            <w:tcW w:w="1134" w:type="dxa"/>
          </w:tcPr>
          <w:p w14:paraId="00FCC7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455</w:t>
            </w:r>
          </w:p>
        </w:tc>
        <w:tc>
          <w:tcPr>
            <w:tcW w:w="1134" w:type="dxa"/>
          </w:tcPr>
          <w:p w14:paraId="7C887D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449</w:t>
            </w:r>
          </w:p>
        </w:tc>
        <w:tc>
          <w:tcPr>
            <w:tcW w:w="1134" w:type="dxa"/>
          </w:tcPr>
          <w:p w14:paraId="1B3317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439</w:t>
            </w:r>
          </w:p>
        </w:tc>
        <w:tc>
          <w:tcPr>
            <w:tcW w:w="1134" w:type="dxa"/>
          </w:tcPr>
          <w:p w14:paraId="1220EC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412</w:t>
            </w:r>
          </w:p>
        </w:tc>
        <w:tc>
          <w:tcPr>
            <w:tcW w:w="1134" w:type="dxa"/>
          </w:tcPr>
          <w:p w14:paraId="1415D0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399</w:t>
            </w:r>
          </w:p>
        </w:tc>
      </w:tr>
      <w:tr w:rsidR="00983732" w:rsidRPr="00A3026E" w14:paraId="4A97AD87" w14:textId="77777777" w:rsidTr="00EA0DA7">
        <w:tc>
          <w:tcPr>
            <w:tcW w:w="2518" w:type="dxa"/>
          </w:tcPr>
          <w:p w14:paraId="253E88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Max скорость на расчетной высоте</w:t>
            </w:r>
          </w:p>
        </w:tc>
        <w:tc>
          <w:tcPr>
            <w:tcW w:w="1134" w:type="dxa"/>
          </w:tcPr>
          <w:p w14:paraId="6B0075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567*/4900</w:t>
            </w:r>
          </w:p>
        </w:tc>
        <w:tc>
          <w:tcPr>
            <w:tcW w:w="1134" w:type="dxa"/>
          </w:tcPr>
          <w:p w14:paraId="0B9B17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535/5000</w:t>
            </w:r>
          </w:p>
        </w:tc>
        <w:tc>
          <w:tcPr>
            <w:tcW w:w="1134" w:type="dxa"/>
          </w:tcPr>
          <w:p w14:paraId="57F2F4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515/5000</w:t>
            </w:r>
          </w:p>
        </w:tc>
        <w:tc>
          <w:tcPr>
            <w:tcW w:w="1134" w:type="dxa"/>
          </w:tcPr>
          <w:p w14:paraId="1E9080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492/5000</w:t>
            </w:r>
          </w:p>
        </w:tc>
        <w:tc>
          <w:tcPr>
            <w:tcW w:w="1134" w:type="dxa"/>
          </w:tcPr>
          <w:p w14:paraId="28A485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478/4600</w:t>
            </w:r>
          </w:p>
        </w:tc>
      </w:tr>
      <w:tr w:rsidR="00983732" w:rsidRPr="00A3026E" w14:paraId="5E771B00" w14:textId="77777777" w:rsidTr="00EA0DA7">
        <w:tc>
          <w:tcPr>
            <w:tcW w:w="2518" w:type="dxa"/>
          </w:tcPr>
          <w:p w14:paraId="37E8FB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5000 м</w:t>
            </w:r>
          </w:p>
        </w:tc>
        <w:tc>
          <w:tcPr>
            <w:tcW w:w="1134" w:type="dxa"/>
          </w:tcPr>
          <w:p w14:paraId="000031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134" w:type="dxa"/>
          </w:tcPr>
          <w:p w14:paraId="2277A1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w:t>
            </w:r>
          </w:p>
        </w:tc>
        <w:tc>
          <w:tcPr>
            <w:tcW w:w="1134" w:type="dxa"/>
          </w:tcPr>
          <w:p w14:paraId="6280D5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w:t>
            </w:r>
          </w:p>
        </w:tc>
        <w:tc>
          <w:tcPr>
            <w:tcW w:w="1134" w:type="dxa"/>
          </w:tcPr>
          <w:p w14:paraId="038BEE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34" w:type="dxa"/>
          </w:tcPr>
          <w:p w14:paraId="2A461A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r>
      <w:tr w:rsidR="00983732" w:rsidRPr="00A3026E" w14:paraId="49DA6260" w14:textId="77777777" w:rsidTr="00EA0DA7">
        <w:tc>
          <w:tcPr>
            <w:tcW w:w="2518" w:type="dxa"/>
          </w:tcPr>
          <w:p w14:paraId="1A53AA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самолета</w:t>
            </w:r>
          </w:p>
        </w:tc>
        <w:tc>
          <w:tcPr>
            <w:tcW w:w="1134" w:type="dxa"/>
          </w:tcPr>
          <w:p w14:paraId="16BD6F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10800</w:t>
            </w:r>
          </w:p>
        </w:tc>
        <w:tc>
          <w:tcPr>
            <w:tcW w:w="1134" w:type="dxa"/>
          </w:tcPr>
          <w:p w14:paraId="7C5A88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8900</w:t>
            </w:r>
          </w:p>
        </w:tc>
        <w:tc>
          <w:tcPr>
            <w:tcW w:w="1134" w:type="dxa"/>
          </w:tcPr>
          <w:p w14:paraId="382F14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8900</w:t>
            </w:r>
          </w:p>
        </w:tc>
        <w:tc>
          <w:tcPr>
            <w:tcW w:w="1134" w:type="dxa"/>
          </w:tcPr>
          <w:p w14:paraId="012152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34" w:type="dxa"/>
          </w:tcPr>
          <w:p w14:paraId="765584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8100</w:t>
            </w:r>
          </w:p>
        </w:tc>
      </w:tr>
    </w:tbl>
    <w:p w14:paraId="59FCEB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 скорость дана без поправки на сжимаемость, которая равна 9 км (т.е. 558 км/час)</w:t>
      </w:r>
    </w:p>
    <w:p w14:paraId="56D998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время показано без учета площадок</w:t>
      </w:r>
    </w:p>
    <w:p w14:paraId="74C4939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Уменьшение максимальной скорости второго опытного самолета ББ-22 2М-103 завода № 115 по сравнению с первым опытным самолетом № 22 с 2М-103 на 23 км/час (с учетом на сжимаемость) относится за счет:</w:t>
      </w:r>
    </w:p>
    <w:p w14:paraId="345F3C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увеличения проходного сечения воздушных каналов водо- и маслорадиаторов;</w:t>
      </w:r>
    </w:p>
    <w:p w14:paraId="44A9BE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увеличения миделя фюзеляжа на 80 мм;</w:t>
      </w:r>
    </w:p>
    <w:p w14:paraId="3EF87C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увеличения размера мотогондолы в связи с постановкой колес размером 700х300, вместо 600х250;</w:t>
      </w:r>
    </w:p>
    <w:p w14:paraId="5DCE2E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неполной уборки колес шасси;</w:t>
      </w:r>
    </w:p>
    <w:p w14:paraId="49CFF8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увеличения веса самолета с 5023 до 5315 кг.</w:t>
      </w:r>
    </w:p>
    <w:p w14:paraId="4A86D8D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серийного самолета ББ-22 2М-103 № 1012 производства завода № 1 по сравнению с опытным самолетом ББ-22 2М-103 завода 3 115 уменьшилась на 20 км/час за счет низкого производственного выполнения самолета в целом:</w:t>
      </w:r>
    </w:p>
    <w:p w14:paraId="323A34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установка шурупов с шайбами на силовых люках и зализах самолета (на опытном шурупы были установлены впотай);</w:t>
      </w:r>
    </w:p>
    <w:p w14:paraId="7DEDD4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наличие большого количества щелей (лючки, капоты, щитки и т.д.);</w:t>
      </w:r>
    </w:p>
    <w:p w14:paraId="280CE3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плохая наружная отделка (опытный самолет отполирован, серийный даже не окрашен).</w:t>
      </w:r>
    </w:p>
    <w:p w14:paraId="118379D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BE4DA4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Снижение максимальной скорости самолета ББ-22 2М-103 № 1033 производства завода № 1 по сравнению с самолетом ББ-22 № 1012 выпуска завода № 1 на 23 км/час произошло в основном за счет:</w:t>
      </w:r>
    </w:p>
    <w:p w14:paraId="1595EA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установки шасси со спаренными колесами;</w:t>
      </w:r>
    </w:p>
    <w:p w14:paraId="3354BF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расширения мотогондолы (разнесены водорадиаторы);</w:t>
      </w:r>
    </w:p>
    <w:p w14:paraId="554C10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увеличения раструба для обдува маслорадиаторов;</w:t>
      </w:r>
    </w:p>
    <w:p w14:paraId="6221AE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установки антенны.</w:t>
      </w:r>
    </w:p>
    <w:p w14:paraId="412B9BB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серийного самолета ББ-22 2М-103 № 1042 по сравнению с самолетом № 1033 выпуска завода № 1 снизилась на 14 км/час за счет:</w:t>
      </w:r>
    </w:p>
    <w:p w14:paraId="410101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на самолете разнесены водорадиаторы на 100 мм и расширены каналы обдува водорадиаторов;</w:t>
      </w:r>
    </w:p>
    <w:p w14:paraId="5E9FFB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дополнительной установки второго маслорадиатора с заборником для обдува;</w:t>
      </w:r>
    </w:p>
    <w:p w14:paraId="3A89D0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увеличения веса самолета в связи с конструктивными переделками после войсковых испытаний до 5660 кг (7713, 349-351).</w:t>
      </w:r>
    </w:p>
    <w:p w14:paraId="5400C5F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CB6823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года вышел приказ НИИ ВВС № 0262</w:t>
      </w:r>
    </w:p>
    <w:p w14:paraId="40AF809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принятии на гос. испытания самолета ИП-21 с мотором М-105П (6890, 161).</w:t>
      </w:r>
    </w:p>
    <w:p w14:paraId="27E58C5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C4654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года вышел Приказ № 0262 по Научно-исследовательскому институту ВВС О принятии на гос. испытания самолета ИП-21 с мотором М-105П (4644,74).</w:t>
      </w:r>
    </w:p>
    <w:p w14:paraId="2134E81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5B83B4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года в НИИ ВВС был выдан наряд-приказ № 0272</w:t>
      </w:r>
    </w:p>
    <w:p w14:paraId="07C60D5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Штопор с убранным и выпущенным шасси на серийном самолете И-16 с М-63 тип 29 (6890, 173).</w:t>
      </w:r>
    </w:p>
    <w:p w14:paraId="53FAD5E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8ED4F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вышел приказ НКАП N 676сс в исполнение постановления КО N 431сс от 25 ноября 1940 "О создании самолета ТИС" на заводе N 51 НКАП". Директору и ГК завода 51 Н.Н.Поликарпову поручили спроектировать и построить 3 летных экземпляра двухмоторный двухместный тяжелый истребитель сопровождения с 2хАМ-37 и предъявить на гос. испытания 1-й - 1 сентября 1941, 2-й - 1 октября 1941, 3-й - 1 декабря 1941 (414,32).</w:t>
      </w:r>
    </w:p>
    <w:p w14:paraId="231ECE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w:t>
      </w:r>
    </w:p>
    <w:p w14:paraId="6FE5A5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Народного Комиссара Авиационной Промышленности СССР</w:t>
      </w:r>
    </w:p>
    <w:p w14:paraId="580529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исполнение постановления.Правительства от 25 ноября 1940 года “О создании самолета "ТИС" на заводе № 51 НКАП” - ПРИКАЗЫВАЮ:</w:t>
      </w:r>
    </w:p>
    <w:p w14:paraId="5920F7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Директору и главному конструктору завода №51 тов. ПОЛИКАРПОВУ:</w:t>
      </w:r>
    </w:p>
    <w:p w14:paraId="60D465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спроектировать и построить 3 летных экземпляра само</w:t>
      </w:r>
      <w:r w:rsidRPr="00A3026E">
        <w:rPr>
          <w:rFonts w:ascii="Times New Roman" w:hAnsi="Times New Roman"/>
          <w:color w:val="000000" w:themeColor="text1"/>
          <w:sz w:val="16"/>
          <w:szCs w:val="16"/>
        </w:rPr>
        <w:softHyphen/>
        <w:t>лета "ТИС", двухмоторный, двухместный тяжелый истребитель со</w:t>
      </w:r>
      <w:r w:rsidRPr="00A3026E">
        <w:rPr>
          <w:rFonts w:ascii="Times New Roman" w:hAnsi="Times New Roman"/>
          <w:color w:val="000000" w:themeColor="text1"/>
          <w:sz w:val="16"/>
          <w:szCs w:val="16"/>
        </w:rPr>
        <w:softHyphen/>
        <w:t>провождения с 2-мя моторами АМ-37 и предъявить на государ</w:t>
      </w:r>
      <w:r w:rsidRPr="00A3026E">
        <w:rPr>
          <w:rFonts w:ascii="Times New Roman" w:hAnsi="Times New Roman"/>
          <w:color w:val="000000" w:themeColor="text1"/>
          <w:sz w:val="16"/>
          <w:szCs w:val="16"/>
        </w:rPr>
        <w:softHyphen/>
        <w:t>ственные испытания:</w:t>
      </w:r>
    </w:p>
    <w:p w14:paraId="4F4A1C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экземпляр - 1 сентября 1941 года</w:t>
      </w:r>
    </w:p>
    <w:p w14:paraId="693677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w:t>
      </w:r>
      <w:r w:rsidRPr="00A3026E">
        <w:rPr>
          <w:rFonts w:ascii="Times New Roman" w:hAnsi="Times New Roman"/>
          <w:color w:val="000000" w:themeColor="text1"/>
          <w:sz w:val="16"/>
          <w:szCs w:val="16"/>
          <w:vertAlign w:val="superscript"/>
        </w:rPr>
        <w:t>п</w:t>
      </w:r>
      <w:r w:rsidRPr="00A3026E">
        <w:rPr>
          <w:rFonts w:ascii="Times New Roman" w:hAnsi="Times New Roman"/>
          <w:color w:val="000000" w:themeColor="text1"/>
          <w:sz w:val="16"/>
          <w:szCs w:val="16"/>
        </w:rPr>
        <w:t>- 1 октября 1941 года</w:t>
      </w:r>
    </w:p>
    <w:p w14:paraId="6991B7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3-й -“- 1 декабря 1941 года.</w:t>
      </w:r>
    </w:p>
    <w:p w14:paraId="1641DD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 следующими летно-тактическими данными:</w:t>
      </w:r>
    </w:p>
    <w:p w14:paraId="77CCA8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7,000 метров - 630 км/ч</w:t>
      </w:r>
    </w:p>
    <w:p w14:paraId="016855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с применением посадочных приспо</w:t>
      </w:r>
      <w:r w:rsidRPr="00A3026E">
        <w:rPr>
          <w:rFonts w:ascii="Times New Roman" w:hAnsi="Times New Roman"/>
          <w:color w:val="000000" w:themeColor="text1"/>
          <w:sz w:val="16"/>
          <w:szCs w:val="16"/>
        </w:rPr>
        <w:softHyphen/>
        <w:t>соблений - 135-140 км/ч.</w:t>
      </w:r>
    </w:p>
    <w:p w14:paraId="1AAC4D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0,8 максимальной скорости - 2.000 клм.</w:t>
      </w:r>
    </w:p>
    <w:p w14:paraId="5F233E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- 11.000 мт.</w:t>
      </w:r>
    </w:p>
    <w:p w14:paraId="662327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6DB73E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носовая батарея в четыре пулемета Щкасс с емкостью патронных ящиков по 1100 патронов на каждый пулемет,</w:t>
      </w:r>
    </w:p>
    <w:p w14:paraId="29EEDF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Две пушки Швак калибра 20 мм с емкостью патрон</w:t>
      </w:r>
      <w:r w:rsidRPr="00A3026E">
        <w:rPr>
          <w:rFonts w:ascii="Times New Roman" w:hAnsi="Times New Roman"/>
          <w:color w:val="000000" w:themeColor="text1"/>
          <w:sz w:val="16"/>
          <w:szCs w:val="16"/>
        </w:rPr>
        <w:softHyphen/>
        <w:t>ных ящиков по 350 патронов на каждую пушку.</w:t>
      </w:r>
    </w:p>
    <w:p w14:paraId="4C0ADC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Два крупнокалиберных (12.7 мм.) пулеметов-Березина с емкостью патронных ящиков по 400 патронов на каждый пу</w:t>
      </w:r>
      <w:r w:rsidRPr="00A3026E">
        <w:rPr>
          <w:rFonts w:ascii="Times New Roman" w:hAnsi="Times New Roman"/>
          <w:color w:val="000000" w:themeColor="text1"/>
          <w:sz w:val="16"/>
          <w:szCs w:val="16"/>
        </w:rPr>
        <w:softHyphen/>
        <w:t>лемет.</w:t>
      </w:r>
    </w:p>
    <w:p w14:paraId="57ABE9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Верхняя шкворная установка пулемета Шкасс с 1.000 патро</w:t>
      </w:r>
      <w:r w:rsidRPr="00A3026E">
        <w:rPr>
          <w:rFonts w:ascii="Times New Roman" w:hAnsi="Times New Roman"/>
          <w:color w:val="000000" w:themeColor="text1"/>
          <w:sz w:val="16"/>
          <w:szCs w:val="16"/>
        </w:rPr>
        <w:softHyphen/>
        <w:t>нами.</w:t>
      </w:r>
    </w:p>
    <w:p w14:paraId="791E5C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Нижняя люковая установка пулемета Шкасс с 500 патронами.</w:t>
      </w:r>
    </w:p>
    <w:p w14:paraId="1CCDFC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 в счет перегрузки:</w:t>
      </w:r>
    </w:p>
    <w:p w14:paraId="2553E8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 бомба в 1.000 кг. или две бомбы по 500 кг. или более мелкие бомбы на наружной подвеске под фюзеляжем.</w:t>
      </w:r>
    </w:p>
    <w:p w14:paraId="1F0616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Моим заместителям тов. Воронину П.А. и тов. Яковлеву А.С. привлечь к постройке указанных самолетов заводы № 1 и № 84.</w:t>
      </w:r>
    </w:p>
    <w:p w14:paraId="47AB0F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Начальнику ПФО тов. ХАВИНУ:</w:t>
      </w:r>
    </w:p>
    <w:p w14:paraId="0882E1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оформить получение в мое распоряжение из резервного фонда СНК СССР 13.500.000 рублей на постройку и испытание 3-х экземпляров самолетов с моторами АМ-37 и одного экземпляра для статических испытаний.</w:t>
      </w:r>
    </w:p>
    <w:p w14:paraId="201AD2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Премиальный фонд для поощрения конструкторов, инженерно-технических работников и рабочих завода № 51 за выполнение задания, указанного в пункте 1-м этого приказа:</w:t>
      </w:r>
    </w:p>
    <w:p w14:paraId="3FFBCD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первый экземпляр</w:t>
      </w:r>
      <w:r w:rsidRPr="00A3026E">
        <w:rPr>
          <w:rFonts w:ascii="Times New Roman" w:hAnsi="Times New Roman"/>
          <w:color w:val="000000" w:themeColor="text1"/>
          <w:sz w:val="16"/>
          <w:szCs w:val="16"/>
        </w:rPr>
        <w:tab/>
        <w:t xml:space="preserve">1.000.000 рублей </w:t>
      </w:r>
    </w:p>
    <w:p w14:paraId="3A0854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второй -</w:t>
      </w:r>
      <w:r w:rsidRPr="00A3026E">
        <w:rPr>
          <w:rFonts w:ascii="Times New Roman" w:hAnsi="Times New Roman"/>
          <w:color w:val="000000" w:themeColor="text1"/>
          <w:sz w:val="16"/>
          <w:szCs w:val="16"/>
          <w:vertAlign w:val="superscript"/>
        </w:rPr>
        <w:t>п</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rPr>
        <w:tab/>
        <w:t>500.000 рублей.</w:t>
      </w:r>
    </w:p>
    <w:p w14:paraId="6C9E0B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 Директору и Главному Конструктору завода № 51 тов. ПОЛИКАРПОВУ:</w:t>
      </w:r>
    </w:p>
    <w:p w14:paraId="0638F5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довести до сведения коллектива рабочих, ИТР и служащих завода № 51, что за своевременное выполнение работ по постройке самолета "ТИС" установлена премия в сумме 1.5 млн.рублей.</w:t>
      </w:r>
    </w:p>
    <w:p w14:paraId="521E95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выплата премии за своевременное выполнение работ по постройке этого самолета производится в соответствии с положе</w:t>
      </w:r>
      <w:r w:rsidRPr="00A3026E">
        <w:rPr>
          <w:rFonts w:ascii="Times New Roman" w:hAnsi="Times New Roman"/>
          <w:color w:val="000000" w:themeColor="text1"/>
          <w:sz w:val="16"/>
          <w:szCs w:val="16"/>
        </w:rPr>
        <w:softHyphen/>
        <w:t>нием, о премирования с моего утверждения.</w:t>
      </w:r>
    </w:p>
    <w:p w14:paraId="7A6485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КСМИССАР АВИАЦИОННОЙ ПРОМЫШЛЕННОСТИ (А.Шахурин) (414,32).</w:t>
      </w:r>
    </w:p>
    <w:p w14:paraId="7D5F7EC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38FDD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г. был выпущен Приказ НКАП во исполнение Постановления Комитета Обороны от 25 ноября 1940 г. «О создании самолета «ТИС» на заводе № 51» (9649).</w:t>
      </w:r>
    </w:p>
    <w:p w14:paraId="5128DB2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76CA3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вышел приказ НКАП во исполнение Постановлению Комитета Обороны СССР от 25 ноября 1940 г., согласно которому постройку самолета ТИС в трех экземпля</w:t>
      </w:r>
      <w:r w:rsidRPr="00A3026E">
        <w:rPr>
          <w:rFonts w:ascii="Times New Roman" w:hAnsi="Times New Roman"/>
          <w:color w:val="000000" w:themeColor="text1"/>
          <w:sz w:val="16"/>
          <w:szCs w:val="16"/>
        </w:rPr>
        <w:softHyphen/>
        <w:t xml:space="preserve">рах включили в план опытного строительства на 1941 г. Так как опытный завод № 51 еще не имел достаточно развитого производства, Поликарпов </w:t>
      </w:r>
      <w:r w:rsidRPr="00A3026E">
        <w:rPr>
          <w:rFonts w:ascii="Times New Roman" w:hAnsi="Times New Roman"/>
          <w:color w:val="000000" w:themeColor="text1"/>
          <w:sz w:val="16"/>
          <w:szCs w:val="16"/>
        </w:rPr>
        <w:lastRenderedPageBreak/>
        <w:t>организовал коо</w:t>
      </w:r>
      <w:r w:rsidRPr="00A3026E">
        <w:rPr>
          <w:rFonts w:ascii="Times New Roman" w:hAnsi="Times New Roman"/>
          <w:color w:val="000000" w:themeColor="text1"/>
          <w:sz w:val="16"/>
          <w:szCs w:val="16"/>
        </w:rPr>
        <w:softHyphen/>
        <w:t>перацию с рядом других предприятий. Например, кон</w:t>
      </w:r>
      <w:r w:rsidRPr="00A3026E">
        <w:rPr>
          <w:rFonts w:ascii="Times New Roman" w:hAnsi="Times New Roman"/>
          <w:color w:val="000000" w:themeColor="text1"/>
          <w:sz w:val="16"/>
          <w:szCs w:val="16"/>
        </w:rPr>
        <w:softHyphen/>
        <w:t>соли крыла изготавливал завод № 84, шасси - завод № 167. Первый экземпляр ТИС с пушками ШВАК пост</w:t>
      </w:r>
      <w:r w:rsidRPr="00A3026E">
        <w:rPr>
          <w:rFonts w:ascii="Times New Roman" w:hAnsi="Times New Roman"/>
          <w:color w:val="000000" w:themeColor="text1"/>
          <w:sz w:val="16"/>
          <w:szCs w:val="16"/>
        </w:rPr>
        <w:softHyphen/>
        <w:t>роили 15 марта 1941 г. (10667).</w:t>
      </w:r>
    </w:p>
    <w:p w14:paraId="0DB9721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E5B84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вышел приказ НКАП N 677сс в исполнение постановления КО N 430сс от 25 ноября 1940 "О проектировании и постройке самолета ДИС на заводе 1 НКАП". Директору завода 1 и ГК А.И.Микояну поручили спроектировать и построить 3 летных экземпляра самолета с 2хАМ-37 и предъявить на гос. испытания 1-й - 1 августа 1941, 2-й - 1 сентября 1941, 3-й - 1 ноября 1941 (414,32).</w:t>
      </w:r>
    </w:p>
    <w:p w14:paraId="37F02A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данным ОКБ - в октябре</w:t>
      </w:r>
    </w:p>
    <w:p w14:paraId="138A6D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w:t>
      </w:r>
    </w:p>
    <w:p w14:paraId="4091B8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Народного Комиссара Авиационной Промышленности СССР</w:t>
      </w:r>
    </w:p>
    <w:p w14:paraId="315B8B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исполнение постановления Правительства от 25 ноября 1940 года о проектировании и постройке самолета ДИС на заводе № I НКАП -ПРИКАЗЫВАЮ:</w:t>
      </w:r>
    </w:p>
    <w:p w14:paraId="200854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Директору завода № I тов. Дементьеву и главному конотруктору тов. Микоян:</w:t>
      </w:r>
    </w:p>
    <w:p w14:paraId="7AAE5C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спроектировать и построить 3 экземпляра самолета с мо</w:t>
      </w:r>
      <w:r w:rsidRPr="00A3026E">
        <w:rPr>
          <w:rFonts w:ascii="Times New Roman" w:hAnsi="Times New Roman"/>
          <w:color w:val="000000" w:themeColor="text1"/>
          <w:sz w:val="16"/>
          <w:szCs w:val="16"/>
        </w:rPr>
        <w:softHyphen/>
        <w:t>торами АМ-37 и предъявить на государственные испытания:</w:t>
      </w:r>
    </w:p>
    <w:p w14:paraId="0E0DCC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 I августа 1941 года,</w:t>
      </w:r>
    </w:p>
    <w:p w14:paraId="427CF7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 - I сентября.</w:t>
      </w:r>
    </w:p>
    <w:p w14:paraId="4F3A2A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третий -"- - I ноября</w:t>
      </w:r>
    </w:p>
    <w:p w14:paraId="05895D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 следующими летно-тактическими данными:</w:t>
      </w:r>
    </w:p>
    <w:p w14:paraId="01C6A6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w:t>
      </w:r>
      <w:r w:rsidRPr="00A3026E">
        <w:rPr>
          <w:rFonts w:ascii="Times New Roman" w:hAnsi="Times New Roman"/>
          <w:color w:val="000000" w:themeColor="text1"/>
          <w:sz w:val="16"/>
          <w:szCs w:val="16"/>
        </w:rPr>
        <w:tab/>
        <w:t>- 635 км/час</w:t>
      </w:r>
    </w:p>
    <w:p w14:paraId="3CF19C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с применением по</w:t>
      </w:r>
      <w:r w:rsidRPr="00A3026E">
        <w:rPr>
          <w:rFonts w:ascii="Times New Roman" w:hAnsi="Times New Roman"/>
          <w:color w:val="000000" w:themeColor="text1"/>
          <w:sz w:val="16"/>
          <w:szCs w:val="16"/>
        </w:rPr>
        <w:softHyphen/>
        <w:t>садочных- приспособлений</w:t>
      </w:r>
      <w:r w:rsidRPr="00A3026E">
        <w:rPr>
          <w:rFonts w:ascii="Times New Roman" w:hAnsi="Times New Roman"/>
          <w:color w:val="000000" w:themeColor="text1"/>
          <w:sz w:val="16"/>
          <w:szCs w:val="16"/>
        </w:rPr>
        <w:tab/>
        <w:t>- 126 км/час</w:t>
      </w:r>
    </w:p>
    <w:p w14:paraId="1BFBF3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0,8 максимальной скорости</w:t>
      </w:r>
      <w:r w:rsidRPr="00A3026E">
        <w:rPr>
          <w:rFonts w:ascii="Times New Roman" w:hAnsi="Times New Roman"/>
          <w:color w:val="000000" w:themeColor="text1"/>
          <w:sz w:val="16"/>
          <w:szCs w:val="16"/>
        </w:rPr>
        <w:tab/>
        <w:t>-2000 км</w:t>
      </w:r>
    </w:p>
    <w:p w14:paraId="2BB61A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r w:rsidRPr="00A3026E">
        <w:rPr>
          <w:rFonts w:ascii="Times New Roman" w:hAnsi="Times New Roman"/>
          <w:color w:val="000000" w:themeColor="text1"/>
          <w:sz w:val="16"/>
          <w:szCs w:val="16"/>
        </w:rPr>
        <w:tab/>
        <w:t>11000 мтр.</w:t>
      </w:r>
    </w:p>
    <w:p w14:paraId="042EF6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18B45A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Батарея в четыре пулемета Шкасс с емкостью патронных ящиков по 1200 штук на каждый пулемет.</w:t>
      </w:r>
    </w:p>
    <w:p w14:paraId="5A01E3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Два пулемета ВС с емкостью патронных ящи</w:t>
      </w:r>
      <w:r w:rsidRPr="00A3026E">
        <w:rPr>
          <w:rFonts w:ascii="Times New Roman" w:hAnsi="Times New Roman"/>
          <w:color w:val="000000" w:themeColor="text1"/>
          <w:sz w:val="16"/>
          <w:szCs w:val="16"/>
        </w:rPr>
        <w:softHyphen/>
        <w:t>ков по 550 штук на пулемет.</w:t>
      </w:r>
    </w:p>
    <w:p w14:paraId="158D2B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Одна пушка конструкции Таубина, калибра 23 мм.</w:t>
      </w:r>
    </w:p>
    <w:p w14:paraId="63D838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 в счет перегрузки: бомба или торпеда в 1000 кгр. 2 шт. по 500 кгр. на наружной подвеске под фюзеляжем.</w:t>
      </w:r>
    </w:p>
    <w:p w14:paraId="78ED9C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Начальнину ЦФО тов.Хавину: оформить получение:</w:t>
      </w:r>
    </w:p>
    <w:p w14:paraId="4E9157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из резервного фонда СНК СССР 12.500.000 рублей на постройку и испытание 3-х экземпляров самолетов ДИС с мото</w:t>
      </w:r>
      <w:r w:rsidRPr="00A3026E">
        <w:rPr>
          <w:rFonts w:ascii="Times New Roman" w:hAnsi="Times New Roman"/>
          <w:color w:val="000000" w:themeColor="text1"/>
          <w:sz w:val="16"/>
          <w:szCs w:val="16"/>
        </w:rPr>
        <w:softHyphen/>
        <w:t>рами АМ-37;</w:t>
      </w:r>
    </w:p>
    <w:p w14:paraId="38DBEE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мое распоряжение премиальный фонд для поощрения, конструкторов, инженерно-технических работников и рабочих завода № I за постройку самолета ДИС:</w:t>
      </w:r>
    </w:p>
    <w:p w14:paraId="684DAF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первый экземпляр 1.000.000 рублей</w:t>
      </w:r>
    </w:p>
    <w:p w14:paraId="075E62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второй -"- 500.000 рублей.</w:t>
      </w:r>
    </w:p>
    <w:p w14:paraId="4AE856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Директору завода № I тов.Дементьеву и главному кон</w:t>
      </w:r>
      <w:r w:rsidRPr="00A3026E">
        <w:rPr>
          <w:rFonts w:ascii="Times New Roman" w:hAnsi="Times New Roman"/>
          <w:color w:val="000000" w:themeColor="text1"/>
          <w:sz w:val="16"/>
          <w:szCs w:val="16"/>
        </w:rPr>
        <w:softHyphen/>
        <w:t>структору тов.Микоян:</w:t>
      </w:r>
    </w:p>
    <w:p w14:paraId="4E53C7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довести до сведения коллектива рабочих, ИТР и служащих завода № 1,что за своевременное выполнение работ, по постройке самолета "ДИС" установлена премия в сумме 1,5 млн.рублей;</w:t>
      </w:r>
    </w:p>
    <w:p w14:paraId="7F28DA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выплата премий за своевременное выполнение отдельных этапов работ по постройке этого самолета, в соответствии с по</w:t>
      </w:r>
      <w:r w:rsidRPr="00A3026E">
        <w:rPr>
          <w:rFonts w:ascii="Times New Roman" w:hAnsi="Times New Roman"/>
          <w:color w:val="000000" w:themeColor="text1"/>
          <w:sz w:val="16"/>
          <w:szCs w:val="16"/>
        </w:rPr>
        <w:softHyphen/>
        <w:t>ложением о премировании,производится с моего утверждения (414,58).</w:t>
      </w:r>
    </w:p>
    <w:p w14:paraId="5D5F14A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3A7782D" w14:textId="507F40E2"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29 ноября 1940 И.В.С. встречался с Рычаговым и Нач. Штаба г Никишевым, а также Зам. </w:t>
      </w:r>
      <w:r w:rsidR="00102DAB" w:rsidRPr="00A3026E">
        <w:rPr>
          <w:rFonts w:ascii="Times New Roman" w:hAnsi="Times New Roman"/>
          <w:color w:val="000000" w:themeColor="text1"/>
          <w:sz w:val="16"/>
          <w:szCs w:val="16"/>
        </w:rPr>
        <w:t>п</w:t>
      </w:r>
      <w:r w:rsidRPr="00A3026E">
        <w:rPr>
          <w:rFonts w:ascii="Times New Roman" w:hAnsi="Times New Roman"/>
          <w:color w:val="000000" w:themeColor="text1"/>
          <w:sz w:val="16"/>
          <w:szCs w:val="16"/>
        </w:rPr>
        <w:t>о вооружению и снабжению Астаховым. Пришли к выводу, что на 1 января 1941 ВВС будут иметь 24 тыс. самолетов (2536,243).</w:t>
      </w:r>
    </w:p>
    <w:p w14:paraId="6ABA0A5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CE8F219" w14:textId="77777777" w:rsidR="00102DAB" w:rsidRPr="00A3026E" w:rsidRDefault="00102DA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29 ноября 1940 по требованию Г.М. Маленкова – видного партийного функционера, курировавшего в числе прочего вопросы авиации, а с июля 1940 года еще и члена Главного Военного Совета РККА – А.И. Никашин на теперь уже пятибачном И-301 № 2 выполнил «полет на дальность 1000 км». Фактически пройденное расстояние составило 840 километра. Остаток бензина после посадки вполне позволял пролететь еще 160 километров. Это событие, вероятно, еще больше подстегнуло ход событий. 27 декабря 1940 года приказом НКАП № 783сс самолет ББ-1 сняли с производства на авиазаводе № 31 в Таганроге, а заодно закрыли и всю морскую тематику, а заводу было дано задание перейти на выпуск ЛАГГ-3 – как с 9 декабря 1940 года стали именовать «улучшенный» И-301. В.П. Горбунова назначили главным конструктором, разрешив ему взять с собой на завод № 31 15 конструкторов с условием немедленного выезда в Таганрог. В это же время появились конкретные планы по организации производства этих самолетов в Прибалтике, Днепропетровске и Тбилиси, но фактически выпуск ЛаГГ-3 освоил еще только один завод – № 153 в Новосибирске, правда, произошло это лишь в мае 1941 года (23197).</w:t>
      </w:r>
    </w:p>
    <w:p w14:paraId="4F9C744F" w14:textId="77777777" w:rsidR="00102DAB" w:rsidRPr="00A3026E" w:rsidRDefault="00102DAB" w:rsidP="00A3026E">
      <w:pPr>
        <w:spacing w:after="0" w:line="240" w:lineRule="auto"/>
        <w:jc w:val="both"/>
        <w:rPr>
          <w:rFonts w:ascii="Times New Roman" w:hAnsi="Times New Roman"/>
          <w:color w:val="0070C0"/>
          <w:sz w:val="16"/>
          <w:szCs w:val="16"/>
        </w:rPr>
      </w:pPr>
    </w:p>
    <w:p w14:paraId="7E2BD4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л-и И.М. Сухомлин опробовал на воде КОР-2-дублер (10685).</w:t>
      </w:r>
    </w:p>
    <w:p w14:paraId="7280EFC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77B762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года в НИИ ВВС был выдан наряд-приказ № 0270</w:t>
      </w:r>
    </w:p>
    <w:p w14:paraId="36701C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Государственные 100-часовые испытания на станке мотора М-30 завода № 82 (6890, 172).</w:t>
      </w:r>
    </w:p>
    <w:p w14:paraId="0606B59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A7018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года Приказом НКАП за № 673с завод «Физприборов» № 14, полученный НКАП 5 мая 1940, был переименован в завод № 462 НКАП. Организованный завод имел специализацию по производству поршневых колец авиамоторов.</w:t>
      </w:r>
    </w:p>
    <w:p w14:paraId="497523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 же время завод окончил изготовление опытной партии машинных взрывателей МП-3 к полевым минам ПМ-3 и корпусов к ним. Кроме этого заводом изготовлялись корпуса 45 мм противотанкового снаряда, которые поставлялись Ленинградскому снарядозаряжательному заводу № 5 НК боеприпасов.</w:t>
      </w:r>
    </w:p>
    <w:p w14:paraId="2DDB1A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ВОВ по распоряжению НКАП, деятельность завода № 462 была прервана и завод из Днепропетровска был эвакуирован в Молотов на завод № 33 МАП. В это же время часть оборудования с завода № 33 приказом НКАП была передана там же заводу № 19 НКАП. В октябре 1943 года, после освобождения Днепропетровска на площадке ранее занимаемой заводом № 462 были созданы мастерские по ремонту автомашин ГАЗ-АА.</w:t>
      </w:r>
    </w:p>
    <w:p w14:paraId="498442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дальнейшем приказом НКАП № 679с от 15 ноября 1943 года на базе площадей бывш. завода № 462 НКАП были организованы ремонтные мастерские, а приказом по 4 гл. управлению НКАП от 3 декабря 1943 года за № 33с созданным мастерским была утверждена номенклатура изделия для ремонта и выпуска, а именно магнето, авиасвечи и т.д.</w:t>
      </w:r>
    </w:p>
    <w:p w14:paraId="7208CA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НКАП № 24с от 16 января 1944 года ремонтно-механические мастерские были переименованы в завод № 489 НКАП. С января 1944 года вновь организованный завод не имел профиля и делал различные работы и только 25 августа приказом НКАП за № 529с заводу был указан профиль и установлена номенклатура выпускаемых изделий: автоматы переключения скоростей нагнетателя 8-67 и гидравлических агрегатов объединенного управления винтов и газом, ВГЦИАМ-1744 для авиамоторов АН-38Ф и АШ-42. В 1946 году окончательно был установлен профиль завода как завода агрегатостроения. Директор – В. Еременко. Производственный профиль – агрегатный (9857).</w:t>
      </w:r>
    </w:p>
    <w:p w14:paraId="56505DF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432A506" w14:textId="77777777" w:rsidR="00C66762" w:rsidRPr="00A3026E" w:rsidRDefault="00C66762" w:rsidP="00A3026E">
      <w:pPr>
        <w:pStyle w:val="a3"/>
        <w:widowControl/>
        <w:rPr>
          <w:color w:val="000000" w:themeColor="text1"/>
          <w:lang w:val="ru-RU"/>
        </w:rPr>
      </w:pPr>
      <w:r w:rsidRPr="00A3026E">
        <w:rPr>
          <w:color w:val="000000" w:themeColor="text1"/>
          <w:lang w:val="ru-RU"/>
        </w:rPr>
        <w:t>29 ноября 1940 года А. Шахурин писал письмо № Н-20/3344 зам. председателя СНК Вознесенскому Н.А.</w:t>
      </w:r>
    </w:p>
    <w:p w14:paraId="05F1C986" w14:textId="77777777" w:rsidR="00C66762" w:rsidRPr="00A3026E" w:rsidRDefault="00C66762" w:rsidP="00A3026E">
      <w:pPr>
        <w:pStyle w:val="a3"/>
        <w:widowControl/>
        <w:rPr>
          <w:color w:val="000000" w:themeColor="text1"/>
          <w:lang w:val="ru-RU"/>
        </w:rPr>
      </w:pPr>
      <w:r w:rsidRPr="00A3026E">
        <w:rPr>
          <w:color w:val="000000" w:themeColor="text1"/>
          <w:lang w:val="ru-RU"/>
        </w:rPr>
        <w:t>МАИ им. С. Орджоникидзе с 1937 года ведет строительство аэродинамической лаборатории, сметная стоимость которой утверждена Наркоматом 27 мая 1938 года в сумме 5195 тыс. рублей.</w:t>
      </w:r>
    </w:p>
    <w:p w14:paraId="27CCD433" w14:textId="77777777" w:rsidR="00C66762" w:rsidRPr="00A3026E" w:rsidRDefault="00C66762" w:rsidP="00A3026E">
      <w:pPr>
        <w:pStyle w:val="a3"/>
        <w:widowControl/>
        <w:rPr>
          <w:color w:val="000000" w:themeColor="text1"/>
          <w:lang w:val="ru-RU"/>
        </w:rPr>
      </w:pPr>
      <w:r w:rsidRPr="00A3026E">
        <w:rPr>
          <w:color w:val="000000" w:themeColor="text1"/>
          <w:lang w:val="ru-RU"/>
        </w:rPr>
        <w:t>В процессе строительства выявилась необходимость изменить технологическое оборудование, пополнив его новейшими приборами, а также отдельные изменения в конструктивные элементы здания.</w:t>
      </w:r>
    </w:p>
    <w:p w14:paraId="77F57D0B" w14:textId="77777777" w:rsidR="00C66762" w:rsidRPr="00A3026E" w:rsidRDefault="00C66762" w:rsidP="00A3026E">
      <w:pPr>
        <w:pStyle w:val="a3"/>
        <w:widowControl/>
        <w:rPr>
          <w:color w:val="000000" w:themeColor="text1"/>
          <w:lang w:val="ru-RU"/>
        </w:rPr>
      </w:pPr>
      <w:r w:rsidRPr="00A3026E">
        <w:rPr>
          <w:color w:val="000000" w:themeColor="text1"/>
          <w:lang w:val="ru-RU"/>
        </w:rPr>
        <w:t>Эти изменения и дополнительные работы увеличили стоимость лаборатории сверх утвержденной сметы.</w:t>
      </w:r>
    </w:p>
    <w:p w14:paraId="1FCB0B01" w14:textId="77777777" w:rsidR="00C66762" w:rsidRPr="00A3026E" w:rsidRDefault="00C66762" w:rsidP="00A3026E">
      <w:pPr>
        <w:pStyle w:val="a3"/>
        <w:widowControl/>
        <w:rPr>
          <w:color w:val="000000" w:themeColor="text1"/>
          <w:lang w:val="ru-RU"/>
        </w:rPr>
      </w:pPr>
      <w:r w:rsidRPr="00A3026E">
        <w:rPr>
          <w:color w:val="000000" w:themeColor="text1"/>
          <w:lang w:val="ru-RU"/>
        </w:rPr>
        <w:t>Поэтому прошу вашего разрешения пересмотреть смету на строительство аэродинамической лаборатории МАИ (3377, 95).</w:t>
      </w:r>
    </w:p>
    <w:p w14:paraId="4B71F084" w14:textId="77777777" w:rsidR="00C66762" w:rsidRPr="00A3026E" w:rsidRDefault="00C66762" w:rsidP="00A3026E">
      <w:pPr>
        <w:pStyle w:val="a3"/>
        <w:widowControl/>
        <w:rPr>
          <w:color w:val="000000" w:themeColor="text1"/>
          <w:lang w:val="ru-RU"/>
        </w:rPr>
      </w:pPr>
    </w:p>
    <w:p w14:paraId="6D24D8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г. завод (ГС Завод № 456 НКАП, Завод трикотажных машин № 1 НКОМ /Украина  г. Полтава;  г. Саратов/) получил наименование ГС завод № 456 НКАП. Началась организация производства моторных агрегатов.</w:t>
      </w:r>
    </w:p>
    <w:p w14:paraId="39A23E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решению Совета по эвакуации № 5372-сэ от 10.08.1941 г. и приказу № 874сс от 19.08.1941 г. завод № 456 4ГУ НКАП со всем оборудованием и рабочей силой эвакуирован на площадку завода № 306 НКАП, где продолжено производство агрегатов МФМ-25, БНК-12А. Далее по приказу № 971сс от 12.09.1941 г. завод № 456 влит в состав единого завода № 306 НКАП и выбыл из числа действующих с 09.1941 г.</w:t>
      </w:r>
    </w:p>
    <w:p w14:paraId="20366F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площадке эвакуированного завода в Полтаве по приказу № 679с от 15.11.1943 г. созданы мастерские по ремонту моторных агрегатов. Затем на базе мастерских образован завод № 488 4ГУ НКАП.</w:t>
      </w:r>
    </w:p>
    <w:p w14:paraId="63718F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(10.1940-08.1941 г.-)- Д.К. Мусиенко.</w:t>
      </w:r>
    </w:p>
    <w:p w14:paraId="16A298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Начальник КО (10.1940 г.-)- А.Н. Мельников (11982).</w:t>
      </w:r>
    </w:p>
    <w:p w14:paraId="76BC6640" w14:textId="77777777" w:rsidR="006707CB" w:rsidRPr="00A3026E" w:rsidRDefault="006707CB" w:rsidP="00A3026E">
      <w:pPr>
        <w:spacing w:after="0" w:line="240" w:lineRule="auto"/>
        <w:jc w:val="both"/>
        <w:rPr>
          <w:rFonts w:ascii="Times New Roman" w:hAnsi="Times New Roman"/>
          <w:color w:val="000000" w:themeColor="text1"/>
          <w:sz w:val="16"/>
          <w:szCs w:val="16"/>
        </w:rPr>
      </w:pPr>
    </w:p>
    <w:p w14:paraId="34AB9B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г. завод № 14 (ГС Завод № 462 НКАП, Завод физприборов № 14 им. В.П. Затонского /Украина  г. Днепропетровск/), который был передан из НКпроса Украины в 4ГУ НКАП 17 августа 1940 г., по приказу № 673с получил название ГС завод № 462. Заводу дополнительно к прежней продукции поручено производство поршневых колец для авиадвигателей.</w:t>
      </w:r>
    </w:p>
    <w:p w14:paraId="366A76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строится новый производственный корпус, введены в строй литейный цех, котельная, электроподстанция, заводоуправление. К 1941 г. завод имел 11 корпусов общей площадью 3000 м".</w:t>
      </w:r>
    </w:p>
    <w:p w14:paraId="2D59E3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07.1941 г. завод эвакуирован в Пермь и влит в качестве цеха поршневых колец в состав завода № 19 НКАП.</w:t>
      </w:r>
    </w:p>
    <w:p w14:paraId="6C8944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679с от 15.11.1943 г. на старом месте организованы Ремонтно-механические мастерские НКАП. В 02.1944 г. мастерские преобразованы в завод № 489 4ГУ НКАП.</w:t>
      </w:r>
    </w:p>
    <w:p w14:paraId="692045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(1.01.1941 г.)- более 1000 чел.</w:t>
      </w:r>
    </w:p>
    <w:p w14:paraId="161E17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(11.1940 г.-)- Н.Ф. Иванов.</w:t>
      </w:r>
    </w:p>
    <w:p w14:paraId="1B84DD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токарно-винторезные станки ТВ-1, ТВ-2 (1935-38 г.); корпуса 45-мм противотанковых снарядов (1939); школьные наглядные пособия.</w:t>
      </w:r>
    </w:p>
    <w:p w14:paraId="5341E8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Станкостроительный завод № 2 им.  Г. Димитрова /Украина  г. Днепропетровск/</w:t>
      </w:r>
    </w:p>
    <w:p w14:paraId="22801F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1926 г. были организованы мастерские «Маната» по выпуску школьных наглядных пособий и слесарного инструмента. В 1932 г. мастерские преобразованы в Станкостроительный завод № 2. В 1934 г. заводу присвоено имя  Г. Димитрова. В 1935 г. из состава завода выделяется самостоятельный завод физприборов № 14 им. В.П. Затонского, который становится головным предприятием (11982).</w:t>
      </w:r>
    </w:p>
    <w:p w14:paraId="2849593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0F19A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  г. Таллинне образовался и начал строиться Завод № 463 НКАП /Эстония  г. Таллинн/.</w:t>
      </w:r>
    </w:p>
    <w:p w14:paraId="6FCE9C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04.1941 г. заводу поручено строительство двух опытных экземпляров (а затем 20 серийных) планера КЦ-2 инженеров ВВС Д.Н. Колесникова и П.В. Цыбина, которые на период строительства планеров направлены в подчинение директора завода. Планировалось образовать ОКБ на заводе под руководством Колесникова для сопровождения серии, но это не было сделано. Кадровый состав завода был укреплен специалистами с других заводов. С начала 1941 г. началось освоение производства ЛаГГ-3. На 1941 г. заводу утвержден план по выпуску 50 ЛаГГ-3.</w:t>
      </w:r>
      <w:r w:rsidRPr="00A3026E">
        <w:rPr>
          <w:rFonts w:ascii="Times New Roman" w:hAnsi="Times New Roman"/>
          <w:color w:val="000000" w:themeColor="text1"/>
          <w:sz w:val="16"/>
          <w:szCs w:val="16"/>
          <w:vertAlign w:val="superscript"/>
        </w:rPr>
        <w:t>144</w:t>
      </w:r>
    </w:p>
    <w:p w14:paraId="645C65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705с от 17.07.1941 г. завод № 463 1ГУ НКАП эвакуирован в Куйбышев на площадку завода № 122 НКАП и влит в его состав. Выбыл из числа действующих с 07.1941 г.</w:t>
      </w:r>
    </w:p>
    <w:p w14:paraId="479C4D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1944 г. на площадке эвакуированного завода организован завод № 600 </w:t>
      </w:r>
      <w:r w:rsidRPr="00A3026E">
        <w:rPr>
          <w:rFonts w:ascii="Times New Roman" w:hAnsi="Times New Roman"/>
          <w:color w:val="000000" w:themeColor="text1"/>
          <w:sz w:val="16"/>
          <w:szCs w:val="16"/>
          <w:lang w:val="en-US"/>
        </w:rPr>
        <w:t>HKAIT</w:t>
      </w:r>
      <w:r w:rsidRPr="00A3026E">
        <w:rPr>
          <w:rFonts w:ascii="Times New Roman" w:hAnsi="Times New Roman"/>
          <w:color w:val="000000" w:themeColor="text1"/>
          <w:sz w:val="16"/>
          <w:szCs w:val="16"/>
        </w:rPr>
        <w:t>.</w:t>
      </w:r>
    </w:p>
    <w:p w14:paraId="5244DC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(30.11.1940 г.-)- В.П. Горбунов.</w:t>
      </w:r>
    </w:p>
    <w:p w14:paraId="36CE6F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(27.12.1940 г.-)- П.Н. Голубков (11982).</w:t>
      </w:r>
    </w:p>
    <w:p w14:paraId="288FF75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11C5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 системе 1ГУ НКАП на площадке бывшего городского автогаража и бывшего завода «Проводник» быо организован ГС Завод № 464 НКАП /Латвия  г. Рига/. Реконструкция и строительство новых корпусов велось в соответствии с пост. СНК№ 801-334сс от 4.04.1941 г. и приказом № 321сс от 10.04.1941 г.</w:t>
      </w:r>
    </w:p>
    <w:p w14:paraId="62D8CF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1941 г. заводу утвержден план по выпуску 100 Як-7.</w:t>
      </w:r>
      <w:r w:rsidRPr="00A3026E">
        <w:rPr>
          <w:rFonts w:ascii="Times New Roman" w:hAnsi="Times New Roman"/>
          <w:color w:val="000000" w:themeColor="text1"/>
          <w:sz w:val="16"/>
          <w:szCs w:val="16"/>
          <w:vertAlign w:val="superscript"/>
        </w:rPr>
        <w:t>144</w:t>
      </w:r>
    </w:p>
    <w:p w14:paraId="329ED7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25.12.1940 г. гл. конструктором завода № 464 назначен М.М. Пашинин, переведен с завода № 21 НКАП по приказу НКАП № 28сс от 17.01.1941 г. для организации КО при заводе № 464, этим же приказом с завода № 21 НКАП в подчинение к М.М. Пашинину было переведено 20 конструкторов для внедрения в серийное производство на заводе самолета УТИ-26. С 03.1940 г. Пашининым проектировался опытный истребитель (в 04.1941 г. работы закрыты).</w:t>
      </w:r>
    </w:p>
    <w:p w14:paraId="12C1C2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705с от 17.07.1941 г. завод эвакуирован в Куйбышев, влит в состав завода № 122 НКАП и перестал существовать. Пашинин назначен начальником СКБ завода № 122.</w:t>
      </w:r>
    </w:p>
    <w:p w14:paraId="2E5831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Площади завода после войны переданы: площадка завода «Проводник» по приказу № 424/МА-533 от 15.11.1945 г.- в НКЭП, в 1946 г. на площадке организован РЭЗ.</w:t>
      </w:r>
    </w:p>
    <w:p w14:paraId="087417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(21.11.1940 г.-)- П.А. Антонов.</w:t>
      </w:r>
    </w:p>
    <w:p w14:paraId="68C681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(25.12.1940 г.-)- М.М. Пашинин.</w:t>
      </w:r>
    </w:p>
    <w:p w14:paraId="2273BF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(27.12.1940 г.-)- Т.Т. Кувшинов.</w:t>
      </w:r>
    </w:p>
    <w:p w14:paraId="4D9155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«Проводник» /Латвия  г. Рига/</w:t>
      </w:r>
    </w:p>
    <w:p w14:paraId="5B8C63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продукции для авиационной промышленности (1917 г.).</w:t>
      </w:r>
      <w:r w:rsidRPr="00A3026E">
        <w:rPr>
          <w:rFonts w:ascii="Times New Roman" w:hAnsi="Times New Roman"/>
          <w:color w:val="000000" w:themeColor="text1"/>
          <w:sz w:val="16"/>
          <w:szCs w:val="16"/>
          <w:vertAlign w:val="superscript"/>
        </w:rPr>
        <w:t>66</w:t>
      </w:r>
      <w:r w:rsidRPr="00A3026E">
        <w:rPr>
          <w:rFonts w:ascii="Times New Roman" w:hAnsi="Times New Roman"/>
          <w:color w:val="000000" w:themeColor="text1"/>
          <w:sz w:val="16"/>
          <w:szCs w:val="16"/>
        </w:rPr>
        <w:t xml:space="preserve"> В 1939 г. в пустующих корпусах завода разместились самолеты польских ВВС, улетевшие после захвата Польши Германией.</w:t>
      </w:r>
    </w:p>
    <w:p w14:paraId="33D059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АО «Рижский электромашиностроительный завод» (РЭЗ) /Латвия  г. Рига а/я 11/</w:t>
      </w:r>
    </w:p>
    <w:p w14:paraId="5B1195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РЭЗ создан в 1946 г. на площадке эвакуированного завода № 464 НКАП, переданного по приказу № 424/МА- 533 от 15.11.1945 г. в ведение НКЭП.</w:t>
      </w:r>
    </w:p>
    <w:p w14:paraId="4CAF26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07.2006 г. вошел в состав ТМХ.</w:t>
      </w:r>
    </w:p>
    <w:p w14:paraId="765D9B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советские годы являлся основным производителем вагонов электропоездов.</w:t>
      </w:r>
    </w:p>
    <w:p w14:paraId="0024B3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Разработка и производство (2006 г.): электрооборудование для железнодорожного транспорта.</w:t>
      </w:r>
    </w:p>
    <w:p w14:paraId="1B10DC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стиральная машина «Рига-17» (11982).</w:t>
      </w:r>
    </w:p>
    <w:p w14:paraId="70FAA2A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A3E2F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29 ноября 1940 разработку и лабораторные испытания новых рецептур в основном закончили и оставалось испытать краски в условиях эксплуатации на самолетах, после чего решить вопрос о принятии их для серийной окраски. Акт окончания и приемки работ по договору был подписан 19 декабря.</w:t>
      </w:r>
    </w:p>
    <w:p w14:paraId="1EAECF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главные трудности были впереди. Для получения недешифрируемых красок, имитирующих растительные фоны, имелся весьма ограниченный набор пигментов -охра светлая и золотистая, крон оранжевый, лимонный и желтый, умбра натуральная, сурик железный, мумия, зеленая окись хрома, ультрамарин, кобальт синий и зеленый. Несмотря на то, что расположенные в СССР месторождения могли количественно удовлетворить потребности лакокрасочной промышленности, все эти пигменты, за исключением зеленой окиси хрома, по качеству были совершенно непригодными для получения авиационных красок. В связи с этим, чтобы немедленно начать подготовку авиапромышленности для перевода на камуфляжную окраску самолетов взамен применяемой одноцветной, было необходимо обеспечить основных поставщиков авиационных лакокрасочных материалов (завод 36 и Краснопресненский завод лаков и красок) земляными пигментами требуемого качества, в частности по тонкости помола. А для ускорения, было решено "временно, впредь до разработки ВИАМом, матовых покрытий допустить изготовление недешифрируемых красок на применяющейся в настоящее время основе", т. е. глянцевых, но и эти краски нужно было еще доработать и, главное, наладить их массовый выпуск.</w:t>
      </w:r>
    </w:p>
    <w:p w14:paraId="334821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 цветом камуфляжной, а также новой одноцветной окраски, вместо применяемой с конца мая 1940 г. светло-зеленой краски А19ф, должен был стать цвет 4БО. Рецептуры глифталевой эмали и нитрокраски этого цвета содержали охру золотистую, тальк, стеарат цинка, крон оранжевый и зеленую окись хрома. Для перекраски в этот цвет всего парка самолетов ВВС КА на 1941 г. потребовалось бы 124 тонн глифталевой (или масляной) эмали и 266 тонн нитроцеллюлозных аэролаков, из них для боевых самолетов, подлежащих окраске в первую очередь, соответственно 118 и 196 т. Да еще надо было красить новые самолеты на заводах НКАП. Для выпуска такого количества красок требовалось время.</w:t>
      </w:r>
    </w:p>
    <w:p w14:paraId="714361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титанический труд по разработке и испытаниям камуфляжа в 1940 году, ни одна из этих многоцветных схем так и не была применена в серийном производстве самолетов. Действительность во многом оказалось гораздо проще (2771,66).</w:t>
      </w:r>
    </w:p>
    <w:p w14:paraId="4107C42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1FDDC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г. по заданию НКБ в НИИ-3 провели специальные испытания, «реабилитировавшие» РД, ноябре этого же года — повторные испытания взрывателей РД бом</w:t>
      </w:r>
      <w:r w:rsidRPr="00A3026E">
        <w:rPr>
          <w:rFonts w:ascii="Times New Roman" w:hAnsi="Times New Roman"/>
          <w:color w:val="000000" w:themeColor="text1"/>
          <w:sz w:val="16"/>
          <w:szCs w:val="16"/>
        </w:rPr>
        <w:softHyphen/>
        <w:t>бометанием на керченском авиаполигоне, снова использовав БетАБ-250-170ДС.</w:t>
      </w:r>
    </w:p>
    <w:p w14:paraId="62FC03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72 сброшенных авиабомбах удалось получить 46 наблюдений. Из них два боеприпаса отказали в действии — не сгорел РЗ, и взрыватель не взвелся, у другого не выгорел пороховой предохранитель РД. Места падения остальных авиабомб, которые не удалось сразу зафиксировать, впоследствии отыскали, но отрыть их не удалось — боеприпасы снова ушли глубоко в грунт. Таким образом, эту партию взрывателей керченский авиаполигон признал выдержавшей приемные испытания. Ну прямо «детский сад» какой-то... На этом «приключения РД» не закончились. Для сдачи взрывателя на вооружение в ЦКБ-22 НКБ оформили всю необходимую документацию отослали ее на утверждение Федорову во 2-е ГУ НКБ СССР и военинженеру 2 ранга Стрельникову в 12-е управление ГУ ВВС КА. Там «крючкотворы» несколько раз отсылали документы обратно под предлогом их недоработки. К примеру, в один из заходов причиной возврата документов послужило отсутствие письменных гарантий заводом-изготовителем качества будущих взрывателей (11402).</w:t>
      </w:r>
    </w:p>
    <w:p w14:paraId="7912A6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B9B645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7365099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62DB1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29 ноября 1940 годаПРОТОКОЛ ДОПРОСА арестованного Сидоры Александра Федосеевича </w:t>
      </w:r>
    </w:p>
    <w:p w14:paraId="21F51A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Сидора А.Ф., 1901 года рождения, уроженец села Даре-Салын, Крымской АССР, украинец, бывший член ВКП(б) с 1939 года. До ареста – член Технического совета Наркомата боеприпасов СССР.</w:t>
      </w:r>
    </w:p>
    <w:p w14:paraId="530464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lastRenderedPageBreak/>
        <w:t>Вопрос</w:t>
      </w:r>
      <w:r w:rsidRPr="00A3026E">
        <w:rPr>
          <w:rFonts w:ascii="Times New Roman" w:hAnsi="Times New Roman"/>
          <w:color w:val="000000" w:themeColor="text1"/>
          <w:sz w:val="16"/>
          <w:szCs w:val="16"/>
        </w:rPr>
        <w:t>: На предыдущих допросах вы признались в том, что в 1932 году были вовлечены во вредительскую группу, существовавшую на Харьковском тракторном заводе, бывшим директором того же завода Свистуном.</w:t>
      </w:r>
    </w:p>
    <w:p w14:paraId="6A8F66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показания вы подтверждаете?</w:t>
      </w:r>
    </w:p>
    <w:p w14:paraId="1A64AF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Ответ</w:t>
      </w:r>
      <w:r w:rsidRPr="00A3026E">
        <w:rPr>
          <w:rFonts w:ascii="Times New Roman" w:hAnsi="Times New Roman"/>
          <w:color w:val="000000" w:themeColor="text1"/>
          <w:sz w:val="16"/>
          <w:szCs w:val="16"/>
        </w:rPr>
        <w:t>: Да, подтверждаю.</w:t>
      </w:r>
    </w:p>
    <w:p w14:paraId="23A262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Вопрос</w:t>
      </w:r>
      <w:r w:rsidRPr="00A3026E">
        <w:rPr>
          <w:rFonts w:ascii="Times New Roman" w:hAnsi="Times New Roman"/>
          <w:color w:val="000000" w:themeColor="text1"/>
          <w:sz w:val="16"/>
          <w:szCs w:val="16"/>
        </w:rPr>
        <w:t>: Покажите подробно – при каких обстоятельствах вы были привлечены к вражеской работе?</w:t>
      </w:r>
    </w:p>
    <w:p w14:paraId="27AD08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Ответ</w:t>
      </w:r>
      <w:r w:rsidRPr="00A3026E">
        <w:rPr>
          <w:rFonts w:ascii="Times New Roman" w:hAnsi="Times New Roman"/>
          <w:color w:val="000000" w:themeColor="text1"/>
          <w:sz w:val="16"/>
          <w:szCs w:val="16"/>
        </w:rPr>
        <w:t>: Со Свистуном Пантелеймоном Ивановичем я познакомился в 1930 году на Харьковском тракторном заводе, где работал в должности начальника кузнечно-прессового цеха. В том же 1930 году я дважды был направлен Свистуном в служебную командировку в Америку и пробыл за границей около восьми месяцев.</w:t>
      </w:r>
    </w:p>
    <w:p w14:paraId="3430F7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Пребывание и внешняя сторона жизни в Америке сказались на моих политических настроениях. Я ещё не стал окончательно оформившимся врагом Советской власти, но при случае, делясь своими впечатлениями о пребывании в Америке, высказывал недовольство по поводу жизни в СССР, затруднений в продовольственном снабжении и недостатка товаров широкого потребления. Мои антисоветские настроения систематически подогревались Свистуном, который охотно выслушивал мои рассказы об Америке  и от себя добавлял антисоветскую критику положения в СССР.</w:t>
      </w:r>
    </w:p>
    <w:p w14:paraId="55869E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Убедившись в том, что я разделяю его враждебное отношение к существующему строю, Свистун стал приглашать меня к себе на дом. С 1931 года я уже постоянно посещал квартиру Свистуна вместе с другими руководящими работниками завода.</w:t>
      </w:r>
    </w:p>
    <w:p w14:paraId="287142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Вопрос</w:t>
      </w:r>
      <w:r w:rsidRPr="00A3026E">
        <w:rPr>
          <w:rFonts w:ascii="Times New Roman" w:hAnsi="Times New Roman"/>
          <w:color w:val="000000" w:themeColor="text1"/>
          <w:sz w:val="16"/>
          <w:szCs w:val="16"/>
        </w:rPr>
        <w:t>: Назовите их.</w:t>
      </w:r>
    </w:p>
    <w:p w14:paraId="1C0E5F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Ответ</w:t>
      </w:r>
      <w:r w:rsidRPr="00A3026E">
        <w:rPr>
          <w:rFonts w:ascii="Times New Roman" w:hAnsi="Times New Roman"/>
          <w:color w:val="000000" w:themeColor="text1"/>
          <w:sz w:val="16"/>
          <w:szCs w:val="16"/>
        </w:rPr>
        <w:t>: Кроме меня Свистуна на дому посещали: его заместитель Шнеерсон Борис Маркович, главный инженер завода Брускин Александр Давидович, начальник инструментального цеха Альбов Павел Александрович и начальник литейного цеха Хохуля Владимир Иванович.</w:t>
      </w:r>
    </w:p>
    <w:p w14:paraId="6E76C1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они составляли окружение Свистуна и пользовались его поддержкой.</w:t>
      </w:r>
    </w:p>
    <w:p w14:paraId="5CF7D4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сборищ, происходивших на квартире у Свистуна и сопровождавшихся постоянными выпивками, разговоры велись не только вокруг дел завода, но и в целом - положения в промышленности, при этом раздавались антипартийные выпады против руководства ЦК ВКП(б).</w:t>
      </w:r>
    </w:p>
    <w:p w14:paraId="2AAA0D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Свистун заявлял, что политика коллективизации ему не по душе, что колхозы себя не оправдали и приводят якобы к упадку сельского хозяйства. Он говорил, что нажимать нам на выпуск тракторов не следует, что крестьяне на них работать не сумеют, так как до трактора не доросли.</w:t>
      </w:r>
    </w:p>
    <w:p w14:paraId="58D072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Свистун не стеснялся в моём присутствии высказывать своё враждебное отношение к партии, но в существо практической вражеской работы, проводившейся на Харьковском тракторном заводе, посвятил меня только в 1932 году, когда убедился, что я до конца разделяю его антисоветские взгляды.</w:t>
      </w:r>
    </w:p>
    <w:p w14:paraId="4FD587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сентября или в первых числах октября 1932 года Свистун пригласил меня для беседы к себе на квартиру. Оставшись со мной наедине, он заявил, что положение становится катастрофическим и «</w:t>
      </w:r>
      <w:r w:rsidRPr="00A3026E">
        <w:rPr>
          <w:rFonts w:ascii="Times New Roman" w:hAnsi="Times New Roman"/>
          <w:iCs/>
          <w:color w:val="000000" w:themeColor="text1"/>
          <w:sz w:val="16"/>
          <w:szCs w:val="16"/>
        </w:rPr>
        <w:t>надо спасать отечество</w:t>
      </w:r>
      <w:r w:rsidRPr="00A3026E">
        <w:rPr>
          <w:rFonts w:ascii="Times New Roman" w:hAnsi="Times New Roman"/>
          <w:color w:val="000000" w:themeColor="text1"/>
          <w:sz w:val="16"/>
          <w:szCs w:val="16"/>
        </w:rPr>
        <w:t>». Эту фразу я воспроизвожу дословно, так как она особенно запомнилась мне из продолжительной беседы, которую я имел тогда со Свистуном. Он много говорил о невозможности якобы освоить множество новых предприятий, построенных за последнее время, о нежизненности колхозов, недостатке одежды, обуви, продуктов питания, о том, что политика индустриализации и коллективизации встречает якобы враждебное отношение к себе со стороны населения. В заключение беседы Свистун сказал: «</w:t>
      </w:r>
      <w:r w:rsidRPr="00A3026E">
        <w:rPr>
          <w:rFonts w:ascii="Times New Roman" w:hAnsi="Times New Roman"/>
          <w:iCs/>
          <w:color w:val="000000" w:themeColor="text1"/>
          <w:sz w:val="16"/>
          <w:szCs w:val="16"/>
        </w:rPr>
        <w:t>Люди,одинаково с нами мыслящие, должны восстать против существующих в страненесправедливостей</w:t>
      </w:r>
      <w:r w:rsidRPr="00A3026E">
        <w:rPr>
          <w:rFonts w:ascii="Times New Roman" w:hAnsi="Times New Roman"/>
          <w:color w:val="000000" w:themeColor="text1"/>
          <w:sz w:val="16"/>
          <w:szCs w:val="16"/>
        </w:rPr>
        <w:t>».</w:t>
      </w:r>
    </w:p>
    <w:p w14:paraId="4DAAC3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мой вопрос – а имеются ли люди, способные это сделать, – Свистун ответил, что с политикой партии не согласен ряд руководящих работников на Украине, но фамилий, вероятно, из осторожности, не назвал, ограничившись лишь указанием, что тайно от партии эти люди ведут свою работу, и предложил мне примкнуть к ним.</w:t>
      </w:r>
    </w:p>
    <w:p w14:paraId="2B2883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Свистун при этом сказал, что мне уже пора от сочувствия его взглядам перейти к делу, а я заверил Свистуна, что готов действовать по его указаниям. На этом наша беседа закончилась.</w:t>
      </w:r>
    </w:p>
    <w:p w14:paraId="4C3653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встрече, состоявшейся через несколько дней, Свистун в развитие прежнего разговора сообщил мне, что на ХТЗ им объединена группа лиц, несогласных с политикой партии и стоящих за практическую поддержку правых. Далее Свистун назвал Брускина, Шнеерсона, Альбова и Хохулю, которые на заводе, каждый на своем участке, проводят вредительскую работу.</w:t>
      </w:r>
    </w:p>
    <w:p w14:paraId="5B358C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этой же беседе Свистуном передо мной была поставлена конкретная задача проведения вредительской работы: при изготовлении деталей к тракторам применять недоброкачественный материал.</w:t>
      </w:r>
    </w:p>
    <w:p w14:paraId="304BF9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Вопрос</w:t>
      </w:r>
      <w:r w:rsidRPr="00A3026E">
        <w:rPr>
          <w:rFonts w:ascii="Times New Roman" w:hAnsi="Times New Roman"/>
          <w:color w:val="000000" w:themeColor="text1"/>
          <w:sz w:val="16"/>
          <w:szCs w:val="16"/>
        </w:rPr>
        <w:t>: вы это задание выполнили?</w:t>
      </w:r>
    </w:p>
    <w:p w14:paraId="6DA488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Ответ</w:t>
      </w:r>
      <w:r w:rsidRPr="00A3026E">
        <w:rPr>
          <w:rFonts w:ascii="Times New Roman" w:hAnsi="Times New Roman"/>
          <w:color w:val="000000" w:themeColor="text1"/>
          <w:sz w:val="16"/>
          <w:szCs w:val="16"/>
        </w:rPr>
        <w:t>: Да, в своей дальнейшей работе, я руководствовался указанием Свистуна. Так, коленчатые валы и распределительные валики для тракторов выпускались мною из недоброкачественного металла с трещинами; тяги – из пленистового металла, а шпоры – из металла с повышенным содержанием фосфора.</w:t>
      </w:r>
    </w:p>
    <w:p w14:paraId="5C25AC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проведенной мною вредительской работы только в июле 1933 года до 80% изготовленных коленчатых валов и 30% распределительных валиков были забракованы.</w:t>
      </w:r>
    </w:p>
    <w:p w14:paraId="2C5EA5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Будучи в конце 1933 года назначенным на ХТЗ начальником производства, я систематически задерживал подачу деталей из литейного и кузнечного в механосборочный цех.</w:t>
      </w:r>
    </w:p>
    <w:p w14:paraId="460380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Мною систематически задерживался осмотр и ремонт оборудования: транспортёров и сушильной печи в литейном цехе и станков «уникум» − в ме</w:t>
      </w:r>
      <w:r w:rsidRPr="00A3026E">
        <w:rPr>
          <w:rFonts w:ascii="Times New Roman" w:hAnsi="Times New Roman"/>
          <w:color w:val="000000" w:themeColor="text1"/>
          <w:sz w:val="16"/>
          <w:szCs w:val="16"/>
        </w:rPr>
        <w:softHyphen/>
        <w:t>ханическом цехе; всё это сказывалось на выполнении программы и качестве выпускаемой продукции.</w:t>
      </w:r>
    </w:p>
    <w:p w14:paraId="0F74D8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Наряду с этим мною задерживалась подача инструментов в производственные цеха завода, что также нарушало их нормальную работу.</w:t>
      </w:r>
    </w:p>
    <w:p w14:paraId="10AB94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Вредительскую работу на Харьковском тракторном заводе я проводил с 1933 по 1936 гг.</w:t>
      </w:r>
    </w:p>
    <w:p w14:paraId="21740F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июле 1936 года при содействии Свистуна я был назначен директором авиационного завода N1 (г. Москва).</w:t>
      </w:r>
    </w:p>
    <w:p w14:paraId="7C81EE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уходом с ХТЗ я имел беседу с Свистуном у него на даче, в предместье Харькова.</w:t>
      </w:r>
    </w:p>
    <w:p w14:paraId="1FA557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Вопрос</w:t>
      </w:r>
      <w:r w:rsidRPr="00A3026E">
        <w:rPr>
          <w:rFonts w:ascii="Times New Roman" w:hAnsi="Times New Roman"/>
          <w:color w:val="000000" w:themeColor="text1"/>
          <w:sz w:val="16"/>
          <w:szCs w:val="16"/>
        </w:rPr>
        <w:t>: Воспроизведите содержание этой беседы.</w:t>
      </w:r>
    </w:p>
    <w:p w14:paraId="251398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Ответ</w:t>
      </w:r>
      <w:r w:rsidRPr="00A3026E">
        <w:rPr>
          <w:rFonts w:ascii="Times New Roman" w:hAnsi="Times New Roman"/>
          <w:color w:val="000000" w:themeColor="text1"/>
          <w:sz w:val="16"/>
          <w:szCs w:val="16"/>
        </w:rPr>
        <w:t>: Свистун в начале беседы поставил меня в известность, что директором завода я назначен по его рекомендации. Он сказал, что хотя мы и расстаёмся, но в Москве на авиационном заводе я должен буду придерживаться той же линии, что и на тракторном заводе в Харькове.</w:t>
      </w:r>
    </w:p>
    <w:p w14:paraId="7BCAFA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Затем Свистун предложил мне по приезде в Москву явиться к начальнику Секретариата Наркомтяжпрома Семушкину, от которого получить необходимые связи по дальнейшей антисоветской работе в Москве.</w:t>
      </w:r>
    </w:p>
    <w:p w14:paraId="34EA22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Вопрос</w:t>
      </w:r>
      <w:r w:rsidRPr="00A3026E">
        <w:rPr>
          <w:rFonts w:ascii="Times New Roman" w:hAnsi="Times New Roman"/>
          <w:color w:val="000000" w:themeColor="text1"/>
          <w:sz w:val="16"/>
          <w:szCs w:val="16"/>
        </w:rPr>
        <w:t>: С Семушкиным вы связались?</w:t>
      </w:r>
    </w:p>
    <w:p w14:paraId="1528F5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Ответ</w:t>
      </w:r>
      <w:r w:rsidRPr="00A3026E">
        <w:rPr>
          <w:rFonts w:ascii="Times New Roman" w:hAnsi="Times New Roman"/>
          <w:color w:val="000000" w:themeColor="text1"/>
          <w:sz w:val="16"/>
          <w:szCs w:val="16"/>
        </w:rPr>
        <w:t>: В августе 1936 года я посетил Семушкина в Наркомтяжпроме, сказав, что имею к нему поручение от Свистуна.</w:t>
      </w:r>
    </w:p>
    <w:p w14:paraId="5F5B88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Семушкин на это ответил, что предупреждён обо мне Свистуном, и предложил все необходимые указания получить от Туполева, работавшего в то время главным инженером авиационного Главка Наркомтяжпрома.</w:t>
      </w:r>
    </w:p>
    <w:p w14:paraId="559CCB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Семушкин предупредил, что Туполев сам меня вызовет, когда в этом скажется необходимость.</w:t>
      </w:r>
    </w:p>
    <w:p w14:paraId="7B3DF7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Вопрос</w:t>
      </w:r>
      <w:r w:rsidRPr="00A3026E">
        <w:rPr>
          <w:rFonts w:ascii="Times New Roman" w:hAnsi="Times New Roman"/>
          <w:color w:val="000000" w:themeColor="text1"/>
          <w:sz w:val="16"/>
          <w:szCs w:val="16"/>
        </w:rPr>
        <w:t>: Ваша встреча с Туполевым состоялась?</w:t>
      </w:r>
    </w:p>
    <w:p w14:paraId="1348D8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Ответ</w:t>
      </w:r>
      <w:r w:rsidRPr="00A3026E">
        <w:rPr>
          <w:rFonts w:ascii="Times New Roman" w:hAnsi="Times New Roman"/>
          <w:color w:val="000000" w:themeColor="text1"/>
          <w:sz w:val="16"/>
          <w:szCs w:val="16"/>
        </w:rPr>
        <w:t>: Да, в ноябре или декабре 1936 года я был вызван Туполевым к нему в кабинет.</w:t>
      </w:r>
    </w:p>
    <w:p w14:paraId="6C9AF5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Туполев предложил от его имени связаться с главным инженером завода N1 Шикуновым Евграфом Порфировичем, заявив, что последний будет предупреждён о необходимости контактировать со мной всю работу на заводе.</w:t>
      </w:r>
    </w:p>
    <w:p w14:paraId="0FD346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того же 1936 года я установил связь с Шикуновым, совместно с которым на заводе N1 мною была проведена вредительская работа, направленная к срыву снабжения Красной Армии современными типами боевых самолётов.</w:t>
      </w:r>
    </w:p>
    <w:p w14:paraId="375213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Вопрос</w:t>
      </w:r>
      <w:r w:rsidRPr="00A3026E">
        <w:rPr>
          <w:rFonts w:ascii="Times New Roman" w:hAnsi="Times New Roman"/>
          <w:color w:val="000000" w:themeColor="text1"/>
          <w:sz w:val="16"/>
          <w:szCs w:val="16"/>
        </w:rPr>
        <w:t>: В чем заключалась ваша вредительская работа на заводе N1?</w:t>
      </w:r>
    </w:p>
    <w:p w14:paraId="62CAB9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Ответ</w:t>
      </w:r>
      <w:r w:rsidRPr="00A3026E">
        <w:rPr>
          <w:rFonts w:ascii="Times New Roman" w:hAnsi="Times New Roman"/>
          <w:color w:val="000000" w:themeColor="text1"/>
          <w:sz w:val="16"/>
          <w:szCs w:val="16"/>
        </w:rPr>
        <w:t>: Я и Шикунов отстаивали перед директивными инстанциями выпуск устаревшей конструкции самолёта «Эрзет» и саботировали освоение производства новых типов боевых машин.</w:t>
      </w:r>
    </w:p>
    <w:p w14:paraId="163D5C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самолета «Эрзет» была на пределе и не удовлетворяла требова</w:t>
      </w:r>
      <w:r w:rsidRPr="00A3026E">
        <w:rPr>
          <w:rFonts w:ascii="Times New Roman" w:hAnsi="Times New Roman"/>
          <w:color w:val="000000" w:themeColor="text1"/>
          <w:sz w:val="16"/>
          <w:szCs w:val="16"/>
        </w:rPr>
        <w:softHyphen/>
        <w:t>ниям, предъявлявшимся в авиации в 1936 году. Кроме того, этот самолёт (по типу «Р-5») был деревянным и быстро подвергался износу. Зная всё это, я и Шикунов всё же отстаивали необходимость выпуска «Эрзета», однако решением правительства этот самолёт с производства был снят и заводу было предложено перейти на выпуск металлических самолетов «Вулти» и истребителей «И-15» (модифицированных).</w:t>
      </w:r>
    </w:p>
    <w:p w14:paraId="4B099B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Получив новое правительственное задание, но продолжая ещё выпускать негодный «Эрзет», я и Шикунов одновременно тормозили освоение производства самолета «И-15» путем задержки организации проектирования и изготовления опытных образцов. Мы игнорировали требования, предъявленные заводу конструктором самолёта «И-15» Поликарповым, несвоевременно предоставили ему помещение и конструкторов, а также задерживали выдачу в производство чертежей.</w:t>
      </w:r>
    </w:p>
    <w:p w14:paraId="4A9324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самолёту «Вулти» мною и Шикуновым неоднократно изменялись технологические процессы, а также несвоевременно был организован низовой цех, что также вызвало задержку в освоении производства этого типа самолёта.</w:t>
      </w:r>
    </w:p>
    <w:p w14:paraId="09FC83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августе 1938 года за развал работы на руководимом мною заводе N1 я был снят с должности директора, а в октябре того же года назначен главным инженером 21-го Главного Управления (боеприпасов) Наркомата оборонной промышленности.</w:t>
      </w:r>
    </w:p>
    <w:p w14:paraId="374F57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переходом в 21-е Управление я потерял связь с участниками антисоветской организации в авиационной промышленности.</w:t>
      </w:r>
    </w:p>
    <w:p w14:paraId="79DB66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Вопрос</w:t>
      </w:r>
      <w:r w:rsidRPr="00A3026E">
        <w:rPr>
          <w:rFonts w:ascii="Times New Roman" w:hAnsi="Times New Roman"/>
          <w:color w:val="000000" w:themeColor="text1"/>
          <w:sz w:val="16"/>
          <w:szCs w:val="16"/>
        </w:rPr>
        <w:t>: Значит ли это, что вы прекратили свою вражескую работу?</w:t>
      </w:r>
    </w:p>
    <w:p w14:paraId="70FC94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Ответ</w:t>
      </w:r>
      <w:r w:rsidRPr="00A3026E">
        <w:rPr>
          <w:rFonts w:ascii="Times New Roman" w:hAnsi="Times New Roman"/>
          <w:color w:val="000000" w:themeColor="text1"/>
          <w:sz w:val="16"/>
          <w:szCs w:val="16"/>
        </w:rPr>
        <w:t>: Я этого не говорю. Возобновление мною вражеской работы произошло при следующих обстоятельствах. В октябре или ноябре 1938 года ко мне на работу, в 21-й Главк, явился Хохуля, о причастности которого к вредительской группе на ХТЗ я уже показал выше.</w:t>
      </w:r>
    </w:p>
    <w:p w14:paraId="24EA97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Хохуля в начале беседы высказал свое удовлетворение моим переходом в Главк и в свою очередь поставил меня в известность, что работает уже в Москве, директором снарядного завода N70.</w:t>
      </w:r>
    </w:p>
    <w:p w14:paraId="56BFFB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Хохуля спросил - работаю ли я теперь так же, как в своё время на Харьковском тракторном заводе, при Свистуне? Я сказал, что прервал все связи, которые могли бы меня скомпрометировать.</w:t>
      </w:r>
    </w:p>
    <w:p w14:paraId="1E12D6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Хохуля, однако, в ответ стал упрекать меня в трусости и необоснованных опасениях. Хохуля сказал при этом, что он вот не боится проводить работу на заводе N70, почему же я должен изменить своим убеждениям, не использовав выгоды своего положения в Наркомате в интересах нашего общего дела.</w:t>
      </w:r>
    </w:p>
    <w:p w14:paraId="53C50D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Получив от меня согласие возобновить вредительскую работу, Хохуля предложил мне связаться с Купером Львом Соломоновичем, работавшим заместителем Главного инженера 21-го Главка. Я обещал Хохуле связаться с Купером.</w:t>
      </w:r>
    </w:p>
    <w:p w14:paraId="499506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Вопрос</w:t>
      </w:r>
      <w:r w:rsidRPr="00A3026E">
        <w:rPr>
          <w:rFonts w:ascii="Times New Roman" w:hAnsi="Times New Roman"/>
          <w:color w:val="000000" w:themeColor="text1"/>
          <w:sz w:val="16"/>
          <w:szCs w:val="16"/>
        </w:rPr>
        <w:t>: Вы это сделали?</w:t>
      </w:r>
    </w:p>
    <w:p w14:paraId="752444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Ответ</w:t>
      </w:r>
      <w:r w:rsidRPr="00A3026E">
        <w:rPr>
          <w:rFonts w:ascii="Times New Roman" w:hAnsi="Times New Roman"/>
          <w:color w:val="000000" w:themeColor="text1"/>
          <w:sz w:val="16"/>
          <w:szCs w:val="16"/>
        </w:rPr>
        <w:t>: Это сделал сам Купер. В декабре 1938 года Купер, который знал меня по совместной работе в течение двух месяцев в Главке, явился ко мне в кабинет и после непродолжительного разговора по служебным вопросам заявил, что имеет поручение от Хохули.</w:t>
      </w:r>
    </w:p>
    <w:p w14:paraId="0B728D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дальнейшей беседы я связался с КУПЕРОМ, который мне сообщил, что имеет задание - препятствовать производству железных артиллерийских гильз и задерживать выпуски заводами N176 и N187 (Тула).</w:t>
      </w:r>
    </w:p>
    <w:p w14:paraId="44B5ED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 спросил у Купера - от кого персонально он имеет такое задание, но в этот раз он уклонился от ответа. Лишь в начале 1939 года, после организации Наркомата боеприпасов, Купер при одной из встреч сообщил, что по вредительской работе получает задания от главного инженера порохового Главка Янова Георгия Георгиевича и заместителя Наркомата боеприпасов Хренкова Николая Матвеевича.</w:t>
      </w:r>
    </w:p>
    <w:p w14:paraId="12718C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Вопрос</w:t>
      </w:r>
      <w:r w:rsidRPr="00A3026E">
        <w:rPr>
          <w:rFonts w:ascii="Times New Roman" w:hAnsi="Times New Roman"/>
          <w:color w:val="000000" w:themeColor="text1"/>
          <w:sz w:val="16"/>
          <w:szCs w:val="16"/>
        </w:rPr>
        <w:t>: А вы лично с ними связались?</w:t>
      </w:r>
    </w:p>
    <w:p w14:paraId="291589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Ответ</w:t>
      </w:r>
      <w:r w:rsidRPr="00A3026E">
        <w:rPr>
          <w:rFonts w:ascii="Times New Roman" w:hAnsi="Times New Roman"/>
          <w:color w:val="000000" w:themeColor="text1"/>
          <w:sz w:val="16"/>
          <w:szCs w:val="16"/>
        </w:rPr>
        <w:t>: С Яновым и Хренковым я лично связан не был, но со слов Купера знал об их причастности к вредительской группе в Наркомате боеприпасов.</w:t>
      </w:r>
    </w:p>
    <w:p w14:paraId="3A579C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установлении связи со мной Купер сказал, что в 21-м Главке нет ещё людей, на которых можно было бы опереться, но без них нам не обойтись, поэтому я должен провести соответствующую работу. Я с этим согласился.</w:t>
      </w:r>
    </w:p>
    <w:p w14:paraId="4E26A4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Вопрос</w:t>
      </w:r>
      <w:r w:rsidRPr="00A3026E">
        <w:rPr>
          <w:rFonts w:ascii="Times New Roman" w:hAnsi="Times New Roman"/>
          <w:color w:val="000000" w:themeColor="text1"/>
          <w:sz w:val="16"/>
          <w:szCs w:val="16"/>
        </w:rPr>
        <w:t>: Покажите подробно о всём объёме проведённой вами вредительской работы в Наркомате боеприпасов.</w:t>
      </w:r>
    </w:p>
    <w:p w14:paraId="3B785E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Ответ</w:t>
      </w:r>
      <w:r w:rsidRPr="00A3026E">
        <w:rPr>
          <w:rFonts w:ascii="Times New Roman" w:hAnsi="Times New Roman"/>
          <w:color w:val="000000" w:themeColor="text1"/>
          <w:sz w:val="16"/>
          <w:szCs w:val="16"/>
        </w:rPr>
        <w:t>: По утверждённому правительством плану в 1939 году заводы NN176 и 187 (Тула), а также завод N184 (Казань) должны были выпустить около 800 тыс. шт. железных артиллерийских гильз.</w:t>
      </w:r>
    </w:p>
    <w:p w14:paraId="13D31A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выполнения программы по железным гильзам необходимо было отработать массовый технологический процесс. Уже в начале 1939 года было очевидно, что существующий на заводе N176 технологический процесс по горячему способу Кудрявцева не обеспечит как количественного, так и в особенности качественного выполнения программы по железным гильзам. Несмотря на это, я и Купер умышленно не изменяли технологического процесса. Купер снабжал также завод недоброкачественным железом, вследствие чего в 1939 году было сорвано выполнение программы, причём даже из небольшого количества изготовленных гильз 50% было забраковано.</w:t>
      </w:r>
    </w:p>
    <w:p w14:paraId="24ABD2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N187 существовал технологический процесс изготовления железных гильз по холодному способу ЛИМа (Ленинградского института металлов). По требованию Артиллерийского Управления Красной Армии, в июле или августе 1939 года чертёж на железные 76-мм гильзы был изменён, однако по моему указанию был неправильно изготовлен вытяжной инструмент. В результате до 100 тысяч штук гильз оказались негодными.</w:t>
      </w:r>
    </w:p>
    <w:p w14:paraId="6EAEAF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1939 году завод N187 обязан был выпустить один миллион железных свёртных артиллерийских гильз. Это решение правительства нами было сорвано, и за 1939 год ни одной свёртной гильзы заводом N187 выпущено не было.</w:t>
      </w:r>
    </w:p>
    <w:p w14:paraId="3E8A0D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Должен отметить, что решение о производстве свёртных гильз было вынесено по инициативе Хренкова, который ввёл в заблуждение директивные инстанции, не информировав их о том, что завод N187 совершенно не подготовлен к производству свёртных гильз.</w:t>
      </w:r>
    </w:p>
    <w:p w14:paraId="5131E0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провалом производства по заводу N187 в конце 1939 года я был вызван к Хренкову, который предложил мне разверстать по ряду заводов Наркомата боеприпасов программу выпуска 122- и 152-мм железных гильз.</w:t>
      </w:r>
    </w:p>
    <w:p w14:paraId="0183EF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Когда я заметил Хренкову, что на эти гильзы нет даже чертежей, а оборудование заводов не приспособлено к выпуску железных гильз, Хренков сказал, что для него это не новость, и тут же предложил выполнить его указание, спустив заводам соответствующий план.</w:t>
      </w:r>
    </w:p>
    <w:p w14:paraId="3D93B8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Зная, что в 1-м квартале 1940 года заводы N176 и N187 не сумеют освоить выпуск железных гильз новых калибров, что сорвёт комплектацию выстрела, Хренков тем не менее дал мне указание - производить железные гильзы, а выпуск латунных гильз приостановить. Это задание Хренкова я принял к исполнению и задержал освоение производства железных гильз, чем нанёс значительный ущерб государству. ...</w:t>
      </w:r>
    </w:p>
    <w:p w14:paraId="670DB0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Протокол записан с моих слов верно и мною прочитан.</w:t>
      </w:r>
    </w:p>
    <w:p w14:paraId="1340AF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СИДОРА</w:t>
      </w:r>
    </w:p>
    <w:p w14:paraId="338F02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Допросил:следователь следчасти ГЭУ НКВД СССР лейтенант госбезопасности МАРИСОВ (12633)</w:t>
      </w:r>
    </w:p>
    <w:p w14:paraId="1064F4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p w14:paraId="0C007D9E"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г.</w:t>
      </w:r>
    </w:p>
    <w:p w14:paraId="09DFCF59"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ЦАМО Фонд 38 Опись 11355 Дело 47 Лист 69 </w:t>
      </w:r>
    </w:p>
    <w:p w14:paraId="6A223E9B"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3EC89FC5"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29 ноября 1940 г. </w:t>
      </w:r>
    </w:p>
    <w:p w14:paraId="31A60BC7"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СО6466 </w:t>
      </w:r>
    </w:p>
    <w:p w14:paraId="4A1EA882"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ДИРЕКТОРУ ЗАВОДА им. Ильича</w:t>
      </w:r>
    </w:p>
    <w:p w14:paraId="15336D8E"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Сартана</w:t>
      </w:r>
    </w:p>
    <w:p w14:paraId="70FE8A65"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РАЙОННОМУ ИНЖЕНЕРУ ГАБТУ КА на заводе им. Ильича</w:t>
      </w:r>
    </w:p>
    <w:p w14:paraId="70102C2A"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Сартана</w:t>
      </w:r>
    </w:p>
    <w:p w14:paraId="377B419E"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ЗАМ. НАРОДНОГО КОМИССАРА СРЕДНЕГО МАШИНОСТРОЕНИЯ</w:t>
      </w:r>
    </w:p>
    <w:p w14:paraId="0E9115B4"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 ГОРЕГЛЯДУ</w:t>
      </w:r>
    </w:p>
    <w:p w14:paraId="6EFA62EB"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ГАБТУ КА Генерал-лейтенанту т. ФЕДОРЕНКО</w:t>
      </w:r>
    </w:p>
    <w:p w14:paraId="16B1CAFC"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ГЛАВСПЕЦМАШ т. ХЛАМОВУ</w:t>
      </w:r>
    </w:p>
    <w:p w14:paraId="3DC4D188"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этом направляются акты № 6/700 от 14/XI-с.г. и № 7/700 от 20/XI-с.г. выборочной проверки размеров полученных от завода им. Ильича бронедеталей 34.30.001, 34.30.182, 34.31.043, 34.29.052, 34.29.053 и 34.29.023 маш. А-34. </w:t>
      </w:r>
    </w:p>
    <w:p w14:paraId="42A719C9"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Как видно из прилагаемого акта № 6/700, имеют место многочисленные случаи грубых отклонений от чертежных размеров по вырезу амбразуры на 96 сварных башнях (д. 34.30.001) и на 27 литых башнях (д. 34.30.182), полностью подтвержденные представителем завода им. Ильича т. СОЛОНСКИМ, принимавшим участие в проверке дефектных деталей и согласившимся, как с предъявленными отступлениями от чертежей, так и с вопросом снесения расходов по исправлению этих деталей за счет завода им. Ильича. </w:t>
      </w:r>
    </w:p>
    <w:p w14:paraId="1F950385"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Актом № 7/700 фиксированы значительные отклонения от чертежных размеров в основаниях смотровых приборов на 27 литых башнях. </w:t>
      </w:r>
    </w:p>
    <w:p w14:paraId="32B4D471"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Таким образом, несмотря на нашу телеграмму от 5/IX-с.г., письмо № СО4795 от 9/IX с приложенными актами и ряд других сигналов, завод им. Ильича до настоящего времени не принял необходимых мер к обеспечению качества поставляемой нам продукции. </w:t>
      </w:r>
    </w:p>
    <w:p w14:paraId="5E46C5B2"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результате засылки нам деталей с отступлениями от чертежей, напряженное положение с выполнением программы из-за непланомерной поставки заводом им. Ильича бронедеталей еще более осложняется тем, что мы, непосредственно в процессе сборки, вынуждены заниматься устранением дефектов путем шлифовки излишнего металла, иногда на 15 – 20 мм. </w:t>
      </w:r>
    </w:p>
    <w:p w14:paraId="5C1B24EA"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Учитывая, что значительная затрата времени на подготовку бронедеталей снижает пропускную способность отд. 700 и недопустимо осложняет выполнение плана по изготовлению корпусов и башен, прошу принять действенные меры к обеспечению качества посылаемых нам бронедеталей маш. А-34. </w:t>
      </w:r>
    </w:p>
    <w:p w14:paraId="18640A63"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Приложение: Акт № 6/700 на 16 листах. Акт № 7/700 на 3 листах. </w:t>
      </w:r>
    </w:p>
    <w:p w14:paraId="50EF4896"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ГЛАВНЫЙ ИНЖЕНЕР подпись 28/XI (МАХОНИН)</w:t>
      </w:r>
    </w:p>
    <w:p w14:paraId="06C08D6B"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6 экз. </w:t>
      </w:r>
    </w:p>
    <w:p w14:paraId="23FDFD11"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Гранберг </w:t>
      </w:r>
    </w:p>
    <w:p w14:paraId="61E23BAE"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5897 </w:t>
      </w:r>
    </w:p>
    <w:p w14:paraId="3F187F7E"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27.XI-40 г. </w:t>
      </w:r>
    </w:p>
    <w:p w14:paraId="29DFD33A"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документе резолюция Н.Н. Алымова: «т. Афонину. Чего смотрит т. Зухер и весь аппарат приемки. Немедленно дать указание по качеству приемки. 2.12.40» (18222).</w:t>
      </w:r>
    </w:p>
    <w:p w14:paraId="0AB7125E" w14:textId="77777777" w:rsidR="008B76A6" w:rsidRPr="00A3026E" w:rsidRDefault="008B76A6" w:rsidP="00A3026E">
      <w:pPr>
        <w:spacing w:after="0" w:line="240" w:lineRule="auto"/>
        <w:jc w:val="both"/>
        <w:rPr>
          <w:rFonts w:ascii="Times New Roman" w:hAnsi="Times New Roman"/>
          <w:color w:val="000000" w:themeColor="text1"/>
          <w:sz w:val="16"/>
          <w:szCs w:val="16"/>
        </w:rPr>
      </w:pPr>
    </w:p>
    <w:p w14:paraId="2C485FC4"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29 ноября 1940 г. новая технология сварки корпусов Т-34, которая при изготовлении пяти опытных корпусов танка Т-34 дала положительные результаты (количество надрывов на броневых деталях резко сократилось) распоряжением № 63 по отделу 700 была введена в серийное производство. В первой половине декабря 1940 г. при непосредственном участии инженеров НИИ-48 по принятой технологии в отделе «700» было изготовлено 40 корпусов танка Т-34. При проверке этих корпусов было установлено, что в соединениях бортов с деталями носа и днищами подкрылков надрывы полностью отсутствовали, в то время как до перевода этих соединений на </w:t>
      </w:r>
      <w:r w:rsidRPr="00A3026E">
        <w:rPr>
          <w:rFonts w:ascii="Times New Roman" w:hAnsi="Times New Roman"/>
          <w:color w:val="000000" w:themeColor="text1"/>
          <w:sz w:val="16"/>
          <w:szCs w:val="16"/>
        </w:rPr>
        <w:lastRenderedPageBreak/>
        <w:t>сварку аустенитными электродами надрывы образовывались в больших количествах практически на каждом корпусе. При тщательном осмотре на 40 корпусах было обнаружено всего 18 небольших надрывов, располагавшихся на верхних листах носа (деталь 34.29.904-1). Появление этих надрывов специалистами НИИ-48 было объяснено так: </w:t>
      </w:r>
    </w:p>
    <w:p w14:paraId="6F8E9DD8"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деталь носа находится в весьма неблагоприятных в смысле сварки условиях, а именно на ее плоскости имеется очень большое количество всякого рода приварок и вварок. Кроме того, она обваривается еще по всему контуру. Такое значительное количество сварки в очень сильной степени напрягает деталь и приводит к возникновению надрывов в зоне сварки».</w:t>
      </w:r>
    </w:p>
    <w:p w14:paraId="4D4A57C9"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157. Л. 136]</w:t>
      </w:r>
    </w:p>
    <w:p w14:paraId="38169EA6"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ликвидации надрывов на верхнем листе носа корпуса танка Т-34 инженерами НИИ-48 было предложено заводу № 183 отменить обварку буксирных рымов и пересмотреть конструкцию лабиринтового уплотнения крышки люка механика-водителя, отказавшись от приварки защитных планок. </w:t>
      </w:r>
    </w:p>
    <w:p w14:paraId="56D11DF8"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в результате совместной работы инженеров бригады НИИ-48 и специалистов отдела «700» завода № 183, проведенной в период с 1 ноября по 16 декабря 1940 г., в технологию сварки корпуса танка Т-34 были внесены значительные изменения. При изготовлении корпусов «тридцатьчетвёрки» в серийном производстве были отменены предварительная наплавка металла на кромки свариваемых броневых деталей. Наиболее ответственные соединения лобовых и бортовых листов корпуса были переведены на сварку аустенитными электродами марки «25-12», делающими сварные соединения более прочными и снижающими склонность брони к образованию надрывов в зонах термического влияния сварки. Так же были изменены технические условия на изготовление электродов марки «МД» в сторону уменьшения содержания углерода, влиявшего на вероятность возникновения надрывов. Так, в 1940 г. содержание углерода в электродах «МД» было снижено до 0,23 % по верхнему пределу, а в 1941 году – до 0,16 %. </w:t>
      </w:r>
    </w:p>
    <w:p w14:paraId="2F77A0DD"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Следует отметить, что до приезда специалистов НИИ-48 сварка аустенитными электродами на заводе № 183 в серийном производстве не применялась, и соответственно сварщики отдела «700» не имели необходимой квалификации для работы с ними. Для внедрения в производство технологии сварки броневых конструкций с помощью аустенитных электродов, бригадой НИИ-48 совместно с руководством завода № 183 были организованы и проведены следующие мероприятия: </w:t>
      </w:r>
    </w:p>
    <w:p w14:paraId="1B631C19"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Составлены технологические процессы сварки узлов, переводимых на сварку аустенитными электродами. </w:t>
      </w:r>
    </w:p>
    <w:p w14:paraId="4439AE71"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Под руководством бригады и при ее практической помощи заводом полностью освоено производство обмазанных электродов по технологическим условиям и технологическому процессу, разработанным бригадой НИИ-48. </w:t>
      </w:r>
    </w:p>
    <w:p w14:paraId="73E60A33"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Составлены программа по обучению сварщиков завода аустенитными электродами и инструкция по их испытанию. </w:t>
      </w:r>
    </w:p>
    <w:p w14:paraId="5B224EF8"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Обучено 52 сварщика завода сварке аустенитными электродами. Обученные сварщики были подвергнуты квалификационной комиссией испытаниям и все выдержали испытания».</w:t>
      </w:r>
    </w:p>
    <w:p w14:paraId="4E3C7774" w14:textId="77777777" w:rsidR="008B76A6" w:rsidRPr="00A3026E" w:rsidRDefault="008B76A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157. Л. 135] (18206).</w:t>
      </w:r>
    </w:p>
    <w:p w14:paraId="00BF848C" w14:textId="77777777" w:rsidR="008B76A6" w:rsidRPr="00A3026E" w:rsidRDefault="008B76A6" w:rsidP="00A3026E">
      <w:pPr>
        <w:spacing w:after="0" w:line="240" w:lineRule="auto"/>
        <w:jc w:val="both"/>
        <w:rPr>
          <w:rFonts w:ascii="Times New Roman" w:hAnsi="Times New Roman"/>
          <w:color w:val="000000" w:themeColor="text1"/>
          <w:sz w:val="16"/>
          <w:szCs w:val="16"/>
        </w:rPr>
      </w:pPr>
    </w:p>
    <w:p w14:paraId="4E4C9572" w14:textId="77777777" w:rsidR="00C16034" w:rsidRPr="00A3026E" w:rsidRDefault="00C16034"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6B0E2528" w14:textId="77777777" w:rsidR="00C16034" w:rsidRPr="00A3026E" w:rsidRDefault="00C16034" w:rsidP="00A3026E">
      <w:pPr>
        <w:spacing w:after="0" w:line="240" w:lineRule="auto"/>
        <w:jc w:val="both"/>
        <w:rPr>
          <w:rFonts w:ascii="Times New Roman" w:hAnsi="Times New Roman"/>
          <w:iCs/>
          <w:color w:val="000000" w:themeColor="text1"/>
          <w:sz w:val="16"/>
          <w:szCs w:val="16"/>
        </w:rPr>
      </w:pPr>
    </w:p>
    <w:p w14:paraId="18B466AC" w14:textId="77777777" w:rsidR="00C16034" w:rsidRPr="00A3026E" w:rsidRDefault="00C160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29 ноября 1940 г. в соответствии с постановлением СНК СССР «Об упорядочении учета и торговли охотничьими гладкоствольными ружьями»</w:t>
      </w:r>
      <w:bookmarkStart w:id="51" w:name="annot_26"/>
      <w:r w:rsidR="00CB3A4D" w:rsidRPr="00A3026E">
        <w:rPr>
          <w:rFonts w:ascii="Times New Roman" w:hAnsi="Times New Roman"/>
          <w:color w:val="000000" w:themeColor="text1"/>
          <w:sz w:val="16"/>
          <w:szCs w:val="16"/>
        </w:rPr>
        <w:fldChar w:fldCharType="begin"/>
      </w:r>
      <w:r w:rsidRPr="00A3026E">
        <w:rPr>
          <w:rFonts w:ascii="Times New Roman" w:hAnsi="Times New Roman"/>
          <w:color w:val="000000" w:themeColor="text1"/>
          <w:sz w:val="16"/>
          <w:szCs w:val="16"/>
        </w:rPr>
        <w:instrText xml:space="preserve"> HYPERLINK "https://bstudy.net/621217/pravo/pravovoe_regulirovanie_oborota_oruzhiya_sovetskom_gosudarstve" \l "gads_btm" </w:instrText>
      </w:r>
      <w:r w:rsidR="00CB3A4D" w:rsidRPr="00A3026E">
        <w:rPr>
          <w:rFonts w:ascii="Times New Roman" w:hAnsi="Times New Roman"/>
          <w:color w:val="000000" w:themeColor="text1"/>
          <w:sz w:val="16"/>
          <w:szCs w:val="16"/>
        </w:rPr>
        <w:fldChar w:fldCharType="separate"/>
      </w:r>
      <w:r w:rsidRPr="00A3026E">
        <w:rPr>
          <w:rStyle w:val="a5"/>
          <w:rFonts w:ascii="Times New Roman" w:hAnsi="Times New Roman"/>
          <w:color w:val="000000" w:themeColor="text1"/>
          <w:sz w:val="16"/>
          <w:szCs w:val="16"/>
        </w:rPr>
        <w:t>[26]</w:t>
      </w:r>
      <w:r w:rsidR="00CB3A4D" w:rsidRPr="00A3026E">
        <w:rPr>
          <w:rFonts w:ascii="Times New Roman" w:hAnsi="Times New Roman"/>
          <w:color w:val="000000" w:themeColor="text1"/>
          <w:sz w:val="16"/>
          <w:szCs w:val="16"/>
        </w:rPr>
        <w:fldChar w:fldCharType="end"/>
      </w:r>
      <w:bookmarkEnd w:id="51"/>
      <w:r w:rsidRPr="00A3026E">
        <w:rPr>
          <w:rFonts w:ascii="Times New Roman" w:hAnsi="Times New Roman"/>
          <w:color w:val="000000" w:themeColor="text1"/>
          <w:sz w:val="16"/>
          <w:szCs w:val="16"/>
        </w:rPr>
        <w:t>охотничьи гладкоствольные ружья продавались гражданам лишь по предъявлении охотничьих билетов. Были определены организации, имевшие право выдачи охотничьих билетов: Народный комиссариат заготовок - охотникам- промысловикам, Всесоюзный комитет по делам физкультуры и спорта при Совете Народных Комиссаров СССР - охотникам-любителям.</w:t>
      </w:r>
    </w:p>
    <w:p w14:paraId="5BD380C4" w14:textId="77777777" w:rsidR="00C16034" w:rsidRPr="00A3026E" w:rsidRDefault="00C1603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Были введены количественные ограничения на право обладания оружием: охотник-любитель мог иметь не более двух, а охотник- промысловик - не более пяти охотничьих гладкоствольных ружей (18514).</w:t>
      </w:r>
    </w:p>
    <w:p w14:paraId="5BFFC674" w14:textId="77777777" w:rsidR="00C16034" w:rsidRPr="00A3026E" w:rsidRDefault="00C16034" w:rsidP="00A3026E">
      <w:pPr>
        <w:spacing w:after="0" w:line="240" w:lineRule="auto"/>
        <w:jc w:val="both"/>
        <w:rPr>
          <w:rFonts w:ascii="Times New Roman" w:hAnsi="Times New Roman"/>
          <w:color w:val="000000" w:themeColor="text1"/>
          <w:sz w:val="16"/>
          <w:szCs w:val="16"/>
        </w:rPr>
      </w:pPr>
    </w:p>
    <w:p w14:paraId="7E6D358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EAAFFF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FE712AC" w14:textId="77777777" w:rsidR="00102DAB" w:rsidRPr="00A3026E" w:rsidRDefault="00102DA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29 ноября 1940 выполнил первый полет - Junkers Ju 288 (20795). </w:t>
      </w:r>
    </w:p>
    <w:p w14:paraId="7EC41869" w14:textId="77777777" w:rsidR="00102DAB" w:rsidRPr="00A3026E" w:rsidRDefault="00102DAB" w:rsidP="00A3026E">
      <w:pPr>
        <w:spacing w:after="0" w:line="240" w:lineRule="auto"/>
        <w:jc w:val="both"/>
        <w:rPr>
          <w:rFonts w:ascii="Times New Roman" w:hAnsi="Times New Roman"/>
          <w:color w:val="0070C0"/>
          <w:sz w:val="16"/>
          <w:szCs w:val="16"/>
        </w:rPr>
      </w:pPr>
    </w:p>
    <w:p w14:paraId="412985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высшее командование Германии подготовило проект плана восточной компании (2259).</w:t>
      </w:r>
    </w:p>
    <w:p w14:paraId="70E464B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4F92072" w14:textId="77777777" w:rsidR="006707CB" w:rsidRPr="00A3026E" w:rsidRDefault="006707CB"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29 ноября </w:t>
      </w:r>
      <w:r w:rsidRPr="00A3026E">
        <w:rPr>
          <w:rFonts w:ascii="Times New Roman" w:hAnsi="Times New Roman"/>
          <w:color w:val="000000" w:themeColor="text1"/>
          <w:sz w:val="16"/>
          <w:szCs w:val="16"/>
        </w:rPr>
        <w:t>в 1940 году (29 ноября-7 декабря) В Генеральном штабе германских сухопутных сил прошла оперативно-стратегическая игра, в ходе которой отрабатывался второй этап нападения на СССР: действия германских армий до рубежа Минск, Киев (14844).</w:t>
      </w:r>
    </w:p>
    <w:p w14:paraId="645E660A" w14:textId="77777777" w:rsidR="006707CB" w:rsidRPr="00A3026E" w:rsidRDefault="006707CB" w:rsidP="00A3026E">
      <w:pPr>
        <w:spacing w:after="0" w:line="240" w:lineRule="auto"/>
        <w:jc w:val="both"/>
        <w:rPr>
          <w:rFonts w:ascii="Times New Roman" w:hAnsi="Times New Roman"/>
          <w:color w:val="000000" w:themeColor="text1"/>
          <w:sz w:val="16"/>
          <w:szCs w:val="16"/>
        </w:rPr>
      </w:pPr>
    </w:p>
    <w:p w14:paraId="147D89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был мощный налет немцев на Саутгемптон и деловой центр города был уничтожен (2536,47).</w:t>
      </w:r>
    </w:p>
    <w:p w14:paraId="2F0D840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48F8059"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November 29, 1940: British and New Zealand troops under General Freyberg occupy the Greek island of Crete in the Mediterranean (3819).</w:t>
      </w:r>
    </w:p>
    <w:p w14:paraId="003BB4D2"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0D9491A4" w14:textId="77777777" w:rsidR="006707CB" w:rsidRPr="00A3026E" w:rsidRDefault="006707CB"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29 ноября </w:t>
      </w:r>
      <w:r w:rsidRPr="00A3026E">
        <w:rPr>
          <w:rFonts w:ascii="Times New Roman" w:hAnsi="Times New Roman"/>
          <w:color w:val="000000" w:themeColor="text1"/>
          <w:sz w:val="16"/>
          <w:szCs w:val="16"/>
        </w:rPr>
        <w:t>в 1940 году Адольф Гитлер на встрече с бельгийским королем Леопольдом III заявил, что возврата к довоенной Бельгии не будет (14844).</w:t>
      </w:r>
    </w:p>
    <w:p w14:paraId="17A400A5" w14:textId="77777777" w:rsidR="006707CB" w:rsidRPr="00A3026E" w:rsidRDefault="006707CB" w:rsidP="00A3026E">
      <w:pPr>
        <w:spacing w:after="0" w:line="240" w:lineRule="auto"/>
        <w:jc w:val="both"/>
        <w:rPr>
          <w:rFonts w:ascii="Times New Roman" w:hAnsi="Times New Roman"/>
          <w:color w:val="000000" w:themeColor="text1"/>
          <w:sz w:val="16"/>
          <w:szCs w:val="16"/>
        </w:rPr>
      </w:pPr>
    </w:p>
    <w:p w14:paraId="09B987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британские и новозеландские части захватили Крит (3819).</w:t>
      </w:r>
    </w:p>
    <w:p w14:paraId="2D8C2EB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5E86278"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F16990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0F91F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был составлен Акт:</w:t>
      </w:r>
    </w:p>
    <w:p w14:paraId="00354F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Мы, нижеподписавшиеся Начальник Производства КОМОЛОВ П.Г., Начальник Планово-Производственного Отдела КАРПОВ А.С. и Нач. КБ-5 КОЧЕРИГИН С.А., составили настоящий акт в том, что приказом НКАП за № 354/с от 23/Х-39 г. в тематику завода 156 на 1939-40 г. включена работа по модификации самолета "Ш” заказ № 206, выразившаяся в проектировании и изготовления в производстве деревянных крыльев и установке мотора М-81.</w:t>
      </w:r>
    </w:p>
    <w:p w14:paraId="182AB4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деревянным крыльям уменьшенной площади, моторному оборудованию, а также в во другим группам связанные с указаной модификацией проектирование рабочих чертежей закончено, В производстве работы доведены до 90% технической готовности.</w:t>
      </w:r>
    </w:p>
    <w:p w14:paraId="396CE5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распоряжению Зам. Нар нома т. Яковлева А. С. и приказа по заводу за № 246 от 16.X.40 р. работы в производстве прекращены.</w:t>
      </w:r>
    </w:p>
    <w:p w14:paraId="21A9BD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Затраты во постройке 2-х самолетов “Ш" в модификации по заказу № 306 на 1-е ноября 1940 </w:t>
      </w:r>
      <w:r w:rsidRPr="00A3026E">
        <w:rPr>
          <w:rFonts w:ascii="Times New Roman" w:hAnsi="Times New Roman"/>
          <w:smallCaps/>
          <w:color w:val="000000" w:themeColor="text1"/>
          <w:sz w:val="16"/>
          <w:szCs w:val="16"/>
        </w:rPr>
        <w:t xml:space="preserve">р. </w:t>
      </w:r>
      <w:r w:rsidRPr="00A3026E">
        <w:rPr>
          <w:rFonts w:ascii="Times New Roman" w:hAnsi="Times New Roman"/>
          <w:color w:val="000000" w:themeColor="text1"/>
          <w:sz w:val="16"/>
          <w:szCs w:val="16"/>
        </w:rPr>
        <w:t>составили Рб. 8843468-63.</w:t>
      </w:r>
    </w:p>
    <w:p w14:paraId="07CA3C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тем числе затраты принятые от завода № 1 Рб. 5198140-69</w:t>
      </w:r>
    </w:p>
    <w:p w14:paraId="7474C2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Затраты з-да № 156 за время с марта м-ца 1939 г. по 1/Х1-40 р. Рб 3650327-84</w:t>
      </w:r>
    </w:p>
    <w:p w14:paraId="3E587A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 сданы: ,</w:t>
      </w:r>
    </w:p>
    <w:p w14:paraId="635BCF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 МАИ по акту от 28/Х-40 г.</w:t>
      </w:r>
    </w:p>
    <w:p w14:paraId="543264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 ЦАГИ во акту от 10УI-40.</w:t>
      </w:r>
    </w:p>
    <w:p w14:paraId="2C4317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Затраты в сумме Ки 8848468-53 списать как неосущеотвленные работы</w:t>
      </w:r>
    </w:p>
    <w:p w14:paraId="24D9AC5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заказы № 406; 407, 457, 327 с с17 мая 1940 оьъединены в один заказ № 206</w:t>
      </w:r>
    </w:p>
    <w:p w14:paraId="4DB651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67147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года конструкторы ЦКБ-14 Волков и Ярцев писали письмо N 048сс Сталину.</w:t>
      </w:r>
    </w:p>
    <w:p w14:paraId="22D42D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Иосиф Виссарионович!</w:t>
      </w:r>
    </w:p>
    <w:p w14:paraId="40E4F8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октября с/г. на НИП АВ закончились полигонные испытания 23 мм автоматической пушки "ТКБ-201" конструкции Волкова А.А. и Ярцева С.А.</w:t>
      </w:r>
    </w:p>
    <w:p w14:paraId="2B307E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Полигонные испытания пушка выдержала, показав:</w:t>
      </w:r>
    </w:p>
    <w:p w14:paraId="7E7EC6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безотказную работу автоматики, как на горизонтальных полетах самолета, так и на пикировании под углом в 80 градусов, выводах самолета из пике, кобрировании, на виражах, боевых разворотах и после петли;</w:t>
      </w:r>
    </w:p>
    <w:p w14:paraId="609CEE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высокий темп стрельбы (максимальный - 650 выстрелов в минуту и эксплуатационный - 600 выстрелов в минуту);</w:t>
      </w:r>
    </w:p>
    <w:p w14:paraId="7F6B0A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надежное, непрерывное питание, обеспечивающее большой запас патронов на боевой полет самолета; (300 и более).</w:t>
      </w:r>
    </w:p>
    <w:p w14:paraId="4891A4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удобство эксплуатации;</w:t>
      </w:r>
    </w:p>
    <w:p w14:paraId="166ABB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большую живучесть деталей;</w:t>
      </w:r>
    </w:p>
    <w:p w14:paraId="17AE0E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простоту конструкции и</w:t>
      </w:r>
    </w:p>
    <w:p w14:paraId="0B75B2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7)возможность быстрого освоения в производстве.</w:t>
      </w:r>
    </w:p>
    <w:p w14:paraId="3D5C25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дальнейшие работы и решение по пушке "ТКБ-201" затормозились, т.к. в пункте 2-м заключения по полигонным испытаниям сказано:</w:t>
      </w:r>
    </w:p>
    <w:p w14:paraId="1321F4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Ввиду того, что одновременно с пушкой "ТКБ-201" проходит полигонные испытания 23 мм пушка Таубина-Бабурина, которая не уступая по баллистическим качествам и эффективности снаряда у цели пушке "ТКБ-201", имеет ряд преимуществ, а именно: меньше на 23 кг вес, меньше габариты, отсутствуют звенья, НИП АВ считает целесообразным вопрос о допуске пушки "ТКБ-201" конструкции Волкова-Ярцева на войсковые испытания решить после окончания воздушных испытаний 23 мм пушки Таубина-Бабурина.</w:t>
      </w:r>
    </w:p>
    <w:p w14:paraId="189D39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Относясь критически к пункту 2-му заключения, мы считаем необходимым отметить, что помимо несущественных и даже, вообще, несуществующих преимуществ, отмеченных в этом пункте, пушка Таубина-Бабурина имеет большие недостатки, а именно:</w:t>
      </w:r>
    </w:p>
    <w:p w14:paraId="62C2DA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АВ считает преимуществом отсутствие звена на пушке Таубина-Бабурина. Это преимущество было бы действительным, если бы удалось разрешить проблему обеспечения пушки необходимым запасом патронов (в 200-300 шт.) и добиться безотказности работы автоматики пушки при данном запасе патронов и темпе стрельбы в 600 выстрелов в минуту. Но эта важнейшая проблема для беззвеньевого питания - обеспечение оружия необходимым запасом патронов, не разрешена на пушке Таубина-Бабурина и не может быть разрешена в той схеме, которая ими разработана. Таубин-Бабурин отрабатывают автоматику своей пушки с расчетом на запас патронов в 81 шт. При заданном темпе стрельбы в 600 выстрелов в минуту этого количества патронов явно недостаточно для ведения боя. Если на пулемет "Шкас", имеющий темп стрельбы 1600-1800 выстрелов в минуту, берется от 500 до 800 шт. патронов, то для пушки с темпом стрельбы в 600 выстрелов в минуту запас патронов будет (пропорционально уменьшен) в 180-280 шт. На немецкий авиапулемет МС-17, имеющий темп стрельбы 1100-1200 выстрелов в минуту, берется 500 шт. патронов. Пропорциональный запас патронов на пушку будет 250 штук.</w:t>
      </w:r>
    </w:p>
    <w:p w14:paraId="6844AE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Примерно такая - же пропорциональность получается при сопоставлении запаса патронов и на других иностранных пулеметах.</w:t>
      </w:r>
    </w:p>
    <w:p w14:paraId="2DD9BF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Помимо этой простой, пропорциональной темпу зависимости в определении запаса патронов для пушки, следует также учесть, что стрельбу из пушки, как из более эффективного оружия на дальних дистанциях, начинают раньше, чем стрельбу из пулеметов.</w:t>
      </w:r>
    </w:p>
    <w:p w14:paraId="158AAC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вышеизложенного совершенно очевидно, что пушечный истребитель, вооруженный пушкой Таубина-Бабурина с запасом в 81 патрон, значительно раньше израсходует свой запас и останется безоружным против истребителя, вооруженного пулеметами.</w:t>
      </w:r>
    </w:p>
    <w:p w14:paraId="04122B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Пушка "ТКБ-201" конструкции Волкова-Ярцева, имея непрерывное питание и безотказную работу автоматики обеспечивает запас патронов в 300 шт., как это имеет место на самолете Микояна, макет которого был предъявлен в октябре с.г.</w:t>
      </w:r>
    </w:p>
    <w:p w14:paraId="482BE5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Также следует отметить, что габариты более удобные для установок на самолетах имеет пушка "ТКБ-201", запас патронов для которой может быть отнесен в свободное на самолете место на расстояние от пушки до 1-1,5 метров, с подводом питания к пушке через рукав, удобно размещающийся в любой части самолета. На пушке Таубина-Бабурина этого сделать нельзя, т.к. весь запас патронов находится в приемнике, укрепленном непосредственно к пушке.</w:t>
      </w:r>
    </w:p>
    <w:p w14:paraId="5709DD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отношении меньшего на 23 кг веса пушки Таубина-Бабурина следует внести уточнение. В отчете приведен вес пушки Таубина-Бабурина без приемника и без механизма пневмоперезарядки. Действительный вес ее с приемником - 56 кг.</w:t>
      </w:r>
    </w:p>
    <w:p w14:paraId="308709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пушки "ТКБ-201" конструкции Волкова-Ярцева - 62,8 кг (с приемником и механизмом пневмоперезарядки). Таким образом пушка "ТКБ-201" тяжелее пушки Таубина-Бабурина всего на 6,8 кг, что никак не может являться ее существенным недостатком. Это, очевидно также потому, что по тактико-техническим требованиям ГУ ВВС для 37 мм автоматической пушки, предназначенной для установок в тех же точках и самолетах, что и пушки 23 мм, допускается вес до 160 кг.</w:t>
      </w:r>
    </w:p>
    <w:p w14:paraId="478DFC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сих пор мы не имели возможности проделать работы по облегчению пушки, т.к. изготовленные три пушки "ТКБ-201" проходили испытания, где никаких экспериментальных работ не допускалось. Однако вес пушки не является предельным. Он может быть уменьшен до 50-52 кг.</w:t>
      </w:r>
    </w:p>
    <w:p w14:paraId="2D195D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отзывы о нашей пушке работников авиационных заводов и непосредственных испытателей ее на полигоне, мы спокойно дожидались окончания полигонных испытаний пушки Таубина-Бабурина, уверенные в том, что правительственная комиссия при выборе пушки будет подробно останавливаться на результатах испытаний и данных пушек "ТКБ-201" и Таубина-Бабурина. Однако, 19/IX-1940 г. нарком вооружения Ванников поставил нас в известность, что пушка Таубина-Бабурина принята на вооружение. Это сообщение Ванникова привело нас в недоумение, т.к. за день до этого работники Техсовета НКВ сообщали, что полигонные испытания пушки Таубина-Бабурина находятся в начальной стадии и результаты их далеко неудовлетворительны. Пушка Таубина-Бабурина не проверена до сих пор на живучесть (по Т.Т.Т. - 8000 - 10000 выстрелов) и на работу автоматики при этой необходимой живучести.</w:t>
      </w:r>
    </w:p>
    <w:p w14:paraId="41210B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пушка Таубина-Бабурина не является отработанным боевым оружием, несмотря на то, что им изготовлено более 10 шт. пушек. И, вообще, едва - ли можно уверенно сказать, что она будет без конструктивных изменений доработана.</w:t>
      </w:r>
    </w:p>
    <w:p w14:paraId="2BC94B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Наша пушка, в результате трех изготовленных образцов, прошедших полные полигонные испытания, является законченным боевым образцом автоматического оружия, пригодным без всяких конструктивных изменений для запуска в производство.</w:t>
      </w:r>
    </w:p>
    <w:p w14:paraId="645036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Сознавая всю ответственность за вооружение авиации 23 мм пушкой, мы просим Вас о создании высокоавторитетной комиссии для беспристрастной оценки данных и результатов полных полигонных испытаний пушек "ТКБ-201" и Таубина-Бабурина, с привлечением в комиссию представителей армии и работников авиационной промышленности (1248,117).</w:t>
      </w:r>
    </w:p>
    <w:p w14:paraId="7440950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CA2BC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г. Комиссия по результатам своей работы на заводе № 301 составила протокол из 114 пунктов, которым предписывалось заводам № 115, 301 и 292 устранить дефекты на серийных истребителях Як-1 в кратчайшие сроки. Протокол был утвержден наркомом авиапромышленности Шахуриным и начальником ГУ ВВС КА генерал-лейтенан- том Рычаговым 18 декабря 1940 г.</w:t>
      </w:r>
    </w:p>
    <w:p w14:paraId="3A1754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на заводе № 301 работала смешанная комиссия НКАП и ГУ ВВС КА под руководством начальника 6-го управления ГУ ВВС КА бригинженера Лапина. В состав комиссии входили: начальник производственного отдела ПГУ НКАП Тихомиров, заместитель главного конструктора завода № 115 Вигант, директор завода № 301 Эскин, помощник ведущего инженера НИИ ВВС КА по самолету И-26 военинженер 2-го ранга Степанец, летчик-испытатель подполковник Стефановский, ведущий инженер по войсковым испытаниям И-26 военинженер 2-го ранга Чернавский.</w:t>
      </w:r>
    </w:p>
    <w:p w14:paraId="2C0E43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1940 г. завод № 301 выпустил 48 самолетов, из которых военной приемкой было принято 36, а отправлено с завода всего 12 (11 на войсковые испытания в 11-й иап 24-й ад Московского военного округа (МВО) и один вНИИ ВВС). Из-за многочисленных переделок и доработок во втором и третьем кварталах не было выпущено ни одного самолета. Наверстать упущенное в четвертом квартале завод не смог, так как из- за недопоставок агрегатов цех окончательной сборки был забит не сданными самолетами и не было места для сборки очередных машин (12048).</w:t>
      </w:r>
    </w:p>
    <w:p w14:paraId="3A2EE35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D4AB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г. начальник 1 отдела 8 управления ГУ ВВС военинженер 1 ранга Матаев писал письмо N 556396с начальнику ГУ ВВС бригинженеру Лапину.</w:t>
      </w:r>
    </w:p>
    <w:p w14:paraId="00D04C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 по вооружению самолета И-26</w:t>
      </w:r>
    </w:p>
    <w:p w14:paraId="5218EF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Стрелково-пушечное вооружение</w:t>
      </w:r>
    </w:p>
    <w:p w14:paraId="21AE4C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Стрелково-пушечное вооружение состоит из одной 20 мм пушки ШВАК, стреляющей через втулку винта мотора с боезапасом 140 шт. патронов и 2-х синхронных пулеметов ШКАС с запасом по 700 шт. патронов на каждый.</w:t>
      </w:r>
    </w:p>
    <w:p w14:paraId="36A7B1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Синхронные пулеметы ШКАС установлены вверху, имеют удобные подходы и удовлетворительные условия для эксплуатации. Несколько усложняют эксплуатацию составные (состоящие из 2-х частей) патронные ящики.</w:t>
      </w:r>
    </w:p>
    <w:p w14:paraId="5A6309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Пушка ШВАК установлена на моторе. Доступ к пушке сильно затруднен. Затруднена также съемка и постановка пушки на место. Однако этот недостаток является общим для моторных установок пушек.</w:t>
      </w:r>
    </w:p>
    <w:p w14:paraId="2462EE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Бомбовое вооружение</w:t>
      </w:r>
    </w:p>
    <w:p w14:paraId="026048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Отсутствует. Необходимо потребовать установки 2-х бомбодержателей для подвески 2-х ФАБ-100.</w:t>
      </w:r>
    </w:p>
    <w:p w14:paraId="42C166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Отсутствует установка фотокинопулемета (3353,162-163</w:t>
      </w:r>
    </w:p>
    <w:p w14:paraId="107397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вышел приказ N 680с в исполнение постановления Правительства от 10 ноября 1940 "Об организации опытно-производственной базы "десантно-транспортных объектов" и вновь организованному заводу в Бескудниково присвоили номер 468 (1316,9).</w:t>
      </w:r>
    </w:p>
    <w:p w14:paraId="3D811CE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3E83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вышел приказ НКАП N 540/к которым В.П.Горбунова назначили ГК завода 463 (это в Таллинне) (862,158).</w:t>
      </w:r>
    </w:p>
    <w:p w14:paraId="0257721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FC18E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Фирсаев подготовил докладную справку для А.И.Ш. о том, что в октябре 1940 Зам. НКАП П.А.Воронин сообщил УВВС, что ТТТ, полученные от НИИ ВВС на установку антиобледенителей, обогрева экипажа ми источника питания для аварийной радиостанции на ТБ-7 м.б. выполнены только со 2 полугодия 1941 в связи с отсутствие м материалов для проектирования установок и необходимостью создания опытных образцов. Рычагов же считает, что изготовления опытных образцов излишне, т.к. установки серийно освоены для ТБ-7 и ДБ-3...(1295,317).</w:t>
      </w:r>
    </w:p>
    <w:p w14:paraId="6F8AD83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C95994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ноября/25 декабря 1940 года вышел приказ НИИ ВВС № 0284</w:t>
      </w:r>
    </w:p>
    <w:p w14:paraId="52256CB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проведении гос. испытаний самолета ПВ-СБ-2М-105 (6890, 199).</w:t>
      </w:r>
    </w:p>
    <w:p w14:paraId="00C980D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D60FE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начались заводские испытания КОР-2-2 М-63 (2090,234).</w:t>
      </w:r>
    </w:p>
    <w:p w14:paraId="1D0287D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52223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л-и И.М. Сухомлин поднял дублер КОР-2 в воздух (10685).</w:t>
      </w:r>
    </w:p>
    <w:p w14:paraId="09B7565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977ED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Г.М.Б. в письме Нач. авиации ВМФ А.Жаворонкову предложил эскизный проект Морского дальнего разведчика-торпедоносца (МДРТ) с 2М-107 (2555,215).</w:t>
      </w:r>
    </w:p>
    <w:p w14:paraId="68DA1DF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2BC7F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года на основании постановления СНК СССР о созда</w:t>
      </w:r>
      <w:r w:rsidRPr="00A3026E">
        <w:rPr>
          <w:rFonts w:ascii="Times New Roman" w:hAnsi="Times New Roman"/>
          <w:color w:val="000000" w:themeColor="text1"/>
          <w:sz w:val="16"/>
          <w:szCs w:val="16"/>
        </w:rPr>
        <w:softHyphen/>
        <w:t>нии опытно-конструкторской базы для десантно-транспортных объектов от 10 октября 1940 г. появляется при</w:t>
      </w:r>
      <w:r w:rsidRPr="00A3026E">
        <w:rPr>
          <w:rFonts w:ascii="Times New Roman" w:hAnsi="Times New Roman"/>
          <w:color w:val="000000" w:themeColor="text1"/>
          <w:sz w:val="16"/>
          <w:szCs w:val="16"/>
        </w:rPr>
        <w:softHyphen/>
        <w:t>каз наркома авиационной промыш</w:t>
      </w:r>
      <w:r w:rsidRPr="00A3026E">
        <w:rPr>
          <w:rFonts w:ascii="Times New Roman" w:hAnsi="Times New Roman"/>
          <w:color w:val="000000" w:themeColor="text1"/>
          <w:sz w:val="16"/>
          <w:szCs w:val="16"/>
        </w:rPr>
        <w:softHyphen/>
        <w:t>ленности №680 об организации опыт</w:t>
      </w:r>
      <w:r w:rsidRPr="00A3026E">
        <w:rPr>
          <w:rFonts w:ascii="Times New Roman" w:hAnsi="Times New Roman"/>
          <w:color w:val="000000" w:themeColor="text1"/>
          <w:sz w:val="16"/>
          <w:szCs w:val="16"/>
        </w:rPr>
        <w:softHyphen/>
        <w:t>ного завода 1-й категории №468 (пол</w:t>
      </w:r>
      <w:r w:rsidRPr="00A3026E">
        <w:rPr>
          <w:rFonts w:ascii="Times New Roman" w:hAnsi="Times New Roman"/>
          <w:color w:val="000000" w:themeColor="text1"/>
          <w:sz w:val="16"/>
          <w:szCs w:val="16"/>
        </w:rPr>
        <w:softHyphen/>
        <w:t>ное наименование - Государственный союзный завод №468 НКАП, с 1966 г. -«Агрегатный завод «Универсал»). Глав</w:t>
      </w:r>
      <w:r w:rsidRPr="00A3026E">
        <w:rPr>
          <w:rFonts w:ascii="Times New Roman" w:hAnsi="Times New Roman"/>
          <w:color w:val="000000" w:themeColor="text1"/>
          <w:sz w:val="16"/>
          <w:szCs w:val="16"/>
        </w:rPr>
        <w:softHyphen/>
        <w:t>ным конструктором и директором за</w:t>
      </w:r>
      <w:r w:rsidRPr="00A3026E">
        <w:rPr>
          <w:rFonts w:ascii="Times New Roman" w:hAnsi="Times New Roman"/>
          <w:color w:val="000000" w:themeColor="text1"/>
          <w:sz w:val="16"/>
          <w:szCs w:val="16"/>
        </w:rPr>
        <w:softHyphen/>
        <w:t>вода стал Алексей Иванович Привалов.</w:t>
      </w:r>
    </w:p>
    <w:p w14:paraId="646F35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подчинялся 7-му Главному управлению Наркомата авиационной промышленности, а в качестве произ</w:t>
      </w:r>
      <w:r w:rsidRPr="00A3026E">
        <w:rPr>
          <w:rFonts w:ascii="Times New Roman" w:hAnsi="Times New Roman"/>
          <w:color w:val="000000" w:themeColor="text1"/>
          <w:sz w:val="16"/>
          <w:szCs w:val="16"/>
        </w:rPr>
        <w:softHyphen/>
        <w:t>водственной базы получил недостро</w:t>
      </w:r>
      <w:r w:rsidRPr="00A3026E">
        <w:rPr>
          <w:rFonts w:ascii="Times New Roman" w:hAnsi="Times New Roman"/>
          <w:color w:val="000000" w:themeColor="text1"/>
          <w:sz w:val="16"/>
          <w:szCs w:val="16"/>
        </w:rPr>
        <w:softHyphen/>
        <w:t>енную фабрику им. Воровского по об</w:t>
      </w:r>
      <w:r w:rsidRPr="00A3026E">
        <w:rPr>
          <w:rFonts w:ascii="Times New Roman" w:hAnsi="Times New Roman"/>
          <w:color w:val="000000" w:themeColor="text1"/>
          <w:sz w:val="16"/>
          <w:szCs w:val="16"/>
        </w:rPr>
        <w:softHyphen/>
        <w:t>работке стройматериалов на окраине поселка Бескудниково под Москвой. До приведения этой территории в пригодное для работы состояние кон</w:t>
      </w:r>
      <w:r w:rsidRPr="00A3026E">
        <w:rPr>
          <w:rFonts w:ascii="Times New Roman" w:hAnsi="Times New Roman"/>
          <w:color w:val="000000" w:themeColor="text1"/>
          <w:sz w:val="16"/>
          <w:szCs w:val="16"/>
        </w:rPr>
        <w:softHyphen/>
        <w:t>структорская группа до мая 1941 г. ба</w:t>
      </w:r>
      <w:r w:rsidRPr="00A3026E">
        <w:rPr>
          <w:rFonts w:ascii="Times New Roman" w:hAnsi="Times New Roman"/>
          <w:color w:val="000000" w:themeColor="text1"/>
          <w:sz w:val="16"/>
          <w:szCs w:val="16"/>
        </w:rPr>
        <w:softHyphen/>
        <w:t>зировалась на заводе №84 в Химках. Интересно, что на этом заводе выпус</w:t>
      </w:r>
      <w:r w:rsidRPr="00A3026E">
        <w:rPr>
          <w:rFonts w:ascii="Times New Roman" w:hAnsi="Times New Roman"/>
          <w:color w:val="000000" w:themeColor="text1"/>
          <w:sz w:val="16"/>
          <w:szCs w:val="16"/>
        </w:rPr>
        <w:softHyphen/>
        <w:t>кался пассажирский самолет ПС-84 (лицензионная версия американско</w:t>
      </w:r>
      <w:r w:rsidRPr="00A3026E">
        <w:rPr>
          <w:rFonts w:ascii="Times New Roman" w:hAnsi="Times New Roman"/>
          <w:color w:val="000000" w:themeColor="text1"/>
          <w:sz w:val="16"/>
          <w:szCs w:val="16"/>
        </w:rPr>
        <w:softHyphen/>
        <w:t>го ОС-3), впоследствии известный как Ли-2, и именно специалисты завода №468 стали заниматься его примене</w:t>
      </w:r>
      <w:r w:rsidRPr="00A3026E">
        <w:rPr>
          <w:rFonts w:ascii="Times New Roman" w:hAnsi="Times New Roman"/>
          <w:color w:val="000000" w:themeColor="text1"/>
          <w:sz w:val="16"/>
          <w:szCs w:val="16"/>
        </w:rPr>
        <w:softHyphen/>
        <w:t>нием для проведения воздушно-де</w:t>
      </w:r>
      <w:r w:rsidRPr="00A3026E">
        <w:rPr>
          <w:rFonts w:ascii="Times New Roman" w:hAnsi="Times New Roman"/>
          <w:color w:val="000000" w:themeColor="text1"/>
          <w:sz w:val="16"/>
          <w:szCs w:val="16"/>
        </w:rPr>
        <w:softHyphen/>
        <w:t>сантных операций.</w:t>
      </w:r>
    </w:p>
    <w:p w14:paraId="1973C9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ограниченные произ</w:t>
      </w:r>
      <w:r w:rsidRPr="00A3026E">
        <w:rPr>
          <w:rFonts w:ascii="Times New Roman" w:hAnsi="Times New Roman"/>
          <w:color w:val="000000" w:themeColor="text1"/>
          <w:sz w:val="16"/>
          <w:szCs w:val="16"/>
        </w:rPr>
        <w:softHyphen/>
        <w:t>водственные возможности, конструк</w:t>
      </w:r>
      <w:r w:rsidRPr="00A3026E">
        <w:rPr>
          <w:rFonts w:ascii="Times New Roman" w:hAnsi="Times New Roman"/>
          <w:color w:val="000000" w:themeColor="text1"/>
          <w:sz w:val="16"/>
          <w:szCs w:val="16"/>
        </w:rPr>
        <w:softHyphen/>
        <w:t>торы завода №468 продолжили опыт</w:t>
      </w:r>
      <w:r w:rsidRPr="00A3026E">
        <w:rPr>
          <w:rFonts w:ascii="Times New Roman" w:hAnsi="Times New Roman"/>
          <w:color w:val="000000" w:themeColor="text1"/>
          <w:sz w:val="16"/>
          <w:szCs w:val="16"/>
        </w:rPr>
        <w:softHyphen/>
        <w:t>но-конструкторские работы. В апреле 1941 г. в НИИ ВВС завершились испытания доработанных подвесок и плат</w:t>
      </w:r>
      <w:r w:rsidRPr="00A3026E">
        <w:rPr>
          <w:rFonts w:ascii="Times New Roman" w:hAnsi="Times New Roman"/>
          <w:color w:val="000000" w:themeColor="text1"/>
          <w:sz w:val="16"/>
          <w:szCs w:val="16"/>
        </w:rPr>
        <w:softHyphen/>
        <w:t>форм для транспортировки и пара</w:t>
      </w:r>
      <w:r w:rsidRPr="00A3026E">
        <w:rPr>
          <w:rFonts w:ascii="Times New Roman" w:hAnsi="Times New Roman"/>
          <w:color w:val="000000" w:themeColor="text1"/>
          <w:sz w:val="16"/>
          <w:szCs w:val="16"/>
        </w:rPr>
        <w:softHyphen/>
        <w:t>шютного сброса 45-мм противотанко</w:t>
      </w:r>
      <w:r w:rsidRPr="00A3026E">
        <w:rPr>
          <w:rFonts w:ascii="Times New Roman" w:hAnsi="Times New Roman"/>
          <w:color w:val="000000" w:themeColor="text1"/>
          <w:sz w:val="16"/>
          <w:szCs w:val="16"/>
        </w:rPr>
        <w:softHyphen/>
        <w:t>вой (подвеска Д-16) и 76-мм полковой пушек, мотоциклов с коляской (под</w:t>
      </w:r>
      <w:r w:rsidRPr="00A3026E">
        <w:rPr>
          <w:rFonts w:ascii="Times New Roman" w:hAnsi="Times New Roman"/>
          <w:color w:val="000000" w:themeColor="text1"/>
          <w:sz w:val="16"/>
          <w:szCs w:val="16"/>
        </w:rPr>
        <w:softHyphen/>
        <w:t>веска Д-11) и других грузов. Была су</w:t>
      </w:r>
      <w:r w:rsidRPr="00A3026E">
        <w:rPr>
          <w:rFonts w:ascii="Times New Roman" w:hAnsi="Times New Roman"/>
          <w:color w:val="000000" w:themeColor="text1"/>
          <w:sz w:val="16"/>
          <w:szCs w:val="16"/>
        </w:rPr>
        <w:softHyphen/>
        <w:t>щественно усовершенствована уни</w:t>
      </w:r>
      <w:r w:rsidRPr="00A3026E">
        <w:rPr>
          <w:rFonts w:ascii="Times New Roman" w:hAnsi="Times New Roman"/>
          <w:color w:val="000000" w:themeColor="text1"/>
          <w:sz w:val="16"/>
          <w:szCs w:val="16"/>
        </w:rPr>
        <w:softHyphen/>
        <w:t>версальная стержневая подвеска ПГ-12 Гроховского.</w:t>
      </w:r>
    </w:p>
    <w:p w14:paraId="09FEFF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Новая подвеска ДПТ-2, созданная под руководством А.И. Привалова, также крепилась на бомбовые замки ТБ-3-4М-34Р и ТБ-3-4М-34РН и слу</w:t>
      </w:r>
      <w:r w:rsidRPr="00A3026E">
        <w:rPr>
          <w:rFonts w:ascii="Times New Roman" w:hAnsi="Times New Roman"/>
          <w:color w:val="000000" w:themeColor="text1"/>
          <w:sz w:val="16"/>
          <w:szCs w:val="16"/>
        </w:rPr>
        <w:softHyphen/>
        <w:t>жила для переброски крупногабарит</w:t>
      </w:r>
      <w:r w:rsidRPr="00A3026E">
        <w:rPr>
          <w:rFonts w:ascii="Times New Roman" w:hAnsi="Times New Roman"/>
          <w:color w:val="000000" w:themeColor="text1"/>
          <w:sz w:val="16"/>
          <w:szCs w:val="16"/>
        </w:rPr>
        <w:softHyphen/>
        <w:t>ных грузов: автомобилей ГАЗ-А с ра</w:t>
      </w:r>
      <w:r w:rsidRPr="00A3026E">
        <w:rPr>
          <w:rFonts w:ascii="Times New Roman" w:hAnsi="Times New Roman"/>
          <w:color w:val="000000" w:themeColor="text1"/>
          <w:sz w:val="16"/>
          <w:szCs w:val="16"/>
        </w:rPr>
        <w:softHyphen/>
        <w:t>цией 5-АК, ГАЗ-АА с установленной на нем 76-мм полковой или 45-мм пуш</w:t>
      </w:r>
      <w:r w:rsidRPr="00A3026E">
        <w:rPr>
          <w:rFonts w:ascii="Times New Roman" w:hAnsi="Times New Roman"/>
          <w:color w:val="000000" w:themeColor="text1"/>
          <w:sz w:val="16"/>
          <w:szCs w:val="16"/>
        </w:rPr>
        <w:softHyphen/>
        <w:t>кой, М-1 и М-1 «Пикап», бронеавто</w:t>
      </w:r>
      <w:r w:rsidRPr="00A3026E">
        <w:rPr>
          <w:rFonts w:ascii="Times New Roman" w:hAnsi="Times New Roman"/>
          <w:color w:val="000000" w:themeColor="text1"/>
          <w:sz w:val="16"/>
          <w:szCs w:val="16"/>
        </w:rPr>
        <w:softHyphen/>
        <w:t>мобиля БА-20 или ФАЙ, плавающего танка Т-38, грузовой платформы ГП-1 (на груз до 3,5 т). От ПГ-12 подвеска ДПТ-2 отличалась крепежными узла</w:t>
      </w:r>
      <w:r w:rsidRPr="00A3026E">
        <w:rPr>
          <w:rFonts w:ascii="Times New Roman" w:hAnsi="Times New Roman"/>
          <w:color w:val="000000" w:themeColor="text1"/>
          <w:sz w:val="16"/>
          <w:szCs w:val="16"/>
        </w:rPr>
        <w:softHyphen/>
        <w:t>ми и устройством стержней, она ста</w:t>
      </w:r>
      <w:r w:rsidRPr="00A3026E">
        <w:rPr>
          <w:rFonts w:ascii="Times New Roman" w:hAnsi="Times New Roman"/>
          <w:color w:val="000000" w:themeColor="text1"/>
          <w:sz w:val="16"/>
          <w:szCs w:val="16"/>
        </w:rPr>
        <w:softHyphen/>
        <w:t>ла надежнее и безопаснее в полото. Замена в креплении стержней «ушка » на шаровой кронштейн придала до</w:t>
      </w:r>
      <w:r w:rsidRPr="00A3026E">
        <w:rPr>
          <w:rFonts w:ascii="Times New Roman" w:hAnsi="Times New Roman"/>
          <w:color w:val="000000" w:themeColor="text1"/>
          <w:sz w:val="16"/>
          <w:szCs w:val="16"/>
        </w:rPr>
        <w:softHyphen/>
        <w:t>полнительную степень свободы, сни</w:t>
      </w:r>
      <w:r w:rsidRPr="00A3026E">
        <w:rPr>
          <w:rFonts w:ascii="Times New Roman" w:hAnsi="Times New Roman"/>
          <w:color w:val="000000" w:themeColor="text1"/>
          <w:sz w:val="16"/>
          <w:szCs w:val="16"/>
        </w:rPr>
        <w:softHyphen/>
        <w:t>зила риск поломки при боковом из] 'и -бе, уменьшила нагрузки, передавае</w:t>
      </w:r>
      <w:r w:rsidRPr="00A3026E">
        <w:rPr>
          <w:rFonts w:ascii="Times New Roman" w:hAnsi="Times New Roman"/>
          <w:color w:val="000000" w:themeColor="text1"/>
          <w:sz w:val="16"/>
          <w:szCs w:val="16"/>
        </w:rPr>
        <w:softHyphen/>
        <w:t>мые на фюзеляж. Для присоединения стержней подвески на перебрасыва</w:t>
      </w:r>
      <w:r w:rsidRPr="00A3026E">
        <w:rPr>
          <w:rFonts w:ascii="Times New Roman" w:hAnsi="Times New Roman"/>
          <w:color w:val="000000" w:themeColor="text1"/>
          <w:sz w:val="16"/>
          <w:szCs w:val="16"/>
        </w:rPr>
        <w:softHyphen/>
        <w:t>емый объект нужно было специально крепить шаровые кронштейны. Уни</w:t>
      </w:r>
      <w:r w:rsidRPr="00A3026E">
        <w:rPr>
          <w:rFonts w:ascii="Times New Roman" w:hAnsi="Times New Roman"/>
          <w:color w:val="000000" w:themeColor="text1"/>
          <w:sz w:val="16"/>
          <w:szCs w:val="16"/>
        </w:rPr>
        <w:softHyphen/>
        <w:t>версальные подвески оставались на вооружении ВДВ РККА до начала вой</w:t>
      </w:r>
      <w:r w:rsidRPr="00A3026E">
        <w:rPr>
          <w:rFonts w:ascii="Times New Roman" w:hAnsi="Times New Roman"/>
          <w:color w:val="000000" w:themeColor="text1"/>
          <w:sz w:val="16"/>
          <w:szCs w:val="16"/>
        </w:rPr>
        <w:softHyphen/>
        <w:t>ны - последние наставления по ним из</w:t>
      </w:r>
      <w:r w:rsidRPr="00A3026E">
        <w:rPr>
          <w:rFonts w:ascii="Times New Roman" w:hAnsi="Times New Roman"/>
          <w:color w:val="000000" w:themeColor="text1"/>
          <w:sz w:val="16"/>
          <w:szCs w:val="16"/>
        </w:rPr>
        <w:softHyphen/>
        <w:t>дали в 1941 г. (11752)</w:t>
      </w:r>
    </w:p>
    <w:p w14:paraId="169F41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68EA4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года Решением Политбюро ЦК ВКП(б) № П 23 / 99 – ОП «О тыловой авиации» был утвержден соответствующий проект постановления СНК, согласно которому утверждался штатный состав тыловой авиации к концу 1941 года. Только в составе военно-учебных заведений ВВС КА предполагалось иметь 464 учебных самолета У-2 (Гугля Ю. Сага о небесном тихоходе. Глава I // Авиация и время. 2002. № 5. С. 8-11.).</w:t>
      </w:r>
    </w:p>
    <w:p w14:paraId="593E1F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Накануне Великой Отечественной войны У-2 был самым массовым самолетом гражданской авиации. К 22 июня 1941 года их количество разных модификаций в ГУГВФ выросло до 2234 (РГАЭ. Ф. 9527. Оп. 1. Д. 1724. Л. 20/2.). В военной авиации их также имелось значительное число, которое постоянно росло. По состоянию на 1 мая 1940 года в РККА насчитывалось 2977 У-2 (санитарных, учебно-тренировочных и связи), а на 1 января 1941 года в составе тыловой авиации насчитывалось уже 3363 этих самолетов (Командный и начальствующий состав Красной армии в 1940 – 1941 гг.: Структура и кадры центрального аппарата НКО СССР, военных округов и общевойсковых армий. Документы и материалы. М.; СПб, 2005. С. 240, 242; 1941 год. Документы: В 2-х кн. / Под ред. Наумова В.П. Кн. 2. Апрель – декабрь 1941 года / Сост. Решин Л.Е. и др. М.,1998. С. 621.).</w:t>
      </w:r>
    </w:p>
    <w:p w14:paraId="3F503A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Только в 1930 – 1939 годах построили свыше 10 тысяч У-2, не считая его специализированных модификаций (РГАЭ. Ф. 8044. Оп.1. Д. 2808. Л. 7 об. – 8.). Во второй половине 1930-х годов У-2 был дополнен учебно-тренировочными монопланами УТ-2 и УТ-1 конструкции А.С. Яковлева с тем же двигателем М-11, которые выпускались на заводе № 47 (Там же. Л. 13 об.) (11672).</w:t>
      </w:r>
    </w:p>
    <w:p w14:paraId="03F1955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5FA7B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года. Начальник Штаба ВВС генерал-майор Никишев и начальник 5 отдела Штаба ВВС генерал-майор интендантской службы Афанасьев.</w:t>
      </w:r>
    </w:p>
    <w:p w14:paraId="555A07C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Ориентировочная потребность сухих красок (по цветным эталонам) и казеинового закрепителя для временного деформирующего окрашивания самолетов, находящихся в частях ВВС на 1 января 1941 года.</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723"/>
        <w:gridCol w:w="2701"/>
      </w:tblGrid>
      <w:tr w:rsidR="00983732" w:rsidRPr="00A3026E" w14:paraId="768940A7" w14:textId="77777777" w:rsidTr="00EA0DA7">
        <w:tc>
          <w:tcPr>
            <w:tcW w:w="5723" w:type="dxa"/>
          </w:tcPr>
          <w:p w14:paraId="79E8407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Общее количество сухих красок в тоннах</w:t>
            </w:r>
          </w:p>
        </w:tc>
        <w:tc>
          <w:tcPr>
            <w:tcW w:w="2701" w:type="dxa"/>
          </w:tcPr>
          <w:p w14:paraId="5DFE0E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r>
      <w:tr w:rsidR="00983732" w:rsidRPr="00A3026E" w14:paraId="193184AD" w14:textId="77777777" w:rsidTr="00EA0DA7">
        <w:tc>
          <w:tcPr>
            <w:tcW w:w="5723" w:type="dxa"/>
          </w:tcPr>
          <w:p w14:paraId="0A82438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них по цветным эталонам в тоннах:</w:t>
            </w:r>
          </w:p>
          <w:p w14:paraId="426450A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Эталон № 1</w:t>
            </w:r>
          </w:p>
          <w:p w14:paraId="1D76F7A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Эталон № 2</w:t>
            </w:r>
          </w:p>
          <w:p w14:paraId="7806909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Эталон № 3</w:t>
            </w:r>
          </w:p>
          <w:p w14:paraId="2EE6A88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Эталон № 5</w:t>
            </w:r>
          </w:p>
          <w:p w14:paraId="61DD416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Эталон № 6</w:t>
            </w:r>
          </w:p>
        </w:tc>
        <w:tc>
          <w:tcPr>
            <w:tcW w:w="2701" w:type="dxa"/>
          </w:tcPr>
          <w:p w14:paraId="0022E2E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566E97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35,6</w:t>
            </w:r>
          </w:p>
          <w:p w14:paraId="6817739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p w14:paraId="66BB402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19,6</w:t>
            </w:r>
          </w:p>
          <w:p w14:paraId="3898E4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p w14:paraId="5C7540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w:t>
            </w:r>
          </w:p>
        </w:tc>
      </w:tr>
      <w:tr w:rsidR="00983732" w:rsidRPr="00A3026E" w14:paraId="42231F2A" w14:textId="77777777" w:rsidTr="00EA0DA7">
        <w:tc>
          <w:tcPr>
            <w:tcW w:w="5723" w:type="dxa"/>
          </w:tcPr>
          <w:p w14:paraId="1BBB902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Общее количество закрепителя в тоннах</w:t>
            </w:r>
          </w:p>
        </w:tc>
        <w:tc>
          <w:tcPr>
            <w:tcW w:w="2701" w:type="dxa"/>
          </w:tcPr>
          <w:p w14:paraId="05950D1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w:t>
            </w:r>
          </w:p>
        </w:tc>
      </w:tr>
      <w:tr w:rsidR="00983732" w:rsidRPr="00A3026E" w14:paraId="59834E94" w14:textId="77777777" w:rsidTr="00EA0DA7">
        <w:tc>
          <w:tcPr>
            <w:tcW w:w="5723" w:type="dxa"/>
          </w:tcPr>
          <w:p w14:paraId="586F6DD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p w14:paraId="45D6AEC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Казеина</w:t>
            </w:r>
          </w:p>
          <w:p w14:paraId="57FC971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Буры</w:t>
            </w:r>
          </w:p>
        </w:tc>
        <w:tc>
          <w:tcPr>
            <w:tcW w:w="2701" w:type="dxa"/>
          </w:tcPr>
          <w:p w14:paraId="103CEBB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C2B218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p w14:paraId="6DB1CFF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r>
    </w:tbl>
    <w:p w14:paraId="1D6A71B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(4190, 17).</w:t>
      </w:r>
    </w:p>
    <w:p w14:paraId="1798325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4CF55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года вышел приказ НКАП за № 680 во исполнение постановления Правительства от 10 октября 1940 года, которыми года и на базе фабрики им. Воровского был организован завод № 468, как опытно-производственная база по проектированию парашютно-десантной техники.</w:t>
      </w:r>
    </w:p>
    <w:p w14:paraId="61071D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Профиль – опытное производство парашютно-десантной техники и аэродромного оборудования.</w:t>
      </w:r>
    </w:p>
    <w:p w14:paraId="69158E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 1941 года завод был эвакуирован на площадку Билимбаевского трубного завода по изготовлению опытной и серийной продукции парашютно-десантной техники.</w:t>
      </w:r>
    </w:p>
    <w:p w14:paraId="7AFA7C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июле 1943 года ОКБ Привалова и часть завода были реэвакуированы на свою прежнюю базу в Бескудниково, где до 1945 года изготовляли серийную и опытную продукцию парашютно-десантной техники.</w:t>
      </w:r>
    </w:p>
    <w:p w14:paraId="768445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сентября 1945 года завод был переключен на проектирование и изготовление образцов экспериментальных планеров для ЛИИ МАП и объектов парашютно-десантной техники ОКБ Привалова.</w:t>
      </w:r>
    </w:p>
    <w:p w14:paraId="4B75B7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МАП за № 260-с от 25 января 1947 года завод был перебазирован на промплощадку производственного предприятия № 2 Авиамаштехснаба, затем в соответствии с приказом за № 1-с от 3 января 1948 года завод был возвращен на прежнюю промплощадку в Бескудниково, где вновь приступил к реконструкции завода.</w:t>
      </w:r>
    </w:p>
    <w:p w14:paraId="7E10DC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ст. Бескудниково Московской области, п/я 2</w:t>
      </w:r>
    </w:p>
    <w:p w14:paraId="67EE6A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октября 1940 года по август 1943 года – директор и гл. конструктор Привалов А.И.</w:t>
      </w:r>
    </w:p>
    <w:p w14:paraId="4079B8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сентября 1943 года по 7 марта 1944 года – директор Байдаков Г.И.</w:t>
      </w:r>
    </w:p>
    <w:p w14:paraId="189A74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7 марта 1944 года по 7 апреля 1945 года – директор Горьковенко Н.И.</w:t>
      </w:r>
    </w:p>
    <w:p w14:paraId="786E85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7 апреля 1945 года по 19 ноября 1945 года – директор Крупнов В.И.</w:t>
      </w:r>
    </w:p>
    <w:p w14:paraId="430ED8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сентября 1943 года по 19 ноября 1945 года – гл. конструктор Привалов А.И.</w:t>
      </w:r>
    </w:p>
    <w:p w14:paraId="2B82F3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 ноября 1945 года по 19 марта 1955 года – директор и гл. конструктор Привалов А.И.</w:t>
      </w:r>
    </w:p>
    <w:p w14:paraId="59B2A6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 марта 1955 года - гл. конструктор и отв. руководитель завода Привалов А.И.</w:t>
      </w:r>
    </w:p>
    <w:p w14:paraId="35B1A8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 марта 1955 года – директор Горбунов М.П. (9606).</w:t>
      </w:r>
    </w:p>
    <w:p w14:paraId="7BA935C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581E6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г. приказом № 680с в соответствии с пост. СНК № 1944-814с от 10.10.1940 г. в системе 7ГУ НКАП для производства десантно-транспортного оборудования был образован ГС Завод № 468 НКАП, МАП, Агрегатный завод «Универсал», ГП, ФГУП «Московский конструкторско-ироизводственный комплекс (МКПК) «Универсал», АО «Универсал» /г. Москва ст. Бескудниково;  г. Билимбай Свердловской обл.;  г. Москва д. Горьковенко ст. Бескудниково (1944 г.)/ /127410  г. Москва Алтуфьевское ш., 79А тел. 901-14-11/. В конце 1940 г. с завода № 289 НКАП на завод № 468 переведена конструкторская группа по десантно-транспортным объектам под руководством А.И. Привалова. Работы по подвесной кабине для ТБ-3.</w:t>
      </w:r>
    </w:p>
    <w:p w14:paraId="037FD4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747сс от 26.07.1941 г. Билимбаевский литейный завод был передан из НКместпрома в НКАП. На его базе началась организация филиала завода № 468 со своим ОКБ для изготовления воздушно-десантного имущества. Для этого сюда переведено 20 чел. из штата завода № 468.</w:t>
      </w:r>
    </w:p>
    <w:p w14:paraId="59FBF2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1072сс от 15.10.1941 г. завод № 468 эвакуирован в  г. Билимбай на площадку своего филиала. Тем же приказом сюда же эвакуированы заводы № 290 и № 293 НКАП.</w:t>
      </w:r>
    </w:p>
    <w:p w14:paraId="3184BA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Территория в Бескудниково преобразована в филиал завода № 468. С 04.1942 г. здесь налажен ремонт десантно-транспортного имущества ВДВ КА. Производство приспособлений для транспортировки планера А-7. В 1946 г. здесь организован завод № 499 МАП.</w:t>
      </w:r>
    </w:p>
    <w:p w14:paraId="4BFE0F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03.1942 г. завод был передан из 7ГУ в 11ГУ. В соответствии с пост. ГКО № 3218с от 21.04.1943 г. и приказом № 273с от 6.05.1943 г. завод № 468 в  г. Билимбай был передан Глававиастрою. Тем же приказом филиал завода в Бескудниково преобразован в самостоятельный завод № 468 при 11 ГУ НКАП для продолжения производства десантно-транспортного имущества.</w:t>
      </w:r>
    </w:p>
    <w:p w14:paraId="6C9821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подвесок для парашютного десантирования мотоциклов, велосипедов, пушек. Завод являлся производственной базой двух КБ: гл. конструкторов А.И. Привалова и П.В. Цыбина. С конца 1945 г. завод передан из 11ГУ в 7ГУ. В 08.1957 г. - в ведении 1ГУ МАП. В 1966 г. переименован в Агрегатный завод «Универсал».</w:t>
      </w:r>
    </w:p>
    <w:p w14:paraId="233B16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64сс от 3.02.1955 г. заводу были переданы работы по проектированию и изготовлению опытных образцов наземной аэродромной техники (АПА-12, АПА-35, УПГ-150, УПГ-250) с завода № 938 МАП и переведена часть специалистов.</w:t>
      </w:r>
    </w:p>
    <w:p w14:paraId="2CCC93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Десантно-транспортная техника, ПД и АО, СНО </w:t>
      </w:r>
      <w:r w:rsidRPr="00A3026E">
        <w:rPr>
          <w:rFonts w:ascii="Times New Roman" w:hAnsi="Times New Roman"/>
          <w:color w:val="000000" w:themeColor="text1"/>
          <w:sz w:val="16"/>
          <w:szCs w:val="16"/>
          <w:lang w:val="en-US"/>
        </w:rPr>
        <w:t>AT</w:t>
      </w:r>
      <w:r w:rsidRPr="00A3026E">
        <w:rPr>
          <w:rFonts w:ascii="Times New Roman" w:hAnsi="Times New Roman"/>
          <w:color w:val="000000" w:themeColor="text1"/>
          <w:sz w:val="16"/>
          <w:szCs w:val="16"/>
        </w:rPr>
        <w:t xml:space="preserve"> (1953-57 г.). Разработка парашютных систем. С 1965 г. завод стал головным по разработке парашютно-десантной техники и СНО.</w:t>
      </w:r>
    </w:p>
    <w:p w14:paraId="3F3AF9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1958-59 г. начались работы по источникам питания ракет и запуска двигателей ракет. Принимал участие в программе создания ОК «Буран». В 1990-е  г. создан ряд наземных агрегатов: пассажирские авиационные трапы, передвижные электростанции, насосные агрегаты, пускоагрегаты, транспортировочные и монтажные тележки, аэрофинишеры.</w:t>
      </w:r>
    </w:p>
    <w:p w14:paraId="548F67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Предприятие имело филиалы (1990-е  г.) в  г. Жуковский (зам. гл. конструктора - Д.Ф. Патрушев) и в Самаре (директор- В. Г. Соков).</w:t>
      </w:r>
    </w:p>
    <w:p w14:paraId="1C92B9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Разработка и производство (2002 г.): средства обслуживания военных и гражданских ЛА (гидро-, электроустановки, установки воздушного запуска двигателей, заправщики спецжидкостями и газами, тележки и приспособления, гидроподъемники, лестницы, стремянки, мобильные контрольно-ремонтные мастерские, аэродромные аварийно-тормозные установки); парашютно-десантная техника (самолетное десантное оборудование, парашютные платформы).</w:t>
      </w:r>
    </w:p>
    <w:p w14:paraId="43D4EC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1992 г. завод преобразован в ГП «МКПК «Универсал», с 2004 г.- ФГУП. По решению правительства № 22-р от 9.01.2004 г. и Указу Президента РФ № 1009 от 4.08.2004 г. вошел в число стратегических оборонных предприятий.</w:t>
      </w:r>
    </w:p>
    <w:p w14:paraId="5A743A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(1940 г.-; 05.1943 г.-)- А.И. Привалов, (12.1943 г.)- Байдуков; и.о. директора (11.1944 г.)- Воздвиженский; (03.1946 г.)- А.И. Привалов, (2005 г.)- С.Ю. Родионов. Управляющий (-2000-02 г.-)- А.Н. Логвинов.</w:t>
      </w:r>
    </w:p>
    <w:p w14:paraId="37F08D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зам. гендиректора (1990-е)- В.А. Баранов. Зам. директора по науке (2005 г.)- В.А. Егорычев. Коммерческий директор (2002 г.)- А.П. Спесивцев.</w:t>
      </w:r>
      <w:r w:rsidRPr="00A3026E">
        <w:rPr>
          <w:rFonts w:ascii="Times New Roman" w:hAnsi="Times New Roman"/>
          <w:color w:val="000000" w:themeColor="text1"/>
          <w:sz w:val="16"/>
          <w:szCs w:val="16"/>
          <w:vertAlign w:val="superscript"/>
        </w:rPr>
        <w:t>69</w:t>
      </w:r>
    </w:p>
    <w:p w14:paraId="227167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(1940-41 г.-;05-12.1943 г.;-1956 г.-)- А.И. Привалов, (12.1943-46 г.)- П.В. Цыбин, (1993 г.)- В.А. Баранов. Ген. Конструктор (1995 г.)- Н.Ф. Широков, (-2002-05 г.-)- Ю.С. Ермашук. Зам. гл. конструктора (1955 г.-)- В.В. Ильичев. Зам. гл. технолога (1950-е)- В.В. Ильичев. Начальники групп: крыла и оперения (1944-45 г.)- С.А. Бемов.</w:t>
      </w:r>
    </w:p>
    <w:p w14:paraId="73A715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Создано:</w:t>
      </w:r>
      <w:r w:rsidRPr="00A3026E">
        <w:rPr>
          <w:rFonts w:ascii="Times New Roman" w:hAnsi="Times New Roman"/>
          <w:color w:val="000000" w:themeColor="text1"/>
          <w:sz w:val="16"/>
          <w:szCs w:val="16"/>
        </w:rPr>
        <w:t xml:space="preserve"> парашютные системы для боевой техники: «Кентавр» с платформой П-7 дня десантирования БМД-1 с экипажем (1973), ПРСМ-915 «Реактавр» для БМД-2 (1978), ПБС-950 для БМД-3 (1998), «Спрут-ПДС» для пушки «Спрут-МД» (единственная в мире система для десантирования техники массой 20т); комплексы СНО для МиГ-25, Су-17М, Ту-22М, Ту-154, Ту-144, Ил-76, Ил-86, Як-40, Ан-124 (1967-76), Ил-114, Ил-96, Ту-204, Як-42, МиГ-29, Су-25, Су-27, ОК «Буран» (1980-90), самолетов и вертолетов для ТАВКР «Адмирал Кузнецов».</w:t>
      </w:r>
      <w:r w:rsidRPr="00A3026E">
        <w:rPr>
          <w:rFonts w:ascii="Times New Roman" w:hAnsi="Times New Roman"/>
          <w:color w:val="000000" w:themeColor="text1"/>
          <w:sz w:val="16"/>
          <w:szCs w:val="16"/>
          <w:vertAlign w:val="superscript"/>
        </w:rPr>
        <w:t xml:space="preserve">101 </w:t>
      </w: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десантная кабина Д-20 для ДБ-3 (ВОВ).</w:t>
      </w:r>
    </w:p>
    <w:p w14:paraId="6C0147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 завода № 468, ОКБ-468 НКАП, МАП гл. конструктора А.И. Привалова / г. Москва ст. Бескудниково/</w:t>
      </w:r>
    </w:p>
    <w:p w14:paraId="081132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273 с от 6.05.1943 г. на вновь созданный завод № 468 переведено из  г. Билимбай ОКБ гл. конструктора А.И. Привалова, который назначен директором и гл. конструктором завода.</w:t>
      </w:r>
    </w:p>
    <w:p w14:paraId="16C9FB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парашютной технике. Созданы парашюты для десантирования бензобаков, мотоциклов, пушек, парашюты Г-8, ПДК-4. Разработан КСД (комплекс совместного десантирования) «Кентавр» для БМД-1 (1973). 5.01.1973 г. состоялось первое в мире десантирование БМД-1 с экипажем. Затем создана ПРС (паранпотно- реактивная система) «Реактавр». Впервые испытана с экипажем 23.01.1976 г.</w:t>
      </w:r>
      <w:r w:rsidRPr="00A3026E">
        <w:rPr>
          <w:rFonts w:ascii="Times New Roman" w:hAnsi="Times New Roman"/>
          <w:color w:val="000000" w:themeColor="text1"/>
          <w:sz w:val="16"/>
          <w:szCs w:val="16"/>
          <w:vertAlign w:val="superscript"/>
        </w:rPr>
        <w:t xml:space="preserve">МХ2/03 </w:t>
      </w:r>
      <w:r w:rsidRPr="00A3026E">
        <w:rPr>
          <w:rFonts w:ascii="Times New Roman" w:hAnsi="Times New Roman"/>
          <w:color w:val="000000" w:themeColor="text1"/>
          <w:sz w:val="16"/>
          <w:szCs w:val="16"/>
        </w:rPr>
        <w:t>Гл. конструктор (05.1943-66 г.-)- А.И. Привалов.</w:t>
      </w:r>
    </w:p>
    <w:p w14:paraId="5DCF1D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 завода № 468 НКАП гл. конструктора П.В. Цыбина По приказу № 729с от 4.12.1943 г. на завод № 468 возложено проектирование и постройка тяжелого грузового десантного планера, в связи с чем гл. конструктором завода назначен П.В. Цыбин (одновременно остался начальником опытно-испытательного отдела ВДВ КА). Для обеспечения работ по планеру Ц-25 по приказу № 731с от 4.12.1943 г. при заводе организовано ОКБ. Штат его формировался, в основном, из специалистов с заводов № 168 и №468 НКАП.</w:t>
      </w:r>
    </w:p>
    <w:p w14:paraId="6DA033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05.1945 г. построен опытный экземпляр планера Ц-25 (затем строился серийно в Оренбурге), затем- опытный Ц-25М. С 1945 г. начались работы по моделям скоростных исследовательских планеров.</w:t>
      </w:r>
    </w:p>
    <w:p w14:paraId="35DBE7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 г. ОКБ гл. конструктора П.В. Цыбина преобразовано в самостоятельный опытный завод № 499 МАП (11982).</w:t>
      </w:r>
    </w:p>
    <w:p w14:paraId="503B1F9B" w14:textId="77777777" w:rsidR="006707CB" w:rsidRPr="00A3026E" w:rsidRDefault="006707CB" w:rsidP="00A3026E">
      <w:pPr>
        <w:spacing w:after="0" w:line="240" w:lineRule="auto"/>
        <w:jc w:val="both"/>
        <w:rPr>
          <w:rFonts w:ascii="Times New Roman" w:hAnsi="Times New Roman"/>
          <w:iCs/>
          <w:color w:val="000000" w:themeColor="text1"/>
          <w:sz w:val="16"/>
          <w:szCs w:val="16"/>
        </w:rPr>
      </w:pPr>
    </w:p>
    <w:p w14:paraId="0738674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19DE22A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9E4F6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г. в соответствии с приказом № 90 по Главмотовелопрому установили срок изготовления пяти экспери</w:t>
      </w:r>
      <w:r w:rsidRPr="00A3026E">
        <w:rPr>
          <w:rFonts w:ascii="Times New Roman" w:hAnsi="Times New Roman"/>
          <w:color w:val="000000" w:themeColor="text1"/>
          <w:sz w:val="16"/>
          <w:szCs w:val="16"/>
        </w:rPr>
        <w:softHyphen/>
        <w:t>ментальных образцов аналогов немецкого мотоцикла БМВ к 5 февраля 1941 г. и поручили ММЗ «Иск</w:t>
      </w:r>
      <w:r w:rsidRPr="00A3026E">
        <w:rPr>
          <w:rFonts w:ascii="Times New Roman" w:hAnsi="Times New Roman"/>
          <w:color w:val="000000" w:themeColor="text1"/>
          <w:sz w:val="16"/>
          <w:szCs w:val="16"/>
        </w:rPr>
        <w:softHyphen/>
        <w:t>ра» исполнять функции ведущего предприятия. [4.181]. На разработку чертежей нового мотоцикла в 1940 г. истратили 226 433 р. Новинку обозначили ИМ-1 [4.182], что означало: мотоцикл завода «Искра», Москва, первая модель. Вскоре ИМ-1 переименовали в М-72. К подготовке технической документации этой машины при</w:t>
      </w:r>
      <w:r w:rsidRPr="00A3026E">
        <w:rPr>
          <w:rFonts w:ascii="Times New Roman" w:hAnsi="Times New Roman"/>
          <w:color w:val="000000" w:themeColor="text1"/>
          <w:sz w:val="16"/>
          <w:szCs w:val="16"/>
        </w:rPr>
        <w:softHyphen/>
        <w:t>влекли группу конструкторов в составе девяти человек из НАТИ, которую возглавлял А.А. Душкевич. В нее входил С.Н. Семашко, участвовавший в создании ИЖ-1-ИЖ-5 и НАТИ-А-750 [4.144]. Руководство Главмотовелопрома на совещании 8 марта 1941 г. установило дату выпуска чертежей мотоцикла - 15 марта 1941 г., а отработки чертежей двигателя и КП, на автозаводе ЗИС и, соот</w:t>
      </w:r>
      <w:r w:rsidRPr="00A3026E">
        <w:rPr>
          <w:rFonts w:ascii="Times New Roman" w:hAnsi="Times New Roman"/>
          <w:color w:val="000000" w:themeColor="text1"/>
          <w:sz w:val="16"/>
          <w:szCs w:val="16"/>
        </w:rPr>
        <w:softHyphen/>
        <w:t>ветственно, КИМ - 15 июня 1941 г. [4.183]. Руководство НКСМ, в который перевели Главмотовелопром, возложило на завод «Иск</w:t>
      </w:r>
      <w:r w:rsidRPr="00A3026E">
        <w:rPr>
          <w:rFonts w:ascii="Times New Roman" w:hAnsi="Times New Roman"/>
          <w:color w:val="000000" w:themeColor="text1"/>
          <w:sz w:val="16"/>
          <w:szCs w:val="16"/>
        </w:rPr>
        <w:softHyphen/>
        <w:t>ра» ответственность за создание нового мотоцикла [4.184] (11429).</w:t>
      </w:r>
    </w:p>
    <w:p w14:paraId="5FC5FA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9389F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г. в Москве был подписан окончательный договор на 38-см башни с фирмой «Крупп». Крупп должен был поставить 6 башен с 18 38-см пушками с боекомплектом, на общую сумму 122,76 млн. рейхсмарок, из которых 37,76 млн. рейхсмарок приходилось на боекомплект. Также предусматривалась в период действия договора дополнитель</w:t>
      </w:r>
      <w:r w:rsidRPr="00A3026E">
        <w:rPr>
          <w:rFonts w:ascii="Times New Roman" w:hAnsi="Times New Roman"/>
          <w:color w:val="000000" w:themeColor="text1"/>
          <w:sz w:val="16"/>
          <w:szCs w:val="16"/>
        </w:rPr>
        <w:softHyphen/>
        <w:t>ная поставка запчастей за отдельную плату, шефмонтаж тоже оплачивался отдельно. Сроки готовности башен к от</w:t>
      </w:r>
      <w:r w:rsidRPr="00A3026E">
        <w:rPr>
          <w:rFonts w:ascii="Times New Roman" w:hAnsi="Times New Roman"/>
          <w:color w:val="000000" w:themeColor="text1"/>
          <w:sz w:val="16"/>
          <w:szCs w:val="16"/>
        </w:rPr>
        <w:softHyphen/>
        <w:t>правке в СССР определялись следующие: I башня — с 5 ок</w:t>
      </w:r>
      <w:r w:rsidRPr="00A3026E">
        <w:rPr>
          <w:rFonts w:ascii="Times New Roman" w:hAnsi="Times New Roman"/>
          <w:color w:val="000000" w:themeColor="text1"/>
          <w:sz w:val="16"/>
          <w:szCs w:val="16"/>
        </w:rPr>
        <w:softHyphen/>
        <w:t>тября 1941 г. по 28 февраля 1942-го; II башня — с 5 декабря 1941 г. по 31 марта 1942-го; III башня — с 5 февраля по 30 апреля 1942 г.; IV башня — с 5 мая по 30 ноября 1942 г.; V башня — с 5 августа по 31 декабря 1942 г.; VI башня — с 5 ноября 1942 г. по 28 марта 1943-го. Боезапас должен по</w:t>
      </w:r>
      <w:r w:rsidRPr="00A3026E">
        <w:rPr>
          <w:rFonts w:ascii="Times New Roman" w:hAnsi="Times New Roman"/>
          <w:color w:val="000000" w:themeColor="text1"/>
          <w:sz w:val="16"/>
          <w:szCs w:val="16"/>
        </w:rPr>
        <w:softHyphen/>
        <w:t>ставляться двумя партиями: 1 июля 1942-го и 1 февраля 1943 г. Боекомплект включал в себя 480 выстрелов на ствол. В бо</w:t>
      </w:r>
      <w:r w:rsidRPr="00A3026E">
        <w:rPr>
          <w:rFonts w:ascii="Times New Roman" w:hAnsi="Times New Roman"/>
          <w:color w:val="000000" w:themeColor="text1"/>
          <w:sz w:val="16"/>
          <w:szCs w:val="16"/>
        </w:rPr>
        <w:softHyphen/>
        <w:t>екомплект входили бронебойные, полубронебойные, фугас</w:t>
      </w:r>
      <w:r w:rsidRPr="00A3026E">
        <w:rPr>
          <w:rFonts w:ascii="Times New Roman" w:hAnsi="Times New Roman"/>
          <w:color w:val="000000" w:themeColor="text1"/>
          <w:sz w:val="16"/>
          <w:szCs w:val="16"/>
        </w:rPr>
        <w:softHyphen/>
        <w:t>ные и практические снаряды, комплектные (с полузарядом в гильзе и без гильзы) боевые заряды, заряды для практических снарядов и согревательных выстрелов, а также 127-мм боезапас для учебных стволов (10670,254).</w:t>
      </w:r>
    </w:p>
    <w:p w14:paraId="1C3D9B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294360F"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г. заместитель начальника БТУ ГАБТУ КА военинженер 1 ранга Н.Н. Алымов в </w:t>
      </w:r>
      <w:hyperlink r:id="rId124" w:tgtFrame="_blank" w:history="1">
        <w:r w:rsidRPr="00A3026E">
          <w:rPr>
            <w:rStyle w:val="a5"/>
            <w:rFonts w:ascii="Times New Roman" w:hAnsi="Times New Roman"/>
            <w:color w:val="000000" w:themeColor="text1"/>
            <w:sz w:val="16"/>
            <w:szCs w:val="16"/>
          </w:rPr>
          <w:t>письме № 77253с</w:t>
        </w:r>
      </w:hyperlink>
      <w:r w:rsidRPr="00A3026E">
        <w:rPr>
          <w:rFonts w:ascii="Times New Roman" w:hAnsi="Times New Roman"/>
          <w:color w:val="000000" w:themeColor="text1"/>
          <w:sz w:val="16"/>
          <w:szCs w:val="16"/>
        </w:rPr>
        <w:t> на имя Д.М. Козырева одобрил принятые на заводе № 183 решения по уплотнению люков танка Т-34, и потребовал их скорейшего выполнения. </w:t>
      </w:r>
    </w:p>
    <w:p w14:paraId="0AEA9832"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в конце 1940 г. в отделе «700» завода № 183 на всех ранее собранных танках Т-34 были проведены работы по уплотнению крышек люков. С неуплотненной крышкой люка механика-водителя к концу 1940 г. в Красной Армии осталось только 6 машин – №№ 311-05-3, 311-09-3, 311-21-3, 311-16-3, 311-01-3 и 0618-4, отправленных с завода № 183 до середины ноября 1940 г. (18206).</w:t>
      </w:r>
    </w:p>
    <w:p w14:paraId="64DD793A" w14:textId="77777777" w:rsidR="002448B4" w:rsidRPr="00A3026E" w:rsidRDefault="002448B4" w:rsidP="00A3026E">
      <w:pPr>
        <w:spacing w:after="0" w:line="240" w:lineRule="auto"/>
        <w:jc w:val="both"/>
        <w:rPr>
          <w:rFonts w:ascii="Times New Roman" w:hAnsi="Times New Roman"/>
          <w:color w:val="000000" w:themeColor="text1"/>
          <w:sz w:val="16"/>
          <w:szCs w:val="16"/>
        </w:rPr>
      </w:pPr>
    </w:p>
    <w:p w14:paraId="1F808659"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 Ноября / 2/XII 1940 г. </w:t>
      </w:r>
    </w:p>
    <w:p w14:paraId="20AEB82F"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1182 лист 59 </w:t>
      </w:r>
    </w:p>
    <w:p w14:paraId="69DCB139"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5287C2DB"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2 </w:t>
      </w:r>
    </w:p>
    <w:p w14:paraId="3D4B1BA8"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 Ноября / 2/XII 1940 г. </w:t>
      </w:r>
    </w:p>
    <w:p w14:paraId="0570DC8B"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77253с </w:t>
      </w:r>
    </w:p>
    <w:p w14:paraId="55C9722C"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РАЙИНЖЕНЕРУ НА ЗАВОДЕ № 183</w:t>
      </w:r>
    </w:p>
    <w:p w14:paraId="2C2DEC3C"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ВОЕНИНЖЕНЕРУ 2 РАНГА тов. КОЗЫРЕВУ</w:t>
      </w:r>
    </w:p>
    <w:p w14:paraId="78CC8300"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 представленного отчета обстрела люков танка Т-34 видно, что завод до сего времени пункт о герметизации люков не выполнил. Предлагаю категорически потребовать от завода герметизации люков башни и люка кормового листа путем установки 5 – 6 мм внутреннего желобка. </w:t>
      </w:r>
    </w:p>
    <w:p w14:paraId="58CA8299"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герметизацией люка водителя способом, указанным в отчете № 6228 – согласен. </w:t>
      </w:r>
    </w:p>
    <w:p w14:paraId="6C00FB20"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ЗАМ. НАЧАЛЬНИКА БТУ КРАСНОЙ АРМИИ</w:t>
      </w:r>
    </w:p>
    <w:p w14:paraId="7CAEE8C4"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1 РАНГА (АЛЫМОВ)</w:t>
      </w:r>
    </w:p>
    <w:p w14:paraId="5D24A801"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НАЧАЛЬНИК 3 ОТДЕЛА БТУ КР. АРМИИ</w:t>
      </w:r>
    </w:p>
    <w:p w14:paraId="624E117E"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1 РАНГА (АФОНИН)</w:t>
      </w:r>
    </w:p>
    <w:p w14:paraId="6801F486"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2 экз. </w:t>
      </w:r>
    </w:p>
    <w:p w14:paraId="2E0EAC25"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Исп. Панов </w:t>
      </w:r>
    </w:p>
    <w:p w14:paraId="03EEDDC3"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29.11.1940 г. № 1429 (18216).</w:t>
      </w:r>
    </w:p>
    <w:p w14:paraId="7DBE3EE7" w14:textId="77777777" w:rsidR="002448B4" w:rsidRPr="00A3026E" w:rsidRDefault="002448B4" w:rsidP="00A3026E">
      <w:pPr>
        <w:spacing w:after="0" w:line="240" w:lineRule="auto"/>
        <w:jc w:val="both"/>
        <w:rPr>
          <w:rFonts w:ascii="Times New Roman" w:hAnsi="Times New Roman"/>
          <w:color w:val="000000" w:themeColor="text1"/>
          <w:sz w:val="16"/>
          <w:szCs w:val="16"/>
        </w:rPr>
      </w:pPr>
    </w:p>
    <w:p w14:paraId="068025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года Крупп подписал контракт, в соответствии с которым его фирма должна была поставить в СССР шесть корабельных орудийных башен с 380-мм орудиями. Однако к моменту нападения Германии на Советский Союз ни орудия, ни башни не были поставлены. Всё, что мы успели получить, — это конструкторские чертежи орудий. После разгрома Германии выяснилось, что часть заказанных башен была собрана и хранилась на складах завода Круппа. Таким образом, вместо того чтобы выпускать что-нибудь полезное для Вооружённых сил рейха, фирма Круппа занималась выполнением советского заказа. И это при том, что ресурсы немецкой военной промышленности были весьма ограниченными (11208).</w:t>
      </w:r>
    </w:p>
    <w:p w14:paraId="7D2D289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87C67E1" w14:textId="77777777" w:rsidR="002448B4" w:rsidRPr="00A3026E" w:rsidRDefault="002448B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года Крупп подписал контракт, в соответствии с которым его фирма должна была поставить в СССР шесть корабельных орудийных башен с 380-мм орудиями. Однако к моменту нападения Германии на Советский Союз ни орудия, ни башни не были поставлены. Всё, что мы успели получить, -- это конструкторские чертежи орудий [611]. После разгрома Германии выяснилось, что часть заказанных башен была собрана и хранилась на складах завода Круппа [612] (18279).</w:t>
      </w:r>
    </w:p>
    <w:p w14:paraId="67A9EFFD" w14:textId="77777777" w:rsidR="002448B4" w:rsidRPr="00A3026E" w:rsidRDefault="002448B4" w:rsidP="00A3026E">
      <w:pPr>
        <w:spacing w:after="0" w:line="240" w:lineRule="auto"/>
        <w:jc w:val="both"/>
        <w:rPr>
          <w:rFonts w:ascii="Times New Roman" w:hAnsi="Times New Roman"/>
          <w:color w:val="000000" w:themeColor="text1"/>
          <w:sz w:val="16"/>
          <w:szCs w:val="16"/>
        </w:rPr>
      </w:pPr>
    </w:p>
    <w:p w14:paraId="7D68A1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года - Доклад А.Е. Ферсмана о результатах поисков месторождений урановых руд в Средней Азии (10549).</w:t>
      </w:r>
    </w:p>
    <w:p w14:paraId="31FBA37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BA2881"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09B0996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7A2AFF8" w14:textId="77777777" w:rsidR="00102DAB" w:rsidRPr="00A3026E" w:rsidRDefault="00102DA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30 ноября 1940 вышло Постановление Политбюро ЦК ВКП(б) "О тыловой авиации" (пр. № 23/23-оп за 22 ноября - 13 декабря 1940 г., п. 99)</w:t>
      </w:r>
    </w:p>
    <w:p w14:paraId="27457EBC" w14:textId="77777777" w:rsidR="00102DAB" w:rsidRPr="00A3026E" w:rsidRDefault="00102DA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99.- О тыловой авиации</w:t>
      </w:r>
    </w:p>
    <w:p w14:paraId="301BAA45" w14:textId="77777777" w:rsidR="00102DAB" w:rsidRPr="00A3026E" w:rsidRDefault="00102DA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Утвердить следующий проект постановления СНК СССР:</w:t>
      </w:r>
    </w:p>
    <w:p w14:paraId="305FE6D8" w14:textId="77777777" w:rsidR="00102DAB" w:rsidRPr="00A3026E" w:rsidRDefault="00102DA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"Совет Народных Комиссаров Союза ССР постановляет ут</w:t>
      </w:r>
      <w:r w:rsidRPr="00A3026E">
        <w:rPr>
          <w:rFonts w:ascii="Times New Roman" w:hAnsi="Times New Roman"/>
          <w:color w:val="0070C0"/>
          <w:sz w:val="16"/>
          <w:szCs w:val="16"/>
        </w:rPr>
        <w:softHyphen/>
        <w:t>вердить следующий штатный состав таловой авиации к концу 1911 года:</w:t>
      </w:r>
    </w:p>
    <w:p w14:paraId="6A27B4C6" w14:textId="77777777" w:rsidR="00102DAB" w:rsidRPr="00A3026E" w:rsidRDefault="00102DA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10 учебных авиаполков для тренировки резервного лет</w:t>
      </w:r>
      <w:r w:rsidRPr="00A3026E">
        <w:rPr>
          <w:rFonts w:ascii="Times New Roman" w:hAnsi="Times New Roman"/>
          <w:color w:val="0070C0"/>
          <w:sz w:val="16"/>
          <w:szCs w:val="16"/>
        </w:rPr>
        <w:softHyphen/>
        <w:t>ного состава и пилотов, выпускаемых из авиационных школ, с общим количеством самолетов - 1.260 сам., из них 620 учебных и 640 боевых самолетов.</w:t>
      </w:r>
    </w:p>
    <w:p w14:paraId="104EF4A3" w14:textId="77777777" w:rsidR="00102DAB" w:rsidRPr="00A3026E" w:rsidRDefault="00102DA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Военно-учебные заведения ВЗС в составе - 41 авиа</w:t>
      </w:r>
      <w:r w:rsidRPr="00A3026E">
        <w:rPr>
          <w:rFonts w:ascii="Times New Roman" w:hAnsi="Times New Roman"/>
          <w:color w:val="0070C0"/>
          <w:sz w:val="16"/>
          <w:szCs w:val="16"/>
        </w:rPr>
        <w:softHyphen/>
        <w:t>школа летчиков и пилотов, 13 авиашкол стрелков-бомбардиров, 1 аэрофотограммшкола с количеством самолетов учебных, типа:</w:t>
      </w:r>
    </w:p>
    <w:p w14:paraId="400BC97C" w14:textId="77777777" w:rsidR="00102DAB" w:rsidRPr="00A3026E" w:rsidRDefault="00102DA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Всего в ВУЗ"ах ВВС учебных и боевых самолетов</w:t>
      </w:r>
      <w:r w:rsidRPr="00A3026E">
        <w:rPr>
          <w:rFonts w:ascii="Times New Roman" w:hAnsi="Times New Roman"/>
          <w:color w:val="0070C0"/>
          <w:sz w:val="16"/>
          <w:szCs w:val="16"/>
        </w:rPr>
        <w:tab/>
        <w:t>-</w:t>
      </w:r>
      <w:r w:rsidRPr="00A3026E">
        <w:rPr>
          <w:rFonts w:ascii="Times New Roman" w:hAnsi="Times New Roman"/>
          <w:color w:val="0070C0"/>
          <w:sz w:val="16"/>
          <w:szCs w:val="16"/>
        </w:rPr>
        <w:tab/>
        <w:t>6.841 самолет.</w:t>
      </w:r>
    </w:p>
    <w:p w14:paraId="1F3D83B3" w14:textId="77777777" w:rsidR="00102DAB" w:rsidRPr="00A3026E" w:rsidRDefault="00102DA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В высших учебных заведениях и курсах усовершенство</w:t>
      </w:r>
      <w:r w:rsidRPr="00A3026E">
        <w:rPr>
          <w:rFonts w:ascii="Times New Roman" w:hAnsi="Times New Roman"/>
          <w:color w:val="0070C0"/>
          <w:sz w:val="16"/>
          <w:szCs w:val="16"/>
        </w:rPr>
        <w:softHyphen/>
        <w:t>вания ВВС иметь:</w:t>
      </w:r>
    </w:p>
    <w:p w14:paraId="15F221DA" w14:textId="77777777" w:rsidR="00102DAB" w:rsidRPr="00A3026E" w:rsidRDefault="00102DA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Итого - 230 самолетов, из них учебных - 49, транспортных - 104 и боевых - 77 сам.</w:t>
      </w:r>
    </w:p>
    <w:p w14:paraId="0509680A" w14:textId="77777777" w:rsidR="00102DAB" w:rsidRPr="00A3026E" w:rsidRDefault="00102DA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ВСЕГО в тыловой авиации иметь 8.895 самолетов, в том числе 2.125 боевых, 104 транспортных и 6.666 учебных само</w:t>
      </w:r>
      <w:r w:rsidRPr="00A3026E">
        <w:rPr>
          <w:rFonts w:ascii="Times New Roman" w:hAnsi="Times New Roman"/>
          <w:color w:val="0070C0"/>
          <w:sz w:val="16"/>
          <w:szCs w:val="16"/>
        </w:rPr>
        <w:softHyphen/>
        <w:t>летов. "</w:t>
      </w:r>
    </w:p>
    <w:p w14:paraId="54E8F1D1" w14:textId="77777777" w:rsidR="00102DAB" w:rsidRPr="00A3026E" w:rsidRDefault="00102DA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Выписки посланы: </w:t>
      </w:r>
    </w:p>
    <w:p w14:paraId="0791C2E2" w14:textId="77777777" w:rsidR="00102DAB" w:rsidRPr="00A3026E" w:rsidRDefault="00102DA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т.т.Тимоше нко,Чадаеву (22080).</w:t>
      </w:r>
    </w:p>
    <w:p w14:paraId="7DEE176A" w14:textId="77777777" w:rsidR="00102DAB" w:rsidRPr="00A3026E" w:rsidRDefault="00102DAB" w:rsidP="00A3026E">
      <w:pPr>
        <w:spacing w:after="0" w:line="240" w:lineRule="auto"/>
        <w:jc w:val="both"/>
        <w:rPr>
          <w:rFonts w:ascii="Times New Roman" w:hAnsi="Times New Roman"/>
          <w:color w:val="0070C0"/>
          <w:sz w:val="16"/>
          <w:szCs w:val="16"/>
        </w:rPr>
      </w:pPr>
    </w:p>
    <w:p w14:paraId="56F9FB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Протокол № 23. Решения ПБ за 22 ноября - 13 декабря 1940 г.</w:t>
      </w:r>
    </w:p>
    <w:p w14:paraId="4F3728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25.11.40 г.</w:t>
      </w:r>
    </w:p>
    <w:p w14:paraId="122AED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68. О моторах М-71 и М-81 завода № 19 (постановление ЦК ВКП (б) и СНК СССР)*.</w:t>
      </w:r>
    </w:p>
    <w:p w14:paraId="13F2F2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69. Об истребителе конструкции Поликарпова*.</w:t>
      </w:r>
    </w:p>
    <w:p w14:paraId="6A4919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70. Об истребителе конструкции Микояна*.</w:t>
      </w:r>
    </w:p>
    <w:p w14:paraId="1159A3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71. Об истребителе конструкции Яковлева*.</w:t>
      </w:r>
    </w:p>
    <w:p w14:paraId="36DF99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30. 11.40 г.</w:t>
      </w:r>
    </w:p>
    <w:p w14:paraId="3B0690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98. Вопрос НКО. Разрешение полетов на самолетах И-16, И-153*.</w:t>
      </w:r>
    </w:p>
    <w:p w14:paraId="05E91C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06.12.40 г.</w:t>
      </w:r>
    </w:p>
    <w:p w14:paraId="5AFE25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135. О порядке испытаний серийных авиационных моторов на заводах НКАП*.</w:t>
      </w:r>
    </w:p>
    <w:p w14:paraId="62E864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137. О программе выпуска авиационных винтов в 1941 г. (постановление СНК СССР и</w:t>
      </w:r>
    </w:p>
    <w:p w14:paraId="085D3D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ЦК ВКП (б))*.</w:t>
      </w:r>
    </w:p>
    <w:p w14:paraId="7C03F1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138. О программе выпуска авиационного вооружения в 1941 г. (постановление СНК СССР</w:t>
      </w:r>
    </w:p>
    <w:p w14:paraId="3E641E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ЦК ВКП (б))*.</w:t>
      </w:r>
    </w:p>
    <w:p w14:paraId="21F14B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141. О программе завода № 26 на 1941 г. (постановление СНК СССР и ЦК ВКП (б))*.</w:t>
      </w:r>
    </w:p>
    <w:p w14:paraId="40FB23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142. О программе выпуска самолетов и авиамоторов в 1941 году*.</w:t>
      </w:r>
    </w:p>
    <w:p w14:paraId="7D8B2C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143. О боеприпасах для авиационных пушек (постановление СНК СССР и ЦК ВКП (б))*.</w:t>
      </w:r>
    </w:p>
    <w:p w14:paraId="5F3F6F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10.12.40 г.</w:t>
      </w:r>
    </w:p>
    <w:p w14:paraId="1F9428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174. О проектировании и постройке опытного образца бронированных аэросаней*.</w:t>
      </w:r>
    </w:p>
    <w:p w14:paraId="11D919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12.12.40 г.</w:t>
      </w:r>
    </w:p>
    <w:p w14:paraId="50C6A0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196. О прекращении работ по изготовлению корпусов танка «KB» из двухслойной брони*.</w:t>
      </w:r>
    </w:p>
    <w:p w14:paraId="6EFEB0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13.3.40 г.</w:t>
      </w:r>
    </w:p>
    <w:p w14:paraId="3BD69A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205. Об изменениях в выпуске типов моторов по заводам №№ 384 и 19 (постановление СНК СССР и ЦК ВКП (б))* (11773).</w:t>
      </w:r>
    </w:p>
    <w:p w14:paraId="32E13E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6290F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Протокол № 23. Решения ПБ за 22 ноября - 13 декабря 1940 г.</w:t>
      </w:r>
    </w:p>
    <w:p w14:paraId="7034F9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30. 11.40 г.</w:t>
      </w:r>
    </w:p>
    <w:p w14:paraId="3B488E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99. О тыловой авиации*.</w:t>
      </w:r>
    </w:p>
    <w:p w14:paraId="6998BC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102. О командующих войсками военных округов.</w:t>
      </w:r>
    </w:p>
    <w:p w14:paraId="238484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104. О командующем и зам. командующего ВВС МВО.</w:t>
      </w:r>
    </w:p>
    <w:p w14:paraId="2DDCAC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105. О работниках ВВС Красной Армии.</w:t>
      </w:r>
    </w:p>
    <w:p w14:paraId="05C3F7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106. О начальнике Управления кадров Красной Армии.</w:t>
      </w:r>
    </w:p>
    <w:p w14:paraId="4A094B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109. Об установлении военных званий для рядового и младшего начсостава ВМФ.</w:t>
      </w:r>
    </w:p>
    <w:p w14:paraId="61A91C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06.12.40 г.</w:t>
      </w:r>
    </w:p>
    <w:p w14:paraId="2FC9FA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133. О переименовании боевых самолетов*.</w:t>
      </w:r>
    </w:p>
    <w:p w14:paraId="729798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10. 12. 40 г.</w:t>
      </w:r>
    </w:p>
    <w:p w14:paraId="3CB147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173. Об изменении подсудности военных трибуналов (11773).</w:t>
      </w:r>
    </w:p>
    <w:p w14:paraId="78016737" w14:textId="77777777" w:rsidR="00C66762" w:rsidRPr="00A3026E" w:rsidRDefault="00C66762" w:rsidP="00A3026E">
      <w:pPr>
        <w:shd w:val="clear" w:color="auto" w:fill="FFFFFF"/>
        <w:spacing w:after="0" w:line="240" w:lineRule="auto"/>
        <w:jc w:val="both"/>
        <w:rPr>
          <w:rFonts w:ascii="Times New Roman" w:hAnsi="Times New Roman"/>
          <w:bCs/>
          <w:color w:val="000000" w:themeColor="text1"/>
          <w:sz w:val="16"/>
          <w:szCs w:val="16"/>
        </w:rPr>
      </w:pPr>
    </w:p>
    <w:p w14:paraId="68E1A0B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2DF708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0EC17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состоялся первый полет самолета "Капрони-Кампини" с моторокомпрессорным двигателем (274).</w:t>
      </w:r>
    </w:p>
    <w:p w14:paraId="3C5CAE6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A9AE6C7"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November 30 1940 Japanese peace treaty signed with the Wang Ching-wei regime at Nanking, China (1223).</w:t>
      </w:r>
    </w:p>
    <w:p w14:paraId="33943FD4"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596172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Япония подписала мирный договор с Ванг Чангваем в Нанкине (1223).</w:t>
      </w:r>
    </w:p>
    <w:p w14:paraId="0A66BB4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22ABDA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5CBB627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BBE9B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ноября 1942 завершилась постройка второго экз. ДБ-4 С.В.И. с однокилевым оперением и М-120. В конструкцию второго опытного ДБ-4 внесли изменения по увеличению жесткости монококовой хвостовой части фюзеляжа. Сразу же после первых полетов второго опытного экземпляра летные испытания ДБ-4 прекратили, так, к сожалению, и не выявив полностью его летно-технического потенциала. ДБ-4 был на самой грани запуска в серийное производство. Причем, вопрос о другом двигателе ( в который раз?) вновь поднимался перед ильюшинцами. Рассматривали варианты М-82 и АЧ-30 (2558,27).</w:t>
      </w:r>
    </w:p>
    <w:p w14:paraId="7A5B61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В.Б.Ш. разработка эталона для серии началась в ноябре 1940 на базе второго экземпляра ЦКБ-55, проходившего ранее государственные испытания (182).</w:t>
      </w:r>
    </w:p>
    <w:p w14:paraId="1EB0C65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EB63C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конце ноября 1940 закончились работы по переоборудованию И-200-3 под пушки Таубина МП-6 и со ШКАС, замененными АП-12.7 мм (4415,35).</w:t>
      </w:r>
    </w:p>
    <w:p w14:paraId="30399B6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D0BD5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ноября 1940 было принято решение отправить доработанный истребитель И-200 на юг для проведения совместных с НИИ ВВС испытаний (4802).</w:t>
      </w:r>
    </w:p>
    <w:p w14:paraId="3A06841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70759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ноября 1940 было принято решение отправить ис</w:t>
      </w:r>
      <w:r w:rsidRPr="00A3026E">
        <w:rPr>
          <w:rFonts w:ascii="Times New Roman" w:hAnsi="Times New Roman"/>
          <w:color w:val="000000" w:themeColor="text1"/>
          <w:sz w:val="16"/>
          <w:szCs w:val="16"/>
        </w:rPr>
        <w:softHyphen/>
        <w:t>требитель И-200 № 04 в Крым для совместных с НИИ ВВС испы</w:t>
      </w:r>
      <w:r w:rsidRPr="00A3026E">
        <w:rPr>
          <w:rFonts w:ascii="Times New Roman" w:hAnsi="Times New Roman"/>
          <w:color w:val="000000" w:themeColor="text1"/>
          <w:sz w:val="16"/>
          <w:szCs w:val="16"/>
        </w:rPr>
        <w:softHyphen/>
        <w:t>таний (9984).</w:t>
      </w:r>
    </w:p>
    <w:p w14:paraId="60006A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AFCA7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ноября 1940 г. руководство НКАП сочло мотор М-81 Швецова «тупиковым направлением развития», его внедрение и доводку прекратили (5360).</w:t>
      </w:r>
    </w:p>
    <w:p w14:paraId="19B9A5C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21904BB" w14:textId="77777777" w:rsidR="00DF1F0E" w:rsidRPr="00A3026E" w:rsidRDefault="00DF1F0E"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конце ноября — начале декабря 1940 г. НКВ приступил к подготовке АП-12,7 к запуску в серию на заводах № 74 и № 2, который должен был начаться 15 февраля 1941 г. Ожидая появления пулемёта АП-12,7, с декабря 1940 г. КБ НКАП приступили к проектированию крыльевых и турельных установок, авиаконструкторов обязали включать пулемёт в комплексы вооружения перспективных самолётов (19195).</w:t>
      </w:r>
    </w:p>
    <w:p w14:paraId="14D73A13" w14:textId="77777777" w:rsidR="00DF1F0E" w:rsidRPr="00A3026E" w:rsidRDefault="00DF1F0E"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1FDBB0F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A20B7D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4399137" w14:textId="77777777" w:rsidR="002D4A2C" w:rsidRPr="00A3026E" w:rsidRDefault="002D4A2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ноября 1940 г. начались полигонные испы</w:t>
      </w:r>
      <w:r w:rsidRPr="00A3026E">
        <w:rPr>
          <w:rFonts w:ascii="Times New Roman" w:hAnsi="Times New Roman"/>
          <w:color w:val="000000" w:themeColor="text1"/>
          <w:sz w:val="16"/>
          <w:szCs w:val="16"/>
        </w:rPr>
        <w:softHyphen/>
        <w:t>тания пистолетов-пулеметов Шпагина и Шпитального в сравнении с ППД-40. 3 декабря начальник ГАУ Г.И. Кулик доложил результаты в ЦК ВКП(б) и рекомендовал к принятию на вооружение образец Шпагина. Технологичность образца Шпаги</w:t>
      </w:r>
      <w:r w:rsidRPr="00A3026E">
        <w:rPr>
          <w:rFonts w:ascii="Times New Roman" w:hAnsi="Times New Roman"/>
          <w:color w:val="000000" w:themeColor="text1"/>
          <w:sz w:val="16"/>
          <w:szCs w:val="16"/>
        </w:rPr>
        <w:softHyphen/>
        <w:t>на сыграла в этом немалую роль. Технологич</w:t>
      </w:r>
      <w:r w:rsidRPr="00A3026E">
        <w:rPr>
          <w:rFonts w:ascii="Times New Roman" w:hAnsi="Times New Roman"/>
          <w:color w:val="000000" w:themeColor="text1"/>
          <w:sz w:val="16"/>
          <w:szCs w:val="16"/>
        </w:rPr>
        <w:softHyphen/>
        <w:t>ность конструкции проявляется в оптималь</w:t>
      </w:r>
      <w:r w:rsidRPr="00A3026E">
        <w:rPr>
          <w:rFonts w:ascii="Times New Roman" w:hAnsi="Times New Roman"/>
          <w:color w:val="000000" w:themeColor="text1"/>
          <w:sz w:val="16"/>
          <w:szCs w:val="16"/>
        </w:rPr>
        <w:softHyphen/>
        <w:t>ных затратах труда, средств и материалов при ее производстве, эксплуатации и ремонте. Стоит вспомнить также рекомендацию - ис</w:t>
      </w:r>
      <w:r w:rsidRPr="00A3026E">
        <w:rPr>
          <w:rFonts w:ascii="Times New Roman" w:hAnsi="Times New Roman"/>
          <w:color w:val="000000" w:themeColor="text1"/>
          <w:sz w:val="16"/>
          <w:szCs w:val="16"/>
        </w:rPr>
        <w:softHyphen/>
        <w:t>кать решения новых конструкций оружия</w:t>
      </w:r>
      <w:r w:rsidRPr="00A3026E">
        <w:rPr>
          <w:rStyle w:val="aff6"/>
          <w:rFonts w:ascii="Times New Roman" w:eastAsia="Arial Narrow" w:hAnsi="Times New Roman" w:cs="Times New Roman"/>
          <w:i w:val="0"/>
          <w:color w:val="000000" w:themeColor="text1"/>
        </w:rPr>
        <w:t xml:space="preserve"> «в различных отраслях "мирной" техники»,</w:t>
      </w:r>
      <w:r w:rsidRPr="00A3026E">
        <w:rPr>
          <w:rFonts w:ascii="Times New Roman" w:hAnsi="Times New Roman"/>
          <w:color w:val="000000" w:themeColor="text1"/>
          <w:sz w:val="16"/>
          <w:szCs w:val="16"/>
        </w:rPr>
        <w:t xml:space="preserve"> ко</w:t>
      </w:r>
      <w:r w:rsidRPr="00A3026E">
        <w:rPr>
          <w:rFonts w:ascii="Times New Roman" w:hAnsi="Times New Roman"/>
          <w:color w:val="000000" w:themeColor="text1"/>
          <w:sz w:val="16"/>
          <w:szCs w:val="16"/>
        </w:rPr>
        <w:softHyphen/>
        <w:t>торую давал профессор А.А. Благонравов оружейникам в 1940 г.:</w:t>
      </w:r>
      <w:r w:rsidRPr="00A3026E">
        <w:rPr>
          <w:rStyle w:val="aff6"/>
          <w:rFonts w:ascii="Times New Roman" w:eastAsia="Arial Narrow" w:hAnsi="Times New Roman" w:cs="Times New Roman"/>
          <w:i w:val="0"/>
          <w:color w:val="000000" w:themeColor="text1"/>
        </w:rPr>
        <w:t xml:space="preserve"> «Нередко в этой же области можно найти, если не решение, то наметку решения технических проблем, над которыми работает мысль специалистов-ору</w:t>
      </w:r>
      <w:r w:rsidRPr="00A3026E">
        <w:rPr>
          <w:rStyle w:val="aff6"/>
          <w:rFonts w:ascii="Times New Roman" w:eastAsia="Arial Narrow" w:hAnsi="Times New Roman" w:cs="Times New Roman"/>
          <w:i w:val="0"/>
          <w:color w:val="000000" w:themeColor="text1"/>
        </w:rPr>
        <w:softHyphen/>
        <w:t>жейников».</w:t>
      </w:r>
      <w:r w:rsidRPr="00A3026E">
        <w:rPr>
          <w:rFonts w:ascii="Times New Roman" w:hAnsi="Times New Roman"/>
          <w:color w:val="000000" w:themeColor="text1"/>
          <w:sz w:val="16"/>
          <w:szCs w:val="16"/>
        </w:rPr>
        <w:t xml:space="preserve"> Как заводское изделие, ППШ от</w:t>
      </w:r>
      <w:r w:rsidRPr="00A3026E">
        <w:rPr>
          <w:rFonts w:ascii="Times New Roman" w:hAnsi="Times New Roman"/>
          <w:color w:val="000000" w:themeColor="text1"/>
          <w:sz w:val="16"/>
          <w:szCs w:val="16"/>
        </w:rPr>
        <w:softHyphen/>
        <w:t>вечал общему направлению внедрения в ору</w:t>
      </w:r>
      <w:r w:rsidRPr="00A3026E">
        <w:rPr>
          <w:rFonts w:ascii="Times New Roman" w:hAnsi="Times New Roman"/>
          <w:color w:val="000000" w:themeColor="text1"/>
          <w:sz w:val="16"/>
          <w:szCs w:val="16"/>
        </w:rPr>
        <w:softHyphen/>
        <w:t>жейное дело технологий массового производ</w:t>
      </w:r>
      <w:r w:rsidRPr="00A3026E">
        <w:rPr>
          <w:rFonts w:ascii="Times New Roman" w:hAnsi="Times New Roman"/>
          <w:color w:val="000000" w:themeColor="text1"/>
          <w:sz w:val="16"/>
          <w:szCs w:val="16"/>
        </w:rPr>
        <w:softHyphen/>
        <w:t>ства, ранее внедрявшихся именно в отраслях «мирной» техники, включая замену обработки металла резанием обработкой давлением, клепки - дуговой и контактной электросвар</w:t>
      </w:r>
      <w:r w:rsidRPr="00A3026E">
        <w:rPr>
          <w:rFonts w:ascii="Times New Roman" w:hAnsi="Times New Roman"/>
          <w:color w:val="000000" w:themeColor="text1"/>
          <w:sz w:val="16"/>
          <w:szCs w:val="16"/>
        </w:rPr>
        <w:softHyphen/>
        <w:t>кой, воронения - оксидировкой и фосфатир ванием, а также сокращение числа резьбовых соединений (15779).</w:t>
      </w:r>
    </w:p>
    <w:p w14:paraId="0F84CA38" w14:textId="77777777" w:rsidR="002D4A2C" w:rsidRPr="00A3026E" w:rsidRDefault="002D4A2C" w:rsidP="00A3026E">
      <w:pPr>
        <w:spacing w:after="0" w:line="240" w:lineRule="auto"/>
        <w:jc w:val="both"/>
        <w:rPr>
          <w:rFonts w:ascii="Times New Roman" w:hAnsi="Times New Roman"/>
          <w:color w:val="000000" w:themeColor="text1"/>
          <w:sz w:val="16"/>
          <w:szCs w:val="16"/>
        </w:rPr>
      </w:pPr>
    </w:p>
    <w:p w14:paraId="744E74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ноября — декабре 1940 г. под председательством военинженера Афонина состоялось заседание макетной комиссии по проекту улучшенно</w:t>
      </w:r>
      <w:r w:rsidRPr="00A3026E">
        <w:rPr>
          <w:rFonts w:ascii="Times New Roman" w:hAnsi="Times New Roman"/>
          <w:color w:val="000000" w:themeColor="text1"/>
          <w:sz w:val="16"/>
          <w:szCs w:val="16"/>
        </w:rPr>
        <w:softHyphen/>
        <w:t>го танка Т-126 (СП). Первым рас</w:t>
      </w:r>
      <w:r w:rsidRPr="00A3026E">
        <w:rPr>
          <w:rFonts w:ascii="Times New Roman" w:hAnsi="Times New Roman"/>
          <w:color w:val="000000" w:themeColor="text1"/>
          <w:sz w:val="16"/>
          <w:szCs w:val="16"/>
        </w:rPr>
        <w:softHyphen/>
        <w:t>сматривался проект и макет академии ВАММ, который имел массу около 15 т, пятикатковую ходовую часть, но размещение двигателя В-4 в нем осуществлялось либо вдоль борта машины (на манер Т-40 и «126-2»), либо в кор</w:t>
      </w:r>
      <w:r w:rsidRPr="00A3026E">
        <w:rPr>
          <w:rFonts w:ascii="Times New Roman" w:hAnsi="Times New Roman"/>
          <w:color w:val="000000" w:themeColor="text1"/>
          <w:sz w:val="16"/>
          <w:szCs w:val="16"/>
        </w:rPr>
        <w:softHyphen/>
        <w:t>ме танка, в моторном отсеке поперек корпуса. Машина очень напоминала Т III не только внешне, но и це</w:t>
      </w:r>
      <w:r w:rsidRPr="00A3026E">
        <w:rPr>
          <w:rFonts w:ascii="Times New Roman" w:hAnsi="Times New Roman"/>
          <w:color w:val="000000" w:themeColor="text1"/>
          <w:sz w:val="16"/>
          <w:szCs w:val="16"/>
        </w:rPr>
        <w:softHyphen/>
        <w:t>лым рядом внутренних узлов. Конструкция КПП, схема охлаждения двигателя, призматические смотровые прибо</w:t>
      </w:r>
      <w:r w:rsidRPr="00A3026E">
        <w:rPr>
          <w:rFonts w:ascii="Times New Roman" w:hAnsi="Times New Roman"/>
          <w:color w:val="000000" w:themeColor="text1"/>
          <w:sz w:val="16"/>
          <w:szCs w:val="16"/>
        </w:rPr>
        <w:softHyphen/>
        <w:t>ры и даже петли люков в той или иной степени были по</w:t>
      </w:r>
      <w:r w:rsidRPr="00A3026E">
        <w:rPr>
          <w:rFonts w:ascii="Times New Roman" w:hAnsi="Times New Roman"/>
          <w:color w:val="000000" w:themeColor="text1"/>
          <w:sz w:val="16"/>
          <w:szCs w:val="16"/>
        </w:rPr>
        <w:softHyphen/>
        <w:t>добны немецким. При этом танк был излишне широк, но с довольно тесной трехместной башней без развитой кормо</w:t>
      </w:r>
      <w:r w:rsidRPr="00A3026E">
        <w:rPr>
          <w:rFonts w:ascii="Times New Roman" w:hAnsi="Times New Roman"/>
          <w:color w:val="000000" w:themeColor="text1"/>
          <w:sz w:val="16"/>
          <w:szCs w:val="16"/>
        </w:rPr>
        <w:softHyphen/>
        <w:t>вой ниши, а главное — был ориентирован на широкое при</w:t>
      </w:r>
      <w:r w:rsidRPr="00A3026E">
        <w:rPr>
          <w:rFonts w:ascii="Times New Roman" w:hAnsi="Times New Roman"/>
          <w:color w:val="000000" w:themeColor="text1"/>
          <w:sz w:val="16"/>
          <w:szCs w:val="16"/>
        </w:rPr>
        <w:softHyphen/>
        <w:t>менение кузнечно-прессового оборудования (гнутые борта подбашенной коробки, изогнутый нижний лобовой и кор</w:t>
      </w:r>
      <w:r w:rsidRPr="00A3026E">
        <w:rPr>
          <w:rFonts w:ascii="Times New Roman" w:hAnsi="Times New Roman"/>
          <w:color w:val="000000" w:themeColor="text1"/>
          <w:sz w:val="16"/>
          <w:szCs w:val="16"/>
        </w:rPr>
        <w:softHyphen/>
        <w:t>мовой листы корпуса, а также — коническую башню из трех изогнутых прессом броневых листов). И при этом танк имел толщину вертикальной брони всего 32 мм (опять же, как у немецкого). Кроме того, реализация этой машины требовала внесения изменений в конструкцию двигателя В-4. Проект был отклонен (10782).</w:t>
      </w:r>
    </w:p>
    <w:p w14:paraId="00DDE7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(10782).</w:t>
      </w:r>
    </w:p>
    <w:p w14:paraId="5C15B26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768EE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ноября 1941 три серийных танка Т-34 совершили ме</w:t>
      </w:r>
      <w:r w:rsidRPr="00A3026E">
        <w:rPr>
          <w:rFonts w:ascii="Times New Roman" w:hAnsi="Times New Roman"/>
          <w:color w:val="000000" w:themeColor="text1"/>
          <w:sz w:val="16"/>
          <w:szCs w:val="16"/>
        </w:rPr>
        <w:softHyphen/>
        <w:t>сячный марафон по маршруту Харьков — Москва — Смо</w:t>
      </w:r>
      <w:r w:rsidRPr="00A3026E">
        <w:rPr>
          <w:rFonts w:ascii="Times New Roman" w:hAnsi="Times New Roman"/>
          <w:color w:val="000000" w:themeColor="text1"/>
          <w:sz w:val="16"/>
          <w:szCs w:val="16"/>
        </w:rPr>
        <w:softHyphen/>
        <w:t>ленск — Гомель — Киев — Полтава — Харьков. Целью про</w:t>
      </w:r>
      <w:r w:rsidRPr="00A3026E">
        <w:rPr>
          <w:rFonts w:ascii="Times New Roman" w:hAnsi="Times New Roman"/>
          <w:color w:val="000000" w:themeColor="text1"/>
          <w:sz w:val="16"/>
          <w:szCs w:val="16"/>
        </w:rPr>
        <w:softHyphen/>
        <w:t>бега было выявить все недостатки конструкции и изготов</w:t>
      </w:r>
      <w:r w:rsidRPr="00A3026E">
        <w:rPr>
          <w:rFonts w:ascii="Times New Roman" w:hAnsi="Times New Roman"/>
          <w:color w:val="000000" w:themeColor="text1"/>
          <w:sz w:val="16"/>
          <w:szCs w:val="16"/>
        </w:rPr>
        <w:softHyphen/>
        <w:t>ления Т-34, каковые проявятся в ходе длительной службы' в отрыве от постоянных баз. За 14 ходовых дней танки прошли по спидометру 2700 км со среднетехнической скоростью 14,3 км/ч и опера</w:t>
      </w:r>
      <w:r w:rsidRPr="00A3026E">
        <w:rPr>
          <w:rFonts w:ascii="Times New Roman" w:hAnsi="Times New Roman"/>
          <w:color w:val="000000" w:themeColor="text1"/>
          <w:sz w:val="16"/>
          <w:szCs w:val="16"/>
        </w:rPr>
        <w:softHyphen/>
        <w:t>тивной 11 км/ч. Двигатели отработали в среднем по 120 мо</w:t>
      </w:r>
      <w:r w:rsidRPr="00A3026E">
        <w:rPr>
          <w:rFonts w:ascii="Times New Roman" w:hAnsi="Times New Roman"/>
          <w:color w:val="000000" w:themeColor="text1"/>
          <w:sz w:val="16"/>
          <w:szCs w:val="16"/>
        </w:rPr>
        <w:softHyphen/>
        <w:t>точасов, и один дизель вышел из строя и требовал замены. Часто выходил из строя главный фрикцион танка, так что за время пробега диск трения на каждом танке менялся в сред</w:t>
      </w:r>
      <w:r w:rsidRPr="00A3026E">
        <w:rPr>
          <w:rFonts w:ascii="Times New Roman" w:hAnsi="Times New Roman"/>
          <w:color w:val="000000" w:themeColor="text1"/>
          <w:sz w:val="16"/>
          <w:szCs w:val="16"/>
        </w:rPr>
        <w:softHyphen/>
        <w:t>нем 3—4 раза. Подтвердились и опасения насчет траков. Со</w:t>
      </w:r>
      <w:r w:rsidRPr="00A3026E">
        <w:rPr>
          <w:rFonts w:ascii="Times New Roman" w:hAnsi="Times New Roman"/>
          <w:color w:val="000000" w:themeColor="text1"/>
          <w:sz w:val="16"/>
          <w:szCs w:val="16"/>
        </w:rPr>
        <w:softHyphen/>
        <w:t>вершенно новые гусеничные цепи, поставленные на танки перед пробегом, неоднократно перебирали и дважды заме</w:t>
      </w:r>
      <w:r w:rsidRPr="00A3026E">
        <w:rPr>
          <w:rFonts w:ascii="Times New Roman" w:hAnsi="Times New Roman"/>
          <w:color w:val="000000" w:themeColor="text1"/>
          <w:sz w:val="16"/>
          <w:szCs w:val="16"/>
        </w:rPr>
        <w:softHyphen/>
        <w:t>няли в ходе его. Большая утомляемость механиков-водите</w:t>
      </w:r>
      <w:r w:rsidRPr="00A3026E">
        <w:rPr>
          <w:rFonts w:ascii="Times New Roman" w:hAnsi="Times New Roman"/>
          <w:color w:val="000000" w:themeColor="text1"/>
          <w:sz w:val="16"/>
          <w:szCs w:val="16"/>
        </w:rPr>
        <w:softHyphen/>
        <w:t>лей приводила к тому, что в течение дня нельзя было осущес</w:t>
      </w:r>
      <w:r w:rsidRPr="00A3026E">
        <w:rPr>
          <w:rFonts w:ascii="Times New Roman" w:hAnsi="Times New Roman"/>
          <w:color w:val="000000" w:themeColor="text1"/>
          <w:sz w:val="16"/>
          <w:szCs w:val="16"/>
        </w:rPr>
        <w:softHyphen/>
        <w:t>твлять вождение танка дольше 5 часов. Чтобы избежать это</w:t>
      </w:r>
      <w:r w:rsidRPr="00A3026E">
        <w:rPr>
          <w:rFonts w:ascii="Times New Roman" w:hAnsi="Times New Roman"/>
          <w:color w:val="000000" w:themeColor="text1"/>
          <w:sz w:val="16"/>
          <w:szCs w:val="16"/>
        </w:rPr>
        <w:softHyphen/>
        <w:t>го, к управлению танком привлекались другие члены экипа</w:t>
      </w:r>
      <w:r w:rsidRPr="00A3026E">
        <w:rPr>
          <w:rFonts w:ascii="Times New Roman" w:hAnsi="Times New Roman"/>
          <w:color w:val="000000" w:themeColor="text1"/>
          <w:sz w:val="16"/>
          <w:szCs w:val="16"/>
        </w:rPr>
        <w:softHyphen/>
        <w:t>жа (экипажи были подобраны таким образом, что могли за</w:t>
      </w:r>
      <w:r w:rsidRPr="00A3026E">
        <w:rPr>
          <w:rFonts w:ascii="Times New Roman" w:hAnsi="Times New Roman"/>
          <w:color w:val="000000" w:themeColor="text1"/>
          <w:sz w:val="16"/>
          <w:szCs w:val="16"/>
        </w:rPr>
        <w:softHyphen/>
        <w:t>менять друг друга практически без ограничений). Собственно, этот пробег еще раз подтвердил необходи</w:t>
      </w:r>
      <w:r w:rsidRPr="00A3026E">
        <w:rPr>
          <w:rFonts w:ascii="Times New Roman" w:hAnsi="Times New Roman"/>
          <w:color w:val="000000" w:themeColor="text1"/>
          <w:sz w:val="16"/>
          <w:szCs w:val="16"/>
        </w:rPr>
        <w:softHyphen/>
        <w:t>мость внесения в конструкцию танка изменений, постули</w:t>
      </w:r>
      <w:r w:rsidRPr="00A3026E">
        <w:rPr>
          <w:rFonts w:ascii="Times New Roman" w:hAnsi="Times New Roman"/>
          <w:color w:val="000000" w:themeColor="text1"/>
          <w:sz w:val="16"/>
          <w:szCs w:val="16"/>
        </w:rPr>
        <w:softHyphen/>
        <w:t>рованных еще 6 ноября (10782).</w:t>
      </w:r>
    </w:p>
    <w:p w14:paraId="1F95AA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BA9084A"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ноября 1940 г. в КБ-520 завода № 183 было разработано два новых варианта чертежей башни танка Т-34 – сборочный чертеж 34.30сб-5 «Башня Ф-34 под Л-11» для башни с литым корпусом и сборочный чертеж 34.30сб-6 «Корпус башни Ф-34 под Л-11» для сварной башни. Эти чертежи были разработаны с учетом всех изменений, внесенных месяцем ранее в чертежи 34.30сб-3 и 34.30сб-4, за исключением изменений касавшихся установочных деталей для пушки Ф-34. Вместо них до конца 1940 г. были оставлены старые детали для установки пушки Л-11 – кронштейн (сборочный чертеж 34.30.21сб), а также правая и левая стенки носа башни (детали 34.30.042 и 34.30.043 для сварной башни и детали 34.30.042-1 и 34.30.043-1 для башни с литым корпусом). Кроме этого для полного перекрытия увеличенного выреза амбразуры были увеличены размеры верхней и нижней частей привинтного щита (деталь 34.31.003-1) броневой защиты пушки Л-11. Таким образом, вопрос с разработкой новых чертежей башни танка Т-34 под установку пушки Ф-34 осенью 1940 г. был успешно решен (18206). </w:t>
      </w:r>
    </w:p>
    <w:p w14:paraId="2EAFE3BD" w14:textId="77777777" w:rsidR="009C4AAF" w:rsidRPr="00A3026E" w:rsidRDefault="009C4AAF" w:rsidP="00A3026E">
      <w:pPr>
        <w:spacing w:after="0" w:line="240" w:lineRule="auto"/>
        <w:jc w:val="both"/>
        <w:rPr>
          <w:rFonts w:ascii="Times New Roman" w:hAnsi="Times New Roman"/>
          <w:color w:val="000000" w:themeColor="text1"/>
          <w:sz w:val="16"/>
          <w:szCs w:val="16"/>
        </w:rPr>
      </w:pPr>
    </w:p>
    <w:p w14:paraId="2CC08FDF"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ноября 1940 г. на Сталинградском тракторном заводе был разработан и запущен в серийное производство усиленный вариант литых траков – трак с гребнем – деталь СЭ34.44.004 и трак без гребня – деталь СЭ34.44.005. По принятой в то время на Сталинградском тракторном заводе системе индексации чертежей буквенный индекс «СЭ» обозначал, что данная деталь является «серийно-экспериментальной». </w:t>
      </w:r>
    </w:p>
    <w:p w14:paraId="725C190D"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Улучшение конструкции траков было достигнуто за счёт увеличения толщины плицы трака и введения ребер жесткости. Так же как и траки старой конструкции, усиленные траки конструкции Сталинградского тракторного завода отливались из стали Гадфильда и имели те же основные размеры – шаг 167 мм и длину 550 мм. Основные изменения конструкции усиленного трака с гребнем (деталь СЭ34.44.004) заключались в следующем: </w:t>
      </w:r>
    </w:p>
    <w:p w14:paraId="523A0D05"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Изменена конфигурация почвозацепа, посередине трака почвозацеп выше, чем по краям, а также увеличены высота ребра жесткости проушин со стороны, противоположной почвозацепа. </w:t>
      </w:r>
    </w:p>
    <w:p w14:paraId="1812580E"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 наружной и внутренней стороны трака на плице введены ребра жесткости. </w:t>
      </w:r>
    </w:p>
    <w:p w14:paraId="12C8BF65"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Утолщение (в виде бонки) у отверстия для болтов крепления шпор. </w:t>
      </w:r>
    </w:p>
    <w:p w14:paraId="3A6342E9"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Утолщена плица у края трака с 6 мм на 7 мм. </w:t>
      </w:r>
    </w:p>
    <w:p w14:paraId="0D0AA77C"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Введены ребра жесткости у подножья гребня со стороны соприкасания трака с почвой (по 2 ребра с каждой стороны гребня)».</w:t>
      </w:r>
    </w:p>
    <w:p w14:paraId="6CC7F46B"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Д.232. Л. 214]</w:t>
      </w:r>
    </w:p>
    <w:p w14:paraId="4DF8ABCD"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Усиление трака без гребня (деталь СЭ44.34.005) было достигнуто за счет следующих изменений: </w:t>
      </w:r>
    </w:p>
    <w:p w14:paraId="57E3A5EC"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плице, поперек трака у отверстия для болтов крепления шпор введено утолщение плицы на 3 мм, а также два местных утолщения в местах крепления шпоры. </w:t>
      </w:r>
    </w:p>
    <w:p w14:paraId="53612F64"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Введены ребра жесткости на плице с наружной и внутренней стороны трака. </w:t>
      </w:r>
    </w:p>
    <w:p w14:paraId="5263F54E"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Почвозацеп изменен аналогично почвозацепу на траке СЭ34.44.004. </w:t>
      </w:r>
    </w:p>
    <w:p w14:paraId="5FC69357"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Утолщена плица у края трака с 6 мм на 7 мм».</w:t>
      </w:r>
    </w:p>
    <w:p w14:paraId="600F60EC"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Д.232. Л. 214]</w:t>
      </w:r>
    </w:p>
    <w:p w14:paraId="4906224A"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Первые партии усиленных траков «СЭ» были отправлены из Сталинграда в Харьков на завод № 183 в конце ноября – начале декабря 1940 г., о чем уведомил свое руководство старший военный представитель ГАБТУ КА на Сталинградском тракторном заводе военинженер 2 ранга Я.С. Левин в сводке № 193 от 12 декабря 1940 г.: </w:t>
      </w:r>
    </w:p>
    <w:p w14:paraId="0B5E4196"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«СТЗ в ноябре декабре мес. с.г. послано заводу № 183 1673 пары траков новой конструкции, которые там испытываются. Результаты испытаний пока неизвестны. Ввиду того, что старые траки работали неудовлетворительно, прошу не замедлить с ответом о результатах испытаний новых усиленных траков».</w:t>
      </w:r>
    </w:p>
    <w:p w14:paraId="3A06BCA8"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Д.1182. Л. 125]</w:t>
      </w:r>
    </w:p>
    <w:p w14:paraId="2F805678"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усиленных траков «СЭ» было проведено в декабре 1940 г. в опытном цехе «540» завода № 183. Собранные их этих траков гусеницы были установлены на танк Т-34 № 811-28 и за период с 10 по 22 декабря прошли 1258 км, из них 61 км по булыжному шоссе и 1197 км по замерзшим ухабистым дорогам. </w:t>
      </w:r>
    </w:p>
    <w:p w14:paraId="69820079"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правая гусеница была собрана по технологии, применяемой в серийном производстве – траки соединялись между собой с помощью двух пальцев (деталь 34.44.003) длиной 262 мм каждый. В левой гусенице траки между собой соединялись с помощью одного длинного пальца с головкой, направленной в сторону корпуса танка, без шплинтовки на противоположном конце. </w:t>
      </w:r>
    </w:p>
    <w:p w14:paraId="3B591BB7"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следует из </w:t>
      </w:r>
      <w:hyperlink r:id="rId125" w:tgtFrame="_blank" w:history="1">
        <w:r w:rsidRPr="00A3026E">
          <w:rPr>
            <w:rStyle w:val="a5"/>
            <w:rFonts w:ascii="Times New Roman" w:hAnsi="Times New Roman"/>
            <w:color w:val="000000" w:themeColor="text1"/>
            <w:sz w:val="16"/>
            <w:szCs w:val="16"/>
          </w:rPr>
          <w:t>Заключения № 011</w:t>
        </w:r>
      </w:hyperlink>
      <w:r w:rsidRPr="00A3026E">
        <w:rPr>
          <w:rFonts w:ascii="Times New Roman" w:hAnsi="Times New Roman"/>
          <w:color w:val="000000" w:themeColor="text1"/>
          <w:sz w:val="16"/>
          <w:szCs w:val="16"/>
        </w:rPr>
        <w:t>, составленного специалистами бюро цеха «540», во время ходовых испытаний в гусеницах были обнаружены следующие дефекты: </w:t>
      </w:r>
    </w:p>
    <w:p w14:paraId="64891BB0"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377 км. была обнаружена на гребневом траке дет. СЭ34.44.004 поперечная трещина по почвозацепу с одной стороны у подножья гребня (трак не заменялся). </w:t>
      </w:r>
    </w:p>
    <w:p w14:paraId="7AF81177"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377 км. было выброшено по 2 трака из каждой гусеничной ленты т.к. не было натяга (большая разработка проушин). </w:t>
      </w:r>
    </w:p>
    <w:p w14:paraId="19C2FCF7"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558 км. обнаружена поперечная трещина у подножья гребня с обоих сторон трака (трак не заменялся). </w:t>
      </w:r>
    </w:p>
    <w:p w14:paraId="686F5796"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 На 886 км. обнаружены поперечные трещины – изломы у подножья гребня на 4 шт. гребневых траков правой гусеницы и на 1-м траке левой гусеницы, а также на 1-м плоском траке правой гусеницы (поперечная трещина образовавшаяся вследствие трещин – изломов на 2-х смежных гребневых траков). </w:t>
      </w:r>
    </w:p>
    <w:p w14:paraId="127FF6C1"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 1127 км. с начала испытаний при прямолинейном движении машины произошел разрыв плоского трака правой гусеницы по плице и по проушинам. </w:t>
      </w:r>
    </w:p>
    <w:p w14:paraId="5229F4BF"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 1258 км. обнаружены поперечные трещины – изломы у подножья гребня на 2-х траках и на 1-м плоском траке».</w:t>
      </w:r>
    </w:p>
    <w:p w14:paraId="2E9F2ACA"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Д.232. Л. 217 – 218]</w:t>
      </w:r>
    </w:p>
    <w:p w14:paraId="2B395456"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завершения ходовых испытаний гусеницы с танка были сняты, разобраны и подвергнуты тщательному осмотру, в результате которого на 68 из 74 траках с гребнем были обнаружены поперечные трещины. Траков без гребня, имевших трещины, оказалось меньше – 26 из 74. Кроме этого был произведен замер диаметра отверстий проушин траков, который показал, что из-за абразивного износа металла среднее увеличение диаметра отверстий составило около 2,5 мм. Вследствие этого в период проведения ходовых испытаний гусеницы пришлось подтягивать 9 раз. Возникновение поперечных трещин и изломов на траках с гребнем было объяснено тем, что вследствие увеличения диаметра отверстий в проушинах траков, шаг гусеницы увеличивался и переставал соответствовать шагу ведущего колеса, и по мере роста пройденного километража это несоответствие только возрастало. Поэтому гребни траков с большой силой ударяли о ролики ведущих колес, в результате чего и образовывались поперечные трещины и изломы у оснований гребней траков, а также разрушались ролики ведущих колес. </w:t>
      </w:r>
    </w:p>
    <w:p w14:paraId="51652F9F"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результатам проведенных испытаний были сделаны следующие выводы: </w:t>
      </w:r>
    </w:p>
    <w:p w14:paraId="31E0D26F"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Проведенное усиление за счет утолщения плицы и введения ребер жесткости как гребневых траков, дет. СЭ 34.44.004, так и плоских, дет. СЭ 34.44.005, не увеличило срок службы, а наоборот уменьшило его (на траках появляются трещины после 377 – 500 км эксплоатации). </w:t>
      </w:r>
    </w:p>
    <w:p w14:paraId="18F5C6D7"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сравнении с траками 1-го варианта (см. заключение «540» за № 141 от 5/XI-40 г.) имеют следующие недостатки: </w:t>
      </w:r>
    </w:p>
    <w:p w14:paraId="27D9E9C4"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Выпуклая конфигурация почвозацепа и ребра жесткости по середине трака приводят к следующему: </w:t>
      </w:r>
    </w:p>
    <w:p w14:paraId="6DE9DEDD"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 движении по ровной обледенелой дороге машина плохо управляема – скользит. </w:t>
      </w:r>
    </w:p>
    <w:p w14:paraId="4017BC3F"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Движение по косогору невозможно, т.к. машина сползает «юзом». </w:t>
      </w:r>
    </w:p>
    <w:p w14:paraId="699D8F61"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 движении по грязной дороге и снегу траки больше забиваются, уменьшая этим сцепление с почвой и увеличивая работу по перематыванию гусеничных лент, что снижает скорость машины. </w:t>
      </w:r>
    </w:p>
    <w:p w14:paraId="5C927BEA"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Ребра жесткости, расположенные по краям плицы трака, при провисании верхней ветви гусеницы (на ухабах и т.д.), цепляют за подкосы площадок амортизаторов, балансиров и за приварку кронштейнов ленивцев. Кроме того, наличие этих ребер уменьшает зазор между картером бортовой передачи и гусеничной лентой, а следовательно затрудняет выход грязи из полости ведущего колеса, что в свою очередь снижает скорость машины. </w:t>
      </w:r>
    </w:p>
    <w:p w14:paraId="7AA8ADA0"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Наличие большой консольности траков и соединение их двумя пальцами отрицательно действует на прочность и работу траков, что говорит о необходимости постановки одного длинного пальца. </w:t>
      </w:r>
    </w:p>
    <w:p w14:paraId="3419C95D"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Большая разработка отверстий проушин литых траков является технологическим недостатком. </w:t>
      </w:r>
    </w:p>
    <w:p w14:paraId="5C4EC089"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Трещины плоских траков по середине (между проушинами) являются следствием трещин-изломов гребневых траков, смежных с плоскими. </w:t>
      </w:r>
    </w:p>
    <w:p w14:paraId="543D3A1C"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Несмотря на то, что траки гусеничных лент марки «СЭ» специальным испытаниям на булыжном шоссе не подвергались, они значительно раньше приходят в непригодность к эксплоатации, чем траки гусеничных лент 1 варианта. </w:t>
      </w:r>
    </w:p>
    <w:p w14:paraId="4BEB250E"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&lt;…&gt;</w:t>
      </w:r>
    </w:p>
    <w:p w14:paraId="16F95E9C"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Траки гусеничных лент марки «СЭ» по весу значительно тяжелее траков 1-го варианта: </w:t>
      </w:r>
    </w:p>
    <w:p w14:paraId="77AF35F3"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гребневого трака марки «СЭ» – 13,410 кг. </w:t>
      </w:r>
    </w:p>
    <w:p w14:paraId="17B59CB9"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Вес плоского трака марки «СЭ» – 10,800 кг. </w:t>
      </w:r>
    </w:p>
    <w:p w14:paraId="2D4A18FC"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Вес гребневого трака 1 варианта – 12,150 кг. </w:t>
      </w:r>
    </w:p>
    <w:p w14:paraId="0EAD42BB"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Вес плоского трака 1 варианта – 9,720 кг. </w:t>
      </w:r>
    </w:p>
    <w:p w14:paraId="27E5C8D7"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Разница веса гребневого трака – 1,260 кг. </w:t>
      </w:r>
    </w:p>
    <w:p w14:paraId="3556AFD5"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Разница веса плоского трака – 1,080 кг. </w:t>
      </w:r>
    </w:p>
    <w:p w14:paraId="59A43C0B"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CA05EA5"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результатов и выводов по испытанию литых траков гусеничных лент марки «СЭ» из ст. Гадфильда (конструкция и производство СТЗ) бюро 540 считает: </w:t>
      </w:r>
    </w:p>
    <w:p w14:paraId="7F5BA1F3"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Гусеничная лента не обеспечивает гарантийного километража и значительно снижает тактические качества машины. </w:t>
      </w:r>
    </w:p>
    <w:p w14:paraId="7960E873"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Траки марки «СЭ» в условиях эксплоатации показали себя менее прочными по сравнению со всеми ранее испытанными вариантами гусениц. </w:t>
      </w:r>
    </w:p>
    <w:p w14:paraId="15C289AD"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 испытаниям усиленных траков, а также ранее проведенных испытаний нескольких вариантов траков гусеничных лент показали, что упрочнение траков за счет утолщений и введений дополнительных ребер жесткости приводит только к увеличению общего веса машины, увеличением работы на перематывание гусеницы и уменьшением скорости машины в любых дорожных условиях. </w:t>
      </w:r>
    </w:p>
    <w:p w14:paraId="63287C1A"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повышения качества траков гусеничных лент считаем необходимым усилить контроль и обратить особое внимание на соблюдение технологии, химсостава и термообработки траков из ст. Гадфильда с тем, чтобы обеспечить все требования, предъявляемые к литым тракам гусеничных лент в эксплоатации» (18533).</w:t>
      </w:r>
    </w:p>
    <w:p w14:paraId="232DCB83" w14:textId="77777777" w:rsidR="009C4AAF" w:rsidRPr="00A3026E" w:rsidRDefault="009C4AAF" w:rsidP="00A3026E">
      <w:pPr>
        <w:spacing w:after="0" w:line="240" w:lineRule="auto"/>
        <w:jc w:val="both"/>
        <w:rPr>
          <w:rFonts w:ascii="Times New Roman" w:hAnsi="Times New Roman"/>
          <w:color w:val="000000" w:themeColor="text1"/>
          <w:sz w:val="16"/>
          <w:szCs w:val="16"/>
        </w:rPr>
      </w:pPr>
    </w:p>
    <w:p w14:paraId="2EE520CE"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ноября – начале декабря 1940 г. первые партии усиленных траков «СЭ» были отправлены из Сталинграда в Харьков на завод № 183, о чем уведомил свое руководство старший военный представитель ГАБТУ КА на Сталинградском тракторном заводе военинженер 2 ранга Я.С. Левин в сводке № 193 от 12 декабря 1940 г.: </w:t>
      </w:r>
    </w:p>
    <w:p w14:paraId="27284BDD"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«СТЗ в ноябре декабре мес. с.г. послано заводу № 183 1673 пары траков новой конструкции, которые там испытываются. Результаты испытаний пока неизвестны. Ввиду того, что старые траки работали неудовлетворительно, прошу не замедлить с ответом о результатах испытаний новых усиленных траков».</w:t>
      </w:r>
    </w:p>
    <w:p w14:paraId="4FF32CA2"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Д.1182. Л. 125]</w:t>
      </w:r>
    </w:p>
    <w:p w14:paraId="3F042A67"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усиленных траков «СЭ» было проведено в декабре 1940 г. в опытном цехе «540» завода № 183. Собранные их этих траков гусеницы были установлены на танк Т-34 № 811-28 и за период с 10 по 22 декабря прошли 1258 км, из них 61 км по булыжному шоссе и 1197 км по замерзшим ухабистым дорогам. </w:t>
      </w:r>
    </w:p>
    <w:p w14:paraId="1DDB8C4F"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правая гусеница была собрана по технологии, применяемой в серийном производстве – траки соединялись между собой с помощью двух пальцев (деталь 34.44.003) длиной 262 мм каждый. В левой гусенице траки между собой соединялись с помощью одного длинного пальца с головкой, направленной в сторону корпуса танка, без шплинтовки на противоположном конце. </w:t>
      </w:r>
    </w:p>
    <w:p w14:paraId="0AA272D7"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следует из </w:t>
      </w:r>
      <w:hyperlink r:id="rId126" w:tgtFrame="_blank" w:history="1">
        <w:r w:rsidRPr="00A3026E">
          <w:rPr>
            <w:rStyle w:val="a5"/>
            <w:rFonts w:ascii="Times New Roman" w:hAnsi="Times New Roman"/>
            <w:color w:val="000000" w:themeColor="text1"/>
            <w:sz w:val="16"/>
            <w:szCs w:val="16"/>
          </w:rPr>
          <w:t>Заключения № 011</w:t>
        </w:r>
      </w:hyperlink>
      <w:r w:rsidRPr="00A3026E">
        <w:rPr>
          <w:rFonts w:ascii="Times New Roman" w:hAnsi="Times New Roman"/>
          <w:color w:val="000000" w:themeColor="text1"/>
          <w:sz w:val="16"/>
          <w:szCs w:val="16"/>
        </w:rPr>
        <w:t>, составленного специалистами бюро цеха «540», во время ходовых испытаний в гусеницах были обнаружены следующие дефекты: </w:t>
      </w:r>
    </w:p>
    <w:p w14:paraId="151C682B"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377 км. была обнаружена на гребневом траке дет. СЭ34.44.004 поперечная трещина по почвозацепу с одной стороны у подножья гребня (трак не заменялся). </w:t>
      </w:r>
    </w:p>
    <w:p w14:paraId="7DD4E6B9"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377 км. было выброшено по 2 трака из каждой гусеничной ленты т.к. не было натяга (большая разработка проушин). </w:t>
      </w:r>
    </w:p>
    <w:p w14:paraId="6BA454BF"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558 км. обнаружена поперечная трещина у подножья гребня с обоих сторон трака (трак не заменялся). </w:t>
      </w:r>
    </w:p>
    <w:p w14:paraId="1A5401E0"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 886 км. обнаружены поперечные трещины – изломы у подножья гребня на 4 шт. гребневых траков правой гусеницы и на 1-м траке левой гусеницы, а также на 1-м плоском траке правой гусеницы (поперечная трещина образовавшаяся вследствие трещин – изломов на 2-х смежных гребневых траков). </w:t>
      </w:r>
    </w:p>
    <w:p w14:paraId="23D8A3CD"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 1127 км. с начала испытаний при прямолинейном движении машины произошел разрыв плоского трака правой гусеницы по плице и по проушинам. </w:t>
      </w:r>
    </w:p>
    <w:p w14:paraId="4910B681"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 1258 км. обнаружены поперечные трещины – изломы у подножья гребня на 2-х траках и на 1-м плоском траке».</w:t>
      </w:r>
    </w:p>
    <w:p w14:paraId="21365433"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Д.232. Л. 217 – 218]</w:t>
      </w:r>
    </w:p>
    <w:p w14:paraId="3C48DA21"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завершения ходовых испытаний гусеницы с танка были сняты, разобраны и подвергнуты тщательному осмотру, в результате которого на 68 из 74 траках с гребнем были обнаружены поперечные трещины. Траков без гребня, имевших трещины, оказалось меньше – 26 из 74. Кроме этого был произведен замер диаметра отверстий проушин траков, который показал, что из-за абразивного износа металла среднее увеличение диаметра отверстий составило около 2,5 мм. Вследствие этого в период проведения ходовых испытаний гусеницы пришлось подтягивать 9 раз. Возникновение поперечных трещин и изломов на траках с гребнем было объяснено тем, что вследствие увеличения диаметра отверстий в проушинах траков, шаг гусеницы увеличивался и переставал соответствовать шагу ведущего колеса, и по мере роста пройденного километража это несоответствие только возрастало. Поэтому гребни траков с большой силой ударяли о ролики ведущих колес, в результате чего и образовывались поперечные трещины и изломы у оснований гребней траков, а также разрушались ролики ведущих колес. </w:t>
      </w:r>
    </w:p>
    <w:p w14:paraId="51E50744"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результатам проведенных испытаний были сделаны следующие выводы: </w:t>
      </w:r>
    </w:p>
    <w:p w14:paraId="5A54AF64"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Проведенное усиление за счет утолщения плицы и введения ребер жесткости как гребневых траков, дет. СЭ 34.44.004, так и плоских, дет. СЭ 34.44.005, не увеличило срок службы, а наоборот уменьшило его (на траках появляются трещины после 377 – 500 км эксплоатации). </w:t>
      </w:r>
    </w:p>
    <w:p w14:paraId="7DD97A8C"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сравнении с траками 1-го варианта (см. заключение «540» за № 141 от 5/XI-40 г.) имеют следующие недостатки: </w:t>
      </w:r>
    </w:p>
    <w:p w14:paraId="1B3F4A4B"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Выпуклая конфигурация почвозацепа и ребра жесткости по середине трака приводят к следующему: </w:t>
      </w:r>
    </w:p>
    <w:p w14:paraId="6611D56B"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 движении по ровной обледенелой дороге машина плохо управляема – скользит. </w:t>
      </w:r>
    </w:p>
    <w:p w14:paraId="55355039"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Движение по косогору невозможно, т.к. машина сползает «юзом». </w:t>
      </w:r>
    </w:p>
    <w:p w14:paraId="79537930"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 движении по грязной дороге и снегу траки больше забиваются, уменьшая этим сцепление с почвой и увеличивая работу по перематыванию гусеничных лент, что снижает скорость машины. </w:t>
      </w:r>
    </w:p>
    <w:p w14:paraId="125D2884"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г) Ребра жесткости, расположенные по краям плицы трака, при провисании верхней ветви гусеницы (на ухабах и т.д.), цепляют за подкосы площадок амортизаторов, балансиров и за приварку кронштейнов ленивцев. Кроме того, наличие этих ребер уменьшает зазор между картером бортовой передачи и гусеничной лентой, а следовательно затрудняет выход грязи из полости ведущего колеса, что в свою очередь снижает скорость машины. </w:t>
      </w:r>
    </w:p>
    <w:p w14:paraId="1AE81005"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Наличие большой консольности траков и соединение их двумя пальцами отрицательно действует на прочность и работу траков, что говорит о необходимости постановки одного длинного пальца. </w:t>
      </w:r>
    </w:p>
    <w:p w14:paraId="53BB4EE8"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Большая разработка отверстий проушин литых траков является технологическим недостатком. </w:t>
      </w:r>
    </w:p>
    <w:p w14:paraId="53CEF1DF"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Трещины плоских траков по середине (между проушинами) являются следствием трещин-изломов гребневых траков, смежных с плоскими. </w:t>
      </w:r>
    </w:p>
    <w:p w14:paraId="4521DED0"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Несмотря на то, что траки гусеничных лент марки «СЭ» специальным испытаниям на булыжном шоссе не подвергались, они значительно раньше приходят в непригодность к эксплоатации, чем траки гусеничных лент 1 варианта. </w:t>
      </w:r>
    </w:p>
    <w:p w14:paraId="3F6DB37E"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&lt;…&gt;</w:t>
      </w:r>
    </w:p>
    <w:p w14:paraId="6E8BD21F"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Траки гусеничных лент марки «СЭ» по весу значительно тяжелее траков 1-го варианта: </w:t>
      </w:r>
    </w:p>
    <w:p w14:paraId="0508D7F1"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гребневого трака марки «СЭ» – 13,410 кг. </w:t>
      </w:r>
    </w:p>
    <w:p w14:paraId="3F50E296"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Вес плоского трака марки «СЭ» – 10,800 кг. </w:t>
      </w:r>
    </w:p>
    <w:p w14:paraId="1D116A83"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Вес гребневого трака 1 варианта – 12,150 кг. </w:t>
      </w:r>
    </w:p>
    <w:p w14:paraId="402FEB26"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Вес плоского трака 1 варианта – 9,720 кг. </w:t>
      </w:r>
    </w:p>
    <w:p w14:paraId="095CD631"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Разница веса гребневого трака – 1,260 кг. </w:t>
      </w:r>
    </w:p>
    <w:p w14:paraId="4991D0EB"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Разница веса плоского трака – 1,080 кг. </w:t>
      </w:r>
    </w:p>
    <w:p w14:paraId="7A08AD45"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9EC3178"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результатов и выводов по испытанию литых траков гусеничных лент марки «СЭ» из ст. Гадфильда (конструкция и производство СТЗ) бюро 540 считает: </w:t>
      </w:r>
    </w:p>
    <w:p w14:paraId="353296BF"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Гусеничная лента не обеспечивает гарантийного километража и значительно снижает тактические качества машины. </w:t>
      </w:r>
    </w:p>
    <w:p w14:paraId="70CDE22B"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Траки марки «СЭ» в условиях эксплоатации показали себя менее прочными по сравнению со всеми ранее испытанными вариантами гусениц. </w:t>
      </w:r>
    </w:p>
    <w:p w14:paraId="256A8216"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 испытаниям усиленных траков, а также ранее проведенных испытаний нескольких вариантов траков гусеничных лент показали, что упрочнение траков за счет утолщений и введений дополнительных ребер жесткости приводит только к увеличению общего веса машины, увеличением работы на перематывание гусеницы и уменьшением скорости машины в любых дорожных условиях. </w:t>
      </w:r>
    </w:p>
    <w:p w14:paraId="020D4037" w14:textId="77777777" w:rsidR="009C4AAF" w:rsidRPr="00A3026E" w:rsidRDefault="009C4AA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повышения качества траков гусеничных лент считаем необходимым усилить контроль и обратить особое внимание на соблюдение технологии, химсостава и термообработки траков из ст. Гадфильда с тем, чтобы обеспечить все требования, предъявляемые к литым тракам гусеничных лент в эксплоатации» (18533).</w:t>
      </w:r>
    </w:p>
    <w:p w14:paraId="516536A0" w14:textId="77777777" w:rsidR="009C4AAF" w:rsidRPr="00A3026E" w:rsidRDefault="009C4AAF" w:rsidP="00A3026E">
      <w:pPr>
        <w:spacing w:after="0" w:line="240" w:lineRule="auto"/>
        <w:jc w:val="both"/>
        <w:rPr>
          <w:rFonts w:ascii="Times New Roman" w:hAnsi="Times New Roman"/>
          <w:color w:val="000000" w:themeColor="text1"/>
          <w:sz w:val="16"/>
          <w:szCs w:val="16"/>
        </w:rPr>
      </w:pPr>
    </w:p>
    <w:p w14:paraId="32ED7E41" w14:textId="77777777" w:rsidR="005D6F1A" w:rsidRPr="00A3026E" w:rsidRDefault="005D6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ноя</w:t>
      </w:r>
      <w:r w:rsidRPr="00A3026E">
        <w:rPr>
          <w:rFonts w:ascii="Times New Roman" w:hAnsi="Times New Roman"/>
          <w:color w:val="000000" w:themeColor="text1"/>
          <w:sz w:val="16"/>
          <w:szCs w:val="16"/>
        </w:rPr>
        <w:softHyphen/>
        <w:t>бря 1940 года возникла идея установки в Т-40 двигателя ЗИС-16 (фор</w:t>
      </w:r>
      <w:r w:rsidRPr="00A3026E">
        <w:rPr>
          <w:rFonts w:ascii="Times New Roman" w:hAnsi="Times New Roman"/>
          <w:color w:val="000000" w:themeColor="text1"/>
          <w:sz w:val="16"/>
          <w:szCs w:val="16"/>
        </w:rPr>
        <w:softHyphen/>
        <w:t>сированная до 85 л.с. версия двигателя ЗИС-5), а также его дизельного варианта Д-7. Один танк отправили на ЗИС, но изучение вопроса дало неутешительный результат. Без увеличения габаритов моторного отде</w:t>
      </w:r>
      <w:r w:rsidRPr="00A3026E">
        <w:rPr>
          <w:rFonts w:ascii="Times New Roman" w:hAnsi="Times New Roman"/>
          <w:color w:val="000000" w:themeColor="text1"/>
          <w:sz w:val="16"/>
          <w:szCs w:val="16"/>
        </w:rPr>
        <w:softHyphen/>
        <w:t>ления новый двигатель в танк не влезал. К июню 1941 года проблемы с поставками ГАЗ-202 разрешились, но, судя по всему, при проекти</w:t>
      </w:r>
      <w:r w:rsidRPr="00A3026E">
        <w:rPr>
          <w:rFonts w:ascii="Times New Roman" w:hAnsi="Times New Roman"/>
          <w:color w:val="000000" w:themeColor="text1"/>
          <w:sz w:val="16"/>
          <w:szCs w:val="16"/>
        </w:rPr>
        <w:softHyphen/>
        <w:t>ровании Т-60 руководитель корпусной группы отдела 22 А. В. Богачев учел произошедший кризис с двигателями. Несмотря на то что корпус Т-60 стал ниже на 15 см, внутреннюю компоновку агрегатов перера</w:t>
      </w:r>
      <w:r w:rsidRPr="00A3026E">
        <w:rPr>
          <w:rFonts w:ascii="Times New Roman" w:hAnsi="Times New Roman"/>
          <w:color w:val="000000" w:themeColor="text1"/>
          <w:sz w:val="16"/>
          <w:szCs w:val="16"/>
        </w:rPr>
        <w:softHyphen/>
        <w:t>ботали так, что в танк помещался не только штатный ГАЗ-202, но и, после небольших доработок, двигатель ЗИС-5 (17485).</w:t>
      </w:r>
    </w:p>
    <w:p w14:paraId="5C116432" w14:textId="77777777" w:rsidR="005D6F1A" w:rsidRPr="00A3026E" w:rsidRDefault="005D6F1A" w:rsidP="00A3026E">
      <w:pPr>
        <w:spacing w:after="0" w:line="240" w:lineRule="auto"/>
        <w:jc w:val="both"/>
        <w:rPr>
          <w:rFonts w:ascii="Times New Roman" w:hAnsi="Times New Roman"/>
          <w:color w:val="000000" w:themeColor="text1"/>
          <w:sz w:val="16"/>
          <w:szCs w:val="16"/>
        </w:rPr>
      </w:pPr>
    </w:p>
    <w:p w14:paraId="223DB12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33C2CB1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2F6E1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МП-6 23 мм Я.Г.Таубина и М.Н.Бабурина (энергия отката ствола - можно реже чистить) (85,442) приняли на вооружение и поставили в серию на двух заводах, в конце года перевели на ленточное питание вместо магазинного, но в мае 1941 - сняли с вооружения. Испытывалась на И-21 М.М.Пашинина и ЛаГГ, а также на Ме-110 и Ил-2. На ее основе в 1941 сделали НС-37 (177,291). Освоение в серии проходило трудно и были выявлены некоторые недостатки в работе автоматики. На Тульский завод, где директором был Б.М.Пастухов, приезжал смотреть Б.Л.Ванников. Стреляли в тире (263,30).</w:t>
      </w:r>
    </w:p>
    <w:p w14:paraId="6426FD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крыльях Ил-2 МП-6, предназначенная для мотор-пушки давала слишком большую отдачу.</w:t>
      </w:r>
    </w:p>
    <w:p w14:paraId="46DC2E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Волков-Ярцев уже запустили в ТОЗ свою ВЯ, которая работала по принципу УБ - отвод газов (85,442). Подходила для штурмовика. Директор ТОЗ Б.Пастухов пролоббировал ВЯ у Г.М.Маленкова и МП-6 сняли с производства, хотя Я.Г.Таубин ее модернизировал к тому времени. Надо было найти ответственного за потраченные деньги - нашли (87,5).</w:t>
      </w:r>
    </w:p>
    <w:p w14:paraId="0802F6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Формулировка "являясь начальником ОКБ Наркомата вооружений, Я.Г.Таубин принимал активное участие в консервировании недоработанных образцов вооружения и в запуске в валовое производство технически несовершенных систем: 23 мм авиапушки, 12.7 мм пулемета и других (87,5).</w:t>
      </w:r>
    </w:p>
    <w:p w14:paraId="74B66E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Интересно, почему не пошла как МП и, следовательно, получается С.В.И. посодействовал.</w:t>
      </w:r>
    </w:p>
    <w:p w14:paraId="15CD34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Снаряды ВЯ - бронебойно-зажигательные и осколочно-зажигательные. Н.Ф.Соловьев сделал взрыватель с механизмом дальнего взведения. С 400 м пробивалась 25 мм броня. 400 м - мало для штурмовки.</w:t>
      </w:r>
    </w:p>
    <w:p w14:paraId="7C57B92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4C67E5D6" w14:textId="77777777" w:rsidR="00C659A8" w:rsidRPr="00A3026E" w:rsidRDefault="00C659A8" w:rsidP="00A3026E">
      <w:pPr>
        <w:pStyle w:val="ae"/>
        <w:shd w:val="clear" w:color="auto" w:fill="FFFFFF"/>
        <w:spacing w:before="0" w:after="0"/>
        <w:jc w:val="both"/>
        <w:rPr>
          <w:color w:val="000000" w:themeColor="text1"/>
          <w:sz w:val="16"/>
          <w:szCs w:val="16"/>
        </w:rPr>
      </w:pPr>
      <w:r w:rsidRPr="00A3026E">
        <w:rPr>
          <w:color w:val="000000" w:themeColor="text1"/>
          <w:sz w:val="16"/>
          <w:szCs w:val="16"/>
        </w:rPr>
        <w:t>С ноября 1940 г. начался процесс организации серийного производства пушек МП-6. В соответствии с Постановлением КО № 423сс от 16 ноября 1940 г. оно должно было осуществляться на заводе № 2 НКВ (г. Ковров), несколько позднее к нему присоединился и завод № 66 НКВ (г. Тула). Совместное Постановление СНК СССР и ЦК ВКП (б) № 2470-1100сс "О мероприятиях по обеспечению программы Наркомавиапрома на 1941 год" устанавливало объём заказа пушек МП-6 на 1941 г. в количестве 7550 штук с началом выпуска первых серийных образцов на заводе № 2 с 20 января 1941 г. и на заводе № 66 с 15 февраля того же года. Но практически одновременно с началом организации серийного производства МП-6 с ней начали происходить нехорошие явления. Пушка принималась на вооружение с магазинным питанием, хотя с самого начала было ясно, что необходим её перевод на ленточное питание. Складывалась странная ситуация: заводы начинают осваивать производство пушки с магазином, а параллельно с этим с середины декабря 1940 ОКБ-16 в авральном порядке дорабатывает пушку под ленту. В этой работе Таубина с одной стороны "подгонял" Нарком вооружения Б. Л. Ванников, с другой - конструктор штурмовика БШ-2 С. В. Ильюшин, нуждающийся в доработке места для пушки в крыле самолета. К 27 декабря 1940 г. штурмовик БШ-2 был готов, но пушки МП-6 с ленточным питанием по-прежнему не было. Тогда Ильюшин принял решение ставить на штурмовик пушку МП-6 с магазином и в этом виде готовить его к государственным испытаниям, назначенным на 10 января 1941 г. МП-6 с ленточным питанием удалось изготовить в первых числах января, буквально накануне испытаний. С 10 по 22 января состоялись сравнительные испытания пушек ВЯ и МП-6 с ленточным питанием на двух БШ-2 и обе пушки прошли их успешно. Но Ильюшин выбрал для штурмовика пушку ВЯ, мотивировав свое решение меньшим значением усилия её отдачи (19193).</w:t>
      </w:r>
    </w:p>
    <w:p w14:paraId="48E93190" w14:textId="77777777" w:rsidR="00C659A8" w:rsidRPr="00A3026E" w:rsidRDefault="00C659A8" w:rsidP="00A3026E">
      <w:pPr>
        <w:pStyle w:val="ae"/>
        <w:shd w:val="clear" w:color="auto" w:fill="FFFFFF"/>
        <w:spacing w:before="0" w:after="0"/>
        <w:jc w:val="both"/>
        <w:rPr>
          <w:color w:val="000000" w:themeColor="text1"/>
          <w:sz w:val="16"/>
          <w:szCs w:val="16"/>
        </w:rPr>
      </w:pPr>
    </w:p>
    <w:p w14:paraId="351F2D97" w14:textId="77777777" w:rsidR="00C659A8" w:rsidRPr="00A3026E" w:rsidRDefault="00C659A8" w:rsidP="00A3026E">
      <w:pPr>
        <w:pStyle w:val="ae"/>
        <w:shd w:val="clear" w:color="auto" w:fill="FFFFFF"/>
        <w:spacing w:before="0" w:after="0"/>
        <w:jc w:val="both"/>
        <w:rPr>
          <w:color w:val="000000" w:themeColor="text1"/>
          <w:sz w:val="16"/>
          <w:szCs w:val="16"/>
        </w:rPr>
      </w:pPr>
      <w:r w:rsidRPr="00A3026E">
        <w:rPr>
          <w:color w:val="000000" w:themeColor="text1"/>
          <w:sz w:val="16"/>
          <w:szCs w:val="16"/>
        </w:rPr>
        <w:t>Совместное Постановление СНК СССР и ЦК ВКП (б) № 2470-1100сс "О мероприятиях по обеспечению программы Наркомавиапрома на 1941 год" устанавливало объём заказа пушек МП-6 на 1941 г. в количестве 7550 штук с началом выпуска первых серийных образцов на заводе № 2 с 20 января 1941 г. и на заводе № 66 с 15 февраля того же года. Но практически одновременно с началом организации серийного производства МП-6 с ней начали происходить нехорошие явления. Пушка принималась на вооружение с магазинным питанием, хотя с самого начала было ясно, что необходим её перевод на ленточное питание. Складывалась странная ситуация: заводы начинают осваивать производство пушки с магазином, а параллельно с этим с середины декабря 1940 ОКБ-16 в авральном порядке дорабатывает пушку под ленту. В этой работе Таубина с одной стороны "подгонял" Нарком вооружения Б. Л. Ванников, с другой - конструктор штурмовика БШ-2 С. В. Ильюшин, нуждающийся в доработке места для пушки в крыле самолета. К 27 декабря 1940 г. штурмовик БШ-2 был готов, но пушки МП-6 с ленточным питанием по-прежнему не было. Тогда Ильюшин принял решение ставить на штурмовик пушку МП-6 с магазином и в этом виде готовить его к государственным испытаниям, назначенным на 10 января 1941 г. МП-6 с ленточным питанием удалось изготовить в первых числах января, буквально накануне испытаний. С 10 по 22 января состоялись сравнительные испытания пушек ВЯ и МП-6 с ленточным питанием на двух БШ-2 и обе пушки прошли их успешно. Но Ильюшин выбрал для штурмовика пушку ВЯ, мотивировав свое решение меньшим значением усилия её отдачи (19193).</w:t>
      </w:r>
    </w:p>
    <w:p w14:paraId="0824D040" w14:textId="77777777" w:rsidR="00C659A8" w:rsidRPr="00A3026E" w:rsidRDefault="00C659A8" w:rsidP="00A3026E">
      <w:pPr>
        <w:pStyle w:val="ae"/>
        <w:shd w:val="clear" w:color="auto" w:fill="FFFFFF"/>
        <w:spacing w:before="0" w:after="0"/>
        <w:jc w:val="both"/>
        <w:rPr>
          <w:color w:val="000000" w:themeColor="text1"/>
          <w:sz w:val="16"/>
          <w:szCs w:val="16"/>
        </w:rPr>
      </w:pPr>
    </w:p>
    <w:p w14:paraId="0755EB4A" w14:textId="77777777" w:rsidR="00331F11" w:rsidRPr="00A3026E" w:rsidRDefault="00331F1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ноябре 1940 главный конструктор ОКБ завода № 39 С. В. Ильюшин явно не торопился выполнять требования постановле</w:t>
      </w:r>
      <w:r w:rsidRPr="00A3026E">
        <w:rPr>
          <w:color w:val="000000" w:themeColor="text1"/>
          <w:sz w:val="16"/>
          <w:szCs w:val="16"/>
        </w:rPr>
        <w:softHyphen/>
        <w:t>ния Комитета обороны от 7 сентября и приказа НКАП от 12 сентября 1940 г. по установке пушек ПТБ-23 на самолет БШ-2 и изготовлению нового крыла. Дело в том, что к этому времени завод № 39 получил первый кондиционный мотор АМ-38 для установки его на БШ-2 № 1.</w:t>
      </w:r>
    </w:p>
    <w:p w14:paraId="063026AA" w14:textId="77777777" w:rsidR="00331F11" w:rsidRPr="00A3026E" w:rsidRDefault="00331F1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Одновременно начались работы по переделке БШ-2 в одноместный вариант. Это позволяло сде</w:t>
      </w:r>
      <w:r w:rsidRPr="00A3026E">
        <w:rPr>
          <w:color w:val="000000" w:themeColor="text1"/>
          <w:sz w:val="16"/>
          <w:szCs w:val="16"/>
        </w:rPr>
        <w:softHyphen/>
        <w:t>лать бронекорпус более коротким и легким. Появ</w:t>
      </w:r>
      <w:r w:rsidRPr="00A3026E">
        <w:rPr>
          <w:color w:val="000000" w:themeColor="text1"/>
          <w:sz w:val="16"/>
          <w:szCs w:val="16"/>
        </w:rPr>
        <w:softHyphen/>
        <w:t>лялась возможность установить внутри бронекор- пуса, позади летчика, дополнительный бензобак, усилить бронирование и вооружение, сохранив полетный вес в пределах допустимого.</w:t>
      </w:r>
    </w:p>
    <w:p w14:paraId="004804C1" w14:textId="77777777" w:rsidR="00331F11" w:rsidRPr="00A3026E" w:rsidRDefault="00331F1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Принятое решение в известной мере было вы</w:t>
      </w:r>
      <w:r w:rsidRPr="00A3026E">
        <w:rPr>
          <w:color w:val="000000" w:themeColor="text1"/>
          <w:sz w:val="16"/>
          <w:szCs w:val="16"/>
        </w:rPr>
        <w:softHyphen/>
        <w:t>нужденным. Ильюшин прекрасно понимал, что доводка БШ-2 до уровня ТТТ за счет изыскания внутренних резервов самолета потребует много времени, причем сроки окончания этих работ не устроят ни правительство, ни военных.</w:t>
      </w:r>
    </w:p>
    <w:p w14:paraId="65EB0E0B" w14:textId="77777777" w:rsidR="00331F11" w:rsidRPr="00A3026E" w:rsidRDefault="00331F1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Положение осложнялось еще и неблагополуч</w:t>
      </w:r>
      <w:r w:rsidRPr="00A3026E">
        <w:rPr>
          <w:color w:val="000000" w:themeColor="text1"/>
          <w:sz w:val="16"/>
          <w:szCs w:val="16"/>
        </w:rPr>
        <w:softHyphen/>
        <w:t>ным состоянием дел с доводкой бомбардировщи</w:t>
      </w:r>
      <w:r w:rsidRPr="00A3026E">
        <w:rPr>
          <w:color w:val="000000" w:themeColor="text1"/>
          <w:sz w:val="16"/>
          <w:szCs w:val="16"/>
        </w:rPr>
        <w:softHyphen/>
        <w:t>ка Ильюшина ДБ-3ф. Серийные образцы ДБ-3ф на испытаниях показывали удручающие результаты. Начальник ГУАС КА комдив П. А. Алексеев в начале мая отдал «приказание военной приемке заводов № 18 и № 39 прекратить окончательное оформле</w:t>
      </w:r>
      <w:r w:rsidRPr="00A3026E">
        <w:rPr>
          <w:color w:val="000000" w:themeColor="text1"/>
          <w:sz w:val="16"/>
          <w:szCs w:val="16"/>
        </w:rPr>
        <w:softHyphen/>
        <w:t>ние и оплату самолетов как неполноценных». На коллегии НКАП 8 мая работу Ильюшина охаракте</w:t>
      </w:r>
      <w:r w:rsidRPr="00A3026E">
        <w:rPr>
          <w:color w:val="000000" w:themeColor="text1"/>
          <w:sz w:val="16"/>
          <w:szCs w:val="16"/>
        </w:rPr>
        <w:softHyphen/>
        <w:t xml:space="preserve">ризовали как безответственное отношение </w:t>
      </w:r>
      <w:r w:rsidRPr="00A3026E">
        <w:rPr>
          <w:color w:val="000000" w:themeColor="text1"/>
          <w:sz w:val="16"/>
          <w:szCs w:val="16"/>
        </w:rPr>
        <w:lastRenderedPageBreak/>
        <w:t>к госу</w:t>
      </w:r>
      <w:r w:rsidRPr="00A3026E">
        <w:rPr>
          <w:color w:val="000000" w:themeColor="text1"/>
          <w:sz w:val="16"/>
          <w:szCs w:val="16"/>
        </w:rPr>
        <w:softHyphen/>
        <w:t>дарственному заданию. Его обязали немедленно принять все необходимые меры по исправлению создавшегося положения с ДБ-3ф. В июле принима</w:t>
      </w:r>
      <w:r w:rsidRPr="00A3026E">
        <w:rPr>
          <w:color w:val="000000" w:themeColor="text1"/>
          <w:sz w:val="16"/>
          <w:szCs w:val="16"/>
        </w:rPr>
        <w:softHyphen/>
        <w:t>ется решение о запуске в производство на заводе № 18 бомбардировщика ДБ-240 взамен ДБ-3ф. На повестку дня незримо встал вопрос о прекраще</w:t>
      </w:r>
      <w:r w:rsidRPr="00A3026E">
        <w:rPr>
          <w:color w:val="000000" w:themeColor="text1"/>
          <w:sz w:val="16"/>
          <w:szCs w:val="16"/>
        </w:rPr>
        <w:softHyphen/>
        <w:t>нии серии ДБ-3ф и на заводе № 39. Назревали «ор</w:t>
      </w:r>
      <w:r w:rsidRPr="00A3026E">
        <w:rPr>
          <w:color w:val="000000" w:themeColor="text1"/>
          <w:sz w:val="16"/>
          <w:szCs w:val="16"/>
        </w:rPr>
        <w:softHyphen/>
        <w:t>гвыводы» и потеря серийных заводов.</w:t>
      </w:r>
    </w:p>
    <w:p w14:paraId="0586A31A" w14:textId="77777777" w:rsidR="00331F11" w:rsidRPr="00A3026E" w:rsidRDefault="00331F1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этой связи переделка БШ-2 в одноместный вариант вполне логична. Этот шаг позволял весь</w:t>
      </w:r>
      <w:r w:rsidRPr="00A3026E">
        <w:rPr>
          <w:color w:val="000000" w:themeColor="text1"/>
          <w:sz w:val="16"/>
          <w:szCs w:val="16"/>
        </w:rPr>
        <w:softHyphen/>
        <w:t>ма быстро решить как проблему вооружения ВВС КА современным типом боевого самолета, так и проблему сохранения для ОКБ мощной произ</w:t>
      </w:r>
      <w:r w:rsidRPr="00A3026E">
        <w:rPr>
          <w:color w:val="000000" w:themeColor="text1"/>
          <w:sz w:val="16"/>
          <w:szCs w:val="16"/>
        </w:rPr>
        <w:softHyphen/>
        <w:t>водственной базы. Другое дело, задание Ильюшину никто не отменял: БШ-2 по ТТТ должен быть двух</w:t>
      </w:r>
      <w:r w:rsidRPr="00A3026E">
        <w:rPr>
          <w:color w:val="000000" w:themeColor="text1"/>
          <w:sz w:val="16"/>
          <w:szCs w:val="16"/>
        </w:rPr>
        <w:softHyphen/>
        <w:t>местным К сожалению, ГУ ВВС должной принципиально</w:t>
      </w:r>
      <w:r w:rsidRPr="00A3026E">
        <w:rPr>
          <w:color w:val="000000" w:themeColor="text1"/>
          <w:sz w:val="16"/>
          <w:szCs w:val="16"/>
        </w:rPr>
        <w:softHyphen/>
        <w:t>сти по поводу переделки БШ-2 не проявило, хотя военное представительство на заводе № 39 и веду</w:t>
      </w:r>
      <w:r w:rsidRPr="00A3026E">
        <w:rPr>
          <w:color w:val="000000" w:themeColor="text1"/>
          <w:sz w:val="16"/>
          <w:szCs w:val="16"/>
        </w:rPr>
        <w:softHyphen/>
        <w:t>щий инженер по самолету от НИИ ВВС военинже- нер 1-го ранга Н. С. Куликов своевременно докла</w:t>
      </w:r>
      <w:r w:rsidRPr="00A3026E">
        <w:rPr>
          <w:color w:val="000000" w:themeColor="text1"/>
          <w:sz w:val="16"/>
          <w:szCs w:val="16"/>
        </w:rPr>
        <w:softHyphen/>
        <w:t>дывали о ходе работ по БШ-2 (17500).</w:t>
      </w:r>
    </w:p>
    <w:p w14:paraId="192BDBEA" w14:textId="77777777" w:rsidR="00331F11" w:rsidRPr="00A3026E" w:rsidRDefault="00331F11" w:rsidP="00A3026E">
      <w:pPr>
        <w:spacing w:after="0" w:line="240" w:lineRule="auto"/>
        <w:jc w:val="both"/>
        <w:rPr>
          <w:rFonts w:ascii="Times New Roman" w:eastAsia="Times New Roman" w:hAnsi="Times New Roman"/>
          <w:color w:val="000000" w:themeColor="text1"/>
          <w:sz w:val="16"/>
          <w:szCs w:val="16"/>
          <w:lang w:eastAsia="ru-RU"/>
        </w:rPr>
      </w:pPr>
    </w:p>
    <w:p w14:paraId="42A04DB7" w14:textId="77777777" w:rsidR="00331F11" w:rsidRPr="00A3026E" w:rsidRDefault="00331F1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ноябре 1940 г. было принято решение по передаче ОКБ-16 инструментального завода тре</w:t>
      </w:r>
      <w:r w:rsidRPr="00A3026E">
        <w:rPr>
          <w:color w:val="000000" w:themeColor="text1"/>
          <w:sz w:val="16"/>
          <w:szCs w:val="16"/>
        </w:rPr>
        <w:softHyphen/>
        <w:t>ста «Лесбуммашина», на территории которого оно размещалось. Штат ОКБ-16 сразу же увеличился до 300 сотрудников. Однако кадровую проблему это не решило. В ОКБ-16 остро не хватало опытных оружейников — инженеров, конструкторов, техно</w:t>
      </w:r>
      <w:r w:rsidRPr="00A3026E">
        <w:rPr>
          <w:color w:val="000000" w:themeColor="text1"/>
          <w:sz w:val="16"/>
          <w:szCs w:val="16"/>
        </w:rPr>
        <w:softHyphen/>
        <w:t>логов, механиков-отладчиков.</w:t>
      </w:r>
    </w:p>
    <w:p w14:paraId="1AD237AE" w14:textId="77777777" w:rsidR="00331F11" w:rsidRPr="00A3026E" w:rsidRDefault="00331F1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Между тем форсированная разработка кон</w:t>
      </w:r>
      <w:r w:rsidRPr="00A3026E">
        <w:rPr>
          <w:color w:val="000000" w:themeColor="text1"/>
          <w:sz w:val="16"/>
          <w:szCs w:val="16"/>
        </w:rPr>
        <w:softHyphen/>
        <w:t>структорской документации и изготовление опыт</w:t>
      </w:r>
      <w:r w:rsidRPr="00A3026E">
        <w:rPr>
          <w:color w:val="000000" w:themeColor="text1"/>
          <w:sz w:val="16"/>
          <w:szCs w:val="16"/>
        </w:rPr>
        <w:softHyphen/>
        <w:t>ного образца 12,7-мм пулемета АП-12,7 заметно снизили темпы работ по пушкам ПТБ-23 и БМА-37.</w:t>
      </w:r>
    </w:p>
    <w:p w14:paraId="0DAECBA8" w14:textId="77777777" w:rsidR="00331F11" w:rsidRPr="00A3026E" w:rsidRDefault="00331F1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После передачи пулемета в производство (завод № 74 НКВ) его пришлось дорабатывать в ходе ор</w:t>
      </w:r>
      <w:r w:rsidRPr="00A3026E">
        <w:rPr>
          <w:color w:val="000000" w:themeColor="text1"/>
          <w:sz w:val="16"/>
          <w:szCs w:val="16"/>
        </w:rPr>
        <w:softHyphen/>
        <w:t>ганизации серии, внося существенные изменения в конструкцию многих деталей и узлов. Почти одновременно началась переделка пушки ПТБ-23 под питание от ленты с рассыпным звеном. В то же время расчет на высокую квалификацию инжене</w:t>
      </w:r>
      <w:r w:rsidRPr="00A3026E">
        <w:rPr>
          <w:color w:val="000000" w:themeColor="text1"/>
          <w:sz w:val="16"/>
          <w:szCs w:val="16"/>
        </w:rPr>
        <w:softHyphen/>
        <w:t>ров-практиков заводов № 2, 66 и 74 НКВ, которым фактически передавалась разработка технологии изготовления и частично отладка автоматов ОКБ-16, не оправдался. Как следствие, в установленные сроки валовое производство АП-12,7 и ПТБ-23 не началось.</w:t>
      </w:r>
    </w:p>
    <w:p w14:paraId="05C79D6A" w14:textId="77777777" w:rsidR="00331F11" w:rsidRPr="00A3026E" w:rsidRDefault="00331F11"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hAnsi="Times New Roman"/>
          <w:color w:val="000000" w:themeColor="text1"/>
          <w:sz w:val="16"/>
          <w:szCs w:val="16"/>
        </w:rPr>
        <w:t>Ситуацию с пулеметом калибра 12,7 мм и воз</w:t>
      </w:r>
      <w:r w:rsidRPr="00A3026E">
        <w:rPr>
          <w:rFonts w:ascii="Times New Roman" w:hAnsi="Times New Roman"/>
          <w:color w:val="000000" w:themeColor="text1"/>
          <w:sz w:val="16"/>
          <w:szCs w:val="16"/>
        </w:rPr>
        <w:softHyphen/>
        <w:t>можные последствия для ВВС КА весьма точно оха</w:t>
      </w:r>
      <w:r w:rsidRPr="00A3026E">
        <w:rPr>
          <w:rFonts w:ascii="Times New Roman" w:hAnsi="Times New Roman"/>
          <w:color w:val="000000" w:themeColor="text1"/>
          <w:sz w:val="16"/>
          <w:szCs w:val="16"/>
        </w:rPr>
        <w:softHyphen/>
        <w:t>рактеризовал помощник начальника Генерального штаба по авиации генерал-лейтенант Я. В. Смуш- кевич в своем докладе маршалу С. К. Тимошенко: «Наши конструкторы, начиная с 1936 г., начали работу по производству крупнокалиберных пуле</w:t>
      </w:r>
      <w:r w:rsidRPr="00A3026E">
        <w:rPr>
          <w:rFonts w:ascii="Times New Roman" w:hAnsi="Times New Roman"/>
          <w:color w:val="000000" w:themeColor="text1"/>
          <w:sz w:val="16"/>
          <w:szCs w:val="16"/>
        </w:rPr>
        <w:softHyphen/>
        <w:t>метов. С 1937 г. начали конструировать пулемет БС 12,7 мм, и в 1938 г. после испытания было принято решение строить. Однако этот пулемет до сих пор не доведен. При испытаниях в авиачастях имеет ряд существенных задержек, особенно по вине пулеметной установки, и все пулеметы первых вы</w:t>
      </w:r>
      <w:r w:rsidRPr="00A3026E">
        <w:rPr>
          <w:rFonts w:ascii="Times New Roman" w:hAnsi="Times New Roman"/>
          <w:color w:val="000000" w:themeColor="text1"/>
          <w:sz w:val="16"/>
          <w:szCs w:val="16"/>
        </w:rPr>
        <w:softHyphen/>
        <w:t>пусков, установленных на И-16 и И-153, подлежат замене. Тем не менее все недостатки пулемета БС можно было устранить быстрее, чем постро</w:t>
      </w:r>
      <w:r w:rsidRPr="00A3026E">
        <w:rPr>
          <w:rFonts w:ascii="Times New Roman" w:hAnsi="Times New Roman"/>
          <w:color w:val="000000" w:themeColor="text1"/>
          <w:sz w:val="16"/>
          <w:szCs w:val="16"/>
        </w:rPr>
        <w:softHyphen/>
        <w:t>ить новый пулемет. /.../ Но, несмотря на это, сей</w:t>
      </w:r>
      <w:r w:rsidRPr="00A3026E">
        <w:rPr>
          <w:rFonts w:ascii="Times New Roman" w:hAnsi="Times New Roman"/>
          <w:color w:val="000000" w:themeColor="text1"/>
          <w:sz w:val="16"/>
          <w:szCs w:val="16"/>
        </w:rPr>
        <w:softHyphen/>
        <w:t>час БС фактически с вооружения снимается, и вся ориентировка берется на выпуск нового пулемета Таубина, то есть делается непонятное: одно не сде</w:t>
      </w:r>
      <w:r w:rsidRPr="00A3026E">
        <w:rPr>
          <w:rFonts w:ascii="Times New Roman" w:hAnsi="Times New Roman"/>
          <w:color w:val="000000" w:themeColor="text1"/>
          <w:sz w:val="16"/>
          <w:szCs w:val="16"/>
        </w:rPr>
        <w:softHyphen/>
        <w:t>лали — бросили, начали другое. В результате наша авиация не будет иметь крупнокалиберного пу</w:t>
      </w:r>
      <w:r w:rsidRPr="00A3026E">
        <w:rPr>
          <w:rFonts w:ascii="Times New Roman" w:hAnsi="Times New Roman"/>
          <w:color w:val="000000" w:themeColor="text1"/>
          <w:sz w:val="16"/>
          <w:szCs w:val="16"/>
        </w:rPr>
        <w:softHyphen/>
        <w:t>лемета» (17500)</w:t>
      </w:r>
    </w:p>
    <w:p w14:paraId="55EE9385" w14:textId="77777777" w:rsidR="00331F11" w:rsidRPr="00A3026E" w:rsidRDefault="00331F11" w:rsidP="00A3026E">
      <w:pPr>
        <w:spacing w:after="0" w:line="240" w:lineRule="auto"/>
        <w:jc w:val="both"/>
        <w:rPr>
          <w:rFonts w:ascii="Times New Roman" w:eastAsia="Times New Roman" w:hAnsi="Times New Roman"/>
          <w:color w:val="000000" w:themeColor="text1"/>
          <w:sz w:val="16"/>
          <w:szCs w:val="16"/>
          <w:lang w:eastAsia="ru-RU"/>
        </w:rPr>
      </w:pPr>
    </w:p>
    <w:p w14:paraId="3C9E2F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ноябре 1940 г. заводу ИНЗ-2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w:t>
      </w:r>
      <w:r w:rsidRPr="00A3026E">
        <w:rPr>
          <w:rFonts w:ascii="Times New Roman" w:hAnsi="Times New Roman"/>
          <w:color w:val="000000" w:themeColor="text1"/>
          <w:sz w:val="16"/>
          <w:szCs w:val="16"/>
          <w:lang w:val="en-US"/>
        </w:rPr>
        <w:t>MB</w:t>
      </w:r>
      <w:r w:rsidRPr="00A3026E">
        <w:rPr>
          <w:rFonts w:ascii="Times New Roman" w:hAnsi="Times New Roman"/>
          <w:color w:val="000000" w:themeColor="text1"/>
          <w:sz w:val="16"/>
          <w:szCs w:val="16"/>
        </w:rPr>
        <w:t>, А-7393, ПО, ГП, АООТ, ОАО «Завод им. В.А. Дегтярева» (ЗиД) /г. Ковров Нижегородской ж/д/ /601900 г. Ковров Владимирской обл. ул. Труда, 4 тел. 303-89, 326-90) был поручен серийный выпуск 23-мм авиационной пушки МП-6, в 05.1941 г. из-за ареста Я.Г. Таубина она снята с производства (11982).</w:t>
      </w:r>
    </w:p>
    <w:p w14:paraId="1B7E237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12347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в план внесли по распоряже</w:t>
      </w:r>
      <w:r w:rsidRPr="00A3026E">
        <w:rPr>
          <w:rFonts w:ascii="Times New Roman" w:hAnsi="Times New Roman"/>
          <w:color w:val="000000" w:themeColor="text1"/>
          <w:sz w:val="16"/>
          <w:szCs w:val="16"/>
        </w:rPr>
        <w:softHyphen/>
        <w:t>нию И.В. Сталина «задним числом» АМ-38. Его создавали специально для штурмовика БШ-2 (Ил-2) в инициативном порядке. По сравнению с АМ-35А были усилены картер и носок редуктора, спроектирован новый привод к ПЦН, доработаны маслосистема и система охлаждения. Испыта</w:t>
      </w:r>
      <w:r w:rsidRPr="00A3026E">
        <w:rPr>
          <w:rFonts w:ascii="Times New Roman" w:hAnsi="Times New Roman"/>
          <w:color w:val="000000" w:themeColor="text1"/>
          <w:sz w:val="16"/>
          <w:szCs w:val="16"/>
        </w:rPr>
        <w:softHyphen/>
        <w:t>ния первых образцов АМ-38 начали еще в октябре 1939 г., в ноябре того же года он прошел программу заводских испытаний. В ходе доводки в 1940 г. была уменьшена степень сжатия с 7,0 до 6,8, усовершенствованы маслосистема и система охлаждения. Вес при этом возрос на 30 кг.</w:t>
      </w:r>
    </w:p>
    <w:p w14:paraId="517AC6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АМ-38 серийно выпускался с начала 1941 г., хотя официально прошел госиспытания только через полгода, в июле. Делали их на заводе № 24 в Москве, а после эвакуации предприятия в Куйбышеве (ныне Самара). С июня 1942 г. АМ-38 выпускали также на заводе № 45, организованном в старых цехах завода в Москве. АМ-38 — самый массовый двигатель Микулина, их сделали 43 191 экз. Производство продолжалось до конца 1945 г.</w:t>
      </w:r>
    </w:p>
    <w:p w14:paraId="6E3037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Характеристики:</w:t>
      </w:r>
    </w:p>
    <w:p w14:paraId="4AD277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w:t>
      </w:r>
    </w:p>
    <w:p w14:paraId="0734A2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диаметр цилиндра/ход поршня 160/190 (в цилиндрах с прицепными шатунами 196,8 мм);</w:t>
      </w:r>
    </w:p>
    <w:p w14:paraId="095809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объем 46,66 л, степень сжатия, мощность и вес в зависимости от модификации;</w:t>
      </w:r>
    </w:p>
    <w:p w14:paraId="117E60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запуск сжатым воздухом. Известны модификации:</w:t>
      </w:r>
    </w:p>
    <w:p w14:paraId="385B82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АМ-38, серийно выпускался в 1941-1943 гг. Степень сжатия 6,8, мощность 1500/1600 л.с., вес 860 кг.</w:t>
      </w:r>
    </w:p>
    <w:p w14:paraId="29A0E8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АМ-38Ф, форсированный по оборотам на взлетном режиме. Сте</w:t>
      </w:r>
      <w:r w:rsidRPr="00A3026E">
        <w:rPr>
          <w:rFonts w:ascii="Times New Roman" w:hAnsi="Times New Roman"/>
          <w:color w:val="000000" w:themeColor="text1"/>
          <w:sz w:val="16"/>
          <w:szCs w:val="16"/>
        </w:rPr>
        <w:softHyphen/>
        <w:t>пень сжатия 6,0, мощность 1500/1700 л.с., вес 880 кг. Установлена масляная центрифуга, усилены распредвалы и впускные клапаны, головки блоков изготовлены из другого сплава. Уменьшен диаметр крыльчатки ПЦН. Степень сжатия понижена для того, чтобы мож</w:t>
      </w:r>
      <w:r w:rsidRPr="00A3026E">
        <w:rPr>
          <w:rFonts w:ascii="Times New Roman" w:hAnsi="Times New Roman"/>
          <w:color w:val="000000" w:themeColor="text1"/>
          <w:sz w:val="16"/>
          <w:szCs w:val="16"/>
        </w:rPr>
        <w:softHyphen/>
        <w:t>но было использовать низкокачественный бензин. АМ-38Ф серийно выпускали на заводе № 24 с октября 1942 г., на заводе № 45 с 1943 г. Официальные госиспытания АМ-38Ф прошел только в мае 1943 г. В июне 1944 г. проводили эксперименты по впрыску воды на форсированных режимах. - ГАМ-38Ф, проект катерного варианта АМ-38Ф, выполненный весной</w:t>
      </w:r>
    </w:p>
    <w:p w14:paraId="1CF9F9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1944 г. Имел измененные картер, коленвал, ПЦН. Введены реверс-муфта и дополнительный водяной насос. Опытный образец не из</w:t>
      </w:r>
      <w:r w:rsidRPr="00A3026E">
        <w:rPr>
          <w:rFonts w:ascii="Times New Roman" w:hAnsi="Times New Roman"/>
          <w:color w:val="000000" w:themeColor="text1"/>
          <w:sz w:val="16"/>
          <w:szCs w:val="16"/>
        </w:rPr>
        <w:softHyphen/>
        <w:t>готавливался.</w:t>
      </w:r>
    </w:p>
    <w:p w14:paraId="3CE563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Двигатели АМ-38 и АМ-38Ф устанавливались на серийных штурмови</w:t>
      </w:r>
      <w:r w:rsidRPr="00A3026E">
        <w:rPr>
          <w:rFonts w:ascii="Times New Roman" w:hAnsi="Times New Roman"/>
          <w:color w:val="000000" w:themeColor="text1"/>
          <w:sz w:val="16"/>
          <w:szCs w:val="16"/>
        </w:rPr>
        <w:softHyphen/>
        <w:t>ках Ил-2, а также на опытном самолете ТИС-МА. Истребители МиГ-3 в мастерских и строевых полках переделывали под АМ-38. Использование АМ-38 предусматривалось также в проекте самолета ОДБ(П).</w:t>
      </w:r>
    </w:p>
    <w:p w14:paraId="472F30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АМ-38Ф экспортировались в Польшу, Чехословакию и Югос</w:t>
      </w:r>
      <w:r w:rsidRPr="00A3026E">
        <w:rPr>
          <w:rFonts w:ascii="Times New Roman" w:hAnsi="Times New Roman"/>
          <w:color w:val="000000" w:themeColor="text1"/>
          <w:sz w:val="16"/>
          <w:szCs w:val="16"/>
        </w:rPr>
        <w:softHyphen/>
        <w:t>лавию (11852).</w:t>
      </w:r>
    </w:p>
    <w:p w14:paraId="7864BA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B5680F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Самолет ОБШ М-88 вы</w:t>
      </w:r>
      <w:r w:rsidRPr="00A3026E">
        <w:rPr>
          <w:rFonts w:ascii="Times New Roman" w:hAnsi="Times New Roman"/>
          <w:color w:val="000000" w:themeColor="text1"/>
          <w:sz w:val="16"/>
          <w:szCs w:val="16"/>
        </w:rPr>
        <w:softHyphen/>
        <w:t>шел на заводские испытания, но в одном из полетов был разбит: снесено шасси, помя</w:t>
      </w:r>
      <w:r w:rsidRPr="00A3026E">
        <w:rPr>
          <w:rFonts w:ascii="Times New Roman" w:hAnsi="Times New Roman"/>
          <w:color w:val="000000" w:themeColor="text1"/>
          <w:sz w:val="16"/>
          <w:szCs w:val="16"/>
        </w:rPr>
        <w:softHyphen/>
        <w:t>ты фюзеляж и крыло, погнут винт. По-ви</w:t>
      </w:r>
      <w:r w:rsidRPr="00A3026E">
        <w:rPr>
          <w:rFonts w:ascii="Times New Roman" w:hAnsi="Times New Roman"/>
          <w:color w:val="000000" w:themeColor="text1"/>
          <w:sz w:val="16"/>
          <w:szCs w:val="16"/>
        </w:rPr>
        <w:softHyphen/>
        <w:t>димому, дальнейшие работы по нему были свернуты. Зато в отношении второго, наи</w:t>
      </w:r>
      <w:r w:rsidRPr="00A3026E">
        <w:rPr>
          <w:rFonts w:ascii="Times New Roman" w:hAnsi="Times New Roman"/>
          <w:color w:val="000000" w:themeColor="text1"/>
          <w:sz w:val="16"/>
          <w:szCs w:val="16"/>
        </w:rPr>
        <w:softHyphen/>
        <w:t>более обещающего варианта внимание за</w:t>
      </w:r>
      <w:r w:rsidRPr="00A3026E">
        <w:rPr>
          <w:rFonts w:ascii="Times New Roman" w:hAnsi="Times New Roman"/>
          <w:color w:val="000000" w:themeColor="text1"/>
          <w:sz w:val="16"/>
          <w:szCs w:val="16"/>
        </w:rPr>
        <w:softHyphen/>
        <w:t>метно усиливалось (5011).</w:t>
      </w:r>
    </w:p>
    <w:p w14:paraId="509DEBA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56740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на 18-м з-де бронеспинку толщиной 6 мм заменили на ДБ-3М на более мощную - 8 мм (7494).</w:t>
      </w:r>
    </w:p>
    <w:p w14:paraId="751A14B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498EB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спинку толщиной 6 мм заменили на более мощную - 8,5 мм, из цементированной брони. Учитывая опыт финской войны, внедрили бронеспинки пилотских кресел. На первые серии ДБ-ЗМ их ставили уже в войсках, затем заводы стали их досылать на ранее выпущенные машины и, наконец, спинки начали монтировать прямо в цехе (в Воронеже с 39-й серии) (12021).</w:t>
      </w:r>
    </w:p>
    <w:p w14:paraId="7985B00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8BE8B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из сборочного цеха завода № 39 уже появились первые ДБ-ЗМ (так они первоначально назывались, причем под этой вывеской шли потом и самолеты с М-87Б). К 10 декабря военной приемке предъявили пять машин, ни одна из которых не была принята. Руководство предприятия объяснило это отсутствием годных моторов М-88 и воздушных винтов. На заводе № 18 первый ДБ-ЗМ собрали в конце октября, а 2 ноября его передали налетные испытания. К 22 декабря на приемку там поступили 14 бомбардировщиков. К Новому году план выполнили, но военная приемка не пропустила ни одной машины. С декабря в Воронеже параллельно пошла сборка самолетов с моторами М-87 и винтами ВИШ-3 и М-88 и ВИШ-23. Кроме двигателей и винтов они ничем не отличались. Завод № 39 до марта комплектовал свои машины только М-88. Последний официально даже не был принят на вооружение, это произошло только 24 января 1940 г. (12021).</w:t>
      </w:r>
    </w:p>
    <w:p w14:paraId="60F5E0E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3C0ED01" w14:textId="77777777" w:rsidR="002D4A2C" w:rsidRPr="00A3026E" w:rsidRDefault="002D4A2C" w:rsidP="00A3026E">
      <w:pPr>
        <w:pStyle w:val="rteindent11"/>
        <w:shd w:val="clear" w:color="auto" w:fill="FFFFFF"/>
        <w:spacing w:before="0" w:beforeAutospacing="0" w:after="0"/>
        <w:ind w:left="0" w:firstLine="0"/>
        <w:rPr>
          <w:rStyle w:val="af0"/>
          <w:i w:val="0"/>
          <w:color w:val="000000" w:themeColor="text1"/>
          <w:sz w:val="16"/>
          <w:szCs w:val="16"/>
        </w:rPr>
      </w:pPr>
      <w:r w:rsidRPr="00A3026E">
        <w:rPr>
          <w:rStyle w:val="af0"/>
          <w:i w:val="0"/>
          <w:color w:val="000000" w:themeColor="text1"/>
          <w:sz w:val="16"/>
          <w:szCs w:val="16"/>
        </w:rPr>
        <w:t>В ноябре 1940 на завод № 39 начали поступать законченные доводкой (заводом № 29) моторы М-88бис и заказчик обязал завод сдавать самолеты только с мотором М88Б. Таким образом, всего было снято и заменено за год около 200 моторов. Снятие и установка новых моторов в аэродромных условиях, с вторичным прохождением заново всего цикла испытаний удваивало цикл пребывания машин на аэродроме. К тому же установка моторов М-88Б в ноябре-декабре тормозилась слабым поступлением этих моторов и проведением работ по переделкам винтомоторной группы (изготовленной под М-87) под моторы М-88 (несоответствие подогревов). На 1 января 1941 года в незавершенном производстве было 112,38 условных машин ДБ-3Ф. Окончательно собранных машин на аэродроме находится 44 штуки (в том числе 2 машины, бывшие в НИИ на Госиспытаниях и возвращенные для доводок). Из них с моторами М-88Б – 14 штук, остальные без моторов. Этими 44-мя самолетами заканчивается сдача заказчику (15223).</w:t>
      </w:r>
    </w:p>
    <w:p w14:paraId="2B513454" w14:textId="77777777" w:rsidR="002D4A2C" w:rsidRPr="00A3026E" w:rsidRDefault="002D4A2C" w:rsidP="00A3026E">
      <w:pPr>
        <w:pStyle w:val="rteindent11"/>
        <w:shd w:val="clear" w:color="auto" w:fill="FFFFFF"/>
        <w:spacing w:before="0" w:beforeAutospacing="0" w:after="0"/>
        <w:ind w:left="0" w:firstLine="0"/>
        <w:rPr>
          <w:rStyle w:val="af0"/>
          <w:i w:val="0"/>
          <w:color w:val="000000" w:themeColor="text1"/>
          <w:sz w:val="16"/>
          <w:szCs w:val="16"/>
        </w:rPr>
      </w:pPr>
    </w:p>
    <w:p w14:paraId="655142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производство ДБ-3 на заводе № 39 прекратили, но еще 44 ДБ-ЗФ сдали в начале следующего года. Далее весь имевшийся задел отправили в Комсомольск, в том числе 55 самолетов - в виде полных комплектов.</w:t>
      </w:r>
    </w:p>
    <w:p w14:paraId="797A77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оставались без внимания и ДБ-3 ранних модификаций. Их по возможности дорабатывали под стандарт последующих серий. Проводилась замена моторов на М-87, установка бронеспинок, радиополукомпасов и системы нейтрального газа, турелей МВ-2 и МВ-3, зимних лобовых щитов капотов и газоанализаторов. Переделке подверглись несколько сот машин, причем не на всех самолетах список доработок совпадал, поэтому встречались бомбардировщики с различным сочетанием характерных признаков разных модификаций и серий (12021).</w:t>
      </w:r>
    </w:p>
    <w:p w14:paraId="6A38C30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E9E59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ноябре 1940 г. заводу № 126 (Завод № 126 НКТП, НКОП, НКАП, МАП, Дальневосточный машиностроительный завод (ДМЗ), Комсомольский-на-Амуре авиационный завод им. Ю.А. Гагарина, п/я-40, М-5873, ФГУП «Комсомольское-на-Амуре авиационное ПО (КнААПО) им. Ю.А. Гагарина», ОАО «КнААПО» /пос. Дзёмги Хабаровского кр./ /681018  г. Комсомольск-на-Амуре Хабаровского кр., ул. Советская, 1 тел. 52-62-00/ /Московское представительство: тел. 933-58-14/) был выдан план на 1941 г. по выпуску 350 ДБ-ЗФ.</w:t>
      </w:r>
    </w:p>
    <w:p w14:paraId="3BEAD6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1956 г. началась подготовка к выпуску первых для предприятия сверхзвуковых машин - Су-7.</w:t>
      </w:r>
    </w:p>
    <w:p w14:paraId="3B214A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1976 г. начата подготовка к производству Су-27, в 1978 г. на завод передан комплект рабочей документации. В конце 1980 г. собран первый серийный экземпляр, 20.04.1981 г. он выполнил первый полет. Пост, правительства от 18.04.1984 г. заводу в кооперации с ОКБ поручено построить в 1985-86 г. три опытных Су-27К и конструктивно-технологический макет для ЧСЗ.</w:t>
      </w:r>
    </w:p>
    <w:p w14:paraId="072171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СМ СССР № 713-342 от 26.06.1957 г. передан в ведение СНХ РСФСР.</w:t>
      </w:r>
    </w:p>
    <w:p w14:paraId="29021F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1966 г. завод № 126 переименован в Дальневосточный машиностроительный завод (ДМЗ), имел открытое наименование «предприятие п/я 40», позднее- М-5873. В 1976 г. ДМЗ переименован в Комсомольский-на-Амуре авиационный завод, в 1977 г. присвоено имя Ю.А. Гагарина. В 1989 г. авиационный завод преобразован в КнААПО. Входит в АХК «Сухой» (2004 г.). По решению правительства № 22-р от 9.01.2004 г. и Указу Президента РФ № 1009 от 4.08.2004 г. вошел в число стратегических оборонных предприятий. По Указу Президента РФ от 20.02.2006 г. вошла в ОАО </w:t>
      </w:r>
      <w:r w:rsidRPr="00A3026E">
        <w:rPr>
          <w:rFonts w:ascii="Times New Roman" w:hAnsi="Times New Roman"/>
          <w:color w:val="000000" w:themeColor="text1"/>
          <w:sz w:val="16"/>
          <w:szCs w:val="16"/>
          <w:lang w:val="en-US"/>
        </w:rPr>
        <w:t>OAK</w:t>
      </w:r>
      <w:r w:rsidRPr="00A3026E">
        <w:rPr>
          <w:rFonts w:ascii="Times New Roman" w:hAnsi="Times New Roman"/>
          <w:color w:val="000000" w:themeColor="text1"/>
          <w:sz w:val="16"/>
          <w:szCs w:val="16"/>
        </w:rPr>
        <w:t>.</w:t>
      </w:r>
    </w:p>
    <w:p w14:paraId="51862C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1980-е  г. на заводе существовал филиал ОКБ П.О. Сухого (начальник- В.И. Зименко).</w:t>
      </w:r>
    </w:p>
    <w:p w14:paraId="237859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15.11.1994 г. образовано совместное с ТАНТК предприятие АОЗТ «ТАКОМ-АВИА» для реализации программы выпуска Бе-103. Приказом по заводу от 23.01.1995 г. был открыт заказ на постройку первых 4-х машин Бе-103. Представителем ТАНТК на заводе был Б. Г. Жуков. В 04.1999 г. производство было приостановлено из-за катастрофы. 13.05.2002 г. на КнААПО была возобновлена постройка 3 машин 32-й серии, а через месяц открыт заказ еще на 10 машин (23.05.205 г. он был разбит на две серии- 32-ю и 35-ю по 5 машин).</w:t>
      </w:r>
    </w:p>
    <w:p w14:paraId="5B15EA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Имелись цеха: № 21 (ЛИС), № 30, № 46, прицельных РЛК, гальванопокрытий, механосборочный; корпус под уникальный пресс, ацетиленовая станция. В 1993 г. на базе цеха прицельных РЛК создан Дальневосточный радиоэлектронный завод «Авест».</w:t>
      </w:r>
    </w:p>
    <w:p w14:paraId="72D47B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1999 г. на заводе введена система электронного проектирования и моделирования. Создан Инженерный центр, обеспечивающий внедрение </w:t>
      </w:r>
      <w:r w:rsidRPr="00A3026E">
        <w:rPr>
          <w:rFonts w:ascii="Times New Roman" w:hAnsi="Times New Roman"/>
          <w:color w:val="000000" w:themeColor="text1"/>
          <w:sz w:val="16"/>
          <w:szCs w:val="16"/>
          <w:lang w:val="en-US"/>
        </w:rPr>
        <w:t>CALS</w:t>
      </w:r>
      <w:r w:rsidRPr="00A3026E">
        <w:rPr>
          <w:rFonts w:ascii="Times New Roman" w:hAnsi="Times New Roman"/>
          <w:color w:val="000000" w:themeColor="text1"/>
          <w:sz w:val="16"/>
          <w:szCs w:val="16"/>
        </w:rPr>
        <w:t>-технологий и компьютерное проектирование.</w:t>
      </w:r>
    </w:p>
    <w:p w14:paraId="5C9446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15.05.2000 г. в Отделе рабочего проектирования ОГК завода образовано Комплексное инженерное бюро (КИБ).</w:t>
      </w:r>
    </w:p>
    <w:p w14:paraId="3F5546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Работы (2004 г.): освоение производства С-80; подготовка производства семейства российских региональных самолетов </w:t>
      </w:r>
      <w:r w:rsidRPr="00A3026E">
        <w:rPr>
          <w:rFonts w:ascii="Times New Roman" w:hAnsi="Times New Roman"/>
          <w:color w:val="000000" w:themeColor="text1"/>
          <w:sz w:val="16"/>
          <w:szCs w:val="16"/>
          <w:lang w:val="en-US"/>
        </w:rPr>
        <w:t>RJRJ</w:t>
      </w:r>
      <w:r w:rsidRPr="00A3026E">
        <w:rPr>
          <w:rFonts w:ascii="Times New Roman" w:hAnsi="Times New Roman"/>
          <w:color w:val="000000" w:themeColor="text1"/>
          <w:sz w:val="16"/>
          <w:szCs w:val="16"/>
        </w:rPr>
        <w:t>, программа по созданию боевого авиационного комплекса пятого поколения; разработка Су- 30МК2, самолета-амфибии СА-20П, СА-21 «Оса».</w:t>
      </w:r>
    </w:p>
    <w:p w14:paraId="456C42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Объединение является ведущим производителем боевых самолетов в России, крупнейшей авиастроительной компанией России (2004 г.).</w:t>
      </w:r>
    </w:p>
    <w:p w14:paraId="655043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2006 г. построен 1-й Су-80; 26.09.2007 г.- 1-й экземпляр </w:t>
      </w:r>
      <w:r w:rsidRPr="00A3026E">
        <w:rPr>
          <w:rFonts w:ascii="Times New Roman" w:hAnsi="Times New Roman"/>
          <w:color w:val="000000" w:themeColor="text1"/>
          <w:sz w:val="16"/>
          <w:szCs w:val="16"/>
          <w:lang w:val="en-US"/>
        </w:rPr>
        <w:t>SSJ</w:t>
      </w:r>
      <w:r w:rsidRPr="00A3026E">
        <w:rPr>
          <w:rFonts w:ascii="Times New Roman" w:hAnsi="Times New Roman"/>
          <w:color w:val="000000" w:themeColor="text1"/>
          <w:sz w:val="16"/>
          <w:szCs w:val="16"/>
        </w:rPr>
        <w:t xml:space="preserve"> 100.</w:t>
      </w:r>
    </w:p>
    <w:p w14:paraId="5336C7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Имелось Московское представительство (директор (2005 г.)- А.В. Скопин). Имелись цеха: 3, 7, 21, 30, 45, 46,</w:t>
      </w:r>
    </w:p>
    <w:p w14:paraId="778872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Количество оборудования: (11.1940 г.)- 500 металлорежущих станков. Численность персонала (1937 г.)- 2860 чел.</w:t>
      </w:r>
    </w:p>
    <w:p w14:paraId="48949B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Директор (-06.1937-21.11.1938 г.)- К.Д. Кузнецов (снят), (1937; -1951 г.)- С.И. Белиловский, (-06.1940 г.)- А.В. Коломенский, (06.1940-11.1941 г.-)- Д.А. Тимофеев, (07.1945 г.)- Меднов, (1955-65 г.)- Ф.А. Березницкий, (1965- 73 г.)- В.Е. Копылов, (1973-88 г.)- В.Н. Авраменко. Гендиректор (1989(6)-94 г.)-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Петров, (1994-06.2006 г.)- В.И. Меркулов, (3.06.2006 г.-)- А.И. Пекарш.</w:t>
      </w:r>
    </w:p>
    <w:p w14:paraId="082726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строительства (22.05.1938 г.-)- В.В. Ванециан. 1-й зам. гендиректора (1999 г.)- Ю.Л. Иванов. Зам. директора: по техчасти (-3.08.1937 г.)- П.М. Самсонов; по качеству (1988 г.-)- В.И. Меркулов; (22.05.1938 г.-)- В.В. Ванециан, (1941 г.-)- Муратов. Зам. гендиректора (2000 г.)- В. Викторов, (2003 г.)- Б.Д. Брегман, (2006 г.)- А. Степченков.</w:t>
      </w:r>
    </w:p>
    <w:p w14:paraId="6103C1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начальника строительства (14.08.1938 г.-)- Т.К. Дмитриев. Технический директор (-2001-03 г.-)- В.И. Шпорт.</w:t>
      </w:r>
    </w:p>
    <w:p w14:paraId="6825C8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технического директора по развитию и техническому перевооружению (2007 г.)- А.А. Сафонов. Гл. инженер (14.08.1938 г.-)- Т.К. Дмитриев, (1939 г.)- Хомский, (1966-67 г.)- Куценко, (1993 г.)- В.И. Меркулов, (1997-2003 г.-)- В.И. Шпорт, (-2005-06.2006 г.)- А.И. Пекарш.</w:t>
      </w:r>
    </w:p>
    <w:p w14:paraId="0C7BFF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Зам. гл. инженера: по производству - В.И. Меркулов; (1993 г.)- Ю.А. Цюпко,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Кормич. Зам. гл. технолога: (1993 г.)- А.А. Васильев. Зам. гл. металлурга (1990-е)- А.М. Насонов.</w:t>
      </w:r>
    </w:p>
    <w:p w14:paraId="0C084C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Гл. конструктор (08.1940 г.-)-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xml:space="preserve">. Бульман, (1993 г.)- Л.Д. Воробьев, (2001 г.)- А.А. Новожилов. Гл. технолог (17.12.1938 г.-)- В.З. Шифрин. Гл. контролер-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Кормич. Гл. конструкторы: (-2000-05 г.-)- П.В. Полищук (СА-20П).</w:t>
      </w:r>
    </w:p>
    <w:p w14:paraId="356B70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Руководитель дирекции программ: АОН (2000 г.)- Л.Д. Воробьев; Бе-103, СА-20П, Су-80 (-2005-06 г.-&gt; С.А. Дробышев. Начальник Управления экспортной службы (2000 г.)- С.А. Дробышев. Начальник: представительства (11.1937 г.)- Шишов; филиала (1941 г.-)- Муратов.</w:t>
      </w:r>
    </w:p>
    <w:p w14:paraId="75C468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цехов: № 30 (1990-е)- А. Г. Сильченко; № 46 (1990-е)- Д.Н. Азаров; № 21 (ЛИС) и.о. (11.1937 г.-)- Сафроньев; (2003 г.)- И. Авгученко; окончательной сборки и.о. (11.1937 г.-)- Савельев; фюзеляжного и.о. (11.1937 г.-)- Якубовский; механосборочного- В.И. Меркулов; гальванопокрытий- В.И. Меркулов; слесарно- сварочного и.о. (11.1937 г.-)- Люстров; (2007 г.)- С.А. Жаворонков, А.М. Кормич, (2009 г.)- И. Костин.</w:t>
      </w:r>
    </w:p>
    <w:p w14:paraId="0AF929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Начальники отделов: СКО (1937 г.)- В.Б. Шавров, (05.1940 г.-)-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Бульман; КО по приспособлениям и.о. (11.1937 г.-)- С.В. Кулаков; рабочего проектирования (2001 г.)- В. Г. Носов; ОТК и.о. (11.1937 г.-)- Копытин; ППО и.о. (11.1937 г.-)- А.В. Широков; труда и.о. (11.1937 г.-)- Марасанов; снабжения и складского хозяйства и.о. (11.1937 г.)- Маншин; (2005 г.)- А.Л. Канакин.</w:t>
      </w:r>
    </w:p>
    <w:p w14:paraId="13CB4C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Бюро электросхем (2001 г.0- Л.Н. Федоров; КИБ (05.2000 г.-)- П.В. Полищук; технологического бюро (1964 г.-)- В.И. Меркулов; ПРБ цеха- Р.И. Кормич. Руководитель КБ общих видов (1990-е)- С.А. Дробышев. И.О. помощника начальника СКБ (11.1937 г.-)- А. Г. Гаврилов. Руководитель лаборатории средств объективного контроля (2001 г.0- О.В. Буценко.</w:t>
      </w:r>
    </w:p>
    <w:p w14:paraId="794D78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Летчики-испытатели: (1942 г.)- Галицкий, (2003 г.)- В.А. Губер, (1999 г.)- А.Н. Демченко, В.Д. Остренко, (1995- 2002 г.-)- А.В. Пуленко, С.В. Пырков, (-2002-03 г.-)- Л.В. Чикунов, Ю.А. Эйсмонт.</w:t>
      </w:r>
    </w:p>
    <w:p w14:paraId="2C01DF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самолеты: Р-6 (1936)- 20; ДБ-3 (1937-41), ДБ-ЗФ (1941-46)- всего 3025; Ли-2 (1946-50)- 353- 434 (по разным данным), МиГ-15бис (1950-52)- 833, МиГ-17 (1952-58), Су-7 (1957-61)- 133, Су-7Б (1960-72)- 2023; Су-17 (1968-), Су-17М (1971-), Су-17М2 (1974-), Су-17МЗ (1976-), Су-17М4 (1980-)- всего 1866, Су-20 (1973-), Су-22 (1977-90)- всего 2781 (с Су-17);</w:t>
      </w:r>
      <w:r w:rsidRPr="00A3026E">
        <w:rPr>
          <w:rFonts w:ascii="Times New Roman" w:hAnsi="Times New Roman"/>
          <w:color w:val="000000" w:themeColor="text1"/>
          <w:sz w:val="16"/>
          <w:szCs w:val="16"/>
          <w:vertAlign w:val="superscript"/>
        </w:rPr>
        <w:t>101</w:t>
      </w:r>
      <w:r w:rsidRPr="00A3026E">
        <w:rPr>
          <w:rFonts w:ascii="Times New Roman" w:hAnsi="Times New Roman"/>
          <w:color w:val="000000" w:themeColor="text1"/>
          <w:sz w:val="16"/>
          <w:szCs w:val="16"/>
        </w:rPr>
        <w:t xml:space="preserve"> Су-27 (1980-2004-)- более 760 (к 2000 г.), Су-30 (2004), Су-33 (1986-2004-)- 9 (по 1990 г.), Су-35 (1992-2004-), С- 80 (1998-), Бе-103 (1995-99; 2001-06-), Са-20П (2002)- 1, </w:t>
      </w:r>
      <w:r w:rsidRPr="00A3026E">
        <w:rPr>
          <w:rFonts w:ascii="Times New Roman" w:hAnsi="Times New Roman"/>
          <w:color w:val="000000" w:themeColor="text1"/>
          <w:sz w:val="16"/>
          <w:szCs w:val="16"/>
          <w:lang w:val="en-US"/>
        </w:rPr>
        <w:t>SSJ</w:t>
      </w:r>
      <w:r w:rsidRPr="00A3026E">
        <w:rPr>
          <w:rFonts w:ascii="Times New Roman" w:hAnsi="Times New Roman"/>
          <w:color w:val="000000" w:themeColor="text1"/>
          <w:sz w:val="16"/>
          <w:szCs w:val="16"/>
        </w:rPr>
        <w:t xml:space="preserve"> 100 (2007-); КР П-5, П-6 (1962); крыло и хвостовая часть для Су-24; комплектующие для ОК «Буран»; катера: «Восток», «Амур», «Амур-7, -К» (1990-е), «Стрела-3, -4, -8» (1990-2000-е), «Авиакобра» (1990-е-2000-е); автоматы для фасовки сыпучих продуктов (1990-е) (11982).</w:t>
      </w:r>
    </w:p>
    <w:p w14:paraId="5EE399C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C8F45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два мотора М-120ТК летали на бомбардировщике ДБ-4. В августе 1941 г. мотор проходил госиспытания, которые не закончил (раз</w:t>
      </w:r>
      <w:r w:rsidRPr="00A3026E">
        <w:rPr>
          <w:rFonts w:ascii="Times New Roman" w:hAnsi="Times New Roman"/>
          <w:color w:val="000000" w:themeColor="text1"/>
          <w:sz w:val="16"/>
          <w:szCs w:val="16"/>
        </w:rPr>
        <w:softHyphen/>
        <w:t>рушились главный шатун и нагнетатель). М-120 представлял собой три блока от мотора М-103А, размещенных звездо</w:t>
      </w:r>
      <w:r w:rsidRPr="00A3026E">
        <w:rPr>
          <w:rFonts w:ascii="Times New Roman" w:hAnsi="Times New Roman"/>
          <w:color w:val="000000" w:themeColor="text1"/>
          <w:sz w:val="16"/>
          <w:szCs w:val="16"/>
        </w:rPr>
        <w:softHyphen/>
        <w:t>образно под углами 120° друг к другу — один блок вверх и два вниз. Двига</w:t>
      </w:r>
      <w:r w:rsidRPr="00A3026E">
        <w:rPr>
          <w:rFonts w:ascii="Times New Roman" w:hAnsi="Times New Roman"/>
          <w:color w:val="000000" w:themeColor="text1"/>
          <w:sz w:val="16"/>
          <w:szCs w:val="16"/>
        </w:rPr>
        <w:softHyphen/>
        <w:t>тель М-120 разрабатывался с 1938 г., по плану предполагалось начать стендо</w:t>
      </w:r>
      <w:r w:rsidRPr="00A3026E">
        <w:rPr>
          <w:rFonts w:ascii="Times New Roman" w:hAnsi="Times New Roman"/>
          <w:color w:val="000000" w:themeColor="text1"/>
          <w:sz w:val="16"/>
          <w:szCs w:val="16"/>
        </w:rPr>
        <w:softHyphen/>
        <w:t>вые испытания с 1 ноября 1939 г. Фактически первые опытные образцы (пар</w:t>
      </w:r>
      <w:r w:rsidRPr="00A3026E">
        <w:rPr>
          <w:rFonts w:ascii="Times New Roman" w:hAnsi="Times New Roman"/>
          <w:color w:val="000000" w:themeColor="text1"/>
          <w:sz w:val="16"/>
          <w:szCs w:val="16"/>
        </w:rPr>
        <w:softHyphen/>
        <w:t>тию из пяти экземпляров) начали делать во второй половине 1939 г. Стендовые испытания проходили в 1940 г.В серийное производство двигатель не передавался. Доводка была прекращена в 1942 г.</w:t>
      </w:r>
    </w:p>
    <w:p w14:paraId="7F71DF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Характеристики:</w:t>
      </w:r>
    </w:p>
    <w:p w14:paraId="4E8A05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18-цшиндровый, рядный трехблочный со звездообразным расположе</w:t>
      </w:r>
      <w:r w:rsidRPr="00A3026E">
        <w:rPr>
          <w:rFonts w:ascii="Times New Roman" w:hAnsi="Times New Roman"/>
          <w:color w:val="000000" w:themeColor="text1"/>
          <w:sz w:val="16"/>
          <w:szCs w:val="16"/>
        </w:rPr>
        <w:softHyphen/>
        <w:t>нием блоков, водяного охлаждения, редукторный, с одноступенчатым двухскоростным ПЦН;</w:t>
      </w:r>
    </w:p>
    <w:p w14:paraId="20112D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диаметр цилиндра/ход поршня 148/170 мм;</w:t>
      </w:r>
    </w:p>
    <w:p w14:paraId="4E163A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объем 54 л;</w:t>
      </w:r>
    </w:p>
    <w:p w14:paraId="45D6FE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степень сжатия 6,6;</w:t>
      </w:r>
    </w:p>
    <w:p w14:paraId="63F06E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мощность и вес в зависимости от модификации. Известны следующие варианты двигателя:</w:t>
      </w:r>
    </w:p>
    <w:p w14:paraId="19C7E6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М-120, 1500/1600 л.с., вес 895 кг (по проекту 850 кг).</w:t>
      </w:r>
    </w:p>
    <w:p w14:paraId="24D8B2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М-120ТК с турбонаддувом (ТК-2) и двухскоростным ПЦН, 1400/1600 л.с. (по другим данным, 1415/1800 л.с.), вес 950 кг.</w:t>
      </w:r>
    </w:p>
    <w:p w14:paraId="283C8B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М-120УВ («удлиненный вал»), вариант с вынесенным редуктором и передачей вращения на редуктор через длинный вал. Мощность 1600/1800 л.с.</w:t>
      </w:r>
    </w:p>
    <w:p w14:paraId="35C3D7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М-120УВ-ТК, вариант предыдущего типа с турбонаддувом, проект 1940 г.</w:t>
      </w:r>
    </w:p>
    <w:p w14:paraId="351C0F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М-120ТК устанавливался на опытный дальний бомбардировщик ДБ-4. Использование различных модификаций мотора М-120 предусматривалось в проектах ПБ («57»), ФБ («58»), ОДБ(П), ДВБ-102, ИВС, ОИ-2 (11852).</w:t>
      </w:r>
    </w:p>
    <w:p w14:paraId="108080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CC51E33" w14:textId="77777777" w:rsidR="002D4A2C" w:rsidRPr="00A3026E" w:rsidRDefault="002D4A2C"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по результатам испытаний ДБ-240 в НИИ ВВС прошел технический совет, который среди прочих недостатков (большая длина разбега, неудовлетворительная продольная и поперечная устойчивость, не доведенное стрелковое вооружение и другие) отметил, что «моторы М-105... являются слабыми по своей мощности и высотности. С моторами М-105 самолет.. считать переходным к самолету с более мощными моторами. Признать целесообразным постройку под АМ-35А и в дальнейшем под АМ-37 или под дизель» (Медведь А., Хазанов Д. Дальний бомбардировщик Ер-2. Приложение к журналу «Техника Молодежи». АвиАМастер № 2/99 (спецвыпуск 2)) (15223).</w:t>
      </w:r>
    </w:p>
    <w:p w14:paraId="2124432D" w14:textId="77777777" w:rsidR="002D4A2C" w:rsidRPr="00A3026E" w:rsidRDefault="002D4A2C" w:rsidP="00A3026E">
      <w:pPr>
        <w:shd w:val="clear" w:color="auto" w:fill="FFFFFF"/>
        <w:spacing w:after="0" w:line="240" w:lineRule="auto"/>
        <w:jc w:val="both"/>
        <w:rPr>
          <w:rFonts w:ascii="Times New Roman" w:hAnsi="Times New Roman"/>
          <w:color w:val="000000" w:themeColor="text1"/>
          <w:sz w:val="16"/>
          <w:szCs w:val="16"/>
        </w:rPr>
      </w:pPr>
    </w:p>
    <w:p w14:paraId="0731D5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ноябре 1940 г. был завершен эскизный проект 103У, который доработали в соответствии с заключением макетной комиссии. Параллельно в ЦАГИ провели статические испытания крыла и сделали расчеты его поведения при флаттере. Был сделан вывод, что при скоростях до 900 км/ч (достигавшихся при отвесном пикировании) появление флаттера на самолете "103" невозможно (11988).</w:t>
      </w:r>
    </w:p>
    <w:p w14:paraId="1DC9831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6B7D79C" w14:textId="77777777" w:rsidR="00A40E0D" w:rsidRPr="00A3026E" w:rsidRDefault="00A40E0D" w:rsidP="00A3026E">
      <w:pPr>
        <w:pStyle w:val="book-paragraph"/>
        <w:spacing w:before="0" w:beforeAutospacing="0" w:after="0" w:afterAutospacing="0"/>
        <w:jc w:val="both"/>
        <w:rPr>
          <w:color w:val="000000" w:themeColor="text1"/>
          <w:sz w:val="16"/>
          <w:szCs w:val="16"/>
        </w:rPr>
      </w:pPr>
      <w:r w:rsidRPr="00A3026E">
        <w:rPr>
          <w:color w:val="000000" w:themeColor="text1"/>
          <w:sz w:val="16"/>
          <w:szCs w:val="16"/>
        </w:rPr>
        <w:t>В ноябре 1940 года Грушин представил эскизный проект своего истребителя ДИС-135 в НИИ ВВС, но там к нему отнеслись без энтузиазма. В заключении, которое дали военные специалисты, была отмечена реальность представленного проекта и большинства из заявленных характеристик, однако их основной вывод гласил: </w:t>
      </w:r>
      <w:r w:rsidRPr="00A3026E">
        <w:rPr>
          <w:iCs/>
          <w:color w:val="000000" w:themeColor="text1"/>
          <w:sz w:val="16"/>
          <w:szCs w:val="16"/>
        </w:rPr>
        <w:t>«Учитывая, что Грушин работает над одномоторным бомбардировщиком и то, что такой самолет будет заказан только одному конструктору Грушину, создание ИС 2М-37 ему не поручать» (18995).</w:t>
      </w:r>
    </w:p>
    <w:p w14:paraId="65D760F9" w14:textId="77777777" w:rsidR="00A40E0D" w:rsidRPr="00A3026E" w:rsidRDefault="00A40E0D" w:rsidP="00A3026E">
      <w:pPr>
        <w:spacing w:after="0" w:line="240" w:lineRule="auto"/>
        <w:jc w:val="both"/>
        <w:rPr>
          <w:rFonts w:ascii="Times New Roman" w:hAnsi="Times New Roman"/>
          <w:color w:val="000000" w:themeColor="text1"/>
          <w:sz w:val="16"/>
          <w:szCs w:val="16"/>
        </w:rPr>
      </w:pPr>
    </w:p>
    <w:p w14:paraId="21033853" w14:textId="77777777" w:rsidR="001864F1" w:rsidRPr="00A3026E" w:rsidRDefault="001864F1" w:rsidP="00A3026E">
      <w:pPr>
        <w:spacing w:after="0" w:line="240" w:lineRule="auto"/>
        <w:jc w:val="both"/>
        <w:rPr>
          <w:rFonts w:ascii="Times New Roman" w:hAnsi="Times New Roman"/>
          <w:color w:val="0070C0"/>
          <w:sz w:val="16"/>
          <w:szCs w:val="16"/>
          <w:lang w:eastAsia="ru-RU" w:bidi="ru-RU"/>
        </w:rPr>
      </w:pPr>
      <w:r w:rsidRPr="00A3026E">
        <w:rPr>
          <w:rFonts w:ascii="Times New Roman" w:hAnsi="Times New Roman"/>
          <w:color w:val="0070C0"/>
          <w:sz w:val="16"/>
          <w:szCs w:val="16"/>
          <w:lang w:eastAsia="ru-RU" w:bidi="ru-RU"/>
        </w:rPr>
        <w:t>В ноябре 1940 г. был завершен эскизный проект 103 или АНТ-58, доработанный в со</w:t>
      </w:r>
      <w:r w:rsidRPr="00A3026E">
        <w:rPr>
          <w:rFonts w:ascii="Times New Roman" w:hAnsi="Times New Roman"/>
          <w:color w:val="0070C0"/>
          <w:sz w:val="16"/>
          <w:szCs w:val="16"/>
          <w:lang w:eastAsia="ru-RU" w:bidi="ru-RU"/>
        </w:rPr>
        <w:softHyphen/>
        <w:t>ответствии с заключением комиссии. Параллельно в ЦАГИ провели статиче</w:t>
      </w:r>
      <w:r w:rsidRPr="00A3026E">
        <w:rPr>
          <w:rFonts w:ascii="Times New Roman" w:hAnsi="Times New Roman"/>
          <w:color w:val="0070C0"/>
          <w:sz w:val="16"/>
          <w:szCs w:val="16"/>
          <w:lang w:eastAsia="ru-RU" w:bidi="ru-RU"/>
        </w:rPr>
        <w:softHyphen/>
        <w:t>ские испытания крыла и сделали расчеты его поведения при флаттере. Сделали вы вод, что при скоростях до 900 км/ч (до</w:t>
      </w:r>
      <w:r w:rsidRPr="00A3026E">
        <w:rPr>
          <w:rFonts w:ascii="Times New Roman" w:hAnsi="Times New Roman"/>
          <w:color w:val="0070C0"/>
          <w:sz w:val="16"/>
          <w:szCs w:val="16"/>
          <w:lang w:eastAsia="ru-RU" w:bidi="ru-RU"/>
        </w:rPr>
        <w:softHyphen/>
        <w:t>стигавшихся при отвесном пикировании) появление флаттера на самолете «103» невозможно.</w:t>
      </w:r>
    </w:p>
    <w:p w14:paraId="13949A0D" w14:textId="77777777" w:rsidR="001864F1" w:rsidRPr="00A3026E" w:rsidRDefault="001864F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Глав</w:t>
      </w:r>
      <w:r w:rsidRPr="00A3026E">
        <w:rPr>
          <w:rFonts w:ascii="Times New Roman" w:hAnsi="Times New Roman"/>
          <w:color w:val="0070C0"/>
          <w:sz w:val="16"/>
          <w:szCs w:val="16"/>
          <w:lang w:eastAsia="ru-RU" w:bidi="ru-RU"/>
        </w:rPr>
        <w:softHyphen/>
        <w:t>ным отличием второго экземпляра туполевского само</w:t>
      </w:r>
      <w:r w:rsidRPr="00A3026E">
        <w:rPr>
          <w:rFonts w:ascii="Times New Roman" w:hAnsi="Times New Roman"/>
          <w:color w:val="0070C0"/>
          <w:sz w:val="16"/>
          <w:szCs w:val="16"/>
          <w:lang w:eastAsia="ru-RU" w:bidi="ru-RU"/>
        </w:rPr>
        <w:softHyphen/>
        <w:t>лета, который получил обозначение «103У». являлась перекомпо</w:t>
      </w:r>
      <w:r w:rsidRPr="00A3026E">
        <w:rPr>
          <w:rFonts w:ascii="Times New Roman" w:hAnsi="Times New Roman"/>
          <w:color w:val="0070C0"/>
          <w:sz w:val="16"/>
          <w:szCs w:val="16"/>
          <w:lang w:eastAsia="ru-RU" w:bidi="ru-RU"/>
        </w:rPr>
        <w:softHyphen/>
        <w:t>новка кабин. Ознакомившись с куплен</w:t>
      </w:r>
      <w:r w:rsidRPr="00A3026E">
        <w:rPr>
          <w:rFonts w:ascii="Times New Roman" w:hAnsi="Times New Roman"/>
          <w:color w:val="0070C0"/>
          <w:sz w:val="16"/>
          <w:szCs w:val="16"/>
          <w:lang w:eastAsia="ru-RU" w:bidi="ru-RU"/>
        </w:rPr>
        <w:softHyphen/>
        <w:t xml:space="preserve">ными в Германии бомбардировщиками Юнкерс </w:t>
      </w:r>
      <w:r w:rsidRPr="00A3026E">
        <w:rPr>
          <w:rFonts w:ascii="Times New Roman" w:hAnsi="Times New Roman"/>
          <w:color w:val="0070C0"/>
          <w:sz w:val="16"/>
          <w:szCs w:val="16"/>
          <w:lang w:val="en-US" w:bidi="en-US"/>
        </w:rPr>
        <w:t>Ju</w:t>
      </w:r>
      <w:r w:rsidRPr="00A3026E">
        <w:rPr>
          <w:rFonts w:ascii="Times New Roman" w:hAnsi="Times New Roman"/>
          <w:color w:val="0070C0"/>
          <w:sz w:val="16"/>
          <w:szCs w:val="16"/>
          <w:lang w:bidi="en-US"/>
        </w:rPr>
        <w:t xml:space="preserve"> </w:t>
      </w:r>
      <w:r w:rsidRPr="00A3026E">
        <w:rPr>
          <w:rFonts w:ascii="Times New Roman" w:hAnsi="Times New Roman"/>
          <w:color w:val="0070C0"/>
          <w:sz w:val="16"/>
          <w:szCs w:val="16"/>
          <w:lang w:eastAsia="ru-RU" w:bidi="ru-RU"/>
        </w:rPr>
        <w:t xml:space="preserve">88А и Дорнье </w:t>
      </w:r>
      <w:r w:rsidRPr="00A3026E">
        <w:rPr>
          <w:rFonts w:ascii="Times New Roman" w:hAnsi="Times New Roman"/>
          <w:color w:val="0070C0"/>
          <w:sz w:val="16"/>
          <w:szCs w:val="16"/>
          <w:lang w:val="en-US" w:bidi="en-US"/>
        </w:rPr>
        <w:t>Do</w:t>
      </w:r>
      <w:r w:rsidRPr="00A3026E">
        <w:rPr>
          <w:rFonts w:ascii="Times New Roman" w:hAnsi="Times New Roman"/>
          <w:color w:val="0070C0"/>
          <w:sz w:val="16"/>
          <w:szCs w:val="16"/>
          <w:lang w:bidi="en-US"/>
        </w:rPr>
        <w:t xml:space="preserve"> </w:t>
      </w:r>
      <w:r w:rsidRPr="00A3026E">
        <w:rPr>
          <w:rFonts w:ascii="Times New Roman" w:hAnsi="Times New Roman"/>
          <w:color w:val="0070C0"/>
          <w:sz w:val="16"/>
          <w:szCs w:val="16"/>
          <w:lang w:eastAsia="ru-RU" w:bidi="ru-RU"/>
        </w:rPr>
        <w:t>215В, совет</w:t>
      </w:r>
      <w:r w:rsidRPr="00A3026E">
        <w:rPr>
          <w:rFonts w:ascii="Times New Roman" w:hAnsi="Times New Roman"/>
          <w:color w:val="0070C0"/>
          <w:sz w:val="16"/>
          <w:szCs w:val="16"/>
          <w:lang w:eastAsia="ru-RU" w:bidi="ru-RU"/>
        </w:rPr>
        <w:softHyphen/>
        <w:t>ские специалисты обратили внимание на то, что члены экипажа размещены так, что могут непосредственно общаться и помогать друг другу. На советских маши</w:t>
      </w:r>
      <w:r w:rsidRPr="00A3026E">
        <w:rPr>
          <w:rFonts w:ascii="Times New Roman" w:hAnsi="Times New Roman"/>
          <w:color w:val="0070C0"/>
          <w:sz w:val="16"/>
          <w:szCs w:val="16"/>
          <w:lang w:eastAsia="ru-RU" w:bidi="ru-RU"/>
        </w:rPr>
        <w:softHyphen/>
        <w:t>нах, таких, как СБ и ДБ-3, пилот и штур</w:t>
      </w:r>
      <w:r w:rsidRPr="00A3026E">
        <w:rPr>
          <w:rFonts w:ascii="Times New Roman" w:hAnsi="Times New Roman"/>
          <w:color w:val="0070C0"/>
          <w:sz w:val="16"/>
          <w:szCs w:val="16"/>
          <w:lang w:eastAsia="ru-RU" w:bidi="ru-RU"/>
        </w:rPr>
        <w:softHyphen/>
        <w:t>ман сидели по отдельности. Решили, что немецкий подход лучше.</w:t>
      </w:r>
    </w:p>
    <w:p w14:paraId="46E6ACA7" w14:textId="77777777" w:rsidR="001864F1" w:rsidRPr="00A3026E" w:rsidRDefault="001864F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Поэтому Главное управление ВВС выдвинуло дополнительные требования ко второму экземпляру самолета «103», которые конструкторы постарались вы</w:t>
      </w:r>
      <w:r w:rsidRPr="00A3026E">
        <w:rPr>
          <w:rFonts w:ascii="Times New Roman" w:hAnsi="Times New Roman"/>
          <w:color w:val="0070C0"/>
          <w:sz w:val="16"/>
          <w:szCs w:val="16"/>
          <w:lang w:eastAsia="ru-RU" w:bidi="ru-RU"/>
        </w:rPr>
        <w:softHyphen/>
        <w:t>полнить. Пилот и штурман теперь сидели в общей кабине друг за другом. Ее боль</w:t>
      </w:r>
      <w:r w:rsidRPr="00A3026E">
        <w:rPr>
          <w:rFonts w:ascii="Times New Roman" w:hAnsi="Times New Roman"/>
          <w:color w:val="0070C0"/>
          <w:sz w:val="16"/>
          <w:szCs w:val="16"/>
          <w:lang w:eastAsia="ru-RU" w:bidi="ru-RU"/>
        </w:rPr>
        <w:softHyphen/>
        <w:t>шой фонарь в аварийной ситуации сбра</w:t>
      </w:r>
      <w:r w:rsidRPr="00A3026E">
        <w:rPr>
          <w:rFonts w:ascii="Times New Roman" w:hAnsi="Times New Roman"/>
          <w:color w:val="0070C0"/>
          <w:sz w:val="16"/>
          <w:szCs w:val="16"/>
          <w:lang w:eastAsia="ru-RU" w:bidi="ru-RU"/>
        </w:rPr>
        <w:softHyphen/>
        <w:t>сывался. У штурмана стоял пулемет ШКАС в блистерной установке. Нижнюю часть носа фюзеляжа застеклили, обеспечив хороший обзор вниз. Попасть в кабину можно было через откидную часть фо</w:t>
      </w:r>
      <w:r w:rsidRPr="00A3026E">
        <w:rPr>
          <w:rFonts w:ascii="Times New Roman" w:hAnsi="Times New Roman"/>
          <w:color w:val="0070C0"/>
          <w:sz w:val="16"/>
          <w:szCs w:val="16"/>
          <w:lang w:eastAsia="ru-RU" w:bidi="ru-RU"/>
        </w:rPr>
        <w:softHyphen/>
        <w:t>наря с крыла или через люк снизу.</w:t>
      </w:r>
    </w:p>
    <w:p w14:paraId="1A7A6AE5" w14:textId="77777777" w:rsidR="001864F1" w:rsidRPr="00A3026E" w:rsidRDefault="001864F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В отличие от первой машины, полно</w:t>
      </w:r>
      <w:r w:rsidRPr="00A3026E">
        <w:rPr>
          <w:rFonts w:ascii="Times New Roman" w:hAnsi="Times New Roman"/>
          <w:color w:val="0070C0"/>
          <w:sz w:val="16"/>
          <w:szCs w:val="16"/>
          <w:lang w:eastAsia="ru-RU" w:bidi="ru-RU"/>
        </w:rPr>
        <w:softHyphen/>
        <w:t>ценное управление монтировалось только у летчика. Штурману оставили педали и съемную ручку управления, так что он мог ненадолго подменить пилота.</w:t>
      </w:r>
    </w:p>
    <w:p w14:paraId="6563A011" w14:textId="77777777" w:rsidR="001864F1" w:rsidRPr="00A3026E" w:rsidRDefault="001864F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В задней кабине тоже располагались двое: стрелок-радист, отвечавший за верх</w:t>
      </w:r>
      <w:r w:rsidRPr="00A3026E">
        <w:rPr>
          <w:rFonts w:ascii="Times New Roman" w:hAnsi="Times New Roman"/>
          <w:color w:val="0070C0"/>
          <w:sz w:val="16"/>
          <w:szCs w:val="16"/>
          <w:lang w:eastAsia="ru-RU" w:bidi="ru-RU"/>
        </w:rPr>
        <w:softHyphen/>
        <w:t>ний пулемет на установке ТСС-1, и стрелок, работавший с люковой установкой. Фонарь над ТСС-1 состоял из двух частей. Задняя из них в боевом положении уходила впе</w:t>
      </w:r>
      <w:r w:rsidRPr="00A3026E">
        <w:rPr>
          <w:rFonts w:ascii="Times New Roman" w:hAnsi="Times New Roman"/>
          <w:color w:val="0070C0"/>
          <w:sz w:val="16"/>
          <w:szCs w:val="16"/>
          <w:lang w:eastAsia="ru-RU" w:bidi="ru-RU"/>
        </w:rPr>
        <w:softHyphen/>
        <w:t>ред, открывая для пулемета поле обстрела. Это улучшило обороноспособность ма</w:t>
      </w:r>
      <w:r w:rsidRPr="00A3026E">
        <w:rPr>
          <w:rFonts w:ascii="Times New Roman" w:hAnsi="Times New Roman"/>
          <w:color w:val="0070C0"/>
          <w:sz w:val="16"/>
          <w:szCs w:val="16"/>
          <w:lang w:eastAsia="ru-RU" w:bidi="ru-RU"/>
        </w:rPr>
        <w:softHyphen/>
        <w:t>шины сверху-сзади, что всегда считалось самым важным ракурсом. Теперь самолет был вооружен пятью пулеметами ШКАС и двумя пушками ШВАК. Два пулемета, сто</w:t>
      </w:r>
      <w:r w:rsidRPr="00A3026E">
        <w:rPr>
          <w:rFonts w:ascii="Times New Roman" w:hAnsi="Times New Roman"/>
          <w:color w:val="0070C0"/>
          <w:sz w:val="16"/>
          <w:szCs w:val="16"/>
          <w:lang w:eastAsia="ru-RU" w:bidi="ru-RU"/>
        </w:rPr>
        <w:softHyphen/>
        <w:t>явшие сверху в носовой части фюзе</w:t>
      </w:r>
      <w:r w:rsidRPr="00A3026E">
        <w:rPr>
          <w:rFonts w:ascii="Times New Roman" w:hAnsi="Times New Roman"/>
          <w:color w:val="0070C0"/>
          <w:sz w:val="16"/>
          <w:szCs w:val="16"/>
          <w:lang w:eastAsia="ru-RU" w:bidi="ru-RU"/>
        </w:rPr>
        <w:softHyphen/>
        <w:t>ляжа, имели боезапас по 500-600 патро</w:t>
      </w:r>
      <w:r w:rsidRPr="00A3026E">
        <w:rPr>
          <w:rFonts w:ascii="Times New Roman" w:hAnsi="Times New Roman"/>
          <w:color w:val="0070C0"/>
          <w:sz w:val="16"/>
          <w:szCs w:val="16"/>
          <w:lang w:eastAsia="ru-RU" w:bidi="ru-RU"/>
        </w:rPr>
        <w:softHyphen/>
        <w:t>нов, пушки в центроплане - по 100-150. Но миделевое сечение перекомпонован</w:t>
      </w:r>
      <w:r w:rsidRPr="00A3026E">
        <w:rPr>
          <w:rFonts w:ascii="Times New Roman" w:hAnsi="Times New Roman"/>
          <w:color w:val="0070C0"/>
          <w:sz w:val="16"/>
          <w:szCs w:val="16"/>
          <w:lang w:eastAsia="ru-RU" w:bidi="ru-RU"/>
        </w:rPr>
        <w:softHyphen/>
        <w:t>ного фюзеляжа стало больше, что, по рас</w:t>
      </w:r>
      <w:r w:rsidRPr="00A3026E">
        <w:rPr>
          <w:rFonts w:ascii="Times New Roman" w:hAnsi="Times New Roman"/>
          <w:color w:val="0070C0"/>
          <w:sz w:val="16"/>
          <w:szCs w:val="16"/>
          <w:lang w:eastAsia="ru-RU" w:bidi="ru-RU"/>
        </w:rPr>
        <w:softHyphen/>
        <w:t>четам, уменьшало максимальную скорость на 15-20 км/ч.</w:t>
      </w:r>
    </w:p>
    <w:p w14:paraId="3A0093F4" w14:textId="77777777" w:rsidR="001864F1" w:rsidRPr="00A3026E" w:rsidRDefault="001864F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Передняя и задняя кабины соединя</w:t>
      </w:r>
      <w:r w:rsidRPr="00A3026E">
        <w:rPr>
          <w:rFonts w:ascii="Times New Roman" w:hAnsi="Times New Roman"/>
          <w:color w:val="0070C0"/>
          <w:sz w:val="16"/>
          <w:szCs w:val="16"/>
          <w:lang w:eastAsia="ru-RU" w:bidi="ru-RU"/>
        </w:rPr>
        <w:softHyphen/>
        <w:t>лись узким туннелем, проходившим над бомбоотсеком. Он позволял осуществлять визуальную связь между членами экипажа.</w:t>
      </w:r>
    </w:p>
    <w:p w14:paraId="4338C112" w14:textId="77777777" w:rsidR="001864F1" w:rsidRPr="00A3026E" w:rsidRDefault="001864F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Стабилизатор выполнили управляе</w:t>
      </w:r>
      <w:r w:rsidRPr="00A3026E">
        <w:rPr>
          <w:rFonts w:ascii="Times New Roman" w:hAnsi="Times New Roman"/>
          <w:color w:val="0070C0"/>
          <w:sz w:val="16"/>
          <w:szCs w:val="16"/>
          <w:lang w:eastAsia="ru-RU" w:bidi="ru-RU"/>
        </w:rPr>
        <w:softHyphen/>
        <w:t>мым. При отклонении щитков более чем на 27° он автоматически менял угол уста</w:t>
      </w:r>
      <w:r w:rsidRPr="00A3026E">
        <w:rPr>
          <w:rFonts w:ascii="Times New Roman" w:hAnsi="Times New Roman"/>
          <w:color w:val="0070C0"/>
          <w:sz w:val="16"/>
          <w:szCs w:val="16"/>
          <w:lang w:eastAsia="ru-RU" w:bidi="ru-RU"/>
        </w:rPr>
        <w:softHyphen/>
        <w:t>новки в пределах 4°, поворачиваясь отно</w:t>
      </w:r>
      <w:r w:rsidRPr="00A3026E">
        <w:rPr>
          <w:rFonts w:ascii="Times New Roman" w:hAnsi="Times New Roman"/>
          <w:color w:val="0070C0"/>
          <w:sz w:val="16"/>
          <w:szCs w:val="16"/>
          <w:lang w:eastAsia="ru-RU" w:bidi="ru-RU"/>
        </w:rPr>
        <w:softHyphen/>
        <w:t>сительно передних узлов крепления.</w:t>
      </w:r>
    </w:p>
    <w:p w14:paraId="7353A9AD" w14:textId="77777777" w:rsidR="001864F1" w:rsidRPr="00A3026E" w:rsidRDefault="001864F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Бензобаков стало 14 общей емкостью 2500 л. Основные баки протектировались и имели систему заполнения нейтраль</w:t>
      </w:r>
      <w:r w:rsidRPr="00A3026E">
        <w:rPr>
          <w:rFonts w:ascii="Times New Roman" w:hAnsi="Times New Roman"/>
          <w:color w:val="0070C0"/>
          <w:sz w:val="16"/>
          <w:szCs w:val="16"/>
          <w:lang w:eastAsia="ru-RU" w:bidi="ru-RU"/>
        </w:rPr>
        <w:softHyphen/>
        <w:t>ным газом.</w:t>
      </w:r>
    </w:p>
    <w:p w14:paraId="6BA13F64" w14:textId="77777777" w:rsidR="001864F1" w:rsidRPr="00A3026E" w:rsidRDefault="001864F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Моторы М-120ТК, предусмотренные постановлением Комитета обороны, так и не поступили, поэтому решили опять поставить АМ-37, но с редукцией 0,59, повышавшей эффективность работы винтов. На двигателях монтировали ре</w:t>
      </w:r>
      <w:r w:rsidRPr="00A3026E">
        <w:rPr>
          <w:rFonts w:ascii="Times New Roman" w:hAnsi="Times New Roman"/>
          <w:color w:val="0070C0"/>
          <w:sz w:val="16"/>
          <w:szCs w:val="16"/>
          <w:lang w:eastAsia="ru-RU" w:bidi="ru-RU"/>
        </w:rPr>
        <w:softHyphen/>
        <w:t>активные выхлопные патрубки, добав</w:t>
      </w:r>
      <w:r w:rsidRPr="00A3026E">
        <w:rPr>
          <w:rFonts w:ascii="Times New Roman" w:hAnsi="Times New Roman"/>
          <w:color w:val="0070C0"/>
          <w:sz w:val="16"/>
          <w:szCs w:val="16"/>
          <w:lang w:eastAsia="ru-RU" w:bidi="ru-RU"/>
        </w:rPr>
        <w:softHyphen/>
        <w:t>лявшие примерно 5% к тяге мотоуста</w:t>
      </w:r>
      <w:r w:rsidRPr="00A3026E">
        <w:rPr>
          <w:rFonts w:ascii="Times New Roman" w:hAnsi="Times New Roman"/>
          <w:color w:val="0070C0"/>
          <w:sz w:val="16"/>
          <w:szCs w:val="16"/>
          <w:lang w:eastAsia="ru-RU" w:bidi="ru-RU"/>
        </w:rPr>
        <w:softHyphen/>
        <w:t>новки. Моторы снабдили интеркулерами, охлаждавшими воздух перед карбюра</w:t>
      </w:r>
      <w:r w:rsidRPr="00A3026E">
        <w:rPr>
          <w:rFonts w:ascii="Times New Roman" w:hAnsi="Times New Roman"/>
          <w:color w:val="0070C0"/>
          <w:sz w:val="16"/>
          <w:szCs w:val="16"/>
          <w:lang w:eastAsia="ru-RU" w:bidi="ru-RU"/>
        </w:rPr>
        <w:softHyphen/>
        <w:t>торами. Воздух к ним поступал через от</w:t>
      </w:r>
      <w:r w:rsidRPr="00A3026E">
        <w:rPr>
          <w:rFonts w:ascii="Times New Roman" w:hAnsi="Times New Roman"/>
          <w:color w:val="0070C0"/>
          <w:sz w:val="16"/>
          <w:szCs w:val="16"/>
          <w:lang w:eastAsia="ru-RU" w:bidi="ru-RU"/>
        </w:rPr>
        <w:softHyphen/>
        <w:t>верстия диаметром 150 мм, сделанные по оси коков винтов.</w:t>
      </w:r>
    </w:p>
    <w:p w14:paraId="2409CEC0" w14:textId="77777777" w:rsidR="001864F1" w:rsidRPr="00A3026E" w:rsidRDefault="001864F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Вооружение дополнили реактивными снарядами - неуправляемыми ракетами. «103У» мог нести под консолями десять «ракетных орудий» (РО) - пусковых ба</w:t>
      </w:r>
      <w:r w:rsidRPr="00A3026E">
        <w:rPr>
          <w:rFonts w:ascii="Times New Roman" w:hAnsi="Times New Roman"/>
          <w:color w:val="0070C0"/>
          <w:sz w:val="16"/>
          <w:szCs w:val="16"/>
          <w:lang w:eastAsia="ru-RU" w:bidi="ru-RU"/>
        </w:rPr>
        <w:softHyphen/>
        <w:t>лок для РС-132 (калибра 132 мм). В пер</w:t>
      </w:r>
      <w:r w:rsidRPr="00A3026E">
        <w:rPr>
          <w:rFonts w:ascii="Times New Roman" w:hAnsi="Times New Roman"/>
          <w:color w:val="0070C0"/>
          <w:sz w:val="16"/>
          <w:szCs w:val="16"/>
          <w:lang w:eastAsia="ru-RU" w:bidi="ru-RU"/>
        </w:rPr>
        <w:softHyphen/>
        <w:t>спективе предусматривалось и размеще</w:t>
      </w:r>
      <w:r w:rsidRPr="00A3026E">
        <w:rPr>
          <w:rFonts w:ascii="Times New Roman" w:hAnsi="Times New Roman"/>
          <w:color w:val="0070C0"/>
          <w:sz w:val="16"/>
          <w:szCs w:val="16"/>
          <w:lang w:eastAsia="ru-RU" w:bidi="ru-RU"/>
        </w:rPr>
        <w:softHyphen/>
        <w:t>ние более мощных ракет РС-203 (кали</w:t>
      </w:r>
      <w:r w:rsidRPr="00A3026E">
        <w:rPr>
          <w:rFonts w:ascii="Times New Roman" w:hAnsi="Times New Roman"/>
          <w:color w:val="0070C0"/>
          <w:sz w:val="16"/>
          <w:szCs w:val="16"/>
          <w:lang w:eastAsia="ru-RU" w:bidi="ru-RU"/>
        </w:rPr>
        <w:softHyphen/>
        <w:t>бра 203 мм).</w:t>
      </w:r>
    </w:p>
    <w:p w14:paraId="274D5320" w14:textId="77777777" w:rsidR="001864F1" w:rsidRPr="00A3026E" w:rsidRDefault="001864F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Внутреннее размещение бомб до</w:t>
      </w:r>
      <w:r w:rsidRPr="00A3026E">
        <w:rPr>
          <w:rFonts w:ascii="Times New Roman" w:hAnsi="Times New Roman"/>
          <w:color w:val="0070C0"/>
          <w:sz w:val="16"/>
          <w:szCs w:val="16"/>
          <w:lang w:eastAsia="ru-RU" w:bidi="ru-RU"/>
        </w:rPr>
        <w:softHyphen/>
        <w:t>полнили наружным: добавили два бом</w:t>
      </w:r>
      <w:r w:rsidRPr="00A3026E">
        <w:rPr>
          <w:rFonts w:ascii="Times New Roman" w:hAnsi="Times New Roman"/>
          <w:color w:val="0070C0"/>
          <w:sz w:val="16"/>
          <w:szCs w:val="16"/>
          <w:lang w:eastAsia="ru-RU" w:bidi="ru-RU"/>
        </w:rPr>
        <w:softHyphen/>
        <w:t>бодержателя под центропланом. Общая нагрузка осталась той же, что и раньше: нормальная - 1000 кг, максимальная - 2000 кг. Предусматривалось использова</w:t>
      </w:r>
      <w:r w:rsidRPr="00A3026E">
        <w:rPr>
          <w:rFonts w:ascii="Times New Roman" w:hAnsi="Times New Roman"/>
          <w:color w:val="0070C0"/>
          <w:sz w:val="16"/>
          <w:szCs w:val="16"/>
          <w:lang w:eastAsia="ru-RU" w:bidi="ru-RU"/>
        </w:rPr>
        <w:softHyphen/>
        <w:t>ние бомб калибра от 10 до 1000 кг. Мел</w:t>
      </w:r>
      <w:r w:rsidRPr="00A3026E">
        <w:rPr>
          <w:rFonts w:ascii="Times New Roman" w:hAnsi="Times New Roman"/>
          <w:color w:val="0070C0"/>
          <w:sz w:val="16"/>
          <w:szCs w:val="16"/>
          <w:lang w:eastAsia="ru-RU" w:bidi="ru-RU"/>
        </w:rPr>
        <w:softHyphen/>
        <w:t>кие бомбы размещались пакетами-связ</w:t>
      </w:r>
      <w:r w:rsidRPr="00A3026E">
        <w:rPr>
          <w:rFonts w:ascii="Times New Roman" w:hAnsi="Times New Roman"/>
          <w:color w:val="0070C0"/>
          <w:sz w:val="16"/>
          <w:szCs w:val="16"/>
          <w:lang w:eastAsia="ru-RU" w:bidi="ru-RU"/>
        </w:rPr>
        <w:softHyphen/>
        <w:t>ками (например, осколочные АО-10 - по 34 бомбы в пакете). Связки можно было сбрасывать и с горизонтального по</w:t>
      </w:r>
      <w:r w:rsidRPr="00A3026E">
        <w:rPr>
          <w:rFonts w:ascii="Times New Roman" w:hAnsi="Times New Roman"/>
          <w:color w:val="0070C0"/>
          <w:sz w:val="16"/>
          <w:szCs w:val="16"/>
          <w:lang w:eastAsia="ru-RU" w:bidi="ru-RU"/>
        </w:rPr>
        <w:softHyphen/>
        <w:t>лета, и с пикирования.</w:t>
      </w:r>
    </w:p>
    <w:p w14:paraId="5C7AAF04" w14:textId="77777777" w:rsidR="001864F1" w:rsidRPr="00A3026E" w:rsidRDefault="001864F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Прицеливание при стрельбе из пу</w:t>
      </w:r>
      <w:r w:rsidRPr="00A3026E">
        <w:rPr>
          <w:rFonts w:ascii="Times New Roman" w:hAnsi="Times New Roman"/>
          <w:color w:val="0070C0"/>
          <w:sz w:val="16"/>
          <w:szCs w:val="16"/>
          <w:lang w:eastAsia="ru-RU" w:bidi="ru-RU"/>
        </w:rPr>
        <w:softHyphen/>
        <w:t>шек и носовых пулеметов осуществлялось стрелковым прицелом ПБП-1, стоявшим у летчика. Он же служил для бомбометания с пикирования. В горизонтальном полете прицеливание проводил штурман. Он мог пользоваться синхронным прицелом ПС-1 (основным) или более простым ОПБ-1 (дополнительным). Второй использовался и как навигационный визир.</w:t>
      </w:r>
    </w:p>
    <w:p w14:paraId="699915BA" w14:textId="77777777" w:rsidR="001864F1" w:rsidRPr="00A3026E" w:rsidRDefault="001864F1" w:rsidP="00A3026E">
      <w:pPr>
        <w:spacing w:after="0" w:line="240" w:lineRule="auto"/>
        <w:jc w:val="both"/>
        <w:rPr>
          <w:rFonts w:ascii="Times New Roman" w:hAnsi="Times New Roman"/>
          <w:color w:val="0070C0"/>
          <w:sz w:val="16"/>
          <w:szCs w:val="16"/>
          <w:lang w:eastAsia="ru-RU" w:bidi="ru-RU"/>
        </w:rPr>
      </w:pPr>
      <w:r w:rsidRPr="00A3026E">
        <w:rPr>
          <w:rFonts w:ascii="Times New Roman" w:hAnsi="Times New Roman"/>
          <w:color w:val="0070C0"/>
          <w:sz w:val="16"/>
          <w:szCs w:val="16"/>
          <w:lang w:eastAsia="ru-RU" w:bidi="ru-RU"/>
        </w:rPr>
        <w:t>В комплект оборудования машины входили радиостанция РСБ-бис, радиопо</w:t>
      </w:r>
      <w:r w:rsidRPr="00A3026E">
        <w:rPr>
          <w:rFonts w:ascii="Times New Roman" w:hAnsi="Times New Roman"/>
          <w:color w:val="0070C0"/>
          <w:sz w:val="16"/>
          <w:szCs w:val="16"/>
          <w:lang w:eastAsia="ru-RU" w:bidi="ru-RU"/>
        </w:rPr>
        <w:softHyphen/>
        <w:t>лукомпас РПК-2, переговорное устройство СПУ-3бис и трехцветная сигнализация (21061).</w:t>
      </w:r>
    </w:p>
    <w:p w14:paraId="30E36247" w14:textId="77777777" w:rsidR="001864F1" w:rsidRPr="00A3026E" w:rsidRDefault="001864F1" w:rsidP="00A3026E">
      <w:pPr>
        <w:spacing w:after="0" w:line="240" w:lineRule="auto"/>
        <w:jc w:val="both"/>
        <w:rPr>
          <w:rFonts w:ascii="Times New Roman" w:hAnsi="Times New Roman"/>
          <w:color w:val="0070C0"/>
          <w:sz w:val="16"/>
          <w:szCs w:val="16"/>
        </w:rPr>
      </w:pPr>
    </w:p>
    <w:p w14:paraId="12B020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завод № 81 освоил серийный выпуск ББ-22бис с моторами М-105. Ввиду размещения на машине стрелковой установки ТСС-1 у штурмана пришлось изме</w:t>
      </w:r>
      <w:r w:rsidRPr="00A3026E">
        <w:rPr>
          <w:rFonts w:ascii="Times New Roman" w:hAnsi="Times New Roman"/>
          <w:color w:val="000000" w:themeColor="text1"/>
          <w:sz w:val="16"/>
          <w:szCs w:val="16"/>
        </w:rPr>
        <w:softHyphen/>
        <w:t>нить компоновку кабины экипажа, ставшую тесной. Прав</w:t>
      </w:r>
      <w:r w:rsidRPr="00A3026E">
        <w:rPr>
          <w:rFonts w:ascii="Times New Roman" w:hAnsi="Times New Roman"/>
          <w:color w:val="000000" w:themeColor="text1"/>
          <w:sz w:val="16"/>
          <w:szCs w:val="16"/>
        </w:rPr>
        <w:softHyphen/>
        <w:t>да, вместимость бензобаков возросла с 600 до 800 кг. Под центропланом крыла установили замки для подвески 250-килограммовых бомб. Осмотр первого серийного бомбардировщика, с декабря 1940 года получившего обозначение Як-4, показал, что са</w:t>
      </w:r>
      <w:r w:rsidRPr="00A3026E">
        <w:rPr>
          <w:rFonts w:ascii="Times New Roman" w:hAnsi="Times New Roman"/>
          <w:color w:val="000000" w:themeColor="text1"/>
          <w:sz w:val="16"/>
          <w:szCs w:val="16"/>
        </w:rPr>
        <w:softHyphen/>
        <w:t>молет заметно потяжелел и выполнен хуже, чем его пред</w:t>
      </w:r>
      <w:r w:rsidRPr="00A3026E">
        <w:rPr>
          <w:rFonts w:ascii="Times New Roman" w:hAnsi="Times New Roman"/>
          <w:color w:val="000000" w:themeColor="text1"/>
          <w:sz w:val="16"/>
          <w:szCs w:val="16"/>
        </w:rPr>
        <w:softHyphen/>
        <w:t>шественники. К тому же нарушенная центровка делала его опасным для полетов. Предварительные летные испытания эталонного образ</w:t>
      </w:r>
      <w:r w:rsidRPr="00A3026E">
        <w:rPr>
          <w:rFonts w:ascii="Times New Roman" w:hAnsi="Times New Roman"/>
          <w:color w:val="000000" w:themeColor="text1"/>
          <w:sz w:val="16"/>
          <w:szCs w:val="16"/>
        </w:rPr>
        <w:softHyphen/>
        <w:t>ца показали, что по сравнению с Як-2 максимальная ско</w:t>
      </w:r>
      <w:r w:rsidRPr="00A3026E">
        <w:rPr>
          <w:rFonts w:ascii="Times New Roman" w:hAnsi="Times New Roman"/>
          <w:color w:val="000000" w:themeColor="text1"/>
          <w:sz w:val="16"/>
          <w:szCs w:val="16"/>
        </w:rPr>
        <w:softHyphen/>
        <w:t>рость возросла с 515 до 540 м/ч, но результат, полученный при испытании опытной машины, так и не был достигнут, хотя улучшилась скороподъемность, а дальность достигла 1000 км (с подвесными топливными баками — 1200 км). НКАП упорно «продвигал» Як-4 в серийное производ</w:t>
      </w:r>
      <w:r w:rsidRPr="00A3026E">
        <w:rPr>
          <w:rFonts w:ascii="Times New Roman" w:hAnsi="Times New Roman"/>
          <w:color w:val="000000" w:themeColor="text1"/>
          <w:sz w:val="16"/>
          <w:szCs w:val="16"/>
        </w:rPr>
        <w:softHyphen/>
        <w:t>ство, мотивируя это тем, что в принятом на вооружение пи</w:t>
      </w:r>
      <w:r w:rsidRPr="00A3026E">
        <w:rPr>
          <w:rFonts w:ascii="Times New Roman" w:hAnsi="Times New Roman"/>
          <w:color w:val="000000" w:themeColor="text1"/>
          <w:sz w:val="16"/>
          <w:szCs w:val="16"/>
        </w:rPr>
        <w:softHyphen/>
        <w:t>кирующем бомбардировщике Пе-2 используется слишком много дефицитных алюминиевых сплавов. В то же время Як-4 имел смешанную конструкцию, в частности, его фю</w:t>
      </w:r>
      <w:r w:rsidRPr="00A3026E">
        <w:rPr>
          <w:rFonts w:ascii="Times New Roman" w:hAnsi="Times New Roman"/>
          <w:color w:val="000000" w:themeColor="text1"/>
          <w:sz w:val="16"/>
          <w:szCs w:val="16"/>
        </w:rPr>
        <w:softHyphen/>
        <w:t>зеляж представлял ферму, сваренную из стальных труб. Первые серийные машины стали поступать в 136-й, 316-й разведывательные и 3-й дальний разведывательный авиаполки (последний дислоцировался перед войной в Ба-рановичах). Несмотря на то, что Як-2 и Як-4 обладали недостаточной устойчивостью, по технике пилотирования они были доволь</w:t>
      </w:r>
      <w:r w:rsidRPr="00A3026E">
        <w:rPr>
          <w:rFonts w:ascii="Times New Roman" w:hAnsi="Times New Roman"/>
          <w:color w:val="000000" w:themeColor="text1"/>
          <w:sz w:val="16"/>
          <w:szCs w:val="16"/>
        </w:rPr>
        <w:softHyphen/>
        <w:t>но просты для освоения летчиками средней квалификации, ранее летавшими на бомбардировщиках СБ и ДБ-3. После</w:t>
      </w:r>
      <w:r w:rsidRPr="00A3026E">
        <w:rPr>
          <w:rFonts w:ascii="Times New Roman" w:hAnsi="Times New Roman"/>
          <w:color w:val="000000" w:themeColor="text1"/>
          <w:sz w:val="16"/>
          <w:szCs w:val="16"/>
        </w:rPr>
        <w:softHyphen/>
        <w:t>днее обстоятельство способствовало быстрому освоению лет</w:t>
      </w:r>
      <w:r w:rsidRPr="00A3026E">
        <w:rPr>
          <w:rFonts w:ascii="Times New Roman" w:hAnsi="Times New Roman"/>
          <w:color w:val="000000" w:themeColor="text1"/>
          <w:sz w:val="16"/>
          <w:szCs w:val="16"/>
        </w:rPr>
        <w:softHyphen/>
        <w:t>ным составом 207-го дальнебомбардировочного авиаполка Як-4, оказавшихся совершенно случайно на их аэродроме в начале войны.</w:t>
      </w:r>
    </w:p>
    <w:p w14:paraId="09DAB1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Степанов, встретивший войну на Як-4, рассказывал: «Самолеты эти трудно было назвать боевыми. Малая бомбовая нагрузка, ненадежная работа пулеметов делали их малопригодными для боевых действий. Дефекты, выяв</w:t>
      </w:r>
      <w:r w:rsidRPr="00A3026E">
        <w:rPr>
          <w:rFonts w:ascii="Times New Roman" w:hAnsi="Times New Roman"/>
          <w:color w:val="000000" w:themeColor="text1"/>
          <w:sz w:val="16"/>
          <w:szCs w:val="16"/>
        </w:rPr>
        <w:softHyphen/>
        <w:t>ленные перед войной, так и не устранили. Вдобавок, нам приходилось возить с собой под креслами трубки со штуце</w:t>
      </w:r>
      <w:r w:rsidRPr="00A3026E">
        <w:rPr>
          <w:rFonts w:ascii="Times New Roman" w:hAnsi="Times New Roman"/>
          <w:color w:val="000000" w:themeColor="text1"/>
          <w:sz w:val="16"/>
          <w:szCs w:val="16"/>
        </w:rPr>
        <w:softHyphen/>
        <w:t>рами для заправки воздушных баллонов (необходимых для запуска двигателей. — Примеч. авт.), так как нестандар</w:t>
      </w:r>
      <w:r w:rsidRPr="00A3026E">
        <w:rPr>
          <w:rFonts w:ascii="Times New Roman" w:hAnsi="Times New Roman"/>
          <w:color w:val="000000" w:themeColor="text1"/>
          <w:sz w:val="16"/>
          <w:szCs w:val="16"/>
        </w:rPr>
        <w:softHyphen/>
        <w:t>тные штуцеры Як-4 не позволяли это делать на чужих аэродромах. А без этого не запустишь моторы.</w:t>
      </w:r>
    </w:p>
    <w:p w14:paraId="25C52E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Правда, Як-4 обладал довольно высокой скоростью, по</w:t>
      </w:r>
      <w:r w:rsidRPr="00A3026E">
        <w:rPr>
          <w:rFonts w:ascii="Times New Roman" w:hAnsi="Times New Roman"/>
          <w:color w:val="000000" w:themeColor="text1"/>
          <w:sz w:val="16"/>
          <w:szCs w:val="16"/>
        </w:rPr>
        <w:softHyphen/>
        <w:t>зволявшей уходить от «Мессеров», и плохо горел. Тем не менее к концу 1941 года почти все Як-4 были уничтожены, и наш полк перевооружился на Пе-2».</w:t>
      </w:r>
    </w:p>
    <w:p w14:paraId="18898B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заводы № 1 и № 81 выпустили 201 самолет ББ-22 различных модификаций, и они, хотя и внесли свою лепту в общую победу над врагом, не сделали «погоды» на фрон</w:t>
      </w:r>
      <w:r w:rsidRPr="00A3026E">
        <w:rPr>
          <w:rFonts w:ascii="Times New Roman" w:hAnsi="Times New Roman"/>
          <w:color w:val="000000" w:themeColor="text1"/>
          <w:sz w:val="16"/>
          <w:szCs w:val="16"/>
        </w:rPr>
        <w:softHyphen/>
        <w:t>тах Великой Отечественной. Экипажам этих машин доста</w:t>
      </w:r>
      <w:r w:rsidRPr="00A3026E">
        <w:rPr>
          <w:rFonts w:ascii="Times New Roman" w:hAnsi="Times New Roman"/>
          <w:color w:val="000000" w:themeColor="text1"/>
          <w:sz w:val="16"/>
          <w:szCs w:val="16"/>
        </w:rPr>
        <w:softHyphen/>
        <w:t>лось самое трудное — сдерживание немецко-фашистских войск, рвавшихся к Москве. Летавшие без сопровождения истребителей, эти самолеты несли большие потери (10745,206).</w:t>
      </w:r>
    </w:p>
    <w:p w14:paraId="6FAA4F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3CAA9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на 81 заводе запустили в серию ББ-22бис (изделие 70бис) с М-105 и ВИШ-22Е (439,8).</w:t>
      </w:r>
    </w:p>
    <w:p w14:paraId="40DBF78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1B42A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состоялось совмест</w:t>
      </w:r>
      <w:r w:rsidRPr="00A3026E">
        <w:rPr>
          <w:rFonts w:ascii="Times New Roman" w:hAnsi="Times New Roman"/>
          <w:color w:val="000000" w:themeColor="text1"/>
          <w:sz w:val="16"/>
          <w:szCs w:val="16"/>
        </w:rPr>
        <w:softHyphen/>
        <w:t>ное совещание руководства ВВС и НКАП по вопросу устранения дефектов само</w:t>
      </w:r>
      <w:r w:rsidRPr="00A3026E">
        <w:rPr>
          <w:rFonts w:ascii="Times New Roman" w:hAnsi="Times New Roman"/>
          <w:color w:val="000000" w:themeColor="text1"/>
          <w:sz w:val="16"/>
          <w:szCs w:val="16"/>
        </w:rPr>
        <w:softHyphen/>
        <w:t>лета ББ-22. Председательствовал на</w:t>
      </w:r>
      <w:r w:rsidRPr="00A3026E">
        <w:rPr>
          <w:rFonts w:ascii="Times New Roman" w:hAnsi="Times New Roman"/>
          <w:color w:val="000000" w:themeColor="text1"/>
          <w:sz w:val="16"/>
          <w:szCs w:val="16"/>
        </w:rPr>
        <w:softHyphen/>
        <w:t>чальник Главного управления ВВС гене</w:t>
      </w:r>
      <w:r w:rsidRPr="00A3026E">
        <w:rPr>
          <w:rFonts w:ascii="Times New Roman" w:hAnsi="Times New Roman"/>
          <w:color w:val="000000" w:themeColor="text1"/>
          <w:sz w:val="16"/>
          <w:szCs w:val="16"/>
        </w:rPr>
        <w:softHyphen/>
        <w:t>рал-лейтенант авиации П.В. Рычагов. На совещании были определены две</w:t>
      </w:r>
      <w:r w:rsidRPr="00A3026E">
        <w:rPr>
          <w:rFonts w:ascii="Times New Roman" w:hAnsi="Times New Roman"/>
          <w:color w:val="000000" w:themeColor="text1"/>
          <w:sz w:val="16"/>
          <w:szCs w:val="16"/>
        </w:rPr>
        <w:softHyphen/>
        <w:t>надцать наиболее важных недостатков самолета, требовавших немедленного устранения. Большую часть дефектов сочли вполне устранимой и требующей только времени. Оставались, в основ</w:t>
      </w:r>
      <w:r w:rsidRPr="00A3026E">
        <w:rPr>
          <w:rFonts w:ascii="Times New Roman" w:hAnsi="Times New Roman"/>
          <w:color w:val="000000" w:themeColor="text1"/>
          <w:sz w:val="16"/>
          <w:szCs w:val="16"/>
        </w:rPr>
        <w:softHyphen/>
        <w:t>ном, претензии к устойчивости. Курбала (вероятно, с разрешения Яковлева) за</w:t>
      </w:r>
      <w:r w:rsidRPr="00A3026E">
        <w:rPr>
          <w:rFonts w:ascii="Times New Roman" w:hAnsi="Times New Roman"/>
          <w:color w:val="000000" w:themeColor="text1"/>
          <w:sz w:val="16"/>
          <w:szCs w:val="16"/>
        </w:rPr>
        <w:softHyphen/>
        <w:t>явил о том, что радикальный выход най</w:t>
      </w:r>
      <w:r w:rsidRPr="00A3026E">
        <w:rPr>
          <w:rFonts w:ascii="Times New Roman" w:hAnsi="Times New Roman"/>
          <w:color w:val="000000" w:themeColor="text1"/>
          <w:sz w:val="16"/>
          <w:szCs w:val="16"/>
        </w:rPr>
        <w:softHyphen/>
        <w:t>ден, и заключается он в увеличении дли</w:t>
      </w:r>
      <w:r w:rsidRPr="00A3026E">
        <w:rPr>
          <w:rFonts w:ascii="Times New Roman" w:hAnsi="Times New Roman"/>
          <w:color w:val="000000" w:themeColor="text1"/>
          <w:sz w:val="16"/>
          <w:szCs w:val="16"/>
        </w:rPr>
        <w:softHyphen/>
        <w:t>ны фюзеляжа до 10,17 м. В технических условиях на поставку самолетов заво</w:t>
      </w:r>
      <w:r w:rsidRPr="00A3026E">
        <w:rPr>
          <w:rFonts w:ascii="Times New Roman" w:hAnsi="Times New Roman"/>
          <w:color w:val="000000" w:themeColor="text1"/>
          <w:sz w:val="16"/>
          <w:szCs w:val="16"/>
        </w:rPr>
        <w:softHyphen/>
        <w:t>дом № 81 в 1941 г. была указана именно эта длина. Нормальную полетную массу серийной машины определили равной 6100 кг— на сотню меньше, чем у само</w:t>
      </w:r>
      <w:r w:rsidRPr="00A3026E">
        <w:rPr>
          <w:rFonts w:ascii="Times New Roman" w:hAnsi="Times New Roman"/>
          <w:color w:val="000000" w:themeColor="text1"/>
          <w:sz w:val="16"/>
          <w:szCs w:val="16"/>
        </w:rPr>
        <w:softHyphen/>
        <w:t>лета № 70603. Никакой трагической нот</w:t>
      </w:r>
      <w:r w:rsidRPr="00A3026E">
        <w:rPr>
          <w:rFonts w:ascii="Times New Roman" w:hAnsi="Times New Roman"/>
          <w:color w:val="000000" w:themeColor="text1"/>
          <w:sz w:val="16"/>
          <w:szCs w:val="16"/>
        </w:rPr>
        <w:softHyphen/>
        <w:t>ки в оценке ситуации с производством ББ-22бис на совещании не прозвучало. Продолжался обычный, быть может, не</w:t>
      </w:r>
      <w:r w:rsidRPr="00A3026E">
        <w:rPr>
          <w:rFonts w:ascii="Times New Roman" w:hAnsi="Times New Roman"/>
          <w:color w:val="000000" w:themeColor="text1"/>
          <w:sz w:val="16"/>
          <w:szCs w:val="16"/>
        </w:rPr>
        <w:softHyphen/>
        <w:t>много затянувшийся процесс «доводки» новой машины. Достаточно сказать, что государственный план на 1941 г., ут</w:t>
      </w:r>
      <w:r w:rsidRPr="00A3026E">
        <w:rPr>
          <w:rFonts w:ascii="Times New Roman" w:hAnsi="Times New Roman"/>
          <w:color w:val="000000" w:themeColor="text1"/>
          <w:sz w:val="16"/>
          <w:szCs w:val="16"/>
        </w:rPr>
        <w:softHyphen/>
        <w:t>вержденный в начале декабря 1940 г., предусматривал выпуск 1300 двухмотор</w:t>
      </w:r>
      <w:r w:rsidRPr="00A3026E">
        <w:rPr>
          <w:rFonts w:ascii="Times New Roman" w:hAnsi="Times New Roman"/>
          <w:color w:val="000000" w:themeColor="text1"/>
          <w:sz w:val="16"/>
          <w:szCs w:val="16"/>
        </w:rPr>
        <w:softHyphen/>
        <w:t>ных бомбардировщиков Яковлева (11214).</w:t>
      </w:r>
    </w:p>
    <w:p w14:paraId="07D6C6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577F2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1940-го заказчик утвердил протокол макетной комиссии на вторую машину ОКБ-22 - "Б-2", но уже в варианте пикирующего бомбардировщика, завершившего род СБ. Но ее так и не построили, поскольку в производство запустили более перспективный Пе-2 (6409).</w:t>
      </w:r>
    </w:p>
    <w:p w14:paraId="75AA90C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B8097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состоялось совместное совещание руководства ВВС и НКАП по вопросу устранения дефектов ББ-22 под председательством П.В.Рычагова. Определили 12 наиболее важных дефектов, требовавших немедленного устранения. Гос. план на 1941 предусматривал производство 1300 Як-4 (1081,9).</w:t>
      </w:r>
    </w:p>
    <w:p w14:paraId="7F3E23E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DF490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ноября 1940 г. завод № 22 кроме СБ-РК (Ар-2) начал осваивать еще и новый пикирующий бомбардировщик ПБ-100 (Пе-2), который стал его основной продукцией. Выпуск СБ на этом предприятии свернули. Более того, с 1 февраля 1941 г. с производства сняли и Ар-2. Однако в первой половине 1941 г. на заводе № 22 вели </w:t>
      </w:r>
      <w:r w:rsidRPr="00A3026E">
        <w:rPr>
          <w:rFonts w:ascii="Times New Roman" w:hAnsi="Times New Roman"/>
          <w:color w:val="000000" w:themeColor="text1"/>
          <w:sz w:val="16"/>
          <w:szCs w:val="16"/>
        </w:rPr>
        <w:lastRenderedPageBreak/>
        <w:t>доработку ранее выпущенных СБ. Ее начали осуществлять еще с весны предыдущего года. Ставили МВ-2 и МВ-3, противопожарные перегородки между крылом и фюзеляжем, а с конца 1940 г. - систему нейтрального газа (с баллонами). Параллельно вели замену моторов М-103 и М-103У на М-103А. Завод № 125 продолжал выпуск СБ и в 1941 г. ВВС заказали ему 600 самолетов, в том числе 550 с двигателями М-105. К концу января 1941 г. в Иркутске успешно перешли к моторам М-103А и винтам ВИШ-22. На самолетах появились газоанализаторы, система нейтрального газа, турели МВ-3 и радиокомпасы. В целом иркутские СБ образца 1941 г. примерно соответствовали московским выпуска конца лета 1940 г. Выпуск машин на заводе № 125 значительно отставал от плана. Руководство предприятия жаловалось на нехватку моторов, винтов, радиаторов, колес и покрышек к ним, радиооборудования. Из-за этого несколько раз цеха останавливались. Двигатели М-105 в Иркутск, похоже, так и не поступили. Выпуск СБ там прекратили осенью 1941 г. Всего в 41-м изготовили только 93 самолета этого типа (9927).</w:t>
      </w:r>
    </w:p>
    <w:p w14:paraId="7A5411C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63B34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ноябре 1940 г. заказчику заводом № 125 были сданы 44 самолета, что на четыре машины превышало плановый показатель. Впервые сдача шла планомерно!</w:t>
      </w:r>
    </w:p>
    <w:p w14:paraId="2858C1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Меры, принимаемые Наркоматом по стабилизации работы предприятий в масштабах всей отрасли, назрели давно. Инспекции ВВС буквально не вылезали с заводов. По результатам проверки завода № 125 была вновь составлена тревожная реляция: "...Недопустимо, что самолеты, имеющие большие изменения (новые моторы, турели МВ-3 и прочее), отражающиеся на аэродинамических свойствах машины, принимались военпредом без проверки летных данных. На заводе было более 20 случаев коробления крыла в полете, и неофициально военпреду были известны случаи разрушения машин в ЗабВО. Анализа причин не было. 7 июля дирекции завода предъявлено требование о срочном вызове представителя ЦАГИ для детального исследования причин дефектов. Вызывает удивление халатное отношение руководства военной приемки к состоянию самолета №57/11, допустившее разрушение его от коррозии и расхищение самолета, преступно брошенного на аэродроме завода командованием ЗабВО.</w:t>
      </w:r>
    </w:p>
    <w:p w14:paraId="70051B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установить порядок, при котором контрольный полет, производимый летчиком военной приемки, длился бы не менее нормального сдаточного полета и по его программе. Не допускать более пяти полетов летчика ВП в день. В обязательном порядке ввести испытания на высоту и на дальность минимум одного самолета из серии".</w:t>
      </w:r>
    </w:p>
    <w:p w14:paraId="0EEAC4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Наверное, тревога представителя главко- мата ВВС была оправдана в части заводских недоработок и разгильдяйства самих военных авиаторов. Но случаи выхода из строя и даже разрушения самолетов в воздухе имели место не по причине заводских дефектов, а вследствие нарушения строевыми летчиками инструкций по пилотированию. Скорее всего, они просто выходили на запредельные скорости в пикировании. Во всяком случае дважды проводились контрольные испытания СБ иркутской сборки в НИИ ВВС, где машины тщательнейшим образом проверялись на земле и в воздухе (12037).</w:t>
      </w:r>
    </w:p>
    <w:p w14:paraId="5F7668B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C9D17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Вплоть до ноября 1940 г. на заводе 18 сварные центропланы Ер-2 выпускались едва ли не поштучно. Явственно проявились "узкие места", замедлявшие сборку серийных машин. Ситуацию усугубляли неритмичные поставки оборудования с других предприятий. Еще больше кризис обострился после негативного отзыва НИИ ВВС и принятого руководством Военно-воздушных сил решения о нецелесообразности продолжения серийного производства бомбардировщика с моторами М-105. Правительство и авиационный отдел ЦК ВКП(б) потребовали от П.В.Рычагова и А.И.Шахурина срочно определиться с ДБ-240 (3322,11).</w:t>
      </w:r>
    </w:p>
    <w:p w14:paraId="1189C88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DDFB4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в НИИ ВВС под председательством А.И.Филина прошел техсовет по ДБ-240, на котором было отмечено, что М-105... являются слабыми. Признать целесообразным постройку самолетов под АМ-35А, а в дальнейшем под АМ-37 или под дизель..." (2865,8).</w:t>
      </w:r>
    </w:p>
    <w:p w14:paraId="3A2E6F9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1BE493C" w14:textId="77777777" w:rsidR="00473E70" w:rsidRPr="00A3026E" w:rsidRDefault="00473E7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В ноябре 1940 г. под пушки Таубина был переоборудован И-200-1, который получил новое обозначение ИП-201. Пер</w:t>
      </w:r>
      <w:r w:rsidRPr="00A3026E">
        <w:rPr>
          <w:rFonts w:ascii="Times New Roman" w:hAnsi="Times New Roman"/>
          <w:color w:val="0070C0"/>
          <w:sz w:val="16"/>
          <w:szCs w:val="16"/>
          <w:lang w:eastAsia="ru-RU" w:bidi="ru-RU"/>
        </w:rPr>
        <w:softHyphen/>
        <w:t>вого декабря летчик-испытатель В.Н. Гур- ский облетал его, но из-за внезапной остановки мотора посадка оказалась «жесткой» и машина простояла в ремонте до февраля 1941 г. (21699).</w:t>
      </w:r>
    </w:p>
    <w:p w14:paraId="2C0C6FBF" w14:textId="77777777" w:rsidR="00473E70" w:rsidRPr="00A3026E" w:rsidRDefault="00473E70" w:rsidP="00A3026E">
      <w:pPr>
        <w:spacing w:after="0" w:line="240" w:lineRule="auto"/>
        <w:jc w:val="both"/>
        <w:rPr>
          <w:rFonts w:ascii="Times New Roman" w:hAnsi="Times New Roman"/>
          <w:color w:val="0070C0"/>
          <w:sz w:val="16"/>
          <w:szCs w:val="16"/>
        </w:rPr>
      </w:pPr>
    </w:p>
    <w:p w14:paraId="227B40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завод № 387 сдал первые три экземпляра У-2, а в декабре даже перевыполнил план на 17% – 47 самолетов. К августу 1941 г. будет построено еще 830 машин и история ленинградских У-2 будет закончена (12049).</w:t>
      </w:r>
    </w:p>
    <w:p w14:paraId="6D61AB3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6F359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после завершения стендовых испытаний дизельного авиамотора М-40, в ОКБ-240 разработали эскизный проект Ер-2 с М-40 (3322,35).</w:t>
      </w:r>
    </w:p>
    <w:p w14:paraId="50CA71B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17A10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в НИИ ВВС прошел технический совет, который отметил, что "моторы М-105 для ДБ-240... являются слабыми. Признать целесообразным постройку самолетов под АМ-35А и в дальнейшем под АМ-37 или под дизель". Не дожидаясь указаний наркомата, в ОКБ-240 проработали несколько вариантов с другими моторами. Первый из них, с двигателями АМ-35А, подготовили весной 1941 г., и в первых числах марта нарком А.И. Шахурин подписал приказ о назначении летчиком для проведения испытаний Н.П. Шебанова. Испытания этого варианта бомбардировщика в ЛИИ в июне 1941 г. поручили летчику Самусеву (11994).</w:t>
      </w:r>
    </w:p>
    <w:p w14:paraId="42E99B2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F16B87" w14:textId="77777777" w:rsidR="00C66762" w:rsidRPr="00A3026E" w:rsidRDefault="00C66762" w:rsidP="00A3026E">
      <w:pPr>
        <w:pStyle w:val="a3"/>
        <w:widowControl/>
        <w:rPr>
          <w:color w:val="000000" w:themeColor="text1"/>
          <w:lang w:val="ru-RU"/>
        </w:rPr>
      </w:pPr>
      <w:r w:rsidRPr="00A3026E">
        <w:rPr>
          <w:color w:val="000000" w:themeColor="text1"/>
          <w:lang w:val="ru-RU"/>
        </w:rPr>
        <w:t>В ноябре 1940 года было отправлено письмо Сталину И.В.:</w:t>
      </w:r>
    </w:p>
    <w:p w14:paraId="46B6E8DE" w14:textId="77777777" w:rsidR="00C66762" w:rsidRPr="00A3026E" w:rsidRDefault="00C66762" w:rsidP="00A3026E">
      <w:pPr>
        <w:pStyle w:val="a3"/>
        <w:widowControl/>
        <w:rPr>
          <w:color w:val="000000" w:themeColor="text1"/>
          <w:lang w:val="ru-RU"/>
        </w:rPr>
      </w:pPr>
      <w:r w:rsidRPr="00A3026E">
        <w:rPr>
          <w:color w:val="000000" w:themeColor="text1"/>
          <w:lang w:val="ru-RU"/>
        </w:rPr>
        <w:t>Постановлением ЦК ВКП(б) и СНК от 2 октября 1940 года № 1854-773 установлены дальности полета для проектируемых и внедряемых в серийное производство истребителей:</w:t>
      </w:r>
    </w:p>
    <w:p w14:paraId="721069C8" w14:textId="77777777" w:rsidR="00C66762" w:rsidRPr="00A3026E" w:rsidRDefault="00C66762" w:rsidP="00A3026E">
      <w:pPr>
        <w:pStyle w:val="a3"/>
        <w:widowControl/>
        <w:rPr>
          <w:color w:val="000000" w:themeColor="text1"/>
          <w:lang w:val="ru-RU"/>
        </w:rPr>
      </w:pPr>
      <w:r w:rsidRPr="00A3026E">
        <w:rPr>
          <w:color w:val="000000" w:themeColor="text1"/>
          <w:lang w:val="ru-RU"/>
        </w:rPr>
        <w:t>1000 км для одномоторных и</w:t>
      </w:r>
    </w:p>
    <w:p w14:paraId="7AB71563" w14:textId="77777777" w:rsidR="00C66762" w:rsidRPr="00A3026E" w:rsidRDefault="00C66762" w:rsidP="00A3026E">
      <w:pPr>
        <w:pStyle w:val="a3"/>
        <w:widowControl/>
        <w:rPr>
          <w:color w:val="000000" w:themeColor="text1"/>
          <w:lang w:val="ru-RU"/>
        </w:rPr>
      </w:pPr>
      <w:r w:rsidRPr="00A3026E">
        <w:rPr>
          <w:color w:val="000000" w:themeColor="text1"/>
          <w:lang w:val="ru-RU"/>
        </w:rPr>
        <w:t>не менее 2000 км для двухмоторных.</w:t>
      </w:r>
    </w:p>
    <w:p w14:paraId="5CBC815B" w14:textId="77777777" w:rsidR="00C66762" w:rsidRPr="00A3026E" w:rsidRDefault="00C66762" w:rsidP="00A3026E">
      <w:pPr>
        <w:pStyle w:val="a3"/>
        <w:widowControl/>
        <w:rPr>
          <w:color w:val="000000" w:themeColor="text1"/>
          <w:lang w:val="ru-RU"/>
        </w:rPr>
      </w:pPr>
      <w:r w:rsidRPr="00A3026E">
        <w:rPr>
          <w:color w:val="000000" w:themeColor="text1"/>
          <w:lang w:val="ru-RU"/>
        </w:rPr>
        <w:t>В то же время новые истребители проектируются с заниженными характеристиками.</w:t>
      </w:r>
    </w:p>
    <w:p w14:paraId="46BB6CC8" w14:textId="77777777" w:rsidR="00C66762" w:rsidRPr="00A3026E" w:rsidRDefault="00C66762" w:rsidP="00A3026E">
      <w:pPr>
        <w:pStyle w:val="a3"/>
        <w:widowControl/>
        <w:rPr>
          <w:color w:val="000000" w:themeColor="text1"/>
          <w:lang w:val="ru-RU"/>
        </w:rPr>
      </w:pPr>
      <w:r w:rsidRPr="00A3026E">
        <w:rPr>
          <w:color w:val="000000" w:themeColor="text1"/>
          <w:lang w:val="ru-RU"/>
        </w:rPr>
        <w:t>Так например:</w:t>
      </w:r>
    </w:p>
    <w:p w14:paraId="1F48FDA4" w14:textId="77777777" w:rsidR="00C66762" w:rsidRPr="00A3026E" w:rsidRDefault="00C66762" w:rsidP="00A3026E">
      <w:pPr>
        <w:pStyle w:val="a3"/>
        <w:widowControl/>
        <w:rPr>
          <w:color w:val="000000" w:themeColor="text1"/>
          <w:lang w:val="ru-RU"/>
        </w:rPr>
      </w:pPr>
      <w:r w:rsidRPr="00A3026E">
        <w:rPr>
          <w:color w:val="000000" w:themeColor="text1"/>
          <w:lang w:val="ru-RU"/>
        </w:rPr>
        <w:t>Двухмоторный истребитель конструкции Яковлева – ББ-22ДИС запроектирован на дальность в 1850 км с максимальной скоростью в 570 км/час вместо установленной, КО, скорости, даже в варианте бомбардировщика, в 590 км/час.</w:t>
      </w:r>
    </w:p>
    <w:p w14:paraId="4E372CE8" w14:textId="77777777" w:rsidR="00C66762" w:rsidRPr="00A3026E" w:rsidRDefault="00C66762" w:rsidP="00A3026E">
      <w:pPr>
        <w:pStyle w:val="a3"/>
        <w:widowControl/>
        <w:rPr>
          <w:color w:val="000000" w:themeColor="text1"/>
          <w:lang w:val="ru-RU"/>
        </w:rPr>
      </w:pPr>
      <w:r w:rsidRPr="00A3026E">
        <w:rPr>
          <w:color w:val="000000" w:themeColor="text1"/>
          <w:lang w:val="ru-RU"/>
        </w:rPr>
        <w:t>Двухмоторный истребитель конструкции Микояна запроектирован с "нормальной" дальностьюв 1460 км.</w:t>
      </w:r>
    </w:p>
    <w:p w14:paraId="35C2A031" w14:textId="77777777" w:rsidR="00C66762" w:rsidRPr="00A3026E" w:rsidRDefault="00C66762" w:rsidP="00A3026E">
      <w:pPr>
        <w:pStyle w:val="a3"/>
        <w:widowControl/>
        <w:rPr>
          <w:color w:val="000000" w:themeColor="text1"/>
          <w:lang w:val="ru-RU"/>
        </w:rPr>
      </w:pPr>
      <w:r w:rsidRPr="00A3026E">
        <w:rPr>
          <w:color w:val="000000" w:themeColor="text1"/>
          <w:lang w:val="ru-RU"/>
        </w:rPr>
        <w:t>Одномоторные истребители – И-26, И-301 и И-200 проектировались под моторы М-106 и АМ-37, внедряются же в серийное производство с моторами М-105 и АМ-35А. Летные характеристики этих истребителей не совпадают с характеристиками установленными постановлениями постановлениями КО.</w:t>
      </w:r>
    </w:p>
    <w:p w14:paraId="06883E76" w14:textId="77777777" w:rsidR="00C66762" w:rsidRPr="00A3026E" w:rsidRDefault="00C66762" w:rsidP="00A3026E">
      <w:pPr>
        <w:pStyle w:val="a3"/>
        <w:widowControl/>
        <w:rPr>
          <w:color w:val="000000" w:themeColor="text1"/>
          <w:lang w:val="ru-RU"/>
        </w:rPr>
      </w:pPr>
      <w:r w:rsidRPr="00A3026E">
        <w:rPr>
          <w:color w:val="000000" w:themeColor="text1"/>
          <w:lang w:val="ru-RU"/>
        </w:rPr>
        <w:t>При проектировании и внедрении в серийное производство летные характеристики истребителей могут ухудшаться, так как для них до сих пор не установлены определенные, минимальные требования. Для установления этих требований вношу прилагаемый проект постановления (3377, 91).</w:t>
      </w:r>
    </w:p>
    <w:p w14:paraId="33D0F35C" w14:textId="77777777" w:rsidR="00C66762" w:rsidRPr="00A3026E" w:rsidRDefault="00C66762" w:rsidP="00A3026E">
      <w:pPr>
        <w:pStyle w:val="a3"/>
        <w:widowControl/>
        <w:rPr>
          <w:color w:val="000000" w:themeColor="text1"/>
          <w:lang w:val="ru-RU"/>
        </w:rPr>
      </w:pPr>
    </w:p>
    <w:p w14:paraId="7214D6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состоялось совмест</w:t>
      </w:r>
      <w:r w:rsidRPr="00A3026E">
        <w:rPr>
          <w:rFonts w:ascii="Times New Roman" w:hAnsi="Times New Roman"/>
          <w:color w:val="000000" w:themeColor="text1"/>
          <w:sz w:val="16"/>
          <w:szCs w:val="16"/>
        </w:rPr>
        <w:softHyphen/>
        <w:t>ное совещание руководства ВВС и НКАП по вопросу устранения дефектов само</w:t>
      </w:r>
      <w:r w:rsidRPr="00A3026E">
        <w:rPr>
          <w:rFonts w:ascii="Times New Roman" w:hAnsi="Times New Roman"/>
          <w:color w:val="000000" w:themeColor="text1"/>
          <w:sz w:val="16"/>
          <w:szCs w:val="16"/>
        </w:rPr>
        <w:softHyphen/>
        <w:t>лета ББ-22. Председательствовал на</w:t>
      </w:r>
      <w:r w:rsidRPr="00A3026E">
        <w:rPr>
          <w:rFonts w:ascii="Times New Roman" w:hAnsi="Times New Roman"/>
          <w:color w:val="000000" w:themeColor="text1"/>
          <w:sz w:val="16"/>
          <w:szCs w:val="16"/>
        </w:rPr>
        <w:softHyphen/>
        <w:t>чальник Главного управления ВВС гене</w:t>
      </w:r>
      <w:r w:rsidRPr="00A3026E">
        <w:rPr>
          <w:rFonts w:ascii="Times New Roman" w:hAnsi="Times New Roman"/>
          <w:color w:val="000000" w:themeColor="text1"/>
          <w:sz w:val="16"/>
          <w:szCs w:val="16"/>
        </w:rPr>
        <w:softHyphen/>
        <w:t>рал-лейтенант авиации П.В. Рычагов. На совещании были определены две</w:t>
      </w:r>
      <w:r w:rsidRPr="00A3026E">
        <w:rPr>
          <w:rFonts w:ascii="Times New Roman" w:hAnsi="Times New Roman"/>
          <w:color w:val="000000" w:themeColor="text1"/>
          <w:sz w:val="16"/>
          <w:szCs w:val="16"/>
        </w:rPr>
        <w:softHyphen/>
        <w:t>надцать наиболее важных недостатков самолета, требовавших немедленного устранения. Большую часть дефектов сочли вполне устранимой и требующей только времени. Оставались, в основ</w:t>
      </w:r>
      <w:r w:rsidRPr="00A3026E">
        <w:rPr>
          <w:rFonts w:ascii="Times New Roman" w:hAnsi="Times New Roman"/>
          <w:color w:val="000000" w:themeColor="text1"/>
          <w:sz w:val="16"/>
          <w:szCs w:val="16"/>
        </w:rPr>
        <w:softHyphen/>
        <w:t>ном, претензии к устойчивости. Курбала (вероятно, с разрешения Яковлева) за</w:t>
      </w:r>
      <w:r w:rsidRPr="00A3026E">
        <w:rPr>
          <w:rFonts w:ascii="Times New Roman" w:hAnsi="Times New Roman"/>
          <w:color w:val="000000" w:themeColor="text1"/>
          <w:sz w:val="16"/>
          <w:szCs w:val="16"/>
        </w:rPr>
        <w:softHyphen/>
        <w:t>явил о том, что радикальный выход най</w:t>
      </w:r>
      <w:r w:rsidRPr="00A3026E">
        <w:rPr>
          <w:rFonts w:ascii="Times New Roman" w:hAnsi="Times New Roman"/>
          <w:color w:val="000000" w:themeColor="text1"/>
          <w:sz w:val="16"/>
          <w:szCs w:val="16"/>
        </w:rPr>
        <w:softHyphen/>
        <w:t>ден, и заключается он в увеличении дли</w:t>
      </w:r>
      <w:r w:rsidRPr="00A3026E">
        <w:rPr>
          <w:rFonts w:ascii="Times New Roman" w:hAnsi="Times New Roman"/>
          <w:color w:val="000000" w:themeColor="text1"/>
          <w:sz w:val="16"/>
          <w:szCs w:val="16"/>
        </w:rPr>
        <w:softHyphen/>
        <w:t>ны фюзеляжа до 10,17 м. В технических условиях на поставку самолетов заво</w:t>
      </w:r>
      <w:r w:rsidRPr="00A3026E">
        <w:rPr>
          <w:rFonts w:ascii="Times New Roman" w:hAnsi="Times New Roman"/>
          <w:color w:val="000000" w:themeColor="text1"/>
          <w:sz w:val="16"/>
          <w:szCs w:val="16"/>
        </w:rPr>
        <w:softHyphen/>
        <w:t>дом № 81 в 1941 г. была указана именно эта длина. Нормальную полетную массу серийной машины определили равной 6100 кг— на сотню меньше, чем у само</w:t>
      </w:r>
      <w:r w:rsidRPr="00A3026E">
        <w:rPr>
          <w:rFonts w:ascii="Times New Roman" w:hAnsi="Times New Roman"/>
          <w:color w:val="000000" w:themeColor="text1"/>
          <w:sz w:val="16"/>
          <w:szCs w:val="16"/>
        </w:rPr>
        <w:softHyphen/>
        <w:t>лета № 70603. Никакой трагической нот</w:t>
      </w:r>
      <w:r w:rsidRPr="00A3026E">
        <w:rPr>
          <w:rFonts w:ascii="Times New Roman" w:hAnsi="Times New Roman"/>
          <w:color w:val="000000" w:themeColor="text1"/>
          <w:sz w:val="16"/>
          <w:szCs w:val="16"/>
        </w:rPr>
        <w:softHyphen/>
        <w:t>ки в оценке ситуации с производством ББ-22бис на совещании не прозвучало. Продолжался обычный, быть может, не</w:t>
      </w:r>
      <w:r w:rsidRPr="00A3026E">
        <w:rPr>
          <w:rFonts w:ascii="Times New Roman" w:hAnsi="Times New Roman"/>
          <w:color w:val="000000" w:themeColor="text1"/>
          <w:sz w:val="16"/>
          <w:szCs w:val="16"/>
        </w:rPr>
        <w:softHyphen/>
        <w:t>много затянувшийся процесс «доводки» новой машины. Достаточно сказать, что государственный план на 1941 г., ут</w:t>
      </w:r>
      <w:r w:rsidRPr="00A3026E">
        <w:rPr>
          <w:rFonts w:ascii="Times New Roman" w:hAnsi="Times New Roman"/>
          <w:color w:val="000000" w:themeColor="text1"/>
          <w:sz w:val="16"/>
          <w:szCs w:val="16"/>
        </w:rPr>
        <w:softHyphen/>
        <w:t>вержденный в начале декабря 1940 г., предусматривал выпуск 1300 двухмотор</w:t>
      </w:r>
      <w:r w:rsidRPr="00A3026E">
        <w:rPr>
          <w:rFonts w:ascii="Times New Roman" w:hAnsi="Times New Roman"/>
          <w:color w:val="000000" w:themeColor="text1"/>
          <w:sz w:val="16"/>
          <w:szCs w:val="16"/>
        </w:rPr>
        <w:softHyphen/>
        <w:t>ных бомбардировщиков Яковлева (11214).</w:t>
      </w:r>
    </w:p>
    <w:p w14:paraId="247ABF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4209321" w14:textId="77777777" w:rsidR="00C66762" w:rsidRPr="00A3026E" w:rsidRDefault="00C66762" w:rsidP="00A3026E">
      <w:pPr>
        <w:pStyle w:val="a3"/>
        <w:tabs>
          <w:tab w:val="left" w:pos="11199"/>
        </w:tabs>
        <w:rPr>
          <w:color w:val="000000" w:themeColor="text1"/>
          <w:lang w:val="ru-RU"/>
        </w:rPr>
      </w:pPr>
      <w:r w:rsidRPr="00A3026E">
        <w:rPr>
          <w:color w:val="000000" w:themeColor="text1"/>
          <w:lang w:val="ru-RU"/>
        </w:rPr>
        <w:t>В ноябре 1940 г. Н.Н.Поликарпов выступил с инициативой создания одномоторных тяжелых пушечных истре</w:t>
      </w:r>
      <w:r w:rsidRPr="00A3026E">
        <w:rPr>
          <w:color w:val="000000" w:themeColor="text1"/>
          <w:lang w:val="ru-RU"/>
        </w:rPr>
        <w:softHyphen/>
        <w:t>бителей, основным назначением кото</w:t>
      </w:r>
      <w:r w:rsidRPr="00A3026E">
        <w:rPr>
          <w:color w:val="000000" w:themeColor="text1"/>
          <w:lang w:val="ru-RU"/>
        </w:rPr>
        <w:softHyphen/>
        <w:t xml:space="preserve">рых являлось бы: </w:t>
      </w:r>
      <w:r w:rsidRPr="00A3026E">
        <w:rPr>
          <w:iCs/>
          <w:color w:val="000000" w:themeColor="text1"/>
          <w:lang w:val="ru-RU"/>
        </w:rPr>
        <w:t>“1) Ведение актив</w:t>
      </w:r>
      <w:r w:rsidRPr="00A3026E">
        <w:rPr>
          <w:iCs/>
          <w:color w:val="000000" w:themeColor="text1"/>
          <w:lang w:val="ru-RU"/>
        </w:rPr>
        <w:softHyphen/>
        <w:t>ного воздушного боя с самолетами противника, главным образом, унич</w:t>
      </w:r>
      <w:r w:rsidRPr="00A3026E">
        <w:rPr>
          <w:iCs/>
          <w:color w:val="000000" w:themeColor="text1"/>
          <w:lang w:val="ru-RU"/>
        </w:rPr>
        <w:softHyphen/>
        <w:t>тожение бомбардировщиков. 2) По</w:t>
      </w:r>
      <w:r w:rsidRPr="00A3026E">
        <w:rPr>
          <w:iCs/>
          <w:color w:val="000000" w:themeColor="text1"/>
          <w:lang w:val="ru-RU"/>
        </w:rPr>
        <w:softHyphen/>
        <w:t>ражение наземных целей: танков, броневиков, зенитных батарей, пу</w:t>
      </w:r>
      <w:r w:rsidRPr="00A3026E">
        <w:rPr>
          <w:iCs/>
          <w:color w:val="000000" w:themeColor="text1"/>
          <w:lang w:val="ru-RU"/>
        </w:rPr>
        <w:softHyphen/>
        <w:t>леметных гнезд и т.п. 3) Сопровож</w:t>
      </w:r>
      <w:r w:rsidRPr="00A3026E">
        <w:rPr>
          <w:iCs/>
          <w:color w:val="000000" w:themeColor="text1"/>
          <w:lang w:val="ru-RU"/>
        </w:rPr>
        <w:softHyphen/>
        <w:t>дение бомбардировщиков”.</w:t>
      </w:r>
      <w:r w:rsidRPr="00A3026E">
        <w:rPr>
          <w:color w:val="000000" w:themeColor="text1"/>
          <w:lang w:val="ru-RU"/>
        </w:rPr>
        <w:t xml:space="preserve"> В период 1941-43 гг. строились и испытывались тяжелые истребители ИТП (М-1) М-107П и ИТП (М-2) с мотором АМ-37, замененного в ходе испытаний на АМ-39. Вооружение ИТП (М-1) включало одну мотор-пушку Б.Г.Шпитального Ш-37 калибра 37 мм с запасом 50 сна</w:t>
      </w:r>
      <w:r w:rsidRPr="00A3026E">
        <w:rPr>
          <w:color w:val="000000" w:themeColor="text1"/>
          <w:lang w:val="ru-RU"/>
        </w:rPr>
        <w:softHyphen/>
        <w:t>рядов с ленточным питанием, являю</w:t>
      </w:r>
      <w:r w:rsidRPr="00A3026E">
        <w:rPr>
          <w:color w:val="000000" w:themeColor="text1"/>
          <w:lang w:val="ru-RU"/>
        </w:rPr>
        <w:softHyphen/>
        <w:t>щуюся развитием пушки ШФК-37, и две синхронные пушки ШВАК калиб</w:t>
      </w:r>
      <w:r w:rsidRPr="00A3026E">
        <w:rPr>
          <w:color w:val="000000" w:themeColor="text1"/>
          <w:lang w:val="ru-RU"/>
        </w:rPr>
        <w:softHyphen/>
        <w:t>ра 20 мм с общим запасом 280 снаря</w:t>
      </w:r>
      <w:r w:rsidRPr="00A3026E">
        <w:rPr>
          <w:color w:val="000000" w:themeColor="text1"/>
          <w:lang w:val="ru-RU"/>
        </w:rPr>
        <w:softHyphen/>
        <w:t>дов. Вооружение ИТП (М-2) состояло из 3-х синхронных пушек ШВАК. Кро</w:t>
      </w:r>
      <w:r w:rsidRPr="00A3026E">
        <w:rPr>
          <w:color w:val="000000" w:themeColor="text1"/>
          <w:lang w:val="ru-RU"/>
        </w:rPr>
        <w:softHyphen/>
        <w:t>ме того, под крылом предусматривалась подвеска восьми реактивных снарядов PC-82. Вместо PC-82 могли быть под</w:t>
      </w:r>
      <w:r w:rsidRPr="00A3026E">
        <w:rPr>
          <w:color w:val="000000" w:themeColor="text1"/>
          <w:lang w:val="ru-RU"/>
        </w:rPr>
        <w:softHyphen/>
        <w:t>вешены бомбы общей массой 200 кг. В ходе испытаний ИТП (М-2) АМ-39 на номинальном режиме была по</w:t>
      </w:r>
      <w:r w:rsidRPr="00A3026E">
        <w:rPr>
          <w:color w:val="000000" w:themeColor="text1"/>
          <w:lang w:val="ru-RU"/>
        </w:rPr>
        <w:softHyphen/>
        <w:t>лучена максимальная скорость полета у земли - 540 км/ч и на первой рас</w:t>
      </w:r>
      <w:r w:rsidRPr="00A3026E">
        <w:rPr>
          <w:color w:val="000000" w:themeColor="text1"/>
          <w:lang w:val="ru-RU"/>
        </w:rPr>
        <w:softHyphen/>
        <w:t>четной высоте 2500 м - 570 км/ч. На форсажном режиме, соответственно, 600 и 650 км/ч. Испытания ИТП были прекращены летом 1944 г. после смерти Поликарпова. Оценки показывают, что в типовых условиях боев летчик с отличной лет</w:t>
      </w:r>
      <w:r w:rsidRPr="00A3026E">
        <w:rPr>
          <w:color w:val="000000" w:themeColor="text1"/>
          <w:lang w:val="ru-RU"/>
        </w:rPr>
        <w:softHyphen/>
        <w:t>ной и стрелковой подготовкой на пу</w:t>
      </w:r>
      <w:r w:rsidRPr="00A3026E">
        <w:rPr>
          <w:color w:val="000000" w:themeColor="text1"/>
          <w:lang w:val="ru-RU"/>
        </w:rPr>
        <w:softHyphen/>
        <w:t>шечном истребителе ИТП (М-1) уже в первой атаке мог обеспечить вероят</w:t>
      </w:r>
      <w:r w:rsidRPr="00A3026E">
        <w:rPr>
          <w:color w:val="000000" w:themeColor="text1"/>
          <w:lang w:val="ru-RU"/>
        </w:rPr>
        <w:softHyphen/>
        <w:t>ность поражения немецкого среднего танка типа Pz. IV Ausf G (атака сбоку, угол планирования 25-30°, дистанция открытия огня 300-400 м) порядка 0,15-0,1, а бронетранспортера типа Sd Kfz 250 - 0,9-0,8, что было значительно выше результата, который мог пока</w:t>
      </w:r>
      <w:r w:rsidRPr="00A3026E">
        <w:rPr>
          <w:color w:val="000000" w:themeColor="text1"/>
          <w:lang w:val="ru-RU"/>
        </w:rPr>
        <w:softHyphen/>
        <w:t>зать штурмовик Ил-2 с пушками ШВАК или ВЯ-23. ИТП мог в полной мере рассматриваться как противотанковый самолет, хотя в борь</w:t>
      </w:r>
      <w:r w:rsidRPr="00A3026E">
        <w:rPr>
          <w:color w:val="000000" w:themeColor="text1"/>
          <w:lang w:val="ru-RU"/>
        </w:rPr>
        <w:softHyphen/>
        <w:t>бе с легкими танками мог быть эффек</w:t>
      </w:r>
      <w:r w:rsidRPr="00A3026E">
        <w:rPr>
          <w:color w:val="000000" w:themeColor="text1"/>
          <w:lang w:val="ru-RU"/>
        </w:rPr>
        <w:softHyphen/>
        <w:t>тивней, чем Ил-2, поскольку пушек ШВАК было три, и, кроме того, их бо</w:t>
      </w:r>
      <w:r w:rsidRPr="00A3026E">
        <w:rPr>
          <w:color w:val="000000" w:themeColor="text1"/>
          <w:lang w:val="ru-RU"/>
        </w:rPr>
        <w:softHyphen/>
        <w:t>лее компактное размещение обеспечи</w:t>
      </w:r>
      <w:r w:rsidRPr="00A3026E">
        <w:rPr>
          <w:color w:val="000000" w:themeColor="text1"/>
          <w:lang w:val="ru-RU"/>
        </w:rPr>
        <w:softHyphen/>
        <w:t>вало и более высокую точность стрель</w:t>
      </w:r>
      <w:r w:rsidRPr="00A3026E">
        <w:rPr>
          <w:color w:val="000000" w:themeColor="text1"/>
          <w:lang w:val="ru-RU"/>
        </w:rPr>
        <w:softHyphen/>
        <w:t>бы, а возможность пикировать под уг</w:t>
      </w:r>
      <w:r w:rsidRPr="00A3026E">
        <w:rPr>
          <w:color w:val="000000" w:themeColor="text1"/>
          <w:lang w:val="ru-RU"/>
        </w:rPr>
        <w:softHyphen/>
        <w:t>лами 50-60 расширяла доступные для поражения зоны танков. Однако Н.Н.Поликарпов сам не стал настойчиво развивать свои результа</w:t>
      </w:r>
      <w:r w:rsidRPr="00A3026E">
        <w:rPr>
          <w:color w:val="000000" w:themeColor="text1"/>
          <w:lang w:val="ru-RU"/>
        </w:rPr>
        <w:softHyphen/>
        <w:t>ты, а специалисты ВВС не проявили должной инициативы в их реализации (6269).</w:t>
      </w:r>
    </w:p>
    <w:p w14:paraId="40B911C9" w14:textId="77777777" w:rsidR="00C66762" w:rsidRPr="00A3026E" w:rsidRDefault="00C66762" w:rsidP="00A3026E">
      <w:pPr>
        <w:pStyle w:val="a3"/>
        <w:tabs>
          <w:tab w:val="left" w:pos="11199"/>
        </w:tabs>
        <w:rPr>
          <w:color w:val="000000" w:themeColor="text1"/>
          <w:lang w:val="ru-RU"/>
        </w:rPr>
      </w:pPr>
    </w:p>
    <w:p w14:paraId="16EC19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ноябре 1940 завод 21 сделал первый серийный (из малой серии) И-21 Пашинина и этот самолет потом испытывался в ЛИИ (2463,257).</w:t>
      </w:r>
    </w:p>
    <w:p w14:paraId="7AA38F8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FC6B0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Семен Алексеевич Лавочкин был назначен главным конструктором завода № 21. В конце 1940 года было принято решение об организации на заводе производства цельнодеревянного истребителя ЛаГГ-3 конструкции С.А. Лавочкина, В.П. Горбунова и М.И. Гудкова. Приказом Народного комиссариата авиационной промышленности СССР от 10 февраля 1941 года Горьковский авиазавод стал головным по выпуску ЛаГГ-3. Вслед за горьковчанами выпуск ЛаГГа налаживали в Таганроге, Ленинграде и Новосибирске.</w:t>
      </w:r>
    </w:p>
    <w:p w14:paraId="346718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Серийное освоение в кратчайшие сроки цельнолеревянного ЛаГТ-3, значительно отличавшегося по конструкции от И-16, потребовало масштабной перестройки всего технологического процесса. Несмотря на это в первые шесть месяцев 1941 года предприятие освоило серийное производство новой машины. Конвейер сборки ЛаГГ-3 уже занимал половину сборочного цеха, а на второй половине продолжался выпуск И-16. </w:t>
      </w:r>
    </w:p>
    <w:p w14:paraId="721551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предвоенный период и в годы Великой Отечественной войны заслуженный авторитет умелых организаторов производства имели директора завода Василий Павлович Воронин, Алексей Сергеевич Сухарев, Александр Федорович Гостинцев, Сурен Иванович Агаджанов (11651).</w:t>
      </w:r>
    </w:p>
    <w:p w14:paraId="36E3849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1629B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закончились войсковые испытания И-26 (Як-1) малой серии, которые проходили с октября 1940 на аэродроме в Кубинке в 11 иап. Участвовали: от ОКБ ви К.В.Синельников, от завода и Б.С.Ферейн, от НИИ ВВС - ви Н.И.Максимов. Выполнили 1222 полета налетав 392 часа. Оказался проще И-16 за счет лучшей устойчивости (65,42).</w:t>
      </w:r>
    </w:p>
    <w:p w14:paraId="4F05A63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6C6B6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ноябрь 1940 г. включительно с октября в Кубинке в 11-м истребительном авиаполку (иап) проходили войсковые испытания первых десяти И-26, выпущенных на заводе №301. Из двух других самолетов серии один не был облетан из- за аварии, а другой забракован по нивелировке - при испытаниях самолет сильно кренило. Для устранения этого явления завод наклепал на правый элерон пластину- компенсатор, без согласования доработки с Главным конструктором. По приказу наркома авиапромышленности № 518 от 2 октября 1940 г. о соблюдении технологической дисциплины И-26. выполненный с отступлением от чертежей, военная приемка не приняла. Самолет передали в НИИ ВВС КА для составления заключения о возможном его использовании.</w:t>
      </w:r>
    </w:p>
    <w:p w14:paraId="3057AF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самолет в полном объеме на готовность к боевым действиям не удалось из-за сокращения программы государственных испытаний, и в связи с не отлаженным и не пристрелянным вооружением на всех машинах. Это не удивительно, потому что к 28 сентября завод получил всего семь мотор- пушек и еще шесть до конца месяца, которые успели только смонтировать на самолеты к началу войсковых испытаний. Самолеты первых серий завода № 301 строились по чертежам И-26-1 с многочисленными изменениями, вносимыми по ходу испытательных полетов второго и третьего экземпляров. Поэтому войсковые испытания подтвердили ряд дефектов, выявленных на госиспытаниях, и обнажили немалое количество новых, связанных с качеством изготовления. По изданному директором завода № 30I приказу некоторые рабочие завода из-за допущенного брака получили в зарплату в сентябре всего 6-8 рублей. По материалам испытаний в ноябре произошла вторая доработка крыла (расширение вырезов куполов шасси) и щитков по первым трем сериям на заводе №301.</w:t>
      </w:r>
    </w:p>
    <w:p w14:paraId="2EF66E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имеющиеся конструктивные и производственные недостатки войсковые испытания И-26 прошел удовлетворительно. Они показали, что самолет обладает высокими летно-тактическими качествами. По технике пилотирования на посадке, пилотаже, в облаках и ночью он оказался значительно проще находящихся на вооружении частей ВВС КА истребителей И-15 и И-16. Летный состав, освоивший И-16, без труда переучивался на новый тип самолета и вылетал самостоятельно даже без вывозных полетов на УТИ-26 (так первоначально назывался учебно-тренировочный вариант Як-1) (12048).</w:t>
      </w:r>
    </w:p>
    <w:p w14:paraId="3F09034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7CFD4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на заводе № 301 работала смешанная комиссия НКАП и ГУ ВВС КА под руководством начальника 6-го управления ГУ ВВС КА бригинженера Лапина. В состав комиссии входили: начальник производственного отдела ПГУ НКАП Тихомиров, заместитель главного конструктора завода № 115 Вигант, директор завода № 301 Эскин, помощник ведущего инженера НИИ ВВС КА по самолету И-26 военинженер 2-го ранга Степанец, летчик-испытатель подполковник Стефановский, ведущий инженер по войсковым испытаниям И-26 военинженер 2-го ранга Чернавский. Комиссия по результатам своей работы 30 ноября 1940 г. составила протокол из 114 пунктов, которым предписывалось заводам № 115, 301 и 292 устранить дефекты на серийных истребителях Як-1 в кратчайшие сроки. Протокол был утвержден наркомом авиапромышленности Шахуриным и начальником ГУ ВВС КА генерал-лейтенан- том Рычаговым 18 декабря 1940 г.</w:t>
      </w:r>
    </w:p>
    <w:p w14:paraId="5B282D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1940 г. завод № 301 выпустил 48 самолетов, из которых военной приемкой было принято 36, а отправлено с завода всего 12 (11 на войсковые испытания в 11-й иап 24-й ад Московского военного округа (МВО) и один вНИИ ВВС). Из-за многочисленных переделок и доработок во втором и третьем кварталах не было выпущено ни одного самолета. Наверстать упущенное в четвертом квартале завод не смог, так как из- за недопоставок агрегатов цех окончательной сборки был забит не сданными самолетами и не было места для сборки очередных машин (12048).</w:t>
      </w:r>
    </w:p>
    <w:p w14:paraId="2F68C04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0A480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был запущен в серию самолет И-301 (ЛаГГ-1) (4071) (3573).</w:t>
      </w:r>
    </w:p>
    <w:p w14:paraId="21EBA78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887C4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по предложению наркомата на вы</w:t>
      </w:r>
      <w:r w:rsidRPr="00A3026E">
        <w:rPr>
          <w:rFonts w:ascii="Times New Roman" w:hAnsi="Times New Roman"/>
          <w:color w:val="000000" w:themeColor="text1"/>
          <w:sz w:val="16"/>
          <w:szCs w:val="16"/>
        </w:rPr>
        <w:softHyphen/>
        <w:t>пуск ЛаГГ-3 перевели и завод №21, куда срочно выехал А.С.Лавочкин с частью КБ, вскоре назначенный глав</w:t>
      </w:r>
      <w:r w:rsidRPr="00A3026E">
        <w:rPr>
          <w:rFonts w:ascii="Times New Roman" w:hAnsi="Times New Roman"/>
          <w:color w:val="000000" w:themeColor="text1"/>
          <w:sz w:val="16"/>
          <w:szCs w:val="16"/>
        </w:rPr>
        <w:softHyphen/>
        <w:t>ным конструктором завода, затем, с декабря, постройку ЛаГГ-3 начал завод № 31 в г. Таганроге, а с 1941 г. - заво</w:t>
      </w:r>
      <w:r w:rsidRPr="00A3026E">
        <w:rPr>
          <w:rFonts w:ascii="Times New Roman" w:hAnsi="Times New Roman"/>
          <w:color w:val="000000" w:themeColor="text1"/>
          <w:sz w:val="16"/>
          <w:szCs w:val="16"/>
        </w:rPr>
        <w:softHyphen/>
        <w:t>ды № 153, № 165, №463 (10667).</w:t>
      </w:r>
    </w:p>
    <w:p w14:paraId="3B92309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5EEC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Н.Н.Поликарпов приступает к проектированию варианта истребителя И-174 - ИТП (истребитель тяжелый пушечный) с АМ-37П или М-105П. При этом он опирается на опыт разработки эскизного проекта самолета И-173 с мотором М-105П (9649).</w:t>
      </w:r>
    </w:p>
    <w:p w14:paraId="3EAC1CD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BDB67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О.К.А. предъявил эскизный проект Самолета N 4 - военно-транспортной машины, биплана с М-62Р с пробегом 50 м при нагрузке в 1 т - прообраза Ан-2. Сочли устаревшим (2541,32).</w:t>
      </w:r>
    </w:p>
    <w:p w14:paraId="5B28366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BCA8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было расформировано созданное в марте 1940 года на базе завода № 23 НКАП в Ленинграде ОКБ гл. конструктора Антонова О.К., задачей которого было проектирования и постройка опытного связного самолета «АИСТ» с мотором МВ-6 и созданием санитарного варианта этого самолета, который прошел успешно госиспытания и рекомендован для запуска в серийное производство (9403).</w:t>
      </w:r>
    </w:p>
    <w:p w14:paraId="50A7527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E13AF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О.К.А. предлагает для рассмотрения экспертным отделом НКАП законченный эскизный проект, получивший обозначение самолет "№4". В пояснительной записке к проекту лаконично указывались его возможности и назначение, и эта глава состояла всего из двух пунктов:</w:t>
      </w:r>
    </w:p>
    <w:p w14:paraId="1433DB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Поднимать одну тонну любой боевой нагрузки при разбеге 50 метров.</w:t>
      </w:r>
    </w:p>
    <w:p w14:paraId="24858B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Садиться и взлетать где угодно.</w:t>
      </w:r>
    </w:p>
    <w:p w14:paraId="3234DB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Далее говорилось, что самолет "№4" представлял собой биплан смешанной конструкции, оснащенный двигателем М-62Р с воздушным винтом СМВ-3, диаметр которого для получения высокого КПД на взлете был увеличен до 4 метров. Самолет предполагался для выполнения десантных и военно-транспортных операций. Экипаж состоял из летчика и радиста- стрелка, поднимаемый груз оценивался в 800 кг или 8 бойцов с вооружением (в перегрузочном варианте - одна тонна и 10-11 человек). Предусматривался санитарный вариант на 8 раненых, а также перевозка крупногабаритных грузов, таких, например, как противотанковые орудия или авиационные двигатели. Для последнего варианта на левом борту фюзеляжа оборудовался широкий входной люк. Наряду с мощной механизацией крыльев, самолет "№4" имел бипланное горизонтальное оперение, а также трехкилевое вертикальное оперение, которые должны были улучшить управляемость на малых скоростях при коротком взлете. В качестве крыльевого профиля был применен 14%-й профиль ЦАГИ P-II, разработанный П. Красильщиковым. Кстати, еще при разработке ОКА-38 выяснилось, что советский P-II идентичен профилю крыла немецкого "Шторьха".</w:t>
      </w:r>
    </w:p>
    <w:p w14:paraId="30CFCC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самолета "№4" предполагалась классической для тех лет. Ферменный фюзеляж и деревянные крылья с последующим полотняным покрытием. Причем при выборе конструкционных материалов, с целью удешевления, упор делался на преобладание дерева - даже ферма фюзеляжа была металлической только в носовой части. Впрочем, представленный проект не вызвал восторга заказчиков, положительных отзывов на него не последовало.</w:t>
      </w:r>
    </w:p>
    <w:p w14:paraId="2EF0F5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появления проекта "№4" прошло четыре года, и конструктор Антонов вновь вернулся к своему внеаэродромному биплану. Работы заняли еще три года, прежде чем 31 августа 1947 г. в воздух поднялся новый опытный самолет, которому предстояло стать знаменитым Ан-2. Интересно, что поначалу он обозначался СХ-1 - также, как довоенный биплан конструктора Бедунковича.</w:t>
      </w:r>
    </w:p>
    <w:p w14:paraId="6CF86A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Проектные характеристики самолета "№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983732" w:rsidRPr="00A3026E" w14:paraId="32B59174" w14:textId="77777777" w:rsidTr="00EA0DA7">
        <w:tc>
          <w:tcPr>
            <w:tcW w:w="5605" w:type="dxa"/>
            <w:tcBorders>
              <w:top w:val="single" w:sz="12" w:space="0" w:color="auto"/>
            </w:tcBorders>
          </w:tcPr>
          <w:p w14:paraId="111B5C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верхнего крыла (м)</w:t>
            </w:r>
          </w:p>
        </w:tc>
        <w:tc>
          <w:tcPr>
            <w:tcW w:w="5605" w:type="dxa"/>
            <w:tcBorders>
              <w:top w:val="single" w:sz="12" w:space="0" w:color="auto"/>
            </w:tcBorders>
          </w:tcPr>
          <w:p w14:paraId="61B332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w:t>
            </w:r>
          </w:p>
        </w:tc>
      </w:tr>
      <w:tr w:rsidR="00983732" w:rsidRPr="00A3026E" w14:paraId="13982D0B" w14:textId="77777777" w:rsidTr="00EA0DA7">
        <w:tc>
          <w:tcPr>
            <w:tcW w:w="5605" w:type="dxa"/>
          </w:tcPr>
          <w:p w14:paraId="7A99E3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Размах нижнего крыла (м) </w:t>
            </w:r>
          </w:p>
        </w:tc>
        <w:tc>
          <w:tcPr>
            <w:tcW w:w="5605" w:type="dxa"/>
          </w:tcPr>
          <w:p w14:paraId="7CB700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r>
      <w:tr w:rsidR="00983732" w:rsidRPr="00A3026E" w14:paraId="7B420C30" w14:textId="77777777" w:rsidTr="00EA0DA7">
        <w:tc>
          <w:tcPr>
            <w:tcW w:w="5605" w:type="dxa"/>
          </w:tcPr>
          <w:p w14:paraId="5004B1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самолета (м)</w:t>
            </w:r>
          </w:p>
        </w:tc>
        <w:tc>
          <w:tcPr>
            <w:tcW w:w="5605" w:type="dxa"/>
          </w:tcPr>
          <w:p w14:paraId="5F1D1F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12,37</w:t>
            </w:r>
          </w:p>
        </w:tc>
      </w:tr>
      <w:tr w:rsidR="00983732" w:rsidRPr="00A3026E" w14:paraId="0738E827" w14:textId="77777777" w:rsidTr="00EA0DA7">
        <w:tc>
          <w:tcPr>
            <w:tcW w:w="5605" w:type="dxa"/>
          </w:tcPr>
          <w:p w14:paraId="2FDA7D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крыльев (м2)</w:t>
            </w:r>
          </w:p>
        </w:tc>
        <w:tc>
          <w:tcPr>
            <w:tcW w:w="5605" w:type="dxa"/>
          </w:tcPr>
          <w:p w14:paraId="6C0E9A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r w:rsidR="00983732" w:rsidRPr="00A3026E" w14:paraId="22D828BB" w14:textId="77777777" w:rsidTr="00EA0DA7">
        <w:tc>
          <w:tcPr>
            <w:tcW w:w="5605" w:type="dxa"/>
          </w:tcPr>
          <w:p w14:paraId="2D2EC4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(кг)</w:t>
            </w:r>
          </w:p>
        </w:tc>
        <w:tc>
          <w:tcPr>
            <w:tcW w:w="5605" w:type="dxa"/>
          </w:tcPr>
          <w:p w14:paraId="762FCC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1875</w:t>
            </w:r>
          </w:p>
        </w:tc>
      </w:tr>
      <w:tr w:rsidR="00983732" w:rsidRPr="00A3026E" w14:paraId="111229BD" w14:textId="77777777" w:rsidTr="00EA0DA7">
        <w:tc>
          <w:tcPr>
            <w:tcW w:w="5605" w:type="dxa"/>
          </w:tcPr>
          <w:p w14:paraId="599F5C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(кг)</w:t>
            </w:r>
          </w:p>
        </w:tc>
        <w:tc>
          <w:tcPr>
            <w:tcW w:w="5605" w:type="dxa"/>
          </w:tcPr>
          <w:p w14:paraId="51ADBC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3440</w:t>
            </w:r>
          </w:p>
        </w:tc>
      </w:tr>
      <w:tr w:rsidR="00983732" w:rsidRPr="00A3026E" w14:paraId="48CD3B58" w14:textId="77777777" w:rsidTr="00EA0DA7">
        <w:tc>
          <w:tcPr>
            <w:tcW w:w="5605" w:type="dxa"/>
          </w:tcPr>
          <w:p w14:paraId="00D7F4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Максимальная скорость на Н=4200 м (км/ч)</w:t>
            </w:r>
          </w:p>
        </w:tc>
        <w:tc>
          <w:tcPr>
            <w:tcW w:w="5605" w:type="dxa"/>
          </w:tcPr>
          <w:p w14:paraId="77BA7F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r>
      <w:tr w:rsidR="00983732" w:rsidRPr="00A3026E" w14:paraId="689D256F" w14:textId="77777777" w:rsidTr="00EA0DA7">
        <w:tc>
          <w:tcPr>
            <w:tcW w:w="5605" w:type="dxa"/>
          </w:tcPr>
          <w:p w14:paraId="046A7E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у земли (км/ч)</w:t>
            </w:r>
          </w:p>
        </w:tc>
        <w:tc>
          <w:tcPr>
            <w:tcW w:w="5605" w:type="dxa"/>
          </w:tcPr>
          <w:p w14:paraId="049524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257</w:t>
            </w:r>
          </w:p>
        </w:tc>
      </w:tr>
      <w:tr w:rsidR="00983732" w:rsidRPr="00A3026E" w14:paraId="01193F0C" w14:textId="77777777" w:rsidTr="00EA0DA7">
        <w:tc>
          <w:tcPr>
            <w:tcW w:w="5605" w:type="dxa"/>
          </w:tcPr>
          <w:p w14:paraId="6FB200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скорость(км/ч)</w:t>
            </w:r>
          </w:p>
        </w:tc>
        <w:tc>
          <w:tcPr>
            <w:tcW w:w="5605" w:type="dxa"/>
          </w:tcPr>
          <w:p w14:paraId="1AC134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 *</w:t>
            </w:r>
          </w:p>
        </w:tc>
      </w:tr>
      <w:tr w:rsidR="00983732" w:rsidRPr="00A3026E" w14:paraId="6CF45DB2" w14:textId="77777777" w:rsidTr="00EA0DA7">
        <w:tc>
          <w:tcPr>
            <w:tcW w:w="5605" w:type="dxa"/>
          </w:tcPr>
          <w:p w14:paraId="409470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 при встречном ветре 4 м/сек (м)</w:t>
            </w:r>
          </w:p>
        </w:tc>
        <w:tc>
          <w:tcPr>
            <w:tcW w:w="5605" w:type="dxa"/>
          </w:tcPr>
          <w:p w14:paraId="19BFC4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r>
      <w:tr w:rsidR="00983732" w:rsidRPr="00A3026E" w14:paraId="0EE5B148" w14:textId="77777777" w:rsidTr="00EA0DA7">
        <w:tc>
          <w:tcPr>
            <w:tcW w:w="5605" w:type="dxa"/>
            <w:tcBorders>
              <w:bottom w:val="single" w:sz="12" w:space="0" w:color="auto"/>
            </w:tcBorders>
          </w:tcPr>
          <w:p w14:paraId="75BB5C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(км)</w:t>
            </w:r>
          </w:p>
        </w:tc>
        <w:tc>
          <w:tcPr>
            <w:tcW w:w="5605" w:type="dxa"/>
            <w:tcBorders>
              <w:bottom w:val="single" w:sz="12" w:space="0" w:color="auto"/>
            </w:tcBorders>
          </w:tcPr>
          <w:p w14:paraId="2FD163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w:t>
            </w:r>
          </w:p>
        </w:tc>
      </w:tr>
    </w:tbl>
    <w:p w14:paraId="1CCED7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 полетным весом 3440 кг (11967).</w:t>
      </w:r>
    </w:p>
    <w:p w14:paraId="462C046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1B1FB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КСМ-1 потерпел катастрофу в Горьком и более не восстанавливался.</w:t>
      </w:r>
    </w:p>
    <w:p w14:paraId="440553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переделке автомобильных двигателей в авиационные пре</w:t>
      </w:r>
      <w:r w:rsidRPr="00A3026E">
        <w:rPr>
          <w:rFonts w:ascii="Times New Roman" w:hAnsi="Times New Roman"/>
          <w:color w:val="000000" w:themeColor="text1"/>
          <w:sz w:val="16"/>
          <w:szCs w:val="16"/>
        </w:rPr>
        <w:softHyphen/>
        <w:t>кратили. К ним вернулись уже создатели любительских конструкций в послевоенный период.</w:t>
      </w:r>
    </w:p>
    <w:p w14:paraId="1B5EC7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ГАЗ-11 - авиационный мотор на базе 6-цилиндрового автомобильного двигателя.</w:t>
      </w:r>
    </w:p>
    <w:p w14:paraId="1E0735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Характеристики:</w:t>
      </w:r>
    </w:p>
    <w:p w14:paraId="15AECC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6-цилиндровый, рядный, четырехтактный, водяного охлаждения редукторный, без ПЦН; '</w:t>
      </w:r>
    </w:p>
    <w:p w14:paraId="6DE74C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диаметр цилиндра/ход поршня 82/110 мм (11952;</w:t>
      </w:r>
    </w:p>
    <w:p w14:paraId="5D7063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BAF0B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ноября 1940 директора авиазаводов докладывали ежедневно (69,183). В ЦК - И.В.Сталину, в СНК В.М.Молотову и в НКАП шифротелеграммами по ВЧ о числе принятых военпредами самолетов и моторов. НКАП таки обязался к июню 1941 поднять до 50 в день (173,204).</w:t>
      </w:r>
    </w:p>
    <w:p w14:paraId="454E611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AEEE7CC" w14:textId="77777777" w:rsidR="002D4A2C" w:rsidRPr="00A3026E" w:rsidRDefault="002D4A2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ноября 1940 г. заводскими лётчиками-испытателями на заводе № 600 в Урумчи работали боевые лётчики И.Е. Фёдоров, исполнявший обязанности начальника ЛИС, и С.Н. Викторов. Первый пово</w:t>
      </w:r>
      <w:r w:rsidRPr="00A3026E">
        <w:rPr>
          <w:rFonts w:ascii="Times New Roman" w:hAnsi="Times New Roman"/>
          <w:color w:val="000000" w:themeColor="text1"/>
          <w:sz w:val="16"/>
          <w:szCs w:val="16"/>
        </w:rPr>
        <w:softHyphen/>
        <w:t>евал в Испании (Операция «X»), сбив там два самолёта, второй летом 1939 г. «отме</w:t>
      </w:r>
      <w:r w:rsidRPr="00A3026E">
        <w:rPr>
          <w:rFonts w:ascii="Times New Roman" w:hAnsi="Times New Roman"/>
          <w:color w:val="000000" w:themeColor="text1"/>
          <w:sz w:val="16"/>
          <w:szCs w:val="16"/>
        </w:rPr>
        <w:softHyphen/>
        <w:t>тился» на Халхин-Голе, совершив 88 боевых вылетов. В 17 воздушных боях он лично сбил два самолёта и в группе ещё 11 японцев, а также один аэростат.</w:t>
      </w:r>
    </w:p>
    <w:p w14:paraId="6A3F6B67" w14:textId="77777777" w:rsidR="002D4A2C" w:rsidRPr="00A3026E" w:rsidRDefault="002D4A2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сожалению, боевой опыт не помог испытателю, когда в мае 1941 г. во время облёта очередного И-16 Викторов разбился. Существуют две версии катастрофы: по первой из них основной причиной стало качество продукции — ошибки в сборке хвостового опере</w:t>
      </w:r>
      <w:r w:rsidRPr="00A3026E">
        <w:rPr>
          <w:rFonts w:ascii="Times New Roman" w:hAnsi="Times New Roman"/>
          <w:color w:val="000000" w:themeColor="text1"/>
          <w:sz w:val="16"/>
          <w:szCs w:val="16"/>
        </w:rPr>
        <w:softHyphen/>
        <w:t>ния. Однако (по неподтвержденным данным) решающим стал «человеческий фактор» во время полёта строем. После катастрофы Фёдоров работал рядовым лётчиком до 28 фев</w:t>
      </w:r>
      <w:r w:rsidRPr="00A3026E">
        <w:rPr>
          <w:rFonts w:ascii="Times New Roman" w:hAnsi="Times New Roman"/>
          <w:color w:val="000000" w:themeColor="text1"/>
          <w:sz w:val="16"/>
          <w:szCs w:val="16"/>
        </w:rPr>
        <w:softHyphen/>
        <w:t>раля 1942 г., затем его сменил А.П. Деев, летавший в Урумчи в 1942-1943 гг. (15811).</w:t>
      </w:r>
    </w:p>
    <w:p w14:paraId="1E0836A5" w14:textId="77777777" w:rsidR="002D4A2C" w:rsidRPr="00A3026E" w:rsidRDefault="002D4A2C" w:rsidP="00A3026E">
      <w:pPr>
        <w:spacing w:after="0" w:line="240" w:lineRule="auto"/>
        <w:jc w:val="both"/>
        <w:rPr>
          <w:rFonts w:ascii="Times New Roman" w:hAnsi="Times New Roman"/>
          <w:color w:val="000000" w:themeColor="text1"/>
          <w:sz w:val="16"/>
          <w:szCs w:val="16"/>
        </w:rPr>
      </w:pPr>
    </w:p>
    <w:p w14:paraId="3C2524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на техническом совете в НИИ ВВС, проходившем под председательством начальника института А.И. Филина, отметили, что моторы М-105 являются слабы</w:t>
      </w:r>
      <w:r w:rsidRPr="00A3026E">
        <w:rPr>
          <w:rFonts w:ascii="Times New Roman" w:hAnsi="Times New Roman"/>
          <w:color w:val="000000" w:themeColor="text1"/>
          <w:sz w:val="16"/>
          <w:szCs w:val="16"/>
        </w:rPr>
        <w:softHyphen/>
        <w:t>ми и целесообразно начать постройку самолетов с АМ-35А и в дальнейшем с АМ-37 или с дизельным двигателем (10745,226).</w:t>
      </w:r>
    </w:p>
    <w:p w14:paraId="78024D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B6BBBD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мотор М-88 путем непосредственного впрыска был поставлен на 25-часовые заводские испытания. Испытания прекращены из-за недоведенности аппаратуры непосредственного впрыска (4048, 4).</w:t>
      </w:r>
    </w:p>
    <w:p w14:paraId="3F11416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407E02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мотор М-105 НВ был поставлен на 50 часовые заводские испытания. На 20 часу режимной работы из-за трещины гармошки автомата испытания прекращены. Дальнейшая работа НКАПом прекращена по причине невозможности в головке цилиндров разместить форсунку. Мотор при впрыске в цилиндр работает неустойчиво при расходах даже больших, чем у карбюраторного мотора (4048, 4).</w:t>
      </w:r>
    </w:p>
    <w:p w14:paraId="0D2EB45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3C98A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w:t>
      </w:r>
      <w:r w:rsidRPr="00A3026E">
        <w:rPr>
          <w:rFonts w:ascii="Times New Roman" w:hAnsi="Times New Roman"/>
          <w:color w:val="000000" w:themeColor="text1"/>
          <w:sz w:val="16"/>
          <w:szCs w:val="16"/>
        </w:rPr>
        <w:softHyphen/>
        <w:t>бре 1940 г. мотор М-105Д проходил совместные испытания. Мощность 910/1090 л.с., вес 645 кг. М-105Д, опытный двигатель с двухступенчатым ПЦН Э-100 (даль</w:t>
      </w:r>
      <w:r w:rsidRPr="00A3026E">
        <w:rPr>
          <w:rFonts w:ascii="Times New Roman" w:hAnsi="Times New Roman"/>
          <w:color w:val="000000" w:themeColor="text1"/>
          <w:sz w:val="16"/>
          <w:szCs w:val="16"/>
        </w:rPr>
        <w:softHyphen/>
        <w:t>нейшим развитием Э-23) конструкции В.А. Доллежаля и двумя водо-воздушными интеркулерами. С октября 1940 г. смонтирована турбо-муфта привода ПЦН (11852).</w:t>
      </w:r>
    </w:p>
    <w:p w14:paraId="75C21F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33088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осознавая степень «сырости» конст</w:t>
      </w:r>
      <w:r w:rsidRPr="00A3026E">
        <w:rPr>
          <w:rFonts w:ascii="Times New Roman" w:hAnsi="Times New Roman"/>
          <w:color w:val="000000" w:themeColor="text1"/>
          <w:sz w:val="16"/>
          <w:szCs w:val="16"/>
        </w:rPr>
        <w:softHyphen/>
        <w:t>рукции микулинской новинки, государственная комиссия ограничила количество за</w:t>
      </w:r>
      <w:r w:rsidRPr="00A3026E">
        <w:rPr>
          <w:rFonts w:ascii="Times New Roman" w:hAnsi="Times New Roman"/>
          <w:color w:val="000000" w:themeColor="text1"/>
          <w:sz w:val="16"/>
          <w:szCs w:val="16"/>
        </w:rPr>
        <w:softHyphen/>
        <w:t>казанных для ВВС серийных моторов 250 экземпля</w:t>
      </w:r>
      <w:r w:rsidRPr="00A3026E">
        <w:rPr>
          <w:rFonts w:ascii="Times New Roman" w:hAnsi="Times New Roman"/>
          <w:color w:val="000000" w:themeColor="text1"/>
          <w:sz w:val="16"/>
          <w:szCs w:val="16"/>
        </w:rPr>
        <w:softHyphen/>
        <w:t>рами «до получения результатов войсковых испыта</w:t>
      </w:r>
      <w:r w:rsidRPr="00A3026E">
        <w:rPr>
          <w:rFonts w:ascii="Times New Roman" w:hAnsi="Times New Roman"/>
          <w:color w:val="000000" w:themeColor="text1"/>
          <w:sz w:val="16"/>
          <w:szCs w:val="16"/>
        </w:rPr>
        <w:softHyphen/>
        <w:t>ний самолета И-200». Дефекты двигателя, выявленные на стендовых испытаниях, были связа</w:t>
      </w:r>
      <w:r w:rsidRPr="00A3026E">
        <w:rPr>
          <w:rFonts w:ascii="Times New Roman" w:hAnsi="Times New Roman"/>
          <w:color w:val="000000" w:themeColor="text1"/>
          <w:sz w:val="16"/>
          <w:szCs w:val="16"/>
        </w:rPr>
        <w:softHyphen/>
        <w:t>ны, главным образом, с отказами новых систем и аг</w:t>
      </w:r>
      <w:r w:rsidRPr="00A3026E">
        <w:rPr>
          <w:rFonts w:ascii="Times New Roman" w:hAnsi="Times New Roman"/>
          <w:color w:val="000000" w:themeColor="text1"/>
          <w:sz w:val="16"/>
          <w:szCs w:val="16"/>
        </w:rPr>
        <w:softHyphen/>
        <w:t>регатов. Так, начальник летно-технической службы НКАП М.М.Громов писал, что «мотор М—35 не дове</w:t>
      </w:r>
      <w:r w:rsidRPr="00A3026E">
        <w:rPr>
          <w:rFonts w:ascii="Times New Roman" w:hAnsi="Times New Roman"/>
          <w:color w:val="000000" w:themeColor="text1"/>
          <w:sz w:val="16"/>
          <w:szCs w:val="16"/>
        </w:rPr>
        <w:softHyphen/>
        <w:t>ден в части карбюрации, так как останавливается на крутом подъеме (И—200) и глохнет на планировании (БШ)». Отмечались и недостатки, связанные с невы</w:t>
      </w:r>
      <w:r w:rsidRPr="00A3026E">
        <w:rPr>
          <w:rFonts w:ascii="Times New Roman" w:hAnsi="Times New Roman"/>
          <w:color w:val="000000" w:themeColor="text1"/>
          <w:sz w:val="16"/>
          <w:szCs w:val="16"/>
        </w:rPr>
        <w:softHyphen/>
        <w:t>соким качеством подшипников и уплотнительных материалов. Следствием этого являлось падение дав</w:t>
      </w:r>
      <w:r w:rsidRPr="00A3026E">
        <w:rPr>
          <w:rFonts w:ascii="Times New Roman" w:hAnsi="Times New Roman"/>
          <w:color w:val="000000" w:themeColor="text1"/>
          <w:sz w:val="16"/>
          <w:szCs w:val="16"/>
        </w:rPr>
        <w:softHyphen/>
        <w:t>ления масла, особенно на больших высотах. Другой причиной масляного голодания мотора были недо</w:t>
      </w:r>
      <w:r w:rsidRPr="00A3026E">
        <w:rPr>
          <w:rFonts w:ascii="Times New Roman" w:hAnsi="Times New Roman"/>
          <w:color w:val="000000" w:themeColor="text1"/>
          <w:sz w:val="16"/>
          <w:szCs w:val="16"/>
        </w:rPr>
        <w:softHyphen/>
        <w:t>статки в конструкции маслопомпы (9984).</w:t>
      </w:r>
    </w:p>
    <w:p w14:paraId="67E535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F3827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решением ГКО дизель М-30 А.Д.Чаромского был рекомендован в серию. Его модификацией был АЧ-30Б (237,192).</w:t>
      </w:r>
    </w:p>
    <w:p w14:paraId="0851FD2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C698C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М-40 был ре</w:t>
      </w:r>
      <w:r w:rsidRPr="00A3026E">
        <w:rPr>
          <w:rFonts w:ascii="Times New Roman" w:hAnsi="Times New Roman"/>
          <w:color w:val="000000" w:themeColor="text1"/>
          <w:sz w:val="16"/>
          <w:szCs w:val="16"/>
        </w:rPr>
        <w:softHyphen/>
        <w:t>комендован в серию и выпущен небольшой партией в 1941 г. Летом 1941 г. испытывался на Ер-2 (11852).</w:t>
      </w:r>
    </w:p>
    <w:p w14:paraId="083067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3F16B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завод № 82 предъявил мотор М-30 на государственное 100-часовое испытание на станке.</w:t>
      </w:r>
    </w:p>
    <w:p w14:paraId="1FAA7A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мотор (№ 309), поставленный на госиспытание, на первом этапе длительных испытаний, после 1 час. 22 мин. Работы потерпел аварию вследствие поломки вертикального валика. Кроме того, у него заклинило пяту турбокомпрессора.</w:t>
      </w:r>
    </w:p>
    <w:p w14:paraId="6A223E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был предъявлен второй мотор (№ 310), который 12 декабря закончил 100-часовое госиспытание на станке, наработав при этом на режимах 108 часов 06 минут.</w:t>
      </w:r>
    </w:p>
    <w:p w14:paraId="3ED3EB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госиспытания мотора было выявлено значительное количество дефектов ………………</w:t>
      </w:r>
    </w:p>
    <w:p w14:paraId="62FD6C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испытания мотор имел три вынужденных остановки …………… и снимался со станка для частичной переборки.</w:t>
      </w:r>
    </w:p>
    <w:p w14:paraId="2F4016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……………….(7713, 335-338).</w:t>
      </w:r>
    </w:p>
    <w:p w14:paraId="48BA4EE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417ECF1" w14:textId="77777777" w:rsidR="001864F1" w:rsidRPr="00A3026E" w:rsidRDefault="001864F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декабрю 1940 г. двигатель М-40Ф предстоя</w:t>
      </w:r>
      <w:r w:rsidRPr="00A3026E">
        <w:rPr>
          <w:rFonts w:ascii="Times New Roman" w:hAnsi="Times New Roman"/>
          <w:color w:val="0070C0"/>
          <w:sz w:val="16"/>
          <w:szCs w:val="16"/>
        </w:rPr>
        <w:softHyphen/>
        <w:t>ло установить на БОК-15 и приступить к летным испыта</w:t>
      </w:r>
      <w:r w:rsidRPr="00A3026E">
        <w:rPr>
          <w:rFonts w:ascii="Times New Roman" w:hAnsi="Times New Roman"/>
          <w:color w:val="0070C0"/>
          <w:sz w:val="16"/>
          <w:szCs w:val="16"/>
        </w:rPr>
        <w:softHyphen/>
        <w:t>ниям. М-40Ф развивал на взлете мощность 1500 л.с. (при номинальной 1200 л.с.), имел сухой вес 1200 кг, в качестве топлива на нем использовался бакинский трак</w:t>
      </w:r>
      <w:r w:rsidRPr="00A3026E">
        <w:rPr>
          <w:rFonts w:ascii="Times New Roman" w:hAnsi="Times New Roman"/>
          <w:color w:val="0070C0"/>
          <w:sz w:val="16"/>
          <w:szCs w:val="16"/>
        </w:rPr>
        <w:softHyphen/>
        <w:t>торный керосин (20363).</w:t>
      </w:r>
    </w:p>
    <w:p w14:paraId="14E9B32B" w14:textId="77777777" w:rsidR="001864F1" w:rsidRPr="00A3026E" w:rsidRDefault="001864F1" w:rsidP="00A3026E">
      <w:pPr>
        <w:shd w:val="clear" w:color="auto" w:fill="FFFFFF"/>
        <w:spacing w:after="0" w:line="240" w:lineRule="auto"/>
        <w:jc w:val="both"/>
        <w:rPr>
          <w:rFonts w:ascii="Times New Roman" w:hAnsi="Times New Roman"/>
          <w:color w:val="0070C0"/>
          <w:sz w:val="16"/>
          <w:szCs w:val="16"/>
        </w:rPr>
      </w:pPr>
    </w:p>
    <w:p w14:paraId="2E7242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были закончены гос. испытания винта ВИШ-61П для мотор пушки, спроектированного в октябре 1939 (198,16).</w:t>
      </w:r>
    </w:p>
    <w:p w14:paraId="705C946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B74A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для НКАП А.И.Ш. была подготовлена Докладная записка по вопросу выполнения пятимесячной программы по Наркомату Авиационной Промышленности.</w:t>
      </w:r>
    </w:p>
    <w:p w14:paraId="54B20B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Инспекция, проверив выполнение постановления Правитель</w:t>
      </w:r>
      <w:r w:rsidRPr="00A3026E">
        <w:rPr>
          <w:rFonts w:ascii="Times New Roman" w:hAnsi="Times New Roman"/>
          <w:color w:val="000000" w:themeColor="text1"/>
          <w:sz w:val="16"/>
          <w:szCs w:val="16"/>
        </w:rPr>
        <w:softHyphen/>
        <w:t>ства № 335сс от 26.УП-40 г. и приказа по НКАП за № 379сс от 29.УП-1940 г. о пятимесячной программе НКАП по выпуску боевых самолетов и моторов за август-октябрь, месяцы, констатирует, что выполнение находится в неудовлетворительном состоянии.</w:t>
      </w:r>
    </w:p>
    <w:p w14:paraId="4D62E4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заводам 1 Главного Управления выполнение программы за август-октябрь месяцы по боевым самолетам составляет:</w:t>
      </w:r>
    </w:p>
    <w:p w14:paraId="65E9F2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август - 64,8%</w:t>
      </w:r>
    </w:p>
    <w:p w14:paraId="5B0100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сентябрь - 59,9%</w:t>
      </w:r>
    </w:p>
    <w:p w14:paraId="506E1C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октябрь - 71,4% (предварит.)</w:t>
      </w:r>
    </w:p>
    <w:p w14:paraId="2B4244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типам самолетов выполнение распределяется следующим образом: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354"/>
        <w:gridCol w:w="765"/>
        <w:gridCol w:w="693"/>
        <w:gridCol w:w="724"/>
        <w:gridCol w:w="709"/>
        <w:gridCol w:w="851"/>
        <w:gridCol w:w="627"/>
        <w:gridCol w:w="627"/>
        <w:gridCol w:w="730"/>
        <w:gridCol w:w="695"/>
        <w:gridCol w:w="580"/>
      </w:tblGrid>
      <w:tr w:rsidR="00983732" w:rsidRPr="00A3026E" w14:paraId="2B075AD0" w14:textId="77777777" w:rsidTr="00EA0DA7">
        <w:trPr>
          <w:trHeight w:val="20"/>
        </w:trPr>
        <w:tc>
          <w:tcPr>
            <w:tcW w:w="2354" w:type="dxa"/>
            <w:tcBorders>
              <w:top w:val="single" w:sz="12" w:space="0" w:color="auto"/>
            </w:tcBorders>
          </w:tcPr>
          <w:p w14:paraId="284D5E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самолетов</w:t>
            </w:r>
          </w:p>
        </w:tc>
        <w:tc>
          <w:tcPr>
            <w:tcW w:w="765" w:type="dxa"/>
            <w:tcBorders>
              <w:top w:val="single" w:sz="12" w:space="0" w:color="auto"/>
            </w:tcBorders>
          </w:tcPr>
          <w:p w14:paraId="3B2B1B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за 5 мес.</w:t>
            </w:r>
          </w:p>
        </w:tc>
        <w:tc>
          <w:tcPr>
            <w:tcW w:w="693" w:type="dxa"/>
            <w:tcBorders>
              <w:top w:val="single" w:sz="12" w:space="0" w:color="auto"/>
            </w:tcBorders>
          </w:tcPr>
          <w:p w14:paraId="7FD8B8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Август</w:t>
            </w:r>
          </w:p>
        </w:tc>
        <w:tc>
          <w:tcPr>
            <w:tcW w:w="724" w:type="dxa"/>
            <w:tcBorders>
              <w:top w:val="single" w:sz="12" w:space="0" w:color="auto"/>
            </w:tcBorders>
          </w:tcPr>
          <w:p w14:paraId="382E41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12" w:space="0" w:color="auto"/>
            </w:tcBorders>
          </w:tcPr>
          <w:p w14:paraId="618F46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51" w:type="dxa"/>
            <w:tcBorders>
              <w:top w:val="single" w:sz="12" w:space="0" w:color="auto"/>
            </w:tcBorders>
          </w:tcPr>
          <w:p w14:paraId="508557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Сентябрь</w:t>
            </w:r>
          </w:p>
        </w:tc>
        <w:tc>
          <w:tcPr>
            <w:tcW w:w="627" w:type="dxa"/>
            <w:tcBorders>
              <w:top w:val="single" w:sz="12" w:space="0" w:color="auto"/>
            </w:tcBorders>
          </w:tcPr>
          <w:p w14:paraId="26898A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27" w:type="dxa"/>
            <w:tcBorders>
              <w:top w:val="single" w:sz="12" w:space="0" w:color="auto"/>
            </w:tcBorders>
          </w:tcPr>
          <w:p w14:paraId="058919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0" w:type="dxa"/>
            <w:tcBorders>
              <w:top w:val="single" w:sz="12" w:space="0" w:color="auto"/>
            </w:tcBorders>
          </w:tcPr>
          <w:p w14:paraId="77AEDC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Октябрь</w:t>
            </w:r>
          </w:p>
        </w:tc>
        <w:tc>
          <w:tcPr>
            <w:tcW w:w="695" w:type="dxa"/>
            <w:tcBorders>
              <w:top w:val="single" w:sz="12" w:space="0" w:color="auto"/>
            </w:tcBorders>
          </w:tcPr>
          <w:p w14:paraId="0A4A57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80" w:type="dxa"/>
            <w:tcBorders>
              <w:top w:val="single" w:sz="12" w:space="0" w:color="auto"/>
            </w:tcBorders>
          </w:tcPr>
          <w:p w14:paraId="611CDA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480BA33" w14:textId="77777777" w:rsidTr="00EA0DA7">
        <w:trPr>
          <w:trHeight w:val="20"/>
        </w:trPr>
        <w:tc>
          <w:tcPr>
            <w:tcW w:w="2354" w:type="dxa"/>
          </w:tcPr>
          <w:p w14:paraId="5433B78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65" w:type="dxa"/>
          </w:tcPr>
          <w:p w14:paraId="5F157BD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93" w:type="dxa"/>
          </w:tcPr>
          <w:p w14:paraId="563C6B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724" w:type="dxa"/>
          </w:tcPr>
          <w:p w14:paraId="66F5E9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Факт. </w:t>
            </w:r>
          </w:p>
        </w:tc>
        <w:tc>
          <w:tcPr>
            <w:tcW w:w="709" w:type="dxa"/>
          </w:tcPr>
          <w:p w14:paraId="02F929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 (%)</w:t>
            </w:r>
          </w:p>
        </w:tc>
        <w:tc>
          <w:tcPr>
            <w:tcW w:w="851" w:type="dxa"/>
          </w:tcPr>
          <w:p w14:paraId="2BBAE9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627" w:type="dxa"/>
          </w:tcPr>
          <w:p w14:paraId="3C9021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w:t>
            </w:r>
          </w:p>
        </w:tc>
        <w:tc>
          <w:tcPr>
            <w:tcW w:w="627" w:type="dxa"/>
          </w:tcPr>
          <w:p w14:paraId="006672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w:t>
            </w:r>
          </w:p>
        </w:tc>
        <w:tc>
          <w:tcPr>
            <w:tcW w:w="730" w:type="dxa"/>
          </w:tcPr>
          <w:p w14:paraId="754B48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695" w:type="dxa"/>
          </w:tcPr>
          <w:p w14:paraId="64199F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w:t>
            </w:r>
          </w:p>
        </w:tc>
        <w:tc>
          <w:tcPr>
            <w:tcW w:w="580" w:type="dxa"/>
          </w:tcPr>
          <w:p w14:paraId="460337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 (%)</w:t>
            </w:r>
          </w:p>
        </w:tc>
      </w:tr>
      <w:tr w:rsidR="00983732" w:rsidRPr="00A3026E" w14:paraId="3C88D404" w14:textId="77777777" w:rsidTr="00EA0DA7">
        <w:trPr>
          <w:trHeight w:val="20"/>
        </w:trPr>
        <w:tc>
          <w:tcPr>
            <w:tcW w:w="2354" w:type="dxa"/>
          </w:tcPr>
          <w:p w14:paraId="5973DA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Бомбардировщики </w:t>
            </w:r>
          </w:p>
        </w:tc>
        <w:tc>
          <w:tcPr>
            <w:tcW w:w="765" w:type="dxa"/>
          </w:tcPr>
          <w:p w14:paraId="4C8955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2473 </w:t>
            </w:r>
          </w:p>
        </w:tc>
        <w:tc>
          <w:tcPr>
            <w:tcW w:w="693" w:type="dxa"/>
          </w:tcPr>
          <w:p w14:paraId="4B9627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427 </w:t>
            </w:r>
          </w:p>
        </w:tc>
        <w:tc>
          <w:tcPr>
            <w:tcW w:w="724" w:type="dxa"/>
          </w:tcPr>
          <w:p w14:paraId="5A7ACB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302</w:t>
            </w:r>
          </w:p>
        </w:tc>
        <w:tc>
          <w:tcPr>
            <w:tcW w:w="709" w:type="dxa"/>
          </w:tcPr>
          <w:p w14:paraId="33CC15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w:t>
            </w:r>
          </w:p>
        </w:tc>
        <w:tc>
          <w:tcPr>
            <w:tcW w:w="851" w:type="dxa"/>
          </w:tcPr>
          <w:p w14:paraId="374F71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463 </w:t>
            </w:r>
          </w:p>
        </w:tc>
        <w:tc>
          <w:tcPr>
            <w:tcW w:w="627" w:type="dxa"/>
          </w:tcPr>
          <w:p w14:paraId="7DC511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373</w:t>
            </w:r>
          </w:p>
        </w:tc>
        <w:tc>
          <w:tcPr>
            <w:tcW w:w="627" w:type="dxa"/>
          </w:tcPr>
          <w:p w14:paraId="0C4CD4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c>
          <w:tcPr>
            <w:tcW w:w="730" w:type="dxa"/>
          </w:tcPr>
          <w:p w14:paraId="7A8645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469</w:t>
            </w:r>
          </w:p>
        </w:tc>
        <w:tc>
          <w:tcPr>
            <w:tcW w:w="695" w:type="dxa"/>
          </w:tcPr>
          <w:p w14:paraId="0C2B33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229 </w:t>
            </w:r>
          </w:p>
        </w:tc>
        <w:tc>
          <w:tcPr>
            <w:tcW w:w="580" w:type="dxa"/>
          </w:tcPr>
          <w:p w14:paraId="705308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w:t>
            </w:r>
          </w:p>
        </w:tc>
      </w:tr>
      <w:tr w:rsidR="00983732" w:rsidRPr="00A3026E" w14:paraId="67F3DEA2" w14:textId="77777777" w:rsidTr="00EA0DA7">
        <w:trPr>
          <w:trHeight w:val="20"/>
        </w:trPr>
        <w:tc>
          <w:tcPr>
            <w:tcW w:w="2354" w:type="dxa"/>
          </w:tcPr>
          <w:p w14:paraId="683A78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Истребители</w:t>
            </w:r>
          </w:p>
        </w:tc>
        <w:tc>
          <w:tcPr>
            <w:tcW w:w="765" w:type="dxa"/>
          </w:tcPr>
          <w:p w14:paraId="262D47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2383 </w:t>
            </w:r>
          </w:p>
        </w:tc>
        <w:tc>
          <w:tcPr>
            <w:tcW w:w="693" w:type="dxa"/>
          </w:tcPr>
          <w:p w14:paraId="322A34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388 </w:t>
            </w:r>
          </w:p>
        </w:tc>
        <w:tc>
          <w:tcPr>
            <w:tcW w:w="724" w:type="dxa"/>
          </w:tcPr>
          <w:p w14:paraId="181A2B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230 </w:t>
            </w:r>
          </w:p>
        </w:tc>
        <w:tc>
          <w:tcPr>
            <w:tcW w:w="709" w:type="dxa"/>
          </w:tcPr>
          <w:p w14:paraId="3EFC55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w:t>
            </w:r>
          </w:p>
        </w:tc>
        <w:tc>
          <w:tcPr>
            <w:tcW w:w="851" w:type="dxa"/>
          </w:tcPr>
          <w:p w14:paraId="7175A7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445</w:t>
            </w:r>
          </w:p>
        </w:tc>
        <w:tc>
          <w:tcPr>
            <w:tcW w:w="627" w:type="dxa"/>
          </w:tcPr>
          <w:p w14:paraId="49B8A1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286</w:t>
            </w:r>
          </w:p>
        </w:tc>
        <w:tc>
          <w:tcPr>
            <w:tcW w:w="627" w:type="dxa"/>
          </w:tcPr>
          <w:p w14:paraId="4B06EA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w:t>
            </w:r>
          </w:p>
        </w:tc>
        <w:tc>
          <w:tcPr>
            <w:tcW w:w="730" w:type="dxa"/>
          </w:tcPr>
          <w:p w14:paraId="635B4F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695" w:type="dxa"/>
          </w:tcPr>
          <w:p w14:paraId="40FB4D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470 </w:t>
            </w:r>
          </w:p>
        </w:tc>
        <w:tc>
          <w:tcPr>
            <w:tcW w:w="580" w:type="dxa"/>
          </w:tcPr>
          <w:p w14:paraId="03E449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w:t>
            </w:r>
          </w:p>
        </w:tc>
      </w:tr>
      <w:tr w:rsidR="00983732" w:rsidRPr="00A3026E" w14:paraId="5D91B39E" w14:textId="77777777" w:rsidTr="00EA0DA7">
        <w:trPr>
          <w:trHeight w:val="20"/>
        </w:trPr>
        <w:tc>
          <w:tcPr>
            <w:tcW w:w="2354" w:type="dxa"/>
          </w:tcPr>
          <w:p w14:paraId="11B0E4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Штурмовики</w:t>
            </w:r>
          </w:p>
        </w:tc>
        <w:tc>
          <w:tcPr>
            <w:tcW w:w="765" w:type="dxa"/>
          </w:tcPr>
          <w:p w14:paraId="4A2CF3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w:t>
            </w:r>
          </w:p>
        </w:tc>
        <w:tc>
          <w:tcPr>
            <w:tcW w:w="693" w:type="dxa"/>
          </w:tcPr>
          <w:p w14:paraId="3978C9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724" w:type="dxa"/>
          </w:tcPr>
          <w:p w14:paraId="69E584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709" w:type="dxa"/>
          </w:tcPr>
          <w:p w14:paraId="25225C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1" w:type="dxa"/>
          </w:tcPr>
          <w:p w14:paraId="323899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627" w:type="dxa"/>
          </w:tcPr>
          <w:p w14:paraId="40563C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627" w:type="dxa"/>
          </w:tcPr>
          <w:p w14:paraId="47518F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30" w:type="dxa"/>
          </w:tcPr>
          <w:p w14:paraId="1F02D8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95" w:type="dxa"/>
          </w:tcPr>
          <w:p w14:paraId="4B3057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580" w:type="dxa"/>
          </w:tcPr>
          <w:p w14:paraId="18AA6F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r>
      <w:tr w:rsidR="00983732" w:rsidRPr="00A3026E" w14:paraId="4B208D07" w14:textId="77777777" w:rsidTr="00EA0DA7">
        <w:trPr>
          <w:trHeight w:val="20"/>
        </w:trPr>
        <w:tc>
          <w:tcPr>
            <w:tcW w:w="2354" w:type="dxa"/>
          </w:tcPr>
          <w:p w14:paraId="39A4A1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Морские</w:t>
            </w:r>
          </w:p>
        </w:tc>
        <w:tc>
          <w:tcPr>
            <w:tcW w:w="765" w:type="dxa"/>
          </w:tcPr>
          <w:p w14:paraId="7BDFCA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59 </w:t>
            </w:r>
          </w:p>
        </w:tc>
        <w:tc>
          <w:tcPr>
            <w:tcW w:w="693" w:type="dxa"/>
          </w:tcPr>
          <w:p w14:paraId="535839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w:t>
            </w:r>
          </w:p>
        </w:tc>
        <w:tc>
          <w:tcPr>
            <w:tcW w:w="724" w:type="dxa"/>
          </w:tcPr>
          <w:p w14:paraId="7A986F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709" w:type="dxa"/>
          </w:tcPr>
          <w:p w14:paraId="45084C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851" w:type="dxa"/>
          </w:tcPr>
          <w:p w14:paraId="6A6D79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627" w:type="dxa"/>
          </w:tcPr>
          <w:p w14:paraId="04EDC4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627" w:type="dxa"/>
          </w:tcPr>
          <w:p w14:paraId="309E7A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w:t>
            </w:r>
          </w:p>
        </w:tc>
        <w:tc>
          <w:tcPr>
            <w:tcW w:w="730" w:type="dxa"/>
          </w:tcPr>
          <w:p w14:paraId="4ADC20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695" w:type="dxa"/>
          </w:tcPr>
          <w:p w14:paraId="79CDA7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580" w:type="dxa"/>
          </w:tcPr>
          <w:p w14:paraId="61A327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r>
      <w:tr w:rsidR="00983732" w:rsidRPr="00A3026E" w14:paraId="7889C3F5" w14:textId="77777777" w:rsidTr="00EA0DA7">
        <w:trPr>
          <w:trHeight w:val="20"/>
        </w:trPr>
        <w:tc>
          <w:tcPr>
            <w:tcW w:w="2354" w:type="dxa"/>
          </w:tcPr>
          <w:p w14:paraId="3ACF2B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Транспортн </w:t>
            </w:r>
          </w:p>
        </w:tc>
        <w:tc>
          <w:tcPr>
            <w:tcW w:w="765" w:type="dxa"/>
          </w:tcPr>
          <w:p w14:paraId="38BCCF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75 </w:t>
            </w:r>
          </w:p>
        </w:tc>
        <w:tc>
          <w:tcPr>
            <w:tcW w:w="693" w:type="dxa"/>
          </w:tcPr>
          <w:p w14:paraId="3E794F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 </w:t>
            </w:r>
          </w:p>
        </w:tc>
        <w:tc>
          <w:tcPr>
            <w:tcW w:w="724" w:type="dxa"/>
          </w:tcPr>
          <w:p w14:paraId="4EE938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w:t>
            </w:r>
          </w:p>
        </w:tc>
        <w:tc>
          <w:tcPr>
            <w:tcW w:w="709" w:type="dxa"/>
          </w:tcPr>
          <w:p w14:paraId="64331F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851" w:type="dxa"/>
          </w:tcPr>
          <w:p w14:paraId="184788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627" w:type="dxa"/>
          </w:tcPr>
          <w:p w14:paraId="0B5A11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w:t>
            </w:r>
          </w:p>
        </w:tc>
        <w:tc>
          <w:tcPr>
            <w:tcW w:w="627" w:type="dxa"/>
          </w:tcPr>
          <w:p w14:paraId="195965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31 </w:t>
            </w:r>
          </w:p>
        </w:tc>
        <w:tc>
          <w:tcPr>
            <w:tcW w:w="730" w:type="dxa"/>
          </w:tcPr>
          <w:p w14:paraId="158CEA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 </w:t>
            </w:r>
          </w:p>
        </w:tc>
        <w:tc>
          <w:tcPr>
            <w:tcW w:w="695" w:type="dxa"/>
          </w:tcPr>
          <w:p w14:paraId="5A1CD7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w:t>
            </w:r>
          </w:p>
        </w:tc>
        <w:tc>
          <w:tcPr>
            <w:tcW w:w="580" w:type="dxa"/>
          </w:tcPr>
          <w:p w14:paraId="1F7578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 </w:t>
            </w:r>
          </w:p>
        </w:tc>
      </w:tr>
      <w:tr w:rsidR="00983732" w:rsidRPr="00A3026E" w14:paraId="15D9D756" w14:textId="77777777" w:rsidTr="00EA0DA7">
        <w:trPr>
          <w:trHeight w:val="20"/>
        </w:trPr>
        <w:tc>
          <w:tcPr>
            <w:tcW w:w="2354" w:type="dxa"/>
            <w:tcBorders>
              <w:bottom w:val="single" w:sz="12" w:space="0" w:color="auto"/>
            </w:tcBorders>
          </w:tcPr>
          <w:p w14:paraId="582F89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ИТОГО: </w:t>
            </w:r>
          </w:p>
        </w:tc>
        <w:tc>
          <w:tcPr>
            <w:tcW w:w="765" w:type="dxa"/>
            <w:tcBorders>
              <w:bottom w:val="single" w:sz="12" w:space="0" w:color="auto"/>
            </w:tcBorders>
          </w:tcPr>
          <w:p w14:paraId="32A902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5000 </w:t>
            </w:r>
          </w:p>
        </w:tc>
        <w:tc>
          <w:tcPr>
            <w:tcW w:w="693" w:type="dxa"/>
            <w:tcBorders>
              <w:bottom w:val="single" w:sz="12" w:space="0" w:color="auto"/>
            </w:tcBorders>
          </w:tcPr>
          <w:p w14:paraId="18BE8A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837 </w:t>
            </w:r>
          </w:p>
        </w:tc>
        <w:tc>
          <w:tcPr>
            <w:tcW w:w="724" w:type="dxa"/>
            <w:tcBorders>
              <w:bottom w:val="single" w:sz="12" w:space="0" w:color="auto"/>
            </w:tcBorders>
          </w:tcPr>
          <w:p w14:paraId="60DEA0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538 </w:t>
            </w:r>
          </w:p>
        </w:tc>
        <w:tc>
          <w:tcPr>
            <w:tcW w:w="709" w:type="dxa"/>
            <w:tcBorders>
              <w:bottom w:val="single" w:sz="12" w:space="0" w:color="auto"/>
            </w:tcBorders>
          </w:tcPr>
          <w:p w14:paraId="57BD4E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14892E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935 </w:t>
            </w:r>
          </w:p>
        </w:tc>
        <w:tc>
          <w:tcPr>
            <w:tcW w:w="627" w:type="dxa"/>
            <w:tcBorders>
              <w:bottom w:val="single" w:sz="12" w:space="0" w:color="auto"/>
            </w:tcBorders>
          </w:tcPr>
          <w:p w14:paraId="6DC0B6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556 </w:t>
            </w:r>
          </w:p>
        </w:tc>
        <w:tc>
          <w:tcPr>
            <w:tcW w:w="627" w:type="dxa"/>
            <w:tcBorders>
              <w:bottom w:val="single" w:sz="12" w:space="0" w:color="auto"/>
            </w:tcBorders>
          </w:tcPr>
          <w:p w14:paraId="152917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0" w:type="dxa"/>
            <w:tcBorders>
              <w:bottom w:val="single" w:sz="12" w:space="0" w:color="auto"/>
            </w:tcBorders>
          </w:tcPr>
          <w:p w14:paraId="647255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996 </w:t>
            </w:r>
          </w:p>
        </w:tc>
        <w:tc>
          <w:tcPr>
            <w:tcW w:w="695" w:type="dxa"/>
            <w:tcBorders>
              <w:bottom w:val="single" w:sz="12" w:space="0" w:color="auto"/>
            </w:tcBorders>
          </w:tcPr>
          <w:p w14:paraId="114BCB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708 </w:t>
            </w:r>
          </w:p>
        </w:tc>
        <w:tc>
          <w:tcPr>
            <w:tcW w:w="580" w:type="dxa"/>
            <w:tcBorders>
              <w:bottom w:val="single" w:sz="12" w:space="0" w:color="auto"/>
            </w:tcBorders>
          </w:tcPr>
          <w:p w14:paraId="23BFF2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6126C8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Выполнение программы по основным самолетным заводам характеризуется следущим образом:...</w:t>
      </w:r>
    </w:p>
    <w:p w14:paraId="27EC49F2"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По 3-му ГУ выполнение программы по боевым моторам составляет:</w:t>
      </w:r>
    </w:p>
    <w:p w14:paraId="2EDD80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август - 63,2%</w:t>
      </w:r>
    </w:p>
    <w:p w14:paraId="02A652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сентябрь - 51%</w:t>
      </w:r>
    </w:p>
    <w:p w14:paraId="41ADDC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октябрь - 41,5% (предварит.)</w:t>
      </w:r>
    </w:p>
    <w:p w14:paraId="45FD95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количественном соотношении плана к фактическому выполнению будет составлять: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983732" w:rsidRPr="00A3026E" w14:paraId="7B35683B" w14:textId="77777777" w:rsidTr="00EA0DA7">
        <w:tc>
          <w:tcPr>
            <w:tcW w:w="1601" w:type="dxa"/>
            <w:tcBorders>
              <w:top w:val="single" w:sz="12" w:space="0" w:color="auto"/>
            </w:tcBorders>
          </w:tcPr>
          <w:p w14:paraId="2C65A9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моторов за 5 месяцев</w:t>
            </w:r>
          </w:p>
        </w:tc>
        <w:tc>
          <w:tcPr>
            <w:tcW w:w="1601" w:type="dxa"/>
            <w:tcBorders>
              <w:top w:val="single" w:sz="12" w:space="0" w:color="auto"/>
            </w:tcBorders>
          </w:tcPr>
          <w:p w14:paraId="5323B4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Август</w:t>
            </w:r>
          </w:p>
        </w:tc>
        <w:tc>
          <w:tcPr>
            <w:tcW w:w="1601" w:type="dxa"/>
            <w:tcBorders>
              <w:top w:val="single" w:sz="12" w:space="0" w:color="auto"/>
            </w:tcBorders>
          </w:tcPr>
          <w:p w14:paraId="1BC773B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4DAEF3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Сентябрь</w:t>
            </w:r>
          </w:p>
        </w:tc>
        <w:tc>
          <w:tcPr>
            <w:tcW w:w="1601" w:type="dxa"/>
            <w:tcBorders>
              <w:top w:val="single" w:sz="12" w:space="0" w:color="auto"/>
            </w:tcBorders>
          </w:tcPr>
          <w:p w14:paraId="4BB6817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33919A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Октябрь</w:t>
            </w:r>
          </w:p>
        </w:tc>
        <w:tc>
          <w:tcPr>
            <w:tcW w:w="1601" w:type="dxa"/>
            <w:tcBorders>
              <w:top w:val="single" w:sz="12" w:space="0" w:color="auto"/>
            </w:tcBorders>
          </w:tcPr>
          <w:p w14:paraId="73D987A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2C94F68" w14:textId="77777777" w:rsidTr="00EA0DA7">
        <w:tc>
          <w:tcPr>
            <w:tcW w:w="1601" w:type="dxa"/>
          </w:tcPr>
          <w:p w14:paraId="4AEC8E8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01" w:type="dxa"/>
          </w:tcPr>
          <w:p w14:paraId="70259F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1601" w:type="dxa"/>
          </w:tcPr>
          <w:p w14:paraId="6E62CB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w:t>
            </w:r>
          </w:p>
        </w:tc>
        <w:tc>
          <w:tcPr>
            <w:tcW w:w="1601" w:type="dxa"/>
          </w:tcPr>
          <w:p w14:paraId="5F2BAD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1601" w:type="dxa"/>
          </w:tcPr>
          <w:p w14:paraId="29AF77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w:t>
            </w:r>
          </w:p>
        </w:tc>
        <w:tc>
          <w:tcPr>
            <w:tcW w:w="1601" w:type="dxa"/>
          </w:tcPr>
          <w:p w14:paraId="4B8E67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w:t>
            </w:r>
          </w:p>
        </w:tc>
        <w:tc>
          <w:tcPr>
            <w:tcW w:w="1601" w:type="dxa"/>
          </w:tcPr>
          <w:p w14:paraId="311C39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w:t>
            </w:r>
          </w:p>
        </w:tc>
      </w:tr>
      <w:tr w:rsidR="00983732" w:rsidRPr="00A3026E" w14:paraId="3F47E442" w14:textId="77777777" w:rsidTr="00EA0DA7">
        <w:tc>
          <w:tcPr>
            <w:tcW w:w="1601" w:type="dxa"/>
            <w:tcBorders>
              <w:bottom w:val="single" w:sz="12" w:space="0" w:color="auto"/>
            </w:tcBorders>
          </w:tcPr>
          <w:p w14:paraId="1FF812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10694</w:t>
            </w:r>
          </w:p>
        </w:tc>
        <w:tc>
          <w:tcPr>
            <w:tcW w:w="1601" w:type="dxa"/>
            <w:tcBorders>
              <w:bottom w:val="single" w:sz="12" w:space="0" w:color="auto"/>
            </w:tcBorders>
          </w:tcPr>
          <w:p w14:paraId="0ADC9B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1927</w:t>
            </w:r>
          </w:p>
        </w:tc>
        <w:tc>
          <w:tcPr>
            <w:tcW w:w="1601" w:type="dxa"/>
            <w:tcBorders>
              <w:bottom w:val="single" w:sz="12" w:space="0" w:color="auto"/>
            </w:tcBorders>
          </w:tcPr>
          <w:p w14:paraId="4C551E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1221</w:t>
            </w:r>
          </w:p>
        </w:tc>
        <w:tc>
          <w:tcPr>
            <w:tcW w:w="1601" w:type="dxa"/>
            <w:tcBorders>
              <w:bottom w:val="single" w:sz="12" w:space="0" w:color="auto"/>
            </w:tcBorders>
          </w:tcPr>
          <w:p w14:paraId="788A34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2038</w:t>
            </w:r>
          </w:p>
        </w:tc>
        <w:tc>
          <w:tcPr>
            <w:tcW w:w="1601" w:type="dxa"/>
            <w:tcBorders>
              <w:bottom w:val="single" w:sz="12" w:space="0" w:color="auto"/>
            </w:tcBorders>
          </w:tcPr>
          <w:p w14:paraId="68FD76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1045</w:t>
            </w:r>
          </w:p>
        </w:tc>
        <w:tc>
          <w:tcPr>
            <w:tcW w:w="1601" w:type="dxa"/>
            <w:tcBorders>
              <w:bottom w:val="single" w:sz="12" w:space="0" w:color="auto"/>
            </w:tcBorders>
          </w:tcPr>
          <w:p w14:paraId="5EB146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2098</w:t>
            </w:r>
          </w:p>
        </w:tc>
        <w:tc>
          <w:tcPr>
            <w:tcW w:w="1601" w:type="dxa"/>
            <w:tcBorders>
              <w:bottom w:val="single" w:sz="12" w:space="0" w:color="auto"/>
            </w:tcBorders>
          </w:tcPr>
          <w:p w14:paraId="51F857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873</w:t>
            </w:r>
          </w:p>
        </w:tc>
      </w:tr>
    </w:tbl>
    <w:p w14:paraId="440C87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моторным заводам выполнение программы характеризуется следующим образом:...</w:t>
      </w:r>
    </w:p>
    <w:p w14:paraId="2FA7C318"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Основными причинами невыполнения программы самолетными заводами является совершенно неудовлетворительные поставки моторов (М-87, М-88, М-105, АМ-35А), винтов, колес, радиаторов и слабая подготовка производства, особенно на заводах, где внедрялась в серию новая мвшша и производилась модификация старой машины.</w:t>
      </w:r>
    </w:p>
    <w:p w14:paraId="51F430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Недостаточные мощности вспомогательных цехов(инструментальные, приспособлений) и их иеподготовленность к изготовлению оснастки и специального иструмента оказало отрицательное влияние на выполнение программы и внедрение новых машин в производство.</w:t>
      </w:r>
    </w:p>
    <w:p w14:paraId="1FF98F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Разработанные заводами оргтехмероприятия, которые были направлены на внедрение современной технологии, сокращение тру</w:t>
      </w:r>
      <w:r w:rsidRPr="00A3026E">
        <w:rPr>
          <w:rFonts w:ascii="Times New Roman" w:hAnsi="Times New Roman"/>
          <w:color w:val="000000" w:themeColor="text1"/>
          <w:sz w:val="16"/>
          <w:szCs w:val="16"/>
        </w:rPr>
        <w:softHyphen/>
        <w:t>доемкости и .и цикла производства, реализуются, слабо. Со стороны же 1 Главного управления систематического контроля за изреа</w:t>
      </w:r>
      <w:r w:rsidRPr="00A3026E">
        <w:rPr>
          <w:rFonts w:ascii="Times New Roman" w:hAnsi="Times New Roman"/>
          <w:color w:val="000000" w:themeColor="text1"/>
          <w:sz w:val="16"/>
          <w:szCs w:val="16"/>
        </w:rPr>
        <w:softHyphen/>
        <w:t>лизацией не осуществлялось.</w:t>
      </w:r>
    </w:p>
    <w:p w14:paraId="440A23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Планирование на большинство заводов поставлено не удовлет</w:t>
      </w:r>
      <w:r w:rsidRPr="00A3026E">
        <w:rPr>
          <w:rFonts w:ascii="Times New Roman" w:hAnsi="Times New Roman"/>
          <w:color w:val="000000" w:themeColor="text1"/>
          <w:sz w:val="16"/>
          <w:szCs w:val="16"/>
        </w:rPr>
        <w:softHyphen/>
        <w:t>ворительно, что ярко характеризуется неравномерной сдачей гото</w:t>
      </w:r>
      <w:r w:rsidRPr="00A3026E">
        <w:rPr>
          <w:rFonts w:ascii="Times New Roman" w:hAnsi="Times New Roman"/>
          <w:color w:val="000000" w:themeColor="text1"/>
          <w:sz w:val="16"/>
          <w:szCs w:val="16"/>
        </w:rPr>
        <w:softHyphen/>
        <w:t>вой продукций в течение месяца, большими простоями ( в 1 полови</w:t>
      </w:r>
      <w:r w:rsidRPr="00A3026E">
        <w:rPr>
          <w:rFonts w:ascii="Times New Roman" w:hAnsi="Times New Roman"/>
          <w:color w:val="000000" w:themeColor="text1"/>
          <w:sz w:val="16"/>
          <w:szCs w:val="16"/>
        </w:rPr>
        <w:softHyphen/>
        <w:t>не месяца ), сверхурочными и "штурмовщиной" ( во П половине месяца ), так.например:</w:t>
      </w:r>
    </w:p>
    <w:p w14:paraId="54030F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Сдача готовых машин в октябре месяце (понедельно) в %</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62"/>
        <w:gridCol w:w="1930"/>
        <w:gridCol w:w="1377"/>
        <w:gridCol w:w="1380"/>
        <w:gridCol w:w="1364"/>
        <w:gridCol w:w="1282"/>
        <w:gridCol w:w="1282"/>
      </w:tblGrid>
      <w:tr w:rsidR="00983732" w:rsidRPr="00A3026E" w14:paraId="0995E796" w14:textId="77777777" w:rsidTr="00EA0DA7">
        <w:trPr>
          <w:trHeight w:val="20"/>
        </w:trPr>
        <w:tc>
          <w:tcPr>
            <w:tcW w:w="662" w:type="dxa"/>
            <w:tcBorders>
              <w:top w:val="single" w:sz="12" w:space="0" w:color="auto"/>
            </w:tcBorders>
          </w:tcPr>
          <w:p w14:paraId="1484BF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Завод </w:t>
            </w:r>
          </w:p>
        </w:tc>
        <w:tc>
          <w:tcPr>
            <w:tcW w:w="1930" w:type="dxa"/>
            <w:tcBorders>
              <w:top w:val="single" w:sz="12" w:space="0" w:color="auto"/>
            </w:tcBorders>
          </w:tcPr>
          <w:p w14:paraId="43B60A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w:t>
            </w:r>
          </w:p>
        </w:tc>
        <w:tc>
          <w:tcPr>
            <w:tcW w:w="1377" w:type="dxa"/>
            <w:tcBorders>
              <w:top w:val="single" w:sz="12" w:space="0" w:color="auto"/>
            </w:tcBorders>
          </w:tcPr>
          <w:p w14:paraId="39BF73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1380" w:type="dxa"/>
            <w:tcBorders>
              <w:top w:val="single" w:sz="12" w:space="0" w:color="auto"/>
            </w:tcBorders>
          </w:tcPr>
          <w:p w14:paraId="00C967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1364" w:type="dxa"/>
            <w:tcBorders>
              <w:top w:val="single" w:sz="12" w:space="0" w:color="auto"/>
            </w:tcBorders>
          </w:tcPr>
          <w:p w14:paraId="499DC4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1282" w:type="dxa"/>
            <w:tcBorders>
              <w:top w:val="single" w:sz="12" w:space="0" w:color="auto"/>
            </w:tcBorders>
          </w:tcPr>
          <w:p w14:paraId="448F2D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1282" w:type="dxa"/>
            <w:tcBorders>
              <w:top w:val="single" w:sz="12" w:space="0" w:color="auto"/>
            </w:tcBorders>
          </w:tcPr>
          <w:p w14:paraId="43C577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vertAlign w:val="superscript"/>
              </w:rPr>
            </w:pPr>
          </w:p>
        </w:tc>
      </w:tr>
      <w:tr w:rsidR="00983732" w:rsidRPr="00A3026E" w14:paraId="7F4AB7E6" w14:textId="77777777" w:rsidTr="00EA0DA7">
        <w:trPr>
          <w:trHeight w:val="20"/>
        </w:trPr>
        <w:tc>
          <w:tcPr>
            <w:tcW w:w="662" w:type="dxa"/>
          </w:tcPr>
          <w:p w14:paraId="56E212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Pr>
          <w:p w14:paraId="39FEBE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77" w:type="dxa"/>
          </w:tcPr>
          <w:p w14:paraId="7CD028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01.10-7.10</w:t>
            </w:r>
          </w:p>
        </w:tc>
        <w:tc>
          <w:tcPr>
            <w:tcW w:w="1380" w:type="dxa"/>
          </w:tcPr>
          <w:p w14:paraId="58A868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8.10-14.10</w:t>
            </w:r>
          </w:p>
        </w:tc>
        <w:tc>
          <w:tcPr>
            <w:tcW w:w="1364" w:type="dxa"/>
          </w:tcPr>
          <w:p w14:paraId="4FB32B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15.10-21.10</w:t>
            </w:r>
          </w:p>
        </w:tc>
        <w:tc>
          <w:tcPr>
            <w:tcW w:w="1282" w:type="dxa"/>
          </w:tcPr>
          <w:p w14:paraId="279E4A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vertAlign w:val="superscript"/>
              </w:rPr>
            </w:pPr>
            <w:r w:rsidRPr="00A3026E">
              <w:rPr>
                <w:rFonts w:ascii="Times New Roman" w:hAnsi="Times New Roman"/>
                <w:color w:val="000000" w:themeColor="text1"/>
                <w:sz w:val="16"/>
                <w:szCs w:val="16"/>
              </w:rPr>
              <w:t>22.10-28.10</w:t>
            </w:r>
          </w:p>
        </w:tc>
        <w:tc>
          <w:tcPr>
            <w:tcW w:w="1282" w:type="dxa"/>
          </w:tcPr>
          <w:p w14:paraId="7E8CEC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vertAlign w:val="superscript"/>
              </w:rPr>
            </w:pPr>
            <w:r w:rsidRPr="00A3026E">
              <w:rPr>
                <w:rFonts w:ascii="Times New Roman" w:hAnsi="Times New Roman"/>
                <w:color w:val="000000" w:themeColor="text1"/>
                <w:sz w:val="16"/>
                <w:szCs w:val="16"/>
              </w:rPr>
              <w:t>31.10</w:t>
            </w:r>
          </w:p>
        </w:tc>
      </w:tr>
      <w:tr w:rsidR="00983732" w:rsidRPr="00A3026E" w14:paraId="4EF47AFC" w14:textId="77777777" w:rsidTr="00EA0DA7">
        <w:trPr>
          <w:trHeight w:val="20"/>
        </w:trPr>
        <w:tc>
          <w:tcPr>
            <w:tcW w:w="662" w:type="dxa"/>
          </w:tcPr>
          <w:p w14:paraId="707DE8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1930" w:type="dxa"/>
          </w:tcPr>
          <w:p w14:paraId="294FDF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И-153</w:t>
            </w:r>
          </w:p>
        </w:tc>
        <w:tc>
          <w:tcPr>
            <w:tcW w:w="1377" w:type="dxa"/>
          </w:tcPr>
          <w:p w14:paraId="784A00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1380" w:type="dxa"/>
          </w:tcPr>
          <w:p w14:paraId="49EF37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w:t>
            </w:r>
          </w:p>
        </w:tc>
        <w:tc>
          <w:tcPr>
            <w:tcW w:w="1364" w:type="dxa"/>
          </w:tcPr>
          <w:p w14:paraId="7933DD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1282" w:type="dxa"/>
          </w:tcPr>
          <w:p w14:paraId="55B786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29 </w:t>
            </w:r>
          </w:p>
        </w:tc>
        <w:tc>
          <w:tcPr>
            <w:tcW w:w="1282" w:type="dxa"/>
          </w:tcPr>
          <w:p w14:paraId="7CB536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 • </w:t>
            </w:r>
          </w:p>
        </w:tc>
      </w:tr>
      <w:tr w:rsidR="00983732" w:rsidRPr="00A3026E" w14:paraId="1D2A8EF5" w14:textId="77777777" w:rsidTr="00EA0DA7">
        <w:trPr>
          <w:trHeight w:val="20"/>
        </w:trPr>
        <w:tc>
          <w:tcPr>
            <w:tcW w:w="662" w:type="dxa"/>
          </w:tcPr>
          <w:p w14:paraId="141EFB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Pr>
          <w:p w14:paraId="03A9E5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ВБ-22 </w:t>
            </w:r>
          </w:p>
        </w:tc>
        <w:tc>
          <w:tcPr>
            <w:tcW w:w="1377" w:type="dxa"/>
          </w:tcPr>
          <w:p w14:paraId="27D36E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380" w:type="dxa"/>
          </w:tcPr>
          <w:p w14:paraId="7549A1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1364" w:type="dxa"/>
          </w:tcPr>
          <w:p w14:paraId="24D08C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 </w:t>
            </w:r>
          </w:p>
        </w:tc>
        <w:tc>
          <w:tcPr>
            <w:tcW w:w="1282" w:type="dxa"/>
          </w:tcPr>
          <w:p w14:paraId="6F9924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w:t>
            </w:r>
          </w:p>
        </w:tc>
        <w:tc>
          <w:tcPr>
            <w:tcW w:w="1282" w:type="dxa"/>
          </w:tcPr>
          <w:p w14:paraId="6115D2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66 </w:t>
            </w:r>
          </w:p>
        </w:tc>
      </w:tr>
      <w:tr w:rsidR="00983732" w:rsidRPr="00A3026E" w14:paraId="16129AAA" w14:textId="77777777" w:rsidTr="00EA0DA7">
        <w:trPr>
          <w:trHeight w:val="20"/>
        </w:trPr>
        <w:tc>
          <w:tcPr>
            <w:tcW w:w="662" w:type="dxa"/>
          </w:tcPr>
          <w:p w14:paraId="04BB20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18 </w:t>
            </w:r>
          </w:p>
        </w:tc>
        <w:tc>
          <w:tcPr>
            <w:tcW w:w="1930" w:type="dxa"/>
          </w:tcPr>
          <w:p w14:paraId="19D9A9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ДБ-ЗФ</w:t>
            </w:r>
          </w:p>
        </w:tc>
        <w:tc>
          <w:tcPr>
            <w:tcW w:w="1377" w:type="dxa"/>
          </w:tcPr>
          <w:p w14:paraId="4E3A5B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380" w:type="dxa"/>
          </w:tcPr>
          <w:p w14:paraId="2FDF1C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 </w:t>
            </w:r>
          </w:p>
        </w:tc>
        <w:tc>
          <w:tcPr>
            <w:tcW w:w="1364" w:type="dxa"/>
          </w:tcPr>
          <w:p w14:paraId="1D586A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w:t>
            </w:r>
          </w:p>
        </w:tc>
        <w:tc>
          <w:tcPr>
            <w:tcW w:w="1282" w:type="dxa"/>
          </w:tcPr>
          <w:p w14:paraId="640153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1282" w:type="dxa"/>
          </w:tcPr>
          <w:p w14:paraId="21FD86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69 </w:t>
            </w:r>
          </w:p>
        </w:tc>
      </w:tr>
      <w:tr w:rsidR="00983732" w:rsidRPr="00A3026E" w14:paraId="09C231D2" w14:textId="77777777" w:rsidTr="00EA0DA7">
        <w:trPr>
          <w:trHeight w:val="20"/>
        </w:trPr>
        <w:tc>
          <w:tcPr>
            <w:tcW w:w="662" w:type="dxa"/>
          </w:tcPr>
          <w:p w14:paraId="62C425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22 </w:t>
            </w:r>
          </w:p>
        </w:tc>
        <w:tc>
          <w:tcPr>
            <w:tcW w:w="1930" w:type="dxa"/>
          </w:tcPr>
          <w:p w14:paraId="19DDA7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СБ </w:t>
            </w:r>
          </w:p>
        </w:tc>
        <w:tc>
          <w:tcPr>
            <w:tcW w:w="1377" w:type="dxa"/>
          </w:tcPr>
          <w:p w14:paraId="6778B3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380" w:type="dxa"/>
          </w:tcPr>
          <w:p w14:paraId="1C9AB8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w:t>
            </w:r>
          </w:p>
        </w:tc>
        <w:tc>
          <w:tcPr>
            <w:tcW w:w="1364" w:type="dxa"/>
          </w:tcPr>
          <w:p w14:paraId="76A8C6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7,5 </w:t>
            </w:r>
          </w:p>
        </w:tc>
        <w:tc>
          <w:tcPr>
            <w:tcW w:w="1282" w:type="dxa"/>
          </w:tcPr>
          <w:p w14:paraId="43CCA0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w:t>
            </w:r>
          </w:p>
        </w:tc>
        <w:tc>
          <w:tcPr>
            <w:tcW w:w="1282" w:type="dxa"/>
          </w:tcPr>
          <w:p w14:paraId="1C4122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70 </w:t>
            </w:r>
          </w:p>
        </w:tc>
      </w:tr>
      <w:tr w:rsidR="00983732" w:rsidRPr="00A3026E" w14:paraId="7AAA0FE8" w14:textId="77777777" w:rsidTr="00EA0DA7">
        <w:trPr>
          <w:trHeight w:val="20"/>
        </w:trPr>
        <w:tc>
          <w:tcPr>
            <w:tcW w:w="662" w:type="dxa"/>
          </w:tcPr>
          <w:p w14:paraId="79FDF4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39 </w:t>
            </w:r>
          </w:p>
        </w:tc>
        <w:tc>
          <w:tcPr>
            <w:tcW w:w="1930" w:type="dxa"/>
          </w:tcPr>
          <w:p w14:paraId="1E90D0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ДБ-ЗФ </w:t>
            </w:r>
          </w:p>
        </w:tc>
        <w:tc>
          <w:tcPr>
            <w:tcW w:w="1377" w:type="dxa"/>
          </w:tcPr>
          <w:p w14:paraId="34A0C1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380" w:type="dxa"/>
          </w:tcPr>
          <w:p w14:paraId="162B2B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1364" w:type="dxa"/>
          </w:tcPr>
          <w:p w14:paraId="111D9C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1282" w:type="dxa"/>
          </w:tcPr>
          <w:p w14:paraId="380424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16 </w:t>
            </w:r>
          </w:p>
        </w:tc>
        <w:tc>
          <w:tcPr>
            <w:tcW w:w="1282" w:type="dxa"/>
          </w:tcPr>
          <w:p w14:paraId="11F838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70 </w:t>
            </w:r>
          </w:p>
        </w:tc>
      </w:tr>
      <w:tr w:rsidR="00983732" w:rsidRPr="00A3026E" w14:paraId="6DF99FF6" w14:textId="77777777" w:rsidTr="00EA0DA7">
        <w:trPr>
          <w:trHeight w:val="20"/>
        </w:trPr>
        <w:tc>
          <w:tcPr>
            <w:tcW w:w="662" w:type="dxa"/>
            <w:tcBorders>
              <w:bottom w:val="single" w:sz="12" w:space="0" w:color="auto"/>
            </w:tcBorders>
          </w:tcPr>
          <w:p w14:paraId="69313C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1930" w:type="dxa"/>
            <w:tcBorders>
              <w:bottom w:val="single" w:sz="12" w:space="0" w:color="auto"/>
            </w:tcBorders>
          </w:tcPr>
          <w:p w14:paraId="20DC99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И-16 </w:t>
            </w:r>
          </w:p>
        </w:tc>
        <w:tc>
          <w:tcPr>
            <w:tcW w:w="1377" w:type="dxa"/>
            <w:tcBorders>
              <w:bottom w:val="single" w:sz="12" w:space="0" w:color="auto"/>
            </w:tcBorders>
          </w:tcPr>
          <w:p w14:paraId="4A042E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380" w:type="dxa"/>
            <w:tcBorders>
              <w:bottom w:val="single" w:sz="12" w:space="0" w:color="auto"/>
            </w:tcBorders>
          </w:tcPr>
          <w:p w14:paraId="1D7207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1364" w:type="dxa"/>
            <w:tcBorders>
              <w:bottom w:val="single" w:sz="12" w:space="0" w:color="auto"/>
            </w:tcBorders>
          </w:tcPr>
          <w:p w14:paraId="3A95F8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1282" w:type="dxa"/>
            <w:tcBorders>
              <w:bottom w:val="single" w:sz="12" w:space="0" w:color="auto"/>
            </w:tcBorders>
          </w:tcPr>
          <w:p w14:paraId="26586E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21 </w:t>
            </w:r>
          </w:p>
        </w:tc>
        <w:tc>
          <w:tcPr>
            <w:tcW w:w="1282" w:type="dxa"/>
            <w:tcBorders>
              <w:bottom w:val="single" w:sz="12" w:space="0" w:color="auto"/>
            </w:tcBorders>
          </w:tcPr>
          <w:p w14:paraId="298EFF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56 ; </w:t>
            </w:r>
          </w:p>
        </w:tc>
      </w:tr>
    </w:tbl>
    <w:p w14:paraId="1C7A9D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 имеет невыполнение программы августа месяца по самолетам "И-153" (сдано 142 против плана 200 ) и по самоле</w:t>
      </w:r>
      <w:r w:rsidRPr="00A3026E">
        <w:rPr>
          <w:rFonts w:ascii="Times New Roman" w:hAnsi="Times New Roman"/>
          <w:color w:val="000000" w:themeColor="text1"/>
          <w:sz w:val="16"/>
          <w:szCs w:val="16"/>
        </w:rPr>
        <w:softHyphen/>
        <w:t>там ВБ-22 и И-200 в течение августа-октября месяца.</w:t>
      </w:r>
    </w:p>
    <w:p w14:paraId="270477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Невыполнение программы по И-153 является результатом несвоевреиещой поставки редукторов Т-2 (зав. им. Матвеева ) и ра</w:t>
      </w:r>
      <w:r w:rsidRPr="00A3026E">
        <w:rPr>
          <w:rFonts w:ascii="Times New Roman" w:hAnsi="Times New Roman"/>
          <w:color w:val="000000" w:themeColor="text1"/>
          <w:sz w:val="16"/>
          <w:szCs w:val="16"/>
        </w:rPr>
        <w:softHyphen/>
        <w:t>ций РСИ-8 (зав. № 208), что зедержало оформление 60 облетанных нашии.</w:t>
      </w:r>
    </w:p>
    <w:p w14:paraId="716EDB4A"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Переделки и конструктивные изменения на готовых и сданных заказчику самолетах ВВ-22 не дало вполнениния по этой машине за период август-октябрь. На заводе ослабло к этой машине внимание в связи, с передаче на завод № 81; оставшиеся машины на октябрь месяц могли быть сданы в сентябре месяце.</w:t>
      </w:r>
    </w:p>
    <w:p w14:paraId="44DFAABB"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Неудовлетворительные поставки моторов АМ-35А, з-дом № 24 и радиаторов заводом № 34 сорвали выполнение плана по самолетам И-200 и задерживают развертывание производства, в связи с чем простои за август-сентябрь составили 124т. часов.</w:t>
      </w:r>
    </w:p>
    <w:p w14:paraId="53A5A3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август-октябрь заводом № 24 поставлено заводу № 1 22 мотора АМ-35А, при плане в 90 шт.</w:t>
      </w:r>
    </w:p>
    <w:p w14:paraId="1486B7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34 поставил 20 радиаторов (весьма низкого качест</w:t>
      </w:r>
      <w:r w:rsidRPr="00A3026E">
        <w:rPr>
          <w:rFonts w:ascii="Times New Roman" w:hAnsi="Times New Roman"/>
          <w:color w:val="000000" w:themeColor="text1"/>
          <w:sz w:val="16"/>
          <w:szCs w:val="16"/>
        </w:rPr>
        <w:softHyphen/>
        <w:t>ва ) при плане.160 шт.</w:t>
      </w:r>
    </w:p>
    <w:p w14:paraId="0F3080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Следует отметить, что вопросам внедрения новой технологии по самолету И-200 уделяется большое внимание на заводе. Подготовка к переходу завода на производство самолета И-200 ведется интенсивно и необходимо принять самые срочные меры к обеспече</w:t>
      </w:r>
      <w:r w:rsidRPr="00A3026E">
        <w:rPr>
          <w:rFonts w:ascii="Times New Roman" w:hAnsi="Times New Roman"/>
          <w:color w:val="000000" w:themeColor="text1"/>
          <w:sz w:val="16"/>
          <w:szCs w:val="16"/>
        </w:rPr>
        <w:softHyphen/>
        <w:t>нию завода моторами АМ-35А. в потребных количествах.</w:t>
      </w:r>
    </w:p>
    <w:p w14:paraId="52BE39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заводу № 22 программа август-сентябрь по общему выпус</w:t>
      </w:r>
      <w:r w:rsidRPr="00A3026E">
        <w:rPr>
          <w:rFonts w:ascii="Times New Roman" w:hAnsi="Times New Roman"/>
          <w:color w:val="000000" w:themeColor="text1"/>
          <w:sz w:val="16"/>
          <w:szCs w:val="16"/>
        </w:rPr>
        <w:softHyphen/>
        <w:t>ку выполнена на 112% за счет увеличения выпуска самолетов СБ, при одновременном отставании разворота серийного производства СБ-РК. Планом устанавливалась сдача 285 самолетов СБ-225 и СБ-РК-60; сдано 320 самолетов "СБ" и.1-СБ-РК на летно-испытатель</w:t>
      </w:r>
      <w:r w:rsidRPr="00A3026E">
        <w:rPr>
          <w:rFonts w:ascii="Times New Roman" w:hAnsi="Times New Roman"/>
          <w:color w:val="000000" w:themeColor="text1"/>
          <w:sz w:val="16"/>
          <w:szCs w:val="16"/>
        </w:rPr>
        <w:softHyphen/>
        <w:t>ную станцию.</w:t>
      </w:r>
    </w:p>
    <w:p w14:paraId="66B9EA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Причинами невыполнения плана по СБ-РК - были: значительные конструктивные изменения по самолету, что повлекло задержку с окончанием подготовки производства (переработка.рабочих чертежей, спецоснастки.) по большинству цехов; неподготовленность цехов инструментального и приспособлений к изготовлению специнструмента и оснастки.. На 1.Х выполнение по основным агрегатам составляло от 3 до 8 машин. Общий объем задела составил 20 условных единиц, вместо 110 условных машин по плану.</w:t>
      </w:r>
    </w:p>
    <w:p w14:paraId="0576EC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самолету "СБ", при наличии больших объемов заделов, нет. достаточной комплектности последних, что вызвано плохим учетом производства и хранения деталей. В результате полностью укомплектованные серии оказываются раскомплектованными, когда попадают в цех окончательной сборки, что вызывает простои до 35-40 тыс. часов вмесяц.</w:t>
      </w:r>
    </w:p>
    <w:p w14:paraId="3E6A38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Развертывание серийного производства самолета “ПБ-100" характеризовалось медлительностью в изготовлении оснастки, инстру</w:t>
      </w:r>
      <w:r w:rsidRPr="00A3026E">
        <w:rPr>
          <w:rFonts w:ascii="Times New Roman" w:hAnsi="Times New Roman"/>
          <w:color w:val="000000" w:themeColor="text1"/>
          <w:sz w:val="16"/>
          <w:szCs w:val="16"/>
        </w:rPr>
        <w:softHyphen/>
        <w:t>ментов и приспособлений по причинам, зависящим от самого завода.</w:t>
      </w:r>
    </w:p>
    <w:p w14:paraId="0C0A1CA7"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По заводу № 18 на 1 августа в незавершянном производст</w:t>
      </w:r>
      <w:r w:rsidRPr="00A3026E">
        <w:rPr>
          <w:color w:val="000000" w:themeColor="text1"/>
          <w:sz w:val="16"/>
          <w:szCs w:val="16"/>
        </w:rPr>
        <w:softHyphen/>
        <w:t>ве имелось 274 условных единиц самолета ДБ-ЗФ, в т.ч.: облетанных 51 и собранные 50 машин.</w:t>
      </w:r>
    </w:p>
    <w:p w14:paraId="7AF9E8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Невыполнение планов сентября и октября об'ясняется неподачей: кондиционных моторов М-87 и М-88, т.к. задел (на 1.Х до 311 условных машин, в .т.ч. собранных 165 ) обеспечивал вы</w:t>
      </w:r>
      <w:r w:rsidRPr="00A3026E">
        <w:rPr>
          <w:rFonts w:ascii="Times New Roman" w:hAnsi="Times New Roman"/>
          <w:color w:val="000000" w:themeColor="text1"/>
          <w:sz w:val="16"/>
          <w:szCs w:val="16"/>
        </w:rPr>
        <w:softHyphen/>
        <w:t>полнение плана октября м-ца и покрытия недосдачи сентября м-ца.</w:t>
      </w:r>
    </w:p>
    <w:p w14:paraId="6060A6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октября месяца по самолету ДБ-240 (5 машин) завод не выполнил, вследствие недостаточного разворота подготовки производства (в августе-сентябре .месяцах) и заготовит. работ.</w:t>
      </w:r>
    </w:p>
    <w:p w14:paraId="76E8A1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Оснащенность производства на 15.Х с. г. по механическим и заготовит. цехам составляет: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2948"/>
        <w:gridCol w:w="2948"/>
      </w:tblGrid>
      <w:tr w:rsidR="00983732" w:rsidRPr="00A3026E" w14:paraId="7BBFEAE3" w14:textId="77777777" w:rsidTr="00EA0DA7">
        <w:tc>
          <w:tcPr>
            <w:tcW w:w="5637" w:type="dxa"/>
            <w:tcBorders>
              <w:top w:val="single" w:sz="12" w:space="0" w:color="auto"/>
            </w:tcBorders>
            <w:shd w:val="clear" w:color="auto" w:fill="FFFFFF"/>
          </w:tcPr>
          <w:p w14:paraId="557D49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станочных приспособлений и кондукторов (на 4 машины в день)</w:t>
            </w:r>
          </w:p>
        </w:tc>
        <w:tc>
          <w:tcPr>
            <w:tcW w:w="2948" w:type="dxa"/>
            <w:tcBorders>
              <w:top w:val="single" w:sz="12" w:space="0" w:color="auto"/>
            </w:tcBorders>
            <w:shd w:val="clear" w:color="auto" w:fill="FFFFFF"/>
          </w:tcPr>
          <w:p w14:paraId="426EB0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требуются</w:t>
            </w:r>
          </w:p>
        </w:tc>
        <w:tc>
          <w:tcPr>
            <w:tcW w:w="2948" w:type="dxa"/>
            <w:tcBorders>
              <w:top w:val="single" w:sz="12" w:space="0" w:color="auto"/>
            </w:tcBorders>
            <w:shd w:val="clear" w:color="auto" w:fill="FFFFFF"/>
          </w:tcPr>
          <w:p w14:paraId="2B79D3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1018</w:t>
            </w:r>
          </w:p>
        </w:tc>
      </w:tr>
      <w:tr w:rsidR="00983732" w:rsidRPr="00A3026E" w14:paraId="468B2188" w14:textId="77777777" w:rsidTr="00EA0DA7">
        <w:tc>
          <w:tcPr>
            <w:tcW w:w="5637" w:type="dxa"/>
            <w:shd w:val="clear" w:color="auto" w:fill="FFFFFF"/>
          </w:tcPr>
          <w:p w14:paraId="0CA3113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48" w:type="dxa"/>
            <w:shd w:val="clear" w:color="auto" w:fill="FFFFFF"/>
          </w:tcPr>
          <w:p w14:paraId="66D8ED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имеется</w:t>
            </w:r>
          </w:p>
        </w:tc>
        <w:tc>
          <w:tcPr>
            <w:tcW w:w="2948" w:type="dxa"/>
            <w:shd w:val="clear" w:color="auto" w:fill="FFFFFF"/>
          </w:tcPr>
          <w:p w14:paraId="2B1E5A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812</w:t>
            </w:r>
          </w:p>
        </w:tc>
      </w:tr>
      <w:tr w:rsidR="00983732" w:rsidRPr="00A3026E" w14:paraId="4280BC97" w14:textId="77777777" w:rsidTr="00EA0DA7">
        <w:tc>
          <w:tcPr>
            <w:tcW w:w="5637" w:type="dxa"/>
            <w:shd w:val="clear" w:color="auto" w:fill="FFFFFF"/>
          </w:tcPr>
          <w:p w14:paraId="62922C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Кокилей</w:t>
            </w:r>
          </w:p>
        </w:tc>
        <w:tc>
          <w:tcPr>
            <w:tcW w:w="2948" w:type="dxa"/>
            <w:shd w:val="clear" w:color="auto" w:fill="FFFFFF"/>
          </w:tcPr>
          <w:p w14:paraId="1CBB8F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требуются</w:t>
            </w:r>
          </w:p>
        </w:tc>
        <w:tc>
          <w:tcPr>
            <w:tcW w:w="2948" w:type="dxa"/>
            <w:shd w:val="clear" w:color="auto" w:fill="FFFFFF"/>
          </w:tcPr>
          <w:p w14:paraId="626E74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w:t>
            </w:r>
          </w:p>
        </w:tc>
      </w:tr>
      <w:tr w:rsidR="00983732" w:rsidRPr="00A3026E" w14:paraId="270DD4CD" w14:textId="77777777" w:rsidTr="00EA0DA7">
        <w:tc>
          <w:tcPr>
            <w:tcW w:w="5637" w:type="dxa"/>
            <w:shd w:val="clear" w:color="auto" w:fill="FFFFFF"/>
          </w:tcPr>
          <w:p w14:paraId="5FCFCF7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48" w:type="dxa"/>
            <w:shd w:val="clear" w:color="auto" w:fill="FFFFFF"/>
          </w:tcPr>
          <w:p w14:paraId="4256BD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имеется</w:t>
            </w:r>
          </w:p>
        </w:tc>
        <w:tc>
          <w:tcPr>
            <w:tcW w:w="2948" w:type="dxa"/>
            <w:shd w:val="clear" w:color="auto" w:fill="FFFFFF"/>
          </w:tcPr>
          <w:p w14:paraId="14A55D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r>
      <w:tr w:rsidR="00983732" w:rsidRPr="00A3026E" w14:paraId="7D767028" w14:textId="77777777" w:rsidTr="00EA0DA7">
        <w:tc>
          <w:tcPr>
            <w:tcW w:w="5637" w:type="dxa"/>
            <w:shd w:val="clear" w:color="auto" w:fill="FFFFFF"/>
          </w:tcPr>
          <w:p w14:paraId="58A992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Спец. режущий инструмент</w:t>
            </w:r>
          </w:p>
        </w:tc>
        <w:tc>
          <w:tcPr>
            <w:tcW w:w="2948" w:type="dxa"/>
            <w:shd w:val="clear" w:color="auto" w:fill="FFFFFF"/>
          </w:tcPr>
          <w:p w14:paraId="7C5A33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требуются</w:t>
            </w:r>
          </w:p>
        </w:tc>
        <w:tc>
          <w:tcPr>
            <w:tcW w:w="2948" w:type="dxa"/>
            <w:shd w:val="clear" w:color="auto" w:fill="FFFFFF"/>
          </w:tcPr>
          <w:p w14:paraId="2B83E1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658</w:t>
            </w:r>
          </w:p>
        </w:tc>
      </w:tr>
      <w:tr w:rsidR="00983732" w:rsidRPr="00A3026E" w14:paraId="36AC8DB8" w14:textId="77777777" w:rsidTr="00EA0DA7">
        <w:tc>
          <w:tcPr>
            <w:tcW w:w="5637" w:type="dxa"/>
            <w:shd w:val="clear" w:color="auto" w:fill="FFFFFF"/>
          </w:tcPr>
          <w:p w14:paraId="43B9B07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48" w:type="dxa"/>
            <w:shd w:val="clear" w:color="auto" w:fill="FFFFFF"/>
          </w:tcPr>
          <w:p w14:paraId="45B351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имеется</w:t>
            </w:r>
          </w:p>
        </w:tc>
        <w:tc>
          <w:tcPr>
            <w:tcW w:w="2948" w:type="dxa"/>
            <w:shd w:val="clear" w:color="auto" w:fill="FFFFFF"/>
          </w:tcPr>
          <w:p w14:paraId="0B3CCD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277</w:t>
            </w:r>
          </w:p>
        </w:tc>
      </w:tr>
      <w:tr w:rsidR="00983732" w:rsidRPr="00A3026E" w14:paraId="63A99084" w14:textId="77777777" w:rsidTr="00EA0DA7">
        <w:tc>
          <w:tcPr>
            <w:tcW w:w="5637" w:type="dxa"/>
            <w:shd w:val="clear" w:color="auto" w:fill="FFFFFF"/>
          </w:tcPr>
          <w:p w14:paraId="14C594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Горячих штампов</w:t>
            </w:r>
          </w:p>
        </w:tc>
        <w:tc>
          <w:tcPr>
            <w:tcW w:w="2948" w:type="dxa"/>
            <w:shd w:val="clear" w:color="auto" w:fill="FFFFFF"/>
          </w:tcPr>
          <w:p w14:paraId="7ACE7A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требуются</w:t>
            </w:r>
          </w:p>
        </w:tc>
        <w:tc>
          <w:tcPr>
            <w:tcW w:w="2948" w:type="dxa"/>
            <w:shd w:val="clear" w:color="auto" w:fill="FFFFFF"/>
          </w:tcPr>
          <w:p w14:paraId="5E43A1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r>
      <w:tr w:rsidR="00983732" w:rsidRPr="00A3026E" w14:paraId="10A89772" w14:textId="77777777" w:rsidTr="00EA0DA7">
        <w:tc>
          <w:tcPr>
            <w:tcW w:w="5637" w:type="dxa"/>
            <w:shd w:val="clear" w:color="auto" w:fill="FFFFFF"/>
          </w:tcPr>
          <w:p w14:paraId="7B1A079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48" w:type="dxa"/>
            <w:shd w:val="clear" w:color="auto" w:fill="FFFFFF"/>
          </w:tcPr>
          <w:p w14:paraId="30A244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имеется</w:t>
            </w:r>
          </w:p>
        </w:tc>
        <w:tc>
          <w:tcPr>
            <w:tcW w:w="2948" w:type="dxa"/>
            <w:shd w:val="clear" w:color="auto" w:fill="FFFFFF"/>
          </w:tcPr>
          <w:p w14:paraId="5C35A2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w:t>
            </w:r>
          </w:p>
        </w:tc>
      </w:tr>
      <w:tr w:rsidR="00983732" w:rsidRPr="00A3026E" w14:paraId="78667B96" w14:textId="77777777" w:rsidTr="00EA0DA7">
        <w:tc>
          <w:tcPr>
            <w:tcW w:w="5637" w:type="dxa"/>
            <w:shd w:val="clear" w:color="auto" w:fill="FFFFFF"/>
          </w:tcPr>
          <w:p w14:paraId="2EC69C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холодных штампов</w:t>
            </w:r>
          </w:p>
        </w:tc>
        <w:tc>
          <w:tcPr>
            <w:tcW w:w="2948" w:type="dxa"/>
            <w:shd w:val="clear" w:color="auto" w:fill="FFFFFF"/>
          </w:tcPr>
          <w:p w14:paraId="14763F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требуются</w:t>
            </w:r>
          </w:p>
        </w:tc>
        <w:tc>
          <w:tcPr>
            <w:tcW w:w="2948" w:type="dxa"/>
            <w:shd w:val="clear" w:color="auto" w:fill="FFFFFF"/>
          </w:tcPr>
          <w:p w14:paraId="177ED9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r>
      <w:tr w:rsidR="00983732" w:rsidRPr="00A3026E" w14:paraId="3B348C62" w14:textId="77777777" w:rsidTr="00EA0DA7">
        <w:tc>
          <w:tcPr>
            <w:tcW w:w="5637" w:type="dxa"/>
            <w:tcBorders>
              <w:bottom w:val="single" w:sz="12" w:space="0" w:color="auto"/>
            </w:tcBorders>
            <w:shd w:val="clear" w:color="auto" w:fill="FFFFFF"/>
          </w:tcPr>
          <w:p w14:paraId="0EA0146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948" w:type="dxa"/>
            <w:tcBorders>
              <w:bottom w:val="single" w:sz="12" w:space="0" w:color="auto"/>
            </w:tcBorders>
            <w:shd w:val="clear" w:color="auto" w:fill="FFFFFF"/>
          </w:tcPr>
          <w:p w14:paraId="2E3C08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имеется</w:t>
            </w:r>
          </w:p>
        </w:tc>
        <w:tc>
          <w:tcPr>
            <w:tcW w:w="2948" w:type="dxa"/>
            <w:tcBorders>
              <w:bottom w:val="single" w:sz="12" w:space="0" w:color="auto"/>
            </w:tcBorders>
            <w:shd w:val="clear" w:color="auto" w:fill="FFFFFF"/>
          </w:tcPr>
          <w:p w14:paraId="50111A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1846</w:t>
            </w:r>
          </w:p>
        </w:tc>
      </w:tr>
    </w:tbl>
    <w:p w14:paraId="69FA5A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Оснастка (для выпуска 4 машин в день) при плане в 1629 шт, изготовлена в количестве 935шт.</w:t>
      </w:r>
    </w:p>
    <w:p w14:paraId="446BE4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таком развороте и подготовке-производства, завод имел на 1.Х-40 г. в незавершеннном производстве только 19,8 ус</w:t>
      </w:r>
      <w:r w:rsidRPr="00A3026E">
        <w:rPr>
          <w:rFonts w:ascii="Times New Roman" w:hAnsi="Times New Roman"/>
          <w:color w:val="000000" w:themeColor="text1"/>
          <w:sz w:val="16"/>
          <w:szCs w:val="16"/>
        </w:rPr>
        <w:softHyphen/>
        <w:t>ловиях единиц, вместо 50, требующихся для выполнения пятиме</w:t>
      </w:r>
      <w:r w:rsidRPr="00A3026E">
        <w:rPr>
          <w:rFonts w:ascii="Times New Roman" w:hAnsi="Times New Roman"/>
          <w:color w:val="000000" w:themeColor="text1"/>
          <w:sz w:val="16"/>
          <w:szCs w:val="16"/>
        </w:rPr>
        <w:softHyphen/>
        <w:t>сячной программ в 70 самолетов.</w:t>
      </w:r>
    </w:p>
    <w:p w14:paraId="7A32D1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39 при сдаче самолетов ДБ-ЗФ выполнил план в августе на 45%, сдав 18 самолетов при плане в 40 машин и в сентябре на 42,5%, сдав 17 самолетов при плане в 40 машин.</w:t>
      </w:r>
    </w:p>
    <w:p w14:paraId="0AA271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валовой продукции план августа месяца выполнен на 91,6% и сентября месяца выполнен на 90,4%.</w:t>
      </w:r>
    </w:p>
    <w:p w14:paraId="14D5EB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Основная причина невыполнение плана сдачи машин ДБ-ЗФ заводом № 39 в августе и сентябре месяце об'ясняется организационными неполадками, имевшими место на заводе, большим количеством дефектов на сасамолетах, а также неравномерной подачей моторов.</w:t>
      </w:r>
    </w:p>
    <w:p w14:paraId="6DC34F3D"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Недовыполнение плана по валовой продукции за август и сентябрь месяц идет за счет задела, по машине ПБ-100, по которой завод развернул подготовку производства и запуск ее в серию с большим запозданием (на 2 месяца), вследствие чего вышел с неудовлетворительным (10 условных машин) заделом на 4-ый квартал.</w:t>
      </w:r>
    </w:p>
    <w:p w14:paraId="78C3D3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Невыполнение плана по серийной машине ДБ-ЗФ и большое запаздывание с внедрением в серию новой машины ПБ-100 создает особое напряженное положение в работе цеха окончательной сборки.</w:t>
      </w:r>
    </w:p>
    <w:p w14:paraId="0B9463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Завод № 81 в августе и сентябре несяце работал совершенно неудовлетворительно. План по сдаче самолетов ББ-22 в августе ме</w:t>
      </w:r>
      <w:r w:rsidRPr="00A3026E">
        <w:rPr>
          <w:rFonts w:ascii="Times New Roman" w:hAnsi="Times New Roman"/>
          <w:color w:val="000000" w:themeColor="text1"/>
          <w:sz w:val="16"/>
          <w:szCs w:val="16"/>
        </w:rPr>
        <w:softHyphen/>
        <w:t>сяце выполнен заводам на 56,3%, в сентябре на 26,7%.</w:t>
      </w:r>
    </w:p>
    <w:p w14:paraId="56B0AB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завода т. Климовицкий вместо мобилизации всего коллектива на выполнение заданной программы, считает ее нереаль</w:t>
      </w:r>
      <w:r w:rsidRPr="00A3026E">
        <w:rPr>
          <w:rFonts w:ascii="Times New Roman" w:hAnsi="Times New Roman"/>
          <w:color w:val="000000" w:themeColor="text1"/>
          <w:sz w:val="16"/>
          <w:szCs w:val="16"/>
        </w:rPr>
        <w:softHyphen/>
        <w:t>ной, а поэтому невыполнимой.</w:t>
      </w:r>
    </w:p>
    <w:p w14:paraId="52B117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Ссылаясь на большое количество конструктиваих изменений, руководство завода не форсировало изготовление оснастки по основному цеху - механическому.</w:t>
      </w:r>
    </w:p>
    <w:p w14:paraId="6EE487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потребного количества приспособлений в 634 наименования, изготовлено только 323 наименования, а отлажено всего 94.</w:t>
      </w:r>
    </w:p>
    <w:p w14:paraId="503032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потребного количества специнструмента в 697 наименова</w:t>
      </w:r>
      <w:r w:rsidRPr="00A3026E">
        <w:rPr>
          <w:rFonts w:ascii="Times New Roman" w:hAnsi="Times New Roman"/>
          <w:color w:val="000000" w:themeColor="text1"/>
          <w:sz w:val="16"/>
          <w:szCs w:val="16"/>
        </w:rPr>
        <w:softHyphen/>
        <w:t>ний изготовлено 414, а отлажено только 234.</w:t>
      </w:r>
    </w:p>
    <w:p w14:paraId="640FB2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Неудовлетворительное положение с оснасткой в механическом цехе не дало ему возможности добиться снижения фактических норм до размеров близких к расчетам по тех. процессу.</w:t>
      </w:r>
    </w:p>
    <w:p w14:paraId="49426E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например, существующая норма на 1.Х.с.г. по револвзерным работам составляла 920,8 ч., а по тех процессу всего лишь 348,5 час., тогда как револьверные работы являются самым узким местом в механическом цеху.</w:t>
      </w:r>
    </w:p>
    <w:p w14:paraId="14866D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Ссылка на объективные причины, вместо мобилизации коллектива на выполнение задания, штурмовщина в работе, слабое оснаще</w:t>
      </w:r>
      <w:r w:rsidRPr="00A3026E">
        <w:rPr>
          <w:rFonts w:ascii="Times New Roman" w:hAnsi="Times New Roman"/>
          <w:color w:val="000000" w:themeColor="text1"/>
          <w:sz w:val="16"/>
          <w:szCs w:val="16"/>
        </w:rPr>
        <w:softHyphen/>
        <w:t>ние цехов привело завод к неудовлетворительной работе в августе и сентябре месяце.</w:t>
      </w:r>
    </w:p>
    <w:p w14:paraId="0423BF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обеспеченности производства в Ш квартале и октябре месяце 1940 г. основными материалами заводов 1-го Главного Управления.</w:t>
      </w:r>
    </w:p>
    <w:p w14:paraId="6A6684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одов</w:t>
      </w:r>
    </w:p>
    <w:p w14:paraId="7A06AB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Обеспечение производства в Ш квартале фондами на материалы было в основном удовлетворительное, за исключением прессованных профилей .и труб Д-6, но втечение квартала имели место затруднеиия по следующим номенклатурам:...(1001,47).</w:t>
      </w:r>
    </w:p>
    <w:p w14:paraId="6CF8BACC" w14:textId="77777777" w:rsidR="00C66762" w:rsidRPr="00A3026E" w:rsidRDefault="00C66762" w:rsidP="00A3026E">
      <w:pPr>
        <w:pStyle w:val="Iauiue"/>
        <w:jc w:val="both"/>
        <w:rPr>
          <w:color w:val="000000" w:themeColor="text1"/>
          <w:sz w:val="16"/>
          <w:szCs w:val="16"/>
        </w:rPr>
      </w:pPr>
    </w:p>
    <w:p w14:paraId="1D2305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на базе недостроенного завода металлоширпотреба был организован завод № 467.</w:t>
      </w:r>
    </w:p>
    <w:p w14:paraId="638ED8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вступил в строй в августе 1941 года, приняв оборудование эвакуированное из Москвы с завода № 28. Завод приступил к выпуску изделий авиапромышленности в 1943 году. Основным видом выпускаемых изделий заводом с момента его организации и до окончания ВОВ являлись воздушно-металлические винты ВИШ-105В-4 правого и левого вращения. После окончания ВОВ выпуск винтов сократился.</w:t>
      </w:r>
    </w:p>
    <w:p w14:paraId="7A0EC0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приказом МАП № 382 от 18 апреля 1946 года заводу поручено освоение винта В-4 типа Гидроматик к самолету ТУ-1, в связи с чем в августе 1946 года на завод было переведено с завода № 28 ОКБ гл. конструктора Петрова Н.Н.</w:t>
      </w:r>
    </w:p>
    <w:p w14:paraId="230827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Павлово на Оке Горьковской области, ст. Металлист, г. Павлово, ул. Сталина</w:t>
      </w:r>
    </w:p>
    <w:p w14:paraId="0AD129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Директора</w:t>
      </w:r>
    </w:p>
    <w:p w14:paraId="1532D7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декабря 1939 года по октябрь 1941 года – Бухтин А.И.</w:t>
      </w:r>
    </w:p>
    <w:p w14:paraId="5A7080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окьября 1941 года по сентябрь 1945 года – Авербах А.Ф.</w:t>
      </w:r>
    </w:p>
    <w:p w14:paraId="290E42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сентября 1945 года по февраль 1956 года – Кадышев С.И.</w:t>
      </w:r>
    </w:p>
    <w:p w14:paraId="230CFE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февраля 1956 года – Лезин А.В.</w:t>
      </w:r>
    </w:p>
    <w:p w14:paraId="44950B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конструкторы</w:t>
      </w:r>
    </w:p>
    <w:p w14:paraId="24EBBB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1940 по 1946 гг. – Заславский, Бас-Дубов</w:t>
      </w:r>
    </w:p>
    <w:p w14:paraId="028E07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1946 по 1956 гг. – Петров Н.Н.</w:t>
      </w:r>
    </w:p>
    <w:p w14:paraId="1DC251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июня 1956 года – Куприянов Ф.Ф. (9619).</w:t>
      </w:r>
    </w:p>
    <w:p w14:paraId="42C5339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25835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на базе экспериментального завода № 8 Гдлавмашдеталь НК текстильной промышленности был организован Завод № 454, в свою очередь.</w:t>
      </w:r>
    </w:p>
    <w:p w14:paraId="2D1B1A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августе 1941 года завод № 454, выпускавший агрегаты бомбардировочного и стрелкового вооружения, был эвакуирован из Киева в Куйбышев и в декабре 1943 на этой площадке был организован Завод № 483.</w:t>
      </w:r>
    </w:p>
    <w:p w14:paraId="03E69E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освобождения Киева завод № 483 получил лишь производственные корпуса, никакого оборудования не было.</w:t>
      </w:r>
    </w:p>
    <w:p w14:paraId="416B7C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получил задание на выпуск бомбоимпульсных связок деревянной конструкции. В 4 квартале 1944 года заводу намечался новый профиль – выпуск радиаторов. Для начала было дано задание произвести ремонт 20 штук авиационных радиаторов.</w:t>
      </w:r>
    </w:p>
    <w:p w14:paraId="539DDA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ГКО от 29 января 1945 года за № 7426 и приказом НКАП от 30 января 1945 года за № 34с заводу был установлен другой профиль производственной деятельности – выпуск радиоопознавательных приборов типа «СЧ-3М» и с февраля 1945 года завод был переведен из 2-го гл. управления в 17 гл. управление. В 1946 году завод освоил выпуск первой серии полуавтоматических радиорегистраторов для Гл. управления Гидрометеослужбы при СМ.</w:t>
      </w:r>
    </w:p>
    <w:p w14:paraId="69DCA0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 И. Погорелов</w:t>
      </w:r>
    </w:p>
    <w:p w14:paraId="4FF9EE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Киев, ул. Владимиро-Лыбедская, д. 3</w:t>
      </w:r>
    </w:p>
    <w:p w14:paraId="42459D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Производственный профиль – приборный радиолокационный завод (9855).</w:t>
      </w:r>
    </w:p>
    <w:p w14:paraId="03A8511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B3B17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гл. конструктором завода № 213 был назначен Антипов Е.Ф. Во второй половине 1941 года после начала ВОВ завод № 213 был эвакуирован в Энгельс и размещен на промплощадке Мясокомбината в недостроенных корпусах, расположенного в 12 км от Энгельса. К 15 февраля 1942 года завод был введен в действующие предприятия и начал производить нормальный выпуск авиаприборов.</w:t>
      </w:r>
    </w:p>
    <w:p w14:paraId="55129B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апреле 1942 года директором завода был назначен Березин М.Д. В апреле 1944 года директором завода был назначен Гоцеридзе М.С. С января 1945 года – директор Кочеров П.П. 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 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45D6BA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w:t>
      </w:r>
    </w:p>
    <w:p w14:paraId="59C074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4754003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7C9952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 Смирнов</w:t>
      </w:r>
    </w:p>
    <w:p w14:paraId="20ED20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Саратов 5, п/я 176, Б. Садовая, д. 239</w:t>
      </w:r>
    </w:p>
    <w:p w14:paraId="4403AF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5C7F10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19A56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утвердили очередную "Спецификацию на лакокрасочные материалы", в которой были перечислены все "лаки, краски, эмали, грунты, шпатлевки и разжижители, применяемые в авиационной промышленности". По этому документу для окраски наружных поверхностей самолетов использовались масляные, глифталевые и нитро-эмали. В спецификации оставались старые масляные аэроэмали: светло-серая АЭ-9 и темно-серая АЭ-10 (для гидросамолетов). Для нанесения новых защитных окрасок имелись глифталевые эмали: светло-зеленая А-19ф и светло-голубая А-18ф, выпускавшиеся с июня 1940 г. по временным ТУ. Был расширен и цветовой ассортимент аэролаков второго покрытия All. К уже известным светло-серой, красной, черной, защитной и алюминиевой расцветкам были добавлены светло-голубая, светло-зеленая, табачная, кремовая и оранжевая. Если оранжевый цвет применялся для самолетов полярной авиации, кремовый имел, вероятно, декоративное назначение, а светло-голубой восстанавливал привычную окраску нижних поверхностей, то светло-зеленый и табачный в сочетании друг с другом или с аэролаком защитного цвета открывали путь к введению камуфляжа в качестве стандартной окраски (2771,19).</w:t>
      </w:r>
    </w:p>
    <w:p w14:paraId="68FE9CE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AD70B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Утвержденная в ноябре 1940 года "Спецификация на лакокрасочные материалы", кроме А-14 предусматривала применение для окраски внутренних поверхностей самолетов следующих эмалей: светло-серой АЭ-9, темно-серой АЭ-10 (для внутренних поверхностей подводных частей деревянных гидросамолетов) и светло-голубой АЭ-14 (внутренние поверхности деревянных лодок гидросамолетов выше ватерлинии). Все эти краски применялись еще с 30-х годов. С 30-х годов основной для внутренних поверхностей была масляная эмаль А-14 стального (т. е. серого) цвета и ее глифталевый вариант А-14ф. Вводились и отменялись еще какие-либо способы окраски, но А-14 оставалась, а при ремонтах могла наноситься на поверхность, окрашенную до этого любым способом. Окрашивались ею внутренняя поверхность фюзеляжа, кабины, каркасы, обода колес, шасси, моторамы, внутренние поверхности закрылков, внутренние детали, иногда моторы и т. д. При окраске металлических поверхностей эмаль наносилась по цинкхроматному грунту АЛГ-1 желтого (от светло- до темно-желтого) цвета, на деревянные - сразу. Высохшая </w:t>
      </w:r>
      <w:r w:rsidRPr="00A3026E">
        <w:rPr>
          <w:rFonts w:ascii="Times New Roman" w:hAnsi="Times New Roman"/>
          <w:color w:val="000000" w:themeColor="text1"/>
          <w:sz w:val="16"/>
          <w:szCs w:val="16"/>
        </w:rPr>
        <w:lastRenderedPageBreak/>
        <w:t>пленка эмали А-14 была блестящей, серого (FS 26187), без заметных оттенков, цвета средней светлоты. Детали дюралюминиевых каркасов могли покрываться только одним грунтом АЛГ-1 (3522).</w:t>
      </w:r>
    </w:p>
    <w:p w14:paraId="76D30BC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97828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заводу (ГС завод № 173 НКОП, НКВ, 1-й оружейный завод в Туле ГАУ, ВСНХ, Тульский оружейный завод (ТОЗ) ВСНХ, НКТП /г. Тула/) поручен серийный выпуск 23-мм авиационной пушки МП-6, в 05.1941 г. из-за ареста Я. Г. Таубина она снята с производства (11982).</w:t>
      </w:r>
    </w:p>
    <w:p w14:paraId="31B8F09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EF351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были успешно испытаны заказанные в конце января 1940 РОФС-82 с неразъемным блоком «камера-сопло» без механической или с частичной механической обработкой РЧ. На заводе №70 изготовлена партия в 500 штук. В их конструкции применена правка стабилизаторов. Плани</w:t>
      </w:r>
      <w:r w:rsidRPr="00A3026E">
        <w:rPr>
          <w:rFonts w:ascii="Times New Roman" w:hAnsi="Times New Roman"/>
          <w:color w:val="000000" w:themeColor="text1"/>
          <w:sz w:val="16"/>
          <w:szCs w:val="16"/>
        </w:rPr>
        <w:softHyphen/>
        <w:t>ровалось в марте-апреле 1941 г. провести их полигонные испытания, а в ию-1941 г. запустить в массовое производство».</w:t>
      </w:r>
    </w:p>
    <w:p w14:paraId="778700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каком именно образце боеприпасов здесь шла речь, понять трудно, поскольку даже РОФС-82, разработанных по теме объекта 622, было не</w:t>
      </w:r>
      <w:r w:rsidRPr="00A3026E">
        <w:rPr>
          <w:rFonts w:ascii="Times New Roman" w:hAnsi="Times New Roman"/>
          <w:color w:val="000000" w:themeColor="text1"/>
          <w:sz w:val="16"/>
          <w:szCs w:val="16"/>
        </w:rPr>
        <w:softHyphen/>
        <w:t>сколько образцов. Так, к 18 сентября 1940 г. в отделе Елисеева бригада инженеров под руководством ведущего технолога И.Я Лапшина и технолога-консгруктора Сергеева в инициативном порядке разработала ряд упрощенных авиационных реактивных снарядов - 82-мм осколочно</w:t>
      </w:r>
      <w:r w:rsidRPr="00A3026E">
        <w:rPr>
          <w:rFonts w:ascii="Times New Roman" w:hAnsi="Times New Roman"/>
          <w:color w:val="000000" w:themeColor="text1"/>
          <w:sz w:val="16"/>
          <w:szCs w:val="16"/>
        </w:rPr>
        <w:softHyphen/>
        <w:t>-фугасных ракет ОФР-82 и ОФР-132. Необходимость упрощения в массовом производстве технологии изготовления ракетного двигателя для них не°влекла изменение всей конструкции РС.</w:t>
      </w:r>
    </w:p>
    <w:p w14:paraId="112E53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По-видимому, наименование моделей этих ОФР - СЛ-005 и СЛ-017 - свидетельствует о том, что оба снаряда - детище Сергеева и Лапшина, хотя в этой работе им активно помогал и инженер отдела Булгаков. Ис</w:t>
      </w:r>
      <w:r w:rsidRPr="00A3026E">
        <w:rPr>
          <w:rFonts w:ascii="Times New Roman" w:hAnsi="Times New Roman"/>
          <w:color w:val="000000" w:themeColor="text1"/>
          <w:sz w:val="16"/>
          <w:szCs w:val="16"/>
        </w:rPr>
        <w:softHyphen/>
        <w:t>тория с ОФР-82 началась задолго до появления упомянутой докладной. Об этом говорит интенсивная переписка в 1939 г. между НИИ-3 и заместителем начальника «Главтрубостали» Колыбаловым. Еще бы, при под</w:t>
      </w:r>
      <w:r w:rsidRPr="00A3026E">
        <w:rPr>
          <w:rFonts w:ascii="Times New Roman" w:hAnsi="Times New Roman"/>
          <w:color w:val="000000" w:themeColor="text1"/>
          <w:sz w:val="16"/>
          <w:szCs w:val="16"/>
        </w:rPr>
        <w:softHyphen/>
        <w:t>боре цельнотянутых труб всего двух строго определенных диаметров ме</w:t>
      </w:r>
      <w:r w:rsidRPr="00A3026E">
        <w:rPr>
          <w:rFonts w:ascii="Times New Roman" w:hAnsi="Times New Roman"/>
          <w:color w:val="000000" w:themeColor="text1"/>
          <w:sz w:val="16"/>
          <w:szCs w:val="16"/>
        </w:rPr>
        <w:softHyphen/>
        <w:t>ханические заводы НКБ получали экономию в продолжительности про</w:t>
      </w:r>
      <w:r w:rsidRPr="00A3026E">
        <w:rPr>
          <w:rFonts w:ascii="Times New Roman" w:hAnsi="Times New Roman"/>
          <w:color w:val="000000" w:themeColor="text1"/>
          <w:sz w:val="16"/>
          <w:szCs w:val="16"/>
        </w:rPr>
        <w:softHyphen/>
        <w:t>изводственного цикла на целый порядок!</w:t>
      </w:r>
    </w:p>
    <w:p w14:paraId="3940B4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снарядов, изготовленной в октябре опытной в 50 штук партии ОФР-82 модели СЛ-017 боевые части были абсолютно идентичны ис</w:t>
      </w:r>
      <w:r w:rsidRPr="00A3026E">
        <w:rPr>
          <w:rFonts w:ascii="Times New Roman" w:hAnsi="Times New Roman"/>
          <w:color w:val="000000" w:themeColor="text1"/>
          <w:sz w:val="16"/>
          <w:szCs w:val="16"/>
        </w:rPr>
        <w:softHyphen/>
        <w:t>пользуемым в штатных боеприпасах, которые производили на заводе №70 НКБ. Ракетная часть предусматривала использование штатных РЗ. Ее основу составляла тонкостенная бесшовная труба из стали марки Ст.45, ассортимент которых был широко распространен в авиационной и автотракторной промышленности.</w:t>
      </w:r>
    </w:p>
    <w:p w14:paraId="0254E3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Блоки «камера-сопло» изготавливали методом принудительной ков</w:t>
      </w:r>
      <w:r w:rsidRPr="00A3026E">
        <w:rPr>
          <w:rFonts w:ascii="Times New Roman" w:hAnsi="Times New Roman"/>
          <w:color w:val="000000" w:themeColor="text1"/>
          <w:sz w:val="16"/>
          <w:szCs w:val="16"/>
        </w:rPr>
        <w:softHyphen/>
        <w:t>ки в ротационно-ковочной машине или под молотом, оборудованным «дополнительным механизмом подачи обшей массой 150-200 кг». Эти приемы разработали в НИИ-3 НКБ и опробовали на заводе имени Лени</w:t>
      </w:r>
      <w:r w:rsidRPr="00A3026E">
        <w:rPr>
          <w:rFonts w:ascii="Times New Roman" w:hAnsi="Times New Roman"/>
          <w:color w:val="000000" w:themeColor="text1"/>
          <w:sz w:val="16"/>
          <w:szCs w:val="16"/>
        </w:rPr>
        <w:softHyphen/>
        <w:t>на НКЧМ. При этом колосниковую диафрагму в виде отдельного узла запрессовывали в полость камеры двигателя. Напомним, что у штатных снарядов ее закрепляли в специальных гнездах крышки-сопла, которой затем поджимали РЗ.</w:t>
      </w:r>
    </w:p>
    <w:p w14:paraId="0DB30A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крепления ведущих штифтов и стабилизатора, на блок «камера-сопло» напрессовывали кольцевые пояски, которые одновременно уве</w:t>
      </w:r>
      <w:r w:rsidRPr="00A3026E">
        <w:rPr>
          <w:rFonts w:ascii="Times New Roman" w:hAnsi="Times New Roman"/>
          <w:color w:val="000000" w:themeColor="text1"/>
          <w:sz w:val="16"/>
          <w:szCs w:val="16"/>
        </w:rPr>
        <w:softHyphen/>
        <w:t>личивали прочность блока. Дно двигателя, в зависимости от назначения снаряда, крепили как в задней части БЧ, так и в передней части РЧ на резьбе. Стабилизатор использовали также штатный, «с объемной конст</w:t>
      </w:r>
      <w:r w:rsidRPr="00A3026E">
        <w:rPr>
          <w:rFonts w:ascii="Times New Roman" w:hAnsi="Times New Roman"/>
          <w:color w:val="000000" w:themeColor="text1"/>
          <w:sz w:val="16"/>
          <w:szCs w:val="16"/>
        </w:rPr>
        <w:softHyphen/>
        <w:t>рукцией крыльев», ранее разработанный на заводе №70 НКБ.</w:t>
      </w:r>
    </w:p>
    <w:p w14:paraId="28A30B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Технико-экономические расчеты показали, что при использовании ка</w:t>
      </w:r>
      <w:r w:rsidRPr="00A3026E">
        <w:rPr>
          <w:rFonts w:ascii="Times New Roman" w:hAnsi="Times New Roman"/>
          <w:color w:val="000000" w:themeColor="text1"/>
          <w:sz w:val="16"/>
          <w:szCs w:val="16"/>
        </w:rPr>
        <w:softHyphen/>
        <w:t>либрованных труб Днепропетровского трубного завода имени Ленина (78/3 мм для РС-82) или Первоуральского Новотрубного завода (78/3 мм для РС-82 и 128/4 мм для РС-132), отпадает необходимость в обработке на</w:t>
      </w:r>
      <w:r w:rsidRPr="00A3026E">
        <w:rPr>
          <w:rFonts w:ascii="Times New Roman" w:hAnsi="Times New Roman"/>
          <w:color w:val="000000" w:themeColor="text1"/>
          <w:sz w:val="16"/>
          <w:szCs w:val="16"/>
        </w:rPr>
        <w:softHyphen/>
        <w:t>ружной и внутренней поверхностей камеры двигателей снарядов. Резьбо</w:t>
      </w:r>
      <w:r w:rsidRPr="00A3026E">
        <w:rPr>
          <w:rFonts w:ascii="Times New Roman" w:hAnsi="Times New Roman"/>
          <w:color w:val="000000" w:themeColor="text1"/>
          <w:sz w:val="16"/>
          <w:szCs w:val="16"/>
        </w:rPr>
        <w:softHyphen/>
        <w:t>вые соединения корпуса двигателя с крышкой-соплом, сопла со стабили</w:t>
      </w:r>
      <w:r w:rsidRPr="00A3026E">
        <w:rPr>
          <w:rFonts w:ascii="Times New Roman" w:hAnsi="Times New Roman"/>
          <w:color w:val="000000" w:themeColor="text1"/>
          <w:sz w:val="16"/>
          <w:szCs w:val="16"/>
        </w:rPr>
        <w:softHyphen/>
        <w:t>затором, а также запальных стаканов дополнительных детонаторов с кор</w:t>
      </w:r>
      <w:r w:rsidRPr="00A3026E">
        <w:rPr>
          <w:rFonts w:ascii="Times New Roman" w:hAnsi="Times New Roman"/>
          <w:color w:val="000000" w:themeColor="text1"/>
          <w:sz w:val="16"/>
          <w:szCs w:val="16"/>
        </w:rPr>
        <w:softHyphen/>
        <w:t>пусом БЧ упразднили. Время, необходимое на механическую обработку крышки-сопла, резко сокращалось, упрощалась и обработка дна двигателя, стабилизатора и запального стакана. Обтекатель стабилизатора теперь просто наделали на конусную выточку заднего центрирующего утолщения и в районе соплового среза фиксировали сваркой в нескольких точках.</w:t>
      </w:r>
    </w:p>
    <w:p w14:paraId="1204D3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итоге общее время обработки узлов существенно сократилось. К при</w:t>
      </w:r>
      <w:r w:rsidRPr="00A3026E">
        <w:rPr>
          <w:rFonts w:ascii="Times New Roman" w:hAnsi="Times New Roman"/>
          <w:color w:val="000000" w:themeColor="text1"/>
          <w:sz w:val="16"/>
          <w:szCs w:val="16"/>
        </w:rPr>
        <w:softHyphen/>
        <w:t>меру, на производство одного штатного снаряда РОФС-82 затрачивали в среднем 490 минут, а на ОФР-82 по новой технологии - до 280. По старой технологии РОФС-132 изготавливали за 940 минут, а на изготовление ОФР-132 требовалось всего 360. Новая конструкция способствовала также экономии материала. Теперь при изготовлении снарядов 82-мм калибра в стружку уходило на 8,3 кг металла меньше, а у 132-мм - на целый 21 кг! В первом приближении, финансовую экономию представляли следу</w:t>
      </w:r>
      <w:r w:rsidRPr="00A3026E">
        <w:rPr>
          <w:rFonts w:ascii="Times New Roman" w:hAnsi="Times New Roman"/>
          <w:color w:val="000000" w:themeColor="text1"/>
          <w:sz w:val="16"/>
          <w:szCs w:val="16"/>
        </w:rPr>
        <w:softHyphen/>
        <w:t>ющим образом: при изготовлении 1000 штук 82-мм снарядов высвобождалось 98.000 руб., а при производстве 132-мм, - 271.000 руб. С учетом же сокращения расхода инструмента, механических и энергетических мощ</w:t>
      </w:r>
      <w:r w:rsidRPr="00A3026E">
        <w:rPr>
          <w:rFonts w:ascii="Times New Roman" w:hAnsi="Times New Roman"/>
          <w:color w:val="000000" w:themeColor="text1"/>
          <w:sz w:val="16"/>
          <w:szCs w:val="16"/>
        </w:rPr>
        <w:softHyphen/>
        <w:t>ностей, транспорта и пр. (на примере завода №70, где статьи накладных расходов достигали 800%), - ориентировочно до 500%. Экономический эффект при изготовлении 1000 боеприпасов мог достичь в 82-мм калибре - 131.000 руб., а в 132-мм - 325.000 руб.</w:t>
      </w:r>
    </w:p>
    <w:p w14:paraId="5E3890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Качество снарядов, изготовленных по новой технологии, их внешне- и внутрибаллистические данные должны были также резко возрасти. К примеру, монолитность корпуса двигателя обеспечивала его гермети</w:t>
      </w:r>
      <w:r w:rsidRPr="00A3026E">
        <w:rPr>
          <w:rFonts w:ascii="Times New Roman" w:hAnsi="Times New Roman"/>
          <w:color w:val="000000" w:themeColor="text1"/>
          <w:sz w:val="16"/>
          <w:szCs w:val="16"/>
        </w:rPr>
        <w:softHyphen/>
        <w:t>зацию и полностью предотвращало прорыв продуктов горения РЗ через резьбовые соединения с крышкой-соплом. Помимо того, устранялись отклонения от центровки осей отверстия критического сечения сопла и корпуса боеприпаса, а также от смешения соосности сопла, снаряда и оперения в момент выстрела за счет деформации разъемных соедине</w:t>
      </w:r>
      <w:r w:rsidRPr="00A3026E">
        <w:rPr>
          <w:rFonts w:ascii="Times New Roman" w:hAnsi="Times New Roman"/>
          <w:color w:val="000000" w:themeColor="text1"/>
          <w:sz w:val="16"/>
          <w:szCs w:val="16"/>
        </w:rPr>
        <w:softHyphen/>
        <w:t>ний. Благодаря конструкции колосниковой диафрагмы, увеличивалась ее площадь свободного сечения при одновременном уменьшении сече</w:t>
      </w:r>
      <w:r w:rsidRPr="00A3026E">
        <w:rPr>
          <w:rFonts w:ascii="Times New Roman" w:hAnsi="Times New Roman"/>
          <w:color w:val="000000" w:themeColor="text1"/>
          <w:sz w:val="16"/>
          <w:szCs w:val="16"/>
        </w:rPr>
        <w:softHyphen/>
        <w:t>ния проходных отверстий, что создавало условия для равномерного и полного сгорания РЗ.</w:t>
      </w:r>
    </w:p>
    <w:p w14:paraId="3B1208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пожалуй, самое главное, - производство снарядов по новой тех</w:t>
      </w:r>
      <w:r w:rsidRPr="00A3026E">
        <w:rPr>
          <w:rFonts w:ascii="Times New Roman" w:hAnsi="Times New Roman"/>
          <w:color w:val="000000" w:themeColor="text1"/>
          <w:sz w:val="16"/>
          <w:szCs w:val="16"/>
        </w:rPr>
        <w:softHyphen/>
        <w:t>нологии не требовало нового оборудования. Скорее, наоборот, при со</w:t>
      </w:r>
      <w:r w:rsidRPr="00A3026E">
        <w:rPr>
          <w:rFonts w:ascii="Times New Roman" w:hAnsi="Times New Roman"/>
          <w:color w:val="000000" w:themeColor="text1"/>
          <w:sz w:val="16"/>
          <w:szCs w:val="16"/>
        </w:rPr>
        <w:softHyphen/>
        <w:t>хранении объемов готовой продукции высвобождалось от 40 до 50% станочного парка и около 40% режущего и мерительного инструмента. Как видно из данных технико-экономических обоснований, конструкторам уже накануне войны были ясны причины большого рассеивания РС при наземной стрельбе и недостаточной точности при воздушной. Создатели боеприпасов готовы были конструктивными нюансами парировать эти отрицательные явления, однако в серийном производстве до этого (ело не дошло. В течение всей Великой Отечественной в больших количест</w:t>
      </w:r>
      <w:r w:rsidRPr="00A3026E">
        <w:rPr>
          <w:rFonts w:ascii="Times New Roman" w:hAnsi="Times New Roman"/>
          <w:color w:val="000000" w:themeColor="text1"/>
          <w:sz w:val="16"/>
          <w:szCs w:val="16"/>
        </w:rPr>
        <w:softHyphen/>
        <w:t>вах по заказам «гвардейских минометчиков» изготавливали тс самые до</w:t>
      </w:r>
      <w:r w:rsidRPr="00A3026E">
        <w:rPr>
          <w:rFonts w:ascii="Times New Roman" w:hAnsi="Times New Roman"/>
          <w:color w:val="000000" w:themeColor="text1"/>
          <w:sz w:val="16"/>
          <w:szCs w:val="16"/>
        </w:rPr>
        <w:softHyphen/>
        <w:t>рогостоящие и не очень удачные в отношении баллистики М-8 и М-13 -аналоги авиационных снарядов для полевой реактивной артиллерии.</w:t>
      </w:r>
    </w:p>
    <w:p w14:paraId="3DCE62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1.51 Результаты рассеивания опытных РОС-82 конструкции завода №70 НКБ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92"/>
        <w:gridCol w:w="1973"/>
        <w:gridCol w:w="2002"/>
      </w:tblGrid>
      <w:tr w:rsidR="00983732" w:rsidRPr="00A3026E" w14:paraId="5EDCD1B0" w14:textId="77777777" w:rsidTr="00EA0DA7">
        <w:trPr>
          <w:trHeight w:val="274"/>
        </w:trPr>
        <w:tc>
          <w:tcPr>
            <w:tcW w:w="1692" w:type="dxa"/>
            <w:tcBorders>
              <w:top w:val="single" w:sz="12" w:space="0" w:color="auto"/>
            </w:tcBorders>
          </w:tcPr>
          <w:p w14:paraId="31A9A9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Группы снарядов</w:t>
            </w:r>
          </w:p>
          <w:p w14:paraId="54E6E0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975" w:type="dxa"/>
            <w:gridSpan w:val="2"/>
            <w:tcBorders>
              <w:top w:val="single" w:sz="12" w:space="0" w:color="auto"/>
            </w:tcBorders>
          </w:tcPr>
          <w:p w14:paraId="384CC2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величина рассеивания, доли дистанции:</w:t>
            </w:r>
          </w:p>
          <w:p w14:paraId="73DF76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D4B9612" w14:textId="77777777" w:rsidTr="00EA0DA7">
        <w:trPr>
          <w:trHeight w:val="194"/>
        </w:trPr>
        <w:tc>
          <w:tcPr>
            <w:tcW w:w="1692" w:type="dxa"/>
          </w:tcPr>
          <w:p w14:paraId="586530A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D08E0E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973" w:type="dxa"/>
          </w:tcPr>
          <w:p w14:paraId="18A883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дальности</w:t>
            </w:r>
          </w:p>
          <w:p w14:paraId="13D0D0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4CD214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боковому направлению</w:t>
            </w:r>
          </w:p>
          <w:p w14:paraId="32777E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6A75EDA" w14:textId="77777777" w:rsidTr="00EA0DA7">
        <w:trPr>
          <w:trHeight w:val="216"/>
        </w:trPr>
        <w:tc>
          <w:tcPr>
            <w:tcW w:w="1692" w:type="dxa"/>
          </w:tcPr>
          <w:p w14:paraId="47C8EE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w:t>
            </w:r>
          </w:p>
          <w:p w14:paraId="02758C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72AADA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1/108</w:t>
            </w:r>
          </w:p>
          <w:p w14:paraId="1F90FC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182AC7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w:t>
            </w:r>
          </w:p>
          <w:p w14:paraId="3C474E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A308852" w14:textId="77777777" w:rsidTr="00EA0DA7">
        <w:trPr>
          <w:trHeight w:val="245"/>
        </w:trPr>
        <w:tc>
          <w:tcPr>
            <w:tcW w:w="1692" w:type="dxa"/>
          </w:tcPr>
          <w:p w14:paraId="2DEE8A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p w14:paraId="333662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4875E5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1/133</w:t>
            </w:r>
          </w:p>
          <w:p w14:paraId="6E0311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06CD3D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w:t>
            </w:r>
          </w:p>
          <w:p w14:paraId="0AAC2C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6DD7725" w14:textId="77777777" w:rsidTr="00EA0DA7">
        <w:trPr>
          <w:trHeight w:val="202"/>
        </w:trPr>
        <w:tc>
          <w:tcPr>
            <w:tcW w:w="1692" w:type="dxa"/>
          </w:tcPr>
          <w:p w14:paraId="02EA72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p w14:paraId="7746DB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746C8B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1/111</w:t>
            </w:r>
          </w:p>
          <w:p w14:paraId="032B71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34BAEC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w:t>
            </w:r>
          </w:p>
          <w:p w14:paraId="021912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0EF960F" w14:textId="77777777" w:rsidTr="00EA0DA7">
        <w:trPr>
          <w:trHeight w:val="223"/>
        </w:trPr>
        <w:tc>
          <w:tcPr>
            <w:tcW w:w="1692" w:type="dxa"/>
          </w:tcPr>
          <w:p w14:paraId="493076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p w14:paraId="63495A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1020DE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1/104</w:t>
            </w:r>
          </w:p>
          <w:p w14:paraId="57FC09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7AF63D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1/74</w:t>
            </w:r>
          </w:p>
          <w:p w14:paraId="539AB3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5EBCCD7" w14:textId="77777777" w:rsidTr="00EA0DA7">
        <w:trPr>
          <w:trHeight w:val="259"/>
        </w:trPr>
        <w:tc>
          <w:tcPr>
            <w:tcW w:w="1692" w:type="dxa"/>
            <w:tcBorders>
              <w:bottom w:val="single" w:sz="12" w:space="0" w:color="auto"/>
            </w:tcBorders>
          </w:tcPr>
          <w:p w14:paraId="325CA3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p w14:paraId="26EDCF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Borders>
              <w:bottom w:val="single" w:sz="12" w:space="0" w:color="auto"/>
            </w:tcBorders>
          </w:tcPr>
          <w:p w14:paraId="0C307C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1/99</w:t>
            </w:r>
          </w:p>
          <w:p w14:paraId="3B1EA4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Borders>
              <w:bottom w:val="single" w:sz="12" w:space="0" w:color="auto"/>
            </w:tcBorders>
          </w:tcPr>
          <w:p w14:paraId="2188FC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w:t>
            </w:r>
          </w:p>
          <w:p w14:paraId="1F3F99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221E53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Более того, и по окончании войны технология разъемного блока «каме</w:t>
      </w:r>
      <w:r w:rsidRPr="00A3026E">
        <w:rPr>
          <w:rFonts w:ascii="Times New Roman" w:hAnsi="Times New Roman"/>
          <w:color w:val="000000" w:themeColor="text1"/>
          <w:sz w:val="16"/>
          <w:szCs w:val="16"/>
        </w:rPr>
        <w:softHyphen/>
        <w:t>ра-сопло» настолько прочно укоренилась в производстве, что переход на иное качество и экономию заводчанам казался просто немыслимым. Изве</w:t>
      </w:r>
      <w:r w:rsidRPr="00A3026E">
        <w:rPr>
          <w:rFonts w:ascii="Times New Roman" w:hAnsi="Times New Roman"/>
          <w:color w:val="000000" w:themeColor="text1"/>
          <w:sz w:val="16"/>
          <w:szCs w:val="16"/>
        </w:rPr>
        <w:softHyphen/>
        <w:t>стны, по меньшей мере, четыре варианта снаряда ОФР-82 модели СЛ-017, которые изготавливали из толстостенных и тонкостенных груб. Они отли</w:t>
      </w:r>
      <w:r w:rsidRPr="00A3026E">
        <w:rPr>
          <w:rFonts w:ascii="Times New Roman" w:hAnsi="Times New Roman"/>
          <w:color w:val="000000" w:themeColor="text1"/>
          <w:sz w:val="16"/>
          <w:szCs w:val="16"/>
        </w:rPr>
        <w:softHyphen/>
        <w:t>чались ротационной ковкой корпуса двигателя за единое целое с сопловым раструбом либо из толстых труб с последующей выборкой металла между центрирующими утолщениями, либо из тонких труб с последующей горячей посадкой манжет центрирующих утолщений на заготовку и обработ</w:t>
      </w:r>
      <w:r w:rsidRPr="00A3026E">
        <w:rPr>
          <w:rFonts w:ascii="Times New Roman" w:hAnsi="Times New Roman"/>
          <w:color w:val="000000" w:themeColor="text1"/>
          <w:sz w:val="16"/>
          <w:szCs w:val="16"/>
        </w:rPr>
        <w:softHyphen/>
        <w:t>кой только передней и задней кромок утолщений. А кроме того, на обоих вариантах двигателя использовали БЧ либо с внутренним дном БЧ, л (бос внешним, установленным на резьбе внутри широкого фланца переднего центрирующего утолщения до стыковки БЧ с двигателем.</w:t>
      </w:r>
    </w:p>
    <w:p w14:paraId="00786D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в рамках темы по 622 объекту в технологическом отделе НИИ-3 НКБ разработали и снаряд ОФР-82 модели СЛ-005 (аналог штатного РОС-82 модели 3-00497). Практически, это был боеприпас, из</w:t>
      </w:r>
      <w:r w:rsidRPr="00A3026E">
        <w:rPr>
          <w:rFonts w:ascii="Times New Roman" w:hAnsi="Times New Roman"/>
          <w:color w:val="000000" w:themeColor="text1"/>
          <w:sz w:val="16"/>
          <w:szCs w:val="16"/>
        </w:rPr>
        <w:softHyphen/>
        <w:t>готовленный по упрошенной технологии единой «камеры-сопла» изтонкостенных труб, но с двухпроводной системой электровоспламене</w:t>
      </w:r>
      <w:r w:rsidRPr="00A3026E">
        <w:rPr>
          <w:rFonts w:ascii="Times New Roman" w:hAnsi="Times New Roman"/>
          <w:color w:val="000000" w:themeColor="text1"/>
          <w:sz w:val="16"/>
          <w:szCs w:val="16"/>
        </w:rPr>
        <w:softHyphen/>
        <w:t>ния (без использования пиропатронов и пиросвеч). В принципе, эта идея не нова. Как говорилось выше, еще в 1933-1934 гг. для запуска РС наземных испытательных стендов, в пороховой воспламенитель (донный или сопловой) зашивали электрозапал, а его провода выводили сквозь каналы пороховых шашек РЗ и сопло наружу.</w:t>
      </w:r>
    </w:p>
    <w:p w14:paraId="2713EE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конструкции снаряда модели СЛ-005 использовали этот же способ воспламенения, с той лишь разницей, что провода электрозапала, вши</w:t>
      </w:r>
      <w:r w:rsidRPr="00A3026E">
        <w:rPr>
          <w:rFonts w:ascii="Times New Roman" w:hAnsi="Times New Roman"/>
          <w:color w:val="000000" w:themeColor="text1"/>
          <w:sz w:val="16"/>
          <w:szCs w:val="16"/>
        </w:rPr>
        <w:softHyphen/>
        <w:t>того в дойный пороховой воспламенитель, припаяли к двум контактам, остановленным на изоляторных шайбах в районе переднего центрирую</w:t>
      </w:r>
      <w:r w:rsidRPr="00A3026E">
        <w:rPr>
          <w:rFonts w:ascii="Times New Roman" w:hAnsi="Times New Roman"/>
          <w:color w:val="000000" w:themeColor="text1"/>
          <w:sz w:val="16"/>
          <w:szCs w:val="16"/>
        </w:rPr>
        <w:softHyphen/>
        <w:t>щего утолщения по обеим сторонам от ведущего штифта (подобно пиросвечам снарядов РОФС). В отличие от однопроводной системы вос</w:t>
      </w:r>
      <w:r w:rsidRPr="00A3026E">
        <w:rPr>
          <w:rFonts w:ascii="Times New Roman" w:hAnsi="Times New Roman"/>
          <w:color w:val="000000" w:themeColor="text1"/>
          <w:sz w:val="16"/>
          <w:szCs w:val="16"/>
        </w:rPr>
        <w:softHyphen/>
        <w:t>пламенения пиропатронов штатных РОФС, двухпроводная обладала по</w:t>
      </w:r>
      <w:r w:rsidRPr="00A3026E">
        <w:rPr>
          <w:rFonts w:ascii="Times New Roman" w:hAnsi="Times New Roman"/>
          <w:color w:val="000000" w:themeColor="text1"/>
          <w:sz w:val="16"/>
          <w:szCs w:val="16"/>
        </w:rPr>
        <w:softHyphen/>
        <w:t>мехозащищенностью от грозовых разрядов. Между тем она предъявляла очень высокие требования к качеству пластмассовых изоляторов - они должны были выдерживать не только высокую температуру при горении РЗ но и высокое давление в камере двигателя. Невероятно, но уже тогда отечественная промышленность располагала такими конструкционны</w:t>
      </w:r>
      <w:r w:rsidRPr="00A3026E">
        <w:rPr>
          <w:rFonts w:ascii="Times New Roman" w:hAnsi="Times New Roman"/>
          <w:color w:val="000000" w:themeColor="text1"/>
          <w:sz w:val="16"/>
          <w:szCs w:val="16"/>
        </w:rPr>
        <w:softHyphen/>
        <w:t>ми пластиками и керамикой!</w:t>
      </w:r>
    </w:p>
    <w:p w14:paraId="42C477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Двигатели снарядов этой модели снаряжали РЗ из пороха рецептуры Н-24/6-230 мм. Колосниковая диафрагма состояла из восьми стальных пластин толщиной 3 мм. БЧ и РЧ отделяло стальное дно, зафиксирован</w:t>
      </w:r>
      <w:r w:rsidRPr="00A3026E">
        <w:rPr>
          <w:rFonts w:ascii="Times New Roman" w:hAnsi="Times New Roman"/>
          <w:color w:val="000000" w:themeColor="text1"/>
          <w:sz w:val="16"/>
          <w:szCs w:val="16"/>
        </w:rPr>
        <w:softHyphen/>
        <w:t>ное в задней части корпуса БЧ. Воспламенялся РЗ от двух пороховых воспламенителей с навеской по 8 г ДРП в каждом. Сопловой воспламенитель располагался на колосниках в подводящей части сопла. Посколь</w:t>
      </w:r>
      <w:r w:rsidRPr="00A3026E">
        <w:rPr>
          <w:rFonts w:ascii="Times New Roman" w:hAnsi="Times New Roman"/>
          <w:color w:val="000000" w:themeColor="text1"/>
          <w:sz w:val="16"/>
          <w:szCs w:val="16"/>
        </w:rPr>
        <w:softHyphen/>
        <w:t>ку помешали его после запрессовки колосников, то пороховой картуз, свернутый трубочкой, приходилось проталкивать тонкой деревянной (Палочкой через сопло) (11402).</w:t>
      </w:r>
    </w:p>
    <w:p w14:paraId="061A8E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3C6A5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из доклада руководства НИИ-3 следовало, что в настоящее время к испытаниям готовы 200 штук РБС-82 (для провер</w:t>
      </w:r>
      <w:r w:rsidRPr="00A3026E">
        <w:rPr>
          <w:rFonts w:ascii="Times New Roman" w:hAnsi="Times New Roman"/>
          <w:color w:val="000000" w:themeColor="text1"/>
          <w:sz w:val="16"/>
          <w:szCs w:val="16"/>
        </w:rPr>
        <w:softHyphen/>
        <w:t>ти взрывателей АВ-96) с трехканальными пороховыми шашками. А но</w:t>
      </w:r>
      <w:r w:rsidRPr="00A3026E">
        <w:rPr>
          <w:rFonts w:ascii="Times New Roman" w:hAnsi="Times New Roman"/>
          <w:color w:val="000000" w:themeColor="text1"/>
          <w:sz w:val="16"/>
          <w:szCs w:val="16"/>
        </w:rPr>
        <w:softHyphen/>
        <w:t>вая контактная система РО-82, предложенная НИИ-3 для применения :РБС, уже готова, но не проверена. А для промышленного ее изготовле</w:t>
      </w:r>
      <w:r w:rsidRPr="00A3026E">
        <w:rPr>
          <w:rFonts w:ascii="Times New Roman" w:hAnsi="Times New Roman"/>
          <w:color w:val="000000" w:themeColor="text1"/>
          <w:sz w:val="16"/>
          <w:szCs w:val="16"/>
        </w:rPr>
        <w:softHyphen/>
        <w:t>ния потребуется всего лишь незначительная доработка штатных РО.</w:t>
      </w:r>
    </w:p>
    <w:p w14:paraId="36BEE0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Пусковые устройства для стрельбы РБС-82 полигонных испытаний не выдержали. Испытатели отметили, что ракетные орудия «быстро раз</w:t>
      </w:r>
      <w:r w:rsidRPr="00A3026E">
        <w:rPr>
          <w:rFonts w:ascii="Times New Roman" w:hAnsi="Times New Roman"/>
          <w:color w:val="000000" w:themeColor="text1"/>
          <w:sz w:val="16"/>
          <w:szCs w:val="16"/>
        </w:rPr>
        <w:softHyphen/>
        <w:t>балтываются и ненадежно обеспечивают контакт с пиросвечей». И хотя этот контакт чаше пропадал, если при установке пиросвечи в РБС-82 ее слишком сильно затягивали ключом, утапливая глубже положенного, сей факт наводил на мысль о необходимости дублировать систему зажи</w:t>
      </w:r>
      <w:r w:rsidRPr="00A3026E">
        <w:rPr>
          <w:rFonts w:ascii="Times New Roman" w:hAnsi="Times New Roman"/>
          <w:color w:val="000000" w:themeColor="text1"/>
          <w:sz w:val="16"/>
          <w:szCs w:val="16"/>
        </w:rPr>
        <w:softHyphen/>
        <w:t>гания подобно принятой у снарядов больших калибров. Кроме того, при почти вдвое более мошной энергетике двигателя боеприпаса, силы отдачи на ракетное орудие возросли значительно.</w:t>
      </w:r>
    </w:p>
    <w:p w14:paraId="53BA03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испытаний УРО Костиков без особого энтузиазма отчитывал</w:t>
      </w:r>
      <w:r w:rsidRPr="00A3026E">
        <w:rPr>
          <w:rFonts w:ascii="Times New Roman" w:hAnsi="Times New Roman"/>
          <w:color w:val="000000" w:themeColor="text1"/>
          <w:sz w:val="16"/>
          <w:szCs w:val="16"/>
        </w:rPr>
        <w:softHyphen/>
        <w:t>ся перед Ивановым: «Штатные пусковые без переделки можно исполь</w:t>
      </w:r>
      <w:r w:rsidRPr="00A3026E">
        <w:rPr>
          <w:rFonts w:ascii="Times New Roman" w:hAnsi="Times New Roman"/>
          <w:color w:val="000000" w:themeColor="text1"/>
          <w:sz w:val="16"/>
          <w:szCs w:val="16"/>
        </w:rPr>
        <w:softHyphen/>
        <w:t>зовать для РБС-82 с зажиганием только от пиропистолета, так как снаряд находится еще в стадии испытаний. Новая контактная система с двумя шинами, предложенная НИИ-3 для РБС-82, не проверена и требует незначительной переделки штатных пусковых и находится также и ста</w:t>
      </w:r>
      <w:r w:rsidRPr="00A3026E">
        <w:rPr>
          <w:rFonts w:ascii="Times New Roman" w:hAnsi="Times New Roman"/>
          <w:color w:val="000000" w:themeColor="text1"/>
          <w:sz w:val="16"/>
          <w:szCs w:val="16"/>
        </w:rPr>
        <w:softHyphen/>
        <w:t>дии проверки. Для системы зажигания РБС-82 от пиросвечи требуется новая конструкция пусковой». Хотя в рождении данной проблемы виноваты были оба поровну, более высокопоставленный дилетант всегда мог «отдать на съедение» своего подчиненного.</w:t>
      </w:r>
    </w:p>
    <w:p w14:paraId="222DC3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 не менее. РО-82 с воспламенением от пиропистолста в начале 1941 г. приняли на вооружение, а в войска было разослано техопиашие на него, составленное В.Г.Родионовым и отпечатанное в издательстве бюро новой техники НКАП при ЦАГИ (11402).</w:t>
      </w:r>
    </w:p>
    <w:p w14:paraId="50ACF4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тем пусковые для стрельбы РБС-132 не имели этих недостатков. На вооружение они поступили одновременно с РО-82 пол наименованием «универсально-ракетных орудий образца 1941 г. под 132-мм снаряд». Составителем этого техопи</w:t>
      </w:r>
      <w:r w:rsidRPr="00A3026E">
        <w:rPr>
          <w:rFonts w:ascii="Times New Roman" w:hAnsi="Times New Roman"/>
          <w:color w:val="000000" w:themeColor="text1"/>
          <w:sz w:val="16"/>
          <w:szCs w:val="16"/>
        </w:rPr>
        <w:softHyphen/>
        <w:t>сания, отпечатанного в той же типографии, был В.П.Паутов (11402).</w:t>
      </w:r>
    </w:p>
    <w:p w14:paraId="1625BB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090D25F" w14:textId="77777777" w:rsidR="00952C53" w:rsidRPr="00A3026E" w:rsidRDefault="00952C5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тиражом 150 экземпляров было выпущено Техническое описании № 3, посвященое лючкам, применяемым на тех же немецких самолетах. Ряд технических описаний в 1940—1941 гг. БНТ посвятил детальному описанию конструкции и агрегатов самолетов Хейнкель He-100 ((№№ 6, 12, 46, 64, 88) и Юнкерс Ju-88 (№№ 38, 41, 100) (19727).</w:t>
      </w:r>
    </w:p>
    <w:p w14:paraId="0EE35138" w14:textId="77777777" w:rsidR="00952C53" w:rsidRPr="00A3026E" w:rsidRDefault="00952C53" w:rsidP="00A3026E">
      <w:pPr>
        <w:spacing w:after="0" w:line="240" w:lineRule="auto"/>
        <w:jc w:val="both"/>
        <w:rPr>
          <w:rFonts w:ascii="Times New Roman" w:hAnsi="Times New Roman"/>
          <w:color w:val="000000" w:themeColor="text1"/>
          <w:sz w:val="16"/>
          <w:szCs w:val="16"/>
        </w:rPr>
      </w:pPr>
    </w:p>
    <w:p w14:paraId="41AF887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61417A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EB41A6B" w14:textId="77777777" w:rsidR="00473E70" w:rsidRPr="00A3026E" w:rsidRDefault="00473E70" w:rsidP="00A3026E">
      <w:pPr>
        <w:autoSpaceDE w:val="0"/>
        <w:autoSpaceDN w:val="0"/>
        <w:adjustRightInd w:val="0"/>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ноябре 1940 г. между заводом №7, УММВ ГАУ КА (в лице полковника Ф. Т. Борисова) и начальником I ГУ НКОП (в лице начальника Н. Э. Носовского) развернулась переписка, вызванная жалобой Ф. Т. Борисова на невыполнение заводом обязательств по ряду текущих работ. А. Д. Каллистратовым в ответ было направлено несколько докладных записок, в том числе на имя заместителя НКВ И. А. Мирзаханова, с подробным описанием состояния дел. В одной из них, адресованной Н. Э. Носовскому, директором предприятия указывалось на то, что «обращение с заводом со стороны руководства УММВ в последнее время стало не деловым, а в некоторых случаях даже оскорбительным». (20074).</w:t>
      </w:r>
    </w:p>
    <w:p w14:paraId="5E666C03" w14:textId="77777777" w:rsidR="00473E70" w:rsidRPr="00A3026E" w:rsidRDefault="00473E70" w:rsidP="00A3026E">
      <w:pPr>
        <w:autoSpaceDE w:val="0"/>
        <w:autoSpaceDN w:val="0"/>
        <w:adjustRightInd w:val="0"/>
        <w:spacing w:after="0" w:line="240" w:lineRule="auto"/>
        <w:jc w:val="both"/>
        <w:rPr>
          <w:rFonts w:ascii="Times New Roman" w:hAnsi="Times New Roman"/>
          <w:color w:val="0070C0"/>
          <w:sz w:val="16"/>
          <w:szCs w:val="16"/>
        </w:rPr>
      </w:pPr>
    </w:p>
    <w:p w14:paraId="4BDB24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на АНИОПе был испытан 179 выстрелами опытный образец 160-мм миномета 7-17, изготовленного заводом № 7 (3861).</w:t>
      </w:r>
    </w:p>
    <w:p w14:paraId="31103DA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71975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в АНИИ ВМС был закончен проект 152-мм береговой подвижной установки Н-3 (главный конструктор Розанов). В качестве качающейся части системы была взята люлька от гаубицы Б-4 и ствол от 152-мм пушки Бр-19. Это был первый проект подвижной установки на колесном лафете-повозке, в котором не было тяжелого и громоздкого возимого основания, и не требовалось отрывать большого котлована и производить другие земляные работы на боевой позиции. Подвижные береговые установки на лафетах-повозках были спроектированы под влиянием лафетов-повозок тяжелых зенитных орудий и внешне были очень похожи на них. Лафет Н-3 представлял собой крестообразную платформу с четырьмя упорами по концам станин. На платформе вращался верхний станок, что обеспечивало круговой угол обстрела. Впервые система получила двойной откат, то есть ствол откатывался по люльке, верхний станок по нижнему станку. Соответственно, система имела две группы противооткатных устройств. Приводы наведения только ручные, как впрочем и все остальные действия при установке. Перевозка системы могла быть как раздельной, так и вместе со стволом. Впервые все повозки имели пружинное подрессоривание, что увеличивало скорость передвижения. Колеса повозок автомобильные от грузовика ЯГ-6, клиренс 450 мм. Качающаяся часть от Бр-19 изменений не претерпела. Заряжание по-прежнему было ручным, без применения механического досылателя. Проект Н-3 реализован не был. Отчасти это было связано с нежеланием АУ ВМФ связываться с сухопутной качающейся частью Бр-19, когда уже были начаты испытания 152-мм морской пушки Б-38 (3861).</w:t>
      </w:r>
    </w:p>
    <w:p w14:paraId="06B2F1D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9F468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в СКБ-2 ЛКЗ было создано подвижное пулеметное гнездо ППГ по заказу войск, воевавших на Карельском перешейке. Хотели изготовить 5, но сделали одну опытную (9527,258).</w:t>
      </w:r>
    </w:p>
    <w:p w14:paraId="5052F9D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A4878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на Гороховецком полигоне были проведены первые испытания 76-мм танковой пушки Ф-34 на Т-34. На вооружение пушка Ф-34 была принята под названием "76-мм танковая пушка обр. 1940 г.". Ф-34 устанавливалась в серийных танках Т-34, бронепоездах и бронекатерах. Кроме того, пушкой Ф-34 был вооружен опытный танк КВ-3. Серийное производство Ф-34 велось с 1940 года по 1942 год: 1940 год - 50; 1941 год - 3470; 1942 год - 14307; 1943 год - 17161; 1944 год - 3592. Всего было изготовлено 38580 пушек Ф-34. Серийное производство ЗИС-5 велось с 1941 года по 1943 год: в 1941 году - 544; 1942 год - 2476; 1943 год - 557. Всего было изготовлено 3577 пушек ЗИС-5 (3861).</w:t>
      </w:r>
    </w:p>
    <w:p w14:paraId="6947028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43824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пушка Ф-34 была установлена в опытный Т-34 и успешно прошла испытания (9527,24).</w:t>
      </w:r>
    </w:p>
    <w:p w14:paraId="58D44C3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37DFD47"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коллективу завода № 183 вместо 120 запланированных танков Т-34 удалось сдать военной приемке ГАБТУ КА только 38 машин, что составило всего 31,7 % от месячного плана (18206)..</w:t>
      </w:r>
    </w:p>
    <w:p w14:paraId="736A7850" w14:textId="77777777" w:rsidR="000A14F2" w:rsidRPr="00A3026E" w:rsidRDefault="000A14F2" w:rsidP="00A3026E">
      <w:pPr>
        <w:spacing w:after="0" w:line="240" w:lineRule="auto"/>
        <w:jc w:val="both"/>
        <w:rPr>
          <w:rFonts w:ascii="Times New Roman" w:hAnsi="Times New Roman"/>
          <w:color w:val="000000" w:themeColor="text1"/>
          <w:sz w:val="16"/>
          <w:szCs w:val="16"/>
        </w:rPr>
      </w:pPr>
    </w:p>
    <w:p w14:paraId="56968800"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несмотря на то, что в ноябре 1940 г. качество выпускаемых танков Т-34 было еще далеко от требуемого, и завод № 183 не достиг необходимых темпов их производства, в очередной раз не выполнив месячный план, нельзя не отметить и позитивных моментов в работе харьковчан. С завода № 183 была осуществлена первая отправка крупной партии новых боевых машин для танковых войск Красной Армии. В конце месяца 30 полностью укомплектованных и заправленных ГСМ танков Т-34 железнодорожным транспортом были направлены во Львов, где вошли в состав 15-го и 16-го танковых полков 8-й танковой дивизии 4-го механизированного корпуса. Кроме указанных 30 машин, в ноябре 1940 г. с завода № 183 было отгружено еще пять танков Т-34. Три машины были отправлены в Ленинградский военный округ, две из них на Краснознаменные бронетанковые курсы усовершенствования командного состава КА (ЛКБТКУКС). По одной «тридцатьчетверке» получили Харьковское бронетанковое училище им. Сталина и Орловское бронетанковое училище им. Фрунзе. </w:t>
      </w:r>
    </w:p>
    <w:p w14:paraId="67EC5A6A"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Также к позитивным моментам можно отнести начало совместной работы сотрудников корпусного отдела «700» и специалистов НИИ-48, прибывших на завод № 183 из Ленинграда для оказания технической помощи в борьбе с трещинами, возникавшими в броневых деталях танков Т-34 при их сварке. </w:t>
      </w:r>
    </w:p>
    <w:p w14:paraId="71557C5B"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Прежде всего, нужно пояснить, что собой представляли образовывавшиеся в процессе сварки «трещины», а точнее и правильнее сказать – надрывы. Под надрывами в данном случае понимались несквозные трещины, в большинстве случаев длиной не более 30 мм и глубиной до 1/3 толщины детали, возникавшие преимущественно по краям броневых деталей из-за несовершенной технологии сварки. </w:t>
      </w:r>
    </w:p>
    <w:p w14:paraId="7790A5D1"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сварка деталей из противоснарядной брони для отечественной промышленности в 1940 г. было делом новым и неосвоенным в массовом производстве. До этого основным типом соединения броневых деталей большой толщины (от 25 мм и более) являлось соединение их с помощью гужонов и заклепок. В 1940 г. завод № 183 фактически выступал флагманом в освоении применения сварки в массовом производстве корпусов и башен, обладавших противоснарядной броневой защитой. </w:t>
      </w:r>
    </w:p>
    <w:p w14:paraId="03363F63"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Изначально при изготовлении корпусов и башен танка Т-34 на заводе № 183 применялась ручная дуговая сварка на переменном токе, преимущественно электродами марки «МД». При этом при сварке броневых деталей толщиной 40 – 45 мм использовался метод предварительной наплавки кромок, применявшийся также и для сварки деталей из чугуна. Согласно этому методу на кромки свариваемых броневых деталей сначала наплавлялся слой металла – валики длинной 50 – 60 мм. После того как валики остывали, сварка деталей производилась уже не по броне, а по наплавленному металлу. В отчете «История танкостроения на Уральском танковом заводе № 183 им. Сталина» об использовании в 1940 г. этой технологии для сварки броневых деталей танка Т-34 было написано: </w:t>
      </w:r>
    </w:p>
    <w:p w14:paraId="532A6133"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«Применение этого принципа на каленных бронелистах, принимающих в зонах смежных со швом воздушную закалку, рискованно. Однако этот путь был принят. Авторы этого мероприятия ожидали: </w:t>
      </w:r>
    </w:p>
    <w:p w14:paraId="1BDFD020"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 Уменьшения внутренних напряжений и получения свободной усадки отдельных деталей. </w:t>
      </w:r>
    </w:p>
    <w:p w14:paraId="744029FF"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Производства в дальнейшем сварки не по броне, а по предварительно наложенному шву детали. </w:t>
      </w:r>
    </w:p>
    <w:p w14:paraId="5C981BB0"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Уменьшения объема наплавленного металла и сокращения цикла сварочных работ на стендах. </w:t>
      </w:r>
    </w:p>
    <w:p w14:paraId="526B191C"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Практика сварки на протяжении нескольких месяцев с применением предварительных наплавок на бронедеталях показала резко отрицательные результаты. Количество трещин было велико, при этом они обнаруживались на деталях до общей сварки комплектов. Объяснение этому явлению нужно искать в следующем: предварительная наплавка производилась на горизонтальной плоскости, на холодной бронедетали. </w:t>
      </w:r>
    </w:p>
    <w:p w14:paraId="71AF2FC5"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Наплавленный металл расширен до предела, а после остывания стремится принять первоначальные размеры за счет усадки. Усаживаясь, шов прогибает бронедеталь, ибо она не удлинилась от нагрева сварного металла».</w:t>
      </w:r>
    </w:p>
    <w:p w14:paraId="68C88848"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[РГАЭ Ф. 8798. Оп. 4. Д. 16. Л. 97 – 99] (18206).</w:t>
      </w:r>
    </w:p>
    <w:p w14:paraId="70212BC3" w14:textId="77777777" w:rsidR="000A14F2" w:rsidRPr="00A3026E" w:rsidRDefault="000A14F2" w:rsidP="00A3026E">
      <w:pPr>
        <w:spacing w:after="0" w:line="240" w:lineRule="auto"/>
        <w:jc w:val="both"/>
        <w:rPr>
          <w:rFonts w:ascii="Times New Roman" w:hAnsi="Times New Roman"/>
          <w:color w:val="000000" w:themeColor="text1"/>
          <w:sz w:val="16"/>
          <w:szCs w:val="16"/>
        </w:rPr>
      </w:pPr>
    </w:p>
    <w:p w14:paraId="4398D079"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w:t>
      </w:r>
    </w:p>
    <w:p w14:paraId="58829CE1"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w:t>
      </w:r>
      <w:hyperlink r:id="rId127" w:tgtFrame="_blank" w:history="1">
        <w:r w:rsidRPr="00A3026E">
          <w:rPr>
            <w:rStyle w:val="a5"/>
            <w:rFonts w:ascii="Times New Roman" w:hAnsi="Times New Roman"/>
            <w:color w:val="000000" w:themeColor="text1"/>
            <w:sz w:val="16"/>
            <w:szCs w:val="16"/>
          </w:rPr>
          <w:t>оперативной сводки № 697с</w:t>
        </w:r>
      </w:hyperlink>
      <w:r w:rsidRPr="00A3026E">
        <w:rPr>
          <w:rFonts w:ascii="Times New Roman" w:hAnsi="Times New Roman"/>
          <w:color w:val="000000" w:themeColor="text1"/>
          <w:sz w:val="16"/>
          <w:szCs w:val="16"/>
        </w:rPr>
        <w:t> по заводу № 183 за ноябрь 1940 г.: </w:t>
      </w:r>
    </w:p>
    <w:p w14:paraId="25C9454C"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Кроме принятых [с начала производства] 83 машин, имеется в заделе: </w:t>
      </w:r>
    </w:p>
    <w:p w14:paraId="35743B1E"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Под окраской и окончательной укомплектовкой – 5 машин. </w:t>
      </w:r>
    </w:p>
    <w:p w14:paraId="470CC4D1"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Принято ОТК под окраску, но не предъявлены приемке ГАБТУ КА из-за отсутствия гусениц – 5 машин. </w:t>
      </w:r>
    </w:p>
    <w:p w14:paraId="4FE75460"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Испытано пробегом, установлено и сдано АУ КА вооруж. – 6 машин. </w:t>
      </w:r>
    </w:p>
    <w:p w14:paraId="789CC788"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Испытано пробегом, находится под установкой вооружения – 8 машин. </w:t>
      </w:r>
    </w:p>
    <w:p w14:paraId="319F9263"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Испытано пробегом, находится на подготовке к монтажу вооружения – 18 машин. </w:t>
      </w:r>
    </w:p>
    <w:p w14:paraId="51BF9BAF"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Испытано заводским пробегом на подготовке к большому пробегу – 3 машины. </w:t>
      </w:r>
    </w:p>
    <w:p w14:paraId="3EC4597F"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Собрано, но не испытывается пробегом из-за отсутствия башен – 34 машины. </w:t>
      </w:r>
    </w:p>
    <w:p w14:paraId="0DAA3D93"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В стадии сборки на конвейере – 11 машин. </w:t>
      </w:r>
    </w:p>
    <w:p w14:paraId="5708DB1C"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заделе: 90 машин </w:t>
      </w:r>
    </w:p>
    <w:p w14:paraId="09CAAF8B"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Обеспеченность по бронедеталям, корпусам и башням от начала производства: </w:t>
      </w:r>
    </w:p>
    <w:p w14:paraId="3FBD3054"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Получено бронедеталей корпуса с завода им. "Ильича" – 307 комплект. </w:t>
      </w:r>
    </w:p>
    <w:p w14:paraId="57F3CF45"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Получено бронедеталей башни с завода им. "Ильича" – 246 комплект. </w:t>
      </w:r>
    </w:p>
    <w:p w14:paraId="3F637238"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Собрано корпусов – 202. </w:t>
      </w:r>
    </w:p>
    <w:p w14:paraId="65219440"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Собрано башен – 160. </w:t>
      </w:r>
    </w:p>
    <w:p w14:paraId="54414725"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В заделе в разных стадиях корпусов – 44. </w:t>
      </w:r>
    </w:p>
    <w:p w14:paraId="675345DC"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В заделе в разных стадиях башен – 38. </w:t>
      </w:r>
    </w:p>
    <w:p w14:paraId="00ABE696"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числа собранных передано заводу "СТЗ": корпусов – 24, башен – 24».</w:t>
      </w:r>
    </w:p>
    <w:p w14:paraId="5DB9BDEA"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32. Л. 151 об.]</w:t>
      </w:r>
    </w:p>
    <w:p w14:paraId="39B7A768"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следует из этой же оперативной сводки, основными причинами, тормозившими сборку и окончательную сдачу танков Т-34 военной приемке в ноябре 1940 г. были: </w:t>
      </w:r>
    </w:p>
    <w:p w14:paraId="559E0736"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отделе "700" вследствие реконструкции цехов, не полного оснащения и поступления бронедеталей от з-да "ИЛЬИЧА" с отступлением от чертежей, цикл изготовления корпуса и башни не сокращается, и кроме того корпуса и башни подаются в сборочные цеха с отступлениями. </w:t>
      </w:r>
    </w:p>
    <w:p w14:paraId="2A8798EE"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 конвейере отсутствуют башни, не своевременно обеспечены переделки корпусов под рацию, не подача балансиров из-за отсутствия заготовок, подача дефектных радиаторов завода "ЗИС", брак картеров поворотного механизма по литейным порокам, обнаруживаемых при механической обработке (поставщик СТЗ) и т.д. </w:t>
      </w:r>
    </w:p>
    <w:p w14:paraId="2F02B509"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 сдаточному цеху большие подгоночные работы по амбразуре башни (ввиду отступления на заводе "ИЛЬИЧА"), отсутствие гусеницы, отсутствие шпор, дефекты по коробке передач и главному фрикциону, вызывающие повторные контрольные пробеги».</w:t>
      </w:r>
    </w:p>
    <w:p w14:paraId="15E7D431"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32. Л. 151 об.]</w:t>
      </w:r>
    </w:p>
    <w:p w14:paraId="79C41EEF"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ноябре 1940 г. на военпредовские испытания большим пробегом было предъявлено 34 танка Т-34, из них 25 машин собранных в ноябре и 9 машин октябрьской сборки, предъявленные на испытания вторично. При этом из 25 танков Т-34 ноябрьской сборки с первого пробега было принято 22 машины, со второго пробега 2 машины и один танк после двух пробегов так и не был принят. Кроме этого из общего количества предъявленных к испытаниям танков, 9 машин было дополнительно испытано контрольными пробегами. Повторными и контрольными пробегами танки испытывались в основном по окончательно не изжитым дефектам коробки передач, таким как заедание каретки 3 – 4 передачи на шлицах главного вала и сколы цементационного слоя металла на зубьях цилиндрических шестерен. </w:t>
      </w:r>
    </w:p>
    <w:p w14:paraId="73E3AD6F" w14:textId="77777777" w:rsidR="000A14F2" w:rsidRPr="00A3026E" w:rsidRDefault="000A14F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замена материала главного вала коробки передач на сталь марки 18ХНВА полностью не исключила заеданий подвижных шестерен. Для окончательного устранения этого дефекта во второй половине ноября был изменен режим термообработки ступиц шестерен, а для обеспечения лучшего переключения передач в конструкцию главного фрикциона были внесены изменения – отменен сальник на ведомом барабане и введено отражательное кольцо (18206).</w:t>
      </w:r>
    </w:p>
    <w:p w14:paraId="008169D9" w14:textId="77777777" w:rsidR="000A14F2" w:rsidRPr="00A3026E" w:rsidRDefault="000A14F2" w:rsidP="00A3026E">
      <w:pPr>
        <w:spacing w:after="0" w:line="240" w:lineRule="auto"/>
        <w:jc w:val="both"/>
        <w:rPr>
          <w:rFonts w:ascii="Times New Roman" w:hAnsi="Times New Roman"/>
          <w:color w:val="000000" w:themeColor="text1"/>
          <w:sz w:val="16"/>
          <w:szCs w:val="16"/>
        </w:rPr>
      </w:pPr>
    </w:p>
    <w:p w14:paraId="7FC65A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ноября 1940 года на бортах Т-34 появилась укладка четырех (по два на борт) дополнительных топливных баков емкостью 33,5 л каждый. Они фиксировались кожаными ремнями к специально приваренным кронштейнам. Кроме того, изменилась укладка наружного ЗИПа - введено крепление двух домкратов и изменено крепление брезента.</w:t>
      </w:r>
    </w:p>
    <w:p w14:paraId="778376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производство танков Т-34 на заводе № 183 было следующим: «По Т-34.</w:t>
      </w:r>
    </w:p>
    <w:p w14:paraId="0967A2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 Ноябре с.г. предъявлено на испытания большим пробегом 34 машины, из них:</w:t>
      </w:r>
    </w:p>
    <w:p w14:paraId="67DDEA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Ноябрьской сборки 25 машин и Октябрьской сборки предъявлено вторично 9 машин. Из числа 25 Ноябрьских машин принято с одного пробега 22, со второго пробега 2 маш. 1 не принята, требует повторный пробег. Кроме этого, из общего количества предъявленных испытано контрольным пробегом 9 машин.</w:t>
      </w:r>
    </w:p>
    <w:p w14:paraId="476E31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Повторными и контрольными пробегами машины испытывались в основном по дефектам коробки передач как то:</w:t>
      </w:r>
    </w:p>
    <w:p w14:paraId="696C90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rPr>
        <w:tab/>
        <w:t>Заедание подвижных шестерен на шлицах валов;</w:t>
      </w:r>
    </w:p>
    <w:p w14:paraId="04DD2D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Сколы цементационного</w:t>
      </w:r>
    </w:p>
    <w:p w14:paraId="343347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слоя на зубьях шестерен.</w:t>
      </w:r>
    </w:p>
    <w:p w14:paraId="2E5B0D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Замена материала главного вала не</w:t>
      </w:r>
    </w:p>
    <w:p w14:paraId="76309F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исключила окончательно появление заеданий подвижных шестерен КПП. В настоящее время изменен режим термообработки ступицы шестерен при котором, по мнению металлурга, заедание прекратится (результаты этого изменения в пробеге достаточно не проверены).</w:t>
      </w:r>
    </w:p>
    <w:p w14:paraId="42658E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лучшего переключения передач, в гл. фрикционе отменен стопор на ведомом барабане и введено отражательное кольцо, что значительно улучшило переключении передач. Окончательно може: быть решен вопрос по этим дефектам, конструктивным изменением главного фрикциона и коробки передач.</w:t>
      </w:r>
    </w:p>
    <w:p w14:paraId="4D236F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Кроме принятых 83 машин имеется в заделе:</w:t>
      </w:r>
    </w:p>
    <w:p w14:paraId="636996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rPr>
        <w:tab/>
        <w:t>Под окраской и окончательной укомплектовкой — 5 машин;</w:t>
      </w:r>
    </w:p>
    <w:p w14:paraId="64BCC1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Принято ОТК под окраску, но не предъявлено приемке ГАБТУ КА из-за отсутствия гусениц - 5 машин.</w:t>
      </w:r>
    </w:p>
    <w:p w14:paraId="386A0F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Испытано пробегом, установлено и сдано АУ КА вооруженных - 6 машин;</w:t>
      </w:r>
    </w:p>
    <w:p w14:paraId="57F1BF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w:t>
      </w:r>
      <w:r w:rsidRPr="00A3026E">
        <w:rPr>
          <w:rFonts w:ascii="Times New Roman" w:hAnsi="Times New Roman"/>
          <w:color w:val="000000" w:themeColor="text1"/>
          <w:sz w:val="16"/>
          <w:szCs w:val="16"/>
        </w:rPr>
        <w:tab/>
        <w:t>Испытано пробегом, находите» под установкой вооружения - 8 машин;</w:t>
      </w:r>
    </w:p>
    <w:p w14:paraId="7059F6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w:t>
      </w:r>
      <w:r w:rsidRPr="00A3026E">
        <w:rPr>
          <w:rFonts w:ascii="Times New Roman" w:hAnsi="Times New Roman"/>
          <w:color w:val="000000" w:themeColor="text1"/>
          <w:sz w:val="16"/>
          <w:szCs w:val="16"/>
        </w:rPr>
        <w:tab/>
        <w:t>Испытано заводским пробегам. находится на подготовке к монтажу вооружения — 18 машин;</w:t>
      </w:r>
    </w:p>
    <w:p w14:paraId="464C7A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w:t>
      </w:r>
      <w:r w:rsidRPr="00A3026E">
        <w:rPr>
          <w:rFonts w:ascii="Times New Roman" w:hAnsi="Times New Roman"/>
          <w:color w:val="000000" w:themeColor="text1"/>
          <w:sz w:val="16"/>
          <w:szCs w:val="16"/>
        </w:rPr>
        <w:tab/>
        <w:t>Испытано заводским пробегав на подготовке к большому пробег» — 3 машины;</w:t>
      </w:r>
    </w:p>
    <w:p w14:paraId="7EFA62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w:t>
      </w:r>
      <w:r w:rsidRPr="00A3026E">
        <w:rPr>
          <w:rFonts w:ascii="Times New Roman" w:hAnsi="Times New Roman"/>
          <w:color w:val="000000" w:themeColor="text1"/>
          <w:sz w:val="16"/>
          <w:szCs w:val="16"/>
        </w:rPr>
        <w:tab/>
        <w:t>Собрано, но не испытывается пробегом из-за отсутствия башен — 34 машины;</w:t>
      </w:r>
    </w:p>
    <w:p w14:paraId="669382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w:t>
      </w:r>
      <w:r w:rsidRPr="00A3026E">
        <w:rPr>
          <w:rFonts w:ascii="Times New Roman" w:hAnsi="Times New Roman"/>
          <w:color w:val="000000" w:themeColor="text1"/>
          <w:sz w:val="16"/>
          <w:szCs w:val="16"/>
        </w:rPr>
        <w:tab/>
        <w:t>В стадии сборки на конвейере— 11 машин.</w:t>
      </w:r>
    </w:p>
    <w:p w14:paraId="43FD76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ЗАДЕЛЕ: 90 машин.</w:t>
      </w:r>
    </w:p>
    <w:p w14:paraId="6DB49C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Обеспеченность по бронедета- лям, корпусам и башням от начала производства:</w:t>
      </w:r>
    </w:p>
    <w:p w14:paraId="44EB35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а)_</w:t>
      </w:r>
      <w:r w:rsidRPr="00A3026E">
        <w:rPr>
          <w:rFonts w:ascii="Times New Roman" w:hAnsi="Times New Roman"/>
          <w:color w:val="000000" w:themeColor="text1"/>
          <w:sz w:val="16"/>
          <w:szCs w:val="16"/>
        </w:rPr>
        <w:tab/>
        <w:t>Палучено бронедеталей корпуса с з-да им. «Ильича» - 307 комплектов.</w:t>
      </w:r>
    </w:p>
    <w:p w14:paraId="0E8344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Палучено бронедеталей башни с з-да им. «Ильича» - 246 комплектов.</w:t>
      </w:r>
    </w:p>
    <w:p w14:paraId="5CE55D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Собрано корпусов - 202 комплекта.</w:t>
      </w:r>
    </w:p>
    <w:p w14:paraId="66409E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w:t>
      </w:r>
      <w:r w:rsidRPr="00A3026E">
        <w:rPr>
          <w:rFonts w:ascii="Times New Roman" w:hAnsi="Times New Roman"/>
          <w:color w:val="000000" w:themeColor="text1"/>
          <w:sz w:val="16"/>
          <w:szCs w:val="16"/>
        </w:rPr>
        <w:tab/>
        <w:t>Собрано башен - 160 комплектов.</w:t>
      </w:r>
    </w:p>
    <w:p w14:paraId="58149F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w:t>
      </w:r>
      <w:r w:rsidRPr="00A3026E">
        <w:rPr>
          <w:rFonts w:ascii="Times New Roman" w:hAnsi="Times New Roman"/>
          <w:color w:val="000000" w:themeColor="text1"/>
          <w:sz w:val="16"/>
          <w:szCs w:val="16"/>
        </w:rPr>
        <w:tab/>
        <w:t>В заделе в разных стадиях корпусов - 44 комплекта;</w:t>
      </w:r>
    </w:p>
    <w:p w14:paraId="2A3F87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w:t>
      </w:r>
      <w:r w:rsidRPr="00A3026E">
        <w:rPr>
          <w:rFonts w:ascii="Times New Roman" w:hAnsi="Times New Roman"/>
          <w:color w:val="000000" w:themeColor="text1"/>
          <w:sz w:val="16"/>
          <w:szCs w:val="16"/>
        </w:rPr>
        <w:tab/>
        <w:t>В заделе в разных стадиях ба- щен — 38 комплектов;</w:t>
      </w:r>
    </w:p>
    <w:p w14:paraId="622E81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числа собранных передано заводу СТЗ.</w:t>
      </w:r>
    </w:p>
    <w:p w14:paraId="2D2082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Корпусов - 24;</w:t>
      </w:r>
    </w:p>
    <w:p w14:paraId="5332F9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Башен - 24.</w:t>
      </w:r>
    </w:p>
    <w:p w14:paraId="65A5C1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 начала Декабря по указанию Наркомата Среднего Машиностроения корпуса и башни будут отправляться на завод СТЗ, что может привести к остановке конвейера.</w:t>
      </w:r>
    </w:p>
    <w:p w14:paraId="22F692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Состояние не отправленных машин.</w:t>
      </w:r>
    </w:p>
    <w:p w14:paraId="686004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Принято всего - 83, отправлено 45.</w:t>
      </w:r>
    </w:p>
    <w:p w14:paraId="46A542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числа оставшихся на заводе:</w:t>
      </w:r>
    </w:p>
    <w:p w14:paraId="4CFFB4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rPr>
        <w:tab/>
        <w:t>Окончательно принято и запломбировано в ожидании транспорта - 27;</w:t>
      </w:r>
    </w:p>
    <w:p w14:paraId="08B75F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Сдано под окраску - 4;</w:t>
      </w:r>
    </w:p>
    <w:p w14:paraId="7DD5AE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В стадии установки и сдачи вооружения - 6;</w:t>
      </w:r>
    </w:p>
    <w:p w14:paraId="099F90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w:t>
      </w:r>
      <w:r w:rsidRPr="00A3026E">
        <w:rPr>
          <w:rFonts w:ascii="Times New Roman" w:hAnsi="Times New Roman"/>
          <w:color w:val="000000" w:themeColor="text1"/>
          <w:sz w:val="16"/>
          <w:szCs w:val="16"/>
        </w:rPr>
        <w:tab/>
        <w:t>На модернизации после возвращения из ЛВО от Начальника Инженерной службы - 1.</w:t>
      </w:r>
    </w:p>
    <w:p w14:paraId="498276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Все 11 машин ранее оплачены без вооружения.</w:t>
      </w:r>
    </w:p>
    <w:p w14:paraId="2D1122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Состояние по вооружению и оптике:</w:t>
      </w:r>
    </w:p>
    <w:p w14:paraId="056352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A. Система Л-11.</w:t>
      </w:r>
    </w:p>
    <w:p w14:paraId="4E6843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rPr>
        <w:tab/>
        <w:t>Всего получено на завод - 160;</w:t>
      </w:r>
    </w:p>
    <w:p w14:paraId="11052C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Отправлено - 39;</w:t>
      </w:r>
    </w:p>
    <w:p w14:paraId="0E7AEB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Остаток на заводе - 121, из них:</w:t>
      </w:r>
    </w:p>
    <w:p w14:paraId="1CA644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w:t>
      </w:r>
      <w:r w:rsidRPr="00A3026E">
        <w:rPr>
          <w:rFonts w:ascii="Times New Roman" w:hAnsi="Times New Roman"/>
          <w:color w:val="000000" w:themeColor="text1"/>
          <w:sz w:val="16"/>
          <w:szCs w:val="16"/>
        </w:rPr>
        <w:tab/>
        <w:t>Принято на машинах - 45;</w:t>
      </w:r>
    </w:p>
    <w:p w14:paraId="319570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w:t>
      </w:r>
      <w:r w:rsidRPr="00A3026E">
        <w:rPr>
          <w:rFonts w:ascii="Times New Roman" w:hAnsi="Times New Roman"/>
          <w:color w:val="000000" w:themeColor="text1"/>
          <w:sz w:val="16"/>
          <w:szCs w:val="16"/>
        </w:rPr>
        <w:tab/>
        <w:t>На монтаже в машину -21;</w:t>
      </w:r>
    </w:p>
    <w:p w14:paraId="4D0593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w:t>
      </w:r>
      <w:r w:rsidRPr="00A3026E">
        <w:rPr>
          <w:rFonts w:ascii="Times New Roman" w:hAnsi="Times New Roman"/>
          <w:color w:val="000000" w:themeColor="text1"/>
          <w:sz w:val="16"/>
          <w:szCs w:val="16"/>
        </w:rPr>
        <w:tab/>
        <w:t>'В цехах на подготовке к монтажу- 15;</w:t>
      </w:r>
    </w:p>
    <w:p w14:paraId="69E75B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w:t>
      </w:r>
      <w:r w:rsidRPr="00A3026E">
        <w:rPr>
          <w:rFonts w:ascii="Times New Roman" w:hAnsi="Times New Roman"/>
          <w:color w:val="000000" w:themeColor="text1"/>
          <w:sz w:val="16"/>
          <w:szCs w:val="16"/>
        </w:rPr>
        <w:tab/>
        <w:t>На складе завода - 40.</w:t>
      </w:r>
    </w:p>
    <w:p w14:paraId="6B9CC8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Ножные спуски:</w:t>
      </w:r>
    </w:p>
    <w:p w14:paraId="78D155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rPr>
        <w:tab/>
        <w:t>Всего получено на завод — 327;</w:t>
      </w:r>
    </w:p>
    <w:p w14:paraId="11C2D8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Отправлено на машинах - 43;</w:t>
      </w:r>
    </w:p>
    <w:p w14:paraId="7AEFB2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В работе в цехах завода - 88;</w:t>
      </w:r>
    </w:p>
    <w:p w14:paraId="58AB0C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w:t>
      </w:r>
      <w:r w:rsidRPr="00A3026E">
        <w:rPr>
          <w:rFonts w:ascii="Times New Roman" w:hAnsi="Times New Roman"/>
          <w:color w:val="000000" w:themeColor="text1"/>
          <w:sz w:val="16"/>
          <w:szCs w:val="16"/>
        </w:rPr>
        <w:tab/>
        <w:t>На складе завода - 196.</w:t>
      </w:r>
    </w:p>
    <w:p w14:paraId="351A0C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B. Оптические приборы ПТ-6 и ТОД-6.</w:t>
      </w:r>
    </w:p>
    <w:p w14:paraId="4367E2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rPr>
        <w:tab/>
        <w:t>Всего получено на завод - 93 комплекта;</w:t>
      </w:r>
    </w:p>
    <w:p w14:paraId="036E6C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Отправлено с машинами - 43 комплекта;</w:t>
      </w:r>
    </w:p>
    <w:p w14:paraId="3E48D3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Установлено на машины - 50 комплектов;</w:t>
      </w:r>
    </w:p>
    <w:p w14:paraId="0AF3CA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дальнейшей установки на готовые уже машины приборов нет.</w:t>
      </w:r>
    </w:p>
    <w:p w14:paraId="459A50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Основные причины, влияющие на сборку и окончательную сдачу машин.</w:t>
      </w:r>
    </w:p>
    <w:p w14:paraId="4BFFBB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отделе 700 вследствие реконструкции цехов, не полного оснащения и поступления бронедеталей от завода «Ильича» с отступлением от чертежей, цикл изготовления корпуса и башни не сокращается, и кроме того, корпуса и башни подаются в сборочные цеха с отступлениями.</w:t>
      </w:r>
    </w:p>
    <w:p w14:paraId="2CDA56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На конвейере отсутствуют башни, не своевременно обеспечены переделки корпусов под рацию, нет подачи балансиров из-за отсутствия заготовок, подача дефектных радиаторов с завода ЗИС, брак картеров поворотного механизма по литейным порокам обнаруживается при механической обработке (поставщик СТЗ) и т.д.</w:t>
      </w:r>
    </w:p>
    <w:p w14:paraId="4F377A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По сдаточному цеху большие подгоночные работы по амбразуре башни (ввиду отступления на заводе «Ильича»), отсутствие гусеницы, отсутствие шпор, дефекты по коробке передач и главному фрикциону, вызывающие повторные контрольные пробеги.</w:t>
      </w:r>
    </w:p>
    <w:p w14:paraId="1E5F7B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Сводку составил: военпред АБТУ КА капитан /Русаков/.</w:t>
      </w:r>
    </w:p>
    <w:p w14:paraId="5019DB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Сводку проверил: районный инженер АБТУ КА военинженер 2 ранга /Козырев/» (12217).</w:t>
      </w:r>
    </w:p>
    <w:p w14:paraId="0AF709B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23CEE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Ноябрь 1940 улучшил настроение танкостроителей. Была принята первая литая башня с толщиной стенок 52 мм (что соответствовало 45-мм катаной брони марки ИЗ), производ</w:t>
      </w:r>
      <w:r w:rsidRPr="00A3026E">
        <w:rPr>
          <w:rFonts w:ascii="Times New Roman" w:hAnsi="Times New Roman"/>
          <w:color w:val="000000" w:themeColor="text1"/>
          <w:sz w:val="16"/>
          <w:szCs w:val="16"/>
        </w:rPr>
        <w:softHyphen/>
        <w:t>ство которой было санкционировано постановлением КО от 19 октября, и начиная с 1941 г. такие башни вводились на оснащение танка вместо сварных. В течение месяца были отгружены армии 35 танков. СТЗ смог отгрузить к концу но</w:t>
      </w:r>
      <w:r w:rsidRPr="00A3026E">
        <w:rPr>
          <w:rFonts w:ascii="Times New Roman" w:hAnsi="Times New Roman"/>
          <w:color w:val="000000" w:themeColor="text1"/>
          <w:sz w:val="16"/>
          <w:szCs w:val="16"/>
        </w:rPr>
        <w:softHyphen/>
        <w:t>ября первые два Т-34, которые прошли заводскую обкатку (10782).</w:t>
      </w:r>
    </w:p>
    <w:p w14:paraId="36976F3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A9321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завод № 183 собрал первые машины с литыми башнями. Всего до 1 января 1941 года из Мариуполя в Харьков отгрузили 149 литых башен (12217).</w:t>
      </w:r>
    </w:p>
    <w:p w14:paraId="2978D0A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AE9E7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завод № 183 отправил первые 30 машин Т-34 (сентябрьского выпуска) в КОВО и попали в 8 ТД 4 Мехкорпуса. Один - отправили в Москву в ВАММ. Остапвшиеся три №№ 608-01, 457-29 и 423-41 сентябрьского выпуска приняли участие в марафонском пробеге Харьклов-Москва-Смоленск-Гомель-Киев-Полтава-Харьков и за 14 дней прошли 2700 км. Скорость 22.3 км/час. Двигатели отработали по 120 час. И один перед Харьковом вышел из строя. Ломались. Дважды меняли гусеницы (4829, 26).</w:t>
      </w:r>
    </w:p>
    <w:p w14:paraId="1A57300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DB0FC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ноябре 1940 согласно Оперативной сводке по заводу № 183:</w:t>
      </w:r>
    </w:p>
    <w:p w14:paraId="77F83F5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С начала года надлежало поставить 375 машин, в ноябре – 120 машин. Поставлено с начала года 83 машины, в ноябре – 38 машин. Отгружено с начала года 45, в ноябре – 35 машин. В ноябре предъявлено на испытания большим пробегом 34 машины, из них : ноябрьской сборки 9 машин. Из ноябрьских машин принято с первого пробега 22 машины, со второго – 2. </w:t>
      </w:r>
    </w:p>
    <w:p w14:paraId="09A20F5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Передано на СТЗ корпусов 24, башен 24. </w:t>
      </w:r>
    </w:p>
    <w:p w14:paraId="2932913C"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Районный инженер ГАБТУ РККА военинженер 2-го ранга Козырев (11450).</w:t>
      </w:r>
    </w:p>
    <w:p w14:paraId="13FA7979"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0B12E62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ноябре 1940 была подготовлена:</w:t>
      </w:r>
    </w:p>
    <w:p w14:paraId="6F146625"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Оперативная сводка по заводу № 183 за октябрь 1940 г. </w:t>
      </w:r>
    </w:p>
    <w:p w14:paraId="7C9F7C91"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Танк Т-34. В октябре надлежало поставить 115 танков, поставлено с начала года 45 машин, в октябре – 1. Отправлено с начала года 10, в октябре – 1. </w:t>
      </w:r>
    </w:p>
    <w:p w14:paraId="0D7AD2D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Из общего количества отправленных машин с начала их выпуска исключено три машины, возвратившихся на завод для просмотра и дооборудования, эти машины ранее были отправлены : заводу № 8 – две и начальнику инженерной службы ЛВО – 1. Они исключены потому, что после их готовности будут отправлены в новые адреса согласно общей разнарядки. </w:t>
      </w:r>
    </w:p>
    <w:p w14:paraId="3BF862CB"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Кроме 45 принятых машин на заводе, в заделе имеется 55 машин без вооружения. </w:t>
      </w:r>
    </w:p>
    <w:p w14:paraId="42F2DEE9"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Со 121 машины будут устанавливаться каленные валы КПП из стали 18ХНВА, измененный главный фрикцион. </w:t>
      </w:r>
    </w:p>
    <w:p w14:paraId="7A5E7053"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Во время испытаний – разрушение роликового подшипника и обрыв струны ведущей шестерни бортовой передачи на одной машине из-за небрежного монтажа. </w:t>
      </w:r>
    </w:p>
    <w:p w14:paraId="14081EA2"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Районный инженер ГАБТУ РККА военинженер 2-го ранга Козырев (11450).</w:t>
      </w:r>
    </w:p>
    <w:p w14:paraId="168BF7B5"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12AA9F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на СТЗ удалось собрать шесть танков, два из которых до конца месяца прошли заводской пробег, показавший положительные результаты. Всего ж до конца 1940 года на СТЗ сумели собрать 23 танка Т-34, из которых военная приемка приняла только шесть машин (12217).</w:t>
      </w:r>
    </w:p>
    <w:p w14:paraId="36C2C0B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867FC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заводом № 183 были выпущены два опытных образца тяжелого тягача на базе Т-34 (АТ-42), разработанные в апреле 1940 КБ завода № 183. В декабре 1940 при заводских испытаниях были выявлены дефекты в коробке, гусеничном движителе, лебедке и т.п. и машина была направлена на доработку. С началом войны работы прекратили (9527,218).</w:t>
      </w:r>
    </w:p>
    <w:p w14:paraId="784EBA6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51DD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были разработаны ТТТ на монтаж в КВ 76 мм зенитной пушки Ф-27 обр. 1938 г (9527,24).</w:t>
      </w:r>
    </w:p>
    <w:p w14:paraId="02AE60C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6C400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ноября 1940 первые 120 выпущенных КВ имели только ручной привод поворота башни (9527,160).</w:t>
      </w:r>
    </w:p>
    <w:p w14:paraId="58457DD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CF91364" w14:textId="77777777" w:rsidR="00AD1D6F" w:rsidRPr="00A3026E" w:rsidRDefault="00AD1D6F"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В ноябре 1940 года в производ</w:t>
      </w:r>
      <w:r w:rsidRPr="00A3026E">
        <w:rPr>
          <w:rFonts w:ascii="Times New Roman" w:cs="Times New Roman"/>
          <w:color w:val="000000" w:themeColor="text1"/>
          <w:spacing w:val="0"/>
        </w:rPr>
        <w:softHyphen/>
        <w:t>ство запустили «большую пониженную башню» для танка КВ-2, которая отлича</w:t>
      </w:r>
      <w:r w:rsidRPr="00A3026E">
        <w:rPr>
          <w:rFonts w:ascii="Times New Roman" w:cs="Times New Roman"/>
          <w:color w:val="000000" w:themeColor="text1"/>
          <w:spacing w:val="0"/>
        </w:rPr>
        <w:softHyphen/>
        <w:t>лась от предыдущей меньшими габарита</w:t>
      </w:r>
      <w:r w:rsidRPr="00A3026E">
        <w:rPr>
          <w:rFonts w:ascii="Times New Roman" w:cs="Times New Roman"/>
          <w:color w:val="000000" w:themeColor="text1"/>
          <w:spacing w:val="0"/>
        </w:rPr>
        <w:softHyphen/>
        <w:t xml:space="preserve">ми, массой и относительной простотой в производстве. Одновременно на всех танках </w:t>
      </w:r>
      <w:r w:rsidRPr="00A3026E">
        <w:rPr>
          <w:rFonts w:ascii="Times New Roman" w:cs="Times New Roman"/>
          <w:color w:val="000000" w:themeColor="text1"/>
          <w:spacing w:val="0"/>
          <w:lang w:val="en-US"/>
        </w:rPr>
        <w:t>KB</w:t>
      </w:r>
      <w:r w:rsidRPr="00A3026E">
        <w:rPr>
          <w:rFonts w:ascii="Times New Roman" w:cs="Times New Roman"/>
          <w:color w:val="000000" w:themeColor="text1"/>
          <w:spacing w:val="0"/>
        </w:rPr>
        <w:t xml:space="preserve"> ввели усиленную конструк</w:t>
      </w:r>
      <w:r w:rsidRPr="00A3026E">
        <w:rPr>
          <w:rFonts w:ascii="Times New Roman" w:cs="Times New Roman"/>
          <w:color w:val="000000" w:themeColor="text1"/>
          <w:spacing w:val="0"/>
        </w:rPr>
        <w:softHyphen/>
        <w:t>цию поворотного механизма и новую бое- укладку для артвыстрелов и пулеметных дисков. Однако двигатель и коробка пе</w:t>
      </w:r>
      <w:r w:rsidRPr="00A3026E">
        <w:rPr>
          <w:rFonts w:ascii="Times New Roman" w:cs="Times New Roman"/>
          <w:color w:val="000000" w:themeColor="text1"/>
          <w:spacing w:val="0"/>
        </w:rPr>
        <w:softHyphen/>
        <w:t>редач изменений не претерпели (15232).</w:t>
      </w:r>
    </w:p>
    <w:p w14:paraId="7A69DA50" w14:textId="77777777" w:rsidR="00AD1D6F" w:rsidRPr="00A3026E" w:rsidRDefault="00AD1D6F" w:rsidP="00A3026E">
      <w:pPr>
        <w:pStyle w:val="26"/>
        <w:shd w:val="clear" w:color="auto" w:fill="auto"/>
        <w:spacing w:after="0" w:line="240" w:lineRule="auto"/>
        <w:ind w:firstLine="0"/>
        <w:rPr>
          <w:rFonts w:ascii="Times New Roman" w:cs="Times New Roman"/>
          <w:color w:val="000000" w:themeColor="text1"/>
          <w:spacing w:val="0"/>
        </w:rPr>
      </w:pPr>
    </w:p>
    <w:p w14:paraId="49E919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в серийное производство принимается пониженная башня для танка КВ-2, которая отличалась меньшими габаритами, массой и была более простой в про</w:t>
      </w:r>
      <w:r w:rsidRPr="00A3026E">
        <w:rPr>
          <w:rFonts w:ascii="Times New Roman" w:hAnsi="Times New Roman"/>
          <w:color w:val="000000" w:themeColor="text1"/>
          <w:sz w:val="16"/>
          <w:szCs w:val="16"/>
        </w:rPr>
        <w:softHyphen/>
        <w:t xml:space="preserve">изводстве, чем МТ-1. Тогда же на всех танках КВ вводится конструкция усиленного поворотного механизма, новая боеукладка для 76-мм снарядов и пулеметных </w:t>
      </w:r>
      <w:r w:rsidRPr="00A3026E">
        <w:rPr>
          <w:rFonts w:ascii="Times New Roman" w:hAnsi="Times New Roman"/>
          <w:color w:val="000000" w:themeColor="text1"/>
          <w:sz w:val="16"/>
          <w:szCs w:val="16"/>
        </w:rPr>
        <w:lastRenderedPageBreak/>
        <w:t>дисков. Но двигатель и КПП танка остаются прежними. Всего до конца 1940 г. Кировский завод в целом выпол</w:t>
      </w:r>
      <w:r w:rsidRPr="00A3026E">
        <w:rPr>
          <w:rFonts w:ascii="Times New Roman" w:hAnsi="Times New Roman"/>
          <w:color w:val="000000" w:themeColor="text1"/>
          <w:sz w:val="16"/>
          <w:szCs w:val="16"/>
        </w:rPr>
        <w:softHyphen/>
        <w:t>нил спущенный на него план, изготовив 139 танков КВ-1 с 76-мм пушкой Л-11 и 104 КВ-2 со 152-мм гаубицей М-10 (24 из которых имели старую башню МТ-1) (10782).</w:t>
      </w:r>
    </w:p>
    <w:p w14:paraId="0E96BA2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3B2F572" w14:textId="77777777" w:rsidR="00473E70" w:rsidRPr="00A3026E" w:rsidRDefault="00473E70"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В ноябре 1940 года сдали опытные образцы ГАЗ-21, а заводские испытания проводились в декабре.</w:t>
      </w:r>
    </w:p>
    <w:p w14:paraId="337F0024" w14:textId="77777777" w:rsidR="00473E70" w:rsidRPr="00A3026E" w:rsidRDefault="00473E70"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Получившаяся машина концептуально здорово напоминала своего прямого предшественника - ГАЗ-20. Шасси Т-40 было существенно перекомпоновано. Мотор переместился вперед, аналогично ГАЗ-20, использовались капот и кабина "полуторки". Сзади появился кузов с откидными бортами, вполне типовой для артиллерийских тягачей. Одним словом, ровно то самое, что и требовал заказчик. "Носатое" расположение двигателя облегчало доступ к нему. Вместо танковых рычагов управления бортовыми фрикционами появился руль автомобильного типа. Элементы трансмиссии, вместе с ведущими колесами, были перенесены в заднюю часть машины. Мотор немного отличался от ГАЗ-11: изменялся выхлопной коллектор, с правой стороны появился водомасляной радиатор для охлаждения смазки двигателя. Сам мотор чуть форсировали - его мощность поднялась до 78 л.с. Сама машина стала на метр длиннее ГАЗ-20, да и СТЗ-5 оказался короче на 78 сантиметров. Боевая масса ГАЗ-22 оказалась чуть выше требований (3,3 тонны), но это более чем в полтора раза меньше СТЗ-5. Смотрелся новый тягач крайне перспективно, по крайней мере в теории. (20372).</w:t>
      </w:r>
    </w:p>
    <w:p w14:paraId="2A3523F2" w14:textId="77777777" w:rsidR="00473E70" w:rsidRPr="00A3026E" w:rsidRDefault="00473E70" w:rsidP="00A3026E">
      <w:pPr>
        <w:pStyle w:val="article-renderblock"/>
        <w:shd w:val="clear" w:color="auto" w:fill="FFFFFF"/>
        <w:spacing w:before="0" w:beforeAutospacing="0" w:after="0" w:afterAutospacing="0"/>
        <w:jc w:val="both"/>
        <w:rPr>
          <w:color w:val="0070C0"/>
          <w:sz w:val="16"/>
          <w:szCs w:val="16"/>
        </w:rPr>
      </w:pPr>
    </w:p>
    <w:p w14:paraId="47714430" w14:textId="77777777" w:rsidR="00AD1D6F" w:rsidRPr="00A3026E" w:rsidRDefault="00AD1D6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завод № 183 изготовил два опытных образца бронированного тягача АТ-42, которые в декабре того же года прошли заводские испытания. Во время испытаний были выявлены дефекты в работе коробки передач, гусенич</w:t>
      </w:r>
      <w:r w:rsidRPr="00A3026E">
        <w:rPr>
          <w:rFonts w:ascii="Times New Roman" w:hAnsi="Times New Roman"/>
          <w:color w:val="000000" w:themeColor="text1"/>
          <w:sz w:val="16"/>
          <w:szCs w:val="16"/>
        </w:rPr>
        <w:softHyphen/>
        <w:t>ного движителя, тяговой лебедки и др. Машина была отправ</w:t>
      </w:r>
      <w:r w:rsidRPr="00A3026E">
        <w:rPr>
          <w:rFonts w:ascii="Times New Roman" w:hAnsi="Times New Roman"/>
          <w:color w:val="000000" w:themeColor="text1"/>
          <w:sz w:val="16"/>
          <w:szCs w:val="16"/>
        </w:rPr>
        <w:softHyphen/>
        <w:t>лена на доработку.</w:t>
      </w:r>
    </w:p>
    <w:p w14:paraId="5F51B83B" w14:textId="77777777" w:rsidR="00AD1D6F" w:rsidRPr="00A3026E" w:rsidRDefault="00AD1D6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Тяжелый тягач АТ-42 имел бронированную рубку в передней и средней части корпуса, в которой размещалось отделение управления и моторное отделение. Лобовая броня рубки имела толщину 50 мм, бортовая — 15 мм. В кормовой части корпуса размеща</w:t>
      </w:r>
      <w:r w:rsidRPr="00A3026E">
        <w:rPr>
          <w:rFonts w:ascii="Times New Roman" w:hAnsi="Times New Roman"/>
          <w:color w:val="000000" w:themeColor="text1"/>
          <w:sz w:val="16"/>
          <w:szCs w:val="16"/>
        </w:rPr>
        <w:softHyphen/>
        <w:t>лось трансмиссионное отделение, а перед ним — отделение тя</w:t>
      </w:r>
      <w:r w:rsidRPr="00A3026E">
        <w:rPr>
          <w:rFonts w:ascii="Times New Roman" w:hAnsi="Times New Roman"/>
          <w:color w:val="000000" w:themeColor="text1"/>
          <w:sz w:val="16"/>
          <w:szCs w:val="16"/>
        </w:rPr>
        <w:softHyphen/>
        <w:t>говой лебедки. Над крышей трансмиссионного отделения и тя</w:t>
      </w:r>
      <w:r w:rsidRPr="00A3026E">
        <w:rPr>
          <w:rFonts w:ascii="Times New Roman" w:hAnsi="Times New Roman"/>
          <w:color w:val="000000" w:themeColor="text1"/>
          <w:sz w:val="16"/>
          <w:szCs w:val="16"/>
        </w:rPr>
        <w:softHyphen/>
        <w:t>говой лебедки размещалась грузовая платформа грузоподъем</w:t>
      </w:r>
      <w:r w:rsidRPr="00A3026E">
        <w:rPr>
          <w:rFonts w:ascii="Times New Roman" w:hAnsi="Times New Roman"/>
          <w:color w:val="000000" w:themeColor="text1"/>
          <w:sz w:val="16"/>
          <w:szCs w:val="16"/>
        </w:rPr>
        <w:softHyphen/>
        <w:t>ностью 3 тс, на которой устанавливались сиденья для перевоз</w:t>
      </w:r>
      <w:r w:rsidRPr="00A3026E">
        <w:rPr>
          <w:rFonts w:ascii="Times New Roman" w:hAnsi="Times New Roman"/>
          <w:color w:val="000000" w:themeColor="text1"/>
          <w:sz w:val="16"/>
          <w:szCs w:val="16"/>
        </w:rPr>
        <w:softHyphen/>
        <w:t>ки личного состава и брезентовый тент. Дизель В-2 мощнос</w:t>
      </w:r>
      <w:r w:rsidRPr="00A3026E">
        <w:rPr>
          <w:rFonts w:ascii="Times New Roman" w:hAnsi="Times New Roman"/>
          <w:color w:val="000000" w:themeColor="text1"/>
          <w:sz w:val="16"/>
          <w:szCs w:val="16"/>
        </w:rPr>
        <w:softHyphen/>
        <w:t>тью 500 л.с. (367,6 кВт) обеспечивал машине массой 17 т макси</w:t>
      </w:r>
      <w:r w:rsidRPr="00A3026E">
        <w:rPr>
          <w:rFonts w:ascii="Times New Roman" w:hAnsi="Times New Roman"/>
          <w:color w:val="000000" w:themeColor="text1"/>
          <w:sz w:val="16"/>
          <w:szCs w:val="16"/>
        </w:rPr>
        <w:softHyphen/>
        <w:t>мальную скорость до 33 км/ч и позволял развивать тяговое усилие на крюке до 15 тс. Для самообороны тягач был воору</w:t>
      </w:r>
      <w:r w:rsidRPr="00A3026E">
        <w:rPr>
          <w:rFonts w:ascii="Times New Roman" w:hAnsi="Times New Roman"/>
          <w:color w:val="000000" w:themeColor="text1"/>
          <w:sz w:val="16"/>
          <w:szCs w:val="16"/>
        </w:rPr>
        <w:softHyphen/>
        <w:t>жен пулеметом ДТ, установленным в шаровой опоре справа в лобовом листе рубки (15613).</w:t>
      </w:r>
    </w:p>
    <w:p w14:paraId="5D15A49F" w14:textId="77777777" w:rsidR="00AD1D6F" w:rsidRPr="00A3026E" w:rsidRDefault="00AD1D6F" w:rsidP="00A3026E">
      <w:pPr>
        <w:spacing w:after="0" w:line="240" w:lineRule="auto"/>
        <w:jc w:val="both"/>
        <w:rPr>
          <w:rFonts w:ascii="Times New Roman" w:hAnsi="Times New Roman"/>
          <w:color w:val="000000" w:themeColor="text1"/>
          <w:sz w:val="16"/>
          <w:szCs w:val="16"/>
        </w:rPr>
      </w:pPr>
    </w:p>
    <w:p w14:paraId="225944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правительством послед</w:t>
      </w:r>
      <w:r w:rsidRPr="00A3026E">
        <w:rPr>
          <w:rFonts w:ascii="Times New Roman" w:hAnsi="Times New Roman"/>
          <w:color w:val="000000" w:themeColor="text1"/>
          <w:sz w:val="16"/>
          <w:szCs w:val="16"/>
        </w:rPr>
        <w:softHyphen/>
        <w:t>ний раз этот обсуждался вопрос серийного производства БА-11. Было принято решение приостановить работы по БА-11 вплоть до освоения промышленностью полнопри</w:t>
      </w:r>
      <w:r w:rsidRPr="00A3026E">
        <w:rPr>
          <w:rFonts w:ascii="Times New Roman" w:hAnsi="Times New Roman"/>
          <w:color w:val="000000" w:themeColor="text1"/>
          <w:sz w:val="16"/>
          <w:szCs w:val="16"/>
        </w:rPr>
        <w:softHyphen/>
        <w:t>водных (6x6) грузовых шасси ЗИС (11284).</w:t>
      </w:r>
    </w:p>
    <w:p w14:paraId="55B4FC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B57F3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проектирование нового мотоцикла завершили. В соответствии с приказом № 90 по Главмотовелопрому от 30 ноября 1940 г. установили срок изготовления пяти экспери</w:t>
      </w:r>
      <w:r w:rsidRPr="00A3026E">
        <w:rPr>
          <w:rFonts w:ascii="Times New Roman" w:hAnsi="Times New Roman"/>
          <w:color w:val="000000" w:themeColor="text1"/>
          <w:sz w:val="16"/>
          <w:szCs w:val="16"/>
        </w:rPr>
        <w:softHyphen/>
        <w:t>ментальных образцов к 5 февраля 1941 г. и поручили ММЗ «Иск</w:t>
      </w:r>
      <w:r w:rsidRPr="00A3026E">
        <w:rPr>
          <w:rFonts w:ascii="Times New Roman" w:hAnsi="Times New Roman"/>
          <w:color w:val="000000" w:themeColor="text1"/>
          <w:sz w:val="16"/>
          <w:szCs w:val="16"/>
        </w:rPr>
        <w:softHyphen/>
        <w:t>ра» исполнять функции ведущего предприятия. [4.181]. На разработку чертежей нового мотоцикла в 1940 г. истратили 226 433 р. Новинку обозначили ИМ-1 [4.182], что означало: мотоцикл завода «Искра», Москва, первая модель. Вскоре ИМ-1 переименовали в М-72. К подготовке технической документации этой машины при</w:t>
      </w:r>
      <w:r w:rsidRPr="00A3026E">
        <w:rPr>
          <w:rFonts w:ascii="Times New Roman" w:hAnsi="Times New Roman"/>
          <w:color w:val="000000" w:themeColor="text1"/>
          <w:sz w:val="16"/>
          <w:szCs w:val="16"/>
        </w:rPr>
        <w:softHyphen/>
        <w:t>влекли группу конструкторов в составе девяти человек из НАТИ, которую возглавлял А.А. Душкевич. В нее входил С.Н. Семашко, участвовавший в создании ИЖ-1-ИЖ-5 и НАТИ-А-750 [4.144].</w:t>
      </w:r>
    </w:p>
    <w:p w14:paraId="18379C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Руководство Главмотовелопрома на совещании 8 марта 1941 г. установило дату выпуска чертежей мотоцикла - 15 марта 1941 г., а отработки чертежей двигателя и КП, на автозаводе ЗИС и, соот</w:t>
      </w:r>
      <w:r w:rsidRPr="00A3026E">
        <w:rPr>
          <w:rFonts w:ascii="Times New Roman" w:hAnsi="Times New Roman"/>
          <w:color w:val="000000" w:themeColor="text1"/>
          <w:sz w:val="16"/>
          <w:szCs w:val="16"/>
        </w:rPr>
        <w:softHyphen/>
        <w:t>ветственно, КИМ - 15 июня 1941 г. [4.183]. Руководство НКСМ, в который перевели Главмотовелопром, возложило на завод «Иск</w:t>
      </w:r>
      <w:r w:rsidRPr="00A3026E">
        <w:rPr>
          <w:rFonts w:ascii="Times New Roman" w:hAnsi="Times New Roman"/>
          <w:color w:val="000000" w:themeColor="text1"/>
          <w:sz w:val="16"/>
          <w:szCs w:val="16"/>
        </w:rPr>
        <w:softHyphen/>
        <w:t>ра» ответственность за создание нового мотоцикла [4.184] (11429).</w:t>
      </w:r>
    </w:p>
    <w:p w14:paraId="287CD7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86A48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был Проект постановления Комитета обороны при СНК СССР "О проектировании и постройке опытного образца аэросаней" с тактико-техническими требованиями на их проектирование и изготовление. Получен Ждановым. Д.11, л.17-83 (11775).</w:t>
      </w:r>
    </w:p>
    <w:p w14:paraId="006A971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432CD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лучшим из двух вариантов эскизного проекта, который пол</w:t>
      </w:r>
      <w:r w:rsidRPr="00A3026E">
        <w:rPr>
          <w:rFonts w:ascii="Times New Roman" w:hAnsi="Times New Roman"/>
          <w:color w:val="000000" w:themeColor="text1"/>
          <w:sz w:val="16"/>
          <w:szCs w:val="16"/>
        </w:rPr>
        <w:softHyphen/>
        <w:t>учил номер 35, признали вариант ЦКБ-32 (глав</w:t>
      </w:r>
      <w:r w:rsidRPr="00A3026E">
        <w:rPr>
          <w:rFonts w:ascii="Times New Roman" w:hAnsi="Times New Roman"/>
          <w:color w:val="000000" w:themeColor="text1"/>
          <w:sz w:val="16"/>
          <w:szCs w:val="16"/>
        </w:rPr>
        <w:softHyphen/>
        <w:t>ный конструктор Я. А. Копержинский). Его тактико-технические элементы были близки к элементам лидеров пр. 48, что решило судьбу последних. Лидеры и эскадренные миноносцы фактически слились в один класс, и с 1942 г. предполагалось начать массовую постройку кораблей пр. 35, который должен был стать "лучшим се</w:t>
      </w:r>
      <w:r w:rsidRPr="00A3026E">
        <w:rPr>
          <w:rFonts w:ascii="Times New Roman" w:hAnsi="Times New Roman"/>
          <w:color w:val="000000" w:themeColor="text1"/>
          <w:sz w:val="16"/>
          <w:szCs w:val="16"/>
        </w:rPr>
        <w:softHyphen/>
        <w:t>рийным эсминцем". Однако работы по этому проекту, который действительно приближался к лучшим достижениям своего време</w:t>
      </w:r>
      <w:r w:rsidRPr="00A3026E">
        <w:rPr>
          <w:rFonts w:ascii="Times New Roman" w:hAnsi="Times New Roman"/>
          <w:color w:val="000000" w:themeColor="text1"/>
          <w:sz w:val="16"/>
          <w:szCs w:val="16"/>
        </w:rPr>
        <w:softHyphen/>
        <w:t>ни, были прерваны в связи с началом войны (3898).</w:t>
      </w:r>
    </w:p>
    <w:p w14:paraId="7C08756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B8BFD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нарком ВМФ одобрил эскизный проекте канонерской лодки Балтийского моря под номером 61, в котором стандартное водоизмещение увеличилось до 3530 т, осадка при нормальном водоизмещении 3640 т до 3,53 м. К этому времени на морскую канонерскую лодку возлагались следу</w:t>
      </w:r>
      <w:r w:rsidRPr="00A3026E">
        <w:rPr>
          <w:rFonts w:ascii="Times New Roman" w:hAnsi="Times New Roman"/>
          <w:color w:val="000000" w:themeColor="text1"/>
          <w:sz w:val="16"/>
          <w:szCs w:val="16"/>
        </w:rPr>
        <w:softHyphen/>
        <w:t>ющие задачи: поддержка с моря фланга армии и действий в шхер-Hbix районах, разрушение долговременных огневых точек против</w:t>
      </w:r>
      <w:r w:rsidRPr="00A3026E">
        <w:rPr>
          <w:rFonts w:ascii="Times New Roman" w:hAnsi="Times New Roman"/>
          <w:color w:val="000000" w:themeColor="text1"/>
          <w:sz w:val="16"/>
          <w:szCs w:val="16"/>
        </w:rPr>
        <w:softHyphen/>
        <w:t>ника, подавление полевой и береговой артиллерии с орудиями ка</w:t>
      </w:r>
      <w:r w:rsidRPr="00A3026E">
        <w:rPr>
          <w:rFonts w:ascii="Times New Roman" w:hAnsi="Times New Roman"/>
          <w:color w:val="000000" w:themeColor="text1"/>
          <w:sz w:val="16"/>
          <w:szCs w:val="16"/>
        </w:rPr>
        <w:softHyphen/>
        <w:t>либра до 152-мм. Считалось, что лодки пр. 61 подойдут и для дру</w:t>
      </w:r>
      <w:r w:rsidRPr="00A3026E">
        <w:rPr>
          <w:rFonts w:ascii="Times New Roman" w:hAnsi="Times New Roman"/>
          <w:color w:val="000000" w:themeColor="text1"/>
          <w:sz w:val="16"/>
          <w:szCs w:val="16"/>
        </w:rPr>
        <w:softHyphen/>
        <w:t>гих театров. Дальнейшую работу над проектом морских канонерских лодок, которые предполагали строить на Балтийском заводе, остановило начало войны (3898).</w:t>
      </w:r>
    </w:p>
    <w:p w14:paraId="7480E97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08904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СНК СССР и ЦК ВКП(б) разослали по заводам категорическое указание — поставка военной продукции является первоочередной задачей, за решением которой отныне будет следить нарком госконтроля СССР Л. Е. Мехлис. В связи с этим было намечено новое расширение производственных мощностей спецсудостроения, в т. ч. и на заводе «Красное Сормово». Осенью 1940 г. там началось строительство слипа, на котором, согласно проекту, планировалось строить одновременно 22 подлодки — 44 в год. Площадь судостроительных цехов должна была увеличиться до 14 кв. км. Предполагалось, что гигантский слип будут обслуживать 15 железнодорожных кранов, а в затоне намечалось построить яму глубиной 15 метров для проведения испытаний. [211 — ГУ ЦАНО, Ф. 15, Оп. 4, Д. 66, Л. 128.] Но этим наполеоновским планам уже не суждено было сбыться. Планы планами, однако государство по-прежнему было не в состоянии обеспечить растущее производство всем необходимым. Снабжение завода № 112 требующимися материалами, как всегда, было неудовлетворительным. Вместо требуемых 25 000 тонн нефти заводу выделили 9500 тонн, «которые реально можно поставить», однако отгрузили 7200 тонн, а фактически доставили еще меньше — только 5656. Два танкера «замерзли по пути» во льдах! [212 — Там же, Л. 73.]. Ежемесячный расход чугуна в январе — феврале составлял 4500 тонн, а поставлялись только 2700–2800 тонн. Потребность в некоторых материалах и вовсе удовлетворялась всего на 2 %! Полученные же материалы часто не соответствовали техническим условиям. Так, заводы им. Петровского и им. Дзержинского поставляли судовую сталь, которую катали «по собственной технологии». [213 — Там же, Л. 75.]. Обеспечение «Красного Сормова» качественными чертежами также не удалось наладить. «Одни устарели, другие недосылаются, третьи имеют ошибки, за одним и тем же номером имеются материалы различных сроков выпуска. Завод получает от ЦКБ-18 чертежи, им же аннулированные несколько месяцев назад» — сообщалось в переписке между заводом и указанным ЦКБ. [214 — Там же, Д. 97, Л. 182.] Бывало, что ЦКБ-18 высылал комплект чертежей секретной почтой. Позже те же чертежи высылались повторно простой почтой без присвоения секретного номера. Переделки и изменения на судах носили хаотичный и безучетный характер. Из-за некачественного снабжения изготовленные на заводе спецсуда «шли с большим перевесом» от 100 до 430 кг. [215 — ГУ ЦАНО, Ф. 15, Оп. 4, Д. 97, Л. 211.] В результате повышалось и водоизмещение судов. Например, проектная норма водоизмещения «Эски» равнялась 837 тоннам, а у подлодки C-8 оно оказалось 845 тонн. Если норма водоизмещения «Малютки» составляла 204 тонны, то у лодки М-97 она была 213 тонн, а у М-96 — 211 тонн. Естественно, это не могло не сказываться на боевых качествах субмарин. Трудовая дисциплина, несмотря на принятие жестких законов, по-прежнему оставляла желать лучшего. В отчете о работе завода № 112 за десять месяцев 1940 г. отмечалось, что за данный период за прогулы и самовольный уход с работы были уволены 3144 человека! Завод постоянно сетовал на нехватку рабочих, в то же время 362 тысячи человеко-часов были использованы не по прямому назначению, а 192 тысячи человеко-часов не были использованы вовсе. [216 — Там же, Д. 76, Л. 30.]. Не изменилась ситуация и по прогулам. Наибольший их рост наблюдался в апреле — мае, когда шли наиболее интенсивные авральные работы, — 650–750 случаев, в остальные же месяцы их число составляло 400–450 случаев. И лишь простои оборудования сократились по сравнению с 1939 г. с 690 до 425 тысяч станко-часов. [217 — Там же, Л. 35.] По сравнению с началом года кадры основного производства уменьшились на 2000 человек. В среднем каждый месяц принимались на работу 280 человек, а увольнялся 231 человек, то есть высокая текучка кадров как тенденция сохранилась. Может сложиться картина, что не было никаких достижений. Они были: сокращение стапельных работ, общего цикла постройки лодки, монтаж помп сократился с 25 до 5 суток, а установка и монтаж электрооборудования — с 15 до 6 суток. Велась и определенная борьба за недопущение брака. Например, если раньше мастер имел возможность самовольно отступать от технологии (!), то теперь контролер ОТК не производил приемку выполненной операции при нарушении технологического процесса. «Такой контроль повысил авторитет и ответственность технологов и приблизил их к производству», — отмечалось в отчете. [218 — ГУ ЦАНО, Ф. 15, Оп. 4, Д. 97, Л. 43.] На строящихся судах были введены журналы, в которых регистрировались все отступления от технологий. Число сварщиков, имеющих право варить качественными электродами, увеличилось с 55 до 102 человек. Увеличились материальные взыскания за брак. Если в 1939 г. с рабочих и мастеров взыскали 18 тысяч рублей, то за десять месяцев 1940 г. — уже 151 тысячу рублей (11741).</w:t>
      </w:r>
    </w:p>
    <w:p w14:paraId="7389D1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0928188F"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6242E35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B176B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была создана ДБА, АВКомандования (33,240). 5 корпусов и три отдельных дивизии, всего - 13, 4 к и 1 д - в Европейской части 1 - 1 К - Дал. Вост., по 1 див. в Забайкалье и Закавказье (66,240).</w:t>
      </w:r>
    </w:p>
    <w:p w14:paraId="0C78560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88FD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была выделена Авиация Главного Командования или потом Дальняя Бомбардировочная Авиация (ДБА) (2606,35).</w:t>
      </w:r>
    </w:p>
    <w:p w14:paraId="4571B86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BBCA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нарком обороны С.К.Тимошенко утвердил новые штаты воздушно-десантных бригад и теперь в них входили не только парашютные и самолетно-посадочные группы, но и планерная (107,4).</w:t>
      </w:r>
    </w:p>
    <w:p w14:paraId="5D59C82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8603A16" w14:textId="77777777" w:rsidR="00952C53" w:rsidRPr="00A3026E" w:rsidRDefault="00952C5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нарком обороны, маршал Советского Союза СК Тимошенко утвердил новые штаты воздушно-десантных бригад. Теперь в их состав входили не только парашютные и самолётно-высадочные группы, но и планерная группа (19014).</w:t>
      </w:r>
    </w:p>
    <w:p w14:paraId="7EA1477D" w14:textId="77777777" w:rsidR="00952C53" w:rsidRPr="00A3026E" w:rsidRDefault="00952C53" w:rsidP="00A3026E">
      <w:pPr>
        <w:spacing w:after="0" w:line="240" w:lineRule="auto"/>
        <w:jc w:val="both"/>
        <w:rPr>
          <w:rFonts w:ascii="Times New Roman" w:hAnsi="Times New Roman"/>
          <w:color w:val="000000" w:themeColor="text1"/>
          <w:sz w:val="16"/>
          <w:szCs w:val="16"/>
        </w:rPr>
      </w:pPr>
    </w:p>
    <w:p w14:paraId="0C407D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в штаты воздуно-десантной бригады наряду с парашютной и посадочной группой включили пла</w:t>
      </w:r>
      <w:r w:rsidRPr="00A3026E">
        <w:rPr>
          <w:rFonts w:ascii="Times New Roman" w:hAnsi="Times New Roman"/>
          <w:color w:val="000000" w:themeColor="text1"/>
          <w:sz w:val="16"/>
          <w:szCs w:val="16"/>
        </w:rPr>
        <w:softHyphen/>
        <w:t>нерную (хотя ни одного планера у со</w:t>
      </w:r>
      <w:r w:rsidRPr="00A3026E">
        <w:rPr>
          <w:rFonts w:ascii="Times New Roman" w:hAnsi="Times New Roman"/>
          <w:color w:val="000000" w:themeColor="text1"/>
          <w:sz w:val="16"/>
          <w:szCs w:val="16"/>
        </w:rPr>
        <w:softHyphen/>
        <w:t>ветских ВДВ к началу войны не было). Упомянутое «Положение о воздушно-десантных войсках Красной Армии» от 29 августа 1941 г. указывало, что «Воздушно-десантные войска Крас</w:t>
      </w:r>
      <w:r w:rsidRPr="00A3026E">
        <w:rPr>
          <w:rFonts w:ascii="Times New Roman" w:hAnsi="Times New Roman"/>
          <w:color w:val="000000" w:themeColor="text1"/>
          <w:sz w:val="16"/>
          <w:szCs w:val="16"/>
        </w:rPr>
        <w:softHyphen/>
        <w:t>ной Армии являются специальным, ро</w:t>
      </w:r>
      <w:r w:rsidRPr="00A3026E">
        <w:rPr>
          <w:rFonts w:ascii="Times New Roman" w:hAnsi="Times New Roman"/>
          <w:color w:val="000000" w:themeColor="text1"/>
          <w:sz w:val="16"/>
          <w:szCs w:val="16"/>
        </w:rPr>
        <w:softHyphen/>
        <w:t>дом, войск и состоят из парашютных, посадочных и авиационно-планерных частей». Еще ранее, в июне 1941 г., командование ВВС определило требо</w:t>
      </w:r>
      <w:r w:rsidRPr="00A3026E">
        <w:rPr>
          <w:rFonts w:ascii="Times New Roman" w:hAnsi="Times New Roman"/>
          <w:color w:val="000000" w:themeColor="text1"/>
          <w:sz w:val="16"/>
          <w:szCs w:val="16"/>
        </w:rPr>
        <w:softHyphen/>
        <w:t>вания к десантным планерам. Были разработаны и приняты к производ</w:t>
      </w:r>
      <w:r w:rsidRPr="00A3026E">
        <w:rPr>
          <w:rFonts w:ascii="Times New Roman" w:hAnsi="Times New Roman"/>
          <w:color w:val="000000" w:themeColor="text1"/>
          <w:sz w:val="16"/>
          <w:szCs w:val="16"/>
        </w:rPr>
        <w:softHyphen/>
        <w:t>ству планеры А-7 О.К. Антонова, Г-11 В.К. Грибовского и К1Д-20 П.В. Цыби</w:t>
      </w:r>
      <w:r w:rsidRPr="00A3026E">
        <w:rPr>
          <w:rFonts w:ascii="Times New Roman" w:hAnsi="Times New Roman"/>
          <w:color w:val="000000" w:themeColor="text1"/>
          <w:sz w:val="16"/>
          <w:szCs w:val="16"/>
        </w:rPr>
        <w:softHyphen/>
        <w:t>на - на 7, 11 и 20 человек соответственно. В ходе войны они использовались и как десантные, и для снабжения войск и партизан (11752).</w:t>
      </w:r>
    </w:p>
    <w:p w14:paraId="210917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4D115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нарком обороны Мар</w:t>
      </w:r>
      <w:r w:rsidRPr="00A3026E">
        <w:rPr>
          <w:rFonts w:ascii="Times New Roman" w:hAnsi="Times New Roman"/>
          <w:color w:val="000000" w:themeColor="text1"/>
          <w:sz w:val="16"/>
          <w:szCs w:val="16"/>
        </w:rPr>
        <w:softHyphen/>
        <w:t>шал Советского Союза С.К. Тимошенко утвердил но</w:t>
      </w:r>
      <w:r w:rsidRPr="00A3026E">
        <w:rPr>
          <w:rFonts w:ascii="Times New Roman" w:hAnsi="Times New Roman"/>
          <w:color w:val="000000" w:themeColor="text1"/>
          <w:sz w:val="16"/>
          <w:szCs w:val="16"/>
        </w:rPr>
        <w:softHyphen/>
        <w:t>вые штаты воздушно-десантных бригад. Теперь в их состав входили не только парашютные и самолетно- высадочные группы, но и планерная группа (12300).</w:t>
      </w:r>
    </w:p>
    <w:p w14:paraId="141FD49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42C00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ЦК ВКП(б) и СНК приняли постановление об увеличении численности авиачастей и соединений (556,43).</w:t>
      </w:r>
    </w:p>
    <w:p w14:paraId="472C239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5D569C" w14:textId="77777777" w:rsidR="00C66762" w:rsidRPr="00A3026E" w:rsidRDefault="00C66762"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 ноябре 1940 г. одна из лодок типа Д погибла по небоевым причинам, еще четыре были потоплены немцами, но предварительно нанесли врагу значительный урон. Лодка "Красногвардеец" (Д-3) первой из советских боевых кораблей была удостоена двух почетных наград: она стала гвардейской и Краснознаменной. Уцелевшая в годы войны подлодка "Народоволец" (Д-2) установлена у Гребного порта в Ленинграде в качестве корабля-памятника (9873).</w:t>
      </w:r>
    </w:p>
    <w:p w14:paraId="2ED0457C" w14:textId="77777777" w:rsidR="00C66762" w:rsidRPr="00A3026E" w:rsidRDefault="00C66762" w:rsidP="00A3026E">
      <w:pPr>
        <w:pStyle w:val="a8"/>
        <w:widowControl/>
        <w:jc w:val="both"/>
        <w:rPr>
          <w:rFonts w:ascii="Times New Roman" w:hAnsi="Times New Roman" w:cs="Times New Roman"/>
          <w:color w:val="000000" w:themeColor="text1"/>
        </w:rPr>
      </w:pPr>
    </w:p>
    <w:p w14:paraId="070683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все ПЛ типа "Правда" совершили групповое плавание по балтийскому морю с заходом в Таллинн, Ригу и Либаву (Лиепая) (12719).</w:t>
      </w:r>
    </w:p>
    <w:p w14:paraId="1FE9333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05D941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31067C5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0DDBE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обстановка на Балканах и в Финляндии (где начали размещаться немецкие части) была предметом острой дискуссии между В.М.М. и Гитлером и Риббентропом. Немцы пытались убедить СССР, что Великобритания уже поражена и предлагали начать дележ империи направляя СССР в Индию и страны Персидского залива. В.М.М. интересовался лишь Восточной Европой. В.М.М. даже сострил во время воздушного налета: "Если Англия разбита, то почему мы сидим в этом убежище?" Договориться не смогли. В это время немцы уже разрабатывали план Барбаросса и утвердили его 18 декабря 1940 (2070,12).</w:t>
      </w:r>
    </w:p>
    <w:p w14:paraId="35F513D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6077C8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840CA7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8A504E3" w14:textId="77777777" w:rsidR="001F584C" w:rsidRPr="00A3026E" w:rsidRDefault="001F584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в Лэнгли стали выпускать модификации II В Харрикейна, Она была вооружена 12 пулеметами и имела замки и топливную проводку для использования подвесных баков. Такие баки емкостью 166 л придумали сперва для перегонки самолетов на большие расстояния. Впервые они были опробованы в полете в мае 1940 г. Затем конструкцию усилили так, чтобы истребитель с баками мог маневрировать в бою, а еще позже сделали сбрасывающимися. Существенно позже на IIВ появилась бомбовая подвеска. По мере насыщения британских  ВВС  "Спитфайрами" "Харрикейны" начали оттесняться на второстепенные театры военных действий и на роль самолета непосредственной поддержки. Для эффективных действий по наземным целям потребовался другой ассортимент вооружения, в первую очередь, бомбы. В апреле 1941 г. в Боскомб-Даун испытали "Харрикейн" I, под крыльями которого висели две бомбы по 113 кг. Министерство авиации одобрило эту попытку превратить "Харрикейн" в истребитель-бомбардировщик. Конструкторы Кэмма спроектировали подобную подвеску для модификации IIВ. Чтобы упрятать в крыло балки бомбодержателей и тросовую проводку к замкам, пришлось снять четыре пулемета - по два крайних из каждого крыла. Самолет успешно испытали в мае 1941 г. Впоследствии часть машин действительно переоборудовали подобным образом, но большинство последующих получили усовершенствованный вариант подвески - с сохранением всех 12 пулеметов (15129).</w:t>
      </w:r>
    </w:p>
    <w:p w14:paraId="5DB94C62" w14:textId="77777777" w:rsidR="001F584C" w:rsidRPr="00A3026E" w:rsidRDefault="001F584C" w:rsidP="00A3026E">
      <w:pPr>
        <w:spacing w:after="0" w:line="240" w:lineRule="auto"/>
        <w:jc w:val="both"/>
        <w:rPr>
          <w:rFonts w:ascii="Times New Roman" w:hAnsi="Times New Roman"/>
          <w:color w:val="000000" w:themeColor="text1"/>
          <w:sz w:val="16"/>
          <w:szCs w:val="16"/>
        </w:rPr>
      </w:pPr>
    </w:p>
    <w:p w14:paraId="28B4363A" w14:textId="77777777" w:rsidR="001F584C" w:rsidRPr="00A3026E" w:rsidRDefault="001F584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"Хаукер" получила разрешение забрать с ремонтных баз 30 комплектов поврежденных крыльев. В мастерских фирмы их кустарно переделали под пушечное вооружение и смонтировали на выходящих из ремонта истребителях. Первый из них взлетел 5 декабря. Это были разношерстные машины разных заводов и разных серий. Все они получили пушки с магазинным питанием, винты Ротол КХ.5/5 и элероны с металлической обшивкой. Чтобы уменьшить вес, сократили запас горючего. На первых трех самолетах зафиксировали максимальную скорость около 470 км/ч. Но крыльев в итоге сделали больше, чем требовалось для ремонтируемых машин. Их стали ставить на новые "Харрикейны" II. Первый такой истребитель, который облетал пилот Сет-Смит 6 (февраля 1941 г., и стал считаться опытным образцом пушечной модификации IIС. На нем устанавливались пушки не с барабанным, а с ленточным питанием по типу установки, спроектированной для "Тайфуна". В феврале три полукустарных "Харрикейна" IIС прибыли в БоскомбДаун для прохождения испытаний. При весе около 3680 кг скорость удержалась на приличном уровне - около 540 км/ч (за счет большей мощности мотора "Мерлин" XX). Даже с тропическим фильтром (при весе 3755 кг) она не опускалась ниже 515 км/ч. В серии максимальная скорость впоследствии колебалась в пределах 4% в зависимости от уровня квалификации бригад сборщиков. После ремонта скорость обычно падала, хотя бывали случаи, что она даже возрастала (15129).</w:t>
      </w:r>
    </w:p>
    <w:p w14:paraId="249114C1" w14:textId="77777777" w:rsidR="001F584C" w:rsidRPr="00A3026E" w:rsidRDefault="001F584C" w:rsidP="00A3026E">
      <w:pPr>
        <w:spacing w:after="0" w:line="240" w:lineRule="auto"/>
        <w:jc w:val="both"/>
        <w:rPr>
          <w:rFonts w:ascii="Times New Roman" w:hAnsi="Times New Roman"/>
          <w:color w:val="000000" w:themeColor="text1"/>
          <w:sz w:val="16"/>
          <w:szCs w:val="16"/>
        </w:rPr>
      </w:pPr>
    </w:p>
    <w:p w14:paraId="6CD6071A" w14:textId="77777777" w:rsidR="001F584C" w:rsidRPr="00A3026E" w:rsidRDefault="001F584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четырехмоторный «Манчестер» заинтересовал военных, и началась подготовка к его серийному выпуску. Одновременно продолжались работы по постройке малой серии «Манчестера» I с двумя Роллс-Ройс «Валчер» (200 двухдвигательных бомбардировщиков заказали «Авро» и 100-фирме «Метровик»). Чтобы избавиться от путаницы в обозначениях, четырехдвигательный вариант получил имя «Ланкастер» («Lancaster») и уже в конце 1940 г. была готова первая машина. Такая скорость не удивительна: 75% всех узлов на «Ланкастере» и «Манчестере» были одинаковыми и создавать новую оснастку не пришлось. 3наменитый «Ланкастер»-несомненно лучший английский бомбардировщик времен второй мировой войны. Именно на долю этих машин приходится более 600000 тонн бомб, сброшенных по целям в Германии с 1942 по 1945 г. Среди других английских тяжелых бомбардировщиков «Ланкастер» отличает не только крупная серия (выпустили около 7300 экземпляров), но и тот факт, что только четырехмоторный самолет фирмы «Авро» поднимал самую большую бомбу-«Грэнд Cn3M»(«GrandSlam») весом почти в 10 тонн (11860).</w:t>
      </w:r>
    </w:p>
    <w:p w14:paraId="69DB6C3A" w14:textId="77777777" w:rsidR="001F584C" w:rsidRPr="00A3026E" w:rsidRDefault="001F584C" w:rsidP="00A3026E">
      <w:pPr>
        <w:spacing w:after="0" w:line="240" w:lineRule="auto"/>
        <w:jc w:val="both"/>
        <w:rPr>
          <w:rFonts w:ascii="Times New Roman" w:hAnsi="Times New Roman"/>
          <w:color w:val="000000" w:themeColor="text1"/>
          <w:sz w:val="16"/>
          <w:szCs w:val="16"/>
        </w:rPr>
      </w:pPr>
    </w:p>
    <w:p w14:paraId="21D3C99C" w14:textId="77777777" w:rsidR="001F584C" w:rsidRPr="00A3026E" w:rsidRDefault="001F584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модификацию, разработанную под руководством А. Франца, иссле</w:t>
      </w:r>
      <w:r w:rsidRPr="00A3026E">
        <w:rPr>
          <w:rFonts w:ascii="Times New Roman" w:hAnsi="Times New Roman"/>
          <w:color w:val="000000" w:themeColor="text1"/>
          <w:sz w:val="16"/>
          <w:szCs w:val="16"/>
        </w:rPr>
        <w:softHyphen/>
        <w:t xml:space="preserve">довали на стенде. В 1942 г. двигатель с тягой на земле 840 кгс испытали в полёте на летающей лаборатории Ме-110, а 18 июля 1942 г. Ме-262 с двумя </w:t>
      </w:r>
      <w:r w:rsidRPr="00A3026E">
        <w:rPr>
          <w:rFonts w:ascii="Times New Roman" w:hAnsi="Times New Roman"/>
          <w:color w:val="000000" w:themeColor="text1"/>
          <w:sz w:val="16"/>
          <w:szCs w:val="16"/>
          <w:lang w:val="en-US"/>
        </w:rPr>
        <w:t>Jumo</w:t>
      </w:r>
      <w:r w:rsidRPr="00A3026E">
        <w:rPr>
          <w:rFonts w:ascii="Times New Roman" w:hAnsi="Times New Roman"/>
          <w:color w:val="000000" w:themeColor="text1"/>
          <w:sz w:val="16"/>
          <w:szCs w:val="16"/>
        </w:rPr>
        <w:t xml:space="preserve">-004 совершил первый полёт. Серийный образец этого двигателя </w:t>
      </w:r>
      <w:r w:rsidRPr="00A3026E">
        <w:rPr>
          <w:rFonts w:ascii="Times New Roman" w:hAnsi="Times New Roman"/>
          <w:color w:val="000000" w:themeColor="text1"/>
          <w:sz w:val="16"/>
          <w:szCs w:val="16"/>
          <w:lang w:val="en-US"/>
        </w:rPr>
        <w:t>Jumo</w:t>
      </w:r>
      <w:r w:rsidRPr="00A3026E">
        <w:rPr>
          <w:rFonts w:ascii="Times New Roman" w:hAnsi="Times New Roman"/>
          <w:color w:val="000000" w:themeColor="text1"/>
          <w:sz w:val="16"/>
          <w:szCs w:val="16"/>
        </w:rPr>
        <w:t>-004</w:t>
      </w:r>
      <w:r w:rsidRPr="00A3026E">
        <w:rPr>
          <w:rFonts w:ascii="Times New Roman" w:hAnsi="Times New Roman"/>
          <w:color w:val="000000" w:themeColor="text1"/>
          <w:sz w:val="16"/>
          <w:szCs w:val="16"/>
          <w:lang w:val="en-US"/>
        </w:rPr>
        <w:t>B</w:t>
      </w:r>
      <w:r w:rsidRPr="00A3026E">
        <w:rPr>
          <w:rFonts w:ascii="Times New Roman" w:hAnsi="Times New Roman"/>
          <w:color w:val="000000" w:themeColor="text1"/>
          <w:sz w:val="16"/>
          <w:szCs w:val="16"/>
        </w:rPr>
        <w:t>-1, развивающий тягу 900 кгс, запустили в серийное производство, и его поставки начались в марте 1944 г. (15791)</w:t>
      </w:r>
    </w:p>
    <w:p w14:paraId="54EA25A9" w14:textId="77777777" w:rsidR="001F584C" w:rsidRPr="00A3026E" w:rsidRDefault="001F584C" w:rsidP="00A3026E">
      <w:pPr>
        <w:spacing w:after="0" w:line="240" w:lineRule="auto"/>
        <w:jc w:val="both"/>
        <w:rPr>
          <w:rFonts w:ascii="Times New Roman" w:hAnsi="Times New Roman"/>
          <w:color w:val="000000" w:themeColor="text1"/>
          <w:sz w:val="16"/>
          <w:szCs w:val="16"/>
        </w:rPr>
      </w:pPr>
    </w:p>
    <w:p w14:paraId="37E64565" w14:textId="77777777" w:rsidR="00473E70" w:rsidRPr="00A3026E" w:rsidRDefault="00473E7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ноябре 1940 года первый «Галифакс» B Mk. I srs. I (серия 1) приняла 35-я эскадрилья Бомбардировочного Командования RAF. Ее пилоты летали на одномоторных «Уэллсли», и им нелегко давалось освоение тяжелой четырехмоторной машины. К марту 1941 года были допущены к полетам лишь шесть экипажей, эскадрилья перебазировалась на аэродром Линтон-он-Оуш, где вошла в состав 4-й авиагруппы Бомбардировочного Командования RAF (Royal Air Force — Королевские ВВС) и приступила к боевым действиям. Первый боевой вылет на самолетах «Галифакс» состоялся в ночь на 12 марта 1941 года по докам судоремонтного завода в порту Гавр (Франция). Из шести экипажей по главной цели нанесли удар четыре, пятый не смог найти ни основную цель, ни запасную и отбомбился по французскому городу Дьеппу, шестой экипаж потерял ориентировку совсем, и когда топлива уже почти не осталось, был вынужден скинуть бомбы в Ла-Манш. При возвращении один «Галифакс» по ошибке был сбит своим же истребителем (22924).</w:t>
      </w:r>
    </w:p>
    <w:p w14:paraId="1801028E" w14:textId="77777777" w:rsidR="00473E70" w:rsidRPr="00A3026E" w:rsidRDefault="00473E70" w:rsidP="00A3026E">
      <w:pPr>
        <w:spacing w:after="0" w:line="240" w:lineRule="auto"/>
        <w:jc w:val="both"/>
        <w:rPr>
          <w:rFonts w:ascii="Times New Roman" w:hAnsi="Times New Roman"/>
          <w:color w:val="0070C0"/>
          <w:sz w:val="16"/>
          <w:szCs w:val="16"/>
        </w:rPr>
      </w:pPr>
    </w:p>
    <w:p w14:paraId="79CBCF0F" w14:textId="77777777" w:rsidR="00473E70" w:rsidRPr="00A3026E" w:rsidRDefault="00473E7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ноябре 1940 года 20 самолетов В-17С, обозначенных в Королевских ВВС «Фортресс» Mk. I. Хотя все они были сданы английской стороне, но в войска они попали только в марте 1941- го и то в качестве учебных. А первый «экспериментально-испытательный» боевой вылет на Вильгельмсхафен они выполнили лишь 8 июля (22814).</w:t>
      </w:r>
    </w:p>
    <w:p w14:paraId="1AD36B9C" w14:textId="77777777" w:rsidR="00473E70" w:rsidRPr="00A3026E" w:rsidRDefault="00473E70" w:rsidP="00A3026E">
      <w:pPr>
        <w:spacing w:after="0" w:line="240" w:lineRule="auto"/>
        <w:jc w:val="both"/>
        <w:rPr>
          <w:rFonts w:ascii="Times New Roman" w:hAnsi="Times New Roman"/>
          <w:color w:val="0070C0"/>
          <w:sz w:val="16"/>
          <w:szCs w:val="16"/>
        </w:rPr>
      </w:pPr>
    </w:p>
    <w:p w14:paraId="72BE9A93" w14:textId="77777777" w:rsidR="00473E70" w:rsidRPr="00A3026E" w:rsidRDefault="00473E7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Ноябрь 1940 Департамент Войны Соединенных Штатов отделяет генштаб ВВС (элемент воздушного боя) от Army Air Corps United (ответственного за авиационную логистику и обучение) (20795).</w:t>
      </w:r>
    </w:p>
    <w:p w14:paraId="153CEC1F" w14:textId="77777777" w:rsidR="00473E70" w:rsidRPr="00A3026E" w:rsidRDefault="00473E70" w:rsidP="00A3026E">
      <w:pPr>
        <w:spacing w:after="0" w:line="240" w:lineRule="auto"/>
        <w:jc w:val="both"/>
        <w:rPr>
          <w:rFonts w:ascii="Times New Roman" w:hAnsi="Times New Roman"/>
          <w:color w:val="0070C0"/>
          <w:sz w:val="16"/>
          <w:szCs w:val="16"/>
        </w:rPr>
      </w:pPr>
    </w:p>
    <w:p w14:paraId="40E603C6" w14:textId="77777777" w:rsidR="00473E70" w:rsidRPr="00A3026E" w:rsidRDefault="00473E7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Ноябрь 1940 выполнил первый полет Kawasaki Ki-56 (союзное название "Талия") (20795).</w:t>
      </w:r>
    </w:p>
    <w:p w14:paraId="532B9F04" w14:textId="77777777" w:rsidR="00473E70" w:rsidRPr="00A3026E" w:rsidRDefault="00473E70" w:rsidP="00A3026E">
      <w:pPr>
        <w:spacing w:after="0" w:line="240" w:lineRule="auto"/>
        <w:jc w:val="both"/>
        <w:rPr>
          <w:rFonts w:ascii="Times New Roman" w:hAnsi="Times New Roman"/>
          <w:color w:val="0070C0"/>
          <w:sz w:val="16"/>
          <w:szCs w:val="16"/>
        </w:rPr>
      </w:pPr>
    </w:p>
    <w:p w14:paraId="6F30A9B5" w14:textId="77777777" w:rsidR="00473E70" w:rsidRPr="00A3026E" w:rsidRDefault="00473E7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ТРД Jumo 109-004 был испытан на стенде, а в марте 1942 г. начались экспериментальные полеты на летающей лаборатории Bf 110. Прототип реактивного истребителя Ме 262V3 с двумя опытными двигателями 004А тягой по 840 кгс впервые поднялся в воздух 18 июля 1942 г. Спустя год германское министерство авиации приняло решение о начале серийного производства новейшего "мессера" (9026).</w:t>
      </w:r>
    </w:p>
    <w:p w14:paraId="38EB7F7D" w14:textId="77777777" w:rsidR="00473E70" w:rsidRPr="00A3026E" w:rsidRDefault="00473E70" w:rsidP="00A3026E">
      <w:pPr>
        <w:spacing w:after="0" w:line="240" w:lineRule="auto"/>
        <w:jc w:val="both"/>
        <w:rPr>
          <w:rFonts w:ascii="Times New Roman" w:hAnsi="Times New Roman"/>
          <w:color w:val="000000" w:themeColor="text1"/>
          <w:sz w:val="16"/>
          <w:szCs w:val="16"/>
        </w:rPr>
      </w:pPr>
    </w:p>
    <w:p w14:paraId="3D86A644" w14:textId="77777777" w:rsidR="00473E70" w:rsidRPr="00A3026E" w:rsidRDefault="00473E70"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ноябре 1940 г. ТРД Jumo-004A был испытан на стенде, а марте 1942 г. прошел летные испытания. Было построено около тридцати экземпляров этой модификации. В марте 1942 г. ТРД Jumo-004A прошел летные испытания. Было построено около тридцати экземпляров этой модификации (19586).</w:t>
      </w:r>
    </w:p>
    <w:p w14:paraId="71A55FF5" w14:textId="77777777" w:rsidR="00473E70" w:rsidRPr="00A3026E" w:rsidRDefault="00473E70" w:rsidP="00A3026E">
      <w:pPr>
        <w:pStyle w:val="ae"/>
        <w:shd w:val="clear" w:color="auto" w:fill="FFFFFF"/>
        <w:spacing w:before="0" w:after="0"/>
        <w:jc w:val="both"/>
        <w:rPr>
          <w:color w:val="000000" w:themeColor="text1"/>
          <w:sz w:val="16"/>
          <w:szCs w:val="16"/>
        </w:rPr>
      </w:pPr>
    </w:p>
    <w:p w14:paraId="5D16CA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года, после отказа от вторжения на Британские острова (операция «Морской лев»), когда основным видом действий против Англии стали воздушные удары, Гитлер частично восстановил ассигнования на продолжение разработки «А-4» до прежнего уровня, считая, что в перспективе ракетные удары смогут дополнить налеты авиации на Англию, и в марте 1941 года вновь включил проект в список приоритетных. Однако сразу же после нападения на СССР, рассчитывая на успех «блицкрига» («молниеносной войны»), он сокращает наполовину бюджет Пенемюнде, составлявший 50,4 миллионов марок в год. Снижение ассигнований, нехватка необходимых материалов, направляющихся на проекты, имевшие «высший приоритет», технические трудности задерживали работу, но все же летом 1942 года команде Вернера фон Брауна удалось выпустить первые опытные образцы «Большой ракеты» (11688).</w:t>
      </w:r>
    </w:p>
    <w:p w14:paraId="4E65B6C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F20C5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китайские коллаборационисты заключили с Японией договор об "основах отношений между Японией и Китаем", провозгласивший сотрудничество режима Ван Цзинвея с японскими военными властями против коммунистических сил (3871).</w:t>
      </w:r>
    </w:p>
    <w:p w14:paraId="174C8D9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EDF8F9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195BD7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891B3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ноябре-декабре 1940 г. отношение к ильюшинскому штурмовику со стороны А.И. Шахурина резко переменилось: он вдруг стал "нужен ВВС КА незамедлительно". Сам Александр Иванович весьма тактично написал в мемуарах об этом этапе: "Сказать откровенно, штурмовик Ильюшина не всеми был принят: раздавались и неодобрительные и осторожные голоса. Потребовались большие усилия, чтобы изменить отношение к этому самолету" (11149).</w:t>
      </w:r>
    </w:p>
    <w:p w14:paraId="48AC97B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0444CAD"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ноябре-декабре 1940 года переконструированный в тренировочный истребитель УТ-1 с мотором М-11, вооруженный 1 пулеметом 7,62 мм вперед через винт и с упрощенным пилотирование (Завод № 47) проходил гос. испытания в НИИ ВВС. К серийной постройке не рекомендован (4048, 4).</w:t>
      </w:r>
    </w:p>
    <w:p w14:paraId="773E477C"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B495A8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ноябре-декабре 1940 мотор М-30 проходил 100-часовые гос. испытания. Отчет о гос. испытаниях мотора М-30 утвержден КО. Результаты испытаний признаны удовлетворительными. Мотор запущен в серийное производство (4048, 4).</w:t>
      </w:r>
    </w:p>
    <w:p w14:paraId="3823D2D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15BCF4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A2CB75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08203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ноября - декабря 1940, в соответствии с директивой зам. наркома обороны №76791 от 25 октября 1940 года, три первых серийных Т-34 подверглись интенсивным испытаниям на НИБТПолигоне, офицеры которого выявили так много конструктивных недостатков у новых машин, что усомнились в их боеспособности. Снова был поднят вопрос о снятии Т-34 с производства. К тому же у ряда руководителей ГАБТУ и Наркомата обороны существовало устойчивое мнение - самым массовым танком Красной Армии должен был стать легкий Т-50 (3862).</w:t>
      </w:r>
    </w:p>
    <w:p w14:paraId="06BE0AB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3AEA5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ноябре-декабре 1940 на НИИБТ полигоне прошло испытание приспособление для выкапывания траншей, прицепляющееся к танку БТ. За один проход делали глубиной 500 мм, шириной по днищу - 300 мм, по верху - 850 мм. Потом сделали под Т-26, Т-34 и КВ (3881,30).</w:t>
      </w:r>
    </w:p>
    <w:p w14:paraId="1E163CA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621C0F6"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В ноябре — декабре 1940-го. Проходили испытания серийных Т-34.</w:t>
      </w:r>
    </w:p>
    <w:p w14:paraId="67F48597" w14:textId="77777777" w:rsidR="00C66762" w:rsidRPr="00A3026E" w:rsidRDefault="00C66762" w:rsidP="00A3026E">
      <w:pPr>
        <w:pStyle w:val="ae"/>
        <w:spacing w:before="0" w:after="0"/>
        <w:jc w:val="both"/>
        <w:rPr>
          <w:color w:val="000000" w:themeColor="text1"/>
          <w:sz w:val="16"/>
          <w:szCs w:val="16"/>
        </w:rPr>
      </w:pPr>
      <w:r w:rsidRPr="00A3026E">
        <w:rPr>
          <w:color w:val="000000" w:themeColor="text1"/>
          <w:sz w:val="16"/>
          <w:szCs w:val="16"/>
        </w:rPr>
        <w:t>Отчет об этих испытаниях содержал довольно много нелицеприятных моментов.</w:t>
      </w:r>
    </w:p>
    <w:p w14:paraId="2AB5E519"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 результате проведенных боевых стрельб с решением огневых задач, выявлены недостатки:</w:t>
      </w:r>
    </w:p>
    <w:p w14:paraId="1F22B17F"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1) Стесненность экипажа в боевом отделении обусловленная малыми габаритами башни по погону.</w:t>
      </w:r>
    </w:p>
    <w:p w14:paraId="11001E92"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2) Неудобства пользования боекомплектом, уложенным в полу боевого отделения.</w:t>
      </w:r>
    </w:p>
    <w:p w14:paraId="4CA17AD0"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3) Задержка при переносе огня, вследствие неудобного расположения поворотного механизма башни (ручного и электропривода).</w:t>
      </w:r>
    </w:p>
    <w:p w14:paraId="69F16B1B"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4) Отсутствие зрительной связи между танками при решении огневой задачи вследствие того, что единственный прибор, допускающий круговой обзор — ПТ-6 используется только для прицеливания.</w:t>
      </w:r>
    </w:p>
    <w:p w14:paraId="6DA6DA13"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5) Невозможность пользования прицелом ТОД-6 вследствие перекрывания шкалы углов прицеливания прибором ПТ-6.</w:t>
      </w:r>
    </w:p>
    <w:p w14:paraId="350900FE"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6) Значительные и медленно затухающие колебания танка при движении, отрицательно сказываются на меткости стрельбы из пушки и пулеметов.</w:t>
      </w:r>
    </w:p>
    <w:p w14:paraId="3577CDF1"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Отмеченные недостатки снижают темп огня, вызывают большой расход времени на решение огневой задачи.</w:t>
      </w:r>
    </w:p>
    <w:p w14:paraId="50245CD5"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Определение скорострельности 76-мм пушки…</w:t>
      </w:r>
    </w:p>
    <w:p w14:paraId="1E0A3FC2"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Полученная средняя практическая скорострельность — два выстрела в минуту. Скорострельность недостаточна…</w:t>
      </w:r>
    </w:p>
    <w:p w14:paraId="0A3CA9EE"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УПРАВЛЕНИЕ ОГНЕМ ИЗ ТАНКА И УДОБСТВО ПОЛЬЗОВАНИЯ ПРИЦЕЛАМИ, ПРИБОРАМИ НАБЛЮДЕНИЯ И БОЕКОМПЛЕКТОМ</w:t>
      </w:r>
    </w:p>
    <w:p w14:paraId="544FC8A1"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Поворотный механизм башни (ручной).</w:t>
      </w:r>
    </w:p>
    <w:p w14:paraId="13D0B909"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Поворот башни осуществляется правой рукой. Расположение маховика и рукоятки поворотного механизма не обеспечивает быстрого поворота башни и вызывает сильное утомление руки.</w:t>
      </w:r>
    </w:p>
    <w:p w14:paraId="49573B00"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При одновременной работе поворотным механизмом и наблюдении в прибор ПТ-6 маховик и рукоятка управления упираются в грудь, затрудняя быстрое вращение башни. Усилия на рукоятке поворотного механизма сильно возрастают при увеличении угла крена башни</w:t>
      </w:r>
      <w:hyperlink r:id="rId128" w:anchor="n_64" w:history="1">
        <w:r w:rsidRPr="00A3026E">
          <w:rPr>
            <w:rStyle w:val="a5"/>
            <w:color w:val="000000" w:themeColor="text1"/>
            <w:sz w:val="16"/>
            <w:szCs w:val="16"/>
          </w:rPr>
          <w:t>[64]</w:t>
        </w:r>
      </w:hyperlink>
      <w:r w:rsidRPr="00A3026E">
        <w:rPr>
          <w:iCs/>
          <w:color w:val="000000" w:themeColor="text1"/>
          <w:sz w:val="16"/>
          <w:szCs w:val="16"/>
        </w:rPr>
        <w:t>и значительно затрудняют работу…</w:t>
      </w:r>
    </w:p>
    <w:p w14:paraId="327F59B3"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Электропривод поворотного механизма башни.</w:t>
      </w:r>
    </w:p>
    <w:p w14:paraId="5AA0F4AD"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Доступ к пусковому маховику электропривода затруднен снизу корпусом электромотора, слева смотровым прибором и корпусом башни, справа налобником и прибором ПТ-6. Поворот башни в любую сторону возможен лишь при условии отклонения головы от налобника прибора ПТ-6, т. е. вращение башни фактически производится вслепую…</w:t>
      </w:r>
    </w:p>
    <w:p w14:paraId="6BD78A14"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Телескопический прицел ТОД-6.</w:t>
      </w:r>
    </w:p>
    <w:p w14:paraId="46D91D6C"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Окно шкалы углов прицеливания телескопического прицела перекрывается рычагом углов местности прибора ПТ-6… Установка прицельных данных возможна при углах возвышения 4–5,5 градуса и 9–12 градусов</w:t>
      </w:r>
      <w:hyperlink r:id="rId129" w:anchor="n_65" w:history="1">
        <w:r w:rsidRPr="00A3026E">
          <w:rPr>
            <w:rStyle w:val="a5"/>
            <w:color w:val="000000" w:themeColor="text1"/>
            <w:sz w:val="16"/>
            <w:szCs w:val="16"/>
          </w:rPr>
          <w:t>[65]</w:t>
        </w:r>
      </w:hyperlink>
      <w:r w:rsidRPr="00A3026E">
        <w:rPr>
          <w:iCs/>
          <w:color w:val="000000" w:themeColor="text1"/>
          <w:sz w:val="16"/>
          <w:szCs w:val="16"/>
        </w:rPr>
        <w:t>, что фактически лишает возможности вести стрельбу с прицелом ТОД-6. Барабанчик шкалы углов прицеливания расположен в средней части прицела и доступ к нему крайне затруднен.</w:t>
      </w:r>
    </w:p>
    <w:p w14:paraId="124A9154"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Перископический прицел ПТ-6.</w:t>
      </w:r>
    </w:p>
    <w:p w14:paraId="51B5F5DE"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При угле возвышения 7 градусов и ниже, до максимального угла снижения, доступ к рукоятке механизма кругового обзора возможен лишь тремя пальцами вследствие того, что сектор подъемного механизма пушки не допускает охвата рукоятки кистью руки. Указанное положение не обеспечивает быстрого просмотра местности.</w:t>
      </w:r>
    </w:p>
    <w:p w14:paraId="4CA621E2"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Смотровой прибор „кругового обзора“.</w:t>
      </w:r>
    </w:p>
    <w:p w14:paraId="1C6ECBF2"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Доступ к прибору крайне затруднен и наблюдение возможно в ограниченном секторе вправо до 120 градусов… Ограниченный сектор обзора, полная невозможность наблюдения в остальном сеторе и …неудобное положение головы при наблюдении делает смотровой прибор непригодным в работе.</w:t>
      </w:r>
    </w:p>
    <w:p w14:paraId="6192CB85"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Смотровые приборы башни (боковые).</w:t>
      </w:r>
    </w:p>
    <w:p w14:paraId="57968787"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Расположение смотровых приборов относительно наблюдателя неудобное. Недостатками являются значительное мертвое пространство (15,5 м), небольшой угол обзора, невозможность очистки защитных стекол без выхода из танка и низкое расположение относительно сидения.</w:t>
      </w:r>
    </w:p>
    <w:p w14:paraId="44DA3A8E"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Смотровые приборы водителя…</w:t>
      </w:r>
    </w:p>
    <w:p w14:paraId="030544BD"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 практической работе по вождению танка с закрытым люком выявлены существенные недостатки смотровых приборов. При движении по загрязненной грунтовой дороге и целине в течение 5–10 минут смотровые приборы забиваются грязью до полной потери видимости. Стеклоочиститель центрального прибора не обеспечивает очистку защитного стекла от грязи. Вождение танка с закрытым люком крайне затруднено. При стрельбе защитные стекла смотровых приборов лопаются…</w:t>
      </w:r>
    </w:p>
    <w:p w14:paraId="7C2AB064"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Смотровые приборы водителя в целом непригодны.</w:t>
      </w:r>
    </w:p>
    <w:p w14:paraId="0CBDF334"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Все установленные на танке прицельные приборы ПТ-6, ТОД-6 и приборы наблюдения в боевом отделении и отделении управления не имеют защиты от атмосферных осадков, дорожной пыли и грязи. В каждом отдельном случае потери видимости очистку приборов возможно проводить только с внешней стороны танка. В условиях пониженной видимости (туман) головка прицела ПТ-6 запотевает через 3–5 минут до полной потери видимости.</w:t>
      </w:r>
    </w:p>
    <w:p w14:paraId="6E27DAA5"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lastRenderedPageBreak/>
        <w:t>Удобство пользования боекомплектом.</w:t>
      </w:r>
    </w:p>
    <w:p w14:paraId="09FBD418"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Боекомплект 76-мм пушки.</w:t>
      </w:r>
    </w:p>
    <w:p w14:paraId="1D0462C7"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Укладка патронов в кассетах не обеспечивает достаточного темпа ведения огня по следующим причинам:</w:t>
      </w:r>
    </w:p>
    <w:p w14:paraId="4C4E3FC3"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1) Неудобство доставания патронов из кассет.</w:t>
      </w:r>
    </w:p>
    <w:p w14:paraId="70F10303"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2) Крайне затруднен доступ к патронам, расположенным с левой стороны по ходу танка.</w:t>
      </w:r>
    </w:p>
    <w:p w14:paraId="690D8EDC"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3) Затруднена укладка патронов в кассеты наличием большого количества крышек (24 шт.) и резиновых прокладок между патронами. Время затрачиваемое на укладку полного боекомплекта определяется в 2–2,5 часа.</w:t>
      </w:r>
    </w:p>
    <w:p w14:paraId="482E8907"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4) Отсутствие достаточной плотности укладки патронов в кассетах, приводящая к самоотвинчиванию дистанционных трубок и капсюлей гильз.</w:t>
      </w:r>
    </w:p>
    <w:p w14:paraId="3C4BBC17"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5) Наличие острых краев кассет, вызывающие ранения рук заряжающего.</w:t>
      </w:r>
    </w:p>
    <w:p w14:paraId="407BA36F"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6) Загрязнение боекомплекта после пробега в 200–300 км в осенний период времени достигает значительной величины. Использование полного боекомплекта возможно только после предварительной очистки всех патронов.</w:t>
      </w:r>
    </w:p>
    <w:p w14:paraId="6239B46F"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Боекомплект к пулеметам ДТ.</w:t>
      </w:r>
    </w:p>
    <w:p w14:paraId="5ACC01BB"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При проведении стрельб из пулеметов выявлены следующие недостатки:</w:t>
      </w:r>
    </w:p>
    <w:p w14:paraId="5F6B42FD"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1) Сильное загрязнение магазинов в отделении управления.</w:t>
      </w:r>
    </w:p>
    <w:p w14:paraId="30F5DEDE"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2) Запыление выступающих частей магазинов, уложенных в нише башни.</w:t>
      </w:r>
    </w:p>
    <w:p w14:paraId="6373C742"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3) Невозможность использования боекомплекта без предварительной очистки его от загрязнения.</w:t>
      </w:r>
    </w:p>
    <w:p w14:paraId="6BB01C4B"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4) Выемка отдельных магазинов в нише башни затруднена, вследствие заедания их в укладке.</w:t>
      </w:r>
    </w:p>
    <w:p w14:paraId="5E3A69F9"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Удобство рабочих мест и освещение боевого отделения.</w:t>
      </w:r>
    </w:p>
    <w:p w14:paraId="020051B3"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Сидения командира башни и заряжающего по своим габаритам велики. Спинки сидений не обеспечивают удобного положении корпуса, занимают много места и не предохраняют от попадания одежды в погон башни (сидение заряжающего). При проведении боевых стрельб сидение заряжающего затрудняет выемку патронов, связывает движение и задевает за бортовую укладку боекомплекта. Указанное положение усугубляется значительной скученностью экипажа в отделении управления…</w:t>
      </w:r>
    </w:p>
    <w:p w14:paraId="614AE424"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Общим недостатком артсистем Л-11, установленных в танках является:</w:t>
      </w:r>
    </w:p>
    <w:p w14:paraId="111F280D"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а) Отказ в работе спускового механизма…</w:t>
      </w:r>
    </w:p>
    <w:p w14:paraId="73504593"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б) Незащищенность заряжающего от ударов рукояткой затвора при срабатывании полуавтоматики.</w:t>
      </w:r>
    </w:p>
    <w:p w14:paraId="698A03D9"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 Ненадежность в работе ножного спуска, допускающего, при несвоевременном и неполном снятии носка ноги с педали спуска, заклинивание ползуна спускового механизма и недокат артсистемы…</w:t>
      </w:r>
    </w:p>
    <w:p w14:paraId="6EC287F3"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…Вывод.</w:t>
      </w:r>
    </w:p>
    <w:p w14:paraId="37E6799A"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Установка вооружения, оптика и укладка боекомплекта в танке Т-34 не удовлетворяют требованиям, предъявляемым к современным боевым машинам.</w:t>
      </w:r>
    </w:p>
    <w:p w14:paraId="1FD3DA65"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Основными недостатками являются:</w:t>
      </w:r>
    </w:p>
    <w:p w14:paraId="1D6E192E"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а) Теснота боевого отделения;</w:t>
      </w:r>
    </w:p>
    <w:p w14:paraId="23C8ADF0"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б) Слепота танка;</w:t>
      </w:r>
    </w:p>
    <w:p w14:paraId="64C59AD0"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 Неудачно разрешенная укладка боекомплекта.</w:t>
      </w:r>
    </w:p>
    <w:p w14:paraId="0BD11A79"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Для обеспечения нормального расположения вооружения, приборов стрельбы и наблюдения и экипажа необходимо:</w:t>
      </w:r>
    </w:p>
    <w:p w14:paraId="6FF13F90"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Расширить габаритные размеры башни.</w:t>
      </w:r>
    </w:p>
    <w:p w14:paraId="15206C94"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По 76-мм пушке:</w:t>
      </w:r>
    </w:p>
    <w:p w14:paraId="17F22796"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Заменить щиток спускового механизма более совершенной конструкцией, обеспечивающей безотказность в работе.</w:t>
      </w:r>
    </w:p>
    <w:p w14:paraId="3FE55359"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Рукоятку затвора огородить щитком или сделать складной.</w:t>
      </w:r>
    </w:p>
    <w:p w14:paraId="5BBB5D77"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Снять ножной спуск, заменив его спусками на рукоятках механизмов наводки.</w:t>
      </w:r>
    </w:p>
    <w:p w14:paraId="3DFD79CB"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По пулемету ДТ:</w:t>
      </w:r>
    </w:p>
    <w:p w14:paraId="4036393D"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Обеспечить возможность раздельной стрельбы из пулемета, связанного с пушкой.</w:t>
      </w:r>
    </w:p>
    <w:p w14:paraId="7B3EA07D"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Увеличить обзорность и меткость стрельбы пулемета радиста установкой оптического прицела…</w:t>
      </w:r>
    </w:p>
    <w:p w14:paraId="2C9FD89E"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По механизмам наводки и прицелам.</w:t>
      </w:r>
    </w:p>
    <w:p w14:paraId="0B45ECF5"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Поворотный механизм (ручной) непригоден. Заменить новой конструкцией, обеспечивающей небольшие усилия и удобство работы…</w:t>
      </w:r>
    </w:p>
    <w:p w14:paraId="14A03864"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Пусковой механизм электропривода поворота башни расположить так, чтобы он обеспечивал поворот с одновременным наблюдением за местностью.</w:t>
      </w:r>
    </w:p>
    <w:p w14:paraId="61A00F72"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Заменить телескопический прицел ТОД-6 прицелом типа ТМФ со шкалой углов прицеливания в поле зрения прибора.</w:t>
      </w:r>
    </w:p>
    <w:p w14:paraId="547D6E51"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По смотровым приборам.</w:t>
      </w:r>
    </w:p>
    <w:p w14:paraId="6AFDF476"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Заменить смотровой прибор водителя, как явно непригодный, более совершенной конструкцией.</w:t>
      </w:r>
    </w:p>
    <w:p w14:paraId="2B98474F"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Установить в крыше башни прибор, обеспечивающий круговой обзор из танка.</w:t>
      </w:r>
    </w:p>
    <w:p w14:paraId="0BF45FAB"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По укладке боекомплекта.</w:t>
      </w:r>
    </w:p>
    <w:p w14:paraId="3906DEEA"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Укладка боекомплекта 76-мм пушки в кассетах непригодна. Следует укладку патронов расположить так, чтобы был одновременно доступ к целому ряду патронов…</w:t>
      </w:r>
    </w:p>
    <w:p w14:paraId="57A28EE6"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Броневой корпус.</w:t>
      </w:r>
    </w:p>
    <w:p w14:paraId="1250E9DF"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Выводы.</w:t>
      </w:r>
    </w:p>
    <w:p w14:paraId="4528BB18"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Корпус танка и башня в данном исполнении неудовлетворительны. Необходимо увеличить размеры башни за счет увеличении погона и изменения угла наклона броневых листов.</w:t>
      </w:r>
    </w:p>
    <w:p w14:paraId="469E7291"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Полезный объем корпуса может быть увеличен за счет изменения подвески ходовой части и упразднения бортовых колодцев.</w:t>
      </w:r>
    </w:p>
    <w:p w14:paraId="479DFF44"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Средства связи.</w:t>
      </w:r>
    </w:p>
    <w:p w14:paraId="13569E56"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Выводы.</w:t>
      </w:r>
    </w:p>
    <w:p w14:paraId="7D04F96B"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Монтаж рации выполнен неудовлетворительно по следующим причинам:</w:t>
      </w:r>
    </w:p>
    <w:p w14:paraId="42E17635"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Антенна в опущенном состоянии ничем не защищена от повреждений… Конструкция и расположение рукоятки подъемного механизма антенны не обеспечивает надежного подъема антенны.</w:t>
      </w:r>
    </w:p>
    <w:p w14:paraId="5E809E4D"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Умформер приемника смонтирован под ногами радиста, токоведущая клемма повреждается и умформер загрязняется.</w:t>
      </w:r>
    </w:p>
    <w:p w14:paraId="0745E204"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Приемник смонтирован слишком низко и далеко от радиста, настройка его затруднена.</w:t>
      </w:r>
    </w:p>
    <w:p w14:paraId="1EFC7877"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Колодки питания рации (нового типа) неудобны в эксплуатации — имеют много выступов, цепляющихся за одежду и ранящих руки…</w:t>
      </w:r>
    </w:p>
    <w:p w14:paraId="56A62BDF"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Монтаж в целом не обеспечивает стабильности работы рации на предельно дальних расстояниях.</w:t>
      </w:r>
    </w:p>
    <w:p w14:paraId="3FEDDE28"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Эксплуатационные показатели и надежность агрегатов танка.</w:t>
      </w:r>
    </w:p>
    <w:p w14:paraId="23707DB3"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Динамика танка.</w:t>
      </w:r>
    </w:p>
    <w:p w14:paraId="2D92F559"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 тяжелых дорожных условиях при переходе с 2-й на 3-ю передачу танк за время переключения настолько теряет инерцию, что это влечет к остановке или длительной пробуксовке главного фрикциона. Это обстоятельство затрудняет использование 3-й передачи в дорожных условиях, вполне допускающих ее применение.</w:t>
      </w:r>
    </w:p>
    <w:p w14:paraId="79DB2F72"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 условиях дождливой осени, весны и снежной зимы этот недостаток танка влечет к резкому снижению скоростей движения по проселочным дорогам и бездорожью…</w:t>
      </w:r>
    </w:p>
    <w:p w14:paraId="68B819A1"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Выводы.</w:t>
      </w:r>
    </w:p>
    <w:p w14:paraId="79BC2102"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Ввиду того, что наиболее необходимая в условиях войсковой эксплуатации 3-я передача не может быть полностью использована — динамику танка в целом следует считать неудовлетворительной.</w:t>
      </w:r>
    </w:p>
    <w:p w14:paraId="414B3CAB"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Технические скорости низки, что обусловлено ненадежностью главного фрикциона и ходовой части.</w:t>
      </w:r>
    </w:p>
    <w:p w14:paraId="7E63382B"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Проходимость.</w:t>
      </w:r>
    </w:p>
    <w:p w14:paraId="3F6ED7D6"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Вывод.</w:t>
      </w:r>
    </w:p>
    <w:p w14:paraId="1A5AFD4B"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Проходимость танка Т-34 в осенних условиях неудовлетворительна по следующим причинам:</w:t>
      </w:r>
    </w:p>
    <w:p w14:paraId="2FB3E3D7"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Входящая в зацепление с грунтом поверхность трака недостаточно развита, следствием чего является буксование гусениц на подъемах даже при незначительном влажном покрове. Эффективность входящих в комплект шпор незначительна.</w:t>
      </w:r>
    </w:p>
    <w:p w14:paraId="23386E6C"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Фиксация гусеницы в опорных колесах ненадежна…</w:t>
      </w:r>
    </w:p>
    <w:p w14:paraId="46F0EB5E"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Малое количество опорных колес отрицательно влияет на проходимость по заболоченным участкам, несмотря на небольшое общее удельное давление.</w:t>
      </w:r>
    </w:p>
    <w:p w14:paraId="23824F97"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Надежность работы агрегатов танка.</w:t>
      </w:r>
    </w:p>
    <w:p w14:paraId="5934108C"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Двигатель, системы топлива, смазки, охлаждения и контрольные приборы.</w:t>
      </w:r>
    </w:p>
    <w:p w14:paraId="3D6BA9A5"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Выводы.</w:t>
      </w:r>
    </w:p>
    <w:p w14:paraId="6657F029"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 xml:space="preserve">Надежность двигателя в пределах гарантийного срока (100 часов) удовлетворительна. Гарантийный срок двигателя, особенно для данной толстобронной машины, </w:t>
      </w:r>
      <w:r w:rsidRPr="00A3026E">
        <w:rPr>
          <w:iCs/>
          <w:color w:val="000000" w:themeColor="text1"/>
          <w:sz w:val="16"/>
          <w:szCs w:val="16"/>
        </w:rPr>
        <w:lastRenderedPageBreak/>
        <w:t>мал. Необходимо его довести не менее чем до 250 часов.</w:t>
      </w:r>
    </w:p>
    <w:p w14:paraId="56A55133"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Постоянные течи масла и выход из строя контрольных приборов характеризуют работу системы смазки и соединения контрольных приборов неудовлетворительно.</w:t>
      </w:r>
    </w:p>
    <w:p w14:paraId="1F28F87B"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Главный фрикцион.</w:t>
      </w:r>
    </w:p>
    <w:p w14:paraId="01D15031"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Работа узла главного фрикциона и вентилятора в целом неудовлетворительна.</w:t>
      </w:r>
    </w:p>
    <w:p w14:paraId="55FE228B"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Коробка перемены передач.</w:t>
      </w:r>
    </w:p>
    <w:p w14:paraId="118017ED"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 пробеге были неоднократно на всех машинах отмечены случаи „потери нейтрали“ (рычаг кулисы находится в нейтральном положении, а скорость включена) и тяжелого переключения передач…</w:t>
      </w:r>
    </w:p>
    <w:p w14:paraId="7A229904"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Неправильный выбор передаточных чисел коробки перемены передач является причиной неудовлетворительной динамики танка и снижает его тактическую ценность.</w:t>
      </w:r>
    </w:p>
    <w:p w14:paraId="1C5517F4"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Тяжелое включение передач и „потеря нейтрали“ затрудняют управление танком и ведут к вынужденным остановкам.</w:t>
      </w:r>
    </w:p>
    <w:p w14:paraId="0784BBE5"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Коробка перемены передач и ее привод требуют коренных изменений.</w:t>
      </w:r>
    </w:p>
    <w:p w14:paraId="0A28E1EA"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Ходовая часть.</w:t>
      </w:r>
    </w:p>
    <w:p w14:paraId="5D6F7771"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Малый срок службы и низкие сцепные качества траков, ухудшение размещения агрегатов танка колодцами подвесок, большой расход резины на опорные колеса и гребневое зацепление характеризуют конструктивные и прочностные качества ходовой части как неудовлетворительные.</w:t>
      </w:r>
    </w:p>
    <w:p w14:paraId="1846150D"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Электрооборудование.</w:t>
      </w:r>
    </w:p>
    <w:p w14:paraId="53A255E2"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Стартер СТ-200 и реле РС-371 при существующих монтажных и производственных дефектах к установке на танках Т-34 непригодны.</w:t>
      </w:r>
    </w:p>
    <w:p w14:paraId="15C5A7DB"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Укладка запчастей, инструмента, личных вещей, запаса продовольствия и спецоборудования.</w:t>
      </w:r>
    </w:p>
    <w:p w14:paraId="5AC52D7C"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Укладка запчастей, инструмента, личных вещей, запаса продовольствия, инженерного и химического имущества на танке Т-34 не отработана.</w:t>
      </w:r>
    </w:p>
    <w:p w14:paraId="596EDF56"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Ремонт.</w:t>
      </w:r>
    </w:p>
    <w:p w14:paraId="0D7AD8A9"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Соотношение времени чистого движения, ремонта и остановок по техническим неисправностям по всем трем танкам:</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626"/>
        <w:gridCol w:w="1537"/>
        <w:gridCol w:w="456"/>
        <w:gridCol w:w="3080"/>
      </w:tblGrid>
      <w:tr w:rsidR="00983732" w:rsidRPr="00A3026E" w14:paraId="080783E0" w14:textId="77777777" w:rsidTr="00EA0DA7">
        <w:tc>
          <w:tcPr>
            <w:tcW w:w="0" w:type="auto"/>
            <w:vMerge w:val="restart"/>
            <w:shd w:val="clear" w:color="auto" w:fill="auto"/>
            <w:hideMark/>
          </w:tcPr>
          <w:p w14:paraId="3CD68C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Виды работ</w:t>
            </w:r>
          </w:p>
        </w:tc>
        <w:tc>
          <w:tcPr>
            <w:tcW w:w="0" w:type="auto"/>
            <w:gridSpan w:val="2"/>
            <w:shd w:val="clear" w:color="auto" w:fill="auto"/>
            <w:hideMark/>
          </w:tcPr>
          <w:p w14:paraId="0DE78A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w:t>
            </w:r>
          </w:p>
        </w:tc>
        <w:tc>
          <w:tcPr>
            <w:tcW w:w="0" w:type="auto"/>
            <w:vMerge w:val="restart"/>
            <w:shd w:val="clear" w:color="auto" w:fill="auto"/>
            <w:hideMark/>
          </w:tcPr>
          <w:p w14:paraId="06B926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w:t>
            </w:r>
          </w:p>
        </w:tc>
      </w:tr>
      <w:tr w:rsidR="00983732" w:rsidRPr="00A3026E" w14:paraId="145F92DE" w14:textId="77777777" w:rsidTr="00EA0DA7">
        <w:tc>
          <w:tcPr>
            <w:tcW w:w="0" w:type="auto"/>
            <w:vMerge/>
            <w:shd w:val="clear" w:color="auto" w:fill="auto"/>
            <w:hideMark/>
          </w:tcPr>
          <w:p w14:paraId="235AEDC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0" w:type="auto"/>
            <w:shd w:val="clear" w:color="auto" w:fill="auto"/>
            <w:hideMark/>
          </w:tcPr>
          <w:p w14:paraId="72600C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Часов</w:t>
            </w:r>
          </w:p>
        </w:tc>
        <w:tc>
          <w:tcPr>
            <w:tcW w:w="0" w:type="auto"/>
            <w:shd w:val="clear" w:color="auto" w:fill="auto"/>
            <w:hideMark/>
          </w:tcPr>
          <w:p w14:paraId="69DDF8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vMerge/>
            <w:shd w:val="clear" w:color="auto" w:fill="auto"/>
            <w:hideMark/>
          </w:tcPr>
          <w:p w14:paraId="03A2B75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E1703BF" w14:textId="77777777" w:rsidTr="00EA0DA7">
        <w:tc>
          <w:tcPr>
            <w:tcW w:w="0" w:type="auto"/>
            <w:shd w:val="clear" w:color="auto" w:fill="auto"/>
            <w:hideMark/>
          </w:tcPr>
          <w:p w14:paraId="31920C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Общее время работ</w:t>
            </w:r>
          </w:p>
        </w:tc>
        <w:tc>
          <w:tcPr>
            <w:tcW w:w="0" w:type="auto"/>
            <w:shd w:val="clear" w:color="auto" w:fill="auto"/>
            <w:hideMark/>
          </w:tcPr>
          <w:p w14:paraId="4AF505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922 часа 56 минут</w:t>
            </w:r>
          </w:p>
        </w:tc>
        <w:tc>
          <w:tcPr>
            <w:tcW w:w="0" w:type="auto"/>
            <w:shd w:val="clear" w:color="auto" w:fill="auto"/>
            <w:hideMark/>
          </w:tcPr>
          <w:p w14:paraId="34DEEC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shd w:val="clear" w:color="auto" w:fill="auto"/>
            <w:hideMark/>
          </w:tcPr>
          <w:p w14:paraId="673382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78897E9" w14:textId="77777777" w:rsidTr="00EA0DA7">
        <w:tc>
          <w:tcPr>
            <w:tcW w:w="0" w:type="auto"/>
            <w:shd w:val="clear" w:color="auto" w:fill="auto"/>
            <w:hideMark/>
          </w:tcPr>
          <w:p w14:paraId="13F77D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Чистое движение</w:t>
            </w:r>
          </w:p>
        </w:tc>
        <w:tc>
          <w:tcPr>
            <w:tcW w:w="0" w:type="auto"/>
            <w:shd w:val="clear" w:color="auto" w:fill="auto"/>
            <w:hideMark/>
          </w:tcPr>
          <w:p w14:paraId="189ED2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 часов 47 минут</w:t>
            </w:r>
          </w:p>
        </w:tc>
        <w:tc>
          <w:tcPr>
            <w:tcW w:w="0" w:type="auto"/>
            <w:shd w:val="clear" w:color="auto" w:fill="auto"/>
            <w:hideMark/>
          </w:tcPr>
          <w:p w14:paraId="200571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w:t>
            </w:r>
          </w:p>
        </w:tc>
        <w:tc>
          <w:tcPr>
            <w:tcW w:w="0" w:type="auto"/>
            <w:shd w:val="clear" w:color="auto" w:fill="auto"/>
            <w:hideMark/>
          </w:tcPr>
          <w:p w14:paraId="0BDCFA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A8DE793" w14:textId="77777777" w:rsidTr="00EA0DA7">
        <w:tc>
          <w:tcPr>
            <w:tcW w:w="0" w:type="auto"/>
            <w:shd w:val="clear" w:color="auto" w:fill="auto"/>
            <w:hideMark/>
          </w:tcPr>
          <w:p w14:paraId="0E3884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Ремонты</w:t>
            </w:r>
          </w:p>
        </w:tc>
        <w:tc>
          <w:tcPr>
            <w:tcW w:w="0" w:type="auto"/>
            <w:shd w:val="clear" w:color="auto" w:fill="auto"/>
            <w:hideMark/>
          </w:tcPr>
          <w:p w14:paraId="294BD7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414 часов</w:t>
            </w:r>
          </w:p>
        </w:tc>
        <w:tc>
          <w:tcPr>
            <w:tcW w:w="0" w:type="auto"/>
            <w:shd w:val="clear" w:color="auto" w:fill="auto"/>
            <w:hideMark/>
          </w:tcPr>
          <w:p w14:paraId="5DA110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0" w:type="auto"/>
            <w:shd w:val="clear" w:color="auto" w:fill="auto"/>
            <w:hideMark/>
          </w:tcPr>
          <w:p w14:paraId="06F5B0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Производились рембригадой из 2 человек</w:t>
            </w:r>
          </w:p>
        </w:tc>
      </w:tr>
      <w:tr w:rsidR="00983732" w:rsidRPr="00A3026E" w14:paraId="74217AF9" w14:textId="77777777" w:rsidTr="00EA0DA7">
        <w:tc>
          <w:tcPr>
            <w:tcW w:w="0" w:type="auto"/>
            <w:shd w:val="clear" w:color="auto" w:fill="auto"/>
            <w:hideMark/>
          </w:tcPr>
          <w:p w14:paraId="50F9A0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Устранение неисправностей в пути</w:t>
            </w:r>
          </w:p>
        </w:tc>
        <w:tc>
          <w:tcPr>
            <w:tcW w:w="0" w:type="auto"/>
            <w:shd w:val="clear" w:color="auto" w:fill="auto"/>
            <w:hideMark/>
          </w:tcPr>
          <w:p w14:paraId="138024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158 часов 9 минут</w:t>
            </w:r>
          </w:p>
        </w:tc>
        <w:tc>
          <w:tcPr>
            <w:tcW w:w="0" w:type="auto"/>
            <w:shd w:val="clear" w:color="auto" w:fill="auto"/>
            <w:hideMark/>
          </w:tcPr>
          <w:p w14:paraId="36000D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c>
          <w:tcPr>
            <w:tcW w:w="0" w:type="auto"/>
            <w:shd w:val="clear" w:color="auto" w:fill="auto"/>
            <w:hideMark/>
          </w:tcPr>
          <w:p w14:paraId="3B2421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Производились экипажем</w:t>
            </w:r>
          </w:p>
        </w:tc>
      </w:tr>
    </w:tbl>
    <w:p w14:paraId="4377A282"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Вывод.</w:t>
      </w:r>
    </w:p>
    <w:p w14:paraId="5FA23F66"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Соотношение времени чистого движения и восстановительных работ (38 % и 62 %) свидетельствует о низком качестве технического исполнения танка.</w:t>
      </w:r>
    </w:p>
    <w:p w14:paraId="6E6714A7"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Объем и сложность основных ремонтных работ исключают возможность восстановления танка силами экипажа и требуют использования средств РВБ</w:t>
      </w:r>
      <w:hyperlink r:id="rId130" w:anchor="n_66" w:history="1">
        <w:r w:rsidRPr="00A3026E">
          <w:rPr>
            <w:rStyle w:val="a5"/>
            <w:color w:val="000000" w:themeColor="text1"/>
            <w:sz w:val="16"/>
            <w:szCs w:val="16"/>
          </w:rPr>
          <w:t>[66]</w:t>
        </w:r>
      </w:hyperlink>
      <w:r w:rsidRPr="00A3026E">
        <w:rPr>
          <w:color w:val="000000" w:themeColor="text1"/>
          <w:sz w:val="16"/>
          <w:szCs w:val="16"/>
        </w:rPr>
        <w:t>.</w:t>
      </w:r>
    </w:p>
    <w:p w14:paraId="03903A64"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Наличие перечисленных выше ремонтных работ в пределах гарантийного срока не допускает использования танка в отрыве от ремонтных средств, что в условиях войсковой эксплуатации неприемлемо.</w:t>
      </w:r>
    </w:p>
    <w:p w14:paraId="4F1CBB36"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Обслуживание.</w:t>
      </w:r>
    </w:p>
    <w:p w14:paraId="1C46D8E4"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Большие объем и время обслуживания танков, обусловленные ненадежностью работы отдельных агрегатов, для войсковой эксплуатации неприемлемы.</w:t>
      </w:r>
    </w:p>
    <w:p w14:paraId="64FB673C"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 представленном на испытания виде танк Т-34 не удовлетворяет современным требованиям к данному классу танков по следующим причинам:</w:t>
      </w:r>
    </w:p>
    <w:p w14:paraId="1BB462C8"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а) Огневая мощь танка не может быть полностью использована вследствие непригодности приборов наблюдения, дефектов установки вооружения и оптики, тесноты боевого отделения и неудобства пользования боеукладкой.</w:t>
      </w:r>
    </w:p>
    <w:p w14:paraId="723E6167"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б) При достаточном запасе мощности двигателя и максимальной скорости, динамическая характеристика танка подобрана неудачно, что снижает скоростные показатели и проходимость танка.</w:t>
      </w:r>
    </w:p>
    <w:p w14:paraId="5E2BA8F3"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в) Тактическое использование танка в отрыве от ремонтных баз невозможно, вследствие ненадежности основных узлов — главного фрикциона и ходовой части.</w:t>
      </w:r>
    </w:p>
    <w:p w14:paraId="4BFD47EC" w14:textId="77777777" w:rsidR="00C66762" w:rsidRPr="00A3026E" w:rsidRDefault="00C66762" w:rsidP="00A3026E">
      <w:pPr>
        <w:pStyle w:val="ae"/>
        <w:spacing w:before="0" w:after="0"/>
        <w:jc w:val="both"/>
        <w:rPr>
          <w:color w:val="000000" w:themeColor="text1"/>
          <w:sz w:val="16"/>
          <w:szCs w:val="16"/>
        </w:rPr>
      </w:pPr>
      <w:r w:rsidRPr="00A3026E">
        <w:rPr>
          <w:iCs/>
          <w:color w:val="000000" w:themeColor="text1"/>
          <w:sz w:val="16"/>
          <w:szCs w:val="16"/>
        </w:rPr>
        <w:t>г) Полученная на испытаниях дальность и надежность связи для танка данного класса недостаточна, что обусловлено как характеристикой рации 71 ТК-3, так и низким качеством ее монтажа в танке Т-34»</w:t>
      </w:r>
      <w:hyperlink r:id="rId131" w:anchor="n_67" w:history="1">
        <w:r w:rsidRPr="00A3026E">
          <w:rPr>
            <w:rStyle w:val="a5"/>
            <w:color w:val="000000" w:themeColor="text1"/>
            <w:sz w:val="16"/>
            <w:szCs w:val="16"/>
          </w:rPr>
          <w:t>[67]</w:t>
        </w:r>
      </w:hyperlink>
      <w:r w:rsidRPr="00A3026E">
        <w:rPr>
          <w:color w:val="000000" w:themeColor="text1"/>
          <w:sz w:val="16"/>
          <w:szCs w:val="16"/>
        </w:rPr>
        <w:t>. (12624).</w:t>
      </w:r>
    </w:p>
    <w:p w14:paraId="4EBCF3D0" w14:textId="77777777" w:rsidR="00C66762" w:rsidRPr="00A3026E" w:rsidRDefault="00C66762" w:rsidP="00A3026E">
      <w:pPr>
        <w:pStyle w:val="ae"/>
        <w:spacing w:before="0" w:after="0"/>
        <w:jc w:val="both"/>
        <w:rPr>
          <w:color w:val="000000" w:themeColor="text1"/>
          <w:sz w:val="16"/>
          <w:szCs w:val="16"/>
        </w:rPr>
      </w:pPr>
    </w:p>
    <w:p w14:paraId="41E24C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ноябре-декабре 1940 на НИБТ прошли испытания плуга-канавакопателя для установки на танкт Т-26, БТ-7М, Т-28, Т-34 и КВ, разработанного специалистами НИИТ полигона РККА в 1940 (9527,247).</w:t>
      </w:r>
    </w:p>
    <w:p w14:paraId="219F9CD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5068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ноябре-декабре 1940 года был частично пущен завод № 384</w:t>
      </w:r>
    </w:p>
    <w:p w14:paraId="3EC6D20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Реконструированный с влившимися в него заводами №№ 234, 451, 338</w:t>
      </w:r>
    </w:p>
    <w:p w14:paraId="6C73CE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производства –крупносерийное</w:t>
      </w:r>
    </w:p>
    <w:p w14:paraId="31C6F1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производства –моторостроение</w:t>
      </w:r>
    </w:p>
    <w:p w14:paraId="381F26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Баш. АССР, Уфа, ст. Черниковка, п/я 20</w:t>
      </w:r>
    </w:p>
    <w:p w14:paraId="1E2771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моторы М-105Р, М-105П и гр. комплекты.</w:t>
      </w:r>
    </w:p>
    <w:p w14:paraId="6A271C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384 – реконструированное предприятие на базе Уфимского моторного завода НКСМ. В августе 1941 года по решению Правительства в завод влились эвакуированные заводы №№ 234, 451 и передан строившийся в Уфе завод № 338. Завод № 384 размещается на двух площадках, расстояние между ними 5 км. В связи со слиянием указанных выше заводов, проект завода № 384 разрабатывается заново (9339).</w:t>
      </w:r>
    </w:p>
    <w:p w14:paraId="798DFA6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6CC2BBD"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71B6E84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0F98D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июля по ноябрь 1940 в ходе налетов на Англию Германия потеряла 1733 самолета, а Англия - 915 (340,11).</w:t>
      </w:r>
    </w:p>
    <w:p w14:paraId="50B6AA8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AB942B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040D3A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20556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осени 1940 г. Сухой получил указание Шахурина использовать ШБ для отработки температурных режимов М-88. После появления «настоящих» штурмовиков Ил-2 и Су-6 машину посчитали неперспективной. Все работы по ШБ прекратили в конце апреля 1941 г. (5360).</w:t>
      </w:r>
    </w:p>
    <w:p w14:paraId="31E6D1C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0B55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осени 1940 на 156 заводе была закончена 103 машина А.Н.Т. (1835,13).</w:t>
      </w:r>
    </w:p>
    <w:p w14:paraId="70DED9C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552DAA" w14:textId="77777777" w:rsidR="00066CED" w:rsidRPr="00A3026E" w:rsidRDefault="00066CED"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осени 1940 г. ма</w:t>
      </w:r>
      <w:r w:rsidRPr="00A3026E">
        <w:rPr>
          <w:rFonts w:ascii="Times New Roman" w:hAnsi="Times New Roman"/>
          <w:color w:val="000000" w:themeColor="text1"/>
          <w:sz w:val="16"/>
          <w:szCs w:val="16"/>
        </w:rPr>
        <w:softHyphen/>
        <w:t>шина «103» 2АМ-37 была закончена постройкой на заводе №156 и затем в разобранном виде была перевезена на аэродром НИИ ВВС в Чкаловскую (10728).</w:t>
      </w:r>
    </w:p>
    <w:p w14:paraId="4EC5972B" w14:textId="77777777" w:rsidR="00066CED" w:rsidRPr="00A3026E" w:rsidRDefault="00066CED" w:rsidP="00A3026E">
      <w:pPr>
        <w:shd w:val="clear" w:color="auto" w:fill="FFFFFF"/>
        <w:spacing w:after="0" w:line="240" w:lineRule="auto"/>
        <w:jc w:val="both"/>
        <w:rPr>
          <w:rFonts w:ascii="Times New Roman" w:hAnsi="Times New Roman"/>
          <w:color w:val="000000" w:themeColor="text1"/>
          <w:sz w:val="16"/>
          <w:szCs w:val="16"/>
        </w:rPr>
      </w:pPr>
    </w:p>
    <w:p w14:paraId="0D45203F" w14:textId="77777777" w:rsidR="00066CED" w:rsidRPr="00A3026E" w:rsidRDefault="00066CED"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конце осени 1940 г. производство мотора М-88 было остановлено. Одновременно были сняты со своих постов директор завода В.В. Чернышев и главный конструктор С.К. Туманский. Он возвратился в Москву, где работал в ЦИАМ, а затем начальником моторного отдела Летно-испытательного института (11478). С целью восстановления серийного производства моторов М-88Б, ставших основным мотором бомбардировочной авиации СССР, главным конструктором завода и руководителем заводского ОКБ был назначен Е.В. Урмин. Он, также как и С.К. Туманский, работал в ЦИАМ и уже имел значительный опыт конструирования моторов. Так Е.В. Урмин был инициатором разработки мощных малогабаритных моторов (МГМ) воздушного охлаждения, и один из таких моторов М-56 создали под его руководством. Благодаря работам по созданию М-56 и попытке создать мотор взамен М-11, Е.В. Урмин хорошо знал двигатели завода № 29. Специалисты ОКБ и СКО завода, понимая важность стоящей перед ними задачи по обеспечению боеспособности отечественной бомбардировочной авиации, в сжатые сроки отработали мероприятия по устранению выявленных в эксплуатации дефектов мотора М-88Б и уже в декабре 1940 г. его производство было возобновлено. В 1941 г. под руководством Е.В. Урмина была создана модификация М-88Ф со взлетной мощностью 1250 л.с. Значительный вклад в создание моторов М-88 и улучшение их эксплуатационных характеристик внес А.Г. Ивченко - будущий главный конструктор завода, основатель и генеральный конструктор Запорожского машиностроительного конструкторского бюро "Прогресс" (ныне Государственное предприятие "Ивченко-Прогресс") (11478).</w:t>
      </w:r>
    </w:p>
    <w:p w14:paraId="2FF2B946" w14:textId="77777777" w:rsidR="00066CED" w:rsidRPr="00A3026E" w:rsidRDefault="00066CED" w:rsidP="00A3026E">
      <w:pPr>
        <w:pStyle w:val="af2"/>
        <w:jc w:val="both"/>
        <w:rPr>
          <w:i w:val="0"/>
          <w:iCs w:val="0"/>
          <w:color w:val="000000" w:themeColor="text1"/>
          <w:spacing w:val="0"/>
          <w:kern w:val="0"/>
          <w:position w:val="0"/>
          <w:sz w:val="16"/>
          <w:szCs w:val="16"/>
          <w:lang w:val="ru-RU"/>
        </w:rPr>
      </w:pPr>
    </w:p>
    <w:p w14:paraId="368DA12E" w14:textId="77777777" w:rsidR="008F0CAC" w:rsidRPr="00A3026E" w:rsidRDefault="008F0CAC"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726D3FE5" w14:textId="77777777" w:rsidR="008F0CAC" w:rsidRPr="00A3026E" w:rsidRDefault="008F0CAC" w:rsidP="00A3026E">
      <w:pPr>
        <w:spacing w:after="0" w:line="240" w:lineRule="auto"/>
        <w:jc w:val="both"/>
        <w:rPr>
          <w:rFonts w:ascii="Times New Roman" w:hAnsi="Times New Roman"/>
          <w:iCs/>
          <w:color w:val="000000" w:themeColor="text1"/>
          <w:sz w:val="16"/>
          <w:szCs w:val="16"/>
        </w:rPr>
      </w:pPr>
    </w:p>
    <w:p w14:paraId="51AF4A1F" w14:textId="77777777" w:rsidR="008F0CAC" w:rsidRPr="00A3026E" w:rsidRDefault="008F0CAC"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К</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зиме 1940 «УТ-3 № 01147 завода 47» снова взлетел, причем, эти испытания тоже закончи</w:t>
      </w:r>
      <w:r w:rsidRPr="00A3026E">
        <w:rPr>
          <w:rFonts w:ascii="Times New Roman" w:hAnsi="Times New Roman"/>
          <w:color w:val="0070C0"/>
          <w:sz w:val="16"/>
          <w:szCs w:val="16"/>
        </w:rPr>
        <w:softHyphen/>
        <w:t>лись аварией, правда, более легкой, чем</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первая - на посадке самолет «поставили на</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нос». Только благодаря фотографиям из</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аварийных актов сегодня имеется возмож</w:t>
      </w:r>
      <w:r w:rsidRPr="00A3026E">
        <w:rPr>
          <w:rFonts w:ascii="Times New Roman" w:hAnsi="Times New Roman"/>
          <w:color w:val="0070C0"/>
          <w:sz w:val="16"/>
          <w:szCs w:val="16"/>
        </w:rPr>
        <w:softHyphen/>
        <w:t>ность получить представление о внешнем</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облике этого самолета. По некоторым све</w:t>
      </w:r>
      <w:r w:rsidRPr="00A3026E">
        <w:rPr>
          <w:rFonts w:ascii="Times New Roman" w:hAnsi="Times New Roman"/>
          <w:color w:val="0070C0"/>
          <w:sz w:val="16"/>
          <w:szCs w:val="16"/>
        </w:rPr>
        <w:softHyphen/>
        <w:t>дениям, согласно указанию А.С. Яковлева</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этот самолет впоследствии передали в</w:t>
      </w:r>
      <w:r w:rsidRPr="00A3026E">
        <w:rPr>
          <w:rStyle w:val="87"/>
          <w:rFonts w:ascii="Times New Roman" w:hAnsi="Times New Roman" w:cs="Times New Roman"/>
          <w:color w:val="0070C0"/>
          <w:sz w:val="16"/>
          <w:szCs w:val="16"/>
          <w:lang w:val="ru"/>
        </w:rPr>
        <w:t xml:space="preserve"> </w:t>
      </w:r>
      <w:r w:rsidRPr="00A3026E">
        <w:rPr>
          <w:rFonts w:ascii="Times New Roman" w:hAnsi="Times New Roman"/>
          <w:color w:val="0070C0"/>
          <w:sz w:val="16"/>
          <w:szCs w:val="16"/>
        </w:rPr>
        <w:t>ЦАГИ (19940).</w:t>
      </w:r>
    </w:p>
    <w:p w14:paraId="4CBB6C1D" w14:textId="77777777" w:rsidR="008F0CAC" w:rsidRPr="00A3026E" w:rsidRDefault="008F0CAC" w:rsidP="00A3026E">
      <w:pPr>
        <w:spacing w:after="0" w:line="240" w:lineRule="auto"/>
        <w:jc w:val="both"/>
        <w:rPr>
          <w:rFonts w:ascii="Times New Roman" w:hAnsi="Times New Roman"/>
          <w:color w:val="0070C0"/>
          <w:sz w:val="16"/>
          <w:szCs w:val="16"/>
        </w:rPr>
      </w:pPr>
    </w:p>
    <w:p w14:paraId="0DBA889A"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8172B1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BDC5B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зимы 1940 был выпущен ИС-1 В.В.Никитина и В.В.Шевченко. В 1939 В.В.Шевченко построил макет и в Московском авиатехникуме было организовано (было в 1935 - 4,99) ОКБ-30 со штатом 60. Испытали с М-63, а ИС-2 с М-88 только построили (4,107).</w:t>
      </w:r>
    </w:p>
    <w:p w14:paraId="0FAB87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 это ошибка. Не в начале зимы 1940, а в начале 1940, зимой.</w:t>
      </w:r>
    </w:p>
    <w:p w14:paraId="42675CF3"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265AE7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1E3036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D06E0D5" w14:textId="77777777" w:rsidR="00AE3001" w:rsidRPr="00A3026E" w:rsidRDefault="00AE300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декабрю 1940 г. из тройки победителей госиспытания с положительной оценкой прошли МиГ-1 и Як-1. ЛаГГ-3 за</w:t>
      </w:r>
      <w:r w:rsidRPr="00A3026E">
        <w:rPr>
          <w:rFonts w:ascii="Times New Roman" w:hAnsi="Times New Roman"/>
          <w:color w:val="000000" w:themeColor="text1"/>
          <w:sz w:val="16"/>
          <w:szCs w:val="16"/>
        </w:rPr>
        <w:softHyphen/>
        <w:t>кончит полностью госиспытания только в марте 1941 г.: вооружение (в 4-пуле- метном варианте) на 2-м опытном эк</w:t>
      </w:r>
      <w:r w:rsidRPr="00A3026E">
        <w:rPr>
          <w:rFonts w:ascii="Times New Roman" w:hAnsi="Times New Roman"/>
          <w:color w:val="000000" w:themeColor="text1"/>
          <w:sz w:val="16"/>
          <w:szCs w:val="16"/>
        </w:rPr>
        <w:softHyphen/>
        <w:t>земпляре И-301, пикирование, пилотаж и штопор - на 1-м серийном ЛаГГ-3 завода №21. С выбором пушки дело окажется не</w:t>
      </w:r>
      <w:r w:rsidRPr="00A3026E">
        <w:rPr>
          <w:rFonts w:ascii="Times New Roman" w:hAnsi="Times New Roman"/>
          <w:color w:val="000000" w:themeColor="text1"/>
          <w:sz w:val="16"/>
          <w:szCs w:val="16"/>
        </w:rPr>
        <w:softHyphen/>
        <w:t>простым, на ЛаГГ-3 пройдут испытания 20 мм пушка ШВАК, 23 мм пушки Таубина- Бабурина (2 варианта), Волкова-Ярцева, Салищева-Галкина и 37 мм пушка Шпи- тального. Конкурентная борьба вооруженцев окажется не менее острой и бо</w:t>
      </w:r>
      <w:r w:rsidRPr="00A3026E">
        <w:rPr>
          <w:rFonts w:ascii="Times New Roman" w:hAnsi="Times New Roman"/>
          <w:color w:val="000000" w:themeColor="text1"/>
          <w:sz w:val="16"/>
          <w:szCs w:val="16"/>
        </w:rPr>
        <w:softHyphen/>
        <w:t>лее драматичной, чем у самолетчиков, но в итоге на вооружении ЛаГГ-3 окажется самая слабая, но и самая отработанная пушка ШВАК. Но это уже другая история.</w:t>
      </w:r>
    </w:p>
    <w:p w14:paraId="6BEC37B9" w14:textId="77777777" w:rsidR="00AE3001" w:rsidRPr="00A3026E" w:rsidRDefault="00AE300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видим, в победителях так назы</w:t>
      </w:r>
      <w:r w:rsidRPr="00A3026E">
        <w:rPr>
          <w:rFonts w:ascii="Times New Roman" w:hAnsi="Times New Roman"/>
          <w:color w:val="000000" w:themeColor="text1"/>
          <w:sz w:val="16"/>
          <w:szCs w:val="16"/>
        </w:rPr>
        <w:softHyphen/>
        <w:t>ваемого «конкурса» 1939 г. оказались те претенденты, которые не только были не</w:t>
      </w:r>
      <w:r w:rsidRPr="00A3026E">
        <w:rPr>
          <w:rFonts w:ascii="Times New Roman" w:hAnsi="Times New Roman"/>
          <w:color w:val="000000" w:themeColor="text1"/>
          <w:sz w:val="16"/>
          <w:szCs w:val="16"/>
        </w:rPr>
        <w:softHyphen/>
        <w:t>плохими конструкторами и организато</w:t>
      </w:r>
      <w:r w:rsidRPr="00A3026E">
        <w:rPr>
          <w:rFonts w:ascii="Times New Roman" w:hAnsi="Times New Roman"/>
          <w:color w:val="000000" w:themeColor="text1"/>
          <w:sz w:val="16"/>
          <w:szCs w:val="16"/>
        </w:rPr>
        <w:softHyphen/>
        <w:t>рами своих ОКБ, но и: во-первых, имели покровительство «в верхах», во-вторых, имели поддержку опытных и/или серий</w:t>
      </w:r>
      <w:r w:rsidRPr="00A3026E">
        <w:rPr>
          <w:rFonts w:ascii="Times New Roman" w:hAnsi="Times New Roman"/>
          <w:color w:val="000000" w:themeColor="text1"/>
          <w:sz w:val="16"/>
          <w:szCs w:val="16"/>
        </w:rPr>
        <w:softHyphen/>
        <w:t>ных заводов. И эти факторы оказались решающими: позволили им быстрее по</w:t>
      </w:r>
      <w:r w:rsidRPr="00A3026E">
        <w:rPr>
          <w:rFonts w:ascii="Times New Roman" w:hAnsi="Times New Roman"/>
          <w:color w:val="000000" w:themeColor="text1"/>
          <w:sz w:val="16"/>
          <w:szCs w:val="16"/>
        </w:rPr>
        <w:softHyphen/>
        <w:t>строить свои опытные машины, с мень</w:t>
      </w:r>
      <w:r w:rsidRPr="00A3026E">
        <w:rPr>
          <w:rFonts w:ascii="Times New Roman" w:hAnsi="Times New Roman"/>
          <w:color w:val="000000" w:themeColor="text1"/>
          <w:sz w:val="16"/>
          <w:szCs w:val="16"/>
        </w:rPr>
        <w:softHyphen/>
        <w:t>шими проблемами пройти все испытания и иметь подход к «председателю жюри» - Сталину. И, несмотря на многие «заку</w:t>
      </w:r>
      <w:r w:rsidRPr="00A3026E">
        <w:rPr>
          <w:rFonts w:ascii="Times New Roman" w:hAnsi="Times New Roman"/>
          <w:color w:val="000000" w:themeColor="text1"/>
          <w:sz w:val="16"/>
          <w:szCs w:val="16"/>
        </w:rPr>
        <w:softHyphen/>
        <w:t>лисные интриги», это по делу были луч</w:t>
      </w:r>
      <w:r w:rsidRPr="00A3026E">
        <w:rPr>
          <w:rFonts w:ascii="Times New Roman" w:hAnsi="Times New Roman"/>
          <w:color w:val="000000" w:themeColor="text1"/>
          <w:sz w:val="16"/>
          <w:szCs w:val="16"/>
        </w:rPr>
        <w:softHyphen/>
        <w:t>шие образцы, появившиеся как нельзя вовремя, и обладавшие необходимыми характеристиками и потенциалом для мо</w:t>
      </w:r>
      <w:r w:rsidRPr="00A3026E">
        <w:rPr>
          <w:rFonts w:ascii="Times New Roman" w:hAnsi="Times New Roman"/>
          <w:color w:val="000000" w:themeColor="text1"/>
          <w:sz w:val="16"/>
          <w:szCs w:val="16"/>
        </w:rPr>
        <w:softHyphen/>
        <w:t>дернизации.</w:t>
      </w:r>
    </w:p>
    <w:p w14:paraId="6022A712" w14:textId="77777777" w:rsidR="00AE3001" w:rsidRPr="00A3026E" w:rsidRDefault="00AE300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Увы, задуманный Н.Н. Поликарповым новый истребитель И-185 к этому вре</w:t>
      </w:r>
      <w:r w:rsidRPr="00A3026E">
        <w:rPr>
          <w:rFonts w:ascii="Times New Roman" w:hAnsi="Times New Roman"/>
          <w:color w:val="000000" w:themeColor="text1"/>
          <w:sz w:val="16"/>
          <w:szCs w:val="16"/>
        </w:rPr>
        <w:softHyphen/>
        <w:t>мени не поспел - ставка на новые мощ</w:t>
      </w:r>
      <w:r w:rsidRPr="00A3026E">
        <w:rPr>
          <w:rFonts w:ascii="Times New Roman" w:hAnsi="Times New Roman"/>
          <w:color w:val="000000" w:themeColor="text1"/>
          <w:sz w:val="16"/>
          <w:szCs w:val="16"/>
        </w:rPr>
        <w:softHyphen/>
        <w:t>ные 18-ти цилиндровые «звезды» М-90 или М-71 не оправдалась. Из новых мото</w:t>
      </w:r>
      <w:r w:rsidRPr="00A3026E">
        <w:rPr>
          <w:rFonts w:ascii="Times New Roman" w:hAnsi="Times New Roman"/>
          <w:color w:val="000000" w:themeColor="text1"/>
          <w:sz w:val="16"/>
          <w:szCs w:val="16"/>
        </w:rPr>
        <w:softHyphen/>
        <w:t>ров воздушного охлаждения первым под</w:t>
      </w:r>
      <w:r w:rsidRPr="00A3026E">
        <w:rPr>
          <w:rFonts w:ascii="Times New Roman" w:hAnsi="Times New Roman"/>
          <w:color w:val="000000" w:themeColor="text1"/>
          <w:sz w:val="16"/>
          <w:szCs w:val="16"/>
        </w:rPr>
        <w:softHyphen/>
        <w:t>ходящим кандидатом для этой машины окажется 14-ти цилиндровый М-82, кото</w:t>
      </w:r>
      <w:r w:rsidRPr="00A3026E">
        <w:rPr>
          <w:rFonts w:ascii="Times New Roman" w:hAnsi="Times New Roman"/>
          <w:color w:val="000000" w:themeColor="text1"/>
          <w:sz w:val="16"/>
          <w:szCs w:val="16"/>
        </w:rPr>
        <w:softHyphen/>
        <w:t>рый станет доступен только летом 1941 г., но даже с ним доводка И-185 затянется до лета 1942 г. А когда наконец будут по</w:t>
      </w:r>
      <w:r w:rsidRPr="00A3026E">
        <w:rPr>
          <w:rFonts w:ascii="Times New Roman" w:hAnsi="Times New Roman"/>
          <w:color w:val="000000" w:themeColor="text1"/>
          <w:sz w:val="16"/>
          <w:szCs w:val="16"/>
        </w:rPr>
        <w:softHyphen/>
        <w:t>лучены прекрасные результаты, на кото</w:t>
      </w:r>
      <w:r w:rsidRPr="00A3026E">
        <w:rPr>
          <w:rFonts w:ascii="Times New Roman" w:hAnsi="Times New Roman"/>
          <w:color w:val="000000" w:themeColor="text1"/>
          <w:sz w:val="16"/>
          <w:szCs w:val="16"/>
        </w:rPr>
        <w:softHyphen/>
        <w:t>рые и рассчитывал Николай Николаевич, вождь, взвесив все обстоятельства, решит, что «коней» на переправе не меняют...</w:t>
      </w:r>
    </w:p>
    <w:p w14:paraId="2C7048EA" w14:textId="77777777" w:rsidR="00AE3001" w:rsidRPr="00A3026E" w:rsidRDefault="00AE300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Интересно заметить, что война для НКАП фактически началась именно в но- ябре-декабре 1940 г., когда Сталин при</w:t>
      </w:r>
      <w:r w:rsidRPr="00A3026E">
        <w:rPr>
          <w:rFonts w:ascii="Times New Roman" w:hAnsi="Times New Roman"/>
          <w:color w:val="000000" w:themeColor="text1"/>
          <w:sz w:val="16"/>
          <w:szCs w:val="16"/>
        </w:rPr>
        <w:softHyphen/>
        <w:t>казал окончательно сформировать произ</w:t>
      </w:r>
      <w:r w:rsidRPr="00A3026E">
        <w:rPr>
          <w:rFonts w:ascii="Times New Roman" w:hAnsi="Times New Roman"/>
          <w:color w:val="000000" w:themeColor="text1"/>
          <w:sz w:val="16"/>
          <w:szCs w:val="16"/>
        </w:rPr>
        <w:softHyphen/>
        <w:t>водственный план на следующий год по всем авиазаводам, который затем в тече</w:t>
      </w:r>
      <w:r w:rsidRPr="00A3026E">
        <w:rPr>
          <w:rFonts w:ascii="Times New Roman" w:hAnsi="Times New Roman"/>
          <w:color w:val="000000" w:themeColor="text1"/>
          <w:sz w:val="16"/>
          <w:szCs w:val="16"/>
        </w:rPr>
        <w:softHyphen/>
        <w:t>ние первого полугодия 1941 г. не подвер</w:t>
      </w:r>
      <w:r w:rsidRPr="00A3026E">
        <w:rPr>
          <w:rFonts w:ascii="Times New Roman" w:hAnsi="Times New Roman"/>
          <w:color w:val="000000" w:themeColor="text1"/>
          <w:sz w:val="16"/>
          <w:szCs w:val="16"/>
        </w:rPr>
        <w:softHyphen/>
        <w:t>гался никаким изменениям, кроме разве что корректировки в сторону увеличения программы выпуска. Это говорит об од</w:t>
      </w:r>
      <w:r w:rsidRPr="00A3026E">
        <w:rPr>
          <w:rFonts w:ascii="Times New Roman" w:hAnsi="Times New Roman"/>
          <w:color w:val="000000" w:themeColor="text1"/>
          <w:sz w:val="16"/>
          <w:szCs w:val="16"/>
        </w:rPr>
        <w:softHyphen/>
        <w:t>ном - уже тогда Сталин понял или узнал каким-то образом, что 1941-й год будет «наш», надо заканчивать игры в выбор наилучшего самолета - времени больше нет, надо срочно запускать в массовое производство то, что есть на тот момент.</w:t>
      </w:r>
    </w:p>
    <w:p w14:paraId="6AA9F7A5" w14:textId="77777777" w:rsidR="00AE3001" w:rsidRPr="00A3026E" w:rsidRDefault="00AE300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уже 22 июня 1941 г. для вышеприве</w:t>
      </w:r>
      <w:r w:rsidRPr="00A3026E">
        <w:rPr>
          <w:rFonts w:ascii="Times New Roman" w:hAnsi="Times New Roman"/>
          <w:color w:val="000000" w:themeColor="text1"/>
          <w:sz w:val="16"/>
          <w:szCs w:val="16"/>
        </w:rPr>
        <w:softHyphen/>
        <w:t>денной тройки истребителей начнется са</w:t>
      </w:r>
      <w:r w:rsidRPr="00A3026E">
        <w:rPr>
          <w:rFonts w:ascii="Times New Roman" w:hAnsi="Times New Roman"/>
          <w:color w:val="000000" w:themeColor="text1"/>
          <w:sz w:val="16"/>
          <w:szCs w:val="16"/>
        </w:rPr>
        <w:softHyphen/>
        <w:t>мый строгий экзамен, который безжалостно отсеет все неправильные посылы, заложен</w:t>
      </w:r>
      <w:r w:rsidRPr="00A3026E">
        <w:rPr>
          <w:rFonts w:ascii="Times New Roman" w:hAnsi="Times New Roman"/>
          <w:color w:val="000000" w:themeColor="text1"/>
          <w:sz w:val="16"/>
          <w:szCs w:val="16"/>
        </w:rPr>
        <w:softHyphen/>
        <w:t>ные в их конструкции и заставит постоянно улучшать все самые нужные их качества, непрерывно модернизируя их. И ни один новый, даже более совершенный истреби</w:t>
      </w:r>
      <w:r w:rsidRPr="00A3026E">
        <w:rPr>
          <w:rFonts w:ascii="Times New Roman" w:hAnsi="Times New Roman"/>
          <w:color w:val="000000" w:themeColor="text1"/>
          <w:sz w:val="16"/>
          <w:szCs w:val="16"/>
        </w:rPr>
        <w:softHyphen/>
        <w:t>тель в течение всей войны так и не будет запущен в серию. Это будет долгий и труд</w:t>
      </w:r>
      <w:r w:rsidRPr="00A3026E">
        <w:rPr>
          <w:rFonts w:ascii="Times New Roman" w:hAnsi="Times New Roman"/>
          <w:color w:val="000000" w:themeColor="text1"/>
          <w:sz w:val="16"/>
          <w:szCs w:val="16"/>
        </w:rPr>
        <w:softHyphen/>
        <w:t>ный путь, но его наша истребительная ави</w:t>
      </w:r>
      <w:r w:rsidRPr="00A3026E">
        <w:rPr>
          <w:rFonts w:ascii="Times New Roman" w:hAnsi="Times New Roman"/>
          <w:color w:val="000000" w:themeColor="text1"/>
          <w:sz w:val="16"/>
          <w:szCs w:val="16"/>
        </w:rPr>
        <w:softHyphen/>
        <w:t>ация сумеет пройти до победного конца, а имена создателей советских истребителей получат всемирную известность (19740).</w:t>
      </w:r>
    </w:p>
    <w:p w14:paraId="158E6F74" w14:textId="77777777" w:rsidR="00AE3001" w:rsidRPr="00A3026E" w:rsidRDefault="00AE3001" w:rsidP="00A3026E">
      <w:pPr>
        <w:spacing w:after="0" w:line="240" w:lineRule="auto"/>
        <w:jc w:val="both"/>
        <w:rPr>
          <w:rFonts w:ascii="Times New Roman" w:hAnsi="Times New Roman"/>
          <w:color w:val="000000" w:themeColor="text1"/>
          <w:sz w:val="16"/>
          <w:szCs w:val="16"/>
        </w:rPr>
      </w:pPr>
    </w:p>
    <w:p w14:paraId="145667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декабрю 1940 завод 31 сдал 13 МДР-6 (Че-2) И.В.Ч., но уже переезжали в Севелово на заводы 30 и 288 (1794,18).</w:t>
      </w:r>
    </w:p>
    <w:p w14:paraId="51DE683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0706DAC" w14:textId="25EADC8E" w:rsidR="008F0CAC" w:rsidRPr="00A3026E" w:rsidRDefault="008F0CAC"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За рубежом:</w:t>
      </w:r>
    </w:p>
    <w:p w14:paraId="7AA3B03E" w14:textId="77777777" w:rsidR="008F0CAC" w:rsidRPr="00A3026E" w:rsidRDefault="008F0CAC" w:rsidP="00A3026E">
      <w:pPr>
        <w:spacing w:after="0" w:line="240" w:lineRule="auto"/>
        <w:jc w:val="both"/>
        <w:rPr>
          <w:rFonts w:ascii="Times New Roman" w:hAnsi="Times New Roman"/>
          <w:i/>
          <w:iCs/>
          <w:color w:val="000000" w:themeColor="text1"/>
          <w:sz w:val="16"/>
          <w:szCs w:val="16"/>
        </w:rPr>
      </w:pPr>
    </w:p>
    <w:p w14:paraId="3E1BF06E" w14:textId="77777777" w:rsidR="008F0CAC" w:rsidRPr="00A3026E" w:rsidRDefault="008F0CAC"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декабрю 1940 г. в Окленде (Новая Зеландия) по проекту инженера Сколфилда был построен прототип колесно-гусеничного танка. Машина имела гусеничный движитель в средней части и две пары колес спереди и сзади. При переходе на гусеничный ход продольная балка, на которой крепились тележки гусеничных катков, опускалась, и танк становился на гусеницы. Задние ведущие колеса при этом вывешивались, и экипаж убирал их в контейнеры, а передние колеса оставались на месте. Требовалось 7 минут, чтобы перейти с колес на гусеницы, и 10 минут — обратно с гусениц на колеса. Масса танка Сколфилда составляла 6 т, мощность двигателя «Шевроле» — 216 л. с, при этом максимальная скорость движения на колесах достигала 80 км/ч, а на гусеницах — 40 км/ч.</w:t>
      </w:r>
    </w:p>
    <w:p w14:paraId="50E37251" w14:textId="77777777" w:rsidR="008F0CAC" w:rsidRPr="00A3026E" w:rsidRDefault="008F0CAC"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результатам испытаний, выявившим существенные недостатки машины (перегрев двигателя, недостаточная проходимость), к декабрю 1942 г. был построен улучшенный вариант, конструкция которого была кардинально переработана. Теперь гусеничная ходовая часть была целиком позаимствована от британского бронетранспортера Universal Carrier. Гусеницы опускались и поднимались изнутри танка, а экипажу требовалось только снимать и надевать колеса. В открытой сверху башне устанавливались 40-мм орудие и 7,92-мм пулемет Besa. Масса танка, получившего наименование «Танк Сколфилда Модель 2», составляла 6 тонн, мощность двигателя и максимальные скорости движения на гусеницах и колесах по сравнению с первой моделью не изменились. В целом конструкция себя оправдала, и танк легко переходил с колес на гусеницы и обратно, но к тому времени дефицит вооружения стал не таким острым и запускать в производство новый колесно-гусеничный танк сочли нерациональным (22891).</w:t>
      </w:r>
    </w:p>
    <w:p w14:paraId="40A57CC5" w14:textId="77777777" w:rsidR="008F0CAC" w:rsidRPr="00A3026E" w:rsidRDefault="008F0CAC" w:rsidP="00A3026E">
      <w:pPr>
        <w:shd w:val="clear" w:color="auto" w:fill="FFFFFF"/>
        <w:spacing w:after="0" w:line="240" w:lineRule="auto"/>
        <w:jc w:val="both"/>
        <w:rPr>
          <w:rFonts w:ascii="Times New Roman" w:hAnsi="Times New Roman"/>
          <w:color w:val="0070C0"/>
          <w:sz w:val="16"/>
          <w:szCs w:val="16"/>
        </w:rPr>
      </w:pPr>
    </w:p>
    <w:p w14:paraId="5C519DE9" w14:textId="142C180F"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223E4DD"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60FB7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декабря 1940 39 завод вывел на аэродром первый экз. 100 в варианте ПБ (1293,222).</w:t>
      </w:r>
    </w:p>
    <w:p w14:paraId="53FA7D1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B9EDE5C" w14:textId="77777777" w:rsidR="006F0747" w:rsidRPr="00A3026E" w:rsidRDefault="006F074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1-му декабря 1940 на заводе № 39 был собран и сдан на ЛИС первый серийный ПБ-100. 15-го декабря 1940 года летчик-испытатель завода Н.К. Федоров поднял бомбардировщик ПБ-100 с номером 390101 – головной самолет первой серии.</w:t>
      </w:r>
    </w:p>
    <w:p w14:paraId="28C54FEE" w14:textId="77777777" w:rsidR="006F0747" w:rsidRPr="00A3026E" w:rsidRDefault="006F074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облетов первый Пе-2 (наименование Пе-2 вместо ПБ-100 впервые появилось в отчете о заводских испытаниях 18-го декабря 1940 года) «… был передан на Госиспытания. В конце декабря бомбардировщик был принят заказчиком и оформлен удостоверением. Одновременно приступили к облету второй машины. Третий серийный бомбардировщик Пе-2 вышел на испытания 2-го января 1941 года». Затянувшийся цикл сборки первых самолетов Пе-2 в отчете завода № 39 за 1940 год объясняется несколькими причинами:</w:t>
      </w:r>
    </w:p>
    <w:p w14:paraId="34983581" w14:textId="77777777" w:rsidR="006F0747" w:rsidRPr="00A3026E" w:rsidRDefault="006F074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Изменения и доводки, производимые в большом количестве в период обработки крупных агрегатов самолетов (в течение только ноября было приостановлено изготовление деталей по 383 чертежам, аннулировано 56 чертежей и введено вновь 627 чертежей, а всего с начала запуска (с августа по январь) изменено 13499 чертежей и спецификаций).</w:t>
      </w:r>
    </w:p>
    <w:p w14:paraId="4E4959BF" w14:textId="77777777" w:rsidR="006F0747" w:rsidRPr="00A3026E" w:rsidRDefault="006F074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Трудности освоения некоторых агрегатов новой машины, особенно капотов моторов, непоставленных своевременно бако-капотным цехом и, наконец,</w:t>
      </w:r>
    </w:p>
    <w:p w14:paraId="6F04E3F4" w14:textId="77777777" w:rsidR="006F0747" w:rsidRPr="00A3026E" w:rsidRDefault="006F074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Обстоятельства организационного порядка. Так узким местом, державшим окончательную сборку оказалась группа электрооборудования этого цеха, мощность которой не была рассчитана на большие по объему и сложности работы на новой машине по сравнению с ДБ-3Ф.</w:t>
      </w:r>
    </w:p>
    <w:p w14:paraId="29A9F33D" w14:textId="77777777" w:rsidR="006F0747" w:rsidRPr="00A3026E" w:rsidRDefault="006F074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1-е января 1941 года изготовлено (кроме одной машины сданной) 46 машин Пе-2 в условных единицах, т.е. меньше половины заданного плана. Сдача отдельных агрегатов цеху окончательной сборки дает чрезвычайно пеструю картину, причем неравномерность в обеспечении цеха окончательной сборки агрегатами весьма велика. В то время, как некоторые агрегаты изготовлены на 28 комплектов (лонжероны центроплана), большинство агрегатов – на 11-12 комплектов, есть агрегаты (капот мотора) изготовлены лишь на 6 комплектов и будут тормозить выполнение программы.</w:t>
      </w:r>
    </w:p>
    <w:p w14:paraId="77E53EB4" w14:textId="77777777" w:rsidR="006F0747" w:rsidRPr="00A3026E" w:rsidRDefault="006F074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проводится ряд мероприятий, ликвидирующих узкие места и обеспечивающих нормальный выпуск машин: цеха подготовки, после изготовления оснастки для головной серии, начали оснащение производства для выпуска 1-го квартала 1941 г. и дальнейшего развертывания производства.</w:t>
      </w:r>
    </w:p>
    <w:p w14:paraId="30A36D89" w14:textId="77777777" w:rsidR="006F0747" w:rsidRPr="00A3026E" w:rsidRDefault="006F074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всего 1940 года большое внимание на заводе уделялось качеству продукции (Прим. 49). БЦК в цехе окончательной сборки, а также в фюзеляжном и малярном цехах были усилены квалифицированными работниками. Для работы с цеховыми контрольными работниками организовано техническое бюро при центральном отделе технического контроля. Был введен магнитный контроль наиболее ответственных деталей в механическом и термическом цехах.</w:t>
      </w:r>
    </w:p>
    <w:p w14:paraId="08ADFB36" w14:textId="77777777" w:rsidR="006F0747" w:rsidRPr="00A3026E" w:rsidRDefault="006F074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складе и в механическом цехе был введен спектральный анализ определения соответствия материала указанным маркам. Организована экспресс-лаборатория для экстренных ускоренных анализов, связанных с проверкой термообработки деталей. Составлен перечень деталей, подлежащих магнитному и рентгеновскому контролю. Разработаны и переданы в цехи паспорта на все агрегаты Пе-2.</w:t>
      </w:r>
    </w:p>
    <w:p w14:paraId="158B0350" w14:textId="77777777" w:rsidR="006F0747" w:rsidRPr="00A3026E" w:rsidRDefault="006F074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выполнения требований технологии 28-го декабря 1940 года директором завода Л.П. Соколовым выпускается приказ № 417 «О проверке всех технологических карт, утверждения их и категорическом запрещении изменения технологического процесса без ведома главного технолога и главного металлурга завода, и привлечению к ответственности за нарушение технологической дисциплины» (18293).</w:t>
      </w:r>
    </w:p>
    <w:p w14:paraId="110ACC7D" w14:textId="77777777" w:rsidR="006F0747" w:rsidRPr="00A3026E" w:rsidRDefault="006F0747" w:rsidP="00A3026E">
      <w:pPr>
        <w:spacing w:after="0" w:line="240" w:lineRule="auto"/>
        <w:jc w:val="both"/>
        <w:rPr>
          <w:rFonts w:ascii="Times New Roman" w:hAnsi="Times New Roman"/>
          <w:color w:val="000000" w:themeColor="text1"/>
          <w:sz w:val="16"/>
          <w:szCs w:val="16"/>
        </w:rPr>
      </w:pPr>
    </w:p>
    <w:p w14:paraId="66538244" w14:textId="77777777" w:rsidR="00D213E5" w:rsidRPr="00A3026E" w:rsidRDefault="00D213E5"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К 1-му декабря 1940 на заводе № 39 был собран и сдан на ЛИС первый серийный ПБ-100. 15-го декабря 1940 года летчик-испытатель завода Н.К. Федоров поднял бомбардировщик ПБ-100 с номером 390101 – головной самолет первой серии. После облетов первый Пе-2 (наименование Пе-2 вместо ПБ-100 впервые появилось в отчете о заводских испытаниях 18-го декабря 1940 года) «… был передан на Госиспытания. В конце декабря бомбардировщик был принят заказчиком и оформлен удостоверением. Одновременно приступили к облету второй машины. Третий серийный бомбардировщик Пе-2 вышел на испытания 2-го января 1941 года». Затянувшийся цикл сборки первых самолетов Пе-2 в отчете завода № 39 за 1940 год объясняется несколькими причинами (Отчет о работе завода № 39 им. Менжинского за 1940 год по основной деятельности. Центральный архив ИАЗ, дело № 78, лист 20.):</w:t>
      </w:r>
    </w:p>
    <w:p w14:paraId="2CB96703" w14:textId="77777777" w:rsidR="00D213E5" w:rsidRPr="00A3026E" w:rsidRDefault="00D213E5" w:rsidP="00A3026E">
      <w:pPr>
        <w:pStyle w:val="rteindent11"/>
        <w:shd w:val="clear" w:color="auto" w:fill="FFFFFF"/>
        <w:spacing w:before="0" w:beforeAutospacing="0" w:after="0"/>
        <w:ind w:left="0" w:firstLine="0"/>
        <w:rPr>
          <w:color w:val="000000" w:themeColor="text1"/>
          <w:sz w:val="16"/>
          <w:szCs w:val="16"/>
        </w:rPr>
      </w:pPr>
      <w:r w:rsidRPr="00A3026E">
        <w:rPr>
          <w:rStyle w:val="af0"/>
          <w:i w:val="0"/>
          <w:color w:val="000000" w:themeColor="text1"/>
          <w:sz w:val="16"/>
          <w:szCs w:val="16"/>
        </w:rPr>
        <w:t>1. Изменения и доводки, производимые в большом количестве в период обработки крупных агрегатов самолетов (в течение только ноября было приостановлено изготовление деталей по 383 чертежам, аннулировано 56 чертежей и введено вновь 627 чертежей, а всего с начала запуска (с августа по январь) изменено 13499 чертежей и спецификаций).</w:t>
      </w:r>
    </w:p>
    <w:p w14:paraId="5FB19EAD" w14:textId="77777777" w:rsidR="00D213E5" w:rsidRPr="00A3026E" w:rsidRDefault="00D213E5" w:rsidP="00A3026E">
      <w:pPr>
        <w:pStyle w:val="rteindent11"/>
        <w:shd w:val="clear" w:color="auto" w:fill="FFFFFF"/>
        <w:spacing w:before="0" w:beforeAutospacing="0" w:after="0"/>
        <w:ind w:left="0" w:firstLine="0"/>
        <w:rPr>
          <w:color w:val="000000" w:themeColor="text1"/>
          <w:sz w:val="16"/>
          <w:szCs w:val="16"/>
        </w:rPr>
      </w:pPr>
      <w:r w:rsidRPr="00A3026E">
        <w:rPr>
          <w:rStyle w:val="af0"/>
          <w:i w:val="0"/>
          <w:color w:val="000000" w:themeColor="text1"/>
          <w:sz w:val="16"/>
          <w:szCs w:val="16"/>
        </w:rPr>
        <w:t>2. Трудности освоения некоторых агрегатов новой машины, особенно капотов моторов, непоставленных своевременно бако-капотным цехом и, наконец,</w:t>
      </w:r>
    </w:p>
    <w:p w14:paraId="3C2142B7" w14:textId="77777777" w:rsidR="00D213E5" w:rsidRPr="00A3026E" w:rsidRDefault="00D213E5" w:rsidP="00A3026E">
      <w:pPr>
        <w:pStyle w:val="rteindent11"/>
        <w:shd w:val="clear" w:color="auto" w:fill="FFFFFF"/>
        <w:spacing w:before="0" w:beforeAutospacing="0" w:after="0"/>
        <w:ind w:left="0" w:firstLine="0"/>
        <w:rPr>
          <w:rStyle w:val="af0"/>
          <w:i w:val="0"/>
          <w:color w:val="000000" w:themeColor="text1"/>
          <w:sz w:val="16"/>
          <w:szCs w:val="16"/>
        </w:rPr>
      </w:pPr>
      <w:r w:rsidRPr="00A3026E">
        <w:rPr>
          <w:rStyle w:val="af0"/>
          <w:i w:val="0"/>
          <w:color w:val="000000" w:themeColor="text1"/>
          <w:sz w:val="16"/>
          <w:szCs w:val="16"/>
        </w:rPr>
        <w:t>3. Обстоятельства организационного порядка. Так узким местом, державшим окончательную сборку оказалась группа электрооборудования этого цеха, мощность которой не была рассчитана на большие по объему и сложности работы на новой машине по сравнению с ДБ-3Ф.</w:t>
      </w:r>
    </w:p>
    <w:p w14:paraId="63094796" w14:textId="77777777" w:rsidR="00D213E5" w:rsidRPr="00A3026E" w:rsidRDefault="00D213E5" w:rsidP="00A3026E">
      <w:pPr>
        <w:pStyle w:val="rteindent11"/>
        <w:shd w:val="clear" w:color="auto" w:fill="FFFFFF"/>
        <w:spacing w:before="0" w:beforeAutospacing="0" w:after="0"/>
        <w:ind w:left="0" w:firstLine="0"/>
        <w:rPr>
          <w:color w:val="000000" w:themeColor="text1"/>
          <w:sz w:val="16"/>
          <w:szCs w:val="16"/>
        </w:rPr>
      </w:pPr>
      <w:r w:rsidRPr="00A3026E">
        <w:rPr>
          <w:rStyle w:val="af0"/>
          <w:i w:val="0"/>
          <w:color w:val="000000" w:themeColor="text1"/>
          <w:sz w:val="16"/>
          <w:szCs w:val="16"/>
        </w:rPr>
        <w:t>На 1-е января 1941 года изготовлено (кроме одной машины сданной) 46 машин Пе-2 в условных единицах, т.е. меньше половины заданного плана. Сдача отдельных агрегатов цеху окончательной сборки дает чрезвычайно пеструю картину, причем неравномерность в обеспечении цеха окончательной сборки агрегатами весьма велика. В то время, как некоторые агрегаты изготовлены на 28 комплектов (лонжероны центроплана), большинство агрегатов – на 11-12 комплектов, есть агрегаты (капот мотора) изготовлены лишь на 6 комплектов и будут тормозить выполнение программы.</w:t>
      </w:r>
    </w:p>
    <w:p w14:paraId="760C2EEA" w14:textId="77777777" w:rsidR="00D213E5" w:rsidRPr="00A3026E" w:rsidRDefault="00D213E5" w:rsidP="00A3026E">
      <w:pPr>
        <w:pStyle w:val="rteindent11"/>
        <w:shd w:val="clear" w:color="auto" w:fill="FFFFFF"/>
        <w:spacing w:before="0" w:beforeAutospacing="0" w:after="0"/>
        <w:ind w:left="0" w:firstLine="0"/>
        <w:rPr>
          <w:color w:val="000000" w:themeColor="text1"/>
          <w:sz w:val="16"/>
          <w:szCs w:val="16"/>
        </w:rPr>
      </w:pPr>
      <w:r w:rsidRPr="00A3026E">
        <w:rPr>
          <w:rStyle w:val="af0"/>
          <w:i w:val="0"/>
          <w:color w:val="000000" w:themeColor="text1"/>
          <w:sz w:val="16"/>
          <w:szCs w:val="16"/>
        </w:rPr>
        <w:t>В настоящее время проводится ряд мероприятий, ликвидирующих узкие места и обеспечивающих нормальный выпуск машин: цеха подготовки, после изготовления оснастки для головной серии, начали оснащение производства для выпуска 1-го квартала 1941 г. и дальнейшего развертывания производства.</w:t>
      </w:r>
    </w:p>
    <w:p w14:paraId="4C70B6A7" w14:textId="77777777" w:rsidR="00D213E5" w:rsidRPr="00A3026E" w:rsidRDefault="00D213E5"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всего 1940 года большое внимание на заводе уделялось качеству продукции. БЦК в цехе окончательной сборки, а также в фюзеляжном и малярном цехах были усилены квалифицированными работниками. Для работы с цеховыми контрольными работниками организовано техническое бюро при центральном отделе технического контроля. Был введен магнитный контроль наиболее ответственных деталей в механическом и термическом цехах. На складе и в механическом цехе был введен спектральный анализ определения соответствия материала указанным маркам. Организована экспресс-лаборатория для экстренных ускоренных анализов, связанных с проверкой термообработки деталей. Составлен перечень деталей, подлежащих магнитному и рентгеновскому контролю. Разработаны и переданы в цехи паспорта на все агрегаты Пе-2 (15223).</w:t>
      </w:r>
    </w:p>
    <w:p w14:paraId="1B1BF106" w14:textId="77777777" w:rsidR="00D213E5" w:rsidRPr="00A3026E" w:rsidRDefault="00D213E5" w:rsidP="00A3026E">
      <w:pPr>
        <w:shd w:val="clear" w:color="auto" w:fill="FFFFFF"/>
        <w:spacing w:after="0" w:line="240" w:lineRule="auto"/>
        <w:jc w:val="both"/>
        <w:rPr>
          <w:rFonts w:ascii="Times New Roman" w:hAnsi="Times New Roman"/>
          <w:color w:val="000000" w:themeColor="text1"/>
          <w:sz w:val="16"/>
          <w:szCs w:val="16"/>
        </w:rPr>
      </w:pPr>
    </w:p>
    <w:p w14:paraId="19FA2A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декабря 1940 состоялся первый вылет И-28 (л-и П.Я.Федрови), но после 20 минут полет прекратили и совершили вынужденную посадку, так как двигатель сломался. Потом в ЛИИ испытывали до конца 1942 (65,33).</w:t>
      </w:r>
    </w:p>
    <w:p w14:paraId="2D30E6A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80C5FA4" w14:textId="77777777" w:rsidR="00D213E5" w:rsidRPr="00A3026E" w:rsidRDefault="00D213E5" w:rsidP="00A3026E">
      <w:pPr>
        <w:spacing w:after="0" w:line="240" w:lineRule="auto"/>
        <w:jc w:val="both"/>
        <w:rPr>
          <w:rStyle w:val="ucoz-forum-post"/>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1 декабря 1940 года</w:t>
      </w:r>
      <w:r w:rsidRPr="00A3026E">
        <w:rPr>
          <w:rStyle w:val="ucoz-forum-post"/>
          <w:rFonts w:ascii="Times New Roman" w:hAnsi="Times New Roman"/>
          <w:color w:val="000000" w:themeColor="text1"/>
          <w:sz w:val="16"/>
          <w:szCs w:val="16"/>
        </w:rPr>
        <w:t xml:space="preserve"> Первый полет опытного высотного истребителя И-28 (ОКБ "Як").</w:t>
      </w:r>
    </w:p>
    <w:p w14:paraId="1DBDF66A" w14:textId="77777777" w:rsidR="00D213E5" w:rsidRPr="00A3026E" w:rsidRDefault="00D213E5" w:rsidP="00A3026E">
      <w:pPr>
        <w:spacing w:after="0" w:line="240" w:lineRule="auto"/>
        <w:jc w:val="both"/>
        <w:rPr>
          <w:rStyle w:val="ucoz-forum-post"/>
          <w:rFonts w:ascii="Times New Roman" w:hAnsi="Times New Roman"/>
          <w:color w:val="000000" w:themeColor="text1"/>
          <w:sz w:val="16"/>
          <w:szCs w:val="16"/>
        </w:rPr>
      </w:pPr>
      <w:r w:rsidRPr="00A3026E">
        <w:rPr>
          <w:rStyle w:val="ucoz-forum-post"/>
          <w:rFonts w:ascii="Times New Roman" w:hAnsi="Times New Roman"/>
          <w:color w:val="000000" w:themeColor="text1"/>
          <w:sz w:val="16"/>
          <w:szCs w:val="16"/>
        </w:rPr>
        <w:t>Опытный истребитель И-28 с двигателем М-105ПД, иначе называвшийся "Як-5 образца 1940 года" (До присвоения И-28 наименования Як-5 в заводских и некоторых других документах он именовался также "самолет N28", И-28-H, И-28-В, И-26В (высотный))., являлся высотным истребителем-перехватчиком и предназначался для использования в системе ПВО.</w:t>
      </w:r>
    </w:p>
    <w:p w14:paraId="1BA30033" w14:textId="77777777" w:rsidR="00D213E5" w:rsidRPr="00A3026E" w:rsidRDefault="00D213E5" w:rsidP="00A3026E">
      <w:pPr>
        <w:spacing w:after="0" w:line="240" w:lineRule="auto"/>
        <w:jc w:val="both"/>
        <w:rPr>
          <w:rStyle w:val="ucoz-forum-post"/>
          <w:rFonts w:ascii="Times New Roman" w:hAnsi="Times New Roman"/>
          <w:color w:val="000000" w:themeColor="text1"/>
          <w:sz w:val="16"/>
          <w:szCs w:val="16"/>
        </w:rPr>
      </w:pPr>
      <w:r w:rsidRPr="00A3026E">
        <w:rPr>
          <w:rStyle w:val="ucoz-forum-post"/>
          <w:rFonts w:ascii="Times New Roman" w:hAnsi="Times New Roman"/>
          <w:color w:val="000000" w:themeColor="text1"/>
          <w:sz w:val="16"/>
          <w:szCs w:val="16"/>
        </w:rPr>
        <w:t>И-28 спроектировали и построили с 10 июля по 29 октября 1940 г., т.е. за три с половиной месяца. Hа нем был установлен опытный двигатель М-105ПД с нагнетателем Э-100 конструкции В.А. Доллежаля (14847).</w:t>
      </w:r>
    </w:p>
    <w:p w14:paraId="574B6723" w14:textId="77777777" w:rsidR="00D213E5" w:rsidRPr="00A3026E" w:rsidRDefault="00D213E5" w:rsidP="00A3026E">
      <w:pPr>
        <w:spacing w:after="0" w:line="240" w:lineRule="auto"/>
        <w:jc w:val="both"/>
        <w:rPr>
          <w:rStyle w:val="ucoz-forum-post"/>
          <w:rFonts w:ascii="Times New Roman" w:hAnsi="Times New Roman"/>
          <w:color w:val="000000" w:themeColor="text1"/>
          <w:sz w:val="16"/>
          <w:szCs w:val="16"/>
        </w:rPr>
      </w:pPr>
    </w:p>
    <w:p w14:paraId="02C095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декабря 1940 В.Н.Гурский выполнил первый пробный полет на И-200-3, переоборудованном под крыльевые пушки МП-6 и 12.7 мм пулеметы АП. Произошла остановка двигателя и во время вынужденной посадки машина потерпела аварию. Ремонт продолжался до февраля 1941 (4415,35).</w:t>
      </w:r>
    </w:p>
    <w:p w14:paraId="3143F09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4DBC2E5" w14:textId="77777777" w:rsidR="0007323E" w:rsidRPr="00A3026E" w:rsidRDefault="0007323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1 декабря 1940 летчик-испытатель В.Н. Гурский облетал ИП-201 с пушками Таубина в крыле, но из-за внезапной остановки мотора посадка оказалась «жесткой» и машина простояла в ремонте до февраля 1941 г. (21699).</w:t>
      </w:r>
    </w:p>
    <w:p w14:paraId="3DD09A51" w14:textId="77777777" w:rsidR="0007323E" w:rsidRPr="00A3026E" w:rsidRDefault="0007323E" w:rsidP="00A3026E">
      <w:pPr>
        <w:spacing w:after="0" w:line="240" w:lineRule="auto"/>
        <w:jc w:val="both"/>
        <w:rPr>
          <w:rFonts w:ascii="Times New Roman" w:hAnsi="Times New Roman"/>
          <w:color w:val="0070C0"/>
          <w:sz w:val="16"/>
          <w:szCs w:val="16"/>
        </w:rPr>
      </w:pPr>
    </w:p>
    <w:p w14:paraId="167104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декабря 1940 г. летчик В.Н.Гурский выполнил первый пробный полет на И—200 зав. № 03, на котором установили новые консоли крыла, доработанные для размещения пушек МП—6 (а ШКАСы заменили пулеметами АП—12,7), во время которого произо</w:t>
      </w:r>
      <w:r w:rsidRPr="00A3026E">
        <w:rPr>
          <w:rFonts w:ascii="Times New Roman" w:hAnsi="Times New Roman"/>
          <w:color w:val="000000" w:themeColor="text1"/>
          <w:sz w:val="16"/>
          <w:szCs w:val="16"/>
        </w:rPr>
        <w:softHyphen/>
        <w:t>шла остановка двигателя вследствие выработки го</w:t>
      </w:r>
      <w:r w:rsidRPr="00A3026E">
        <w:rPr>
          <w:rFonts w:ascii="Times New Roman" w:hAnsi="Times New Roman"/>
          <w:color w:val="000000" w:themeColor="text1"/>
          <w:sz w:val="16"/>
          <w:szCs w:val="16"/>
        </w:rPr>
        <w:softHyphen/>
        <w:t>рючего из фюзеляжного бака. В результате вынуж</w:t>
      </w:r>
      <w:r w:rsidRPr="00A3026E">
        <w:rPr>
          <w:rFonts w:ascii="Times New Roman" w:hAnsi="Times New Roman"/>
          <w:color w:val="000000" w:themeColor="text1"/>
          <w:sz w:val="16"/>
          <w:szCs w:val="16"/>
        </w:rPr>
        <w:softHyphen/>
        <w:t>денной посадки самолет получил повреждения и был отправлен в ремонт, продолжавшийся до фев</w:t>
      </w:r>
      <w:r w:rsidRPr="00A3026E">
        <w:rPr>
          <w:rFonts w:ascii="Times New Roman" w:hAnsi="Times New Roman"/>
          <w:color w:val="000000" w:themeColor="text1"/>
          <w:sz w:val="16"/>
          <w:szCs w:val="16"/>
        </w:rPr>
        <w:softHyphen/>
        <w:t>раля 1941 г (9984).</w:t>
      </w:r>
    </w:p>
    <w:p w14:paraId="08C996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88E6D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декабря 1940 В.Н. Гурский облетал ИП-201, но из-за внезапной остановки мотора посадка оказалась жесткой, и машина простояла в ремонте до февраля 1941 г. Важным уроком "битвы за Англию" стала переоценка требуемой огневой мощи перехватчиков. Подвеска дополнительного оружия снижала скорость, и в крыле решили поставить две пушки ПТБ-23, а над мотором - два пулемета АП-12,7. Но оказалось, что установочные узлы этих систем не подходят к типовым креплениям самолетов. Микоян потребовал от их разработчиков Таубина и Бабурина провести необходимые доработки, а также заменить магазинное боепитание пушек ленточным. Таубин взялся помочь с компоновкой оружия, но категорически отказался выполнять второе требование, заявив, что в этом главное преимущество его системы. Общими усилиями был переоборудован И-200-1, который получил обозначение ИП-201. Пушка ПТБ-23 в сравнении с системой Волкова-Ярцева была надежнее, имела меньший вес, а также отдачу, и все же из-за неудобного магазинного питания принята не была. Утратил смысл и выпуск еще одного крупнокалиберного пулемета, когда был "Березин-12,7". В марте 1941 г. испытания ИП-201 прекратили, и в серию самолет И-200 пошел в том виде, в котором поступил на Госиспытания (11938).</w:t>
      </w:r>
    </w:p>
    <w:p w14:paraId="4B050BF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BA955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декабря 1940 г. летчик В.Н. Гурский выполнил первый пробный полет на ИП-201, во время которого произошла остановка двигателя вследствие выработки горючего из фюзеляжного бака. В результате вынужденной посадки самолет получил повреждения и был отправлен в ремонт, продолжавшийся до февраля 1941 г. В марте были проведены предварительные заводские испытания, однако работы вскоре прекратились в связи с отказом от пушки МП-6. Все дальнейшие варианты машин семейства И-200 создавались уже на основе конструкции самолета МиГ-3 (12045).</w:t>
      </w:r>
    </w:p>
    <w:p w14:paraId="4A368E7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05797A" w14:textId="77777777" w:rsidR="00D213E5" w:rsidRPr="00A3026E" w:rsidRDefault="00D213E5"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К 1 декабря 1940 г. «согласно указаниям макетной комиссии» на заводе был № 51 был построен стенд бензопитания ТИС для проверки си</w:t>
      </w:r>
      <w:r w:rsidRPr="00A3026E">
        <w:rPr>
          <w:rFonts w:ascii="Times New Roman" w:cs="Times New Roman"/>
          <w:color w:val="000000" w:themeColor="text1"/>
          <w:spacing w:val="0"/>
        </w:rPr>
        <w:softHyphen/>
        <w:t>стемы во всех эволюциях самолета, а в ЦАГИ - отправлена модель самоле</w:t>
      </w:r>
      <w:r w:rsidRPr="00A3026E">
        <w:rPr>
          <w:rFonts w:ascii="Times New Roman" w:cs="Times New Roman"/>
          <w:color w:val="000000" w:themeColor="text1"/>
          <w:spacing w:val="0"/>
        </w:rPr>
        <w:softHyphen/>
        <w:t>та для проведения продувок. Форси</w:t>
      </w:r>
      <w:r w:rsidRPr="00A3026E">
        <w:rPr>
          <w:rFonts w:ascii="Times New Roman" w:cs="Times New Roman"/>
          <w:color w:val="000000" w:themeColor="text1"/>
          <w:spacing w:val="0"/>
        </w:rPr>
        <w:softHyphen/>
        <w:t>ровались работы по доработке проекта и макета самолета. Одновременно го</w:t>
      </w:r>
      <w:r w:rsidRPr="00A3026E">
        <w:rPr>
          <w:rFonts w:ascii="Times New Roman" w:cs="Times New Roman"/>
          <w:color w:val="000000" w:themeColor="text1"/>
          <w:spacing w:val="0"/>
        </w:rPr>
        <w:softHyphen/>
        <w:t>товились к постройке опытных образ</w:t>
      </w:r>
      <w:r w:rsidRPr="00A3026E">
        <w:rPr>
          <w:rFonts w:ascii="Times New Roman" w:cs="Times New Roman"/>
          <w:color w:val="000000" w:themeColor="text1"/>
          <w:spacing w:val="0"/>
        </w:rPr>
        <w:softHyphen/>
        <w:t>цов. К середине декабря на 60% были закончены рабочие чертежи. Передача всего комплекта чертежей в производ</w:t>
      </w:r>
      <w:r w:rsidRPr="00A3026E">
        <w:rPr>
          <w:rFonts w:ascii="Times New Roman" w:cs="Times New Roman"/>
          <w:color w:val="000000" w:themeColor="text1"/>
          <w:spacing w:val="0"/>
        </w:rPr>
        <w:softHyphen/>
        <w:t>ство планировалась на 15 января сле</w:t>
      </w:r>
      <w:r w:rsidRPr="00A3026E">
        <w:rPr>
          <w:rFonts w:ascii="Times New Roman" w:cs="Times New Roman"/>
          <w:color w:val="000000" w:themeColor="text1"/>
          <w:spacing w:val="0"/>
        </w:rPr>
        <w:softHyphen/>
        <w:t>дующего года (15755).</w:t>
      </w:r>
    </w:p>
    <w:p w14:paraId="2F1200E8" w14:textId="77777777" w:rsidR="00D213E5" w:rsidRPr="00A3026E" w:rsidRDefault="00D213E5" w:rsidP="00A3026E">
      <w:pPr>
        <w:pStyle w:val="26"/>
        <w:shd w:val="clear" w:color="auto" w:fill="auto"/>
        <w:spacing w:after="0" w:line="240" w:lineRule="auto"/>
        <w:ind w:firstLine="0"/>
        <w:rPr>
          <w:rFonts w:ascii="Times New Roman" w:cs="Times New Roman"/>
          <w:color w:val="000000" w:themeColor="text1"/>
          <w:spacing w:val="0"/>
        </w:rPr>
      </w:pPr>
    </w:p>
    <w:p w14:paraId="60B997F9"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декабря 1940, согласно журналу оперативной справки по мотору 120, на заводе № 26 испытывался мотор М120ТК с ТК У-56 (998).</w:t>
      </w:r>
    </w:p>
    <w:p w14:paraId="4B08278A"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p>
    <w:p w14:paraId="12E1AB2F" w14:textId="77777777" w:rsidR="00C66762" w:rsidRPr="00A3026E" w:rsidRDefault="00C66762"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К 1 декабря 1940 собрали третий мотор МВ-12. В том же месяце приступили к изготовлению деталей для десяти двигателей МВ-12. Руководство ГУАП задержку с выпуском моторов "Рено" списало на последствия вредительства. Дело в том, что в 1937 г. была репрессирована большая группа руководящих работников завода № 16. На освоении производства копий французских двигателей останавливаться не собирались. Предполагалась широкая программа их модернизации. Моторы хотели оснастить двухскоростными ПЦН, турбонаддувом, редукторами. Особое внимание уделялось мотору МВ-12, который предназначался в первую очередь для легких истребителей. На нем хотели смонтировать редуктор, синхронизатор и пушку. На первом этапе на модификации МВ-12Ф планировали поднять максимальную мощность до 500 л.с. путем повышения частоты вращения вала. В сентябре 1938 г. начали проектировать редукторный вариант МВ-12Р с пушкой. Годом позже приступили к работе над другим вариантом МВ-12Р, впоследствии переименованным в М-12Р. На этой модификации размеры цилиндров намеревались привести к общему для всего семейства стандарту: диаметр - 120 мм, ход поршня - 140 мм вместо прежних 114 мм и 122 мм. Рабочий объем доводился до 19,0 л (при исходном 14,93 л). ПЦН был двухскоростным. Предлагалось также создание 24-цилиндрового двигателя на основе спаренного МВ-12. Но фактически все эти работы остановились на стадии эскизных проектов, опытных образцов не строили (11479).</w:t>
      </w:r>
    </w:p>
    <w:p w14:paraId="7670D993" w14:textId="77777777" w:rsidR="00C66762" w:rsidRPr="00A3026E" w:rsidRDefault="00C66762" w:rsidP="00A3026E">
      <w:pPr>
        <w:pStyle w:val="af2"/>
        <w:jc w:val="both"/>
        <w:rPr>
          <w:i w:val="0"/>
          <w:iCs w:val="0"/>
          <w:color w:val="000000" w:themeColor="text1"/>
          <w:spacing w:val="0"/>
          <w:kern w:val="0"/>
          <w:position w:val="0"/>
          <w:sz w:val="16"/>
          <w:szCs w:val="16"/>
          <w:lang w:val="ru-RU"/>
        </w:rPr>
      </w:pPr>
    </w:p>
    <w:p w14:paraId="6257E2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 декабря 1940 г. в ГВФ было 26 самолетов ПС-84 и семь ДС-3. Некоторые из них поступили на международные и внутренние авиалинии (3404).</w:t>
      </w:r>
    </w:p>
    <w:p w14:paraId="60A2AD7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BE4FC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 декабря 1940 года сборная ведомость наличия самолетов в ГУГВФ дает информацию о наличии в НИИ ГВФ и машин других типов, в том числе ЦКБ-30 с М-86, СХ-1 с 1 МГ-31, ДИ-6 с 1 М-25 (Там же. Л. 94.) (11672).</w:t>
      </w:r>
    </w:p>
    <w:p w14:paraId="7AB6BD2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8312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декабря 1940 года будущий завод № 154 был включен в число действующих предприятий системы НКАП как филиал з-да № 16 и приступил к изготовлению авиационных моторов М-11 (9502).</w:t>
      </w:r>
    </w:p>
    <w:p w14:paraId="72714A5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3E12B1" w14:textId="77777777" w:rsidR="00C14B45" w:rsidRPr="00A3026E" w:rsidRDefault="00C14B4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 декабря 1940 года Завод № 154 им. Сталина, который до 1940 года выпускались дизели для НК судостроительной промышленности и 26 июля 1940 года по постановлению КО был передан в НКАП, был включен в число действующих предприятий системы НКАП и приступил к изготовлению авиационных моторов М-11. До 1 января 1941 года завод числился филиалом завода № 16 НКАП. Директором завода был назначен Морозов Д.А. и работал на этой должности до 1947 года.</w:t>
      </w:r>
    </w:p>
    <w:p w14:paraId="0B6012E8" w14:textId="77777777" w:rsidR="00C14B45" w:rsidRPr="00A3026E" w:rsidRDefault="00C14B4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постановлению ГКО от 8 октября 1941 года за № 711 и приказу НКАП от 9 октября 1941 года за № 1058 завод должен был эвакуироваться в Ташкент на площадку Узполиграфкомбината. 12 октября 1941 года первый эшелон выбыл с территории завода.</w:t>
      </w:r>
    </w:p>
    <w:p w14:paraId="7FC1F278" w14:textId="77777777" w:rsidR="00C14B45" w:rsidRPr="00A3026E" w:rsidRDefault="00C14B4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по прибытии первых эшелонов в Ташкент их пришлось перебазировать в Андижан, где было определено новое место расположения завода на площадке Андижанского хлопкозавода № 2.</w:t>
      </w:r>
    </w:p>
    <w:p w14:paraId="4E7FDB88" w14:textId="77777777" w:rsidR="00C14B45" w:rsidRPr="00A3026E" w:rsidRDefault="00C14B4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Новая площадка была расположена в 5-6 км от города и в 1 км от ст. Андижан.</w:t>
      </w:r>
    </w:p>
    <w:p w14:paraId="1A15C6A7" w14:textId="77777777" w:rsidR="00C14B45" w:rsidRPr="00A3026E" w:rsidRDefault="00C14B4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начала эвакуации до пуска цехов первой очереди на новом месте, т.е. до 15 декабря 1941 года было затрачено 2 месяца и три дня.</w:t>
      </w:r>
    </w:p>
    <w:p w14:paraId="5072AAC4" w14:textId="77777777" w:rsidR="00C14B45" w:rsidRPr="00A3026E" w:rsidRDefault="00C14B4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годы ВОВ завод выпустил 15874 мотора М-11, в т.ч.: в 1942 году – 3543, в 1943 – 4676, в 1945 – 3941.</w:t>
      </w:r>
    </w:p>
    <w:p w14:paraId="5A0E0096" w14:textId="77777777" w:rsidR="00C14B45" w:rsidRPr="00A3026E" w:rsidRDefault="00C14B45"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По постановлению СМ и приказу МАП за № 154 от 23 марта 1946 года завод перебазируется в Воронеж на площадку завода № 265, который вливается в завод № 154 и исключается из числа действующих.</w:t>
      </w:r>
    </w:p>
    <w:p w14:paraId="66395D19" w14:textId="77777777" w:rsidR="00C14B45" w:rsidRPr="00A3026E" w:rsidRDefault="00C14B4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старой площадке в Андижане на базе завода № 154 был организован новый завод Министерства строительно-дорожного машиностроения.</w:t>
      </w:r>
    </w:p>
    <w:p w14:paraId="41B5636B" w14:textId="77777777" w:rsidR="00C14B45" w:rsidRPr="00A3026E" w:rsidRDefault="00C14B45"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От завода № 265</w:t>
      </w:r>
      <w:r w:rsidRPr="00A3026E">
        <w:rPr>
          <w:rFonts w:ascii="Times New Roman" w:hAnsi="Times New Roman"/>
          <w:color w:val="000000" w:themeColor="text1"/>
          <w:sz w:val="16"/>
          <w:szCs w:val="16"/>
        </w:rPr>
        <w:t xml:space="preserve"> осталось производство насосов непосредственного впрыскивания, которое не было освоено в должной мере и фактически выпуска их не производилось.</w:t>
      </w:r>
    </w:p>
    <w:p w14:paraId="66B3E9D1" w14:textId="77777777" w:rsidR="00C14B45" w:rsidRPr="00A3026E" w:rsidRDefault="00C14B4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выпуск насосов типа НБ3ФА был освоен только в 1947 году. В 1949 году выпуск их был прекращен. В конце 1949 года заводу дано было задание освоить производство коробок типа «Д».</w:t>
      </w:r>
    </w:p>
    <w:p w14:paraId="1F1DF0FC" w14:textId="77777777" w:rsidR="00C14B45" w:rsidRPr="00A3026E" w:rsidRDefault="00C14B4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Основное производство – выпуск авиадвигателей за период с 1946 года по 1954 год претерпело значительное изменение.</w:t>
      </w:r>
    </w:p>
    <w:p w14:paraId="5AB2C943" w14:textId="77777777" w:rsidR="00C14B45" w:rsidRPr="00A3026E" w:rsidRDefault="00C14B4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Если за время войны завод выпускал авиадвигатель М-11Д и М-11К, то в 1946 году и последующие годы стал изготавливать модифицированный мотор М-11Л и одновременно форсированный мотор М-11ФР. В 1950 году изготовление моторов М-11Л было совершенно прекращено, а взамен этого стали выпускать только мотор М-11ФР. В 1950 году заводу было предложено изготавливать двигатель АИ-14Р. Серийный выпуск этих моторов продолжался только в течение трех кварталов 1951 года.</w:t>
      </w:r>
    </w:p>
    <w:p w14:paraId="17E007C1" w14:textId="77777777" w:rsidR="00C14B45" w:rsidRPr="00A3026E" w:rsidRDefault="00C14B4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решению Правительства в IV квартале 1951 года выпуск моторов АИ-14Р был прекращен и завод приступил к освоению производства более мощного мотора АШ-62ИР.</w:t>
      </w:r>
    </w:p>
    <w:p w14:paraId="0896269F" w14:textId="77777777" w:rsidR="00C14B45" w:rsidRPr="00A3026E" w:rsidRDefault="00C14B4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1952 года были развернуты работы по освоению нового вида изделий типа 205б (баки).</w:t>
      </w:r>
    </w:p>
    <w:p w14:paraId="03545B63" w14:textId="77777777" w:rsidR="00C14B45" w:rsidRPr="00A3026E" w:rsidRDefault="00C14B4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1956 году завод освоил серийное производство двигателей АИ-14В и редуктора РВ-15, увеличил ресурс двигателя АШ-62ИР на 100 часов.</w:t>
      </w:r>
    </w:p>
    <w:p w14:paraId="56428C3A" w14:textId="77777777" w:rsidR="00C14B45" w:rsidRPr="00A3026E" w:rsidRDefault="00C14B4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1957 году было освоено серийное производство двигателя С-155 типа ЖРД (17422).</w:t>
      </w:r>
    </w:p>
    <w:p w14:paraId="520A6DCE" w14:textId="77777777" w:rsidR="00C14B45" w:rsidRPr="00A3026E" w:rsidRDefault="00C14B45" w:rsidP="00A3026E">
      <w:pPr>
        <w:spacing w:after="0" w:line="240" w:lineRule="auto"/>
        <w:jc w:val="both"/>
        <w:rPr>
          <w:rFonts w:ascii="Times New Roman" w:hAnsi="Times New Roman"/>
          <w:color w:val="000000" w:themeColor="text1"/>
          <w:sz w:val="16"/>
          <w:szCs w:val="16"/>
        </w:rPr>
      </w:pPr>
    </w:p>
    <w:p w14:paraId="752355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 декабря 1940 г. в строю насчитыва</w:t>
      </w:r>
      <w:r w:rsidRPr="00A3026E">
        <w:rPr>
          <w:rFonts w:ascii="Times New Roman" w:hAnsi="Times New Roman"/>
          <w:color w:val="000000" w:themeColor="text1"/>
          <w:sz w:val="16"/>
          <w:szCs w:val="16"/>
        </w:rPr>
        <w:softHyphen/>
        <w:t>лось 2326 Р-5 (из них 1767 исправных), 210 ССС (174 ис</w:t>
      </w:r>
      <w:r w:rsidRPr="00A3026E">
        <w:rPr>
          <w:rFonts w:ascii="Times New Roman" w:hAnsi="Times New Roman"/>
          <w:color w:val="000000" w:themeColor="text1"/>
          <w:sz w:val="16"/>
          <w:szCs w:val="16"/>
        </w:rPr>
        <w:softHyphen/>
        <w:t>правных), 654 Р-2, (454 исправных) - всего 3190 (2395 исправных). Еще 92 Р-5 всех модификаций на 1 ян</w:t>
      </w:r>
      <w:r w:rsidRPr="00A3026E">
        <w:rPr>
          <w:rFonts w:ascii="Times New Roman" w:hAnsi="Times New Roman"/>
          <w:color w:val="000000" w:themeColor="text1"/>
          <w:sz w:val="16"/>
          <w:szCs w:val="16"/>
        </w:rPr>
        <w:softHyphen/>
        <w:t>варя 1941 г. находилось в составе ВВС ВМФ. Само</w:t>
      </w:r>
      <w:r w:rsidRPr="00A3026E">
        <w:rPr>
          <w:rFonts w:ascii="Times New Roman" w:hAnsi="Times New Roman"/>
          <w:color w:val="000000" w:themeColor="text1"/>
          <w:sz w:val="16"/>
          <w:szCs w:val="16"/>
        </w:rPr>
        <w:softHyphen/>
        <w:t>леты снимались с вооружения, но когда началась Великая Отечественная война ввиду больших потерь са</w:t>
      </w:r>
      <w:r w:rsidRPr="00A3026E">
        <w:rPr>
          <w:rFonts w:ascii="Times New Roman" w:hAnsi="Times New Roman"/>
          <w:color w:val="000000" w:themeColor="text1"/>
          <w:sz w:val="16"/>
          <w:szCs w:val="16"/>
        </w:rPr>
        <w:softHyphen/>
        <w:t>молетного парка по приказу Ставки Верховного Главно</w:t>
      </w:r>
      <w:r w:rsidRPr="00A3026E">
        <w:rPr>
          <w:rFonts w:ascii="Times New Roman" w:hAnsi="Times New Roman"/>
          <w:color w:val="000000" w:themeColor="text1"/>
          <w:sz w:val="16"/>
          <w:szCs w:val="16"/>
        </w:rPr>
        <w:softHyphen/>
        <w:t>командования было принято решение сформировать и направить на фронт 27 бомбардировочных полков на самолетах Р-5 и Р-2 (10667).</w:t>
      </w:r>
    </w:p>
    <w:p w14:paraId="6790E50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CB0153D"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color w:val="000000" w:themeColor="text1"/>
          <w:sz w:val="16"/>
          <w:szCs w:val="16"/>
        </w:rPr>
        <w:t>1 декабря 1940 было письмо №048сс, адресованное Сталину от разработчиков пушки ТКБ-201 А. А. Волкова и С. А. Ярцева:</w:t>
      </w:r>
    </w:p>
    <w:p w14:paraId="4A2BA61E"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«Иосиф Виссарионович! 11 октября с/г. на НИП АВ закончились полигонные испытания 23 мм автоматической пушки «ТКБ-201» конструкции Волкова А. А. и Ярцева С. А. Полигонные испытания пушка выдержала, показав:</w:t>
      </w:r>
    </w:p>
    <w:p w14:paraId="0790A864"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1) безотказную работу автоматики, как на горизонтальных полетах самолета, так и на пикировании под углом в 80 градусов, выводах самолета из пике, кабрировании, на виражах, боевых разворотах и после петли;</w:t>
      </w:r>
    </w:p>
    <w:p w14:paraId="5398AF7C"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2) высокий темп стрельбы (максимальный – 650 выстрелов в минуту и эксплуатационный – 600 выстрелов в минуту);</w:t>
      </w:r>
    </w:p>
    <w:p w14:paraId="239119DD"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3) надежное, непрерывное питание, обеспечивающее большой запас патронов на боевой полет самолета; (300 и более).</w:t>
      </w:r>
    </w:p>
    <w:p w14:paraId="109A09C1"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4) удобство эксплуатации;</w:t>
      </w:r>
    </w:p>
    <w:p w14:paraId="0074FC1F"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5) большую живучесть деталей;</w:t>
      </w:r>
    </w:p>
    <w:p w14:paraId="22F8DDEC"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6) простоту конструкции и</w:t>
      </w:r>
    </w:p>
    <w:p w14:paraId="4066641A"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7) возможность быстрого освоения в производстве.</w:t>
      </w:r>
    </w:p>
    <w:p w14:paraId="331B15B8"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Однако, дальнейшие работы и решение по пушке «ТКБ-201» затормозились, т.к. в пункте 2-м заключения по полигонным испытаниям сказано: Ввиду того, что одновременно с пушкой «ТКБ-201» проходит полигонные испытания 23 мм пушка Таубина-Бабурина, которая, не уступая по баллистическим качествам и эффективности снаряда у цели пушке «ТКБ-201», имеет ряд преимуществ, а именно: меньше на 23 кг вес, меньше габариты, отсутствуют звенья, НИП АВ считает целесообразным вопрос о допуске пушки «ТКБ-201» конструкции Волкова-Ярцева на войсковые испытания решить после окончания воздушных испытаний 23 мм пушки Таубина-Бабурина. Относясь критически к пункту 2-му заключения, мы считаем необходимым отметить, что помимо несущественных и даже, вообще, несуществующих преимуществ, отмеченных в этом пункте, пушка Таубина-Бабурина имеет большие недостатки, а именно:</w:t>
      </w:r>
    </w:p>
    <w:p w14:paraId="311D14F4"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НИП АВ считает преимуществом отсутствие звена на пушке Таубина-Бабурина. Это преимущество было бы действительным, если бы удалось разрешить проблему обеспечения пушки необходимым запасом патронов (в 200–300 шт.) и добиться безотказности работы автоматики пушки при данном запасе патронов и темпе стрельбы в 600 выстрелов в минуту. Но эта важнейшая проблема для беззвеньевого питания – обеспечение оружия необходимым запасом патронов, не разрешена на пушке Таубина-Бабурина и не может быть разрешена в той схеме, которая ими разработана. Таубин-Бабурин отрабатывают автоматику своей пушки с расчетом на запас патронов в 81 шт. При заданном темпе стрельбы в 600 выстрелов в минуту этого количества патронов явно недостаточно для ведения боя.</w:t>
      </w:r>
    </w:p>
    <w:p w14:paraId="43B997B4"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Если на пулемет «Шкас», имеющий темп стрельбы 1600–1800 выстрелов в минуту, берется от 500 до 800 шт. патронов, то для пушки с темпом стрельбы в 600 выстрелов в минуту запас патронов будет (пропорционально уменьшен) в 180–280 шт…</w:t>
      </w:r>
    </w:p>
    <w:p w14:paraId="41FD9DAC"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 Помимо этой простой, пропорциональной темпу зависимости в определении запаса патронов для пушки, следует также учесть, что стрельбу из пушки, как из более эффективного оружия на дальних дистанциях, начинают раньше, чем стрельбу из пулеметов.</w:t>
      </w:r>
    </w:p>
    <w:p w14:paraId="39969BB0"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Из вышеизложенного совершенно очевидно, что пушечный истребитель, вооруженный пушкой Таубина-Бабурина с запасом в 81 патрон, значительно раньше израсходует свой запас и останется безоружным против истребителя, вооруженного пулеметами.</w:t>
      </w:r>
    </w:p>
    <w:p w14:paraId="61DF7E5C"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Пушка «ТКБ-201» конструкции Волкова-Ярцева, имея непрерывное питание и безотказную работу автоматики обеспечивает запас патронов в 300 шт., как это имеет место на самолете Микояна, макет которого был предъявлен в октябре с.г. Также следует отметить, что габариты более удобные для установок на самолетах имеет пушка «ТКБ-201», запас патронов для которой может быть отнесен в свободное на самолете место на расстояние от пушки до 1–1,5 метров, с подводом питания к пушке через рукав, удобно размещающийся в любой части самолета. На пушке Таубина-Бабурина этого сделать нельзя, т.к. весь запас патронов находится в приемнике, укрепленном непосредственно к пушке.</w:t>
      </w:r>
    </w:p>
    <w:p w14:paraId="55FF7DF1"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В отношении меньшего на 23 кг веса пушки Таубина-Бабурина следует внести уточнение. В отчете приведен вес пушки Таубина-Бабурина без приемника и без механизма пневмоперезарядки. Действительный вес ее с приемником – 56 кг. Вес пушки «ТКБ-201» конструкции Волкова-Ярцева – 62,8 кг (с приемником и механизмом пневмоперезарядки). Таким образом, пушка «ТКБ-201» тяжелее пушки Таубина-Бабурина всего на 6,8 кг, что никак не может являться ее существенным недостатком. Это очевидно также потому, что по тактико-техническим требованиям ГУ ВВС для 37 мм автоматической пушки, предназначенной для установок в тех же точках и самолетах, что и пушки 23 мм, допускается вес до 160 кг. До сих пор мы не имели возможности проделать работы по облегчению пушки, т.к. изготовленные три пушки «ТКБ-201» проходили испытания, где никаких экспериментальных работ не допускалось. Однако вес пушки не является предельным. Он может быть уменьшен до 50–52 кг.</w:t>
      </w:r>
    </w:p>
    <w:p w14:paraId="458F5D51"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Учитывая отзывы о нашей пушке работников авиационных заводов и непосредственных испытателей ее на полигоне, мы спокойно дожидались окончания полигонных испытаний пушки Таубина-Бабурина, уверенные в том, что правительственная комиссия при выборе пушки будет подробно останавливаться на результатах испытаний и данных пушек «ТКБ-201» и Таубина-Бабурина.</w:t>
      </w:r>
    </w:p>
    <w:p w14:paraId="27FBD34E"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Однако, 19/IX-1940 г. нарком вооружения Ванников поставил нас в известность, что пушка Таубина-Бабурина принята на вооружение. Это сообщение Ванникова привело нас в недоумение, т.к. за день до этого работники Техсовета НКВ сообщали, что полигонные испытания пушки Таубина-Бабурина находятся в начальной стадии и результаты их далеко неудовлетворительны. Пушка Таубина-Бабурина не проверена до сих пор на живучесть (по Т.Т.Т. – 8000–10000 выстрелов) и на работу автоматики при этой необходимой живучести. В настоящее время пушка Таубина-Бабурина не является отработанным боевым оружием, несмотря на то, что им изготовлено более 10 шт. пушек. И, вообще, едва – ли можно уверенно сказать, что она будет без конструктивных изменений доработана.</w:t>
      </w:r>
    </w:p>
    <w:p w14:paraId="02E619E0" w14:textId="77777777" w:rsidR="006F0747" w:rsidRPr="00A3026E" w:rsidRDefault="006F0747"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 xml:space="preserve">Наша пушка, в результате трех изготовленных образцов, прошедших полные полигонные испытания, является законченным боевым образцом автоматического оружия, пригодным без всяких конструктивных изменений для запуска в производство. Сознавая всю ответственность за вооружение авиации 23 мм пушкой, мы </w:t>
      </w:r>
      <w:r w:rsidRPr="00A3026E">
        <w:rPr>
          <w:rStyle w:val="af0"/>
          <w:i w:val="0"/>
          <w:color w:val="000000" w:themeColor="text1"/>
          <w:sz w:val="16"/>
          <w:szCs w:val="16"/>
          <w:bdr w:val="none" w:sz="0" w:space="0" w:color="auto" w:frame="1"/>
        </w:rPr>
        <w:lastRenderedPageBreak/>
        <w:t>просим Вас о создании высокоавторитетной комиссии для беспристрастной оценки данных и результатов полных полигонных испытаний пушек «ТКБ-201» и Таубина-Бабурина, с привлечением в комиссию представителей армии и работников авиационной промышленности» (19192).</w:t>
      </w:r>
    </w:p>
    <w:p w14:paraId="507B653D" w14:textId="77777777" w:rsidR="006F0747" w:rsidRPr="00A3026E" w:rsidRDefault="006F0747" w:rsidP="00A3026E">
      <w:pPr>
        <w:pStyle w:val="rtejustify"/>
        <w:shd w:val="clear" w:color="auto" w:fill="FFFFFF"/>
        <w:spacing w:before="0" w:after="0"/>
        <w:rPr>
          <w:color w:val="000000" w:themeColor="text1"/>
          <w:sz w:val="16"/>
          <w:szCs w:val="16"/>
        </w:rPr>
      </w:pPr>
    </w:p>
    <w:p w14:paraId="28E7BE37" w14:textId="77777777" w:rsidR="00D55004" w:rsidRPr="00A3026E" w:rsidRDefault="00D55004"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5D79016C" w14:textId="77777777" w:rsidR="00D55004" w:rsidRPr="00A3026E" w:rsidRDefault="00D55004" w:rsidP="00A3026E">
      <w:pPr>
        <w:spacing w:after="0" w:line="240" w:lineRule="auto"/>
        <w:jc w:val="both"/>
        <w:rPr>
          <w:rFonts w:ascii="Times New Roman" w:hAnsi="Times New Roman"/>
          <w:iCs/>
          <w:color w:val="000000" w:themeColor="text1"/>
          <w:sz w:val="16"/>
          <w:szCs w:val="16"/>
        </w:rPr>
      </w:pPr>
    </w:p>
    <w:p w14:paraId="063863FB"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декабря 1940:</w:t>
      </w:r>
    </w:p>
    <w:p w14:paraId="3C603C32"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1182 листы 97 – 98 </w:t>
      </w:r>
    </w:p>
    <w:p w14:paraId="52F223DA"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2E564C4C"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1 </w:t>
      </w:r>
    </w:p>
    <w:p w14:paraId="3FB9BAE1"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1/XII-1940 г. </w:t>
      </w:r>
    </w:p>
    <w:p w14:paraId="53431737"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693с </w:t>
      </w:r>
    </w:p>
    <w:p w14:paraId="4FDE6BC7"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4 ОТДЕЛА БТУ КА</w:t>
      </w:r>
    </w:p>
    <w:p w14:paraId="22D9801F"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ВОЕНИНЖЕНЕРУ 1 РАНГА т. АФОНИНУ</w:t>
      </w:r>
    </w:p>
    <w:p w14:paraId="0D14DC0A"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w:t>
      </w:r>
    </w:p>
    <w:p w14:paraId="744A16A4"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ОПЫТНЫХ РАБОТ ПРОВЕДЕННЫХ НА ЗАВОДЕ 183 ЗА НОЯБРЬ МЕСЯЦ 1940 г.</w:t>
      </w:r>
    </w:p>
    <w:p w14:paraId="59537575"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Испытание машины А-7М № 0314-2 с деталями из заменителей: </w:t>
      </w:r>
    </w:p>
    <w:p w14:paraId="71CDE849"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Кожуха распред. валов двигателя, железные вместо алюминиевого сплава. </w:t>
      </w:r>
    </w:p>
    <w:p w14:paraId="0355301C"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Штоки горизонтальных свечей. </w:t>
      </w:r>
    </w:p>
    <w:p w14:paraId="762351C0"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Электропривода без оплетки. </w:t>
      </w:r>
    </w:p>
    <w:p w14:paraId="440419B4"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Топливные баки оцинкованные методом шоопирования вместо лужения. </w:t>
      </w:r>
    </w:p>
    <w:p w14:paraId="6C5AEEF9"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Коробка перемены передач с чугунным картером. Данная коробка с машины снята после 353 км пробега ввиду появления больших трещин на картере. </w:t>
      </w:r>
    </w:p>
    <w:p w14:paraId="778EA577"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Детали бортовой передачи. </w:t>
      </w:r>
    </w:p>
    <w:p w14:paraId="366EAC5C"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Детали ленивца и ряд других мелких деталей. </w:t>
      </w:r>
    </w:p>
    <w:p w14:paraId="4ED70F13"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Кроме того на машине установлено: </w:t>
      </w:r>
    </w:p>
    <w:p w14:paraId="2B6A3AF3"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Унифицированный главный фрикцион. </w:t>
      </w:r>
    </w:p>
    <w:p w14:paraId="25643719"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Унифицированно-качающиеся рычаги управляемых колес и другие мелкие детали. </w:t>
      </w:r>
    </w:p>
    <w:p w14:paraId="10A2841D"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Машина на 1/XII-40 г. прошла 1488 км, испытания будут продолжены в Декабре мес. </w:t>
      </w:r>
    </w:p>
    <w:p w14:paraId="45B311B2"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Изготовление деталей для прибора огнеметания. Детали будут готовы в первых числах Декабря и будут установлены на одну из опытных машин А-34, которая сейчас находится в капитальном ремонте, который предполагается закончить 10 – 15 декабря с.г. </w:t>
      </w:r>
    </w:p>
    <w:p w14:paraId="01BAA63F"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В конструкторском бюро: </w:t>
      </w:r>
    </w:p>
    <w:p w14:paraId="7088646C"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Заканчивается изготовление чертежей по отеплению маш. А-7М.</w:t>
      </w:r>
    </w:p>
    <w:p w14:paraId="3B818384"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Изготовление деталей и установка их на машине предполагается закончить к 1 Января 1941 г. </w:t>
      </w:r>
    </w:p>
    <w:p w14:paraId="729F284E"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Разработаны чертежи и спущены в производство на детали фрикциона вентилятора маш. А-34, который должен обеспечивать пробуксовку вентилятора относительно маховика при резком изменении оборотов. </w:t>
      </w:r>
    </w:p>
    <w:p w14:paraId="5EDA31DE"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Разработан и спущен в производство главный фрикцион с утолщенными стальными деталями. </w:t>
      </w:r>
    </w:p>
    <w:p w14:paraId="73B80376"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Разрабатываются новые смотровые приборы водителя маш. А-34. </w:t>
      </w:r>
    </w:p>
    <w:p w14:paraId="7569C2B2"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Разрабатываются чертежи по модернизации машин Т-34 (новая башня по типу немецкой маш., торсионная подвеска, коробка перемены передач и т.д.). </w:t>
      </w:r>
    </w:p>
    <w:p w14:paraId="755F182D"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СВОДКУ СОСТАВИЛ: ВОЕНПРЕД ГАБТУ КА ВОЕНИНЖЕНЕР 3 РАНГА подпись (АЛЕКСЕЕВ)</w:t>
      </w:r>
    </w:p>
    <w:p w14:paraId="5C2F7DBE"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СВОДКУ ПРОВЕРИЛ: РАЙОННЫЙ ИНЖЕНЕР ГАБТУ КА ВОЕНИНЖЕНЕР 2 РАНГА подпись (КОЗЫРЕВ)</w:t>
      </w:r>
    </w:p>
    <w:p w14:paraId="24F7C48E"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2 экз. </w:t>
      </w:r>
    </w:p>
    <w:p w14:paraId="503C4FF4"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 Алексеев (18225).</w:t>
      </w:r>
    </w:p>
    <w:p w14:paraId="34D431B6" w14:textId="77777777" w:rsidR="00D55004" w:rsidRPr="00A3026E" w:rsidRDefault="00D55004" w:rsidP="00A3026E">
      <w:pPr>
        <w:spacing w:after="0" w:line="240" w:lineRule="auto"/>
        <w:jc w:val="both"/>
        <w:rPr>
          <w:rFonts w:ascii="Times New Roman" w:hAnsi="Times New Roman"/>
          <w:color w:val="000000" w:themeColor="text1"/>
          <w:sz w:val="16"/>
          <w:szCs w:val="16"/>
        </w:rPr>
      </w:pPr>
    </w:p>
    <w:p w14:paraId="4B83E670"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декабря 104- в </w:t>
      </w:r>
      <w:hyperlink r:id="rId132" w:tgtFrame="_blank" w:history="1">
        <w:r w:rsidRPr="00A3026E">
          <w:rPr>
            <w:rStyle w:val="a5"/>
            <w:rFonts w:ascii="Times New Roman" w:hAnsi="Times New Roman"/>
            <w:color w:val="000000" w:themeColor="text1"/>
            <w:sz w:val="16"/>
            <w:szCs w:val="16"/>
          </w:rPr>
          <w:t>сводке № 693с</w:t>
        </w:r>
      </w:hyperlink>
      <w:r w:rsidRPr="00A3026E">
        <w:rPr>
          <w:rFonts w:ascii="Times New Roman" w:hAnsi="Times New Roman"/>
          <w:color w:val="000000" w:themeColor="text1"/>
          <w:sz w:val="16"/>
          <w:szCs w:val="16"/>
        </w:rPr>
        <w:t> по опытным работам завода № 183 было указано, что в ноябре 1940 г. коллективом КБ-520 были проведены следующие конструкторские работы: </w:t>
      </w:r>
    </w:p>
    <w:p w14:paraId="1E2C2FEE"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разработаны и переданы в производство чертежи на детали усиленного главного фрикциона; </w:t>
      </w:r>
    </w:p>
    <w:p w14:paraId="20377DC0"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разработаны и переданы в производство чертежи фрикциона центробежного вентилятора системы охлаждения двигателя, обеспечивающего пробуксовку вентилятора относительно маховика главного фрикциона при резком изменении частоты вращения коленчатого вала дизеля В-2; </w:t>
      </w:r>
    </w:p>
    <w:p w14:paraId="0BE002C0"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начата разработка новых смотровых приборов механика-водителя.</w:t>
      </w:r>
    </w:p>
    <w:p w14:paraId="2BD6249E" w14:textId="77777777" w:rsidR="00D55004" w:rsidRPr="00A3026E" w:rsidRDefault="00D550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на основании приказа НКСМ № 268сс «О модернизации танка Т-34», изданного В.А. Малышевым 25 ноября 1940 г. во исполнение Постановления Комитета обороны № 428сс, коллектив КБ-520 в конце ноября приступил к разработке чертежей модернизированной «тридцатьчетверки» (18206).</w:t>
      </w:r>
    </w:p>
    <w:p w14:paraId="514782F6" w14:textId="77777777" w:rsidR="00D55004" w:rsidRPr="00A3026E" w:rsidRDefault="00D55004" w:rsidP="00A3026E">
      <w:pPr>
        <w:spacing w:after="0" w:line="240" w:lineRule="auto"/>
        <w:jc w:val="both"/>
        <w:rPr>
          <w:rFonts w:ascii="Times New Roman" w:hAnsi="Times New Roman"/>
          <w:color w:val="000000" w:themeColor="text1"/>
          <w:sz w:val="16"/>
          <w:szCs w:val="16"/>
        </w:rPr>
      </w:pPr>
    </w:p>
    <w:p w14:paraId="3F77EEB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770E743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C8C7199" w14:textId="77777777" w:rsidR="0007323E" w:rsidRPr="00A3026E" w:rsidRDefault="0007323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декабря 1941 г. для производства на заводе «Мессершмитта» в Регенсбурге были заказаны первые 70 экземпляров, предполагалось обозначать Li 163S по фамилии конструктора, а литера S обозначала «серийный». Однако в конечном итоге оставили обозначение Ме. В соответствии с предварительной директивой по разработке скоростных самолетов-истребителей с реактивными двигателями, являвшейся приложением к письму Технического управления RLM от 4 января 1939 г. LC7 Nr. 461/38 (III) g. Kdos, к ним предъявлялись требования отдельно для истребителя и перехватчика:</w:t>
      </w:r>
    </w:p>
    <w:p w14:paraId="12EEDB3E" w14:textId="77777777" w:rsidR="0007323E" w:rsidRPr="00A3026E" w:rsidRDefault="0007323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Истребитель</w:t>
      </w:r>
      <w:r w:rsidRPr="00A3026E">
        <w:rPr>
          <w:rFonts w:ascii="Times New Roman" w:hAnsi="Times New Roman"/>
          <w:color w:val="0070C0"/>
          <w:sz w:val="16"/>
          <w:szCs w:val="16"/>
        </w:rPr>
        <w:tab/>
        <w:t>Перехватчик</w:t>
      </w:r>
    </w:p>
    <w:p w14:paraId="705D9923" w14:textId="77777777" w:rsidR="0007323E" w:rsidRPr="00A3026E" w:rsidRDefault="0007323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Два 7,92-мм пулемета MG-17 1 000 патронов на ствол</w:t>
      </w:r>
      <w:r w:rsidRPr="00A3026E">
        <w:rPr>
          <w:rFonts w:ascii="Times New Roman" w:hAnsi="Times New Roman"/>
          <w:color w:val="0070C0"/>
          <w:sz w:val="16"/>
          <w:szCs w:val="16"/>
        </w:rPr>
        <w:tab/>
        <w:t>500 патронов на ствол</w:t>
      </w:r>
    </w:p>
    <w:p w14:paraId="51C8B5B8" w14:textId="77777777" w:rsidR="0007323E" w:rsidRPr="00A3026E" w:rsidRDefault="0007323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Одна 20-мм пушка MG-151</w:t>
      </w:r>
      <w:r w:rsidRPr="00A3026E">
        <w:rPr>
          <w:rFonts w:ascii="Times New Roman" w:hAnsi="Times New Roman"/>
          <w:color w:val="0070C0"/>
          <w:sz w:val="16"/>
          <w:szCs w:val="16"/>
        </w:rPr>
        <w:tab/>
        <w:t>500 снарядов</w:t>
      </w:r>
      <w:r w:rsidRPr="00A3026E">
        <w:rPr>
          <w:rFonts w:ascii="Times New Roman" w:hAnsi="Times New Roman"/>
          <w:color w:val="0070C0"/>
          <w:sz w:val="16"/>
          <w:szCs w:val="16"/>
        </w:rPr>
        <w:tab/>
        <w:t>250 снарядов.</w:t>
      </w:r>
    </w:p>
    <w:p w14:paraId="1BF0442A" w14:textId="77777777" w:rsidR="0007323E" w:rsidRPr="00A3026E" w:rsidRDefault="0007323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Приоритетность летно-технических характеристик </w:t>
      </w:r>
    </w:p>
    <w:p w14:paraId="6B73BD72" w14:textId="77777777" w:rsidR="0007323E" w:rsidRPr="00A3026E" w:rsidRDefault="0007323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Скорость. 2. Скороподъемность. 3. ВПХ</w:t>
      </w:r>
      <w:r w:rsidRPr="00A3026E">
        <w:rPr>
          <w:rFonts w:ascii="Times New Roman" w:hAnsi="Times New Roman"/>
          <w:color w:val="0070C0"/>
          <w:sz w:val="16"/>
          <w:szCs w:val="16"/>
        </w:rPr>
        <w:tab/>
        <w:t>1. Скороподъемность. 2. Скорость. 3. ВПХ</w:t>
      </w:r>
    </w:p>
    <w:p w14:paraId="5237B579" w14:textId="77777777" w:rsidR="0007323E" w:rsidRPr="00A3026E" w:rsidRDefault="0007323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Учитывая то, что Ме 163В разрабатывался как истребитель-перехватчик и оснащался ЖРД, требования к нему отличались. Так, при максимальной скорости 950 км/ч боевой радиус и потолок должны были составлять 250 км и 12 000 м, соответственно. Обеспечить такие характеристики должен был новый ЖРД Вальтера RII-211 с увеличенной до 1 700 кг с тягой и временем работы не менее 12 минут. Однако из-за высокого расхода топлива фактическая дальность полета Ме 163В не превысила 150 км, что потребовало новой тактики боевого применения и подготовки кадров. Исходя из фактической дальности, планировалось создать сеть баз в направлении с севера на юг Германии на расстоянии 100–150 км друг от друга, действуя с которых Ме 163В преградят дорогу бомбардировщикам противника. Однако оставалась проблема подготовки нескольких сотен пилотов для осуществления этого плана. Педантичные немцы позаботились и об этом, создав летом 1942 г. специальную испытательную команду — Erprobungskommando 16 (EKdo 16) — для исследования особенностей эксплуатации Me 163, ускорения поступления ракетных перехватчиков в строевые части, отработки тактики их боевого применения и переучивания летчиков. Для EKdo 16 требовался командир, имевший боевой опыт и навыки планериста. Этим требованиям соответствовал гауптман Вольфганг Шпете (22774).</w:t>
      </w:r>
    </w:p>
    <w:p w14:paraId="3E39D4EC" w14:textId="77777777" w:rsidR="0007323E" w:rsidRPr="00A3026E" w:rsidRDefault="0007323E" w:rsidP="00A3026E">
      <w:pPr>
        <w:spacing w:after="0" w:line="240" w:lineRule="auto"/>
        <w:jc w:val="both"/>
        <w:rPr>
          <w:rFonts w:ascii="Times New Roman" w:hAnsi="Times New Roman"/>
          <w:color w:val="0070C0"/>
          <w:sz w:val="16"/>
          <w:szCs w:val="16"/>
        </w:rPr>
      </w:pPr>
    </w:p>
    <w:p w14:paraId="008C6A1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декабря 1940 в Италии введены ограничения на торговлю спагетти и рисом (4962).</w:t>
      </w:r>
    </w:p>
    <w:p w14:paraId="25CF02F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1B0CACB"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6609AA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31A1D7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года в НИИ ВВС был выдан наряд-приказ № 0273</w:t>
      </w:r>
    </w:p>
    <w:p w14:paraId="1BE985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 серийного самолета ББ-1 с мотором М-88 производства завода № 135 (6890, 174).</w:t>
      </w:r>
    </w:p>
    <w:p w14:paraId="68B236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17E63D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 декабря 1940 по 17 марта 1941 проходили гос. испытания серийных Су-2 с М-88Б. Летчик А.К.Долгов (200,26).</w:t>
      </w:r>
    </w:p>
    <w:p w14:paraId="76C17DB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8005BFF" w14:textId="77777777" w:rsidR="005D2DC4" w:rsidRPr="00A3026E" w:rsidRDefault="005D2DC4"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С 2 декабря 1940 г. по 17 марта 1941 г. НИИ ВВС провел государственные испытания двух серийных Су-2 с мото</w:t>
      </w:r>
      <w:r w:rsidRPr="00A3026E">
        <w:rPr>
          <w:rFonts w:ascii="Times New Roman" w:cs="Times New Roman"/>
          <w:color w:val="000000" w:themeColor="text1"/>
          <w:spacing w:val="0"/>
        </w:rPr>
        <w:softHyphen/>
        <w:t>рами М-88Б (№ 16/2 и 20/2) на заводе № 135 в Харькове. На самопете №16/2 пришлось заменить четыре мотора.</w:t>
      </w:r>
    </w:p>
    <w:p w14:paraId="40D63E59" w14:textId="77777777" w:rsidR="005D2DC4" w:rsidRPr="00A3026E" w:rsidRDefault="005D2DC4"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lastRenderedPageBreak/>
        <w:t>Несмотря на доработку винтомо</w:t>
      </w:r>
      <w:r w:rsidRPr="00A3026E">
        <w:rPr>
          <w:rFonts w:ascii="Times New Roman" w:cs="Times New Roman"/>
          <w:color w:val="000000" w:themeColor="text1"/>
          <w:spacing w:val="0"/>
        </w:rPr>
        <w:softHyphen/>
        <w:t>торной группы, она по-прежнему стра</w:t>
      </w:r>
      <w:r w:rsidRPr="00A3026E">
        <w:rPr>
          <w:rFonts w:ascii="Times New Roman" w:cs="Times New Roman"/>
          <w:color w:val="000000" w:themeColor="text1"/>
          <w:spacing w:val="0"/>
        </w:rPr>
        <w:softHyphen/>
        <w:t>дала от перегрева В заключении акта по результатам испытаний отмечали «Считать моторы М-88 и М-88Б не до</w:t>
      </w:r>
      <w:r w:rsidRPr="00A3026E">
        <w:rPr>
          <w:rFonts w:ascii="Times New Roman" w:cs="Times New Roman"/>
          <w:color w:val="000000" w:themeColor="text1"/>
          <w:spacing w:val="0"/>
        </w:rPr>
        <w:softHyphen/>
        <w:t>веденными для надежной эксплуатации в строевых частях ВВС КА Потребовать от завода № 29 обеспечить надежную работу мотора на самолете Су-2». С 1 мая в Харькове планировали про</w:t>
      </w:r>
      <w:r w:rsidRPr="00A3026E">
        <w:rPr>
          <w:rFonts w:ascii="Times New Roman" w:cs="Times New Roman"/>
          <w:color w:val="000000" w:themeColor="text1"/>
          <w:spacing w:val="0"/>
        </w:rPr>
        <w:softHyphen/>
        <w:t>вести контрольные испытания машины с мотором М-88Б (19102).</w:t>
      </w:r>
    </w:p>
    <w:p w14:paraId="7622A7C8" w14:textId="77777777" w:rsidR="005D2DC4" w:rsidRPr="00A3026E" w:rsidRDefault="005D2DC4" w:rsidP="00A3026E">
      <w:pPr>
        <w:pStyle w:val="26"/>
        <w:shd w:val="clear" w:color="auto" w:fill="auto"/>
        <w:spacing w:after="0" w:line="240" w:lineRule="auto"/>
        <w:ind w:firstLine="0"/>
        <w:rPr>
          <w:rFonts w:ascii="Times New Roman" w:cs="Times New Roman"/>
          <w:color w:val="000000" w:themeColor="text1"/>
          <w:spacing w:val="0"/>
        </w:rPr>
      </w:pPr>
    </w:p>
    <w:p w14:paraId="2A8BA07D" w14:textId="77777777" w:rsidR="00257CA1" w:rsidRPr="00A3026E" w:rsidRDefault="00257CA1" w:rsidP="00A3026E">
      <w:pPr>
        <w:spacing w:after="0" w:line="240" w:lineRule="auto"/>
        <w:jc w:val="both"/>
        <w:rPr>
          <w:rStyle w:val="ucoz-forum-post"/>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2 декабря 1940 года</w:t>
      </w:r>
      <w:r w:rsidRPr="00A3026E">
        <w:rPr>
          <w:rStyle w:val="ucoz-forum-post"/>
          <w:rFonts w:ascii="Times New Roman" w:hAnsi="Times New Roman"/>
          <w:color w:val="000000" w:themeColor="text1"/>
          <w:sz w:val="16"/>
          <w:szCs w:val="16"/>
        </w:rPr>
        <w:t xml:space="preserve"> Первый полет ближнего бомбардировщика Су-2 с мотором М-88Б - Су-2 - легкий бомбардировщик, который представлял собой моноплан с низкорасположенным крылом. Самолет имел бомбовую нагрузку 1000 кг, сильное стрелковое вооружение (шесть пулеметов) Пулемёты имели калибр 7,62, что не являлось для начала ВОВ "сильным" вооружением, причём для обороны (основное назначение стволов на бомбардирвщике) использовался только один пулемёт, что и объясняло высокие потери Су-2 на фронте, что не мешает до сих пор спорить на тему Ил-2 или Су-2. С 1940 г. АНТ-51 стали выпускать серийно под обозначением ББ-1 (ближний бомбардировщик первый), а вскоре ему присвоили наименование Су-2. От опытных самолетов серийные отличались только конструкцией фюзеляжа, который вместо цельнометаллического стал деревянным. В период Великой Отечественной войны подразделения Су-2 действовали на самых разных участках фронта. Последние серии самолета оснащались более мощными моторами М-82 (в этом варианте самолет имел обозначение Су-4). В 1942 г. производство Су-2 прекратили. Всего было построено 877 самолетов Су-2 и Су-4 (14848).</w:t>
      </w:r>
    </w:p>
    <w:p w14:paraId="4998A690" w14:textId="77777777" w:rsidR="00257CA1" w:rsidRPr="00A3026E" w:rsidRDefault="00257CA1" w:rsidP="00A3026E">
      <w:pPr>
        <w:spacing w:after="0" w:line="240" w:lineRule="auto"/>
        <w:jc w:val="both"/>
        <w:rPr>
          <w:rStyle w:val="ucoz-forum-post"/>
          <w:rFonts w:ascii="Times New Roman" w:hAnsi="Times New Roman"/>
          <w:color w:val="000000" w:themeColor="text1"/>
          <w:sz w:val="16"/>
          <w:szCs w:val="16"/>
        </w:rPr>
      </w:pPr>
    </w:p>
    <w:p w14:paraId="003AC346" w14:textId="77777777" w:rsidR="00257CA1" w:rsidRPr="00A3026E" w:rsidRDefault="00257CA1" w:rsidP="00A3026E">
      <w:pPr>
        <w:pStyle w:val="a3"/>
        <w:rPr>
          <w:color w:val="000000" w:themeColor="text1"/>
          <w:lang w:val="ru-RU"/>
        </w:rPr>
      </w:pPr>
      <w:r w:rsidRPr="00A3026E">
        <w:rPr>
          <w:color w:val="000000" w:themeColor="text1"/>
          <w:lang w:val="ru-RU"/>
        </w:rPr>
        <w:t>Со 2 декабря 1940 года по 17 марта 1941 года в НИИ ВВС КА проходили госиспытания двух серийных самолётов Су-2 М-88Б ( №№ 16/2 и 20/2) и на самолёте №16/2 были заменены четыре (!) мотора М-88Б.</w:t>
      </w:r>
    </w:p>
    <w:p w14:paraId="6962098D" w14:textId="77777777" w:rsidR="00257CA1" w:rsidRPr="00A3026E" w:rsidRDefault="00257CA1" w:rsidP="00A3026E">
      <w:pPr>
        <w:pStyle w:val="a3"/>
        <w:rPr>
          <w:color w:val="000000" w:themeColor="text1"/>
          <w:lang w:val="ru-RU"/>
        </w:rPr>
      </w:pPr>
      <w:r w:rsidRPr="00A3026E">
        <w:rPr>
          <w:color w:val="000000" w:themeColor="text1"/>
          <w:lang w:val="ru-RU"/>
        </w:rPr>
        <w:t>В заключении Акта по результатам испытаний отмечалось, что:</w:t>
      </w:r>
    </w:p>
    <w:p w14:paraId="71155E1B" w14:textId="77777777" w:rsidR="00257CA1" w:rsidRPr="00A3026E" w:rsidRDefault="00257CA1"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 1.Температурные режимы ВМГ на серийном Су-2 М-88Б, после переделки её заводом № 135, остаются по прежнему не доведёнными. ...</w:t>
      </w:r>
    </w:p>
    <w:p w14:paraId="5BC83202" w14:textId="77777777" w:rsidR="00257CA1" w:rsidRPr="00A3026E" w:rsidRDefault="00257CA1" w:rsidP="00A3026E">
      <w:pPr>
        <w:pStyle w:val="212"/>
        <w:shd w:val="clear" w:color="auto" w:fill="auto"/>
        <w:tabs>
          <w:tab w:val="left" w:pos="582"/>
        </w:tabs>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3. Считать моторы М-88 и</w:t>
      </w:r>
      <w:r w:rsidRPr="00A3026E">
        <w:rPr>
          <w:rStyle w:val="246"/>
          <w:rFonts w:ascii="Times New Roman" w:eastAsia="Arial Unicode MS" w:hAnsi="Times New Roman" w:cs="Times New Roman"/>
          <w:i w:val="0"/>
          <w:iCs w:val="0"/>
          <w:color w:val="000000" w:themeColor="text1"/>
        </w:rPr>
        <w:t xml:space="preserve"> М-88Б</w:t>
      </w:r>
      <w:r w:rsidRPr="00A3026E">
        <w:rPr>
          <w:rFonts w:ascii="Times New Roman" w:hAnsi="Times New Roman" w:cs="Times New Roman"/>
          <w:i w:val="0"/>
          <w:color w:val="000000" w:themeColor="text1"/>
          <w:sz w:val="16"/>
          <w:szCs w:val="16"/>
        </w:rPr>
        <w:t xml:space="preserve"> не</w:t>
      </w:r>
      <w:r w:rsidRPr="00A3026E">
        <w:rPr>
          <w:rStyle w:val="246"/>
          <w:rFonts w:ascii="Times New Roman" w:eastAsia="Arial Unicode MS" w:hAnsi="Times New Roman" w:cs="Times New Roman"/>
          <w:i w:val="0"/>
          <w:iCs w:val="0"/>
          <w:color w:val="000000" w:themeColor="text1"/>
        </w:rPr>
        <w:t xml:space="preserve"> доведёнными</w:t>
      </w:r>
      <w:r w:rsidRPr="00A3026E">
        <w:rPr>
          <w:rFonts w:ascii="Times New Roman" w:hAnsi="Times New Roman" w:cs="Times New Roman"/>
          <w:i w:val="0"/>
          <w:color w:val="000000" w:themeColor="text1"/>
          <w:sz w:val="16"/>
          <w:szCs w:val="16"/>
        </w:rPr>
        <w:t xml:space="preserve"> для надёжной эксплуатации в строевых частях ВВС КА. Потребовать от завода № 29 обеспечить</w:t>
      </w:r>
      <w:r w:rsidRPr="00A3026E">
        <w:rPr>
          <w:rStyle w:val="246"/>
          <w:rFonts w:ascii="Times New Roman" w:eastAsia="Arial Unicode MS" w:hAnsi="Times New Roman" w:cs="Times New Roman"/>
          <w:i w:val="0"/>
          <w:iCs w:val="0"/>
          <w:color w:val="000000" w:themeColor="text1"/>
        </w:rPr>
        <w:t xml:space="preserve"> надёжную</w:t>
      </w:r>
      <w:r w:rsidRPr="00A3026E">
        <w:rPr>
          <w:rFonts w:ascii="Times New Roman" w:hAnsi="Times New Roman" w:cs="Times New Roman"/>
          <w:i w:val="0"/>
          <w:color w:val="000000" w:themeColor="text1"/>
          <w:sz w:val="16"/>
          <w:szCs w:val="16"/>
        </w:rPr>
        <w:t xml:space="preserve"> работу мотора на само</w:t>
      </w:r>
      <w:r w:rsidRPr="00A3026E">
        <w:rPr>
          <w:rFonts w:ascii="Times New Roman" w:hAnsi="Times New Roman" w:cs="Times New Roman"/>
          <w:i w:val="0"/>
          <w:color w:val="000000" w:themeColor="text1"/>
          <w:sz w:val="16"/>
          <w:szCs w:val="16"/>
        </w:rPr>
        <w:softHyphen/>
        <w:t>лёте Су-2.</w:t>
      </w:r>
    </w:p>
    <w:p w14:paraId="2A336ED7" w14:textId="77777777" w:rsidR="00257CA1" w:rsidRPr="00A3026E" w:rsidRDefault="00257CA1" w:rsidP="00A3026E">
      <w:pPr>
        <w:pStyle w:val="212"/>
        <w:shd w:val="clear" w:color="auto" w:fill="auto"/>
        <w:tabs>
          <w:tab w:val="left" w:pos="577"/>
        </w:tabs>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4. К 1. 05. 4 1 провести контрольные испытания на заводе № 135 для снятия лётных харак</w:t>
      </w:r>
      <w:r w:rsidRPr="00A3026E">
        <w:rPr>
          <w:rFonts w:ascii="Times New Roman" w:hAnsi="Times New Roman" w:cs="Times New Roman"/>
          <w:i w:val="0"/>
          <w:color w:val="000000" w:themeColor="text1"/>
          <w:sz w:val="16"/>
          <w:szCs w:val="16"/>
        </w:rPr>
        <w:softHyphen/>
        <w:t>теристик Су-2 М-88Б.»</w:t>
      </w:r>
      <w:r w:rsidRPr="00A3026E">
        <w:rPr>
          <w:rStyle w:val="692"/>
          <w:rFonts w:ascii="Times New Roman" w:eastAsia="Arial Unicode MS" w:hAnsi="Times New Roman" w:cs="Times New Roman"/>
          <w:b w:val="0"/>
          <w:i w:val="0"/>
          <w:iCs w:val="0"/>
          <w:color w:val="000000" w:themeColor="text1"/>
          <w:spacing w:val="0"/>
          <w:sz w:val="16"/>
          <w:szCs w:val="16"/>
        </w:rPr>
        <w:t xml:space="preserve"> (15975).</w:t>
      </w:r>
    </w:p>
    <w:p w14:paraId="122FE81A" w14:textId="77777777" w:rsidR="00257CA1" w:rsidRPr="00A3026E" w:rsidRDefault="00257CA1" w:rsidP="00A3026E">
      <w:pPr>
        <w:pStyle w:val="a3"/>
        <w:rPr>
          <w:color w:val="000000" w:themeColor="text1"/>
          <w:lang w:val="ru-RU"/>
        </w:rPr>
      </w:pPr>
    </w:p>
    <w:p w14:paraId="52E7F7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года завод №135 предъявил в НИИ ВВС КА на госис</w:t>
      </w:r>
      <w:r w:rsidRPr="00A3026E">
        <w:rPr>
          <w:rFonts w:ascii="Times New Roman" w:hAnsi="Times New Roman"/>
          <w:color w:val="000000" w:themeColor="text1"/>
          <w:sz w:val="16"/>
          <w:szCs w:val="16"/>
        </w:rPr>
        <w:softHyphen/>
        <w:t>пытания два серийных самолета Су-2 М-88Б ( №№ 16/2 и 20/2). За время испытаний со 2 декабря 1940 года по 17 марта 1941 года на са</w:t>
      </w:r>
      <w:r w:rsidRPr="00A3026E">
        <w:rPr>
          <w:rFonts w:ascii="Times New Roman" w:hAnsi="Times New Roman"/>
          <w:color w:val="000000" w:themeColor="text1"/>
          <w:sz w:val="16"/>
          <w:szCs w:val="16"/>
        </w:rPr>
        <w:softHyphen/>
        <w:t>молете №16/2 были заменены 4 мотора М-88Б.</w:t>
      </w:r>
    </w:p>
    <w:p w14:paraId="2810A8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заключении Акта по результа</w:t>
      </w:r>
      <w:r w:rsidRPr="00A3026E">
        <w:rPr>
          <w:rFonts w:ascii="Times New Roman" w:hAnsi="Times New Roman"/>
          <w:color w:val="000000" w:themeColor="text1"/>
          <w:sz w:val="16"/>
          <w:szCs w:val="16"/>
        </w:rPr>
        <w:softHyphen/>
        <w:t>там испытаний отмечалось, что:</w:t>
      </w:r>
    </w:p>
    <w:p w14:paraId="22174D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 Температурные режимы ВМГ на серийном Су-2 М-88Б после пе</w:t>
      </w:r>
      <w:r w:rsidRPr="00A3026E">
        <w:rPr>
          <w:rFonts w:ascii="Times New Roman" w:hAnsi="Times New Roman"/>
          <w:color w:val="000000" w:themeColor="text1"/>
          <w:sz w:val="16"/>
          <w:szCs w:val="16"/>
        </w:rPr>
        <w:softHyphen/>
        <w:t>ределки ее заводом №135 остают</w:t>
      </w:r>
      <w:r w:rsidRPr="00A3026E">
        <w:rPr>
          <w:rFonts w:ascii="Times New Roman" w:hAnsi="Times New Roman"/>
          <w:color w:val="000000" w:themeColor="text1"/>
          <w:sz w:val="16"/>
          <w:szCs w:val="16"/>
        </w:rPr>
        <w:softHyphen/>
        <w:t>ся по-прежнему не доведенными. ...</w:t>
      </w:r>
    </w:p>
    <w:p w14:paraId="72F79D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Считать моторы М-88 и М-88Б</w:t>
      </w:r>
    </w:p>
    <w:p w14:paraId="205FF4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доведенными для надежной эксп</w:t>
      </w:r>
      <w:r w:rsidRPr="00A3026E">
        <w:rPr>
          <w:rFonts w:ascii="Times New Roman" w:hAnsi="Times New Roman"/>
          <w:color w:val="000000" w:themeColor="text1"/>
          <w:sz w:val="16"/>
          <w:szCs w:val="16"/>
        </w:rPr>
        <w:softHyphen/>
        <w:t>луатации в строевых частях ВВС КА. Потребовать от завода №29 обес</w:t>
      </w:r>
      <w:r w:rsidRPr="00A3026E">
        <w:rPr>
          <w:rFonts w:ascii="Times New Roman" w:hAnsi="Times New Roman"/>
          <w:color w:val="000000" w:themeColor="text1"/>
          <w:sz w:val="16"/>
          <w:szCs w:val="16"/>
        </w:rPr>
        <w:softHyphen/>
        <w:t>печить надежную работу мотора на самолете Су-2.</w:t>
      </w:r>
    </w:p>
    <w:p w14:paraId="1C3F6D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К 01.05.41 провести конт</w:t>
      </w:r>
      <w:r w:rsidRPr="00A3026E">
        <w:rPr>
          <w:rFonts w:ascii="Times New Roman" w:hAnsi="Times New Roman"/>
          <w:color w:val="000000" w:themeColor="text1"/>
          <w:sz w:val="16"/>
          <w:szCs w:val="16"/>
        </w:rPr>
        <w:softHyphen/>
        <w:t>рольные испытания на заводе № 135 для снятия летных характеристик Су-2 М-88Б» (11849).</w:t>
      </w:r>
    </w:p>
    <w:p w14:paraId="48514D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222DD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2 декабря 1940 на заводе № 22 числились отправленными в части 17 самолетов СБ М-105, еще 47 прошли военную приемку, а еще 47 - были изготовлены, но не приняты. Серийные самолеты с М-105 обходились дороже всех ранее выпускавшихся СБ. Без моторов каждый из них стоил 420 тысяч рублей. Сколько в общей сложности построили бомбардировщиков с М-105, установить не удалось (9927).</w:t>
      </w:r>
    </w:p>
    <w:p w14:paraId="3E95BFF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1F357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2 декабря 1940 г. авиазавод № 22 отправил в войсковые части 17 СБ 2 М-105, 47 было сдано, но не отправлено, еще 47 готовились к военной приемке (т.е. имелось 111 самолетов). До прекращения производства, в первой половине 1941 г. 22-й авиазавод сдал последние 68 СБ. Среди этих неполных семи десятков (часть перешла с 1940 г.), имелось некоторое количество самолетов с двигателями М-103. Не располагая на данный момент уточненными цифрами, на начало 1941 г. общее количество выпущенных 22-м авиазаводом СБ 2 М-105 можно определить в полторы сотни машин (6413).</w:t>
      </w:r>
    </w:p>
    <w:p w14:paraId="3F5D922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3BC1B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второе декабря 1940 г. авиазавод № 22 отправил в войсковые части 17 СБ 2 М-105,47 было сдано, но неотправлено, еше 47 готовились к военной приемке (т.е. имелось 111 самолетов). До прекращения производства, в первой половине 1941 г. 22-й авиазавод сдал последние 68 СБ. Среди этих неполных семи десятков часть перешла с 1940 г., также некоторое количество самолетов в этой группе были оснащены двигателями М-103. Не располагая на данный момент уточненными цифрами на начало 1941 г. общее количество выпущенных 22-м авиазаводом СБ 2 М-105 можно определить в полторы сотни машин (12027).</w:t>
      </w:r>
    </w:p>
    <w:p w14:paraId="626CBFE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10BFB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И.В.С. и В.М.М. звонили директору завода 22 В.А.Окулову по поводу производства СБ-РК и ПБ-100 (1178).</w:t>
      </w:r>
    </w:p>
    <w:p w14:paraId="43AC248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E013478" w14:textId="77777777" w:rsidR="00331F11" w:rsidRPr="00A3026E" w:rsidRDefault="00331F1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г.</w:t>
      </w:r>
    </w:p>
    <w:p w14:paraId="4F46A919" w14:textId="77777777" w:rsidR="00331F11" w:rsidRPr="00A3026E" w:rsidRDefault="00331F1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166. Письмо секретаря ЦК ВКП(б) И. В. Сталина и председателя СНК СССР В. М. Молотова руководству авиазавода № 22 о производстве самолетов СБ</w:t>
      </w:r>
    </w:p>
    <w:p w14:paraId="64D20530" w14:textId="77777777" w:rsidR="00331F11" w:rsidRPr="00A3026E" w:rsidRDefault="00331F1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Источник: </w:t>
      </w:r>
    </w:p>
    <w:p w14:paraId="681DEBDC" w14:textId="77777777" w:rsidR="00331F11" w:rsidRPr="00A3026E" w:rsidRDefault="00331F1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662.</w:t>
      </w:r>
    </w:p>
    <w:p w14:paraId="5EEE4690" w14:textId="77777777" w:rsidR="00331F11" w:rsidRPr="00A3026E" w:rsidRDefault="00331F1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Архив: </w:t>
      </w:r>
    </w:p>
    <w:p w14:paraId="7615F4E0" w14:textId="77777777" w:rsidR="00331F11" w:rsidRPr="00A3026E" w:rsidRDefault="00331F1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РГАСПИ. Ф. 558. Оп. 11. Д. 151. Л. 16. Подлинник. Рукопись.</w:t>
      </w:r>
    </w:p>
    <w:p w14:paraId="43602B2A" w14:textId="77777777" w:rsidR="00331F11" w:rsidRPr="00A3026E" w:rsidRDefault="00331F1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Нас мало интересует производство самолетов СБ с мотором 105 и тем более с мотором 103. Такие самолеты не годятся для серьезных боев, они загубят наших летчиков в неравном бою, как малоскоростные. Такие самолеты уже теперь стали обузой для государства и западней для летчиков. Нас интересуют такие двухмоторные самолеты ближнего действия, которые могут развить скорость 530 км, 500 км или, в крайнем случае, 480 км/ч, но не меньше. Нас интересует производство самолетов СБ</w:t>
      </w:r>
      <w:r w:rsidRPr="00A3026E">
        <w:rPr>
          <w:rFonts w:ascii="Times New Roman" w:hAnsi="Times New Roman"/>
          <w:color w:val="000000" w:themeColor="text1"/>
          <w:sz w:val="16"/>
          <w:szCs w:val="16"/>
        </w:rPr>
        <w:noBreakHyphen/>
        <w:t>РК и, особенно, ПБ</w:t>
      </w:r>
      <w:r w:rsidRPr="00A3026E">
        <w:rPr>
          <w:rFonts w:ascii="Times New Roman" w:hAnsi="Times New Roman"/>
          <w:color w:val="000000" w:themeColor="text1"/>
          <w:sz w:val="16"/>
          <w:szCs w:val="16"/>
        </w:rPr>
        <w:noBreakHyphen/>
        <w:t>100. Если действительно хотите помочь Красной армии и нашему государству, производите в первую очередь самолеты СБ</w:t>
      </w:r>
      <w:r w:rsidRPr="00A3026E">
        <w:rPr>
          <w:rFonts w:ascii="Times New Roman" w:hAnsi="Times New Roman"/>
          <w:color w:val="000000" w:themeColor="text1"/>
          <w:sz w:val="16"/>
          <w:szCs w:val="16"/>
        </w:rPr>
        <w:noBreakHyphen/>
        <w:t>РК и потом самолеты ПБ</w:t>
      </w:r>
      <w:r w:rsidRPr="00A3026E">
        <w:rPr>
          <w:rFonts w:ascii="Times New Roman" w:hAnsi="Times New Roman"/>
          <w:color w:val="000000" w:themeColor="text1"/>
          <w:sz w:val="16"/>
          <w:szCs w:val="16"/>
        </w:rPr>
        <w:noBreakHyphen/>
        <w:t>100.</w:t>
      </w:r>
    </w:p>
    <w:p w14:paraId="5B64B26A" w14:textId="77777777" w:rsidR="00331F11" w:rsidRPr="00A3026E" w:rsidRDefault="00331F1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Просим принять к руководству это наше указание.</w:t>
      </w:r>
    </w:p>
    <w:p w14:paraId="411D6346" w14:textId="77777777" w:rsidR="00331F11" w:rsidRPr="00A3026E" w:rsidRDefault="00331F1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РГАСПИ. Ф. 558. Оп. 11. Д. 151. Л. 16. Подлинник. Рукопись (18008).</w:t>
      </w:r>
    </w:p>
    <w:p w14:paraId="1F765B4F" w14:textId="77777777" w:rsidR="00331F11" w:rsidRPr="00A3026E" w:rsidRDefault="00331F11" w:rsidP="00A3026E">
      <w:pPr>
        <w:spacing w:after="0" w:line="240" w:lineRule="auto"/>
        <w:jc w:val="both"/>
        <w:rPr>
          <w:rFonts w:ascii="Times New Roman" w:hAnsi="Times New Roman"/>
          <w:color w:val="000000" w:themeColor="text1"/>
          <w:sz w:val="16"/>
          <w:szCs w:val="16"/>
        </w:rPr>
      </w:pPr>
    </w:p>
    <w:p w14:paraId="1A99A8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был готов первый серийный ПБ-100 (1759,7).</w:t>
      </w:r>
    </w:p>
    <w:p w14:paraId="13D7EB0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D602E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состоялось заседание Техсовета при НИИ ВВС "О результатах гос. испытаний И-26-3 с М-105П (844).</w:t>
      </w:r>
    </w:p>
    <w:p w14:paraId="4DDA5A3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CC4909B"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г. Техсовет НИИ ВВС по повторным ис</w:t>
      </w:r>
      <w:r w:rsidRPr="00A3026E">
        <w:rPr>
          <w:rFonts w:ascii="Times New Roman" w:hAnsi="Times New Roman"/>
          <w:color w:val="000000" w:themeColor="text1"/>
          <w:sz w:val="16"/>
          <w:szCs w:val="16"/>
        </w:rPr>
        <w:softHyphen/>
        <w:t>пытаниям И-26  прошел сухо и протокольно. Яковлев не счел нуж</w:t>
      </w:r>
      <w:r w:rsidRPr="00A3026E">
        <w:rPr>
          <w:rFonts w:ascii="Times New Roman" w:hAnsi="Times New Roman"/>
          <w:color w:val="000000" w:themeColor="text1"/>
          <w:sz w:val="16"/>
          <w:szCs w:val="16"/>
        </w:rPr>
        <w:softHyphen/>
        <w:t>ным присутствовать на нем, прислав сво</w:t>
      </w:r>
      <w:r w:rsidRPr="00A3026E">
        <w:rPr>
          <w:rFonts w:ascii="Times New Roman" w:hAnsi="Times New Roman"/>
          <w:color w:val="000000" w:themeColor="text1"/>
          <w:sz w:val="16"/>
          <w:szCs w:val="16"/>
        </w:rPr>
        <w:softHyphen/>
        <w:t>его заместителя К.А. Виганта (19740).</w:t>
      </w:r>
    </w:p>
    <w:p w14:paraId="2BEC57DC" w14:textId="77777777" w:rsidR="001278CD" w:rsidRPr="00A3026E" w:rsidRDefault="001278CD" w:rsidP="00A3026E">
      <w:pPr>
        <w:spacing w:after="0" w:line="240" w:lineRule="auto"/>
        <w:jc w:val="both"/>
        <w:rPr>
          <w:rFonts w:ascii="Times New Roman" w:hAnsi="Times New Roman"/>
          <w:color w:val="000000" w:themeColor="text1"/>
          <w:sz w:val="16"/>
          <w:szCs w:val="16"/>
        </w:rPr>
      </w:pPr>
    </w:p>
    <w:p w14:paraId="24F36C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в Чкаловской, Ярославской ж/д состоялось заседание Техсовета при НИИ ВВС (Протокол № 13) "О результатах гос. испытаний И-26-3 с М-105П с винтом ВИШ-61 конструкции т. А.С.Я., постройки завода № 115 на штопор, пикирование, пилотаж, устойчивость и отстрел оружия.</w:t>
      </w:r>
    </w:p>
    <w:p w14:paraId="299D66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Техсовет НИИ ВВС под председательством Филина в составе члена Техсовета гмв Федорова в присутствии директора завода № 115 т. Ястребова, зам. ГК т. Виганд заслушала доклад вед. инженера НИИ ВВС КА ви2р т. Степанченка, содоклады вед. л. Стефановского и оценку свойств с-та от участвующих л и наземных испытаний.</w:t>
      </w:r>
    </w:p>
    <w:p w14:paraId="16777F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Представленный на испытания 3-й экх. С-та И-26 М-105П является копией 2-го экз. с-та И-26, проходившего госиспытания в НИИ ВВС с 1 по 1 июня 1940 и незакончевшего их вследствие недостаточной прочности крыла и недоведенности конструкции.</w:t>
      </w:r>
    </w:p>
    <w:p w14:paraId="015363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3-й экз. И-26 поступил на госиспытания в НИИ ВВС 13 октября 1940 и закончил их 12 ноября 1940 г.</w:t>
      </w:r>
    </w:p>
    <w:p w14:paraId="7711B7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был испытан на пикирование до 635 км/час по прибору, с перегрузкой до 4,5, на штопор до 3-х витков, на выполнение всех фигур высшего пилотажа и устойчивость.</w:t>
      </w:r>
    </w:p>
    <w:p w14:paraId="7DBA96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 проведен отстрел вооружения на земле и в воздухе.</w:t>
      </w:r>
    </w:p>
    <w:p w14:paraId="7A3162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с-та И-26 экз. № 3 работало безотказно.</w:t>
      </w:r>
    </w:p>
    <w:p w14:paraId="53A625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части ВМГ (перегрев масла при работе мотора на номинальной мощности, неравномерность выработки горючего из баков) и шасси (невозможность уборки шасси на наивыгоднейшей скорости набора высоты 250 км/час) с-т остался недоведенным.</w:t>
      </w:r>
    </w:p>
    <w:p w14:paraId="27F9CA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не имеет радиостанции и установка ее не предусмотрена (отсутствует экранировка и металлизация). На с-те нет ночных посадочных средств и не предусмотрено место для фотоаппарата.</w:t>
      </w:r>
    </w:p>
    <w:p w14:paraId="34D144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w:t>
      </w:r>
    </w:p>
    <w:p w14:paraId="5B41C7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 И-26 экз. № 3 конструкции А.С.Я., проверенный в части стрелково-пушечного вооружения, а также на пилотаж, пикирование до скорости 635 км/час и штопор до 3-х витков считать прошедшим госиспытания.</w:t>
      </w:r>
    </w:p>
    <w:p w14:paraId="057FED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17BEF6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Обратить внимание НКАП, что выполнение Постановления КО № 377 от 16 сентября 1940 об установке радиостанции РСИ-4 на серийные с-ты И-26 с 1 января 1941 не обеспечено, т.к. и 3-й экз. опытного ст-та И-26 был предъявдлен на госиспытания без рации и установка ее на с-т не предусмотрена.</w:t>
      </w:r>
    </w:p>
    <w:p w14:paraId="13F971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Устранение всех дефектов, выявленных во время госиспытаний опытных образцов, провести на всех выпущенных и выпускаемых с-тах И-26 в сроки по отдельному соглашению с НКАП ГУ ВВС КА.</w:t>
      </w:r>
    </w:p>
    <w:p w14:paraId="638438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Необходимо на с-те И-26 выполнить постановление КО № 374 от 7 сентября 1940.</w:t>
      </w:r>
    </w:p>
    <w:p w14:paraId="627A7F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Подписали Филин, Федоров,</w:t>
      </w:r>
    </w:p>
    <w:p w14:paraId="1079F1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Верно Гребенников 26 декабря 1940</w:t>
      </w:r>
    </w:p>
    <w:p w14:paraId="313DDD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госиспытаниям опытного одноместного истребителя И-26 М-105П № 3 с винтом ВИШ-61 Д 3 м конструкции и А.С.Я. постройки завода № 115 на пикироване, штопор, отстрел вооружения, устойчивость и пилотаж</w:t>
      </w:r>
    </w:p>
    <w:p w14:paraId="2D6B23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Ответственный исполнитель нач. отд. ви1р Васвод</w:t>
      </w:r>
    </w:p>
    <w:p w14:paraId="023070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 ви2р А.Т.Степанец</w:t>
      </w:r>
    </w:p>
    <w:p w14:paraId="175B96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 п/п Стефановский</w:t>
      </w:r>
    </w:p>
    <w:p w14:paraId="2FA340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 испытаний:</w:t>
      </w:r>
    </w:p>
    <w:p w14:paraId="24EA94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Отличия экз. № 3 от экз. № 2</w:t>
      </w:r>
    </w:p>
    <w:p w14:paraId="564147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прочность носка крыла доведена до 107%</w:t>
      </w:r>
    </w:p>
    <w:p w14:paraId="217005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увеличено давление в баллонах с 40 до 50 атм. Для обеспечения уборки шасси на взлете</w:t>
      </w:r>
    </w:p>
    <w:p w14:paraId="619CE7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кабина оборудована вентиляцией</w:t>
      </w:r>
    </w:p>
    <w:p w14:paraId="5B61E8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исключено попадание гильз и звеньев в стабилизатор</w:t>
      </w:r>
    </w:p>
    <w:p w14:paraId="561164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увеличен запас патронов до 750 шт. для пулеметов и до 135 шт. для пушки</w:t>
      </w:r>
    </w:p>
    <w:p w14:paraId="744AE6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усилены цилиндры амртизаторов шасси и замка подъемника</w:t>
      </w:r>
    </w:p>
    <w:p w14:paraId="7869BF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установлены амортизаторы для быстрого открытия фонаря кабины</w:t>
      </w:r>
    </w:p>
    <w:p w14:paraId="0BEAEF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улучшен подход к хвостовой части фюзеляжа, установлен люк</w:t>
      </w:r>
    </w:p>
    <w:p w14:paraId="4EFA3A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с-та увеличен на 74,5 кг, а вес полезной нагрузки за счет патронов на 25,5 кг (всего на 100 кг)</w:t>
      </w:r>
    </w:p>
    <w:p w14:paraId="70ADF0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Участники испытаний: Максимов, ви2р Степанец,</w:t>
      </w:r>
    </w:p>
    <w:p w14:paraId="5BF278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 Стефановский, к-н ...Иванов, берлин, Красовский, Турчак</w:t>
      </w:r>
    </w:p>
    <w:p w14:paraId="0018501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с-та Сбитнев, Мякинина, Аверьянов, Иванников</w:t>
      </w:r>
    </w:p>
    <w:p w14:paraId="3FC43A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облета Груздев, Прошаков, Кубышкин</w:t>
      </w:r>
    </w:p>
    <w:p w14:paraId="6608CF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Весовые данные:</w:t>
      </w:r>
    </w:p>
    <w:p w14:paraId="7B1434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с парашютом 90 кг</w:t>
      </w:r>
    </w:p>
    <w:p w14:paraId="512961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горючее 305</w:t>
      </w:r>
    </w:p>
    <w:p w14:paraId="3B8868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 30</w:t>
      </w:r>
    </w:p>
    <w:p w14:paraId="7B1ECA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патроны ШКАС (1500) 49,5</w:t>
      </w:r>
    </w:p>
    <w:p w14:paraId="67521B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снаряды для пушки ШВАК (135) 29,9</w:t>
      </w:r>
    </w:p>
    <w:p w14:paraId="53EA50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аккумулятор 9</w:t>
      </w:r>
    </w:p>
    <w:p w14:paraId="5F30DA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511,7</w:t>
      </w:r>
    </w:p>
    <w:p w14:paraId="703F8C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2801 (ранее 2700 кг)</w:t>
      </w:r>
    </w:p>
    <w:p w14:paraId="50FB38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Увеличение веса за счет:</w:t>
      </w:r>
    </w:p>
    <w:p w14:paraId="50A6AC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увеличен запас патронов 26,5 кг</w:t>
      </w:r>
    </w:p>
    <w:p w14:paraId="252728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положенные в носке крыла и р/высоты грузы повышают критическую скорость флаттера - 16 кг</w:t>
      </w:r>
    </w:p>
    <w:p w14:paraId="6A4AFD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усиление носка крыла, обшивки крылазамков шасси и устранение дефектов - 58,5 кг</w:t>
      </w:r>
    </w:p>
    <w:p w14:paraId="59F8F4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доступен для л строевых частей ВВС средней и нижесредней квалификации.</w:t>
      </w:r>
    </w:p>
    <w:p w14:paraId="3EC5D2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Раскрутки винта на пикировании не было</w:t>
      </w:r>
    </w:p>
    <w:p w14:paraId="463642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Усилия на ручке для вывода из пикирования незначительные</w:t>
      </w:r>
    </w:p>
    <w:p w14:paraId="2A9DF0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Изменить оформление кабины, поставить боковую панель</w:t>
      </w:r>
    </w:p>
    <w:p w14:paraId="08275B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Стрелково-пушечное вооружение работало безотказно</w:t>
      </w:r>
    </w:p>
    <w:p w14:paraId="68E142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Требование о доводке ВМГ не выполнено</w:t>
      </w:r>
    </w:p>
    <w:p w14:paraId="24B4DC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Спецоборудование ТТТ не удовлетворяет.</w:t>
      </w:r>
    </w:p>
    <w:p w14:paraId="4979AC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 отчега по госиспытаниям И-26 № 3 и решение Техсовета НИИ ВВС КА по быстрейшей доводкне спецоборудования не реализованы</w:t>
      </w:r>
    </w:p>
    <w:p w14:paraId="5BECAE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1E40F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 И-26 М-105П с винтом ВИШ-61 № 3 конструкции ГССТ, д.т.н. и А.С.Я. производства з-да № 115 считать прошедшим ГИ удовлетворительно</w:t>
      </w:r>
    </w:p>
    <w:p w14:paraId="4532AE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445F8B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Просить НКАП т. А.И.Ш. обязать ГК с-та И-26 А.С.Я. и завод № 115:</w:t>
      </w:r>
    </w:p>
    <w:p w14:paraId="208028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обеспечить уборку шасси на скорости, требуемой ТТТ</w:t>
      </w:r>
    </w:p>
    <w:p w14:paraId="6F8B62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обеспечить прочность и надежность на пикировании щитков шасси и крышки фонаря кабины на всех выпускаемых с-тах И-26</w:t>
      </w:r>
    </w:p>
    <w:p w14:paraId="5140C6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установить на с-те колеса согласно сортаменту НКАП</w:t>
      </w:r>
    </w:p>
    <w:p w14:paraId="3D02C1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довести ВМГ</w:t>
      </w:r>
    </w:p>
    <w:p w14:paraId="2DC21D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привести спецоборудование с-та в полное соответствие с существующими ТТТ</w:t>
      </w:r>
    </w:p>
    <w:p w14:paraId="0AECE1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 Филин 6 декабря 1940 (844).</w:t>
      </w:r>
    </w:p>
    <w:p w14:paraId="3C93191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35F5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самолет ОКО-6бис облетал летчик- испытатель Ю.К. Станкевич, который летал и на ОКО-6. По его мнению, «бис» был значительно более устойчив, чем его предшественник. Нагрузки на руль высоты выше, особенно при изменении режима полета. При перекладывании из одного виража в другой самолет на действие рулей реагировал медленно:</w:t>
      </w:r>
      <w:r w:rsidRPr="00A3026E">
        <w:rPr>
          <w:rStyle w:val="aff6"/>
          <w:rFonts w:ascii="Times New Roman" w:hAnsi="Times New Roman" w:cs="Times New Roman"/>
          <w:i w:val="0"/>
          <w:color w:val="000000" w:themeColor="text1"/>
        </w:rPr>
        <w:t xml:space="preserve"> «чувствуется также нагрузка</w:t>
      </w:r>
      <w:r w:rsidRPr="00A3026E">
        <w:rPr>
          <w:rFonts w:ascii="Times New Roman" w:hAnsi="Times New Roman"/>
          <w:color w:val="000000" w:themeColor="text1"/>
          <w:sz w:val="16"/>
          <w:szCs w:val="16"/>
        </w:rPr>
        <w:t>, а</w:t>
      </w:r>
      <w:r w:rsidRPr="00A3026E">
        <w:rPr>
          <w:rStyle w:val="aff6"/>
          <w:rFonts w:ascii="Times New Roman" w:hAnsi="Times New Roman" w:cs="Times New Roman"/>
          <w:i w:val="0"/>
          <w:color w:val="000000" w:themeColor="text1"/>
        </w:rPr>
        <w:t xml:space="preserve"> вместе с ней недостаточная </w:t>
      </w:r>
      <w:r w:rsidRPr="00A3026E">
        <w:rPr>
          <w:rStyle w:val="8MicrosoftSansSerif8pt"/>
          <w:rFonts w:ascii="Times New Roman" w:hAnsi="Times New Roman" w:cs="Times New Roman"/>
          <w:i w:val="0"/>
          <w:color w:val="000000" w:themeColor="text1"/>
          <w:lang w:val="ru-RU"/>
        </w:rPr>
        <w:t>для</w:t>
      </w:r>
      <w:r w:rsidRPr="00A3026E">
        <w:rPr>
          <w:rStyle w:val="81"/>
          <w:rFonts w:ascii="Times New Roman" w:hAnsi="Times New Roman" w:cs="Times New Roman"/>
          <w:color w:val="000000" w:themeColor="text1"/>
        </w:rPr>
        <w:t xml:space="preserve"> истребителя энергичность пере</w:t>
      </w:r>
      <w:r w:rsidRPr="00A3026E">
        <w:rPr>
          <w:rStyle w:val="81"/>
          <w:rFonts w:ascii="Times New Roman" w:hAnsi="Times New Roman" w:cs="Times New Roman"/>
          <w:color w:val="000000" w:themeColor="text1"/>
        </w:rPr>
        <w:softHyphen/>
        <w:t>кладывания».</w:t>
      </w:r>
    </w:p>
    <w:p w14:paraId="1B1BC6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этот день повторно отстреляли в тире все вооружение. После устранения выявленных дефектов, пушки и пулеметы работали хорошо, отказов не было.</w:t>
      </w:r>
    </w:p>
    <w:p w14:paraId="139CCC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следует из сводки НИИ ВВС по опытным работам, для завершения заводских испытаний ОКО-ббис 2М-88р необходимо было 6-7 летных дней для исследования устойчивости самолета, его маневренности, испытаний вооружения в воздухе и пикирование.</w:t>
      </w:r>
    </w:p>
    <w:p w14:paraId="01560E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этому дню официально завершился второй этап заводских испытаний первого экземпляра ОКО-6 2М-88б/р. Вследствие недостаточной максимальной скорости и устойчивости было принято решение не предъявлять самолет на государственные испытания, а использовать машину в интересах испытаний второго экземпляра ОКО-ббис 2М-88р, в том числе, для отра</w:t>
      </w:r>
      <w:r w:rsidRPr="00A3026E">
        <w:rPr>
          <w:rFonts w:ascii="Times New Roman" w:hAnsi="Times New Roman"/>
          <w:color w:val="000000" w:themeColor="text1"/>
          <w:sz w:val="16"/>
          <w:szCs w:val="16"/>
        </w:rPr>
        <w:softHyphen/>
        <w:t>ботки реактивных выхлопных патрубков, бомбодержателей, ракетного оружия. Как следует из документов, после отработки реактивных выхлопных патрубков само</w:t>
      </w:r>
      <w:r w:rsidRPr="00A3026E">
        <w:rPr>
          <w:rFonts w:ascii="Times New Roman" w:hAnsi="Times New Roman"/>
          <w:color w:val="000000" w:themeColor="text1"/>
          <w:sz w:val="16"/>
          <w:szCs w:val="16"/>
        </w:rPr>
        <w:softHyphen/>
        <w:t>лет планировалось</w:t>
      </w:r>
      <w:r w:rsidRPr="00A3026E">
        <w:rPr>
          <w:rStyle w:val="aff6"/>
          <w:rFonts w:ascii="Times New Roman" w:hAnsi="Times New Roman" w:cs="Times New Roman"/>
          <w:i w:val="0"/>
          <w:color w:val="000000" w:themeColor="text1"/>
        </w:rPr>
        <w:t xml:space="preserve"> «поставить в цех для модификации под новую винтомоторную группу - мотор М-90».</w:t>
      </w:r>
      <w:r w:rsidRPr="00A3026E">
        <w:rPr>
          <w:rFonts w:ascii="Times New Roman" w:hAnsi="Times New Roman"/>
          <w:color w:val="000000" w:themeColor="text1"/>
          <w:sz w:val="16"/>
          <w:szCs w:val="16"/>
        </w:rPr>
        <w:t xml:space="preserve"> Ожидалось, что после замены моторов (в масле обнаружена металлическая стружка) ОКО-6 будет готов к полетам 10 декабря.</w:t>
      </w:r>
    </w:p>
    <w:p w14:paraId="5D6984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 же время на ОКО-ббис усилили каркасы коков винтов, так как на них появи</w:t>
      </w:r>
      <w:r w:rsidRPr="00A3026E">
        <w:rPr>
          <w:rFonts w:ascii="Times New Roman" w:hAnsi="Times New Roman"/>
          <w:color w:val="000000" w:themeColor="text1"/>
          <w:sz w:val="16"/>
          <w:szCs w:val="16"/>
        </w:rPr>
        <w:softHyphen/>
        <w:t>лись трещины. На выхлопные патрубки установили специальные реактивные насадки. Рассчитывали получить прибавку в скорости полета. Одновременно смонтиро</w:t>
      </w:r>
      <w:r w:rsidRPr="00A3026E">
        <w:rPr>
          <w:rFonts w:ascii="Times New Roman" w:hAnsi="Times New Roman"/>
          <w:color w:val="000000" w:themeColor="text1"/>
          <w:sz w:val="16"/>
          <w:szCs w:val="16"/>
        </w:rPr>
        <w:softHyphen/>
        <w:t>вали бомбодержатель для подвески 500-кг бомбы и электропроводку управления сбросом бомб.</w:t>
      </w:r>
    </w:p>
    <w:p w14:paraId="3409FB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обработке результатов предыду</w:t>
      </w:r>
      <w:r w:rsidRPr="00A3026E">
        <w:rPr>
          <w:rFonts w:ascii="Times New Roman" w:hAnsi="Times New Roman"/>
          <w:color w:val="000000" w:themeColor="text1"/>
          <w:sz w:val="16"/>
          <w:szCs w:val="16"/>
        </w:rPr>
        <w:softHyphen/>
        <w:t>щих полетов обнаружился исключительно большой разброс точек скорости, не позволявший построить кривые скорости по высотам. Предположили, что причина заключается в негерметичности испы</w:t>
      </w:r>
      <w:r w:rsidRPr="00A3026E">
        <w:rPr>
          <w:rFonts w:ascii="Times New Roman" w:hAnsi="Times New Roman"/>
          <w:color w:val="000000" w:themeColor="text1"/>
          <w:sz w:val="16"/>
          <w:szCs w:val="16"/>
        </w:rPr>
        <w:softHyphen/>
        <w:t>тательной аппаратуры, которая привела к ошибкам тарировочной кривой. Для выяснения истинных причин требовалось повторить все полеты на определение максимальных скоростей по высотам полета. Ведущему инженеру по самолету В.М. Елагину пришлось докладывать наверх, что программа летных испытаний на 6 декабря отработана только на 30-35% (выполнены полеты на устойчивость, кило</w:t>
      </w:r>
      <w:r w:rsidRPr="00A3026E">
        <w:rPr>
          <w:rFonts w:ascii="Times New Roman" w:hAnsi="Times New Roman"/>
          <w:color w:val="000000" w:themeColor="text1"/>
          <w:sz w:val="16"/>
          <w:szCs w:val="16"/>
        </w:rPr>
        <w:softHyphen/>
        <w:t>метраж, на дальность, скорости по высотам не обработаны). Однако возможность уложиться в заданные сроки окончания заводских испытаний еще оставалась.</w:t>
      </w:r>
    </w:p>
    <w:p w14:paraId="7DF102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23 декабря были проведены дополни</w:t>
      </w:r>
      <w:r w:rsidRPr="00A3026E">
        <w:rPr>
          <w:rFonts w:ascii="Times New Roman" w:hAnsi="Times New Roman"/>
          <w:color w:val="000000" w:themeColor="text1"/>
          <w:sz w:val="16"/>
          <w:szCs w:val="16"/>
        </w:rPr>
        <w:softHyphen/>
        <w:t>тельные полеты на определение скорости по высотам, взлетно-посадочных свойств и повторно снята балансировочная кривая. Удалось установить, что причиной раз</w:t>
      </w:r>
      <w:r w:rsidRPr="00A3026E">
        <w:rPr>
          <w:rFonts w:ascii="Times New Roman" w:hAnsi="Times New Roman"/>
          <w:color w:val="000000" w:themeColor="text1"/>
          <w:sz w:val="16"/>
          <w:szCs w:val="16"/>
        </w:rPr>
        <w:softHyphen/>
        <w:t>броса точек максимальной скорости по высотам являлось различное положение юбок моторных капотов, которые само</w:t>
      </w:r>
      <w:r w:rsidRPr="00A3026E">
        <w:rPr>
          <w:rFonts w:ascii="Times New Roman" w:hAnsi="Times New Roman"/>
          <w:color w:val="000000" w:themeColor="text1"/>
          <w:sz w:val="16"/>
          <w:szCs w:val="16"/>
        </w:rPr>
        <w:softHyphen/>
      </w:r>
      <w:r w:rsidRPr="00A3026E">
        <w:rPr>
          <w:rFonts w:ascii="Times New Roman" w:hAnsi="Times New Roman"/>
          <w:color w:val="000000" w:themeColor="text1"/>
          <w:sz w:val="16"/>
          <w:szCs w:val="16"/>
        </w:rPr>
        <w:lastRenderedPageBreak/>
        <w:t>произвольно смещались в полете при определении скоростей, а вовсе не неис</w:t>
      </w:r>
      <w:r w:rsidRPr="00A3026E">
        <w:rPr>
          <w:rFonts w:ascii="Times New Roman" w:hAnsi="Times New Roman"/>
          <w:color w:val="000000" w:themeColor="text1"/>
          <w:sz w:val="16"/>
          <w:szCs w:val="16"/>
        </w:rPr>
        <w:softHyphen/>
        <w:t>правность испытательной аппаратуры, как считалось ранее. Замеренные после устранения дефекта скорости полета и скороподъемности почти совпали с расчет</w:t>
      </w:r>
      <w:r w:rsidRPr="00A3026E">
        <w:rPr>
          <w:rFonts w:ascii="Times New Roman" w:hAnsi="Times New Roman"/>
          <w:color w:val="000000" w:themeColor="text1"/>
          <w:sz w:val="16"/>
          <w:szCs w:val="16"/>
        </w:rPr>
        <w:softHyphen/>
        <w:t>ными значениями.Балансировочная кривая имела такой же вид, что и полученная до этого. Посадочная скорость получилась равной 135 км/ч.</w:t>
      </w:r>
    </w:p>
    <w:p w14:paraId="21FAE8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был установлен дополни</w:t>
      </w:r>
      <w:r w:rsidRPr="00A3026E">
        <w:rPr>
          <w:rFonts w:ascii="Times New Roman" w:hAnsi="Times New Roman"/>
          <w:color w:val="000000" w:themeColor="text1"/>
          <w:sz w:val="16"/>
          <w:szCs w:val="16"/>
        </w:rPr>
        <w:softHyphen/>
        <w:t>тельный фюзеляжный бензобак емкостью 467 л, но в воздухе его так и не опробовали. Изменили схему управления пушечным огнем, после чего испытали (в третий раз) все вооружение стрельбой в тире и затем в воздухе. Стреляли по щитам на НИП АВ ВВС. Задержек и отказов не было.</w:t>
      </w:r>
    </w:p>
    <w:p w14:paraId="31C7D8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ОКО-ббис к этому времени было выполнено 28 полетов с суммарным нале</w:t>
      </w:r>
      <w:r w:rsidRPr="00A3026E">
        <w:rPr>
          <w:rFonts w:ascii="Times New Roman" w:hAnsi="Times New Roman"/>
          <w:color w:val="000000" w:themeColor="text1"/>
          <w:sz w:val="16"/>
          <w:szCs w:val="16"/>
        </w:rPr>
        <w:softHyphen/>
        <w:t>том 16 ч, из них 11 полетов на определение взлетно-посадочных свойств самолета. За время полетов никаких крупных дефектов не наблюдалось. По программе испытаний оставались полеты: на маневренность, устойчивость с предельно задней цен</w:t>
      </w:r>
      <w:r w:rsidRPr="00A3026E">
        <w:rPr>
          <w:rFonts w:ascii="Times New Roman" w:hAnsi="Times New Roman"/>
          <w:color w:val="000000" w:themeColor="text1"/>
          <w:sz w:val="16"/>
          <w:szCs w:val="16"/>
        </w:rPr>
        <w:softHyphen/>
        <w:t>тровкой, на пикирование и на определение скоростей и скороподъемности до 9000 м. Всего требовалось выполнить 6-7 полетов. Как докладывал помощник ведущего инже</w:t>
      </w:r>
      <w:r w:rsidRPr="00A3026E">
        <w:rPr>
          <w:rFonts w:ascii="Times New Roman" w:hAnsi="Times New Roman"/>
          <w:color w:val="000000" w:themeColor="text1"/>
          <w:sz w:val="16"/>
          <w:szCs w:val="16"/>
        </w:rPr>
        <w:softHyphen/>
        <w:t>нера по самолету от НИИ ВВС военинженер 3-го ранга Николаев, «срок окончания заводских испытаний может быть обе</w:t>
      </w:r>
      <w:r w:rsidRPr="00A3026E">
        <w:rPr>
          <w:rFonts w:ascii="Times New Roman" w:hAnsi="Times New Roman"/>
          <w:color w:val="000000" w:themeColor="text1"/>
          <w:sz w:val="16"/>
          <w:szCs w:val="16"/>
        </w:rPr>
        <w:softHyphen/>
        <w:t>спечен при наличии летной погоды».</w:t>
      </w:r>
    </w:p>
    <w:p w14:paraId="5AD6A8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следующей недели удалось выполнить шесть полетов. Определили скорости горизонтального полета и скороподъемность до высоты 9000 м. Сняли балансировочные кривые при предельно задней центровке самолета. Исследовали «бис» на штопор и виражи с открытым фонарем (для этого сняли колпак фонаря). Выполнили полет с подвесными бензобаками.</w:t>
      </w:r>
    </w:p>
    <w:p w14:paraId="77FD46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полетах выяснилось, что самолет в штопор входит неохотно и выходит из него без задержки. Ввод в штоп'ор выполнялся на высоте 5000 м на скорости 170-180 км/ч. На виражах, «очевидно из-за отсутствия фонаря летчика, имелись потряхивания». Нагрузки на руль высоты по-прежнему были значительными. Полученные данные по расходам горючего позволяли сделать вывод, что дальность полета в 1200 км для самолета вполне реальная.</w:t>
      </w:r>
    </w:p>
    <w:p w14:paraId="4A8537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при выполнении полета на фигуры пилотажа - виражи, боевые развороты, перевороты, бочки и т.д., установили что при виражах на малой ско</w:t>
      </w:r>
      <w:r w:rsidRPr="00A3026E">
        <w:rPr>
          <w:rFonts w:ascii="Times New Roman" w:hAnsi="Times New Roman"/>
          <w:color w:val="000000" w:themeColor="text1"/>
          <w:sz w:val="16"/>
          <w:szCs w:val="16"/>
        </w:rPr>
        <w:softHyphen/>
        <w:t>рости наблюдаются значительные нагрузки на элероны. В конце полета на фигуры обрезало мотор. Летчик благополучно произвел вынужденную посадку на аэро</w:t>
      </w:r>
      <w:r w:rsidRPr="00A3026E">
        <w:rPr>
          <w:rFonts w:ascii="Times New Roman" w:hAnsi="Times New Roman"/>
          <w:color w:val="000000" w:themeColor="text1"/>
          <w:sz w:val="16"/>
          <w:szCs w:val="16"/>
        </w:rPr>
        <w:softHyphen/>
        <w:t>дром Быково. Как оказалось, Емельянов забыл переключиться на фюзеляжный бензобак. В результате бензин перестал поступать в карбюратор. Перелететь на аэродром Раменское удалось только 6 января следующего года. До завершения программы оставалось выполнить еще только два полета - на пикирование и отстрел вооружения.</w:t>
      </w:r>
    </w:p>
    <w:p w14:paraId="73BB3F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января 1941 г. программа полетов была полностью выполнена и заводские испытания официально завершили. К этому времени самолет налетал около 30 ч (всего 38 полетов). Помимо А.И. Емельянова и Ю.К. Станкевича, самолет облетали А.Б. Юмашев и Н.В. Гаврилов.</w:t>
      </w:r>
    </w:p>
    <w:p w14:paraId="716E54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полета соста</w:t>
      </w:r>
      <w:r w:rsidRPr="00A3026E">
        <w:rPr>
          <w:rFonts w:ascii="Times New Roman" w:hAnsi="Times New Roman"/>
          <w:color w:val="000000" w:themeColor="text1"/>
          <w:sz w:val="16"/>
          <w:szCs w:val="16"/>
        </w:rPr>
        <w:softHyphen/>
        <w:t>вила 595 км/ч - на 2-й границе высотности 7200 м, 575 км/ч - на 1 -й границе высотно</w:t>
      </w:r>
      <w:r w:rsidRPr="00A3026E">
        <w:rPr>
          <w:rFonts w:ascii="Times New Roman" w:hAnsi="Times New Roman"/>
          <w:color w:val="000000" w:themeColor="text1"/>
          <w:sz w:val="16"/>
          <w:szCs w:val="16"/>
        </w:rPr>
        <w:softHyphen/>
        <w:t>сти 5000 м, и 470 км/ч - у земли. Посадочная скорость - 144 км/ч. Время подъема на высоту 5000 м - 6,3 мин. Практический потолок - 10000 м. Дальность на высоте 1000 м на скорости 0,9 максимальной скорости - 1200 км. Разбег с бетона с выпущенными на 23° щитками - 324 м. Про</w:t>
      </w:r>
      <w:r w:rsidRPr="00A3026E">
        <w:rPr>
          <w:rFonts w:ascii="Times New Roman" w:hAnsi="Times New Roman"/>
          <w:color w:val="000000" w:themeColor="text1"/>
          <w:sz w:val="16"/>
          <w:szCs w:val="16"/>
        </w:rPr>
        <w:softHyphen/>
        <w:t>бег по бетону с использованием тормозов и с отклоненными на 45° щитками - 406 м.</w:t>
      </w:r>
    </w:p>
    <w:p w14:paraId="30BEB5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самолета составлял около 5 т.</w:t>
      </w:r>
    </w:p>
    <w:p w14:paraId="1F455E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качестве основных недостатков самолета отмечались следующие. Большие нагрузки на рули высоты и элероны. Тугое управление триммерами рулей высоты и направления, а также юбками капота мотора на высоте 8000-9000 м. Отсасывание в полете щитков. Самопро</w:t>
      </w:r>
      <w:r w:rsidRPr="00A3026E">
        <w:rPr>
          <w:rFonts w:ascii="Times New Roman" w:hAnsi="Times New Roman"/>
          <w:color w:val="000000" w:themeColor="text1"/>
          <w:sz w:val="16"/>
          <w:szCs w:val="16"/>
        </w:rPr>
        <w:softHyphen/>
        <w:t>извольное перемещение в полете секторов газа, высотного корректора и управления винтами, которые плохо фиксировались. Неудовлетворительная работа автоматов высотных корректоров. При стрельбе из пушек и пулеметов пороховые газы проникали в кабину летчика. Кроме того, отстрелянные гильзы пулеметов попадали по винтам. К концу испытаний в выхлоп</w:t>
      </w:r>
      <w:r w:rsidRPr="00A3026E">
        <w:rPr>
          <w:rFonts w:ascii="Times New Roman" w:hAnsi="Times New Roman"/>
          <w:color w:val="000000" w:themeColor="text1"/>
          <w:sz w:val="16"/>
          <w:szCs w:val="16"/>
        </w:rPr>
        <w:softHyphen/>
        <w:t>ных коллекторах моторов образовались трещины (12614).</w:t>
      </w:r>
    </w:p>
    <w:p w14:paraId="435817E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59A80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начались гос. испытания КОР-2 (1049,121).</w:t>
      </w:r>
    </w:p>
    <w:p w14:paraId="333E42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 в январе 1941 (2870,31).</w:t>
      </w:r>
    </w:p>
    <w:p w14:paraId="76850FC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79C9E42"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2-10 декабря 1940 г. </w:t>
      </w:r>
    </w:p>
    <w:p w14:paraId="0E7014D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Сбор командующих флотов и флотилий по обобщению опыта войны и итогов боевой подготовки за 1940 год. О проектировании и строительстве авиации ВМФ. Доклад командующего авиацией Военно-Морского Флота генерал-лейтенанта авиации С.Ф. Жаворонкова // РГАВМФ, ф. р. 1678, oп. 1, д. 186, л. 409-438.</w:t>
      </w:r>
    </w:p>
    <w:p w14:paraId="7CDBF476"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 ПРОЕКТИРОВАНИИ И СТРОИТЕЛЬСТВЕ АВИАЦИИ ВМФ</w:t>
      </w:r>
    </w:p>
    <w:p w14:paraId="1D3E3ED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Доклад командующего авиацией Военно-Морского Флота генерал-лейтенанта авиации С. Ф. Жаворонкова</w:t>
      </w:r>
    </w:p>
    <w:p w14:paraId="77FD8E33"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Опыт второй империалистической войны показывает, что основным боевым самолетом является в настоящее время сухопутный колесный самолет. Все сколько-нибудь известные бомбардировочные и торпедные нападения авиации, как самостоятельные, так и совместные с флотом, в подавляющем большинстве случаев проводились сухопутными колесными бомбардировщиками и торпедоносцами.</w:t>
      </w:r>
    </w:p>
    <w:p w14:paraId="55454166"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Объясняется это в значительной мере тем, что сухопутные самолеты, по сравнению с периодом, допустим, 30-х годов, значительно обогнали гидросамолеты по своим данным.</w:t>
      </w:r>
    </w:p>
    <w:p w14:paraId="5CEABE18"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Сухопутный самолет, как правило, обладает гораздо большей маневренностью, чем гидросамолет, и значительно большей скоростью. Примерно разница в скоростях между сухопутным самолетом и гидросамолетом колеблется в пределах минимум 60 км в час и доходит до 120 и больше километров.</w:t>
      </w:r>
    </w:p>
    <w:p w14:paraId="348B88F8"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Разница настолько значительна, что она отражается на применении гидросамолета, на значительно больших его потерях и даже на оперативном использовании этого вида самолета.</w:t>
      </w:r>
    </w:p>
    <w:p w14:paraId="68125B4C"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Естественно, все это вместе взятое заставляет отдать предпочтение, преимущество сухопутному боевому самолету.</w:t>
      </w:r>
    </w:p>
    <w:p w14:paraId="23455E3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Кроме того, в современных условиях военных операций и войны в целом требуется привлечение большого количества самолетов, нередко исчисляющегося сотнями самолетов. Такое количество самолетов, конечно, может дать только общеармейская авиация.</w:t>
      </w:r>
    </w:p>
    <w:p w14:paraId="373BEACD"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Если возьмем соотношение бомбардировочной авиации у вас к другим видам авиации, то увидим, что у нас это соотношение сравнительно не в пользу бомбардировочной авиации. У нас по отношению к общему количеству, примерно, самолетов бомбардировщиков-торпедоносцев имеется 23%.</w:t>
      </w:r>
    </w:p>
    <w:p w14:paraId="10AB8242"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наличии 2—3 полков на театре, решать основную операцию при этом количестве самолетов будет невозможно. Потребуется привлечение гораздо большего количества самолетов, следовательно, привлечение боевой авиации ВВС Красной Армии.</w:t>
      </w:r>
    </w:p>
    <w:p w14:paraId="1EB0D1E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Именно эта авиация как у нас, так и за границей, имеет под собой и большую, мощную авиационную промышленность, обеспечивающую подачу соответствующего количества самолетов.</w:t>
      </w:r>
    </w:p>
    <w:p w14:paraId="0071600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современном двухмоторном колесном самолете значительно повысилась надежность и сравнительная безопасность полета. В целом авиационная техника стала значительно лучше, позволяет более безопасно производить полеты, а при наличии на самолете двух моторов он, естественно, имеет гораздо большую надежность за счет возможности полета на одном моторе.</w:t>
      </w:r>
    </w:p>
    <w:p w14:paraId="187E204C"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Таким образом, бомбардировщики почти всех типов, истребители безусловно всех типов, штурмовики и большинство торпедоносцев являются сухопутными колесными самолетами.</w:t>
      </w:r>
    </w:p>
    <w:p w14:paraId="39A9D416"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В авиации Военно-Морского Флота также сложилось примерно такое соотношение на протяжении многих предыдущих лет между колесными и гидросамолетами. </w:t>
      </w:r>
    </w:p>
    <w:p w14:paraId="433A121E"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целом, мы имеем около 70% сухопутных самолетов вместе с истребителями, и только около 30% самолетов, преимущественно лодочных и некоторое количество поплавковых.</w:t>
      </w:r>
    </w:p>
    <w:p w14:paraId="25D5DB06"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Это, конечно, отнюдь не значит, что морской самолет, лодочный, поплавковый самолет изжил себя на сегодня. Наоборот, мы считаем — да я думаю, что и у вас в этом никакого сомнения нет, — что морской самолет, как разведывательный самолет, как самолет поиска в условиях морского театра, является необходимым обязательным дополнением к общей системе вооружения авиации Военно-Морского Флота. Это, мне кажется, настолько очевидным, что не стоит в какой-нибудь мере сейчас доказывать. Каждый из вас в своей повседневной работе, руководя боевой подготовкой и боевой деятельностью, естественно чувствует потребность в гидросамолете.</w:t>
      </w:r>
    </w:p>
    <w:p w14:paraId="18402BA8"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текущую вторую империалистическую войну гидросамолеты также находят широкое применение в своей области.</w:t>
      </w:r>
    </w:p>
    <w:p w14:paraId="70D7818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Они ведут разведку преимущественно в открытом море, действуют на коммуникациях, самостоятельно и совместно с подводными лодками, выискивая корабли, транспорты торгового флота, наводя на них бомбардировочную авиацию и подводные лодки, широко применяя постановку мин заграждения, ведут борьбу с подводными лодками и выполняют целый ряд других задач на море, с которыми они, как морские самолеты, лучше всего справляются.</w:t>
      </w:r>
    </w:p>
    <w:p w14:paraId="16910C69"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 в количественном отношении морские самолеты за границей не перестают расти. Уже на протяжении войны мы наблюдаем значительный рост гидросамолетов в Германии, несколько меньший в Англии. В Германии этот рост выразился примерно вдвое по сравнению с мирным временем.</w:t>
      </w:r>
    </w:p>
    <w:p w14:paraId="5595CF11"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Перед началом войны было около 700 гидросамолетов. На сегодня ориентировочно считается 1400—1300, а всего в 3 дивизиях гидроавиации насчитывается 1500 самолетов вместе с сухопутными самолетами «Мессершмидт -110». Видимо, практикой доказана, подтверждена необходимость наряду с сухопутными самолетами и гидроавиации.</w:t>
      </w:r>
    </w:p>
    <w:p w14:paraId="6F359E7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Главный Военный совет Военно-Морского Флота рассматривал специально вопрос о гидросамолетостроении. Была принята следующая схема в строительстве гидросамолетов. Первым самолетом считалось необходимым иметь один из основных самолетов дальней морской разведки, он же минный заградитель.</w:t>
      </w:r>
    </w:p>
    <w:p w14:paraId="770DD6AE"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Второй самолет — средний, как он был назван, базовый разведки и третий самолет корабельный, он же самолет охраны водного района.</w:t>
      </w:r>
    </w:p>
    <w:p w14:paraId="68F1D71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Признана была необходимость часть торпедоносной авиации иметь на поплавках в силу особых географических условий и особенностей морского побережья.</w:t>
      </w:r>
    </w:p>
    <w:p w14:paraId="20D6176E"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предварительном рассмотрении предложенных типов самолетов в правительстве была указана необходимость сокращения количества самолетов до двух типов. В результате на сегодня находится на утверждении в правительстве два основные типа самолета.</w:t>
      </w:r>
    </w:p>
    <w:p w14:paraId="504D8AA9"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Первый — дальний разведчик, он же минный заградитель.</w:t>
      </w:r>
    </w:p>
    <w:p w14:paraId="49CD5BF9"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Второй — корабельный самолет, он же самолет охраны водного района.</w:t>
      </w:r>
    </w:p>
    <w:p w14:paraId="664E2C7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Морской дальний разведчик, минный заградитель имеет следующие основные задачи: разведка коммуникаций и боевых действий на коммуникациях, разведка удаленных баз, разведка и поиски в открытом море, постановка минных заграждений на вероятных путях противника в районе баз, десантные и транспортные операции.</w:t>
      </w:r>
    </w:p>
    <w:p w14:paraId="600D606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Развитие этого типа самолетов предположено вести в двух направлениях, в двух типах. Один тип — высокоскоростная летающая лодка со средней дальностью порядка 3 тыс. километров и другой тип, другой вариант — сравнительно более тихоходная лодка с дальностью примерно 5 тыс. километров и скоростью порядка 400 километров [в час].</w:t>
      </w:r>
    </w:p>
    <w:p w14:paraId="7C37EA3D"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Эти, находящиеся на утверждении правительства самолеты показаны здесь (демонстрирует таблицу).</w:t>
      </w:r>
    </w:p>
    <w:p w14:paraId="0822276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Дальность самолета, минного заградителя, больше скоростного варианта МДР-317с двумя моторами водяного охлаждения. </w:t>
      </w:r>
    </w:p>
    <w:p w14:paraId="214ECDB9"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Экипаж — 3 человека. </w:t>
      </w:r>
    </w:p>
    <w:p w14:paraId="6736FF3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Скорость на высоте 50 м — 420, т. е. у земли, </w:t>
      </w:r>
    </w:p>
    <w:p w14:paraId="43EA702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на расчетной высоте — 500 км в час.</w:t>
      </w:r>
    </w:p>
    <w:p w14:paraId="13DD22FF"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Посадочная скорость — 125 км [в час].</w:t>
      </w:r>
    </w:p>
    <w:p w14:paraId="2594452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Потолок — 9 000 м.</w:t>
      </w:r>
    </w:p>
    <w:p w14:paraId="442E1C66"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бомбовой нагрузкой 500 кг этот самолет будет способен идти на дальность</w:t>
      </w:r>
    </w:p>
    <w:p w14:paraId="38043B1D"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2700 км. Иначе говоря, тактический радиус — 1350 км.</w:t>
      </w:r>
    </w:p>
    <w:p w14:paraId="155C9B02"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Огневых точек три. Две точки пулеметных. Собственно, три пулеметных точки, но одна из них вооружена тяжелым пулеметом. Самолет способен поднять общее количество бомб 3000 кг. Это тип более скоростного самолета.</w:t>
      </w:r>
    </w:p>
    <w:p w14:paraId="1CB35C8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Тип второй — МДР-288. Это минный заградитель с двумя дизелями.</w:t>
      </w:r>
    </w:p>
    <w:p w14:paraId="27F1F88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Его максимальный полетный вес — 13000 кг.</w:t>
      </w:r>
    </w:p>
    <w:p w14:paraId="08D8C13E"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Экипаж — 5 человек.</w:t>
      </w:r>
    </w:p>
    <w:p w14:paraId="7E7A2BB4"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Максимально, что можно выжать из этого самолета — 420—430 км [в час].</w:t>
      </w:r>
    </w:p>
    <w:p w14:paraId="2FEBA3D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Вероятно, он будет иметь скорость около 400 км [в час]. У земли — 360 км [в час].</w:t>
      </w:r>
    </w:p>
    <w:p w14:paraId="7DF8FD9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Потолок — 8000 м. С бомбовой нагрузкой 1000 кг дальность будет иметь 3000 км.</w:t>
      </w:r>
    </w:p>
    <w:p w14:paraId="54247FB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двумя минами дальность 2200 км.</w:t>
      </w:r>
    </w:p>
    <w:p w14:paraId="17435EE1"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Здесь на карте нанесены данные на театрах Балтийском и Тихоокеанском.</w:t>
      </w:r>
    </w:p>
    <w:p w14:paraId="0E9B8C59"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Чем вызвано строительство двух, отличающихся несколько одна от другой, летающих лодок? При выполнении целого ряда задач мы не имеем права далеко отставать по скоростям от сухопутных самолетов. На сегодня раствор между нашими и сухопутными самолетами становится все значительнее. Поэтому мы вынуждены были стремиться к тому, чтобы сократить этот раствор для целого ряда задач, которые мы должны были выполнять на морских театрах. Прежде всего, разведка удаленных баз, связанных с перелетом через большие морские пространства. Она преимущественно должна осуществляться морскими самолетами и потребует больших скоростей. Кроме того, флот, прикрытый в море истребительной авиацией, потребует также разведки более маневренными и скоростными самолетами.</w:t>
      </w:r>
    </w:p>
    <w:p w14:paraId="0063E51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В практике мы наблюдаем все большее и большее стремление, по совершенно понятным причинам, прикрывать флот в открытом море истребительной авиацией. </w:t>
      </w:r>
    </w:p>
    <w:p w14:paraId="1357492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Следовательно, мы должны будем иметь самолеты с более высокими скоростными данными с тем, чтобы они могли выполнить поставленные перед ними задачи.</w:t>
      </w:r>
    </w:p>
    <w:p w14:paraId="169EAC8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другой стороны, нам нужна от гидросамолета и дальность. Целый ряд задач на морском театре требует от самолета больших дальностей.</w:t>
      </w:r>
    </w:p>
    <w:p w14:paraId="604C5CF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Мы уже здесь на заседании слышали о необходимости иметь самолет, который бы мог продолжительное время держаться над морем. В ряде случаев мы должны будем выполнять задачу с удалением до 2 и более тысяч километров в открытое море. Совместить в одном самолете и скоростные данные и дальность не представляется возможным. Как правило, скорость борется с дальностью.</w:t>
      </w:r>
    </w:p>
    <w:p w14:paraId="6C97FB34"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Если вы будете иметь самолет с большой дальностью, он неизбежно будет иметь меньшую скорость. Если вы будете иметь скоростной самолет, он будет иметь меньшую дальность. На сегодня эти два противоречия непримиримы.</w:t>
      </w:r>
    </w:p>
    <w:p w14:paraId="1D8CED22"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Это вызвало появление двух типов дальних разведчиков. С одной стороны, в дизельном варианте самолета мы имеем значительно большую надежность в полете и безопасность в пожарном отношении. Кроме того, большое значение для применения самолета во флотских условиях имеет унификация топлива.</w:t>
      </w:r>
    </w:p>
    <w:p w14:paraId="4271F2E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Я уже не буду говорить об известной экономичности этого мотора по сравнению с бензиновым мотором. Все это вместе взятое предопределило развитие этих двух самолетов, развитие этих двух направлений — моторного и дизельного с различными тактико-техническими данными.</w:t>
      </w:r>
    </w:p>
    <w:p w14:paraId="2880D26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 границей мы также наблюдаем стремление заменить бензиновый мотор дизелем. Это особенно отмечается в Германии и в известной мере находит отражение в гидросамолетостроении в Америке.</w:t>
      </w:r>
    </w:p>
    <w:p w14:paraId="71137EC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Второй тип, который правительство предложило, это — корабельный самолет. </w:t>
      </w:r>
    </w:p>
    <w:p w14:paraId="13F339DD"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Основное его назначение — обслуживать корабли тактической разведкой и корректировкой артиллерийского огня, охраной от подводных лодок. Но одновременно, поскольку мы связаны только двумя типами самолетов, мы вынуждены были возложить на него и задачу охраны водного района, тактическую разведку баз и корректировку артиллерийского огня береговых батарей.</w:t>
      </w:r>
    </w:p>
    <w:p w14:paraId="74FF952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Правда, эти требования несколько трудно совмещаются, но все же разрешимы.</w:t>
      </w:r>
    </w:p>
    <w:p w14:paraId="0C099FAF"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Этот самолет будет выглядеть в таком виде.</w:t>
      </w:r>
    </w:p>
    <w:p w14:paraId="683FBE22"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Экипаж — 2 человека. </w:t>
      </w:r>
    </w:p>
    <w:p w14:paraId="706E1C14"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Полетный вес 3 тыс. кг, </w:t>
      </w:r>
    </w:p>
    <w:p w14:paraId="4B382386"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максимальная скорость на 3500 метров 410—450 километров [в час], большего не удастся добиться, так как здесь есть ряд препятствий в аэродинамике и, очевидно, преодолеть эти препятствия не удастся. </w:t>
      </w:r>
    </w:p>
    <w:p w14:paraId="43B7BA0D"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Потолок — 9 тыс. метров, </w:t>
      </w:r>
    </w:p>
    <w:p w14:paraId="7A694D8D"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тактическая дальность без бомб — 900 км, с бомбовой нагрузкой 200 кг — 560 километров.</w:t>
      </w:r>
    </w:p>
    <w:p w14:paraId="34D10958"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Сейчас уже приступлено к проектированию части самолетов и они войдут в серийное производство, естественно, только в 1943 г.</w:t>
      </w:r>
    </w:p>
    <w:p w14:paraId="526036D4"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Может быть, войсковая серия одного из типов этих самолетов будет сделана в 1942 г., но поступать на вооружение они будут только в 1943 г.</w:t>
      </w:r>
    </w:p>
    <w:p w14:paraId="50245641"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Месяцев 8 идет на проектирование; затем несколько месяцев — на заводские и государственные испытания; затем, как всегда, в практике мы имеем сравнительно длительное время на доводку.</w:t>
      </w:r>
    </w:p>
    <w:p w14:paraId="1D0DE364"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разряду гидросамолетов необходимо отнести часть самолетов-торпедоносцев.</w:t>
      </w:r>
    </w:p>
    <w:p w14:paraId="38D93CC2"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условиям базирования на морских театрах возможно более тесное совместное использование этих самолетов с флотом.</w:t>
      </w:r>
    </w:p>
    <w:p w14:paraId="00FCB89F"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Часто придется использовать поплавковый вариант сухопутного торпедоносца.</w:t>
      </w:r>
    </w:p>
    <w:p w14:paraId="7A434C94"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Такой самолет, кроме ДБ-3, предполагается иметь в дальнейшем — это ДБ-240, который предполагается поставить на поплавки. Его характеристика следующая:</w:t>
      </w:r>
    </w:p>
    <w:p w14:paraId="02DDB90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w:t>
      </w:r>
      <w:r w:rsidRPr="00A3026E">
        <w:rPr>
          <w:rFonts w:ascii="Times New Roman" w:hAnsi="Times New Roman"/>
          <w:color w:val="0070C0"/>
          <w:sz w:val="16"/>
          <w:szCs w:val="16"/>
        </w:rPr>
        <w:tab/>
        <w:t>мотора;</w:t>
      </w:r>
    </w:p>
    <w:p w14:paraId="0F10699C"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Экипаж — 4 человека;</w:t>
      </w:r>
    </w:p>
    <w:p w14:paraId="03B04943"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Полетный вес около 14 000 кг;</w:t>
      </w:r>
    </w:p>
    <w:p w14:paraId="1CF753AD"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Скорость от земли — 75 м;</w:t>
      </w:r>
    </w:p>
    <w:p w14:paraId="5751E08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Скорость на высоте — 4700 м;</w:t>
      </w:r>
    </w:p>
    <w:p w14:paraId="7B1E615E"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Потолок — 6900 метров;</w:t>
      </w:r>
    </w:p>
    <w:p w14:paraId="578A4F4E"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Дальность [с] одной торпедой — 3000 км.</w:t>
      </w:r>
    </w:p>
    <w:p w14:paraId="70113C6C"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пулемета: 2 ШКАССА и 1 тяжелый.</w:t>
      </w:r>
    </w:p>
    <w:p w14:paraId="6047FA5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Не исключена возможность размещения двух торпед и двух мин или 4 мин магнитных по 500 кг.</w:t>
      </w:r>
    </w:p>
    <w:p w14:paraId="445AAB4D"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Таково общее направление развития в ближайшие годы гидросамолетов.</w:t>
      </w:r>
    </w:p>
    <w:p w14:paraId="656A7373"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Но это, как я уже говорил, мы будем иметь не раньше, как через два года, в лучшем случае через полтора года начнут поступать первые войсковые серии самолетов.</w:t>
      </w:r>
    </w:p>
    <w:p w14:paraId="3FDBF1BF"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Что же мы практически будем иметь на 1941 и 1942 гг.? Каковы перспективы вооружения авиации Военно-Морского Флота гидросамолетами?</w:t>
      </w:r>
    </w:p>
    <w:p w14:paraId="73D60699"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Сейчас первые самолеты мы уже делаем. Это машина МДР-6. В этом году до конца года должны сделать около 30 самолетов такого типа.</w:t>
      </w:r>
    </w:p>
    <w:p w14:paraId="74C81018"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Характеристика этого самолета такова: самолет имеет два мотора М-63. В связи с тем, что мотор М-63 имеет целый ряд недостатков и в настоящее время снят с производства, ведется так называемая гибридизация с мотором «62». Будет нечто среднее между моторами «63» и «62». Называться он будет, видимо, «62», и практически самолет будет поступать на вооружение в 1941 году с мотором «62» воздушного охлаждения.</w:t>
      </w:r>
    </w:p>
    <w:p w14:paraId="3A1E53F1"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Экипаж — 4 человека.</w:t>
      </w:r>
    </w:p>
    <w:p w14:paraId="38871BB1"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Максимальный полетный вес — 7 тонн.</w:t>
      </w:r>
    </w:p>
    <w:p w14:paraId="323E38A8"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Нормальный</w:t>
      </w:r>
      <w:r w:rsidRPr="00A3026E">
        <w:rPr>
          <w:rFonts w:ascii="Times New Roman" w:hAnsi="Times New Roman"/>
          <w:color w:val="0070C0"/>
          <w:sz w:val="16"/>
          <w:szCs w:val="16"/>
        </w:rPr>
        <w:tab/>
        <w:t>»</w:t>
      </w:r>
      <w:r w:rsidRPr="00A3026E">
        <w:rPr>
          <w:rFonts w:ascii="Times New Roman" w:hAnsi="Times New Roman"/>
          <w:color w:val="0070C0"/>
          <w:sz w:val="16"/>
          <w:szCs w:val="16"/>
        </w:rPr>
        <w:tab/>
        <w:t>»</w:t>
      </w:r>
      <w:r w:rsidRPr="00A3026E">
        <w:rPr>
          <w:rFonts w:ascii="Times New Roman" w:hAnsi="Times New Roman"/>
          <w:color w:val="0070C0"/>
          <w:sz w:val="16"/>
          <w:szCs w:val="16"/>
        </w:rPr>
        <w:tab/>
        <w:t>— 5 т 600 кг.</w:t>
      </w:r>
    </w:p>
    <w:p w14:paraId="18105954"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Максимальная скорость у земли — 319 км [в час]</w:t>
      </w:r>
    </w:p>
    <w:p w14:paraId="463FAC41"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w:t>
      </w:r>
      <w:r w:rsidRPr="00A3026E">
        <w:rPr>
          <w:rFonts w:ascii="Times New Roman" w:hAnsi="Times New Roman"/>
          <w:color w:val="0070C0"/>
          <w:sz w:val="16"/>
          <w:szCs w:val="16"/>
        </w:rPr>
        <w:tab/>
        <w:t>» на расчетной высоте — 365 км.</w:t>
      </w:r>
    </w:p>
    <w:p w14:paraId="13C0110F"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Посадочная</w:t>
      </w:r>
      <w:r w:rsidRPr="00A3026E">
        <w:rPr>
          <w:rFonts w:ascii="Times New Roman" w:hAnsi="Times New Roman"/>
          <w:color w:val="0070C0"/>
          <w:sz w:val="16"/>
          <w:szCs w:val="16"/>
        </w:rPr>
        <w:tab/>
        <w:t>»</w:t>
      </w:r>
      <w:r w:rsidRPr="00A3026E">
        <w:rPr>
          <w:rFonts w:ascii="Times New Roman" w:hAnsi="Times New Roman"/>
          <w:color w:val="0070C0"/>
          <w:sz w:val="16"/>
          <w:szCs w:val="16"/>
        </w:rPr>
        <w:tab/>
        <w:t>— 125—130 км [в час]</w:t>
      </w:r>
    </w:p>
    <w:p w14:paraId="4A5B1EF3"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Скорость подъема на 5000 м — 14 минут</w:t>
      </w:r>
    </w:p>
    <w:p w14:paraId="24BF3A74"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Потолок</w:t>
      </w:r>
      <w:r w:rsidRPr="00A3026E">
        <w:rPr>
          <w:rFonts w:ascii="Times New Roman" w:hAnsi="Times New Roman"/>
          <w:color w:val="0070C0"/>
          <w:sz w:val="16"/>
          <w:szCs w:val="16"/>
        </w:rPr>
        <w:tab/>
        <w:t>— 7 700 м.</w:t>
      </w:r>
    </w:p>
    <w:p w14:paraId="5732366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бомбовой нагрузкой в 600 кг на скорости в 200 км в час он будет способен идти на 1400 км. Это тактическая дальность с учетом навигационного запаса горючего.</w:t>
      </w:r>
    </w:p>
    <w:p w14:paraId="3C5CF098"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бомбовой нагрузкой в 1000 кг на такой же скорости он будет идти на 1000 км.</w:t>
      </w:r>
    </w:p>
    <w:p w14:paraId="5486CA63"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Огневых точек у него 3: 2 задних и 1 передняя — все пулеметные. </w:t>
      </w:r>
    </w:p>
    <w:p w14:paraId="520F29A1"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Бомб может брать: ФАБ-500 — 2, ФАБ-250—4, ФАБ-100 — 12 и химическую аппаратуру.</w:t>
      </w:r>
    </w:p>
    <w:p w14:paraId="2ABCF462"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Естественно, на сегодня этот самолет нас полностью удовлетворить не может. Поставлена задача дальнейшего развития этого самолета, превращение его в те типы, которые были указаны.</w:t>
      </w:r>
    </w:p>
    <w:p w14:paraId="2DF826D9"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Этот самолет был задан конструктору и промышленности в 1934 году.</w:t>
      </w:r>
    </w:p>
    <w:p w14:paraId="23F7251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Следовательно, от момента задания до вступления его в строй прошло 6 лет.</w:t>
      </w:r>
    </w:p>
    <w:p w14:paraId="5B57413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Задан он был со скоростью 275 км в час. По тогдашнему времени это считалось очень приличной скоростью. Практически конструктор, поставив на самолете другие моторы, превысил заданную скорость. Но когда в 1937 году самолет был построен, оказалось, что он не удовлетворяет гидродинамическим качествам. </w:t>
      </w:r>
    </w:p>
    <w:p w14:paraId="3D6DD4F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Самолет прыгал, зарывался. Поэтому вынуждены были потребовать от конструктора дальнейшей доработки самолета.</w:t>
      </w:r>
    </w:p>
    <w:p w14:paraId="398FD67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Так как самолет и строился, и дорабатывался на ремонтном Севастопольском заводе, то, естественно, он не мог быть скоро отработан. Его перенесли на 31-й завод серийного самолетостроения. Опять-таки в связи с тем, что его проектировали и первые экземпляры производили на ремонтном заводе, все было подготовлено исключительно плохо для серийного производства. Он внедрялся очень медленно на протяжении всего этого года. Мы должны были получить первую партию самолетов в 12 штук в первой половине года, но только сейчас получаем эти 12 самолетов и отправляем на флоты. До конца года, как я уже докладывал, мы сможем получить 30 самолетов.</w:t>
      </w:r>
    </w:p>
    <w:p w14:paraId="5E2402D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Серийный самолет корабельный. Видимо, все вы характеристику этого самолета знаете, поэтому я повторять ее не буду. Делаются последние 9 самолетов и этот самолет снимается с производства за неудовлетворительностью своих летно-тактических качеств. Прежде всего, как гидросамолет, он возбуждает целый ряд сомнений и неудобств в эксплуатации.</w:t>
      </w:r>
    </w:p>
    <w:p w14:paraId="268E3AB1"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Сейчас мы вынуждены были даже отдельно дополнительно испытывать крепость поплавка, так как мы имели с ним целый ряд недоразумений в эксплуатации. Так как летно-тактические данные этого самолета очень невысоки, то дальнейшее производство его прекращено.</w:t>
      </w:r>
    </w:p>
    <w:p w14:paraId="396E5571"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Выпущена небольшая серия транспортных самолетов ГСТ. Это американский самолет «Консолидейтет» Он был закуплен в транспортном варианте. Это тихоходный самолет. Практически он дает не больше 260—270 км [в час].</w:t>
      </w:r>
    </w:p>
    <w:p w14:paraId="58D0B248"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Правда, имеет очень большую дальность: с нагрузкой 1500 кг он идет на 2500 км и способен держаться без бомб до 17—19 часов в воздухе. Так как его скоростные данные низки для современных условий, то производство этого самолета было прекращено с тем, чтобы использовать имеющиеся самолеты, пока временно как разведчики, а затем транспортными самолетами.</w:t>
      </w:r>
    </w:p>
    <w:p w14:paraId="59545304"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Таким образом, поступает на вооружение в 1941 году самолет МДР-6.</w:t>
      </w:r>
    </w:p>
    <w:p w14:paraId="130198A6"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Правительство утвердило к постройке 200 самолетов и каждый флот будет иметь в среднем до полка этих самолетов в концу 1941 года. Сейчас проходит заводские испытания самолет МДР-7. В январе — феврале выходит на заводские испытания МБР-6Б. МДР-7 — это уже вторая машина. Готовится третья машина. Должны были быть закончены государственные испытания к концу этого года, но так как первый самолет был разбит, мы приступаем к заводским испытаниям этого самолета только сейчас. Самолет этот был запущен в опытное строительство по предложению НКАП. В 1938 г. с его характеристикой согласились, т. к. промышленность ничего другого предложить не могла. Конструктор строит самолет по предложенным тактико-техническим данным, но они получились несколько иные в связи с перетяжелением самолета и в связи с введением изменений на опыте разбитого самолета. Этот самолет будет выглядеть, как здесь указано, с двумя моторами «88» воздушного охлаждения.</w:t>
      </w:r>
    </w:p>
    <w:p w14:paraId="3F49C3C3"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Кстати, эти моторы находятся под сомнением, и, возможно, придется перейти на моторы «87», если промышленность не сумеет отработать их. </w:t>
      </w:r>
    </w:p>
    <w:p w14:paraId="0BE7F72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Экипаж — 3 человека, </w:t>
      </w:r>
    </w:p>
    <w:p w14:paraId="5D01F29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вес — около 8,5 тонн, </w:t>
      </w:r>
    </w:p>
    <w:p w14:paraId="2EC4F0D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максимальная скорость — 450 км/час.</w:t>
      </w:r>
    </w:p>
    <w:p w14:paraId="5457207F"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Посадочная скорость — 130 км [в час] при бомбовой нагрузке в 500 кг.</w:t>
      </w:r>
    </w:p>
    <w:p w14:paraId="2D86862C"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Способность идти на тактическую дальность — 1400 км (при тактическом радиусе 700 км) с бомбовой нагрузкой в 1000 кг. При скорости 320 км [в час] — только на дальность 700 км. </w:t>
      </w:r>
    </w:p>
    <w:p w14:paraId="1CD61E41"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Самолет очень сильно перетяжелен. Что покажут его дальнейшие испытания — нельзя сказать сейчас, в этой характеристике он не весьма благоприятно выглядит.</w:t>
      </w:r>
    </w:p>
    <w:p w14:paraId="5D53560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проекту самолет должен был получиться неплохой, но сейчас, в связи с перетяжением, он значительно снизит свои качества.</w:t>
      </w:r>
    </w:p>
    <w:p w14:paraId="6118A0D6"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Первый вариант его был сделан в виде амфибии с убирающимися шасси и с большими вырезами в крыле и в лодке.</w:t>
      </w:r>
    </w:p>
    <w:p w14:paraId="08DF1E78"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Есть основания полагать, что одной из причин катастрофы явились эти недостатки гидродинамики самолета, не допускающие сколько-нибудь более глубоких виражей, требующие очень внимательного пилотирования. Так, по крайней мере, не совсем определенно, нам было сказано комиссией, которая расследовала причины катастрофы. Больше всего причины катастрофы сваливали на летчика. Во всяком случае ближайшее будущее покажет, пойдет ли этот самолет как серийный самолет.</w:t>
      </w:r>
    </w:p>
    <w:p w14:paraId="72A0843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январе и феврале выходит на заводские испытания самолет конструктора Четверикова — МБР-6Б. Это самолет, допускающий пикирование. Самолет с двумя моторами «105», которыми сейчас снабжаются все наши сухопутные самолеты. Экипаж 3—4 человека. Полетный вес максимальный 7,5 тонн.</w:t>
      </w:r>
    </w:p>
    <w:p w14:paraId="12FCE25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Скорость у земли 400 км/час. На расчетной высоте 4500 метров скорость 480 км/час.</w:t>
      </w:r>
    </w:p>
    <w:p w14:paraId="0A82D0B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Так как дальнейшее развитие моторов «105» в «107» дает увеличение скорости, то есть основания полагать, что при постановке «107» мотора скорость будет 500 км/час.</w:t>
      </w:r>
    </w:p>
    <w:p w14:paraId="578C9733"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Потолок 10 тыс. метров. С бомбовой нагрузкой 600 кг он способен идти на тактическую дальность 1700 км или на радиус 850 км.</w:t>
      </w:r>
    </w:p>
    <w:p w14:paraId="47916042"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Синяя черта на картах — это тактический радиус этого самолета с нагрузкой 500 кг.</w:t>
      </w:r>
    </w:p>
    <w:p w14:paraId="2F26B0EC"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варианте чистого разведчика он за счет бомб может увеличить дальность еще на 500 км. Таким образом, основную задачу разведки на театре — разведку основных баз — он может решить.</w:t>
      </w:r>
    </w:p>
    <w:p w14:paraId="7A5E2B9E"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Поскольку у конструктора в результате проектирования этого самолета и постройки его накопился богатый опыт (и у самого конструктора, и у конструкторского бюро), то есть основание думать, что этот самолет будет удачнее и, вероятно, с конца 1941 г. будет запущен в серийное производство. В 1942 г. он уже будет поступать в массовом количестве.</w:t>
      </w:r>
    </w:p>
    <w:p w14:paraId="09BC3D18"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Опытный разведчик КОР-2 сейчас проходит заводские испытания. Самолет летает. Заводские испытания проходят пока благоприятно.</w:t>
      </w:r>
    </w:p>
    <w:p w14:paraId="15807C64"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Есть основания думать, что эта машина пойдет.</w:t>
      </w:r>
    </w:p>
    <w:p w14:paraId="7D30C46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Его данные.</w:t>
      </w:r>
    </w:p>
    <w:p w14:paraId="52EC30A2"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Мотор «63», видимо, придется менять на «62» в связи с неудовлетворительностью этого мотора. </w:t>
      </w:r>
    </w:p>
    <w:p w14:paraId="4A12A91E"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Экипаж — 2 человека, полетный вес 3000 кг. </w:t>
      </w:r>
    </w:p>
    <w:p w14:paraId="48EEBDD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Скорость на высоте 50 метров 320 км/час, </w:t>
      </w:r>
    </w:p>
    <w:p w14:paraId="09F4AD3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максимальная скорость 375 км/час, </w:t>
      </w:r>
    </w:p>
    <w:p w14:paraId="0AA5792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скороподъемность ближе к МБР-6. </w:t>
      </w:r>
    </w:p>
    <w:p w14:paraId="0925E87F"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Потолок 8000 метров. </w:t>
      </w:r>
    </w:p>
    <w:p w14:paraId="0E55185F"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Без бомб тактическая дальность 850 км. </w:t>
      </w:r>
    </w:p>
    <w:p w14:paraId="7194ABE2"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Способен держаться в воздухе около 2,5, максимум около 3 часов. При 200 кг бомб — 600 км. </w:t>
      </w:r>
    </w:p>
    <w:p w14:paraId="6F92DFD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Огневых точек две.</w:t>
      </w:r>
    </w:p>
    <w:p w14:paraId="70A2BDF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Этот самолет придет на смену самолету КОР-1. Его тактико-технические требования даны выше, как вы видите из сопоставления с этим самолетом.</w:t>
      </w:r>
    </w:p>
    <w:p w14:paraId="2E5F35E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Есть основания думать, что он будет удачнее, чем КОР-1. В части же гидродинамики у него не будет тех недостатков, которые имеются у этого плохого самолета. Предположительно, он должен быть запущен в производство со второй половины 1941 г. и, таким образом, будет поступать на вооружение к концу 1941 г. Мы намерены были заказать 100—150 самолетов в 1941 г.</w:t>
      </w:r>
    </w:p>
    <w:p w14:paraId="15A3B22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Справится ли с этим промышленность, сейчас трудно сказать.</w:t>
      </w:r>
    </w:p>
    <w:p w14:paraId="43F6C78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Вот, по существу, все типы самолетов, как опытных, так и серийных, которые должны в ближайшие годы — 1941—1942 — поступить на вооружение, проектируемые самолеты и намечаемые к проектированию опытные самолеты с их летно-тактическими данными.</w:t>
      </w:r>
    </w:p>
    <w:p w14:paraId="6D5170D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Сухопутные самолеты. В 1941 г. намечено закупить у промышленности следующие самолеты.</w:t>
      </w:r>
    </w:p>
    <w:p w14:paraId="6861D58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истребителям это три самолета: И-200, И-26 и И-101.</w:t>
      </w:r>
    </w:p>
    <w:p w14:paraId="0C4A2A9D"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 xml:space="preserve">И-200 вы завтра увидите на заводе. Это самолет с одним мотором «АМ-135», мотор водяного охлаждения. </w:t>
      </w:r>
    </w:p>
    <w:p w14:paraId="145178D8"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Экипаж — 1 человек, </w:t>
      </w:r>
    </w:p>
    <w:p w14:paraId="1495A59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полетный вес 3 тонны, </w:t>
      </w:r>
    </w:p>
    <w:p w14:paraId="4BFEC216"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скорость максимальная на расчетной высоте 7000 м — 630 км/час. </w:t>
      </w:r>
    </w:p>
    <w:p w14:paraId="0768A83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Потолок 12 000 м и </w:t>
      </w:r>
    </w:p>
    <w:p w14:paraId="550A7191"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дальность полета 550 км. Это примерно 1 час или 50 мин.</w:t>
      </w:r>
    </w:p>
    <w:p w14:paraId="0CB39FDF"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Вооружение этого самолета: 2 пулемета калибра 7,62 мм и 1 крупнокалиберный пулемет.</w:t>
      </w:r>
    </w:p>
    <w:p w14:paraId="6208D978"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Бомб может брать две сотки. Вооружен реактивным снарядом на 8 балок.</w:t>
      </w:r>
    </w:p>
    <w:p w14:paraId="088BB7EC"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Следующий тип самолета, тоже намечаемый в 1942 г., — И-26. Его данные несколько ниже первого самолета.</w:t>
      </w:r>
    </w:p>
    <w:p w14:paraId="731B9EB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Скороподъемность 6 минут на 5 тыс. метров. Этот самолет несколько больше может держаться в воздухе.</w:t>
      </w:r>
    </w:p>
    <w:p w14:paraId="05A4C559"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Вооружение такое же, как и у этого самолета, но может брать или 2 бомбы по 50 кг или 1 бомбу 100 кг. Также вооружен реактивным снарядом на 8 балок.</w:t>
      </w:r>
    </w:p>
    <w:p w14:paraId="1D33AC58"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Следующий тип самолета И-301.</w:t>
      </w:r>
    </w:p>
    <w:p w14:paraId="62676A9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Характеристика этого самолета близка к характеристике самолета И-26.</w:t>
      </w:r>
    </w:p>
    <w:p w14:paraId="3471B6D1"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Дальность полета и продолжительность пребывания будет несколько больше, чем у первых двух самолетов.</w:t>
      </w:r>
    </w:p>
    <w:p w14:paraId="097F4918"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Вооружение: два легких пулемета и один тяжелый, пушка 23 мм.</w:t>
      </w:r>
    </w:p>
    <w:p w14:paraId="7323D709"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Бомб — 100 кг. Также вооружен реактивным снарядом. Этот тип самолета увидите завтра на аэродроме. Другие типы самолетов увидеть не удастся.</w:t>
      </w:r>
    </w:p>
    <w:p w14:paraId="40FD72C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Предположено получить небольшую партию штурмовиков значительно бронированных. </w:t>
      </w:r>
    </w:p>
    <w:p w14:paraId="5627FA9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Как экипаж, так и мотор забронированы.</w:t>
      </w:r>
    </w:p>
    <w:p w14:paraId="56C5D164"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Его данные: экипаж 2 человека. </w:t>
      </w:r>
    </w:p>
    <w:p w14:paraId="7DFED54C"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Скорость 360 [км в час] у земли и на расчетной высоте 420 [км в час].</w:t>
      </w:r>
    </w:p>
    <w:p w14:paraId="3449BAFF"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Продолжительность полета такая же, как у этих самолетов.</w:t>
      </w:r>
    </w:p>
    <w:p w14:paraId="0B97A22E"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Пулеметов — 5.</w:t>
      </w:r>
    </w:p>
    <w:p w14:paraId="53357482"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Бомбардировщик ДБ-240 с двумя моторами. Его весовая характеристика — 13 тонн, максимальная — 14 тонн.</w:t>
      </w:r>
    </w:p>
    <w:p w14:paraId="44C3891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Наибольшая скорость: у земли 383 [км в час], на расчетной высоте 465 км в час.</w:t>
      </w:r>
    </w:p>
    <w:p w14:paraId="1C6F772D"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Бомбовая нагрузка — 1000 кг на 3000 км.</w:t>
      </w:r>
    </w:p>
    <w:p w14:paraId="7B3BACD2"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Общая бомбовая емкость 3000 кг. Бомбы убираются в фюзеляж, кроме бомб в 1000 кг.</w:t>
      </w:r>
    </w:p>
    <w:p w14:paraId="3B61EC53"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мотором «М37» самолет будет давать более высокие данные, порядка 520—530 км в час. Это бомбардировщик с горизонтального полета.</w:t>
      </w:r>
    </w:p>
    <w:p w14:paraId="36B405B1"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Бомбардировщик пикирующий — ПБ-100 с двумя моторами.</w:t>
      </w:r>
    </w:p>
    <w:p w14:paraId="334B337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Максимальный вес — 8,5 т.</w:t>
      </w:r>
    </w:p>
    <w:p w14:paraId="67021FBD"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Максимальная скорость у земли — 465 км [в час].</w:t>
      </w:r>
    </w:p>
    <w:p w14:paraId="578888C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w:t>
      </w:r>
      <w:r w:rsidRPr="00A3026E">
        <w:rPr>
          <w:rFonts w:ascii="Times New Roman" w:hAnsi="Times New Roman"/>
          <w:color w:val="0070C0"/>
          <w:sz w:val="16"/>
          <w:szCs w:val="16"/>
        </w:rPr>
        <w:tab/>
        <w:t>»</w:t>
      </w:r>
      <w:r w:rsidRPr="00A3026E">
        <w:rPr>
          <w:rFonts w:ascii="Times New Roman" w:hAnsi="Times New Roman"/>
          <w:color w:val="0070C0"/>
          <w:sz w:val="16"/>
          <w:szCs w:val="16"/>
        </w:rPr>
        <w:tab/>
        <w:t>на высоте — 540 км [в час].</w:t>
      </w:r>
    </w:p>
    <w:p w14:paraId="2BF3079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Скороподъемность на 3000 — 5 минут.</w:t>
      </w:r>
    </w:p>
    <w:p w14:paraId="2576FD8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w:t>
      </w:r>
      <w:r w:rsidRPr="00A3026E">
        <w:rPr>
          <w:rFonts w:ascii="Times New Roman" w:hAnsi="Times New Roman"/>
          <w:color w:val="0070C0"/>
          <w:sz w:val="16"/>
          <w:szCs w:val="16"/>
        </w:rPr>
        <w:tab/>
        <w:t>»</w:t>
      </w:r>
      <w:r w:rsidRPr="00A3026E">
        <w:rPr>
          <w:rFonts w:ascii="Times New Roman" w:hAnsi="Times New Roman"/>
          <w:color w:val="0070C0"/>
          <w:sz w:val="16"/>
          <w:szCs w:val="16"/>
        </w:rPr>
        <w:tab/>
        <w:t>5000 — 8,5 минут.</w:t>
      </w:r>
    </w:p>
    <w:p w14:paraId="60E8FD6E"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Потолок — 10000 м, </w:t>
      </w:r>
    </w:p>
    <w:p w14:paraId="654F598C"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бомбовой нагрузкой 600 кг, тактическая дальность — 1500 км.</w:t>
      </w:r>
    </w:p>
    <w:p w14:paraId="302B41F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Пулеметов — 4.</w:t>
      </w:r>
    </w:p>
    <w:p w14:paraId="068EDFCD"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Бомб внутри фюзеляжа 600 кг, внешней подвески — 2 по 500 кг.</w:t>
      </w:r>
    </w:p>
    <w:p w14:paraId="322C75FE"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Тот же самолет сейчас отрабатывается, и завтра вы увидите его на заводе в варианте высотного истребителя с герметической кабиной. Его данные остаются примерно те же, но вооружение будет несколько мощнее. Остаются три пулемета и две 20-миллиметровые пушки. Один пулемет будет назад, два вперед и две пушки вперед.</w:t>
      </w:r>
    </w:p>
    <w:p w14:paraId="6EB765C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Этот самолет в варианте двухместного истребителя числится наряду с ПБ-100 в плане заказа и предложено закупить его на 1941 год.</w:t>
      </w:r>
    </w:p>
    <w:p w14:paraId="0CC8F26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Следующий пикирующий бомбардировщик, так называемый СБ-РК с радиатором в крыле. Это развитие имеющегося на вооружении самолета СБ. Его характеристики значительно выше, чем у существующего сейчас на вооружении самолета СБ.</w:t>
      </w:r>
    </w:p>
    <w:p w14:paraId="1407B17C"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Скорость у земли — 415 км [в час]</w:t>
      </w:r>
    </w:p>
    <w:p w14:paraId="06309CA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на высоте — 480—490 км [в час]</w:t>
      </w:r>
    </w:p>
    <w:p w14:paraId="11F61B12"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Экипаж — 3 человека.</w:t>
      </w:r>
    </w:p>
    <w:p w14:paraId="29792CB3"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Потолок — 10000 м.</w:t>
      </w:r>
    </w:p>
    <w:p w14:paraId="28B49A7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бомбовой нагрузкой в 600 кг способен идти на 1700 км. Это его тактическая дальность.</w:t>
      </w:r>
    </w:p>
    <w:p w14:paraId="3397372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Это, видимо, будет у нас основным пикирующим бомбардировщиком, тогда как тот будет очевидно, больше как истребитель.</w:t>
      </w:r>
    </w:p>
    <w:p w14:paraId="4B2B9E2C"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Таким образом, все это — самолеты, числящиеся в плане заказов на 1941 год.</w:t>
      </w:r>
    </w:p>
    <w:p w14:paraId="635FD101"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отношении ДБ-240 появились некоторые недоразумения. Конструктор дал несколько иные данные, и заводские испытания оказались гораздо выше, чем оказалось на государственных испытаниях. Рассчитывали дать его с лучшими данными. Кроме того, самолет имеет очень большой пробег и разбег.</w:t>
      </w:r>
    </w:p>
    <w:p w14:paraId="6DE1F71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Видимо, эти недостатки будут отработаны.</w:t>
      </w:r>
    </w:p>
    <w:p w14:paraId="10D1247F"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Скорости с этим мотором остаются, изменить их не удастся. Этот самолет пойдет на смену ДБ-ЗФ, который у нас сейчас имеется на вооружении. Другого самолета в 1941 году пока в серийном производстве не предвидится.</w:t>
      </w:r>
    </w:p>
    <w:p w14:paraId="4271C86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Вот, пожалуй, и все, что можно было доложить по вопросам гидросамолетостроения, серийного самолетостроения и самолетов, которые предположено получить на вооружение в 1941 году.</w:t>
      </w:r>
    </w:p>
    <w:p w14:paraId="2222982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Мне хочется только остановиться на этой таблице. Здесь на диаграмме показана разница в соотношении скоростей и дальностей морских и сухопутных самолетов в 1940 г.</w:t>
      </w:r>
    </w:p>
    <w:p w14:paraId="2432C2A4"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Здесь показана наша лодка МБР-6 со скоростью 360 км в час. Здесь показаны ДБ-3, СБ, ПБ-100. Видите раствор скоростей. Примерно, между скоростями истребителей разведывательных самолетов, морских самолетов и бомбардировщиков раствор порядка 100 км. В дальнейшем при выходе лодки МБР-6Б этот раствор сохраняется, тогда как дизельная лодка дает увеличение раствора.</w:t>
      </w:r>
    </w:p>
    <w:p w14:paraId="4A61DE33"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Здесь показаны новые самолеты, находящиеся в опытном строительстве, будущие дальние бомбардировщики, которые дадут скорость порядка 600 км [в час]. Наша лодка будет иметь около 500. Опять раствор будет в 100 км между сухопутными самолетами и нашими разведывательными, а между тихоходными — раствор, примерно, 170—200 км в час.</w:t>
      </w:r>
    </w:p>
    <w:p w14:paraId="27963574"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То же по дальности. На 1940 г. мы имеем такое соотношение: красным показаны морские самолеты, синим — самолеты сухопутные, имеющиеся на вооружении. Здесь в дальности очень незначительный раствор, примерно, одинакова дальность, раствор порядка 250 км. Дальше производством опытных дизельных лодок мы стараемся раствор сократить, дать дальность близкую к сухопутным и для морских самолетов.</w:t>
      </w:r>
    </w:p>
    <w:p w14:paraId="488D5E5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Все остальные самолеты, как вы видите, в том числе и опытные, будут значительно отставать от этого самолета. ДБ-240 имеет 3500 км, будет иметь больше дальность на 800 км. Таким образом, по дальности мы стремимся держаться почти на одном уровне или далеко не отставать от сухопутных самолетов, по скорости мы будем уступать, примерно, в 100—120 км [в час], а по тихоходным и того больше.</w:t>
      </w:r>
    </w:p>
    <w:p w14:paraId="7268CFBF"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Вопросы к докладчику.</w:t>
      </w:r>
    </w:p>
    <w:p w14:paraId="39F6CFA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Ф. С. Октябрьский: У меня имеется два вопроса. Первый вопрос относительно МДР-6. У вас показан радиус?</w:t>
      </w:r>
    </w:p>
    <w:p w14:paraId="4C89A192"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С.Ф. Жаворонков: Это его тактическая дальность. Фактический радиус 700 км с 600 кг нагрузкой бомб, если он идет на скорости 200 км/час.</w:t>
      </w:r>
    </w:p>
    <w:p w14:paraId="57083EB2"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Ф. С. Октябрьский: Плохие данные получаются.</w:t>
      </w:r>
    </w:p>
    <w:p w14:paraId="725A18A4"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Второй вопрос: Будем ли мы в 1941 г. иметь корабельные самолеты?</w:t>
      </w:r>
    </w:p>
    <w:p w14:paraId="05702D9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Ф. Жаворонков: Все будет зависеть от отработки этого самолета. Сейчас получен самолет «КОР-1». Его данные вам известны. Самолет явно неудачный.</w:t>
      </w:r>
    </w:p>
    <w:p w14:paraId="3B919D72"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Дальнейшая разработка его нецелесообразна. Да, МБР-6 нас не удовлетворяет, но вы не забывайте, что он задан был в 1934 г. На смену ему идут лучшие.</w:t>
      </w:r>
    </w:p>
    <w:p w14:paraId="5C5202F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Ф. С. Октябрьский: Это единственный самолет на море? Значит корабли плавают без самолетов?</w:t>
      </w:r>
    </w:p>
    <w:p w14:paraId="5148B4C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Ф. Жаворонков: Вы будете иметь КОР-1 по несколько самолетов на Черноморском флоте и Балтийском флоте. Всего будет 15 самолетов, следовательно, по 7 самолетов вы будете иметь, ориентировочно к концу 1940 года.</w:t>
      </w:r>
    </w:p>
    <w:p w14:paraId="6D4C9B4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(Вопрос: Велись ли работы с гидроистребителем и какие результаты?)</w:t>
      </w:r>
    </w:p>
    <w:p w14:paraId="2EEDA9DE"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Ф. Жаворонков: работы эти не будут вестись, потому что гидроистребитель нецелесообразно иметь. Он, как правило, по своей скорости должен отставать от сухопутных своих братьев. Встреча его с сухопутными истребителями будет рискована для гидроистребителя. Строить его нецелесообразно.</w:t>
      </w:r>
    </w:p>
    <w:p w14:paraId="6E9A709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 границей от них отказались. В Америке были сделаны несколько самолетов, но от них отказались.</w:t>
      </w:r>
    </w:p>
    <w:p w14:paraId="35DEC4AC"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С. Ф. Жаворонков**. Завтра в 9 часов утра сбор в Наркомате для поездки на аэродром и два завода. Завтра мы осмотрим следующие самолеты: ПБ-100 — высотный истребитель, вариант ПБ-100 — двухмоторный, двухместный истребитель, бронированный штурмовик, ПБ-4, ПБ-22 — двухмоторный и 185-й — с двумя моторами одноместный дальний истребитель Микояна.</w:t>
      </w:r>
    </w:p>
    <w:p w14:paraId="3E2BD6B9"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Осмотрим эти 8 машин. Последнюю машину можно будет осмотреть только в макете, но он дает полное представление о том, какой будет самолет.</w:t>
      </w:r>
    </w:p>
    <w:p w14:paraId="32D941B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(Вопрос с места: Как обстоит дело со снабжением авиации аэрофотоаппаратами?)</w:t>
      </w:r>
    </w:p>
    <w:p w14:paraId="53B9C58B"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Мы имеем «АФ-1» с фокусом 40 см. Пока что в ближайшее время не представляется возможным в 1941 г. получить более дальнофокусный аппарат.</w:t>
      </w:r>
    </w:p>
    <w:p w14:paraId="18DC3FB6"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Он не разработан. Поставлена задача разработки и дальнейшего усовершенствования этой аппаратуры.</w:t>
      </w:r>
    </w:p>
    <w:p w14:paraId="5484F744" w14:textId="77777777" w:rsidR="00231063" w:rsidRPr="00A3026E" w:rsidRDefault="00231063" w:rsidP="00A3026E">
      <w:pPr>
        <w:spacing w:after="0" w:line="240" w:lineRule="auto"/>
        <w:jc w:val="both"/>
        <w:rPr>
          <w:rFonts w:ascii="Times New Roman" w:hAnsi="Times New Roman"/>
          <w:color w:val="0070C0"/>
          <w:sz w:val="16"/>
          <w:szCs w:val="16"/>
          <w:lang w:val="en-US"/>
        </w:rPr>
      </w:pPr>
      <w:r w:rsidRPr="00A3026E">
        <w:rPr>
          <w:rFonts w:ascii="Times New Roman" w:hAnsi="Times New Roman"/>
          <w:color w:val="0070C0"/>
          <w:sz w:val="16"/>
          <w:szCs w:val="16"/>
        </w:rPr>
        <w:t>РГАВМФ</w:t>
      </w:r>
      <w:r w:rsidRPr="00A3026E">
        <w:rPr>
          <w:rFonts w:ascii="Times New Roman" w:hAnsi="Times New Roman"/>
          <w:color w:val="0070C0"/>
          <w:sz w:val="16"/>
          <w:szCs w:val="16"/>
          <w:lang w:val="en-US"/>
        </w:rPr>
        <w:t xml:space="preserve">, </w:t>
      </w:r>
      <w:r w:rsidRPr="00A3026E">
        <w:rPr>
          <w:rFonts w:ascii="Times New Roman" w:hAnsi="Times New Roman"/>
          <w:color w:val="0070C0"/>
          <w:sz w:val="16"/>
          <w:szCs w:val="16"/>
        </w:rPr>
        <w:t>ф</w:t>
      </w:r>
      <w:r w:rsidRPr="00A3026E">
        <w:rPr>
          <w:rFonts w:ascii="Times New Roman" w:hAnsi="Times New Roman"/>
          <w:color w:val="0070C0"/>
          <w:sz w:val="16"/>
          <w:szCs w:val="16"/>
          <w:lang w:val="en-US"/>
        </w:rPr>
        <w:t xml:space="preserve">. </w:t>
      </w:r>
      <w:r w:rsidRPr="00A3026E">
        <w:rPr>
          <w:rFonts w:ascii="Times New Roman" w:hAnsi="Times New Roman"/>
          <w:color w:val="0070C0"/>
          <w:sz w:val="16"/>
          <w:szCs w:val="16"/>
        </w:rPr>
        <w:t>р</w:t>
      </w:r>
      <w:r w:rsidRPr="00A3026E">
        <w:rPr>
          <w:rFonts w:ascii="Times New Roman" w:hAnsi="Times New Roman"/>
          <w:color w:val="0070C0"/>
          <w:sz w:val="16"/>
          <w:szCs w:val="16"/>
          <w:lang w:val="en-US"/>
        </w:rPr>
        <w:t xml:space="preserve">. 1678, on. 1, </w:t>
      </w:r>
      <w:r w:rsidRPr="00A3026E">
        <w:rPr>
          <w:rFonts w:ascii="Times New Roman" w:hAnsi="Times New Roman"/>
          <w:color w:val="0070C0"/>
          <w:sz w:val="16"/>
          <w:szCs w:val="16"/>
        </w:rPr>
        <w:t>д</w:t>
      </w:r>
      <w:r w:rsidRPr="00A3026E">
        <w:rPr>
          <w:rFonts w:ascii="Times New Roman" w:hAnsi="Times New Roman"/>
          <w:color w:val="0070C0"/>
          <w:sz w:val="16"/>
          <w:szCs w:val="16"/>
          <w:lang w:val="en-US"/>
        </w:rPr>
        <w:t xml:space="preserve">. 186, </w:t>
      </w:r>
      <w:r w:rsidRPr="00A3026E">
        <w:rPr>
          <w:rFonts w:ascii="Times New Roman" w:hAnsi="Times New Roman"/>
          <w:color w:val="0070C0"/>
          <w:sz w:val="16"/>
          <w:szCs w:val="16"/>
        </w:rPr>
        <w:t>л</w:t>
      </w:r>
      <w:r w:rsidRPr="00A3026E">
        <w:rPr>
          <w:rFonts w:ascii="Times New Roman" w:hAnsi="Times New Roman"/>
          <w:color w:val="0070C0"/>
          <w:sz w:val="16"/>
          <w:szCs w:val="16"/>
          <w:lang w:val="en-US"/>
        </w:rPr>
        <w:t>. 409-438 (20379).</w:t>
      </w:r>
    </w:p>
    <w:p w14:paraId="0C0ED6DB" w14:textId="77777777" w:rsidR="00231063" w:rsidRPr="00A3026E" w:rsidRDefault="00231063" w:rsidP="00A3026E">
      <w:pPr>
        <w:spacing w:after="0" w:line="240" w:lineRule="auto"/>
        <w:jc w:val="both"/>
        <w:rPr>
          <w:rFonts w:ascii="Times New Roman" w:hAnsi="Times New Roman"/>
          <w:color w:val="0070C0"/>
          <w:sz w:val="16"/>
          <w:szCs w:val="16"/>
          <w:lang w:val="en-US"/>
        </w:rPr>
      </w:pPr>
    </w:p>
    <w:p w14:paraId="69BA1F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вышло постановление КО N 441сс "О принятии мотора М-40Ф на вооружение ВВС КА" (К.Е.В., М.Пугаев) (1274).</w:t>
      </w:r>
    </w:p>
    <w:p w14:paraId="2453869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35E1B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И.В.С. и В.М.М. звонили директору завода 29 М.М.Лукину по поводу производства моторов М-88 и М-89 (1178).</w:t>
      </w:r>
    </w:p>
    <w:p w14:paraId="3C50F70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20B9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вышел приказ НКАП N 681с "Об освоении производства мотора АМ-35А на заводе 452 в Днепропетровске" (1312,90).</w:t>
      </w:r>
    </w:p>
    <w:p w14:paraId="47786E8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35693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года постановление № 441сс КО</w:t>
      </w:r>
    </w:p>
    <w:p w14:paraId="06124E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принятии авиамотора М-40Ф на вооружение ВВС</w:t>
      </w:r>
    </w:p>
    <w:p w14:paraId="076BB6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удовлетворительно прошедших госиспытаний авиамотора М-40Ф, КО постановляет:</w:t>
      </w:r>
    </w:p>
    <w:p w14:paraId="4A4E512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правительственной комиссии по госиспытанию мотора М-40ф утвердить.</w:t>
      </w:r>
    </w:p>
    <w:p w14:paraId="398CB6AA"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Принять авиамотор М-40ф на вооружение ВВС.</w:t>
      </w:r>
    </w:p>
    <w:p w14:paraId="66485BA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Наркомтяжмаш – Ефремова и Наркомсредмаш – Акопова обеспечить на Кировском заводе и на ХТЗ выпуск авиамоторов М-40ф в точном соответствии с образцом, прошедшим госиспытания в ЦИАМе (7595, 288).</w:t>
      </w:r>
    </w:p>
    <w:p w14:paraId="00F0922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A52D57E"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декабря 1940 г. вышло Постановление Комитета обороны при СНК СССР № 441сс "О принятии авиамотора М-40ф на вооружение ВВС Красной Армии"</w:t>
      </w:r>
    </w:p>
    <w:p w14:paraId="06D52036"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результате удовлетворительно прошедших государственных испытаний авиамотора М-40ф, Комитет Обороны при СНК Союза ССР ПОСТАНОВЛЯЕТ:</w:t>
      </w:r>
    </w:p>
    <w:p w14:paraId="39417E8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Отчет Правительственной Комиссии по государственному испытанию мотора Ы-40ф утвердить.</w:t>
      </w:r>
    </w:p>
    <w:p w14:paraId="209EC7E6"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Принять авиамотор М-40ф на вооружение ВВС КА.</w:t>
      </w:r>
    </w:p>
    <w:p w14:paraId="06677C6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Обязать Наркомтяжмаш - тов. Ефремова и Наркомсредмаш - тов. Акопова обеспечить на Кировском заводе и на ХТЗ выпуск авиамоторов К—40ф в точном соответствии с образцом, пропедшим государственные испытания в ЦИАМе (22082).</w:t>
      </w:r>
    </w:p>
    <w:p w14:paraId="4B1C3796" w14:textId="77777777" w:rsidR="00231063" w:rsidRPr="00A3026E" w:rsidRDefault="00231063" w:rsidP="00A3026E">
      <w:pPr>
        <w:spacing w:after="0" w:line="240" w:lineRule="auto"/>
        <w:jc w:val="both"/>
        <w:rPr>
          <w:rFonts w:ascii="Times New Roman" w:hAnsi="Times New Roman"/>
          <w:color w:val="0070C0"/>
          <w:sz w:val="16"/>
          <w:szCs w:val="16"/>
        </w:rPr>
      </w:pPr>
    </w:p>
    <w:p w14:paraId="282381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Нач. бюро изобретений тех. отдела НКАП Горев писал Зам. пред. техсовета - Нач. тех. отдела НКАП Тарасевичу Б.Н. докладную записку по вопросу реализации важнейших изобретений Щербакова, Ефремова и Меркулова:</w:t>
      </w:r>
    </w:p>
    <w:p w14:paraId="751A30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Щербаков - герметическая кабина. Представлена на соискание Сталинской премии;</w:t>
      </w:r>
    </w:p>
    <w:p w14:paraId="08B727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Ефремов - реактор (реактивный выхлопной патрубок) для М-62 - дает прирост мощности и скорости;</w:t>
      </w:r>
    </w:p>
    <w:p w14:paraId="758624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Меркулов - реактивное движение. Представлена на соискание Сталинской премии (1170).</w:t>
      </w:r>
    </w:p>
    <w:p w14:paraId="3629711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60DBE88"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декабря 1940 г. вышло Постановление Комитета обороны при СНК СССР 442сс "О дополнительном ассигновании средств Наркомавиапрому на финансирование опытного моторостроения" с приложением</w:t>
      </w:r>
    </w:p>
    <w:p w14:paraId="58530C58"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Комитет Обороны при СПК Союза ССР ПОСТАПОВЛЯЕТ:</w:t>
      </w:r>
    </w:p>
    <w:p w14:paraId="050D7ADE"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Отпустить Наркомавиапрому из резервного фонда СНК Союза ССР дополнительно 10.900.000 рублей на финансирование опытного моторостроения, согласно приложению № 1.</w:t>
      </w:r>
    </w:p>
    <w:p w14:paraId="712F438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Обязать Наркомавиапром к 1 февраля 1941 года предста</w:t>
      </w:r>
      <w:r w:rsidRPr="00A3026E">
        <w:rPr>
          <w:rFonts w:ascii="Times New Roman" w:hAnsi="Times New Roman"/>
          <w:color w:val="0070C0"/>
          <w:sz w:val="16"/>
          <w:szCs w:val="16"/>
        </w:rPr>
        <w:softHyphen/>
        <w:t>вить К.О, при СНК Союза ССР финансовый отчет о расходовании средств по каждому опытному мотору (22083).</w:t>
      </w:r>
    </w:p>
    <w:p w14:paraId="3D3E8AAE" w14:textId="77777777" w:rsidR="00231063" w:rsidRPr="00A3026E" w:rsidRDefault="00231063" w:rsidP="00A3026E">
      <w:pPr>
        <w:spacing w:after="0" w:line="240" w:lineRule="auto"/>
        <w:jc w:val="both"/>
        <w:rPr>
          <w:rFonts w:ascii="Times New Roman" w:hAnsi="Times New Roman"/>
          <w:color w:val="0070C0"/>
          <w:sz w:val="16"/>
          <w:szCs w:val="16"/>
        </w:rPr>
      </w:pPr>
    </w:p>
    <w:p w14:paraId="6EE417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Зам. Нач. НИИ ВВС КА ви1р Лосюков писал письмо N 1/01240 Нач. 7 ГУ д.т.н. Шишкину:</w:t>
      </w:r>
    </w:p>
    <w:p w14:paraId="3F6896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сообщить новые точки по опытному самолетостроению.</w:t>
      </w:r>
    </w:p>
    <w:p w14:paraId="2A5427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Сведения нужны на предмет подготовки развертывания военных представительств." (2090,222).</w:t>
      </w:r>
    </w:p>
    <w:p w14:paraId="796B57B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6101B10" w14:textId="77777777" w:rsidR="00C66762" w:rsidRPr="00A3026E" w:rsidRDefault="00C66762" w:rsidP="00A3026E">
      <w:pPr>
        <w:pStyle w:val="a3"/>
        <w:widowControl/>
        <w:rPr>
          <w:color w:val="000000" w:themeColor="text1"/>
          <w:lang w:val="ru-RU"/>
        </w:rPr>
      </w:pPr>
      <w:r w:rsidRPr="00A3026E">
        <w:rPr>
          <w:color w:val="000000" w:themeColor="text1"/>
          <w:lang w:val="ru-RU"/>
        </w:rPr>
        <w:t>2 декабря 1940 года Вознесенский Н.А.</w:t>
      </w:r>
    </w:p>
    <w:p w14:paraId="52EAEEBB" w14:textId="77777777" w:rsidR="00C66762" w:rsidRPr="00A3026E" w:rsidRDefault="00C66762" w:rsidP="00A3026E">
      <w:pPr>
        <w:pStyle w:val="a3"/>
        <w:widowControl/>
        <w:rPr>
          <w:color w:val="000000" w:themeColor="text1"/>
          <w:lang w:val="ru-RU"/>
        </w:rPr>
      </w:pPr>
      <w:r w:rsidRPr="00A3026E">
        <w:rPr>
          <w:color w:val="000000" w:themeColor="text1"/>
          <w:lang w:val="ru-RU"/>
        </w:rPr>
        <w:t>Промбанк Гроссману – на заключение (срок – декада).</w:t>
      </w:r>
    </w:p>
    <w:p w14:paraId="19D5656F" w14:textId="77777777" w:rsidR="00C66762" w:rsidRPr="00A3026E" w:rsidRDefault="00C66762" w:rsidP="00A3026E">
      <w:pPr>
        <w:pStyle w:val="a3"/>
        <w:widowControl/>
        <w:rPr>
          <w:color w:val="000000" w:themeColor="text1"/>
          <w:lang w:val="ru-RU"/>
        </w:rPr>
      </w:pPr>
      <w:r w:rsidRPr="00A3026E">
        <w:rPr>
          <w:color w:val="000000" w:themeColor="text1"/>
          <w:lang w:val="ru-RU"/>
        </w:rPr>
        <w:t>(НКАП – Шахурин № Н-20/3344). Просит разрешить пересмотреть в сторону увеличения смету на строительство аэродинамической лаборатории МАИ им. С. Орджоникидзе, так как в процессе строительства выявилась необходимость изменения технологического оборудования новейшими приборами и отдельных конструкций здания (3377, 94).</w:t>
      </w:r>
    </w:p>
    <w:p w14:paraId="2AA12393" w14:textId="77777777" w:rsidR="00C66762" w:rsidRPr="00A3026E" w:rsidRDefault="00C66762" w:rsidP="00A3026E">
      <w:pPr>
        <w:pStyle w:val="a3"/>
        <w:widowControl/>
        <w:rPr>
          <w:color w:val="000000" w:themeColor="text1"/>
          <w:lang w:val="ru-RU"/>
        </w:rPr>
      </w:pPr>
    </w:p>
    <w:p w14:paraId="37BF5470"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декабря 1940 г. вышло Постановление Комитета обороны при СНК СССР № 444сс "О принятии на вооружение шлемофонов образца 1940 г. и обеспечении ими ВВС Красной Армии и авиации ВМФ"</w:t>
      </w:r>
    </w:p>
    <w:p w14:paraId="42172FE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целях оснащения ВВС КА к авиации ВВС новыми шлемофонами обр. 1940 года, Комитет Обороны при СНК Союза ССР ПОСТАНОВЛЯЕТ:</w:t>
      </w:r>
    </w:p>
    <w:p w14:paraId="0E952A8D"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Принять на вооружение ВВС Красной Армии и авиации Воен</w:t>
      </w:r>
      <w:r w:rsidRPr="00A3026E">
        <w:rPr>
          <w:rFonts w:ascii="Times New Roman" w:hAnsi="Times New Roman"/>
          <w:color w:val="0070C0"/>
          <w:sz w:val="16"/>
          <w:szCs w:val="16"/>
        </w:rPr>
        <w:softHyphen/>
        <w:t>но-Морского флота шлемофон образца 1940 г. с телефонами "ТА-2" и ларингофонамн "ЛА-2", как успешно прошедший государственные и войсковые испытания.</w:t>
      </w:r>
    </w:p>
    <w:p w14:paraId="0B8E2C3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Наркомлегкрому СССР изготовить в 1941 году для ВВС КА л авиации 50 тыс. шт. зимних и 10 тыс. шт. летних шлемофонов обр.1940г., в том числе:</w:t>
      </w:r>
    </w:p>
    <w:p w14:paraId="68429D9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для НКО - 45 тыс. шт. зимних (из них 10 тыс.шт. только с телефонами и 10 тыс. шт. летних;</w:t>
      </w:r>
    </w:p>
    <w:p w14:paraId="5EA43D09"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для НКВМФ - 5 тыс. шт. зимних.</w:t>
      </w:r>
    </w:p>
    <w:p w14:paraId="5DC66F4A"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Наркомэлектропрому изготовить в 1941 году и поставить Наркомлегпрому СССР 50 тыс. компл. гарнитур к шлемофонам обр. 1940г (телефоны "ТА-2", ларингофоны "ЛА-2", шнуры, раз’емы) и 10 тыс. шт. телефонов ’’ТА-2’', с раз’емами и шнурами в сроки, обеспечиваю</w:t>
      </w:r>
      <w:r w:rsidRPr="00A3026E">
        <w:rPr>
          <w:rFonts w:ascii="Times New Roman" w:hAnsi="Times New Roman"/>
          <w:color w:val="0070C0"/>
          <w:sz w:val="16"/>
          <w:szCs w:val="16"/>
        </w:rPr>
        <w:softHyphen/>
        <w:t>щие нормальную поставку Наркомлегпромом готовых шлемофонов НКО и НКВМФ.</w:t>
      </w:r>
    </w:p>
    <w:p w14:paraId="20A84EBD"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Разрешить Наркомавиапрому поставлять с 1 января 1941 го</w:t>
      </w:r>
      <w:r w:rsidRPr="00A3026E">
        <w:rPr>
          <w:rFonts w:ascii="Times New Roman" w:hAnsi="Times New Roman"/>
          <w:color w:val="0070C0"/>
          <w:sz w:val="16"/>
          <w:szCs w:val="16"/>
        </w:rPr>
        <w:softHyphen/>
        <w:t>да самолеты НКО и HKBМФ без шлемофонов (22084)</w:t>
      </w:r>
    </w:p>
    <w:p w14:paraId="73E16EDD" w14:textId="77777777" w:rsidR="00231063" w:rsidRPr="00A3026E" w:rsidRDefault="00231063" w:rsidP="00A3026E">
      <w:pPr>
        <w:spacing w:after="0" w:line="240" w:lineRule="auto"/>
        <w:jc w:val="both"/>
        <w:rPr>
          <w:rFonts w:ascii="Times New Roman" w:hAnsi="Times New Roman"/>
          <w:color w:val="0070C0"/>
          <w:sz w:val="16"/>
          <w:szCs w:val="16"/>
        </w:rPr>
      </w:pPr>
    </w:p>
    <w:p w14:paraId="2A671C0F"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декабря 1940 г. Письмо народному комиссару авиационной промышленности СССР Шахурину об итогах работы по установке телефонных аппаратов ВЧ связи на авиационных заводах, НКВД СССР сообщает:</w:t>
      </w:r>
    </w:p>
    <w:p w14:paraId="50AC240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Аппараты правительственной ВЧ связи установлены на заводах № 153 в г. Новосибирске, № 292 в г. Саратове, №380 в г. Ленинграде, имени тов. Молотова в г. Горьком1, № 125 в г. Иркутске.</w:t>
      </w:r>
    </w:p>
    <w:p w14:paraId="76EEB2F9"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заводе № 18 в г. Воронеже аппарат ВЧ будет установлен к 05.11.40 по окончании прокладки кабеля от завода до городской телефонной станции.</w:t>
      </w:r>
    </w:p>
    <w:p w14:paraId="3E54EE85"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На заводах НКАП в гг. Уфе, Казани, Таганроге и Комсомольске аппаратов ВЧ установить не можем ввиду отсутствия с этими городами правительственной ВЧ связи.</w:t>
      </w:r>
    </w:p>
    <w:p w14:paraId="5B4F4C1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Кроме этого, установлены кремлевские телефоны на заводах № 1, 22, 24, 32, 39, 213 и ЦАГИ (Раменское).</w:t>
      </w:r>
    </w:p>
    <w:p w14:paraId="0C26FE27" w14:textId="77777777" w:rsidR="00231063" w:rsidRPr="00A3026E" w:rsidRDefault="00231063"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Народный комиссар внутренних дел СССР Берия (20406)</w:t>
      </w:r>
    </w:p>
    <w:p w14:paraId="4EF0D1F1" w14:textId="77777777" w:rsidR="00231063" w:rsidRPr="00A3026E" w:rsidRDefault="00231063" w:rsidP="00A3026E">
      <w:pPr>
        <w:spacing w:after="0" w:line="240" w:lineRule="auto"/>
        <w:jc w:val="both"/>
        <w:rPr>
          <w:rFonts w:ascii="Times New Roman" w:hAnsi="Times New Roman"/>
          <w:color w:val="0070C0"/>
          <w:sz w:val="16"/>
          <w:szCs w:val="16"/>
        </w:rPr>
      </w:pPr>
    </w:p>
    <w:p w14:paraId="02DE86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г. в газете ПРАВДА, № 334 (8380) была заметка, на которую затем ссылался Шпитальный:</w:t>
      </w:r>
    </w:p>
    <w:p w14:paraId="2DDA12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НЬЮ-ЙОРК, 1 декабря. (ТАСС). По со</w:t>
      </w:r>
      <w:r w:rsidRPr="00A3026E">
        <w:rPr>
          <w:rFonts w:ascii="Times New Roman" w:hAnsi="Times New Roman"/>
          <w:color w:val="000000" w:themeColor="text1"/>
          <w:sz w:val="16"/>
          <w:szCs w:val="16"/>
        </w:rPr>
        <w:softHyphen/>
        <w:t>общению агентства Ассошиэйтед Пресс, военное министерство об'явило о поставке первого пятиместнного истребителя нового типа, вооруженного двумя 37-миллиметровыни пушками и пулеметами крупного и нормального калибра. Этотсамолет имеет убирающееся 3-колесное шасси. В осталь</w:t>
      </w:r>
      <w:r w:rsidRPr="00A3026E">
        <w:rPr>
          <w:rFonts w:ascii="Times New Roman" w:hAnsi="Times New Roman"/>
          <w:color w:val="000000" w:themeColor="text1"/>
          <w:sz w:val="16"/>
          <w:szCs w:val="16"/>
        </w:rPr>
        <w:softHyphen/>
        <w:t>ном машина аналогична истребителям, вы</w:t>
      </w:r>
      <w:r w:rsidRPr="00A3026E">
        <w:rPr>
          <w:rFonts w:ascii="Times New Roman" w:hAnsi="Times New Roman"/>
          <w:color w:val="000000" w:themeColor="text1"/>
          <w:sz w:val="16"/>
          <w:szCs w:val="16"/>
        </w:rPr>
        <w:softHyphen/>
        <w:t>пущенным в 1937 г. Два мотора жидтсостного охлаждения типа Аллисон с толкаю</w:t>
      </w:r>
      <w:r w:rsidRPr="00A3026E">
        <w:rPr>
          <w:rFonts w:ascii="Times New Roman" w:hAnsi="Times New Roman"/>
          <w:color w:val="000000" w:themeColor="text1"/>
          <w:sz w:val="16"/>
          <w:szCs w:val="16"/>
        </w:rPr>
        <w:softHyphen/>
        <w:t>щими винтами усталовлены в крыльях.</w:t>
      </w:r>
    </w:p>
    <w:p w14:paraId="2211D3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Фирма «Белл эйркрафт коошен” раз</w:t>
      </w:r>
      <w:r w:rsidRPr="00A3026E">
        <w:rPr>
          <w:rFonts w:ascii="Times New Roman" w:hAnsi="Times New Roman"/>
          <w:color w:val="000000" w:themeColor="text1"/>
          <w:sz w:val="16"/>
          <w:szCs w:val="16"/>
        </w:rPr>
        <w:softHyphen/>
        <w:t>рабатывает новый вариант многоместного истребителя УФМ 1-А «Эракуда».</w:t>
      </w:r>
    </w:p>
    <w:p w14:paraId="20EA7B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 сообщению вашингтонского корреспондента агентства Асоошиэйтед Пресс, командование американской армии об'яви</w:t>
      </w:r>
      <w:r w:rsidRPr="00A3026E">
        <w:rPr>
          <w:rFonts w:ascii="Times New Roman" w:hAnsi="Times New Roman"/>
          <w:color w:val="000000" w:themeColor="text1"/>
          <w:sz w:val="16"/>
          <w:szCs w:val="16"/>
        </w:rPr>
        <w:softHyphen/>
        <w:t>ло об испытаниях одноместного одномотор</w:t>
      </w:r>
      <w:r w:rsidRPr="00A3026E">
        <w:rPr>
          <w:rFonts w:ascii="Times New Roman" w:hAnsi="Times New Roman"/>
          <w:color w:val="000000" w:themeColor="text1"/>
          <w:sz w:val="16"/>
          <w:szCs w:val="16"/>
        </w:rPr>
        <w:softHyphen/>
        <w:t>ного истребителя «Эйракобра». Опыты показали, что новая 37-мм. пушка этого истребителя, стреляющая через втулку винта, дает большую точность огня на дальние дастанции.</w:t>
      </w:r>
    </w:p>
    <w:p w14:paraId="5E9AA1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Американская армия заказала около 100 истребителей типа “Эйркобра” (4156,47).</w:t>
      </w:r>
    </w:p>
    <w:p w14:paraId="6D257A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6C89A58"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декабря 1940 была Справка секретаря Комитета обороны при СНК СССР М. П. Пугаева о выполнении принятых постановлений и о фактическом состоянии работ по телемеханическим самолетам и аппаратуры к ним</w:t>
      </w:r>
    </w:p>
    <w:p w14:paraId="48D602A0"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Постановлением № 42сс от 26.1..1940 г. и № 331сс от 20.7.1940 г. КО обязал НКАП изготовить и сдать в 1940 г. на полигонные испытания НКО и НКВМФ:</w:t>
      </w:r>
    </w:p>
    <w:p w14:paraId="552F9A1A"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телемеханический самолет</w:t>
      </w:r>
      <w:r w:rsidRPr="00A3026E">
        <w:rPr>
          <w:rFonts w:ascii="Times New Roman" w:hAnsi="Times New Roman"/>
          <w:color w:val="0070C0"/>
          <w:sz w:val="16"/>
          <w:szCs w:val="16"/>
        </w:rPr>
        <w:tab/>
        <w:t>ТБ-3 со взлетом без посадки</w:t>
      </w:r>
    </w:p>
    <w:p w14:paraId="1E37B974"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2. </w:t>
      </w:r>
      <w:r w:rsidRPr="00A3026E">
        <w:rPr>
          <w:rFonts w:ascii="Times New Roman" w:hAnsi="Times New Roman"/>
          <w:color w:val="0070C0"/>
          <w:sz w:val="16"/>
          <w:szCs w:val="16"/>
        </w:rPr>
        <w:tab/>
      </w:r>
      <w:r w:rsidRPr="00A3026E">
        <w:rPr>
          <w:rFonts w:ascii="Times New Roman" w:hAnsi="Times New Roman"/>
          <w:color w:val="0070C0"/>
          <w:sz w:val="16"/>
          <w:szCs w:val="16"/>
        </w:rPr>
        <w:tab/>
      </w:r>
      <w:r w:rsidRPr="00A3026E">
        <w:rPr>
          <w:rFonts w:ascii="Times New Roman" w:hAnsi="Times New Roman"/>
          <w:color w:val="0070C0"/>
          <w:sz w:val="16"/>
          <w:szCs w:val="16"/>
        </w:rPr>
        <w:tab/>
        <w:t>СБ</w:t>
      </w:r>
    </w:p>
    <w:p w14:paraId="5AD26118"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w:t>
      </w:r>
      <w:r w:rsidRPr="00A3026E">
        <w:rPr>
          <w:rFonts w:ascii="Times New Roman" w:hAnsi="Times New Roman"/>
          <w:color w:val="0070C0"/>
          <w:sz w:val="16"/>
          <w:szCs w:val="16"/>
        </w:rPr>
        <w:tab/>
      </w:r>
      <w:r w:rsidRPr="00A3026E">
        <w:rPr>
          <w:rFonts w:ascii="Times New Roman" w:hAnsi="Times New Roman"/>
          <w:color w:val="0070C0"/>
          <w:sz w:val="16"/>
          <w:szCs w:val="16"/>
        </w:rPr>
        <w:tab/>
      </w:r>
      <w:r w:rsidRPr="00A3026E">
        <w:rPr>
          <w:rFonts w:ascii="Times New Roman" w:hAnsi="Times New Roman"/>
          <w:color w:val="0070C0"/>
          <w:sz w:val="16"/>
          <w:szCs w:val="16"/>
        </w:rPr>
        <w:tab/>
        <w:t>ТБ-3 со взлетом и посадкой</w:t>
      </w:r>
    </w:p>
    <w:p w14:paraId="53E3BA46"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w:t>
      </w:r>
      <w:r w:rsidRPr="00A3026E">
        <w:rPr>
          <w:rFonts w:ascii="Times New Roman" w:hAnsi="Times New Roman"/>
          <w:color w:val="0070C0"/>
          <w:sz w:val="16"/>
          <w:szCs w:val="16"/>
        </w:rPr>
        <w:tab/>
      </w:r>
      <w:r w:rsidRPr="00A3026E">
        <w:rPr>
          <w:rFonts w:ascii="Times New Roman" w:hAnsi="Times New Roman"/>
          <w:color w:val="0070C0"/>
          <w:sz w:val="16"/>
          <w:szCs w:val="16"/>
        </w:rPr>
        <w:tab/>
      </w:r>
      <w:r w:rsidRPr="00A3026E">
        <w:rPr>
          <w:rFonts w:ascii="Times New Roman" w:hAnsi="Times New Roman"/>
          <w:color w:val="0070C0"/>
          <w:sz w:val="16"/>
          <w:szCs w:val="16"/>
        </w:rPr>
        <w:tab/>
        <w:t>СБ</w:t>
      </w:r>
    </w:p>
    <w:p w14:paraId="626DE020"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w:t>
      </w:r>
      <w:r w:rsidRPr="00A3026E">
        <w:rPr>
          <w:rFonts w:ascii="Times New Roman" w:hAnsi="Times New Roman"/>
          <w:color w:val="0070C0"/>
          <w:sz w:val="16"/>
          <w:szCs w:val="16"/>
        </w:rPr>
        <w:tab/>
      </w:r>
      <w:r w:rsidRPr="00A3026E">
        <w:rPr>
          <w:rFonts w:ascii="Times New Roman" w:hAnsi="Times New Roman"/>
          <w:color w:val="0070C0"/>
          <w:sz w:val="16"/>
          <w:szCs w:val="16"/>
        </w:rPr>
        <w:tab/>
      </w:r>
      <w:r w:rsidRPr="00A3026E">
        <w:rPr>
          <w:rFonts w:ascii="Times New Roman" w:hAnsi="Times New Roman"/>
          <w:color w:val="0070C0"/>
          <w:sz w:val="16"/>
          <w:szCs w:val="16"/>
        </w:rPr>
        <w:tab/>
        <w:t>УТ-2</w:t>
      </w:r>
    </w:p>
    <w:p w14:paraId="2C3C1D84"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w:t>
      </w:r>
      <w:r w:rsidRPr="00A3026E">
        <w:rPr>
          <w:rFonts w:ascii="Times New Roman" w:hAnsi="Times New Roman"/>
          <w:color w:val="0070C0"/>
          <w:sz w:val="16"/>
          <w:szCs w:val="16"/>
        </w:rPr>
        <w:tab/>
      </w:r>
      <w:r w:rsidRPr="00A3026E">
        <w:rPr>
          <w:rFonts w:ascii="Times New Roman" w:hAnsi="Times New Roman"/>
          <w:color w:val="0070C0"/>
          <w:sz w:val="16"/>
          <w:szCs w:val="16"/>
        </w:rPr>
        <w:tab/>
      </w:r>
      <w:r w:rsidRPr="00A3026E">
        <w:rPr>
          <w:rFonts w:ascii="Times New Roman" w:hAnsi="Times New Roman"/>
          <w:color w:val="0070C0"/>
          <w:sz w:val="16"/>
          <w:szCs w:val="16"/>
        </w:rPr>
        <w:tab/>
        <w:t>ДБ-3</w:t>
      </w:r>
    </w:p>
    <w:p w14:paraId="19452E64"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7. </w:t>
      </w:r>
      <w:r w:rsidRPr="00A3026E">
        <w:rPr>
          <w:rFonts w:ascii="Times New Roman" w:hAnsi="Times New Roman"/>
          <w:color w:val="0070C0"/>
          <w:sz w:val="16"/>
          <w:szCs w:val="16"/>
        </w:rPr>
        <w:tab/>
      </w:r>
      <w:r w:rsidRPr="00A3026E">
        <w:rPr>
          <w:rFonts w:ascii="Times New Roman" w:hAnsi="Times New Roman"/>
          <w:color w:val="0070C0"/>
          <w:sz w:val="16"/>
          <w:szCs w:val="16"/>
        </w:rPr>
        <w:tab/>
      </w:r>
      <w:r w:rsidRPr="00A3026E">
        <w:rPr>
          <w:rFonts w:ascii="Times New Roman" w:hAnsi="Times New Roman"/>
          <w:color w:val="0070C0"/>
          <w:sz w:val="16"/>
          <w:szCs w:val="16"/>
        </w:rPr>
        <w:tab/>
        <w:t>гидросамолет</w:t>
      </w:r>
    </w:p>
    <w:p w14:paraId="0E117937"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Командный самолет управления</w:t>
      </w:r>
      <w:r w:rsidRPr="00A3026E">
        <w:rPr>
          <w:rFonts w:ascii="Times New Roman" w:hAnsi="Times New Roman"/>
          <w:color w:val="0070C0"/>
          <w:sz w:val="16"/>
          <w:szCs w:val="16"/>
        </w:rPr>
        <w:tab/>
        <w:t>ДБ-3.</w:t>
      </w:r>
    </w:p>
    <w:p w14:paraId="4F63E003"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w:t>
      </w:r>
      <w:r w:rsidRPr="00A3026E">
        <w:rPr>
          <w:rFonts w:ascii="Times New Roman" w:hAnsi="Times New Roman"/>
          <w:color w:val="0070C0"/>
          <w:sz w:val="16"/>
          <w:szCs w:val="16"/>
        </w:rPr>
        <w:tab/>
      </w:r>
      <w:r w:rsidRPr="00A3026E">
        <w:rPr>
          <w:rFonts w:ascii="Times New Roman" w:hAnsi="Times New Roman"/>
          <w:color w:val="0070C0"/>
          <w:sz w:val="16"/>
          <w:szCs w:val="16"/>
        </w:rPr>
        <w:tab/>
      </w:r>
      <w:r w:rsidRPr="00A3026E">
        <w:rPr>
          <w:rFonts w:ascii="Times New Roman" w:hAnsi="Times New Roman"/>
          <w:color w:val="0070C0"/>
          <w:sz w:val="16"/>
          <w:szCs w:val="16"/>
        </w:rPr>
        <w:tab/>
        <w:t>СБ</w:t>
      </w:r>
    </w:p>
    <w:p w14:paraId="4595B34C"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Фактическое состояние работ по телемеханическим самолетам и радиотелеме- анической аппаратуре характеризуется следующими данными:</w:t>
      </w:r>
    </w:p>
    <w:p w14:paraId="1B0C4D25"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заводу № 379 НКАП (г. Ленинград)</w:t>
      </w:r>
    </w:p>
    <w:p w14:paraId="41F83273"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Телемеханический самолет ТБ-3 со взлетом без посадки. Работы выполнены на 95%. Все телемеханическое оборудование на самолете смонтировано. Самолет проходит заводские летные испытания,</w:t>
      </w:r>
    </w:p>
    <w:p w14:paraId="69B42D7B"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Телемеханический самолет ТБ-3 со взлетом и посадкой. Работы выполнены нa 70%. Аппаратура вся готова и монтируется на самолет. Одновременно производятся полеты на регулировку отдельных приборов.</w:t>
      </w:r>
    </w:p>
    <w:p w14:paraId="4041C15E"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Телемеханический самолет СБ со взлетом без посадки. Работы выполнены на 78.%. Производится монтаж приборов на самолет и полеты для регулировки аппаратуры.</w:t>
      </w:r>
    </w:p>
    <w:p w14:paraId="35A40C64"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Телемеханический самолет СБ со взлетом и посадкой. Подготовлен к полетам на регулировку телемеханической аппаратуры.</w:t>
      </w:r>
    </w:p>
    <w:p w14:paraId="717C189D"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Командные самолеты СБ и ДБ-3. Радиотелемеханическое оборудование изготовлено и прошло стендовые испытания. Самолеты подготовлены к полетам для регулировки оборудования в воздухе.</w:t>
      </w:r>
    </w:p>
    <w:p w14:paraId="40C93965"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проведение работ по телемеханическим самолетам завод № 379 затратил сего 5 млн. 683 тыс.руб., из них:</w:t>
      </w:r>
    </w:p>
    <w:p w14:paraId="02ABA300"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1939 г. - 1 млн.736 тыс.руб.,</w:t>
      </w:r>
    </w:p>
    <w:p w14:paraId="0D98D92C"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1940 г. - 3 млн.948 тыс.руб.</w:t>
      </w:r>
    </w:p>
    <w:p w14:paraId="3BD019DF"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данным 5 ГУ НКАП на завершение работ заводу № 379 нужно еще около 5 млн.руб.</w:t>
      </w:r>
    </w:p>
    <w:p w14:paraId="397D42EC"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НИИ-22 НКАП (г. Ленинград)</w:t>
      </w:r>
    </w:p>
    <w:p w14:paraId="157D3972"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Телемеханический самолет УТ-2 со взлетом и посадкой. Работы выполнены на 90%. Проводятся регулировочные испытания аппаратуры в полете.</w:t>
      </w:r>
    </w:p>
    <w:p w14:paraId="00117880"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Командный самолет СБ. Аппаратура смонтирована на самолете. Производят- я летные испытания на регулировку аппаратуры.</w:t>
      </w:r>
    </w:p>
    <w:p w14:paraId="39486ED0"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Всего по НИИ-22 израсходовано на разработку телемеханический самолетов млн. 412 тыс. рублей.</w:t>
      </w:r>
    </w:p>
    <w:p w14:paraId="2ACFF0C4"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Требуется на завершение работ 500 тыс. руб.</w:t>
      </w:r>
    </w:p>
    <w:p w14:paraId="06545018"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НИИ-22 НКАП (г. Москва)</w:t>
      </w:r>
    </w:p>
    <w:p w14:paraId="6B9167BB" w14:textId="77777777" w:rsidR="003C0EBD" w:rsidRPr="00A3026E" w:rsidRDefault="003C0EB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Ведется разработка 5 комплектов радиотелемеханического оборудования типа Кварц. 3 комплекта радиотелемеханиеского оборудования типа Молния и наземные командные пункты…(22081).</w:t>
      </w:r>
    </w:p>
    <w:p w14:paraId="444567EB" w14:textId="77777777" w:rsidR="003C0EBD" w:rsidRPr="00A3026E" w:rsidRDefault="003C0EBD" w:rsidP="00A3026E">
      <w:pPr>
        <w:spacing w:after="0" w:line="240" w:lineRule="auto"/>
        <w:jc w:val="both"/>
        <w:rPr>
          <w:rFonts w:ascii="Times New Roman" w:hAnsi="Times New Roman"/>
          <w:color w:val="0070C0"/>
          <w:sz w:val="16"/>
          <w:szCs w:val="16"/>
        </w:rPr>
      </w:pPr>
    </w:p>
    <w:p w14:paraId="51C68F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г. всего за полгода до начала Великой Отечественной войны замести</w:t>
      </w:r>
      <w:r w:rsidRPr="00A3026E">
        <w:rPr>
          <w:rFonts w:ascii="Times New Roman" w:hAnsi="Times New Roman"/>
          <w:color w:val="000000" w:themeColor="text1"/>
          <w:sz w:val="16"/>
          <w:szCs w:val="16"/>
        </w:rPr>
        <w:softHyphen/>
        <w:t>тель начальника вооружения и снабжения ГУ ВВС КА так докладывал о причинах некомплекта боеприпасов на нейтральных складах: «РС-132 - некомплект в 11.952 штуки. Складу №311 с начала го</w:t>
      </w:r>
      <w:r w:rsidRPr="00A3026E">
        <w:rPr>
          <w:rFonts w:ascii="Times New Roman" w:hAnsi="Times New Roman"/>
          <w:color w:val="000000" w:themeColor="text1"/>
          <w:sz w:val="16"/>
          <w:szCs w:val="16"/>
        </w:rPr>
        <w:softHyphen/>
        <w:t>да отгружено 13.077 снарядов РС-132 и 5220 дистанционных трубок АГДТ-А-РС-132. Таким образом, фактически не укомплектован!! не 11.952. а 7857 штук ракетных снарядов. Изготовленные трубки имеются на заводе №42, но для их транспортировки не хватает укупорки» (11402).</w:t>
      </w:r>
    </w:p>
    <w:p w14:paraId="498CFC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0AF31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г. был подписан акта результатов стрельбы РБС-203 с самолета ДБ-3б №2412 на земле, установленного на специальном постаменте при поднятом хвостовом оперении до линии полета. Произведено четыре выстрела (с каждого пускового станка по одному снаряду). С внутренних РО-203 - при работающих моторах. Стрельбу проводили военинженср 3 Г.И.Мельников, ведущий летчик капитан П.П.Попов, инженер по эксплуатации АВ УА ВМФ воснинженер 3 ранга В.И.Козлов в присутст</w:t>
      </w:r>
      <w:r w:rsidRPr="00A3026E">
        <w:rPr>
          <w:rFonts w:ascii="Times New Roman" w:hAnsi="Times New Roman"/>
          <w:color w:val="000000" w:themeColor="text1"/>
          <w:sz w:val="16"/>
          <w:szCs w:val="16"/>
        </w:rPr>
        <w:softHyphen/>
        <w:t>вии профессора Ю.А. Победоносцева. После стрельбы незначительно обгорела краска и сорваны перкалевые ленты на несущих баках, а при опущенных, элеронах повреждены нервюра, стрингер и обшивка плоско</w:t>
      </w:r>
      <w:r w:rsidRPr="00A3026E">
        <w:rPr>
          <w:rFonts w:ascii="Times New Roman" w:hAnsi="Times New Roman"/>
          <w:color w:val="000000" w:themeColor="text1"/>
          <w:sz w:val="16"/>
          <w:szCs w:val="16"/>
        </w:rPr>
        <w:softHyphen/>
        <w:t>сти. Концевая часть нервюры у смотрового люка имеет легкую деформацию. Выводы: необходимо усилить 4-ю секцию элеронов на обеих плос</w:t>
      </w:r>
      <w:r w:rsidRPr="00A3026E">
        <w:rPr>
          <w:rFonts w:ascii="Times New Roman" w:hAnsi="Times New Roman"/>
          <w:color w:val="000000" w:themeColor="text1"/>
          <w:sz w:val="16"/>
          <w:szCs w:val="16"/>
        </w:rPr>
        <w:softHyphen/>
        <w:t>костях, усилить место крепления концевой части нервюры правой плос</w:t>
      </w:r>
      <w:r w:rsidRPr="00A3026E">
        <w:rPr>
          <w:rFonts w:ascii="Times New Roman" w:hAnsi="Times New Roman"/>
          <w:color w:val="000000" w:themeColor="text1"/>
          <w:sz w:val="16"/>
          <w:szCs w:val="16"/>
        </w:rPr>
        <w:softHyphen/>
        <w:t>кости, поставить дополнительный болт Уэна на ленту щелевого обтека</w:t>
      </w:r>
      <w:r w:rsidRPr="00A3026E">
        <w:rPr>
          <w:rFonts w:ascii="Times New Roman" w:hAnsi="Times New Roman"/>
          <w:color w:val="000000" w:themeColor="text1"/>
          <w:sz w:val="16"/>
          <w:szCs w:val="16"/>
        </w:rPr>
        <w:softHyphen/>
        <w:t>теля четвертой группы бензобаков левого крыла.</w:t>
      </w:r>
    </w:p>
    <w:p w14:paraId="1C0A07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Далее последовала длительная переписка между ВВС РККА и АУ К.ВМФ. в которой первые провели курс «ликвидации безграмотности» последних. В качестве компромисса, начальник 3-го управления ГУАС КА военинженер 1 ранга Никонов с подачи начальника НИПАВ предложил использовать бомбардировщик моряков, оборудованный ракетными орудиями РО-203, для отработки части программы испытаний РОФС-203. Дело в том, что некоторые из затребованных АУ РКВМФ баллистических параметров РБС-203 были идентичны РОФС. Однако на НИПАВ не было дальнего бомбардировщика ДБ-3 для воздушной стрельбы снарядами крупного калибра (их отстреливали по две штуки со скоростного бомбардировщика СБ). При этом ограниченное количе</w:t>
      </w:r>
      <w:r w:rsidRPr="00A3026E">
        <w:rPr>
          <w:rFonts w:ascii="Times New Roman" w:hAnsi="Times New Roman"/>
          <w:color w:val="000000" w:themeColor="text1"/>
          <w:sz w:val="16"/>
          <w:szCs w:val="16"/>
        </w:rPr>
        <w:softHyphen/>
        <w:t>ство РБС не позволяло набрать необходимой статистики для 203-мм снарядов (11402).</w:t>
      </w:r>
    </w:p>
    <w:p w14:paraId="47D1DF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974716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3301180"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EC1448B"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декабря 1940 г. 50-мм ротный миномет с газоотводным краном актом Комиссии был допущен к полигонным испытаниям. Комиссией отмечалось преимущество этой системы относительно 50-РМ-1940 г. в части применения газоотведения, увеличенных размеров опорной плиты, которая была более простой в изготовлении, и повышенной начальной скорости. На полигонные испытания данный опытный образец был направлен с новой плитой (ранее решением Технического совета НКВ для миномета с газоотводным краном было предложено использовать плиту от миномета «Москит») (20074).</w:t>
      </w:r>
    </w:p>
    <w:p w14:paraId="576F821B" w14:textId="77777777" w:rsidR="00E043DA" w:rsidRPr="00A3026E" w:rsidRDefault="00E043DA" w:rsidP="00A3026E">
      <w:pPr>
        <w:autoSpaceDE w:val="0"/>
        <w:autoSpaceDN w:val="0"/>
        <w:adjustRightInd w:val="0"/>
        <w:spacing w:after="0" w:line="240" w:lineRule="auto"/>
        <w:jc w:val="both"/>
        <w:rPr>
          <w:rFonts w:ascii="Times New Roman" w:hAnsi="Times New Roman"/>
          <w:color w:val="0070C0"/>
          <w:sz w:val="16"/>
          <w:szCs w:val="16"/>
        </w:rPr>
      </w:pPr>
    </w:p>
    <w:p w14:paraId="461C5077"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г. заместитель начальника ГАБТУ КА И.А. Лебедев в </w:t>
      </w:r>
      <w:hyperlink r:id="rId133" w:tgtFrame="_blank" w:history="1">
        <w:r w:rsidRPr="00A3026E">
          <w:rPr>
            <w:rStyle w:val="a5"/>
            <w:rFonts w:ascii="Times New Roman" w:hAnsi="Times New Roman"/>
            <w:color w:val="000000" w:themeColor="text1"/>
            <w:sz w:val="16"/>
            <w:szCs w:val="16"/>
          </w:rPr>
          <w:t>письме № 77287с</w:t>
        </w:r>
      </w:hyperlink>
      <w:r w:rsidRPr="00A3026E">
        <w:rPr>
          <w:rFonts w:ascii="Times New Roman" w:hAnsi="Times New Roman"/>
          <w:color w:val="000000" w:themeColor="text1"/>
          <w:sz w:val="16"/>
          <w:szCs w:val="16"/>
        </w:rPr>
        <w:t>сообщил заместителю народного комиссара обороны СССР Г.И. Кулику, что считает возможным принять 143 танка Т-34 с максимальным углом возвышения пушки в 25° (без переделок башни). Резолюция Г.И. Кулика на этом письме была краткой – «Разрешаю». </w:t>
      </w:r>
    </w:p>
    <w:p w14:paraId="4747AD76"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решении Г.И. Кулика принять 143 танка Т-34 с максимальным углом возвышения пушки Л-11 в 25°, вместо 30°, ГАБТУ КА незамедлительно уведомило народный комиссариат среднего машиностроения и военную приемку на заводе № 183. В завершении рассмотрения этого вопроса необходимо отметить, что из переписки руководителей заводов № 183 и Мариупольского (письма </w:t>
      </w:r>
      <w:hyperlink r:id="rId134" w:tgtFrame="_blank" w:history="1">
        <w:r w:rsidRPr="00A3026E">
          <w:rPr>
            <w:rStyle w:val="a5"/>
            <w:rFonts w:ascii="Times New Roman" w:hAnsi="Times New Roman"/>
            <w:color w:val="000000" w:themeColor="text1"/>
            <w:sz w:val="16"/>
            <w:szCs w:val="16"/>
          </w:rPr>
          <w:t>№ СО6466</w:t>
        </w:r>
      </w:hyperlink>
      <w:r w:rsidRPr="00A3026E">
        <w:rPr>
          <w:rFonts w:ascii="Times New Roman" w:hAnsi="Times New Roman"/>
          <w:color w:val="000000" w:themeColor="text1"/>
          <w:sz w:val="16"/>
          <w:szCs w:val="16"/>
        </w:rPr>
        <w:t> и </w:t>
      </w:r>
      <w:hyperlink r:id="rId135" w:tgtFrame="_blank" w:history="1">
        <w:r w:rsidRPr="00A3026E">
          <w:rPr>
            <w:rStyle w:val="a5"/>
            <w:rFonts w:ascii="Times New Roman" w:hAnsi="Times New Roman"/>
            <w:color w:val="000000" w:themeColor="text1"/>
            <w:sz w:val="16"/>
            <w:szCs w:val="16"/>
          </w:rPr>
          <w:t>№ 61с</w:t>
        </w:r>
      </w:hyperlink>
      <w:r w:rsidRPr="00A3026E">
        <w:rPr>
          <w:rFonts w:ascii="Times New Roman" w:hAnsi="Times New Roman"/>
          <w:color w:val="000000" w:themeColor="text1"/>
          <w:sz w:val="16"/>
          <w:szCs w:val="16"/>
        </w:rPr>
        <w:t>) следует, что вина в сложившейся ситуации была обоюдной (18206).</w:t>
      </w:r>
    </w:p>
    <w:p w14:paraId="23D6659B" w14:textId="77777777" w:rsidR="006A4A15" w:rsidRPr="00A3026E" w:rsidRDefault="006A4A15" w:rsidP="00A3026E">
      <w:pPr>
        <w:spacing w:after="0" w:line="240" w:lineRule="auto"/>
        <w:jc w:val="both"/>
        <w:rPr>
          <w:rFonts w:ascii="Times New Roman" w:hAnsi="Times New Roman"/>
          <w:color w:val="000000" w:themeColor="text1"/>
          <w:sz w:val="16"/>
          <w:szCs w:val="16"/>
        </w:rPr>
      </w:pPr>
    </w:p>
    <w:p w14:paraId="7304A7B3"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г.</w:t>
      </w:r>
    </w:p>
    <w:p w14:paraId="14A2674E"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1182 лист 91 – 92 </w:t>
      </w:r>
    </w:p>
    <w:p w14:paraId="3561D6C1"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05788588"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1 </w:t>
      </w:r>
    </w:p>
    <w:p w14:paraId="7BA75698"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Декабря 1940 г. </w:t>
      </w:r>
    </w:p>
    <w:p w14:paraId="5DB1FB28"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77287с </w:t>
      </w:r>
    </w:p>
    <w:p w14:paraId="0FFD03C7"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ЗАМЕСТИТЕЛЮ НАРОДНОГО КОМИССАРА ОБОРОНЫ СОЮЗА ССР</w:t>
      </w:r>
    </w:p>
    <w:p w14:paraId="78869F63"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МАРШАЛУ СОВЕТСКОГО СОЮЗА тов. КУЛИК.</w:t>
      </w:r>
    </w:p>
    <w:p w14:paraId="5F9D9EB6"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Докладываю по письму Зам. Народного Комиссара Среднего Машиностроения тов. ГОРЕГЛЯД о приемке 143 танков Т-34 с углом возвышения системы 25°. </w:t>
      </w:r>
    </w:p>
    <w:p w14:paraId="3CDE8ECC"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В первоначальном решении КО (№ 45сс от 27.2.39) был утвержден угол возвышения системы 25 – 30°. Первые два опытных танка Т-34 изготовлены с углом возвышения 25°. Комиссия по войсковым испытаниям потребовала увеличить угол до 30°, что утверждено Народным Комиссаром Обороны 31.5.40 г. </w:t>
      </w:r>
    </w:p>
    <w:p w14:paraId="41190A6A"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2. Заводы № 183 и Мариупольский им. Ильича своевременно не обеспечили выполнение указанных требований, в результате чего 143 башни оказались изготовленными с амбразурой, дающей угол возвышения 25°. </w:t>
      </w:r>
    </w:p>
    <w:p w14:paraId="78B16A55"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Постановлением КО № 428сс от 19.11.40 г. утвержден угол возвышения 30°, что заводами принято к исполнению. </w:t>
      </w:r>
    </w:p>
    <w:p w14:paraId="49493950"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Для доводки угла до 30°, необходимо в указанных башнях шлифовальными камнями снять до 20 мм металла (брони), что потребует значительного времени и больших затрат. </w:t>
      </w:r>
    </w:p>
    <w:p w14:paraId="19288469"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Считаю возможным согласиться с предложением тов. Горегляд и принять указанные 143 башни без переделок, с углом возвышения системы до 25°, так как это существенного значения не имеет. </w:t>
      </w:r>
    </w:p>
    <w:p w14:paraId="426C7B86"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Прошу Вашего согласия. </w:t>
      </w:r>
    </w:p>
    <w:p w14:paraId="56CB932D"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Приложение: Письмо НКСМ за 25/9748 на 1 листе. </w:t>
      </w:r>
    </w:p>
    <w:p w14:paraId="5ADA1AD5"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НАЧАЛЬНИКА ГАБТУ КРАСНОЙ АРМИИ ГЕНЕРАЛ-МАЙОР ТЕХНИЧЕСКИХ ВОЙСК подпись (ЛЕБЕДЕВ)</w:t>
      </w:r>
    </w:p>
    <w:p w14:paraId="7C445662"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2 экз. </w:t>
      </w:r>
    </w:p>
    <w:p w14:paraId="64B2FB37"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Афонин </w:t>
      </w:r>
    </w:p>
    <w:p w14:paraId="415C5282"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2.12.1940 г. № 1482 </w:t>
      </w:r>
    </w:p>
    <w:p w14:paraId="0DD623CA"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документе резолюция Г.И. Кулика: «Разрешаю. 3.12.40» (18221).</w:t>
      </w:r>
    </w:p>
    <w:p w14:paraId="6B27B8B3" w14:textId="77777777" w:rsidR="006A4A15" w:rsidRPr="00A3026E" w:rsidRDefault="006A4A15" w:rsidP="00A3026E">
      <w:pPr>
        <w:spacing w:after="0" w:line="240" w:lineRule="auto"/>
        <w:jc w:val="both"/>
        <w:rPr>
          <w:rFonts w:ascii="Times New Roman" w:hAnsi="Times New Roman"/>
          <w:color w:val="000000" w:themeColor="text1"/>
          <w:sz w:val="16"/>
          <w:szCs w:val="16"/>
        </w:rPr>
      </w:pPr>
    </w:p>
    <w:p w14:paraId="6DE58D55"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w:t>
      </w:r>
    </w:p>
    <w:p w14:paraId="1A6BDBB6"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ЦАМО Фонд 38 Опись 11355 Дело 32 лист 151 с об. </w:t>
      </w:r>
    </w:p>
    <w:p w14:paraId="36D882E6"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2B228AB9"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1 </w:t>
      </w:r>
    </w:p>
    <w:p w14:paraId="67309486"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Исх. № 697с </w:t>
      </w:r>
    </w:p>
    <w:p w14:paraId="4DBED728"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2/ХII-40 г. </w:t>
      </w:r>
    </w:p>
    <w:p w14:paraId="2D510AC0"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4 ОТДЕЛА БТУ КА</w:t>
      </w:r>
    </w:p>
    <w:p w14:paraId="19162CD6"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ВОЕНИНЖЕНЕРУ 2 РАНГА тов. МУХИНУ</w:t>
      </w:r>
    </w:p>
    <w:p w14:paraId="02C2D35B"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ОПЕРАТИВНАЯ СВОДКА</w:t>
      </w:r>
    </w:p>
    <w:p w14:paraId="0732F3B9"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выполнении заводом № 183 им. КОМИНТЕРНА заказа АБТУ РККА</w:t>
      </w:r>
    </w:p>
    <w:p w14:paraId="48BCB363"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 НОЯБРЬ месяц 1940 год. </w:t>
      </w:r>
    </w:p>
    <w:p w14:paraId="0A3AA9C3"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ПО МАШИНАМ БТ-7М.</w:t>
      </w:r>
    </w:p>
    <w:p w14:paraId="078F4901"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В заделе ничего нет и в производство не запущено. </w:t>
      </w:r>
    </w:p>
    <w:p w14:paraId="1EF05075"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ПО МАШИНАМ Т-34.</w:t>
      </w:r>
    </w:p>
    <w:p w14:paraId="044B489D"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В Ноябре с.г. предъявлено на испытание большим пробегом 34 машины, из них: </w:t>
      </w:r>
    </w:p>
    <w:p w14:paraId="572D53AD"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Ноябрьской сборки 25 машин и Октябрьской сборки предъявлены вторично 9 машин. Из числа 25 Ноябрьских машин принято с одного пробега 22, со второго пробега 2 маш. и 1 не принята, требует повторный пробег, кроме этого из общего количества предъявленных испытано контрольным пробегом 9 машин. </w:t>
      </w:r>
    </w:p>
    <w:p w14:paraId="00EFE6DF"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Повторным и контрольными пробегами машины испытывались в основном по дефектам коробки передач как то: </w:t>
      </w:r>
    </w:p>
    <w:p w14:paraId="0E78B662"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Заедание подвижных шестерен на шлицах валов. </w:t>
      </w:r>
    </w:p>
    <w:p w14:paraId="47F97803"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Сколы цементационного слоя на зубьях шестерен. </w:t>
      </w:r>
    </w:p>
    <w:p w14:paraId="487DE916"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Замена материала главного вала не исключила окончательно появления заеданий подвижных шестерен КПП. В настоящее время изменен режим термообработки ступицы шестерен при котором, по мнению металлурга, заедание прекратится (результаты этого изменения в пробегах достаточно не проверены). </w:t>
      </w:r>
    </w:p>
    <w:p w14:paraId="2163D8FF"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Для обеспечения лучшего переключения передач в гл. фрикционе отменен сальник на ведомом барабане и введено отражательное кольцо, что значительно улучшило переключение. Окончательно может быть решен вопрос по этим дефектам конструктивным изменением главного фрикциона и коробки передач. </w:t>
      </w:r>
    </w:p>
    <w:p w14:paraId="0E88669D"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Кроме принятых 83 машин имеется в заделе: </w:t>
      </w:r>
    </w:p>
    <w:p w14:paraId="21D53C73"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Под окраской и окончательной укомплектовкой – 5 машин </w:t>
      </w:r>
    </w:p>
    <w:p w14:paraId="0C7CD016"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Принято ОТК под окраску, но не предъявлено приемке ГАБТУ КА из-за отсутствия гусениц – 5 машин </w:t>
      </w:r>
    </w:p>
    <w:p w14:paraId="2B479A56"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Испытано пробегом, установлено и сдано АУ КА вооружение – 6 машин </w:t>
      </w:r>
    </w:p>
    <w:p w14:paraId="74F88D83"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Испытано пробегом, находится под установкой вооружения – 8 машин </w:t>
      </w:r>
    </w:p>
    <w:p w14:paraId="7E59C43C"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Испытано пробегом, находится на подготовке к монтажу вооружения – 18 машин </w:t>
      </w:r>
    </w:p>
    <w:p w14:paraId="54CA367E"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Испытано заводским пробегом, на подготовке к большому пробегу – 3 машины </w:t>
      </w:r>
    </w:p>
    <w:p w14:paraId="6C9973FC"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ж) Собрано, но не испытывается пробегом из-за отсутствия башен – 34 машины </w:t>
      </w:r>
    </w:p>
    <w:p w14:paraId="5603802F"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 В стадии сборки на конвейере – 11 машин </w:t>
      </w:r>
    </w:p>
    <w:p w14:paraId="5F596BCE"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В ЗАДЕЛЕ: 90 машин. </w:t>
      </w:r>
    </w:p>
    <w:p w14:paraId="0489AAC9"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Обеспеченность по бронедеталям, корпусам и башням от начала производства: </w:t>
      </w:r>
    </w:p>
    <w:p w14:paraId="3069988B"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Получено бронедеталей корпуса с з-да им. "ИЛЬИЧА" – 307 комплектов </w:t>
      </w:r>
    </w:p>
    <w:p w14:paraId="5E0DD6D3"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Получено бронедеталей башни с з-да им. "ИЛЬИЧА" – 246 комплектов </w:t>
      </w:r>
    </w:p>
    <w:p w14:paraId="53F73DAF"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Собрано корпусов – 202 комплекта </w:t>
      </w:r>
    </w:p>
    <w:p w14:paraId="4F064508"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Собрано башен – 160 комплектов </w:t>
      </w:r>
    </w:p>
    <w:p w14:paraId="3E93114F"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В заделе в разных стадиях корпусов – 44 комплекта </w:t>
      </w:r>
    </w:p>
    <w:p w14:paraId="2B0BCF87"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В заделе в разных стадиях башен – 38 комплектов </w:t>
      </w:r>
    </w:p>
    <w:p w14:paraId="7F2540FC"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 числа собранных передано заводу "СТЗ" корпусов – 24, башен – 24. </w:t>
      </w:r>
    </w:p>
    <w:p w14:paraId="533B06AC"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Сначала Декабря по указанию Наркома Среднего Машиностроения корпуса и башни будут отправляться на завод "СТЗ", что может привести к остановке конвейера. </w:t>
      </w:r>
    </w:p>
    <w:p w14:paraId="1A7BC988"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Состояние не отправленных машин: </w:t>
      </w:r>
    </w:p>
    <w:p w14:paraId="19EF201B"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Принято всего – 83, отправлено – 45. </w:t>
      </w:r>
    </w:p>
    <w:p w14:paraId="05AF5A0B"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 числа оставшихся на заводе: </w:t>
      </w:r>
    </w:p>
    <w:p w14:paraId="331E0E3F"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Окончательно принято и запломбировано в ожидании транспорта – 27 </w:t>
      </w:r>
    </w:p>
    <w:p w14:paraId="23154DD9"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Сдано под окраску – 4 </w:t>
      </w:r>
    </w:p>
    <w:p w14:paraId="035831D6"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В стадии установки и сдачи вооружении – 6 </w:t>
      </w:r>
    </w:p>
    <w:p w14:paraId="697C9477"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На модернизации после возвращения из ЛВО от Начальника Инженерной службы – 1 </w:t>
      </w:r>
    </w:p>
    <w:p w14:paraId="6B587C22"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ПРИМЕЧАНИЕ: Все 11 машин ранее оплачены без вооружения. </w:t>
      </w:r>
    </w:p>
    <w:p w14:paraId="3C9F1B90"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СОСТОЯНИЕ ПО ВООРУЖЕНИЮ И ОПТИКЕ </w:t>
      </w:r>
    </w:p>
    <w:p w14:paraId="3EF13CDA"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СИСТЕМА Л-11. </w:t>
      </w:r>
    </w:p>
    <w:p w14:paraId="47B8535B"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Всего получено на завод – 160 </w:t>
      </w:r>
    </w:p>
    <w:p w14:paraId="0562B3F0"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Отправлено – 39 </w:t>
      </w:r>
    </w:p>
    <w:p w14:paraId="369DA48D"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Остаток на заводе – 121 из них: </w:t>
      </w:r>
    </w:p>
    <w:p w14:paraId="58BE8F0F"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Принято на машинах – 45 </w:t>
      </w:r>
    </w:p>
    <w:p w14:paraId="21832A7D"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На монтаже в машину – 21 </w:t>
      </w:r>
    </w:p>
    <w:p w14:paraId="4001B070"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В цехах на подготовке к монтажу – 15 </w:t>
      </w:r>
    </w:p>
    <w:p w14:paraId="1BDA86EA"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ж) На складе завода – 40 </w:t>
      </w:r>
    </w:p>
    <w:p w14:paraId="29768AC3"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НОЖНЫЕ СПУСКИ. </w:t>
      </w:r>
    </w:p>
    <w:p w14:paraId="43B626D1"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Всего получено на завод – 327 </w:t>
      </w:r>
    </w:p>
    <w:p w14:paraId="3DFC00CF"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Отправлено на машинах – 43 </w:t>
      </w:r>
    </w:p>
    <w:p w14:paraId="07B7D9B9"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В работе в цехах завода – 88 </w:t>
      </w:r>
    </w:p>
    <w:p w14:paraId="33283D7D"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На складе завода – 196 </w:t>
      </w:r>
    </w:p>
    <w:p w14:paraId="29CBAF7D"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ОПТИЧЕСКИЕ ПРИБОРЫ ПТ-6 и ТОД-6. </w:t>
      </w:r>
    </w:p>
    <w:p w14:paraId="06182867"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Всего получено на завод – 93 комплекта. </w:t>
      </w:r>
    </w:p>
    <w:p w14:paraId="67D2B0A9"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Отправлено с машинами – 43 комплекта </w:t>
      </w:r>
    </w:p>
    <w:p w14:paraId="18D03AE8"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Установлено на машины – 50 комплектов. </w:t>
      </w:r>
    </w:p>
    <w:p w14:paraId="0770A542"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Для дальнейшей установки на готовые уже машины приборов нет. </w:t>
      </w:r>
    </w:p>
    <w:p w14:paraId="078099B1"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5. ОСНОВНЫЕ ПРИЧИНЫ, ВЛИЯЮЩИЕ НА СБОРКУ И ОКОНЧАТЕЛЬНУЮ СДАЧУ МАШИН. </w:t>
      </w:r>
    </w:p>
    <w:p w14:paraId="6B94BE11"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В отделе "700" вследствие реконструкции цехов, не полного оснащения и поступления бронедеталей от з-да "ИЛЬИЧА" с отступлением от чертежей, цикл изготовления корпуса и башни не сокращается, и кроме того корпуса и башни подаются в сборочные цеха с отступлениями. </w:t>
      </w:r>
    </w:p>
    <w:p w14:paraId="444C76CE"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На конвейере отсутствуют башни, не своевременно обеспечены переделки корпусов под рацию, не подача балансиров из-за отсутствия заготовок, подача дефектных радиаторов завода "ЗИС", брак картеров поворотного механизма по литейным порокам, обнаруживаемых при механической обработке (поставщик СТЗ) и т.д. </w:t>
      </w:r>
    </w:p>
    <w:p w14:paraId="44769494"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По сдаточному цеху большие подгоночные работы по амбразуре башни (ввиду отступления на заводе "ИЛЬИЧА"), отсутствие гусеницы, отсутствие шпор, дефекты по коробке передач и главному фрикциону, вызывающие повторные контрольные пробеги. </w:t>
      </w:r>
    </w:p>
    <w:p w14:paraId="142EC025"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ПО ЗАПЧАСТЯМ.</w:t>
      </w:r>
    </w:p>
    <w:p w14:paraId="608DFEC4"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Ход выполнения номенклатуры БТУ КА на IV-й квартал для Рембаз № 6, 7 и 3: </w:t>
      </w:r>
    </w:p>
    <w:p w14:paraId="42738F4D"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Завод номенклатуры запчастей на IV-й квартал не принял, поставку производит исключительно тех деталей и механизмов, которые обеспечены заготовками, материалом и не тормозят выполнения основной программы по машине Т-34. </w:t>
      </w:r>
    </w:p>
    <w:p w14:paraId="664D5E9A"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Номенклатура и количество, сдаваемое заводом сверх договора оплачивается в 3 отделе ГАБТУ КА по отдельным счетам, входящие же запчасти в договорную стоимость оплачиваются на месте. Суммарное выполнение в тыс. руб. на 1/XII-40 г. приводится в таблице ниже сего (без учета оплаченных счетов в 3 отдел ГАБТУ КА). </w:t>
      </w:r>
    </w:p>
    <w:p w14:paraId="41332DC9"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Подготовка материалов для заказа запчастей на 1941 год. </w:t>
      </w:r>
    </w:p>
    <w:p w14:paraId="63704AD0"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Ведомость запчастей по Т-34, полученная с БТУ КА заводом, находится в проработке и калькуляции, уточняется номенклатура, комплекты и количества. </w:t>
      </w:r>
    </w:p>
    <w:p w14:paraId="65F302C0"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По БТ завод принимает на изготовление запчасти только в объеме известной Вам ведомости Главка (заимствованная на машину Т-34) и небольшое количество деталей, идущих на БТ, как то: траки, конические шестерни и картера коробки перемены передач. </w:t>
      </w:r>
    </w:p>
    <w:p w14:paraId="36BD5CE3"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СВОДКУ СОСТАВИЛ: ВОЕНПРЕД ГАБТУ КА КАПИТАН подпись (РУСАКОВ)</w:t>
      </w:r>
    </w:p>
    <w:p w14:paraId="19A141D7" w14:textId="77777777" w:rsidR="006A4A15" w:rsidRPr="00A3026E" w:rsidRDefault="006A4A1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СВОДКУ ПРОВЕРИЛ: РАЙОННЫЙ ИНЖЕНЕР ГАБТУ КА ВОЕНИНЖЕНЕР 2 РАНГА подпись (КОЗЫРЕВ) (18224).</w:t>
      </w:r>
    </w:p>
    <w:p w14:paraId="5A67929F" w14:textId="77777777" w:rsidR="006A4A15" w:rsidRPr="00A3026E" w:rsidRDefault="006A4A15" w:rsidP="00A3026E">
      <w:pPr>
        <w:spacing w:after="0" w:line="240" w:lineRule="auto"/>
        <w:jc w:val="both"/>
        <w:rPr>
          <w:rFonts w:ascii="Times New Roman" w:hAnsi="Times New Roman"/>
          <w:color w:val="000000" w:themeColor="text1"/>
          <w:sz w:val="16"/>
          <w:szCs w:val="16"/>
        </w:rPr>
      </w:pPr>
    </w:p>
    <w:p w14:paraId="5270BC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года вышел приказ № 392 НКВ:</w:t>
      </w:r>
    </w:p>
    <w:p w14:paraId="49FB38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передачи Венюковского завода с 1 декабря 1940 года из системы НКОМ в систему НКВ …………</w:t>
      </w:r>
    </w:p>
    <w:p w14:paraId="45A849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Приемку завода произвести в соответствии с Постановлением СНК от 15 февраля 1936 года и от 2 марта 1938 года (9190).</w:t>
      </w:r>
    </w:p>
    <w:p w14:paraId="641F7EC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74FD869"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3D2E037E"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948E0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 декабря 1940 прошло совещание руководящего состава ВМФ по повышению боеготовности (3186).</w:t>
      </w:r>
    </w:p>
    <w:p w14:paraId="6BD2AB0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BF8852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581855C6"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89F60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 декабря 1940 прошли оперативно-стратегические игры в штабе германского ВГК по плану нападения на СССР (3186).</w:t>
      </w:r>
    </w:p>
    <w:p w14:paraId="5542103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27585D7"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испанский диктатор генерал Франко подписал финансовый договор с Англией (4962).</w:t>
      </w:r>
    </w:p>
    <w:p w14:paraId="519C8436"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C88F6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греки захватили в плен 5000 итальянцев (2244,8).</w:t>
      </w:r>
    </w:p>
    <w:p w14:paraId="2D588E5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959546E"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3308DBF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5EBBB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декабря 1940 было подготовлено письмо начальника НИИ А.И.Филина зам. начальника ГУ ВВС Астахову "Согласно решению Московского Комитета, состоявшемуся 17 января 1939, на самолете БШ-2 должна устанавливаться радиостанция истребительного типа. По ТТТ, утвержденным 29 января 1939, на самолете также должна устанавливаться радиостанция истребительного типа. Самолет БШ-2 в 2-х местном варианте будет выпущен в небольших количествах, а в массовое серийное производство пойдет вариант одноместный, на котором разместится РСИ-4 с дальностью 100 км на высоте 1000 м. 2-х местный вариант предполагается испытать в частях ВВС КА для выявления летных свойств, но подписано было 21 декабря (771,1).</w:t>
      </w:r>
    </w:p>
    <w:p w14:paraId="6F80E6A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F1DBA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декабря 1940 Зам. нач. 7 ГУ С.Н.Шишкин писал Докладную записку N 54/2522 Наркому А.И.Ш.:</w:t>
      </w:r>
    </w:p>
    <w:p w14:paraId="728DBF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"Сообщаю, что форсировать постройку самолета ОПБ конструкции Кочеригина на заводе 156 можно лишь в ущерб постройке самолетов 102 и 103 конструкции ОТБ НКВД, что нецелесообразно, т.б., что для данного самолета мотор - М-90 будет не раньше июня 1941.</w:t>
      </w:r>
    </w:p>
    <w:p w14:paraId="42FB6B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возможным передать постройку одного экз. ОПБ и агрегатов для стат. испытаний на завод 288, который может изготовить его с техпомощью завода 156, скорее, чем завод 156 (примерно к маю-июню 1941).</w:t>
      </w:r>
    </w:p>
    <w:p w14:paraId="4260AC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этот вопрос прорабатывается специалистами этих заводов.</w:t>
      </w:r>
    </w:p>
    <w:p w14:paraId="11BAA3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 Кочеригин возражает против передачи, считая, что завод 156 все же скорее построит машину.</w:t>
      </w:r>
    </w:p>
    <w:p w14:paraId="4025EF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Радикальное решение вопроса о базе для работ Кочеригина я вижу в организации для него скромной отдельной базы. Наиболее подходящей базой является цех ширпотреба завода 1, который с очень небольшими КВ в 1941 можно приспособить под опытный завод, способный строить 1 тип опытного самолета.</w:t>
      </w:r>
    </w:p>
    <w:p w14:paraId="0A5FF3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же касается вопросов:</w:t>
      </w:r>
    </w:p>
    <w:p w14:paraId="1E0114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Подчинения КБ Кочеригина непосредственно директору завода 156 и</w:t>
      </w:r>
    </w:p>
    <w:p w14:paraId="2A8929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Ходатайства о замене мотора М-90 на М-89, то:</w:t>
      </w:r>
    </w:p>
    <w:p w14:paraId="6B0A63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первого делать нельзя, потому, что КБ Кочеригина передано ОТБ НКВД приказом двух наркомов,</w:t>
      </w:r>
    </w:p>
    <w:p w14:paraId="088F68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второго делать не следует, так как летные данные самолета с этим мотором будут неудовлетворительны и ставить более сильный мотор все равно придется. самолет не является настолько срочным, чтобы его стоило выпускать с промежуточным мотором". (2062,89).</w:t>
      </w:r>
    </w:p>
    <w:p w14:paraId="00B1311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A0385F1"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декабря 1940 г. начальник 7 ГУ НКАП С.Н. Шишкин на</w:t>
      </w:r>
      <w:r w:rsidRPr="00A3026E">
        <w:rPr>
          <w:rFonts w:ascii="Times New Roman" w:hAnsi="Times New Roman"/>
          <w:color w:val="0070C0"/>
          <w:sz w:val="16"/>
          <w:szCs w:val="16"/>
        </w:rPr>
        <w:softHyphen/>
        <w:t>правил в адрес Шахурина докладную записку, в которой писал, что «форсировать постройку самолета ОПБ на за</w:t>
      </w:r>
      <w:r w:rsidRPr="00A3026E">
        <w:rPr>
          <w:rFonts w:ascii="Times New Roman" w:hAnsi="Times New Roman"/>
          <w:color w:val="0070C0"/>
          <w:sz w:val="16"/>
          <w:szCs w:val="16"/>
        </w:rPr>
        <w:softHyphen/>
        <w:t>воде №156 можно лишь в ущерб постройке самолетов «102» и «103» конструкции ОТБ НКВД, что нецелесообраз</w:t>
      </w:r>
      <w:r w:rsidRPr="00A3026E">
        <w:rPr>
          <w:rFonts w:ascii="Times New Roman" w:hAnsi="Times New Roman"/>
          <w:color w:val="0070C0"/>
          <w:sz w:val="16"/>
          <w:szCs w:val="16"/>
        </w:rPr>
        <w:softHyphen/>
        <w:t>но, тем более что для указанного самолета мотор М-90 бу</w:t>
      </w:r>
      <w:r w:rsidRPr="00A3026E">
        <w:rPr>
          <w:rFonts w:ascii="Times New Roman" w:hAnsi="Times New Roman"/>
          <w:color w:val="0070C0"/>
          <w:sz w:val="16"/>
          <w:szCs w:val="16"/>
        </w:rPr>
        <w:softHyphen/>
        <w:t>дет не ранее июня месяца 1941 г.».</w:t>
      </w:r>
    </w:p>
    <w:p w14:paraId="24364EC3"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Шишкин предлагал передать постройку ОПБ на завод №288, где его можно было изготовить с помощью завода №156 к маю-июню 1941 г. Были и другие предложения, од</w:t>
      </w:r>
      <w:r w:rsidRPr="00A3026E">
        <w:rPr>
          <w:rFonts w:ascii="Times New Roman" w:hAnsi="Times New Roman"/>
          <w:color w:val="0070C0"/>
          <w:sz w:val="16"/>
          <w:szCs w:val="16"/>
        </w:rPr>
        <w:softHyphen/>
        <w:t>нако КБ Кочеригина осталось на прежнем месте.</w:t>
      </w:r>
    </w:p>
    <w:p w14:paraId="52784B02"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Очевидно, нижеописанные проекты явились причиной то</w:t>
      </w:r>
      <w:r w:rsidRPr="00A3026E">
        <w:rPr>
          <w:rFonts w:ascii="Times New Roman" w:hAnsi="Times New Roman"/>
          <w:color w:val="0070C0"/>
          <w:sz w:val="16"/>
          <w:szCs w:val="16"/>
        </w:rPr>
        <w:softHyphen/>
        <w:t>го, что по результатам 1940 г. указывалось многотемность работ кочеригинского конструкторского бюро. А было там много чего, как оказалось.</w:t>
      </w:r>
    </w:p>
    <w:p w14:paraId="6BE26018"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Заказ 206, 406, 407, 327 - доводки 1-й и 2-й летных машин «Ш».</w:t>
      </w:r>
    </w:p>
    <w:p w14:paraId="668D66C9"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Установка ТК-1 на двигатель М-88.</w:t>
      </w:r>
    </w:p>
    <w:p w14:paraId="59AD26C7"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Механическое управление «юбкой» на М-88.</w:t>
      </w:r>
    </w:p>
    <w:p w14:paraId="62B58080"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Разработка конструкции убирающегося шасси, лыжи и костыля на существующем самолете «Ш» с М-88.</w:t>
      </w:r>
    </w:p>
    <w:p w14:paraId="680F9107"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Разработка силовой установки М-81 на самолете «Ш».</w:t>
      </w:r>
    </w:p>
    <w:p w14:paraId="383BB447"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Убирающееся шасси на самолете «Ш» с М-81.</w:t>
      </w:r>
    </w:p>
    <w:p w14:paraId="657FCF7F"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Установка нового экрана турели самолета «Ш».</w:t>
      </w:r>
    </w:p>
    <w:p w14:paraId="734834D1"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Обслуживание производства при постройке макета большой модификации «Ш» (БМШ).</w:t>
      </w:r>
    </w:p>
    <w:p w14:paraId="341F3588"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Разработка деревянных ОЧК для самолета «Ш».</w:t>
      </w:r>
    </w:p>
    <w:p w14:paraId="2C5562C5"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Эскизное проектирование: ОКБ-3 М-105, ОКБ-3 М-81, ОКБ-4 М-105, «Ш» М-90, самолет «300» (ближний одномо</w:t>
      </w:r>
      <w:r w:rsidRPr="00A3026E">
        <w:rPr>
          <w:rFonts w:ascii="Times New Roman" w:hAnsi="Times New Roman"/>
          <w:color w:val="0070C0"/>
          <w:sz w:val="16"/>
          <w:szCs w:val="16"/>
        </w:rPr>
        <w:softHyphen/>
        <w:t>торный бомбардировщик или истребитель под двигатель М-300 проектной мощностью 3000-3500 л.с.</w:t>
      </w:r>
    </w:p>
    <w:p w14:paraId="62BAFA87"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Выпуск рабочих чертежей и обслуживание производ</w:t>
      </w:r>
      <w:r w:rsidRPr="00A3026E">
        <w:rPr>
          <w:rFonts w:ascii="Times New Roman" w:hAnsi="Times New Roman"/>
          <w:color w:val="0070C0"/>
          <w:sz w:val="16"/>
          <w:szCs w:val="16"/>
        </w:rPr>
        <w:softHyphen/>
        <w:t>ства «ММШ» М-81.</w:t>
      </w:r>
    </w:p>
    <w:p w14:paraId="3A29FA84"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Разработка эскизного проекта и обслуживание произ</w:t>
      </w:r>
      <w:r w:rsidRPr="00A3026E">
        <w:rPr>
          <w:rFonts w:ascii="Times New Roman" w:hAnsi="Times New Roman"/>
          <w:color w:val="0070C0"/>
          <w:sz w:val="16"/>
          <w:szCs w:val="16"/>
        </w:rPr>
        <w:softHyphen/>
        <w:t>водства ОКБ-5 (ОПБ) М-90.</w:t>
      </w:r>
    </w:p>
    <w:p w14:paraId="777C5BE3"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Разработка нормального капота (без центрального воздухозаборника) NACA под М-90 для ОПБ.</w:t>
      </w:r>
    </w:p>
    <w:p w14:paraId="78DE0DAB"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Эскизное проектирование ОКБ-5 М-81, ОКБ-5 М-71, ОКБ-5 М-89, ОПБ АМ-37.</w:t>
      </w:r>
    </w:p>
    <w:p w14:paraId="79BF6336"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что оставалось делать конструкторскому коллективу - есть задания, есть силы, а возможностей разрешения их, то есть подходящих двигателей - нет. Указанный в спис</w:t>
      </w:r>
      <w:r w:rsidRPr="00A3026E">
        <w:rPr>
          <w:rFonts w:ascii="Times New Roman" w:hAnsi="Times New Roman"/>
          <w:color w:val="0070C0"/>
          <w:sz w:val="16"/>
          <w:szCs w:val="16"/>
        </w:rPr>
        <w:softHyphen/>
        <w:t>ке самолет под девизом «300» неоднократно упоминает</w:t>
      </w:r>
      <w:r w:rsidRPr="00A3026E">
        <w:rPr>
          <w:rFonts w:ascii="Times New Roman" w:hAnsi="Times New Roman"/>
          <w:color w:val="0070C0"/>
          <w:sz w:val="16"/>
          <w:szCs w:val="16"/>
        </w:rPr>
        <w:softHyphen/>
        <w:t>ся во многих документах как выданное Кочеригину зада</w:t>
      </w:r>
      <w:r w:rsidRPr="00A3026E">
        <w:rPr>
          <w:rFonts w:ascii="Times New Roman" w:hAnsi="Times New Roman"/>
          <w:color w:val="0070C0"/>
          <w:sz w:val="16"/>
          <w:szCs w:val="16"/>
        </w:rPr>
        <w:softHyphen/>
        <w:t xml:space="preserve">ние. Но двигатель М-300, который разрабатывался </w:t>
      </w:r>
      <w:r w:rsidRPr="00A3026E">
        <w:rPr>
          <w:rFonts w:ascii="Times New Roman" w:hAnsi="Times New Roman"/>
          <w:color w:val="0070C0"/>
          <w:sz w:val="16"/>
          <w:szCs w:val="16"/>
        </w:rPr>
        <w:lastRenderedPageBreak/>
        <w:t>в ЦИАМ под руководством А.А. Бессонова, являлся абсолютно новой опытной разработкой (т.е. весьма маловероятной) поэтому ничего, кроме удивления неоднократное упоми</w:t>
      </w:r>
      <w:r w:rsidRPr="00A3026E">
        <w:rPr>
          <w:rFonts w:ascii="Times New Roman" w:hAnsi="Times New Roman"/>
          <w:color w:val="0070C0"/>
          <w:sz w:val="16"/>
          <w:szCs w:val="16"/>
        </w:rPr>
        <w:softHyphen/>
        <w:t>нание этого задания не вызывает (20362).</w:t>
      </w:r>
    </w:p>
    <w:p w14:paraId="3E4E05D4" w14:textId="77777777" w:rsidR="00E043DA" w:rsidRPr="00A3026E" w:rsidRDefault="00E043DA" w:rsidP="00A3026E">
      <w:pPr>
        <w:shd w:val="clear" w:color="auto" w:fill="FFFFFF"/>
        <w:spacing w:after="0" w:line="240" w:lineRule="auto"/>
        <w:jc w:val="both"/>
        <w:rPr>
          <w:rFonts w:ascii="Times New Roman" w:hAnsi="Times New Roman"/>
          <w:color w:val="0070C0"/>
          <w:sz w:val="16"/>
          <w:szCs w:val="16"/>
        </w:rPr>
      </w:pPr>
    </w:p>
    <w:p w14:paraId="28B4F5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декабря 1940 начальник 7 ГУ НКАП С.Н.Шишкин направил в адрес Шахурина докладную записку, в которой писал, что «форсировать постройку самолета ОПБ на заводе № 156 можно лишь в ущерб постройке самолетов «102» u «103» конструкции ОТБ НКВД, что нецелесообразно, тем более, что для указанного самолета мотор М-90 будет не ранее июня месяца 1941 г.».</w:t>
      </w:r>
    </w:p>
    <w:p w14:paraId="413942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 Шишкин считал возможным передать постройку одного экземпляра ОПБ и агрегатов для статиспытаний на завод № 288, который может изготовить его с технической помощью завода № 156 примерно к маю-июню 1941 г. : «В настоящее время этот вопрос подрабатывается специалистами этих заводов. Конструктор Ко-черигин возражает против передачи, считая, что завод №156 скорее построит машину».</w:t>
      </w:r>
    </w:p>
    <w:p w14:paraId="4CB9FC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этом в качестве радикального решения вопроса Шишкин предлагал создание для ОКБ Кочеригина «скромной отдельной базы».</w:t>
      </w:r>
    </w:p>
    <w:p w14:paraId="162394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его мнению, наиболее подходящей базой «является цех ширпотреба на заводе № 1, который с очень небольшими капиталовложениями в 1941 г. можно приспособить под опытный завод, способный строить один тип опытного самолета».</w:t>
      </w:r>
    </w:p>
    <w:p w14:paraId="6E16C1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касается вопросов «переподчинения КБ тов. Кочеригина непосредственно директору завода № 15б» и замены мотора М-90 на мотор М-89, то Шишкин рекомендовал Шахурину этого не делать.</w:t>
      </w:r>
    </w:p>
    <w:p w14:paraId="7A1538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Во-первых, «КБ тов. Кочеригина передано ОТБ НКВД приказом двух наркомов».</w:t>
      </w:r>
    </w:p>
    <w:p w14:paraId="1B160F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Во-вторых, летные данные самолета с М-89 «будут неудовлетворительными и ставить новый мотор все равно придется». «Самолет не настолько срочный, чтобы его выпускать с промежуточным мотором», - констатировал Шишкин.</w:t>
      </w:r>
    </w:p>
    <w:p w14:paraId="385D2A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А. И. Шахурин никаких шагов для ускорения постройки ОПБ с М-90 практически не сделал, разрешив однако разработку эскизного проекта ОПБ с мотором М-89 (9649).</w:t>
      </w:r>
    </w:p>
    <w:p w14:paraId="693C956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43D8C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декабря 1940 А.А.А. в ответ на запрос о возможности эксплуатации СБ в пикирующем варианте без усиления крыльев ГУ ВВС КА от 22 ноября 1940 в письме N 14133 сообщил, что возможна эксплуатация СБ без усиления крыльев и что усиление относится только к новым самолетам. Подтвердил возможность пикирования при перегрузке, не превосходящей 3.5 (2706,194).</w:t>
      </w:r>
    </w:p>
    <w:p w14:paraId="5850821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39CC8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декабря 1940 была подготовлена докладная записка N 1736 директора завода 124 М.М.К. для НКАП А.И.Ш. о том, что во всех цехах завода развернуто производство ТБ-7 и на 1 декабря 10 машин было укомплектовано деталями и 5 машин были в сборке. Одна машина с М-40 находилась на испытаниях и Байдуков выполнил на ней 7 полетов, налетав 11:09, в т.ч. 3 сверхвысотных, но из-за непоставки М-40 завод предупреждал, что и в первом кв. 1941 будет выпускать с АМ-35. Писали о недостатках М-40, которые не запускаются на большой высоте из-за нехватки воздуха. Не хотели делать под колеса 1750х600 мм на 34 т, т.к. прочность машины допускала только 30.5 т и достаточно было колес 1660х585 мм на 32 т (1295,313).</w:t>
      </w:r>
    </w:p>
    <w:p w14:paraId="50CBD13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6261D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декабря 1940 приказом НКАП N 530к А.И.Микояна утвердили ГК завода 1 (862,174).</w:t>
      </w:r>
    </w:p>
    <w:p w14:paraId="6F48534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4AFDF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декабря 1940 г. приказом Главного управления ВВС № 0309 десять МиГ-1 были направлены на войсковые испытания в 1-ю краснознаменную Высшую школу летчиков им. Мясникова (Кача, Крым) и в 41-й ИАП Западного особого военного округа (ОВО). Обучение строевых пилотов возглавил летчик-испытатель Супрун. Эти испытания показали, что многие дефекты МиГ-1 не устранены, тем не менее, по их завершении в феврале 1941 г. эти "МиГи" передали 146-му ИАП Одесского ВО для постоянной эксплуатации. Охлаждение мотора улучшил новый пластинчатый радиатор ОП-ЗЮ. Для выполнения требований по дальности под кабиной установили еще один внутренний бак на 250 л бензина (его запас вырос с 263 до 466 кг), был увеличен и запас масла. Для повышения устойчивости мотораму удлинили на 100 мм, а поперечное V консолей увеличили с 5 до 6°. Крышку фонаря кабины оставили сдвижной, а заднее стекло сделали большим. Прицел и бомбовое вооружение унифицировали с другими новыми самолетами: вместо прицела ПАН-23 или ППН-1 поставили ПБП-1а, ввели механический бомбосбрасыватель АСИ-140 и замки Д-3-40 для подвески бомб калибром от 8 до 100 кг большинства типов. Кроме химприборов ВАП-6М, были внедрены зажигательные ЗАП-6. Хотя приказом НКАП от 14.02.1941 г. установку РО-82 на МиГ-1 отменили, но в производстве 8 узлов для "эрэсов" и вся их электрика оставили, что потом пригодилось. Некоторые МиГ-1 не имели протектора и наддува инертным газом баков и 8-мм бронеспинки, "тройки" же комплектовались этим на 100%. Внимание к технологии и организации производства положительно сказалось и на темпах выпуска, и на цене машины. Среди новых истребителей МиГ-3 оказался самым недорогим, при этом обладал самым мощным мотором и был наиболее материалоемким, в т.ч. и по дефицитным сплавам. "Пулеметный" ЛаГГ-3 обходился стране в 196500 руб., он же с пушкой ПТБ-23 стоил уже 350000. Истребитель Яковлева завод № 301 отгружал за 325000 руб., а 292-й завод - за 208000 (без тары). Цена комплектного МиГ-3 на май 1941 г. была утверждена в сумме 158000 руб. (11938).</w:t>
      </w:r>
    </w:p>
    <w:p w14:paraId="2A24C6B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ADE6742"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3 декабря 1940 г. приказом Главного управления ВВС №0309 де</w:t>
      </w:r>
      <w:r w:rsidRPr="00A3026E">
        <w:rPr>
          <w:rFonts w:ascii="Times New Roman" w:hAnsi="Times New Roman"/>
          <w:color w:val="0070C0"/>
          <w:sz w:val="16"/>
          <w:szCs w:val="16"/>
          <w:lang w:eastAsia="ru-RU" w:bidi="ru-RU"/>
        </w:rPr>
        <w:softHyphen/>
        <w:t>сять самолетов МиГ-1 пришли на войско</w:t>
      </w:r>
      <w:r w:rsidRPr="00A3026E">
        <w:rPr>
          <w:rFonts w:ascii="Times New Roman" w:hAnsi="Times New Roman"/>
          <w:color w:val="0070C0"/>
          <w:sz w:val="16"/>
          <w:szCs w:val="16"/>
          <w:lang w:eastAsia="ru-RU" w:bidi="ru-RU"/>
        </w:rPr>
        <w:softHyphen/>
        <w:t>вые испытания в качинскую 1-ю Крас</w:t>
      </w:r>
      <w:r w:rsidRPr="00A3026E">
        <w:rPr>
          <w:rFonts w:ascii="Times New Roman" w:hAnsi="Times New Roman"/>
          <w:color w:val="0070C0"/>
          <w:sz w:val="16"/>
          <w:szCs w:val="16"/>
          <w:lang w:eastAsia="ru-RU" w:bidi="ru-RU"/>
        </w:rPr>
        <w:softHyphen/>
        <w:t>нознаменную Высшую школу летчиков ВВС Красной Армии имени Мясникова в Крыму и в 41-й ИАП Западного Военно</w:t>
      </w:r>
      <w:r w:rsidRPr="00A3026E">
        <w:rPr>
          <w:rFonts w:ascii="Times New Roman" w:hAnsi="Times New Roman"/>
          <w:color w:val="0070C0"/>
          <w:sz w:val="16"/>
          <w:szCs w:val="16"/>
          <w:lang w:eastAsia="ru-RU" w:bidi="ru-RU"/>
        </w:rPr>
        <w:softHyphen/>
        <w:t>го округа в Белоруссию. Обучение строе</w:t>
      </w:r>
      <w:r w:rsidRPr="00A3026E">
        <w:rPr>
          <w:rFonts w:ascii="Times New Roman" w:hAnsi="Times New Roman"/>
          <w:color w:val="0070C0"/>
          <w:sz w:val="16"/>
          <w:szCs w:val="16"/>
          <w:lang w:eastAsia="ru-RU" w:bidi="ru-RU"/>
        </w:rPr>
        <w:softHyphen/>
        <w:t>виков возглавил летчик-испытатель НИИ ВВС Супрун, участвовали и работники ОКБ и завода №1. Эти испытания пока</w:t>
      </w:r>
      <w:r w:rsidRPr="00A3026E">
        <w:rPr>
          <w:rFonts w:ascii="Times New Roman" w:hAnsi="Times New Roman"/>
          <w:color w:val="0070C0"/>
          <w:sz w:val="16"/>
          <w:szCs w:val="16"/>
          <w:lang w:eastAsia="ru-RU" w:bidi="ru-RU"/>
        </w:rPr>
        <w:softHyphen/>
        <w:t>зали, что некоторые дефекты в серийном МиГ-1 все еще не устранены, тем не ме</w:t>
      </w:r>
      <w:r w:rsidRPr="00A3026E">
        <w:rPr>
          <w:rFonts w:ascii="Times New Roman" w:hAnsi="Times New Roman"/>
          <w:color w:val="0070C0"/>
          <w:sz w:val="16"/>
          <w:szCs w:val="16"/>
          <w:lang w:eastAsia="ru-RU" w:bidi="ru-RU"/>
        </w:rPr>
        <w:softHyphen/>
        <w:t>нее, по их завершении в феврале 1941 г. первые десять новых машин были пере</w:t>
      </w:r>
      <w:r w:rsidRPr="00A3026E">
        <w:rPr>
          <w:rFonts w:ascii="Times New Roman" w:hAnsi="Times New Roman"/>
          <w:color w:val="0070C0"/>
          <w:sz w:val="16"/>
          <w:szCs w:val="16"/>
          <w:lang w:eastAsia="ru-RU" w:bidi="ru-RU"/>
        </w:rPr>
        <w:softHyphen/>
        <w:t>даны 146-му истребительному авиапол</w:t>
      </w:r>
      <w:r w:rsidRPr="00A3026E">
        <w:rPr>
          <w:rFonts w:ascii="Times New Roman" w:hAnsi="Times New Roman"/>
          <w:color w:val="0070C0"/>
          <w:sz w:val="16"/>
          <w:szCs w:val="16"/>
          <w:lang w:eastAsia="ru-RU" w:bidi="ru-RU"/>
        </w:rPr>
        <w:softHyphen/>
        <w:t>ку ВВС Одесского военного округа уже для строевой эксплуатации (21699).</w:t>
      </w:r>
    </w:p>
    <w:p w14:paraId="412C4211" w14:textId="77777777" w:rsidR="00E043DA" w:rsidRPr="00A3026E" w:rsidRDefault="00E043DA" w:rsidP="00A3026E">
      <w:pPr>
        <w:spacing w:after="0" w:line="240" w:lineRule="auto"/>
        <w:jc w:val="both"/>
        <w:rPr>
          <w:rFonts w:ascii="Times New Roman" w:hAnsi="Times New Roman"/>
          <w:color w:val="0070C0"/>
          <w:sz w:val="16"/>
          <w:szCs w:val="16"/>
        </w:rPr>
      </w:pPr>
    </w:p>
    <w:p w14:paraId="5FE73B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декабря 1940 г. Приказом начальника Главного управления ВВС КА летному и техническому составу 41-го иап (ЗапОВО) поручалось провести войсковые испытания самолетов И-200 головной серии в Качин- ской военной школе летчиков в период с декабря 1940 г. по февраль 1941 г. Общее руководство испытаниями было возложено на летчика-испытателя С.П. Супруна. 41-й иап стал вторым в советских ВВС полком, приступившим к освоению И-200 (первым оказался 31-й иап из ВВС ПрибОВО, базировавшийся в Каунасе). Переучивание руководящего летного состава 41-го иап производилось в НИИ ВВС на трех самолетах первой серии. 10 самолетов для войсковых испытаний были изготовлены досрочно - 10 декабря 1940 г. (12045).</w:t>
      </w:r>
    </w:p>
    <w:p w14:paraId="44ED4C6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9A23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декабря 1940 вышел приказ по ГУ ВВС КА N 0309, к соответствии с которым в Качинской школе военных л с декабря 1940 по февраль 1941 летному и техническому составу 41 иап (ЗапОВО) было поручено провести войсковые испытания И-200 (МиГ-1) головной серии (4415,32).</w:t>
      </w:r>
    </w:p>
    <w:p w14:paraId="5A6120A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B2D78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декабря 1940 г. вышел приказ начальника Главного уп</w:t>
      </w:r>
      <w:r w:rsidRPr="00A3026E">
        <w:rPr>
          <w:rFonts w:ascii="Times New Roman" w:hAnsi="Times New Roman"/>
          <w:color w:val="000000" w:themeColor="text1"/>
          <w:sz w:val="16"/>
          <w:szCs w:val="16"/>
        </w:rPr>
        <w:softHyphen/>
        <w:t>равления ВВС КА, согласно которому летному и техническому составу 41-го иап (ЗапОВО) поруча</w:t>
      </w:r>
      <w:r w:rsidRPr="00A3026E">
        <w:rPr>
          <w:rFonts w:ascii="Times New Roman" w:hAnsi="Times New Roman"/>
          <w:color w:val="000000" w:themeColor="text1"/>
          <w:sz w:val="16"/>
          <w:szCs w:val="16"/>
        </w:rPr>
        <w:softHyphen/>
        <w:t>лось провести войсковые испытания самолетов И-200 головной серии в Качинской военной шко</w:t>
      </w:r>
      <w:r w:rsidRPr="00A3026E">
        <w:rPr>
          <w:rFonts w:ascii="Times New Roman" w:hAnsi="Times New Roman"/>
          <w:color w:val="000000" w:themeColor="text1"/>
          <w:sz w:val="16"/>
          <w:szCs w:val="16"/>
        </w:rPr>
        <w:softHyphen/>
        <w:t>ле летчиков в период с декабря 1940 г. по февраль 1941 г. 41-й иап стал вторым в советских ВВС полком, приступившим к освоению И—200. (Первым ока</w:t>
      </w:r>
      <w:r w:rsidRPr="00A3026E">
        <w:rPr>
          <w:rFonts w:ascii="Times New Roman" w:hAnsi="Times New Roman"/>
          <w:color w:val="000000" w:themeColor="text1"/>
          <w:sz w:val="16"/>
          <w:szCs w:val="16"/>
        </w:rPr>
        <w:softHyphen/>
        <w:t>зался 31-й иап из ВВС ПрибОВО, базировавшийся в Каунасе. Однако подобное разделение во многом условно: самолеты поступали с завода в несколько полков одновременно). Переучивание руководяще</w:t>
      </w:r>
      <w:r w:rsidRPr="00A3026E">
        <w:rPr>
          <w:rFonts w:ascii="Times New Roman" w:hAnsi="Times New Roman"/>
          <w:color w:val="000000" w:themeColor="text1"/>
          <w:sz w:val="16"/>
          <w:szCs w:val="16"/>
        </w:rPr>
        <w:softHyphen/>
        <w:t>го летного состава 41-го иап производилось в НИИ ВВС на трех самолетах первой серии. 10 самолетов для войсковых испытаний изготовили досрочно — 10 декабря 1940 г.</w:t>
      </w:r>
    </w:p>
    <w:p w14:paraId="7A7BB4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начала войсковых испытаний на осно</w:t>
      </w:r>
      <w:r w:rsidRPr="00A3026E">
        <w:rPr>
          <w:rFonts w:ascii="Times New Roman" w:hAnsi="Times New Roman"/>
          <w:color w:val="000000" w:themeColor="text1"/>
          <w:sz w:val="16"/>
          <w:szCs w:val="16"/>
        </w:rPr>
        <w:softHyphen/>
        <w:t>ве опыта, накопленного заводскими летчиками и пи</w:t>
      </w:r>
      <w:r w:rsidRPr="00A3026E">
        <w:rPr>
          <w:rFonts w:ascii="Times New Roman" w:hAnsi="Times New Roman"/>
          <w:color w:val="000000" w:themeColor="text1"/>
          <w:sz w:val="16"/>
          <w:szCs w:val="16"/>
        </w:rPr>
        <w:softHyphen/>
        <w:t>лотами НИИ ВВС, был сформулирован перечень ос</w:t>
      </w:r>
      <w:r w:rsidRPr="00A3026E">
        <w:rPr>
          <w:rFonts w:ascii="Times New Roman" w:hAnsi="Times New Roman"/>
          <w:color w:val="000000" w:themeColor="text1"/>
          <w:sz w:val="16"/>
          <w:szCs w:val="16"/>
        </w:rPr>
        <w:softHyphen/>
        <w:t>новных недостатков уже запущенной в производство машины, требовавших устранения:</w:t>
      </w:r>
    </w:p>
    <w:p w14:paraId="76BF03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винтомоторной группе:</w:t>
      </w:r>
    </w:p>
    <w:p w14:paraId="190634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 подобран винт. Дирекцией завода в настоя</w:t>
      </w:r>
      <w:r w:rsidRPr="00A3026E">
        <w:rPr>
          <w:rFonts w:ascii="Times New Roman" w:hAnsi="Times New Roman"/>
          <w:color w:val="000000" w:themeColor="text1"/>
          <w:sz w:val="16"/>
          <w:szCs w:val="16"/>
        </w:rPr>
        <w:softHyphen/>
        <w:t>щее время... проводятся испытания восьми типов винтов от АВ—1 до ВИШ—61.</w:t>
      </w:r>
    </w:p>
    <w:p w14:paraId="1E0D5C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Плохая приемистость мотора АМ—35А...</w:t>
      </w:r>
    </w:p>
    <w:p w14:paraId="01A90B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Падение давления масла на высоте ниже норм, установленных заводом № 24.</w:t>
      </w:r>
    </w:p>
    <w:p w14:paraId="4D30BE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Нет подогрева [мотора] от [лампы] АПЛ— 1.</w:t>
      </w:r>
    </w:p>
    <w:p w14:paraId="621BC8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Не установлены бензиномеры центропланных баков.</w:t>
      </w:r>
    </w:p>
    <w:p w14:paraId="5ED58A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Нет системы нейтрального газа.</w:t>
      </w:r>
    </w:p>
    <w:p w14:paraId="413CFD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Не установлен сливной кран на водорадиаторе.</w:t>
      </w:r>
    </w:p>
    <w:p w14:paraId="5BD040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Плохо работают свечи...</w:t>
      </w:r>
    </w:p>
    <w:p w14:paraId="5F58D9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Течи в блоках цилиндров...</w:t>
      </w:r>
    </w:p>
    <w:p w14:paraId="6EAF70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самолету:</w:t>
      </w:r>
    </w:p>
    <w:p w14:paraId="5B7675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 проведено полное исследование штопора.</w:t>
      </w:r>
    </w:p>
    <w:p w14:paraId="6A7848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Недостаточная продольная устойчивость.</w:t>
      </w:r>
    </w:p>
    <w:p w14:paraId="238739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полете фиксаторы фонаря плохо держат.</w:t>
      </w:r>
    </w:p>
    <w:p w14:paraId="15C639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 разработана конструкция кабана для предохранения головы пилота при полном ка</w:t>
      </w:r>
      <w:r w:rsidRPr="00A3026E">
        <w:rPr>
          <w:rFonts w:ascii="Times New Roman" w:hAnsi="Times New Roman"/>
          <w:color w:val="000000" w:themeColor="text1"/>
          <w:sz w:val="16"/>
          <w:szCs w:val="16"/>
        </w:rPr>
        <w:softHyphen/>
        <w:t>поте...» (9984).</w:t>
      </w:r>
    </w:p>
    <w:p w14:paraId="7096D0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4C5371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lastRenderedPageBreak/>
        <w:t>Другие оборонные отрасли:</w:t>
      </w:r>
    </w:p>
    <w:p w14:paraId="7CE0229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D9BA02C" w14:textId="77777777" w:rsidR="00257CA1" w:rsidRPr="00A3026E" w:rsidRDefault="00257CA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декабря 1940 начальник ГАУ Г.И. Кулик доложил результаты полигонных испы</w:t>
      </w:r>
      <w:r w:rsidRPr="00A3026E">
        <w:rPr>
          <w:rFonts w:ascii="Times New Roman" w:hAnsi="Times New Roman"/>
          <w:color w:val="000000" w:themeColor="text1"/>
          <w:sz w:val="16"/>
          <w:szCs w:val="16"/>
        </w:rPr>
        <w:softHyphen/>
        <w:t>таний пистолетов-пулеметов Шпагина и Шпитального в сравнении с ППД-40 в ЦК ВКП(б) и рекомендовал к принятию на вооружение образец Шпагина. Технологичность образца Шпаги</w:t>
      </w:r>
      <w:r w:rsidRPr="00A3026E">
        <w:rPr>
          <w:rFonts w:ascii="Times New Roman" w:hAnsi="Times New Roman"/>
          <w:color w:val="000000" w:themeColor="text1"/>
          <w:sz w:val="16"/>
          <w:szCs w:val="16"/>
        </w:rPr>
        <w:softHyphen/>
        <w:t>на сыграла в этом немалую роль. Технологич</w:t>
      </w:r>
      <w:r w:rsidRPr="00A3026E">
        <w:rPr>
          <w:rFonts w:ascii="Times New Roman" w:hAnsi="Times New Roman"/>
          <w:color w:val="000000" w:themeColor="text1"/>
          <w:sz w:val="16"/>
          <w:szCs w:val="16"/>
        </w:rPr>
        <w:softHyphen/>
        <w:t>ность конструкции проявляется в оптималь</w:t>
      </w:r>
      <w:r w:rsidRPr="00A3026E">
        <w:rPr>
          <w:rFonts w:ascii="Times New Roman" w:hAnsi="Times New Roman"/>
          <w:color w:val="000000" w:themeColor="text1"/>
          <w:sz w:val="16"/>
          <w:szCs w:val="16"/>
        </w:rPr>
        <w:softHyphen/>
        <w:t>ных затратах труда, средств и материалов при ее производстве, эксплуатации и ремонте. Стоит вспомнить также рекомендацию - ис</w:t>
      </w:r>
      <w:r w:rsidRPr="00A3026E">
        <w:rPr>
          <w:rFonts w:ascii="Times New Roman" w:hAnsi="Times New Roman"/>
          <w:color w:val="000000" w:themeColor="text1"/>
          <w:sz w:val="16"/>
          <w:szCs w:val="16"/>
        </w:rPr>
        <w:softHyphen/>
        <w:t>кать решения новых конструкций оружия</w:t>
      </w:r>
      <w:r w:rsidRPr="00A3026E">
        <w:rPr>
          <w:rStyle w:val="aff6"/>
          <w:rFonts w:ascii="Times New Roman" w:eastAsia="Arial Narrow" w:hAnsi="Times New Roman" w:cs="Times New Roman"/>
          <w:i w:val="0"/>
          <w:color w:val="000000" w:themeColor="text1"/>
        </w:rPr>
        <w:t xml:space="preserve"> «в различных отраслях "мирной" техники»,</w:t>
      </w:r>
      <w:r w:rsidRPr="00A3026E">
        <w:rPr>
          <w:rFonts w:ascii="Times New Roman" w:hAnsi="Times New Roman"/>
          <w:color w:val="000000" w:themeColor="text1"/>
          <w:sz w:val="16"/>
          <w:szCs w:val="16"/>
        </w:rPr>
        <w:t xml:space="preserve"> ко</w:t>
      </w:r>
      <w:r w:rsidRPr="00A3026E">
        <w:rPr>
          <w:rFonts w:ascii="Times New Roman" w:hAnsi="Times New Roman"/>
          <w:color w:val="000000" w:themeColor="text1"/>
          <w:sz w:val="16"/>
          <w:szCs w:val="16"/>
        </w:rPr>
        <w:softHyphen/>
        <w:t>торую давал профессор А.А. Благонравов оружейникам в 1940 г.:</w:t>
      </w:r>
      <w:r w:rsidRPr="00A3026E">
        <w:rPr>
          <w:rStyle w:val="aff6"/>
          <w:rFonts w:ascii="Times New Roman" w:eastAsia="Arial Narrow" w:hAnsi="Times New Roman" w:cs="Times New Roman"/>
          <w:i w:val="0"/>
          <w:color w:val="000000" w:themeColor="text1"/>
        </w:rPr>
        <w:t xml:space="preserve"> «Нередко в этой же области можно найти, если не решение, то наметку решения технических проблем, над которыми работает мысль специалистов-ору</w:t>
      </w:r>
      <w:r w:rsidRPr="00A3026E">
        <w:rPr>
          <w:rStyle w:val="aff6"/>
          <w:rFonts w:ascii="Times New Roman" w:eastAsia="Arial Narrow" w:hAnsi="Times New Roman" w:cs="Times New Roman"/>
          <w:i w:val="0"/>
          <w:color w:val="000000" w:themeColor="text1"/>
        </w:rPr>
        <w:softHyphen/>
        <w:t>жейников».</w:t>
      </w:r>
      <w:r w:rsidRPr="00A3026E">
        <w:rPr>
          <w:rFonts w:ascii="Times New Roman" w:hAnsi="Times New Roman"/>
          <w:color w:val="000000" w:themeColor="text1"/>
          <w:sz w:val="16"/>
          <w:szCs w:val="16"/>
        </w:rPr>
        <w:t xml:space="preserve"> Как заводское изделие, ППШ от</w:t>
      </w:r>
      <w:r w:rsidRPr="00A3026E">
        <w:rPr>
          <w:rFonts w:ascii="Times New Roman" w:hAnsi="Times New Roman"/>
          <w:color w:val="000000" w:themeColor="text1"/>
          <w:sz w:val="16"/>
          <w:szCs w:val="16"/>
        </w:rPr>
        <w:softHyphen/>
        <w:t>вечал общему направлению внедрения в ору</w:t>
      </w:r>
      <w:r w:rsidRPr="00A3026E">
        <w:rPr>
          <w:rFonts w:ascii="Times New Roman" w:hAnsi="Times New Roman"/>
          <w:color w:val="000000" w:themeColor="text1"/>
          <w:sz w:val="16"/>
          <w:szCs w:val="16"/>
        </w:rPr>
        <w:softHyphen/>
        <w:t>жейное дело технологий массового производ</w:t>
      </w:r>
      <w:r w:rsidRPr="00A3026E">
        <w:rPr>
          <w:rFonts w:ascii="Times New Roman" w:hAnsi="Times New Roman"/>
          <w:color w:val="000000" w:themeColor="text1"/>
          <w:sz w:val="16"/>
          <w:szCs w:val="16"/>
        </w:rPr>
        <w:softHyphen/>
        <w:t>ства, ранее внедрявшихся именно в отраслях «мирной» техники, включая замену обработки металла резанием обработкой давлением, клепки - дуговой и контактной электросвар</w:t>
      </w:r>
      <w:r w:rsidRPr="00A3026E">
        <w:rPr>
          <w:rFonts w:ascii="Times New Roman" w:hAnsi="Times New Roman"/>
          <w:color w:val="000000" w:themeColor="text1"/>
          <w:sz w:val="16"/>
          <w:szCs w:val="16"/>
        </w:rPr>
        <w:softHyphen/>
        <w:t>кой, воронения - оксидировкой и фосфатированием, а также сокращение числа резьбовых соединений (15779).</w:t>
      </w:r>
    </w:p>
    <w:p w14:paraId="165C7D25" w14:textId="77777777" w:rsidR="00257CA1" w:rsidRPr="00A3026E" w:rsidRDefault="00257CA1" w:rsidP="00A3026E">
      <w:pPr>
        <w:spacing w:after="0" w:line="240" w:lineRule="auto"/>
        <w:jc w:val="both"/>
        <w:rPr>
          <w:rFonts w:ascii="Times New Roman" w:hAnsi="Times New Roman"/>
          <w:color w:val="000000" w:themeColor="text1"/>
          <w:sz w:val="16"/>
          <w:szCs w:val="16"/>
        </w:rPr>
      </w:pPr>
    </w:p>
    <w:p w14:paraId="7539C104"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декабря 1940 г. на заводском полигоне были проведены контрольно-поверочные испытания по определению влияния износа отдельных узлов и механизмов на меткость и кучность боя при ведении огня из основного и вспомогательного оружия танков Т-34 (Т-34 № 608-01, 423-41 и 547-29, на время испытаний эти машины получили условные наименования «танк № 1», «танк № 2» и «танк № 3»). Испытаниям подверглись два танка – № 1 и № 3, прошедшие к этому времени более 2600 км каждый. Стрельба на кучность из пушки Л-11 проводилась как с места, так и сходу по щиту размером 4×4 м. При стрельбе двенадцатью снарядами с места на дистанции 600 м боковое отклонение от центра эллипса рассеивания у пушки Л-11 танка № 1 составляло 0,3 м, а отклонение по вертикали – 0,52 м. У пушки танка № 3 кучность боя была несколько хуже – 0,6 м и 0,94 м соответственно. В отчете по испытаниям было отмечено: </w:t>
      </w:r>
    </w:p>
    <w:p w14:paraId="43AEA8B8"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стрельбы на кучность, полученные после всех стрельб, и выраженные через сердцевинные полосы [эллипса рассеивания] в отклонениях по ширине и высоте, выше табличных [1,08 м и 1,44 м] данных для 76 мм. пушки образца 1927 года».</w:t>
      </w:r>
    </w:p>
    <w:p w14:paraId="1E8B74D6"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38]</w:t>
      </w:r>
    </w:p>
    <w:p w14:paraId="670DEEFC"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Проверка кучности пушки Л-11 при стрельбе с ходу была проведена на танке № 1. Из танка, двигавшегося со скоростью 10 км/ч, в течение 2 минут и 35 секунд с дистанции 600 – 300 м было произведено 11 выстрелов, 6 из которых попали в щит. При этом боковое отклонение снарядов от центра эллипса рассеивания составило 2,8 м, а отклонение по вертикали – 1,1 м. </w:t>
      </w:r>
    </w:p>
    <w:p w14:paraId="1C96310F"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стрельбы на кучность с хода, – отмечалось в отчёте,– следует считать низкими, вследствие усложнения условий наводки при значительных люфтах поворотного и подъемного механизмов».</w:t>
      </w:r>
    </w:p>
    <w:p w14:paraId="48E4DB6C"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38]</w:t>
      </w:r>
    </w:p>
    <w:p w14:paraId="0EC2A94F"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же как и во время предыдущих стрельб, проведенных в Кубинке и в Киеве, при стрельбе в Харькове в очередной раз имели место отказы в работе обеих пушек Л-11. </w:t>
      </w:r>
    </w:p>
    <w:p w14:paraId="5CE604D4"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Кучность стрельбы из спаренного с пушкой и лобового пулеметов ДТ была проверена на танке Т-34 № 3. Стрельба на кучность с места производилась короткими очередями по щиту размером 2×2 м с дистанции 400 м и по щиту размером 4×4 м – с дистанции 600 м. Стрельба велась одновременно из обоих пулеметов. На дистанции 400 м из 36 пуль, выпущенных из спаренного с пушкой пулемета ДТ, все 36 прошили щит. Из лобовой пулемётной установки было произведено 40 выстрелов и все 40 пуль пробили щит. При стрельбе с дистанции 600 м также были получены хорошие результаты – из каждого пулемёта было произведено по 60 выстрелов и все 120 пуль поразили цели. </w:t>
      </w:r>
    </w:p>
    <w:p w14:paraId="7F541DA4"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стрельбе с ходу с дистанции 200 – 150 м из 60 выстрелов, произведённых из каждого пулемёта, в щитах размером 2×2 м было зафиксировано 38 пулевых пробоин от спаренного пулемета и 51 пробоина – от лобового. После определения средних точек попадания в отчёте по испытаниям был сделан следующий вывод: </w:t>
      </w:r>
    </w:p>
    <w:p w14:paraId="59021A9B"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«Величины рассеивания для пулемета, спаренного с пушкой, не превышают нормальных данных для пулемета ДТ. При стрельбе из пулемета радиста величина рассеивания значительно возрастает и выходит за пределы нормальных данных, а количество пробоин уменьшается».</w:t>
      </w:r>
    </w:p>
    <w:p w14:paraId="40C39A3B"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42]</w:t>
      </w:r>
    </w:p>
    <w:p w14:paraId="2B008ED2"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следующий день после проведения стрельб, 4 декабря 1940 г., на всех танках было проверено состояние средств связи, а также проведены испытания по определению дальности радиосвязи между танками Т-34 № 1 и № 3. В отчёте по испытаниям состояние средств связи по возвращении танков в Харьков было описано так: </w:t>
      </w:r>
    </w:p>
    <w:p w14:paraId="4F73C968"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рации после 2600 км. пробега: </w:t>
      </w:r>
    </w:p>
    <w:p w14:paraId="280280AF"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всех трех танках антенны изогнуты и повреждены по всей длине запасными деталями и оборудованием, уложенными на крыле. Изоляторы ввода и стаканы забиты землей. </w:t>
      </w:r>
    </w:p>
    <w:p w14:paraId="030F949E"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танке № 1 – не работает механизм подъема антенны – стержень "заел" во втулке. </w:t>
      </w:r>
    </w:p>
    <w:p w14:paraId="07C5191D"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всех трех танках: </w:t>
      </w:r>
    </w:p>
    <w:p w14:paraId="2F612B5B"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Отвернуты и утеряны зажимные гайки на колодках питания. </w:t>
      </w:r>
    </w:p>
    <w:p w14:paraId="3DC906E9"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 умформерах приемников расшатаны (а на танке № 1 обломана) токоведущие клеммы – земля умформера. Клеммы залеплены грязью. </w:t>
      </w:r>
    </w:p>
    <w:p w14:paraId="641AE076"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Промежуточные колодки на шлангах питания от умформера передатчика, находящиеся на уровне пола, покрыты грязью и маслом. </w:t>
      </w:r>
    </w:p>
    <w:p w14:paraId="7621FFDB"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Экранирующая оплетка на шлангах питания в местах зажима в вилку начала разрушаться. </w:t>
      </w:r>
    </w:p>
    <w:p w14:paraId="11617178"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танке № 1 умформер приемника дает сильный фон в телефонах своего приемника. Напряжение накала ламп – 3,8 вольта вместо 4 вольт. Вольтметр не работает. </w:t>
      </w:r>
    </w:p>
    <w:p w14:paraId="624AB446"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танке № 1 в цепи питания умформера приемника внутренний обрыв».</w:t>
      </w:r>
    </w:p>
    <w:p w14:paraId="66F2DDA9"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67]</w:t>
      </w:r>
    </w:p>
    <w:p w14:paraId="0E2E7C62"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определении дальности радиосвязи было установлено, что во время движения обоих машин устойчивый прием и передача обеспечиваются на расстоянии всего лишь до 5 км, а на стоянках – до 8 км. «Как видно из приведенных данных, – было отмечено в отчёте, – после 2600 км. пробега качество работы рации ухудшилось и дальность связи резко снизилась». </w:t>
      </w:r>
    </w:p>
    <w:p w14:paraId="286662DE"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 время, когда на танках Т-34 № 1 и № 3 испытывались средства связи, на танке № 2 приступили к демонтажу его основных узлов и агрегатов для проведения их дефектации. В течение трёх дней, с 4 по 6 декабря 1940 г., с танка были демонтированы и осмотрены: главный фрикцион, коробка передач, бортовые фрикционы, бортовые редукторы, источники и потребители электроэнергии. А снятый с танка дизель В-2 № 1227-06 был отправлен для дефектации на завод № 75. На этом испытания трех танков Т-34 длительным пробегом были завершены и специалисты НИ полигона ГАБТУ КА приступили к составлению отчета (18173).</w:t>
      </w:r>
    </w:p>
    <w:p w14:paraId="7AEB9904" w14:textId="77777777" w:rsidR="001278CD" w:rsidRPr="00A3026E" w:rsidRDefault="001278CD" w:rsidP="00A3026E">
      <w:pPr>
        <w:spacing w:after="0" w:line="240" w:lineRule="auto"/>
        <w:jc w:val="both"/>
        <w:rPr>
          <w:rFonts w:ascii="Times New Roman" w:hAnsi="Times New Roman"/>
          <w:color w:val="000000" w:themeColor="text1"/>
          <w:sz w:val="16"/>
          <w:szCs w:val="16"/>
        </w:rPr>
      </w:pPr>
    </w:p>
    <w:p w14:paraId="3B5A1B66" w14:textId="77777777" w:rsidR="00257CA1" w:rsidRPr="00A3026E" w:rsidRDefault="00257CA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декабря 1940 года директивой на</w:t>
      </w:r>
      <w:r w:rsidRPr="00A3026E">
        <w:rPr>
          <w:rFonts w:ascii="Times New Roman" w:hAnsi="Times New Roman"/>
          <w:color w:val="000000" w:themeColor="text1"/>
          <w:sz w:val="16"/>
          <w:szCs w:val="16"/>
        </w:rPr>
        <w:softHyphen/>
        <w:t>чальника Генерального штаба Красной Армии № 5/4/370 предписывалось «для обучения личного состава и сбережения материальной части боевых машин отпу</w:t>
      </w:r>
      <w:r w:rsidRPr="00A3026E">
        <w:rPr>
          <w:rFonts w:ascii="Times New Roman" w:hAnsi="Times New Roman"/>
          <w:color w:val="000000" w:themeColor="text1"/>
          <w:sz w:val="16"/>
          <w:szCs w:val="16"/>
        </w:rPr>
        <w:softHyphen/>
        <w:t>стить, исключительно как учебные, на каждый батальон тяжелых танков по 10 танкеток Т-27» (15232).</w:t>
      </w:r>
    </w:p>
    <w:p w14:paraId="0AD9F618" w14:textId="77777777" w:rsidR="00257CA1" w:rsidRPr="00A3026E" w:rsidRDefault="00257CA1" w:rsidP="00A3026E">
      <w:pPr>
        <w:spacing w:after="0" w:line="240" w:lineRule="auto"/>
        <w:jc w:val="both"/>
        <w:rPr>
          <w:rFonts w:ascii="Times New Roman" w:hAnsi="Times New Roman"/>
          <w:color w:val="000000" w:themeColor="text1"/>
          <w:sz w:val="16"/>
          <w:szCs w:val="16"/>
        </w:rPr>
      </w:pPr>
    </w:p>
    <w:p w14:paraId="66C2A89E"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декабря 1940. Главный конвейер автозавода имени Сталина (бывший АМО) перешел на серийную сборку автомобилей. Серийная сборка началась с автомобиля ЗИС-6 (18701).</w:t>
      </w:r>
    </w:p>
    <w:p w14:paraId="54CBB48D" w14:textId="77777777" w:rsidR="001278CD" w:rsidRPr="00A3026E" w:rsidRDefault="001278CD" w:rsidP="00A3026E">
      <w:pPr>
        <w:spacing w:after="0" w:line="240" w:lineRule="auto"/>
        <w:jc w:val="both"/>
        <w:rPr>
          <w:rFonts w:ascii="Times New Roman" w:hAnsi="Times New Roman"/>
          <w:color w:val="000000" w:themeColor="text1"/>
          <w:sz w:val="16"/>
          <w:szCs w:val="16"/>
        </w:rPr>
      </w:pPr>
    </w:p>
    <w:p w14:paraId="25DA686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декабря 1940 года вышел приказ № 325 НКВ</w:t>
      </w:r>
    </w:p>
    <w:p w14:paraId="46E50A5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Венюковскому заводу № 13 г. Лопасня, переданному из системы НКОМ в систему НКВ присвоить № 507 (6243, 17).</w:t>
      </w:r>
    </w:p>
    <w:p w14:paraId="5BC9B4C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428C042" w14:textId="77777777" w:rsidR="00257CA1"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0A6483E3" w14:textId="77777777" w:rsidR="00257CA1" w:rsidRPr="00A3026E" w:rsidRDefault="00257CA1" w:rsidP="00A3026E">
      <w:pPr>
        <w:spacing w:after="0" w:line="240" w:lineRule="auto"/>
        <w:jc w:val="both"/>
        <w:rPr>
          <w:rFonts w:ascii="Times New Roman" w:hAnsi="Times New Roman"/>
          <w:iCs/>
          <w:color w:val="000000" w:themeColor="text1"/>
          <w:sz w:val="16"/>
          <w:szCs w:val="16"/>
        </w:rPr>
      </w:pPr>
    </w:p>
    <w:p w14:paraId="4D24621F" w14:textId="77777777" w:rsidR="00257CA1" w:rsidRPr="00A3026E" w:rsidRDefault="00257CA1"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3 декабря </w:t>
      </w:r>
      <w:r w:rsidRPr="00A3026E">
        <w:rPr>
          <w:rFonts w:ascii="Times New Roman" w:hAnsi="Times New Roman"/>
          <w:color w:val="000000" w:themeColor="text1"/>
          <w:sz w:val="16"/>
          <w:szCs w:val="16"/>
        </w:rPr>
        <w:t>в 1940 году Франко (с определенными оговорками) информирует ОКВ о готовности вооруженных сил Испании к вторжению в зону Британского Гибралтара в феврале 1941 (14849).</w:t>
      </w:r>
    </w:p>
    <w:p w14:paraId="07D5241E" w14:textId="77777777" w:rsidR="00257CA1" w:rsidRPr="00A3026E" w:rsidRDefault="00257CA1" w:rsidP="00A3026E">
      <w:pPr>
        <w:spacing w:after="0" w:line="240" w:lineRule="auto"/>
        <w:jc w:val="both"/>
        <w:rPr>
          <w:rFonts w:ascii="Times New Roman" w:hAnsi="Times New Roman"/>
          <w:color w:val="000000" w:themeColor="text1"/>
          <w:sz w:val="16"/>
          <w:szCs w:val="16"/>
        </w:rPr>
      </w:pPr>
    </w:p>
    <w:p w14:paraId="16D7591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5E824237"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63316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декабря 1940 Нач. НИИ ВВС Филин и военком подписали Заключение по эскизному проекту бомбардировщика с мотором АМ-37 конструкции В.П.Горбунова.</w:t>
      </w:r>
    </w:p>
    <w:p w14:paraId="3102EE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Перечень представленных в эскизном проекте материалов:</w:t>
      </w:r>
    </w:p>
    <w:p w14:paraId="5877B5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общий вид в 3-х проектциях с боевой схемой вооружения</w:t>
      </w:r>
    </w:p>
    <w:p w14:paraId="0373F2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аэродинамические расчеты</w:t>
      </w:r>
    </w:p>
    <w:p w14:paraId="122A8E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весовые данные вариантов</w:t>
      </w:r>
    </w:p>
    <w:p w14:paraId="059F72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схемы центровки в тех же вариантах</w:t>
      </w:r>
    </w:p>
    <w:p w14:paraId="50E770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принципиальные схемы размещения вооружения для 3-х вариантов</w:t>
      </w:r>
    </w:p>
    <w:p w14:paraId="59CA60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перечни вооружения во всех вариантах</w:t>
      </w:r>
    </w:p>
    <w:p w14:paraId="43E133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ж) краткое описание конструкции</w:t>
      </w:r>
    </w:p>
    <w:p w14:paraId="318B088B"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Эскизный проект одноместного самолета-бомбардировщика с мотором АМ-37 разработан в 3-х вариантах:</w:t>
      </w:r>
    </w:p>
    <w:p w14:paraId="3DD39463"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пикирующий бомбардировщик с АМ-37 без ТК (СПБ)</w:t>
      </w:r>
    </w:p>
    <w:p w14:paraId="78F07646"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пикирующий бомбардировщик с АМ-37 с ТК (СВБ)</w:t>
      </w:r>
    </w:p>
    <w:p w14:paraId="3BF6533E"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двухместный истребитель сопровождения с АМ-37 ТК</w:t>
      </w:r>
    </w:p>
    <w:p w14:paraId="73E43614"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- 605 км/час, у земли - 485 км/час</w:t>
      </w:r>
    </w:p>
    <w:p w14:paraId="14FBA530"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Высотность - 10250 м</w:t>
      </w:r>
    </w:p>
    <w:p w14:paraId="14FCE919"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полетный - 4570 кг</w:t>
      </w:r>
    </w:p>
    <w:p w14:paraId="45872292"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0,8 макс. - 1270 км</w:t>
      </w:r>
    </w:p>
    <w:p w14:paraId="6C46279C"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- 120 км/час</w:t>
      </w:r>
    </w:p>
    <w:p w14:paraId="5A6A6D14"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 - 465 м</w:t>
      </w:r>
    </w:p>
    <w:p w14:paraId="3FE77733"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 - 405 м</w:t>
      </w:r>
    </w:p>
    <w:p w14:paraId="2DD4BEB0"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на крыло - 190 кг</w:t>
      </w:r>
    </w:p>
    <w:p w14:paraId="55A433A3"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Актуальность настоящего проекта заключается в том, что, используя опыт изготовления с-та И-301, конструктор сможет построить с-т целиком деревянной конструкции с применением упроченной древисины и бакелитовой смолы...</w:t>
      </w:r>
    </w:p>
    <w:p w14:paraId="175DDBEB"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6CA88D6"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Эскизный п-т с-та конструкции Грбунова одобрить и предложить конструктору переработать проект согласно указаниям в выводах.</w:t>
      </w:r>
    </w:p>
    <w:p w14:paraId="22F031A4"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Считать необходимым включитьпостройку самолета по проекту Горбунова в план опытного строительства на 1941 (1004,2)</w:t>
      </w:r>
    </w:p>
    <w:p w14:paraId="73AD2762" w14:textId="77777777" w:rsidR="00C66762" w:rsidRPr="00A3026E" w:rsidRDefault="00C66762" w:rsidP="00A3026E">
      <w:pPr>
        <w:numPr>
          <w:ilvl w:val="12"/>
          <w:numId w:val="0"/>
        </w:numPr>
        <w:spacing w:after="0" w:line="240" w:lineRule="auto"/>
        <w:jc w:val="both"/>
        <w:rPr>
          <w:rFonts w:ascii="Times New Roman" w:hAnsi="Times New Roman"/>
          <w:color w:val="000000" w:themeColor="text1"/>
          <w:sz w:val="16"/>
          <w:szCs w:val="16"/>
        </w:rPr>
      </w:pPr>
    </w:p>
    <w:p w14:paraId="54CCCD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декабря 1940 во изменение приказа НКАП от 21 сентября 1940 N 500с о проведении заводских испытаний ББ-22 2М105 вышел приказ НКАП N 685с о назначении в связи с болезнью л-и Латкина А.Е. л-и Пауль Я.Г. для проведения заводских испытаний этой модификации конструктора Л.П.Курбала, выполненной на заводе 81 (пикирующего бомбардировщика) (415,35).</w:t>
      </w:r>
    </w:p>
    <w:p w14:paraId="4FF059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СЕКРЕТНО</w:t>
      </w:r>
    </w:p>
    <w:p w14:paraId="52AC64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Р И К А 3</w:t>
      </w:r>
    </w:p>
    <w:p w14:paraId="3A8C5D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НАРОДНОГО КОМИССАРА АВИАЦИОННОЙ ПРОМЫШЛЕННОСТИ СССР</w:t>
      </w:r>
    </w:p>
    <w:p w14:paraId="35E53B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изменение приказа по НКАП за № 500с от 21 сентября 1940 года в связи с болезнью летчика испытателя тов. ЛАТКИНА А.Е. ПРИКАЗЫВАЮ:</w:t>
      </w:r>
    </w:p>
    <w:p w14:paraId="363505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w:t>
      </w:r>
    </w:p>
    <w:p w14:paraId="2B1F6A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Летчиком испытателем для проведения заводских испы</w:t>
      </w:r>
      <w:r w:rsidRPr="00A3026E">
        <w:rPr>
          <w:rFonts w:ascii="Times New Roman" w:hAnsi="Times New Roman"/>
          <w:color w:val="000000" w:themeColor="text1"/>
          <w:sz w:val="16"/>
          <w:szCs w:val="16"/>
        </w:rPr>
        <w:softHyphen/>
        <w:t>таний самолета ПББ-22 2М105 модификации конструктора, тов. КУРБАЛА Л.П. на заводе № 81, назначить летчика испытателя тов. ПАУЛЬ Я.Г.</w:t>
      </w:r>
    </w:p>
    <w:p w14:paraId="6F4DC9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w:t>
      </w:r>
    </w:p>
    <w:p w14:paraId="162782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Установить дополнительную оплату летчику испытателю тов. ПАУЛЬ Я.Г. за проведение испытаний в установленный срок 20.000 рублей.</w:t>
      </w:r>
    </w:p>
    <w:p w14:paraId="04B982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Авиационной Промышленности</w:t>
      </w:r>
    </w:p>
    <w:p w14:paraId="5BC357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(А.ШАХУРИН) (415,35)</w:t>
      </w:r>
    </w:p>
    <w:p w14:paraId="6FF6415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5353D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декабря 1940 г. Приказом НКАП №689 для проведения заводских испытаний са</w:t>
      </w:r>
      <w:r w:rsidRPr="00A3026E">
        <w:rPr>
          <w:rFonts w:ascii="Times New Roman" w:hAnsi="Times New Roman"/>
          <w:color w:val="000000" w:themeColor="text1"/>
          <w:sz w:val="16"/>
          <w:szCs w:val="16"/>
        </w:rPr>
        <w:softHyphen/>
        <w:t>молета «103» назначили экипаж из испытателей НИИ ВВС: первый летчик - М. А.Нюхтиков, второй - Ф.Ф.Опадчий, штурман - А.М.Акопян (10728).</w:t>
      </w:r>
    </w:p>
    <w:p w14:paraId="7697B9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5BFAB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декабря 1940 вышел приказ НКАП N 689с по испытаниям 103 (1301,168). Для заводских испытаний назначили экипаж НИИ ВВС 1 л М.А.Нюхтиков, 2 л Ф.Ф.Опадчий, ш А.М.Акопян (1835,13).</w:t>
      </w:r>
    </w:p>
    <w:p w14:paraId="151DEA2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7AB91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декабря 1940 вышел приказ наркома авиапромышленности, на основании которого ди</w:t>
      </w:r>
      <w:r w:rsidRPr="00A3026E">
        <w:rPr>
          <w:rFonts w:ascii="Times New Roman" w:hAnsi="Times New Roman"/>
          <w:color w:val="000000" w:themeColor="text1"/>
          <w:sz w:val="16"/>
          <w:szCs w:val="16"/>
        </w:rPr>
        <w:softHyphen/>
        <w:t>ректору завода № 1 надлежало подготовить 10 самолетов И—200 и доставить их в Качу не позднее 15 декабря. Общее руководство испытаниями было возложено на летчика-испытателя С.П.Супруна (9984).</w:t>
      </w:r>
    </w:p>
    <w:p w14:paraId="4BEE98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B560A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декабря 1940 вышел приказ НКАП N 688, в соответствии с которым директору завода 1 было поручено подготовить и доставить в Качу 10 И-200 (МиГ-1) 15 декабря. Общее руководство войсковыми испытаниями возложили на С.П.Супруна (4415,32).</w:t>
      </w:r>
    </w:p>
    <w:p w14:paraId="4EE86CB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59F0B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декабря 1940 первые десять МиГ поступили на войсковые испытания (1084,20).</w:t>
      </w:r>
    </w:p>
    <w:p w14:paraId="017FC2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с завода вышел последний из первых 100 МиГ-1. В декабре же на 1 заводе выпустили первые МиГ-3 и к концу месяца сделали 11 (1084,20).</w:t>
      </w:r>
    </w:p>
    <w:p w14:paraId="1D6724F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9030502" w14:textId="77777777" w:rsidR="00257CA1" w:rsidRPr="00A3026E" w:rsidRDefault="00257CA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декабря 1940 на совещании при первом отделе 7-го (истребительного) Главного управления НКАП было решено дальнейшее совершенствование истребителя ИП-21 конструкции Пашинина прекратить. ОКБ и опытное производство завода № 21 в соответствии с еще более ранним приказом НКАП за № 623сс от 10 октября 1940 г. передавалось главному конструктору С.А. Лавочкину. Однако, несмотря на столь категоричные и основательные решения, история ИП-21 продолжалась. Именно в эти дни был закончен и поднят в воздух летчиком И.И. Большаковым третий опытный экземпляр. По ускоренной программе до 14 декабря 1940 г. удалось провести заводские испытания самолета (15561).</w:t>
      </w:r>
    </w:p>
    <w:p w14:paraId="23E3EFD0" w14:textId="77777777" w:rsidR="00257CA1" w:rsidRPr="00A3026E" w:rsidRDefault="00257CA1" w:rsidP="00A3026E">
      <w:pPr>
        <w:spacing w:after="0" w:line="240" w:lineRule="auto"/>
        <w:jc w:val="both"/>
        <w:rPr>
          <w:rFonts w:ascii="Times New Roman" w:hAnsi="Times New Roman"/>
          <w:color w:val="000000" w:themeColor="text1"/>
          <w:sz w:val="16"/>
          <w:szCs w:val="16"/>
        </w:rPr>
      </w:pPr>
    </w:p>
    <w:p w14:paraId="7A73C4BB" w14:textId="77777777" w:rsidR="00C877C3" w:rsidRPr="00A3026E" w:rsidRDefault="00C877C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4 декабря 1940 г. начальник ГУ ВВС генерал-лей</w:t>
      </w:r>
      <w:r w:rsidRPr="00A3026E">
        <w:rPr>
          <w:color w:val="000000" w:themeColor="text1"/>
          <w:sz w:val="16"/>
          <w:szCs w:val="16"/>
        </w:rPr>
        <w:softHyphen/>
        <w:t>тенант П. В. Рычагов обратился к наркому внутрен</w:t>
      </w:r>
      <w:r w:rsidRPr="00A3026E">
        <w:rPr>
          <w:color w:val="000000" w:themeColor="text1"/>
          <w:sz w:val="16"/>
          <w:szCs w:val="16"/>
        </w:rPr>
        <w:softHyphen/>
        <w:t>них дел Л. П. Берия и наркому авиапромышленно</w:t>
      </w:r>
      <w:r w:rsidRPr="00A3026E">
        <w:rPr>
          <w:color w:val="000000" w:themeColor="text1"/>
          <w:sz w:val="16"/>
          <w:szCs w:val="16"/>
        </w:rPr>
        <w:softHyphen/>
        <w:t>сти А. И. Шахурину с просьбой как можно скорее начать эскизное проектирование истребителей, рассчитанных на применение 37-мм пушек, с це</w:t>
      </w:r>
      <w:r w:rsidRPr="00A3026E">
        <w:rPr>
          <w:color w:val="000000" w:themeColor="text1"/>
          <w:sz w:val="16"/>
          <w:szCs w:val="16"/>
        </w:rPr>
        <w:softHyphen/>
        <w:t>лью выбора наилучшего проекта для дальнейшей реализации. Предлагалось дать распоряжения кон</w:t>
      </w:r>
      <w:r w:rsidRPr="00A3026E">
        <w:rPr>
          <w:color w:val="000000" w:themeColor="text1"/>
          <w:sz w:val="16"/>
          <w:szCs w:val="16"/>
        </w:rPr>
        <w:softHyphen/>
        <w:t>структорам-самолетчикам о срочной разработке под эти пушки установок на проектирующиеся са</w:t>
      </w:r>
      <w:r w:rsidRPr="00A3026E">
        <w:rPr>
          <w:color w:val="000000" w:themeColor="text1"/>
          <w:sz w:val="16"/>
          <w:szCs w:val="16"/>
        </w:rPr>
        <w:softHyphen/>
        <w:t>молеты.</w:t>
      </w:r>
    </w:p>
    <w:p w14:paraId="464F2B0A" w14:textId="77777777" w:rsidR="00C877C3" w:rsidRPr="00A3026E" w:rsidRDefault="00C877C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Копии писем были направлены «начальнику ОКБ-15 Герою Социалистического Труда тов. Шпи</w:t>
      </w:r>
      <w:r w:rsidRPr="00A3026E">
        <w:rPr>
          <w:color w:val="000000" w:themeColor="text1"/>
          <w:sz w:val="16"/>
          <w:szCs w:val="16"/>
        </w:rPr>
        <w:softHyphen/>
        <w:t>тальному» и «начальнику ОКБ-16 тов. Таубину» (17500).</w:t>
      </w:r>
    </w:p>
    <w:p w14:paraId="6632EC7B" w14:textId="77777777" w:rsidR="00C877C3" w:rsidRPr="00A3026E" w:rsidRDefault="00C877C3" w:rsidP="00A3026E">
      <w:pPr>
        <w:pStyle w:val="128"/>
        <w:shd w:val="clear" w:color="auto" w:fill="auto"/>
        <w:spacing w:after="0" w:line="240" w:lineRule="auto"/>
        <w:jc w:val="both"/>
        <w:rPr>
          <w:color w:val="000000" w:themeColor="text1"/>
          <w:sz w:val="16"/>
          <w:szCs w:val="16"/>
        </w:rPr>
      </w:pPr>
    </w:p>
    <w:p w14:paraId="4AA720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декабря 1940 года в письме конструкторского отдела завода № 84 в 7 главное управление НКАП приводятся следующие данные, основанные на использовании моторов на 0,9 номинальной мощности:</w:t>
      </w:r>
    </w:p>
    <w:p w14:paraId="088FCA6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Самое важное свойство транспортного самолета – дальность падает против ПС-84 с 2400 км до 2200-23000 км.</w:t>
      </w:r>
    </w:p>
    <w:p w14:paraId="0F537D8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пассажиров при полете на максимальную дальность увеличивается только с 13 до 15.</w:t>
      </w:r>
    </w:p>
    <w:p w14:paraId="11033D7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Главным доводом в пользу модифицированного самолета авторы считают увеличение скорости с 340 до 450 км/час.</w:t>
      </w:r>
    </w:p>
    <w:p w14:paraId="445907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Цифра 450 км авторами получена исходя из использования моторов на 0,9 номинала при низко-октановом топливе; в действительности моторы можно будет в этих условиях эксплуатировать не более как при 0,7 номинала и предполагаемая скорость упадет, примерно, до 400 км/час.</w:t>
      </w:r>
    </w:p>
    <w:p w14:paraId="269483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Разница в скорости в указанных пределах не является для транспортного самолета столь важным свойством, как грузоподъемность и дальность.</w:t>
      </w:r>
    </w:p>
    <w:p w14:paraId="2A7FD2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Предлагаемая модификация самолета ПС-84 под моторы М-71 неправильно направлена. Завод должен дать как можно больше самолетов в их настоящем виде, а в дальнейшем работать по линии увеличения грузоподъемности и дальности самолета на дешевом низко-октановом топливе.</w:t>
      </w:r>
    </w:p>
    <w:p w14:paraId="04C080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этим заводу дано задание о разработке проекта самолета ПС-84 с дизель-мотором (4049,24-25).</w:t>
      </w:r>
    </w:p>
    <w:p w14:paraId="681CB3B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0266E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4 декабря 1940 г. завод № 455 получил 5 % чертежей на при</w:t>
      </w:r>
      <w:r w:rsidRPr="00A3026E">
        <w:rPr>
          <w:rFonts w:ascii="Times New Roman" w:hAnsi="Times New Roman"/>
          <w:color w:val="000000" w:themeColor="text1"/>
          <w:sz w:val="16"/>
          <w:szCs w:val="16"/>
        </w:rPr>
        <w:softHyphen/>
        <w:t>способления, а заводы № 43 и 454 вообще не получили ни одного такого чертежа. Не в последнюю очередь именно ма</w:t>
      </w:r>
      <w:r w:rsidRPr="00A3026E">
        <w:rPr>
          <w:rFonts w:ascii="Times New Roman" w:hAnsi="Times New Roman"/>
          <w:color w:val="000000" w:themeColor="text1"/>
          <w:sz w:val="16"/>
          <w:szCs w:val="16"/>
        </w:rPr>
        <w:softHyphen/>
        <w:t>лыми надеждами на получение документации и оснастки с за</w:t>
      </w:r>
      <w:r w:rsidRPr="00A3026E">
        <w:rPr>
          <w:rFonts w:ascii="Times New Roman" w:hAnsi="Times New Roman"/>
          <w:color w:val="000000" w:themeColor="text1"/>
          <w:sz w:val="16"/>
          <w:szCs w:val="16"/>
        </w:rPr>
        <w:softHyphen/>
        <w:t>вода № 1 объясняются метания с назначением модели для вы</w:t>
      </w:r>
      <w:r w:rsidRPr="00A3026E">
        <w:rPr>
          <w:rFonts w:ascii="Times New Roman" w:hAnsi="Times New Roman"/>
          <w:color w:val="000000" w:themeColor="text1"/>
          <w:sz w:val="16"/>
          <w:szCs w:val="16"/>
        </w:rPr>
        <w:softHyphen/>
        <w:t>пуска на заводе № 165. Хотя первоначально предполагалось, что там также будут выпускаться И-200, 29 декабря 1940 г. было решено переориентировать завод на выпуск И-301. Го</w:t>
      </w:r>
      <w:r w:rsidRPr="00A3026E">
        <w:rPr>
          <w:rFonts w:ascii="Times New Roman" w:hAnsi="Times New Roman"/>
          <w:color w:val="000000" w:themeColor="text1"/>
          <w:sz w:val="16"/>
          <w:szCs w:val="16"/>
        </w:rPr>
        <w:softHyphen/>
        <w:t>ловным заводом, с которого в Днепропетровск должны были поступать чертежи и приспособления, был назначен ленин</w:t>
      </w:r>
      <w:r w:rsidRPr="00A3026E">
        <w:rPr>
          <w:rFonts w:ascii="Times New Roman" w:hAnsi="Times New Roman"/>
          <w:color w:val="000000" w:themeColor="text1"/>
          <w:sz w:val="16"/>
          <w:szCs w:val="16"/>
        </w:rPr>
        <w:softHyphen/>
        <w:t xml:space="preserve">градский завод № 23 (РГАЭ. Ф. 8044.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203. Л. 278.) (12011).</w:t>
      </w:r>
    </w:p>
    <w:p w14:paraId="4D69551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CF1A5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Декабря 1940 г. НАЧАЛЬНИК ГУ ВВС К.А. гла РЫЧАГОВ писал письмо № 556460с</w:t>
      </w:r>
    </w:p>
    <w:p w14:paraId="3D6413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 СЕКРЕТНО</w:t>
      </w:r>
    </w:p>
    <w:p w14:paraId="434071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НАРОДНОМУ КОМИССАРУ АВИАЦИОННОЙ ПРОМЫШ</w:t>
      </w:r>
      <w:r w:rsidRPr="00A3026E">
        <w:rPr>
          <w:rFonts w:ascii="Times New Roman" w:hAnsi="Times New Roman"/>
          <w:color w:val="000000" w:themeColor="text1"/>
          <w:sz w:val="16"/>
          <w:szCs w:val="16"/>
        </w:rPr>
        <w:softHyphen/>
        <w:t>ЛЕННОСТИ СОЮЗА ССР - тов. ШАХУРИНУ.</w:t>
      </w:r>
    </w:p>
    <w:p w14:paraId="1A457E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Начальнику ОКБ-15 Герою Социалистического Труда. тов. ШПИТАЛЬНОМУ</w:t>
      </w:r>
    </w:p>
    <w:p w14:paraId="7705E9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ОКБ-16 тов. ТАУБИНУ.</w:t>
      </w:r>
    </w:p>
    <w:p w14:paraId="38EAF1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Па Постановлению К.О. при СНК СССР № 1882-779 от 4/Х1 с.г. конструктора т. ШПИТАЛЪНЫЙ и т. ТАУБИН разрабатывают 27 м.м. автоматические авиационные пушки.</w:t>
      </w:r>
    </w:p>
    <w:p w14:paraId="284BFA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Наземные полигонные испытания пушек начнутся 25-го Декабря с.г.</w:t>
      </w:r>
    </w:p>
    <w:p w14:paraId="05D217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экономии времени по внедрению этих пушек в авиации, считаю крайне важным уже сейчас начать эскизное прорктирование истребителей, расчитанных на применение 37 м.м. пушек. По эскизным проектам можно будет остановиться на наиболее удачных вариантах для разработки окончат ельного проекта. Прошу Вашего распоряжения конструкторам - самолетчикам о срочной разработке под эти пушки установок на проектирующиеся самолеты.</w:t>
      </w:r>
    </w:p>
    <w:p w14:paraId="67DFAA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Габаритные чертежи и основные данные пушек будут выесланы ОКБ-15 и ОКБ-16, по Вашему указанию, проектирующим организациям.</w:t>
      </w:r>
    </w:p>
    <w:p w14:paraId="0AAF69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НАЧАЛЬНИК ГУ ВВС К.А. гла РЫЧАГОВ (4156,7)</w:t>
      </w:r>
    </w:p>
    <w:p w14:paraId="065DF9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E4AE4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Декабря 1940 г. НАЧАЛЬНИК ГУ ВВС К.А. гла РЫЧАГОВ писал письмо № 556461с</w:t>
      </w:r>
    </w:p>
    <w:p w14:paraId="7A2CDA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 СЕКРЕТНО</w:t>
      </w:r>
    </w:p>
    <w:p w14:paraId="25CE8A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НАРОДНОМУ КОМИССАРУ ВНУТРЕННИХ ДЕЛ СОЮЗА ССР - тов. БЕРИЯ.</w:t>
      </w:r>
    </w:p>
    <w:p w14:paraId="7F95AE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Начальнику ОКБ-15 Герою Социалистического Труда. тов. ШПИТАЛЬНОМУ</w:t>
      </w:r>
    </w:p>
    <w:p w14:paraId="2C579C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ОКБ-16 тов. ТАУБИНУ.</w:t>
      </w:r>
    </w:p>
    <w:p w14:paraId="3828B0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 Постановлению К.О. при СНК СССР № 1882-779 от 4/Х1 с.г. конструктора т. ШПИТАЛЪНЫЙ и т. ТАУБИН разрабатывают 27 м.м. автоматические авиационные пушки.</w:t>
      </w:r>
    </w:p>
    <w:p w14:paraId="0C11D5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Наземные полигонные испытания пушек начнутся 25-го Декабря с.г.</w:t>
      </w:r>
    </w:p>
    <w:p w14:paraId="23328D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экономии времени по внедрению этих пушек в авиации, считаю крайне важным уже сейчас начать эскизное прорктирование истребителей, расчитанных на применение 37 м.м. пушек. По эскизным проектам можно будет остановиться на наиболее удачных вариантах для разработки окончат ельного проекта. Прошу Вашего распоряжения конструкторам - самолетчикам о срочной разработке под эти пушки установок на проектирующиеся самолеты.</w:t>
      </w:r>
    </w:p>
    <w:p w14:paraId="655CDD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Габаритные чертежи и основные данные пушек будут выесланы ОКБ-15 и ОКБ-16, по Вашему указанию, проектирующим организациям.</w:t>
      </w:r>
    </w:p>
    <w:p w14:paraId="36AFAE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НАЧАЛЬНИК ГУ ВВС К.А. гла РЫЧАГОВ (4156,8)</w:t>
      </w:r>
    </w:p>
    <w:p w14:paraId="0CBF868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A9819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декабря 1940 года на НИП АВ ВВС закончились полигонные испытания подкрыльной ампульно-бомбовой кассеты (АБК-II) конструкции завода № 145 на самолете СБ, которые проходили с 23 августа 1940</w:t>
      </w:r>
    </w:p>
    <w:p w14:paraId="281E8D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37326D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Лукашев</w:t>
      </w:r>
    </w:p>
    <w:p w14:paraId="249430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6408B8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Целью полигонных испытаний ампульно-бомбовой кассеты (АБК-II) являлось определение следующих конструктивно-эксплуатационных и боевых качеств:</w:t>
      </w:r>
    </w:p>
    <w:p w14:paraId="3D88357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Прочности и надежность конструкции.</w:t>
      </w:r>
    </w:p>
    <w:p w14:paraId="2D78D38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Безотказности работы механизма кассеты при нормальных и низких температурах.</w:t>
      </w:r>
    </w:p>
    <w:p w14:paraId="0F58AB9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Вариантов бомбовой нагрузки.</w:t>
      </w:r>
    </w:p>
    <w:p w14:paraId="57BB210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Характера распределения бомб на площади при сбрасывании с различных высот.</w:t>
      </w:r>
    </w:p>
    <w:p w14:paraId="40F0238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Удобства и безопасности в эксплуатации</w:t>
      </w:r>
    </w:p>
    <w:p w14:paraId="5790AF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Подкрыльная ампульная кассета (АК-II) предназначалась для ампулометания с самолета СБ.</w:t>
      </w:r>
    </w:p>
    <w:p w14:paraId="64AFE5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Кассета испытывалась в 1939 году на ампулах АК-2 с диаметром 125 мм и диаметром 260 мм и показала удовлетворительные боевые качества, простоту конструкции, безотказность работы ее механизмов в нормальных условиях и при низких температурах.</w:t>
      </w:r>
    </w:p>
    <w:p w14:paraId="4B08EE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заводом № 145 была поставлена задача пересмотреть конструкцию подкрыльной ампульной кассеты с целью создания универсального прибора разового действия для применения из нее не только ампул, но и бомб мелкого калибра.</w:t>
      </w:r>
    </w:p>
    <w:p w14:paraId="30C32F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4AFF31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внесения изменений в конструкцию кассеты на заводских испытаниях с бомбами в феврале 1940 года был выявлен ряд дополнительных конструктивных недостатков ………………..</w:t>
      </w:r>
    </w:p>
    <w:p w14:paraId="3B2C30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95966D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Подкрыльная ампульно-бомбовая кассета (АБК-II) конструкции завода № 145 полигонные испытания выдержала (7843).</w:t>
      </w:r>
    </w:p>
    <w:p w14:paraId="65CC1B2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623B86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декабря 1940 года начальник НИП АВ ВВС полковник Шевченко утвердил:</w:t>
      </w:r>
    </w:p>
    <w:p w14:paraId="20B537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полигонным испытаниям модернизированного прибора ВАП-6 м конструкции завода "Вулкан" на самолете И-15 бис</w:t>
      </w:r>
    </w:p>
    <w:p w14:paraId="631663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18 ноября 1940 года</w:t>
      </w:r>
    </w:p>
    <w:p w14:paraId="6CE895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27 ноября 1940 года</w:t>
      </w:r>
    </w:p>
    <w:p w14:paraId="31BC91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2A208C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Лукашев</w:t>
      </w:r>
    </w:p>
    <w:p w14:paraId="3DC83D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45E445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процессе полигонных испытаний необходимо было проверить следующие конструктивно-эксплуатационные элементы:</w:t>
      </w:r>
    </w:p>
    <w:p w14:paraId="6150141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Прочность и надежность конструкции.</w:t>
      </w:r>
    </w:p>
    <w:p w14:paraId="581FB80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Безотказность работы механизмов прибора.</w:t>
      </w:r>
    </w:p>
    <w:p w14:paraId="53E4DB0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Возможность забрызгивания самолета.</w:t>
      </w:r>
    </w:p>
    <w:p w14:paraId="0DB3BBF8"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 дробления жидкости на площади при выливании.</w:t>
      </w:r>
    </w:p>
    <w:p w14:paraId="433EC8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A9CB5D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на полигонные испытания заводом "ВУЛКАН" модернизированный ВАП-6 м полигонные испытания выдержал (7602).</w:t>
      </w:r>
    </w:p>
    <w:p w14:paraId="48F8358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52A0F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декабря 1940 года в НИИ ВВС закончились полигонные испытания подкрыльной ампульно-бомбовой кассеты (АБК-П) конструкции завода № 145 на самолете СБ, которые проходили с 23 августа 1940</w:t>
      </w:r>
    </w:p>
    <w:p w14:paraId="6999CA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4BFE30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Лукашев</w:t>
      </w:r>
    </w:p>
    <w:p w14:paraId="71905A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49D9DC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Целью полигонных испытаний ампульно-бомбовой кассеты (АБК-П) явилось определение следующих конструктивно-эксплуатационных и боевых качеств:</w:t>
      </w:r>
    </w:p>
    <w:p w14:paraId="45F13D70" w14:textId="77777777" w:rsidR="00C66762" w:rsidRPr="00A3026E" w:rsidRDefault="00C66762" w:rsidP="00A3026E">
      <w:pPr>
        <w:pStyle w:val="22"/>
        <w:widowControl/>
        <w:tabs>
          <w:tab w:val="left" w:pos="360"/>
        </w:tabs>
        <w:rPr>
          <w:color w:val="000000" w:themeColor="text1"/>
        </w:rPr>
      </w:pPr>
      <w:r w:rsidRPr="00A3026E">
        <w:rPr>
          <w:color w:val="000000" w:themeColor="text1"/>
        </w:rPr>
        <w:t>Прочности и надежности конструкции.</w:t>
      </w:r>
    </w:p>
    <w:p w14:paraId="52CED9B0" w14:textId="77777777" w:rsidR="00C66762" w:rsidRPr="00A3026E" w:rsidRDefault="00C66762" w:rsidP="00A3026E">
      <w:pPr>
        <w:pStyle w:val="22"/>
        <w:widowControl/>
        <w:tabs>
          <w:tab w:val="left" w:pos="360"/>
        </w:tabs>
        <w:rPr>
          <w:color w:val="000000" w:themeColor="text1"/>
        </w:rPr>
      </w:pPr>
      <w:r w:rsidRPr="00A3026E">
        <w:rPr>
          <w:color w:val="000000" w:themeColor="text1"/>
        </w:rPr>
        <w:t>Безотказности работы механизма кассеты при нормальных и низких температурах.</w:t>
      </w:r>
    </w:p>
    <w:p w14:paraId="64821345"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Вариантов бомбовой загрузки.</w:t>
      </w:r>
    </w:p>
    <w:p w14:paraId="6D2A3234"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Характера распределения бомб на площади при сбрасывании с различных высот.</w:t>
      </w:r>
    </w:p>
    <w:p w14:paraId="06D4E390" w14:textId="77777777" w:rsidR="00C66762" w:rsidRPr="00A3026E" w:rsidRDefault="00C66762" w:rsidP="00A3026E">
      <w:pPr>
        <w:pStyle w:val="22"/>
        <w:widowControl/>
        <w:tabs>
          <w:tab w:val="left" w:pos="360"/>
        </w:tabs>
        <w:rPr>
          <w:color w:val="000000" w:themeColor="text1"/>
        </w:rPr>
      </w:pPr>
      <w:r w:rsidRPr="00A3026E">
        <w:rPr>
          <w:color w:val="000000" w:themeColor="text1"/>
        </w:rPr>
        <w:t>Удобства и безопасности в эксплуатации.</w:t>
      </w:r>
    </w:p>
    <w:p w14:paraId="302AC9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Подкрыльная ампульная кассета (АК-П) предназначалась для ампулометания с с самолета СБ. Перед заводом № 145 была поставлена задача пересмотреть конструкцию подкрыльной ампульной кассеты с целью создания универсального прибора разового действия для применения из нее не только ампул, но и бомб мелкого калибра.</w:t>
      </w:r>
    </w:p>
    <w:p w14:paraId="7489CA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651DDF8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Предъявленная на полигонные испытания подкрыльная ампульно-бомбовая кассета (АБК-П) конструкции завода № 145 полигонные испытания выдержала (7406).</w:t>
      </w:r>
    </w:p>
    <w:p w14:paraId="4614833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1BFB0B5C"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8EF803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717B0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4 декабря 1940 г. по 27 января 1941 г. и с 27 апреля по 27 мая 1941 г. были проведены полигонные испытания опытного образца Б-2-ЛМ - 130-мм башенной двухорудийной установки ОТБ. Всего сделано 240 выстрелов. По результатам испытаний установка была рекомендована к принятию на вооружение.</w:t>
      </w:r>
    </w:p>
    <w:p w14:paraId="12E3A0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8 июля 1941 г. три башни Б-2-ЛМ были установлены на лидере «Ташкент» вместо Б-13. Государственные корабельные испытания проведены на нем же в июле 1941 г. в Севастопольской бухте. Вследствие поспешной эвакуации на заводе № 198 (г. Николаев) было оставлено 5 башен Б-2-ЛМ. В 1942 г. ГКО обязал Наркомат судостроительной промышленности (НКСП) организовать производство установок Б-2-ЛМ на заводе № 402 (г. Молотов).</w:t>
      </w:r>
    </w:p>
    <w:p w14:paraId="418282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послевоенный период производство Б-2-ЛМ велось до 1953 г. на заводах «Большевик», Старокраматорском машиностроительном заводе и на заводе № 75 (г. Юрга).</w:t>
      </w:r>
    </w:p>
    <w:p w14:paraId="46E2CA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Кроме «Ташкента», Б-2-ЛМ устанавливали на эсминцах проектов 30К и 30бис и одном эсминце проекта 7.</w:t>
      </w:r>
    </w:p>
    <w:p w14:paraId="058DB9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заслуги в создании Б-2-ЛМ ее главный конструктор Лодкин был досрочно освобожден в 1943 г., награжден двумя орденами и Сталинской премией. После освобождения он остался работать в ОКБ-172 до его расформирования, а затем до самой смерти в 1955 г. работал в ОКБ-43.</w:t>
      </w:r>
    </w:p>
    <w:p w14:paraId="29128A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Б-2-ЛМ имела ствол моноблок с глубокой нарезкой. Затвор поршневой двухтактный. У правого и левого орудий затворы открывались влево. Хотя проектом предусматривалось пневматическое открывание затвора, открывались они вручную. Каждое орудие имело свою люльку. Качающаяся часть аналогична Б-13. Механизмы вертикального и горизонтального наведения имели электроприводы.</w:t>
      </w:r>
    </w:p>
    <w:p w14:paraId="475E7E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Подъем боеприпасов во вращающейся части производился по шахтам подачи каретками раздельно для каждого орудия (подача цепного типа). Шахта проходила через боевой стол и подбашенное отделение и прикреплялась к палубе этого отделения через центрирующий штырь. Передача боеприпасов с неподвижной части на вращающуюся производилась вручную.</w:t>
      </w:r>
    </w:p>
    <w:p w14:paraId="0F33D0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Носовая («высокая») и кормовая («низкая») башни эсминцев различались высотой жесткого барабана (4075 мм и 3700 мм соответственно).</w:t>
      </w:r>
    </w:p>
    <w:p w14:paraId="51CCB7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Б-2-ЛМ оснащалась прицелом МБ-6.</w:t>
      </w:r>
    </w:p>
    <w:p w14:paraId="35AA98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Данные установки Б-2-ЛМ </w:t>
      </w:r>
    </w:p>
    <w:p w14:paraId="6CAA59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Калибр, мм — 130</w:t>
      </w:r>
    </w:p>
    <w:p w14:paraId="5E4B55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ствола, мм/клб — 6581/50,6</w:t>
      </w:r>
    </w:p>
    <w:p w14:paraId="0B0E27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лейнера, мм/клб — 6450/49,6</w:t>
      </w:r>
    </w:p>
    <w:p w14:paraId="3904FF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нарезной части, мм — 5199</w:t>
      </w:r>
    </w:p>
    <w:p w14:paraId="0FC5A4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Объем каморы, дм3 — 17,53</w:t>
      </w:r>
    </w:p>
    <w:p w14:paraId="2C4B27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Крутизна нарезов (постоянная), клб — 25</w:t>
      </w:r>
    </w:p>
    <w:p w14:paraId="5A265C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нарезов — 40</w:t>
      </w:r>
    </w:p>
    <w:p w14:paraId="0CBFB2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нарезов, мм — 2,7</w:t>
      </w:r>
    </w:p>
    <w:p w14:paraId="312BA5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нарезов, мм — 6,0</w:t>
      </w:r>
    </w:p>
    <w:p w14:paraId="727283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полей, мм — 4,2</w:t>
      </w:r>
    </w:p>
    <w:p w14:paraId="2E1E17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затвора, кг — около 133</w:t>
      </w:r>
    </w:p>
    <w:p w14:paraId="5374B9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лейнера, кг — 487</w:t>
      </w:r>
    </w:p>
    <w:p w14:paraId="3FED65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ствола, кг — 3680</w:t>
      </w:r>
    </w:p>
    <w:p w14:paraId="11633C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ствола с казенником и затвором, кг — 5070</w:t>
      </w:r>
    </w:p>
    <w:p w14:paraId="270D19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УголВН, град — ?5;+45</w:t>
      </w:r>
    </w:p>
    <w:p w14:paraId="3C8ED7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Угол заряжания, град — ?5; +45</w:t>
      </w:r>
    </w:p>
    <w:p w14:paraId="4EE126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Угол ГН, град — 360</w:t>
      </w:r>
    </w:p>
    <w:p w14:paraId="2E7F5D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ВН, град/с: от электродвигателя — 9,85</w:t>
      </w:r>
    </w:p>
    <w:p w14:paraId="6737CD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вручную — 6</w:t>
      </w:r>
    </w:p>
    <w:p w14:paraId="62D14D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ГН, град/с: от электродвигателя — 9,7</w:t>
      </w:r>
    </w:p>
    <w:p w14:paraId="129FC5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вручную — 2,3</w:t>
      </w:r>
    </w:p>
    <w:p w14:paraId="1657F7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Радиус подъемного сектора, мм — 915</w:t>
      </w:r>
    </w:p>
    <w:p w14:paraId="47C325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Диаметр шаров, мм — 76,2</w:t>
      </w:r>
    </w:p>
    <w:p w14:paraId="2472C2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шаров — 120</w:t>
      </w:r>
    </w:p>
    <w:p w14:paraId="618EB0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вертикальных катков — 9</w:t>
      </w:r>
    </w:p>
    <w:p w14:paraId="3A0E4F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отката максимальная, мм — 505</w:t>
      </w:r>
    </w:p>
    <w:p w14:paraId="521CAA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Превышение оси орудия над осью цапф, мм — 6</w:t>
      </w:r>
    </w:p>
    <w:p w14:paraId="30D768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линии огня над палубой, мм — 2227</w:t>
      </w:r>
    </w:p>
    <w:p w14:paraId="52DF14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оси орудия над полом боевого отделения, мм — 1540</w:t>
      </w:r>
    </w:p>
    <w:p w14:paraId="5313AC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башни от нижнего штыря до верха крыши, мм — 5400 (12091).</w:t>
      </w:r>
    </w:p>
    <w:p w14:paraId="34C6B56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62B2F87" w14:textId="77777777" w:rsidR="001278CD" w:rsidRPr="00A3026E" w:rsidRDefault="001278CD"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01CB1D79" w14:textId="77777777" w:rsidR="001278CD" w:rsidRPr="00A3026E" w:rsidRDefault="001278CD" w:rsidP="00A3026E">
      <w:pPr>
        <w:spacing w:after="0" w:line="240" w:lineRule="auto"/>
        <w:jc w:val="both"/>
        <w:rPr>
          <w:rFonts w:ascii="Times New Roman" w:hAnsi="Times New Roman"/>
          <w:iCs/>
          <w:color w:val="000000" w:themeColor="text1"/>
          <w:sz w:val="16"/>
          <w:szCs w:val="16"/>
        </w:rPr>
      </w:pPr>
    </w:p>
    <w:p w14:paraId="63A5E403" w14:textId="77777777" w:rsidR="00E043DA" w:rsidRPr="00A3026E" w:rsidRDefault="00E043D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декабря 1940 оперативное управление прибрежным командованием Королевских ВВС передано Королевскому флоту, хотя прибрежное командование остается частью Королевских ВВС. Воздушная защита британского торгового флота вскоре начинает улучшаться (20795).</w:t>
      </w:r>
    </w:p>
    <w:p w14:paraId="6E293BAD" w14:textId="77777777" w:rsidR="00E043DA" w:rsidRPr="00A3026E" w:rsidRDefault="00E043DA" w:rsidP="00A3026E">
      <w:pPr>
        <w:spacing w:after="0" w:line="240" w:lineRule="auto"/>
        <w:jc w:val="both"/>
        <w:rPr>
          <w:rFonts w:ascii="Times New Roman" w:hAnsi="Times New Roman"/>
          <w:color w:val="0070C0"/>
          <w:sz w:val="16"/>
          <w:szCs w:val="16"/>
        </w:rPr>
      </w:pPr>
    </w:p>
    <w:p w14:paraId="68364CBF"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декабря 1940 г. вместо Совета по боеприпасам при имперской группе «Промышленность»</w:t>
      </w:r>
      <w:bookmarkStart w:id="52" w:name="footnote8"/>
      <w:bookmarkEnd w:id="52"/>
      <w:r w:rsidR="00CB3A4D" w:rsidRPr="00A3026E">
        <w:rPr>
          <w:rFonts w:ascii="Times New Roman" w:hAnsi="Times New Roman"/>
          <w:color w:val="000000" w:themeColor="text1"/>
          <w:sz w:val="16"/>
          <w:szCs w:val="16"/>
        </w:rPr>
        <w:fldChar w:fldCharType="begin"/>
      </w:r>
      <w:r w:rsidRPr="00A3026E">
        <w:rPr>
          <w:rFonts w:ascii="Times New Roman" w:hAnsi="Times New Roman"/>
          <w:color w:val="000000" w:themeColor="text1"/>
          <w:sz w:val="16"/>
          <w:szCs w:val="16"/>
        </w:rPr>
        <w:instrText xml:space="preserve"> HYPERLINK "http://www.katyn-books.ru/library/fashistskaya-germaniya-vo-vtoroy-mirovoy-voyne17.html" \l "bookmark8" </w:instrText>
      </w:r>
      <w:r w:rsidR="00CB3A4D" w:rsidRPr="00A3026E">
        <w:rPr>
          <w:rFonts w:ascii="Times New Roman" w:hAnsi="Times New Roman"/>
          <w:color w:val="000000" w:themeColor="text1"/>
          <w:sz w:val="16"/>
          <w:szCs w:val="16"/>
        </w:rPr>
        <w:fldChar w:fldCharType="separate"/>
      </w:r>
      <w:r w:rsidRPr="00A3026E">
        <w:rPr>
          <w:rStyle w:val="a5"/>
          <w:rFonts w:ascii="Times New Roman" w:hAnsi="Times New Roman"/>
          <w:color w:val="000000" w:themeColor="text1"/>
          <w:sz w:val="16"/>
          <w:szCs w:val="16"/>
        </w:rPr>
        <w:t>8</w:t>
      </w:r>
      <w:r w:rsidR="00CB3A4D" w:rsidRPr="00A3026E">
        <w:rPr>
          <w:rFonts w:ascii="Times New Roman" w:hAnsi="Times New Roman"/>
          <w:color w:val="000000" w:themeColor="text1"/>
          <w:sz w:val="16"/>
          <w:szCs w:val="16"/>
        </w:rPr>
        <w:fldChar w:fldCharType="end"/>
      </w:r>
      <w:r w:rsidRPr="00A3026E">
        <w:rPr>
          <w:rFonts w:ascii="Times New Roman" w:hAnsi="Times New Roman"/>
          <w:color w:val="000000" w:themeColor="text1"/>
          <w:sz w:val="16"/>
          <w:szCs w:val="16"/>
        </w:rPr>
        <w:t> был создан Совет вооружений, комитеты по боеприпасам были заменены комитетами вооружений. В ноябре 1940 г. по указанию министра вооружений и боеприпасов был образован специальный комитет «Оружие», состоявший из пяти главных групп: винтовки и автоматы, среднее оружие, тяжелое оружие, полуфабрикаты всех видов оружия, поставки всех видов оружия.</w:t>
      </w:r>
    </w:p>
    <w:p w14:paraId="062B3886"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главные группы в свою очередь подразделялись на производственные группы, охватывающие фирмы одного и того же профиля. В состав специального комитета «Оружие» вошли представители военно-промышленных концернов, а его председателем был назначен представитель фирмы Круппа Мюллер</w:t>
      </w:r>
      <w:bookmarkStart w:id="53" w:name="footnote9"/>
      <w:bookmarkEnd w:id="53"/>
      <w:r w:rsidRPr="00A3026E">
        <w:rPr>
          <w:rFonts w:ascii="Times New Roman" w:hAnsi="Times New Roman"/>
          <w:color w:val="000000" w:themeColor="text1"/>
          <w:sz w:val="16"/>
          <w:szCs w:val="16"/>
        </w:rPr>
        <w:t>. Секретной директивой Совета вооружений имперской группы «Промышленность» от 4 декабря 1940 г. определялись и задачи этого комитета: «Специальный комитет имеет задачей содействовать всеми средствами, путем налаживания всеобщего сотрудничества между предприятиями, выполнению производственных заданий, которые ставят перед военной промышленностью различные рода войск вермахта»</w:t>
      </w:r>
      <w:bookmarkStart w:id="54" w:name="footnote10"/>
      <w:bookmarkEnd w:id="54"/>
      <w:r w:rsidR="00CB3A4D" w:rsidRPr="00A3026E">
        <w:rPr>
          <w:rFonts w:ascii="Times New Roman" w:hAnsi="Times New Roman"/>
          <w:color w:val="000000" w:themeColor="text1"/>
          <w:sz w:val="16"/>
          <w:szCs w:val="16"/>
        </w:rPr>
        <w:fldChar w:fldCharType="begin"/>
      </w:r>
      <w:r w:rsidRPr="00A3026E">
        <w:rPr>
          <w:rFonts w:ascii="Times New Roman" w:hAnsi="Times New Roman"/>
          <w:color w:val="000000" w:themeColor="text1"/>
          <w:sz w:val="16"/>
          <w:szCs w:val="16"/>
        </w:rPr>
        <w:instrText xml:space="preserve"> HYPERLINK "http://www.katyn-books.ru/library/fashistskaya-germaniya-vo-vtoroy-mirovoy-voyne17.html" \l "bookmark10" </w:instrText>
      </w:r>
      <w:r w:rsidR="00CB3A4D" w:rsidRPr="00A3026E">
        <w:rPr>
          <w:rFonts w:ascii="Times New Roman" w:hAnsi="Times New Roman"/>
          <w:color w:val="000000" w:themeColor="text1"/>
          <w:sz w:val="16"/>
          <w:szCs w:val="16"/>
        </w:rPr>
        <w:fldChar w:fldCharType="separate"/>
      </w:r>
      <w:r w:rsidRPr="00A3026E">
        <w:rPr>
          <w:rStyle w:val="a5"/>
          <w:rFonts w:ascii="Times New Roman" w:hAnsi="Times New Roman"/>
          <w:color w:val="000000" w:themeColor="text1"/>
          <w:sz w:val="16"/>
          <w:szCs w:val="16"/>
        </w:rPr>
        <w:t>10</w:t>
      </w:r>
      <w:r w:rsidR="00CB3A4D" w:rsidRPr="00A3026E">
        <w:rPr>
          <w:rFonts w:ascii="Times New Roman" w:hAnsi="Times New Roman"/>
          <w:color w:val="000000" w:themeColor="text1"/>
          <w:sz w:val="16"/>
          <w:szCs w:val="16"/>
        </w:rPr>
        <w:fldChar w:fldCharType="end"/>
      </w:r>
      <w:r w:rsidRPr="00A3026E">
        <w:rPr>
          <w:rFonts w:ascii="Times New Roman" w:hAnsi="Times New Roman"/>
          <w:color w:val="000000" w:themeColor="text1"/>
          <w:sz w:val="16"/>
          <w:szCs w:val="16"/>
        </w:rPr>
        <w:t xml:space="preserve"> (18559).</w:t>
      </w:r>
    </w:p>
    <w:p w14:paraId="43241DD5" w14:textId="77777777" w:rsidR="001278CD" w:rsidRPr="00A3026E" w:rsidRDefault="001278CD" w:rsidP="00A3026E">
      <w:pPr>
        <w:spacing w:after="0" w:line="240" w:lineRule="auto"/>
        <w:jc w:val="both"/>
        <w:rPr>
          <w:rFonts w:ascii="Times New Roman" w:hAnsi="Times New Roman"/>
          <w:color w:val="000000" w:themeColor="text1"/>
          <w:sz w:val="16"/>
          <w:szCs w:val="16"/>
        </w:rPr>
      </w:pPr>
    </w:p>
    <w:p w14:paraId="5B995436"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44081AC"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9BB66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декабря 1940 г. из-за отрицательных результатов государственных испытаний ермолаевского бомбардировщика на основании решения правительства дальнейшее производство ДБ-240 с моторами М-105 на заводе №18 было прекращено. К этому моменту в сборочном цехе успели в основном изготовить агрегаты, необходимые для сборки 71 планера самолета (3322,15).</w:t>
      </w:r>
    </w:p>
    <w:p w14:paraId="054892E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C38FF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декабря 1940 г. вышло постановление правительства о прекращении производства ДБ-240 с М-105 на заводе № 18 (Завод № 18 ВСНХ, НКТП, ГС ордена Ленина завод № 18 НКОП, Завоц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  г. Куйбышев ст. Безымянка/ /443052  г. Самара ул. Псковская, 32 к. 106 тел. 267-35-35/). А пост. СНК от 10.12.1940 г. поручалось в 1941 г. построить 90 машин с двигателями М-40Ф с поставкой, начиная с Ш-го квартала. Приказом НКАП № 278сс от 10.06.1940 г. заводу № 18 предписали выпустить в текущем году первые 70 Ер-2, а приказом № 330 от 12.04.1941 г. завод обязали прекратить производство ДБ-ЗФ и сосредоточить все внимание на Ер-2 (11982).</w:t>
      </w:r>
    </w:p>
    <w:p w14:paraId="41BF675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6ED38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декабря 1940 года Решением Политбюро ЦК ВКП(б) № П 23 / 135 – ОП было утверждено Постановление СНК СССР и ЦК ВКП (б) «О порядке испытаний серийных авиационных моторов на заводах НКАП». В нем, в частности, говорилось, что «существующая система испытаний авиационных серийных моторов приводит к преступному расточительству материальных ресурсов и высокооктанового топлива». В результате нормы авиатоплива, выделяемые на испытания моторов, были урезаны (РГАСПИ. Ф. 17. Оп. 162. Д. 30. Л. 69-71.).</w:t>
      </w:r>
    </w:p>
    <w:p w14:paraId="358CE9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«О мероприятиях по обеспечению программы Наркомавиапрома на 1941 год» было утверждено всего два дня спустя после утверждения постановления «О порядке испытаний серийных авиационных моторов на заводах НКАП», поэтому цифры, согласно которым нарком нефтяной промышленности И.К. Седин, в частности, обязывался предоставить для нужд НКАП 166 тысяч тонн авиабензина (РГАСПИ. Ф. 17. Оп. 162. Д. 30 Л. 87.), впоследствии были пересмотрены. Новым решением Политбюро ЦК ВКП(б) № П 24 / 137 – ОП от 23 декабря 1940 года «О передаче в 1941 году в мобзапас 105 тысяч тонн авиабензина» (во изменение Постановления СНК СССР и ЦК ВКП (б) «О мероприятиях по обеспечению программы Наркомавиапрома на 1941 год», утвержденного решением Политбюро ЦК ВКП(б) № П 23 / 139 – ОП от 7 декабря 1940 года) предписывалось в связи с изменением режима испытаний авиамоторов на заводах сократить поставку авиабензина НКАП со 166 до 61 тысяч тонн, а 105 тысяч тонн направить в мобзапас (РГАСПИ. Ф. 17. Оп. 162. Д. 30 Л. 26.) (11672).</w:t>
      </w:r>
    </w:p>
    <w:p w14:paraId="79F4057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182AC0E" w14:textId="77777777" w:rsidR="00C66762" w:rsidRPr="00A3026E" w:rsidRDefault="00C66762" w:rsidP="00A3026E">
      <w:pPr>
        <w:pStyle w:val="Iauiue"/>
        <w:jc w:val="both"/>
        <w:rPr>
          <w:color w:val="000000" w:themeColor="text1"/>
          <w:sz w:val="16"/>
          <w:szCs w:val="16"/>
        </w:rPr>
      </w:pPr>
      <w:r w:rsidRPr="00A3026E">
        <w:rPr>
          <w:color w:val="000000" w:themeColor="text1"/>
          <w:sz w:val="16"/>
          <w:szCs w:val="16"/>
        </w:rPr>
        <w:t>5 декабря 1940 года в НИИ ВВС были начаты испытания войсковые испытания запуска непрогретых моторов М-103 (в Бобруйске) и М-62 (в Люберцах) (3333,16).</w:t>
      </w:r>
    </w:p>
    <w:p w14:paraId="2D0F5873" w14:textId="77777777" w:rsidR="00C66762" w:rsidRPr="00A3026E" w:rsidRDefault="00C66762" w:rsidP="00A3026E">
      <w:pPr>
        <w:pStyle w:val="Iauiue"/>
        <w:jc w:val="both"/>
        <w:rPr>
          <w:color w:val="000000" w:themeColor="text1"/>
          <w:sz w:val="16"/>
          <w:szCs w:val="16"/>
        </w:rPr>
      </w:pPr>
    </w:p>
    <w:p w14:paraId="40C0F29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52686C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20C91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5 де</w:t>
      </w:r>
      <w:r w:rsidRPr="00A3026E">
        <w:rPr>
          <w:rFonts w:ascii="Times New Roman" w:hAnsi="Times New Roman"/>
          <w:color w:val="000000" w:themeColor="text1"/>
          <w:sz w:val="16"/>
          <w:szCs w:val="16"/>
        </w:rPr>
        <w:softHyphen/>
        <w:t>кабря 1940 Кировский завод сдал один Т-220 с броней 100 мм и пушкой Ф-30. При этом масса Т-150 превысила 50 т, и потому на него планировалось установить 650 л.с. дизель В-5, но был уста</w:t>
      </w:r>
      <w:r w:rsidRPr="00A3026E">
        <w:rPr>
          <w:rFonts w:ascii="Times New Roman" w:hAnsi="Times New Roman"/>
          <w:color w:val="000000" w:themeColor="text1"/>
          <w:sz w:val="16"/>
          <w:szCs w:val="16"/>
        </w:rPr>
        <w:softHyphen/>
        <w:t>новлен лишь форсированный до 600 л.с. В-2. Внешне же танк почти ничем не отличался от ставших уже привычны</w:t>
      </w:r>
      <w:r w:rsidRPr="00A3026E">
        <w:rPr>
          <w:rFonts w:ascii="Times New Roman" w:hAnsi="Times New Roman"/>
          <w:color w:val="000000" w:themeColor="text1"/>
          <w:sz w:val="16"/>
          <w:szCs w:val="16"/>
        </w:rPr>
        <w:softHyphen/>
        <w:t>ми КВ-1. Танк же Т-220 (в документах называется также КВ-220, «Объект 220») имел удлиненный корпус, растяну</w:t>
      </w:r>
      <w:r w:rsidRPr="00A3026E">
        <w:rPr>
          <w:rFonts w:ascii="Times New Roman" w:hAnsi="Times New Roman"/>
          <w:color w:val="000000" w:themeColor="text1"/>
          <w:sz w:val="16"/>
          <w:szCs w:val="16"/>
        </w:rPr>
        <w:softHyphen/>
        <w:t>тое на один каток шасси и увеличенную башню с 85-мм орудием Ф-30. Поскольку масса танка превысила 65 т, на него был установлен дизель В-5 мощностью 700 л.с. Однако оба танка, будучи переданными на испытания, недолго уте</w:t>
      </w:r>
      <w:r w:rsidRPr="00A3026E">
        <w:rPr>
          <w:rFonts w:ascii="Times New Roman" w:hAnsi="Times New Roman"/>
          <w:color w:val="000000" w:themeColor="text1"/>
          <w:sz w:val="16"/>
          <w:szCs w:val="16"/>
        </w:rPr>
        <w:softHyphen/>
        <w:t>шали своих создателей. Т-150 был снят с испытаний через месяц, когда его пробег лишь приблизился к 200 км. У него сильно перегревалось масло в двигателе, «вылетали» под</w:t>
      </w:r>
      <w:r w:rsidRPr="00A3026E">
        <w:rPr>
          <w:rFonts w:ascii="Times New Roman" w:hAnsi="Times New Roman"/>
          <w:color w:val="000000" w:themeColor="text1"/>
          <w:sz w:val="16"/>
          <w:szCs w:val="16"/>
        </w:rPr>
        <w:softHyphen/>
        <w:t>шипники в КПП, причем все неприятности почему-то про</w:t>
      </w:r>
      <w:r w:rsidRPr="00A3026E">
        <w:rPr>
          <w:rFonts w:ascii="Times New Roman" w:hAnsi="Times New Roman"/>
          <w:color w:val="000000" w:themeColor="text1"/>
          <w:sz w:val="16"/>
          <w:szCs w:val="16"/>
        </w:rPr>
        <w:softHyphen/>
        <w:t>являлись именно при движении по шоссе на 3-й и 4-й пере</w:t>
      </w:r>
      <w:r w:rsidRPr="00A3026E">
        <w:rPr>
          <w:rFonts w:ascii="Times New Roman" w:hAnsi="Times New Roman"/>
          <w:color w:val="000000" w:themeColor="text1"/>
          <w:sz w:val="16"/>
          <w:szCs w:val="16"/>
        </w:rPr>
        <w:softHyphen/>
        <w:t>дачах. Танк же Т-220 просуществовал на полигоне рекордно короткий отрезок времени. Дизель В-5 сломался уже на вто</w:t>
      </w:r>
      <w:r w:rsidRPr="00A3026E">
        <w:rPr>
          <w:rFonts w:ascii="Times New Roman" w:hAnsi="Times New Roman"/>
          <w:color w:val="000000" w:themeColor="text1"/>
          <w:sz w:val="16"/>
          <w:szCs w:val="16"/>
        </w:rPr>
        <w:softHyphen/>
        <w:t>рой день. Танки были отправлены на доработку...(10782).</w:t>
      </w:r>
    </w:p>
    <w:p w14:paraId="6732D6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45B4A8F" w14:textId="77777777" w:rsidR="005D6F1A" w:rsidRPr="00A3026E" w:rsidRDefault="005D6F1A" w:rsidP="00A3026E">
      <w:pPr>
        <w:pStyle w:val="a3"/>
        <w:rPr>
          <w:color w:val="000000" w:themeColor="text1"/>
          <w:lang w:val="ru-RU"/>
        </w:rPr>
      </w:pPr>
      <w:r w:rsidRPr="00A3026E">
        <w:rPr>
          <w:color w:val="000000" w:themeColor="text1"/>
          <w:lang w:val="ru-RU"/>
        </w:rPr>
        <w:t>5 декабря 1940 года быд закончен танк, построенный по теме «220». Танк получил удлиненный корпус, число опорных катков на каждый борт увеличилось до семи. Для Т-220 разработали новую башню, в которой установили 85-мм пушку Ф-30. В качестве силовой установки использовался двигатель В-2Ф (В-10) мощностью 850 л.с. (17484).</w:t>
      </w:r>
    </w:p>
    <w:p w14:paraId="5D481EEC" w14:textId="77777777" w:rsidR="005D6F1A" w:rsidRPr="00A3026E" w:rsidRDefault="005D6F1A" w:rsidP="00A3026E">
      <w:pPr>
        <w:spacing w:after="0" w:line="240" w:lineRule="auto"/>
        <w:jc w:val="both"/>
        <w:rPr>
          <w:rFonts w:ascii="Times New Roman" w:hAnsi="Times New Roman"/>
          <w:color w:val="000000" w:themeColor="text1"/>
          <w:sz w:val="16"/>
          <w:szCs w:val="16"/>
        </w:rPr>
      </w:pPr>
    </w:p>
    <w:p w14:paraId="32D72E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декабря 1940 ЛКЗ сдал один KB со 100-мм броней и 85-мм орудием (по документам значится как Т-220, КВ-220 или объект 220). </w:t>
      </w:r>
    </w:p>
    <w:p w14:paraId="042B84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Т-150 был построен на агрегатах серийного KB и отличался от него только увеличенной толщиной брони корпуса (вместо 75 мм — 90). Так как утолщение броневых листов производилось наружу, то внутренние габариты машины были сохранены. Кроме того, на Т-150 стояли измененные кронштейны ходовой части и командирская башенка с перископом и тремя смотровыми приборами. В связи с возросшей массой танка, достигшей 50 т, на нем установили двигатель В-2, форсированный до 700 л.с. </w:t>
      </w:r>
    </w:p>
    <w:p w14:paraId="14806F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15 января по 14 февраля 1941 года машина проходила полигонные испытания (пройдено 199 км), выявившие ряд существенных недостатков в работе двигателя. Так, при движении по шоссе на 3-й и 4-й передачах при температуре наружного воздуха — 9... 12° масло в двигателе сильно перегревалось. По этой причине танк был снят с испытаний, а Кировский завод и завод № 75 в Харькове (головное предприятие по выпуску двигателей В-2. — Прим. авт.) получили задание улучшить систему охлаждения и снизить перепад температуры масла, проходящего через двигатель. </w:t>
      </w:r>
    </w:p>
    <w:p w14:paraId="1E34B6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КВ-220 внешне отличался от своих собратьев большей длиной корпуса, увеличенной на один опорный каток ходовой частью и новой башней с 85-мм орудием Ф-30. Последнее было специально спроектировано для вооружения этого танка в КБ завода № 92 под руководством В.Г.Грабина и осенью 1940 года успешно прошло испытания в танке Т-28. Из-за сильно возросшей массы танка, достигшей 62 т, на нем установили двигатель В-5 мощностью 700 л.с. 30 января 1941 года КВ-220 поступил на испытания, прекратившиеся уже на следующий день из-за поломки двигателя (11640).</w:t>
      </w:r>
    </w:p>
    <w:p w14:paraId="673B179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1046693"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00DFFF2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2C4B53C8" w14:textId="77777777" w:rsidR="008F5E79" w:rsidRPr="00A3026E" w:rsidRDefault="008F5E7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декабря 1940 взлетел первый Харрикейн с четырьмя пушками. Это были разношерстные машины разных заводов и разных серий. Все они получили пушки с магазинным питанием, винты Ротол КХ.5/5 и элероны с металлической обшивкой. Чтобы уменьшить вес, сократили запас горючего. На первых трех самолетах зафиксировали максимальную скорость около 470 км/ч. Но крыльев в итоге сделали больше, чем требовалось для ремонтируемых машин. Их стали ставить на новые "Харрикейны" II. Первый такой истребитель, который облетал пилот Сет-Смит 6 февраля 1941 г., и стал считаться опытным образцом пушечной модификации IIС. На нем устанавливались пушки не с барабанным, а с ленточным питанием по типу установки, спроектированной для "Тайфуна". В феврале три полукустарных "Харрикейна" IIС прибыли в БоскомбДаун для прохождения испытаний. При весе около 3680 кг скорость удержалась на приличном уровне - около 540 км/ч (за счет большей мощности мотора "Мерлин" XX). Даже с тропическим фильтром (при весе 3755 кг) она не опускалась ниже 515 км/ч. В серии максимальная скорость впоследствии колебалась в пределах 4% в зависимости от уровня квалификации бригад сборщиков. После ремонта скорость обычно падала, хотя бывали случаи, что она даже возрастала (15129).</w:t>
      </w:r>
    </w:p>
    <w:p w14:paraId="60D9DB60" w14:textId="77777777" w:rsidR="008F5E79" w:rsidRPr="00A3026E" w:rsidRDefault="008F5E79" w:rsidP="00A3026E">
      <w:pPr>
        <w:spacing w:after="0" w:line="240" w:lineRule="auto"/>
        <w:jc w:val="both"/>
        <w:rPr>
          <w:rFonts w:ascii="Times New Roman" w:hAnsi="Times New Roman"/>
          <w:color w:val="000000" w:themeColor="text1"/>
          <w:sz w:val="16"/>
          <w:szCs w:val="16"/>
        </w:rPr>
      </w:pPr>
    </w:p>
    <w:p w14:paraId="20C1CE4D" w14:textId="77777777" w:rsidR="008F5E79" w:rsidRPr="00A3026E" w:rsidRDefault="008F5E79"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5 декабря</w:t>
      </w:r>
      <w:r w:rsidRPr="00A3026E">
        <w:rPr>
          <w:rFonts w:ascii="Times New Roman" w:hAnsi="Times New Roman"/>
          <w:color w:val="000000" w:themeColor="text1"/>
          <w:sz w:val="16"/>
          <w:szCs w:val="16"/>
        </w:rPr>
        <w:t xml:space="preserve"> в 1940 году в Ставке Гитлера начальник генерального штаба сухопутных войск Германии Франц Гальдер выступил с Докладом о планируемой операции на Востоке, против СССР (14851).</w:t>
      </w:r>
    </w:p>
    <w:p w14:paraId="461428A7" w14:textId="77777777" w:rsidR="008F5E79" w:rsidRPr="00A3026E" w:rsidRDefault="008F5E79" w:rsidP="00A3026E">
      <w:pPr>
        <w:spacing w:after="0" w:line="240" w:lineRule="auto"/>
        <w:jc w:val="both"/>
        <w:rPr>
          <w:rFonts w:ascii="Times New Roman" w:hAnsi="Times New Roman"/>
          <w:color w:val="000000" w:themeColor="text1"/>
          <w:sz w:val="16"/>
          <w:szCs w:val="16"/>
        </w:rPr>
      </w:pPr>
    </w:p>
    <w:p w14:paraId="0E686FDA"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декабря 1940 А. Гитлер приказал начать войну против СССР 15 мая 1941 г. (4962).</w:t>
      </w:r>
    </w:p>
    <w:p w14:paraId="5797C83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74E91E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декабря 1940 А.Г. вызвал г Браухича и Гальдера и поручил захватить Гибралтар не позднее 14 января 1940. Сказал, что принято решение о вторжении в Грецию и о полной оккупации Франции. Потом говорили о русской компании до линии Киев-Минск-Чудово. ОКХ хотели на Москву, но А.Г. требовал после разгрома белорусской группировки разделится и идти на север и юг (2536,256).</w:t>
      </w:r>
    </w:p>
    <w:p w14:paraId="2E398A0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07061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декабря 1940 г. государственный департамент США рекомендовал иракскому правительству сотрудничать с Великобританией (3871).</w:t>
      </w:r>
    </w:p>
    <w:p w14:paraId="224B89E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6F74002"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65F70AF"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E04FEBD" w14:textId="77777777" w:rsidR="0002616E" w:rsidRPr="00A3026E" w:rsidRDefault="0002616E" w:rsidP="00A3026E">
      <w:pPr>
        <w:pStyle w:val="171"/>
        <w:shd w:val="clear" w:color="auto" w:fill="auto"/>
        <w:spacing w:before="0" w:line="240" w:lineRule="auto"/>
        <w:ind w:firstLine="0"/>
        <w:jc w:val="both"/>
        <w:rPr>
          <w:rFonts w:ascii="Times New Roman" w:hAnsi="Times New Roman" w:cs="Times New Roman"/>
          <w:color w:val="0070C0"/>
          <w:sz w:val="16"/>
          <w:szCs w:val="16"/>
        </w:rPr>
      </w:pPr>
      <w:r w:rsidRPr="00A3026E">
        <w:rPr>
          <w:rFonts w:ascii="Times New Roman" w:hAnsi="Times New Roman" w:cs="Times New Roman"/>
          <w:color w:val="0070C0"/>
          <w:sz w:val="16"/>
          <w:szCs w:val="16"/>
        </w:rPr>
        <w:t>6 декабря 1940 решением Политбюро ЦК ВКП(б) от «О переименовании боевых самолетов» и приказом НКАП №704сс от 9 декабря 1940 г. ОБШ М-71 сменил свое обозначение на Су-6 (19844).</w:t>
      </w:r>
    </w:p>
    <w:p w14:paraId="60AD61CA" w14:textId="77777777" w:rsidR="0002616E" w:rsidRPr="00A3026E" w:rsidRDefault="0002616E" w:rsidP="00A3026E">
      <w:pPr>
        <w:spacing w:after="0" w:line="240" w:lineRule="auto"/>
        <w:jc w:val="both"/>
        <w:rPr>
          <w:rFonts w:ascii="Times New Roman" w:hAnsi="Times New Roman"/>
          <w:color w:val="0070C0"/>
          <w:sz w:val="16"/>
          <w:szCs w:val="16"/>
        </w:rPr>
      </w:pPr>
    </w:p>
    <w:p w14:paraId="6672A8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вышло постановление КО о вооружении И-201 и БШ пушками ПТБ (1248,113).</w:t>
      </w:r>
    </w:p>
    <w:p w14:paraId="57C5F8F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0ECCF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вышло постановление СНК и ЦК ВКП(б) по пушкам и пулеметам Таубина-Бабурина (1315,15).</w:t>
      </w:r>
    </w:p>
    <w:p w14:paraId="77ECF4E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87BAD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года Хруничев писал письмо N Н-39/3513 наркому Химпрома Денисову М.Ф.</w:t>
      </w:r>
    </w:p>
    <w:p w14:paraId="1BC031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выпуска машин "100" требуется носок фюзеляжа из оргстекла, изготовление которого задерживается заводом "К-4" из-за неосвоенности технологического процесса изготовления изделий из оргстекла выпуклых форм.</w:t>
      </w:r>
    </w:p>
    <w:p w14:paraId="373166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Придавая исключительно важное значение применению на машинах "100" носка фюзеляжа из оргстекла, прошу Вашего распоряжения заводу "К-4" совместно с НИИ пластмассовой промышленности о срочной разработке технологического процесса изготовления носка фюзеляжа, который должен удовлетворять следующим требованиям:</w:t>
      </w:r>
    </w:p>
    <w:p w14:paraId="7D4136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Равномерность толщины стекла в любом сечении с целью создания правильного обзора, исключая возможности преломления лучей.</w:t>
      </w:r>
    </w:p>
    <w:p w14:paraId="49C9A5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Исключение возможности изменения формы носка фюзеляжа от температурных изменений.</w:t>
      </w:r>
    </w:p>
    <w:p w14:paraId="57ECC6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результатах прошу Вас сообщить мне (1293,141).</w:t>
      </w:r>
    </w:p>
    <w:p w14:paraId="318DFDC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F4DF1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нач. инспекции при наркоме Жуков писал докладную записку N 7133 о постановке производства двухмоторных истребителей ДИС А.С.Я. на заводах 81 и 380 (1170).</w:t>
      </w:r>
    </w:p>
    <w:p w14:paraId="5C2EABF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58784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с письмом № 26/486 Зам. Нач. ОКО Жиганова Зам. Нач. 7 ГУ НКАП Шишкину был направлен Отчет о ДВИЖЕНИИ ОПЫТНЫХ РАБОТ В ОКО ЗАВОДА № 135 на 5 декабря 1940 г.</w:t>
      </w:r>
    </w:p>
    <w:p w14:paraId="3AE30E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маш..330 (Заказ 360)</w:t>
      </w:r>
    </w:p>
    <w:p w14:paraId="33B685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Техническая готовность незаконченных монтажей следующая:</w:t>
      </w:r>
    </w:p>
    <w:p w14:paraId="7C2574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w:t>
      </w:r>
    </w:p>
    <w:p w14:paraId="43EF76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Капот</w:t>
      </w:r>
    </w:p>
    <w:p w14:paraId="54A3BE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Маслорадиатор</w:t>
      </w:r>
    </w:p>
    <w:p w14:paraId="28D73A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Маслопроводка</w:t>
      </w:r>
    </w:p>
    <w:p w14:paraId="63D930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Водорадиатор</w:t>
      </w:r>
    </w:p>
    <w:p w14:paraId="1E36B1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Костыль</w:t>
      </w:r>
    </w:p>
    <w:p w14:paraId="3345D2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Козырек</w:t>
      </w:r>
    </w:p>
    <w:p w14:paraId="18B7A9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Кок на винт</w:t>
      </w:r>
    </w:p>
    <w:p w14:paraId="58F804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Щитки шасси</w:t>
      </w:r>
    </w:p>
    <w:p w14:paraId="3DCF26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Спец. группа</w:t>
      </w:r>
    </w:p>
    <w:p w14:paraId="4F0FCE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сих пор не получены:</w:t>
      </w:r>
    </w:p>
    <w:p w14:paraId="2C77AA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p w14:paraId="05C720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Пушка</w:t>
      </w:r>
    </w:p>
    <w:p w14:paraId="432C92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Бензиномер Телевель</w:t>
      </w:r>
    </w:p>
    <w:p w14:paraId="200FAA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Рация</w:t>
      </w:r>
    </w:p>
    <w:p w14:paraId="1413CC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серийной машины с М-81</w:t>
      </w:r>
    </w:p>
    <w:p w14:paraId="56AA43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ноября 1940 был произведен первый полет на высоте 350 м продолжительностью 25 минут</w:t>
      </w:r>
    </w:p>
    <w:p w14:paraId="5CF7A1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Температура вход.</w:t>
      </w:r>
      <w:r w:rsidRPr="00A3026E">
        <w:rPr>
          <w:rFonts w:ascii="Times New Roman" w:hAnsi="Times New Roman"/>
          <w:color w:val="000000" w:themeColor="text1"/>
          <w:sz w:val="16"/>
          <w:szCs w:val="16"/>
        </w:rPr>
        <w:tab/>
        <w:t>80</w:t>
      </w:r>
    </w:p>
    <w:p w14:paraId="22F9CF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Температура выход</w:t>
      </w:r>
      <w:r w:rsidRPr="00A3026E">
        <w:rPr>
          <w:rFonts w:ascii="Times New Roman" w:hAnsi="Times New Roman"/>
          <w:color w:val="000000" w:themeColor="text1"/>
          <w:sz w:val="16"/>
          <w:szCs w:val="16"/>
        </w:rPr>
        <w:tab/>
        <w:t>120</w:t>
      </w:r>
    </w:p>
    <w:p w14:paraId="64A41F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Температура головок цилиндров</w:t>
      </w:r>
      <w:r w:rsidRPr="00A3026E">
        <w:rPr>
          <w:rFonts w:ascii="Times New Roman" w:hAnsi="Times New Roman"/>
          <w:color w:val="000000" w:themeColor="text1"/>
          <w:sz w:val="16"/>
          <w:szCs w:val="16"/>
        </w:rPr>
        <w:tab/>
        <w:t>180-200</w:t>
      </w:r>
    </w:p>
    <w:p w14:paraId="075AD7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Температура 5-й головки</w:t>
      </w:r>
      <w:r w:rsidRPr="00A3026E">
        <w:rPr>
          <w:rFonts w:ascii="Times New Roman" w:hAnsi="Times New Roman"/>
          <w:color w:val="000000" w:themeColor="text1"/>
          <w:sz w:val="16"/>
          <w:szCs w:val="16"/>
        </w:rPr>
        <w:tab/>
        <w:t>230</w:t>
      </w:r>
    </w:p>
    <w:p w14:paraId="43122E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ноября 1940 был произведен второй полет на высоте 2700 м продолжительностью 23 минуты</w:t>
      </w:r>
    </w:p>
    <w:p w14:paraId="2B8110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Из-за повышения температурного режима выхода до 130 мотор был выключен и самолет спланировал.</w:t>
      </w:r>
    </w:p>
    <w:p w14:paraId="116DFC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осмотре мотора обнаружено заклинение задней втулки вала винта.</w:t>
      </w:r>
    </w:p>
    <w:p w14:paraId="438D37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Планер МН для стат. испытаний.</w:t>
      </w:r>
    </w:p>
    <w:p w14:paraId="1B9F27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Подготавливается повторное испытание хвостового оперения до разрушения.</w:t>
      </w:r>
    </w:p>
    <w:p w14:paraId="43BFC4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ББ-1 МАИ</w:t>
      </w:r>
    </w:p>
    <w:p w14:paraId="2EEE7F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Продолжилось проектирование изменяемых узлов по всем группам</w:t>
      </w:r>
    </w:p>
    <w:p w14:paraId="0EA81C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Продолжается заготовка деталей по стабилизатору (выклеивается кессон), рулю глубины, управлению, костылю, крыльям.</w:t>
      </w:r>
    </w:p>
    <w:p w14:paraId="626011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Машина ДИС</w:t>
      </w:r>
    </w:p>
    <w:p w14:paraId="1A7C01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Продолжается разработка конструкции агрегатов</w:t>
      </w:r>
    </w:p>
    <w:p w14:paraId="223F94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Изготавливается макет самолета (874,80).</w:t>
      </w:r>
    </w:p>
    <w:p w14:paraId="7C28268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B5A24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Нач. НИИ ВВС КА Филин подписал:</w:t>
      </w:r>
    </w:p>
    <w:p w14:paraId="3C30F2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госиспытаниям опытного одноместного истребителя И-26 М-105П № 3 с винтом ВИШ-61 Д 3 м конструкции и А.С.Я. постройки завода № 115 на пикироване, штопор, отстрел вооружения, устойчивость и пилотаж</w:t>
      </w:r>
    </w:p>
    <w:p w14:paraId="3CD9AA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Ответственный исполнитель нач. отд. ви1р Васвод</w:t>
      </w:r>
    </w:p>
    <w:p w14:paraId="056986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 ви2р А.Т.Степанец</w:t>
      </w:r>
    </w:p>
    <w:p w14:paraId="3C5513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 п/п Стефановский</w:t>
      </w:r>
    </w:p>
    <w:p w14:paraId="26E759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 испытаний:</w:t>
      </w:r>
    </w:p>
    <w:p w14:paraId="145407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Отличия экз. № 3 от экз. № 2</w:t>
      </w:r>
    </w:p>
    <w:p w14:paraId="76B1C8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прочность носка крыла доведена до 107%</w:t>
      </w:r>
    </w:p>
    <w:p w14:paraId="1D656C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увеличено давление в баллонах с 40 до 50 атм. Для обеспечения уборки шасси на взлете</w:t>
      </w:r>
    </w:p>
    <w:p w14:paraId="570720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кабина оборудована вентиляцией</w:t>
      </w:r>
    </w:p>
    <w:p w14:paraId="4765B8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исключено попадание гильз и звеньев в стабилизатор</w:t>
      </w:r>
    </w:p>
    <w:p w14:paraId="2473BE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увеличен запас патронов до 750 шт. для пулеметов и до 135 шт. для пушки</w:t>
      </w:r>
    </w:p>
    <w:p w14:paraId="075498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усилены цилиндры амртизаторов шасси и замка подъемника</w:t>
      </w:r>
    </w:p>
    <w:p w14:paraId="536C19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установлены амортизаторы для быстрого открытия фонаря кабины</w:t>
      </w:r>
    </w:p>
    <w:p w14:paraId="750925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улучшен подход к хвостовой части фюзеляжа, установлен люк</w:t>
      </w:r>
    </w:p>
    <w:p w14:paraId="7AE787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с-та увеличен на 74,5 кг, а вес полезной нагрузки за счет патронов на 25,5 кг (всего на 100 кг)</w:t>
      </w:r>
    </w:p>
    <w:p w14:paraId="1F587F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Участники испытаний: Максимов, ви2р Степанец,</w:t>
      </w:r>
    </w:p>
    <w:p w14:paraId="212AB5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 Стефановский, к-н ...Иванов, берлин, Красовский, Турчак</w:t>
      </w:r>
    </w:p>
    <w:p w14:paraId="7E8D88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с-та Сбитнев, Мякинина, Аверьянов, Иванников</w:t>
      </w:r>
    </w:p>
    <w:p w14:paraId="16C379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облета Груздев, Прошаков, Кубышкин</w:t>
      </w:r>
    </w:p>
    <w:p w14:paraId="6419F2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Весовые данные:</w:t>
      </w:r>
    </w:p>
    <w:p w14:paraId="52849C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с парашютом 90 кг</w:t>
      </w:r>
    </w:p>
    <w:p w14:paraId="4478C2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горючее 305</w:t>
      </w:r>
    </w:p>
    <w:p w14:paraId="67DD7E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 30</w:t>
      </w:r>
    </w:p>
    <w:p w14:paraId="374D30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патроны ШКАС (1500) 49,5</w:t>
      </w:r>
    </w:p>
    <w:p w14:paraId="274C94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снаряды для пушки ШВАК (135) 29,9</w:t>
      </w:r>
    </w:p>
    <w:p w14:paraId="3FD86F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аккумулятор 9</w:t>
      </w:r>
    </w:p>
    <w:p w14:paraId="6D43AE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511,7</w:t>
      </w:r>
    </w:p>
    <w:p w14:paraId="588F31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2801 (ранее 2700 кг)</w:t>
      </w:r>
    </w:p>
    <w:p w14:paraId="087755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Увеличение веса за счет:</w:t>
      </w:r>
    </w:p>
    <w:p w14:paraId="651EA8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увеличен запас патронов 26,5 кг</w:t>
      </w:r>
    </w:p>
    <w:p w14:paraId="64337B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положенные в носке крыла и р/высоты грузы повышают критическую скорость флаттера - 16 кг</w:t>
      </w:r>
    </w:p>
    <w:p w14:paraId="2609B2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усиление носка крыла, обшивки крылазамков шасси и устранение дефектов - 58,5 кг</w:t>
      </w:r>
    </w:p>
    <w:p w14:paraId="5D1F744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доступен для л строевых частей ВВС средней и нижесредней квалификации.</w:t>
      </w:r>
    </w:p>
    <w:p w14:paraId="1ABC46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Раскрутки винта на пикировании не было</w:t>
      </w:r>
    </w:p>
    <w:p w14:paraId="43E752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Усилия на ручке для вывода из пикирования незначительные</w:t>
      </w:r>
    </w:p>
    <w:p w14:paraId="1C64AA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Изменить оформление кабины, поставить боковую панель</w:t>
      </w:r>
    </w:p>
    <w:p w14:paraId="5CDFACF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Стрелково-пушечное вооружение работало безотказно</w:t>
      </w:r>
    </w:p>
    <w:p w14:paraId="0BFC99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Требование о доводке ВМГ не выполнено</w:t>
      </w:r>
    </w:p>
    <w:p w14:paraId="74A87E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Спецоборудование ТТТ не удовлетворяет.</w:t>
      </w:r>
    </w:p>
    <w:p w14:paraId="7F16F5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 отчега по госиспытаниям И-26 № 3 и решение Техсовета НИИ ВВС КА по быстрейшей доводкне спецоборудования не реализованы</w:t>
      </w:r>
    </w:p>
    <w:p w14:paraId="2EC55E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64BEAB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 И-26 М-105П с винтом ВИШ-61 № 3 конструкции ГССТ, д.т.н. и А.С.Я. производства з-да № 115 считать прошедшим ГИ удовлетворительно</w:t>
      </w:r>
    </w:p>
    <w:p w14:paraId="01C342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3ACAA5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Просить НКАП т. А.И.Ш. обязать ГК с-та И-26 А.С.Я. и завод № 115:</w:t>
      </w:r>
    </w:p>
    <w:p w14:paraId="0B4392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обеспечить уборку шасси на скорости, требуемой ТТТ</w:t>
      </w:r>
    </w:p>
    <w:p w14:paraId="3A65A9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обеспечить прочность и надежность на пикировании щитков шасси и крышки фонаря кабины на всех выпускаемых с-тах И-26</w:t>
      </w:r>
    </w:p>
    <w:p w14:paraId="691E10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установить на с-те колеса согласно сортаменту НКАП</w:t>
      </w:r>
    </w:p>
    <w:p w14:paraId="416DAF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довести ВМГ</w:t>
      </w:r>
    </w:p>
    <w:p w14:paraId="27F505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привести спецоборудование с-та в полное соответствие с существующими ТТТ</w:t>
      </w:r>
    </w:p>
    <w:p w14:paraId="7DF1FE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 Филин 6 декабря 1940</w:t>
      </w:r>
    </w:p>
    <w:p w14:paraId="47BFB8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в Чкаловской, Ярославской ж/д состоялось заседание Техсовета при НИИ ВВС (Протокол № 13) "О результатах гос. испытаний И-26-3 с М-105П с винтом ВИШ-61 конструкции т. А.С.Я., постройки завода № 115 на штопор, пикирование, пилотаж, устойчивость и отстрел оружия.</w:t>
      </w:r>
    </w:p>
    <w:p w14:paraId="2115C6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Техсовет НИИ ВВС под председательством Филина в составе члена Техсовета гмв Федорова в присутствии директора завода № 115 т. Ястребова, зам. ГК т. Виганд заслушала доклад вед. инженера НИИ ВВС КА ви2р т. Степанченка, содоклады вед. л. Стефановского и оценку свойств с-та от участвующих л и наземных испытаний.</w:t>
      </w:r>
    </w:p>
    <w:p w14:paraId="5B69A8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Представленный на испытания 3-й экх. С-та И-26 М-105П является копией 2-го экз. с-та И-26, проходившего госиспытания в НИИ ВВС с 1 по 1 июня 1940 и незакончевшего их вследствие недостаточной прочности крыла и недоведенности конструкции.</w:t>
      </w:r>
    </w:p>
    <w:p w14:paraId="7F5FCE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3-й экз. И-26 поступил на госиспытания в НИИ ВВС 13 октября 1940 и закончил их 12 ноября 1940 г.</w:t>
      </w:r>
    </w:p>
    <w:p w14:paraId="196F2F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С-т был испытан на пикирование до 635 км/час по прибору, с перегрузкой до 4,5, на штопор до 3-х витков, на выполнение всех фигур высшего пилотажа и устойчивость.</w:t>
      </w:r>
    </w:p>
    <w:p w14:paraId="597061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 проведен отстрел вооружения на земле и в воздухе.</w:t>
      </w:r>
    </w:p>
    <w:p w14:paraId="474DDB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с-та И-26 экз. № 3 работало безотказно.</w:t>
      </w:r>
    </w:p>
    <w:p w14:paraId="10F0BF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части ВМГ (перегрев масла при работе мотора на номинальной мощности, неравномерность выработки горючего из баков) и шасси (невозможность уборки шасси на наивыгоднейшей скорости набора высоты 250 км/час) с-т остался недоведенным.</w:t>
      </w:r>
    </w:p>
    <w:p w14:paraId="7EDF56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не имеет радиостанции и установка ее не предусмотрена (отсутствует экранировка и металлизация). На с-те нет ночных посадочных средств и не предусмотрено место для фотоаппарата.</w:t>
      </w:r>
    </w:p>
    <w:p w14:paraId="59085B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w:t>
      </w:r>
    </w:p>
    <w:p w14:paraId="30B7B0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 И-26 экз. № 3 конструкции А.С.Я., проверенный в части стрелково-пушечного вооружения, а также на пилотаж, пикирование до скорости 635 км/час и штопор до 3-х витков считать прошедшим госиспытания.</w:t>
      </w:r>
    </w:p>
    <w:p w14:paraId="11FCF7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30B2A0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Обратить внимание НКАП, что выполнение Постановления КО № 377 от 16 сентября 1940 об установке радиостанции РСИ-4 на серийные с-ты И-26 с 1 января 1941 не обеспечено, т.к. и 3-й экз. опытного ст-та И-26 был предъявдлен на госиспытания без рации и установка ее на с-т не предусмотрена.</w:t>
      </w:r>
    </w:p>
    <w:p w14:paraId="4FD300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Устранение всех дефектов, выявленных во время госиспытаний опытных образцов, провести на всех выпущенных и выпускаемых с-тах И-26 в сроки по отдельному соглашению с НКАП ГУ ВВС КА.</w:t>
      </w:r>
    </w:p>
    <w:p w14:paraId="6CBAA4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Необходимо на с-те И-26 выполнить постановление КО № 374 от 7 сентября 1940.</w:t>
      </w:r>
    </w:p>
    <w:p w14:paraId="4F5025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Подписали Филин, Федоров,</w:t>
      </w:r>
    </w:p>
    <w:p w14:paraId="50B6F8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Верно Гребенников 26 декабря 1940 (844).</w:t>
      </w:r>
    </w:p>
    <w:p w14:paraId="1662165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C0007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Зам. наркома П.А.Воронин писал директорам заводов 23 Фролову, 387 Федину, 47 Скорондаеву письмо N 2447 "Предлагаю директору завода 23 с 6 декабря 1940 прекратить производство самолета УТ-2, С-2 и У-2, переключив цеха завода на изготовление самолета И-301 по выполнению программы 1940 и заделу на 1941 (1271).</w:t>
      </w:r>
    </w:p>
    <w:p w14:paraId="3832A22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982ADA0"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6 декабря 1940 г. завод № 23 был полностью переключен на выпуск этого истребителя, названного впоследствии по имени его создателей авиаконструкторов С. А. Лавочкина, В. П. Горбунова и М. И. Гудкова ЛаГГ-3.</w:t>
      </w:r>
    </w:p>
    <w:p w14:paraId="754B7A3C"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При этом производство самолетов У-2 было передано на новый ленинградский авиазавод № 387, а УТ-2 – на авиазавод № 47.</w:t>
      </w:r>
    </w:p>
    <w:p w14:paraId="6B9D48F4"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Всего с 1929 г. по 1940 г. авиационный завод № 23 выпустил около 14 000 легкомоторных самолетов У-2 различных модификаций [4, с. 3]. Авторами на основании архивных документов завода за 1938-1940 гг. подсчитано, что, кроме того, в течение этих лет путевку в небо здесь получили 672 новейших в то время учебно-тренировочных самолета УТ-2 (12697).</w:t>
      </w:r>
    </w:p>
    <w:p w14:paraId="0C04ADE8" w14:textId="77777777" w:rsidR="00C66762" w:rsidRPr="00A3026E" w:rsidRDefault="00C66762" w:rsidP="00A3026E">
      <w:pPr>
        <w:spacing w:after="0" w:line="240" w:lineRule="auto"/>
        <w:jc w:val="both"/>
        <w:rPr>
          <w:rFonts w:ascii="Times New Roman" w:eastAsia="TimesNewRoman" w:hAnsi="Times New Roman"/>
          <w:color w:val="000000" w:themeColor="text1"/>
          <w:sz w:val="16"/>
          <w:szCs w:val="16"/>
        </w:rPr>
      </w:pPr>
    </w:p>
    <w:p w14:paraId="2A905B1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в лаборатории 8 ЦАГИ (сейчас ЛИИ) л. Г.М.Шиянов поломал СК-2 производства приборно-модельным мастерских ЦАГИ (2080,164) из-за обрыва троса управления замками шасси (254,20). Масло, выбрасываемое мотором, покрыло пленкой козырек машины (10745,192).</w:t>
      </w:r>
    </w:p>
    <w:p w14:paraId="7F03A24C"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976441B" w14:textId="77777777" w:rsidR="00C877C3" w:rsidRPr="00A3026E" w:rsidRDefault="00C877C3"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 декабря 1940 при выпуске шасси лётчик, не рассчитав силы, вырвал ручку с тросиком гидропривода шасси и вынужден был сажать самолёт СК-2 на живот на скорости около 200 км/час. К аварийной посадке готовились и пожарные, и санитарные машины, но она оказалась на удивление удачной. Повреждения были невелики, и через 10 дней машина снова была в воздухе. 17 января А.Н. Гринчик, впервые пилотировавший СК 2, при пробеге после посадки сошёл с очищенной от снега полосы аэродрома, самолёт зарылся в сугроб, скапотировал и погнул винт. Винт сменили, и 29 января полёты продолжили (17489).</w:t>
      </w:r>
    </w:p>
    <w:p w14:paraId="591F9B72" w14:textId="77777777" w:rsidR="00C877C3" w:rsidRPr="00A3026E" w:rsidRDefault="00C877C3" w:rsidP="00A3026E">
      <w:pPr>
        <w:spacing w:after="0" w:line="240" w:lineRule="auto"/>
        <w:jc w:val="both"/>
        <w:rPr>
          <w:rFonts w:ascii="Times New Roman" w:eastAsia="Times New Roman" w:hAnsi="Times New Roman"/>
          <w:color w:val="000000" w:themeColor="text1"/>
          <w:sz w:val="16"/>
          <w:szCs w:val="16"/>
          <w:lang w:eastAsia="ru-RU"/>
        </w:rPr>
      </w:pPr>
    </w:p>
    <w:p w14:paraId="2C9B43E0" w14:textId="77777777" w:rsidR="00046639" w:rsidRPr="00A3026E" w:rsidRDefault="0004663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6 по 27 декабря (с 13 по 20 их пришлось приостановить в связи с ремонтом винтомоторной группы самолета) 1940 г. в трубе Т-101 лаборатория №1 проводила продувки самолета He-100. Отчет был подписан 30 апреля 1941 г. В результате испытаний получили поляры, характеристики продольной устойчивости и устойчивости пути как со снятым, так и с работающим винтом, с горизонтальным оперением и без. В заключении указывалось, что наиболее интересной особенностью самолета в отношении продольной устойчивости является «повышение степени устойчивости со свободным рулем высоты, с этой точки зрения использованное на самолете He-100 устройство руля высоты может быть рекомендовано вниманию конструкторов».</w:t>
      </w:r>
    </w:p>
    <w:p w14:paraId="5B87AB96" w14:textId="77777777" w:rsidR="00046639" w:rsidRPr="00A3026E" w:rsidRDefault="00046639" w:rsidP="00A3026E">
      <w:pPr>
        <w:spacing w:after="0" w:line="240" w:lineRule="auto"/>
        <w:jc w:val="both"/>
        <w:rPr>
          <w:rFonts w:ascii="Times New Roman" w:hAnsi="Times New Roman"/>
          <w:color w:val="000000" w:themeColor="text1"/>
          <w:sz w:val="16"/>
          <w:szCs w:val="16"/>
        </w:rPr>
      </w:pPr>
    </w:p>
    <w:p w14:paraId="7ECE70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года вышло решение Политбюро ЦК ВКП(б) № П 23 / 133 – ОП от «О переименовании боевых самолетов». Им, в частности, предписывалось переименовать все новые боевые самолеты, назвав их первыми буквами фамилий главных конструкторов и цифрой. При этом истребители должны были получить нечетные цифры, начиная нумерацию каждого конструктора с единицы, а бомбардировщики, штурмовики, разведчики, торпедоносцы, военно-транспортные самолеты соответственно четные цифры, начиная нумерацию самолетов каждого конструктора с цифры 2. В списке для переименования значилось 15 моделей самолетов, восемь из которых были истребителями, семь – бомбардировщиками, одна – штурмовиком (РГАСПИ. Ф. 17. Оп. 3. Д. 30. Л. 63-64.).</w:t>
      </w:r>
    </w:p>
    <w:p w14:paraId="50C6BA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дальнейшем это решение Политбюро ЦК ВКП(б) было спущено для исполнения «вниз» и нашло отражение в соответствующем приказе НКАП за № 704сс от 9 декабря 1940 года, основанном на Постановлении «О переименовании боевых самолетов», где содержался такой же перечень моделей самолетов, разработанных под руководством Яковлева, Микояна и Гуревича, Лавочкина, Горбунова и Гудкова, Архангельского, Петлякова, Ермолаева, Сухого, Ильюшина (РГАЭ. Ф. 8044. Оп.1. Д. 338. Л. 123-124.). Список переименованных машин приводится в Таблице 30 Приложения (11672).</w:t>
      </w:r>
    </w:p>
    <w:p w14:paraId="72DD618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1F2CD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года Политбюро ЦК ВКП(б) приняло решение «О переименовании боевых самолетов» (Зимняя война»: работа над ошибками (апрель - май 1940 года). Материалы комиссий Главного военного совета Красной армии по обобщению опыта финской кампании. М., СПб., 2004. С. 527.). В дальнейшем это решение было спущено для исполнения «вниз». А.Т. Степанец в своей монографии приводит справку по этому воп</w:t>
      </w:r>
      <w:r w:rsidRPr="00A3026E">
        <w:rPr>
          <w:rFonts w:ascii="Times New Roman" w:hAnsi="Times New Roman"/>
          <w:color w:val="000000" w:themeColor="text1"/>
          <w:sz w:val="16"/>
          <w:szCs w:val="16"/>
        </w:rPr>
        <w:softHyphen/>
        <w:t>росу: «В соответствии с постановлением правительства о переименовании боевых самолетов в приказе НКАП от 9 декабря 1940 года было предусмот</w:t>
      </w:r>
      <w:r w:rsidRPr="00A3026E">
        <w:rPr>
          <w:rFonts w:ascii="Times New Roman" w:hAnsi="Times New Roman"/>
          <w:color w:val="000000" w:themeColor="text1"/>
          <w:sz w:val="16"/>
          <w:szCs w:val="16"/>
        </w:rPr>
        <w:softHyphen/>
        <w:t>рено следующее. Переименовать все новые боевые самолеты, назвав их первыми буквами фамилий главных конструкторов и цифрой. При этом истребителям присваиваются нечетные цифры, и нумерация самолетов каждого конструктора начинается с единицы. Бомбардировщикам, штур</w:t>
      </w:r>
      <w:r w:rsidRPr="00A3026E">
        <w:rPr>
          <w:rFonts w:ascii="Times New Roman" w:hAnsi="Times New Roman"/>
          <w:color w:val="000000" w:themeColor="text1"/>
          <w:sz w:val="16"/>
          <w:szCs w:val="16"/>
        </w:rPr>
        <w:softHyphen/>
        <w:t>мовикам, разведчикам и военным десантно-транспортным самолетам при</w:t>
      </w:r>
      <w:r w:rsidRPr="00A3026E">
        <w:rPr>
          <w:rFonts w:ascii="Times New Roman" w:hAnsi="Times New Roman"/>
          <w:color w:val="000000" w:themeColor="text1"/>
          <w:sz w:val="16"/>
          <w:szCs w:val="16"/>
        </w:rPr>
        <w:softHyphen/>
        <w:t>сваиваются четные цифры, и нумерация самолетов каждого конструктора начинается с цифры 2» (Степанец А.Т. Истребители Як периода Великой Отечественной войны. С. 7.). Некоторые отечественные авторы, например, ДА. Соболев, предполагают, что это нововведение приняли по аналогии с немецкой системой обозначения самолетов (Соболев ДА Немецкий след в истории советской авиации. С. 53.). Примечательно, что неко</w:t>
      </w:r>
      <w:r w:rsidRPr="00A3026E">
        <w:rPr>
          <w:rFonts w:ascii="Times New Roman" w:hAnsi="Times New Roman"/>
          <w:color w:val="000000" w:themeColor="text1"/>
          <w:sz w:val="16"/>
          <w:szCs w:val="16"/>
        </w:rPr>
        <w:softHyphen/>
        <w:t>торые самолеты, причем и те, которые нельзя было назвать старыми, в то время не были переименованы, хотя выпускались серийно. Их переимено</w:t>
      </w:r>
      <w:r w:rsidRPr="00A3026E">
        <w:rPr>
          <w:rFonts w:ascii="Times New Roman" w:hAnsi="Times New Roman"/>
          <w:color w:val="000000" w:themeColor="text1"/>
          <w:sz w:val="16"/>
          <w:szCs w:val="16"/>
        </w:rPr>
        <w:softHyphen/>
        <w:t>вали несколько позже, например, ТБ-7 в Пе-8 в феврале 1942 года (Ригмант В. «Летающая крепость» ВВС Красной армии. С. 39.), ДБ-ЗФ с 26 марта 1942 года получил новое обозначение - Ил-4 (Котельников В.Р. «Незаконнорожденный» бомбардировщик. Совершенствование в годы вой</w:t>
      </w:r>
      <w:r w:rsidRPr="00A3026E">
        <w:rPr>
          <w:rFonts w:ascii="Times New Roman" w:hAnsi="Times New Roman"/>
          <w:color w:val="000000" w:themeColor="text1"/>
          <w:sz w:val="16"/>
          <w:szCs w:val="16"/>
        </w:rPr>
        <w:softHyphen/>
        <w:t>ны. С. 23.), ПС-84 с 17 сен</w:t>
      </w:r>
      <w:r w:rsidRPr="00A3026E">
        <w:rPr>
          <w:rFonts w:ascii="Times New Roman" w:hAnsi="Times New Roman"/>
          <w:color w:val="000000" w:themeColor="text1"/>
          <w:sz w:val="16"/>
          <w:szCs w:val="16"/>
        </w:rPr>
        <w:softHyphen/>
        <w:t>тября 1942 года получил обозначение Ли-2 (Смирнов С.Г, Удалов К.Г., Мараев Р.В. «Дуглас» Лисунова. С. 6.) (11710,426).</w:t>
      </w:r>
    </w:p>
    <w:p w14:paraId="4AB0A2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54C10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Протокол № 23. Решения ПБ за 22 ноября - 13 декабря 1940 г.</w:t>
      </w:r>
    </w:p>
    <w:p w14:paraId="0231C1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25.11.40 г.</w:t>
      </w:r>
    </w:p>
    <w:p w14:paraId="49D11D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68. О моторах М-71 и М-81 завода № 19 (постановление ЦК ВКП (б) и СНК СССР)*.</w:t>
      </w:r>
    </w:p>
    <w:p w14:paraId="7663E8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69. Об истребителе конструкции Поликарпова*.</w:t>
      </w:r>
    </w:p>
    <w:p w14:paraId="71E3DC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70. Об истребителе конструкции Микояна*.</w:t>
      </w:r>
    </w:p>
    <w:p w14:paraId="4D824B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71. Об истребителе конструкции Яковлева*.</w:t>
      </w:r>
    </w:p>
    <w:p w14:paraId="1A8D59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30. 11.40 г.</w:t>
      </w:r>
    </w:p>
    <w:p w14:paraId="3BAE49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98. Вопрос НКО. Разрешение полетов на самолетах И-16, И-153*.</w:t>
      </w:r>
    </w:p>
    <w:p w14:paraId="2847A0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06.12.40 г.</w:t>
      </w:r>
    </w:p>
    <w:p w14:paraId="5EDE79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135. О порядке испытаний серийных авиационных моторов на заводах НКАП*.</w:t>
      </w:r>
    </w:p>
    <w:p w14:paraId="17EDCBE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137. О программе выпуска авиационных винтов в 1941 г. (постановление СНК СССР и</w:t>
      </w:r>
    </w:p>
    <w:p w14:paraId="18B4BE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ЦК ВКП (б))*.</w:t>
      </w:r>
    </w:p>
    <w:p w14:paraId="68FB37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138. О программе выпуска авиационного вооружения в 1941 г. (постановление СНК СССР</w:t>
      </w:r>
    </w:p>
    <w:p w14:paraId="089DDD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ЦК ВКП (б))*.</w:t>
      </w:r>
    </w:p>
    <w:p w14:paraId="2B3B3C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141. О программе завода № 26 на 1941 г. (постановление СНК СССР и ЦК ВКП (б))*.</w:t>
      </w:r>
    </w:p>
    <w:p w14:paraId="1A90A2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 142. О программе выпуска самолетов и авиамоторов в 1941 году*.</w:t>
      </w:r>
    </w:p>
    <w:p w14:paraId="39B06E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143. О боеприпасах для авиационных пушек (постановление СНК СССР и ЦК ВКП (б))*.</w:t>
      </w:r>
    </w:p>
    <w:p w14:paraId="407F58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10.12.40 г.</w:t>
      </w:r>
    </w:p>
    <w:p w14:paraId="7082D5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174. О проектировании и постройке опытного образца бронированных аэросаней*.</w:t>
      </w:r>
    </w:p>
    <w:p w14:paraId="663488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12.12.40 г.</w:t>
      </w:r>
    </w:p>
    <w:p w14:paraId="085DC2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196. О прекращении работ по изготовлению корпусов танка «KB» из двухслойной брони*.</w:t>
      </w:r>
    </w:p>
    <w:p w14:paraId="0FFC4C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13.3.40 г.</w:t>
      </w:r>
    </w:p>
    <w:p w14:paraId="5D06D8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205. Об изменениях в выпуске типов моторов по заводам №№ 384 и 19 (постановление СНК СССР и ЦК ВКП (б))* (11773).</w:t>
      </w:r>
    </w:p>
    <w:p w14:paraId="6AB5DD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E0011C1"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6 по 27 декабря (с 13 по 20 их пришлось приостановить в связи с ремонтом винтомоторной группы самолета) 1940 г. в трубе Т-101 лаборатория №1 проводила продувки самолета He-100. Отчет был подписан 30 апреля 1941 г. В результате испытаний получили поляры, характеристики продольной устойчивости и устойчивости пути как со снятым, так и с работающим винтом, с горизонтальным оперением и без. В заключении указывалось, что наиболее интересной особенностью самолета в отношении продольной устойчивости является «повышение степени устойчивости со свободным рулем высоты, с этой точки зрения использованное на самолете He-100 устройство руля высоты может быть рекомендовано вниманию конструкторов».</w:t>
      </w:r>
    </w:p>
    <w:p w14:paraId="43B5FC2B" w14:textId="77777777" w:rsidR="001278CD" w:rsidRPr="00A3026E" w:rsidRDefault="001278CD" w:rsidP="00A3026E">
      <w:pPr>
        <w:spacing w:after="0" w:line="240" w:lineRule="auto"/>
        <w:jc w:val="both"/>
        <w:rPr>
          <w:rFonts w:ascii="Times New Roman" w:hAnsi="Times New Roman"/>
          <w:color w:val="000000" w:themeColor="text1"/>
          <w:sz w:val="16"/>
          <w:szCs w:val="16"/>
        </w:rPr>
      </w:pPr>
    </w:p>
    <w:p w14:paraId="3797DC68"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года вышло Постановление СНК и ЦК ВКП(б) № 3463-1097сс</w:t>
      </w:r>
    </w:p>
    <w:p w14:paraId="57EF530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НИИ ВВС провести сравнительные испытания лопастей винтов ВИШ-61П и ВИШ-22 на немецких самолетах к 20 декабря 1940 года и испытание электромеханических винтов на самолете Як-3 к 20 декабря 1940 года и на самолете Миг-3 с АМ-35 к 20 января 1941 года.</w:t>
      </w:r>
    </w:p>
    <w:p w14:paraId="1350234F"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НКАП (завод № 1) к 8 декабря 1940 года провести заводские летные испытания электромеханических винтов типа VDM на самолете И-153 с М-62 и передать НИИ на гос. испытания, которые закончить к 25 декабря 1940 года.</w:t>
      </w:r>
    </w:p>
    <w:p w14:paraId="04674E4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20 декабря 1940 года провести на заводе № 24 совместно с НКО 100-часовые испытания электромеханических винтов типа VDM на моторе М-62 (4048,5).</w:t>
      </w:r>
    </w:p>
    <w:p w14:paraId="0A33366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9BA55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Завод № 28 закончил заводские летные испытания винта ВЭМ-63 на самолета М-153 с мотором М-63 и после осмотра винта только 16 декабря с.г. посылает на завод № 1 для установки на самолет И-152 с мотором М-63. Самолет И-153 с электромеханическим винтом ВЭМ-63 был передан в НИИ ВВС Красной Армии на государственные летные испытанния (9820,68).</w:t>
      </w:r>
    </w:p>
    <w:p w14:paraId="2C5E7C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B1D31F3"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6 декабря 1940 – протокол Политбюро </w:t>
      </w:r>
    </w:p>
    <w:p w14:paraId="6A1201C1"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06.XII.40 г.</w:t>
      </w:r>
    </w:p>
    <w:p w14:paraId="4FDA3815"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135. О порядке испытаний серийных авиационных моторов на заводах НКАП. — ОП.</w:t>
      </w:r>
    </w:p>
    <w:p w14:paraId="01A657D9"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137. О программе выпуска авиационных винтов в 1941 г. (постановление СНК СССР и ЦК ВКП(б)). — ОП.</w:t>
      </w:r>
    </w:p>
    <w:p w14:paraId="6584C79E"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138. О программе выпуска авиационного вооружения в 1941 году (постановление СНК СССР и ЦК ВКП(б)). — ОП. (20408)</w:t>
      </w:r>
    </w:p>
    <w:p w14:paraId="31EAE38C" w14:textId="77777777" w:rsidR="0002616E" w:rsidRPr="00A3026E" w:rsidRDefault="0002616E" w:rsidP="00A3026E">
      <w:pPr>
        <w:spacing w:after="0" w:line="240" w:lineRule="auto"/>
        <w:jc w:val="both"/>
        <w:rPr>
          <w:rFonts w:ascii="Times New Roman" w:hAnsi="Times New Roman"/>
          <w:color w:val="0070C0"/>
          <w:sz w:val="16"/>
          <w:szCs w:val="16"/>
        </w:rPr>
      </w:pPr>
    </w:p>
    <w:p w14:paraId="1B284D6D"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декабря 1940 вышло Постановление Политбюро ЦК ВКП(б) "О порядке испытаний серийных авиационных моторов на заводах НКАП" (пр. № 23/23-оп за 22 ноября - 13 декабря 1940 г., п. 135)</w:t>
      </w:r>
    </w:p>
    <w:p w14:paraId="742F00B9"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135. О_порядке испытаний серийных авиационных моторов на заводах НКАП.</w:t>
      </w:r>
    </w:p>
    <w:p w14:paraId="4A3BA6E7"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 СНК СССР и ЦК ВКП/б/).</w:t>
      </w:r>
    </w:p>
    <w:p w14:paraId="6D7EC2C2"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СНК СССР и ЦК ВНП(б) устанавливают, что существующая система испытаний авиационных серийных моторов приводит к преступному расточительству моторных ресурсов и высокоок</w:t>
      </w:r>
      <w:r w:rsidRPr="00A3026E">
        <w:rPr>
          <w:rFonts w:ascii="Times New Roman" w:hAnsi="Times New Roman"/>
          <w:color w:val="0070C0"/>
          <w:sz w:val="16"/>
          <w:szCs w:val="16"/>
        </w:rPr>
        <w:softHyphen/>
        <w:t>танового топлива и сокращает выпуск авиационных моторов на заводах НКАП. Так в октябре месяце с.г. на заводе № 26 на испытание каждого серийного мотора М-105 было израсходовано 20 часов моторных ресурсов и 3,2 тонны высокооктанового бензина в среднем на один мотор, на заводе № 24 при испыта</w:t>
      </w:r>
      <w:r w:rsidRPr="00A3026E">
        <w:rPr>
          <w:rFonts w:ascii="Times New Roman" w:hAnsi="Times New Roman"/>
          <w:color w:val="0070C0"/>
          <w:sz w:val="16"/>
          <w:szCs w:val="16"/>
        </w:rPr>
        <w:softHyphen/>
        <w:t>нии каждого серийного мотора АМ-35А было израсходовано 48 часов моторных ресурсов и 9 тонн высокооктанового бен</w:t>
      </w:r>
      <w:r w:rsidRPr="00A3026E">
        <w:rPr>
          <w:rFonts w:ascii="Times New Roman" w:hAnsi="Times New Roman"/>
          <w:color w:val="0070C0"/>
          <w:sz w:val="16"/>
          <w:szCs w:val="16"/>
        </w:rPr>
        <w:softHyphen/>
        <w:t>зина в среднем на один мотор, на заводе № 29 на испытание каждого серийного мотора М-87 и М-88 было израсходовано 3,5 тонны высокооктанового бензина в среднем на один мотор, на заводе № 19 на испытание каждого серийного мотора М-63 было израсходовано 30 часов моторных ресурсов и 4 тонны высоко</w:t>
      </w:r>
      <w:r w:rsidRPr="00A3026E">
        <w:rPr>
          <w:rFonts w:ascii="Times New Roman" w:hAnsi="Times New Roman"/>
          <w:color w:val="0070C0"/>
          <w:sz w:val="16"/>
          <w:szCs w:val="16"/>
        </w:rPr>
        <w:softHyphen/>
        <w:t>октанового бензина в среднем на один мотор.</w:t>
      </w:r>
    </w:p>
    <w:p w14:paraId="33027A53"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СНК СССР и ЦК ВКП(б) считают, что указанная антигосу</w:t>
      </w:r>
      <w:r w:rsidRPr="00A3026E">
        <w:rPr>
          <w:rFonts w:ascii="Times New Roman" w:hAnsi="Times New Roman"/>
          <w:color w:val="0070C0"/>
          <w:sz w:val="16"/>
          <w:szCs w:val="16"/>
        </w:rPr>
        <w:softHyphen/>
        <w:t>дарственная практика испытания авиамоторов является резуль</w:t>
      </w:r>
      <w:r w:rsidRPr="00A3026E">
        <w:rPr>
          <w:rFonts w:ascii="Times New Roman" w:hAnsi="Times New Roman"/>
          <w:color w:val="0070C0"/>
          <w:sz w:val="16"/>
          <w:szCs w:val="16"/>
        </w:rPr>
        <w:softHyphen/>
        <w:t>татом того, что военпреды моторных заводов как трусы стра</w:t>
      </w:r>
      <w:r w:rsidRPr="00A3026E">
        <w:rPr>
          <w:rFonts w:ascii="Times New Roman" w:hAnsi="Times New Roman"/>
          <w:color w:val="0070C0"/>
          <w:sz w:val="16"/>
          <w:szCs w:val="16"/>
        </w:rPr>
        <w:softHyphen/>
        <w:t>хуются за счет интересов государства, а директора заводов терпимо относятся к преступному расточительству моторных ресурсов и авиатоплива, прикрывая тем самым безобразия в производстве.</w:t>
      </w:r>
    </w:p>
    <w:p w14:paraId="011B80B9"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СССР и ЦК ВКП(б) отмечают, что ГУ ВВС и НКАП про</w:t>
      </w:r>
      <w:r w:rsidRPr="00A3026E">
        <w:rPr>
          <w:rFonts w:ascii="Times New Roman" w:hAnsi="Times New Roman"/>
          <w:color w:val="0070C0"/>
          <w:sz w:val="16"/>
          <w:szCs w:val="16"/>
        </w:rPr>
        <w:softHyphen/>
        <w:t>глядели непорядки, вскрытые в настоящем постановлении, сжи</w:t>
      </w:r>
      <w:r w:rsidRPr="00A3026E">
        <w:rPr>
          <w:rFonts w:ascii="Times New Roman" w:hAnsi="Times New Roman"/>
          <w:color w:val="0070C0"/>
          <w:sz w:val="16"/>
          <w:szCs w:val="16"/>
        </w:rPr>
        <w:softHyphen/>
        <w:t>лись с ними и не приняли мер по ликвидации антигосударственной практики испытаний авиационных моторов.</w:t>
      </w:r>
    </w:p>
    <w:p w14:paraId="1725E006"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CНК Союза ССР и ЦК ВКП(б) постановляют:</w:t>
      </w:r>
    </w:p>
    <w:p w14:paraId="230FFD1B"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1.Осудить и отменить существующую систему заводских испытаний серийных авиационных моторов и систему штрафных испытаний, как антигосударственную и поправленную к подрыву работы авиационной промышленности и дела вооружения нашей армии самолетами.</w:t>
      </w:r>
    </w:p>
    <w:p w14:paraId="376DB942"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Установить следующую систему и нормы заводских сда</w:t>
      </w:r>
      <w:r w:rsidRPr="00A3026E">
        <w:rPr>
          <w:rFonts w:ascii="Times New Roman" w:hAnsi="Times New Roman"/>
          <w:color w:val="0070C0"/>
          <w:sz w:val="16"/>
          <w:szCs w:val="16"/>
        </w:rPr>
        <w:softHyphen/>
        <w:t>точных и контрольных испытаний серийных авиационных моторов на всех моторных заводах НКАП:</w:t>
      </w:r>
    </w:p>
    <w:p w14:paraId="0768DCE7"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холоднэл обкатка мотора от электромотора проводит</w:t>
      </w:r>
      <w:r w:rsidRPr="00A3026E">
        <w:rPr>
          <w:rFonts w:ascii="Times New Roman" w:hAnsi="Times New Roman"/>
          <w:color w:val="0070C0"/>
          <w:sz w:val="16"/>
          <w:szCs w:val="16"/>
        </w:rPr>
        <w:softHyphen/>
        <w:t>ся в течение 3 часов;</w:t>
      </w:r>
    </w:p>
    <w:p w14:paraId="5CEF4376"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заводские испытания на стенде на газу проводятся в течение 3 часов, включая в указанное время 1 час режим</w:t>
      </w:r>
      <w:r w:rsidRPr="00A3026E">
        <w:rPr>
          <w:rFonts w:ascii="Times New Roman" w:hAnsi="Times New Roman"/>
          <w:color w:val="0070C0"/>
          <w:sz w:val="16"/>
          <w:szCs w:val="16"/>
        </w:rPr>
        <w:softHyphen/>
        <w:t>ной работы, все операции горячей приработки и прогревов, а также время проверки работы мотора со стороны ОТК;</w:t>
      </w:r>
    </w:p>
    <w:p w14:paraId="61FBF2E3"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контрольные испытания после переборки мотора яв</w:t>
      </w:r>
      <w:r w:rsidRPr="00A3026E">
        <w:rPr>
          <w:rFonts w:ascii="Times New Roman" w:hAnsi="Times New Roman"/>
          <w:color w:val="0070C0"/>
          <w:sz w:val="16"/>
          <w:szCs w:val="16"/>
        </w:rPr>
        <w:softHyphen/>
        <w:t>ляются актом приемки мотора военпредом и проводятся в тече</w:t>
      </w:r>
      <w:r w:rsidRPr="00A3026E">
        <w:rPr>
          <w:rFonts w:ascii="Times New Roman" w:hAnsi="Times New Roman"/>
          <w:color w:val="0070C0"/>
          <w:sz w:val="16"/>
          <w:szCs w:val="16"/>
        </w:rPr>
        <w:softHyphen/>
        <w:t>ние не более 40 минут, из коих 15 минут режимной работы.</w:t>
      </w:r>
    </w:p>
    <w:p w14:paraId="19A1D352"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Заводские сдаточные испытания проводить под ответ</w:t>
      </w:r>
      <w:r w:rsidRPr="00A3026E">
        <w:rPr>
          <w:rFonts w:ascii="Times New Roman" w:hAnsi="Times New Roman"/>
          <w:color w:val="0070C0"/>
          <w:sz w:val="16"/>
          <w:szCs w:val="16"/>
        </w:rPr>
        <w:softHyphen/>
        <w:t>ственность начальника ОТК завода, отменив оформление ука</w:t>
      </w:r>
      <w:r w:rsidRPr="00A3026E">
        <w:rPr>
          <w:rFonts w:ascii="Times New Roman" w:hAnsi="Times New Roman"/>
          <w:color w:val="0070C0"/>
          <w:sz w:val="16"/>
          <w:szCs w:val="16"/>
        </w:rPr>
        <w:softHyphen/>
        <w:t>занных испытаний военпредом. Результаты контрольных испы</w:t>
      </w:r>
      <w:r w:rsidRPr="00A3026E">
        <w:rPr>
          <w:rFonts w:ascii="Times New Roman" w:hAnsi="Times New Roman"/>
          <w:color w:val="0070C0"/>
          <w:sz w:val="16"/>
          <w:szCs w:val="16"/>
        </w:rPr>
        <w:softHyphen/>
        <w:t>таний оформляются военпредом.</w:t>
      </w:r>
    </w:p>
    <w:p w14:paraId="7034B6FF"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Установить следующие нормы расхода бензина для про</w:t>
      </w:r>
      <w:r w:rsidRPr="00A3026E">
        <w:rPr>
          <w:rFonts w:ascii="Times New Roman" w:hAnsi="Times New Roman"/>
          <w:color w:val="0070C0"/>
          <w:sz w:val="16"/>
          <w:szCs w:val="16"/>
        </w:rPr>
        <w:softHyphen/>
        <w:t>ведения всех испытаний каждого серийного мотора:</w:t>
      </w:r>
    </w:p>
    <w:p w14:paraId="315D360B"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том_числе</w:t>
      </w:r>
      <w:r w:rsidRPr="00A3026E">
        <w:rPr>
          <w:rFonts w:ascii="Times New Roman" w:hAnsi="Times New Roman"/>
          <w:color w:val="0070C0"/>
          <w:sz w:val="16"/>
          <w:szCs w:val="16"/>
        </w:rPr>
        <w:tab/>
        <w:t xml:space="preserve"> ВСЕГО Бензин</w:t>
      </w:r>
      <w:r w:rsidRPr="00A3026E">
        <w:rPr>
          <w:rFonts w:ascii="Times New Roman" w:hAnsi="Times New Roman"/>
          <w:color w:val="0070C0"/>
          <w:sz w:val="16"/>
          <w:szCs w:val="16"/>
        </w:rPr>
        <w:tab/>
        <w:t>Бензин</w:t>
      </w:r>
    </w:p>
    <w:p w14:paraId="5FEF22EE"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fldChar w:fldCharType="begin"/>
      </w:r>
      <w:r w:rsidRPr="00A3026E">
        <w:rPr>
          <w:rFonts w:ascii="Times New Roman" w:hAnsi="Times New Roman"/>
          <w:color w:val="0070C0"/>
          <w:sz w:val="16"/>
          <w:szCs w:val="16"/>
        </w:rPr>
        <w:instrText xml:space="preserve"> TOC \o "1-5" \h \z </w:instrText>
      </w:r>
      <w:r w:rsidRPr="00A3026E">
        <w:rPr>
          <w:rFonts w:ascii="Times New Roman" w:hAnsi="Times New Roman"/>
          <w:color w:val="0070C0"/>
          <w:sz w:val="16"/>
          <w:szCs w:val="16"/>
        </w:rPr>
        <w:fldChar w:fldCharType="separate"/>
      </w:r>
      <w:r w:rsidRPr="00A3026E">
        <w:rPr>
          <w:rFonts w:ascii="Times New Roman" w:hAnsi="Times New Roman"/>
          <w:color w:val="0070C0"/>
          <w:sz w:val="16"/>
          <w:szCs w:val="16"/>
        </w:rPr>
        <w:t>Б-78</w:t>
      </w:r>
      <w:r w:rsidRPr="00A3026E">
        <w:rPr>
          <w:rFonts w:ascii="Times New Roman" w:hAnsi="Times New Roman"/>
          <w:color w:val="0070C0"/>
          <w:sz w:val="16"/>
          <w:szCs w:val="16"/>
        </w:rPr>
        <w:tab/>
        <w:t>Б-70</w:t>
      </w:r>
    </w:p>
    <w:p w14:paraId="741BE39E"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М-105</w:t>
      </w:r>
      <w:r w:rsidRPr="00A3026E">
        <w:rPr>
          <w:rFonts w:ascii="Times New Roman" w:hAnsi="Times New Roman"/>
          <w:color w:val="0070C0"/>
          <w:sz w:val="16"/>
          <w:szCs w:val="16"/>
        </w:rPr>
        <w:tab/>
        <w:t>610 кг.</w:t>
      </w:r>
      <w:r w:rsidRPr="00A3026E">
        <w:rPr>
          <w:rFonts w:ascii="Times New Roman" w:hAnsi="Times New Roman"/>
          <w:color w:val="0070C0"/>
          <w:sz w:val="16"/>
          <w:szCs w:val="16"/>
        </w:rPr>
        <w:tab/>
        <w:t>350</w:t>
      </w:r>
      <w:r w:rsidRPr="00A3026E">
        <w:rPr>
          <w:rFonts w:ascii="Times New Roman" w:hAnsi="Times New Roman"/>
          <w:color w:val="0070C0"/>
          <w:sz w:val="16"/>
          <w:szCs w:val="16"/>
        </w:rPr>
        <w:tab/>
        <w:t>кг.</w:t>
      </w:r>
      <w:r w:rsidRPr="00A3026E">
        <w:rPr>
          <w:rFonts w:ascii="Times New Roman" w:hAnsi="Times New Roman"/>
          <w:color w:val="0070C0"/>
          <w:sz w:val="16"/>
          <w:szCs w:val="16"/>
        </w:rPr>
        <w:tab/>
        <w:t>260</w:t>
      </w:r>
      <w:r w:rsidRPr="00A3026E">
        <w:rPr>
          <w:rFonts w:ascii="Times New Roman" w:hAnsi="Times New Roman"/>
          <w:color w:val="0070C0"/>
          <w:sz w:val="16"/>
          <w:szCs w:val="16"/>
        </w:rPr>
        <w:tab/>
        <w:t>кг.</w:t>
      </w:r>
    </w:p>
    <w:p w14:paraId="6CF81876"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АМ-35</w:t>
      </w:r>
      <w:r w:rsidRPr="00A3026E">
        <w:rPr>
          <w:rFonts w:ascii="Times New Roman" w:hAnsi="Times New Roman"/>
          <w:color w:val="0070C0"/>
          <w:sz w:val="16"/>
          <w:szCs w:val="16"/>
        </w:rPr>
        <w:tab/>
        <w:t>680</w:t>
      </w:r>
      <w:r w:rsidRPr="00A3026E">
        <w:rPr>
          <w:rFonts w:ascii="Times New Roman" w:hAnsi="Times New Roman"/>
          <w:color w:val="0070C0"/>
          <w:sz w:val="16"/>
          <w:szCs w:val="16"/>
        </w:rPr>
        <w:tab/>
        <w:t>480</w:t>
      </w:r>
      <w:r w:rsidRPr="00A3026E">
        <w:rPr>
          <w:rFonts w:ascii="Times New Roman" w:hAnsi="Times New Roman"/>
          <w:color w:val="0070C0"/>
          <w:sz w:val="16"/>
          <w:szCs w:val="16"/>
        </w:rPr>
        <w:tab/>
      </w:r>
      <w:r w:rsidRPr="00A3026E">
        <w:rPr>
          <w:rFonts w:ascii="Times New Roman" w:hAnsi="Times New Roman"/>
          <w:color w:val="0070C0"/>
          <w:sz w:val="16"/>
          <w:szCs w:val="16"/>
        </w:rPr>
        <w:tab/>
        <w:t>200</w:t>
      </w:r>
      <w:r w:rsidRPr="00A3026E">
        <w:rPr>
          <w:rFonts w:ascii="Times New Roman" w:hAnsi="Times New Roman"/>
          <w:color w:val="0070C0"/>
          <w:sz w:val="16"/>
          <w:szCs w:val="16"/>
        </w:rPr>
        <w:tab/>
        <w:t>"</w:t>
      </w:r>
    </w:p>
    <w:p w14:paraId="04CF4EA6"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М-88</w:t>
      </w:r>
      <w:r w:rsidRPr="00A3026E">
        <w:rPr>
          <w:rFonts w:ascii="Times New Roman" w:hAnsi="Times New Roman"/>
          <w:color w:val="0070C0"/>
          <w:sz w:val="16"/>
          <w:szCs w:val="16"/>
        </w:rPr>
        <w:tab/>
        <w:t>68С</w:t>
      </w:r>
      <w:r w:rsidRPr="00A3026E">
        <w:rPr>
          <w:rFonts w:ascii="Times New Roman" w:hAnsi="Times New Roman"/>
          <w:color w:val="0070C0"/>
          <w:sz w:val="16"/>
          <w:szCs w:val="16"/>
        </w:rPr>
        <w:tab/>
        <w:t>330</w:t>
      </w:r>
      <w:r w:rsidRPr="00A3026E">
        <w:rPr>
          <w:rFonts w:ascii="Times New Roman" w:hAnsi="Times New Roman"/>
          <w:color w:val="0070C0"/>
          <w:sz w:val="16"/>
          <w:szCs w:val="16"/>
        </w:rPr>
        <w:tab/>
      </w:r>
      <w:r w:rsidRPr="00A3026E">
        <w:rPr>
          <w:rFonts w:ascii="Times New Roman" w:hAnsi="Times New Roman"/>
          <w:color w:val="0070C0"/>
          <w:sz w:val="16"/>
          <w:szCs w:val="16"/>
        </w:rPr>
        <w:tab/>
        <w:t>330</w:t>
      </w:r>
      <w:r w:rsidRPr="00A3026E">
        <w:rPr>
          <w:rFonts w:ascii="Times New Roman" w:hAnsi="Times New Roman"/>
          <w:color w:val="0070C0"/>
          <w:sz w:val="16"/>
          <w:szCs w:val="16"/>
        </w:rPr>
        <w:tab/>
        <w:t>"</w:t>
      </w:r>
    </w:p>
    <w:p w14:paraId="2008D973"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М-62</w:t>
      </w:r>
      <w:r w:rsidRPr="00A3026E">
        <w:rPr>
          <w:rFonts w:ascii="Times New Roman" w:hAnsi="Times New Roman"/>
          <w:color w:val="0070C0"/>
          <w:sz w:val="16"/>
          <w:szCs w:val="16"/>
        </w:rPr>
        <w:tab/>
        <w:t>560</w:t>
      </w:r>
      <w:r w:rsidRPr="00A3026E">
        <w:rPr>
          <w:rFonts w:ascii="Times New Roman" w:hAnsi="Times New Roman"/>
          <w:color w:val="0070C0"/>
          <w:sz w:val="16"/>
          <w:szCs w:val="16"/>
        </w:rPr>
        <w:tab/>
        <w:t>300</w:t>
      </w:r>
      <w:r w:rsidRPr="00A3026E">
        <w:rPr>
          <w:rFonts w:ascii="Times New Roman" w:hAnsi="Times New Roman"/>
          <w:color w:val="0070C0"/>
          <w:sz w:val="16"/>
          <w:szCs w:val="16"/>
        </w:rPr>
        <w:tab/>
      </w:r>
      <w:r w:rsidRPr="00A3026E">
        <w:rPr>
          <w:rFonts w:ascii="Times New Roman" w:hAnsi="Times New Roman"/>
          <w:color w:val="0070C0"/>
          <w:sz w:val="16"/>
          <w:szCs w:val="16"/>
        </w:rPr>
        <w:tab/>
        <w:t>260</w:t>
      </w:r>
      <w:r w:rsidRPr="00A3026E">
        <w:rPr>
          <w:rFonts w:ascii="Times New Roman" w:hAnsi="Times New Roman"/>
          <w:color w:val="0070C0"/>
          <w:sz w:val="16"/>
          <w:szCs w:val="16"/>
        </w:rPr>
        <w:tab/>
        <w:t>*</w:t>
      </w:r>
      <w:r w:rsidRPr="00A3026E">
        <w:rPr>
          <w:rFonts w:ascii="Times New Roman" w:hAnsi="Times New Roman"/>
          <w:color w:val="0070C0"/>
          <w:sz w:val="16"/>
          <w:szCs w:val="16"/>
        </w:rPr>
        <w:fldChar w:fldCharType="end"/>
      </w:r>
    </w:p>
    <w:p w14:paraId="0E8ACB86"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Директорам заводов № 24 т. Дубову. № 26 т. Лаврентье</w:t>
      </w:r>
      <w:r w:rsidRPr="00A3026E">
        <w:rPr>
          <w:rFonts w:ascii="Times New Roman" w:hAnsi="Times New Roman"/>
          <w:color w:val="0070C0"/>
          <w:sz w:val="16"/>
          <w:szCs w:val="16"/>
        </w:rPr>
        <w:softHyphen/>
        <w:t>ву, № 29 т. Лукину, № 19 т. Кожевникову, № 16 т.Сухорукову до 1 января 1941 года оборудовать испытательную станцию потребным количеством электромоторных установок для холод</w:t>
      </w:r>
      <w:r w:rsidRPr="00A3026E">
        <w:rPr>
          <w:rFonts w:ascii="Times New Roman" w:hAnsi="Times New Roman"/>
          <w:color w:val="0070C0"/>
          <w:sz w:val="16"/>
          <w:szCs w:val="16"/>
        </w:rPr>
        <w:softHyphen/>
        <w:t>ной обкатки моторов.</w:t>
      </w:r>
    </w:p>
    <w:p w14:paraId="7DAE96BD"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Наркому электропромышленности т.Богатыреву к 15 де</w:t>
      </w:r>
      <w:r w:rsidRPr="00A3026E">
        <w:rPr>
          <w:rFonts w:ascii="Times New Roman" w:hAnsi="Times New Roman"/>
          <w:color w:val="0070C0"/>
          <w:sz w:val="16"/>
          <w:szCs w:val="16"/>
        </w:rPr>
        <w:softHyphen/>
        <w:t>кабря 1940 года поставить на авиамоторные заводи 75 элек</w:t>
      </w:r>
      <w:r w:rsidRPr="00A3026E">
        <w:rPr>
          <w:rFonts w:ascii="Times New Roman" w:hAnsi="Times New Roman"/>
          <w:color w:val="0070C0"/>
          <w:sz w:val="16"/>
          <w:szCs w:val="16"/>
        </w:rPr>
        <w:softHyphen/>
        <w:t>тромоторов постоянного тока, а также ртутные выпрямители, кабельную продукцию и аппаратуру, согласно заявки НКАП. Разрешить т.Богатыреву произвести эту поставку за счет других потребителей.</w:t>
      </w:r>
    </w:p>
    <w:p w14:paraId="2DD9C04E"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Установленный настоящим постановлением порядок ис</w:t>
      </w:r>
      <w:r w:rsidRPr="00A3026E">
        <w:rPr>
          <w:rFonts w:ascii="Times New Roman" w:hAnsi="Times New Roman"/>
          <w:color w:val="0070C0"/>
          <w:sz w:val="16"/>
          <w:szCs w:val="16"/>
        </w:rPr>
        <w:softHyphen/>
        <w:t>пытаний, за исключением холодной обкатки, ввести с 8 декабря 1940 года. Холодную обкатку ввести с 1 января 1941 года Разрешить НКАП до 1 января 1941 года увеличить на 50% нор</w:t>
      </w:r>
      <w:r w:rsidRPr="00A3026E">
        <w:rPr>
          <w:rFonts w:ascii="Times New Roman" w:hAnsi="Times New Roman"/>
          <w:color w:val="0070C0"/>
          <w:sz w:val="16"/>
          <w:szCs w:val="16"/>
        </w:rPr>
        <w:softHyphen/>
        <w:t>му расхода на испытания каждого серийного мотора, установ</w:t>
      </w:r>
      <w:r w:rsidRPr="00A3026E">
        <w:rPr>
          <w:rFonts w:ascii="Times New Roman" w:hAnsi="Times New Roman"/>
          <w:color w:val="0070C0"/>
          <w:sz w:val="16"/>
          <w:szCs w:val="16"/>
        </w:rPr>
        <w:softHyphen/>
        <w:t>ленную пунктом 4 настоящего постановления.</w:t>
      </w:r>
    </w:p>
    <w:p w14:paraId="15B33CB1"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Установить, что военпреды, директора заводов и на</w:t>
      </w:r>
      <w:r w:rsidRPr="00A3026E">
        <w:rPr>
          <w:rFonts w:ascii="Times New Roman" w:hAnsi="Times New Roman"/>
          <w:color w:val="0070C0"/>
          <w:sz w:val="16"/>
          <w:szCs w:val="16"/>
        </w:rPr>
        <w:softHyphen/>
        <w:t>чальники ОТК заводов несут личную ответственность за выпол</w:t>
      </w:r>
      <w:r w:rsidRPr="00A3026E">
        <w:rPr>
          <w:rFonts w:ascii="Times New Roman" w:hAnsi="Times New Roman"/>
          <w:color w:val="0070C0"/>
          <w:sz w:val="16"/>
          <w:szCs w:val="16"/>
        </w:rPr>
        <w:softHyphen/>
        <w:t>нение настоящего постановления.</w:t>
      </w:r>
    </w:p>
    <w:p w14:paraId="182C094D"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Обязать т.т. Рычагова и Шахурина не позднее 20 де</w:t>
      </w:r>
      <w:r w:rsidRPr="00A3026E">
        <w:rPr>
          <w:rFonts w:ascii="Times New Roman" w:hAnsi="Times New Roman"/>
          <w:color w:val="0070C0"/>
          <w:sz w:val="16"/>
          <w:szCs w:val="16"/>
        </w:rPr>
        <w:softHyphen/>
        <w:t>кабря 1940 года, и строгом соответствии с настоящим поста</w:t>
      </w:r>
      <w:r w:rsidRPr="00A3026E">
        <w:rPr>
          <w:rFonts w:ascii="Times New Roman" w:hAnsi="Times New Roman"/>
          <w:color w:val="0070C0"/>
          <w:sz w:val="16"/>
          <w:szCs w:val="16"/>
        </w:rPr>
        <w:softHyphen/>
        <w:t>новлением, утвердить и разослать заводам пояснение о прием</w:t>
      </w:r>
      <w:r w:rsidRPr="00A3026E">
        <w:rPr>
          <w:rFonts w:ascii="Times New Roman" w:hAnsi="Times New Roman"/>
          <w:color w:val="0070C0"/>
          <w:sz w:val="16"/>
          <w:szCs w:val="16"/>
        </w:rPr>
        <w:softHyphen/>
        <w:t>ке авиационных моторов.</w:t>
      </w:r>
    </w:p>
    <w:p w14:paraId="6C6D8EE2"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Ввиду того, что подобное же расточительство мотор</w:t>
      </w:r>
      <w:r w:rsidRPr="00A3026E">
        <w:rPr>
          <w:rFonts w:ascii="Times New Roman" w:hAnsi="Times New Roman"/>
          <w:color w:val="0070C0"/>
          <w:sz w:val="16"/>
          <w:szCs w:val="16"/>
        </w:rPr>
        <w:softHyphen/>
        <w:t>ных ресурсов и бензина происходит на самолетных, винтовых и агрегатных заводах при испытании серийных самолетов, вин</w:t>
      </w:r>
      <w:r w:rsidRPr="00A3026E">
        <w:rPr>
          <w:rFonts w:ascii="Times New Roman" w:hAnsi="Times New Roman"/>
          <w:color w:val="0070C0"/>
          <w:sz w:val="16"/>
          <w:szCs w:val="16"/>
        </w:rPr>
        <w:softHyphen/>
        <w:t>тов и агрегатов, поручить НКАП и ГУ ВВС не позднее 15 де</w:t>
      </w:r>
      <w:r w:rsidRPr="00A3026E">
        <w:rPr>
          <w:rFonts w:ascii="Times New Roman" w:hAnsi="Times New Roman"/>
          <w:color w:val="0070C0"/>
          <w:sz w:val="16"/>
          <w:szCs w:val="16"/>
        </w:rPr>
        <w:softHyphen/>
        <w:t>кабря 1940 года внести в ЦК BКП (б) и СНК CCСР свои предло</w:t>
      </w:r>
      <w:r w:rsidRPr="00A3026E">
        <w:rPr>
          <w:rFonts w:ascii="Times New Roman" w:hAnsi="Times New Roman"/>
          <w:color w:val="0070C0"/>
          <w:sz w:val="16"/>
          <w:szCs w:val="16"/>
        </w:rPr>
        <w:softHyphen/>
        <w:t>жения о наведении порядка с испытаниями серийных самолетов винтов и. агрегатов.</w:t>
      </w:r>
    </w:p>
    <w:p w14:paraId="420F71FB"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Выписки посланы:</w:t>
      </w:r>
    </w:p>
    <w:p w14:paraId="65948A04"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”т.т. Шахурину, Тимошенко, Рычагову, Чаадаеву, Маленкову, Вознесенскому, Дубов: директорам и военпредам заводов №№ 24, 26, 19, 29,1о(шифром) - все;</w:t>
      </w:r>
    </w:p>
    <w:p w14:paraId="0E7FA182"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Богатыреву - п.6 (22086).</w:t>
      </w:r>
    </w:p>
    <w:p w14:paraId="5163BAD6" w14:textId="77777777" w:rsidR="0002616E" w:rsidRPr="00A3026E" w:rsidRDefault="0002616E" w:rsidP="00A3026E">
      <w:pPr>
        <w:spacing w:after="0" w:line="240" w:lineRule="auto"/>
        <w:jc w:val="both"/>
        <w:rPr>
          <w:rFonts w:ascii="Times New Roman" w:hAnsi="Times New Roman"/>
          <w:color w:val="0070C0"/>
          <w:sz w:val="16"/>
          <w:szCs w:val="16"/>
        </w:rPr>
      </w:pPr>
    </w:p>
    <w:p w14:paraId="7A038FEF"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декабря 1940 вышло Постановление Политбюро ЦК ВКП(б) "О программе выпуска авиационных винтов в 1941 году" (пр. № 23/23-оп за 22 ноября - 13 декабря 1940 г., п. 137) (22087).</w:t>
      </w:r>
    </w:p>
    <w:p w14:paraId="75B5CF1D" w14:textId="77777777" w:rsidR="0002616E" w:rsidRPr="00A3026E" w:rsidRDefault="0002616E" w:rsidP="00A3026E">
      <w:pPr>
        <w:spacing w:after="0" w:line="240" w:lineRule="auto"/>
        <w:jc w:val="both"/>
        <w:rPr>
          <w:rFonts w:ascii="Times New Roman" w:hAnsi="Times New Roman"/>
          <w:color w:val="0070C0"/>
          <w:sz w:val="16"/>
          <w:szCs w:val="16"/>
        </w:rPr>
      </w:pPr>
    </w:p>
    <w:p w14:paraId="5AD77F26" w14:textId="77777777" w:rsidR="0002616E" w:rsidRPr="00A3026E" w:rsidRDefault="000261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6 декабря 1940 вышло Постановление Политбюро ЦК ВКП(б) "О программе выпуска авиационного вооружения в 1941 году" (пр. № 23/23-оп за 22 ноября - 13 декабря 1940 г., п. 138) (22088).</w:t>
      </w:r>
    </w:p>
    <w:p w14:paraId="1835B923" w14:textId="77777777" w:rsidR="0002616E" w:rsidRPr="00A3026E" w:rsidRDefault="0002616E" w:rsidP="00A3026E">
      <w:pPr>
        <w:spacing w:after="0" w:line="240" w:lineRule="auto"/>
        <w:jc w:val="both"/>
        <w:rPr>
          <w:rFonts w:ascii="Times New Roman" w:hAnsi="Times New Roman"/>
          <w:color w:val="0070C0"/>
          <w:sz w:val="16"/>
          <w:szCs w:val="16"/>
        </w:rPr>
      </w:pPr>
    </w:p>
    <w:p w14:paraId="3FECD9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Создана Радиотехническая эскадрилья ГФВ (с октября 1947 Рижское авиаучилище спецслужб ГА) (274).</w:t>
      </w:r>
    </w:p>
    <w:p w14:paraId="7C4E144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A6D50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г. было письмо директору НИИ-3 от заместителя начальника 4-го ГУ НКБ Журавихина: «Предлагаю. согласно письму УА ВМФ от 26 ноября 1940 командировать инженера в Северный флот (Мур</w:t>
      </w:r>
      <w:r w:rsidRPr="00A3026E">
        <w:rPr>
          <w:rFonts w:ascii="Times New Roman" w:hAnsi="Times New Roman"/>
          <w:color w:val="000000" w:themeColor="text1"/>
          <w:sz w:val="16"/>
          <w:szCs w:val="16"/>
        </w:rPr>
        <w:softHyphen/>
        <w:t>манск) для обучения личного состава авиации ВМФ применению РС-82». Между тем, на армейских сладах обнаружили большое количество снарядов РОС-82 «легендарной” пятой партии 1937 г. завода №70. у ко</w:t>
      </w:r>
      <w:r w:rsidRPr="00A3026E">
        <w:rPr>
          <w:rFonts w:ascii="Times New Roman" w:hAnsi="Times New Roman"/>
          <w:color w:val="000000" w:themeColor="text1"/>
          <w:sz w:val="16"/>
          <w:szCs w:val="16"/>
        </w:rPr>
        <w:softHyphen/>
        <w:t>торых из-за разрыва двигателей на траектории на испытаниях РЗ умень</w:t>
      </w:r>
      <w:r w:rsidRPr="00A3026E">
        <w:rPr>
          <w:rFonts w:ascii="Times New Roman" w:hAnsi="Times New Roman"/>
          <w:color w:val="000000" w:themeColor="text1"/>
          <w:sz w:val="16"/>
          <w:szCs w:val="16"/>
        </w:rPr>
        <w:softHyphen/>
        <w:t>шали на две шашки. Входе переоснащения РС на новые штифты, снарядды этой партии предлагали утилизировать (11402).</w:t>
      </w:r>
    </w:p>
    <w:p w14:paraId="2EBC9EA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51ED059"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5A2BA6D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7AC95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года за № 64/222 вышло поручение О.Б. ЦК ВКП(б) Выписка из протокола № 64 с запиской парторга ЦК завода № 80 Шумихина о снаряжении артснарядов (7479, 112-116).</w:t>
      </w:r>
    </w:p>
    <w:p w14:paraId="12EB1C6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0AC77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года за № 64/215 вышло поручение О.Б. ЦК ВКП(б) Выписка из протокола № 64 с запиской районного инженера Главного артиллерийского управления КА Тельникова. Вопрос обсуждался на Совете оборонной промышленности 18 декабря 1940 года. Поручено подготовить проект постановления Горемыкину, Сабурову и Ванникову. Вопрос о работе завода № 221 обсуждался на коллегии НКВ и издан приказ. Оценка работы завода и намеченные меры приказом исчерпывают поднятые вопросы Тельниковым (7479, 112-116).</w:t>
      </w:r>
    </w:p>
    <w:p w14:paraId="53818BE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BE0D75D"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w:t>
      </w:r>
    </w:p>
    <w:p w14:paraId="6BB2D855"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1182 лист 89 – 90 </w:t>
      </w:r>
    </w:p>
    <w:p w14:paraId="47223502"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 СЕКРЕТНО. </w:t>
      </w:r>
    </w:p>
    <w:p w14:paraId="06585895"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2 </w:t>
      </w:r>
    </w:p>
    <w:p w14:paraId="064B1137"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Декабря 1940 г. </w:t>
      </w:r>
    </w:p>
    <w:p w14:paraId="08E03098"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77319сс </w:t>
      </w:r>
    </w:p>
    <w:p w14:paraId="1BB4E0E2"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РАЙОННОМУ ИНЖЕНЕРУ НА ЗАВОДЕ № 183</w:t>
      </w:r>
    </w:p>
    <w:p w14:paraId="0523F148"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ВОЕНИНЖЕНЕРУ 2 РАНГА тов. КОЗЫРЕВУ</w:t>
      </w:r>
    </w:p>
    <w:p w14:paraId="4EEC0CF4"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Сообщаю дополнения и изменения, которые необходимо ввести на танке Т-34 серийного выпуска. </w:t>
      </w:r>
    </w:p>
    <w:p w14:paraId="50B9D683"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Полный боевой вес должен быть не более 26 тонн. </w:t>
      </w:r>
    </w:p>
    <w:p w14:paraId="046752AF"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Вооружение – одна 76 мм пушка Л-11, спаренная с ДТ в башне, второй ДТ – радисту и один пулемет-пистолет (ППД) в башне для стрельбы из люков. С 1-го Января 1941 г. танк Т-34 вооружать 76 мм пушкой Ф-34. </w:t>
      </w:r>
    </w:p>
    <w:p w14:paraId="0ADBB70E"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Боекомплект – снарядов для 76 мм пушки 100 шт. </w:t>
      </w:r>
    </w:p>
    <w:p w14:paraId="2A0A3F65"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патрон ДТ 4500 шт. </w:t>
      </w:r>
    </w:p>
    <w:p w14:paraId="662EDF14"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патрон ППД 500 шт. </w:t>
      </w:r>
    </w:p>
    <w:p w14:paraId="2F30F6DB"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ручных гранат 25 шт. </w:t>
      </w:r>
    </w:p>
    <w:p w14:paraId="047AFB51"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Бронирование: </w:t>
      </w:r>
    </w:p>
    <w:p w14:paraId="7D07F809"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Щиток водителя 45 мм при угле 30° наклона. </w:t>
      </w:r>
    </w:p>
    <w:p w14:paraId="35C37884"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Лобовой лист 45 мм при угле 57°. </w:t>
      </w:r>
    </w:p>
    <w:p w14:paraId="26F3348D"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Бортовой вертикальный 45 мм при угле 0°. </w:t>
      </w:r>
    </w:p>
    <w:p w14:paraId="5B33BB78"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Бортовой наклонный 40 мм при угле 40°. </w:t>
      </w:r>
    </w:p>
    <w:p w14:paraId="6AABD7E9"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Кормовой наклонный лист нижний 40 мм при угле 45 – 47° наклона и нижний. </w:t>
      </w:r>
    </w:p>
    <w:p w14:paraId="5D87065F"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Днище в передней части 20 мм. Днище в задней части 16 мм. </w:t>
      </w:r>
    </w:p>
    <w:p w14:paraId="200C469A"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ж) Крыша боевого отделения 20 мм. Крыша моторного отделения 16 мм. </w:t>
      </w:r>
    </w:p>
    <w:p w14:paraId="11FD3E7E"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 Борта башни 45 при угле 30° наклона. </w:t>
      </w:r>
    </w:p>
    <w:p w14:paraId="3B531242"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 Дно ниши башни 20 мм. </w:t>
      </w:r>
    </w:p>
    <w:p w14:paraId="7CF04770"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Крыша башни 20 мм. </w:t>
      </w:r>
    </w:p>
    <w:p w14:paraId="28F18F3F"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Бронировка артсистемы и бортовой передачи должны быть равнопрочны всему корпусу. </w:t>
      </w:r>
    </w:p>
    <w:p w14:paraId="56112B98"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На танк Т-34 устанавливать двигатель дизель В-2К – 600 л.с. Система охлаждения, смазка и питания горючим должны обеспечивать нормальную работу дизеля в течение 10 – 12 часов безостановочного движения танка при любых режимах работы дизеля и при температурах наружного воздуха от –40° до +40°С. </w:t>
      </w:r>
    </w:p>
    <w:p w14:paraId="6BC23989"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Воздухоочиститель должен гарантировать очистку воздуха не менее чем на 95% в течение 10 – 12 часов работы в условиях запыленности без промывки. Запуск дизеля производить от электростартера и электро-инерционного стартера с ручной раскруткой или от электростартера и воздухопуска без выхода экипажа из танка. Вентилятор должен обеспечивать надежное охлаждение двигателя и без поломок гарантировать срок работы танка до капитального ремонта. </w:t>
      </w:r>
    </w:p>
    <w:p w14:paraId="15263C60"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Для повышения удобства работы орудийного расчета и для лучшего управления танком, произвести расширение башни без изменения погона, и установить на крыше башни командирскую башенку с круговым обзором. </w:t>
      </w:r>
    </w:p>
    <w:p w14:paraId="76E6EF3C"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Боеукладка снарядов и патронов на танке Т-34 должна быть удобной при использовании и обеспечивать экипажу темп стрельбы не менее 6 прицельных выстрелов в минуту на ходу танка. Угол возвышения артустановки +30° и угол снижения –5°. </w:t>
      </w:r>
    </w:p>
    <w:p w14:paraId="1474D220"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Смотровые приборы водителя и радиста танка Т-34 должны обеспечивать видимость обеих крыльев танка, не пропускать пуль и свинцовых брызг, быстро сменяться при поражении, иметь возможность хорошего очищения от пыли, снега и грязи. Для лучшего обеспечения наблюдения при вождении танка установить для водителя дополнительный смотровой прибор, решив при этом вопрос целесообразности оставления на танке переднего люка водителю. Для наблюдения из танка по сторонам установить бортовые смотровые приборы (по одному на сторону) для удобного пользования ими водителю и радисту танка. </w:t>
      </w:r>
    </w:p>
    <w:p w14:paraId="60ADDCE1"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Для внешней связи установить в носовой части рацию КРСТБ, предусмотрев возможность размещения и работы рации типа 71-ТК-3. Антенна – штыревая, укладывающаяся вдоль борта изнутри танка. Для внутренней связи ТПУ на три точки (командир, водитель, радист). </w:t>
      </w:r>
    </w:p>
    <w:p w14:paraId="08FF99FB"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Предусмотреть возможность установки на танке Т-34 огнемета с дальностью огнеметания не менее 90 мт. и с запасом огнесмеси не менее, чем на 10 – 12 выстрелов. </w:t>
      </w:r>
    </w:p>
    <w:p w14:paraId="50C2D76C"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Межремонтный пробег работы танка Т-34 должен быть не менее 7000 км до капитального ремонта. Главный и бортовые фрикционы должны обеспечивать надежную работу при любых дорожных условиях, движениях, без коробления дисков. Регулировка агрегатов трансмиссии должна производиться не чаще, чем через 1000 км движения. </w:t>
      </w:r>
    </w:p>
    <w:p w14:paraId="5DCF2EA3"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Гарантийный километраж работы ходовой части (траки, пальцы, катки, ведущие колеса и т.д.) танка установить не менее 3000 км. Зацепление гусеницы сделать цевочным, предусмотрев крепление шпор. </w:t>
      </w:r>
    </w:p>
    <w:p w14:paraId="703D0C56"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 указанные дополнения и изменения должны быть введены с 1-го февраля 1941 г. </w:t>
      </w:r>
    </w:p>
    <w:p w14:paraId="710F395F"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НАЧАЛЬНИК БТУ КРАСНОЙ АРМИИ ВОЕНИНЖЕНЕР 1 РАНГА (АЛЫМОВ)</w:t>
      </w:r>
    </w:p>
    <w:p w14:paraId="7018F4B5"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3 ОТДЕЛА БТУ КР. АРМИИ ВОЕНИНЖЕНЕР 1 РАНГА (АФОНИН)</w:t>
      </w:r>
    </w:p>
    <w:p w14:paraId="0870C60F"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 2 экз. (18312).</w:t>
      </w:r>
    </w:p>
    <w:p w14:paraId="696ADC21" w14:textId="77777777" w:rsidR="001278CD" w:rsidRPr="00A3026E" w:rsidRDefault="001278CD" w:rsidP="00A3026E">
      <w:pPr>
        <w:spacing w:after="0" w:line="240" w:lineRule="auto"/>
        <w:jc w:val="both"/>
        <w:rPr>
          <w:rFonts w:ascii="Times New Roman" w:hAnsi="Times New Roman"/>
          <w:color w:val="000000" w:themeColor="text1"/>
          <w:sz w:val="16"/>
          <w:szCs w:val="16"/>
        </w:rPr>
      </w:pPr>
    </w:p>
    <w:p w14:paraId="438BBE0C"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6306A6F4"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13FBB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Протокол № 23. Решения ПБ за 22 ноября - 13 декабря 1940 г.</w:t>
      </w:r>
    </w:p>
    <w:p w14:paraId="54FF73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30. 11.40 г.</w:t>
      </w:r>
    </w:p>
    <w:p w14:paraId="670182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99. О тыловой авиации*.</w:t>
      </w:r>
    </w:p>
    <w:p w14:paraId="3FF485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102. О командующих войсками военных округов.</w:t>
      </w:r>
    </w:p>
    <w:p w14:paraId="22B288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104. О командующем и зам. командующего ВВС МВО.</w:t>
      </w:r>
    </w:p>
    <w:p w14:paraId="3635BE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105. О работниках ВВС Красной Армии.</w:t>
      </w:r>
    </w:p>
    <w:p w14:paraId="46D6C1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106. О начальнике Управления кадров Красной Армии.</w:t>
      </w:r>
    </w:p>
    <w:p w14:paraId="37DC42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109. Об установлении военных званий для рядового и младшего начсостава ВМФ.</w:t>
      </w:r>
    </w:p>
    <w:p w14:paraId="17F5C8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06.12.40 г.</w:t>
      </w:r>
    </w:p>
    <w:p w14:paraId="4B11FE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 133. О переименовании боевых самолетов*.</w:t>
      </w:r>
    </w:p>
    <w:p w14:paraId="0C5693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10. 12. 40 г.</w:t>
      </w:r>
    </w:p>
    <w:p w14:paraId="7065EE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173. Об изменении подсудности военных трибуналов (11773).</w:t>
      </w:r>
    </w:p>
    <w:p w14:paraId="1189922B" w14:textId="77777777" w:rsidR="00C66762" w:rsidRPr="00A3026E" w:rsidRDefault="00C66762" w:rsidP="00A3026E">
      <w:pPr>
        <w:shd w:val="clear" w:color="auto" w:fill="FFFFFF"/>
        <w:spacing w:after="0" w:line="240" w:lineRule="auto"/>
        <w:jc w:val="both"/>
        <w:rPr>
          <w:rFonts w:ascii="Times New Roman" w:hAnsi="Times New Roman"/>
          <w:bCs/>
          <w:color w:val="000000" w:themeColor="text1"/>
          <w:sz w:val="16"/>
          <w:szCs w:val="16"/>
        </w:rPr>
      </w:pPr>
    </w:p>
    <w:p w14:paraId="65B93517"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0D369969"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02A813C3"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греческие войска захватили итальянскую морскую базу в Албании (4962).</w:t>
      </w:r>
    </w:p>
    <w:p w14:paraId="050ABF5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085A1EA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начальник штаба итальянской армии П. Бадольо (будущий глава правительства Италии) смещен со своего поста за поражения в Греции (4962).</w:t>
      </w:r>
    </w:p>
    <w:p w14:paraId="0455EAA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F181A5B"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December 6 1940 Japanese-Thai pact of amity signed (1223).</w:t>
      </w:r>
    </w:p>
    <w:p w14:paraId="0AB7FA81" w14:textId="77777777" w:rsidR="00C66762" w:rsidRPr="00A3026E" w:rsidRDefault="00C66762" w:rsidP="00A3026E">
      <w:pPr>
        <w:spacing w:after="0" w:line="240" w:lineRule="auto"/>
        <w:jc w:val="both"/>
        <w:rPr>
          <w:rFonts w:ascii="Times New Roman" w:hAnsi="Times New Roman"/>
          <w:color w:val="000000" w:themeColor="text1"/>
          <w:sz w:val="16"/>
          <w:szCs w:val="16"/>
          <w:lang w:val="en-US"/>
        </w:rPr>
      </w:pPr>
    </w:p>
    <w:p w14:paraId="4F11EF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был подписан таиландско-японский договор о дружбе (1223).</w:t>
      </w:r>
    </w:p>
    <w:p w14:paraId="7E16E91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F8079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7947302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B0EFF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декабря 1942 был подготовлен проект Постановления СНК и ЦК ВКП (б)</w:t>
      </w:r>
    </w:p>
    <w:p w14:paraId="497C93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обеспечении бронекорпусами с-тов БШ-2</w:t>
      </w:r>
    </w:p>
    <w:p w14:paraId="4B2986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выпуска в 1941 году заводами НКАП с-тов БШ-2 с бронированными корпусами и наращения мощностей на 1942 г., СНК СССР и ЦК ВКП(б) ПОСТАНОВЛЯЮТ:</w:t>
      </w:r>
    </w:p>
    <w:p w14:paraId="130DE9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17BF17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Создать 5 производственных баз по изготовлению бронекорпусов для с-тов БШ-2 в следующих р-нах:</w:t>
      </w:r>
    </w:p>
    <w:p w14:paraId="18F2FE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 гор. Подольске - на заводе им. Орджоникидзе, возложив на этот завод выпуск в 1941 г. 900 комплектов бронекорпусов в кооперации по поставке бронелистов 4-5-6 мм толщины из кремне-никеле-молибденовой стали с заводом “Красный октябрь” НКЧМ и 12 мм хромомолибденовой стали марки ХД с Ижорского з-да НКСП</w:t>
      </w:r>
    </w:p>
    <w:p w14:paraId="3D1774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гор. Ленинграде на Ижорском заводе НКСП, возложив на этот завод выпуск в 1941 г. 1200 шт. бронекорпусов в для БШ-2 с развитием мощности к 1 января 1942 г. на 2000 комплектов и кооперации по поставке деталей из бронелистов 4-5-6 мм толщины из кремне-никеле-молибденовой стали с Кировского завода НКТМ</w:t>
      </w:r>
    </w:p>
    <w:p w14:paraId="47D03D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Сталинграде на заводе № 264 (Красноармейская верфь) НКСП, возложив на этот завод выпуск в 1941 г. 200 бронекорпусов с доведением мощности к 1.1.42 г. до 1000 шт., в кооперации по поставке бронелистов 4-5-6 мм толщины из кремне-никеле-молибденовой стали и 12 мм хромомолибденовой стали марки ХД с заводом “Красный октябрь” НКЧМ</w:t>
      </w:r>
    </w:p>
    <w:p w14:paraId="1AD669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 гор. Выксе Горьковской области на заводе ЛРО НКТМ (завод дробильно-размолного оборудования) с выпуском в 1941 г. 200 шт. бронекорпусов с развитием мощности к 1 октября 1941 г. до 2000 штук в год в кооперации по поставке бронелистов 12 мм из стали марки ХД с Кулебакского з-да НКСП и 4-5-6 мм бронелистов из кремно-никеле-молибденовой стали с Выксунского металлургического з-да НСЧкрмет</w:t>
      </w:r>
    </w:p>
    <w:p w14:paraId="2EA0B3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 гор. Запорожье на заводе Коммунар НКСМ создать мощность на 1000 шт бронекорпусов к 1 октября 1941 г. в кооперации по поставке 12 мм бронелистов марки ХД с Мариупольского з-да имени Ильича и 4-5-6 мм бронелистов из кремне-никеле-молибденовой стали с завода им. Дзержинского НКЧермет с обеспеченим выпуска готовых коропусов в 4 кв. 1941 100 шт.</w:t>
      </w:r>
    </w:p>
    <w:p w14:paraId="660CF1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w:t>
      </w:r>
    </w:p>
    <w:p w14:paraId="19A77C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ввода в действие создаваемых баз на полную мощность и обеспечения поставок бронекорпусов в 1941 г, провести следующие мероприятия:</w:t>
      </w:r>
    </w:p>
    <w:p w14:paraId="4957BD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Обязать НКНефтепром тов. Седина И.К. и директора Подольского з-да тов. Мыльникова Г.М.:</w:t>
      </w:r>
    </w:p>
    <w:p w14:paraId="460FE3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организовать на Подольском з-де им. Орджоникидзе серийное производство бронированных корпусов для с-та БШ-2 с выпуском в 1941 г. 900 шт.</w:t>
      </w:r>
    </w:p>
    <w:p w14:paraId="6AA6DD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Поставку корпусов поквартально обеспечить в слеждующих количествах: в 1 кв. - 150, во 2 кв. - 250, в 3-м кв. - 300, в 4 кв. - 300</w:t>
      </w:r>
    </w:p>
    <w:p w14:paraId="1E8498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обеспечить изготовление установочной партии 5 шт. корпусов для БШ-2 15 января 1941 г. с рачетом начала серийного выпуска с 20 января 1941 г.</w:t>
      </w:r>
    </w:p>
    <w:p w14:paraId="5FD2DC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НКАП т. Шахурина А.И. в пятидневный срок обеспечить Подольский, Ижорский и Кировский заводы необходимыми чертежами и ТУ на поставку бронекорпусов к с-там БШ-2.</w:t>
      </w:r>
    </w:p>
    <w:p w14:paraId="376876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Обязать НКСП тов. Носенко И.И.:</w:t>
      </w:r>
    </w:p>
    <w:p w14:paraId="3D8944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организовать на Ижорском з-де серийное производство бронекорпусов для с-тов БШ-2 с выпуском в 1941 г. 1200 шт., в т.ч. в 1 кв. - 150, во 2 кв. - 300, в 3-м кв. - 350, в 4 кв. - 400 шт. с доведением мощности к 1 января 1942 на 2000 шт.</w:t>
      </w:r>
    </w:p>
    <w:p w14:paraId="560691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обеспечить изготовление установочной партии 5 шт. корпусов для БШ-2 на Ижорском заводе к 15 января 1941 г. с рачетом начала серийного выпуска с 20 января 1941 г.</w:t>
      </w:r>
    </w:p>
    <w:p w14:paraId="550515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поставить Подольскому з-ду им. Орджоникидзе 12 мм бронелиста из 12 мм хромомолибденовой стали марки ХД 450 тонн, со сроками поставки - в январе - 50 тонн и в последующие месяцы по 75 тонн.</w:t>
      </w:r>
    </w:p>
    <w:p w14:paraId="3F0B3E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предусмотреть в плане строительство з-да № 264 (Красноармейская верфь) в 1941 г. строительство производственных площадей до 5000 м2 для организации производства бронекорпусов БШ-2 на мощность 1000 шт. со вводом в действие к 1 июля 1941 г.</w:t>
      </w:r>
    </w:p>
    <w:p w14:paraId="2D5F75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 готовых корпусов начать с 1 августа 1941 г, с подачей заводам НКАП в третьем квартале - 50 шт., в 4 кв. - 150 шт.</w:t>
      </w:r>
    </w:p>
    <w:p w14:paraId="422CFE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обеспечить поставку с Кулебакского металлкргического з-да в 1941 г. заводу ДРО НКТМ 200 тонн 12 мм листа марки ХД и закрепить его основным поставщиком этой брони для завода ДРО.</w:t>
      </w:r>
    </w:p>
    <w:p w14:paraId="53315B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Закрепить Мариупольский з-д им. Ильича, как постоянного поставщика 12 мм бронелиста Запорожскому з-ду Коммунар НКСМ.</w:t>
      </w:r>
    </w:p>
    <w:p w14:paraId="27A258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Обязать НКТМ тов. Ефремова А.И.:</w:t>
      </w:r>
    </w:p>
    <w:p w14:paraId="1A28B4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обеспечить поставку в 1941 г. с Еировского з-да бронедеталей 4-5-6 мм толщин из из кремне-никеле-молибденовой стали Ижорскому з-ду НКСП для изготовления бронекорпусов БШ-2 со сроками поставки: в 1 кв. - 200 комплектов, во 2 кв. - 350, в 3-м кв. - 400, в 4 кв. - 450, начав поставку с 5 января 1941 г.</w:t>
      </w:r>
    </w:p>
    <w:p w14:paraId="26A0B8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организовать производство бронекорпусов для БШ-2 на заводе ДРО (завод дробильно-размольного оборудования_ в г. Выкса мощностью на 2000 шт. к 1 октября 1941 с выпуском 200 шт. в 4 кв. 1941 г.</w:t>
      </w:r>
    </w:p>
    <w:p w14:paraId="7EC20E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Обязать НКСМ тов. Малышева В.А. организовать на производство бронекорпусов на Запорожском з-де Коммунар мощностью 1000 шт. к 1 октября 1941 г. с выпуском в 4 кв. 1941 100 шт.</w:t>
      </w:r>
    </w:p>
    <w:p w14:paraId="75B0A3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Обязать НКЧермет тов. Тевосян:</w:t>
      </w:r>
    </w:p>
    <w:p w14:paraId="147389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обеспечить поставку Подольскому з-ду НКНефти в 1941 г. 2.200 тонн бронелистов 4-5-6 мм толщин из кремне-никеле-молибденовой стали с завода Красный октябрь в соледующие сроки: в 1 кв. - 370 тонн, во 2 кв. - 610, в 3-м кв. - 730, в 4 кв. - 490</w:t>
      </w:r>
    </w:p>
    <w:p w14:paraId="2F6F80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поставки металла установить с 5 января 1941...(470,162).</w:t>
      </w:r>
    </w:p>
    <w:p w14:paraId="63AF9E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35D13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декабря 1940, несмотря на то, что завод № 31 именно в это время переориентировали на выпуск истребителей ЛаГГ-3, повсеместно наметился перелом с выпуском самолетов Су-2. Незавершенное производство, часть оснастки и 70 готовых в разной степени Су-2 передали из Таганрога в Долгопрудный и были все основания рассчитывать, что завод № 207 в самое ближайшее время внесет свою весомую лепту в поставку самолетов для ВВС.</w:t>
      </w:r>
    </w:p>
    <w:p w14:paraId="04B6DC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получения удовлетворительных результатов испытаний М-88 возобновили их серийную постройку под обозначением М-88Б (отличалисьувеличенными поверхностями охлаждения головок и гильз, большим оребрением, более толстыми стенками гильз). В Харькове заменили некондиционные моторы новыми на уже выпущенных Су-2, смогли добиться наращивания программы выпуска. В декабре 1940 г. не только впервые удалось сдать 40 самолетов, но и обеспечить солидный задел во многих важнейших цехах, для выполнения производственного задания следующего года.</w:t>
      </w:r>
    </w:p>
    <w:p w14:paraId="7627AB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Налаживание серийного производства позволило рассчитать себестоимость самолета. Она оказалась весьма высокой. Так, "харьковские сушки" обходились стране в 430 тыс. руб., а "долгопрудненские" еще дороже - 700 тыс. Для сравнения отметим, что двухмоторные СБ завода № 22 стоили 265 тыс. руб., ББ-22 завода № 1 - 400 тыс. руб. Основные причины больших затрат на выпуск самолетов Сухого можно объяснить невысокой автоматизацией производства даже на заводе № 135 (по сравнению с нашими передовыми предприятиями, как завод № 1, например), требованием механической обработки для значительного количества деталей и высокой металлоемкостью (845 кг дюрали и 440 кг стали уходило на каждую машину) бомбардировщика Сухого.</w:t>
      </w:r>
    </w:p>
    <w:p w14:paraId="6AF826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Большое количество рекламаций задерживало внедрение самолетов в строевые части. </w:t>
      </w:r>
    </w:p>
    <w:p w14:paraId="4CE537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конца 1940 г. военпредами было принято всего 125 машин, однако в первые две недели января в западные приграничные округа и в район Харькова удалось направить несколько десятков бомбардировщиков П.О. Сухого. Согласно справке ГУ ВВС КА, к 4 февраля 1941 г. "в 135-м авиаполку имеется 64 Су-2, в 227-м бап - 31, в 226-м - 12, в 97-м - 39, 210-м - 3, 211-м - 12 и 209-м бап - 6 ближних бомбардировщиков. 103-й бап получит улучшенные самолеты с серийными номерами от 1/9..."</w:t>
      </w:r>
    </w:p>
    <w:p w14:paraId="10A112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Летному составу, успевшему осмотреть свою будущую боевую машину, больше всего понравилась теплая, закрытая кабина. "Вот это самолет! - собравшись в круг, рассуждали летчики. - Зимой хоть в майке летай, не то, что на "Р-пятом", где мороз, бывало, пробирает до костей, сколько глаза мехом ни закутывай!" Примерно так же оценивали самолет многие авиаторы. Положительную оценку большинства получило стрелковое вооружение, состоящее из квартета неподвижных пулеметов ШKAC и одного такого же подвижного, установленного в кабине штурмана (12028).</w:t>
      </w:r>
    </w:p>
    <w:p w14:paraId="0E40C764"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62E0D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декабря 1940 г. приказом НКАП уже был назначен экипаж для проведения заводских испытаний самолета "103"; название ФБ далее не применялось. Летать на машине предстояло М.А. Нюхтикову и Ф.Ф. Опадчему.</w:t>
      </w:r>
    </w:p>
    <w:p w14:paraId="0FCA22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Неофициально бомбардировщик имел еще одно обозначение - "58" или АНТ-58. Тем самым он продолжал цепочку машин, начатую некогда АНТ-1. Номера всех самолетов, созданных под руководством Туполева, давались в хронологическом порядке. ПБ конструкторы именовали "57", или АНТ-57.</w:t>
      </w:r>
    </w:p>
    <w:p w14:paraId="588DF7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первого самолета "103" имелись два мотора АМ-37. Но ресурс их до первой переборки не превышал 50 часов. Поэтому на заводе № 24 дополнительно заказали еще три, попросив изготовить срочно. Эти три двигателя должны были иметь редукцию 0,59, а не 0,73, как уже установленные на машине (11988).</w:t>
      </w:r>
    </w:p>
    <w:p w14:paraId="5954645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59945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декабря 1939-го утвердили Макет машины "Б" с двумя высотными моторами М-105ТК-2Б</w:t>
      </w:r>
    </w:p>
    <w:p w14:paraId="33FDC4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нового крыла еще меньшей площади, чем у Ар-2, и двухкилевого оперения, изменения коснулись, главным образом, технологии изготовления планера. В частности, сведя к минимуму фермен-ные сварные конструкции, в крыле широко использовались различные профили и штампованные детали.</w:t>
      </w:r>
    </w:p>
    <w:p w14:paraId="29618C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по некоторым данным, поверх металлической обшивки оклеивали бакелитовой фанерой. Этот "сэндвич" не усиливал планер, но, по замыслам конструкторов, снижал коэффициент лобового сопротивления от сил трения. Водоради-аторы разместили в центроплане с входом охлаждающего воздуха через забор-ники в его передней кромке и выходом сквозь жалюзи в верхней обшивке.</w:t>
      </w:r>
    </w:p>
    <w:p w14:paraId="1E6A31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 с небольшими изменениями досталось от Ар-2 (6409).</w:t>
      </w:r>
    </w:p>
    <w:p w14:paraId="6AE9B96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37BCA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декабря 1940 группа НИИ ВВС во главе с П.С.Никитченко и заводская бригада во главе с А.Т.Токаревым выехала в Крым для испытания И-200 (МиГ-1) и МиГ-3 (1204,115).</w:t>
      </w:r>
    </w:p>
    <w:p w14:paraId="5F059ED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5AC66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начале декабря 1940 г. второй опытный И-200 оснастили мотором АМ-37. Для охлаждения воздуха, поступающего от приводного центробежного нагнетателя в карбюратор, на самолете установили воздушно-водяной радиатор, а для охлаждения воды этого радиатора на месте, где раньше стояли маслорадиаторы, смонтировали два серийных девятидюймовых водорадиатора. Серповидный маслорадиатор разместили снизу под передней частью мотора, как на самолетах Як-1 и ЛаГГ-3. На самолет установили винт ВИШ-61АП, а стрелковое вооружение демонтировали. </w:t>
      </w:r>
    </w:p>
    <w:p w14:paraId="71E2D4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вылет машины с АМ-37 под управлением летчика-испытателя А.И. Жукова состоялся 6 января 1941 г. В ходе заводских испытаний самолета выявилась "грубая" работа мотора на высотах более 4000 м и тряска при уборке газа. В связи с этим на основании распоряжения заместителя наркома П.В. Дементьева самолет 26 апреля 1941 г. передали на завод № 24 для дальнейшей отработки мотора. Однако завершить испытания и доводку двигателя не удалось, так как 7 мая летчик-испытатель И.Т. Иващенко после выполнения полетного задания на посадке потерпел аварию из-за отказа мотора АМ-37. Самолет был разбит и восстановлению не подлежал. Дальнейшая отработка винтомоторной группы с двигателем АМ-37 проводилась на истребителе МиГ-3 (12045).</w:t>
      </w:r>
    </w:p>
    <w:p w14:paraId="260FFDF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8DB8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декабря 1940 в отчете по гос. испытания доработанного И-26 появилась запись "...считать самолет И-26 прошедшим гос. испытания удовлетворительно..." (173,319).</w:t>
      </w:r>
    </w:p>
    <w:p w14:paraId="2DF2B28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2B855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декабря 1940 был утвержден отчет по гос. испытаниям И-26-2 А.С.Я. "...Самолет И-26 N 3 конструкции А.С.Я. считать прошедшим гос. испытания удовлетворительно". Указали 123 пункта недостатков по сравнению с 115 для И-301 и 112 для И-200 (3417,3).</w:t>
      </w:r>
    </w:p>
    <w:p w14:paraId="04AEB21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CF2DA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декабря 1940, несмотря на то, что завод № 31 до конца года снова переориентировали - на этот раз на выпуск истребителей ЛаГГ-3, наметился некоторый перелом к лучшему в производстве бомбардировщиков Сухого. Незавершенное производство, часть оснастки и 70 почти готовых Су-2 передали из Таганрога в Долгопрудный. У руководства НКАП были все основания рассчитывать, что завод № 207 вскоре сможет внести свою лету в поставку самолетов для ВВС (5360).</w:t>
      </w:r>
    </w:p>
    <w:p w14:paraId="4BBF9D2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0FD6027" w14:textId="77777777" w:rsidR="008F5E79" w:rsidRPr="00A3026E" w:rsidRDefault="008F5E7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начала декабря 1940 года по приказу НКАП № 702сс, завод № 99 осваивал серийное производство истребителей Як-3 с запланированным выпуском 100 машин в 1941 году. В феврале 1941 года, завод получил дополнительное задание по изготовлению хвостовых частей фюзеляжей (Ф-3) и оперения бомбардировщика Пе-2 для поставки иркутскому заводу. 20-го июня 1941 года приказом НКАП задание на производство Як-3 отменяется, и завод полностью переходит на изготовление агрегатов для Пе-2. Однако график изготовления оснастки выполнялся со значительным отставанием: первый стапель для сборки Ф-3 был сдан только 2-го июля 1941 года (15223).</w:t>
      </w:r>
    </w:p>
    <w:p w14:paraId="635E705D" w14:textId="77777777" w:rsidR="008F5E79" w:rsidRPr="00A3026E" w:rsidRDefault="008F5E79" w:rsidP="00A3026E">
      <w:pPr>
        <w:shd w:val="clear" w:color="auto" w:fill="FFFFFF"/>
        <w:spacing w:after="0" w:line="240" w:lineRule="auto"/>
        <w:jc w:val="both"/>
        <w:rPr>
          <w:rFonts w:ascii="Times New Roman" w:hAnsi="Times New Roman"/>
          <w:color w:val="000000" w:themeColor="text1"/>
          <w:sz w:val="16"/>
          <w:szCs w:val="16"/>
        </w:rPr>
      </w:pPr>
    </w:p>
    <w:p w14:paraId="3909827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началу декабря 1940 г. основные трудности в до</w:t>
      </w:r>
      <w:r w:rsidRPr="00A3026E">
        <w:rPr>
          <w:rFonts w:ascii="Times New Roman" w:hAnsi="Times New Roman"/>
          <w:color w:val="000000" w:themeColor="text1"/>
          <w:sz w:val="16"/>
          <w:szCs w:val="16"/>
        </w:rPr>
        <w:softHyphen/>
        <w:t>водке М-81 закончились, и его доставили на завод № 51. Для определения готовности И-187 к первому полету назначили специальную комиссию под председательст</w:t>
      </w:r>
      <w:r w:rsidRPr="00A3026E">
        <w:rPr>
          <w:rFonts w:ascii="Times New Roman" w:hAnsi="Times New Roman"/>
          <w:color w:val="000000" w:themeColor="text1"/>
          <w:sz w:val="16"/>
          <w:szCs w:val="16"/>
        </w:rPr>
        <w:softHyphen/>
        <w:t>вом М.М.Громова (зам. председателя Н.Н.Поликарпов). На ее заседании 30 декабря 1940 г. отмечалось, что пост</w:t>
      </w:r>
      <w:r w:rsidRPr="00A3026E">
        <w:rPr>
          <w:rFonts w:ascii="Times New Roman" w:hAnsi="Times New Roman"/>
          <w:color w:val="000000" w:themeColor="text1"/>
          <w:sz w:val="16"/>
          <w:szCs w:val="16"/>
        </w:rPr>
        <w:softHyphen/>
        <w:t>ройка самолета полностью завершена. Вес пустого само</w:t>
      </w:r>
      <w:r w:rsidRPr="00A3026E">
        <w:rPr>
          <w:rFonts w:ascii="Times New Roman" w:hAnsi="Times New Roman"/>
          <w:color w:val="000000" w:themeColor="text1"/>
          <w:sz w:val="16"/>
          <w:szCs w:val="16"/>
        </w:rPr>
        <w:softHyphen/>
        <w:t>лета равнялся 2353,5 кг, взлетный вес - 3206,3 кг. Ожидаемые летные характеристики машины: макси</w:t>
      </w:r>
      <w:r w:rsidRPr="00A3026E">
        <w:rPr>
          <w:rFonts w:ascii="Times New Roman" w:hAnsi="Times New Roman"/>
          <w:color w:val="000000" w:themeColor="text1"/>
          <w:sz w:val="16"/>
          <w:szCs w:val="16"/>
        </w:rPr>
        <w:softHyphen/>
        <w:t>мальная скорость у земли 500 км/ч, на высоте 6400 м -600 км/ч, время набора высоты 5000 м - 6,5 мин. Ре</w:t>
      </w:r>
      <w:r w:rsidRPr="00A3026E">
        <w:rPr>
          <w:rFonts w:ascii="Times New Roman" w:hAnsi="Times New Roman"/>
          <w:color w:val="000000" w:themeColor="text1"/>
          <w:sz w:val="16"/>
          <w:szCs w:val="16"/>
        </w:rPr>
        <w:softHyphen/>
        <w:t>комендовалось начать испытания истребителя (10667).</w:t>
      </w:r>
    </w:p>
    <w:p w14:paraId="3CDEF18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E4FA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декабря 1940 были подготовлены Тезисы доклада зам. начальника Главного управления ВВС КА Ф.А.Астахова ГВС КА о принятии на вооружение ВВС Красной Армии универсальной самолетной радиостанции типа РСУ-1</w:t>
      </w:r>
    </w:p>
    <w:p w14:paraId="1E6E93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позднее 11 декабря 1940 г.]</w:t>
      </w:r>
    </w:p>
    <w:p w14:paraId="13233F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 настоящее время на вооружении ВВС Красной Армии со</w:t>
      </w:r>
      <w:r w:rsidRPr="00A3026E">
        <w:rPr>
          <w:rFonts w:ascii="Times New Roman" w:hAnsi="Times New Roman"/>
          <w:color w:val="000000" w:themeColor="text1"/>
          <w:sz w:val="16"/>
          <w:szCs w:val="16"/>
        </w:rPr>
        <w:softHyphen/>
        <w:t>стоят следующие типы самолетных радиостанций:</w:t>
      </w:r>
    </w:p>
    <w:p w14:paraId="4A55E5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истребительной авиации — приемно-передающие телефон</w:t>
      </w:r>
      <w:r w:rsidRPr="00A3026E">
        <w:rPr>
          <w:rFonts w:ascii="Times New Roman" w:hAnsi="Times New Roman"/>
          <w:color w:val="000000" w:themeColor="text1"/>
          <w:sz w:val="16"/>
          <w:szCs w:val="16"/>
        </w:rPr>
        <w:softHyphen/>
        <w:t>ные радиостанции типов РСИ-3 и РСИ-4 (радиостанции самолета истребителя тип 3 и тип 4), устанавливаемые на одной трети вы</w:t>
      </w:r>
      <w:r w:rsidRPr="00A3026E">
        <w:rPr>
          <w:rFonts w:ascii="Times New Roman" w:hAnsi="Times New Roman"/>
          <w:color w:val="000000" w:themeColor="text1"/>
          <w:sz w:val="16"/>
          <w:szCs w:val="16"/>
        </w:rPr>
        <w:softHyphen/>
        <w:t>пускаемых промышленностью самолетов (постановление Комитета Обороны № 144) и автономные радиоприемники типа «Сокол» от радиостанции РСИ-3 и «Малютка» от радиостанции РСИ-4, уста</w:t>
      </w:r>
      <w:r w:rsidRPr="00A3026E">
        <w:rPr>
          <w:rFonts w:ascii="Times New Roman" w:hAnsi="Times New Roman"/>
          <w:color w:val="000000" w:themeColor="text1"/>
          <w:sz w:val="16"/>
          <w:szCs w:val="16"/>
        </w:rPr>
        <w:softHyphen/>
        <w:t>навливаемые на остальные две трети самолетов.</w:t>
      </w:r>
    </w:p>
    <w:p w14:paraId="5C427B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Название «Сокол» и «Малютка» являются завод</w:t>
      </w:r>
      <w:r w:rsidRPr="00A3026E">
        <w:rPr>
          <w:rFonts w:ascii="Times New Roman" w:hAnsi="Times New Roman"/>
          <w:color w:val="000000" w:themeColor="text1"/>
          <w:sz w:val="16"/>
          <w:szCs w:val="16"/>
        </w:rPr>
        <w:softHyphen/>
        <w:t>скими обозначениями.</w:t>
      </w:r>
    </w:p>
    <w:p w14:paraId="7D793C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Технические данные этих станций указаны в приложении № 1 и № 2.</w:t>
      </w:r>
    </w:p>
    <w:p w14:paraId="2F112E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Радиостанциями РСИ-3 в текущем году оборудуются самолеты И-16, И-153, И-200 и И-26 и в 1941 году будут оборудоваться только самолеты И-16.</w:t>
      </w:r>
    </w:p>
    <w:p w14:paraId="4125F7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Радиостанциями РСИ-4 с 1.1.1941 г. будут оборудоваться все истребительные самолеты как-то: И-26, И-200, И-301.</w:t>
      </w:r>
    </w:p>
    <w:p w14:paraId="68A6F4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бомбардировочной, разведывательной и штурмовой авиации:</w:t>
      </w:r>
    </w:p>
    <w:p w14:paraId="67EDAC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Телефонно-телеграфная, приемно-передающая самолетная радиостанция типа 13-СК (самолетная коротковолновая радио</w:t>
      </w:r>
      <w:r w:rsidRPr="00A3026E">
        <w:rPr>
          <w:rFonts w:ascii="Times New Roman" w:hAnsi="Times New Roman"/>
          <w:color w:val="000000" w:themeColor="text1"/>
          <w:sz w:val="16"/>
          <w:szCs w:val="16"/>
        </w:rPr>
        <w:softHyphen/>
        <w:t>станция тип 13) разработки 1932 г. для самолетов Р-5, Р-зет и ССС (технические данные — в приложении № 3).</w:t>
      </w:r>
    </w:p>
    <w:p w14:paraId="240B2E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То же типа РСР (радиостанция самолета-разведчика) разра</w:t>
      </w:r>
      <w:r w:rsidRPr="00A3026E">
        <w:rPr>
          <w:rFonts w:ascii="Times New Roman" w:hAnsi="Times New Roman"/>
          <w:color w:val="000000" w:themeColor="text1"/>
          <w:sz w:val="16"/>
          <w:szCs w:val="16"/>
        </w:rPr>
        <w:softHyphen/>
        <w:t>ботки 1935 г. для самолетов СБ, Р-10 и ББ-22 (технические дан</w:t>
      </w:r>
      <w:r w:rsidRPr="00A3026E">
        <w:rPr>
          <w:rFonts w:ascii="Times New Roman" w:hAnsi="Times New Roman"/>
          <w:color w:val="000000" w:themeColor="text1"/>
          <w:sz w:val="16"/>
          <w:szCs w:val="16"/>
        </w:rPr>
        <w:softHyphen/>
        <w:t>ные — в приложении № 4).</w:t>
      </w:r>
    </w:p>
    <w:p w14:paraId="5BF0CE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То же типа РСР-1 (радиостанция самолета разведчика тип 1) разработки 1939 г., предназначенная к установке в 1941 году на самолеты ББ-1, ББ-22 и БШ (технические данные — в приложе</w:t>
      </w:r>
      <w:r w:rsidRPr="00A3026E">
        <w:rPr>
          <w:rFonts w:ascii="Times New Roman" w:hAnsi="Times New Roman"/>
          <w:color w:val="000000" w:themeColor="text1"/>
          <w:sz w:val="16"/>
          <w:szCs w:val="16"/>
        </w:rPr>
        <w:softHyphen/>
        <w:t>нии № 5).</w:t>
      </w:r>
    </w:p>
    <w:p w14:paraId="401CD1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 дальней бомбардировочной и транспортной авиации:</w:t>
      </w:r>
    </w:p>
    <w:p w14:paraId="2C9B88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Телефонно-телеграфная, приемно-передающая самолетная радиостанция типа 11-СК (самолетная коротковолновая радио</w:t>
      </w:r>
      <w:r w:rsidRPr="00A3026E">
        <w:rPr>
          <w:rFonts w:ascii="Times New Roman" w:hAnsi="Times New Roman"/>
          <w:color w:val="000000" w:themeColor="text1"/>
          <w:sz w:val="16"/>
          <w:szCs w:val="16"/>
        </w:rPr>
        <w:softHyphen/>
        <w:t>станция типа 11) разработки 1932 г. для самолетов ТБ-3 (техничес</w:t>
      </w:r>
      <w:r w:rsidRPr="00A3026E">
        <w:rPr>
          <w:rFonts w:ascii="Times New Roman" w:hAnsi="Times New Roman"/>
          <w:color w:val="000000" w:themeColor="text1"/>
          <w:sz w:val="16"/>
          <w:szCs w:val="16"/>
        </w:rPr>
        <w:softHyphen/>
        <w:t>кие данные — в приложении № 6).</w:t>
      </w:r>
    </w:p>
    <w:p w14:paraId="65E10B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Тоже типа РСБ (радиостанция самолета-бомбардировщика) разработки 1937 г. для самолетов ДБ-3 и СБ (технические дан</w:t>
      </w:r>
      <w:r w:rsidRPr="00A3026E">
        <w:rPr>
          <w:rFonts w:ascii="Times New Roman" w:hAnsi="Times New Roman"/>
          <w:color w:val="000000" w:themeColor="text1"/>
          <w:sz w:val="16"/>
          <w:szCs w:val="16"/>
        </w:rPr>
        <w:softHyphen/>
        <w:t>ные — в приложении № 7).</w:t>
      </w:r>
    </w:p>
    <w:p w14:paraId="057382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Тоже типа РСБ-бис (модернизация радиостанции бомбарди</w:t>
      </w:r>
      <w:r w:rsidRPr="00A3026E">
        <w:rPr>
          <w:rFonts w:ascii="Times New Roman" w:hAnsi="Times New Roman"/>
          <w:color w:val="000000" w:themeColor="text1"/>
          <w:sz w:val="16"/>
          <w:szCs w:val="16"/>
        </w:rPr>
        <w:softHyphen/>
        <w:t>ровщика РСБ) разработки 1940 г. устанавливается в 1940 г. на самолетах СБ-РК, ДБ-Зф, ББ-1, ДБ-240, ПБ-100, ТБ-7 и ДС-3 («Дуглас»). В 1941 г. будет устанавливаться на этих же самолетах, кроме ББ-1, на котором устанавливается РСР-1 (технические дан</w:t>
      </w:r>
      <w:r w:rsidRPr="00A3026E">
        <w:rPr>
          <w:rFonts w:ascii="Times New Roman" w:hAnsi="Times New Roman"/>
          <w:color w:val="000000" w:themeColor="text1"/>
          <w:sz w:val="16"/>
          <w:szCs w:val="16"/>
        </w:rPr>
        <w:softHyphen/>
        <w:t>ные радиостанций — в приложении № 8).</w:t>
      </w:r>
    </w:p>
    <w:p w14:paraId="3B61EF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в настоящее время на вооружении ВВС Крас</w:t>
      </w:r>
      <w:r w:rsidRPr="00A3026E">
        <w:rPr>
          <w:rFonts w:ascii="Times New Roman" w:hAnsi="Times New Roman"/>
          <w:color w:val="000000" w:themeColor="text1"/>
          <w:sz w:val="16"/>
          <w:szCs w:val="16"/>
        </w:rPr>
        <w:softHyphen/>
        <w:t>ной Армии состоят 10 типов самолетных радиостанций, установ</w:t>
      </w:r>
      <w:r w:rsidRPr="00A3026E">
        <w:rPr>
          <w:rFonts w:ascii="Times New Roman" w:hAnsi="Times New Roman"/>
          <w:color w:val="000000" w:themeColor="text1"/>
          <w:sz w:val="16"/>
          <w:szCs w:val="16"/>
        </w:rPr>
        <w:softHyphen/>
        <w:t>ленных на 19 типах самолетов.</w:t>
      </w:r>
    </w:p>
    <w:p w14:paraId="3729C4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году из существующих 10 типов радиостанций остаются в производстве и будут устанавливаться четыре типа приемно-передающих радиостанций (РСИ-3, РСИ-4, РСР-1 и РСБ-бис) и один тип автономного приемника («Малютка») для всех типов самолетов.</w:t>
      </w:r>
    </w:p>
    <w:p w14:paraId="5861F9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Состоящие на вооружении радиостанции в большинстве ста</w:t>
      </w:r>
      <w:r w:rsidRPr="00A3026E">
        <w:rPr>
          <w:rFonts w:ascii="Times New Roman" w:hAnsi="Times New Roman"/>
          <w:color w:val="000000" w:themeColor="text1"/>
          <w:sz w:val="16"/>
          <w:szCs w:val="16"/>
        </w:rPr>
        <w:softHyphen/>
        <w:t>рой разработки, в силу чего имеют низкие технические данные, кроме автономного радиоприемника для истребителей («Малют</w:t>
      </w:r>
      <w:r w:rsidRPr="00A3026E">
        <w:rPr>
          <w:rFonts w:ascii="Times New Roman" w:hAnsi="Times New Roman"/>
          <w:color w:val="000000" w:themeColor="text1"/>
          <w:sz w:val="16"/>
          <w:szCs w:val="16"/>
        </w:rPr>
        <w:softHyphen/>
        <w:t>ка») и радиостанции самолета разведчика (РСР-1).</w:t>
      </w:r>
    </w:p>
    <w:p w14:paraId="41A2AE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Основными недостатками существующих радиостанций явля</w:t>
      </w:r>
      <w:r w:rsidRPr="00A3026E">
        <w:rPr>
          <w:rFonts w:ascii="Times New Roman" w:hAnsi="Times New Roman"/>
          <w:color w:val="000000" w:themeColor="text1"/>
          <w:sz w:val="16"/>
          <w:szCs w:val="16"/>
        </w:rPr>
        <w:softHyphen/>
        <w:t>ются:</w:t>
      </w:r>
    </w:p>
    <w:p w14:paraId="191A2B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а) недостаточная дальность действия, особенно для современ</w:t>
      </w:r>
      <w:r w:rsidRPr="00A3026E">
        <w:rPr>
          <w:rFonts w:ascii="Times New Roman" w:hAnsi="Times New Roman"/>
          <w:color w:val="000000" w:themeColor="text1"/>
          <w:sz w:val="16"/>
          <w:szCs w:val="16"/>
        </w:rPr>
        <w:softHyphen/>
        <w:t>ных самолетов. Так, например: дальность связи самолета-истреби</w:t>
      </w:r>
      <w:r w:rsidRPr="00A3026E">
        <w:rPr>
          <w:rFonts w:ascii="Times New Roman" w:hAnsi="Times New Roman"/>
          <w:color w:val="000000" w:themeColor="text1"/>
          <w:sz w:val="16"/>
          <w:szCs w:val="16"/>
        </w:rPr>
        <w:softHyphen/>
        <w:t>теля с землей на радиостанциях типа РСИ-3 порядка 60—80 км и между самолетами в воздухе 10—15 км;</w:t>
      </w:r>
    </w:p>
    <w:p w14:paraId="1BF9F2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большие веса при малой мощности передатчиков. Так, на</w:t>
      </w:r>
      <w:r w:rsidRPr="00A3026E">
        <w:rPr>
          <w:rFonts w:ascii="Times New Roman" w:hAnsi="Times New Roman"/>
          <w:color w:val="000000" w:themeColor="text1"/>
          <w:sz w:val="16"/>
          <w:szCs w:val="16"/>
        </w:rPr>
        <w:softHyphen/>
        <w:t>пример: радиостанция РСБ весит 56 кг при мощности передатчика 10-20 ватт;</w:t>
      </w:r>
    </w:p>
    <w:p w14:paraId="5ECA47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малая устойчивость частоты (стабильность), что требует от летного состава постоянной подстройки станций и снижает надеж</w:t>
      </w:r>
      <w:r w:rsidRPr="00A3026E">
        <w:rPr>
          <w:rFonts w:ascii="Times New Roman" w:hAnsi="Times New Roman"/>
          <w:color w:val="000000" w:themeColor="text1"/>
          <w:sz w:val="16"/>
          <w:szCs w:val="16"/>
        </w:rPr>
        <w:softHyphen/>
        <w:t>ность действия радиосвязи;</w:t>
      </w:r>
    </w:p>
    <w:p w14:paraId="112FB5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существующие радиостанции имеют много органов управле</w:t>
      </w:r>
      <w:r w:rsidRPr="00A3026E">
        <w:rPr>
          <w:rFonts w:ascii="Times New Roman" w:hAnsi="Times New Roman"/>
          <w:color w:val="000000" w:themeColor="text1"/>
          <w:sz w:val="16"/>
          <w:szCs w:val="16"/>
        </w:rPr>
        <w:softHyphen/>
        <w:t>ния и настройки, что значительно усложняет пользование радио</w:t>
      </w:r>
      <w:r w:rsidRPr="00A3026E">
        <w:rPr>
          <w:rFonts w:ascii="Times New Roman" w:hAnsi="Times New Roman"/>
          <w:color w:val="000000" w:themeColor="text1"/>
          <w:sz w:val="16"/>
          <w:szCs w:val="16"/>
        </w:rPr>
        <w:softHyphen/>
        <w:t>станциями в воздухе;</w:t>
      </w:r>
    </w:p>
    <w:p w14:paraId="6E5932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многотипность, что затрудняет эксплуатацию и освоение ра</w:t>
      </w:r>
      <w:r w:rsidRPr="00A3026E">
        <w:rPr>
          <w:rFonts w:ascii="Times New Roman" w:hAnsi="Times New Roman"/>
          <w:color w:val="000000" w:themeColor="text1"/>
          <w:sz w:val="16"/>
          <w:szCs w:val="16"/>
        </w:rPr>
        <w:softHyphen/>
        <w:t>диостанций, снабжение ими частей ВВС, а также уменьшает коли</w:t>
      </w:r>
      <w:r w:rsidRPr="00A3026E">
        <w:rPr>
          <w:rFonts w:ascii="Times New Roman" w:hAnsi="Times New Roman"/>
          <w:color w:val="000000" w:themeColor="text1"/>
          <w:sz w:val="16"/>
          <w:szCs w:val="16"/>
        </w:rPr>
        <w:softHyphen/>
        <w:t>чественный выпуск радиостанций промышленностью.</w:t>
      </w:r>
    </w:p>
    <w:p w14:paraId="6F042E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Главное управление Военных Воздушных Сил Красной Армии, начиная с 1938 г. после передачи вопросов авиационной связи и радионавигации от Управления связи Красной Армии, неодно</w:t>
      </w:r>
      <w:r w:rsidRPr="00A3026E">
        <w:rPr>
          <w:rFonts w:ascii="Times New Roman" w:hAnsi="Times New Roman"/>
          <w:color w:val="000000" w:themeColor="text1"/>
          <w:sz w:val="16"/>
          <w:szCs w:val="16"/>
        </w:rPr>
        <w:softHyphen/>
        <w:t>кратно ставило перед промышленностью задачи по разработкам новых опытных образцов радиостанций. Так, по представлению НКО (ГУ ВВС КА) в 1938 году Комитет Обороны постановлением № 152сс обязал НКАП (Главрадиопром НКЭП) разработать по техническим требованиям ВВС и сдать НКО новые опытные об</w:t>
      </w:r>
      <w:r w:rsidRPr="00A3026E">
        <w:rPr>
          <w:rFonts w:ascii="Times New Roman" w:hAnsi="Times New Roman"/>
          <w:color w:val="000000" w:themeColor="text1"/>
          <w:sz w:val="16"/>
          <w:szCs w:val="16"/>
        </w:rPr>
        <w:softHyphen/>
        <w:t>разцы радиостанций: типа РСБ-1 — для дальних бомбардировщи</w:t>
      </w:r>
      <w:r w:rsidRPr="00A3026E">
        <w:rPr>
          <w:rFonts w:ascii="Times New Roman" w:hAnsi="Times New Roman"/>
          <w:color w:val="000000" w:themeColor="text1"/>
          <w:sz w:val="16"/>
          <w:szCs w:val="16"/>
        </w:rPr>
        <w:softHyphen/>
        <w:t>ков; типа РСР-1 — для разведчиков; типа РСИ-2 — для истреби</w:t>
      </w:r>
      <w:r w:rsidRPr="00A3026E">
        <w:rPr>
          <w:rFonts w:ascii="Times New Roman" w:hAnsi="Times New Roman"/>
          <w:color w:val="000000" w:themeColor="text1"/>
          <w:sz w:val="16"/>
          <w:szCs w:val="16"/>
        </w:rPr>
        <w:softHyphen/>
        <w:t>телей; типа РПД — для десантных целей и типа РА — радиостан</w:t>
      </w:r>
      <w:r w:rsidRPr="00A3026E">
        <w:rPr>
          <w:rFonts w:ascii="Times New Roman" w:hAnsi="Times New Roman"/>
          <w:color w:val="000000" w:themeColor="text1"/>
          <w:sz w:val="16"/>
          <w:szCs w:val="16"/>
        </w:rPr>
        <w:softHyphen/>
        <w:t>цию аэродромную для штабов авиаполков.</w:t>
      </w:r>
    </w:p>
    <w:p w14:paraId="0E8733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постановление не было выполнено:</w:t>
      </w:r>
    </w:p>
    <w:p w14:paraId="73DAEC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радиостанция дальних бомбардировщиков типа РСБ-1 разра</w:t>
      </w:r>
      <w:r w:rsidRPr="00A3026E">
        <w:rPr>
          <w:rFonts w:ascii="Times New Roman" w:hAnsi="Times New Roman"/>
          <w:color w:val="000000" w:themeColor="text1"/>
          <w:sz w:val="16"/>
          <w:szCs w:val="16"/>
        </w:rPr>
        <w:softHyphen/>
        <w:t>батывалась заводом № 197 НКЭП более двух лет и в результате была забракована как технически устаревшая;</w:t>
      </w:r>
    </w:p>
    <w:p w14:paraId="30B5B0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радиостанция разведчика типа РСР-1 разрабатывалась пол</w:t>
      </w:r>
      <w:r w:rsidRPr="00A3026E">
        <w:rPr>
          <w:rFonts w:ascii="Times New Roman" w:hAnsi="Times New Roman"/>
          <w:color w:val="000000" w:themeColor="text1"/>
          <w:sz w:val="16"/>
          <w:szCs w:val="16"/>
        </w:rPr>
        <w:softHyphen/>
        <w:t>тора года и столько же осваивается в серийном производстве;</w:t>
      </w:r>
    </w:p>
    <w:p w14:paraId="454CF6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радиостанция для истребителя типа РСИ-2 была разработана и испытана, но не пошла в серийное производство из-за больших весов, габаритов и малых дальностей действия;</w:t>
      </w:r>
    </w:p>
    <w:p w14:paraId="348641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радиостанция аэродромного типа РА с приемным узлом и радиостанция парашютного десанта типа РПД до настоящего вре</w:t>
      </w:r>
      <w:r w:rsidRPr="00A3026E">
        <w:rPr>
          <w:rFonts w:ascii="Times New Roman" w:hAnsi="Times New Roman"/>
          <w:color w:val="000000" w:themeColor="text1"/>
          <w:sz w:val="16"/>
          <w:szCs w:val="16"/>
        </w:rPr>
        <w:softHyphen/>
        <w:t>мени не сданы НКО.</w:t>
      </w:r>
    </w:p>
    <w:p w14:paraId="1D7A94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слабость опытной промышленной базы в системе НКАП, был привлечен для разработки опытного образца радио</w:t>
      </w:r>
      <w:r w:rsidRPr="00A3026E">
        <w:rPr>
          <w:rFonts w:ascii="Times New Roman" w:hAnsi="Times New Roman"/>
          <w:color w:val="000000" w:themeColor="text1"/>
          <w:sz w:val="16"/>
          <w:szCs w:val="16"/>
        </w:rPr>
        <w:softHyphen/>
        <w:t>станции истребителя 2-й спецотдел НКВД (постановление ЭКОСО за № 403-72сс от 10.У1.1938 г.) и радиостанции для даль</w:t>
      </w:r>
      <w:r w:rsidRPr="00A3026E">
        <w:rPr>
          <w:rFonts w:ascii="Times New Roman" w:hAnsi="Times New Roman"/>
          <w:color w:val="000000" w:themeColor="text1"/>
          <w:sz w:val="16"/>
          <w:szCs w:val="16"/>
        </w:rPr>
        <w:softHyphen/>
        <w:t>него бомбардировщика (постановление Комитета Обороны № 78сс от 1.1У.1939 г.).</w:t>
      </w:r>
    </w:p>
    <w:p w14:paraId="02AE00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2-м спецотделом НКВД по тактико-техническим требованиям ВВС была изготовлена радиостанция самолетная истребительная под названием АРС, давшая при испытаниях хорошие результаты, но в серию не была запущена в силу трудности освоения ее про</w:t>
      </w:r>
      <w:r w:rsidRPr="00A3026E">
        <w:rPr>
          <w:rFonts w:ascii="Times New Roman" w:hAnsi="Times New Roman"/>
          <w:color w:val="000000" w:themeColor="text1"/>
          <w:sz w:val="16"/>
          <w:szCs w:val="16"/>
        </w:rPr>
        <w:softHyphen/>
        <w:t>мышленностью из-за примененных новых высококачественных материалов.</w:t>
      </w:r>
    </w:p>
    <w:p w14:paraId="684BD3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полное отсутствие радиосвязи в истребительной авиации и невозможность быстро получить от промышленности истребительную радиостанцию, группа работников завода № 203 НКЭП по предложению НИИ ВВС Красной Армии изготовила из серийных деталей образец радиостанции РСИ-3, которая в корот</w:t>
      </w:r>
      <w:r w:rsidRPr="00A3026E">
        <w:rPr>
          <w:rFonts w:ascii="Times New Roman" w:hAnsi="Times New Roman"/>
          <w:color w:val="000000" w:themeColor="text1"/>
          <w:sz w:val="16"/>
          <w:szCs w:val="16"/>
        </w:rPr>
        <w:softHyphen/>
        <w:t>кий срок была освоена в производстве.</w:t>
      </w:r>
    </w:p>
    <w:p w14:paraId="4006E0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1939 г. по личному указанию тов. Сталина 2-й спе</w:t>
      </w:r>
      <w:r w:rsidRPr="00A3026E">
        <w:rPr>
          <w:rFonts w:ascii="Times New Roman" w:hAnsi="Times New Roman"/>
          <w:color w:val="000000" w:themeColor="text1"/>
          <w:sz w:val="16"/>
          <w:szCs w:val="16"/>
        </w:rPr>
        <w:softHyphen/>
        <w:t>цотдел НКВД приступил к разработке трех образцов самолетных радиостанций для бомбардировщика весом 25 кг, для разведчика весом 15 кг и для истребителя весом 13 кг.</w:t>
      </w:r>
    </w:p>
    <w:p w14:paraId="62E3C7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большой творческой работы коллектива работни</w:t>
      </w:r>
      <w:r w:rsidRPr="00A3026E">
        <w:rPr>
          <w:rFonts w:ascii="Times New Roman" w:hAnsi="Times New Roman"/>
          <w:color w:val="000000" w:themeColor="text1"/>
          <w:sz w:val="16"/>
          <w:szCs w:val="16"/>
        </w:rPr>
        <w:softHyphen/>
        <w:t>ков 2-го спецотдела НКВД при участии в испытательной работе инженеров НИИ ВВС и ГУ ВВС Красной Армии, была создана универсальная радиостанция типа РСУ-1 с одновременной отра</w:t>
      </w:r>
      <w:r w:rsidRPr="00A3026E">
        <w:rPr>
          <w:rFonts w:ascii="Times New Roman" w:hAnsi="Times New Roman"/>
          <w:color w:val="000000" w:themeColor="text1"/>
          <w:sz w:val="16"/>
          <w:szCs w:val="16"/>
        </w:rPr>
        <w:softHyphen/>
        <w:t>боткой защиты радиоприема на самолетах от электропомех (экра</w:t>
      </w:r>
      <w:r w:rsidRPr="00A3026E">
        <w:rPr>
          <w:rFonts w:ascii="Times New Roman" w:hAnsi="Times New Roman"/>
          <w:color w:val="000000" w:themeColor="text1"/>
          <w:sz w:val="16"/>
          <w:szCs w:val="16"/>
        </w:rPr>
        <w:softHyphen/>
        <w:t>нировка, металлизация и фильтры).</w:t>
      </w:r>
    </w:p>
    <w:p w14:paraId="576AF7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Этим была решена задача получения на вооружение ВВС высо</w:t>
      </w:r>
      <w:r w:rsidRPr="00A3026E">
        <w:rPr>
          <w:rFonts w:ascii="Times New Roman" w:hAnsi="Times New Roman"/>
          <w:color w:val="000000" w:themeColor="text1"/>
          <w:sz w:val="16"/>
          <w:szCs w:val="16"/>
        </w:rPr>
        <w:softHyphen/>
        <w:t>кокачественной радиостанции с большой дальностью и надежнос</w:t>
      </w:r>
      <w:r w:rsidRPr="00A3026E">
        <w:rPr>
          <w:rFonts w:ascii="Times New Roman" w:hAnsi="Times New Roman"/>
          <w:color w:val="000000" w:themeColor="text1"/>
          <w:sz w:val="16"/>
          <w:szCs w:val="16"/>
        </w:rPr>
        <w:softHyphen/>
        <w:t>тью действия, при небольших весах и габаритах, с решением зада</w:t>
      </w:r>
      <w:r w:rsidRPr="00A3026E">
        <w:rPr>
          <w:rFonts w:ascii="Times New Roman" w:hAnsi="Times New Roman"/>
          <w:color w:val="000000" w:themeColor="text1"/>
          <w:sz w:val="16"/>
          <w:szCs w:val="16"/>
        </w:rPr>
        <w:softHyphen/>
        <w:t>чи унификации радиооборудования для всех родов авиации.</w:t>
      </w:r>
    </w:p>
    <w:p w14:paraId="3DA72D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Универсальная самолетная радиостанция типа РСУ-1 является приемно-передающей телеграфно-телефонной радиостанцией, предназначенной как средство радиосвязи для всех типов самоле</w:t>
      </w:r>
      <w:r w:rsidRPr="00A3026E">
        <w:rPr>
          <w:rFonts w:ascii="Times New Roman" w:hAnsi="Times New Roman"/>
          <w:color w:val="000000" w:themeColor="text1"/>
          <w:sz w:val="16"/>
          <w:szCs w:val="16"/>
        </w:rPr>
        <w:softHyphen/>
        <w:t>тов дальнего действия, ближнего действия и истребителей. Радио</w:t>
      </w:r>
      <w:r w:rsidRPr="00A3026E">
        <w:rPr>
          <w:rFonts w:ascii="Times New Roman" w:hAnsi="Times New Roman"/>
          <w:color w:val="000000" w:themeColor="text1"/>
          <w:sz w:val="16"/>
          <w:szCs w:val="16"/>
        </w:rPr>
        <w:softHyphen/>
        <w:t>станция может быть использована как для радиосвязи самолетов с наземными радиостанциями, так и для связи между самолетами в воздухе...</w:t>
      </w:r>
    </w:p>
    <w:p w14:paraId="5176E2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Универсальная радиостанция была представлена на государ</w:t>
      </w:r>
      <w:r w:rsidRPr="00A3026E">
        <w:rPr>
          <w:rFonts w:ascii="Times New Roman" w:hAnsi="Times New Roman"/>
          <w:color w:val="000000" w:themeColor="text1"/>
          <w:sz w:val="16"/>
          <w:szCs w:val="16"/>
        </w:rPr>
        <w:softHyphen/>
        <w:t>ственные испытания в НИИ ВВС Красной Армии 14 июня 1940 г. Летные и лабораторные испытания радиостанции в трех вариантах были закончены 11 июля 1940 г. Радиостанция испытывалась в ис</w:t>
      </w:r>
      <w:r w:rsidRPr="00A3026E">
        <w:rPr>
          <w:rFonts w:ascii="Times New Roman" w:hAnsi="Times New Roman"/>
          <w:color w:val="000000" w:themeColor="text1"/>
          <w:sz w:val="16"/>
          <w:szCs w:val="16"/>
        </w:rPr>
        <w:softHyphen/>
        <w:t>требительном варианте на самолетах И-16 и И-153, в бомбардиро</w:t>
      </w:r>
      <w:r w:rsidRPr="00A3026E">
        <w:rPr>
          <w:rFonts w:ascii="Times New Roman" w:hAnsi="Times New Roman"/>
          <w:color w:val="000000" w:themeColor="text1"/>
          <w:sz w:val="16"/>
          <w:szCs w:val="16"/>
        </w:rPr>
        <w:softHyphen/>
        <w:t>вочном варианте на самолетах типа СБ и в дальнебомбардировоч-ном варианте на самолете ДБ-3.</w:t>
      </w:r>
    </w:p>
    <w:p w14:paraId="58C9C5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было произведено 21 полет с общей продолжительнос</w:t>
      </w:r>
      <w:r w:rsidRPr="00A3026E">
        <w:rPr>
          <w:rFonts w:ascii="Times New Roman" w:hAnsi="Times New Roman"/>
          <w:color w:val="000000" w:themeColor="text1"/>
          <w:sz w:val="16"/>
          <w:szCs w:val="16"/>
        </w:rPr>
        <w:softHyphen/>
        <w:t>тью 65 часов. Полеты производились до высоты 9000 м, дальняя радиосвязь велась с радиостанцией типа ТАР, находившейся в г. Тбилиси. В результате лабораторных и летных испытаний было установлено, что универсальная радиостанция РСУ-1 по своим электрическим и конструктивным показателям стоит значительно выше имеющихся на вооружении ВВС Красной Армии радиостан</w:t>
      </w:r>
      <w:r w:rsidRPr="00A3026E">
        <w:rPr>
          <w:rFonts w:ascii="Times New Roman" w:hAnsi="Times New Roman"/>
          <w:color w:val="000000" w:themeColor="text1"/>
          <w:sz w:val="16"/>
          <w:szCs w:val="16"/>
        </w:rPr>
        <w:softHyphen/>
        <w:t>ций и удовлетворяет современным требованиям...</w:t>
      </w:r>
    </w:p>
    <w:p w14:paraId="4FA747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положительных результатов, полученных при испытании универсальной радиостанции РСУ-1, народным комис</w:t>
      </w:r>
      <w:r w:rsidRPr="00A3026E">
        <w:rPr>
          <w:rFonts w:ascii="Times New Roman" w:hAnsi="Times New Roman"/>
          <w:color w:val="000000" w:themeColor="text1"/>
          <w:sz w:val="16"/>
          <w:szCs w:val="16"/>
        </w:rPr>
        <w:softHyphen/>
        <w:t>саром обороны Маршалом Советского Союза т. Тимошенко 9 ав</w:t>
      </w:r>
      <w:r w:rsidRPr="00A3026E">
        <w:rPr>
          <w:rFonts w:ascii="Times New Roman" w:hAnsi="Times New Roman"/>
          <w:color w:val="000000" w:themeColor="text1"/>
          <w:sz w:val="16"/>
          <w:szCs w:val="16"/>
        </w:rPr>
        <w:softHyphen/>
        <w:t>густа 1940 г. было возбуждено ходатайство перед Комитетом Обо</w:t>
      </w:r>
      <w:r w:rsidRPr="00A3026E">
        <w:rPr>
          <w:rFonts w:ascii="Times New Roman" w:hAnsi="Times New Roman"/>
          <w:color w:val="000000" w:themeColor="text1"/>
          <w:sz w:val="16"/>
          <w:szCs w:val="16"/>
        </w:rPr>
        <w:softHyphen/>
        <w:t>роны при СНК Союза ССР о принятии универсальной радиостан</w:t>
      </w:r>
      <w:r w:rsidRPr="00A3026E">
        <w:rPr>
          <w:rFonts w:ascii="Times New Roman" w:hAnsi="Times New Roman"/>
          <w:color w:val="000000" w:themeColor="text1"/>
          <w:sz w:val="16"/>
          <w:szCs w:val="16"/>
        </w:rPr>
        <w:softHyphen/>
        <w:t>ции на вооружение ВВС Красной Армии и запуска ее в серийное производство.</w:t>
      </w:r>
    </w:p>
    <w:p w14:paraId="5F5DAB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был представлен проект постановления Комите</w:t>
      </w:r>
      <w:r w:rsidRPr="00A3026E">
        <w:rPr>
          <w:rFonts w:ascii="Times New Roman" w:hAnsi="Times New Roman"/>
          <w:color w:val="000000" w:themeColor="text1"/>
          <w:sz w:val="16"/>
          <w:szCs w:val="16"/>
        </w:rPr>
        <w:softHyphen/>
        <w:t>та Обороны при СНК Союза ССР, согласованный с народным ко</w:t>
      </w:r>
      <w:r w:rsidRPr="00A3026E">
        <w:rPr>
          <w:rFonts w:ascii="Times New Roman" w:hAnsi="Times New Roman"/>
          <w:color w:val="000000" w:themeColor="text1"/>
          <w:sz w:val="16"/>
          <w:szCs w:val="16"/>
        </w:rPr>
        <w:softHyphen/>
        <w:t>миссаром электропромышленности Союза ССР т. Богатыревым.</w:t>
      </w:r>
    </w:p>
    <w:p w14:paraId="27973D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Предложения:</w:t>
      </w:r>
    </w:p>
    <w:p w14:paraId="702FF5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Принять универсальную радиостанцию на вооружение ВВС Красной Армии:</w:t>
      </w:r>
    </w:p>
    <w:p w14:paraId="7AE298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варианте РСУИ-1 для самолетов истребительной авиации;</w:t>
      </w:r>
    </w:p>
    <w:p w14:paraId="61FBF8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Далее опущены перечисление агрегатов радиостанции и сравнитель</w:t>
      </w:r>
      <w:r w:rsidRPr="00A3026E">
        <w:rPr>
          <w:rFonts w:ascii="Times New Roman" w:hAnsi="Times New Roman"/>
          <w:color w:val="000000" w:themeColor="text1"/>
          <w:sz w:val="16"/>
          <w:szCs w:val="16"/>
        </w:rPr>
        <w:softHyphen/>
        <w:t>ная характеристика трех ее вариантов.</w:t>
      </w:r>
    </w:p>
    <w:p w14:paraId="1A72B8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Далее опущена таблица с основными тактико-техническими характе</w:t>
      </w:r>
      <w:r w:rsidRPr="00A3026E">
        <w:rPr>
          <w:rFonts w:ascii="Times New Roman" w:hAnsi="Times New Roman"/>
          <w:color w:val="000000" w:themeColor="text1"/>
          <w:sz w:val="16"/>
          <w:szCs w:val="16"/>
        </w:rPr>
        <w:softHyphen/>
        <w:t>ристиками радиостанции ВВС КА и ВВС Германии.</w:t>
      </w:r>
    </w:p>
    <w:p w14:paraId="3E2C88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варианте РСУБ-1 для самолетов разведывательной], бомбар-дир[овочной] и штурмовой авиации;</w:t>
      </w:r>
    </w:p>
    <w:p w14:paraId="4D8DD4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варианте РСУД-1 для самолетов дальней бомбардировочной авиации.</w:t>
      </w:r>
    </w:p>
    <w:p w14:paraId="551D00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Специальным решением Комитета Обороны при СНК Союза ССР обязать промышленность развернуть серийное произ</w:t>
      </w:r>
      <w:r w:rsidRPr="00A3026E">
        <w:rPr>
          <w:rFonts w:ascii="Times New Roman" w:hAnsi="Times New Roman"/>
          <w:color w:val="000000" w:themeColor="text1"/>
          <w:sz w:val="16"/>
          <w:szCs w:val="16"/>
        </w:rPr>
        <w:softHyphen/>
        <w:t>водство универсальной радиостанции и агрегатов к ней и обеспе</w:t>
      </w:r>
      <w:r w:rsidRPr="00A3026E">
        <w:rPr>
          <w:rFonts w:ascii="Times New Roman" w:hAnsi="Times New Roman"/>
          <w:color w:val="000000" w:themeColor="text1"/>
          <w:sz w:val="16"/>
          <w:szCs w:val="16"/>
        </w:rPr>
        <w:softHyphen/>
        <w:t>чить переход авиазаводов на оборудование самолетов этой радио</w:t>
      </w:r>
      <w:r w:rsidRPr="00A3026E">
        <w:rPr>
          <w:rFonts w:ascii="Times New Roman" w:hAnsi="Times New Roman"/>
          <w:color w:val="000000" w:themeColor="text1"/>
          <w:sz w:val="16"/>
          <w:szCs w:val="16"/>
        </w:rPr>
        <w:softHyphen/>
        <w:t>станцией:</w:t>
      </w:r>
    </w:p>
    <w:p w14:paraId="54B365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Приложения: 1. Проект постановления КО при СНК СССР.</w:t>
      </w:r>
    </w:p>
    <w:p w14:paraId="013A60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Таблицы с техническими данными радиостанций*.</w:t>
      </w:r>
    </w:p>
    <w:p w14:paraId="3799AD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начальника ГУ ВВС Красной Армии генерал-лейтенант авиации Астахов</w:t>
      </w:r>
    </w:p>
    <w:p w14:paraId="1D9728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4. Оп. 14. Д. 27П. Л. 49—57. Подлинник (10976).</w:t>
      </w:r>
    </w:p>
    <w:p w14:paraId="4AE8061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23F5164"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12222E6A"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45B5E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декабря 1940 опытный образец 57-мм орудия был изготовлен и представлен для испытаний (3862).</w:t>
      </w:r>
    </w:p>
    <w:p w14:paraId="003674E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4305B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декабря 1940 г. заседание КО при СНК и ЦК ВКП (б) приняло решение, одним из пунктов которого предписывалось заводу № 92 начать валовый выпуск ору</w:t>
      </w:r>
      <w:r w:rsidRPr="00A3026E">
        <w:rPr>
          <w:rFonts w:ascii="Times New Roman" w:hAnsi="Times New Roman"/>
          <w:color w:val="000000" w:themeColor="text1"/>
          <w:sz w:val="16"/>
          <w:szCs w:val="16"/>
        </w:rPr>
        <w:softHyphen/>
        <w:t>дий Ф-34 для танка Т-34 образца 1941 г. с 1 января 1941 г. с отгрузкой первых 300 экземпляров в марте 1941 г. Решение было составлено очень оригинально, так как на нем вроде бы принимался в массовое производство танк Т-34 второй серии, вооруженный Ф-34, но вопрос о принятии на воору</w:t>
      </w:r>
      <w:r w:rsidRPr="00A3026E">
        <w:rPr>
          <w:rFonts w:ascii="Times New Roman" w:hAnsi="Times New Roman"/>
          <w:color w:val="000000" w:themeColor="text1"/>
          <w:sz w:val="16"/>
          <w:szCs w:val="16"/>
        </w:rPr>
        <w:softHyphen/>
        <w:t>жение самой Ф-34, решен не был, хотя поднимались.во</w:t>
      </w:r>
      <w:r w:rsidRPr="00A3026E">
        <w:rPr>
          <w:rFonts w:ascii="Times New Roman" w:hAnsi="Times New Roman"/>
          <w:color w:val="000000" w:themeColor="text1"/>
          <w:sz w:val="16"/>
          <w:szCs w:val="16"/>
        </w:rPr>
        <w:softHyphen/>
        <w:t>просы не только о ее производстве и установке на танк, но и вопросы ремонта орудий в войсках и т.д. При подготовке производства Ф-34 на заводе № 92 впервые в полном объеме был применен т.н. «скоростной метод», упоминаемый в воспоминаниях В. Грабина, что по</w:t>
      </w:r>
      <w:r w:rsidRPr="00A3026E">
        <w:rPr>
          <w:rFonts w:ascii="Times New Roman" w:hAnsi="Times New Roman"/>
          <w:color w:val="000000" w:themeColor="text1"/>
          <w:sz w:val="16"/>
          <w:szCs w:val="16"/>
        </w:rPr>
        <w:softHyphen/>
        <w:t>зволило начать выпуск орудий через 13 дней после приня</w:t>
      </w:r>
      <w:r w:rsidRPr="00A3026E">
        <w:rPr>
          <w:rFonts w:ascii="Times New Roman" w:hAnsi="Times New Roman"/>
          <w:color w:val="000000" w:themeColor="text1"/>
          <w:sz w:val="16"/>
          <w:szCs w:val="16"/>
        </w:rPr>
        <w:softHyphen/>
        <w:t>тия решения об их массовом выпуске. При разработке технологии массового выпуска в Ф-34 впервые были применены литой кожух и литая люлька ору</w:t>
      </w:r>
      <w:r w:rsidRPr="00A3026E">
        <w:rPr>
          <w:rFonts w:ascii="Times New Roman" w:hAnsi="Times New Roman"/>
          <w:color w:val="000000" w:themeColor="text1"/>
          <w:sz w:val="16"/>
          <w:szCs w:val="16"/>
        </w:rPr>
        <w:softHyphen/>
        <w:t>дия из углеродистой стали, что весьма значительно снижало стоимость серийного образца. Особенностью первых Ф-34 было то, что они имели двухслойный ствол со свободной тру</w:t>
      </w:r>
      <w:r w:rsidRPr="00A3026E">
        <w:rPr>
          <w:rFonts w:ascii="Times New Roman" w:hAnsi="Times New Roman"/>
          <w:color w:val="000000" w:themeColor="text1"/>
          <w:sz w:val="16"/>
          <w:szCs w:val="16"/>
        </w:rPr>
        <w:softHyphen/>
        <w:t>бой и затвор, несовместимый с затворами полевых орудий (10782).</w:t>
      </w:r>
    </w:p>
    <w:p w14:paraId="0E2A689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B656936" w14:textId="77777777" w:rsidR="0002616E" w:rsidRPr="00A3026E" w:rsidRDefault="0002616E"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В начале декабря 1940 года на заводе №183 оказался ведущий инженер ГАБТУ КА подполковник И.Г. Панов. На месте он осмотрел танковое производство завода, по итогам чего был составлен доклад. Панов обнаружил станки, которые вполне могли использоваться для производства погонов необходимого диаметра. Да и торсионные валы завод вполне был способен делать. Больше того, под нажимом представителя ГАБТУ КА КБ-520 подготовило эскизный проект такой подвески. А вот идею с установкой мотора В-2К Панов посчитал не лучшей идеей. Узким местом была КПП, которая создавалась под 18-тонный танк с 500-сильным мотором (21265).</w:t>
      </w:r>
    </w:p>
    <w:p w14:paraId="3C820E11" w14:textId="77777777" w:rsidR="0002616E" w:rsidRPr="00A3026E" w:rsidRDefault="0002616E" w:rsidP="00A3026E">
      <w:pPr>
        <w:pStyle w:val="article-renderblock"/>
        <w:shd w:val="clear" w:color="auto" w:fill="FFFFFF"/>
        <w:spacing w:before="0" w:beforeAutospacing="0" w:after="0" w:afterAutospacing="0"/>
        <w:jc w:val="both"/>
        <w:rPr>
          <w:color w:val="0070C0"/>
          <w:sz w:val="16"/>
          <w:szCs w:val="16"/>
        </w:rPr>
      </w:pPr>
    </w:p>
    <w:p w14:paraId="0BFB61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w:t>
      </w:r>
      <w:r w:rsidRPr="00A3026E">
        <w:rPr>
          <w:rFonts w:ascii="Times New Roman" w:hAnsi="Times New Roman"/>
          <w:color w:val="000000" w:themeColor="text1"/>
          <w:sz w:val="16"/>
          <w:szCs w:val="16"/>
        </w:rPr>
        <w:softHyphen/>
        <w:t>ле декабря 1940 г. состоялось рассмотрение проектов трансмиссии Т-34, предложенных ВАММ, и еще до нового года была выбрана транс</w:t>
      </w:r>
      <w:r w:rsidRPr="00A3026E">
        <w:rPr>
          <w:rFonts w:ascii="Times New Roman" w:hAnsi="Times New Roman"/>
          <w:color w:val="000000" w:themeColor="text1"/>
          <w:sz w:val="16"/>
          <w:szCs w:val="16"/>
        </w:rPr>
        <w:softHyphen/>
        <w:t>миссия, разработанная под руководством преподавателя академии военинженера 2-го ранга А. Благонравова. Эта трансмиссия разрабатывалась с использовванием конструк</w:t>
      </w:r>
      <w:r w:rsidRPr="00A3026E">
        <w:rPr>
          <w:rFonts w:ascii="Times New Roman" w:hAnsi="Times New Roman"/>
          <w:color w:val="000000" w:themeColor="text1"/>
          <w:sz w:val="16"/>
          <w:szCs w:val="16"/>
        </w:rPr>
        <w:softHyphen/>
        <w:t>ции трансмиссии немецкого танка Т III и имела 6 пе</w:t>
      </w:r>
      <w:r w:rsidRPr="00A3026E">
        <w:rPr>
          <w:rFonts w:ascii="Times New Roman" w:hAnsi="Times New Roman"/>
          <w:color w:val="000000" w:themeColor="text1"/>
          <w:sz w:val="16"/>
          <w:szCs w:val="16"/>
        </w:rPr>
        <w:softHyphen/>
        <w:t>редач переднего хода и 3 заднего, но была значительно кон</w:t>
      </w:r>
      <w:r w:rsidRPr="00A3026E">
        <w:rPr>
          <w:rFonts w:ascii="Times New Roman" w:hAnsi="Times New Roman"/>
          <w:color w:val="000000" w:themeColor="text1"/>
          <w:sz w:val="16"/>
          <w:szCs w:val="16"/>
        </w:rPr>
        <w:softHyphen/>
        <w:t>структивно упрощена и доработана. Согласно распоряже</w:t>
      </w:r>
      <w:r w:rsidRPr="00A3026E">
        <w:rPr>
          <w:rFonts w:ascii="Times New Roman" w:hAnsi="Times New Roman"/>
          <w:color w:val="000000" w:themeColor="text1"/>
          <w:sz w:val="16"/>
          <w:szCs w:val="16"/>
        </w:rPr>
        <w:softHyphen/>
        <w:t xml:space="preserve">нию наркома </w:t>
      </w:r>
      <w:r w:rsidRPr="00A3026E">
        <w:rPr>
          <w:rFonts w:ascii="Times New Roman" w:hAnsi="Times New Roman"/>
          <w:color w:val="000000" w:themeColor="text1"/>
          <w:sz w:val="16"/>
          <w:szCs w:val="16"/>
        </w:rPr>
        <w:lastRenderedPageBreak/>
        <w:t>среднего машиностроения завод № 183 дол</w:t>
      </w:r>
      <w:r w:rsidRPr="00A3026E">
        <w:rPr>
          <w:rFonts w:ascii="Times New Roman" w:hAnsi="Times New Roman"/>
          <w:color w:val="000000" w:themeColor="text1"/>
          <w:sz w:val="16"/>
          <w:szCs w:val="16"/>
        </w:rPr>
        <w:softHyphen/>
        <w:t>жен был к 1 апреля 1941 г. разработать рабочие чертежи трансмиссии, и не позднее 15 мая изготовить два образца и к 15 августа провести заводские испытания в танках Т-34 (10782).</w:t>
      </w:r>
    </w:p>
    <w:p w14:paraId="45C983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ED3443D"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декабря 1940 г. коллектив КБ-520 под руководством исполняющего обязанности главного конструктора завода № 183 А.А. Морозова на основании Постановления Комитета обороны при СНК СССР № 428сс «О дополнениях и изменениях в тактико-технические требования по танкам КВ, Т-34 и Т-40» занимался разработкой чертежей модернизированной «тридцатьчетверки». Казалось бы, с принятием Постановления № 428сс все точки над «i» в вопросе модернизации танка Т-34 были расставлены, но дальнейшие события вокруг улучшения конструкции этой боевой машины разворачивались не столь однозначно (18306).</w:t>
      </w:r>
    </w:p>
    <w:p w14:paraId="69EDCB66" w14:textId="77777777" w:rsidR="007F6063" w:rsidRPr="00A3026E" w:rsidRDefault="007F6063" w:rsidP="00A3026E">
      <w:pPr>
        <w:spacing w:after="0" w:line="240" w:lineRule="auto"/>
        <w:jc w:val="both"/>
        <w:rPr>
          <w:rFonts w:ascii="Times New Roman" w:hAnsi="Times New Roman"/>
          <w:color w:val="000000" w:themeColor="text1"/>
          <w:sz w:val="16"/>
          <w:szCs w:val="16"/>
        </w:rPr>
      </w:pPr>
    </w:p>
    <w:p w14:paraId="62A0EFD4"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декабря 1940 для ознакомления с работой КБ-520 по модернизации танка Т-34, а также для выяснения производственных возможностей завода № 183 по изготовлению и механической обработке торсионных валов для узлов подвески и шариковых опор башен («погонов») увеличенного диаметра из Москвы в Харьков прибыл ведущий инженер ГАБТУ КА подполковник И.Г. Панов. После выяснения всех вопросов на заводе № 183 и возвращения в Москву 13 декабря 1940 г. И.Г. Панов направил начальнику ГАБТУ КА Я.Н. Федоренко подробный </w:t>
      </w:r>
      <w:hyperlink r:id="rId136" w:tgtFrame="_blank" w:history="1">
        <w:r w:rsidRPr="00A3026E">
          <w:rPr>
            <w:rStyle w:val="a5"/>
            <w:rFonts w:ascii="Times New Roman" w:hAnsi="Times New Roman"/>
            <w:color w:val="000000" w:themeColor="text1"/>
            <w:sz w:val="16"/>
            <w:szCs w:val="16"/>
          </w:rPr>
          <w:t>доклад</w:t>
        </w:r>
      </w:hyperlink>
      <w:r w:rsidRPr="00A3026E">
        <w:rPr>
          <w:rFonts w:ascii="Times New Roman" w:hAnsi="Times New Roman"/>
          <w:color w:val="000000" w:themeColor="text1"/>
          <w:sz w:val="16"/>
          <w:szCs w:val="16"/>
        </w:rPr>
        <w:t>, в заключительной части которого содержалась просьба о возбуждении ходатайства о пересмотре ряда положений Постановления № 428сс. Вызвано это было, прежде всего, тем, что указанные в Постановлении № 428сс тактико-технические характеристики модернизированного танка Т-34 не полностью соответствовали требованиям ГАБТУ КА. Ниже приведем выписки из доклада подполковника И.Г. Панова: </w:t>
      </w:r>
    </w:p>
    <w:p w14:paraId="531D87CF"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КО № 428 предусматривает расширение башни танка Т-34 без расширения погона. Эта модернизация не дает полной эффективности улучшения боевых качеств танка. Уширение башни только в верхней ее части даст некоторое улучшение в размещении экипажа в походном положении (удобнее будет сидеть). При стрельбе же, положение не улучшится, так как, не изменяя погона, останется узкое пространство между гильзоулавливателем и погоном, которое и будет стеснять работу расчета при стрельбе (особенно заряжающего). При установке пушки Ф-34 еще больше затрудняется работа экипажа, так как гильзоулавливатель своей тыльной частью, почти касается погона, что не дает возможности произвести замену орудийного расчета не опуская гильзоулавливателя, и разместить пятого члена экипажа – командира с установленной ему командирской башенкой. </w:t>
      </w:r>
    </w:p>
    <w:p w14:paraId="2EEFEA57"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Преследуется цель расширением башни без расширения погона обеспечить более легкий переход производства, на самом деле, это не дает правильного и нужного решения. </w:t>
      </w:r>
    </w:p>
    <w:p w14:paraId="44FDD2CA"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Конструктора должны будут принять решения временного лечения, мало дающего с точки зрения боевого улучшения в башне, ломая производство башен в феврале, а затем еще раз через некоторый промежуток времени для перехода на требуемый жизнью вариант башни, т.е. для производства появится больше трудностей. </w:t>
      </w:r>
    </w:p>
    <w:p w14:paraId="588C5849"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Существующая башня танка Т-34 тесна, мало удобна, имеет слабую видимость, но последние испытания войскового пробега с троекратной боевой стрельбой еще раз подтвердили, что вести прицельный огонь из танка можно. Интенсивность достигает 2 – 3 выстрела в минуту. </w:t>
      </w:r>
    </w:p>
    <w:p w14:paraId="1B23DE9C"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Имеется ли возможность расширить погон башни танка Т-34? Да, имеется. По предварительным прикидкам можно погон башни расширить примерно на 200 мм. Возможно ли это расширение с точки зрения производства? Возможно, так как для Мариупольского завода это расширение не имеет никакого значения, а завод № 183 имеет станочное оборудование для производства расширенного погона. </w:t>
      </w:r>
    </w:p>
    <w:p w14:paraId="4A1FC456"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Расширение башни и погона на 200 мм даст возможность удобного размещения орудийного расчета, и обеспечить требование правительства – дать 6 прицельных выстрелов на ходу танка. Позволит разместить 5-го члена экипажа (командира танка – части), разгруженного для ведения наблюдения за полем боя и руководства танком – соединением, что значительно повысит боевые качества танков. </w:t>
      </w:r>
    </w:p>
    <w:p w14:paraId="3FBC03E3"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Увеличение боекомплекта без коренного изменения подвески танка приводит к значительным переделкам внутри танка. Меняется в корне топливная и масляная системы. Видоизменяется пружинная подвеска, перемещается в какой-то степени электропроводка, и все равно, полностью вопрос не решается. Все эти изменения должны войти на серию без предварительной проверки испытаниями. </w:t>
      </w:r>
    </w:p>
    <w:p w14:paraId="2AEE03D7"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КО № 428 не предусматривает в 1941 г. постановки на танк Т-34 торсионной подвески, можно полагать по причине трудности изготовления торсионных валов для завода № 183. </w:t>
      </w:r>
    </w:p>
    <w:p w14:paraId="081629EC"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выяснению мною на заводе № 183 установил, что имеющееся станочное оборудование позволяет производить обработку торсионных валов. Проект торсионной подвески заводом разработан с использованием существующих катков и балансиров. Какие дает преимущества торсионная подвеска по предварительным подсчетам? </w:t>
      </w:r>
    </w:p>
    <w:p w14:paraId="5552FBE7"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Увеличивается объем боевого отделения танка на 20 %, что дает возможность увеличить боекомплект, который и выдвинут нами в проекте Постановления с учетом постановки торсионной подвески. </w:t>
      </w:r>
    </w:p>
    <w:p w14:paraId="6B96BD75"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Увеличенный объем боевого отделения дает возможность более удобно разместить экипаж и облегчить его работу в боевых условиях. </w:t>
      </w:r>
    </w:p>
    <w:p w14:paraId="10EF2AF7"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Увеличивается запас топлива до 750 литров вместо 465 л., что увеличивает радиус действия танка на 60 – 100 км., а топливные баки из боевого отделения переносятся в трансмиссионное. </w:t>
      </w:r>
    </w:p>
    <w:p w14:paraId="42500A24"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Уменьшается вес самой подвески на 300 – 400 кг. </w:t>
      </w:r>
    </w:p>
    <w:p w14:paraId="13A1DAB3"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Облегчается монтаж и демонтаж. </w:t>
      </w:r>
    </w:p>
    <w:p w14:paraId="434FD3C7"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Ликвидируются вырезы в бортах танка для хода балансиров. </w:t>
      </w:r>
    </w:p>
    <w:p w14:paraId="687C4F75"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установки торсионной подвески и связанной с ней перекомпоновки нельзя значительно снизить вес танка. </w:t>
      </w:r>
    </w:p>
    <w:p w14:paraId="0401375D"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мотора В-2-К без предварительной проверки трансмиссии нежелательна, так как коробка перемены передач была рассчитана на вес танка в 18 тн. при мощности мотора в 500 л.с., с Мкр=240 кг/м и числе оборотов 1800 об/мин. Мотор В-2-К имеет мощность 600 л.с., Мкр=365 кг/м, максимальное число оборотов 2100 об/мин., а вес танка колеблется в пределах 27 тн., увеличение же всех указанных параметров может вызвать усиленный износ деталей КПП и преждевременный выход ее из строя. </w:t>
      </w:r>
    </w:p>
    <w:p w14:paraId="3DB5A7ED"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 В дополнение к постановлению КО № 428, считаю необходимым просить войти с ходатайством в КО об изготовлении к 1.4.41 г. заводом № 183 НКСМ двух усовершенствованных образцов танка Т-34, в которые должно войти: </w:t>
      </w:r>
    </w:p>
    <w:p w14:paraId="7CF81153"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Расширение башни и погона с постановкой на ней командирской башенки с круговым обзором. </w:t>
      </w:r>
    </w:p>
    <w:p w14:paraId="53BDA260"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Установить торсионную подвеску. </w:t>
      </w:r>
    </w:p>
    <w:p w14:paraId="2D0B1538"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Увеличить боекомплект. </w:t>
      </w:r>
    </w:p>
    <w:p w14:paraId="1D39BEBE"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Усилить трансмиссию танка. </w:t>
      </w:r>
    </w:p>
    <w:p w14:paraId="4B5737BE"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Увеличить максимальную скорость танка до 70 км/час. </w:t>
      </w:r>
    </w:p>
    <w:p w14:paraId="6C02611E"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Максимально улучшить рабочие места экипажа, обеспечив им удобное размещение, хорошее наблюдение. </w:t>
      </w:r>
    </w:p>
    <w:p w14:paraId="3254A7B9"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период Апрель – Май провести испытания. Июнь месяц – на доработки по результатам испытаний. Июль месяц – вторичное испытание образцов с доработками. Август и сентябрь месяцы на отработку технологического процесса. В Октябре начать серийный выпуск усовершенствованного танка Т-34. </w:t>
      </w:r>
    </w:p>
    <w:p w14:paraId="74B3265E"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даст возможность без спешки ввести все изменения по усовершенствованию, проверить испытаниями и планово безболезненно перейти к производству на выпуск еще более высококачественной машины. </w:t>
      </w:r>
    </w:p>
    <w:p w14:paraId="17D3CCE7"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183 на выполнение указанной работы идет охотно и считает такие мероприятия по усовершенствованию танка совершенно правильными. </w:t>
      </w:r>
    </w:p>
    <w:p w14:paraId="33686AFF"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 серийных танков Т-34 производить с существующей башней, не меняя как-то половинчато и подвеску, сохранив взаимозаменяемость внутреннего оборудования, сосредоточив внимание на максимальный выпуск этих танков. Обязав завод № 183 и НКСМ доработать только вопросы во исполнение Постановления № 428 по: </w:t>
      </w:r>
    </w:p>
    <w:p w14:paraId="47DD9180"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главному фрикциону </w:t>
      </w:r>
    </w:p>
    <w:p w14:paraId="1A23C5AD"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вентилятору </w:t>
      </w:r>
    </w:p>
    <w:p w14:paraId="69634015"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гусенице </w:t>
      </w:r>
    </w:p>
    <w:p w14:paraId="1F9E5559"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обзорности </w:t>
      </w:r>
    </w:p>
    <w:p w14:paraId="183D0A81"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укладке снарядов. </w:t>
      </w:r>
    </w:p>
    <w:p w14:paraId="78C8C22A"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&lt;…&gt;</w:t>
      </w:r>
    </w:p>
    <w:p w14:paraId="48CDB427"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Докладывая о вышеизложенном, прошу возбудить ходатайство».</w:t>
      </w:r>
    </w:p>
    <w:p w14:paraId="16850F6B" w14:textId="77777777" w:rsidR="007F6063" w:rsidRPr="00A3026E" w:rsidRDefault="007F606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41. Л. 15 – 18] (18306)</w:t>
      </w:r>
    </w:p>
    <w:p w14:paraId="09AD27C8" w14:textId="77777777" w:rsidR="007F6063" w:rsidRPr="00A3026E" w:rsidRDefault="007F6063" w:rsidP="00A3026E">
      <w:pPr>
        <w:spacing w:after="0" w:line="240" w:lineRule="auto"/>
        <w:jc w:val="both"/>
        <w:rPr>
          <w:rFonts w:ascii="Times New Roman" w:hAnsi="Times New Roman"/>
          <w:color w:val="000000" w:themeColor="text1"/>
          <w:sz w:val="16"/>
          <w:szCs w:val="16"/>
        </w:rPr>
      </w:pPr>
    </w:p>
    <w:p w14:paraId="4C4C24C2" w14:textId="77777777" w:rsidR="0002616E" w:rsidRPr="00A3026E" w:rsidRDefault="0002616E"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В начале декабря 1940 вторую Ф-28 поставили в Т-28. Вместе с тем, происходившие далее события явно говорят о том, что Грабин стал терять интерес к 85-мм орудиям. Отчасти потому, что упомянутая 85-мм дивизионная пушка Ф-28 УДЛ (Ф-7) явно не имела перспектив, а для Ф-30 всё равно требовалась увеличенная башня. Поэтому в декабре 1940 года появилась новая разработка - 107-мм танковая пушка Ф-42. Одновременно шли работы и по 107-мм дивизионной пушке Ф-6 (наложение ствола с баллистикой по типу М-60 на лафет Ф-28) (21243).</w:t>
      </w:r>
    </w:p>
    <w:p w14:paraId="202AF348" w14:textId="77777777" w:rsidR="0002616E" w:rsidRPr="00A3026E" w:rsidRDefault="0002616E"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77BB4011" w14:textId="77777777" w:rsidR="005D374F" w:rsidRPr="00A3026E" w:rsidRDefault="005D374F"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 xml:space="preserve">К началу декабря 1940 года с задержкой (т.к. на Кировский завод уронили целую кучу заказов) сформировался окончательно облик Т-220. К тому моменту Сычев уже не был ведущим инженером машины: его сменил Б.П. Павлов, один из тех, кто изначально вел проект танка КВ. Само по себе подобное решение не было хорошим </w:t>
      </w:r>
      <w:r w:rsidRPr="00A3026E">
        <w:rPr>
          <w:rFonts w:ascii="Times New Roman" w:eastAsia="Times New Roman" w:hAnsi="Times New Roman"/>
          <w:color w:val="0070C0"/>
          <w:sz w:val="16"/>
          <w:szCs w:val="16"/>
          <w:lang w:eastAsia="ru-RU"/>
        </w:rPr>
        <w:lastRenderedPageBreak/>
        <w:t>знаком. Еще одним тормозящим моментом стала ситуация вокруг Ижорского Завода, который обеспечивал Кировский Завод корпусами. Сборка корпусов производилась в том же цеху, что и корпусное производство КВ. Поэтому завод был вынужден задержать сдачу, причем работы снова переиграли. Согласно отчету завода один Т-220 имел броню толщиной 100 мм по периметру, а другой - 90 мм по периметру (на самом деле оба Т-220 имели толщину брони 100 мм). Да и Т-150 тоже переиграли. Второй образец имел удлиненный корпус по типу Т-220, с толщиной брони 90 мм. Его позже переименовали в Т-221. Что же касается Т-220, то сборку первого образца начали 7 декабря 1940 года, а сдали его 7 января 1941 года (21243).</w:t>
      </w:r>
    </w:p>
    <w:p w14:paraId="6595CCAD" w14:textId="77777777" w:rsidR="005D374F" w:rsidRPr="00A3026E" w:rsidRDefault="005D374F"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52DBE811" w14:textId="77777777" w:rsidR="008F5E79" w:rsidRPr="00A3026E" w:rsidRDefault="008F5E79"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начале декабря 1941 года был подготовлен тематический план работ по артиллерийским самоходным установкам. Среди предлагавшихся к разработке машин фигурировал и 85-мм истребитель танков на базе Т-34, исполнителем для которого указывался завод №8. Поскольку завод №8 к тому моменту только разворачивался на новом месте, фактически разработку самоходной установки возложили на УЗТМ. В то время Уралмаш именовался Ижорским заводом, поскольку предприятие с этим названием также оказалось эвакуировано в Свердловск (15615).</w:t>
      </w:r>
    </w:p>
    <w:p w14:paraId="5962A7CB" w14:textId="77777777" w:rsidR="008F5E79" w:rsidRPr="00A3026E" w:rsidRDefault="008F5E79" w:rsidP="00A3026E">
      <w:pPr>
        <w:pStyle w:val="ae"/>
        <w:shd w:val="clear" w:color="auto" w:fill="FFFFFF"/>
        <w:spacing w:before="0" w:after="0"/>
        <w:jc w:val="both"/>
        <w:rPr>
          <w:color w:val="000000" w:themeColor="text1"/>
          <w:sz w:val="16"/>
          <w:szCs w:val="16"/>
        </w:rPr>
      </w:pPr>
    </w:p>
    <w:p w14:paraId="4EEE6ED9" w14:textId="6C49C8A7" w:rsidR="004A1E49" w:rsidRPr="00A3026E" w:rsidRDefault="004A1E49"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За рубежом:</w:t>
      </w:r>
    </w:p>
    <w:p w14:paraId="49C9531A" w14:textId="77777777" w:rsidR="004A1E49" w:rsidRPr="00A3026E" w:rsidRDefault="004A1E49" w:rsidP="00A3026E">
      <w:pPr>
        <w:spacing w:after="0" w:line="240" w:lineRule="auto"/>
        <w:jc w:val="both"/>
        <w:rPr>
          <w:rFonts w:ascii="Times New Roman" w:hAnsi="Times New Roman"/>
          <w:i/>
          <w:iCs/>
          <w:color w:val="000000" w:themeColor="text1"/>
          <w:sz w:val="16"/>
          <w:szCs w:val="16"/>
        </w:rPr>
      </w:pPr>
    </w:p>
    <w:p w14:paraId="65A3A773" w14:textId="77777777" w:rsidR="004A1E49" w:rsidRPr="00A3026E" w:rsidRDefault="004A1E4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Начало декабря 1940 Саутгемптон подвергается двум особенно жестоким ночным бомбардировкам (20795).</w:t>
      </w:r>
    </w:p>
    <w:p w14:paraId="525BDF7C" w14:textId="77777777" w:rsidR="004A1E49" w:rsidRPr="00A3026E" w:rsidRDefault="004A1E49" w:rsidP="00A3026E">
      <w:pPr>
        <w:spacing w:after="0" w:line="240" w:lineRule="auto"/>
        <w:jc w:val="both"/>
        <w:rPr>
          <w:rFonts w:ascii="Times New Roman" w:hAnsi="Times New Roman"/>
          <w:color w:val="0070C0"/>
          <w:sz w:val="16"/>
          <w:szCs w:val="16"/>
        </w:rPr>
      </w:pPr>
    </w:p>
    <w:p w14:paraId="38CC0BDC" w14:textId="2C1F59EB"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6EFCD1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389BC0D9" w14:textId="77777777" w:rsidR="008F5E79" w:rsidRPr="00A3026E" w:rsidRDefault="008F5E79"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7 декабря 1940 г. вышло ПОСТАНОВЛЕНИЕ СНК СССР И ЦК ВКП(б) "О ПРОГРАММЕ ВЫПУСКА САМОЛЕТОВ И АВИАМОТОРОВ В 1941 г." № 2466-1096сс</w:t>
      </w:r>
    </w:p>
    <w:p w14:paraId="4A4228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Москва, Кремль Сов. секретно </w:t>
      </w:r>
    </w:p>
    <w:p w14:paraId="67124D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(Особая папка) </w:t>
      </w:r>
    </w:p>
    <w:p w14:paraId="4432F9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Совет Народных Комиссаров Союза ССР и Центральный Комитет ВКП(б) ПОСТАНОВЛЯЮТ: </w:t>
      </w:r>
    </w:p>
    <w:p w14:paraId="72A69F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Установить Наркомавиапрому следующую программу выпуска самолетов в 1941 году: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15"/>
        <w:gridCol w:w="1800"/>
        <w:gridCol w:w="1163"/>
        <w:gridCol w:w="698"/>
        <w:gridCol w:w="814"/>
        <w:gridCol w:w="698"/>
        <w:gridCol w:w="1568"/>
      </w:tblGrid>
      <w:tr w:rsidR="00983732" w:rsidRPr="00A3026E" w14:paraId="1E636469" w14:textId="77777777" w:rsidTr="00EA0DA7">
        <w:tc>
          <w:tcPr>
            <w:tcW w:w="2615" w:type="dxa"/>
            <w:tcBorders>
              <w:top w:val="single" w:sz="12" w:space="0" w:color="auto"/>
            </w:tcBorders>
          </w:tcPr>
          <w:p w14:paraId="7D3313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самолета</w:t>
            </w:r>
          </w:p>
        </w:tc>
        <w:tc>
          <w:tcPr>
            <w:tcW w:w="1800" w:type="dxa"/>
            <w:tcBorders>
              <w:top w:val="single" w:sz="12" w:space="0" w:color="auto"/>
            </w:tcBorders>
          </w:tcPr>
          <w:p w14:paraId="2B8861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1941 г.</w:t>
            </w:r>
          </w:p>
        </w:tc>
        <w:tc>
          <w:tcPr>
            <w:tcW w:w="1163" w:type="dxa"/>
            <w:gridSpan w:val="4"/>
            <w:tcBorders>
              <w:top w:val="single" w:sz="12" w:space="0" w:color="auto"/>
            </w:tcBorders>
          </w:tcPr>
          <w:p w14:paraId="2A049B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tc>
        <w:tc>
          <w:tcPr>
            <w:tcW w:w="1568" w:type="dxa"/>
            <w:tcBorders>
              <w:top w:val="single" w:sz="12" w:space="0" w:color="auto"/>
            </w:tcBorders>
          </w:tcPr>
          <w:p w14:paraId="0DBCC8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кв. 1942 г.</w:t>
            </w:r>
          </w:p>
        </w:tc>
      </w:tr>
      <w:tr w:rsidR="00983732" w:rsidRPr="00A3026E" w14:paraId="4321CEF7" w14:textId="77777777" w:rsidTr="00EA0DA7">
        <w:tc>
          <w:tcPr>
            <w:tcW w:w="2615" w:type="dxa"/>
          </w:tcPr>
          <w:p w14:paraId="660FC83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800" w:type="dxa"/>
          </w:tcPr>
          <w:p w14:paraId="067FD48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63" w:type="dxa"/>
          </w:tcPr>
          <w:p w14:paraId="7109C3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кв.</w:t>
            </w:r>
          </w:p>
        </w:tc>
        <w:tc>
          <w:tcPr>
            <w:tcW w:w="698" w:type="dxa"/>
          </w:tcPr>
          <w:p w14:paraId="1E8C62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кв.</w:t>
            </w:r>
          </w:p>
        </w:tc>
        <w:tc>
          <w:tcPr>
            <w:tcW w:w="814" w:type="dxa"/>
          </w:tcPr>
          <w:p w14:paraId="0A9B4E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кв.</w:t>
            </w:r>
          </w:p>
        </w:tc>
        <w:tc>
          <w:tcPr>
            <w:tcW w:w="698" w:type="dxa"/>
          </w:tcPr>
          <w:p w14:paraId="030FA4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кв.</w:t>
            </w:r>
          </w:p>
        </w:tc>
        <w:tc>
          <w:tcPr>
            <w:tcW w:w="1568" w:type="dxa"/>
          </w:tcPr>
          <w:p w14:paraId="0A21861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F1940F5" w14:textId="77777777" w:rsidTr="00EA0DA7">
        <w:tc>
          <w:tcPr>
            <w:tcW w:w="2615" w:type="dxa"/>
          </w:tcPr>
          <w:p w14:paraId="030DA3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1800" w:type="dxa"/>
          </w:tcPr>
          <w:p w14:paraId="3D4459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1163" w:type="dxa"/>
          </w:tcPr>
          <w:p w14:paraId="022A84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698" w:type="dxa"/>
          </w:tcPr>
          <w:p w14:paraId="343697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814" w:type="dxa"/>
          </w:tcPr>
          <w:p w14:paraId="2D5085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698" w:type="dxa"/>
          </w:tcPr>
          <w:p w14:paraId="052C34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568" w:type="dxa"/>
          </w:tcPr>
          <w:p w14:paraId="0BEA85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r>
      <w:tr w:rsidR="00983732" w:rsidRPr="00A3026E" w14:paraId="5B416547" w14:textId="77777777" w:rsidTr="00EA0DA7">
        <w:tc>
          <w:tcPr>
            <w:tcW w:w="2615" w:type="dxa"/>
          </w:tcPr>
          <w:p w14:paraId="46DDD1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самолетов</w:t>
            </w:r>
          </w:p>
        </w:tc>
        <w:tc>
          <w:tcPr>
            <w:tcW w:w="1800" w:type="dxa"/>
          </w:tcPr>
          <w:p w14:paraId="46C15E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20 150</w:t>
            </w:r>
          </w:p>
        </w:tc>
        <w:tc>
          <w:tcPr>
            <w:tcW w:w="1163" w:type="dxa"/>
          </w:tcPr>
          <w:p w14:paraId="035B8B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2998</w:t>
            </w:r>
          </w:p>
        </w:tc>
        <w:tc>
          <w:tcPr>
            <w:tcW w:w="698" w:type="dxa"/>
          </w:tcPr>
          <w:p w14:paraId="69FA82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4467</w:t>
            </w:r>
          </w:p>
        </w:tc>
        <w:tc>
          <w:tcPr>
            <w:tcW w:w="814" w:type="dxa"/>
          </w:tcPr>
          <w:p w14:paraId="4A5BF8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5827</w:t>
            </w:r>
          </w:p>
        </w:tc>
        <w:tc>
          <w:tcPr>
            <w:tcW w:w="698" w:type="dxa"/>
          </w:tcPr>
          <w:p w14:paraId="4549CC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6858</w:t>
            </w:r>
          </w:p>
        </w:tc>
        <w:tc>
          <w:tcPr>
            <w:tcW w:w="1568" w:type="dxa"/>
          </w:tcPr>
          <w:p w14:paraId="3B482F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7940</w:t>
            </w:r>
          </w:p>
        </w:tc>
      </w:tr>
      <w:tr w:rsidR="00983732" w:rsidRPr="00A3026E" w14:paraId="3A275760" w14:textId="77777777" w:rsidTr="00EA0DA7">
        <w:tc>
          <w:tcPr>
            <w:tcW w:w="2615" w:type="dxa"/>
            <w:gridSpan w:val="7"/>
          </w:tcPr>
          <w:p w14:paraId="76D73C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tc>
      </w:tr>
      <w:tr w:rsidR="00983732" w:rsidRPr="00A3026E" w14:paraId="1AB4A8EF" w14:textId="77777777" w:rsidTr="00EA0DA7">
        <w:tc>
          <w:tcPr>
            <w:tcW w:w="2615" w:type="dxa"/>
            <w:gridSpan w:val="7"/>
          </w:tcPr>
          <w:p w14:paraId="124FCE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Истребители</w:t>
            </w:r>
          </w:p>
        </w:tc>
      </w:tr>
      <w:tr w:rsidR="00983732" w:rsidRPr="00A3026E" w14:paraId="3D8CDF08" w14:textId="77777777" w:rsidTr="00EA0DA7">
        <w:tc>
          <w:tcPr>
            <w:tcW w:w="2615" w:type="dxa"/>
          </w:tcPr>
          <w:p w14:paraId="1FC18F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Миг-3 АМ-35А</w:t>
            </w:r>
          </w:p>
        </w:tc>
        <w:tc>
          <w:tcPr>
            <w:tcW w:w="1800" w:type="dxa"/>
          </w:tcPr>
          <w:p w14:paraId="5FBA31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3600</w:t>
            </w:r>
          </w:p>
        </w:tc>
        <w:tc>
          <w:tcPr>
            <w:tcW w:w="1163" w:type="dxa"/>
          </w:tcPr>
          <w:p w14:paraId="050769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c>
          <w:tcPr>
            <w:tcW w:w="698" w:type="dxa"/>
          </w:tcPr>
          <w:p w14:paraId="08572A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835</w:t>
            </w:r>
          </w:p>
        </w:tc>
        <w:tc>
          <w:tcPr>
            <w:tcW w:w="814" w:type="dxa"/>
          </w:tcPr>
          <w:p w14:paraId="131336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1 080</w:t>
            </w:r>
          </w:p>
        </w:tc>
        <w:tc>
          <w:tcPr>
            <w:tcW w:w="698" w:type="dxa"/>
          </w:tcPr>
          <w:p w14:paraId="6315EFC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1 160</w:t>
            </w:r>
          </w:p>
        </w:tc>
        <w:tc>
          <w:tcPr>
            <w:tcW w:w="1568" w:type="dxa"/>
          </w:tcPr>
          <w:p w14:paraId="5B9D53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1 200</w:t>
            </w:r>
          </w:p>
        </w:tc>
      </w:tr>
      <w:tr w:rsidR="00983732" w:rsidRPr="00A3026E" w14:paraId="20F08CEC" w14:textId="77777777" w:rsidTr="00EA0DA7">
        <w:tc>
          <w:tcPr>
            <w:tcW w:w="2615" w:type="dxa"/>
          </w:tcPr>
          <w:p w14:paraId="60550F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ЛагТиг-3 М-105П</w:t>
            </w:r>
          </w:p>
        </w:tc>
        <w:tc>
          <w:tcPr>
            <w:tcW w:w="1800" w:type="dxa"/>
          </w:tcPr>
          <w:p w14:paraId="3A32E5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2960</w:t>
            </w:r>
          </w:p>
        </w:tc>
        <w:tc>
          <w:tcPr>
            <w:tcW w:w="1163" w:type="dxa"/>
          </w:tcPr>
          <w:p w14:paraId="4D8B9D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w:t>
            </w:r>
          </w:p>
        </w:tc>
        <w:tc>
          <w:tcPr>
            <w:tcW w:w="698" w:type="dxa"/>
          </w:tcPr>
          <w:p w14:paraId="002E40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814" w:type="dxa"/>
          </w:tcPr>
          <w:p w14:paraId="097547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865</w:t>
            </w:r>
          </w:p>
        </w:tc>
        <w:tc>
          <w:tcPr>
            <w:tcW w:w="698" w:type="dxa"/>
          </w:tcPr>
          <w:p w14:paraId="734BB5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1 290</w:t>
            </w:r>
          </w:p>
        </w:tc>
        <w:tc>
          <w:tcPr>
            <w:tcW w:w="1568" w:type="dxa"/>
          </w:tcPr>
          <w:p w14:paraId="3A81CF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1 570</w:t>
            </w:r>
          </w:p>
        </w:tc>
      </w:tr>
      <w:tr w:rsidR="00983732" w:rsidRPr="00A3026E" w14:paraId="2E63E783" w14:textId="77777777" w:rsidTr="00EA0DA7">
        <w:tc>
          <w:tcPr>
            <w:tcW w:w="2615" w:type="dxa"/>
          </w:tcPr>
          <w:p w14:paraId="475B0E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Як-3 М-105П</w:t>
            </w:r>
          </w:p>
        </w:tc>
        <w:tc>
          <w:tcPr>
            <w:tcW w:w="1800" w:type="dxa"/>
          </w:tcPr>
          <w:p w14:paraId="0B55A83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1 950</w:t>
            </w:r>
          </w:p>
        </w:tc>
        <w:tc>
          <w:tcPr>
            <w:tcW w:w="1163" w:type="dxa"/>
          </w:tcPr>
          <w:p w14:paraId="7023632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 (ЯК-1)</w:t>
            </w:r>
          </w:p>
        </w:tc>
        <w:tc>
          <w:tcPr>
            <w:tcW w:w="698" w:type="dxa"/>
          </w:tcPr>
          <w:p w14:paraId="18A0B8B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w:t>
            </w:r>
          </w:p>
        </w:tc>
        <w:tc>
          <w:tcPr>
            <w:tcW w:w="814" w:type="dxa"/>
          </w:tcPr>
          <w:p w14:paraId="68DA6E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w:t>
            </w:r>
          </w:p>
        </w:tc>
        <w:tc>
          <w:tcPr>
            <w:tcW w:w="698" w:type="dxa"/>
          </w:tcPr>
          <w:p w14:paraId="1ECF70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640</w:t>
            </w:r>
          </w:p>
        </w:tc>
        <w:tc>
          <w:tcPr>
            <w:tcW w:w="1568" w:type="dxa"/>
          </w:tcPr>
          <w:p w14:paraId="172981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785</w:t>
            </w:r>
          </w:p>
        </w:tc>
      </w:tr>
      <w:tr w:rsidR="00983732" w:rsidRPr="00A3026E" w14:paraId="6158C2A6" w14:textId="77777777" w:rsidTr="00EA0DA7">
        <w:tc>
          <w:tcPr>
            <w:tcW w:w="2615" w:type="dxa"/>
          </w:tcPr>
          <w:p w14:paraId="49B565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истребителей</w:t>
            </w:r>
          </w:p>
        </w:tc>
        <w:tc>
          <w:tcPr>
            <w:tcW w:w="1800" w:type="dxa"/>
          </w:tcPr>
          <w:p w14:paraId="4F161C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8510</w:t>
            </w:r>
          </w:p>
        </w:tc>
        <w:tc>
          <w:tcPr>
            <w:tcW w:w="1163" w:type="dxa"/>
          </w:tcPr>
          <w:p w14:paraId="1E4CB3E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1 125</w:t>
            </w:r>
          </w:p>
        </w:tc>
        <w:tc>
          <w:tcPr>
            <w:tcW w:w="698" w:type="dxa"/>
          </w:tcPr>
          <w:p w14:paraId="7F9E4A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1 800</w:t>
            </w:r>
          </w:p>
        </w:tc>
        <w:tc>
          <w:tcPr>
            <w:tcW w:w="814" w:type="dxa"/>
          </w:tcPr>
          <w:p w14:paraId="769E24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2495</w:t>
            </w:r>
          </w:p>
        </w:tc>
        <w:tc>
          <w:tcPr>
            <w:tcW w:w="698" w:type="dxa"/>
          </w:tcPr>
          <w:p w14:paraId="2BE2FF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3090</w:t>
            </w:r>
          </w:p>
        </w:tc>
        <w:tc>
          <w:tcPr>
            <w:tcW w:w="1568" w:type="dxa"/>
          </w:tcPr>
          <w:p w14:paraId="3E6FC8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3555</w:t>
            </w:r>
          </w:p>
        </w:tc>
      </w:tr>
      <w:tr w:rsidR="00983732" w:rsidRPr="00A3026E" w14:paraId="4A83051B" w14:textId="77777777" w:rsidTr="00EA0DA7">
        <w:tc>
          <w:tcPr>
            <w:tcW w:w="2615" w:type="dxa"/>
            <w:gridSpan w:val="7"/>
          </w:tcPr>
          <w:p w14:paraId="253056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Бомбардировщики</w:t>
            </w:r>
          </w:p>
        </w:tc>
      </w:tr>
      <w:tr w:rsidR="00983732" w:rsidRPr="00A3026E" w14:paraId="10EFFFBE" w14:textId="77777777" w:rsidTr="00EA0DA7">
        <w:tc>
          <w:tcPr>
            <w:tcW w:w="2615" w:type="dxa"/>
          </w:tcPr>
          <w:p w14:paraId="1F67BC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Ер-2 2М-40</w:t>
            </w:r>
          </w:p>
        </w:tc>
        <w:tc>
          <w:tcPr>
            <w:tcW w:w="1800" w:type="dxa"/>
          </w:tcPr>
          <w:p w14:paraId="69AB86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163" w:type="dxa"/>
          </w:tcPr>
          <w:p w14:paraId="74501F1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98" w:type="dxa"/>
          </w:tcPr>
          <w:p w14:paraId="40C6ABD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814" w:type="dxa"/>
          </w:tcPr>
          <w:p w14:paraId="20BB77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698" w:type="dxa"/>
          </w:tcPr>
          <w:p w14:paraId="52EB0B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1568" w:type="dxa"/>
          </w:tcPr>
          <w:p w14:paraId="1E251D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516797D4" w14:textId="77777777" w:rsidTr="00EA0DA7">
        <w:tc>
          <w:tcPr>
            <w:tcW w:w="2615" w:type="dxa"/>
          </w:tcPr>
          <w:p w14:paraId="6232CE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 2М-105</w:t>
            </w:r>
          </w:p>
        </w:tc>
        <w:tc>
          <w:tcPr>
            <w:tcW w:w="1800" w:type="dxa"/>
          </w:tcPr>
          <w:p w14:paraId="522CB4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w:t>
            </w:r>
          </w:p>
        </w:tc>
        <w:tc>
          <w:tcPr>
            <w:tcW w:w="1163" w:type="dxa"/>
          </w:tcPr>
          <w:p w14:paraId="181E01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698" w:type="dxa"/>
          </w:tcPr>
          <w:p w14:paraId="523386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14" w:type="dxa"/>
          </w:tcPr>
          <w:p w14:paraId="1DC21D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c>
          <w:tcPr>
            <w:tcW w:w="698" w:type="dxa"/>
          </w:tcPr>
          <w:p w14:paraId="3AFCEB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w:t>
            </w:r>
          </w:p>
        </w:tc>
        <w:tc>
          <w:tcPr>
            <w:tcW w:w="1568" w:type="dxa"/>
          </w:tcPr>
          <w:p w14:paraId="13E849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955</w:t>
            </w:r>
          </w:p>
        </w:tc>
      </w:tr>
      <w:tr w:rsidR="00983732" w:rsidRPr="00A3026E" w14:paraId="0A5948C3" w14:textId="77777777" w:rsidTr="00EA0DA7">
        <w:tc>
          <w:tcPr>
            <w:tcW w:w="2615" w:type="dxa"/>
          </w:tcPr>
          <w:p w14:paraId="0E387E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Ар-2 2М-105</w:t>
            </w:r>
          </w:p>
        </w:tc>
        <w:tc>
          <w:tcPr>
            <w:tcW w:w="1800" w:type="dxa"/>
          </w:tcPr>
          <w:p w14:paraId="285410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163" w:type="dxa"/>
          </w:tcPr>
          <w:p w14:paraId="3C08BA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698" w:type="dxa"/>
          </w:tcPr>
          <w:p w14:paraId="35DE81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814" w:type="dxa"/>
          </w:tcPr>
          <w:p w14:paraId="340961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698" w:type="dxa"/>
          </w:tcPr>
          <w:p w14:paraId="66F347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568" w:type="dxa"/>
          </w:tcPr>
          <w:p w14:paraId="1DFCE7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FBCEBF5" w14:textId="77777777" w:rsidTr="00EA0DA7">
        <w:tc>
          <w:tcPr>
            <w:tcW w:w="2615" w:type="dxa"/>
          </w:tcPr>
          <w:p w14:paraId="1E490B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Як-4 2М-105</w:t>
            </w:r>
          </w:p>
        </w:tc>
        <w:tc>
          <w:tcPr>
            <w:tcW w:w="1800" w:type="dxa"/>
          </w:tcPr>
          <w:p w14:paraId="7338C9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c>
          <w:tcPr>
            <w:tcW w:w="1163" w:type="dxa"/>
          </w:tcPr>
          <w:p w14:paraId="648903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698" w:type="dxa"/>
          </w:tcPr>
          <w:p w14:paraId="774610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814" w:type="dxa"/>
          </w:tcPr>
          <w:p w14:paraId="55E509F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c>
          <w:tcPr>
            <w:tcW w:w="698" w:type="dxa"/>
          </w:tcPr>
          <w:p w14:paraId="4EBB417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c>
          <w:tcPr>
            <w:tcW w:w="1568" w:type="dxa"/>
          </w:tcPr>
          <w:p w14:paraId="00CC11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r>
      <w:tr w:rsidR="00983732" w:rsidRPr="00A3026E" w14:paraId="62E8DCBE" w14:textId="77777777" w:rsidTr="00EA0DA7">
        <w:tc>
          <w:tcPr>
            <w:tcW w:w="2615" w:type="dxa"/>
          </w:tcPr>
          <w:p w14:paraId="7DB4D7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ТБ-7 4М-40</w:t>
            </w:r>
          </w:p>
        </w:tc>
        <w:tc>
          <w:tcPr>
            <w:tcW w:w="1800" w:type="dxa"/>
          </w:tcPr>
          <w:p w14:paraId="1DB618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1163" w:type="dxa"/>
          </w:tcPr>
          <w:p w14:paraId="6DE74F7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698" w:type="dxa"/>
          </w:tcPr>
          <w:p w14:paraId="5DE106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814" w:type="dxa"/>
          </w:tcPr>
          <w:p w14:paraId="1CC4A2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698" w:type="dxa"/>
          </w:tcPr>
          <w:p w14:paraId="3E9A84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1568" w:type="dxa"/>
          </w:tcPr>
          <w:p w14:paraId="48E3B6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r>
      <w:tr w:rsidR="00983732" w:rsidRPr="00A3026E" w14:paraId="622574D9" w14:textId="77777777" w:rsidTr="00EA0DA7">
        <w:tc>
          <w:tcPr>
            <w:tcW w:w="2615" w:type="dxa"/>
          </w:tcPr>
          <w:p w14:paraId="1A6952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Су-2 М-88,89</w:t>
            </w:r>
          </w:p>
        </w:tc>
        <w:tc>
          <w:tcPr>
            <w:tcW w:w="1800" w:type="dxa"/>
          </w:tcPr>
          <w:p w14:paraId="557D54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w:t>
            </w:r>
          </w:p>
        </w:tc>
        <w:tc>
          <w:tcPr>
            <w:tcW w:w="1163" w:type="dxa"/>
          </w:tcPr>
          <w:p w14:paraId="442CF5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w:t>
            </w:r>
          </w:p>
        </w:tc>
        <w:tc>
          <w:tcPr>
            <w:tcW w:w="698" w:type="dxa"/>
          </w:tcPr>
          <w:p w14:paraId="0BCF51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c>
          <w:tcPr>
            <w:tcW w:w="814" w:type="dxa"/>
          </w:tcPr>
          <w:p w14:paraId="2B82EA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tc>
        <w:tc>
          <w:tcPr>
            <w:tcW w:w="698" w:type="dxa"/>
          </w:tcPr>
          <w:p w14:paraId="586E5B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w:t>
            </w:r>
          </w:p>
        </w:tc>
        <w:tc>
          <w:tcPr>
            <w:tcW w:w="1568" w:type="dxa"/>
          </w:tcPr>
          <w:p w14:paraId="1CBEE3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485</w:t>
            </w:r>
          </w:p>
        </w:tc>
      </w:tr>
      <w:tr w:rsidR="00983732" w:rsidRPr="00A3026E" w14:paraId="492DE981" w14:textId="77777777" w:rsidTr="00EA0DA7">
        <w:tc>
          <w:tcPr>
            <w:tcW w:w="2615" w:type="dxa"/>
          </w:tcPr>
          <w:p w14:paraId="520091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 2М-88</w:t>
            </w:r>
          </w:p>
        </w:tc>
        <w:tc>
          <w:tcPr>
            <w:tcW w:w="1800" w:type="dxa"/>
          </w:tcPr>
          <w:p w14:paraId="7AE0B8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c>
          <w:tcPr>
            <w:tcW w:w="1163" w:type="dxa"/>
          </w:tcPr>
          <w:p w14:paraId="1A0ADC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698" w:type="dxa"/>
          </w:tcPr>
          <w:p w14:paraId="2DA8D1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265</w:t>
            </w:r>
          </w:p>
        </w:tc>
        <w:tc>
          <w:tcPr>
            <w:tcW w:w="814" w:type="dxa"/>
          </w:tcPr>
          <w:p w14:paraId="407D52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698" w:type="dxa"/>
          </w:tcPr>
          <w:p w14:paraId="22DDED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c>
          <w:tcPr>
            <w:tcW w:w="1568" w:type="dxa"/>
          </w:tcPr>
          <w:p w14:paraId="36E9FA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1A2A6597" w14:textId="77777777" w:rsidTr="00EA0DA7">
        <w:trPr>
          <w:trHeight w:val="705"/>
        </w:trPr>
        <w:tc>
          <w:tcPr>
            <w:tcW w:w="2615" w:type="dxa"/>
          </w:tcPr>
          <w:p w14:paraId="0163DD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бомбардировщиков</w:t>
            </w:r>
          </w:p>
        </w:tc>
        <w:tc>
          <w:tcPr>
            <w:tcW w:w="1800" w:type="dxa"/>
          </w:tcPr>
          <w:p w14:paraId="6F24C1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6070</w:t>
            </w:r>
          </w:p>
        </w:tc>
        <w:tc>
          <w:tcPr>
            <w:tcW w:w="1163" w:type="dxa"/>
          </w:tcPr>
          <w:p w14:paraId="702F5D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1033</w:t>
            </w:r>
          </w:p>
        </w:tc>
        <w:tc>
          <w:tcPr>
            <w:tcW w:w="698" w:type="dxa"/>
          </w:tcPr>
          <w:p w14:paraId="642433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1442</w:t>
            </w:r>
          </w:p>
        </w:tc>
        <w:tc>
          <w:tcPr>
            <w:tcW w:w="814" w:type="dxa"/>
          </w:tcPr>
          <w:p w14:paraId="5BC565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1675</w:t>
            </w:r>
          </w:p>
        </w:tc>
        <w:tc>
          <w:tcPr>
            <w:tcW w:w="698" w:type="dxa"/>
          </w:tcPr>
          <w:p w14:paraId="3EE460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1920</w:t>
            </w:r>
          </w:p>
        </w:tc>
        <w:tc>
          <w:tcPr>
            <w:tcW w:w="1568" w:type="dxa"/>
          </w:tcPr>
          <w:p w14:paraId="5A6971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2280</w:t>
            </w:r>
          </w:p>
        </w:tc>
      </w:tr>
      <w:tr w:rsidR="00983732" w:rsidRPr="00A3026E" w14:paraId="6A8045AF" w14:textId="77777777" w:rsidTr="00EA0DA7">
        <w:tc>
          <w:tcPr>
            <w:tcW w:w="2615" w:type="dxa"/>
            <w:gridSpan w:val="7"/>
          </w:tcPr>
          <w:p w14:paraId="678814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Штурмовики</w:t>
            </w:r>
          </w:p>
        </w:tc>
      </w:tr>
      <w:tr w:rsidR="00983732" w:rsidRPr="00A3026E" w14:paraId="29D22643" w14:textId="77777777" w:rsidTr="00EA0DA7">
        <w:tc>
          <w:tcPr>
            <w:tcW w:w="2615" w:type="dxa"/>
          </w:tcPr>
          <w:p w14:paraId="55FE37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 АМ-35А</w:t>
            </w:r>
          </w:p>
        </w:tc>
        <w:tc>
          <w:tcPr>
            <w:tcW w:w="1800" w:type="dxa"/>
          </w:tcPr>
          <w:p w14:paraId="14AD66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1750</w:t>
            </w:r>
          </w:p>
        </w:tc>
        <w:tc>
          <w:tcPr>
            <w:tcW w:w="1163" w:type="dxa"/>
          </w:tcPr>
          <w:p w14:paraId="5B4E1D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698" w:type="dxa"/>
          </w:tcPr>
          <w:p w14:paraId="5EDD95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w:t>
            </w:r>
          </w:p>
        </w:tc>
        <w:tc>
          <w:tcPr>
            <w:tcW w:w="814" w:type="dxa"/>
          </w:tcPr>
          <w:p w14:paraId="75CFBC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698" w:type="dxa"/>
          </w:tcPr>
          <w:p w14:paraId="3D7CF1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690</w:t>
            </w:r>
          </w:p>
        </w:tc>
        <w:tc>
          <w:tcPr>
            <w:tcW w:w="1568" w:type="dxa"/>
          </w:tcPr>
          <w:p w14:paraId="7D365E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805</w:t>
            </w:r>
          </w:p>
        </w:tc>
      </w:tr>
      <w:tr w:rsidR="00983732" w:rsidRPr="00A3026E" w14:paraId="2E6CDED5" w14:textId="77777777" w:rsidTr="00EA0DA7">
        <w:tc>
          <w:tcPr>
            <w:tcW w:w="2615" w:type="dxa"/>
            <w:gridSpan w:val="7"/>
          </w:tcPr>
          <w:p w14:paraId="7E12B3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Морские</w:t>
            </w:r>
          </w:p>
        </w:tc>
      </w:tr>
      <w:tr w:rsidR="00983732" w:rsidRPr="00A3026E" w14:paraId="23F194B1" w14:textId="77777777" w:rsidTr="00EA0DA7">
        <w:tc>
          <w:tcPr>
            <w:tcW w:w="2615" w:type="dxa"/>
          </w:tcPr>
          <w:p w14:paraId="21AD5F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МДР-6 2М-62</w:t>
            </w:r>
          </w:p>
        </w:tc>
        <w:tc>
          <w:tcPr>
            <w:tcW w:w="1800" w:type="dxa"/>
          </w:tcPr>
          <w:p w14:paraId="134228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163" w:type="dxa"/>
          </w:tcPr>
          <w:p w14:paraId="6C1F34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698" w:type="dxa"/>
          </w:tcPr>
          <w:p w14:paraId="042C74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814" w:type="dxa"/>
          </w:tcPr>
          <w:p w14:paraId="388C7F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698" w:type="dxa"/>
          </w:tcPr>
          <w:p w14:paraId="00FD9E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1568" w:type="dxa"/>
          </w:tcPr>
          <w:p w14:paraId="1CA5E9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r>
      <w:tr w:rsidR="00983732" w:rsidRPr="00A3026E" w14:paraId="2D716F7F" w14:textId="77777777" w:rsidTr="00EA0DA7">
        <w:tc>
          <w:tcPr>
            <w:tcW w:w="2615" w:type="dxa"/>
          </w:tcPr>
          <w:p w14:paraId="05E20C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боевых самолетов</w:t>
            </w:r>
          </w:p>
        </w:tc>
        <w:tc>
          <w:tcPr>
            <w:tcW w:w="1800" w:type="dxa"/>
          </w:tcPr>
          <w:p w14:paraId="4C14C2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16530</w:t>
            </w:r>
          </w:p>
        </w:tc>
        <w:tc>
          <w:tcPr>
            <w:tcW w:w="1163" w:type="dxa"/>
          </w:tcPr>
          <w:p w14:paraId="538612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2233</w:t>
            </w:r>
          </w:p>
        </w:tc>
        <w:tc>
          <w:tcPr>
            <w:tcW w:w="698" w:type="dxa"/>
          </w:tcPr>
          <w:p w14:paraId="5970C9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3702</w:t>
            </w:r>
          </w:p>
        </w:tc>
        <w:tc>
          <w:tcPr>
            <w:tcW w:w="814" w:type="dxa"/>
          </w:tcPr>
          <w:p w14:paraId="56EA83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4830</w:t>
            </w:r>
          </w:p>
        </w:tc>
        <w:tc>
          <w:tcPr>
            <w:tcW w:w="698" w:type="dxa"/>
          </w:tcPr>
          <w:p w14:paraId="7DD4E8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5765</w:t>
            </w:r>
          </w:p>
        </w:tc>
        <w:tc>
          <w:tcPr>
            <w:tcW w:w="1568" w:type="dxa"/>
          </w:tcPr>
          <w:p w14:paraId="6BF4E7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6720</w:t>
            </w:r>
          </w:p>
        </w:tc>
      </w:tr>
      <w:tr w:rsidR="00983732" w:rsidRPr="00A3026E" w14:paraId="6D47827A" w14:textId="77777777" w:rsidTr="00EA0DA7">
        <w:tc>
          <w:tcPr>
            <w:tcW w:w="2615" w:type="dxa"/>
            <w:gridSpan w:val="7"/>
          </w:tcPr>
          <w:p w14:paraId="73CF28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Транспортные</w:t>
            </w:r>
          </w:p>
        </w:tc>
      </w:tr>
      <w:tr w:rsidR="00983732" w:rsidRPr="00A3026E" w14:paraId="6182DCFC" w14:textId="77777777" w:rsidTr="00EA0DA7">
        <w:tc>
          <w:tcPr>
            <w:tcW w:w="2615" w:type="dxa"/>
          </w:tcPr>
          <w:p w14:paraId="6B6565B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ПС-84 КМ-62ИР</w:t>
            </w:r>
          </w:p>
        </w:tc>
        <w:tc>
          <w:tcPr>
            <w:tcW w:w="1800" w:type="dxa"/>
          </w:tcPr>
          <w:p w14:paraId="2BFD52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163" w:type="dxa"/>
          </w:tcPr>
          <w:p w14:paraId="3043000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698" w:type="dxa"/>
          </w:tcPr>
          <w:p w14:paraId="156474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814" w:type="dxa"/>
          </w:tcPr>
          <w:p w14:paraId="49C774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698" w:type="dxa"/>
          </w:tcPr>
          <w:p w14:paraId="03CCFE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1568" w:type="dxa"/>
          </w:tcPr>
          <w:p w14:paraId="6A4E86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542A7C45" w14:textId="77777777" w:rsidTr="00EA0DA7">
        <w:tc>
          <w:tcPr>
            <w:tcW w:w="2615" w:type="dxa"/>
            <w:gridSpan w:val="7"/>
          </w:tcPr>
          <w:p w14:paraId="7464A5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Учебные самолеты</w:t>
            </w:r>
          </w:p>
        </w:tc>
      </w:tr>
      <w:tr w:rsidR="00983732" w:rsidRPr="00A3026E" w14:paraId="2BCB120A" w14:textId="77777777" w:rsidTr="00EA0DA7">
        <w:tc>
          <w:tcPr>
            <w:tcW w:w="2615" w:type="dxa"/>
          </w:tcPr>
          <w:p w14:paraId="7CEE35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УТИ-26 М-105П</w:t>
            </w:r>
          </w:p>
        </w:tc>
        <w:tc>
          <w:tcPr>
            <w:tcW w:w="1800" w:type="dxa"/>
          </w:tcPr>
          <w:p w14:paraId="598F6E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1163" w:type="dxa"/>
          </w:tcPr>
          <w:p w14:paraId="6E89F1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98" w:type="dxa"/>
          </w:tcPr>
          <w:p w14:paraId="3D0958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14" w:type="dxa"/>
          </w:tcPr>
          <w:p w14:paraId="2A9170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tc>
        <w:tc>
          <w:tcPr>
            <w:tcW w:w="698" w:type="dxa"/>
          </w:tcPr>
          <w:p w14:paraId="289A00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w:t>
            </w:r>
          </w:p>
        </w:tc>
        <w:tc>
          <w:tcPr>
            <w:tcW w:w="1568" w:type="dxa"/>
          </w:tcPr>
          <w:p w14:paraId="3721EE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r>
      <w:tr w:rsidR="00983732" w:rsidRPr="00A3026E" w14:paraId="491FC867" w14:textId="77777777" w:rsidTr="00EA0DA7">
        <w:tc>
          <w:tcPr>
            <w:tcW w:w="2615" w:type="dxa"/>
          </w:tcPr>
          <w:p w14:paraId="287FD4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УТИ-4 М-25В</w:t>
            </w:r>
          </w:p>
        </w:tc>
        <w:tc>
          <w:tcPr>
            <w:tcW w:w="1800" w:type="dxa"/>
          </w:tcPr>
          <w:p w14:paraId="4B1303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910</w:t>
            </w:r>
          </w:p>
        </w:tc>
        <w:tc>
          <w:tcPr>
            <w:tcW w:w="1163" w:type="dxa"/>
          </w:tcPr>
          <w:p w14:paraId="338C69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c>
          <w:tcPr>
            <w:tcW w:w="698" w:type="dxa"/>
          </w:tcPr>
          <w:p w14:paraId="2CB0CD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814" w:type="dxa"/>
          </w:tcPr>
          <w:p w14:paraId="15BDCF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698" w:type="dxa"/>
          </w:tcPr>
          <w:p w14:paraId="2DC12E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568" w:type="dxa"/>
          </w:tcPr>
          <w:p w14:paraId="671C70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0AAF8B49" w14:textId="77777777" w:rsidTr="00EA0DA7">
        <w:tc>
          <w:tcPr>
            <w:tcW w:w="2615" w:type="dxa"/>
          </w:tcPr>
          <w:p w14:paraId="6357FB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УТ-2 М-11</w:t>
            </w:r>
          </w:p>
        </w:tc>
        <w:tc>
          <w:tcPr>
            <w:tcW w:w="1800" w:type="dxa"/>
          </w:tcPr>
          <w:p w14:paraId="414AB1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1163" w:type="dxa"/>
          </w:tcPr>
          <w:p w14:paraId="698B4D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c>
          <w:tcPr>
            <w:tcW w:w="698" w:type="dxa"/>
          </w:tcPr>
          <w:p w14:paraId="201FDC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w:t>
            </w:r>
          </w:p>
        </w:tc>
        <w:tc>
          <w:tcPr>
            <w:tcW w:w="814" w:type="dxa"/>
          </w:tcPr>
          <w:p w14:paraId="0160E0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698" w:type="dxa"/>
          </w:tcPr>
          <w:p w14:paraId="7C8946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568" w:type="dxa"/>
          </w:tcPr>
          <w:p w14:paraId="396C4C1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310</w:t>
            </w:r>
          </w:p>
        </w:tc>
      </w:tr>
      <w:tr w:rsidR="00983732" w:rsidRPr="00A3026E" w14:paraId="57FEE690" w14:textId="77777777" w:rsidTr="00EA0DA7">
        <w:tc>
          <w:tcPr>
            <w:tcW w:w="2615" w:type="dxa"/>
          </w:tcPr>
          <w:p w14:paraId="0B7F38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У-2 М-11</w:t>
            </w:r>
          </w:p>
        </w:tc>
        <w:tc>
          <w:tcPr>
            <w:tcW w:w="1800" w:type="dxa"/>
          </w:tcPr>
          <w:p w14:paraId="2A9BDD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c>
          <w:tcPr>
            <w:tcW w:w="1163" w:type="dxa"/>
          </w:tcPr>
          <w:p w14:paraId="389559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698" w:type="dxa"/>
          </w:tcPr>
          <w:p w14:paraId="5489CB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814" w:type="dxa"/>
          </w:tcPr>
          <w:p w14:paraId="45628F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698" w:type="dxa"/>
          </w:tcPr>
          <w:p w14:paraId="712095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568" w:type="dxa"/>
          </w:tcPr>
          <w:p w14:paraId="0A180E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r>
      <w:tr w:rsidR="00983732" w:rsidRPr="00A3026E" w14:paraId="02E3B14D" w14:textId="77777777" w:rsidTr="00EA0DA7">
        <w:tc>
          <w:tcPr>
            <w:tcW w:w="2615" w:type="dxa"/>
          </w:tcPr>
          <w:p w14:paraId="68DFF7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С-2 М-11</w:t>
            </w:r>
          </w:p>
        </w:tc>
        <w:tc>
          <w:tcPr>
            <w:tcW w:w="1800" w:type="dxa"/>
          </w:tcPr>
          <w:p w14:paraId="7329DD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163" w:type="dxa"/>
          </w:tcPr>
          <w:p w14:paraId="282C172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698" w:type="dxa"/>
          </w:tcPr>
          <w:p w14:paraId="3E8183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814" w:type="dxa"/>
          </w:tcPr>
          <w:p w14:paraId="09B18A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98" w:type="dxa"/>
          </w:tcPr>
          <w:p w14:paraId="7B0917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568" w:type="dxa"/>
          </w:tcPr>
          <w:p w14:paraId="26E38E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31173F1" w14:textId="77777777" w:rsidTr="00EA0DA7">
        <w:tc>
          <w:tcPr>
            <w:tcW w:w="2615" w:type="dxa"/>
            <w:tcBorders>
              <w:bottom w:val="single" w:sz="12" w:space="0" w:color="auto"/>
            </w:tcBorders>
          </w:tcPr>
          <w:p w14:paraId="74157F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учебных</w:t>
            </w:r>
          </w:p>
        </w:tc>
        <w:tc>
          <w:tcPr>
            <w:tcW w:w="1800" w:type="dxa"/>
            <w:tcBorders>
              <w:bottom w:val="single" w:sz="12" w:space="0" w:color="auto"/>
            </w:tcBorders>
          </w:tcPr>
          <w:p w14:paraId="77C0E2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3 320</w:t>
            </w:r>
          </w:p>
        </w:tc>
        <w:tc>
          <w:tcPr>
            <w:tcW w:w="1163" w:type="dxa"/>
            <w:tcBorders>
              <w:bottom w:val="single" w:sz="12" w:space="0" w:color="auto"/>
            </w:tcBorders>
          </w:tcPr>
          <w:p w14:paraId="3DC69D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725</w:t>
            </w:r>
          </w:p>
        </w:tc>
        <w:tc>
          <w:tcPr>
            <w:tcW w:w="698" w:type="dxa"/>
            <w:tcBorders>
              <w:bottom w:val="single" w:sz="12" w:space="0" w:color="auto"/>
            </w:tcBorders>
          </w:tcPr>
          <w:p w14:paraId="079392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705</w:t>
            </w:r>
          </w:p>
        </w:tc>
        <w:tc>
          <w:tcPr>
            <w:tcW w:w="814" w:type="dxa"/>
            <w:tcBorders>
              <w:bottom w:val="single" w:sz="12" w:space="0" w:color="auto"/>
            </w:tcBorders>
          </w:tcPr>
          <w:p w14:paraId="43551D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907</w:t>
            </w:r>
          </w:p>
        </w:tc>
        <w:tc>
          <w:tcPr>
            <w:tcW w:w="698" w:type="dxa"/>
            <w:tcBorders>
              <w:bottom w:val="single" w:sz="12" w:space="0" w:color="auto"/>
            </w:tcBorders>
          </w:tcPr>
          <w:p w14:paraId="33693C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983</w:t>
            </w:r>
          </w:p>
        </w:tc>
        <w:tc>
          <w:tcPr>
            <w:tcW w:w="1568" w:type="dxa"/>
            <w:tcBorders>
              <w:bottom w:val="single" w:sz="12" w:space="0" w:color="auto"/>
            </w:tcBorders>
          </w:tcPr>
          <w:p w14:paraId="6744BC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r>
    </w:tbl>
    <w:p w14:paraId="5F99D1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p w14:paraId="2AFB53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Обязать Наркомавиапром выпускать истребители с дальностью не менее 1000 км на 0,9 максимальной скорости: Миг-3 и Лагг-3 с 1 января 1941 года, а Як-3 с 1 апреля 1941 года.</w:t>
      </w:r>
    </w:p>
    <w:p w14:paraId="06C0AF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Установить Наркомавиапрому следующую программу выпуска моторов в 1941году: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06"/>
        <w:gridCol w:w="1850"/>
        <w:gridCol w:w="672"/>
        <w:gridCol w:w="672"/>
        <w:gridCol w:w="784"/>
        <w:gridCol w:w="672"/>
        <w:gridCol w:w="1402"/>
      </w:tblGrid>
      <w:tr w:rsidR="00983732" w:rsidRPr="00A3026E" w14:paraId="71AC334E" w14:textId="77777777" w:rsidTr="00EA0DA7">
        <w:tc>
          <w:tcPr>
            <w:tcW w:w="3306" w:type="dxa"/>
            <w:tcBorders>
              <w:top w:val="single" w:sz="12" w:space="0" w:color="auto"/>
            </w:tcBorders>
          </w:tcPr>
          <w:p w14:paraId="292AB6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мотора</w:t>
            </w:r>
          </w:p>
        </w:tc>
        <w:tc>
          <w:tcPr>
            <w:tcW w:w="1850" w:type="dxa"/>
            <w:tcBorders>
              <w:top w:val="single" w:sz="12" w:space="0" w:color="auto"/>
            </w:tcBorders>
          </w:tcPr>
          <w:p w14:paraId="66A623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на 1941 г.</w:t>
            </w:r>
          </w:p>
        </w:tc>
        <w:tc>
          <w:tcPr>
            <w:tcW w:w="672" w:type="dxa"/>
            <w:gridSpan w:val="4"/>
            <w:tcBorders>
              <w:top w:val="single" w:sz="12" w:space="0" w:color="auto"/>
            </w:tcBorders>
          </w:tcPr>
          <w:p w14:paraId="0EBE41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 по кварталам</w:t>
            </w:r>
          </w:p>
        </w:tc>
        <w:tc>
          <w:tcPr>
            <w:tcW w:w="1402" w:type="dxa"/>
            <w:tcBorders>
              <w:top w:val="single" w:sz="12" w:space="0" w:color="auto"/>
            </w:tcBorders>
          </w:tcPr>
          <w:p w14:paraId="33D446C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1кв. 1942 г.</w:t>
            </w:r>
          </w:p>
        </w:tc>
      </w:tr>
      <w:tr w:rsidR="00983732" w:rsidRPr="00A3026E" w14:paraId="143BE380" w14:textId="77777777" w:rsidTr="00EA0DA7">
        <w:tc>
          <w:tcPr>
            <w:tcW w:w="3306" w:type="dxa"/>
          </w:tcPr>
          <w:p w14:paraId="7639309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850" w:type="dxa"/>
          </w:tcPr>
          <w:p w14:paraId="0B0926F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672" w:type="dxa"/>
          </w:tcPr>
          <w:p w14:paraId="792952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кв.</w:t>
            </w:r>
          </w:p>
        </w:tc>
        <w:tc>
          <w:tcPr>
            <w:tcW w:w="672" w:type="dxa"/>
          </w:tcPr>
          <w:p w14:paraId="4143B2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кв.</w:t>
            </w:r>
          </w:p>
        </w:tc>
        <w:tc>
          <w:tcPr>
            <w:tcW w:w="784" w:type="dxa"/>
          </w:tcPr>
          <w:p w14:paraId="5D13F9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кв.</w:t>
            </w:r>
          </w:p>
        </w:tc>
        <w:tc>
          <w:tcPr>
            <w:tcW w:w="672" w:type="dxa"/>
          </w:tcPr>
          <w:p w14:paraId="625728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кв.</w:t>
            </w:r>
          </w:p>
        </w:tc>
        <w:tc>
          <w:tcPr>
            <w:tcW w:w="1402" w:type="dxa"/>
          </w:tcPr>
          <w:p w14:paraId="44ABF75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018F88A" w14:textId="77777777" w:rsidTr="00EA0DA7">
        <w:tc>
          <w:tcPr>
            <w:tcW w:w="3306" w:type="dxa"/>
          </w:tcPr>
          <w:p w14:paraId="58936F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1850" w:type="dxa"/>
          </w:tcPr>
          <w:p w14:paraId="2B3319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672" w:type="dxa"/>
          </w:tcPr>
          <w:p w14:paraId="6259B9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672" w:type="dxa"/>
          </w:tcPr>
          <w:p w14:paraId="273E862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784" w:type="dxa"/>
          </w:tcPr>
          <w:p w14:paraId="24AC48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672" w:type="dxa"/>
          </w:tcPr>
          <w:p w14:paraId="007860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402" w:type="dxa"/>
          </w:tcPr>
          <w:p w14:paraId="250807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r>
      <w:tr w:rsidR="00983732" w:rsidRPr="00A3026E" w14:paraId="7A605FE7" w14:textId="77777777" w:rsidTr="00EA0DA7">
        <w:tc>
          <w:tcPr>
            <w:tcW w:w="3306" w:type="dxa"/>
          </w:tcPr>
          <w:p w14:paraId="190397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моторов</w:t>
            </w:r>
          </w:p>
        </w:tc>
        <w:tc>
          <w:tcPr>
            <w:tcW w:w="1850" w:type="dxa"/>
          </w:tcPr>
          <w:p w14:paraId="39DF43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43 000</w:t>
            </w:r>
          </w:p>
        </w:tc>
        <w:tc>
          <w:tcPr>
            <w:tcW w:w="672" w:type="dxa"/>
          </w:tcPr>
          <w:p w14:paraId="452BB7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7505</w:t>
            </w:r>
          </w:p>
        </w:tc>
        <w:tc>
          <w:tcPr>
            <w:tcW w:w="672" w:type="dxa"/>
          </w:tcPr>
          <w:p w14:paraId="39277A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9675</w:t>
            </w:r>
          </w:p>
        </w:tc>
        <w:tc>
          <w:tcPr>
            <w:tcW w:w="784" w:type="dxa"/>
          </w:tcPr>
          <w:p w14:paraId="3A8049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11 975</w:t>
            </w:r>
          </w:p>
        </w:tc>
        <w:tc>
          <w:tcPr>
            <w:tcW w:w="672" w:type="dxa"/>
          </w:tcPr>
          <w:p w14:paraId="669C75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13 845</w:t>
            </w:r>
          </w:p>
        </w:tc>
        <w:tc>
          <w:tcPr>
            <w:tcW w:w="1402" w:type="dxa"/>
          </w:tcPr>
          <w:p w14:paraId="1B4327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15 900</w:t>
            </w:r>
          </w:p>
        </w:tc>
      </w:tr>
      <w:tr w:rsidR="00983732" w:rsidRPr="00A3026E" w14:paraId="2920F9B3" w14:textId="77777777" w:rsidTr="00EA0DA7">
        <w:tc>
          <w:tcPr>
            <w:tcW w:w="3306" w:type="dxa"/>
            <w:gridSpan w:val="7"/>
          </w:tcPr>
          <w:p w14:paraId="5E4C1D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tc>
      </w:tr>
      <w:tr w:rsidR="00983732" w:rsidRPr="00A3026E" w14:paraId="453FBA2D" w14:textId="77777777" w:rsidTr="00EA0DA7">
        <w:tc>
          <w:tcPr>
            <w:tcW w:w="3306" w:type="dxa"/>
            <w:gridSpan w:val="7"/>
          </w:tcPr>
          <w:p w14:paraId="71181D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боевой авиации</w:t>
            </w:r>
          </w:p>
        </w:tc>
      </w:tr>
      <w:tr w:rsidR="00983732" w:rsidRPr="00A3026E" w14:paraId="629B05CC" w14:textId="77777777" w:rsidTr="00EA0DA7">
        <w:tc>
          <w:tcPr>
            <w:tcW w:w="3306" w:type="dxa"/>
          </w:tcPr>
          <w:p w14:paraId="38D61E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c>
          <w:tcPr>
            <w:tcW w:w="1850" w:type="dxa"/>
          </w:tcPr>
          <w:p w14:paraId="094B9A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12600</w:t>
            </w:r>
          </w:p>
        </w:tc>
        <w:tc>
          <w:tcPr>
            <w:tcW w:w="672" w:type="dxa"/>
          </w:tcPr>
          <w:p w14:paraId="34621A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1935</w:t>
            </w:r>
          </w:p>
        </w:tc>
        <w:tc>
          <w:tcPr>
            <w:tcW w:w="672" w:type="dxa"/>
          </w:tcPr>
          <w:p w14:paraId="3296CDB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2650</w:t>
            </w:r>
          </w:p>
        </w:tc>
        <w:tc>
          <w:tcPr>
            <w:tcW w:w="784" w:type="dxa"/>
          </w:tcPr>
          <w:p w14:paraId="5E5DC6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3650</w:t>
            </w:r>
          </w:p>
        </w:tc>
        <w:tc>
          <w:tcPr>
            <w:tcW w:w="672" w:type="dxa"/>
          </w:tcPr>
          <w:p w14:paraId="4E85EC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4365</w:t>
            </w:r>
          </w:p>
        </w:tc>
        <w:tc>
          <w:tcPr>
            <w:tcW w:w="1402" w:type="dxa"/>
          </w:tcPr>
          <w:p w14:paraId="02D28D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5500</w:t>
            </w:r>
          </w:p>
        </w:tc>
      </w:tr>
      <w:tr w:rsidR="00983732" w:rsidRPr="00A3026E" w14:paraId="4E11254B" w14:textId="77777777" w:rsidTr="00EA0DA7">
        <w:tc>
          <w:tcPr>
            <w:tcW w:w="3306" w:type="dxa"/>
          </w:tcPr>
          <w:p w14:paraId="703A61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850" w:type="dxa"/>
          </w:tcPr>
          <w:p w14:paraId="0AB620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7400</w:t>
            </w:r>
          </w:p>
        </w:tc>
        <w:tc>
          <w:tcPr>
            <w:tcW w:w="672" w:type="dxa"/>
          </w:tcPr>
          <w:p w14:paraId="07FA4D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1350</w:t>
            </w:r>
          </w:p>
        </w:tc>
        <w:tc>
          <w:tcPr>
            <w:tcW w:w="672" w:type="dxa"/>
          </w:tcPr>
          <w:p w14:paraId="288B63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1750</w:t>
            </w:r>
          </w:p>
        </w:tc>
        <w:tc>
          <w:tcPr>
            <w:tcW w:w="784" w:type="dxa"/>
          </w:tcPr>
          <w:p w14:paraId="06694B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672" w:type="dxa"/>
          </w:tcPr>
          <w:p w14:paraId="108470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w:t>
            </w:r>
          </w:p>
        </w:tc>
        <w:tc>
          <w:tcPr>
            <w:tcW w:w="1402" w:type="dxa"/>
          </w:tcPr>
          <w:p w14:paraId="43EF4A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2600</w:t>
            </w:r>
          </w:p>
        </w:tc>
      </w:tr>
      <w:tr w:rsidR="00983732" w:rsidRPr="00A3026E" w14:paraId="40646B2F" w14:textId="77777777" w:rsidTr="00EA0DA7">
        <w:tc>
          <w:tcPr>
            <w:tcW w:w="3306" w:type="dxa"/>
          </w:tcPr>
          <w:p w14:paraId="02D082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w:t>
            </w:r>
          </w:p>
        </w:tc>
        <w:tc>
          <w:tcPr>
            <w:tcW w:w="1850" w:type="dxa"/>
          </w:tcPr>
          <w:p w14:paraId="142CCF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8050</w:t>
            </w:r>
          </w:p>
        </w:tc>
        <w:tc>
          <w:tcPr>
            <w:tcW w:w="672" w:type="dxa"/>
          </w:tcPr>
          <w:p w14:paraId="161708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1105</w:t>
            </w:r>
          </w:p>
        </w:tc>
        <w:tc>
          <w:tcPr>
            <w:tcW w:w="672" w:type="dxa"/>
          </w:tcPr>
          <w:p w14:paraId="0CA3FC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1725</w:t>
            </w:r>
          </w:p>
        </w:tc>
        <w:tc>
          <w:tcPr>
            <w:tcW w:w="784" w:type="dxa"/>
          </w:tcPr>
          <w:p w14:paraId="0A0879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2395</w:t>
            </w:r>
          </w:p>
        </w:tc>
        <w:tc>
          <w:tcPr>
            <w:tcW w:w="672" w:type="dxa"/>
          </w:tcPr>
          <w:p w14:paraId="022FBE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2825</w:t>
            </w:r>
          </w:p>
        </w:tc>
        <w:tc>
          <w:tcPr>
            <w:tcW w:w="1402" w:type="dxa"/>
          </w:tcPr>
          <w:p w14:paraId="7CB4D5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3350</w:t>
            </w:r>
          </w:p>
        </w:tc>
      </w:tr>
      <w:tr w:rsidR="00983732" w:rsidRPr="00A3026E" w14:paraId="5A8FC833" w14:textId="77777777" w:rsidTr="00EA0DA7">
        <w:tc>
          <w:tcPr>
            <w:tcW w:w="3306" w:type="dxa"/>
          </w:tcPr>
          <w:p w14:paraId="6770D0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М-40</w:t>
            </w:r>
          </w:p>
        </w:tc>
        <w:tc>
          <w:tcPr>
            <w:tcW w:w="1850" w:type="dxa"/>
          </w:tcPr>
          <w:p w14:paraId="6DFBA3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2250</w:t>
            </w:r>
          </w:p>
        </w:tc>
        <w:tc>
          <w:tcPr>
            <w:tcW w:w="672" w:type="dxa"/>
          </w:tcPr>
          <w:p w14:paraId="69CD9F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672" w:type="dxa"/>
          </w:tcPr>
          <w:p w14:paraId="106281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475</w:t>
            </w:r>
          </w:p>
        </w:tc>
        <w:tc>
          <w:tcPr>
            <w:tcW w:w="784" w:type="dxa"/>
          </w:tcPr>
          <w:p w14:paraId="2E079C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w:t>
            </w:r>
          </w:p>
        </w:tc>
        <w:tc>
          <w:tcPr>
            <w:tcW w:w="672" w:type="dxa"/>
          </w:tcPr>
          <w:p w14:paraId="750F7E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tc>
        <w:tc>
          <w:tcPr>
            <w:tcW w:w="1402" w:type="dxa"/>
          </w:tcPr>
          <w:p w14:paraId="6E80B4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925</w:t>
            </w:r>
          </w:p>
        </w:tc>
      </w:tr>
      <w:tr w:rsidR="00983732" w:rsidRPr="00A3026E" w14:paraId="0F904F1C" w14:textId="77777777" w:rsidTr="00EA0DA7">
        <w:tc>
          <w:tcPr>
            <w:tcW w:w="3306" w:type="dxa"/>
          </w:tcPr>
          <w:p w14:paraId="59003B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М-30</w:t>
            </w:r>
          </w:p>
        </w:tc>
        <w:tc>
          <w:tcPr>
            <w:tcW w:w="1850" w:type="dxa"/>
          </w:tcPr>
          <w:p w14:paraId="78F191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672" w:type="dxa"/>
          </w:tcPr>
          <w:p w14:paraId="666BE4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672" w:type="dxa"/>
          </w:tcPr>
          <w:p w14:paraId="541924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784" w:type="dxa"/>
          </w:tcPr>
          <w:p w14:paraId="6391E2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672" w:type="dxa"/>
          </w:tcPr>
          <w:p w14:paraId="6EB019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1402" w:type="dxa"/>
          </w:tcPr>
          <w:p w14:paraId="74D7A2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r>
      <w:tr w:rsidR="00983732" w:rsidRPr="00A3026E" w14:paraId="0641DE54" w14:textId="77777777" w:rsidTr="00EA0DA7">
        <w:tc>
          <w:tcPr>
            <w:tcW w:w="3306" w:type="dxa"/>
          </w:tcPr>
          <w:p w14:paraId="2E378F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c>
          <w:tcPr>
            <w:tcW w:w="1850" w:type="dxa"/>
          </w:tcPr>
          <w:p w14:paraId="248EF9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672" w:type="dxa"/>
          </w:tcPr>
          <w:p w14:paraId="1C0652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672" w:type="dxa"/>
          </w:tcPr>
          <w:p w14:paraId="39914E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784" w:type="dxa"/>
          </w:tcPr>
          <w:p w14:paraId="167DC3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672" w:type="dxa"/>
          </w:tcPr>
          <w:p w14:paraId="71D2D1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1402" w:type="dxa"/>
          </w:tcPr>
          <w:p w14:paraId="3FCBBDE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782D1AEF" w14:textId="77777777" w:rsidTr="00EA0DA7">
        <w:tc>
          <w:tcPr>
            <w:tcW w:w="3306" w:type="dxa"/>
          </w:tcPr>
          <w:p w14:paraId="27FAFCF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 ИР</w:t>
            </w:r>
          </w:p>
        </w:tc>
        <w:tc>
          <w:tcPr>
            <w:tcW w:w="1850" w:type="dxa"/>
          </w:tcPr>
          <w:p w14:paraId="62C6FE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672" w:type="dxa"/>
          </w:tcPr>
          <w:p w14:paraId="072110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672" w:type="dxa"/>
          </w:tcPr>
          <w:p w14:paraId="1A7E8EA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784" w:type="dxa"/>
          </w:tcPr>
          <w:p w14:paraId="0432F9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672" w:type="dxa"/>
          </w:tcPr>
          <w:p w14:paraId="32A9E1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402" w:type="dxa"/>
          </w:tcPr>
          <w:p w14:paraId="3A4EB2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1D6E49A6" w14:textId="77777777" w:rsidTr="00EA0DA7">
        <w:tc>
          <w:tcPr>
            <w:tcW w:w="3306" w:type="dxa"/>
          </w:tcPr>
          <w:p w14:paraId="756F4E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c>
          <w:tcPr>
            <w:tcW w:w="1850" w:type="dxa"/>
          </w:tcPr>
          <w:p w14:paraId="4A1781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672" w:type="dxa"/>
          </w:tcPr>
          <w:p w14:paraId="02E0FA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w:t>
            </w:r>
          </w:p>
        </w:tc>
        <w:tc>
          <w:tcPr>
            <w:tcW w:w="672" w:type="dxa"/>
          </w:tcPr>
          <w:p w14:paraId="0BE990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784" w:type="dxa"/>
          </w:tcPr>
          <w:p w14:paraId="1A659C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w:t>
            </w:r>
          </w:p>
        </w:tc>
        <w:tc>
          <w:tcPr>
            <w:tcW w:w="672" w:type="dxa"/>
          </w:tcPr>
          <w:p w14:paraId="47297EB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tc>
        <w:tc>
          <w:tcPr>
            <w:tcW w:w="1402" w:type="dxa"/>
          </w:tcPr>
          <w:p w14:paraId="1DF00E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r>
      <w:tr w:rsidR="00983732" w:rsidRPr="00A3026E" w14:paraId="74D89C97" w14:textId="77777777" w:rsidTr="00EA0DA7">
        <w:tc>
          <w:tcPr>
            <w:tcW w:w="3306" w:type="dxa"/>
          </w:tcPr>
          <w:p w14:paraId="2B0C35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М-89</w:t>
            </w:r>
          </w:p>
        </w:tc>
        <w:tc>
          <w:tcPr>
            <w:tcW w:w="1850" w:type="dxa"/>
          </w:tcPr>
          <w:p w14:paraId="0E63D1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672" w:type="dxa"/>
          </w:tcPr>
          <w:p w14:paraId="265CD85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672" w:type="dxa"/>
          </w:tcPr>
          <w:p w14:paraId="52E504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784" w:type="dxa"/>
          </w:tcPr>
          <w:p w14:paraId="36ECB23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672" w:type="dxa"/>
          </w:tcPr>
          <w:p w14:paraId="317D16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402" w:type="dxa"/>
          </w:tcPr>
          <w:p w14:paraId="26D92E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r>
      <w:tr w:rsidR="00983732" w:rsidRPr="00A3026E" w14:paraId="50A56D17" w14:textId="77777777" w:rsidTr="00EA0DA7">
        <w:tc>
          <w:tcPr>
            <w:tcW w:w="3306" w:type="dxa"/>
          </w:tcPr>
          <w:p w14:paraId="34FC35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моторов боевой авиации</w:t>
            </w:r>
          </w:p>
        </w:tc>
        <w:tc>
          <w:tcPr>
            <w:tcW w:w="1850" w:type="dxa"/>
          </w:tcPr>
          <w:p w14:paraId="4A98B3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37550</w:t>
            </w:r>
          </w:p>
        </w:tc>
        <w:tc>
          <w:tcPr>
            <w:tcW w:w="672" w:type="dxa"/>
          </w:tcPr>
          <w:p w14:paraId="5F1A4B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6355</w:t>
            </w:r>
          </w:p>
        </w:tc>
        <w:tc>
          <w:tcPr>
            <w:tcW w:w="672" w:type="dxa"/>
          </w:tcPr>
          <w:p w14:paraId="0EBEDE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8325</w:t>
            </w:r>
          </w:p>
        </w:tc>
        <w:tc>
          <w:tcPr>
            <w:tcW w:w="784" w:type="dxa"/>
          </w:tcPr>
          <w:p w14:paraId="4B72B8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10525</w:t>
            </w:r>
          </w:p>
        </w:tc>
        <w:tc>
          <w:tcPr>
            <w:tcW w:w="672" w:type="dxa"/>
          </w:tcPr>
          <w:p w14:paraId="0B1E90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12345</w:t>
            </w:r>
          </w:p>
        </w:tc>
        <w:tc>
          <w:tcPr>
            <w:tcW w:w="1402" w:type="dxa"/>
          </w:tcPr>
          <w:p w14:paraId="2EA6D0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14400</w:t>
            </w:r>
          </w:p>
        </w:tc>
      </w:tr>
      <w:tr w:rsidR="00983732" w:rsidRPr="00A3026E" w14:paraId="22025C92" w14:textId="77777777" w:rsidTr="00EA0DA7">
        <w:tc>
          <w:tcPr>
            <w:tcW w:w="3306" w:type="dxa"/>
            <w:gridSpan w:val="7"/>
          </w:tcPr>
          <w:p w14:paraId="7556E7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учебной авиации</w:t>
            </w:r>
          </w:p>
        </w:tc>
      </w:tr>
      <w:tr w:rsidR="00983732" w:rsidRPr="00A3026E" w14:paraId="5CACF6B3" w14:textId="77777777" w:rsidTr="00EA0DA7">
        <w:tc>
          <w:tcPr>
            <w:tcW w:w="3306" w:type="dxa"/>
          </w:tcPr>
          <w:p w14:paraId="4FA611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c>
          <w:tcPr>
            <w:tcW w:w="1850" w:type="dxa"/>
          </w:tcPr>
          <w:p w14:paraId="30FDFC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1 600</w:t>
            </w:r>
          </w:p>
        </w:tc>
        <w:tc>
          <w:tcPr>
            <w:tcW w:w="672" w:type="dxa"/>
          </w:tcPr>
          <w:p w14:paraId="1ABEB7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672" w:type="dxa"/>
          </w:tcPr>
          <w:p w14:paraId="2195CC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784" w:type="dxa"/>
          </w:tcPr>
          <w:p w14:paraId="0ACFA6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672" w:type="dxa"/>
          </w:tcPr>
          <w:p w14:paraId="5B36F5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402" w:type="dxa"/>
          </w:tcPr>
          <w:p w14:paraId="668378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50BBE5D" w14:textId="77777777" w:rsidTr="00EA0DA7">
        <w:tc>
          <w:tcPr>
            <w:tcW w:w="3306" w:type="dxa"/>
          </w:tcPr>
          <w:p w14:paraId="728121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М-11</w:t>
            </w:r>
          </w:p>
        </w:tc>
        <w:tc>
          <w:tcPr>
            <w:tcW w:w="1850" w:type="dxa"/>
          </w:tcPr>
          <w:p w14:paraId="5EE911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3500</w:t>
            </w:r>
          </w:p>
        </w:tc>
        <w:tc>
          <w:tcPr>
            <w:tcW w:w="672" w:type="dxa"/>
          </w:tcPr>
          <w:p w14:paraId="2E5212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672" w:type="dxa"/>
          </w:tcPr>
          <w:p w14:paraId="1D9D9E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c>
          <w:tcPr>
            <w:tcW w:w="784" w:type="dxa"/>
          </w:tcPr>
          <w:p w14:paraId="42D6B6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1 050</w:t>
            </w:r>
          </w:p>
        </w:tc>
        <w:tc>
          <w:tcPr>
            <w:tcW w:w="672" w:type="dxa"/>
          </w:tcPr>
          <w:p w14:paraId="422114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1 300</w:t>
            </w:r>
          </w:p>
        </w:tc>
        <w:tc>
          <w:tcPr>
            <w:tcW w:w="1402" w:type="dxa"/>
          </w:tcPr>
          <w:p w14:paraId="0A2A55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1 500</w:t>
            </w:r>
          </w:p>
        </w:tc>
      </w:tr>
      <w:tr w:rsidR="00983732" w:rsidRPr="00A3026E" w14:paraId="06DDDE24" w14:textId="77777777" w:rsidTr="00EA0DA7">
        <w:tc>
          <w:tcPr>
            <w:tcW w:w="3306" w:type="dxa"/>
          </w:tcPr>
          <w:p w14:paraId="7E92B5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моторов учебной авиации</w:t>
            </w:r>
          </w:p>
        </w:tc>
        <w:tc>
          <w:tcPr>
            <w:tcW w:w="1850" w:type="dxa"/>
          </w:tcPr>
          <w:p w14:paraId="5D516B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5 100</w:t>
            </w:r>
          </w:p>
        </w:tc>
        <w:tc>
          <w:tcPr>
            <w:tcW w:w="672" w:type="dxa"/>
          </w:tcPr>
          <w:p w14:paraId="1797935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1 100</w:t>
            </w:r>
          </w:p>
        </w:tc>
        <w:tc>
          <w:tcPr>
            <w:tcW w:w="672" w:type="dxa"/>
          </w:tcPr>
          <w:p w14:paraId="2CFBE3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1 250</w:t>
            </w:r>
          </w:p>
        </w:tc>
        <w:tc>
          <w:tcPr>
            <w:tcW w:w="784" w:type="dxa"/>
          </w:tcPr>
          <w:p w14:paraId="56561A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1 350</w:t>
            </w:r>
          </w:p>
        </w:tc>
        <w:tc>
          <w:tcPr>
            <w:tcW w:w="672" w:type="dxa"/>
          </w:tcPr>
          <w:p w14:paraId="40493E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1 400</w:t>
            </w:r>
          </w:p>
        </w:tc>
        <w:tc>
          <w:tcPr>
            <w:tcW w:w="1402" w:type="dxa"/>
          </w:tcPr>
          <w:p w14:paraId="54EF99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1 500</w:t>
            </w:r>
          </w:p>
        </w:tc>
      </w:tr>
      <w:tr w:rsidR="00983732" w:rsidRPr="00A3026E" w14:paraId="634A8AE2" w14:textId="77777777" w:rsidTr="00EA0DA7">
        <w:tc>
          <w:tcPr>
            <w:tcW w:w="3306" w:type="dxa"/>
            <w:tcBorders>
              <w:bottom w:val="single" w:sz="12" w:space="0" w:color="auto"/>
            </w:tcBorders>
          </w:tcPr>
          <w:p w14:paraId="089FC2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глиссерные ГАМ-34 БС</w:t>
            </w:r>
          </w:p>
        </w:tc>
        <w:tc>
          <w:tcPr>
            <w:tcW w:w="1850" w:type="dxa"/>
            <w:tcBorders>
              <w:bottom w:val="single" w:sz="12" w:space="0" w:color="auto"/>
            </w:tcBorders>
          </w:tcPr>
          <w:p w14:paraId="73E259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672" w:type="dxa"/>
            <w:tcBorders>
              <w:bottom w:val="single" w:sz="12" w:space="0" w:color="auto"/>
            </w:tcBorders>
          </w:tcPr>
          <w:p w14:paraId="4D8907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672" w:type="dxa"/>
            <w:tcBorders>
              <w:bottom w:val="single" w:sz="12" w:space="0" w:color="auto"/>
            </w:tcBorders>
          </w:tcPr>
          <w:p w14:paraId="1CEB4D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784" w:type="dxa"/>
            <w:tcBorders>
              <w:bottom w:val="single" w:sz="12" w:space="0" w:color="auto"/>
            </w:tcBorders>
          </w:tcPr>
          <w:p w14:paraId="0A13957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672" w:type="dxa"/>
            <w:tcBorders>
              <w:bottom w:val="single" w:sz="12" w:space="0" w:color="auto"/>
            </w:tcBorders>
          </w:tcPr>
          <w:p w14:paraId="2C5A16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402" w:type="dxa"/>
            <w:tcBorders>
              <w:bottom w:val="single" w:sz="12" w:space="0" w:color="auto"/>
            </w:tcBorders>
          </w:tcPr>
          <w:p w14:paraId="170CDB6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3DBEF9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p w14:paraId="62702E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Обязать Наркомавиапром выпускать моторы М-105 и М-105П со сроком службы 150 часов с 15 марта 1941 г., моторы АМ-35А - со сроком службы 150 часов с 15 мая 1941 года и моторы М-88 - со сроком службы 150 часов с 1 марта 1941 г. [...] </w:t>
      </w:r>
    </w:p>
    <w:p w14:paraId="04A2E8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Установить, что при 100% выполнения заводом установленной ему месячной программы самолетов, моторов и винтов руководящий состав завода (директор, начальники цехов, главный инженер, заместитель директора по материально-техническому снабжению, начальник производства и главный технолог) получает премию в размере месячного оклада, при условии выполнения программы предыдущего месяца не менее чем на 90%.</w:t>
      </w:r>
    </w:p>
    <w:p w14:paraId="78B60A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Принятием настоящего Постановления считать исчерпанными все ранее вынесенные решения в отношении серийного производства самолетов и моторов на 1941 год.</w:t>
      </w:r>
    </w:p>
    <w:p w14:paraId="7AB4B3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Разрешить Наркомавиапрому довести к 1 октября 1941 года запасы материалов до 2-месячной нормы. Предложить Экономическому совету руководствоваться настоящим указанием при квартальном планировании фондов.</w:t>
      </w:r>
    </w:p>
    <w:p w14:paraId="0146371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Разрешить Наркомавиапрому тов. Шахурину прекратить с 1 января 1941 года ремонт самолетов и моторов, находящихся на вооружении ВВС, обязав НКО обеспечить этот ремонт на своих ремонтных базах.</w:t>
      </w:r>
    </w:p>
    <w:p w14:paraId="7DBB615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Председатель Совета Народных Комиссаров Союза ССР В. Молотов </w:t>
      </w:r>
    </w:p>
    <w:p w14:paraId="189127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Секретарь Центрального Комитета ВКП(б) И.Сталин </w:t>
      </w:r>
    </w:p>
    <w:p w14:paraId="13A9601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 РФ. Ф.93. Коллекция документов. Машинопись, заверенная копия. Опущены разделы документа, относящиеся к распределению программы производства по заводам НКАП СССР (10694).</w:t>
      </w:r>
    </w:p>
    <w:p w14:paraId="63D92D9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DB62F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Программа выпуска самолетов на 1941 г. по заводам НКАП СССР согласно второму разделу постановлению СНК СССР и ЦК ВКП(б) № 2466-1096сс от 7 декабря 1940 г. О программе выпуска самолетов и авиамоторов в 1941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94"/>
        <w:gridCol w:w="992"/>
        <w:gridCol w:w="992"/>
        <w:gridCol w:w="992"/>
        <w:gridCol w:w="993"/>
        <w:gridCol w:w="992"/>
        <w:gridCol w:w="992"/>
      </w:tblGrid>
      <w:tr w:rsidR="00983732" w:rsidRPr="00A3026E" w14:paraId="65368108" w14:textId="77777777" w:rsidTr="00EA0DA7">
        <w:trPr>
          <w:trHeight w:val="554"/>
        </w:trPr>
        <w:tc>
          <w:tcPr>
            <w:tcW w:w="994" w:type="dxa"/>
            <w:tcBorders>
              <w:top w:val="single" w:sz="12" w:space="0" w:color="auto"/>
            </w:tcBorders>
          </w:tcPr>
          <w:p w14:paraId="714D00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Номер завода</w:t>
            </w:r>
          </w:p>
        </w:tc>
        <w:tc>
          <w:tcPr>
            <w:tcW w:w="991" w:type="dxa"/>
            <w:tcBorders>
              <w:top w:val="single" w:sz="12" w:space="0" w:color="auto"/>
            </w:tcBorders>
          </w:tcPr>
          <w:p w14:paraId="321B51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само</w:t>
            </w:r>
            <w:r w:rsidRPr="00A3026E">
              <w:rPr>
                <w:rFonts w:ascii="Times New Roman" w:hAnsi="Times New Roman"/>
                <w:color w:val="000000" w:themeColor="text1"/>
                <w:sz w:val="16"/>
                <w:szCs w:val="16"/>
              </w:rPr>
              <w:softHyphen/>
              <w:t>лета</w:t>
            </w:r>
          </w:p>
        </w:tc>
        <w:tc>
          <w:tcPr>
            <w:tcW w:w="992" w:type="dxa"/>
            <w:tcBorders>
              <w:top w:val="single" w:sz="12" w:space="0" w:color="auto"/>
            </w:tcBorders>
          </w:tcPr>
          <w:p w14:paraId="5D0252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квартал</w:t>
            </w:r>
          </w:p>
        </w:tc>
        <w:tc>
          <w:tcPr>
            <w:tcW w:w="992" w:type="dxa"/>
            <w:tcBorders>
              <w:top w:val="single" w:sz="12" w:space="0" w:color="auto"/>
            </w:tcBorders>
          </w:tcPr>
          <w:p w14:paraId="3D1436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квартал</w:t>
            </w:r>
          </w:p>
        </w:tc>
        <w:tc>
          <w:tcPr>
            <w:tcW w:w="993" w:type="dxa"/>
            <w:tcBorders>
              <w:top w:val="single" w:sz="12" w:space="0" w:color="auto"/>
            </w:tcBorders>
          </w:tcPr>
          <w:p w14:paraId="4B86B5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квартал</w:t>
            </w:r>
          </w:p>
        </w:tc>
        <w:tc>
          <w:tcPr>
            <w:tcW w:w="992" w:type="dxa"/>
            <w:tcBorders>
              <w:top w:val="single" w:sz="12" w:space="0" w:color="auto"/>
            </w:tcBorders>
          </w:tcPr>
          <w:p w14:paraId="09F0D2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квартал</w:t>
            </w:r>
          </w:p>
        </w:tc>
        <w:tc>
          <w:tcPr>
            <w:tcW w:w="992" w:type="dxa"/>
            <w:tcBorders>
              <w:top w:val="single" w:sz="12" w:space="0" w:color="auto"/>
            </w:tcBorders>
          </w:tcPr>
          <w:p w14:paraId="76CB02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за год</w:t>
            </w:r>
          </w:p>
        </w:tc>
      </w:tr>
      <w:tr w:rsidR="00983732" w:rsidRPr="00A3026E" w14:paraId="4F9F9308" w14:textId="77777777" w:rsidTr="00EA0DA7">
        <w:trPr>
          <w:trHeight w:val="266"/>
        </w:trPr>
        <w:tc>
          <w:tcPr>
            <w:tcW w:w="994" w:type="dxa"/>
          </w:tcPr>
          <w:p w14:paraId="7700E9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991" w:type="dxa"/>
          </w:tcPr>
          <w:p w14:paraId="791416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МиГ-3</w:t>
            </w:r>
          </w:p>
        </w:tc>
        <w:tc>
          <w:tcPr>
            <w:tcW w:w="992" w:type="dxa"/>
          </w:tcPr>
          <w:p w14:paraId="129F16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c>
          <w:tcPr>
            <w:tcW w:w="992" w:type="dxa"/>
          </w:tcPr>
          <w:p w14:paraId="7C41C4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w:t>
            </w:r>
          </w:p>
        </w:tc>
        <w:tc>
          <w:tcPr>
            <w:tcW w:w="993" w:type="dxa"/>
          </w:tcPr>
          <w:p w14:paraId="020EB0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992" w:type="dxa"/>
          </w:tcPr>
          <w:p w14:paraId="088DA9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992" w:type="dxa"/>
          </w:tcPr>
          <w:p w14:paraId="3DA3CA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3500</w:t>
            </w:r>
          </w:p>
        </w:tc>
      </w:tr>
      <w:tr w:rsidR="00983732" w:rsidRPr="00A3026E" w14:paraId="0FC4DF9C" w14:textId="77777777" w:rsidTr="00EA0DA7">
        <w:trPr>
          <w:trHeight w:val="266"/>
        </w:trPr>
        <w:tc>
          <w:tcPr>
            <w:tcW w:w="994" w:type="dxa"/>
          </w:tcPr>
          <w:p w14:paraId="37D86D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991" w:type="dxa"/>
          </w:tcPr>
          <w:p w14:paraId="04EBC2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Ер-2</w:t>
            </w:r>
          </w:p>
        </w:tc>
        <w:tc>
          <w:tcPr>
            <w:tcW w:w="992" w:type="dxa"/>
          </w:tcPr>
          <w:p w14:paraId="63A1B2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4D3765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3" w:type="dxa"/>
          </w:tcPr>
          <w:p w14:paraId="6135FB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992" w:type="dxa"/>
          </w:tcPr>
          <w:p w14:paraId="6F036C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992" w:type="dxa"/>
          </w:tcPr>
          <w:p w14:paraId="716D78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0E6BD4C6" w14:textId="77777777" w:rsidTr="00EA0DA7">
        <w:trPr>
          <w:trHeight w:val="252"/>
        </w:trPr>
        <w:tc>
          <w:tcPr>
            <w:tcW w:w="994" w:type="dxa"/>
          </w:tcPr>
          <w:p w14:paraId="0EC330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991" w:type="dxa"/>
          </w:tcPr>
          <w:p w14:paraId="712772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ДБ-ЗФ</w:t>
            </w:r>
          </w:p>
        </w:tc>
        <w:tc>
          <w:tcPr>
            <w:tcW w:w="992" w:type="dxa"/>
          </w:tcPr>
          <w:p w14:paraId="116A96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992" w:type="dxa"/>
          </w:tcPr>
          <w:p w14:paraId="412643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993" w:type="dxa"/>
          </w:tcPr>
          <w:p w14:paraId="7409B9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34170B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731F2F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r>
      <w:tr w:rsidR="00983732" w:rsidRPr="00A3026E" w14:paraId="0533281A" w14:textId="77777777" w:rsidTr="00EA0DA7">
        <w:trPr>
          <w:trHeight w:val="238"/>
        </w:trPr>
        <w:tc>
          <w:tcPr>
            <w:tcW w:w="994" w:type="dxa"/>
          </w:tcPr>
          <w:p w14:paraId="59CE77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991" w:type="dxa"/>
          </w:tcPr>
          <w:p w14:paraId="60D63B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w:t>
            </w:r>
          </w:p>
        </w:tc>
        <w:tc>
          <w:tcPr>
            <w:tcW w:w="992" w:type="dxa"/>
          </w:tcPr>
          <w:p w14:paraId="15ACE3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992" w:type="dxa"/>
          </w:tcPr>
          <w:p w14:paraId="24ABA3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зоо</w:t>
            </w:r>
          </w:p>
        </w:tc>
        <w:tc>
          <w:tcPr>
            <w:tcW w:w="993" w:type="dxa"/>
          </w:tcPr>
          <w:p w14:paraId="67B722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w:t>
            </w:r>
          </w:p>
        </w:tc>
        <w:tc>
          <w:tcPr>
            <w:tcW w:w="992" w:type="dxa"/>
          </w:tcPr>
          <w:p w14:paraId="77C572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992" w:type="dxa"/>
          </w:tcPr>
          <w:p w14:paraId="6CD367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100B424D" w14:textId="77777777" w:rsidTr="00EA0DA7">
        <w:trPr>
          <w:trHeight w:val="266"/>
        </w:trPr>
        <w:tc>
          <w:tcPr>
            <w:tcW w:w="994" w:type="dxa"/>
          </w:tcPr>
          <w:p w14:paraId="169611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991" w:type="dxa"/>
          </w:tcPr>
          <w:p w14:paraId="163529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w:t>
            </w:r>
          </w:p>
        </w:tc>
        <w:tc>
          <w:tcPr>
            <w:tcW w:w="992" w:type="dxa"/>
          </w:tcPr>
          <w:p w14:paraId="108714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992" w:type="dxa"/>
          </w:tcPr>
          <w:p w14:paraId="2920F7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993" w:type="dxa"/>
          </w:tcPr>
          <w:p w14:paraId="70BA32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992" w:type="dxa"/>
          </w:tcPr>
          <w:p w14:paraId="323CF4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992" w:type="dxa"/>
          </w:tcPr>
          <w:p w14:paraId="677860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r>
      <w:tr w:rsidR="00983732" w:rsidRPr="00A3026E" w14:paraId="77632EB5" w14:textId="77777777" w:rsidTr="00EA0DA7">
        <w:trPr>
          <w:trHeight w:val="252"/>
        </w:trPr>
        <w:tc>
          <w:tcPr>
            <w:tcW w:w="994" w:type="dxa"/>
          </w:tcPr>
          <w:p w14:paraId="1AFB45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991" w:type="dxa"/>
          </w:tcPr>
          <w:p w14:paraId="34AD2F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УГИ-4</w:t>
            </w:r>
          </w:p>
        </w:tc>
        <w:tc>
          <w:tcPr>
            <w:tcW w:w="992" w:type="dxa"/>
          </w:tcPr>
          <w:p w14:paraId="731294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992" w:type="dxa"/>
          </w:tcPr>
          <w:p w14:paraId="2AD3AF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3" w:type="dxa"/>
          </w:tcPr>
          <w:p w14:paraId="15FBB0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73BC26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141B53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1B5404E3" w14:textId="77777777" w:rsidTr="00EA0DA7">
        <w:trPr>
          <w:trHeight w:val="252"/>
        </w:trPr>
        <w:tc>
          <w:tcPr>
            <w:tcW w:w="994" w:type="dxa"/>
          </w:tcPr>
          <w:p w14:paraId="3303C7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991" w:type="dxa"/>
          </w:tcPr>
          <w:p w14:paraId="331A61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w:t>
            </w:r>
          </w:p>
        </w:tc>
        <w:tc>
          <w:tcPr>
            <w:tcW w:w="992" w:type="dxa"/>
          </w:tcPr>
          <w:p w14:paraId="162911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2" w:type="dxa"/>
          </w:tcPr>
          <w:p w14:paraId="40983B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993" w:type="dxa"/>
          </w:tcPr>
          <w:p w14:paraId="2B2E3C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зоо</w:t>
            </w:r>
          </w:p>
        </w:tc>
        <w:tc>
          <w:tcPr>
            <w:tcW w:w="992" w:type="dxa"/>
          </w:tcPr>
          <w:p w14:paraId="27DC15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992" w:type="dxa"/>
          </w:tcPr>
          <w:p w14:paraId="412AA0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r>
      <w:tr w:rsidR="00983732" w:rsidRPr="00A3026E" w14:paraId="25004E78" w14:textId="77777777" w:rsidTr="00EA0DA7">
        <w:trPr>
          <w:trHeight w:val="266"/>
        </w:trPr>
        <w:tc>
          <w:tcPr>
            <w:tcW w:w="994" w:type="dxa"/>
          </w:tcPr>
          <w:p w14:paraId="014C2F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991" w:type="dxa"/>
          </w:tcPr>
          <w:p w14:paraId="62BFE8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Ар-2</w:t>
            </w:r>
          </w:p>
        </w:tc>
        <w:tc>
          <w:tcPr>
            <w:tcW w:w="992" w:type="dxa"/>
          </w:tcPr>
          <w:p w14:paraId="774397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зоо</w:t>
            </w:r>
          </w:p>
        </w:tc>
        <w:tc>
          <w:tcPr>
            <w:tcW w:w="992" w:type="dxa"/>
          </w:tcPr>
          <w:p w14:paraId="770B83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зоо</w:t>
            </w:r>
          </w:p>
        </w:tc>
        <w:tc>
          <w:tcPr>
            <w:tcW w:w="993" w:type="dxa"/>
          </w:tcPr>
          <w:p w14:paraId="0FCFCD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992" w:type="dxa"/>
          </w:tcPr>
          <w:p w14:paraId="32086A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2" w:type="dxa"/>
          </w:tcPr>
          <w:p w14:paraId="07FD8C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r>
      <w:tr w:rsidR="00983732" w:rsidRPr="00A3026E" w14:paraId="295B467A" w14:textId="77777777" w:rsidTr="00EA0DA7">
        <w:trPr>
          <w:trHeight w:val="252"/>
        </w:trPr>
        <w:tc>
          <w:tcPr>
            <w:tcW w:w="994" w:type="dxa"/>
          </w:tcPr>
          <w:p w14:paraId="17CF1F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991" w:type="dxa"/>
          </w:tcPr>
          <w:p w14:paraId="7FF907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ЛаГТ-3</w:t>
            </w:r>
          </w:p>
        </w:tc>
        <w:tc>
          <w:tcPr>
            <w:tcW w:w="992" w:type="dxa"/>
          </w:tcPr>
          <w:p w14:paraId="0FA3D5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992" w:type="dxa"/>
          </w:tcPr>
          <w:p w14:paraId="1B3EFC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3" w:type="dxa"/>
          </w:tcPr>
          <w:p w14:paraId="5A7069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2" w:type="dxa"/>
          </w:tcPr>
          <w:p w14:paraId="2587F4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992" w:type="dxa"/>
          </w:tcPr>
          <w:p w14:paraId="6BB8BD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w:t>
            </w:r>
          </w:p>
        </w:tc>
      </w:tr>
      <w:tr w:rsidR="00983732" w:rsidRPr="00A3026E" w14:paraId="365D9138" w14:textId="77777777" w:rsidTr="00EA0DA7">
        <w:trPr>
          <w:trHeight w:val="252"/>
        </w:trPr>
        <w:tc>
          <w:tcPr>
            <w:tcW w:w="994" w:type="dxa"/>
          </w:tcPr>
          <w:p w14:paraId="2DAB89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991" w:type="dxa"/>
          </w:tcPr>
          <w:p w14:paraId="28BDD2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w:t>
            </w:r>
          </w:p>
        </w:tc>
        <w:tc>
          <w:tcPr>
            <w:tcW w:w="992" w:type="dxa"/>
          </w:tcPr>
          <w:p w14:paraId="153FF4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992" w:type="dxa"/>
          </w:tcPr>
          <w:p w14:paraId="518541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993" w:type="dxa"/>
          </w:tcPr>
          <w:p w14:paraId="003819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992" w:type="dxa"/>
          </w:tcPr>
          <w:p w14:paraId="032C7B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992" w:type="dxa"/>
          </w:tcPr>
          <w:p w14:paraId="5C8D5E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77330DE6" w14:textId="77777777" w:rsidTr="00EA0DA7">
        <w:trPr>
          <w:trHeight w:val="259"/>
        </w:trPr>
        <w:tc>
          <w:tcPr>
            <w:tcW w:w="994" w:type="dxa"/>
          </w:tcPr>
          <w:p w14:paraId="3E98E4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991" w:type="dxa"/>
          </w:tcPr>
          <w:p w14:paraId="0A94A6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Су-2</w:t>
            </w:r>
          </w:p>
        </w:tc>
        <w:tc>
          <w:tcPr>
            <w:tcW w:w="992" w:type="dxa"/>
          </w:tcPr>
          <w:p w14:paraId="03C392D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992" w:type="dxa"/>
          </w:tcPr>
          <w:p w14:paraId="00E58A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993" w:type="dxa"/>
          </w:tcPr>
          <w:p w14:paraId="010665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992" w:type="dxa"/>
          </w:tcPr>
          <w:p w14:paraId="6D6E82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992" w:type="dxa"/>
          </w:tcPr>
          <w:p w14:paraId="4388EE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r>
      <w:tr w:rsidR="00983732" w:rsidRPr="00A3026E" w14:paraId="3D7098A2" w14:textId="77777777" w:rsidTr="00EA0DA7">
        <w:trPr>
          <w:trHeight w:val="259"/>
        </w:trPr>
        <w:tc>
          <w:tcPr>
            <w:tcW w:w="994" w:type="dxa"/>
          </w:tcPr>
          <w:p w14:paraId="7CA929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991" w:type="dxa"/>
          </w:tcPr>
          <w:p w14:paraId="00A980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МДР-6</w:t>
            </w:r>
          </w:p>
        </w:tc>
        <w:tc>
          <w:tcPr>
            <w:tcW w:w="992" w:type="dxa"/>
          </w:tcPr>
          <w:p w14:paraId="01C0AF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992" w:type="dxa"/>
          </w:tcPr>
          <w:p w14:paraId="581E0F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993" w:type="dxa"/>
          </w:tcPr>
          <w:p w14:paraId="1440A6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992" w:type="dxa"/>
          </w:tcPr>
          <w:p w14:paraId="0F305A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992" w:type="dxa"/>
          </w:tcPr>
          <w:p w14:paraId="4D186F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79EFDC25" w14:textId="77777777" w:rsidTr="00EA0DA7">
        <w:trPr>
          <w:trHeight w:val="245"/>
        </w:trPr>
        <w:tc>
          <w:tcPr>
            <w:tcW w:w="994" w:type="dxa"/>
          </w:tcPr>
          <w:p w14:paraId="239C43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c>
          <w:tcPr>
            <w:tcW w:w="991" w:type="dxa"/>
          </w:tcPr>
          <w:p w14:paraId="3CC495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w:t>
            </w:r>
          </w:p>
        </w:tc>
        <w:tc>
          <w:tcPr>
            <w:tcW w:w="992" w:type="dxa"/>
          </w:tcPr>
          <w:p w14:paraId="5CA252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992" w:type="dxa"/>
          </w:tcPr>
          <w:p w14:paraId="5A41B4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993" w:type="dxa"/>
          </w:tcPr>
          <w:p w14:paraId="25B4CC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992" w:type="dxa"/>
          </w:tcPr>
          <w:p w14:paraId="241884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992" w:type="dxa"/>
          </w:tcPr>
          <w:p w14:paraId="5BAF94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r>
      <w:tr w:rsidR="00983732" w:rsidRPr="00A3026E" w14:paraId="0F0069FF" w14:textId="77777777" w:rsidTr="00EA0DA7">
        <w:trPr>
          <w:trHeight w:val="252"/>
        </w:trPr>
        <w:tc>
          <w:tcPr>
            <w:tcW w:w="994" w:type="dxa"/>
          </w:tcPr>
          <w:p w14:paraId="01DD78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c>
          <w:tcPr>
            <w:tcW w:w="991" w:type="dxa"/>
          </w:tcPr>
          <w:p w14:paraId="2857E5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w:t>
            </w:r>
          </w:p>
        </w:tc>
        <w:tc>
          <w:tcPr>
            <w:tcW w:w="992" w:type="dxa"/>
          </w:tcPr>
          <w:p w14:paraId="4F19F3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992" w:type="dxa"/>
          </w:tcPr>
          <w:p w14:paraId="319B96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993" w:type="dxa"/>
          </w:tcPr>
          <w:p w14:paraId="38D75B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w:t>
            </w:r>
          </w:p>
        </w:tc>
        <w:tc>
          <w:tcPr>
            <w:tcW w:w="992" w:type="dxa"/>
          </w:tcPr>
          <w:p w14:paraId="38E564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992" w:type="dxa"/>
          </w:tcPr>
          <w:p w14:paraId="5344BC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r w:rsidR="00983732" w:rsidRPr="00A3026E" w14:paraId="07287A3C" w14:textId="77777777" w:rsidTr="00EA0DA7">
        <w:trPr>
          <w:trHeight w:val="259"/>
        </w:trPr>
        <w:tc>
          <w:tcPr>
            <w:tcW w:w="994" w:type="dxa"/>
          </w:tcPr>
          <w:p w14:paraId="1DEF19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w:t>
            </w:r>
          </w:p>
        </w:tc>
        <w:tc>
          <w:tcPr>
            <w:tcW w:w="991" w:type="dxa"/>
          </w:tcPr>
          <w:p w14:paraId="78C18A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МиГ-3</w:t>
            </w:r>
          </w:p>
        </w:tc>
        <w:tc>
          <w:tcPr>
            <w:tcW w:w="992" w:type="dxa"/>
          </w:tcPr>
          <w:p w14:paraId="33EE63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5B7B4C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993" w:type="dxa"/>
          </w:tcPr>
          <w:p w14:paraId="243055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992" w:type="dxa"/>
          </w:tcPr>
          <w:p w14:paraId="6D484B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992" w:type="dxa"/>
          </w:tcPr>
          <w:p w14:paraId="097C78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63C15F39" w14:textId="77777777" w:rsidTr="00EA0DA7">
        <w:trPr>
          <w:trHeight w:val="259"/>
        </w:trPr>
        <w:tc>
          <w:tcPr>
            <w:tcW w:w="994" w:type="dxa"/>
          </w:tcPr>
          <w:p w14:paraId="36E603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c>
          <w:tcPr>
            <w:tcW w:w="991" w:type="dxa"/>
          </w:tcPr>
          <w:p w14:paraId="311586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УТ-2</w:t>
            </w:r>
          </w:p>
        </w:tc>
        <w:tc>
          <w:tcPr>
            <w:tcW w:w="992" w:type="dxa"/>
          </w:tcPr>
          <w:p w14:paraId="21CB62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c>
          <w:tcPr>
            <w:tcW w:w="992" w:type="dxa"/>
          </w:tcPr>
          <w:p w14:paraId="129FAB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993" w:type="dxa"/>
          </w:tcPr>
          <w:p w14:paraId="128D4D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w:t>
            </w:r>
          </w:p>
        </w:tc>
        <w:tc>
          <w:tcPr>
            <w:tcW w:w="992" w:type="dxa"/>
          </w:tcPr>
          <w:p w14:paraId="51E221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992" w:type="dxa"/>
          </w:tcPr>
          <w:p w14:paraId="6B3B79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r w:rsidR="00983732" w:rsidRPr="00A3026E" w14:paraId="02E3BB2C" w14:textId="77777777" w:rsidTr="00EA0DA7">
        <w:trPr>
          <w:trHeight w:val="252"/>
        </w:trPr>
        <w:tc>
          <w:tcPr>
            <w:tcW w:w="994" w:type="dxa"/>
          </w:tcPr>
          <w:p w14:paraId="0C6EFD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tc>
        <w:tc>
          <w:tcPr>
            <w:tcW w:w="991" w:type="dxa"/>
          </w:tcPr>
          <w:p w14:paraId="190891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Як-4</w:t>
            </w:r>
          </w:p>
        </w:tc>
        <w:tc>
          <w:tcPr>
            <w:tcW w:w="992" w:type="dxa"/>
          </w:tcPr>
          <w:p w14:paraId="78B925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992" w:type="dxa"/>
          </w:tcPr>
          <w:p w14:paraId="71DDDD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993" w:type="dxa"/>
          </w:tcPr>
          <w:p w14:paraId="6781B1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992" w:type="dxa"/>
          </w:tcPr>
          <w:p w14:paraId="75787D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2" w:type="dxa"/>
          </w:tcPr>
          <w:p w14:paraId="2A8672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r>
      <w:tr w:rsidR="00983732" w:rsidRPr="00A3026E" w14:paraId="4AC18C50" w14:textId="77777777" w:rsidTr="00EA0DA7">
        <w:trPr>
          <w:trHeight w:val="252"/>
        </w:trPr>
        <w:tc>
          <w:tcPr>
            <w:tcW w:w="994" w:type="dxa"/>
          </w:tcPr>
          <w:p w14:paraId="759047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w:t>
            </w:r>
          </w:p>
        </w:tc>
        <w:tc>
          <w:tcPr>
            <w:tcW w:w="991" w:type="dxa"/>
          </w:tcPr>
          <w:p w14:paraId="3B169B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Як-3</w:t>
            </w:r>
          </w:p>
        </w:tc>
        <w:tc>
          <w:tcPr>
            <w:tcW w:w="992" w:type="dxa"/>
          </w:tcPr>
          <w:p w14:paraId="6D680B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4B89DB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3" w:type="dxa"/>
          </w:tcPr>
          <w:p w14:paraId="02BDB9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992" w:type="dxa"/>
          </w:tcPr>
          <w:p w14:paraId="437666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c>
          <w:tcPr>
            <w:tcW w:w="992" w:type="dxa"/>
          </w:tcPr>
          <w:p w14:paraId="305512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r>
      <w:tr w:rsidR="00983732" w:rsidRPr="00A3026E" w14:paraId="0E68F1F7" w14:textId="77777777" w:rsidTr="00EA0DA7">
        <w:trPr>
          <w:trHeight w:val="259"/>
        </w:trPr>
        <w:tc>
          <w:tcPr>
            <w:tcW w:w="994" w:type="dxa"/>
          </w:tcPr>
          <w:p w14:paraId="7E30C5B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c>
          <w:tcPr>
            <w:tcW w:w="991" w:type="dxa"/>
          </w:tcPr>
          <w:p w14:paraId="301D99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ПС-84</w:t>
            </w:r>
          </w:p>
        </w:tc>
        <w:tc>
          <w:tcPr>
            <w:tcW w:w="992" w:type="dxa"/>
          </w:tcPr>
          <w:p w14:paraId="7A8861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992" w:type="dxa"/>
          </w:tcPr>
          <w:p w14:paraId="5D1FB4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993" w:type="dxa"/>
          </w:tcPr>
          <w:p w14:paraId="246AE1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992" w:type="dxa"/>
          </w:tcPr>
          <w:p w14:paraId="336522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992" w:type="dxa"/>
          </w:tcPr>
          <w:p w14:paraId="49EC6E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зоо</w:t>
            </w:r>
          </w:p>
        </w:tc>
      </w:tr>
      <w:tr w:rsidR="00983732" w:rsidRPr="00A3026E" w14:paraId="6C3562F1" w14:textId="77777777" w:rsidTr="00EA0DA7">
        <w:trPr>
          <w:trHeight w:val="252"/>
        </w:trPr>
        <w:tc>
          <w:tcPr>
            <w:tcW w:w="994" w:type="dxa"/>
          </w:tcPr>
          <w:p w14:paraId="6B173F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99</w:t>
            </w:r>
          </w:p>
        </w:tc>
        <w:tc>
          <w:tcPr>
            <w:tcW w:w="991" w:type="dxa"/>
          </w:tcPr>
          <w:p w14:paraId="75DCFF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Як-3</w:t>
            </w:r>
          </w:p>
        </w:tc>
        <w:tc>
          <w:tcPr>
            <w:tcW w:w="992" w:type="dxa"/>
          </w:tcPr>
          <w:p w14:paraId="3A4B1B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6E5A6A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993" w:type="dxa"/>
          </w:tcPr>
          <w:p w14:paraId="1DBACF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992" w:type="dxa"/>
          </w:tcPr>
          <w:p w14:paraId="22B84A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992" w:type="dxa"/>
          </w:tcPr>
          <w:p w14:paraId="131D75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62AD14A5" w14:textId="77777777" w:rsidTr="00EA0DA7">
        <w:trPr>
          <w:trHeight w:val="259"/>
        </w:trPr>
        <w:tc>
          <w:tcPr>
            <w:tcW w:w="994" w:type="dxa"/>
          </w:tcPr>
          <w:p w14:paraId="5721BB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w:t>
            </w:r>
          </w:p>
        </w:tc>
        <w:tc>
          <w:tcPr>
            <w:tcW w:w="991" w:type="dxa"/>
          </w:tcPr>
          <w:p w14:paraId="441492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УТ-2</w:t>
            </w:r>
          </w:p>
        </w:tc>
        <w:tc>
          <w:tcPr>
            <w:tcW w:w="992" w:type="dxa"/>
          </w:tcPr>
          <w:p w14:paraId="6456ED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75E1B3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993" w:type="dxa"/>
          </w:tcPr>
          <w:p w14:paraId="6EAFD5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992" w:type="dxa"/>
          </w:tcPr>
          <w:p w14:paraId="6AAC91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992" w:type="dxa"/>
          </w:tcPr>
          <w:p w14:paraId="795591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61C393A4" w14:textId="77777777" w:rsidTr="00EA0DA7">
        <w:trPr>
          <w:trHeight w:val="259"/>
        </w:trPr>
        <w:tc>
          <w:tcPr>
            <w:tcW w:w="994" w:type="dxa"/>
          </w:tcPr>
          <w:p w14:paraId="24FDFB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w:t>
            </w:r>
          </w:p>
        </w:tc>
        <w:tc>
          <w:tcPr>
            <w:tcW w:w="991" w:type="dxa"/>
          </w:tcPr>
          <w:p w14:paraId="3EAFA7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ТБ-7</w:t>
            </w:r>
          </w:p>
        </w:tc>
        <w:tc>
          <w:tcPr>
            <w:tcW w:w="992" w:type="dxa"/>
          </w:tcPr>
          <w:p w14:paraId="73B02C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992" w:type="dxa"/>
          </w:tcPr>
          <w:p w14:paraId="48A513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993" w:type="dxa"/>
          </w:tcPr>
          <w:p w14:paraId="7FF6C2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992" w:type="dxa"/>
          </w:tcPr>
          <w:p w14:paraId="38810C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992" w:type="dxa"/>
          </w:tcPr>
          <w:p w14:paraId="49BFE5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r>
      <w:tr w:rsidR="00983732" w:rsidRPr="00A3026E" w14:paraId="2587B90A" w14:textId="77777777" w:rsidTr="00EA0DA7">
        <w:trPr>
          <w:trHeight w:val="245"/>
        </w:trPr>
        <w:tc>
          <w:tcPr>
            <w:tcW w:w="994" w:type="dxa"/>
          </w:tcPr>
          <w:p w14:paraId="2703EB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991" w:type="dxa"/>
          </w:tcPr>
          <w:p w14:paraId="5C7F75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Як-4</w:t>
            </w:r>
          </w:p>
        </w:tc>
        <w:tc>
          <w:tcPr>
            <w:tcW w:w="992" w:type="dxa"/>
          </w:tcPr>
          <w:p w14:paraId="20DC358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992" w:type="dxa"/>
          </w:tcPr>
          <w:p w14:paraId="3AFF59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993" w:type="dxa"/>
          </w:tcPr>
          <w:p w14:paraId="7113F0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992" w:type="dxa"/>
          </w:tcPr>
          <w:p w14:paraId="250E40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992" w:type="dxa"/>
          </w:tcPr>
          <w:p w14:paraId="2ED467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r>
      <w:tr w:rsidR="00983732" w:rsidRPr="00A3026E" w14:paraId="570ADCF1" w14:textId="77777777" w:rsidTr="00EA0DA7">
        <w:trPr>
          <w:trHeight w:val="266"/>
        </w:trPr>
        <w:tc>
          <w:tcPr>
            <w:tcW w:w="994" w:type="dxa"/>
          </w:tcPr>
          <w:p w14:paraId="62D280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w:t>
            </w:r>
          </w:p>
        </w:tc>
        <w:tc>
          <w:tcPr>
            <w:tcW w:w="991" w:type="dxa"/>
          </w:tcPr>
          <w:p w14:paraId="408E62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ДБ-ЗФ</w:t>
            </w:r>
          </w:p>
        </w:tc>
        <w:tc>
          <w:tcPr>
            <w:tcW w:w="992" w:type="dxa"/>
          </w:tcPr>
          <w:p w14:paraId="315A27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992" w:type="dxa"/>
          </w:tcPr>
          <w:p w14:paraId="6AB005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w:t>
            </w:r>
          </w:p>
        </w:tc>
        <w:tc>
          <w:tcPr>
            <w:tcW w:w="993" w:type="dxa"/>
          </w:tcPr>
          <w:p w14:paraId="7DCD76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992" w:type="dxa"/>
          </w:tcPr>
          <w:p w14:paraId="4E430E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c>
          <w:tcPr>
            <w:tcW w:w="992" w:type="dxa"/>
          </w:tcPr>
          <w:p w14:paraId="7D9BA4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r>
      <w:tr w:rsidR="00983732" w:rsidRPr="00A3026E" w14:paraId="136806C5" w14:textId="77777777" w:rsidTr="00EA0DA7">
        <w:trPr>
          <w:trHeight w:val="266"/>
        </w:trPr>
        <w:tc>
          <w:tcPr>
            <w:tcW w:w="994" w:type="dxa"/>
          </w:tcPr>
          <w:p w14:paraId="56CAE9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991" w:type="dxa"/>
          </w:tcPr>
          <w:p w14:paraId="415CBB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Су-2</w:t>
            </w:r>
          </w:p>
        </w:tc>
        <w:tc>
          <w:tcPr>
            <w:tcW w:w="992" w:type="dxa"/>
          </w:tcPr>
          <w:p w14:paraId="1D855A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2" w:type="dxa"/>
          </w:tcPr>
          <w:p w14:paraId="1FDD9B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993" w:type="dxa"/>
          </w:tcPr>
          <w:p w14:paraId="13B51F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992" w:type="dxa"/>
          </w:tcPr>
          <w:p w14:paraId="2681C5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992" w:type="dxa"/>
          </w:tcPr>
          <w:p w14:paraId="5B8188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r w:rsidR="00983732" w:rsidRPr="00A3026E" w14:paraId="37A67C81" w14:textId="77777777" w:rsidTr="00EA0DA7">
        <w:trPr>
          <w:trHeight w:val="245"/>
        </w:trPr>
        <w:tc>
          <w:tcPr>
            <w:tcW w:w="994" w:type="dxa"/>
          </w:tcPr>
          <w:p w14:paraId="18D85E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991" w:type="dxa"/>
          </w:tcPr>
          <w:p w14:paraId="3FBF70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УТИ-4</w:t>
            </w:r>
          </w:p>
        </w:tc>
        <w:tc>
          <w:tcPr>
            <w:tcW w:w="992" w:type="dxa"/>
          </w:tcPr>
          <w:p w14:paraId="2E50E7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2" w:type="dxa"/>
          </w:tcPr>
          <w:p w14:paraId="70C700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3" w:type="dxa"/>
          </w:tcPr>
          <w:p w14:paraId="1D7AFF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2" w:type="dxa"/>
          </w:tcPr>
          <w:p w14:paraId="12B534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4CA6D7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r>
      <w:tr w:rsidR="00983732" w:rsidRPr="00A3026E" w14:paraId="2D6B998F" w14:textId="77777777" w:rsidTr="00EA0DA7">
        <w:trPr>
          <w:trHeight w:val="245"/>
        </w:trPr>
        <w:tc>
          <w:tcPr>
            <w:tcW w:w="994" w:type="dxa"/>
          </w:tcPr>
          <w:p w14:paraId="090338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991" w:type="dxa"/>
          </w:tcPr>
          <w:p w14:paraId="5B96C1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w:t>
            </w:r>
          </w:p>
        </w:tc>
        <w:tc>
          <w:tcPr>
            <w:tcW w:w="992" w:type="dxa"/>
          </w:tcPr>
          <w:p w14:paraId="4179B5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75384A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993" w:type="dxa"/>
          </w:tcPr>
          <w:p w14:paraId="0B9B93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992" w:type="dxa"/>
          </w:tcPr>
          <w:p w14:paraId="6A6B63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2" w:type="dxa"/>
          </w:tcPr>
          <w:p w14:paraId="34D6BF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39C916E2" w14:textId="77777777" w:rsidTr="00EA0DA7">
        <w:trPr>
          <w:trHeight w:val="259"/>
        </w:trPr>
        <w:tc>
          <w:tcPr>
            <w:tcW w:w="994" w:type="dxa"/>
          </w:tcPr>
          <w:p w14:paraId="13EEBB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w:t>
            </w:r>
          </w:p>
        </w:tc>
        <w:tc>
          <w:tcPr>
            <w:tcW w:w="991" w:type="dxa"/>
          </w:tcPr>
          <w:p w14:paraId="48AB1B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w:t>
            </w:r>
          </w:p>
        </w:tc>
        <w:tc>
          <w:tcPr>
            <w:tcW w:w="992" w:type="dxa"/>
          </w:tcPr>
          <w:p w14:paraId="675773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992" w:type="dxa"/>
          </w:tcPr>
          <w:p w14:paraId="20F5D2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993" w:type="dxa"/>
          </w:tcPr>
          <w:p w14:paraId="119A82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992" w:type="dxa"/>
          </w:tcPr>
          <w:p w14:paraId="6F91F8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2" w:type="dxa"/>
          </w:tcPr>
          <w:p w14:paraId="4DE734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4F4C4C9D" w14:textId="77777777" w:rsidTr="00EA0DA7">
        <w:trPr>
          <w:trHeight w:val="274"/>
        </w:trPr>
        <w:tc>
          <w:tcPr>
            <w:tcW w:w="994" w:type="dxa"/>
          </w:tcPr>
          <w:p w14:paraId="727FBD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w:t>
            </w:r>
          </w:p>
        </w:tc>
        <w:tc>
          <w:tcPr>
            <w:tcW w:w="991" w:type="dxa"/>
          </w:tcPr>
          <w:p w14:paraId="29A742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Су-2</w:t>
            </w:r>
          </w:p>
        </w:tc>
        <w:tc>
          <w:tcPr>
            <w:tcW w:w="992" w:type="dxa"/>
          </w:tcPr>
          <w:p w14:paraId="10AA96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992" w:type="dxa"/>
          </w:tcPr>
          <w:p w14:paraId="7B5B76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993" w:type="dxa"/>
          </w:tcPr>
          <w:p w14:paraId="7EEC3D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992" w:type="dxa"/>
          </w:tcPr>
          <w:p w14:paraId="480CA8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992" w:type="dxa"/>
          </w:tcPr>
          <w:p w14:paraId="28A4A4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163BEA8F" w14:textId="77777777" w:rsidTr="00EA0DA7">
        <w:trPr>
          <w:trHeight w:val="245"/>
        </w:trPr>
        <w:tc>
          <w:tcPr>
            <w:tcW w:w="994" w:type="dxa"/>
          </w:tcPr>
          <w:p w14:paraId="3D240F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292</w:t>
            </w:r>
          </w:p>
        </w:tc>
        <w:tc>
          <w:tcPr>
            <w:tcW w:w="991" w:type="dxa"/>
          </w:tcPr>
          <w:p w14:paraId="2B778E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Як-1</w:t>
            </w:r>
          </w:p>
        </w:tc>
        <w:tc>
          <w:tcPr>
            <w:tcW w:w="992" w:type="dxa"/>
          </w:tcPr>
          <w:p w14:paraId="24AAE1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992" w:type="dxa"/>
          </w:tcPr>
          <w:p w14:paraId="4A967E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3" w:type="dxa"/>
          </w:tcPr>
          <w:p w14:paraId="0A8633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597EE6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747060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r>
      <w:tr w:rsidR="00983732" w:rsidRPr="00A3026E" w14:paraId="17415379" w14:textId="77777777" w:rsidTr="00EA0DA7">
        <w:trPr>
          <w:trHeight w:val="252"/>
        </w:trPr>
        <w:tc>
          <w:tcPr>
            <w:tcW w:w="994" w:type="dxa"/>
          </w:tcPr>
          <w:p w14:paraId="13A236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292</w:t>
            </w:r>
          </w:p>
        </w:tc>
        <w:tc>
          <w:tcPr>
            <w:tcW w:w="991" w:type="dxa"/>
          </w:tcPr>
          <w:p w14:paraId="51213C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Як-3</w:t>
            </w:r>
          </w:p>
        </w:tc>
        <w:tc>
          <w:tcPr>
            <w:tcW w:w="992" w:type="dxa"/>
          </w:tcPr>
          <w:p w14:paraId="032062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0C5D89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w:t>
            </w:r>
          </w:p>
        </w:tc>
        <w:tc>
          <w:tcPr>
            <w:tcW w:w="993" w:type="dxa"/>
          </w:tcPr>
          <w:p w14:paraId="7B6ED1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992" w:type="dxa"/>
          </w:tcPr>
          <w:p w14:paraId="656CD7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w:t>
            </w:r>
          </w:p>
        </w:tc>
        <w:tc>
          <w:tcPr>
            <w:tcW w:w="992" w:type="dxa"/>
          </w:tcPr>
          <w:p w14:paraId="1B9752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880</w:t>
            </w:r>
          </w:p>
        </w:tc>
      </w:tr>
      <w:tr w:rsidR="00983732" w:rsidRPr="00A3026E" w14:paraId="3BC7B10A" w14:textId="77777777" w:rsidTr="00EA0DA7">
        <w:trPr>
          <w:trHeight w:val="259"/>
        </w:trPr>
        <w:tc>
          <w:tcPr>
            <w:tcW w:w="994" w:type="dxa"/>
          </w:tcPr>
          <w:p w14:paraId="402C0D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301</w:t>
            </w:r>
          </w:p>
        </w:tc>
        <w:tc>
          <w:tcPr>
            <w:tcW w:w="991" w:type="dxa"/>
          </w:tcPr>
          <w:p w14:paraId="751AE1F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Як-1</w:t>
            </w:r>
          </w:p>
        </w:tc>
        <w:tc>
          <w:tcPr>
            <w:tcW w:w="992" w:type="dxa"/>
          </w:tcPr>
          <w:p w14:paraId="235CA9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w:t>
            </w:r>
          </w:p>
        </w:tc>
        <w:tc>
          <w:tcPr>
            <w:tcW w:w="992" w:type="dxa"/>
          </w:tcPr>
          <w:p w14:paraId="34E590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3" w:type="dxa"/>
          </w:tcPr>
          <w:p w14:paraId="65F41B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60DB37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54FE53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w:t>
            </w:r>
          </w:p>
        </w:tc>
      </w:tr>
      <w:tr w:rsidR="00983732" w:rsidRPr="00A3026E" w14:paraId="1718A3BD" w14:textId="77777777" w:rsidTr="00EA0DA7">
        <w:trPr>
          <w:trHeight w:val="230"/>
        </w:trPr>
        <w:tc>
          <w:tcPr>
            <w:tcW w:w="994" w:type="dxa"/>
          </w:tcPr>
          <w:p w14:paraId="76DFB2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301</w:t>
            </w:r>
          </w:p>
        </w:tc>
        <w:tc>
          <w:tcPr>
            <w:tcW w:w="991" w:type="dxa"/>
          </w:tcPr>
          <w:p w14:paraId="7EC58D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Як-3</w:t>
            </w:r>
          </w:p>
        </w:tc>
        <w:tc>
          <w:tcPr>
            <w:tcW w:w="992" w:type="dxa"/>
          </w:tcPr>
          <w:p w14:paraId="7BCB87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4A2513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w:t>
            </w:r>
          </w:p>
        </w:tc>
        <w:tc>
          <w:tcPr>
            <w:tcW w:w="993" w:type="dxa"/>
          </w:tcPr>
          <w:p w14:paraId="0B7345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tc>
        <w:tc>
          <w:tcPr>
            <w:tcW w:w="992" w:type="dxa"/>
          </w:tcPr>
          <w:p w14:paraId="603491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992" w:type="dxa"/>
          </w:tcPr>
          <w:p w14:paraId="5BB703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590</w:t>
            </w:r>
          </w:p>
        </w:tc>
      </w:tr>
      <w:tr w:rsidR="00983732" w:rsidRPr="00A3026E" w14:paraId="6E080F84" w14:textId="77777777" w:rsidTr="00EA0DA7">
        <w:trPr>
          <w:trHeight w:val="259"/>
        </w:trPr>
        <w:tc>
          <w:tcPr>
            <w:tcW w:w="993" w:type="dxa"/>
          </w:tcPr>
          <w:p w14:paraId="274E57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w:t>
            </w:r>
          </w:p>
        </w:tc>
        <w:tc>
          <w:tcPr>
            <w:tcW w:w="992" w:type="dxa"/>
          </w:tcPr>
          <w:p w14:paraId="03748C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Як-4</w:t>
            </w:r>
          </w:p>
        </w:tc>
        <w:tc>
          <w:tcPr>
            <w:tcW w:w="992" w:type="dxa"/>
          </w:tcPr>
          <w:p w14:paraId="293A56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992" w:type="dxa"/>
          </w:tcPr>
          <w:p w14:paraId="3E0DCB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993" w:type="dxa"/>
          </w:tcPr>
          <w:p w14:paraId="325211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2" w:type="dxa"/>
          </w:tcPr>
          <w:p w14:paraId="117D35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992" w:type="dxa"/>
          </w:tcPr>
          <w:p w14:paraId="0B87A6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r>
      <w:tr w:rsidR="00983732" w:rsidRPr="00A3026E" w14:paraId="55E40EC0" w14:textId="77777777" w:rsidTr="00EA0DA7">
        <w:trPr>
          <w:trHeight w:val="252"/>
        </w:trPr>
        <w:tc>
          <w:tcPr>
            <w:tcW w:w="993" w:type="dxa"/>
          </w:tcPr>
          <w:p w14:paraId="464821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381</w:t>
            </w:r>
          </w:p>
        </w:tc>
        <w:tc>
          <w:tcPr>
            <w:tcW w:w="992" w:type="dxa"/>
          </w:tcPr>
          <w:p w14:paraId="5829EC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w:t>
            </w:r>
          </w:p>
        </w:tc>
        <w:tc>
          <w:tcPr>
            <w:tcW w:w="992" w:type="dxa"/>
          </w:tcPr>
          <w:p w14:paraId="5B5A75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992" w:type="dxa"/>
          </w:tcPr>
          <w:p w14:paraId="384F06B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993" w:type="dxa"/>
          </w:tcPr>
          <w:p w14:paraId="4AC13E2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992" w:type="dxa"/>
          </w:tcPr>
          <w:p w14:paraId="7279FC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2" w:type="dxa"/>
          </w:tcPr>
          <w:p w14:paraId="4CEA5C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r>
      <w:tr w:rsidR="00983732" w:rsidRPr="00A3026E" w14:paraId="09C9FC6B" w14:textId="77777777" w:rsidTr="00EA0DA7">
        <w:trPr>
          <w:trHeight w:val="259"/>
        </w:trPr>
        <w:tc>
          <w:tcPr>
            <w:tcW w:w="993" w:type="dxa"/>
          </w:tcPr>
          <w:p w14:paraId="2916C3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387</w:t>
            </w:r>
          </w:p>
        </w:tc>
        <w:tc>
          <w:tcPr>
            <w:tcW w:w="992" w:type="dxa"/>
          </w:tcPr>
          <w:p w14:paraId="695ABB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У-2</w:t>
            </w:r>
          </w:p>
        </w:tc>
        <w:tc>
          <w:tcPr>
            <w:tcW w:w="992" w:type="dxa"/>
          </w:tcPr>
          <w:p w14:paraId="58D1F4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2" w:type="dxa"/>
          </w:tcPr>
          <w:p w14:paraId="09B055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993" w:type="dxa"/>
          </w:tcPr>
          <w:p w14:paraId="4CCBA1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992" w:type="dxa"/>
          </w:tcPr>
          <w:p w14:paraId="3B11D5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992" w:type="dxa"/>
          </w:tcPr>
          <w:p w14:paraId="3630D0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r>
      <w:tr w:rsidR="00983732" w:rsidRPr="00A3026E" w14:paraId="63853A6E" w14:textId="77777777" w:rsidTr="00EA0DA7">
        <w:trPr>
          <w:trHeight w:val="252"/>
        </w:trPr>
        <w:tc>
          <w:tcPr>
            <w:tcW w:w="993" w:type="dxa"/>
          </w:tcPr>
          <w:p w14:paraId="24E53C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387</w:t>
            </w:r>
          </w:p>
        </w:tc>
        <w:tc>
          <w:tcPr>
            <w:tcW w:w="992" w:type="dxa"/>
          </w:tcPr>
          <w:p w14:paraId="095204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С-2</w:t>
            </w:r>
          </w:p>
        </w:tc>
        <w:tc>
          <w:tcPr>
            <w:tcW w:w="992" w:type="dxa"/>
          </w:tcPr>
          <w:p w14:paraId="2A7C1E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2" w:type="dxa"/>
          </w:tcPr>
          <w:p w14:paraId="76BAFD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3" w:type="dxa"/>
          </w:tcPr>
          <w:p w14:paraId="7E9C19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4588433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178850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1DA3E927" w14:textId="77777777" w:rsidTr="00EA0DA7">
        <w:trPr>
          <w:trHeight w:val="252"/>
        </w:trPr>
        <w:tc>
          <w:tcPr>
            <w:tcW w:w="993" w:type="dxa"/>
          </w:tcPr>
          <w:p w14:paraId="091F78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992" w:type="dxa"/>
          </w:tcPr>
          <w:p w14:paraId="175C18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w:t>
            </w:r>
          </w:p>
        </w:tc>
        <w:tc>
          <w:tcPr>
            <w:tcW w:w="992" w:type="dxa"/>
          </w:tcPr>
          <w:p w14:paraId="432239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1306F7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993" w:type="dxa"/>
          </w:tcPr>
          <w:p w14:paraId="0D564B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992" w:type="dxa"/>
          </w:tcPr>
          <w:p w14:paraId="42AD9F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992" w:type="dxa"/>
          </w:tcPr>
          <w:p w14:paraId="19BA5D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74A6E869" w14:textId="77777777" w:rsidTr="00EA0DA7">
        <w:trPr>
          <w:trHeight w:val="252"/>
        </w:trPr>
        <w:tc>
          <w:tcPr>
            <w:tcW w:w="993" w:type="dxa"/>
          </w:tcPr>
          <w:p w14:paraId="34344B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458</w:t>
            </w:r>
          </w:p>
        </w:tc>
        <w:tc>
          <w:tcPr>
            <w:tcW w:w="992" w:type="dxa"/>
          </w:tcPr>
          <w:p w14:paraId="55400D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УТИ-4</w:t>
            </w:r>
          </w:p>
        </w:tc>
        <w:tc>
          <w:tcPr>
            <w:tcW w:w="992" w:type="dxa"/>
          </w:tcPr>
          <w:p w14:paraId="154BA4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992" w:type="dxa"/>
          </w:tcPr>
          <w:p w14:paraId="11EA3F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993" w:type="dxa"/>
          </w:tcPr>
          <w:p w14:paraId="628F96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2" w:type="dxa"/>
          </w:tcPr>
          <w:p w14:paraId="398DBA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2" w:type="dxa"/>
          </w:tcPr>
          <w:p w14:paraId="0D2F8F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w:t>
            </w:r>
          </w:p>
        </w:tc>
      </w:tr>
      <w:tr w:rsidR="00983732" w:rsidRPr="00A3026E" w14:paraId="5F3CFB22" w14:textId="77777777" w:rsidTr="00EA0DA7">
        <w:trPr>
          <w:trHeight w:val="252"/>
        </w:trPr>
        <w:tc>
          <w:tcPr>
            <w:tcW w:w="993" w:type="dxa"/>
          </w:tcPr>
          <w:p w14:paraId="422EEF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463</w:t>
            </w:r>
          </w:p>
        </w:tc>
        <w:tc>
          <w:tcPr>
            <w:tcW w:w="992" w:type="dxa"/>
          </w:tcPr>
          <w:p w14:paraId="1DB2FF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w:t>
            </w:r>
          </w:p>
        </w:tc>
        <w:tc>
          <w:tcPr>
            <w:tcW w:w="992" w:type="dxa"/>
          </w:tcPr>
          <w:p w14:paraId="770135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04716B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3" w:type="dxa"/>
          </w:tcPr>
          <w:p w14:paraId="0E3C77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992" w:type="dxa"/>
          </w:tcPr>
          <w:p w14:paraId="40C272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992" w:type="dxa"/>
          </w:tcPr>
          <w:p w14:paraId="7EA6C7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r>
      <w:tr w:rsidR="00983732" w:rsidRPr="00A3026E" w14:paraId="42A138A2" w14:textId="77777777" w:rsidTr="00EA0DA7">
        <w:trPr>
          <w:trHeight w:val="252"/>
        </w:trPr>
        <w:tc>
          <w:tcPr>
            <w:tcW w:w="993" w:type="dxa"/>
          </w:tcPr>
          <w:p w14:paraId="417B28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464</w:t>
            </w:r>
          </w:p>
        </w:tc>
        <w:tc>
          <w:tcPr>
            <w:tcW w:w="992" w:type="dxa"/>
          </w:tcPr>
          <w:p w14:paraId="2CBD9A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УТИ-26</w:t>
            </w:r>
          </w:p>
        </w:tc>
        <w:tc>
          <w:tcPr>
            <w:tcW w:w="992" w:type="dxa"/>
          </w:tcPr>
          <w:p w14:paraId="00DFD7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2652FC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3" w:type="dxa"/>
          </w:tcPr>
          <w:p w14:paraId="58A284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992" w:type="dxa"/>
          </w:tcPr>
          <w:p w14:paraId="6DC7C2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992" w:type="dxa"/>
          </w:tcPr>
          <w:p w14:paraId="237460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123BCAED" w14:textId="77777777" w:rsidTr="00EA0DA7">
        <w:trPr>
          <w:trHeight w:val="252"/>
        </w:trPr>
        <w:tc>
          <w:tcPr>
            <w:tcW w:w="993" w:type="dxa"/>
            <w:tcBorders>
              <w:bottom w:val="single" w:sz="12" w:space="0" w:color="auto"/>
            </w:tcBorders>
          </w:tcPr>
          <w:p w14:paraId="3E0673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465</w:t>
            </w:r>
          </w:p>
        </w:tc>
        <w:tc>
          <w:tcPr>
            <w:tcW w:w="992" w:type="dxa"/>
            <w:tcBorders>
              <w:bottom w:val="single" w:sz="12" w:space="0" w:color="auto"/>
            </w:tcBorders>
          </w:tcPr>
          <w:p w14:paraId="189618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ута-26</w:t>
            </w:r>
          </w:p>
        </w:tc>
        <w:tc>
          <w:tcPr>
            <w:tcW w:w="992" w:type="dxa"/>
            <w:tcBorders>
              <w:bottom w:val="single" w:sz="12" w:space="0" w:color="auto"/>
            </w:tcBorders>
          </w:tcPr>
          <w:p w14:paraId="513219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Borders>
              <w:bottom w:val="single" w:sz="12" w:space="0" w:color="auto"/>
            </w:tcBorders>
          </w:tcPr>
          <w:p w14:paraId="0A1A81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3" w:type="dxa"/>
            <w:tcBorders>
              <w:bottom w:val="single" w:sz="12" w:space="0" w:color="auto"/>
            </w:tcBorders>
          </w:tcPr>
          <w:p w14:paraId="35F55F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992" w:type="dxa"/>
            <w:tcBorders>
              <w:bottom w:val="single" w:sz="12" w:space="0" w:color="auto"/>
            </w:tcBorders>
          </w:tcPr>
          <w:p w14:paraId="2152AF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992" w:type="dxa"/>
            <w:tcBorders>
              <w:bottom w:val="single" w:sz="12" w:space="0" w:color="auto"/>
            </w:tcBorders>
          </w:tcPr>
          <w:p w14:paraId="7C34D7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r>
    </w:tbl>
    <w:p w14:paraId="1AE4AAF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Составлена по: Российский государственный архив социально-политической истории (РГАСПИ). Ф. 17. Оп. 162. Д 30. Л. 102. От оригинального варианта данная таблица отличается, в частности, от</w:t>
      </w:r>
      <w:r w:rsidRPr="00A3026E">
        <w:rPr>
          <w:rFonts w:ascii="Times New Roman" w:hAnsi="Times New Roman"/>
          <w:color w:val="000000" w:themeColor="text1"/>
          <w:sz w:val="16"/>
          <w:szCs w:val="16"/>
        </w:rPr>
        <w:softHyphen/>
        <w:t>сутствием данных по предполагаемому выпуску самолетов за I квартал 1942 г., а также вьщелением данных о производстве самолетов «Як-1» отдельными строками (11672,496).</w:t>
      </w:r>
    </w:p>
    <w:p w14:paraId="517F501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C2F9E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СНК и ЦК ВКП(б) приняли постановление о программе выпуска новых образцов самолетов на 1941 (237,192) N 2466-1096cc "О программе выпуска самолетов, авиамоторов и авиавинтов в 1941 году" (416,58).</w:t>
      </w:r>
    </w:p>
    <w:p w14:paraId="69F0C2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Через месяц после отправки письма С.В.Ильюшин - 7 декабря 1940 что ли - С.В.И. был вызван в Кремль проинформировать о новом самолете и его снова пытались убедить в правоте военных (23,23).</w:t>
      </w:r>
    </w:p>
    <w:p w14:paraId="546302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Поход в ЦК наконец-то принес практические результаты по вопросу запуска штурмовика в серию и С.В.Ильюшину было предложено передать техдокументацию на одноместную машину на завод N 18 (24,251).</w:t>
      </w:r>
    </w:p>
    <w:p w14:paraId="755CB8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официальной историографии ОКБ С.В.И. правительство приняло решения на дожидаясь окончания государственных испытаний начать подготовку к серийному производству (5) на трех заводах.</w:t>
      </w:r>
    </w:p>
    <w:p w14:paraId="011A9B7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4C9D9B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w:t>
      </w:r>
    </w:p>
    <w:p w14:paraId="7EB182D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168. Постановление СНК СССР и ЦК ВКП(б) № 2466-1096сс “О программе выпуска самолетов и авиамоторов в 1941 г.”</w:t>
      </w:r>
    </w:p>
    <w:p w14:paraId="7AF55D2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Источник: </w:t>
      </w:r>
    </w:p>
    <w:p w14:paraId="320476E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663-667.</w:t>
      </w:r>
    </w:p>
    <w:p w14:paraId="7052DAA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Архив: </w:t>
      </w:r>
    </w:p>
    <w:p w14:paraId="359C1FB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 РФ. Ф. Р-5446. Оп. 3ас. Д. 2. Л. 252-258. Заверенная копия.</w:t>
      </w:r>
    </w:p>
    <w:p w14:paraId="4179E63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Совершенно секретно. </w:t>
      </w:r>
    </w:p>
    <w:p w14:paraId="7C82401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(Особая папка).</w:t>
      </w:r>
    </w:p>
    <w:p w14:paraId="2BE1D0A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Совет народных комиссаров Союза ССР и Центральный комитет ВКП(б) постановляют:</w:t>
      </w:r>
    </w:p>
    <w:p w14:paraId="110F75B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Установить Наркомавиапрому следующую программу выпуска самолетов в 1941 г.[</w:t>
      </w:r>
      <w:hyperlink r:id="rId137" w:anchor="p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94"/>
        <w:gridCol w:w="1151"/>
        <w:gridCol w:w="1382"/>
        <w:gridCol w:w="1320"/>
        <w:gridCol w:w="1419"/>
        <w:gridCol w:w="1436"/>
        <w:gridCol w:w="1220"/>
      </w:tblGrid>
      <w:tr w:rsidR="00983732" w:rsidRPr="00A3026E" w14:paraId="0684BE3B" w14:textId="77777777" w:rsidTr="007E425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237A1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самолета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10ECBC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p w14:paraId="2FAD20F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FD72F2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D38B4B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квартал</w:t>
            </w:r>
          </w:p>
          <w:p w14:paraId="23797B8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1942 г.</w:t>
            </w:r>
          </w:p>
        </w:tc>
      </w:tr>
      <w:tr w:rsidR="00983732" w:rsidRPr="00A3026E" w14:paraId="614C770C" w14:textId="77777777" w:rsidTr="007E425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D82808A"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289F894"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1F7B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8A3D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2A0C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F67F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квартал</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2B41312"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r>
      <w:tr w:rsidR="00983732" w:rsidRPr="00A3026E" w14:paraId="25FFE84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7FFB9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305A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D9E6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3C0F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ED03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6E44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0ACC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7940</w:t>
            </w:r>
          </w:p>
        </w:tc>
      </w:tr>
      <w:tr w:rsidR="00983732" w:rsidRPr="00A3026E" w14:paraId="1B4FA2E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7E3A1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85A5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E22A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44E3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95CE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D403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4557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6A9BB65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2853C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w:t>
            </w:r>
            <w:r w:rsidRPr="00A3026E">
              <w:rPr>
                <w:rFonts w:ascii="Times New Roman" w:hAnsi="Times New Roman"/>
                <w:color w:val="000000" w:themeColor="text1"/>
                <w:sz w:val="16"/>
                <w:szCs w:val="16"/>
              </w:rPr>
              <w:noBreakHyphen/>
              <w:t>3 АМ</w:t>
            </w:r>
            <w:r w:rsidRPr="00A3026E">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1C78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1BED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3551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4070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F8AA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768C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0ACD45F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B01BB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w:t>
            </w:r>
            <w:r w:rsidRPr="00A3026E">
              <w:rPr>
                <w:rFonts w:ascii="Times New Roman" w:hAnsi="Times New Roman"/>
                <w:color w:val="000000" w:themeColor="text1"/>
                <w:sz w:val="16"/>
                <w:szCs w:val="16"/>
              </w:rPr>
              <w:noBreakHyphen/>
              <w:t>3 М</w:t>
            </w:r>
            <w:r w:rsidRPr="00A3026E">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37CE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C039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25E8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0E3A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AD84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9299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1570</w:t>
            </w:r>
          </w:p>
        </w:tc>
      </w:tr>
      <w:tr w:rsidR="00983732" w:rsidRPr="00A3026E" w14:paraId="38F07E4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030DB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w:t>
            </w:r>
            <w:r w:rsidRPr="00A3026E">
              <w:rPr>
                <w:rFonts w:ascii="Times New Roman" w:hAnsi="Times New Roman"/>
                <w:color w:val="000000" w:themeColor="text1"/>
                <w:sz w:val="16"/>
                <w:szCs w:val="16"/>
              </w:rPr>
              <w:noBreakHyphen/>
              <w:t>3 М</w:t>
            </w:r>
            <w:r w:rsidRPr="00A3026E">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1392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9B48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 (Як</w:t>
            </w:r>
            <w:r w:rsidRPr="00A3026E">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F8B4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EF80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F4C6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346D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785</w:t>
            </w:r>
          </w:p>
        </w:tc>
      </w:tr>
      <w:tr w:rsidR="00983732" w:rsidRPr="00A3026E" w14:paraId="13DBEEB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28D55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истребителей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D2DE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6622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0B30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1289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E741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90E7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3555</w:t>
            </w:r>
          </w:p>
        </w:tc>
      </w:tr>
      <w:tr w:rsidR="00983732" w:rsidRPr="00A3026E" w14:paraId="3902A31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61275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FE88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9A4C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2E5D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8660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E532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83B9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651A57F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385D2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Ер</w:t>
            </w:r>
            <w:r w:rsidRPr="00A3026E">
              <w:rPr>
                <w:rFonts w:ascii="Times New Roman" w:hAnsi="Times New Roman"/>
                <w:color w:val="000000" w:themeColor="text1"/>
                <w:sz w:val="16"/>
                <w:szCs w:val="16"/>
              </w:rPr>
              <w:noBreakHyphen/>
              <w:t>2 2М</w:t>
            </w:r>
            <w:r w:rsidRPr="00A3026E">
              <w:rPr>
                <w:rFonts w:ascii="Times New Roman" w:hAnsi="Times New Roman"/>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ACEA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5BD1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3396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ED4E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B692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CF97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699CC2A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AD787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w:t>
            </w:r>
            <w:r w:rsidRPr="00A3026E">
              <w:rPr>
                <w:rFonts w:ascii="Times New Roman" w:hAnsi="Times New Roman"/>
                <w:color w:val="000000" w:themeColor="text1"/>
                <w:sz w:val="16"/>
                <w:szCs w:val="16"/>
              </w:rPr>
              <w:noBreakHyphen/>
              <w:t>2 2М</w:t>
            </w:r>
            <w:r w:rsidRPr="00A3026E">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46AD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3979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C564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5A49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8692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6183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955</w:t>
            </w:r>
          </w:p>
        </w:tc>
      </w:tr>
      <w:tr w:rsidR="00983732" w:rsidRPr="00A3026E" w14:paraId="6E7CEE4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E4B9D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w:t>
            </w:r>
            <w:r w:rsidRPr="00A3026E">
              <w:rPr>
                <w:rFonts w:ascii="Times New Roman" w:hAnsi="Times New Roman"/>
                <w:color w:val="000000" w:themeColor="text1"/>
                <w:sz w:val="16"/>
                <w:szCs w:val="16"/>
              </w:rPr>
              <w:noBreakHyphen/>
              <w:t>2 2М</w:t>
            </w:r>
            <w:r w:rsidRPr="00A3026E">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95A6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DBBD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D121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A9E3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3A85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E436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6B8C1D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CD2F0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w:t>
            </w:r>
            <w:r w:rsidRPr="00A3026E">
              <w:rPr>
                <w:rFonts w:ascii="Times New Roman" w:hAnsi="Times New Roman"/>
                <w:color w:val="000000" w:themeColor="text1"/>
                <w:sz w:val="16"/>
                <w:szCs w:val="16"/>
              </w:rPr>
              <w:noBreakHyphen/>
              <w:t>4 2 М</w:t>
            </w:r>
            <w:r w:rsidRPr="00A3026E">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1B2F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AEFD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FE39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B2BF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366B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88A9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r>
      <w:tr w:rsidR="00983732" w:rsidRPr="00A3026E" w14:paraId="20E478E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F0C41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w:t>
            </w:r>
            <w:r w:rsidRPr="00A3026E">
              <w:rPr>
                <w:rFonts w:ascii="Times New Roman" w:hAnsi="Times New Roman"/>
                <w:color w:val="000000" w:themeColor="text1"/>
                <w:sz w:val="16"/>
                <w:szCs w:val="16"/>
              </w:rPr>
              <w:noBreakHyphen/>
              <w:t>7 4М</w:t>
            </w:r>
            <w:r w:rsidRPr="00A3026E">
              <w:rPr>
                <w:rFonts w:ascii="Times New Roman" w:hAnsi="Times New Roman"/>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FC40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F3AC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F752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F541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9727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8E1A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r>
      <w:tr w:rsidR="00983732" w:rsidRPr="00A3026E" w14:paraId="4115D31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FF6EE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w:t>
            </w:r>
            <w:r w:rsidRPr="00A3026E">
              <w:rPr>
                <w:rFonts w:ascii="Times New Roman" w:hAnsi="Times New Roman"/>
                <w:color w:val="000000" w:themeColor="text1"/>
                <w:sz w:val="16"/>
                <w:szCs w:val="16"/>
              </w:rPr>
              <w:noBreakHyphen/>
              <w:t>2 М</w:t>
            </w:r>
            <w:r w:rsidRPr="00A3026E">
              <w:rPr>
                <w:rFonts w:ascii="Times New Roman" w:hAnsi="Times New Roman"/>
                <w:color w:val="000000" w:themeColor="text1"/>
                <w:sz w:val="16"/>
                <w:szCs w:val="16"/>
              </w:rPr>
              <w:noBreakHyphen/>
              <w:t>88 ,89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EF2E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9775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3FBE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3A8D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1AE8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14A2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485</w:t>
            </w:r>
          </w:p>
        </w:tc>
      </w:tr>
      <w:tr w:rsidR="00983732" w:rsidRPr="00A3026E" w14:paraId="1F329E1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4F0F6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ШБ</w:t>
            </w:r>
            <w:r w:rsidRPr="00A3026E">
              <w:rPr>
                <w:rFonts w:ascii="Times New Roman" w:hAnsi="Times New Roman"/>
                <w:color w:val="000000" w:themeColor="text1"/>
                <w:sz w:val="16"/>
                <w:szCs w:val="16"/>
              </w:rPr>
              <w:noBreakHyphen/>
              <w:t>ЗФ 2М</w:t>
            </w:r>
            <w:r w:rsidRPr="00A3026E">
              <w:rPr>
                <w:rFonts w:ascii="Times New Roman" w:hAnsi="Times New Roman"/>
                <w:color w:val="000000" w:themeColor="text1"/>
                <w:sz w:val="16"/>
                <w:szCs w:val="16"/>
              </w:rPr>
              <w:noBreakHyphen/>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F1FF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AF5A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F62E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24A8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2EF1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C415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7DCB510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E78DC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бомбардировщиков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6F8B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F594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0840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60A5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7608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E17F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2280</w:t>
            </w:r>
          </w:p>
        </w:tc>
      </w:tr>
      <w:tr w:rsidR="00983732" w:rsidRPr="00A3026E" w14:paraId="7C74709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F046A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Штурмовики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2FE5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3ED5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573C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8851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5D83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44CD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7733ED5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0FB88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w:t>
            </w:r>
            <w:r w:rsidRPr="00A3026E">
              <w:rPr>
                <w:rFonts w:ascii="Times New Roman" w:hAnsi="Times New Roman"/>
                <w:color w:val="000000" w:themeColor="text1"/>
                <w:sz w:val="16"/>
                <w:szCs w:val="16"/>
              </w:rPr>
              <w:noBreakHyphen/>
              <w:t>2 АМ</w:t>
            </w:r>
            <w:r w:rsidRPr="00A3026E">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6058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DFB2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815F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EF9D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4BDC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02B2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805</w:t>
            </w:r>
          </w:p>
        </w:tc>
      </w:tr>
      <w:tr w:rsidR="00983732" w:rsidRPr="00A3026E" w14:paraId="257FF4A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25777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Морские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55EC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2FCB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610A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9F9D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35E4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50FE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1CE995B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D9551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w:t>
            </w:r>
            <w:r w:rsidRPr="00A3026E">
              <w:rPr>
                <w:rFonts w:ascii="Times New Roman" w:hAnsi="Times New Roman"/>
                <w:color w:val="000000" w:themeColor="text1"/>
                <w:sz w:val="16"/>
                <w:szCs w:val="16"/>
              </w:rPr>
              <w:noBreakHyphen/>
              <w:t>6 2М</w:t>
            </w:r>
            <w:r w:rsidRPr="00A3026E">
              <w:rPr>
                <w:rFonts w:ascii="Times New Roman" w:hAnsi="Times New Roman"/>
                <w:color w:val="000000" w:themeColor="text1"/>
                <w:sz w:val="16"/>
                <w:szCs w:val="16"/>
              </w:rPr>
              <w:noBreakHyphen/>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1B2C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3BC2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611C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5424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BA99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5772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r>
      <w:tr w:rsidR="00983732" w:rsidRPr="00A3026E" w14:paraId="1969036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22942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боевых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A9F3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AF54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02E5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D692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8294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46B6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6720</w:t>
            </w:r>
          </w:p>
        </w:tc>
      </w:tr>
      <w:tr w:rsidR="00983732" w:rsidRPr="00A3026E" w14:paraId="15F3644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B3FD4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Транспортные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8607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A713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5B0E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0860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29AE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D5A0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66F7B65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5BF32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w:t>
            </w:r>
            <w:r w:rsidRPr="00A3026E">
              <w:rPr>
                <w:rFonts w:ascii="Times New Roman" w:hAnsi="Times New Roman"/>
                <w:color w:val="000000" w:themeColor="text1"/>
                <w:sz w:val="16"/>
                <w:szCs w:val="16"/>
              </w:rPr>
              <w:noBreakHyphen/>
              <w:t>84 КМ</w:t>
            </w:r>
            <w:r w:rsidRPr="00A3026E">
              <w:rPr>
                <w:rFonts w:ascii="Times New Roman" w:hAnsi="Times New Roman"/>
                <w:color w:val="000000" w:themeColor="text1"/>
                <w:sz w:val="16"/>
                <w:szCs w:val="16"/>
              </w:rPr>
              <w:noBreakHyphen/>
              <w:t>62ИР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11C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4089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A734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45BC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0DE8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655D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41A5E60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1A885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Учебные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E151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B6A1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10B2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5D67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1AAB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FD2C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672AAB2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7643D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w:t>
            </w:r>
            <w:r w:rsidRPr="00A3026E">
              <w:rPr>
                <w:rFonts w:ascii="Times New Roman" w:hAnsi="Times New Roman"/>
                <w:color w:val="000000" w:themeColor="text1"/>
                <w:sz w:val="16"/>
                <w:szCs w:val="16"/>
              </w:rPr>
              <w:noBreakHyphen/>
              <w:t>26 М</w:t>
            </w:r>
            <w:r w:rsidRPr="00A3026E">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4F91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43EA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50E1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B999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0507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A819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r>
      <w:tr w:rsidR="00983732" w:rsidRPr="00A3026E" w14:paraId="63DBC32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F5495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w:t>
            </w:r>
            <w:r w:rsidRPr="00A3026E">
              <w:rPr>
                <w:rFonts w:ascii="Times New Roman" w:hAnsi="Times New Roman"/>
                <w:color w:val="000000" w:themeColor="text1"/>
                <w:sz w:val="16"/>
                <w:szCs w:val="16"/>
              </w:rPr>
              <w:noBreakHyphen/>
              <w:t>4 М</w:t>
            </w:r>
            <w:r w:rsidRPr="00A3026E">
              <w:rPr>
                <w:rFonts w:ascii="Times New Roman" w:hAnsi="Times New Roman"/>
                <w:color w:val="000000" w:themeColor="text1"/>
                <w:sz w:val="16"/>
                <w:szCs w:val="16"/>
              </w:rPr>
              <w:noBreakHyphen/>
              <w:t>25В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B7BB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56DD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4064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1D9F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2A79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4897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2193B2D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DA65D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w:t>
            </w:r>
            <w:r w:rsidRPr="00A3026E">
              <w:rPr>
                <w:rFonts w:ascii="Times New Roman" w:hAnsi="Times New Roman"/>
                <w:color w:val="000000" w:themeColor="text1"/>
                <w:sz w:val="16"/>
                <w:szCs w:val="16"/>
              </w:rPr>
              <w:noBreakHyphen/>
              <w:t>2 М</w:t>
            </w:r>
            <w:r w:rsidRPr="00A3026E">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2C00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E9AB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2950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B337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2FA0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DF02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310</w:t>
            </w:r>
          </w:p>
        </w:tc>
      </w:tr>
      <w:tr w:rsidR="00983732" w:rsidRPr="00A3026E" w14:paraId="0628563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406FF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w:t>
            </w:r>
            <w:r w:rsidRPr="00A3026E">
              <w:rPr>
                <w:rFonts w:ascii="Times New Roman" w:hAnsi="Times New Roman"/>
                <w:color w:val="000000" w:themeColor="text1"/>
                <w:sz w:val="16"/>
                <w:szCs w:val="16"/>
              </w:rPr>
              <w:noBreakHyphen/>
              <w:t>2 М</w:t>
            </w:r>
            <w:r w:rsidRPr="00A3026E">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447B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05AC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649B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70D1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EA8E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2E64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r>
      <w:tr w:rsidR="00983732" w:rsidRPr="00A3026E" w14:paraId="4F34C1F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0F0C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w:t>
            </w:r>
            <w:r w:rsidRPr="00A3026E">
              <w:rPr>
                <w:rFonts w:ascii="Times New Roman" w:hAnsi="Times New Roman"/>
                <w:color w:val="000000" w:themeColor="text1"/>
                <w:sz w:val="16"/>
                <w:szCs w:val="16"/>
              </w:rPr>
              <w:noBreakHyphen/>
              <w:t>2 М</w:t>
            </w:r>
            <w:r w:rsidRPr="00A3026E">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19F8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15EA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8DC1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0841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884D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C995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49F8EF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02865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учебных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7738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7819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37A9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39D1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D92A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1009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r>
    </w:tbl>
    <w:p w14:paraId="583CA73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Установить программу выпуска самолетов по заводам  Наркомавиапрома в 1941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85"/>
        <w:gridCol w:w="2145"/>
        <w:gridCol w:w="1131"/>
        <w:gridCol w:w="1358"/>
        <w:gridCol w:w="1297"/>
        <w:gridCol w:w="1395"/>
        <w:gridCol w:w="1412"/>
        <w:gridCol w:w="1199"/>
      </w:tblGrid>
      <w:tr w:rsidR="00983732" w:rsidRPr="00A3026E" w14:paraId="5B60DDB0" w14:textId="77777777" w:rsidTr="007E425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E7009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заво</w:t>
            </w:r>
            <w:r w:rsidRPr="00A3026E">
              <w:rPr>
                <w:rFonts w:ascii="Times New Roman" w:hAnsi="Times New Roman"/>
                <w:color w:val="000000" w:themeColor="text1"/>
                <w:sz w:val="16"/>
                <w:szCs w:val="16"/>
              </w:rPr>
              <w:softHyphen/>
              <w:t>дов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0F132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самолета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35F692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p w14:paraId="3E520C2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CA83DB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541BE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квартал</w:t>
            </w:r>
          </w:p>
          <w:p w14:paraId="6EC01E8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1942 г.</w:t>
            </w:r>
          </w:p>
        </w:tc>
      </w:tr>
      <w:tr w:rsidR="00983732" w:rsidRPr="00A3026E" w14:paraId="7381407C" w14:textId="77777777" w:rsidTr="007E425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E259A75"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A33518"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738DB92"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4C41A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EDCA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32B8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AFEC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квартал</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6DC7BAC"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r>
      <w:tr w:rsidR="00983732" w:rsidRPr="00A3026E" w14:paraId="774CE98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93CE6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335B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w:t>
            </w:r>
            <w:r w:rsidRPr="00A3026E">
              <w:rPr>
                <w:rFonts w:ascii="Times New Roman" w:hAnsi="Times New Roman"/>
                <w:color w:val="000000" w:themeColor="text1"/>
                <w:sz w:val="16"/>
                <w:szCs w:val="16"/>
              </w:rPr>
              <w:noBreakHyphen/>
              <w:t>3 АМ</w:t>
            </w:r>
            <w:r w:rsidRPr="00A3026E">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F981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9E36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5A4D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164F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BD6B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8E2A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1125</w:t>
            </w:r>
          </w:p>
        </w:tc>
      </w:tr>
      <w:tr w:rsidR="00983732" w:rsidRPr="00A3026E" w14:paraId="5A5D5D6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A7C26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A961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Ер</w:t>
            </w:r>
            <w:r w:rsidRPr="00A3026E">
              <w:rPr>
                <w:rFonts w:ascii="Times New Roman" w:hAnsi="Times New Roman"/>
                <w:color w:val="000000" w:themeColor="text1"/>
                <w:sz w:val="16"/>
                <w:szCs w:val="16"/>
              </w:rPr>
              <w:noBreakHyphen/>
              <w:t>2 2М</w:t>
            </w:r>
            <w:r w:rsidRPr="00A3026E">
              <w:rPr>
                <w:rFonts w:ascii="Times New Roman" w:hAnsi="Times New Roman"/>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D60B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48E0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9367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BA5E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9A3D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EEC5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4E7C308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D63C0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97DB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w:t>
            </w:r>
            <w:r w:rsidRPr="00A3026E">
              <w:rPr>
                <w:rFonts w:ascii="Times New Roman" w:hAnsi="Times New Roman"/>
                <w:color w:val="000000" w:themeColor="text1"/>
                <w:sz w:val="16"/>
                <w:szCs w:val="16"/>
              </w:rPr>
              <w:noBreakHyphen/>
              <w:t>3Ф 2М</w:t>
            </w:r>
            <w:r w:rsidRPr="00A3026E">
              <w:rPr>
                <w:rFonts w:ascii="Times New Roman" w:hAnsi="Times New Roman"/>
                <w:color w:val="000000" w:themeColor="text1"/>
                <w:sz w:val="16"/>
                <w:szCs w:val="16"/>
              </w:rPr>
              <w:noBreakHyphen/>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8663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52CB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008F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4F24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0568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3673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4DB1AF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5D983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41C5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w:t>
            </w:r>
            <w:r w:rsidRPr="00A3026E">
              <w:rPr>
                <w:rFonts w:ascii="Times New Roman" w:hAnsi="Times New Roman"/>
                <w:color w:val="000000" w:themeColor="text1"/>
                <w:sz w:val="16"/>
                <w:szCs w:val="16"/>
              </w:rPr>
              <w:noBreakHyphen/>
              <w:t>2 АМ</w:t>
            </w:r>
            <w:r w:rsidRPr="00A3026E">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F0FB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AB37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41A8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B54C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07A6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3FA0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475</w:t>
            </w:r>
          </w:p>
        </w:tc>
      </w:tr>
      <w:tr w:rsidR="00983732" w:rsidRPr="00A3026E" w14:paraId="5BF50B7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A608F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3B68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w:t>
            </w:r>
            <w:r w:rsidRPr="00A3026E">
              <w:rPr>
                <w:rFonts w:ascii="Times New Roman" w:hAnsi="Times New Roman"/>
                <w:color w:val="000000" w:themeColor="text1"/>
                <w:sz w:val="16"/>
                <w:szCs w:val="16"/>
              </w:rPr>
              <w:noBreakHyphen/>
              <w:t>3 М</w:t>
            </w:r>
            <w:r w:rsidRPr="00A3026E">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E47C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4D5B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6C1D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6329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F7F2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DF32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w:t>
            </w:r>
          </w:p>
        </w:tc>
      </w:tr>
      <w:tr w:rsidR="00983732" w:rsidRPr="00A3026E" w14:paraId="10BAA56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C66D5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E500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w:t>
            </w:r>
            <w:r w:rsidRPr="00A3026E">
              <w:rPr>
                <w:rFonts w:ascii="Times New Roman" w:hAnsi="Times New Roman"/>
                <w:color w:val="000000" w:themeColor="text1"/>
                <w:sz w:val="16"/>
                <w:szCs w:val="16"/>
              </w:rPr>
              <w:noBreakHyphen/>
              <w:t>4 М</w:t>
            </w:r>
            <w:r w:rsidRPr="00A3026E">
              <w:rPr>
                <w:rFonts w:ascii="Times New Roman" w:hAnsi="Times New Roman"/>
                <w:color w:val="000000" w:themeColor="text1"/>
                <w:sz w:val="16"/>
                <w:szCs w:val="16"/>
              </w:rPr>
              <w:noBreakHyphen/>
              <w:t>25В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185D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987C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A362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D639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292B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4324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187789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68ADA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A807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w:t>
            </w:r>
            <w:r w:rsidRPr="00A3026E">
              <w:rPr>
                <w:rFonts w:ascii="Times New Roman" w:hAnsi="Times New Roman"/>
                <w:color w:val="000000" w:themeColor="text1"/>
                <w:sz w:val="16"/>
                <w:szCs w:val="16"/>
              </w:rPr>
              <w:noBreakHyphen/>
              <w:t>2 2М</w:t>
            </w:r>
            <w:r w:rsidRPr="00A3026E">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0045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2672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C00D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8D80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4468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3906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r w:rsidR="00983732" w:rsidRPr="00A3026E" w14:paraId="7597848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2A030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3435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w:t>
            </w:r>
            <w:r w:rsidRPr="00A3026E">
              <w:rPr>
                <w:rFonts w:ascii="Times New Roman" w:hAnsi="Times New Roman"/>
                <w:color w:val="000000" w:themeColor="text1"/>
                <w:sz w:val="16"/>
                <w:szCs w:val="16"/>
              </w:rPr>
              <w:noBreakHyphen/>
              <w:t>2 2М</w:t>
            </w:r>
            <w:r w:rsidRPr="00A3026E">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C317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32EB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35BE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95C5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89B6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F56F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C8A1C3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C3866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9191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w:t>
            </w:r>
            <w:r w:rsidRPr="00A3026E">
              <w:rPr>
                <w:rFonts w:ascii="Times New Roman" w:hAnsi="Times New Roman"/>
                <w:color w:val="000000" w:themeColor="text1"/>
                <w:sz w:val="16"/>
                <w:szCs w:val="16"/>
              </w:rPr>
              <w:noBreakHyphen/>
              <w:t>3 М</w:t>
            </w:r>
            <w:r w:rsidRPr="00A3026E">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3FC6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75AE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82FE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3A4A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FDFA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2D1D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r>
      <w:tr w:rsidR="00983732" w:rsidRPr="00A3026E" w14:paraId="71EE46B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688F3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C18A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w:t>
            </w:r>
            <w:r w:rsidRPr="00A3026E">
              <w:rPr>
                <w:rFonts w:ascii="Times New Roman" w:hAnsi="Times New Roman"/>
                <w:color w:val="000000" w:themeColor="text1"/>
                <w:sz w:val="16"/>
                <w:szCs w:val="16"/>
              </w:rPr>
              <w:noBreakHyphen/>
              <w:t>2 АМ</w:t>
            </w:r>
            <w:r w:rsidRPr="00A3026E">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9FA4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2960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2ABD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819E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6538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EA2F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r>
      <w:tr w:rsidR="00983732" w:rsidRPr="00A3026E" w14:paraId="2C69C31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1C307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C892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w:t>
            </w:r>
            <w:r w:rsidRPr="00A3026E">
              <w:rPr>
                <w:rFonts w:ascii="Times New Roman" w:hAnsi="Times New Roman"/>
                <w:color w:val="000000" w:themeColor="text1"/>
                <w:sz w:val="16"/>
                <w:szCs w:val="16"/>
              </w:rPr>
              <w:noBreakHyphen/>
              <w:t>2 М</w:t>
            </w:r>
            <w:r w:rsidRPr="00A3026E">
              <w:rPr>
                <w:rFonts w:ascii="Times New Roman" w:hAnsi="Times New Roman"/>
                <w:color w:val="000000" w:themeColor="text1"/>
                <w:sz w:val="16"/>
                <w:szCs w:val="16"/>
              </w:rPr>
              <w:noBreakHyphen/>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7101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0F13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1861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12CE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4043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18BB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r>
      <w:tr w:rsidR="00983732" w:rsidRPr="00A3026E" w14:paraId="3986D65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6D705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B9B8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w:t>
            </w:r>
            <w:r w:rsidRPr="00A3026E">
              <w:rPr>
                <w:rFonts w:ascii="Times New Roman" w:hAnsi="Times New Roman"/>
                <w:color w:val="000000" w:themeColor="text1"/>
                <w:sz w:val="16"/>
                <w:szCs w:val="16"/>
              </w:rPr>
              <w:noBreakHyphen/>
              <w:t>6 2М</w:t>
            </w:r>
            <w:r w:rsidRPr="00A3026E">
              <w:rPr>
                <w:rFonts w:ascii="Times New Roman" w:hAnsi="Times New Roman"/>
                <w:color w:val="000000" w:themeColor="text1"/>
                <w:sz w:val="16"/>
                <w:szCs w:val="16"/>
              </w:rPr>
              <w:noBreakHyphen/>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AC03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C077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66CC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7789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9129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B026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r>
      <w:tr w:rsidR="00983732" w:rsidRPr="00A3026E" w14:paraId="46B566A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9D40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7ACC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w:t>
            </w:r>
            <w:r w:rsidRPr="00A3026E">
              <w:rPr>
                <w:rFonts w:ascii="Times New Roman" w:hAnsi="Times New Roman"/>
                <w:color w:val="000000" w:themeColor="text1"/>
                <w:sz w:val="16"/>
                <w:szCs w:val="16"/>
              </w:rPr>
              <w:noBreakHyphen/>
              <w:t>2 АМ</w:t>
            </w:r>
            <w:r w:rsidRPr="00A3026E">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CAD9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BEBB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DD8D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48D6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114A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18CD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r>
      <w:tr w:rsidR="00983732" w:rsidRPr="00A3026E" w14:paraId="5AD3F5B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FFE3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967B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w:t>
            </w:r>
            <w:r w:rsidRPr="00A3026E">
              <w:rPr>
                <w:rFonts w:ascii="Times New Roman" w:hAnsi="Times New Roman"/>
                <w:color w:val="000000" w:themeColor="text1"/>
                <w:sz w:val="16"/>
                <w:szCs w:val="16"/>
              </w:rPr>
              <w:noBreakHyphen/>
              <w:t>2 2М</w:t>
            </w:r>
            <w:r w:rsidRPr="00A3026E">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DA7F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23EB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D005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21DB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A936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4B5E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255</w:t>
            </w:r>
          </w:p>
        </w:tc>
      </w:tr>
      <w:tr w:rsidR="00983732" w:rsidRPr="00A3026E" w14:paraId="6EC779C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86B5F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0877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w:t>
            </w:r>
            <w:r w:rsidRPr="00A3026E">
              <w:rPr>
                <w:rFonts w:ascii="Times New Roman" w:hAnsi="Times New Roman"/>
                <w:color w:val="000000" w:themeColor="text1"/>
                <w:sz w:val="16"/>
                <w:szCs w:val="16"/>
              </w:rPr>
              <w:noBreakHyphen/>
              <w:t>3 АМ</w:t>
            </w:r>
            <w:r w:rsidRPr="00A3026E">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906C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56BB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11AB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B189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BAD4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354C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r>
      <w:tr w:rsidR="00983732" w:rsidRPr="00A3026E" w14:paraId="6AAEA84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96D4C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EA7B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w:t>
            </w:r>
            <w:r w:rsidRPr="00A3026E">
              <w:rPr>
                <w:rFonts w:ascii="Times New Roman" w:hAnsi="Times New Roman"/>
                <w:color w:val="000000" w:themeColor="text1"/>
                <w:sz w:val="16"/>
                <w:szCs w:val="16"/>
              </w:rPr>
              <w:noBreakHyphen/>
              <w:t>2 М</w:t>
            </w:r>
            <w:r w:rsidRPr="00A3026E">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42EC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4783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3C41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6B3D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D56B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51CC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r>
      <w:tr w:rsidR="00983732" w:rsidRPr="00A3026E" w14:paraId="6DD2473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ABAC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B794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w:t>
            </w:r>
            <w:r w:rsidRPr="00A3026E">
              <w:rPr>
                <w:rFonts w:ascii="Times New Roman" w:hAnsi="Times New Roman"/>
                <w:color w:val="000000" w:themeColor="text1"/>
                <w:sz w:val="16"/>
                <w:szCs w:val="16"/>
              </w:rPr>
              <w:noBreakHyphen/>
              <w:t>4 2М</w:t>
            </w:r>
            <w:r w:rsidRPr="00A3026E">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923C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DD0C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FFD9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0A81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DDF4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AE3C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003B47A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0268E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F965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w:t>
            </w:r>
            <w:r w:rsidRPr="00A3026E">
              <w:rPr>
                <w:rFonts w:ascii="Times New Roman" w:hAnsi="Times New Roman"/>
                <w:color w:val="000000" w:themeColor="text1"/>
                <w:sz w:val="16"/>
                <w:szCs w:val="16"/>
              </w:rPr>
              <w:noBreakHyphen/>
              <w:t>3 М</w:t>
            </w:r>
            <w:r w:rsidRPr="00A3026E">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8B1A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3FFF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EF48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7C49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CF39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A174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r>
      <w:tr w:rsidR="00983732" w:rsidRPr="00A3026E" w14:paraId="3C05206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386AC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4DBA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w:t>
            </w:r>
            <w:r w:rsidRPr="00A3026E">
              <w:rPr>
                <w:rFonts w:ascii="Times New Roman" w:hAnsi="Times New Roman"/>
                <w:color w:val="000000" w:themeColor="text1"/>
                <w:sz w:val="16"/>
                <w:szCs w:val="16"/>
              </w:rPr>
              <w:noBreakHyphen/>
              <w:t>84 2М</w:t>
            </w:r>
            <w:r w:rsidRPr="00A3026E">
              <w:rPr>
                <w:rFonts w:ascii="Times New Roman" w:hAnsi="Times New Roman"/>
                <w:color w:val="000000" w:themeColor="text1"/>
                <w:sz w:val="16"/>
                <w:szCs w:val="16"/>
              </w:rPr>
              <w:noBreakHyphen/>
              <w:t>62ИР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ADCC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55D3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50DE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2F60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4B98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EC4E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3F0A029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B999C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DA9F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w:t>
            </w:r>
            <w:r w:rsidRPr="00A3026E">
              <w:rPr>
                <w:rFonts w:ascii="Times New Roman" w:hAnsi="Times New Roman"/>
                <w:color w:val="000000" w:themeColor="text1"/>
                <w:sz w:val="16"/>
                <w:szCs w:val="16"/>
              </w:rPr>
              <w:noBreakHyphen/>
              <w:t>3 М</w:t>
            </w:r>
            <w:r w:rsidRPr="00A3026E">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DF21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D779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25CF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41EA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9DB9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A1CA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5BBD776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33A0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69F3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w:t>
            </w:r>
            <w:r w:rsidRPr="00A3026E">
              <w:rPr>
                <w:rFonts w:ascii="Times New Roman" w:hAnsi="Times New Roman"/>
                <w:color w:val="000000" w:themeColor="text1"/>
                <w:sz w:val="16"/>
                <w:szCs w:val="16"/>
              </w:rPr>
              <w:noBreakHyphen/>
              <w:t>2 М</w:t>
            </w:r>
            <w:r w:rsidRPr="00A3026E">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8196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3D61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82CD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DAFD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0971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207A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r>
      <w:tr w:rsidR="00983732" w:rsidRPr="00A3026E" w14:paraId="7E38465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997DB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…¹</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86EC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w:t>
            </w:r>
            <w:r w:rsidRPr="00A3026E">
              <w:rPr>
                <w:rFonts w:ascii="Times New Roman" w:hAnsi="Times New Roman"/>
                <w:color w:val="000000" w:themeColor="text1"/>
                <w:sz w:val="16"/>
                <w:szCs w:val="16"/>
              </w:rPr>
              <w:noBreakHyphen/>
              <w:t>7 4М</w:t>
            </w:r>
            <w:r w:rsidRPr="00A3026E">
              <w:rPr>
                <w:rFonts w:ascii="Times New Roman" w:hAnsi="Times New Roman"/>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FBDC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19A6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CF99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115F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3757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E824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r>
      <w:tr w:rsidR="00983732" w:rsidRPr="00A3026E" w14:paraId="783DD9C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EF571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BEA8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w:t>
            </w:r>
            <w:r w:rsidRPr="00A3026E">
              <w:rPr>
                <w:rFonts w:ascii="Times New Roman" w:hAnsi="Times New Roman"/>
                <w:color w:val="000000" w:themeColor="text1"/>
                <w:sz w:val="16"/>
                <w:szCs w:val="16"/>
              </w:rPr>
              <w:noBreakHyphen/>
              <w:t>4 2М</w:t>
            </w:r>
            <w:r w:rsidRPr="00A3026E">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16EE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935D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263D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D5C4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96DC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5334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r>
      <w:tr w:rsidR="00983732" w:rsidRPr="00A3026E" w14:paraId="73FAB3A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D97C9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D951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w:t>
            </w:r>
            <w:r w:rsidRPr="00A3026E">
              <w:rPr>
                <w:rFonts w:ascii="Times New Roman" w:hAnsi="Times New Roman"/>
                <w:color w:val="000000" w:themeColor="text1"/>
                <w:sz w:val="16"/>
                <w:szCs w:val="16"/>
              </w:rPr>
              <w:noBreakHyphen/>
              <w:t>ЭФ 2М</w:t>
            </w:r>
            <w:r w:rsidRPr="00A3026E">
              <w:rPr>
                <w:rFonts w:ascii="Times New Roman" w:hAnsi="Times New Roman"/>
                <w:color w:val="000000" w:themeColor="text1"/>
                <w:sz w:val="16"/>
                <w:szCs w:val="16"/>
              </w:rPr>
              <w:noBreakHyphen/>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D139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5039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75DD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804D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E1F4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357C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66CEC2F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CBB38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377E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w:t>
            </w:r>
            <w:r w:rsidRPr="00A3026E">
              <w:rPr>
                <w:rFonts w:ascii="Times New Roman" w:hAnsi="Times New Roman"/>
                <w:color w:val="000000" w:themeColor="text1"/>
                <w:sz w:val="16"/>
                <w:szCs w:val="16"/>
              </w:rPr>
              <w:noBreakHyphen/>
              <w:t>2 М</w:t>
            </w:r>
            <w:r w:rsidRPr="00A3026E">
              <w:rPr>
                <w:rFonts w:ascii="Times New Roman" w:hAnsi="Times New Roman"/>
                <w:color w:val="000000" w:themeColor="text1"/>
                <w:sz w:val="16"/>
                <w:szCs w:val="16"/>
              </w:rPr>
              <w:noBreakHyphen/>
              <w:t>88, 89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B600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01CE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279E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B699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F659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8CBC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r>
      <w:tr w:rsidR="00983732" w:rsidRPr="00A3026E" w14:paraId="20BEF17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19B17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98C6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w:t>
            </w:r>
            <w:r w:rsidRPr="00A3026E">
              <w:rPr>
                <w:rFonts w:ascii="Times New Roman" w:hAnsi="Times New Roman"/>
                <w:color w:val="000000" w:themeColor="text1"/>
                <w:sz w:val="16"/>
                <w:szCs w:val="16"/>
              </w:rPr>
              <w:noBreakHyphen/>
              <w:t>3 М</w:t>
            </w:r>
            <w:r w:rsidRPr="00A3026E">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D10E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E6FE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869D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0D39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21F1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EDFD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6BA7024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41FCF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2FD1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w:t>
            </w:r>
            <w:r w:rsidRPr="00A3026E">
              <w:rPr>
                <w:rFonts w:ascii="Times New Roman" w:hAnsi="Times New Roman"/>
                <w:color w:val="000000" w:themeColor="text1"/>
                <w:sz w:val="16"/>
                <w:szCs w:val="16"/>
              </w:rPr>
              <w:noBreakHyphen/>
              <w:t>4 М</w:t>
            </w:r>
            <w:r w:rsidRPr="00A3026E">
              <w:rPr>
                <w:rFonts w:ascii="Times New Roman" w:hAnsi="Times New Roman"/>
                <w:color w:val="000000" w:themeColor="text1"/>
                <w:sz w:val="16"/>
                <w:szCs w:val="16"/>
              </w:rPr>
              <w:noBreakHyphen/>
              <w:t>25В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4B91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CAD4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D11A9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5323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39C3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D44D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1DF49A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0E9E7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29BF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w:t>
            </w:r>
            <w:r w:rsidRPr="00A3026E">
              <w:rPr>
                <w:rFonts w:ascii="Times New Roman" w:hAnsi="Times New Roman"/>
                <w:color w:val="000000" w:themeColor="text1"/>
                <w:sz w:val="16"/>
                <w:szCs w:val="16"/>
              </w:rPr>
              <w:noBreakHyphen/>
              <w:t>3 М</w:t>
            </w:r>
            <w:r w:rsidRPr="00A3026E">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53C6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BF8B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0DE1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48EC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5C57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4BB3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r>
      <w:tr w:rsidR="00983732" w:rsidRPr="00A3026E" w14:paraId="2B88917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9849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0E83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w:t>
            </w:r>
            <w:r w:rsidRPr="00A3026E">
              <w:rPr>
                <w:rFonts w:ascii="Times New Roman" w:hAnsi="Times New Roman"/>
                <w:color w:val="000000" w:themeColor="text1"/>
                <w:sz w:val="16"/>
                <w:szCs w:val="16"/>
              </w:rPr>
              <w:noBreakHyphen/>
              <w:t>2 М</w:t>
            </w:r>
            <w:r w:rsidRPr="00A3026E">
              <w:rPr>
                <w:rFonts w:ascii="Times New Roman" w:hAnsi="Times New Roman"/>
                <w:color w:val="000000" w:themeColor="text1"/>
                <w:sz w:val="16"/>
                <w:szCs w:val="16"/>
              </w:rPr>
              <w:noBreakHyphen/>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9E2A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8AB2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B07D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92CB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5E96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8351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2B9A92B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4046E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BBEA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w:t>
            </w:r>
            <w:r w:rsidRPr="00A3026E">
              <w:rPr>
                <w:rFonts w:ascii="Times New Roman" w:hAnsi="Times New Roman"/>
                <w:color w:val="000000" w:themeColor="text1"/>
                <w:sz w:val="16"/>
                <w:szCs w:val="16"/>
              </w:rPr>
              <w:noBreakHyphen/>
              <w:t>3 М</w:t>
            </w:r>
            <w:r w:rsidRPr="00A3026E">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DE28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711D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 (Як</w:t>
            </w:r>
            <w:r w:rsidRPr="00A3026E">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361C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B894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ECA9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ED7D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w:t>
            </w:r>
          </w:p>
        </w:tc>
      </w:tr>
      <w:tr w:rsidR="00983732" w:rsidRPr="00A3026E" w14:paraId="604B8BD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FC5BB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854E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w:t>
            </w:r>
            <w:r w:rsidRPr="00A3026E">
              <w:rPr>
                <w:rFonts w:ascii="Times New Roman" w:hAnsi="Times New Roman"/>
                <w:color w:val="000000" w:themeColor="text1"/>
                <w:sz w:val="16"/>
                <w:szCs w:val="16"/>
              </w:rPr>
              <w:noBreakHyphen/>
              <w:t>3 М</w:t>
            </w:r>
            <w:r w:rsidRPr="00A3026E">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DE35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6FD4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 (Як</w:t>
            </w:r>
            <w:r w:rsidRPr="00A3026E">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099D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A944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7A3C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34C1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r>
      <w:tr w:rsidR="00983732" w:rsidRPr="00A3026E" w14:paraId="71BAB92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407D7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A073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w:t>
            </w:r>
            <w:r w:rsidRPr="00A3026E">
              <w:rPr>
                <w:rFonts w:ascii="Times New Roman" w:hAnsi="Times New Roman"/>
                <w:color w:val="000000" w:themeColor="text1"/>
                <w:sz w:val="16"/>
                <w:szCs w:val="16"/>
              </w:rPr>
              <w:noBreakHyphen/>
              <w:t>4 2М</w:t>
            </w:r>
            <w:r w:rsidRPr="00A3026E">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3795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1AB9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1465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3E95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CA7B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B1F4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r>
      <w:tr w:rsidR="00983732" w:rsidRPr="00A3026E" w14:paraId="1AF4961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F1F3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E0EA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w:t>
            </w:r>
            <w:r w:rsidRPr="00A3026E">
              <w:rPr>
                <w:rFonts w:ascii="Times New Roman" w:hAnsi="Times New Roman"/>
                <w:color w:val="000000" w:themeColor="text1"/>
                <w:sz w:val="16"/>
                <w:szCs w:val="16"/>
              </w:rPr>
              <w:noBreakHyphen/>
              <w:t>2 АМ</w:t>
            </w:r>
            <w:r w:rsidRPr="00A3026E">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4C59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C9F5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9F85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907B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A80E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EF97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5D53C3C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2E6D4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3523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w:t>
            </w:r>
            <w:r w:rsidRPr="00A3026E">
              <w:rPr>
                <w:rFonts w:ascii="Times New Roman" w:hAnsi="Times New Roman"/>
                <w:color w:val="000000" w:themeColor="text1"/>
                <w:sz w:val="16"/>
                <w:szCs w:val="16"/>
              </w:rPr>
              <w:noBreakHyphen/>
              <w:t>2 М</w:t>
            </w:r>
            <w:r w:rsidRPr="00A3026E">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54FB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FC33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12DD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8333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0F7D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F873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r>
      <w:tr w:rsidR="00983732" w:rsidRPr="00A3026E" w14:paraId="563D898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8A0E2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E6AE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w:t>
            </w:r>
            <w:r w:rsidRPr="00A3026E">
              <w:rPr>
                <w:rFonts w:ascii="Times New Roman" w:hAnsi="Times New Roman"/>
                <w:color w:val="000000" w:themeColor="text1"/>
                <w:sz w:val="16"/>
                <w:szCs w:val="16"/>
              </w:rPr>
              <w:noBreakHyphen/>
              <w:t>2 М</w:t>
            </w:r>
            <w:r w:rsidRPr="00A3026E">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7ED5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82E9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1365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EAAB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89CD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5432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429FB2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D2836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7BFA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w:t>
            </w:r>
            <w:r w:rsidRPr="00A3026E">
              <w:rPr>
                <w:rFonts w:ascii="Times New Roman" w:hAnsi="Times New Roman"/>
                <w:color w:val="000000" w:themeColor="text1"/>
                <w:sz w:val="16"/>
                <w:szCs w:val="16"/>
              </w:rPr>
              <w:noBreakHyphen/>
              <w:t>2 2М</w:t>
            </w:r>
            <w:r w:rsidRPr="00A3026E">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0ADE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C6C4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1E4A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EFD1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F59C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50B9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5B1A44E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946DC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3E24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w:t>
            </w:r>
            <w:r w:rsidRPr="00A3026E">
              <w:rPr>
                <w:rFonts w:ascii="Times New Roman" w:hAnsi="Times New Roman"/>
                <w:color w:val="000000" w:themeColor="text1"/>
                <w:sz w:val="16"/>
                <w:szCs w:val="16"/>
              </w:rPr>
              <w:noBreakHyphen/>
              <w:t>4 М</w:t>
            </w:r>
            <w:r w:rsidRPr="00A3026E">
              <w:rPr>
                <w:rFonts w:ascii="Times New Roman" w:hAnsi="Times New Roman"/>
                <w:color w:val="000000" w:themeColor="text1"/>
                <w:sz w:val="16"/>
                <w:szCs w:val="16"/>
              </w:rPr>
              <w:noBreakHyphen/>
              <w:t>25В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D859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B58D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CC9B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22FC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043D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707F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31047D3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D369D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FBE2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w:t>
            </w:r>
            <w:r w:rsidRPr="00A3026E">
              <w:rPr>
                <w:rFonts w:ascii="Times New Roman" w:hAnsi="Times New Roman"/>
                <w:color w:val="000000" w:themeColor="text1"/>
                <w:sz w:val="16"/>
                <w:szCs w:val="16"/>
              </w:rPr>
              <w:noBreakHyphen/>
              <w:t>3 М</w:t>
            </w:r>
            <w:r w:rsidRPr="00A3026E">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F040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B932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8577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0617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73DD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D0CE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r>
      <w:tr w:rsidR="00983732" w:rsidRPr="00A3026E" w14:paraId="4F5F614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44808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34A7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w:t>
            </w:r>
            <w:r w:rsidRPr="00A3026E">
              <w:rPr>
                <w:rFonts w:ascii="Times New Roman" w:hAnsi="Times New Roman"/>
                <w:color w:val="000000" w:themeColor="text1"/>
                <w:sz w:val="16"/>
                <w:szCs w:val="16"/>
              </w:rPr>
              <w:noBreakHyphen/>
              <w:t>26 М-105П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D143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C8EE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29AA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463C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53C2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0D8F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63558F8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24B95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612F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w:t>
            </w:r>
            <w:r w:rsidRPr="00A3026E">
              <w:rPr>
                <w:rFonts w:ascii="Times New Roman" w:hAnsi="Times New Roman"/>
                <w:color w:val="000000" w:themeColor="text1"/>
                <w:sz w:val="16"/>
                <w:szCs w:val="16"/>
              </w:rPr>
              <w:noBreakHyphen/>
              <w:t>26 М</w:t>
            </w:r>
            <w:r w:rsidRPr="00A3026E">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1A27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151F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2622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D0C2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6EEC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4441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r>
    </w:tbl>
    <w:p w14:paraId="6470386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таблице:</w:t>
      </w:r>
    </w:p>
    <w:p w14:paraId="4031E6F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¹ Документ поврежден.</w:t>
      </w:r>
    </w:p>
    <w:p w14:paraId="5576A07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Обязать Наркомавиапром выпускать истребители с дальностью не менее 1 тыс. км на 0,9 максимальной скорости: МиГ</w:t>
      </w:r>
      <w:r w:rsidRPr="00A3026E">
        <w:rPr>
          <w:rFonts w:ascii="Times New Roman" w:hAnsi="Times New Roman"/>
          <w:color w:val="000000" w:themeColor="text1"/>
          <w:sz w:val="16"/>
          <w:szCs w:val="16"/>
        </w:rPr>
        <w:noBreakHyphen/>
        <w:t>3 и ЛаГГ</w:t>
      </w:r>
      <w:r w:rsidRPr="00A3026E">
        <w:rPr>
          <w:rFonts w:ascii="Times New Roman" w:hAnsi="Times New Roman"/>
          <w:color w:val="000000" w:themeColor="text1"/>
          <w:sz w:val="16"/>
          <w:szCs w:val="16"/>
        </w:rPr>
        <w:noBreakHyphen/>
        <w:t>3 — с 1 января 1941 г., а Як</w:t>
      </w:r>
      <w:r w:rsidRPr="00A3026E">
        <w:rPr>
          <w:rFonts w:ascii="Times New Roman" w:hAnsi="Times New Roman"/>
          <w:color w:val="000000" w:themeColor="text1"/>
          <w:sz w:val="16"/>
          <w:szCs w:val="16"/>
        </w:rPr>
        <w:noBreakHyphen/>
        <w:t>3 — с 1 апреля 1941 г.</w:t>
      </w:r>
    </w:p>
    <w:p w14:paraId="42F6F66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Установить Наркомавиапрому следующую программу выпуска моторов в 1941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96"/>
        <w:gridCol w:w="1085"/>
        <w:gridCol w:w="1151"/>
        <w:gridCol w:w="1245"/>
        <w:gridCol w:w="1339"/>
        <w:gridCol w:w="1355"/>
        <w:gridCol w:w="1151"/>
      </w:tblGrid>
      <w:tr w:rsidR="00983732" w:rsidRPr="00A3026E" w14:paraId="5C3B5883" w14:textId="77777777" w:rsidTr="007E425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57D35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мотора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F52949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p w14:paraId="3E1BD16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C3D471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5DE168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квартал</w:t>
            </w:r>
          </w:p>
          <w:p w14:paraId="1413F21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1942 г.</w:t>
            </w:r>
          </w:p>
        </w:tc>
      </w:tr>
      <w:tr w:rsidR="00983732" w:rsidRPr="00A3026E" w14:paraId="28FD6C2F" w14:textId="77777777" w:rsidTr="007E425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BBF729A"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9C760F"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69D78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DDA6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FF65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A0A1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квартал</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C3143A9"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r>
      <w:tr w:rsidR="00983732" w:rsidRPr="00A3026E" w14:paraId="2A92591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2C1A9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60D8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267C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45F2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2A8B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0517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3522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15 900</w:t>
            </w:r>
          </w:p>
        </w:tc>
      </w:tr>
      <w:tr w:rsidR="00983732" w:rsidRPr="00A3026E" w14:paraId="770DE0B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F809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боевой авиации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43F0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1B44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EA48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A652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72CA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A132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44BF7B5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7297A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002E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B7A8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98D5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0818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5C4A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50AE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5500</w:t>
            </w:r>
          </w:p>
        </w:tc>
      </w:tr>
      <w:tr w:rsidR="00983732" w:rsidRPr="00A3026E" w14:paraId="55F8D57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EC4A8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4935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4FFB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3F58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ED39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7633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6842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2600</w:t>
            </w:r>
          </w:p>
        </w:tc>
      </w:tr>
      <w:tr w:rsidR="00983732" w:rsidRPr="00A3026E" w14:paraId="0483E91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20FA8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w:t>
            </w:r>
            <w:r w:rsidRPr="00A3026E">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8333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259F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32CF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16C8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C6A1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F4E1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3350</w:t>
            </w:r>
          </w:p>
        </w:tc>
      </w:tr>
      <w:tr w:rsidR="00983732" w:rsidRPr="00A3026E" w14:paraId="51A572E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916F7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F1CB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CD66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9B29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512D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1711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D54A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925</w:t>
            </w:r>
          </w:p>
        </w:tc>
      </w:tr>
      <w:tr w:rsidR="00983732" w:rsidRPr="00A3026E" w14:paraId="48BB035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35881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1DBF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FE91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D31A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7A76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D969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73B4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r>
      <w:tr w:rsidR="00983732" w:rsidRPr="00A3026E" w14:paraId="3DEE332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CF38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68B3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746F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991D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C124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7458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41EC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427A570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2D3E1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62ИР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44A9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EEA2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9F62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5B03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599F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0D28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226FDD1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6A297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4DC3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0459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A095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45E7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7CBD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32F0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r>
      <w:tr w:rsidR="00983732" w:rsidRPr="00A3026E" w14:paraId="73D7A86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80673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53A0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FA7C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3A46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7D97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E8B5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44BA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r>
      <w:tr w:rsidR="00983732" w:rsidRPr="00A3026E" w14:paraId="572E05F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64439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моторов боевой авиации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2FA4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37 550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7AB7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9C6E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F66A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0ED8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43E7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14 400</w:t>
            </w:r>
          </w:p>
        </w:tc>
      </w:tr>
      <w:tr w:rsidR="00983732" w:rsidRPr="00A3026E" w14:paraId="5B38F91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A7DCA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учебной авиации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8B92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4CA4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0612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BF5D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285A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D537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24780C8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B8CBE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25В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37A5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94D8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EDE9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D744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2E7E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7DC3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CDB5BE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84D1F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7921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BB63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A81F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8079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719A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0A6C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r>
      <w:tr w:rsidR="00983732" w:rsidRPr="00A3026E" w14:paraId="6744F22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61F34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моторов учебной авиации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DD6F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C66B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E7CE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9DF9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3768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5F3C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r>
      <w:tr w:rsidR="00983732" w:rsidRPr="00A3026E" w14:paraId="1E506E4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09AC9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глиссерные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FC79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8F3C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CDFC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2926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6D4C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DB6F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7A99348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A2959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ГАМ</w:t>
            </w:r>
            <w:r w:rsidRPr="00A3026E">
              <w:rPr>
                <w:rFonts w:ascii="Times New Roman" w:hAnsi="Times New Roman"/>
                <w:color w:val="000000" w:themeColor="text1"/>
                <w:sz w:val="16"/>
                <w:szCs w:val="16"/>
              </w:rPr>
              <w:noBreakHyphen/>
              <w:t>34 БС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2BEB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B570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6C4F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F29A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C963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AE96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6281725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Установить программу выпуска моторов по заводам  Наркомавиапрома на 1941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82"/>
        <w:gridCol w:w="1401"/>
        <w:gridCol w:w="1043"/>
        <w:gridCol w:w="1106"/>
        <w:gridCol w:w="1196"/>
        <w:gridCol w:w="1286"/>
        <w:gridCol w:w="1302"/>
        <w:gridCol w:w="1106"/>
      </w:tblGrid>
      <w:tr w:rsidR="00983732" w:rsidRPr="00A3026E" w14:paraId="2ACF1D3B" w14:textId="77777777" w:rsidTr="007E425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B0C6D3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заво</w:t>
            </w:r>
            <w:r w:rsidRPr="00A3026E">
              <w:rPr>
                <w:rFonts w:ascii="Times New Roman" w:hAnsi="Times New Roman"/>
                <w:color w:val="000000" w:themeColor="text1"/>
                <w:sz w:val="16"/>
                <w:szCs w:val="16"/>
              </w:rPr>
              <w:softHyphen/>
              <w:t>дов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6C6A94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мотора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E57E70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p w14:paraId="1D46A4C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A2D1B3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7A2FD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квартал</w:t>
            </w:r>
          </w:p>
          <w:p w14:paraId="3D8B79D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1942 г.</w:t>
            </w:r>
          </w:p>
        </w:tc>
      </w:tr>
      <w:tr w:rsidR="00983732" w:rsidRPr="00A3026E" w14:paraId="0789E685" w14:textId="77777777" w:rsidTr="007E425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6A12345"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D2E8CE"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C39FF68"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07E0B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4C59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C138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629A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квартал</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B592FC1"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r>
      <w:tr w:rsidR="00983732" w:rsidRPr="00A3026E" w14:paraId="6D21B5D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5D22E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0E6A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DCD1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0DFB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24CF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F540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7888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C8F4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r>
      <w:tr w:rsidR="00983732" w:rsidRPr="00A3026E" w14:paraId="2C3815D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4AD10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1C93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039D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89DD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C10C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B992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01DE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7F67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1250</w:t>
            </w:r>
          </w:p>
        </w:tc>
      </w:tr>
      <w:tr w:rsidR="00983732" w:rsidRPr="00A3026E" w14:paraId="5360BE9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ABB42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BE39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7B99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8324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E4FE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CE10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2CB8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5B94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265D41C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7C87B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0322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62ИР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1E45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2422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012B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A630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4DF2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1A11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298CF30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B21E8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9FEB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25В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D1B2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87AB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9AC5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5F70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2847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0703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E1F300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54044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3C14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w:t>
            </w:r>
            <w:r w:rsidRPr="00A3026E">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A72D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4AF3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1EC2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C751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5020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B4DA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r>
      <w:tr w:rsidR="00983732" w:rsidRPr="00A3026E" w14:paraId="2656F0F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832C8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00DA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ГАМ</w:t>
            </w:r>
            <w:r w:rsidRPr="00A3026E">
              <w:rPr>
                <w:rFonts w:ascii="Times New Roman" w:hAnsi="Times New Roman"/>
                <w:color w:val="000000" w:themeColor="text1"/>
                <w:sz w:val="16"/>
                <w:szCs w:val="16"/>
              </w:rPr>
              <w:noBreakHyphen/>
              <w:t>34БС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8E55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2DF0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2A77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E981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D250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2A81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CB55BC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67FF1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0EAE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0242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92CD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A010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764D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404B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4AE7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w:t>
            </w:r>
          </w:p>
        </w:tc>
      </w:tr>
      <w:tr w:rsidR="00983732" w:rsidRPr="00A3026E" w14:paraId="7B8F016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FA22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BEA5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8D17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9546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7721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FEC0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F0AD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F66F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w:t>
            </w:r>
          </w:p>
        </w:tc>
      </w:tr>
      <w:tr w:rsidR="00983732" w:rsidRPr="00A3026E" w14:paraId="738676C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35B23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3EF0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5DF1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B955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E439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2D47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CA07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4853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r w:rsidR="00983732" w:rsidRPr="00A3026E" w14:paraId="775E4FE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8873B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AD8E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068C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0066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3CB5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D5CB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ABF9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48E9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r>
      <w:tr w:rsidR="00983732" w:rsidRPr="00A3026E" w14:paraId="2850B18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2C3B1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3CA0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A654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D375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1659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423C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D912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5DD1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r>
      <w:tr w:rsidR="00983732" w:rsidRPr="00A3026E" w14:paraId="5247D9D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B8263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E19F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5FAD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5884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950F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44A1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BCBF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DB57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r>
      <w:tr w:rsidR="00983732" w:rsidRPr="00A3026E" w14:paraId="258C37A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7E149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95AE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1D6B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61EA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33BD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BB06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A23B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949A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1EE186A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40F32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C794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w:t>
            </w:r>
            <w:r w:rsidRPr="00A3026E">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48FE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149D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B7EE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1033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4585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F321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r w:rsidR="00983732" w:rsidRPr="00A3026E" w14:paraId="4CEC73A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F8916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E441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w:t>
            </w:r>
            <w:r w:rsidRPr="00A3026E">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6873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D00B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098B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F551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0E89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7C56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6149A01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1EB8B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завода № 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0606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E294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3546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AB13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C653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4B71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0D6B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r>
      <w:tr w:rsidR="00983732" w:rsidRPr="00A3026E" w14:paraId="660E6C9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8E7C7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 им. Молотова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B098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A31E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92FE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07C1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5C59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A0B0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59E8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w:t>
            </w:r>
          </w:p>
        </w:tc>
      </w:tr>
      <w:tr w:rsidR="00983732" w:rsidRPr="00A3026E" w14:paraId="39EE5E1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69B44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ХТЗ НКСМ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4E6B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326A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E0B3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1FCB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83B3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38A5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DEBD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r>
      <w:tr w:rsidR="00983732" w:rsidRPr="00A3026E" w14:paraId="00D96A6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9C8C4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Кировский завод НКТМ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E0CD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r w:rsidRPr="00A3026E">
              <w:rPr>
                <w:rFonts w:ascii="Times New Roman" w:hAnsi="Times New Roman"/>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F121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58D3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74BC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3C2A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E551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2E21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r>
    </w:tbl>
    <w:p w14:paraId="2FD47CB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Обязать Наркомавиапром выпускать моторы: М</w:t>
      </w:r>
      <w:r w:rsidRPr="00A3026E">
        <w:rPr>
          <w:rFonts w:ascii="Times New Roman" w:hAnsi="Times New Roman"/>
          <w:color w:val="000000" w:themeColor="text1"/>
          <w:sz w:val="16"/>
          <w:szCs w:val="16"/>
        </w:rPr>
        <w:noBreakHyphen/>
        <w:t>105 и М</w:t>
      </w:r>
      <w:r w:rsidRPr="00A3026E">
        <w:rPr>
          <w:rFonts w:ascii="Times New Roman" w:hAnsi="Times New Roman"/>
          <w:color w:val="000000" w:themeColor="text1"/>
          <w:sz w:val="16"/>
          <w:szCs w:val="16"/>
        </w:rPr>
        <w:noBreakHyphen/>
        <w:t>105П со сроком службы 150 часов — с 15 марта 1941 г., моторы АМ</w:t>
      </w:r>
      <w:r w:rsidRPr="00A3026E">
        <w:rPr>
          <w:rFonts w:ascii="Times New Roman" w:hAnsi="Times New Roman"/>
          <w:color w:val="000000" w:themeColor="text1"/>
          <w:sz w:val="16"/>
          <w:szCs w:val="16"/>
        </w:rPr>
        <w:noBreakHyphen/>
        <w:t>35А со сроком службы 150 часов — с 15 мая 1941 г. и моторы М</w:t>
      </w:r>
      <w:r w:rsidRPr="00A3026E">
        <w:rPr>
          <w:rFonts w:ascii="Times New Roman" w:hAnsi="Times New Roman"/>
          <w:color w:val="000000" w:themeColor="text1"/>
          <w:sz w:val="16"/>
          <w:szCs w:val="16"/>
        </w:rPr>
        <w:noBreakHyphen/>
        <w:t>88 со сроком службы 150 часов — с 1 марта 1941 г.</w:t>
      </w:r>
    </w:p>
    <w:p w14:paraId="05C04DE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7. Утвердить постановление Экономсовета “О повышении роли мастера на заводах Народного комиссариата авиационной промышленности” (см. приложение[</w:t>
      </w:r>
      <w:hyperlink r:id="rId138" w:anchor="p2" w:history="1">
        <w:r w:rsidRPr="00A3026E">
          <w:rPr>
            <w:rFonts w:ascii="Times New Roman" w:hAnsi="Times New Roman"/>
            <w:color w:val="000000" w:themeColor="text1"/>
            <w:sz w:val="16"/>
            <w:szCs w:val="16"/>
          </w:rPr>
          <w:t>2</w:t>
        </w:r>
      </w:hyperlink>
      <w:r w:rsidRPr="00A3026E">
        <w:rPr>
          <w:rFonts w:ascii="Times New Roman" w:hAnsi="Times New Roman"/>
          <w:color w:val="000000" w:themeColor="text1"/>
          <w:sz w:val="16"/>
          <w:szCs w:val="16"/>
        </w:rPr>
        <w:t>]).</w:t>
      </w:r>
    </w:p>
    <w:p w14:paraId="3D797FE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Установить, что при 100</w:t>
      </w:r>
      <w:r w:rsidRPr="00A3026E">
        <w:rPr>
          <w:rFonts w:ascii="Times New Roman" w:hAnsi="Times New Roman"/>
          <w:color w:val="000000" w:themeColor="text1"/>
          <w:sz w:val="16"/>
          <w:szCs w:val="16"/>
        </w:rPr>
        <w:noBreakHyphen/>
        <w:t>процентном выполнении заводом установленной ему месячной программы самолетов, моторов и винтов руководящий состав завода (директор, начальники цехов, главный инженер, заместитель директора по материально-техническому снабжению, начальник производства и главный технолог) получают премию в размере месячного оклада при условии выполнения программы предыдущего месяца не менее чем на 90%[</w:t>
      </w:r>
      <w:hyperlink r:id="rId139" w:anchor="p3" w:history="1">
        <w:r w:rsidRPr="00A3026E">
          <w:rPr>
            <w:rFonts w:ascii="Times New Roman" w:hAnsi="Times New Roman"/>
            <w:color w:val="000000" w:themeColor="text1"/>
            <w:sz w:val="16"/>
            <w:szCs w:val="16"/>
          </w:rPr>
          <w:t>3</w:t>
        </w:r>
      </w:hyperlink>
      <w:r w:rsidRPr="00A3026E">
        <w:rPr>
          <w:rFonts w:ascii="Times New Roman" w:hAnsi="Times New Roman"/>
          <w:color w:val="000000" w:themeColor="text1"/>
          <w:sz w:val="16"/>
          <w:szCs w:val="16"/>
        </w:rPr>
        <w:t>].</w:t>
      </w:r>
    </w:p>
    <w:p w14:paraId="792DA9F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Принятием настоящего постановления считать исчерпанным все ранее вынесенные решения в отношении серийного производства самолетов и моторов на 1941 г.</w:t>
      </w:r>
    </w:p>
    <w:p w14:paraId="67DE121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Разрешить Наркомавиапрому довести к 1 октября 1941 г. запасы материалов до двухмесячной нормы. Предложить Экономическому совету руководствоваться настоящим указанием при квартальном планировании фондов.</w:t>
      </w:r>
    </w:p>
    <w:p w14:paraId="4D68E06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Разрешить Наркомавиапрому (т. Шахурину) прекратить с 1 января 1941 г. ремонт самолетов и моторов, находящихся на вооружении ВВС, обязав НКО обеспечить этот ремонт на своих ремонтных базах.</w:t>
      </w:r>
    </w:p>
    <w:p w14:paraId="4B74FC3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Совета народных комиссаров Союза ССРВ. Молотов.</w:t>
      </w:r>
    </w:p>
    <w:p w14:paraId="61FDE54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Секретарь Центрального комитета ВКП(б)И. Сталин.</w:t>
      </w:r>
    </w:p>
    <w:p w14:paraId="6451162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Помета на первой странице документа: «Подлежит возврату в течение 24 часов в Осо6ую группу секретного отдела Управления делами Совнаркома СССР».</w:t>
      </w:r>
    </w:p>
    <w:p w14:paraId="15CBB5B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w:t>
      </w:r>
    </w:p>
    <w:p w14:paraId="4306849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140" w:anchor="s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 По постановлению ЦК ВКП(б) и СНК СССР “О переименовании боевых самолетов” от 6 декабря 1940 г. боевые самолеты получили обозначения по именам (первым буквам фамилий) главных конструкторов. Для самолетов, передаваемых в серийное производство, устанавливались дополнительные служебные обозначения, например цифровые. Так, для истребителей использовались только нечетные номера, а для бомбардировщиков всех типов, штурмовиков, разведчиков, торпедоносцев, военных десантно-транспортных самолетов — четные номера. Например, истребитель Микояна и Гуревича И200</w:t>
      </w:r>
      <w:r w:rsidRPr="00A3026E">
        <w:rPr>
          <w:rFonts w:ascii="Times New Roman" w:hAnsi="Times New Roman"/>
          <w:color w:val="000000" w:themeColor="text1"/>
          <w:sz w:val="16"/>
          <w:szCs w:val="16"/>
        </w:rPr>
        <w:noBreakHyphen/>
        <w:t>АМ35А получил название МиГ</w:t>
      </w:r>
      <w:r w:rsidRPr="00A3026E">
        <w:rPr>
          <w:rFonts w:ascii="Times New Roman" w:hAnsi="Times New Roman"/>
          <w:color w:val="000000" w:themeColor="text1"/>
          <w:sz w:val="16"/>
          <w:szCs w:val="16"/>
        </w:rPr>
        <w:noBreakHyphen/>
        <w:t>1, а тот же истребитель улучшенный И200</w:t>
      </w:r>
      <w:r w:rsidRPr="00A3026E">
        <w:rPr>
          <w:rFonts w:ascii="Times New Roman" w:hAnsi="Times New Roman"/>
          <w:color w:val="000000" w:themeColor="text1"/>
          <w:sz w:val="16"/>
          <w:szCs w:val="16"/>
        </w:rPr>
        <w:noBreakHyphen/>
        <w:t>АМ35А — МиГ</w:t>
      </w:r>
      <w:r w:rsidRPr="00A3026E">
        <w:rPr>
          <w:rFonts w:ascii="Times New Roman" w:hAnsi="Times New Roman"/>
          <w:color w:val="000000" w:themeColor="text1"/>
          <w:sz w:val="16"/>
          <w:szCs w:val="16"/>
        </w:rPr>
        <w:noBreakHyphen/>
        <w:t>3. Некоторые обозначения дублировались, т. е. одни и те же обозначения давались разным аппаратам, в основном экспериментальным. (ГА РФ. Ф. Р</w:t>
      </w:r>
      <w:r w:rsidRPr="00A3026E">
        <w:rPr>
          <w:rFonts w:ascii="Times New Roman" w:hAnsi="Times New Roman"/>
          <w:color w:val="000000" w:themeColor="text1"/>
          <w:sz w:val="16"/>
          <w:szCs w:val="16"/>
        </w:rPr>
        <w:noBreakHyphen/>
        <w:t>5446. Оп. Зас. Д. 2. Л. 249</w:t>
      </w:r>
      <w:r w:rsidRPr="00A3026E">
        <w:rPr>
          <w:rFonts w:ascii="Times New Roman" w:hAnsi="Times New Roman"/>
          <w:color w:val="000000" w:themeColor="text1"/>
          <w:sz w:val="16"/>
          <w:szCs w:val="16"/>
        </w:rPr>
        <w:noBreakHyphen/>
        <w:t>250.)</w:t>
      </w:r>
    </w:p>
    <w:p w14:paraId="6C18A82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141" w:anchor="s2" w:history="1">
        <w:r w:rsidRPr="00A3026E">
          <w:rPr>
            <w:rFonts w:ascii="Times New Roman" w:hAnsi="Times New Roman"/>
            <w:color w:val="000000" w:themeColor="text1"/>
            <w:sz w:val="16"/>
            <w:szCs w:val="16"/>
          </w:rPr>
          <w:t>2</w:t>
        </w:r>
      </w:hyperlink>
      <w:r w:rsidRPr="00A3026E">
        <w:rPr>
          <w:rFonts w:ascii="Times New Roman" w:hAnsi="Times New Roman"/>
          <w:color w:val="000000" w:themeColor="text1"/>
          <w:sz w:val="16"/>
          <w:szCs w:val="16"/>
        </w:rPr>
        <w:t>] Приложение в деле отсутствует.</w:t>
      </w:r>
    </w:p>
    <w:p w14:paraId="08F70B0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142" w:anchor="s3" w:history="1">
        <w:r w:rsidRPr="00A3026E">
          <w:rPr>
            <w:rFonts w:ascii="Times New Roman" w:hAnsi="Times New Roman"/>
            <w:color w:val="000000" w:themeColor="text1"/>
            <w:sz w:val="16"/>
            <w:szCs w:val="16"/>
          </w:rPr>
          <w:t>3</w:t>
        </w:r>
      </w:hyperlink>
      <w:r w:rsidRPr="00A3026E">
        <w:rPr>
          <w:rFonts w:ascii="Times New Roman" w:hAnsi="Times New Roman"/>
          <w:color w:val="000000" w:themeColor="text1"/>
          <w:sz w:val="16"/>
          <w:szCs w:val="16"/>
        </w:rPr>
        <w:t>] На полях помета: «Утратил силу».</w:t>
      </w:r>
    </w:p>
    <w:p w14:paraId="086FBE6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 РФ. Ф. Р-5446. Оп. 3ас. Д. 2. Л. 252-258. Заверенная копия (18010).</w:t>
      </w:r>
    </w:p>
    <w:p w14:paraId="41E73BBF" w14:textId="77777777" w:rsidR="00C877C3" w:rsidRPr="00A3026E" w:rsidRDefault="00C877C3" w:rsidP="00A3026E">
      <w:pPr>
        <w:spacing w:after="0" w:line="240" w:lineRule="auto"/>
        <w:jc w:val="both"/>
        <w:rPr>
          <w:rFonts w:ascii="Times New Roman" w:hAnsi="Times New Roman"/>
          <w:color w:val="000000" w:themeColor="text1"/>
          <w:sz w:val="16"/>
          <w:szCs w:val="16"/>
        </w:rPr>
      </w:pPr>
    </w:p>
    <w:p w14:paraId="5EEBE42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вышло постановление Правительства по выпуску Ил-2 именно в одноместном варианте (1530,90).</w:t>
      </w:r>
    </w:p>
    <w:p w14:paraId="1A9D91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сих пор остается открытым вопрос - почему в серию поступил одно</w:t>
      </w:r>
      <w:r w:rsidRPr="00A3026E">
        <w:rPr>
          <w:rFonts w:ascii="Times New Roman" w:hAnsi="Times New Roman"/>
          <w:color w:val="000000" w:themeColor="text1"/>
          <w:sz w:val="16"/>
          <w:szCs w:val="16"/>
        </w:rPr>
        <w:softHyphen/>
        <w:t>местный вариант штурмовика Ил-2, что явилось одной из причин огром</w:t>
      </w:r>
      <w:r w:rsidRPr="00A3026E">
        <w:rPr>
          <w:rFonts w:ascii="Times New Roman" w:hAnsi="Times New Roman"/>
          <w:color w:val="000000" w:themeColor="text1"/>
          <w:sz w:val="16"/>
          <w:szCs w:val="16"/>
        </w:rPr>
        <w:softHyphen/>
        <w:t>ных потерь этого самолета в начальный период Великой Отечественной войны. Помимо гипотезы В.А. Белоконя, существует две точки зрения, отве</w:t>
      </w:r>
      <w:r w:rsidRPr="00A3026E">
        <w:rPr>
          <w:rFonts w:ascii="Times New Roman" w:hAnsi="Times New Roman"/>
          <w:color w:val="000000" w:themeColor="text1"/>
          <w:sz w:val="16"/>
          <w:szCs w:val="16"/>
        </w:rPr>
        <w:softHyphen/>
        <w:t>чающие на этот вопрос. Представителем одной из них являлся, в частности, автор биографии С.В. Ильюшина А.Н. Пономарев, лауреат Госпремии СССР, доктор технических наук, генерал-полковник авиации: «Однако после ус</w:t>
      </w:r>
      <w:r w:rsidRPr="00A3026E">
        <w:rPr>
          <w:rFonts w:ascii="Times New Roman" w:hAnsi="Times New Roman"/>
          <w:color w:val="000000" w:themeColor="text1"/>
          <w:sz w:val="16"/>
          <w:szCs w:val="16"/>
        </w:rPr>
        <w:softHyphen/>
        <w:t>пешного завершения государственных испытаний штурмовика на пути его внедрения в серийное производство стали возникать различные трудности и препятствия... Вскоре вопрос о серийном выпуске штурмовика обсуждал</w:t>
      </w:r>
      <w:r w:rsidRPr="00A3026E">
        <w:rPr>
          <w:rFonts w:ascii="Times New Roman" w:hAnsi="Times New Roman"/>
          <w:color w:val="000000" w:themeColor="text1"/>
          <w:sz w:val="16"/>
          <w:szCs w:val="16"/>
        </w:rPr>
        <w:softHyphen/>
        <w:t>ся на совещании у И.В. Сталина. ...некоторые участники совещания стали упрекать конструктора за то, что БШ-2 имеет слишком малую дальность полета, около 620 км, и практический потолок только 5500 м. Стали пред</w:t>
      </w:r>
      <w:r w:rsidRPr="00A3026E">
        <w:rPr>
          <w:rFonts w:ascii="Times New Roman" w:hAnsi="Times New Roman"/>
          <w:color w:val="000000" w:themeColor="text1"/>
          <w:sz w:val="16"/>
          <w:szCs w:val="16"/>
        </w:rPr>
        <w:softHyphen/>
        <w:t>лагать для увеличения дальности и потолка самолета облегчить его и пре</w:t>
      </w:r>
      <w:r w:rsidRPr="00A3026E">
        <w:rPr>
          <w:rFonts w:ascii="Times New Roman" w:hAnsi="Times New Roman"/>
          <w:color w:val="000000" w:themeColor="text1"/>
          <w:sz w:val="16"/>
          <w:szCs w:val="16"/>
        </w:rPr>
        <w:softHyphen/>
        <w:t>вратить в одноместный. Сторонники такого варианта уверяли, что броня служит вполне достаточной защитой самолета и поэтому воздушный стре</w:t>
      </w:r>
      <w:r w:rsidRPr="00A3026E">
        <w:rPr>
          <w:rFonts w:ascii="Times New Roman" w:hAnsi="Times New Roman"/>
          <w:color w:val="000000" w:themeColor="text1"/>
          <w:sz w:val="16"/>
          <w:szCs w:val="16"/>
        </w:rPr>
        <w:softHyphen/>
        <w:t>лок на штурмовике не нужен. Сергей Владимирович возражал... С мнением главного конструктора не согласились, и было решено запустить в серию одноместный штурмовик» (Пономарев А.Н. Конструктор СВ. Ильюшин. С. 250-251.). Эту же точку зрения излагал и заслуженный летчик-испытатель СССР, Герой Советского Союза А. Щербаков: «Опытный образец был вскоре представлен на государственные испытания, но неожиданно активными противниками самолета выступило командование ВВС и руководство НИИ ВВС». Он указывает, что «одно из условий принятия на вооружение было: сделать самолет одноместным, то есть убрать стрелка, защищающего самолет от истребителей. Сергей Владимирович вынужден был согласиться. Чем обосновывали свои требования заказчики, сегодня выяснить невозможно» (Щербаков А. Ил-2 со слов его создателя. С. 9-10.).</w:t>
      </w:r>
    </w:p>
    <w:p w14:paraId="29EC5E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Другая точка зрения основывается на том, что конструктор сам остано</w:t>
      </w:r>
      <w:r w:rsidRPr="00A3026E">
        <w:rPr>
          <w:rFonts w:ascii="Times New Roman" w:hAnsi="Times New Roman"/>
          <w:color w:val="000000" w:themeColor="text1"/>
          <w:sz w:val="16"/>
          <w:szCs w:val="16"/>
        </w:rPr>
        <w:softHyphen/>
        <w:t>вился на одноместном варианте самолета, чтобы уложиться в требуемые характеристики, и никакого противодействия военных не было: «О цене же такого решения, измеряемого в условиях большой войны многими сотня</w:t>
      </w:r>
      <w:r w:rsidRPr="00A3026E">
        <w:rPr>
          <w:rFonts w:ascii="Times New Roman" w:hAnsi="Times New Roman"/>
          <w:color w:val="000000" w:themeColor="text1"/>
          <w:sz w:val="16"/>
          <w:szCs w:val="16"/>
        </w:rPr>
        <w:softHyphen/>
        <w:t>ми жизней летчиков, тогда, по-видимому, особо не задумывались... По про</w:t>
      </w:r>
      <w:r w:rsidRPr="00A3026E">
        <w:rPr>
          <w:rFonts w:ascii="Times New Roman" w:hAnsi="Times New Roman"/>
          <w:color w:val="000000" w:themeColor="text1"/>
          <w:sz w:val="16"/>
          <w:szCs w:val="16"/>
        </w:rPr>
        <w:softHyphen/>
        <w:t>шествии стольких лет остается лишь предполагать об истинных причинах принятого С.В. Ильюшиным решения... УВВС КА должной принципиаль</w:t>
      </w:r>
      <w:r w:rsidRPr="00A3026E">
        <w:rPr>
          <w:rFonts w:ascii="Times New Roman" w:hAnsi="Times New Roman"/>
          <w:color w:val="000000" w:themeColor="text1"/>
          <w:sz w:val="16"/>
          <w:szCs w:val="16"/>
        </w:rPr>
        <w:softHyphen/>
        <w:t>ности по поводу переделки БШ-2 из двухместного в одноместный также не проявило, во всяком случае, активной «перебранки» по этому вопросу меж</w:t>
      </w:r>
      <w:r w:rsidRPr="00A3026E">
        <w:rPr>
          <w:rFonts w:ascii="Times New Roman" w:hAnsi="Times New Roman"/>
          <w:color w:val="000000" w:themeColor="text1"/>
          <w:sz w:val="16"/>
          <w:szCs w:val="16"/>
        </w:rPr>
        <w:softHyphen/>
        <w:t>ду двумя ведомствами (имеются в виду ВВС РККА и НКАП) в это время не отмечается» (Перов В.И., Растренин О.В. Штурмовик Ил-2. С. 8-9.).</w:t>
      </w:r>
    </w:p>
    <w:p w14:paraId="6BEB29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Примечательно, что авторы двух вышеупомянутых точек зрения по Ил-2, несмотря на, казалось бы, решенный вопрос, сходятся в следующем: ВВС устра</w:t>
      </w:r>
      <w:r w:rsidRPr="00A3026E">
        <w:rPr>
          <w:rFonts w:ascii="Times New Roman" w:hAnsi="Times New Roman"/>
          <w:color w:val="000000" w:themeColor="text1"/>
          <w:sz w:val="16"/>
          <w:szCs w:val="16"/>
        </w:rPr>
        <w:softHyphen/>
        <w:t>ивал одноместный вариант БШ-2, а истинная причина появления одномес</w:t>
      </w:r>
      <w:r w:rsidRPr="00A3026E">
        <w:rPr>
          <w:rFonts w:ascii="Times New Roman" w:hAnsi="Times New Roman"/>
          <w:color w:val="000000" w:themeColor="text1"/>
          <w:sz w:val="16"/>
          <w:szCs w:val="16"/>
        </w:rPr>
        <w:softHyphen/>
        <w:t>тной машины в серии все-таки остается неизвестной. Во всяком случае, вер</w:t>
      </w:r>
      <w:r w:rsidRPr="00A3026E">
        <w:rPr>
          <w:rFonts w:ascii="Times New Roman" w:hAnsi="Times New Roman"/>
          <w:color w:val="000000" w:themeColor="text1"/>
          <w:sz w:val="16"/>
          <w:szCs w:val="16"/>
        </w:rPr>
        <w:softHyphen/>
        <w:t>сии В А Белоконя две эти точки зрения, по сути, не противоречат, и вопрос о роли «английского фактора» в судьбе самого массового советского самолета Великой Отечественной войны по-прежнему остается открытым (11710,328).</w:t>
      </w:r>
    </w:p>
    <w:p w14:paraId="37AECE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48266D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СНК и ЦК установили программу выпуска новых машин на 1941 (66,221).</w:t>
      </w:r>
    </w:p>
    <w:p w14:paraId="05502D7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FEC1034"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shd w:val="clear" w:color="auto" w:fill="FFFFFF"/>
        </w:rPr>
        <w:t>7 декабря 1940г постановлением СНК СССР и ЦК ВКП(б) «О программе выпуска самолетов, авиамоторов и авиавинтов в 1941 году» задача по выпуску Пе-2 изменилась. Новая программа предусматривала выпуск к концу 1941г уже 1700 Пе-2. Для выполнения этой задачи е заводам № 22 и № 39 подключалось еще 2 авиационных завода: завод №124 в Казани и завод №125 в Иркутске (19207).</w:t>
      </w:r>
    </w:p>
    <w:p w14:paraId="4E369805" w14:textId="77777777" w:rsidR="001278CD" w:rsidRPr="00A3026E" w:rsidRDefault="001278CD" w:rsidP="00A3026E">
      <w:pPr>
        <w:spacing w:after="0" w:line="240" w:lineRule="auto"/>
        <w:jc w:val="both"/>
        <w:rPr>
          <w:rFonts w:ascii="Times New Roman" w:hAnsi="Times New Roman"/>
          <w:color w:val="000000" w:themeColor="text1"/>
          <w:sz w:val="16"/>
          <w:szCs w:val="16"/>
        </w:rPr>
      </w:pPr>
    </w:p>
    <w:p w14:paraId="1F72DED8"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года постановлением правительства пятнадцати самолетам были присвоены новые обозначения по двум первым буквам фамилии конструктора. Самолет ПБ-100 получил обозначение – Пе-2 (19769).</w:t>
      </w:r>
    </w:p>
    <w:p w14:paraId="14DBD4F2" w14:textId="77777777" w:rsidR="001278CD" w:rsidRPr="00A3026E" w:rsidRDefault="001278CD" w:rsidP="00A3026E">
      <w:pPr>
        <w:spacing w:after="0" w:line="240" w:lineRule="auto"/>
        <w:jc w:val="both"/>
        <w:rPr>
          <w:rFonts w:ascii="Times New Roman" w:hAnsi="Times New Roman"/>
          <w:color w:val="000000" w:themeColor="text1"/>
          <w:sz w:val="16"/>
          <w:szCs w:val="16"/>
        </w:rPr>
      </w:pPr>
    </w:p>
    <w:p w14:paraId="5084FE89" w14:textId="77777777" w:rsidR="00C877C3" w:rsidRPr="00A3026E" w:rsidRDefault="00C877C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 декабря 1940 г., М-81 поступил в ОКБ ННП, а 10-го на обкатке сломался вал редуктора. Ремонт завершили только 25-го, а на испытания машину передали 30 декабря. На их проведение был назначен летчик-испытатель завода №51 Е.Г. Ульяхин, который начал выполнять руления, а затем и скоростные пробежки 9 января 1941 г. Но разрешения на полет не было - мотор, его регулятор оборотов и воздушный винт без конца отлаживали, пытаясь добиться устойчивой работы (17736).</w:t>
      </w:r>
    </w:p>
    <w:p w14:paraId="1925B792" w14:textId="77777777" w:rsidR="00C877C3" w:rsidRPr="00A3026E" w:rsidRDefault="00C877C3" w:rsidP="00A3026E">
      <w:pPr>
        <w:spacing w:after="0" w:line="240" w:lineRule="auto"/>
        <w:jc w:val="both"/>
        <w:rPr>
          <w:rFonts w:ascii="Times New Roman" w:eastAsia="Times New Roman" w:hAnsi="Times New Roman"/>
          <w:color w:val="000000" w:themeColor="text1"/>
          <w:sz w:val="16"/>
          <w:szCs w:val="16"/>
          <w:lang w:eastAsia="ru-RU"/>
        </w:rPr>
      </w:pPr>
    </w:p>
    <w:p w14:paraId="36015286"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декабря 1940 эскизный проект ОПБ АМ-37 который был ут</w:t>
      </w:r>
      <w:r w:rsidRPr="00A3026E">
        <w:rPr>
          <w:rFonts w:ascii="Times New Roman" w:hAnsi="Times New Roman"/>
          <w:color w:val="0070C0"/>
          <w:sz w:val="16"/>
          <w:szCs w:val="16"/>
        </w:rPr>
        <w:softHyphen/>
        <w:t>вержден Кочеригиным 19 ноября, был представ</w:t>
      </w:r>
      <w:r w:rsidRPr="00A3026E">
        <w:rPr>
          <w:rFonts w:ascii="Times New Roman" w:hAnsi="Times New Roman"/>
          <w:color w:val="0070C0"/>
          <w:sz w:val="16"/>
          <w:szCs w:val="16"/>
        </w:rPr>
        <w:softHyphen/>
        <w:t>лен для рассмотрения в экспертную комиссию НКАП. Само</w:t>
      </w:r>
      <w:r w:rsidRPr="00A3026E">
        <w:rPr>
          <w:rFonts w:ascii="Times New Roman" w:hAnsi="Times New Roman"/>
          <w:color w:val="0070C0"/>
          <w:sz w:val="16"/>
          <w:szCs w:val="16"/>
        </w:rPr>
        <w:softHyphen/>
        <w:t>лет определялся как модификация ОПБ с М-90. В крыле был использован профиль NACA 230 с относительной толщиной 19 %. К особым отличиям следует отнести высокое разме</w:t>
      </w:r>
      <w:r w:rsidRPr="00A3026E">
        <w:rPr>
          <w:rFonts w:ascii="Times New Roman" w:hAnsi="Times New Roman"/>
          <w:color w:val="0070C0"/>
          <w:sz w:val="16"/>
          <w:szCs w:val="16"/>
        </w:rPr>
        <w:softHyphen/>
        <w:t>щение летчика в увеличенном по высоте фонаре пилота, что в сочетании с «опущенным капотом» двигателя заметно (на 15 градусов) улучшало обзор из кабины. Указывались следующие его проектные характеристики:</w:t>
      </w:r>
    </w:p>
    <w:p w14:paraId="6BC7A6D5"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fldChar w:fldCharType="begin"/>
      </w:r>
      <w:r w:rsidRPr="00A3026E">
        <w:rPr>
          <w:rFonts w:ascii="Times New Roman" w:hAnsi="Times New Roman"/>
          <w:color w:val="0070C0"/>
          <w:sz w:val="16"/>
          <w:szCs w:val="16"/>
        </w:rPr>
        <w:instrText xml:space="preserve"> TOC \o "1-5" \h \z </w:instrText>
      </w:r>
      <w:r w:rsidRPr="00A3026E">
        <w:rPr>
          <w:rFonts w:ascii="Times New Roman" w:hAnsi="Times New Roman"/>
          <w:color w:val="0070C0"/>
          <w:sz w:val="16"/>
          <w:szCs w:val="16"/>
        </w:rPr>
        <w:fldChar w:fldCharType="separate"/>
      </w:r>
      <w:r w:rsidRPr="00A3026E">
        <w:rPr>
          <w:rFonts w:ascii="Times New Roman" w:hAnsi="Times New Roman"/>
          <w:color w:val="0070C0"/>
          <w:sz w:val="16"/>
          <w:szCs w:val="16"/>
        </w:rPr>
        <w:t>Длина в линии полета (м)</w:t>
      </w:r>
      <w:r w:rsidRPr="00A3026E">
        <w:rPr>
          <w:rFonts w:ascii="Times New Roman" w:hAnsi="Times New Roman"/>
          <w:color w:val="0070C0"/>
          <w:sz w:val="16"/>
          <w:szCs w:val="16"/>
        </w:rPr>
        <w:tab/>
        <w:t>9,87</w:t>
      </w:r>
    </w:p>
    <w:p w14:paraId="65583682"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Размах крыла (м)</w:t>
      </w:r>
      <w:r w:rsidRPr="00A3026E">
        <w:rPr>
          <w:rFonts w:ascii="Times New Roman" w:hAnsi="Times New Roman"/>
          <w:color w:val="0070C0"/>
          <w:sz w:val="16"/>
          <w:szCs w:val="16"/>
        </w:rPr>
        <w:tab/>
        <w:t>11,2</w:t>
      </w:r>
    </w:p>
    <w:p w14:paraId="04300042"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Площадь крыла (кв.м)</w:t>
      </w:r>
      <w:r w:rsidRPr="00A3026E">
        <w:rPr>
          <w:rFonts w:ascii="Times New Roman" w:hAnsi="Times New Roman"/>
          <w:color w:val="0070C0"/>
          <w:sz w:val="16"/>
          <w:szCs w:val="16"/>
        </w:rPr>
        <w:tab/>
        <w:t>21,0</w:t>
      </w:r>
    </w:p>
    <w:p w14:paraId="40868E16"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Вес пустого (кг)</w:t>
      </w:r>
      <w:r w:rsidRPr="00A3026E">
        <w:rPr>
          <w:rFonts w:ascii="Times New Roman" w:hAnsi="Times New Roman"/>
          <w:color w:val="0070C0"/>
          <w:sz w:val="16"/>
          <w:szCs w:val="16"/>
        </w:rPr>
        <w:tab/>
        <w:t>2648</w:t>
      </w:r>
    </w:p>
    <w:p w14:paraId="0505BEFB"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Полетный вес (кг)</w:t>
      </w:r>
      <w:r w:rsidRPr="00A3026E">
        <w:rPr>
          <w:rFonts w:ascii="Times New Roman" w:hAnsi="Times New Roman"/>
          <w:color w:val="0070C0"/>
          <w:sz w:val="16"/>
          <w:szCs w:val="16"/>
        </w:rPr>
        <w:tab/>
        <w:t>4010</w:t>
      </w:r>
    </w:p>
    <w:p w14:paraId="487C669E"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Нагрузка на крыло (кг/ кв.м)</w:t>
      </w:r>
      <w:r w:rsidRPr="00A3026E">
        <w:rPr>
          <w:rFonts w:ascii="Times New Roman" w:hAnsi="Times New Roman"/>
          <w:color w:val="0070C0"/>
          <w:sz w:val="16"/>
          <w:szCs w:val="16"/>
        </w:rPr>
        <w:tab/>
        <w:t>190</w:t>
      </w:r>
      <w:r w:rsidRPr="00A3026E">
        <w:rPr>
          <w:rFonts w:ascii="Times New Roman" w:hAnsi="Times New Roman"/>
          <w:color w:val="0070C0"/>
          <w:sz w:val="16"/>
          <w:szCs w:val="16"/>
        </w:rPr>
        <w:fldChar w:fldCharType="end"/>
      </w:r>
    </w:p>
    <w:p w14:paraId="6779A785"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Вооружение ОПБ АМ-37 в основном соответствовало вооружению самолета ОПБ М-90. В одном из вариантов предполагалось использовать пушечное вооружение.</w:t>
      </w:r>
    </w:p>
    <w:p w14:paraId="411C7747"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Максимальная скорость полета по расчетам составляла: у земли 462 км/ч, на высоте 7000 м - 580 км/ч. Время на</w:t>
      </w:r>
      <w:r w:rsidRPr="00A3026E">
        <w:rPr>
          <w:rFonts w:ascii="Times New Roman" w:hAnsi="Times New Roman"/>
          <w:color w:val="0070C0"/>
          <w:sz w:val="16"/>
          <w:szCs w:val="16"/>
        </w:rPr>
        <w:softHyphen/>
        <w:t>бора высоты 5000 м - 6,8 мин. Дальность полета - 960 км.</w:t>
      </w:r>
    </w:p>
    <w:p w14:paraId="7C18B016"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рассмотрении эскизного проекта ОПБ АМ-37 комис</w:t>
      </w:r>
      <w:r w:rsidRPr="00A3026E">
        <w:rPr>
          <w:rFonts w:ascii="Times New Roman" w:hAnsi="Times New Roman"/>
          <w:color w:val="0070C0"/>
          <w:sz w:val="16"/>
          <w:szCs w:val="16"/>
        </w:rPr>
        <w:softHyphen/>
        <w:t>сия НКАП под председательством Б.. Юрьева заключи</w:t>
      </w:r>
      <w:r w:rsidRPr="00A3026E">
        <w:rPr>
          <w:rFonts w:ascii="Times New Roman" w:hAnsi="Times New Roman"/>
          <w:color w:val="0070C0"/>
          <w:sz w:val="16"/>
          <w:szCs w:val="16"/>
        </w:rPr>
        <w:softHyphen/>
        <w:t>ла, что расчетные характеристики являются реальными, од</w:t>
      </w:r>
      <w:r w:rsidRPr="00A3026E">
        <w:rPr>
          <w:rFonts w:ascii="Times New Roman" w:hAnsi="Times New Roman"/>
          <w:color w:val="0070C0"/>
          <w:sz w:val="16"/>
          <w:szCs w:val="16"/>
        </w:rPr>
        <w:softHyphen/>
        <w:t>нако постройка самолета целесообразна после проведе</w:t>
      </w:r>
      <w:r w:rsidRPr="00A3026E">
        <w:rPr>
          <w:rFonts w:ascii="Times New Roman" w:hAnsi="Times New Roman"/>
          <w:color w:val="0070C0"/>
          <w:sz w:val="16"/>
          <w:szCs w:val="16"/>
        </w:rPr>
        <w:softHyphen/>
        <w:t>ния летных испытаний ОПБ М-90 (20362).</w:t>
      </w:r>
    </w:p>
    <w:p w14:paraId="5A283F44" w14:textId="77777777" w:rsidR="003223A8" w:rsidRPr="00A3026E" w:rsidRDefault="003223A8" w:rsidP="00A3026E">
      <w:pPr>
        <w:shd w:val="clear" w:color="auto" w:fill="FFFFFF"/>
        <w:spacing w:after="0" w:line="240" w:lineRule="auto"/>
        <w:jc w:val="both"/>
        <w:rPr>
          <w:rFonts w:ascii="Times New Roman" w:hAnsi="Times New Roman"/>
          <w:color w:val="0070C0"/>
          <w:sz w:val="16"/>
          <w:szCs w:val="16"/>
        </w:rPr>
      </w:pPr>
    </w:p>
    <w:p w14:paraId="570021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года постановление СНК СССР и ЦК ВКП(б) в планах производства на 1941 год предусматривалось выпустить 3600 Ми-Гов (1941 год. Документы. Кн. 1. С. 441.). Фактически из этого следует, что вплоть до конца 1941 года МиГ-3 являлся приоритетной машиной военно-воздушных сил Красной армии. Предполагалось на авиационном заводе № 21 в Горьком, где делали истре</w:t>
      </w:r>
      <w:r w:rsidRPr="00A3026E">
        <w:rPr>
          <w:rFonts w:ascii="Times New Roman" w:hAnsi="Times New Roman"/>
          <w:color w:val="000000" w:themeColor="text1"/>
          <w:sz w:val="16"/>
          <w:szCs w:val="16"/>
        </w:rPr>
        <w:softHyphen/>
        <w:t>бители И-16, развернуть выпуск самолетов МиГ.</w:t>
      </w:r>
    </w:p>
    <w:p w14:paraId="3B1D6D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случае реализации этих планов на обеспечение производства МиГов были бы ориентированы два самых мощных авиазавода страны по производству истребителей (11710,436).</w:t>
      </w:r>
    </w:p>
    <w:p w14:paraId="72EE1C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33D51A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вышло постановление ЦК ВКП(б) и СНК СССР N 24661-1096, согласно которому одноместные истребители выпуска 1941, как опытные, так и серийные, должны выпускаться с обеспечением дальности полета не менее 1000 км на скорости полета 0.9 максимальной (769,35).</w:t>
      </w:r>
    </w:p>
    <w:p w14:paraId="116C5B8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4FF07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7 декабря 1940 г. последовал приказ о прекращении производства И-16 и о переводе авиазаводов № 21 и № 153 на постройку истребителей ЛаГГ-3. Последние 81 И-16 тип 29 достраивались заводом № 21 и сдавались за</w:t>
      </w:r>
      <w:r w:rsidRPr="00A3026E">
        <w:rPr>
          <w:rFonts w:ascii="Times New Roman" w:hAnsi="Times New Roman"/>
          <w:color w:val="000000" w:themeColor="text1"/>
          <w:sz w:val="16"/>
          <w:szCs w:val="16"/>
        </w:rPr>
        <w:softHyphen/>
        <w:t>казчику уже в 1941 г. (10667).</w:t>
      </w:r>
    </w:p>
    <w:p w14:paraId="46CAF1D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2AC0078" w14:textId="77777777" w:rsidR="001C7A0F" w:rsidRPr="00A3026E" w:rsidRDefault="001C7A0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 декабря 1940 г., М-81 поступил в ОКБ ННП, а 10-го на обкатке сломался вал редуктора. Ремонт завершили только 25-го, а 30 декабря 1940 И-185 М-81 передали на испытания. На их проведение был назначен летчик-испытатель завода №51 Е.Г. Ульяхин, который начал выполнять руления, а затем и скоростные пробежки 9 января 1941 г. Но разрешения на полет не было - мотор, его регулятор оборотов и воздушный винт без конца отлаживали, пытаясь добиться устойчивой работы (17736).</w:t>
      </w:r>
    </w:p>
    <w:p w14:paraId="4B9AED1C" w14:textId="77777777" w:rsidR="001C7A0F" w:rsidRPr="00A3026E" w:rsidRDefault="001C7A0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1872C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было постановление Правительства и ЦК ВКП(б), которым поручил 292 и 301 заводам выпустив в первом квартале 1941 300 Як-1 перейти на И-30 с металлическим крылом (198,19).</w:t>
      </w:r>
    </w:p>
    <w:p w14:paraId="09B7A95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5E888B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7/11 декабря 1940 года вышел приказ НИИ ВВС № 0277</w:t>
      </w:r>
    </w:p>
    <w:p w14:paraId="24D26020"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 2 самолетов ББ-22 с 2М-105 (малая модификация) с винтами ВИШ-22Е головной серии производства завода № 81 (6890, 184).</w:t>
      </w:r>
    </w:p>
    <w:p w14:paraId="35BE7E92"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680A83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года во измене</w:t>
      </w:r>
      <w:r w:rsidRPr="00A3026E">
        <w:rPr>
          <w:rFonts w:ascii="Times New Roman" w:hAnsi="Times New Roman"/>
          <w:color w:val="000000" w:themeColor="text1"/>
          <w:sz w:val="16"/>
          <w:szCs w:val="16"/>
        </w:rPr>
        <w:softHyphen/>
        <w:t>ние постановления СНК СССР и ЦК ВКП(б) № 24б6-109бсс «О программе выпуска самолетов и авиамоторов в 1941 году», утвержденного решением Политбюро ЦК ВКП(б) № П 23 / 142 - ОП от 7 декабря 1940 года, отменить производство самолетов Як-4. Вместо них в 1941 году предписывалось изготовить 250 Пе-2 (РГАСПИ.Ф. 17. Оп. 162. Д. 31. Л. 65-66.). Согласно мнению исследователей В. Перова и О. Растренина, «приня</w:t>
      </w:r>
      <w:r w:rsidRPr="00A3026E">
        <w:rPr>
          <w:rFonts w:ascii="Times New Roman" w:hAnsi="Times New Roman"/>
          <w:color w:val="000000" w:themeColor="text1"/>
          <w:sz w:val="16"/>
          <w:szCs w:val="16"/>
        </w:rPr>
        <w:softHyphen/>
        <w:t>тие на вооружение ВВС КА самолета ББ-22 в варианте бомбардировщика является грубейшей ошибкой УВВС, НКАП и Комитета Обороны», так как «реальной боевой ценности он не представлял, но сил и средств на его внедрение в серийное производство и освоение в боевых частях было за</w:t>
      </w:r>
      <w:r w:rsidRPr="00A3026E">
        <w:rPr>
          <w:rFonts w:ascii="Times New Roman" w:hAnsi="Times New Roman"/>
          <w:color w:val="000000" w:themeColor="text1"/>
          <w:sz w:val="16"/>
          <w:szCs w:val="16"/>
        </w:rPr>
        <w:softHyphen/>
        <w:t>трачено немало» (Перов В.И., Растренин О.В. Неизвестный Ар-2 // Авиация и космонавтика вчера, сегодня, завтра. 2003. №7. С. 22.) (11710,428).</w:t>
      </w:r>
    </w:p>
    <w:p w14:paraId="766F24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0D2FC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года согласно постановлению СНК СССР и ЦК ВКП(б) от должно было составить на 1941 год 200 МДР-6, в том числе 75 - в первом полугодии ('Подсчитано по: 1941 год. Документы. Кн. 1. С. 441-442.). В январе 1941 года завод № 31 сдал пос</w:t>
      </w:r>
      <w:r w:rsidRPr="00A3026E">
        <w:rPr>
          <w:rFonts w:ascii="Times New Roman" w:hAnsi="Times New Roman"/>
          <w:color w:val="000000" w:themeColor="text1"/>
          <w:sz w:val="16"/>
          <w:szCs w:val="16"/>
        </w:rPr>
        <w:softHyphen/>
        <w:t>ледние 4 машины, а завод № 30 начал выпуск с апреля месяца, сдав в первом полугодии всего 6 самолетов. Дальнейший выпуск продолжался по октябрь включительно, составив 15 машин. Последние 5 из произведенных были вы</w:t>
      </w:r>
      <w:r w:rsidRPr="00A3026E">
        <w:rPr>
          <w:rFonts w:ascii="Times New Roman" w:hAnsi="Times New Roman"/>
          <w:color w:val="000000" w:themeColor="text1"/>
          <w:sz w:val="16"/>
          <w:szCs w:val="16"/>
        </w:rPr>
        <w:softHyphen/>
        <w:t>пущены уже в следующем, 1942 году (1941 год. Документы. Кн. 2. С. 490,492-495.).</w:t>
      </w:r>
    </w:p>
    <w:p w14:paraId="5924BF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Вместо поставок 500 лодок по плану 1941 года, после его корректиров</w:t>
      </w:r>
      <w:r w:rsidRPr="00A3026E">
        <w:rPr>
          <w:rFonts w:ascii="Times New Roman" w:hAnsi="Times New Roman"/>
          <w:color w:val="000000" w:themeColor="text1"/>
          <w:sz w:val="16"/>
          <w:szCs w:val="16"/>
        </w:rPr>
        <w:softHyphen/>
        <w:t>ки КО при СНК СССР осталось 200 (один тип снят совсем - МДР-7, второй тип - МДР-6 - наполовину), сняты с плана были все 250 корабельных раз</w:t>
      </w:r>
      <w:r w:rsidRPr="00A3026E">
        <w:rPr>
          <w:rFonts w:ascii="Times New Roman" w:hAnsi="Times New Roman"/>
          <w:color w:val="000000" w:themeColor="text1"/>
          <w:sz w:val="16"/>
          <w:szCs w:val="16"/>
        </w:rPr>
        <w:softHyphen/>
        <w:t>ведчиков КОР-2.</w:t>
      </w:r>
    </w:p>
    <w:p w14:paraId="71E2DC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Проблемы с «сухопутными» машинами, как зеркало, отражавшие си</w:t>
      </w:r>
      <w:r w:rsidRPr="00A3026E">
        <w:rPr>
          <w:rFonts w:ascii="Times New Roman" w:hAnsi="Times New Roman"/>
          <w:color w:val="000000" w:themeColor="text1"/>
          <w:sz w:val="16"/>
          <w:szCs w:val="16"/>
        </w:rPr>
        <w:softHyphen/>
        <w:t>туацию с авиапромом, также отразились на планах поставок на 1941 год. Менее всего пострадали истребители - Комитет Обороны дал санкцию на требуемое количество, но иных типов. Так, вместо 100 снятых с плана И-180 предполагалось дать больше на 100 Яков, поставки МиГ-3 срезали на 50 по сравнению с требуемым количеством, зато дали больше ЛаГГов. Резкое со</w:t>
      </w:r>
      <w:r w:rsidRPr="00A3026E">
        <w:rPr>
          <w:rFonts w:ascii="Times New Roman" w:hAnsi="Times New Roman"/>
          <w:color w:val="000000" w:themeColor="text1"/>
          <w:sz w:val="16"/>
          <w:szCs w:val="16"/>
        </w:rPr>
        <w:softHyphen/>
        <w:t>кращение заказов было по линии бомбардировщиков - количество ДБ-240 урезали со 180 до 10. Сняты были 72% от заказа Дугласов (ПС-84). Сняты были все 50 УТ 3-2 МВб (из-за проблем с мотором) (РГАВМФ. Ф.Р-61.ОП. 7.Д. 143. Л. 1-3.) (11710,448).</w:t>
      </w:r>
    </w:p>
    <w:p w14:paraId="273CB2A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E9EB4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года Начальник НИИ ВВС генерал-майор авиации Филин утвердил Отчет по устойчивости и управляемости СБ 2М103А 3 1/286</w:t>
      </w:r>
    </w:p>
    <w:p w14:paraId="097866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6B0A15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по испытанию ст. инженер НИО Турчков</w:t>
      </w:r>
    </w:p>
    <w:p w14:paraId="7CF851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майор Стадник</w:t>
      </w:r>
    </w:p>
    <w:p w14:paraId="5D5320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59213CF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запасы статической устойчивости по режимам на различных центровках.</w:t>
      </w:r>
    </w:p>
    <w:p w14:paraId="6B2CB8C7"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влияние щитков на продольную устойчивость на планировании.</w:t>
      </w:r>
    </w:p>
    <w:p w14:paraId="2DB99D7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эффективность триммера руля высоты на режиме планирования.</w:t>
      </w:r>
    </w:p>
    <w:p w14:paraId="44DA726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Произвести качественную оценку продольной динамической устойчивости, как с зажатой, так и с брошенной ручкой.</w:t>
      </w:r>
    </w:p>
    <w:p w14:paraId="0B63147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Произвести качественную оценку боковой динамической устойчивости.</w:t>
      </w:r>
    </w:p>
    <w:p w14:paraId="7315AEB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наивыгоднейший диапазон центровок самолета на основании оценки статической и динамической устойчивости.</w:t>
      </w:r>
    </w:p>
    <w:p w14:paraId="21DB87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производились на бомбардировщике СБ с 2 моторами М103А, находящимися на вооружении отечественных ВВС.</w:t>
      </w:r>
    </w:p>
    <w:p w14:paraId="7DE56E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65C8466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СБ 2М103А на нормальной эксплуатационной центровке 28,4% САХ (32,8% ХР.) не обладает удовлетворительной продольной устойчивостью.</w:t>
      </w:r>
    </w:p>
    <w:p w14:paraId="4F4266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Центровку 28,4% считать предельно-задней эксплуатационной центровкой.</w:t>
      </w:r>
    </w:p>
    <w:p w14:paraId="415B02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Пикирование самолета с более задними центровками, чем 28,4% САХ – не производить (4530).</w:t>
      </w:r>
    </w:p>
    <w:p w14:paraId="5B7D6A4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56339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года у Постановление СНК СССР и ЦК ВКП(б) «О про грамме выпуска самолетов и авиамоторов в 1941 году» № 24б6-109бсс устанавливала Наркомавиапрому программу выпуска 1000 Ар-2 2М-105 в 1941 году, в том числе 300 в первом квартале, 300 во вто</w:t>
      </w:r>
      <w:r w:rsidRPr="00A3026E">
        <w:rPr>
          <w:rFonts w:ascii="Times New Roman" w:hAnsi="Times New Roman"/>
          <w:color w:val="000000" w:themeColor="text1"/>
          <w:sz w:val="16"/>
          <w:szCs w:val="16"/>
        </w:rPr>
        <w:softHyphen/>
        <w:t>ром, 250 в третьем и 150 в четвертом. С первого квартала 1942 года выпуск этого самолета уже не предполагался (11710,430).</w:t>
      </w:r>
    </w:p>
    <w:p w14:paraId="7AA3B7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75C59A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был составлен АКТ:</w:t>
      </w:r>
    </w:p>
    <w:p w14:paraId="38C9D6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года декабря 7 дня, мы нижеподписавшиеся, Начальник НПО завода № 156 тов. КАРПОВ А.О. и Главный Конструктор тов. ВЕЛЯКОВ, составили настоящий акт в том, что заказ № 380 был открыт по распоряжению 7-го Главного Управления в связи с подготовкой чертежей /серийных/ по самолету ДБ-ЛК /заказ № 350/.</w:t>
      </w:r>
    </w:p>
    <w:p w14:paraId="3234CA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были начаты в период госиспытаний машины, после окончание испытаний, в акте техсовета было предложено машину по ряду об”ектов довести и пред"явить на испытание вторично.</w:t>
      </w:r>
    </w:p>
    <w:p w14:paraId="2E3736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изготовлению серийных чертежей были прекращены и было приступлено к изготовлению чертежей по доводке машины ДБ-ЛК для чего был открыт заказ № 505.</w:t>
      </w:r>
    </w:p>
    <w:p w14:paraId="173767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Затраты на 1/Х1-40 г. выражаются в сумме Руб. 14б.497-10к. Готовность чертежей составляет - 5%.</w:t>
      </w:r>
    </w:p>
    <w:p w14:paraId="439AB3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Указанная сумма затрат подлежит списанию, т.к. работа прекращена (11009).</w:t>
      </w:r>
    </w:p>
    <w:p w14:paraId="20EDF5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63EE72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 эскизный проект ОПБ с двигателем АМ- 37 был представлен для рас</w:t>
      </w:r>
      <w:r w:rsidRPr="00A3026E">
        <w:rPr>
          <w:rFonts w:ascii="Times New Roman" w:hAnsi="Times New Roman"/>
          <w:color w:val="000000" w:themeColor="text1"/>
          <w:sz w:val="16"/>
          <w:szCs w:val="16"/>
        </w:rPr>
        <w:softHyphen/>
        <w:t>смотрения в экспертную комиссию НКАП. Самолет определялся как модификация ОПБ с М-90. Особо отмечалось, что с АМ-37 уве</w:t>
      </w:r>
      <w:r w:rsidRPr="00A3026E">
        <w:rPr>
          <w:rFonts w:ascii="Times New Roman" w:hAnsi="Times New Roman"/>
          <w:color w:val="000000" w:themeColor="text1"/>
          <w:sz w:val="16"/>
          <w:szCs w:val="16"/>
        </w:rPr>
        <w:softHyphen/>
        <w:t>личен угол обзора летчику вперед на 15 гра</w:t>
      </w:r>
      <w:r w:rsidRPr="00A3026E">
        <w:rPr>
          <w:rFonts w:ascii="Times New Roman" w:hAnsi="Times New Roman"/>
          <w:color w:val="000000" w:themeColor="text1"/>
          <w:sz w:val="16"/>
          <w:szCs w:val="16"/>
        </w:rPr>
        <w:softHyphen/>
        <w:t>дусов. Указывались следующие проектные характеристики ОПБ М-37:</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2455"/>
        <w:gridCol w:w="842"/>
      </w:tblGrid>
      <w:tr w:rsidR="00983732" w:rsidRPr="00A3026E" w14:paraId="194C44AC" w14:textId="77777777" w:rsidTr="00EA0DA7">
        <w:trPr>
          <w:trHeight w:val="216"/>
        </w:trPr>
        <w:tc>
          <w:tcPr>
            <w:tcW w:w="2455" w:type="dxa"/>
            <w:shd w:val="clear" w:color="auto" w:fill="auto"/>
          </w:tcPr>
          <w:p w14:paraId="4DA1FE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крыла (м)</w:t>
            </w:r>
          </w:p>
        </w:tc>
        <w:tc>
          <w:tcPr>
            <w:tcW w:w="842" w:type="dxa"/>
            <w:shd w:val="clear" w:color="auto" w:fill="auto"/>
          </w:tcPr>
          <w:p w14:paraId="5ABCD5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w:t>
            </w:r>
          </w:p>
        </w:tc>
      </w:tr>
      <w:tr w:rsidR="00983732" w:rsidRPr="00A3026E" w14:paraId="08AB9A94" w14:textId="77777777" w:rsidTr="00EA0DA7">
        <w:trPr>
          <w:trHeight w:val="212"/>
        </w:trPr>
        <w:tc>
          <w:tcPr>
            <w:tcW w:w="2455" w:type="dxa"/>
            <w:shd w:val="clear" w:color="auto" w:fill="auto"/>
          </w:tcPr>
          <w:p w14:paraId="1DF33B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tc>
        <w:tc>
          <w:tcPr>
            <w:tcW w:w="842" w:type="dxa"/>
            <w:shd w:val="clear" w:color="auto" w:fill="auto"/>
          </w:tcPr>
          <w:p w14:paraId="17508F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w:t>
            </w:r>
          </w:p>
        </w:tc>
      </w:tr>
      <w:tr w:rsidR="00983732" w:rsidRPr="00A3026E" w14:paraId="43250940" w14:textId="77777777" w:rsidTr="00EA0DA7">
        <w:trPr>
          <w:trHeight w:val="209"/>
        </w:trPr>
        <w:tc>
          <w:tcPr>
            <w:tcW w:w="2455" w:type="dxa"/>
            <w:shd w:val="clear" w:color="auto" w:fill="auto"/>
          </w:tcPr>
          <w:p w14:paraId="3A55E7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(кг)</w:t>
            </w:r>
          </w:p>
        </w:tc>
        <w:tc>
          <w:tcPr>
            <w:tcW w:w="842" w:type="dxa"/>
            <w:shd w:val="clear" w:color="auto" w:fill="auto"/>
          </w:tcPr>
          <w:p w14:paraId="0C9820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r>
      <w:tr w:rsidR="00983732" w:rsidRPr="00A3026E" w14:paraId="03241868" w14:textId="77777777" w:rsidTr="00EA0DA7">
        <w:trPr>
          <w:trHeight w:val="227"/>
        </w:trPr>
        <w:tc>
          <w:tcPr>
            <w:tcW w:w="2455" w:type="dxa"/>
            <w:shd w:val="clear" w:color="auto" w:fill="auto"/>
          </w:tcPr>
          <w:p w14:paraId="7EE0C22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на крыло (кг/м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tc>
        <w:tc>
          <w:tcPr>
            <w:tcW w:w="842" w:type="dxa"/>
            <w:shd w:val="clear" w:color="auto" w:fill="auto"/>
          </w:tcPr>
          <w:p w14:paraId="0F852D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w:t>
            </w:r>
          </w:p>
        </w:tc>
      </w:tr>
      <w:tr w:rsidR="00983732" w:rsidRPr="00A3026E" w14:paraId="7F5BE770" w14:textId="77777777" w:rsidTr="00EA0DA7">
        <w:trPr>
          <w:trHeight w:val="216"/>
        </w:trPr>
        <w:tc>
          <w:tcPr>
            <w:tcW w:w="2455" w:type="dxa"/>
            <w:shd w:val="clear" w:color="auto" w:fill="auto"/>
          </w:tcPr>
          <w:p w14:paraId="1AC912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Горючее</w:t>
            </w:r>
          </w:p>
        </w:tc>
        <w:tc>
          <w:tcPr>
            <w:tcW w:w="842" w:type="dxa"/>
            <w:shd w:val="clear" w:color="auto" w:fill="auto"/>
          </w:tcPr>
          <w:p w14:paraId="2EDA14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 л</w:t>
            </w:r>
          </w:p>
        </w:tc>
      </w:tr>
      <w:tr w:rsidR="00983732" w:rsidRPr="00A3026E" w14:paraId="2C0AE47C" w14:textId="77777777" w:rsidTr="00EA0DA7">
        <w:trPr>
          <w:trHeight w:val="191"/>
        </w:trPr>
        <w:tc>
          <w:tcPr>
            <w:tcW w:w="2455" w:type="dxa"/>
            <w:shd w:val="clear" w:color="auto" w:fill="auto"/>
          </w:tcPr>
          <w:p w14:paraId="03CAA9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w:t>
            </w:r>
          </w:p>
        </w:tc>
        <w:tc>
          <w:tcPr>
            <w:tcW w:w="842" w:type="dxa"/>
            <w:shd w:val="clear" w:color="auto" w:fill="auto"/>
          </w:tcPr>
          <w:p w14:paraId="10C336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 кг</w:t>
            </w:r>
          </w:p>
        </w:tc>
      </w:tr>
    </w:tbl>
    <w:p w14:paraId="38EC45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с двигателем АМ-37 вызвал боль</w:t>
      </w:r>
      <w:r w:rsidRPr="00A3026E">
        <w:rPr>
          <w:rFonts w:ascii="Times New Roman" w:hAnsi="Times New Roman"/>
          <w:color w:val="000000" w:themeColor="text1"/>
          <w:sz w:val="16"/>
          <w:szCs w:val="16"/>
        </w:rPr>
        <w:softHyphen/>
        <w:t>шой интерес, однако комиссия наркома</w:t>
      </w:r>
      <w:r w:rsidRPr="00A3026E">
        <w:rPr>
          <w:rFonts w:ascii="Times New Roman" w:hAnsi="Times New Roman"/>
          <w:color w:val="000000" w:themeColor="text1"/>
          <w:sz w:val="16"/>
          <w:szCs w:val="16"/>
        </w:rPr>
        <w:softHyphen/>
        <w:t>та постановила продолжить над ним работу только после удачных полетов модификации с двигателем М-90.</w:t>
      </w:r>
    </w:p>
    <w:p w14:paraId="5B308B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началом войны ОКБ Кочеригина эваку</w:t>
      </w:r>
      <w:r w:rsidRPr="00A3026E">
        <w:rPr>
          <w:rFonts w:ascii="Times New Roman" w:hAnsi="Times New Roman"/>
          <w:color w:val="000000" w:themeColor="text1"/>
          <w:sz w:val="16"/>
          <w:szCs w:val="16"/>
        </w:rPr>
        <w:softHyphen/>
        <w:t>ировали в Пермь. Там первоначальный вари</w:t>
      </w:r>
      <w:r w:rsidRPr="00A3026E">
        <w:rPr>
          <w:rFonts w:ascii="Times New Roman" w:hAnsi="Times New Roman"/>
          <w:color w:val="000000" w:themeColor="text1"/>
          <w:sz w:val="16"/>
          <w:szCs w:val="16"/>
        </w:rPr>
        <w:softHyphen/>
        <w:t>ант ОПБ М-90 был достроен, известно, что он даже выкатывался на аэродром для гонок двигателя. Впрочем, именно двигатель, кото</w:t>
      </w:r>
      <w:r w:rsidRPr="00A3026E">
        <w:rPr>
          <w:rFonts w:ascii="Times New Roman" w:hAnsi="Times New Roman"/>
          <w:color w:val="000000" w:themeColor="text1"/>
          <w:sz w:val="16"/>
          <w:szCs w:val="16"/>
        </w:rPr>
        <w:softHyphen/>
        <w:t>рый так и не смогли довести до требуемых по</w:t>
      </w:r>
      <w:r w:rsidRPr="00A3026E">
        <w:rPr>
          <w:rFonts w:ascii="Times New Roman" w:hAnsi="Times New Roman"/>
          <w:color w:val="000000" w:themeColor="text1"/>
          <w:sz w:val="16"/>
          <w:szCs w:val="16"/>
        </w:rPr>
        <w:softHyphen/>
        <w:t>казателей, стал причиной полного закрытия работ по этому перспективному самолету (12301).</w:t>
      </w:r>
    </w:p>
    <w:p w14:paraId="706DB862"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C4788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года постановление № 447сс КО</w:t>
      </w:r>
    </w:p>
    <w:p w14:paraId="1F5CD9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принятии на вооружение ВВС авиационного мотора АМ-35А конструкции Микулина</w:t>
      </w:r>
    </w:p>
    <w:p w14:paraId="481937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постановляет:</w:t>
      </w:r>
    </w:p>
    <w:p w14:paraId="0A7B5973"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Утвердить акт Правительственной комиссии "Об удовлетворительном окончании госиспытания на станке мотора АМ-35".</w:t>
      </w:r>
    </w:p>
    <w:p w14:paraId="39234ED2"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Принять мотор АМ-35А на вооружение ВВС КА.</w:t>
      </w:r>
    </w:p>
    <w:p w14:paraId="1A93910E"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Обязать Наркомавиапром устранить дефекты мотора АМ-35А, выявленные во время государственного и дополнительных испытаний, в сроки, установленные Правительственной комиссией (7595, 292).</w:t>
      </w:r>
    </w:p>
    <w:p w14:paraId="2A30737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акте предлагалось устранить дефекты до 1 января 1941 и НКАП (завод 24) обязывался сделать это к 1 марта, а также разработать и проверить длительными испытаниями различные зазоры и допуски мотора АМ-35А, на основе чего составить и к 1 сентяюря 1941 издать руководство по ремонту мотора АМ-35А</w:t>
      </w:r>
    </w:p>
    <w:p w14:paraId="1FCB857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 Прав. Комиссии по гос. Испытаниям АМ-35А би Левин</w:t>
      </w:r>
    </w:p>
    <w:p w14:paraId="5DCBCDCB"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Чл. Ком. Вед. Инж. НИИ ВВС ГУ ВВС КА ви2р Лукин (956,19)</w:t>
      </w:r>
    </w:p>
    <w:p w14:paraId="6EA2BAF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73EC585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года вышел приказ НИИ ВВС № 0274</w:t>
      </w:r>
    </w:p>
    <w:p w14:paraId="4D07140B"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проведении войсковых испытаний самолетов И-200 с М-35А и о переучивании экипажей 41 ИАП ЗАПОВО на самолетах И-200 (6890, 180).</w:t>
      </w:r>
    </w:p>
    <w:p w14:paraId="2398DA9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3A0793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вышло постановление КО N 2447 "О принятии на вооружение мотора АМ-35А конструкции тов. Микулина и к 1 января поручили устранить все дефекты и к 1 сентября 1941 - подготовить руководство по ремонту (956).</w:t>
      </w:r>
    </w:p>
    <w:p w14:paraId="4FA30CA9"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3635102" w14:textId="77777777" w:rsidR="00D91883" w:rsidRPr="00A3026E" w:rsidRDefault="00D91883"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shd w:val="clear" w:color="auto" w:fill="FFFFFF"/>
        </w:rPr>
        <w:t>7 декабря 1940 вышло Постановление Комитета обороны при СНК СССР № 447</w:t>
      </w:r>
      <w:r w:rsidRPr="00A3026E">
        <w:rPr>
          <w:rFonts w:ascii="Times New Roman" w:hAnsi="Times New Roman"/>
          <w:color w:val="0070C0"/>
          <w:sz w:val="16"/>
          <w:szCs w:val="16"/>
          <w:shd w:val="clear" w:color="auto" w:fill="FFFFFF"/>
          <w:lang w:val="en-US"/>
        </w:rPr>
        <w:t>c</w:t>
      </w:r>
      <w:r w:rsidRPr="00A3026E">
        <w:rPr>
          <w:rFonts w:ascii="Times New Roman" w:hAnsi="Times New Roman"/>
          <w:color w:val="0070C0"/>
          <w:sz w:val="16"/>
          <w:szCs w:val="16"/>
          <w:shd w:val="clear" w:color="auto" w:fill="FFFFFF"/>
        </w:rPr>
        <w:t xml:space="preserve"> "О принятии на вооружение ВВС Красной Армии авиационного мотора АМ-35А конструкции тов. Микулина" с приложением</w:t>
      </w:r>
    </w:p>
    <w:p w14:paraId="542793B7" w14:textId="77777777" w:rsidR="00D91883" w:rsidRPr="00A3026E" w:rsidRDefault="00D91883" w:rsidP="00A3026E">
      <w:pPr>
        <w:pStyle w:val="aff9"/>
        <w:framePr w:w="4771" w:h="238" w:wrap="none" w:hAnchor="page" w:x="8317" w:y="3908"/>
        <w:spacing w:line="240" w:lineRule="auto"/>
        <w:jc w:val="both"/>
        <w:rPr>
          <w:rFonts w:ascii="Times New Roman" w:hAnsi="Times New Roman" w:cs="Times New Roman"/>
          <w:color w:val="0070C0"/>
          <w:sz w:val="16"/>
          <w:szCs w:val="16"/>
        </w:rPr>
      </w:pPr>
      <w:r w:rsidRPr="00A3026E">
        <w:rPr>
          <w:rFonts w:ascii="Times New Roman" w:hAnsi="Times New Roman" w:cs="Times New Roman"/>
          <w:color w:val="0070C0"/>
          <w:sz w:val="16"/>
          <w:szCs w:val="16"/>
        </w:rPr>
        <w:t>Комитет Обороны при СНК Союза ССР ТЮСТАЮЗЛЯТТ:</w:t>
      </w:r>
    </w:p>
    <w:p w14:paraId="0D5AB318" w14:textId="77777777" w:rsidR="00D91883" w:rsidRPr="00A3026E" w:rsidRDefault="00D91883" w:rsidP="00A3026E">
      <w:pPr>
        <w:pStyle w:val="aff9"/>
        <w:framePr w:w="4771" w:h="238" w:wrap="none" w:hAnchor="page" w:x="8317" w:y="5348"/>
        <w:spacing w:line="240" w:lineRule="auto"/>
        <w:jc w:val="both"/>
        <w:rPr>
          <w:rFonts w:ascii="Times New Roman" w:hAnsi="Times New Roman" w:cs="Times New Roman"/>
          <w:color w:val="0070C0"/>
          <w:sz w:val="16"/>
          <w:szCs w:val="16"/>
        </w:rPr>
      </w:pPr>
      <w:r w:rsidRPr="00A3026E">
        <w:rPr>
          <w:rFonts w:ascii="Times New Roman" w:hAnsi="Times New Roman" w:cs="Times New Roman"/>
          <w:color w:val="0070C0"/>
          <w:sz w:val="16"/>
          <w:szCs w:val="16"/>
        </w:rPr>
        <w:t>Комитет Обороны при СНК Союза ССР ТЮСТАЮЗЛЯТТ:</w:t>
      </w:r>
    </w:p>
    <w:p w14:paraId="6B954A80" w14:textId="77777777" w:rsidR="00D91883" w:rsidRPr="00A3026E" w:rsidRDefault="00D91883"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Комитет Обороны при СНК Союза ССР ПОСТАНОВЛЯЮТ:</w:t>
      </w:r>
    </w:p>
    <w:p w14:paraId="595805D6" w14:textId="77777777" w:rsidR="00D91883" w:rsidRPr="00A3026E" w:rsidRDefault="00D91883"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Утвердить акт Правительственной Комиссии ”О6 удовлет</w:t>
      </w:r>
      <w:r w:rsidRPr="00A3026E">
        <w:rPr>
          <w:rFonts w:ascii="Times New Roman" w:hAnsi="Times New Roman"/>
          <w:color w:val="0070C0"/>
          <w:sz w:val="16"/>
          <w:szCs w:val="16"/>
        </w:rPr>
        <w:softHyphen/>
        <w:t>ворительном окончании государственного испытания на стан</w:t>
      </w:r>
      <w:r w:rsidRPr="00A3026E">
        <w:rPr>
          <w:rFonts w:ascii="Times New Roman" w:hAnsi="Times New Roman"/>
          <w:color w:val="0070C0"/>
          <w:sz w:val="16"/>
          <w:szCs w:val="16"/>
          <w:u w:val="single"/>
        </w:rPr>
        <w:t xml:space="preserve">ке </w:t>
      </w:r>
      <w:r w:rsidRPr="00A3026E">
        <w:rPr>
          <w:rFonts w:ascii="Times New Roman" w:hAnsi="Times New Roman"/>
          <w:color w:val="0070C0"/>
          <w:sz w:val="16"/>
          <w:szCs w:val="16"/>
        </w:rPr>
        <w:t>мотора АМ-35А".</w:t>
      </w:r>
    </w:p>
    <w:p w14:paraId="20E4CDF7" w14:textId="77777777" w:rsidR="00D91883" w:rsidRPr="00A3026E" w:rsidRDefault="00D91883"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Принять мотор АМ-35А на вооружение ВВС Красной Армии.</w:t>
      </w:r>
    </w:p>
    <w:p w14:paraId="04BE53CD" w14:textId="77777777" w:rsidR="00D91883" w:rsidRPr="00A3026E" w:rsidRDefault="00D91883" w:rsidP="00A3026E">
      <w:pPr>
        <w:pStyle w:val="aff9"/>
        <w:framePr w:w="5190" w:h="964" w:wrap="none" w:hAnchor="page" w:x="8323" w:y="5961"/>
        <w:spacing w:line="240" w:lineRule="auto"/>
        <w:jc w:val="both"/>
        <w:rPr>
          <w:rFonts w:ascii="Times New Roman" w:hAnsi="Times New Roman" w:cs="Times New Roman"/>
          <w:color w:val="0070C0"/>
          <w:sz w:val="16"/>
          <w:szCs w:val="16"/>
        </w:rPr>
      </w:pPr>
      <w:r w:rsidRPr="00A3026E">
        <w:rPr>
          <w:rFonts w:ascii="Times New Roman" w:hAnsi="Times New Roman" w:cs="Times New Roman"/>
          <w:color w:val="0070C0"/>
          <w:sz w:val="16"/>
          <w:szCs w:val="16"/>
        </w:rPr>
        <w:t>3. Обязать Наркомаввапром . ь де-Хекты мотора</w:t>
      </w:r>
    </w:p>
    <w:p w14:paraId="14A19580" w14:textId="77777777" w:rsidR="00D91883" w:rsidRPr="00A3026E" w:rsidRDefault="00D91883"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Обязать Наркомавиапром исправить дефекты мотора, выявленные во время государственного и дополнительных испытаний в сроки, установленные правительственной Комиссией (22093).</w:t>
      </w:r>
    </w:p>
    <w:p w14:paraId="15F1018E" w14:textId="77777777" w:rsidR="00D91883" w:rsidRPr="00A3026E" w:rsidRDefault="00D91883" w:rsidP="00A3026E">
      <w:pPr>
        <w:shd w:val="clear" w:color="auto" w:fill="FFFFFF"/>
        <w:spacing w:after="0" w:line="240" w:lineRule="auto"/>
        <w:jc w:val="both"/>
        <w:rPr>
          <w:rFonts w:ascii="Times New Roman" w:hAnsi="Times New Roman"/>
          <w:color w:val="0070C0"/>
          <w:sz w:val="16"/>
          <w:szCs w:val="16"/>
        </w:rPr>
      </w:pPr>
    </w:p>
    <w:p w14:paraId="3D297C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состоялось совещание экспертной комиссии НКАП по рассмотрению эскизных проектов (протокол 17). Рассмотрели:</w:t>
      </w:r>
    </w:p>
    <w:p w14:paraId="7B970A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дальнего истребителя сопровождения (ДИС) с 2хАМ-37 конструкции Кочеригина, 156 завод. Цельнометаллический с пушками под центропланом. Вывод: "Дальнейшая работа по проекту нецелесообразна ввиду того, что на постройку аналогичных типов самолетов дано задание уже нескольким конструкторам." (1448,180).</w:t>
      </w:r>
    </w:p>
    <w:p w14:paraId="6C7DDD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одноместного ПБ ОПБ с М-37 конструкции Кочеригина, завод 156. Модификация ОПБ под М-90 путем замены мотора. Вооружение: 2хБС + 2хШКАС или 2х23 в крыле + 500 кг бомб внутри фюзеляжа и 2х250 бомб под крылом в перегруз. Л защищен сзади 13-мм броней, а спереди - прозрачной броней. М.б. ПБ, истребителем сопровождения, самолетом воздушного боя, штурмовиком. Вывод: "1. Как истребитель сопровождения - нет дальности. 2. Как штурмовик - нет брони. 3. Как самолет воздушного боя - не ясен термин + в любом случае не истребитель. 4. Как ББ - не соответствует ТТТ - 2 чел. + защита сзади. Модификация целесообразна только при получении положительных результатов по испытаниям первого ПБ с М-90" (1448,186).</w:t>
      </w:r>
    </w:p>
    <w:p w14:paraId="33AE37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эскизный проект двухместного тяжелого скоростного истребителя ОКО-9 с 4хМ-107 конструкции и В.К.Таирова. Трехфюзеляжный металлический свободнонесущий моноплан со спаренными М-107. С бронированием. Вывод: "Рентабельность самолета вызывает сомнения, т.к. экипаж и вооружение дают только 6% полетного веса. От постройки самолета воздержаться" (1448,188).</w:t>
      </w:r>
    </w:p>
    <w:p w14:paraId="3D8A606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A114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года решением Политбюро ЦК ВКП(б) № П 23 / 141-ОП В было утверждено совместное Постановление СНК СССР и ЦК ВКП (б) «О программе завода № 26 на 1941 год», в котором предусматривалось привлечение НКВД к возведению ряда цехов завода № 26 (Рыбинск) силами Волгостроя, а также к строительству железнодорожной ветки 20 км от завода до торфоболота (РГАСПИ. Ф. 17. Оп. 162. Д. 30. Л. 95-97.).</w:t>
      </w:r>
    </w:p>
    <w:p w14:paraId="3E90DEF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6C770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года решением Политбюро ЦК ВКП(б) № П 23 / 144-ОП было утверждено совместное Постановление СНК СССР и ЦК ВКП (б) «О производстве дельта-древесины», в котором предусматривалось привлечение НКВД и ГУЛАГ НКВД наряду с другими наркоматами к заготовке и вывозу 600 тысяч кубометров авиафанерной березы, из которых на долю ГУЛАГа должно было прийтись 100 тысяч кубометров (11672).</w:t>
      </w:r>
    </w:p>
    <w:p w14:paraId="3C309C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2E04EC4" w14:textId="77777777" w:rsidR="00E915A4" w:rsidRPr="00A3026E" w:rsidRDefault="00E915A4"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7 декабря 1940 года вышло </w:t>
      </w:r>
      <w:r w:rsidRPr="00A3026E">
        <w:rPr>
          <w:rFonts w:ascii="Times New Roman" w:hAnsi="Times New Roman"/>
          <w:color w:val="0070C0"/>
          <w:sz w:val="16"/>
          <w:szCs w:val="16"/>
          <w:shd w:val="clear" w:color="auto" w:fill="FFFFFF"/>
        </w:rPr>
        <w:t>Постановление Политбюро ЦК ВКП(б) "О производстве дельта-древесины" (пр. № 23/23-оп за 22 ноября - 13 декабря 1940 г., п. 144) (22092).</w:t>
      </w:r>
    </w:p>
    <w:p w14:paraId="423A708C" w14:textId="77777777" w:rsidR="00E915A4" w:rsidRPr="00A3026E" w:rsidRDefault="00E915A4" w:rsidP="00A3026E">
      <w:pPr>
        <w:shd w:val="clear" w:color="auto" w:fill="FFFFFF"/>
        <w:spacing w:after="0" w:line="240" w:lineRule="auto"/>
        <w:jc w:val="both"/>
        <w:rPr>
          <w:rFonts w:ascii="Times New Roman" w:hAnsi="Times New Roman"/>
          <w:color w:val="0070C0"/>
          <w:sz w:val="16"/>
          <w:szCs w:val="16"/>
        </w:rPr>
      </w:pPr>
    </w:p>
    <w:p w14:paraId="2FEBF11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года решением Политбюро ЦК ВКП(б) № П 23 / 139 – ОП утверждено совместное Постановлении СНК СССР и ЦК ВКП (б) «О мероприятиях по обеспечению программы Наркомавиапрома на 1941 год» (РГАСПИ. Ф. 17. Оп. 162. Д. 30. Л. 78 113 Там же. Л. 82.).</w:t>
      </w:r>
    </w:p>
    <w:p w14:paraId="098D77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пункте II «По материальному обеспечению», в частности, излагалась следующая информация. Нарком черной металлургии И.Т. Тевосян обязывался поставить заводам НКАП в 1941 году спецстали – 42 тысячи тонн, авиапоковок – 28 тысяч тонн, тонкостенных труб – 11 тысяч метров и другую продукцию.</w:t>
      </w:r>
    </w:p>
    <w:p w14:paraId="1334B3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Нарком цветной металлургии Ломако П.Ф. обязывался, в частности, поставить для НКАП в 1941 году алюминия первичного – 73 тысячи тонн, меди – 5950 тонн, цинка – 2200 тонн, свинца – 3200 тонн, красной меди – 2300 тонн, металлический кобальт на уровне бельгийского стандарта – 100 тонн, «обеспечить в 1941 году Наркомхимпром СССР алюминиевым порошком соответствующего размола, необходимого для изготовления лаковых покрытий, потребных Наркомавиапрому» (Там же. Л. 84-85.). Обратим внимание на описанные выше проблемы, имевшие место в начале 1940 года, с кобальтом и алюминиевым порошком. Отметим также следующее обстоятельство.</w:t>
      </w:r>
    </w:p>
    <w:p w14:paraId="67CFD5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Решением Политбюро ЦК ВКП(б) № П 21 / 119 от 11 октября 1940 года было принято Постановление СНК СССР и ЦК ВКП (б) «Об увеличении производства алюминия и магния в 1941 – 1942 – 1943 годах».</w:t>
      </w:r>
    </w:p>
    <w:p w14:paraId="2B4D266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соответствующем Приложении к данному Постановлению указывалось, что в 1941 году выпуск алюминия планировалось довести до 100 тысяч тонн (Там же. Оп. 3. Д. 1028. Л. 31, 153.). Таким образом, из этих документов следует, что в 1941 году авиапром должен был потреблять ровно 73% от планируемого выпуска первичного алюминия в СССР.</w:t>
      </w:r>
    </w:p>
    <w:p w14:paraId="49C80F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Значительное внимание уделялось поставкам станков, требовавшихся для резко расширявшегося объема предприятий НКАП. Нарком тяжелого машиностроения Ефремов А.И. обязывался поставить заводам НКАП в 1941 году 18500 станков по спецификации НКАП, в том числе 6500 в 1-ом квартале. Госплан и НКАП обязывались «в недельный срок рассмотреть нераспределенные в балансе 1941 года 4000 мелких станков, реализуемых НКТМ и все годные для авиапромышленности станки передать НКАП».</w:t>
      </w:r>
    </w:p>
    <w:p w14:paraId="1B1883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Экономсовету при СНК СССР поручалось в трехмесячный срок «провести мобилизацию в промышленности 2000 станков и передать их Наркомавиапрому» сверх указанного выше количества станков (Там же. Оп. 162. Д. 30. Л. 85.).</w:t>
      </w:r>
    </w:p>
    <w:p w14:paraId="167664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Значительное внимание уделялось поставкам станков, требовавшихся для резко расширявшегося объема предприятий НКАП. Нарком тяжелого машиностроения Ефремов А.И. обязывался поставить заводам НКАП в 1941 году 18500 станков по спецификации НКАП, в том числе 6500 в 1-ом квартале. Госплан и НКАП обязывались «в недельный срок рассмотреть нераспределенные в балансе 1941 года 4000 мелких станков, реализуемых НКТМ и все годные для авиапромышленности станки передать НКАП».</w:t>
      </w:r>
    </w:p>
    <w:p w14:paraId="570610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Экономсовету при СНК СССР поручалось в трехмесячный срок «провести мобилизацию в промышленности 2000 станков и передать их Наркомавиапрому» сверх указанного выше количества станков (Там же. Оп. 162. Д. 30. Л. 85.) (11672).</w:t>
      </w:r>
    </w:p>
    <w:p w14:paraId="1EC213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Большое внимание уделялось оснащению продукции авиапрома спецзащитой, вооружением и радиооборудованием. Нарком судостроения Носенко И.И. обязывался поставить для НКАП 12600 бронеспинок, 1900 комплектов спецброни для ПБ-100 и 120 для ДБ-240, другие изделия; нарком химической промышленности Денисов М.А., в частности, – 1900 комплектов прозрачной спецброни для БШ-2; нарком вооружения Ванников Б.Л. – 43700 прицелов, 15328 пулеметов Таубина, 2450 пушек ШВАК, 3300 пулеметов Березина, 63000 ШКАС, 7550 пушек Таубина и другие изделия; нарком электропромышленности Богатырев Б.В. – 11180 радиостанций (Там же. Л. 85-86, 88.).</w:t>
      </w:r>
    </w:p>
    <w:p w14:paraId="166A63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Цифры, согласно которым нарком нефтяной промышленности И.К. Седин, в частности, обязывался предоставить для нужд НКАП 166 тысяч тонн авиабензина (РГАСПИ. Ф. 17. Оп. 162. Д. 30 Л. 87.), впоследствии были пересмотрены. Новым решением Политбюро ЦК ВКП(б) № П 24 / 137 – ОП от 23 декабря 1940 года «О передаче в 1941 году в мобзапас 105 тысяч тонн авиабензина» (во изменение Постановления СНК СССР и ЦК ВКП (б) «О мероприятиях по обеспечению программы Наркомавиапрома на 1941 год», утвержденного решением Политбюро ЦК ВКП(б) № П 23 / 139 – ОП от 7 декабря 1940 года) предписывалось в связи с изменением режима испытаний авиамоторов на заводах сократить поставку авиабензина НКАП со 166 до 61 тысяч тонн, а 105 тысяч тонн направить в мобзапас (РГАСПИ. Ф. 17. Оп. 162. Д. 30 Л. 26.).</w:t>
      </w:r>
    </w:p>
    <w:p w14:paraId="0A7B2E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Постановлением «О мероприятиях по обеспечению программы Наркомавиапрома на 1941 год» нарком лесной промышленности Сергеев Ф.В. обязывался поставить для нужд НКАП в 1941 году, в частности, авиасосны в брусках – 65 тысяч кубометров и 4 тысячи комплектов лонжеронов из дельта-древесины для И-200, И-301 (в том числе 450 в I квартале) (Там же. Д. 30. Л. 88.).</w:t>
      </w:r>
    </w:p>
    <w:p w14:paraId="32AD5F9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Большое количество различного сырья, материалов и оборудования предполагалось импортировать из-за рубежа. НКВТ обязывался закупить для нужд авиапромышленности (сверх уже разрешенных количеств): кобальта бельгийского – 60 тонн (в том числе НКАП 40 тонн в счет общей потребности в 90 тонн), алюминиевого и дюралевого проката – 30000 тонн, металлорежущих станков – 5000, кузнечно-прессового оборудования – 400 единиц, электрокаров – 250 штук. Весьма примечательная деталь заключалась и в том, что различное оборудование закупалось не только непосредственно для НКАП, но и для других Наркоматов, которые обеспечивали его потребности. Так, предписывалось не позднее первого квартала 1941 года «завезти для Наркомчермета заказанные в Германии канатные и волочильные машины для производства авиатроса» (Там же. Л. 92.).</w:t>
      </w:r>
    </w:p>
    <w:p w14:paraId="40395F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Ситуация с потребностью по обеспечению авиапрома дополнительными кадрами была отражена в пункте III «По обеспечению рабочей силой и инженерно-техническим персоналом» Постановления «О мероприятиях по обеспечению программы Наркомавиапрома на 1941 год». Так, в течение первого полугодия 1941 года из других отраслей народного хозяйства на предприятия НКАП должны были перейти 30 тысяч рабочих с квалификацией 3-го и выше разряда, в том числе до 15 марта – 15 тысяч человек (Там же. Л. 94.).</w:t>
      </w:r>
    </w:p>
    <w:p w14:paraId="7421DD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планируемом росте авиапромышленности в 1941 году свидетельствует также «Ведомость потребности металлорежущего оборудования по заводам I ГУ(Первого (самолетостроительного) Главного управления.) НКАП на 1941 год». Согласно этому документу, общая потребность самолетостроительных заводов в подобных станках на 1941 год составляла 31632 единицы, а на 1 октября 1940 года в наличии состояло лишь 12985. Таким образом, НКАП ожидал прибытия еще 14400 отечественных металлорежущих станков, и 4247 – импортных. «По сути, станочный парк I Главного Управления должен был более чем удвоиться!» – констатирует М.Ю. Мухин (Мухин М.Ю. Указ. соч. С. 81.).</w:t>
      </w:r>
    </w:p>
    <w:p w14:paraId="52466E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эти внушительные цифры показывают огромный объем работ как внутри самого авиапрома, так и по дополнительному наращиванию его мощностей. Рост производственной мощности авиационной отрасли в 1940 – 1941 годах представлен в Таблице 13.</w:t>
      </w:r>
    </w:p>
    <w:p w14:paraId="7301F9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рубежу 1940 – 1941 годов объемы выпуска продукции авиапромышленности представляли внушительные цифры. Об этом, в частности, свидетельствуют цифры производства машин за 1940 год (см. Таблицу 5) и план выпуска самолетов на следующий, 1941 год (см. Таблицу 8). Только четыре авиазавода страны – №№ 1, 18, 21, 22 – должны были в 1941 году выпустить 9200 боевых самолетов (Подсчитано по: РГАСПИ. Ф. 17. Оп. 162. Д. 30. Л. 102.). Отметим, что эта редакция не была окончательной – годовой план систематически корректировался в сторону повышения.</w:t>
      </w:r>
    </w:p>
    <w:p w14:paraId="2DDCF7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Тенденции производства авиапромом самолетов за предвоенный период отражает Таблица 12. Из анализа этих данных видно, что наибольшее расхождение между плановым заданием и реальным выпуском имело место в первом квартале 1940 года. Что же касается ситуации в 1941 году, то здесь мы наблюдаем уже несколько меньший разрыв между плановыми и реальными показателями. Авиапром постепенно прошел кризис, связанный с запуском в серию новых моделей авиатехники, и начал наращивать объемы их выпуска, причем абсолютный объем производства машин всех типов уже превысил соответствующие показатели 1939 года (11672).</w:t>
      </w:r>
    </w:p>
    <w:p w14:paraId="111A2D4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44838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 в соответствии с решением ЦК ВКП(б) и Правительства № 2466-1096 НКАП в 1941 году должен был поставить 16530 боевых самолетов (из них 8510 истребителей новых типов). 5 ноября 1940 принимается утвержденное Политбюро ЦК ВКП(б) постановление СНК № 2265-977 "О военно-воздушных силах Красной Армии". По программе развития ВВС, принятой этим постановлением, к концу 1941 года ВВС должны были насчитывать 32432 самолета и 60 тысяч летных экипажей. Из открытых в последнее время документов стало известно, что советская военная разведка оценивала общее число самолетов в ВВС Германии и ее союзников в сентябре 1940 г. в 15100 самолетов, что соответствовало числу самолетов в ВВС КА (15520). Эти ошибочные, завышенные в несколько раз, данные разведка докладывала Правительству (на 22 июня 1941 г. вся авиационная группировка противника у границ СССР насчитывала всего 4795 самолетов, в том числе 3909 самолетов всех типов ВВС Германии). Исходя из ложной посылки, чтобы обеспечить Советскому Союзу в преддверии войны количественное и качественное превосходство в авиации, принимались все описанные выше постановления, а также многие другие по различным вопросам авиастроения и подготовке летных кадров (12048).</w:t>
      </w:r>
    </w:p>
    <w:p w14:paraId="51BA4CFA"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E0B3B0E" w14:textId="77777777" w:rsidR="00D91883" w:rsidRPr="00A3026E" w:rsidRDefault="00D91883" w:rsidP="00A3026E">
      <w:pPr>
        <w:shd w:val="clear" w:color="auto" w:fill="FFFFFF"/>
        <w:spacing w:after="0" w:line="240" w:lineRule="auto"/>
        <w:jc w:val="both"/>
        <w:rPr>
          <w:rFonts w:ascii="Times New Roman" w:hAnsi="Times New Roman"/>
          <w:color w:val="0070C0"/>
          <w:sz w:val="16"/>
          <w:szCs w:val="16"/>
          <w:shd w:val="clear" w:color="auto" w:fill="FFFFFF"/>
        </w:rPr>
      </w:pPr>
      <w:r w:rsidRPr="00A3026E">
        <w:rPr>
          <w:rFonts w:ascii="Times New Roman" w:hAnsi="Times New Roman"/>
          <w:color w:val="0070C0"/>
          <w:sz w:val="16"/>
          <w:szCs w:val="16"/>
          <w:shd w:val="clear" w:color="auto" w:fill="FFFFFF"/>
        </w:rPr>
        <w:t>7 декабря 1940 вышло Постановление Политбюро ЦК ВКП(б) "О программе завода № 26 [НКАП] на 1941 год" (пр. № 23/23-оп за 22 ноября - 13 декабря 1940 г., п. 141) (22091).</w:t>
      </w:r>
    </w:p>
    <w:p w14:paraId="7FE5479F" w14:textId="77777777" w:rsidR="00D91883" w:rsidRPr="00A3026E" w:rsidRDefault="00D91883" w:rsidP="00A3026E">
      <w:pPr>
        <w:shd w:val="clear" w:color="auto" w:fill="FFFFFF"/>
        <w:spacing w:after="0" w:line="240" w:lineRule="auto"/>
        <w:jc w:val="both"/>
        <w:rPr>
          <w:rFonts w:ascii="Times New Roman" w:hAnsi="Times New Roman"/>
          <w:color w:val="0070C0"/>
          <w:sz w:val="16"/>
          <w:szCs w:val="16"/>
        </w:rPr>
      </w:pPr>
    </w:p>
    <w:p w14:paraId="003148AA"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7 декабря 1940 – протокол Политбюро </w:t>
      </w:r>
    </w:p>
    <w:p w14:paraId="7DBD6112"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07.XII.40 г.</w:t>
      </w:r>
    </w:p>
    <w:p w14:paraId="6541DC09"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141. О программе завода № 26 на 1941 год (постановление СНК СССР и ЦК ВКП(б)). — ОП.</w:t>
      </w:r>
    </w:p>
    <w:p w14:paraId="2AA32E19"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142. О программе выпуска самолетов и авиамоторов в 1941 году (постановление СНК СССР и ЦК ВКП(б)). — ОП.</w:t>
      </w:r>
    </w:p>
    <w:p w14:paraId="512C2CFA"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143. О боеприпасах для авиационных пушек (постановление СНК СССР и ЦК ВКП(б)). — ОП.</w:t>
      </w:r>
    </w:p>
    <w:p w14:paraId="26C65FFE"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144. О производстве дельта-древесины (постановление СНК СССР и ЦК ВКП(б)). — ОП.</w:t>
      </w:r>
    </w:p>
    <w:p w14:paraId="235D5FB4"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145. Об ответственности наркомов, директоров предприятий и начальников железных дорог за выполнение заказов и перевозку грузов для авиационной промышленности (постановление СНК СССР и ЦК ВКП(б)) (20408).</w:t>
      </w:r>
    </w:p>
    <w:p w14:paraId="502D3A5B" w14:textId="77777777" w:rsidR="003223A8" w:rsidRPr="00A3026E" w:rsidRDefault="003223A8" w:rsidP="00A3026E">
      <w:pPr>
        <w:spacing w:after="0" w:line="240" w:lineRule="auto"/>
        <w:jc w:val="both"/>
        <w:rPr>
          <w:rFonts w:ascii="Times New Roman" w:hAnsi="Times New Roman"/>
          <w:color w:val="0070C0"/>
          <w:sz w:val="16"/>
          <w:szCs w:val="16"/>
        </w:rPr>
      </w:pPr>
    </w:p>
    <w:p w14:paraId="72249736"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декабря 1940 был Проект постановления СНК СССР и ЦК ВКП(б) "О программе выпуска самолетов и авиамоторов в 1941 году", утвержденный Политбюро ЦК ВКП(б) (22089).</w:t>
      </w:r>
    </w:p>
    <w:p w14:paraId="00C9F0E0" w14:textId="77777777" w:rsidR="003223A8" w:rsidRPr="00A3026E" w:rsidRDefault="003223A8" w:rsidP="00A3026E">
      <w:pPr>
        <w:spacing w:after="0" w:line="240" w:lineRule="auto"/>
        <w:jc w:val="both"/>
        <w:rPr>
          <w:rFonts w:ascii="Times New Roman" w:hAnsi="Times New Roman"/>
          <w:color w:val="0070C0"/>
          <w:sz w:val="16"/>
          <w:szCs w:val="16"/>
        </w:rPr>
      </w:pPr>
    </w:p>
    <w:p w14:paraId="5E2A7766" w14:textId="77777777" w:rsidR="003223A8" w:rsidRPr="00A3026E" w:rsidRDefault="003223A8" w:rsidP="00A3026E">
      <w:pPr>
        <w:spacing w:after="0" w:line="240" w:lineRule="auto"/>
        <w:jc w:val="both"/>
        <w:rPr>
          <w:rFonts w:ascii="Times New Roman" w:hAnsi="Times New Roman"/>
          <w:color w:val="0070C0"/>
          <w:sz w:val="16"/>
          <w:szCs w:val="16"/>
        </w:rPr>
      </w:pPr>
      <w:bookmarkStart w:id="55" w:name="_Hlk85198264"/>
      <w:r w:rsidRPr="00A3026E">
        <w:rPr>
          <w:rFonts w:ascii="Times New Roman" w:hAnsi="Times New Roman"/>
          <w:color w:val="0070C0"/>
          <w:sz w:val="16"/>
          <w:szCs w:val="16"/>
        </w:rPr>
        <w:t>7 декабря 1940 вышло Постановление Политбюро ЦК ВКП(б) "О мероприятиях по обеспечению программы Наркомавиапрома на 1941 год" (пр. № 23/23-оп за 22 ноября - 13 декабря 1940 г., п. 139)</w:t>
      </w:r>
    </w:p>
    <w:p w14:paraId="1E335C79"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139.- О мепопрнятиях по обеспечению программы Наркомавиаппома на 1941 г.</w:t>
      </w:r>
    </w:p>
    <w:p w14:paraId="336F59C9"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 СНК СССР и ЦК ВКП/б/).</w:t>
      </w:r>
    </w:p>
    <w:p w14:paraId="51D446F7"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Совет Народных Кон и с с: рол Союза ССР и Центральный Комитет ВКП(б) постановляют:</w:t>
      </w:r>
    </w:p>
    <w:p w14:paraId="57B34E7E"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w:t>
      </w:r>
    </w:p>
    <w:p w14:paraId="14D70CAC"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увеличению мощностей агрегатных, приборных и металлургичесних заводов.</w:t>
      </w:r>
    </w:p>
    <w:p w14:paraId="190DCE3F"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Для обеспечения установленной программы 1941 года авиационными агрегатами и приборами, передать в 2-недельннй срок в ведение Наркомавиапрома следующие предприятия:</w:t>
      </w:r>
    </w:p>
    <w:p w14:paraId="41ADFD5C"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завод № 2 Наркомлегпрома СССР в Солнечногорске - под производство радиаторов и лент расчалок</w:t>
      </w:r>
    </w:p>
    <w:p w14:paraId="4ADD8E49"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Обязать Наркомлегпром СССР к 1 января 1941 года размес</w:t>
      </w:r>
      <w:r w:rsidRPr="00A3026E">
        <w:rPr>
          <w:rFonts w:ascii="Times New Roman" w:hAnsi="Times New Roman"/>
          <w:color w:val="0070C0"/>
          <w:sz w:val="16"/>
          <w:szCs w:val="16"/>
        </w:rPr>
        <w:softHyphen/>
        <w:t>тить программу завода № 2 по производству парашютов на заво</w:t>
      </w:r>
      <w:r w:rsidRPr="00A3026E">
        <w:rPr>
          <w:rFonts w:ascii="Times New Roman" w:hAnsi="Times New Roman"/>
          <w:color w:val="0070C0"/>
          <w:sz w:val="16"/>
          <w:szCs w:val="16"/>
        </w:rPr>
        <w:softHyphen/>
        <w:t>де № 1 и вновь организовать производство парашютов на Егорьев</w:t>
      </w:r>
      <w:r w:rsidRPr="00A3026E">
        <w:rPr>
          <w:rFonts w:ascii="Times New Roman" w:hAnsi="Times New Roman"/>
          <w:color w:val="0070C0"/>
          <w:sz w:val="16"/>
          <w:szCs w:val="16"/>
        </w:rPr>
        <w:softHyphen/>
        <w:t>ской фабрике к 1 апреля 1941 года.</w:t>
      </w:r>
    </w:p>
    <w:p w14:paraId="30A85485"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Первый весовой завод HKOМ в Москве - под производство шасси.</w:t>
      </w:r>
    </w:p>
    <w:p w14:paraId="44BF4F87"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Обязать Наркомобщмаш разместить продукцию весового заво</w:t>
      </w:r>
      <w:r w:rsidRPr="00A3026E">
        <w:rPr>
          <w:rFonts w:ascii="Times New Roman" w:hAnsi="Times New Roman"/>
          <w:color w:val="0070C0"/>
          <w:sz w:val="16"/>
          <w:szCs w:val="16"/>
        </w:rPr>
        <w:softHyphen/>
        <w:t>да на своих предприятиях к 1 января 1941 года.</w:t>
      </w:r>
    </w:p>
    <w:p w14:paraId="7A5AC661"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Новостроящуюся прядильную фабрику Наркомлегпрома РСФСП в г. Орле - под производство стрелкового и бомбардировочного вооружения.</w:t>
      </w:r>
    </w:p>
    <w:p w14:paraId="07797D5D"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Комбинат спортпвного оборудования Наркомлегпрома РСФСР в Болшево - под производство авиаприборов.</w:t>
      </w:r>
    </w:p>
    <w:p w14:paraId="5ACB11A8"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Обязать Наркомлегпром РСФСР и Наркомлес СССР к 1 января 19-11 года разместить изготавливаемую комбинатом продукцию на предприятиях Наркомлегпрома РСФСР: спортивную обувь, коньки и трикотажные изделия и Наркомлеса СССР - лыжи.</w:t>
      </w:r>
    </w:p>
    <w:p w14:paraId="3B712EB3"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3авод № 5 треста наглядных пособий Наркомпроса УССР во Львове и законсервированное строительство двух корпусов Львов</w:t>
      </w:r>
      <w:r w:rsidRPr="00A3026E">
        <w:rPr>
          <w:rFonts w:ascii="Times New Roman" w:hAnsi="Times New Roman"/>
          <w:color w:val="0070C0"/>
          <w:sz w:val="16"/>
          <w:szCs w:val="16"/>
        </w:rPr>
        <w:softHyphen/>
        <w:t>ского политехнического института - под производство приборов.</w:t>
      </w:r>
    </w:p>
    <w:p w14:paraId="00196C9C"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Обязать СНК УССР к 1 января 1941 года разместить изго</w:t>
      </w:r>
      <w:r w:rsidRPr="00A3026E">
        <w:rPr>
          <w:rFonts w:ascii="Times New Roman" w:hAnsi="Times New Roman"/>
          <w:color w:val="0070C0"/>
          <w:sz w:val="16"/>
          <w:szCs w:val="16"/>
        </w:rPr>
        <w:softHyphen/>
        <w:t>тавливаемую заводом № 5 продукцию на предприятиях НКМП УССР.</w:t>
      </w:r>
    </w:p>
    <w:p w14:paraId="6A685F81"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 Завод духовых музыкальных инструментов имени 5-летия Октября Наркомместпрома РСФСР в Москве - под производство авиаприборов с сохранением производства ударных трубок к артвыстрелу</w:t>
      </w:r>
    </w:p>
    <w:p w14:paraId="4124D8F7"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Обязать НКМП РСФСР разместить к 1 января 1941 года изго</w:t>
      </w:r>
      <w:r w:rsidRPr="00A3026E">
        <w:rPr>
          <w:rFonts w:ascii="Times New Roman" w:hAnsi="Times New Roman"/>
          <w:color w:val="0070C0"/>
          <w:sz w:val="16"/>
          <w:szCs w:val="16"/>
        </w:rPr>
        <w:softHyphen/>
        <w:t>товляемую заводом проекцию на своих предприятиях.</w:t>
      </w:r>
    </w:p>
    <w:p w14:paraId="3DA461EF"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ж) Завод "Красный футлярчик" Всекопромсовета в Ленинграде . - под производство морских приборов, изготавливаемых заводом № 218 Наркомавиапрома.</w:t>
      </w:r>
    </w:p>
    <w:p w14:paraId="664DDE5F"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Всекомромсовету разместить к 1 января 1941 года изготав</w:t>
      </w:r>
      <w:r w:rsidRPr="00A3026E">
        <w:rPr>
          <w:rFonts w:ascii="Times New Roman" w:hAnsi="Times New Roman"/>
          <w:color w:val="0070C0"/>
          <w:sz w:val="16"/>
          <w:szCs w:val="16"/>
        </w:rPr>
        <w:softHyphen/>
        <w:t>ливаемую заводом продукцию на своих предприятиях.</w:t>
      </w:r>
    </w:p>
    <w:p w14:paraId="5458C677"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 Здание бывшего радиозавода в Вильно - под производство авиаприборов.</w:t>
      </w:r>
    </w:p>
    <w:p w14:paraId="6CC2A8E8"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 Четвертый таксомоторный парк Мосгорисполкома - для организации производства электрической части дистанционного управления</w:t>
      </w:r>
    </w:p>
    <w:p w14:paraId="02D6B8C8"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Взамен таксомоторного парка передать Мосгорисполкому незаконченное строительство гаража Нэркомтекстильпрома (Москва)</w:t>
      </w:r>
    </w:p>
    <w:p w14:paraId="027B84BC"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Завод счетных машин имени Дзержинского (Москва) - для организации производстве механической части дистанционного управления с оставлением на нем производства приборов управ</w:t>
      </w:r>
      <w:r w:rsidRPr="00A3026E">
        <w:rPr>
          <w:rFonts w:ascii="Times New Roman" w:hAnsi="Times New Roman"/>
          <w:color w:val="0070C0"/>
          <w:sz w:val="16"/>
          <w:szCs w:val="16"/>
        </w:rPr>
        <w:softHyphen/>
        <w:t>ления зенитной артиллерии.</w:t>
      </w:r>
    </w:p>
    <w:p w14:paraId="579FDCFD"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Остальную продукцию, изготовляемую заводом имени Дзержинского, Наркомобщмаш т. Паршину П.И. разместить на заводе САМ.</w:t>
      </w:r>
    </w:p>
    <w:p w14:paraId="2AEDCBB2"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Для обеспечения запасными частями самолетов, снятых с серийного производство, но находящихся на вооружении, в месячный срок передать HKAП следующие предприятия:</w:t>
      </w:r>
    </w:p>
    <w:p w14:paraId="7FAC2C2C"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а) завод "Красный Плуг" Наркомсредмша в Лаптеве (Туль</w:t>
      </w:r>
      <w:r w:rsidRPr="00A3026E">
        <w:rPr>
          <w:rFonts w:ascii="Times New Roman" w:hAnsi="Times New Roman"/>
          <w:color w:val="0070C0"/>
          <w:sz w:val="16"/>
          <w:szCs w:val="16"/>
        </w:rPr>
        <w:softHyphen/>
        <w:t>ской области);</w:t>
      </w:r>
    </w:p>
    <w:p w14:paraId="0B27A340"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завод имени Тельмана в Калуге;</w:t>
      </w:r>
    </w:p>
    <w:p w14:paraId="0AAE8D1E"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завод "Пресс" НКМП РСФСР в Серпухове с оставлением на нем производства ручных гранат;</w:t>
      </w:r>
    </w:p>
    <w:p w14:paraId="65687A95"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кроватным завод НКМП УССР в Харькове.</w:t>
      </w:r>
    </w:p>
    <w:p w14:paraId="7433994A"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Обязать 1Г/.СН, ИКОН и HKIJl РСХР в двухнедельный срок доломить Экономсовету при СПК СССР о размещении продукция на своих предприятиях, снимаемой с передаваемых НКАП заводов.</w:t>
      </w:r>
    </w:p>
    <w:p w14:paraId="7A8CB30D"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Для расширения завода № 34 НКАП передать в ведение Неркомавиапрома:</w:t>
      </w:r>
    </w:p>
    <w:p w14:paraId="02BDEDA4"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склад Московской конторы Сельхозснаба Наркомзема (на 1-й улице Ямского поля). Передачу произвести к 1 февраля 1941 года</w:t>
      </w:r>
    </w:p>
    <w:p w14:paraId="4B52600E"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склад Московского отделения Россовхозснаба Наркомсовхозов (на 1-й улице Ямского поля, д. № 26). Передачу произве</w:t>
      </w:r>
      <w:r w:rsidRPr="00A3026E">
        <w:rPr>
          <w:rFonts w:ascii="Times New Roman" w:hAnsi="Times New Roman"/>
          <w:color w:val="0070C0"/>
          <w:sz w:val="16"/>
          <w:szCs w:val="16"/>
        </w:rPr>
        <w:softHyphen/>
        <w:t>сти к 1 февраля 1941 года:</w:t>
      </w:r>
    </w:p>
    <w:p w14:paraId="323BCAC3"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передать заводу № 33 Наркомавизпрома строящийся жилой дом Наркомторга СССР по Смоленской набережной № 2 в Москве.</w:t>
      </w:r>
    </w:p>
    <w:p w14:paraId="3ADE64DF"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Обязать Мосгорисполком передать заводу № 24 смежный с заводом участок, занятый нижеследующими домами по 1-й улице Ямского поля: №№ 17, 25, 29, 33, 35, 37, 39, 41 и общежитием Горь</w:t>
      </w:r>
      <w:r w:rsidRPr="00A3026E">
        <w:rPr>
          <w:rFonts w:ascii="Times New Roman" w:hAnsi="Times New Roman"/>
          <w:color w:val="0070C0"/>
          <w:sz w:val="16"/>
          <w:szCs w:val="16"/>
        </w:rPr>
        <w:softHyphen/>
        <w:t>ковского жилуправления Советского района с выплатой выселяе</w:t>
      </w:r>
      <w:r w:rsidRPr="00A3026E">
        <w:rPr>
          <w:rFonts w:ascii="Times New Roman" w:hAnsi="Times New Roman"/>
          <w:color w:val="0070C0"/>
          <w:sz w:val="16"/>
          <w:szCs w:val="16"/>
        </w:rPr>
        <w:softHyphen/>
        <w:t>мым за счет НКАП компенсации. Выселение проживающих в этих домах провести до 1 июня 1941 года.</w:t>
      </w:r>
    </w:p>
    <w:p w14:paraId="00D0842D"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Для обеспечения заводов НКАП в алюминиевом и электронном литье для программы 1941 года и дальнейшего наращения мощностей обязать НКАП (т. Шахурина):</w:t>
      </w:r>
    </w:p>
    <w:p w14:paraId="5A6B588F"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по заводу № 219:</w:t>
      </w:r>
    </w:p>
    <w:p w14:paraId="63315837"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закончить строительство и монтаж нового цеха алюминие</w:t>
      </w:r>
      <w:r w:rsidRPr="00A3026E">
        <w:rPr>
          <w:rFonts w:ascii="Times New Roman" w:hAnsi="Times New Roman"/>
          <w:color w:val="0070C0"/>
          <w:sz w:val="16"/>
          <w:szCs w:val="16"/>
        </w:rPr>
        <w:softHyphen/>
        <w:t>вого литья площадью застройки 17.000 м/кв с вводом в действие к 1 апреля 1941 года;</w:t>
      </w:r>
    </w:p>
    <w:p w14:paraId="77121B5B"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построить цех электронного литья общей площадью за</w:t>
      </w:r>
      <w:r w:rsidRPr="00A3026E">
        <w:rPr>
          <w:rFonts w:ascii="Times New Roman" w:hAnsi="Times New Roman"/>
          <w:color w:val="0070C0"/>
          <w:sz w:val="16"/>
          <w:szCs w:val="16"/>
        </w:rPr>
        <w:softHyphen/>
        <w:t>стройки 28.000 кв/м и с вводом в действие в 1У квартале 1941 г.;</w:t>
      </w:r>
    </w:p>
    <w:p w14:paraId="0CB0690C"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приступить в 1941 году к строительству ТЭЦ мощностью 24 тыс. клв. с вводом в действие в 1943 году;</w:t>
      </w:r>
    </w:p>
    <w:p w14:paraId="66BAB5EB"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считать строительство завода №219 особо важным и обязать Наркомавиапром т. Шахурина в декадный срок рассмотреть вопрос обеспечения строительства завода целевыми фондами на стройматериалы и обопудование по фондам НКАП, обеспечи</w:t>
      </w:r>
      <w:r w:rsidRPr="00A3026E">
        <w:rPr>
          <w:rFonts w:ascii="Times New Roman" w:hAnsi="Times New Roman"/>
          <w:color w:val="0070C0"/>
          <w:sz w:val="16"/>
          <w:szCs w:val="16"/>
        </w:rPr>
        <w:softHyphen/>
        <w:t>вающими выполнение плана 1941 года;</w:t>
      </w:r>
    </w:p>
    <w:p w14:paraId="23E1D9EE"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организовать за счет перепланировки, расширения и до</w:t>
      </w:r>
      <w:r w:rsidRPr="00A3026E">
        <w:rPr>
          <w:rFonts w:ascii="Times New Roman" w:hAnsi="Times New Roman"/>
          <w:color w:val="0070C0"/>
          <w:sz w:val="16"/>
          <w:szCs w:val="16"/>
        </w:rPr>
        <w:softHyphen/>
        <w:t>полнительного строительства новых площадей цеха цветного литья но самолетных заводах №№ 18, 21, 31, 81, 124, 135, 207, 292, 381 и Полтавском моторо-агрегатном заводе с вводом их в действие и в сроки;</w:t>
      </w:r>
    </w:p>
    <w:p w14:paraId="2A7245F8"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обеспечить окончание строительства и монтаж литейных цехов цветного литья на моторных заводах с вводом их в дейст</w:t>
      </w:r>
      <w:r w:rsidRPr="00A3026E">
        <w:rPr>
          <w:rFonts w:ascii="Times New Roman" w:hAnsi="Times New Roman"/>
          <w:color w:val="0070C0"/>
          <w:sz w:val="16"/>
          <w:szCs w:val="16"/>
        </w:rPr>
        <w:softHyphen/>
        <w:t>вие на мощность и в сроки,</w:t>
      </w:r>
    </w:p>
    <w:p w14:paraId="7CF31202"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разрешить вести строительство литейных цехов до 1 июля 1941 года без утвержденных проектов и смет, а Промбанку финан</w:t>
      </w:r>
      <w:r w:rsidRPr="00A3026E">
        <w:rPr>
          <w:rFonts w:ascii="Times New Roman" w:hAnsi="Times New Roman"/>
          <w:color w:val="0070C0"/>
          <w:sz w:val="16"/>
          <w:szCs w:val="16"/>
        </w:rPr>
        <w:softHyphen/>
        <w:t>сировать эти работы по сметах: на отдельные объекты, утвержденные Наркокмавиа промом.</w:t>
      </w:r>
    </w:p>
    <w:p w14:paraId="1406CB8B"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Обязать Народного Комиссара среднего машиностроения т. Малышева:</w:t>
      </w:r>
    </w:p>
    <w:p w14:paraId="63BB4DDD"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обеспечить полностью потребность в цветном литье заво</w:t>
      </w:r>
      <w:r w:rsidRPr="00A3026E">
        <w:rPr>
          <w:rFonts w:ascii="Times New Roman" w:hAnsi="Times New Roman"/>
          <w:color w:val="0070C0"/>
          <w:sz w:val="16"/>
          <w:szCs w:val="16"/>
        </w:rPr>
        <w:softHyphen/>
        <w:t>да ГАЗ имени Молотова по мотором М-105, а также заводов ХТЗ и Кировского (HKTМ) по моторам М-40 с литейных цехов заводов,</w:t>
      </w:r>
    </w:p>
    <w:p w14:paraId="23A7043C"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обеспечить поставку в 1941 году заводу № 234 Наркомавиапрома алюминиевого литья для мотора М-105 с завода № 174 по спецификации завода № 234 с разбивкой по кварталам:</w:t>
      </w:r>
    </w:p>
    <w:p w14:paraId="595A2951"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Всего на 1941г.</w:t>
      </w:r>
      <w:r w:rsidRPr="00A3026E">
        <w:rPr>
          <w:rFonts w:ascii="Times New Roman" w:hAnsi="Times New Roman"/>
          <w:color w:val="0070C0"/>
          <w:sz w:val="16"/>
          <w:szCs w:val="16"/>
        </w:rPr>
        <w:tab/>
      </w:r>
      <w:r w:rsidRPr="00A3026E">
        <w:rPr>
          <w:rFonts w:ascii="Times New Roman" w:hAnsi="Times New Roman"/>
          <w:color w:val="0070C0"/>
          <w:sz w:val="16"/>
          <w:szCs w:val="16"/>
        </w:rPr>
        <w:tab/>
        <w:t>в_том_числе</w:t>
      </w:r>
      <w:r w:rsidRPr="00A3026E">
        <w:rPr>
          <w:rFonts w:ascii="Times New Roman" w:hAnsi="Times New Roman"/>
          <w:color w:val="0070C0"/>
          <w:sz w:val="16"/>
          <w:szCs w:val="16"/>
        </w:rPr>
        <w:tab/>
      </w:r>
      <w:r w:rsidRPr="00A3026E">
        <w:rPr>
          <w:rFonts w:ascii="Times New Roman" w:hAnsi="Times New Roman"/>
          <w:color w:val="0070C0"/>
          <w:sz w:val="16"/>
          <w:szCs w:val="16"/>
        </w:rPr>
        <w:tab/>
      </w:r>
    </w:p>
    <w:p w14:paraId="72EFF91D" w14:textId="77777777" w:rsidR="003223A8" w:rsidRPr="00A3026E" w:rsidRDefault="003223A8" w:rsidP="00A3026E">
      <w:pPr>
        <w:spacing w:after="0" w:line="240" w:lineRule="auto"/>
        <w:ind w:left="1416"/>
        <w:jc w:val="both"/>
        <w:rPr>
          <w:rFonts w:ascii="Times New Roman" w:hAnsi="Times New Roman"/>
          <w:color w:val="0070C0"/>
          <w:sz w:val="16"/>
          <w:szCs w:val="16"/>
        </w:rPr>
      </w:pPr>
      <w:r w:rsidRPr="00A3026E">
        <w:rPr>
          <w:rFonts w:ascii="Times New Roman" w:hAnsi="Times New Roman"/>
          <w:color w:val="0070C0"/>
          <w:sz w:val="16"/>
          <w:szCs w:val="16"/>
        </w:rPr>
        <w:t>1 кв.</w:t>
      </w:r>
      <w:r w:rsidRPr="00A3026E">
        <w:rPr>
          <w:rFonts w:ascii="Times New Roman" w:hAnsi="Times New Roman"/>
          <w:color w:val="0070C0"/>
          <w:sz w:val="16"/>
          <w:szCs w:val="16"/>
        </w:rPr>
        <w:tab/>
        <w:t>2 кв.</w:t>
      </w:r>
      <w:r w:rsidRPr="00A3026E">
        <w:rPr>
          <w:rFonts w:ascii="Times New Roman" w:hAnsi="Times New Roman"/>
          <w:color w:val="0070C0"/>
          <w:sz w:val="16"/>
          <w:szCs w:val="16"/>
        </w:rPr>
        <w:tab/>
        <w:t>3 кв.</w:t>
      </w:r>
    </w:p>
    <w:p w14:paraId="7B34D4ED" w14:textId="77777777" w:rsidR="003223A8" w:rsidRPr="00A3026E" w:rsidRDefault="003223A8" w:rsidP="00A3026E">
      <w:pPr>
        <w:spacing w:after="0" w:line="240" w:lineRule="auto"/>
        <w:ind w:left="708"/>
        <w:jc w:val="both"/>
        <w:rPr>
          <w:rFonts w:ascii="Times New Roman" w:hAnsi="Times New Roman"/>
          <w:color w:val="0070C0"/>
          <w:sz w:val="16"/>
          <w:szCs w:val="16"/>
        </w:rPr>
      </w:pPr>
      <w:r w:rsidRPr="00A3026E">
        <w:rPr>
          <w:rFonts w:ascii="Times New Roman" w:hAnsi="Times New Roman"/>
          <w:color w:val="0070C0"/>
          <w:sz w:val="16"/>
          <w:szCs w:val="16"/>
        </w:rPr>
        <w:t>621</w:t>
      </w:r>
      <w:r w:rsidRPr="00A3026E">
        <w:rPr>
          <w:rFonts w:ascii="Times New Roman" w:hAnsi="Times New Roman"/>
          <w:color w:val="0070C0"/>
          <w:sz w:val="16"/>
          <w:szCs w:val="16"/>
        </w:rPr>
        <w:tab/>
        <w:t>140</w:t>
      </w:r>
      <w:r w:rsidRPr="00A3026E">
        <w:rPr>
          <w:rFonts w:ascii="Times New Roman" w:hAnsi="Times New Roman"/>
          <w:color w:val="0070C0"/>
          <w:sz w:val="16"/>
          <w:szCs w:val="16"/>
        </w:rPr>
        <w:tab/>
        <w:t>191</w:t>
      </w:r>
      <w:r w:rsidRPr="00A3026E">
        <w:rPr>
          <w:rFonts w:ascii="Times New Roman" w:hAnsi="Times New Roman"/>
          <w:color w:val="0070C0"/>
          <w:sz w:val="16"/>
          <w:szCs w:val="16"/>
        </w:rPr>
        <w:tab/>
        <w:t>290</w:t>
      </w:r>
    </w:p>
    <w:p w14:paraId="34D990FE"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Обязать Народного Комиссара Электропромышленности т. Богатырева обеспечить освоение и поставку Наркомавиапрому в 1941 года мелкого агрегатного и приборного алюминиевого литья на заводе "Изолит" по спецификации и чертежам HKAП в нижеслежующих количествах:</w:t>
      </w:r>
    </w:p>
    <w:p w14:paraId="199C34B8"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Всего на 1941г.</w:t>
      </w:r>
      <w:r w:rsidRPr="00A3026E">
        <w:rPr>
          <w:rFonts w:ascii="Times New Roman" w:hAnsi="Times New Roman"/>
          <w:color w:val="0070C0"/>
          <w:sz w:val="16"/>
          <w:szCs w:val="16"/>
        </w:rPr>
        <w:tab/>
      </w:r>
      <w:r w:rsidRPr="00A3026E">
        <w:rPr>
          <w:rFonts w:ascii="Times New Roman" w:hAnsi="Times New Roman"/>
          <w:color w:val="0070C0"/>
          <w:sz w:val="16"/>
          <w:szCs w:val="16"/>
        </w:rPr>
        <w:tab/>
        <w:t>в_том_числе</w:t>
      </w:r>
      <w:r w:rsidRPr="00A3026E">
        <w:rPr>
          <w:rFonts w:ascii="Times New Roman" w:hAnsi="Times New Roman"/>
          <w:color w:val="0070C0"/>
          <w:sz w:val="16"/>
          <w:szCs w:val="16"/>
        </w:rPr>
        <w:tab/>
      </w:r>
      <w:r w:rsidRPr="00A3026E">
        <w:rPr>
          <w:rFonts w:ascii="Times New Roman" w:hAnsi="Times New Roman"/>
          <w:color w:val="0070C0"/>
          <w:sz w:val="16"/>
          <w:szCs w:val="16"/>
        </w:rPr>
        <w:tab/>
      </w:r>
    </w:p>
    <w:p w14:paraId="189F4585" w14:textId="77777777" w:rsidR="003223A8" w:rsidRPr="00A3026E" w:rsidRDefault="003223A8" w:rsidP="00A3026E">
      <w:pPr>
        <w:spacing w:after="0" w:line="240" w:lineRule="auto"/>
        <w:ind w:left="1416"/>
        <w:jc w:val="both"/>
        <w:rPr>
          <w:rFonts w:ascii="Times New Roman" w:hAnsi="Times New Roman"/>
          <w:color w:val="0070C0"/>
          <w:sz w:val="16"/>
          <w:szCs w:val="16"/>
        </w:rPr>
      </w:pPr>
      <w:r w:rsidRPr="00A3026E">
        <w:rPr>
          <w:rFonts w:ascii="Times New Roman" w:hAnsi="Times New Roman"/>
          <w:color w:val="0070C0"/>
          <w:sz w:val="16"/>
          <w:szCs w:val="16"/>
        </w:rPr>
        <w:t>1 кв.</w:t>
      </w:r>
      <w:r w:rsidRPr="00A3026E">
        <w:rPr>
          <w:rFonts w:ascii="Times New Roman" w:hAnsi="Times New Roman"/>
          <w:color w:val="0070C0"/>
          <w:sz w:val="16"/>
          <w:szCs w:val="16"/>
        </w:rPr>
        <w:tab/>
        <w:t>2 кв.</w:t>
      </w:r>
      <w:r w:rsidRPr="00A3026E">
        <w:rPr>
          <w:rFonts w:ascii="Times New Roman" w:hAnsi="Times New Roman"/>
          <w:color w:val="0070C0"/>
          <w:sz w:val="16"/>
          <w:szCs w:val="16"/>
        </w:rPr>
        <w:tab/>
        <w:t>3 кв.</w:t>
      </w:r>
    </w:p>
    <w:p w14:paraId="313ACE84" w14:textId="77777777" w:rsidR="003223A8" w:rsidRPr="00A3026E" w:rsidRDefault="003223A8" w:rsidP="00A3026E">
      <w:pPr>
        <w:spacing w:after="0" w:line="240" w:lineRule="auto"/>
        <w:ind w:left="708"/>
        <w:jc w:val="both"/>
        <w:rPr>
          <w:rFonts w:ascii="Times New Roman" w:hAnsi="Times New Roman"/>
          <w:color w:val="0070C0"/>
          <w:sz w:val="16"/>
          <w:szCs w:val="16"/>
        </w:rPr>
      </w:pPr>
      <w:r w:rsidRPr="00A3026E">
        <w:rPr>
          <w:rFonts w:ascii="Times New Roman" w:hAnsi="Times New Roman"/>
          <w:color w:val="0070C0"/>
          <w:sz w:val="16"/>
          <w:szCs w:val="16"/>
        </w:rPr>
        <w:t>200</w:t>
      </w:r>
      <w:r w:rsidRPr="00A3026E">
        <w:rPr>
          <w:rFonts w:ascii="Times New Roman" w:hAnsi="Times New Roman"/>
          <w:color w:val="0070C0"/>
          <w:sz w:val="16"/>
          <w:szCs w:val="16"/>
        </w:rPr>
        <w:tab/>
        <w:t>50</w:t>
      </w:r>
      <w:r w:rsidRPr="00A3026E">
        <w:rPr>
          <w:rFonts w:ascii="Times New Roman" w:hAnsi="Times New Roman"/>
          <w:color w:val="0070C0"/>
          <w:sz w:val="16"/>
          <w:szCs w:val="16"/>
        </w:rPr>
        <w:tab/>
        <w:t>50</w:t>
      </w:r>
      <w:r w:rsidRPr="00A3026E">
        <w:rPr>
          <w:rFonts w:ascii="Times New Roman" w:hAnsi="Times New Roman"/>
          <w:color w:val="0070C0"/>
          <w:sz w:val="16"/>
          <w:szCs w:val="16"/>
        </w:rPr>
        <w:tab/>
        <w:t>50</w:t>
      </w:r>
      <w:r w:rsidRPr="00A3026E">
        <w:rPr>
          <w:rFonts w:ascii="Times New Roman" w:hAnsi="Times New Roman"/>
          <w:color w:val="0070C0"/>
          <w:sz w:val="16"/>
          <w:szCs w:val="16"/>
        </w:rPr>
        <w:tab/>
        <w:t>50</w:t>
      </w:r>
    </w:p>
    <w:p w14:paraId="38117791"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В целях форсирования освоения мощностей в соответст</w:t>
      </w:r>
      <w:r w:rsidRPr="00A3026E">
        <w:rPr>
          <w:rFonts w:ascii="Times New Roman" w:hAnsi="Times New Roman"/>
          <w:color w:val="0070C0"/>
          <w:sz w:val="16"/>
          <w:szCs w:val="16"/>
        </w:rPr>
        <w:softHyphen/>
        <w:t>вии с установленной программой на 1941 год, а также для увеличения мощностей на 1942 год по металлургическим заводам, обязать Народного Комиссара Авиационной промышленности т. Шахурина провести следующие мероприятия:</w:t>
      </w:r>
    </w:p>
    <w:p w14:paraId="1124D8CF"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заводу № 95:</w:t>
      </w:r>
    </w:p>
    <w:p w14:paraId="4D9E3C97"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Закончить постройку литейного цеха площадью 2170 м</w:t>
      </w:r>
    </w:p>
    <w:p w14:paraId="4A8739F5"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 вводом в действие во П квартале 1911 года;</w:t>
      </w:r>
    </w:p>
    <w:p w14:paraId="40C74252"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Пристроить третий пролет трубопрессового цеха площадью 3600 м с вводом в действие в 1У квартале 1941 года,</w:t>
      </w:r>
    </w:p>
    <w:p w14:paraId="37482738"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Построить цех гомогенизации литых слитков (для улучшения пластических свойств сплавов) площадью 1200 м с вводом в действие в 1 квартале 1942 года;</w:t>
      </w:r>
    </w:p>
    <w:p w14:paraId="66156A9B"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Пристроить третий пролет прокатного цеха площадью 8400 м с вводом в действие в Ш квартале 1942 года,</w:t>
      </w:r>
    </w:p>
    <w:p w14:paraId="5EA79F4A"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Расширить кузнечный цех с вводом в действие первой очереди на 1400 м в У1 квартале 1941 г. и второй очереди на 1000 м в У1 квартале 1942 г., предусмотрев одновременно расширение штамповочной мастерской и ввод ее в действие в 1 кв. 1942.</w:t>
      </w:r>
    </w:p>
    <w:p w14:paraId="5F96B1B2"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комбинату № 150:</w:t>
      </w:r>
    </w:p>
    <w:p w14:paraId="332BF55F"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Спроектировать и построить в 1941 году цех вторичных металлов площадбю 9500 м для переработки отходов легких металлов,</w:t>
      </w:r>
    </w:p>
    <w:p w14:paraId="38711315"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Достроить и ввести в действие во П квартале  1942 года проволочно-заклепочный цех мощностью на 2000 тонн.</w:t>
      </w:r>
    </w:p>
    <w:p w14:paraId="64F5D0BD"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Обязать Народного Комиссара Электростанций СССР</w:t>
      </w:r>
    </w:p>
    <w:p w14:paraId="4555C0C5"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обеспечить потребность действующих и строящихся заводов Наркомавиапрома в электроэнергии и тепле, не допуская перебоев и ограничений в пределах, выделяемых НКАП лимитов;</w:t>
      </w:r>
    </w:p>
    <w:p w14:paraId="05D124CE"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при всех условиях в 1941 году обеспечить подсоединение к энергосистемам трансформаторных подстанций и основных питающих сетей предприятий НКАП… и до постройки новой ТЭЦ обеспечить завод № 219 электроэнергией.</w:t>
      </w:r>
    </w:p>
    <w:p w14:paraId="437DA124"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Обязать Наркомхоз PCФР выделить заводу № 125 в Иркутске на 1941 год дополнительно электрическую мощность в разме</w:t>
      </w:r>
      <w:r w:rsidRPr="00A3026E">
        <w:rPr>
          <w:rFonts w:ascii="Times New Roman" w:hAnsi="Times New Roman"/>
          <w:color w:val="0070C0"/>
          <w:sz w:val="16"/>
          <w:szCs w:val="16"/>
        </w:rPr>
        <w:softHyphen/>
        <w:t>ре 2500 квт.</w:t>
      </w:r>
    </w:p>
    <w:p w14:paraId="459BC5A8"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Обязать Народного Комиссара Электропромышленности тов. Богатырева;</w:t>
      </w:r>
    </w:p>
    <w:p w14:paraId="03FAA73C"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организовать с 1 апреля 1941 года на новостроящемся заводе в гор. Краснодаре производство электроизмерительных приборов общепромышленного назначения по номенклатуре завода № 218 Наркомавиапрома и произвести их в 1941 году на сумму 15 млн. руб.</w:t>
      </w:r>
    </w:p>
    <w:p w14:paraId="41EE5D2C"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Освободить завод № 218 от производства промышленных электроизмерительных приборов с 1 июля 1942 г.</w:t>
      </w:r>
    </w:p>
    <w:p w14:paraId="7079398C"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в дополнение к решению СНК СССР и ЦК ВКП(б) от 26 января 1940 года № 132-б0сс установить срок вывода производства тепловых приборов с заводов № 230 и № 218 на заводы НКЭП не позднее 1 июля 1941 года. Освободить 214 завод Наркомавиапрома от производства исполнительных механизмов и редукторов к тепловым приборам с 1 июля 1941 года.</w:t>
      </w:r>
    </w:p>
    <w:p w14:paraId="75A1A485"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12. Обязать Народного Комиссара Химической промышленности т. Денисова организовать на своих за подох производство промышленных газоанализаторов.</w:t>
      </w:r>
    </w:p>
    <w:p w14:paraId="55317B79"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Завод № 278 Наркомавиапрома специализировать по произ</w:t>
      </w:r>
      <w:r w:rsidRPr="00A3026E">
        <w:rPr>
          <w:rFonts w:ascii="Times New Roman" w:hAnsi="Times New Roman"/>
          <w:color w:val="0070C0"/>
          <w:sz w:val="16"/>
          <w:szCs w:val="16"/>
        </w:rPr>
        <w:softHyphen/>
        <w:t>водству авиационных газоанализаторов, освободив его с 1 ав</w:t>
      </w:r>
      <w:r w:rsidRPr="00A3026E">
        <w:rPr>
          <w:rFonts w:ascii="Times New Roman" w:hAnsi="Times New Roman"/>
          <w:color w:val="0070C0"/>
          <w:sz w:val="16"/>
          <w:szCs w:val="16"/>
        </w:rPr>
        <w:softHyphen/>
        <w:t>густа 1941 года от производства промышленных газоанализаторов.</w:t>
      </w:r>
    </w:p>
    <w:p w14:paraId="665AC638"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 Обязать Главное Управление гидрометелужбы при СНК СССР т.Федорова организовать на заводе Гидрогеоприбор в Ленинграде производство метеорологических приборов, изготавли</w:t>
      </w:r>
      <w:r w:rsidRPr="00A3026E">
        <w:rPr>
          <w:rFonts w:ascii="Times New Roman" w:hAnsi="Times New Roman"/>
          <w:color w:val="0070C0"/>
          <w:sz w:val="16"/>
          <w:szCs w:val="16"/>
        </w:rPr>
        <w:softHyphen/>
        <w:t>ваемых на заводе № 221 Наркомавиопрома с выпуском их в 1941 г. на сумму 3 млн.рублей.</w:t>
      </w:r>
    </w:p>
    <w:p w14:paraId="43733673"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 Обязать Мосгорисполком т. Пронина к 1 января 1941 г. освободить площадку для строительство мобсклада завода № 213, выселив жильцов из донов №№ 9 и 10 по Кутузовскому проезду, предназначенных для сноса, с выплатой денежной компенсации вы</w:t>
      </w:r>
      <w:r w:rsidRPr="00A3026E">
        <w:rPr>
          <w:rFonts w:ascii="Times New Roman" w:hAnsi="Times New Roman"/>
          <w:color w:val="0070C0"/>
          <w:sz w:val="16"/>
          <w:szCs w:val="16"/>
        </w:rPr>
        <w:softHyphen/>
        <w:t>селяемым за счет Наркомавиапрома.</w:t>
      </w:r>
    </w:p>
    <w:p w14:paraId="35FCA708"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 Обязать Ленгорисполком т. Попкова:</w:t>
      </w:r>
    </w:p>
    <w:p w14:paraId="38A09BCC"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до 1 декабря 1910 года передать Наркомавиапрому уча</w:t>
      </w:r>
      <w:r w:rsidRPr="00A3026E">
        <w:rPr>
          <w:rFonts w:ascii="Times New Roman" w:hAnsi="Times New Roman"/>
          <w:color w:val="0070C0"/>
          <w:sz w:val="16"/>
          <w:szCs w:val="16"/>
        </w:rPr>
        <w:softHyphen/>
        <w:t>сток, примыкающий к заводу № 224 до набережной Невы» для использования под производственные цеха и расширение площадей завода.</w:t>
      </w:r>
    </w:p>
    <w:p w14:paraId="0485BC4D"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предоставить заводу № 218 Наркомаавиапрома до 1 декабря 1940 года не менее 1000 м площади под конструкторское бюро.</w:t>
      </w:r>
    </w:p>
    <w:p w14:paraId="19958BA0"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 Обязать НКМП РСФСР т. Лазорева организовать с 1 янва</w:t>
      </w:r>
      <w:r w:rsidRPr="00A3026E">
        <w:rPr>
          <w:rFonts w:ascii="Times New Roman" w:hAnsi="Times New Roman"/>
          <w:color w:val="0070C0"/>
          <w:sz w:val="16"/>
          <w:szCs w:val="16"/>
        </w:rPr>
        <w:softHyphen/>
        <w:t>ря 1941 года на своих предприятиях производство подогревате</w:t>
      </w:r>
      <w:r w:rsidRPr="00A3026E">
        <w:rPr>
          <w:rFonts w:ascii="Times New Roman" w:hAnsi="Times New Roman"/>
          <w:color w:val="0070C0"/>
          <w:sz w:val="16"/>
          <w:szCs w:val="16"/>
        </w:rPr>
        <w:softHyphen/>
        <w:t>лей АПЛ-1, освободив от их производства завод ; 132 Наркомавиапрома с 1 апреля 1941 года.</w:t>
      </w:r>
    </w:p>
    <w:p w14:paraId="191A2EB4"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 Обязать Наркомавиапром передать ГУ ВВС ноходящиеся в мобзапасе запчасти к самолетам и моторам.</w:t>
      </w:r>
    </w:p>
    <w:p w14:paraId="1C7E5E00"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18. Разрешить Наркомавиапрому в 1941 году вести в необ</w:t>
      </w:r>
      <w:r w:rsidRPr="00A3026E">
        <w:rPr>
          <w:rFonts w:ascii="Times New Roman" w:hAnsi="Times New Roman"/>
          <w:color w:val="0070C0"/>
          <w:sz w:val="16"/>
          <w:szCs w:val="16"/>
        </w:rPr>
        <w:softHyphen/>
        <w:t>ходимых случаях работу на заводах в три смены и применять до 2 часов сверхурочных работ на одного робочего в цехах, рабо</w:t>
      </w:r>
      <w:r w:rsidRPr="00A3026E">
        <w:rPr>
          <w:rFonts w:ascii="Times New Roman" w:hAnsi="Times New Roman"/>
          <w:color w:val="0070C0"/>
          <w:sz w:val="16"/>
          <w:szCs w:val="16"/>
        </w:rPr>
        <w:softHyphen/>
        <w:t>тающих в две смены и в исключительных случаях работу в выход</w:t>
      </w:r>
      <w:r w:rsidRPr="00A3026E">
        <w:rPr>
          <w:rFonts w:ascii="Times New Roman" w:hAnsi="Times New Roman"/>
          <w:color w:val="0070C0"/>
          <w:sz w:val="16"/>
          <w:szCs w:val="16"/>
        </w:rPr>
        <w:softHyphen/>
        <w:t>ные дни.</w:t>
      </w:r>
    </w:p>
    <w:p w14:paraId="36E8D8BA"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19. Обязать Наркомовиапром в месячный сток представить в СНК СССР на утверждение план финансирования затрат на по</w:t>
      </w:r>
      <w:r w:rsidRPr="00A3026E">
        <w:rPr>
          <w:rFonts w:ascii="Times New Roman" w:hAnsi="Times New Roman"/>
          <w:color w:val="0070C0"/>
          <w:sz w:val="16"/>
          <w:szCs w:val="16"/>
        </w:rPr>
        <w:softHyphen/>
        <w:t>становку новых производств и пусковые расходы на передаваемых в Наркомавнапром предприятиях в 1941 году. Врпедь до утверждения ассигновании выделить Наркомавиапрому в 1У квартале 1940 г. из резервного фонда СНК СССР аванс в размере 15 млн.рублей, разрешив заводам израсходовать эти ассигнования по утвержден</w:t>
      </w:r>
      <w:r w:rsidRPr="00A3026E">
        <w:rPr>
          <w:rFonts w:ascii="Times New Roman" w:hAnsi="Times New Roman"/>
          <w:color w:val="0070C0"/>
          <w:sz w:val="16"/>
          <w:szCs w:val="16"/>
        </w:rPr>
        <w:softHyphen/>
        <w:t>ным Народным комиссаром сметам.</w:t>
      </w:r>
    </w:p>
    <w:p w14:paraId="1DCF304A"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 Разрешить НКАП оплачивать простои рабочих, связанные с подготовкой производства новой продукции на предприятиях, переданных из других наркоматов, в размере 75% тарифной став</w:t>
      </w:r>
      <w:r w:rsidRPr="00A3026E">
        <w:rPr>
          <w:rFonts w:ascii="Times New Roman" w:hAnsi="Times New Roman"/>
          <w:color w:val="0070C0"/>
          <w:sz w:val="16"/>
          <w:szCs w:val="16"/>
        </w:rPr>
        <w:softHyphen/>
        <w:t>ки сдельщика, но на период не более двух месяцев в течение года.</w:t>
      </w:r>
    </w:p>
    <w:p w14:paraId="307C3CC2"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П.</w:t>
      </w:r>
    </w:p>
    <w:p w14:paraId="2933A8F5"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материальному обеспечению.</w:t>
      </w:r>
    </w:p>
    <w:p w14:paraId="3DE5879C"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Народного Комиссаре Черной металлургии т. Тевоснна И.Т.:</w:t>
      </w:r>
    </w:p>
    <w:p w14:paraId="299045E3"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поставить в 1941 году заводам Наркомавиапрома: стали конструкционной электролегированной 42 тыс.тонн, авиапоковок 28 тыс.тонн, тонкостенных труб 11,0 тыс.метров, авиатросса 8,4 тыс.метров и других материалов по спецификации.</w:t>
      </w:r>
    </w:p>
    <w:p w14:paraId="1ED5E39E"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поставить Кольчугинскому заводу Наркомцветмета для заказов авиапромышленности в 1941 году 80 тонн нихромовых заготовок равными количествами по месяцам.</w:t>
      </w:r>
    </w:p>
    <w:p w14:paraId="0E89E930" w14:textId="77777777" w:rsidR="003223A8" w:rsidRPr="00A3026E" w:rsidRDefault="003223A8"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Для обеспечении авиационной промышленности, материала</w:t>
      </w:r>
      <w:r w:rsidRPr="00A3026E">
        <w:rPr>
          <w:rFonts w:ascii="Times New Roman" w:hAnsi="Times New Roman"/>
          <w:color w:val="0070C0"/>
          <w:sz w:val="16"/>
          <w:szCs w:val="16"/>
        </w:rPr>
        <w:softHyphen/>
        <w:t>ми обязать Народного Комиссара Черной металлургии т.Тевосяна И.Т. провести следующие мероприятия:…(22090).</w:t>
      </w:r>
    </w:p>
    <w:p w14:paraId="5BC3802C" w14:textId="77777777" w:rsidR="003223A8" w:rsidRPr="00A3026E" w:rsidRDefault="003223A8" w:rsidP="00A3026E">
      <w:pPr>
        <w:spacing w:after="0" w:line="240" w:lineRule="auto"/>
        <w:jc w:val="both"/>
        <w:rPr>
          <w:rFonts w:ascii="Times New Roman" w:hAnsi="Times New Roman"/>
          <w:color w:val="0070C0"/>
          <w:sz w:val="16"/>
          <w:szCs w:val="16"/>
        </w:rPr>
      </w:pPr>
    </w:p>
    <w:bookmarkEnd w:id="55"/>
    <w:p w14:paraId="7327F2BA"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7 декабря 1940 г. (Из объяснительной записки к отчету о работе завода № 477</w:t>
      </w:r>
    </w:p>
    <w:p w14:paraId="5E97B697"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за 1941 год)</w:t>
      </w:r>
    </w:p>
    <w:p w14:paraId="7D44A3C8"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Решением правительства и приказом НКАП и Наркомсредмаша от 10 декабря 1940 г. за № 771с/277с и № 72с от 27 января 1941 г. завод № 477 НКАП создан на базе завода сельхозмашин «Красный Плуг».</w:t>
      </w:r>
    </w:p>
    <w:p w14:paraId="4D4C2332"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Профиль завода № 477 определен приказом НКАП № 67с от 25 января 1941 г. как плоскостный завод по изготовлению запчастей: крыльев, оперения, узлов и деталей к ним.</w:t>
      </w:r>
    </w:p>
    <w:p w14:paraId="7CEF1299"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На 1941 год заводу была определена программа по выпуску запчастей самолета СБ и доработка задела в I квартале 1941 года по сельхозмашинам.</w:t>
      </w:r>
    </w:p>
    <w:p w14:paraId="7AA964D3"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В конце марта-м[еся]ца Постановлением СНК СССР программа по производству сельхозмашин была увеличена, в связи с чем завод был вынужден пересмотреть первоначальный план реконструкции завода. К реконструкции завода и подготовке производства</w:t>
      </w:r>
    </w:p>
    <w:p w14:paraId="4F8DEC8F"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к выпуску запчастей самолета СБ частично приступили в начале февраля-м[еся]ца и в полном объеме начались работы по рекон-</w:t>
      </w:r>
    </w:p>
    <w:p w14:paraId="12B9182C"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струкции завода с 22 июня 1941 г. после выполнения дополнительной программы по выпуску сельхозмашин. […]</w:t>
      </w:r>
    </w:p>
    <w:p w14:paraId="61E10AE0"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Поставленные перед заводом задачи в I и II кварталах заключались в подготовке площадей, оборудования и кадров для нового производства, а также в выполнении программы по выпуску сельхозмашин и авиабомб.</w:t>
      </w:r>
    </w:p>
    <w:p w14:paraId="116B2ABD"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За период февраля – июля-м[еся]цев 1941 года было подготовлено более 10 000 м. площадей, на которых были организованы цеха:</w:t>
      </w:r>
    </w:p>
    <w:p w14:paraId="575355B2"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1) механический;</w:t>
      </w:r>
    </w:p>
    <w:p w14:paraId="330B80FB"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2) заготовительно-штамповочный;</w:t>
      </w:r>
    </w:p>
    <w:p w14:paraId="5B5FE590"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3) слесарно-сварочный;</w:t>
      </w:r>
    </w:p>
    <w:p w14:paraId="08F6B0FD"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4) цех сборки оперения;</w:t>
      </w:r>
    </w:p>
    <w:p w14:paraId="7AF08E0F"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5) цех сборки крыла;</w:t>
      </w:r>
    </w:p>
    <w:p w14:paraId="7986BF78"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6) малярная мастерская;</w:t>
      </w:r>
    </w:p>
    <w:p w14:paraId="416C5FB2"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7) временная экспедиция (компрессорная, термическая, цветных и черных металлов).</w:t>
      </w:r>
    </w:p>
    <w:p w14:paraId="75A0084D"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Также были реорганизованы цеха инструментальный и ремонтномеханический.</w:t>
      </w:r>
    </w:p>
    <w:p w14:paraId="176B6D9B"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Во вновь организованных цехах было установлено 225 единиц различного оборудования и 159 стапелей для сборки оперения и крыла.</w:t>
      </w:r>
    </w:p>
    <w:p w14:paraId="0F58A210"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В марте – апреле-м[еся]цах велась подготовка технологической и рабочей документации, и с мая-м[еся]ца завод приступил к запуску в производство новой продукции.</w:t>
      </w:r>
    </w:p>
    <w:p w14:paraId="564DEF9E"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Заданная заводу номенклатура изделий была снята с производства крупного, оснащенного, с передовой технологией самолетостроительного завода. […]</w:t>
      </w:r>
    </w:p>
    <w:p w14:paraId="06EE55E5"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В первом полугодии 1941 года программа заводом была выполнена на 100 %. […]</w:t>
      </w:r>
    </w:p>
    <w:p w14:paraId="0061EF56"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Всего за три квартала (до эвакуации) заводом было выпущено валовой продукции на сумму 5 964 тыс. рублей, что составило 79,2 % к годовой программе.</w:t>
      </w:r>
    </w:p>
    <w:p w14:paraId="4827721C"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По решению Комитета по эвакуации при СНК СССР за № 131сс от 7 октября 1941 г. и приказа наркома завод эвакуировался в город Красноярск. Последний эшелон прибыл на место назначения 7 ноября.</w:t>
      </w:r>
    </w:p>
    <w:p w14:paraId="2C517B09"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На отведенных согласно решению правительства производственных площадях завода имени Побежимова в течение месяца был произведен монтаж привезенного станочного оборудования и установлен один комплект стапелей.</w:t>
      </w:r>
    </w:p>
    <w:p w14:paraId="4CE9C87C"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Станочное оборудование (за исключением части демонтированного по сельхозмашиностроению), стапельное хозяйство, незавершенное производство были привезены полностью, а также и основные материалы, кроме имущества, погруженного в четырехосный вагон, оставшийся на станции Лаптево вследствие технической неисправности.</w:t>
      </w:r>
    </w:p>
    <w:p w14:paraId="3FBD0A13"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В вагоне находились: заклепки стальные и дюралевые, нормали, абразивы, 25 пневмодрелей и 25 пневмомолотков и др. Кроме того,</w:t>
      </w:r>
    </w:p>
    <w:p w14:paraId="52384A40"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был погружен автотранспорт на платформы и сдан железной дороге, но на место назначения не прибыл. По полученным сведениям,</w:t>
      </w:r>
    </w:p>
    <w:p w14:paraId="548560CD" w14:textId="77777777" w:rsidR="001278CD" w:rsidRPr="00A3026E"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A3026E">
        <w:rPr>
          <w:rFonts w:ascii="Times New Roman" w:eastAsia="TimesNewRomanPSMT" w:hAnsi="Times New Roman"/>
          <w:iCs/>
          <w:color w:val="000000" w:themeColor="text1"/>
          <w:sz w:val="16"/>
          <w:szCs w:val="16"/>
        </w:rPr>
        <w:t>указанное имущество было разгружено воинскими частями. […] (19799).</w:t>
      </w:r>
    </w:p>
    <w:p w14:paraId="1BDF735D" w14:textId="77777777" w:rsidR="001278CD" w:rsidRPr="00A3026E" w:rsidRDefault="001278C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началу декабря 1940 г. основные трудности в доводке мотора М 81 на заваоде № 19 удалось преодолеть (19534).</w:t>
      </w:r>
    </w:p>
    <w:p w14:paraId="665976EC" w14:textId="77777777" w:rsidR="001278CD" w:rsidRPr="00A3026E" w:rsidRDefault="001278CD" w:rsidP="00A3026E">
      <w:pPr>
        <w:spacing w:after="0" w:line="240" w:lineRule="auto"/>
        <w:jc w:val="both"/>
        <w:rPr>
          <w:rFonts w:ascii="Times New Roman" w:hAnsi="Times New Roman"/>
          <w:color w:val="000000" w:themeColor="text1"/>
          <w:sz w:val="16"/>
          <w:szCs w:val="16"/>
        </w:rPr>
      </w:pPr>
    </w:p>
    <w:p w14:paraId="113428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 вышло постановление СНК СССР и ЦК ВКП(б) № 2470-1100сс, согласно которому:</w:t>
      </w:r>
    </w:p>
    <w:p w14:paraId="18F55A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первые образцы 23 мм мотор-пушек Таубина должны выпускаться с 20 января 1941 года.</w:t>
      </w:r>
    </w:p>
    <w:p w14:paraId="178A99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Образцы пулемета 12,7 Таубина должны выпускаться с 15 февраля 1941 г. (4156,15).</w:t>
      </w:r>
    </w:p>
    <w:p w14:paraId="3B2331C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038B43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 постановлением СНК СССР и ЦК ВКП/б/ № 2473-1102сс была установлена программа выпуска 20 мм.и 23 мм.снарядов.</w:t>
      </w:r>
    </w:p>
    <w:p w14:paraId="2A66B2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23мм. снаряду за январь м-ц завод № 187 должен был выпустить 200 тысяч гильз, а выпустит 170 т.; корпусов - 120 т., в выпустит только 30 т.шт.</w:t>
      </w:r>
    </w:p>
    <w:p w14:paraId="40E9B9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Программа по гильзам для 20 мм. снаряда будет выполнена, а по кор</w:t>
      </w:r>
      <w:r w:rsidRPr="00A3026E">
        <w:rPr>
          <w:rFonts w:ascii="Times New Roman" w:hAnsi="Times New Roman"/>
          <w:color w:val="000000" w:themeColor="text1"/>
          <w:sz w:val="16"/>
          <w:szCs w:val="16"/>
        </w:rPr>
        <w:softHyphen/>
        <w:t>пусам вместо 250 т.шт. будет дано только 10 т.шт. Невыполнение программы по 23 мм. снаряду об"ясняется тем, что завод не справляется с глубоким сверлением камеры корпуса, а по 20мм.снаряду не справляется с окончательной доделкой корпуса снаряда (нехватает мелких ЦИТовскихдоделочных станков) (4156,16).</w:t>
      </w:r>
    </w:p>
    <w:p w14:paraId="618DD4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919FBBD" w14:textId="77777777" w:rsidR="00C877C3" w:rsidRPr="00A3026E" w:rsidRDefault="00C877C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7 декабря 1940 г., СНК СССР и ЦК ВКП(б) был принят ряд постановлений по ави</w:t>
      </w:r>
      <w:r w:rsidRPr="00A3026E">
        <w:rPr>
          <w:color w:val="000000" w:themeColor="text1"/>
          <w:sz w:val="16"/>
          <w:szCs w:val="16"/>
        </w:rPr>
        <w:softHyphen/>
        <w:t>ационному вооружению и боеприпасам.</w:t>
      </w:r>
    </w:p>
    <w:p w14:paraId="14DB3B5C" w14:textId="77777777" w:rsidR="00C877C3" w:rsidRPr="00A3026E" w:rsidRDefault="00C877C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 одному из них (№ 2470-1100сс) от наркома</w:t>
      </w:r>
      <w:r w:rsidRPr="00A3026E">
        <w:rPr>
          <w:color w:val="000000" w:themeColor="text1"/>
          <w:sz w:val="16"/>
          <w:szCs w:val="16"/>
        </w:rPr>
        <w:softHyphen/>
        <w:t>та вооружений требовалось обеспечить серийный выпуск мотор-пушек Таубина—Бабурина кали</w:t>
      </w:r>
      <w:r w:rsidRPr="00A3026E">
        <w:rPr>
          <w:color w:val="000000" w:themeColor="text1"/>
          <w:sz w:val="16"/>
          <w:szCs w:val="16"/>
        </w:rPr>
        <w:softHyphen/>
        <w:t>бра 23 мм на заводе № 2 НКВ (г. Ковров) начиная с 20 января 1941 г., и на заводе № 66 НКВ (г. Ту</w:t>
      </w:r>
      <w:r w:rsidRPr="00A3026E">
        <w:rPr>
          <w:color w:val="000000" w:themeColor="text1"/>
          <w:sz w:val="16"/>
          <w:szCs w:val="16"/>
        </w:rPr>
        <w:softHyphen/>
        <w:t>ла) — с 15 февраля этого же года. Одновременно на заводах № 2 и № 74 НКВ (г. Ижевск) организовы</w:t>
      </w:r>
      <w:r w:rsidRPr="00A3026E">
        <w:rPr>
          <w:color w:val="000000" w:themeColor="text1"/>
          <w:sz w:val="16"/>
          <w:szCs w:val="16"/>
        </w:rPr>
        <w:softHyphen/>
        <w:t>валось серийное производство крупнокалиберных пулеметов АП-12,7 конструкции ОКБ-16. Согласно заданию ВВС КА должны были получить в I кварта</w:t>
      </w:r>
      <w:r w:rsidRPr="00A3026E">
        <w:rPr>
          <w:color w:val="000000" w:themeColor="text1"/>
          <w:sz w:val="16"/>
          <w:szCs w:val="16"/>
        </w:rPr>
        <w:softHyphen/>
        <w:t>ле 1941 г. 436 пушек МП-6 и 686 пулеметов АП-12,7. Этим же постановлением опытное производство тульского ЦКБ-14 на три месяца привлекалось к работам по разработке технологии производства пушек МП-6.</w:t>
      </w:r>
    </w:p>
    <w:p w14:paraId="3980E6A7" w14:textId="77777777" w:rsidR="00C877C3" w:rsidRPr="00A3026E" w:rsidRDefault="00C877C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 другому постановлению (№ 2473-1102сс) НКВ совместно с ГУ ВВС (НИП АВ) ставилась задача про</w:t>
      </w:r>
      <w:r w:rsidRPr="00A3026E">
        <w:rPr>
          <w:color w:val="000000" w:themeColor="text1"/>
          <w:sz w:val="16"/>
          <w:szCs w:val="16"/>
        </w:rPr>
        <w:softHyphen/>
        <w:t>вести сравнительные полигонные испытания опыт</w:t>
      </w:r>
      <w:r w:rsidRPr="00A3026E">
        <w:rPr>
          <w:color w:val="000000" w:themeColor="text1"/>
          <w:sz w:val="16"/>
          <w:szCs w:val="16"/>
        </w:rPr>
        <w:softHyphen/>
        <w:t>ных бронебойно-зажигательных снарядов калибра 20 и 23 мм и бронебойно-зажигательных пуль кали</w:t>
      </w:r>
      <w:r w:rsidRPr="00A3026E">
        <w:rPr>
          <w:color w:val="000000" w:themeColor="text1"/>
          <w:sz w:val="16"/>
          <w:szCs w:val="16"/>
        </w:rPr>
        <w:softHyphen/>
        <w:t>бра 12,7 мм «с целью выбора наилучшей конструк</w:t>
      </w:r>
      <w:r w:rsidRPr="00A3026E">
        <w:rPr>
          <w:color w:val="000000" w:themeColor="text1"/>
          <w:sz w:val="16"/>
          <w:szCs w:val="16"/>
        </w:rPr>
        <w:softHyphen/>
        <w:t>ции их для запуска в валовое производство» (17500).</w:t>
      </w:r>
    </w:p>
    <w:p w14:paraId="211D7148" w14:textId="77777777" w:rsidR="00C877C3" w:rsidRPr="00A3026E" w:rsidRDefault="00C877C3" w:rsidP="00A3026E">
      <w:pPr>
        <w:spacing w:after="0" w:line="240" w:lineRule="auto"/>
        <w:jc w:val="both"/>
        <w:rPr>
          <w:rFonts w:ascii="Times New Roman" w:eastAsia="Times New Roman" w:hAnsi="Times New Roman"/>
          <w:color w:val="000000" w:themeColor="text1"/>
          <w:sz w:val="16"/>
          <w:szCs w:val="16"/>
          <w:lang w:eastAsia="ru-RU"/>
        </w:rPr>
      </w:pPr>
    </w:p>
    <w:p w14:paraId="018F9E1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w:t>
      </w:r>
    </w:p>
    <w:p w14:paraId="7DB198E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169. Постановление СНК СССР и ЦК ВКП(б) № 2470-1100сс “О программе выпуска авиационного вооружения в 1941 г.”</w:t>
      </w:r>
    </w:p>
    <w:p w14:paraId="21438BA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Источник: </w:t>
      </w:r>
    </w:p>
    <w:p w14:paraId="3751011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668-672.</w:t>
      </w:r>
    </w:p>
    <w:p w14:paraId="39A3F2D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Архив: </w:t>
      </w:r>
    </w:p>
    <w:p w14:paraId="61A855B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 РФ. Ф. Р-5446. Оп. 3ас. Д. 2. Л. 265-272. Заверенная копия.</w:t>
      </w:r>
    </w:p>
    <w:p w14:paraId="11ECE9A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Совершенно секретно.</w:t>
      </w:r>
    </w:p>
    <w:p w14:paraId="48CC90E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(Особая папка)</w:t>
      </w:r>
    </w:p>
    <w:p w14:paraId="6ADF8A3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Совет народных комиссаров Союза ССР и Центральный комитет ВКП(б) постановляют:</w:t>
      </w:r>
    </w:p>
    <w:p w14:paraId="1CC7395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Утвердить программу по авиационному вооружению на 1941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69"/>
        <w:gridCol w:w="1073"/>
        <w:gridCol w:w="1253"/>
        <w:gridCol w:w="1372"/>
        <w:gridCol w:w="1528"/>
        <w:gridCol w:w="1327"/>
      </w:tblGrid>
      <w:tr w:rsidR="00983732" w:rsidRPr="00A3026E" w14:paraId="1AD9C2C1" w14:textId="77777777" w:rsidTr="007E425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EF060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9C75BC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p w14:paraId="20192A0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06E19A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tc>
      </w:tr>
      <w:tr w:rsidR="00983732" w:rsidRPr="00A3026E" w14:paraId="75A4F9EB" w14:textId="77777777" w:rsidTr="007E425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F111F5C"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EECE912"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6352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r w:rsidRPr="00A3026E">
              <w:rPr>
                <w:rFonts w:ascii="Times New Roman" w:hAnsi="Times New Roman"/>
                <w:color w:val="000000" w:themeColor="text1"/>
                <w:sz w:val="16"/>
                <w:szCs w:val="16"/>
              </w:rPr>
              <w:softHyphen/>
              <w:t>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2515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крыль</w:t>
            </w:r>
            <w:r w:rsidRPr="00A3026E">
              <w:rPr>
                <w:rFonts w:ascii="Times New Roman" w:hAnsi="Times New Roman"/>
                <w:color w:val="000000" w:themeColor="text1"/>
                <w:sz w:val="16"/>
                <w:szCs w:val="16"/>
              </w:rPr>
              <w:softHyphen/>
              <w:t>евых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7629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синхрон</w:t>
            </w:r>
            <w:r w:rsidRPr="00A3026E">
              <w:rPr>
                <w:rFonts w:ascii="Times New Roman" w:hAnsi="Times New Roman"/>
                <w:color w:val="000000" w:themeColor="text1"/>
                <w:sz w:val="16"/>
                <w:szCs w:val="16"/>
              </w:rPr>
              <w:softHyphen/>
              <w:t>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D97C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турель</w:t>
            </w:r>
            <w:r w:rsidRPr="00A3026E">
              <w:rPr>
                <w:rFonts w:ascii="Times New Roman" w:hAnsi="Times New Roman"/>
                <w:color w:val="000000" w:themeColor="text1"/>
                <w:sz w:val="16"/>
                <w:szCs w:val="16"/>
              </w:rPr>
              <w:softHyphen/>
              <w:t>ных</w:t>
            </w:r>
          </w:p>
        </w:tc>
      </w:tr>
      <w:tr w:rsidR="00983732" w:rsidRPr="00A3026E" w14:paraId="0BBE1D3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14AEE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Пушки 23</w:t>
            </w:r>
            <w:r w:rsidRPr="00A3026E">
              <w:rPr>
                <w:rFonts w:ascii="Times New Roman" w:hAnsi="Times New Roman"/>
                <w:color w:val="000000" w:themeColor="text1"/>
                <w:sz w:val="16"/>
                <w:szCs w:val="16"/>
              </w:rPr>
              <w:noBreakHyphen/>
              <w:t>мм (Таубина</w:t>
            </w:r>
            <w:r w:rsidRPr="00A3026E">
              <w:rPr>
                <w:rFonts w:ascii="Times New Roman" w:hAnsi="Times New Roman"/>
                <w:color w:val="000000" w:themeColor="text1"/>
                <w:sz w:val="16"/>
                <w:szCs w:val="16"/>
              </w:rPr>
              <w:noBreakHyphen/>
              <w:t>Бабурина)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6713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225A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AFC8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70C8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975E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834BA0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73236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Пушки 20</w:t>
            </w:r>
            <w:r w:rsidRPr="00A3026E">
              <w:rPr>
                <w:rFonts w:ascii="Times New Roman" w:hAnsi="Times New Roman"/>
                <w:color w:val="000000" w:themeColor="text1"/>
                <w:sz w:val="16"/>
                <w:szCs w:val="16"/>
              </w:rPr>
              <w:noBreakHyphen/>
              <w:t>мм (ШВАК)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1827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66EC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4FC4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EC87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C8E1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57CE7BF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D2D54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Пулеметы 12,7</w:t>
            </w:r>
            <w:r w:rsidRPr="00A3026E">
              <w:rPr>
                <w:rFonts w:ascii="Times New Roman" w:hAnsi="Times New Roman"/>
                <w:color w:val="000000" w:themeColor="text1"/>
                <w:sz w:val="16"/>
                <w:szCs w:val="16"/>
              </w:rPr>
              <w:noBreakHyphen/>
              <w:t>мм (Таубина</w:t>
            </w:r>
            <w:r w:rsidRPr="00A3026E">
              <w:rPr>
                <w:rFonts w:ascii="Times New Roman" w:hAnsi="Times New Roman"/>
                <w:color w:val="000000" w:themeColor="text1"/>
                <w:sz w:val="16"/>
                <w:szCs w:val="16"/>
              </w:rPr>
              <w:noBreakHyphen/>
              <w:t>Бабурина)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BBF3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32E9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03F7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05AF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E137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79FF2AB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75F57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Пулеметы 12,7</w:t>
            </w:r>
            <w:r w:rsidRPr="00A3026E">
              <w:rPr>
                <w:rFonts w:ascii="Times New Roman" w:hAnsi="Times New Roman"/>
                <w:color w:val="000000" w:themeColor="text1"/>
                <w:sz w:val="16"/>
                <w:szCs w:val="16"/>
              </w:rPr>
              <w:noBreakHyphen/>
              <w:t>мм (Березина)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5B38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6680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2217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AF0A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E2A0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5BA0EEF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16254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Пулеметы 7,62</w:t>
            </w:r>
            <w:r w:rsidRPr="00A3026E">
              <w:rPr>
                <w:rFonts w:ascii="Times New Roman" w:hAnsi="Times New Roman"/>
                <w:color w:val="000000" w:themeColor="text1"/>
                <w:sz w:val="16"/>
                <w:szCs w:val="16"/>
              </w:rPr>
              <w:noBreakHyphen/>
              <w:t>мм (ШКАС)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06E8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C2BA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4330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6BA0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BB5F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16 000</w:t>
            </w:r>
          </w:p>
        </w:tc>
      </w:tr>
    </w:tbl>
    <w:p w14:paraId="47FC6DF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Установить следующий выпуск авиационного вооружения по кварталам 1941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67"/>
        <w:gridCol w:w="1117"/>
        <w:gridCol w:w="1185"/>
        <w:gridCol w:w="1281"/>
        <w:gridCol w:w="1378"/>
        <w:gridCol w:w="1394"/>
      </w:tblGrid>
      <w:tr w:rsidR="00983732" w:rsidRPr="00A3026E" w14:paraId="3B2C8A3D" w14:textId="77777777" w:rsidTr="007E425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A12AC3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9648E0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p w14:paraId="21A934D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35C68C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tc>
      </w:tr>
      <w:tr w:rsidR="00983732" w:rsidRPr="00A3026E" w14:paraId="274212B4" w14:textId="77777777" w:rsidTr="007E425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6C00806"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0009B0F"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94FD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99AB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1466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6DB2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квартал</w:t>
            </w:r>
          </w:p>
        </w:tc>
      </w:tr>
      <w:tr w:rsidR="00983732" w:rsidRPr="00A3026E" w14:paraId="2397AE1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D44B5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Пушки 23</w:t>
            </w:r>
            <w:r w:rsidRPr="00A3026E">
              <w:rPr>
                <w:rFonts w:ascii="Times New Roman" w:hAnsi="Times New Roman"/>
                <w:color w:val="000000" w:themeColor="text1"/>
                <w:sz w:val="16"/>
                <w:szCs w:val="16"/>
              </w:rPr>
              <w:noBreakHyphen/>
              <w:t>мм (Таубина</w:t>
            </w:r>
            <w:r w:rsidRPr="00A3026E">
              <w:rPr>
                <w:rFonts w:ascii="Times New Roman" w:hAnsi="Times New Roman"/>
                <w:color w:val="000000" w:themeColor="text1"/>
                <w:sz w:val="16"/>
                <w:szCs w:val="16"/>
              </w:rPr>
              <w:noBreakHyphen/>
              <w:t>Бабурина)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A710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E735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B454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E17A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F21F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3322</w:t>
            </w:r>
          </w:p>
        </w:tc>
      </w:tr>
      <w:tr w:rsidR="00983732" w:rsidRPr="00A3026E" w14:paraId="379F0B4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FE97A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BA4D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FFCD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4709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F530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1F48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15FEF4E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81798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F900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6072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C76F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CFD3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AB06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1352</w:t>
            </w:r>
          </w:p>
        </w:tc>
      </w:tr>
      <w:tr w:rsidR="00983732" w:rsidRPr="00A3026E" w14:paraId="77FD36B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0526D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крыльевых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EF9E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665B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80F7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726A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35C6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1970</w:t>
            </w:r>
          </w:p>
        </w:tc>
      </w:tr>
      <w:tr w:rsidR="00983732" w:rsidRPr="00A3026E" w14:paraId="21CECB2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29972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Пушки 20</w:t>
            </w:r>
            <w:r w:rsidRPr="00A3026E">
              <w:rPr>
                <w:rFonts w:ascii="Times New Roman" w:hAnsi="Times New Roman"/>
                <w:color w:val="000000" w:themeColor="text1"/>
                <w:sz w:val="16"/>
                <w:szCs w:val="16"/>
              </w:rPr>
              <w:noBreakHyphen/>
              <w:t>мм (ШВЗАК)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95AE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1740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C692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A399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FE91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713</w:t>
            </w:r>
          </w:p>
        </w:tc>
      </w:tr>
      <w:tr w:rsidR="00983732" w:rsidRPr="00A3026E" w14:paraId="4022265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54C4A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81B1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35F6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0A30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A1F0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4385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5074536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24BAA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89E1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5858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0C6E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BD97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1CD7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w:t>
            </w:r>
          </w:p>
        </w:tc>
      </w:tr>
      <w:tr w:rsidR="00983732" w:rsidRPr="00A3026E" w14:paraId="0662308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AF8FD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турельных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E48F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2942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AADC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89C2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C6D1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w:t>
            </w:r>
          </w:p>
        </w:tc>
      </w:tr>
      <w:tr w:rsidR="00983732" w:rsidRPr="00A3026E" w14:paraId="6A7DF2F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EB5ED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Пулеметы 12,7</w:t>
            </w:r>
            <w:r w:rsidRPr="00A3026E">
              <w:rPr>
                <w:rFonts w:ascii="Times New Roman" w:hAnsi="Times New Roman"/>
                <w:color w:val="000000" w:themeColor="text1"/>
                <w:sz w:val="16"/>
                <w:szCs w:val="16"/>
              </w:rPr>
              <w:noBreakHyphen/>
              <w:t>мм (Таубина</w:t>
            </w:r>
            <w:r w:rsidRPr="00A3026E">
              <w:rPr>
                <w:rFonts w:ascii="Times New Roman" w:hAnsi="Times New Roman"/>
                <w:color w:val="000000" w:themeColor="text1"/>
                <w:sz w:val="16"/>
                <w:szCs w:val="16"/>
              </w:rPr>
              <w:noBreakHyphen/>
              <w:t>Бабурина)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31F4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2A18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AC81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B590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405C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7979</w:t>
            </w:r>
          </w:p>
        </w:tc>
      </w:tr>
      <w:tr w:rsidR="00983732" w:rsidRPr="00A3026E" w14:paraId="7D5AC7E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DEC19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5081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2F16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3E0F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A812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9A70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47B20F9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B3165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крыльевых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D27E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FAA8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D8A9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B316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409A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4600</w:t>
            </w:r>
          </w:p>
        </w:tc>
      </w:tr>
      <w:tr w:rsidR="00983732" w:rsidRPr="00A3026E" w14:paraId="71A5D70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0D3D9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синхронных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FCD7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A871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CE83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5CA8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714C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3322</w:t>
            </w:r>
          </w:p>
        </w:tc>
      </w:tr>
      <w:tr w:rsidR="00983732" w:rsidRPr="00A3026E" w14:paraId="34CE617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384B7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турельных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3049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40D3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AF6B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7326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6740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w:t>
            </w:r>
          </w:p>
        </w:tc>
      </w:tr>
      <w:tr w:rsidR="00983732" w:rsidRPr="00A3026E" w14:paraId="3F5FD93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7D4CF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Пулеметы 12,7</w:t>
            </w:r>
            <w:r w:rsidRPr="00A3026E">
              <w:rPr>
                <w:rFonts w:ascii="Times New Roman" w:hAnsi="Times New Roman"/>
                <w:color w:val="000000" w:themeColor="text1"/>
                <w:sz w:val="16"/>
                <w:szCs w:val="16"/>
              </w:rPr>
              <w:noBreakHyphen/>
              <w:t>мм (Березина)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FB2C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A0B3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CA95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9A50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DEF3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F079FF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1DF07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них: синхронных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E25D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EC6E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17A4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D31B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9023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8B27C8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8FF33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Пулеметы 7,62</w:t>
            </w:r>
            <w:r w:rsidRPr="00A3026E">
              <w:rPr>
                <w:rFonts w:ascii="Times New Roman" w:hAnsi="Times New Roman"/>
                <w:color w:val="000000" w:themeColor="text1"/>
                <w:sz w:val="16"/>
                <w:szCs w:val="16"/>
              </w:rPr>
              <w:noBreakHyphen/>
              <w:t>мм (ШКАС)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13DF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3428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B794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7680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F0EA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19 600</w:t>
            </w:r>
          </w:p>
        </w:tc>
      </w:tr>
      <w:tr w:rsidR="00983732" w:rsidRPr="00A3026E" w14:paraId="7B26F3A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61238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D115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F16E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DEBF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232F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A8F4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4FDEA4A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E203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синхронних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7A49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22C4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A014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EE38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B350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r>
      <w:tr w:rsidR="00983732" w:rsidRPr="00A3026E" w14:paraId="11C6CE2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5FD41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крыльевых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94BE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0CD6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5D4D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435A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BC5F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6800</w:t>
            </w:r>
          </w:p>
        </w:tc>
      </w:tr>
      <w:tr w:rsidR="00983732" w:rsidRPr="00A3026E" w14:paraId="5878374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E083B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турельных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8F3F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5372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2CCB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506C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2399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4800</w:t>
            </w:r>
          </w:p>
        </w:tc>
      </w:tr>
    </w:tbl>
    <w:p w14:paraId="16ECE44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Утвердить программу выпуска авиационных пушек (23</w:t>
      </w:r>
      <w:r w:rsidRPr="00A3026E">
        <w:rPr>
          <w:rFonts w:ascii="Times New Roman" w:hAnsi="Times New Roman"/>
          <w:color w:val="000000" w:themeColor="text1"/>
          <w:sz w:val="16"/>
          <w:szCs w:val="16"/>
        </w:rPr>
        <w:noBreakHyphen/>
        <w:t>мм и 20</w:t>
      </w:r>
      <w:r w:rsidRPr="00A3026E">
        <w:rPr>
          <w:rFonts w:ascii="Times New Roman" w:hAnsi="Times New Roman"/>
          <w:color w:val="000000" w:themeColor="text1"/>
          <w:sz w:val="16"/>
          <w:szCs w:val="16"/>
        </w:rPr>
        <w:noBreakHyphen/>
        <w:t>мм) и пулеметов (12,7 мм) по заводам в 1941 г.:</w:t>
      </w:r>
    </w:p>
    <w:p w14:paraId="18FE309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завод № 2: пушки Таубина 23</w:t>
      </w:r>
      <w:r w:rsidRPr="00A3026E">
        <w:rPr>
          <w:rFonts w:ascii="Times New Roman" w:hAnsi="Times New Roman"/>
          <w:color w:val="000000" w:themeColor="text1"/>
          <w:sz w:val="16"/>
          <w:szCs w:val="16"/>
        </w:rPr>
        <w:noBreakHyphen/>
        <w:t>мм — 2550 шт., пушки ШВАК 20</w:t>
      </w:r>
      <w:r w:rsidRPr="00A3026E">
        <w:rPr>
          <w:rFonts w:ascii="Times New Roman" w:hAnsi="Times New Roman"/>
          <w:color w:val="000000" w:themeColor="text1"/>
          <w:sz w:val="16"/>
          <w:szCs w:val="16"/>
        </w:rPr>
        <w:noBreakHyphen/>
        <w:t>мм — 2540 шт., пулеметы Таубина 12,7</w:t>
      </w:r>
      <w:r w:rsidRPr="00A3026E">
        <w:rPr>
          <w:rFonts w:ascii="Times New Roman" w:hAnsi="Times New Roman"/>
          <w:color w:val="000000" w:themeColor="text1"/>
          <w:sz w:val="16"/>
          <w:szCs w:val="16"/>
        </w:rPr>
        <w:noBreakHyphen/>
        <w:t>мм — 9 тыс. шт., пулеметы Березина 12,7</w:t>
      </w:r>
      <w:r w:rsidRPr="00A3026E">
        <w:rPr>
          <w:rFonts w:ascii="Times New Roman" w:hAnsi="Times New Roman"/>
          <w:color w:val="000000" w:themeColor="text1"/>
          <w:sz w:val="16"/>
          <w:szCs w:val="16"/>
        </w:rPr>
        <w:noBreakHyphen/>
        <w:t>мм — 3,3 тыс. шт.;</w:t>
      </w:r>
    </w:p>
    <w:p w14:paraId="6A9ADE8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завод № 74: пулеметы Таубина 12,7</w:t>
      </w:r>
      <w:r w:rsidRPr="00A3026E">
        <w:rPr>
          <w:rFonts w:ascii="Times New Roman" w:hAnsi="Times New Roman"/>
          <w:color w:val="000000" w:themeColor="text1"/>
          <w:sz w:val="16"/>
          <w:szCs w:val="16"/>
        </w:rPr>
        <w:noBreakHyphen/>
        <w:t>мм — 9,2 тыс. шт.;</w:t>
      </w:r>
    </w:p>
    <w:p w14:paraId="5258D54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завод № 66: пушки Таубина 12,7</w:t>
      </w:r>
      <w:r w:rsidRPr="00A3026E">
        <w:rPr>
          <w:rFonts w:ascii="Times New Roman" w:hAnsi="Times New Roman"/>
          <w:color w:val="000000" w:themeColor="text1"/>
          <w:sz w:val="16"/>
          <w:szCs w:val="16"/>
        </w:rPr>
        <w:noBreakHyphen/>
        <w:t>мм[</w:t>
      </w:r>
      <w:hyperlink r:id="rId143" w:anchor="p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 — 5 тыс. шт. (поквартальное задание — см. приложение[</w:t>
      </w:r>
      <w:hyperlink r:id="rId144" w:anchor="p2" w:history="1">
        <w:r w:rsidRPr="00A3026E">
          <w:rPr>
            <w:rFonts w:ascii="Times New Roman" w:hAnsi="Times New Roman"/>
            <w:color w:val="000000" w:themeColor="text1"/>
            <w:sz w:val="16"/>
            <w:szCs w:val="16"/>
          </w:rPr>
          <w:t>2</w:t>
        </w:r>
      </w:hyperlink>
      <w:r w:rsidRPr="00A3026E">
        <w:rPr>
          <w:rFonts w:ascii="Times New Roman" w:hAnsi="Times New Roman"/>
          <w:color w:val="000000" w:themeColor="text1"/>
          <w:sz w:val="16"/>
          <w:szCs w:val="16"/>
        </w:rPr>
        <w:t>]).</w:t>
      </w:r>
    </w:p>
    <w:p w14:paraId="34FB3A5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Установить следующие сроки выпуска первых авиационных пушек 23</w:t>
      </w:r>
      <w:r w:rsidRPr="00A3026E">
        <w:rPr>
          <w:rFonts w:ascii="Times New Roman" w:hAnsi="Times New Roman"/>
          <w:color w:val="000000" w:themeColor="text1"/>
          <w:sz w:val="16"/>
          <w:szCs w:val="16"/>
        </w:rPr>
        <w:noBreakHyphen/>
        <w:t>мм и авиационных пулеметов Таубина 12,7</w:t>
      </w:r>
      <w:r w:rsidRPr="00A3026E">
        <w:rPr>
          <w:rFonts w:ascii="Times New Roman" w:hAnsi="Times New Roman"/>
          <w:color w:val="000000" w:themeColor="text1"/>
          <w:sz w:val="16"/>
          <w:szCs w:val="16"/>
        </w:rPr>
        <w:noBreakHyphen/>
        <w:t>мм по заводам:</w:t>
      </w:r>
    </w:p>
    <w:p w14:paraId="24FA203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заводу № 2 первые пулеметы 12,7</w:t>
      </w:r>
      <w:r w:rsidRPr="00A3026E">
        <w:rPr>
          <w:rFonts w:ascii="Times New Roman" w:hAnsi="Times New Roman"/>
          <w:color w:val="000000" w:themeColor="text1"/>
          <w:sz w:val="16"/>
          <w:szCs w:val="16"/>
        </w:rPr>
        <w:noBreakHyphen/>
        <w:t>мм выпускаются с 15 февраля 1941 г.; первые пушки 23</w:t>
      </w:r>
      <w:r w:rsidRPr="00A3026E">
        <w:rPr>
          <w:rFonts w:ascii="Times New Roman" w:hAnsi="Times New Roman"/>
          <w:color w:val="000000" w:themeColor="text1"/>
          <w:sz w:val="16"/>
          <w:szCs w:val="16"/>
        </w:rPr>
        <w:noBreakHyphen/>
        <w:t>мм выпускаются с 20 января 1941 г.;</w:t>
      </w:r>
    </w:p>
    <w:p w14:paraId="2AB33E3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заводу № 66 первые пушки 23</w:t>
      </w:r>
      <w:r w:rsidRPr="00A3026E">
        <w:rPr>
          <w:rFonts w:ascii="Times New Roman" w:hAnsi="Times New Roman"/>
          <w:color w:val="000000" w:themeColor="text1"/>
          <w:sz w:val="16"/>
          <w:szCs w:val="16"/>
        </w:rPr>
        <w:noBreakHyphen/>
        <w:t>мм выпускаются с 15 февраля 1941 г.;</w:t>
      </w:r>
    </w:p>
    <w:p w14:paraId="39679CF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 заводу № 74 первые пулеметы 12,7</w:t>
      </w:r>
      <w:r w:rsidRPr="00A3026E">
        <w:rPr>
          <w:rFonts w:ascii="Times New Roman" w:hAnsi="Times New Roman"/>
          <w:color w:val="000000" w:themeColor="text1"/>
          <w:sz w:val="16"/>
          <w:szCs w:val="16"/>
        </w:rPr>
        <w:noBreakHyphen/>
        <w:t>мм выпускаются с 15 февраля 1941 г.</w:t>
      </w:r>
    </w:p>
    <w:p w14:paraId="56FCFA9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Разрешить Наркомату вооружения (т. Ванникову) переключить ЦКБ</w:t>
      </w:r>
      <w:r w:rsidRPr="00A3026E">
        <w:rPr>
          <w:rFonts w:ascii="Times New Roman" w:hAnsi="Times New Roman"/>
          <w:color w:val="000000" w:themeColor="text1"/>
          <w:sz w:val="16"/>
          <w:szCs w:val="16"/>
        </w:rPr>
        <w:noBreakHyphen/>
        <w:t>40, ГСПИ</w:t>
      </w:r>
      <w:r w:rsidRPr="00A3026E">
        <w:rPr>
          <w:rFonts w:ascii="Times New Roman" w:hAnsi="Times New Roman"/>
          <w:color w:val="000000" w:themeColor="text1"/>
          <w:sz w:val="16"/>
          <w:szCs w:val="16"/>
        </w:rPr>
        <w:noBreakHyphen/>
        <w:t>7, ЦКБ</w:t>
      </w:r>
      <w:r w:rsidRPr="00A3026E">
        <w:rPr>
          <w:rFonts w:ascii="Times New Roman" w:hAnsi="Times New Roman"/>
          <w:color w:val="000000" w:themeColor="text1"/>
          <w:sz w:val="16"/>
          <w:szCs w:val="16"/>
        </w:rPr>
        <w:noBreakHyphen/>
        <w:t>14 и частично НИИ</w:t>
      </w:r>
      <w:r w:rsidRPr="00A3026E">
        <w:rPr>
          <w:rFonts w:ascii="Times New Roman" w:hAnsi="Times New Roman"/>
          <w:color w:val="000000" w:themeColor="text1"/>
          <w:sz w:val="16"/>
          <w:szCs w:val="16"/>
        </w:rPr>
        <w:noBreakHyphen/>
        <w:t>13 Наркомвооружения на разработку технологического процесса по производству 23</w:t>
      </w:r>
      <w:r w:rsidRPr="00A3026E">
        <w:rPr>
          <w:rFonts w:ascii="Times New Roman" w:hAnsi="Times New Roman"/>
          <w:color w:val="000000" w:themeColor="text1"/>
          <w:sz w:val="16"/>
          <w:szCs w:val="16"/>
        </w:rPr>
        <w:noBreakHyphen/>
        <w:t>мм пушек и 12,7</w:t>
      </w:r>
      <w:r w:rsidRPr="00A3026E">
        <w:rPr>
          <w:rFonts w:ascii="Times New Roman" w:hAnsi="Times New Roman"/>
          <w:color w:val="000000" w:themeColor="text1"/>
          <w:sz w:val="16"/>
          <w:szCs w:val="16"/>
        </w:rPr>
        <w:noBreakHyphen/>
        <w:t>мм пулеметов (системы Таубина-Бабурина).</w:t>
      </w:r>
    </w:p>
    <w:p w14:paraId="4226EE7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Мастерскую ЦКБ</w:t>
      </w:r>
      <w:r w:rsidRPr="00A3026E">
        <w:rPr>
          <w:rFonts w:ascii="Times New Roman" w:hAnsi="Times New Roman"/>
          <w:color w:val="000000" w:themeColor="text1"/>
          <w:sz w:val="16"/>
          <w:szCs w:val="16"/>
        </w:rPr>
        <w:noBreakHyphen/>
        <w:t>14 полностью переключить на изготовление приспособлений и инструмента сроком на 3 месяца.</w:t>
      </w:r>
    </w:p>
    <w:p w14:paraId="6A97231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Обязать Наркомат вооружения (т. Ванникова), директоров заводов № 2 (т. Чарского), № 66 (т. Пастухова) и № 74 (т. Новикова) при разработке технологического процесса на 23</w:t>
      </w:r>
      <w:r w:rsidRPr="00A3026E">
        <w:rPr>
          <w:rFonts w:ascii="Times New Roman" w:hAnsi="Times New Roman"/>
          <w:color w:val="000000" w:themeColor="text1"/>
          <w:sz w:val="16"/>
          <w:szCs w:val="16"/>
        </w:rPr>
        <w:noBreakHyphen/>
        <w:t>мм пушку и 12,7</w:t>
      </w:r>
      <w:r w:rsidRPr="00A3026E">
        <w:rPr>
          <w:rFonts w:ascii="Times New Roman" w:hAnsi="Times New Roman"/>
          <w:color w:val="000000" w:themeColor="text1"/>
          <w:sz w:val="16"/>
          <w:szCs w:val="16"/>
        </w:rPr>
        <w:noBreakHyphen/>
        <w:t>мм пулемет (Таубина-Бабурина) максимально внедрить чистовую штамповку и литье с сокращением механической обработки, а также проектировать технологию с максимальным сокращением применения дефицитных станков.</w:t>
      </w:r>
    </w:p>
    <w:p w14:paraId="432B389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Разрешить Наркомату вооружения (т. Ванникову) запустить в производство первые серии пулеметов 12,7</w:t>
      </w:r>
      <w:r w:rsidRPr="00A3026E">
        <w:rPr>
          <w:rFonts w:ascii="Times New Roman" w:hAnsi="Times New Roman"/>
          <w:color w:val="000000" w:themeColor="text1"/>
          <w:sz w:val="16"/>
          <w:szCs w:val="16"/>
        </w:rPr>
        <w:noBreakHyphen/>
        <w:t>мм и 23</w:t>
      </w:r>
      <w:r w:rsidRPr="00A3026E">
        <w:rPr>
          <w:rFonts w:ascii="Times New Roman" w:hAnsi="Times New Roman"/>
          <w:color w:val="000000" w:themeColor="text1"/>
          <w:sz w:val="16"/>
          <w:szCs w:val="16"/>
        </w:rPr>
        <w:noBreakHyphen/>
        <w:t>мм пушек (системы Таубина-Бабурина) по чертежам опытного образца и временной технологии по заводам: а) на заводе № 2 пулеметов 12,7</w:t>
      </w:r>
      <w:r w:rsidRPr="00A3026E">
        <w:rPr>
          <w:rFonts w:ascii="Times New Roman" w:hAnsi="Times New Roman"/>
          <w:color w:val="000000" w:themeColor="text1"/>
          <w:sz w:val="16"/>
          <w:szCs w:val="16"/>
        </w:rPr>
        <w:noBreakHyphen/>
        <w:t>мм — 3 тыс. шт.; б) на заводе № 2 пушек 23</w:t>
      </w:r>
      <w:r w:rsidRPr="00A3026E">
        <w:rPr>
          <w:rFonts w:ascii="Times New Roman" w:hAnsi="Times New Roman"/>
          <w:color w:val="000000" w:themeColor="text1"/>
          <w:sz w:val="16"/>
          <w:szCs w:val="16"/>
        </w:rPr>
        <w:noBreakHyphen/>
        <w:t>мм — 2 тыс. шт.; в) на заводе № 66 пушек 23</w:t>
      </w:r>
      <w:r w:rsidRPr="00A3026E">
        <w:rPr>
          <w:rFonts w:ascii="Times New Roman" w:hAnsi="Times New Roman"/>
          <w:color w:val="000000" w:themeColor="text1"/>
          <w:sz w:val="16"/>
          <w:szCs w:val="16"/>
        </w:rPr>
        <w:noBreakHyphen/>
        <w:t>мм — 2 тыс. шт.; г) на заводе № 74 пулеметов 12,7</w:t>
      </w:r>
      <w:r w:rsidRPr="00A3026E">
        <w:rPr>
          <w:rFonts w:ascii="Times New Roman" w:hAnsi="Times New Roman"/>
          <w:color w:val="000000" w:themeColor="text1"/>
          <w:sz w:val="16"/>
          <w:szCs w:val="16"/>
        </w:rPr>
        <w:noBreakHyphen/>
        <w:t>мм — 2 тыс. шт.</w:t>
      </w:r>
    </w:p>
    <w:p w14:paraId="6C2630D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Народному комиссару вооружения т. Ванникову разрешить сократить на заводе №2 в I квартале 1941 г. выпуск пулеметов других систем (кроме авиационного вооружения).</w:t>
      </w:r>
    </w:p>
    <w:p w14:paraId="102CDFA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Разрешить наркому вооружения т. Ванникову организовать производство 23</w:t>
      </w:r>
      <w:r w:rsidRPr="00A3026E">
        <w:rPr>
          <w:rFonts w:ascii="Times New Roman" w:hAnsi="Times New Roman"/>
          <w:color w:val="000000" w:themeColor="text1"/>
          <w:sz w:val="16"/>
          <w:szCs w:val="16"/>
        </w:rPr>
        <w:noBreakHyphen/>
        <w:t>мм пушек на заводе № 66, используя для этого производства цех пулеметов ДС на один год и станкостроения — до июля 1941 г.</w:t>
      </w:r>
    </w:p>
    <w:p w14:paraId="248DF0F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Целях сохранения станкостроения на заводе № 66 все оборудование станкостроительного цеха, не могущее быть использованным для производства 23</w:t>
      </w:r>
      <w:r w:rsidRPr="00A3026E">
        <w:rPr>
          <w:rFonts w:ascii="Times New Roman" w:hAnsi="Times New Roman"/>
          <w:color w:val="000000" w:themeColor="text1"/>
          <w:sz w:val="16"/>
          <w:szCs w:val="16"/>
        </w:rPr>
        <w:noBreakHyphen/>
        <w:t>мм пушек, сохранить в станкостроительном цехе с запрещением переброски его куда бы то ни было.</w:t>
      </w:r>
    </w:p>
    <w:p w14:paraId="746172D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Разрешить народному комиссару вооружения т. Ванникову организовать производство 12,7</w:t>
      </w:r>
      <w:r w:rsidRPr="00A3026E">
        <w:rPr>
          <w:rFonts w:ascii="Times New Roman" w:hAnsi="Times New Roman"/>
          <w:color w:val="000000" w:themeColor="text1"/>
          <w:sz w:val="16"/>
          <w:szCs w:val="16"/>
        </w:rPr>
        <w:noBreakHyphen/>
        <w:t>мм пулеметов на заводе № 74 в станкостроительном цехе, с прекращением производства станков до августа 1941 г., в цехе шаровых установок и частично использовать площади инструментального корпуса.</w:t>
      </w:r>
    </w:p>
    <w:p w14:paraId="597F96C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Обязать директора завода № 2 т. Чарского, директора завода № 66 т. Пастухова и директора завода № 74 т. Новикова давать ежедневные сообщения в ЦК ВКП(б) и в Наркомат вооружения о выпуске 23</w:t>
      </w:r>
      <w:r w:rsidRPr="00A3026E">
        <w:rPr>
          <w:rFonts w:ascii="Times New Roman" w:hAnsi="Times New Roman"/>
          <w:color w:val="000000" w:themeColor="text1"/>
          <w:sz w:val="16"/>
          <w:szCs w:val="16"/>
        </w:rPr>
        <w:noBreakHyphen/>
        <w:t>мм пушек и 12,7</w:t>
      </w:r>
      <w:r w:rsidRPr="00A3026E">
        <w:rPr>
          <w:rFonts w:ascii="Times New Roman" w:hAnsi="Times New Roman"/>
          <w:color w:val="000000" w:themeColor="text1"/>
          <w:sz w:val="16"/>
          <w:szCs w:val="16"/>
        </w:rPr>
        <w:noBreakHyphen/>
        <w:t>мм пулеметов (Таубина-Бабурина). Сообщения должны даваться за подписью директора и направляться в ЦК ВКП(б) и Наркомат вооружения шифрованными телеграммами.</w:t>
      </w:r>
    </w:p>
    <w:p w14:paraId="0EC7D65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Обязать начальника ОКБ</w:t>
      </w:r>
      <w:r w:rsidRPr="00A3026E">
        <w:rPr>
          <w:rFonts w:ascii="Times New Roman" w:hAnsi="Times New Roman"/>
          <w:color w:val="000000" w:themeColor="text1"/>
          <w:sz w:val="16"/>
          <w:szCs w:val="16"/>
        </w:rPr>
        <w:noBreakHyphen/>
        <w:t>16 т. Таубина закончить к 15 декабря 1940 г. все отладочные испытания 12,7</w:t>
      </w:r>
      <w:r w:rsidRPr="00A3026E">
        <w:rPr>
          <w:rFonts w:ascii="Times New Roman" w:hAnsi="Times New Roman"/>
          <w:color w:val="000000" w:themeColor="text1"/>
          <w:sz w:val="16"/>
          <w:szCs w:val="16"/>
        </w:rPr>
        <w:noBreakHyphen/>
        <w:t>мм пулемета в ленточном и синхронном вариантах.</w:t>
      </w:r>
    </w:p>
    <w:p w14:paraId="23777C9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Обязать Наркомат авиационной промышленности (т. Шахурина) приступить немедленно к проектированию и изготовлению установок на самолетах и пневматических устройств к установкам для 12,7</w:t>
      </w:r>
      <w:r w:rsidRPr="00A3026E">
        <w:rPr>
          <w:rFonts w:ascii="Times New Roman" w:hAnsi="Times New Roman"/>
          <w:color w:val="000000" w:themeColor="text1"/>
          <w:sz w:val="16"/>
          <w:szCs w:val="16"/>
        </w:rPr>
        <w:noBreakHyphen/>
        <w:t>мм пулемета и 23</w:t>
      </w:r>
      <w:r w:rsidRPr="00A3026E">
        <w:rPr>
          <w:rFonts w:ascii="Times New Roman" w:hAnsi="Times New Roman"/>
          <w:color w:val="000000" w:themeColor="text1"/>
          <w:sz w:val="16"/>
          <w:szCs w:val="16"/>
        </w:rPr>
        <w:noBreakHyphen/>
        <w:t>мм пушки системы Таубина-Бабурина.</w:t>
      </w:r>
    </w:p>
    <w:p w14:paraId="39F449C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Наркомату вооружения установить премирование за выполнение в срок задания по установке производства и освоению технологического процесса по 23</w:t>
      </w:r>
      <w:r w:rsidRPr="00A3026E">
        <w:rPr>
          <w:rFonts w:ascii="Times New Roman" w:hAnsi="Times New Roman"/>
          <w:color w:val="000000" w:themeColor="text1"/>
          <w:sz w:val="16"/>
          <w:szCs w:val="16"/>
        </w:rPr>
        <w:noBreakHyphen/>
        <w:t>мм пушке и 12,7</w:t>
      </w:r>
      <w:r w:rsidRPr="00A3026E">
        <w:rPr>
          <w:rFonts w:ascii="Times New Roman" w:hAnsi="Times New Roman"/>
          <w:color w:val="000000" w:themeColor="text1"/>
          <w:sz w:val="16"/>
          <w:szCs w:val="16"/>
        </w:rPr>
        <w:noBreakHyphen/>
        <w:t>мм пулемету системы Таубина-Бабурина, для чего в распоряжение Наркомата вооружения выделить 3 млн. руб.</w:t>
      </w:r>
    </w:p>
    <w:p w14:paraId="6BC05B9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Разрешить Наркомату вооружения (т. Ванникову) к 1 апреля 1941 г. построить на заводе № 2 производственный корпус площадью 15 тыс. кв. м упрощенного типа, с деревянным перекрытием. К строительству  приступить до утверждения проектов наркомом.</w:t>
      </w:r>
    </w:p>
    <w:p w14:paraId="4D85D3E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Обязать Наркомат вооружения (т. Ванникова) закончить строительство корпуса “И” на заводе № 2 к 1 мая 1941 г. и строительство корпуса 698 на заводе № 66 к 1 октября 1941 г.</w:t>
      </w:r>
    </w:p>
    <w:p w14:paraId="221FBD2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Наркомат по строительству (т. Гинзбурга) к 1 сентября 1941 г. построить на заводе № 74 один корпус площадью в 14 тыс. кв. м по проекту механического корпуса завода № 385 облегченного типа.</w:t>
      </w:r>
    </w:p>
    <w:p w14:paraId="36A878C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Госплану СССР выделить Наркомату вооружения целевым назначением:</w:t>
      </w:r>
    </w:p>
    <w:p w14:paraId="782D5A0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для завода № 2: леса пиленого — 20 тыс. куб. м, леса круглого — 10 тыс. куб. м, цемента — 4 тыс. т, металла — 2,5 тыс. т, рубероида — 4 тыс. рулонов, битума — 800 т, с доставкой в г. Ковров не позднее 15 января 1941 г.;</w:t>
      </w:r>
    </w:p>
    <w:p w14:paraId="7EE4B20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для завода № 66: леса пиленого — 4 тыс. куб. м, леса круглого — 3 тыс. куб. м, арматуры железной — 1 тыс. т и 4 тыс. т цемента с Косогорского завода с поставкой в I и II кварталах 1941 г.</w:t>
      </w:r>
    </w:p>
    <w:p w14:paraId="268EF34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Обязать Наркомсредмаш выделить целевым назначением в счет фондов Наркомата вооружения с поставкой в течение декабря 1940 г. и января 1941 г. для заводов № 2,  № 66 и № 74 на строительство, эксплуатацию и лесоразработки: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0"/>
        <w:gridCol w:w="914"/>
        <w:gridCol w:w="1004"/>
        <w:gridCol w:w="1267"/>
        <w:gridCol w:w="1267"/>
      </w:tblGrid>
      <w:tr w:rsidR="00983732" w:rsidRPr="00A3026E" w14:paraId="14B26BFC" w14:textId="77777777" w:rsidTr="007E425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51826A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[Автотранспорт]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A8F235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04C931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 по заводам</w:t>
            </w:r>
          </w:p>
        </w:tc>
      </w:tr>
      <w:tr w:rsidR="00983732" w:rsidRPr="00A3026E" w14:paraId="64C78A8A" w14:textId="77777777" w:rsidTr="007E425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BE56B9B"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B5DDEF9" w14:textId="77777777" w:rsidR="00C877C3" w:rsidRPr="00A3026E" w:rsidRDefault="00C877C3"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3FD55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75C9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8EB4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74</w:t>
            </w:r>
          </w:p>
        </w:tc>
      </w:tr>
      <w:tr w:rsidR="00983732" w:rsidRPr="00A3026E" w14:paraId="35CE719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1AB85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Грузовых автомашин (3 и 5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F6E4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7416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43C6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DC8D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r>
      <w:tr w:rsidR="00983732" w:rsidRPr="00A3026E" w14:paraId="6684BBA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E7878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Тракторов ЧТЗ</w:t>
            </w:r>
            <w:r w:rsidRPr="00A3026E">
              <w:rPr>
                <w:rFonts w:ascii="Times New Roman" w:hAnsi="Times New Roman"/>
                <w:color w:val="000000" w:themeColor="text1"/>
                <w:sz w:val="16"/>
                <w:szCs w:val="16"/>
              </w:rPr>
              <w:noBreakHyphen/>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6A38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B497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DCCD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75A6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344DBE5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20988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Автобусов ЗИС</w:t>
            </w:r>
            <w:r w:rsidRPr="00A3026E">
              <w:rPr>
                <w:rFonts w:ascii="Times New Roman" w:hAnsi="Times New Roman"/>
                <w:color w:val="000000" w:themeColor="text1"/>
                <w:sz w:val="16"/>
                <w:szCs w:val="16"/>
              </w:rPr>
              <w:noBreakHyphen/>
              <w:t>16 (для перевозки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8C4E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73C9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C692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B30D8"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5B5022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8BCA6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Легковых автомашин ЗИС</w:t>
            </w:r>
            <w:r w:rsidRPr="00A3026E">
              <w:rPr>
                <w:rFonts w:ascii="Times New Roman" w:hAnsi="Times New Roman"/>
                <w:color w:val="000000" w:themeColor="text1"/>
                <w:sz w:val="16"/>
                <w:szCs w:val="16"/>
              </w:rPr>
              <w:noBreakHyphen/>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181A0"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6C2A6"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626F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157D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0260E3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2104B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Легковых автомашин М</w:t>
            </w:r>
            <w:r w:rsidRPr="00A3026E">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E92D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3D19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D64E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3D45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bl>
    <w:p w14:paraId="4EFAEF3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Примечание к таблице:</w:t>
      </w:r>
    </w:p>
    <w:p w14:paraId="0BB848D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¹ Так в тексте.</w:t>
      </w:r>
    </w:p>
    <w:p w14:paraId="37CFD80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Обязать Наркомат электропромышленности (т. Богатырева) обеспечить поставку в I квартале 1941 г. заводу № 2 2 тыс. моторов, 48 электропечей и другого оборудования и электроматериалов для термических, оксидировочных и хромировочных цехов заводских подстанций и жилстроительство по спецификации и за счет Наркомата вооружения.</w:t>
      </w:r>
    </w:p>
    <w:p w14:paraId="3B9FF9B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Обязать исполком Ивановского областного Совета депутатов трудящихся и Ивановский обком ВКП(б) обеспечить завод № 2 в первом полугодии 1941 г. кирпичом в количестве 4 млн. шт. и другими местными материалами.</w:t>
      </w:r>
    </w:p>
    <w:p w14:paraId="033B7B2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Обязать исполком Тульского областного Совета депутатов трудящихся и Тульский обком ВКП(б) обеспечить в первом полугодии 1941 г. завод № 66 кирпичом в количестве 7 млн. шт. и другими местными материалами.</w:t>
      </w:r>
    </w:p>
    <w:p w14:paraId="1BF1792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Обязать Наркомлес (т. Салтыкова) отгрузить за счет фондов Наркомата вооружения 45 стандартных домов, из них: заводу № 2 Наркомата вооружения — 35 стандартных домов, заводу № 66 — 5 стандартных домов и заводу № 74 — 5 стандартных домов, с отгрузкой 30 стандартных домов к 25 декабря 1940 г. и 15 стандартных домов в январе 1941 г.</w:t>
      </w:r>
    </w:p>
    <w:p w14:paraId="19C217D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Обязать Наркомат тяжелого машиностроения (т. Ефремова):</w:t>
      </w:r>
    </w:p>
    <w:p w14:paraId="4619DDA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изготовить на Сестрорецком заводе им. Воскова 5 тыс. номеров (по 6 шт. в комплекте) мерительного инструмента и 7 тыс. номеров (по 50 шт. в комплекте) режущего инструмента по чертежам завода № 2 Наркомата вооружения и по его фондам;</w:t>
      </w:r>
    </w:p>
    <w:p w14:paraId="69588F1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изготовление инструмента и приспособлений производить по мере поступления чертежей с завода № 2 и закончить к 1 марта 1941 г.;</w:t>
      </w:r>
    </w:p>
    <w:p w14:paraId="0575DC7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поставить Наркомату вооружения в счет его фондов целевым назначением для завода № 2 металлорежущего оборудования в количестве 1102 ед., с отгрузкой: в I квартале 1941 г. — 400 ед., во II квартале 1941 г. — 300 ед. и в III квартале 1941 г. — 400 ед. (см. приложение). В счет этого количества к 20 декабря 1940 г. отгрузить заводу № 2 15 станков ДИП</w:t>
      </w:r>
      <w:r w:rsidRPr="00A3026E">
        <w:rPr>
          <w:rFonts w:ascii="Times New Roman" w:hAnsi="Times New Roman"/>
          <w:color w:val="000000" w:themeColor="text1"/>
          <w:sz w:val="16"/>
          <w:szCs w:val="16"/>
        </w:rPr>
        <w:noBreakHyphen/>
        <w:t>300</w:t>
      </w:r>
      <w:r w:rsidRPr="00A3026E">
        <w:rPr>
          <w:rFonts w:ascii="Times New Roman" w:hAnsi="Times New Roman"/>
          <w:color w:val="000000" w:themeColor="text1"/>
          <w:sz w:val="16"/>
          <w:szCs w:val="16"/>
        </w:rPr>
        <w:noBreakHyphen/>
        <w:t>200 для производства стволов и 20 вертикально-фрезерных станков типа 615.</w:t>
      </w:r>
    </w:p>
    <w:p w14:paraId="15969D4A"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Обязать Наркомат черной металлургии (т. Тевосяна):</w:t>
      </w:r>
    </w:p>
    <w:p w14:paraId="4E1CE93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 15 декабря 1940 г. поставить с заводов “Серп и молот” и “Электросталь” заводам № 2 и № 66 Наркомата вооружения в счет его фондов металл по спецификации заводов № 2 и № 66 в количестве 500 т и Сестрорецкому заводу целевым назначением для инструмента пулемета и пушек 60 т быстрореза и 100 т углеродистой инструментальной эмали;</w:t>
      </w:r>
    </w:p>
    <w:p w14:paraId="462C9C5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первоочередном порядке обеспечить в 1941 г. с заводов “Серп и молот” и “Электросталь” поставку заводам № 2 и № 66 Наркомата вооружения проката качественных конструкционных сталей, инструментальных сталей, быстрореза и штампованных деталей на программу авиационного вооружения по спецификации Наркомата вооружения и по его фондам.</w:t>
      </w:r>
    </w:p>
    <w:p w14:paraId="3876342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Обязать НКПС (т. Кагановича Л. М.) обеспечить перевозку металла и стройматериалов для заводов Наркомата вооружения № 2, № 66 и № 74 в первоочередном порядке.</w:t>
      </w:r>
    </w:p>
    <w:p w14:paraId="29BCB79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Обязать Наркомат боеприпасов (т. Сергеева) немедленно организовать производство звеньев к пулемету ДШК и расширить производство звеньев к пулемету БС, пушкам ШВАК и обеспечить Наркомат вооружения лафетно-пробными патронами к пушке 23</w:t>
      </w:r>
      <w:r w:rsidRPr="00A3026E">
        <w:rPr>
          <w:rFonts w:ascii="Times New Roman" w:hAnsi="Times New Roman"/>
          <w:color w:val="000000" w:themeColor="text1"/>
          <w:sz w:val="16"/>
          <w:szCs w:val="16"/>
        </w:rPr>
        <w:noBreakHyphen/>
        <w:t>мм для испытания на заводе в потребном количестве. На заводе № 2 с 1 января 1941 г. производство звеньев БС, ШВАК и ДШК прекратить.</w:t>
      </w:r>
    </w:p>
    <w:p w14:paraId="47DC888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Разгрузить завод № 2, сняв с производства с 1 января 1941 г. магазины для пулеметов ДП, ДТ и ППД, и передать на завод “Металлолампа”.</w:t>
      </w:r>
    </w:p>
    <w:p w14:paraId="726F81DB"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Передать завод “Металлолампа” из ведения Наркомместпрома РСФСР в ведение Наркомата вооружения СССР, освободив его от всех других видов гражданских изделий.</w:t>
      </w:r>
    </w:p>
    <w:p w14:paraId="3AD5995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Обязать:</w:t>
      </w:r>
    </w:p>
    <w:p w14:paraId="2F682593"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Ивановский обком ВКП(б) — к 1 февраля 1941 г. перебросить на завод № 2 500 чел. рабочих;</w:t>
      </w:r>
    </w:p>
    <w:p w14:paraId="49764E1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Татарский обком ВКП(б) — до мая месяца 1941 г. произвести вербовку 1,5 тыс. чел. рабочей силы для завода № 2 Наркомата вооружения.</w:t>
      </w:r>
    </w:p>
    <w:p w14:paraId="5A9FCD4F"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 Разрешить Наркомату вооружения (т. Ванникову) выделить заводу № 2 на строительство и оборудование 5 млн. руб. за счет средств, не использованных другими заводами Наркомата вооружения в 1940 г.</w:t>
      </w:r>
    </w:p>
    <w:p w14:paraId="3F942591"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 Разрешить Наркомторгу СССР производить снабжение завода № 2 в г. Ковров промышленными товарами и продуктами в централизованном порядке с 1 января 1941 г.</w:t>
      </w:r>
    </w:p>
    <w:p w14:paraId="31720BA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 Обязать Наркомат связи (т. Пересыпкина) для оперативной связи Наркомата вооружения с заводами авиационного вооружения № 2, № 66 и № 74 установить в течение декабря 1940 г. специальную телефонную связь по аппарату “ВЧ”.</w:t>
      </w:r>
    </w:p>
    <w:p w14:paraId="7F36200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 Разрешить Наркомату вооружения для систематической связи с заводами две легковых автомашины (наркома, замнаркома) пользовать в любое время, без ограничения для дальних поездок.</w:t>
      </w:r>
    </w:p>
    <w:p w14:paraId="5A77408C"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 В целях улучшения условий работы ОКБ</w:t>
      </w:r>
      <w:r w:rsidRPr="00A3026E">
        <w:rPr>
          <w:rFonts w:ascii="Times New Roman" w:hAnsi="Times New Roman"/>
          <w:color w:val="000000" w:themeColor="text1"/>
          <w:sz w:val="16"/>
          <w:szCs w:val="16"/>
        </w:rPr>
        <w:noBreakHyphen/>
        <w:t>16 мастерскую 1</w:t>
      </w:r>
      <w:r w:rsidRPr="00A3026E">
        <w:rPr>
          <w:rFonts w:ascii="Times New Roman" w:hAnsi="Times New Roman"/>
          <w:color w:val="000000" w:themeColor="text1"/>
          <w:sz w:val="16"/>
          <w:szCs w:val="16"/>
        </w:rPr>
        <w:noBreakHyphen/>
        <w:t>го ГПЗ, находящуюся на смежных площадях с ОКБ</w:t>
      </w:r>
      <w:r w:rsidRPr="00A3026E">
        <w:rPr>
          <w:rFonts w:ascii="Times New Roman" w:hAnsi="Times New Roman"/>
          <w:color w:val="000000" w:themeColor="text1"/>
          <w:sz w:val="16"/>
          <w:szCs w:val="16"/>
        </w:rPr>
        <w:noBreakHyphen/>
        <w:t>16, со всем оборудованием в трехдневный срок передать ОКБ</w:t>
      </w:r>
      <w:r w:rsidRPr="00A3026E">
        <w:rPr>
          <w:rFonts w:ascii="Times New Roman" w:hAnsi="Times New Roman"/>
          <w:color w:val="000000" w:themeColor="text1"/>
          <w:sz w:val="16"/>
          <w:szCs w:val="16"/>
        </w:rPr>
        <w:noBreakHyphen/>
        <w:t>16.</w:t>
      </w:r>
    </w:p>
    <w:p w14:paraId="2BF427E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 Разрешить Наркомату вооружения (т. Ванникову) переадресовать импортное оборудование заводам № 2, № 66 и № 74, идущее в адрес других заводов Наркомата вооружения.</w:t>
      </w:r>
    </w:p>
    <w:p w14:paraId="50AAC79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 Разрешить Наркомату вооружения сверхурочные и аккордные работы по заводам № 2, № 66 и № 74.</w:t>
      </w:r>
    </w:p>
    <w:p w14:paraId="42B7D86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 Установить на 1941 г., что при 100</w:t>
      </w:r>
      <w:r w:rsidRPr="00A3026E">
        <w:rPr>
          <w:rFonts w:ascii="Times New Roman" w:hAnsi="Times New Roman"/>
          <w:color w:val="000000" w:themeColor="text1"/>
          <w:sz w:val="16"/>
          <w:szCs w:val="16"/>
        </w:rPr>
        <w:noBreakHyphen/>
        <w:t>процентном выполнении заводом установленной ему месячной программы авиационных пушек и пулеметов руководящий состав завода (директор, начальники цехов, главный инженер, заместитель директора по материально-техническому снабжению, начальник производства и главный технолог) получают премию в размере месячного оклада при условии выполнения программы предыдущего месяца не менее чем на 90%.</w:t>
      </w:r>
    </w:p>
    <w:p w14:paraId="21F6AF02"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Совета народных комиссаров Союза ССРВ. Молотов.</w:t>
      </w:r>
    </w:p>
    <w:p w14:paraId="0FA4984D"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Секретарь Центрального комитета ВКП(б)И. Сталин.</w:t>
      </w:r>
    </w:p>
    <w:p w14:paraId="38737AC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Помета на первой странице документа: «Подлежит возврату в течение 24 часов в Особую группу секретного отдела Управления делами Совнаркома СССР».</w:t>
      </w:r>
    </w:p>
    <w:p w14:paraId="4139A544"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Пометы в конце документа: 1) «Ознакомился с п. 11 и с ведомостью по станкам. Ванников. 12 декабря 1940 г.», «Спунктом № 24 ознакомился Салтыков 13 декабря 1940 г.», 2) «Ознакомился. Протасов. 20 декабря», 3) «С п. 9 и 11 ознакомился. А. Шуков. 21 декабря 1940 г.».</w:t>
      </w:r>
    </w:p>
    <w:p w14:paraId="5B860967"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w:t>
      </w:r>
    </w:p>
    <w:p w14:paraId="40239D3E"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145" w:anchor="s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 Так в тексте. Правильно: 23</w:t>
      </w:r>
      <w:r w:rsidRPr="00A3026E">
        <w:rPr>
          <w:rFonts w:ascii="Times New Roman" w:hAnsi="Times New Roman"/>
          <w:color w:val="000000" w:themeColor="text1"/>
          <w:sz w:val="16"/>
          <w:szCs w:val="16"/>
        </w:rPr>
        <w:noBreakHyphen/>
        <w:t>мм.</w:t>
      </w:r>
    </w:p>
    <w:p w14:paraId="315431C9"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146" w:anchor="s2" w:history="1">
        <w:r w:rsidRPr="00A3026E">
          <w:rPr>
            <w:rFonts w:ascii="Times New Roman" w:hAnsi="Times New Roman"/>
            <w:color w:val="000000" w:themeColor="text1"/>
            <w:sz w:val="16"/>
            <w:szCs w:val="16"/>
          </w:rPr>
          <w:t>2</w:t>
        </w:r>
      </w:hyperlink>
      <w:r w:rsidRPr="00A3026E">
        <w:rPr>
          <w:rFonts w:ascii="Times New Roman" w:hAnsi="Times New Roman"/>
          <w:color w:val="000000" w:themeColor="text1"/>
          <w:sz w:val="16"/>
          <w:szCs w:val="16"/>
        </w:rPr>
        <w:t>] Приложения не публикуются (см. там же, Л. 273</w:t>
      </w:r>
      <w:r w:rsidRPr="00A3026E">
        <w:rPr>
          <w:rFonts w:ascii="Times New Roman" w:hAnsi="Times New Roman"/>
          <w:color w:val="000000" w:themeColor="text1"/>
          <w:sz w:val="16"/>
          <w:szCs w:val="16"/>
        </w:rPr>
        <w:noBreakHyphen/>
        <w:t>275).</w:t>
      </w:r>
    </w:p>
    <w:p w14:paraId="0606B2D5" w14:textId="77777777" w:rsidR="00C877C3" w:rsidRPr="00A3026E" w:rsidRDefault="00C877C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 РФ. Ф. Р-5446. Оп. 3ас. Д. 2. Л. 265-272. Заверенная копия (17010).</w:t>
      </w:r>
    </w:p>
    <w:p w14:paraId="4A073B71" w14:textId="77777777" w:rsidR="00C877C3" w:rsidRPr="00A3026E" w:rsidRDefault="00C877C3" w:rsidP="00A3026E">
      <w:pPr>
        <w:spacing w:after="0" w:line="240" w:lineRule="auto"/>
        <w:jc w:val="both"/>
        <w:rPr>
          <w:rFonts w:ascii="Times New Roman" w:hAnsi="Times New Roman"/>
          <w:color w:val="000000" w:themeColor="text1"/>
          <w:sz w:val="16"/>
          <w:szCs w:val="16"/>
        </w:rPr>
      </w:pPr>
    </w:p>
    <w:p w14:paraId="128042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года Постановлением Правительства и 18 декабря 1940 года приказом НКАП и НК легкой промышленности за № 30/750с завод № 469 был передан из НК легкой промышленности в соответствии.</w:t>
      </w:r>
    </w:p>
    <w:p w14:paraId="5D7F65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передачи завода в систему НКАП завод носил название завода № 2 им. М.М. Громова и находился в Солнечногорском районе Московской области.</w:t>
      </w:r>
    </w:p>
    <w:p w14:paraId="7B61AB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Основной вид продукции был – изготовление индивидуальных, групповых десантных, грузовых парашютов и десантного имущества.</w:t>
      </w:r>
    </w:p>
    <w:p w14:paraId="6D004F7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ликвидации парашютного производства, при передаче завода в НКАП, заводу предстояло организовать производство по выпуску радиаторов для самолетов.</w:t>
      </w:r>
    </w:p>
    <w:p w14:paraId="3FF473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1941 года завод в системе НКАП был переоборудован под выпуск нового вида продукции, т.е. радиаторов, производство которых быстро было освоено.</w:t>
      </w:r>
    </w:p>
    <w:p w14:paraId="1FFFBA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на основании Постановления Совета по эвакуации за № СЭ162сс от 11 октября 1941 года был эвакуирован в Горький.</w:t>
      </w:r>
    </w:p>
    <w:p w14:paraId="3091B3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Горький 34, п/я 397</w:t>
      </w:r>
    </w:p>
    <w:p w14:paraId="608D1A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Эвакуация завода была проведена с 19 октября по 8 ноября 1941 года. В Горьком заводу № 469 предстояло занять вновь строющуюся площадку завода № 285, который впоследствии и был влит в завод № 469. На базе строительной площадки завода № 285 построен завод № 469 (9607).</w:t>
      </w:r>
    </w:p>
    <w:p w14:paraId="203446B7"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089A8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года вышло Постановление СНК и ЦК ВКП(б) о переводе завода № 116 на серийное производство самолетов (9250).</w:t>
      </w:r>
    </w:p>
    <w:p w14:paraId="0C22931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572CB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года в соответствии с Постановлением СНК и ЦК ВКП(б) с 1941 заводу № 116 была установлена программа по серийному выпуску самолетов типа УТ-2, а в 1947 году параллельно с производством самолетов УТ-2 и катеров КС-1 (запланированных заводу в 1946 году) была утверждена программа по освоению и серийному выпуску цельнометаллического самолета ЯК-18.</w:t>
      </w:r>
    </w:p>
    <w:p w14:paraId="400432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приказом МАП от 6 января 1955 года за № 3сс/ов в 1955 году завод перешел на серийное производство самолета ЯК-18У, выпуск которого прекращен в четвертом квартале 1957 года в связи с переходом на серийное производство самолета ЯК-18А.</w:t>
      </w:r>
    </w:p>
    <w:p w14:paraId="7C0DA38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г. Арсеньев Приморского края</w:t>
      </w:r>
    </w:p>
    <w:p w14:paraId="324863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Площадка завода находится в районе г. Арсеньев в 278 км от Владивостока.</w:t>
      </w:r>
    </w:p>
    <w:p w14:paraId="1E102C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Производственный профиль – серийный выпуск самолета ЯК-18А В 1956 году параллельно с выпуском самолета ЯК-18У завод приступил к серийному производству деревянного планера ЛФ-109 «Пионер», выпуск которого прекращен в третьем квартале 1957 года в связи с переходом на серийный выпуск планера «Приморец» цельнометаллической конструкции (9675).</w:t>
      </w:r>
    </w:p>
    <w:p w14:paraId="6D98598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8B0BE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СНК и ЦК выпустили постановление "Об ответственности наркомов, директоров предприятий и начальников железных дорог за выполнение заказов и перевозку грузов АП" (66,210). Постановление вышло специально для НКАП и его смежников. Было сказано давать вагоны не более, чем в суточный срок и ввели личную ответственность наркомов за соблюдение графиков поставок материалов и изделий авиазаводам (173,200).</w:t>
      </w:r>
    </w:p>
    <w:p w14:paraId="7F8948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Давили - как могли.</w:t>
      </w:r>
    </w:p>
    <w:p w14:paraId="50BFCC25"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690780AE" w14:textId="77777777" w:rsidR="008F5E79" w:rsidRPr="00A3026E" w:rsidRDefault="008F5E79" w:rsidP="00A3026E">
      <w:pPr>
        <w:spacing w:after="0" w:line="240" w:lineRule="auto"/>
        <w:jc w:val="both"/>
        <w:rPr>
          <w:rFonts w:ascii="Times New Roman" w:eastAsia="Times New Roman" w:hAnsi="Times New Roman"/>
          <w:color w:val="000000" w:themeColor="text1"/>
          <w:sz w:val="16"/>
          <w:szCs w:val="16"/>
        </w:rPr>
      </w:pPr>
      <w:r w:rsidRPr="00A3026E">
        <w:rPr>
          <w:rFonts w:ascii="Times New Roman" w:eastAsia="Times New Roman" w:hAnsi="Times New Roman"/>
          <w:color w:val="000000" w:themeColor="text1"/>
          <w:sz w:val="16"/>
          <w:szCs w:val="16"/>
        </w:rPr>
        <w:t>7 декабря 1940 года были подписаны тактико-техническом задании на разработку более совершенной установки (“модернизированная установка для РС” по терминологии документов тех лет), в которых предусматривалось:</w:t>
      </w:r>
    </w:p>
    <w:p w14:paraId="5FE079DC" w14:textId="77777777" w:rsidR="008F5E79" w:rsidRPr="00A3026E" w:rsidRDefault="008F5E79" w:rsidP="00A3026E">
      <w:pPr>
        <w:spacing w:after="0" w:line="240" w:lineRule="auto"/>
        <w:jc w:val="both"/>
        <w:rPr>
          <w:rFonts w:ascii="Times New Roman" w:eastAsia="Times New Roman" w:hAnsi="Times New Roman"/>
          <w:color w:val="000000" w:themeColor="text1"/>
          <w:sz w:val="16"/>
          <w:szCs w:val="16"/>
        </w:rPr>
      </w:pPr>
      <w:r w:rsidRPr="00A3026E">
        <w:rPr>
          <w:rFonts w:ascii="Times New Roman" w:eastAsia="Times New Roman" w:hAnsi="Times New Roman"/>
          <w:color w:val="000000" w:themeColor="text1"/>
          <w:sz w:val="16"/>
          <w:szCs w:val="16"/>
        </w:rPr>
        <w:t>- провести конструктивные улучшения подъемно-поворотного устройства;</w:t>
      </w:r>
    </w:p>
    <w:p w14:paraId="41AFE748" w14:textId="77777777" w:rsidR="008F5E79" w:rsidRPr="00A3026E" w:rsidRDefault="008F5E79" w:rsidP="00A3026E">
      <w:pPr>
        <w:spacing w:after="0" w:line="240" w:lineRule="auto"/>
        <w:jc w:val="both"/>
        <w:rPr>
          <w:rFonts w:ascii="Times New Roman" w:eastAsia="Times New Roman" w:hAnsi="Times New Roman"/>
          <w:color w:val="000000" w:themeColor="text1"/>
          <w:sz w:val="16"/>
          <w:szCs w:val="16"/>
        </w:rPr>
      </w:pPr>
      <w:r w:rsidRPr="00A3026E">
        <w:rPr>
          <w:rFonts w:ascii="Times New Roman" w:eastAsia="Times New Roman" w:hAnsi="Times New Roman"/>
          <w:color w:val="000000" w:themeColor="text1"/>
          <w:sz w:val="16"/>
          <w:szCs w:val="16"/>
        </w:rPr>
        <w:t>- увеличить угол горизонтального наведения, произвести упрощения прицельного приспособления;</w:t>
      </w:r>
    </w:p>
    <w:p w14:paraId="14488063" w14:textId="77777777" w:rsidR="008F5E79" w:rsidRPr="00A3026E" w:rsidRDefault="008F5E79" w:rsidP="00A3026E">
      <w:pPr>
        <w:spacing w:after="0" w:line="240" w:lineRule="auto"/>
        <w:jc w:val="both"/>
        <w:rPr>
          <w:rFonts w:ascii="Times New Roman" w:eastAsia="Times New Roman" w:hAnsi="Times New Roman"/>
          <w:color w:val="000000" w:themeColor="text1"/>
          <w:sz w:val="16"/>
          <w:szCs w:val="16"/>
        </w:rPr>
      </w:pPr>
      <w:r w:rsidRPr="00A3026E">
        <w:rPr>
          <w:rFonts w:ascii="Times New Roman" w:eastAsia="Times New Roman" w:hAnsi="Times New Roman"/>
          <w:color w:val="000000" w:themeColor="text1"/>
          <w:sz w:val="16"/>
          <w:szCs w:val="16"/>
        </w:rPr>
        <w:t>Предусматривалось также:</w:t>
      </w:r>
    </w:p>
    <w:p w14:paraId="3C721787" w14:textId="77777777" w:rsidR="008F5E79" w:rsidRPr="00A3026E" w:rsidRDefault="008F5E79" w:rsidP="00A3026E">
      <w:pPr>
        <w:spacing w:after="0" w:line="240" w:lineRule="auto"/>
        <w:jc w:val="both"/>
        <w:rPr>
          <w:rFonts w:ascii="Times New Roman" w:eastAsia="Times New Roman" w:hAnsi="Times New Roman"/>
          <w:color w:val="000000" w:themeColor="text1"/>
          <w:sz w:val="16"/>
          <w:szCs w:val="16"/>
        </w:rPr>
      </w:pPr>
      <w:r w:rsidRPr="00A3026E">
        <w:rPr>
          <w:rFonts w:ascii="Times New Roman" w:eastAsia="Times New Roman" w:hAnsi="Times New Roman"/>
          <w:color w:val="000000" w:themeColor="text1"/>
          <w:sz w:val="16"/>
          <w:szCs w:val="16"/>
        </w:rPr>
        <w:t>- увеличение длины направляющих до 6000 мм и 7000 мм вместо существующих 5000 мм;</w:t>
      </w:r>
    </w:p>
    <w:p w14:paraId="7FFD6D68" w14:textId="77777777" w:rsidR="008F5E79" w:rsidRPr="00A3026E" w:rsidRDefault="008F5E79" w:rsidP="00A3026E">
      <w:pPr>
        <w:spacing w:after="0" w:line="240" w:lineRule="auto"/>
        <w:jc w:val="both"/>
        <w:rPr>
          <w:rFonts w:ascii="Times New Roman" w:eastAsia="Times New Roman" w:hAnsi="Times New Roman"/>
          <w:color w:val="000000" w:themeColor="text1"/>
          <w:sz w:val="16"/>
          <w:szCs w:val="16"/>
        </w:rPr>
      </w:pPr>
      <w:r w:rsidRPr="00A3026E">
        <w:rPr>
          <w:rFonts w:ascii="Times New Roman" w:eastAsia="Times New Roman" w:hAnsi="Times New Roman"/>
          <w:color w:val="000000" w:themeColor="text1"/>
          <w:sz w:val="16"/>
          <w:szCs w:val="16"/>
        </w:rPr>
        <w:t>- возможность стрельбы неуправляемыми реактивными снарядами калибра 132 мм и 180 мм (15981).</w:t>
      </w:r>
    </w:p>
    <w:p w14:paraId="385B270B" w14:textId="77777777" w:rsidR="008F5E79" w:rsidRPr="00A3026E" w:rsidRDefault="008F5E79" w:rsidP="00A3026E">
      <w:pPr>
        <w:spacing w:after="0" w:line="240" w:lineRule="auto"/>
        <w:jc w:val="both"/>
        <w:rPr>
          <w:rFonts w:ascii="Times New Roman" w:hAnsi="Times New Roman"/>
          <w:color w:val="000000" w:themeColor="text1"/>
          <w:sz w:val="16"/>
          <w:szCs w:val="16"/>
        </w:rPr>
      </w:pPr>
    </w:p>
    <w:p w14:paraId="535DBC48" w14:textId="77777777" w:rsidR="00E915A4" w:rsidRPr="00A3026E" w:rsidRDefault="00E915A4" w:rsidP="00A3026E">
      <w:pPr>
        <w:pStyle w:val="ae"/>
        <w:shd w:val="clear" w:color="auto" w:fill="FFFFFF"/>
        <w:spacing w:before="0" w:after="0"/>
        <w:jc w:val="both"/>
        <w:rPr>
          <w:color w:val="0070C0"/>
          <w:sz w:val="16"/>
          <w:szCs w:val="16"/>
        </w:rPr>
      </w:pPr>
      <w:r w:rsidRPr="00A3026E">
        <w:rPr>
          <w:color w:val="0070C0"/>
          <w:sz w:val="16"/>
          <w:szCs w:val="16"/>
        </w:rPr>
        <w:t>7 декабря 1940 года Ю.П. Победоносцев подписал тактико-техническом задании на разработку более совершенной установки (“модернизированная установка для РС” по терминологии документов тех лет). Предусматривалось: провести конструктивные улучшения подъемно-поворотного устройства, увеличить угол горизонтального наведения, произвести упрощения прицельного приспособления. Предусматривалось также увеличение длины направляющих до 6000 мм вместо существующих 5000 мм, а также возможность стрельбы неуправляемыми реактивными снарядами калибра 132 мм и 180 мм. На совещании при техническом отделе Народного комиссариата боеприпасов длину направляющих решено было увеличить даже до 7000 мм. Срок сдачи чертежей наметили на октябрь 1941 года. Тем не менее для проведения различного рода испытаний в мастерских НИИ № 3 в 1940 – 1941 годах было изготовлено несколько (дополнительно к существующей) модернизированных установок для РС. Общее число в разных источниках указывается различное: в одних – шесть, в других – семь. В данных архива НИИ № 3 по состоянию на 10 января 1941 года имеются данные о 7 штуках. (из документа о готовности объекта 224 (тема 24 сверхплана, опытная серия автоустановок для стрельбы РС-132 мм (в количестве семи штук. См. письмо УАНА ГАУ №668059) В одном из источников архива Центра Келдыша утверждается, что установок было восемь, но в разное время. На 28 февраля 1941 года их было шесть (21476).</w:t>
      </w:r>
    </w:p>
    <w:p w14:paraId="4E0CE701" w14:textId="77777777" w:rsidR="00E915A4" w:rsidRPr="00A3026E" w:rsidRDefault="00E915A4" w:rsidP="00A3026E">
      <w:pPr>
        <w:pStyle w:val="ae"/>
        <w:shd w:val="clear" w:color="auto" w:fill="FFFFFF"/>
        <w:spacing w:before="0" w:after="0"/>
        <w:jc w:val="both"/>
        <w:rPr>
          <w:color w:val="0070C0"/>
          <w:sz w:val="16"/>
          <w:szCs w:val="16"/>
        </w:rPr>
      </w:pPr>
    </w:p>
    <w:p w14:paraId="7C56D944" w14:textId="77777777" w:rsidR="00E915A4" w:rsidRPr="00A3026E" w:rsidRDefault="00E915A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декабря 1940 года было принято постановление ЦК ВКП(б) и СНК СССР № 2475-1104сс о передаче парашютного завода № 2 в систему Наркомата авиационной промышленности (РГАЭ. Ф. 7604. Оп. 12. Д. 71. Л. 6). Фактически такое решение вело к ликвидации базы по изготовлению грузового парашютно-десантного имущества, а вместе с этим терялись создававшиеся с большим трудом в течение 8 лет рабочие кадры. В результате передачи мощного парашютного предприятия другому ведомству под угрозу срыва ставился план размещения текущих военных заказов (ТВЗ) на 1941 год.</w:t>
      </w:r>
    </w:p>
    <w:p w14:paraId="2ADA0A54" w14:textId="77777777" w:rsidR="00E915A4" w:rsidRPr="00A3026E" w:rsidRDefault="00E915A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этом мобилизационное задание было повышено. В частности, по плану ТВЗ на 1941 год необходимо было изготовить 43.000 парашютов для летчиков, 36.000 десантных парашютов, 50.000 парашютов к осветительным снарядам «ПОС», 25.000 парашютов для противолодочных авиабомб «ПЛАБ» и много другого парашютного имущества. Так, если первоначально парашютный завод № 1 должен был изготовить и сдать в 1941 году 71,4 тыс. людских парашютов (из них 27,6 тыс. с двумя куполами) вместо 38.0 тыс. парашютов в 1940 году, то по мобзаданию этому заводу ставилась задача изготовить в 1941 году 112 тыс. парашютов для летчиков, 43.100 десантных парашютов из 73.100, а также 2.500 парашютов людских универсальных и 1.000 тренировочных парашютов (21402).</w:t>
      </w:r>
    </w:p>
    <w:p w14:paraId="09CAFF7A" w14:textId="77777777" w:rsidR="00E915A4" w:rsidRPr="00A3026E" w:rsidRDefault="00E915A4" w:rsidP="00A3026E">
      <w:pPr>
        <w:spacing w:after="0" w:line="240" w:lineRule="auto"/>
        <w:jc w:val="both"/>
        <w:rPr>
          <w:rFonts w:ascii="Times New Roman" w:hAnsi="Times New Roman"/>
          <w:color w:val="0070C0"/>
          <w:sz w:val="16"/>
          <w:szCs w:val="16"/>
        </w:rPr>
      </w:pPr>
    </w:p>
    <w:p w14:paraId="1BF5990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37FB8432"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470B3A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 вышло постановление СНК И ЦК ВКП(б) N 2473-1102сс по авиаснарядам в соответствии с которым были созданы новые снарядные заводы: 508, 510, 512, 513 (3355).</w:t>
      </w:r>
    </w:p>
    <w:p w14:paraId="14E0318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7D8A79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года вышло Постановления СНК и ЦК ВКП(б) № 2473-1102с о проведении сравнительных испытаний ряда опытных образцов 23 мм и 20 мм бронебойно-зажигательных снарядов и 12,7 мм бронебойно-зажигательных пуль с целью выбора наилучшей конструкции их для запуска в валовое производство (7711, 329-333).</w:t>
      </w:r>
    </w:p>
    <w:p w14:paraId="4DA2116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D81F2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 закончились шедшие с 31 октября согласно директиве НКО СССР от 25 октября 1940 г. контрольные испытания трех новых серийных танков Т-34 — длительный пробег с отрывом от базы и отстрелом огневых задач. За 14 ходовых дней они прошли 2680 км по маршруту Харьков-Серпухов-Смоленск-Киев-Харьков, израсходовав 129 часов моторесурса. «Выводы комиссии были неожиданными и неутешительными. По ее мнению, Т-34 не удовлетворял современным требованиям к данному классу танков по следующим причинам: а) огневая мощь танка не могла быть использована полностью вследствие непригодности приборов наблюдения, дефектов установки вооружения и оптики, тесноты боевого отделения и неудобства пользования боеукладкой; б) при достаточном запасе мощности дизеля максимальные скорости и динамическая характеристика танка подобраны неудачно, что снижает скоростные показатели и проходимость танка; в) тактическое использование танка в отрыве от ремонтных баз невозможно вследствие ненадежности основных узлов — главного фрикциона и ходовой части. Выводы комиссии были рассмотрены на Военном Совете и утверждены Маршалом Советского Союза Г.И. Куликом. Военпредам завода было дано указание прекратить приемку танков Т-34 и возобновить приемку танков БТ-7М с пушкой КТ-26» [126, с. 191-192]. Руководство завода с этим не согласилось и добилось компромиссного решения: выпуск Т-34 с сокращенным до 1000 км гарантийным пробегом временно продолжить, но начать срочную модернизацию танка. В течение нескольких месяцев КБ А. А. Морозова разработало Т-34М. «Тридцатьчетверкой» машину назвали по недоразумению, ибо была она совершенно иным танком: новый корпус, башня улучшенной конструкции, новая компоновка, новая ходовая часть с катками уменьшенного диаметра. Под Т-34М конвейер завода № 183 и начали переоборудовать. Протестов Морозова и главного инженера завода С.Н. Махонина никто не слушал: из полученных бронеплит шла закладка новых корпусов, во всех цехах началось изготовление новых узлов и деталей. С неотработанными чертежами и без испытаний опытного образца, которого в металле просто не существовало (11438).</w:t>
      </w:r>
    </w:p>
    <w:p w14:paraId="5D3C774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3B82120" w14:textId="77777777" w:rsidR="00046639" w:rsidRPr="00A3026E" w:rsidRDefault="0004663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 письмом № СО6585 завод № 92 был уведомлен о том, чтобы броневая защита, являвшаяся, по его мнению директора завода № 183 Ю.Е. Максарева «неотъемлемой частью системы», должна изготавливалаться на заводе № 92 и поставляться на завод № 183 комплектно с пушками Ф-34, и естественно с такой постановкой вопроса не согласилось. В </w:t>
      </w:r>
      <w:hyperlink r:id="rId147" w:tgtFrame="_blank" w:history="1">
        <w:r w:rsidRPr="00A3026E">
          <w:rPr>
            <w:rStyle w:val="a5"/>
            <w:rFonts w:ascii="Times New Roman" w:hAnsi="Times New Roman"/>
            <w:color w:val="000000" w:themeColor="text1"/>
            <w:sz w:val="16"/>
            <w:szCs w:val="16"/>
          </w:rPr>
          <w:t>письме № 90/5753</w:t>
        </w:r>
      </w:hyperlink>
      <w:r w:rsidRPr="00A3026E">
        <w:rPr>
          <w:rFonts w:ascii="Times New Roman" w:hAnsi="Times New Roman"/>
          <w:color w:val="000000" w:themeColor="text1"/>
          <w:sz w:val="16"/>
          <w:szCs w:val="16"/>
        </w:rPr>
        <w:t> от 16 декабря 1940 г., адресованном начальнику 3-го отдела БТУ ГАБТУ КА С.А. Афонину и директору завода № 183 Ю.Е. Максареву, директор завода № 92 А.С. Елян сообщил: </w:t>
      </w:r>
    </w:p>
    <w:p w14:paraId="79DBB604" w14:textId="77777777" w:rsidR="00046639" w:rsidRPr="00A3026E" w:rsidRDefault="0004663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разработке системы Ф-34 завод № 92 был ориентирован, что бронезащиту будет изготовлять и устанавливать завод № 183. Брать на себя обязательство по поставке бронезащиты завод № 92 не может, т.к. не имеет опыта в изготовлении броневых деталей. Завод № 183 до настоящего времени при установке в танки других систем изготовление и установку бронезащиты производил у себя. Считаем, что изготовление и установка бронезащиты системы Ф-34 также должна производиться на заводе № 183».</w:t>
      </w:r>
    </w:p>
    <w:p w14:paraId="7CE2BF25" w14:textId="77777777" w:rsidR="00046639" w:rsidRPr="00A3026E" w:rsidRDefault="0004663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978. Л. 373]</w:t>
      </w:r>
    </w:p>
    <w:p w14:paraId="21CBECD9" w14:textId="77777777" w:rsidR="00046639" w:rsidRPr="00A3026E" w:rsidRDefault="0004663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Переписка по этому вопросу между НКВ, Главспецмашем НКСМ, заводами № 92, № 183, ГАБТУ КА и ГАУ КА продолжалась почти до середины января 1941 г. </w:t>
      </w:r>
    </w:p>
    <w:p w14:paraId="274A04CB" w14:textId="77777777" w:rsidR="00046639" w:rsidRPr="00A3026E" w:rsidRDefault="0004663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Следует отметить, что чертежи броневой защиты пушки Ф-34, разработанные конструкторами завода № 92, были отправлены в Харьков на завод № 183 только 4 декабря 1940 г., то есть с опозданием почти в три недели от оговоренного срока. Броневая защита пушки состояла из корпуса защиты противооткатных устройств (далее – ПОУ), лобовой крышки защиты ПОУ и щита, перекрывавшего пространство между лобовым листом башни и маской пушки. Из-за достаточно сложной формы и неравномерной толщины спроектированных броневых деталей их предполагалось делать литыми. После изучения полученных чертежей руководство завода № 183 </w:t>
      </w:r>
      <w:hyperlink r:id="rId148" w:tgtFrame="_blank" w:history="1">
        <w:r w:rsidRPr="00A3026E">
          <w:rPr>
            <w:rStyle w:val="a5"/>
            <w:rFonts w:ascii="Times New Roman" w:hAnsi="Times New Roman"/>
            <w:color w:val="000000" w:themeColor="text1"/>
            <w:sz w:val="16"/>
            <w:szCs w:val="16"/>
          </w:rPr>
          <w:t>письмом № СО6830</w:t>
        </w:r>
      </w:hyperlink>
      <w:r w:rsidRPr="00A3026E">
        <w:rPr>
          <w:rFonts w:ascii="Times New Roman" w:hAnsi="Times New Roman"/>
          <w:color w:val="000000" w:themeColor="text1"/>
          <w:sz w:val="16"/>
          <w:szCs w:val="16"/>
        </w:rPr>
        <w:t> уведомило все заинтересованные стороны о том, что разработанная заводом № 92 броневая защита пушки Ф-34 не является равнопрочной броневой защите башни танка Т-34 и, следовательно, не удовлетворяет требованиям, изложенным в Постановлении КО № 428сс: </w:t>
      </w:r>
    </w:p>
    <w:p w14:paraId="5DA6AFEB" w14:textId="77777777" w:rsidR="00046639" w:rsidRPr="00A3026E" w:rsidRDefault="0004663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 92 толщина бронировки запроектирована в передней части 35 мм, с боков по 30 мм и в наклонной верхней части по 18 мм (дет. 09-89) и толщина передней крышки запроектирована в 30 мм (дет. 09-57). </w:t>
      </w:r>
    </w:p>
    <w:p w14:paraId="5EB7B1D8" w14:textId="77777777" w:rsidR="00046639" w:rsidRPr="00A3026E" w:rsidRDefault="0004663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Указанные толщины бронировки системы Ф-34 являются неравнопрочными корпусу башни, поэтому просим срочно разработать утолщенную бронировку системы в соответствии с требованием комитета Обороны при СНК Союза ССР. Боковые стенки башни маш. Т-34 имеют толщину 45 мм. Крыша и днище башни имеют толщину 20 мм».</w:t>
      </w:r>
    </w:p>
    <w:p w14:paraId="482EA5C0" w14:textId="77777777" w:rsidR="00046639" w:rsidRPr="00A3026E" w:rsidRDefault="0004663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978. Л. 375]</w:t>
      </w:r>
    </w:p>
    <w:p w14:paraId="4099A160" w14:textId="77777777" w:rsidR="00046639" w:rsidRPr="00A3026E" w:rsidRDefault="0004663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Но, несмотря на это, чертежи броневой защиты пушки Ф-34 были утверждены представителем ГАБТУ КА майором В.И. Гороховым как временные со сроком действия до 1 февраля 1941 г. и с требованием предварительного обстрела ввиду неравнопрочности бронировки с корпусом башни. Утвержденные чертежи незамедлительно были отправлены из Харькова на Мариупольский завод им. Ильича, являвшегося основным производителем броневых деталей для танка Т-34. Однако руководство Мариупольского завода категорически отказалось изготавливать броневые детали защиты пушки Ф-34 по представленным чертежам, ссылаясь главным образом на то, что разработанная заводом № 92 конструкция деталей не удовлетворяла производственным требованиям на броневое литье. Вторая причина отказа Мариупольского от изготовления литых броневых деталей защиты пушки Ф-34 заключалась в том, что все производственные мощности сталелитейного цеха завода были полностью задействованы в производстве литых корпусов башен танка Т-34. В связи с этим 23 декабря 1940 г. руководство Мариупольского завода в письме № 6557 потребовало от завода № 183 перевести броневые детали защиты пушки Ф-34 на изготовление штамповкой (18533).</w:t>
      </w:r>
    </w:p>
    <w:p w14:paraId="60D0A58E" w14:textId="77777777" w:rsidR="00046639" w:rsidRPr="00A3026E" w:rsidRDefault="00046639" w:rsidP="00A3026E">
      <w:pPr>
        <w:spacing w:after="0" w:line="240" w:lineRule="auto"/>
        <w:jc w:val="both"/>
        <w:rPr>
          <w:rFonts w:ascii="Times New Roman" w:hAnsi="Times New Roman"/>
          <w:color w:val="000000" w:themeColor="text1"/>
          <w:sz w:val="16"/>
          <w:szCs w:val="16"/>
        </w:rPr>
      </w:pPr>
    </w:p>
    <w:p w14:paraId="3F6C35F1"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w:t>
      </w:r>
    </w:p>
    <w:p w14:paraId="355E33F8"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170. Докладная записка начальника специального технического бюро Наркомата тяжелого машиностроения СССР Н. А. Рудакова секретарю ЦК ВКП(б) И. В. Сталину о необходимости сосредоточения руководства производством танков и танковой брони в одном наркомате[</w:t>
      </w:r>
      <w:hyperlink r:id="rId149" w:anchor="p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w:t>
      </w:r>
    </w:p>
    <w:p w14:paraId="79FC8DA1"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Источник: </w:t>
      </w:r>
    </w:p>
    <w:p w14:paraId="68D23FD7"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673-674.</w:t>
      </w:r>
    </w:p>
    <w:p w14:paraId="64E7F9BD"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Архив: </w:t>
      </w:r>
    </w:p>
    <w:p w14:paraId="3264B14F"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РГАСПИ. Ф. 82. Оп. 2. Д. 572. Л. 14-16. Подлинник.</w:t>
      </w:r>
    </w:p>
    <w:p w14:paraId="5BF301E2"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Совершенно секретно.</w:t>
      </w:r>
    </w:p>
    <w:p w14:paraId="149C214F"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 современных войн показывает, что авиация, крупные танковые и мотомеханизированные соединения, морской флот и артиллерия являются важнейшими родами войск. Техническим оснащением этих родов войск в Союзе ССР занимаются соответственно наркоматы: авиационной, судостроительной промышленности и вооружений.</w:t>
      </w:r>
    </w:p>
    <w:p w14:paraId="44B67DE2"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Исключение составляют танки и бронеавтомобили, производство которых рассредоточено по разным наркоматам, целевое назначение которых ни в какой мере не связано с бронеавтотанкостроением. Так, например, броню для танков поставляют заводы НКСудпрома, моторы — заводы НКАвиапрома и НКСредмаша, вооружение заводы НКТяжмаша, сборка и начинка корпусов производится на заводах НКТяжмаша и НКСредмаша.</w:t>
      </w:r>
    </w:p>
    <w:p w14:paraId="28082B0F"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Такое положение создает много организационных неувязок, тормозит быстрое и правильно технически направленное качественное и количественное развитие нашего танкостроения, и оно оказывается на сегодня довольно отсталой отраслью.</w:t>
      </w:r>
    </w:p>
    <w:p w14:paraId="5C689DC3"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это так, подтверждает опыт военных действий против белофиннов в конце прошлого и начале текущего года.</w:t>
      </w:r>
    </w:p>
    <w:p w14:paraId="34792E56"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Относительная техническая отсталость нашего танкостроения состоит прежде всего в том, что имеющиеся танки вообще тихоходны, оборудованы они преимущественно авиационными моторами. Хороших мощных моторов для тяжелых танков различных типов не имеется, серьезная работа над созданием таких моторов, особенно легких дизель-моторов, практически не поставлена. Единственный дизель-мотор, принятый для танка КВ, недостаточно отработан, не гарантирует длительной бесперебойной работы в условиях эксплуатации.</w:t>
      </w:r>
    </w:p>
    <w:p w14:paraId="27F373AF"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Быстроходные танки Т</w:t>
      </w:r>
      <w:r w:rsidRPr="00A3026E">
        <w:rPr>
          <w:rFonts w:ascii="Times New Roman" w:hAnsi="Times New Roman"/>
          <w:color w:val="000000" w:themeColor="text1"/>
          <w:sz w:val="16"/>
          <w:szCs w:val="16"/>
        </w:rPr>
        <w:noBreakHyphen/>
        <w:t>26, Т</w:t>
      </w:r>
      <w:r w:rsidRPr="00A3026E">
        <w:rPr>
          <w:rFonts w:ascii="Times New Roman" w:hAnsi="Times New Roman"/>
          <w:color w:val="000000" w:themeColor="text1"/>
          <w:sz w:val="16"/>
          <w:szCs w:val="16"/>
        </w:rPr>
        <w:noBreakHyphen/>
        <w:t>28 имели противопульную броню, не могущую сопротивляться снарядам даже малого калибра, и потому в последнее время сняты с производства.</w:t>
      </w:r>
    </w:p>
    <w:p w14:paraId="41A9BD44"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Т</w:t>
      </w:r>
      <w:r w:rsidRPr="00A3026E">
        <w:rPr>
          <w:rFonts w:ascii="Times New Roman" w:hAnsi="Times New Roman"/>
          <w:color w:val="000000" w:themeColor="text1"/>
          <w:sz w:val="16"/>
          <w:szCs w:val="16"/>
        </w:rPr>
        <w:noBreakHyphen/>
        <w:t>34 только начинает внедряться и еще далеко не освоен в производстве. Хороший по конструкции танк КВ имеет броню, легко пробиваемую остроголовыми снарядами 76</w:t>
      </w:r>
      <w:r w:rsidRPr="00A3026E">
        <w:rPr>
          <w:rFonts w:ascii="Times New Roman" w:hAnsi="Times New Roman"/>
          <w:color w:val="000000" w:themeColor="text1"/>
          <w:sz w:val="16"/>
          <w:szCs w:val="16"/>
        </w:rPr>
        <w:noBreakHyphen/>
        <w:t>мм калибра. Невысокое качество брони этого танка объясняется тем, что в производство ее (на заводах НКСудпрома), неправильно заложены принципы, принятые для корабельной брони. Танковую броню, как и корабельную, стремятся получить более вязкой, не учитывая, что корабельная броня предназначена для работы против снарядов большого калибра, имеющих большую массу, тогда как танковая должна работать против снарядов с большими начальными скоростями и потому быть более твердой. Этот факт еще недостаточно осознан специалистами, хотя кое-где уже делаются первые попытки получить тяжелую танковую броню высокой твердости.</w:t>
      </w:r>
    </w:p>
    <w:p w14:paraId="27CEB87D"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наличие прочных остроголовых снарядов, на вооружение танка КВ почему-то приняты только тупоголовые снаряды 76</w:t>
      </w:r>
      <w:r w:rsidRPr="00A3026E">
        <w:rPr>
          <w:rFonts w:ascii="Times New Roman" w:hAnsi="Times New Roman"/>
          <w:color w:val="000000" w:themeColor="text1"/>
          <w:sz w:val="16"/>
          <w:szCs w:val="16"/>
        </w:rPr>
        <w:noBreakHyphen/>
        <w:t>мм калибра системы инженера Гартца, значительно уступающие первым по способности пробивать гомогенную броню.</w:t>
      </w:r>
    </w:p>
    <w:p w14:paraId="408864A2"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границей в танковом производстве начали широко применять бронеотливки. Захваченные на польском и финском фронтах танки иностранного происхождения имеют башни и другие узлы из литой гомогенной брони.</w:t>
      </w:r>
    </w:p>
    <w:p w14:paraId="4B8970CB"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статье Андре Моруа “Как Франция проиграла войну”, опубликованной в газете “Правда” № 318</w:t>
      </w:r>
      <w:r w:rsidRPr="00A3026E">
        <w:rPr>
          <w:rFonts w:ascii="Times New Roman" w:hAnsi="Times New Roman"/>
          <w:color w:val="000000" w:themeColor="text1"/>
          <w:sz w:val="16"/>
          <w:szCs w:val="16"/>
        </w:rPr>
        <w:noBreakHyphen/>
        <w:t>319 от 16</w:t>
      </w:r>
      <w:r w:rsidRPr="00A3026E">
        <w:rPr>
          <w:rFonts w:ascii="Times New Roman" w:hAnsi="Times New Roman"/>
          <w:color w:val="000000" w:themeColor="text1"/>
          <w:sz w:val="16"/>
          <w:szCs w:val="16"/>
        </w:rPr>
        <w:noBreakHyphen/>
        <w:t>17 ноября 1940 г., указывается: «Заводы “Шкода” изготовили такие броневые плиты, о которых раньше и не мечтали». Так как нам достоверно известно, что фирма “Шкода” с 1937 г. работает над литой двухслойной броней (цементованной при отливке), то не исключено, что речь идет именно о плитах из этой брони.</w:t>
      </w:r>
    </w:p>
    <w:p w14:paraId="72B902B2"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Возможность и целесообразность производства и применения литой брони в отечественном танкостроении доказана еще в феврале-мае 1940 г. официальными снарядными испытаниями трех опытных литых двухслойных башен танка КВ, изготовленных Специальным техническим бюро (СТБ) НКТМ.</w:t>
      </w:r>
    </w:p>
    <w:p w14:paraId="3EA95688"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дальнейшем СТБ технологически освоены башни танка “СП”, носовая и кормовая части корпуса танка КВ; отлиты 3 опытные цельнолитые корпуса танков СП и КВ. Проведены опыты по литым гомогенным башням танков Т</w:t>
      </w:r>
      <w:r w:rsidRPr="00A3026E">
        <w:rPr>
          <w:rFonts w:ascii="Times New Roman" w:hAnsi="Times New Roman"/>
          <w:color w:val="000000" w:themeColor="text1"/>
          <w:sz w:val="16"/>
          <w:szCs w:val="16"/>
        </w:rPr>
        <w:noBreakHyphen/>
        <w:t>34 и КВ также НИИ</w:t>
      </w:r>
      <w:r w:rsidRPr="00A3026E">
        <w:rPr>
          <w:rFonts w:ascii="Times New Roman" w:hAnsi="Times New Roman"/>
          <w:color w:val="000000" w:themeColor="text1"/>
          <w:sz w:val="16"/>
          <w:szCs w:val="16"/>
        </w:rPr>
        <w:noBreakHyphen/>
        <w:t>48, Ижорским и Мариупольским заводами.</w:t>
      </w:r>
    </w:p>
    <w:p w14:paraId="01698098"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Если по направленности, размаху и результатам опытных работ по литой броне опередили заграницу, то по внедрению этих результатов в массовое производство значительно отстали.</w:t>
      </w:r>
    </w:p>
    <w:p w14:paraId="4776EAE2"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максимум инициативы, энергии и настойчивости, проявленной и проявляемой СТБ, по многим причинам, не зависящим от последнего, в частности, недостаточной заинтересованности НКСудпрома, НКТяжмаша и НКСредмаша и отсутствия органа, занимающегося танкостроением в целом, литая двухслойная танковая броня до сих пор остается предметом бесконечных разговоров, вынужденно держится в стадии экспериментирования. Только в последнее время сделаны первые шаги по внедрению литых гомогенных башен танка Т</w:t>
      </w:r>
      <w:r w:rsidRPr="00A3026E">
        <w:rPr>
          <w:rFonts w:ascii="Times New Roman" w:hAnsi="Times New Roman"/>
          <w:color w:val="000000" w:themeColor="text1"/>
          <w:sz w:val="16"/>
          <w:szCs w:val="16"/>
        </w:rPr>
        <w:noBreakHyphen/>
        <w:t>34, изготовленных Мариупольским заводом.</w:t>
      </w:r>
    </w:p>
    <w:p w14:paraId="381DCBA0"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Очень остро стоят и также не получают нужного решения вопросы правильного продуманного размещения в корпусе предметов оборудования и вооружения, изменения конструкции и повышения качества траков, улучшения ходовой части, отработки кинематики механизмов, стандартизации и взаимозаменяемости деталей, крепежного материала и инструмента для танков различных типов и т. п.</w:t>
      </w:r>
    </w:p>
    <w:p w14:paraId="6A19912A"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Аналогичное положение имело место в свое время и в самолетостроении. Организация специального НКАвиапрома положила конец кустарщине в производстве самолетов, обеспечила быстрый расцвет советского самолетостроения, способствовала превращению этой отрасли в передовую промышленность Союза ССР.'</w:t>
      </w:r>
    </w:p>
    <w:p w14:paraId="71E2E281"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вышеизложенного вытекает необходимость сосредоточить руководство делом советского танкостроения в одном месте, организовать Наркомат танко-тракторной промышленности Союза ССР, производящий бронеавтомобили, танки и тракторы, с подчинением ему соответствующих заводов, в том числе специализированного завода броневого литья, который следует построить, как это сделано, например, в Германии.</w:t>
      </w:r>
    </w:p>
    <w:p w14:paraId="28185E6F"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неимением нужных материалов лишен возможности более убедительно обосновать свое предложение, но тем не менее вношу его на Ваше рассмотрение.</w:t>
      </w:r>
    </w:p>
    <w:p w14:paraId="49EB8DA2"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СТБ НКТМРудаков.</w:t>
      </w:r>
    </w:p>
    <w:p w14:paraId="6CA55A5D"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w:t>
      </w:r>
    </w:p>
    <w:p w14:paraId="1E888BD0"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150" w:anchor="s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 Копии направлены: председателю СНК СССР В. М. Молотову, председателю Комитета обороны К. Е. Ворошилову и секретарю Ленинградского обкома ВКП(б) А. А. Жданову.</w:t>
      </w:r>
    </w:p>
    <w:p w14:paraId="77685EEF" w14:textId="77777777" w:rsidR="00156FFF" w:rsidRPr="00A3026E" w:rsidRDefault="00156F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РГАСПИ. Ф. 82. Оп. 2. Д. 572. Л. 14-16. Подлинник (17012).</w:t>
      </w:r>
    </w:p>
    <w:p w14:paraId="7A0EF5C0" w14:textId="77777777" w:rsidR="00156FFF" w:rsidRPr="00A3026E" w:rsidRDefault="00156FFF" w:rsidP="00A3026E">
      <w:pPr>
        <w:spacing w:after="0" w:line="240" w:lineRule="auto"/>
        <w:jc w:val="both"/>
        <w:rPr>
          <w:rFonts w:ascii="Times New Roman" w:hAnsi="Times New Roman"/>
          <w:color w:val="000000" w:themeColor="text1"/>
          <w:sz w:val="16"/>
          <w:szCs w:val="16"/>
        </w:rPr>
      </w:pPr>
    </w:p>
    <w:p w14:paraId="2AF6BB91" w14:textId="77777777" w:rsidR="008F5E79" w:rsidRPr="00A3026E" w:rsidRDefault="008F5E79" w:rsidP="00A3026E">
      <w:pPr>
        <w:pStyle w:val="ae"/>
        <w:shd w:val="clear" w:color="auto" w:fill="FFFFFF"/>
        <w:spacing w:before="0" w:after="0"/>
        <w:jc w:val="both"/>
        <w:rPr>
          <w:color w:val="000000" w:themeColor="text1"/>
          <w:sz w:val="16"/>
          <w:szCs w:val="16"/>
        </w:rPr>
      </w:pPr>
      <w:r w:rsidRPr="00A3026E">
        <w:rPr>
          <w:color w:val="000000" w:themeColor="text1"/>
          <w:sz w:val="16"/>
          <w:szCs w:val="16"/>
        </w:rPr>
        <w:t>7 декабря 1940 года на Кировский завод поступил корпус нового танка Т-220, а сборку завершили в начале января 1941 года. После сборки выявился конфуз: орудие Ф-30 оказалось неуравновешенным, и испытания стрельбой пришлось отложить на более поздний срок (так в итоге и не наступивший) (15224).</w:t>
      </w:r>
    </w:p>
    <w:p w14:paraId="5686640B" w14:textId="77777777" w:rsidR="008F5E79" w:rsidRPr="00A3026E" w:rsidRDefault="008F5E79" w:rsidP="00A3026E">
      <w:pPr>
        <w:pStyle w:val="ae"/>
        <w:shd w:val="clear" w:color="auto" w:fill="FFFFFF"/>
        <w:spacing w:before="0" w:after="0"/>
        <w:jc w:val="both"/>
        <w:rPr>
          <w:color w:val="000000" w:themeColor="text1"/>
          <w:sz w:val="16"/>
          <w:szCs w:val="16"/>
        </w:rPr>
      </w:pPr>
    </w:p>
    <w:p w14:paraId="4660EDEB" w14:textId="77777777" w:rsidR="003614CA" w:rsidRPr="00A3026E" w:rsidRDefault="003614CA"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7 декабря 1940 года начали сборку первого образца Т-220, а сдали его 7 января 1941 года (21243).</w:t>
      </w:r>
    </w:p>
    <w:p w14:paraId="0F9419A7" w14:textId="77777777" w:rsidR="003614CA" w:rsidRPr="00A3026E" w:rsidRDefault="003614CA"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7CB8E6F0"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года корпус танка с броней в 100 мм — «объект 220» — поступил на Кировский завод, а сборку машины завершили в первых числах нового, 1941 года. Машина имела удлиненную на один каток (по сравнению с серийным КВ-1) ходовую часть. На это конструкторам пришлой пойти из-за существенного увеличения массы «объекта 220» (боевая масса составляла 62,7 т), что произошло из-за увеличения основной брони до 100 мм и установки мощной 85-мм пушки в башне значительных размеров.</w:t>
      </w:r>
    </w:p>
    <w:p w14:paraId="5C80896F"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«объекта 220» (также в документах встречаются обозначения Т-220 и КВ-220) представлял собой удлиненный корпус КВ-1 с увеличенной до 100 мм броней лобовой части и бортов. Как и в случае с Т-150, утолщение производилось наружу.</w:t>
      </w:r>
    </w:p>
    <w:p w14:paraId="4A255817"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и в серийном КВ-1, у КВ-220 впереди в отделении управления размещались механик-водитель и стрелок-радист. А вот в башне находилось четыре человека — слева от пушки наводчик и командир машины, а справа — два заряжающих.</w:t>
      </w:r>
    </w:p>
    <w:p w14:paraId="15B1525C"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Основное вооружение КВ-220 состояло из 85-мм танковой пушки Ф-30, установку которой спроектировала группа инженеров СКБ-2 под руководством прикомандированного с завода № 92 конструктора П.Ф. Муравьева. Пушка монтировалась в башне довольно больших размеров, имевшей вертикальные стенки. Для </w:t>
      </w:r>
      <w:r w:rsidRPr="00A3026E">
        <w:rPr>
          <w:rFonts w:ascii="Times New Roman" w:hAnsi="Times New Roman"/>
          <w:color w:val="000000" w:themeColor="text1"/>
          <w:sz w:val="16"/>
          <w:szCs w:val="16"/>
        </w:rPr>
        <w:lastRenderedPageBreak/>
        <w:t>стрельбы использовались перископический прицел ПТ-6 и телескопический ТОД. Для монтажа и демонтажа пушки в кормовом листе башни был прорезан люк довольно больших размеров.</w:t>
      </w:r>
    </w:p>
    <w:p w14:paraId="4EB14B65"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орудия, КВ-220 имел три пулемета ДТ — один спаренный с пушкой, второй — в лобовом листе корпуса, слева от механика-водителя, и третий — в командирской башенке на крыше башни. Боекомплект состоял из 91 выстрела к 8 5-мм пушке и 64 дисков (4032 патрона) к ДТ.</w:t>
      </w:r>
    </w:p>
    <w:p w14:paraId="02A62F79"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КВ-220 оснащался дизельным двигателем В-2СН мощностью 850 л.с. Емкость топливных баков составила 825–845 л. Машина получила новую коробку перемены передач, спроектированную Н.Ф. Шашмуриным по типу коробки КВ-1, но усиленную и доработанную. Коробка имела меньшие габариты по сравнению с серийной, а так же больший запас прочности и улучшенные динамические характеристики.</w:t>
      </w:r>
    </w:p>
    <w:p w14:paraId="3C77D6E6"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Ходовая часть выполнялась по типу серийных КВ, но имела семь опорных и четыре поддерживающих катка (на борт) (17434).</w:t>
      </w:r>
    </w:p>
    <w:p w14:paraId="5C7C1A42" w14:textId="77777777" w:rsidR="0016176C" w:rsidRPr="00A3026E" w:rsidRDefault="0016176C" w:rsidP="00A3026E">
      <w:pPr>
        <w:spacing w:after="0" w:line="240" w:lineRule="auto"/>
        <w:jc w:val="both"/>
        <w:rPr>
          <w:rFonts w:ascii="Times New Roman" w:hAnsi="Times New Roman"/>
          <w:color w:val="000000" w:themeColor="text1"/>
          <w:sz w:val="16"/>
          <w:szCs w:val="16"/>
        </w:rPr>
      </w:pPr>
    </w:p>
    <w:p w14:paraId="20084B9E" w14:textId="77777777" w:rsidR="008F5E79" w:rsidRPr="00A3026E" w:rsidRDefault="008F5E7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 Из приказа Наркомобщмаша СССР № 633 о пуске Чирчикского азотнотукового комбината</w:t>
      </w:r>
    </w:p>
    <w:p w14:paraId="7949A69D" w14:textId="77777777" w:rsidR="008F5E79" w:rsidRPr="00A3026E" w:rsidRDefault="008F5E7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Экономического совета при Совнаркоме Союза ССР от 5 января 1940 г. и приказом НКОМ № 34 от 27 января 1940 г. на трест «Союзхиммонтаж» было возложено задание по монтажу и пуску Чирчикского азотнотукового комбината.</w:t>
      </w:r>
    </w:p>
    <w:p w14:paraId="1989DA69" w14:textId="77777777" w:rsidR="008F5E79" w:rsidRPr="00A3026E" w:rsidRDefault="008F5E7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основе широко развернувшегося социалистического соревнования и стахановского движения коллектив монтажников выполнил с честью задание партии и правительства в срок. Химическая промышленность обогатилась новым предприятием, построенным по последнему слову современной техники.</w:t>
      </w:r>
    </w:p>
    <w:p w14:paraId="588CADE8" w14:textId="77777777" w:rsidR="008F5E79" w:rsidRPr="00A3026E" w:rsidRDefault="008F5E7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Поздравляю рабочих, инженерно-технических работников и служащих Чирчикского монтажного управления и треста «Союзхиммонтаж» с выполнением правительственного задания. [22] Начальнику Чирчикского монтажного управления тов. Гончарову разрешаю израсходовать 50 тыс. руб. на премирование особо отличившихся рабочих, ИТР и служащих монтажного управления. Управляющему трестом «Союзхиммонтаж» тов. Жаворонкову разрешаю израсходовать на премирование особо отличившихся работников треста 15 тыс. руб.</w:t>
      </w:r>
    </w:p>
    <w:p w14:paraId="27F88D3A" w14:textId="77777777" w:rsidR="008F5E79" w:rsidRPr="00A3026E" w:rsidRDefault="008F5E7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общего машиностроения СССР</w:t>
      </w:r>
    </w:p>
    <w:p w14:paraId="054EABC9" w14:textId="77777777" w:rsidR="008F5E79" w:rsidRPr="00A3026E" w:rsidRDefault="008F5E7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Паршин</w:t>
      </w:r>
    </w:p>
    <w:p w14:paraId="3620FCF6" w14:textId="77777777" w:rsidR="008F5E79" w:rsidRPr="00A3026E" w:rsidRDefault="008F5E7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ЦГАНХ СССР, ф. 8123, on. 1, д. 325, лл. 229, 231. Подлинник. (15734).</w:t>
      </w:r>
    </w:p>
    <w:p w14:paraId="2A953306" w14:textId="77777777" w:rsidR="008F5E79" w:rsidRPr="00A3026E" w:rsidRDefault="008F5E79" w:rsidP="00A3026E">
      <w:pPr>
        <w:spacing w:after="0" w:line="240" w:lineRule="auto"/>
        <w:jc w:val="both"/>
        <w:rPr>
          <w:rFonts w:ascii="Times New Roman" w:hAnsi="Times New Roman"/>
          <w:color w:val="000000" w:themeColor="text1"/>
          <w:sz w:val="16"/>
          <w:szCs w:val="16"/>
        </w:rPr>
      </w:pPr>
    </w:p>
    <w:p w14:paraId="38D335DC" w14:textId="77777777" w:rsidR="00C66762"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19C61A1B"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FE447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г. ИЗ АКТА О ПРИЕМЕ НАРКОМАТА ОБОРОНЫ СОЮЗА ССР С.К.ТИМОШЕНКО ОТ К.Е. ВОРОШИЛОВА</w:t>
      </w:r>
    </w:p>
    <w:p w14:paraId="53A4C8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Совершенно секретно </w:t>
      </w:r>
    </w:p>
    <w:p w14:paraId="73A3A547"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Во исполнение постановления СНК СССР от 8 мая 1940 г. за № 690 при приеме Наркомата обороны тов. Тимошенко от тов. Ворошилова в присутствии тт. Жданова, Маленкова и Вознесенского, заслушаны доклады начальников центральных управлений и установлено следующее: </w:t>
      </w:r>
    </w:p>
    <w:p w14:paraId="6808870E"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Style w:val="a7"/>
          <w:rFonts w:ascii="Times New Roman" w:hAnsi="Times New Roman"/>
          <w:b w:val="0"/>
          <w:bCs w:val="0"/>
          <w:color w:val="000000" w:themeColor="text1"/>
          <w:sz w:val="16"/>
          <w:szCs w:val="16"/>
        </w:rPr>
        <w:t xml:space="preserve">Организация и структура центрального аппарата </w:t>
      </w:r>
    </w:p>
    <w:p w14:paraId="2A3224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Действующее положение о Наркомате обороны, утвержденное Правительством в 1934 году, устарело, не соответствует существующей структуре и не отражает современных задач, возложенных на Наркомат обороны. Вновь созданные управления: Главное управление Красной Армии, Управление военно-технического снабжения, Управление снабжения, Управление продовольственного, обозного и вещевого снабжения, Управления стрелкового и минометного вооружений, Управление высших военно-учебных заведений, Управление снабжения горючим и Управление начальника пехоты существуют по временным положениям. Структура других управлений (Генштаб, Арт. Управление, Управление связи, Строительно-квартирное управления, Управление ВВС и инспекции) изменена, причем положения об этих изменениях не утверждены. </w:t>
      </w:r>
    </w:p>
    <w:p w14:paraId="60ACBC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наличии 34 самостоятельных управлений и отделов и недостаточно четком распределении обязанностей между заместителями наркома часто имела место задержка в разрешении вопросов в управлениях НКО. </w:t>
      </w:r>
    </w:p>
    <w:p w14:paraId="5DC080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В армии имеется до 1080 наименований действующих уставов, наставлений и руководств. Основные уставы: полевой службы, внутренней службы, дисциплинарный и некоторые боевые уставы родов войск устарели и требуют коренной переработки. Отсутствуют: наставление по вождению крупных войсковых соединений (армий), наставление по атаке и обороне укрепленных районов и наставление для действий войск в горах. </w:t>
      </w:r>
    </w:p>
    <w:p w14:paraId="3D1861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Большинство войсковых частей существуют по временным штатам, не утвержденным народным комиссаром. Штатное и табельное хозяйство запущено. Около 1400 штатов и табелей, по которым войска живут и снабжаются, никем не утверждены и изданы для руководства, как временные. \623\ </w:t>
      </w:r>
    </w:p>
    <w:p w14:paraId="6B5F63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Вопросы военного законодательства и систематизации приказов наркома обороны не налажены. Имеется много приказов, требующих отмены или переработки, как устаревших и затрудняющих руководство войсками. </w:t>
      </w:r>
    </w:p>
    <w:p w14:paraId="45866B53"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5. Контроль за исполнением отданных приказов и решений правительства был организован недостаточно. Не было живого действенного руководства обучением войск. Поверка на местах, как система, не проводилась и заменялась получением бумажных отчетов. </w:t>
      </w:r>
    </w:p>
    <w:p w14:paraId="50D033C8"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Style w:val="a7"/>
          <w:rFonts w:ascii="Times New Roman" w:hAnsi="Times New Roman"/>
          <w:b w:val="0"/>
          <w:bCs w:val="0"/>
          <w:color w:val="000000" w:themeColor="text1"/>
          <w:sz w:val="16"/>
          <w:szCs w:val="16"/>
        </w:rPr>
        <w:t xml:space="preserve">Оперативная подготовка </w:t>
      </w:r>
    </w:p>
    <w:p w14:paraId="5E5F57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К моменту приема и сдачи наркома обороны оперативного плана войны не было, не разработаны и отсутствуют оперативные планы, как общий, так и частные. </w:t>
      </w:r>
    </w:p>
    <w:p w14:paraId="0AA5D2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Генштаб не имеет данных о состоянии прикрытия границ. Решения Военных советов округов, армий и фронта по этому вопросу Генштабу неизвестны. </w:t>
      </w:r>
    </w:p>
    <w:p w14:paraId="168B95C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Руководство оперативной подготовкой высшего начсостава и штабов выражалось лишь в планировании ее и даче директив. С 1938 года народный комиссар обороны и Генеральный штаб сами занятий с высшим начсоставом и штабами не проводили. Контроль за оперативной подготовкой в округах почти отсутствовал. Наркомат обороны отстает в разработке вопросов оперативного использования войск в современной войне. </w:t>
      </w:r>
    </w:p>
    <w:p w14:paraId="03FD1D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Подготовка театров военных действий к войне во всех отношениях крайне слаба. В результате этого: </w:t>
      </w:r>
    </w:p>
    <w:p w14:paraId="205612A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ВОСО не проявило должной маневренности в деле использования наличных железнодорожных средств для войсковых перевозок. </w:t>
      </w:r>
    </w:p>
    <w:p w14:paraId="21177F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Положения об управлении железными дорогами на театре войны, четко определяющего функции органов НКПС и органов ВОСО, а также порядок перевозок, нет. </w:t>
      </w:r>
    </w:p>
    <w:p w14:paraId="1D7B312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строительство шоссейных дорог идет медленно и ведется многими организациями (Гуждор, Главдорупр, Гулаг НКВД), что приводит к распылению сил и средств и отсутствию общего плана дор. строительства; </w:t>
      </w:r>
    </w:p>
    <w:p w14:paraId="1A1A1F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строительство связи по линии НКС сильно отстает, а по линии НКО в 1940 г. сорвано совершенно, вследствие позднего представления Генштабом и Управлением связи заявок на строительные материалы и неотпуска таковых. Каблирование и использование уплотненных бронзовых проводов ведется в крайне ограниченном размере; </w:t>
      </w:r>
    </w:p>
    <w:p w14:paraId="77262D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в аэродромном отношении крайне слабо подготовлена территория Западной Белоруссии, Западной Украины, ОДВО и ЗАКВО; </w:t>
      </w:r>
    </w:p>
    <w:p w14:paraId="0E9F45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ясного и четкого плана подготовки театров в инженерном отношении, вытекающего из оперативного плана, нет. Основные рубежи и вся система инж. подготовки не определены; </w:t>
      </w:r>
    </w:p>
    <w:p w14:paraId="0F4977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директивы, утверждающей план строительства УР на 1940 г., округам к моменту приема Наркомата не дано. </w:t>
      </w:r>
    </w:p>
    <w:p w14:paraId="1086A9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Система предполья окончательно не разработана, и в округах этот вопрос решается по-разному. </w:t>
      </w:r>
    </w:p>
    <w:p w14:paraId="191CAB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Вопросы вооружения вновь создаваемых укрепленных районов требуют быстрейшего разрешения, в первую очередь новых УРов на Западной границе. </w:t>
      </w:r>
    </w:p>
    <w:p w14:paraId="7BFBA990"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ж) В топографическом отношении театры военных действий подготовлены далеко недостаточно и потребность войск в картах не обеспечена. \624\ </w:t>
      </w:r>
    </w:p>
    <w:p w14:paraId="00A4E1B1"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Style w:val="a7"/>
          <w:rFonts w:ascii="Times New Roman" w:hAnsi="Times New Roman"/>
          <w:b w:val="0"/>
          <w:bCs w:val="0"/>
          <w:color w:val="000000" w:themeColor="text1"/>
          <w:sz w:val="16"/>
          <w:szCs w:val="16"/>
        </w:rPr>
        <w:t xml:space="preserve">Укомплектование и устройство войск </w:t>
      </w:r>
    </w:p>
    <w:p w14:paraId="5072F7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Точно установленной фактической численности Красной Армии в момент приема Наркомат не имеет. Учет личного состава по вине Главного управления Красной Армии находится в исключительно запущенном состоянии. </w:t>
      </w:r>
    </w:p>
    <w:p w14:paraId="659A40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Личный состав войск состоял из кадрового и приписного состава; план увольнения приписного состава находится в процессе разработки. </w:t>
      </w:r>
    </w:p>
    <w:p w14:paraId="699C10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Положение о прохождении службы рядового и младшего начсостава, изданное в 1931 году, устарело, для руководства непригодно, и никто им не пользуется. Нового положения, определяющего порядок прохождения службы, не составлено. </w:t>
      </w:r>
    </w:p>
    <w:p w14:paraId="2320B48A"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4. По устройству войск - нет положений об управлении частями (полками), соединениями (дивизиями и бригадами). Положение о войсковом хозяйстве устарело и требует переработки. Не разработано положение о полевом управлении войск. </w:t>
      </w:r>
    </w:p>
    <w:p w14:paraId="38BAE89A"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Style w:val="a7"/>
          <w:rFonts w:ascii="Times New Roman" w:hAnsi="Times New Roman"/>
          <w:b w:val="0"/>
          <w:bCs w:val="0"/>
          <w:color w:val="000000" w:themeColor="text1"/>
          <w:sz w:val="16"/>
          <w:szCs w:val="16"/>
        </w:rPr>
        <w:t xml:space="preserve">Мобилизационная подготовка </w:t>
      </w:r>
    </w:p>
    <w:p w14:paraId="757A26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В связи с войной и значительным передислоцированием войск мобилизационный план нарушен. Нового мобилизационного плана Наркомат обороны не имеет. </w:t>
      </w:r>
    </w:p>
    <w:p w14:paraId="6A350B4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Мероприятия по отмобилизованию распорядительным порядком не закончены разработкой. </w:t>
      </w:r>
    </w:p>
    <w:p w14:paraId="0FFF46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Наркомат обороны не устранил еще следующие недостатки мобилизационного плана, вскрытые при проведении частичной мобилизации в сентябре 1939 года: </w:t>
      </w:r>
    </w:p>
    <w:p w14:paraId="4F3A48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крайняя запущенность учета военнообязанных запаса, т.к. переучет не проводился с 1927 года; </w:t>
      </w:r>
    </w:p>
    <w:p w14:paraId="09F783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отсутствие единого учета военнообязанных и существование обособленного специального учета железнодорожников, водного транспорта и НКВД; </w:t>
      </w:r>
    </w:p>
    <w:p w14:paraId="77859C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слабость и неналаженность работы военкоматов; </w:t>
      </w:r>
    </w:p>
    <w:p w14:paraId="5BD5FA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отсутствие очередности в отмобилизовании частей, что привело к перегрузке первых дней мобилизации; </w:t>
      </w:r>
    </w:p>
    <w:p w14:paraId="3AEFDF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нереальность планов размещения войск при отмобилизовании; </w:t>
      </w:r>
    </w:p>
    <w:p w14:paraId="1F5253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неотработанность плана снабжения обмундированием при мобилизации; </w:t>
      </w:r>
    </w:p>
    <w:p w14:paraId="346333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ж) неравномерность подъема по мобилизации военнообязанных, конского состава и автотранспорта; </w:t>
      </w:r>
    </w:p>
    <w:p w14:paraId="5CBE9E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 отсутствие твердо установленного порядка в бронировании рабочей силы на военное время; </w:t>
      </w:r>
    </w:p>
    <w:p w14:paraId="17CA66F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 нереальность и неудовлетворительное состояние учета лошадей, повозок, упряжи и автотранспорта. </w:t>
      </w:r>
    </w:p>
    <w:p w14:paraId="4ADC66B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В числе военнообязанных запаса состоит 3155000 необученных людей. Плана обучения их Наркомат обороны не имеет. В числе обученного состава состоят на учете военнообязанные запаса с недостаточной подготовкой и по ряду специальностей, мобилизационная потребность в специалистах не покрывается. Плана переобучения специалистов и переподготовки слабо обученного состава Наркомат обороны также не имеет. </w:t>
      </w:r>
    </w:p>
    <w:p w14:paraId="045D9702"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4. Наставления по мобилизационной работе в войсках и военкоматах, признанные устаревшими, не переработаны. \625\ </w:t>
      </w:r>
    </w:p>
    <w:p w14:paraId="1576EC5D"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Style w:val="a7"/>
          <w:rFonts w:ascii="Times New Roman" w:hAnsi="Times New Roman"/>
          <w:b w:val="0"/>
          <w:bCs w:val="0"/>
          <w:color w:val="000000" w:themeColor="text1"/>
          <w:sz w:val="16"/>
          <w:szCs w:val="16"/>
        </w:rPr>
        <w:t xml:space="preserve">Состояние кадров </w:t>
      </w:r>
    </w:p>
    <w:p w14:paraId="0E566DF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моменту приема Наркомата обороны армия имела значительный некомплект начсостава, особенно в пехоте, достигающий 21% к штатной численности на 1 мая 1940 г. </w:t>
      </w:r>
    </w:p>
    <w:p w14:paraId="24C4C5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Установлено, что ежегодные выпуски из военных училищ не обеспечивали создания необходимых резервов для роста армии и образования запасов. </w:t>
      </w:r>
    </w:p>
    <w:p w14:paraId="2BDFE2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Качество подготовки командного состава низкое, особенно в звене взвод-рота, в котором 68% имеют лишь краткосрочную 6-месячную подготовку курса младшего лейтенанта. </w:t>
      </w:r>
    </w:p>
    <w:p w14:paraId="46EFD7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Подготовка комсостава в военных училищах поставлена неудовлетворительно, вследствие недоброкачественности программ, неорганизованности занятий, недостаточной загрузки учебного времени и особенно слабой полевой практической выучки. Усовершенствование командного состава кадра должным образом не организовано. Недостатком программ подготовки командиров в военно-учебных заведениях является: проведение занятий преимущественно в классах, недостаточность полевых занятий, насыщение программ общими предметами в ущерб военным. </w:t>
      </w:r>
    </w:p>
    <w:p w14:paraId="7A30ED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вопросах присвоения военных званий нет твердо установившейся системы, и в ряде случаев имела место кампанейщина. Этому способствовало отсутствие периодического аттестования начсостава. Существующий порядок аттестования не выявляет деловых качеств командира и работы командира по боевой подготовке своей части. Происходит это потому, что командный состав в значительной мере устранился от дела аттестования и подбора кадров, которое зачастую проводилось политорганами. </w:t>
      </w:r>
    </w:p>
    <w:p w14:paraId="421C93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Учет начсостава поставлен неудовлетворительно и не отражает командного состава, имеющего боевой опыт. Кандидатские списки отсутствуют. </w:t>
      </w:r>
    </w:p>
    <w:p w14:paraId="5D5AE4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назначении командного состава Управление кадров недостаточно привлекало начальников соответствующих родов войск и служб. </w:t>
      </w:r>
    </w:p>
    <w:p w14:paraId="02F1CF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Нормы пополнения начсостава на военное время не разработаны. Учет и подготовка начсостава запаса находится в неудовлетворительном состоянии. </w:t>
      </w:r>
    </w:p>
    <w:p w14:paraId="11B4F9B8"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Плана подготовки и пополнения комсостава запаса для полного отмобилизования армии по военному времени не было. </w:t>
      </w:r>
    </w:p>
    <w:p w14:paraId="66DCCDFA"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Style w:val="a7"/>
          <w:rFonts w:ascii="Times New Roman" w:hAnsi="Times New Roman"/>
          <w:b w:val="0"/>
          <w:bCs w:val="0"/>
          <w:color w:val="000000" w:themeColor="text1"/>
          <w:sz w:val="16"/>
          <w:szCs w:val="16"/>
        </w:rPr>
        <w:t xml:space="preserve">Боевая подготовка войск </w:t>
      </w:r>
    </w:p>
    <w:p w14:paraId="3FD6E1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Главнейшими недостатками в подготовке войск являются: </w:t>
      </w:r>
    </w:p>
    <w:p w14:paraId="318CA1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Низкая подготовка среднего командного состава в звене рота-взвод и особенно слабая подготовка младшего начальствующего состава. </w:t>
      </w:r>
    </w:p>
    <w:p w14:paraId="7B15F3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Слабая тактическая подготовка во всех видах боя и разведки, особенно мелких подразделений. </w:t>
      </w:r>
    </w:p>
    <w:p w14:paraId="141CE3C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Неудовлетворительная практическая полевая выучка войск и неумение ими выполнять то, что требуется в условиях боевой обстановки. </w:t>
      </w:r>
    </w:p>
    <w:p w14:paraId="335AF1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Крайне слабая выучка родов войск по взаимодействию на поле боя: пехота не умеет прижиматься к огневому валу и отрываться от него; артиллерия не умеет поддерживать танки; авиация не умеет взаимодействовать с наземными войсками. </w:t>
      </w:r>
    </w:p>
    <w:p w14:paraId="4301F5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Войска не обучены лыжному делу. </w:t>
      </w:r>
    </w:p>
    <w:p w14:paraId="3D41E4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Применение маскировки отработано слабо. </w:t>
      </w:r>
    </w:p>
    <w:p w14:paraId="23DFF64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В войсках не отработано управление огнем. </w:t>
      </w:r>
    </w:p>
    <w:p w14:paraId="61F6C9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Войска не обучены атаке укрепленных районов, устройству и преодолению заграждений и форсированию рек. </w:t>
      </w:r>
    </w:p>
    <w:p w14:paraId="539900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Причинами этого являются: </w:t>
      </w:r>
    </w:p>
    <w:p w14:paraId="2FC2B1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Неправильное обучение и воспитание войск. \626\ </w:t>
      </w:r>
    </w:p>
    <w:p w14:paraId="5B166FA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боевой подготовке войск допускается много условностей, войска не тренируются в обстановке, приближенной к боевой действительности, применительно к требованиям театров военных действий. </w:t>
      </w:r>
    </w:p>
    <w:p w14:paraId="06C5B1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Широкое применение системы условностей в обучении и воспитании войск создало в войсках неправильное представление о суровой действительности войны. </w:t>
      </w:r>
    </w:p>
    <w:p w14:paraId="6934B4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Войска мало обучаются в поле практическому выполнению всего необходимого для боя. Недостаточно воспитывается и прививается выносливость, физическая закалка и стремление выполнить приказ беспрекословно, точно и быстро, несмотря ни на какие трудности и преодолевая их. </w:t>
      </w:r>
    </w:p>
    <w:p w14:paraId="25F9E5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Вместо этого зачастую допускается ложный демократизм, подрыв авторитета командира. </w:t>
      </w:r>
    </w:p>
    <w:p w14:paraId="7EEFED22"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2) Неправильно построены программы и планы боевой подготовки, приводящие к тому, что роды войск занимаются изолированно, периоды обучения и боевые стрельбы их тождественных подразделений не совпадают по времени и недостаточно обеспечиваются материально... </w:t>
      </w:r>
    </w:p>
    <w:p w14:paraId="55693141"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Style w:val="a7"/>
          <w:rFonts w:ascii="Times New Roman" w:hAnsi="Times New Roman"/>
          <w:b w:val="0"/>
          <w:bCs w:val="0"/>
          <w:color w:val="000000" w:themeColor="text1"/>
          <w:sz w:val="16"/>
          <w:szCs w:val="16"/>
        </w:rPr>
        <w:t xml:space="preserve">Состояние родов войск </w:t>
      </w:r>
    </w:p>
    <w:p w14:paraId="3F9366D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Пехота: а) вопросам организации, вооружения и подготовки пехоты не уделено должного внимания; </w:t>
      </w:r>
    </w:p>
    <w:p w14:paraId="14DD83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пехота подготовлена слабее всех других родов войск; </w:t>
      </w:r>
    </w:p>
    <w:p w14:paraId="11114C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накопление подготовленного запаса пехоты недостаточно; </w:t>
      </w:r>
    </w:p>
    <w:p w14:paraId="5FAED85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командный состав пехоты плохо подготовлен и имеет большой некомплект; </w:t>
      </w:r>
    </w:p>
    <w:p w14:paraId="51AEE9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пехотное вооружение отстает от современных требований боя и не обеспечено минометами и автоматами. </w:t>
      </w:r>
    </w:p>
    <w:p w14:paraId="3E3581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Военно-воздушные силы. Материальная часть ВВС Красной Армии в своем развитии за последние три года отстает по скоростям, дальностям, мощностям моторов и вооружению самолетов от авиации передовых армий других стран. Наркомат обороны (Управление Военно-Воздушных Сил) не проявил достаточной инициативы и настойчивости по внедрению более современных типов самолетов. Управление Военно-Воздушных Сил не определяло направления развития военной авиации. По этой причине ВВС не имеют пикирующих бомбардировщиков и отстают во внедрении современных типов самолетов. По вооружению отстает внедрение крупнокалиберного оружия. </w:t>
      </w:r>
    </w:p>
    <w:p w14:paraId="25B21C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Отработка новых образцов самолетов, испытание и доводка их проходят крайне медленно. </w:t>
      </w:r>
    </w:p>
    <w:p w14:paraId="3CFCD4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Состояние учета самолетов и моторов неудовлетворительное, а качественный учет совершенно не организован и не ведется. </w:t>
      </w:r>
    </w:p>
    <w:p w14:paraId="4A6F8A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Склады авиамеханического имущества недостаточны и не удовлетворяют потребности авиационных частей. </w:t>
      </w:r>
    </w:p>
    <w:p w14:paraId="3430D0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Аэродромная сеть недостаточна и не обеспечивает нормальной работы авиачастей, устарела и требует пересмотра и объединения в более крупные авиационные соединения (дивизии). </w:t>
      </w:r>
    </w:p>
    <w:p w14:paraId="4FBCBA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Существующая организация авиабаз не обеспечивает обслуживания передовых оперативных аэродромов и содержания их в рабочем состоянии в течение круглого года. </w:t>
      </w:r>
    </w:p>
    <w:p w14:paraId="164FDE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Летно-технический состав недостаточно подготовлен в бомбометании, в полетах в сложных метеорологических условиях и в стрельбе. </w:t>
      </w:r>
    </w:p>
    <w:p w14:paraId="110ED0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Авиационные школы выпускают слабых летчиков, обученных главным образом на старой материальной части, и вследствие этого молодых летчиков приходится переучивать в частях. \627\ </w:t>
      </w:r>
    </w:p>
    <w:p w14:paraId="0065DE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Вопросы прохождения службы летно-техническим составом не отработаны, в результате чего с 1938 года существует неправильное положение, когда красноармейцы действительной военной службы, после годичного обучения в школах младших специалистов, выпускаются по категории среднего начальствующего состава. </w:t>
      </w:r>
    </w:p>
    <w:p w14:paraId="5F21D2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Несмотря на большой некомплект штурманов, подготовка их не организована. </w:t>
      </w:r>
    </w:p>
    <w:p w14:paraId="2F8A5D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Аварийность и катастрофы в авиации продолжают оставаться высокими вследствие слабой подготовки летного состава, незнания им материальной части, низкой дисциплинированности, неорганизованности летной работы и безответственности командиров частей и бригад за происшедшие аварии и катастрофы. </w:t>
      </w:r>
    </w:p>
    <w:p w14:paraId="6A227D7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Авиадесантные части не получили должного развития. </w:t>
      </w:r>
    </w:p>
    <w:p w14:paraId="48353C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Организация воздушно-десантных частей (маломощные бригады) отстает от современных требований и требует пересмотра в сторону создания более сильных соединений и развития парашютного дела. </w:t>
      </w:r>
    </w:p>
    <w:p w14:paraId="3D6AE2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Существующая двойственность подчинения - по линии УБП (боевая подготовка) и по линии ВВС (снабж. спец. имущ, и обесп. самолетами) отрицательно сказывается на управлении и боевой подготовке авиадесантных частей. </w:t>
      </w:r>
    </w:p>
    <w:p w14:paraId="4890CF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Автобронетанковые войска. Вооружение танковых частей в своем развитии отстает от современных требований вследствие того, что современные толстобронные танки внедрены на вооружение с опозданием. </w:t>
      </w:r>
    </w:p>
    <w:p w14:paraId="7681CC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использовании танковых частей организация взаимодействия с другими родами войск в достаточной степени не отработана. </w:t>
      </w:r>
    </w:p>
    <w:p w14:paraId="6C821A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Ремонт автобронемашин, при наличии достаточной ремонтной базы, затягивается. </w:t>
      </w:r>
    </w:p>
    <w:p w14:paraId="562E91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Существующие ремонтные комплекты как по количеству, так и по своей спецификации составлены неудачно. Наиболее ходовые части в них изготовлены в малых количествах и не обеспечивают потребности. </w:t>
      </w:r>
    </w:p>
    <w:p w14:paraId="53885D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Вопросы организации текущего и среднего ремонта боевых машин в полевых условиях разрешены неправильно. По существующему порядку предусматривается отправка боевых машин для ремонта в тыловые мастерские, что задерживает ремонт и не обеспечивает своевременный ввод их в строй. </w:t>
      </w:r>
    </w:p>
    <w:p w14:paraId="316F83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Эксплуатация существующего автомобильного и тракторного парка поставлена неудовлетворительно, вследствие чего в армии имеется большое количество машин, требующих ремонта. </w:t>
      </w:r>
    </w:p>
    <w:p w14:paraId="1E053E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Существующий тракторный парк недостаточен и не обеспечивает полностью подъема материальной части артиллерии на мехтяге. </w:t>
      </w:r>
    </w:p>
    <w:p w14:paraId="4A2E69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Артиллерия. В связи с тем, что делу организации и подготовки артиллерийских частей было уделено достаточное внимание, наличие материальной части артиллерии по средним и мелким калибрам обеспечивает развертывание артиллерийских частей, но отстает по крупным калибрам и зенитной артиллерии. Особенно недостаточна обеспеченность наиболее крупными калибрами - 203 мм и выше. </w:t>
      </w:r>
    </w:p>
    <w:p w14:paraId="719F00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боеприпасам - потребность армии по средним системам обеспечивается недостаточно. Специальные артиллерийские выстрелы (бронебойные, зажигательные, а также выстрелы для зенитной артиллерии) имеются в крайне недостаточном количестве. </w:t>
      </w:r>
    </w:p>
    <w:p w14:paraId="7BDF11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Приборами управления, биноклями артиллерия обеспечена недостаточно. </w:t>
      </w:r>
    </w:p>
    <w:p w14:paraId="37B83A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Наличие хранилищ не обеспечивает полностью хранение имеющихся запасов. Организация складского хозяйства поставлена неудовлетворительно. \628\ К моменту приема из-за недостатка хранилищ и загруженности складов ненужными материалами находилось на открытом воздухе большое количество боеприпасов и вооружения... </w:t>
      </w:r>
    </w:p>
    <w:p w14:paraId="31AE0A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Стрелковое вооружение. Внедрение современных образцов стрелкового вооружения (пистолеты-пулеметы и самозарядная винтовка) Наркоматом обороны производится с опозданием и крайне медленно. </w:t>
      </w:r>
    </w:p>
    <w:p w14:paraId="7CD6C74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количеству винтовок мобилизационная потребность развернутой армии обеспечивается без учета убыли винтовок и для новых формирований во время войны. </w:t>
      </w:r>
    </w:p>
    <w:p w14:paraId="56A851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Минно-минометное вооружение. Наркоматом Обороны не придавалось значения минно-минометному вооружению. В результате Красная Армия оказалась необеспеченной минометами и неподготовленной к их использованию. </w:t>
      </w:r>
    </w:p>
    <w:p w14:paraId="124994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моменту приема Наркомата, Красная Армия минометами полностью еще не обеспечена. В частях имеется большой некомплект минометов, а минометы крупных калибров существуют только в образцах. </w:t>
      </w:r>
    </w:p>
    <w:p w14:paraId="2BD0DA4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Совершенно неотработанными остаются вопросы использования и применения пехотных и противотанковых мин. Производство и изготовление этих мин не организовано, и имеются только опытные образцы. </w:t>
      </w:r>
    </w:p>
    <w:p w14:paraId="065332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Инженерные войска по своей организации и вооружению отстают от общего развития других родов войск. </w:t>
      </w:r>
    </w:p>
    <w:p w14:paraId="40D4C8F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Обеспеченность существующих инженерных частей основными видами инженерного вооружения слабая. Новейшие средства инженерной техники: окопокопатели, средства глубокого бурения, новые дорожные машины имеются только в образцах и не внедрены на вооружение инженерных войск. </w:t>
      </w:r>
    </w:p>
    <w:p w14:paraId="3E2DBD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Переправочные средства по количеству недостаточны, особенно по тяжелым паркам. </w:t>
      </w:r>
    </w:p>
    <w:p w14:paraId="7BCC1D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Исключительно низкая обеспеченность инженерных войск по колючей проволоке. </w:t>
      </w:r>
    </w:p>
    <w:p w14:paraId="6081CE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подготовке и в вооружении войск не получили развития и выпали такие коренные вопросы, как вопросы преодоления УРов, заграждения и разграждения, особенно минного. </w:t>
      </w:r>
    </w:p>
    <w:p w14:paraId="6ED96A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Войска связи - в настоящее время на своем вооружении имеют много устаревших типов телеграфно-телефонных аппаратов и радиосредств. Внедрение новых средств радиотехники проходит крайне медленно и в недостаточных размерах. Войска плохо обеспечены почти по всем видам имущества связи. </w:t>
      </w:r>
    </w:p>
    <w:p w14:paraId="25C9BD8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Большим недостатком войск связи является отсутствие быстродействующих и засекречивающих приборов. </w:t>
      </w:r>
    </w:p>
    <w:p w14:paraId="47796F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Существующее отставание в развитии техники связи и нечеткость организации связи привели к тому, что во время похода в Западную Украину и Западную Белоруссию, а также во время войны с белофиннами, войска связи не имели устойчивой и непрерывно действующей связи. </w:t>
      </w:r>
    </w:p>
    <w:p w14:paraId="18A4A7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Химические войска. Внимание к химическому оружию в Наркомате обороны ослаблено. </w:t>
      </w:r>
    </w:p>
    <w:p w14:paraId="7FA952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Существующие дегазационные средства не обеспечивают по своему количеству и качеству предъявляемые к ним требования. Дегазационные машины, состоящие на вооружении (АРС и АХИ-5), мало проходимы, а из дегазаторов существует только хлорная известь. </w:t>
      </w:r>
    </w:p>
    <w:p w14:paraId="1DDC20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Химическая подготовка войск поставлена неудовлетворительно, что объясняется недооценкой значения химических средств нападения со стороны общевойсковых командиров. \629\ </w:t>
      </w:r>
    </w:p>
    <w:p w14:paraId="20D20E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Научно-исследовательская работа по развитию химического вооружения поставлена слабо, а разработанные новые образцы внедряются в армии медленно. </w:t>
      </w:r>
    </w:p>
    <w:p w14:paraId="35838E0F"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11. Конница. Состояние и вооружение конницы удовлетворительные. Отмечается слабость и недоработанность организации горнокавалерийских частей. </w:t>
      </w:r>
    </w:p>
    <w:p w14:paraId="12EDA075"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Style w:val="a7"/>
          <w:rFonts w:ascii="Times New Roman" w:hAnsi="Times New Roman"/>
          <w:b w:val="0"/>
          <w:bCs w:val="0"/>
          <w:color w:val="000000" w:themeColor="text1"/>
          <w:sz w:val="16"/>
          <w:szCs w:val="16"/>
        </w:rPr>
        <w:t xml:space="preserve">Состояние разведывательной работы </w:t>
      </w:r>
    </w:p>
    <w:p w14:paraId="413155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Организация разведки является одним из наиболее слабых участков в работе Наркомата обороны. Организационной разведки и систематического поступления данных об иностранных армиях не имеется. </w:t>
      </w:r>
    </w:p>
    <w:p w14:paraId="1C9CE9A0"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Работа Разведывательного управления не связана с работой Генерального штаба. Наркомат обороны не имеет в лице Разведывательного управления органа, обеспечивающего Красную Армию данными об организации, состоянии, вооружении, подготовке к развертыванию иностранных армий. К моменту приема Наркомат обороны такими разведывательными данными не располагает. Театры военных действий и их подготовка не изучены. </w:t>
      </w:r>
    </w:p>
    <w:p w14:paraId="4ABB6FE6"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Style w:val="a7"/>
          <w:rFonts w:ascii="Times New Roman" w:hAnsi="Times New Roman"/>
          <w:b w:val="0"/>
          <w:bCs w:val="0"/>
          <w:color w:val="000000" w:themeColor="text1"/>
          <w:sz w:val="16"/>
          <w:szCs w:val="16"/>
        </w:rPr>
        <w:t xml:space="preserve">Противовоздушная оборона </w:t>
      </w:r>
    </w:p>
    <w:p w14:paraId="13C09D0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Противовоздушная оборона войск и охраняемых пунктов находится в состоянии полной запущенности. Существующее состояние ПВО не отвечает современным требованиям. </w:t>
      </w:r>
    </w:p>
    <w:p w14:paraId="5F55D5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Вооружению активных средств ПВО зенитной артиллерии не уделялось достаточного внимания. Совершенно недостаточна обеспеченность приборами управления зенитной артиллерии. Дальномеры, состоящие на вооружении, не обеспечивают стрельбу на высотах более 6,2 км, а приборы ПУАЗО несовершенны. </w:t>
      </w:r>
    </w:p>
    <w:p w14:paraId="7ADAA7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Подготовка зенитных частей неудовлетворительная, и тренировка их ведется с устарелыми типами самолетов. Нет практики с современными самолетами. </w:t>
      </w:r>
    </w:p>
    <w:p w14:paraId="3167A5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Слабо развиты прожекторные части, не все объекты обеспечены прожекторами, и вследствие этого имеющаяся в них зенитная артиллерия способна отражать воздушного противника только днем. </w:t>
      </w:r>
    </w:p>
    <w:p w14:paraId="704CB6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Служба ВНОС плохо организована, слабо подготовлена, плохо вооружена и не обеспечивает своевременного обнаружения самолетов противника и оповещения. Радиоперехватывающие средства (РУС и РЕДУТ) имеются только в отдельных образцах. Нет ясности, кому подчиняется служба ВНОС: командующему ВВС или отделу ПВО. </w:t>
      </w:r>
    </w:p>
    <w:p w14:paraId="49F4756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Наркоматом обороны к моменту приема не было выполнено постановление Правительства о введении в приграничных округах помощников Командующего войсками по ПВО. </w:t>
      </w:r>
    </w:p>
    <w:p w14:paraId="42496A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Руководство Наркомата обороны работой местных пунктов ПВО неудовлетворительное и слабое. </w:t>
      </w:r>
    </w:p>
    <w:p w14:paraId="15970260"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При существующем состоянии руководства и организации ПВО должная защита от воздушного нападения не обеспечивается. </w:t>
      </w:r>
    </w:p>
    <w:p w14:paraId="5D42EA46"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Style w:val="a7"/>
          <w:rFonts w:ascii="Times New Roman" w:hAnsi="Times New Roman"/>
          <w:b w:val="0"/>
          <w:bCs w:val="0"/>
          <w:color w:val="000000" w:themeColor="text1"/>
          <w:sz w:val="16"/>
          <w:szCs w:val="16"/>
        </w:rPr>
        <w:t xml:space="preserve">Устройство и служба тыла </w:t>
      </w:r>
    </w:p>
    <w:p w14:paraId="6B22719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Руководство организацией тыла и тыловой подготовкой начальствующего состава и тыловых учреждений слабое. За последние два года в армии не было ни одного специального тылового учения, не было учебных сборов командиров службы тыла. Хотя приказом наркома требовалось ни одного учения без отработки тыла не проводить, но фактически в некоторых частях учения с тылом не проводились. Устав тыла засекречен, и комначсостав его не знает. Устав требует переработки. \630\ </w:t>
      </w:r>
    </w:p>
    <w:p w14:paraId="236DB3B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Территории, отошедшие к СССР в 1939 - 40 гг., в отношении устройства тыла не подготовлены. </w:t>
      </w:r>
    </w:p>
    <w:p w14:paraId="4294039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Мобилизационная заявка 1937 - 38 гг. устарела и требует переработки. </w:t>
      </w:r>
    </w:p>
    <w:p w14:paraId="435A93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План вооружения и снабжения на 1940 год в округа до сих пор по вине ГУКА не спущен, что не дает возможности отработать обеспеченность войск на мирное и военное время. </w:t>
      </w:r>
    </w:p>
    <w:p w14:paraId="04E1C7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Учет количественный и качественный в центральных довольствующих управлениях поставлен плохо и не дает возможности правильно определить обеспеченность войск. </w:t>
      </w:r>
    </w:p>
    <w:p w14:paraId="64BC86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Мобфонды продфуража, израсходованные в зимний период 1940 г. не восстановлены, а на Камчатке, Сахалине и в МНР они вовсе отсутствуют. Дислокация мобфондов требует коренного пересмотра. </w:t>
      </w:r>
    </w:p>
    <w:p w14:paraId="2F87998D"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7. Финансовые сметы на первый месяц войны устарели, непригодны и требуют переработки. </w:t>
      </w:r>
    </w:p>
    <w:p w14:paraId="001A95FC"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Style w:val="a7"/>
          <w:rFonts w:ascii="Times New Roman" w:hAnsi="Times New Roman"/>
          <w:b w:val="0"/>
          <w:bCs w:val="0"/>
          <w:color w:val="000000" w:themeColor="text1"/>
          <w:sz w:val="16"/>
          <w:szCs w:val="16"/>
        </w:rPr>
        <w:t xml:space="preserve">Военно-хозяйственное снабжение </w:t>
      </w:r>
    </w:p>
    <w:p w14:paraId="16F89D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Постановление СНК СССР и ЦК ВКП(б) от 9 августа 1935 г. по приведению войскового хозяйства и всего дела военно-хозяйственного снабжения армии в образцовый порядок не выполнено. </w:t>
      </w:r>
    </w:p>
    <w:p w14:paraId="5AB626CD"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Войсковое хозяйство продолжает оставаться в запущенном состоянии. Учет и отчетность по имуществу не налажены. В боевых операциях 193940 гг. армейский и войсковой тыл работали неудовлетворительно. </w:t>
      </w:r>
    </w:p>
    <w:p w14:paraId="18FB5A4D"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Style w:val="a7"/>
          <w:rFonts w:ascii="Times New Roman" w:hAnsi="Times New Roman"/>
          <w:b w:val="0"/>
          <w:bCs w:val="0"/>
          <w:color w:val="000000" w:themeColor="text1"/>
          <w:sz w:val="16"/>
          <w:szCs w:val="16"/>
        </w:rPr>
        <w:t xml:space="preserve">Санитарная служба </w:t>
      </w:r>
    </w:p>
    <w:p w14:paraId="7DC401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Санитарная служба в Красной Армии, как показал опыт войны с белофиннами, оказалась недостаточно подготовленной. По вине Санитарного управления не хватало медицинских кадров, особенно хирургов, там, где они больше всего требовались. </w:t>
      </w:r>
    </w:p>
    <w:p w14:paraId="636C41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Полевая подготовка медсостава кадра и запаса, особенно по вопросам военно-полевой хирургии, организации и тактики санитарной службы оказалась неудовлетворительной. </w:t>
      </w:r>
    </w:p>
    <w:p w14:paraId="4B2A13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Вопросы эвакуации раненых с учетом своевременного возвращения легкораненных в строй требуют переработки. </w:t>
      </w:r>
    </w:p>
    <w:p w14:paraId="283B70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Крупнейшим недостатком работы Санитарного управления во время советско-финской войны было то, что оно стояло в стороне от дела захоронения убитых на поле боя. </w:t>
      </w:r>
    </w:p>
    <w:p w14:paraId="0B556F74"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Установленные нормы освежения медимущества не всегда соблюдались. </w:t>
      </w:r>
    </w:p>
    <w:p w14:paraId="67A164CB"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Style w:val="a7"/>
          <w:rFonts w:ascii="Times New Roman" w:hAnsi="Times New Roman"/>
          <w:b w:val="0"/>
          <w:bCs w:val="0"/>
          <w:color w:val="000000" w:themeColor="text1"/>
          <w:sz w:val="16"/>
          <w:szCs w:val="16"/>
        </w:rPr>
        <w:t xml:space="preserve">Военно-учебные заведения </w:t>
      </w:r>
    </w:p>
    <w:p w14:paraId="35A4AD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Сеть высших военно-учебных заведений состоит из 16 военных академий и 10 военных факультетов, 132 сухопутных военных училищ и школ, 52 авиационных и авиатехнических училищ и школ, находящихся в ведении Управления высших военно-учебных заведений, Управления военно-учебных заведений и Управления военно-учебных заведений ВВС. </w:t>
      </w:r>
    </w:p>
    <w:p w14:paraId="09A73E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Крупным недостатком программ военных академий является то, что в этих программах отводится мало времени специальным дисциплинам, что отражается на качестве подготовки. </w:t>
      </w:r>
    </w:p>
    <w:p w14:paraId="7015BC5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Новыми образцами вооружения военные академии и военные училища обеспечены недостаточно. В военных академиях и военных училищах отмечается низкая требовательность, имеет место завышение оценок. </w:t>
      </w:r>
    </w:p>
    <w:p w14:paraId="0CE761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Подготовка слушателей в военных академиях и курсантов в военных училищах имеет ряд существенных недостатков, из коих главными являются: </w:t>
      </w:r>
    </w:p>
    <w:p w14:paraId="23A2830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недостаточное знание материальной части; \631\ </w:t>
      </w:r>
    </w:p>
    <w:p w14:paraId="2C8A57C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недостаточность практических навыков; </w:t>
      </w:r>
    </w:p>
    <w:p w14:paraId="5257114A"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в) слабое знание иностранных языков. </w:t>
      </w:r>
    </w:p>
    <w:p w14:paraId="713F1819"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Style w:val="a7"/>
          <w:rFonts w:ascii="Times New Roman" w:hAnsi="Times New Roman"/>
          <w:b w:val="0"/>
          <w:bCs w:val="0"/>
          <w:color w:val="000000" w:themeColor="text1"/>
          <w:sz w:val="16"/>
          <w:szCs w:val="16"/>
        </w:rPr>
        <w:t xml:space="preserve">Военное изобретательство </w:t>
      </w:r>
    </w:p>
    <w:p w14:paraId="1C8C7D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Военное изобретательство, выделенное в самостоятельный отдел Наркомата обороны, оторвано от управлений, ведающих вопросами вооружения и технического снабжения. Вследствие этого ценные изобретения задерживаются внедрением в армию и своевременно не реализуются. </w:t>
      </w:r>
    </w:p>
    <w:p w14:paraId="54BA726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Отдел изобретений занимается только рассмотрением поступающих изобретений, не имея возможности самостоятельно реализовать их. </w:t>
      </w:r>
    </w:p>
    <w:p w14:paraId="0FC3B8E1"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Управления НКО по своей специальности не уделяют должного внимания поступающим изобретательским предложениям. </w:t>
      </w:r>
    </w:p>
    <w:p w14:paraId="629852F2" w14:textId="77777777" w:rsidR="00C66762" w:rsidRPr="00A3026E" w:rsidRDefault="00C66762" w:rsidP="00A3026E">
      <w:pPr>
        <w:spacing w:after="0" w:line="240" w:lineRule="auto"/>
        <w:jc w:val="both"/>
        <w:rPr>
          <w:rStyle w:val="a7"/>
          <w:rFonts w:ascii="Times New Roman" w:hAnsi="Times New Roman"/>
          <w:b w:val="0"/>
          <w:bCs w:val="0"/>
          <w:color w:val="000000" w:themeColor="text1"/>
          <w:sz w:val="16"/>
          <w:szCs w:val="16"/>
        </w:rPr>
      </w:pPr>
      <w:r w:rsidRPr="00A3026E">
        <w:rPr>
          <w:rStyle w:val="a7"/>
          <w:rFonts w:ascii="Times New Roman" w:hAnsi="Times New Roman"/>
          <w:b w:val="0"/>
          <w:bCs w:val="0"/>
          <w:color w:val="000000" w:themeColor="text1"/>
          <w:sz w:val="16"/>
          <w:szCs w:val="16"/>
        </w:rPr>
        <w:t xml:space="preserve">По управлению военного издательства </w:t>
      </w:r>
    </w:p>
    <w:p w14:paraId="08B30B7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плане выпуска книг Воениздатом необходимо предусмотреть издание литературы по таким актуальным вопросам боевой подготовки армии, как то: по общей тактике, тактике мелких подразделений, службе штабов, службе тыла и по армиям сопредельных с нами стран, а также справочной литературы для начсостава специальных родов войск. </w:t>
      </w:r>
    </w:p>
    <w:p w14:paraId="57CCCB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Аппарат Воениздата требует укрепления как путем освобождения его от негодных работников, так и пополнения квалифицированными военно-редакторскими кадрами. </w:t>
      </w:r>
    </w:p>
    <w:p w14:paraId="66984E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Должна быть ликвидирована практика растранжиривания средств на всякого рода авансы авторам за ненаписанные труды и гонорары за недоброкачественные рукописи. </w:t>
      </w:r>
    </w:p>
    <w:p w14:paraId="7BFEFB1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ПРИЛОЖЕНИЕ: Ведомость наличия основных видов вооружения по состоянию на 1 мая 1940 г.. </w:t>
      </w:r>
    </w:p>
    <w:p w14:paraId="7FF37546"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Сдал Принял</w:t>
      </w:r>
    </w:p>
    <w:p w14:paraId="39E6E90E" w14:textId="77777777" w:rsidR="00C66762" w:rsidRPr="00A3026E" w:rsidRDefault="00C66762"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К. Ворошилов С. Тимошенко</w:t>
      </w:r>
    </w:p>
    <w:p w14:paraId="6A8783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Участвовали при сдаче и приеме: Жданов, Маленков, Вознесенский. </w:t>
      </w:r>
    </w:p>
    <w:p w14:paraId="6BD9D3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"Известия ЦК КПСС". 1990. № 1. Лл. 193-208. </w:t>
      </w:r>
    </w:p>
    <w:p w14:paraId="1E90F44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Это высказывание И. В. Сталина, сделанное в 1939 году, имеет за собой определенную предысторию. В январе 1925 года на одном из пленумов ЦК ВКП(б) при обсуждении доклада М. В.Фрунзе о состоянии Красной Армии, И. В. Сталин выступил с речью, посвященной роли РККА и ее возможном участии в будущих военных конфликтах. </w:t>
      </w:r>
    </w:p>
    <w:p w14:paraId="39F764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Центральным моментом выступления (оно состоялось 19 января 1925 года) были следующие оценки будущей войны: </w:t>
      </w:r>
    </w:p>
    <w:p w14:paraId="62E91B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В связи с тем, что предпосылки войны назревают и война может стать, конечно, не завтра и не послезавтра, а через несколько лет, неизбежностью, в связи с тем, что война не может не обострить кризиса внутреннего, революционного, - в связи с этим не может не встать перед нами вопрос о нашем вмешательстве в эти дела. Я полагаю, что силы революционного движения на Западе велики, они могут привести к тому, что кое-где они сковырнут буржуазию, но удержаться им без нашей помощи едва ли удастся. Вот перед нами лимитрофы - Эстония, Латвия, Литва, кое-как они там зашевелились, зашебаршили, хотели кое-чего добиться, но все факты говорят, что серьезного добиться нельзя без наличия Красной Армии, которая требует единства и должна стоять начеку, как факт. Если революционное движение назреет, в связи с осложнениями \632\ между империалистами в Северной Африке и на Востоке и в связи с усилением революционного движения или, вернее, революционных настроений в английском рабочем движении. Если что-либо серьезно назреет, то наше вмешательство, не скажу обязательно активное, не скажу обязательно непосредственное, оно может оказаться абсолютно необходимым. В этом именно надежда на то, чтобы победа могла быть для нас одержанной в данной обстановке. Это не значит, что мы должны обязательно идти на активное выступление против кого-нибудь. Это неверно. Если у кого-нибудь такая нотка проскальзывает - это неправильно. Если война начнется, мы, конечно, выступим последними, самыми последними, для того, чтобы бросить гирю на чашку весов, гирю, которая могла бы перевесить". (РЦХИДНИ, Ф.17. Оп.2. Д. 162. Лл.62-64). </w:t>
      </w:r>
    </w:p>
    <w:p w14:paraId="23C4066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выступление И. В. Сталина не было включено в стенограмму пленума, но уже после войны при подготовке Собрания Сочинений Сталин включил его в вышедший в 1948 году том 7-й, подвергнув правке. Так, перед словами "если война начнется..." была вставлена фраза: "Наше знамя остается по-старому знаменем мира, но..." (далее по тексту). Также после фразы "кое-где сковырнут буржуазию. Это так", слова "без нашей помощи едва ли удастся" были вычеркнуты. В таком виде оно было опубликовано (см. И. В. Сталин. Собрание сочинений, т.7, стр.11-14) (11690).</w:t>
      </w:r>
    </w:p>
    <w:p w14:paraId="3235953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CA996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декабря 1940 на заседании Главного военного совета обсуждался приказ наркомата обороны "Положение о прохождении службы летно-техническим составом ВВС КА". Летчиков не только стали выпускать сержантами, но и перевели на казарменное положение (66,228). 7 декабря П.Рычагов предложил делать новые летные школы и упростить обучение до 6-12 месяцев (69,117). Только 4 летных училища остались с полной программой: два года в мирное и 1 год в военное время. 55 ЛУ были преобразованы в ЛШ: девять месяцев в мирное, шесть - в военное. В 29 ЛШ была сверхкороткая программа - 4 М и 3 М (69,119). Вошел в историю с лозунгом "Не будем фигурять" (69,170).</w:t>
      </w:r>
    </w:p>
    <w:p w14:paraId="210BF9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Суворову обсуждались "особые операции начального периода войны", внезапные удары чтобы "застать всю авиацию противника на аэродроме" (68,122).</w:t>
      </w:r>
    </w:p>
    <w:p w14:paraId="6371EC2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Приняли решение об отказе от добровольного формирования летных училищ и переходе на принудительный набор лиц, "чье здоровье и образовательный уровень соответствуют требованиям службы летного состава ВВС" (2536,244).</w:t>
      </w:r>
    </w:p>
    <w:p w14:paraId="247D11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Производительность выроста до 150 тыс. пилотов в год. Просто не могли все быть офицерами. По другим данным в декабре 1940 были 41 летная школа и училище, 6053 учебных самолета (69,116).</w:t>
      </w:r>
    </w:p>
    <w:p w14:paraId="6D0E545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31F7CE8" w14:textId="0C404E34" w:rsidR="004A1E49" w:rsidRPr="00A3026E" w:rsidRDefault="004A1E49"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60C333B4" w14:textId="77777777" w:rsidR="004A1E49" w:rsidRPr="00A3026E" w:rsidRDefault="004A1E49" w:rsidP="00A3026E">
      <w:pPr>
        <w:spacing w:after="0" w:line="240" w:lineRule="auto"/>
        <w:jc w:val="both"/>
        <w:rPr>
          <w:rFonts w:ascii="Times New Roman" w:hAnsi="Times New Roman"/>
          <w:i/>
          <w:iCs/>
          <w:color w:val="000000" w:themeColor="text1"/>
          <w:sz w:val="16"/>
          <w:szCs w:val="16"/>
        </w:rPr>
      </w:pPr>
    </w:p>
    <w:p w14:paraId="1A04D8DD" w14:textId="77777777" w:rsidR="004A1E49" w:rsidRPr="00A3026E" w:rsidRDefault="004A1E4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декабря 1940 вышло Постановление СНК СССР и ЦК ВКП(б) "О привлечении к ответственности изменников родине и членов их семей"</w:t>
      </w:r>
    </w:p>
    <w:p w14:paraId="47006410" w14:textId="77777777" w:rsidR="004A1E49" w:rsidRPr="00A3026E" w:rsidRDefault="004A1E4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Центральный Комитет ВКП(б) и Совет Народных Комиссаров Союза ССР ПОСТАНОВЛЯЮТ:</w:t>
      </w:r>
    </w:p>
    <w:p w14:paraId="750B821E" w14:textId="77777777" w:rsidR="004A1E49" w:rsidRPr="00A3026E" w:rsidRDefault="004A1E4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В целях укрепления охраны государственной границы Союза ССР и усиления пограничного режима, в дополнение к действующему закону (статья 58-1а Уголовного Кодекса РСФСР), предусматривающему меру уголовного наказания в отношении граждан СССР, самовольно уходя</w:t>
      </w:r>
      <w:r w:rsidRPr="00A3026E">
        <w:rPr>
          <w:rFonts w:ascii="Times New Roman" w:hAnsi="Times New Roman"/>
          <w:color w:val="0070C0"/>
          <w:sz w:val="16"/>
          <w:szCs w:val="16"/>
        </w:rPr>
        <w:softHyphen/>
        <w:t>щих из СССР в другие государства, установить, что члены семей изменников родине, совершивших побег или перелет за границу, подле</w:t>
      </w:r>
      <w:r w:rsidRPr="00A3026E">
        <w:rPr>
          <w:rFonts w:ascii="Times New Roman" w:hAnsi="Times New Roman"/>
          <w:color w:val="0070C0"/>
          <w:sz w:val="16"/>
          <w:szCs w:val="16"/>
        </w:rPr>
        <w:softHyphen/>
        <w:t>жат ссылке в отдаленные северные районы Союза ССР на срок от 3 до 5 дет, с конфискацией всех принадлежащих им построек, сельскохо</w:t>
      </w:r>
      <w:r w:rsidRPr="00A3026E">
        <w:rPr>
          <w:rFonts w:ascii="Times New Roman" w:hAnsi="Times New Roman"/>
          <w:color w:val="0070C0"/>
          <w:sz w:val="16"/>
          <w:szCs w:val="16"/>
        </w:rPr>
        <w:softHyphen/>
        <w:t>зяйственного инвентаря и домашнего скота, если они не совершили преступлений, за которые по закону подлежат более тяжкому наказанию.</w:t>
      </w:r>
    </w:p>
    <w:p w14:paraId="558B9D9A" w14:textId="77777777" w:rsidR="004A1E49" w:rsidRPr="00A3026E" w:rsidRDefault="004A1E4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Привлечению к ответственности подлежат члены семей изменни</w:t>
      </w:r>
      <w:r w:rsidRPr="00A3026E">
        <w:rPr>
          <w:rFonts w:ascii="Times New Roman" w:hAnsi="Times New Roman"/>
          <w:color w:val="0070C0"/>
          <w:sz w:val="16"/>
          <w:szCs w:val="16"/>
        </w:rPr>
        <w:softHyphen/>
        <w:t>ков родине совместно с ними проживавшие млн находившиеся на их иждивении к моменту совершения преступления.</w:t>
      </w:r>
    </w:p>
    <w:p w14:paraId="6829FB94" w14:textId="77777777" w:rsidR="004A1E49" w:rsidRPr="00A3026E" w:rsidRDefault="004A1E4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Рассмотрение всех дел о привлечении к ответственности членов семей изменников родине возложить на Наркомануделу СССР.</w:t>
      </w:r>
    </w:p>
    <w:p w14:paraId="2DA5466A" w14:textId="77777777" w:rsidR="004A1E49" w:rsidRPr="00A3026E" w:rsidRDefault="004A1E4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Предоставить Наркомануделу СССР право решением Особого совещания производить ссылку членов семей изменников родине в отда</w:t>
      </w:r>
      <w:r w:rsidRPr="00A3026E">
        <w:rPr>
          <w:rFonts w:ascii="Times New Roman" w:hAnsi="Times New Roman"/>
          <w:color w:val="0070C0"/>
          <w:sz w:val="16"/>
          <w:szCs w:val="16"/>
        </w:rPr>
        <w:softHyphen/>
        <w:t>ленные районы Союза ССР на срок от 3 до 5 лет с конфискацией всех принадлежащих им построек, сельскохозяйственного инвентаря и домаш</w:t>
      </w:r>
      <w:r w:rsidRPr="00A3026E">
        <w:rPr>
          <w:rFonts w:ascii="Times New Roman" w:hAnsi="Times New Roman"/>
          <w:color w:val="0070C0"/>
          <w:sz w:val="16"/>
          <w:szCs w:val="16"/>
        </w:rPr>
        <w:softHyphen/>
        <w:t>него скота.</w:t>
      </w:r>
    </w:p>
    <w:p w14:paraId="388B2EB2" w14:textId="77777777" w:rsidR="004A1E49" w:rsidRPr="00A3026E" w:rsidRDefault="004A1E4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Поручить Наркомануделу СССР внести на утверждение Совнаркома СССР инструкция, определяяцуо порядок ссылки членов семей изменни</w:t>
      </w:r>
      <w:r w:rsidRPr="00A3026E">
        <w:rPr>
          <w:rFonts w:ascii="Times New Roman" w:hAnsi="Times New Roman"/>
          <w:color w:val="0070C0"/>
          <w:sz w:val="16"/>
          <w:szCs w:val="16"/>
        </w:rPr>
        <w:softHyphen/>
        <w:t>ков родине и конфискации принадлежащего ин имущества, предусмотрев минимум необходимых личных вещей и предметов обихода, которые ссылаемые могут взять с собой (22095)</w:t>
      </w:r>
    </w:p>
    <w:p w14:paraId="4E8B2281" w14:textId="77777777" w:rsidR="004A1E49" w:rsidRPr="00A3026E" w:rsidRDefault="004A1E49" w:rsidP="00A3026E">
      <w:pPr>
        <w:spacing w:after="0" w:line="240" w:lineRule="auto"/>
        <w:jc w:val="both"/>
        <w:rPr>
          <w:rFonts w:ascii="Times New Roman" w:hAnsi="Times New Roman"/>
          <w:color w:val="0070C0"/>
          <w:sz w:val="16"/>
          <w:szCs w:val="16"/>
        </w:rPr>
      </w:pPr>
    </w:p>
    <w:p w14:paraId="59C7BBB1" w14:textId="0A079A9D" w:rsidR="008F5E79"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5E7866D1" w14:textId="77777777" w:rsidR="008F5E79" w:rsidRPr="00A3026E" w:rsidRDefault="008F5E79" w:rsidP="00A3026E">
      <w:pPr>
        <w:spacing w:after="0" w:line="240" w:lineRule="auto"/>
        <w:jc w:val="both"/>
        <w:rPr>
          <w:rFonts w:ascii="Times New Roman" w:hAnsi="Times New Roman"/>
          <w:iCs/>
          <w:color w:val="000000" w:themeColor="text1"/>
          <w:sz w:val="16"/>
          <w:szCs w:val="16"/>
        </w:rPr>
      </w:pPr>
    </w:p>
    <w:p w14:paraId="1493051F" w14:textId="77777777" w:rsidR="004A1E49" w:rsidRPr="00A3026E" w:rsidRDefault="004A1E4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7 декабря 1940 выполнил первый полет - прототип Fairey Barracuda P1767 (20795). </w:t>
      </w:r>
    </w:p>
    <w:p w14:paraId="67383ABE" w14:textId="77777777" w:rsidR="004A1E49" w:rsidRPr="00A3026E" w:rsidRDefault="004A1E49" w:rsidP="00A3026E">
      <w:pPr>
        <w:spacing w:after="0" w:line="240" w:lineRule="auto"/>
        <w:jc w:val="both"/>
        <w:rPr>
          <w:rFonts w:ascii="Times New Roman" w:hAnsi="Times New Roman"/>
          <w:color w:val="0070C0"/>
          <w:sz w:val="16"/>
          <w:szCs w:val="16"/>
        </w:rPr>
      </w:pPr>
    </w:p>
    <w:p w14:paraId="180C7BC3" w14:textId="77777777" w:rsidR="004A1E49" w:rsidRPr="00A3026E" w:rsidRDefault="004A1E4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декабря 1940 - Первый полет совершил английский палубный торпедоносец-бомбардировщик Fairey Barracuda. Цельнометаллический Barracuda был разработан в качестве замены для бипланов Fairey Albacore (22713).</w:t>
      </w:r>
    </w:p>
    <w:p w14:paraId="31F4AE0D" w14:textId="77777777" w:rsidR="004A1E49" w:rsidRPr="00A3026E" w:rsidRDefault="004A1E49"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4C0D40E2" w14:textId="77777777" w:rsidR="008F5E79" w:rsidRPr="00A3026E" w:rsidRDefault="008F5E79"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7 декабря </w:t>
      </w:r>
      <w:r w:rsidRPr="00A3026E">
        <w:rPr>
          <w:rFonts w:ascii="Times New Roman" w:hAnsi="Times New Roman"/>
          <w:color w:val="000000" w:themeColor="text1"/>
          <w:sz w:val="16"/>
          <w:szCs w:val="16"/>
        </w:rPr>
        <w:t>в 1940 году японское правительство приняло план новой экономической структуры, в связи с запрещение экспорта стратегических материалов из США (14853).</w:t>
      </w:r>
    </w:p>
    <w:p w14:paraId="337EF997" w14:textId="77777777" w:rsidR="008F5E79" w:rsidRPr="00A3026E" w:rsidRDefault="008F5E79" w:rsidP="00A3026E">
      <w:pPr>
        <w:spacing w:after="0" w:line="240" w:lineRule="auto"/>
        <w:jc w:val="both"/>
        <w:rPr>
          <w:rFonts w:ascii="Times New Roman" w:hAnsi="Times New Roman"/>
          <w:color w:val="000000" w:themeColor="text1"/>
          <w:sz w:val="16"/>
          <w:szCs w:val="16"/>
        </w:rPr>
      </w:pPr>
    </w:p>
    <w:p w14:paraId="2939E761"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D6E3FB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798E3F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8 декабря 1940 состоялся первый полет и начались заводские и гос. испытания 100 (Пе-2) В.М.П. в варианте ПБ (1293,222).</w:t>
      </w:r>
    </w:p>
    <w:p w14:paraId="6131339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7943B2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декабря 1940 закончилась установка АМ-37 на И-200-2 с винтом ВИШ-61АП. Вооружение было демонтировано (4415,34).</w:t>
      </w:r>
    </w:p>
    <w:p w14:paraId="4CAD720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03BEBAB"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8 декабря 1940 первый АМ-37 поставили на И-200 «двой</w:t>
      </w:r>
      <w:r w:rsidRPr="00A3026E">
        <w:rPr>
          <w:rFonts w:ascii="Times New Roman" w:hAnsi="Times New Roman"/>
          <w:color w:val="0070C0"/>
          <w:sz w:val="16"/>
          <w:szCs w:val="16"/>
          <w:lang w:eastAsia="ru-RU" w:bidi="ru-RU"/>
        </w:rPr>
        <w:softHyphen/>
        <w:t>ку», но отработка затянулась, пошло зимнее ненастье и только 6 января 1941 г. А.И. Жуков опробовал новый дви</w:t>
      </w:r>
      <w:r w:rsidRPr="00A3026E">
        <w:rPr>
          <w:rFonts w:ascii="Times New Roman" w:hAnsi="Times New Roman"/>
          <w:color w:val="0070C0"/>
          <w:sz w:val="16"/>
          <w:szCs w:val="16"/>
          <w:lang w:eastAsia="ru-RU" w:bidi="ru-RU"/>
        </w:rPr>
        <w:softHyphen/>
        <w:t>гатель в воздухе, а 7 мая самолет разбил</w:t>
      </w:r>
      <w:r w:rsidRPr="00A3026E">
        <w:rPr>
          <w:rFonts w:ascii="Times New Roman" w:hAnsi="Times New Roman"/>
          <w:color w:val="0070C0"/>
          <w:sz w:val="16"/>
          <w:szCs w:val="16"/>
          <w:lang w:eastAsia="ru-RU" w:bidi="ru-RU"/>
        </w:rPr>
        <w:softHyphen/>
        <w:t>ся. Осмотр обломков и доклад выживше</w:t>
      </w:r>
      <w:r w:rsidRPr="00A3026E">
        <w:rPr>
          <w:rFonts w:ascii="Times New Roman" w:hAnsi="Times New Roman"/>
          <w:color w:val="0070C0"/>
          <w:sz w:val="16"/>
          <w:szCs w:val="16"/>
          <w:lang w:eastAsia="ru-RU" w:bidi="ru-RU"/>
        </w:rPr>
        <w:softHyphen/>
        <w:t>го в аварии летчика И.Т. Иващенко про</w:t>
      </w:r>
      <w:r w:rsidRPr="00A3026E">
        <w:rPr>
          <w:rFonts w:ascii="Times New Roman" w:hAnsi="Times New Roman"/>
          <w:color w:val="0070C0"/>
          <w:sz w:val="16"/>
          <w:szCs w:val="16"/>
          <w:lang w:eastAsia="ru-RU" w:bidi="ru-RU"/>
        </w:rPr>
        <w:softHyphen/>
        <w:t>яснил картину - он забыл переключить</w:t>
      </w:r>
      <w:r w:rsidRPr="00A3026E">
        <w:rPr>
          <w:rFonts w:ascii="Times New Roman" w:hAnsi="Times New Roman"/>
          <w:color w:val="0070C0"/>
          <w:sz w:val="16"/>
          <w:szCs w:val="16"/>
          <w:lang w:eastAsia="ru-RU" w:bidi="ru-RU"/>
        </w:rPr>
        <w:softHyphen/>
        <w:t>ся с центропланного бака на фюзеляжный и мотор на посадке остановился, будучи исправен (21699).</w:t>
      </w:r>
    </w:p>
    <w:p w14:paraId="55CCD67D" w14:textId="77777777" w:rsidR="00093C0E" w:rsidRPr="00A3026E" w:rsidRDefault="00093C0E" w:rsidP="00A3026E">
      <w:pPr>
        <w:spacing w:after="0" w:line="240" w:lineRule="auto"/>
        <w:jc w:val="both"/>
        <w:rPr>
          <w:rFonts w:ascii="Times New Roman" w:hAnsi="Times New Roman"/>
          <w:color w:val="0070C0"/>
          <w:sz w:val="16"/>
          <w:szCs w:val="16"/>
        </w:rPr>
      </w:pPr>
    </w:p>
    <w:p w14:paraId="34FD29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декабря 1940 г. было закончено оборудование опытного экземпляра истребителя И—200 зав. № 02 мотором АМ—37 для его провер</w:t>
      </w:r>
      <w:r w:rsidRPr="00A3026E">
        <w:rPr>
          <w:rFonts w:ascii="Times New Roman" w:hAnsi="Times New Roman"/>
          <w:color w:val="000000" w:themeColor="text1"/>
          <w:sz w:val="16"/>
          <w:szCs w:val="16"/>
        </w:rPr>
        <w:softHyphen/>
        <w:t>ки и доводки в летных условиях. Для охлажде</w:t>
      </w:r>
      <w:r w:rsidRPr="00A3026E">
        <w:rPr>
          <w:rFonts w:ascii="Times New Roman" w:hAnsi="Times New Roman"/>
          <w:color w:val="000000" w:themeColor="text1"/>
          <w:sz w:val="16"/>
          <w:szCs w:val="16"/>
        </w:rPr>
        <w:softHyphen/>
        <w:t>ния воздуха, поступающего от приводного цент</w:t>
      </w:r>
      <w:r w:rsidRPr="00A3026E">
        <w:rPr>
          <w:rFonts w:ascii="Times New Roman" w:hAnsi="Times New Roman"/>
          <w:color w:val="000000" w:themeColor="text1"/>
          <w:sz w:val="16"/>
          <w:szCs w:val="16"/>
        </w:rPr>
        <w:softHyphen/>
        <w:t>робежного нагнетателя в карбюратор, на самолете установили воздушно-водяной радиатор, для охлаж</w:t>
      </w:r>
      <w:r w:rsidRPr="00A3026E">
        <w:rPr>
          <w:rFonts w:ascii="Times New Roman" w:hAnsi="Times New Roman"/>
          <w:color w:val="000000" w:themeColor="text1"/>
          <w:sz w:val="16"/>
          <w:szCs w:val="16"/>
        </w:rPr>
        <w:softHyphen/>
        <w:t>дения воды этого радиатора на месте, где раньше сто</w:t>
      </w:r>
      <w:r w:rsidRPr="00A3026E">
        <w:rPr>
          <w:rFonts w:ascii="Times New Roman" w:hAnsi="Times New Roman"/>
          <w:color w:val="000000" w:themeColor="text1"/>
          <w:sz w:val="16"/>
          <w:szCs w:val="16"/>
        </w:rPr>
        <w:softHyphen/>
        <w:t>яли маслорадиаторы, установили два серийных девятидюймовых водорадиатора. Серповидный маслорадиатор смонтировали снизу под передней час</w:t>
      </w:r>
      <w:r w:rsidRPr="00A3026E">
        <w:rPr>
          <w:rFonts w:ascii="Times New Roman" w:hAnsi="Times New Roman"/>
          <w:color w:val="000000" w:themeColor="text1"/>
          <w:sz w:val="16"/>
          <w:szCs w:val="16"/>
        </w:rPr>
        <w:softHyphen/>
        <w:t>тью мотора, как на самолетах Як—1 и ЛаГГ—3. На са</w:t>
      </w:r>
      <w:r w:rsidRPr="00A3026E">
        <w:rPr>
          <w:rFonts w:ascii="Times New Roman" w:hAnsi="Times New Roman"/>
          <w:color w:val="000000" w:themeColor="text1"/>
          <w:sz w:val="16"/>
          <w:szCs w:val="16"/>
        </w:rPr>
        <w:softHyphen/>
        <w:t>молет установили винт ВИШ—61АП, а стрелковое вооружение демонтировали (9984).</w:t>
      </w:r>
    </w:p>
    <w:p w14:paraId="6F291A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16F3E72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декабря 1940 первый АМ-37 поставили на И-200-2, но отработка затянулась, пошло зимнее ненастье, и только 6 января 1941 г. А.И. Жуков опробовал новый двигатель в воздухе, а 7 мая самолет разбился. Осмотр обломков и доклад летчика И.Т. Иващенко прояснил картину - он забыл переключиться с центропланного бака на фюзеляжный, и мотор на посадке остановился. Работу по АМ-37 было решено продолжать (11938).</w:t>
      </w:r>
    </w:p>
    <w:p w14:paraId="25F8A8C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70993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декабря 1940 обе машины КОР-2 перелете</w:t>
      </w:r>
      <w:r w:rsidRPr="00A3026E">
        <w:rPr>
          <w:rFonts w:ascii="Times New Roman" w:hAnsi="Times New Roman"/>
          <w:color w:val="000000" w:themeColor="text1"/>
          <w:sz w:val="16"/>
          <w:szCs w:val="16"/>
        </w:rPr>
        <w:softHyphen/>
        <w:t>ли в Севастополь, где заводские испыта</w:t>
      </w:r>
      <w:r w:rsidRPr="00A3026E">
        <w:rPr>
          <w:rFonts w:ascii="Times New Roman" w:hAnsi="Times New Roman"/>
          <w:color w:val="000000" w:themeColor="text1"/>
          <w:sz w:val="16"/>
          <w:szCs w:val="16"/>
        </w:rPr>
        <w:softHyphen/>
        <w:t>ния продолжились. С каждым полетом ста</w:t>
      </w:r>
      <w:r w:rsidRPr="00A3026E">
        <w:rPr>
          <w:rFonts w:ascii="Times New Roman" w:hAnsi="Times New Roman"/>
          <w:color w:val="000000" w:themeColor="text1"/>
          <w:sz w:val="16"/>
          <w:szCs w:val="16"/>
        </w:rPr>
        <w:softHyphen/>
        <w:t>новилось все яснее, что самолет полу</w:t>
      </w:r>
      <w:r w:rsidRPr="00A3026E">
        <w:rPr>
          <w:rFonts w:ascii="Times New Roman" w:hAnsi="Times New Roman"/>
          <w:color w:val="000000" w:themeColor="text1"/>
          <w:sz w:val="16"/>
          <w:szCs w:val="16"/>
        </w:rPr>
        <w:softHyphen/>
        <w:t>чился. Командующий морской авиацией генерал-лейтенант С.Ф. Жаворонков в до</w:t>
      </w:r>
      <w:r w:rsidRPr="00A3026E">
        <w:rPr>
          <w:rFonts w:ascii="Times New Roman" w:hAnsi="Times New Roman"/>
          <w:color w:val="000000" w:themeColor="text1"/>
          <w:sz w:val="16"/>
          <w:szCs w:val="16"/>
        </w:rPr>
        <w:softHyphen/>
        <w:t>кладе «О проектировании и строительстве авиации ВМФ» отмечал: «Опытный развед</w:t>
      </w:r>
      <w:r w:rsidRPr="00A3026E">
        <w:rPr>
          <w:rFonts w:ascii="Times New Roman" w:hAnsi="Times New Roman"/>
          <w:color w:val="000000" w:themeColor="text1"/>
          <w:sz w:val="16"/>
          <w:szCs w:val="16"/>
        </w:rPr>
        <w:softHyphen/>
        <w:t>чик КОР-2 сейчас проходит заводские ис</w:t>
      </w:r>
      <w:r w:rsidRPr="00A3026E">
        <w:rPr>
          <w:rFonts w:ascii="Times New Roman" w:hAnsi="Times New Roman"/>
          <w:color w:val="000000" w:themeColor="text1"/>
          <w:sz w:val="16"/>
          <w:szCs w:val="16"/>
        </w:rPr>
        <w:softHyphen/>
        <w:t>пытания. Самолет летает. Заводские испы</w:t>
      </w:r>
      <w:r w:rsidRPr="00A3026E">
        <w:rPr>
          <w:rFonts w:ascii="Times New Roman" w:hAnsi="Times New Roman"/>
          <w:color w:val="000000" w:themeColor="text1"/>
          <w:sz w:val="16"/>
          <w:szCs w:val="16"/>
        </w:rPr>
        <w:softHyphen/>
        <w:t>тания проходят пока благоприятно. Есть ос</w:t>
      </w:r>
      <w:r w:rsidRPr="00A3026E">
        <w:rPr>
          <w:rFonts w:ascii="Times New Roman" w:hAnsi="Times New Roman"/>
          <w:color w:val="000000" w:themeColor="text1"/>
          <w:sz w:val="16"/>
          <w:szCs w:val="16"/>
        </w:rPr>
        <w:softHyphen/>
        <w:t>нования думать, что эта машина пойдет... Предположительно, он должен быть запу</w:t>
      </w:r>
      <w:r w:rsidRPr="00A3026E">
        <w:rPr>
          <w:rFonts w:ascii="Times New Roman" w:hAnsi="Times New Roman"/>
          <w:color w:val="000000" w:themeColor="text1"/>
          <w:sz w:val="16"/>
          <w:szCs w:val="16"/>
        </w:rPr>
        <w:softHyphen/>
        <w:t>щен в производство со второй половины 1941 года и, таким образом, будет посту</w:t>
      </w:r>
      <w:r w:rsidRPr="00A3026E">
        <w:rPr>
          <w:rFonts w:ascii="Times New Roman" w:hAnsi="Times New Roman"/>
          <w:color w:val="000000" w:themeColor="text1"/>
          <w:sz w:val="16"/>
          <w:szCs w:val="16"/>
        </w:rPr>
        <w:softHyphen/>
        <w:t>пать на вооружение к концу 1941 года. Мы намерены были заказать 100-150 самоле</w:t>
      </w:r>
      <w:r w:rsidRPr="00A3026E">
        <w:rPr>
          <w:rFonts w:ascii="Times New Roman" w:hAnsi="Times New Roman"/>
          <w:color w:val="000000" w:themeColor="text1"/>
          <w:sz w:val="16"/>
          <w:szCs w:val="16"/>
        </w:rPr>
        <w:softHyphen/>
        <w:t>тов в 1941 году. Справится ли с этим про</w:t>
      </w:r>
      <w:r w:rsidRPr="00A3026E">
        <w:rPr>
          <w:rFonts w:ascii="Times New Roman" w:hAnsi="Times New Roman"/>
          <w:color w:val="000000" w:themeColor="text1"/>
          <w:sz w:val="16"/>
          <w:szCs w:val="16"/>
        </w:rPr>
        <w:softHyphen/>
        <w:t>мышленность, сейчас трудно сказать» (10685).</w:t>
      </w:r>
    </w:p>
    <w:p w14:paraId="2DB1A2A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2BA915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декабря 1940 поставили мотор для УТИ-6 (НВ-6) В.В.Никитина, построенный в ОКБ-30 при МАВИАТ по заказу Осоавиахима осенью 1939 и зимой на нем выполнили несколько полетов В.В.Никитиным и В.В.Шевченко. ЦАГИ не дал разрешения на полеты из-за отсутствия статиспытаний и дотянули до войны (1076,807).</w:t>
      </w:r>
    </w:p>
    <w:p w14:paraId="1A660C2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57EBDB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декабря 1940 года вышел приказ № 328с НКВ</w:t>
      </w:r>
    </w:p>
    <w:p w14:paraId="0E4FA579"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«Металлолампа» передан из ведения НКМ в ведение НКВ. Определить заводу «Металлолампа» № 509 (6243, 39).</w:t>
      </w:r>
    </w:p>
    <w:p w14:paraId="208BD7BE"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2FE06420"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E6DD9C5"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6748329B" w14:textId="77777777" w:rsidR="00190D0A" w:rsidRPr="00A3026E" w:rsidRDefault="00190D0A" w:rsidP="00A3026E">
      <w:pPr>
        <w:pStyle w:val="ae"/>
        <w:spacing w:before="0" w:after="0"/>
        <w:jc w:val="both"/>
        <w:rPr>
          <w:rStyle w:val="a7"/>
          <w:b w:val="0"/>
          <w:color w:val="000000" w:themeColor="text1"/>
          <w:sz w:val="16"/>
          <w:szCs w:val="16"/>
        </w:rPr>
      </w:pPr>
      <w:r w:rsidRPr="00A3026E">
        <w:rPr>
          <w:rStyle w:val="a7"/>
          <w:b w:val="0"/>
          <w:color w:val="000000" w:themeColor="text1"/>
          <w:sz w:val="16"/>
          <w:szCs w:val="16"/>
        </w:rPr>
        <w:t>8 декабря 1940 г.</w:t>
      </w:r>
      <w:r w:rsidRPr="00A3026E">
        <w:rPr>
          <w:color w:val="000000" w:themeColor="text1"/>
          <w:sz w:val="16"/>
          <w:szCs w:val="16"/>
        </w:rPr>
        <w:t>О соблюдении технологической дисциплины на машиностроительных заводах</w:t>
      </w:r>
    </w:p>
    <w:p w14:paraId="57CA4E8E" w14:textId="77777777" w:rsidR="00C66762" w:rsidRPr="00A3026E" w:rsidRDefault="00C66762" w:rsidP="00A3026E">
      <w:pPr>
        <w:pStyle w:val="ae"/>
        <w:spacing w:before="0" w:after="0"/>
        <w:jc w:val="both"/>
        <w:rPr>
          <w:color w:val="000000" w:themeColor="text1"/>
          <w:sz w:val="16"/>
          <w:szCs w:val="16"/>
        </w:rPr>
      </w:pPr>
      <w:r w:rsidRPr="00A3026E">
        <w:rPr>
          <w:rStyle w:val="a7"/>
          <w:b w:val="0"/>
          <w:color w:val="000000" w:themeColor="text1"/>
          <w:sz w:val="16"/>
          <w:szCs w:val="16"/>
        </w:rPr>
        <w:t>31. О СОБЛЮДЕНИИ ТЕХНОЛОГИЧЕСКОЙ ДИСЦИПЛИНЫ НА МАШИНОСТРОИТЕЛЬНЫХ ЗАВОДАХ</w:t>
      </w:r>
    </w:p>
    <w:p w14:paraId="07348D28" w14:textId="77777777" w:rsidR="00C66762" w:rsidRPr="00A3026E" w:rsidRDefault="00C66762" w:rsidP="00A3026E">
      <w:pPr>
        <w:pStyle w:val="rtecenter"/>
        <w:spacing w:before="0" w:after="0"/>
        <w:jc w:val="both"/>
        <w:rPr>
          <w:color w:val="000000" w:themeColor="text1"/>
          <w:sz w:val="16"/>
          <w:szCs w:val="16"/>
        </w:rPr>
      </w:pPr>
      <w:r w:rsidRPr="00A3026E">
        <w:rPr>
          <w:rStyle w:val="a7"/>
          <w:rFonts w:eastAsia="Gungsuh"/>
          <w:b w:val="0"/>
          <w:color w:val="000000" w:themeColor="text1"/>
          <w:sz w:val="16"/>
          <w:szCs w:val="16"/>
        </w:rPr>
        <w:t>Пост. СНК СССР 8 декабря 1940 г. (СП СССР 1940 г. № 31, ст. 787). [Извлечение]</w:t>
      </w:r>
    </w:p>
    <w:p w14:paraId="0617FCC5" w14:textId="77777777" w:rsidR="00C66762" w:rsidRPr="00A3026E" w:rsidRDefault="00C66762" w:rsidP="00A3026E">
      <w:pPr>
        <w:pStyle w:val="rtejustify"/>
        <w:spacing w:before="0" w:after="0"/>
        <w:rPr>
          <w:color w:val="000000" w:themeColor="text1"/>
          <w:sz w:val="16"/>
          <w:szCs w:val="16"/>
        </w:rPr>
      </w:pPr>
      <w:r w:rsidRPr="00A3026E">
        <w:rPr>
          <w:color w:val="000000" w:themeColor="text1"/>
          <w:sz w:val="16"/>
          <w:szCs w:val="16"/>
        </w:rPr>
        <w:t>Совнарком Союза CCP устанавливает, что на машиностроительных заводах глубоко укоренилась антигосударственная практика нарушений технологического процесса и самовольных изменений чертежей на детали машин серийного производства, что приводит к крайне отрицательным последствиям. Так например, на заводе “Красный Профинтерн” Наркомтяжмаша в результате нарушения технологического процесса в подборе поршневых колец по твердости и- нарушения установленных допусков при расточке цилиндров в августе-сентябре 1940 г. начались задиры цилиндров и завод временно прекратил выпуск паровозов. На автозаводе имени Сталина было выпущено 6000 маслоотражателей с отступлениями от чертежа. Из-за брака маслоотражателей конвейер завода в этот день простоял два часа.</w:t>
      </w:r>
    </w:p>
    <w:p w14:paraId="6148BEBF" w14:textId="77777777" w:rsidR="00C66762" w:rsidRPr="00A3026E" w:rsidRDefault="00C66762" w:rsidP="00A3026E">
      <w:pPr>
        <w:pStyle w:val="rtejustify"/>
        <w:spacing w:before="0" w:after="0"/>
        <w:rPr>
          <w:color w:val="000000" w:themeColor="text1"/>
          <w:sz w:val="16"/>
          <w:szCs w:val="16"/>
        </w:rPr>
      </w:pPr>
      <w:r w:rsidRPr="00A3026E">
        <w:rPr>
          <w:color w:val="000000" w:themeColor="text1"/>
          <w:sz w:val="16"/>
          <w:szCs w:val="16"/>
        </w:rPr>
        <w:t>Директора и главные инженеры заводов во многих случаях не организовали должного контроля за соблюдением технологической дисциплины, передоверив ответственейшее дело утверждения технологии и чертежей на серийные машины второстепенным работникам, и, следовательно, не выполняют своих прямых обязанностей руководителей производства.</w:t>
      </w:r>
    </w:p>
    <w:p w14:paraId="3ECA9388" w14:textId="77777777" w:rsidR="00C66762" w:rsidRPr="00A3026E" w:rsidRDefault="00C66762" w:rsidP="00A3026E">
      <w:pPr>
        <w:pStyle w:val="rtejustify"/>
        <w:spacing w:before="0" w:after="0"/>
        <w:rPr>
          <w:color w:val="000000" w:themeColor="text1"/>
          <w:sz w:val="16"/>
          <w:szCs w:val="16"/>
        </w:rPr>
      </w:pPr>
      <w:r w:rsidRPr="00A3026E">
        <w:rPr>
          <w:color w:val="000000" w:themeColor="text1"/>
          <w:sz w:val="16"/>
          <w:szCs w:val="16"/>
        </w:rPr>
        <w:t>Все это приводит к большому браку и потерям, ухудшает качество и увеличивает себестоимость машин, тормозит и дезорганизует производство, наносит большой вред государству.</w:t>
      </w:r>
    </w:p>
    <w:p w14:paraId="7C8AA2B1" w14:textId="77777777" w:rsidR="00C66762" w:rsidRPr="00A3026E" w:rsidRDefault="00C66762" w:rsidP="00A3026E">
      <w:pPr>
        <w:pStyle w:val="rtejustify"/>
        <w:spacing w:before="0" w:after="0"/>
        <w:rPr>
          <w:color w:val="000000" w:themeColor="text1"/>
          <w:sz w:val="16"/>
          <w:szCs w:val="16"/>
        </w:rPr>
      </w:pPr>
      <w:r w:rsidRPr="00A3026E">
        <w:rPr>
          <w:color w:val="000000" w:themeColor="text1"/>
          <w:sz w:val="16"/>
          <w:szCs w:val="16"/>
        </w:rPr>
        <w:t>Совет Народных Комиссаров Союза ССР постановляет:</w:t>
      </w:r>
    </w:p>
    <w:p w14:paraId="6D905BC8" w14:textId="77777777" w:rsidR="00C66762" w:rsidRPr="00A3026E" w:rsidRDefault="00C66762" w:rsidP="00A3026E">
      <w:pPr>
        <w:pStyle w:val="rtejustify"/>
        <w:spacing w:before="0" w:after="0"/>
        <w:rPr>
          <w:color w:val="000000" w:themeColor="text1"/>
          <w:sz w:val="16"/>
          <w:szCs w:val="16"/>
        </w:rPr>
      </w:pPr>
      <w:r w:rsidRPr="00A3026E">
        <w:rPr>
          <w:color w:val="000000" w:themeColor="text1"/>
          <w:sz w:val="16"/>
          <w:szCs w:val="16"/>
        </w:rPr>
        <w:t>1. Установить, что:</w:t>
      </w:r>
    </w:p>
    <w:p w14:paraId="561DEEAE" w14:textId="77777777" w:rsidR="00C66762" w:rsidRPr="00A3026E" w:rsidRDefault="00C66762" w:rsidP="00A3026E">
      <w:pPr>
        <w:pStyle w:val="rtejustify"/>
        <w:spacing w:before="0" w:after="0"/>
        <w:rPr>
          <w:color w:val="000000" w:themeColor="text1"/>
          <w:sz w:val="16"/>
          <w:szCs w:val="16"/>
        </w:rPr>
      </w:pPr>
      <w:r w:rsidRPr="00A3026E">
        <w:rPr>
          <w:color w:val="000000" w:themeColor="text1"/>
          <w:sz w:val="16"/>
          <w:szCs w:val="16"/>
        </w:rPr>
        <w:t>а) Конструкции, узловые чертежи и технические условия (согласованные с соответствующим наркомом-заказчиком) на грузовые и легковые автомобили, тракторы, вагоны, паровозы, металлорежущие станки (токарные с высотой центров 300 мм и выше, шлифовальные, автоматы, полуавтоматы, фрезерные и расточные), турбины, паровые котлы среднего и высокого давления, электромоторы нормальные, ватера, чесальные машины, ткацкие станки (хлопчатобумажные), велосипеды (мужские и дамские) и часы (карманные, будильники, наручные) — утверждаются соответствующим народным комиссаром.</w:t>
      </w:r>
    </w:p>
    <w:p w14:paraId="555A801F" w14:textId="77777777" w:rsidR="00C66762" w:rsidRPr="00A3026E" w:rsidRDefault="00C66762" w:rsidP="00A3026E">
      <w:pPr>
        <w:pStyle w:val="rtejustify"/>
        <w:spacing w:before="0" w:after="0"/>
        <w:rPr>
          <w:color w:val="000000" w:themeColor="text1"/>
          <w:sz w:val="16"/>
          <w:szCs w:val="16"/>
        </w:rPr>
      </w:pPr>
      <w:r w:rsidRPr="00A3026E">
        <w:rPr>
          <w:color w:val="000000" w:themeColor="text1"/>
          <w:sz w:val="16"/>
          <w:szCs w:val="16"/>
        </w:rPr>
        <w:t>Технологический процесс на основные детали в установившемся валовом производстве тех же машин утверждается директором завода.</w:t>
      </w:r>
    </w:p>
    <w:p w14:paraId="0BF20938" w14:textId="77777777" w:rsidR="00C66762" w:rsidRPr="00A3026E" w:rsidRDefault="00C66762" w:rsidP="00A3026E">
      <w:pPr>
        <w:pStyle w:val="rtejustify"/>
        <w:spacing w:before="0" w:after="0"/>
        <w:rPr>
          <w:color w:val="000000" w:themeColor="text1"/>
          <w:sz w:val="16"/>
          <w:szCs w:val="16"/>
        </w:rPr>
      </w:pPr>
      <w:r w:rsidRPr="00A3026E">
        <w:rPr>
          <w:color w:val="000000" w:themeColor="text1"/>
          <w:sz w:val="16"/>
          <w:szCs w:val="16"/>
        </w:rPr>
        <w:t>Внесение изменений в технологический процесс этих машин, в том числе и по требованию заказчика, допускается во всех указанных выше случаях только с разрешения народного комиссара.</w:t>
      </w:r>
    </w:p>
    <w:p w14:paraId="5F5868A8" w14:textId="77777777" w:rsidR="00C66762" w:rsidRPr="00A3026E" w:rsidRDefault="00C66762" w:rsidP="00A3026E">
      <w:pPr>
        <w:pStyle w:val="rtejustify"/>
        <w:spacing w:before="0" w:after="0"/>
        <w:rPr>
          <w:color w:val="000000" w:themeColor="text1"/>
          <w:sz w:val="16"/>
          <w:szCs w:val="16"/>
        </w:rPr>
      </w:pPr>
      <w:r w:rsidRPr="00A3026E">
        <w:rPr>
          <w:color w:val="000000" w:themeColor="text1"/>
          <w:sz w:val="16"/>
          <w:szCs w:val="16"/>
        </w:rPr>
        <w:t>б) Конструкции, узловые чертежи и технические условия на автобусы, комбайны, автоприцепы, дизели, генераторы, трансформаторы, кабель силовой, промышленные паровозы и вагоны, радиоприемники, электролампы, металлорежущие станки (токарные с высотой центров до 300 мм, строгальные, сверлильные, зуборезные и револьверные) ткацкие станки (для льна и шерсти), патефоны, мотоциклы и швейные машины (семейная 2</w:t>
      </w:r>
      <w:r w:rsidRPr="00A3026E">
        <w:rPr>
          <w:color w:val="000000" w:themeColor="text1"/>
          <w:sz w:val="16"/>
          <w:szCs w:val="16"/>
        </w:rPr>
        <w:noBreakHyphen/>
        <w:t>го класса) — утверждаются соответствующим начальником главка.</w:t>
      </w:r>
    </w:p>
    <w:p w14:paraId="5DB3E187" w14:textId="77777777" w:rsidR="00C66762" w:rsidRPr="00A3026E" w:rsidRDefault="00C66762" w:rsidP="00A3026E">
      <w:pPr>
        <w:pStyle w:val="rtejustify"/>
        <w:spacing w:before="0" w:after="0"/>
        <w:rPr>
          <w:color w:val="000000" w:themeColor="text1"/>
          <w:sz w:val="16"/>
          <w:szCs w:val="16"/>
        </w:rPr>
      </w:pPr>
      <w:r w:rsidRPr="00A3026E">
        <w:rPr>
          <w:color w:val="000000" w:themeColor="text1"/>
          <w:sz w:val="16"/>
          <w:szCs w:val="16"/>
        </w:rPr>
        <w:t>Технологический процесс на основные детали в установившемся валовом производстве тех же машин утверждается директором завода,</w:t>
      </w:r>
    </w:p>
    <w:p w14:paraId="58DFD27B" w14:textId="77777777" w:rsidR="00C66762" w:rsidRPr="00A3026E" w:rsidRDefault="00C66762" w:rsidP="00A3026E">
      <w:pPr>
        <w:pStyle w:val="rtejustify"/>
        <w:spacing w:before="0" w:after="0"/>
        <w:rPr>
          <w:color w:val="000000" w:themeColor="text1"/>
          <w:sz w:val="16"/>
          <w:szCs w:val="16"/>
        </w:rPr>
      </w:pPr>
      <w:r w:rsidRPr="00A3026E">
        <w:rPr>
          <w:color w:val="000000" w:themeColor="text1"/>
          <w:sz w:val="16"/>
          <w:szCs w:val="16"/>
        </w:rPr>
        <w:t>Внесение изменений в технологический процесс этих машин, в том числе и по требованию заказчика, допускается во всех указанных выше случаях только с разрешения начальника главка.</w:t>
      </w:r>
    </w:p>
    <w:p w14:paraId="1D9A9BBE" w14:textId="77777777" w:rsidR="00C66762" w:rsidRPr="00A3026E" w:rsidRDefault="00C66762" w:rsidP="00A3026E">
      <w:pPr>
        <w:pStyle w:val="rtejustify"/>
        <w:spacing w:before="0" w:after="0"/>
        <w:rPr>
          <w:color w:val="000000" w:themeColor="text1"/>
          <w:sz w:val="16"/>
          <w:szCs w:val="16"/>
        </w:rPr>
      </w:pPr>
      <w:r w:rsidRPr="00A3026E">
        <w:rPr>
          <w:color w:val="000000" w:themeColor="text1"/>
          <w:sz w:val="16"/>
          <w:szCs w:val="16"/>
        </w:rPr>
        <w:t>в) Чертежи на все остальные машины серийного производства, не указанные в подпунктах “а” и “б”, подписываются главным конструктором и утверждаются директором или главным инженером завода, а внесение изменений в чертежи допускается только с разрешения директора завода. Технологический процесс на те же машины утверждается главным технологом (по металлургическому производству — главным металлургом) и главным инженером завода, а внесение изменений в технологический процесс допускается только с разрешения директора завода.</w:t>
      </w:r>
    </w:p>
    <w:p w14:paraId="4F558072" w14:textId="77777777" w:rsidR="00C66762" w:rsidRPr="00A3026E" w:rsidRDefault="00C66762" w:rsidP="00A3026E">
      <w:pPr>
        <w:pStyle w:val="rtejustify"/>
        <w:spacing w:before="0" w:after="0"/>
        <w:rPr>
          <w:color w:val="000000" w:themeColor="text1"/>
          <w:sz w:val="16"/>
          <w:szCs w:val="16"/>
        </w:rPr>
      </w:pPr>
      <w:r w:rsidRPr="00A3026E">
        <w:rPr>
          <w:color w:val="000000" w:themeColor="text1"/>
          <w:sz w:val="16"/>
          <w:szCs w:val="16"/>
        </w:rPr>
        <w:t>г) Технологический процесс и чертежи на опытные машины, а также последующие изменения в них, до принятия на серийное производство, утверждаются и разрешаются главным технологом и главным конструктором завода.</w:t>
      </w:r>
    </w:p>
    <w:p w14:paraId="1E2D66A4" w14:textId="77777777" w:rsidR="00C66762" w:rsidRPr="00A3026E" w:rsidRDefault="00C66762" w:rsidP="00A3026E">
      <w:pPr>
        <w:pStyle w:val="rtejustify"/>
        <w:spacing w:before="0" w:after="0"/>
        <w:rPr>
          <w:color w:val="000000" w:themeColor="text1"/>
          <w:sz w:val="16"/>
          <w:szCs w:val="16"/>
        </w:rPr>
      </w:pPr>
      <w:r w:rsidRPr="00A3026E">
        <w:rPr>
          <w:color w:val="000000" w:themeColor="text1"/>
          <w:sz w:val="16"/>
          <w:szCs w:val="16"/>
        </w:rPr>
        <w:t>2. Запретить внедрять заменители в серийное производство без предварительных испытаний этих заменителей на опытных образцах или партиях машин и без последующего утверждения в порядке, установленном п. 1.</w:t>
      </w:r>
    </w:p>
    <w:p w14:paraId="4EC75128" w14:textId="77777777" w:rsidR="00C66762" w:rsidRPr="00A3026E" w:rsidRDefault="00C66762" w:rsidP="00A3026E">
      <w:pPr>
        <w:pStyle w:val="rtejustify"/>
        <w:spacing w:before="0" w:after="0"/>
        <w:rPr>
          <w:color w:val="000000" w:themeColor="text1"/>
          <w:sz w:val="16"/>
          <w:szCs w:val="16"/>
        </w:rPr>
      </w:pPr>
      <w:r w:rsidRPr="00A3026E">
        <w:rPr>
          <w:color w:val="000000" w:themeColor="text1"/>
          <w:sz w:val="16"/>
          <w:szCs w:val="16"/>
        </w:rPr>
        <w:t>3. Запретить внедрение рационализаторских предложений и изобретений в машины серийного производства без предварительной проверки их на опытных образцах или партиях машин и без последующего утверждения в порядке, установленном п. 1.</w:t>
      </w:r>
    </w:p>
    <w:p w14:paraId="4F81527B" w14:textId="77777777" w:rsidR="00C66762" w:rsidRPr="00A3026E" w:rsidRDefault="00C66762" w:rsidP="00A3026E">
      <w:pPr>
        <w:pStyle w:val="rtejustify"/>
        <w:spacing w:before="0" w:after="0"/>
        <w:rPr>
          <w:color w:val="000000" w:themeColor="text1"/>
          <w:sz w:val="16"/>
          <w:szCs w:val="16"/>
        </w:rPr>
      </w:pPr>
      <w:r w:rsidRPr="00A3026E">
        <w:rPr>
          <w:color w:val="000000" w:themeColor="text1"/>
          <w:sz w:val="16"/>
          <w:szCs w:val="16"/>
        </w:rPr>
        <w:t>4. Невыполнение настоящего Постановления рассматривать как уголовное преступление, а директоров, главных инженеров и главных технологов заводов допустивших эти нарушения, предавать суду (12180)</w:t>
      </w:r>
    </w:p>
    <w:p w14:paraId="2F46288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318E8A55"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445DA1F1"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571A63D4"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8 декабря 1940 во время немецкого авианалета пострадал Тауэр в Лондоне (4962).</w:t>
      </w:r>
    </w:p>
    <w:p w14:paraId="2A74AE95"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95A598D" w14:textId="77777777" w:rsidR="00190D0A" w:rsidRPr="00A3026E" w:rsidRDefault="00190D0A"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8 декабря</w:t>
      </w:r>
      <w:r w:rsidRPr="00A3026E">
        <w:rPr>
          <w:rFonts w:ascii="Times New Roman" w:hAnsi="Times New Roman"/>
          <w:color w:val="000000" w:themeColor="text1"/>
          <w:sz w:val="16"/>
          <w:szCs w:val="16"/>
        </w:rPr>
        <w:t xml:space="preserve"> в 1940 году в письме Рузвельту Черчилль предупредил, что приближается момент, когда Англия не сможет платить за военную продукцию, поставляемую из США (14854).</w:t>
      </w:r>
    </w:p>
    <w:p w14:paraId="7A2A64BD" w14:textId="77777777" w:rsidR="00190D0A" w:rsidRPr="00A3026E" w:rsidRDefault="00190D0A" w:rsidP="00A3026E">
      <w:pPr>
        <w:spacing w:after="0" w:line="240" w:lineRule="auto"/>
        <w:jc w:val="both"/>
        <w:rPr>
          <w:rFonts w:ascii="Times New Roman" w:hAnsi="Times New Roman"/>
          <w:color w:val="000000" w:themeColor="text1"/>
          <w:sz w:val="16"/>
          <w:szCs w:val="16"/>
        </w:rPr>
      </w:pPr>
    </w:p>
    <w:p w14:paraId="4767A3C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декабря 1940 около Кубы английские корабли перехватили немецкий блокадопрорыватель Индарвальд с грузом каучука и немцы подожгли, а затем затопили корабль (2536,268).</w:t>
      </w:r>
    </w:p>
    <w:p w14:paraId="6E036368"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309839F" w14:textId="77777777" w:rsidR="00C6676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F0B2188" w14:textId="77777777" w:rsidR="00C66762" w:rsidRPr="00A3026E" w:rsidRDefault="00C66762" w:rsidP="00A3026E">
      <w:pPr>
        <w:spacing w:after="0" w:line="240" w:lineRule="auto"/>
        <w:jc w:val="both"/>
        <w:rPr>
          <w:rFonts w:ascii="Times New Roman" w:hAnsi="Times New Roman"/>
          <w:iCs/>
          <w:color w:val="000000" w:themeColor="text1"/>
          <w:sz w:val="16"/>
          <w:szCs w:val="16"/>
        </w:rPr>
      </w:pPr>
    </w:p>
    <w:p w14:paraId="19125625" w14:textId="77777777" w:rsidR="00FF31A7" w:rsidRPr="00A3026E" w:rsidRDefault="00FF31A7"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К 9 декабря 1940 г. для Ил-2 было изготовлено новое крыло со стрельчатым на</w:t>
      </w:r>
      <w:r w:rsidRPr="00A3026E">
        <w:rPr>
          <w:color w:val="000000" w:themeColor="text1"/>
          <w:sz w:val="16"/>
          <w:szCs w:val="16"/>
        </w:rPr>
        <w:softHyphen/>
        <w:t>чертанием, приспособленное для установки 2 пу</w:t>
      </w:r>
      <w:r w:rsidRPr="00A3026E">
        <w:rPr>
          <w:color w:val="000000" w:themeColor="text1"/>
          <w:sz w:val="16"/>
          <w:szCs w:val="16"/>
        </w:rPr>
        <w:softHyphen/>
        <w:t>шек Таубина—Бабурина и 2 пулеметов ШКАС. С це</w:t>
      </w:r>
      <w:r w:rsidRPr="00A3026E">
        <w:rPr>
          <w:color w:val="000000" w:themeColor="text1"/>
          <w:sz w:val="16"/>
          <w:szCs w:val="16"/>
        </w:rPr>
        <w:softHyphen/>
        <w:t>лью обеспечения обзора летчику и продольной устойчивости самолета моторная рама на самолете БШ-2 № 2 опущена на 250 мм вниз и передвинута вперед на 220 мм. Во второй кабине вместо штур</w:t>
      </w:r>
      <w:r w:rsidRPr="00A3026E">
        <w:rPr>
          <w:color w:val="000000" w:themeColor="text1"/>
          <w:sz w:val="16"/>
          <w:szCs w:val="16"/>
        </w:rPr>
        <w:softHyphen/>
        <w:t>мана устанавливается дополнительный бензобак емкостью 270 л (всего 500 кг вместо 315 кг). Одно</w:t>
      </w:r>
      <w:r w:rsidRPr="00A3026E">
        <w:rPr>
          <w:color w:val="000000" w:themeColor="text1"/>
          <w:sz w:val="16"/>
          <w:szCs w:val="16"/>
        </w:rPr>
        <w:softHyphen/>
        <w:t>временно переделывался фонарь кабины летчика, который становился сдвижным назад. Выход само</w:t>
      </w:r>
      <w:r w:rsidRPr="00A3026E">
        <w:rPr>
          <w:color w:val="000000" w:themeColor="text1"/>
          <w:sz w:val="16"/>
          <w:szCs w:val="16"/>
        </w:rPr>
        <w:softHyphen/>
        <w:t>лета на заводские испытания ожидался 20—25 де</w:t>
      </w:r>
      <w:r w:rsidRPr="00A3026E">
        <w:rPr>
          <w:color w:val="000000" w:themeColor="text1"/>
          <w:sz w:val="16"/>
          <w:szCs w:val="16"/>
        </w:rPr>
        <w:softHyphen/>
        <w:t>кабря 1940 г. (17500).</w:t>
      </w:r>
    </w:p>
    <w:p w14:paraId="6F7F871B" w14:textId="77777777" w:rsidR="00FF31A7" w:rsidRPr="00A3026E" w:rsidRDefault="00FF31A7" w:rsidP="00A3026E">
      <w:pPr>
        <w:spacing w:after="0" w:line="240" w:lineRule="auto"/>
        <w:jc w:val="both"/>
        <w:rPr>
          <w:rFonts w:ascii="Times New Roman" w:eastAsia="Times New Roman" w:hAnsi="Times New Roman"/>
          <w:color w:val="000000" w:themeColor="text1"/>
          <w:sz w:val="16"/>
          <w:szCs w:val="16"/>
          <w:lang w:eastAsia="ru-RU"/>
        </w:rPr>
      </w:pPr>
    </w:p>
    <w:p w14:paraId="0A6F03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вышел приказ НКАП N 702сс:</w:t>
      </w:r>
    </w:p>
    <w:p w14:paraId="5FE461A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исполнение постановления СНК СССР и ЦК ВКП(б) от 7 декабря 1940 "О программе выпуска самолетов, авиамоторов и авиавинтов в 1941 году", ПРИКАЗЫВАЮ: (416,58).</w:t>
      </w:r>
    </w:p>
    <w:p w14:paraId="57839F8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Заместителю Наркома и начальнику ПГУ тов. Воронину П.А.:</w:t>
      </w:r>
    </w:p>
    <w:p w14:paraId="6F8B15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принять к исполнению следующую программу выпуска самолетов в 1941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1276"/>
        <w:gridCol w:w="1134"/>
        <w:gridCol w:w="992"/>
        <w:gridCol w:w="993"/>
        <w:gridCol w:w="1134"/>
        <w:gridCol w:w="2128"/>
      </w:tblGrid>
      <w:tr w:rsidR="00983732" w:rsidRPr="00A3026E" w14:paraId="2165B9FE" w14:textId="77777777" w:rsidTr="00EA0DA7">
        <w:tc>
          <w:tcPr>
            <w:tcW w:w="2943" w:type="dxa"/>
            <w:tcBorders>
              <w:top w:val="single" w:sz="12" w:space="0" w:color="auto"/>
            </w:tcBorders>
          </w:tcPr>
          <w:p w14:paraId="45C55A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самолета</w:t>
            </w:r>
          </w:p>
        </w:tc>
        <w:tc>
          <w:tcPr>
            <w:tcW w:w="1276" w:type="dxa"/>
            <w:tcBorders>
              <w:top w:val="single" w:sz="12" w:space="0" w:color="auto"/>
            </w:tcBorders>
          </w:tcPr>
          <w:p w14:paraId="3F23EEF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1941</w:t>
            </w:r>
          </w:p>
        </w:tc>
        <w:tc>
          <w:tcPr>
            <w:tcW w:w="1134" w:type="dxa"/>
            <w:tcBorders>
              <w:top w:val="single" w:sz="12" w:space="0" w:color="auto"/>
            </w:tcBorders>
          </w:tcPr>
          <w:p w14:paraId="609255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tc>
        <w:tc>
          <w:tcPr>
            <w:tcW w:w="992" w:type="dxa"/>
            <w:tcBorders>
              <w:top w:val="single" w:sz="12" w:space="0" w:color="auto"/>
            </w:tcBorders>
          </w:tcPr>
          <w:p w14:paraId="68D5310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Borders>
              <w:top w:val="single" w:sz="12" w:space="0" w:color="auto"/>
            </w:tcBorders>
          </w:tcPr>
          <w:p w14:paraId="55C6D5E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Borders>
              <w:top w:val="single" w:sz="12" w:space="0" w:color="auto"/>
            </w:tcBorders>
          </w:tcPr>
          <w:p w14:paraId="4809ACA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28" w:type="dxa"/>
            <w:tcBorders>
              <w:top w:val="single" w:sz="12" w:space="0" w:color="auto"/>
            </w:tcBorders>
          </w:tcPr>
          <w:p w14:paraId="36316E6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кв. 1942</w:t>
            </w:r>
          </w:p>
        </w:tc>
      </w:tr>
      <w:tr w:rsidR="00983732" w:rsidRPr="00A3026E" w14:paraId="3DBBE5FB" w14:textId="77777777" w:rsidTr="00EA0DA7">
        <w:tc>
          <w:tcPr>
            <w:tcW w:w="2943" w:type="dxa"/>
          </w:tcPr>
          <w:p w14:paraId="569D04D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76" w:type="dxa"/>
          </w:tcPr>
          <w:p w14:paraId="60CE7A9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6C42340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42D287F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Pr>
          <w:p w14:paraId="21B815E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2E2E329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28" w:type="dxa"/>
          </w:tcPr>
          <w:p w14:paraId="3D5695C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1742F41" w14:textId="77777777" w:rsidTr="00EA0DA7">
        <w:tc>
          <w:tcPr>
            <w:tcW w:w="2943" w:type="dxa"/>
          </w:tcPr>
          <w:p w14:paraId="6C7291F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76" w:type="dxa"/>
          </w:tcPr>
          <w:p w14:paraId="0257A5E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77834BB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кв.</w:t>
            </w:r>
          </w:p>
        </w:tc>
        <w:tc>
          <w:tcPr>
            <w:tcW w:w="992" w:type="dxa"/>
          </w:tcPr>
          <w:p w14:paraId="02FD18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кв.</w:t>
            </w:r>
          </w:p>
        </w:tc>
        <w:tc>
          <w:tcPr>
            <w:tcW w:w="993" w:type="dxa"/>
          </w:tcPr>
          <w:p w14:paraId="4292A6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кв.</w:t>
            </w:r>
          </w:p>
        </w:tc>
        <w:tc>
          <w:tcPr>
            <w:tcW w:w="1134" w:type="dxa"/>
          </w:tcPr>
          <w:p w14:paraId="0EFE6C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кв</w:t>
            </w:r>
          </w:p>
        </w:tc>
        <w:tc>
          <w:tcPr>
            <w:tcW w:w="2128" w:type="dxa"/>
          </w:tcPr>
          <w:p w14:paraId="518B20B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3317A76" w14:textId="77777777" w:rsidTr="00EA0DA7">
        <w:tc>
          <w:tcPr>
            <w:tcW w:w="2943" w:type="dxa"/>
          </w:tcPr>
          <w:p w14:paraId="4145B1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самолетов</w:t>
            </w:r>
          </w:p>
        </w:tc>
        <w:tc>
          <w:tcPr>
            <w:tcW w:w="1276" w:type="dxa"/>
          </w:tcPr>
          <w:p w14:paraId="29BFC94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20150</w:t>
            </w:r>
          </w:p>
        </w:tc>
        <w:tc>
          <w:tcPr>
            <w:tcW w:w="1134" w:type="dxa"/>
          </w:tcPr>
          <w:p w14:paraId="3D99255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2998</w:t>
            </w:r>
          </w:p>
        </w:tc>
        <w:tc>
          <w:tcPr>
            <w:tcW w:w="992" w:type="dxa"/>
          </w:tcPr>
          <w:p w14:paraId="373A93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4467</w:t>
            </w:r>
          </w:p>
        </w:tc>
        <w:tc>
          <w:tcPr>
            <w:tcW w:w="993" w:type="dxa"/>
          </w:tcPr>
          <w:p w14:paraId="5D3ABE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5827</w:t>
            </w:r>
          </w:p>
        </w:tc>
        <w:tc>
          <w:tcPr>
            <w:tcW w:w="1134" w:type="dxa"/>
          </w:tcPr>
          <w:p w14:paraId="319F4C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6858</w:t>
            </w:r>
          </w:p>
        </w:tc>
        <w:tc>
          <w:tcPr>
            <w:tcW w:w="2128" w:type="dxa"/>
          </w:tcPr>
          <w:p w14:paraId="473FBC8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7940</w:t>
            </w:r>
          </w:p>
        </w:tc>
      </w:tr>
      <w:tr w:rsidR="00983732" w:rsidRPr="00A3026E" w14:paraId="6EBF6D88" w14:textId="77777777" w:rsidTr="00EA0DA7">
        <w:tc>
          <w:tcPr>
            <w:tcW w:w="2943" w:type="dxa"/>
          </w:tcPr>
          <w:p w14:paraId="4C33E9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Истребители</w:t>
            </w:r>
          </w:p>
        </w:tc>
        <w:tc>
          <w:tcPr>
            <w:tcW w:w="1276" w:type="dxa"/>
          </w:tcPr>
          <w:p w14:paraId="7E9BE96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3E570A0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2C27E20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Pr>
          <w:p w14:paraId="1117886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4ED7B68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28" w:type="dxa"/>
          </w:tcPr>
          <w:p w14:paraId="4482F35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D4A1EDE" w14:textId="77777777" w:rsidTr="00EA0DA7">
        <w:tc>
          <w:tcPr>
            <w:tcW w:w="2943" w:type="dxa"/>
          </w:tcPr>
          <w:p w14:paraId="40D9FB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МиГ-2 АМ-35А</w:t>
            </w:r>
          </w:p>
        </w:tc>
        <w:tc>
          <w:tcPr>
            <w:tcW w:w="1276" w:type="dxa"/>
          </w:tcPr>
          <w:p w14:paraId="058FA3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3600</w:t>
            </w:r>
          </w:p>
        </w:tc>
        <w:tc>
          <w:tcPr>
            <w:tcW w:w="1134" w:type="dxa"/>
          </w:tcPr>
          <w:p w14:paraId="726FC9E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c>
          <w:tcPr>
            <w:tcW w:w="992" w:type="dxa"/>
          </w:tcPr>
          <w:p w14:paraId="45A146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835</w:t>
            </w:r>
          </w:p>
        </w:tc>
        <w:tc>
          <w:tcPr>
            <w:tcW w:w="993" w:type="dxa"/>
          </w:tcPr>
          <w:p w14:paraId="57208D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1080</w:t>
            </w:r>
          </w:p>
        </w:tc>
        <w:tc>
          <w:tcPr>
            <w:tcW w:w="1134" w:type="dxa"/>
          </w:tcPr>
          <w:p w14:paraId="16E4F6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1160</w:t>
            </w:r>
          </w:p>
        </w:tc>
        <w:tc>
          <w:tcPr>
            <w:tcW w:w="2128" w:type="dxa"/>
          </w:tcPr>
          <w:p w14:paraId="68BE72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464A676F" w14:textId="77777777" w:rsidTr="00EA0DA7">
        <w:tc>
          <w:tcPr>
            <w:tcW w:w="2943" w:type="dxa"/>
          </w:tcPr>
          <w:p w14:paraId="4F8F11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 М-105П</w:t>
            </w:r>
          </w:p>
        </w:tc>
        <w:tc>
          <w:tcPr>
            <w:tcW w:w="1276" w:type="dxa"/>
          </w:tcPr>
          <w:p w14:paraId="3EA02AA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2960</w:t>
            </w:r>
          </w:p>
        </w:tc>
        <w:tc>
          <w:tcPr>
            <w:tcW w:w="1134" w:type="dxa"/>
          </w:tcPr>
          <w:p w14:paraId="219134D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w:t>
            </w:r>
          </w:p>
        </w:tc>
        <w:tc>
          <w:tcPr>
            <w:tcW w:w="992" w:type="dxa"/>
          </w:tcPr>
          <w:p w14:paraId="5AA5E7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993" w:type="dxa"/>
          </w:tcPr>
          <w:p w14:paraId="29A3F6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865</w:t>
            </w:r>
          </w:p>
        </w:tc>
        <w:tc>
          <w:tcPr>
            <w:tcW w:w="1134" w:type="dxa"/>
          </w:tcPr>
          <w:p w14:paraId="122739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1290</w:t>
            </w:r>
          </w:p>
        </w:tc>
        <w:tc>
          <w:tcPr>
            <w:tcW w:w="2128" w:type="dxa"/>
          </w:tcPr>
          <w:p w14:paraId="05E1E63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1570</w:t>
            </w:r>
          </w:p>
        </w:tc>
      </w:tr>
      <w:tr w:rsidR="00983732" w:rsidRPr="00A3026E" w14:paraId="43F6C315" w14:textId="77777777" w:rsidTr="00EA0DA7">
        <w:tc>
          <w:tcPr>
            <w:tcW w:w="2943" w:type="dxa"/>
          </w:tcPr>
          <w:p w14:paraId="2F6EEC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Як-3 М-105П</w:t>
            </w:r>
          </w:p>
        </w:tc>
        <w:tc>
          <w:tcPr>
            <w:tcW w:w="1276" w:type="dxa"/>
          </w:tcPr>
          <w:p w14:paraId="4D7E9E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1950</w:t>
            </w:r>
          </w:p>
        </w:tc>
        <w:tc>
          <w:tcPr>
            <w:tcW w:w="1134" w:type="dxa"/>
          </w:tcPr>
          <w:p w14:paraId="0D8914A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tc>
        <w:tc>
          <w:tcPr>
            <w:tcW w:w="992" w:type="dxa"/>
          </w:tcPr>
          <w:p w14:paraId="5EEA0E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w:t>
            </w:r>
          </w:p>
        </w:tc>
        <w:tc>
          <w:tcPr>
            <w:tcW w:w="993" w:type="dxa"/>
          </w:tcPr>
          <w:p w14:paraId="544006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w:t>
            </w:r>
          </w:p>
        </w:tc>
        <w:tc>
          <w:tcPr>
            <w:tcW w:w="1134" w:type="dxa"/>
          </w:tcPr>
          <w:p w14:paraId="374C68D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640</w:t>
            </w:r>
          </w:p>
        </w:tc>
        <w:tc>
          <w:tcPr>
            <w:tcW w:w="2128" w:type="dxa"/>
          </w:tcPr>
          <w:p w14:paraId="096006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785</w:t>
            </w:r>
          </w:p>
        </w:tc>
      </w:tr>
      <w:tr w:rsidR="00983732" w:rsidRPr="00A3026E" w14:paraId="3C1BF449" w14:textId="77777777" w:rsidTr="00EA0DA7">
        <w:tc>
          <w:tcPr>
            <w:tcW w:w="2943" w:type="dxa"/>
          </w:tcPr>
          <w:p w14:paraId="6CA6E8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(Як-1)</w:t>
            </w:r>
          </w:p>
        </w:tc>
        <w:tc>
          <w:tcPr>
            <w:tcW w:w="1276" w:type="dxa"/>
          </w:tcPr>
          <w:p w14:paraId="5A390BD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59880C9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53582D1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Pr>
          <w:p w14:paraId="78C6873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733E749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28" w:type="dxa"/>
          </w:tcPr>
          <w:p w14:paraId="3E0AB70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3528D33" w14:textId="77777777" w:rsidTr="00EA0DA7">
        <w:tc>
          <w:tcPr>
            <w:tcW w:w="2943" w:type="dxa"/>
          </w:tcPr>
          <w:p w14:paraId="17777A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1276" w:type="dxa"/>
          </w:tcPr>
          <w:p w14:paraId="5DA61C0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488D8B4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7925547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Pr>
          <w:p w14:paraId="28258CF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439D4A1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28" w:type="dxa"/>
          </w:tcPr>
          <w:p w14:paraId="042FA82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7E791359" w14:textId="77777777" w:rsidTr="00EA0DA7">
        <w:tc>
          <w:tcPr>
            <w:tcW w:w="2943" w:type="dxa"/>
          </w:tcPr>
          <w:p w14:paraId="00FFBDB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истребителей</w:t>
            </w:r>
          </w:p>
        </w:tc>
        <w:tc>
          <w:tcPr>
            <w:tcW w:w="1276" w:type="dxa"/>
          </w:tcPr>
          <w:p w14:paraId="6E1EB7D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8510</w:t>
            </w:r>
          </w:p>
        </w:tc>
        <w:tc>
          <w:tcPr>
            <w:tcW w:w="1134" w:type="dxa"/>
          </w:tcPr>
          <w:p w14:paraId="2B7F146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1125</w:t>
            </w:r>
          </w:p>
        </w:tc>
        <w:tc>
          <w:tcPr>
            <w:tcW w:w="992" w:type="dxa"/>
          </w:tcPr>
          <w:p w14:paraId="453DED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w:t>
            </w:r>
          </w:p>
        </w:tc>
        <w:tc>
          <w:tcPr>
            <w:tcW w:w="993" w:type="dxa"/>
          </w:tcPr>
          <w:p w14:paraId="73C202E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2495</w:t>
            </w:r>
          </w:p>
        </w:tc>
        <w:tc>
          <w:tcPr>
            <w:tcW w:w="1134" w:type="dxa"/>
          </w:tcPr>
          <w:p w14:paraId="74F5A9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3090</w:t>
            </w:r>
          </w:p>
        </w:tc>
        <w:tc>
          <w:tcPr>
            <w:tcW w:w="2128" w:type="dxa"/>
          </w:tcPr>
          <w:p w14:paraId="0F6A5CD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3555</w:t>
            </w:r>
          </w:p>
        </w:tc>
      </w:tr>
      <w:tr w:rsidR="00983732" w:rsidRPr="00A3026E" w14:paraId="7CCE127D" w14:textId="77777777" w:rsidTr="00EA0DA7">
        <w:tc>
          <w:tcPr>
            <w:tcW w:w="2943" w:type="dxa"/>
          </w:tcPr>
          <w:p w14:paraId="05E83C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Бомбардировщики</w:t>
            </w:r>
          </w:p>
        </w:tc>
        <w:tc>
          <w:tcPr>
            <w:tcW w:w="1276" w:type="dxa"/>
          </w:tcPr>
          <w:p w14:paraId="396DE3D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47CB75A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636D050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Pr>
          <w:p w14:paraId="6867697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6246A8D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28" w:type="dxa"/>
          </w:tcPr>
          <w:p w14:paraId="4BC918E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1DE7C5AA" w14:textId="77777777" w:rsidTr="00EA0DA7">
        <w:tc>
          <w:tcPr>
            <w:tcW w:w="2943" w:type="dxa"/>
          </w:tcPr>
          <w:p w14:paraId="08A82FD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Ер-2 2М-40</w:t>
            </w:r>
          </w:p>
        </w:tc>
        <w:tc>
          <w:tcPr>
            <w:tcW w:w="1276" w:type="dxa"/>
          </w:tcPr>
          <w:p w14:paraId="373EEF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134" w:type="dxa"/>
          </w:tcPr>
          <w:p w14:paraId="0470BFF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748114A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3" w:type="dxa"/>
          </w:tcPr>
          <w:p w14:paraId="17027E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134" w:type="dxa"/>
          </w:tcPr>
          <w:p w14:paraId="55BBA5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2128" w:type="dxa"/>
          </w:tcPr>
          <w:p w14:paraId="1ACBF7A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33153E0D" w14:textId="77777777" w:rsidTr="00EA0DA7">
        <w:tc>
          <w:tcPr>
            <w:tcW w:w="2943" w:type="dxa"/>
          </w:tcPr>
          <w:p w14:paraId="5F96CC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 2М-105</w:t>
            </w:r>
          </w:p>
        </w:tc>
        <w:tc>
          <w:tcPr>
            <w:tcW w:w="1276" w:type="dxa"/>
          </w:tcPr>
          <w:p w14:paraId="37431B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w:t>
            </w:r>
          </w:p>
        </w:tc>
        <w:tc>
          <w:tcPr>
            <w:tcW w:w="1134" w:type="dxa"/>
          </w:tcPr>
          <w:p w14:paraId="2495B27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992" w:type="dxa"/>
          </w:tcPr>
          <w:p w14:paraId="1DEB8AB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993" w:type="dxa"/>
          </w:tcPr>
          <w:p w14:paraId="70357D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c>
          <w:tcPr>
            <w:tcW w:w="1134" w:type="dxa"/>
          </w:tcPr>
          <w:p w14:paraId="4F179F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w:t>
            </w:r>
          </w:p>
        </w:tc>
        <w:tc>
          <w:tcPr>
            <w:tcW w:w="2128" w:type="dxa"/>
          </w:tcPr>
          <w:p w14:paraId="58403A9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955</w:t>
            </w:r>
          </w:p>
        </w:tc>
      </w:tr>
      <w:tr w:rsidR="00983732" w:rsidRPr="00A3026E" w14:paraId="213AD7EB" w14:textId="77777777" w:rsidTr="00EA0DA7">
        <w:tc>
          <w:tcPr>
            <w:tcW w:w="2943" w:type="dxa"/>
          </w:tcPr>
          <w:p w14:paraId="50FA48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Ар-2 2М-105</w:t>
            </w:r>
          </w:p>
        </w:tc>
        <w:tc>
          <w:tcPr>
            <w:tcW w:w="1276" w:type="dxa"/>
          </w:tcPr>
          <w:p w14:paraId="2CB181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134" w:type="dxa"/>
          </w:tcPr>
          <w:p w14:paraId="30CE9B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92" w:type="dxa"/>
          </w:tcPr>
          <w:p w14:paraId="011E1C6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93" w:type="dxa"/>
          </w:tcPr>
          <w:p w14:paraId="7B358D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1134" w:type="dxa"/>
          </w:tcPr>
          <w:p w14:paraId="507C13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2128" w:type="dxa"/>
          </w:tcPr>
          <w:p w14:paraId="42FA8E8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197D410" w14:textId="77777777" w:rsidTr="00EA0DA7">
        <w:tc>
          <w:tcPr>
            <w:tcW w:w="2943" w:type="dxa"/>
          </w:tcPr>
          <w:p w14:paraId="697A040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Як-4 2М-105</w:t>
            </w:r>
          </w:p>
        </w:tc>
        <w:tc>
          <w:tcPr>
            <w:tcW w:w="1276" w:type="dxa"/>
          </w:tcPr>
          <w:p w14:paraId="08FA2A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c>
          <w:tcPr>
            <w:tcW w:w="1134" w:type="dxa"/>
          </w:tcPr>
          <w:p w14:paraId="00416BE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992" w:type="dxa"/>
          </w:tcPr>
          <w:p w14:paraId="68D45B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993" w:type="dxa"/>
          </w:tcPr>
          <w:p w14:paraId="35D933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c>
          <w:tcPr>
            <w:tcW w:w="1134" w:type="dxa"/>
          </w:tcPr>
          <w:p w14:paraId="688683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c>
          <w:tcPr>
            <w:tcW w:w="2128" w:type="dxa"/>
          </w:tcPr>
          <w:p w14:paraId="0B70CDE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r>
      <w:tr w:rsidR="00983732" w:rsidRPr="00A3026E" w14:paraId="25510E8D" w14:textId="77777777" w:rsidTr="00EA0DA7">
        <w:tc>
          <w:tcPr>
            <w:tcW w:w="2943" w:type="dxa"/>
          </w:tcPr>
          <w:p w14:paraId="38AF25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ТБ-7 4М-40</w:t>
            </w:r>
          </w:p>
        </w:tc>
        <w:tc>
          <w:tcPr>
            <w:tcW w:w="1276" w:type="dxa"/>
          </w:tcPr>
          <w:p w14:paraId="3245631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1134" w:type="dxa"/>
          </w:tcPr>
          <w:p w14:paraId="2AF68D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992" w:type="dxa"/>
          </w:tcPr>
          <w:p w14:paraId="4F9380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993" w:type="dxa"/>
          </w:tcPr>
          <w:p w14:paraId="68C780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134" w:type="dxa"/>
          </w:tcPr>
          <w:p w14:paraId="48A19F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2128" w:type="dxa"/>
          </w:tcPr>
          <w:p w14:paraId="7B5FCD3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r>
      <w:tr w:rsidR="00983732" w:rsidRPr="00A3026E" w14:paraId="22E2F62D" w14:textId="77777777" w:rsidTr="00EA0DA7">
        <w:tc>
          <w:tcPr>
            <w:tcW w:w="2943" w:type="dxa"/>
          </w:tcPr>
          <w:p w14:paraId="31A801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Су-2 М-88, 89</w:t>
            </w:r>
          </w:p>
        </w:tc>
        <w:tc>
          <w:tcPr>
            <w:tcW w:w="1276" w:type="dxa"/>
          </w:tcPr>
          <w:p w14:paraId="153C402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w:t>
            </w:r>
          </w:p>
        </w:tc>
        <w:tc>
          <w:tcPr>
            <w:tcW w:w="1134" w:type="dxa"/>
          </w:tcPr>
          <w:p w14:paraId="43763D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w:t>
            </w:r>
          </w:p>
        </w:tc>
        <w:tc>
          <w:tcPr>
            <w:tcW w:w="992" w:type="dxa"/>
          </w:tcPr>
          <w:p w14:paraId="2A2F058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c>
          <w:tcPr>
            <w:tcW w:w="993" w:type="dxa"/>
          </w:tcPr>
          <w:p w14:paraId="68F3A3C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tc>
        <w:tc>
          <w:tcPr>
            <w:tcW w:w="1134" w:type="dxa"/>
          </w:tcPr>
          <w:p w14:paraId="65DF92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w:t>
            </w:r>
          </w:p>
        </w:tc>
        <w:tc>
          <w:tcPr>
            <w:tcW w:w="2128" w:type="dxa"/>
          </w:tcPr>
          <w:p w14:paraId="4D1111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485</w:t>
            </w:r>
          </w:p>
        </w:tc>
      </w:tr>
      <w:tr w:rsidR="00983732" w:rsidRPr="00A3026E" w14:paraId="7632092E" w14:textId="77777777" w:rsidTr="00EA0DA7">
        <w:tc>
          <w:tcPr>
            <w:tcW w:w="2943" w:type="dxa"/>
          </w:tcPr>
          <w:p w14:paraId="780AE6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 2М-88</w:t>
            </w:r>
          </w:p>
        </w:tc>
        <w:tc>
          <w:tcPr>
            <w:tcW w:w="1276" w:type="dxa"/>
          </w:tcPr>
          <w:p w14:paraId="55433BC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c>
          <w:tcPr>
            <w:tcW w:w="1134" w:type="dxa"/>
          </w:tcPr>
          <w:p w14:paraId="0F5813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992" w:type="dxa"/>
          </w:tcPr>
          <w:p w14:paraId="40E100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265</w:t>
            </w:r>
          </w:p>
        </w:tc>
        <w:tc>
          <w:tcPr>
            <w:tcW w:w="993" w:type="dxa"/>
          </w:tcPr>
          <w:p w14:paraId="12E74D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1134" w:type="dxa"/>
          </w:tcPr>
          <w:p w14:paraId="4EA348B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c>
          <w:tcPr>
            <w:tcW w:w="2128" w:type="dxa"/>
          </w:tcPr>
          <w:p w14:paraId="692973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06974DF8" w14:textId="77777777" w:rsidTr="00EA0DA7">
        <w:tc>
          <w:tcPr>
            <w:tcW w:w="2943" w:type="dxa"/>
          </w:tcPr>
          <w:p w14:paraId="78972E4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1276" w:type="dxa"/>
          </w:tcPr>
          <w:p w14:paraId="5AD6804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6070</w:t>
            </w:r>
          </w:p>
        </w:tc>
        <w:tc>
          <w:tcPr>
            <w:tcW w:w="1134" w:type="dxa"/>
          </w:tcPr>
          <w:p w14:paraId="7203153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1033</w:t>
            </w:r>
          </w:p>
        </w:tc>
        <w:tc>
          <w:tcPr>
            <w:tcW w:w="992" w:type="dxa"/>
          </w:tcPr>
          <w:p w14:paraId="7B5152B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1422</w:t>
            </w:r>
          </w:p>
        </w:tc>
        <w:tc>
          <w:tcPr>
            <w:tcW w:w="993" w:type="dxa"/>
          </w:tcPr>
          <w:p w14:paraId="79DE323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1675</w:t>
            </w:r>
          </w:p>
        </w:tc>
        <w:tc>
          <w:tcPr>
            <w:tcW w:w="1134" w:type="dxa"/>
          </w:tcPr>
          <w:p w14:paraId="5C39EA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1920</w:t>
            </w:r>
          </w:p>
        </w:tc>
        <w:tc>
          <w:tcPr>
            <w:tcW w:w="2128" w:type="dxa"/>
          </w:tcPr>
          <w:p w14:paraId="34F3C34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2280</w:t>
            </w:r>
          </w:p>
        </w:tc>
      </w:tr>
      <w:tr w:rsidR="00983732" w:rsidRPr="00A3026E" w14:paraId="54A5CA4D" w14:textId="77777777" w:rsidTr="00EA0DA7">
        <w:tc>
          <w:tcPr>
            <w:tcW w:w="2943" w:type="dxa"/>
          </w:tcPr>
          <w:p w14:paraId="7596C8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бомбардировщиков</w:t>
            </w:r>
          </w:p>
        </w:tc>
        <w:tc>
          <w:tcPr>
            <w:tcW w:w="1276" w:type="dxa"/>
          </w:tcPr>
          <w:p w14:paraId="3484C9C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653E90B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2C42B51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Pr>
          <w:p w14:paraId="162B045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0B511E5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28" w:type="dxa"/>
          </w:tcPr>
          <w:p w14:paraId="4204FE8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8E469EE" w14:textId="77777777" w:rsidTr="00EA0DA7">
        <w:tc>
          <w:tcPr>
            <w:tcW w:w="2943" w:type="dxa"/>
          </w:tcPr>
          <w:p w14:paraId="774EC17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Штурмовики</w:t>
            </w:r>
          </w:p>
        </w:tc>
        <w:tc>
          <w:tcPr>
            <w:tcW w:w="1276" w:type="dxa"/>
          </w:tcPr>
          <w:p w14:paraId="2360D5B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54F46F8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40676CE7"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Pr>
          <w:p w14:paraId="5AC9B21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06C2ADF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28" w:type="dxa"/>
          </w:tcPr>
          <w:p w14:paraId="7599D09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5FB5F154" w14:textId="77777777" w:rsidTr="00EA0DA7">
        <w:tc>
          <w:tcPr>
            <w:tcW w:w="2943" w:type="dxa"/>
          </w:tcPr>
          <w:p w14:paraId="5DC09C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 АМ-35А</w:t>
            </w:r>
          </w:p>
        </w:tc>
        <w:tc>
          <w:tcPr>
            <w:tcW w:w="1276" w:type="dxa"/>
          </w:tcPr>
          <w:p w14:paraId="4131D76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1750</w:t>
            </w:r>
          </w:p>
        </w:tc>
        <w:tc>
          <w:tcPr>
            <w:tcW w:w="1134" w:type="dxa"/>
          </w:tcPr>
          <w:p w14:paraId="3021869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992" w:type="dxa"/>
          </w:tcPr>
          <w:p w14:paraId="11348E6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w:t>
            </w:r>
          </w:p>
        </w:tc>
        <w:tc>
          <w:tcPr>
            <w:tcW w:w="993" w:type="dxa"/>
          </w:tcPr>
          <w:p w14:paraId="2848709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1134" w:type="dxa"/>
          </w:tcPr>
          <w:p w14:paraId="7E153DC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690</w:t>
            </w:r>
          </w:p>
        </w:tc>
        <w:tc>
          <w:tcPr>
            <w:tcW w:w="2128" w:type="dxa"/>
          </w:tcPr>
          <w:p w14:paraId="0FEF059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805</w:t>
            </w:r>
          </w:p>
        </w:tc>
      </w:tr>
      <w:tr w:rsidR="00983732" w:rsidRPr="00A3026E" w14:paraId="08D0DF23" w14:textId="77777777" w:rsidTr="00EA0DA7">
        <w:tc>
          <w:tcPr>
            <w:tcW w:w="2943" w:type="dxa"/>
          </w:tcPr>
          <w:p w14:paraId="61F819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Морские</w:t>
            </w:r>
          </w:p>
        </w:tc>
        <w:tc>
          <w:tcPr>
            <w:tcW w:w="1276" w:type="dxa"/>
          </w:tcPr>
          <w:p w14:paraId="05EF8D7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5213F18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6226220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Pr>
          <w:p w14:paraId="6BF38FA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79D9D25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28" w:type="dxa"/>
          </w:tcPr>
          <w:p w14:paraId="3467AFD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4532C639" w14:textId="77777777" w:rsidTr="00EA0DA7">
        <w:tc>
          <w:tcPr>
            <w:tcW w:w="2943" w:type="dxa"/>
          </w:tcPr>
          <w:p w14:paraId="500CFF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МДР-6 2М-62</w:t>
            </w:r>
          </w:p>
        </w:tc>
        <w:tc>
          <w:tcPr>
            <w:tcW w:w="1276" w:type="dxa"/>
          </w:tcPr>
          <w:p w14:paraId="1D9FB9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134" w:type="dxa"/>
          </w:tcPr>
          <w:p w14:paraId="139D6D0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992" w:type="dxa"/>
          </w:tcPr>
          <w:p w14:paraId="196C58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993" w:type="dxa"/>
          </w:tcPr>
          <w:p w14:paraId="6C7D680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1134" w:type="dxa"/>
          </w:tcPr>
          <w:p w14:paraId="220D2C1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2128" w:type="dxa"/>
          </w:tcPr>
          <w:p w14:paraId="6E621E5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r>
      <w:tr w:rsidR="00983732" w:rsidRPr="00A3026E" w14:paraId="0C00CB8F" w14:textId="77777777" w:rsidTr="00EA0DA7">
        <w:tc>
          <w:tcPr>
            <w:tcW w:w="2943" w:type="dxa"/>
          </w:tcPr>
          <w:p w14:paraId="47EB51A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1276" w:type="dxa"/>
          </w:tcPr>
          <w:p w14:paraId="29A8181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30B0C21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081375E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Pr>
          <w:p w14:paraId="6D9EEE9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05330DB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28" w:type="dxa"/>
          </w:tcPr>
          <w:p w14:paraId="12A2D63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FE92A6E" w14:textId="77777777" w:rsidTr="00EA0DA7">
        <w:tc>
          <w:tcPr>
            <w:tcW w:w="2943" w:type="dxa"/>
          </w:tcPr>
          <w:p w14:paraId="158DDCA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боевых</w:t>
            </w:r>
          </w:p>
        </w:tc>
        <w:tc>
          <w:tcPr>
            <w:tcW w:w="1276" w:type="dxa"/>
          </w:tcPr>
          <w:p w14:paraId="7E57CDB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16530</w:t>
            </w:r>
          </w:p>
        </w:tc>
        <w:tc>
          <w:tcPr>
            <w:tcW w:w="1134" w:type="dxa"/>
          </w:tcPr>
          <w:p w14:paraId="097C8C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2233</w:t>
            </w:r>
          </w:p>
        </w:tc>
        <w:tc>
          <w:tcPr>
            <w:tcW w:w="992" w:type="dxa"/>
          </w:tcPr>
          <w:p w14:paraId="0A371BA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3702</w:t>
            </w:r>
          </w:p>
        </w:tc>
        <w:tc>
          <w:tcPr>
            <w:tcW w:w="993" w:type="dxa"/>
          </w:tcPr>
          <w:p w14:paraId="7F2D321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4830</w:t>
            </w:r>
          </w:p>
        </w:tc>
        <w:tc>
          <w:tcPr>
            <w:tcW w:w="1134" w:type="dxa"/>
          </w:tcPr>
          <w:p w14:paraId="03E81E7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5765</w:t>
            </w:r>
          </w:p>
        </w:tc>
        <w:tc>
          <w:tcPr>
            <w:tcW w:w="2128" w:type="dxa"/>
          </w:tcPr>
          <w:p w14:paraId="7AE64B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6720</w:t>
            </w:r>
          </w:p>
        </w:tc>
      </w:tr>
      <w:tr w:rsidR="00983732" w:rsidRPr="00A3026E" w14:paraId="22E3ABC5" w14:textId="77777777" w:rsidTr="00EA0DA7">
        <w:tc>
          <w:tcPr>
            <w:tcW w:w="2943" w:type="dxa"/>
          </w:tcPr>
          <w:p w14:paraId="5F0DABE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Транспортные</w:t>
            </w:r>
          </w:p>
        </w:tc>
        <w:tc>
          <w:tcPr>
            <w:tcW w:w="1276" w:type="dxa"/>
          </w:tcPr>
          <w:p w14:paraId="2A87C29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353FD06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6C2ABAD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Pr>
          <w:p w14:paraId="3E4E7F2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6470EC1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28" w:type="dxa"/>
          </w:tcPr>
          <w:p w14:paraId="5B1DD79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A12A48D" w14:textId="77777777" w:rsidTr="00EA0DA7">
        <w:tc>
          <w:tcPr>
            <w:tcW w:w="2943" w:type="dxa"/>
          </w:tcPr>
          <w:p w14:paraId="1341731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ПС-84 2М-62ИР</w:t>
            </w:r>
          </w:p>
        </w:tc>
        <w:tc>
          <w:tcPr>
            <w:tcW w:w="1276" w:type="dxa"/>
          </w:tcPr>
          <w:p w14:paraId="50E920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134" w:type="dxa"/>
          </w:tcPr>
          <w:p w14:paraId="1AA31F0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992" w:type="dxa"/>
          </w:tcPr>
          <w:p w14:paraId="7EEAA5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993" w:type="dxa"/>
          </w:tcPr>
          <w:p w14:paraId="0AC950E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1134" w:type="dxa"/>
          </w:tcPr>
          <w:p w14:paraId="6830E46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2128" w:type="dxa"/>
          </w:tcPr>
          <w:p w14:paraId="36B7891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5D2570FF" w14:textId="77777777" w:rsidTr="00EA0DA7">
        <w:tc>
          <w:tcPr>
            <w:tcW w:w="2943" w:type="dxa"/>
          </w:tcPr>
          <w:p w14:paraId="783F78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Учебные</w:t>
            </w:r>
          </w:p>
        </w:tc>
        <w:tc>
          <w:tcPr>
            <w:tcW w:w="1276" w:type="dxa"/>
          </w:tcPr>
          <w:p w14:paraId="35F931AC"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33F35BA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1A0F795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Pr>
          <w:p w14:paraId="5EAF0BD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7C66465D"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28" w:type="dxa"/>
          </w:tcPr>
          <w:p w14:paraId="7AA6696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6717D263" w14:textId="77777777" w:rsidTr="00EA0DA7">
        <w:tc>
          <w:tcPr>
            <w:tcW w:w="2943" w:type="dxa"/>
          </w:tcPr>
          <w:p w14:paraId="006CE0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УТИ-26 М-105П</w:t>
            </w:r>
          </w:p>
        </w:tc>
        <w:tc>
          <w:tcPr>
            <w:tcW w:w="1276" w:type="dxa"/>
          </w:tcPr>
          <w:p w14:paraId="6BFAA2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1134" w:type="dxa"/>
          </w:tcPr>
          <w:p w14:paraId="092A6F6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3C01B13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Pr>
          <w:p w14:paraId="27F783A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Pr>
          <w:p w14:paraId="5D82C29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28" w:type="dxa"/>
          </w:tcPr>
          <w:p w14:paraId="7C6FC64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2BD0C23C" w14:textId="77777777" w:rsidTr="00EA0DA7">
        <w:tc>
          <w:tcPr>
            <w:tcW w:w="2943" w:type="dxa"/>
            <w:tcBorders>
              <w:bottom w:val="single" w:sz="12" w:space="0" w:color="auto"/>
            </w:tcBorders>
          </w:tcPr>
          <w:p w14:paraId="17EF0C6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(416,58)</w:t>
            </w:r>
          </w:p>
        </w:tc>
        <w:tc>
          <w:tcPr>
            <w:tcW w:w="1276" w:type="dxa"/>
            <w:tcBorders>
              <w:bottom w:val="single" w:sz="12" w:space="0" w:color="auto"/>
            </w:tcBorders>
          </w:tcPr>
          <w:p w14:paraId="48BB056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Borders>
              <w:bottom w:val="single" w:sz="12" w:space="0" w:color="auto"/>
            </w:tcBorders>
          </w:tcPr>
          <w:p w14:paraId="49CC5A8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3FB8BEE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3" w:type="dxa"/>
            <w:tcBorders>
              <w:bottom w:val="single" w:sz="12" w:space="0" w:color="auto"/>
            </w:tcBorders>
          </w:tcPr>
          <w:p w14:paraId="2D80C56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134" w:type="dxa"/>
            <w:tcBorders>
              <w:bottom w:val="single" w:sz="12" w:space="0" w:color="auto"/>
            </w:tcBorders>
          </w:tcPr>
          <w:p w14:paraId="4021518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128" w:type="dxa"/>
            <w:tcBorders>
              <w:bottom w:val="single" w:sz="12" w:space="0" w:color="auto"/>
            </w:tcBorders>
          </w:tcPr>
          <w:p w14:paraId="5940F3A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02B84C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установить программу выпуска самолетов в 1941 году по заводам: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84"/>
        <w:gridCol w:w="2059"/>
        <w:gridCol w:w="766"/>
        <w:gridCol w:w="766"/>
        <w:gridCol w:w="766"/>
        <w:gridCol w:w="766"/>
        <w:gridCol w:w="766"/>
        <w:gridCol w:w="990"/>
      </w:tblGrid>
      <w:tr w:rsidR="00983732" w:rsidRPr="00A3026E" w14:paraId="2A08F8FF" w14:textId="77777777" w:rsidTr="00EA0DA7">
        <w:tc>
          <w:tcPr>
            <w:tcW w:w="884" w:type="dxa"/>
            <w:tcBorders>
              <w:top w:val="single" w:sz="12" w:space="0" w:color="auto"/>
            </w:tcBorders>
          </w:tcPr>
          <w:p w14:paraId="7368B42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w:t>
            </w:r>
          </w:p>
        </w:tc>
        <w:tc>
          <w:tcPr>
            <w:tcW w:w="2059" w:type="dxa"/>
            <w:tcBorders>
              <w:top w:val="single" w:sz="12" w:space="0" w:color="auto"/>
            </w:tcBorders>
          </w:tcPr>
          <w:p w14:paraId="12D483D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самолета</w:t>
            </w:r>
          </w:p>
        </w:tc>
        <w:tc>
          <w:tcPr>
            <w:tcW w:w="766" w:type="dxa"/>
            <w:tcBorders>
              <w:top w:val="single" w:sz="12" w:space="0" w:color="auto"/>
            </w:tcBorders>
          </w:tcPr>
          <w:p w14:paraId="7DD335C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1941</w:t>
            </w:r>
          </w:p>
        </w:tc>
        <w:tc>
          <w:tcPr>
            <w:tcW w:w="766" w:type="dxa"/>
            <w:tcBorders>
              <w:top w:val="single" w:sz="12" w:space="0" w:color="auto"/>
            </w:tcBorders>
          </w:tcPr>
          <w:p w14:paraId="2AC42A7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tc>
        <w:tc>
          <w:tcPr>
            <w:tcW w:w="766" w:type="dxa"/>
            <w:tcBorders>
              <w:top w:val="single" w:sz="12" w:space="0" w:color="auto"/>
            </w:tcBorders>
          </w:tcPr>
          <w:p w14:paraId="429D7F7A"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2F30554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6C440BC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Borders>
              <w:top w:val="single" w:sz="12" w:space="0" w:color="auto"/>
            </w:tcBorders>
          </w:tcPr>
          <w:p w14:paraId="09840D9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кв. 1942</w:t>
            </w:r>
          </w:p>
        </w:tc>
      </w:tr>
      <w:tr w:rsidR="00983732" w:rsidRPr="00A3026E" w14:paraId="1C824D1C" w14:textId="77777777" w:rsidTr="00EA0DA7">
        <w:tc>
          <w:tcPr>
            <w:tcW w:w="884" w:type="dxa"/>
          </w:tcPr>
          <w:p w14:paraId="3545248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059" w:type="dxa"/>
          </w:tcPr>
          <w:p w14:paraId="389648D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66" w:type="dxa"/>
          </w:tcPr>
          <w:p w14:paraId="78757A7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66" w:type="dxa"/>
          </w:tcPr>
          <w:p w14:paraId="4DE7BB3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кв.</w:t>
            </w:r>
          </w:p>
        </w:tc>
        <w:tc>
          <w:tcPr>
            <w:tcW w:w="766" w:type="dxa"/>
          </w:tcPr>
          <w:p w14:paraId="4E06D9D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кв.</w:t>
            </w:r>
          </w:p>
        </w:tc>
        <w:tc>
          <w:tcPr>
            <w:tcW w:w="766" w:type="dxa"/>
          </w:tcPr>
          <w:p w14:paraId="77DF0B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кв.</w:t>
            </w:r>
          </w:p>
        </w:tc>
        <w:tc>
          <w:tcPr>
            <w:tcW w:w="766" w:type="dxa"/>
          </w:tcPr>
          <w:p w14:paraId="42D3BDD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кв</w:t>
            </w:r>
          </w:p>
        </w:tc>
        <w:tc>
          <w:tcPr>
            <w:tcW w:w="990" w:type="dxa"/>
          </w:tcPr>
          <w:p w14:paraId="5027A8C4"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r w:rsidR="00983732" w:rsidRPr="00A3026E" w14:paraId="3AF7E463" w14:textId="77777777" w:rsidTr="00EA0DA7">
        <w:tc>
          <w:tcPr>
            <w:tcW w:w="884" w:type="dxa"/>
          </w:tcPr>
          <w:p w14:paraId="4DD4DF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2059" w:type="dxa"/>
          </w:tcPr>
          <w:p w14:paraId="7A9C55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Миг-3 АМ-35А</w:t>
            </w:r>
          </w:p>
        </w:tc>
        <w:tc>
          <w:tcPr>
            <w:tcW w:w="766" w:type="dxa"/>
          </w:tcPr>
          <w:p w14:paraId="5A9889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3500</w:t>
            </w:r>
          </w:p>
        </w:tc>
        <w:tc>
          <w:tcPr>
            <w:tcW w:w="766" w:type="dxa"/>
          </w:tcPr>
          <w:p w14:paraId="28DE48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c>
          <w:tcPr>
            <w:tcW w:w="766" w:type="dxa"/>
          </w:tcPr>
          <w:p w14:paraId="728333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w:t>
            </w:r>
          </w:p>
        </w:tc>
        <w:tc>
          <w:tcPr>
            <w:tcW w:w="766" w:type="dxa"/>
          </w:tcPr>
          <w:p w14:paraId="2E6E95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766" w:type="dxa"/>
          </w:tcPr>
          <w:p w14:paraId="6359F9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990" w:type="dxa"/>
          </w:tcPr>
          <w:p w14:paraId="0DBA31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1125</w:t>
            </w:r>
          </w:p>
        </w:tc>
      </w:tr>
      <w:tr w:rsidR="00983732" w:rsidRPr="00A3026E" w14:paraId="489A0042" w14:textId="77777777" w:rsidTr="00EA0DA7">
        <w:tc>
          <w:tcPr>
            <w:tcW w:w="884" w:type="dxa"/>
          </w:tcPr>
          <w:p w14:paraId="530173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2059" w:type="dxa"/>
          </w:tcPr>
          <w:p w14:paraId="79C043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Ер-2 2М-40</w:t>
            </w:r>
          </w:p>
        </w:tc>
        <w:tc>
          <w:tcPr>
            <w:tcW w:w="766" w:type="dxa"/>
          </w:tcPr>
          <w:p w14:paraId="5FE331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766" w:type="dxa"/>
          </w:tcPr>
          <w:p w14:paraId="29E063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2049AB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453CE5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766" w:type="dxa"/>
          </w:tcPr>
          <w:p w14:paraId="4C4186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990" w:type="dxa"/>
          </w:tcPr>
          <w:p w14:paraId="08D403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3DFB808E" w14:textId="77777777" w:rsidTr="00EA0DA7">
        <w:tc>
          <w:tcPr>
            <w:tcW w:w="884" w:type="dxa"/>
          </w:tcPr>
          <w:p w14:paraId="5708C6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2059" w:type="dxa"/>
          </w:tcPr>
          <w:p w14:paraId="06AE7D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ДБ-ЗФ 2М-88</w:t>
            </w:r>
          </w:p>
        </w:tc>
        <w:tc>
          <w:tcPr>
            <w:tcW w:w="766" w:type="dxa"/>
          </w:tcPr>
          <w:p w14:paraId="6F1F0A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766" w:type="dxa"/>
          </w:tcPr>
          <w:p w14:paraId="14E2EF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766" w:type="dxa"/>
          </w:tcPr>
          <w:p w14:paraId="611645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766" w:type="dxa"/>
          </w:tcPr>
          <w:p w14:paraId="2E76B6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1B46C7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054EE0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018C5B7" w14:textId="77777777" w:rsidTr="00EA0DA7">
        <w:tc>
          <w:tcPr>
            <w:tcW w:w="884" w:type="dxa"/>
          </w:tcPr>
          <w:p w14:paraId="747FAF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2059" w:type="dxa"/>
          </w:tcPr>
          <w:p w14:paraId="6185AB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 АМ-35А</w:t>
            </w:r>
          </w:p>
        </w:tc>
        <w:tc>
          <w:tcPr>
            <w:tcW w:w="766" w:type="dxa"/>
          </w:tcPr>
          <w:p w14:paraId="6013C5A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766" w:type="dxa"/>
          </w:tcPr>
          <w:p w14:paraId="7192415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766" w:type="dxa"/>
          </w:tcPr>
          <w:p w14:paraId="12E10D0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766" w:type="dxa"/>
          </w:tcPr>
          <w:p w14:paraId="5EBEAE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w:t>
            </w:r>
          </w:p>
        </w:tc>
        <w:tc>
          <w:tcPr>
            <w:tcW w:w="766" w:type="dxa"/>
          </w:tcPr>
          <w:p w14:paraId="543270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990" w:type="dxa"/>
          </w:tcPr>
          <w:p w14:paraId="2E17BF7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475</w:t>
            </w:r>
          </w:p>
        </w:tc>
      </w:tr>
      <w:tr w:rsidR="00983732" w:rsidRPr="00A3026E" w14:paraId="1775EF06" w14:textId="77777777" w:rsidTr="00EA0DA7">
        <w:tc>
          <w:tcPr>
            <w:tcW w:w="884" w:type="dxa"/>
          </w:tcPr>
          <w:p w14:paraId="3165F1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2059" w:type="dxa"/>
          </w:tcPr>
          <w:p w14:paraId="2F0188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 М-105П</w:t>
            </w:r>
          </w:p>
        </w:tc>
        <w:tc>
          <w:tcPr>
            <w:tcW w:w="766" w:type="dxa"/>
          </w:tcPr>
          <w:p w14:paraId="68DB67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766" w:type="dxa"/>
          </w:tcPr>
          <w:p w14:paraId="441808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766" w:type="dxa"/>
          </w:tcPr>
          <w:p w14:paraId="690696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766" w:type="dxa"/>
          </w:tcPr>
          <w:p w14:paraId="3CB58E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766" w:type="dxa"/>
          </w:tcPr>
          <w:p w14:paraId="1C2CE63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990" w:type="dxa"/>
          </w:tcPr>
          <w:p w14:paraId="01899D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w:t>
            </w:r>
          </w:p>
        </w:tc>
      </w:tr>
      <w:tr w:rsidR="00983732" w:rsidRPr="00A3026E" w14:paraId="72BAFF50" w14:textId="77777777" w:rsidTr="00EA0DA7">
        <w:tc>
          <w:tcPr>
            <w:tcW w:w="884" w:type="dxa"/>
          </w:tcPr>
          <w:p w14:paraId="225F80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2059" w:type="dxa"/>
          </w:tcPr>
          <w:p w14:paraId="44E343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УТИ-4 М-253</w:t>
            </w:r>
          </w:p>
        </w:tc>
        <w:tc>
          <w:tcPr>
            <w:tcW w:w="766" w:type="dxa"/>
          </w:tcPr>
          <w:p w14:paraId="5D9439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766" w:type="dxa"/>
          </w:tcPr>
          <w:p w14:paraId="1A6700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766" w:type="dxa"/>
          </w:tcPr>
          <w:p w14:paraId="7C7840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2C3DAE6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555784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198A89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86CC8F2" w14:textId="77777777" w:rsidTr="00EA0DA7">
        <w:tc>
          <w:tcPr>
            <w:tcW w:w="884" w:type="dxa"/>
          </w:tcPr>
          <w:p w14:paraId="0AE1A1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2059" w:type="dxa"/>
          </w:tcPr>
          <w:p w14:paraId="0D0A7F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 2М-105</w:t>
            </w:r>
          </w:p>
        </w:tc>
        <w:tc>
          <w:tcPr>
            <w:tcW w:w="766" w:type="dxa"/>
          </w:tcPr>
          <w:p w14:paraId="66D045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766" w:type="dxa"/>
          </w:tcPr>
          <w:p w14:paraId="5F1911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766" w:type="dxa"/>
          </w:tcPr>
          <w:p w14:paraId="5FB52C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766" w:type="dxa"/>
          </w:tcPr>
          <w:p w14:paraId="448AC0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766" w:type="dxa"/>
          </w:tcPr>
          <w:p w14:paraId="1A1AB2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990" w:type="dxa"/>
          </w:tcPr>
          <w:p w14:paraId="0D307E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r w:rsidR="00983732" w:rsidRPr="00A3026E" w14:paraId="047FC066" w14:textId="77777777" w:rsidTr="00EA0DA7">
        <w:tc>
          <w:tcPr>
            <w:tcW w:w="884" w:type="dxa"/>
          </w:tcPr>
          <w:p w14:paraId="2065BB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2059" w:type="dxa"/>
          </w:tcPr>
          <w:p w14:paraId="79E4DFD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Ар-2 2М-105</w:t>
            </w:r>
          </w:p>
        </w:tc>
        <w:tc>
          <w:tcPr>
            <w:tcW w:w="766" w:type="dxa"/>
          </w:tcPr>
          <w:p w14:paraId="5C6CB4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766" w:type="dxa"/>
          </w:tcPr>
          <w:p w14:paraId="516285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766" w:type="dxa"/>
          </w:tcPr>
          <w:p w14:paraId="4BAF3B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766" w:type="dxa"/>
          </w:tcPr>
          <w:p w14:paraId="1C87AE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766" w:type="dxa"/>
          </w:tcPr>
          <w:p w14:paraId="1C4E63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0" w:type="dxa"/>
          </w:tcPr>
          <w:p w14:paraId="065BA2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8A928AB" w14:textId="77777777" w:rsidTr="00EA0DA7">
        <w:tc>
          <w:tcPr>
            <w:tcW w:w="884" w:type="dxa"/>
          </w:tcPr>
          <w:p w14:paraId="3404CD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2059" w:type="dxa"/>
          </w:tcPr>
          <w:p w14:paraId="374562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 М-105П</w:t>
            </w:r>
          </w:p>
        </w:tc>
        <w:tc>
          <w:tcPr>
            <w:tcW w:w="766" w:type="dxa"/>
          </w:tcPr>
          <w:p w14:paraId="7BD1A3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w:t>
            </w:r>
          </w:p>
        </w:tc>
        <w:tc>
          <w:tcPr>
            <w:tcW w:w="766" w:type="dxa"/>
          </w:tcPr>
          <w:p w14:paraId="346D57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766" w:type="dxa"/>
          </w:tcPr>
          <w:p w14:paraId="61C964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766" w:type="dxa"/>
          </w:tcPr>
          <w:p w14:paraId="061CE9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766" w:type="dxa"/>
          </w:tcPr>
          <w:p w14:paraId="1E4814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990" w:type="dxa"/>
          </w:tcPr>
          <w:p w14:paraId="4E38EB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r>
      <w:tr w:rsidR="00983732" w:rsidRPr="00A3026E" w14:paraId="11621826" w14:textId="77777777" w:rsidTr="00EA0DA7">
        <w:tc>
          <w:tcPr>
            <w:tcW w:w="884" w:type="dxa"/>
          </w:tcPr>
          <w:p w14:paraId="0C8A0D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2059" w:type="dxa"/>
          </w:tcPr>
          <w:p w14:paraId="2737982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 АМ-35А</w:t>
            </w:r>
          </w:p>
        </w:tc>
        <w:tc>
          <w:tcPr>
            <w:tcW w:w="766" w:type="dxa"/>
          </w:tcPr>
          <w:p w14:paraId="1AD491D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766" w:type="dxa"/>
          </w:tcPr>
          <w:p w14:paraId="67EAD89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766" w:type="dxa"/>
          </w:tcPr>
          <w:p w14:paraId="3784E92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766" w:type="dxa"/>
          </w:tcPr>
          <w:p w14:paraId="00F09E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766" w:type="dxa"/>
          </w:tcPr>
          <w:p w14:paraId="2A0FF70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990" w:type="dxa"/>
          </w:tcPr>
          <w:p w14:paraId="418473F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r>
      <w:tr w:rsidR="00983732" w:rsidRPr="00A3026E" w14:paraId="650E388A" w14:textId="77777777" w:rsidTr="00EA0DA7">
        <w:tc>
          <w:tcPr>
            <w:tcW w:w="884" w:type="dxa"/>
          </w:tcPr>
          <w:p w14:paraId="7B452F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2059" w:type="dxa"/>
          </w:tcPr>
          <w:p w14:paraId="283025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Су-2 М-88</w:t>
            </w:r>
          </w:p>
        </w:tc>
        <w:tc>
          <w:tcPr>
            <w:tcW w:w="766" w:type="dxa"/>
          </w:tcPr>
          <w:p w14:paraId="5A2B8E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766" w:type="dxa"/>
          </w:tcPr>
          <w:p w14:paraId="5400CE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766" w:type="dxa"/>
          </w:tcPr>
          <w:p w14:paraId="3DF8A9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766" w:type="dxa"/>
          </w:tcPr>
          <w:p w14:paraId="078DB7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766" w:type="dxa"/>
          </w:tcPr>
          <w:p w14:paraId="62C5A0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990" w:type="dxa"/>
          </w:tcPr>
          <w:p w14:paraId="52AD7F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r>
      <w:tr w:rsidR="00983732" w:rsidRPr="00A3026E" w14:paraId="7C33240F" w14:textId="77777777" w:rsidTr="00EA0DA7">
        <w:tc>
          <w:tcPr>
            <w:tcW w:w="884" w:type="dxa"/>
          </w:tcPr>
          <w:p w14:paraId="6D9BF3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2059" w:type="dxa"/>
          </w:tcPr>
          <w:p w14:paraId="12D4A3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МДР-6 2М-62</w:t>
            </w:r>
          </w:p>
        </w:tc>
        <w:tc>
          <w:tcPr>
            <w:tcW w:w="766" w:type="dxa"/>
          </w:tcPr>
          <w:p w14:paraId="02965E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766" w:type="dxa"/>
          </w:tcPr>
          <w:p w14:paraId="5DA627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766" w:type="dxa"/>
          </w:tcPr>
          <w:p w14:paraId="4A53A6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766" w:type="dxa"/>
          </w:tcPr>
          <w:p w14:paraId="062542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766" w:type="dxa"/>
          </w:tcPr>
          <w:p w14:paraId="5E74EF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990" w:type="dxa"/>
          </w:tcPr>
          <w:p w14:paraId="470A96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r>
      <w:tr w:rsidR="00983732" w:rsidRPr="00A3026E" w14:paraId="1A451BF2" w14:textId="77777777" w:rsidTr="00EA0DA7">
        <w:tc>
          <w:tcPr>
            <w:tcW w:w="884" w:type="dxa"/>
          </w:tcPr>
          <w:p w14:paraId="50FB5B9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c>
          <w:tcPr>
            <w:tcW w:w="2059" w:type="dxa"/>
          </w:tcPr>
          <w:p w14:paraId="55F5B1B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 АМ-35А</w:t>
            </w:r>
          </w:p>
        </w:tc>
        <w:tc>
          <w:tcPr>
            <w:tcW w:w="766" w:type="dxa"/>
          </w:tcPr>
          <w:p w14:paraId="4DAF3E4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766" w:type="dxa"/>
          </w:tcPr>
          <w:p w14:paraId="56F4F53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766" w:type="dxa"/>
          </w:tcPr>
          <w:p w14:paraId="0E71485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766" w:type="dxa"/>
          </w:tcPr>
          <w:p w14:paraId="2AF1961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766" w:type="dxa"/>
          </w:tcPr>
          <w:p w14:paraId="1116B6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990" w:type="dxa"/>
          </w:tcPr>
          <w:p w14:paraId="2F70ED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r>
      <w:tr w:rsidR="00983732" w:rsidRPr="00A3026E" w14:paraId="2E9A385B" w14:textId="77777777" w:rsidTr="00EA0DA7">
        <w:tc>
          <w:tcPr>
            <w:tcW w:w="884" w:type="dxa"/>
          </w:tcPr>
          <w:p w14:paraId="684DE5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c>
          <w:tcPr>
            <w:tcW w:w="2059" w:type="dxa"/>
          </w:tcPr>
          <w:p w14:paraId="0F66C6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 2М-105</w:t>
            </w:r>
          </w:p>
        </w:tc>
        <w:tc>
          <w:tcPr>
            <w:tcW w:w="766" w:type="dxa"/>
          </w:tcPr>
          <w:p w14:paraId="74D864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766" w:type="dxa"/>
          </w:tcPr>
          <w:p w14:paraId="2C85EF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766" w:type="dxa"/>
          </w:tcPr>
          <w:p w14:paraId="2941CD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766" w:type="dxa"/>
          </w:tcPr>
          <w:p w14:paraId="5C6C02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w:t>
            </w:r>
          </w:p>
        </w:tc>
        <w:tc>
          <w:tcPr>
            <w:tcW w:w="766" w:type="dxa"/>
          </w:tcPr>
          <w:p w14:paraId="36AC3B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990" w:type="dxa"/>
          </w:tcPr>
          <w:p w14:paraId="087C96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255</w:t>
            </w:r>
          </w:p>
        </w:tc>
      </w:tr>
      <w:tr w:rsidR="00983732" w:rsidRPr="00A3026E" w14:paraId="0F3382EE" w14:textId="77777777" w:rsidTr="00EA0DA7">
        <w:tc>
          <w:tcPr>
            <w:tcW w:w="884" w:type="dxa"/>
          </w:tcPr>
          <w:p w14:paraId="6D70C6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w:t>
            </w:r>
          </w:p>
        </w:tc>
        <w:tc>
          <w:tcPr>
            <w:tcW w:w="2059" w:type="dxa"/>
          </w:tcPr>
          <w:p w14:paraId="1A6E06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Миг-3 АМ-35А</w:t>
            </w:r>
          </w:p>
        </w:tc>
        <w:tc>
          <w:tcPr>
            <w:tcW w:w="766" w:type="dxa"/>
          </w:tcPr>
          <w:p w14:paraId="0A0407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766" w:type="dxa"/>
          </w:tcPr>
          <w:p w14:paraId="57903C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535B56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766" w:type="dxa"/>
          </w:tcPr>
          <w:p w14:paraId="7218C9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766" w:type="dxa"/>
          </w:tcPr>
          <w:p w14:paraId="3BF9AB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990" w:type="dxa"/>
          </w:tcPr>
          <w:p w14:paraId="743ACF6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r>
      <w:tr w:rsidR="00983732" w:rsidRPr="00A3026E" w14:paraId="524D7576" w14:textId="77777777" w:rsidTr="00EA0DA7">
        <w:tc>
          <w:tcPr>
            <w:tcW w:w="884" w:type="dxa"/>
          </w:tcPr>
          <w:p w14:paraId="463296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c>
          <w:tcPr>
            <w:tcW w:w="2059" w:type="dxa"/>
          </w:tcPr>
          <w:p w14:paraId="1DB6A6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УТ-2 М-11</w:t>
            </w:r>
          </w:p>
        </w:tc>
        <w:tc>
          <w:tcPr>
            <w:tcW w:w="766" w:type="dxa"/>
          </w:tcPr>
          <w:p w14:paraId="03301A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766" w:type="dxa"/>
          </w:tcPr>
          <w:p w14:paraId="67862E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c>
          <w:tcPr>
            <w:tcW w:w="766" w:type="dxa"/>
          </w:tcPr>
          <w:p w14:paraId="21AFB8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766" w:type="dxa"/>
          </w:tcPr>
          <w:p w14:paraId="6D50AF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w:t>
            </w:r>
          </w:p>
        </w:tc>
        <w:tc>
          <w:tcPr>
            <w:tcW w:w="766" w:type="dxa"/>
          </w:tcPr>
          <w:p w14:paraId="4B6753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990" w:type="dxa"/>
          </w:tcPr>
          <w:p w14:paraId="55F27A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r>
      <w:tr w:rsidR="00983732" w:rsidRPr="00A3026E" w14:paraId="067F3247" w14:textId="77777777" w:rsidTr="00EA0DA7">
        <w:tc>
          <w:tcPr>
            <w:tcW w:w="884" w:type="dxa"/>
          </w:tcPr>
          <w:p w14:paraId="00A01FB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tc>
        <w:tc>
          <w:tcPr>
            <w:tcW w:w="2059" w:type="dxa"/>
          </w:tcPr>
          <w:p w14:paraId="19EE50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Як-4 2М-105</w:t>
            </w:r>
          </w:p>
        </w:tc>
        <w:tc>
          <w:tcPr>
            <w:tcW w:w="766" w:type="dxa"/>
          </w:tcPr>
          <w:p w14:paraId="668F68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766" w:type="dxa"/>
          </w:tcPr>
          <w:p w14:paraId="26B5FB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766" w:type="dxa"/>
          </w:tcPr>
          <w:p w14:paraId="2E74A1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766" w:type="dxa"/>
          </w:tcPr>
          <w:p w14:paraId="4B53C2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766" w:type="dxa"/>
          </w:tcPr>
          <w:p w14:paraId="67539A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0" w:type="dxa"/>
          </w:tcPr>
          <w:p w14:paraId="0D5B66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4FD2202F" w14:textId="77777777" w:rsidTr="00EA0DA7">
        <w:tc>
          <w:tcPr>
            <w:tcW w:w="884" w:type="dxa"/>
          </w:tcPr>
          <w:p w14:paraId="58B874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w:t>
            </w:r>
          </w:p>
        </w:tc>
        <w:tc>
          <w:tcPr>
            <w:tcW w:w="2059" w:type="dxa"/>
          </w:tcPr>
          <w:p w14:paraId="374A1C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Як-3 М-105П</w:t>
            </w:r>
          </w:p>
        </w:tc>
        <w:tc>
          <w:tcPr>
            <w:tcW w:w="766" w:type="dxa"/>
          </w:tcPr>
          <w:p w14:paraId="313430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766" w:type="dxa"/>
          </w:tcPr>
          <w:p w14:paraId="3A2D864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7F848A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1AB24E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766" w:type="dxa"/>
          </w:tcPr>
          <w:p w14:paraId="45749C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c>
          <w:tcPr>
            <w:tcW w:w="990" w:type="dxa"/>
          </w:tcPr>
          <w:p w14:paraId="25B5F0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r>
      <w:tr w:rsidR="00983732" w:rsidRPr="00A3026E" w14:paraId="00994C2A" w14:textId="77777777" w:rsidTr="00EA0DA7">
        <w:tc>
          <w:tcPr>
            <w:tcW w:w="884" w:type="dxa"/>
          </w:tcPr>
          <w:p w14:paraId="4B29781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c>
          <w:tcPr>
            <w:tcW w:w="2059" w:type="dxa"/>
          </w:tcPr>
          <w:p w14:paraId="10F14C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ПС-84 2М-62ИР</w:t>
            </w:r>
          </w:p>
        </w:tc>
        <w:tc>
          <w:tcPr>
            <w:tcW w:w="766" w:type="dxa"/>
          </w:tcPr>
          <w:p w14:paraId="141BEF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766" w:type="dxa"/>
          </w:tcPr>
          <w:p w14:paraId="0EB811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766" w:type="dxa"/>
          </w:tcPr>
          <w:p w14:paraId="46841B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766" w:type="dxa"/>
          </w:tcPr>
          <w:p w14:paraId="552528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766" w:type="dxa"/>
          </w:tcPr>
          <w:p w14:paraId="0D94C8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990" w:type="dxa"/>
          </w:tcPr>
          <w:p w14:paraId="1FE3C8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3AD64DCD" w14:textId="77777777" w:rsidTr="00EA0DA7">
        <w:tc>
          <w:tcPr>
            <w:tcW w:w="884" w:type="dxa"/>
          </w:tcPr>
          <w:p w14:paraId="140B95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99</w:t>
            </w:r>
          </w:p>
        </w:tc>
        <w:tc>
          <w:tcPr>
            <w:tcW w:w="2059" w:type="dxa"/>
          </w:tcPr>
          <w:p w14:paraId="1B7878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Як-3 М-105П</w:t>
            </w:r>
          </w:p>
        </w:tc>
        <w:tc>
          <w:tcPr>
            <w:tcW w:w="766" w:type="dxa"/>
          </w:tcPr>
          <w:p w14:paraId="77BDC1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766" w:type="dxa"/>
          </w:tcPr>
          <w:p w14:paraId="45B20F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5B0E8F5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766" w:type="dxa"/>
          </w:tcPr>
          <w:p w14:paraId="589E067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766" w:type="dxa"/>
          </w:tcPr>
          <w:p w14:paraId="416B323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990" w:type="dxa"/>
          </w:tcPr>
          <w:p w14:paraId="48713A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26D8C466" w14:textId="77777777" w:rsidTr="00EA0DA7">
        <w:tc>
          <w:tcPr>
            <w:tcW w:w="884" w:type="dxa"/>
          </w:tcPr>
          <w:p w14:paraId="4A73834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w:t>
            </w:r>
          </w:p>
        </w:tc>
        <w:tc>
          <w:tcPr>
            <w:tcW w:w="2059" w:type="dxa"/>
          </w:tcPr>
          <w:p w14:paraId="4C80BB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УТ-2 М-11</w:t>
            </w:r>
          </w:p>
        </w:tc>
        <w:tc>
          <w:tcPr>
            <w:tcW w:w="766" w:type="dxa"/>
          </w:tcPr>
          <w:p w14:paraId="01A8BC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766" w:type="dxa"/>
          </w:tcPr>
          <w:p w14:paraId="414FEE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327C36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766" w:type="dxa"/>
          </w:tcPr>
          <w:p w14:paraId="6244C28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766" w:type="dxa"/>
          </w:tcPr>
          <w:p w14:paraId="02E81E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990" w:type="dxa"/>
          </w:tcPr>
          <w:p w14:paraId="1DF04D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r>
      <w:tr w:rsidR="00983732" w:rsidRPr="00A3026E" w14:paraId="3F38E54E" w14:textId="77777777" w:rsidTr="00EA0DA7">
        <w:tc>
          <w:tcPr>
            <w:tcW w:w="884" w:type="dxa"/>
          </w:tcPr>
          <w:p w14:paraId="64F332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w:t>
            </w:r>
          </w:p>
        </w:tc>
        <w:tc>
          <w:tcPr>
            <w:tcW w:w="2059" w:type="dxa"/>
          </w:tcPr>
          <w:p w14:paraId="60DE9FF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ТБ-7 4М-40</w:t>
            </w:r>
          </w:p>
        </w:tc>
        <w:tc>
          <w:tcPr>
            <w:tcW w:w="766" w:type="dxa"/>
          </w:tcPr>
          <w:p w14:paraId="57ABFD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766" w:type="dxa"/>
          </w:tcPr>
          <w:p w14:paraId="7C16F3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766" w:type="dxa"/>
          </w:tcPr>
          <w:p w14:paraId="1779D6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766" w:type="dxa"/>
          </w:tcPr>
          <w:p w14:paraId="382A08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766" w:type="dxa"/>
          </w:tcPr>
          <w:p w14:paraId="3F9E29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990" w:type="dxa"/>
          </w:tcPr>
          <w:p w14:paraId="319BC0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r>
      <w:tr w:rsidR="00983732" w:rsidRPr="00A3026E" w14:paraId="0E94641A" w14:textId="77777777" w:rsidTr="00EA0DA7">
        <w:tc>
          <w:tcPr>
            <w:tcW w:w="884" w:type="dxa"/>
          </w:tcPr>
          <w:p w14:paraId="04C1C9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c>
          <w:tcPr>
            <w:tcW w:w="2059" w:type="dxa"/>
          </w:tcPr>
          <w:p w14:paraId="1969E5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Як-4 2М-105</w:t>
            </w:r>
          </w:p>
        </w:tc>
        <w:tc>
          <w:tcPr>
            <w:tcW w:w="766" w:type="dxa"/>
          </w:tcPr>
          <w:p w14:paraId="0E9CCE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766" w:type="dxa"/>
          </w:tcPr>
          <w:p w14:paraId="30B573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766" w:type="dxa"/>
          </w:tcPr>
          <w:p w14:paraId="3C121D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c>
          <w:tcPr>
            <w:tcW w:w="766" w:type="dxa"/>
          </w:tcPr>
          <w:p w14:paraId="1E0C83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766" w:type="dxa"/>
          </w:tcPr>
          <w:p w14:paraId="6116FD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990" w:type="dxa"/>
          </w:tcPr>
          <w:p w14:paraId="4A17D0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r>
      <w:tr w:rsidR="00983732" w:rsidRPr="00A3026E" w14:paraId="72322EAE" w14:textId="77777777" w:rsidTr="00EA0DA7">
        <w:tc>
          <w:tcPr>
            <w:tcW w:w="884" w:type="dxa"/>
          </w:tcPr>
          <w:p w14:paraId="6DD0FE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w:t>
            </w:r>
          </w:p>
        </w:tc>
        <w:tc>
          <w:tcPr>
            <w:tcW w:w="2059" w:type="dxa"/>
          </w:tcPr>
          <w:p w14:paraId="05CCEC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ДБ-ЗТ 2М-88</w:t>
            </w:r>
          </w:p>
        </w:tc>
        <w:tc>
          <w:tcPr>
            <w:tcW w:w="766" w:type="dxa"/>
          </w:tcPr>
          <w:p w14:paraId="2199AA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766" w:type="dxa"/>
          </w:tcPr>
          <w:p w14:paraId="1F1FFC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766" w:type="dxa"/>
          </w:tcPr>
          <w:p w14:paraId="29282A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w:t>
            </w:r>
          </w:p>
        </w:tc>
        <w:tc>
          <w:tcPr>
            <w:tcW w:w="766" w:type="dxa"/>
          </w:tcPr>
          <w:p w14:paraId="04F162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766" w:type="dxa"/>
          </w:tcPr>
          <w:p w14:paraId="3B5627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c>
          <w:tcPr>
            <w:tcW w:w="990" w:type="dxa"/>
          </w:tcPr>
          <w:p w14:paraId="7339244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674757F5" w14:textId="77777777" w:rsidTr="00EA0DA7">
        <w:tc>
          <w:tcPr>
            <w:tcW w:w="884" w:type="dxa"/>
          </w:tcPr>
          <w:p w14:paraId="0A35B6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135</w:t>
            </w:r>
          </w:p>
        </w:tc>
        <w:tc>
          <w:tcPr>
            <w:tcW w:w="2059" w:type="dxa"/>
          </w:tcPr>
          <w:p w14:paraId="49A859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Су-2 М-88-89</w:t>
            </w:r>
          </w:p>
        </w:tc>
        <w:tc>
          <w:tcPr>
            <w:tcW w:w="766" w:type="dxa"/>
          </w:tcPr>
          <w:p w14:paraId="5A8B96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766" w:type="dxa"/>
          </w:tcPr>
          <w:p w14:paraId="381A71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766" w:type="dxa"/>
          </w:tcPr>
          <w:p w14:paraId="697FB3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766" w:type="dxa"/>
          </w:tcPr>
          <w:p w14:paraId="63143F1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766" w:type="dxa"/>
          </w:tcPr>
          <w:p w14:paraId="1AC4EF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990" w:type="dxa"/>
          </w:tcPr>
          <w:p w14:paraId="1027F0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r>
      <w:tr w:rsidR="00983732" w:rsidRPr="00A3026E" w14:paraId="6F7D4D37" w14:textId="77777777" w:rsidTr="00EA0DA7">
        <w:tc>
          <w:tcPr>
            <w:tcW w:w="884" w:type="dxa"/>
          </w:tcPr>
          <w:p w14:paraId="37063B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2059" w:type="dxa"/>
          </w:tcPr>
          <w:p w14:paraId="0522B43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 М-105П</w:t>
            </w:r>
          </w:p>
        </w:tc>
        <w:tc>
          <w:tcPr>
            <w:tcW w:w="766" w:type="dxa"/>
          </w:tcPr>
          <w:p w14:paraId="1F697A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766" w:type="dxa"/>
          </w:tcPr>
          <w:p w14:paraId="2C9600F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11B0FE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766" w:type="dxa"/>
          </w:tcPr>
          <w:p w14:paraId="4E2B88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766" w:type="dxa"/>
          </w:tcPr>
          <w:p w14:paraId="7720F0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0" w:type="dxa"/>
          </w:tcPr>
          <w:p w14:paraId="45B5EE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451A1B4D" w14:textId="77777777" w:rsidTr="00EA0DA7">
        <w:tc>
          <w:tcPr>
            <w:tcW w:w="884" w:type="dxa"/>
          </w:tcPr>
          <w:p w14:paraId="350820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2059" w:type="dxa"/>
          </w:tcPr>
          <w:p w14:paraId="13C19F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УТИ-4 М-25В</w:t>
            </w:r>
          </w:p>
        </w:tc>
        <w:tc>
          <w:tcPr>
            <w:tcW w:w="766" w:type="dxa"/>
          </w:tcPr>
          <w:p w14:paraId="061E83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766" w:type="dxa"/>
          </w:tcPr>
          <w:p w14:paraId="5BA00C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766" w:type="dxa"/>
          </w:tcPr>
          <w:p w14:paraId="2611F0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766" w:type="dxa"/>
          </w:tcPr>
          <w:p w14:paraId="19427C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766" w:type="dxa"/>
          </w:tcPr>
          <w:p w14:paraId="26A231E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3761FC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5B2C5A9" w14:textId="77777777" w:rsidTr="00EA0DA7">
        <w:tc>
          <w:tcPr>
            <w:tcW w:w="884" w:type="dxa"/>
          </w:tcPr>
          <w:p w14:paraId="15962B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w:t>
            </w:r>
          </w:p>
        </w:tc>
        <w:tc>
          <w:tcPr>
            <w:tcW w:w="2059" w:type="dxa"/>
          </w:tcPr>
          <w:p w14:paraId="3D08B4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 М-105П</w:t>
            </w:r>
          </w:p>
        </w:tc>
        <w:tc>
          <w:tcPr>
            <w:tcW w:w="766" w:type="dxa"/>
          </w:tcPr>
          <w:p w14:paraId="11F4A5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766" w:type="dxa"/>
          </w:tcPr>
          <w:p w14:paraId="716F65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766" w:type="dxa"/>
          </w:tcPr>
          <w:p w14:paraId="599159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766" w:type="dxa"/>
          </w:tcPr>
          <w:p w14:paraId="38279D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766" w:type="dxa"/>
          </w:tcPr>
          <w:p w14:paraId="62BECE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0" w:type="dxa"/>
          </w:tcPr>
          <w:p w14:paraId="4D1766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r>
      <w:tr w:rsidR="00983732" w:rsidRPr="00A3026E" w14:paraId="474F2CA5" w14:textId="77777777" w:rsidTr="00EA0DA7">
        <w:tc>
          <w:tcPr>
            <w:tcW w:w="884" w:type="dxa"/>
          </w:tcPr>
          <w:p w14:paraId="06559C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w:t>
            </w:r>
          </w:p>
        </w:tc>
        <w:tc>
          <w:tcPr>
            <w:tcW w:w="2059" w:type="dxa"/>
          </w:tcPr>
          <w:p w14:paraId="1D51107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Су-2 М-88</w:t>
            </w:r>
          </w:p>
        </w:tc>
        <w:tc>
          <w:tcPr>
            <w:tcW w:w="766" w:type="dxa"/>
          </w:tcPr>
          <w:p w14:paraId="49F097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766" w:type="dxa"/>
          </w:tcPr>
          <w:p w14:paraId="2DFDF65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766" w:type="dxa"/>
          </w:tcPr>
          <w:p w14:paraId="02DF21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766" w:type="dxa"/>
          </w:tcPr>
          <w:p w14:paraId="4511F5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766" w:type="dxa"/>
          </w:tcPr>
          <w:p w14:paraId="5CF915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990" w:type="dxa"/>
          </w:tcPr>
          <w:p w14:paraId="5AC15E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4D74C1B2" w14:textId="77777777" w:rsidTr="00EA0DA7">
        <w:tc>
          <w:tcPr>
            <w:tcW w:w="884" w:type="dxa"/>
          </w:tcPr>
          <w:p w14:paraId="43709B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292</w:t>
            </w:r>
          </w:p>
        </w:tc>
        <w:tc>
          <w:tcPr>
            <w:tcW w:w="2059" w:type="dxa"/>
          </w:tcPr>
          <w:p w14:paraId="520EE8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Як-3 М-105П</w:t>
            </w:r>
          </w:p>
        </w:tc>
        <w:tc>
          <w:tcPr>
            <w:tcW w:w="766" w:type="dxa"/>
          </w:tcPr>
          <w:p w14:paraId="210973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766" w:type="dxa"/>
          </w:tcPr>
          <w:p w14:paraId="02A5CA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 (Як-1)</w:t>
            </w:r>
          </w:p>
        </w:tc>
        <w:tc>
          <w:tcPr>
            <w:tcW w:w="766" w:type="dxa"/>
          </w:tcPr>
          <w:p w14:paraId="2D5815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w:t>
            </w:r>
          </w:p>
        </w:tc>
        <w:tc>
          <w:tcPr>
            <w:tcW w:w="766" w:type="dxa"/>
          </w:tcPr>
          <w:p w14:paraId="27353C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766" w:type="dxa"/>
          </w:tcPr>
          <w:p w14:paraId="405A42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w:t>
            </w:r>
          </w:p>
        </w:tc>
        <w:tc>
          <w:tcPr>
            <w:tcW w:w="990" w:type="dxa"/>
          </w:tcPr>
          <w:p w14:paraId="61A9E2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w:t>
            </w:r>
          </w:p>
        </w:tc>
      </w:tr>
      <w:tr w:rsidR="00983732" w:rsidRPr="00A3026E" w14:paraId="6C3970EC" w14:textId="77777777" w:rsidTr="00EA0DA7">
        <w:tc>
          <w:tcPr>
            <w:tcW w:w="884" w:type="dxa"/>
          </w:tcPr>
          <w:p w14:paraId="1337AA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301</w:t>
            </w:r>
          </w:p>
        </w:tc>
        <w:tc>
          <w:tcPr>
            <w:tcW w:w="2059" w:type="dxa"/>
          </w:tcPr>
          <w:p w14:paraId="599C51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Як-3 М-105П</w:t>
            </w:r>
          </w:p>
        </w:tc>
        <w:tc>
          <w:tcPr>
            <w:tcW w:w="766" w:type="dxa"/>
          </w:tcPr>
          <w:p w14:paraId="5CE0DF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766" w:type="dxa"/>
          </w:tcPr>
          <w:p w14:paraId="39F148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 (Як-1)</w:t>
            </w:r>
          </w:p>
        </w:tc>
        <w:tc>
          <w:tcPr>
            <w:tcW w:w="766" w:type="dxa"/>
          </w:tcPr>
          <w:p w14:paraId="787A75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w:t>
            </w:r>
          </w:p>
        </w:tc>
        <w:tc>
          <w:tcPr>
            <w:tcW w:w="766" w:type="dxa"/>
          </w:tcPr>
          <w:p w14:paraId="0CF826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tc>
        <w:tc>
          <w:tcPr>
            <w:tcW w:w="766" w:type="dxa"/>
          </w:tcPr>
          <w:p w14:paraId="26E7DED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990" w:type="dxa"/>
          </w:tcPr>
          <w:p w14:paraId="285BFE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r>
      <w:tr w:rsidR="00983732" w:rsidRPr="00A3026E" w14:paraId="5235FF09" w14:textId="77777777" w:rsidTr="00EA0DA7">
        <w:tc>
          <w:tcPr>
            <w:tcW w:w="884" w:type="dxa"/>
          </w:tcPr>
          <w:p w14:paraId="72AE10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w:t>
            </w:r>
          </w:p>
        </w:tc>
        <w:tc>
          <w:tcPr>
            <w:tcW w:w="2059" w:type="dxa"/>
          </w:tcPr>
          <w:p w14:paraId="1AC3DD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Як-4 2М-105</w:t>
            </w:r>
          </w:p>
        </w:tc>
        <w:tc>
          <w:tcPr>
            <w:tcW w:w="766" w:type="dxa"/>
          </w:tcPr>
          <w:p w14:paraId="6704FC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766" w:type="dxa"/>
          </w:tcPr>
          <w:p w14:paraId="455178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766" w:type="dxa"/>
          </w:tcPr>
          <w:p w14:paraId="618ECA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766" w:type="dxa"/>
          </w:tcPr>
          <w:p w14:paraId="3DEF17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766" w:type="dxa"/>
          </w:tcPr>
          <w:p w14:paraId="187601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990" w:type="dxa"/>
          </w:tcPr>
          <w:p w14:paraId="022EA3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r>
      <w:tr w:rsidR="00983732" w:rsidRPr="00A3026E" w14:paraId="36E7A00C" w14:textId="77777777" w:rsidTr="00EA0DA7">
        <w:tc>
          <w:tcPr>
            <w:tcW w:w="884" w:type="dxa"/>
          </w:tcPr>
          <w:p w14:paraId="7C85DD6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381</w:t>
            </w:r>
          </w:p>
        </w:tc>
        <w:tc>
          <w:tcPr>
            <w:tcW w:w="2059" w:type="dxa"/>
          </w:tcPr>
          <w:p w14:paraId="368AAC4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 АМ-35А</w:t>
            </w:r>
          </w:p>
        </w:tc>
        <w:tc>
          <w:tcPr>
            <w:tcW w:w="766" w:type="dxa"/>
          </w:tcPr>
          <w:p w14:paraId="0100ECB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766" w:type="dxa"/>
          </w:tcPr>
          <w:p w14:paraId="1B8569F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766" w:type="dxa"/>
          </w:tcPr>
          <w:p w14:paraId="683FFC6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766" w:type="dxa"/>
          </w:tcPr>
          <w:p w14:paraId="79C2090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766" w:type="dxa"/>
          </w:tcPr>
          <w:p w14:paraId="23E1A7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0" w:type="dxa"/>
          </w:tcPr>
          <w:p w14:paraId="22D3EAE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40031F56" w14:textId="77777777" w:rsidTr="00EA0DA7">
        <w:tc>
          <w:tcPr>
            <w:tcW w:w="884" w:type="dxa"/>
          </w:tcPr>
          <w:p w14:paraId="6EF3B7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387</w:t>
            </w:r>
          </w:p>
        </w:tc>
        <w:tc>
          <w:tcPr>
            <w:tcW w:w="2059" w:type="dxa"/>
          </w:tcPr>
          <w:p w14:paraId="16C2BE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У-2 М-11</w:t>
            </w:r>
          </w:p>
        </w:tc>
        <w:tc>
          <w:tcPr>
            <w:tcW w:w="766" w:type="dxa"/>
          </w:tcPr>
          <w:p w14:paraId="480C44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c>
          <w:tcPr>
            <w:tcW w:w="766" w:type="dxa"/>
          </w:tcPr>
          <w:p w14:paraId="1999A9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766" w:type="dxa"/>
          </w:tcPr>
          <w:p w14:paraId="370DB2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766" w:type="dxa"/>
          </w:tcPr>
          <w:p w14:paraId="23911B1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766" w:type="dxa"/>
          </w:tcPr>
          <w:p w14:paraId="10CA34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990" w:type="dxa"/>
          </w:tcPr>
          <w:p w14:paraId="383ABA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r>
      <w:tr w:rsidR="00983732" w:rsidRPr="00A3026E" w14:paraId="49516696" w14:textId="77777777" w:rsidTr="00EA0DA7">
        <w:tc>
          <w:tcPr>
            <w:tcW w:w="884" w:type="dxa"/>
          </w:tcPr>
          <w:p w14:paraId="52D60B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387</w:t>
            </w:r>
          </w:p>
        </w:tc>
        <w:tc>
          <w:tcPr>
            <w:tcW w:w="2059" w:type="dxa"/>
          </w:tcPr>
          <w:p w14:paraId="7885C3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С-2 М-П</w:t>
            </w:r>
          </w:p>
        </w:tc>
        <w:tc>
          <w:tcPr>
            <w:tcW w:w="766" w:type="dxa"/>
          </w:tcPr>
          <w:p w14:paraId="3EAA67A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766" w:type="dxa"/>
          </w:tcPr>
          <w:p w14:paraId="2A5693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766" w:type="dxa"/>
          </w:tcPr>
          <w:p w14:paraId="56594A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766" w:type="dxa"/>
          </w:tcPr>
          <w:p w14:paraId="3A7A44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7FB292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0" w:type="dxa"/>
          </w:tcPr>
          <w:p w14:paraId="00A4B2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926B017" w14:textId="77777777" w:rsidTr="00EA0DA7">
        <w:tc>
          <w:tcPr>
            <w:tcW w:w="884" w:type="dxa"/>
          </w:tcPr>
          <w:p w14:paraId="52D96B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2059" w:type="dxa"/>
          </w:tcPr>
          <w:p w14:paraId="7A0B43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 2М-105</w:t>
            </w:r>
          </w:p>
        </w:tc>
        <w:tc>
          <w:tcPr>
            <w:tcW w:w="766" w:type="dxa"/>
          </w:tcPr>
          <w:p w14:paraId="1D2CD6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766" w:type="dxa"/>
          </w:tcPr>
          <w:p w14:paraId="5C3EA25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69E76F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766" w:type="dxa"/>
          </w:tcPr>
          <w:p w14:paraId="6EBABC2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766" w:type="dxa"/>
          </w:tcPr>
          <w:p w14:paraId="0CD153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990" w:type="dxa"/>
          </w:tcPr>
          <w:p w14:paraId="556BF1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3ECE689F" w14:textId="77777777" w:rsidTr="00EA0DA7">
        <w:tc>
          <w:tcPr>
            <w:tcW w:w="884" w:type="dxa"/>
          </w:tcPr>
          <w:p w14:paraId="4C3E2B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458</w:t>
            </w:r>
          </w:p>
        </w:tc>
        <w:tc>
          <w:tcPr>
            <w:tcW w:w="2059" w:type="dxa"/>
          </w:tcPr>
          <w:p w14:paraId="0819F8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УТИ-4 М-25В</w:t>
            </w:r>
          </w:p>
        </w:tc>
        <w:tc>
          <w:tcPr>
            <w:tcW w:w="766" w:type="dxa"/>
          </w:tcPr>
          <w:p w14:paraId="6760E6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w:t>
            </w:r>
          </w:p>
        </w:tc>
        <w:tc>
          <w:tcPr>
            <w:tcW w:w="766" w:type="dxa"/>
          </w:tcPr>
          <w:p w14:paraId="0B73EB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766" w:type="dxa"/>
          </w:tcPr>
          <w:p w14:paraId="7920CD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766" w:type="dxa"/>
          </w:tcPr>
          <w:p w14:paraId="7A7C62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766" w:type="dxa"/>
          </w:tcPr>
          <w:p w14:paraId="10CAE6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0" w:type="dxa"/>
          </w:tcPr>
          <w:p w14:paraId="530696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2CFE7E56" w14:textId="77777777" w:rsidTr="00EA0DA7">
        <w:tc>
          <w:tcPr>
            <w:tcW w:w="884" w:type="dxa"/>
          </w:tcPr>
          <w:p w14:paraId="0F9081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463</w:t>
            </w:r>
          </w:p>
        </w:tc>
        <w:tc>
          <w:tcPr>
            <w:tcW w:w="2059" w:type="dxa"/>
          </w:tcPr>
          <w:p w14:paraId="35C292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 М-105П</w:t>
            </w:r>
          </w:p>
        </w:tc>
        <w:tc>
          <w:tcPr>
            <w:tcW w:w="766" w:type="dxa"/>
          </w:tcPr>
          <w:p w14:paraId="046EEF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766" w:type="dxa"/>
          </w:tcPr>
          <w:p w14:paraId="2EE757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7C1A33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143F37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766" w:type="dxa"/>
          </w:tcPr>
          <w:p w14:paraId="584C3C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990" w:type="dxa"/>
          </w:tcPr>
          <w:p w14:paraId="7FC112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r>
      <w:tr w:rsidR="00983732" w:rsidRPr="00A3026E" w14:paraId="574F8F3C" w14:textId="77777777" w:rsidTr="00EA0DA7">
        <w:tc>
          <w:tcPr>
            <w:tcW w:w="884" w:type="dxa"/>
          </w:tcPr>
          <w:p w14:paraId="3A4164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464</w:t>
            </w:r>
          </w:p>
        </w:tc>
        <w:tc>
          <w:tcPr>
            <w:tcW w:w="2059" w:type="dxa"/>
          </w:tcPr>
          <w:p w14:paraId="79A883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УТИ-26 М-105П</w:t>
            </w:r>
          </w:p>
        </w:tc>
        <w:tc>
          <w:tcPr>
            <w:tcW w:w="766" w:type="dxa"/>
          </w:tcPr>
          <w:p w14:paraId="50D6BA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766" w:type="dxa"/>
          </w:tcPr>
          <w:p w14:paraId="58C27F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38945A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2E71F2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766" w:type="dxa"/>
          </w:tcPr>
          <w:p w14:paraId="646075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990" w:type="dxa"/>
          </w:tcPr>
          <w:p w14:paraId="638A9A5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1ABBD3E2" w14:textId="77777777" w:rsidTr="00EA0DA7">
        <w:tc>
          <w:tcPr>
            <w:tcW w:w="884" w:type="dxa"/>
          </w:tcPr>
          <w:p w14:paraId="2236E1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465</w:t>
            </w:r>
          </w:p>
        </w:tc>
        <w:tc>
          <w:tcPr>
            <w:tcW w:w="2059" w:type="dxa"/>
          </w:tcPr>
          <w:p w14:paraId="2E6CB9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УТИ-26 М-Ю5П</w:t>
            </w:r>
          </w:p>
        </w:tc>
        <w:tc>
          <w:tcPr>
            <w:tcW w:w="766" w:type="dxa"/>
          </w:tcPr>
          <w:p w14:paraId="1C21E8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766" w:type="dxa"/>
          </w:tcPr>
          <w:p w14:paraId="5BEE26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766" w:type="dxa"/>
          </w:tcPr>
          <w:p w14:paraId="5A3564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c>
          <w:tcPr>
            <w:tcW w:w="766" w:type="dxa"/>
          </w:tcPr>
          <w:p w14:paraId="4D522F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766" w:type="dxa"/>
          </w:tcPr>
          <w:p w14:paraId="64FAF0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990" w:type="dxa"/>
          </w:tcPr>
          <w:p w14:paraId="09F518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r>
      <w:tr w:rsidR="00983732" w:rsidRPr="00A3026E" w14:paraId="2D438FFB" w14:textId="77777777" w:rsidTr="00EA0DA7">
        <w:tc>
          <w:tcPr>
            <w:tcW w:w="884" w:type="dxa"/>
            <w:tcBorders>
              <w:bottom w:val="single" w:sz="12" w:space="0" w:color="auto"/>
            </w:tcBorders>
          </w:tcPr>
          <w:p w14:paraId="32BC45D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(416,58)</w:t>
            </w:r>
          </w:p>
        </w:tc>
        <w:tc>
          <w:tcPr>
            <w:tcW w:w="2059" w:type="dxa"/>
            <w:tcBorders>
              <w:bottom w:val="single" w:sz="12" w:space="0" w:color="auto"/>
            </w:tcBorders>
          </w:tcPr>
          <w:p w14:paraId="7BD0208B"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7A7D73B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39CD6A8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187CB3A8"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0304FC1E"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7148B455"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0" w:type="dxa"/>
            <w:tcBorders>
              <w:bottom w:val="single" w:sz="12" w:space="0" w:color="auto"/>
            </w:tcBorders>
          </w:tcPr>
          <w:p w14:paraId="0D3B0BE2"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r>
    </w:tbl>
    <w:p w14:paraId="13F750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Нальника Первого Главного Управления тов. Воронина П.А., главного инженера Главка тов. Щиц А.Д. и директо</w:t>
      </w:r>
      <w:r w:rsidRPr="00A3026E">
        <w:rPr>
          <w:rFonts w:ascii="Times New Roman" w:hAnsi="Times New Roman"/>
          <w:color w:val="000000" w:themeColor="text1"/>
          <w:sz w:val="16"/>
          <w:szCs w:val="16"/>
        </w:rPr>
        <w:softHyphen/>
        <w:t>ров заводов истребительной авиации выпускать истребители с дальностью не менее 1000 клм, на 0,9 максимальной скорости: Миг-3 и Лагг-3 с I января 1941- года, а Як-3 с I апреля 1941 года.</w:t>
      </w:r>
    </w:p>
    <w:p w14:paraId="11D705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Заместитель Наркома и Начальнику Третьего Главного Управления тов. Баландину В.П.:</w:t>
      </w:r>
    </w:p>
    <w:p w14:paraId="010C2CD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принять к исполнению следующую программу выпуска авиа</w:t>
      </w:r>
      <w:r w:rsidRPr="00A3026E">
        <w:rPr>
          <w:rFonts w:ascii="Times New Roman" w:hAnsi="Times New Roman"/>
          <w:color w:val="000000" w:themeColor="text1"/>
          <w:sz w:val="16"/>
          <w:szCs w:val="16"/>
        </w:rPr>
        <w:softHyphen/>
        <w:t>моторов в 1941 грду:</w:t>
      </w:r>
    </w:p>
    <w:p w14:paraId="4B2228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Нальника Первого Главного Управления тов. Воронина П.А., главного инженера Главка тов. Щиц А.Д. и директо</w:t>
      </w:r>
      <w:r w:rsidRPr="00A3026E">
        <w:rPr>
          <w:rFonts w:ascii="Times New Roman" w:hAnsi="Times New Roman"/>
          <w:color w:val="000000" w:themeColor="text1"/>
          <w:sz w:val="16"/>
          <w:szCs w:val="16"/>
        </w:rPr>
        <w:softHyphen/>
        <w:t>ров заводов истребительной авиации выпускать истребители с дальностью не менее 1000 клм, на 0,9 максимальной скорости: Миг-3 и Лагг-3 с I января 1941- года, а Як-3 с I апреля 1941 года.</w:t>
      </w:r>
    </w:p>
    <w:p w14:paraId="787B66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Заместитель Наркома и Начальнику Третьего Главного Управления тов. Баландину В.П.:</w:t>
      </w:r>
    </w:p>
    <w:p w14:paraId="312270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принять к исполнению следующую программу выпуска авиа</w:t>
      </w:r>
      <w:r w:rsidRPr="00A3026E">
        <w:rPr>
          <w:rFonts w:ascii="Times New Roman" w:hAnsi="Times New Roman"/>
          <w:color w:val="000000" w:themeColor="text1"/>
          <w:sz w:val="16"/>
          <w:szCs w:val="16"/>
        </w:rPr>
        <w:softHyphen/>
        <w:t>моторов в 1941 грду: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26"/>
        <w:gridCol w:w="1447"/>
        <w:gridCol w:w="1008"/>
        <w:gridCol w:w="929"/>
        <w:gridCol w:w="1080"/>
        <w:gridCol w:w="1073"/>
        <w:gridCol w:w="1253"/>
      </w:tblGrid>
      <w:tr w:rsidR="00983732" w:rsidRPr="00A3026E" w14:paraId="51B8048C" w14:textId="77777777" w:rsidTr="00EA0DA7">
        <w:trPr>
          <w:trHeight w:val="259"/>
        </w:trPr>
        <w:tc>
          <w:tcPr>
            <w:tcW w:w="3226" w:type="dxa"/>
            <w:tcBorders>
              <w:top w:val="single" w:sz="12" w:space="0" w:color="auto"/>
            </w:tcBorders>
          </w:tcPr>
          <w:p w14:paraId="11531A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мотора</w:t>
            </w:r>
          </w:p>
        </w:tc>
        <w:tc>
          <w:tcPr>
            <w:tcW w:w="1447" w:type="dxa"/>
            <w:tcBorders>
              <w:top w:val="single" w:sz="12" w:space="0" w:color="auto"/>
            </w:tcBorders>
          </w:tcPr>
          <w:p w14:paraId="3C2D6C2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на 1941 г.</w:t>
            </w:r>
          </w:p>
        </w:tc>
        <w:tc>
          <w:tcPr>
            <w:tcW w:w="1937" w:type="dxa"/>
            <w:gridSpan w:val="2"/>
            <w:tcBorders>
              <w:top w:val="single" w:sz="12" w:space="0" w:color="auto"/>
            </w:tcBorders>
          </w:tcPr>
          <w:p w14:paraId="359A2BF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 ч. по кварталам</w:t>
            </w:r>
          </w:p>
        </w:tc>
        <w:tc>
          <w:tcPr>
            <w:tcW w:w="2153" w:type="dxa"/>
            <w:gridSpan w:val="2"/>
            <w:tcBorders>
              <w:top w:val="single" w:sz="12" w:space="0" w:color="auto"/>
            </w:tcBorders>
          </w:tcPr>
          <w:p w14:paraId="7694A3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3" w:type="dxa"/>
            <w:tcBorders>
              <w:top w:val="single" w:sz="12" w:space="0" w:color="auto"/>
            </w:tcBorders>
          </w:tcPr>
          <w:p w14:paraId="3F4B95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квар. 1942года</w:t>
            </w:r>
          </w:p>
        </w:tc>
      </w:tr>
      <w:tr w:rsidR="00983732" w:rsidRPr="00A3026E" w14:paraId="69EDD8E1" w14:textId="77777777" w:rsidTr="00EA0DA7">
        <w:trPr>
          <w:trHeight w:val="605"/>
        </w:trPr>
        <w:tc>
          <w:tcPr>
            <w:tcW w:w="3226" w:type="dxa"/>
          </w:tcPr>
          <w:p w14:paraId="1B935E81"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447" w:type="dxa"/>
          </w:tcPr>
          <w:p w14:paraId="7F9D4710"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008" w:type="dxa"/>
          </w:tcPr>
          <w:p w14:paraId="4FBC26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кв.</w:t>
            </w:r>
          </w:p>
        </w:tc>
        <w:tc>
          <w:tcPr>
            <w:tcW w:w="929" w:type="dxa"/>
          </w:tcPr>
          <w:p w14:paraId="0021AA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кв.</w:t>
            </w:r>
          </w:p>
        </w:tc>
        <w:tc>
          <w:tcPr>
            <w:tcW w:w="1080" w:type="dxa"/>
          </w:tcPr>
          <w:p w14:paraId="26877E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кв . :</w:t>
            </w:r>
          </w:p>
        </w:tc>
        <w:tc>
          <w:tcPr>
            <w:tcW w:w="1073" w:type="dxa"/>
          </w:tcPr>
          <w:p w14:paraId="3701C47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smallCaps/>
                <w:color w:val="000000" w:themeColor="text1"/>
                <w:sz w:val="16"/>
                <w:szCs w:val="16"/>
              </w:rPr>
              <w:t>1у кв.</w:t>
            </w:r>
          </w:p>
        </w:tc>
        <w:tc>
          <w:tcPr>
            <w:tcW w:w="1253" w:type="dxa"/>
          </w:tcPr>
          <w:p w14:paraId="59DC0D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6A31077" w14:textId="77777777" w:rsidTr="00EA0DA7">
        <w:trPr>
          <w:trHeight w:val="706"/>
        </w:trPr>
        <w:tc>
          <w:tcPr>
            <w:tcW w:w="3226" w:type="dxa"/>
          </w:tcPr>
          <w:p w14:paraId="64A627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моторов</w:t>
            </w:r>
          </w:p>
          <w:p w14:paraId="5539B1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p w14:paraId="2155B8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боевой авиации</w:t>
            </w:r>
          </w:p>
        </w:tc>
        <w:tc>
          <w:tcPr>
            <w:tcW w:w="1447" w:type="dxa"/>
          </w:tcPr>
          <w:p w14:paraId="70A2CB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43000</w:t>
            </w:r>
          </w:p>
        </w:tc>
        <w:tc>
          <w:tcPr>
            <w:tcW w:w="1008" w:type="dxa"/>
          </w:tcPr>
          <w:p w14:paraId="3068FB4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7505</w:t>
            </w:r>
          </w:p>
        </w:tc>
        <w:tc>
          <w:tcPr>
            <w:tcW w:w="929" w:type="dxa"/>
          </w:tcPr>
          <w:p w14:paraId="467CBF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9675</w:t>
            </w:r>
          </w:p>
        </w:tc>
        <w:tc>
          <w:tcPr>
            <w:tcW w:w="1080" w:type="dxa"/>
          </w:tcPr>
          <w:p w14:paraId="3AC074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11975</w:t>
            </w:r>
          </w:p>
        </w:tc>
        <w:tc>
          <w:tcPr>
            <w:tcW w:w="1073" w:type="dxa"/>
          </w:tcPr>
          <w:p w14:paraId="044046F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13845</w:t>
            </w:r>
          </w:p>
        </w:tc>
        <w:tc>
          <w:tcPr>
            <w:tcW w:w="1253" w:type="dxa"/>
          </w:tcPr>
          <w:p w14:paraId="30EEDD0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15900</w:t>
            </w:r>
          </w:p>
        </w:tc>
      </w:tr>
      <w:tr w:rsidR="00983732" w:rsidRPr="00A3026E" w14:paraId="7B2FC9BB" w14:textId="77777777" w:rsidTr="00EA0DA7">
        <w:trPr>
          <w:trHeight w:val="432"/>
        </w:trPr>
        <w:tc>
          <w:tcPr>
            <w:tcW w:w="3226" w:type="dxa"/>
          </w:tcPr>
          <w:p w14:paraId="48BB8FC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c>
          <w:tcPr>
            <w:tcW w:w="1447" w:type="dxa"/>
          </w:tcPr>
          <w:p w14:paraId="5E87AA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12600</w:t>
            </w:r>
          </w:p>
        </w:tc>
        <w:tc>
          <w:tcPr>
            <w:tcW w:w="1008" w:type="dxa"/>
          </w:tcPr>
          <w:p w14:paraId="159FD9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1935</w:t>
            </w:r>
          </w:p>
        </w:tc>
        <w:tc>
          <w:tcPr>
            <w:tcW w:w="929" w:type="dxa"/>
          </w:tcPr>
          <w:p w14:paraId="306CA4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2650</w:t>
            </w:r>
          </w:p>
        </w:tc>
        <w:tc>
          <w:tcPr>
            <w:tcW w:w="1080" w:type="dxa"/>
          </w:tcPr>
          <w:p w14:paraId="52E2E5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3650</w:t>
            </w:r>
          </w:p>
        </w:tc>
        <w:tc>
          <w:tcPr>
            <w:tcW w:w="1073" w:type="dxa"/>
          </w:tcPr>
          <w:p w14:paraId="659218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4365</w:t>
            </w:r>
          </w:p>
        </w:tc>
        <w:tc>
          <w:tcPr>
            <w:tcW w:w="1253" w:type="dxa"/>
          </w:tcPr>
          <w:p w14:paraId="30CE73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5500</w:t>
            </w:r>
          </w:p>
        </w:tc>
      </w:tr>
      <w:tr w:rsidR="00983732" w:rsidRPr="00A3026E" w14:paraId="4F9BCBD8" w14:textId="77777777" w:rsidTr="00EA0DA7">
        <w:trPr>
          <w:trHeight w:val="360"/>
        </w:trPr>
        <w:tc>
          <w:tcPr>
            <w:tcW w:w="3226" w:type="dxa"/>
          </w:tcPr>
          <w:p w14:paraId="735B0B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447" w:type="dxa"/>
          </w:tcPr>
          <w:p w14:paraId="06DB2EA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7400</w:t>
            </w:r>
          </w:p>
        </w:tc>
        <w:tc>
          <w:tcPr>
            <w:tcW w:w="1008" w:type="dxa"/>
          </w:tcPr>
          <w:p w14:paraId="2198C76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1350</w:t>
            </w:r>
          </w:p>
        </w:tc>
        <w:tc>
          <w:tcPr>
            <w:tcW w:w="929" w:type="dxa"/>
          </w:tcPr>
          <w:p w14:paraId="7D26B05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1750</w:t>
            </w:r>
          </w:p>
        </w:tc>
        <w:tc>
          <w:tcPr>
            <w:tcW w:w="1080" w:type="dxa"/>
          </w:tcPr>
          <w:p w14:paraId="504869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1073" w:type="dxa"/>
          </w:tcPr>
          <w:p w14:paraId="04F6CB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w:t>
            </w:r>
          </w:p>
        </w:tc>
        <w:tc>
          <w:tcPr>
            <w:tcW w:w="1253" w:type="dxa"/>
          </w:tcPr>
          <w:p w14:paraId="0AF40C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2600</w:t>
            </w:r>
          </w:p>
        </w:tc>
      </w:tr>
      <w:tr w:rsidR="00983732" w:rsidRPr="00A3026E" w14:paraId="565E89F0" w14:textId="77777777" w:rsidTr="00EA0DA7">
        <w:trPr>
          <w:trHeight w:val="360"/>
        </w:trPr>
        <w:tc>
          <w:tcPr>
            <w:tcW w:w="3226" w:type="dxa"/>
          </w:tcPr>
          <w:p w14:paraId="26E800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w:t>
            </w:r>
          </w:p>
        </w:tc>
        <w:tc>
          <w:tcPr>
            <w:tcW w:w="1447" w:type="dxa"/>
          </w:tcPr>
          <w:p w14:paraId="2D5D73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8050</w:t>
            </w:r>
          </w:p>
        </w:tc>
        <w:tc>
          <w:tcPr>
            <w:tcW w:w="1008" w:type="dxa"/>
          </w:tcPr>
          <w:p w14:paraId="753745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1105</w:t>
            </w:r>
          </w:p>
        </w:tc>
        <w:tc>
          <w:tcPr>
            <w:tcW w:w="929" w:type="dxa"/>
          </w:tcPr>
          <w:p w14:paraId="648110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1725</w:t>
            </w:r>
          </w:p>
        </w:tc>
        <w:tc>
          <w:tcPr>
            <w:tcW w:w="1080" w:type="dxa"/>
          </w:tcPr>
          <w:p w14:paraId="465A1C2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2395</w:t>
            </w:r>
          </w:p>
        </w:tc>
        <w:tc>
          <w:tcPr>
            <w:tcW w:w="1073" w:type="dxa"/>
          </w:tcPr>
          <w:p w14:paraId="09F7E6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2825</w:t>
            </w:r>
          </w:p>
        </w:tc>
        <w:tc>
          <w:tcPr>
            <w:tcW w:w="1253" w:type="dxa"/>
          </w:tcPr>
          <w:p w14:paraId="06611B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3350</w:t>
            </w:r>
          </w:p>
        </w:tc>
      </w:tr>
      <w:tr w:rsidR="00983732" w:rsidRPr="00A3026E" w14:paraId="54DA4C5E" w14:textId="77777777" w:rsidTr="00EA0DA7">
        <w:trPr>
          <w:trHeight w:val="353"/>
        </w:trPr>
        <w:tc>
          <w:tcPr>
            <w:tcW w:w="3226" w:type="dxa"/>
          </w:tcPr>
          <w:p w14:paraId="03DE9E6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М-40</w:t>
            </w:r>
          </w:p>
        </w:tc>
        <w:tc>
          <w:tcPr>
            <w:tcW w:w="1447" w:type="dxa"/>
          </w:tcPr>
          <w:p w14:paraId="0E704DB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2250</w:t>
            </w:r>
          </w:p>
        </w:tc>
        <w:tc>
          <w:tcPr>
            <w:tcW w:w="1008" w:type="dxa"/>
          </w:tcPr>
          <w:p w14:paraId="0562D7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929" w:type="dxa"/>
          </w:tcPr>
          <w:p w14:paraId="3BE3B8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475</w:t>
            </w:r>
          </w:p>
        </w:tc>
        <w:tc>
          <w:tcPr>
            <w:tcW w:w="1080" w:type="dxa"/>
          </w:tcPr>
          <w:p w14:paraId="2A27D4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w:t>
            </w:r>
          </w:p>
        </w:tc>
        <w:tc>
          <w:tcPr>
            <w:tcW w:w="1073" w:type="dxa"/>
          </w:tcPr>
          <w:p w14:paraId="551943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tc>
        <w:tc>
          <w:tcPr>
            <w:tcW w:w="1253" w:type="dxa"/>
          </w:tcPr>
          <w:p w14:paraId="452C703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925</w:t>
            </w:r>
          </w:p>
        </w:tc>
      </w:tr>
      <w:tr w:rsidR="00983732" w:rsidRPr="00A3026E" w14:paraId="5579B76D" w14:textId="77777777" w:rsidTr="00EA0DA7">
        <w:trPr>
          <w:trHeight w:val="360"/>
        </w:trPr>
        <w:tc>
          <w:tcPr>
            <w:tcW w:w="3226" w:type="dxa"/>
          </w:tcPr>
          <w:p w14:paraId="55B0902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м-зо -</w:t>
            </w:r>
          </w:p>
        </w:tc>
        <w:tc>
          <w:tcPr>
            <w:tcW w:w="1447" w:type="dxa"/>
          </w:tcPr>
          <w:p w14:paraId="719833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1008" w:type="dxa"/>
          </w:tcPr>
          <w:p w14:paraId="76F6696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929" w:type="dxa"/>
          </w:tcPr>
          <w:p w14:paraId="66362AF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1080" w:type="dxa"/>
          </w:tcPr>
          <w:p w14:paraId="471B5F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073" w:type="dxa"/>
          </w:tcPr>
          <w:p w14:paraId="003946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1253" w:type="dxa"/>
          </w:tcPr>
          <w:p w14:paraId="305C06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r>
      <w:tr w:rsidR="00983732" w:rsidRPr="00A3026E" w14:paraId="41A3D4E8" w14:textId="77777777" w:rsidTr="00EA0DA7">
        <w:trPr>
          <w:trHeight w:val="353"/>
        </w:trPr>
        <w:tc>
          <w:tcPr>
            <w:tcW w:w="3226" w:type="dxa"/>
          </w:tcPr>
          <w:p w14:paraId="397EB3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c>
          <w:tcPr>
            <w:tcW w:w="1447" w:type="dxa"/>
          </w:tcPr>
          <w:p w14:paraId="4CC78C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1008" w:type="dxa"/>
          </w:tcPr>
          <w:p w14:paraId="1E552D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929" w:type="dxa"/>
          </w:tcPr>
          <w:p w14:paraId="44AD89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1080" w:type="dxa"/>
          </w:tcPr>
          <w:p w14:paraId="507A84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073" w:type="dxa"/>
          </w:tcPr>
          <w:p w14:paraId="073EEC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1253" w:type="dxa"/>
          </w:tcPr>
          <w:p w14:paraId="141340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36BD2C2D" w14:textId="77777777" w:rsidTr="00EA0DA7">
        <w:trPr>
          <w:trHeight w:val="360"/>
        </w:trPr>
        <w:tc>
          <w:tcPr>
            <w:tcW w:w="3226" w:type="dxa"/>
          </w:tcPr>
          <w:p w14:paraId="452B8F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М-62ИР</w:t>
            </w:r>
          </w:p>
        </w:tc>
        <w:tc>
          <w:tcPr>
            <w:tcW w:w="1447" w:type="dxa"/>
          </w:tcPr>
          <w:p w14:paraId="3328B1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1008" w:type="dxa"/>
          </w:tcPr>
          <w:p w14:paraId="3B2551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929" w:type="dxa"/>
          </w:tcPr>
          <w:p w14:paraId="21B64B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080" w:type="dxa"/>
          </w:tcPr>
          <w:p w14:paraId="697BD0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230</w:t>
            </w:r>
          </w:p>
        </w:tc>
        <w:tc>
          <w:tcPr>
            <w:tcW w:w="1073" w:type="dxa"/>
          </w:tcPr>
          <w:p w14:paraId="4E0479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253" w:type="dxa"/>
          </w:tcPr>
          <w:p w14:paraId="1CA666A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3FF337CC" w14:textId="77777777" w:rsidTr="00EA0DA7">
        <w:trPr>
          <w:trHeight w:val="353"/>
        </w:trPr>
        <w:tc>
          <w:tcPr>
            <w:tcW w:w="3226" w:type="dxa"/>
          </w:tcPr>
          <w:p w14:paraId="1254787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c>
          <w:tcPr>
            <w:tcW w:w="1447" w:type="dxa"/>
          </w:tcPr>
          <w:p w14:paraId="4D9E36F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1008" w:type="dxa"/>
          </w:tcPr>
          <w:p w14:paraId="49AF4B0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w:t>
            </w:r>
          </w:p>
        </w:tc>
        <w:tc>
          <w:tcPr>
            <w:tcW w:w="929" w:type="dxa"/>
          </w:tcPr>
          <w:p w14:paraId="64DDB5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1080" w:type="dxa"/>
          </w:tcPr>
          <w:p w14:paraId="288953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w:t>
            </w:r>
          </w:p>
        </w:tc>
        <w:tc>
          <w:tcPr>
            <w:tcW w:w="1073" w:type="dxa"/>
          </w:tcPr>
          <w:p w14:paraId="374FB2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tc>
        <w:tc>
          <w:tcPr>
            <w:tcW w:w="1253" w:type="dxa"/>
          </w:tcPr>
          <w:p w14:paraId="076EC7C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r>
      <w:tr w:rsidR="00983732" w:rsidRPr="00A3026E" w14:paraId="50598C55" w14:textId="77777777" w:rsidTr="00EA0DA7">
        <w:trPr>
          <w:trHeight w:val="418"/>
        </w:trPr>
        <w:tc>
          <w:tcPr>
            <w:tcW w:w="3226" w:type="dxa"/>
          </w:tcPr>
          <w:p w14:paraId="70B0556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М-89</w:t>
            </w:r>
          </w:p>
        </w:tc>
        <w:tc>
          <w:tcPr>
            <w:tcW w:w="1447" w:type="dxa"/>
          </w:tcPr>
          <w:p w14:paraId="37C9A8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008" w:type="dxa"/>
          </w:tcPr>
          <w:p w14:paraId="4E46FE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29" w:type="dxa"/>
          </w:tcPr>
          <w:p w14:paraId="1494C6E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080" w:type="dxa"/>
          </w:tcPr>
          <w:p w14:paraId="2A9F43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1073" w:type="dxa"/>
          </w:tcPr>
          <w:p w14:paraId="3AF68FD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253" w:type="dxa"/>
          </w:tcPr>
          <w:p w14:paraId="1FF9E1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r>
      <w:tr w:rsidR="00983732" w:rsidRPr="00A3026E" w14:paraId="62AA186C" w14:textId="77777777" w:rsidTr="00EA0DA7">
        <w:trPr>
          <w:trHeight w:val="598"/>
        </w:trPr>
        <w:tc>
          <w:tcPr>
            <w:tcW w:w="3226" w:type="dxa"/>
          </w:tcPr>
          <w:p w14:paraId="16697E8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моторов боевой авиации</w:t>
            </w:r>
          </w:p>
        </w:tc>
        <w:tc>
          <w:tcPr>
            <w:tcW w:w="1447" w:type="dxa"/>
          </w:tcPr>
          <w:p w14:paraId="6828FA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37550</w:t>
            </w:r>
          </w:p>
        </w:tc>
        <w:tc>
          <w:tcPr>
            <w:tcW w:w="1008" w:type="dxa"/>
          </w:tcPr>
          <w:p w14:paraId="070ED2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6355</w:t>
            </w:r>
          </w:p>
        </w:tc>
        <w:tc>
          <w:tcPr>
            <w:tcW w:w="929" w:type="dxa"/>
          </w:tcPr>
          <w:p w14:paraId="5E9DB9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8325</w:t>
            </w:r>
          </w:p>
        </w:tc>
        <w:tc>
          <w:tcPr>
            <w:tcW w:w="1080" w:type="dxa"/>
          </w:tcPr>
          <w:p w14:paraId="63D7EB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10525</w:t>
            </w:r>
          </w:p>
        </w:tc>
        <w:tc>
          <w:tcPr>
            <w:tcW w:w="1073" w:type="dxa"/>
          </w:tcPr>
          <w:p w14:paraId="6D6794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12345</w:t>
            </w:r>
          </w:p>
        </w:tc>
        <w:tc>
          <w:tcPr>
            <w:tcW w:w="1253" w:type="dxa"/>
          </w:tcPr>
          <w:p w14:paraId="39BB54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14400</w:t>
            </w:r>
          </w:p>
        </w:tc>
      </w:tr>
      <w:tr w:rsidR="00983732" w:rsidRPr="00A3026E" w14:paraId="30728FB9" w14:textId="77777777" w:rsidTr="00EA0DA7">
        <w:trPr>
          <w:trHeight w:val="425"/>
        </w:trPr>
        <w:tc>
          <w:tcPr>
            <w:tcW w:w="3226" w:type="dxa"/>
          </w:tcPr>
          <w:p w14:paraId="3277DE1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учебн. Авиации</w:t>
            </w:r>
          </w:p>
        </w:tc>
        <w:tc>
          <w:tcPr>
            <w:tcW w:w="1447" w:type="dxa"/>
          </w:tcPr>
          <w:p w14:paraId="3B8F35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Pr>
          <w:p w14:paraId="00053F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9" w:type="dxa"/>
          </w:tcPr>
          <w:p w14:paraId="646117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0" w:type="dxa"/>
          </w:tcPr>
          <w:p w14:paraId="7BCD28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3" w:type="dxa"/>
          </w:tcPr>
          <w:p w14:paraId="0884DA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3" w:type="dxa"/>
          </w:tcPr>
          <w:p w14:paraId="6BB597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BEA7673" w14:textId="77777777" w:rsidTr="00EA0DA7">
        <w:trPr>
          <w:trHeight w:val="331"/>
        </w:trPr>
        <w:tc>
          <w:tcPr>
            <w:tcW w:w="3226" w:type="dxa"/>
          </w:tcPr>
          <w:p w14:paraId="360066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c>
          <w:tcPr>
            <w:tcW w:w="1447" w:type="dxa"/>
          </w:tcPr>
          <w:p w14:paraId="486C025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w:t>
            </w:r>
          </w:p>
        </w:tc>
        <w:tc>
          <w:tcPr>
            <w:tcW w:w="1008" w:type="dxa"/>
          </w:tcPr>
          <w:p w14:paraId="72A2EE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929" w:type="dxa"/>
          </w:tcPr>
          <w:p w14:paraId="6F99A4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080" w:type="dxa"/>
          </w:tcPr>
          <w:p w14:paraId="744F3B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073" w:type="dxa"/>
          </w:tcPr>
          <w:p w14:paraId="1EAB19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253" w:type="dxa"/>
          </w:tcPr>
          <w:p w14:paraId="24FD7E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E660049" w14:textId="77777777" w:rsidTr="00EA0DA7">
        <w:trPr>
          <w:trHeight w:val="418"/>
        </w:trPr>
        <w:tc>
          <w:tcPr>
            <w:tcW w:w="3226" w:type="dxa"/>
          </w:tcPr>
          <w:p w14:paraId="5CCEE8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М-11</w:t>
            </w:r>
          </w:p>
        </w:tc>
        <w:tc>
          <w:tcPr>
            <w:tcW w:w="1447" w:type="dxa"/>
          </w:tcPr>
          <w:p w14:paraId="08CC98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3500</w:t>
            </w:r>
          </w:p>
        </w:tc>
        <w:tc>
          <w:tcPr>
            <w:tcW w:w="1008" w:type="dxa"/>
          </w:tcPr>
          <w:p w14:paraId="2C00BD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929" w:type="dxa"/>
          </w:tcPr>
          <w:p w14:paraId="3370F0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c>
          <w:tcPr>
            <w:tcW w:w="1080" w:type="dxa"/>
          </w:tcPr>
          <w:p w14:paraId="0ED64E4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1073" w:type="dxa"/>
          </w:tcPr>
          <w:p w14:paraId="4E8669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c>
          <w:tcPr>
            <w:tcW w:w="1253" w:type="dxa"/>
          </w:tcPr>
          <w:p w14:paraId="158C9C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r>
      <w:tr w:rsidR="00983732" w:rsidRPr="00A3026E" w14:paraId="77F49391" w14:textId="77777777" w:rsidTr="00EA0DA7">
        <w:trPr>
          <w:trHeight w:val="590"/>
        </w:trPr>
        <w:tc>
          <w:tcPr>
            <w:tcW w:w="3226" w:type="dxa"/>
          </w:tcPr>
          <w:p w14:paraId="3A25D3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моторов учебной авиации</w:t>
            </w:r>
          </w:p>
        </w:tc>
        <w:tc>
          <w:tcPr>
            <w:tcW w:w="1447" w:type="dxa"/>
          </w:tcPr>
          <w:p w14:paraId="582FAD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5100</w:t>
            </w:r>
          </w:p>
        </w:tc>
        <w:tc>
          <w:tcPr>
            <w:tcW w:w="1008" w:type="dxa"/>
          </w:tcPr>
          <w:p w14:paraId="3818D1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929" w:type="dxa"/>
          </w:tcPr>
          <w:p w14:paraId="2B34482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1250</w:t>
            </w:r>
          </w:p>
        </w:tc>
        <w:tc>
          <w:tcPr>
            <w:tcW w:w="1080" w:type="dxa"/>
          </w:tcPr>
          <w:p w14:paraId="0FC02AD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1350</w:t>
            </w:r>
          </w:p>
        </w:tc>
        <w:tc>
          <w:tcPr>
            <w:tcW w:w="1073" w:type="dxa"/>
          </w:tcPr>
          <w:p w14:paraId="5A37BE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w:t>
            </w:r>
          </w:p>
        </w:tc>
        <w:tc>
          <w:tcPr>
            <w:tcW w:w="1253" w:type="dxa"/>
          </w:tcPr>
          <w:p w14:paraId="279E1E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r>
      <w:tr w:rsidR="00983732" w:rsidRPr="00A3026E" w14:paraId="0E3E36EE" w14:textId="77777777" w:rsidTr="00EA0DA7">
        <w:trPr>
          <w:trHeight w:val="432"/>
        </w:trPr>
        <w:tc>
          <w:tcPr>
            <w:tcW w:w="3226" w:type="dxa"/>
          </w:tcPr>
          <w:p w14:paraId="7CCE2B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 глиссерные</w:t>
            </w:r>
          </w:p>
        </w:tc>
        <w:tc>
          <w:tcPr>
            <w:tcW w:w="1447" w:type="dxa"/>
          </w:tcPr>
          <w:p w14:paraId="0C6C35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Pr>
          <w:p w14:paraId="2E53E9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9" w:type="dxa"/>
          </w:tcPr>
          <w:p w14:paraId="6428B1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0" w:type="dxa"/>
          </w:tcPr>
          <w:p w14:paraId="081F96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3" w:type="dxa"/>
          </w:tcPr>
          <w:p w14:paraId="3EDBAF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3" w:type="dxa"/>
          </w:tcPr>
          <w:p w14:paraId="0CF0D5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5D931F2" w14:textId="77777777" w:rsidTr="00EA0DA7">
        <w:trPr>
          <w:trHeight w:val="432"/>
        </w:trPr>
        <w:tc>
          <w:tcPr>
            <w:tcW w:w="3226" w:type="dxa"/>
            <w:tcBorders>
              <w:bottom w:val="single" w:sz="12" w:space="0" w:color="auto"/>
            </w:tcBorders>
          </w:tcPr>
          <w:p w14:paraId="03CE09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ГАМ-34 БС</w:t>
            </w:r>
          </w:p>
        </w:tc>
        <w:tc>
          <w:tcPr>
            <w:tcW w:w="1447" w:type="dxa"/>
            <w:tcBorders>
              <w:bottom w:val="single" w:sz="12" w:space="0" w:color="auto"/>
            </w:tcBorders>
          </w:tcPr>
          <w:p w14:paraId="1257E01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1008" w:type="dxa"/>
            <w:tcBorders>
              <w:bottom w:val="single" w:sz="12" w:space="0" w:color="auto"/>
            </w:tcBorders>
          </w:tcPr>
          <w:p w14:paraId="503BA8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929" w:type="dxa"/>
            <w:tcBorders>
              <w:bottom w:val="single" w:sz="12" w:space="0" w:color="auto"/>
            </w:tcBorders>
          </w:tcPr>
          <w:p w14:paraId="1BB04C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080" w:type="dxa"/>
            <w:tcBorders>
              <w:bottom w:val="single" w:sz="12" w:space="0" w:color="auto"/>
            </w:tcBorders>
          </w:tcPr>
          <w:p w14:paraId="557759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073" w:type="dxa"/>
            <w:tcBorders>
              <w:bottom w:val="single" w:sz="12" w:space="0" w:color="auto"/>
            </w:tcBorders>
          </w:tcPr>
          <w:p w14:paraId="5EB288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253" w:type="dxa"/>
            <w:tcBorders>
              <w:bottom w:val="single" w:sz="12" w:space="0" w:color="auto"/>
            </w:tcBorders>
          </w:tcPr>
          <w:p w14:paraId="023DBF1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485DE1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установить программу выпуска авиамоторов в 1841 по заводам: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1"/>
        <w:gridCol w:w="2835"/>
        <w:gridCol w:w="1276"/>
        <w:gridCol w:w="992"/>
        <w:gridCol w:w="850"/>
        <w:gridCol w:w="993"/>
        <w:gridCol w:w="917"/>
        <w:gridCol w:w="8"/>
        <w:gridCol w:w="7"/>
        <w:gridCol w:w="1194"/>
      </w:tblGrid>
      <w:tr w:rsidR="00983732" w:rsidRPr="00A3026E" w14:paraId="1642EDAE" w14:textId="77777777" w:rsidTr="00EA0DA7">
        <w:trPr>
          <w:trHeight w:val="20"/>
        </w:trPr>
        <w:tc>
          <w:tcPr>
            <w:tcW w:w="851" w:type="dxa"/>
            <w:tcBorders>
              <w:top w:val="single" w:sz="12" w:space="0" w:color="auto"/>
            </w:tcBorders>
          </w:tcPr>
          <w:p w14:paraId="5493E7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w:t>
            </w:r>
            <w:r w:rsidRPr="00A3026E">
              <w:rPr>
                <w:rFonts w:ascii="Times New Roman" w:hAnsi="Times New Roman"/>
                <w:color w:val="000000" w:themeColor="text1"/>
                <w:sz w:val="16"/>
                <w:szCs w:val="16"/>
              </w:rPr>
              <w:softHyphen/>
              <w:t>водов</w:t>
            </w:r>
          </w:p>
        </w:tc>
        <w:tc>
          <w:tcPr>
            <w:tcW w:w="2835" w:type="dxa"/>
            <w:tcBorders>
              <w:top w:val="single" w:sz="12" w:space="0" w:color="auto"/>
            </w:tcBorders>
          </w:tcPr>
          <w:p w14:paraId="491EE1B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моторов</w:t>
            </w:r>
          </w:p>
        </w:tc>
        <w:tc>
          <w:tcPr>
            <w:tcW w:w="1276" w:type="dxa"/>
            <w:tcBorders>
              <w:top w:val="single" w:sz="12" w:space="0" w:color="auto"/>
            </w:tcBorders>
          </w:tcPr>
          <w:p w14:paraId="40C57B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1941 г.</w:t>
            </w:r>
          </w:p>
        </w:tc>
        <w:tc>
          <w:tcPr>
            <w:tcW w:w="3752" w:type="dxa"/>
            <w:gridSpan w:val="4"/>
            <w:tcBorders>
              <w:top w:val="single" w:sz="12" w:space="0" w:color="auto"/>
            </w:tcBorders>
          </w:tcPr>
          <w:p w14:paraId="732D1C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tc>
        <w:tc>
          <w:tcPr>
            <w:tcW w:w="1209" w:type="dxa"/>
            <w:gridSpan w:val="3"/>
            <w:tcBorders>
              <w:top w:val="single" w:sz="12" w:space="0" w:color="auto"/>
            </w:tcBorders>
          </w:tcPr>
          <w:p w14:paraId="24A2D7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кв. 1942 года</w:t>
            </w:r>
          </w:p>
        </w:tc>
      </w:tr>
      <w:tr w:rsidR="00983732" w:rsidRPr="00A3026E" w14:paraId="2DC574D9" w14:textId="77777777" w:rsidTr="00EA0DA7">
        <w:trPr>
          <w:trHeight w:val="20"/>
        </w:trPr>
        <w:tc>
          <w:tcPr>
            <w:tcW w:w="851" w:type="dxa"/>
          </w:tcPr>
          <w:p w14:paraId="20A4D75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835" w:type="dxa"/>
          </w:tcPr>
          <w:p w14:paraId="6EE722F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276" w:type="dxa"/>
          </w:tcPr>
          <w:p w14:paraId="34353433"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782053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кв.</w:t>
            </w:r>
          </w:p>
        </w:tc>
        <w:tc>
          <w:tcPr>
            <w:tcW w:w="850" w:type="dxa"/>
          </w:tcPr>
          <w:p w14:paraId="0B371B2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кв.</w:t>
            </w:r>
          </w:p>
        </w:tc>
        <w:tc>
          <w:tcPr>
            <w:tcW w:w="993" w:type="dxa"/>
          </w:tcPr>
          <w:p w14:paraId="5C1A1C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кв.</w:t>
            </w:r>
          </w:p>
        </w:tc>
        <w:tc>
          <w:tcPr>
            <w:tcW w:w="932" w:type="dxa"/>
            <w:gridSpan w:val="3"/>
          </w:tcPr>
          <w:p w14:paraId="70BAEF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 кв.</w:t>
            </w:r>
          </w:p>
        </w:tc>
        <w:tc>
          <w:tcPr>
            <w:tcW w:w="1194" w:type="dxa"/>
          </w:tcPr>
          <w:p w14:paraId="4E805E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C666089" w14:textId="77777777" w:rsidTr="00EA0DA7">
        <w:trPr>
          <w:trHeight w:val="20"/>
        </w:trPr>
        <w:tc>
          <w:tcPr>
            <w:tcW w:w="851" w:type="dxa"/>
          </w:tcPr>
          <w:p w14:paraId="0B2073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vertAlign w:val="superscript"/>
              </w:rPr>
              <w:t>16</w:t>
            </w:r>
          </w:p>
        </w:tc>
        <w:tc>
          <w:tcPr>
            <w:tcW w:w="2835" w:type="dxa"/>
          </w:tcPr>
          <w:p w14:paraId="7705CBE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c>
          <w:tcPr>
            <w:tcW w:w="1276" w:type="dxa"/>
          </w:tcPr>
          <w:p w14:paraId="346BD1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992" w:type="dxa"/>
          </w:tcPr>
          <w:p w14:paraId="2757D0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850" w:type="dxa"/>
          </w:tcPr>
          <w:p w14:paraId="6EF086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993" w:type="dxa"/>
          </w:tcPr>
          <w:p w14:paraId="1C620F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625</w:t>
            </w:r>
          </w:p>
        </w:tc>
        <w:tc>
          <w:tcPr>
            <w:tcW w:w="932" w:type="dxa"/>
            <w:gridSpan w:val="3"/>
          </w:tcPr>
          <w:p w14:paraId="78FECC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675</w:t>
            </w:r>
          </w:p>
        </w:tc>
        <w:tc>
          <w:tcPr>
            <w:tcW w:w="1194" w:type="dxa"/>
          </w:tcPr>
          <w:p w14:paraId="62031C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r>
      <w:tr w:rsidR="00983732" w:rsidRPr="00A3026E" w14:paraId="5E10CDC0" w14:textId="77777777" w:rsidTr="00EA0DA7">
        <w:trPr>
          <w:trHeight w:val="20"/>
        </w:trPr>
        <w:tc>
          <w:tcPr>
            <w:tcW w:w="851" w:type="dxa"/>
          </w:tcPr>
          <w:p w14:paraId="6E9220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2835" w:type="dxa"/>
          </w:tcPr>
          <w:p w14:paraId="76F8286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c>
          <w:tcPr>
            <w:tcW w:w="1276" w:type="dxa"/>
          </w:tcPr>
          <w:p w14:paraId="2931D2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992" w:type="dxa"/>
          </w:tcPr>
          <w:p w14:paraId="776B1A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850" w:type="dxa"/>
          </w:tcPr>
          <w:p w14:paraId="62D7EB1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993" w:type="dxa"/>
          </w:tcPr>
          <w:p w14:paraId="1062BA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932" w:type="dxa"/>
            <w:gridSpan w:val="3"/>
          </w:tcPr>
          <w:p w14:paraId="36A453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925</w:t>
            </w:r>
          </w:p>
        </w:tc>
        <w:tc>
          <w:tcPr>
            <w:tcW w:w="1194" w:type="dxa"/>
          </w:tcPr>
          <w:p w14:paraId="5934EA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1250</w:t>
            </w:r>
          </w:p>
        </w:tc>
      </w:tr>
      <w:tr w:rsidR="00983732" w:rsidRPr="00A3026E" w14:paraId="21726398" w14:textId="77777777" w:rsidTr="00EA0DA7">
        <w:trPr>
          <w:trHeight w:val="20"/>
        </w:trPr>
        <w:tc>
          <w:tcPr>
            <w:tcW w:w="851" w:type="dxa"/>
          </w:tcPr>
          <w:p w14:paraId="45B22D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2835" w:type="dxa"/>
          </w:tcPr>
          <w:p w14:paraId="5F7F86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c>
          <w:tcPr>
            <w:tcW w:w="1276" w:type="dxa"/>
          </w:tcPr>
          <w:p w14:paraId="3A6480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992" w:type="dxa"/>
          </w:tcPr>
          <w:p w14:paraId="3C9926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850" w:type="dxa"/>
          </w:tcPr>
          <w:p w14:paraId="5A6754D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993" w:type="dxa"/>
          </w:tcPr>
          <w:p w14:paraId="492DBE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932" w:type="dxa"/>
            <w:gridSpan w:val="3"/>
          </w:tcPr>
          <w:p w14:paraId="7B04499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1194" w:type="dxa"/>
          </w:tcPr>
          <w:p w14:paraId="6E8939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6565755E" w14:textId="77777777" w:rsidTr="00EA0DA7">
        <w:trPr>
          <w:trHeight w:val="20"/>
        </w:trPr>
        <w:tc>
          <w:tcPr>
            <w:tcW w:w="851" w:type="dxa"/>
          </w:tcPr>
          <w:p w14:paraId="3C6371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2835" w:type="dxa"/>
          </w:tcPr>
          <w:p w14:paraId="4E0D8B5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М-62ИР</w:t>
            </w:r>
          </w:p>
        </w:tc>
        <w:tc>
          <w:tcPr>
            <w:tcW w:w="1276" w:type="dxa"/>
          </w:tcPr>
          <w:p w14:paraId="78A73B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992" w:type="dxa"/>
          </w:tcPr>
          <w:p w14:paraId="42A784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850" w:type="dxa"/>
          </w:tcPr>
          <w:p w14:paraId="2F82BF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993" w:type="dxa"/>
          </w:tcPr>
          <w:p w14:paraId="45E6EE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w:t>
            </w:r>
          </w:p>
        </w:tc>
        <w:tc>
          <w:tcPr>
            <w:tcW w:w="932" w:type="dxa"/>
            <w:gridSpan w:val="3"/>
          </w:tcPr>
          <w:p w14:paraId="4763C2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194" w:type="dxa"/>
          </w:tcPr>
          <w:p w14:paraId="592E6F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147152E3" w14:textId="77777777" w:rsidTr="00EA0DA7">
        <w:trPr>
          <w:trHeight w:val="20"/>
        </w:trPr>
        <w:tc>
          <w:tcPr>
            <w:tcW w:w="851" w:type="dxa"/>
          </w:tcPr>
          <w:p w14:paraId="0054889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2835" w:type="dxa"/>
          </w:tcPr>
          <w:p w14:paraId="4608E2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c>
          <w:tcPr>
            <w:tcW w:w="1276" w:type="dxa"/>
          </w:tcPr>
          <w:p w14:paraId="5DF358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w:t>
            </w:r>
          </w:p>
        </w:tc>
        <w:tc>
          <w:tcPr>
            <w:tcW w:w="992" w:type="dxa"/>
          </w:tcPr>
          <w:p w14:paraId="5B86D6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850" w:type="dxa"/>
          </w:tcPr>
          <w:p w14:paraId="5EEB40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993" w:type="dxa"/>
          </w:tcPr>
          <w:p w14:paraId="021C19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32" w:type="dxa"/>
            <w:gridSpan w:val="3"/>
          </w:tcPr>
          <w:p w14:paraId="0B1538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194" w:type="dxa"/>
          </w:tcPr>
          <w:p w14:paraId="4826D2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C520F79" w14:textId="77777777" w:rsidTr="00EA0DA7">
        <w:trPr>
          <w:trHeight w:val="20"/>
        </w:trPr>
        <w:tc>
          <w:tcPr>
            <w:tcW w:w="851" w:type="dxa"/>
          </w:tcPr>
          <w:p w14:paraId="5A858B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24</w:t>
            </w:r>
          </w:p>
        </w:tc>
        <w:tc>
          <w:tcPr>
            <w:tcW w:w="2835" w:type="dxa"/>
          </w:tcPr>
          <w:p w14:paraId="50551B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w:t>
            </w:r>
          </w:p>
        </w:tc>
        <w:tc>
          <w:tcPr>
            <w:tcW w:w="1276" w:type="dxa"/>
          </w:tcPr>
          <w:p w14:paraId="6BFA83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6800</w:t>
            </w:r>
          </w:p>
        </w:tc>
        <w:tc>
          <w:tcPr>
            <w:tcW w:w="992" w:type="dxa"/>
          </w:tcPr>
          <w:p w14:paraId="0495B8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850" w:type="dxa"/>
          </w:tcPr>
          <w:p w14:paraId="7ECB3F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993" w:type="dxa"/>
          </w:tcPr>
          <w:p w14:paraId="5653DF8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925" w:type="dxa"/>
            <w:gridSpan w:val="2"/>
          </w:tcPr>
          <w:p w14:paraId="6AB3C7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2250</w:t>
            </w:r>
          </w:p>
        </w:tc>
        <w:tc>
          <w:tcPr>
            <w:tcW w:w="1199" w:type="dxa"/>
            <w:gridSpan w:val="2"/>
          </w:tcPr>
          <w:p w14:paraId="0DEE5C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r>
      <w:tr w:rsidR="00983732" w:rsidRPr="00A3026E" w14:paraId="15D9BD3D" w14:textId="77777777" w:rsidTr="00EA0DA7">
        <w:trPr>
          <w:trHeight w:val="20"/>
        </w:trPr>
        <w:tc>
          <w:tcPr>
            <w:tcW w:w="851" w:type="dxa"/>
          </w:tcPr>
          <w:p w14:paraId="43285D7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2835" w:type="dxa"/>
          </w:tcPr>
          <w:p w14:paraId="7E9757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ГАМ-34 БС</w:t>
            </w:r>
          </w:p>
        </w:tc>
        <w:tc>
          <w:tcPr>
            <w:tcW w:w="1276" w:type="dxa"/>
          </w:tcPr>
          <w:p w14:paraId="0F0A9A4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992" w:type="dxa"/>
          </w:tcPr>
          <w:p w14:paraId="24CE66E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850" w:type="dxa"/>
          </w:tcPr>
          <w:p w14:paraId="1D4E40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3" w:type="dxa"/>
          </w:tcPr>
          <w:p w14:paraId="5E16CC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25" w:type="dxa"/>
            <w:gridSpan w:val="2"/>
          </w:tcPr>
          <w:p w14:paraId="2BA6D6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199" w:type="dxa"/>
            <w:gridSpan w:val="2"/>
          </w:tcPr>
          <w:p w14:paraId="3A8EDD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A02EE63" w14:textId="77777777" w:rsidTr="00EA0DA7">
        <w:trPr>
          <w:trHeight w:val="20"/>
        </w:trPr>
        <w:tc>
          <w:tcPr>
            <w:tcW w:w="851" w:type="dxa"/>
          </w:tcPr>
          <w:p w14:paraId="5D3D8CC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2835" w:type="dxa"/>
          </w:tcPr>
          <w:p w14:paraId="1D4E69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c>
          <w:tcPr>
            <w:tcW w:w="1276" w:type="dxa"/>
          </w:tcPr>
          <w:p w14:paraId="6442E6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6600</w:t>
            </w:r>
          </w:p>
        </w:tc>
        <w:tc>
          <w:tcPr>
            <w:tcW w:w="992" w:type="dxa"/>
          </w:tcPr>
          <w:p w14:paraId="7583D7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850" w:type="dxa"/>
          </w:tcPr>
          <w:p w14:paraId="5DF432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w:t>
            </w:r>
          </w:p>
        </w:tc>
        <w:tc>
          <w:tcPr>
            <w:tcW w:w="993" w:type="dxa"/>
          </w:tcPr>
          <w:p w14:paraId="7C4416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w:t>
            </w:r>
          </w:p>
        </w:tc>
        <w:tc>
          <w:tcPr>
            <w:tcW w:w="925" w:type="dxa"/>
            <w:gridSpan w:val="2"/>
          </w:tcPr>
          <w:p w14:paraId="5B2C81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w:t>
            </w:r>
          </w:p>
        </w:tc>
        <w:tc>
          <w:tcPr>
            <w:tcW w:w="1199" w:type="dxa"/>
            <w:gridSpan w:val="2"/>
          </w:tcPr>
          <w:p w14:paraId="555FDF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w:t>
            </w:r>
          </w:p>
        </w:tc>
      </w:tr>
      <w:tr w:rsidR="00983732" w:rsidRPr="00A3026E" w14:paraId="3EEF5A9C" w14:textId="77777777" w:rsidTr="00EA0DA7">
        <w:trPr>
          <w:trHeight w:val="20"/>
        </w:trPr>
        <w:tc>
          <w:tcPr>
            <w:tcW w:w="851" w:type="dxa"/>
          </w:tcPr>
          <w:p w14:paraId="3D8028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2835" w:type="dxa"/>
          </w:tcPr>
          <w:p w14:paraId="78A45C9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276" w:type="dxa"/>
          </w:tcPr>
          <w:p w14:paraId="5481097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5400</w:t>
            </w:r>
          </w:p>
        </w:tc>
        <w:tc>
          <w:tcPr>
            <w:tcW w:w="992" w:type="dxa"/>
          </w:tcPr>
          <w:p w14:paraId="7554D06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850" w:type="dxa"/>
          </w:tcPr>
          <w:p w14:paraId="51CBE5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w:t>
            </w:r>
          </w:p>
        </w:tc>
        <w:tc>
          <w:tcPr>
            <w:tcW w:w="993" w:type="dxa"/>
          </w:tcPr>
          <w:p w14:paraId="163A95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w:t>
            </w:r>
          </w:p>
        </w:tc>
        <w:tc>
          <w:tcPr>
            <w:tcW w:w="925" w:type="dxa"/>
            <w:gridSpan w:val="2"/>
          </w:tcPr>
          <w:p w14:paraId="607AAF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w:t>
            </w:r>
          </w:p>
        </w:tc>
        <w:tc>
          <w:tcPr>
            <w:tcW w:w="1199" w:type="dxa"/>
            <w:gridSpan w:val="2"/>
          </w:tcPr>
          <w:p w14:paraId="5D9F2F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w:t>
            </w:r>
          </w:p>
        </w:tc>
      </w:tr>
      <w:tr w:rsidR="00983732" w:rsidRPr="00A3026E" w14:paraId="25391C10" w14:textId="77777777" w:rsidTr="00EA0DA7">
        <w:trPr>
          <w:trHeight w:val="20"/>
        </w:trPr>
        <w:tc>
          <w:tcPr>
            <w:tcW w:w="851" w:type="dxa"/>
          </w:tcPr>
          <w:p w14:paraId="7F73E3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tc>
        <w:tc>
          <w:tcPr>
            <w:tcW w:w="2835" w:type="dxa"/>
          </w:tcPr>
          <w:p w14:paraId="1BE0BF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c>
          <w:tcPr>
            <w:tcW w:w="1276" w:type="dxa"/>
          </w:tcPr>
          <w:p w14:paraId="1817AC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92" w:type="dxa"/>
          </w:tcPr>
          <w:p w14:paraId="5F3F18C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850" w:type="dxa"/>
          </w:tcPr>
          <w:p w14:paraId="12A59C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993" w:type="dxa"/>
          </w:tcPr>
          <w:p w14:paraId="767856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25" w:type="dxa"/>
            <w:gridSpan w:val="2"/>
          </w:tcPr>
          <w:p w14:paraId="01932CA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1199" w:type="dxa"/>
            <w:gridSpan w:val="2"/>
          </w:tcPr>
          <w:p w14:paraId="0623C4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r w:rsidR="00983732" w:rsidRPr="00A3026E" w14:paraId="259AA2C1" w14:textId="77777777" w:rsidTr="00EA0DA7">
        <w:trPr>
          <w:trHeight w:val="20"/>
        </w:trPr>
        <w:tc>
          <w:tcPr>
            <w:tcW w:w="851" w:type="dxa"/>
          </w:tcPr>
          <w:p w14:paraId="1AF65CE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2835" w:type="dxa"/>
          </w:tcPr>
          <w:p w14:paraId="7857B2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c>
          <w:tcPr>
            <w:tcW w:w="1276" w:type="dxa"/>
          </w:tcPr>
          <w:p w14:paraId="577125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992" w:type="dxa"/>
          </w:tcPr>
          <w:p w14:paraId="2AC7454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w:t>
            </w:r>
          </w:p>
        </w:tc>
        <w:tc>
          <w:tcPr>
            <w:tcW w:w="850" w:type="dxa"/>
          </w:tcPr>
          <w:p w14:paraId="39B906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993" w:type="dxa"/>
          </w:tcPr>
          <w:p w14:paraId="0A34F9C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w:t>
            </w:r>
          </w:p>
        </w:tc>
        <w:tc>
          <w:tcPr>
            <w:tcW w:w="925" w:type="dxa"/>
            <w:gridSpan w:val="2"/>
          </w:tcPr>
          <w:p w14:paraId="2D5EBC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tc>
        <w:tc>
          <w:tcPr>
            <w:tcW w:w="1199" w:type="dxa"/>
            <w:gridSpan w:val="2"/>
          </w:tcPr>
          <w:p w14:paraId="2683B3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r>
      <w:tr w:rsidR="00983732" w:rsidRPr="00A3026E" w14:paraId="1CA2E5DC" w14:textId="77777777" w:rsidTr="00EA0DA7">
        <w:trPr>
          <w:trHeight w:val="20"/>
        </w:trPr>
        <w:tc>
          <w:tcPr>
            <w:tcW w:w="851" w:type="dxa"/>
          </w:tcPr>
          <w:p w14:paraId="3862922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2835" w:type="dxa"/>
          </w:tcPr>
          <w:p w14:paraId="388E3D1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М-89</w:t>
            </w:r>
          </w:p>
        </w:tc>
        <w:tc>
          <w:tcPr>
            <w:tcW w:w="1276" w:type="dxa"/>
          </w:tcPr>
          <w:p w14:paraId="43CB2B9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92" w:type="dxa"/>
          </w:tcPr>
          <w:p w14:paraId="645356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0" w:type="dxa"/>
          </w:tcPr>
          <w:p w14:paraId="6C19450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93" w:type="dxa"/>
          </w:tcPr>
          <w:p w14:paraId="2079231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925" w:type="dxa"/>
            <w:gridSpan w:val="2"/>
          </w:tcPr>
          <w:p w14:paraId="6244CAC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199" w:type="dxa"/>
            <w:gridSpan w:val="2"/>
          </w:tcPr>
          <w:p w14:paraId="04250E5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r>
      <w:tr w:rsidR="00983732" w:rsidRPr="00A3026E" w14:paraId="05CD14C9" w14:textId="77777777" w:rsidTr="00EA0DA7">
        <w:trPr>
          <w:trHeight w:val="20"/>
        </w:trPr>
        <w:tc>
          <w:tcPr>
            <w:tcW w:w="851" w:type="dxa"/>
          </w:tcPr>
          <w:p w14:paraId="3058F7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w:t>
            </w:r>
          </w:p>
        </w:tc>
        <w:tc>
          <w:tcPr>
            <w:tcW w:w="2835" w:type="dxa"/>
          </w:tcPr>
          <w:p w14:paraId="602537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м-зо</w:t>
            </w:r>
          </w:p>
        </w:tc>
        <w:tc>
          <w:tcPr>
            <w:tcW w:w="1276" w:type="dxa"/>
          </w:tcPr>
          <w:p w14:paraId="0ECFE1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992" w:type="dxa"/>
          </w:tcPr>
          <w:p w14:paraId="57F993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850" w:type="dxa"/>
          </w:tcPr>
          <w:p w14:paraId="1CA059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993" w:type="dxa"/>
          </w:tcPr>
          <w:p w14:paraId="4E9C4C4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25" w:type="dxa"/>
            <w:gridSpan w:val="2"/>
          </w:tcPr>
          <w:p w14:paraId="5D27669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1199" w:type="dxa"/>
            <w:gridSpan w:val="2"/>
          </w:tcPr>
          <w:p w14:paraId="4B9748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r>
      <w:tr w:rsidR="00983732" w:rsidRPr="00A3026E" w14:paraId="337D3A62" w14:textId="77777777" w:rsidTr="00EA0DA7">
        <w:trPr>
          <w:trHeight w:val="20"/>
        </w:trPr>
        <w:tc>
          <w:tcPr>
            <w:tcW w:w="851" w:type="dxa"/>
          </w:tcPr>
          <w:p w14:paraId="27A30C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234</w:t>
            </w:r>
          </w:p>
        </w:tc>
        <w:tc>
          <w:tcPr>
            <w:tcW w:w="2835" w:type="dxa"/>
          </w:tcPr>
          <w:p w14:paraId="351069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276" w:type="dxa"/>
          </w:tcPr>
          <w:p w14:paraId="51BC10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2000 1000</w:t>
            </w:r>
          </w:p>
        </w:tc>
        <w:tc>
          <w:tcPr>
            <w:tcW w:w="992" w:type="dxa"/>
          </w:tcPr>
          <w:p w14:paraId="36E107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850" w:type="dxa"/>
          </w:tcPr>
          <w:p w14:paraId="71F0FDB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993" w:type="dxa"/>
          </w:tcPr>
          <w:p w14:paraId="454275A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925" w:type="dxa"/>
            <w:gridSpan w:val="2"/>
          </w:tcPr>
          <w:p w14:paraId="21A955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w:t>
            </w:r>
          </w:p>
        </w:tc>
        <w:tc>
          <w:tcPr>
            <w:tcW w:w="1199" w:type="dxa"/>
            <w:gridSpan w:val="2"/>
          </w:tcPr>
          <w:p w14:paraId="783565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355052B2" w14:textId="77777777" w:rsidTr="00EA0DA7">
        <w:trPr>
          <w:trHeight w:val="20"/>
        </w:trPr>
        <w:tc>
          <w:tcPr>
            <w:tcW w:w="851" w:type="dxa"/>
          </w:tcPr>
          <w:p w14:paraId="6635869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384</w:t>
            </w:r>
          </w:p>
        </w:tc>
        <w:tc>
          <w:tcPr>
            <w:tcW w:w="2835" w:type="dxa"/>
          </w:tcPr>
          <w:p w14:paraId="2E79F3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w:t>
            </w:r>
          </w:p>
        </w:tc>
        <w:tc>
          <w:tcPr>
            <w:tcW w:w="1276" w:type="dxa"/>
          </w:tcPr>
          <w:p w14:paraId="178607FF"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92" w:type="dxa"/>
          </w:tcPr>
          <w:p w14:paraId="0BED74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850" w:type="dxa"/>
          </w:tcPr>
          <w:p w14:paraId="2F98CC5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993" w:type="dxa"/>
          </w:tcPr>
          <w:p w14:paraId="13E530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w:t>
            </w:r>
          </w:p>
        </w:tc>
        <w:tc>
          <w:tcPr>
            <w:tcW w:w="925" w:type="dxa"/>
            <w:gridSpan w:val="2"/>
          </w:tcPr>
          <w:p w14:paraId="5A875B5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w:t>
            </w:r>
          </w:p>
        </w:tc>
        <w:tc>
          <w:tcPr>
            <w:tcW w:w="1199" w:type="dxa"/>
            <w:gridSpan w:val="2"/>
          </w:tcPr>
          <w:p w14:paraId="15C804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r w:rsidR="00983732" w:rsidRPr="00A3026E" w14:paraId="049AA60B" w14:textId="77777777" w:rsidTr="00EA0DA7">
        <w:trPr>
          <w:trHeight w:val="20"/>
        </w:trPr>
        <w:tc>
          <w:tcPr>
            <w:tcW w:w="851" w:type="dxa"/>
          </w:tcPr>
          <w:p w14:paraId="658146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452</w:t>
            </w:r>
          </w:p>
        </w:tc>
        <w:tc>
          <w:tcPr>
            <w:tcW w:w="2835" w:type="dxa"/>
          </w:tcPr>
          <w:p w14:paraId="2B81A7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w:t>
            </w:r>
          </w:p>
        </w:tc>
        <w:tc>
          <w:tcPr>
            <w:tcW w:w="1276" w:type="dxa"/>
          </w:tcPr>
          <w:p w14:paraId="2802CF7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992" w:type="dxa"/>
          </w:tcPr>
          <w:p w14:paraId="0EDE8B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850" w:type="dxa"/>
          </w:tcPr>
          <w:p w14:paraId="0A9CB9A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993" w:type="dxa"/>
          </w:tcPr>
          <w:p w14:paraId="398BFB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925" w:type="dxa"/>
            <w:gridSpan w:val="2"/>
          </w:tcPr>
          <w:p w14:paraId="4A4360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199" w:type="dxa"/>
            <w:gridSpan w:val="2"/>
          </w:tcPr>
          <w:p w14:paraId="15DE1A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 ррук-</w:t>
            </w:r>
          </w:p>
        </w:tc>
      </w:tr>
      <w:tr w:rsidR="00983732" w:rsidRPr="00A3026E" w14:paraId="1F7A6D88" w14:textId="77777777" w:rsidTr="00EA0DA7">
        <w:trPr>
          <w:trHeight w:val="20"/>
        </w:trPr>
        <w:tc>
          <w:tcPr>
            <w:tcW w:w="851" w:type="dxa"/>
          </w:tcPr>
          <w:p w14:paraId="3BE0996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завода № 16</w:t>
            </w:r>
          </w:p>
        </w:tc>
        <w:tc>
          <w:tcPr>
            <w:tcW w:w="2835" w:type="dxa"/>
          </w:tcPr>
          <w:p w14:paraId="326936F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М-11</w:t>
            </w:r>
          </w:p>
        </w:tc>
        <w:tc>
          <w:tcPr>
            <w:tcW w:w="1276" w:type="dxa"/>
          </w:tcPr>
          <w:p w14:paraId="096D9C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3500</w:t>
            </w:r>
          </w:p>
        </w:tc>
        <w:tc>
          <w:tcPr>
            <w:tcW w:w="992" w:type="dxa"/>
          </w:tcPr>
          <w:p w14:paraId="4D1722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850" w:type="dxa"/>
          </w:tcPr>
          <w:p w14:paraId="0BA08E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c>
          <w:tcPr>
            <w:tcW w:w="993" w:type="dxa"/>
          </w:tcPr>
          <w:p w14:paraId="2978B99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925" w:type="dxa"/>
            <w:gridSpan w:val="2"/>
          </w:tcPr>
          <w:p w14:paraId="1775960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c>
          <w:tcPr>
            <w:tcW w:w="1199" w:type="dxa"/>
            <w:gridSpan w:val="2"/>
          </w:tcPr>
          <w:p w14:paraId="150943C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r>
      <w:tr w:rsidR="00983732" w:rsidRPr="00A3026E" w14:paraId="61FCA940" w14:textId="77777777" w:rsidTr="00EA0DA7">
        <w:trPr>
          <w:trHeight w:val="20"/>
        </w:trPr>
        <w:tc>
          <w:tcPr>
            <w:tcW w:w="851" w:type="dxa"/>
          </w:tcPr>
          <w:p w14:paraId="36C8C96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 им. Мо-ротова НКСМ</w:t>
            </w:r>
          </w:p>
        </w:tc>
        <w:tc>
          <w:tcPr>
            <w:tcW w:w="2835" w:type="dxa"/>
          </w:tcPr>
          <w:p w14:paraId="4FE279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c>
          <w:tcPr>
            <w:tcW w:w="1276" w:type="dxa"/>
          </w:tcPr>
          <w:p w14:paraId="3E54BB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92" w:type="dxa"/>
          </w:tcPr>
          <w:p w14:paraId="539E2B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850" w:type="dxa"/>
          </w:tcPr>
          <w:p w14:paraId="75F4F2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3" w:type="dxa"/>
          </w:tcPr>
          <w:p w14:paraId="510CD1E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w:t>
            </w:r>
          </w:p>
        </w:tc>
        <w:tc>
          <w:tcPr>
            <w:tcW w:w="925" w:type="dxa"/>
            <w:gridSpan w:val="2"/>
          </w:tcPr>
          <w:p w14:paraId="73DD1C1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565</w:t>
            </w:r>
          </w:p>
        </w:tc>
        <w:tc>
          <w:tcPr>
            <w:tcW w:w="1199" w:type="dxa"/>
            <w:gridSpan w:val="2"/>
          </w:tcPr>
          <w:p w14:paraId="048AF5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w:t>
            </w:r>
          </w:p>
        </w:tc>
      </w:tr>
      <w:tr w:rsidR="00983732" w:rsidRPr="00A3026E" w14:paraId="589CAC1E" w14:textId="77777777" w:rsidTr="00EA0DA7">
        <w:trPr>
          <w:trHeight w:val="20"/>
        </w:trPr>
        <w:tc>
          <w:tcPr>
            <w:tcW w:w="851" w:type="dxa"/>
          </w:tcPr>
          <w:p w14:paraId="34F5DE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ХТЗ НКСМ</w:t>
            </w:r>
          </w:p>
        </w:tc>
        <w:tc>
          <w:tcPr>
            <w:tcW w:w="2835" w:type="dxa"/>
          </w:tcPr>
          <w:p w14:paraId="576D932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М-40</w:t>
            </w:r>
          </w:p>
        </w:tc>
        <w:tc>
          <w:tcPr>
            <w:tcW w:w="1276" w:type="dxa"/>
          </w:tcPr>
          <w:p w14:paraId="21B3315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c>
          <w:tcPr>
            <w:tcW w:w="992" w:type="dxa"/>
          </w:tcPr>
          <w:p w14:paraId="7279695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850" w:type="dxa"/>
          </w:tcPr>
          <w:p w14:paraId="36CC17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993" w:type="dxa"/>
          </w:tcPr>
          <w:p w14:paraId="4EBE1A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c>
          <w:tcPr>
            <w:tcW w:w="925" w:type="dxa"/>
            <w:gridSpan w:val="2"/>
          </w:tcPr>
          <w:p w14:paraId="6E12B1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c>
          <w:tcPr>
            <w:tcW w:w="1199" w:type="dxa"/>
            <w:gridSpan w:val="2"/>
          </w:tcPr>
          <w:p w14:paraId="5E4358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r>
      <w:tr w:rsidR="00983732" w:rsidRPr="00A3026E" w14:paraId="1A40E600" w14:textId="77777777" w:rsidTr="00EA0DA7">
        <w:trPr>
          <w:trHeight w:val="20"/>
        </w:trPr>
        <w:tc>
          <w:tcPr>
            <w:tcW w:w="851" w:type="dxa"/>
            <w:tcBorders>
              <w:bottom w:val="single" w:sz="12" w:space="0" w:color="auto"/>
            </w:tcBorders>
          </w:tcPr>
          <w:p w14:paraId="0D83EF3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Кировский з-д НКТМ</w:t>
            </w:r>
          </w:p>
        </w:tc>
        <w:tc>
          <w:tcPr>
            <w:tcW w:w="2835" w:type="dxa"/>
            <w:tcBorders>
              <w:bottom w:val="single" w:sz="12" w:space="0" w:color="auto"/>
            </w:tcBorders>
          </w:tcPr>
          <w:p w14:paraId="197BDA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М-40</w:t>
            </w:r>
          </w:p>
        </w:tc>
        <w:tc>
          <w:tcPr>
            <w:tcW w:w="1276" w:type="dxa"/>
            <w:tcBorders>
              <w:bottom w:val="single" w:sz="12" w:space="0" w:color="auto"/>
            </w:tcBorders>
          </w:tcPr>
          <w:p w14:paraId="3F8121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992" w:type="dxa"/>
            <w:tcBorders>
              <w:bottom w:val="single" w:sz="12" w:space="0" w:color="auto"/>
            </w:tcBorders>
          </w:tcPr>
          <w:p w14:paraId="57F5A2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850" w:type="dxa"/>
            <w:tcBorders>
              <w:bottom w:val="single" w:sz="12" w:space="0" w:color="auto"/>
            </w:tcBorders>
          </w:tcPr>
          <w:p w14:paraId="0576014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93" w:type="dxa"/>
            <w:tcBorders>
              <w:bottom w:val="single" w:sz="12" w:space="0" w:color="auto"/>
            </w:tcBorders>
          </w:tcPr>
          <w:p w14:paraId="1B1AF5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w:t>
            </w:r>
          </w:p>
        </w:tc>
        <w:tc>
          <w:tcPr>
            <w:tcW w:w="925" w:type="dxa"/>
            <w:gridSpan w:val="2"/>
            <w:tcBorders>
              <w:bottom w:val="single" w:sz="12" w:space="0" w:color="auto"/>
            </w:tcBorders>
          </w:tcPr>
          <w:p w14:paraId="745A55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199" w:type="dxa"/>
            <w:gridSpan w:val="2"/>
            <w:tcBorders>
              <w:bottom w:val="single" w:sz="12" w:space="0" w:color="auto"/>
            </w:tcBorders>
          </w:tcPr>
          <w:p w14:paraId="488465C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r>
    </w:tbl>
    <w:p w14:paraId="46C440A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Обязать Заместителя Наркома и Начальника Третьего Главного Управления тов. Баландина В.II., главного инженера Главка тов. Степина и дирек</w:t>
      </w:r>
      <w:r w:rsidRPr="00A3026E">
        <w:rPr>
          <w:rFonts w:ascii="Times New Roman" w:hAnsi="Times New Roman"/>
          <w:color w:val="000000" w:themeColor="text1"/>
          <w:sz w:val="16"/>
          <w:szCs w:val="16"/>
        </w:rPr>
        <w:softHyphen/>
        <w:t>торов моторных заводов выпускать моторы М-105 и М-105П со сро</w:t>
      </w:r>
      <w:r w:rsidRPr="00A3026E">
        <w:rPr>
          <w:rFonts w:ascii="Times New Roman" w:hAnsi="Times New Roman"/>
          <w:color w:val="000000" w:themeColor="text1"/>
          <w:sz w:val="16"/>
          <w:szCs w:val="16"/>
        </w:rPr>
        <w:softHyphen/>
        <w:t>ком службы 150 часов с 15 марта 1941 года; моторы АМ-35А со сроком службы 150 часов с 15 мая 1941 года и моторы М-88 со сроком службы 150 часов с I марта 1941 года.</w:t>
      </w:r>
    </w:p>
    <w:p w14:paraId="71F118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Заместителю Наркома и Начальнику Третьего Главного Управления тов. Баландину В.П. принять к испол</w:t>
      </w:r>
      <w:r w:rsidRPr="00A3026E">
        <w:rPr>
          <w:rFonts w:ascii="Times New Roman" w:hAnsi="Times New Roman"/>
          <w:color w:val="000000" w:themeColor="text1"/>
          <w:sz w:val="16"/>
          <w:szCs w:val="16"/>
        </w:rPr>
        <w:softHyphen/>
        <w:t>нению следующую программу выпуска авиавинтов в 1941 году: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686"/>
        <w:gridCol w:w="1276"/>
        <w:gridCol w:w="992"/>
        <w:gridCol w:w="850"/>
        <w:gridCol w:w="993"/>
        <w:gridCol w:w="1134"/>
      </w:tblGrid>
      <w:tr w:rsidR="00983732" w:rsidRPr="00A3026E" w14:paraId="0346EBF2" w14:textId="77777777" w:rsidTr="00EA0DA7">
        <w:trPr>
          <w:trHeight w:val="302"/>
        </w:trPr>
        <w:tc>
          <w:tcPr>
            <w:tcW w:w="3686" w:type="dxa"/>
            <w:tcBorders>
              <w:top w:val="single" w:sz="12" w:space="0" w:color="auto"/>
            </w:tcBorders>
          </w:tcPr>
          <w:p w14:paraId="49427A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Типы винтов</w:t>
            </w:r>
          </w:p>
        </w:tc>
        <w:tc>
          <w:tcPr>
            <w:tcW w:w="1276" w:type="dxa"/>
            <w:tcBorders>
              <w:top w:val="single" w:sz="12" w:space="0" w:color="auto"/>
            </w:tcBorders>
          </w:tcPr>
          <w:p w14:paraId="167060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на 1941 г.</w:t>
            </w:r>
          </w:p>
        </w:tc>
        <w:tc>
          <w:tcPr>
            <w:tcW w:w="2835" w:type="dxa"/>
            <w:gridSpan w:val="3"/>
            <w:tcBorders>
              <w:top w:val="single" w:sz="12" w:space="0" w:color="auto"/>
            </w:tcBorders>
          </w:tcPr>
          <w:p w14:paraId="704257F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 по кварталам</w:t>
            </w:r>
          </w:p>
        </w:tc>
        <w:tc>
          <w:tcPr>
            <w:tcW w:w="1134" w:type="dxa"/>
            <w:tcBorders>
              <w:top w:val="single" w:sz="12" w:space="0" w:color="auto"/>
            </w:tcBorders>
          </w:tcPr>
          <w:p w14:paraId="3C361EC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36AB378" w14:textId="77777777" w:rsidTr="00EA0DA7">
        <w:trPr>
          <w:trHeight w:val="396"/>
        </w:trPr>
        <w:tc>
          <w:tcPr>
            <w:tcW w:w="3686" w:type="dxa"/>
          </w:tcPr>
          <w:p w14:paraId="52D652D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76" w:type="dxa"/>
          </w:tcPr>
          <w:p w14:paraId="0335F21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92" w:type="dxa"/>
          </w:tcPr>
          <w:p w14:paraId="4794DB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w:t>
            </w:r>
          </w:p>
        </w:tc>
        <w:tc>
          <w:tcPr>
            <w:tcW w:w="850" w:type="dxa"/>
          </w:tcPr>
          <w:p w14:paraId="34B6CA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w:t>
            </w:r>
          </w:p>
        </w:tc>
        <w:tc>
          <w:tcPr>
            <w:tcW w:w="993" w:type="dxa"/>
          </w:tcPr>
          <w:p w14:paraId="637C9B6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w:t>
            </w:r>
          </w:p>
        </w:tc>
        <w:tc>
          <w:tcPr>
            <w:tcW w:w="1134" w:type="dxa"/>
          </w:tcPr>
          <w:p w14:paraId="3E63BD8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w:t>
            </w:r>
          </w:p>
        </w:tc>
      </w:tr>
      <w:tr w:rsidR="00983732" w:rsidRPr="00A3026E" w14:paraId="5109495F" w14:textId="77777777" w:rsidTr="00EA0DA7">
        <w:trPr>
          <w:trHeight w:val="432"/>
        </w:trPr>
        <w:tc>
          <w:tcPr>
            <w:tcW w:w="3686" w:type="dxa"/>
          </w:tcPr>
          <w:p w14:paraId="7F73CAB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винтов</w:t>
            </w:r>
          </w:p>
        </w:tc>
        <w:tc>
          <w:tcPr>
            <w:tcW w:w="1276" w:type="dxa"/>
          </w:tcPr>
          <w:p w14:paraId="1835FE8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31375</w:t>
            </w:r>
          </w:p>
        </w:tc>
        <w:tc>
          <w:tcPr>
            <w:tcW w:w="992" w:type="dxa"/>
          </w:tcPr>
          <w:p w14:paraId="6A71F4F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6130</w:t>
            </w:r>
          </w:p>
        </w:tc>
        <w:tc>
          <w:tcPr>
            <w:tcW w:w="850" w:type="dxa"/>
          </w:tcPr>
          <w:p w14:paraId="30D011A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7035</w:t>
            </w:r>
          </w:p>
        </w:tc>
        <w:tc>
          <w:tcPr>
            <w:tcW w:w="993" w:type="dxa"/>
          </w:tcPr>
          <w:p w14:paraId="3942370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8440</w:t>
            </w:r>
          </w:p>
        </w:tc>
        <w:tc>
          <w:tcPr>
            <w:tcW w:w="1134" w:type="dxa"/>
          </w:tcPr>
          <w:p w14:paraId="3C457E4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9770</w:t>
            </w:r>
          </w:p>
        </w:tc>
      </w:tr>
      <w:tr w:rsidR="00983732" w:rsidRPr="00A3026E" w14:paraId="270FC41A" w14:textId="77777777" w:rsidTr="00EA0DA7">
        <w:trPr>
          <w:trHeight w:val="374"/>
        </w:trPr>
        <w:tc>
          <w:tcPr>
            <w:tcW w:w="3686" w:type="dxa"/>
          </w:tcPr>
          <w:p w14:paraId="6C509F7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ВИШ-61 для самолетов: ЯК-3, Лагг-3, Пе-2, УТИ-26</w:t>
            </w:r>
          </w:p>
        </w:tc>
        <w:tc>
          <w:tcPr>
            <w:tcW w:w="1276" w:type="dxa"/>
          </w:tcPr>
          <w:p w14:paraId="6C02B6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10300</w:t>
            </w:r>
          </w:p>
        </w:tc>
        <w:tc>
          <w:tcPr>
            <w:tcW w:w="992" w:type="dxa"/>
          </w:tcPr>
          <w:p w14:paraId="3F16B89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850" w:type="dxa"/>
          </w:tcPr>
          <w:p w14:paraId="65B4AF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993" w:type="dxa"/>
          </w:tcPr>
          <w:p w14:paraId="5FBBE83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1134" w:type="dxa"/>
          </w:tcPr>
          <w:p w14:paraId="46C8F94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3800</w:t>
            </w:r>
          </w:p>
        </w:tc>
      </w:tr>
      <w:tr w:rsidR="00983732" w:rsidRPr="00A3026E" w14:paraId="2B64E9A7" w14:textId="77777777" w:rsidTr="00EA0DA7">
        <w:trPr>
          <w:trHeight w:val="274"/>
        </w:trPr>
        <w:tc>
          <w:tcPr>
            <w:tcW w:w="3686" w:type="dxa"/>
          </w:tcPr>
          <w:p w14:paraId="22E2F2D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ВИШ-22Е для самолетов: Ер-2, Ил-2, Ар-2, Як-4, Миг-3.</w:t>
            </w:r>
          </w:p>
        </w:tc>
        <w:tc>
          <w:tcPr>
            <w:tcW w:w="1276" w:type="dxa"/>
          </w:tcPr>
          <w:p w14:paraId="778AC9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12900</w:t>
            </w:r>
          </w:p>
        </w:tc>
        <w:tc>
          <w:tcPr>
            <w:tcW w:w="992" w:type="dxa"/>
          </w:tcPr>
          <w:p w14:paraId="2272FA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w:t>
            </w:r>
          </w:p>
        </w:tc>
        <w:tc>
          <w:tcPr>
            <w:tcW w:w="850" w:type="dxa"/>
          </w:tcPr>
          <w:p w14:paraId="300E22E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993" w:type="dxa"/>
          </w:tcPr>
          <w:p w14:paraId="295D1F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3550</w:t>
            </w:r>
          </w:p>
        </w:tc>
        <w:tc>
          <w:tcPr>
            <w:tcW w:w="1134" w:type="dxa"/>
          </w:tcPr>
          <w:p w14:paraId="749FA4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4050</w:t>
            </w:r>
          </w:p>
        </w:tc>
      </w:tr>
      <w:tr w:rsidR="00983732" w:rsidRPr="00A3026E" w14:paraId="3B2CDC75" w14:textId="77777777" w:rsidTr="00EA0DA7">
        <w:trPr>
          <w:trHeight w:val="310"/>
        </w:trPr>
        <w:tc>
          <w:tcPr>
            <w:tcW w:w="3686" w:type="dxa"/>
          </w:tcPr>
          <w:p w14:paraId="596473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ВИШ-23 для самолетов: Су-2, ДБ-ЗФ</w:t>
            </w:r>
          </w:p>
        </w:tc>
        <w:tc>
          <w:tcPr>
            <w:tcW w:w="1276" w:type="dxa"/>
          </w:tcPr>
          <w:p w14:paraId="7DA53D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4000</w:t>
            </w:r>
          </w:p>
        </w:tc>
        <w:tc>
          <w:tcPr>
            <w:tcW w:w="992" w:type="dxa"/>
          </w:tcPr>
          <w:p w14:paraId="47336C9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850" w:type="dxa"/>
          </w:tcPr>
          <w:p w14:paraId="1ADAF5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93" w:type="dxa"/>
          </w:tcPr>
          <w:p w14:paraId="5D1235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134" w:type="dxa"/>
          </w:tcPr>
          <w:p w14:paraId="1EA1AB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r>
      <w:tr w:rsidR="00983732" w:rsidRPr="00A3026E" w14:paraId="44189BFF" w14:textId="77777777" w:rsidTr="00EA0DA7">
        <w:trPr>
          <w:trHeight w:val="346"/>
        </w:trPr>
        <w:tc>
          <w:tcPr>
            <w:tcW w:w="3686" w:type="dxa"/>
          </w:tcPr>
          <w:p w14:paraId="431245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ВИШ-24 для самолета: ТБ-7•</w:t>
            </w:r>
          </w:p>
        </w:tc>
        <w:tc>
          <w:tcPr>
            <w:tcW w:w="1276" w:type="dxa"/>
          </w:tcPr>
          <w:p w14:paraId="2EF5A76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992" w:type="dxa"/>
          </w:tcPr>
          <w:p w14:paraId="2124914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850" w:type="dxa"/>
          </w:tcPr>
          <w:p w14:paraId="12E74A9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w:t>
            </w:r>
          </w:p>
        </w:tc>
        <w:tc>
          <w:tcPr>
            <w:tcW w:w="993" w:type="dxa"/>
          </w:tcPr>
          <w:p w14:paraId="4E25098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1134" w:type="dxa"/>
          </w:tcPr>
          <w:p w14:paraId="7DEB39E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r>
      <w:tr w:rsidR="00983732" w:rsidRPr="00A3026E" w14:paraId="35DA2A47" w14:textId="77777777" w:rsidTr="00EA0DA7">
        <w:trPr>
          <w:trHeight w:val="108"/>
        </w:trPr>
        <w:tc>
          <w:tcPr>
            <w:tcW w:w="3686" w:type="dxa"/>
          </w:tcPr>
          <w:p w14:paraId="7F255A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ВИШ-21 для самолета: ПС-84</w:t>
            </w:r>
          </w:p>
        </w:tc>
        <w:tc>
          <w:tcPr>
            <w:tcW w:w="1276" w:type="dxa"/>
          </w:tcPr>
          <w:p w14:paraId="56FDA64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w:t>
            </w:r>
          </w:p>
        </w:tc>
        <w:tc>
          <w:tcPr>
            <w:tcW w:w="992" w:type="dxa"/>
          </w:tcPr>
          <w:p w14:paraId="5BE1CD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c>
          <w:tcPr>
            <w:tcW w:w="850" w:type="dxa"/>
          </w:tcPr>
          <w:p w14:paraId="009C9A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c>
          <w:tcPr>
            <w:tcW w:w="993" w:type="dxa"/>
          </w:tcPr>
          <w:p w14:paraId="12D198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1134" w:type="dxa"/>
          </w:tcPr>
          <w:p w14:paraId="0DD4C0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7E792EAD" w14:textId="77777777" w:rsidTr="00EA0DA7">
        <w:trPr>
          <w:trHeight w:val="331"/>
        </w:trPr>
        <w:tc>
          <w:tcPr>
            <w:tcW w:w="3686" w:type="dxa"/>
          </w:tcPr>
          <w:p w14:paraId="0D94C7E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АВ-1 для самолетов: И-153, И-16, МДР-6 и запас ВВС</w:t>
            </w:r>
          </w:p>
        </w:tc>
        <w:tc>
          <w:tcPr>
            <w:tcW w:w="1276" w:type="dxa"/>
          </w:tcPr>
          <w:p w14:paraId="1FC61D3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992" w:type="dxa"/>
          </w:tcPr>
          <w:p w14:paraId="0E5AE20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850" w:type="dxa"/>
          </w:tcPr>
          <w:p w14:paraId="4F9EF3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993" w:type="dxa"/>
          </w:tcPr>
          <w:p w14:paraId="1FE5BE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134" w:type="dxa"/>
          </w:tcPr>
          <w:p w14:paraId="4BBBCB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r>
      <w:tr w:rsidR="00983732" w:rsidRPr="00A3026E" w14:paraId="10104DF1" w14:textId="77777777" w:rsidTr="00EA0DA7">
        <w:trPr>
          <w:trHeight w:val="302"/>
        </w:trPr>
        <w:tc>
          <w:tcPr>
            <w:tcW w:w="3686" w:type="dxa"/>
          </w:tcPr>
          <w:p w14:paraId="0A00A7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3-25 для самолета УТИ-4</w:t>
            </w:r>
          </w:p>
        </w:tc>
        <w:tc>
          <w:tcPr>
            <w:tcW w:w="1276" w:type="dxa"/>
          </w:tcPr>
          <w:p w14:paraId="562B538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w:t>
            </w:r>
          </w:p>
        </w:tc>
        <w:tc>
          <w:tcPr>
            <w:tcW w:w="992" w:type="dxa"/>
          </w:tcPr>
          <w:p w14:paraId="572F666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850" w:type="dxa"/>
          </w:tcPr>
          <w:p w14:paraId="5078AF3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993" w:type="dxa"/>
          </w:tcPr>
          <w:p w14:paraId="40E6F8D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134" w:type="dxa"/>
          </w:tcPr>
          <w:p w14:paraId="77E4655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51A6686D" w14:textId="77777777" w:rsidTr="00EA0DA7">
        <w:trPr>
          <w:trHeight w:val="310"/>
        </w:trPr>
        <w:tc>
          <w:tcPr>
            <w:tcW w:w="3686" w:type="dxa"/>
          </w:tcPr>
          <w:p w14:paraId="5C8AC4E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ВЭМ-63 для самолетов: И-16, И-153, МДР-6</w:t>
            </w:r>
          </w:p>
        </w:tc>
        <w:tc>
          <w:tcPr>
            <w:tcW w:w="1276" w:type="dxa"/>
          </w:tcPr>
          <w:p w14:paraId="52B1C90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992" w:type="dxa"/>
          </w:tcPr>
          <w:p w14:paraId="097936C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850" w:type="dxa"/>
          </w:tcPr>
          <w:p w14:paraId="0A3857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3" w:type="dxa"/>
          </w:tcPr>
          <w:p w14:paraId="2E92DA5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34" w:type="dxa"/>
          </w:tcPr>
          <w:p w14:paraId="52CE5B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E394790" w14:textId="77777777" w:rsidTr="00EA0DA7">
        <w:trPr>
          <w:trHeight w:val="360"/>
        </w:trPr>
        <w:tc>
          <w:tcPr>
            <w:tcW w:w="3686" w:type="dxa"/>
            <w:tcBorders>
              <w:bottom w:val="single" w:sz="12" w:space="0" w:color="auto"/>
            </w:tcBorders>
          </w:tcPr>
          <w:p w14:paraId="7800FA3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ВЭМ-107 для самолетов: Миг-3, Як-3</w:t>
            </w:r>
          </w:p>
        </w:tc>
        <w:tc>
          <w:tcPr>
            <w:tcW w:w="1276" w:type="dxa"/>
            <w:tcBorders>
              <w:bottom w:val="single" w:sz="12" w:space="0" w:color="auto"/>
            </w:tcBorders>
          </w:tcPr>
          <w:p w14:paraId="588BB09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92" w:type="dxa"/>
            <w:tcBorders>
              <w:bottom w:val="single" w:sz="12" w:space="0" w:color="auto"/>
            </w:tcBorders>
          </w:tcPr>
          <w:p w14:paraId="0201D1D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850" w:type="dxa"/>
            <w:tcBorders>
              <w:bottom w:val="single" w:sz="12" w:space="0" w:color="auto"/>
            </w:tcBorders>
          </w:tcPr>
          <w:p w14:paraId="1ADC08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3" w:type="dxa"/>
            <w:tcBorders>
              <w:bottom w:val="single" w:sz="12" w:space="0" w:color="auto"/>
            </w:tcBorders>
          </w:tcPr>
          <w:p w14:paraId="0631EBA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34" w:type="dxa"/>
            <w:tcBorders>
              <w:bottom w:val="single" w:sz="12" w:space="0" w:color="auto"/>
            </w:tcBorders>
          </w:tcPr>
          <w:p w14:paraId="442B5A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067B471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Установить программу выпуска авиавинтов в 1941 году.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75"/>
        <w:gridCol w:w="2527"/>
        <w:gridCol w:w="1649"/>
        <w:gridCol w:w="972"/>
        <w:gridCol w:w="972"/>
        <w:gridCol w:w="1037"/>
        <w:gridCol w:w="966"/>
      </w:tblGrid>
      <w:tr w:rsidR="00983732" w:rsidRPr="00A3026E" w14:paraId="4B2B2AB5" w14:textId="77777777" w:rsidTr="00EA0DA7">
        <w:trPr>
          <w:trHeight w:val="40"/>
        </w:trPr>
        <w:tc>
          <w:tcPr>
            <w:tcW w:w="1375" w:type="dxa"/>
            <w:tcBorders>
              <w:top w:val="single" w:sz="12" w:space="0" w:color="auto"/>
            </w:tcBorders>
          </w:tcPr>
          <w:p w14:paraId="426306C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w:t>
            </w:r>
            <w:r w:rsidRPr="00A3026E">
              <w:rPr>
                <w:rFonts w:ascii="Times New Roman" w:hAnsi="Times New Roman"/>
                <w:color w:val="000000" w:themeColor="text1"/>
                <w:sz w:val="16"/>
                <w:szCs w:val="16"/>
              </w:rPr>
              <w:softHyphen/>
              <w:t>водов</w:t>
            </w:r>
          </w:p>
        </w:tc>
        <w:tc>
          <w:tcPr>
            <w:tcW w:w="2527" w:type="dxa"/>
            <w:tcBorders>
              <w:top w:val="single" w:sz="12" w:space="0" w:color="auto"/>
            </w:tcBorders>
          </w:tcPr>
          <w:p w14:paraId="6C08272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Типы винтов</w:t>
            </w:r>
          </w:p>
        </w:tc>
        <w:tc>
          <w:tcPr>
            <w:tcW w:w="1649" w:type="dxa"/>
            <w:tcBorders>
              <w:top w:val="single" w:sz="12" w:space="0" w:color="auto"/>
            </w:tcBorders>
          </w:tcPr>
          <w:p w14:paraId="0FD317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на 1941 г.</w:t>
            </w:r>
          </w:p>
        </w:tc>
        <w:tc>
          <w:tcPr>
            <w:tcW w:w="972" w:type="dxa"/>
            <w:tcBorders>
              <w:top w:val="single" w:sz="12" w:space="0" w:color="auto"/>
            </w:tcBorders>
          </w:tcPr>
          <w:p w14:paraId="302923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 по кварталам</w:t>
            </w:r>
          </w:p>
        </w:tc>
        <w:tc>
          <w:tcPr>
            <w:tcW w:w="972" w:type="dxa"/>
            <w:tcBorders>
              <w:top w:val="single" w:sz="12" w:space="0" w:color="auto"/>
            </w:tcBorders>
          </w:tcPr>
          <w:p w14:paraId="353CDE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3" w:type="dxa"/>
            <w:gridSpan w:val="2"/>
            <w:tcBorders>
              <w:top w:val="single" w:sz="12" w:space="0" w:color="auto"/>
            </w:tcBorders>
          </w:tcPr>
          <w:p w14:paraId="7B2EBD9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BF28530" w14:textId="77777777" w:rsidTr="00EA0DA7">
        <w:trPr>
          <w:trHeight w:val="40"/>
        </w:trPr>
        <w:tc>
          <w:tcPr>
            <w:tcW w:w="1375" w:type="dxa"/>
          </w:tcPr>
          <w:p w14:paraId="5212431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2527" w:type="dxa"/>
          </w:tcPr>
          <w:p w14:paraId="21A47AF6"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1649" w:type="dxa"/>
          </w:tcPr>
          <w:p w14:paraId="3E0DEC49" w14:textId="77777777" w:rsidR="00C66762" w:rsidRPr="00A3026E" w:rsidRDefault="00C66762" w:rsidP="00A3026E">
            <w:pPr>
              <w:spacing w:after="0" w:line="240" w:lineRule="auto"/>
              <w:jc w:val="both"/>
              <w:rPr>
                <w:rFonts w:ascii="Times New Roman" w:hAnsi="Times New Roman"/>
                <w:color w:val="000000" w:themeColor="text1"/>
                <w:sz w:val="16"/>
                <w:szCs w:val="16"/>
              </w:rPr>
            </w:pPr>
          </w:p>
        </w:tc>
        <w:tc>
          <w:tcPr>
            <w:tcW w:w="972" w:type="dxa"/>
          </w:tcPr>
          <w:p w14:paraId="372E79D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w:t>
            </w:r>
          </w:p>
        </w:tc>
        <w:tc>
          <w:tcPr>
            <w:tcW w:w="972" w:type="dxa"/>
          </w:tcPr>
          <w:p w14:paraId="0D053EB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w:t>
            </w:r>
          </w:p>
        </w:tc>
        <w:tc>
          <w:tcPr>
            <w:tcW w:w="1037" w:type="dxa"/>
          </w:tcPr>
          <w:p w14:paraId="1D42E35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w:t>
            </w:r>
          </w:p>
        </w:tc>
        <w:tc>
          <w:tcPr>
            <w:tcW w:w="966" w:type="dxa"/>
          </w:tcPr>
          <w:p w14:paraId="2A19698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vertAlign w:val="superscript"/>
              </w:rPr>
              <w:t>1У</w:t>
            </w:r>
          </w:p>
        </w:tc>
      </w:tr>
      <w:tr w:rsidR="00983732" w:rsidRPr="00A3026E" w14:paraId="147BFE61" w14:textId="77777777" w:rsidTr="00EA0DA7">
        <w:trPr>
          <w:trHeight w:val="40"/>
        </w:trPr>
        <w:tc>
          <w:tcPr>
            <w:tcW w:w="1375" w:type="dxa"/>
          </w:tcPr>
          <w:p w14:paraId="11EC42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2527" w:type="dxa"/>
          </w:tcPr>
          <w:p w14:paraId="2FCB8D7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ВИШ-61</w:t>
            </w:r>
          </w:p>
        </w:tc>
        <w:tc>
          <w:tcPr>
            <w:tcW w:w="1649" w:type="dxa"/>
          </w:tcPr>
          <w:p w14:paraId="2EFDC8C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6650</w:t>
            </w:r>
          </w:p>
        </w:tc>
        <w:tc>
          <w:tcPr>
            <w:tcW w:w="972" w:type="dxa"/>
          </w:tcPr>
          <w:p w14:paraId="590CFC0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72" w:type="dxa"/>
          </w:tcPr>
          <w:p w14:paraId="622E2C3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1037" w:type="dxa"/>
          </w:tcPr>
          <w:p w14:paraId="2062AA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c>
          <w:tcPr>
            <w:tcW w:w="966" w:type="dxa"/>
          </w:tcPr>
          <w:p w14:paraId="043586A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2150</w:t>
            </w:r>
          </w:p>
        </w:tc>
      </w:tr>
      <w:tr w:rsidR="00983732" w:rsidRPr="00A3026E" w14:paraId="6E0A340B" w14:textId="77777777" w:rsidTr="00EA0DA7">
        <w:trPr>
          <w:trHeight w:val="40"/>
        </w:trPr>
        <w:tc>
          <w:tcPr>
            <w:tcW w:w="1375" w:type="dxa"/>
          </w:tcPr>
          <w:p w14:paraId="73DA81D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2527" w:type="dxa"/>
          </w:tcPr>
          <w:p w14:paraId="20B2F9B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ВИШ-22Е</w:t>
            </w:r>
          </w:p>
        </w:tc>
        <w:tc>
          <w:tcPr>
            <w:tcW w:w="1649" w:type="dxa"/>
          </w:tcPr>
          <w:p w14:paraId="0D2253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72" w:type="dxa"/>
          </w:tcPr>
          <w:p w14:paraId="78D7BE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72" w:type="dxa"/>
          </w:tcPr>
          <w:p w14:paraId="07B362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037" w:type="dxa"/>
          </w:tcPr>
          <w:p w14:paraId="07D4DA0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66" w:type="dxa"/>
          </w:tcPr>
          <w:p w14:paraId="0BBD08E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F12966D" w14:textId="77777777" w:rsidTr="00EA0DA7">
        <w:trPr>
          <w:trHeight w:val="40"/>
        </w:trPr>
        <w:tc>
          <w:tcPr>
            <w:tcW w:w="1375" w:type="dxa"/>
          </w:tcPr>
          <w:p w14:paraId="187B6C7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2527" w:type="dxa"/>
          </w:tcPr>
          <w:p w14:paraId="51FC6BB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ВИШ-24</w:t>
            </w:r>
          </w:p>
        </w:tc>
        <w:tc>
          <w:tcPr>
            <w:tcW w:w="1649" w:type="dxa"/>
          </w:tcPr>
          <w:p w14:paraId="5BBC3F1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972" w:type="dxa"/>
          </w:tcPr>
          <w:p w14:paraId="5FCC39E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972" w:type="dxa"/>
          </w:tcPr>
          <w:p w14:paraId="38D54A4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1037" w:type="dxa"/>
          </w:tcPr>
          <w:p w14:paraId="698E471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966" w:type="dxa"/>
          </w:tcPr>
          <w:p w14:paraId="124A7F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r>
      <w:tr w:rsidR="00983732" w:rsidRPr="00A3026E" w14:paraId="7BF6C189" w14:textId="77777777" w:rsidTr="00EA0DA7">
        <w:trPr>
          <w:trHeight w:val="40"/>
        </w:trPr>
        <w:tc>
          <w:tcPr>
            <w:tcW w:w="1375" w:type="dxa"/>
          </w:tcPr>
          <w:p w14:paraId="1721B29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2527" w:type="dxa"/>
          </w:tcPr>
          <w:p w14:paraId="02CDCA7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ВЭМ-63</w:t>
            </w:r>
          </w:p>
        </w:tc>
        <w:tc>
          <w:tcPr>
            <w:tcW w:w="1649" w:type="dxa"/>
          </w:tcPr>
          <w:p w14:paraId="2BDBF4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972" w:type="dxa"/>
          </w:tcPr>
          <w:p w14:paraId="3036BCC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972" w:type="dxa"/>
          </w:tcPr>
          <w:p w14:paraId="3EF51A9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037" w:type="dxa"/>
          </w:tcPr>
          <w:p w14:paraId="5C0A468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66" w:type="dxa"/>
          </w:tcPr>
          <w:p w14:paraId="1140BF4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E7376E2" w14:textId="77777777" w:rsidTr="00EA0DA7">
        <w:trPr>
          <w:trHeight w:val="40"/>
        </w:trPr>
        <w:tc>
          <w:tcPr>
            <w:tcW w:w="1375" w:type="dxa"/>
          </w:tcPr>
          <w:p w14:paraId="446B8E3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2527" w:type="dxa"/>
          </w:tcPr>
          <w:p w14:paraId="6D3ADD8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ВЭМ-107</w:t>
            </w:r>
          </w:p>
        </w:tc>
        <w:tc>
          <w:tcPr>
            <w:tcW w:w="1649" w:type="dxa"/>
          </w:tcPr>
          <w:p w14:paraId="06510A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72" w:type="dxa"/>
          </w:tcPr>
          <w:p w14:paraId="6E0C28D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972" w:type="dxa"/>
          </w:tcPr>
          <w:p w14:paraId="63887CC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037" w:type="dxa"/>
          </w:tcPr>
          <w:p w14:paraId="0626C34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66" w:type="dxa"/>
          </w:tcPr>
          <w:p w14:paraId="181DE8A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D6CBEA8" w14:textId="77777777" w:rsidTr="00EA0DA7">
        <w:trPr>
          <w:trHeight w:val="40"/>
        </w:trPr>
        <w:tc>
          <w:tcPr>
            <w:tcW w:w="1375" w:type="dxa"/>
            <w:tcBorders>
              <w:bottom w:val="single" w:sz="12" w:space="0" w:color="auto"/>
            </w:tcBorders>
          </w:tcPr>
          <w:p w14:paraId="3EA48DA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467</w:t>
            </w:r>
          </w:p>
        </w:tc>
        <w:tc>
          <w:tcPr>
            <w:tcW w:w="2527" w:type="dxa"/>
            <w:tcBorders>
              <w:bottom w:val="single" w:sz="12" w:space="0" w:color="auto"/>
            </w:tcBorders>
          </w:tcPr>
          <w:p w14:paraId="49D9FE9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ЗИШ-22Е</w:t>
            </w:r>
          </w:p>
        </w:tc>
        <w:tc>
          <w:tcPr>
            <w:tcW w:w="1649" w:type="dxa"/>
            <w:tcBorders>
              <w:bottom w:val="single" w:sz="12" w:space="0" w:color="auto"/>
            </w:tcBorders>
          </w:tcPr>
          <w:p w14:paraId="4B084A3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972" w:type="dxa"/>
            <w:tcBorders>
              <w:bottom w:val="single" w:sz="12" w:space="0" w:color="auto"/>
            </w:tcBorders>
          </w:tcPr>
          <w:p w14:paraId="1814AAC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72" w:type="dxa"/>
            <w:tcBorders>
              <w:bottom w:val="single" w:sz="12" w:space="0" w:color="auto"/>
            </w:tcBorders>
          </w:tcPr>
          <w:p w14:paraId="6BE94D7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037" w:type="dxa"/>
            <w:tcBorders>
              <w:bottom w:val="single" w:sz="12" w:space="0" w:color="auto"/>
            </w:tcBorders>
          </w:tcPr>
          <w:p w14:paraId="704EBE8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966" w:type="dxa"/>
            <w:tcBorders>
              <w:bottom w:val="single" w:sz="12" w:space="0" w:color="auto"/>
            </w:tcBorders>
          </w:tcPr>
          <w:p w14:paraId="17EF2BB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r>
    </w:tbl>
    <w:p w14:paraId="5FDB0F3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(416,58).</w:t>
      </w:r>
    </w:p>
    <w:p w14:paraId="71E2B4A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программе производства авиамоторов АМ-38 не было, но был АМ-35А (416,61).</w:t>
      </w:r>
    </w:p>
    <w:p w14:paraId="213A1D9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Важно отметить, что Смоленский 35 завод также предназначался для Ил-2, но специальные решения (постановление КО и приказ) - не ясны (как и в случае 30 завода). К 12 декабря с 30 и 35 заводами уже было ясно, но когда это случилось - не понятно.</w:t>
      </w:r>
    </w:p>
    <w:p w14:paraId="4D8D6A3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5319E3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на совместном заседании СНК СССР и ЦК ВКП(б) рассматривалась программа выпуска самолетов и моторов на 1941 г. В принятом важном документе предписывалось авиапромышленности прекратить строительство устаревших самолетов, как истребители И-16 и И-153, бомбардировщики СБ. Для ближнего бомбардировщика, переименованного по имени главного конструктора в Су-2, устанавливался годовой план для всех трех заводов в 1150 машин (из общего количества 6070 бомбардировщиков, запланированных к выпуску в 1941-м). При этом 600 Су-2, или больше половины, должны были построить в Харькове, на головном предприятии (12028).</w:t>
      </w:r>
    </w:p>
    <w:p w14:paraId="1B8EBD8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E0ABEC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приказом по НКАП № 704 все новые боевые самолеты, принятые к серийному производству получили наименования по фамилиям их Главных конструкторов, в том числе БШ-2 стал именоваться Ил-2. Ввиду того, что бронированный штурмовик был нужен ВВС незамедлительно в декабре 40-го было принято решение (приказ А. И. Шахурина № 739 от 14 декабря) о запуске в серийное производство одноместного штурмовика Ил-2 на заводе № 18 (г. Воронеж) по типу прошедшего госиспытания, то есть, двухместного ЦКБ-55 № 2, со следующими изменениями:</w:t>
      </w:r>
    </w:p>
    <w:p w14:paraId="0D46FD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 сделать самолет одноместным, вместо двухместного;</w:t>
      </w:r>
    </w:p>
    <w:p w14:paraId="7770D86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установить мотор АМ-35А, вместо АМ-35;</w:t>
      </w:r>
    </w:p>
    <w:p w14:paraId="3F2AC84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установить заднюю бронес-тенку толщиной 12 мм;</w:t>
      </w:r>
    </w:p>
    <w:p w14:paraId="6753069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вместо двух крыльевых пулеметов ШКАС, установить в крыле две авиапушки конструкции Таубина-Ба-бурина (ОКБ-16) калибра 23 мм МП-6 (ПТБ-23) с общим боекомплектом 162 снаряда... » и т. д.</w:t>
      </w:r>
    </w:p>
    <w:p w14:paraId="772FC54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При этом директор 18-го завода М. Б. Шенкман и Главный конструктор самолета С. В. Ильюшин обязывались обеспечить начало серийного производства Ил-2 с мотором АМ-35А с 15 февраля 1941 г. с выпуском до 1 марта - 10 машин, а всего в 1941 г. - 1200 штурмовиков. Кроме того, лично С. В. Ильюшин должен был завершить заводские испытания новой машины к 10 января 41-го.</w:t>
      </w:r>
    </w:p>
    <w:p w14:paraId="7EB06E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этой связи 20 декабря в Воронеж для помощи заводскому КБ прибыл Главный конструктор Ил-2 С. В. Ильюшин с группой ведущих конструкторов своего ОКБ.</w:t>
      </w:r>
    </w:p>
    <w:p w14:paraId="5199088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АМ-35А к этому времени удовлетворительно прошел государственные испытания на станке (9649).</w:t>
      </w:r>
    </w:p>
    <w:p w14:paraId="76E99FA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B9DA2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Зам начальника ГУ ВВС генерал-лейтенант авиации Рычагов утвердил Заключение по эскизному проекту пикирующего бомбардировщика истребителя «ПБИ – М107» конструкции Беляева В.Н.</w:t>
      </w:r>
    </w:p>
    <w:p w14:paraId="697E5EF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300EF4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предложению конструктора самолет имеет назначение ближнего пикирующего бомбардировщика и без бомбовой нагрузки – одноместного истребителя.</w:t>
      </w:r>
    </w:p>
    <w:p w14:paraId="48BCAA5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«ПБИ» представляет из себя свободнонесущий моноплан с высокорасположенным крылом.</w:t>
      </w:r>
    </w:p>
    <w:p w14:paraId="08DEBD5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самолета смешанная.</w:t>
      </w:r>
    </w:p>
    <w:p w14:paraId="6411A8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Особенностями схемы самолета являются:</w:t>
      </w:r>
    </w:p>
    <w:p w14:paraId="14832C1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Расположение мотора в фюзеляже за летчиком.</w:t>
      </w:r>
    </w:p>
    <w:p w14:paraId="073FF2A9"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Толкающий винт.</w:t>
      </w:r>
    </w:p>
    <w:p w14:paraId="3B4CF19F"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Трехколесное шасси.</w:t>
      </w:r>
    </w:p>
    <w:p w14:paraId="11DE2B6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состоит из стрелкового и бомбардировочного.</w:t>
      </w:r>
    </w:p>
    <w:p w14:paraId="133371E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вооружение состоит из одной пушки системы Таубина-Бабурина калибром 23 мм и одного несинхронного пулемета ШКАС, расположенных в носовой части фюзеляжа под полом кабины летчика.</w:t>
      </w:r>
    </w:p>
    <w:p w14:paraId="37A449F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Боезапас на пушку – 81 снаряд.</w:t>
      </w:r>
    </w:p>
    <w:p w14:paraId="34B7177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пулемете Шкас – 600 патрон.</w:t>
      </w:r>
    </w:p>
    <w:p w14:paraId="6F0B548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Бомбардировочное вооружение состоит из оборудования позволяющего производить бомбометание с пикирования.</w:t>
      </w:r>
    </w:p>
    <w:p w14:paraId="20B63F9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могут быть так же установлены вместо бомб подвески под крыльями реактивных снарядов.</w:t>
      </w:r>
    </w:p>
    <w:p w14:paraId="0AB1820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6D542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ПБИ как неудовлетворяющий требованиям ВВС на 1941 год не может быть рекомендован для включения в план опытного строительства на 1941 год.</w:t>
      </w:r>
    </w:p>
    <w:p w14:paraId="4E65C03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этой схемы может строиться лишь после испытаний одноместного экспериментального самолета того же конструктора (Э.О.И.) (4635).</w:t>
      </w:r>
    </w:p>
    <w:p w14:paraId="308B8D91"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B6B8F68"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декабря 1940 года по НКАП №702сс увеличил программу выпуска Ер-2 до 100 машин, но проверка показала, что на 27 декабря заводом № 18 были сданы по сборке лишь 10 бомбардировщиков, но и на них не только дефекты «перечня №1» устранены не были, но и выявились новые. Например, сброс 500-кг бомб был невозможен — нет доступа к замкам, аварийный сброс работает ненадежно, а тросы лебедки подъема рвутся. Были сорваны поставки пулеметов БТ и пришлось разрешить менять верхние турели ТАТ-БУ на серийные МВ-3 с менее мощным ШКАСом. Директор 18-го завода обещал в кратчайший срок устранить 90% производственных дефектов, но до апреля 1941 года вообще никаких работ на стоявших под открытым небом или в холодном ангаре самолетах не выполнялось, а первый серийный Ер-2 был принят военной приемкой завода лишь в июне 1941 года (22833).</w:t>
      </w:r>
    </w:p>
    <w:p w14:paraId="0869464D" w14:textId="77777777" w:rsidR="00A86CD1" w:rsidRPr="00A3026E" w:rsidRDefault="00A86CD1" w:rsidP="00A3026E">
      <w:pPr>
        <w:spacing w:after="0" w:line="240" w:lineRule="auto"/>
        <w:jc w:val="both"/>
        <w:rPr>
          <w:rFonts w:ascii="Times New Roman" w:hAnsi="Times New Roman"/>
          <w:color w:val="0070C0"/>
          <w:sz w:val="16"/>
          <w:szCs w:val="16"/>
        </w:rPr>
      </w:pPr>
    </w:p>
    <w:p w14:paraId="74C2C51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в соответствии с приказом НКАП СССР серийный выпуск истребителей ЛаГГ-3 должен был начаться одновременно на пяти заводах, в том числе на заводе № 21 в Горьком, № 31 в Таганроге и № 23 в Ленинграде. Гудков остался в Химках, получив должность главного конструктора ОКБ-301. Там он работал над истребителем Гу-1, который по схеме повторял американский истребитель Р-39 «Аэрокобра». Остальные конструкторы были командированы на заводы помогать в налаживании выпуска. Горбунов оказался в Таганроге, а Лавочкина отправили в Ленинград вместе с частью коллектива ОКБ-301. Быстрее всего удалось наладить выпуск самолетов в Ленинграде на заводе № 23. В декабре 1940 планировалось построить пять самолетов ЛаГГ-1. В следующем 1941 году план предусматривал уже выпуск только одних ЛаГГов-3. Первый ЛаГГ-3 облетали в феврале 1941 года. Выпуск истребителей нарастал постепенно. К моменту эвакуации из Ленинграда завод успел передать армии только 65 машин (11749).</w:t>
      </w:r>
    </w:p>
    <w:p w14:paraId="6F11211B"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7F3009E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согласно приказу НКАП серийное производство ЛаГГ-3 предполагалось организовать параллельно на пяти предприятиях: первыми должны были его начать заводы № 21 в Горьком (ныне Нижний Новгород), № 31 в Таганроге и № 23 в Ленинграде (ныне Санкт-Петербург). Гудкова оставили в Химках, назначив главным конструктором ОКБ-301 (там он занялся истребителем Гу-1, повторявшим компоновку американской "Аэрокобры"), Горбунова направили помогать освоению выпуска в Таганрог, а Лавочкина с той же целью - в Ленинград. Но пробыл Лавочкин там недолго, вскоре ему приказали выехать в Горький и возглавить опытное производство на заводе № 21, ставшем головным по выпуску новых истребителей. В декабре 1940 г. Семен Алексеевич прибыл туда с частью коллектива ОКБ-301. Первым налаживать серийное производство истребителей начал ленинградский завод № 23. На декабрь 1940 г. предприятию запланировали выпуск пяти ЛаГГ-1. Фактически же серийные машины стали покидать заводские цеха в следующем году уже в варианте ЛаГГ-3. Первый самолет вышел на аэродром в феврале 1941 г. До эвакуации ленинградцы смогли сдать заказчику лишь 65 истребителей (11983).</w:t>
      </w:r>
    </w:p>
    <w:p w14:paraId="70F908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Первые серийные истребители ЛаГГ-3 выходили с заводов окрашенными по стандартной (согласно приказу НКАП от 23 мая 1940 г.) схеме: верхние и боковые поверхности зеленого (защитного) или светло-зеленого цвета, нижние - светло-голубого. Для этого при окраске самолетов деревянной и смешанной конструкций использовались нитроэмали, или, как они в то время назывались, - аэролаки второго покрытия АН Св.З. (зеленый) и АН Св.Г. (голубой). После высыхания покрытие становилось глянцевым, и отблески солнечных лучей неизбежно выделяли самолет на любом естественном фоне, что уже не отвечало требованиям маскировки (11983).</w:t>
      </w:r>
    </w:p>
    <w:p w14:paraId="1CBFADDE"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007DCCE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Начальник ГУ ВВС генерал-лейтенант авиации Рычагов утвердил Заключение по эскизному проекту опытного маневренного истребителя № 11 с мотором М-71 и РД-2 конструкции инженеров Боровкова и Флорова, завод № 207</w:t>
      </w:r>
    </w:p>
    <w:p w14:paraId="752B918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237B3520"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Ведение активного воздушного боя для поражения и уничтожения противника на основе преимущества в маневре.</w:t>
      </w:r>
    </w:p>
    <w:p w14:paraId="48B1D17C"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Выполнение задач по сопровождению бомбардировщиков.</w:t>
      </w:r>
    </w:p>
    <w:p w14:paraId="68BE591D"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частных случаях обстановки – выполнение задач по бомбометанию с пикирования.</w:t>
      </w:r>
    </w:p>
    <w:p w14:paraId="696D89E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 11 представляет собой свободнонесущий цельнометаллический биплан с крыльями, имеющими чайку: верхнее – нормальную, нижнее – обратную.</w:t>
      </w:r>
    </w:p>
    <w:p w14:paraId="2A50FB2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вооружен четырьмя синхронными пулеметами – двумя системы Березина с запасом патрон на каждый пулемет по 250 штук и двумя – системы ШКАС с запасом патрон на каждый пулемет по 700 штук.</w:t>
      </w:r>
    </w:p>
    <w:p w14:paraId="7FBFC7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перегрузочном варианте предусмотрена возможность подвески</w:t>
      </w:r>
    </w:p>
    <w:p w14:paraId="7B56875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двух бомб по 250 кг или</w:t>
      </w:r>
    </w:p>
    <w:p w14:paraId="41940EC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двух пушек Таубина с запасом снарядов на каждую из них примерно по 100 штук</w:t>
      </w:r>
    </w:p>
    <w:p w14:paraId="68076B8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консолях нижнего крыла предусмотрено также устройство гнезд для крепления установок РС (по 4 штуки на каждую сторону).</w:t>
      </w:r>
    </w:p>
    <w:p w14:paraId="7FB4798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9A6E9F6"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маневренный истребитель № 11 с мотором М-71 и РД-2 по эскизному проекту Боровкова и Флорова рекомендовать для включения в план опытного строительства на 1941 год в качестве экспериментального истребителя (4386).</w:t>
      </w:r>
    </w:p>
    <w:p w14:paraId="236A6BF1" w14:textId="77777777" w:rsidR="00C66762" w:rsidRPr="00A3026E" w:rsidRDefault="00C66762" w:rsidP="00A3026E">
      <w:pPr>
        <w:tabs>
          <w:tab w:val="left" w:pos="360"/>
        </w:tabs>
        <w:spacing w:after="0" w:line="240" w:lineRule="auto"/>
        <w:jc w:val="both"/>
        <w:rPr>
          <w:rFonts w:ascii="Times New Roman" w:hAnsi="Times New Roman"/>
          <w:color w:val="000000" w:themeColor="text1"/>
          <w:sz w:val="16"/>
          <w:szCs w:val="16"/>
        </w:rPr>
      </w:pPr>
    </w:p>
    <w:p w14:paraId="44BBD3C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на совместном заседании СНК и ЦК ВКП(б) рассматривалась программа выпуска самолетов и моторов на 1941 г. В этом чрезвычайно важном документе авиапромышленности предписывалось прекратить строительство устаревших самолетов. Для ближнего бомбардировщика ББ-1, переименованного по имени главного конструктора в Су-2, устанавливался годовой план для всех трех заводов в 1150 машин (из общего количества 6070 бомбардировщиков). 600 Су-2 должны были построить за 1941 г. в Харькове (5360).</w:t>
      </w:r>
    </w:p>
    <w:p w14:paraId="74B7F086"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4F933B3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w:t>
      </w:r>
    </w:p>
    <w:p w14:paraId="5E53949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Переименования названий боевых самолетов, принятые в соответствии с решением Политбюро ЦК ВКП(б)</w:t>
      </w:r>
    </w:p>
    <w:p w14:paraId="4778E02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 23 / 133 — ОП от 6 декабря 1940 г. О переименовании боевых самолетов и Приказом НКАП за № 704сс от 9 декабря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916"/>
        <w:gridCol w:w="2614"/>
      </w:tblGrid>
      <w:tr w:rsidR="00983732" w:rsidRPr="00A3026E" w14:paraId="749EAA0A" w14:textId="77777777" w:rsidTr="00EA0DA7">
        <w:trPr>
          <w:trHeight w:val="353"/>
        </w:trPr>
        <w:tc>
          <w:tcPr>
            <w:tcW w:w="2916" w:type="dxa"/>
            <w:tcBorders>
              <w:top w:val="single" w:sz="12" w:space="0" w:color="auto"/>
            </w:tcBorders>
          </w:tcPr>
          <w:p w14:paraId="033C8DA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Старое обозначение</w:t>
            </w:r>
          </w:p>
        </w:tc>
        <w:tc>
          <w:tcPr>
            <w:tcW w:w="2614" w:type="dxa"/>
            <w:tcBorders>
              <w:top w:val="single" w:sz="12" w:space="0" w:color="auto"/>
            </w:tcBorders>
          </w:tcPr>
          <w:p w14:paraId="4512930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Новое обозначение</w:t>
            </w:r>
          </w:p>
        </w:tc>
      </w:tr>
      <w:tr w:rsidR="00983732" w:rsidRPr="00A3026E" w14:paraId="1A1D30CA" w14:textId="77777777" w:rsidTr="00EA0DA7">
        <w:trPr>
          <w:trHeight w:val="346"/>
        </w:trPr>
        <w:tc>
          <w:tcPr>
            <w:tcW w:w="2916" w:type="dxa"/>
          </w:tcPr>
          <w:p w14:paraId="05EE2B3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И-26М-105П</w:t>
            </w:r>
          </w:p>
        </w:tc>
        <w:tc>
          <w:tcPr>
            <w:tcW w:w="2614" w:type="dxa"/>
          </w:tcPr>
          <w:p w14:paraId="1CFC67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Як-1</w:t>
            </w:r>
          </w:p>
        </w:tc>
      </w:tr>
      <w:tr w:rsidR="00983732" w:rsidRPr="00A3026E" w14:paraId="06B9F9E6" w14:textId="77777777" w:rsidTr="00EA0DA7">
        <w:trPr>
          <w:trHeight w:val="346"/>
        </w:trPr>
        <w:tc>
          <w:tcPr>
            <w:tcW w:w="2916" w:type="dxa"/>
          </w:tcPr>
          <w:p w14:paraId="6CE5816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И-ЗОМ-105П</w:t>
            </w:r>
          </w:p>
        </w:tc>
        <w:tc>
          <w:tcPr>
            <w:tcW w:w="2614" w:type="dxa"/>
          </w:tcPr>
          <w:p w14:paraId="3BA3672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Як-3</w:t>
            </w:r>
          </w:p>
        </w:tc>
      </w:tr>
      <w:tr w:rsidR="00983732" w:rsidRPr="00A3026E" w14:paraId="11E5F266" w14:textId="77777777" w:rsidTr="00EA0DA7">
        <w:trPr>
          <w:trHeight w:val="331"/>
        </w:trPr>
        <w:tc>
          <w:tcPr>
            <w:tcW w:w="2916" w:type="dxa"/>
          </w:tcPr>
          <w:p w14:paraId="27B4AA2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И-28М-105П</w:t>
            </w:r>
          </w:p>
        </w:tc>
        <w:tc>
          <w:tcPr>
            <w:tcW w:w="2614" w:type="dxa"/>
          </w:tcPr>
          <w:p w14:paraId="58F0331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Як-5</w:t>
            </w:r>
          </w:p>
        </w:tc>
      </w:tr>
      <w:tr w:rsidR="00983732" w:rsidRPr="00A3026E" w14:paraId="407744C8" w14:textId="77777777" w:rsidTr="00EA0DA7">
        <w:trPr>
          <w:trHeight w:val="353"/>
        </w:trPr>
        <w:tc>
          <w:tcPr>
            <w:tcW w:w="2916" w:type="dxa"/>
          </w:tcPr>
          <w:p w14:paraId="3D90E72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УГИ-26М-105П</w:t>
            </w:r>
          </w:p>
        </w:tc>
        <w:tc>
          <w:tcPr>
            <w:tcW w:w="2614" w:type="dxa"/>
          </w:tcPr>
          <w:p w14:paraId="7AFFC00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Як-7</w:t>
            </w:r>
          </w:p>
        </w:tc>
      </w:tr>
      <w:tr w:rsidR="00983732" w:rsidRPr="00A3026E" w14:paraId="2FB5C20E" w14:textId="77777777" w:rsidTr="00EA0DA7">
        <w:trPr>
          <w:trHeight w:val="338"/>
        </w:trPr>
        <w:tc>
          <w:tcPr>
            <w:tcW w:w="2916" w:type="dxa"/>
          </w:tcPr>
          <w:p w14:paraId="3A967D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И-200АМ-35А</w:t>
            </w:r>
          </w:p>
        </w:tc>
        <w:tc>
          <w:tcPr>
            <w:tcW w:w="2614" w:type="dxa"/>
          </w:tcPr>
          <w:p w14:paraId="3A6AD68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МиГ-1</w:t>
            </w:r>
          </w:p>
        </w:tc>
      </w:tr>
      <w:tr w:rsidR="00983732" w:rsidRPr="00A3026E" w14:paraId="1143F153" w14:textId="77777777" w:rsidTr="00EA0DA7">
        <w:trPr>
          <w:trHeight w:val="338"/>
        </w:trPr>
        <w:tc>
          <w:tcPr>
            <w:tcW w:w="2916" w:type="dxa"/>
          </w:tcPr>
          <w:p w14:paraId="6AE25CF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И-200АМ-35А</w:t>
            </w:r>
          </w:p>
        </w:tc>
        <w:tc>
          <w:tcPr>
            <w:tcW w:w="2614" w:type="dxa"/>
          </w:tcPr>
          <w:p w14:paraId="09154D5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МиГ-3</w:t>
            </w:r>
          </w:p>
        </w:tc>
      </w:tr>
      <w:tr w:rsidR="00983732" w:rsidRPr="00A3026E" w14:paraId="15457DA0" w14:textId="77777777" w:rsidTr="00EA0DA7">
        <w:trPr>
          <w:trHeight w:val="346"/>
        </w:trPr>
        <w:tc>
          <w:tcPr>
            <w:tcW w:w="2916" w:type="dxa"/>
          </w:tcPr>
          <w:p w14:paraId="768DA8E8"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М-105П</w:t>
            </w:r>
          </w:p>
        </w:tc>
        <w:tc>
          <w:tcPr>
            <w:tcW w:w="2614" w:type="dxa"/>
          </w:tcPr>
          <w:p w14:paraId="3395CF7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ЛаГТ-1</w:t>
            </w:r>
          </w:p>
        </w:tc>
      </w:tr>
      <w:tr w:rsidR="00983732" w:rsidRPr="00A3026E" w14:paraId="7CD41AE4" w14:textId="77777777" w:rsidTr="00EA0DA7">
        <w:trPr>
          <w:trHeight w:val="338"/>
        </w:trPr>
        <w:tc>
          <w:tcPr>
            <w:tcW w:w="2916" w:type="dxa"/>
          </w:tcPr>
          <w:p w14:paraId="25F111BB"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М-105П</w:t>
            </w:r>
          </w:p>
        </w:tc>
        <w:tc>
          <w:tcPr>
            <w:tcW w:w="2614" w:type="dxa"/>
          </w:tcPr>
          <w:p w14:paraId="2C420C0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w:t>
            </w:r>
          </w:p>
        </w:tc>
      </w:tr>
      <w:tr w:rsidR="00983732" w:rsidRPr="00A3026E" w14:paraId="1EDEDC9B" w14:textId="77777777" w:rsidTr="00EA0DA7">
        <w:trPr>
          <w:trHeight w:val="353"/>
        </w:trPr>
        <w:tc>
          <w:tcPr>
            <w:tcW w:w="2916" w:type="dxa"/>
          </w:tcPr>
          <w:p w14:paraId="70189F6D"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СБ-РК2М105</w:t>
            </w:r>
          </w:p>
        </w:tc>
        <w:tc>
          <w:tcPr>
            <w:tcW w:w="2614" w:type="dxa"/>
          </w:tcPr>
          <w:p w14:paraId="7BA909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Ар-2</w:t>
            </w:r>
          </w:p>
        </w:tc>
      </w:tr>
      <w:tr w:rsidR="00983732" w:rsidRPr="00A3026E" w14:paraId="7FE323E0" w14:textId="77777777" w:rsidTr="00EA0DA7">
        <w:trPr>
          <w:trHeight w:val="324"/>
        </w:trPr>
        <w:tc>
          <w:tcPr>
            <w:tcW w:w="2916" w:type="dxa"/>
          </w:tcPr>
          <w:p w14:paraId="66C1DD1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ПБ-100</w:t>
            </w:r>
          </w:p>
        </w:tc>
        <w:tc>
          <w:tcPr>
            <w:tcW w:w="2614" w:type="dxa"/>
          </w:tcPr>
          <w:p w14:paraId="364B400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w:t>
            </w:r>
          </w:p>
        </w:tc>
      </w:tr>
      <w:tr w:rsidR="00983732" w:rsidRPr="00A3026E" w14:paraId="5BF3AFF8" w14:textId="77777777" w:rsidTr="00EA0DA7">
        <w:trPr>
          <w:trHeight w:val="346"/>
        </w:trPr>
        <w:tc>
          <w:tcPr>
            <w:tcW w:w="2916" w:type="dxa"/>
          </w:tcPr>
          <w:p w14:paraId="47E44D7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ББ-222М-103</w:t>
            </w:r>
          </w:p>
        </w:tc>
        <w:tc>
          <w:tcPr>
            <w:tcW w:w="2614" w:type="dxa"/>
          </w:tcPr>
          <w:p w14:paraId="1C7BFF0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Як-2</w:t>
            </w:r>
          </w:p>
        </w:tc>
      </w:tr>
      <w:tr w:rsidR="00983732" w:rsidRPr="00A3026E" w14:paraId="5B8ED2F0" w14:textId="77777777" w:rsidTr="00EA0DA7">
        <w:trPr>
          <w:trHeight w:val="338"/>
        </w:trPr>
        <w:tc>
          <w:tcPr>
            <w:tcW w:w="2916" w:type="dxa"/>
          </w:tcPr>
          <w:p w14:paraId="2EB2A3A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 2М-105</w:t>
            </w:r>
          </w:p>
        </w:tc>
        <w:tc>
          <w:tcPr>
            <w:tcW w:w="2614" w:type="dxa"/>
          </w:tcPr>
          <w:p w14:paraId="163DCA8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Як-4</w:t>
            </w:r>
          </w:p>
        </w:tc>
      </w:tr>
      <w:tr w:rsidR="00983732" w:rsidRPr="00A3026E" w14:paraId="18E3A25D" w14:textId="77777777" w:rsidTr="00EA0DA7">
        <w:trPr>
          <w:trHeight w:val="360"/>
        </w:trPr>
        <w:tc>
          <w:tcPr>
            <w:tcW w:w="2916" w:type="dxa"/>
          </w:tcPr>
          <w:p w14:paraId="113F28B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ДБ-2402М-105</w:t>
            </w:r>
          </w:p>
        </w:tc>
        <w:tc>
          <w:tcPr>
            <w:tcW w:w="2614" w:type="dxa"/>
          </w:tcPr>
          <w:p w14:paraId="3F0AB58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Ер-2</w:t>
            </w:r>
          </w:p>
        </w:tc>
      </w:tr>
      <w:tr w:rsidR="00983732" w:rsidRPr="00A3026E" w14:paraId="137CF284" w14:textId="77777777" w:rsidTr="00EA0DA7">
        <w:trPr>
          <w:trHeight w:val="331"/>
        </w:trPr>
        <w:tc>
          <w:tcPr>
            <w:tcW w:w="2916" w:type="dxa"/>
          </w:tcPr>
          <w:p w14:paraId="6FD88FD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ББ-1М-88</w:t>
            </w:r>
          </w:p>
        </w:tc>
        <w:tc>
          <w:tcPr>
            <w:tcW w:w="2614" w:type="dxa"/>
          </w:tcPr>
          <w:p w14:paraId="621324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Су-2</w:t>
            </w:r>
          </w:p>
        </w:tc>
      </w:tr>
      <w:tr w:rsidR="00983732" w:rsidRPr="00A3026E" w14:paraId="34F8913C" w14:textId="77777777" w:rsidTr="00EA0DA7">
        <w:trPr>
          <w:trHeight w:val="346"/>
        </w:trPr>
        <w:tc>
          <w:tcPr>
            <w:tcW w:w="2916" w:type="dxa"/>
            <w:tcBorders>
              <w:bottom w:val="single" w:sz="12" w:space="0" w:color="auto"/>
            </w:tcBorders>
          </w:tcPr>
          <w:p w14:paraId="3B7077F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БШ-2АМ-35</w:t>
            </w:r>
          </w:p>
        </w:tc>
        <w:tc>
          <w:tcPr>
            <w:tcW w:w="2614" w:type="dxa"/>
            <w:tcBorders>
              <w:bottom w:val="single" w:sz="12" w:space="0" w:color="auto"/>
            </w:tcBorders>
          </w:tcPr>
          <w:p w14:paraId="64B5FEB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w:t>
            </w:r>
          </w:p>
        </w:tc>
      </w:tr>
    </w:tbl>
    <w:p w14:paraId="3EE888D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Составлена по РГАСПИ.Ф. 17.Оп. 162. Д 30. Л. 63-64; РГАЭ. Ф. 8044. ОпЛ.Д 338. Л. 123-124. (11672,508).</w:t>
      </w:r>
    </w:p>
    <w:p w14:paraId="79D62BA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285531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вышел приказ НКАП N 704сс "В соответствии с Постановлением Правительства о переименовании боевых самолетов" приказано:</w:t>
      </w:r>
    </w:p>
    <w:p w14:paraId="6761B63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Переименовать все боевые самолеты, назвав их первыми буквами фамилий ГК и цифрой. При этом:</w:t>
      </w:r>
    </w:p>
    <w:p w14:paraId="2A98294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истребителям всех типов присвоить нечетные номера, начиная нумерацию каждого конструктора с единицы;</w:t>
      </w:r>
    </w:p>
    <w:p w14:paraId="2A75808F"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бомбардировщикам всех типов, штурмовикам, разведчикам, торпедоносцам, военно-транспортным самолетам присвоить четные цифры, начиная нумерацию самолетов каждого конструктора с цифры 2 (866,119).</w:t>
      </w:r>
    </w:p>
    <w:p w14:paraId="78D1C503"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соответствии с п.1 настоящего приказа переименовать следующим образом новые самолеты, принятые к серийному производству: (866,119)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tblGrid>
      <w:tr w:rsidR="00983732" w:rsidRPr="00A3026E" w14:paraId="3FD53AEA" w14:textId="77777777" w:rsidTr="00EA0DA7">
        <w:tc>
          <w:tcPr>
            <w:tcW w:w="2299" w:type="dxa"/>
            <w:tcBorders>
              <w:top w:val="single" w:sz="12" w:space="0" w:color="auto"/>
            </w:tcBorders>
          </w:tcPr>
          <w:p w14:paraId="228006D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М-105П</w:t>
            </w:r>
          </w:p>
        </w:tc>
        <w:tc>
          <w:tcPr>
            <w:tcW w:w="2299" w:type="dxa"/>
            <w:tcBorders>
              <w:top w:val="single" w:sz="12" w:space="0" w:color="auto"/>
            </w:tcBorders>
          </w:tcPr>
          <w:p w14:paraId="24933E9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Як-1</w:t>
            </w:r>
          </w:p>
        </w:tc>
      </w:tr>
      <w:tr w:rsidR="00983732" w:rsidRPr="00A3026E" w14:paraId="6B36BCC6" w14:textId="77777777" w:rsidTr="00EA0DA7">
        <w:tc>
          <w:tcPr>
            <w:tcW w:w="2299" w:type="dxa"/>
          </w:tcPr>
          <w:p w14:paraId="7241F9D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 М-1-5П</w:t>
            </w:r>
          </w:p>
        </w:tc>
        <w:tc>
          <w:tcPr>
            <w:tcW w:w="2299" w:type="dxa"/>
          </w:tcPr>
          <w:p w14:paraId="681AE7A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Як-3</w:t>
            </w:r>
          </w:p>
        </w:tc>
      </w:tr>
      <w:tr w:rsidR="00983732" w:rsidRPr="00A3026E" w14:paraId="454451CA" w14:textId="77777777" w:rsidTr="00EA0DA7">
        <w:tc>
          <w:tcPr>
            <w:tcW w:w="2299" w:type="dxa"/>
          </w:tcPr>
          <w:p w14:paraId="2DF4EB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И-28 М-105П</w:t>
            </w:r>
          </w:p>
        </w:tc>
        <w:tc>
          <w:tcPr>
            <w:tcW w:w="2299" w:type="dxa"/>
          </w:tcPr>
          <w:p w14:paraId="27FA380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Як-5</w:t>
            </w:r>
          </w:p>
        </w:tc>
      </w:tr>
      <w:tr w:rsidR="00983732" w:rsidRPr="00A3026E" w14:paraId="5A3A2808" w14:textId="77777777" w:rsidTr="00EA0DA7">
        <w:tc>
          <w:tcPr>
            <w:tcW w:w="2299" w:type="dxa"/>
          </w:tcPr>
          <w:p w14:paraId="690285C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УТИ-26 М-105П</w:t>
            </w:r>
          </w:p>
        </w:tc>
        <w:tc>
          <w:tcPr>
            <w:tcW w:w="2299" w:type="dxa"/>
          </w:tcPr>
          <w:p w14:paraId="20D3038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Як-7</w:t>
            </w:r>
          </w:p>
        </w:tc>
      </w:tr>
      <w:tr w:rsidR="00983732" w:rsidRPr="00A3026E" w14:paraId="691527D1" w14:textId="77777777" w:rsidTr="00EA0DA7">
        <w:tc>
          <w:tcPr>
            <w:tcW w:w="2299" w:type="dxa"/>
          </w:tcPr>
          <w:p w14:paraId="041E8F4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 АМ-35А</w:t>
            </w:r>
          </w:p>
        </w:tc>
        <w:tc>
          <w:tcPr>
            <w:tcW w:w="2299" w:type="dxa"/>
          </w:tcPr>
          <w:p w14:paraId="236B5E8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МиГ-1</w:t>
            </w:r>
          </w:p>
        </w:tc>
      </w:tr>
      <w:tr w:rsidR="00983732" w:rsidRPr="00A3026E" w14:paraId="1690D9D0" w14:textId="77777777" w:rsidTr="00EA0DA7">
        <w:tc>
          <w:tcPr>
            <w:tcW w:w="2299" w:type="dxa"/>
          </w:tcPr>
          <w:p w14:paraId="6BA57C8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 АМ-35А</w:t>
            </w:r>
          </w:p>
        </w:tc>
        <w:tc>
          <w:tcPr>
            <w:tcW w:w="2299" w:type="dxa"/>
          </w:tcPr>
          <w:p w14:paraId="46A72DB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МиГ-3</w:t>
            </w:r>
          </w:p>
        </w:tc>
      </w:tr>
      <w:tr w:rsidR="00983732" w:rsidRPr="00A3026E" w14:paraId="3E4991B6" w14:textId="77777777" w:rsidTr="00EA0DA7">
        <w:tc>
          <w:tcPr>
            <w:tcW w:w="2299" w:type="dxa"/>
          </w:tcPr>
          <w:p w14:paraId="4E00B35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М-105П</w:t>
            </w:r>
          </w:p>
        </w:tc>
        <w:tc>
          <w:tcPr>
            <w:tcW w:w="2299" w:type="dxa"/>
          </w:tcPr>
          <w:p w14:paraId="0BEDD67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ЛаГГ-1</w:t>
            </w:r>
          </w:p>
        </w:tc>
      </w:tr>
      <w:tr w:rsidR="00983732" w:rsidRPr="00A3026E" w14:paraId="756DA01A" w14:textId="77777777" w:rsidTr="00EA0DA7">
        <w:tc>
          <w:tcPr>
            <w:tcW w:w="2299" w:type="dxa"/>
          </w:tcPr>
          <w:p w14:paraId="2767BDF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М-105П</w:t>
            </w:r>
          </w:p>
        </w:tc>
        <w:tc>
          <w:tcPr>
            <w:tcW w:w="2299" w:type="dxa"/>
          </w:tcPr>
          <w:p w14:paraId="51EFBE8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w:t>
            </w:r>
          </w:p>
        </w:tc>
      </w:tr>
      <w:tr w:rsidR="00983732" w:rsidRPr="00A3026E" w14:paraId="069A5A89" w14:textId="77777777" w:rsidTr="00EA0DA7">
        <w:tc>
          <w:tcPr>
            <w:tcW w:w="2299" w:type="dxa"/>
          </w:tcPr>
          <w:p w14:paraId="09A3FBD6"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СБ-РК 2М105</w:t>
            </w:r>
          </w:p>
        </w:tc>
        <w:tc>
          <w:tcPr>
            <w:tcW w:w="2299" w:type="dxa"/>
          </w:tcPr>
          <w:p w14:paraId="7300F3EA"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Ар-2</w:t>
            </w:r>
          </w:p>
        </w:tc>
      </w:tr>
      <w:tr w:rsidR="00983732" w:rsidRPr="00A3026E" w14:paraId="0B67AEBA" w14:textId="77777777" w:rsidTr="00EA0DA7">
        <w:tc>
          <w:tcPr>
            <w:tcW w:w="2299" w:type="dxa"/>
          </w:tcPr>
          <w:p w14:paraId="6A8FFD6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ПБ-100</w:t>
            </w:r>
          </w:p>
        </w:tc>
        <w:tc>
          <w:tcPr>
            <w:tcW w:w="2299" w:type="dxa"/>
          </w:tcPr>
          <w:p w14:paraId="30FA3FA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w:t>
            </w:r>
          </w:p>
        </w:tc>
      </w:tr>
      <w:tr w:rsidR="00983732" w:rsidRPr="00A3026E" w14:paraId="0CEF5020" w14:textId="77777777" w:rsidTr="00EA0DA7">
        <w:tc>
          <w:tcPr>
            <w:tcW w:w="2299" w:type="dxa"/>
          </w:tcPr>
          <w:p w14:paraId="23A6C1A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 2М-103</w:t>
            </w:r>
          </w:p>
        </w:tc>
        <w:tc>
          <w:tcPr>
            <w:tcW w:w="2299" w:type="dxa"/>
          </w:tcPr>
          <w:p w14:paraId="4F5F0FD5"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Як-2</w:t>
            </w:r>
          </w:p>
        </w:tc>
      </w:tr>
      <w:tr w:rsidR="00983732" w:rsidRPr="00A3026E" w14:paraId="0D050561" w14:textId="77777777" w:rsidTr="00EA0DA7">
        <w:tc>
          <w:tcPr>
            <w:tcW w:w="2299" w:type="dxa"/>
          </w:tcPr>
          <w:p w14:paraId="53E184C2"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 2М-105</w:t>
            </w:r>
          </w:p>
        </w:tc>
        <w:tc>
          <w:tcPr>
            <w:tcW w:w="2299" w:type="dxa"/>
          </w:tcPr>
          <w:p w14:paraId="0DAEFBF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Як-4</w:t>
            </w:r>
          </w:p>
        </w:tc>
      </w:tr>
      <w:tr w:rsidR="00983732" w:rsidRPr="00A3026E" w14:paraId="00D076FE" w14:textId="77777777" w:rsidTr="00EA0DA7">
        <w:tc>
          <w:tcPr>
            <w:tcW w:w="2299" w:type="dxa"/>
          </w:tcPr>
          <w:p w14:paraId="14AC1B2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 2М-105</w:t>
            </w:r>
          </w:p>
        </w:tc>
        <w:tc>
          <w:tcPr>
            <w:tcW w:w="2299" w:type="dxa"/>
          </w:tcPr>
          <w:p w14:paraId="2999800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Ер-2</w:t>
            </w:r>
          </w:p>
        </w:tc>
      </w:tr>
      <w:tr w:rsidR="00983732" w:rsidRPr="00A3026E" w14:paraId="4399DF24" w14:textId="77777777" w:rsidTr="00EA0DA7">
        <w:tc>
          <w:tcPr>
            <w:tcW w:w="2299" w:type="dxa"/>
          </w:tcPr>
          <w:p w14:paraId="58718C7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ББ-1 М-88</w:t>
            </w:r>
          </w:p>
        </w:tc>
        <w:tc>
          <w:tcPr>
            <w:tcW w:w="2299" w:type="dxa"/>
          </w:tcPr>
          <w:p w14:paraId="1726B928"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Су-2</w:t>
            </w:r>
          </w:p>
        </w:tc>
      </w:tr>
      <w:tr w:rsidR="00983732" w:rsidRPr="00A3026E" w14:paraId="0901695B" w14:textId="77777777" w:rsidTr="00EA0DA7">
        <w:tc>
          <w:tcPr>
            <w:tcW w:w="2299" w:type="dxa"/>
            <w:tcBorders>
              <w:bottom w:val="single" w:sz="12" w:space="0" w:color="auto"/>
            </w:tcBorders>
          </w:tcPr>
          <w:p w14:paraId="011236FB"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БШ-2 АМ-35</w:t>
            </w:r>
          </w:p>
        </w:tc>
        <w:tc>
          <w:tcPr>
            <w:tcW w:w="2299" w:type="dxa"/>
            <w:tcBorders>
              <w:bottom w:val="single" w:sz="12" w:space="0" w:color="auto"/>
            </w:tcBorders>
          </w:tcPr>
          <w:p w14:paraId="32D3F8ED"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 (866,119)</w:t>
            </w:r>
          </w:p>
        </w:tc>
      </w:tr>
    </w:tbl>
    <w:p w14:paraId="16336B17"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Немедленно ввести новую нумерацию по всем боевым самолетам, находящимся в проектировании, постройке и на испытаниях;</w:t>
      </w:r>
    </w:p>
    <w:p w14:paraId="4DA014D4"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Зам. наркома А.С.Я. представить мне на утверждение новые цифры по учебным, транспортным, санитарным, самолетам связи и экспериментальным самолетам обозначив каждый самолет двумя первыми буквами фамилии конструктора и давая ему индивидуальное название по выбору конструктора (866,119).</w:t>
      </w:r>
    </w:p>
    <w:p w14:paraId="114BE571"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НКАП от 9 декабря 1940 в соответствии с постановлением правительства о переименовании боевых самолетов было предусмотрено:</w:t>
      </w:r>
    </w:p>
    <w:p w14:paraId="27ADE8B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"Переименовать все новые боевые самолеты, назвав их первыми буквами фамилий главных конструкторов и цифрой. При этом истребителям присваиваются нечетные цифры, и нумерация самолетов каждого конструктора начинается с единицы. Бомбардировщикам, штурмовикам, разведчикам и военным десантно-транспортным самолетам присваиваются четные цифры, и нумерация самолетов каждого конструктора начинается с цифры 2" (65,7).</w:t>
      </w:r>
    </w:p>
    <w:p w14:paraId="55C62F1D"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F0A5BE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приказом по НКАП № 704 от опытный СБ-РК был переименован в Ар-2 (9655).</w:t>
      </w:r>
    </w:p>
    <w:p w14:paraId="3B757E9F"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25876657"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в соответствии с постанов</w:t>
      </w:r>
      <w:r w:rsidRPr="00A3026E">
        <w:rPr>
          <w:rFonts w:ascii="Times New Roman" w:hAnsi="Times New Roman"/>
          <w:color w:val="000000" w:themeColor="text1"/>
          <w:sz w:val="16"/>
          <w:szCs w:val="16"/>
        </w:rPr>
        <w:softHyphen/>
        <w:t>лением правительства о переименовании боевых самолетов, в приказе НКАП № 704 СБ-РК был переименован в Ар-2 (Перов В.И., Растренин О.В. Неизвестный Ар-2 // Авиация и космонавтика вчера, сегодня, завтра. 2003. №4. С. 26.). Это объясня</w:t>
      </w:r>
      <w:r w:rsidRPr="00A3026E">
        <w:rPr>
          <w:rFonts w:ascii="Times New Roman" w:hAnsi="Times New Roman"/>
          <w:color w:val="000000" w:themeColor="text1"/>
          <w:sz w:val="16"/>
          <w:szCs w:val="16"/>
        </w:rPr>
        <w:softHyphen/>
        <w:t>ется тем, что вся работа по самолетам СБ, начиная с проектирования, велась бригадой А.А Архангельского - до 1936 года под руководством АН. Туполева, а с весны 1938 года самостоятельно на заводах. Несмотря на то, что скорость полета Ар-2, благодаря более мощным двигателям М-105, крылу меньшей площади и улучшенной аэродинамике планера, возросла (так же как скороподъемность и потолок), имеющаяся информация об испытаниях купленного в Германии истребителя Мессер-шмитт ВП 09Е говорила о том, что этого было явно недостаточно. Ар-2 ус</w:t>
      </w:r>
      <w:r w:rsidRPr="00A3026E">
        <w:rPr>
          <w:rFonts w:ascii="Times New Roman" w:hAnsi="Times New Roman"/>
          <w:color w:val="000000" w:themeColor="text1"/>
          <w:sz w:val="16"/>
          <w:szCs w:val="16"/>
        </w:rPr>
        <w:softHyphen/>
        <w:t>тупал ему в скорости более чем на 60 км/ч. Кстати, немецкое влияние также коснулось Ар-2 и не только в концепции его появления: такое техническое решение, как автомат ввода и вывода самолета из пикирования, аналогич</w:t>
      </w:r>
      <w:r w:rsidRPr="00A3026E">
        <w:rPr>
          <w:rFonts w:ascii="Times New Roman" w:hAnsi="Times New Roman"/>
          <w:color w:val="000000" w:themeColor="text1"/>
          <w:sz w:val="16"/>
          <w:szCs w:val="16"/>
        </w:rPr>
        <w:softHyphen/>
        <w:t>ный установленному на _1и-88, было освоено в производстве на московском заводе № 213 и применялось на нем и на Пе-2 (Соболев ДА Указ. соч. С. 53).</w:t>
      </w:r>
    </w:p>
    <w:p w14:paraId="566DE382"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0BDCC2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«исполнительным» прика</w:t>
      </w:r>
      <w:r w:rsidRPr="00A3026E">
        <w:rPr>
          <w:rFonts w:ascii="Times New Roman" w:hAnsi="Times New Roman"/>
          <w:color w:val="000000" w:themeColor="text1"/>
          <w:sz w:val="16"/>
          <w:szCs w:val="16"/>
        </w:rPr>
        <w:softHyphen/>
        <w:t>зом наркомата авиапромышленности было предписано именовать первые 100 се</w:t>
      </w:r>
      <w:r w:rsidRPr="00A3026E">
        <w:rPr>
          <w:rFonts w:ascii="Times New Roman" w:hAnsi="Times New Roman"/>
          <w:color w:val="000000" w:themeColor="text1"/>
          <w:sz w:val="16"/>
          <w:szCs w:val="16"/>
        </w:rPr>
        <w:softHyphen/>
        <w:t>рийных И—200 аббревиатурой МиГ—1 (Микоян и Гуревич — первый), а улучшенный вариант истреби</w:t>
      </w:r>
      <w:r w:rsidRPr="00A3026E">
        <w:rPr>
          <w:rFonts w:ascii="Times New Roman" w:hAnsi="Times New Roman"/>
          <w:color w:val="000000" w:themeColor="text1"/>
          <w:sz w:val="16"/>
          <w:szCs w:val="16"/>
        </w:rPr>
        <w:softHyphen/>
        <w:t>теля с увеличенной дальностью и продолжительнос</w:t>
      </w:r>
      <w:r w:rsidRPr="00A3026E">
        <w:rPr>
          <w:rFonts w:ascii="Times New Roman" w:hAnsi="Times New Roman"/>
          <w:color w:val="000000" w:themeColor="text1"/>
          <w:sz w:val="16"/>
          <w:szCs w:val="16"/>
        </w:rPr>
        <w:softHyphen/>
        <w:t>тью полета (начиная со 101-й серийной машины) — МиГ—3. Истребители типа МиГ—1 получили завод</w:t>
      </w:r>
      <w:r w:rsidRPr="00A3026E">
        <w:rPr>
          <w:rFonts w:ascii="Times New Roman" w:hAnsi="Times New Roman"/>
          <w:color w:val="000000" w:themeColor="text1"/>
          <w:sz w:val="16"/>
          <w:szCs w:val="16"/>
        </w:rPr>
        <w:softHyphen/>
        <w:t>ские номера с 2001 по 2100. В качестве эталона МиГ—3 был выделен самолет № 2150 (последний во второй серии). Общая же нумерация МиГ—3 была продолжена с машины зав. № 2101 (9984).</w:t>
      </w:r>
    </w:p>
    <w:p w14:paraId="1C4D59B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p>
    <w:p w14:paraId="5E77BD1C"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Приказом НКАП №702 была установлена программа выпуска истребителей МиГ-3 на 1941 г. В соответствии с ней завод № 1 должен был обеспечить выпуск 3500 самолетов, кроме того. планировалось начать серийное производство МиГ-3 на заводе №433 в Киеве с выпуском в 1941 г. 100 машин (4802).</w:t>
      </w:r>
    </w:p>
    <w:p w14:paraId="329ED023"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1A396F3"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правительство утвердило План выпуска МиГов в 1941 г., предусматривал изго</w:t>
      </w:r>
      <w:r w:rsidRPr="00A3026E">
        <w:rPr>
          <w:rFonts w:ascii="Times New Roman" w:hAnsi="Times New Roman"/>
          <w:color w:val="000000" w:themeColor="text1"/>
          <w:sz w:val="16"/>
          <w:szCs w:val="16"/>
        </w:rPr>
        <w:softHyphen/>
        <w:t>товление 3600 самолетов: 3500 машин — на москов</w:t>
      </w:r>
      <w:r w:rsidRPr="00A3026E">
        <w:rPr>
          <w:rFonts w:ascii="Times New Roman" w:hAnsi="Times New Roman"/>
          <w:color w:val="000000" w:themeColor="text1"/>
          <w:sz w:val="16"/>
          <w:szCs w:val="16"/>
        </w:rPr>
        <w:softHyphen/>
        <w:t>ском заводе № 1 и 100 машин — на заводе № 43 в Киеве, который срочно подключили к выполнению программы (впрочем, киевский завод впоследствии так и не построил ни одного МиГа):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00"/>
        <w:gridCol w:w="2250"/>
        <w:gridCol w:w="2435"/>
        <w:gridCol w:w="2245"/>
        <w:gridCol w:w="2249"/>
      </w:tblGrid>
      <w:tr w:rsidR="00983732" w:rsidRPr="00A3026E" w14:paraId="1B7B79E5" w14:textId="77777777" w:rsidTr="00EA0DA7">
        <w:trPr>
          <w:trHeight w:val="269"/>
        </w:trPr>
        <w:tc>
          <w:tcPr>
            <w:tcW w:w="1800" w:type="dxa"/>
            <w:tcBorders>
              <w:top w:val="single" w:sz="12" w:space="0" w:color="auto"/>
            </w:tcBorders>
          </w:tcPr>
          <w:p w14:paraId="4BE29FA6"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w:t>
            </w:r>
          </w:p>
        </w:tc>
        <w:tc>
          <w:tcPr>
            <w:tcW w:w="2250" w:type="dxa"/>
            <w:tcBorders>
              <w:top w:val="single" w:sz="12" w:space="0" w:color="auto"/>
            </w:tcBorders>
          </w:tcPr>
          <w:p w14:paraId="5013860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квартал</w:t>
            </w:r>
          </w:p>
        </w:tc>
        <w:tc>
          <w:tcPr>
            <w:tcW w:w="2435" w:type="dxa"/>
            <w:tcBorders>
              <w:top w:val="single" w:sz="12" w:space="0" w:color="auto"/>
            </w:tcBorders>
          </w:tcPr>
          <w:p w14:paraId="180AD6B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квартал</w:t>
            </w:r>
          </w:p>
        </w:tc>
        <w:tc>
          <w:tcPr>
            <w:tcW w:w="2245" w:type="dxa"/>
            <w:tcBorders>
              <w:top w:val="single" w:sz="12" w:space="0" w:color="auto"/>
            </w:tcBorders>
          </w:tcPr>
          <w:p w14:paraId="72DC58E9"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квартал</w:t>
            </w:r>
          </w:p>
        </w:tc>
        <w:tc>
          <w:tcPr>
            <w:tcW w:w="2249" w:type="dxa"/>
            <w:tcBorders>
              <w:top w:val="single" w:sz="12" w:space="0" w:color="auto"/>
            </w:tcBorders>
          </w:tcPr>
          <w:p w14:paraId="0A4BDD7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квартал</w:t>
            </w:r>
          </w:p>
        </w:tc>
      </w:tr>
      <w:tr w:rsidR="00983732" w:rsidRPr="00A3026E" w14:paraId="1AE997FE" w14:textId="77777777" w:rsidTr="00EA0DA7">
        <w:trPr>
          <w:trHeight w:val="221"/>
        </w:trPr>
        <w:tc>
          <w:tcPr>
            <w:tcW w:w="1800" w:type="dxa"/>
          </w:tcPr>
          <w:p w14:paraId="6AFFF5FE"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2250" w:type="dxa"/>
          </w:tcPr>
          <w:p w14:paraId="788D0D20"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c>
          <w:tcPr>
            <w:tcW w:w="2435" w:type="dxa"/>
          </w:tcPr>
          <w:p w14:paraId="563D8E91"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825</w:t>
            </w:r>
          </w:p>
        </w:tc>
        <w:tc>
          <w:tcPr>
            <w:tcW w:w="2245" w:type="dxa"/>
          </w:tcPr>
          <w:p w14:paraId="129339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2249" w:type="dxa"/>
          </w:tcPr>
          <w:p w14:paraId="352300FC"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r>
      <w:tr w:rsidR="00983732" w:rsidRPr="00A3026E" w14:paraId="271CCBCB" w14:textId="77777777" w:rsidTr="00EA0DA7">
        <w:trPr>
          <w:trHeight w:val="336"/>
        </w:trPr>
        <w:tc>
          <w:tcPr>
            <w:tcW w:w="1800" w:type="dxa"/>
            <w:tcBorders>
              <w:bottom w:val="single" w:sz="12" w:space="0" w:color="auto"/>
            </w:tcBorders>
          </w:tcPr>
          <w:p w14:paraId="0E78B9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№43</w:t>
            </w:r>
          </w:p>
        </w:tc>
        <w:tc>
          <w:tcPr>
            <w:tcW w:w="2250" w:type="dxa"/>
            <w:tcBorders>
              <w:bottom w:val="single" w:sz="12" w:space="0" w:color="auto"/>
            </w:tcBorders>
          </w:tcPr>
          <w:p w14:paraId="48826E7A"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435" w:type="dxa"/>
            <w:tcBorders>
              <w:bottom w:val="single" w:sz="12" w:space="0" w:color="auto"/>
            </w:tcBorders>
          </w:tcPr>
          <w:p w14:paraId="4ED517EF"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2245" w:type="dxa"/>
            <w:tcBorders>
              <w:bottom w:val="single" w:sz="12" w:space="0" w:color="auto"/>
            </w:tcBorders>
          </w:tcPr>
          <w:p w14:paraId="60040EF4"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2249" w:type="dxa"/>
            <w:tcBorders>
              <w:bottom w:val="single" w:sz="12" w:space="0" w:color="auto"/>
            </w:tcBorders>
          </w:tcPr>
          <w:p w14:paraId="16BE8C65" w14:textId="77777777" w:rsidR="00C66762" w:rsidRPr="00A3026E" w:rsidRDefault="00C66762"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 (9984).</w:t>
            </w:r>
          </w:p>
        </w:tc>
      </w:tr>
    </w:tbl>
    <w:p w14:paraId="16C30111" w14:textId="77777777" w:rsidR="00C66762" w:rsidRPr="00A3026E" w:rsidRDefault="00C66762" w:rsidP="00A3026E">
      <w:pPr>
        <w:tabs>
          <w:tab w:val="left" w:pos="11199"/>
        </w:tabs>
        <w:spacing w:after="0" w:line="240" w:lineRule="auto"/>
        <w:jc w:val="both"/>
        <w:rPr>
          <w:rFonts w:ascii="Times New Roman" w:hAnsi="Times New Roman"/>
          <w:color w:val="000000" w:themeColor="text1"/>
          <w:sz w:val="16"/>
          <w:szCs w:val="16"/>
        </w:rPr>
      </w:pPr>
    </w:p>
    <w:p w14:paraId="520CA63E"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приказом НКАП было предписано именовать первые 100 серийных И-200 аббревиатурой МиГ-1 (Микоян и Гуревич - первый), а улучшенный вариант истребителя с увеличенной дальностью и продолжительностью полета (начиная со 101 серийной машины) - МиГ-3. Истребители типа МиГ-1 получили заводские номера с 2001 по 2100. В качестве эталона МиГ-3 был выделен самолет № 2150 (последний во второй серии). Общая же нумерация МиГ-3 была продолжена с машины зав. № 2101.</w:t>
      </w:r>
    </w:p>
    <w:p w14:paraId="4A5273C9"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отличную работу в 1940 г. завод № 1 им. Авиахима получил Сталинскую премию и был награжден орденом Ленина. По данным военпреда завода № 1 военинженера 2 ранга М.В. Францева, из 111 выпущенных в этом году И-200 к типу МиГ-1 относились 92 единицы, а к типу МиГ-3 - 19 истребителей. Он же привел любопытную подробность: самолеты первой серии (50 машин) строились по образцу, прошедшему заводские испытания, а второй серии (100 машин) - по образцу, прошедшему госиспытания. Таким образом, половина второй серии состояла из самолетов МиГ-1, а вторая - из МиГ-3. Следующие серии МиГов насчитывали 100 самолетов (по крайней мере, до двенадцатой серии включительно), поэтому по заводскому номеру истребителя нетрудно установить номер серии.</w:t>
      </w:r>
    </w:p>
    <w:p w14:paraId="5830C900" w14:textId="77777777" w:rsidR="00C66762" w:rsidRPr="00A3026E" w:rsidRDefault="00C6676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выпуска МиГов в 1941 г., утвержденный правительством 9 декабря 1941 г., предусматривал изготовление 3600 самолетов: 3500 машин - на московском заводе № 1 и 100 машин - на заводе № 43 в Киеве, который срочно подключили к выполнению программы (впрочем, киевский завод впоследствии так и не построил ни одного МиГа) (12045).</w:t>
      </w:r>
    </w:p>
    <w:p w14:paraId="629BDCD0" w14:textId="77777777" w:rsidR="00C66762" w:rsidRPr="00A3026E" w:rsidRDefault="00C66762" w:rsidP="00A3026E">
      <w:pPr>
        <w:spacing w:after="0" w:line="240" w:lineRule="auto"/>
        <w:jc w:val="both"/>
        <w:rPr>
          <w:rFonts w:ascii="Times New Roman" w:hAnsi="Times New Roman"/>
          <w:color w:val="000000" w:themeColor="text1"/>
          <w:sz w:val="16"/>
          <w:szCs w:val="16"/>
        </w:rPr>
      </w:pPr>
    </w:p>
    <w:p w14:paraId="1073134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Начальник ГУ ВВС генерал-лейтенант авиации Рычагов утвердил Заключение по эскизному проекту одномоторного ближнего бомбардировщика ББ-3 с мотором АМ-37 конструкции Сухого (6611).</w:t>
      </w:r>
    </w:p>
    <w:p w14:paraId="29B713A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Ответственный исполнитель</w:t>
      </w:r>
    </w:p>
    <w:p w14:paraId="6F7918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Синельников</w:t>
      </w:r>
    </w:p>
    <w:p w14:paraId="13A7064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09A8179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Ближний бомбардировщик с возможным использованием в вариантах штурмовика и разведчика.</w:t>
      </w:r>
    </w:p>
    <w:p w14:paraId="109D37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ББ-3 с мотором Ам-37 является модификацией самолета ББ-1 с мотором М-81. Изменения внесенные в конструкцию самолета ББ-1 касаются только винтомоторной группы и в небольшой части фюзеляжа.</w:t>
      </w:r>
    </w:p>
    <w:p w14:paraId="7A56911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ББ-3 Ам-37 – одномоторный двухместный моноплан с низкорасположенным крылом смешанной конструкции (деревянный фюзеляж и металлические крылья). Самолет имеет убирающееся шасси и хвостовое колесо.</w:t>
      </w:r>
    </w:p>
    <w:p w14:paraId="660A151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2BD83A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Бомбардировочное – нормальная бомбовая нагрузка 400 кг, перегрузочный вар. – 600 кг.</w:t>
      </w:r>
    </w:p>
    <w:p w14:paraId="215562D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Размещены бомбы под крылом и в грузовом отсеке, также как и на самолете ББ-1.</w:t>
      </w:r>
    </w:p>
    <w:p w14:paraId="63BE39D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Химическое вооружение – 2 ВАП-200 расположены под крылом.</w:t>
      </w:r>
    </w:p>
    <w:p w14:paraId="13BE7FA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вооружение – кроме четырех крыльевых пулеметов с запасом патронов 750 шт. на каждый и одного турельного пулемета ШКАС калибра 7,62 мм с запасом патрон 1000 шт., имеющихся на самолете ББ-1, устанавливается люковая установка с пулеметом ШКАС калибра 7,62 мм с запасом патронов 500 шт.</w:t>
      </w:r>
    </w:p>
    <w:p w14:paraId="0E33A4C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Бронирование – кроме бронированной спинки летчика, имеющейся на самолете ББ-1, предусматривается бронирование штурмана, защищающее его также при стрельбе из люковой установки.</w:t>
      </w:r>
    </w:p>
    <w:p w14:paraId="6E4607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Запроектированные летно-тактические данные</w:t>
      </w:r>
    </w:p>
    <w:p w14:paraId="0F95722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 4681 кг</w:t>
      </w:r>
    </w:p>
    <w:p w14:paraId="7348DCE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Полезная нагрузка – 1261 кг</w:t>
      </w:r>
    </w:p>
    <w:p w14:paraId="4D4FF74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на 1 м кв. несущей поверхности – 160 кг/ м кв.</w:t>
      </w:r>
    </w:p>
    <w:p w14:paraId="0FCEBC8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Max скорость у земли – 450 км/час</w:t>
      </w:r>
    </w:p>
    <w:p w14:paraId="09228CE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Max скорость на 6000 м (расчетная высота) – 550 км/час</w:t>
      </w:r>
    </w:p>
    <w:p w14:paraId="0D849DA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 9500 м</w:t>
      </w:r>
    </w:p>
    <w:p w14:paraId="33A04BA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6000 м – 10,5 мин.</w:t>
      </w:r>
    </w:p>
    <w:p w14:paraId="2782626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 – 22,5 сек.</w:t>
      </w:r>
    </w:p>
    <w:p w14:paraId="5005565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расчетной высоте на 0,9 Vmax</w:t>
      </w:r>
    </w:p>
    <w:p w14:paraId="77CD3FE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заправке горючим 525 к) - 1000 км</w:t>
      </w:r>
    </w:p>
    <w:p w14:paraId="1819A95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расчетной высоте на 0,9 Vmax</w:t>
      </w:r>
    </w:p>
    <w:p w14:paraId="2B82EE7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полной заправке горючим – 630 кг) - 1200 км</w:t>
      </w:r>
    </w:p>
    <w:p w14:paraId="5903F08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 (со щитками и тормозами) – 290 м</w:t>
      </w:r>
    </w:p>
    <w:p w14:paraId="072E361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 116 км/час</w:t>
      </w:r>
    </w:p>
    <w:p w14:paraId="12DDF72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685F9B76"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Эскизный проект самолета ББ-3 АМ-37 конструкции Сухого – одобрить с добавлением и рекомендовать постройку самолета по проекту, включив в план опытного самолетостроения на 1941 год.</w:t>
      </w:r>
    </w:p>
    <w:p w14:paraId="36DBE738"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отсутствием отработанного экземпляра мотора АМ-37, считать допустимым установку на первом экземпляре самолета мотора АМ-35 (6611).</w:t>
      </w:r>
    </w:p>
    <w:p w14:paraId="2D4211A8"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p>
    <w:p w14:paraId="5AAC2A5A" w14:textId="77777777" w:rsidR="005C3D28" w:rsidRPr="00A3026E" w:rsidRDefault="005C3D28"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9 декаб</w:t>
      </w:r>
      <w:r w:rsidRPr="00A3026E">
        <w:rPr>
          <w:rFonts w:ascii="Times New Roman" w:cs="Times New Roman"/>
          <w:color w:val="000000" w:themeColor="text1"/>
          <w:spacing w:val="0"/>
        </w:rPr>
        <w:softHyphen/>
        <w:t>ря 1940 г. П В Рычагов утвердил заключении по эскизному проекту ББ-3 АМ-37, в котором отмечалось:</w:t>
      </w:r>
    </w:p>
    <w:p w14:paraId="19E1B41C" w14:textId="77777777" w:rsidR="005C3D28" w:rsidRPr="00A3026E" w:rsidRDefault="005C3D28"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«1. Эскизный проект самолета ББ-3 АМ-37. - одобрить с добавлениями, указанными в настоящих выводах и рекомендовать постройку самолета по проекту, включив в план опытного само</w:t>
      </w:r>
      <w:r w:rsidRPr="00A3026E">
        <w:rPr>
          <w:rFonts w:ascii="Times New Roman" w:cs="Times New Roman"/>
          <w:color w:val="000000" w:themeColor="text1"/>
          <w:spacing w:val="0"/>
        </w:rPr>
        <w:softHyphen/>
        <w:t>летостроения на 1941 год</w:t>
      </w:r>
    </w:p>
    <w:p w14:paraId="02C761DA" w14:textId="77777777" w:rsidR="005C3D28" w:rsidRPr="00A3026E" w:rsidRDefault="005C3D28"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2. В связи с отсутствием отработанного экземпляра мотора АМ-37, считать допус</w:t>
      </w:r>
      <w:r w:rsidRPr="00A3026E">
        <w:rPr>
          <w:rFonts w:ascii="Times New Roman" w:cs="Times New Roman"/>
          <w:color w:val="000000" w:themeColor="text1"/>
          <w:spacing w:val="0"/>
        </w:rPr>
        <w:softHyphen/>
        <w:t>тимым установку на первом экземпляре самолета мотора АМ-35.» (19102).</w:t>
      </w:r>
    </w:p>
    <w:p w14:paraId="3601AD35" w14:textId="77777777" w:rsidR="005C3D28" w:rsidRPr="00A3026E" w:rsidRDefault="005C3D28" w:rsidP="00A3026E">
      <w:pPr>
        <w:pStyle w:val="26"/>
        <w:shd w:val="clear" w:color="auto" w:fill="auto"/>
        <w:spacing w:after="0" w:line="240" w:lineRule="auto"/>
        <w:ind w:firstLine="0"/>
        <w:rPr>
          <w:rFonts w:ascii="Times New Roman" w:cs="Times New Roman"/>
          <w:color w:val="000000" w:themeColor="text1"/>
          <w:spacing w:val="0"/>
        </w:rPr>
      </w:pPr>
    </w:p>
    <w:p w14:paraId="795E88E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Начальник ГУ ВВС генерал-лейтенант авиации Рычагов утвердил Заключение по эскизному проекту одноместного истребителя с М-90 и 2 ТК-1 конструкции Сухого П.О. (6612).</w:t>
      </w:r>
    </w:p>
    <w:p w14:paraId="3AB6A4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0BCB6DDB"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Ведение активного воздушного боя для поражения самолетов противника на основе преимуществ в скорости.</w:t>
      </w:r>
    </w:p>
    <w:p w14:paraId="164232A4"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частных случаях обстановки выполнение задач по взаимодействию с наземными войсками.</w:t>
      </w:r>
    </w:p>
    <w:p w14:paraId="049D8D6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М-90 2 ТК-1 конструкции Сухого П.О. моноплан смешанной конструкции с низкорасположенным крылом и убирающимися шасси.</w:t>
      </w:r>
    </w:p>
    <w:p w14:paraId="2B4586E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конструкции и технологии производства самолет с М-90 аналогичен построенному на заводе № 135 истребителю с мотором М-105.</w:t>
      </w:r>
    </w:p>
    <w:p w14:paraId="2554018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 основное вооружение состоит из четырех синхронных, установленных в центроплане и 2 крыльевых пулеметов калибра 7,62 мм. Пулеметные коробки емкостью по 500 шт. патронов расположены в крыле и являются легкосъемными. Предусмотрены подкрыльные бомбодержатели.</w:t>
      </w:r>
    </w:p>
    <w:p w14:paraId="22CBCD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данные самолета «И» с М-90 2 ТК-1</w:t>
      </w:r>
    </w:p>
    <w:p w14:paraId="7F983E9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у земли – 530-550 км/час</w:t>
      </w:r>
    </w:p>
    <w:p w14:paraId="0EA6B19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Н=6000 м – 630-650 км/час</w:t>
      </w:r>
    </w:p>
    <w:p w14:paraId="2BF82D0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Н=10000 м – 670-690 км/час</w:t>
      </w:r>
    </w:p>
    <w:p w14:paraId="6AE31A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Н=6000 м – 5-5,5 мин.</w:t>
      </w:r>
    </w:p>
    <w:p w14:paraId="257BFDC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Н=10000 м – 10-12 мин.</w:t>
      </w:r>
    </w:p>
    <w:p w14:paraId="20C4C44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 на 1500 м – 16,8 сек.</w:t>
      </w:r>
    </w:p>
    <w:p w14:paraId="37AB3FC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 12000 м</w:t>
      </w:r>
    </w:p>
    <w:p w14:paraId="3FBA503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Н=6000 м при V=550 км/час – 600 км</w:t>
      </w:r>
    </w:p>
    <w:p w14:paraId="69A349A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полной заливке фюзеляжа бака V=550 км/час – 800 км</w:t>
      </w:r>
    </w:p>
    <w:p w14:paraId="384D946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с подвесным баком – 1000 км</w:t>
      </w:r>
    </w:p>
    <w:p w14:paraId="13436CF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CB72980"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Эскизный проект истребителя с М-90 и 2 ТК-1 конструкции Сухого П.О. – утвердить не представляется возможным.</w:t>
      </w:r>
    </w:p>
    <w:p w14:paraId="39BFE612"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Предложить конструктору направить на ближайшее время работу своего КБ по доводке серийного самолета ББ-1 с М-88, на быстрейшее внедрение в серию модификации самолета ББ-1 с мотором М-81, М-90, на постройку опытного самолета ОБШ с М-71, по доводке опытного самолета ББ-2 с М-88 и истребителя И-330 с М-105 (6612).</w:t>
      </w:r>
    </w:p>
    <w:p w14:paraId="11EA20D3"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p>
    <w:p w14:paraId="5DFA01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9 декабря 1940 П.З.Рычагов утвердил заключение НИИ ВВС по эскизному проекту одноместного истребителя обороны пункта с 2хАМ-37 П.О.С., направленный в НКАП 9 котября 1940. Резолюция: “Считаю необходимым т Сухому заняться одномоторным ББ” (9537,15).</w:t>
      </w:r>
    </w:p>
    <w:p w14:paraId="5B2372A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9F178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Начальник ГУ ВВС генерал-лейтенант авиации Рычагов утвердил Заключение по эскизному проекту одноместного двухмоторного истребителя «И-2АМ-37» конструктора Сухого</w:t>
      </w:r>
    </w:p>
    <w:p w14:paraId="3FB938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3FBE16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И-2АМ-37 является одноместным двухмоторным истребителем – обороны пунктов.</w:t>
      </w:r>
    </w:p>
    <w:p w14:paraId="7A7ED8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схеме самолет является одноместным двухмоторным монопланом с низкорасположенным крылом. Хвостовое оперение двухкилевое.</w:t>
      </w:r>
    </w:p>
    <w:p w14:paraId="6F52C7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самолета целиком металлическая.</w:t>
      </w:r>
    </w:p>
    <w:p w14:paraId="55C1B6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вооружение состоит из шести пулеметов системы ШКАС и двух пушек 23 мм системы Таубина: запас патрон на пулемет 750 штук и на пушку 140 штук. Все вооружение установлено на общем поворотном мосту внизу за кабиной пилота в специальном отсеке.</w:t>
      </w:r>
    </w:p>
    <w:p w14:paraId="037C36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перегрузочном варианте предусмотрена бомбовая нагрузка до 400 кг, помещающаяся во внутреннем отсеке фюзеляжа.</w:t>
      </w:r>
    </w:p>
    <w:p w14:paraId="4F39A2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Пушки Таубина могут быть заменены на пушки Волкова-Ярцева или Салищева-Галкина.</w:t>
      </w:r>
    </w:p>
    <w:p w14:paraId="712811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943ACE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Представленный конструктором Сухим эскизный проект одноместного двухмоторного истребителя И-2АМ-37 реален.</w:t>
      </w:r>
    </w:p>
    <w:p w14:paraId="244DCA0E"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большой опыт Сухого в конструировании самолетов типа «двухмоторный бомбардировщик» и то, что по этому типу новых самолетов на 1941 год никому из конструкторов разработать и построить не предложено, считать целесообразным поручить Сухому разработку и постройку опытного двухмоторного среднего бомбардировщика (4639).</w:t>
      </w:r>
    </w:p>
    <w:p w14:paraId="574D3946"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p>
    <w:p w14:paraId="489B297E" w14:textId="77777777" w:rsidR="00190D0A" w:rsidRPr="00A3026E" w:rsidRDefault="00190D0A" w:rsidP="00A3026E">
      <w:pPr>
        <w:pStyle w:val="a3"/>
        <w:rPr>
          <w:color w:val="000000" w:themeColor="text1"/>
          <w:lang w:val="ru-RU"/>
        </w:rPr>
      </w:pPr>
      <w:r w:rsidRPr="00A3026E">
        <w:rPr>
          <w:color w:val="000000" w:themeColor="text1"/>
          <w:lang w:val="ru-RU"/>
        </w:rPr>
        <w:t>9 декабря 1940 года в заключении по эскизному проекту ББ-3 с мотором АМ-37, утверждённому П.В. Рычаговым, отмечалось:</w:t>
      </w:r>
    </w:p>
    <w:p w14:paraId="0393924E" w14:textId="77777777" w:rsidR="00190D0A" w:rsidRPr="00A3026E" w:rsidRDefault="00190D0A"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 1. Эскизный проект самолёта ББ-3 АМ-37... - одобрить с добавлениями, указанными в настоящих выводах и рекомендовать постройку самолёта по проекту,</w:t>
      </w:r>
      <w:r w:rsidRPr="00A3026E">
        <w:rPr>
          <w:rStyle w:val="236"/>
          <w:rFonts w:ascii="Times New Roman" w:eastAsia="Arial Unicode MS" w:hAnsi="Times New Roman" w:cs="Times New Roman"/>
          <w:i w:val="0"/>
          <w:iCs w:val="0"/>
          <w:color w:val="000000" w:themeColor="text1"/>
        </w:rPr>
        <w:t xml:space="preserve"> включив в план</w:t>
      </w:r>
      <w:r w:rsidRPr="00A3026E">
        <w:rPr>
          <w:rFonts w:ascii="Times New Roman" w:hAnsi="Times New Roman" w:cs="Times New Roman"/>
          <w:i w:val="0"/>
          <w:color w:val="000000" w:themeColor="text1"/>
          <w:sz w:val="16"/>
          <w:szCs w:val="16"/>
        </w:rPr>
        <w:t xml:space="preserve"> опытного самолётостроения на 1941 год.</w:t>
      </w:r>
    </w:p>
    <w:p w14:paraId="4F607168" w14:textId="77777777" w:rsidR="00190D0A" w:rsidRPr="00A3026E" w:rsidRDefault="00190D0A"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2. В связи с отсутствием отработанного экземпляра мотора АМ-37, считать допустимым установку на первом экземпляре самолёта мотора АМ-35. ...» (15975).</w:t>
      </w:r>
    </w:p>
    <w:p w14:paraId="41EB9007" w14:textId="77777777" w:rsidR="00190D0A" w:rsidRPr="00A3026E" w:rsidRDefault="00190D0A" w:rsidP="00A3026E">
      <w:pPr>
        <w:pStyle w:val="212"/>
        <w:shd w:val="clear" w:color="auto" w:fill="auto"/>
        <w:spacing w:line="240" w:lineRule="auto"/>
        <w:jc w:val="both"/>
        <w:rPr>
          <w:rFonts w:ascii="Times New Roman" w:hAnsi="Times New Roman" w:cs="Times New Roman"/>
          <w:i w:val="0"/>
          <w:color w:val="000000" w:themeColor="text1"/>
          <w:sz w:val="16"/>
          <w:szCs w:val="16"/>
        </w:rPr>
      </w:pPr>
    </w:p>
    <w:p w14:paraId="05012FF1" w14:textId="77777777" w:rsidR="00190D0A" w:rsidRPr="00A3026E" w:rsidRDefault="00190D0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Начальник ГУ ВВС КА генерал-лейтенант авиации П.В. Рычагов утвердил Заключение по эскизному проекту ИОП 2АМ-37 П.О.С., со следующей резолюцией:</w:t>
      </w:r>
    </w:p>
    <w:p w14:paraId="1998EA66" w14:textId="77777777" w:rsidR="00190D0A" w:rsidRPr="00A3026E" w:rsidRDefault="00190D0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«Считаю необходимым тов. Сухому заняться одномоторными ближними бомбардировщиками» (15578).</w:t>
      </w:r>
    </w:p>
    <w:p w14:paraId="1A65073A" w14:textId="77777777" w:rsidR="00190D0A" w:rsidRPr="00A3026E" w:rsidRDefault="00190D0A" w:rsidP="00A3026E">
      <w:pPr>
        <w:spacing w:after="0" w:line="240" w:lineRule="auto"/>
        <w:jc w:val="both"/>
        <w:rPr>
          <w:rFonts w:ascii="Times New Roman" w:hAnsi="Times New Roman"/>
          <w:color w:val="000000" w:themeColor="text1"/>
          <w:sz w:val="16"/>
          <w:szCs w:val="16"/>
        </w:rPr>
      </w:pPr>
    </w:p>
    <w:p w14:paraId="30D2EA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Зам. нач. ВВС Рычагов утвердил Заключение по эскизному проекту пикирующего бомбардировщика истребителя ПБИ-М-107 конструкции Беляева (2067).</w:t>
      </w:r>
    </w:p>
    <w:p w14:paraId="266AC8F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9ACCBC6"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shd w:val="clear" w:color="auto" w:fill="FFFFFF"/>
        </w:rPr>
        <w:t>9 декабря 1940 1-й головной самолет Пе-2 с номером 390101 был сдан заводом № 39 на заводские испытания, облетан 15 декабря 1940г. 22 декабря 1940г самолет был передан в НИИ ВВС на Государственные Испытания (19207).</w:t>
      </w:r>
    </w:p>
    <w:p w14:paraId="25126A89" w14:textId="77777777" w:rsidR="0095280D" w:rsidRPr="00A3026E" w:rsidRDefault="0095280D" w:rsidP="00A3026E">
      <w:pPr>
        <w:spacing w:after="0" w:line="240" w:lineRule="auto"/>
        <w:jc w:val="both"/>
        <w:rPr>
          <w:rFonts w:ascii="Times New Roman" w:hAnsi="Times New Roman"/>
          <w:color w:val="000000" w:themeColor="text1"/>
          <w:sz w:val="16"/>
          <w:szCs w:val="16"/>
        </w:rPr>
      </w:pPr>
    </w:p>
    <w:p w14:paraId="4E8DCA0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Начальник ГУ ВВС генерал-лейтенант авиации Рычагов утвердил Отчет по гос. испытаниям опытного одноместного истребителя И-26 М-105П № 3 с винтом ВИШ-61 конструкции инженера Яковлева постройки завода № 115 на пикирование, штопор, отстрел вооружения, устойчивость и пилотаж (6896).</w:t>
      </w:r>
    </w:p>
    <w:p w14:paraId="308D757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3DDF61A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2 ранга Максимов</w:t>
      </w:r>
    </w:p>
    <w:p w14:paraId="3DB1B88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подполковник Стефановский</w:t>
      </w:r>
    </w:p>
    <w:p w14:paraId="660004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Третий экземпляр самолета И-26 является копией второго экземпляра, проходившего гос. испытания в НИИ ВВС с 1 по 15 июня 1940 года и не закончившего их вследствие недостаточной прочности конструкции.</w:t>
      </w:r>
    </w:p>
    <w:p w14:paraId="29AF1D5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И-26 № 3 отличается от И-26 № 2 некоторыми изменениями, выполненными заводом № 115 в порядке реализации отчета по его гос. испытаниям.</w:t>
      </w:r>
    </w:p>
    <w:p w14:paraId="3E050DC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62EFA66C"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самолета на пикирование.</w:t>
      </w:r>
    </w:p>
    <w:p w14:paraId="1ED0707A"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Выявление штопорных свойств самолета.</w:t>
      </w:r>
    </w:p>
    <w:p w14:paraId="3D77B9BC"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Выявление пилотажных качеств самолета.</w:t>
      </w:r>
    </w:p>
    <w:p w14:paraId="351D2ABA"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вооружения самолета.</w:t>
      </w:r>
    </w:p>
    <w:p w14:paraId="3AFCFBB6"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Снятие характеристик устойчивости самолета.</w:t>
      </w:r>
    </w:p>
    <w:p w14:paraId="16513C4D"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Проверка выполнения указаний по спецоборудованию, данных в отчете по гос. испытаниям самолета И-26, экземпляр № 2.</w:t>
      </w:r>
    </w:p>
    <w:p w14:paraId="45831EE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дополнительные гос. испытания 13 октября 1940 года.</w:t>
      </w:r>
    </w:p>
    <w:p w14:paraId="52446D7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закончил гос. испытания 12 ноября 1940 года. Итого самолет испытан за 31 день. Летные испытания – 8 дней.</w:t>
      </w:r>
    </w:p>
    <w:p w14:paraId="26282BE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6E28DCD6"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И-26 М-105 с винтом ВИШ-61 экземпляр № 3 считать прошедшим гос. испытания удовлетворительно.</w:t>
      </w:r>
    </w:p>
    <w:p w14:paraId="30ACE61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6804"/>
        <w:gridCol w:w="1701"/>
      </w:tblGrid>
      <w:tr w:rsidR="00983732" w:rsidRPr="00A3026E" w14:paraId="267CC835" w14:textId="77777777" w:rsidTr="00EA0DA7">
        <w:tc>
          <w:tcPr>
            <w:tcW w:w="2093" w:type="dxa"/>
          </w:tcPr>
          <w:p w14:paraId="7404E7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Дата</w:t>
            </w:r>
          </w:p>
        </w:tc>
        <w:tc>
          <w:tcPr>
            <w:tcW w:w="6804" w:type="dxa"/>
          </w:tcPr>
          <w:p w14:paraId="7B3CF0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Содержание работ</w:t>
            </w:r>
          </w:p>
        </w:tc>
        <w:tc>
          <w:tcPr>
            <w:tcW w:w="1701" w:type="dxa"/>
          </w:tcPr>
          <w:p w14:paraId="6BE40AB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9D40A68" w14:textId="77777777" w:rsidTr="00EA0DA7">
        <w:tc>
          <w:tcPr>
            <w:tcW w:w="2093" w:type="dxa"/>
          </w:tcPr>
          <w:p w14:paraId="1C19611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октября 1940 года</w:t>
            </w:r>
          </w:p>
        </w:tc>
        <w:tc>
          <w:tcPr>
            <w:tcW w:w="6804" w:type="dxa"/>
          </w:tcPr>
          <w:p w14:paraId="14AF506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принят на гос. испытания. Произведено 2 полета на пилотаж с засечкой времени выполнения фигур.</w:t>
            </w:r>
          </w:p>
        </w:tc>
        <w:tc>
          <w:tcPr>
            <w:tcW w:w="1701" w:type="dxa"/>
          </w:tcPr>
          <w:p w14:paraId="24AD5C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40 мин.</w:t>
            </w:r>
          </w:p>
        </w:tc>
      </w:tr>
      <w:tr w:rsidR="00983732" w:rsidRPr="00A3026E" w14:paraId="07D8E8D5" w14:textId="77777777" w:rsidTr="00EA0DA7">
        <w:tc>
          <w:tcPr>
            <w:tcW w:w="2093" w:type="dxa"/>
          </w:tcPr>
          <w:p w14:paraId="46A004B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октября 1940 года</w:t>
            </w:r>
          </w:p>
        </w:tc>
        <w:tc>
          <w:tcPr>
            <w:tcW w:w="6804" w:type="dxa"/>
          </w:tcPr>
          <w:p w14:paraId="03E268A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полет на штопор и пикирование до 500 км/час.</w:t>
            </w:r>
          </w:p>
        </w:tc>
        <w:tc>
          <w:tcPr>
            <w:tcW w:w="1701" w:type="dxa"/>
          </w:tcPr>
          <w:p w14:paraId="1FD6A08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 мин.</w:t>
            </w:r>
          </w:p>
        </w:tc>
      </w:tr>
      <w:tr w:rsidR="00983732" w:rsidRPr="00A3026E" w14:paraId="627981AD" w14:textId="77777777" w:rsidTr="00EA0DA7">
        <w:tc>
          <w:tcPr>
            <w:tcW w:w="2093" w:type="dxa"/>
          </w:tcPr>
          <w:p w14:paraId="2768F70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октября 1940 года</w:t>
            </w:r>
          </w:p>
        </w:tc>
        <w:tc>
          <w:tcPr>
            <w:tcW w:w="6804" w:type="dxa"/>
          </w:tcPr>
          <w:p w14:paraId="00DA15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полет на отстрел вооружения.</w:t>
            </w:r>
          </w:p>
        </w:tc>
        <w:tc>
          <w:tcPr>
            <w:tcW w:w="1701" w:type="dxa"/>
          </w:tcPr>
          <w:p w14:paraId="496FD63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мин.</w:t>
            </w:r>
          </w:p>
        </w:tc>
      </w:tr>
      <w:tr w:rsidR="00983732" w:rsidRPr="00A3026E" w14:paraId="431E88EF" w14:textId="77777777" w:rsidTr="00EA0DA7">
        <w:tc>
          <w:tcPr>
            <w:tcW w:w="2093" w:type="dxa"/>
          </w:tcPr>
          <w:p w14:paraId="6A70A7A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октября 1940 года</w:t>
            </w:r>
          </w:p>
        </w:tc>
        <w:tc>
          <w:tcPr>
            <w:tcW w:w="6804" w:type="dxa"/>
          </w:tcPr>
          <w:p w14:paraId="7EDCC1C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Три полета на стрельбу по щитам.</w:t>
            </w:r>
          </w:p>
        </w:tc>
        <w:tc>
          <w:tcPr>
            <w:tcW w:w="1701" w:type="dxa"/>
          </w:tcPr>
          <w:p w14:paraId="7601EE4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мин.</w:t>
            </w:r>
          </w:p>
        </w:tc>
      </w:tr>
      <w:tr w:rsidR="00983732" w:rsidRPr="00A3026E" w14:paraId="7A7DB6C8" w14:textId="77777777" w:rsidTr="00EA0DA7">
        <w:tc>
          <w:tcPr>
            <w:tcW w:w="2093" w:type="dxa"/>
          </w:tcPr>
          <w:p w14:paraId="057817C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октября 1940 года</w:t>
            </w:r>
          </w:p>
        </w:tc>
        <w:tc>
          <w:tcPr>
            <w:tcW w:w="6804" w:type="dxa"/>
          </w:tcPr>
          <w:p w14:paraId="6B344CA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полета на стрельбу.</w:t>
            </w:r>
          </w:p>
        </w:tc>
        <w:tc>
          <w:tcPr>
            <w:tcW w:w="1701" w:type="dxa"/>
          </w:tcPr>
          <w:p w14:paraId="506CD6E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мин.</w:t>
            </w:r>
          </w:p>
        </w:tc>
      </w:tr>
      <w:tr w:rsidR="00983732" w:rsidRPr="00A3026E" w14:paraId="6056F17D" w14:textId="77777777" w:rsidTr="00EA0DA7">
        <w:tc>
          <w:tcPr>
            <w:tcW w:w="2093" w:type="dxa"/>
          </w:tcPr>
          <w:p w14:paraId="43DA067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октября 1940 года</w:t>
            </w:r>
          </w:p>
        </w:tc>
        <w:tc>
          <w:tcPr>
            <w:tcW w:w="6804" w:type="dxa"/>
          </w:tcPr>
          <w:p w14:paraId="1E3643E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Подполковником Стефановским произведено 4 полета: один на отстрел пушки и пулеметов на автоматику; три для стрельбы из пулеметов по наземным мишеням.</w:t>
            </w:r>
          </w:p>
        </w:tc>
        <w:tc>
          <w:tcPr>
            <w:tcW w:w="1701" w:type="dxa"/>
          </w:tcPr>
          <w:p w14:paraId="22D8558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30 мин.</w:t>
            </w:r>
          </w:p>
        </w:tc>
      </w:tr>
      <w:tr w:rsidR="00983732" w:rsidRPr="00A3026E" w14:paraId="2B791A4C" w14:textId="77777777" w:rsidTr="00EA0DA7">
        <w:tc>
          <w:tcPr>
            <w:tcW w:w="2093" w:type="dxa"/>
          </w:tcPr>
          <w:p w14:paraId="027B3E8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октября 1940 года</w:t>
            </w:r>
          </w:p>
        </w:tc>
        <w:tc>
          <w:tcPr>
            <w:tcW w:w="6804" w:type="dxa"/>
          </w:tcPr>
          <w:p w14:paraId="4D19722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Три полета. Один на пикирование до скорости по прибору в 635 км/час. Два для снятия характеристик продольной и боковой устойчивости.</w:t>
            </w:r>
          </w:p>
        </w:tc>
        <w:tc>
          <w:tcPr>
            <w:tcW w:w="1701" w:type="dxa"/>
          </w:tcPr>
          <w:p w14:paraId="643DA1E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55 мин.</w:t>
            </w:r>
          </w:p>
        </w:tc>
      </w:tr>
      <w:tr w:rsidR="00983732" w:rsidRPr="00A3026E" w14:paraId="6A93AB05" w14:textId="77777777" w:rsidTr="00EA0DA7">
        <w:tc>
          <w:tcPr>
            <w:tcW w:w="2093" w:type="dxa"/>
          </w:tcPr>
          <w:p w14:paraId="5FF2A75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октября 1940 года</w:t>
            </w:r>
          </w:p>
        </w:tc>
        <w:tc>
          <w:tcPr>
            <w:tcW w:w="6804" w:type="dxa"/>
          </w:tcPr>
          <w:p w14:paraId="7B0B2E6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полета для определения продольной устойчивости самолета с задней и передней центровками.</w:t>
            </w:r>
          </w:p>
        </w:tc>
        <w:tc>
          <w:tcPr>
            <w:tcW w:w="1701" w:type="dxa"/>
          </w:tcPr>
          <w:p w14:paraId="770088F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 50 мин.</w:t>
            </w:r>
          </w:p>
        </w:tc>
      </w:tr>
      <w:tr w:rsidR="00983732" w:rsidRPr="00A3026E" w14:paraId="20CD42B8" w14:textId="77777777" w:rsidTr="00EA0DA7">
        <w:tc>
          <w:tcPr>
            <w:tcW w:w="2093" w:type="dxa"/>
          </w:tcPr>
          <w:p w14:paraId="3E14D4A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октября 1940 года</w:t>
            </w:r>
          </w:p>
        </w:tc>
        <w:tc>
          <w:tcPr>
            <w:tcW w:w="6804" w:type="dxa"/>
          </w:tcPr>
          <w:p w14:paraId="402FE6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полет летчика Груздева на пилотаж, пикирование и штопор.</w:t>
            </w:r>
          </w:p>
        </w:tc>
        <w:tc>
          <w:tcPr>
            <w:tcW w:w="1701" w:type="dxa"/>
          </w:tcPr>
          <w:p w14:paraId="08A443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 мин.</w:t>
            </w:r>
          </w:p>
        </w:tc>
      </w:tr>
      <w:tr w:rsidR="00983732" w:rsidRPr="00A3026E" w14:paraId="3B85CC81" w14:textId="77777777" w:rsidTr="00EA0DA7">
        <w:tc>
          <w:tcPr>
            <w:tcW w:w="2093" w:type="dxa"/>
          </w:tcPr>
          <w:p w14:paraId="7D854BD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ноября 1940 года</w:t>
            </w:r>
          </w:p>
        </w:tc>
        <w:tc>
          <w:tcPr>
            <w:tcW w:w="6804" w:type="dxa"/>
          </w:tcPr>
          <w:p w14:paraId="7DBC078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Летчиками НИИ капитанами Прошаковым и Николаевым и ст. лейтенантом Кубышкиным произведено 3 полета на штопор, пикирование и пилотаж.</w:t>
            </w:r>
          </w:p>
        </w:tc>
        <w:tc>
          <w:tcPr>
            <w:tcW w:w="1701" w:type="dxa"/>
          </w:tcPr>
          <w:p w14:paraId="317A4A6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час. 20 мин.</w:t>
            </w:r>
          </w:p>
        </w:tc>
      </w:tr>
    </w:tbl>
    <w:p w14:paraId="17033E5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(6896).</w:t>
      </w:r>
    </w:p>
    <w:p w14:paraId="727B626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027AD8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утвердили отчет по испытаниям И-26-3. Оценили удовлетворительно, но было много недоработок (198,12).</w:t>
      </w:r>
    </w:p>
    <w:p w14:paraId="3DC69F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было радиооборудования, ночных посадочных средств, генератора, бензиномера, вариометра и др. (1204,59).</w:t>
      </w:r>
    </w:p>
    <w:p w14:paraId="07E7E7C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6B3451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утвердили Отчет по результатам государственных испытаний И-26-3. В нем отмечалось, что "самолет И-26-III с мотором М-105П и винтом ВИШ-61 конструкции тов. Яковлева прошел государственные испытания удовлетворительно, но недоведенность конструкции самолета (шасси, воздушная система), ВМГ (перегрев масла, плохая работа карбюраторов на оборотах мотора 1600-1900 об/мин), а также несоответствие специального оборудования ТТТ ВВС КА (отсутствуют радиооборудование, ночные посадочные средства, генератор, бензиномер) снижают летные, эксплуатационные и боевые качества машины".</w:t>
      </w:r>
    </w:p>
    <w:p w14:paraId="066E32A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И-26 не обладал такой большой максимальной скоростью, как И-200, таким мошным вооружением, как И-301 (табл. I, с. 24), но выгодно отличался от них тем, что раньше вышел на стадию испытаний. Соответственно, весь цикл доводки и внедрения в серию у него проходил с опережением. Кроме того, если сравнить все опытные истребители этого периода, то можно сделать вывод, что истребители И-21 конструктора М.М. Пашинина и И-330 П.О. Сухого с аналогичным мотором и вооружением вышли на испытания значительно позже (И-21 - в декабре 1940 г., а И-ЗЗО - летом 1941 г.). Причем, И-21 имел несколько худшие летные данные и проблемы с устойчивостью, а на И-330, обладавшем лучшими данными, чем И-26, был установлен турбокомпрессор, на доводку которого требовалось время. Все другие </w:t>
      </w:r>
      <w:r w:rsidRPr="00A3026E">
        <w:rPr>
          <w:rFonts w:ascii="Times New Roman" w:hAnsi="Times New Roman"/>
          <w:color w:val="000000" w:themeColor="text1"/>
          <w:sz w:val="16"/>
          <w:szCs w:val="16"/>
        </w:rPr>
        <w:lastRenderedPageBreak/>
        <w:t>конкурсные истребители (как и предусматривалось ТТТ) не имели пушки. Машины И-28 конструктора В.П. Яценко, И-180 Н.Н. Поликарпова. ИС-1 В.В. Никитина, И-207 № 3 А.А. Боровкова и И.Ф. Флорова уступали И-26 в скорости. САМ-13 С.А. Москалева, СК-2 М.Р. Бисновата, И-185 Н.Н. Поликарпова, превосходившие истребитель Яковлева в скорости, появились на испытаниях гораздо позже. При этом опытные САМ-13 и СК-2 испытывались без вооружения. Правда, по указанию А.С. Яковлева, как заместителя наркома по опытному самолетостроению, на самолет СК-2 установили два синхронных пулемета БС с боекомплектом по 200 патронов на пулемет и прицел ПАН-23. Импровизированную стрелковую установку разместили по бортам самолета и закрыли специальными обтекателями, но перед летными испытаниями ее демонтировали (позже, по материалам испытаний, было признано нецелесообразным передавать машину СК-2 на государственные испытания из-за невозможности ее и O.K. Антонов. использования в качестве истребителя).</w:t>
      </w:r>
    </w:p>
    <w:p w14:paraId="4C99624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Архив Г. Петрова Процесс доводки многих опытных истребителей затянулся до начала войны, а потери, понесенные авиацией в первые дни войны, и эвакуация заводов сократили сроки внедрения опытных машин в серию с шести до трех месяцев и сделали невозможным их серийный выпуск.</w:t>
      </w:r>
    </w:p>
    <w:p w14:paraId="335CB1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Проектирование и изготовление опытных И-26 обошлось в 5.948 тысяч рублей. Перерасход был небольшим. На два прототипа было выделено пять миллионов рублей (в том числе два - в качестве премиального фонда). Дополнительные средства были изысканы за счет снятия из задания ОКБ третьей опытной машины Р-12 (обозначение ВВС разведывательного самолета № 22). </w:t>
      </w:r>
    </w:p>
    <w:p w14:paraId="06082A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 1. Сравнительные характеристики опытных истребителей плана постройки 1939-1940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983732" w:rsidRPr="00A3026E" w14:paraId="068FEAC2" w14:textId="77777777" w:rsidTr="00EA0DA7">
        <w:tc>
          <w:tcPr>
            <w:tcW w:w="1245" w:type="dxa"/>
            <w:tcBorders>
              <w:top w:val="single" w:sz="12" w:space="0" w:color="auto"/>
            </w:tcBorders>
          </w:tcPr>
          <w:p w14:paraId="024FA8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Истребители</w:t>
            </w:r>
          </w:p>
        </w:tc>
        <w:tc>
          <w:tcPr>
            <w:tcW w:w="1245" w:type="dxa"/>
            <w:tcBorders>
              <w:top w:val="single" w:sz="12" w:space="0" w:color="auto"/>
            </w:tcBorders>
          </w:tcPr>
          <w:p w14:paraId="451081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И-21</w:t>
            </w:r>
          </w:p>
        </w:tc>
        <w:tc>
          <w:tcPr>
            <w:tcW w:w="1245" w:type="dxa"/>
            <w:tcBorders>
              <w:top w:val="single" w:sz="12" w:space="0" w:color="auto"/>
            </w:tcBorders>
          </w:tcPr>
          <w:p w14:paraId="25426A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w:t>
            </w:r>
          </w:p>
        </w:tc>
        <w:tc>
          <w:tcPr>
            <w:tcW w:w="1245" w:type="dxa"/>
            <w:tcBorders>
              <w:top w:val="single" w:sz="12" w:space="0" w:color="auto"/>
            </w:tcBorders>
          </w:tcPr>
          <w:p w14:paraId="7FF8AB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И-28</w:t>
            </w:r>
          </w:p>
        </w:tc>
        <w:tc>
          <w:tcPr>
            <w:tcW w:w="1245" w:type="dxa"/>
            <w:tcBorders>
              <w:top w:val="single" w:sz="12" w:space="0" w:color="auto"/>
            </w:tcBorders>
          </w:tcPr>
          <w:p w14:paraId="01CC2C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И-180-3</w:t>
            </w:r>
          </w:p>
        </w:tc>
        <w:tc>
          <w:tcPr>
            <w:tcW w:w="1245" w:type="dxa"/>
            <w:tcBorders>
              <w:top w:val="single" w:sz="12" w:space="0" w:color="auto"/>
            </w:tcBorders>
          </w:tcPr>
          <w:p w14:paraId="10C0D4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w:t>
            </w:r>
          </w:p>
        </w:tc>
        <w:tc>
          <w:tcPr>
            <w:tcW w:w="1245" w:type="dxa"/>
            <w:tcBorders>
              <w:top w:val="single" w:sz="12" w:space="0" w:color="auto"/>
            </w:tcBorders>
          </w:tcPr>
          <w:p w14:paraId="50AA6C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И-270 №3</w:t>
            </w:r>
          </w:p>
        </w:tc>
        <w:tc>
          <w:tcPr>
            <w:tcW w:w="1245" w:type="dxa"/>
            <w:tcBorders>
              <w:top w:val="single" w:sz="12" w:space="0" w:color="auto"/>
            </w:tcBorders>
          </w:tcPr>
          <w:p w14:paraId="351EA6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w:t>
            </w:r>
          </w:p>
        </w:tc>
        <w:tc>
          <w:tcPr>
            <w:tcW w:w="1245" w:type="dxa"/>
            <w:tcBorders>
              <w:top w:val="single" w:sz="12" w:space="0" w:color="auto"/>
            </w:tcBorders>
          </w:tcPr>
          <w:p w14:paraId="73E3D5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И-330</w:t>
            </w:r>
          </w:p>
        </w:tc>
      </w:tr>
      <w:tr w:rsidR="00983732" w:rsidRPr="00A3026E" w14:paraId="16B5AFDE" w14:textId="77777777" w:rsidTr="00EA0DA7">
        <w:tc>
          <w:tcPr>
            <w:tcW w:w="1245" w:type="dxa"/>
          </w:tcPr>
          <w:p w14:paraId="5A2DD0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мотора</w:t>
            </w:r>
          </w:p>
        </w:tc>
        <w:tc>
          <w:tcPr>
            <w:tcW w:w="1245" w:type="dxa"/>
          </w:tcPr>
          <w:p w14:paraId="2AB59D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245" w:type="dxa"/>
          </w:tcPr>
          <w:p w14:paraId="147352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245" w:type="dxa"/>
          </w:tcPr>
          <w:p w14:paraId="272A5B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c>
          <w:tcPr>
            <w:tcW w:w="1245" w:type="dxa"/>
          </w:tcPr>
          <w:p w14:paraId="1F0CAD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c>
          <w:tcPr>
            <w:tcW w:w="1245" w:type="dxa"/>
          </w:tcPr>
          <w:p w14:paraId="445C9E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w:t>
            </w:r>
          </w:p>
        </w:tc>
        <w:tc>
          <w:tcPr>
            <w:tcW w:w="1245" w:type="dxa"/>
          </w:tcPr>
          <w:p w14:paraId="303FE1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c>
          <w:tcPr>
            <w:tcW w:w="1245" w:type="dxa"/>
          </w:tcPr>
          <w:p w14:paraId="1DBEEF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245" w:type="dxa"/>
          </w:tcPr>
          <w:p w14:paraId="40EB1C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 с ТК</w:t>
            </w:r>
          </w:p>
        </w:tc>
      </w:tr>
      <w:tr w:rsidR="00983732" w:rsidRPr="00A3026E" w14:paraId="4983D065" w14:textId="77777777" w:rsidTr="00EA0DA7">
        <w:tc>
          <w:tcPr>
            <w:tcW w:w="1245" w:type="dxa"/>
          </w:tcPr>
          <w:p w14:paraId="5328A2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л.с.</w:t>
            </w:r>
          </w:p>
        </w:tc>
        <w:tc>
          <w:tcPr>
            <w:tcW w:w="1245" w:type="dxa"/>
          </w:tcPr>
          <w:p w14:paraId="58F4B3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1245" w:type="dxa"/>
          </w:tcPr>
          <w:p w14:paraId="3E9E4A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1245" w:type="dxa"/>
          </w:tcPr>
          <w:p w14:paraId="59A352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245" w:type="dxa"/>
          </w:tcPr>
          <w:p w14:paraId="69AFED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245" w:type="dxa"/>
          </w:tcPr>
          <w:p w14:paraId="1D3E52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1245" w:type="dxa"/>
          </w:tcPr>
          <w:p w14:paraId="7AE64E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w:t>
            </w:r>
          </w:p>
        </w:tc>
        <w:tc>
          <w:tcPr>
            <w:tcW w:w="1245" w:type="dxa"/>
          </w:tcPr>
          <w:p w14:paraId="706C90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1245" w:type="dxa"/>
          </w:tcPr>
          <w:p w14:paraId="0FFF203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r>
      <w:tr w:rsidR="00983732" w:rsidRPr="00A3026E" w14:paraId="07A00FFD" w14:textId="77777777" w:rsidTr="00EA0DA7">
        <w:tc>
          <w:tcPr>
            <w:tcW w:w="1245" w:type="dxa"/>
          </w:tcPr>
          <w:p w14:paraId="60DE9A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Взлетный вес, кг</w:t>
            </w:r>
          </w:p>
        </w:tc>
        <w:tc>
          <w:tcPr>
            <w:tcW w:w="1245" w:type="dxa"/>
          </w:tcPr>
          <w:p w14:paraId="56DB96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2754</w:t>
            </w:r>
          </w:p>
        </w:tc>
        <w:tc>
          <w:tcPr>
            <w:tcW w:w="1245" w:type="dxa"/>
          </w:tcPr>
          <w:p w14:paraId="4138A5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2700</w:t>
            </w:r>
          </w:p>
        </w:tc>
        <w:tc>
          <w:tcPr>
            <w:tcW w:w="1245" w:type="dxa"/>
          </w:tcPr>
          <w:p w14:paraId="3526D0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2730</w:t>
            </w:r>
          </w:p>
        </w:tc>
        <w:tc>
          <w:tcPr>
            <w:tcW w:w="1245" w:type="dxa"/>
          </w:tcPr>
          <w:p w14:paraId="2D0D13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2424</w:t>
            </w:r>
          </w:p>
        </w:tc>
        <w:tc>
          <w:tcPr>
            <w:tcW w:w="1245" w:type="dxa"/>
          </w:tcPr>
          <w:p w14:paraId="69BACE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2988</w:t>
            </w:r>
          </w:p>
        </w:tc>
        <w:tc>
          <w:tcPr>
            <w:tcW w:w="1245" w:type="dxa"/>
          </w:tcPr>
          <w:p w14:paraId="3E8D9E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1879</w:t>
            </w:r>
          </w:p>
        </w:tc>
        <w:tc>
          <w:tcPr>
            <w:tcW w:w="1245" w:type="dxa"/>
          </w:tcPr>
          <w:p w14:paraId="5A02FD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2968</w:t>
            </w:r>
          </w:p>
        </w:tc>
        <w:tc>
          <w:tcPr>
            <w:tcW w:w="1245" w:type="dxa"/>
          </w:tcPr>
          <w:p w14:paraId="3FB7C22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2875</w:t>
            </w:r>
          </w:p>
        </w:tc>
      </w:tr>
      <w:tr w:rsidR="00983732" w:rsidRPr="00A3026E" w14:paraId="5147355C" w14:textId="77777777" w:rsidTr="00EA0DA7">
        <w:tc>
          <w:tcPr>
            <w:tcW w:w="1245" w:type="dxa"/>
          </w:tcPr>
          <w:p w14:paraId="22920A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у земли, км/ч</w:t>
            </w:r>
          </w:p>
        </w:tc>
        <w:tc>
          <w:tcPr>
            <w:tcW w:w="1245" w:type="dxa"/>
          </w:tcPr>
          <w:p w14:paraId="57B3E1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488</w:t>
            </w:r>
          </w:p>
        </w:tc>
        <w:tc>
          <w:tcPr>
            <w:tcW w:w="1245" w:type="dxa"/>
          </w:tcPr>
          <w:p w14:paraId="2AD87B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c>
          <w:tcPr>
            <w:tcW w:w="1245" w:type="dxa"/>
          </w:tcPr>
          <w:p w14:paraId="4E1266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439</w:t>
            </w:r>
          </w:p>
        </w:tc>
        <w:tc>
          <w:tcPr>
            <w:tcW w:w="1245" w:type="dxa"/>
          </w:tcPr>
          <w:p w14:paraId="32EC6B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456</w:t>
            </w:r>
          </w:p>
        </w:tc>
        <w:tc>
          <w:tcPr>
            <w:tcW w:w="1245" w:type="dxa"/>
          </w:tcPr>
          <w:p w14:paraId="32F23A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c>
          <w:tcPr>
            <w:tcW w:w="1245" w:type="dxa"/>
          </w:tcPr>
          <w:p w14:paraId="11C1C6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427</w:t>
            </w:r>
          </w:p>
        </w:tc>
        <w:tc>
          <w:tcPr>
            <w:tcW w:w="1245" w:type="dxa"/>
          </w:tcPr>
          <w:p w14:paraId="51E2694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503</w:t>
            </w:r>
          </w:p>
        </w:tc>
        <w:tc>
          <w:tcPr>
            <w:tcW w:w="1245" w:type="dxa"/>
          </w:tcPr>
          <w:p w14:paraId="75EE47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r>
      <w:tr w:rsidR="00983732" w:rsidRPr="00A3026E" w14:paraId="3718AC40" w14:textId="77777777" w:rsidTr="00EA0DA7">
        <w:tc>
          <w:tcPr>
            <w:tcW w:w="1245" w:type="dxa"/>
          </w:tcPr>
          <w:p w14:paraId="33D6E9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км/ч</w:t>
            </w:r>
          </w:p>
        </w:tc>
        <w:tc>
          <w:tcPr>
            <w:tcW w:w="1245" w:type="dxa"/>
          </w:tcPr>
          <w:p w14:paraId="56B7A7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573</w:t>
            </w:r>
          </w:p>
        </w:tc>
        <w:tc>
          <w:tcPr>
            <w:tcW w:w="1245" w:type="dxa"/>
          </w:tcPr>
          <w:p w14:paraId="5EAAB5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585.5</w:t>
            </w:r>
          </w:p>
        </w:tc>
        <w:tc>
          <w:tcPr>
            <w:tcW w:w="1245" w:type="dxa"/>
          </w:tcPr>
          <w:p w14:paraId="560115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w:t>
            </w:r>
          </w:p>
        </w:tc>
        <w:tc>
          <w:tcPr>
            <w:tcW w:w="1245" w:type="dxa"/>
          </w:tcPr>
          <w:p w14:paraId="02B1760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1245" w:type="dxa"/>
          </w:tcPr>
          <w:p w14:paraId="6D0935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636</w:t>
            </w:r>
          </w:p>
        </w:tc>
        <w:tc>
          <w:tcPr>
            <w:tcW w:w="1245" w:type="dxa"/>
          </w:tcPr>
          <w:p w14:paraId="1544CC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c>
          <w:tcPr>
            <w:tcW w:w="1245" w:type="dxa"/>
          </w:tcPr>
          <w:p w14:paraId="0B6CE5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w:t>
            </w:r>
          </w:p>
        </w:tc>
        <w:tc>
          <w:tcPr>
            <w:tcW w:w="1245" w:type="dxa"/>
          </w:tcPr>
          <w:p w14:paraId="6BBFC5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641</w:t>
            </w:r>
          </w:p>
        </w:tc>
      </w:tr>
      <w:tr w:rsidR="00983732" w:rsidRPr="00A3026E" w14:paraId="71272F85" w14:textId="77777777" w:rsidTr="00EA0DA7">
        <w:tc>
          <w:tcPr>
            <w:tcW w:w="1245" w:type="dxa"/>
          </w:tcPr>
          <w:p w14:paraId="4894F2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5000 м, мин</w:t>
            </w:r>
          </w:p>
        </w:tc>
        <w:tc>
          <w:tcPr>
            <w:tcW w:w="1245" w:type="dxa"/>
          </w:tcPr>
          <w:p w14:paraId="151614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245" w:type="dxa"/>
          </w:tcPr>
          <w:p w14:paraId="0B1CFB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245" w:type="dxa"/>
          </w:tcPr>
          <w:p w14:paraId="71F182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1245" w:type="dxa"/>
          </w:tcPr>
          <w:p w14:paraId="5925A5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c>
          <w:tcPr>
            <w:tcW w:w="1245" w:type="dxa"/>
          </w:tcPr>
          <w:p w14:paraId="145797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w:t>
            </w:r>
          </w:p>
        </w:tc>
        <w:tc>
          <w:tcPr>
            <w:tcW w:w="1245" w:type="dxa"/>
          </w:tcPr>
          <w:p w14:paraId="7F5049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w:t>
            </w:r>
          </w:p>
        </w:tc>
        <w:tc>
          <w:tcPr>
            <w:tcW w:w="1245" w:type="dxa"/>
          </w:tcPr>
          <w:p w14:paraId="4622B8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w:t>
            </w:r>
          </w:p>
        </w:tc>
        <w:tc>
          <w:tcPr>
            <w:tcW w:w="1245" w:type="dxa"/>
          </w:tcPr>
          <w:p w14:paraId="3CFDD6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w:t>
            </w:r>
          </w:p>
        </w:tc>
      </w:tr>
      <w:tr w:rsidR="00983732" w:rsidRPr="00A3026E" w14:paraId="45F7CEBF" w14:textId="77777777" w:rsidTr="00EA0DA7">
        <w:tc>
          <w:tcPr>
            <w:tcW w:w="1245" w:type="dxa"/>
          </w:tcPr>
          <w:p w14:paraId="0756FD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м</w:t>
            </w:r>
          </w:p>
        </w:tc>
        <w:tc>
          <w:tcPr>
            <w:tcW w:w="1245" w:type="dxa"/>
          </w:tcPr>
          <w:p w14:paraId="2F46E4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10 600</w:t>
            </w:r>
          </w:p>
        </w:tc>
        <w:tc>
          <w:tcPr>
            <w:tcW w:w="1245" w:type="dxa"/>
          </w:tcPr>
          <w:p w14:paraId="4DA779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10 200</w:t>
            </w:r>
          </w:p>
        </w:tc>
        <w:tc>
          <w:tcPr>
            <w:tcW w:w="1245" w:type="dxa"/>
          </w:tcPr>
          <w:p w14:paraId="2CDCAA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10 800</w:t>
            </w:r>
          </w:p>
        </w:tc>
        <w:tc>
          <w:tcPr>
            <w:tcW w:w="1245" w:type="dxa"/>
          </w:tcPr>
          <w:p w14:paraId="2877F1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10 250</w:t>
            </w:r>
          </w:p>
        </w:tc>
        <w:tc>
          <w:tcPr>
            <w:tcW w:w="1245" w:type="dxa"/>
          </w:tcPr>
          <w:p w14:paraId="1C7AC3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12 000</w:t>
            </w:r>
          </w:p>
        </w:tc>
        <w:tc>
          <w:tcPr>
            <w:tcW w:w="1245" w:type="dxa"/>
          </w:tcPr>
          <w:p w14:paraId="2CACF8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10 200</w:t>
            </w:r>
          </w:p>
        </w:tc>
        <w:tc>
          <w:tcPr>
            <w:tcW w:w="1245" w:type="dxa"/>
          </w:tcPr>
          <w:p w14:paraId="02D19E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9600</w:t>
            </w:r>
          </w:p>
        </w:tc>
        <w:tc>
          <w:tcPr>
            <w:tcW w:w="1245" w:type="dxa"/>
          </w:tcPr>
          <w:p w14:paraId="3EBF24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12 500*</w:t>
            </w:r>
          </w:p>
        </w:tc>
      </w:tr>
      <w:tr w:rsidR="00983732" w:rsidRPr="00A3026E" w14:paraId="101F5E50" w14:textId="77777777" w:rsidTr="00EA0DA7">
        <w:tc>
          <w:tcPr>
            <w:tcW w:w="1245" w:type="dxa"/>
          </w:tcPr>
          <w:p w14:paraId="4EC346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км</w:t>
            </w:r>
          </w:p>
        </w:tc>
        <w:tc>
          <w:tcPr>
            <w:tcW w:w="1245" w:type="dxa"/>
          </w:tcPr>
          <w:p w14:paraId="3475C4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w:t>
            </w:r>
          </w:p>
        </w:tc>
        <w:tc>
          <w:tcPr>
            <w:tcW w:w="1245" w:type="dxa"/>
          </w:tcPr>
          <w:p w14:paraId="250998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1245" w:type="dxa"/>
          </w:tcPr>
          <w:p w14:paraId="7C1CC0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1245" w:type="dxa"/>
          </w:tcPr>
          <w:p w14:paraId="7606BC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1245" w:type="dxa"/>
          </w:tcPr>
          <w:p w14:paraId="7B7094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c>
          <w:tcPr>
            <w:tcW w:w="1245" w:type="dxa"/>
          </w:tcPr>
          <w:p w14:paraId="2902B2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245" w:type="dxa"/>
          </w:tcPr>
          <w:p w14:paraId="679781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w:t>
            </w:r>
          </w:p>
        </w:tc>
        <w:tc>
          <w:tcPr>
            <w:tcW w:w="1245" w:type="dxa"/>
          </w:tcPr>
          <w:p w14:paraId="3A6001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w:t>
            </w:r>
          </w:p>
        </w:tc>
      </w:tr>
      <w:tr w:rsidR="00983732" w:rsidRPr="00A3026E" w14:paraId="7DC8E5F6" w14:textId="77777777" w:rsidTr="00EA0DA7">
        <w:tc>
          <w:tcPr>
            <w:tcW w:w="1245" w:type="dxa"/>
          </w:tcPr>
          <w:p w14:paraId="1E71ED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топлива, кг</w:t>
            </w:r>
          </w:p>
        </w:tc>
        <w:tc>
          <w:tcPr>
            <w:tcW w:w="1245" w:type="dxa"/>
          </w:tcPr>
          <w:p w14:paraId="13ACF6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w:t>
            </w:r>
          </w:p>
        </w:tc>
        <w:tc>
          <w:tcPr>
            <w:tcW w:w="1245" w:type="dxa"/>
          </w:tcPr>
          <w:p w14:paraId="6D7409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w:t>
            </w:r>
          </w:p>
        </w:tc>
        <w:tc>
          <w:tcPr>
            <w:tcW w:w="1245" w:type="dxa"/>
          </w:tcPr>
          <w:p w14:paraId="17ABCA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245" w:type="dxa"/>
          </w:tcPr>
          <w:p w14:paraId="347692F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1245" w:type="dxa"/>
          </w:tcPr>
          <w:p w14:paraId="43F181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1245" w:type="dxa"/>
          </w:tcPr>
          <w:p w14:paraId="22F274B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45" w:type="dxa"/>
          </w:tcPr>
          <w:p w14:paraId="4A74B2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280</w:t>
            </w:r>
          </w:p>
        </w:tc>
        <w:tc>
          <w:tcPr>
            <w:tcW w:w="1245" w:type="dxa"/>
          </w:tcPr>
          <w:p w14:paraId="79EFC0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6793907B" w14:textId="77777777" w:rsidTr="00EA0DA7">
        <w:tc>
          <w:tcPr>
            <w:tcW w:w="1245" w:type="dxa"/>
          </w:tcPr>
          <w:p w14:paraId="1F2B12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 кг</w:t>
            </w:r>
          </w:p>
        </w:tc>
        <w:tc>
          <w:tcPr>
            <w:tcW w:w="1245" w:type="dxa"/>
          </w:tcPr>
          <w:p w14:paraId="527042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37A329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098348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245" w:type="dxa"/>
          </w:tcPr>
          <w:p w14:paraId="0C9001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245" w:type="dxa"/>
          </w:tcPr>
          <w:p w14:paraId="0B8E18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1245" w:type="dxa"/>
          </w:tcPr>
          <w:p w14:paraId="65555F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245" w:type="dxa"/>
          </w:tcPr>
          <w:p w14:paraId="173B4D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591A78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522EB053" w14:textId="77777777" w:rsidTr="00EA0DA7">
        <w:tc>
          <w:tcPr>
            <w:tcW w:w="1245" w:type="dxa"/>
          </w:tcPr>
          <w:p w14:paraId="231ABB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Пулеметы</w:t>
            </w:r>
          </w:p>
        </w:tc>
        <w:tc>
          <w:tcPr>
            <w:tcW w:w="1245" w:type="dxa"/>
          </w:tcPr>
          <w:p w14:paraId="539881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1CBE67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4F8334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2x12.7</w:t>
            </w:r>
          </w:p>
        </w:tc>
        <w:tc>
          <w:tcPr>
            <w:tcW w:w="1245" w:type="dxa"/>
          </w:tcPr>
          <w:p w14:paraId="77919F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2x12.7</w:t>
            </w:r>
          </w:p>
        </w:tc>
        <w:tc>
          <w:tcPr>
            <w:tcW w:w="1245" w:type="dxa"/>
          </w:tcPr>
          <w:p w14:paraId="289D9E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1x12.7</w:t>
            </w:r>
          </w:p>
        </w:tc>
        <w:tc>
          <w:tcPr>
            <w:tcW w:w="1245" w:type="dxa"/>
          </w:tcPr>
          <w:p w14:paraId="41D155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4x7.62</w:t>
            </w:r>
          </w:p>
        </w:tc>
        <w:tc>
          <w:tcPr>
            <w:tcW w:w="1245" w:type="dxa"/>
          </w:tcPr>
          <w:p w14:paraId="16CB5D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1x12.7</w:t>
            </w:r>
          </w:p>
        </w:tc>
        <w:tc>
          <w:tcPr>
            <w:tcW w:w="1245" w:type="dxa"/>
          </w:tcPr>
          <w:p w14:paraId="12C95E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o 2x7.62</w:t>
            </w:r>
          </w:p>
        </w:tc>
      </w:tr>
      <w:tr w:rsidR="00983732" w:rsidRPr="00A3026E" w14:paraId="58BB8A63" w14:textId="77777777" w:rsidTr="00EA0DA7">
        <w:tc>
          <w:tcPr>
            <w:tcW w:w="1245" w:type="dxa"/>
          </w:tcPr>
          <w:p w14:paraId="642F410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45" w:type="dxa"/>
          </w:tcPr>
          <w:p w14:paraId="03DECAC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45" w:type="dxa"/>
          </w:tcPr>
          <w:p w14:paraId="15167D0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45" w:type="dxa"/>
          </w:tcPr>
          <w:p w14:paraId="1AC740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6906ED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49DBBE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w:t>
            </w:r>
          </w:p>
        </w:tc>
        <w:tc>
          <w:tcPr>
            <w:tcW w:w="1245" w:type="dxa"/>
          </w:tcPr>
          <w:p w14:paraId="0E22A09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45" w:type="dxa"/>
          </w:tcPr>
          <w:p w14:paraId="6176D00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45" w:type="dxa"/>
          </w:tcPr>
          <w:p w14:paraId="2616EE2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C84BB21" w14:textId="77777777" w:rsidTr="00EA0DA7">
        <w:tc>
          <w:tcPr>
            <w:tcW w:w="1245" w:type="dxa"/>
          </w:tcPr>
          <w:p w14:paraId="2DB8DC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Боекомплект пулеметов, патр.</w:t>
            </w:r>
          </w:p>
        </w:tc>
        <w:tc>
          <w:tcPr>
            <w:tcW w:w="1245" w:type="dxa"/>
          </w:tcPr>
          <w:p w14:paraId="27F38A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245" w:type="dxa"/>
          </w:tcPr>
          <w:p w14:paraId="4523ED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w:t>
            </w:r>
          </w:p>
        </w:tc>
        <w:tc>
          <w:tcPr>
            <w:tcW w:w="1245" w:type="dxa"/>
          </w:tcPr>
          <w:p w14:paraId="0E6961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245" w:type="dxa"/>
          </w:tcPr>
          <w:p w14:paraId="7BDA9F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c>
          <w:tcPr>
            <w:tcW w:w="1245" w:type="dxa"/>
          </w:tcPr>
          <w:p w14:paraId="0D131B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245" w:type="dxa"/>
          </w:tcPr>
          <w:p w14:paraId="3108FB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2200</w:t>
            </w:r>
          </w:p>
        </w:tc>
        <w:tc>
          <w:tcPr>
            <w:tcW w:w="1245" w:type="dxa"/>
          </w:tcPr>
          <w:p w14:paraId="40AEF9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w:t>
            </w:r>
          </w:p>
        </w:tc>
        <w:tc>
          <w:tcPr>
            <w:tcW w:w="1245" w:type="dxa"/>
          </w:tcPr>
          <w:p w14:paraId="13B89D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w:t>
            </w:r>
          </w:p>
        </w:tc>
      </w:tr>
      <w:tr w:rsidR="00983732" w:rsidRPr="00A3026E" w14:paraId="28F49A34" w14:textId="77777777" w:rsidTr="00EA0DA7">
        <w:tc>
          <w:tcPr>
            <w:tcW w:w="1245" w:type="dxa"/>
          </w:tcPr>
          <w:p w14:paraId="7B0BA1F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45" w:type="dxa"/>
          </w:tcPr>
          <w:p w14:paraId="0850D3A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45" w:type="dxa"/>
          </w:tcPr>
          <w:p w14:paraId="1FD36DC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45" w:type="dxa"/>
          </w:tcPr>
          <w:p w14:paraId="0D273E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1245" w:type="dxa"/>
          </w:tcPr>
          <w:p w14:paraId="3588A7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245" w:type="dxa"/>
          </w:tcPr>
          <w:p w14:paraId="567D76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1245" w:type="dxa"/>
          </w:tcPr>
          <w:p w14:paraId="2641026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45" w:type="dxa"/>
          </w:tcPr>
          <w:p w14:paraId="2706302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45" w:type="dxa"/>
          </w:tcPr>
          <w:p w14:paraId="33719F2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79AA7B0" w14:textId="77777777" w:rsidTr="00EA0DA7">
        <w:tc>
          <w:tcPr>
            <w:tcW w:w="1245" w:type="dxa"/>
          </w:tcPr>
          <w:p w14:paraId="4ACC85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Пушки</w:t>
            </w:r>
          </w:p>
        </w:tc>
        <w:tc>
          <w:tcPr>
            <w:tcW w:w="1245" w:type="dxa"/>
          </w:tcPr>
          <w:p w14:paraId="232473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1x20</w:t>
            </w:r>
          </w:p>
        </w:tc>
        <w:tc>
          <w:tcPr>
            <w:tcW w:w="1245" w:type="dxa"/>
          </w:tcPr>
          <w:p w14:paraId="4873FE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1x20</w:t>
            </w:r>
          </w:p>
        </w:tc>
        <w:tc>
          <w:tcPr>
            <w:tcW w:w="1245" w:type="dxa"/>
          </w:tcPr>
          <w:p w14:paraId="24E696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3D1D6C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2CE231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7C9E8C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698789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1x23</w:t>
            </w:r>
          </w:p>
        </w:tc>
        <w:tc>
          <w:tcPr>
            <w:tcW w:w="1245" w:type="dxa"/>
          </w:tcPr>
          <w:p w14:paraId="0FB616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1x20</w:t>
            </w:r>
          </w:p>
        </w:tc>
      </w:tr>
      <w:tr w:rsidR="00983732" w:rsidRPr="00A3026E" w14:paraId="4680687B" w14:textId="77777777" w:rsidTr="00EA0DA7">
        <w:tc>
          <w:tcPr>
            <w:tcW w:w="1245" w:type="dxa"/>
          </w:tcPr>
          <w:p w14:paraId="631FF5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Боекомплект пушек, снарядов</w:t>
            </w:r>
          </w:p>
        </w:tc>
        <w:tc>
          <w:tcPr>
            <w:tcW w:w="1245" w:type="dxa"/>
          </w:tcPr>
          <w:p w14:paraId="5C0B1B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tc>
        <w:tc>
          <w:tcPr>
            <w:tcW w:w="1245" w:type="dxa"/>
          </w:tcPr>
          <w:p w14:paraId="313544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1245" w:type="dxa"/>
          </w:tcPr>
          <w:p w14:paraId="638977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2BC18C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3B3BDE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02E0B1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45" w:type="dxa"/>
          </w:tcPr>
          <w:p w14:paraId="01009B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tc>
        <w:tc>
          <w:tcPr>
            <w:tcW w:w="1245" w:type="dxa"/>
          </w:tcPr>
          <w:p w14:paraId="0F6C3D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13EBA6BC" w14:textId="77777777" w:rsidTr="00EA0DA7">
        <w:tc>
          <w:tcPr>
            <w:tcW w:w="1245" w:type="dxa"/>
            <w:tcBorders>
              <w:bottom w:val="single" w:sz="12" w:space="0" w:color="auto"/>
            </w:tcBorders>
          </w:tcPr>
          <w:p w14:paraId="47350F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Дата первого полета</w:t>
            </w:r>
          </w:p>
        </w:tc>
        <w:tc>
          <w:tcPr>
            <w:tcW w:w="1245" w:type="dxa"/>
            <w:tcBorders>
              <w:bottom w:val="single" w:sz="12" w:space="0" w:color="auto"/>
            </w:tcBorders>
          </w:tcPr>
          <w:p w14:paraId="59A47F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11.7.40</w:t>
            </w:r>
          </w:p>
        </w:tc>
        <w:tc>
          <w:tcPr>
            <w:tcW w:w="1245" w:type="dxa"/>
            <w:tcBorders>
              <w:bottom w:val="single" w:sz="12" w:space="0" w:color="auto"/>
            </w:tcBorders>
          </w:tcPr>
          <w:p w14:paraId="16CD9A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13.1.40</w:t>
            </w:r>
          </w:p>
        </w:tc>
        <w:tc>
          <w:tcPr>
            <w:tcW w:w="1245" w:type="dxa"/>
            <w:tcBorders>
              <w:bottom w:val="single" w:sz="12" w:space="0" w:color="auto"/>
            </w:tcBorders>
          </w:tcPr>
          <w:p w14:paraId="68BC02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10.6.39</w:t>
            </w:r>
          </w:p>
        </w:tc>
        <w:tc>
          <w:tcPr>
            <w:tcW w:w="1245" w:type="dxa"/>
            <w:tcBorders>
              <w:bottom w:val="single" w:sz="12" w:space="0" w:color="auto"/>
            </w:tcBorders>
          </w:tcPr>
          <w:p w14:paraId="0FAD7B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10.2.40</w:t>
            </w:r>
          </w:p>
        </w:tc>
        <w:tc>
          <w:tcPr>
            <w:tcW w:w="1245" w:type="dxa"/>
            <w:tcBorders>
              <w:bottom w:val="single" w:sz="12" w:space="0" w:color="auto"/>
            </w:tcBorders>
          </w:tcPr>
          <w:p w14:paraId="0D762B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5.4.40</w:t>
            </w:r>
          </w:p>
        </w:tc>
        <w:tc>
          <w:tcPr>
            <w:tcW w:w="1245" w:type="dxa"/>
            <w:tcBorders>
              <w:bottom w:val="single" w:sz="12" w:space="0" w:color="auto"/>
            </w:tcBorders>
          </w:tcPr>
          <w:p w14:paraId="0967E4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23.4.40</w:t>
            </w:r>
          </w:p>
        </w:tc>
        <w:tc>
          <w:tcPr>
            <w:tcW w:w="1245" w:type="dxa"/>
            <w:tcBorders>
              <w:bottom w:val="single" w:sz="12" w:space="0" w:color="auto"/>
            </w:tcBorders>
          </w:tcPr>
          <w:p w14:paraId="71A90C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31.3.40</w:t>
            </w:r>
          </w:p>
        </w:tc>
        <w:tc>
          <w:tcPr>
            <w:tcW w:w="1245" w:type="dxa"/>
            <w:tcBorders>
              <w:bottom w:val="single" w:sz="12" w:space="0" w:color="auto"/>
            </w:tcBorders>
          </w:tcPr>
          <w:p w14:paraId="7D4324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15.6.40</w:t>
            </w:r>
          </w:p>
        </w:tc>
      </w:tr>
    </w:tbl>
    <w:p w14:paraId="526834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 расчетные данные (12048).</w:t>
      </w:r>
    </w:p>
    <w:p w14:paraId="02B94AB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973B94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в соответствии с реше</w:t>
      </w:r>
      <w:r w:rsidRPr="00A3026E">
        <w:rPr>
          <w:rFonts w:ascii="Times New Roman" w:hAnsi="Times New Roman"/>
          <w:color w:val="000000" w:themeColor="text1"/>
          <w:sz w:val="16"/>
          <w:szCs w:val="16"/>
        </w:rPr>
        <w:softHyphen/>
        <w:t>нием Правительства о переимено</w:t>
      </w:r>
      <w:r w:rsidRPr="00A3026E">
        <w:rPr>
          <w:rFonts w:ascii="Times New Roman" w:hAnsi="Times New Roman"/>
          <w:color w:val="000000" w:themeColor="text1"/>
          <w:sz w:val="16"/>
          <w:szCs w:val="16"/>
        </w:rPr>
        <w:softHyphen/>
        <w:t>вании боевых самолётов приказом НКАП №704 истре</w:t>
      </w:r>
      <w:r w:rsidRPr="00A3026E">
        <w:rPr>
          <w:rFonts w:ascii="Times New Roman" w:hAnsi="Times New Roman"/>
          <w:color w:val="000000" w:themeColor="text1"/>
          <w:sz w:val="16"/>
          <w:szCs w:val="16"/>
        </w:rPr>
        <w:softHyphen/>
        <w:t>бителю И-200 присвоили наимено</w:t>
      </w:r>
      <w:r w:rsidRPr="00A3026E">
        <w:rPr>
          <w:rFonts w:ascii="Times New Roman" w:hAnsi="Times New Roman"/>
          <w:color w:val="000000" w:themeColor="text1"/>
          <w:sz w:val="16"/>
          <w:szCs w:val="16"/>
        </w:rPr>
        <w:softHyphen/>
        <w:t>вание МиГ-1 (И-200 с №2001 по №2100), а его улучшенному вари</w:t>
      </w:r>
      <w:r w:rsidRPr="00A3026E">
        <w:rPr>
          <w:rFonts w:ascii="Times New Roman" w:hAnsi="Times New Roman"/>
          <w:color w:val="000000" w:themeColor="text1"/>
          <w:sz w:val="16"/>
          <w:szCs w:val="16"/>
        </w:rPr>
        <w:softHyphen/>
        <w:t>анту - МиГ-3 (И-200 с №2101). Так</w:t>
      </w:r>
      <w:r w:rsidRPr="00A3026E">
        <w:rPr>
          <w:rFonts w:ascii="Times New Roman" w:hAnsi="Times New Roman"/>
          <w:color w:val="000000" w:themeColor="text1"/>
          <w:sz w:val="16"/>
          <w:szCs w:val="16"/>
        </w:rPr>
        <w:softHyphen/>
        <w:t>же 9 декабря приказом НКАП №702 установили программу выпуска истребителей МиГ-3 на 1941 г. В со</w:t>
      </w:r>
      <w:r w:rsidRPr="00A3026E">
        <w:rPr>
          <w:rFonts w:ascii="Times New Roman" w:hAnsi="Times New Roman"/>
          <w:color w:val="000000" w:themeColor="text1"/>
          <w:sz w:val="16"/>
          <w:szCs w:val="16"/>
        </w:rPr>
        <w:softHyphen/>
        <w:t>ответствии с ней завод №1 должен был обеспечить выпуск 3500 само</w:t>
      </w:r>
      <w:r w:rsidRPr="00A3026E">
        <w:rPr>
          <w:rFonts w:ascii="Times New Roman" w:hAnsi="Times New Roman"/>
          <w:color w:val="000000" w:themeColor="text1"/>
          <w:sz w:val="16"/>
          <w:szCs w:val="16"/>
        </w:rPr>
        <w:softHyphen/>
        <w:t>лётов. Кроме того, планировалось начать серийное производство МиГ-3 на заводе №43 в Киеве с выпуском в 1941 г. первых 100 машин (11761).</w:t>
      </w:r>
    </w:p>
    <w:p w14:paraId="0797A32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5F59D4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МиГ-3 04 в Каче совершил первый контрольный вылет (791,14).</w:t>
      </w:r>
    </w:p>
    <w:p w14:paraId="14324100"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30 мая 1941 А.И.Микоян утвердил Акт по совместным испытаниям НИИ ВВС и завода 1 МиГ-3 № 04 опытного с АМ-35А на дальность. Летал А.Н.Екатов по маршруту Кача - Мелитополь - Днепропетровск и Кача - Саки - Качи протяженностью 1018 км</w:t>
      </w:r>
    </w:p>
    <w:p w14:paraId="66F46B39"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Отв. исполнители:</w:t>
      </w:r>
    </w:p>
    <w:p w14:paraId="49C25BD3"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Вед. инж. З-да № 1 и С.А.Этчин</w:t>
      </w:r>
    </w:p>
    <w:p w14:paraId="404979A1"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Вед. инж. НИИ ВВС ви1р П.С.Никитченко</w:t>
      </w:r>
    </w:p>
    <w:p w14:paraId="5DCBF65E"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Вед. л А.Н.Екатов</w:t>
      </w:r>
    </w:p>
    <w:p w14:paraId="74B76F07"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xml:space="preserve">техник </w:t>
      </w:r>
    </w:p>
    <w:p w14:paraId="3C2B5B8D"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техник по снятию расходов горючего вт1р Рогочий</w:t>
      </w:r>
    </w:p>
    <w:p w14:paraId="6663FB60"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Цель испытаний:</w:t>
      </w:r>
    </w:p>
    <w:p w14:paraId="24AF72D6"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1. Снятие летных характеристик</w:t>
      </w:r>
    </w:p>
    <w:p w14:paraId="79D530DD"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2. Определение расходов горючего</w:t>
      </w:r>
    </w:p>
    <w:p w14:paraId="02C0862D"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3. Определение физическийх данных на маршруте Кача - Мелитополь - Днепропетровс, Каяа - Саки - Кача протяженностью 1018 км</w:t>
      </w:r>
    </w:p>
    <w:p w14:paraId="2EE81170"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Объект испытаний: с-т МиГ-3 с мотором АМ-35А и винтом ВИШ-22Е диамотром 3 м конструкции А.И.М. и Гуречича, производства завода № 1 изготовленный на базе МиГ-1 с выполнением новых ТТТ:</w:t>
      </w:r>
    </w:p>
    <w:p w14:paraId="17F1CC29"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а) увеличение даолльности до 1000 км на расчетной высоте на 0,9 мкс. Скорости без подвесных б/б</w:t>
      </w:r>
    </w:p>
    <w:p w14:paraId="3231FC8A"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б) изменить и улучшить конструкцию, а также устранить дефекты, выявленные на госиспытаниях в НИИ ВВС с-та МиГ-1 в сентябре 1940</w:t>
      </w:r>
    </w:p>
    <w:p w14:paraId="42B20416"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С-т МиГ-3 д.б. по ТТТ иметь данные с-та МиГ-1, за исключением технической дальности, которая на 0,9 макс. при нормальном запасе горючего на гр. высотности мотора 7000 м д.б.б. увеличена с 650 км до 1000 км.</w:t>
      </w:r>
    </w:p>
    <w:p w14:paraId="4253A48C"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Эти новые требования к МиГ-3 были предъявлены на основе решения ЦК ВКП(б) и СНК СССР № 2466-1096 от 7 декабря 1940</w:t>
      </w:r>
    </w:p>
    <w:p w14:paraId="1DDC5F8F"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С-т имеет следующие отличия от с-та МиГ-1</w:t>
      </w:r>
    </w:p>
    <w:p w14:paraId="2A4ABC7B"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вместо 3-х установлено 4 протектированных б/б, добавлен дополнительный бак, вмещающий около 250 л находится под кабиной л и отделен от кабины пожарной перегородкой. Снаружи бак закрыт дюралевым обтекателем, переходящим в заднюю часть туннеля водорадиатора.</w:t>
      </w:r>
    </w:p>
    <w:p w14:paraId="102D71C2"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Водяной ражиатор при установке доп. б/б перемещен вперед. Вместо сотового поставлен пластинчатый водорадиатор с фронтовой площадбью 26 дм2</w:t>
      </w:r>
    </w:p>
    <w:p w14:paraId="3A71E65C"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Для сохранения нормальной центровки после установки доп. б/б мотор вынесен на 100 мм вперед</w:t>
      </w:r>
    </w:p>
    <w:p w14:paraId="3E9F2AD1"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В связи с увеличением запаса горючего установлены добавочный м/б кмкостью 16 л. Бак установлен перед пожарной перегородкой за мотором с целью обеспечить нужное давление масла при пикировании в связи с чем была изменена и схема маслосистемы.</w:t>
      </w:r>
    </w:p>
    <w:p w14:paraId="7B3A7421"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Центропланные б/б соединены с задним подфюзеляжным баком. От переливания горючего установлены обратные клапаны. Питание мотора осуществляется только от подфюзеляжного бака Заливка горючего в подфюзеляжный бак осуществляется через центропланные баки</w:t>
      </w:r>
    </w:p>
    <w:p w14:paraId="0C861EE3"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поставлены новые колеса 620х200 взамен 600х180 с увеличенным тормозным диском. Увеличен вынос ног шасси, усилены верхние узлы, увеличен диаметр цилиндров подъема шасси. Откидные лучки колес перенесены на центроплан.</w:t>
      </w:r>
    </w:p>
    <w:p w14:paraId="105B988D"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Изменена воздушная система, баллон сжатого воздуха установлен на 150 атм. И поставлен редуктор с переходом на 50 атм</w:t>
      </w:r>
    </w:p>
    <w:p w14:paraId="24F80189"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вместо откидного в сторону фонаря поставлен фонарь, сдвигающийся назад с фиксатором в заднем положении</w:t>
      </w:r>
    </w:p>
    <w:p w14:paraId="595FB3F8"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lastRenderedPageBreak/>
        <w:t>- козырек пилота для лучшего неискаженного обзора выполнен граненым из плексигласа</w:t>
      </w:r>
    </w:p>
    <w:p w14:paraId="47880AB5"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сняты трубки вентури в связи с выполнением требования о питании гироприборов (авиагоризонт Пионер) от нагнетателя мотора</w:t>
      </w:r>
    </w:p>
    <w:p w14:paraId="490FA4E2"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установлено оборудование под рацию РСИ-4 с соответствующей металлизацией</w:t>
      </w:r>
    </w:p>
    <w:p w14:paraId="783557DA"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ЦТ пустого (2667 кг) - 18,13%, ЦТ с полетным весом (3369) - 27%</w:t>
      </w:r>
    </w:p>
    <w:p w14:paraId="317839A9"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Краткие результаты испытаний:</w:t>
      </w:r>
    </w:p>
    <w:p w14:paraId="6C48DEC9"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xml:space="preserve">Первый вылет с-та № 04 опытного состоялся в Москве 29 октября 1940 после чего еще два ознакомительных полета состоялись 12 ноября. </w:t>
      </w:r>
    </w:p>
    <w:p w14:paraId="4297AF6B"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Третий полет, в котором мотор № 039 из-за выпадания гнезда всасывающего клапана был заменен мотором № 008</w:t>
      </w:r>
    </w:p>
    <w:p w14:paraId="50317303"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Четвертым полетом, который был 18 ноября 1940 после замены мотора был закончен 1-й этап испытаний.</w:t>
      </w:r>
    </w:p>
    <w:p w14:paraId="14161D73"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Испытания были перенесены в Качу (Крым). С-т в разобранном состоянии прибыл по ж/д в Евпаторию. Контрольный полет состоялся 9 декабря 1940. В Качу с-т перегнали 12 декабря. С этого момента по заданию Правительства начались совместные испытания на определение физической дальности.</w:t>
      </w:r>
    </w:p>
    <w:p w14:paraId="2F7472B6"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Б/б вмещают 462 кг горючего. После выработки горючего их подкрыльевого бака в трех точ. Полетах в нем оставалось 5 кг горючего</w:t>
      </w:r>
    </w:p>
    <w:p w14:paraId="216170DC"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19 декабря 1940 был произведен полет полет с передней центровкой для определения достаточности запаса рулей для полета (аэродром заснежен на 250 мм глубины снега). Летал Супрун</w:t>
      </w:r>
    </w:p>
    <w:p w14:paraId="32335900"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Вывод:</w:t>
      </w:r>
    </w:p>
    <w:p w14:paraId="76EA2DDD"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1. Часовой расход горючего (по самописцу Наяда) на высоте 8040 на скорости 592 км/час, т.е. 0,9 макс. при 1950 оборотах и Рк 838 и при качестве смеси 0,9 составил 216 кг/час</w:t>
      </w:r>
    </w:p>
    <w:p w14:paraId="10EE6176"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2. Километровый расход на участке Кача - Мелитополь - Кача протяженрием 546 км при забедненной смеси (качество смеси 0Ю9) составил 0,385 кг/км пути.</w:t>
      </w:r>
    </w:p>
    <w:p w14:paraId="241DAE2E"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Система смазки мотора на с-те МиГ-3 обеспечивает полет только до 8000 м. Давление масла падает ниже допустимого для нормальной работы мотора.</w:t>
      </w:r>
    </w:p>
    <w:p w14:paraId="21AFEB09"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После новой регулировки Рк приемистость мотора удовлетворительна, но с высот 5000-6000 м приемистость мотора неудовлетворительны.</w:t>
      </w:r>
    </w:p>
    <w:p w14:paraId="74D88751"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В результате недостаточного диапазона угла установки лопасти ВИШ-22Е затяжеление винта до 1850 оборотов на высоте 8000 м и скррости 0,9 макс. произвести не возможно.</w:t>
      </w:r>
    </w:p>
    <w:p w14:paraId="31CC2078"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Заключение:</w:t>
      </w:r>
    </w:p>
    <w:p w14:paraId="7F0660C0"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Ввиду разрушения мотора АВМ-35А на с-те МиГ-3 определтить ьысячекилометровую дальность в Каче не удалось. Поэтому заводу № 1 продолжить испытания на определение дальности с-та МиГ-3 как с использованием высотного корректора, так и без него (т.к. на самолетах в строевых частях газоанализаторов нет)</w:t>
      </w:r>
    </w:p>
    <w:p w14:paraId="32BA98B1"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Ведомость дефектов:</w:t>
      </w:r>
    </w:p>
    <w:p w14:paraId="3B808A5B"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шасси полностью не убирается на наборе высоты (убирается только в горизонтальном полете на скорости не более 250 км/час)</w:t>
      </w:r>
    </w:p>
    <w:p w14:paraId="4D48868C"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плохо работают замки убранного положения шасси. На пикировании шасси вываливаются (опасный дефект, т.к. самолет тяжело выводить из пикирования)</w:t>
      </w:r>
    </w:p>
    <w:p w14:paraId="725E7941"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обрыв тросса уборки и выпуска костыля и аварийного выпуска шасси. На всех с-тах костыль не убирается (выключена эта система).</w:t>
      </w:r>
    </w:p>
    <w:p w14:paraId="2D5EAEFF"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триммер РВ устанавливается только на правой половине, с-т не балансируется</w:t>
      </w:r>
    </w:p>
    <w:p w14:paraId="246C3432"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в полете ноги пилота упираются в противопожарную перегородку и необходимо понизить педали нижного управления</w:t>
      </w:r>
    </w:p>
    <w:p w14:paraId="661B278C"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отсутствуют плечевые ремни пилота</w:t>
      </w:r>
    </w:p>
    <w:p w14:paraId="3AC90757"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после высотных полетов плексиглас дает трещины и рвется в полете</w:t>
      </w:r>
    </w:p>
    <w:p w14:paraId="4D2B7A82"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на больших скоростях рвутся сетки высывающих патрубков нагнетателей</w:t>
      </w:r>
    </w:p>
    <w:p w14:paraId="1807A844"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массовым явлением является падение давления масла в главном манометре с поднятием на высоту</w:t>
      </w:r>
    </w:p>
    <w:p w14:paraId="78CF06C6"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масслвым явлением является падение давления бензина с высоты 6000-8000 м и они составляет 0,11-0,16 вместо 0,25-0,28</w:t>
      </w:r>
    </w:p>
    <w:p w14:paraId="3943E479"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затруднена замена маслобака. Для этого надо снять винт и разобрать весь каркас капота мотора (791,2).</w:t>
      </w:r>
    </w:p>
    <w:p w14:paraId="7CA0CA3F" w14:textId="77777777" w:rsidR="0014077F" w:rsidRPr="00A3026E" w:rsidRDefault="0014077F" w:rsidP="00A3026E">
      <w:pPr>
        <w:pStyle w:val="Iauiue"/>
        <w:jc w:val="both"/>
        <w:rPr>
          <w:color w:val="000000" w:themeColor="text1"/>
          <w:sz w:val="16"/>
          <w:szCs w:val="16"/>
        </w:rPr>
      </w:pPr>
    </w:p>
    <w:p w14:paraId="3F7BE05A" w14:textId="77777777" w:rsidR="0095280D" w:rsidRPr="00A3026E" w:rsidRDefault="0095280D" w:rsidP="00A3026E">
      <w:pPr>
        <w:pStyle w:val="5e"/>
        <w:shd w:val="clear" w:color="auto" w:fill="auto"/>
        <w:tabs>
          <w:tab w:val="left" w:pos="4715"/>
        </w:tabs>
        <w:spacing w:line="240" w:lineRule="auto"/>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9 декабря 1940 г. Приказом НКАП самолет И-301 переиме</w:t>
      </w:r>
      <w:r w:rsidRPr="00A3026E">
        <w:rPr>
          <w:rFonts w:ascii="Times New Roman" w:hAnsi="Times New Roman" w:cs="Times New Roman"/>
          <w:color w:val="000000" w:themeColor="text1"/>
          <w:sz w:val="16"/>
          <w:szCs w:val="16"/>
        </w:rPr>
        <w:softHyphen/>
        <w:t>новали в</w:t>
      </w:r>
      <w:r w:rsidRPr="00A3026E">
        <w:rPr>
          <w:rStyle w:val="aff8"/>
          <w:rFonts w:ascii="Times New Roman" w:hAnsi="Times New Roman" w:cs="Times New Roman"/>
          <w:b w:val="0"/>
          <w:color w:val="000000" w:themeColor="text1"/>
          <w:spacing w:val="0"/>
          <w:sz w:val="16"/>
          <w:szCs w:val="16"/>
        </w:rPr>
        <w:t xml:space="preserve"> ЛаГГ-1</w:t>
      </w:r>
      <w:r w:rsidRPr="00A3026E">
        <w:rPr>
          <w:rFonts w:ascii="Times New Roman" w:hAnsi="Times New Roman" w:cs="Times New Roman"/>
          <w:color w:val="000000" w:themeColor="text1"/>
          <w:sz w:val="16"/>
          <w:szCs w:val="16"/>
        </w:rPr>
        <w:t>, а его улучшенный вариант (с пятью топливны</w:t>
      </w:r>
      <w:r w:rsidRPr="00A3026E">
        <w:rPr>
          <w:rFonts w:ascii="Times New Roman" w:hAnsi="Times New Roman" w:cs="Times New Roman"/>
          <w:color w:val="000000" w:themeColor="text1"/>
          <w:sz w:val="16"/>
          <w:szCs w:val="16"/>
        </w:rPr>
        <w:softHyphen/>
        <w:t>ми баками) — в</w:t>
      </w:r>
      <w:r w:rsidRPr="00A3026E">
        <w:rPr>
          <w:rStyle w:val="aff8"/>
          <w:rFonts w:ascii="Times New Roman" w:hAnsi="Times New Roman" w:cs="Times New Roman"/>
          <w:b w:val="0"/>
          <w:color w:val="000000" w:themeColor="text1"/>
          <w:spacing w:val="0"/>
          <w:sz w:val="16"/>
          <w:szCs w:val="16"/>
        </w:rPr>
        <w:t xml:space="preserve"> ЛаГГ-3.</w:t>
      </w:r>
      <w:r w:rsidRPr="00A3026E">
        <w:rPr>
          <w:rFonts w:ascii="Times New Roman" w:hAnsi="Times New Roman" w:cs="Times New Roman"/>
          <w:color w:val="000000" w:themeColor="text1"/>
          <w:sz w:val="16"/>
          <w:szCs w:val="16"/>
        </w:rPr>
        <w:t xml:space="preserve"> В том же месяце Лавочкин, Горбунов и. Гудков за создание истребителя были удостоены Сталинской премии 1-й степени (19106).</w:t>
      </w:r>
    </w:p>
    <w:p w14:paraId="0E5AB424" w14:textId="77777777" w:rsidR="0095280D" w:rsidRPr="00A3026E" w:rsidRDefault="0095280D" w:rsidP="00A3026E">
      <w:pPr>
        <w:pStyle w:val="5e"/>
        <w:shd w:val="clear" w:color="auto" w:fill="auto"/>
        <w:tabs>
          <w:tab w:val="left" w:pos="4715"/>
        </w:tabs>
        <w:spacing w:line="240" w:lineRule="auto"/>
        <w:rPr>
          <w:rFonts w:ascii="Times New Roman" w:hAnsi="Times New Roman" w:cs="Times New Roman"/>
          <w:color w:val="000000" w:themeColor="text1"/>
          <w:sz w:val="16"/>
          <w:szCs w:val="16"/>
        </w:rPr>
      </w:pPr>
    </w:p>
    <w:p w14:paraId="48BD7B94" w14:textId="77777777" w:rsidR="0014077F" w:rsidRPr="00A3026E" w:rsidRDefault="0014077F" w:rsidP="00A3026E">
      <w:pPr>
        <w:pStyle w:val="a3"/>
        <w:tabs>
          <w:tab w:val="left" w:pos="11199"/>
        </w:tabs>
        <w:rPr>
          <w:color w:val="000000" w:themeColor="text1"/>
          <w:lang w:val="ru-RU"/>
        </w:rPr>
      </w:pPr>
      <w:r w:rsidRPr="00A3026E">
        <w:rPr>
          <w:color w:val="000000" w:themeColor="text1"/>
          <w:lang w:val="ru-RU"/>
        </w:rPr>
        <w:t>9 де</w:t>
      </w:r>
      <w:r w:rsidRPr="00A3026E">
        <w:rPr>
          <w:color w:val="000000" w:themeColor="text1"/>
          <w:lang w:val="ru-RU"/>
        </w:rPr>
        <w:softHyphen/>
        <w:t>кабря 1940 П.В.Рычаговым утвердил заключение по рассмотренному НИИ ВВС эскизному проект самолета И-207 №11. В целом эскизный проект был оце</w:t>
      </w:r>
      <w:r w:rsidRPr="00A3026E">
        <w:rPr>
          <w:color w:val="000000" w:themeColor="text1"/>
          <w:lang w:val="ru-RU"/>
        </w:rPr>
        <w:softHyphen/>
        <w:t>нен положительно, и было рекомендо</w:t>
      </w:r>
      <w:r w:rsidRPr="00A3026E">
        <w:rPr>
          <w:color w:val="000000" w:themeColor="text1"/>
          <w:lang w:val="ru-RU"/>
        </w:rPr>
        <w:softHyphen/>
        <w:t>вано включить самолет в план опыт</w:t>
      </w:r>
      <w:r w:rsidRPr="00A3026E">
        <w:rPr>
          <w:color w:val="000000" w:themeColor="text1"/>
          <w:lang w:val="ru-RU"/>
        </w:rPr>
        <w:softHyphen/>
        <w:t>ного строительства на 1941 г. в каче</w:t>
      </w:r>
      <w:r w:rsidRPr="00A3026E">
        <w:rPr>
          <w:color w:val="000000" w:themeColor="text1"/>
          <w:lang w:val="ru-RU"/>
        </w:rPr>
        <w:softHyphen/>
        <w:t>стве экспериментального истребителя при условии выполнения пресловуто</w:t>
      </w:r>
      <w:r w:rsidRPr="00A3026E">
        <w:rPr>
          <w:color w:val="000000" w:themeColor="text1"/>
          <w:lang w:val="ru-RU"/>
        </w:rPr>
        <w:softHyphen/>
        <w:t>го, совершенно нереального для того времени требования обеспечить скоро</w:t>
      </w:r>
      <w:r w:rsidRPr="00A3026E">
        <w:rPr>
          <w:color w:val="000000" w:themeColor="text1"/>
          <w:lang w:val="ru-RU"/>
        </w:rPr>
        <w:softHyphen/>
        <w:t>стную дальность полета не менее 1000 км, а в перегрузку - 1400 км. Посколь</w:t>
      </w:r>
      <w:r w:rsidRPr="00A3026E">
        <w:rPr>
          <w:color w:val="000000" w:themeColor="text1"/>
          <w:lang w:val="ru-RU"/>
        </w:rPr>
        <w:softHyphen/>
        <w:t>ку И-207 не предназначался для ис</w:t>
      </w:r>
      <w:r w:rsidRPr="00A3026E">
        <w:rPr>
          <w:color w:val="000000" w:themeColor="text1"/>
          <w:lang w:val="ru-RU"/>
        </w:rPr>
        <w:softHyphen/>
        <w:t>пользования в качестве истребителя сопровождения бомбардировщиков, то ему такая дальность была не нужна (6269).</w:t>
      </w:r>
    </w:p>
    <w:p w14:paraId="283AC6F1" w14:textId="77777777" w:rsidR="0014077F" w:rsidRPr="00A3026E" w:rsidRDefault="0014077F" w:rsidP="00A3026E">
      <w:pPr>
        <w:pStyle w:val="a3"/>
        <w:tabs>
          <w:tab w:val="left" w:pos="11199"/>
        </w:tabs>
        <w:rPr>
          <w:color w:val="000000" w:themeColor="text1"/>
          <w:lang w:val="ru-RU"/>
        </w:rPr>
      </w:pPr>
    </w:p>
    <w:p w14:paraId="71EECDC9" w14:textId="77777777" w:rsidR="0095280D" w:rsidRPr="00A3026E" w:rsidRDefault="0095280D" w:rsidP="00A3026E">
      <w:pPr>
        <w:pStyle w:val="ae"/>
        <w:shd w:val="clear" w:color="auto" w:fill="FFFFFF"/>
        <w:spacing w:before="0" w:after="0"/>
        <w:jc w:val="both"/>
        <w:rPr>
          <w:color w:val="000000" w:themeColor="text1"/>
          <w:sz w:val="16"/>
          <w:szCs w:val="16"/>
        </w:rPr>
      </w:pPr>
      <w:r w:rsidRPr="00A3026E">
        <w:rPr>
          <w:color w:val="000000" w:themeColor="text1"/>
          <w:sz w:val="16"/>
          <w:szCs w:val="16"/>
        </w:rPr>
        <w:t>9 декабря 1940 г. П.В. Рычагов утвердил Заключение на проект И-207 М° 10 и № 11 А.А. Боровкова и И.Ф. Флоровбыло, рассмотренный в НИИ ВВС в октябре.</w:t>
      </w:r>
    </w:p>
    <w:p w14:paraId="715987BC" w14:textId="77777777" w:rsidR="0095280D" w:rsidRPr="00A3026E" w:rsidRDefault="0095280D"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целом эскизный проект был оценен положительно, и было рекомендовано включить самолет в план опытного стро ительства на 1941 г. в качестве экспериментального истреби теля при условии выполнения пресловутого, совершенно не реального для того времени требования обеспечить скорост ную дальность полета не менее 1000 км, а в перегрузку — 1400 км. Но И-207 не предназначался для использования в качестве истребителя сопровождения бомбардировщиков, по этому ему такая дальность была не нужна.</w:t>
      </w:r>
    </w:p>
    <w:p w14:paraId="12B930E9" w14:textId="77777777" w:rsidR="0095280D" w:rsidRPr="00A3026E" w:rsidRDefault="0095280D"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дальнейшем начало сказываться отрицательное отноше ние в кругах руководства НКАП и ВВС к бипланам. А.С. Яков лев при личной встрече открыто заявил о невозможности вклю чения проектов И-207 М° 10 и № 11 А.А. Боровкова я И.Ф. Флорова в план будущих работ наркомата (19586).</w:t>
      </w:r>
    </w:p>
    <w:p w14:paraId="659606A0" w14:textId="77777777" w:rsidR="0095280D" w:rsidRPr="00A3026E" w:rsidRDefault="0095280D" w:rsidP="00A3026E">
      <w:pPr>
        <w:pStyle w:val="ae"/>
        <w:shd w:val="clear" w:color="auto" w:fill="FFFFFF"/>
        <w:spacing w:before="0" w:after="0"/>
        <w:jc w:val="both"/>
        <w:rPr>
          <w:color w:val="000000" w:themeColor="text1"/>
          <w:sz w:val="16"/>
          <w:szCs w:val="16"/>
        </w:rPr>
      </w:pPr>
    </w:p>
    <w:p w14:paraId="478919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П. В. Рычагов утвердил заключение на проект И-207 № 11</w:t>
      </w:r>
    </w:p>
    <w:p w14:paraId="71B229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являлся переработкой самолета № 10 под основное назначение по требованию комиссии Юрьева, рассмотревшей И-207 № 10 3 августа 1940. Был представлен в НИИ ВВС в сентябре 1940 и в октябре 1941 рассмотрен комиссией Юрьева.</w:t>
      </w:r>
    </w:p>
    <w:p w14:paraId="5AE165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сводились к тому, что на самолете устанавливались два двигателя Меркулова. Мотор М-71 предполагалось использовать с удлиненным валом. Бомбовое вооружение включало 2 бомбы по 250 кг. Вместо бомб предусматривалась подвеска двух пушек ПТБ-23 калибра 23 мм.</w:t>
      </w:r>
    </w:p>
    <w:p w14:paraId="14102E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на самолете устанавливались 2 синхронных пулемета калибра 12,7 мм и 2 нормального калибра. Максимальная скорость на высоте 5830 м без включения ПВРД - 654 км/ч.</w:t>
      </w:r>
    </w:p>
    <w:p w14:paraId="4BC5A9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проекту максимальная скорость с бомбовой нагрузкой составляла 611 км/ч. Время набора высоты 5000 м, соответственно - 3,7 и 4,5 мин.</w:t>
      </w:r>
    </w:p>
    <w:p w14:paraId="78F389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мнению комиссии, без бомб максимальная скорость могла быть равной 630 км/ч. Тогда с бомбами можно было ожидать скорость порядка 585 км/ч. Комиссия посчитала целесообразным строить самолет как экспериментальный. Яковлев согласился включить работу в план экспериментальных работ.</w:t>
      </w:r>
    </w:p>
    <w:p w14:paraId="31FB5AA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целом эскизный проект был оценен положительно и было рекомендовано включить самолет в план опытного строительства на 1941 г. в качестве экспериментального истребителя при условии выполнения пресловутого, совершенно нереального для того времени требования обеспечить скоростную дальность полета не менее 1000 км, а в перегрузку - 1400 км.</w:t>
      </w:r>
    </w:p>
    <w:p w14:paraId="12D10A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Отметим, что, поскольку И-207 не планировалось использовать для сопровождения бомбардировщиков, такая дальность полета ему была не нужна.</w:t>
      </w:r>
    </w:p>
    <w:p w14:paraId="787EC2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Неправильная позиция ГУАС КА, определенные трудности с доводкой моторов М-бЗР, М-64, М-65 и М-71, а также грянувшая война привели к тому, что работы по этому перспективному самолету были свернуты (9649).</w:t>
      </w:r>
    </w:p>
    <w:p w14:paraId="31EFBDF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55677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Нач. ВВС П.В.Рычагов утвердил Заключение по эскизному проекту опытного маневренного истребителя N 11 с М-71 и РД-2 Боровкова и Флорова, 207 завода (2050,127).</w:t>
      </w:r>
    </w:p>
    <w:p w14:paraId="7126F52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E96CF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П.В.Рычагов утвердил Заключение по эскизному проекту бомбардировщика с мотором АМ-37 конструкции В.П.Горбунова. Одобрили и предложили включить в план опытного строительства на 1941. Предложено предусмотреть 3 варианта: ПБ без ТК, СПБ с ТК, двухместный истребитель сопровождения с ТК (1004,2).</w:t>
      </w:r>
    </w:p>
    <w:p w14:paraId="7AA42E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Перечень представленных в эскизном проекте материалов:</w:t>
      </w:r>
    </w:p>
    <w:p w14:paraId="0789A7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общий вид в 3-х проектциях с боевой схемой вооружения</w:t>
      </w:r>
    </w:p>
    <w:p w14:paraId="46E56C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аэродинамические расчеты</w:t>
      </w:r>
    </w:p>
    <w:p w14:paraId="6A8EB7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весовые данные вариантов</w:t>
      </w:r>
    </w:p>
    <w:p w14:paraId="00103F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схемы центровки в тех же вариантах</w:t>
      </w:r>
    </w:p>
    <w:p w14:paraId="0A5BB8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принципиальные схемы размещения вооружения для 3-х вариантов</w:t>
      </w:r>
    </w:p>
    <w:p w14:paraId="7BD492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перечни вооружения во всех вариантах</w:t>
      </w:r>
    </w:p>
    <w:p w14:paraId="250384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краткое описание конструкции</w:t>
      </w:r>
    </w:p>
    <w:p w14:paraId="12F02CAC"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Эскизный проект одноместного самолета-бомбардировщика с мотором АМ-37 разработан в 3-х вариантах:</w:t>
      </w:r>
    </w:p>
    <w:p w14:paraId="22EE77B0"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 пикирующий бомбардировщик с АМ-37 без ТК (СПБ)</w:t>
      </w:r>
    </w:p>
    <w:p w14:paraId="31724D11"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пикирующий бомбардировщик с АМ-37 с ТК (СВБ)</w:t>
      </w:r>
    </w:p>
    <w:p w14:paraId="09034C83"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двухместный истребитель сопровождения с АМ-37 ТК</w:t>
      </w:r>
    </w:p>
    <w:p w14:paraId="5E9AEE11"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- 605 км/час, у земли - 485 км/час</w:t>
      </w:r>
    </w:p>
    <w:p w14:paraId="78ABF004"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Высотность - 10250 м</w:t>
      </w:r>
    </w:p>
    <w:p w14:paraId="7723D498"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полетный - 4570 кг</w:t>
      </w:r>
    </w:p>
    <w:p w14:paraId="349FB0E6"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0,8 макс. - 1270 км</w:t>
      </w:r>
    </w:p>
    <w:p w14:paraId="6D522DC3"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- 120 км/час</w:t>
      </w:r>
    </w:p>
    <w:p w14:paraId="04B27340"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 - 465 м</w:t>
      </w:r>
    </w:p>
    <w:p w14:paraId="4CFC16D2"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 - 405 м</w:t>
      </w:r>
    </w:p>
    <w:p w14:paraId="7E045572"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на крыло - 190 кг</w:t>
      </w:r>
    </w:p>
    <w:p w14:paraId="074EEA7B"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Актуальность настоящего проекта заключается в том, что, используя опыт изготовления с-та И-301, конструктор сможет построить с-т целиком деревянной конструкции с применением упроченной древисины и бакелитовой смолы...</w:t>
      </w:r>
    </w:p>
    <w:p w14:paraId="79863218"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C3CB283"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Эскизный п-т с-та конструкции Грбунова одобрить и предложить конструктору переработать проект согласно указаниям в выводах.</w:t>
      </w:r>
    </w:p>
    <w:p w14:paraId="2F9925BB"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Считать необходимым включитьпостройку самолета по проекту Горбунова в план опытного строительства на 1941 (1004,2)</w:t>
      </w:r>
    </w:p>
    <w:p w14:paraId="21493E1E" w14:textId="77777777" w:rsidR="0014077F" w:rsidRPr="00A3026E" w:rsidRDefault="0014077F" w:rsidP="00A3026E">
      <w:pPr>
        <w:numPr>
          <w:ilvl w:val="12"/>
          <w:numId w:val="0"/>
        </w:numPr>
        <w:spacing w:after="0" w:line="240" w:lineRule="auto"/>
        <w:jc w:val="both"/>
        <w:rPr>
          <w:rFonts w:ascii="Times New Roman" w:hAnsi="Times New Roman"/>
          <w:color w:val="000000" w:themeColor="text1"/>
          <w:sz w:val="16"/>
          <w:szCs w:val="16"/>
        </w:rPr>
      </w:pPr>
    </w:p>
    <w:p w14:paraId="11E0CD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Зам начальника ГУ ВВС генерал-лейтенант авиации Рычагов утвердил Заключение по эскизному проекту одноместного истребителя сопровождения с двумя моторами АМ-37 «ИС-2АМ-37» конструкции Грушина П.Д.</w:t>
      </w:r>
    </w:p>
    <w:p w14:paraId="784427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69AE7C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И-2АМ-37 с двумя моторами АМ-37 – одноместный истребитель – предназначается для сопровождения бомбардировщиков в течение всей операции, может также служить для ведения активного воздушного боя, для поражения наземных объектов стрелковым оружием и бомбами.</w:t>
      </w:r>
    </w:p>
    <w:p w14:paraId="65FD6F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представляет собой 2-х моторный свободнонесущий моноплан смешанной конструкции.</w:t>
      </w:r>
    </w:p>
    <w:p w14:paraId="46ACF0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состоит из 4-х пулеметов ШКАС с запасом патронов по 1000 штук на каждый пулемет, 2-х пушек Швак или Таубина с запасом снарядов по 150 штук на каждую пушку и 6-ти штук реактивных снарядов.</w:t>
      </w:r>
    </w:p>
    <w:p w14:paraId="73924F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 фюзеляжем предусмотрена установка съемной балки для подвески одной бомбы ФАБ-500 или 2-х бомб ФАБ-250.</w:t>
      </w:r>
    </w:p>
    <w:p w14:paraId="4EEE05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C68F4A9"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Представленный конструктором Грушиным эскизный проект одноместного двухмоторного истребителя ИС-2АМ-37 – реален.</w:t>
      </w:r>
    </w:p>
    <w:p w14:paraId="017EB5E4"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что Грушин работает над схемами одномоторных бомбардировщиков и то, что разработка этого типа самолета на 1941 год предполагается быть предложенной только одному КБ, считать целесообразным поручить Грушину разработку и постройку не одноместного двухмоторного истребителя, а опытного одномоторного бомбардировщика (4636).</w:t>
      </w:r>
    </w:p>
    <w:p w14:paraId="75148BAB"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p>
    <w:p w14:paraId="303F26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Зам начальника ГУ ВВС генерал-лейтенант авиации Рычагов утвердил Заключение по эскизным проектам самолетов «ИС-ПБ», «ИС-ХГ», «ИС-3», «ИС-4», «ИС-Х» конструкции Шевченко и Никитина</w:t>
      </w:r>
    </w:p>
    <w:p w14:paraId="01C3E3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Представленные конструкторами Шевченко и Никитиным проекты являются инициативными.</w:t>
      </w:r>
    </w:p>
    <w:p w14:paraId="52F3DF1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Предлагаемые эскизные проекты самолета «ИС» представляют различные варианты самолета типа биплан и моноплан с изменяемой в полете площадью крыла, отличаясь друг от друга, в основном, винтомоторной группой.</w:t>
      </w:r>
    </w:p>
    <w:p w14:paraId="70C207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самолеты являются развитием уже построенных самолетов «ИС-1» и «ИС-2».</w:t>
      </w:r>
    </w:p>
    <w:p w14:paraId="5EB494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Изменение площади крыльев осуществляется специальным олеопневматическим механизмом, связанным с механизмом уборки шасси.</w:t>
      </w:r>
    </w:p>
    <w:p w14:paraId="50C355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70B772D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Предлагаемы проекты являются дальнейшим развитием и модификацией, построенных, но недоведенных до сих пор экспериментальных самолетов «ИС-1» с М-63 и «ИС-2» с М-88.</w:t>
      </w:r>
    </w:p>
    <w:p w14:paraId="48BDC560" w14:textId="77777777" w:rsidR="0014077F" w:rsidRPr="00A3026E" w:rsidRDefault="0014077F" w:rsidP="00A3026E">
      <w:pPr>
        <w:pStyle w:val="a3"/>
        <w:widowControl/>
        <w:rPr>
          <w:color w:val="000000" w:themeColor="text1"/>
          <w:lang w:val="ru-RU"/>
        </w:rPr>
      </w:pPr>
      <w:r w:rsidRPr="00A3026E">
        <w:rPr>
          <w:color w:val="000000" w:themeColor="text1"/>
          <w:lang w:val="ru-RU"/>
        </w:rPr>
        <w:t>Наибольший интерес представляет проект биплана – моноплана с мотором АМ-37 «ИС-Х».</w:t>
      </w:r>
    </w:p>
    <w:p w14:paraId="3349C5E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конструкторам Шевченко и Никитину необходимо отработать схему экспериментального самолета «ИС» на уже построенных самолетах («ИС-1» и «ИС-2»), доказать преимущество данной схемы и выявить основные ее недостатки (4637).</w:t>
      </w:r>
    </w:p>
    <w:p w14:paraId="303AC49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p>
    <w:p w14:paraId="599527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было утверждено заключение ВВС на эскизный проект ОКО-7 с моторами АМ-37 или М-90.</w:t>
      </w:r>
    </w:p>
    <w:p w14:paraId="4A29A3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 - истребитель-перехватчик, истребитель сопровождения, самолет для борьбы с крупными наземными целями, легкий скоростной бомбардировщик.</w:t>
      </w:r>
    </w:p>
    <w:p w14:paraId="3A6263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Фюзеляж самолета предполагалось сделать деревянным из дельта-древесины. Более совершенным был фонарь летчика. Спереди и сзади предусматривались бронестекла. Должно было осуществляться частичное бронирование кабины с боков. Стабилизатор регулируемый в полете.</w:t>
      </w:r>
    </w:p>
    <w:p w14:paraId="6B989D2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 из конструктивных особенностей самолета: центроплан самолета был подложен под фюзеляж на узлах и снимался с них при транспортировке.</w:t>
      </w:r>
    </w:p>
    <w:p w14:paraId="58D1BF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 по эскизному проекту был сделан положительным: «... Считать как предварительный эскизный проект, включить в план опытного строительства на 1941 г. По живучести лучше вариант с М-90» (9649).</w:t>
      </w:r>
    </w:p>
    <w:p w14:paraId="019B46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плане опытного самолетостроения на 1940-41 гг. был и двухмоторный истребитель ОКО-8 с двумя моторами АМ-36. Работа по самолету велась на заводе № 81. Поскольку моторы АМ-36 оказались нереальными, то их решили заменить на М-90. Как никакой другой самолет ОКО-б прошел большой цикл тщательных заводских испытаний завершившихся в целом успешно. Кроме того, были проведены серьезные проработки по дальнейшему совершенствованию самолета, а необходимость принятия самолета на вооружение хорошо понимало не только руководство ВВС, но и НКАП (9649).</w:t>
      </w:r>
    </w:p>
    <w:p w14:paraId="3CEC116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764C7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Зам начальника ГУ ВВС генерал-лейтенант авиации Рычагов утвердил Заключение по эскизному проекту самолета ОКО-7 с моторами (2АМ-37 или 2М-90) конструкции Таирова</w:t>
      </w:r>
    </w:p>
    <w:p w14:paraId="004592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08224E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Одноместный двухмоторный истребитель ОКО-7 предлагается конструктором для выполнения задач:</w:t>
      </w:r>
    </w:p>
    <w:p w14:paraId="2725FFF6"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Истребителя-перехватчика.</w:t>
      </w:r>
    </w:p>
    <w:p w14:paraId="77D959F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Истребителя сопровождения.</w:t>
      </w:r>
    </w:p>
    <w:p w14:paraId="685D7956"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Борьбы с крупными наземными целями.</w:t>
      </w:r>
    </w:p>
    <w:p w14:paraId="6504D299"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Легкого скоростного бомбардировщика.</w:t>
      </w:r>
    </w:p>
    <w:p w14:paraId="051029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ОКО-7 – свободнонесущий двухмоторный низкоплан смешанной конструкции.</w:t>
      </w:r>
    </w:p>
    <w:p w14:paraId="580864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вооружение возможно в двух вариантах:</w:t>
      </w:r>
    </w:p>
    <w:p w14:paraId="55141603"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ШВАК и 2 ШКАС, расположенные в передней части фюзеляжа. Емкость снарядных ящиков 1100 снарядов, патронных – 1200 патрон.</w:t>
      </w:r>
    </w:p>
    <w:p w14:paraId="7E9D42F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ШВАК и 2 ШКАС и одна пушка Шпитального калибром 37 мм. Магазин пушки рассчитан на 40 снарядов.</w:t>
      </w:r>
    </w:p>
    <w:p w14:paraId="721FABD7" w14:textId="77777777" w:rsidR="0014077F" w:rsidRPr="00A3026E" w:rsidRDefault="0014077F" w:rsidP="00A3026E">
      <w:pPr>
        <w:pStyle w:val="a3"/>
        <w:widowControl/>
        <w:rPr>
          <w:color w:val="000000" w:themeColor="text1"/>
          <w:lang w:val="ru-RU"/>
        </w:rPr>
      </w:pPr>
      <w:r w:rsidRPr="00A3026E">
        <w:rPr>
          <w:color w:val="000000" w:themeColor="text1"/>
          <w:lang w:val="ru-RU"/>
        </w:rPr>
        <w:t>Внутрь центральной части фюзеляжа возможно подвесить 4 бомбы весом от 25 до 100 кг каждая.</w:t>
      </w:r>
    </w:p>
    <w:p w14:paraId="44103F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E5A6CD5"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необходимым включить в план опытного самолетостроения на 1941 год постройку самолета ОКО-7-2М90 конструкции Таирова (4638).</w:t>
      </w:r>
    </w:p>
    <w:p w14:paraId="2E0DEFC3"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p>
    <w:p w14:paraId="67B3D1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Начальник ГУ ВВС генерал-лейтенант авиации Рычагов утвердил Вторичное заключение по эскизному проекту двухмоторного двухместного истребителя с моторами АМ-37 конструкции Бисноват</w:t>
      </w:r>
    </w:p>
    <w:p w14:paraId="786B79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самолета разработан по инициативе автора – гл. конструктора 26 отд. ЦАГИ Бисноват.</w:t>
      </w:r>
    </w:p>
    <w:p w14:paraId="4E1A02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Первоначальный проект этого самолета утвержден не был (заключение ГУ ВВС от 9 сентября 1940 года).</w:t>
      </w:r>
    </w:p>
    <w:p w14:paraId="56DCD0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Переработав частично проект, конструктор Бисноват предъявил проект снова.</w:t>
      </w:r>
    </w:p>
    <w:p w14:paraId="703830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36AA2C9E"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Ведение активного воздушного боя для поражения противника.</w:t>
      </w:r>
    </w:p>
    <w:p w14:paraId="397E7C32"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Сопровождение своих бомбардировщиков, а также выполнение задач по разведке.</w:t>
      </w:r>
    </w:p>
    <w:p w14:paraId="446F58F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Поражение наземных объектов: войсковых колонн и бронетанковых частей крупнокалиберным стрелковым оружием и крупных точечных объектов бомбой большого калибра.</w:t>
      </w:r>
    </w:p>
    <w:p w14:paraId="7EB5BF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Самолет СК-3 2АМ-37 по внешнему виду, схеме, расположению экипажа и вооружению напоминает немецкий тяжелый истребитель «Мессершмидт-110» 2ДВ-601.</w:t>
      </w:r>
    </w:p>
    <w:p w14:paraId="1D6F00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устанавливается следующее вооружение:</w:t>
      </w:r>
    </w:p>
    <w:p w14:paraId="467BE9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Нормальный вариант.</w:t>
      </w:r>
    </w:p>
    <w:p w14:paraId="1ACB6F04"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БС калибра 12,7 мм. Боезапас – 800 патронов.</w:t>
      </w:r>
    </w:p>
    <w:p w14:paraId="096EAE7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пушки калибра 23 мм. Боезапас – 276 снарядов.</w:t>
      </w:r>
    </w:p>
    <w:p w14:paraId="7627E60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пулемет БС у стрелка для стрельбы назад. Боезапас – 200 патрон.</w:t>
      </w:r>
    </w:p>
    <w:p w14:paraId="73B11387" w14:textId="77777777" w:rsidR="0014077F" w:rsidRPr="00A3026E" w:rsidRDefault="0014077F" w:rsidP="00A3026E">
      <w:pPr>
        <w:pStyle w:val="a3"/>
        <w:widowControl/>
        <w:rPr>
          <w:color w:val="000000" w:themeColor="text1"/>
          <w:lang w:val="ru-RU"/>
        </w:rPr>
      </w:pPr>
      <w:r w:rsidRPr="00A3026E">
        <w:rPr>
          <w:color w:val="000000" w:themeColor="text1"/>
          <w:lang w:val="ru-RU"/>
        </w:rPr>
        <w:t>б) Перегрузочный вариант.</w:t>
      </w:r>
    </w:p>
    <w:p w14:paraId="6B4712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вооружению установленному в нормальном варианте добавляется: 2 пушки калибра 23 мм. Боезапас – 276 снарядов.</w:t>
      </w:r>
    </w:p>
    <w:p w14:paraId="20A3B7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Перегрузочный вариант 2-й.</w:t>
      </w:r>
    </w:p>
    <w:p w14:paraId="43C4CA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вооружению установленному в нормальном варианте добавляется: 8 РС калибра 132 мм.</w:t>
      </w:r>
    </w:p>
    <w:p w14:paraId="6F873E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Перегрузочный вариант 3-й.</w:t>
      </w:r>
    </w:p>
    <w:p w14:paraId="32725A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 же, что и в пункте «а», но снаряженой подвеской бомбы ФАБ-500 кг.</w:t>
      </w:r>
    </w:p>
    <w:p w14:paraId="6805B8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 состоит из двух человек: летчика и стрелка-радиста.</w:t>
      </w:r>
    </w:p>
    <w:p w14:paraId="3E816A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5DC5A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Двухмоторный двухместный истребитель СК-3 по вторично предъявленному проекту конструктора Бисноват, как неудовлетворяющий требованиям ВВС по типажу, вооружению, дальности полета и как самолет с завышенными данными рекомендован для включения в план опытного самолетостроения на 1941 год – быть не может (4641).</w:t>
      </w:r>
    </w:p>
    <w:p w14:paraId="71897D6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29BBCA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Начальник ГУ ВВС КА генерал-лейтенант авиа</w:t>
      </w:r>
      <w:r w:rsidRPr="00A3026E">
        <w:rPr>
          <w:rFonts w:ascii="Times New Roman" w:hAnsi="Times New Roman"/>
          <w:color w:val="000000" w:themeColor="text1"/>
          <w:sz w:val="16"/>
          <w:szCs w:val="16"/>
        </w:rPr>
        <w:softHyphen/>
        <w:t>ции П.В.Рычагов утвердил Заключе</w:t>
      </w:r>
      <w:r w:rsidRPr="00A3026E">
        <w:rPr>
          <w:rFonts w:ascii="Times New Roman" w:hAnsi="Times New Roman"/>
          <w:color w:val="000000" w:themeColor="text1"/>
          <w:sz w:val="16"/>
          <w:szCs w:val="16"/>
        </w:rPr>
        <w:softHyphen/>
        <w:t>ние по эскизному проекту, со сле</w:t>
      </w:r>
      <w:r w:rsidRPr="00A3026E">
        <w:rPr>
          <w:rFonts w:ascii="Times New Roman" w:hAnsi="Times New Roman"/>
          <w:color w:val="000000" w:themeColor="text1"/>
          <w:sz w:val="16"/>
          <w:szCs w:val="16"/>
        </w:rPr>
        <w:softHyphen/>
        <w:t>дующей резолюцией: «Считаю не</w:t>
      </w:r>
      <w:r w:rsidRPr="00A3026E">
        <w:rPr>
          <w:rFonts w:ascii="Times New Roman" w:hAnsi="Times New Roman"/>
          <w:color w:val="000000" w:themeColor="text1"/>
          <w:sz w:val="16"/>
          <w:szCs w:val="16"/>
        </w:rPr>
        <w:softHyphen/>
        <w:t>обходимым тов. Сухому заняться одномоторными ближними бомбар</w:t>
      </w:r>
      <w:r w:rsidRPr="00A3026E">
        <w:rPr>
          <w:rFonts w:ascii="Times New Roman" w:hAnsi="Times New Roman"/>
          <w:color w:val="000000" w:themeColor="text1"/>
          <w:sz w:val="16"/>
          <w:szCs w:val="16"/>
        </w:rPr>
        <w:softHyphen/>
        <w:t>дировщиками».</w:t>
      </w:r>
    </w:p>
    <w:p w14:paraId="6BA0C7A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Истребитель обороны пункта представлял собой цельнометалли</w:t>
      </w:r>
      <w:r w:rsidRPr="00A3026E">
        <w:rPr>
          <w:rFonts w:ascii="Times New Roman" w:hAnsi="Times New Roman"/>
          <w:color w:val="000000" w:themeColor="text1"/>
          <w:sz w:val="16"/>
          <w:szCs w:val="16"/>
        </w:rPr>
        <w:softHyphen/>
        <w:t>ческий низкоплан с разнесенным двухкилевым хвостовым оперением,</w:t>
      </w:r>
    </w:p>
    <w:p w14:paraId="121836F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Фюзеляж овального сечения, по конструктивной схеме - монокок с вырезами. Летчик располагался в носовой части, что обеспечивало ему хороший обзор вперед и в сто</w:t>
      </w:r>
      <w:r w:rsidRPr="00A3026E">
        <w:rPr>
          <w:rFonts w:ascii="Times New Roman" w:hAnsi="Times New Roman"/>
          <w:color w:val="000000" w:themeColor="text1"/>
          <w:sz w:val="16"/>
          <w:szCs w:val="16"/>
        </w:rPr>
        <w:softHyphen/>
        <w:t>роны. Для обзора задней полусфе</w:t>
      </w:r>
      <w:r w:rsidRPr="00A3026E">
        <w:rPr>
          <w:rFonts w:ascii="Times New Roman" w:hAnsi="Times New Roman"/>
          <w:color w:val="000000" w:themeColor="text1"/>
          <w:sz w:val="16"/>
          <w:szCs w:val="16"/>
        </w:rPr>
        <w:softHyphen/>
        <w:t>ры, за спинкой кресла пилота, по бортам фюзеляжа имелись окна. Предусматривалось специальное окно для обзора вперед - вниз. Сдвижной фонарь кабины летчика имел форточку.</w:t>
      </w:r>
    </w:p>
    <w:p w14:paraId="4601B81D" w14:textId="77777777" w:rsidR="0014077F" w:rsidRPr="00A3026E" w:rsidRDefault="0014077F" w:rsidP="00A3026E">
      <w:pPr>
        <w:pStyle w:val="af9"/>
        <w:spacing w:before="0" w:after="0"/>
        <w:jc w:val="both"/>
        <w:rPr>
          <w:color w:val="000000" w:themeColor="text1"/>
          <w:sz w:val="16"/>
          <w:szCs w:val="16"/>
        </w:rPr>
      </w:pPr>
      <w:r w:rsidRPr="00A3026E">
        <w:rPr>
          <w:color w:val="000000" w:themeColor="text1"/>
          <w:sz w:val="16"/>
          <w:szCs w:val="16"/>
        </w:rPr>
        <w:t>В передней части фюзеляжа, под полом кабины летчика и за спин</w:t>
      </w:r>
      <w:r w:rsidRPr="00A3026E">
        <w:rPr>
          <w:color w:val="000000" w:themeColor="text1"/>
          <w:sz w:val="16"/>
          <w:szCs w:val="16"/>
        </w:rPr>
        <w:softHyphen/>
        <w:t>кой кресла размещалось вооруже</w:t>
      </w:r>
      <w:r w:rsidRPr="00A3026E">
        <w:rPr>
          <w:color w:val="000000" w:themeColor="text1"/>
          <w:sz w:val="16"/>
          <w:szCs w:val="16"/>
        </w:rPr>
        <w:softHyphen/>
        <w:t>ние. В средней части фюзеляжа по</w:t>
      </w:r>
      <w:r w:rsidRPr="00A3026E">
        <w:rPr>
          <w:color w:val="000000" w:themeColor="text1"/>
          <w:sz w:val="16"/>
          <w:szCs w:val="16"/>
        </w:rPr>
        <w:softHyphen/>
        <w:t>мещались топливные баки, а под ними бомбовый отсек. В хвостовой части фюзеляжа монтировалось оборудование.</w:t>
      </w:r>
    </w:p>
    <w:p w14:paraId="4B00F93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трапециевидной формы в плане было выполнено по однолонжеронной схеме и имело автома</w:t>
      </w:r>
      <w:r w:rsidRPr="00A3026E">
        <w:rPr>
          <w:rFonts w:ascii="Times New Roman" w:hAnsi="Times New Roman"/>
          <w:color w:val="000000" w:themeColor="text1"/>
          <w:sz w:val="16"/>
          <w:szCs w:val="16"/>
        </w:rPr>
        <w:softHyphen/>
        <w:t>тические предкрылки, элероны с триммером и посадочные щитки.</w:t>
      </w:r>
    </w:p>
    <w:p w14:paraId="7F65942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Хвостовое оперение двухкиле-вое. Конструктивно стабилизатор составлял одно целое с задним от</w:t>
      </w:r>
      <w:r w:rsidRPr="00A3026E">
        <w:rPr>
          <w:rFonts w:ascii="Times New Roman" w:hAnsi="Times New Roman"/>
          <w:color w:val="000000" w:themeColor="text1"/>
          <w:sz w:val="16"/>
          <w:szCs w:val="16"/>
        </w:rPr>
        <w:softHyphen/>
        <w:t>секом фюзеляжа и крепился к нему по контуру обшивки. Рули высоты и направления были снабжены трим</w:t>
      </w:r>
      <w:r w:rsidRPr="00A3026E">
        <w:rPr>
          <w:rFonts w:ascii="Times New Roman" w:hAnsi="Times New Roman"/>
          <w:color w:val="000000" w:themeColor="text1"/>
          <w:sz w:val="16"/>
          <w:szCs w:val="16"/>
        </w:rPr>
        <w:softHyphen/>
        <w:t>мерами.</w:t>
      </w:r>
    </w:p>
    <w:p w14:paraId="76F1D94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 - трехопорное с хвосто</w:t>
      </w:r>
      <w:r w:rsidRPr="00A3026E">
        <w:rPr>
          <w:rFonts w:ascii="Times New Roman" w:hAnsi="Times New Roman"/>
          <w:color w:val="000000" w:themeColor="text1"/>
          <w:sz w:val="16"/>
          <w:szCs w:val="16"/>
        </w:rPr>
        <w:softHyphen/>
        <w:t>вым колесом. Основные опоры уби</w:t>
      </w:r>
      <w:r w:rsidRPr="00A3026E">
        <w:rPr>
          <w:rFonts w:ascii="Times New Roman" w:hAnsi="Times New Roman"/>
          <w:color w:val="000000" w:themeColor="text1"/>
          <w:sz w:val="16"/>
          <w:szCs w:val="16"/>
        </w:rPr>
        <w:softHyphen/>
        <w:t>рались в мотогондолы, а хвостовое колесо - в фюзеляж. Уборка и вы</w:t>
      </w:r>
      <w:r w:rsidRPr="00A3026E">
        <w:rPr>
          <w:rFonts w:ascii="Times New Roman" w:hAnsi="Times New Roman"/>
          <w:color w:val="000000" w:themeColor="text1"/>
          <w:sz w:val="16"/>
          <w:szCs w:val="16"/>
        </w:rPr>
        <w:softHyphen/>
        <w:t>пуск шасси осуществлялись при по</w:t>
      </w:r>
      <w:r w:rsidRPr="00A3026E">
        <w:rPr>
          <w:rFonts w:ascii="Times New Roman" w:hAnsi="Times New Roman"/>
          <w:color w:val="000000" w:themeColor="text1"/>
          <w:sz w:val="16"/>
          <w:szCs w:val="16"/>
        </w:rPr>
        <w:softHyphen/>
        <w:t>мощи гидросистемы, давление в ко</w:t>
      </w:r>
      <w:r w:rsidRPr="00A3026E">
        <w:rPr>
          <w:rFonts w:ascii="Times New Roman" w:hAnsi="Times New Roman"/>
          <w:color w:val="000000" w:themeColor="text1"/>
          <w:sz w:val="16"/>
          <w:szCs w:val="16"/>
        </w:rPr>
        <w:softHyphen/>
        <w:t>торой создавалось гидронасосом, установленным на одном из двига</w:t>
      </w:r>
      <w:r w:rsidRPr="00A3026E">
        <w:rPr>
          <w:rFonts w:ascii="Times New Roman" w:hAnsi="Times New Roman"/>
          <w:color w:val="000000" w:themeColor="text1"/>
          <w:sz w:val="16"/>
          <w:szCs w:val="16"/>
        </w:rPr>
        <w:softHyphen/>
        <w:t>телей. Предусматривался аварий</w:t>
      </w:r>
      <w:r w:rsidRPr="00A3026E">
        <w:rPr>
          <w:rFonts w:ascii="Times New Roman" w:hAnsi="Times New Roman"/>
          <w:color w:val="000000" w:themeColor="text1"/>
          <w:sz w:val="16"/>
          <w:szCs w:val="16"/>
        </w:rPr>
        <w:softHyphen/>
        <w:t>ный выпуск шасси от ручного гид</w:t>
      </w:r>
      <w:r w:rsidRPr="00A3026E">
        <w:rPr>
          <w:rFonts w:ascii="Times New Roman" w:hAnsi="Times New Roman"/>
          <w:color w:val="000000" w:themeColor="text1"/>
          <w:sz w:val="16"/>
          <w:szCs w:val="16"/>
        </w:rPr>
        <w:softHyphen/>
        <w:t>ронасоса.</w:t>
      </w:r>
    </w:p>
    <w:p w14:paraId="3729B10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Силовая установка включала в себя два двигателя водяного охлаж</w:t>
      </w:r>
      <w:r w:rsidRPr="00A3026E">
        <w:rPr>
          <w:rFonts w:ascii="Times New Roman" w:hAnsi="Times New Roman"/>
          <w:color w:val="000000" w:themeColor="text1"/>
          <w:sz w:val="16"/>
          <w:szCs w:val="16"/>
        </w:rPr>
        <w:softHyphen/>
        <w:t>дения АМ-37, с взлетной мощнос</w:t>
      </w:r>
      <w:r w:rsidRPr="00A3026E">
        <w:rPr>
          <w:rFonts w:ascii="Times New Roman" w:hAnsi="Times New Roman"/>
          <w:color w:val="000000" w:themeColor="text1"/>
          <w:sz w:val="16"/>
          <w:szCs w:val="16"/>
        </w:rPr>
        <w:softHyphen/>
        <w:t>тью по 1400 л.с. Винты изменяемо</w:t>
      </w:r>
      <w:r w:rsidRPr="00A3026E">
        <w:rPr>
          <w:rFonts w:ascii="Times New Roman" w:hAnsi="Times New Roman"/>
          <w:color w:val="000000" w:themeColor="text1"/>
          <w:sz w:val="16"/>
          <w:szCs w:val="16"/>
        </w:rPr>
        <w:softHyphen/>
        <w:t>го шага, металлические, трехлопа</w:t>
      </w:r>
      <w:r w:rsidRPr="00A3026E">
        <w:rPr>
          <w:rFonts w:ascii="Times New Roman" w:hAnsi="Times New Roman"/>
          <w:color w:val="000000" w:themeColor="text1"/>
          <w:sz w:val="16"/>
          <w:szCs w:val="16"/>
        </w:rPr>
        <w:softHyphen/>
        <w:t>стные, диаметром 3,4 м. Водо- и мас-лорадиаторы располагались в кры</w:t>
      </w:r>
      <w:r w:rsidRPr="00A3026E">
        <w:rPr>
          <w:rFonts w:ascii="Times New Roman" w:hAnsi="Times New Roman"/>
          <w:color w:val="000000" w:themeColor="text1"/>
          <w:sz w:val="16"/>
          <w:szCs w:val="16"/>
        </w:rPr>
        <w:softHyphen/>
        <w:t>ле, со входом охлаждающего воз</w:t>
      </w:r>
      <w:r w:rsidRPr="00A3026E">
        <w:rPr>
          <w:rFonts w:ascii="Times New Roman" w:hAnsi="Times New Roman"/>
          <w:color w:val="000000" w:themeColor="text1"/>
          <w:sz w:val="16"/>
          <w:szCs w:val="16"/>
        </w:rPr>
        <w:softHyphen/>
        <w:t>духа в передней кромке и с выхо</w:t>
      </w:r>
      <w:r w:rsidRPr="00A3026E">
        <w:rPr>
          <w:rFonts w:ascii="Times New Roman" w:hAnsi="Times New Roman"/>
          <w:color w:val="000000" w:themeColor="text1"/>
          <w:sz w:val="16"/>
          <w:szCs w:val="16"/>
        </w:rPr>
        <w:softHyphen/>
        <w:t>дом в задней части крыла на его верхней поверхности.</w:t>
      </w:r>
    </w:p>
    <w:p w14:paraId="5579BFA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(1000 кг) размещался в четырех протектированных баках, расположенных в фюзеляже (600 кг) и в мотогондолах (400 кг). В пере</w:t>
      </w:r>
      <w:r w:rsidRPr="00A3026E">
        <w:rPr>
          <w:rFonts w:ascii="Times New Roman" w:hAnsi="Times New Roman"/>
          <w:color w:val="000000" w:themeColor="text1"/>
          <w:sz w:val="16"/>
          <w:szCs w:val="16"/>
        </w:rPr>
        <w:softHyphen/>
        <w:t>грузочном варианте без бомбовой нагрузки предусматривалось разме</w:t>
      </w:r>
      <w:r w:rsidRPr="00A3026E">
        <w:rPr>
          <w:rFonts w:ascii="Times New Roman" w:hAnsi="Times New Roman"/>
          <w:color w:val="000000" w:themeColor="text1"/>
          <w:sz w:val="16"/>
          <w:szCs w:val="16"/>
        </w:rPr>
        <w:softHyphen/>
        <w:t>щение в бомбовом отсеке допол</w:t>
      </w:r>
      <w:r w:rsidRPr="00A3026E">
        <w:rPr>
          <w:rFonts w:ascii="Times New Roman" w:hAnsi="Times New Roman"/>
          <w:color w:val="000000" w:themeColor="text1"/>
          <w:sz w:val="16"/>
          <w:szCs w:val="16"/>
        </w:rPr>
        <w:softHyphen/>
        <w:t>нительного топливного бака.</w:t>
      </w:r>
    </w:p>
    <w:p w14:paraId="3ABA162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Стрелково-пушечное вооруже</w:t>
      </w:r>
      <w:r w:rsidRPr="00A3026E">
        <w:rPr>
          <w:rFonts w:ascii="Times New Roman" w:hAnsi="Times New Roman"/>
          <w:color w:val="000000" w:themeColor="text1"/>
          <w:sz w:val="16"/>
          <w:szCs w:val="16"/>
        </w:rPr>
        <w:softHyphen/>
        <w:t>ние включало две 23-мм пушки Я.Г. Таубина с суммарным боезапасом 280 патронов и шесть пулеметов ШКАС с суммарным боезапасом 4500 патронов, установленных на общем поворотном мосту в фюзе</w:t>
      </w:r>
      <w:r w:rsidRPr="00A3026E">
        <w:rPr>
          <w:rFonts w:ascii="Times New Roman" w:hAnsi="Times New Roman"/>
          <w:color w:val="000000" w:themeColor="text1"/>
          <w:sz w:val="16"/>
          <w:szCs w:val="16"/>
        </w:rPr>
        <w:softHyphen/>
        <w:t>ляже В перегрузочном варианте предусматривалась бомбовая на</w:t>
      </w:r>
      <w:r w:rsidRPr="00A3026E">
        <w:rPr>
          <w:rFonts w:ascii="Times New Roman" w:hAnsi="Times New Roman"/>
          <w:color w:val="000000" w:themeColor="text1"/>
          <w:sz w:val="16"/>
          <w:szCs w:val="16"/>
        </w:rPr>
        <w:softHyphen/>
        <w:t>грузка до 400 кг.</w:t>
      </w:r>
    </w:p>
    <w:p w14:paraId="0FF19225" w14:textId="77777777" w:rsidR="0014077F" w:rsidRPr="00A3026E" w:rsidRDefault="0014077F" w:rsidP="00A3026E">
      <w:pPr>
        <w:pStyle w:val="af9"/>
        <w:spacing w:before="0" w:after="0"/>
        <w:jc w:val="both"/>
        <w:rPr>
          <w:color w:val="000000" w:themeColor="text1"/>
          <w:sz w:val="16"/>
          <w:szCs w:val="16"/>
        </w:rPr>
      </w:pPr>
      <w:r w:rsidRPr="00A3026E">
        <w:rPr>
          <w:color w:val="000000" w:themeColor="text1"/>
          <w:sz w:val="16"/>
          <w:szCs w:val="16"/>
        </w:rPr>
        <w:t>Летчик спереди был защищен прозрачной броней, а сзади - бро-неспинкой толщиной 8,65 мм. Для защиты головы при сохранении об</w:t>
      </w:r>
      <w:r w:rsidRPr="00A3026E">
        <w:rPr>
          <w:color w:val="000000" w:themeColor="text1"/>
          <w:sz w:val="16"/>
          <w:szCs w:val="16"/>
        </w:rPr>
        <w:softHyphen/>
        <w:t>зора назад, верхняя часть бронес-пинки срезалась и заменялась про</w:t>
      </w:r>
      <w:r w:rsidRPr="00A3026E">
        <w:rPr>
          <w:color w:val="000000" w:themeColor="text1"/>
          <w:sz w:val="16"/>
          <w:szCs w:val="16"/>
        </w:rPr>
        <w:softHyphen/>
        <w:t>зрачной броней. Кабина летчика имела бронированный пол.</w:t>
      </w:r>
    </w:p>
    <w:p w14:paraId="4180481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расчетные данные самолета:</w:t>
      </w:r>
    </w:p>
    <w:p w14:paraId="715A927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самолета, мм............... 11100</w:t>
      </w:r>
    </w:p>
    <w:p w14:paraId="3AB1BF9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крыла, мм .................... 15200</w:t>
      </w:r>
    </w:p>
    <w:p w14:paraId="500FCE1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xml:space="preserve"> ........................ 34</w:t>
      </w:r>
    </w:p>
    <w:p w14:paraId="0962E23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Масса самолета, кг: пустого.......................................... 5022</w:t>
      </w:r>
    </w:p>
    <w:p w14:paraId="318DFE6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нормальная полетная............. 6476</w:t>
      </w:r>
    </w:p>
    <w:p w14:paraId="2F6475E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км/ч: у земли........................................... 540</w:t>
      </w:r>
    </w:p>
    <w:p w14:paraId="3C0BEE4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Н=6000м ................................. 670</w:t>
      </w:r>
    </w:p>
    <w:p w14:paraId="30C08E4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(Н=7000м.............................. 650-670)</w:t>
      </w:r>
    </w:p>
    <w:p w14:paraId="661E2E8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w:t>
      </w:r>
    </w:p>
    <w:p w14:paraId="2EEACB0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10000м, мин .........................7,5 (9-11)</w:t>
      </w:r>
    </w:p>
    <w:p w14:paraId="007AAB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p w14:paraId="7D0F21B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Н=1000м, с.................. 19 (22-24)</w:t>
      </w:r>
    </w:p>
    <w:p w14:paraId="488CDD9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м..... 12100</w:t>
      </w:r>
    </w:p>
    <w:p w14:paraId="5F1CEDB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(У=0.9Угтюх., Н=6000м): нормальная ........................900 (800)</w:t>
      </w:r>
    </w:p>
    <w:p w14:paraId="73D7C6B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перегрузочном</w:t>
      </w:r>
    </w:p>
    <w:p w14:paraId="37EE45E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варианте ........................ 1860 (1550)</w:t>
      </w:r>
    </w:p>
    <w:p w14:paraId="4AFC5B0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 м....... 248 (300-320)</w:t>
      </w:r>
    </w:p>
    <w:p w14:paraId="4E3DDB0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В скобках указа</w:t>
      </w:r>
      <w:r w:rsidRPr="00A3026E">
        <w:rPr>
          <w:rFonts w:ascii="Times New Roman" w:hAnsi="Times New Roman"/>
          <w:color w:val="000000" w:themeColor="text1"/>
          <w:sz w:val="16"/>
          <w:szCs w:val="16"/>
        </w:rPr>
        <w:softHyphen/>
        <w:t>ны данные, ожидаемые по расче</w:t>
      </w:r>
      <w:r w:rsidRPr="00A3026E">
        <w:rPr>
          <w:rFonts w:ascii="Times New Roman" w:hAnsi="Times New Roman"/>
          <w:color w:val="000000" w:themeColor="text1"/>
          <w:sz w:val="16"/>
          <w:szCs w:val="16"/>
        </w:rPr>
        <w:softHyphen/>
        <w:t>там специалистов НИИ ВВС (11754).</w:t>
      </w:r>
    </w:p>
    <w:p w14:paraId="3608D5E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0C025BB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в заключении по эскизному про</w:t>
      </w:r>
      <w:r w:rsidRPr="00A3026E">
        <w:rPr>
          <w:rFonts w:ascii="Times New Roman" w:hAnsi="Times New Roman"/>
          <w:color w:val="000000" w:themeColor="text1"/>
          <w:sz w:val="16"/>
          <w:szCs w:val="16"/>
        </w:rPr>
        <w:softHyphen/>
        <w:t>екту ББ-3, утвержденному П.В.Рычаговым, отмечалось:</w:t>
      </w:r>
    </w:p>
    <w:p w14:paraId="5184D3F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 Эскизный проект самолета ББ-3 АМ-37... - одобрить с добавле</w:t>
      </w:r>
      <w:r w:rsidRPr="00A3026E">
        <w:rPr>
          <w:rFonts w:ascii="Times New Roman" w:hAnsi="Times New Roman"/>
          <w:color w:val="000000" w:themeColor="text1"/>
          <w:sz w:val="16"/>
          <w:szCs w:val="16"/>
        </w:rPr>
        <w:softHyphen/>
        <w:t>ниями, указанными в настоящих вы</w:t>
      </w:r>
      <w:r w:rsidRPr="00A3026E">
        <w:rPr>
          <w:rFonts w:ascii="Times New Roman" w:hAnsi="Times New Roman"/>
          <w:color w:val="000000" w:themeColor="text1"/>
          <w:sz w:val="16"/>
          <w:szCs w:val="16"/>
        </w:rPr>
        <w:softHyphen/>
        <w:t>водах и рекомендовать постройку самолета по проекту, включив в план опытного самолетостроения на 1941 год.</w:t>
      </w:r>
    </w:p>
    <w:p w14:paraId="6FC59BA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связи с отсутствием отрабо</w:t>
      </w:r>
      <w:r w:rsidRPr="00A3026E">
        <w:rPr>
          <w:rFonts w:ascii="Times New Roman" w:hAnsi="Times New Roman"/>
          <w:color w:val="000000" w:themeColor="text1"/>
          <w:sz w:val="16"/>
          <w:szCs w:val="16"/>
        </w:rPr>
        <w:softHyphen/>
        <w:t>танного экземпляра мотора АМ-37, считать допустимым установку на первом экземпляре самолета мото</w:t>
      </w:r>
      <w:r w:rsidRPr="00A3026E">
        <w:rPr>
          <w:rFonts w:ascii="Times New Roman" w:hAnsi="Times New Roman"/>
          <w:color w:val="000000" w:themeColor="text1"/>
          <w:sz w:val="16"/>
          <w:szCs w:val="16"/>
        </w:rPr>
        <w:softHyphen/>
        <w:t>ра АМ-35...» (11849).</w:t>
      </w:r>
    </w:p>
    <w:p w14:paraId="0AF224F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068138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Начальник "Аэрофлота" B.C. Молоков обратился с письмом к Ворошилову с ходатайством о включении в план опытного строительства на 1941 г. модификацию самолета ПС-84 под моторы М-71. Секретариат Комитета Обороны предложил Ворошилову ходатайство Молоков отклонить, мотивируя это главным образом тем, что работа над ПС-84А отрицательно отразится на выпуске обычного пассажирского варианта ПС-84 (3404).</w:t>
      </w:r>
    </w:p>
    <w:p w14:paraId="2659C5A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CFF7B4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Начальник Штаба ВВС генерал-майор Никишев, начальник 5 отдела Штаба ВВС генерал-майор интендантской службы Афанасьев.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1007"/>
        <w:gridCol w:w="1151"/>
        <w:gridCol w:w="1151"/>
        <w:gridCol w:w="1295"/>
        <w:gridCol w:w="1007"/>
        <w:gridCol w:w="830"/>
        <w:gridCol w:w="968"/>
        <w:gridCol w:w="2519"/>
      </w:tblGrid>
      <w:tr w:rsidR="00983732" w:rsidRPr="00A3026E" w14:paraId="007C7F50" w14:textId="77777777" w:rsidTr="00EA0DA7">
        <w:tc>
          <w:tcPr>
            <w:tcW w:w="1134" w:type="dxa"/>
          </w:tcPr>
          <w:p w14:paraId="5029C2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Типы самолетов</w:t>
            </w:r>
          </w:p>
        </w:tc>
        <w:tc>
          <w:tcPr>
            <w:tcW w:w="1007" w:type="dxa"/>
          </w:tcPr>
          <w:p w14:paraId="6D25713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деформирующ. окраски м кв</w:t>
            </w:r>
          </w:p>
        </w:tc>
        <w:tc>
          <w:tcPr>
            <w:tcW w:w="1151" w:type="dxa"/>
          </w:tcPr>
          <w:p w14:paraId="507588D9" w14:textId="77777777" w:rsidR="0014077F" w:rsidRPr="00A3026E" w:rsidRDefault="0014077F" w:rsidP="00A3026E">
            <w:pPr>
              <w:pStyle w:val="22"/>
              <w:widowControl/>
              <w:tabs>
                <w:tab w:val="left" w:pos="11199"/>
              </w:tabs>
              <w:rPr>
                <w:color w:val="000000" w:themeColor="text1"/>
              </w:rPr>
            </w:pPr>
            <w:r w:rsidRPr="00A3026E">
              <w:rPr>
                <w:color w:val="000000" w:themeColor="text1"/>
              </w:rPr>
              <w:t>Цветной эталон № 1:</w:t>
            </w:r>
          </w:p>
          <w:p w14:paraId="480FD17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площадь покрытия м кв./кол-во красочной смеси кг</w:t>
            </w:r>
          </w:p>
        </w:tc>
        <w:tc>
          <w:tcPr>
            <w:tcW w:w="1151" w:type="dxa"/>
          </w:tcPr>
          <w:p w14:paraId="21E37389" w14:textId="77777777" w:rsidR="0014077F" w:rsidRPr="00A3026E" w:rsidRDefault="0014077F" w:rsidP="00A3026E">
            <w:pPr>
              <w:pStyle w:val="22"/>
              <w:widowControl/>
              <w:tabs>
                <w:tab w:val="left" w:pos="11199"/>
              </w:tabs>
              <w:rPr>
                <w:color w:val="000000" w:themeColor="text1"/>
              </w:rPr>
            </w:pPr>
            <w:r w:rsidRPr="00A3026E">
              <w:rPr>
                <w:color w:val="000000" w:themeColor="text1"/>
              </w:rPr>
              <w:t>Цветной эталон № 2:</w:t>
            </w:r>
          </w:p>
          <w:p w14:paraId="2DD4162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площадь покрытия м кв./кол-во красочной смеси кг</w:t>
            </w:r>
          </w:p>
        </w:tc>
        <w:tc>
          <w:tcPr>
            <w:tcW w:w="1295" w:type="dxa"/>
          </w:tcPr>
          <w:p w14:paraId="3C639A29" w14:textId="77777777" w:rsidR="0014077F" w:rsidRPr="00A3026E" w:rsidRDefault="0014077F" w:rsidP="00A3026E">
            <w:pPr>
              <w:pStyle w:val="22"/>
              <w:widowControl/>
              <w:tabs>
                <w:tab w:val="left" w:pos="11199"/>
              </w:tabs>
              <w:rPr>
                <w:color w:val="000000" w:themeColor="text1"/>
              </w:rPr>
            </w:pPr>
            <w:r w:rsidRPr="00A3026E">
              <w:rPr>
                <w:color w:val="000000" w:themeColor="text1"/>
              </w:rPr>
              <w:t>Цветной эталон № 3:</w:t>
            </w:r>
          </w:p>
          <w:p w14:paraId="541DDA4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площадь покрытия м кв./кол-во красочной смеси кг</w:t>
            </w:r>
          </w:p>
        </w:tc>
        <w:tc>
          <w:tcPr>
            <w:tcW w:w="1007" w:type="dxa"/>
          </w:tcPr>
          <w:p w14:paraId="184AD4C5" w14:textId="77777777" w:rsidR="0014077F" w:rsidRPr="00A3026E" w:rsidRDefault="0014077F" w:rsidP="00A3026E">
            <w:pPr>
              <w:pStyle w:val="22"/>
              <w:widowControl/>
              <w:tabs>
                <w:tab w:val="left" w:pos="11199"/>
              </w:tabs>
              <w:rPr>
                <w:color w:val="000000" w:themeColor="text1"/>
              </w:rPr>
            </w:pPr>
            <w:r w:rsidRPr="00A3026E">
              <w:rPr>
                <w:color w:val="000000" w:themeColor="text1"/>
              </w:rPr>
              <w:t>Цветной эталон № 4:</w:t>
            </w:r>
          </w:p>
          <w:p w14:paraId="09D1454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площадь покрытия м кв./кол-во красочной смеси кг</w:t>
            </w:r>
          </w:p>
        </w:tc>
        <w:tc>
          <w:tcPr>
            <w:tcW w:w="830" w:type="dxa"/>
          </w:tcPr>
          <w:p w14:paraId="3C5BD271" w14:textId="77777777" w:rsidR="0014077F" w:rsidRPr="00A3026E" w:rsidRDefault="0014077F" w:rsidP="00A3026E">
            <w:pPr>
              <w:pStyle w:val="22"/>
              <w:widowControl/>
              <w:tabs>
                <w:tab w:val="left" w:pos="11199"/>
              </w:tabs>
              <w:rPr>
                <w:color w:val="000000" w:themeColor="text1"/>
              </w:rPr>
            </w:pPr>
            <w:r w:rsidRPr="00A3026E">
              <w:rPr>
                <w:color w:val="000000" w:themeColor="text1"/>
              </w:rPr>
              <w:t>Цветной эталон № 5:</w:t>
            </w:r>
          </w:p>
          <w:p w14:paraId="29A519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площадь покрытия м кв./кол-во красочной смеси кг</w:t>
            </w:r>
          </w:p>
        </w:tc>
        <w:tc>
          <w:tcPr>
            <w:tcW w:w="968" w:type="dxa"/>
          </w:tcPr>
          <w:p w14:paraId="3DCF7B1F" w14:textId="77777777" w:rsidR="0014077F" w:rsidRPr="00A3026E" w:rsidRDefault="0014077F" w:rsidP="00A3026E">
            <w:pPr>
              <w:pStyle w:val="22"/>
              <w:widowControl/>
              <w:tabs>
                <w:tab w:val="left" w:pos="11199"/>
              </w:tabs>
              <w:rPr>
                <w:color w:val="000000" w:themeColor="text1"/>
              </w:rPr>
            </w:pPr>
            <w:r w:rsidRPr="00A3026E">
              <w:rPr>
                <w:color w:val="000000" w:themeColor="text1"/>
              </w:rPr>
              <w:t>Цветной эталон № 6:</w:t>
            </w:r>
          </w:p>
          <w:p w14:paraId="5BB31C4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площадь покрытия м кв./кол-во красочной смеси кг</w:t>
            </w:r>
          </w:p>
        </w:tc>
        <w:tc>
          <w:tcPr>
            <w:tcW w:w="2519" w:type="dxa"/>
          </w:tcPr>
          <w:p w14:paraId="01504BE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w:t>
            </w:r>
          </w:p>
        </w:tc>
      </w:tr>
      <w:tr w:rsidR="00983732" w:rsidRPr="00A3026E" w14:paraId="4F765EE6" w14:textId="77777777" w:rsidTr="00EA0DA7">
        <w:tc>
          <w:tcPr>
            <w:tcW w:w="1134" w:type="dxa"/>
          </w:tcPr>
          <w:p w14:paraId="432CE1D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w:t>
            </w:r>
          </w:p>
        </w:tc>
        <w:tc>
          <w:tcPr>
            <w:tcW w:w="1007" w:type="dxa"/>
          </w:tcPr>
          <w:p w14:paraId="2BE1399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w:t>
            </w:r>
          </w:p>
        </w:tc>
        <w:tc>
          <w:tcPr>
            <w:tcW w:w="1151" w:type="dxa"/>
          </w:tcPr>
          <w:p w14:paraId="7A6BAC86" w14:textId="77777777" w:rsidR="0014077F" w:rsidRPr="00A3026E" w:rsidRDefault="0014077F" w:rsidP="00A3026E">
            <w:pPr>
              <w:pStyle w:val="22"/>
              <w:widowControl/>
              <w:tabs>
                <w:tab w:val="left" w:pos="11199"/>
              </w:tabs>
              <w:rPr>
                <w:color w:val="000000" w:themeColor="text1"/>
              </w:rPr>
            </w:pPr>
            <w:r w:rsidRPr="00A3026E">
              <w:rPr>
                <w:color w:val="000000" w:themeColor="text1"/>
              </w:rPr>
              <w:t>8,0/3,2</w:t>
            </w:r>
          </w:p>
        </w:tc>
        <w:tc>
          <w:tcPr>
            <w:tcW w:w="1151" w:type="dxa"/>
          </w:tcPr>
          <w:p w14:paraId="0FC679E2" w14:textId="77777777" w:rsidR="0014077F" w:rsidRPr="00A3026E" w:rsidRDefault="0014077F" w:rsidP="00A3026E">
            <w:pPr>
              <w:pStyle w:val="22"/>
              <w:widowControl/>
              <w:tabs>
                <w:tab w:val="left" w:pos="11199"/>
              </w:tabs>
              <w:rPr>
                <w:color w:val="000000" w:themeColor="text1"/>
              </w:rPr>
            </w:pPr>
            <w:r w:rsidRPr="00A3026E">
              <w:rPr>
                <w:color w:val="000000" w:themeColor="text1"/>
              </w:rPr>
              <w:t>5,0/2,0</w:t>
            </w:r>
          </w:p>
        </w:tc>
        <w:tc>
          <w:tcPr>
            <w:tcW w:w="1295" w:type="dxa"/>
          </w:tcPr>
          <w:p w14:paraId="4C3E877A" w14:textId="77777777" w:rsidR="0014077F" w:rsidRPr="00A3026E" w:rsidRDefault="0014077F" w:rsidP="00A3026E">
            <w:pPr>
              <w:pStyle w:val="22"/>
              <w:widowControl/>
              <w:tabs>
                <w:tab w:val="left" w:pos="11199"/>
              </w:tabs>
              <w:rPr>
                <w:color w:val="000000" w:themeColor="text1"/>
              </w:rPr>
            </w:pPr>
            <w:r w:rsidRPr="00A3026E">
              <w:rPr>
                <w:color w:val="000000" w:themeColor="text1"/>
              </w:rPr>
              <w:t>9,83/3,93</w:t>
            </w:r>
          </w:p>
        </w:tc>
        <w:tc>
          <w:tcPr>
            <w:tcW w:w="1007" w:type="dxa"/>
          </w:tcPr>
          <w:p w14:paraId="15E02BE3" w14:textId="77777777" w:rsidR="0014077F" w:rsidRPr="00A3026E" w:rsidRDefault="0014077F" w:rsidP="00A3026E">
            <w:pPr>
              <w:pStyle w:val="22"/>
              <w:widowControl/>
              <w:tabs>
                <w:tab w:val="left" w:pos="11199"/>
              </w:tabs>
              <w:rPr>
                <w:color w:val="000000" w:themeColor="text1"/>
              </w:rPr>
            </w:pPr>
            <w:r w:rsidRPr="00A3026E">
              <w:rPr>
                <w:color w:val="000000" w:themeColor="text1"/>
              </w:rPr>
              <w:t>4,8/1,92</w:t>
            </w:r>
          </w:p>
        </w:tc>
        <w:tc>
          <w:tcPr>
            <w:tcW w:w="830" w:type="dxa"/>
          </w:tcPr>
          <w:p w14:paraId="540071C4" w14:textId="77777777" w:rsidR="0014077F" w:rsidRPr="00A3026E" w:rsidRDefault="0014077F" w:rsidP="00A3026E">
            <w:pPr>
              <w:pStyle w:val="22"/>
              <w:widowControl/>
              <w:tabs>
                <w:tab w:val="left" w:pos="11199"/>
              </w:tabs>
              <w:rPr>
                <w:color w:val="000000" w:themeColor="text1"/>
              </w:rPr>
            </w:pPr>
            <w:r w:rsidRPr="00A3026E">
              <w:rPr>
                <w:color w:val="000000" w:themeColor="text1"/>
              </w:rPr>
              <w:t>4,8/1,92</w:t>
            </w:r>
          </w:p>
        </w:tc>
        <w:tc>
          <w:tcPr>
            <w:tcW w:w="968" w:type="dxa"/>
          </w:tcPr>
          <w:p w14:paraId="30193EED" w14:textId="77777777" w:rsidR="0014077F" w:rsidRPr="00A3026E" w:rsidRDefault="0014077F" w:rsidP="00A3026E">
            <w:pPr>
              <w:pStyle w:val="22"/>
              <w:widowControl/>
              <w:tabs>
                <w:tab w:val="left" w:pos="11199"/>
              </w:tabs>
              <w:rPr>
                <w:color w:val="000000" w:themeColor="text1"/>
              </w:rPr>
            </w:pPr>
            <w:r w:rsidRPr="00A3026E">
              <w:rPr>
                <w:color w:val="000000" w:themeColor="text1"/>
              </w:rPr>
              <w:t>11,5/4,6</w:t>
            </w:r>
          </w:p>
        </w:tc>
        <w:tc>
          <w:tcPr>
            <w:tcW w:w="2519" w:type="dxa"/>
          </w:tcPr>
          <w:p w14:paraId="538FD1F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норма на один самолет взята из расчета 6 вариантов</w:t>
            </w:r>
          </w:p>
        </w:tc>
      </w:tr>
      <w:tr w:rsidR="00983732" w:rsidRPr="00A3026E" w14:paraId="60E6DEB5" w14:textId="77777777" w:rsidTr="00EA0DA7">
        <w:tc>
          <w:tcPr>
            <w:tcW w:w="1134" w:type="dxa"/>
          </w:tcPr>
          <w:p w14:paraId="0B236E8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И-153</w:t>
            </w:r>
          </w:p>
        </w:tc>
        <w:tc>
          <w:tcPr>
            <w:tcW w:w="1007" w:type="dxa"/>
          </w:tcPr>
          <w:p w14:paraId="6954FE9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w:t>
            </w:r>
          </w:p>
        </w:tc>
        <w:tc>
          <w:tcPr>
            <w:tcW w:w="1151" w:type="dxa"/>
          </w:tcPr>
          <w:p w14:paraId="7CB90D13" w14:textId="77777777" w:rsidR="0014077F" w:rsidRPr="00A3026E" w:rsidRDefault="0014077F" w:rsidP="00A3026E">
            <w:pPr>
              <w:pStyle w:val="22"/>
              <w:widowControl/>
              <w:tabs>
                <w:tab w:val="left" w:pos="11199"/>
              </w:tabs>
              <w:rPr>
                <w:color w:val="000000" w:themeColor="text1"/>
              </w:rPr>
            </w:pPr>
            <w:r w:rsidRPr="00A3026E">
              <w:rPr>
                <w:color w:val="000000" w:themeColor="text1"/>
              </w:rPr>
              <w:t>9,7/3,88</w:t>
            </w:r>
          </w:p>
        </w:tc>
        <w:tc>
          <w:tcPr>
            <w:tcW w:w="1151" w:type="dxa"/>
          </w:tcPr>
          <w:p w14:paraId="623780A5" w14:textId="77777777" w:rsidR="0014077F" w:rsidRPr="00A3026E" w:rsidRDefault="0014077F" w:rsidP="00A3026E">
            <w:pPr>
              <w:pStyle w:val="22"/>
              <w:widowControl/>
              <w:tabs>
                <w:tab w:val="left" w:pos="11199"/>
              </w:tabs>
              <w:rPr>
                <w:color w:val="000000" w:themeColor="text1"/>
              </w:rPr>
            </w:pPr>
            <w:r w:rsidRPr="00A3026E">
              <w:rPr>
                <w:color w:val="000000" w:themeColor="text1"/>
              </w:rPr>
              <w:t>5,3/2,12</w:t>
            </w:r>
          </w:p>
        </w:tc>
        <w:tc>
          <w:tcPr>
            <w:tcW w:w="1295" w:type="dxa"/>
          </w:tcPr>
          <w:p w14:paraId="064F25C4" w14:textId="77777777" w:rsidR="0014077F" w:rsidRPr="00A3026E" w:rsidRDefault="0014077F" w:rsidP="00A3026E">
            <w:pPr>
              <w:pStyle w:val="22"/>
              <w:widowControl/>
              <w:tabs>
                <w:tab w:val="left" w:pos="11199"/>
              </w:tabs>
              <w:rPr>
                <w:color w:val="000000" w:themeColor="text1"/>
              </w:rPr>
            </w:pPr>
            <w:r w:rsidRPr="00A3026E">
              <w:rPr>
                <w:color w:val="000000" w:themeColor="text1"/>
              </w:rPr>
              <w:t>-</w:t>
            </w:r>
          </w:p>
        </w:tc>
        <w:tc>
          <w:tcPr>
            <w:tcW w:w="1007" w:type="dxa"/>
          </w:tcPr>
          <w:p w14:paraId="2568924B" w14:textId="77777777" w:rsidR="0014077F" w:rsidRPr="00A3026E" w:rsidRDefault="0014077F" w:rsidP="00A3026E">
            <w:pPr>
              <w:pStyle w:val="22"/>
              <w:widowControl/>
              <w:tabs>
                <w:tab w:val="left" w:pos="11199"/>
              </w:tabs>
              <w:rPr>
                <w:color w:val="000000" w:themeColor="text1"/>
              </w:rPr>
            </w:pPr>
            <w:r w:rsidRPr="00A3026E">
              <w:rPr>
                <w:color w:val="000000" w:themeColor="text1"/>
              </w:rPr>
              <w:t>16,8/6,72</w:t>
            </w:r>
          </w:p>
        </w:tc>
        <w:tc>
          <w:tcPr>
            <w:tcW w:w="830" w:type="dxa"/>
          </w:tcPr>
          <w:p w14:paraId="37C102AA" w14:textId="77777777" w:rsidR="0014077F" w:rsidRPr="00A3026E" w:rsidRDefault="0014077F" w:rsidP="00A3026E">
            <w:pPr>
              <w:pStyle w:val="22"/>
              <w:widowControl/>
              <w:tabs>
                <w:tab w:val="left" w:pos="11199"/>
              </w:tabs>
              <w:rPr>
                <w:color w:val="000000" w:themeColor="text1"/>
              </w:rPr>
            </w:pPr>
            <w:r w:rsidRPr="00A3026E">
              <w:rPr>
                <w:color w:val="000000" w:themeColor="text1"/>
              </w:rPr>
              <w:t>4,3/1,72</w:t>
            </w:r>
          </w:p>
        </w:tc>
        <w:tc>
          <w:tcPr>
            <w:tcW w:w="968" w:type="dxa"/>
          </w:tcPr>
          <w:p w14:paraId="02900F2D" w14:textId="77777777" w:rsidR="0014077F" w:rsidRPr="00A3026E" w:rsidRDefault="0014077F" w:rsidP="00A3026E">
            <w:pPr>
              <w:pStyle w:val="22"/>
              <w:widowControl/>
              <w:tabs>
                <w:tab w:val="left" w:pos="11199"/>
              </w:tabs>
              <w:rPr>
                <w:color w:val="000000" w:themeColor="text1"/>
              </w:rPr>
            </w:pPr>
            <w:r w:rsidRPr="00A3026E">
              <w:rPr>
                <w:color w:val="000000" w:themeColor="text1"/>
              </w:rPr>
              <w:t>9,82/3,93</w:t>
            </w:r>
          </w:p>
        </w:tc>
        <w:tc>
          <w:tcPr>
            <w:tcW w:w="2519" w:type="dxa"/>
          </w:tcPr>
          <w:p w14:paraId="6BA2D5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норма на один самолет взята из расчета 6 вариантов</w:t>
            </w:r>
          </w:p>
        </w:tc>
      </w:tr>
      <w:tr w:rsidR="00983732" w:rsidRPr="00A3026E" w14:paraId="3592FE71" w14:textId="77777777" w:rsidTr="00EA0DA7">
        <w:tc>
          <w:tcPr>
            <w:tcW w:w="1134" w:type="dxa"/>
          </w:tcPr>
          <w:p w14:paraId="13FAB2E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w:t>
            </w:r>
          </w:p>
        </w:tc>
        <w:tc>
          <w:tcPr>
            <w:tcW w:w="1007" w:type="dxa"/>
          </w:tcPr>
          <w:p w14:paraId="13AEFA8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w:t>
            </w:r>
          </w:p>
        </w:tc>
        <w:tc>
          <w:tcPr>
            <w:tcW w:w="1151" w:type="dxa"/>
          </w:tcPr>
          <w:p w14:paraId="3ACDCB02" w14:textId="77777777" w:rsidR="0014077F" w:rsidRPr="00A3026E" w:rsidRDefault="0014077F" w:rsidP="00A3026E">
            <w:pPr>
              <w:pStyle w:val="22"/>
              <w:widowControl/>
              <w:tabs>
                <w:tab w:val="left" w:pos="11199"/>
              </w:tabs>
              <w:rPr>
                <w:color w:val="000000" w:themeColor="text1"/>
              </w:rPr>
            </w:pPr>
            <w:r w:rsidRPr="00A3026E">
              <w:rPr>
                <w:color w:val="000000" w:themeColor="text1"/>
              </w:rPr>
              <w:t>11,83/4,73</w:t>
            </w:r>
          </w:p>
        </w:tc>
        <w:tc>
          <w:tcPr>
            <w:tcW w:w="1151" w:type="dxa"/>
          </w:tcPr>
          <w:p w14:paraId="03F1EDE3" w14:textId="77777777" w:rsidR="0014077F" w:rsidRPr="00A3026E" w:rsidRDefault="0014077F" w:rsidP="00A3026E">
            <w:pPr>
              <w:pStyle w:val="22"/>
              <w:widowControl/>
              <w:tabs>
                <w:tab w:val="left" w:pos="11199"/>
              </w:tabs>
              <w:rPr>
                <w:color w:val="000000" w:themeColor="text1"/>
              </w:rPr>
            </w:pPr>
            <w:r w:rsidRPr="00A3026E">
              <w:rPr>
                <w:color w:val="000000" w:themeColor="text1"/>
              </w:rPr>
              <w:t>5,84/2,34</w:t>
            </w:r>
          </w:p>
        </w:tc>
        <w:tc>
          <w:tcPr>
            <w:tcW w:w="1295" w:type="dxa"/>
          </w:tcPr>
          <w:p w14:paraId="733FCEFD" w14:textId="77777777" w:rsidR="0014077F" w:rsidRPr="00A3026E" w:rsidRDefault="0014077F" w:rsidP="00A3026E">
            <w:pPr>
              <w:pStyle w:val="22"/>
              <w:widowControl/>
              <w:tabs>
                <w:tab w:val="left" w:pos="11199"/>
              </w:tabs>
              <w:rPr>
                <w:color w:val="000000" w:themeColor="text1"/>
              </w:rPr>
            </w:pPr>
            <w:r w:rsidRPr="00A3026E">
              <w:rPr>
                <w:color w:val="000000" w:themeColor="text1"/>
              </w:rPr>
              <w:t>15,7/6,28</w:t>
            </w:r>
          </w:p>
        </w:tc>
        <w:tc>
          <w:tcPr>
            <w:tcW w:w="1007" w:type="dxa"/>
          </w:tcPr>
          <w:p w14:paraId="71F4C295" w14:textId="77777777" w:rsidR="0014077F" w:rsidRPr="00A3026E" w:rsidRDefault="0014077F" w:rsidP="00A3026E">
            <w:pPr>
              <w:pStyle w:val="22"/>
              <w:widowControl/>
              <w:tabs>
                <w:tab w:val="left" w:pos="11199"/>
              </w:tabs>
              <w:rPr>
                <w:color w:val="000000" w:themeColor="text1"/>
              </w:rPr>
            </w:pPr>
            <w:r w:rsidRPr="00A3026E">
              <w:rPr>
                <w:color w:val="000000" w:themeColor="text1"/>
              </w:rPr>
              <w:t>14,2/5,68</w:t>
            </w:r>
          </w:p>
        </w:tc>
        <w:tc>
          <w:tcPr>
            <w:tcW w:w="830" w:type="dxa"/>
          </w:tcPr>
          <w:p w14:paraId="55D9C5F0" w14:textId="77777777" w:rsidR="0014077F" w:rsidRPr="00A3026E" w:rsidRDefault="0014077F" w:rsidP="00A3026E">
            <w:pPr>
              <w:pStyle w:val="22"/>
              <w:widowControl/>
              <w:tabs>
                <w:tab w:val="left" w:pos="11199"/>
              </w:tabs>
              <w:rPr>
                <w:color w:val="000000" w:themeColor="text1"/>
              </w:rPr>
            </w:pPr>
            <w:r w:rsidRPr="00A3026E">
              <w:rPr>
                <w:color w:val="000000" w:themeColor="text1"/>
              </w:rPr>
              <w:t>-</w:t>
            </w:r>
          </w:p>
        </w:tc>
        <w:tc>
          <w:tcPr>
            <w:tcW w:w="968" w:type="dxa"/>
          </w:tcPr>
          <w:p w14:paraId="1E8B731D" w14:textId="77777777" w:rsidR="0014077F" w:rsidRPr="00A3026E" w:rsidRDefault="0014077F" w:rsidP="00A3026E">
            <w:pPr>
              <w:pStyle w:val="22"/>
              <w:widowControl/>
              <w:tabs>
                <w:tab w:val="left" w:pos="11199"/>
              </w:tabs>
              <w:rPr>
                <w:color w:val="000000" w:themeColor="text1"/>
              </w:rPr>
            </w:pPr>
            <w:r w:rsidRPr="00A3026E">
              <w:rPr>
                <w:color w:val="000000" w:themeColor="text1"/>
              </w:rPr>
              <w:t>23,5/9,4</w:t>
            </w:r>
          </w:p>
        </w:tc>
        <w:tc>
          <w:tcPr>
            <w:tcW w:w="2519" w:type="dxa"/>
          </w:tcPr>
          <w:p w14:paraId="66CBDA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норма на один самолет взята из расчета 6 вариантов</w:t>
            </w:r>
          </w:p>
        </w:tc>
      </w:tr>
      <w:tr w:rsidR="00983732" w:rsidRPr="00A3026E" w14:paraId="7BCE53C5" w14:textId="77777777" w:rsidTr="00EA0DA7">
        <w:tc>
          <w:tcPr>
            <w:tcW w:w="1134" w:type="dxa"/>
          </w:tcPr>
          <w:p w14:paraId="63380BF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w:t>
            </w:r>
          </w:p>
        </w:tc>
        <w:tc>
          <w:tcPr>
            <w:tcW w:w="1007" w:type="dxa"/>
          </w:tcPr>
          <w:p w14:paraId="782FF78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w:t>
            </w:r>
          </w:p>
        </w:tc>
        <w:tc>
          <w:tcPr>
            <w:tcW w:w="1151" w:type="dxa"/>
          </w:tcPr>
          <w:p w14:paraId="63387027" w14:textId="77777777" w:rsidR="0014077F" w:rsidRPr="00A3026E" w:rsidRDefault="0014077F" w:rsidP="00A3026E">
            <w:pPr>
              <w:pStyle w:val="22"/>
              <w:widowControl/>
              <w:tabs>
                <w:tab w:val="left" w:pos="11199"/>
              </w:tabs>
              <w:rPr>
                <w:color w:val="000000" w:themeColor="text1"/>
              </w:rPr>
            </w:pPr>
            <w:r w:rsidRPr="00A3026E">
              <w:rPr>
                <w:color w:val="000000" w:themeColor="text1"/>
              </w:rPr>
              <w:t>11,2/4,48</w:t>
            </w:r>
          </w:p>
        </w:tc>
        <w:tc>
          <w:tcPr>
            <w:tcW w:w="1151" w:type="dxa"/>
          </w:tcPr>
          <w:p w14:paraId="07336E4D" w14:textId="77777777" w:rsidR="0014077F" w:rsidRPr="00A3026E" w:rsidRDefault="0014077F" w:rsidP="00A3026E">
            <w:pPr>
              <w:pStyle w:val="22"/>
              <w:widowControl/>
              <w:tabs>
                <w:tab w:val="left" w:pos="11199"/>
              </w:tabs>
              <w:rPr>
                <w:color w:val="000000" w:themeColor="text1"/>
              </w:rPr>
            </w:pPr>
            <w:r w:rsidRPr="00A3026E">
              <w:rPr>
                <w:color w:val="000000" w:themeColor="text1"/>
              </w:rPr>
              <w:t>7,34/2,94</w:t>
            </w:r>
          </w:p>
        </w:tc>
        <w:tc>
          <w:tcPr>
            <w:tcW w:w="1295" w:type="dxa"/>
          </w:tcPr>
          <w:p w14:paraId="5B1B2330" w14:textId="77777777" w:rsidR="0014077F" w:rsidRPr="00A3026E" w:rsidRDefault="0014077F" w:rsidP="00A3026E">
            <w:pPr>
              <w:pStyle w:val="22"/>
              <w:widowControl/>
              <w:tabs>
                <w:tab w:val="left" w:pos="11199"/>
              </w:tabs>
              <w:rPr>
                <w:color w:val="000000" w:themeColor="text1"/>
              </w:rPr>
            </w:pPr>
            <w:r w:rsidRPr="00A3026E">
              <w:rPr>
                <w:color w:val="000000" w:themeColor="text1"/>
              </w:rPr>
              <w:t>6,5/2,6</w:t>
            </w:r>
          </w:p>
        </w:tc>
        <w:tc>
          <w:tcPr>
            <w:tcW w:w="1007" w:type="dxa"/>
          </w:tcPr>
          <w:p w14:paraId="3B21D083" w14:textId="77777777" w:rsidR="0014077F" w:rsidRPr="00A3026E" w:rsidRDefault="0014077F" w:rsidP="00A3026E">
            <w:pPr>
              <w:pStyle w:val="22"/>
              <w:widowControl/>
              <w:tabs>
                <w:tab w:val="left" w:pos="11199"/>
              </w:tabs>
              <w:rPr>
                <w:color w:val="000000" w:themeColor="text1"/>
              </w:rPr>
            </w:pPr>
            <w:r w:rsidRPr="00A3026E">
              <w:rPr>
                <w:color w:val="000000" w:themeColor="text1"/>
              </w:rPr>
              <w:t>16,3/6,52</w:t>
            </w:r>
          </w:p>
        </w:tc>
        <w:tc>
          <w:tcPr>
            <w:tcW w:w="830" w:type="dxa"/>
          </w:tcPr>
          <w:p w14:paraId="1B4916E5" w14:textId="77777777" w:rsidR="0014077F" w:rsidRPr="00A3026E" w:rsidRDefault="0014077F" w:rsidP="00A3026E">
            <w:pPr>
              <w:pStyle w:val="22"/>
              <w:widowControl/>
              <w:tabs>
                <w:tab w:val="left" w:pos="11199"/>
              </w:tabs>
              <w:rPr>
                <w:color w:val="000000" w:themeColor="text1"/>
              </w:rPr>
            </w:pPr>
            <w:r w:rsidRPr="00A3026E">
              <w:rPr>
                <w:color w:val="000000" w:themeColor="text1"/>
              </w:rPr>
              <w:t>5,66/2,26</w:t>
            </w:r>
          </w:p>
        </w:tc>
        <w:tc>
          <w:tcPr>
            <w:tcW w:w="968" w:type="dxa"/>
          </w:tcPr>
          <w:p w14:paraId="5E0018D8" w14:textId="77777777" w:rsidR="0014077F" w:rsidRPr="00A3026E" w:rsidRDefault="0014077F" w:rsidP="00A3026E">
            <w:pPr>
              <w:pStyle w:val="22"/>
              <w:widowControl/>
              <w:tabs>
                <w:tab w:val="left" w:pos="11199"/>
              </w:tabs>
              <w:rPr>
                <w:color w:val="000000" w:themeColor="text1"/>
              </w:rPr>
            </w:pPr>
            <w:r w:rsidRPr="00A3026E">
              <w:rPr>
                <w:color w:val="000000" w:themeColor="text1"/>
              </w:rPr>
              <w:t>19,0/7,6</w:t>
            </w:r>
          </w:p>
        </w:tc>
        <w:tc>
          <w:tcPr>
            <w:tcW w:w="2519" w:type="dxa"/>
          </w:tcPr>
          <w:p w14:paraId="44C6058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норма на один самолет взята из расчета 6 вариантов</w:t>
            </w:r>
          </w:p>
        </w:tc>
      </w:tr>
      <w:tr w:rsidR="00983732" w:rsidRPr="00A3026E" w14:paraId="7BC5208D" w14:textId="77777777" w:rsidTr="00EA0DA7">
        <w:tc>
          <w:tcPr>
            <w:tcW w:w="1134" w:type="dxa"/>
          </w:tcPr>
          <w:p w14:paraId="35709C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w:t>
            </w:r>
          </w:p>
        </w:tc>
        <w:tc>
          <w:tcPr>
            <w:tcW w:w="1007" w:type="dxa"/>
          </w:tcPr>
          <w:p w14:paraId="3C424E8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w:t>
            </w:r>
          </w:p>
        </w:tc>
        <w:tc>
          <w:tcPr>
            <w:tcW w:w="1151" w:type="dxa"/>
          </w:tcPr>
          <w:p w14:paraId="56CB5D9E" w14:textId="77777777" w:rsidR="0014077F" w:rsidRPr="00A3026E" w:rsidRDefault="0014077F" w:rsidP="00A3026E">
            <w:pPr>
              <w:pStyle w:val="22"/>
              <w:widowControl/>
              <w:tabs>
                <w:tab w:val="left" w:pos="11199"/>
              </w:tabs>
              <w:rPr>
                <w:color w:val="000000" w:themeColor="text1"/>
              </w:rPr>
            </w:pPr>
            <w:r w:rsidRPr="00A3026E">
              <w:rPr>
                <w:color w:val="000000" w:themeColor="text1"/>
              </w:rPr>
              <w:t>30,0/6,0</w:t>
            </w:r>
          </w:p>
        </w:tc>
        <w:tc>
          <w:tcPr>
            <w:tcW w:w="1151" w:type="dxa"/>
          </w:tcPr>
          <w:p w14:paraId="52D368AA" w14:textId="77777777" w:rsidR="0014077F" w:rsidRPr="00A3026E" w:rsidRDefault="0014077F" w:rsidP="00A3026E">
            <w:pPr>
              <w:pStyle w:val="22"/>
              <w:widowControl/>
              <w:tabs>
                <w:tab w:val="left" w:pos="11199"/>
              </w:tabs>
              <w:rPr>
                <w:color w:val="000000" w:themeColor="text1"/>
              </w:rPr>
            </w:pPr>
            <w:r w:rsidRPr="00A3026E">
              <w:rPr>
                <w:color w:val="000000" w:themeColor="text1"/>
              </w:rPr>
              <w:t>21,0/4,2</w:t>
            </w:r>
          </w:p>
        </w:tc>
        <w:tc>
          <w:tcPr>
            <w:tcW w:w="1295" w:type="dxa"/>
          </w:tcPr>
          <w:p w14:paraId="13631BAD" w14:textId="77777777" w:rsidR="0014077F" w:rsidRPr="00A3026E" w:rsidRDefault="0014077F" w:rsidP="00A3026E">
            <w:pPr>
              <w:pStyle w:val="22"/>
              <w:widowControl/>
              <w:tabs>
                <w:tab w:val="left" w:pos="11199"/>
              </w:tabs>
              <w:rPr>
                <w:color w:val="000000" w:themeColor="text1"/>
              </w:rPr>
            </w:pPr>
            <w:r w:rsidRPr="00A3026E">
              <w:rPr>
                <w:color w:val="000000" w:themeColor="text1"/>
              </w:rPr>
              <w:t>9,7/1,94</w:t>
            </w:r>
          </w:p>
        </w:tc>
        <w:tc>
          <w:tcPr>
            <w:tcW w:w="1007" w:type="dxa"/>
          </w:tcPr>
          <w:p w14:paraId="5C296E20" w14:textId="77777777" w:rsidR="0014077F" w:rsidRPr="00A3026E" w:rsidRDefault="0014077F" w:rsidP="00A3026E">
            <w:pPr>
              <w:pStyle w:val="22"/>
              <w:widowControl/>
              <w:tabs>
                <w:tab w:val="left" w:pos="11199"/>
              </w:tabs>
              <w:rPr>
                <w:color w:val="000000" w:themeColor="text1"/>
              </w:rPr>
            </w:pPr>
            <w:r w:rsidRPr="00A3026E">
              <w:rPr>
                <w:color w:val="000000" w:themeColor="text1"/>
              </w:rPr>
              <w:t>32,7/6,54</w:t>
            </w:r>
          </w:p>
        </w:tc>
        <w:tc>
          <w:tcPr>
            <w:tcW w:w="830" w:type="dxa"/>
          </w:tcPr>
          <w:p w14:paraId="3C7296E5" w14:textId="77777777" w:rsidR="0014077F" w:rsidRPr="00A3026E" w:rsidRDefault="0014077F" w:rsidP="00A3026E">
            <w:pPr>
              <w:pStyle w:val="22"/>
              <w:widowControl/>
              <w:tabs>
                <w:tab w:val="left" w:pos="11199"/>
              </w:tabs>
              <w:rPr>
                <w:color w:val="000000" w:themeColor="text1"/>
              </w:rPr>
            </w:pPr>
            <w:r w:rsidRPr="00A3026E">
              <w:rPr>
                <w:color w:val="000000" w:themeColor="text1"/>
              </w:rPr>
              <w:t>17,4/3,48</w:t>
            </w:r>
          </w:p>
        </w:tc>
        <w:tc>
          <w:tcPr>
            <w:tcW w:w="968" w:type="dxa"/>
          </w:tcPr>
          <w:p w14:paraId="13139DCB" w14:textId="77777777" w:rsidR="0014077F" w:rsidRPr="00A3026E" w:rsidRDefault="0014077F" w:rsidP="00A3026E">
            <w:pPr>
              <w:pStyle w:val="22"/>
              <w:widowControl/>
              <w:tabs>
                <w:tab w:val="left" w:pos="11199"/>
              </w:tabs>
              <w:rPr>
                <w:color w:val="000000" w:themeColor="text1"/>
              </w:rPr>
            </w:pPr>
            <w:r w:rsidRPr="00A3026E">
              <w:rPr>
                <w:color w:val="000000" w:themeColor="text1"/>
              </w:rPr>
              <w:t>30,0/6,0</w:t>
            </w:r>
          </w:p>
        </w:tc>
        <w:tc>
          <w:tcPr>
            <w:tcW w:w="2519" w:type="dxa"/>
          </w:tcPr>
          <w:p w14:paraId="72993CF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норма на один самолет взята из расчета 8 вариантов</w:t>
            </w:r>
          </w:p>
        </w:tc>
      </w:tr>
      <w:tr w:rsidR="00983732" w:rsidRPr="00A3026E" w14:paraId="40AF3DBF" w14:textId="77777777" w:rsidTr="00EA0DA7">
        <w:tc>
          <w:tcPr>
            <w:tcW w:w="1134" w:type="dxa"/>
          </w:tcPr>
          <w:p w14:paraId="547ECA6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w:t>
            </w:r>
          </w:p>
        </w:tc>
        <w:tc>
          <w:tcPr>
            <w:tcW w:w="1007" w:type="dxa"/>
          </w:tcPr>
          <w:p w14:paraId="1F2834D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w:t>
            </w:r>
          </w:p>
        </w:tc>
        <w:tc>
          <w:tcPr>
            <w:tcW w:w="1151" w:type="dxa"/>
          </w:tcPr>
          <w:p w14:paraId="647F6734" w14:textId="77777777" w:rsidR="0014077F" w:rsidRPr="00A3026E" w:rsidRDefault="0014077F" w:rsidP="00A3026E">
            <w:pPr>
              <w:pStyle w:val="22"/>
              <w:widowControl/>
              <w:tabs>
                <w:tab w:val="left" w:pos="11199"/>
              </w:tabs>
              <w:rPr>
                <w:color w:val="000000" w:themeColor="text1"/>
              </w:rPr>
            </w:pPr>
            <w:r w:rsidRPr="00A3026E">
              <w:rPr>
                <w:color w:val="000000" w:themeColor="text1"/>
              </w:rPr>
              <w:t>35,8/7,16</w:t>
            </w:r>
          </w:p>
        </w:tc>
        <w:tc>
          <w:tcPr>
            <w:tcW w:w="1151" w:type="dxa"/>
          </w:tcPr>
          <w:p w14:paraId="06A72CF5" w14:textId="77777777" w:rsidR="0014077F" w:rsidRPr="00A3026E" w:rsidRDefault="0014077F" w:rsidP="00A3026E">
            <w:pPr>
              <w:pStyle w:val="22"/>
              <w:widowControl/>
              <w:tabs>
                <w:tab w:val="left" w:pos="11199"/>
              </w:tabs>
              <w:rPr>
                <w:color w:val="000000" w:themeColor="text1"/>
              </w:rPr>
            </w:pPr>
            <w:r w:rsidRPr="00A3026E">
              <w:rPr>
                <w:color w:val="000000" w:themeColor="text1"/>
              </w:rPr>
              <w:t>21,4/4,28</w:t>
            </w:r>
          </w:p>
        </w:tc>
        <w:tc>
          <w:tcPr>
            <w:tcW w:w="1295" w:type="dxa"/>
          </w:tcPr>
          <w:p w14:paraId="5674582B" w14:textId="77777777" w:rsidR="0014077F" w:rsidRPr="00A3026E" w:rsidRDefault="0014077F" w:rsidP="00A3026E">
            <w:pPr>
              <w:pStyle w:val="22"/>
              <w:widowControl/>
              <w:tabs>
                <w:tab w:val="left" w:pos="11199"/>
              </w:tabs>
              <w:rPr>
                <w:color w:val="000000" w:themeColor="text1"/>
              </w:rPr>
            </w:pPr>
            <w:r w:rsidRPr="00A3026E">
              <w:rPr>
                <w:color w:val="000000" w:themeColor="text1"/>
              </w:rPr>
              <w:t>26,0/5,2</w:t>
            </w:r>
          </w:p>
        </w:tc>
        <w:tc>
          <w:tcPr>
            <w:tcW w:w="1007" w:type="dxa"/>
          </w:tcPr>
          <w:p w14:paraId="4867470E" w14:textId="77777777" w:rsidR="0014077F" w:rsidRPr="00A3026E" w:rsidRDefault="0014077F" w:rsidP="00A3026E">
            <w:pPr>
              <w:pStyle w:val="22"/>
              <w:widowControl/>
              <w:tabs>
                <w:tab w:val="left" w:pos="11199"/>
              </w:tabs>
              <w:rPr>
                <w:color w:val="000000" w:themeColor="text1"/>
              </w:rPr>
            </w:pPr>
            <w:r w:rsidRPr="00A3026E">
              <w:rPr>
                <w:color w:val="000000" w:themeColor="text1"/>
              </w:rPr>
              <w:t>19,4/3,88</w:t>
            </w:r>
          </w:p>
        </w:tc>
        <w:tc>
          <w:tcPr>
            <w:tcW w:w="830" w:type="dxa"/>
          </w:tcPr>
          <w:p w14:paraId="3D1DD155" w14:textId="77777777" w:rsidR="0014077F" w:rsidRPr="00A3026E" w:rsidRDefault="0014077F" w:rsidP="00A3026E">
            <w:pPr>
              <w:pStyle w:val="22"/>
              <w:widowControl/>
              <w:tabs>
                <w:tab w:val="left" w:pos="11199"/>
              </w:tabs>
              <w:rPr>
                <w:color w:val="000000" w:themeColor="text1"/>
              </w:rPr>
            </w:pPr>
            <w:r w:rsidRPr="00A3026E">
              <w:rPr>
                <w:color w:val="000000" w:themeColor="text1"/>
              </w:rPr>
              <w:t>13,3/2,66</w:t>
            </w:r>
          </w:p>
        </w:tc>
        <w:tc>
          <w:tcPr>
            <w:tcW w:w="968" w:type="dxa"/>
          </w:tcPr>
          <w:p w14:paraId="3BF47D46" w14:textId="77777777" w:rsidR="0014077F" w:rsidRPr="00A3026E" w:rsidRDefault="0014077F" w:rsidP="00A3026E">
            <w:pPr>
              <w:pStyle w:val="22"/>
              <w:widowControl/>
              <w:tabs>
                <w:tab w:val="left" w:pos="11199"/>
              </w:tabs>
              <w:rPr>
                <w:color w:val="000000" w:themeColor="text1"/>
              </w:rPr>
            </w:pPr>
            <w:r w:rsidRPr="00A3026E">
              <w:rPr>
                <w:color w:val="000000" w:themeColor="text1"/>
              </w:rPr>
              <w:t>28,4/5,68</w:t>
            </w:r>
          </w:p>
        </w:tc>
        <w:tc>
          <w:tcPr>
            <w:tcW w:w="2519" w:type="dxa"/>
          </w:tcPr>
          <w:p w14:paraId="2D76C6A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норма на один самолет взята из расчета 8 вариантов</w:t>
            </w:r>
          </w:p>
        </w:tc>
      </w:tr>
      <w:tr w:rsidR="00983732" w:rsidRPr="00A3026E" w14:paraId="7970C34A" w14:textId="77777777" w:rsidTr="00EA0DA7">
        <w:tc>
          <w:tcPr>
            <w:tcW w:w="1134" w:type="dxa"/>
          </w:tcPr>
          <w:p w14:paraId="1DE09CC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w:t>
            </w:r>
          </w:p>
        </w:tc>
        <w:tc>
          <w:tcPr>
            <w:tcW w:w="1007" w:type="dxa"/>
          </w:tcPr>
          <w:p w14:paraId="4CEA862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163</w:t>
            </w:r>
          </w:p>
        </w:tc>
        <w:tc>
          <w:tcPr>
            <w:tcW w:w="1151" w:type="dxa"/>
          </w:tcPr>
          <w:p w14:paraId="5C2A8C65" w14:textId="77777777" w:rsidR="0014077F" w:rsidRPr="00A3026E" w:rsidRDefault="0014077F" w:rsidP="00A3026E">
            <w:pPr>
              <w:pStyle w:val="22"/>
              <w:widowControl/>
              <w:tabs>
                <w:tab w:val="left" w:pos="11199"/>
              </w:tabs>
              <w:rPr>
                <w:color w:val="000000" w:themeColor="text1"/>
              </w:rPr>
            </w:pPr>
            <w:r w:rsidRPr="00A3026E">
              <w:rPr>
                <w:color w:val="000000" w:themeColor="text1"/>
              </w:rPr>
              <w:t>36,5/7,3</w:t>
            </w:r>
          </w:p>
        </w:tc>
        <w:tc>
          <w:tcPr>
            <w:tcW w:w="1151" w:type="dxa"/>
          </w:tcPr>
          <w:p w14:paraId="6758D7EE" w14:textId="77777777" w:rsidR="0014077F" w:rsidRPr="00A3026E" w:rsidRDefault="0014077F" w:rsidP="00A3026E">
            <w:pPr>
              <w:pStyle w:val="22"/>
              <w:widowControl/>
              <w:tabs>
                <w:tab w:val="left" w:pos="11199"/>
              </w:tabs>
              <w:rPr>
                <w:color w:val="000000" w:themeColor="text1"/>
              </w:rPr>
            </w:pPr>
            <w:r w:rsidRPr="00A3026E">
              <w:rPr>
                <w:color w:val="000000" w:themeColor="text1"/>
              </w:rPr>
              <w:t>10,5/2,1</w:t>
            </w:r>
          </w:p>
        </w:tc>
        <w:tc>
          <w:tcPr>
            <w:tcW w:w="1295" w:type="dxa"/>
          </w:tcPr>
          <w:p w14:paraId="5660AC1D" w14:textId="77777777" w:rsidR="0014077F" w:rsidRPr="00A3026E" w:rsidRDefault="0014077F" w:rsidP="00A3026E">
            <w:pPr>
              <w:pStyle w:val="22"/>
              <w:widowControl/>
              <w:tabs>
                <w:tab w:val="left" w:pos="11199"/>
              </w:tabs>
              <w:rPr>
                <w:color w:val="000000" w:themeColor="text1"/>
              </w:rPr>
            </w:pPr>
            <w:r w:rsidRPr="00A3026E">
              <w:rPr>
                <w:color w:val="000000" w:themeColor="text1"/>
              </w:rPr>
              <w:t>25,4/5,08</w:t>
            </w:r>
          </w:p>
        </w:tc>
        <w:tc>
          <w:tcPr>
            <w:tcW w:w="1007" w:type="dxa"/>
          </w:tcPr>
          <w:p w14:paraId="55B7A887" w14:textId="77777777" w:rsidR="0014077F" w:rsidRPr="00A3026E" w:rsidRDefault="0014077F" w:rsidP="00A3026E">
            <w:pPr>
              <w:pStyle w:val="22"/>
              <w:widowControl/>
              <w:tabs>
                <w:tab w:val="left" w:pos="11199"/>
              </w:tabs>
              <w:rPr>
                <w:color w:val="000000" w:themeColor="text1"/>
              </w:rPr>
            </w:pPr>
            <w:r w:rsidRPr="00A3026E">
              <w:rPr>
                <w:color w:val="000000" w:themeColor="text1"/>
              </w:rPr>
              <w:t>44,8/8,96</w:t>
            </w:r>
          </w:p>
        </w:tc>
        <w:tc>
          <w:tcPr>
            <w:tcW w:w="830" w:type="dxa"/>
          </w:tcPr>
          <w:p w14:paraId="01C934A3" w14:textId="77777777" w:rsidR="0014077F" w:rsidRPr="00A3026E" w:rsidRDefault="0014077F" w:rsidP="00A3026E">
            <w:pPr>
              <w:pStyle w:val="22"/>
              <w:widowControl/>
              <w:tabs>
                <w:tab w:val="left" w:pos="11199"/>
              </w:tabs>
              <w:rPr>
                <w:color w:val="000000" w:themeColor="text1"/>
              </w:rPr>
            </w:pPr>
            <w:r w:rsidRPr="00A3026E">
              <w:rPr>
                <w:color w:val="000000" w:themeColor="text1"/>
              </w:rPr>
              <w:t>13,9/2,78</w:t>
            </w:r>
          </w:p>
        </w:tc>
        <w:tc>
          <w:tcPr>
            <w:tcW w:w="968" w:type="dxa"/>
          </w:tcPr>
          <w:p w14:paraId="1EF512C8" w14:textId="77777777" w:rsidR="0014077F" w:rsidRPr="00A3026E" w:rsidRDefault="0014077F" w:rsidP="00A3026E">
            <w:pPr>
              <w:pStyle w:val="22"/>
              <w:widowControl/>
              <w:tabs>
                <w:tab w:val="left" w:pos="11199"/>
              </w:tabs>
              <w:rPr>
                <w:color w:val="000000" w:themeColor="text1"/>
              </w:rPr>
            </w:pPr>
            <w:r w:rsidRPr="00A3026E">
              <w:rPr>
                <w:color w:val="000000" w:themeColor="text1"/>
              </w:rPr>
              <w:t>32,0/6,4</w:t>
            </w:r>
          </w:p>
        </w:tc>
        <w:tc>
          <w:tcPr>
            <w:tcW w:w="2519" w:type="dxa"/>
          </w:tcPr>
          <w:p w14:paraId="3ADE33A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норма на один самолет взята из расчета 8 вариантов</w:t>
            </w:r>
          </w:p>
        </w:tc>
      </w:tr>
      <w:tr w:rsidR="00983732" w:rsidRPr="00A3026E" w14:paraId="394FA067" w14:textId="77777777" w:rsidTr="00EA0DA7">
        <w:tc>
          <w:tcPr>
            <w:tcW w:w="1134" w:type="dxa"/>
          </w:tcPr>
          <w:p w14:paraId="7600F97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ПБ-100</w:t>
            </w:r>
          </w:p>
        </w:tc>
        <w:tc>
          <w:tcPr>
            <w:tcW w:w="1007" w:type="dxa"/>
          </w:tcPr>
          <w:p w14:paraId="1E6F801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w:t>
            </w:r>
          </w:p>
        </w:tc>
        <w:tc>
          <w:tcPr>
            <w:tcW w:w="1151" w:type="dxa"/>
          </w:tcPr>
          <w:p w14:paraId="36917979" w14:textId="77777777" w:rsidR="0014077F" w:rsidRPr="00A3026E" w:rsidRDefault="0014077F" w:rsidP="00A3026E">
            <w:pPr>
              <w:pStyle w:val="22"/>
              <w:widowControl/>
              <w:tabs>
                <w:tab w:val="left" w:pos="11199"/>
              </w:tabs>
              <w:rPr>
                <w:color w:val="000000" w:themeColor="text1"/>
              </w:rPr>
            </w:pPr>
            <w:r w:rsidRPr="00A3026E">
              <w:rPr>
                <w:color w:val="000000" w:themeColor="text1"/>
              </w:rPr>
              <w:t>22,0/4,4</w:t>
            </w:r>
          </w:p>
        </w:tc>
        <w:tc>
          <w:tcPr>
            <w:tcW w:w="1151" w:type="dxa"/>
          </w:tcPr>
          <w:p w14:paraId="05EDFA9E" w14:textId="77777777" w:rsidR="0014077F" w:rsidRPr="00A3026E" w:rsidRDefault="0014077F" w:rsidP="00A3026E">
            <w:pPr>
              <w:pStyle w:val="22"/>
              <w:widowControl/>
              <w:tabs>
                <w:tab w:val="left" w:pos="11199"/>
              </w:tabs>
              <w:rPr>
                <w:color w:val="000000" w:themeColor="text1"/>
              </w:rPr>
            </w:pPr>
            <w:r w:rsidRPr="00A3026E">
              <w:rPr>
                <w:color w:val="000000" w:themeColor="text1"/>
              </w:rPr>
              <w:t>19,0/3,8</w:t>
            </w:r>
          </w:p>
        </w:tc>
        <w:tc>
          <w:tcPr>
            <w:tcW w:w="1295" w:type="dxa"/>
          </w:tcPr>
          <w:p w14:paraId="15B422D8" w14:textId="77777777" w:rsidR="0014077F" w:rsidRPr="00A3026E" w:rsidRDefault="0014077F" w:rsidP="00A3026E">
            <w:pPr>
              <w:pStyle w:val="22"/>
              <w:widowControl/>
              <w:tabs>
                <w:tab w:val="left" w:pos="11199"/>
              </w:tabs>
              <w:rPr>
                <w:color w:val="000000" w:themeColor="text1"/>
              </w:rPr>
            </w:pPr>
            <w:r w:rsidRPr="00A3026E">
              <w:rPr>
                <w:color w:val="000000" w:themeColor="text1"/>
              </w:rPr>
              <w:t>14,1/2,9</w:t>
            </w:r>
          </w:p>
        </w:tc>
        <w:tc>
          <w:tcPr>
            <w:tcW w:w="1007" w:type="dxa"/>
          </w:tcPr>
          <w:p w14:paraId="3AA968B9" w14:textId="77777777" w:rsidR="0014077F" w:rsidRPr="00A3026E" w:rsidRDefault="0014077F" w:rsidP="00A3026E">
            <w:pPr>
              <w:pStyle w:val="22"/>
              <w:widowControl/>
              <w:tabs>
                <w:tab w:val="left" w:pos="11199"/>
              </w:tabs>
              <w:rPr>
                <w:color w:val="000000" w:themeColor="text1"/>
              </w:rPr>
            </w:pPr>
            <w:r w:rsidRPr="00A3026E">
              <w:rPr>
                <w:color w:val="000000" w:themeColor="text1"/>
              </w:rPr>
              <w:t>25,2/5,04</w:t>
            </w:r>
          </w:p>
        </w:tc>
        <w:tc>
          <w:tcPr>
            <w:tcW w:w="830" w:type="dxa"/>
          </w:tcPr>
          <w:p w14:paraId="10235A26" w14:textId="77777777" w:rsidR="0014077F" w:rsidRPr="00A3026E" w:rsidRDefault="0014077F" w:rsidP="00A3026E">
            <w:pPr>
              <w:pStyle w:val="22"/>
              <w:widowControl/>
              <w:tabs>
                <w:tab w:val="left" w:pos="11199"/>
              </w:tabs>
              <w:rPr>
                <w:color w:val="000000" w:themeColor="text1"/>
              </w:rPr>
            </w:pPr>
            <w:r w:rsidRPr="00A3026E">
              <w:rPr>
                <w:color w:val="000000" w:themeColor="text1"/>
              </w:rPr>
              <w:t>2,75/0,55</w:t>
            </w:r>
          </w:p>
        </w:tc>
        <w:tc>
          <w:tcPr>
            <w:tcW w:w="968" w:type="dxa"/>
          </w:tcPr>
          <w:p w14:paraId="37462E95" w14:textId="77777777" w:rsidR="0014077F" w:rsidRPr="00A3026E" w:rsidRDefault="0014077F" w:rsidP="00A3026E">
            <w:pPr>
              <w:pStyle w:val="22"/>
              <w:widowControl/>
              <w:tabs>
                <w:tab w:val="left" w:pos="11199"/>
              </w:tabs>
              <w:rPr>
                <w:color w:val="000000" w:themeColor="text1"/>
              </w:rPr>
            </w:pPr>
            <w:r w:rsidRPr="00A3026E">
              <w:rPr>
                <w:color w:val="000000" w:themeColor="text1"/>
              </w:rPr>
              <w:t>30,0/6,0</w:t>
            </w:r>
          </w:p>
        </w:tc>
        <w:tc>
          <w:tcPr>
            <w:tcW w:w="2519" w:type="dxa"/>
          </w:tcPr>
          <w:p w14:paraId="1A75EE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норма на один самолет взята из расчета 8 вариантов</w:t>
            </w:r>
          </w:p>
        </w:tc>
      </w:tr>
      <w:tr w:rsidR="00983732" w:rsidRPr="00A3026E" w14:paraId="7E0B77A4" w14:textId="77777777" w:rsidTr="00EA0DA7">
        <w:tc>
          <w:tcPr>
            <w:tcW w:w="1134" w:type="dxa"/>
          </w:tcPr>
          <w:p w14:paraId="3EC95F1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w:t>
            </w:r>
          </w:p>
        </w:tc>
        <w:tc>
          <w:tcPr>
            <w:tcW w:w="1007" w:type="dxa"/>
          </w:tcPr>
          <w:p w14:paraId="4E50EC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w:t>
            </w:r>
          </w:p>
        </w:tc>
        <w:tc>
          <w:tcPr>
            <w:tcW w:w="1151" w:type="dxa"/>
          </w:tcPr>
          <w:p w14:paraId="1183AA91" w14:textId="77777777" w:rsidR="0014077F" w:rsidRPr="00A3026E" w:rsidRDefault="0014077F" w:rsidP="00A3026E">
            <w:pPr>
              <w:pStyle w:val="22"/>
              <w:widowControl/>
              <w:tabs>
                <w:tab w:val="left" w:pos="11199"/>
              </w:tabs>
              <w:rPr>
                <w:color w:val="000000" w:themeColor="text1"/>
              </w:rPr>
            </w:pPr>
            <w:r w:rsidRPr="00A3026E">
              <w:rPr>
                <w:color w:val="000000" w:themeColor="text1"/>
              </w:rPr>
              <w:t>11,9/4,76</w:t>
            </w:r>
          </w:p>
        </w:tc>
        <w:tc>
          <w:tcPr>
            <w:tcW w:w="1151" w:type="dxa"/>
          </w:tcPr>
          <w:p w14:paraId="03333E51" w14:textId="77777777" w:rsidR="0014077F" w:rsidRPr="00A3026E" w:rsidRDefault="0014077F" w:rsidP="00A3026E">
            <w:pPr>
              <w:pStyle w:val="22"/>
              <w:widowControl/>
              <w:tabs>
                <w:tab w:val="left" w:pos="11199"/>
              </w:tabs>
              <w:rPr>
                <w:color w:val="000000" w:themeColor="text1"/>
              </w:rPr>
            </w:pPr>
            <w:r w:rsidRPr="00A3026E">
              <w:rPr>
                <w:color w:val="000000" w:themeColor="text1"/>
              </w:rPr>
              <w:t>12,4/4,96</w:t>
            </w:r>
          </w:p>
        </w:tc>
        <w:tc>
          <w:tcPr>
            <w:tcW w:w="1295" w:type="dxa"/>
          </w:tcPr>
          <w:p w14:paraId="5FEA6165" w14:textId="77777777" w:rsidR="0014077F" w:rsidRPr="00A3026E" w:rsidRDefault="0014077F" w:rsidP="00A3026E">
            <w:pPr>
              <w:pStyle w:val="22"/>
              <w:widowControl/>
              <w:tabs>
                <w:tab w:val="left" w:pos="11199"/>
              </w:tabs>
              <w:rPr>
                <w:color w:val="000000" w:themeColor="text1"/>
              </w:rPr>
            </w:pPr>
            <w:r w:rsidRPr="00A3026E">
              <w:rPr>
                <w:color w:val="000000" w:themeColor="text1"/>
              </w:rPr>
              <w:t>6,34/2,54</w:t>
            </w:r>
          </w:p>
        </w:tc>
        <w:tc>
          <w:tcPr>
            <w:tcW w:w="1007" w:type="dxa"/>
          </w:tcPr>
          <w:p w14:paraId="3DA753D5" w14:textId="77777777" w:rsidR="0014077F" w:rsidRPr="00A3026E" w:rsidRDefault="0014077F" w:rsidP="00A3026E">
            <w:pPr>
              <w:pStyle w:val="22"/>
              <w:widowControl/>
              <w:tabs>
                <w:tab w:val="left" w:pos="11199"/>
              </w:tabs>
              <w:rPr>
                <w:color w:val="000000" w:themeColor="text1"/>
              </w:rPr>
            </w:pPr>
            <w:r w:rsidRPr="00A3026E">
              <w:rPr>
                <w:color w:val="000000" w:themeColor="text1"/>
              </w:rPr>
              <w:t>15,4/6,16</w:t>
            </w:r>
          </w:p>
        </w:tc>
        <w:tc>
          <w:tcPr>
            <w:tcW w:w="830" w:type="dxa"/>
          </w:tcPr>
          <w:p w14:paraId="5747F1B0" w14:textId="77777777" w:rsidR="0014077F" w:rsidRPr="00A3026E" w:rsidRDefault="0014077F" w:rsidP="00A3026E">
            <w:pPr>
              <w:pStyle w:val="22"/>
              <w:widowControl/>
              <w:tabs>
                <w:tab w:val="left" w:pos="11199"/>
              </w:tabs>
              <w:rPr>
                <w:color w:val="000000" w:themeColor="text1"/>
              </w:rPr>
            </w:pPr>
            <w:r w:rsidRPr="00A3026E">
              <w:rPr>
                <w:color w:val="000000" w:themeColor="text1"/>
              </w:rPr>
              <w:t>4,5/1,8</w:t>
            </w:r>
          </w:p>
        </w:tc>
        <w:tc>
          <w:tcPr>
            <w:tcW w:w="968" w:type="dxa"/>
          </w:tcPr>
          <w:p w14:paraId="7E0FC892" w14:textId="77777777" w:rsidR="0014077F" w:rsidRPr="00A3026E" w:rsidRDefault="0014077F" w:rsidP="00A3026E">
            <w:pPr>
              <w:pStyle w:val="22"/>
              <w:widowControl/>
              <w:tabs>
                <w:tab w:val="left" w:pos="11199"/>
              </w:tabs>
              <w:rPr>
                <w:color w:val="000000" w:themeColor="text1"/>
              </w:rPr>
            </w:pPr>
            <w:r w:rsidRPr="00A3026E">
              <w:rPr>
                <w:color w:val="000000" w:themeColor="text1"/>
              </w:rPr>
              <w:t>23,5/9,4</w:t>
            </w:r>
          </w:p>
        </w:tc>
        <w:tc>
          <w:tcPr>
            <w:tcW w:w="2519" w:type="dxa"/>
          </w:tcPr>
          <w:p w14:paraId="3E8E8E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норма на один самолет взята из расчета 8 вариантов</w:t>
            </w:r>
          </w:p>
        </w:tc>
      </w:tr>
      <w:tr w:rsidR="00983732" w:rsidRPr="00A3026E" w14:paraId="0E22C3EC" w14:textId="77777777" w:rsidTr="00EA0DA7">
        <w:tc>
          <w:tcPr>
            <w:tcW w:w="1134" w:type="dxa"/>
          </w:tcPr>
          <w:p w14:paraId="18F9DA1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ТБ-7</w:t>
            </w:r>
          </w:p>
        </w:tc>
        <w:tc>
          <w:tcPr>
            <w:tcW w:w="1007" w:type="dxa"/>
          </w:tcPr>
          <w:p w14:paraId="4430ACF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326</w:t>
            </w:r>
          </w:p>
        </w:tc>
        <w:tc>
          <w:tcPr>
            <w:tcW w:w="1151" w:type="dxa"/>
          </w:tcPr>
          <w:p w14:paraId="1A67C524" w14:textId="77777777" w:rsidR="0014077F" w:rsidRPr="00A3026E" w:rsidRDefault="0014077F" w:rsidP="00A3026E">
            <w:pPr>
              <w:pStyle w:val="22"/>
              <w:widowControl/>
              <w:tabs>
                <w:tab w:val="left" w:pos="11199"/>
              </w:tabs>
              <w:rPr>
                <w:color w:val="000000" w:themeColor="text1"/>
              </w:rPr>
            </w:pPr>
            <w:r w:rsidRPr="00A3026E">
              <w:rPr>
                <w:color w:val="000000" w:themeColor="text1"/>
              </w:rPr>
              <w:t>49,3/9,86</w:t>
            </w:r>
          </w:p>
        </w:tc>
        <w:tc>
          <w:tcPr>
            <w:tcW w:w="1151" w:type="dxa"/>
          </w:tcPr>
          <w:p w14:paraId="1A02A7E8" w14:textId="77777777" w:rsidR="0014077F" w:rsidRPr="00A3026E" w:rsidRDefault="0014077F" w:rsidP="00A3026E">
            <w:pPr>
              <w:pStyle w:val="22"/>
              <w:widowControl/>
              <w:tabs>
                <w:tab w:val="left" w:pos="11199"/>
              </w:tabs>
              <w:rPr>
                <w:color w:val="000000" w:themeColor="text1"/>
              </w:rPr>
            </w:pPr>
            <w:r w:rsidRPr="00A3026E">
              <w:rPr>
                <w:color w:val="000000" w:themeColor="text1"/>
              </w:rPr>
              <w:t>59,4/11,88</w:t>
            </w:r>
          </w:p>
        </w:tc>
        <w:tc>
          <w:tcPr>
            <w:tcW w:w="1295" w:type="dxa"/>
          </w:tcPr>
          <w:p w14:paraId="72F0411A" w14:textId="77777777" w:rsidR="0014077F" w:rsidRPr="00A3026E" w:rsidRDefault="0014077F" w:rsidP="00A3026E">
            <w:pPr>
              <w:pStyle w:val="22"/>
              <w:widowControl/>
              <w:tabs>
                <w:tab w:val="left" w:pos="11199"/>
              </w:tabs>
              <w:rPr>
                <w:color w:val="000000" w:themeColor="text1"/>
              </w:rPr>
            </w:pPr>
            <w:r w:rsidRPr="00A3026E">
              <w:rPr>
                <w:color w:val="000000" w:themeColor="text1"/>
              </w:rPr>
              <w:t>38,1/7,62</w:t>
            </w:r>
          </w:p>
        </w:tc>
        <w:tc>
          <w:tcPr>
            <w:tcW w:w="1007" w:type="dxa"/>
          </w:tcPr>
          <w:p w14:paraId="05FE69C6" w14:textId="77777777" w:rsidR="0014077F" w:rsidRPr="00A3026E" w:rsidRDefault="0014077F" w:rsidP="00A3026E">
            <w:pPr>
              <w:pStyle w:val="22"/>
              <w:widowControl/>
              <w:tabs>
                <w:tab w:val="left" w:pos="11199"/>
              </w:tabs>
              <w:rPr>
                <w:color w:val="000000" w:themeColor="text1"/>
              </w:rPr>
            </w:pPr>
            <w:r w:rsidRPr="00A3026E">
              <w:rPr>
                <w:color w:val="000000" w:themeColor="text1"/>
              </w:rPr>
              <w:t>78,4/15,68</w:t>
            </w:r>
          </w:p>
        </w:tc>
        <w:tc>
          <w:tcPr>
            <w:tcW w:w="830" w:type="dxa"/>
          </w:tcPr>
          <w:p w14:paraId="0C2C96FE" w14:textId="77777777" w:rsidR="0014077F" w:rsidRPr="00A3026E" w:rsidRDefault="0014077F" w:rsidP="00A3026E">
            <w:pPr>
              <w:pStyle w:val="22"/>
              <w:widowControl/>
              <w:tabs>
                <w:tab w:val="left" w:pos="11199"/>
              </w:tabs>
              <w:rPr>
                <w:color w:val="000000" w:themeColor="text1"/>
              </w:rPr>
            </w:pPr>
            <w:r w:rsidRPr="00A3026E">
              <w:rPr>
                <w:color w:val="000000" w:themeColor="text1"/>
              </w:rPr>
              <w:t>26,5/5,3</w:t>
            </w:r>
          </w:p>
        </w:tc>
        <w:tc>
          <w:tcPr>
            <w:tcW w:w="968" w:type="dxa"/>
          </w:tcPr>
          <w:p w14:paraId="25A93B62" w14:textId="77777777" w:rsidR="0014077F" w:rsidRPr="00A3026E" w:rsidRDefault="0014077F" w:rsidP="00A3026E">
            <w:pPr>
              <w:pStyle w:val="22"/>
              <w:widowControl/>
              <w:tabs>
                <w:tab w:val="left" w:pos="11199"/>
              </w:tabs>
              <w:rPr>
                <w:color w:val="000000" w:themeColor="text1"/>
              </w:rPr>
            </w:pPr>
            <w:r w:rsidRPr="00A3026E">
              <w:rPr>
                <w:color w:val="000000" w:themeColor="text1"/>
              </w:rPr>
              <w:t>74,4/14,88</w:t>
            </w:r>
          </w:p>
        </w:tc>
        <w:tc>
          <w:tcPr>
            <w:tcW w:w="2519" w:type="dxa"/>
          </w:tcPr>
          <w:p w14:paraId="6857DF6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норма на один самолет взята из расчета 8 вариантов</w:t>
            </w:r>
          </w:p>
        </w:tc>
      </w:tr>
      <w:tr w:rsidR="00983732" w:rsidRPr="00A3026E" w14:paraId="25DFE09C" w14:textId="77777777" w:rsidTr="00EA0DA7">
        <w:tc>
          <w:tcPr>
            <w:tcW w:w="1134" w:type="dxa"/>
          </w:tcPr>
          <w:p w14:paraId="66C2E31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ББ-1</w:t>
            </w:r>
          </w:p>
        </w:tc>
        <w:tc>
          <w:tcPr>
            <w:tcW w:w="1007" w:type="dxa"/>
          </w:tcPr>
          <w:p w14:paraId="5D8FBA1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1151" w:type="dxa"/>
          </w:tcPr>
          <w:p w14:paraId="6DE29CB4" w14:textId="77777777" w:rsidR="0014077F" w:rsidRPr="00A3026E" w:rsidRDefault="0014077F" w:rsidP="00A3026E">
            <w:pPr>
              <w:pStyle w:val="22"/>
              <w:widowControl/>
              <w:tabs>
                <w:tab w:val="left" w:pos="11199"/>
              </w:tabs>
              <w:rPr>
                <w:color w:val="000000" w:themeColor="text1"/>
              </w:rPr>
            </w:pPr>
            <w:r w:rsidRPr="00A3026E">
              <w:rPr>
                <w:color w:val="000000" w:themeColor="text1"/>
              </w:rPr>
              <w:t>13,0/5,2</w:t>
            </w:r>
          </w:p>
        </w:tc>
        <w:tc>
          <w:tcPr>
            <w:tcW w:w="1151" w:type="dxa"/>
          </w:tcPr>
          <w:p w14:paraId="29A2A6DE" w14:textId="77777777" w:rsidR="0014077F" w:rsidRPr="00A3026E" w:rsidRDefault="0014077F" w:rsidP="00A3026E">
            <w:pPr>
              <w:pStyle w:val="22"/>
              <w:widowControl/>
              <w:tabs>
                <w:tab w:val="left" w:pos="11199"/>
              </w:tabs>
              <w:rPr>
                <w:color w:val="000000" w:themeColor="text1"/>
              </w:rPr>
            </w:pPr>
            <w:r w:rsidRPr="00A3026E">
              <w:rPr>
                <w:color w:val="000000" w:themeColor="text1"/>
              </w:rPr>
              <w:t>10,8/4,32</w:t>
            </w:r>
          </w:p>
        </w:tc>
        <w:tc>
          <w:tcPr>
            <w:tcW w:w="1295" w:type="dxa"/>
          </w:tcPr>
          <w:p w14:paraId="5FE867B1" w14:textId="77777777" w:rsidR="0014077F" w:rsidRPr="00A3026E" w:rsidRDefault="0014077F" w:rsidP="00A3026E">
            <w:pPr>
              <w:pStyle w:val="22"/>
              <w:widowControl/>
              <w:tabs>
                <w:tab w:val="left" w:pos="11199"/>
              </w:tabs>
              <w:rPr>
                <w:color w:val="000000" w:themeColor="text1"/>
              </w:rPr>
            </w:pPr>
            <w:r w:rsidRPr="00A3026E">
              <w:rPr>
                <w:color w:val="000000" w:themeColor="text1"/>
              </w:rPr>
              <w:t>3,6/1,44</w:t>
            </w:r>
          </w:p>
        </w:tc>
        <w:tc>
          <w:tcPr>
            <w:tcW w:w="1007" w:type="dxa"/>
          </w:tcPr>
          <w:p w14:paraId="71DED15B" w14:textId="77777777" w:rsidR="0014077F" w:rsidRPr="00A3026E" w:rsidRDefault="0014077F" w:rsidP="00A3026E">
            <w:pPr>
              <w:pStyle w:val="22"/>
              <w:widowControl/>
              <w:tabs>
                <w:tab w:val="left" w:pos="11199"/>
              </w:tabs>
              <w:rPr>
                <w:color w:val="000000" w:themeColor="text1"/>
              </w:rPr>
            </w:pPr>
            <w:r w:rsidRPr="00A3026E">
              <w:rPr>
                <w:color w:val="000000" w:themeColor="text1"/>
              </w:rPr>
              <w:t>24,1/9,64</w:t>
            </w:r>
          </w:p>
        </w:tc>
        <w:tc>
          <w:tcPr>
            <w:tcW w:w="830" w:type="dxa"/>
          </w:tcPr>
          <w:p w14:paraId="0C128B05" w14:textId="77777777" w:rsidR="0014077F" w:rsidRPr="00A3026E" w:rsidRDefault="0014077F" w:rsidP="00A3026E">
            <w:pPr>
              <w:pStyle w:val="22"/>
              <w:widowControl/>
              <w:tabs>
                <w:tab w:val="left" w:pos="11199"/>
              </w:tabs>
              <w:rPr>
                <w:color w:val="000000" w:themeColor="text1"/>
              </w:rPr>
            </w:pPr>
            <w:r w:rsidRPr="00A3026E">
              <w:rPr>
                <w:color w:val="000000" w:themeColor="text1"/>
              </w:rPr>
              <w:t>5,9/2,36</w:t>
            </w:r>
          </w:p>
        </w:tc>
        <w:tc>
          <w:tcPr>
            <w:tcW w:w="968" w:type="dxa"/>
          </w:tcPr>
          <w:p w14:paraId="3E6BF524" w14:textId="77777777" w:rsidR="0014077F" w:rsidRPr="00A3026E" w:rsidRDefault="0014077F" w:rsidP="00A3026E">
            <w:pPr>
              <w:pStyle w:val="22"/>
              <w:widowControl/>
              <w:tabs>
                <w:tab w:val="left" w:pos="11199"/>
              </w:tabs>
              <w:rPr>
                <w:color w:val="000000" w:themeColor="text1"/>
              </w:rPr>
            </w:pPr>
            <w:r w:rsidRPr="00A3026E">
              <w:rPr>
                <w:color w:val="000000" w:themeColor="text1"/>
              </w:rPr>
              <w:t>17,6/7,04</w:t>
            </w:r>
          </w:p>
        </w:tc>
        <w:tc>
          <w:tcPr>
            <w:tcW w:w="2519" w:type="dxa"/>
          </w:tcPr>
          <w:p w14:paraId="4EA8340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норма на один самолет взята из расчета 8 вариантов</w:t>
            </w:r>
          </w:p>
        </w:tc>
      </w:tr>
    </w:tbl>
    <w:p w14:paraId="18B876C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(4190, 15).</w:t>
      </w:r>
    </w:p>
    <w:p w14:paraId="77B142F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666246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по приказу № 698сс заводу, созданному 24 октября 1940 г. приказами НКСМ № 248сс и НКАЛ № 585сс от 25.10.1940 г. в соответствии с пост. СНК от 18.10.1940 г. при ГАЗ путем выделения цехов для производства авиамоторов (Завод № 466 НКАП, Машиностроительное предприятие «Красный Октябрь», ЛМПО «Красный Октябрь», Санкт-Петербургское ОАО «Красный Октябрь» /г. Горький;  г. Ленинград/ /194100  г. Ленинград,  г. Санкт-Петербург ул. Политехническая, 13/15 тел. 247-72-09, -52-33/) был присвоен № 466 НКАП. Как самостоятельная производственная единица вступил в строй в 1941 г., действовал внутри ГАЗа. В 1941 г. освоено производство моторов М-105Р, создан мотор М-500 и нагнетатель для М-105П.</w:t>
      </w:r>
    </w:p>
    <w:p w14:paraId="634627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655с от 10.07.1941 г. завод упразднен как самостоятельная единица и преобразован в отдел № 10 ГАЗа по производству авиамоторов М-105Р и танковых моторов М-17Т.</w:t>
      </w:r>
    </w:p>
    <w:p w14:paraId="1563DDA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1445сс от 14.03.1942 г. и приказом № 215сс/ М-168 от 17.03.1942 г. на базе авиамоторного производства ГАЗа вновь образован завод по производству авиационных моторов № 466 при ЗГУ НКАП. Производство танковых моторов в 1942 г. прекращено и передано НКТП.</w:t>
      </w:r>
    </w:p>
    <w:p w14:paraId="333A89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30.05.1942 г. вышло постановление ГКО № 1831 об увеличении выпуска на заводе мотора М-105Р. В соответствии с пост. ГКО № 2134сс от 3.08.1942 г. заводу предписано начать производство двигателей М-105ПФ.</w:t>
      </w:r>
    </w:p>
    <w:p w14:paraId="67C985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10.07.1943 г. вышло постановление ГКО № 3724 о помощи заводу. По приказу № 369с/ 351с от 8.09.1945 г. часть кадров и оборудования завода передана ГАЗу. По приказу № 370с от 8.09.1945 г. завод № 466 НКАП переведен в Ленинград на территорию завода № 274 НКАП. В соответствии с приказом № 409с от 22.10.1945 г. завод № 274 НКАП влит в состав завода № 466.</w:t>
      </w:r>
    </w:p>
    <w:p w14:paraId="390E12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войны начато освоение производства мотора Джемси Д-6 и воздушно-реактивных двигателей.</w:t>
      </w:r>
    </w:p>
    <w:p w14:paraId="6BF54B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 г. заводу выделено 2433 единицы трофейного оборудования (в т.ч. 1413 металлорежущих станков), в т.ч. из Чехословакии.</w:t>
      </w:r>
    </w:p>
    <w:p w14:paraId="3C548F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13202B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 г. завод имел две территории: площадка № 1 по 2-му Муринскому пр. (далее здесь- завод «Красный Октябрь») и площадка № 2 - пр. К. Маркса, Флюгов пер. (бывшая территория завода № 234, № 117, далее- НПО им. Климова).</w:t>
      </w:r>
    </w:p>
    <w:p w14:paraId="5439CC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 г. планировалось производство моторов У-5 для комбайнов.</w:t>
      </w:r>
    </w:p>
    <w:p w14:paraId="487356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неудачей в освоении производства АМ-9 решением ГКАТ в 12.1955 г. завод прекратил выпуск авиационных двигателей и переориентирован на производство вертолетных агрегатов.</w:t>
      </w:r>
    </w:p>
    <w:p w14:paraId="0BD3E2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СМ СССР № 713-342 от 26.06.1957 г. передан в ведение СНХ РСФСР.</w:t>
      </w:r>
    </w:p>
    <w:p w14:paraId="5A9253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приказу </w:t>
      </w:r>
      <w:r w:rsidRPr="00A3026E">
        <w:rPr>
          <w:rFonts w:ascii="Times New Roman" w:hAnsi="Times New Roman"/>
          <w:color w:val="000000" w:themeColor="text1"/>
          <w:sz w:val="16"/>
          <w:szCs w:val="16"/>
          <w:lang w:val="en-US"/>
        </w:rPr>
        <w:t>MAII</w:t>
      </w:r>
      <w:r w:rsidRPr="00A3026E">
        <w:rPr>
          <w:rFonts w:ascii="Times New Roman" w:hAnsi="Times New Roman"/>
          <w:color w:val="000000" w:themeColor="text1"/>
          <w:sz w:val="16"/>
          <w:szCs w:val="16"/>
        </w:rPr>
        <w:t xml:space="preserve"> № 175 от 04.1966 г. заводу присвоено имя «Красный Октябрь». В 1974-86 г. завод входил в ЛНПО им. Климова. По приказу МАП № 473 от 09.1986 г. завод вышел из состава ЛНПО им. Климова и стал самостоятельным ЛМПО «Красный Октябрь», в состав объединения вошли также Боровичский завод «Двигатель», Новгородский завод «Энергия» и Зеленогорский завод «Автоматика». С 1994 г.- Санкт- Петербургское ОАО «МП «Красный Октябрь». В 1996 г. вошёл в ВПК «МАПО». По решению правительства № 22-р от 9.01.2004 г. вошло в перечень стратегических предприятий.</w:t>
      </w:r>
    </w:p>
    <w:p w14:paraId="3AA96AF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1952 г. начался выпуск трансмиссий и автоматов перекоса, с 1970-х- главных редукторов для вертолетов, а с 1982 г.- коробок самолетных агрегатов.</w:t>
      </w:r>
    </w:p>
    <w:p w14:paraId="107A03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1958-91г,- производство ЖРД и бортовых источников питания для ЗУР и МБР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Исаева, А.С. Мевиуса, С.П. Изотова, А.Д. Конопатова.</w:t>
      </w:r>
    </w:p>
    <w:p w14:paraId="33E59A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1960-е  г. на заводе действовал филиал МКБ «Красная звезда» (начальник (1968-69 г.)- А.С. Мевиус).</w:t>
      </w:r>
    </w:p>
    <w:p w14:paraId="0A6E69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1998 г. при заводе образовано Авиационное КБ.</w:t>
      </w:r>
    </w:p>
    <w:p w14:paraId="48C9A5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7ACFCE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А.А. Завитаев, (03.1942 г.-; 10.1945 г.) - А.П. Петров, (09.1944 г.-)- Н.Н. Алексеев, (10.1945-50 г.)- И.Н. Лукин, (1950-56 г.)- С. Г. Кондратов, (1956-59 г.)- В.И. Тарасов, (1959-76 г.)- М.Н. Ляпунов, (1976-86 г.)- А.Н. Фомичев. Гендиректор (1986-2005 г.-)- А.Н. Фомичев.</w:t>
      </w:r>
    </w:p>
    <w:p w14:paraId="11287E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(1941 г.)- Н.А. Доллежаль, (10.1945 г.-)- М.А. Колосов, (1946-47 г.)- В</w:t>
      </w:r>
      <w:r w:rsidRPr="00A3026E">
        <w:rPr>
          <w:rFonts w:ascii="Times New Roman" w:hAnsi="Times New Roman"/>
          <w:iCs/>
          <w:color w:val="000000" w:themeColor="text1"/>
          <w:sz w:val="16"/>
          <w:szCs w:val="16"/>
        </w:rPr>
        <w:t xml:space="preserve"> .Я.</w:t>
      </w:r>
      <w:r w:rsidRPr="00A3026E">
        <w:rPr>
          <w:rFonts w:ascii="Times New Roman" w:hAnsi="Times New Roman"/>
          <w:color w:val="000000" w:themeColor="text1"/>
          <w:sz w:val="16"/>
          <w:szCs w:val="16"/>
        </w:rPr>
        <w:t xml:space="preserve"> Климов (одновременно- гл. конструктор ОКБ завода № 26).</w:t>
      </w:r>
    </w:p>
    <w:p w14:paraId="59884F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5D62C5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314DF0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начальника цеха (1942-46 г.)- Н.А. Левченко.</w:t>
      </w:r>
    </w:p>
    <w:p w14:paraId="1616EF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 двигатели:</w:t>
      </w:r>
      <w:r w:rsidRPr="00A3026E">
        <w:rPr>
          <w:rFonts w:ascii="Times New Roman" w:hAnsi="Times New Roman"/>
          <w:color w:val="000000" w:themeColor="text1"/>
          <w:sz w:val="16"/>
          <w:szCs w:val="16"/>
        </w:rPr>
        <w:t xml:space="preserve"> М-17Т (1941-42), М-105Р (1941-42), М-105ПФ (1942-45), ВК-105ПД (1944-45), ВК- 107 (1946), РД-10А (1950-52), АМ-9 (1954-55); РД-33 (1980-е); авиационная торпеда РАТ-52 (1950-56); трансмиссии и автоматы перекоса для Ми-1, Ми-4, Як-24, затем- для всех «Ми» (2002); главные редукторы: ВР- 14 для Ми-14, Ми-8МТ (-2002-04-), ВР-24 для Ми-24 (-2002-04-), ВР-252 для Ка-27</w:t>
      </w:r>
    </w:p>
    <w:p w14:paraId="08F17B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(- 2002-04-); энергоузел ГТДЭ-117 для МиГ-29, Су-27 (1980-е-2004-), ГТДЭ-117-1М (ВК-100-1М) (2003-); стартер СВ-65 для ТВ7-117 (1992-2004-);</w:t>
      </w:r>
      <w:r w:rsidRPr="00A3026E">
        <w:rPr>
          <w:rFonts w:ascii="Times New Roman" w:hAnsi="Times New Roman"/>
          <w:iCs/>
          <w:color w:val="000000" w:themeColor="text1"/>
          <w:sz w:val="16"/>
          <w:szCs w:val="16"/>
        </w:rPr>
        <w:t xml:space="preserve"> ЖРД:</w:t>
      </w:r>
      <w:r w:rsidRPr="00A3026E">
        <w:rPr>
          <w:rFonts w:ascii="Times New Roman" w:hAnsi="Times New Roman"/>
          <w:color w:val="000000" w:themeColor="text1"/>
          <w:sz w:val="16"/>
          <w:szCs w:val="16"/>
        </w:rPr>
        <w:t xml:space="preserve"> С2.711В1 для В-750В (1956-), С2.720, С2.726 для В-1000, 5Д12 для В-860, 5Д67 для В-880, 15Д13 и 15Д14 с ТНА 8Д419 для УР-100, 15Д113 и 15Д114 для УР-100Н, 5Д18 и 5Д22 для А-350; бортовые источники питания 5И28, 5И43, 5И47, 4Е60; мотоблоки «Нева», мотонасосы, бензиновые двигатели мощностью 1,1 ...5,5 л.с. (2002).</w:t>
      </w:r>
      <w:r w:rsidRPr="00A3026E">
        <w:rPr>
          <w:rFonts w:ascii="Times New Roman" w:hAnsi="Times New Roman"/>
          <w:color w:val="000000" w:themeColor="text1"/>
          <w:sz w:val="16"/>
          <w:szCs w:val="16"/>
          <w:vertAlign w:val="superscript"/>
        </w:rPr>
        <w:t>69</w:t>
      </w:r>
    </w:p>
    <w:p w14:paraId="332AE1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ОКБ-45, Филиал ОКБ-500, ОКБ завода № 466 МАП, ОКБ-466 МАП</w:t>
      </w:r>
    </w:p>
    <w:p w14:paraId="0F17C9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1EA498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2B74C1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1958 г.- разработка ЖРД для ЗУР и ракет ПРО. Доработка и освоение производства С2.726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Исаева. В 1962 г. передан в производство доработанный вариант- Л/726. Созданы опытные ЖРД Л-2, Л-2А (5Д12), Л-6, Л- 6А для ЗУР В-860. Осенью 1960 г. выдано задание на разработку ЖРД 5Д16 для противоракеты А-350, в 1962 г. проведены испытания.</w:t>
      </w:r>
    </w:p>
    <w:p w14:paraId="393CD0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895 от 19.12.1962 г. для дальнейшего развития работ по ЖРД ОКБ-466 было влито в ОКБ-117 ГКАТ. Мевиус назначен гл. конструктором по специзделиям (ЖРД). В соответствии с пост.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6D218E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(20.04.1959-12.1962 г.)- А.С. Мевиус.</w:t>
      </w:r>
    </w:p>
    <w:p w14:paraId="3B5722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гл. конструктора (1956-59 г.)- А.С. Мевиус.</w:t>
      </w:r>
    </w:p>
    <w:p w14:paraId="18CC67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Авиационное КБ</w:t>
      </w:r>
    </w:p>
    <w:p w14:paraId="74A981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Образовано в 1998 г. при заводе «Красный Октябрь».</w:t>
      </w:r>
    </w:p>
    <w:p w14:paraId="25D79D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(2005 г.): разработка главных редукторов ВР-38 для Ми-38, ВР-226Н для Ка-226, ВР-10 для «Актай» (11982).</w:t>
      </w:r>
    </w:p>
    <w:p w14:paraId="5BC7BBC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87C80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по приказу № 699с радиозавод НК местной промышленности Литовской ССР переведен в систему НКАП. По приказу № 148с от 18.11.1941  г. заводу присвоено название ГС завод № 470 НКАП в 5ГУ (ГС Завод № 470 НКАП /Литва г. Вильно,  г. Вильнюс/).</w:t>
      </w:r>
    </w:p>
    <w:p w14:paraId="7B658C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началом ВОВ завод остался на оккупированной территории.</w:t>
      </w:r>
    </w:p>
    <w:p w14:paraId="01D13F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605сс от 13.10.1944 г. на площадке бывшего завода № 470 образован завод № 555 НКАП.</w:t>
      </w:r>
    </w:p>
    <w:p w14:paraId="537C10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(12.1940 г.-)-П.И. Зайцев (11982).</w:t>
      </w:r>
    </w:p>
    <w:p w14:paraId="59A0ED2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DB782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начальник Аэрофлота генерал-майор авиации Молоков писал письмо № 05155 председателю КО маршалу К.Е. Ворошилову</w:t>
      </w:r>
    </w:p>
    <w:p w14:paraId="541680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дальнейшего оснащения транспортно-пассажирской авиации Советского Союза скоростными и грузоподъемными самолетами новейшей конструкции ходатайствую перед Вами о включении в план опытного строительства на 1941 год модификацию, заводом № 84 им. Героя Советского Союза В.П. Чкалова, самолет ПС-84 под моторы М-71 со следующими данными:</w:t>
      </w:r>
    </w:p>
    <w:p w14:paraId="7E5369A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Количество пассажиров 30 человек, вместо 21 человека.</w:t>
      </w:r>
    </w:p>
    <w:p w14:paraId="610A0336"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Полезная нагрузка 5500 место 3600 кг на ПС-84.</w:t>
      </w:r>
    </w:p>
    <w:p w14:paraId="582A2813"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450-460 вместо 330 км/час.</w:t>
      </w:r>
    </w:p>
    <w:p w14:paraId="64504B99"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дальность 2300-2400 км.</w:t>
      </w:r>
    </w:p>
    <w:p w14:paraId="77711F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Модернизированный самолет ПС-84А будет иметь и оборонное значение, так как позволит в десантном варианте загружать его 40-45 парашютистами с полным вооружением и переброску их в радиусе 400-500 км в короткие сроки.</w:t>
      </w:r>
    </w:p>
    <w:p w14:paraId="49D603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заявлению завода, указанная модификация ни в какой мере не отразится на выполнении заводом плана на 1941 год по выпуску серийный самолетов ПС-84.</w:t>
      </w:r>
    </w:p>
    <w:p w14:paraId="324F4F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предусматривает сохранение технологического процесса производства и большинства существующей на заводе оснастки (стапеля, шаблоны, матрицы и пр.), что в дальнейшем позволит быстро перейти от опытного образца к серийному выпуску.</w:t>
      </w:r>
    </w:p>
    <w:p w14:paraId="2799BF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Предъявленные мною технические требования на проектирование и постройку модифицированного самолета ПС-84А заводом приняты (4049,16).</w:t>
      </w:r>
    </w:p>
    <w:p w14:paraId="505780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Ворошилову К.Е.</w:t>
      </w:r>
    </w:p>
    <w:p w14:paraId="47EEA7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Молоков ходатайствует о включении в план опытных работ на 1941 год модификацию пассажирского самолета ПС-84 (Дуглас) под моторы М-71, что позволит увеличить скорость до 450 км/час, вместо 330 км/час и количество пассажиров 30 вместо 21 человека.</w:t>
      </w:r>
    </w:p>
    <w:p w14:paraId="29AE4B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w:t>
      </w:r>
    </w:p>
    <w:p w14:paraId="1E90843E"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Вызывает сомнение возможность увеличения скорости на 120 км/час, так как хотя мощность М-71 и превышает в два раза мощность М-62 (1600 л.с. против 800 л.с.), но зато лоб и вес у М-71 больше, что неминуемо понизит эффект значительного увеличения мощности.</w:t>
      </w:r>
    </w:p>
    <w:p w14:paraId="292E0AB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Постановка мощных и тяжелых моторов изменит центровку и силовую нагрузку, что заставит произвести не простую модификацию, а значительную переделку всей машины.</w:t>
      </w:r>
    </w:p>
    <w:p w14:paraId="665E50FE"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84, который намечается модифицировать ПС-84 с 1937 года занимается освоением Дугласа и только в 1939 году выпустил 6 машин, а в 1940 году – 48 самолетов.</w:t>
      </w:r>
    </w:p>
    <w:p w14:paraId="4B560E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ПС-84 может отразиться на выпуске самолетов, которые удовлетворяют ВВС в существующем виде.</w:t>
      </w:r>
    </w:p>
    <w:p w14:paraId="3F8258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НКАП (Яковлев и Воронин) и ВВС (Астахов) категорически возражают против модификации ПС-84.</w:t>
      </w:r>
    </w:p>
    <w:p w14:paraId="068A80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ходатайство Молокова отклонить (4049,20).</w:t>
      </w:r>
    </w:p>
    <w:p w14:paraId="0A6F3E2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8AF5D3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Научно-технический журнал главного управления ГУ ВВС КА по 1-му отделу №0217 сообщал: Из войсковых частей Красной Армии поступили сообщения, что на самолете И-153 «Чайка», вооруженных ракетными установками, после неболь</w:t>
      </w:r>
      <w:r w:rsidRPr="00A3026E">
        <w:rPr>
          <w:rFonts w:ascii="Times New Roman" w:hAnsi="Times New Roman"/>
          <w:color w:val="000000" w:themeColor="text1"/>
          <w:sz w:val="16"/>
          <w:szCs w:val="16"/>
        </w:rPr>
        <w:softHyphen/>
        <w:t>шого числа выстрелов (1-2 на орудие) появляются дефекты, влияющие аэродинамику, прочность и боевые свойства самолета. На нижних оскостях обоих крыльев появились следующие дефекты, не позволяю-&amp; в дальнейшем эксплуатировать самолет и ракетные орудия:</w:t>
      </w:r>
    </w:p>
    <w:p w14:paraId="2A97F00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Металлическая обшивка (дюраль), предохраняющая плоскость от ОДеиствия газовой струи РС, рвется вместе с заклепками;</w:t>
      </w:r>
    </w:p>
    <w:p w14:paraId="21E02FB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Во время выстрела происходит срыв обтекателя стоек, и открыва-</w:t>
      </w:r>
      <w:r w:rsidRPr="00A3026E">
        <w:rPr>
          <w:rFonts w:ascii="Times New Roman" w:hAnsi="Times New Roman"/>
          <w:color w:val="000000" w:themeColor="text1"/>
          <w:sz w:val="16"/>
          <w:szCs w:val="16"/>
          <w:vertAlign w:val="superscript"/>
        </w:rPr>
        <w:t>с</w:t>
      </w:r>
      <w:r w:rsidRPr="00A3026E">
        <w:rPr>
          <w:rFonts w:ascii="Times New Roman" w:hAnsi="Times New Roman"/>
          <w:color w:val="000000" w:themeColor="text1"/>
          <w:sz w:val="16"/>
          <w:szCs w:val="16"/>
        </w:rPr>
        <w:t>я дверца нижнего лючка;</w:t>
      </w:r>
    </w:p>
    <w:p w14:paraId="3093139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При стрельбе серией залпов и отдельными залпами ослабляется Княя обшивка, и псе покрытие в целом гофрируется;</w:t>
      </w:r>
    </w:p>
    <w:p w14:paraId="156248D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При стрельбе в результате воздействия газовой струи и выороса несгореиших частиц пороха происходит намин лобовой части крыла.</w:t>
      </w:r>
    </w:p>
    <w:p w14:paraId="769220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Создавшееся положение можно объяснить тем, что при запуске И-153 с ракетными установками с серию, не было произведено отстрела, а также тем, что завод №1 совершенно не учел опыта установки РО на другие существующие типы самолетов (И-16)».</w:t>
      </w:r>
    </w:p>
    <w:p w14:paraId="5EE45D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примеру, на нижней плоскости нижнего крыла ткань обшивки в районе установки РО-82 дополнительно защищали дюралюминиевой обшивкой. Пластина толщиной 0,5 мм. которую можно считать толстой фольгой, после выстрелов рвалась по многих местах, а шурупы ее креп</w:t>
      </w:r>
      <w:r w:rsidRPr="00A3026E">
        <w:rPr>
          <w:rFonts w:ascii="Times New Roman" w:hAnsi="Times New Roman"/>
          <w:color w:val="000000" w:themeColor="text1"/>
          <w:sz w:val="16"/>
          <w:szCs w:val="16"/>
        </w:rPr>
        <w:softHyphen/>
        <w:t>ления выдергивало из гнезд вместе с фрагментами древесины силового набора. На некоторых машинах при стрельбе РОС-82 срывало обтекате</w:t>
      </w:r>
      <w:r w:rsidRPr="00A3026E">
        <w:rPr>
          <w:rFonts w:ascii="Times New Roman" w:hAnsi="Times New Roman"/>
          <w:color w:val="000000" w:themeColor="text1"/>
          <w:sz w:val="16"/>
          <w:szCs w:val="16"/>
        </w:rPr>
        <w:softHyphen/>
        <w:t>ли стоек шасси и распахивало «дверцу нижнего лючка». В случае стрель</w:t>
      </w:r>
      <w:r w:rsidRPr="00A3026E">
        <w:rPr>
          <w:rFonts w:ascii="Times New Roman" w:hAnsi="Times New Roman"/>
          <w:color w:val="000000" w:themeColor="text1"/>
          <w:sz w:val="16"/>
          <w:szCs w:val="16"/>
        </w:rPr>
        <w:softHyphen/>
        <w:t>бы залпами или серией снарядов, локальная металлическая обшивка крыла, а также основная полотняная сильно деформировались, приоб тая вид стиральной доски. Кроме того, выброшенными из сопел не-1ими осколками пороха РЗ боеприпасов, по утверждению летчи-</w:t>
      </w:r>
      <w:r w:rsidRPr="00A3026E">
        <w:rPr>
          <w:rFonts w:ascii="Times New Roman" w:hAnsi="Times New Roman"/>
          <w:color w:val="000000" w:themeColor="text1"/>
          <w:sz w:val="16"/>
          <w:szCs w:val="16"/>
          <w:vertAlign w:val="subscript"/>
        </w:rPr>
        <w:t>О</w:t>
      </w:r>
      <w:r w:rsidRPr="00A3026E">
        <w:rPr>
          <w:rFonts w:ascii="Times New Roman" w:hAnsi="Times New Roman"/>
          <w:color w:val="000000" w:themeColor="text1"/>
          <w:sz w:val="16"/>
          <w:szCs w:val="16"/>
        </w:rPr>
        <w:t>в «происходит намин лобовой части крыла». То есть, деформировалась его передняя кромка.</w:t>
      </w:r>
    </w:p>
    <w:p w14:paraId="79E0FC2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Анализ причин столь неприятного явления заставил военное руко-1СТВО вспомнить о том, что при запуске истребителей этого типа в се-1пию, машины не проходили ни наземных огневых, ни летных испытаний 1в варианте ракетоносиев. А конструкторы машины и ее изготовители на Гваводе №1 НКАП «совершенно не учли опыта установки РО на другие ^существующие типы самолетов (И-16)». Таким образом, до вынесения ^«езолюпии испытателей НИИ ВВС о возможности оборудования само</w:t>
      </w:r>
      <w:r w:rsidRPr="00A3026E">
        <w:rPr>
          <w:rFonts w:ascii="Times New Roman" w:hAnsi="Times New Roman"/>
          <w:color w:val="000000" w:themeColor="text1"/>
          <w:sz w:val="16"/>
          <w:szCs w:val="16"/>
        </w:rPr>
        <w:softHyphen/>
        <w:t>летов И-153 ракетными орудиями, все однотипные машины в строевых частях временно разоружили, а изготовление партии ракетоносцев при</w:t>
      </w:r>
      <w:r w:rsidRPr="00A3026E">
        <w:rPr>
          <w:rFonts w:ascii="Times New Roman" w:hAnsi="Times New Roman"/>
          <w:color w:val="000000" w:themeColor="text1"/>
          <w:sz w:val="16"/>
          <w:szCs w:val="16"/>
        </w:rPr>
        <w:softHyphen/>
        <w:t>остановили.</w:t>
      </w:r>
    </w:p>
    <w:p w14:paraId="47376BE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1.56 Результаты наземной стрельбы снарядами РОС-82 с самолета И-153. установленного с углом возвышения 13° (первый этап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1476"/>
        <w:gridCol w:w="1087"/>
        <w:gridCol w:w="3348"/>
      </w:tblGrid>
      <w:tr w:rsidR="00983732" w:rsidRPr="00A3026E" w14:paraId="173A64C2" w14:textId="77777777" w:rsidTr="00EA0DA7">
        <w:trPr>
          <w:trHeight w:val="583"/>
        </w:trPr>
        <w:tc>
          <w:tcPr>
            <w:tcW w:w="1476" w:type="dxa"/>
            <w:tcBorders>
              <w:top w:val="single" w:sz="6" w:space="0" w:color="auto"/>
              <w:left w:val="single" w:sz="6" w:space="0" w:color="auto"/>
              <w:bottom w:val="single" w:sz="6" w:space="0" w:color="auto"/>
              <w:right w:val="single" w:sz="6" w:space="0" w:color="auto"/>
            </w:tcBorders>
          </w:tcPr>
          <w:p w14:paraId="3432FB5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Режим ведения огня</w:t>
            </w:r>
          </w:p>
          <w:p w14:paraId="22E13FE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87" w:type="dxa"/>
            <w:tcBorders>
              <w:top w:val="single" w:sz="6" w:space="0" w:color="auto"/>
              <w:left w:val="single" w:sz="6" w:space="0" w:color="auto"/>
              <w:bottom w:val="single" w:sz="6" w:space="0" w:color="auto"/>
              <w:right w:val="single" w:sz="6" w:space="0" w:color="auto"/>
            </w:tcBorders>
          </w:tcPr>
          <w:p w14:paraId="365E429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Количество отстрелянных снарядов</w:t>
            </w:r>
          </w:p>
          <w:p w14:paraId="592D460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348" w:type="dxa"/>
            <w:tcBorders>
              <w:top w:val="single" w:sz="6" w:space="0" w:color="auto"/>
              <w:left w:val="single" w:sz="6" w:space="0" w:color="auto"/>
              <w:bottom w:val="single" w:sz="6" w:space="0" w:color="auto"/>
              <w:right w:val="single" w:sz="6" w:space="0" w:color="auto"/>
            </w:tcBorders>
          </w:tcPr>
          <w:p w14:paraId="38E3D2E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 воздействия стрельбы на планер машины</w:t>
            </w:r>
          </w:p>
          <w:p w14:paraId="171EE4C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7C78305" w14:textId="77777777" w:rsidTr="00EA0DA7">
        <w:trPr>
          <w:trHeight w:val="403"/>
        </w:trPr>
        <w:tc>
          <w:tcPr>
            <w:tcW w:w="1476" w:type="dxa"/>
            <w:tcBorders>
              <w:top w:val="single" w:sz="6" w:space="0" w:color="auto"/>
              <w:left w:val="single" w:sz="6" w:space="0" w:color="auto"/>
              <w:bottom w:val="single" w:sz="6" w:space="0" w:color="auto"/>
              <w:right w:val="single" w:sz="6" w:space="0" w:color="auto"/>
            </w:tcBorders>
          </w:tcPr>
          <w:p w14:paraId="3638132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залпов по 4 снаряда</w:t>
            </w:r>
          </w:p>
          <w:p w14:paraId="2042E31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87" w:type="dxa"/>
            <w:tcBorders>
              <w:top w:val="single" w:sz="6" w:space="0" w:color="auto"/>
              <w:left w:val="single" w:sz="6" w:space="0" w:color="auto"/>
              <w:bottom w:val="single" w:sz="6" w:space="0" w:color="auto"/>
              <w:right w:val="single" w:sz="6" w:space="0" w:color="auto"/>
            </w:tcBorders>
          </w:tcPr>
          <w:p w14:paraId="410E6D6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p w14:paraId="6187DAE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348" w:type="dxa"/>
            <w:tcBorders>
              <w:top w:val="single" w:sz="6" w:space="0" w:color="auto"/>
              <w:left w:val="single" w:sz="6" w:space="0" w:color="auto"/>
              <w:bottom w:val="single" w:sz="6" w:space="0" w:color="auto"/>
              <w:right w:val="single" w:sz="6" w:space="0" w:color="auto"/>
            </w:tcBorders>
          </w:tcPr>
          <w:p w14:paraId="33E61C5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нижней плоскости в месте установки РОослабла верхняя обшивка</w:t>
            </w:r>
          </w:p>
          <w:p w14:paraId="1DD9636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CABAB4E" w14:textId="77777777" w:rsidTr="00EA0DA7">
        <w:trPr>
          <w:trHeight w:val="605"/>
        </w:trPr>
        <w:tc>
          <w:tcPr>
            <w:tcW w:w="1476" w:type="dxa"/>
            <w:tcBorders>
              <w:top w:val="single" w:sz="6" w:space="0" w:color="auto"/>
              <w:left w:val="single" w:sz="6" w:space="0" w:color="auto"/>
              <w:bottom w:val="single" w:sz="6" w:space="0" w:color="auto"/>
              <w:right w:val="single" w:sz="6" w:space="0" w:color="auto"/>
            </w:tcBorders>
          </w:tcPr>
          <w:p w14:paraId="7BFA226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Залп из 8 снарядов</w:t>
            </w:r>
          </w:p>
          <w:p w14:paraId="4607474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87" w:type="dxa"/>
            <w:tcBorders>
              <w:top w:val="single" w:sz="6" w:space="0" w:color="auto"/>
              <w:left w:val="single" w:sz="6" w:space="0" w:color="auto"/>
              <w:bottom w:val="single" w:sz="6" w:space="0" w:color="auto"/>
              <w:right w:val="single" w:sz="6" w:space="0" w:color="auto"/>
            </w:tcBorders>
          </w:tcPr>
          <w:p w14:paraId="2046318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p w14:paraId="3FE7E85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348" w:type="dxa"/>
            <w:tcBorders>
              <w:top w:val="single" w:sz="6" w:space="0" w:color="auto"/>
              <w:left w:val="single" w:sz="6" w:space="0" w:color="auto"/>
              <w:bottom w:val="single" w:sz="6" w:space="0" w:color="auto"/>
              <w:right w:val="single" w:sz="6" w:space="0" w:color="auto"/>
            </w:tcBorders>
          </w:tcPr>
          <w:p w14:paraId="3EC9C7B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Ослабло 10 шурупов дюралевой обшиики нижней плоскости, а также обшивка страна на фюзеляжа и хвостового оперения</w:t>
            </w:r>
          </w:p>
          <w:p w14:paraId="5E00B85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bl>
    <w:p w14:paraId="40D7ABC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1.57 Результаты воздушной стрельбы снарядами РОС-82 с самолета И-153 (первый этап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1231"/>
        <w:gridCol w:w="713"/>
        <w:gridCol w:w="756"/>
        <w:gridCol w:w="1058"/>
        <w:gridCol w:w="2174"/>
      </w:tblGrid>
      <w:tr w:rsidR="00983732" w:rsidRPr="00A3026E" w14:paraId="2736ABF6" w14:textId="77777777" w:rsidTr="00EA0DA7">
        <w:trPr>
          <w:trHeight w:val="778"/>
        </w:trPr>
        <w:tc>
          <w:tcPr>
            <w:tcW w:w="1231" w:type="dxa"/>
            <w:tcBorders>
              <w:top w:val="single" w:sz="6" w:space="0" w:color="auto"/>
              <w:left w:val="single" w:sz="6" w:space="0" w:color="auto"/>
              <w:bottom w:val="single" w:sz="6" w:space="0" w:color="auto"/>
              <w:right w:val="single" w:sz="6" w:space="0" w:color="auto"/>
            </w:tcBorders>
          </w:tcPr>
          <w:p w14:paraId="2CE6907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Режим полета (угол пикирования)</w:t>
            </w:r>
          </w:p>
          <w:p w14:paraId="2442146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1614A89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полета (ввода в пике), м</w:t>
            </w:r>
          </w:p>
          <w:p w14:paraId="3193F9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14D1C56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Кол-во отстрел-х снарядов</w:t>
            </w:r>
          </w:p>
          <w:p w14:paraId="4E8E63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477A956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Режим ведения огня</w:t>
            </w:r>
          </w:p>
          <w:p w14:paraId="44C28CA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769A9C4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 воздействия стрельбы на планер машины</w:t>
            </w:r>
          </w:p>
          <w:p w14:paraId="246A908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56B50FF" w14:textId="77777777" w:rsidTr="00EA0DA7">
        <w:trPr>
          <w:trHeight w:val="598"/>
        </w:trPr>
        <w:tc>
          <w:tcPr>
            <w:tcW w:w="1231" w:type="dxa"/>
            <w:tcBorders>
              <w:top w:val="single" w:sz="6" w:space="0" w:color="auto"/>
              <w:left w:val="single" w:sz="6" w:space="0" w:color="auto"/>
              <w:bottom w:val="single" w:sz="6" w:space="0" w:color="auto"/>
              <w:right w:val="single" w:sz="6" w:space="0" w:color="auto"/>
            </w:tcBorders>
          </w:tcPr>
          <w:p w14:paraId="776FC2F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Горизонтальный</w:t>
            </w:r>
          </w:p>
          <w:p w14:paraId="1596C22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53A38FA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p w14:paraId="44CB2E6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41BFB70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p w14:paraId="72DD555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301EF3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Одиночная стрельба</w:t>
            </w:r>
          </w:p>
          <w:p w14:paraId="2E60C48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515F21B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левой нижней плоскости в месте усч ановки РО ослабла обшивка</w:t>
            </w:r>
          </w:p>
          <w:p w14:paraId="499E353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9C507EA" w14:textId="77777777" w:rsidTr="00EA0DA7">
        <w:trPr>
          <w:trHeight w:val="598"/>
        </w:trPr>
        <w:tc>
          <w:tcPr>
            <w:tcW w:w="1231" w:type="dxa"/>
            <w:tcBorders>
              <w:top w:val="single" w:sz="6" w:space="0" w:color="auto"/>
              <w:left w:val="single" w:sz="6" w:space="0" w:color="auto"/>
              <w:bottom w:val="single" w:sz="6" w:space="0" w:color="auto"/>
              <w:right w:val="single" w:sz="6" w:space="0" w:color="auto"/>
            </w:tcBorders>
          </w:tcPr>
          <w:p w14:paraId="110F295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Горизонтальный</w:t>
            </w:r>
          </w:p>
        </w:tc>
        <w:tc>
          <w:tcPr>
            <w:tcW w:w="713" w:type="dxa"/>
            <w:tcBorders>
              <w:top w:val="single" w:sz="6" w:space="0" w:color="auto"/>
              <w:left w:val="single" w:sz="6" w:space="0" w:color="auto"/>
              <w:bottom w:val="single" w:sz="6" w:space="0" w:color="auto"/>
              <w:right w:val="single" w:sz="6" w:space="0" w:color="auto"/>
            </w:tcBorders>
          </w:tcPr>
          <w:p w14:paraId="0DB0EAB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p w14:paraId="5729EDC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7E9325E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p w14:paraId="6E222DD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304574F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залпов по 2 снаряда</w:t>
            </w:r>
          </w:p>
          <w:p w14:paraId="73A5C65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39B67C1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правой нижней плоскости ослабли шурупы крепления дюрали обшивки к </w:t>
            </w:r>
            <w:r w:rsidRPr="00A3026E">
              <w:rPr>
                <w:rFonts w:ascii="Times New Roman" w:hAnsi="Times New Roman"/>
                <w:color w:val="000000" w:themeColor="text1"/>
                <w:sz w:val="16"/>
                <w:szCs w:val="16"/>
              </w:rPr>
              <w:lastRenderedPageBreak/>
              <w:t>лонжеронам, обгорела краска на передней кромке крыла</w:t>
            </w:r>
          </w:p>
          <w:p w14:paraId="28C3C76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E775FDC" w14:textId="77777777" w:rsidTr="00EA0DA7">
        <w:trPr>
          <w:trHeight w:val="799"/>
        </w:trPr>
        <w:tc>
          <w:tcPr>
            <w:tcW w:w="1231" w:type="dxa"/>
            <w:tcBorders>
              <w:top w:val="nil"/>
              <w:left w:val="single" w:sz="6" w:space="0" w:color="auto"/>
              <w:bottom w:val="single" w:sz="6" w:space="0" w:color="auto"/>
              <w:right w:val="single" w:sz="6" w:space="0" w:color="auto"/>
            </w:tcBorders>
          </w:tcPr>
          <w:p w14:paraId="16CD8B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Горизонтальный</w:t>
            </w:r>
          </w:p>
          <w:p w14:paraId="667BF18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3BEEC4F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p w14:paraId="5207965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81F7A8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p w14:paraId="3AAD18C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1D9BCAC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залпов по 8 снаряда и залп из 4 снарядов</w:t>
            </w:r>
          </w:p>
          <w:p w14:paraId="7CBE26C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25E18F6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Дальнейшего разрушения и деформации плоскостей и фюзеляжа нет</w:t>
            </w:r>
          </w:p>
          <w:p w14:paraId="594671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59BCD14" w14:textId="77777777" w:rsidTr="00EA0DA7">
        <w:trPr>
          <w:trHeight w:val="950"/>
        </w:trPr>
        <w:tc>
          <w:tcPr>
            <w:tcW w:w="1231" w:type="dxa"/>
            <w:tcBorders>
              <w:top w:val="single" w:sz="6" w:space="0" w:color="auto"/>
              <w:left w:val="single" w:sz="6" w:space="0" w:color="auto"/>
              <w:bottom w:val="single" w:sz="6" w:space="0" w:color="auto"/>
              <w:right w:val="single" w:sz="6" w:space="0" w:color="auto"/>
            </w:tcBorders>
          </w:tcPr>
          <w:p w14:paraId="44A576C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Пикирование (30°)</w:t>
            </w:r>
          </w:p>
          <w:p w14:paraId="1ACA93E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6897BB3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p w14:paraId="1FF5E15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36D338A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p w14:paraId="6030206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3158C85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залпов по 4 снаряда</w:t>
            </w:r>
          </w:p>
          <w:p w14:paraId="3609B9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2E23D03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правой нижней плоскости распахнуло нижний лючок, возросла деформация обшивки и ослабло 5 шурупов</w:t>
            </w:r>
          </w:p>
          <w:p w14:paraId="2EF7058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E6D7BEC" w14:textId="77777777" w:rsidTr="00EA0DA7">
        <w:trPr>
          <w:trHeight w:val="583"/>
        </w:trPr>
        <w:tc>
          <w:tcPr>
            <w:tcW w:w="1231" w:type="dxa"/>
            <w:tcBorders>
              <w:top w:val="single" w:sz="6" w:space="0" w:color="auto"/>
              <w:left w:val="single" w:sz="6" w:space="0" w:color="auto"/>
              <w:bottom w:val="single" w:sz="6" w:space="0" w:color="auto"/>
              <w:right w:val="single" w:sz="6" w:space="0" w:color="auto"/>
            </w:tcBorders>
          </w:tcPr>
          <w:p w14:paraId="55176B9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Пикирование (60°)</w:t>
            </w:r>
          </w:p>
          <w:p w14:paraId="7E86FB8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1B6B95E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p w14:paraId="0962732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20E81D1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p w14:paraId="03B0121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14B2819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залпов по 4 снаряда</w:t>
            </w:r>
          </w:p>
          <w:p w14:paraId="1F22BFD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1326A59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Значительно обгорела краска па обеих плоскостях, лючок отогнут</w:t>
            </w:r>
          </w:p>
          <w:p w14:paraId="4CAAC5A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ABEAAE4" w14:textId="77777777" w:rsidTr="00EA0DA7">
        <w:trPr>
          <w:trHeight w:val="778"/>
        </w:trPr>
        <w:tc>
          <w:tcPr>
            <w:tcW w:w="1231" w:type="dxa"/>
            <w:tcBorders>
              <w:top w:val="single" w:sz="6" w:space="0" w:color="auto"/>
              <w:left w:val="single" w:sz="6" w:space="0" w:color="auto"/>
              <w:bottom w:val="single" w:sz="6" w:space="0" w:color="auto"/>
              <w:right w:val="single" w:sz="6" w:space="0" w:color="auto"/>
            </w:tcBorders>
          </w:tcPr>
          <w:p w14:paraId="5937E7E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Пикирование (60°)</w:t>
            </w:r>
          </w:p>
          <w:p w14:paraId="50C924B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4F938F5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p w14:paraId="6AEE381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4FEBD6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p w14:paraId="258B137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63775F4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Залп из 8 снарядов</w:t>
            </w:r>
          </w:p>
          <w:p w14:paraId="758E06F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64AE476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Оторвана обшивка нижнего крыла, ослабла верхняя обшивка левой плоскости, самолет вышел из строя</w:t>
            </w:r>
          </w:p>
          <w:p w14:paraId="0CF76A8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bl>
    <w:p w14:paraId="4FAEAB3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1.58 Результаты воздушной стрельбы снарядами РОС-82 с самолета И-153 в период 24-25 августа 1940 г. {второй этап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1289"/>
        <w:gridCol w:w="713"/>
        <w:gridCol w:w="742"/>
        <w:gridCol w:w="1130"/>
        <w:gridCol w:w="2030"/>
      </w:tblGrid>
      <w:tr w:rsidR="00983732" w:rsidRPr="00A3026E" w14:paraId="22047F42" w14:textId="77777777" w:rsidTr="00EA0DA7">
        <w:trPr>
          <w:trHeight w:val="806"/>
        </w:trPr>
        <w:tc>
          <w:tcPr>
            <w:tcW w:w="1289" w:type="dxa"/>
            <w:tcBorders>
              <w:top w:val="single" w:sz="6" w:space="0" w:color="auto"/>
              <w:left w:val="single" w:sz="6" w:space="0" w:color="auto"/>
              <w:bottom w:val="single" w:sz="6" w:space="0" w:color="auto"/>
              <w:right w:val="single" w:sz="6" w:space="0" w:color="auto"/>
            </w:tcBorders>
          </w:tcPr>
          <w:p w14:paraId="7AEC4F1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Режим полета (угол пикирования)</w:t>
            </w:r>
          </w:p>
          <w:p w14:paraId="56A4642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7BA30AC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полета (ввода в пике), м</w:t>
            </w:r>
          </w:p>
          <w:p w14:paraId="38E2441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5B5C379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Кол-во отстрел -х е наряде в</w:t>
            </w:r>
          </w:p>
          <w:p w14:paraId="7BCDB65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1DD9AFB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Режим ведения огня</w:t>
            </w:r>
          </w:p>
          <w:p w14:paraId="433757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3D1ED6E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 воздействия стрельбы на планер машины</w:t>
            </w:r>
          </w:p>
          <w:p w14:paraId="632874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B58E724" w14:textId="77777777" w:rsidTr="00EA0DA7">
        <w:trPr>
          <w:trHeight w:val="382"/>
        </w:trPr>
        <w:tc>
          <w:tcPr>
            <w:tcW w:w="1289" w:type="dxa"/>
            <w:tcBorders>
              <w:top w:val="single" w:sz="6" w:space="0" w:color="auto"/>
              <w:left w:val="single" w:sz="6" w:space="0" w:color="auto"/>
              <w:bottom w:val="single" w:sz="6" w:space="0" w:color="auto"/>
              <w:right w:val="single" w:sz="6" w:space="0" w:color="auto"/>
            </w:tcBorders>
          </w:tcPr>
          <w:p w14:paraId="2192C34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Горизонтальный</w:t>
            </w:r>
          </w:p>
          <w:p w14:paraId="165AF68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3AB1650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p w14:paraId="427E77C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08C678F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p w14:paraId="411A995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347A0FC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залпов по 2 снаряда</w:t>
            </w:r>
          </w:p>
          <w:p w14:paraId="49BCF9D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71C9D38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Деформации плоскостей и фюзеляжа нет</w:t>
            </w:r>
          </w:p>
          <w:p w14:paraId="66C47F6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84A0B84" w14:textId="77777777" w:rsidTr="00EA0DA7">
        <w:trPr>
          <w:trHeight w:val="763"/>
        </w:trPr>
        <w:tc>
          <w:tcPr>
            <w:tcW w:w="1289" w:type="dxa"/>
            <w:tcBorders>
              <w:top w:val="single" w:sz="6" w:space="0" w:color="auto"/>
              <w:left w:val="single" w:sz="6" w:space="0" w:color="auto"/>
              <w:bottom w:val="single" w:sz="6" w:space="0" w:color="auto"/>
              <w:right w:val="single" w:sz="6" w:space="0" w:color="auto"/>
            </w:tcBorders>
          </w:tcPr>
          <w:p w14:paraId="3CA81D8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Горизонтальный</w:t>
            </w:r>
          </w:p>
          <w:p w14:paraId="1882A36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66C2B5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p w14:paraId="56B6F3B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43B144A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p w14:paraId="02A4380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710536B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залпов но 4 снаряда и 2 залпа по 8 снарядов</w:t>
            </w:r>
          </w:p>
          <w:p w14:paraId="7010AE5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4AFE639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Деформации плоскостей и фюзеляжа нет</w:t>
            </w:r>
          </w:p>
          <w:p w14:paraId="1C3F025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4E778A2" w14:textId="77777777" w:rsidTr="00EA0DA7">
        <w:trPr>
          <w:trHeight w:val="389"/>
        </w:trPr>
        <w:tc>
          <w:tcPr>
            <w:tcW w:w="1289" w:type="dxa"/>
            <w:tcBorders>
              <w:top w:val="single" w:sz="6" w:space="0" w:color="auto"/>
              <w:left w:val="single" w:sz="6" w:space="0" w:color="auto"/>
              <w:bottom w:val="single" w:sz="6" w:space="0" w:color="auto"/>
              <w:right w:val="single" w:sz="6" w:space="0" w:color="auto"/>
            </w:tcBorders>
          </w:tcPr>
          <w:p w14:paraId="0BA8921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Пикирование (60°)</w:t>
            </w:r>
          </w:p>
          <w:p w14:paraId="5CF9F6C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7C7C98B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p w14:paraId="52FA8FD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716C5D1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p w14:paraId="653CAB4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63838DF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залпов по 4 снаряда</w:t>
            </w:r>
          </w:p>
          <w:p w14:paraId="48E95DD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3BC30F8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Деформации плоскостей и фюзеляжа нет</w:t>
            </w:r>
          </w:p>
          <w:p w14:paraId="4536730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84E6C4A" w14:textId="77777777" w:rsidTr="00EA0DA7">
        <w:trPr>
          <w:trHeight w:val="382"/>
        </w:trPr>
        <w:tc>
          <w:tcPr>
            <w:tcW w:w="1289" w:type="dxa"/>
            <w:tcBorders>
              <w:top w:val="single" w:sz="6" w:space="0" w:color="auto"/>
              <w:left w:val="single" w:sz="6" w:space="0" w:color="auto"/>
              <w:bottom w:val="single" w:sz="6" w:space="0" w:color="auto"/>
              <w:right w:val="single" w:sz="6" w:space="0" w:color="auto"/>
            </w:tcBorders>
          </w:tcPr>
          <w:p w14:paraId="4F0BB55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Бреющий</w:t>
            </w:r>
          </w:p>
          <w:p w14:paraId="0F37D5C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6C119FC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7B2B05E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3C8F72A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p w14:paraId="662F0A0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35A0645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залпов по 4 снаряда</w:t>
            </w:r>
          </w:p>
          <w:p w14:paraId="6536477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6E61066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Деформации плоскостей и фюзеляжа нет _____</w:t>
            </w:r>
          </w:p>
          <w:p w14:paraId="1B3FC3F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9C29BC5" w14:textId="77777777" w:rsidTr="00EA0DA7">
        <w:trPr>
          <w:trHeight w:val="972"/>
        </w:trPr>
        <w:tc>
          <w:tcPr>
            <w:tcW w:w="1289" w:type="dxa"/>
            <w:tcBorders>
              <w:top w:val="single" w:sz="6" w:space="0" w:color="auto"/>
              <w:left w:val="single" w:sz="6" w:space="0" w:color="auto"/>
              <w:bottom w:val="single" w:sz="6" w:space="0" w:color="auto"/>
              <w:right w:val="single" w:sz="6" w:space="0" w:color="auto"/>
            </w:tcBorders>
          </w:tcPr>
          <w:p w14:paraId="739D599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Пикирование (60°)</w:t>
            </w:r>
          </w:p>
          <w:p w14:paraId="7683598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280FC37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p w14:paraId="7FCA006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037E18E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p w14:paraId="178F2E3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6AECBFF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Залп из 8 снарядов</w:t>
            </w:r>
          </w:p>
          <w:p w14:paraId="178CFAE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1681AB1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левой плоское 1 и ослабла и вздулась перкалевая обшивка между 5 и 8 нервюрами за стойкой крыла</w:t>
            </w:r>
          </w:p>
          <w:p w14:paraId="078C3B1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0ACFA89" w14:textId="77777777" w:rsidTr="00EA0DA7">
        <w:trPr>
          <w:trHeight w:val="749"/>
        </w:trPr>
        <w:tc>
          <w:tcPr>
            <w:tcW w:w="1289" w:type="dxa"/>
            <w:tcBorders>
              <w:top w:val="single" w:sz="6" w:space="0" w:color="auto"/>
              <w:left w:val="single" w:sz="6" w:space="0" w:color="auto"/>
              <w:bottom w:val="single" w:sz="6" w:space="0" w:color="auto"/>
              <w:right w:val="single" w:sz="6" w:space="0" w:color="auto"/>
            </w:tcBorders>
          </w:tcPr>
          <w:p w14:paraId="29DEAEE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Пикирование (60°)</w:t>
            </w:r>
          </w:p>
          <w:p w14:paraId="5EE9BC8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47F329C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p w14:paraId="5696150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56B26D3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p w14:paraId="16139FA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09DFD17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залпов но 4 снаряда</w:t>
            </w:r>
          </w:p>
          <w:p w14:paraId="6A744E6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0AF07C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правой плоское] и ослабла и вздулас . перкалевая обшивка \'сжл&gt; 5 и 7 нсрвюрамг1_____</w:t>
            </w:r>
          </w:p>
          <w:p w14:paraId="46E1D4C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C77A0AC" w14:textId="77777777" w:rsidTr="00EA0DA7">
        <w:trPr>
          <w:trHeight w:val="454"/>
        </w:trPr>
        <w:tc>
          <w:tcPr>
            <w:tcW w:w="1289" w:type="dxa"/>
            <w:tcBorders>
              <w:top w:val="single" w:sz="6" w:space="0" w:color="auto"/>
              <w:left w:val="single" w:sz="6" w:space="0" w:color="auto"/>
              <w:bottom w:val="single" w:sz="6" w:space="0" w:color="auto"/>
              <w:right w:val="single" w:sz="6" w:space="0" w:color="auto"/>
            </w:tcBorders>
          </w:tcPr>
          <w:p w14:paraId="6714399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Пикирование (60°)</w:t>
            </w:r>
          </w:p>
          <w:p w14:paraId="0DF2AF0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3230559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p w14:paraId="03512DD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5C59829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w:t>
            </w:r>
          </w:p>
          <w:p w14:paraId="70F334F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3D42F5D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Залп из 5 снарядов</w:t>
            </w:r>
          </w:p>
          <w:p w14:paraId="4CDE0F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7DFFA5C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Новых деформации плоскостей и фюзеляжа нет</w:t>
            </w:r>
          </w:p>
          <w:p w14:paraId="53883C2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bl>
    <w:p w14:paraId="045BA26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4A7315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Поста</w:t>
      </w:r>
      <w:r w:rsidRPr="00A3026E">
        <w:rPr>
          <w:rFonts w:ascii="Times New Roman" w:hAnsi="Times New Roman"/>
          <w:color w:val="000000" w:themeColor="text1"/>
          <w:sz w:val="16"/>
          <w:szCs w:val="16"/>
        </w:rPr>
        <w:softHyphen/>
        <w:t>новлением Научно-технического журнала 8 управления ГУ ВВС КА №0217 было предписано на всех самолетах И-153, оборудованных РО, в строевых частях ВВС старые плоскости заменить новыми, усиленными по образу и подобию «Чайки» с заводским номе</w:t>
      </w:r>
      <w:r w:rsidRPr="00A3026E">
        <w:rPr>
          <w:rFonts w:ascii="Times New Roman" w:hAnsi="Times New Roman"/>
          <w:color w:val="000000" w:themeColor="text1"/>
          <w:sz w:val="16"/>
          <w:szCs w:val="16"/>
        </w:rPr>
        <w:softHyphen/>
        <w:t>ром 8627.</w:t>
      </w:r>
    </w:p>
    <w:p w14:paraId="3C09CAA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1.59 Результаты воздушной стрельбы снарядами РОС-82 с самолета И-153 №8627 (третий этап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1202"/>
        <w:gridCol w:w="691"/>
        <w:gridCol w:w="958"/>
        <w:gridCol w:w="994"/>
        <w:gridCol w:w="864"/>
        <w:gridCol w:w="1210"/>
      </w:tblGrid>
      <w:tr w:rsidR="00983732" w:rsidRPr="00A3026E" w14:paraId="7FA94D5F" w14:textId="77777777" w:rsidTr="00EA0DA7">
        <w:trPr>
          <w:trHeight w:val="936"/>
        </w:trPr>
        <w:tc>
          <w:tcPr>
            <w:tcW w:w="1202" w:type="dxa"/>
            <w:tcBorders>
              <w:top w:val="single" w:sz="6" w:space="0" w:color="auto"/>
              <w:left w:val="single" w:sz="6" w:space="0" w:color="auto"/>
              <w:bottom w:val="single" w:sz="6" w:space="0" w:color="auto"/>
              <w:right w:val="single" w:sz="6" w:space="0" w:color="auto"/>
            </w:tcBorders>
          </w:tcPr>
          <w:p w14:paraId="5EB0D45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Режим полета (угол пикирования)</w:t>
            </w:r>
          </w:p>
          <w:p w14:paraId="40CE0B3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B91AE2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полета (ввода в пике), м</w:t>
            </w:r>
          </w:p>
          <w:p w14:paraId="5ED3C2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7CE20CE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Количество вы л его в/о тс треля иных снарядов</w:t>
            </w:r>
          </w:p>
          <w:p w14:paraId="0715974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6259D38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Режим целения огня</w:t>
            </w:r>
          </w:p>
          <w:p w14:paraId="2B143C6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25F1AC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взрывателя</w:t>
            </w:r>
          </w:p>
          <w:p w14:paraId="5592534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9928E1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 воздействия стрельбы на планер машины</w:t>
            </w:r>
          </w:p>
          <w:p w14:paraId="3662998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0DE8AA4" w14:textId="77777777" w:rsidTr="00EA0DA7">
        <w:trPr>
          <w:trHeight w:val="598"/>
        </w:trPr>
        <w:tc>
          <w:tcPr>
            <w:tcW w:w="1202" w:type="dxa"/>
            <w:tcBorders>
              <w:top w:val="single" w:sz="6" w:space="0" w:color="auto"/>
              <w:left w:val="single" w:sz="6" w:space="0" w:color="auto"/>
              <w:bottom w:val="single" w:sz="6" w:space="0" w:color="auto"/>
              <w:right w:val="single" w:sz="6" w:space="0" w:color="auto"/>
            </w:tcBorders>
          </w:tcPr>
          <w:p w14:paraId="1D0A3A9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Горизонтальный</w:t>
            </w:r>
          </w:p>
          <w:p w14:paraId="2C7656B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2EAB77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p w14:paraId="118C9D5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5A7D791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p w14:paraId="1A9B105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49CEC12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залпов по 2 снаряда</w:t>
            </w:r>
          </w:p>
          <w:p w14:paraId="1BD4F66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3FE4D5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АГДТ-А</w:t>
            </w:r>
          </w:p>
          <w:p w14:paraId="5DEB21E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081A14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Деформации плоскостей нет</w:t>
            </w:r>
          </w:p>
          <w:p w14:paraId="2815A1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D27256C" w14:textId="77777777" w:rsidTr="00EA0DA7">
        <w:trPr>
          <w:trHeight w:val="562"/>
        </w:trPr>
        <w:tc>
          <w:tcPr>
            <w:tcW w:w="1202" w:type="dxa"/>
            <w:tcBorders>
              <w:top w:val="single" w:sz="6" w:space="0" w:color="auto"/>
              <w:left w:val="single" w:sz="6" w:space="0" w:color="auto"/>
              <w:bottom w:val="single" w:sz="6" w:space="0" w:color="auto"/>
              <w:right w:val="single" w:sz="6" w:space="0" w:color="auto"/>
            </w:tcBorders>
          </w:tcPr>
          <w:p w14:paraId="5479B0A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Горизонтальный</w:t>
            </w:r>
          </w:p>
          <w:p w14:paraId="5B7C141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21CCE5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p w14:paraId="6624BAB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2A1BF9E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10/152</w:t>
            </w:r>
          </w:p>
          <w:p w14:paraId="0E4E598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6ECD3E4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Серии залпов по 4 снаряда</w:t>
            </w:r>
          </w:p>
          <w:p w14:paraId="52DAE00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1D1CCF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АГДТ-А</w:t>
            </w:r>
          </w:p>
          <w:p w14:paraId="58B0870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7380D7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Деформации плоскостей пет</w:t>
            </w:r>
          </w:p>
          <w:p w14:paraId="0C68D7B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2A9E008" w14:textId="77777777" w:rsidTr="00EA0DA7">
        <w:trPr>
          <w:trHeight w:val="749"/>
        </w:trPr>
        <w:tc>
          <w:tcPr>
            <w:tcW w:w="1202" w:type="dxa"/>
            <w:tcBorders>
              <w:top w:val="single" w:sz="6" w:space="0" w:color="auto"/>
              <w:left w:val="single" w:sz="6" w:space="0" w:color="auto"/>
              <w:bottom w:val="single" w:sz="6" w:space="0" w:color="auto"/>
              <w:right w:val="single" w:sz="6" w:space="0" w:color="auto"/>
            </w:tcBorders>
          </w:tcPr>
          <w:p w14:paraId="51D379B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Пикирование (60")</w:t>
            </w:r>
          </w:p>
          <w:p w14:paraId="38F09D3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1CC5B5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p w14:paraId="17D8E4F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76D4685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8/64</w:t>
            </w:r>
          </w:p>
          <w:p w14:paraId="4DB4B51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28931BA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залпов по 4 снаряда</w:t>
            </w:r>
          </w:p>
          <w:p w14:paraId="2E97A9C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B5943A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АМ-А</w:t>
            </w:r>
          </w:p>
          <w:p w14:paraId="7A847FD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829E4E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Деформации плоскостей не'г, слегка обгорела краска</w:t>
            </w:r>
          </w:p>
          <w:p w14:paraId="0A3E4A0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6AD3326" w14:textId="77777777" w:rsidTr="00EA0DA7">
        <w:trPr>
          <w:trHeight w:val="569"/>
        </w:trPr>
        <w:tc>
          <w:tcPr>
            <w:tcW w:w="1202" w:type="dxa"/>
            <w:tcBorders>
              <w:top w:val="single" w:sz="6" w:space="0" w:color="auto"/>
              <w:left w:val="single" w:sz="6" w:space="0" w:color="auto"/>
              <w:bottom w:val="single" w:sz="6" w:space="0" w:color="auto"/>
              <w:right w:val="single" w:sz="6" w:space="0" w:color="auto"/>
            </w:tcBorders>
          </w:tcPr>
          <w:p w14:paraId="1A045A5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Пикирование (60°)</w:t>
            </w:r>
          </w:p>
          <w:p w14:paraId="34098CE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D6E30B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p w14:paraId="3750817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2682FB0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2/16</w:t>
            </w:r>
          </w:p>
          <w:p w14:paraId="09E45A9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187404A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Одиночная в каждом заходе</w:t>
            </w:r>
          </w:p>
          <w:p w14:paraId="35E47F6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9F82D0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АМ-А</w:t>
            </w:r>
          </w:p>
          <w:p w14:paraId="60E3DEC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0E72AF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Деформации плоскостей нет</w:t>
            </w:r>
          </w:p>
          <w:p w14:paraId="5F687DC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88C7823" w14:textId="77777777" w:rsidTr="00EA0DA7">
        <w:trPr>
          <w:trHeight w:val="619"/>
        </w:trPr>
        <w:tc>
          <w:tcPr>
            <w:tcW w:w="1202" w:type="dxa"/>
            <w:tcBorders>
              <w:top w:val="single" w:sz="6" w:space="0" w:color="auto"/>
              <w:left w:val="single" w:sz="6" w:space="0" w:color="auto"/>
              <w:bottom w:val="single" w:sz="6" w:space="0" w:color="auto"/>
              <w:right w:val="single" w:sz="6" w:space="0" w:color="auto"/>
            </w:tcBorders>
          </w:tcPr>
          <w:p w14:paraId="7D90111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Пикирование (60</w:t>
            </w:r>
            <w:r w:rsidRPr="00A3026E">
              <w:rPr>
                <w:rFonts w:ascii="Times New Roman" w:hAnsi="Times New Roman"/>
                <w:color w:val="000000" w:themeColor="text1"/>
                <w:sz w:val="16"/>
                <w:szCs w:val="16"/>
                <w:vertAlign w:val="superscript"/>
              </w:rPr>
              <w:t>е</w:t>
            </w:r>
            <w:r w:rsidRPr="00A3026E">
              <w:rPr>
                <w:rFonts w:ascii="Times New Roman" w:hAnsi="Times New Roman"/>
                <w:color w:val="000000" w:themeColor="text1"/>
                <w:sz w:val="16"/>
                <w:szCs w:val="16"/>
              </w:rPr>
              <w:t>)</w:t>
            </w:r>
          </w:p>
          <w:p w14:paraId="1AEBB85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00B51C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800 до 400</w:t>
            </w:r>
          </w:p>
          <w:p w14:paraId="2D4DCC7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1CA8A98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16/112</w:t>
            </w:r>
          </w:p>
          <w:p w14:paraId="0D7D36E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17B0FE7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залпов по 4 снаряда</w:t>
            </w:r>
          </w:p>
          <w:p w14:paraId="7C1FB37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7349C9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АМ-А</w:t>
            </w:r>
          </w:p>
          <w:p w14:paraId="68684E4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48F080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Деформации плоскостей нет</w:t>
            </w:r>
          </w:p>
          <w:p w14:paraId="7E34BEE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bl>
    <w:p w14:paraId="4FE9B6D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(11402).</w:t>
      </w:r>
    </w:p>
    <w:p w14:paraId="54187E65"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4AB5C12E"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39C0EF68"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39AD3FA0" w14:textId="77777777" w:rsidR="006F1BF6" w:rsidRPr="00A3026E" w:rsidRDefault="006F1BF6"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9 декабря</w:t>
      </w:r>
      <w:r w:rsidRPr="00A3026E">
        <w:rPr>
          <w:rFonts w:ascii="Times New Roman" w:hAnsi="Times New Roman"/>
          <w:color w:val="000000" w:themeColor="text1"/>
          <w:sz w:val="16"/>
          <w:szCs w:val="16"/>
        </w:rPr>
        <w:t xml:space="preserve"> в 1940 году приказом Наркома обороны СССР сформировано бюро изобретений при начальнике ГАУ РККА (14855).</w:t>
      </w:r>
    </w:p>
    <w:p w14:paraId="466EA49B" w14:textId="77777777" w:rsidR="006F1BF6" w:rsidRPr="00A3026E" w:rsidRDefault="006F1BF6" w:rsidP="00A3026E">
      <w:pPr>
        <w:spacing w:after="0" w:line="240" w:lineRule="auto"/>
        <w:jc w:val="both"/>
        <w:rPr>
          <w:rFonts w:ascii="Times New Roman" w:hAnsi="Times New Roman"/>
          <w:color w:val="000000" w:themeColor="text1"/>
          <w:sz w:val="16"/>
          <w:szCs w:val="16"/>
        </w:rPr>
      </w:pPr>
    </w:p>
    <w:p w14:paraId="43C9DD08"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декабря 1940 г.</w:t>
      </w:r>
    </w:p>
    <w:p w14:paraId="32315A18"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Приказ НКО СССР № 451 «О сформировании при Главном артиллерийском управлении Бюро изобретений НКО»</w:t>
      </w:r>
    </w:p>
    <w:p w14:paraId="2A5A0A8F"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декабря 1940 г.</w:t>
      </w:r>
    </w:p>
    <w:p w14:paraId="5B53E07F"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связи с расформированием отдела изобретений Народного комиссариата обороны СССР и передачей функций центральным управлениям приказываю.</w:t>
      </w:r>
    </w:p>
    <w:p w14:paraId="3BD84C17"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Сформировать при начальнике Главного артиллерийского управления Красной Армии Бюро изобретений Народного комиссариата обороны Союза ССР, на которое возложить:</w:t>
      </w:r>
    </w:p>
    <w:p w14:paraId="73EBF408"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координирование работы центральных управлений НКО по изобретательству;</w:t>
      </w:r>
    </w:p>
    <w:p w14:paraId="3DFDC367"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прием заявок и выдачу авторских свидетельств или патентов по изобретениям;</w:t>
      </w:r>
    </w:p>
    <w:p w14:paraId="4B3E20DB"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финансовое обеспечение изобретательской и рационализаторской работы в округах;</w:t>
      </w:r>
    </w:p>
    <w:p w14:paraId="297F549E"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разработку руководящей документации по изобретательству и рационализаторской работы в Красной Армии.</w:t>
      </w:r>
    </w:p>
    <w:p w14:paraId="14DDE9D3"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На главные и центральные управления Народного комиссариата обороны возложить.</w:t>
      </w:r>
    </w:p>
    <w:p w14:paraId="205FEE83"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рассмотрение изобретательских предложений, поступающих в центральные управления НКО;</w:t>
      </w:r>
    </w:p>
    <w:p w14:paraId="1B4DED89"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определение новизны и ценности предлагаемых изобретений;</w:t>
      </w:r>
    </w:p>
    <w:p w14:paraId="179E615C"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разработку ценных изобретательских предложений и внедрение их в Красную Армию;</w:t>
      </w:r>
    </w:p>
    <w:p w14:paraId="3209CFED"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содействие и оказание помощи изобретателям;</w:t>
      </w:r>
    </w:p>
    <w:p w14:paraId="3D7A9835"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контроль за реализацией особо ценных изобретательских предложений;</w:t>
      </w:r>
    </w:p>
    <w:p w14:paraId="232DEC51"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 вознаграждение изобретателей за принятые на вооружение и снабжение Красной Армии изобретательские предложения и выдачу им удостоверений на техническое усовершенствование;</w:t>
      </w:r>
    </w:p>
    <w:p w14:paraId="33CFA8B5"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ж) дачу рецензий по изобретениям, в том числе зарубежным, представляющим интерес для Красной Армии и обороны страны.</w:t>
      </w:r>
    </w:p>
    <w:p w14:paraId="4087F3F5"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Начальнику Главного артиллерийского управления Красной Армии переработать Положение о массовой изобретательской и рационализаторской работе в Красной Армии, объявленное в приказе НКО № 147 от 29 мая 1938 г.</w:t>
      </w:r>
    </w:p>
    <w:p w14:paraId="3AA6CD6E"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Штат № 1/820 отдела изобретений НКО и временное положение о нем, объявленное в приказе НКО № 0114 1937 г., отменить.</w:t>
      </w:r>
    </w:p>
    <w:p w14:paraId="2C23BD1E"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Зам[еститель| народного комиссара обороны СССР Маршал Советского Союза С. Буденный</w:t>
      </w:r>
    </w:p>
    <w:p w14:paraId="721AFEAA"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РГВА. Ф. 4. Оп. 15. Д. 31. Л. 502—502 (об.). Типографский экз. (21205).</w:t>
      </w:r>
    </w:p>
    <w:p w14:paraId="10A8A6A3" w14:textId="77777777" w:rsidR="00093C0E" w:rsidRPr="00A3026E" w:rsidRDefault="00093C0E" w:rsidP="00A3026E">
      <w:pPr>
        <w:spacing w:after="0" w:line="240" w:lineRule="auto"/>
        <w:jc w:val="both"/>
        <w:rPr>
          <w:rFonts w:ascii="Times New Roman" w:hAnsi="Times New Roman"/>
          <w:color w:val="0070C0"/>
          <w:sz w:val="16"/>
          <w:szCs w:val="16"/>
        </w:rPr>
      </w:pPr>
    </w:p>
    <w:p w14:paraId="1DADB317"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9 декабря 1940 из письма Ворошилову</w:t>
      </w:r>
    </w:p>
    <w:p w14:paraId="2BBC3899" w14:textId="77777777" w:rsidR="0014077F" w:rsidRPr="00A3026E" w:rsidRDefault="0014077F" w:rsidP="00A3026E">
      <w:pPr>
        <w:pStyle w:val="ae"/>
        <w:spacing w:before="0" w:after="0"/>
        <w:jc w:val="both"/>
        <w:rPr>
          <w:color w:val="000000" w:themeColor="text1"/>
          <w:sz w:val="16"/>
          <w:szCs w:val="16"/>
        </w:rPr>
      </w:pPr>
      <w:r w:rsidRPr="00A3026E">
        <w:rPr>
          <w:iCs/>
          <w:color w:val="000000" w:themeColor="text1"/>
          <w:sz w:val="16"/>
          <w:szCs w:val="16"/>
        </w:rPr>
        <w:t>«НКСМ неоднократно обращался в НКАП с просьбой о принятии заявок на запчасти для ремонтных заводов, но последние до сих пор остаются непринятыми»</w:t>
      </w:r>
    </w:p>
    <w:p w14:paraId="6ED404BE" w14:textId="77777777" w:rsidR="0014077F" w:rsidRPr="00A3026E" w:rsidRDefault="0014077F" w:rsidP="00A3026E">
      <w:pPr>
        <w:pStyle w:val="ae"/>
        <w:spacing w:before="0" w:after="0"/>
        <w:jc w:val="both"/>
        <w:rPr>
          <w:color w:val="000000" w:themeColor="text1"/>
          <w:sz w:val="16"/>
          <w:szCs w:val="16"/>
        </w:rPr>
      </w:pPr>
      <w:r w:rsidRPr="00A3026E">
        <w:rPr>
          <w:iCs/>
          <w:color w:val="000000" w:themeColor="text1"/>
          <w:sz w:val="16"/>
          <w:szCs w:val="16"/>
        </w:rPr>
        <w:t>«Завод 183 за последние три года недопоставил ГАБТУ КА главных фрикционов к моторам М-17 и М-5 в количестве 1086 штук» —</w:t>
      </w:r>
      <w:r w:rsidRPr="00A3026E">
        <w:rPr>
          <w:color w:val="000000" w:themeColor="text1"/>
          <w:sz w:val="16"/>
          <w:szCs w:val="16"/>
        </w:rPr>
        <w:t xml:space="preserve"> тому же адресату 31.01.41 г.</w:t>
      </w:r>
    </w:p>
    <w:p w14:paraId="56C6F1F2"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И по другим деталям…</w:t>
      </w:r>
    </w:p>
    <w:p w14:paraId="293CB3BF"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«Снабжение Наркомата Обороны запасными частями к танкам, тракторам и автомобилям производится промышленностью недостаточно, что ведет к ухудшению состояния танкового и автотракторного парка Красной Армии, увеличению числа неходовых машин и не дает возможности создать необходимый неприкосновенный запас на случай войны».</w:t>
      </w:r>
    </w:p>
    <w:p w14:paraId="18C87045"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«За 4 месяца 1941 г. отгрузка запасных частей составила 25,5 мил. руб. или 12,5 % от годовой заявки НКО.</w:t>
      </w:r>
    </w:p>
    <w:p w14:paraId="5C87BE4A"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Особенно плохо обстоит дело с поставкой ряда дефицитных деталей, ход отгрузки которых за 4 месяца не дает уверенности в поставке заводами НКСМ запасных частей даже в пределах выделенных фондов.</w:t>
      </w:r>
    </w:p>
    <w:p w14:paraId="5E9BF1B3"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В то же время, снабжение машин народного хозяйства находится на более высоком уровне, чем машин парка Красной Армии».</w:t>
      </w:r>
    </w:p>
    <w:p w14:paraId="1F94518C"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«Поставка запасных частей к танкам по договорам, заключенным с заводами на 1941-й год идет совершенно неудовлетворительно.</w:t>
      </w:r>
    </w:p>
    <w:p w14:paraId="18092275"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w:t>
      </w:r>
    </w:p>
    <w:p w14:paraId="317B97A1"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Совершенно неудовлетворительно сдаются: коробки перемены передач, шестерни, траки, полуоси, колеса в сборе и оборудование моторов.</w:t>
      </w:r>
    </w:p>
    <w:p w14:paraId="6D74CD02"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w:t>
      </w:r>
    </w:p>
    <w:p w14:paraId="34E9B78B"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Наркомат и „Главтрактородеталь“ совершенно отказываются от изготовления сложных дефицитных узлов и деталей (колеса, полуоси, балансиры, кривошипы, крышка бортовой передачи, гитары и т. д.).</w:t>
      </w:r>
    </w:p>
    <w:p w14:paraId="0533260B"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w:t>
      </w:r>
    </w:p>
    <w:p w14:paraId="16471F9B"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Сдача запасных частей к дизелям идет неудовлетворительно… Ввиду плохой поставки дизель-моторов, большое количество танков (БТ-7М) не боеспособно» (12624).</w:t>
      </w:r>
    </w:p>
    <w:p w14:paraId="41944C35" w14:textId="77777777" w:rsidR="0014077F" w:rsidRPr="00A3026E" w:rsidRDefault="0014077F" w:rsidP="00A3026E">
      <w:pPr>
        <w:pStyle w:val="ae"/>
        <w:spacing w:before="0" w:after="0"/>
        <w:jc w:val="both"/>
        <w:rPr>
          <w:color w:val="000000" w:themeColor="text1"/>
          <w:sz w:val="16"/>
          <w:szCs w:val="16"/>
        </w:rPr>
      </w:pPr>
    </w:p>
    <w:p w14:paraId="5513C836"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9 декабря 1940 – протокол Политбюро </w:t>
      </w:r>
    </w:p>
    <w:p w14:paraId="72F4A7D7"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09.XII.40 г.</w:t>
      </w:r>
    </w:p>
    <w:p w14:paraId="2ED7D659"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164. О станках для завода № 459 (постановление ЦК ВКП(б) и СНК СССР).</w:t>
      </w:r>
    </w:p>
    <w:p w14:paraId="2946D5E5"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10.XII.40 г.</w:t>
      </w:r>
    </w:p>
    <w:p w14:paraId="1D88898F"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174. О проектировании и постройке опытного образца бронированных аэросаней. — ОП.</w:t>
      </w:r>
    </w:p>
    <w:p w14:paraId="1A1204D9" w14:textId="77777777" w:rsidR="00093C0E" w:rsidRPr="00A3026E" w:rsidRDefault="00093C0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175. О программе завода № 18 на 1941 год (постановление СНК СССР и ЦК ВКП(б)). — ОП (20408).</w:t>
      </w:r>
    </w:p>
    <w:p w14:paraId="4050C0C3" w14:textId="77777777" w:rsidR="00093C0E" w:rsidRPr="00A3026E" w:rsidRDefault="00093C0E" w:rsidP="00A3026E">
      <w:pPr>
        <w:spacing w:after="0" w:line="240" w:lineRule="auto"/>
        <w:jc w:val="both"/>
        <w:rPr>
          <w:rFonts w:ascii="Times New Roman" w:hAnsi="Times New Roman"/>
          <w:color w:val="0070C0"/>
          <w:sz w:val="16"/>
          <w:szCs w:val="16"/>
        </w:rPr>
      </w:pPr>
    </w:p>
    <w:p w14:paraId="543EFE8B" w14:textId="77777777" w:rsidR="00041561" w:rsidRPr="00A3026E" w:rsidRDefault="0004156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9 декабря 1940 г. вышло </w:t>
      </w:r>
      <w:r w:rsidRPr="00A3026E">
        <w:rPr>
          <w:rFonts w:ascii="Times New Roman" w:hAnsi="Times New Roman"/>
          <w:color w:val="0070C0"/>
          <w:sz w:val="16"/>
          <w:szCs w:val="16"/>
          <w:shd w:val="clear" w:color="auto" w:fill="FFFFFF"/>
        </w:rPr>
        <w:t>Постановление Комитета обороны при СНК СССР № 450сс "О принятии в состав ВМФ СССР легкого крейсера "Максим Горький" с приложением (22096).</w:t>
      </w:r>
    </w:p>
    <w:p w14:paraId="0FB7F038" w14:textId="77777777" w:rsidR="00041561" w:rsidRPr="00A3026E" w:rsidRDefault="00041561" w:rsidP="00A3026E">
      <w:pPr>
        <w:spacing w:after="0" w:line="240" w:lineRule="auto"/>
        <w:jc w:val="both"/>
        <w:rPr>
          <w:rFonts w:ascii="Times New Roman" w:hAnsi="Times New Roman"/>
          <w:color w:val="0070C0"/>
          <w:sz w:val="16"/>
          <w:szCs w:val="16"/>
        </w:rPr>
      </w:pPr>
    </w:p>
    <w:p w14:paraId="713C715B"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6D5A3AD"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3CF4E1D0" w14:textId="77777777" w:rsidR="006F1BF6" w:rsidRPr="00A3026E" w:rsidRDefault="006F1BF6"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bCs/>
          <w:color w:val="000000" w:themeColor="text1"/>
          <w:sz w:val="16"/>
          <w:szCs w:val="16"/>
        </w:rPr>
        <w:t>9 декабря</w:t>
      </w:r>
      <w:r w:rsidRPr="00A3026E">
        <w:rPr>
          <w:rFonts w:ascii="Times New Roman" w:hAnsi="Times New Roman"/>
          <w:color w:val="000000" w:themeColor="text1"/>
          <w:sz w:val="16"/>
          <w:szCs w:val="16"/>
        </w:rPr>
        <w:t xml:space="preserve"> в 1940 году операция &lt;Компас&gt; в Северной Африке (по 9 февраля). Британская 8-я армия начинает продвижение из Египта в Ливию (пересекает границу 15 декабря). Из района Мерса Матрух в Египте 7-я бронетанковая и 4-я индийская дивизии под общим командованием генерал-майора Ричарда О'Коннора перешли в наступление против 7 итальянских дивизий вторгшихся в Египет. В трёхдневном сражении британским частям удалось окружить и разгромить превосходящую по численности (30 тыс. солдат Британской империи против 80 тысяч итальянцев) итальянскую группировку. Потериитальянцевтолькопленнымисоставилиоколо</w:t>
      </w:r>
      <w:r w:rsidRPr="00A3026E">
        <w:rPr>
          <w:rFonts w:ascii="Times New Roman" w:hAnsi="Times New Roman"/>
          <w:color w:val="000000" w:themeColor="text1"/>
          <w:sz w:val="16"/>
          <w:szCs w:val="16"/>
          <w:lang w:val="en-US"/>
        </w:rPr>
        <w:t xml:space="preserve"> 40 </w:t>
      </w:r>
      <w:r w:rsidRPr="00A3026E">
        <w:rPr>
          <w:rFonts w:ascii="Times New Roman" w:hAnsi="Times New Roman"/>
          <w:color w:val="000000" w:themeColor="text1"/>
          <w:sz w:val="16"/>
          <w:szCs w:val="16"/>
        </w:rPr>
        <w:t>тысяччеловек</w:t>
      </w:r>
      <w:r w:rsidRPr="00A3026E">
        <w:rPr>
          <w:rFonts w:ascii="Times New Roman" w:hAnsi="Times New Roman"/>
          <w:color w:val="000000" w:themeColor="text1"/>
          <w:sz w:val="16"/>
          <w:szCs w:val="16"/>
          <w:lang w:val="en-US"/>
        </w:rPr>
        <w:t xml:space="preserve"> (14855).</w:t>
      </w:r>
    </w:p>
    <w:p w14:paraId="1987CAB9" w14:textId="77777777" w:rsidR="006F1BF6" w:rsidRPr="00A3026E" w:rsidRDefault="006F1BF6" w:rsidP="00A3026E">
      <w:pPr>
        <w:spacing w:after="0" w:line="240" w:lineRule="auto"/>
        <w:jc w:val="both"/>
        <w:rPr>
          <w:rFonts w:ascii="Times New Roman" w:hAnsi="Times New Roman"/>
          <w:color w:val="000000" w:themeColor="text1"/>
          <w:sz w:val="16"/>
          <w:szCs w:val="16"/>
          <w:lang w:val="en-US"/>
        </w:rPr>
      </w:pPr>
    </w:p>
    <w:p w14:paraId="0978CC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lang w:val="en-US"/>
        </w:rPr>
        <w:t xml:space="preserve">December 9/10 1940 British begin Western Desert Offensive in North Africa against the Italians (1050). </w:t>
      </w:r>
      <w:r w:rsidRPr="00A3026E">
        <w:rPr>
          <w:rFonts w:ascii="Times New Roman" w:hAnsi="Times New Roman"/>
          <w:color w:val="000000" w:themeColor="text1"/>
          <w:sz w:val="16"/>
          <w:szCs w:val="16"/>
        </w:rPr>
        <w:t>Захватили в плен 1 тыс. (2100).</w:t>
      </w:r>
    </w:p>
    <w:p w14:paraId="7A53249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2B046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9-10 декабря 1940 англичане начали наступление в пустыне в северной Африке против итальянцев (1050) и оно продолжалось до 10 февраля 1941 (2443,418).</w:t>
      </w:r>
    </w:p>
    <w:p w14:paraId="1F7ED7D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02A74D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началась депортация нелегальных еврейских иммигрантов из Хайфы (Израиль) на Маврикий (4962).</w:t>
      </w:r>
    </w:p>
    <w:p w14:paraId="57D16F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18A93386"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E2A6A22"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2C3654A6" w14:textId="77777777" w:rsidR="00FF31A7" w:rsidRPr="00A3026E" w:rsidRDefault="00FF31A7"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10 декабря 1940 г. вышло постановление СНК и ЦК ВКП(б) (№ 2494-1117сс), которое обязывало нар</w:t>
      </w:r>
      <w:r w:rsidRPr="00A3026E">
        <w:rPr>
          <w:color w:val="000000" w:themeColor="text1"/>
          <w:sz w:val="16"/>
          <w:szCs w:val="16"/>
        </w:rPr>
        <w:softHyphen/>
        <w:t>комат авиационной промышленности (Шахурин) поставить на заводе № 18 (г. Воронеж) производ</w:t>
      </w:r>
      <w:r w:rsidRPr="00A3026E">
        <w:rPr>
          <w:color w:val="000000" w:themeColor="text1"/>
          <w:sz w:val="16"/>
          <w:szCs w:val="16"/>
        </w:rPr>
        <w:softHyphen/>
        <w:t>ство бронированного штурмовика Ил-2 (решени</w:t>
      </w:r>
      <w:r w:rsidRPr="00A3026E">
        <w:rPr>
          <w:color w:val="000000" w:themeColor="text1"/>
          <w:sz w:val="16"/>
          <w:szCs w:val="16"/>
        </w:rPr>
        <w:softHyphen/>
        <w:t>ем Политбюро ЦК ВКП(б) от 6 декабря и приказом НКАП от 9 декабря 1940 г. БШ-2 был переименован в Ил-2</w:t>
      </w:r>
      <w:r w:rsidRPr="00A3026E">
        <w:rPr>
          <w:rStyle w:val="BodytextItalic"/>
          <w:i w:val="0"/>
          <w:color w:val="000000" w:themeColor="text1"/>
          <w:sz w:val="16"/>
          <w:szCs w:val="16"/>
        </w:rPr>
        <w:t>)</w:t>
      </w:r>
      <w:r w:rsidRPr="00A3026E">
        <w:rPr>
          <w:color w:val="000000" w:themeColor="text1"/>
          <w:sz w:val="16"/>
          <w:szCs w:val="16"/>
        </w:rPr>
        <w:t xml:space="preserve"> по образцу, прошедшему государ</w:t>
      </w:r>
      <w:r w:rsidRPr="00A3026E">
        <w:rPr>
          <w:color w:val="000000" w:themeColor="text1"/>
          <w:sz w:val="16"/>
          <w:szCs w:val="16"/>
        </w:rPr>
        <w:softHyphen/>
        <w:t>ственные испытания, но в одноместном варианте. При запуске самолета в серию требовалось уста</w:t>
      </w:r>
      <w:r w:rsidRPr="00A3026E">
        <w:rPr>
          <w:color w:val="000000" w:themeColor="text1"/>
          <w:sz w:val="16"/>
          <w:szCs w:val="16"/>
        </w:rPr>
        <w:softHyphen/>
        <w:t>новить: заднюю броневую стенку толщиной 12 мм (вместо 7 мм), мотор АМ-35А (вместо АМ-35), 2 кры</w:t>
      </w:r>
      <w:r w:rsidRPr="00A3026E">
        <w:rPr>
          <w:color w:val="000000" w:themeColor="text1"/>
          <w:sz w:val="16"/>
          <w:szCs w:val="16"/>
        </w:rPr>
        <w:softHyphen/>
        <w:t>льевые пушки МП-6 с боекомплектом по 150 патро</w:t>
      </w:r>
      <w:r w:rsidRPr="00A3026E">
        <w:rPr>
          <w:color w:val="000000" w:themeColor="text1"/>
          <w:sz w:val="16"/>
          <w:szCs w:val="16"/>
        </w:rPr>
        <w:softHyphen/>
        <w:t xml:space="preserve">нов </w:t>
      </w:r>
      <w:r w:rsidRPr="00A3026E">
        <w:rPr>
          <w:color w:val="000000" w:themeColor="text1"/>
          <w:sz w:val="16"/>
          <w:szCs w:val="16"/>
        </w:rPr>
        <w:lastRenderedPageBreak/>
        <w:t>на каждую пушку (взамен 2 пулеметов ШКАС), а также 8 ракетных орудий РО-132 (или РО-82). Серийный выпуск необходимо было организовать к 15 февраля 1941 г. с таким расчетом, чтобы до конца года построить 1200 самолетов Ил-2, из них 10 машин — к 1 марта. Соответственно, наркомат вооружения (Ванников) не позднее 20 декабря 1940 г. должен был поставить заводу № 39 НКАП «главному конструктору т. Ильюшину» две пушки МП-6 для установки в крыле самолета Ил-2.</w:t>
      </w:r>
    </w:p>
    <w:p w14:paraId="3B5A23EB" w14:textId="77777777" w:rsidR="00FF31A7" w:rsidRPr="00A3026E" w:rsidRDefault="00FF31A7"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Постановление было продублировано С. В. Илью</w:t>
      </w:r>
      <w:r w:rsidRPr="00A3026E">
        <w:rPr>
          <w:color w:val="000000" w:themeColor="text1"/>
          <w:sz w:val="16"/>
          <w:szCs w:val="16"/>
        </w:rPr>
        <w:softHyphen/>
        <w:t>шину и Я. Г. Таубину соответствующими приказами наркома авиапромышленности А. И. Шахурина и наркома вооружения Б. Л. Ванни</w:t>
      </w:r>
      <w:r w:rsidRPr="00A3026E">
        <w:rPr>
          <w:color w:val="000000" w:themeColor="text1"/>
          <w:sz w:val="16"/>
          <w:szCs w:val="16"/>
        </w:rPr>
        <w:softHyphen/>
        <w:t>кова (17500).</w:t>
      </w:r>
    </w:p>
    <w:p w14:paraId="0C20D061" w14:textId="77777777" w:rsidR="00FF31A7" w:rsidRPr="00A3026E" w:rsidRDefault="00FF31A7" w:rsidP="00A3026E">
      <w:pPr>
        <w:spacing w:after="0" w:line="240" w:lineRule="auto"/>
        <w:jc w:val="both"/>
        <w:rPr>
          <w:rFonts w:ascii="Times New Roman" w:eastAsia="Times New Roman" w:hAnsi="Times New Roman"/>
          <w:color w:val="000000" w:themeColor="text1"/>
          <w:sz w:val="16"/>
          <w:szCs w:val="16"/>
          <w:lang w:eastAsia="ru-RU"/>
        </w:rPr>
      </w:pPr>
    </w:p>
    <w:p w14:paraId="61E6E3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вышло постановление Правительства о программе завода 18 на 1941 (244,152).</w:t>
      </w:r>
    </w:p>
    <w:p w14:paraId="71A6B35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Может быть это как раз и было то самое постановление о внедрении Ил-2 в массовое производство.</w:t>
      </w:r>
    </w:p>
    <w:p w14:paraId="233B7AC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C7940B8"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декабря 1940 г. вышло Постановление Политбюро ЦК ВКП(б) "О программе завода № 18 на 1941 год" по выпуску самолетов Ил-2, БД-3Ф, Ер-2 (пр. № 23/23-оп за 22 ноября - 13 декабря 1940 г., п. 175)</w:t>
      </w:r>
    </w:p>
    <w:p w14:paraId="12B4B1C8"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175.- О программе завода № 18 на 1941 год.</w:t>
      </w:r>
    </w:p>
    <w:p w14:paraId="3914FE74"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 СНК СССР и ЦК BКП/б/).</w:t>
      </w:r>
    </w:p>
    <w:p w14:paraId="757275D7"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Совет Народных Комиссаров Союза ССР и Центрэльный Комитет ВКП(б) постановляют:</w:t>
      </w:r>
    </w:p>
    <w:p w14:paraId="431FA0CE"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Народного комиссара авиационной промни- лености т. Шахурина и директора завода № 18 т. Шенкмана, в соответствии с решением CНК СССР и ЦК ВКП(б) от 7 де кабря 1940 года обеспечить выпуск следующего количества самолетов:</w:t>
      </w:r>
    </w:p>
    <w:tbl>
      <w:tblPr>
        <w:tblOverlap w:val="never"/>
        <w:tblW w:w="0" w:type="auto"/>
        <w:jc w:val="right"/>
        <w:tblLayout w:type="fixed"/>
        <w:tblCellMar>
          <w:left w:w="10" w:type="dxa"/>
          <w:right w:w="10" w:type="dxa"/>
        </w:tblCellMar>
        <w:tblLook w:val="04A0" w:firstRow="1" w:lastRow="0" w:firstColumn="1" w:lastColumn="0" w:noHBand="0" w:noVBand="1"/>
      </w:tblPr>
      <w:tblGrid>
        <w:gridCol w:w="589"/>
        <w:gridCol w:w="707"/>
        <w:gridCol w:w="956"/>
        <w:gridCol w:w="766"/>
        <w:gridCol w:w="602"/>
        <w:gridCol w:w="1361"/>
        <w:gridCol w:w="746"/>
      </w:tblGrid>
      <w:tr w:rsidR="00A86CD1" w:rsidRPr="00A3026E" w14:paraId="1336BFE8" w14:textId="77777777" w:rsidTr="007609C9">
        <w:trPr>
          <w:trHeight w:val="249"/>
          <w:jc w:val="right"/>
        </w:trPr>
        <w:tc>
          <w:tcPr>
            <w:tcW w:w="1296" w:type="dxa"/>
            <w:gridSpan w:val="2"/>
            <w:vMerge w:val="restart"/>
            <w:vAlign w:val="bottom"/>
            <w:hideMark/>
          </w:tcPr>
          <w:p w14:paraId="2F68E7A9"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Тип самолета</w:t>
            </w:r>
          </w:p>
        </w:tc>
        <w:tc>
          <w:tcPr>
            <w:tcW w:w="956" w:type="dxa"/>
            <w:vMerge w:val="restart"/>
            <w:vAlign w:val="bottom"/>
            <w:hideMark/>
          </w:tcPr>
          <w:p w14:paraId="668C1CA7"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Всего в 41г.</w:t>
            </w:r>
          </w:p>
        </w:tc>
        <w:tc>
          <w:tcPr>
            <w:tcW w:w="766" w:type="dxa"/>
            <w:vAlign w:val="bottom"/>
            <w:hideMark/>
          </w:tcPr>
          <w:p w14:paraId="28341FD7" w14:textId="77777777" w:rsidR="00A86CD1" w:rsidRPr="00A3026E" w:rsidRDefault="00A86CD1" w:rsidP="00A3026E">
            <w:pPr>
              <w:spacing w:after="0" w:line="240" w:lineRule="auto"/>
              <w:jc w:val="both"/>
              <w:rPr>
                <w:rFonts w:ascii="Times New Roman" w:hAnsi="Times New Roman"/>
                <w:color w:val="0070C0"/>
                <w:sz w:val="16"/>
                <w:szCs w:val="16"/>
              </w:rPr>
            </w:pPr>
          </w:p>
        </w:tc>
        <w:tc>
          <w:tcPr>
            <w:tcW w:w="1963" w:type="dxa"/>
            <w:gridSpan w:val="2"/>
            <w:tcBorders>
              <w:top w:val="single" w:sz="4" w:space="0" w:color="auto"/>
              <w:left w:val="nil"/>
              <w:bottom w:val="nil"/>
              <w:right w:val="nil"/>
            </w:tcBorders>
            <w:vAlign w:val="bottom"/>
            <w:hideMark/>
          </w:tcPr>
          <w:p w14:paraId="72B64788"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том числе</w:t>
            </w:r>
          </w:p>
        </w:tc>
        <w:tc>
          <w:tcPr>
            <w:tcW w:w="746" w:type="dxa"/>
            <w:vMerge w:val="restart"/>
            <w:tcBorders>
              <w:top w:val="single" w:sz="4" w:space="0" w:color="auto"/>
              <w:left w:val="nil"/>
              <w:bottom w:val="nil"/>
              <w:right w:val="nil"/>
            </w:tcBorders>
            <w:vAlign w:val="bottom"/>
            <w:hideMark/>
          </w:tcPr>
          <w:p w14:paraId="55E310BC"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кв.</w:t>
            </w:r>
          </w:p>
          <w:p w14:paraId="0305DE88"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1942 г.</w:t>
            </w:r>
          </w:p>
        </w:tc>
      </w:tr>
      <w:tr w:rsidR="00A86CD1" w:rsidRPr="00A3026E" w14:paraId="5A1C27F6" w14:textId="77777777" w:rsidTr="007609C9">
        <w:trPr>
          <w:trHeight w:hRule="exact" w:val="236"/>
          <w:jc w:val="right"/>
        </w:trPr>
        <w:tc>
          <w:tcPr>
            <w:tcW w:w="2003" w:type="dxa"/>
            <w:gridSpan w:val="2"/>
            <w:vMerge/>
            <w:vAlign w:val="center"/>
            <w:hideMark/>
          </w:tcPr>
          <w:p w14:paraId="366CD91D" w14:textId="77777777" w:rsidR="00A86CD1" w:rsidRPr="00A3026E" w:rsidRDefault="00A86CD1" w:rsidP="00A3026E">
            <w:pPr>
              <w:spacing w:after="0" w:line="240" w:lineRule="auto"/>
              <w:jc w:val="both"/>
              <w:rPr>
                <w:rFonts w:ascii="Times New Roman" w:hAnsi="Times New Roman"/>
                <w:color w:val="0070C0"/>
                <w:sz w:val="16"/>
                <w:szCs w:val="16"/>
              </w:rPr>
            </w:pPr>
          </w:p>
        </w:tc>
        <w:tc>
          <w:tcPr>
            <w:tcW w:w="956" w:type="dxa"/>
            <w:vMerge/>
            <w:vAlign w:val="center"/>
            <w:hideMark/>
          </w:tcPr>
          <w:p w14:paraId="08D1F000" w14:textId="77777777" w:rsidR="00A86CD1" w:rsidRPr="00A3026E" w:rsidRDefault="00A86CD1" w:rsidP="00A3026E">
            <w:pPr>
              <w:spacing w:after="0" w:line="240" w:lineRule="auto"/>
              <w:jc w:val="both"/>
              <w:rPr>
                <w:rFonts w:ascii="Times New Roman" w:hAnsi="Times New Roman"/>
                <w:color w:val="0070C0"/>
                <w:sz w:val="16"/>
                <w:szCs w:val="16"/>
              </w:rPr>
            </w:pPr>
          </w:p>
        </w:tc>
        <w:tc>
          <w:tcPr>
            <w:tcW w:w="766" w:type="dxa"/>
            <w:hideMark/>
          </w:tcPr>
          <w:p w14:paraId="78F0E7E5"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кв.</w:t>
            </w:r>
          </w:p>
        </w:tc>
        <w:tc>
          <w:tcPr>
            <w:tcW w:w="602" w:type="dxa"/>
            <w:hideMark/>
          </w:tcPr>
          <w:p w14:paraId="4CFD295D"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 кв.</w:t>
            </w:r>
          </w:p>
        </w:tc>
        <w:tc>
          <w:tcPr>
            <w:tcW w:w="1361" w:type="dxa"/>
            <w:tcBorders>
              <w:top w:val="single" w:sz="4" w:space="0" w:color="auto"/>
              <w:left w:val="nil"/>
              <w:bottom w:val="nil"/>
              <w:right w:val="nil"/>
            </w:tcBorders>
            <w:hideMark/>
          </w:tcPr>
          <w:p w14:paraId="2728A14A"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III кв.1У кв.</w:t>
            </w:r>
          </w:p>
        </w:tc>
        <w:tc>
          <w:tcPr>
            <w:tcW w:w="746" w:type="dxa"/>
            <w:vMerge/>
            <w:tcBorders>
              <w:top w:val="single" w:sz="4" w:space="0" w:color="auto"/>
              <w:left w:val="nil"/>
              <w:bottom w:val="nil"/>
              <w:right w:val="nil"/>
            </w:tcBorders>
            <w:vAlign w:val="center"/>
            <w:hideMark/>
          </w:tcPr>
          <w:p w14:paraId="5CC058D1" w14:textId="77777777" w:rsidR="00A86CD1" w:rsidRPr="00A3026E" w:rsidRDefault="00A86CD1" w:rsidP="00A3026E">
            <w:pPr>
              <w:spacing w:after="0" w:line="240" w:lineRule="auto"/>
              <w:jc w:val="both"/>
              <w:rPr>
                <w:rFonts w:ascii="Times New Roman" w:hAnsi="Times New Roman"/>
                <w:color w:val="0070C0"/>
                <w:sz w:val="16"/>
                <w:szCs w:val="16"/>
              </w:rPr>
            </w:pPr>
          </w:p>
        </w:tc>
      </w:tr>
      <w:tr w:rsidR="00A86CD1" w:rsidRPr="00A3026E" w14:paraId="163AB507" w14:textId="77777777" w:rsidTr="007609C9">
        <w:trPr>
          <w:trHeight w:hRule="exact" w:val="713"/>
          <w:jc w:val="right"/>
        </w:trPr>
        <w:tc>
          <w:tcPr>
            <w:tcW w:w="589" w:type="dxa"/>
            <w:tcBorders>
              <w:top w:val="single" w:sz="4" w:space="0" w:color="auto"/>
              <w:left w:val="nil"/>
              <w:bottom w:val="single" w:sz="4" w:space="0" w:color="auto"/>
              <w:right w:val="nil"/>
            </w:tcBorders>
            <w:hideMark/>
          </w:tcPr>
          <w:p w14:paraId="0535E0A3"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Ил-2 Ер-2</w:t>
            </w:r>
          </w:p>
        </w:tc>
        <w:tc>
          <w:tcPr>
            <w:tcW w:w="707" w:type="dxa"/>
            <w:tcBorders>
              <w:top w:val="single" w:sz="4" w:space="0" w:color="auto"/>
              <w:left w:val="nil"/>
              <w:bottom w:val="single" w:sz="4" w:space="0" w:color="auto"/>
              <w:right w:val="nil"/>
            </w:tcBorders>
            <w:hideMark/>
          </w:tcPr>
          <w:p w14:paraId="7EF77FA3"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AМ-35A 2М-88 2М-40</w:t>
            </w:r>
          </w:p>
        </w:tc>
        <w:tc>
          <w:tcPr>
            <w:tcW w:w="956" w:type="dxa"/>
            <w:tcBorders>
              <w:top w:val="single" w:sz="4" w:space="0" w:color="auto"/>
              <w:left w:val="nil"/>
              <w:bottom w:val="nil"/>
              <w:right w:val="nil"/>
            </w:tcBorders>
            <w:hideMark/>
          </w:tcPr>
          <w:p w14:paraId="77E899C8"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1200</w:t>
            </w:r>
          </w:p>
          <w:p w14:paraId="31607A61"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400</w:t>
            </w:r>
          </w:p>
          <w:p w14:paraId="5D43A44B"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100</w:t>
            </w:r>
          </w:p>
        </w:tc>
        <w:tc>
          <w:tcPr>
            <w:tcW w:w="766" w:type="dxa"/>
            <w:tcBorders>
              <w:top w:val="single" w:sz="4" w:space="0" w:color="auto"/>
              <w:left w:val="nil"/>
              <w:bottom w:val="nil"/>
              <w:right w:val="nil"/>
            </w:tcBorders>
            <w:hideMark/>
          </w:tcPr>
          <w:p w14:paraId="0702AEE9"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w:t>
            </w:r>
          </w:p>
          <w:p w14:paraId="0CFCD612"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220</w:t>
            </w:r>
          </w:p>
        </w:tc>
        <w:tc>
          <w:tcPr>
            <w:tcW w:w="602" w:type="dxa"/>
            <w:tcBorders>
              <w:top w:val="single" w:sz="4" w:space="0" w:color="auto"/>
              <w:left w:val="nil"/>
              <w:bottom w:val="nil"/>
              <w:right w:val="nil"/>
            </w:tcBorders>
            <w:hideMark/>
          </w:tcPr>
          <w:p w14:paraId="5AAD3792"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300</w:t>
            </w:r>
          </w:p>
          <w:p w14:paraId="4239BD5F"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180</w:t>
            </w:r>
          </w:p>
        </w:tc>
        <w:tc>
          <w:tcPr>
            <w:tcW w:w="1361" w:type="dxa"/>
            <w:tcBorders>
              <w:top w:val="single" w:sz="4" w:space="0" w:color="auto"/>
              <w:left w:val="nil"/>
              <w:bottom w:val="nil"/>
              <w:right w:val="nil"/>
            </w:tcBorders>
            <w:hideMark/>
          </w:tcPr>
          <w:p w14:paraId="3C22BD7A"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430</w:t>
            </w:r>
            <w:r w:rsidRPr="00A3026E">
              <w:rPr>
                <w:rFonts w:ascii="Times New Roman" w:hAnsi="Times New Roman"/>
                <w:color w:val="0070C0"/>
                <w:sz w:val="16"/>
                <w:szCs w:val="16"/>
              </w:rPr>
              <w:tab/>
              <w:t>450</w:t>
            </w:r>
          </w:p>
          <w:p w14:paraId="1BCBD49A"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w:t>
            </w:r>
            <w:r w:rsidRPr="00A3026E">
              <w:rPr>
                <w:rFonts w:ascii="Times New Roman" w:hAnsi="Times New Roman"/>
                <w:color w:val="0070C0"/>
                <w:sz w:val="16"/>
                <w:szCs w:val="16"/>
              </w:rPr>
              <w:tab/>
              <w:t>80</w:t>
            </w:r>
          </w:p>
        </w:tc>
        <w:tc>
          <w:tcPr>
            <w:tcW w:w="746" w:type="dxa"/>
            <w:tcBorders>
              <w:top w:val="single" w:sz="4" w:space="0" w:color="auto"/>
              <w:left w:val="nil"/>
              <w:bottom w:val="nil"/>
              <w:right w:val="nil"/>
            </w:tcBorders>
            <w:hideMark/>
          </w:tcPr>
          <w:p w14:paraId="75A7E545"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475</w:t>
            </w:r>
          </w:p>
          <w:p w14:paraId="4513734A"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100</w:t>
            </w:r>
          </w:p>
        </w:tc>
      </w:tr>
    </w:tbl>
    <w:p w14:paraId="653F8A88"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Директору завода № 18 т. Шенкману и главному кон</w:t>
      </w:r>
      <w:r w:rsidRPr="00A3026E">
        <w:rPr>
          <w:rFonts w:ascii="Times New Roman" w:hAnsi="Times New Roman"/>
          <w:color w:val="0070C0"/>
          <w:sz w:val="16"/>
          <w:szCs w:val="16"/>
        </w:rPr>
        <w:softHyphen/>
        <w:t>структору самолета Ил-2 т. Ильюшину поставить производ</w:t>
      </w:r>
      <w:r w:rsidRPr="00A3026E">
        <w:rPr>
          <w:rFonts w:ascii="Times New Roman" w:hAnsi="Times New Roman"/>
          <w:color w:val="0070C0"/>
          <w:sz w:val="16"/>
          <w:szCs w:val="16"/>
        </w:rPr>
        <w:softHyphen/>
        <w:t>ство самолета Ил-2 по образцу, прошедшему госиспытания со следующими изменениями:</w:t>
      </w:r>
    </w:p>
    <w:p w14:paraId="51B27E10"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сделать самолет одноместным, вместо двухместного,</w:t>
      </w:r>
    </w:p>
    <w:p w14:paraId="479B12EA"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установить заднюю броневую стенку толщиной в 12 мм. вместо 7 мм.;</w:t>
      </w:r>
    </w:p>
    <w:p w14:paraId="23317274"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установить мотор АМ-35A вместе мотора AМ-35;</w:t>
      </w:r>
    </w:p>
    <w:p w14:paraId="3B007EA5"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установить в крыльях самолета 2 пушки Таубина-Бабурина калибра 23 мм., со 150 снарядами на каждую пушку. вместо 2-х установленных пулеметов ШКАС;</w:t>
      </w:r>
    </w:p>
    <w:p w14:paraId="1D0743C1"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обеспечить подвеску 8 штук реактивных снарядов.</w:t>
      </w:r>
    </w:p>
    <w:p w14:paraId="3ABF055A"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3.Считать главной задачей т. Ильюшина - внедрение в серийное производство на заводе 18 самолета Ил-2. Обязать т. Ильюшина вместо с группой конструкторов выехать на завод 18 и обеспечить быстрейшее внедрение в серийное производство самолета Ил-2.</w:t>
      </w:r>
    </w:p>
    <w:p w14:paraId="4D3D170D"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Обязать директора завода № 18 т. Шенкмана и глав</w:t>
      </w:r>
      <w:r w:rsidRPr="00A3026E">
        <w:rPr>
          <w:rFonts w:ascii="Times New Roman" w:hAnsi="Times New Roman"/>
          <w:color w:val="0070C0"/>
          <w:sz w:val="16"/>
          <w:szCs w:val="16"/>
        </w:rPr>
        <w:softHyphen/>
        <w:t>ного констпуктора т. Ильюшина начать выпуск серийных самолетов Ил-2 с 15 февраля 1941 года с тем, чтобы до 1 марта 1941 года выпустить 10 самолетов.</w:t>
      </w:r>
    </w:p>
    <w:p w14:paraId="3BAA20E5"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Обязать Народного комиссара вооружения т. Ванни</w:t>
      </w:r>
      <w:r w:rsidRPr="00A3026E">
        <w:rPr>
          <w:rFonts w:ascii="Times New Roman" w:hAnsi="Times New Roman"/>
          <w:color w:val="0070C0"/>
          <w:sz w:val="16"/>
          <w:szCs w:val="16"/>
        </w:rPr>
        <w:softHyphen/>
        <w:t>кова и начальника ОКБ-16 т. Таубина передать к 20 Декаб</w:t>
      </w:r>
      <w:r w:rsidRPr="00A3026E">
        <w:rPr>
          <w:rFonts w:ascii="Times New Roman" w:hAnsi="Times New Roman"/>
          <w:color w:val="0070C0"/>
          <w:sz w:val="16"/>
          <w:szCs w:val="16"/>
        </w:rPr>
        <w:softHyphen/>
        <w:t>ря 1940 г. главному конструктору т. Ильюшину 2 крыльевых пушки Таубина-Бабурина калибра 23 мм.</w:t>
      </w:r>
    </w:p>
    <w:p w14:paraId="08BCBC7F"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Главному конструктору самолета Ил-2 т. Ильюшину:</w:t>
      </w:r>
    </w:p>
    <w:p w14:paraId="4B981CAB"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передать заводу №' 18 пять комплектов чертежей самолета Ил-2 к 20.ХП, а спецификацию материалов и готовых изделий - к 15.ХП.1940 г.;</w:t>
      </w:r>
    </w:p>
    <w:p w14:paraId="25909F5E"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закончить заводские испытания самолета ИЛ-2 с пушками Таубина-Бабурина к 10 января 1941 года.</w:t>
      </w:r>
    </w:p>
    <w:p w14:paraId="383EAB6C"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Обязать директора завода № 18 т. Шенкмана немедлен</w:t>
      </w:r>
      <w:r w:rsidRPr="00A3026E">
        <w:rPr>
          <w:rFonts w:ascii="Times New Roman" w:hAnsi="Times New Roman"/>
          <w:color w:val="0070C0"/>
          <w:sz w:val="16"/>
          <w:szCs w:val="16"/>
        </w:rPr>
        <w:softHyphen/>
        <w:t>но прекратить выпуск самолета ДБ-ЗФ с моторами М-87 и выпус</w:t>
      </w:r>
      <w:r w:rsidRPr="00A3026E">
        <w:rPr>
          <w:rFonts w:ascii="Times New Roman" w:hAnsi="Times New Roman"/>
          <w:color w:val="0070C0"/>
          <w:sz w:val="16"/>
          <w:szCs w:val="16"/>
        </w:rPr>
        <w:softHyphen/>
        <w:t>кать эти самолеты только с моторами М-88, а по получении с завода № 29 моторов М-89 перейти на выпуск самолетов ДБ-ЗФ с моторами М-89.</w:t>
      </w:r>
    </w:p>
    <w:p w14:paraId="574312A5"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Главному конструктору т.Ермолаеву установить на самолете Ер-2 моторы М-40, закончить к 1 апреля 1941 г. заводские испытания и передать самолет на госиспытания.</w:t>
      </w:r>
    </w:p>
    <w:p w14:paraId="432F1790"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Обязать народного комиссара авиационной промышлен</w:t>
      </w:r>
      <w:r w:rsidRPr="00A3026E">
        <w:rPr>
          <w:rFonts w:ascii="Times New Roman" w:hAnsi="Times New Roman"/>
          <w:color w:val="0070C0"/>
          <w:sz w:val="16"/>
          <w:szCs w:val="16"/>
        </w:rPr>
        <w:softHyphen/>
        <w:t>ности т. Шахурина и директора завода 18 т. Шенкмана закончить строительство:</w:t>
      </w:r>
    </w:p>
    <w:p w14:paraId="00A7BE11"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цеха шасси</w:t>
      </w:r>
      <w:r w:rsidRPr="00A3026E">
        <w:rPr>
          <w:rFonts w:ascii="Times New Roman" w:hAnsi="Times New Roman"/>
          <w:color w:val="0070C0"/>
          <w:sz w:val="16"/>
          <w:szCs w:val="16"/>
        </w:rPr>
        <w:tab/>
        <w:t>- к 1 мая 1941</w:t>
      </w:r>
    </w:p>
    <w:p w14:paraId="3E3341FB"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литейного цеха</w:t>
      </w:r>
      <w:r w:rsidRPr="00A3026E">
        <w:rPr>
          <w:rFonts w:ascii="Times New Roman" w:hAnsi="Times New Roman"/>
          <w:color w:val="0070C0"/>
          <w:sz w:val="16"/>
          <w:szCs w:val="16"/>
        </w:rPr>
        <w:tab/>
        <w:t>к 1 мая 1941</w:t>
      </w:r>
    </w:p>
    <w:p w14:paraId="4F770FAD"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ЦРП № 1 </w:t>
      </w:r>
      <w:r w:rsidRPr="00A3026E">
        <w:rPr>
          <w:rFonts w:ascii="Times New Roman" w:hAnsi="Times New Roman"/>
          <w:color w:val="0070C0"/>
          <w:sz w:val="16"/>
          <w:szCs w:val="16"/>
        </w:rPr>
        <w:tab/>
        <w:t>к 15 мая 1941</w:t>
      </w:r>
    </w:p>
    <w:p w14:paraId="25A14ED2"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ЦРП № 2 </w:t>
      </w:r>
      <w:r w:rsidRPr="00A3026E">
        <w:rPr>
          <w:rFonts w:ascii="Times New Roman" w:hAnsi="Times New Roman"/>
          <w:color w:val="0070C0"/>
          <w:sz w:val="16"/>
          <w:szCs w:val="16"/>
        </w:rPr>
        <w:tab/>
        <w:t>к 15 марта 1941</w:t>
      </w:r>
    </w:p>
    <w:p w14:paraId="38598224"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Бетонной ВВП на аэродроме</w:t>
      </w:r>
      <w:r w:rsidRPr="00A3026E">
        <w:rPr>
          <w:rFonts w:ascii="Times New Roman" w:hAnsi="Times New Roman"/>
          <w:color w:val="0070C0"/>
          <w:sz w:val="16"/>
          <w:szCs w:val="16"/>
        </w:rPr>
        <w:tab/>
        <w:t>к 15 июня 1941</w:t>
      </w:r>
    </w:p>
    <w:p w14:paraId="5CE26D3A"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4-х этажного жилого дома № 14</w:t>
      </w:r>
      <w:r w:rsidRPr="00A3026E">
        <w:rPr>
          <w:rFonts w:ascii="Times New Roman" w:hAnsi="Times New Roman"/>
          <w:color w:val="0070C0"/>
          <w:sz w:val="16"/>
          <w:szCs w:val="16"/>
        </w:rPr>
        <w:tab/>
        <w:t>к 15 июля 1941</w:t>
      </w:r>
    </w:p>
    <w:p w14:paraId="75853537"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2-х этажных шлакобетонных домов</w:t>
      </w:r>
    </w:p>
    <w:p w14:paraId="12577572"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домов</w:t>
      </w:r>
      <w:r w:rsidRPr="00A3026E">
        <w:rPr>
          <w:rFonts w:ascii="Times New Roman" w:hAnsi="Times New Roman"/>
          <w:color w:val="0070C0"/>
          <w:sz w:val="16"/>
          <w:szCs w:val="16"/>
        </w:rPr>
        <w:tab/>
        <w:t>к 15 мая 1941</w:t>
      </w:r>
    </w:p>
    <w:p w14:paraId="404150A2"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5 домов </w:t>
      </w:r>
      <w:r w:rsidRPr="00A3026E">
        <w:rPr>
          <w:rFonts w:ascii="Times New Roman" w:hAnsi="Times New Roman"/>
          <w:color w:val="0070C0"/>
          <w:sz w:val="16"/>
          <w:szCs w:val="16"/>
        </w:rPr>
        <w:tab/>
        <w:t>к 15 августа 1941</w:t>
      </w:r>
    </w:p>
    <w:p w14:paraId="24BF35DD"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5 домов </w:t>
      </w:r>
      <w:r w:rsidRPr="00A3026E">
        <w:rPr>
          <w:rFonts w:ascii="Times New Roman" w:hAnsi="Times New Roman"/>
          <w:color w:val="0070C0"/>
          <w:sz w:val="16"/>
          <w:szCs w:val="16"/>
        </w:rPr>
        <w:tab/>
        <w:t>к 15 октября 1941</w:t>
      </w:r>
    </w:p>
    <w:p w14:paraId="56821F0C"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ИКПС (т. Кагановичу Л.М.) выделять 20-му стройтресту НКАП начиная с 1 января 1941 года по 250 вагонов, для завоза в Воронеж бутового камня из Ельца.</w:t>
      </w:r>
    </w:p>
    <w:p w14:paraId="58EDFF4D"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Разрешить завоз в Воронеж, для 20-го стройтреста НКАП кирпича со ст. Основа в количестве 500 тыс. штук в месяц.</w:t>
      </w:r>
    </w:p>
    <w:p w14:paraId="3D68150C"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12. Обязать Наркома авиационной промышленности т.Ша</w:t>
      </w:r>
      <w:r w:rsidRPr="00A3026E">
        <w:rPr>
          <w:rFonts w:ascii="Times New Roman" w:hAnsi="Times New Roman"/>
          <w:color w:val="0070C0"/>
          <w:sz w:val="16"/>
          <w:szCs w:val="16"/>
        </w:rPr>
        <w:softHyphen/>
        <w:t>хурина выделить заводу 18 для промышленного и жилищно</w:t>
      </w:r>
      <w:r w:rsidRPr="00A3026E">
        <w:rPr>
          <w:rFonts w:ascii="Times New Roman" w:hAnsi="Times New Roman"/>
          <w:color w:val="0070C0"/>
          <w:sz w:val="16"/>
          <w:szCs w:val="16"/>
        </w:rPr>
        <w:softHyphen/>
        <w:t>бытового строительства в 1941 году 30 млн. рублей.</w:t>
      </w:r>
    </w:p>
    <w:p w14:paraId="5CFC52A9"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 Промбанку СССР финансировать строительство заво</w:t>
      </w:r>
      <w:r w:rsidRPr="00A3026E">
        <w:rPr>
          <w:rFonts w:ascii="Times New Roman" w:hAnsi="Times New Roman"/>
          <w:color w:val="0070C0"/>
          <w:sz w:val="16"/>
          <w:szCs w:val="16"/>
        </w:rPr>
        <w:softHyphen/>
        <w:t>да № 18 по проектам и сметам на отдельные объекты и виды работ, утвержлдаемые наркомом авиационной промышленности.</w:t>
      </w:r>
    </w:p>
    <w:p w14:paraId="56FC0D69"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 Обязать Воронежский обком ВКП(б) и исполком Во</w:t>
      </w:r>
      <w:r w:rsidRPr="00A3026E">
        <w:rPr>
          <w:rFonts w:ascii="Times New Roman" w:hAnsi="Times New Roman"/>
          <w:color w:val="0070C0"/>
          <w:sz w:val="16"/>
          <w:szCs w:val="16"/>
        </w:rPr>
        <w:softHyphen/>
        <w:t>ронежского областного Совета депутатов трудящихся обеспе</w:t>
      </w:r>
      <w:r w:rsidRPr="00A3026E">
        <w:rPr>
          <w:rFonts w:ascii="Times New Roman" w:hAnsi="Times New Roman"/>
          <w:color w:val="0070C0"/>
          <w:sz w:val="16"/>
          <w:szCs w:val="16"/>
        </w:rPr>
        <w:softHyphen/>
        <w:t>чить в первую очередь снабжение строительства завода № 18 местными строительными материалами в 1941 г. в пределах полной потребности завода.</w:t>
      </w:r>
    </w:p>
    <w:p w14:paraId="1E9B6431"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 Обязать Наркомат электростанций (т. Леткова):</w:t>
      </w:r>
    </w:p>
    <w:p w14:paraId="4A5F669F"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Полностью и бесперебойно снабжать завод № 18 электрической энергией;</w:t>
      </w:r>
    </w:p>
    <w:p w14:paraId="48F0ABCA"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окончить монтаж 2-х ячеек на открытой подстанции ВОГРЭС 35 квт. и подсоединить фидера с 5 квт.завода № 18, 1-й</w:t>
      </w:r>
      <w:r w:rsidRPr="00A3026E">
        <w:rPr>
          <w:rFonts w:ascii="Times New Roman" w:hAnsi="Times New Roman"/>
          <w:color w:val="0070C0"/>
          <w:sz w:val="16"/>
          <w:szCs w:val="16"/>
        </w:rPr>
        <w:tab/>
        <w:t>к 30 января 1941 года;</w:t>
      </w:r>
    </w:p>
    <w:p w14:paraId="53FB4FE7"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2-й</w:t>
      </w:r>
      <w:r w:rsidRPr="00A3026E">
        <w:rPr>
          <w:rFonts w:ascii="Times New Roman" w:hAnsi="Times New Roman"/>
          <w:color w:val="0070C0"/>
          <w:sz w:val="16"/>
          <w:szCs w:val="16"/>
        </w:rPr>
        <w:tab/>
        <w:t>к 1 марта 1941</w:t>
      </w:r>
    </w:p>
    <w:p w14:paraId="6B3543DB"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 Народному комиссару авиационной промышленности т. Шахурину выделить из фондов НКАП заводу 18 в 1941 г. 250 единиц оборудования, из них 100 единиц в первом квар</w:t>
      </w:r>
      <w:r w:rsidRPr="00A3026E">
        <w:rPr>
          <w:rFonts w:ascii="Times New Roman" w:hAnsi="Times New Roman"/>
          <w:color w:val="0070C0"/>
          <w:sz w:val="16"/>
          <w:szCs w:val="16"/>
        </w:rPr>
        <w:softHyphen/>
        <w:t>тале.</w:t>
      </w:r>
    </w:p>
    <w:p w14:paraId="75791AD2"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 Экономсовету при СНК СССР выделять целевым наз</w:t>
      </w:r>
      <w:r w:rsidRPr="00A3026E">
        <w:rPr>
          <w:rFonts w:ascii="Times New Roman" w:hAnsi="Times New Roman"/>
          <w:color w:val="0070C0"/>
          <w:sz w:val="16"/>
          <w:szCs w:val="16"/>
        </w:rPr>
        <w:softHyphen/>
        <w:t>начением заводу № 18 за счет фондов НКАП: электрооборудо</w:t>
      </w:r>
      <w:r w:rsidRPr="00A3026E">
        <w:rPr>
          <w:rFonts w:ascii="Times New Roman" w:hAnsi="Times New Roman"/>
          <w:color w:val="0070C0"/>
          <w:sz w:val="16"/>
          <w:szCs w:val="16"/>
        </w:rPr>
        <w:softHyphen/>
        <w:t>вание, тяжелую и легкую кабельную продукцию, общезаводское оборудование, строймеханизмы и стройооорудовзние, аэродромное оборудование и строительные материалы.</w:t>
      </w:r>
    </w:p>
    <w:p w14:paraId="4206EAA4"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18. Наркомфину СССР выделить в распоряжение Народно</w:t>
      </w:r>
      <w:r w:rsidRPr="00A3026E">
        <w:rPr>
          <w:rFonts w:ascii="Times New Roman" w:hAnsi="Times New Roman"/>
          <w:color w:val="0070C0"/>
          <w:sz w:val="16"/>
          <w:szCs w:val="16"/>
        </w:rPr>
        <w:softHyphen/>
        <w:t>го комиссара авиапромышленности для завода № 18:</w:t>
      </w:r>
    </w:p>
    <w:p w14:paraId="1E647544"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7 миллионов рублей на постановку производства самолетов</w:t>
      </w:r>
    </w:p>
    <w:p w14:paraId="0EF36375"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3 миллиона рублей на премирование рабочих и ИТР за выполнение программы 1941 г. с выдачей премий поквар</w:t>
      </w:r>
      <w:r w:rsidRPr="00A3026E">
        <w:rPr>
          <w:rFonts w:ascii="Times New Roman" w:hAnsi="Times New Roman"/>
          <w:color w:val="0070C0"/>
          <w:sz w:val="16"/>
          <w:szCs w:val="16"/>
        </w:rPr>
        <w:softHyphen/>
        <w:t>тально .</w:t>
      </w:r>
    </w:p>
    <w:p w14:paraId="2A3B4A5C"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19. В целях обеспечения притока рабочей силы на за</w:t>
      </w:r>
      <w:r w:rsidRPr="00A3026E">
        <w:rPr>
          <w:rFonts w:ascii="Times New Roman" w:hAnsi="Times New Roman"/>
          <w:color w:val="0070C0"/>
          <w:sz w:val="16"/>
          <w:szCs w:val="16"/>
        </w:rPr>
        <w:softHyphen/>
        <w:t>вод № 18 обязать:</w:t>
      </w:r>
    </w:p>
    <w:p w14:paraId="3FA07082"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НКАП выделить заводу на 1941 год ссуду в размере 2 млн. рублей для развития индивидуального жилстроительства</w:t>
      </w:r>
    </w:p>
    <w:p w14:paraId="0908F0D7"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Наркомхозу РСФСР выделить Воронежскому горсовету 10 моторных и 10 прицепных вагонов, усилив трамвайное сообщение между городом и заводом;</w:t>
      </w:r>
    </w:p>
    <w:p w14:paraId="370C11C4"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НКПС (начальнику Юго-Восточной ж/д) перевести сообщение между станциями Ласки-Придача в категорию при</w:t>
      </w:r>
      <w:r w:rsidRPr="00A3026E">
        <w:rPr>
          <w:rFonts w:ascii="Times New Roman" w:hAnsi="Times New Roman"/>
          <w:color w:val="0070C0"/>
          <w:sz w:val="16"/>
          <w:szCs w:val="16"/>
        </w:rPr>
        <w:softHyphen/>
        <w:t>городных города Воронежа и увеличить количество рабочих поездов, изменив расписание их движения в соответствии со сменностью работы на заводе № 18.</w:t>
      </w:r>
    </w:p>
    <w:p w14:paraId="651265BE"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Выписки посланы: тт. Шахурину, Шенкману, Ильюшину</w:t>
      </w:r>
      <w:r w:rsidRPr="00A3026E">
        <w:rPr>
          <w:rFonts w:ascii="Times New Roman" w:hAnsi="Times New Roman"/>
          <w:color w:val="0070C0"/>
          <w:sz w:val="16"/>
          <w:szCs w:val="16"/>
        </w:rPr>
        <w:tab/>
        <w:t>все, НКО,Рычагову,</w:t>
      </w:r>
    </w:p>
    <w:p w14:paraId="0DD60630" w14:textId="77777777" w:rsidR="00A86CD1" w:rsidRPr="00A3026E" w:rsidRDefault="00A86CD1"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Маленкову, Вознесенскому, Ворооилову, Чадаеву - все, Ванникову, Таубину - 5, Ермолаеву - 8, Кагановичу - 10,19в, Гроссману - 12, Воронежский обком ВКП(б) - 10,14,196, Звереву 16, Макарову, Хохлову – 19б, Леткову – 15 (22099).</w:t>
      </w:r>
    </w:p>
    <w:p w14:paraId="66B822F2" w14:textId="77777777" w:rsidR="00A86CD1" w:rsidRPr="00A3026E" w:rsidRDefault="00A86CD1" w:rsidP="00A3026E">
      <w:pPr>
        <w:spacing w:after="0" w:line="240" w:lineRule="auto"/>
        <w:jc w:val="both"/>
        <w:rPr>
          <w:rFonts w:ascii="Times New Roman" w:hAnsi="Times New Roman"/>
          <w:color w:val="0070C0"/>
          <w:sz w:val="16"/>
          <w:szCs w:val="16"/>
        </w:rPr>
      </w:pPr>
    </w:p>
    <w:p w14:paraId="3BE130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вышло Постановление СНК и ЦК N 2497-1117сс, которое обязало НКВ и ОКБ-16 передать к 20 декабря 1940 ГК С.В.И. 2 крыльевых пушки Таубина-Бабурина 23 мм (1316,283).</w:t>
      </w:r>
    </w:p>
    <w:p w14:paraId="48FE53A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FDCB03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10 декабря 1940 г. вышло второе постановление СНК и ЦК ВКП(б) № 2494-1117сс, которое обязывало установить 2 пушки Таубина в крыльях самолета ИЛ-2 со 150 снарядами на каждую пушку, вместо пулеметов Шкас. Пушки должны быть поданы главному конструктору т. Ильюшину к 20 декабря 1940 г.</w:t>
      </w:r>
    </w:p>
    <w:p w14:paraId="306234A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исполнение постановления от 7.12.40 г. завод № 66 на 29 января 1941 г изготовил 5 пушек, но из стали не по чертежу и не по технологии. 3.пушки из этих пяти проходят заводские испытания, а две предназначены к отправке на авиационные заводы как макеты.</w:t>
      </w:r>
    </w:p>
    <w:p w14:paraId="428AEDB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25.1.41 г. заводом составлен на пушку полный альбом чертежей и раз</w:t>
      </w:r>
      <w:r w:rsidRPr="00A3026E">
        <w:rPr>
          <w:rFonts w:ascii="Times New Roman" w:hAnsi="Times New Roman"/>
          <w:color w:val="000000" w:themeColor="text1"/>
          <w:sz w:val="16"/>
          <w:szCs w:val="16"/>
        </w:rPr>
        <w:softHyphen/>
        <w:t>работана технология, а также в основном закончено оснащение производства приспособлениями, инструментом и калибрами по крупным деталям (4156,16).</w:t>
      </w:r>
    </w:p>
    <w:p w14:paraId="66CE79C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A2250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10-11 декабря 1940 года согласно Постановления СНК и ЦК ВКП(б) № 2473-1102с от 7 декабря 1940 года Комиссией под председательством генерал-лейтенанта авиации Астахова, были произведены сравнительные испытания ряда опытных образцов 23 мм и 20 мм бронебойно-зажигательных снарядов и 12,7 мм бронебойно-зажигательных пуль с целью выбора наилучшей конструкции их для запуска в валовое производство.</w:t>
      </w:r>
    </w:p>
    <w:p w14:paraId="3182F1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итоге испытаний установлены следующие конструкции бронебойно-зажигательных снарядов, рекомендуемых Комиссией для запуска их в валовое производство:</w:t>
      </w:r>
    </w:p>
    <w:p w14:paraId="077DBFC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мм бронебойно-зажигательный снаряд конструкции НИИ-24 НКВ. Этот снаряд при стрельбе из 23 мм пушки Таубина-Бабурина по бронеспинкам толщиной в 25 мм показал безотказное действие по броне на боевых дистанциях 200-400 м.</w:t>
      </w:r>
    </w:p>
    <w:p w14:paraId="7E3317E5" w14:textId="77777777" w:rsidR="0014077F" w:rsidRPr="00A3026E" w:rsidRDefault="0014077F" w:rsidP="00A3026E">
      <w:pPr>
        <w:pStyle w:val="22"/>
        <w:widowControl/>
        <w:rPr>
          <w:color w:val="000000" w:themeColor="text1"/>
        </w:rPr>
      </w:pPr>
      <w:r w:rsidRPr="00A3026E">
        <w:rPr>
          <w:color w:val="000000" w:themeColor="text1"/>
        </w:rPr>
        <w:t>При испытание на зажжение бензина выявлено, что снаряд зажигает бензин, находящийся в протектированных бензобаках за 25 мм броней.</w:t>
      </w:r>
    </w:p>
    <w:p w14:paraId="0928AD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78A3EDD9"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 мм бронебойно-зажигательный снаряд конструкции ОКБ-15 со штатным пироксилиновым порохом «ВТ». Этот снаряд при стрельбе по 20 мм гемогенной броне показал, для существующей баллистике пушки ШВАК, вполне удовлетворительное действие на боевых дистанциях 200-400 м.</w:t>
      </w:r>
    </w:p>
    <w:p w14:paraId="43E89E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4E232F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полученные результаты, прошу оба указанных бронебойно-зажигательных снаряда калибров 23 мм и 20 мм принять на вооружение ВВС с содержанием их в комплектах боеприпасов к 23 мм пушке Таубина-Бабурина и 20 мм пушке ШВАК.</w:t>
      </w:r>
    </w:p>
    <w:p w14:paraId="36E893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процессе тех же испытаний комиссия не могла дать заключение по 12,7 мм бронебойно-зажигательной фосфорной пуле из-за недостаточного количества поданных патронов.</w:t>
      </w:r>
    </w:p>
    <w:p w14:paraId="136E9F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Необходимость же в этой пуле объясняется следующим:</w:t>
      </w:r>
    </w:p>
    <w:p w14:paraId="15F4D4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вооружении ВВС сейчас имеются три 12,7 мм пули: а) разрывная пуля МД с хорошим разрывным и зажигательным эффектом; б) бронебойно-зажигательная пуля Б-32 с хорошим бронебойным эффектом (пробивает 15 мм броню на дистанции до 600 метров) и с зажигательным эффектом по бензину, но защищенному броней и в) бронебойно-зажигательная трассирующая пуля БЗТ с более слабым бронебойным действием, чем пуля Б-32, с зажигательным действием как у пули Б-32 и с дополнительным трассирующим действием для пристрелки.</w:t>
      </w:r>
    </w:p>
    <w:p w14:paraId="6C896E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Разрывная пуля с хорошим зажигательным эффектом только сейчас осваивается. Производственной базы для нее не создано и в запасах ее нет.</w:t>
      </w:r>
    </w:p>
    <w:p w14:paraId="6F4F8E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Бронебойно-зажигательная пуля Б-32 и бронебойно-зажигательно-трассирующая пуля БЗТ не обеспечивают зажжения бензина незащищенного броней.</w:t>
      </w:r>
    </w:p>
    <w:p w14:paraId="5A1FD9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бронебойно-зажигательно-трассирующая пуля БЗТ содержится, гл. образом для трассирующего действия; в связи с прекращением заказа на 7,62 мм трассирующие пули, надобность в этой пуле также отпадает. Поэтому до полного разворота производства разрывных пуль МД и накопления их запасов, необходима массовая эффективная 12,7 мм зажигательная пуля. В то же время целесообразно 12,7 мм бронебойно-зажигательно-трассирующую пулю с вооружения ВВС снять (7711, 329-333).</w:t>
      </w:r>
    </w:p>
    <w:p w14:paraId="12F1B98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E671F8C" w14:textId="77777777" w:rsidR="00FE6B04" w:rsidRPr="00A3026E" w:rsidRDefault="00FE6B04"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10 и 11 де</w:t>
      </w:r>
      <w:r w:rsidRPr="00A3026E">
        <w:rPr>
          <w:color w:val="000000" w:themeColor="text1"/>
          <w:sz w:val="16"/>
          <w:szCs w:val="16"/>
        </w:rPr>
        <w:softHyphen/>
        <w:t>кабря 1940 на НИП АВ ВВС государственной комиссией под председательством заместителя начальника ВВС КА генерал-лейтенанта Ф. А. Астахова были проведены сравнительные испытания опытных образцов бронебойно-зажигательных снаря</w:t>
      </w:r>
      <w:r w:rsidRPr="00A3026E">
        <w:rPr>
          <w:color w:val="000000" w:themeColor="text1"/>
          <w:sz w:val="16"/>
          <w:szCs w:val="16"/>
        </w:rPr>
        <w:softHyphen/>
        <w:t>дов калибра 20 и 23 мм с целью выбора наилуч</w:t>
      </w:r>
      <w:r w:rsidRPr="00A3026E">
        <w:rPr>
          <w:color w:val="000000" w:themeColor="text1"/>
          <w:sz w:val="16"/>
          <w:szCs w:val="16"/>
        </w:rPr>
        <w:softHyphen/>
        <w:t>шей конструкции для запуска в валовое произ</w:t>
      </w:r>
      <w:r w:rsidRPr="00A3026E">
        <w:rPr>
          <w:color w:val="000000" w:themeColor="text1"/>
          <w:sz w:val="16"/>
          <w:szCs w:val="16"/>
        </w:rPr>
        <w:softHyphen/>
        <w:t>водство.</w:t>
      </w:r>
    </w:p>
    <w:p w14:paraId="35321DD8" w14:textId="77777777" w:rsidR="00FE6B04" w:rsidRPr="00A3026E" w:rsidRDefault="00FE6B04"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ряду 23-мм боеприпасов наилучшие резуль</w:t>
      </w:r>
      <w:r w:rsidRPr="00A3026E">
        <w:rPr>
          <w:color w:val="000000" w:themeColor="text1"/>
          <w:sz w:val="16"/>
          <w:szCs w:val="16"/>
        </w:rPr>
        <w:softHyphen/>
        <w:t>таты показал снаряд конструкции НИИ-24 НКБ. При стрельбе из пушки ПТБ-23 снаряд показал безотказ</w:t>
      </w:r>
      <w:r w:rsidRPr="00A3026E">
        <w:rPr>
          <w:color w:val="000000" w:themeColor="text1"/>
          <w:sz w:val="16"/>
          <w:szCs w:val="16"/>
        </w:rPr>
        <w:softHyphen/>
        <w:t>ное действие по броне толщиной 25 мм на боевых дистанциях 200—400 м. При этом после пробития брони снаряд уверенно зажигал бензин, находя</w:t>
      </w:r>
      <w:r w:rsidRPr="00A3026E">
        <w:rPr>
          <w:color w:val="000000" w:themeColor="text1"/>
          <w:sz w:val="16"/>
          <w:szCs w:val="16"/>
        </w:rPr>
        <w:softHyphen/>
        <w:t>щийся в протектированном бензобаке.</w:t>
      </w:r>
    </w:p>
    <w:p w14:paraId="5EAFB518" w14:textId="77777777" w:rsidR="00FE6B04" w:rsidRPr="00A3026E" w:rsidRDefault="00FE6B04"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Бронебойно-зажигательный снаряд калибра 20 мм конструкции ОКБ-15 НКВ со штатным пирок</w:t>
      </w:r>
      <w:r w:rsidRPr="00A3026E">
        <w:rPr>
          <w:color w:val="000000" w:themeColor="text1"/>
          <w:sz w:val="16"/>
          <w:szCs w:val="16"/>
        </w:rPr>
        <w:softHyphen/>
        <w:t>силиновым порохом марки ВТ обеспечил пробитие гомогенной брони толщиной 20 мм при стрельбе с дистанции 200 м при нормальном попадании.</w:t>
      </w:r>
    </w:p>
    <w:p w14:paraId="15C33A74" w14:textId="77777777" w:rsidR="00FE6B04" w:rsidRPr="00A3026E" w:rsidRDefault="00FE6B04"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Полученные результаты для существующей баллистики пушек ШВАК и ПТБ-23 комиссия сочла вполне удовлетворительными (17500).</w:t>
      </w:r>
    </w:p>
    <w:p w14:paraId="7DA63AB8" w14:textId="77777777" w:rsidR="00FE6B04" w:rsidRPr="00A3026E" w:rsidRDefault="00FE6B04" w:rsidP="00A3026E">
      <w:pPr>
        <w:spacing w:after="0" w:line="240" w:lineRule="auto"/>
        <w:jc w:val="both"/>
        <w:rPr>
          <w:rFonts w:ascii="Times New Roman" w:eastAsia="Times New Roman" w:hAnsi="Times New Roman"/>
          <w:color w:val="000000" w:themeColor="text1"/>
          <w:sz w:val="16"/>
          <w:szCs w:val="16"/>
          <w:lang w:eastAsia="ru-RU"/>
        </w:rPr>
      </w:pPr>
    </w:p>
    <w:p w14:paraId="6D27A9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вышло постановление СНК, в соответствии с которым заводу поручалось построить в 1941 г. 90 машин ДБ-240, оснащенных дизельными двигателями М-40Ф, с поставкой их, начиная с третьего квартала (3322,15).</w:t>
      </w:r>
    </w:p>
    <w:p w14:paraId="258EC82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1A035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г. заводу № 18 (Завод № 18 ВСНХ, НКТП, ГС ордена Ленина завод № 18 НКОП, Завод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  г. Куйбышев ст. Безымянка/ /443052  г. Самара ул. Псковская, 32 к. 106 тел. 267-35-35/) поручалось в 1941 г. построить 90 машин ДБ-240 с двигателями М-40Ф с поставкой, начиная с Ш-го квартала. Приказом НКАП № 278сс от 10.06.1940 г. заводу № 18 предписали выпустить в текущем году первые 70 Ер-2, а приказом № 330 от 12.04.1941 г. завод обязали прекратить производство ДБ-ЗФ и сосредоточить все внимание на Ер-2 (11982).</w:t>
      </w:r>
    </w:p>
    <w:p w14:paraId="2A2B098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01A09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было принято решение - заводу №18 ставилась задача с 71-й машины перейти на выпуск ДБ-240 с моторами АМ-35А, суммарная взлетная мощность которых на 500 л.с. превосходила мощность двух М-105. В обеспечение этого решения Ермолаеву было приказано срочно переоборудовать первый опытный самолет, установив на нем микулинские двигатели, и к 1 января 1941 г. подготовить весь необходимый комплект чертежей для серийного производства. Кроме того, ОКБ-240 получило задачу к 1 марта 1941 г. изготовить эталон бомбардировщика с дизельными моторами М-40 (рукой Шахурина в документ внесено исправление - "с М-40Ф", т.е. с форсированным вариантом двигателя). На заводские и государственные испытания каждого из вариантов давалось всего по полтора месяца (3322,12).</w:t>
      </w:r>
    </w:p>
    <w:p w14:paraId="11EBD5A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F6F890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10 декабря 1940 года по 29 января 1941 года два экземпляра самолета Як-4 (ББ-22 с 2М-105) постройки завода 81 проходили гос. испытания в НИИ ВВС. Признали, что требованиям ВВС не удовлетворяют. Самолет с мотором М-107 не строился. НКАП ходатайствовала о снятии задания (4048, 4).</w:t>
      </w:r>
    </w:p>
    <w:p w14:paraId="14E8E8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462497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года на испытания были предъявлены опытные образцы самолета Як-4 завода № 81.</w:t>
      </w:r>
    </w:p>
    <w:p w14:paraId="04C6BF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57BDD9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 в/инженер 3 ранга Холопов</w:t>
      </w:r>
    </w:p>
    <w:p w14:paraId="29489E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летчики:</w:t>
      </w:r>
    </w:p>
    <w:p w14:paraId="61FD11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капитан Шеварев</w:t>
      </w:r>
    </w:p>
    <w:p w14:paraId="449BA2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капитан Сыроегин</w:t>
      </w:r>
    </w:p>
    <w:p w14:paraId="21B1A4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371106B1"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Снять летные характеристики на самолете с моторами М-105 и винтами ВИШ-22Е.</w:t>
      </w:r>
    </w:p>
    <w:p w14:paraId="233A920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и дать оценку стрелковому, бомбардировочному вооружению и специальному оборудованию.</w:t>
      </w:r>
    </w:p>
    <w:p w14:paraId="19014607"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основные дефекты самолета и дать оценку качества продукции завода № 81.</w:t>
      </w:r>
    </w:p>
    <w:p w14:paraId="60E83D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 испытаний.</w:t>
      </w:r>
    </w:p>
    <w:p w14:paraId="488A6C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госиспытания приняты 2 самолета ЯК-4 с 2М-105 №№ 70602 и 70603, которые представляют собой модификацию самолета ЯК-2 с моторами М-103.</w:t>
      </w:r>
    </w:p>
    <w:p w14:paraId="017E95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постановления КО № 116 сс от 4 марта 1940 года, самолеты должны были быть построены заводом № 1 к 1 июля 1940 года и иметь данные: максимальная скорость на высоте 5000 м – 590 км/час, посадочная скорость – 130 км/час, потолок 11000 м; дальность – 1200 км на скорости 0,9 от максимальной.</w:t>
      </w:r>
    </w:p>
    <w:p w14:paraId="703193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отличие от Як-2, на Як-4 внесены следующие изменения:</w:t>
      </w:r>
    </w:p>
    <w:p w14:paraId="38F331CB"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Установлены 2 мотора М-105 с редукцией 0,667, винты ВИШ-22Е Д=3м и углами установки 21-41 градус.</w:t>
      </w:r>
    </w:p>
    <w:p w14:paraId="64CA1DF9"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Установлены 2 непротектированных дополнительных бензобака в консолях крыла, общей емкостью 180 л.</w:t>
      </w:r>
    </w:p>
    <w:p w14:paraId="38ECC282"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Предусмотрена установка 2-х подвесных бензобаков емкостью по 100 литров.</w:t>
      </w:r>
    </w:p>
    <w:p w14:paraId="6DEEC207"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Вместо 2-х воздушно-масляных радиаторов 8- и 9-дюймовых, установлен один подковообразный воздушно-масляный радиатор типа ОП-252.</w:t>
      </w:r>
    </w:p>
    <w:p w14:paraId="7B966759"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Установлена система заполнения бензобаков нейтральным газом от баллонов с СО2.</w:t>
      </w:r>
    </w:p>
    <w:p w14:paraId="5407B53F"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Увеличена емкость маслобака до 60 литров и изменена конструкция бака.</w:t>
      </w:r>
    </w:p>
    <w:p w14:paraId="46C10BB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Установлено 2-е управление самолетом в кабине штурмана.</w:t>
      </w:r>
    </w:p>
    <w:p w14:paraId="76EBB03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Установлена новая задняя стрелковая установка штурмана ТСС-1.</w:t>
      </w:r>
    </w:p>
    <w:p w14:paraId="4AD513E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Установлены замки для наружной подвески бомб ФАБ-250.</w:t>
      </w:r>
    </w:p>
    <w:p w14:paraId="6B69C64E"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 размер бомбовых люков, позволяющий подвешивать бомбы калибром 100 кг в фюзеляже без смещения бугеля.</w:t>
      </w:r>
    </w:p>
    <w:p w14:paraId="53E9976B"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Усилена жесткость передней стрелковой установки.</w:t>
      </w:r>
    </w:p>
    <w:p w14:paraId="4362D217"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Освещение приборных досок осуществлено отраженным светом.</w:t>
      </w:r>
    </w:p>
    <w:p w14:paraId="41229D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ускорения получения летных характеристик, самолеты приняты на госиспытания без заводских испытаний. На каждом принятом в НИИ ВВС самолете, заводом сделано по одному полету – перелет в НИИ ВВС.</w:t>
      </w:r>
    </w:p>
    <w:p w14:paraId="680561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Краткий результат испытаний.</w:t>
      </w:r>
    </w:p>
    <w:p w14:paraId="316857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испытании самолета ЯК-4 с нормальным полетным весом (400 кг бомб в люке), с винтами ВИШ-22Е Д=3 м с углами установки 21-41 градус, получены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1682"/>
        <w:gridCol w:w="1842"/>
        <w:gridCol w:w="1843"/>
        <w:gridCol w:w="1843"/>
      </w:tblGrid>
      <w:tr w:rsidR="00983732" w:rsidRPr="00A3026E" w14:paraId="44D447DB" w14:textId="77777777" w:rsidTr="00EA0DA7">
        <w:tc>
          <w:tcPr>
            <w:tcW w:w="2254" w:type="dxa"/>
          </w:tcPr>
          <w:p w14:paraId="0AEA3EA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682" w:type="dxa"/>
          </w:tcPr>
          <w:p w14:paraId="577255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земли</w:t>
            </w:r>
          </w:p>
        </w:tc>
        <w:tc>
          <w:tcPr>
            <w:tcW w:w="1842" w:type="dxa"/>
          </w:tcPr>
          <w:p w14:paraId="583599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3050 м 1-я граница высотности</w:t>
            </w:r>
          </w:p>
        </w:tc>
        <w:tc>
          <w:tcPr>
            <w:tcW w:w="1843" w:type="dxa"/>
          </w:tcPr>
          <w:p w14:paraId="1B3CA2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5050 м 2-я граница высотности</w:t>
            </w:r>
          </w:p>
        </w:tc>
        <w:tc>
          <w:tcPr>
            <w:tcW w:w="1843" w:type="dxa"/>
          </w:tcPr>
          <w:p w14:paraId="002FCC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w:t>
            </w:r>
          </w:p>
        </w:tc>
      </w:tr>
      <w:tr w:rsidR="00983732" w:rsidRPr="00A3026E" w14:paraId="5638AA76" w14:textId="77777777" w:rsidTr="00EA0DA7">
        <w:tc>
          <w:tcPr>
            <w:tcW w:w="2254" w:type="dxa"/>
          </w:tcPr>
          <w:p w14:paraId="1ED56E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самолета при п=2500 об/мин. и Рк=910 мм</w:t>
            </w:r>
          </w:p>
        </w:tc>
        <w:tc>
          <w:tcPr>
            <w:tcW w:w="1682" w:type="dxa"/>
          </w:tcPr>
          <w:p w14:paraId="7CEFD5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458 км/час</w:t>
            </w:r>
          </w:p>
        </w:tc>
        <w:tc>
          <w:tcPr>
            <w:tcW w:w="1842" w:type="dxa"/>
          </w:tcPr>
          <w:p w14:paraId="17D838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518 км/час</w:t>
            </w:r>
          </w:p>
        </w:tc>
        <w:tc>
          <w:tcPr>
            <w:tcW w:w="1843" w:type="dxa"/>
          </w:tcPr>
          <w:p w14:paraId="5CEF30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533 км/час</w:t>
            </w:r>
          </w:p>
        </w:tc>
        <w:tc>
          <w:tcPr>
            <w:tcW w:w="1843" w:type="dxa"/>
          </w:tcPr>
          <w:p w14:paraId="5F1F7E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Наружная подвеска 2-х бомб ФАБ-250 кг уменьшает максимальную скорость в среднем на 30 км/час</w:t>
            </w:r>
          </w:p>
        </w:tc>
      </w:tr>
    </w:tbl>
    <w:p w14:paraId="56F06574" w14:textId="77777777" w:rsidR="0014077F" w:rsidRPr="00A3026E" w:rsidRDefault="0014077F" w:rsidP="00A3026E">
      <w:pPr>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491"/>
        <w:gridCol w:w="1417"/>
        <w:gridCol w:w="1559"/>
        <w:gridCol w:w="1560"/>
        <w:gridCol w:w="1559"/>
      </w:tblGrid>
      <w:tr w:rsidR="00983732" w:rsidRPr="00A3026E" w14:paraId="27104ECE" w14:textId="77777777" w:rsidTr="00EA0DA7">
        <w:tc>
          <w:tcPr>
            <w:tcW w:w="1878" w:type="dxa"/>
          </w:tcPr>
          <w:p w14:paraId="5F7105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Скороподъемность (высота/время в мин.)</w:t>
            </w:r>
          </w:p>
        </w:tc>
        <w:tc>
          <w:tcPr>
            <w:tcW w:w="1491" w:type="dxa"/>
          </w:tcPr>
          <w:p w14:paraId="0DE380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1000/1,3</w:t>
            </w:r>
          </w:p>
        </w:tc>
        <w:tc>
          <w:tcPr>
            <w:tcW w:w="1417" w:type="dxa"/>
          </w:tcPr>
          <w:p w14:paraId="6BD6F1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300/3,7</w:t>
            </w:r>
          </w:p>
        </w:tc>
        <w:tc>
          <w:tcPr>
            <w:tcW w:w="1559" w:type="dxa"/>
          </w:tcPr>
          <w:p w14:paraId="2FFC76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5000/6,5</w:t>
            </w:r>
          </w:p>
        </w:tc>
        <w:tc>
          <w:tcPr>
            <w:tcW w:w="1560" w:type="dxa"/>
          </w:tcPr>
          <w:p w14:paraId="034F58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7000/10,6</w:t>
            </w:r>
          </w:p>
        </w:tc>
        <w:tc>
          <w:tcPr>
            <w:tcW w:w="1559" w:type="dxa"/>
          </w:tcPr>
          <w:p w14:paraId="15F65B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 9700/30</w:t>
            </w:r>
          </w:p>
        </w:tc>
      </w:tr>
    </w:tbl>
    <w:p w14:paraId="37AC0516"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983"/>
        <w:gridCol w:w="992"/>
        <w:gridCol w:w="1134"/>
        <w:gridCol w:w="1134"/>
        <w:gridCol w:w="1134"/>
        <w:gridCol w:w="1134"/>
        <w:gridCol w:w="1134"/>
        <w:gridCol w:w="1276"/>
      </w:tblGrid>
      <w:tr w:rsidR="00983732" w:rsidRPr="00A3026E" w14:paraId="5028E056" w14:textId="77777777" w:rsidTr="00EA0DA7">
        <w:tc>
          <w:tcPr>
            <w:tcW w:w="1252" w:type="dxa"/>
          </w:tcPr>
          <w:p w14:paraId="5D4BE51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983" w:type="dxa"/>
          </w:tcPr>
          <w:p w14:paraId="439FD9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1000 м</w:t>
            </w:r>
          </w:p>
          <w:p w14:paraId="666F93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0,8 макс. = 386 км/час</w:t>
            </w:r>
          </w:p>
        </w:tc>
        <w:tc>
          <w:tcPr>
            <w:tcW w:w="992" w:type="dxa"/>
          </w:tcPr>
          <w:p w14:paraId="616835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1000 м</w:t>
            </w:r>
          </w:p>
          <w:p w14:paraId="75E123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V наивыг. = 320 км/час</w:t>
            </w:r>
          </w:p>
        </w:tc>
        <w:tc>
          <w:tcPr>
            <w:tcW w:w="1134" w:type="dxa"/>
          </w:tcPr>
          <w:p w14:paraId="590DF3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2800 м</w:t>
            </w:r>
          </w:p>
          <w:p w14:paraId="073E4E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0,8 макс. = 412 км/час</w:t>
            </w:r>
          </w:p>
        </w:tc>
        <w:tc>
          <w:tcPr>
            <w:tcW w:w="1134" w:type="dxa"/>
          </w:tcPr>
          <w:p w14:paraId="7C56F0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2800 м</w:t>
            </w:r>
          </w:p>
          <w:p w14:paraId="2E6764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V наивыг. = 340 км/час</w:t>
            </w:r>
          </w:p>
        </w:tc>
        <w:tc>
          <w:tcPr>
            <w:tcW w:w="1134" w:type="dxa"/>
          </w:tcPr>
          <w:p w14:paraId="4F7B56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4600 м</w:t>
            </w:r>
          </w:p>
          <w:p w14:paraId="49AA07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0,8 макс. = 423 км/час</w:t>
            </w:r>
          </w:p>
        </w:tc>
        <w:tc>
          <w:tcPr>
            <w:tcW w:w="1134" w:type="dxa"/>
          </w:tcPr>
          <w:p w14:paraId="1B0123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4600 м</w:t>
            </w:r>
          </w:p>
          <w:p w14:paraId="15C4F7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V наивыг. = 380 км/час</w:t>
            </w:r>
          </w:p>
        </w:tc>
        <w:tc>
          <w:tcPr>
            <w:tcW w:w="1134" w:type="dxa"/>
          </w:tcPr>
          <w:p w14:paraId="405DB4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6200 м</w:t>
            </w:r>
          </w:p>
          <w:p w14:paraId="65DDF0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0,8 макс. = 416 км/час</w:t>
            </w:r>
          </w:p>
        </w:tc>
        <w:tc>
          <w:tcPr>
            <w:tcW w:w="1276" w:type="dxa"/>
          </w:tcPr>
          <w:p w14:paraId="0E71F3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6200 м</w:t>
            </w:r>
          </w:p>
          <w:p w14:paraId="449CD8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V наивыг. = 380 км/час</w:t>
            </w:r>
          </w:p>
        </w:tc>
      </w:tr>
      <w:tr w:rsidR="00983732" w:rsidRPr="00A3026E" w14:paraId="1FF114BD" w14:textId="77777777" w:rsidTr="00EA0DA7">
        <w:tc>
          <w:tcPr>
            <w:tcW w:w="1252" w:type="dxa"/>
          </w:tcPr>
          <w:p w14:paraId="4B33294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(до полного выгорания горючего) при 2600 об/мин.</w:t>
            </w:r>
          </w:p>
        </w:tc>
        <w:tc>
          <w:tcPr>
            <w:tcW w:w="983" w:type="dxa"/>
          </w:tcPr>
          <w:p w14:paraId="04C40B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705</w:t>
            </w:r>
          </w:p>
        </w:tc>
        <w:tc>
          <w:tcPr>
            <w:tcW w:w="992" w:type="dxa"/>
          </w:tcPr>
          <w:p w14:paraId="6FEF4F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925</w:t>
            </w:r>
          </w:p>
        </w:tc>
        <w:tc>
          <w:tcPr>
            <w:tcW w:w="1134" w:type="dxa"/>
          </w:tcPr>
          <w:p w14:paraId="4ACB46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810</w:t>
            </w:r>
          </w:p>
        </w:tc>
        <w:tc>
          <w:tcPr>
            <w:tcW w:w="1134" w:type="dxa"/>
          </w:tcPr>
          <w:p w14:paraId="734BA1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910</w:t>
            </w:r>
          </w:p>
        </w:tc>
        <w:tc>
          <w:tcPr>
            <w:tcW w:w="1134" w:type="dxa"/>
          </w:tcPr>
          <w:p w14:paraId="376EC7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880</w:t>
            </w:r>
          </w:p>
        </w:tc>
        <w:tc>
          <w:tcPr>
            <w:tcW w:w="1134" w:type="dxa"/>
          </w:tcPr>
          <w:p w14:paraId="2FD7B2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925</w:t>
            </w:r>
          </w:p>
        </w:tc>
        <w:tc>
          <w:tcPr>
            <w:tcW w:w="1134" w:type="dxa"/>
          </w:tcPr>
          <w:p w14:paraId="00E835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775</w:t>
            </w:r>
          </w:p>
        </w:tc>
        <w:tc>
          <w:tcPr>
            <w:tcW w:w="1276" w:type="dxa"/>
          </w:tcPr>
          <w:p w14:paraId="675AC2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790</w:t>
            </w:r>
          </w:p>
        </w:tc>
      </w:tr>
      <w:tr w:rsidR="00983732" w:rsidRPr="00A3026E" w14:paraId="5BD189E0" w14:textId="77777777" w:rsidTr="00EA0DA7">
        <w:tc>
          <w:tcPr>
            <w:tcW w:w="1252" w:type="dxa"/>
          </w:tcPr>
          <w:p w14:paraId="7EB54D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Практическая дальность (с запасом горючего и смазочного …) при 2600 об/мин.</w:t>
            </w:r>
          </w:p>
        </w:tc>
        <w:tc>
          <w:tcPr>
            <w:tcW w:w="983" w:type="dxa"/>
          </w:tcPr>
          <w:p w14:paraId="0C76CC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563</w:t>
            </w:r>
          </w:p>
        </w:tc>
        <w:tc>
          <w:tcPr>
            <w:tcW w:w="992" w:type="dxa"/>
          </w:tcPr>
          <w:p w14:paraId="447EDE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740</w:t>
            </w:r>
          </w:p>
        </w:tc>
        <w:tc>
          <w:tcPr>
            <w:tcW w:w="1134" w:type="dxa"/>
          </w:tcPr>
          <w:p w14:paraId="521A40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648</w:t>
            </w:r>
          </w:p>
        </w:tc>
        <w:tc>
          <w:tcPr>
            <w:tcW w:w="1134" w:type="dxa"/>
          </w:tcPr>
          <w:p w14:paraId="54198D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728</w:t>
            </w:r>
          </w:p>
        </w:tc>
        <w:tc>
          <w:tcPr>
            <w:tcW w:w="1134" w:type="dxa"/>
          </w:tcPr>
          <w:p w14:paraId="734C6A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705</w:t>
            </w:r>
          </w:p>
        </w:tc>
        <w:tc>
          <w:tcPr>
            <w:tcW w:w="1134" w:type="dxa"/>
          </w:tcPr>
          <w:p w14:paraId="558C54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740</w:t>
            </w:r>
          </w:p>
        </w:tc>
        <w:tc>
          <w:tcPr>
            <w:tcW w:w="1134" w:type="dxa"/>
          </w:tcPr>
          <w:p w14:paraId="03966B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620</w:t>
            </w:r>
          </w:p>
        </w:tc>
        <w:tc>
          <w:tcPr>
            <w:tcW w:w="1276" w:type="dxa"/>
          </w:tcPr>
          <w:p w14:paraId="3CA688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w:t>
            </w:r>
          </w:p>
        </w:tc>
      </w:tr>
    </w:tbl>
    <w:p w14:paraId="10A32B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взлетно-посадочных свойств самолета, приведенных к стандартным условиям. Полетный вес – 6115 кг.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394"/>
        <w:gridCol w:w="2268"/>
        <w:gridCol w:w="2410"/>
      </w:tblGrid>
      <w:tr w:rsidR="00983732" w:rsidRPr="00A3026E" w14:paraId="070F84D2" w14:textId="77777777" w:rsidTr="00EA0DA7">
        <w:tc>
          <w:tcPr>
            <w:tcW w:w="2817" w:type="dxa"/>
          </w:tcPr>
          <w:p w14:paraId="5EC867C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394" w:type="dxa"/>
          </w:tcPr>
          <w:p w14:paraId="4942F3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 или пробега м</w:t>
            </w:r>
          </w:p>
        </w:tc>
        <w:tc>
          <w:tcPr>
            <w:tcW w:w="2268" w:type="dxa"/>
          </w:tcPr>
          <w:p w14:paraId="289567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разбега или пробега сек.</w:t>
            </w:r>
          </w:p>
        </w:tc>
        <w:tc>
          <w:tcPr>
            <w:tcW w:w="2410" w:type="dxa"/>
          </w:tcPr>
          <w:p w14:paraId="06BFCC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отрыва или посадочная скорость км/час.</w:t>
            </w:r>
          </w:p>
        </w:tc>
      </w:tr>
      <w:tr w:rsidR="00983732" w:rsidRPr="00A3026E" w14:paraId="50A1C8E7" w14:textId="77777777" w:rsidTr="00EA0DA7">
        <w:tc>
          <w:tcPr>
            <w:tcW w:w="2817" w:type="dxa"/>
          </w:tcPr>
          <w:p w14:paraId="796723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 – щитки убраны</w:t>
            </w:r>
          </w:p>
        </w:tc>
        <w:tc>
          <w:tcPr>
            <w:tcW w:w="2394" w:type="dxa"/>
          </w:tcPr>
          <w:p w14:paraId="04D88C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w:t>
            </w:r>
          </w:p>
        </w:tc>
        <w:tc>
          <w:tcPr>
            <w:tcW w:w="2268" w:type="dxa"/>
          </w:tcPr>
          <w:p w14:paraId="029CF1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16,9</w:t>
            </w:r>
          </w:p>
        </w:tc>
        <w:tc>
          <w:tcPr>
            <w:tcW w:w="2410" w:type="dxa"/>
          </w:tcPr>
          <w:p w14:paraId="59F615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156,5</w:t>
            </w:r>
          </w:p>
        </w:tc>
      </w:tr>
      <w:tr w:rsidR="00983732" w:rsidRPr="00A3026E" w14:paraId="76EEF899" w14:textId="77777777" w:rsidTr="00EA0DA7">
        <w:tc>
          <w:tcPr>
            <w:tcW w:w="2817" w:type="dxa"/>
          </w:tcPr>
          <w:p w14:paraId="69A514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 – щитки выпущены на 14 градусов</w:t>
            </w:r>
          </w:p>
        </w:tc>
        <w:tc>
          <w:tcPr>
            <w:tcW w:w="2394" w:type="dxa"/>
          </w:tcPr>
          <w:p w14:paraId="7D10FA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442</w:t>
            </w:r>
          </w:p>
        </w:tc>
        <w:tc>
          <w:tcPr>
            <w:tcW w:w="2268" w:type="dxa"/>
          </w:tcPr>
          <w:p w14:paraId="0F68AA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w:t>
            </w:r>
          </w:p>
        </w:tc>
        <w:tc>
          <w:tcPr>
            <w:tcW w:w="2410" w:type="dxa"/>
          </w:tcPr>
          <w:p w14:paraId="3D656C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143,5</w:t>
            </w:r>
          </w:p>
        </w:tc>
      </w:tr>
      <w:tr w:rsidR="00983732" w:rsidRPr="00A3026E" w14:paraId="2B074786" w14:textId="77777777" w:rsidTr="00EA0DA7">
        <w:tc>
          <w:tcPr>
            <w:tcW w:w="2817" w:type="dxa"/>
          </w:tcPr>
          <w:p w14:paraId="48C409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 – щитки убраны с форсажем</w:t>
            </w:r>
          </w:p>
        </w:tc>
        <w:tc>
          <w:tcPr>
            <w:tcW w:w="2394" w:type="dxa"/>
          </w:tcPr>
          <w:p w14:paraId="23AE7B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414</w:t>
            </w:r>
          </w:p>
        </w:tc>
        <w:tc>
          <w:tcPr>
            <w:tcW w:w="2268" w:type="dxa"/>
          </w:tcPr>
          <w:p w14:paraId="77BD0B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c>
          <w:tcPr>
            <w:tcW w:w="2410" w:type="dxa"/>
          </w:tcPr>
          <w:p w14:paraId="2A5F74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154</w:t>
            </w:r>
          </w:p>
        </w:tc>
      </w:tr>
      <w:tr w:rsidR="00983732" w:rsidRPr="00A3026E" w14:paraId="5258984B" w14:textId="77777777" w:rsidTr="00EA0DA7">
        <w:tc>
          <w:tcPr>
            <w:tcW w:w="2817" w:type="dxa"/>
          </w:tcPr>
          <w:p w14:paraId="514FB4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Посадка со щитками и тормозами при полетном весе 6115 кг (бомбы внутри фюзеляжа)</w:t>
            </w:r>
          </w:p>
        </w:tc>
        <w:tc>
          <w:tcPr>
            <w:tcW w:w="2394" w:type="dxa"/>
          </w:tcPr>
          <w:p w14:paraId="79D21D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496</w:t>
            </w:r>
          </w:p>
        </w:tc>
        <w:tc>
          <w:tcPr>
            <w:tcW w:w="2268" w:type="dxa"/>
          </w:tcPr>
          <w:p w14:paraId="0CBE84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21,7</w:t>
            </w:r>
          </w:p>
        </w:tc>
        <w:tc>
          <w:tcPr>
            <w:tcW w:w="2410" w:type="dxa"/>
          </w:tcPr>
          <w:p w14:paraId="03EA66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140,5</w:t>
            </w:r>
          </w:p>
        </w:tc>
      </w:tr>
      <w:tr w:rsidR="00983732" w:rsidRPr="00A3026E" w14:paraId="56DB0337" w14:textId="77777777" w:rsidTr="00EA0DA7">
        <w:tc>
          <w:tcPr>
            <w:tcW w:w="2817" w:type="dxa"/>
          </w:tcPr>
          <w:p w14:paraId="2BD764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Посадки со щитками и тормозами без бомб внутри</w:t>
            </w:r>
          </w:p>
        </w:tc>
        <w:tc>
          <w:tcPr>
            <w:tcW w:w="2394" w:type="dxa"/>
          </w:tcPr>
          <w:p w14:paraId="012C6C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w:t>
            </w:r>
          </w:p>
        </w:tc>
        <w:tc>
          <w:tcPr>
            <w:tcW w:w="2268" w:type="dxa"/>
          </w:tcPr>
          <w:p w14:paraId="203F88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w:t>
            </w:r>
          </w:p>
        </w:tc>
        <w:tc>
          <w:tcPr>
            <w:tcW w:w="2410" w:type="dxa"/>
          </w:tcPr>
          <w:p w14:paraId="405D50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137</w:t>
            </w:r>
          </w:p>
        </w:tc>
      </w:tr>
      <w:tr w:rsidR="00983732" w:rsidRPr="00A3026E" w14:paraId="7667CA4E" w14:textId="77777777" w:rsidTr="00EA0DA7">
        <w:tc>
          <w:tcPr>
            <w:tcW w:w="2817" w:type="dxa"/>
          </w:tcPr>
          <w:p w14:paraId="2B1744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Посадка без щитков и тормозов без бомб</w:t>
            </w:r>
          </w:p>
        </w:tc>
        <w:tc>
          <w:tcPr>
            <w:tcW w:w="2394" w:type="dxa"/>
          </w:tcPr>
          <w:p w14:paraId="369F3B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1141</w:t>
            </w:r>
          </w:p>
        </w:tc>
        <w:tc>
          <w:tcPr>
            <w:tcW w:w="2268" w:type="dxa"/>
          </w:tcPr>
          <w:p w14:paraId="15AB3C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55,3</w:t>
            </w:r>
          </w:p>
        </w:tc>
        <w:tc>
          <w:tcPr>
            <w:tcW w:w="2410" w:type="dxa"/>
          </w:tcPr>
          <w:p w14:paraId="65407F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151</w:t>
            </w:r>
          </w:p>
        </w:tc>
      </w:tr>
      <w:tr w:rsidR="00983732" w:rsidRPr="00A3026E" w14:paraId="4DC1D4E9" w14:textId="77777777" w:rsidTr="00EA0DA7">
        <w:tc>
          <w:tcPr>
            <w:tcW w:w="2817" w:type="dxa"/>
          </w:tcPr>
          <w:p w14:paraId="06C901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Посадки со щитками без тормозов, без бомб</w:t>
            </w:r>
          </w:p>
        </w:tc>
        <w:tc>
          <w:tcPr>
            <w:tcW w:w="2394" w:type="dxa"/>
          </w:tcPr>
          <w:p w14:paraId="685526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873</w:t>
            </w:r>
          </w:p>
        </w:tc>
        <w:tc>
          <w:tcPr>
            <w:tcW w:w="2268" w:type="dxa"/>
          </w:tcPr>
          <w:p w14:paraId="25C035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w:t>
            </w:r>
          </w:p>
        </w:tc>
        <w:tc>
          <w:tcPr>
            <w:tcW w:w="2410" w:type="dxa"/>
          </w:tcPr>
          <w:p w14:paraId="59D4A4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136</w:t>
            </w:r>
          </w:p>
        </w:tc>
      </w:tr>
    </w:tbl>
    <w:p w14:paraId="2011C3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аэродрома: снежный покров, укатанный, толщина – 7-8 см</w:t>
      </w:r>
    </w:p>
    <w:p w14:paraId="647618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госиспытаний выполнено – 58 полетов</w:t>
      </w:r>
    </w:p>
    <w:p w14:paraId="2184BA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Налет – 24 часа 55 минут</w:t>
      </w:r>
    </w:p>
    <w:p w14:paraId="7BE477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Сравнительная таблица летных данных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491"/>
        <w:gridCol w:w="1559"/>
        <w:gridCol w:w="1559"/>
        <w:gridCol w:w="1559"/>
        <w:gridCol w:w="1701"/>
      </w:tblGrid>
      <w:tr w:rsidR="00983732" w:rsidRPr="00A3026E" w14:paraId="74088297" w14:textId="77777777" w:rsidTr="00EA0DA7">
        <w:tc>
          <w:tcPr>
            <w:tcW w:w="1878" w:type="dxa"/>
          </w:tcPr>
          <w:p w14:paraId="06C64D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данных</w:t>
            </w:r>
          </w:p>
        </w:tc>
        <w:tc>
          <w:tcPr>
            <w:tcW w:w="1491" w:type="dxa"/>
          </w:tcPr>
          <w:p w14:paraId="0092CE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ЯК-4</w:t>
            </w:r>
          </w:p>
        </w:tc>
        <w:tc>
          <w:tcPr>
            <w:tcW w:w="1559" w:type="dxa"/>
          </w:tcPr>
          <w:p w14:paraId="1B0D31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w:t>
            </w:r>
          </w:p>
        </w:tc>
        <w:tc>
          <w:tcPr>
            <w:tcW w:w="1559" w:type="dxa"/>
          </w:tcPr>
          <w:p w14:paraId="6421AB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Ар-2</w:t>
            </w:r>
          </w:p>
        </w:tc>
        <w:tc>
          <w:tcPr>
            <w:tcW w:w="1559" w:type="dxa"/>
          </w:tcPr>
          <w:p w14:paraId="7AAA34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Ме-110</w:t>
            </w:r>
          </w:p>
        </w:tc>
        <w:tc>
          <w:tcPr>
            <w:tcW w:w="1701" w:type="dxa"/>
          </w:tcPr>
          <w:p w14:paraId="6EB36A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w:t>
            </w:r>
          </w:p>
        </w:tc>
      </w:tr>
      <w:tr w:rsidR="00983732" w:rsidRPr="00A3026E" w14:paraId="16DAB15C" w14:textId="77777777" w:rsidTr="00EA0DA7">
        <w:tc>
          <w:tcPr>
            <w:tcW w:w="1878" w:type="dxa"/>
          </w:tcPr>
          <w:p w14:paraId="0586C4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1491" w:type="dxa"/>
          </w:tcPr>
          <w:p w14:paraId="1E3046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2М-105</w:t>
            </w:r>
          </w:p>
        </w:tc>
        <w:tc>
          <w:tcPr>
            <w:tcW w:w="1559" w:type="dxa"/>
          </w:tcPr>
          <w:p w14:paraId="3D2067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2М-105</w:t>
            </w:r>
          </w:p>
        </w:tc>
        <w:tc>
          <w:tcPr>
            <w:tcW w:w="1559" w:type="dxa"/>
          </w:tcPr>
          <w:p w14:paraId="1F28A7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2М-105</w:t>
            </w:r>
          </w:p>
        </w:tc>
        <w:tc>
          <w:tcPr>
            <w:tcW w:w="1559" w:type="dxa"/>
          </w:tcPr>
          <w:p w14:paraId="75C01C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2АВ-601А</w:t>
            </w:r>
          </w:p>
        </w:tc>
        <w:tc>
          <w:tcPr>
            <w:tcW w:w="1701" w:type="dxa"/>
          </w:tcPr>
          <w:p w14:paraId="6610355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71BCEDE" w14:textId="77777777" w:rsidTr="00EA0DA7">
        <w:tc>
          <w:tcPr>
            <w:tcW w:w="1878" w:type="dxa"/>
          </w:tcPr>
          <w:p w14:paraId="5ED2C1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 (взлет л.с.)</w:t>
            </w:r>
          </w:p>
        </w:tc>
        <w:tc>
          <w:tcPr>
            <w:tcW w:w="1491" w:type="dxa"/>
          </w:tcPr>
          <w:p w14:paraId="565EFC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1559" w:type="dxa"/>
          </w:tcPr>
          <w:p w14:paraId="1502CA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1559" w:type="dxa"/>
          </w:tcPr>
          <w:p w14:paraId="271AB6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1559" w:type="dxa"/>
          </w:tcPr>
          <w:p w14:paraId="46EAFA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1175</w:t>
            </w:r>
          </w:p>
        </w:tc>
        <w:tc>
          <w:tcPr>
            <w:tcW w:w="1701" w:type="dxa"/>
          </w:tcPr>
          <w:p w14:paraId="3F8F4A2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881A8FB" w14:textId="77777777" w:rsidTr="00EA0DA7">
        <w:tc>
          <w:tcPr>
            <w:tcW w:w="1878" w:type="dxa"/>
          </w:tcPr>
          <w:p w14:paraId="00DC16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1491" w:type="dxa"/>
          </w:tcPr>
          <w:p w14:paraId="165DF6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ВИШ-22Е</w:t>
            </w:r>
          </w:p>
        </w:tc>
        <w:tc>
          <w:tcPr>
            <w:tcW w:w="1559" w:type="dxa"/>
          </w:tcPr>
          <w:p w14:paraId="2DBA4A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ВИШ-22Е</w:t>
            </w:r>
          </w:p>
        </w:tc>
        <w:tc>
          <w:tcPr>
            <w:tcW w:w="1559" w:type="dxa"/>
          </w:tcPr>
          <w:p w14:paraId="5EB6FB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ВИШ-22Е</w:t>
            </w:r>
          </w:p>
        </w:tc>
        <w:tc>
          <w:tcPr>
            <w:tcW w:w="1559" w:type="dxa"/>
          </w:tcPr>
          <w:p w14:paraId="2CEA60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701" w:type="dxa"/>
          </w:tcPr>
          <w:p w14:paraId="367F9B9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3279AD18" w14:textId="77777777" w:rsidTr="00EA0DA7">
        <w:tc>
          <w:tcPr>
            <w:tcW w:w="1878" w:type="dxa"/>
          </w:tcPr>
          <w:p w14:paraId="013C81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самолета</w:t>
            </w:r>
          </w:p>
        </w:tc>
        <w:tc>
          <w:tcPr>
            <w:tcW w:w="1491" w:type="dxa"/>
          </w:tcPr>
          <w:p w14:paraId="0951F5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4560</w:t>
            </w:r>
          </w:p>
        </w:tc>
        <w:tc>
          <w:tcPr>
            <w:tcW w:w="1559" w:type="dxa"/>
          </w:tcPr>
          <w:p w14:paraId="284FD8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5840</w:t>
            </w:r>
          </w:p>
        </w:tc>
        <w:tc>
          <w:tcPr>
            <w:tcW w:w="1559" w:type="dxa"/>
          </w:tcPr>
          <w:p w14:paraId="1A2AAA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5106</w:t>
            </w:r>
          </w:p>
        </w:tc>
        <w:tc>
          <w:tcPr>
            <w:tcW w:w="1559" w:type="dxa"/>
          </w:tcPr>
          <w:p w14:paraId="71CD78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5020</w:t>
            </w:r>
          </w:p>
        </w:tc>
        <w:tc>
          <w:tcPr>
            <w:tcW w:w="1701" w:type="dxa"/>
          </w:tcPr>
          <w:p w14:paraId="7286A520"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E06EC1F" w14:textId="77777777" w:rsidTr="00EA0DA7">
        <w:tc>
          <w:tcPr>
            <w:tcW w:w="1878" w:type="dxa"/>
          </w:tcPr>
          <w:p w14:paraId="00F23D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Нормальный полетный вес</w:t>
            </w:r>
          </w:p>
        </w:tc>
        <w:tc>
          <w:tcPr>
            <w:tcW w:w="1491" w:type="dxa"/>
          </w:tcPr>
          <w:p w14:paraId="683E56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6115</w:t>
            </w:r>
          </w:p>
        </w:tc>
        <w:tc>
          <w:tcPr>
            <w:tcW w:w="1559" w:type="dxa"/>
          </w:tcPr>
          <w:p w14:paraId="3A7C2B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7560</w:t>
            </w:r>
          </w:p>
        </w:tc>
        <w:tc>
          <w:tcPr>
            <w:tcW w:w="1559" w:type="dxa"/>
          </w:tcPr>
          <w:p w14:paraId="488C73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6660</w:t>
            </w:r>
          </w:p>
        </w:tc>
        <w:tc>
          <w:tcPr>
            <w:tcW w:w="1559" w:type="dxa"/>
          </w:tcPr>
          <w:p w14:paraId="4F4936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6510</w:t>
            </w:r>
          </w:p>
        </w:tc>
        <w:tc>
          <w:tcPr>
            <w:tcW w:w="1701" w:type="dxa"/>
          </w:tcPr>
          <w:p w14:paraId="46BCA4B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6CDA0886" w14:textId="77777777" w:rsidTr="00EA0DA7">
        <w:tc>
          <w:tcPr>
            <w:tcW w:w="1878" w:type="dxa"/>
          </w:tcPr>
          <w:p w14:paraId="7A9D48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Предельный полетный вес</w:t>
            </w:r>
          </w:p>
        </w:tc>
        <w:tc>
          <w:tcPr>
            <w:tcW w:w="1491" w:type="dxa"/>
          </w:tcPr>
          <w:p w14:paraId="7EF68E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6615</w:t>
            </w:r>
          </w:p>
        </w:tc>
        <w:tc>
          <w:tcPr>
            <w:tcW w:w="1559" w:type="dxa"/>
          </w:tcPr>
          <w:p w14:paraId="53D29A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8500</w:t>
            </w:r>
          </w:p>
        </w:tc>
        <w:tc>
          <w:tcPr>
            <w:tcW w:w="1559" w:type="dxa"/>
          </w:tcPr>
          <w:p w14:paraId="5187D7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8150</w:t>
            </w:r>
          </w:p>
        </w:tc>
        <w:tc>
          <w:tcPr>
            <w:tcW w:w="1559" w:type="dxa"/>
          </w:tcPr>
          <w:p w14:paraId="636026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701" w:type="dxa"/>
          </w:tcPr>
          <w:p w14:paraId="7AC4D98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E6EA366" w14:textId="77777777" w:rsidTr="00EA0DA7">
        <w:tc>
          <w:tcPr>
            <w:tcW w:w="1878" w:type="dxa"/>
          </w:tcPr>
          <w:p w14:paraId="0385FF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на кв. метр</w:t>
            </w:r>
          </w:p>
        </w:tc>
        <w:tc>
          <w:tcPr>
            <w:tcW w:w="1491" w:type="dxa"/>
          </w:tcPr>
          <w:p w14:paraId="46B636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208/225</w:t>
            </w:r>
          </w:p>
        </w:tc>
        <w:tc>
          <w:tcPr>
            <w:tcW w:w="1559" w:type="dxa"/>
          </w:tcPr>
          <w:p w14:paraId="575C5F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185/208</w:t>
            </w:r>
          </w:p>
        </w:tc>
        <w:tc>
          <w:tcPr>
            <w:tcW w:w="1559" w:type="dxa"/>
          </w:tcPr>
          <w:p w14:paraId="0DD4AE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139/170</w:t>
            </w:r>
          </w:p>
        </w:tc>
        <w:tc>
          <w:tcPr>
            <w:tcW w:w="1559" w:type="dxa"/>
          </w:tcPr>
          <w:p w14:paraId="3324A8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1701" w:type="dxa"/>
          </w:tcPr>
          <w:p w14:paraId="205455D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4DF171F" w14:textId="77777777" w:rsidTr="00EA0DA7">
        <w:tc>
          <w:tcPr>
            <w:tcW w:w="1878" w:type="dxa"/>
          </w:tcPr>
          <w:p w14:paraId="557F6F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на л.с.</w:t>
            </w:r>
          </w:p>
        </w:tc>
        <w:tc>
          <w:tcPr>
            <w:tcW w:w="1491" w:type="dxa"/>
          </w:tcPr>
          <w:p w14:paraId="14D313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2,9/3,15</w:t>
            </w:r>
          </w:p>
        </w:tc>
        <w:tc>
          <w:tcPr>
            <w:tcW w:w="1559" w:type="dxa"/>
          </w:tcPr>
          <w:p w14:paraId="009BD7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3,6/4,05</w:t>
            </w:r>
          </w:p>
        </w:tc>
        <w:tc>
          <w:tcPr>
            <w:tcW w:w="1559" w:type="dxa"/>
          </w:tcPr>
          <w:p w14:paraId="75B43E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3,6/4,05</w:t>
            </w:r>
          </w:p>
        </w:tc>
        <w:tc>
          <w:tcPr>
            <w:tcW w:w="1559" w:type="dxa"/>
          </w:tcPr>
          <w:p w14:paraId="1EC513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1701" w:type="dxa"/>
          </w:tcPr>
          <w:p w14:paraId="0992193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AC43360" w14:textId="77777777" w:rsidTr="00EA0DA7">
        <w:tc>
          <w:tcPr>
            <w:tcW w:w="1878" w:type="dxa"/>
          </w:tcPr>
          <w:p w14:paraId="3D86D1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w:t>
            </w:r>
          </w:p>
        </w:tc>
        <w:tc>
          <w:tcPr>
            <w:tcW w:w="1491" w:type="dxa"/>
          </w:tcPr>
          <w:p w14:paraId="782237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1559" w:type="dxa"/>
          </w:tcPr>
          <w:p w14:paraId="53C5D5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1559" w:type="dxa"/>
          </w:tcPr>
          <w:p w14:paraId="67A617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1559" w:type="dxa"/>
          </w:tcPr>
          <w:p w14:paraId="69CFCB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1701" w:type="dxa"/>
          </w:tcPr>
          <w:p w14:paraId="63C795A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5836E84" w14:textId="77777777" w:rsidTr="00EA0DA7">
        <w:tc>
          <w:tcPr>
            <w:tcW w:w="1878" w:type="dxa"/>
          </w:tcPr>
          <w:p w14:paraId="53F3ED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Емкость бензобаков</w:t>
            </w:r>
          </w:p>
        </w:tc>
        <w:tc>
          <w:tcPr>
            <w:tcW w:w="1491" w:type="dxa"/>
          </w:tcPr>
          <w:p w14:paraId="4FF1CC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w:t>
            </w:r>
          </w:p>
        </w:tc>
        <w:tc>
          <w:tcPr>
            <w:tcW w:w="1559" w:type="dxa"/>
          </w:tcPr>
          <w:p w14:paraId="0A4AD5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1559" w:type="dxa"/>
          </w:tcPr>
          <w:p w14:paraId="73E1E1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1450</w:t>
            </w:r>
          </w:p>
        </w:tc>
        <w:tc>
          <w:tcPr>
            <w:tcW w:w="1559" w:type="dxa"/>
          </w:tcPr>
          <w:p w14:paraId="3B9926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1280</w:t>
            </w:r>
          </w:p>
        </w:tc>
        <w:tc>
          <w:tcPr>
            <w:tcW w:w="1701" w:type="dxa"/>
          </w:tcPr>
          <w:p w14:paraId="7D77BC6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BB043AB" w14:textId="77777777" w:rsidTr="00EA0DA7">
        <w:tc>
          <w:tcPr>
            <w:tcW w:w="1878" w:type="dxa"/>
          </w:tcPr>
          <w:p w14:paraId="4E33B9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горизонтальная скорость км/час</w:t>
            </w:r>
          </w:p>
          <w:p w14:paraId="31665E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 земли</w:t>
            </w:r>
          </w:p>
          <w:p w14:paraId="3F3270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 1-й границе высотности</w:t>
            </w:r>
          </w:p>
          <w:p w14:paraId="0D1AD0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 2-й границе высотности</w:t>
            </w:r>
          </w:p>
        </w:tc>
        <w:tc>
          <w:tcPr>
            <w:tcW w:w="1491" w:type="dxa"/>
          </w:tcPr>
          <w:p w14:paraId="58AE7B6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8C1890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3B253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458</w:t>
            </w:r>
          </w:p>
          <w:p w14:paraId="1B4557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518/3050</w:t>
            </w:r>
          </w:p>
          <w:p w14:paraId="4E38ECB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8DDC7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533/5050*</w:t>
            </w:r>
          </w:p>
        </w:tc>
        <w:tc>
          <w:tcPr>
            <w:tcW w:w="1559" w:type="dxa"/>
          </w:tcPr>
          <w:p w14:paraId="6F359B3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691616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251A7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452</w:t>
            </w:r>
          </w:p>
          <w:p w14:paraId="519664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316/3000</w:t>
            </w:r>
          </w:p>
          <w:p w14:paraId="118A3D8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F66BA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540/5100</w:t>
            </w:r>
          </w:p>
          <w:p w14:paraId="23007C2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559" w:type="dxa"/>
          </w:tcPr>
          <w:p w14:paraId="64A6D18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EC13C8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63CC7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w:t>
            </w:r>
          </w:p>
          <w:p w14:paraId="64BEC1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450/2600</w:t>
            </w:r>
          </w:p>
          <w:p w14:paraId="051D03A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521EA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475/4700</w:t>
            </w:r>
          </w:p>
        </w:tc>
        <w:tc>
          <w:tcPr>
            <w:tcW w:w="1559" w:type="dxa"/>
          </w:tcPr>
          <w:p w14:paraId="411B9F2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BB667A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FB23C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442</w:t>
            </w:r>
          </w:p>
          <w:p w14:paraId="73CD3F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2406854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93398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525/4600</w:t>
            </w:r>
          </w:p>
        </w:tc>
        <w:tc>
          <w:tcPr>
            <w:tcW w:w="1701" w:type="dxa"/>
          </w:tcPr>
          <w:p w14:paraId="3B5E4C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 постановлению КО № 116 от 4 марта 1940 года максимальная скорость 590/5000 и потолок 11000 м</w:t>
            </w:r>
          </w:p>
        </w:tc>
      </w:tr>
      <w:tr w:rsidR="00983732" w:rsidRPr="00A3026E" w14:paraId="0282EFAF" w14:textId="77777777" w:rsidTr="00EA0DA7">
        <w:tc>
          <w:tcPr>
            <w:tcW w:w="1878" w:type="dxa"/>
          </w:tcPr>
          <w:p w14:paraId="2420C12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Практический потолок</w:t>
            </w:r>
          </w:p>
        </w:tc>
        <w:tc>
          <w:tcPr>
            <w:tcW w:w="1491" w:type="dxa"/>
          </w:tcPr>
          <w:p w14:paraId="179EBA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9700</w:t>
            </w:r>
          </w:p>
        </w:tc>
        <w:tc>
          <w:tcPr>
            <w:tcW w:w="1559" w:type="dxa"/>
          </w:tcPr>
          <w:p w14:paraId="3F5EF51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8700</w:t>
            </w:r>
          </w:p>
        </w:tc>
        <w:tc>
          <w:tcPr>
            <w:tcW w:w="1559" w:type="dxa"/>
          </w:tcPr>
          <w:p w14:paraId="38ED65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c>
          <w:tcPr>
            <w:tcW w:w="1559" w:type="dxa"/>
          </w:tcPr>
          <w:p w14:paraId="06605E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9500</w:t>
            </w:r>
          </w:p>
        </w:tc>
        <w:tc>
          <w:tcPr>
            <w:tcW w:w="1701" w:type="dxa"/>
          </w:tcPr>
          <w:p w14:paraId="3A1CEB7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6ED7BFDE" w14:textId="77777777" w:rsidTr="00EA0DA7">
        <w:tc>
          <w:tcPr>
            <w:tcW w:w="1878" w:type="dxa"/>
          </w:tcPr>
          <w:p w14:paraId="7431B4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1491" w:type="dxa"/>
          </w:tcPr>
          <w:p w14:paraId="31F257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1559" w:type="dxa"/>
          </w:tcPr>
          <w:p w14:paraId="391EFB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w:t>
            </w:r>
          </w:p>
        </w:tc>
        <w:tc>
          <w:tcPr>
            <w:tcW w:w="1559" w:type="dxa"/>
          </w:tcPr>
          <w:p w14:paraId="74A57D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w:t>
            </w:r>
          </w:p>
        </w:tc>
        <w:tc>
          <w:tcPr>
            <w:tcW w:w="1559" w:type="dxa"/>
          </w:tcPr>
          <w:p w14:paraId="0BD089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c>
          <w:tcPr>
            <w:tcW w:w="1701" w:type="dxa"/>
          </w:tcPr>
          <w:p w14:paraId="5A2F979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07CF7D7" w14:textId="77777777" w:rsidTr="00EA0DA7">
        <w:tc>
          <w:tcPr>
            <w:tcW w:w="1878" w:type="dxa"/>
          </w:tcPr>
          <w:p w14:paraId="65E888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w:t>
            </w:r>
          </w:p>
        </w:tc>
        <w:tc>
          <w:tcPr>
            <w:tcW w:w="1491" w:type="dxa"/>
          </w:tcPr>
          <w:p w14:paraId="24B95E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442</w:t>
            </w:r>
          </w:p>
        </w:tc>
        <w:tc>
          <w:tcPr>
            <w:tcW w:w="1559" w:type="dxa"/>
          </w:tcPr>
          <w:p w14:paraId="7675C7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c>
          <w:tcPr>
            <w:tcW w:w="1559" w:type="dxa"/>
          </w:tcPr>
          <w:p w14:paraId="1F6A66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c>
          <w:tcPr>
            <w:tcW w:w="1559" w:type="dxa"/>
          </w:tcPr>
          <w:p w14:paraId="4FF5A9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701" w:type="dxa"/>
          </w:tcPr>
          <w:p w14:paraId="1E7458B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2C59B8D" w14:textId="77777777" w:rsidTr="00EA0DA7">
        <w:tc>
          <w:tcPr>
            <w:tcW w:w="1878" w:type="dxa"/>
          </w:tcPr>
          <w:p w14:paraId="053CE1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w:t>
            </w:r>
          </w:p>
        </w:tc>
        <w:tc>
          <w:tcPr>
            <w:tcW w:w="1491" w:type="dxa"/>
          </w:tcPr>
          <w:p w14:paraId="0B9A2E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w:t>
            </w:r>
          </w:p>
        </w:tc>
        <w:tc>
          <w:tcPr>
            <w:tcW w:w="1559" w:type="dxa"/>
          </w:tcPr>
          <w:p w14:paraId="34FDF8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559" w:type="dxa"/>
          </w:tcPr>
          <w:p w14:paraId="0E4607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514</w:t>
            </w:r>
          </w:p>
        </w:tc>
        <w:tc>
          <w:tcPr>
            <w:tcW w:w="1559" w:type="dxa"/>
          </w:tcPr>
          <w:p w14:paraId="2F899B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701" w:type="dxa"/>
          </w:tcPr>
          <w:p w14:paraId="4D25EB6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082C8B66" w14:textId="77777777" w:rsidTr="00EA0DA7">
        <w:tc>
          <w:tcPr>
            <w:tcW w:w="1878" w:type="dxa"/>
          </w:tcPr>
          <w:p w14:paraId="31ED39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вооружение</w:t>
            </w:r>
          </w:p>
        </w:tc>
        <w:tc>
          <w:tcPr>
            <w:tcW w:w="1491" w:type="dxa"/>
          </w:tcPr>
          <w:p w14:paraId="74CC75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ШКАС вперед 500 патрон</w:t>
            </w:r>
          </w:p>
          <w:p w14:paraId="62CB57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ШКАС назад 850 патрон</w:t>
            </w:r>
          </w:p>
        </w:tc>
        <w:tc>
          <w:tcPr>
            <w:tcW w:w="1559" w:type="dxa"/>
          </w:tcPr>
          <w:p w14:paraId="2DDFE1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 вперед по 450 патрон</w:t>
            </w:r>
          </w:p>
          <w:p w14:paraId="00E5AF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ШКАС вверх 750 патрон</w:t>
            </w:r>
          </w:p>
          <w:p w14:paraId="067EB6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ШКАС вниз 750 патрон</w:t>
            </w:r>
          </w:p>
        </w:tc>
        <w:tc>
          <w:tcPr>
            <w:tcW w:w="1559" w:type="dxa"/>
          </w:tcPr>
          <w:p w14:paraId="461CF2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ШКАС вперед 500 патрон</w:t>
            </w:r>
          </w:p>
          <w:p w14:paraId="5F89D2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ШКАС вверх 1000 патрон</w:t>
            </w:r>
          </w:p>
          <w:p w14:paraId="455779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ШКАС люковый 600 патрон</w:t>
            </w:r>
          </w:p>
        </w:tc>
        <w:tc>
          <w:tcPr>
            <w:tcW w:w="1559" w:type="dxa"/>
          </w:tcPr>
          <w:p w14:paraId="47E29C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калибра 20 мм вперед 350 патрон</w:t>
            </w:r>
          </w:p>
          <w:p w14:paraId="5B9D10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пулемета калибра 7,92 вперед 4000 патрон</w:t>
            </w:r>
          </w:p>
          <w:p w14:paraId="3382CD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пулемет норм. назад 750 патрон</w:t>
            </w:r>
          </w:p>
        </w:tc>
        <w:tc>
          <w:tcPr>
            <w:tcW w:w="1701" w:type="dxa"/>
          </w:tcPr>
          <w:p w14:paraId="3C00DD0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11CBE112" w14:textId="77777777" w:rsidTr="00EA0DA7">
        <w:tc>
          <w:tcPr>
            <w:tcW w:w="1878" w:type="dxa"/>
          </w:tcPr>
          <w:p w14:paraId="2FEC75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Емкость бомбодержателей</w:t>
            </w:r>
          </w:p>
        </w:tc>
        <w:tc>
          <w:tcPr>
            <w:tcW w:w="1491" w:type="dxa"/>
          </w:tcPr>
          <w:p w14:paraId="1D630C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4х100 или 2х250</w:t>
            </w:r>
          </w:p>
        </w:tc>
        <w:tc>
          <w:tcPr>
            <w:tcW w:w="1559" w:type="dxa"/>
          </w:tcPr>
          <w:p w14:paraId="7BE571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10х100 или 4х250</w:t>
            </w:r>
          </w:p>
          <w:p w14:paraId="2C4084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2х500</w:t>
            </w:r>
          </w:p>
        </w:tc>
        <w:tc>
          <w:tcPr>
            <w:tcW w:w="1559" w:type="dxa"/>
          </w:tcPr>
          <w:p w14:paraId="4234BB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12х100 или 6х250 или 3х500</w:t>
            </w:r>
          </w:p>
        </w:tc>
        <w:tc>
          <w:tcPr>
            <w:tcW w:w="1559" w:type="dxa"/>
          </w:tcPr>
          <w:p w14:paraId="7C19E6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701" w:type="dxa"/>
          </w:tcPr>
          <w:p w14:paraId="08A735E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bl>
    <w:p w14:paraId="558636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18E86060"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Летные данные самолета ЯК-4 в сравнении с серийным самолетом ЯК-2 производства завода № 81 улучшились:</w:t>
      </w:r>
    </w:p>
    <w:p w14:paraId="25C5F4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максимальная горизонтальная скорость у земли увеличилась на 48 км/час (458 км/час вместо 410 км/час);</w:t>
      </w:r>
    </w:p>
    <w:p w14:paraId="3640CF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максимальная горизонтальная скорость на второй границе высотности моторов 5050 м – на 35 км/час (533 км/час вместо 498 км/час);</w:t>
      </w:r>
    </w:p>
    <w:p w14:paraId="6F6914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потолок самолета повысился на 1000 м (9700 м вместо 8700 м);</w:t>
      </w:r>
    </w:p>
    <w:p w14:paraId="2D3B86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время набора высоты 5000 м уменьшилось на 1,5/6,5 мин. вместо 8 мин.).</w:t>
      </w:r>
    </w:p>
    <w:p w14:paraId="5F9B9C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Улучшение летных данных самолета относится за счет установки более мощных моторов: мощность моторов у земли возросла на 470 л.с., на расчетной высоте на 230 л.с.</w:t>
      </w:r>
    </w:p>
    <w:p w14:paraId="6FBD75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наружная подвеска 2-х бомб ФАБ-250 кг уменьшает максимальную скорость в среднем на 30 км/час.</w:t>
      </w:r>
    </w:p>
    <w:p w14:paraId="5252DD10"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Полученные в результате испытаний летные данные самолетов ЯК-4 не удовлетворяют требованиям предъявленным к самолету постановлением КО № 116сс от 4 марта 1940 года по следующим показателям:</w:t>
      </w:r>
    </w:p>
    <w:p w14:paraId="4FF795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максимальная скорость на расчетной высоте ниже на 57 км/час;</w:t>
      </w:r>
    </w:p>
    <w:p w14:paraId="6841E9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потолок самолета ниже на 1300 м;</w:t>
      </w:r>
    </w:p>
    <w:p w14:paraId="43A0C3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техническая дальность полета на расчетной высоте и на скорости 0,9 максим., меньше на 440 км;</w:t>
      </w:r>
    </w:p>
    <w:p w14:paraId="097A22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посадочная скорость больше на 6 км/час.</w:t>
      </w:r>
    </w:p>
    <w:p w14:paraId="2D9BCFB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ЯК-4 на эксплуатационном диапазоне центровок …-31% САХ с убранным шасси, обладает неудовлетворительной продольной и боковой устойчивостью.</w:t>
      </w:r>
    </w:p>
    <w:p w14:paraId="4D7CA0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полетным весом 6115 кг и ц.т. при этом 31% САХ, самолет сложен в технике пилотирования, рассчитан на летчика выше средней квалификации и полет на нем в сложных метеорологических условиях (низкая облачность и вслепую), будет исключительно труден.</w:t>
      </w:r>
    </w:p>
    <w:p w14:paraId="4137AC0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Выполненный при госиспытаниях полет по кругу с перегрузкой 900 кг бомб, при полетном весе 6615 кг и центровке самолета 31% САХ показал, что при наличии на аэродроме хороших подходов, полет с данной нагрузкой возможен. Разбег самолета по времени увеличивается на 2-3 сек. Нагрузки на крыло в данном полете равнялись 225 кг/м кв.</w:t>
      </w:r>
    </w:p>
    <w:p w14:paraId="0FD0286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Проверка в полете управления самолетом, установленного в кабине штурмана показала, что пользуясь управлением можно летать по прямой, делать развороты и планировать.</w:t>
      </w:r>
    </w:p>
    <w:p w14:paraId="3FAB65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Произвести взлет и посадку нельзя, так как видимость земли из второй кабины закрывается моторными гондолами и передней кромкой крыла. Самолет как вывозной вариант со вторым управлением использован быть не может.</w:t>
      </w:r>
    </w:p>
    <w:p w14:paraId="2D6062D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Монтаж масло- бензо и водопровода выполнен без учета требований эксплуатации:</w:t>
      </w:r>
    </w:p>
    <w:p w14:paraId="65BCBF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отсутствуют подходы к таким агрегатам, как бензо- масло и водопомпы;</w:t>
      </w:r>
    </w:p>
    <w:p w14:paraId="150892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замена болтов подмоторной рамы без снятия фильтра «Куно» – невозможна.</w:t>
      </w:r>
    </w:p>
    <w:p w14:paraId="04FAC375"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Эксплуатация самолета ЯК-4, особенно в зимних условиях – сложна, требует увеличенного числа техсостава. В процессе испытаний самолет обслуживался бригадой завода в 5 человек и 3-мя человеками технического состава НИИ ВВС.</w:t>
      </w:r>
    </w:p>
    <w:p w14:paraId="23291C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это самолет всегда опаздывал с вылетом, по сравнению с другими самолетами, проходившими одновременно испытания и обслуживавшимися 2-3 человеками техсостава. Все это является результатом недоведенности винтомоторной группы в эксплуатационном отношении.</w:t>
      </w:r>
    </w:p>
    <w:p w14:paraId="7B25C9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заправкой моторы требуют в течение 1,5-2 часов подогрева печами.</w:t>
      </w:r>
    </w:p>
    <w:p w14:paraId="73A4CF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Водосистема при заправке моторов, в силу конструктивных особенностей, требует повышенного расхода горячей воды (температуры 70-80 градусов С). Заправка самолета по времени занимает 30-40 минут. На самолете имеется 28 кранов слива воды и масла. При зарядке и разрядке самолета, обслуживающий состав обливается водой и маслом, вследствие неудовлетворительной конструкции кранов (краны-пробки). Краны расположены без учета элементарных условий технической эксплуатации, подходы к кранам затруднены.</w:t>
      </w:r>
    </w:p>
    <w:p w14:paraId="14C19B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Условия, при которых эксплуатировался самолет ЯК-4 в процессе госиспытаний, не могут быть созданы в строевых частях ВВС, особенно при эксплуатации самолета на полевых аэродромах. Эксплуатация в строевых частях ВВС будет исключительно сложной.</w:t>
      </w:r>
    </w:p>
    <w:p w14:paraId="626B5614"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Температура воды и масла в зимнее время при температуре воздуха у земли – 14 градусов С на режиме скороподъемности достигает верхнего допустимого предела; температура на выходе из мотора воды 90 градусов С, масла 110 градусов С (максимально допустимые температуры мотора М-105 для воды 85 градусов С и масла 115 градусов С).</w:t>
      </w:r>
    </w:p>
    <w:p w14:paraId="4AD22E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Водо и маслосистемы в летнее время не обеспечат нормальных тепловых режимов моторам.</w:t>
      </w:r>
    </w:p>
    <w:p w14:paraId="7C56AFB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Исследование вопроса массового разрыва маслорадиаторов типа ОП-252 показало, что разрыв радиаторов происходит в основном в момент запуска мотора, при этом в радиаторе возникают давления (до 4 атм.), превышающие давления, на которые радиатор испытан.</w:t>
      </w:r>
    </w:p>
    <w:p w14:paraId="24A0EB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Высокие давления, возникающие в радиаторе при запуске мотора, вызываются конструктивными недоработками маслосистемы, заключающимися в следующем:</w:t>
      </w:r>
    </w:p>
    <w:p w14:paraId="4C7C77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Несмотря на продолжительный слив масла (30 минут при температуре –10 градусов С), последнее полностью за это время из системы не сливается. Из трубопроводов от мотора к радиатору и от радиатора к баку, при открытых кранах, в течение ночи сливается еще дополнительно 100-150 гр. масла из трубопроводов и до 500 гр. из маслорадиатора. При запуске мотора с не слитым дополнительно в течение ночи маслом и с непрогретым трубопроводом и радиатором возникают пробки из загустевшего масла, приводящие к высоким давлениям в радиаторе.</w:t>
      </w:r>
    </w:p>
    <w:p w14:paraId="5DEE09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Конструкция маслорадиатора ОП-252 завода № 34 с установкой редукционного клапана на выходе масла из радиатора, не предохраняет его от разрыва при гидравлических ударах в момент запуска мотора, так как холодное масло идет по обичайке и рвет ее.</w:t>
      </w:r>
    </w:p>
    <w:p w14:paraId="100180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на самолете заменено по причине разрыва 6 маслорадиаторов ОП-252.</w:t>
      </w:r>
    </w:p>
    <w:p w14:paraId="24ACAA8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Установленная на самолете ЯК-4 система наполнения бензобаков углекислым газом СО2 от баллона имеет ряд существенных недоработок:</w:t>
      </w:r>
    </w:p>
    <w:p w14:paraId="0F172E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Отсутствует подводка газопровода к центропланному баку.</w:t>
      </w:r>
    </w:p>
    <w:p w14:paraId="075BD6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Установленный на два бака один обратный клапан по своему расположению не обеспечивает от попадания горючего их этих баков в газопровод системы, на участке между баками и клапаном. Попавшее горючее явится пробкой для поступления газа в баки.</w:t>
      </w:r>
    </w:p>
    <w:p w14:paraId="69493E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Баллон с углекислотой при горизонтальном его расположении и малый диаметр газопровода (2х3 мм) на участке от баллона до крана управления – не обеспечивает нормального поступления газа в б/баки, вследствие закупорки им системы на этом участке, особенно при минусовых температурах.</w:t>
      </w:r>
    </w:p>
    <w:p w14:paraId="39F3EA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устранения отмеченных недостатков необходимо:</w:t>
      </w:r>
    </w:p>
    <w:p w14:paraId="5D854A31"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Обеспечить центропланный бак самостоятельным газом газопроводом.</w:t>
      </w:r>
    </w:p>
    <w:p w14:paraId="5D7C1EF4"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Установить обратные клапана для каждого бака в местах сочленения газопровода со штуцером бака.</w:t>
      </w:r>
    </w:p>
    <w:p w14:paraId="7DBC58B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Монтаж баллона произвести вертикально – вентилем вверх.</w:t>
      </w:r>
    </w:p>
    <w:p w14:paraId="3DA48221"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Газопровод на участке от баллона до крана управления с диаметром 2х3 мм заменить газопроводом диаметром 8х10 мм.</w:t>
      </w:r>
    </w:p>
    <w:p w14:paraId="6B210C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По вооружению.</w:t>
      </w:r>
    </w:p>
    <w:p w14:paraId="6DE65C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Стрелковое вооружение.</w:t>
      </w:r>
    </w:p>
    <w:p w14:paraId="39700A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Передняя стрелковая установка после устранения в процессе испытания ряда дефектов, работала удовлетворительно.</w:t>
      </w:r>
    </w:p>
    <w:p w14:paraId="1A5D4A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Задняя стрелковая установка типа ТСС-1 в сравнении с установкой ранее стоявшей на самолете ЯК-2, увеличила поражаемое пространство и несколько улучшила условия работы штурмана.</w:t>
      </w:r>
    </w:p>
    <w:p w14:paraId="07FC18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После увеличения жесткости установки и облегчения работы с ней в воздухе, последняя может быть допущена к эксплуатации на самолете ЯК-4.</w:t>
      </w:r>
    </w:p>
    <w:p w14:paraId="6D5414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Бомбардировочное вооружение.</w:t>
      </w:r>
    </w:p>
    <w:p w14:paraId="4D9CE6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системе бомбардировочного вооружения продолжают оставаться не устраненными следующие основные дефекты:</w:t>
      </w:r>
    </w:p>
    <w:p w14:paraId="1742E237"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Бомболюки в полете не раскрываются. При этом усилий штурмана на дополнительную ручку открытия люков не хватает.</w:t>
      </w:r>
    </w:p>
    <w:p w14:paraId="7BED102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Сброс бомб от МСШ-8 с наружной подвески не осуществлен в первую очередь: бомбы внутренней подвески нельзя сбросить при несброшенных подфюзеляжных бомбах ФАБ-250.</w:t>
      </w:r>
    </w:p>
    <w:p w14:paraId="50927107"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Отсутствует аварийный сбрасыватель у летчика.</w:t>
      </w:r>
    </w:p>
    <w:p w14:paraId="1D06FBED" w14:textId="77777777" w:rsidR="0014077F" w:rsidRPr="00A3026E" w:rsidRDefault="0014077F" w:rsidP="00A3026E">
      <w:pPr>
        <w:pStyle w:val="a3"/>
        <w:widowControl/>
        <w:rPr>
          <w:color w:val="000000" w:themeColor="text1"/>
          <w:lang w:val="ru-RU"/>
        </w:rPr>
      </w:pPr>
      <w:r w:rsidRPr="00A3026E">
        <w:rPr>
          <w:color w:val="000000" w:themeColor="text1"/>
          <w:lang w:val="ru-RU"/>
        </w:rPr>
        <w:t>12. Система крепления подфюзеляжных бомб ФАБ-250 и замки Д-2М-250, а также вновь предъявленные на повторные испытания замки Д-2М-40, не могут быть допущены к установке на самолете ЯК-4, вследствие:</w:t>
      </w:r>
    </w:p>
    <w:p w14:paraId="2FFB79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недостаточной жесткости балки;</w:t>
      </w:r>
    </w:p>
    <w:p w14:paraId="5D72265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ненадежной работы замков, как Д-2М-250, так и Д-2М-40.</w:t>
      </w:r>
    </w:p>
    <w:p w14:paraId="7F3643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подфюзеляжную бомбардировочную установку может быть допущена только подвеска бомб калибра до ФАБ-100 включительно.</w:t>
      </w:r>
    </w:p>
    <w:p w14:paraId="5FCD57C5"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специальному оборудованию.</w:t>
      </w:r>
    </w:p>
    <w:p w14:paraId="63AD0A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специальное оборудование самолета ЯК-4 заводом № 81 внесен ряд конструктивных изменений, однако эти изменения не дают возможности нормально эксплуатировать оборудование самолета.</w:t>
      </w:r>
    </w:p>
    <w:p w14:paraId="006ADE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продолжают оставаться не устраненными следующие основные дефекты:</w:t>
      </w:r>
    </w:p>
    <w:p w14:paraId="1EDECD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посадочной фарой, установленной в носке пилотской гондолы пользоваться нельзя;</w:t>
      </w:r>
    </w:p>
    <w:p w14:paraId="64812A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отсутствует внутрисамолетное переговорное устройство;</w:t>
      </w:r>
    </w:p>
    <w:p w14:paraId="4A3D4C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отсутствует фотоаппарат;</w:t>
      </w:r>
    </w:p>
    <w:p w14:paraId="2CB045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не установлен РПК-2;</w:t>
      </w:r>
    </w:p>
    <w:p w14:paraId="01738A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отсутствуют держатели для парашютных ракет.</w:t>
      </w:r>
    </w:p>
    <w:p w14:paraId="48A7F5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Показания, вынесенных на мотогондолу 3-х стрелочного индикатора и аэротермометра воды, летчику читать трудно. Лампочки подсвета, вследствие вибраций установки приборов, часто перегорают.</w:t>
      </w:r>
    </w:p>
    <w:p w14:paraId="6E8FCC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DA9AA95"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предъявленном на испытания виде самолеты ЯК-4 производства завода № 81 являются не боеспособными и недоведенными в части эксплуатации, вследствие:</w:t>
      </w:r>
    </w:p>
    <w:p w14:paraId="1101E0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неудовлетворительной устойчивости на эксплуатационном диапазоне центровок и сложности в технике пилотирования;</w:t>
      </w:r>
    </w:p>
    <w:p w14:paraId="100429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недостаточной огневой защиты самолета;</w:t>
      </w:r>
    </w:p>
    <w:p w14:paraId="0AC931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малого радиуса действия и невозможности увеличить последний по конструктивным особенностям самолета;</w:t>
      </w:r>
    </w:p>
    <w:p w14:paraId="637EE0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недоведенности винтомоторной группы в части температурных режимов моторов, сложности и трудности ее эксплуатации особенно в зимних условиях и значительной затраты времени на подготовку самолета к полету (для зимы 2-3 часа);</w:t>
      </w:r>
    </w:p>
    <w:p w14:paraId="158554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наличия большого числа производственных и конструктивных дефектов.</w:t>
      </w:r>
    </w:p>
    <w:p w14:paraId="370E5B3F"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необходимым снять с серийного производства самолет ЯК-4, как неудовлетворяющий требованиям ВВС.</w:t>
      </w:r>
    </w:p>
    <w:p w14:paraId="3CCF5707"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обеспечения безопасности полетов на самолетах ЯК-4 уже выпущенных заводом № 81 запретить:</w:t>
      </w:r>
    </w:p>
    <w:p w14:paraId="794A8A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полеты с нагрузкой 400 кг бомб в люке и разрешить полеты с 200 кг бомб в люке и 200 кг бомб на наружной подвеске;</w:t>
      </w:r>
    </w:p>
    <w:p w14:paraId="3BBF6D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подвеску бомб ФАБ-250 на наружные замки, ввиду недоведенности замков Д-2М-40 и балки держателей.</w:t>
      </w:r>
    </w:p>
    <w:p w14:paraId="39E605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(Подпись: начальник НИИ ВВС генерал- майор авиации Филин).</w:t>
      </w:r>
    </w:p>
    <w:p w14:paraId="485AFC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(4189,93-109)</w:t>
      </w:r>
    </w:p>
    <w:p w14:paraId="65879F7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EFD360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г. досрочно изготовили 10 самолетов для войсковых испытаний (9984).</w:t>
      </w:r>
    </w:p>
    <w:p w14:paraId="730F75C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332714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вышел приказ НКАП N 710с в развитие приказа N 541cc от 14 ноября 1940: (416,149).</w:t>
      </w:r>
    </w:p>
    <w:p w14:paraId="7D4D93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Директору завода 39 тов. Соколову и Главному конструктору завода 39 тов. Петлякову передать заводу 450 к 20 декабря 1940:</w:t>
      </w:r>
    </w:p>
    <w:p w14:paraId="2421CE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3 комплекта чертежей самолета ПБ-450...(416,149).</w:t>
      </w:r>
    </w:p>
    <w:p w14:paraId="40086FC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EB450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вышел приказ НКАП N 710с в развитие приказа N 541cc от 14 ноября 1940: (416,149).</w:t>
      </w:r>
    </w:p>
    <w:p w14:paraId="066EDB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Директору завода 39 тов. Соколову и Главному конструктору завода 39 тов. Петлякову передать заводу 450 к 20 декабря 1940:</w:t>
      </w:r>
    </w:p>
    <w:p w14:paraId="65DE4E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3 комплекта чертежей самолета ПБ-450...(416,149).</w:t>
      </w:r>
    </w:p>
    <w:p w14:paraId="1C669D6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СЕКРЕТНО</w:t>
      </w:r>
    </w:p>
    <w:p w14:paraId="27B1321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Р И -К А 3 ПО НАРОДНОМУ КОМИССАРИАТУ АВИАЦИОННОЙ ПРОМЫШЛЕННОСТИ</w:t>
      </w:r>
    </w:p>
    <w:p w14:paraId="53DC572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развитие приказа по НКАП за № 541сс от 14.XI.40 г. ПРИКАЗЫВАЮ:</w:t>
      </w:r>
    </w:p>
    <w:p w14:paraId="4707699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Директору завода № 39 тов. СОКОЛОВУ и Главному конструк</w:t>
      </w:r>
      <w:r w:rsidRPr="00A3026E">
        <w:rPr>
          <w:rFonts w:ascii="Times New Roman" w:hAnsi="Times New Roman"/>
          <w:color w:val="000000" w:themeColor="text1"/>
          <w:sz w:val="16"/>
          <w:szCs w:val="16"/>
        </w:rPr>
        <w:softHyphen/>
        <w:t>тору завода № 39 тов. ПЕТЛЯКОВУ передать заводу № 450 к 20.12.40 г.:</w:t>
      </w:r>
    </w:p>
    <w:p w14:paraId="026AFFE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3 комплекта чертежей самолета ПБ-100;</w:t>
      </w:r>
    </w:p>
    <w:p w14:paraId="5DE81B4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комплекта чертежей оснастки технологического про</w:t>
      </w:r>
      <w:r w:rsidRPr="00A3026E">
        <w:rPr>
          <w:rFonts w:ascii="Times New Roman" w:hAnsi="Times New Roman"/>
          <w:color w:val="000000" w:themeColor="text1"/>
          <w:sz w:val="16"/>
          <w:szCs w:val="16"/>
        </w:rPr>
        <w:softHyphen/>
        <w:t>цесса;</w:t>
      </w:r>
    </w:p>
    <w:p w14:paraId="2C6B753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 комплект технологических карт и заводской технологич. документации.</w:t>
      </w:r>
    </w:p>
    <w:p w14:paraId="317DC56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Директору завода №--22 тов. ОКУЛОВУ передать заводу № 450:</w:t>
      </w:r>
    </w:p>
    <w:p w14:paraId="410BFB1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12 комплектов серийных чертежей с0та ПБ-100 и 1 комплект диазотипной кальки по этой машине к 15.Ш.1941 г.;</w:t>
      </w:r>
    </w:p>
    <w:p w14:paraId="03AD151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3 комплекта чертежей оснастки технологического процесса к 20.1.1941 г.;</w:t>
      </w:r>
    </w:p>
    <w:p w14:paraId="220F353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2-комплекта технологических карт и заводской технологической- документации к 1.1У.1941 г. - вычеркнуто)</w:t>
      </w:r>
    </w:p>
    <w:p w14:paraId="3C78CC8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обеспечить систематическую передачу заводу № 450 всех изменений, как по самолету, так и по оснастае техноло</w:t>
      </w:r>
      <w:r w:rsidRPr="00A3026E">
        <w:rPr>
          <w:rFonts w:ascii="Times New Roman" w:hAnsi="Times New Roman"/>
          <w:color w:val="000000" w:themeColor="text1"/>
          <w:sz w:val="16"/>
          <w:szCs w:val="16"/>
        </w:rPr>
        <w:softHyphen/>
        <w:t>гического процесса;</w:t>
      </w:r>
    </w:p>
    <w:p w14:paraId="014C341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изготовить и передать заводу № 450 к 1.П.1941 г. полный комплект шаблонов - эталонных, стыковочных, контрольных и рабо</w:t>
      </w:r>
      <w:r w:rsidRPr="00A3026E">
        <w:rPr>
          <w:rFonts w:ascii="Times New Roman" w:hAnsi="Times New Roman"/>
          <w:color w:val="000000" w:themeColor="text1"/>
          <w:sz w:val="16"/>
          <w:szCs w:val="16"/>
        </w:rPr>
        <w:softHyphen/>
        <w:t>чих.</w:t>
      </w:r>
    </w:p>
    <w:p w14:paraId="6376006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Обязать директора завода № 450 тов. ИВАНОВА организо</w:t>
      </w:r>
      <w:r w:rsidRPr="00A3026E">
        <w:rPr>
          <w:rFonts w:ascii="Times New Roman" w:hAnsi="Times New Roman"/>
          <w:color w:val="000000" w:themeColor="text1"/>
          <w:sz w:val="16"/>
          <w:szCs w:val="16"/>
        </w:rPr>
        <w:softHyphen/>
        <w:t>вать на заводе № 450 серийное конструкторское бюро к 15.ХП.1940 г.</w:t>
      </w:r>
    </w:p>
    <w:p w14:paraId="40FB8C2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Главному конструктору завода № 39 тов. ПЕТЛЯЕОВУ выде</w:t>
      </w:r>
      <w:r w:rsidRPr="00A3026E">
        <w:rPr>
          <w:rFonts w:ascii="Times New Roman" w:hAnsi="Times New Roman"/>
          <w:color w:val="000000" w:themeColor="text1"/>
          <w:sz w:val="16"/>
          <w:szCs w:val="16"/>
        </w:rPr>
        <w:softHyphen/>
        <w:t>лить из состава своих работников Начальника СКВ и 5 групповодов для завода № 450.</w:t>
      </w:r>
    </w:p>
    <w:p w14:paraId="0D3B78D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Установить, что заводы №№ 22 и 39 являются ведущимии в отношении завода № 450 и что директора этих заводов, а также главный конструктор тов. ПЕТЛЯКОВ отвечают за своевременное обеспечение технической помощи заводу № 450 и за правильность технологической документации (416,149).</w:t>
      </w:r>
    </w:p>
    <w:p w14:paraId="3D97F2C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9497C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10 по 26 декабря 1940 проходили заводские испытания ПБ 100 2М-105 (2090,232).</w:t>
      </w:r>
    </w:p>
    <w:p w14:paraId="6348B39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71F22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закончили доработку УТИ-26-1 по результатам испытаний, которую вели с 26 сентября 1940. Потом отдали в ЛИИ, где долго использовали (198,37).</w:t>
      </w:r>
    </w:p>
    <w:p w14:paraId="007825F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C540B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А.И.Ш. и А.С.Я. писали И.В.С. письмо N 6314 о том, что Н.Н.Р. и Б.В.Ш. предложили проект одноместного одномоторного истребителя с тяжелым пушечным вооружением. Назначение - борьба с бомбардировщиками и танками, а также подавление наземных огневых точек. НКАП включил в план опытного строительства 1941, но считает необходимым предусмотреть установку 2-х крупнокалиберных крыльевых пулеметов при одной пушке в 37 мм с 50 снарядами и двумя ШВАК с 250 снарядами, а также бронирование кабины и козырька (проект предполагал только бронеспинку). Придется остановиться на М-105П с перспективой перехода на М-107П (1178).</w:t>
      </w:r>
    </w:p>
    <w:p w14:paraId="5F3DB6E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D9DD2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вышел приказ НКАП N 709с в развитие приказа N 541cc от 14 ноября 1940 об организации серийного производства самолетов И-200 на заводе 43 (1312,93).</w:t>
      </w:r>
    </w:p>
    <w:p w14:paraId="0AB0E58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F6123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во исполнение постановления КО N9 244сс от 25.05.1940 г. вышел приказ НКАП о запуске самолета И-200 в серийное производство на заводах № 1 в Москве и № 43 в Киеве. Многие отделы и цехи завода № 1 уже участвовали в постройке И-200, и это позволило не только заблаговременно создать серийную технологию, но и начать делать оснастку. Серийный истребитель получил обозначение МиГ-1. От опытных машин он отличался рядом доработок, в т.ч. установкой второго маслорадиатора и регулирующих заслонок не перед маслорадиаторами, а на выходе тоннелей. Тоннель водорадиа- тора удлинили, улучшив температурный режим мотора. А вот от внедрения дюралевых консолей крыла отказались, и все серийные истребители семейства выпускали с деревянными консолями. Головной самолет № 2001 москвичи сдали в срок (11938).</w:t>
      </w:r>
    </w:p>
    <w:p w14:paraId="0C9A360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318051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10 декабря 1940 г состоялась первая про</w:t>
      </w:r>
      <w:r w:rsidRPr="00A3026E">
        <w:rPr>
          <w:rFonts w:ascii="Times New Roman" w:hAnsi="Times New Roman"/>
          <w:color w:val="000000" w:themeColor="text1"/>
          <w:sz w:val="16"/>
          <w:szCs w:val="16"/>
        </w:rPr>
        <w:softHyphen/>
        <w:t>ба двигателя на И-187 М-81 (9979).</w:t>
      </w:r>
    </w:p>
    <w:p w14:paraId="1B88D71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6BB077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г. Тимошенко в письме Ворошилову от также возражал против развертывания работ над ПС-84А, мотивируя это также прекращением и без того малочисленных поставок самолета ПС-84. Комиссия Юрьева, рассмотрев эскизный проект, сделала вывод о целесообразности постройки самолета ПС-84А, но А.С. Яковлев это решение не утвердил. При этом отметил, что "Десантный вариант Дугласа очень хорош. Дальнейшая, более глубокая модернизация этого самолета нецелесообразна" (3404).</w:t>
      </w:r>
    </w:p>
    <w:p w14:paraId="6BF79DD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57024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мотор М-105 серии 035 на самолете СБ поступил в НИИ ВВС для специальных летных испытаний мотора (3333,15).</w:t>
      </w:r>
    </w:p>
    <w:p w14:paraId="0A403CD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D69D2D3" w14:textId="77777777" w:rsidR="00FE6B04" w:rsidRPr="00A3026E" w:rsidRDefault="00FE6B0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10 декабря 1940 г. в письме заместителю наркома авиапромышленности А.С. Яковлеву Боровков и Флоров утверждали: «Для увеличения скорости самолёта и для более эффективного использования воздушно-ракетного двигателя считаем целесообразным применить следующую схему самолёта — одномоторный моноплан с двухбалочным хвостом (в балках которого расположены воздушно-ракетные двигатели), с толкающим винтом, позволяющим использовать разработанный в ЦАГИ ламинарный профиль крыла…Просим об изменении выданного нам ранее задания и разрешить проектирование и постройку экспериментального самолёта новой схемы» </w:t>
      </w:r>
      <w:hyperlink r:id="rId151" w:history="1">
        <w:r w:rsidRPr="00A3026E">
          <w:rPr>
            <w:rFonts w:ascii="Times New Roman" w:eastAsia="Times New Roman" w:hAnsi="Times New Roman"/>
            <w:color w:val="000000" w:themeColor="text1"/>
            <w:sz w:val="16"/>
            <w:szCs w:val="16"/>
            <w:lang w:eastAsia="ru-RU"/>
          </w:rPr>
          <w:t>[331]</w:t>
        </w:r>
      </w:hyperlink>
      <w:r w:rsidRPr="00A3026E">
        <w:rPr>
          <w:rFonts w:ascii="Times New Roman" w:eastAsia="Times New Roman" w:hAnsi="Times New Roman"/>
          <w:color w:val="000000" w:themeColor="text1"/>
          <w:sz w:val="16"/>
          <w:szCs w:val="16"/>
          <w:lang w:eastAsia="ru-RU"/>
        </w:rPr>
        <w:t xml:space="preserve"> . Возражений не последовало, И.А. Меркулову поручили изготовить новые прямоточные двигатели ДМ 12 для проектируемой машины. Предполагалось, что с перспективным поршневым двигателем М-120 мощностью 1850 л. с. и двумя ДМ-12 самолёт «Д» будет развивать на высоте 7000 м скорость 690 км/ч без реактивной тяги и 800–850 км/ч при включении ПВРД.</w:t>
      </w:r>
    </w:p>
    <w:p w14:paraId="3FC9CBA2" w14:textId="77777777" w:rsidR="00FE6B04" w:rsidRPr="00A3026E" w:rsidRDefault="00FE6B04" w:rsidP="00A3026E">
      <w:pPr>
        <w:spacing w:after="0" w:line="240" w:lineRule="auto"/>
        <w:jc w:val="both"/>
        <w:rPr>
          <w:rFonts w:ascii="Times New Roman" w:hAnsi="Times New Roman"/>
          <w:color w:val="000000" w:themeColor="text1"/>
          <w:sz w:val="16"/>
          <w:szCs w:val="16"/>
        </w:rPr>
      </w:pPr>
      <w:r w:rsidRPr="00A3026E">
        <w:rPr>
          <w:rFonts w:ascii="Times New Roman" w:eastAsia="Times New Roman" w:hAnsi="Times New Roman"/>
          <w:color w:val="000000" w:themeColor="text1"/>
          <w:sz w:val="16"/>
          <w:szCs w:val="16"/>
          <w:lang w:eastAsia="ru-RU"/>
        </w:rPr>
        <w:t xml:space="preserve">Для получения предварительного опыта под крыльями стоявшего без дела И-207/3 установили два ДМ 4. Испытания проходили в ЛИИ в 1941 г. Из-за войны и эвакуации успели выполнить только несколько полётов для отработки системы бензопитания и совместной работы двигателей. Хотя нормально работал лишь один из двух ПВРД, прирост скорости по сообщениям летавших на самолёте лётчика-испытателя П.М. Попелюшенко и начальника лётной части ЛИИ Д.С. Зосима был заметным </w:t>
      </w:r>
      <w:hyperlink r:id="rId152" w:history="1">
        <w:r w:rsidRPr="00A3026E">
          <w:rPr>
            <w:rFonts w:ascii="Times New Roman" w:eastAsia="Times New Roman" w:hAnsi="Times New Roman"/>
            <w:color w:val="000000" w:themeColor="text1"/>
            <w:sz w:val="16"/>
            <w:szCs w:val="16"/>
            <w:lang w:eastAsia="ru-RU"/>
          </w:rPr>
          <w:t>[332]</w:t>
        </w:r>
      </w:hyperlink>
      <w:r w:rsidRPr="00A3026E">
        <w:rPr>
          <w:rFonts w:ascii="Times New Roman" w:hAnsi="Times New Roman"/>
          <w:color w:val="000000" w:themeColor="text1"/>
          <w:sz w:val="16"/>
          <w:szCs w:val="16"/>
        </w:rPr>
        <w:t>.</w:t>
      </w:r>
    </w:p>
    <w:p w14:paraId="3B95DDAB" w14:textId="77777777" w:rsidR="00FE6B04" w:rsidRPr="00A3026E" w:rsidRDefault="00FE6B04"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Работы по самолёту «Д» ограничились постройкой его макета и хвостовой балки с ПВРД (17489).</w:t>
      </w:r>
    </w:p>
    <w:p w14:paraId="7F65BE76" w14:textId="77777777" w:rsidR="00FE6B04" w:rsidRPr="00A3026E" w:rsidRDefault="00FE6B04" w:rsidP="00A3026E">
      <w:pPr>
        <w:spacing w:after="0" w:line="240" w:lineRule="auto"/>
        <w:jc w:val="both"/>
        <w:rPr>
          <w:rFonts w:ascii="Times New Roman" w:eastAsia="Times New Roman" w:hAnsi="Times New Roman"/>
          <w:color w:val="000000" w:themeColor="text1"/>
          <w:sz w:val="16"/>
          <w:szCs w:val="16"/>
          <w:lang w:eastAsia="ru-RU"/>
        </w:rPr>
      </w:pPr>
    </w:p>
    <w:p w14:paraId="5047BB8A"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декабря 1940 г. приказом по заводу № 688 имеющаяся при ЛИС завода № 21 приборная лаборатория реорганизована в летно</w:t>
      </w:r>
      <w:r w:rsidRPr="00A3026E">
        <w:rPr>
          <w:rFonts w:ascii="Times New Roman" w:hAnsi="Times New Roman"/>
          <w:color w:val="0070C0"/>
          <w:sz w:val="16"/>
          <w:szCs w:val="16"/>
        </w:rPr>
        <w:softHyphen/>
        <w:t>экспериментальную лабораторию ЛЭЛ. Лаборатория обеспечивала все экспериментальные полеты приборами специального назначения. Наблюдала за эксплуатацией авиаприборов серийных самолетов: барографами, барометрами наружного воздуха, самописцами скорости. Выполняла их проверку и тарировку. ЛЭЛ состояла их четырех человек и подчинялась непосредственно начальнику ЛИС. Буквально через полгода ЛЭЛ была расширена до 11 человек путем объединения с лабораторией ОТК цеха 140. Она стала называться летно-экспериментальная лаборатория ОТК завода имени С. Орджоникидзе. На нее дополнительно возложили задачи проведения летно</w:t>
      </w:r>
      <w:r w:rsidRPr="00A3026E">
        <w:rPr>
          <w:rFonts w:ascii="Times New Roman" w:hAnsi="Times New Roman"/>
          <w:color w:val="0070C0"/>
          <w:sz w:val="16"/>
          <w:szCs w:val="16"/>
        </w:rPr>
        <w:softHyphen/>
        <w:t>экспериментальных работ, контроля правильности проведения испытаний и сделанных выводов по ним. Начальником лаборатории назначили Муратова (21100).</w:t>
      </w:r>
    </w:p>
    <w:p w14:paraId="6AF26A88" w14:textId="77777777" w:rsidR="00EB6E30" w:rsidRPr="00A3026E" w:rsidRDefault="00EB6E30" w:rsidP="00A3026E">
      <w:pPr>
        <w:spacing w:after="0" w:line="240" w:lineRule="auto"/>
        <w:jc w:val="both"/>
        <w:rPr>
          <w:rFonts w:ascii="Times New Roman" w:hAnsi="Times New Roman"/>
          <w:color w:val="0070C0"/>
          <w:sz w:val="16"/>
          <w:szCs w:val="16"/>
        </w:rPr>
      </w:pPr>
    </w:p>
    <w:p w14:paraId="7D48B0CC" w14:textId="77777777" w:rsidR="0095280D" w:rsidRPr="00A3026E" w:rsidRDefault="0095280D" w:rsidP="00A3026E">
      <w:pPr>
        <w:autoSpaceDE w:val="0"/>
        <w:autoSpaceDN w:val="0"/>
        <w:adjustRightInd w:val="0"/>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г. ленинградский авиаци</w:t>
      </w:r>
      <w:r w:rsidRPr="00A3026E">
        <w:rPr>
          <w:rFonts w:ascii="Times New Roman" w:hAnsi="Times New Roman"/>
          <w:color w:val="000000" w:themeColor="text1"/>
          <w:sz w:val="16"/>
          <w:szCs w:val="16"/>
        </w:rPr>
        <w:softHyphen/>
        <w:t xml:space="preserve">онный инженер </w:t>
      </w:r>
      <w:r w:rsidRPr="00A3026E">
        <w:rPr>
          <w:rFonts w:ascii="Times New Roman" w:hAnsi="Times New Roman"/>
          <w:bCs/>
          <w:color w:val="000000" w:themeColor="text1"/>
          <w:sz w:val="16"/>
          <w:szCs w:val="16"/>
        </w:rPr>
        <w:t>И.М.Жарныльский</w:t>
      </w:r>
      <w:r w:rsidRPr="00A3026E">
        <w:rPr>
          <w:rFonts w:ascii="Times New Roman" w:hAnsi="Times New Roman"/>
          <w:color w:val="000000" w:themeColor="text1"/>
          <w:sz w:val="16"/>
          <w:szCs w:val="16"/>
        </w:rPr>
        <w:t xml:space="preserve"> направил материалы своего проекта «</w:t>
      </w:r>
      <w:r w:rsidRPr="00A3026E">
        <w:rPr>
          <w:rFonts w:ascii="Times New Roman" w:hAnsi="Times New Roman"/>
          <w:iCs/>
          <w:color w:val="000000" w:themeColor="text1"/>
          <w:sz w:val="16"/>
          <w:szCs w:val="16"/>
        </w:rPr>
        <w:t>товарищу Коблиеву</w:t>
      </w:r>
      <w:r w:rsidRPr="00A3026E">
        <w:rPr>
          <w:rFonts w:ascii="Times New Roman" w:hAnsi="Times New Roman"/>
          <w:color w:val="000000" w:themeColor="text1"/>
          <w:sz w:val="16"/>
          <w:szCs w:val="16"/>
        </w:rPr>
        <w:t>» (должность в сопроводи</w:t>
      </w:r>
      <w:r w:rsidRPr="00A3026E">
        <w:rPr>
          <w:rFonts w:ascii="Times New Roman" w:hAnsi="Times New Roman"/>
          <w:color w:val="000000" w:themeColor="text1"/>
          <w:sz w:val="16"/>
          <w:szCs w:val="16"/>
        </w:rPr>
        <w:softHyphen/>
        <w:t>тельном письме не указана, вероятно, сотрудник НКАП). Отмечая, что болезнь помешала ему принять участие в конкурсе 1940 года, Жарныльский выска</w:t>
      </w:r>
      <w:r w:rsidRPr="00A3026E">
        <w:rPr>
          <w:rFonts w:ascii="Times New Roman" w:hAnsi="Times New Roman"/>
          <w:color w:val="000000" w:themeColor="text1"/>
          <w:sz w:val="16"/>
          <w:szCs w:val="16"/>
        </w:rPr>
        <w:softHyphen/>
        <w:t>зывал предложение о дальнейшей разработке своего проекта, который, по его мнению, мог бы оказаться полезным для народного хозяйства и целей обороны.</w:t>
      </w:r>
    </w:p>
    <w:p w14:paraId="68B36CBB" w14:textId="77777777" w:rsidR="0095280D" w:rsidRPr="00A3026E" w:rsidRDefault="0095280D" w:rsidP="00A3026E">
      <w:pPr>
        <w:autoSpaceDE w:val="0"/>
        <w:autoSpaceDN w:val="0"/>
        <w:adjustRightInd w:val="0"/>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И.М.Жарныльский был руководителем самолётостро</w:t>
      </w:r>
      <w:r w:rsidRPr="00A3026E">
        <w:rPr>
          <w:rFonts w:ascii="Times New Roman" w:hAnsi="Times New Roman"/>
          <w:color w:val="000000" w:themeColor="text1"/>
          <w:sz w:val="16"/>
          <w:szCs w:val="16"/>
        </w:rPr>
        <w:softHyphen/>
        <w:t>ительной секции в НИАИ – Научно-исследовательском аэроинституте, созданном в 1931 г. в Ленинграде при Учебном комбинате ГВФ. В 1934 г. эта секция была преобра</w:t>
      </w:r>
      <w:r w:rsidRPr="00A3026E">
        <w:rPr>
          <w:rFonts w:ascii="Times New Roman" w:hAnsi="Times New Roman"/>
          <w:color w:val="000000" w:themeColor="text1"/>
          <w:sz w:val="16"/>
          <w:szCs w:val="16"/>
        </w:rPr>
        <w:softHyphen/>
        <w:t>зована в Особое КБ при УК, а затем ЛИИ ГВФ. Жарныльский участвовал в создании гидросамолёта АСК («Амфибия северного края»), который был построен в 1935 г. в Ленинграде в системе ГВФ группой конструкторов упомя</w:t>
      </w:r>
      <w:r w:rsidRPr="00A3026E">
        <w:rPr>
          <w:rFonts w:ascii="Times New Roman" w:hAnsi="Times New Roman"/>
          <w:color w:val="000000" w:themeColor="text1"/>
          <w:sz w:val="16"/>
          <w:szCs w:val="16"/>
        </w:rPr>
        <w:softHyphen/>
        <w:t>нутого ОКБ. В неё входили В.Я.Крылов, И.М.Жарныльский, Г.И.Бакшаев и Л.С.Вильдгрубе. В 1938 г. ОКБ было ликви</w:t>
      </w:r>
      <w:r w:rsidRPr="00A3026E">
        <w:rPr>
          <w:rFonts w:ascii="Times New Roman" w:hAnsi="Times New Roman"/>
          <w:color w:val="000000" w:themeColor="text1"/>
          <w:sz w:val="16"/>
          <w:szCs w:val="16"/>
        </w:rPr>
        <w:softHyphen/>
        <w:t>дировано, но постройка опытных самолётов продолжалась в других подразделениях ГВФ до 1941 г. Опытный экземпляр АСК испытывался в 1935-1937 гг.</w:t>
      </w:r>
    </w:p>
    <w:p w14:paraId="465F2E0E" w14:textId="77777777" w:rsidR="0095280D" w:rsidRPr="00A3026E" w:rsidRDefault="0095280D" w:rsidP="00A3026E">
      <w:pPr>
        <w:autoSpaceDE w:val="0"/>
        <w:autoSpaceDN w:val="0"/>
        <w:adjustRightInd w:val="0"/>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Особенностью аппарата была его двухлодочная схема – в лодках были устроены две трёхместные пассажирские кабины, а пилот размещался в отдельной кабине на носке центроплана. Возможно, именно под влиянием опыта работы над АСК Жарныльский избрал для своего много</w:t>
      </w:r>
      <w:r w:rsidRPr="00A3026E">
        <w:rPr>
          <w:rFonts w:ascii="Times New Roman" w:hAnsi="Times New Roman"/>
          <w:color w:val="000000" w:themeColor="text1"/>
          <w:sz w:val="16"/>
          <w:szCs w:val="16"/>
        </w:rPr>
        <w:softHyphen/>
        <w:t>местного планера двухфюзеляжную схему, которая, к тому же, позволила ему применить весьма необычный способ буксировки (об этом ниже). Вообще же двухфю</w:t>
      </w:r>
      <w:r w:rsidRPr="00A3026E">
        <w:rPr>
          <w:rFonts w:ascii="Times New Roman" w:hAnsi="Times New Roman"/>
          <w:color w:val="000000" w:themeColor="text1"/>
          <w:sz w:val="16"/>
          <w:szCs w:val="16"/>
        </w:rPr>
        <w:softHyphen/>
        <w:t>зеляжная компоновка уже встречалась к тому времени в ряде советских конструкций – таких, как четырёхместный планер Г-3 В.К.Грибовского (проект 1926 г.), его же пасса</w:t>
      </w:r>
      <w:r w:rsidRPr="00A3026E">
        <w:rPr>
          <w:rFonts w:ascii="Times New Roman" w:hAnsi="Times New Roman"/>
          <w:color w:val="000000" w:themeColor="text1"/>
          <w:sz w:val="16"/>
          <w:szCs w:val="16"/>
        </w:rPr>
        <w:softHyphen/>
        <w:t>жирский планер Г-11 (проект 1932 г.), проект пассажир</w:t>
      </w:r>
      <w:r w:rsidRPr="00A3026E">
        <w:rPr>
          <w:rFonts w:ascii="Times New Roman" w:hAnsi="Times New Roman"/>
          <w:color w:val="000000" w:themeColor="text1"/>
          <w:sz w:val="16"/>
          <w:szCs w:val="16"/>
        </w:rPr>
        <w:softHyphen/>
        <w:t xml:space="preserve">ского самолёта «Авиавнито ЦАГИ-3» с двумя фюзеляжами на 7 пассажиров каждый. </w:t>
      </w:r>
    </w:p>
    <w:p w14:paraId="4C76AD0C" w14:textId="77777777" w:rsidR="0095280D" w:rsidRPr="00A3026E" w:rsidRDefault="0095280D" w:rsidP="00A3026E">
      <w:pPr>
        <w:pStyle w:val="Pa151"/>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Жарныльский придерживался мнения, что традици</w:t>
      </w:r>
      <w:r w:rsidRPr="00A3026E">
        <w:rPr>
          <w:rFonts w:ascii="Times New Roman" w:hAnsi="Times New Roman" w:cs="Times New Roman"/>
          <w:color w:val="000000" w:themeColor="text1"/>
          <w:sz w:val="16"/>
          <w:szCs w:val="16"/>
        </w:rPr>
        <w:softHyphen/>
        <w:t>онный способ буксировки планера на тросе за самолётом обладает многочисленными серьёзными недостатками и осложняет практическое применение грузо-пассажирских и специальных планеров. Решение проблемы он увидел в непосредственном «</w:t>
      </w:r>
      <w:r w:rsidRPr="00A3026E">
        <w:rPr>
          <w:rFonts w:ascii="Times New Roman" w:hAnsi="Times New Roman" w:cs="Times New Roman"/>
          <w:iCs/>
          <w:color w:val="000000" w:themeColor="text1"/>
          <w:sz w:val="16"/>
          <w:szCs w:val="16"/>
        </w:rPr>
        <w:t>придании самолёта планеру на время буксировки</w:t>
      </w:r>
      <w:r w:rsidRPr="00A3026E">
        <w:rPr>
          <w:rFonts w:ascii="Times New Roman" w:hAnsi="Times New Roman" w:cs="Times New Roman"/>
          <w:color w:val="000000" w:themeColor="text1"/>
          <w:sz w:val="16"/>
          <w:szCs w:val="16"/>
        </w:rPr>
        <w:t>». Самолёт должен был превратиться в винто</w:t>
      </w:r>
      <w:r w:rsidRPr="00A3026E">
        <w:rPr>
          <w:rFonts w:ascii="Times New Roman" w:hAnsi="Times New Roman" w:cs="Times New Roman"/>
          <w:color w:val="000000" w:themeColor="text1"/>
          <w:sz w:val="16"/>
          <w:szCs w:val="16"/>
        </w:rPr>
        <w:softHyphen/>
        <w:t xml:space="preserve">моторную группу планера, жёстко с ним связанную. При этом имелось в виду использование истребителя. </w:t>
      </w:r>
    </w:p>
    <w:p w14:paraId="7FD976A7" w14:textId="77777777" w:rsidR="0095280D" w:rsidRPr="00A3026E" w:rsidRDefault="0095280D" w:rsidP="00A3026E">
      <w:pPr>
        <w:pStyle w:val="Pa151"/>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 xml:space="preserve">В проекте в качестве «тягача» был указан американский истребитель </w:t>
      </w:r>
      <w:r w:rsidRPr="00A3026E">
        <w:rPr>
          <w:rFonts w:ascii="Times New Roman" w:hAnsi="Times New Roman" w:cs="Times New Roman"/>
          <w:bCs/>
          <w:color w:val="000000" w:themeColor="text1"/>
          <w:sz w:val="16"/>
          <w:szCs w:val="16"/>
        </w:rPr>
        <w:t xml:space="preserve">ХР-37 </w:t>
      </w:r>
      <w:r w:rsidRPr="00A3026E">
        <w:rPr>
          <w:rFonts w:ascii="Times New Roman" w:hAnsi="Times New Roman" w:cs="Times New Roman"/>
          <w:color w:val="000000" w:themeColor="text1"/>
          <w:sz w:val="16"/>
          <w:szCs w:val="16"/>
        </w:rPr>
        <w:t xml:space="preserve">фирмы Кертисс с мотором мощностью 1000 л.с. и весом (как указано в проекте) 2500 кг, который с 1937 г. проходил испытания в США, правда, без большого успеха. Вероятно, американский истребитель мыслился как условный аналог одного из наших новых истребителей (например, Як-1), которые тогда ещё являлись секретными. Об использовании «американца» явно не могло быть и речи – его приобретение не планировалось и было на тот момент нереально, да и в серию он не пошёл. Правда, полётный вес наших новых машин – Як-1, ЛаГГ-1/3, МиГ-1/3 – превышал указанные в проекте Жарныльского 2500 кг и был где-то на уровне 2950-3300 кг. </w:t>
      </w:r>
    </w:p>
    <w:p w14:paraId="54A9E7F1" w14:textId="77777777" w:rsidR="0095280D" w:rsidRPr="00A3026E" w:rsidRDefault="0095280D" w:rsidP="00A3026E">
      <w:pPr>
        <w:pStyle w:val="Pa151"/>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 xml:space="preserve">Автор проекта допускал и возможность применения истребителей с мотором меньшей мощности – 650-850 л.с. </w:t>
      </w:r>
    </w:p>
    <w:p w14:paraId="1533EB62" w14:textId="77777777" w:rsidR="0095280D" w:rsidRPr="00A3026E" w:rsidRDefault="0095280D" w:rsidP="00A3026E">
      <w:pPr>
        <w:pStyle w:val="Pa151"/>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Истребитель должен был подвешиваться снизу под центропланом высокорасположенного крыла. Он жёстко крепился к планеру в трёх точках: две под фюзеляжами и одна под центропланом. Центры тяжести самолёта и планера в горизонтальном полёте находились на одной совпадающей вертикали. Во время взлёта и совместной посадки самолёт и планер должны были производить разбег/пробег на своих собственных шасси (предусматри</w:t>
      </w:r>
      <w:r w:rsidRPr="00A3026E">
        <w:rPr>
          <w:rFonts w:ascii="Times New Roman" w:hAnsi="Times New Roman" w:cs="Times New Roman"/>
          <w:color w:val="000000" w:themeColor="text1"/>
          <w:sz w:val="16"/>
          <w:szCs w:val="16"/>
        </w:rPr>
        <w:softHyphen/>
        <w:t>валась компенсация от небольших толчков на кочковатом травяном аэродроме). В обоих случаях это было убира</w:t>
      </w:r>
      <w:r w:rsidRPr="00A3026E">
        <w:rPr>
          <w:rFonts w:ascii="Times New Roman" w:hAnsi="Times New Roman" w:cs="Times New Roman"/>
          <w:color w:val="000000" w:themeColor="text1"/>
          <w:sz w:val="16"/>
          <w:szCs w:val="16"/>
        </w:rPr>
        <w:softHyphen/>
        <w:t>ющееся шасси с двумя основными опорами и хвостовым колесом. В выпущенном положении основные колёса планера находились на одном уровне с выпущенными колёсами самолёта. Возможность посадки планера вместе с самолётом-буксировщиком рассматривалась автором проекта как одно из преимуществ данного способа букси</w:t>
      </w:r>
      <w:r w:rsidRPr="00A3026E">
        <w:rPr>
          <w:rFonts w:ascii="Times New Roman" w:hAnsi="Times New Roman" w:cs="Times New Roman"/>
          <w:color w:val="000000" w:themeColor="text1"/>
          <w:sz w:val="16"/>
          <w:szCs w:val="16"/>
        </w:rPr>
        <w:softHyphen/>
        <w:t>ровки по сравнению с тросовым. В проекте отмечалось: «</w:t>
      </w:r>
      <w:r w:rsidRPr="00A3026E">
        <w:rPr>
          <w:rFonts w:ascii="Times New Roman" w:hAnsi="Times New Roman" w:cs="Times New Roman"/>
          <w:iCs/>
          <w:color w:val="000000" w:themeColor="text1"/>
          <w:sz w:val="16"/>
          <w:szCs w:val="16"/>
        </w:rPr>
        <w:t>В целях достижения единства управления группой самолёта и планера, на последнем сектор газа дубли</w:t>
      </w:r>
      <w:r w:rsidRPr="00A3026E">
        <w:rPr>
          <w:rFonts w:ascii="Times New Roman" w:hAnsi="Times New Roman" w:cs="Times New Roman"/>
          <w:iCs/>
          <w:color w:val="000000" w:themeColor="text1"/>
          <w:sz w:val="16"/>
          <w:szCs w:val="16"/>
        </w:rPr>
        <w:softHyphen/>
        <w:t>рован. Функции же пилота на самолёте, на время букси</w:t>
      </w:r>
      <w:r w:rsidRPr="00A3026E">
        <w:rPr>
          <w:rFonts w:ascii="Times New Roman" w:hAnsi="Times New Roman" w:cs="Times New Roman"/>
          <w:iCs/>
          <w:color w:val="000000" w:themeColor="text1"/>
          <w:sz w:val="16"/>
          <w:szCs w:val="16"/>
        </w:rPr>
        <w:softHyphen/>
        <w:t>ровки до момента его отцепления, сведены к функциям бортового механика, т.е. в основном к наблюдению за приборами моторной группы и своевременной сигнали</w:t>
      </w:r>
      <w:r w:rsidRPr="00A3026E">
        <w:rPr>
          <w:rFonts w:ascii="Times New Roman" w:hAnsi="Times New Roman" w:cs="Times New Roman"/>
          <w:iCs/>
          <w:color w:val="000000" w:themeColor="text1"/>
          <w:sz w:val="16"/>
          <w:szCs w:val="16"/>
        </w:rPr>
        <w:softHyphen/>
        <w:t>зации пилоту планера</w:t>
      </w:r>
      <w:r w:rsidRPr="00A3026E">
        <w:rPr>
          <w:rFonts w:ascii="Times New Roman" w:hAnsi="Times New Roman" w:cs="Times New Roman"/>
          <w:color w:val="000000" w:themeColor="text1"/>
          <w:sz w:val="16"/>
          <w:szCs w:val="16"/>
        </w:rPr>
        <w:t xml:space="preserve">». </w:t>
      </w:r>
    </w:p>
    <w:p w14:paraId="03D9D87C"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касается конструкции самого планера, то главные моменты заключались в следующем. Избранная Жарныльским двухфюзеляжная схема предусматривала использование высокорасположенного свободнонесущего крыла размахом в 27,0 м при длине аппарата, равной 14 м. Между фюзеляжами располагался прямоугольный в плане центроплан увеличенной хорды, снабжённый щитком типа Кальм.</w:t>
      </w:r>
    </w:p>
    <w:p w14:paraId="5752C445" w14:textId="77777777" w:rsidR="0095280D" w:rsidRPr="00A3026E" w:rsidRDefault="0095280D" w:rsidP="00A3026E">
      <w:pPr>
        <w:pStyle w:val="Pa151"/>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С внешней стороны фюзеляжей пристыковывались консоли меньшей хорды, имевшие небольшой угол поперечного V. «</w:t>
      </w:r>
      <w:r w:rsidRPr="00A3026E">
        <w:rPr>
          <w:rFonts w:ascii="Times New Roman" w:hAnsi="Times New Roman" w:cs="Times New Roman"/>
          <w:iCs/>
          <w:color w:val="000000" w:themeColor="text1"/>
          <w:sz w:val="16"/>
          <w:szCs w:val="16"/>
        </w:rPr>
        <w:t>Для сохранения поперечной устойчи</w:t>
      </w:r>
      <w:r w:rsidRPr="00A3026E">
        <w:rPr>
          <w:rFonts w:ascii="Times New Roman" w:hAnsi="Times New Roman" w:cs="Times New Roman"/>
          <w:iCs/>
          <w:color w:val="000000" w:themeColor="text1"/>
          <w:sz w:val="16"/>
          <w:szCs w:val="16"/>
        </w:rPr>
        <w:softHyphen/>
        <w:t>вости при передирании планера на концах консолей крыла имеются постоянные щели длиной 3,5 мтр. каждая. Элероны щелевые</w:t>
      </w:r>
      <w:r w:rsidRPr="00A3026E">
        <w:rPr>
          <w:rFonts w:ascii="Times New Roman" w:hAnsi="Times New Roman" w:cs="Times New Roman"/>
          <w:color w:val="000000" w:themeColor="text1"/>
          <w:sz w:val="16"/>
          <w:szCs w:val="16"/>
        </w:rPr>
        <w:t xml:space="preserve">». </w:t>
      </w:r>
    </w:p>
    <w:p w14:paraId="1D405FE3" w14:textId="77777777" w:rsidR="0095280D" w:rsidRPr="00A3026E" w:rsidRDefault="0095280D" w:rsidP="00A3026E">
      <w:pPr>
        <w:pStyle w:val="Pa151"/>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Конструкция крыла – однолонжеронная, причём на консолях лонжероны имели коробчатое сечение, а лонжерон центроплана выполнялся в виде круглой трубы и служил одновременно бензобаком (алюминиевый бак был заармирован в трубу из шпона, пропитанного цемен</w:t>
      </w:r>
      <w:r w:rsidRPr="00A3026E">
        <w:rPr>
          <w:rFonts w:ascii="Times New Roman" w:hAnsi="Times New Roman" w:cs="Times New Roman"/>
          <w:color w:val="000000" w:themeColor="text1"/>
          <w:sz w:val="16"/>
          <w:szCs w:val="16"/>
        </w:rPr>
        <w:softHyphen/>
        <w:t xml:space="preserve">тирующим составом). </w:t>
      </w:r>
    </w:p>
    <w:p w14:paraId="49AB529E" w14:textId="77777777" w:rsidR="0095280D" w:rsidRPr="00A3026E" w:rsidRDefault="0095280D" w:rsidP="00A3026E">
      <w:pPr>
        <w:pStyle w:val="Pa151"/>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 xml:space="preserve">Хвостовые части фюзеляжей заканчивались обычными плоскостями вертикального оперения и соединялись между собой горизонтальным оперением постоянной хорды. Стабилизатор имел два лонжерона, к заднему из которых крепился костыль. Руль высоты снабжался триммером. </w:t>
      </w:r>
    </w:p>
    <w:p w14:paraId="4C8D585B" w14:textId="77777777" w:rsidR="0095280D" w:rsidRPr="00A3026E" w:rsidRDefault="0095280D" w:rsidP="00A3026E">
      <w:pPr>
        <w:pStyle w:val="Pa151"/>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В каждом из двух фюзеляжей должны были разме</w:t>
      </w:r>
      <w:r w:rsidRPr="00A3026E">
        <w:rPr>
          <w:rFonts w:ascii="Times New Roman" w:hAnsi="Times New Roman" w:cs="Times New Roman"/>
          <w:color w:val="000000" w:themeColor="text1"/>
          <w:sz w:val="16"/>
          <w:szCs w:val="16"/>
        </w:rPr>
        <w:softHyphen/>
        <w:t xml:space="preserve">щаться в один ряд друг за другом по пять человек. В носовой части левого фюзеляжа располагался пилот, за ним – четыре пассажира. В правом фюзеляже все пять мест отводились пассажирам. Полезная нагрузка, исходя из условий конкурса, была взята 5 чел. по 100 кг; в этом случае для увеличения дальности планер мог нести запас горючего 1000 кг. Второй вариант нагрузки включал 10 чел. – 1000 кг и 500 кг горючего. </w:t>
      </w:r>
    </w:p>
    <w:p w14:paraId="6583768B" w14:textId="77777777" w:rsidR="0095280D" w:rsidRPr="00A3026E" w:rsidRDefault="0095280D" w:rsidP="00A3026E">
      <w:pPr>
        <w:pStyle w:val="Pa151"/>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 xml:space="preserve">Полётный вес планера был принят равным 2700 кг, а вес истребителя-буксировщика – 2500 кг, так что общий полётный вес сцепки получался равным 5200 кг. Основной материал конструкции планера – дерево, с незначительным применением металла. Каждый из фюзеляжей типа монокок имел продольно-поперечный набор, обшитый фанерой переменной толщины. </w:t>
      </w:r>
    </w:p>
    <w:p w14:paraId="7F67AA61" w14:textId="77777777" w:rsidR="0095280D" w:rsidRPr="00A3026E" w:rsidRDefault="0095280D" w:rsidP="00A3026E">
      <w:pPr>
        <w:pStyle w:val="Pa151"/>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В доступных материалах нет сведений, рассматривался ли проект Жарныльского специалистами. Ясно лишь, что проект хода не получил (19724).</w:t>
      </w:r>
    </w:p>
    <w:p w14:paraId="47003D0E" w14:textId="77777777" w:rsidR="0095280D" w:rsidRPr="00A3026E" w:rsidRDefault="0095280D" w:rsidP="00A3026E">
      <w:pPr>
        <w:pStyle w:val="Pa151"/>
        <w:spacing w:line="240" w:lineRule="auto"/>
        <w:jc w:val="both"/>
        <w:rPr>
          <w:rFonts w:ascii="Times New Roman" w:hAnsi="Times New Roman" w:cs="Times New Roman"/>
          <w:color w:val="000000" w:themeColor="text1"/>
          <w:sz w:val="16"/>
          <w:szCs w:val="16"/>
        </w:rPr>
      </w:pPr>
    </w:p>
    <w:p w14:paraId="6F3318A0" w14:textId="77777777" w:rsidR="0014077F" w:rsidRPr="00A3026E" w:rsidRDefault="0014077F" w:rsidP="00A3026E">
      <w:pPr>
        <w:pStyle w:val="a3"/>
        <w:widowControl/>
        <w:rPr>
          <w:color w:val="000000" w:themeColor="text1"/>
          <w:lang w:val="ru-RU"/>
        </w:rPr>
      </w:pPr>
      <w:r w:rsidRPr="00A3026E">
        <w:rPr>
          <w:color w:val="000000" w:themeColor="text1"/>
          <w:lang w:val="ru-RU"/>
        </w:rPr>
        <w:t>10 декабря 1940 года Вознеснскому Н.А.</w:t>
      </w:r>
    </w:p>
    <w:p w14:paraId="1644AA76" w14:textId="77777777" w:rsidR="0014077F" w:rsidRPr="00A3026E" w:rsidRDefault="0014077F" w:rsidP="00A3026E">
      <w:pPr>
        <w:pStyle w:val="a3"/>
        <w:widowControl/>
        <w:rPr>
          <w:color w:val="000000" w:themeColor="text1"/>
          <w:lang w:val="ru-RU"/>
        </w:rPr>
      </w:pPr>
      <w:r w:rsidRPr="00A3026E">
        <w:rPr>
          <w:color w:val="000000" w:themeColor="text1"/>
          <w:lang w:val="ru-RU"/>
        </w:rPr>
        <w:t>НКАП – Шахурин просит разрешения пересмотреть смету на строительство аэродинамической лаборатории МАИ.</w:t>
      </w:r>
    </w:p>
    <w:p w14:paraId="634C3FEA" w14:textId="77777777" w:rsidR="0014077F" w:rsidRPr="00A3026E" w:rsidRDefault="0014077F" w:rsidP="00A3026E">
      <w:pPr>
        <w:pStyle w:val="a3"/>
        <w:widowControl/>
        <w:rPr>
          <w:color w:val="000000" w:themeColor="text1"/>
          <w:lang w:val="ru-RU"/>
        </w:rPr>
      </w:pPr>
      <w:r w:rsidRPr="00A3026E">
        <w:rPr>
          <w:color w:val="000000" w:themeColor="text1"/>
          <w:lang w:val="ru-RU"/>
        </w:rPr>
        <w:t>Первоначальная смета на строительство была утверждена в 1937 году на сумму 4579 тыс. руб:</w:t>
      </w:r>
    </w:p>
    <w:p w14:paraId="7F3CE60C" w14:textId="77777777" w:rsidR="0014077F" w:rsidRPr="00A3026E" w:rsidRDefault="0014077F" w:rsidP="00A3026E">
      <w:pPr>
        <w:pStyle w:val="a3"/>
        <w:widowControl/>
        <w:rPr>
          <w:color w:val="000000" w:themeColor="text1"/>
          <w:lang w:val="ru-RU"/>
        </w:rPr>
      </w:pPr>
      <w:r w:rsidRPr="00A3026E">
        <w:rPr>
          <w:color w:val="000000" w:themeColor="text1"/>
          <w:lang w:val="ru-RU"/>
        </w:rPr>
        <w:t>В 1938 году Кагановичем М.М. была принята новая смета на сумму 5195 тыс. руб.</w:t>
      </w:r>
    </w:p>
    <w:p w14:paraId="5E5245BB" w14:textId="77777777" w:rsidR="0014077F" w:rsidRPr="00A3026E" w:rsidRDefault="0014077F" w:rsidP="00A3026E">
      <w:pPr>
        <w:pStyle w:val="a3"/>
        <w:widowControl/>
        <w:rPr>
          <w:color w:val="000000" w:themeColor="text1"/>
          <w:lang w:val="ru-RU"/>
        </w:rPr>
      </w:pPr>
      <w:r w:rsidRPr="00A3026E">
        <w:rPr>
          <w:color w:val="000000" w:themeColor="text1"/>
          <w:lang w:val="ru-RU"/>
        </w:rPr>
        <w:t>По данным начальника Отдела капитального строительства ГУУЗа НКАП Макашина на 1 декабря 1940 года израсходовано на строительство лаборатории 6661 тыс. руб.</w:t>
      </w:r>
    </w:p>
    <w:p w14:paraId="1549FC04" w14:textId="77777777" w:rsidR="0014077F" w:rsidRPr="00A3026E" w:rsidRDefault="0014077F" w:rsidP="00A3026E">
      <w:pPr>
        <w:pStyle w:val="a3"/>
        <w:widowControl/>
        <w:rPr>
          <w:color w:val="000000" w:themeColor="text1"/>
          <w:lang w:val="ru-RU"/>
        </w:rPr>
      </w:pPr>
      <w:r w:rsidRPr="00A3026E">
        <w:rPr>
          <w:color w:val="000000" w:themeColor="text1"/>
          <w:lang w:val="ru-RU"/>
        </w:rPr>
        <w:t>Зам. управляющего Промбанка Шнуров против пересмотра сметы возражений не имеет (согласовано лично).</w:t>
      </w:r>
    </w:p>
    <w:p w14:paraId="5255DA34" w14:textId="77777777" w:rsidR="0014077F" w:rsidRPr="00A3026E" w:rsidRDefault="0014077F" w:rsidP="00A3026E">
      <w:pPr>
        <w:pStyle w:val="a3"/>
        <w:widowControl/>
        <w:rPr>
          <w:color w:val="000000" w:themeColor="text1"/>
          <w:lang w:val="ru-RU"/>
        </w:rPr>
      </w:pPr>
      <w:r w:rsidRPr="00A3026E">
        <w:rPr>
          <w:color w:val="000000" w:themeColor="text1"/>
          <w:lang w:val="ru-RU"/>
        </w:rPr>
        <w:t>Считаю необходимым просьбу Шахурина удовлетворить.</w:t>
      </w:r>
    </w:p>
    <w:p w14:paraId="42A0D1EF" w14:textId="77777777" w:rsidR="0014077F" w:rsidRPr="00A3026E" w:rsidRDefault="0014077F" w:rsidP="00A3026E">
      <w:pPr>
        <w:pStyle w:val="a3"/>
        <w:widowControl/>
        <w:rPr>
          <w:color w:val="000000" w:themeColor="text1"/>
          <w:lang w:val="ru-RU"/>
        </w:rPr>
      </w:pPr>
      <w:r w:rsidRPr="00A3026E">
        <w:rPr>
          <w:color w:val="000000" w:themeColor="text1"/>
          <w:lang w:val="ru-RU"/>
        </w:rPr>
        <w:lastRenderedPageBreak/>
        <w:t>Прошу подписать прилагаемое распоряжение (3377, 93).</w:t>
      </w:r>
    </w:p>
    <w:p w14:paraId="2EA29DE2" w14:textId="77777777" w:rsidR="0014077F" w:rsidRPr="00A3026E" w:rsidRDefault="0014077F" w:rsidP="00A3026E">
      <w:pPr>
        <w:pStyle w:val="a3"/>
        <w:widowControl/>
        <w:rPr>
          <w:color w:val="000000" w:themeColor="text1"/>
          <w:lang w:val="ru-RU"/>
        </w:rPr>
      </w:pPr>
    </w:p>
    <w:p w14:paraId="2F8FBB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г. Болшевский комбинат спортинвентаря по производству обуви, коньков и трикотажа передан из НКЛП РСФСР в систему 2ГУ НКАП и по приказу № 220с от 4.03.1941 г. получил наименование ГС завод № 472 НКАП (ГС Завод № 472 НКАП, НКЭС /г. Костино ст. Болшево Московской обл. п/я 91 (1941 г.);  г. Кузнецк Пензенской обл./). Началась организация производства масляных (ОП-321) и водяных (ОП-ЗЮ, ОП-163, ОП-253) радиаторов, лент- расчалок и чехлов для РГД-33. Перед войной планировалось организовать производство фюзеляжей Су-2.</w:t>
      </w:r>
    </w:p>
    <w:p w14:paraId="382078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1050сс от 8.10.1941 г. завод был эвакуирован 15.10.1941 г. в  г. Кузнецк на территорию Канатной фабрики «Молот» (завод № 34бис НКАП). Новое место размещения было неудачным, т.к. находилось далеко от сырьевой базы и заводов-потребителей, не нашлось места для производства расчалок. Планировалось в конце 1942 г. перевести завод в Куйбышев. В годы войны- производство масло- и водорадиаторов, колес.</w:t>
      </w:r>
    </w:p>
    <w:p w14:paraId="50B302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площадке эвакуированного завода № 472 НКАП был образован его филиал. По приказу № 277с от 14.04.1942 г. он преобразован в филиал завода № 145 НКАП. В соответствии с пост. ГКО № 1868сс от 4.06.1942 г. и приказом № 533с от 16.07.1942 г. на базе филиала создан новый завод № 455 НКАГ1.</w:t>
      </w:r>
    </w:p>
    <w:p w14:paraId="7E7D5A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1942 г. часть оборудования и кадров завода была передана на новые заводы № 455 и № 459 НКАП. По приказу № 735с от 8.12.1943 г. с завода № 472 переведена группа специалистов для усиления ОКБ завода № 219 НКАП.</w:t>
      </w:r>
    </w:p>
    <w:p w14:paraId="29F6E6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424с/81с от 5.11.1945 г. территория завода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w:t>
      </w:r>
    </w:p>
    <w:p w14:paraId="7FFA44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(1939 г.)- И.О. Кузнецов, (03.1941-09.1943 г.-&gt; Ермолов.</w:t>
      </w:r>
    </w:p>
    <w:p w14:paraId="3F2C04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 завода № 472 НКАП /ст. Болшево Московской обл./</w:t>
      </w:r>
    </w:p>
    <w:p w14:paraId="16C281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 по радиаторостроению было организовано при заводе по приказу № 200с от 3.03.1941 г. Для укрепления ОКБ в его состав переведен ряд конструкторов с заводов № 34 и № 84 НКАП.</w:t>
      </w:r>
    </w:p>
    <w:p w14:paraId="3EECEE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668сс от 12.07.1941. ОКБ-472 НКАП с опытным цехом планировалось эвакуировать на завод № 163 в Пензу. Но затем переведено на площадку филиала завода № 34 НКАП в  г. Кузнецк и подчинено ему как ОКБ филиала для работ по плану завода. Гл. конструктор С.Н. Рыбкин снят с должности, старая тематика ликвидирована.</w:t>
      </w:r>
    </w:p>
    <w:p w14:paraId="228090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(03-07.1941 г.)- С.Н. Рыбкин (11982).</w:t>
      </w:r>
    </w:p>
    <w:p w14:paraId="39321D29" w14:textId="77777777" w:rsidR="006F1BF6" w:rsidRPr="00A3026E" w:rsidRDefault="006F1BF6" w:rsidP="00A3026E">
      <w:pPr>
        <w:spacing w:after="0" w:line="240" w:lineRule="auto"/>
        <w:jc w:val="both"/>
        <w:rPr>
          <w:rFonts w:ascii="Times New Roman" w:hAnsi="Times New Roman"/>
          <w:color w:val="000000" w:themeColor="text1"/>
          <w:sz w:val="16"/>
          <w:szCs w:val="16"/>
        </w:rPr>
      </w:pPr>
    </w:p>
    <w:p w14:paraId="52958D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г. по приказу № 722 Фабрика музыкальных инструментов им. 5-летия Октября была передана из НК местной промышленности РСФСР в систему 4ГУ НКАП. По приказу № 10с от 8.01.1941 г. новый завод получил наименование ГС Завод № 474 НКАП (ГС Завод № 474 НКАП / г. Москва, ул. Бахметовская, 13 (ул. Образцова);  г. Свердловск/).</w:t>
      </w:r>
    </w:p>
    <w:p w14:paraId="4E53FF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Продолжено производство запальных трубок УТ-36 и звукоулавливателей ЗП-2. Налажено изготовление сильфонов для манометрических приборов.</w:t>
      </w:r>
    </w:p>
    <w:p w14:paraId="0783B3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213сс от 20.07.1941 г. и приказами № 738сс от 24.07.1941 г., № 894сс от 22.08.1941 г. и № 1057сс от 10.10.1941 г. еще строящийся завод № 474 5ГУ НКАП эвакуирован в Свердловск на площадку Энергомеханического техникума НКПС. Продолжено производство запальных трубок УТ-36, ГТК-2, сильфонов.</w:t>
      </w:r>
    </w:p>
    <w:p w14:paraId="628E50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распоряжением СНК № 21822-рс от 24.11.1944 г. и по приказу НКАП № 21с от 24.01.1945 г. завод № 474 с 1.01.1945 г. влит в состав завода № 214 5ГУ и исключен из числа действующих.</w:t>
      </w:r>
    </w:p>
    <w:p w14:paraId="08C155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(1941-01.1943 г.-)- И.С. Алешин, (09.1943 г.)- Жердев, (-01.1945 г.)- И.Б. Литенецкий.</w:t>
      </w:r>
    </w:p>
    <w:p w14:paraId="7C037F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Завода № 474 НКАП /г. Москва, ул. Бахметовская (ул. Образцова)/</w:t>
      </w:r>
    </w:p>
    <w:p w14:paraId="2D3814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63с от 25.01.1942 г. на площадке эвакуированного завода № 474 НКАП началось формирование Ремонтных мастерских по приборам в системе 5ГУ НКАП. Затем в 01.1942 г. мастерские преобразованы в филиал завода № 474.</w:t>
      </w:r>
    </w:p>
    <w:p w14:paraId="5B7FF6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Вскоре в соответствии с пост. ГКО № 1543 от 5.04.1942 г. и приказом № 269с от 10.04.1942 г. филиал завода № 474 был преобразован в ГС завод № 118 НКАП для производства манометрических приборов- манометров масла и бензина и аэротермометров.</w:t>
      </w:r>
    </w:p>
    <w:p w14:paraId="571B42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(01.1942 г.-)- Н.Б. Валаев.</w:t>
      </w:r>
    </w:p>
    <w:p w14:paraId="4BE527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(01.1942 г.-)- Гаврилин (11982).</w:t>
      </w:r>
    </w:p>
    <w:p w14:paraId="312CC398" w14:textId="77777777" w:rsidR="006F1BF6" w:rsidRPr="00A3026E" w:rsidRDefault="006F1BF6" w:rsidP="00A3026E">
      <w:pPr>
        <w:spacing w:after="0" w:line="240" w:lineRule="auto"/>
        <w:jc w:val="both"/>
        <w:rPr>
          <w:rFonts w:ascii="Times New Roman" w:hAnsi="Times New Roman"/>
          <w:color w:val="000000" w:themeColor="text1"/>
          <w:sz w:val="16"/>
          <w:szCs w:val="16"/>
        </w:rPr>
      </w:pPr>
    </w:p>
    <w:p w14:paraId="1D585B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г. по приказу № 711с/277с завод «Красный плуг» НКСМ (ранее действовал в НКВ) был передан в ведение 6ГУ НКАП для производства деталей самолетов. По приказу № 72с от 27.01.1941 г. новый завод получил наименование ГС завод № 477. Перед войной налажено производство крыльев и оперения для «СБ» и ДБ-3.</w:t>
      </w:r>
    </w:p>
    <w:p w14:paraId="61C41A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1050сс от 8.10.1941 г. завод № 477 эвакуирован в Красноярск на площадку Красноярского Ремонтного завода им. Побежимова ГУСМП</w:t>
      </w:r>
      <w:r w:rsidRPr="00A3026E">
        <w:rPr>
          <w:rFonts w:ascii="Times New Roman" w:hAnsi="Times New Roman"/>
          <w:iCs/>
          <w:color w:val="000000" w:themeColor="text1"/>
          <w:sz w:val="16"/>
          <w:szCs w:val="16"/>
        </w:rPr>
        <w:t xml:space="preserve"> (Побежимов - в 1937 г. бортмеханик ГУСМП)</w:t>
      </w:r>
      <w:r w:rsidRPr="00A3026E">
        <w:rPr>
          <w:rFonts w:ascii="Times New Roman" w:hAnsi="Times New Roman"/>
          <w:color w:val="000000" w:themeColor="text1"/>
          <w:sz w:val="16"/>
          <w:szCs w:val="16"/>
        </w:rPr>
        <w:t xml:space="preserve"> и площади ДК. Изготовление запчастей для ПС-84.</w:t>
      </w:r>
    </w:p>
    <w:p w14:paraId="3B2688F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643с/0112с от 21.08.1942 г., в связи с организацией в Красноярске Центральной авиаремонтной базы Управления Полярной авиации ГУСМП, завод № 477 был освобожден от работ по ремонту самолетов и моторов для УПА ГУСМП. Соответствующее оборудование и кадры были переданы в УПА ГУСМП.</w:t>
      </w:r>
    </w:p>
    <w:p w14:paraId="5061DF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2643с от 20.12.1942 г. и приказом № 904с/479с от 23.12.1942 г. завод № 477 в Лаптево передан в ведение Главуглемаша НКугля (может быть, имеется в виду площадка завода). В начале 1942 г. в Красноярске был завод № 477бис.)</w:t>
      </w:r>
    </w:p>
    <w:p w14:paraId="55BE5A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267с от 3.05.1943 г. на площадку завода перебазируется ОКБ Бериева (окончание в 06.1943 г.). Бериев назначен гл. конструктором завода. С 1.05.1943 г., в связи с организацией производства Бе-4, завод передан из 6ГУ в ЮГУ.</w:t>
      </w:r>
    </w:p>
    <w:p w14:paraId="02A154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441с/Р258с от 13.11.1945 г. завод № 477 со всем оборудованием и кадрами передан ГУСМП. ОКБ Бериева в конце декабря возвращается в Таганрог на завод № 86.</w:t>
      </w:r>
    </w:p>
    <w:p w14:paraId="022A37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1950 г. завод перепрофилирован на судостроение.</w:t>
      </w:r>
    </w:p>
    <w:p w14:paraId="289952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(1941 г.-)- Ф. Г. Нестеров, (01.1943 г.)- П.П. Смирнов, (-05.1943-11.1945 г.-)- ИЛ. Рехтман.</w:t>
      </w:r>
    </w:p>
    <w:p w14:paraId="1D06B5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(05.1943 г.-)-  Г.М. Бериев.</w:t>
      </w:r>
    </w:p>
    <w:p w14:paraId="25653A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.летающие лодки: КОР-2 (1944-45)- 38, ЛЛ-143 (1945)- 1.</w:t>
      </w:r>
    </w:p>
    <w:p w14:paraId="378565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Заводской № 4770305.</w:t>
      </w:r>
    </w:p>
    <w:p w14:paraId="1393FD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Красноярский Ремонтный завод им. Побежимова ГУСМП / г. Красноярск/</w:t>
      </w:r>
    </w:p>
    <w:p w14:paraId="2F8319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Авиаремонтный завод основан в 1934 г. на базе бывших мастерских по ремонту катеров Главсевморпути, строительство начато 10.08.1935 г. Введен в эксплуатацию в 1940 г.</w:t>
      </w:r>
    </w:p>
    <w:p w14:paraId="538231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01.1942 г. влит в состав эвакуированного на его площадку по приказу № 1050сс от 8.10.1941 г. завода № 477 НКАП.</w:t>
      </w:r>
    </w:p>
    <w:p w14:paraId="449FCC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ОКБ-477 НКАП гл. конструктора  Г.М. Бериева</w:t>
      </w:r>
    </w:p>
    <w:p w14:paraId="41633D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267с от 3.05.1943 г. для организации производства Бе-4 ОКБ-288 гл. конструктора  Г.М. Бериева переведено в Красноярск на завод № 477, где действовало под названием ОКБ-477.</w:t>
      </w:r>
    </w:p>
    <w:p w14:paraId="1743D4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Создан морской самолет-разведчик ЛЛ-143 (првый полет 6.09.1945 г.).</w:t>
      </w:r>
    </w:p>
    <w:p w14:paraId="20495F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463с от 24.11.1945 г. ОКБ-477 в конце 12.1945 г. возвращается со всем личным составом (150 ИТР и 250 рабочих) и оборудованием в Таганрог на завод № 86 (прибыло в 02.1946 г.). По приказу № 404с от 26.06.1946 г. там на базе ОКБ-477 организован опытный завод № 49 МАП.</w:t>
      </w:r>
    </w:p>
    <w:p w14:paraId="39D6F8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 Полярной авиации</w:t>
      </w:r>
    </w:p>
    <w:p w14:paraId="06F8FA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1948 г.- переделка гидросамолета ГСТ под двигатели АШ-82ФН. Переделка осуществлялась на заводе</w:t>
      </w:r>
    </w:p>
    <w:p w14:paraId="18C01F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М.А. Мостовой (11982).</w:t>
      </w:r>
    </w:p>
    <w:p w14:paraId="1D8A5E2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04A988B"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8CAE3F0"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0A9747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Style w:val="af0"/>
          <w:rFonts w:ascii="Times New Roman" w:hAnsi="Times New Roman"/>
          <w:i w:val="0"/>
          <w:iCs w:val="0"/>
          <w:color w:val="000000" w:themeColor="text1"/>
          <w:sz w:val="16"/>
          <w:szCs w:val="16"/>
        </w:rPr>
        <w:t>10 декабря 1940</w:t>
      </w:r>
      <w:r w:rsidRPr="00A3026E">
        <w:rPr>
          <w:rFonts w:ascii="Times New Roman" w:hAnsi="Times New Roman"/>
          <w:color w:val="000000" w:themeColor="text1"/>
          <w:sz w:val="16"/>
          <w:szCs w:val="16"/>
        </w:rPr>
        <w:t xml:space="preserve"> было подготовлено Спецсообщение В.Н. Меркулова и Б.З. Кобулова И.В. Сталину о расследовании причин пожара на пороховом заводе № 5331/б </w:t>
      </w:r>
    </w:p>
    <w:p w14:paraId="688DA7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 секретно </w:t>
      </w:r>
    </w:p>
    <w:p w14:paraId="1D6EE4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ЦК ВКП(б) товарищу Сталину,</w:t>
      </w:r>
    </w:p>
    <w:p w14:paraId="424C09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НКВД СССР в результате расследования причин происшедшего 26-ого сентября 1940 года пожара на пороховом заводе № 9 (гор. Шостка) Наркомата Боеприпасов СССР, при котором погибло 15 и было ранено 18 рабочих, арестованы: </w:t>
      </w:r>
    </w:p>
    <w:p w14:paraId="7A05FD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ИВАНОВ Леонид Петрович — бывший директор завода № 9; </w:t>
      </w:r>
    </w:p>
    <w:p w14:paraId="52DF61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КОРШИН Георгий Ефимович — бывший главный инженер того же завода. </w:t>
      </w:r>
    </w:p>
    <w:p w14:paraId="5EB3FE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ИВАНОВ признался в том, что с 1937 года являлся участником антисоветской организации, существовавшей в Наркомате Оборонной Промышленности, в которую был вовлечен бывшим начальником 4-го Спецсектора Гипроспецхима КОСТЕЦКИМ Н.Л. (умер в тюрьме). </w:t>
      </w:r>
    </w:p>
    <w:p w14:paraId="3A4A56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ИВАНОВ по заданию КОСТЕЦКОГО в 1938 году установил связь по вражеской работе с бывшим председателем 3 секции Технического Совета Наркомата Боеприпасов ЯНОВЫМ Г.Г. (арестован). </w:t>
      </w:r>
    </w:p>
    <w:p w14:paraId="50F2B75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Будучи назначен в 1938 году директором завода № 9 (гор. Шостка), ИВАНОВ проводил вредительскую работу, которая заключалась в затягивании пуска в эксплуатацию новых агрегатов, некомплектном монтаже оборудования и систематическом нарушении правил техники безопасности. </w:t>
      </w:r>
    </w:p>
    <w:p w14:paraId="0A7096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сентябре 1940 года ИВАНОВ получил от ЯНОВА задание — в целях срыва установленного правительством плана выпуска порохов на одном из объектов 5-го (порохового) производства подготовить и осуществить диверсионный акт. </w:t>
      </w:r>
    </w:p>
    <w:p w14:paraId="1C3BCD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ЯНОВ, как показывает ИВАНОВ, подчеркнул, что объектом для диверсии им избран завод № 9, потому что он дает 22% общесоюзной выработки порохов. </w:t>
      </w:r>
    </w:p>
    <w:p w14:paraId="3D3433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предложению того же ЯНОВА, ИВАНОВ привлек к вражеской работе бывшего главного инженера завода № 9 — КОРШИНА Г.Е. (арестован по настоящему делу). </w:t>
      </w:r>
    </w:p>
    <w:p w14:paraId="169AEA7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Договорившись заблаговременно между собой, ИВАНОВ и КОРШИН на 25 и 26 сентября с.г. предложили 5-му производству умышленно завышенный план выпуска пороха, загрузив аппарат мешки БОРа (Бюро Опытных Работ) в два раза выше порции. Так как аппарат мешки имеет большое количество трущихся металлических частей, перегрузка привела к появлению искр и воспламенению пороховой пыли. В результате — 26-го сентября в 8 часов 30 минут утра на заводе № 9 произошел пожар. </w:t>
      </w:r>
    </w:p>
    <w:p w14:paraId="50225A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КОРШИН признался в том, что с 1934 года являлся участником антисоветской организации, существовавшей в Наркомате Оборонной Промышленности, в которую был вовлечен бывшим главным инженером Казанского порохового завода № 40 — ЛАПСАЛЕМ К.Г. (осужден к ВМН). </w:t>
      </w:r>
    </w:p>
    <w:p w14:paraId="51074C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КОРШИН подтвердил показания ИВАНОВА о том, что ими по заданию ЯНОВА умышленно был перегружен вдвое аппарат мешки БОРа, следствием чего явился пожар 26-го сентября с.г. </w:t>
      </w:r>
    </w:p>
    <w:p w14:paraId="1FFC94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Показаниями ИВАНОВА и КОРШИНА во вражеской работе на заводе № 9 изобличены: </w:t>
      </w:r>
    </w:p>
    <w:p w14:paraId="37CBFC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АФАНАСЬЕВ Николай Дмитриевич — бывший начальник отдела техники безопасности; </w:t>
      </w:r>
    </w:p>
    <w:p w14:paraId="27A74D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ЗАМЕС Петр Гаврилович — бывший главный механик сектора капитального строительства; </w:t>
      </w:r>
    </w:p>
    <w:p w14:paraId="586497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КАРПЕНКО Александр Яковлевич — бывший механик 5-ого производства; </w:t>
      </w:r>
    </w:p>
    <w:p w14:paraId="261791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АНИКЕЕВ Виктор Михайлович — бывший начальник 54 мастерской 5-го производства; </w:t>
      </w:r>
    </w:p>
    <w:p w14:paraId="712892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КОЛПИНА Ольга Ивановна — бывший начальник 5-ого (порохового) производства. </w:t>
      </w:r>
    </w:p>
    <w:p w14:paraId="3C8B48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 перечисленные лица НКВД СССР арестованы. </w:t>
      </w:r>
    </w:p>
    <w:p w14:paraId="4666345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АФАНАСЬЕВ признался в том, что являлся участником антисоветской вредительской группы, существовавшей на заводе № 9, в которую был вовлечен в 1940 году ИВАНОВЫМ Л.П. </w:t>
      </w:r>
    </w:p>
    <w:p w14:paraId="59F3F1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АФАНАСЬЕВ по заданиям ИВАНОВА проводил вредительскую работу на заводе № 9, которая выражалась в следующем: </w:t>
      </w:r>
    </w:p>
    <w:p w14:paraId="7E934E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допускал ввод в эксплуатацию новых объектов с недоделками; </w:t>
      </w:r>
    </w:p>
    <w:p w14:paraId="7449D1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умышленно создавал скопление большого количества порохов около производственных зданий, что создавало благоприятные условия для возникновения пожара. v ЗАМЕС признался в том, что с 1940 года являлся участником антисоветской группы, действовавшей на заводе № 9, в которую был вовлечен ИВАНОВЫМ Л.П. </w:t>
      </w:r>
    </w:p>
    <w:p w14:paraId="4F0608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ЗАМЕС подтвердил показания ИВАНОВА и КОРШИНА о том, что в результате вражеской работы участников антисоветской группы 26-го сентября 1940 года произошел пожар здания мешки БОРа. Чтобы скрыть следы преступления, совершенного антисоветской группой, ЗАМЕС после пожара 30 сентября с.г. представил фиктивный акт на произведенные работы по устранению недоделок на мешке БОРа, указав, что этот акт якобы был составлен 7-го мая 1940 года. </w:t>
      </w:r>
    </w:p>
    <w:p w14:paraId="357ED7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КАРПЕНКО признался в том, что допускал систематическое нарушение правил техники безопасности и не принимал необходимых мер к очистке от отработанного пироксилина бассейнов, а также пустил в действие аппарат мешки БОРа без заземления, что способствовало возникновению пожара. </w:t>
      </w:r>
    </w:p>
    <w:p w14:paraId="5E2029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АНИКЕЕВ показал, что лично выполнил указание ИВАНОВА и КОРШИНА, пустив в ход перегруженный вдвое аппарат мешки БОРа, в результате чего и произошел пожар. </w:t>
      </w:r>
    </w:p>
    <w:p w14:paraId="12EF33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КОЛПИНА показала, что по ее преступной халатности аппарат мешки БОРа был пущен с рядом недоделок, а около производственных зданий хранилось большое количество порохов, что и привело к тяжелым последствиям во время пожара 26-го сентября с.г. </w:t>
      </w:r>
    </w:p>
    <w:p w14:paraId="7D9678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Следствие продолжается. </w:t>
      </w:r>
    </w:p>
    <w:p w14:paraId="10A08F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ПРИЛОЖЕНИЕ: 1) Показания ИВАНОВА Л.П. от 29-го октября 1940 года. </w:t>
      </w:r>
    </w:p>
    <w:p w14:paraId="7AA403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Показания КОРШИНА Г.Е. от 31 октября 1940 года. </w:t>
      </w:r>
    </w:p>
    <w:p w14:paraId="0135BE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народного комиссара внутренних дел Союза ССР Меркулов</w:t>
      </w:r>
    </w:p>
    <w:p w14:paraId="05CA02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Главного экономического управления НКВД СССР Кобулов</w:t>
      </w:r>
    </w:p>
    <w:p w14:paraId="31CDA3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АП РФ. Ф. 3. Оп. 58. Д. 343а. Л. 165—170. Подлинник. Машинопись. </w:t>
      </w:r>
    </w:p>
    <w:p w14:paraId="3903EF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Публикуется без приложения (11430).</w:t>
      </w:r>
    </w:p>
    <w:p w14:paraId="67199CF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CA7F4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Style w:val="af0"/>
          <w:rFonts w:ascii="Times New Roman" w:hAnsi="Times New Roman"/>
          <w:i w:val="0"/>
          <w:iCs w:val="0"/>
          <w:color w:val="000000" w:themeColor="text1"/>
          <w:sz w:val="16"/>
          <w:szCs w:val="16"/>
        </w:rPr>
        <w:t>10 декабря 1940</w:t>
      </w:r>
      <w:r w:rsidRPr="00A3026E">
        <w:rPr>
          <w:rFonts w:ascii="Times New Roman" w:hAnsi="Times New Roman"/>
          <w:color w:val="000000" w:themeColor="text1"/>
          <w:sz w:val="16"/>
          <w:szCs w:val="16"/>
        </w:rPr>
        <w:t xml:space="preserve"> было подготовлено Спецсообщение В.Н. Меркулова и Б.З. Кобулова И.В. Сталину о проверке аппарата наркомата боеприпасов с приложением протоколов допроса А.Ф. Сидора и Б.А. Ефремова № 5333/Б </w:t>
      </w:r>
    </w:p>
    <w:p w14:paraId="325B5F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 СЕКРЕТНО* </w:t>
      </w:r>
    </w:p>
    <w:p w14:paraId="765E9C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ЦК ВКП(б) — тов. Сталину,</w:t>
      </w:r>
    </w:p>
    <w:p w14:paraId="26A60C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процессе проверки аппарата Народного Комиссариата Боеприпасов НКВД СССР были арестованы: </w:t>
      </w:r>
    </w:p>
    <w:p w14:paraId="4B45E0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ЕФРЕМОВ Борис Алексеевич — бывший начальник 2-го Главного Управления; </w:t>
      </w:r>
    </w:p>
    <w:p w14:paraId="52C35C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СИДОРА Александр Федосеевич — бывший начальник Технического Совета Наркомата; </w:t>
      </w:r>
    </w:p>
    <w:p w14:paraId="2BC19D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ЧЕРНЯЕВ Анатолий Федорович — бывший заместитель главного инженера 2-го Главного Управления; </w:t>
      </w:r>
    </w:p>
    <w:p w14:paraId="3DCFBD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ЯНОВ Георгий Григорьевич — бывший председатель 3-й секции Технического Совета Наркомата. </w:t>
      </w:r>
    </w:p>
    <w:p w14:paraId="65B342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ЕФРЕМОВ Б.А. признался в том, что с 1933 года являлся участником антисоветской организации, существовавшей в системе Оборонной промышленности, в которую был вовлечен бывшим директором Сталинградского завода «Баррикады» БУДНЯКОМ Д.С. (осужден к ВМН). </w:t>
      </w:r>
    </w:p>
    <w:p w14:paraId="28FC3E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1934 году по договоренности БУДНЯКА с бывшим заместителем начальника Главного Военно-Мобилизационного Управления (ГВМУ) Наркомтяжпрома троцкистом ЕРМАНОМ С.З. (осужден к ВМН) ЕФРЕМОВ был переведен на работу в Москву в качестве помощника бывшего начальника ГВМУ ПАВЛУНОВСКОГО И.П. и в 1936 году, при содействии того же ЕРМАНА, выдвинут директором капсюльного и гранатного завода № 11 Наркомата Боеприпасов СССР в Загорске. </w:t>
      </w:r>
    </w:p>
    <w:p w14:paraId="6FEE31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Вскоре после перехода на завод № 11 с ЕФРЕМОВЫМ, в том же 1936 году, по антисоветской работе связался бывший секретарь парткома завода № 11 ЗОМБЕ Г.В. (в 1938 году был осужден к заключению в исправительно-трудовой лагерь, где и умер). </w:t>
      </w:r>
    </w:p>
    <w:p w14:paraId="1FF320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ЕФРЕМОВ* был информирован ЗОМБЕ о наличии на заводе антисоветской группы и принадлежности к ней бывшего начальника гильзовой мастерской завода № 11, впоследствии заместителя Наркома Боеприпасов ИНЯШКИНА М.С.** (снят с работы) и бывшего начальника 1-го цеха завода, в настоящее время Зам. Наркома Боеприпасов СССР, Шибанова В.Я. </w:t>
      </w:r>
    </w:p>
    <w:p w14:paraId="4D23F9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Весной 1937 года ЕФРЕМОВ установил непосредственную связь по вражеской работе с Шибановым, использовав для этого срыв производственной программы завода по трассирующим средствам, проведенный Шибановым (см. страницу 9 показаний ЕФРЕМОВА). </w:t>
      </w:r>
    </w:p>
    <w:p w14:paraId="78383A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 слов Шибанова ЕФРЕМОВУ стало известно о причастности к вражеской работе бывшего начальника цеха № 5 завода, впоследствии заместителя главного инженера 2-го Главного Управления Наркомата Боеприпасов ЧЕРНЯЕВА А.Ф. (арестован). </w:t>
      </w:r>
    </w:p>
    <w:p w14:paraId="202000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Вредительская работа ЕФРЕМОВА, проводившаяся им на заводе № 11 совместно с Шибановым, заключалась в следующем: </w:t>
      </w:r>
    </w:p>
    <w:p w14:paraId="06C0C2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в создании диспропорции при строительстве производственных и подсобных цехов, задержке строительства противопожарного водопровода и переоборудования энергетического хозяйства завода; </w:t>
      </w:r>
    </w:p>
    <w:p w14:paraId="2BF6C1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игнорировании техники безопасности, что приводило к неоднократным взрывам с человеческими жертвами; </w:t>
      </w:r>
    </w:p>
    <w:p w14:paraId="3474A05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систематическом снижении выпуска специальных видов продукции, предназначенных для Красной Армии (см. стр. 10, 11, 12 показаний ЕФРЕМОВА). </w:t>
      </w:r>
    </w:p>
    <w:p w14:paraId="793935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Назначенный заместителем Наркома Боеприпасов ИНЯШКИН содействовал выдвижению на работу в Наркомат Боеприпасов в качестве члена Коллегии участника антисоветской организации Шибанова В.Я., впоследствии назначенного Зам. Наркома Боеприпасов СССР. </w:t>
      </w:r>
    </w:p>
    <w:p w14:paraId="22C18E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свою очередь ЕФРЕМОВЫМ в качестве заместителя главного инженера 2-го Главного Управления Наркомата был переведен с завода № 11 участник организации ЧЕРНЯЕВ, с которым им была установлена непосредственная связь по вражеской работе. </w:t>
      </w:r>
    </w:p>
    <w:p w14:paraId="76734B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Антисоветскую работу ЕФРЕМОВ продолжал и в Наркомате Боеприпасов. </w:t>
      </w:r>
    </w:p>
    <w:p w14:paraId="401268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Вредительская работа ЕФРЕМОВА в Наркомате заключалась в следующем: </w:t>
      </w:r>
    </w:p>
    <w:p w14:paraId="1D435E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задержке строительства новых снаряжательных заводов, а также дублерных баз по снаряжению ручных гранат; </w:t>
      </w:r>
    </w:p>
    <w:p w14:paraId="3C8448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срыве выпуска капсюлей-воспламенителей ШКАС (см. стр. 13, 14, 15, 16 показаний ЕФРЕМОВА). </w:t>
      </w:r>
    </w:p>
    <w:p w14:paraId="39E78C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Работа по срыву выпуска капсюлей ШКАС ЕФРЕМОВЫМ была поручена ЧЕРНЯЕВУ, который предложил заводам вместо импортного шеллака применять в производстве капсюлей идитол по неотработанной рецептуре. </w:t>
      </w:r>
    </w:p>
    <w:p w14:paraId="0301E3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Работа по срыву выполнения производственной программы снаряжательных заводов ЕФРЕМОВЫМ проводилась под руководством Шибанова, с которым он восстановил связь по вражеской работе весной 1940 года (см. стр. 16, 17, 18 показаний ЕФРЕМОВА). </w:t>
      </w:r>
    </w:p>
    <w:p w14:paraId="7A88F7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СИДОРА А.Ф.*** признался в том, что к антисоветской работе был привлечен в 1932 году бывшим директором Харьковского тракторного завода СВИСТУНОМ П.И. (осужден к ВМН). </w:t>
      </w:r>
    </w:p>
    <w:p w14:paraId="739799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1936 году СИДОРА при содействии СВИСТУНА был переведен на работу в Москву в качестве директора авиационного завода № 1, а в 1938 году был назначен главным инженером Главного Управления Боеприпасов Наркомата оборонной промышленности. </w:t>
      </w:r>
    </w:p>
    <w:p w14:paraId="19E37B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Будучи в 1932 году информирован СВИСТУНОМ о причастности к антисоветской группе на Харьковском тракторном заводе бывшего начальника литейного цеха ХТЗ, в настоящее время директора Московского снарядного завода № 70 Наркомата Боеприпасов ХОХУЛИ В.И.***, в 1938 году СИДОРА установил с последним непосредственную связь по вражеской работе (см. стр. 5, 9, 10 показаний СИДОРА). </w:t>
      </w:r>
    </w:p>
    <w:p w14:paraId="47077F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Вредительская работа СИДОРЫ в Наркомате Боеприпасов заключалась в следующем: </w:t>
      </w:r>
    </w:p>
    <w:p w14:paraId="05C482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умышленной неотработке технологического процесса изготовления железных артиллерийских гильз, в результате чего брак составил 50% всей выпущенной продукции; </w:t>
      </w:r>
    </w:p>
    <w:p w14:paraId="5EC26C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срыве предусмотренного специальным решением правительства выпуска железных свертных гильз; </w:t>
      </w:r>
    </w:p>
    <w:p w14:paraId="63D7FB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задержке освоения в производстве 122 мм пушечных гильз путем поставок для их изготовления недоброкачественного металла (см. стр. 11, 12, 13). </w:t>
      </w:r>
    </w:p>
    <w:p w14:paraId="6FE9C8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ЧЕРНЯЕВ А.Ф.*** признался в том, что являлся участником вредительской организации, существовавшей в системе оборонной промышленности, и как на заводе № 11, так и во 2-ом Главном Управлении Наркомата Боеприпасов СССР проводил вражескую работу по заданию арестованного по настоящему делу ЕФРЕМОВА Б.А. </w:t>
      </w:r>
    </w:p>
    <w:p w14:paraId="76B944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ЧЕРНЯЕВ показал, что по заданию ЕФРЕМОВА он не принял необходимых мер к отработке технологии производства на заводах № 5 и № 53 капсюлей-воспламенителей ШКАС, вследствие чего имел место массовый брак; намеренно задерживал развитие инструментального хозяйства тех же заводов, а также не отработал конструкции взрывателей к снарядам, минам и авиабомбам. </w:t>
      </w:r>
    </w:p>
    <w:p w14:paraId="3C81CD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ЯНОВ Г.Г.*** признался в том, что проводил вредительскую работу в Техническом Совете Наркомата Боеприпасов и умышленно допускал хранение большого количества порохов у производственных зданий пороховых заводов, что вызывало частые самовозгорания. Вместе с тем ЯНОВ отрицает свою причастность к диверсионному акту на пороховом заводе № 9 (гор. Шостка), в результате которого 26-го сентября с.г. погибло 15 и было ранено 18 рабочих. </w:t>
      </w:r>
    </w:p>
    <w:p w14:paraId="5AA272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Между тем арестованные по делу о пожаре на заводе № 9 бывший директор ИВАНОВ Л.П. и главный инженер КОРШИН Г.Е., признавшись в принадлежности к антисоветской организации, показали, что взрыв на заводе № 9 явился результатом подготовленной и осуществленной ими по заданию ЯНОВА диверсии. </w:t>
      </w:r>
    </w:p>
    <w:p w14:paraId="24FC9DF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Показания ИВАНОВА и КОРШИНА представляются особо. </w:t>
      </w:r>
    </w:p>
    <w:p w14:paraId="0A4565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Так как ЧЕРНЯЕВ и ЯНОВ скрывают весь объем проводившейся ими в действительности антисоветской работы, допросы их продолжаем и показания будут представлены дополнительно. v Представляя при этом протоколы допросов ЕФРЕМОВА Б.А. от 6-го декабря 1940 года и СИДОРА А.Ф. от 29-го ноября 1940 года, НКВД СССР считает необходимым арестовать: </w:t>
      </w:r>
    </w:p>
    <w:p w14:paraId="2348262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ШИБАНОВА Василия Яковлевича — Заместителя Наркома Боеприпасов СССР. </w:t>
      </w:r>
    </w:p>
    <w:p w14:paraId="21EC6A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ИНЯШКИНА Михаила Степановича — бывшего заместителя Наркома Боеприпасов СССР, снят с работы ЦК ВКП(б). </w:t>
      </w:r>
    </w:p>
    <w:p w14:paraId="05C743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ХОХУЛЮ Владимира Ивановича — директора завода № 70 Наркомата Боеприпасов СССР. </w:t>
      </w:r>
    </w:p>
    <w:p w14:paraId="48670F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ХОХУЛЯ во вражеской работе изобличается также показаниями содержащегося ныне под стражей бывшего главного металлурга завода № 70 ВЕРЖИНСКОГО Ю.И., связанного по вредительству с ХОХУЛЕЙ по заводу № 70 до 1940 года и осужденных к ВМН начальника чугунолитейного цеха Челябинского тракторного завода ЛЯСКОВСКОГО П.В. и бывшего главного инженера того же завода ГУРЕВИЧА Е.И. </w:t>
      </w:r>
    </w:p>
    <w:p w14:paraId="34CA52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Просим Ваших указаний. </w:t>
      </w:r>
    </w:p>
    <w:p w14:paraId="50BAB1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ПРИЛОЖЕНИЕ: по тексту. </w:t>
      </w:r>
    </w:p>
    <w:p w14:paraId="2539B5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народного комиссара внутренних дел Союза ССР Меркулов</w:t>
      </w:r>
    </w:p>
    <w:p w14:paraId="31F1FC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Главного экономического управления НКВД СССР Кобулов</w:t>
      </w:r>
    </w:p>
    <w:p w14:paraId="2B7375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ПРОТОКОЛ ДОПРОСА </w:t>
      </w:r>
    </w:p>
    <w:p w14:paraId="076C07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арестованного СИДОРА Александра Федосеевича, — </w:t>
      </w:r>
    </w:p>
    <w:p w14:paraId="56592E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 29-го ноября 1940 года </w:t>
      </w:r>
    </w:p>
    <w:p w14:paraId="365EF3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СИДОРА А.Ф., 1901 года рождения урож. села Даре-Салын, Крымской АССР, украинец, бывший член ВКП(б) с 1939 года. До ареста — член Технического Совета Наркомата Боеприпасов СССР. </w:t>
      </w:r>
    </w:p>
    <w:p w14:paraId="73C023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На предыдущих допросах вы признались в том, что в 1932 году были вовлечены во вредительскую группу, существовавшую на Харьковском тракторном заводе, бывшим директором того же завода СВИСТУНОМ. </w:t>
      </w:r>
    </w:p>
    <w:p w14:paraId="2D201C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Эти показания вы подтверждаете? </w:t>
      </w:r>
    </w:p>
    <w:p w14:paraId="43E6E4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Да, подтверждаю. </w:t>
      </w:r>
    </w:p>
    <w:p w14:paraId="0BCDC5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Покажите подробно — при каких обстоятельствах вы были привлечены к вражеской работе? </w:t>
      </w:r>
    </w:p>
    <w:p w14:paraId="70310A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Со СВИСТУНОМ Пантелеймоном Ивановичем я познакомился в 1930 году на Харьковском тракторном заводе, где работал в должности начальника кузнечно-прессового цеха. В том же 1930 году я дважды был направлен СВИСТУНОМ в служебную командировку в Америку и пробыл за границей около 8-ми месяцев. </w:t>
      </w:r>
    </w:p>
    <w:p w14:paraId="2463DB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Пребывание и внешняя сторона жизни в Америке сказались на моих политических настроениях. Я еще не стал окончательно оформившимся врагом советской власти, но при случае, делясь своими впечатлениями о пребывании в Америке, высказывал недовольство по поводу жизни в СССР, затруднений в продовольственном снабжении и недостатка товаров широкого потребления. Мои антисоветские настроения систематически подогревались СВИСТУНОМ, который охотно выслушивал мои рассказы об Америке и от себя добавлял антисоветскую критику положения в СССР. </w:t>
      </w:r>
    </w:p>
    <w:p w14:paraId="25FAB0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Убедившись в том, что я разделяю его враждебное отношение к существующему строю, СВИСТУН стал приглашать меня к себе на дом. С 1931 года я уже постоянно посещал квартиру СВИСТУНА вместе с другими руководящими работниками завода. </w:t>
      </w:r>
    </w:p>
    <w:p w14:paraId="1D4A79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Назовите их. </w:t>
      </w:r>
    </w:p>
    <w:p w14:paraId="4D2F82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Кроме меня, СВИСТУНА на дому посещали: его заместитель — *ШНЕЕРСОН Борис Маркович*, главный инженер завода — БРУСКИН Александр Давыдович, начальник инструментального цеха — *АЛЬБОВ Павел Александрович* и начальник литейного цеха — ХОХУЛЯ Владимир Иванович. </w:t>
      </w:r>
    </w:p>
    <w:p w14:paraId="32B4A1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 они составляли окружение СВИСТУНА и пользовались его поддержкой. </w:t>
      </w:r>
    </w:p>
    <w:p w14:paraId="56AE35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 время сборищ, происходивших на квартире у СВИСТУНА и сопровождавшихся постоянными выпивками, разговоры велись не только вокруг дел завода, но и в целом — положения в промышленности, при этом раздавались антипартийные выпады против руководства ЦК ВКП(б). </w:t>
      </w:r>
    </w:p>
    <w:p w14:paraId="7445F3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СВИСТУН заявлял, что политика коллективизации — ему не по душе, что колхозы себя не оправдали и приводят, якобы, к упадку сельского хозяйства. Он говорил, что нажимать нам на выпуск тракторов не следует, что крестьяне на них работать не сумеют, так как до трактора не доросли. </w:t>
      </w:r>
    </w:p>
    <w:p w14:paraId="3A9ECE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СВИСТУН не стеснялся в моем присутствии высказывать свое враждебное отношение к партии, но в существо практической вражеской работы, проводившейся на Харьковском тракторном заводе, посвятил меня только в 1932 году, когда убедился, что я до конца разделяю его антисоветские взгляды. </w:t>
      </w:r>
    </w:p>
    <w:p w14:paraId="7956C5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конце сентября или в первых числах октября 1932 года СВИСТУН пригласил меня для беседы к себе на квартиру. Оставшись со мной наедине, он заявил, что положение становится катастрофическим и «надо спасать отечество». Эту фразу я воспроизвожу дословно, так как она особенно запомнилась мне из продолжительной беседы, которую я имел тогда со СВИСТУНОМ. Он много говорил о невозможности, якобы, освоить множество новых предприятий, построенных за последнее время, о нежизненности колхозов, недостатке одежды, обуви, продуктов питания, о том, что политика индустриализации и коллективизации встречает, якобы, враждебное отношение к себе со стороны населения. В заключение беседы СВИСТУН сказал: «Люди, одинаково с нами мыслящие, должны восстать против существующих в стране несправедливостей». </w:t>
      </w:r>
    </w:p>
    <w:p w14:paraId="10F495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мой вопрос — а имеются ли люди, способные это сделать, — СВИСТУН ответил, что с политикой партии не согласен ряд руководящих работников на Украине, но фамилий, вероятно из осторожности, не назвал, ограничившись лишь указанием, что тайно от партии эти люди ведут свою работу, и предложил мне примкнуть к ним. </w:t>
      </w:r>
    </w:p>
    <w:p w14:paraId="12127F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СВИСТУН при этом сказал, что мне уже пора от сочувствия его взглядам перейти к делу, а я заверил СВИСТУНА, что готов действовать по его указаниям. На этом наша беседа закончилась. </w:t>
      </w:r>
    </w:p>
    <w:p w14:paraId="6AB706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встрече, состоявшейся через несколько дней, СВИСТУН в развитие прежнего разговора сообщил мне, что на ХТЗ им объединена группа лиц, несогласных с политикой партии и стоящих за практическую поддержку правых. Далее СВИСТУН назвал: БРУСКИНА, ШНЕЕРСОНА, АЛЬБОВА и ХОХУЛЮ, которые на заводе, каждый на своем участке, проводят вредительскую работу. </w:t>
      </w:r>
    </w:p>
    <w:p w14:paraId="0A8038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этой же беседе СВИСТУНОМ передо мной была поставлена конкретная задача проведения вредительской работы: при изготовлении деталей к тракторам применять недоброкачественный материал. </w:t>
      </w:r>
    </w:p>
    <w:p w14:paraId="74096F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вы это задание выполнили? </w:t>
      </w:r>
    </w:p>
    <w:p w14:paraId="28FAE0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Ответ: Да, в своей дальнейшей работе я руководствовался указанием СВИСТУНА. Так, коленчатые валы и распределительные валики для тракторов выпускались мною из недоброкачественного металла с трещинами; тяги — из пленистового металла, а шпоры — из металла с повышенным содержанием фосфора. </w:t>
      </w:r>
    </w:p>
    <w:p w14:paraId="3B7F74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результате проведенной мною вредительской работы только в июле 1933 года до 80% изготовленных коленчатых валов и 30% распределительных валиков были забракованы. </w:t>
      </w:r>
    </w:p>
    <w:p w14:paraId="23B0F5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Будучи в конце 1933 года назначен на ХТЗ начальником производства, я систематически задерживал подачу деталей из литейного и кузнечного — в механосборочный цех. </w:t>
      </w:r>
    </w:p>
    <w:p w14:paraId="56BAA0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Мною систематически задерживался осмотр и ремонт оборудования: транспортеров и сушильной печи — в литейном цехе и станков «уникум» — в механическом цехе; все это сказывалось на выполнении программы и качестве выпускаемой продукции. </w:t>
      </w:r>
    </w:p>
    <w:p w14:paraId="50A1CB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Наряду с этим мною задерживалась подача инструментов в производственные цеха завода, что также нарушало их нормальную работу. </w:t>
      </w:r>
    </w:p>
    <w:p w14:paraId="6A1A25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Вредительскую работу на Харьковском тракторном заводе я проводил с 1933 по 1936 гг. </w:t>
      </w:r>
    </w:p>
    <w:p w14:paraId="08152C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июле 1936 года при содействии СВИСТУНА я был назначен директором авиационного завода № 1 (г. Москва). </w:t>
      </w:r>
    </w:p>
    <w:p w14:paraId="2F5CC3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Перед уходом с ХТЗ я имел беседу с СВИСТУНОМ у него на даче, в предместье Харькова. </w:t>
      </w:r>
    </w:p>
    <w:p w14:paraId="14C797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Воспроизведите содержание этой беседы? </w:t>
      </w:r>
    </w:p>
    <w:p w14:paraId="48118C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СВИСТУН в начале беседы поставил меня в известность, что директором завода я назначен по его рекомендации. Он сказал, что хотя мы и расстаемся, но в Москве на авиационном заводе я должен буду придерживаться той же линии, что и на тракторном заводе в Харькове. </w:t>
      </w:r>
    </w:p>
    <w:p w14:paraId="64460D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Затем СВИСТУН предложил мне по приезде в Москву явиться к начальнику Секретариата Наркомтяжпрома — СЕМУШКИНУ, от которого получить необходимые связи по дальнейшей антисоветской работе в Москве. </w:t>
      </w:r>
    </w:p>
    <w:p w14:paraId="6E71FC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С СЕМУШКИНЫМ вы связались? </w:t>
      </w:r>
    </w:p>
    <w:p w14:paraId="25F4B5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В августе 1936 года я посетил СЕМУШКИНА в Наркомтяжпроме, сказав, что имею к нему поручение от СВИСТУНА. </w:t>
      </w:r>
    </w:p>
    <w:p w14:paraId="37EF5E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СЕМУШКИН на это ответил, что предупрежден обо мне СВИСТУНОМ, и предложил все необходимые указания получить от ТУПОЛЕВА, работавшего в то время главным инженером авиационного Главка Наркомтяжпрома. </w:t>
      </w:r>
    </w:p>
    <w:p w14:paraId="74F9E3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СЕМУШКИН предупредил, что ТУПОЛЕВ сам меня вызовет, когда в этом скажется необходимость. </w:t>
      </w:r>
    </w:p>
    <w:p w14:paraId="318A96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Ваша встреча с ТУПОЛЕВЫМ состоялась? </w:t>
      </w:r>
    </w:p>
    <w:p w14:paraId="2CCD79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Да, в ноябре или декабре 1936 года я был вызван ТУПОЛЕВЫМ к нему в кабинет. </w:t>
      </w:r>
    </w:p>
    <w:p w14:paraId="61B8880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ТУПОЛЕВ предложил от его имени связаться с главным инженером завода № 1 — **ШИКУНОВЫМ Евграфом Порфировичем**, заявив, что последний будет предупрежден о необходимости контактировать со мной всю работу на заводе. </w:t>
      </w:r>
    </w:p>
    <w:p w14:paraId="7F46E2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конце того же 1936 года я установил связь с ШИКУНОВЫМ, совместно с которым на заводе № 1 мною была проведена вредительская работа, направленная к срыву снабжения Красной Армии современными типами боевых самолетов. </w:t>
      </w:r>
    </w:p>
    <w:p w14:paraId="5D6B91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В чем заключалась ваша вредительская работа на заводе № 1? </w:t>
      </w:r>
    </w:p>
    <w:p w14:paraId="02B9CF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Я и ШИКУНОВ отстаивали перед директивными инстанциями выпуск устаревшей конструкции самолета «Эрзет» и саботировали освоение производства новых типов боевых машин. </w:t>
      </w:r>
    </w:p>
    <w:p w14:paraId="2D56EF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Скорость самолета «Эрзет» была на пределе и не удовлетворяла требованиям, предъявлявшимся в авиации в 1936 году. Кроме того, этот самолет (по типу «Р-5») был деревянным и быстро подвергался износу. Зная все это, я и ШИКУНОВ все же отстаивали необходимость выпуска «Эрзета», однако решением правительства этот самолет с производства был снят и заводу было предложено перейти на выпуск металлических самолетов «Вулти» и истребителей «И-15» (модифицированных). </w:t>
      </w:r>
    </w:p>
    <w:p w14:paraId="7B261B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Получив новое правительственное задание, но продолжая еще выпускать негодный «Эрзет», я и ШИКУНОВ одновременно тормозили освоение производства самолета «И-15» путем задержки организации проектирования и изготовления опытных образцов. Мы игнорировали требования, предъявленные заводу конструктором самолета «И-15» — ПОЛИКАРПОВЫМ, несвоевременно предоставили ему помещение и конструкторов, а также задерживали выдачу в производство чертежей. </w:t>
      </w:r>
    </w:p>
    <w:p w14:paraId="7FEBDB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самолету «Вулти» мною и ШИКУНОВЫМ неоднократно изменялись технологические процессы, а также несвоевременно был организован низовой цех, что также вызвало задержку в освоении производства этого типа самолета. </w:t>
      </w:r>
    </w:p>
    <w:p w14:paraId="165E98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августе 1938 года за развал работы на руководимом мною заводе № 1 я был снят с должности директора, а в октябре того же года назначен главным инженером 21-го Главного Управления (Боеприпасов) Наркомата Оборонной Промышленности. </w:t>
      </w:r>
    </w:p>
    <w:p w14:paraId="460D8A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переходом в 21-ое Управление я потерял связь с участниками антисоветской организации в авиационной промышленности. </w:t>
      </w:r>
    </w:p>
    <w:p w14:paraId="10821B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Значит ли это, что вы прекратили свою вражескую работу? </w:t>
      </w:r>
    </w:p>
    <w:p w14:paraId="6A65F8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Я этого не говорю. Возобновление мною вражеской работы произошло при следующих обстоятельствах. В октябре или ноябре 1938 года ко мне на работу, в 21-й Главк, явился ХОХУЛЯ, о причастности которого к вредительской группе на ХТЗ я уже показал выше. </w:t>
      </w:r>
    </w:p>
    <w:p w14:paraId="64EDFD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ХОХУЛЯ в начале беседы высказал свое удовлетворение моим переходом в Главк и, в свою очередь, поставил меня в известность, что работает уже в Москве, директором снарядного завода № 70. </w:t>
      </w:r>
    </w:p>
    <w:p w14:paraId="192807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ХОХУЛЯ спросил — работаю ли я теперь так же, как в свое время — на Харьковском тракторном заводе, при СВИСТУНЕ? Я сказал, что прервал все связи, которые могли бы меня скомпрометировать. </w:t>
      </w:r>
    </w:p>
    <w:p w14:paraId="2FACA1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ХОХУЛЯ, однако, в ответ стал упрекать меня в трусости и необоснованных опасениях. ХОХУЛЯ сказал при этом, что он вот не боится проводить работу на заводе № 70, почему же я должен изменить своим убеждениям, не использовав выгоды своего положения в Наркомате в интересах нашего общего дела. </w:t>
      </w:r>
    </w:p>
    <w:p w14:paraId="0CAD99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Получив от меня согласие возобновить вредительскую работу, ХОХУЛЯ предложил мне связаться с ***КУПЕРОМ Львом Соломоновичем***, работавшим заместителем Главного инженера 21-го Главка. Я обещал ХОХУЛЕ связаться с КУПЕРОМ. </w:t>
      </w:r>
    </w:p>
    <w:p w14:paraId="7AE0AD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Вы это сделали? </w:t>
      </w:r>
    </w:p>
    <w:p w14:paraId="186F83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Это сделал сам КУПЕР. В декабре 1938 года КУПЕР, который знал меня по совместной работе в течение 2-х месяцев в Главке, явился ко мне в кабинет и после непродолжительного разговора по служебным вопросам заявил, что имеет поручение от ХОХУЛИ. </w:t>
      </w:r>
    </w:p>
    <w:p w14:paraId="09108C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результате дальнейшей беседы я связался с КУПЕРОМ, который мне сообщил, что имеет задание — препятствовать производству железных артиллерийских гильз и задерживать выпуски заводами № 176 и № 187 (г. Тула). </w:t>
      </w:r>
    </w:p>
    <w:p w14:paraId="5AFBA5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Я спросил у КУПЕРА — от кого персонально он имеет такое задание, но в этот раз он уклонился от ответа. Лишь в начале 1939 года, после организации Наркомата Боеприпасов, КУПЕР при одной из встреч сообщил, что по вредительской работе получает задания от главного инженера порохового Главка — ЯНОВА Георгия Георгиевича и заместителя Наркомата Боеприпасов — ****ХРЕНКОВА Николая Матвеевича****. </w:t>
      </w:r>
    </w:p>
    <w:p w14:paraId="030764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А вы лично с ними связались? </w:t>
      </w:r>
    </w:p>
    <w:p w14:paraId="4D9ECB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С ЯНОВЫМ и ХРЕНКОВЫМ я лично связан не был, но со слов КУПЕРА знал об их причастности к вредительской группе в Наркомате Боеприпасов. </w:t>
      </w:r>
    </w:p>
    <w:p w14:paraId="5FEE70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установлении связи со мной КУПЕР сказал, что в 21-м Главке нет еще людей, на которых можно было бы опереться, но без них нам не обойтись, поэтому я должен провести соответствующую работу. Я с этим согласился. </w:t>
      </w:r>
    </w:p>
    <w:p w14:paraId="595581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Покажите подробно о всем объеме проведенной вами вредительской работы в Наркомате Боеприпасов. </w:t>
      </w:r>
    </w:p>
    <w:p w14:paraId="40485B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По утвержденному правительством плану в 1939 году заводы №№ 176 и 187 (г. Тула), а также завод № 184 (г. Казань) должны были выпустить около 800 шт. железных артиллерийских гильз. </w:t>
      </w:r>
    </w:p>
    <w:p w14:paraId="32E0CA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Для выполнения программы по железным гильзам необходимо было отработать массовый технологический процесс. Уже в начале 1939 года было очевидно, что существующий на заводе № 176 технологический процесс по горячему способу КУДРЯВЦЕВА не обеспечит как количественного, так и в особенности качественного выполнения программы по железным гильзам. Несмотря на это, я и КУПЕР умышленно не изменяли технологического процесса. КУПЕР снабжал также завод недоброкачественным железом, вследствие чего в 1939 году было сорвано выполнение программы, причем даже из небольшого количества изготовленных гильз — 50% было забраковано. </w:t>
      </w:r>
    </w:p>
    <w:p w14:paraId="74CF7C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заводе № 187 существовал технологический процесс изготовления железных гильз по холодному способу ЛИМа (Ленинградского института металлов). По требованию Артиллерийского Управления Красной Армии, в июле или августе 1939 года чертеж на железные 76 мм гильзы был изменен, однако по моему указанию был неправильно изготовлен вытяжной инструмент. В результате — до 100 тысяч штук гильз оказались негодными. </w:t>
      </w:r>
    </w:p>
    <w:p w14:paraId="56FB1A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1939 году завод № 187 обязан был выпустить один миллион железных свертных артиллерийских гильз. Это решение правительства нами было сорвано, и за 1939 год ни одной свертной гильзы заводом № 187 выпущено не было. </w:t>
      </w:r>
    </w:p>
    <w:p w14:paraId="7A3589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Должен отметить, что решение о производстве свертных гильз было вынесено по инициативе ХРЕНКОВА, который ввел в заблуждение директивные инстанции, не информировав их о том, что завод № 187 совершенно не подготовлен к производству свертных гильз. </w:t>
      </w:r>
    </w:p>
    <w:p w14:paraId="72E619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связи с провалом производства по заводу № 187 в конце 1939 года я был вызван к ХРЕНКОВУ, который предложил мне разверстать по ряду заводов Наркомата Боеприпасов программу выпуска 122 и 152 мм железных гильз. </w:t>
      </w:r>
    </w:p>
    <w:p w14:paraId="00685E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Когда я заметил ХРЕНКОВУ, что на эти гильзы нет даже чертежей, а оборудование заводов не приспособлено к выпуску железных гильз, ХРЕНКОВ сказал, что для него это — не новость, и тут же предложил выполнить его указание, спустив заводам соответствующий план. </w:t>
      </w:r>
    </w:p>
    <w:p w14:paraId="3F0214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Зная, что в 1-ом квартале 1940 года заводы № 176 и № 187 не сумеют освоить выпуск железных гильз новых калибров, что сорвет комплектацию выстрела, ХРЕНКОВ тем не менее дал мне указание — производить железные гильзы, а выпуск латунных гильз приостановить. Это задание ХРЕНКОВА я принял к исполнению и задержал освоение производства железных гильз, чем нанес значительный ущерб государству. </w:t>
      </w:r>
    </w:p>
    <w:p w14:paraId="4DEBD5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Протокол записан с моих слов верно и мною прочитан. </w:t>
      </w:r>
    </w:p>
    <w:p w14:paraId="6B6F27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СИДОРА </w:t>
      </w:r>
    </w:p>
    <w:p w14:paraId="224490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ДОПРОСИЛ: </w:t>
      </w:r>
    </w:p>
    <w:p w14:paraId="3B7935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следователь следчасти ГЭУ НКВД СССР </w:t>
      </w:r>
    </w:p>
    <w:p w14:paraId="340E37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лейтенант гос. безопасности МАРИСОВ </w:t>
      </w:r>
    </w:p>
    <w:p w14:paraId="2074D0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ПРОТОКОЛ ДОПРОСА </w:t>
      </w:r>
    </w:p>
    <w:p w14:paraId="3C63D0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арестованного ЕФРЕМОВА Бориса Алексеевича, </w:t>
      </w:r>
    </w:p>
    <w:p w14:paraId="5C4A48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 6 декабря 1940 года </w:t>
      </w:r>
    </w:p>
    <w:p w14:paraId="28C2CE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ЕФРЕМОВ Б.А., 1903 года рождения, уроженец гор. Москвы, русский, бывш. член ВКП(б) с 1930 года, до ареста — начальник 2-го Главного Управления Наркомата Боеприпасов СССР. </w:t>
      </w:r>
    </w:p>
    <w:p w14:paraId="547F1C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Вы арестованы за проводившуюся вами вражескую работу в системе оборонной промышленности. Намерены ли вы дать исчерпывающие показания по существу предъявленного вам обвинения? </w:t>
      </w:r>
    </w:p>
    <w:p w14:paraId="2B777A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Виновным себя я не признаю, так как вражеской работы никогда не вел. </w:t>
      </w:r>
    </w:p>
    <w:p w14:paraId="21AD32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Как вы попали на работу во 2-ое Главное Управление Наркомата Боеприпасов? </w:t>
      </w:r>
    </w:p>
    <w:p w14:paraId="0C6510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В январе 1939 года я был выдвинут на работу в аппарат Наркомата Боеприпасов с должности директора пиротехнического, капсюльного и гранатного завода № 11, того же Наркомата в гор. Загорске. </w:t>
      </w:r>
    </w:p>
    <w:p w14:paraId="1C2F71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А как вы попали на завод № 11? </w:t>
      </w:r>
    </w:p>
    <w:p w14:paraId="631E59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Директором завода № 11 я был назначен в конце 1936 года при содействии бывшего заместителя начальника Главного Военно-Мобилизационного Управления (ГВМУ) Наркомтяжпрома — троцкиста ЕРМАНА Семена Захаровича, впоследствии арестованного органами НКВД. </w:t>
      </w:r>
    </w:p>
    <w:p w14:paraId="1E6CCD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Где вы работали до вашего назначения на завод № 11? </w:t>
      </w:r>
    </w:p>
    <w:p w14:paraId="4F0D45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В 1934—1935 гг. я работал помощником у ПАВЛУНОВСКОГО Ивана Петровича, являвшегося начальником Главного Военно-Мобилизационного Управления, который в 1937 году также был арестован. </w:t>
      </w:r>
    </w:p>
    <w:p w14:paraId="4B29D4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Кем вы были рекомендованы на работу в Главное Военно-Мобилизационное Управление? </w:t>
      </w:r>
    </w:p>
    <w:p w14:paraId="1ED681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БУДНЯКОМ Даниилом Филипповичем — бывшим директором Сталинградского завода «Баррикады». </w:t>
      </w:r>
    </w:p>
    <w:p w14:paraId="263916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Где он сейчас? </w:t>
      </w:r>
    </w:p>
    <w:p w14:paraId="7721DC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БУДНЯК в 1937 или 1938 гг. был арестован. </w:t>
      </w:r>
    </w:p>
    <w:p w14:paraId="690BB8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Чем же объяснить, что установленные враги рекомендуют вас один другому и выдвигают на руководящую работу? </w:t>
      </w:r>
    </w:p>
    <w:p w14:paraId="01A0B0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Вероятно, ПАВЛУНОВСКИЙ, ЕРМАН и БУДНЯК считали меня «своим человеком». </w:t>
      </w:r>
    </w:p>
    <w:p w14:paraId="0C90A6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На каком основании? </w:t>
      </w:r>
    </w:p>
    <w:p w14:paraId="243FC5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Я считал, что мне доверяли как человеку, который не выдаст, прикроет их преступную работу. </w:t>
      </w:r>
    </w:p>
    <w:p w14:paraId="3D793D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Почему вы так считали? </w:t>
      </w:r>
    </w:p>
    <w:p w14:paraId="6F2B63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Еще задолго до моего выдвижения, в 1933—1934 гг., в неоднократных разговорах со мной, имевших место в Сталинграде, БУДНЯК высказывал свое сочувствие троцкистам и выражал несогласие с политикой партии по колхозному строительству, но я из дружественных чувств к БУДНЯКУ не сообщал в партийные органы об этих его настроениях. </w:t>
      </w:r>
    </w:p>
    <w:p w14:paraId="6E8ACC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Только ли из «дружественных чувств» БУДНЯК делился с вами своими троцкистскими взглядами? </w:t>
      </w:r>
    </w:p>
    <w:p w14:paraId="5DC739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Не отрицаю, что в неоднократных беседах с БУДНЯКОМ я поддерживал его недовольство политикой партии. Видя, что я не разглашаю содержание происходивших между нами антипартийных бесед, БУДНЯК мне доверял. </w:t>
      </w:r>
    </w:p>
    <w:p w14:paraId="3EEE3B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Вы не крутите, а говорите правду о характере своих взаимоотношений с БУДНЯКОМ. </w:t>
      </w:r>
    </w:p>
    <w:p w14:paraId="5464F9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Я буду говорить правду. Еще с 1933 года я был не только политическим единомышленником БУДНЯКА, но был с ним связан и организационно по вражеской работе. </w:t>
      </w:r>
    </w:p>
    <w:p w14:paraId="40CDDD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Покажите подробно — когда и при каких обстоятельствах вами была установлена организационная связь с БУДНЯКОМ? </w:t>
      </w:r>
    </w:p>
    <w:p w14:paraId="34C654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С БУДНЯКОМ я познакомился в 1932 году по совместной работе в Орудийно-арсенальном объединении Наркомтяжпрома СССР. В ноябре 1932 года БУДНЯКОМ я был выдвинут на должность его заместителя по коммерческой части, а в августе 1933 года, после его перевода на работу в Сталинград в качестве директора завода «Баррикады», по настоянию БУДНЯКА я был назначен заместителем директора того же завода. </w:t>
      </w:r>
    </w:p>
    <w:p w14:paraId="37B53E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приезде в Сталинград мы с БУДНЯКОМ поселились в одном доме и часто устраивали попойки с женщинами. На почве близости в быту между нами неоднократно имели место откровенные беседы на политические темы, в которых БУДНЯК жаловался, что его зажимают, не дают ходу, и в то же время высказывал свои симпатии ПЯТАКОВУ, который его во всем поддерживал. </w:t>
      </w:r>
    </w:p>
    <w:p w14:paraId="3F21E6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Видя во мне человека, который ему сочувствовал, БУДНЯК стал открыто высказывать недовольство Центральным Комитетом партии по поводу своего личного положения и одновременно заявлял о нетерпимом — с его точки зрения — отношении к троцкистам. БУДНЯК восхвалял старых троцкистов, подчеркивал их заслуги перед страной и выражал сочувствие троцкистским установкам, заявляя о своем несогласии с линией партии на развитие и укрепление колхозов. В результате бесед с БУДНЯКОМ я вскоре стал разделять его антисоветские взгляды. </w:t>
      </w:r>
    </w:p>
    <w:p w14:paraId="1295BB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ноябре 1933 года участились случаи аварий на основных агрегатах завода «Баррикады». При одном из приглашений меня на его квартиру я обратил внимание БУДНЯКА на это обстоятельство и спросил его — в чем дело? БУДНЯК на это мне сообщил, что на заводе под его руководством объединилась группа работников, разделяющих его «особую» точку зрения на положение в стране, и тут же дал мне понять, что эти аварии являются делом рук этой группы. Продолжая выражать недовольство руководством страны, БУДНЯК сказал, что и я должен примкнуть к этой группировке. </w:t>
      </w:r>
    </w:p>
    <w:p w14:paraId="154B1F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Как вы реагировали на это предложение? </w:t>
      </w:r>
    </w:p>
    <w:p w14:paraId="7DF4CA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Вначале я колебался, не зная — дать ли мне согласие на предложение БУДНЯКА или обратиться в соответствующие органы и разоблачить созданную им группировку, но затем решил, что слишком многое нас связывает, чтобы я мог выдать его. На предложение БУДНЯКА я ответил согласием. </w:t>
      </w:r>
    </w:p>
    <w:p w14:paraId="32FF5C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Назвал ли вам БУДНЯК участников созданной им группы? </w:t>
      </w:r>
    </w:p>
    <w:p w14:paraId="099CD7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В беседе со мной БУДНЯК заявил, что участниками его группировки являются: КАЙТАНОВИЧ — главный механик, ЛЕРНЕР — коммерческий директор, ЧЕРКАСОВ — начальник 1-го цеха и ЛЕБЕДИНСКИЙ — начальник термического цеха завода «Баррикады». ЛЕБЕДИНСКИЙ и КАЙТАНОВИЧ впоследствии были арестованы, а о судьбе *ЧЕРКАСОВА и ЛЕРНЕРА* мне точно ничего не известно. </w:t>
      </w:r>
    </w:p>
    <w:p w14:paraId="60F5B7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Поставил ли перед вами БУДНЯК какие-либо задачи при вербовке вас в антисоветскую группу? </w:t>
      </w:r>
    </w:p>
    <w:p w14:paraId="4D7E17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Как разъяснил мне в той же беседе БУДНЯК, на первое время моя задача сводилась лишь к тому, чтобы не препятствовать проведению вредительской работы на заводе «Баррикады». </w:t>
      </w:r>
    </w:p>
    <w:p w14:paraId="7947D0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Вскоре, однако, я заболел и вынужден был выехать в Москву для проведения длительного курса лечения. </w:t>
      </w:r>
    </w:p>
    <w:p w14:paraId="5328CC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Перед моим отъездом в Москву, в 1934 году, БУДНЯК предложил мне обратиться к заместителю начальника Главного Военно-Мобилизационного Управления (ГВМУ) Наркомтяжпрома — ЕРМАНУ, сказав, что предупредит последнего обо мне. Через ЕРМАНА, заявил БУДНЯК, мы решим вопрос о вашем переводе на работу в Москву. Я обратился к ЕРМАНУ и действительно был им оформлен в должности помощника начальника ГВМУ Наркомтяжпрома — ПАВЛУНОВСКОГО. </w:t>
      </w:r>
    </w:p>
    <w:p w14:paraId="5F3D27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Связались ли вы с ЕРМАНОМ по вражеской работе? </w:t>
      </w:r>
    </w:p>
    <w:p w14:paraId="482CBB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Связи по вражеской работе с ЕРМАНОМ я не устанавливал, но мне было понятно, что БУДНЯК меня рекомендовал ЕРМАНУ как их единомышленника. Однако независимо от этого я пытался на 4-й квартал 1935 года спустить патронным заводам заниженный производственный план, но партийными организациями этих заводов спущенный мною план был расценен как вредительский. Так как вокруг этого дела был поднят шум, держать меня в ГВМУ было невозможно, и я был направлен на 17-й завод (гор. Подольск) в качестве зам. директора по коммерческой части. </w:t>
      </w:r>
    </w:p>
    <w:p w14:paraId="772B1A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Перед поездкой в Подольск я имел разговор с ЕРМАНОМ, который обещал меня вскоре выдвинуть. В сентябре 1936 года при содействии ЕРМАНА я был назначен директором пиротехнического, капсюльного и гранатного завода № 11 (гор. Загорск). </w:t>
      </w:r>
    </w:p>
    <w:p w14:paraId="4BA290F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Вы пытаетесь представить дело так, что после вовлечения вас в антисоветскую группу никакой практической вражеской работы вы не вели. Соответствует ли это действительности? </w:t>
      </w:r>
    </w:p>
    <w:p w14:paraId="36A0D9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Вредительская работа проводилась мною лишь с 1936 года, после моего назначения директором завода № 11. </w:t>
      </w:r>
    </w:p>
    <w:p w14:paraId="53D462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В чем заключалась эта вредительская работа? </w:t>
      </w:r>
    </w:p>
    <w:p w14:paraId="15CA7B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Вскоре после моего назначения директором завода № 11 я установил близкие отношения с секретарем партийного комитета завода ЗОМБЕ Григорием Владимировичем (в 1937 году был арестован). С первых же дней мы сблизились не только по службе, но и в быту. </w:t>
      </w:r>
    </w:p>
    <w:p w14:paraId="13DEC1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В 1936 году мною по рекомендации БУДНЯКА был принят на завод троцкист *БРИЛЛИАНТОВ, вскоре после этого арестованный органами НКВД. Мною также были приняты на завод и другие лица с сомнительным прошлым, в том числе немец РЕЙДЛИХ*, родственники которого проживали за границей, РУДЕНКО, не допущенный к работе на режимном заводе, и другие, фамилий которых сейчас не припоминаю. </w:t>
      </w:r>
    </w:p>
    <w:p w14:paraId="63BE35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 это дало повод ЗОМБЕ к откровенной беседе, в которой он дал мне понять, что готов и впредь поддерживать мою линию в отношении кадров завода. </w:t>
      </w:r>
    </w:p>
    <w:p w14:paraId="131A79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Далее, ЗОМБЕ сообщил мне о том, что он в курсе моей связи с антисоветской организацией в оборонной промышленности, и дал мне понять, что от БУДНЯКА или ЕРМАНА он знал о моей связи с ними. В свою очередь, ЗОМБЕ информировал меня о существовании на заводе № 11 антисоветской группы и ее составе. </w:t>
      </w:r>
    </w:p>
    <w:p w14:paraId="79C67E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Кого персонально назвал вам ЗОМБЕ из участников этой группы? </w:t>
      </w:r>
    </w:p>
    <w:p w14:paraId="4EF993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ЗОМБЕ мне сообщил, что помимо него в группу входят: ШИБАНОВ, работавший тогда начальником 1-го цеха, в настоящее время Зам. Наркома, ИНЯШКИН Михаил Степанович — начальник гильзовой мастерской, в последнее время — Зам. Наркома Боеприпасов, и *****САВИН***** (имени и отчества не помню) — главный инженер завода № 11. </w:t>
      </w:r>
    </w:p>
    <w:p w14:paraId="579D34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Связались ли вы с кем-либо из перечисленных ЗОМБЕ лиц? </w:t>
      </w:r>
    </w:p>
    <w:p w14:paraId="44EA5A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Да, связался. </w:t>
      </w:r>
    </w:p>
    <w:p w14:paraId="6D9B3B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С кем? </w:t>
      </w:r>
    </w:p>
    <w:p w14:paraId="7753B5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С ШИБАНОВЫМ. </w:t>
      </w:r>
    </w:p>
    <w:p w14:paraId="615A1B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Каким образом? </w:t>
      </w:r>
    </w:p>
    <w:p w14:paraId="58DBC2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Весной 1937 года по вине ШИБАНОВА было сорвано выполнение программы завода по трассирующим средствам (стаканчикам). Я вызвал к себе в кабинет ШИБАНОВА и прямо заявил, что от ЗОМБЕ знаю о его, ШИБАНОВЕ, участии в нашей группе и о действительных причинах срыва программы по трассирующим. Я сказал ШИБАНОВУ, что его неосторожность грозит всем нам провалом, и предложил ему в дальнейшем работать более аккуратно. ШИБАНОВ нисколько не удивился моему заявлению и сказал, что примет мои указания к сведению. </w:t>
      </w:r>
    </w:p>
    <w:p w14:paraId="01CB0D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Проводили ли вы на заводе № 11 практическую вражескую работу? </w:t>
      </w:r>
    </w:p>
    <w:p w14:paraId="65D2BC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Да, проводил. </w:t>
      </w:r>
    </w:p>
    <w:p w14:paraId="609087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В чем она выражалась? </w:t>
      </w:r>
    </w:p>
    <w:p w14:paraId="239959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Моя вражеская работа по заводу № 11 заключалась в следующем: </w:t>
      </w:r>
    </w:p>
    <w:p w14:paraId="4D1AF9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создании диспропорции между строительством производственных и вспомогательных цехов, задержке строительства противопожарного водопровода и переоборудования электрохозяйства, в результате чего имело место самовозгорание электропроводов, особо опасное ввиду скопления на заводе большого количества взрывчатых веществ; </w:t>
      </w:r>
    </w:p>
    <w:p w14:paraId="1EF072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игнорировании техники безопасности, что приводило к неоднократным взрывам с человеческими жертвами в цехе № 5 на протяжении 1938—1939 гг., вплоть до моего перехода на работу в Наркомат Боеприпасов; </w:t>
      </w:r>
    </w:p>
    <w:p w14:paraId="095D8D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систематическом снижении выпуска специальных видов продукции, предназначенной для Красной Армии, и соответствующем увеличении объема производства по гражданским заказам, в результате чего завод систематически не выполнял плана по дымовым шашкам «ДМ-11», также по ручным гранатам. </w:t>
      </w:r>
    </w:p>
    <w:p w14:paraId="650565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свою очередь ШИБАНОВЫМ был сорван выпуск запальных трубок Нордельфельда (ЗТН), предназначающихся к 45 мм снарядам. В результате за 1937 и 1938 гг. не было додано на вооружение Красной Армии около 1 миллиона штук запальных трубок. </w:t>
      </w:r>
    </w:p>
    <w:p w14:paraId="1B11FB3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Кроме того, в 1937 году заводом было выпущено несколько сот тысяч сигнальных патрон, гранат и авиасигналов, которые были снаряжены нестойким цветным пироксилионовым порохом и не выдерживали установленных сроков хранения. При практическом применении эти изделия завода давали сигналы не того цвета, ввиду чего подлежали уничтожению. </w:t>
      </w:r>
    </w:p>
    <w:p w14:paraId="1BDF52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Непосредственное участие в осуществлении вредительства по сигнальным патронам и гранатам принимал также бывший начальник 5-го цеха завода, в последнее время — зам. главного инженера 2-го Главного Управления Наркомата Боеприпасов ЧЕРНЯЕВ Анатолий Федорович. </w:t>
      </w:r>
    </w:p>
    <w:p w14:paraId="616484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Что вам известно о ЧЕРНЯЕВЕ? </w:t>
      </w:r>
    </w:p>
    <w:p w14:paraId="682F7B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ЧЕРНЯЕВ — близкий человек ШИБАНОВА. По настоянию ШИБАНОВА ЧЕРНЯЕВ в конце 1937 года был назначен мною главным инженером завода. Тогда же ШИБАНОВ мне сообщил, что ЧЕРНЯЕВ привлечен им к вражеской работе. После этой информации ШИБАНОВА я приблизил к себе ЧЕРНЯЕВА и в дальнейшем контактировал с ним вредительскую работу. </w:t>
      </w:r>
    </w:p>
    <w:p w14:paraId="008F9C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Продолжайте показания о вашей вредительской работе. </w:t>
      </w:r>
    </w:p>
    <w:p w14:paraId="207C55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В 1938 году мною было предпринято переоборудование мастерских № 510, производивших авиасигналы для производства светящейся авиационной бомбы (САБ-3). Однако вместо оборудования кабин, предусмотренных первоначальным проектом, мастерские по измененному впоследствии проекту были оборудованы недоброкачественными щитами. Было очевидно, что щиты не обеспечивают изоляции огня при вспышках факелов на гидравлических прессах. Однако ШИБАНОВ вместе с главным инженером завода КОЗЛОВЫМ Федором Васильевичем намеренно исказили проект и неправильно смонтировали мастерские, в результате чего в 1939 году произошел взрыв, от которого погибло трое рабочих, а мастерская была временно выведена из строя. </w:t>
      </w:r>
    </w:p>
    <w:p w14:paraId="5CECBA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Моя лично вина в осуществлении этого вредительского акта заключается в том, что, будучи уже начальником 2-го Главка Наркомата Боеприпасов, я допустил отступление от проекта и не предотвратил катастрофу. </w:t>
      </w:r>
    </w:p>
    <w:p w14:paraId="00AC75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январе 1939 года я был назначен начальником Центрального Управления снабжения и сбыта Наркомата Боеприпасов, а в мае того же года — начальником 2-го Главного Управления. </w:t>
      </w:r>
    </w:p>
    <w:p w14:paraId="73335F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Одновременно со мной на должность заместителя Наркома Боеприпасов (по кадрам) был назначен ИНЯШКИН М.С., который сразу же начал перетягивать в Наркомат работников завода № 11. Из известных мне участников антисоветской группы по заводу № 11 ИНЯШКИН перевел на работу в Наркомат Боеприпасов ШИБАНОВА, который сначала был введен в состав Коллегии Наркомата, а затем назначен Зам. Наркома. </w:t>
      </w:r>
    </w:p>
    <w:p w14:paraId="14F5E3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свою очередь, мною по рекомендации ШИБАНОВА был взят на работу в Наркомат ЧЕРНЯЕВ и назначен зам. главного инженера 2-го Главного Управления. С переходом ЧЕРНЯЕВА в Наркомат в сентябре 1939 года я установил с ним непосредственную связь по вредительской работе. </w:t>
      </w:r>
    </w:p>
    <w:p w14:paraId="3832BB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Таким образом, в Наркомате Боеприпасов собралась группа бывших работников завода № 11, которая продолжала свою вражескую работу. В эту группу входили: ИНЯШКИН М.С., ШИБАНОВ, ЧЕРНЯЕВ А.Ф. и я — ЕФРЕМОВ. </w:t>
      </w:r>
    </w:p>
    <w:p w14:paraId="0D5965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В чем выражалась ваша вражеская работа в Наркомате Боеприпасов? </w:t>
      </w:r>
    </w:p>
    <w:p w14:paraId="39A72E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Мною было сорвано освоение и производство капсюлей-воспламенителей ШКАС. Заводу № 5 (гор. Ленинград) мною не были даны технические условия на металл и не передан технологический процесс производства капсюлей с завода № 53, имевшего уже соответствующий опыт изготовления этих капсюлей, в результате — до октября 1940 года завод № 5 не имел разработанной технологии производства капсюлей и фактически их не выпускал. </w:t>
      </w:r>
    </w:p>
    <w:p w14:paraId="5DB961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начале 1940 года Комитетом Обороны было поручено Наркомату Боеприпасов впредь применять отечественные заменители шеллака, импортировавшегося из Индии. Разработкой вопроса о переходе на отечественные заменители шеллака при лакировке боеприпасов по 2-му Главку занимались я и ЧЕРНЯЕВ. </w:t>
      </w:r>
    </w:p>
    <w:p w14:paraId="2BE9DE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качестве заменителя импортного шеллака ЧЕРНЯЕВЫМ был предложен идитол. При правильном применении идитола мы действительно освободились бы от необходимости пользования импортным шеллаком, но я и ЧЕРНЯЕВ, не обеспечив отработки рецептуры применения идитола, предложили капсюльным заводам перейти на идитол, в результате чего имел место выпуск массового брака по капсюлям-воспламенителям ШКАС. </w:t>
      </w:r>
    </w:p>
    <w:p w14:paraId="4607A7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 браке по этому виду продукции мне стало известно еще в июле 1940 года, однако никаких мер к предотвращению выпуска брака мною принято не было. </w:t>
      </w:r>
    </w:p>
    <w:p w14:paraId="2EB5F0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результате брак капсюлей-воспламенителей ШКАС по заводу № 53 (г. Шостка) составил 150 млн и по заводу № 5 (г. Ленинград) — 30 млн штук, а государству был причинен убыток в 1 миллион рублей. </w:t>
      </w:r>
    </w:p>
    <w:p w14:paraId="14DC11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Когда в результате произведенного во второй половине 1940 года расследования было установлено, что брак по капсюлям ШКАС произошел вследствие того, что ЧЕРНЯЕВЫМ была рекомендована неотработанная рецептура применения идитолового лака, ЧЕРНЯЕВ стал проявлять беспокойство и в одной из бесед со мной просил, чтобы я выпутал его из этого дела, но я ответил, что сделать уже ничего не смогу, мы провалились и отвечать придется нам обоим. </w:t>
      </w:r>
    </w:p>
    <w:p w14:paraId="5989AF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Мною в 1940 году было также затянуто строительство специальных мастерских по снаряжению корпусов-взрывателей, изготовляемых на гражданских заводах. </w:t>
      </w:r>
    </w:p>
    <w:p w14:paraId="12206D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Еще в ноябре 1939 года правительством было поручено Наркомату Боеприпасов построить в районе Софрино-Загорск завод по снаряжению взрывателей. Вместо выполнения этого задания я предложил снаряжение взрывателей организовать на заводе № 358 (Кунцевский район, под Москвой). Однако переоборудование завода было затянуто, и снаряжение взрывателей на этом заводе до сих пор не производится. </w:t>
      </w:r>
    </w:p>
    <w:p w14:paraId="0108E6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моему указанию на заводе № 358 были сооружены два погреба для хранения капсюлей-детонаторов стоимостью в 100 тысяч рублей, но Московским Советом строительство в городской зоне складов, могущих взорваться, было запрещено, ввиду чего Наркомат Боеприпасов вынужден был начатое строительство свернуть. </w:t>
      </w:r>
    </w:p>
    <w:p w14:paraId="4D7651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Между тем по моему же указанию было приостановлено изыскание площадок для снаряжательного завода в Софрино, в результате по день моего ареста так и не было приступлено к предусмотренному решением правительства строительству нового снаряжательного завода. </w:t>
      </w:r>
    </w:p>
    <w:p w14:paraId="4F1EF8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Наряду с этим не было обеспечено своевременное проектирование новых заводов, в частности завода № 263 в Муроме, завода № 255 в Н. Ломове и площадок, предназначенных для строительства новых заводов по изготовлению взрывателей. В результате капиталовложения, отпускаемые на осуществление нового строительства, не осваиваются и установленные правительством сроки строительства нарушаются. </w:t>
      </w:r>
    </w:p>
    <w:p w14:paraId="723F72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Разве этим ограничивалась ваша вражеская работа в Наркомате Боеприпасов? </w:t>
      </w:r>
    </w:p>
    <w:p w14:paraId="070E4A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Ответ: Я лично вел вражескую работу по срыву строительства новых капсюльно-пиротехнических заводов, а ШИБАНОВЫМ в 1940 году проводилась вредительская работа по срыву выполнения правительственных заданий снаряжательными заводами. </w:t>
      </w:r>
    </w:p>
    <w:p w14:paraId="4A3DAD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заводе № 55 (гор. Павлоград), работой которого непосредственно руководит ШИБАНОВ, систематически происходят преждевременные разрывы снаряжаемых этим заводом снарядов. В результате преждевременных разрывов на Павлоградском полигоне выведен из строя ряд тяжелых артиллерийских систем и дезорганизовано производство снарядов. </w:t>
      </w:r>
    </w:p>
    <w:p w14:paraId="3B2D2A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ШИБАНОВЫМ было также сорвано строительство пиротехнического завода № 320 в Чебоксарах, первая очередь которого, согласно решения правительства, должна была быть пущена в эксплуатацию в 1940 году. </w:t>
      </w:r>
    </w:p>
    <w:p w14:paraId="4EC442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А вы лично были связаны с ШИБАНОВЫМ по вредительской работе в Наркомате Боеприпасов? </w:t>
      </w:r>
    </w:p>
    <w:p w14:paraId="5A3F8A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 Да. Весной 1940 года ШИБАНОВ, назначенный заместителем Наркома Боеприпасов, вызвал меня к себе в кабинет для беседы. Он сказал, что в Наркомате Боеприпасов мы должны работать сообща, так же, как до этого работали на заводе № 11 в Загорске, и потребовал, чтобы впредь все мероприятия по 2-му Главному Управлению я контактировал только с ним. Я заверил ШИБАНОВА, что в дальнейшем буду действовать по его указаниям. </w:t>
      </w:r>
    </w:p>
    <w:p w14:paraId="52AFF5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Через некоторое время я доложил ШИБАНОВУ о том, что строительство пиротехнических заводов № 253 (гор. Муром) и № 254 (гор. Копейск Челябинской области) срывается, так как проектные организации несвоевременно представляют рабочие чертежи, а также отсутствует необходимый для строительства электрокабель. ШИБАНОВ, выслушав мою информацию, заявил, что имеются вопросы поважнее этих строек, поэтому на это дело нажимать не следует, ничего страшного не произойдет. </w:t>
      </w:r>
    </w:p>
    <w:p w14:paraId="4363B2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договоренности с ШИБАНОВЫМ я задерживал разрешение всех вопросов, связанных со строительством двух пиротехнических заводов. </w:t>
      </w:r>
    </w:p>
    <w:p w14:paraId="62C831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Приостановление мною строительства в Софрино завода по снаряжению взрывателей также было санкционировано ШИБАНОВЫМ. </w:t>
      </w:r>
    </w:p>
    <w:p w14:paraId="351003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июле 1940 года в беседе со мной ШИБАНОВ жаловался, что находится в затруднительном положении, так как заводы прикрепленных к нему главков не выполнили полугодовой программы. Хоть бы ты меня выручил со своим Главком, сказал в заключение ШИБАНОВ, а то совсем уж дела плохи, того и гляди провалишься. Далее ШИБАНОВ заявил, что по его следам ходит НКВД, и высказал опасение — как бы его не арестовали. </w:t>
      </w:r>
    </w:p>
    <w:p w14:paraId="42536A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ШИБАНОВ был не только в курсе моей вредительской работы, но и санкционировал осуществлявшиеся мною мероприятия по задержке нового строительства и срыву выполнения программы снаряжательными и капсюльными заводами. </w:t>
      </w:r>
    </w:p>
    <w:p w14:paraId="153C39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Вот все, что я имею показать о проведенной мною и моими сообщниками вредительской работе по Наркомату Боеприпасов СССР. </w:t>
      </w:r>
    </w:p>
    <w:p w14:paraId="42725D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Вопрос: Вы далеко не все показали о проведенной вами работе в Наркомате Боеприпасов. </w:t>
      </w:r>
    </w:p>
    <w:p w14:paraId="3883D0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Ответ: Я показал все основное, постараюсь восстановить в памяти все детали моей вражеской работы и дать о них дополнительные показания (11430).</w:t>
      </w:r>
    </w:p>
    <w:p w14:paraId="33E8E6E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8EEB091" w14:textId="77777777" w:rsidR="006F1BF6" w:rsidRPr="00A3026E" w:rsidRDefault="006F1BF6"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в адрес Арткома ГАУ КА поступило письмо с Кировского завода, подписанное начальником СКБ-2 Ж. Я. Котиным, начальником СКБ-4 П. Ф. Фёдоровым и старшим инженером машины Ц. Н. Гольбуртом. В письме указывался большой список замечаний по ТТТ, появившихся в ходе проектирования САУ. Дело в том, что при бронировании лобовой части машины, составлявшем по ТТТ 75 мм, в определённую в 55 тонн массу вложиться не получалось никак. И ладно бы эта проблема была только с САУ. Для выступавшего базовой машиной танка Т-220 боевая масса задавалась в 56 тонн, а в итоге она получилась 62,7 тонны. А ведь «212» получался больше. Простой подсчёт показывал, что при массе 55 тонн масса корпуса самохода должна была составить всего 17,5 тонн. При этом схожий по размерам СМК, имевший меньшую по толщине броню, имел массу корпуса 31 тонна. Выход из положения предлагался простой и бесхитростный – поднять верхнюю планку боевой массы установки до 65 тонн. Впрочем, даже в такие рамки конструкторы планировали вложиться в случае снижения толщины лобовой брони до 60 мм (15739).</w:t>
      </w:r>
    </w:p>
    <w:p w14:paraId="47F86831" w14:textId="77777777" w:rsidR="006F1BF6" w:rsidRPr="00A3026E" w:rsidRDefault="006F1BF6" w:rsidP="00A3026E">
      <w:pPr>
        <w:shd w:val="clear" w:color="auto" w:fill="FFFFFF"/>
        <w:spacing w:after="0" w:line="240" w:lineRule="auto"/>
        <w:jc w:val="both"/>
        <w:rPr>
          <w:rFonts w:ascii="Times New Roman" w:hAnsi="Times New Roman"/>
          <w:color w:val="000000" w:themeColor="text1"/>
          <w:sz w:val="16"/>
          <w:szCs w:val="16"/>
        </w:rPr>
      </w:pPr>
    </w:p>
    <w:p w14:paraId="1FC1FE83" w14:textId="77777777" w:rsidR="005D6F1A" w:rsidRPr="00A3026E" w:rsidRDefault="005D6F1A" w:rsidP="00A3026E">
      <w:pPr>
        <w:pStyle w:val="a3"/>
        <w:rPr>
          <w:color w:val="000000" w:themeColor="text1"/>
          <w:lang w:val="ru-RU"/>
        </w:rPr>
      </w:pPr>
      <w:r w:rsidRPr="00A3026E">
        <w:rPr>
          <w:color w:val="000000" w:themeColor="text1"/>
          <w:lang w:val="ru-RU"/>
        </w:rPr>
        <w:t>10 декабря 1940 года в адрес Арткома ГАУ КА поступило письмо с Кировского завода, подписанное начальником СКБ-2 Ж.Я. Ко</w:t>
      </w:r>
      <w:r w:rsidRPr="00A3026E">
        <w:rPr>
          <w:color w:val="000000" w:themeColor="text1"/>
          <w:lang w:val="ru-RU"/>
        </w:rPr>
        <w:softHyphen/>
        <w:t>тиным, начальником СКБ-4 П.Ф. Федоровым и ведущим конструктором машины Ц.Н. Гольбуртом. В письме указывался большой список замеча</w:t>
      </w:r>
      <w:r w:rsidRPr="00A3026E">
        <w:rPr>
          <w:color w:val="000000" w:themeColor="text1"/>
          <w:lang w:val="ru-RU"/>
        </w:rPr>
        <w:softHyphen/>
        <w:t>ний по ТТТ, появившихся в ходе проектирования САУ:</w:t>
      </w:r>
    </w:p>
    <w:p w14:paraId="704DB1D7" w14:textId="77777777" w:rsidR="005D6F1A" w:rsidRPr="00A3026E" w:rsidRDefault="005D6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Указанный в тактико-технических требованиях вес машины "СУ", равный 55 тоннам, в сочетании с указанной там бронировкой не</w:t>
      </w:r>
      <w:r w:rsidRPr="00A3026E">
        <w:rPr>
          <w:rFonts w:ascii="Times New Roman" w:hAnsi="Times New Roman"/>
          <w:color w:val="000000" w:themeColor="text1"/>
          <w:sz w:val="16"/>
          <w:szCs w:val="16"/>
        </w:rPr>
        <w:softHyphen/>
        <w:t>возможно осуществить по следующим соображениям: 1) Согласно тактико-техническим требования "СУ"проектирует</w:t>
      </w:r>
      <w:r w:rsidRPr="00A3026E">
        <w:rPr>
          <w:rFonts w:ascii="Times New Roman" w:hAnsi="Times New Roman"/>
          <w:color w:val="000000" w:themeColor="text1"/>
          <w:sz w:val="16"/>
          <w:szCs w:val="16"/>
        </w:rPr>
        <w:softHyphen/>
        <w:t>ся с использованием ходовой части и трансмиссии машины «КБ».</w:t>
      </w:r>
    </w:p>
    <w:p w14:paraId="6FAC8588"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Таким образом, вес этих агрегатов, равный 17400 кг (включая мотор с системой питания и охлаждения) не может быть из</w:t>
      </w:r>
      <w:r w:rsidRPr="00A3026E">
        <w:rPr>
          <w:i w:val="0"/>
          <w:color w:val="000000" w:themeColor="text1"/>
          <w:sz w:val="16"/>
          <w:szCs w:val="16"/>
        </w:rPr>
        <w:softHyphen/>
        <w:t>менен в сторону уменьшения.</w:t>
      </w:r>
    </w:p>
    <w:p w14:paraId="488B9922" w14:textId="77777777" w:rsidR="005D6F1A" w:rsidRPr="00A3026E" w:rsidRDefault="005D6F1A" w:rsidP="00A3026E">
      <w:pPr>
        <w:pStyle w:val="Bodytext141"/>
        <w:shd w:val="clear" w:color="auto" w:fill="auto"/>
        <w:tabs>
          <w:tab w:val="left" w:pos="823"/>
        </w:tabs>
        <w:spacing w:line="240" w:lineRule="auto"/>
        <w:ind w:firstLine="0"/>
        <w:jc w:val="both"/>
        <w:rPr>
          <w:i w:val="0"/>
          <w:color w:val="000000" w:themeColor="text1"/>
          <w:sz w:val="16"/>
          <w:szCs w:val="16"/>
        </w:rPr>
      </w:pPr>
      <w:r w:rsidRPr="00A3026E">
        <w:rPr>
          <w:i w:val="0"/>
          <w:color w:val="000000" w:themeColor="text1"/>
          <w:sz w:val="16"/>
          <w:szCs w:val="16"/>
        </w:rPr>
        <w:t>1). Устанавливаемая на "СУ" система БР-2 с установкой и ком</w:t>
      </w:r>
      <w:r w:rsidRPr="00A3026E">
        <w:rPr>
          <w:i w:val="0"/>
          <w:color w:val="000000" w:themeColor="text1"/>
          <w:sz w:val="16"/>
          <w:szCs w:val="16"/>
        </w:rPr>
        <w:softHyphen/>
        <w:t>плектом боеприпасов весит 17600 кг.</w:t>
      </w:r>
    </w:p>
    <w:p w14:paraId="2E7E8864" w14:textId="77777777" w:rsidR="005D6F1A" w:rsidRPr="00A3026E" w:rsidRDefault="005D6F1A" w:rsidP="00A3026E">
      <w:pPr>
        <w:pStyle w:val="Bodytext141"/>
        <w:shd w:val="clear" w:color="auto" w:fill="auto"/>
        <w:tabs>
          <w:tab w:val="left" w:pos="809"/>
        </w:tabs>
        <w:spacing w:line="240" w:lineRule="auto"/>
        <w:ind w:firstLine="0"/>
        <w:jc w:val="both"/>
        <w:rPr>
          <w:i w:val="0"/>
          <w:color w:val="000000" w:themeColor="text1"/>
          <w:sz w:val="16"/>
          <w:szCs w:val="16"/>
        </w:rPr>
      </w:pPr>
      <w:r w:rsidRPr="00A3026E">
        <w:rPr>
          <w:i w:val="0"/>
          <w:color w:val="000000" w:themeColor="text1"/>
          <w:sz w:val="16"/>
          <w:szCs w:val="16"/>
        </w:rPr>
        <w:t>2). Установка пулеметов, пулеметная боеукладка, башня наблюде</w:t>
      </w:r>
      <w:r w:rsidRPr="00A3026E">
        <w:rPr>
          <w:i w:val="0"/>
          <w:color w:val="000000" w:themeColor="text1"/>
          <w:sz w:val="16"/>
          <w:szCs w:val="16"/>
        </w:rPr>
        <w:softHyphen/>
        <w:t>ния, сиденья, рация, горючее, экипаж, ЗИП и прочее весит 3000кг.</w:t>
      </w:r>
    </w:p>
    <w:p w14:paraId="47433267" w14:textId="77777777" w:rsidR="005D6F1A" w:rsidRPr="00A3026E" w:rsidRDefault="005D6F1A" w:rsidP="00A3026E">
      <w:pPr>
        <w:pStyle w:val="Bodytext141"/>
        <w:shd w:val="clear" w:color="auto" w:fill="auto"/>
        <w:tabs>
          <w:tab w:val="left" w:pos="1034"/>
        </w:tabs>
        <w:spacing w:line="240" w:lineRule="auto"/>
        <w:ind w:firstLine="0"/>
        <w:jc w:val="both"/>
        <w:rPr>
          <w:i w:val="0"/>
          <w:color w:val="000000" w:themeColor="text1"/>
          <w:sz w:val="16"/>
          <w:szCs w:val="16"/>
        </w:rPr>
      </w:pPr>
      <w:r w:rsidRPr="00A3026E">
        <w:rPr>
          <w:i w:val="0"/>
          <w:color w:val="000000" w:themeColor="text1"/>
          <w:sz w:val="16"/>
          <w:szCs w:val="16"/>
        </w:rPr>
        <w:t>3). Таким образом, если бы принять вес "СУ"равным 55000кг, то вес корпуса с башней (неподвижной) должен быть 17000 кгр.</w:t>
      </w:r>
    </w:p>
    <w:p w14:paraId="77F17D98"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Вследствие больших размеров системы получены следующие габариты корпуса:</w:t>
      </w:r>
    </w:p>
    <w:p w14:paraId="066C2ACE"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Длина — 7900мм, ширина — 1920мм, и высота по башне — 2570мм (от днища).</w:t>
      </w:r>
    </w:p>
    <w:p w14:paraId="7EB2DA9A"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Для корпуса же с указанным объемом вес 17000 кг является явно невы</w:t>
      </w:r>
      <w:r w:rsidRPr="00A3026E">
        <w:rPr>
          <w:i w:val="0"/>
          <w:color w:val="000000" w:themeColor="text1"/>
          <w:sz w:val="16"/>
          <w:szCs w:val="16"/>
        </w:rPr>
        <w:softHyphen/>
        <w:t>полнимым.</w:t>
      </w:r>
    </w:p>
    <w:p w14:paraId="2E7947DF"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Дальнейшее же уменьшение корпуса невозможно. Как пример корпуса подобных размеров можно взять корпус СМК-1, который при бронировании 60 мм (борта, лобовые листы, башня) и тол</w:t>
      </w:r>
      <w:r w:rsidRPr="00A3026E">
        <w:rPr>
          <w:i w:val="0"/>
          <w:color w:val="000000" w:themeColor="text1"/>
          <w:sz w:val="16"/>
          <w:szCs w:val="16"/>
        </w:rPr>
        <w:softHyphen/>
        <w:t>щина днища 30 и 20 и крыши 30 весил 31 тонну (с башнями).</w:t>
      </w:r>
    </w:p>
    <w:p w14:paraId="7DC70EA6"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При заданных же в тактико-технических требованиях толщинах брони:</w:t>
      </w:r>
    </w:p>
    <w:p w14:paraId="5889F1EF"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Лобовая — 75мм.</w:t>
      </w:r>
    </w:p>
    <w:p w14:paraId="3F1352F0"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Борта — 60 мм.</w:t>
      </w:r>
    </w:p>
    <w:p w14:paraId="6361975A"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Башня — 60 мм.</w:t>
      </w:r>
    </w:p>
    <w:p w14:paraId="31F8538E"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Крыша — 30мм.</w:t>
      </w:r>
    </w:p>
    <w:p w14:paraId="1EAA2BBB"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Днище — 40 и 30 мм.</w:t>
      </w:r>
    </w:p>
    <w:p w14:paraId="015C60CE"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Спроектировать "СУ" в 55 тонн, с корпусом и башней, общим весом в 17 тонн, не представляется никакой возможности.</w:t>
      </w:r>
    </w:p>
    <w:p w14:paraId="4FFA7755" w14:textId="77777777" w:rsidR="005D6F1A" w:rsidRPr="00A3026E" w:rsidRDefault="005D6F1A" w:rsidP="00A3026E">
      <w:pPr>
        <w:pStyle w:val="Bodytext141"/>
        <w:shd w:val="clear" w:color="auto" w:fill="auto"/>
        <w:tabs>
          <w:tab w:val="left" w:pos="2671"/>
        </w:tabs>
        <w:spacing w:line="240" w:lineRule="auto"/>
        <w:ind w:firstLine="0"/>
        <w:jc w:val="both"/>
        <w:rPr>
          <w:i w:val="0"/>
          <w:color w:val="000000" w:themeColor="text1"/>
          <w:sz w:val="16"/>
          <w:szCs w:val="16"/>
        </w:rPr>
      </w:pPr>
      <w:r w:rsidRPr="00A3026E">
        <w:rPr>
          <w:i w:val="0"/>
          <w:color w:val="000000" w:themeColor="text1"/>
          <w:sz w:val="16"/>
          <w:szCs w:val="16"/>
        </w:rPr>
        <w:t>При проектировании нами принято следующее бронирование:</w:t>
      </w:r>
    </w:p>
    <w:p w14:paraId="56C0D012" w14:textId="77777777" w:rsidR="005D6F1A" w:rsidRPr="00A3026E" w:rsidRDefault="005D6F1A" w:rsidP="00A3026E">
      <w:pPr>
        <w:pStyle w:val="Bodytext141"/>
        <w:shd w:val="clear" w:color="auto" w:fill="auto"/>
        <w:tabs>
          <w:tab w:val="left" w:pos="2671"/>
        </w:tabs>
        <w:spacing w:line="240" w:lineRule="auto"/>
        <w:ind w:firstLine="0"/>
        <w:jc w:val="both"/>
        <w:rPr>
          <w:i w:val="0"/>
          <w:color w:val="000000" w:themeColor="text1"/>
          <w:sz w:val="16"/>
          <w:szCs w:val="16"/>
        </w:rPr>
      </w:pPr>
      <w:r w:rsidRPr="00A3026E">
        <w:rPr>
          <w:i w:val="0"/>
          <w:color w:val="000000" w:themeColor="text1"/>
          <w:sz w:val="16"/>
          <w:szCs w:val="16"/>
        </w:rPr>
        <w:t>Борта</w:t>
      </w:r>
      <w:r w:rsidRPr="00A3026E">
        <w:rPr>
          <w:i w:val="0"/>
          <w:color w:val="000000" w:themeColor="text1"/>
          <w:sz w:val="16"/>
          <w:szCs w:val="16"/>
        </w:rPr>
        <w:tab/>
        <w:t>— 60 мм.</w:t>
      </w:r>
    </w:p>
    <w:p w14:paraId="3DFB1FD3" w14:textId="77777777" w:rsidR="005D6F1A" w:rsidRPr="00A3026E" w:rsidRDefault="005D6F1A" w:rsidP="00A3026E">
      <w:pPr>
        <w:pStyle w:val="Bodytext141"/>
        <w:shd w:val="clear" w:color="auto" w:fill="auto"/>
        <w:tabs>
          <w:tab w:val="left" w:pos="2690"/>
        </w:tabs>
        <w:spacing w:line="240" w:lineRule="auto"/>
        <w:ind w:firstLine="0"/>
        <w:jc w:val="both"/>
        <w:rPr>
          <w:i w:val="0"/>
          <w:color w:val="000000" w:themeColor="text1"/>
          <w:sz w:val="16"/>
          <w:szCs w:val="16"/>
        </w:rPr>
      </w:pPr>
      <w:r w:rsidRPr="00A3026E">
        <w:rPr>
          <w:i w:val="0"/>
          <w:color w:val="000000" w:themeColor="text1"/>
          <w:sz w:val="16"/>
          <w:szCs w:val="16"/>
        </w:rPr>
        <w:t>Лобовые листы</w:t>
      </w:r>
      <w:r w:rsidRPr="00A3026E">
        <w:rPr>
          <w:i w:val="0"/>
          <w:color w:val="000000" w:themeColor="text1"/>
          <w:sz w:val="16"/>
          <w:szCs w:val="16"/>
        </w:rPr>
        <w:tab/>
        <w:t>— 60 мм (угол наклона — 30°).</w:t>
      </w:r>
    </w:p>
    <w:p w14:paraId="6600C0F6" w14:textId="77777777" w:rsidR="005D6F1A" w:rsidRPr="00A3026E" w:rsidRDefault="005D6F1A" w:rsidP="00A3026E">
      <w:pPr>
        <w:pStyle w:val="Bodytext141"/>
        <w:shd w:val="clear" w:color="auto" w:fill="auto"/>
        <w:tabs>
          <w:tab w:val="left" w:pos="2666"/>
        </w:tabs>
        <w:spacing w:line="240" w:lineRule="auto"/>
        <w:ind w:firstLine="0"/>
        <w:jc w:val="both"/>
        <w:rPr>
          <w:i w:val="0"/>
          <w:color w:val="000000" w:themeColor="text1"/>
          <w:sz w:val="16"/>
          <w:szCs w:val="16"/>
        </w:rPr>
      </w:pPr>
      <w:r w:rsidRPr="00A3026E">
        <w:rPr>
          <w:i w:val="0"/>
          <w:color w:val="000000" w:themeColor="text1"/>
          <w:sz w:val="16"/>
          <w:szCs w:val="16"/>
        </w:rPr>
        <w:t>Нижний носовой лист — 50мм (угол наклона — 45°).</w:t>
      </w:r>
    </w:p>
    <w:p w14:paraId="45F77901" w14:textId="77777777" w:rsidR="005D6F1A" w:rsidRPr="00A3026E" w:rsidRDefault="005D6F1A" w:rsidP="00A3026E">
      <w:pPr>
        <w:pStyle w:val="Bodytext141"/>
        <w:shd w:val="clear" w:color="auto" w:fill="auto"/>
        <w:tabs>
          <w:tab w:val="left" w:pos="2666"/>
        </w:tabs>
        <w:spacing w:line="240" w:lineRule="auto"/>
        <w:ind w:firstLine="0"/>
        <w:jc w:val="both"/>
        <w:rPr>
          <w:i w:val="0"/>
          <w:color w:val="000000" w:themeColor="text1"/>
          <w:sz w:val="16"/>
          <w:szCs w:val="16"/>
        </w:rPr>
      </w:pPr>
      <w:r w:rsidRPr="00A3026E">
        <w:rPr>
          <w:i w:val="0"/>
          <w:color w:val="000000" w:themeColor="text1"/>
          <w:sz w:val="16"/>
          <w:szCs w:val="16"/>
        </w:rPr>
        <w:t>Нижний кормовой лист — 50мм (угол наклона — 40°).</w:t>
      </w:r>
    </w:p>
    <w:p w14:paraId="41E9FAD2" w14:textId="77777777" w:rsidR="005D6F1A" w:rsidRPr="00A3026E" w:rsidRDefault="005D6F1A" w:rsidP="00A3026E">
      <w:pPr>
        <w:pStyle w:val="Bodytext141"/>
        <w:shd w:val="clear" w:color="auto" w:fill="auto"/>
        <w:tabs>
          <w:tab w:val="left" w:pos="2666"/>
        </w:tabs>
        <w:spacing w:line="240" w:lineRule="auto"/>
        <w:ind w:firstLine="0"/>
        <w:jc w:val="both"/>
        <w:rPr>
          <w:i w:val="0"/>
          <w:color w:val="000000" w:themeColor="text1"/>
          <w:sz w:val="16"/>
          <w:szCs w:val="16"/>
        </w:rPr>
      </w:pPr>
      <w:r w:rsidRPr="00A3026E">
        <w:rPr>
          <w:i w:val="0"/>
          <w:color w:val="000000" w:themeColor="text1"/>
          <w:sz w:val="16"/>
          <w:szCs w:val="16"/>
        </w:rPr>
        <w:t>Башня</w:t>
      </w:r>
      <w:r w:rsidRPr="00A3026E">
        <w:rPr>
          <w:i w:val="0"/>
          <w:color w:val="000000" w:themeColor="text1"/>
          <w:sz w:val="16"/>
          <w:szCs w:val="16"/>
        </w:rPr>
        <w:tab/>
        <w:t>— 60 мм (угол наклона листов — 10°).</w:t>
      </w:r>
    </w:p>
    <w:p w14:paraId="484833DD" w14:textId="77777777" w:rsidR="005D6F1A" w:rsidRPr="00A3026E" w:rsidRDefault="005D6F1A" w:rsidP="00A3026E">
      <w:pPr>
        <w:pStyle w:val="Bodytext141"/>
        <w:shd w:val="clear" w:color="auto" w:fill="auto"/>
        <w:tabs>
          <w:tab w:val="left" w:pos="2695"/>
        </w:tabs>
        <w:spacing w:line="240" w:lineRule="auto"/>
        <w:ind w:firstLine="0"/>
        <w:jc w:val="both"/>
        <w:rPr>
          <w:i w:val="0"/>
          <w:color w:val="000000" w:themeColor="text1"/>
          <w:sz w:val="16"/>
          <w:szCs w:val="16"/>
        </w:rPr>
      </w:pPr>
      <w:r w:rsidRPr="00A3026E">
        <w:rPr>
          <w:i w:val="0"/>
          <w:color w:val="000000" w:themeColor="text1"/>
          <w:sz w:val="16"/>
          <w:szCs w:val="16"/>
        </w:rPr>
        <w:t>Днище</w:t>
      </w:r>
      <w:r w:rsidRPr="00A3026E">
        <w:rPr>
          <w:i w:val="0"/>
          <w:color w:val="000000" w:themeColor="text1"/>
          <w:sz w:val="16"/>
          <w:szCs w:val="16"/>
        </w:rPr>
        <w:tab/>
        <w:t>— в передней части — 30 мм.</w:t>
      </w:r>
    </w:p>
    <w:p w14:paraId="14FA7C81" w14:textId="77777777" w:rsidR="005D6F1A" w:rsidRPr="00A3026E" w:rsidRDefault="005D6F1A" w:rsidP="00A3026E">
      <w:pPr>
        <w:pStyle w:val="Bodytext141"/>
        <w:shd w:val="clear" w:color="auto" w:fill="auto"/>
        <w:tabs>
          <w:tab w:val="left" w:pos="2676"/>
        </w:tabs>
        <w:spacing w:line="240" w:lineRule="auto"/>
        <w:ind w:firstLine="0"/>
        <w:jc w:val="both"/>
        <w:rPr>
          <w:i w:val="0"/>
          <w:color w:val="000000" w:themeColor="text1"/>
          <w:sz w:val="16"/>
          <w:szCs w:val="16"/>
        </w:rPr>
      </w:pPr>
      <w:r w:rsidRPr="00A3026E">
        <w:rPr>
          <w:i w:val="0"/>
          <w:color w:val="000000" w:themeColor="text1"/>
          <w:sz w:val="16"/>
          <w:szCs w:val="16"/>
        </w:rPr>
        <w:t xml:space="preserve">— в задней части — 20мм. </w:t>
      </w:r>
    </w:p>
    <w:p w14:paraId="688724D2" w14:textId="77777777" w:rsidR="005D6F1A" w:rsidRPr="00A3026E" w:rsidRDefault="005D6F1A" w:rsidP="00A3026E">
      <w:pPr>
        <w:pStyle w:val="Bodytext141"/>
        <w:shd w:val="clear" w:color="auto" w:fill="auto"/>
        <w:tabs>
          <w:tab w:val="left" w:pos="2676"/>
        </w:tabs>
        <w:spacing w:line="240" w:lineRule="auto"/>
        <w:ind w:firstLine="0"/>
        <w:jc w:val="both"/>
        <w:rPr>
          <w:i w:val="0"/>
          <w:color w:val="000000" w:themeColor="text1"/>
          <w:sz w:val="16"/>
          <w:szCs w:val="16"/>
        </w:rPr>
      </w:pPr>
      <w:r w:rsidRPr="00A3026E">
        <w:rPr>
          <w:i w:val="0"/>
          <w:color w:val="000000" w:themeColor="text1"/>
          <w:sz w:val="16"/>
          <w:szCs w:val="16"/>
        </w:rPr>
        <w:t>Крыша</w:t>
      </w:r>
      <w:r w:rsidRPr="00A3026E">
        <w:rPr>
          <w:i w:val="0"/>
          <w:color w:val="000000" w:themeColor="text1"/>
          <w:sz w:val="16"/>
          <w:szCs w:val="16"/>
        </w:rPr>
        <w:tab/>
        <w:t>— 20 мм.</w:t>
      </w:r>
    </w:p>
    <w:p w14:paraId="239C82D4"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При этом вес машины без горючего, боекомплекта и экипажа получил</w:t>
      </w:r>
      <w:r w:rsidRPr="00A3026E">
        <w:rPr>
          <w:i w:val="0"/>
          <w:color w:val="000000" w:themeColor="text1"/>
          <w:sz w:val="16"/>
          <w:szCs w:val="16"/>
        </w:rPr>
        <w:softHyphen/>
        <w:t>ся равным — 60 тоннам.</w:t>
      </w:r>
    </w:p>
    <w:p w14:paraId="4653C021"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Боевой вес машины равен 65 тоннам.</w:t>
      </w:r>
    </w:p>
    <w:p w14:paraId="15FE85E9"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При весе в 65 тонн удельное давление на грунт без вооружения полу</w:t>
      </w:r>
      <w:r w:rsidRPr="00A3026E">
        <w:rPr>
          <w:i w:val="0"/>
          <w:color w:val="000000" w:themeColor="text1"/>
          <w:sz w:val="16"/>
          <w:szCs w:val="16"/>
        </w:rPr>
        <w:softHyphen/>
        <w:t>чается 0,83 кг/см</w:t>
      </w:r>
      <w:r w:rsidRPr="00A3026E">
        <w:rPr>
          <w:i w:val="0"/>
          <w:color w:val="000000" w:themeColor="text1"/>
          <w:sz w:val="16"/>
          <w:szCs w:val="16"/>
          <w:vertAlign w:val="superscript"/>
        </w:rPr>
        <w:t>2</w:t>
      </w:r>
      <w:r w:rsidRPr="00A3026E">
        <w:rPr>
          <w:i w:val="0"/>
          <w:color w:val="000000" w:themeColor="text1"/>
          <w:sz w:val="16"/>
          <w:szCs w:val="16"/>
        </w:rPr>
        <w:t>.</w:t>
      </w:r>
    </w:p>
    <w:p w14:paraId="6063FFE7" w14:textId="77777777" w:rsidR="005D6F1A" w:rsidRPr="00A3026E" w:rsidRDefault="005D6F1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1. Скорости наводки уменьшены по сравнению с существующей по</w:t>
      </w:r>
      <w:r w:rsidRPr="00A3026E">
        <w:rPr>
          <w:rFonts w:ascii="Times New Roman" w:hAnsi="Times New Roman"/>
          <w:color w:val="000000" w:themeColor="text1"/>
          <w:sz w:val="16"/>
          <w:szCs w:val="16"/>
        </w:rPr>
        <w:softHyphen/>
        <w:t>левой пушкой БР-2 по вертикали на 33% и по горизонтали на 10%</w:t>
      </w:r>
    </w:p>
    <w:p w14:paraId="775D2CF6"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Усилия на рукоятках маховиков: вертикального наведения до 10 кг; горизонтального — до 8 кг.</w:t>
      </w:r>
    </w:p>
    <w:p w14:paraId="4C92D6B9" w14:textId="77777777" w:rsidR="005D6F1A" w:rsidRPr="00A3026E" w:rsidRDefault="005D6F1A" w:rsidP="00A3026E">
      <w:pPr>
        <w:pStyle w:val="Bodytext141"/>
        <w:shd w:val="clear" w:color="auto" w:fill="auto"/>
        <w:tabs>
          <w:tab w:val="left" w:pos="3742"/>
        </w:tabs>
        <w:spacing w:line="240" w:lineRule="auto"/>
        <w:ind w:firstLine="0"/>
        <w:jc w:val="both"/>
        <w:rPr>
          <w:i w:val="0"/>
          <w:color w:val="000000" w:themeColor="text1"/>
          <w:sz w:val="16"/>
          <w:szCs w:val="16"/>
        </w:rPr>
      </w:pPr>
      <w:r w:rsidRPr="00A3026E">
        <w:rPr>
          <w:i w:val="0"/>
          <w:color w:val="000000" w:themeColor="text1"/>
          <w:sz w:val="16"/>
          <w:szCs w:val="16"/>
        </w:rPr>
        <w:t>2. Стрельба под углами снижения 3° при существующей конструкции накатника не обеспечена.</w:t>
      </w:r>
    </w:p>
    <w:p w14:paraId="38444CB3" w14:textId="77777777" w:rsidR="005D6F1A" w:rsidRPr="00A3026E" w:rsidRDefault="005D6F1A" w:rsidP="00A3026E">
      <w:pPr>
        <w:pStyle w:val="Bodytext141"/>
        <w:shd w:val="clear" w:color="auto" w:fill="auto"/>
        <w:tabs>
          <w:tab w:val="left" w:pos="3737"/>
        </w:tabs>
        <w:spacing w:line="240" w:lineRule="auto"/>
        <w:ind w:firstLine="0"/>
        <w:jc w:val="both"/>
        <w:rPr>
          <w:i w:val="0"/>
          <w:color w:val="000000" w:themeColor="text1"/>
          <w:sz w:val="16"/>
          <w:szCs w:val="16"/>
        </w:rPr>
      </w:pPr>
      <w:r w:rsidRPr="00A3026E">
        <w:rPr>
          <w:i w:val="0"/>
          <w:color w:val="000000" w:themeColor="text1"/>
          <w:sz w:val="16"/>
          <w:szCs w:val="16"/>
        </w:rPr>
        <w:t>3. Углы наведения по горизонту — по 4°, то есть такие же, как у и ис</w:t>
      </w:r>
      <w:r w:rsidRPr="00A3026E">
        <w:rPr>
          <w:i w:val="0"/>
          <w:color w:val="000000" w:themeColor="text1"/>
          <w:sz w:val="16"/>
          <w:szCs w:val="16"/>
        </w:rPr>
        <w:softHyphen/>
        <w:t>ходной полевой пушки.</w:t>
      </w:r>
    </w:p>
    <w:p w14:paraId="2F3F5289" w14:textId="77777777" w:rsidR="005D6F1A" w:rsidRPr="00A3026E" w:rsidRDefault="005D6F1A" w:rsidP="00A3026E">
      <w:pPr>
        <w:pStyle w:val="Bodytext141"/>
        <w:shd w:val="clear" w:color="auto" w:fill="auto"/>
        <w:tabs>
          <w:tab w:val="left" w:pos="3776"/>
        </w:tabs>
        <w:spacing w:line="240" w:lineRule="auto"/>
        <w:ind w:firstLine="0"/>
        <w:jc w:val="both"/>
        <w:rPr>
          <w:i w:val="0"/>
          <w:color w:val="000000" w:themeColor="text1"/>
          <w:sz w:val="16"/>
          <w:szCs w:val="16"/>
        </w:rPr>
      </w:pPr>
      <w:r w:rsidRPr="00A3026E">
        <w:rPr>
          <w:i w:val="0"/>
          <w:color w:val="000000" w:themeColor="text1"/>
          <w:sz w:val="16"/>
          <w:szCs w:val="16"/>
        </w:rPr>
        <w:t>3. Боекомплект размещен на 47выстрелов. Грузоподъемник снарядов не предусмотрен; имеется лоток для заряжания, аналогичный с уста</w:t>
      </w:r>
      <w:r w:rsidRPr="00A3026E">
        <w:rPr>
          <w:i w:val="0"/>
          <w:color w:val="000000" w:themeColor="text1"/>
          <w:sz w:val="16"/>
          <w:szCs w:val="16"/>
        </w:rPr>
        <w:softHyphen/>
        <w:t>новкой М-10 в КВ.</w:t>
      </w:r>
    </w:p>
    <w:p w14:paraId="2B4E0DA4" w14:textId="77777777" w:rsidR="005D6F1A" w:rsidRPr="00A3026E" w:rsidRDefault="005D6F1A" w:rsidP="00A3026E">
      <w:pPr>
        <w:pStyle w:val="Bodytext141"/>
        <w:shd w:val="clear" w:color="auto" w:fill="auto"/>
        <w:tabs>
          <w:tab w:val="left" w:pos="3746"/>
        </w:tabs>
        <w:spacing w:line="240" w:lineRule="auto"/>
        <w:ind w:firstLine="0"/>
        <w:jc w:val="both"/>
        <w:rPr>
          <w:i w:val="0"/>
          <w:color w:val="000000" w:themeColor="text1"/>
          <w:sz w:val="16"/>
          <w:szCs w:val="16"/>
        </w:rPr>
      </w:pPr>
      <w:r w:rsidRPr="00A3026E">
        <w:rPr>
          <w:i w:val="0"/>
          <w:color w:val="000000" w:themeColor="text1"/>
          <w:sz w:val="16"/>
          <w:szCs w:val="16"/>
        </w:rPr>
        <w:t>4. По своим габаритам СУ проходит в железнодорожный габарит "О" и приближается углами к линии строений габарита "О"» (17484).</w:t>
      </w:r>
    </w:p>
    <w:p w14:paraId="6C6E0512" w14:textId="77777777" w:rsidR="005D6F1A" w:rsidRPr="00A3026E" w:rsidRDefault="005D6F1A" w:rsidP="00A3026E">
      <w:pPr>
        <w:spacing w:after="0" w:line="240" w:lineRule="auto"/>
        <w:jc w:val="both"/>
        <w:rPr>
          <w:rFonts w:ascii="Times New Roman" w:hAnsi="Times New Roman"/>
          <w:color w:val="000000" w:themeColor="text1"/>
          <w:sz w:val="16"/>
          <w:szCs w:val="16"/>
        </w:rPr>
      </w:pPr>
    </w:p>
    <w:p w14:paraId="53C58218" w14:textId="77777777" w:rsidR="00B027A5" w:rsidRPr="00A3026E" w:rsidRDefault="00B027A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 декабря 1940 в адрес Арткома ГАУ КА поступило письмо с Кировского завода, подписанное начальником СКБ-2 Ж. Я. Котиным, начальником СКБ-4 П. Ф. Фёдоровым и старшим инженером машины Ц. Н. Гольбуртом. В письме указывался большой список замечаний по ТТТ, появившихся в ходе проектирования САУ. Дело в том, что при бронировании лобовой части машины, составлявшем по ТТТ 75 мм, в определённую в 55 тонн массу вложиться не получалось никак. И ладно бы эта проблема была только с САУ. Для выступавшего базовой машиной танка Т-220 боевая масса задавалась в 56 тонн, а в итоге она получилась 62,7 тонны.</w:t>
      </w:r>
    </w:p>
    <w:p w14:paraId="5B1CA49D" w14:textId="77777777" w:rsidR="00B027A5" w:rsidRPr="00A3026E" w:rsidRDefault="00B027A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А ведь «212» получался больше. Простой подсчёт показывал, что при массе 55 тонн масса корпуса самохода должна была составить всего 17,5 тонн. При этом схожий по размерам СМК, имевший меньшую по толщине броню, имел массу корпуса 31 тонна. Выход из положения предлагался простой и бесхитростный – поднять верхнюю планку боевой массы установки до 65 тонн. Впрочем, даже в такие рамки конструкторы планировали вложиться в случае снижения толщины лобовой брони до 60 мм (17646).</w:t>
      </w:r>
    </w:p>
    <w:p w14:paraId="74E40954" w14:textId="77777777" w:rsidR="00B027A5" w:rsidRPr="00A3026E" w:rsidRDefault="00B027A5" w:rsidP="00A3026E">
      <w:pPr>
        <w:spacing w:after="0" w:line="240" w:lineRule="auto"/>
        <w:jc w:val="both"/>
        <w:rPr>
          <w:rFonts w:ascii="Times New Roman" w:eastAsia="Times New Roman" w:hAnsi="Times New Roman"/>
          <w:color w:val="000000" w:themeColor="text1"/>
          <w:sz w:val="16"/>
          <w:szCs w:val="16"/>
          <w:lang w:eastAsia="ru-RU"/>
        </w:rPr>
      </w:pPr>
    </w:p>
    <w:p w14:paraId="6B46C3BD"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10 по 22 декабря 1940 гусеницы из усиленных траков «СЭ» на танке Т-34 № 811-28 в опытном цехе «540» завода № 183 прошли 1258 км, из них 61 км по булыжному шоссе и 1197 км по замерзшим ухабистым дорогам. </w:t>
      </w:r>
    </w:p>
    <w:p w14:paraId="14D01CFA"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Необходимо отметить, что правая гусеница была собрана по технологии, применяемой в серийном производстве – траки соединялись между собой с помощью двух пальцев (деталь 34.44.003) длиной 262 мм каждый. В левой гусенице траки между собой соединялись с помощью одного длинного пальца с головкой, направленной в сторону корпуса танка, без шплинтовки на противоположном конце. </w:t>
      </w:r>
    </w:p>
    <w:p w14:paraId="0EF46B47"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следует из </w:t>
      </w:r>
      <w:hyperlink r:id="rId153" w:tgtFrame="_blank" w:history="1">
        <w:r w:rsidRPr="00A3026E">
          <w:rPr>
            <w:rStyle w:val="a5"/>
            <w:rFonts w:ascii="Times New Roman" w:hAnsi="Times New Roman"/>
            <w:color w:val="000000" w:themeColor="text1"/>
            <w:sz w:val="16"/>
            <w:szCs w:val="16"/>
          </w:rPr>
          <w:t>Заключения № 011</w:t>
        </w:r>
      </w:hyperlink>
      <w:r w:rsidRPr="00A3026E">
        <w:rPr>
          <w:rFonts w:ascii="Times New Roman" w:hAnsi="Times New Roman"/>
          <w:color w:val="000000" w:themeColor="text1"/>
          <w:sz w:val="16"/>
          <w:szCs w:val="16"/>
        </w:rPr>
        <w:t>, составленного специалистами бюро цеха «540», во время ходовых испытаний в гусеницах были обнаружены следующие дефекты: </w:t>
      </w:r>
    </w:p>
    <w:p w14:paraId="51C44F12"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377 км. была обнаружена на гребневом траке дет. СЭ34.44.004 поперечная трещина по почвозацепу с одной стороны у подножья гребня (трак не заменялся). </w:t>
      </w:r>
    </w:p>
    <w:p w14:paraId="731A3BEE"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377 км. было выброшено по 2 трака из каждой гусеничной ленты т.к. не было натяга (большая разработка проушин). </w:t>
      </w:r>
    </w:p>
    <w:p w14:paraId="507A03DC"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558 км. обнаружена поперечная трещина у подножья гребня с обоих сторон трака (трак не заменялся). </w:t>
      </w:r>
    </w:p>
    <w:p w14:paraId="73F2E610"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 886 км. обнаружены поперечные трещины – изломы у подножья гребня на 4 шт. гребневых траков правой гусеницы и на 1-м траке левой гусеницы, а также на 1-м плоском траке правой гусеницы (поперечная трещина образовавшаяся вследствие трещин – изломов на 2-х смежных гребневых траков). </w:t>
      </w:r>
    </w:p>
    <w:p w14:paraId="4870D72B"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 1127 км. с начала испытаний при прямолинейном движении машины произошел разрыв плоского трака правой гусеницы по плице и по проушинам. </w:t>
      </w:r>
    </w:p>
    <w:p w14:paraId="2BFB6111"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 1258 км. обнаружены поперечные трещины – изломы у подножья гребня на 2-х траках и на 1-м плоском траке».</w:t>
      </w:r>
    </w:p>
    <w:p w14:paraId="65C797D9"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Д.232. Л. 217 – 218]</w:t>
      </w:r>
    </w:p>
    <w:p w14:paraId="35195565"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завершения ходовых испытаний гусеницы с танка были сняты, разобраны и подвергнуты тщательному осмотру, в результате которого на 68 из 74 траках с гребнем были обнаружены поперечные трещины. Траков без гребня, имевших трещины, оказалось меньше – 26 из 74. Кроме этого был произведен замер диаметра отверстий проушин траков, который показал, что из-за абразивного износа металла среднее увеличение диаметра отверстий составило около 2,5 мм. Вследствие этого в период проведения ходовых испытаний гусеницы пришлось подтягивать 9 раз. Возникновение поперечных трещин и изломов на траках с гребнем было объяснено тем, что вследствие увеличения диаметра отверстий в проушинах траков, шаг гусеницы увеличивался и переставал соответствовать шагу ведущего колеса, и по мере роста пройденного километража это несоответствие только возрастало. Поэтому гребни траков с большой силой ударяли о ролики ведущих колес, в результате чего и образовывались поперечные трещины и изломы у оснований гребней траков, а также разрушались ролики ведущих колес. </w:t>
      </w:r>
    </w:p>
    <w:p w14:paraId="27EDDD4F"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результатам проведенных испытаний были сделаны следующие выводы: </w:t>
      </w:r>
    </w:p>
    <w:p w14:paraId="6B4FDC77"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Проведенное усиление за счет утолщения плицы и введения ребер жесткости как гребневых траков, дет. СЭ 34.44.004, так и плоских, дет. СЭ 34.44.005, не увеличило срок службы, а наоборот уменьшило его (на траках появляются трещины после 377 – 500 км эксплоатации). </w:t>
      </w:r>
    </w:p>
    <w:p w14:paraId="71C9A6FB"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сравнении с траками 1-го варианта (см. заключение «540» за № 141 от 5/XI-40 г.) имеют следующие недостатки: </w:t>
      </w:r>
    </w:p>
    <w:p w14:paraId="6017DECC"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Выпуклая конфигурация почвозацепа и ребра жесткости по середине трака приводят к следующему: </w:t>
      </w:r>
    </w:p>
    <w:p w14:paraId="0ECB1C71"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 движении по ровной обледенелой дороге машина плохо управляема – скользит. </w:t>
      </w:r>
    </w:p>
    <w:p w14:paraId="210ED6D9"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Движение по косогору невозможно, т.к. машина сползает «юзом». </w:t>
      </w:r>
    </w:p>
    <w:p w14:paraId="5154F45C"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 движении по грязной дороге и снегу траки больше забиваются, уменьшая этим сцепление с почвой и увеличивая работу по перематыванию гусеничных лент, что снижает скорость машины. </w:t>
      </w:r>
    </w:p>
    <w:p w14:paraId="432F49BC"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Ребра жесткости, расположенные по краям плицы трака, при провисании верхней ветви гусеницы (на ухабах и т.д.), цепляют за подкосы площадок амортизаторов, балансиров и за приварку кронштейнов ленивцев. Кроме того, наличие этих ребер уменьшает зазор между картером бортовой передачи и гусеничной лентой, а следовательно затрудняет выход грязи из полости ведущего колеса, что в свою очередь снижает скорость машины. </w:t>
      </w:r>
    </w:p>
    <w:p w14:paraId="082C82BF"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Наличие большой консольности траков и соединение их двумя пальцами отрицательно действует на прочность и работу траков, что говорит о необходимости постановки одного длинного пальца. </w:t>
      </w:r>
    </w:p>
    <w:p w14:paraId="2EA09DDF"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Большая разработка отверстий проушин литых траков является технологическим недостатком. </w:t>
      </w:r>
    </w:p>
    <w:p w14:paraId="62D54E99"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Трещины плоских траков по середине (между проушинами) являются следствием трещин-изломов гребневых траков, смежных с плоскими. </w:t>
      </w:r>
    </w:p>
    <w:p w14:paraId="2C353493"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Несмотря на то, что траки гусеничных лент марки «СЭ» специальным испытаниям на булыжном шоссе не подвергались, они значительно раньше приходят в непригодность к эксплоатации, чем траки гусеничных лент 1 варианта. </w:t>
      </w:r>
    </w:p>
    <w:p w14:paraId="102EC1F3"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&lt;…&gt;</w:t>
      </w:r>
    </w:p>
    <w:p w14:paraId="6CD332E2"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Траки гусеничных лент марки «СЭ» по весу значительно тяжелее траков 1-го варианта: </w:t>
      </w:r>
    </w:p>
    <w:p w14:paraId="7D53FD5C"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гребневого трака марки «СЭ» – 13,410 кг. </w:t>
      </w:r>
    </w:p>
    <w:p w14:paraId="1A2BBCF8"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Вес плоского трака марки «СЭ» – 10,800 кг. </w:t>
      </w:r>
    </w:p>
    <w:p w14:paraId="1AFD2407"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Вес гребневого трака 1 варианта – 12,150 кг. </w:t>
      </w:r>
    </w:p>
    <w:p w14:paraId="7C5BE147"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Вес плоского трака 1 варианта – 9,720 кг. </w:t>
      </w:r>
    </w:p>
    <w:p w14:paraId="6BDE5E98"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Разница веса гребневого трака – 1,260 кг. </w:t>
      </w:r>
    </w:p>
    <w:p w14:paraId="4CDFEC85"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Разница веса плоского трака – 1,080 кг. </w:t>
      </w:r>
    </w:p>
    <w:p w14:paraId="45819B88"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8389BDB"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результатов и выводов по испытанию литых траков гусеничных лент марки «СЭ» из ст. Гадфильда (конструкция и производство СТЗ) бюро 540 считает: </w:t>
      </w:r>
    </w:p>
    <w:p w14:paraId="4EBFE62B"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Гусеничная лента не обеспечивает гарантийного километража и значительно снижает тактические качества машины. </w:t>
      </w:r>
    </w:p>
    <w:p w14:paraId="32EDCFA5"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Траки марки «СЭ» в условиях эксплоатации показали себя менее прочными по сравнению со всеми ранее испытанными вариантами гусениц. </w:t>
      </w:r>
    </w:p>
    <w:p w14:paraId="6843C67B"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 испытаниям усиленных траков, а также ранее проведенных испытаний нескольких вариантов траков гусеничных лент показали, что упрочнение траков за счет утолщений и введений дополнительных ребер жесткости приводит только к увеличению общего веса машины, увеличением работы на перематывание гусеницы и уменьшением скорости машины в любых дорожных условиях. </w:t>
      </w:r>
    </w:p>
    <w:p w14:paraId="0B2238D9" w14:textId="77777777" w:rsidR="0095280D" w:rsidRPr="00A3026E" w:rsidRDefault="0095280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повышения качества траков гусеничных лент считаем необходимым усилить контроль и обратить особое внимание на соблюдение технологии, химсостава и термообработки траков из ст. Гадфильда с тем, чтобы обеспечить все требования, предъявляемые к литым тракам гусеничных лент в эксплоатации» (18533).</w:t>
      </w:r>
    </w:p>
    <w:p w14:paraId="3AEBA058" w14:textId="77777777" w:rsidR="0095280D" w:rsidRPr="00A3026E" w:rsidRDefault="0095280D" w:rsidP="00A3026E">
      <w:pPr>
        <w:spacing w:after="0" w:line="240" w:lineRule="auto"/>
        <w:jc w:val="both"/>
        <w:rPr>
          <w:rFonts w:ascii="Times New Roman" w:hAnsi="Times New Roman"/>
          <w:color w:val="000000" w:themeColor="text1"/>
          <w:sz w:val="16"/>
          <w:szCs w:val="16"/>
        </w:rPr>
      </w:pPr>
    </w:p>
    <w:p w14:paraId="7C731CB1" w14:textId="77777777" w:rsidR="00537129" w:rsidRPr="00A3026E" w:rsidRDefault="0053712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г. вышел ПРИКАЗ НКО ГАБТУ О СБЕРЕЖЕНИИ ТЯЖЕЛЫХ И СРЕДНИХ ТАНКОВ №0349</w:t>
      </w:r>
    </w:p>
    <w:p w14:paraId="6720B280" w14:textId="77777777" w:rsidR="00537129" w:rsidRPr="00A3026E" w:rsidRDefault="0053712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г.Москва </w:t>
      </w:r>
    </w:p>
    <w:p w14:paraId="6C6CD09C" w14:textId="77777777" w:rsidR="00537129" w:rsidRPr="00A3026E" w:rsidRDefault="00537129"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целях сбережения материальной части тяжелых и средних танков (Т-35, КВ, Т-28, Т-34) и поддер</w:t>
      </w:r>
      <w:r w:rsidRPr="00A3026E">
        <w:rPr>
          <w:i w:val="0"/>
          <w:iCs w:val="0"/>
          <w:color w:val="000000" w:themeColor="text1"/>
          <w:spacing w:val="0"/>
          <w:kern w:val="0"/>
          <w:position w:val="0"/>
          <w:sz w:val="16"/>
          <w:szCs w:val="16"/>
          <w:lang w:val="ru-RU"/>
        </w:rPr>
        <w:softHyphen/>
        <w:t>жания их в постоянной боевой готовности с максимальным количеством моторесурсов, приказываю:</w:t>
      </w:r>
    </w:p>
    <w:p w14:paraId="258BD108" w14:textId="77777777" w:rsidR="00537129" w:rsidRPr="00A3026E" w:rsidRDefault="0053712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Все танковые батальоны (учебные и линейные) тяжелых и средних танков к 15 января 1941 г. укомплектовать танками Т-27 из расчета по 10 танков на каждый батальон.</w:t>
      </w:r>
    </w:p>
    <w:p w14:paraId="7FDEEA28" w14:textId="77777777" w:rsidR="00537129" w:rsidRPr="00A3026E" w:rsidRDefault="0053712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тактические учения этих батальонов проводить на танках Т-27.</w:t>
      </w:r>
    </w:p>
    <w:p w14:paraId="25CA00F6" w14:textId="77777777" w:rsidR="00537129" w:rsidRPr="00A3026E" w:rsidRDefault="0053712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обучения личного состава тяжелых и средних танков вождению и стрельбе и для сколачива</w:t>
      </w:r>
      <w:r w:rsidRPr="00A3026E">
        <w:rPr>
          <w:rFonts w:ascii="Times New Roman" w:hAnsi="Times New Roman"/>
          <w:color w:val="000000" w:themeColor="text1"/>
          <w:sz w:val="16"/>
          <w:szCs w:val="16"/>
        </w:rPr>
        <w:softHyphen/>
        <w:t>ния частей и соединений разрешается израсходовать на каждую тяжелую и среднюю машину:</w:t>
      </w:r>
    </w:p>
    <w:p w14:paraId="51939DBB" w14:textId="77777777" w:rsidR="00537129" w:rsidRPr="00A3026E" w:rsidRDefault="0053712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учебно-боевого парка — по 30 моточасов в год,</w:t>
      </w:r>
    </w:p>
    <w:p w14:paraId="2716E9E6" w14:textId="77777777" w:rsidR="00537129" w:rsidRPr="00A3026E" w:rsidRDefault="0053712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боевого парка — по 15 моточасов в год.</w:t>
      </w:r>
    </w:p>
    <w:p w14:paraId="3517E3AA" w14:textId="77777777" w:rsidR="00537129" w:rsidRPr="00A3026E" w:rsidRDefault="0053712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остальное количество моточасов, положенное на боевую подготовку согласно приказа НКО от 24 октября 1940 г. № 0283, покрывать за счет танков Т-27.</w:t>
      </w:r>
    </w:p>
    <w:p w14:paraId="7085B2B1" w14:textId="77777777" w:rsidR="00537129" w:rsidRPr="00A3026E" w:rsidRDefault="0053712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Все экипажи тяжелых и средних танков укомплектовать старослужащими, получившими под</w:t>
      </w:r>
      <w:r w:rsidRPr="00A3026E">
        <w:rPr>
          <w:rFonts w:ascii="Times New Roman" w:hAnsi="Times New Roman"/>
          <w:color w:val="000000" w:themeColor="text1"/>
          <w:sz w:val="16"/>
          <w:szCs w:val="16"/>
        </w:rPr>
        <w:softHyphen/>
        <w:t>готовку на других боевых машинах.</w:t>
      </w:r>
    </w:p>
    <w:p w14:paraId="54252A82" w14:textId="77777777" w:rsidR="00537129" w:rsidRPr="00A3026E" w:rsidRDefault="0053712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Начальнику ГАБТУ к 15 января 1941 г. укомплектовать танками Т-27 все танковые дивизии из указанного выше расчета.</w:t>
      </w:r>
    </w:p>
    <w:p w14:paraId="30DCA0F5" w14:textId="77777777" w:rsidR="00537129" w:rsidRPr="00A3026E" w:rsidRDefault="0053712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Исключить танки Т-27 из штатов всех стрелковых войсковых частей и соединений. Личный со</w:t>
      </w:r>
      <w:r w:rsidRPr="00A3026E">
        <w:rPr>
          <w:rFonts w:ascii="Times New Roman" w:hAnsi="Times New Roman"/>
          <w:color w:val="000000" w:themeColor="text1"/>
          <w:sz w:val="16"/>
          <w:szCs w:val="16"/>
        </w:rPr>
        <w:softHyphen/>
        <w:t>став их обратить на укомплектование танковых соединений распоряжением военных советов соответ</w:t>
      </w:r>
      <w:r w:rsidRPr="00A3026E">
        <w:rPr>
          <w:rFonts w:ascii="Times New Roman" w:hAnsi="Times New Roman"/>
          <w:color w:val="000000" w:themeColor="text1"/>
          <w:sz w:val="16"/>
          <w:szCs w:val="16"/>
        </w:rPr>
        <w:softHyphen/>
        <w:t>ствующих военных округов (ДВ Фронта).</w:t>
      </w:r>
    </w:p>
    <w:p w14:paraId="1B17A7C7" w14:textId="77777777" w:rsidR="00537129" w:rsidRPr="00A3026E" w:rsidRDefault="0053712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СССР Маршал Советского Союза С. Тимошенко</w:t>
      </w:r>
    </w:p>
    <w:p w14:paraId="758C4FC9" w14:textId="77777777" w:rsidR="00537129" w:rsidRPr="00A3026E" w:rsidRDefault="0053712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4. Оп. 3. Д. 3314. Л. 508. Копия (11210).</w:t>
      </w:r>
    </w:p>
    <w:p w14:paraId="22DDD1B3" w14:textId="77777777" w:rsidR="00537129" w:rsidRPr="00A3026E" w:rsidRDefault="00537129" w:rsidP="00A3026E">
      <w:pPr>
        <w:shd w:val="clear" w:color="auto" w:fill="FFFFFF"/>
        <w:spacing w:after="0" w:line="240" w:lineRule="auto"/>
        <w:jc w:val="both"/>
        <w:rPr>
          <w:rFonts w:ascii="Times New Roman" w:hAnsi="Times New Roman"/>
          <w:color w:val="000000" w:themeColor="text1"/>
          <w:sz w:val="16"/>
          <w:szCs w:val="16"/>
        </w:rPr>
      </w:pPr>
    </w:p>
    <w:p w14:paraId="46FA86FA"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декабря 1940 г. вышло Постановление Политбюро ЦК ВКП(б) "О проектировании и постройке опытного образца бронированных аэросаней" (пр. № 23/23-оп за 22 ноября - 13 декабря 1940 г., п. 174)</w:t>
      </w:r>
    </w:p>
    <w:p w14:paraId="14191212"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174.- О проектиоовании и постройке опытного образца_бронированных аэросаней.</w:t>
      </w:r>
    </w:p>
    <w:p w14:paraId="20D6E993"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Утвердить следующий проект постановления К.О: "Комитет Обороны при СНК Союза ССР постановляет:</w:t>
      </w:r>
    </w:p>
    <w:p w14:paraId="6FCB663F"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Утвердить представленные НКО тактико-технические требования на проектирование и изготовление опытного об</w:t>
      </w:r>
      <w:r w:rsidRPr="00A3026E">
        <w:rPr>
          <w:rFonts w:ascii="Times New Roman" w:hAnsi="Times New Roman"/>
          <w:color w:val="0070C0"/>
          <w:sz w:val="16"/>
          <w:szCs w:val="16"/>
        </w:rPr>
        <w:softHyphen/>
        <w:t>разца бронированных аэросаней (приложение 1).</w:t>
      </w:r>
    </w:p>
    <w:p w14:paraId="691E616A"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Обязать ИКСП (т.Носенко) спроектировать, соглас</w:t>
      </w:r>
      <w:r w:rsidRPr="00A3026E">
        <w:rPr>
          <w:rFonts w:ascii="Times New Roman" w:hAnsi="Times New Roman"/>
          <w:color w:val="0070C0"/>
          <w:sz w:val="16"/>
          <w:szCs w:val="16"/>
        </w:rPr>
        <w:softHyphen/>
        <w:t>но с утвержденними требованиями (приложение 1), опыт</w:t>
      </w:r>
      <w:r w:rsidRPr="00A3026E">
        <w:rPr>
          <w:rFonts w:ascii="Times New Roman" w:hAnsi="Times New Roman"/>
          <w:color w:val="0070C0"/>
          <w:sz w:val="16"/>
          <w:szCs w:val="16"/>
        </w:rPr>
        <w:softHyphen/>
        <w:t>ный образец бронированных аэросаней, для чего создать при ЦКБ-50 специальную проектную группу. Откомандиро</w:t>
      </w:r>
      <w:r w:rsidRPr="00A3026E">
        <w:rPr>
          <w:rFonts w:ascii="Times New Roman" w:hAnsi="Times New Roman"/>
          <w:color w:val="0070C0"/>
          <w:sz w:val="16"/>
          <w:szCs w:val="16"/>
        </w:rPr>
        <w:softHyphen/>
        <w:t>вать в ЦКБ-50 на время проектирования и изготовления опытного образца от Ижорского завода одного конструкто</w:t>
      </w:r>
      <w:r w:rsidRPr="00A3026E">
        <w:rPr>
          <w:rFonts w:ascii="Times New Roman" w:hAnsi="Times New Roman"/>
          <w:color w:val="0070C0"/>
          <w:sz w:val="16"/>
          <w:szCs w:val="16"/>
        </w:rPr>
        <w:softHyphen/>
        <w:t>ра и одного технолога по бронированию. Работы по проек</w:t>
      </w:r>
      <w:r w:rsidRPr="00A3026E">
        <w:rPr>
          <w:rFonts w:ascii="Times New Roman" w:hAnsi="Times New Roman"/>
          <w:color w:val="0070C0"/>
          <w:sz w:val="16"/>
          <w:szCs w:val="16"/>
        </w:rPr>
        <w:softHyphen/>
        <w:t>тированию вести параллельно с изготовлением макета заво</w:t>
      </w:r>
      <w:r w:rsidRPr="00A3026E">
        <w:rPr>
          <w:rFonts w:ascii="Times New Roman" w:hAnsi="Times New Roman"/>
          <w:color w:val="0070C0"/>
          <w:sz w:val="16"/>
          <w:szCs w:val="16"/>
        </w:rPr>
        <w:softHyphen/>
        <w:t>дом № 5 НКВД.</w:t>
      </w:r>
    </w:p>
    <w:p w14:paraId="4D8C1A51"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Обязать НКАП (т.Шахурина) откомандировать в распо</w:t>
      </w:r>
      <w:r w:rsidRPr="00A3026E">
        <w:rPr>
          <w:rFonts w:ascii="Times New Roman" w:hAnsi="Times New Roman"/>
          <w:color w:val="0070C0"/>
          <w:sz w:val="16"/>
          <w:szCs w:val="16"/>
        </w:rPr>
        <w:softHyphen/>
        <w:t>ряжение ЦКБ-50 НКСП, на время проектирования и изготов</w:t>
      </w:r>
      <w:r w:rsidRPr="00A3026E">
        <w:rPr>
          <w:rFonts w:ascii="Times New Roman" w:hAnsi="Times New Roman"/>
          <w:color w:val="0070C0"/>
          <w:sz w:val="16"/>
          <w:szCs w:val="16"/>
        </w:rPr>
        <w:softHyphen/>
        <w:t>ления опытного образцца аэробронесаней, одного инженера по винтомоторной группе и одного специалиста по проек</w:t>
      </w:r>
      <w:r w:rsidRPr="00A3026E">
        <w:rPr>
          <w:rFonts w:ascii="Times New Roman" w:hAnsi="Times New Roman"/>
          <w:color w:val="0070C0"/>
          <w:sz w:val="16"/>
          <w:szCs w:val="16"/>
        </w:rPr>
        <w:softHyphen/>
        <w:t>тированию воздушных винтов.</w:t>
      </w:r>
    </w:p>
    <w:p w14:paraId="12DA641B"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4. Обязать НКВД (т.Берия) изготовить на заводе № 5 НКВД по чертежам и эскизам ЦКБ-50 к 25.1.41 г. опытный образец бронированных аэросаней, предварительно изгото</w:t>
      </w:r>
      <w:r w:rsidRPr="00A3026E">
        <w:rPr>
          <w:rFonts w:ascii="Times New Roman" w:hAnsi="Times New Roman"/>
          <w:color w:val="0070C0"/>
          <w:sz w:val="16"/>
          <w:szCs w:val="16"/>
        </w:rPr>
        <w:softHyphen/>
        <w:t>вив деревянный макет к 25.ХП.40 года.</w:t>
      </w:r>
    </w:p>
    <w:p w14:paraId="5F3F08A5"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Обязать изготовить и сдать заводу № 5 НКВД:</w:t>
      </w:r>
    </w:p>
    <w:p w14:paraId="103B7B8F"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НКВ к 15.ХП. 194 г. деревянный макет, а 1.1.41 г. одну 23 мм. автоматическую пушку с двумя комплектами сна</w:t>
      </w:r>
      <w:r w:rsidRPr="00A3026E">
        <w:rPr>
          <w:rFonts w:ascii="Times New Roman" w:hAnsi="Times New Roman"/>
          <w:color w:val="0070C0"/>
          <w:sz w:val="16"/>
          <w:szCs w:val="16"/>
        </w:rPr>
        <w:softHyphen/>
        <w:t>рядов по типу установки в танке Т-40, с комплектом обойм и ЗИП-ом, один пулемет ДГ с двумя комплектами патрон, один пистолет-пулемет Дегтярева ППД с двумя комплектами нитрон;</w:t>
      </w:r>
    </w:p>
    <w:p w14:paraId="54FFD9B7"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НКСП (Ижорский завод) к 15.1.41г. по чертежам ЦКБ-50 - бронирование корпуса, бронирование моторной группы и башню;</w:t>
      </w:r>
    </w:p>
    <w:p w14:paraId="7650273B"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НКЧМ к 25.ХП.40 г. отгрузить тонкостенные трубы и другие сорта металла по его спецификации;</w:t>
      </w:r>
    </w:p>
    <w:p w14:paraId="7BFDF5E5"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НКАП к 10.1.41 года три толкающих воздушных вин</w:t>
      </w:r>
      <w:r w:rsidRPr="00A3026E">
        <w:rPr>
          <w:rFonts w:ascii="Times New Roman" w:hAnsi="Times New Roman"/>
          <w:color w:val="0070C0"/>
          <w:sz w:val="16"/>
          <w:szCs w:val="16"/>
        </w:rPr>
        <w:softHyphen/>
        <w:t>та по чертежам ЦКБ-50 и к 20.XII.40г. один авиационный мотор марки М-103;</w:t>
      </w:r>
    </w:p>
    <w:p w14:paraId="58CF4EF2"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НКЦветмет (Кольчугинский завод) к 10.1.41г. радиаторы по чертежам ЦКБ-50;</w:t>
      </w:r>
    </w:p>
    <w:p w14:paraId="24148464"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 НКЭП к 20.XII.40r. габаритные чертежи рации КРСТЬ, а к 10.1.41г. один комплект рации КРСТВ.</w:t>
      </w:r>
    </w:p>
    <w:p w14:paraId="4227A813"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Обязать НКО при участии представителей ЦКБ-50 и завода № 5 НКВД провести в течение декабря 1940 года и января 1941 года всестороннее испытание бронированных аэросаней, ранее построенных заводом № 5 НКВД по проекту ЦКБ-50.</w:t>
      </w:r>
    </w:p>
    <w:p w14:paraId="0667C024"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Возложить на НКО (т. Смородинов) оперативное наб</w:t>
      </w:r>
      <w:r w:rsidRPr="00A3026E">
        <w:rPr>
          <w:rFonts w:ascii="Times New Roman" w:hAnsi="Times New Roman"/>
          <w:color w:val="0070C0"/>
          <w:sz w:val="16"/>
          <w:szCs w:val="16"/>
        </w:rPr>
        <w:softHyphen/>
        <w:t>людение и решение текущих вопросов, связанных с проекти</w:t>
      </w:r>
      <w:r w:rsidRPr="00A3026E">
        <w:rPr>
          <w:rFonts w:ascii="Times New Roman" w:hAnsi="Times New Roman"/>
          <w:color w:val="0070C0"/>
          <w:sz w:val="16"/>
          <w:szCs w:val="16"/>
        </w:rPr>
        <w:softHyphen/>
        <w:t>рованием и постройкой опытного образца бронированных аэросаней и обеспечение горюче-смазочными материалами на период заводских испытаний".</w:t>
      </w:r>
    </w:p>
    <w:p w14:paraId="5542D362"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Выписки посланы:</w:t>
      </w:r>
    </w:p>
    <w:p w14:paraId="7FB43A2D"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т.т.Тимошенко, Жданову, Носенко, Берия, - 5а. Тевоояиу - 5в,</w:t>
      </w:r>
    </w:p>
    <w:p w14:paraId="4028DFE9"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Ломако - 5д, Богатыреву - 5е (22098).</w:t>
      </w:r>
    </w:p>
    <w:p w14:paraId="7B22C861" w14:textId="77777777" w:rsidR="00EB6E30" w:rsidRPr="00A3026E" w:rsidRDefault="00EB6E30" w:rsidP="00A3026E">
      <w:pPr>
        <w:spacing w:after="0" w:line="240" w:lineRule="auto"/>
        <w:jc w:val="both"/>
        <w:rPr>
          <w:rFonts w:ascii="Times New Roman" w:hAnsi="Times New Roman"/>
          <w:color w:val="0070C0"/>
          <w:sz w:val="16"/>
          <w:szCs w:val="16"/>
        </w:rPr>
      </w:pPr>
    </w:p>
    <w:p w14:paraId="32C28749" w14:textId="77777777" w:rsidR="00D61E13" w:rsidRPr="00A3026E" w:rsidRDefault="00D61E1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10 декабря 1940 г. на заводе № 75 из 9846 наименований инструментария изготовлено 7070, вследствие чего из 9108 операций по 808 операциям обработка деталей ведется по обходной технологии. Технологическая документация находилась в запущенном состоянии. В операционные карты вносились многочисленные изменения, в ряде случаев даже никем не подписанные; сами карты имеют неряшливый вид. На заводе имело место массовое нарушение технологии.</w:t>
      </w:r>
    </w:p>
    <w:p w14:paraId="6BCCCB64" w14:textId="77777777" w:rsidR="00D61E13" w:rsidRPr="00A3026E" w:rsidRDefault="00D61E1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Потери от брака по заводу за 1940 г. составили 14 421 тыс. руб., или 8,2% к стоимости валовой продукции. Особенно велик брак в цехе цветного литья. За 1940 г. потери от брака по этому цеху составили 5700 тыс. руб. По алюминиевому литью брак возрос с 10,4% во II квартале 1940 г. до 26,6% в III квартале и до 28,3% в декабре 1940 г.; в январе 1941 г. брак по алюминиевому литью составил 23,2% (18033).</w:t>
      </w:r>
    </w:p>
    <w:p w14:paraId="2AA3AD4C" w14:textId="77777777" w:rsidR="00D61E13" w:rsidRPr="00A3026E" w:rsidRDefault="00D61E13" w:rsidP="00A3026E">
      <w:pPr>
        <w:spacing w:after="0" w:line="240" w:lineRule="auto"/>
        <w:jc w:val="both"/>
        <w:rPr>
          <w:rFonts w:ascii="Times New Roman" w:hAnsi="Times New Roman"/>
          <w:color w:val="000000" w:themeColor="text1"/>
          <w:sz w:val="16"/>
          <w:szCs w:val="16"/>
        </w:rPr>
      </w:pPr>
    </w:p>
    <w:p w14:paraId="4C818333" w14:textId="77777777" w:rsidR="00EB6E30" w:rsidRPr="00A3026E" w:rsidRDefault="00EB6E3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10 декабря 1940 г. вышло </w:t>
      </w:r>
      <w:r w:rsidRPr="00A3026E">
        <w:rPr>
          <w:rFonts w:ascii="Times New Roman" w:hAnsi="Times New Roman"/>
          <w:color w:val="0070C0"/>
          <w:sz w:val="16"/>
          <w:szCs w:val="16"/>
          <w:shd w:val="clear" w:color="auto" w:fill="FFFFFF"/>
        </w:rPr>
        <w:t>Постановление Политбюро ЦК ВКП(б) "О поставках поковок и стального литья для военного судостроения" (пр. № 23/23-оп за 22 ноября - 13 декабря 1940 г., п. 171) (22097).</w:t>
      </w:r>
    </w:p>
    <w:p w14:paraId="1F9306A5" w14:textId="77777777" w:rsidR="00EB6E30" w:rsidRPr="00A3026E" w:rsidRDefault="00EB6E30" w:rsidP="00A3026E">
      <w:pPr>
        <w:spacing w:after="0" w:line="240" w:lineRule="auto"/>
        <w:jc w:val="both"/>
        <w:rPr>
          <w:rFonts w:ascii="Times New Roman" w:hAnsi="Times New Roman"/>
          <w:color w:val="0070C0"/>
          <w:sz w:val="16"/>
          <w:szCs w:val="16"/>
        </w:rPr>
      </w:pPr>
    </w:p>
    <w:p w14:paraId="643BFAB9"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6C0E7B4C"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029D08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декабря 1940 А.Г. подписал директиву по операции Аттила - оккупация Южной Франции (2536,269).</w:t>
      </w:r>
    </w:p>
    <w:p w14:paraId="5D6098E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DD680ED"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91CFEFC"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386EB8D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первой декаде декабря 1940 макетной комиссией вторым рассматривался проект танка Т-50 конструкции завода № 174, который имел завод</w:t>
      </w:r>
      <w:r w:rsidRPr="00A3026E">
        <w:rPr>
          <w:rFonts w:ascii="Times New Roman" w:hAnsi="Times New Roman"/>
          <w:color w:val="000000" w:themeColor="text1"/>
          <w:sz w:val="16"/>
          <w:szCs w:val="16"/>
        </w:rPr>
        <w:softHyphen/>
        <w:t>ской индекс «135» (в документах зовется «Т-135», «Объект 135»). При массе до 14 т, он нес улучшенный дизель-мотор мощностью 300 л.с. Его цементированная броня толщиной 37 мм (обработка цементованной брони толщиной до 40 мм была уже удовлетворительно освоена на Ижорском заводе) защищала от легких снарядов даже лучше, чем 45-мм броня среднего Т-34. Танк рассматривался с двумя вариантами трансмиссий — планетарной и гидравлической, с которыми его максимальная скорость составляла 60—65 км/ч. Вооруже</w:t>
      </w:r>
      <w:r w:rsidRPr="00A3026E">
        <w:rPr>
          <w:rFonts w:ascii="Times New Roman" w:hAnsi="Times New Roman"/>
          <w:color w:val="000000" w:themeColor="text1"/>
          <w:sz w:val="16"/>
          <w:szCs w:val="16"/>
        </w:rPr>
        <w:softHyphen/>
        <w:t>ние Т-50 состояло из 45-мм пушки и двух спаренных с ней пулеметов, в укладку танка введен пистолет-пулемет. В це</w:t>
      </w:r>
      <w:r w:rsidRPr="00A3026E">
        <w:rPr>
          <w:rFonts w:ascii="Times New Roman" w:hAnsi="Times New Roman"/>
          <w:color w:val="000000" w:themeColor="text1"/>
          <w:sz w:val="16"/>
          <w:szCs w:val="16"/>
        </w:rPr>
        <w:softHyphen/>
        <w:t>лом проект удовлетворял всем выдвинутым требованиям, но расположение командирской наблюдательной башенки со</w:t>
      </w:r>
      <w:r w:rsidRPr="00A3026E">
        <w:rPr>
          <w:rFonts w:ascii="Times New Roman" w:hAnsi="Times New Roman"/>
          <w:color w:val="000000" w:themeColor="text1"/>
          <w:sz w:val="16"/>
          <w:szCs w:val="16"/>
        </w:rPr>
        <w:softHyphen/>
        <w:t>чли неудачным, и она была помещена практически в центр кормовой части башни — по типу немецкого среднего танка (10782).</w:t>
      </w:r>
    </w:p>
    <w:p w14:paraId="0AB568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6C673AB5"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F44115D"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015AED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декабря 1940 года Начальник НИИ ВВС генерал-майор авиации Филин утвердил Отчет по испытанию серийных броневых спинок на живучесть (6763).</w:t>
      </w:r>
    </w:p>
    <w:p w14:paraId="1866B8C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37CC552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5 отдела НИИ ВВС в/инженер 3 ранга Шлямин К.И.</w:t>
      </w:r>
    </w:p>
    <w:p w14:paraId="34ECC0B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79A9ACA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Установить запас живучести серийных бронеспинок при обстреле их из пулемета пулями разного действия калибра 7,62 мм, с целью внесения соответствующих изменений в методику испытаний авиаброни и техусловия на приемку бронеспинок.</w:t>
      </w:r>
    </w:p>
    <w:p w14:paraId="7D50844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проведения испытаний были взяты со склада ВВС серийные 8,5 мм бронеспинки, прошедшие приемо-сдаточные испытания и предназначенные к установке их на самолеты.</w:t>
      </w:r>
    </w:p>
    <w:p w14:paraId="14EEEE3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Испытанию подвергались 8 бронеспинок самолета И-16 и 13 бронеспинок самолета СБ.</w:t>
      </w:r>
    </w:p>
    <w:p w14:paraId="2D35487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7028BAB7"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Серийные броневые спинки обладают различным запасом живучести, обуславливаемым химическим составом стали, а также и технологическим процессом их производства.</w:t>
      </w:r>
    </w:p>
    <w:p w14:paraId="658FEA00"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Сильный разброс показаний запаса живучести бронеспинок свидетельствует о нестандартности технологического процесса их изготовления (6763).</w:t>
      </w:r>
    </w:p>
    <w:p w14:paraId="5D10F503"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p>
    <w:p w14:paraId="6E946D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декабря 1940 года приказ НИИ ВВС № 0276</w:t>
      </w:r>
    </w:p>
    <w:p w14:paraId="4F32DEF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Специальные летные испытания моторов М-105 серии 035 на самолете СБ (6890, 183).</w:t>
      </w:r>
    </w:p>
    <w:p w14:paraId="6D9FC30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2508D61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декабря 1940 года вышел приказ НИИ ВВС № 0279</w:t>
      </w:r>
    </w:p>
    <w:p w14:paraId="5F09998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серийного самолета СБ 2М103 № 51/2 производства завода № 125 (6890, 191).</w:t>
      </w:r>
    </w:p>
    <w:p w14:paraId="0E52B45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15DD5C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декабря 1940 вышел приказ 7 ГУ N 42:</w:t>
      </w:r>
    </w:p>
    <w:p w14:paraId="68354D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готовности опытного самолета 103 конструкции ОТБ НКВД к летным испытаниям назначить комиссию..." (2031,66).</w:t>
      </w:r>
    </w:p>
    <w:p w14:paraId="5FEF748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0570A0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декабря 1940 года вышел приказ НИИ ВВС № 0278</w:t>
      </w:r>
    </w:p>
    <w:p w14:paraId="2627BED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опытного самолета И-26 М-105П экз. № 3 с винтом ВИШ-61П на пикирование (6890, 187).</w:t>
      </w:r>
    </w:p>
    <w:p w14:paraId="5DD0852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23915C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декабря 1940 А.И.Ш. писал И.В.С. письмо N 4257 о снятии с производства на заводе 21 самолета И-180. На утверждение был направлен проект постановления КО СНК по вопросам снятия И-180 и постановке И21 М.М.Пашинина. Подписывали Пред. КО К.Е.В. и Секр. КО М.Пугаев (1178).</w:t>
      </w:r>
    </w:p>
    <w:p w14:paraId="1A8F9B3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243711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декабря 1940 Нач. ОКБ-15 НКВ - Шпитальный писал письмо № 1270сс (вход. № 24752 от 12 декабря 1940) ПРЕДСЕДАТЕЛЮ СОВЕТА НАРОДНЫХ КОМИССАРОВ СОЮЗА ССР тов. МОЛОТОВУ В.М.</w:t>
      </w:r>
    </w:p>
    <w:p w14:paraId="40574C5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ОКБ-15 закончило изготовлением мотор-пушку калибра 37 мм установленную в штатном моторе “М-105".</w:t>
      </w:r>
    </w:p>
    <w:p w14:paraId="7018612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 мотор-пушка была построена благодаря помощи, оказанной нам в связи с письмом на Ваше имя от 13-го апреля 1940 г. за № 410сс.</w:t>
      </w:r>
    </w:p>
    <w:p w14:paraId="7254BE5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Получив разрешение на постройку 37 мм. мотор-пушки, ОКБ-15 сейчас же поставило вопрос о постройке нового или приспособления существущего самолета под 37 мм. мотор-пушку.</w:t>
      </w:r>
    </w:p>
    <w:p w14:paraId="3816ABB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наши, как устные, так и письменные обращения в УВВС и лично к тов.РЫЧАГОВУ не дали практического результата.</w:t>
      </w:r>
    </w:p>
    <w:p w14:paraId="58C5F6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помогло и постановление Правительства по этому вопросу от 4.1.1940 г. за № 1882-779сс.</w:t>
      </w:r>
    </w:p>
    <w:p w14:paraId="3D970B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РЫЧАГОВ полностью поддерживает точку зрения работников 8-го Управления ВВС, считающих 37 мм. мотор-пушку невыполнимой затеей.</w:t>
      </w:r>
    </w:p>
    <w:p w14:paraId="669B1DA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завода № 51 тов. ПОЛИКАРПОВ Н.Н., к которому мы обра</w:t>
      </w:r>
      <w:r w:rsidRPr="00A3026E">
        <w:rPr>
          <w:rFonts w:ascii="Times New Roman" w:hAnsi="Times New Roman"/>
          <w:color w:val="000000" w:themeColor="text1"/>
          <w:sz w:val="16"/>
          <w:szCs w:val="16"/>
        </w:rPr>
        <w:softHyphen/>
        <w:t>тились с просьбой о постройке самолета - сделал технический проект истребителя под 37 мм. мотор-пушку.</w:t>
      </w:r>
    </w:p>
    <w:p w14:paraId="67CCDAE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Постройка этого истребителя задерживается, так как этот истре</w:t>
      </w:r>
      <w:r w:rsidRPr="00A3026E">
        <w:rPr>
          <w:rFonts w:ascii="Times New Roman" w:hAnsi="Times New Roman"/>
          <w:color w:val="000000" w:themeColor="text1"/>
          <w:sz w:val="16"/>
          <w:szCs w:val="16"/>
        </w:rPr>
        <w:softHyphen/>
        <w:t>битель ПЛАНОМ УВВС НЕ ПРЕДУСМОТРЕН и тов.РЫЧАГОВ не отпускает необходимых средств.</w:t>
      </w:r>
    </w:p>
    <w:p w14:paraId="38F7480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Между тем, пока УВВС занимается отписками и зажимом изобрете</w:t>
      </w:r>
      <w:r w:rsidRPr="00A3026E">
        <w:rPr>
          <w:rFonts w:ascii="Times New Roman" w:hAnsi="Times New Roman"/>
          <w:color w:val="000000" w:themeColor="text1"/>
          <w:sz w:val="16"/>
          <w:szCs w:val="16"/>
        </w:rPr>
        <w:softHyphen/>
        <w:t>ния ОКБ-15, за границей в США самолет "Эйракобра", вооруженный 37 мм. автоматической пушкой стреляющей через втулку винта - пе</w:t>
      </w:r>
      <w:r w:rsidRPr="00A3026E">
        <w:rPr>
          <w:rFonts w:ascii="Times New Roman" w:hAnsi="Times New Roman"/>
          <w:color w:val="000000" w:themeColor="text1"/>
          <w:sz w:val="16"/>
          <w:szCs w:val="16"/>
        </w:rPr>
        <w:softHyphen/>
        <w:t>решел уже из стадии опытного образца в серийное производство, о чем и свидетельствует прилагаемое при сем фото с вырезки из га</w:t>
      </w:r>
      <w:r w:rsidRPr="00A3026E">
        <w:rPr>
          <w:rFonts w:ascii="Times New Roman" w:hAnsi="Times New Roman"/>
          <w:color w:val="000000" w:themeColor="text1"/>
          <w:sz w:val="16"/>
          <w:szCs w:val="16"/>
        </w:rPr>
        <w:softHyphen/>
        <w:t>зеты "Правда".</w:t>
      </w:r>
    </w:p>
    <w:p w14:paraId="0192380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Исчерпав, таким образом, все возможности добиться разрешения на постройку истребителя тов. ПОЛИКАРПОВА Н.Н. и испытания на этом самолете отечественной 37 мм. мотор-пушки, ОКБ-15 просит Вашей помощи в разрешении данного вопроса</w:t>
      </w:r>
    </w:p>
    <w:p w14:paraId="617BA94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Виза Вороршилова: Необходимо выяснить всю “историю” с этой пушкой, а также причины торможения ее изготовления” (4156,3).</w:t>
      </w:r>
    </w:p>
    <w:p w14:paraId="6019C8A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ПРАВДА</w:t>
      </w:r>
    </w:p>
    <w:p w14:paraId="5832CAD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г., № 334 (8380)</w:t>
      </w:r>
    </w:p>
    <w:p w14:paraId="2F9D5C3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НЬЮ-ЙОРК, 1 декабря. (ТАСС). По со</w:t>
      </w:r>
      <w:r w:rsidRPr="00A3026E">
        <w:rPr>
          <w:rFonts w:ascii="Times New Roman" w:hAnsi="Times New Roman"/>
          <w:color w:val="000000" w:themeColor="text1"/>
          <w:sz w:val="16"/>
          <w:szCs w:val="16"/>
        </w:rPr>
        <w:softHyphen/>
        <w:t>общению агентства Ассошиэйтед Пресс, военное министерство об'явило о поставке первого пятиместнного истребителя нового типа, вооруженного двумя 37-миллиметровыни пушками и пулеметами крупного и нормального калибра. Этотсамолет имеет убирающееся 3-колесное шасси. В осталь</w:t>
      </w:r>
      <w:r w:rsidRPr="00A3026E">
        <w:rPr>
          <w:rFonts w:ascii="Times New Roman" w:hAnsi="Times New Roman"/>
          <w:color w:val="000000" w:themeColor="text1"/>
          <w:sz w:val="16"/>
          <w:szCs w:val="16"/>
        </w:rPr>
        <w:softHyphen/>
        <w:t>ном машина аналогична истребителям, вы</w:t>
      </w:r>
      <w:r w:rsidRPr="00A3026E">
        <w:rPr>
          <w:rFonts w:ascii="Times New Roman" w:hAnsi="Times New Roman"/>
          <w:color w:val="000000" w:themeColor="text1"/>
          <w:sz w:val="16"/>
          <w:szCs w:val="16"/>
        </w:rPr>
        <w:softHyphen/>
        <w:t>пущенным в 1937 г. Два мотора жидтсостного охлаждения типа Аллисон с толкаю</w:t>
      </w:r>
      <w:r w:rsidRPr="00A3026E">
        <w:rPr>
          <w:rFonts w:ascii="Times New Roman" w:hAnsi="Times New Roman"/>
          <w:color w:val="000000" w:themeColor="text1"/>
          <w:sz w:val="16"/>
          <w:szCs w:val="16"/>
        </w:rPr>
        <w:softHyphen/>
        <w:t>щими винтами усталовлены в крыльях.</w:t>
      </w:r>
    </w:p>
    <w:p w14:paraId="42E7CBA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Фирма «Белл эйркрафт коошен” раз</w:t>
      </w:r>
      <w:r w:rsidRPr="00A3026E">
        <w:rPr>
          <w:rFonts w:ascii="Times New Roman" w:hAnsi="Times New Roman"/>
          <w:color w:val="000000" w:themeColor="text1"/>
          <w:sz w:val="16"/>
          <w:szCs w:val="16"/>
        </w:rPr>
        <w:softHyphen/>
        <w:t>рабатывает новый вариант многоместного истребителя УФМ 1-А «Эракуда».</w:t>
      </w:r>
    </w:p>
    <w:p w14:paraId="517D84F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сообщению вашингтонского корреспондента агентства Асоошиэйтед Пресс, командование американской армии об'яви</w:t>
      </w:r>
      <w:r w:rsidRPr="00A3026E">
        <w:rPr>
          <w:rFonts w:ascii="Times New Roman" w:hAnsi="Times New Roman"/>
          <w:color w:val="000000" w:themeColor="text1"/>
          <w:sz w:val="16"/>
          <w:szCs w:val="16"/>
        </w:rPr>
        <w:softHyphen/>
        <w:t>ло об испытаниях одноместного одномотор</w:t>
      </w:r>
      <w:r w:rsidRPr="00A3026E">
        <w:rPr>
          <w:rFonts w:ascii="Times New Roman" w:hAnsi="Times New Roman"/>
          <w:color w:val="000000" w:themeColor="text1"/>
          <w:sz w:val="16"/>
          <w:szCs w:val="16"/>
        </w:rPr>
        <w:softHyphen/>
        <w:t>ного истребителя «Эйракобра». Опыты показали, что новая 37-мм. пушка этого истребителя, стреляющая через втулку винта, дает большую точность огня на дальние дастанции.</w:t>
      </w:r>
    </w:p>
    <w:p w14:paraId="5761C3E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Американская армия заказала около 100 истребителей типа “Эйркобра” (4156,47).</w:t>
      </w:r>
    </w:p>
    <w:p w14:paraId="5CA5512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4D273602" w14:textId="77777777" w:rsidR="00D61E13" w:rsidRPr="00A3026E" w:rsidRDefault="00D61E1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11 декабря 1940 Б. Г. Шпитальный направил письмо председателю СНК СССР В. М. Молотову. В нем Шпитальный сообщал, что «ОКБ-15 закон</w:t>
      </w:r>
      <w:r w:rsidRPr="00A3026E">
        <w:rPr>
          <w:color w:val="000000" w:themeColor="text1"/>
          <w:sz w:val="16"/>
          <w:szCs w:val="16"/>
        </w:rPr>
        <w:softHyphen/>
        <w:t>чило изготовлением мотор-пушку калибра 37-мм, установленную в штатном моторе М-105», а «дирек</w:t>
      </w:r>
      <w:r w:rsidRPr="00A3026E">
        <w:rPr>
          <w:color w:val="000000" w:themeColor="text1"/>
          <w:sz w:val="16"/>
          <w:szCs w:val="16"/>
        </w:rPr>
        <w:softHyphen/>
        <w:t>тор завода № 51 тов. Поликарпов Н. Н., к которому мы обратились с просьбой о постройке самолета сделал технический проект истребителя под 37-мм мотор-пушку», но «постройка этого истребителя за</w:t>
      </w:r>
      <w:r w:rsidRPr="00A3026E">
        <w:rPr>
          <w:color w:val="000000" w:themeColor="text1"/>
          <w:sz w:val="16"/>
          <w:szCs w:val="16"/>
        </w:rPr>
        <w:softHyphen/>
        <w:t>держивается, так как этот истребитель планом УВВС КА не предусмотрен и тов. Рычагов не отпускает необходимых средств». Более того: «Все наши как устные, так и письменные обращения в УВВС и лич</w:t>
      </w:r>
      <w:r w:rsidRPr="00A3026E">
        <w:rPr>
          <w:color w:val="000000" w:themeColor="text1"/>
          <w:sz w:val="16"/>
          <w:szCs w:val="16"/>
        </w:rPr>
        <w:softHyphen/>
        <w:t>но к тов. Рычагову не дали практического резуль</w:t>
      </w:r>
      <w:r w:rsidRPr="00A3026E">
        <w:rPr>
          <w:color w:val="000000" w:themeColor="text1"/>
          <w:sz w:val="16"/>
          <w:szCs w:val="16"/>
        </w:rPr>
        <w:softHyphen/>
        <w:t>тата. Не помогло и постановление Правительства по этому вопросу от 4.10.1940 г. за № 1882-779сс. Тов. Рычагов полностью поддерживает точку зре</w:t>
      </w:r>
      <w:r w:rsidRPr="00A3026E">
        <w:rPr>
          <w:color w:val="000000" w:themeColor="text1"/>
          <w:sz w:val="16"/>
          <w:szCs w:val="16"/>
        </w:rPr>
        <w:softHyphen/>
        <w:t>ния работников 8-го Управления ВВС, считающих 37-мм мотор-пушку невыполнимой затеей. Между тем, пока УВВС занимается отписками и зажимом изобретения ОКБ-15, за границей, в США, самолет «Эйракобра», вооруженный 37-мм автоматической пушкой, стреляющей через втулку винта, перешел уже из стадии опытного образца в серийное произ</w:t>
      </w:r>
      <w:r w:rsidRPr="00A3026E">
        <w:rPr>
          <w:color w:val="000000" w:themeColor="text1"/>
          <w:sz w:val="16"/>
          <w:szCs w:val="16"/>
        </w:rPr>
        <w:softHyphen/>
        <w:t>водство, о чем и свидетельствует прилагаемое при сем фото с вырезки из газеты «Правда». Исчерпав, таким образом, все возможности добиться разре</w:t>
      </w:r>
      <w:r w:rsidRPr="00A3026E">
        <w:rPr>
          <w:color w:val="000000" w:themeColor="text1"/>
          <w:sz w:val="16"/>
          <w:szCs w:val="16"/>
        </w:rPr>
        <w:softHyphen/>
        <w:t>шения на постройку истребителя тов. Поликарпо</w:t>
      </w:r>
      <w:r w:rsidRPr="00A3026E">
        <w:rPr>
          <w:color w:val="000000" w:themeColor="text1"/>
          <w:sz w:val="16"/>
          <w:szCs w:val="16"/>
        </w:rPr>
        <w:softHyphen/>
        <w:t>ва Н. Н. и испытания на этом самолете отечествен</w:t>
      </w:r>
      <w:r w:rsidRPr="00A3026E">
        <w:rPr>
          <w:color w:val="000000" w:themeColor="text1"/>
          <w:sz w:val="16"/>
          <w:szCs w:val="16"/>
        </w:rPr>
        <w:softHyphen/>
        <w:t>ной 37-мм мотор-пушки, ОКБ-15 просит Вашей по</w:t>
      </w:r>
      <w:r w:rsidRPr="00A3026E">
        <w:rPr>
          <w:color w:val="000000" w:themeColor="text1"/>
          <w:sz w:val="16"/>
          <w:szCs w:val="16"/>
        </w:rPr>
        <w:softHyphen/>
        <w:t>мощи в разрешении данного вопроса».</w:t>
      </w:r>
    </w:p>
    <w:p w14:paraId="744FD9B1" w14:textId="77777777" w:rsidR="00D61E13" w:rsidRPr="00A3026E" w:rsidRDefault="00D61E1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Известна резолюция маршала К. Е. Ворошилова: «т. Лешукову. Необходимо выяснить всю «историю» с этой пушкой, а также причины торможения ее из</w:t>
      </w:r>
      <w:r w:rsidRPr="00A3026E">
        <w:rPr>
          <w:color w:val="000000" w:themeColor="text1"/>
          <w:sz w:val="16"/>
          <w:szCs w:val="16"/>
        </w:rPr>
        <w:softHyphen/>
        <w:t>готовления. 14.12.40».</w:t>
      </w:r>
    </w:p>
    <w:p w14:paraId="365F5BE1" w14:textId="77777777" w:rsidR="00D61E13" w:rsidRPr="00A3026E" w:rsidRDefault="00D61E1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Здесь необходимо сделать пояснение. Действи</w:t>
      </w:r>
      <w:r w:rsidRPr="00A3026E">
        <w:rPr>
          <w:color w:val="000000" w:themeColor="text1"/>
          <w:sz w:val="16"/>
          <w:szCs w:val="16"/>
        </w:rPr>
        <w:softHyphen/>
        <w:t>тельно, в перспективном плане ВВС, на который ссылается в своем письме Шпитальный, тяжелый пушечный истребитель как отдельный тип боевого самолета не предусматривался, но этим же планом предполагалось несколько вариантов пушечного вооружения фронтового истребителя, которые пла</w:t>
      </w:r>
      <w:r w:rsidRPr="00A3026E">
        <w:rPr>
          <w:color w:val="000000" w:themeColor="text1"/>
          <w:sz w:val="16"/>
          <w:szCs w:val="16"/>
        </w:rPr>
        <w:softHyphen/>
        <w:t>нировалось внедрять в серию по мере отработки авиационных пушек калибра 37 и 45 мм.</w:t>
      </w:r>
    </w:p>
    <w:p w14:paraId="035494E4" w14:textId="77777777" w:rsidR="00D61E13" w:rsidRPr="00A3026E" w:rsidRDefault="00D61E13"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hAnsi="Times New Roman"/>
          <w:color w:val="000000" w:themeColor="text1"/>
          <w:sz w:val="16"/>
          <w:szCs w:val="16"/>
        </w:rPr>
        <w:t>Письмо Шпитального получило широкий резо</w:t>
      </w:r>
      <w:r w:rsidRPr="00A3026E">
        <w:rPr>
          <w:rFonts w:ascii="Times New Roman" w:hAnsi="Times New Roman"/>
          <w:color w:val="000000" w:themeColor="text1"/>
          <w:sz w:val="16"/>
          <w:szCs w:val="16"/>
        </w:rPr>
        <w:softHyphen/>
        <w:t>нанс (17500).</w:t>
      </w:r>
    </w:p>
    <w:p w14:paraId="5EE0B39C" w14:textId="77777777" w:rsidR="00D61E13" w:rsidRPr="00A3026E" w:rsidRDefault="00D61E13" w:rsidP="00A3026E">
      <w:pPr>
        <w:spacing w:after="0" w:line="240" w:lineRule="auto"/>
        <w:jc w:val="both"/>
        <w:rPr>
          <w:rFonts w:ascii="Times New Roman" w:eastAsia="Times New Roman" w:hAnsi="Times New Roman"/>
          <w:color w:val="000000" w:themeColor="text1"/>
          <w:sz w:val="16"/>
          <w:szCs w:val="16"/>
          <w:lang w:eastAsia="ru-RU"/>
        </w:rPr>
      </w:pPr>
    </w:p>
    <w:p w14:paraId="6D575E22" w14:textId="77777777" w:rsidR="0014077F" w:rsidRPr="00A3026E" w:rsidRDefault="0014077F" w:rsidP="00A3026E">
      <w:pPr>
        <w:pStyle w:val="a3"/>
        <w:widowControl/>
        <w:rPr>
          <w:color w:val="000000" w:themeColor="text1"/>
          <w:lang w:val="ru-RU"/>
        </w:rPr>
      </w:pPr>
      <w:r w:rsidRPr="00A3026E">
        <w:rPr>
          <w:color w:val="000000" w:themeColor="text1"/>
          <w:lang w:val="ru-RU"/>
        </w:rPr>
        <w:t>11 декабря 1940 года зам. председателя СНК Н. Вознесенский писал письмо № 993/соп в Наркомавиапром Шахурину А.И., Промбанк Гроссману В.Я.</w:t>
      </w:r>
    </w:p>
    <w:p w14:paraId="4BC335DD" w14:textId="77777777" w:rsidR="0014077F" w:rsidRPr="00A3026E" w:rsidRDefault="0014077F" w:rsidP="00A3026E">
      <w:pPr>
        <w:pStyle w:val="a3"/>
        <w:widowControl/>
        <w:rPr>
          <w:color w:val="000000" w:themeColor="text1"/>
          <w:lang w:val="ru-RU"/>
        </w:rPr>
      </w:pPr>
      <w:r w:rsidRPr="00A3026E">
        <w:rPr>
          <w:color w:val="000000" w:themeColor="text1"/>
          <w:lang w:val="ru-RU"/>
        </w:rPr>
        <w:t>СНК разрешает Наркомавиапрому пересмотреть смету на строительство аэродинамической лаборатории МАИ, обязав НКАП Шахурина в двухнедельный срок утвердить новую смету (3377, 92).</w:t>
      </w:r>
    </w:p>
    <w:p w14:paraId="1AF62E56" w14:textId="77777777" w:rsidR="0014077F" w:rsidRPr="00A3026E" w:rsidRDefault="0014077F" w:rsidP="00A3026E">
      <w:pPr>
        <w:pStyle w:val="a3"/>
        <w:widowControl/>
        <w:rPr>
          <w:color w:val="000000" w:themeColor="text1"/>
          <w:lang w:val="ru-RU"/>
        </w:rPr>
      </w:pPr>
    </w:p>
    <w:p w14:paraId="715C64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декабря 1940 г. Записка наркома авиационной промышленности СССР А.Шахурина в ЦК ВКП(б) с замечаниями по проекту постановления ЦК ВКП(б) о днепропетровских заводах НКАП и приложения к записке. Получена Ждановым. Д.12, л.89-109 (11775).</w:t>
      </w:r>
    </w:p>
    <w:p w14:paraId="009876B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4103C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декабря 1940 г. по приказам № 717с/546с и № 759с/11с от 17.12.1940 г. два корпуса Львовского политехнического института и завод № 5 Наркомпроса УССР были переданы в ведение НКАП. На их базе по приказу № 68с от 27.01.1941 г. был образован ГС завод № 473 в системе 5ГУ для производства авиаприборов (ГС Завод № 473 НКАП /Украина  г. Львов/).</w:t>
      </w:r>
    </w:p>
    <w:p w14:paraId="2DDE8C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завод № 473 НКАП эвакуирован в Казань на площадку Кинофабрики и влит вместе с частью завода № 224 в состав завода № 448 НКАП.</w:t>
      </w:r>
    </w:p>
    <w:p w14:paraId="4DC32A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старом месте во Львове в конце 1944 г. началась организация завода № 87 НКАП (11982).</w:t>
      </w:r>
    </w:p>
    <w:p w14:paraId="5343826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FEF02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декабря 1940 г. по приказу № 713с/300 завод «Красный футлярщик», выпускавший чехлы для баянов и гармоний, был передан из Ленсовета в НКАП и по приказу № 393с от 29.04.1941 г. получил наименование ГС завод № 475 при 5ГУ НКАП (ГС Завод № 475 НКАП /г. Ленинград/).</w:t>
      </w:r>
    </w:p>
    <w:p w14:paraId="6F44F0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войны завод расформирован и законсервирован. Сооружения сильно повреждены во время налетов.</w:t>
      </w:r>
    </w:p>
    <w:p w14:paraId="42D683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площадке бывшего завода № 475 по приказу № 605сс от 23.10.1944 г. организован завод № 290 17ГУ НКАП (11982).</w:t>
      </w:r>
    </w:p>
    <w:p w14:paraId="3A8BF4A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63614BF" w14:textId="77777777" w:rsidR="00D61E13" w:rsidRPr="00A3026E" w:rsidRDefault="00D61E13"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3C6A7F3" w14:textId="77777777" w:rsidR="00D61E13" w:rsidRPr="00A3026E" w:rsidRDefault="00D61E13" w:rsidP="00A3026E">
      <w:pPr>
        <w:spacing w:after="0" w:line="240" w:lineRule="auto"/>
        <w:jc w:val="both"/>
        <w:rPr>
          <w:rFonts w:ascii="Times New Roman" w:hAnsi="Times New Roman"/>
          <w:iCs/>
          <w:color w:val="000000" w:themeColor="text1"/>
          <w:sz w:val="16"/>
          <w:szCs w:val="16"/>
        </w:rPr>
      </w:pPr>
    </w:p>
    <w:p w14:paraId="7725D07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декабря 1940 г. военные отделы предприятий реорганизовывались в мобилизационные отделы (2-е отделы), которые были нацелены на решение мобилизационных вопросов (18297).</w:t>
      </w:r>
    </w:p>
    <w:p w14:paraId="00BB7878" w14:textId="77777777" w:rsidR="004B7EF4" w:rsidRPr="00A3026E" w:rsidRDefault="004B7EF4" w:rsidP="00A3026E">
      <w:pPr>
        <w:spacing w:after="0" w:line="240" w:lineRule="auto"/>
        <w:jc w:val="both"/>
        <w:rPr>
          <w:rFonts w:ascii="Times New Roman" w:hAnsi="Times New Roman"/>
          <w:color w:val="000000" w:themeColor="text1"/>
          <w:sz w:val="16"/>
          <w:szCs w:val="16"/>
        </w:rPr>
      </w:pPr>
    </w:p>
    <w:p w14:paraId="33094439" w14:textId="77777777" w:rsidR="00D61E13" w:rsidRPr="00A3026E" w:rsidRDefault="00D61E1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11 декабря 1940 года вышло постановление СНК СССР № 451сс, согласно которому были приняты тактико-технические требования на разработку опытного образца бронесаней боевой массой 3,5 тонны. Согласно постановлению, к 25 декабря 1940 года планировалось изготовить полноразмерный макет бронесаней, а ровно через месяц — опытный образец. В качестве разработчика выступило ЦКБ-50 (Ленинград), основной деятельностью которого было проектирование кораблей, включая бронекатера.</w:t>
      </w:r>
    </w:p>
    <w:p w14:paraId="058B1421" w14:textId="77777777" w:rsidR="00D61E13" w:rsidRPr="00A3026E" w:rsidRDefault="00D61E1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ЦКБ-50 группой, которая занималась проектированием бронесаней по заказу НКСП, руководил Н. А. Макаров. Не менее необычным оказался и выбор изготовителя опытного образца бронесаней. Им стал судостроительный завод № 5 НКВД (ныне ОАО «СФ Алмаз») в Ленинграде. Контролировал работу Наркомат судостроительной промышленности. При таком проектировщике и изготовителе не стоит удивляться, что на свет появилась крайне неординарная конструкция.</w:t>
      </w:r>
    </w:p>
    <w:p w14:paraId="438FF7AA" w14:textId="77777777" w:rsidR="00D61E13" w:rsidRPr="00A3026E" w:rsidRDefault="00D61E1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Согласно переписке за 1940 год, проектируемые аэросани имели индекс 02СС. Впрочем, в материалах Главного автобронетанкового управления Красной армии (ГАБТУ КА) машина обозначалась как «бронированные аэросани конструкции ЦКБ-50». Само по себе название темы «Проект бронесаней (по типу тунгузских)» указывало на то, что разрабатываемая ЦКБ-50 конструкция будет заметно отличаться от того, что создавалось другими конструкторскими бюро.</w:t>
      </w:r>
    </w:p>
    <w:p w14:paraId="051D0366" w14:textId="77777777" w:rsidR="00D61E13" w:rsidRPr="00A3026E" w:rsidRDefault="00D61E1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Впрочем, выбор тунгузских саней (более известных как нарты) в качестве схемы было далеко не последним отличием конструкции ленинградских судостроителей. В случае, когда какому-нибудь КБ давали задание изготовить образец по несвойственной ему основой теме, на свет часто появлялись весьма оригинальные образцы. За примерами далеко ходить не надо: тот же Туполев известен не только как авиаконструктор и создатель аэросаней, но и как разработчик торпедного катера Г-5, корпус которого был выполнен по схеме поплавка гидросамолёта (17667).</w:t>
      </w:r>
    </w:p>
    <w:p w14:paraId="4518188D" w14:textId="77777777" w:rsidR="00D61E13" w:rsidRPr="00A3026E" w:rsidRDefault="00D61E13" w:rsidP="00A3026E">
      <w:pPr>
        <w:spacing w:after="0" w:line="240" w:lineRule="auto"/>
        <w:jc w:val="both"/>
        <w:rPr>
          <w:rFonts w:ascii="Times New Roman" w:eastAsia="Times New Roman" w:hAnsi="Times New Roman"/>
          <w:color w:val="000000" w:themeColor="text1"/>
          <w:sz w:val="16"/>
          <w:szCs w:val="16"/>
          <w:lang w:eastAsia="ru-RU"/>
        </w:rPr>
      </w:pPr>
    </w:p>
    <w:p w14:paraId="0AC0B421"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декабря 1940 г.</w:t>
      </w:r>
    </w:p>
    <w:p w14:paraId="1DCAFDB4"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РГВА Фонд 31811 Опись 3 Дело 2107 лист 1 – 3</w:t>
      </w:r>
    </w:p>
    <w:p w14:paraId="0F73A03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СОВ.СЕКРЕТНО.</w:t>
      </w:r>
    </w:p>
    <w:p w14:paraId="61D5E579"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Экз. № 3</w:t>
      </w:r>
    </w:p>
    <w:p w14:paraId="65D13317"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АКТ</w:t>
      </w:r>
    </w:p>
    <w:p w14:paraId="25A1D4EB"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войсковым (государственным) испытаниям танковой радиостанции типа КРСТБ.</w:t>
      </w:r>
    </w:p>
    <w:p w14:paraId="4C7213DC"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декабря 1940 г.</w:t>
      </w:r>
    </w:p>
    <w:p w14:paraId="4F70CC9E"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гор. Москва.</w:t>
      </w:r>
    </w:p>
    <w:p w14:paraId="3566A03E"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основании директивы Заместителя Народного Комиссара Обороны Союза ССР Маршала Советского Союза тов. Буденного, он 11 ноября 1940 года за № 351006, Комиссия под председательством Командира 7 мехкорпуса (МВО) Генерал-майора т. Виноградова, в период с 21 ноября по 7 декабря 1940 года провела войсковые (государственные) испытания танковой радиостанции типа КРСТБ по программе, утвержденной Заместителем Начальника Генерального штаба Красной Армии Генерал-лейтенантом тов. Ватутиным.</w:t>
      </w:r>
    </w:p>
    <w:p w14:paraId="3D1E3201"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I. Объект войсковых испытаний.</w:t>
      </w:r>
    </w:p>
    <w:p w14:paraId="4A713524"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40 комплектов танковой радиостанции типа КРСТБ, производства завода № 203 НКЭП СССР.</w:t>
      </w:r>
    </w:p>
    <w:p w14:paraId="74108BAE"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Образец радиостанции КРСТБ в мае м-це 1940 года допущен комиссией по полигонным испытаниям к войсковым (государственным) испытаниям.</w:t>
      </w:r>
    </w:p>
    <w:p w14:paraId="39CB77BD"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II. Цель испытаний.</w:t>
      </w:r>
    </w:p>
    <w:p w14:paraId="4DBD6C4B"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Определение возможности принятия рации КРСТБ на вооружение частей АБТ Войск Красной Армии.</w:t>
      </w:r>
    </w:p>
    <w:p w14:paraId="76F062E4"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Выявление тактико-технических и эксплоатационных свойств рации КРСТБ.</w:t>
      </w:r>
    </w:p>
    <w:p w14:paraId="7F0EC95F"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Получение исходных материалов для наставления по боевому применению и эксплоатации рации КРСТБ, а также определение организации управления мех.соединением по радио.</w:t>
      </w:r>
    </w:p>
    <w:p w14:paraId="75504E2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Проверка штатного расчета для обслуживания рации КРСТБ.</w:t>
      </w:r>
    </w:p>
    <w:p w14:paraId="24D305C3"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Определение необходимого количества волн (кварцев) рации КРСТБ для обеспечения радиосвязи танковой дивизии во всех видах боя.</w:t>
      </w:r>
    </w:p>
    <w:p w14:paraId="4E90CA5A"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III. Условия испытаний.</w:t>
      </w:r>
    </w:p>
    <w:p w14:paraId="23AFC799"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Войсковые (государственные) испытания рации КРСТБ проводились в 18-й танковой дивизии 7-го мехкорпуса (МВО) в период времени с 21 ноября по 7 декабря 1940 года. Испытания рации КРСТБ проводились на учениях с войсками и на командно-штабных учениях в поле с материальной частью (танки Т-26 и БТ-7) на следующие темы:</w:t>
      </w:r>
    </w:p>
    <w:p w14:paraId="2988F773"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Танковый батальон в наступательном бою в составе С.П.</w:t>
      </w:r>
    </w:p>
    <w:p w14:paraId="0689B97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Марш танковой дивизии в предвидении встречного боя и встречный бой.</w:t>
      </w:r>
    </w:p>
    <w:p w14:paraId="6C9CD70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Ввод танковой дивизии в прорыв в составе мех.корпуса и бой в глубине с оперативными резервами противника.</w:t>
      </w:r>
    </w:p>
    <w:p w14:paraId="57F22EB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Кроме того, проводились дополнительные испытания рации КРСТБ для определения ее механической прочности и предельной дальности связи. Управление рацией во время учений осуществлялось непосредственно командирами танковых частей и подразделений. Испытания проводились в пересеченной местности (район гор. Калуга) в различное время суток. Скорость хода от 20 до 50 км. в час на танках БТ-7 и от 15 до 25 км. в час на танках Т-26. Температура от 0° до – 10° С. Испытания частично проводились в условиях значительных помех радиоприему. Материалы по учениям даны в приложении.</w:t>
      </w:r>
    </w:p>
    <w:p w14:paraId="00F6F009"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IV. Результаты испытаний и выводы.</w:t>
      </w:r>
    </w:p>
    <w:p w14:paraId="1C633CAC"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Рация КРСТБ обеспечивает полную возможность надежного управления по радио танковыми частями и в танковой дивизии во всех видах боя.</w:t>
      </w:r>
    </w:p>
    <w:p w14:paraId="261B5D31"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Рация КРСТБ обеспечивает полную возможность поддержания радиосвязи с танковой рацией 71-ТК-1 и в сетях взаимодействия с рациями 5-АК и РБ.</w:t>
      </w:r>
    </w:p>
    <w:p w14:paraId="02D2E374"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Рация КРСТБ очень проста в управлении, не имеет органов точной настройки, усложняющих пользование ею, не требует длительной тренировки для освоения правил ее эксплоатации. Применение ларингофона вместо микрофона освобождает руки командира в танке при радиосвязи.</w:t>
      </w:r>
    </w:p>
    <w:p w14:paraId="6F6C8F4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Рация обеспечивает возможность организации сети связи без предварительной и демаскирующей работы по налаживанию последней, весьма быстрый и точный переход из одной сети связи в другую и быстрое вхождение в связь.</w:t>
      </w:r>
    </w:p>
    <w:p w14:paraId="32C1667C"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Рация КРСТБ обеспечивает в зимнее время, в условиях пересеченной местности и значительных электрических помех радиоприему следующие дальности связи:</w:t>
      </w:r>
    </w:p>
    <w:p w14:paraId="4085612A"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На ходу танков:</w:t>
      </w:r>
    </w:p>
    <w:p w14:paraId="57ED51FC"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штыревой антенне высотою 1 метр – до 5 км.</w:t>
      </w:r>
    </w:p>
    <w:p w14:paraId="466F268F"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штыревой антенне высотою 2 метра – до 10 – 15 км.</w:t>
      </w:r>
    </w:p>
    <w:p w14:paraId="31271903"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штыревой антенне высотою 3 метра – до 20 км.</w:t>
      </w:r>
    </w:p>
    <w:p w14:paraId="43F7527E"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штыревой антенне высотою 4 метра – до 30 – 35 км.</w:t>
      </w:r>
    </w:p>
    <w:p w14:paraId="022493C7"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На стоянке танков:</w:t>
      </w:r>
    </w:p>
    <w:p w14:paraId="5045F144"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штыревой антенне высотою 1 метр – до 10 км.</w:t>
      </w:r>
    </w:p>
    <w:p w14:paraId="26458B7C"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штыревой антенне высотою 2 метра – до 15 – 20 км.</w:t>
      </w:r>
    </w:p>
    <w:p w14:paraId="5504CCFE"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штыревой антенне высотою 3 метра – до 25 – 30 км.</w:t>
      </w:r>
    </w:p>
    <w:p w14:paraId="343907E9"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штыревой антенне высотою 4 метра – до 40 – 45 км.</w:t>
      </w:r>
    </w:p>
    <w:p w14:paraId="0AF1551B"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Рабочий комплект рации КРСТБ невелик по габаритам (32 дцм.³), может быть удобно размещен в танке и обеспечен питанием от нормальной 12-ти вольтовой бортовой сети танка. Вес рабочей части – 33 кг.</w:t>
      </w:r>
    </w:p>
    <w:p w14:paraId="675AB004"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Рация КРСТБ обеспечивает возможность организации радиосвязи на одной волне в танковом батальоне и в танковом полку.</w:t>
      </w:r>
    </w:p>
    <w:p w14:paraId="1D1F8709"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Для обеспечения радиосвязи в танковой дивизии каждой рации КРСТБ необходимо придавать кварцы на 15 волн. Кроме того, у каждого начальника связи танковой дивизии и у начальника связи танкового корпуса должно быть 15 комплектов кварцев, каждый на 10 волн, отличных от волн, приданных непосредственно рации, для организации сетей командования от командира корпуса до командира полка.</w:t>
      </w:r>
    </w:p>
    <w:p w14:paraId="5D8C283A"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Рация КРСТБ имеет преимущества перед рацией 71-ТК-1, состоящей на вооружении Б.Т. войск Красной Армии. Сравнительные данные рации КРСТБ и 71-ТК-1 изложены в прилагаемой ведомости.</w:t>
      </w:r>
    </w:p>
    <w:p w14:paraId="64F02F9B"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В процессе войсковых испытаний выявлен ряд конструктивных и технических недостатков рации КРСТБ, подлежащих устранению в первой серии раций. Эти недостатки изложены в прилагаемом перечне конструктивных изменений. Комиссия отмечает низкое качество выполнения деталей опытной партии раций КРСТБ заводом № 203 НКЭП.</w:t>
      </w:r>
    </w:p>
    <w:p w14:paraId="6D5F34C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V. ЗАКЛЮЧЕНИЕ.</w:t>
      </w:r>
    </w:p>
    <w:p w14:paraId="7878D6F0"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Комиссия считает необходимым ТАНКОВУЮ РАДИОСТАНЦИЮ ТИПА КРСТБ ПРИНЯТЬ НА ВООРУЖЕНИЕ БРОНЕ-ТАНКОВЫХ ВОЙСК КРАСНОЙ АРМИИ.</w:t>
      </w:r>
    </w:p>
    <w:p w14:paraId="4EDA9FCF"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Обязать завод № 203 НКЭП СССР форсировать устранение всех недостатков рации и реализацию всех конструктивных изменений в ней, указанных комиссией по войсковым (государственным) испытаниям и только после этого приступить к серийному производству.</w:t>
      </w:r>
    </w:p>
    <w:p w14:paraId="3431B452"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ПРИЛОЖЕНИЕ: 1) Перечень конструктивных изменений и дефектов, подлежащих устранению в серии раций КРСТБ.</w:t>
      </w:r>
    </w:p>
    <w:p w14:paraId="71DF8BBF"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Сравнительные данные раций КРСТБ и 71-ТК-1.</w:t>
      </w:r>
    </w:p>
    <w:p w14:paraId="2801160D"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Протоколы испытаний.</w:t>
      </w:r>
    </w:p>
    <w:p w14:paraId="4CB7A75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Материалы по учениям (схемы радиосвязи).</w:t>
      </w:r>
    </w:p>
    <w:p w14:paraId="3C9BC4C5"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ПРЕДСЕДАТЕЛЬ КОМИССИИ:</w:t>
      </w:r>
    </w:p>
    <w:p w14:paraId="3ED87F53"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КОМАНДИР 7 МЕХКОРПУСА – ГЕНЕРАЛ-МАЙОР подпись (Виноградов)</w:t>
      </w:r>
    </w:p>
    <w:p w14:paraId="1299711E"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ЗАМ. ПРЕДСЕДАТЕЛЯ КОМИССИИ:</w:t>
      </w:r>
    </w:p>
    <w:p w14:paraId="239536D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ПОМ. НАЧ. СВЯЗИ МВО – ПОЛКОВНИК подпись (Поляков)</w:t>
      </w:r>
    </w:p>
    <w:p w14:paraId="2E65664B"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ЧЛЕНЫ КОМИССИИ:</w:t>
      </w:r>
    </w:p>
    <w:p w14:paraId="031207B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ПОМ. ГЕНЕРАЛ-ИНСПЕКТОРА СВЯЗИ ПОЛКОВНИК подпись (Гурьянов)</w:t>
      </w:r>
    </w:p>
    <w:p w14:paraId="65BEC15C"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НАЧ. ШТАБА 18 ТАНК. ДИВИЗИИ ПОЛКОВНИК подпись (Асейчев)</w:t>
      </w:r>
    </w:p>
    <w:p w14:paraId="620CC402"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НАЧ. 3ОТДЕЛЕНИЯ 2 ОТДЕЛА БТУ КА ПОДПОЛКОВНИК подпись (Леонов)</w:t>
      </w:r>
    </w:p>
    <w:p w14:paraId="1EC86C8D"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НАЧ. ОТДЕЛЕНИЯ 1 ОТДЕЛА УС КА ПОДПОЛКОВНИК подпись (Шульмейстер)</w:t>
      </w:r>
    </w:p>
    <w:p w14:paraId="09F91F50"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ПОМ. НАЧ. ОТДЕЛЕНИЯ 3 ОТДЕЛА БТУ КА ПОДПОЛКОВНИК подпись (Дорофеев)</w:t>
      </w:r>
    </w:p>
    <w:p w14:paraId="3532FB7B"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НАЧ. ЛАБОРАТОРИИ НИСТ КА В/ИНЖЕНЕР 1 Р. подпись (Орлов)</w:t>
      </w:r>
    </w:p>
    <w:p w14:paraId="7FE6791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НАЧ. СВЯЗИ 1 МЕХ. КОРПУСА МАЙОР подпись (Борисов)</w:t>
      </w:r>
    </w:p>
    <w:p w14:paraId="47C07EA3"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НАЧ. СВЯЗИ 18 ТАНК. ДИВИЗИИ МАЙОР подпись (Ковалевский)</w:t>
      </w:r>
    </w:p>
    <w:p w14:paraId="3EC702DD"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НАЧ. ОТДЕЛЕНИЯ 5 ОТДЕЛА УС КА В/ИНЖЕНЕР 2 Р. подпись (Геращенко)</w:t>
      </w:r>
    </w:p>
    <w:p w14:paraId="73C5B55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СТ. ИНЖЕНЕР 2 ОТДЕЛА БТУ КА В/ИНЖЕНЕР 3 Р. подпись (Очеретенко)</w:t>
      </w:r>
    </w:p>
    <w:p w14:paraId="02CAE1BD"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ИНЖЕНЕР ЗАВОДА № 203 подпись (Гальперин)</w:t>
      </w:r>
    </w:p>
    <w:p w14:paraId="3C42D15F"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ИНЖЕНЕР НИИ-20 подпись (Фин)</w:t>
      </w:r>
    </w:p>
    <w:p w14:paraId="6A670ED1"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ИНЖЕНЕР НИСТ КА подпись (Петухов)</w:t>
      </w:r>
    </w:p>
    <w:p w14:paraId="0EB0489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ИНЖЕНЕР З-ДА 197 подпись (Гуров)</w:t>
      </w:r>
    </w:p>
    <w:p w14:paraId="1BDD621C"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декабря 1940 г.</w:t>
      </w:r>
    </w:p>
    <w:p w14:paraId="170987D1"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РГВА Фонд 31811 Опись 3 Дело 2107 лист 7 – 10</w:t>
      </w:r>
    </w:p>
    <w:p w14:paraId="63AC26E1"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СОВ.СЕКРЕТНО.</w:t>
      </w:r>
    </w:p>
    <w:p w14:paraId="5E5C6A4A"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Экз. № 3</w:t>
      </w:r>
    </w:p>
    <w:p w14:paraId="1A668FF2"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ПЕРЕЧЕНЬ</w:t>
      </w:r>
    </w:p>
    <w:p w14:paraId="6BAD0270"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подлежащих устранению в серийном выпуске радиостанций типа КРСТБ.</w:t>
      </w:r>
    </w:p>
    <w:p w14:paraId="6743867C"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декабря 1940 г.</w:t>
      </w:r>
    </w:p>
    <w:p w14:paraId="248B305F"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гор. Москва.</w:t>
      </w:r>
    </w:p>
    <w:p w14:paraId="0ACB6084"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Комиссия по войсковым государственным испытаниям опытной партии радиостанций КРСТБ, разработки завода № 203 НКЭП считает необходимым выполнить в серийном выпуске радиостанций КРСТБ нижеследующие технические и конструктивные мероприятия:</w:t>
      </w:r>
    </w:p>
    <w:p w14:paraId="37425DAD"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Установить, что чувствительность приемника на "красном" и "желтом" положении переключателя должна находиться в пределах от 4 до 10 микровольт.</w:t>
      </w:r>
    </w:p>
    <w:p w14:paraId="081098C2"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Установить, что чувствительность приемника на "черном" положении переключателя должна быть не хуже 15 микровольт.</w:t>
      </w:r>
    </w:p>
    <w:p w14:paraId="7FC0F4F5"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Установить, что ток в основании 4-х метровой антенны при передаче должен быть не ниже 0,6 амп. по всему диапазону.</w:t>
      </w:r>
    </w:p>
    <w:p w14:paraId="28825AD5"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Обеспечить работу радиостанции КРСТБ через танковое переговорное устройство ТПУ.</w:t>
      </w:r>
    </w:p>
    <w:p w14:paraId="2BE372B9"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Заменить предохранительную лампочку приемника надежным предохранителем.</w:t>
      </w:r>
    </w:p>
    <w:p w14:paraId="4FB4F8C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Изменить конструкцию крышек крепления кварцевых блоков передатчика, исключив резьбу и съемные детали.</w:t>
      </w:r>
    </w:p>
    <w:p w14:paraId="6CB8AE6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Изменить конструкцию рукояток настройки вариометров антенны передатчика, обеспечив удобное пользование ими и фиксацию на любой волне диапазона, допустить использование типовых рукояток настройки.</w:t>
      </w:r>
    </w:p>
    <w:p w14:paraId="0407838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Улучшить конструкцию амортизации радиостанции, уменьшив амплитуду вибраций.</w:t>
      </w:r>
    </w:p>
    <w:p w14:paraId="2F4DB147"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Устранить самоотвинчивание барашков крепления передатчика, приемника и блока питания к амортизации.</w:t>
      </w:r>
    </w:p>
    <w:p w14:paraId="5296C57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Обеспечить удобное крепление и вынимание кассет с запасными кварцевыми блоками, и разместить дополнительно 2 кассеты на внешних стенках амортизационной рамы. Ввести на кассетах и внутри кассет указатель раскладки кварцевых блоков.</w:t>
      </w:r>
    </w:p>
    <w:p w14:paraId="7D222372"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Устранить окисление контактов кварцевых блоков при хранении их в кассетах.</w:t>
      </w:r>
    </w:p>
    <w:p w14:paraId="21B6B59E"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12. Ввести легкосъемные металлические крышки на передние панели передатчика и приемника. Предусмотреть крепление снятых крышек на самой радиостанции. Чехол изъять.</w:t>
      </w:r>
    </w:p>
    <w:p w14:paraId="796222C5"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 Рацию комплектовать специальным шлемом с антишумовыми заглушками телефонов.</w:t>
      </w:r>
    </w:p>
    <w:p w14:paraId="44DCDE7F"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 Переделать заново ларинго-телефлнную гарнитуру, обеспечив:</w:t>
      </w:r>
    </w:p>
    <w:p w14:paraId="68507C9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Удобное крепление ларингофона на шлеме.</w:t>
      </w:r>
    </w:p>
    <w:p w14:paraId="72C8672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Невозможность самопроизвольного выключения гарнитуры из рации.</w:t>
      </w:r>
    </w:p>
    <w:p w14:paraId="0D2A02C9"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Достаточную прочность шнуров.</w:t>
      </w:r>
    </w:p>
    <w:p w14:paraId="1FB994BD"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Подводку гарнитуры к рации выполнить так, чтобы она не стесняла оператора.</w:t>
      </w:r>
    </w:p>
    <w:p w14:paraId="2D8BE79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При выходе оператора из танка должно быть предусмотрено удобное, надежное и легкое отключение гарнитуры выше переключателя. Желательно совместить нагрудный разъем и переключатель "прием-передача". Переключатель устанавливать не ниже кармана.</w:t>
      </w:r>
    </w:p>
    <w:p w14:paraId="6B401F8F"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 Ввести в комплект радиостанции 2 комплекта шлемов с ларинго-телефонной гарнитурой (2 летних и 2 зимних).</w:t>
      </w:r>
    </w:p>
    <w:p w14:paraId="1607A863"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 Изменить конструкцию нагрудного переключателя, исключающую возможность самопроизвольного переключения (с приема на передачу и обратно).</w:t>
      </w:r>
    </w:p>
    <w:p w14:paraId="3ED3A61F"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 Изменить типовую шкалу плавного диапазона приемника, сделав 100 градусную шкалу с указанием ориентиров в виде десятков фиксированных волн.</w:t>
      </w:r>
    </w:p>
    <w:p w14:paraId="5898CA07"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18. Изменить конструкцию фишки переключателя питания к приемнику и передатчику, обеспечив более удобное подключение.</w:t>
      </w:r>
    </w:p>
    <w:p w14:paraId="788B556B"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19. Исключить клеммы заземления передатчика и приемника, обеспечив заземление через кабели питания.</w:t>
      </w:r>
    </w:p>
    <w:p w14:paraId="1458D2C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 Усилить провод, соединяющий клеммы "А" приемника и "АП" передатчика.</w:t>
      </w:r>
    </w:p>
    <w:p w14:paraId="2E9AB4CC"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21. Обеспечить надежную, без обрывов, заделку провода ввода антенны.</w:t>
      </w:r>
    </w:p>
    <w:p w14:paraId="0016B8CD"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22. Ввести маркировку основных деталей и узлов станции в соответствии с принципиальной схемой.</w:t>
      </w:r>
    </w:p>
    <w:p w14:paraId="02BC36EA"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23. Устранить самопроизвольное развинчивание винтов, крепящих передние панели передатчика и приемника к кожухам.</w:t>
      </w:r>
    </w:p>
    <w:p w14:paraId="09936975"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24. Сделать более тугой ход регулятора громкости, обеспечивающий невозможность самопроизвольного (при вибрациях) перемещения. Улучшить действие регулятора громкости, повысив плавность регулирования его.</w:t>
      </w:r>
    </w:p>
    <w:p w14:paraId="7741625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 Уменьшить ручку настройки плавного диапазона приемника, сделав ее такого размера, как и ручку регулятора громкости.</w:t>
      </w:r>
    </w:p>
    <w:p w14:paraId="2266C47F"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26. Антенну заменить более прочной, предъявленная с рациями антенна слаба: лопается амортизатор и гнутся штыри.</w:t>
      </w:r>
    </w:p>
    <w:p w14:paraId="5B8D0D95"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27. Сделать захваты на кассетах для более удобного открывания их и улучшить конструкцию запоров на кассетах дав, например, запор кнопочного типа.</w:t>
      </w:r>
    </w:p>
    <w:p w14:paraId="4D4EF7FA"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28. На радиостанции установить вольтметр.</w:t>
      </w:r>
    </w:p>
    <w:p w14:paraId="698C0C6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29. Усилить изоляцию проводника высокого напряжения с анода на модуляционный дроссель.</w:t>
      </w:r>
    </w:p>
    <w:p w14:paraId="3CC4E2C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30. Улучшить обработку деталей, точность изготовления и пригонку креплений приемника, передатчика и блока питания к амортизации.</w:t>
      </w:r>
    </w:p>
    <w:p w14:paraId="683C9C7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31. Усилить стопора вариометров передатчика.</w:t>
      </w:r>
    </w:p>
    <w:p w14:paraId="784B9FED"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32. Обеспечить механическое прочное крепление проводов к выводам ламп передатчика (особенно сеточные вывода).</w:t>
      </w:r>
    </w:p>
    <w:p w14:paraId="08433C5D"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33. Комплектовать рацию часами.</w:t>
      </w:r>
    </w:p>
    <w:p w14:paraId="166F799B"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34. Усилить крепление рации на машине.</w:t>
      </w:r>
    </w:p>
    <w:p w14:paraId="4D98DD2A"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35. АБТУ и Заводу № 203 совместно разработать систему устранения помех от электрооборудования на танках при пользовании рацией КРСТБ.</w:t>
      </w:r>
    </w:p>
    <w:p w14:paraId="7C697463"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36. Цифры, обозначающие номера волн на кварцевых держателях делать черного цвета.</w:t>
      </w:r>
    </w:p>
    <w:p w14:paraId="74A2FBE3"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ПРЕДСЕДАТЕЛЬ КОМИССИИ – ГЕНЕРАЛ-МАЙОР подпись (ВИНОГРАДОВ)</w:t>
      </w:r>
    </w:p>
    <w:p w14:paraId="2BA6327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ЗАМ. ПРЕДСЕДАТЕЛЯ КОМИССИИ ПОЛКОВНИК подпись (ПОЛЯКОВ)</w:t>
      </w:r>
    </w:p>
    <w:p w14:paraId="21EAFAF0"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ЧЛЕНЫ КОМИССИИ:</w:t>
      </w:r>
    </w:p>
    <w:p w14:paraId="4EA99EC1"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ПОЛКОВНИК подпись (АСЕЙЧЕВ)</w:t>
      </w:r>
    </w:p>
    <w:p w14:paraId="5C3C3C9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ПОЛКОВНИК подпись (ГУРЬЯНОВ)</w:t>
      </w:r>
    </w:p>
    <w:p w14:paraId="0DED249B"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ПОДПОЛКОВНИК подпись (ШУЛЬМЕЙСТЕР)</w:t>
      </w:r>
    </w:p>
    <w:p w14:paraId="5DA2072D"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ПОДПОЛКОВНИК подпись (ЛЕОНОВ)</w:t>
      </w:r>
    </w:p>
    <w:p w14:paraId="2BFA4462"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ПОДПОЛКОВНИК подпись (ДОРОФЕЕВ)</w:t>
      </w:r>
    </w:p>
    <w:p w14:paraId="3B1E20D2"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МАЙОР подпись (КОВАЛЕВСКИЙ)</w:t>
      </w:r>
    </w:p>
    <w:p w14:paraId="0DDDDB21"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МАЙОР подпись (БОРИСОВ)</w:t>
      </w:r>
    </w:p>
    <w:p w14:paraId="132C355E"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ВОЕНИНЖЕНЕР 1 РАНГА подпись (ОРЛОВ)</w:t>
      </w:r>
    </w:p>
    <w:p w14:paraId="2208095A"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ВОЕНИНЖЕНЕР 2 РАНГА подпись (ГЕРАЩЕНКО)</w:t>
      </w:r>
    </w:p>
    <w:p w14:paraId="295B8FFF"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ВОЕНИНЖЕНЕР 3 РАНГА подпись (ОЧЕРЕТЕНКО)</w:t>
      </w:r>
    </w:p>
    <w:p w14:paraId="38AFFC5C"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ИНЖЕНЕР подпись (ПЕТУХОВ)</w:t>
      </w:r>
    </w:p>
    <w:p w14:paraId="52711D47"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ИНЖЕНЕР подпись (ФИН)</w:t>
      </w:r>
    </w:p>
    <w:p w14:paraId="587D0E0C"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ИНЖЕНЕР подпись (ГУРОВ)</w:t>
      </w:r>
    </w:p>
    <w:p w14:paraId="5090D9B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ИНЖЕНЕР подпись (ГАЛЬПЕРИН)</w:t>
      </w:r>
    </w:p>
    <w:p w14:paraId="5FFD4F3E"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Отп. 5 экз.</w:t>
      </w:r>
    </w:p>
    <w:p w14:paraId="13D5F0D7"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10.12.40 г.</w:t>
      </w:r>
    </w:p>
    <w:p w14:paraId="1185307D"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12 декабря 1941</w:t>
      </w:r>
    </w:p>
    <w:p w14:paraId="3DA1F0B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РГВА Фонд 31811 Опись 3 Дело 2107 лист 11 – 13</w:t>
      </w:r>
    </w:p>
    <w:p w14:paraId="089C9D5C"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СОВ.СЕКРЕТНО.</w:t>
      </w:r>
    </w:p>
    <w:p w14:paraId="7B4D9614"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Экз. № 3</w:t>
      </w:r>
    </w:p>
    <w:p w14:paraId="6A837E4A"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ОСОБОЕ МНЕНИЕ</w:t>
      </w:r>
    </w:p>
    <w:p w14:paraId="5190D4FE"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члена комиссии по войсковым (государственным) испытаниям радиостанции КРСТБ</w:t>
      </w:r>
    </w:p>
    <w:p w14:paraId="3C47F4A2"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инженера ГАЛЬПЕРИНА Е.Р.</w:t>
      </w:r>
    </w:p>
    <w:p w14:paraId="2F80B4F5"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Считаю, что пункты 1, 2, 3 перечня конструктивных изменений и дефектов по радиостанции КРСТБ не выполнимы и не вызваны требованиями эксплоатации.</w:t>
      </w:r>
    </w:p>
    <w:p w14:paraId="77AAE721"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пунктам № 1 и № 2 записано, что приемники на "красном" и "желтом" положении переключателя должны иметь чувствительность от 4 до 10 микро-вольт и на "черном" положении переключателя до 15 микро-вольт. Эти требования совершенно невыполнимы в серийном производстве, при взаимозаменяемых комплектах кварцевых блоков.</w:t>
      </w:r>
    </w:p>
    <w:p w14:paraId="7271CBCE"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войсковых испытаниях были требования ухудшить чувствительность приемников, поэтому с этой целью следует оговорить только высший предел, а именно – 4 микро-вольта. Второй предел 10 микро-вольтов не обоснован, так как завод опытную серию выпускал с более высоким пределом и при этом гарантировал определенные дальности; эти дальности завод буде гарантировать и дальше. Надо указать, что при разработке образцов ни перед заводом, ни перед НИИ-20 не стояли задачи изготовлять приемники с такой чувствительностью и образцы НИИ-20 и образцы завода и опытная серия таких величин чувствительности не имела (образцы НИИ-20, только 2 образца, имели чувствительность от 15 до 46 микро-вольт на кварц. волнах и 34 – 60 микро-вольт на плавном диапазоне; образцы завода имели чувствительность от 2,5 микро-вольт до 15 микро-вольт и опытная серия от 1 микро-вольта до 15 микро-вольт).</w:t>
      </w:r>
    </w:p>
    <w:p w14:paraId="12A4908E"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Все эти приемники дали хорошую дальность связи, поэтому, я возражаю против ухудшения чувствительности до 4 микро-вольт, я категорически возражаю записывать второй предел чувствительности 10 микро-вольт без специального анализа этого вопроса заводом и УС КА.</w:t>
      </w:r>
    </w:p>
    <w:p w14:paraId="4E4A4EA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пункту 3 – записано, что ток в основании 4-х мтр. антенны должен быть не менее 0,6 ампера. Этому требованию не удовлетворяет ни передатчики НИИ-20, ни образцы завода, ни опытная серия. Таким образом нет никаких оснований считать, что это необходимо, так как передатчики с отдачей 0,4 амп. дают необходимые дальности связи с большим запасом.</w:t>
      </w:r>
    </w:p>
    <w:p w14:paraId="13B8704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Если п.п. 1, 2 и 3 перечня не будут изменены и будут утверждены без изменения, то это приведет к тому, что потребуется начинать разработку образца снова, затем снова приступать к подготовке производства и только после этого – к серийному производству. Эти требования совершенно не требуются с точки зрения получения дальностей, оговоренных техусловиями, а вызовут колоссальную задержку в выпуске серии. Считаю, что эти пункты из перечня следует исключить.</w:t>
      </w:r>
    </w:p>
    <w:p w14:paraId="25B82731"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пунктам 28 и 33 записано, что на радиостанции КРСТБ должен быть установлен вольтметр и должны прикладываться часы. Эти требования невозможно выполнить, так как нет места для расположения прибора и часов. Кроме того, и это основное, этого не требуется по условиям эксплоатации: Радиостанция питается от бортовой сети танка (12 вольт) и прибор, измеряющий напряжение бортовой сети, имеется на щитке водителя и ничего не даст эксплоатирующему персоналу, так как регулировать напряжение на радиостанции нечем и не требуется. Аналогичные же соображения и по вопросу установки часов. Часы разместить негде, и так как работа на рации КРСТБ ведется не по часам, и часы есть в танке и у командира, то нет смысла часы устанавливать на радиостанции. Если же устанавливать вольтметр и часы, то это потребует переконструирования радиостанции и сильно задержит выпуск серии, не дав никаких эксплоатационных преимуществ.</w:t>
      </w:r>
    </w:p>
    <w:p w14:paraId="24C43CA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ИНЖЕНЕР ЗАВОДА № 203 подпись (ГАЛЬПЕРИН)</w:t>
      </w:r>
    </w:p>
    <w:p w14:paraId="1757687A"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Отп. 5 экз.</w:t>
      </w:r>
    </w:p>
    <w:p w14:paraId="0F4FBE54"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12.12.40 г.</w:t>
      </w:r>
    </w:p>
    <w:p w14:paraId="0145643A"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РГВА Фонд 31811 Опись 3 Дело 2107 лист 14 – 15</w:t>
      </w:r>
    </w:p>
    <w:p w14:paraId="5E22B207"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СОВ.СЕКРЕТНО.</w:t>
      </w:r>
    </w:p>
    <w:p w14:paraId="74148FC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Экз. № 3</w:t>
      </w:r>
    </w:p>
    <w:p w14:paraId="53DCDDC5"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СРАВНИТЕЛЬНЫЕ ДАННЫЕ</w:t>
      </w:r>
    </w:p>
    <w:p w14:paraId="5B34C0FB"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Рации КРСТБ и 71-ТК-3…(20099.</w:t>
      </w:r>
    </w:p>
    <w:p w14:paraId="11DC450A" w14:textId="77777777" w:rsidR="009E6104" w:rsidRPr="00A3026E" w:rsidRDefault="009E6104" w:rsidP="00A3026E">
      <w:pPr>
        <w:spacing w:after="0" w:line="240" w:lineRule="auto"/>
        <w:jc w:val="both"/>
        <w:rPr>
          <w:rFonts w:ascii="Times New Roman" w:hAnsi="Times New Roman"/>
          <w:color w:val="0070C0"/>
          <w:sz w:val="16"/>
          <w:szCs w:val="16"/>
        </w:rPr>
      </w:pPr>
    </w:p>
    <w:p w14:paraId="4872B16A" w14:textId="77777777" w:rsidR="0014077F"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730D0154"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54F8DAD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декабря 1940 г. вышло Постановление Главного военного совета.</w:t>
      </w:r>
    </w:p>
    <w:p w14:paraId="69F0568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прохождении службы летно-техническим составом</w:t>
      </w:r>
    </w:p>
    <w:p w14:paraId="44344C8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Главный военный совет постановляет:</w:t>
      </w:r>
    </w:p>
    <w:p w14:paraId="256824C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Считать неправильным установленный приказом НКО 1938 г. № 0147 порядок присвоения военных званий всем пило</w:t>
      </w:r>
      <w:r w:rsidRPr="00A3026E">
        <w:rPr>
          <w:rFonts w:ascii="Times New Roman" w:hAnsi="Times New Roman"/>
          <w:color w:val="000000" w:themeColor="text1"/>
          <w:sz w:val="16"/>
          <w:szCs w:val="16"/>
        </w:rPr>
        <w:softHyphen/>
        <w:t>там, выпускаемым из школ военных пилотов, — «младший лейте</w:t>
      </w:r>
      <w:r w:rsidRPr="00A3026E">
        <w:rPr>
          <w:rFonts w:ascii="Times New Roman" w:hAnsi="Times New Roman"/>
          <w:color w:val="000000" w:themeColor="text1"/>
          <w:sz w:val="16"/>
          <w:szCs w:val="16"/>
        </w:rPr>
        <w:softHyphen/>
        <w:t>нант» и механикам, выпускаемым из авиатехнических школ, — «младший воентехник». Этим приказом нарушается вся система подготовки летно-технического состава, утвержденная постановле</w:t>
      </w:r>
      <w:r w:rsidRPr="00A3026E">
        <w:rPr>
          <w:rFonts w:ascii="Times New Roman" w:hAnsi="Times New Roman"/>
          <w:color w:val="000000" w:themeColor="text1"/>
          <w:sz w:val="16"/>
          <w:szCs w:val="16"/>
        </w:rPr>
        <w:softHyphen/>
        <w:t>нием КО при СНК СССР 1937 г. № Збсс.</w:t>
      </w:r>
    </w:p>
    <w:p w14:paraId="2757519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Отметить, что указанное нарушение решения Правительства привело к ликвидации военных пилотов, ослаблению дисциплины среди летно-технического состава и чрезмерному увеличению нач</w:t>
      </w:r>
      <w:r w:rsidRPr="00A3026E">
        <w:rPr>
          <w:rFonts w:ascii="Times New Roman" w:hAnsi="Times New Roman"/>
          <w:color w:val="000000" w:themeColor="text1"/>
          <w:sz w:val="16"/>
          <w:szCs w:val="16"/>
        </w:rPr>
        <w:softHyphen/>
        <w:t>состава в авиации и вызвало громадные расходы на жилищное строительство для начсостава.</w:t>
      </w:r>
    </w:p>
    <w:p w14:paraId="5BE2C8C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Отменить приказ НКО 1938 г. № 0147 как неправильный и установить с 1 января 1941 года следующий порядок выпуска из военно-авиационных училищ и школ:</w:t>
      </w:r>
    </w:p>
    <w:p w14:paraId="263D64D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курсантов военно-авиационных училищ и школ летчиков, после окончания ими годичного срока обучения, выпускать воен</w:t>
      </w:r>
      <w:r w:rsidRPr="00A3026E">
        <w:rPr>
          <w:rFonts w:ascii="Times New Roman" w:hAnsi="Times New Roman"/>
          <w:color w:val="000000" w:themeColor="text1"/>
          <w:sz w:val="16"/>
          <w:szCs w:val="16"/>
        </w:rPr>
        <w:softHyphen/>
        <w:t>ными пилотами, присвоив им военное звание «старший сержант»;</w:t>
      </w:r>
    </w:p>
    <w:p w14:paraId="1C52713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курсантов военно-авиационных училищ летчиков-наблюда</w:t>
      </w:r>
      <w:r w:rsidRPr="00A3026E">
        <w:rPr>
          <w:rFonts w:ascii="Times New Roman" w:hAnsi="Times New Roman"/>
          <w:color w:val="000000" w:themeColor="text1"/>
          <w:sz w:val="16"/>
          <w:szCs w:val="16"/>
        </w:rPr>
        <w:softHyphen/>
        <w:t>телей и школ стрелков-бомбардиров, после окончания ими годич</w:t>
      </w:r>
      <w:r w:rsidRPr="00A3026E">
        <w:rPr>
          <w:rFonts w:ascii="Times New Roman" w:hAnsi="Times New Roman"/>
          <w:color w:val="000000" w:themeColor="text1"/>
          <w:sz w:val="16"/>
          <w:szCs w:val="16"/>
        </w:rPr>
        <w:softHyphen/>
        <w:t>ного срока обучения, выпускать стрелками-бомбардирами, при</w:t>
      </w:r>
      <w:r w:rsidRPr="00A3026E">
        <w:rPr>
          <w:rFonts w:ascii="Times New Roman" w:hAnsi="Times New Roman"/>
          <w:color w:val="000000" w:themeColor="text1"/>
          <w:sz w:val="16"/>
          <w:szCs w:val="16"/>
        </w:rPr>
        <w:softHyphen/>
        <w:t>своив им военное звание «старший сержант»;</w:t>
      </w:r>
    </w:p>
    <w:p w14:paraId="21CCF3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курсантов авиатехнических училищ и школ (по эксплуата</w:t>
      </w:r>
      <w:r w:rsidRPr="00A3026E">
        <w:rPr>
          <w:rFonts w:ascii="Times New Roman" w:hAnsi="Times New Roman"/>
          <w:color w:val="000000" w:themeColor="text1"/>
          <w:sz w:val="16"/>
          <w:szCs w:val="16"/>
        </w:rPr>
        <w:softHyphen/>
        <w:t>ции, вооружению, приборам, радио и электротехнике и фототех</w:t>
      </w:r>
      <w:r w:rsidRPr="00A3026E">
        <w:rPr>
          <w:rFonts w:ascii="Times New Roman" w:hAnsi="Times New Roman"/>
          <w:color w:val="000000" w:themeColor="text1"/>
          <w:sz w:val="16"/>
          <w:szCs w:val="16"/>
        </w:rPr>
        <w:softHyphen/>
        <w:t>нике), после окончания ими годичного срока обучения, выпускать авиамеханиками, присвоив военное звание «старший сержант» (10976).</w:t>
      </w:r>
    </w:p>
    <w:p w14:paraId="4E9A4D7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9B46E24"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декабря 1940 года было подготовлено «Оперативно-тактическое обоснование применения ком</w:t>
      </w:r>
      <w:r w:rsidRPr="00A3026E">
        <w:rPr>
          <w:rFonts w:ascii="Times New Roman" w:hAnsi="Times New Roman"/>
          <w:color w:val="0070C0"/>
          <w:sz w:val="16"/>
          <w:szCs w:val="16"/>
        </w:rPr>
        <w:softHyphen/>
        <w:t>плексных звеньев ТБ-7+2 И-16 в авиации ВМФ».</w:t>
      </w:r>
    </w:p>
    <w:p w14:paraId="39F221BC"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числе основных задач указывались:</w:t>
      </w:r>
    </w:p>
    <w:p w14:paraId="19050E27"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Прикрытие действий своего флота от налетов авиации противника на удалении до 300 км от ближайшего аэро</w:t>
      </w:r>
      <w:r w:rsidRPr="00A3026E">
        <w:rPr>
          <w:rFonts w:ascii="Times New Roman" w:hAnsi="Times New Roman"/>
          <w:color w:val="0070C0"/>
          <w:sz w:val="16"/>
          <w:szCs w:val="16"/>
        </w:rPr>
        <w:softHyphen/>
        <w:t>дрома.</w:t>
      </w:r>
    </w:p>
    <w:p w14:paraId="71FCB460"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Прикрытие военно-морских баз (ВМБ) от действий авиации противника путем длительного патрулирования в воздухе (в течение 6,5 часов).</w:t>
      </w:r>
    </w:p>
    <w:p w14:paraId="06A0A849"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Бомбардировочные действия с пикирования по транс</w:t>
      </w:r>
      <w:r w:rsidRPr="00A3026E">
        <w:rPr>
          <w:rFonts w:ascii="Times New Roman" w:hAnsi="Times New Roman"/>
          <w:color w:val="0070C0"/>
          <w:sz w:val="16"/>
          <w:szCs w:val="16"/>
        </w:rPr>
        <w:softHyphen/>
        <w:t>портам и легким силам противника на удалении до 300 км от ближайших сухопутных аэродромов.</w:t>
      </w:r>
    </w:p>
    <w:p w14:paraId="5C64B117"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Обеспечение от налетов авиации противника наших коммуникаций (устье Белого моря, Мурманск, Владивос</w:t>
      </w:r>
      <w:r w:rsidRPr="00A3026E">
        <w:rPr>
          <w:rFonts w:ascii="Times New Roman" w:hAnsi="Times New Roman"/>
          <w:color w:val="0070C0"/>
          <w:sz w:val="16"/>
          <w:szCs w:val="16"/>
        </w:rPr>
        <w:softHyphen/>
        <w:t>ток, Сов. Гавань).</w:t>
      </w:r>
    </w:p>
    <w:p w14:paraId="1DEA9E84"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Главнейшие преимущества в применении комплексных звеньев по сравнению с существующими на вооружении истребителями, действующими непосредственно с аэро</w:t>
      </w:r>
      <w:r w:rsidRPr="00A3026E">
        <w:rPr>
          <w:rFonts w:ascii="Times New Roman" w:hAnsi="Times New Roman"/>
          <w:color w:val="0070C0"/>
          <w:sz w:val="16"/>
          <w:szCs w:val="16"/>
        </w:rPr>
        <w:softHyphen/>
        <w:t>дромов, заключаются в следующем:</w:t>
      </w:r>
    </w:p>
    <w:p w14:paraId="4CCFFBA7"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Применение ТБ-7 как матки для истребителей увели</w:t>
      </w:r>
      <w:r w:rsidRPr="00A3026E">
        <w:rPr>
          <w:rFonts w:ascii="Times New Roman" w:hAnsi="Times New Roman"/>
          <w:color w:val="0070C0"/>
          <w:sz w:val="16"/>
          <w:szCs w:val="16"/>
        </w:rPr>
        <w:softHyphen/>
        <w:t>чивает радиус действия существующих истребителей в два раза.</w:t>
      </w:r>
    </w:p>
    <w:p w14:paraId="61F61D5E"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Позволяет с меньшим напряжением для ИА нести в те</w:t>
      </w:r>
      <w:r w:rsidRPr="00A3026E">
        <w:rPr>
          <w:rFonts w:ascii="Times New Roman" w:hAnsi="Times New Roman"/>
          <w:color w:val="0070C0"/>
          <w:sz w:val="16"/>
          <w:szCs w:val="16"/>
        </w:rPr>
        <w:softHyphen/>
        <w:t>чение всего светлого времени непрерывное дежурство в воздухе при обороне ВМБ и других важных обьектов. (Пример: при обороне ВМБ путем одновременного дежур</w:t>
      </w:r>
      <w:r w:rsidRPr="00A3026E">
        <w:rPr>
          <w:rFonts w:ascii="Times New Roman" w:hAnsi="Times New Roman"/>
          <w:color w:val="0070C0"/>
          <w:sz w:val="16"/>
          <w:szCs w:val="16"/>
        </w:rPr>
        <w:softHyphen/>
        <w:t>ства в воздухе 18 истребителей, работающих с аэродро</w:t>
      </w:r>
      <w:r w:rsidRPr="00A3026E">
        <w:rPr>
          <w:rFonts w:ascii="Times New Roman" w:hAnsi="Times New Roman"/>
          <w:color w:val="0070C0"/>
          <w:sz w:val="16"/>
          <w:szCs w:val="16"/>
        </w:rPr>
        <w:softHyphen/>
        <w:t>ма, в течение 12 часов светлого времени потребно 144 са</w:t>
      </w:r>
      <w:r w:rsidRPr="00A3026E">
        <w:rPr>
          <w:rFonts w:ascii="Times New Roman" w:hAnsi="Times New Roman"/>
          <w:color w:val="0070C0"/>
          <w:sz w:val="16"/>
          <w:szCs w:val="16"/>
        </w:rPr>
        <w:softHyphen/>
        <w:t>молетовылета по 1,5 часа каждый).</w:t>
      </w:r>
    </w:p>
    <w:p w14:paraId="39D187F9"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Позволяет с меньшим напряжением для ИА обеспечить сопровождение кораблей флота на удалении до 300 км от аэродромов (20364).</w:t>
      </w:r>
    </w:p>
    <w:p w14:paraId="365A39B8" w14:textId="77777777" w:rsidR="009E6104" w:rsidRPr="00A3026E" w:rsidRDefault="009E6104" w:rsidP="00A3026E">
      <w:pPr>
        <w:shd w:val="clear" w:color="auto" w:fill="FFFFFF"/>
        <w:spacing w:after="0" w:line="240" w:lineRule="auto"/>
        <w:jc w:val="both"/>
        <w:rPr>
          <w:rFonts w:ascii="Times New Roman" w:hAnsi="Times New Roman"/>
          <w:color w:val="0070C0"/>
          <w:sz w:val="16"/>
          <w:szCs w:val="16"/>
        </w:rPr>
      </w:pPr>
    </w:p>
    <w:p w14:paraId="109B47B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декабря 1940 г. Протокол № 2 заседания ГВС КА</w:t>
      </w:r>
    </w:p>
    <w:p w14:paraId="301C189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Присутствовали: С.К.Тимошенко, А.А.Жданов, Г.М. Маленков, С.М.Буденный, Л.З.Мехлис, К.А.Мерецков, П.В.Рычагов.</w:t>
      </w:r>
    </w:p>
    <w:p w14:paraId="40E9420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Подписи В.Молотова и М.Хломова под проектом документа отсутст</w:t>
      </w:r>
      <w:r w:rsidRPr="00A3026E">
        <w:rPr>
          <w:rFonts w:ascii="Times New Roman" w:hAnsi="Times New Roman"/>
          <w:color w:val="000000" w:themeColor="text1"/>
          <w:sz w:val="16"/>
          <w:szCs w:val="16"/>
        </w:rPr>
        <w:softHyphen/>
        <w:t>вуют, напечатаны только их фамилии.</w:t>
      </w:r>
    </w:p>
    <w:p w14:paraId="4F9634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Приглашены: по всем вопросам — И.В.Смородинов, Я.В.Смуш-кевич; по п. I — М.Г.Гуревич; по п. 2 — Ф.А.Астахов, С.А.Данилин, В.С.Бакин, Н.И.Галич, Н.Н.Шкуренков; по п. 3 — А.В.Хрулев, П.И.Драчев, М.И.Ртищев, Н.Н.Воскресенский; по п. 4 — Я.Н.Фе-доренко; по п. 5— Ф.А.Астахов и Д.Н.Никишев; по п. 6 — Я.А.Хотенко и Н.Н.Карпинский; по п. 7 — Г.К.Савченко.</w:t>
      </w:r>
    </w:p>
    <w:p w14:paraId="50578A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Утверждение красноармейского политучебника.</w:t>
      </w:r>
    </w:p>
    <w:p w14:paraId="4971B74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Докладчик дивизионный комиссар т. Гуревич.</w:t>
      </w:r>
    </w:p>
    <w:p w14:paraId="2A919B2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Представленный красноармейский политучебник по своему объему (25 печатных листов) велик и сложен по своему содержа</w:t>
      </w:r>
      <w:r w:rsidRPr="00A3026E">
        <w:rPr>
          <w:rFonts w:ascii="Times New Roman" w:hAnsi="Times New Roman"/>
          <w:color w:val="000000" w:themeColor="text1"/>
          <w:sz w:val="16"/>
          <w:szCs w:val="16"/>
        </w:rPr>
        <w:softHyphen/>
        <w:t>нию для основной массы красноармейцев.</w:t>
      </w:r>
    </w:p>
    <w:p w14:paraId="2EF9F80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этого Главный военный совет предлагает:</w:t>
      </w:r>
    </w:p>
    <w:p w14:paraId="46AC8AE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красноармейский политучебник коренным образом перера</w:t>
      </w:r>
      <w:r w:rsidRPr="00A3026E">
        <w:rPr>
          <w:rFonts w:ascii="Times New Roman" w:hAnsi="Times New Roman"/>
          <w:color w:val="000000" w:themeColor="text1"/>
          <w:sz w:val="16"/>
          <w:szCs w:val="16"/>
        </w:rPr>
        <w:softHyphen/>
        <w:t>ботать, учтя обмен мнений</w:t>
      </w:r>
      <w:r w:rsidRPr="00A3026E">
        <w:rPr>
          <w:rFonts w:ascii="Times New Roman" w:hAnsi="Times New Roman"/>
          <w:color w:val="000000" w:themeColor="text1"/>
          <w:sz w:val="16"/>
          <w:szCs w:val="16"/>
          <w:vertAlign w:val="superscript"/>
        </w:rPr>
        <w:t>1</w:t>
      </w:r>
      <w:r w:rsidRPr="00A3026E">
        <w:rPr>
          <w:rFonts w:ascii="Times New Roman" w:hAnsi="Times New Roman"/>
          <w:color w:val="000000" w:themeColor="text1"/>
          <w:sz w:val="16"/>
          <w:szCs w:val="16"/>
        </w:rPr>
        <w:t>. По своему содержанию красноармей</w:t>
      </w:r>
      <w:r w:rsidRPr="00A3026E">
        <w:rPr>
          <w:rFonts w:ascii="Times New Roman" w:hAnsi="Times New Roman"/>
          <w:color w:val="000000" w:themeColor="text1"/>
          <w:sz w:val="16"/>
          <w:szCs w:val="16"/>
        </w:rPr>
        <w:softHyphen/>
        <w:t>ский политучебник должен дать популярное изложение политики партии и Правительства, в порядке установленном програмами обучения красноармейца;</w:t>
      </w:r>
    </w:p>
    <w:p w14:paraId="645A2E9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объем красноармейского политучебника иметь не более 10 печатных листов;</w:t>
      </w:r>
    </w:p>
    <w:p w14:paraId="72B9384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начальнику Главного управления политпропаганды в декад</w:t>
      </w:r>
      <w:r w:rsidRPr="00A3026E">
        <w:rPr>
          <w:rFonts w:ascii="Times New Roman" w:hAnsi="Times New Roman"/>
          <w:color w:val="000000" w:themeColor="text1"/>
          <w:sz w:val="16"/>
          <w:szCs w:val="16"/>
        </w:rPr>
        <w:softHyphen/>
        <w:t>ный срок составить план политучебника и представить на утверж</w:t>
      </w:r>
      <w:r w:rsidRPr="00A3026E">
        <w:rPr>
          <w:rFonts w:ascii="Times New Roman" w:hAnsi="Times New Roman"/>
          <w:color w:val="000000" w:themeColor="text1"/>
          <w:sz w:val="16"/>
          <w:szCs w:val="16"/>
        </w:rPr>
        <w:softHyphen/>
        <w:t>дение;</w:t>
      </w:r>
    </w:p>
    <w:p w14:paraId="46B1FB0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срок переработки всего политучебника установить 15 января 1941 г.;</w:t>
      </w:r>
    </w:p>
    <w:p w14:paraId="34F8FF2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считать целесообразным переработать представленный на рассмотрение Главного военного совета красноармейский полит</w:t>
      </w:r>
      <w:r w:rsidRPr="00A3026E">
        <w:rPr>
          <w:rFonts w:ascii="Times New Roman" w:hAnsi="Times New Roman"/>
          <w:color w:val="000000" w:themeColor="text1"/>
          <w:sz w:val="16"/>
          <w:szCs w:val="16"/>
        </w:rPr>
        <w:softHyphen/>
        <w:t>учебник с учетом мнений, высказанных при его обсуждении и из</w:t>
      </w:r>
      <w:r w:rsidRPr="00A3026E">
        <w:rPr>
          <w:rFonts w:ascii="Times New Roman" w:hAnsi="Times New Roman"/>
          <w:color w:val="000000" w:themeColor="text1"/>
          <w:sz w:val="16"/>
          <w:szCs w:val="16"/>
        </w:rPr>
        <w:softHyphen/>
        <w:t>дать как пособие для групповодов.</w:t>
      </w:r>
    </w:p>
    <w:p w14:paraId="4F618EC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 принятии на вооружение ВВС Красной Армии универсальной самолетной радиостанции типа РСУ-1.</w:t>
      </w:r>
    </w:p>
    <w:p w14:paraId="6CAF3BB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Докладчик генерал-лейтенант авиации т. Астахов.</w:t>
      </w:r>
    </w:p>
    <w:p w14:paraId="1991AF2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Принять на вооружение ВВС Красной Армии универсаль</w:t>
      </w:r>
      <w:r w:rsidRPr="00A3026E">
        <w:rPr>
          <w:rFonts w:ascii="Times New Roman" w:hAnsi="Times New Roman"/>
          <w:color w:val="000000" w:themeColor="text1"/>
          <w:sz w:val="16"/>
          <w:szCs w:val="16"/>
        </w:rPr>
        <w:softHyphen/>
        <w:t>ную самолетную радиостанцию типа РСУ-1.</w:t>
      </w:r>
    </w:p>
    <w:p w14:paraId="04F900F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необходимым обеспечить новыми радиостанциями типа РСУ-1 в первую очередь самолеты-истребители и дальнебом-бардировщики и во вторую очередь скоростные бомбардировщики (самолеты СБ) как обеспеченные удовлетворительными радиостан</w:t>
      </w:r>
      <w:r w:rsidRPr="00A3026E">
        <w:rPr>
          <w:rFonts w:ascii="Times New Roman" w:hAnsi="Times New Roman"/>
          <w:color w:val="000000" w:themeColor="text1"/>
          <w:sz w:val="16"/>
          <w:szCs w:val="16"/>
        </w:rPr>
        <w:softHyphen/>
        <w:t>циями.</w:t>
      </w:r>
    </w:p>
    <w:p w14:paraId="5FA724D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Просить КО при СНК СССР срок выпуска универсальной самолетной радиостанции промышленностью установить через 3 ме</w:t>
      </w:r>
      <w:r w:rsidRPr="00A3026E">
        <w:rPr>
          <w:rFonts w:ascii="Times New Roman" w:hAnsi="Times New Roman"/>
          <w:color w:val="000000" w:themeColor="text1"/>
          <w:sz w:val="16"/>
          <w:szCs w:val="16"/>
        </w:rPr>
        <w:softHyphen/>
        <w:t>сяца со дня утверждения постановления Правительства.</w:t>
      </w:r>
    </w:p>
    <w:p w14:paraId="2A3CA0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Главного управления ВВС Красной Армии:</w:t>
      </w:r>
    </w:p>
    <w:p w14:paraId="72EEAC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составить в 3-дневный срок подробный акт о результатах ис</w:t>
      </w:r>
      <w:r w:rsidRPr="00A3026E">
        <w:rPr>
          <w:rFonts w:ascii="Times New Roman" w:hAnsi="Times New Roman"/>
          <w:color w:val="000000" w:themeColor="text1"/>
          <w:sz w:val="16"/>
          <w:szCs w:val="16"/>
        </w:rPr>
        <w:softHyphen/>
        <w:t>пытания радиостанции РСУ-1 и с приложением итоговых сравни</w:t>
      </w:r>
      <w:r w:rsidRPr="00A3026E">
        <w:rPr>
          <w:rFonts w:ascii="Times New Roman" w:hAnsi="Times New Roman"/>
          <w:color w:val="000000" w:themeColor="text1"/>
          <w:sz w:val="16"/>
          <w:szCs w:val="16"/>
        </w:rPr>
        <w:softHyphen/>
        <w:t>тельных тактико-технических данных с существующими типами радиостанций;</w:t>
      </w:r>
    </w:p>
    <w:p w14:paraId="495D904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представить на рассмотрение следующего заседания Главно</w:t>
      </w:r>
      <w:r w:rsidRPr="00A3026E">
        <w:rPr>
          <w:rFonts w:ascii="Times New Roman" w:hAnsi="Times New Roman"/>
          <w:color w:val="000000" w:themeColor="text1"/>
          <w:sz w:val="16"/>
          <w:szCs w:val="16"/>
        </w:rPr>
        <w:softHyphen/>
        <w:t>го военного совета доклад о состоянии и организации радионави</w:t>
      </w:r>
      <w:r w:rsidRPr="00A3026E">
        <w:rPr>
          <w:rFonts w:ascii="Times New Roman" w:hAnsi="Times New Roman"/>
          <w:color w:val="000000" w:themeColor="text1"/>
          <w:sz w:val="16"/>
          <w:szCs w:val="16"/>
        </w:rPr>
        <w:softHyphen/>
        <w:t>гации в Военно-Воздушных Силах Красной Армии.</w:t>
      </w:r>
    </w:p>
    <w:p w14:paraId="257500E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3. О нормах и видах вещевого снабжения.</w:t>
      </w:r>
    </w:p>
    <w:p w14:paraId="14AFB91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Докладчик генерал-лейтенант интендантской службы т. Хрулев</w:t>
      </w:r>
      <w:r w:rsidRPr="00A3026E">
        <w:rPr>
          <w:rFonts w:ascii="Times New Roman" w:hAnsi="Times New Roman"/>
          <w:color w:val="000000" w:themeColor="text1"/>
          <w:sz w:val="16"/>
          <w:szCs w:val="16"/>
          <w:vertAlign w:val="superscript"/>
        </w:rPr>
        <w:t>3</w:t>
      </w:r>
      <w:r w:rsidRPr="00A3026E">
        <w:rPr>
          <w:rFonts w:ascii="Times New Roman" w:hAnsi="Times New Roman"/>
          <w:color w:val="000000" w:themeColor="text1"/>
          <w:sz w:val="16"/>
          <w:szCs w:val="16"/>
        </w:rPr>
        <w:t>.</w:t>
      </w:r>
    </w:p>
    <w:p w14:paraId="345B884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Представленные нормы и виды вещевого снабжения одобрить.</w:t>
      </w:r>
    </w:p>
    <w:p w14:paraId="36881A7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Главному интенданту, учтя обмен мнений, в 3-дневный срок переработать проект постановления ЦК ВКП(б) и СНК СССР о введении новых норм и*видов вещевого снабжения. В проекте по</w:t>
      </w:r>
      <w:r w:rsidRPr="00A3026E">
        <w:rPr>
          <w:rFonts w:ascii="Times New Roman" w:hAnsi="Times New Roman"/>
          <w:color w:val="000000" w:themeColor="text1"/>
          <w:sz w:val="16"/>
          <w:szCs w:val="16"/>
        </w:rPr>
        <w:softHyphen/>
        <w:t>становления отметить: а) порядок перевода на новые виды и нормы вещевого снабжения; б) сроки перехода всей Красной Армии на новые виды и нормы вещевого снабжения; в) нормы сдачи изношенного обмундирования в промышленность.</w:t>
      </w:r>
    </w:p>
    <w:p w14:paraId="1E6BCE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 системе организации ремонта боевых и вспомогательных машин в военное время.</w:t>
      </w:r>
    </w:p>
    <w:p w14:paraId="28D80FF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Докладчик генерал-лейтенант танковых войск т. Федоренко.</w:t>
      </w:r>
    </w:p>
    <w:p w14:paraId="03EA26B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Предложенную систему организации ремонта боевых и вспомогательных машин на военное время утвердить*.</w:t>
      </w:r>
    </w:p>
    <w:p w14:paraId="48DC11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Генерального штаба совместно с начальником ГАБТУ в 5-дневный срок, учтя обмен мнений, разработать проект постановления КО при СНК СССР о системе ремонта, выделив особо систему ремонта боевых машин (танков) и систему ремонта вспомогательных машин (тракторов и колесных).</w:t>
      </w:r>
    </w:p>
    <w:p w14:paraId="3D88C50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ГАБТУ в связи с заявлением т. Павлова при при</w:t>
      </w:r>
      <w:r w:rsidRPr="00A3026E">
        <w:rPr>
          <w:rFonts w:ascii="Times New Roman" w:hAnsi="Times New Roman"/>
          <w:color w:val="000000" w:themeColor="text1"/>
          <w:sz w:val="16"/>
          <w:szCs w:val="16"/>
        </w:rPr>
        <w:softHyphen/>
        <w:t>еме и сдаче Наркомата обороны о том, что существующая в НКО ремонтная база обеспечивает 25 000 капитальных ремонтов танков в год, тщательно проверить мощность ремонтных баз НКО и до</w:t>
      </w:r>
      <w:r w:rsidRPr="00A3026E">
        <w:rPr>
          <w:rFonts w:ascii="Times New Roman" w:hAnsi="Times New Roman"/>
          <w:color w:val="000000" w:themeColor="text1"/>
          <w:sz w:val="16"/>
          <w:szCs w:val="16"/>
        </w:rPr>
        <w:softHyphen/>
        <w:t>ложить Главному военному совету.</w:t>
      </w:r>
    </w:p>
    <w:p w14:paraId="42FB41F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 прохождении службы летно-техническим составом ВВС Красной Армии.</w:t>
      </w:r>
    </w:p>
    <w:p w14:paraId="3C1E387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Докладчик генерал-лейтенант авиации т. Рычагов.</w:t>
      </w:r>
    </w:p>
    <w:p w14:paraId="6E69B6C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Утвердить прилагаемый проект постановления Главного военного совета.</w:t>
      </w:r>
    </w:p>
    <w:p w14:paraId="6895BFF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Об окладах жалованья начальствующему составу.</w:t>
      </w:r>
    </w:p>
    <w:p w14:paraId="53F15DB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Докладчик генерал-майор интендантской службы т. Хотенко</w:t>
      </w:r>
      <w:r w:rsidRPr="00A3026E">
        <w:rPr>
          <w:rFonts w:ascii="Times New Roman" w:hAnsi="Times New Roman"/>
          <w:color w:val="000000" w:themeColor="text1"/>
          <w:sz w:val="16"/>
          <w:szCs w:val="16"/>
          <w:vertAlign w:val="superscript"/>
        </w:rPr>
        <w:t>5</w:t>
      </w:r>
      <w:r w:rsidRPr="00A3026E">
        <w:rPr>
          <w:rFonts w:ascii="Times New Roman" w:hAnsi="Times New Roman"/>
          <w:color w:val="000000" w:themeColor="text1"/>
          <w:sz w:val="16"/>
          <w:szCs w:val="16"/>
        </w:rPr>
        <w:t>.</w:t>
      </w:r>
    </w:p>
    <w:p w14:paraId="6DA3FA4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Предлагаемый принцип установления окладов жалованья по военным званиям и занимаемым должностям одобрить.</w:t>
      </w:r>
    </w:p>
    <w:p w14:paraId="46C68C9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Финансового управления в соответствии с обме</w:t>
      </w:r>
      <w:r w:rsidRPr="00A3026E">
        <w:rPr>
          <w:rFonts w:ascii="Times New Roman" w:hAnsi="Times New Roman"/>
          <w:color w:val="000000" w:themeColor="text1"/>
          <w:sz w:val="16"/>
          <w:szCs w:val="16"/>
        </w:rPr>
        <w:softHyphen/>
        <w:t>ном мнений в пятидневный срок разработать новые оклады жало</w:t>
      </w:r>
      <w:r w:rsidRPr="00A3026E">
        <w:rPr>
          <w:rFonts w:ascii="Times New Roman" w:hAnsi="Times New Roman"/>
          <w:color w:val="000000" w:themeColor="text1"/>
          <w:sz w:val="16"/>
          <w:szCs w:val="16"/>
        </w:rPr>
        <w:softHyphen/>
        <w:t>ванья начальствующему составу по званиям и должностям.</w:t>
      </w:r>
    </w:p>
    <w:p w14:paraId="4A0BE88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Разработанный проект представить на утверждение Правитель</w:t>
      </w:r>
      <w:r w:rsidRPr="00A3026E">
        <w:rPr>
          <w:rFonts w:ascii="Times New Roman" w:hAnsi="Times New Roman"/>
          <w:color w:val="000000" w:themeColor="text1"/>
          <w:sz w:val="16"/>
          <w:szCs w:val="16"/>
        </w:rPr>
        <w:softHyphen/>
        <w:t>ства.</w:t>
      </w:r>
    </w:p>
    <w:p w14:paraId="45E53A7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 тактико-технических требованиях на новый бронебойный взрыватель.</w:t>
      </w:r>
    </w:p>
    <w:p w14:paraId="05FFFD5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Докладчик генерал-майор артиллерии т. Савченко</w:t>
      </w:r>
      <w:r w:rsidRPr="00A3026E">
        <w:rPr>
          <w:rFonts w:ascii="Times New Roman" w:hAnsi="Times New Roman"/>
          <w:color w:val="000000" w:themeColor="text1"/>
          <w:sz w:val="16"/>
          <w:szCs w:val="16"/>
          <w:vertAlign w:val="superscript"/>
        </w:rPr>
        <w:t>6</w:t>
      </w:r>
      <w:r w:rsidRPr="00A3026E">
        <w:rPr>
          <w:rFonts w:ascii="Times New Roman" w:hAnsi="Times New Roman"/>
          <w:color w:val="000000" w:themeColor="text1"/>
          <w:sz w:val="16"/>
          <w:szCs w:val="16"/>
        </w:rPr>
        <w:t>. 7. Отменить следующий абзац § 3 тактико-технических требо</w:t>
      </w:r>
      <w:r w:rsidRPr="00A3026E">
        <w:rPr>
          <w:rFonts w:ascii="Times New Roman" w:hAnsi="Times New Roman"/>
          <w:color w:val="000000" w:themeColor="text1"/>
          <w:sz w:val="16"/>
          <w:szCs w:val="16"/>
        </w:rPr>
        <w:softHyphen/>
        <w:t>ваний № 1577 ГАУ на разработку данного взрывателя для бронебойных снарядов 85—152-мм калибра: «Взрыватель не должен дей</w:t>
      </w:r>
      <w:r w:rsidRPr="00A3026E">
        <w:rPr>
          <w:rFonts w:ascii="Times New Roman" w:hAnsi="Times New Roman"/>
          <w:color w:val="000000" w:themeColor="text1"/>
          <w:sz w:val="16"/>
          <w:szCs w:val="16"/>
        </w:rPr>
        <w:softHyphen/>
        <w:t>ствовать по местности при непопадании снаряда в танк или другой вид бронепреграды».</w:t>
      </w:r>
    </w:p>
    <w:p w14:paraId="48A7730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Отмененный абзац § 3 тактико-технических требований изло</w:t>
      </w:r>
      <w:r w:rsidRPr="00A3026E">
        <w:rPr>
          <w:rFonts w:ascii="Times New Roman" w:hAnsi="Times New Roman"/>
          <w:color w:val="000000" w:themeColor="text1"/>
          <w:sz w:val="16"/>
          <w:szCs w:val="16"/>
        </w:rPr>
        <w:softHyphen/>
        <w:t>жить: «Взрыватель должен действовать по местности как при по</w:t>
      </w:r>
      <w:r w:rsidRPr="00A3026E">
        <w:rPr>
          <w:rFonts w:ascii="Times New Roman" w:hAnsi="Times New Roman"/>
          <w:color w:val="000000" w:themeColor="text1"/>
          <w:sz w:val="16"/>
          <w:szCs w:val="16"/>
        </w:rPr>
        <w:softHyphen/>
        <w:t>падании снаряда в танк или другой вид бронепреграды, так и при попадании на землю».</w:t>
      </w:r>
    </w:p>
    <w:p w14:paraId="5AF4039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Главного военного совета Маршал Советского Союза Тимошенко</w:t>
      </w:r>
    </w:p>
    <w:p w14:paraId="5E3ABF5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Секретарь генерал-лейтенант Смородинов РГВА. Ф. 4. Оп. 14. Д. 2739. Л. 7—10. Подлинник (10796).</w:t>
      </w:r>
    </w:p>
    <w:p w14:paraId="0ECABC9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2B1430C"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3565EF90"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22A436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была подготовлена справка по бронекорпусам самолетов БШ-2, зарегистрированная как Н-25/3639, согласно которой на выпуск самолетов БШ-2, изготовляемых на заводах NN 18, 35, 30, 380 требуется 1750 бронекорпусов + на производственный задел в 1941 и разворот производства в первом квартале 1942 - 850 и итого 2600 шт. (470).</w:t>
      </w:r>
    </w:p>
    <w:p w14:paraId="10D4B8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Участвовали:</w:t>
      </w:r>
    </w:p>
    <w:p w14:paraId="4BC300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Подольский завод НКНП</w:t>
      </w:r>
    </w:p>
    <w:p w14:paraId="12FE6D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Ижоркий завод НКСП</w:t>
      </w:r>
    </w:p>
    <w:p w14:paraId="45AF40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N 264 НКСП (Красноармейская верфь, Сталинград).</w:t>
      </w:r>
    </w:p>
    <w:p w14:paraId="6F4096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"ДРО" НКТМ (Выкса, Горьковская обл.).</w:t>
      </w:r>
    </w:p>
    <w:p w14:paraId="1BCBBF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"Коммунар" НКСМ (Запорожье) (470)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897"/>
        <w:gridCol w:w="1559"/>
      </w:tblGrid>
      <w:tr w:rsidR="00983732" w:rsidRPr="00A3026E" w14:paraId="5C231A91" w14:textId="77777777" w:rsidTr="00EA0DA7">
        <w:tc>
          <w:tcPr>
            <w:tcW w:w="8897" w:type="dxa"/>
            <w:tcBorders>
              <w:top w:val="single" w:sz="12" w:space="0" w:color="auto"/>
            </w:tcBorders>
          </w:tcPr>
          <w:p w14:paraId="7281AA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Подольский завод им. Орджоникидзе НКНП</w:t>
            </w:r>
          </w:p>
        </w:tc>
        <w:tc>
          <w:tcPr>
            <w:tcW w:w="1559" w:type="dxa"/>
            <w:tcBorders>
              <w:top w:val="single" w:sz="12" w:space="0" w:color="auto"/>
            </w:tcBorders>
          </w:tcPr>
          <w:p w14:paraId="73749F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w:t>
            </w:r>
          </w:p>
        </w:tc>
      </w:tr>
      <w:tr w:rsidR="00983732" w:rsidRPr="00A3026E" w14:paraId="23053116" w14:textId="77777777" w:rsidTr="00EA0DA7">
        <w:tc>
          <w:tcPr>
            <w:tcW w:w="8897" w:type="dxa"/>
          </w:tcPr>
          <w:p w14:paraId="49BF15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кооперации с Ижорским, дающим 12 мм и Красный октябрь,</w:t>
            </w:r>
          </w:p>
        </w:tc>
        <w:tc>
          <w:tcPr>
            <w:tcW w:w="1559" w:type="dxa"/>
          </w:tcPr>
          <w:p w14:paraId="429D2E4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C0126DF" w14:textId="77777777" w:rsidTr="00EA0DA7">
        <w:tc>
          <w:tcPr>
            <w:tcW w:w="8897" w:type="dxa"/>
          </w:tcPr>
          <w:p w14:paraId="1938E3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дающим 4, 5, 6 мм</w:t>
            </w:r>
          </w:p>
        </w:tc>
        <w:tc>
          <w:tcPr>
            <w:tcW w:w="1559" w:type="dxa"/>
          </w:tcPr>
          <w:p w14:paraId="368CA0C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63B12DD0" w14:textId="77777777" w:rsidTr="00EA0DA7">
        <w:tc>
          <w:tcPr>
            <w:tcW w:w="8897" w:type="dxa"/>
          </w:tcPr>
          <w:p w14:paraId="633D09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Ижоркий завод НКСП (Колпино)</w:t>
            </w:r>
          </w:p>
        </w:tc>
        <w:tc>
          <w:tcPr>
            <w:tcW w:w="1559" w:type="dxa"/>
          </w:tcPr>
          <w:p w14:paraId="379ED7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r>
      <w:tr w:rsidR="00983732" w:rsidRPr="00A3026E" w14:paraId="1E95929E" w14:textId="77777777" w:rsidTr="00EA0DA7">
        <w:tc>
          <w:tcPr>
            <w:tcW w:w="8897" w:type="dxa"/>
          </w:tcPr>
          <w:p w14:paraId="1F3770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5, 6 мм получает с Кировского</w:t>
            </w:r>
          </w:p>
        </w:tc>
        <w:tc>
          <w:tcPr>
            <w:tcW w:w="1559" w:type="dxa"/>
          </w:tcPr>
          <w:p w14:paraId="2CDC682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56C7526" w14:textId="77777777" w:rsidTr="00EA0DA7">
        <w:tc>
          <w:tcPr>
            <w:tcW w:w="8897" w:type="dxa"/>
          </w:tcPr>
          <w:p w14:paraId="6B266C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N 264 НКСП (Красноармейская верфь, Сталинград)</w:t>
            </w:r>
          </w:p>
        </w:tc>
        <w:tc>
          <w:tcPr>
            <w:tcW w:w="1559" w:type="dxa"/>
          </w:tcPr>
          <w:p w14:paraId="3C0CE2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r>
      <w:tr w:rsidR="00983732" w:rsidRPr="00A3026E" w14:paraId="57A63549" w14:textId="77777777" w:rsidTr="00EA0DA7">
        <w:tc>
          <w:tcPr>
            <w:tcW w:w="8897" w:type="dxa"/>
          </w:tcPr>
          <w:p w14:paraId="3CD714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Весь металл получает со Сталинградского завода Красный Октябрь</w:t>
            </w:r>
          </w:p>
        </w:tc>
        <w:tc>
          <w:tcPr>
            <w:tcW w:w="1559" w:type="dxa"/>
          </w:tcPr>
          <w:p w14:paraId="224BF94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F38D85F" w14:textId="77777777" w:rsidTr="00EA0DA7">
        <w:tc>
          <w:tcPr>
            <w:tcW w:w="8897" w:type="dxa"/>
          </w:tcPr>
          <w:p w14:paraId="1E5729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"ДРО" НКТМ (Выкса, Горьковская обл.)</w:t>
            </w:r>
          </w:p>
        </w:tc>
        <w:tc>
          <w:tcPr>
            <w:tcW w:w="1559" w:type="dxa"/>
          </w:tcPr>
          <w:p w14:paraId="10D966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r>
      <w:tr w:rsidR="00983732" w:rsidRPr="00A3026E" w14:paraId="149993C1" w14:textId="77777777" w:rsidTr="00EA0DA7">
        <w:tc>
          <w:tcPr>
            <w:tcW w:w="8897" w:type="dxa"/>
          </w:tcPr>
          <w:p w14:paraId="42D1A5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мм получает с Кулебякского завода, 4, 5, 6 мм -</w:t>
            </w:r>
          </w:p>
        </w:tc>
        <w:tc>
          <w:tcPr>
            <w:tcW w:w="1559" w:type="dxa"/>
          </w:tcPr>
          <w:p w14:paraId="7FC71C6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90E6C31" w14:textId="77777777" w:rsidTr="00EA0DA7">
        <w:tc>
          <w:tcPr>
            <w:tcW w:w="8897" w:type="dxa"/>
          </w:tcPr>
          <w:p w14:paraId="62C622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Выксунского метзавода НКЧМ</w:t>
            </w:r>
          </w:p>
        </w:tc>
        <w:tc>
          <w:tcPr>
            <w:tcW w:w="1559" w:type="dxa"/>
          </w:tcPr>
          <w:p w14:paraId="661970E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029205F" w14:textId="77777777" w:rsidTr="00EA0DA7">
        <w:tc>
          <w:tcPr>
            <w:tcW w:w="8897" w:type="dxa"/>
          </w:tcPr>
          <w:p w14:paraId="39599F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"Коммунар" НКСМ (Запорожье)</w:t>
            </w:r>
          </w:p>
        </w:tc>
        <w:tc>
          <w:tcPr>
            <w:tcW w:w="1559" w:type="dxa"/>
          </w:tcPr>
          <w:p w14:paraId="3E3C08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r>
      <w:tr w:rsidR="00983732" w:rsidRPr="00A3026E" w14:paraId="3B2DA6FE" w14:textId="77777777" w:rsidTr="00EA0DA7">
        <w:tc>
          <w:tcPr>
            <w:tcW w:w="8897" w:type="dxa"/>
          </w:tcPr>
          <w:p w14:paraId="64CB95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мм - с Мариупольского завода им. Ильича НКСП</w:t>
            </w:r>
          </w:p>
        </w:tc>
        <w:tc>
          <w:tcPr>
            <w:tcW w:w="1559" w:type="dxa"/>
          </w:tcPr>
          <w:p w14:paraId="713FE47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3F2DAD2" w14:textId="77777777" w:rsidTr="00EA0DA7">
        <w:tc>
          <w:tcPr>
            <w:tcW w:w="8897" w:type="dxa"/>
          </w:tcPr>
          <w:p w14:paraId="616C23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5, 6 мм - с завода им. Дзержинского НКЧМ (470)</w:t>
            </w:r>
          </w:p>
        </w:tc>
        <w:tc>
          <w:tcPr>
            <w:tcW w:w="1559" w:type="dxa"/>
          </w:tcPr>
          <w:p w14:paraId="0C9825E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A3711AC" w14:textId="77777777" w:rsidTr="00EA0DA7">
        <w:tc>
          <w:tcPr>
            <w:tcW w:w="8897" w:type="dxa"/>
          </w:tcPr>
          <w:p w14:paraId="56C184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бронекорпусе 79 деталей, из них штампованных - 36 и плоских 43 (470). Детали изготавливались из двух марок стали:</w:t>
            </w:r>
          </w:p>
        </w:tc>
        <w:tc>
          <w:tcPr>
            <w:tcW w:w="1559" w:type="dxa"/>
          </w:tcPr>
          <w:p w14:paraId="58F9978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362A655" w14:textId="77777777" w:rsidTr="00EA0DA7">
        <w:tc>
          <w:tcPr>
            <w:tcW w:w="8897" w:type="dxa"/>
          </w:tcPr>
          <w:p w14:paraId="2DADE8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хромо-молибденовой</w:t>
            </w:r>
          </w:p>
        </w:tc>
        <w:tc>
          <w:tcPr>
            <w:tcW w:w="1559" w:type="dxa"/>
          </w:tcPr>
          <w:p w14:paraId="03BB4C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мм (9 деталей)</w:t>
            </w:r>
          </w:p>
        </w:tc>
      </w:tr>
      <w:tr w:rsidR="00983732" w:rsidRPr="00A3026E" w14:paraId="52B17258" w14:textId="77777777" w:rsidTr="00EA0DA7">
        <w:tc>
          <w:tcPr>
            <w:tcW w:w="8897" w:type="dxa"/>
          </w:tcPr>
          <w:p w14:paraId="3A93E9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кремне-никеле-молибденовой</w:t>
            </w:r>
          </w:p>
        </w:tc>
        <w:tc>
          <w:tcPr>
            <w:tcW w:w="1559" w:type="dxa"/>
          </w:tcPr>
          <w:p w14:paraId="577230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5, 6 (470)</w:t>
            </w:r>
          </w:p>
        </w:tc>
      </w:tr>
      <w:tr w:rsidR="00983732" w:rsidRPr="00A3026E" w14:paraId="7ADE8D6F" w14:textId="77777777" w:rsidTr="00EA0DA7">
        <w:tc>
          <w:tcPr>
            <w:tcW w:w="8897" w:type="dxa"/>
          </w:tcPr>
          <w:p w14:paraId="7C7C80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Общий вес бронедеталей - 798.5 кг из них:</w:t>
            </w:r>
          </w:p>
        </w:tc>
        <w:tc>
          <w:tcPr>
            <w:tcW w:w="1559" w:type="dxa"/>
          </w:tcPr>
          <w:p w14:paraId="4F4DE88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48C5F25" w14:textId="77777777" w:rsidTr="00EA0DA7">
        <w:tc>
          <w:tcPr>
            <w:tcW w:w="8897" w:type="dxa"/>
          </w:tcPr>
          <w:p w14:paraId="46E4C7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деталей плоских цементированных</w:t>
            </w:r>
          </w:p>
        </w:tc>
        <w:tc>
          <w:tcPr>
            <w:tcW w:w="1559" w:type="dxa"/>
          </w:tcPr>
          <w:p w14:paraId="51D85D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113.5 кг</w:t>
            </w:r>
          </w:p>
        </w:tc>
      </w:tr>
      <w:tr w:rsidR="00983732" w:rsidRPr="00A3026E" w14:paraId="4A36AD03" w14:textId="77777777" w:rsidTr="00EA0DA7">
        <w:tc>
          <w:tcPr>
            <w:tcW w:w="8897" w:type="dxa"/>
          </w:tcPr>
          <w:p w14:paraId="482B0C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деталей штампуемых гомогенных габаритом до 800 мм</w:t>
            </w:r>
          </w:p>
        </w:tc>
        <w:tc>
          <w:tcPr>
            <w:tcW w:w="1559" w:type="dxa"/>
          </w:tcPr>
          <w:p w14:paraId="367BE6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137 кг</w:t>
            </w:r>
          </w:p>
        </w:tc>
      </w:tr>
      <w:tr w:rsidR="00983732" w:rsidRPr="00A3026E" w14:paraId="0E2BA450" w14:textId="77777777" w:rsidTr="00EA0DA7">
        <w:tc>
          <w:tcPr>
            <w:tcW w:w="8897" w:type="dxa"/>
          </w:tcPr>
          <w:p w14:paraId="2E982F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деталей штампуемых-гомогенных габаритом более 800 мм</w:t>
            </w:r>
          </w:p>
        </w:tc>
        <w:tc>
          <w:tcPr>
            <w:tcW w:w="1559" w:type="dxa"/>
          </w:tcPr>
          <w:p w14:paraId="1F6F5C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274 кг</w:t>
            </w:r>
          </w:p>
        </w:tc>
      </w:tr>
      <w:tr w:rsidR="00983732" w:rsidRPr="00A3026E" w14:paraId="469059FE" w14:textId="77777777" w:rsidTr="00EA0DA7">
        <w:tc>
          <w:tcPr>
            <w:tcW w:w="8897" w:type="dxa"/>
            <w:tcBorders>
              <w:bottom w:val="single" w:sz="12" w:space="0" w:color="auto"/>
            </w:tcBorders>
          </w:tcPr>
          <w:p w14:paraId="3B4B440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 плоских гомогенных</w:t>
            </w:r>
          </w:p>
        </w:tc>
        <w:tc>
          <w:tcPr>
            <w:tcW w:w="1559" w:type="dxa"/>
            <w:tcBorders>
              <w:bottom w:val="single" w:sz="12" w:space="0" w:color="auto"/>
            </w:tcBorders>
          </w:tcPr>
          <w:p w14:paraId="517D14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274 кг (470)</w:t>
            </w:r>
          </w:p>
        </w:tc>
      </w:tr>
    </w:tbl>
    <w:p w14:paraId="2AD930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Важно, что здесь упоминается завод 30 (хотя документов об этом кроме проекта постановления КО - нет), а также завод 380 (хотя он должен был делать ББ-22), а 381 завод, нацеленный на БШ-2 - не упоминается.</w:t>
      </w:r>
    </w:p>
    <w:p w14:paraId="6934E5C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 Р А В К А</w:t>
      </w:r>
    </w:p>
    <w:p w14:paraId="2D5FEC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бронекорпусам самолетов БШ-2</w:t>
      </w:r>
    </w:p>
    <w:p w14:paraId="53FD98A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Потребность в корпусах: на 1941 год'</w:t>
      </w:r>
    </w:p>
    <w:p w14:paraId="42D5A84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На выпуск самолетов БШ-2, изготовляемых на заводах №№ 18, 35, 380 требуется бронекорпусов </w:t>
      </w:r>
      <w:r w:rsidRPr="00A3026E">
        <w:rPr>
          <w:rFonts w:ascii="Times New Roman" w:hAnsi="Times New Roman"/>
          <w:color w:val="000000" w:themeColor="text1"/>
          <w:sz w:val="16"/>
          <w:szCs w:val="16"/>
        </w:rPr>
        <w:tab/>
        <w:t>1760 штук.</w:t>
      </w:r>
    </w:p>
    <w:p w14:paraId="19A506A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производственный задел в 1941 году и разворот производства первый квартал 1942 года на 805 самолетов БШ-2</w:t>
      </w:r>
      <w:r w:rsidRPr="00A3026E">
        <w:rPr>
          <w:rFonts w:ascii="Times New Roman" w:hAnsi="Times New Roman"/>
          <w:color w:val="000000" w:themeColor="text1"/>
          <w:sz w:val="16"/>
          <w:szCs w:val="16"/>
        </w:rPr>
        <w:tab/>
        <w:t>850 штук</w:t>
      </w:r>
    </w:p>
    <w:p w14:paraId="6AFC24B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r w:rsidRPr="00A3026E">
        <w:rPr>
          <w:rFonts w:ascii="Times New Roman" w:hAnsi="Times New Roman"/>
          <w:color w:val="000000" w:themeColor="text1"/>
          <w:sz w:val="16"/>
          <w:szCs w:val="16"/>
        </w:rPr>
        <w:tab/>
        <w:t>2600 штук</w:t>
      </w:r>
    </w:p>
    <w:p w14:paraId="6619F66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 по кварталам: первый квартал</w:t>
      </w:r>
      <w:r w:rsidRPr="00A3026E">
        <w:rPr>
          <w:rFonts w:ascii="Times New Roman" w:hAnsi="Times New Roman"/>
          <w:color w:val="000000" w:themeColor="text1"/>
          <w:sz w:val="16"/>
          <w:szCs w:val="16"/>
        </w:rPr>
        <w:tab/>
        <w:t>300 штук</w:t>
      </w:r>
    </w:p>
    <w:p w14:paraId="0D0E603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второй квартал </w:t>
      </w:r>
      <w:r w:rsidRPr="00A3026E">
        <w:rPr>
          <w:rFonts w:ascii="Times New Roman" w:hAnsi="Times New Roman"/>
          <w:color w:val="000000" w:themeColor="text1"/>
          <w:sz w:val="16"/>
          <w:szCs w:val="16"/>
        </w:rPr>
        <w:tab/>
        <w:t>550 штук</w:t>
      </w:r>
    </w:p>
    <w:p w14:paraId="7B8E5B3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третий квартал </w:t>
      </w:r>
      <w:r w:rsidRPr="00A3026E">
        <w:rPr>
          <w:rFonts w:ascii="Times New Roman" w:hAnsi="Times New Roman"/>
          <w:color w:val="000000" w:themeColor="text1"/>
          <w:sz w:val="16"/>
          <w:szCs w:val="16"/>
        </w:rPr>
        <w:tab/>
        <w:t>700 штук</w:t>
      </w:r>
    </w:p>
    <w:p w14:paraId="1F4F79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четвертый квартал </w:t>
      </w:r>
      <w:r w:rsidRPr="00A3026E">
        <w:rPr>
          <w:rFonts w:ascii="Times New Roman" w:hAnsi="Times New Roman"/>
          <w:color w:val="000000" w:themeColor="text1"/>
          <w:sz w:val="16"/>
          <w:szCs w:val="16"/>
        </w:rPr>
        <w:tab/>
        <w:t>1050</w:t>
      </w:r>
    </w:p>
    <w:p w14:paraId="46EF0FB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Покрытие потребности: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10"/>
        <w:gridCol w:w="1540"/>
        <w:gridCol w:w="1540"/>
        <w:gridCol w:w="1540"/>
        <w:gridCol w:w="1540"/>
        <w:gridCol w:w="1540"/>
      </w:tblGrid>
      <w:tr w:rsidR="00983732" w:rsidRPr="00A3026E" w14:paraId="451C3E6A" w14:textId="77777777" w:rsidTr="00EA0DA7">
        <w:tc>
          <w:tcPr>
            <w:tcW w:w="3510" w:type="dxa"/>
            <w:tcBorders>
              <w:top w:val="single" w:sz="12" w:space="0" w:color="auto"/>
            </w:tcBorders>
            <w:shd w:val="clear" w:color="auto" w:fill="FFFFFF"/>
          </w:tcPr>
          <w:p w14:paraId="5C3BBFA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540" w:type="dxa"/>
            <w:tcBorders>
              <w:top w:val="single" w:sz="12" w:space="0" w:color="auto"/>
            </w:tcBorders>
            <w:shd w:val="clear" w:color="auto" w:fill="FFFFFF"/>
          </w:tcPr>
          <w:p w14:paraId="7B33EB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квартал</w:t>
            </w:r>
          </w:p>
        </w:tc>
        <w:tc>
          <w:tcPr>
            <w:tcW w:w="1540" w:type="dxa"/>
            <w:tcBorders>
              <w:top w:val="single" w:sz="12" w:space="0" w:color="auto"/>
            </w:tcBorders>
            <w:shd w:val="clear" w:color="auto" w:fill="FFFFFF"/>
          </w:tcPr>
          <w:p w14:paraId="11E5BB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квартал</w:t>
            </w:r>
          </w:p>
        </w:tc>
        <w:tc>
          <w:tcPr>
            <w:tcW w:w="1540" w:type="dxa"/>
            <w:tcBorders>
              <w:top w:val="single" w:sz="12" w:space="0" w:color="auto"/>
            </w:tcBorders>
            <w:shd w:val="clear" w:color="auto" w:fill="FFFFFF"/>
          </w:tcPr>
          <w:p w14:paraId="3555C0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Ш квартал </w:t>
            </w:r>
          </w:p>
        </w:tc>
        <w:tc>
          <w:tcPr>
            <w:tcW w:w="1540" w:type="dxa"/>
            <w:tcBorders>
              <w:top w:val="single" w:sz="12" w:space="0" w:color="auto"/>
            </w:tcBorders>
            <w:shd w:val="clear" w:color="auto" w:fill="FFFFFF"/>
          </w:tcPr>
          <w:p w14:paraId="35BCAF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 кваргч</w:t>
            </w:r>
          </w:p>
        </w:tc>
        <w:tc>
          <w:tcPr>
            <w:tcW w:w="1540" w:type="dxa"/>
            <w:tcBorders>
              <w:top w:val="single" w:sz="12" w:space="0" w:color="auto"/>
            </w:tcBorders>
            <w:shd w:val="clear" w:color="auto" w:fill="FFFFFF"/>
          </w:tcPr>
          <w:p w14:paraId="229B912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r>
      <w:tr w:rsidR="00983732" w:rsidRPr="00A3026E" w14:paraId="0DF2C106" w14:textId="77777777" w:rsidTr="00EA0DA7">
        <w:tc>
          <w:tcPr>
            <w:tcW w:w="3510" w:type="dxa"/>
            <w:shd w:val="clear" w:color="auto" w:fill="FFFFFF"/>
          </w:tcPr>
          <w:p w14:paraId="679339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Подольский завод НКНП</w:t>
            </w:r>
          </w:p>
        </w:tc>
        <w:tc>
          <w:tcPr>
            <w:tcW w:w="1540" w:type="dxa"/>
            <w:shd w:val="clear" w:color="auto" w:fill="FFFFFF"/>
          </w:tcPr>
          <w:p w14:paraId="1617B1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540" w:type="dxa"/>
            <w:shd w:val="clear" w:color="auto" w:fill="FFFFFF"/>
          </w:tcPr>
          <w:p w14:paraId="25EE5E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1540" w:type="dxa"/>
            <w:shd w:val="clear" w:color="auto" w:fill="FFFFFF"/>
          </w:tcPr>
          <w:p w14:paraId="44A9B7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540" w:type="dxa"/>
            <w:shd w:val="clear" w:color="auto" w:fill="FFFFFF"/>
          </w:tcPr>
          <w:p w14:paraId="3DFDB1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540" w:type="dxa"/>
            <w:shd w:val="clear" w:color="auto" w:fill="FFFFFF"/>
          </w:tcPr>
          <w:p w14:paraId="48916C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w:t>
            </w:r>
          </w:p>
        </w:tc>
      </w:tr>
      <w:tr w:rsidR="00983732" w:rsidRPr="00A3026E" w14:paraId="1B0C26D7" w14:textId="77777777" w:rsidTr="00EA0DA7">
        <w:tc>
          <w:tcPr>
            <w:tcW w:w="3510" w:type="dxa"/>
            <w:shd w:val="clear" w:color="auto" w:fill="FFFFFF"/>
          </w:tcPr>
          <w:p w14:paraId="34E3BA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Ижорский завод НКСП</w:t>
            </w:r>
          </w:p>
        </w:tc>
        <w:tc>
          <w:tcPr>
            <w:tcW w:w="1540" w:type="dxa"/>
            <w:shd w:val="clear" w:color="auto" w:fill="FFFFFF"/>
          </w:tcPr>
          <w:p w14:paraId="1F7B75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540" w:type="dxa"/>
            <w:shd w:val="clear" w:color="auto" w:fill="FFFFFF"/>
          </w:tcPr>
          <w:p w14:paraId="5E64EA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540" w:type="dxa"/>
            <w:shd w:val="clear" w:color="auto" w:fill="FFFFFF"/>
          </w:tcPr>
          <w:p w14:paraId="6097A7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1540" w:type="dxa"/>
            <w:shd w:val="clear" w:color="auto" w:fill="FFFFFF"/>
          </w:tcPr>
          <w:p w14:paraId="35069C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1540" w:type="dxa"/>
            <w:shd w:val="clear" w:color="auto" w:fill="FFFFFF"/>
          </w:tcPr>
          <w:p w14:paraId="59AB48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26F6E21F" w14:textId="77777777" w:rsidTr="00EA0DA7">
        <w:tc>
          <w:tcPr>
            <w:tcW w:w="3510" w:type="dxa"/>
            <w:shd w:val="clear" w:color="auto" w:fill="FFFFFF"/>
          </w:tcPr>
          <w:p w14:paraId="3C3ACE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264 (Красноармейская верфь) НКСП</w:t>
            </w:r>
          </w:p>
        </w:tc>
        <w:tc>
          <w:tcPr>
            <w:tcW w:w="1540" w:type="dxa"/>
            <w:shd w:val="clear" w:color="auto" w:fill="FFFFFF"/>
          </w:tcPr>
          <w:p w14:paraId="3701F7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540" w:type="dxa"/>
            <w:shd w:val="clear" w:color="auto" w:fill="FFFFFF"/>
          </w:tcPr>
          <w:p w14:paraId="617B99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540" w:type="dxa"/>
            <w:shd w:val="clear" w:color="auto" w:fill="FFFFFF"/>
          </w:tcPr>
          <w:p w14:paraId="5DCC1B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1540" w:type="dxa"/>
            <w:shd w:val="clear" w:color="auto" w:fill="FFFFFF"/>
          </w:tcPr>
          <w:p w14:paraId="7A3747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540" w:type="dxa"/>
            <w:shd w:val="clear" w:color="auto" w:fill="FFFFFF"/>
          </w:tcPr>
          <w:p w14:paraId="35BCCC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05F5D453" w14:textId="77777777" w:rsidTr="00EA0DA7">
        <w:tc>
          <w:tcPr>
            <w:tcW w:w="3510" w:type="dxa"/>
            <w:shd w:val="clear" w:color="auto" w:fill="FFFFFF"/>
          </w:tcPr>
          <w:p w14:paraId="684D76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ДРО НКТМ</w:t>
            </w:r>
          </w:p>
        </w:tc>
        <w:tc>
          <w:tcPr>
            <w:tcW w:w="1540" w:type="dxa"/>
            <w:shd w:val="clear" w:color="auto" w:fill="FFFFFF"/>
          </w:tcPr>
          <w:p w14:paraId="7ECA27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540" w:type="dxa"/>
            <w:shd w:val="clear" w:color="auto" w:fill="FFFFFF"/>
          </w:tcPr>
          <w:p w14:paraId="2C6344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540" w:type="dxa"/>
            <w:shd w:val="clear" w:color="auto" w:fill="FFFFFF"/>
          </w:tcPr>
          <w:p w14:paraId="774F1B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540" w:type="dxa"/>
            <w:shd w:val="clear" w:color="auto" w:fill="FFFFFF"/>
          </w:tcPr>
          <w:p w14:paraId="30E3ED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540" w:type="dxa"/>
            <w:shd w:val="clear" w:color="auto" w:fill="FFFFFF"/>
          </w:tcPr>
          <w:p w14:paraId="33274E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0E5949D1" w14:textId="77777777" w:rsidTr="00EA0DA7">
        <w:tc>
          <w:tcPr>
            <w:tcW w:w="3510" w:type="dxa"/>
            <w:tcBorders>
              <w:bottom w:val="single" w:sz="12" w:space="0" w:color="auto"/>
            </w:tcBorders>
            <w:shd w:val="clear" w:color="auto" w:fill="FFFFFF"/>
          </w:tcPr>
          <w:p w14:paraId="42DF30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"Коммунар” НКСМ</w:t>
            </w:r>
          </w:p>
        </w:tc>
        <w:tc>
          <w:tcPr>
            <w:tcW w:w="1540" w:type="dxa"/>
            <w:tcBorders>
              <w:bottom w:val="single" w:sz="12" w:space="0" w:color="auto"/>
            </w:tcBorders>
            <w:shd w:val="clear" w:color="auto" w:fill="FFFFFF"/>
          </w:tcPr>
          <w:p w14:paraId="075ECD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540" w:type="dxa"/>
            <w:tcBorders>
              <w:bottom w:val="single" w:sz="12" w:space="0" w:color="auto"/>
            </w:tcBorders>
            <w:shd w:val="clear" w:color="auto" w:fill="FFFFFF"/>
          </w:tcPr>
          <w:p w14:paraId="5AF9FD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540" w:type="dxa"/>
            <w:tcBorders>
              <w:bottom w:val="single" w:sz="12" w:space="0" w:color="auto"/>
            </w:tcBorders>
            <w:shd w:val="clear" w:color="auto" w:fill="FFFFFF"/>
          </w:tcPr>
          <w:p w14:paraId="439002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540" w:type="dxa"/>
            <w:tcBorders>
              <w:bottom w:val="single" w:sz="12" w:space="0" w:color="auto"/>
            </w:tcBorders>
            <w:shd w:val="clear" w:color="auto" w:fill="FFFFFF"/>
          </w:tcPr>
          <w:p w14:paraId="06BC13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540" w:type="dxa"/>
            <w:tcBorders>
              <w:bottom w:val="single" w:sz="12" w:space="0" w:color="auto"/>
            </w:tcBorders>
            <w:shd w:val="clear" w:color="auto" w:fill="FFFFFF"/>
          </w:tcPr>
          <w:p w14:paraId="7837C3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bl>
    <w:p w14:paraId="1271854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Характеристика бронедеталей</w:t>
      </w:r>
    </w:p>
    <w:p w14:paraId="2813EBE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Всего в бронекорпусе 79 деталей, из них штампованных</w:t>
      </w:r>
      <w:r w:rsidRPr="00A3026E">
        <w:rPr>
          <w:rFonts w:ascii="Times New Roman" w:hAnsi="Times New Roman"/>
          <w:color w:val="000000" w:themeColor="text1"/>
          <w:sz w:val="16"/>
          <w:szCs w:val="16"/>
        </w:rPr>
        <w:tab/>
        <w:t>36 деталей</w:t>
      </w:r>
    </w:p>
    <w:p w14:paraId="1F4D222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плоских</w:t>
      </w:r>
      <w:r w:rsidRPr="00A3026E">
        <w:rPr>
          <w:rFonts w:ascii="Times New Roman" w:hAnsi="Times New Roman"/>
          <w:color w:val="000000" w:themeColor="text1"/>
          <w:sz w:val="16"/>
          <w:szCs w:val="16"/>
        </w:rPr>
        <w:tab/>
        <w:t xml:space="preserve"> 43 -“-</w:t>
      </w:r>
    </w:p>
    <w:p w14:paraId="6D2519D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Детали изготовляются из двух марок сталей: хромо-мрлибденовой толщиной 12 мм, кремне-никеле-молибденовой толщиной 4,5 и 6 мм</w:t>
      </w:r>
    </w:p>
    <w:p w14:paraId="435C88B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деталей изготовляются из брони 12 мм, остальные из брони 4,5 и 6 мм</w:t>
      </w:r>
    </w:p>
    <w:p w14:paraId="4FF4F4C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Обший вес броне деталей в корпусе</w:t>
      </w:r>
      <w:r w:rsidRPr="00A3026E">
        <w:rPr>
          <w:rFonts w:ascii="Times New Roman" w:hAnsi="Times New Roman"/>
          <w:color w:val="000000" w:themeColor="text1"/>
          <w:sz w:val="16"/>
          <w:szCs w:val="16"/>
        </w:rPr>
        <w:tab/>
        <w:t>798,5 кг</w:t>
      </w:r>
    </w:p>
    <w:p w14:paraId="036011A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них:</w:t>
      </w:r>
    </w:p>
    <w:p w14:paraId="1792CBF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9 деталей плоские цементованше из 12 мм брони весят</w:t>
      </w:r>
      <w:r w:rsidRPr="00A3026E">
        <w:rPr>
          <w:rFonts w:ascii="Times New Roman" w:hAnsi="Times New Roman"/>
          <w:color w:val="000000" w:themeColor="text1"/>
          <w:sz w:val="16"/>
          <w:szCs w:val="16"/>
        </w:rPr>
        <w:tab/>
        <w:t>113,5 кг</w:t>
      </w:r>
    </w:p>
    <w:p w14:paraId="75A7FD2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17 деталей штампуемых-гомогеннных из 4, 5 и 6 мм брони габаритами до 800 мм весят</w:t>
      </w:r>
      <w:r w:rsidRPr="00A3026E">
        <w:rPr>
          <w:rFonts w:ascii="Times New Roman" w:hAnsi="Times New Roman"/>
          <w:color w:val="000000" w:themeColor="text1"/>
          <w:sz w:val="16"/>
          <w:szCs w:val="16"/>
        </w:rPr>
        <w:tab/>
        <w:t>137,0 кг</w:t>
      </w:r>
    </w:p>
    <w:p w14:paraId="48A7980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 деталей штампуемых-гомогеннных из 4, 5 и 6 мм брони габаритами свыше 800 мм весят</w:t>
      </w:r>
      <w:r w:rsidRPr="00A3026E">
        <w:rPr>
          <w:rFonts w:ascii="Times New Roman" w:hAnsi="Times New Roman"/>
          <w:color w:val="000000" w:themeColor="text1"/>
          <w:sz w:val="16"/>
          <w:szCs w:val="16"/>
        </w:rPr>
        <w:tab/>
        <w:t>274,0 кг</w:t>
      </w:r>
    </w:p>
    <w:p w14:paraId="607F72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34 плоских-гомогенных деталей из 4, 5 и 6 мм</w:t>
      </w:r>
      <w:r w:rsidRPr="00A3026E">
        <w:rPr>
          <w:rFonts w:ascii="Times New Roman" w:hAnsi="Times New Roman"/>
          <w:color w:val="000000" w:themeColor="text1"/>
          <w:sz w:val="16"/>
          <w:szCs w:val="16"/>
        </w:rPr>
        <w:tab/>
        <w:t>274,0 кг</w:t>
      </w:r>
    </w:p>
    <w:p w14:paraId="145E0FB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1У марки сталей и их анализ</w:t>
      </w:r>
    </w:p>
    <w:p w14:paraId="778CB4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мм хромо-молибденовая</w:t>
      </w:r>
    </w:p>
    <w:p w14:paraId="6BF252C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(углероды) </w:t>
      </w:r>
      <w:r w:rsidRPr="00A3026E">
        <w:rPr>
          <w:rFonts w:ascii="Times New Roman" w:hAnsi="Times New Roman"/>
          <w:color w:val="000000" w:themeColor="text1"/>
          <w:sz w:val="16"/>
          <w:szCs w:val="16"/>
        </w:rPr>
        <w:tab/>
        <w:t>0,28-34%</w:t>
      </w:r>
    </w:p>
    <w:p w14:paraId="4A5E50F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(хрома)</w:t>
      </w:r>
      <w:r w:rsidRPr="00A3026E">
        <w:rPr>
          <w:rFonts w:ascii="Times New Roman" w:hAnsi="Times New Roman"/>
          <w:color w:val="000000" w:themeColor="text1"/>
          <w:sz w:val="16"/>
          <w:szCs w:val="16"/>
        </w:rPr>
        <w:tab/>
        <w:t>2,3-2,7%</w:t>
      </w:r>
    </w:p>
    <w:p w14:paraId="1F55083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(молибден</w:t>
      </w:r>
      <w:r w:rsidRPr="00A3026E">
        <w:rPr>
          <w:rFonts w:ascii="Times New Roman" w:hAnsi="Times New Roman"/>
          <w:color w:val="000000" w:themeColor="text1"/>
          <w:sz w:val="16"/>
          <w:szCs w:val="16"/>
        </w:rPr>
        <w:tab/>
        <w:t>0,3-0,4%</w:t>
      </w:r>
    </w:p>
    <w:p w14:paraId="1C2A1DA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4,5,6 мм кремне-никеле-молибденовая</w:t>
      </w:r>
    </w:p>
    <w:p w14:paraId="16C11F9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(углерод)</w:t>
      </w:r>
      <w:r w:rsidRPr="00A3026E">
        <w:rPr>
          <w:rFonts w:ascii="Times New Roman" w:hAnsi="Times New Roman"/>
          <w:color w:val="000000" w:themeColor="text1"/>
          <w:sz w:val="16"/>
          <w:szCs w:val="16"/>
        </w:rPr>
        <w:tab/>
        <w:t xml:space="preserve"> 0,33-0,40%</w:t>
      </w:r>
    </w:p>
    <w:p w14:paraId="09E577A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(марганец)</w:t>
      </w:r>
      <w:r w:rsidRPr="00A3026E">
        <w:rPr>
          <w:rFonts w:ascii="Times New Roman" w:hAnsi="Times New Roman"/>
          <w:color w:val="000000" w:themeColor="text1"/>
          <w:sz w:val="16"/>
          <w:szCs w:val="16"/>
        </w:rPr>
        <w:tab/>
        <w:t xml:space="preserve"> 0,55%</w:t>
      </w:r>
    </w:p>
    <w:p w14:paraId="432B804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(никель)</w:t>
      </w:r>
      <w:r w:rsidRPr="00A3026E">
        <w:rPr>
          <w:rFonts w:ascii="Times New Roman" w:hAnsi="Times New Roman"/>
          <w:color w:val="000000" w:themeColor="text1"/>
          <w:sz w:val="16"/>
          <w:szCs w:val="16"/>
        </w:rPr>
        <w:tab/>
        <w:t xml:space="preserve"> 3,5-4%</w:t>
      </w:r>
    </w:p>
    <w:p w14:paraId="76E427D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(кремний)</w:t>
      </w:r>
      <w:r w:rsidRPr="00A3026E">
        <w:rPr>
          <w:rFonts w:ascii="Times New Roman" w:hAnsi="Times New Roman"/>
          <w:color w:val="000000" w:themeColor="text1"/>
          <w:sz w:val="16"/>
          <w:szCs w:val="16"/>
        </w:rPr>
        <w:tab/>
        <w:t xml:space="preserve"> 1,2-2,0%</w:t>
      </w:r>
    </w:p>
    <w:p w14:paraId="29DA127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(молибден)</w:t>
      </w:r>
      <w:r w:rsidRPr="00A3026E">
        <w:rPr>
          <w:rFonts w:ascii="Times New Roman" w:hAnsi="Times New Roman"/>
          <w:color w:val="000000" w:themeColor="text1"/>
          <w:sz w:val="16"/>
          <w:szCs w:val="16"/>
        </w:rPr>
        <w:tab/>
        <w:t xml:space="preserve"> 0,3 - 0,5%</w:t>
      </w:r>
    </w:p>
    <w:p w14:paraId="2E04311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(фосфор)</w:t>
      </w:r>
      <w:r w:rsidRPr="00A3026E">
        <w:rPr>
          <w:rFonts w:ascii="Times New Roman" w:hAnsi="Times New Roman"/>
          <w:color w:val="000000" w:themeColor="text1"/>
          <w:sz w:val="16"/>
          <w:szCs w:val="16"/>
        </w:rPr>
        <w:tab/>
        <w:t xml:space="preserve"> 0,030%</w:t>
      </w:r>
    </w:p>
    <w:p w14:paraId="71DBCD2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(сера)</w:t>
      </w:r>
      <w:r w:rsidRPr="00A3026E">
        <w:rPr>
          <w:rFonts w:ascii="Times New Roman" w:hAnsi="Times New Roman"/>
          <w:color w:val="000000" w:themeColor="text1"/>
          <w:sz w:val="16"/>
          <w:szCs w:val="16"/>
        </w:rPr>
        <w:tab/>
        <w:t xml:space="preserve"> 0,030%</w:t>
      </w:r>
    </w:p>
    <w:p w14:paraId="1859C81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Проектируемые базы</w:t>
      </w:r>
    </w:p>
    <w:p w14:paraId="475E682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Подольский завод имени Орджоникидзе (годовое задание 900 корпусов) в кооперации с Ижорским заводом по поставке 12 мм броне-листов и заводом "Красный Октябрь” по поставке бронелистов 4,5,6 мм</w:t>
      </w:r>
    </w:p>
    <w:p w14:paraId="0BCFAB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Ижорский завод НКСП (Колпиро) развивает мощность к 1.1.41 года на изготовление 2000 штук бронекорпусов БШ-2. Начиная с 1.1.1941 года должен поставить 1200 штук бронекорпусов для 1941 г., бронесталь из 4,5 и 6 мм металла получает с Кировского завода НКТМ, 12 мм бронелист изготовляет сам.</w:t>
      </w:r>
    </w:p>
    <w:p w14:paraId="38F880E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Завод № 264 (Красноармейская верфь) г. Сталинград развивает мощность в 1941 году на изготовление 1000 бронекорпуеов БШ-2. с 1.УШ.1941 года должен поставить 200 штук готовых корпусов</w:t>
      </w:r>
    </w:p>
    <w:p w14:paraId="30750A7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Весь металл (4, 5, 6 и 12 мм) получает на месте с Сталинградского завода "Красный Октябрь".</w:t>
      </w:r>
    </w:p>
    <w:p w14:paraId="151F18B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Завод ДРО НКТМ в г. Выксе, Горьковской области развивиает мощности к 1.Х.1941 года на 2000 штук бронекорпусов. В 1941 году в четвертом квартале поставляет 200 штук 12 мм бронелисты с Кулебакского завода НКСП.</w:t>
      </w:r>
    </w:p>
    <w:p w14:paraId="6504527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4,5,6 мм бронелисты с - Выксунского металлургического завода НКчермета.</w:t>
      </w:r>
    </w:p>
    <w:p w14:paraId="71DC703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Завод "Коммунар” НКСМ в Запорожье развивает мощность к 1941 году на 1000 шт. бронекорпусов БШ-2, с поставкой в четвертом квактале 1941 года 100 штук 12 мм бронелистов получает с Мариупольского завода имени Ильича НКСП.</w:t>
      </w:r>
    </w:p>
    <w:p w14:paraId="30CA487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5, 6 мм бронелисты с завода имени Дзержинского Наркомчермета.</w:t>
      </w:r>
    </w:p>
    <w:p w14:paraId="5B4B16E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году создаются мощности всего на 6900 бронированных корпусов БШ-2, с подачей в 1941 году 2600 штук. Без Подольского завода мощностей 6000 тн. выпуск 1700 штук.</w:t>
      </w:r>
    </w:p>
    <w:p w14:paraId="6ABAB10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Потребность в дополнительных площадях:</w:t>
      </w:r>
    </w:p>
    <w:p w14:paraId="17261ED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Заводу № 264 (Красноармейская верфь) НКСП</w:t>
      </w:r>
      <w:r w:rsidRPr="00A3026E">
        <w:rPr>
          <w:rFonts w:ascii="Times New Roman" w:hAnsi="Times New Roman"/>
          <w:color w:val="000000" w:themeColor="text1"/>
          <w:sz w:val="16"/>
          <w:szCs w:val="16"/>
        </w:rPr>
        <w:tab/>
        <w:t>5000 кв/мт</w:t>
      </w:r>
    </w:p>
    <w:p w14:paraId="2C7A6BB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"ДРО" Наркомтяжмаша</w:t>
      </w:r>
      <w:r w:rsidRPr="00A3026E">
        <w:rPr>
          <w:rFonts w:ascii="Times New Roman" w:hAnsi="Times New Roman"/>
          <w:color w:val="000000" w:themeColor="text1"/>
          <w:sz w:val="16"/>
          <w:szCs w:val="16"/>
        </w:rPr>
        <w:tab/>
        <w:t>8000 кв/мт</w:t>
      </w:r>
    </w:p>
    <w:p w14:paraId="6F82E8C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Потребность в оборудовании для заводов: “Коммунар”, Подольского, Кировского, ДРО, № 264 и Ижорского предложено определить Экономсовету при СНК совместно с заинтересованными Наркоматами.</w:t>
      </w:r>
    </w:p>
    <w:p w14:paraId="0C28F4F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Потребность в 10 шт. гидравлически прессах мощностью 400 тонн каждого пресса удовлетворяются заданием заводу “Гидропресс” НКСП.</w:t>
      </w:r>
    </w:p>
    <w:p w14:paraId="1A4A2CC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Пресса распределены:</w:t>
      </w:r>
    </w:p>
    <w:p w14:paraId="2AA3A21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Подольскому заводу</w:t>
      </w:r>
      <w:r w:rsidRPr="00A3026E">
        <w:rPr>
          <w:rFonts w:ascii="Times New Roman" w:hAnsi="Times New Roman"/>
          <w:color w:val="000000" w:themeColor="text1"/>
          <w:sz w:val="16"/>
          <w:szCs w:val="16"/>
        </w:rPr>
        <w:tab/>
        <w:t>2</w:t>
      </w:r>
    </w:p>
    <w:p w14:paraId="628ED64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Заводу № 264 НКСП</w:t>
      </w:r>
      <w:r w:rsidRPr="00A3026E">
        <w:rPr>
          <w:rFonts w:ascii="Times New Roman" w:hAnsi="Times New Roman"/>
          <w:color w:val="000000" w:themeColor="text1"/>
          <w:sz w:val="16"/>
          <w:szCs w:val="16"/>
        </w:rPr>
        <w:tab/>
        <w:t>2</w:t>
      </w:r>
    </w:p>
    <w:p w14:paraId="1CBF2DE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3.Заводу "Коммунар” НКСМ</w:t>
      </w:r>
      <w:r w:rsidRPr="00A3026E">
        <w:rPr>
          <w:rFonts w:ascii="Times New Roman" w:hAnsi="Times New Roman"/>
          <w:color w:val="000000" w:themeColor="text1"/>
          <w:sz w:val="16"/>
          <w:szCs w:val="16"/>
        </w:rPr>
        <w:tab/>
        <w:t>2</w:t>
      </w:r>
    </w:p>
    <w:p w14:paraId="6D517F3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Кировскому заводу НКТМ</w:t>
      </w:r>
      <w:r w:rsidRPr="00A3026E">
        <w:rPr>
          <w:rFonts w:ascii="Times New Roman" w:hAnsi="Times New Roman"/>
          <w:color w:val="000000" w:themeColor="text1"/>
          <w:sz w:val="16"/>
          <w:szCs w:val="16"/>
        </w:rPr>
        <w:tab/>
        <w:t>1</w:t>
      </w:r>
    </w:p>
    <w:p w14:paraId="6A89471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Заводу "ДРО" НКТМ</w:t>
      </w:r>
      <w:r w:rsidRPr="00A3026E">
        <w:rPr>
          <w:rFonts w:ascii="Times New Roman" w:hAnsi="Times New Roman"/>
          <w:color w:val="000000" w:themeColor="text1"/>
          <w:sz w:val="16"/>
          <w:szCs w:val="16"/>
        </w:rPr>
        <w:tab/>
        <w:t>2</w:t>
      </w:r>
    </w:p>
    <w:p w14:paraId="2F78A0C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Ижорскому заводу НКСП</w:t>
      </w:r>
      <w:r w:rsidRPr="00A3026E">
        <w:rPr>
          <w:rFonts w:ascii="Times New Roman" w:hAnsi="Times New Roman"/>
          <w:color w:val="000000" w:themeColor="text1"/>
          <w:sz w:val="16"/>
          <w:szCs w:val="16"/>
        </w:rPr>
        <w:tab/>
        <w:t>1 (470,170).</w:t>
      </w:r>
    </w:p>
    <w:p w14:paraId="41BDF72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2FC021E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г. во исполнение постановления от 10.12.40 г. НКВ - т. Ванников издал один из двух приказов, обязывающий т. Таубина передать т. Ильюшину две 23 мм. пушки к 20 декабря 1940 г.</w:t>
      </w:r>
    </w:p>
    <w:p w14:paraId="78E0BF3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приказ от 31 января 1941 г. обя</w:t>
      </w:r>
      <w:r w:rsidRPr="00A3026E">
        <w:rPr>
          <w:rFonts w:ascii="Times New Roman" w:hAnsi="Times New Roman"/>
          <w:color w:val="000000" w:themeColor="text1"/>
          <w:sz w:val="16"/>
          <w:szCs w:val="16"/>
        </w:rPr>
        <w:softHyphen/>
        <w:t>зывал т. Таубина немедленно приступить к конструированию двух пушек со 150 снарядами на каждую пушку и передать их Главному конструктору т. Ильюшину для установки на самолете ИЛ-2.</w:t>
      </w:r>
    </w:p>
    <w:p w14:paraId="6114218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Две 23мм. пушки Таубина были установлены в крыльях на самолете ИЛ-2 (т. Ильюшина), из каждой сделано по 90 выстрелов, но дальнейшие опыты были прекращены, так как по данным ЦАГИ пушки показали 5000 кгр.усилие.отдачи, вместо 2200 по проекту.</w:t>
      </w:r>
    </w:p>
    <w:p w14:paraId="5C56363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Вторичные замеры, произведенные ЦАГИ после того, как т.Таубин несколько исправил гидравлику, показали максимальное усилие отдачи от 3500 кг. до 3800 кг.</w:t>
      </w:r>
    </w:p>
    <w:p w14:paraId="7269D7F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исполнения постановления от 10.12.40 г. требуется новая конструкция пушки с ленточным питанием, над чем сейчас и работает т.Таубин.</w:t>
      </w:r>
    </w:p>
    <w:p w14:paraId="618EA9E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общем для того, чтобы 23 мм. пушку Таубина поставить на самолет необходимо доработать гидравлику для уменьшения отдачи, а также перейти на ленточное питание, что связано с конструктивными изменениями пушки (4156,16).</w:t>
      </w:r>
    </w:p>
    <w:p w14:paraId="3918929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7EBC10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года Начальник НИИ ВВС генерал-майор авиации Филин утвердил Отчет По испытанию на отстрел крыла самолета ДБ-3 с герметичным отсеком для бензобака и О проведении эксперимента по выяснению влияния герметичного отсека на Характер взрыва и воспламенения бензобака, при простреле зажигательными пулями.</w:t>
      </w:r>
    </w:p>
    <w:p w14:paraId="0FC59B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2AE8F2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бронебачной группы 14 отдела НИИ ВВС в/инженер 1 ранга Воротников П.С.</w:t>
      </w:r>
    </w:p>
    <w:p w14:paraId="45B497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 боевых действий авиации в Испании, на Халхин-Голе и , особенно, во время войны с белофиннами показали, что при попадании зажигательных пуль в пары бензина протектирование бензобаков не обеспечивает вполне надежной их защиты от пожара.</w:t>
      </w:r>
    </w:p>
    <w:p w14:paraId="3C2A79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устранения указанного недостатка в защите боевых самолетов от пожара при простреле зажигательными пулями, завод № 39 НКАП (конструктор С.В.И.) представил в НИИ ВВС крыло самолета ДБ-3, в котором бензобак помещен в герметичный отсек.</w:t>
      </w:r>
    </w:p>
    <w:p w14:paraId="44756E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681C44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влияние герметичного отсека крыла на характер взрыва и воспламенения бензобака зажигательными пулями в условиях:</w:t>
      </w:r>
    </w:p>
    <w:p w14:paraId="1F88E17E"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Наполнения бензобака и отсека нейтральным газом и</w:t>
      </w:r>
    </w:p>
    <w:p w14:paraId="613F50E6"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Наполнения нейтральным газом только бензобака.</w:t>
      </w:r>
    </w:p>
    <w:p w14:paraId="550F75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D11EF17"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Рекомендовать Опытно-конструкторским отделам заводов НКАП, выпускающим самолеты ВВС – разработку и внедрение в серийное производство конструкции крыла с герметичным отсеком для расположения бензобаков (4527).</w:t>
      </w:r>
    </w:p>
    <w:p w14:paraId="440E3333"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p>
    <w:p w14:paraId="6FCF10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года Зам. начальника ГУ ВВС генерал-лейтенант авиации Астахов утвердил Отчет о гос. испытаниях серийного самолета ДБ-3Ф 2М-87 № 180137 производства завода № 18 с винтами ВИШ-23 с установленными воздушно-масляными радиаторами в туннелях крыльев</w:t>
      </w:r>
    </w:p>
    <w:p w14:paraId="75B165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31A08D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2 отдела НИИ ВВС в/инженер 1 ранга Марков</w:t>
      </w:r>
    </w:p>
    <w:p w14:paraId="776984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Вед. по испытаниям инженер 1 отдела НИИ ВВС в/инженер 1 ранга Платонов</w:t>
      </w:r>
    </w:p>
    <w:p w14:paraId="25FE36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капитан Сыроегин</w:t>
      </w:r>
    </w:p>
    <w:p w14:paraId="247187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326494E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летно-технические данные серийного самолета ДБ-3Ф 2 М-87Б с ВИШ-23, постройки завода № 18 с установкой воздушно-масляных радиаторов в туннелях крыльев.</w:t>
      </w:r>
    </w:p>
    <w:p w14:paraId="57B1EA0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эффективность действия воздушно-масляных радиаторов, установленных в туннелях крыльев и дать эксплуатационную оценку установки их.</w:t>
      </w:r>
    </w:p>
    <w:p w14:paraId="5F6C6656"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выработку бензина при работе на различных группах баков.</w:t>
      </w:r>
    </w:p>
    <w:p w14:paraId="5C9ECF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 18 предъявлен на гос. испытания серийный самолет ДБ-3Ф № 180137 с двумя моторами М-87, винтами ВИШ-23 и стреловыми установками МВ-2 и МВ-3.</w:t>
      </w:r>
    </w:p>
    <w:p w14:paraId="5399AE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данном самолете воздушно-масляные радиаторы установлены в специальной тоннели и расположены в носке крыла, параллельно переднему лонжерону.</w:t>
      </w:r>
    </w:p>
    <w:p w14:paraId="49B5FA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ранее выпускаемых самолетах ДБ-3Ф, воздушно-масляные радиаторы устанавливались также в носке крыла, но размещались перпендикулярно переднему лонжерону и выходили за габариты крыла.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32"/>
        <w:gridCol w:w="1584"/>
        <w:gridCol w:w="1584"/>
        <w:gridCol w:w="1584"/>
      </w:tblGrid>
      <w:tr w:rsidR="00983732" w:rsidRPr="00A3026E" w14:paraId="78D7C5D7" w14:textId="77777777" w:rsidTr="00EA0DA7">
        <w:tc>
          <w:tcPr>
            <w:tcW w:w="4032" w:type="dxa"/>
          </w:tcPr>
          <w:p w14:paraId="6552A7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w:t>
            </w:r>
          </w:p>
        </w:tc>
        <w:tc>
          <w:tcPr>
            <w:tcW w:w="1584" w:type="dxa"/>
          </w:tcPr>
          <w:p w14:paraId="2F0365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w:t>
            </w:r>
          </w:p>
          <w:p w14:paraId="30581D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180137 серийный</w:t>
            </w:r>
          </w:p>
        </w:tc>
        <w:tc>
          <w:tcPr>
            <w:tcW w:w="1584" w:type="dxa"/>
          </w:tcPr>
          <w:p w14:paraId="3F6EF7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w:t>
            </w:r>
          </w:p>
          <w:p w14:paraId="1F0D8C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180630 головной серийный</w:t>
            </w:r>
          </w:p>
        </w:tc>
        <w:tc>
          <w:tcPr>
            <w:tcW w:w="1584" w:type="dxa"/>
          </w:tcPr>
          <w:p w14:paraId="65C8A7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w:t>
            </w:r>
          </w:p>
          <w:p w14:paraId="5DD614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390801 эталон II половины 1940 года</w:t>
            </w:r>
          </w:p>
        </w:tc>
      </w:tr>
      <w:tr w:rsidR="00983732" w:rsidRPr="00A3026E" w14:paraId="5B73B1C2" w14:textId="77777777" w:rsidTr="00EA0DA7">
        <w:tc>
          <w:tcPr>
            <w:tcW w:w="4032" w:type="dxa"/>
          </w:tcPr>
          <w:p w14:paraId="08CDC0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Завод-поставщик</w:t>
            </w:r>
          </w:p>
        </w:tc>
        <w:tc>
          <w:tcPr>
            <w:tcW w:w="1584" w:type="dxa"/>
          </w:tcPr>
          <w:p w14:paraId="58661C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1584" w:type="dxa"/>
          </w:tcPr>
          <w:p w14:paraId="60565D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1584" w:type="dxa"/>
          </w:tcPr>
          <w:p w14:paraId="6C4CDA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r>
      <w:tr w:rsidR="00983732" w:rsidRPr="00A3026E" w14:paraId="48C63988" w14:textId="77777777" w:rsidTr="00EA0DA7">
        <w:tc>
          <w:tcPr>
            <w:tcW w:w="4032" w:type="dxa"/>
          </w:tcPr>
          <w:p w14:paraId="007748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w:t>
            </w:r>
          </w:p>
        </w:tc>
        <w:tc>
          <w:tcPr>
            <w:tcW w:w="1584" w:type="dxa"/>
          </w:tcPr>
          <w:p w14:paraId="7B348F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М-87</w:t>
            </w:r>
          </w:p>
        </w:tc>
        <w:tc>
          <w:tcPr>
            <w:tcW w:w="1584" w:type="dxa"/>
          </w:tcPr>
          <w:p w14:paraId="2A6663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М-87</w:t>
            </w:r>
          </w:p>
        </w:tc>
        <w:tc>
          <w:tcPr>
            <w:tcW w:w="1584" w:type="dxa"/>
          </w:tcPr>
          <w:p w14:paraId="350CD7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r>
      <w:tr w:rsidR="00983732" w:rsidRPr="00A3026E" w14:paraId="56BEE40D" w14:textId="77777777" w:rsidTr="00EA0DA7">
        <w:tc>
          <w:tcPr>
            <w:tcW w:w="4032" w:type="dxa"/>
          </w:tcPr>
          <w:p w14:paraId="7799FA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Стрелковые установки</w:t>
            </w:r>
          </w:p>
        </w:tc>
        <w:tc>
          <w:tcPr>
            <w:tcW w:w="1584" w:type="dxa"/>
          </w:tcPr>
          <w:p w14:paraId="692F20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МВ-2 и МВ-3</w:t>
            </w:r>
          </w:p>
        </w:tc>
        <w:tc>
          <w:tcPr>
            <w:tcW w:w="1584" w:type="dxa"/>
          </w:tcPr>
          <w:p w14:paraId="5006C6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МВ-2 и МВ-3</w:t>
            </w:r>
          </w:p>
        </w:tc>
        <w:tc>
          <w:tcPr>
            <w:tcW w:w="1584" w:type="dxa"/>
          </w:tcPr>
          <w:p w14:paraId="2EF060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МВ-2 и МВ-3</w:t>
            </w:r>
          </w:p>
        </w:tc>
      </w:tr>
      <w:tr w:rsidR="00983732" w:rsidRPr="00A3026E" w14:paraId="46A5AEEF" w14:textId="77777777" w:rsidTr="00EA0DA7">
        <w:tc>
          <w:tcPr>
            <w:tcW w:w="4032" w:type="dxa"/>
          </w:tcPr>
          <w:p w14:paraId="743FB4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Н=0</w:t>
            </w:r>
          </w:p>
        </w:tc>
        <w:tc>
          <w:tcPr>
            <w:tcW w:w="1584" w:type="dxa"/>
          </w:tcPr>
          <w:p w14:paraId="4AF943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337 км/час</w:t>
            </w:r>
          </w:p>
        </w:tc>
        <w:tc>
          <w:tcPr>
            <w:tcW w:w="1584" w:type="dxa"/>
          </w:tcPr>
          <w:p w14:paraId="57A78B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 км/час</w:t>
            </w:r>
          </w:p>
        </w:tc>
        <w:tc>
          <w:tcPr>
            <w:tcW w:w="1584" w:type="dxa"/>
          </w:tcPr>
          <w:p w14:paraId="518DC40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345 км/час</w:t>
            </w:r>
          </w:p>
        </w:tc>
      </w:tr>
      <w:tr w:rsidR="00983732" w:rsidRPr="00A3026E" w14:paraId="044B91E6" w14:textId="77777777" w:rsidTr="00EA0DA7">
        <w:tc>
          <w:tcPr>
            <w:tcW w:w="4032" w:type="dxa"/>
          </w:tcPr>
          <w:p w14:paraId="5D34EC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границе высотности</w:t>
            </w:r>
          </w:p>
        </w:tc>
        <w:tc>
          <w:tcPr>
            <w:tcW w:w="1584" w:type="dxa"/>
          </w:tcPr>
          <w:p w14:paraId="526A76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414 км/час</w:t>
            </w:r>
          </w:p>
        </w:tc>
        <w:tc>
          <w:tcPr>
            <w:tcW w:w="1584" w:type="dxa"/>
          </w:tcPr>
          <w:p w14:paraId="59550C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405 км/час</w:t>
            </w:r>
          </w:p>
        </w:tc>
        <w:tc>
          <w:tcPr>
            <w:tcW w:w="1584" w:type="dxa"/>
          </w:tcPr>
          <w:p w14:paraId="2ED6DF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410/428 км/час</w:t>
            </w:r>
          </w:p>
        </w:tc>
      </w:tr>
    </w:tbl>
    <w:p w14:paraId="6228DE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4E5F1B7"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Расположение воздушно-масляных радиаторов по схеме, утвержденной в отчете по гос. испытаниям самолета ДБ3Ф-2М88 с ВИШ-23 за № 390801 допускает нормальную эксплуатацию моторов М-87 с винтом ВИШ-23 на самолетах ДБ-3.</w:t>
      </w:r>
    </w:p>
    <w:p w14:paraId="1476D1F9"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Благодаря новому расположению радиаторов скорость самолета с турелью МВ-3 (МВ-2 убрана) увеличивается на 9 км/час на границе высотности моторов и равна 414 км/час вместо 405 км/час.</w:t>
      </w:r>
    </w:p>
    <w:p w14:paraId="2D6204C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решения начальника ГУ ВВС Рычагова от 30 сентября 1940 года заводам 18, 39 и 126 надлежит на всех выпускаемых и сдаваемых в строевые части ВВС самолетах ДБ-3 устанавливать масляные радиаторы по новой схеме.</w:t>
      </w:r>
    </w:p>
    <w:p w14:paraId="245E90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испытания 12 октября 1940 года</w:t>
      </w:r>
    </w:p>
    <w:p w14:paraId="5ACFC8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окончил испытания 24 октября 1940 года</w:t>
      </w:r>
    </w:p>
    <w:p w14:paraId="704DAE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испытаний 12 дней, из них летных – 5 дней</w:t>
      </w:r>
    </w:p>
    <w:p w14:paraId="6F191B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самолета произведено 7 полетов общей продолжительностью 6 час. 05 мин. (4380).</w:t>
      </w:r>
    </w:p>
    <w:p w14:paraId="3144C87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6CBA8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года Шахурин писал письмо N Н-20/3652 Ворошилову.</w:t>
      </w:r>
    </w:p>
    <w:p w14:paraId="3E0F92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при СНК за N 413сс от 19 октября 1940 года НКАП обязан сдать ВМФ - 20 самолетов ДБ-3ф (торпедоносцев) на поплавках.</w:t>
      </w:r>
    </w:p>
    <w:p w14:paraId="76743D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НКАП не может выполнить это постановление по следующим причинам:</w:t>
      </w:r>
    </w:p>
    <w:p w14:paraId="6456DB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Самолет никогда на поплавках не проектировался и не строился;</w:t>
      </w:r>
    </w:p>
    <w:p w14:paraId="7331F3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Для того, чтобы выполнить его на поплавках, необходимо внести коренные изменения в силовую схему самолета и его конструкцию.</w:t>
      </w:r>
    </w:p>
    <w:p w14:paraId="5E6522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пересмотреть постановление КО N 413сс в части сдачи ВМФ 20 самолетов ДБ-3ф на поплавках и разрешить сдачу указанных самолетов в колесном варианте (3400,166).</w:t>
      </w:r>
    </w:p>
    <w:p w14:paraId="68F7D13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6218B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А.И.Ш. писал Нач. ГУ ВВС КА г-л Рычагову о том, что выпуск в первом полугодии 1941 ТБ-7 с антиобледенителями крыла, обогревом экипажа и аварийным питанием рации не представляется возможным, т.к. машина, которая находится на гос. испытаниях, ими не оснащена и они не доработаны (1295,319).</w:t>
      </w:r>
    </w:p>
    <w:p w14:paraId="50032E9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51E2E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года Зам. начальника ГУ ВВС генерал-лейтенант авиации Астахов утвердил Отчет по гос. испытаниям серийного самолета И-16 с М-63 тип 29 № 292116 постройки завода № 21</w:t>
      </w:r>
    </w:p>
    <w:p w14:paraId="11DC0C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41DDBD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1 отделения 1 отдела НИИ в/инженер 1 ранга Воеводин</w:t>
      </w:r>
    </w:p>
    <w:p w14:paraId="72CD13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 в/инженер 3 ранга Рабкин</w:t>
      </w:r>
    </w:p>
    <w:p w14:paraId="406B67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 майор Груздев</w:t>
      </w:r>
    </w:p>
    <w:p w14:paraId="7372D3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172F14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Дать оценку самолету И16 М63 тип 29, как эталону 2-й половины 1940 года с точки зрения соответствия самолета т.т.т. и выполнения заводом указанных данных НИИ ВВС в предшествующих отчетах о гос. испытаниях И-16 для чего:</w:t>
      </w:r>
    </w:p>
    <w:p w14:paraId="0436048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летные данные самолета.</w:t>
      </w:r>
    </w:p>
    <w:p w14:paraId="27588BCE"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вооружения самолета.</w:t>
      </w:r>
    </w:p>
    <w:p w14:paraId="0AF832B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установки РСИ-3.</w:t>
      </w:r>
    </w:p>
    <w:p w14:paraId="6EBF020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работу спецоборудования самолета.</w:t>
      </w:r>
    </w:p>
    <w:p w14:paraId="30BEAFE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устранение ранее обнаруженных на самолете И-16 дефектов.</w:t>
      </w:r>
    </w:p>
    <w:p w14:paraId="1E6FCC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И-16 типа «29» с мотором М-63 представляет собой дальнейшую модификацию серийного самолета И-16.</w:t>
      </w:r>
    </w:p>
    <w:p w14:paraId="420BB7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заключаются в вооружении (имеется новая установка пулемета БС) и в спецоборудовании (имеется приемная радиостанция с жесткой антенной). Последнее повлекло за собой ряд конструктивных изменений по самолету в целом.</w:t>
      </w:r>
    </w:p>
    <w:p w14:paraId="5689B6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самолета И-16 тип «29» состоит из: 2-х синхронных пулеметов Шкас калибра 7,62 мм, синхронного пулемета БС калибра 12,7 мм, 6-ти реактивных орудий для РС-ов калибра 82 мм и фотокинопулемета ПАУ-22.</w:t>
      </w:r>
    </w:p>
    <w:p w14:paraId="7C20CE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И-16 № 292116 проходил испытания в трех вариантах:</w:t>
      </w:r>
    </w:p>
    <w:p w14:paraId="119164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вариант – с радиомачтой и антенной, с РО, без РС (реактивных снарядов) и без подвесных бензобаков. Полетный вес при этом – 1966 кг. В этом варианте сделано 39 полетов общей продолжительностью 13 час. 24 мин.</w:t>
      </w:r>
    </w:p>
    <w:p w14:paraId="11B7C4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вариант – с радиомачтой и антенной, с РО, без РС, с подвесными бензобаками. Полетный вес при этом – 2115 кг. В этом варианте сделано 4 полета, общей продолжительностью 3 час. 32 мин.</w:t>
      </w:r>
    </w:p>
    <w:p w14:paraId="51FC24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3-й вариант – без радиомачты и антенны, без РО, без РС, без подвесных бензобаков. Полетный вес при этом 1940 кг. В этом варианте сделано 12 полетов, общей продолжительностью 6 час. 28 мин.</w:t>
      </w:r>
    </w:p>
    <w:p w14:paraId="511C7C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сделано 55 полетов продолжительностью 23 час. 24 мин.</w:t>
      </w:r>
    </w:p>
    <w:p w14:paraId="4CD5A5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B37BB22"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что самолет И-16 с М-63 тип «29», эталон для 2-й половины 1940 года испытания выдержал.</w:t>
      </w:r>
    </w:p>
    <w:p w14:paraId="6412E9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Календарь испытаний самолета И-16 тип 29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983732" w:rsidRPr="00A3026E" w14:paraId="52C26F41" w14:textId="77777777" w:rsidTr="00EA0DA7">
        <w:tc>
          <w:tcPr>
            <w:tcW w:w="1951" w:type="dxa"/>
            <w:tcBorders>
              <w:top w:val="single" w:sz="12" w:space="0" w:color="auto"/>
            </w:tcBorders>
          </w:tcPr>
          <w:p w14:paraId="448978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августа 1940 года</w:t>
            </w:r>
          </w:p>
        </w:tc>
        <w:tc>
          <w:tcPr>
            <w:tcW w:w="8647" w:type="dxa"/>
            <w:tcBorders>
              <w:top w:val="single" w:sz="12" w:space="0" w:color="auto"/>
            </w:tcBorders>
          </w:tcPr>
          <w:p w14:paraId="68E5CB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летом перегнан с завода № 21 в Чкаловскую. Полет продолжительностью 1 час. 37 мин.</w:t>
            </w:r>
          </w:p>
        </w:tc>
      </w:tr>
      <w:tr w:rsidR="00983732" w:rsidRPr="00A3026E" w14:paraId="44C4268F" w14:textId="77777777" w:rsidTr="00EA0DA7">
        <w:tc>
          <w:tcPr>
            <w:tcW w:w="1951" w:type="dxa"/>
          </w:tcPr>
          <w:p w14:paraId="0832E3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августа 1940 года</w:t>
            </w:r>
          </w:p>
        </w:tc>
        <w:tc>
          <w:tcPr>
            <w:tcW w:w="8647" w:type="dxa"/>
          </w:tcPr>
          <w:p w14:paraId="234262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Сделан полет по выявлению регулировки самолета.</w:t>
            </w:r>
          </w:p>
        </w:tc>
      </w:tr>
      <w:tr w:rsidR="00983732" w:rsidRPr="00A3026E" w14:paraId="38C4D879" w14:textId="77777777" w:rsidTr="00EA0DA7">
        <w:tc>
          <w:tcPr>
            <w:tcW w:w="1951" w:type="dxa"/>
          </w:tcPr>
          <w:p w14:paraId="34080C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августа 1940 года</w:t>
            </w:r>
          </w:p>
        </w:tc>
        <w:tc>
          <w:tcPr>
            <w:tcW w:w="8647" w:type="dxa"/>
          </w:tcPr>
          <w:p w14:paraId="33C8C8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Сделан полет на скороподъемность до Н=5000 м и скорости по площадкам.</w:t>
            </w:r>
          </w:p>
        </w:tc>
      </w:tr>
      <w:tr w:rsidR="00983732" w:rsidRPr="00A3026E" w14:paraId="5F030510" w14:textId="77777777" w:rsidTr="00EA0DA7">
        <w:tc>
          <w:tcPr>
            <w:tcW w:w="1951" w:type="dxa"/>
          </w:tcPr>
          <w:p w14:paraId="72B15E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августа 1940 года</w:t>
            </w:r>
          </w:p>
        </w:tc>
        <w:tc>
          <w:tcPr>
            <w:tcW w:w="8647" w:type="dxa"/>
          </w:tcPr>
          <w:p w14:paraId="1986AF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километраж.</w:t>
            </w:r>
          </w:p>
        </w:tc>
      </w:tr>
      <w:tr w:rsidR="00983732" w:rsidRPr="00A3026E" w14:paraId="5796528B" w14:textId="77777777" w:rsidTr="00EA0DA7">
        <w:tc>
          <w:tcPr>
            <w:tcW w:w="1951" w:type="dxa"/>
          </w:tcPr>
          <w:p w14:paraId="11E615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августа 1940 года</w:t>
            </w:r>
          </w:p>
        </w:tc>
        <w:tc>
          <w:tcPr>
            <w:tcW w:w="8647" w:type="dxa"/>
          </w:tcPr>
          <w:p w14:paraId="42C340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скороподъемность.</w:t>
            </w:r>
          </w:p>
        </w:tc>
      </w:tr>
      <w:tr w:rsidR="00983732" w:rsidRPr="00A3026E" w14:paraId="4BA76F17" w14:textId="77777777" w:rsidTr="00EA0DA7">
        <w:tc>
          <w:tcPr>
            <w:tcW w:w="1951" w:type="dxa"/>
          </w:tcPr>
          <w:p w14:paraId="3CE982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года</w:t>
            </w:r>
          </w:p>
        </w:tc>
        <w:tc>
          <w:tcPr>
            <w:tcW w:w="8647" w:type="dxa"/>
          </w:tcPr>
          <w:p w14:paraId="654CBA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скороподъемности до Н=5000 м и скоростей на площадках.</w:t>
            </w:r>
          </w:p>
        </w:tc>
      </w:tr>
      <w:tr w:rsidR="00983732" w:rsidRPr="00A3026E" w14:paraId="6E401B99" w14:textId="77777777" w:rsidTr="00EA0DA7">
        <w:tc>
          <w:tcPr>
            <w:tcW w:w="1951" w:type="dxa"/>
          </w:tcPr>
          <w:p w14:paraId="715DA1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сентября 1940 года</w:t>
            </w:r>
          </w:p>
        </w:tc>
        <w:tc>
          <w:tcPr>
            <w:tcW w:w="8647" w:type="dxa"/>
          </w:tcPr>
          <w:p w14:paraId="300FEE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маневренности в горизонтальной плоскости.</w:t>
            </w:r>
          </w:p>
        </w:tc>
      </w:tr>
      <w:tr w:rsidR="00983732" w:rsidRPr="00A3026E" w14:paraId="1D24A461" w14:textId="77777777" w:rsidTr="00EA0DA7">
        <w:tc>
          <w:tcPr>
            <w:tcW w:w="1951" w:type="dxa"/>
          </w:tcPr>
          <w:p w14:paraId="2C6F9E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года</w:t>
            </w:r>
          </w:p>
        </w:tc>
        <w:tc>
          <w:tcPr>
            <w:tcW w:w="8647" w:type="dxa"/>
          </w:tcPr>
          <w:p w14:paraId="511291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Тренировочные полеты Стефановского – 2 посадки.</w:t>
            </w:r>
          </w:p>
          <w:p w14:paraId="506DBE2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Тренировочные полеты Груздева – 3 посадки.</w:t>
            </w:r>
          </w:p>
        </w:tc>
      </w:tr>
      <w:tr w:rsidR="00983732" w:rsidRPr="00A3026E" w14:paraId="79324E83" w14:textId="77777777" w:rsidTr="00EA0DA7">
        <w:tc>
          <w:tcPr>
            <w:tcW w:w="1951" w:type="dxa"/>
          </w:tcPr>
          <w:p w14:paraId="21C2D8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сентября 1940 года</w:t>
            </w:r>
          </w:p>
        </w:tc>
        <w:tc>
          <w:tcPr>
            <w:tcW w:w="8647" w:type="dxa"/>
          </w:tcPr>
          <w:p w14:paraId="4AF021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отстрел пулеметов Шкас.</w:t>
            </w:r>
          </w:p>
        </w:tc>
      </w:tr>
      <w:tr w:rsidR="00983732" w:rsidRPr="00A3026E" w14:paraId="13BAD7D9" w14:textId="77777777" w:rsidTr="00EA0DA7">
        <w:tc>
          <w:tcPr>
            <w:tcW w:w="1951" w:type="dxa"/>
          </w:tcPr>
          <w:p w14:paraId="19FAEB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6 сентября 1940 года</w:t>
            </w:r>
          </w:p>
        </w:tc>
        <w:tc>
          <w:tcPr>
            <w:tcW w:w="8647" w:type="dxa"/>
          </w:tcPr>
          <w:p w14:paraId="4A2F4D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отстрел пулеметов Шкас на автоматику.</w:t>
            </w:r>
          </w:p>
        </w:tc>
      </w:tr>
      <w:tr w:rsidR="00983732" w:rsidRPr="00A3026E" w14:paraId="6590F077" w14:textId="77777777" w:rsidTr="00EA0DA7">
        <w:tc>
          <w:tcPr>
            <w:tcW w:w="1951" w:type="dxa"/>
          </w:tcPr>
          <w:p w14:paraId="01F753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года</w:t>
            </w:r>
          </w:p>
        </w:tc>
        <w:tc>
          <w:tcPr>
            <w:tcW w:w="8647" w:type="dxa"/>
          </w:tcPr>
          <w:p w14:paraId="084F4E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полета на отстрел пулемета БС по мишени.</w:t>
            </w:r>
          </w:p>
        </w:tc>
      </w:tr>
      <w:tr w:rsidR="00983732" w:rsidRPr="00A3026E" w14:paraId="51744003" w14:textId="77777777" w:rsidTr="00EA0DA7">
        <w:tc>
          <w:tcPr>
            <w:tcW w:w="1951" w:type="dxa"/>
          </w:tcPr>
          <w:p w14:paraId="0465EB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года</w:t>
            </w:r>
          </w:p>
        </w:tc>
        <w:tc>
          <w:tcPr>
            <w:tcW w:w="8647" w:type="dxa"/>
          </w:tcPr>
          <w:p w14:paraId="551994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тренировочный на определение скороподъемности до Н=4000 м и отстрел из пулемета БС.</w:t>
            </w:r>
          </w:p>
        </w:tc>
      </w:tr>
      <w:tr w:rsidR="00983732" w:rsidRPr="00A3026E" w14:paraId="48E48B86" w14:textId="77777777" w:rsidTr="00EA0DA7">
        <w:tc>
          <w:tcPr>
            <w:tcW w:w="1951" w:type="dxa"/>
          </w:tcPr>
          <w:p w14:paraId="73C898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сентября 1940 года</w:t>
            </w:r>
          </w:p>
        </w:tc>
        <w:tc>
          <w:tcPr>
            <w:tcW w:w="8647" w:type="dxa"/>
          </w:tcPr>
          <w:p w14:paraId="717FA4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отстрел пулеметов Шкас на автоматику Н=6000 м.</w:t>
            </w:r>
          </w:p>
        </w:tc>
      </w:tr>
      <w:tr w:rsidR="00983732" w:rsidRPr="00A3026E" w14:paraId="2260E080" w14:textId="77777777" w:rsidTr="00EA0DA7">
        <w:tc>
          <w:tcPr>
            <w:tcW w:w="1951" w:type="dxa"/>
          </w:tcPr>
          <w:p w14:paraId="02C97A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года</w:t>
            </w:r>
          </w:p>
        </w:tc>
        <w:tc>
          <w:tcPr>
            <w:tcW w:w="8647" w:type="dxa"/>
          </w:tcPr>
          <w:p w14:paraId="0669C2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сопровождение самолета И-200 выполнявшего задание по штопору.</w:t>
            </w:r>
          </w:p>
        </w:tc>
      </w:tr>
      <w:tr w:rsidR="00983732" w:rsidRPr="00A3026E" w14:paraId="69078455" w14:textId="77777777" w:rsidTr="00EA0DA7">
        <w:tc>
          <w:tcPr>
            <w:tcW w:w="1951" w:type="dxa"/>
          </w:tcPr>
          <w:p w14:paraId="799141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года</w:t>
            </w:r>
          </w:p>
        </w:tc>
        <w:tc>
          <w:tcPr>
            <w:tcW w:w="8647" w:type="dxa"/>
          </w:tcPr>
          <w:p w14:paraId="547A0B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Н=6000 м на отстрел пулеметов Шкас на автоматику.</w:t>
            </w:r>
          </w:p>
        </w:tc>
      </w:tr>
      <w:tr w:rsidR="00983732" w:rsidRPr="00A3026E" w14:paraId="7F24496E" w14:textId="77777777" w:rsidTr="00EA0DA7">
        <w:tc>
          <w:tcPr>
            <w:tcW w:w="1951" w:type="dxa"/>
          </w:tcPr>
          <w:p w14:paraId="606CA6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года</w:t>
            </w:r>
          </w:p>
        </w:tc>
        <w:tc>
          <w:tcPr>
            <w:tcW w:w="8647" w:type="dxa"/>
          </w:tcPr>
          <w:p w14:paraId="432BB7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дальности радиостанции.</w:t>
            </w:r>
          </w:p>
        </w:tc>
      </w:tr>
      <w:tr w:rsidR="00983732" w:rsidRPr="00A3026E" w14:paraId="1297C613" w14:textId="77777777" w:rsidTr="00EA0DA7">
        <w:tc>
          <w:tcPr>
            <w:tcW w:w="1951" w:type="dxa"/>
          </w:tcPr>
          <w:p w14:paraId="2E220B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сентября 1940 года</w:t>
            </w:r>
          </w:p>
        </w:tc>
        <w:tc>
          <w:tcPr>
            <w:tcW w:w="8647" w:type="dxa"/>
          </w:tcPr>
          <w:p w14:paraId="6B14A8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отстрел пулемета БС.</w:t>
            </w:r>
          </w:p>
        </w:tc>
      </w:tr>
      <w:tr w:rsidR="00983732" w:rsidRPr="00A3026E" w14:paraId="6C65BDB8" w14:textId="77777777" w:rsidTr="00EA0DA7">
        <w:tc>
          <w:tcPr>
            <w:tcW w:w="1951" w:type="dxa"/>
          </w:tcPr>
          <w:p w14:paraId="639676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сентября 1940 года</w:t>
            </w:r>
          </w:p>
        </w:tc>
        <w:tc>
          <w:tcPr>
            <w:tcW w:w="8647" w:type="dxa"/>
          </w:tcPr>
          <w:p w14:paraId="1E4C33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скороподъемности до Н=8000 м и скоростей по площадкам и отстрел Шкас на Н=8000 м.</w:t>
            </w:r>
          </w:p>
        </w:tc>
      </w:tr>
      <w:tr w:rsidR="00983732" w:rsidRPr="00A3026E" w14:paraId="2BB2E5AC" w14:textId="77777777" w:rsidTr="00EA0DA7">
        <w:tc>
          <w:tcPr>
            <w:tcW w:w="1951" w:type="dxa"/>
          </w:tcPr>
          <w:p w14:paraId="162C1C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года</w:t>
            </w:r>
          </w:p>
        </w:tc>
        <w:tc>
          <w:tcPr>
            <w:tcW w:w="8647" w:type="dxa"/>
          </w:tcPr>
          <w:p w14:paraId="355F7F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вертикальную маневренность Н=3000 м.</w:t>
            </w:r>
          </w:p>
        </w:tc>
      </w:tr>
      <w:tr w:rsidR="00983732" w:rsidRPr="00A3026E" w14:paraId="5EC9E5F1" w14:textId="77777777" w:rsidTr="00EA0DA7">
        <w:tc>
          <w:tcPr>
            <w:tcW w:w="1951" w:type="dxa"/>
          </w:tcPr>
          <w:p w14:paraId="0921C3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года</w:t>
            </w:r>
          </w:p>
        </w:tc>
        <w:tc>
          <w:tcPr>
            <w:tcW w:w="8647" w:type="dxa"/>
          </w:tcPr>
          <w:p w14:paraId="6F5D06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скороподъемность и скорость по высотам до Н=5000 м без РО.</w:t>
            </w:r>
          </w:p>
        </w:tc>
      </w:tr>
      <w:tr w:rsidR="00983732" w:rsidRPr="00A3026E" w14:paraId="76608BC3" w14:textId="77777777" w:rsidTr="00EA0DA7">
        <w:tc>
          <w:tcPr>
            <w:tcW w:w="1951" w:type="dxa"/>
          </w:tcPr>
          <w:p w14:paraId="028725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сентября 1940 года</w:t>
            </w:r>
          </w:p>
        </w:tc>
        <w:tc>
          <w:tcPr>
            <w:tcW w:w="8647" w:type="dxa"/>
          </w:tcPr>
          <w:p w14:paraId="15B25B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Тренировочный полет Прошакова – 2 посадки.</w:t>
            </w:r>
          </w:p>
        </w:tc>
      </w:tr>
      <w:tr w:rsidR="00983732" w:rsidRPr="00A3026E" w14:paraId="3C9731B4" w14:textId="77777777" w:rsidTr="00EA0DA7">
        <w:tc>
          <w:tcPr>
            <w:tcW w:w="1951" w:type="dxa"/>
          </w:tcPr>
          <w:p w14:paraId="70DEB4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года</w:t>
            </w:r>
          </w:p>
        </w:tc>
        <w:tc>
          <w:tcPr>
            <w:tcW w:w="8647" w:type="dxa"/>
          </w:tcPr>
          <w:p w14:paraId="2ABD55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километраж без РО.</w:t>
            </w:r>
          </w:p>
        </w:tc>
      </w:tr>
      <w:tr w:rsidR="00983732" w:rsidRPr="00A3026E" w14:paraId="43EF0740" w14:textId="77777777" w:rsidTr="00EA0DA7">
        <w:tc>
          <w:tcPr>
            <w:tcW w:w="1951" w:type="dxa"/>
          </w:tcPr>
          <w:p w14:paraId="0F5AAB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сентября 1940 года</w:t>
            </w:r>
          </w:p>
        </w:tc>
        <w:tc>
          <w:tcPr>
            <w:tcW w:w="8647" w:type="dxa"/>
          </w:tcPr>
          <w:p w14:paraId="247F55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скороподъемность и скорость по площадкам до Н=5000 м с подвесными бензобаками.</w:t>
            </w:r>
          </w:p>
        </w:tc>
      </w:tr>
      <w:tr w:rsidR="00983732" w:rsidRPr="00A3026E" w14:paraId="5AF2221F" w14:textId="77777777" w:rsidTr="00EA0DA7">
        <w:tc>
          <w:tcPr>
            <w:tcW w:w="1951" w:type="dxa"/>
          </w:tcPr>
          <w:p w14:paraId="43F604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сентября 1940 года</w:t>
            </w:r>
          </w:p>
        </w:tc>
        <w:tc>
          <w:tcPr>
            <w:tcW w:w="8647" w:type="dxa"/>
          </w:tcPr>
          <w:p w14:paraId="500B42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скороподъемности с подвесными бензобаками до Н=5000 м.</w:t>
            </w:r>
          </w:p>
        </w:tc>
      </w:tr>
      <w:tr w:rsidR="00983732" w:rsidRPr="00A3026E" w14:paraId="26FD7432" w14:textId="77777777" w:rsidTr="00EA0DA7">
        <w:tc>
          <w:tcPr>
            <w:tcW w:w="1951" w:type="dxa"/>
          </w:tcPr>
          <w:p w14:paraId="1613F5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сентября 1940 года</w:t>
            </w:r>
          </w:p>
        </w:tc>
        <w:tc>
          <w:tcPr>
            <w:tcW w:w="8647" w:type="dxa"/>
          </w:tcPr>
          <w:p w14:paraId="16CF3A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скороподъемности без РО и без подвесных бензобаков до Н=5000 м.</w:t>
            </w:r>
          </w:p>
        </w:tc>
      </w:tr>
      <w:tr w:rsidR="00983732" w:rsidRPr="00A3026E" w14:paraId="6CA1A90D" w14:textId="77777777" w:rsidTr="00EA0DA7">
        <w:tc>
          <w:tcPr>
            <w:tcW w:w="1951" w:type="dxa"/>
          </w:tcPr>
          <w:p w14:paraId="645F67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сентября 1940 года</w:t>
            </w:r>
          </w:p>
        </w:tc>
        <w:tc>
          <w:tcPr>
            <w:tcW w:w="8647" w:type="dxa"/>
          </w:tcPr>
          <w:p w14:paraId="3B05E7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Километраж с подвесными бензобаками.</w:t>
            </w:r>
          </w:p>
        </w:tc>
      </w:tr>
      <w:tr w:rsidR="00983732" w:rsidRPr="00A3026E" w14:paraId="537995AE" w14:textId="77777777" w:rsidTr="00EA0DA7">
        <w:tc>
          <w:tcPr>
            <w:tcW w:w="1951" w:type="dxa"/>
          </w:tcPr>
          <w:p w14:paraId="10DF57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года</w:t>
            </w:r>
          </w:p>
        </w:tc>
        <w:tc>
          <w:tcPr>
            <w:tcW w:w="8647" w:type="dxa"/>
          </w:tcPr>
          <w:p w14:paraId="6323121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взлетно-посадочных свойств – 15 посадок (с доливкой горючего после первых 8 посадок).</w:t>
            </w:r>
          </w:p>
        </w:tc>
      </w:tr>
      <w:tr w:rsidR="00983732" w:rsidRPr="00A3026E" w14:paraId="7271BBFE" w14:textId="77777777" w:rsidTr="00EA0DA7">
        <w:tc>
          <w:tcPr>
            <w:tcW w:w="1951" w:type="dxa"/>
          </w:tcPr>
          <w:p w14:paraId="7A701D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сентября 1940 года</w:t>
            </w:r>
          </w:p>
        </w:tc>
        <w:tc>
          <w:tcPr>
            <w:tcW w:w="8647" w:type="dxa"/>
          </w:tcPr>
          <w:p w14:paraId="3A1C80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отстрел БС.</w:t>
            </w:r>
          </w:p>
        </w:tc>
      </w:tr>
      <w:tr w:rsidR="00983732" w:rsidRPr="00A3026E" w14:paraId="7BF70DE1" w14:textId="77777777" w:rsidTr="00EA0DA7">
        <w:tc>
          <w:tcPr>
            <w:tcW w:w="1951" w:type="dxa"/>
          </w:tcPr>
          <w:p w14:paraId="1045F2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сентября 1940 года</w:t>
            </w:r>
          </w:p>
        </w:tc>
        <w:tc>
          <w:tcPr>
            <w:tcW w:w="8647" w:type="dxa"/>
          </w:tcPr>
          <w:p w14:paraId="6680F2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теплового режима на высотном номинале. Полет без РО.</w:t>
            </w:r>
          </w:p>
        </w:tc>
      </w:tr>
      <w:tr w:rsidR="00983732" w:rsidRPr="00A3026E" w14:paraId="3675745F" w14:textId="77777777" w:rsidTr="00EA0DA7">
        <w:tc>
          <w:tcPr>
            <w:tcW w:w="1951" w:type="dxa"/>
          </w:tcPr>
          <w:p w14:paraId="4FDC6A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октября 1940 года</w:t>
            </w:r>
          </w:p>
        </w:tc>
        <w:tc>
          <w:tcPr>
            <w:tcW w:w="8647" w:type="dxa"/>
          </w:tcPr>
          <w:p w14:paraId="55EE6A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километраж и отстрел пулемета БС.</w:t>
            </w:r>
          </w:p>
        </w:tc>
      </w:tr>
      <w:tr w:rsidR="00983732" w:rsidRPr="00A3026E" w14:paraId="5875DD88" w14:textId="77777777" w:rsidTr="00EA0DA7">
        <w:tc>
          <w:tcPr>
            <w:tcW w:w="1951" w:type="dxa"/>
          </w:tcPr>
          <w:p w14:paraId="52FE30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w:t>
            </w:r>
          </w:p>
        </w:tc>
        <w:tc>
          <w:tcPr>
            <w:tcW w:w="8647" w:type="dxa"/>
          </w:tcPr>
          <w:p w14:paraId="7CA170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пикирование с высоты 5500 м до скорости Vпик=550 км/час.</w:t>
            </w:r>
          </w:p>
        </w:tc>
      </w:tr>
      <w:tr w:rsidR="00983732" w:rsidRPr="00A3026E" w14:paraId="23E30831" w14:textId="77777777" w:rsidTr="00EA0DA7">
        <w:tc>
          <w:tcPr>
            <w:tcW w:w="1951" w:type="dxa"/>
          </w:tcPr>
          <w:p w14:paraId="3CC095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октября 1940 года</w:t>
            </w:r>
          </w:p>
        </w:tc>
        <w:tc>
          <w:tcPr>
            <w:tcW w:w="8647" w:type="dxa"/>
          </w:tcPr>
          <w:p w14:paraId="433358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стрельбу на цель по щитам.</w:t>
            </w:r>
          </w:p>
        </w:tc>
      </w:tr>
      <w:tr w:rsidR="00983732" w:rsidRPr="00A3026E" w14:paraId="6A66C3CF" w14:textId="77777777" w:rsidTr="00EA0DA7">
        <w:tc>
          <w:tcPr>
            <w:tcW w:w="1951" w:type="dxa"/>
          </w:tcPr>
          <w:p w14:paraId="57BE17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года</w:t>
            </w:r>
          </w:p>
        </w:tc>
        <w:tc>
          <w:tcPr>
            <w:tcW w:w="8647" w:type="dxa"/>
          </w:tcPr>
          <w:p w14:paraId="32971E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определение дальности радиостанции.</w:t>
            </w:r>
          </w:p>
        </w:tc>
      </w:tr>
      <w:tr w:rsidR="00983732" w:rsidRPr="00A3026E" w14:paraId="11108D8D" w14:textId="77777777" w:rsidTr="00EA0DA7">
        <w:tc>
          <w:tcPr>
            <w:tcW w:w="1951" w:type="dxa"/>
          </w:tcPr>
          <w:p w14:paraId="0372C5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октября 1940 года</w:t>
            </w:r>
          </w:p>
        </w:tc>
        <w:tc>
          <w:tcPr>
            <w:tcW w:w="8647" w:type="dxa"/>
          </w:tcPr>
          <w:p w14:paraId="651FD3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отстрел пулемета БС на автоматику.</w:t>
            </w:r>
          </w:p>
        </w:tc>
      </w:tr>
      <w:tr w:rsidR="00983732" w:rsidRPr="00A3026E" w14:paraId="05B93C6F" w14:textId="77777777" w:rsidTr="00EA0DA7">
        <w:tc>
          <w:tcPr>
            <w:tcW w:w="1951" w:type="dxa"/>
          </w:tcPr>
          <w:p w14:paraId="431304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w:t>
            </w:r>
          </w:p>
        </w:tc>
        <w:tc>
          <w:tcPr>
            <w:tcW w:w="8647" w:type="dxa"/>
          </w:tcPr>
          <w:p w14:paraId="4BAB4D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на пикирование с высоты 7000 м до скорости пикирования 600 км/час.</w:t>
            </w:r>
          </w:p>
        </w:tc>
      </w:tr>
      <w:tr w:rsidR="00983732" w:rsidRPr="00A3026E" w14:paraId="0F2FFDDB" w14:textId="77777777" w:rsidTr="00EA0DA7">
        <w:tc>
          <w:tcPr>
            <w:tcW w:w="1951" w:type="dxa"/>
            <w:tcBorders>
              <w:bottom w:val="single" w:sz="12" w:space="0" w:color="auto"/>
            </w:tcBorders>
          </w:tcPr>
          <w:p w14:paraId="2E500F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октября 1940 года</w:t>
            </w:r>
          </w:p>
        </w:tc>
        <w:tc>
          <w:tcPr>
            <w:tcW w:w="8647" w:type="dxa"/>
            <w:tcBorders>
              <w:bottom w:val="single" w:sz="12" w:space="0" w:color="auto"/>
            </w:tcBorders>
          </w:tcPr>
          <w:p w14:paraId="508165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Контрольный полет на определение границы высотности – скоростей по площадкам с загрузкой в 3-м варианте.</w:t>
            </w:r>
          </w:p>
        </w:tc>
      </w:tr>
    </w:tbl>
    <w:p w14:paraId="3F2A7C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(4534).</w:t>
      </w:r>
    </w:p>
    <w:p w14:paraId="5BF1283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DA198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12 декабря 1940 начались полеты на дальность МиГ-3 04 в Каче (791,14).</w:t>
      </w:r>
    </w:p>
    <w:p w14:paraId="4B53408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3DE72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закончились заводские испытания УТИ-26-2, которые начались 16 сентября 1940 (65,30).</w:t>
      </w:r>
    </w:p>
    <w:p w14:paraId="17DC5A7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B8774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года был подготовлен план заказа на 1941 год УА ВМФ, в котором содержались расчеты и обоснование на самолеты и моторы 6-го отдела УА ВМФ. В числе разных машин предполагалось поступление и 750 морских самолетов трех типов. Впоследствии, после согласования с КО это число было урезано. Вместо 500 летающих лодок план был уменьшен до 200 машин (один тип – МДР-7 – был изъят из плана, поставки второго уменьшены наполовину), изъяты из плана также были все 250 корабельных разведчиков КОР-2 (РГАВМФ. Ф. Р-61. Оп. 7. Д. 143. Л. 1; Оп. 4. Д. 491. Л. 22 об.).</w:t>
      </w:r>
    </w:p>
    <w:p w14:paraId="1691FF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Итак, флот хотел получить специализированные самолеты, но эта задача фактически провалилась. В срывах планов производства морских машин сыграли свою роль многие факторы. Реально дело заключалось не только в проблемах репрессий, в развертывании строительства «сухопутных» машин или в незаинтересованности вышестоящих инстанций в проектировании гидросамолетов (11672).</w:t>
      </w:r>
    </w:p>
    <w:p w14:paraId="7A02038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A4ED5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Н.Н.П. получил мотор М-81 для И-185 (2495,22).</w:t>
      </w:r>
    </w:p>
    <w:p w14:paraId="7D6AC9B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4CA51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предъявленный заводом № 82 второй мотор М-30 (№ 310) закончил 100-часовое госиспытание на станке, наработав при этом на режимах 108 часов 06 минут.</w:t>
      </w:r>
    </w:p>
    <w:p w14:paraId="6099B6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госиспытания мотора было выявлено значительное количество дефектов ………………</w:t>
      </w:r>
    </w:p>
    <w:p w14:paraId="03FFA1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испытания мотор имел три вынужденных остановки …………… и снимался со станка для частичной переборки.</w:t>
      </w:r>
    </w:p>
    <w:p w14:paraId="00F18C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……………….(7713, 335-338).</w:t>
      </w:r>
    </w:p>
    <w:p w14:paraId="4DADB5B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C2004A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12/14 декабря 1940 года вышел приказ НИИ ВВС № 0280</w:t>
      </w:r>
    </w:p>
    <w:p w14:paraId="135FF05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Специальные гос. испытания одномоторного одноместного истребителя Мессершмидт 109Е с установленным на нем винтом с лопастями ВИШ-61 (6890, 195).</w:t>
      </w:r>
    </w:p>
    <w:p w14:paraId="6294C3E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6D6A2D10"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12 декабря 1940 – протокол Политбюро </w:t>
      </w:r>
    </w:p>
    <w:p w14:paraId="1D4FA4B8"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12.XII.40 г.</w:t>
      </w:r>
    </w:p>
    <w:p w14:paraId="136EDB85"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197. О специальных станках для авиамоторных заводов НКАП (постановление СНК СССР и ЦК ВКП(б)). — ОП (20408).</w:t>
      </w:r>
    </w:p>
    <w:p w14:paraId="1EE84B65" w14:textId="77777777" w:rsidR="009E6104" w:rsidRPr="00A3026E" w:rsidRDefault="009E6104" w:rsidP="00A3026E">
      <w:pPr>
        <w:spacing w:after="0" w:line="240" w:lineRule="auto"/>
        <w:jc w:val="both"/>
        <w:rPr>
          <w:rFonts w:ascii="Times New Roman" w:hAnsi="Times New Roman"/>
          <w:color w:val="0070C0"/>
          <w:sz w:val="16"/>
          <w:szCs w:val="16"/>
        </w:rPr>
      </w:pPr>
    </w:p>
    <w:p w14:paraId="002C3D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вышел приказ НКАП N 386 был утвержден Устав завода 153 им. Чкалова ПГУ (1647,28).</w:t>
      </w:r>
    </w:p>
    <w:p w14:paraId="3C4117E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83E7A5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года вышел приказ № 334с НКВ</w:t>
      </w:r>
    </w:p>
    <w:p w14:paraId="7FE8552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базе бывшего Арсенала организовать завод № 514. До выделения в самостоятельный завод № 514 считать филиалом завода № 314 (6243, 59).</w:t>
      </w:r>
    </w:p>
    <w:p w14:paraId="0F17116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0302A5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вышел приказ НКАП N 384 во исполнение постановления Правительства от 29 июня 1940 был утвержден Устав завода 384 3 ГУ (1647,28).</w:t>
      </w:r>
    </w:p>
    <w:p w14:paraId="1788BC7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3B315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года 1-й весовой завод Главмервеспрома был передан в НКАП от НКОМ. Потом бывш. весовой завод – территория Б. З-да 119 (1-й Шемиловский пер., 16). Расстояние от территории А з-да 119 – 0,4 км (9251).</w:t>
      </w:r>
    </w:p>
    <w:p w14:paraId="38561C2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A83B1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г. по приказу № 726с основанный в 1854 г. Весовой завод (1-й Весовой завод Главмервеса НКОМ / г. Москва 1-й Щемиловский пер., 16/) был передан в НКАП. По приказу № 16с от 9.01.1941 г. включен в состав завода № 119 НКАП как территория «б» (11982).</w:t>
      </w:r>
    </w:p>
    <w:p w14:paraId="093B977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E2D9D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г. по приказу № 727с/315с Завод счетных машин им. Дзержинского НКОМ был передан в НКАП и получил наименование завод № 476 в системе 4ГУ (Завод № 476 НКАП, Сущевский механический завод им. Дзержинского Моссредпрома, Завод счетных машин им. Дзержинского НКОМ /г. Москва ул. Сущевская, 22 (1940 г.)/). Электротехническое производство: авиаприборы, системы освещения «Заря-П» для ПУАЗО «Вест-4» зенитных батарей, взрыватели АМ-Б, агрегаты дистанционного управления самолетами («ДУ»),</w:t>
      </w:r>
    </w:p>
    <w:p w14:paraId="470F3D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группа специалистов по электросистемам была переведена для укрепления в ОКБ-2 завода № 266.</w:t>
      </w:r>
    </w:p>
    <w:p w14:paraId="2EC477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632сс от 5.07.1941 г. оборудование для производства систем «ДУ» было переведено с завода № 476 НКАП на завод № 461 НКАП.</w:t>
      </w:r>
    </w:p>
    <w:p w14:paraId="422E7E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началом войны завод № 476 эвакуирован в Киров на площадку завода № 461 НКАП (сначала планировалось в Уфу на площадку завода № 282). В Кирове завод вместе с заводом № 461 влит по приказу № 1096с от 5.11.1941 г. в состав объединенного завода № 266. Выбыл из числа действующих с 11.1941 г.</w:t>
      </w:r>
    </w:p>
    <w:p w14:paraId="0CC48A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площадке эвакуированного завода по приказу № 46с от 17.01.1942 г. образованы Агрегатные ремонтные мастерские. Затем по приказу № 239с от 30.03.1942 г. на базе мастерских планировалось организовать Ремонтный завод при Главремуправлении по ремонту свечей и магнето. Однако, вскоре здесь был создан новый агрегатный завод № 476 при 4ГУ НКАП.</w:t>
      </w:r>
    </w:p>
    <w:p w14:paraId="6AFB36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(12.1940-41 г.)- А.О. Казанский.</w:t>
      </w:r>
    </w:p>
    <w:p w14:paraId="42693D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(12.1940 г.-)- М. Г. Ишпаков.</w:t>
      </w:r>
    </w:p>
    <w:p w14:paraId="5A5BF1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Гл. инженер (12.1940 г.-)- М. Г. Иншаков (11982).</w:t>
      </w:r>
    </w:p>
    <w:p w14:paraId="144646D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7193E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г. по приказу № 728с/316с Весовой завод им. Тельмана НКОМ передан в НКАП. По приказу № 71 с от 27.01.1941  г. он получил наименование ГС завод № 478 им. Тельмана в ведении 6ГУ НКАП (ГС Завод № 478 ИМ. Тельмана НКАП, Завод «Сельмаш», Завод «Металлист», Калужский весовой завод, Весовой завод им. Тельмана НКОМ /г. Калуга/).</w:t>
      </w:r>
    </w:p>
    <w:p w14:paraId="4E8D6F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войной осуществлялось производство масло- и бензобаков, капотов, бензомаслопроводов для самолетов.</w:t>
      </w:r>
    </w:p>
    <w:p w14:paraId="22EA9D4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1076сс от 24.10.1941 г. завод № 478 6ГУ НКАП эвакуирован в Чкалов на площадку завода № 47 НКАП и по приказу № 1104 от 9.11.1941 г. со всем оборудованием и личным составом влит в его состав. Выбыл из числа действующих, (есть информация, что завод № 478 (возможно, другая его часть) эвакуирован в Ташкент и влит в состав завода № 84 НКАП).</w:t>
      </w:r>
    </w:p>
    <w:p w14:paraId="1DA10F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распоряжению СНК № 2264р от 11.02.1942 г. площадка в Калуге передана в НКПС для организации производства запчастей и механизмов для восстановления ж/д транспорта, где образован Литейно-механический завод.</w:t>
      </w:r>
    </w:p>
    <w:p w14:paraId="46EEB9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(-11.1941 г.)- Антонов.</w:t>
      </w:r>
    </w:p>
    <w:p w14:paraId="4F4E0D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Литейно-механический завод НКПС, Калужский завод транспортного машиностроения («Калугатрансмаш»), АООТ, ОАО «Калугатрансмаш» /248634  г. Калуга ул. Московская, 250/</w:t>
      </w:r>
    </w:p>
    <w:p w14:paraId="006EB0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распоряжению СНК № 2264р от 11.02.1942 г. площадка эвакуированного завода № 478 НКАП передана в НКПС и на ней организован Литейно-механический завод для производства запчастей и механизмов для восстановления ж/д транспорта. В 1957 г. Литейно-механический завод переименован в Калужский завод транспортного машиностроения. В 1993 г. завод акционирован и преобразован в АООТ, а с 1996 г.- ОАО «Калугатрансмаш».</w:t>
      </w:r>
    </w:p>
    <w:p w14:paraId="31737A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Гендиректор (1995-2004 г.)- В.Д. Ермаков, (2004 г.-)- В.П. Злобин (11982).</w:t>
      </w:r>
    </w:p>
    <w:p w14:paraId="3628A07D" w14:textId="77777777" w:rsidR="00436F07" w:rsidRPr="00A3026E" w:rsidRDefault="00436F07" w:rsidP="00A3026E">
      <w:pPr>
        <w:spacing w:after="0" w:line="240" w:lineRule="auto"/>
        <w:jc w:val="both"/>
        <w:rPr>
          <w:rFonts w:ascii="Times New Roman" w:hAnsi="Times New Roman"/>
          <w:color w:val="000000" w:themeColor="text1"/>
          <w:sz w:val="16"/>
          <w:szCs w:val="16"/>
        </w:rPr>
      </w:pPr>
    </w:p>
    <w:p w14:paraId="4FA1B4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г. по приказу № 723с/1089с Завод «Пресс» НКМП РСФСР был передан в ведение 6ГУ НКАП. По приказу № 70с от 27.01.1941 г. заводу присвоено наименование ГС завод № 479 (ГС Завод № 479 НКАП, НКБ, Завод «Пресс» НКМП РСФСР, п/я 102 /г. Серпухов Московской обл.;  г. Бийск Алтайского кр. п/я 102 «Шайба» (1943 г.)/).</w:t>
      </w:r>
    </w:p>
    <w:p w14:paraId="099D9A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и в начале войны осуществлялось производство шасси и амортстоек для самолетов, деталей гранат РГД-1, РГД-33, РПГ, а также элементов автозаправочных станций для химических авиационных боеприпасов. Для помощи в организации этих работ с завода № 261 НКАП переведена группа специалистов (в т.ч. зав. производством А.И. Коробов, ведущий конструктор В.А. Яновский).</w:t>
      </w:r>
    </w:p>
    <w:p w14:paraId="7E4A92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841с от 12.08.1941 г. на заводе прекращено производство шасси, соответствующее оборудование и личный состав переведены на завод № 163 НКАП. Оставлены только работы для НКБ.</w:t>
      </w:r>
    </w:p>
    <w:p w14:paraId="0DD037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1050сс от 8.10.1941 г. завод должен был эвакуироваться в Славгород Алтайского кр., но реально эвакуирован в конце 1941 г. в Бийск. С 05.1942 г. вновь организовано производство авторазливочных станций.</w:t>
      </w:r>
    </w:p>
    <w:p w14:paraId="07E990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СНК № 913-472сс от 11.06.1942 г. и приказом № 468сс/410сс от 25.06.1942 г. завод № 479 был передан из 6ГУ НКАП в 6ГУ НКБ (и на 11.1943 г.). Имел обозначение «п/я 102» (1943 г.).</w:t>
      </w:r>
    </w:p>
    <w:p w14:paraId="26621F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продолжал строиться в 1943 г. В составе завода цехи (1943 г.): основные: штамповочный, механический, гальванический, сборочный, кузница; вспомогательные: инструментальный, ремонтный, котельная.</w:t>
      </w:r>
    </w:p>
    <w:p w14:paraId="1D5FCC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СНК № 9687 от 24.06.1945 г. и приказом НКБ № 244 от 29.06.1945 г. завод № 479 ликвидирован, на его месте создан завод «Мясомолмаш».</w:t>
      </w:r>
    </w:p>
    <w:p w14:paraId="7F3B7B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(1943 г.): производственная- 2163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вспомогательная- 973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прочая- 207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p w14:paraId="27ECDE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(12.1942 г.)- 827 чел.</w:t>
      </w:r>
    </w:p>
    <w:p w14:paraId="451F6A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(1940-42 г.)- И.П. Девяткин, (04.1943 г.)- Ахназаров.</w:t>
      </w:r>
    </w:p>
    <w:p w14:paraId="613FC0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(04.1943 г.)- Филин.</w:t>
      </w:r>
    </w:p>
    <w:p w14:paraId="65C81A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ручные гранаты РГД-33 (ВОВ), РГ-42 (1943); взрыватель УЗРГ; КД-8 (1943) (11982).</w:t>
      </w:r>
    </w:p>
    <w:p w14:paraId="48BEEE8A" w14:textId="77777777" w:rsidR="00436F07" w:rsidRPr="00A3026E" w:rsidRDefault="00436F07" w:rsidP="00A3026E">
      <w:pPr>
        <w:shd w:val="clear" w:color="auto" w:fill="FFFFFF"/>
        <w:spacing w:after="0" w:line="240" w:lineRule="auto"/>
        <w:jc w:val="both"/>
        <w:rPr>
          <w:rFonts w:ascii="Times New Roman" w:hAnsi="Times New Roman"/>
          <w:color w:val="000000" w:themeColor="text1"/>
          <w:sz w:val="16"/>
          <w:szCs w:val="16"/>
        </w:rPr>
      </w:pPr>
    </w:p>
    <w:p w14:paraId="5FD1ED3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НКАП А.И.Ш. писал письмо № Н-25/2499 ЦК ВКП (б) товарищу СТАЛИНУ И.В.</w:t>
      </w:r>
    </w:p>
    <w:p w14:paraId="1385281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СНК СССР товарищу МОЛОТОВУ В.М.</w:t>
      </w:r>
    </w:p>
    <w:p w14:paraId="766022D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Посылаем на утверждение проект постановления Совета Народных Комиссаров Союза ССР и Центрального Комитета ВКП (б) - Об организации производства боевых самолетов в городе Ростове" (8049, 12).</w:t>
      </w:r>
    </w:p>
    <w:p w14:paraId="61268C0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ED76355" w14:textId="77777777" w:rsidR="0014077F" w:rsidRPr="00A3026E" w:rsidRDefault="0014077F"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Между 12 и 18 декабря 1940. </w:t>
      </w:r>
      <w:r w:rsidRPr="00A3026E">
        <w:rPr>
          <w:rStyle w:val="a7"/>
          <w:rFonts w:ascii="Times New Roman" w:hAnsi="Times New Roman"/>
          <w:b w:val="0"/>
          <w:bCs w:val="0"/>
          <w:color w:val="000000" w:themeColor="text1"/>
          <w:sz w:val="16"/>
          <w:szCs w:val="16"/>
        </w:rPr>
        <w:t>Протокол заседания Политбюро № 23, 1940 г.</w:t>
      </w:r>
    </w:p>
    <w:p w14:paraId="480A65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 ответственности наркомов, директоров предприятий и начальников железных дорог за выполнение заказов и перевозку грузов для авиационной промышленности </w:t>
      </w:r>
    </w:p>
    <w:p w14:paraId="51E402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Обязать наркомов и директоров заводов заказы для авиационной промышленности выполнять впереди всех других заказов, комплектно и в установленные сроки. </w:t>
      </w:r>
    </w:p>
    <w:p w14:paraId="33528B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Обязать НКПС перевозку грузов для заводов авиационной промышленности и заводов, выполняющих заказы НКАП, при всех условиях обеспечивать полностью и не позднее чем в суточный срок после предъявления грузов к перевозке, допуская в необходимых случаях перевозку багажом. </w:t>
      </w:r>
    </w:p>
    <w:p w14:paraId="00AD83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Установить, что директора заводов и начальники дорог, нарушившие настоящее постановление, привлекаются к уголовной ответственности (11652).</w:t>
      </w:r>
    </w:p>
    <w:p w14:paraId="1B9344C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BC1EF96" w14:textId="77777777" w:rsidR="00D61E13" w:rsidRPr="00A3026E" w:rsidRDefault="00D61E1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12 декабря 1940 г. в НИИ</w:t>
      </w:r>
      <w:r w:rsidRPr="00A3026E">
        <w:rPr>
          <w:rFonts w:ascii="Times New Roman" w:hAnsi="Times New Roman"/>
          <w:color w:val="000000" w:themeColor="text1"/>
          <w:sz w:val="16"/>
          <w:szCs w:val="16"/>
        </w:rPr>
        <w:noBreakHyphen/>
        <w:t>20 велась разработка 5 комплектов радиотелемеханического оборудования типа “Кварц”, 2 комплектов радиотелемеханического оборудования типа “Молния”, радиоаппаратура была изготовлена и проходила летные испытания. Общие фактические затраты на телемеханические самолеты и оборудование составили по Наркомату авиационной промышленности 9,014 млн. руб., из них 1940 г. — 7,639 млн. руб. вместо запланированных 4 млн. руб. Таким образом, за 10 месяцев 1940 г. расходы были превышены на 3,6 млн. руб. В ноябре-декабре 1940 г. планировалась вложить на работы еще около 1 млн. руб., таким образом увеличив финансирование на 4,6 млн. руб. (ГАРФ. Ф. Р</w:t>
      </w:r>
      <w:r w:rsidRPr="00A3026E">
        <w:rPr>
          <w:rFonts w:ascii="Times New Roman" w:hAnsi="Times New Roman"/>
          <w:color w:val="000000" w:themeColor="text1"/>
          <w:sz w:val="16"/>
          <w:szCs w:val="16"/>
        </w:rPr>
        <w:noBreakHyphen/>
        <w:t>8418. Оп. 24. Д. 781.) (18005).</w:t>
      </w:r>
    </w:p>
    <w:p w14:paraId="5A1157C5" w14:textId="77777777" w:rsidR="00D61E13" w:rsidRPr="00A3026E" w:rsidRDefault="00D61E13" w:rsidP="00A3026E">
      <w:pPr>
        <w:spacing w:after="0" w:line="240" w:lineRule="auto"/>
        <w:jc w:val="both"/>
        <w:rPr>
          <w:rFonts w:ascii="Times New Roman" w:hAnsi="Times New Roman"/>
          <w:color w:val="000000" w:themeColor="text1"/>
          <w:sz w:val="16"/>
          <w:szCs w:val="16"/>
        </w:rPr>
      </w:pPr>
    </w:p>
    <w:p w14:paraId="666115F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был подготовлен проект:</w:t>
      </w:r>
    </w:p>
    <w:p w14:paraId="359509D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КОМИТЕТА ОБОРОНЫ ПРИ СНК СОЮЗА ССР</w:t>
      </w:r>
    </w:p>
    <w:p w14:paraId="31A8284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КРЕМЛЬ.</w:t>
      </w:r>
    </w:p>
    <w:p w14:paraId="1B1EAA4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деформирующих окрасках самолетов</w:t>
      </w:r>
    </w:p>
    <w:p w14:paraId="02762D6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Комитет Обороны при СНК Союза СССР ПОСТАНОВЛЯЕТ:</w:t>
      </w:r>
    </w:p>
    <w:p w14:paraId="0AB854D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Принять деформирующую окраску (камуфляж), как постоянное покрытие самолетов, находящихся на вооружении Военных Воздушных Сил Красной Армии.</w:t>
      </w:r>
    </w:p>
    <w:p w14:paraId="5C9C353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НКАП перейти на выпуск самолетов с матовой деформирующей окраской (камуфляж) верхних и боковых поверхностей гветлосерой окраской нижних поверхностей с 15 февраля 1941 года.</w:t>
      </w:r>
    </w:p>
    <w:p w14:paraId="6FB37AA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Наркомхимпром обеспечить НКАП необходимыми красителями для заводской деформирующей окраски самолетов и НКО для постоянной и временной окраски, ранее выпущенных самолетов.</w:t>
      </w:r>
    </w:p>
    <w:p w14:paraId="537471B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Постановление Комитета Обороны от 23 Мая 1940 г. за № 220сс с 15 февраля 1941 года ОТМЕНИТЬ.</w:t>
      </w:r>
    </w:p>
    <w:p w14:paraId="353B63C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ПРЕДСЕЛАТЕЛЬ КОМИТЕТА. ОБОРОНЫ ПРИ СНК СССР (К.ВОРОШИЛОВ)</w:t>
      </w:r>
    </w:p>
    <w:p w14:paraId="4270A60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СЕКРЕТАРЬ КОМИТЕТА ОБОРОНЫ ПРИ СНК СССР (М.ПУГАЕВ) (4190,14).</w:t>
      </w:r>
    </w:p>
    <w:p w14:paraId="769D823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1398D8D0"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9C267D2"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6215CF5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г. старший военный представитель ГАБТУ КА на Сталинградском тракторном заводе военинженер 2 ранга Я.С. Левин в сводке № 193 сообщал:</w:t>
      </w:r>
    </w:p>
    <w:p w14:paraId="79BFED3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«СТЗ в ноябре декабре мес. с.г. послано заводу № 183 1673 пары траков новой конструкции, которые там испытываются. Результаты испытаний пока неизвестны. Ввиду того, что старые траки работали неудовлетворительно, прошу не замедлить с ответом о результатах испытаний новых усиленных траков».</w:t>
      </w:r>
    </w:p>
    <w:p w14:paraId="52FCEC3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Д.1182. Л. 125] (18533).</w:t>
      </w:r>
    </w:p>
    <w:p w14:paraId="4BFED684" w14:textId="77777777" w:rsidR="004B7EF4" w:rsidRPr="00A3026E" w:rsidRDefault="004B7EF4" w:rsidP="00A3026E">
      <w:pPr>
        <w:spacing w:after="0" w:line="240" w:lineRule="auto"/>
        <w:jc w:val="both"/>
        <w:rPr>
          <w:rFonts w:ascii="Times New Roman" w:hAnsi="Times New Roman"/>
          <w:color w:val="000000" w:themeColor="text1"/>
          <w:sz w:val="16"/>
          <w:szCs w:val="16"/>
        </w:rPr>
      </w:pPr>
    </w:p>
    <w:p w14:paraId="0A786C4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12 декабря 1940 года Коломенский завод изготовил отдельные узлы и агрегаты ПВ, которые начали испытывать на специальных стендах. В конце того же года АБТУ РККА установило следующий срок окончания работ: монтаж установки на МБВ № 01 - 1 апреля 1941 года, заводские испытания на 3000 км - окончить к 15 мая, сдача мо-тоброневагона 1 июня 1941 года. Однако вплоть до начала Великой Отечественной войны закончить изготовление паросиловой установки высокого давления не удалось (18626).</w:t>
      </w:r>
    </w:p>
    <w:p w14:paraId="48DFCAD2" w14:textId="77777777" w:rsidR="004B7EF4" w:rsidRPr="00A3026E" w:rsidRDefault="004B7EF4" w:rsidP="00A3026E">
      <w:pPr>
        <w:spacing w:after="0" w:line="240" w:lineRule="auto"/>
        <w:jc w:val="both"/>
        <w:rPr>
          <w:rFonts w:ascii="Times New Roman" w:hAnsi="Times New Roman"/>
          <w:color w:val="000000" w:themeColor="text1"/>
          <w:sz w:val="16"/>
          <w:szCs w:val="16"/>
        </w:rPr>
      </w:pPr>
    </w:p>
    <w:p w14:paraId="18EEFCBA" w14:textId="77777777" w:rsidR="009E6104" w:rsidRPr="00A3026E" w:rsidRDefault="009E6104"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lastRenderedPageBreak/>
        <w:t>К 12 декабря 1940 Ижорский завод получил технические условия на изготовление корпусов и башен для двух опытных танков сопровождения Кировского хавода, а также ушел набор чертежей на корпус. К тому моменту имелись данные по машине. Боевая масса оценивалась в 14 тонн, это предел по ТТТ. При этом машина предполагалась очень быстрой. Согласно данным на середину декабря 1940 года, максимальная скорость на 8-й передаче ожидалась в районе 58 км/ч. Такие оптимистичные данные выглядели вполне обоснованно. С учетом 300-сильного мотора и удельной мощности более 20 л.с. на тонну, показатели реалистичные.</w:t>
      </w:r>
    </w:p>
    <w:p w14:paraId="236232FB" w14:textId="77777777" w:rsidR="009E6104" w:rsidRPr="00A3026E" w:rsidRDefault="009E6104"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В ходе постройки полноразмерного макета два курсовых пулемета остались на месте. Размещались они слева и справа от механика-водителя. Вместо правого курсового пулемета была возможность поставить огнемет конструкции завода №174. Правда, при этом требовалось убрать часть укладок по правому борту. Место механика-водителя, скажем прямо, было проработано явно лучше проекта завода №174. Изначально предполагалось сделать откидной люк по типу Т-26, но на этапе эскизного проектирования от этой идеи отказались. Зато, в дополнение к смотровому лючку, имелось 3 зеркальных перископических прибора. Также механик-водитель получал фактически рубку, более удобную для работы. МТО не имело к Т-211 никакого отношения. Компоновка шасси в принципе больше напоминала КВ, что вполне логично. Для снижения массы кормовая часть машины имела сужение к корме. Крайне оригинальным решением стал радиатор в виде подковы, который разместили между мотором и коробкой передач (22720).</w:t>
      </w:r>
    </w:p>
    <w:p w14:paraId="094A7EA2" w14:textId="77777777" w:rsidR="009E6104" w:rsidRPr="00A3026E" w:rsidRDefault="009E6104"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С 23 по 28 декабря 1940 года макет и документацию по Т-50 Кировского завода рассматривала комиссия. Уже то, что в комиссии присутствовал Гинзбург, усложняло задачу. Семен Александрович начал машину вполне откровенно "топить", и в ходе обсуждения, и после него. 13 января 1941 года он накатал письмо аж на 8 страниц, с критикой конкурирующего проекта. Да и вообще, вместо двух конкурирующих проектов делать один, объединив усилия. Собственно говоря, Гинзбург и в акте макетной комиссии также накатал большой список недочетов, на 4 страницы. Хотя сама комиссия нашла всего 8 основных пунктов замечаний. Из них серьёзными были такие, как отсутствие размещения радиостанции, уязвимые воздухопритоки, внешние петли люков и т.д. По факту же различных пометок, замечаний и прочего было куда больше - 78 пунктов. Тем не менее, макет, с учетом замечаний, одобрили, добро на выпуск двух опытных образцов выдали (22720).</w:t>
      </w:r>
    </w:p>
    <w:p w14:paraId="09E8D037" w14:textId="77777777" w:rsidR="009E6104" w:rsidRPr="00A3026E" w:rsidRDefault="009E6104"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4C74B6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г. с опозданием вступил в строй крейсер "Максим Горький", заводские и государственные испытания которого затянулись более чем на 12 мес. из-за опоздания готовности вооружения (3898).</w:t>
      </w:r>
    </w:p>
    <w:p w14:paraId="3477046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4F1AF0D"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56D55D50"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5269AC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Народный комиссар иностранных дел СССР Молотов прибывает с визитом в Берлин для переговоров с Гитлером и министром иностранных дел Риббентропом. Немцы уклончиво говорят о своих планах в отношении СССР, а Молотов выражает сомнение в способности Германии завоевать Англию (визит продолжается до 14 ноября).</w:t>
      </w:r>
    </w:p>
    <w:p w14:paraId="3B197C3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5BBF335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г. Шуленбург лично напомнил Молото</w:t>
      </w:r>
      <w:r w:rsidRPr="00A3026E">
        <w:rPr>
          <w:rFonts w:ascii="Times New Roman" w:hAnsi="Times New Roman"/>
          <w:color w:val="000000" w:themeColor="text1"/>
          <w:sz w:val="16"/>
          <w:szCs w:val="16"/>
        </w:rPr>
        <w:softHyphen/>
        <w:t>го самолетах, вопрос о которых неоднократно поднимался вопрос германской стороной. Шуленбург снова передал Молотову ноту, в которой говорилось о просьбе Германии разрешить транзит этих самолетов, а также ящиков с запчастями и медикаментами для германского корабля. Он заверил, эти предметы не предназначены для японского правительства. Для удобства советской стороны предметы эти могли быть отправлены из Владивостока в Японию на регулярном торговом пароходе так, что германский корабль не будет заходить во Владивосток. Очевидно, он будет находиться в порту Кобе. Шуленбург заметил, что не видит никаких препятствий для Советского правительства дать такое разре</w:t>
      </w:r>
      <w:r w:rsidRPr="00A3026E">
        <w:rPr>
          <w:rFonts w:ascii="Times New Roman" w:hAnsi="Times New Roman"/>
          <w:color w:val="000000" w:themeColor="text1"/>
          <w:sz w:val="16"/>
          <w:szCs w:val="16"/>
        </w:rPr>
        <w:softHyphen/>
        <w:t>шение, и просит ускорить решение этого вопроса с тем, чтобы до 8 января 1941 г. упомянутые предметы были доставлены во Владивосток. Молотов ответил, что не может дать ответа на этот вопрос, «он окружен таинственностью и непонятен. Сначала, де речь шла только о двух самолетах, теперь к ним добавляются кикие-то запасные части и медикаменты, предназначенные для экипажа неизвестного корабля». Тогда Шуленбург объяснил, что в Тихим океане оперирует германский вспомогательный крейсер и, очевидно, для этого крейсера и предназначаются все эти предметы. То, что этот вопрос окружен тайной, совершенно естественно, так как Германия находится в состоянии войны. Для Советского Союза все остальное может быть совершенно безразлично, если дается заверение, что самолеты, ящики с запчастями и медикаменты не предназначены для Японии...(10670,270).</w:t>
      </w:r>
    </w:p>
    <w:p w14:paraId="5121063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7AF7561F"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7DAFD8AC"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0E69083B"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12 декабря 1940 британские авианосцы HMS Eagle и HMS Illustrious наносят удар по итальянскому транспорту в Бардии, Ливия. Позже в том же месяце их самолеты нанесут удар по Родосу и Стампалии в Греции и Триполи в Ливии (20795).</w:t>
      </w:r>
    </w:p>
    <w:p w14:paraId="6E6D7980" w14:textId="77777777" w:rsidR="009E6104" w:rsidRPr="00A3026E" w:rsidRDefault="009E6104" w:rsidP="00A3026E">
      <w:pPr>
        <w:spacing w:after="0" w:line="240" w:lineRule="auto"/>
        <w:jc w:val="both"/>
        <w:rPr>
          <w:rFonts w:ascii="Times New Roman" w:hAnsi="Times New Roman"/>
          <w:color w:val="0070C0"/>
          <w:sz w:val="16"/>
          <w:szCs w:val="16"/>
        </w:rPr>
      </w:pPr>
    </w:p>
    <w:p w14:paraId="5E1830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Югославия подписала договор о дружбе с Венгрией (4962).</w:t>
      </w:r>
    </w:p>
    <w:p w14:paraId="610D4FF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56C2D17C"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December 12 1940 Hungarian-Yugoslav treaty of friendship signed (1223).</w:t>
      </w:r>
    </w:p>
    <w:p w14:paraId="0AEB78D0"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p>
    <w:p w14:paraId="068673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декабря 1940 было подписано венгерско-югославкое соглашение о дружбе (1223).</w:t>
      </w:r>
    </w:p>
    <w:p w14:paraId="6EFEF2E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5B94D4D"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70D7649A"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23B5BCA" w14:textId="77777777" w:rsidR="00D61E13" w:rsidRPr="00A3026E" w:rsidRDefault="00D61E1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13 декабря 1940 в ОКБ Ильюшина в качестве образца поступила опытная пушка МП-6 № 1, изготовленная в ОКБ-16 и прошедшая испытания на НИП АВ ВВС (17500).</w:t>
      </w:r>
    </w:p>
    <w:p w14:paraId="0A3D00F8" w14:textId="77777777" w:rsidR="00D61E13" w:rsidRPr="00A3026E" w:rsidRDefault="00D61E13" w:rsidP="00A3026E">
      <w:pPr>
        <w:spacing w:after="0" w:line="240" w:lineRule="auto"/>
        <w:jc w:val="both"/>
        <w:rPr>
          <w:rFonts w:ascii="Times New Roman" w:eastAsia="Times New Roman" w:hAnsi="Times New Roman"/>
          <w:color w:val="000000" w:themeColor="text1"/>
          <w:sz w:val="16"/>
          <w:szCs w:val="16"/>
          <w:lang w:eastAsia="ru-RU"/>
        </w:rPr>
      </w:pPr>
    </w:p>
    <w:p w14:paraId="615AE0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 года начальник 1 отдела 8 управления ГУ ВВС в/инженер 1 ранга Матаев писал письмо № 556720с</w:t>
      </w:r>
    </w:p>
    <w:p w14:paraId="766316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 о ходе испытаний 23 мм пушки системы Таубина-Бабурина на НИП АВ ГУ ВВС за 12 декабря 1940 года</w:t>
      </w:r>
    </w:p>
    <w:p w14:paraId="526970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И-21 (Пашенина)</w:t>
      </w:r>
    </w:p>
    <w:p w14:paraId="3203D7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Продолжение стрельбы будет 14 декабря; задержка в изготовлении штыря к установке</w:t>
      </w:r>
    </w:p>
    <w:p w14:paraId="5869C0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МШ-110</w:t>
      </w:r>
    </w:p>
    <w:p w14:paraId="6C027E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Составляется отчет по окончанию испытаний</w:t>
      </w:r>
    </w:p>
    <w:p w14:paraId="36BC91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СБ (первый)</w:t>
      </w:r>
    </w:p>
    <w:p w14:paraId="7B27C0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Стрельба не производилась, не готов ускоритель</w:t>
      </w:r>
    </w:p>
    <w:p w14:paraId="3F0C4F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СБ (второй)</w:t>
      </w:r>
    </w:p>
    <w:p w14:paraId="564D5B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Производится отстрел снарядов на земле (7713, 332).</w:t>
      </w:r>
    </w:p>
    <w:p w14:paraId="70C210B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007869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 Протокол № 23. Решения ПБ за 22 ноября - 13 декабря 1940 г.</w:t>
      </w:r>
    </w:p>
    <w:p w14:paraId="1BC3D19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25.11.40 г.</w:t>
      </w:r>
    </w:p>
    <w:p w14:paraId="424C22D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68. О моторах М-71 и М-81 завода № 19 (постановление ЦК ВКП (б) и СНК СССР)*.</w:t>
      </w:r>
    </w:p>
    <w:p w14:paraId="7DE1402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69. Об истребителе конструкции Поликарпова*.</w:t>
      </w:r>
    </w:p>
    <w:p w14:paraId="4568401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70. Об истребителе конструкции Микояна*.</w:t>
      </w:r>
    </w:p>
    <w:p w14:paraId="4B7067E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71. Об истребителе конструкции Яковлева*.</w:t>
      </w:r>
    </w:p>
    <w:p w14:paraId="324E30A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30. 11.40 г.</w:t>
      </w:r>
    </w:p>
    <w:p w14:paraId="7CAD518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98. Вопрос НКО. Разрешение полетов на самолетах И-16, И-153*.</w:t>
      </w:r>
    </w:p>
    <w:p w14:paraId="201E9B1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06.12.40 г.</w:t>
      </w:r>
    </w:p>
    <w:p w14:paraId="5130876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135. О порядке испытаний серийных авиационных моторов на заводах НКАП*.</w:t>
      </w:r>
    </w:p>
    <w:p w14:paraId="4DC7C0F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137. О программе выпуска авиационных винтов в 1941 г. (постановление СНК СССР и</w:t>
      </w:r>
    </w:p>
    <w:p w14:paraId="03431E0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ЦК ВКП (б))*.</w:t>
      </w:r>
    </w:p>
    <w:p w14:paraId="40E29E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138. О программе выпуска авиационного вооружения в 1941 г. (постановление СНК СССР</w:t>
      </w:r>
    </w:p>
    <w:p w14:paraId="50D6071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ЦК ВКП (б))*.</w:t>
      </w:r>
    </w:p>
    <w:p w14:paraId="3DDB71F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141. О программе завода № 26 на 1941 г. (постановление СНК СССР и ЦК ВКП (б))*.</w:t>
      </w:r>
    </w:p>
    <w:p w14:paraId="26B11FA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142. О программе выпуска самолетов и авиамоторов в 1941 году*.</w:t>
      </w:r>
    </w:p>
    <w:p w14:paraId="7417FF3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143. О боеприпасах для авиационных пушек (постановление СНК СССР и ЦК ВКП (б))*.</w:t>
      </w:r>
    </w:p>
    <w:p w14:paraId="57A7C27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10.12.40 г.</w:t>
      </w:r>
    </w:p>
    <w:p w14:paraId="59DD350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174. О проектировании и постройке опытного образца бронированных аэросаней*.</w:t>
      </w:r>
    </w:p>
    <w:p w14:paraId="16479AB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12.12.40 г.</w:t>
      </w:r>
    </w:p>
    <w:p w14:paraId="54083F0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 196. О прекращении работ по изготовлению корпусов танка «KB» из двухслойной брони*.</w:t>
      </w:r>
    </w:p>
    <w:p w14:paraId="5B666E0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13.12.40 г.</w:t>
      </w:r>
    </w:p>
    <w:p w14:paraId="039883E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205. Об изменениях в выпуске типов моторов по заводам №№ 384 и 19 (постановление СНК СССР и ЦК ВКП (б))* (11773).</w:t>
      </w:r>
    </w:p>
    <w:p w14:paraId="0D09CC1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4BE7D3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 вышел приказ НКАП N 731сс о быстрейшем выполнении правительственного задания по выпуску М-105 на заводе 384 (1294,191).</w:t>
      </w:r>
    </w:p>
    <w:p w14:paraId="17A39EE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9B14FEF"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13 декабря 1940 – протокол Политбюро </w:t>
      </w:r>
    </w:p>
    <w:p w14:paraId="02546263"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13.XII.40 г</w:t>
      </w:r>
    </w:p>
    <w:p w14:paraId="7A4F2C47"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205. Об изменениях в выпуске типов моторов по заводам № 384 и 19 (постановление СНК СССР и ЦК ВКП(б)). — ОП.</w:t>
      </w:r>
    </w:p>
    <w:p w14:paraId="4A62A877"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206. Вопрос завода № 26 НКАП (постановление СНК СССР и ЦК ВКП(б)). — ОП.</w:t>
      </w:r>
    </w:p>
    <w:p w14:paraId="45E5B3C6"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207. Вопросы Наркомата авиационной промышленности (постановление СНК СССР и ЦК ВКП(б)) (20408).</w:t>
      </w:r>
    </w:p>
    <w:p w14:paraId="182E84E7" w14:textId="77777777" w:rsidR="009E6104" w:rsidRPr="00A3026E" w:rsidRDefault="009E6104" w:rsidP="00A3026E">
      <w:pPr>
        <w:spacing w:after="0" w:line="240" w:lineRule="auto"/>
        <w:jc w:val="both"/>
        <w:rPr>
          <w:rFonts w:ascii="Times New Roman" w:hAnsi="Times New Roman"/>
          <w:color w:val="0070C0"/>
          <w:sz w:val="16"/>
          <w:szCs w:val="16"/>
        </w:rPr>
      </w:pPr>
    </w:p>
    <w:p w14:paraId="7B13C5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 года начальник ЦХП в/инженер 1 ранга Кобяков утвердил:</w:t>
      </w:r>
    </w:p>
    <w:p w14:paraId="409756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испытанию опытной партии ХАБ-100, снаряженных желтым фосфором</w:t>
      </w:r>
    </w:p>
    <w:p w14:paraId="08DF87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 начата 6 августа 1940 года</w:t>
      </w:r>
    </w:p>
    <w:p w14:paraId="02579F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 окончена 14 октября 1940 года</w:t>
      </w:r>
    </w:p>
    <w:p w14:paraId="768505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683BB7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боевой эффект ХАБ-100, снаряженных фосфором для постановки наземных дымзавес и ослепления огневых точек противника.</w:t>
      </w:r>
    </w:p>
    <w:p w14:paraId="560CE4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47A9F2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Рекомендовать на войсковые испытания ХАБ-100, в снаряжении желтым фосфором для постановки дымзавес в летних и осенних условиях, а в зимних условиях провести дополнительные полигонные испытания (7846).</w:t>
      </w:r>
    </w:p>
    <w:p w14:paraId="5DD892C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8830C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 А.И.Ш. писал письмо № 6377 Зам. Пред. СНК Вознесенскому:</w:t>
      </w:r>
    </w:p>
    <w:p w14:paraId="36860C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287 – г. Владимир – начать стр-вом в 1940 для изготовления детьалей авиаприборов литьем под давлением из пластмасс, а также электронного литья (1175, 91).</w:t>
      </w:r>
    </w:p>
    <w:p w14:paraId="4FA198F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5775F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 г. в НИП АВ ВВС проводились контрольные испытания турели МВ-3 з-да N 32 с новой конструкцией запирания откидной части экрана (2970).</w:t>
      </w:r>
    </w:p>
    <w:p w14:paraId="4F93DA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762F19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2 ранга Успенский.</w:t>
      </w:r>
    </w:p>
    <w:p w14:paraId="07E6D4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3D60FF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максимальных скоростях самолета СБ проверить надежность новой конструкции запирания откидной части экрана турели МВ-3.</w:t>
      </w:r>
    </w:p>
    <w:p w14:paraId="4D315F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7A18BF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Предъявленная на контрольные испытания новая конструкция запирания откидной части экрана турели МВ-3, испытания не выдержала (2970).</w:t>
      </w:r>
    </w:p>
    <w:p w14:paraId="226C184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7ECA6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 А.С.Я. докладывал на Коллегии НКАП о поездке в Германию (618,38).</w:t>
      </w:r>
    </w:p>
    <w:p w14:paraId="3CAA178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455B71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1941 Зав. Секретариатом КО СНК СССР писал записку в НКО тов. Тимошенко С.К.:</w:t>
      </w:r>
    </w:p>
    <w:p w14:paraId="475CC7E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Посылаю записку т. Шпитального со следующей резолюцией тов. Молотова: “т.т. Тимошенко, Ворошилову. Прошу разобраться. т. Шахурину, т. Ванникову" (4156,45).</w:t>
      </w:r>
    </w:p>
    <w:p w14:paraId="4D6E337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декабря 1940 Нач. ОКБ-15 НКВ - Шпитальный писал письмо № 1270сс (вход. № 24752 щт 12 декабря 1940) ПРЕДСЕДАТЕЛЮ СОВЕТА НАРОДНЫХ КОМИССАРОВ СОЮЗА ССР тов. МОЛОТОВУ В.М.</w:t>
      </w:r>
    </w:p>
    <w:p w14:paraId="17B89B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ОКБ-15 закончило изготовлением мотор-пушку калибра 37 мм установленную в штатном моторе “М-105".</w:t>
      </w:r>
    </w:p>
    <w:p w14:paraId="2037CCC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 мотор-пушка была построена благодаря помощи, оказанной нам в связи с письмом на Ваше имя от 13-го апреля 1940 г. за № 410сс.</w:t>
      </w:r>
    </w:p>
    <w:p w14:paraId="17B6CA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Получив разрешение на постройку 37 мм. мотор-пушки, ОКБ-15 сейчас же поставило вопрос о постройке нового или приспособления существущего самолета под 37 мм. мотор-пушку.</w:t>
      </w:r>
    </w:p>
    <w:p w14:paraId="5A7DA8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наши, как устные, так и письменные обращения в УВВС и лично к тов.РЫЧАГОВУ не дали практического результата.</w:t>
      </w:r>
    </w:p>
    <w:p w14:paraId="21A4CDE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помогло и постановление Правительства по этому вопросу от 4.1.1940 г. за № 1882-779сс.</w:t>
      </w:r>
    </w:p>
    <w:p w14:paraId="4A7B957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РЫЧАГОВ полностью поддерживает точку зрения работников 8-го Управления ВВС, считающих 37 мм. мотор-пушку невыполнимой затеей.</w:t>
      </w:r>
    </w:p>
    <w:p w14:paraId="0222F1A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завода № 51 тов. ПОЛИКАРПОВ Н.Н., к которому мы обра</w:t>
      </w:r>
      <w:r w:rsidRPr="00A3026E">
        <w:rPr>
          <w:rFonts w:ascii="Times New Roman" w:hAnsi="Times New Roman"/>
          <w:color w:val="000000" w:themeColor="text1"/>
          <w:sz w:val="16"/>
          <w:szCs w:val="16"/>
        </w:rPr>
        <w:softHyphen/>
        <w:t>тились с просьбой о постройке самолета - сделал технический проект истребителя под 37 мм. мотор-пушку.</w:t>
      </w:r>
    </w:p>
    <w:p w14:paraId="119E005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Постройка этого истребителя задерживается, так как этот истре</w:t>
      </w:r>
      <w:r w:rsidRPr="00A3026E">
        <w:rPr>
          <w:rFonts w:ascii="Times New Roman" w:hAnsi="Times New Roman"/>
          <w:color w:val="000000" w:themeColor="text1"/>
          <w:sz w:val="16"/>
          <w:szCs w:val="16"/>
        </w:rPr>
        <w:softHyphen/>
        <w:t>битель ПЛАНОМ УВВС НЕ ПРЕДУСМОТРЕН и тов.РЫЧАГОВ не отпускает необходимых средств.</w:t>
      </w:r>
    </w:p>
    <w:p w14:paraId="7580E8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тем, пока УВВС занимается отписками и зажимом изобрете</w:t>
      </w:r>
      <w:r w:rsidRPr="00A3026E">
        <w:rPr>
          <w:rFonts w:ascii="Times New Roman" w:hAnsi="Times New Roman"/>
          <w:color w:val="000000" w:themeColor="text1"/>
          <w:sz w:val="16"/>
          <w:szCs w:val="16"/>
        </w:rPr>
        <w:softHyphen/>
        <w:t>ния ОКБ-15, за границей в США самолет "Эйракобра", вооруженный 37 мм. автоматической пушкой стреляющей через втулку винта - пе</w:t>
      </w:r>
      <w:r w:rsidRPr="00A3026E">
        <w:rPr>
          <w:rFonts w:ascii="Times New Roman" w:hAnsi="Times New Roman"/>
          <w:color w:val="000000" w:themeColor="text1"/>
          <w:sz w:val="16"/>
          <w:szCs w:val="16"/>
        </w:rPr>
        <w:softHyphen/>
        <w:t>решел уже из стадии опытного образца в серийное производство, о чем и свидетельствует прилагаемое при сем фото с вырезки из га</w:t>
      </w:r>
      <w:r w:rsidRPr="00A3026E">
        <w:rPr>
          <w:rFonts w:ascii="Times New Roman" w:hAnsi="Times New Roman"/>
          <w:color w:val="000000" w:themeColor="text1"/>
          <w:sz w:val="16"/>
          <w:szCs w:val="16"/>
        </w:rPr>
        <w:softHyphen/>
        <w:t>зеты "Правда".</w:t>
      </w:r>
    </w:p>
    <w:p w14:paraId="6D6152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Исчерпав, таким образом, все возможности добиться разрешения на постройку истребителя тов. ПОЛИКАРПОВА Н.Н. и испытания на этом самолете отечественной 37 мм. мотор-пушки, ОКБ-15 просит Вашей помощи в разрешении данного вопроса.</w:t>
      </w:r>
    </w:p>
    <w:p w14:paraId="49AC74D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Виза Вороршилова: Необходимо выяснить всю “историю” с этой пушкой, а также причины торможения ее изготовления” (4156,3).</w:t>
      </w:r>
    </w:p>
    <w:p w14:paraId="780BEB9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ПРАВДА</w:t>
      </w:r>
    </w:p>
    <w:p w14:paraId="7C591D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ДЕКАБРЯ 1940 г., № 334 (8380)</w:t>
      </w:r>
    </w:p>
    <w:p w14:paraId="01BE390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НЬЮ-ЙОРК, 1 декабря. (ТАСС). По со</w:t>
      </w:r>
      <w:r w:rsidRPr="00A3026E">
        <w:rPr>
          <w:rFonts w:ascii="Times New Roman" w:hAnsi="Times New Roman"/>
          <w:color w:val="000000" w:themeColor="text1"/>
          <w:sz w:val="16"/>
          <w:szCs w:val="16"/>
        </w:rPr>
        <w:softHyphen/>
        <w:t>общению агентства Ассошиэйтед Пресс, военное министерство об'явило о поставке первого пятиместнного истребителя нового типа, вооруженного двумя 37-миллиметровыни пушками и пулеметами крупного и нормального калибра. Этотсамолет имеет убирающееся 3-колесное шасси. В осталь</w:t>
      </w:r>
      <w:r w:rsidRPr="00A3026E">
        <w:rPr>
          <w:rFonts w:ascii="Times New Roman" w:hAnsi="Times New Roman"/>
          <w:color w:val="000000" w:themeColor="text1"/>
          <w:sz w:val="16"/>
          <w:szCs w:val="16"/>
        </w:rPr>
        <w:softHyphen/>
        <w:t>ном машина аналогична истребителям, вы</w:t>
      </w:r>
      <w:r w:rsidRPr="00A3026E">
        <w:rPr>
          <w:rFonts w:ascii="Times New Roman" w:hAnsi="Times New Roman"/>
          <w:color w:val="000000" w:themeColor="text1"/>
          <w:sz w:val="16"/>
          <w:szCs w:val="16"/>
        </w:rPr>
        <w:softHyphen/>
        <w:t>пущенным в 1937 г. Два мотора жидтсостного охлаждения типа Аллисон с толкаю</w:t>
      </w:r>
      <w:r w:rsidRPr="00A3026E">
        <w:rPr>
          <w:rFonts w:ascii="Times New Roman" w:hAnsi="Times New Roman"/>
          <w:color w:val="000000" w:themeColor="text1"/>
          <w:sz w:val="16"/>
          <w:szCs w:val="16"/>
        </w:rPr>
        <w:softHyphen/>
        <w:t>щими винтами усталовлены в крыльях.</w:t>
      </w:r>
    </w:p>
    <w:p w14:paraId="799D84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Фирма «Белл эйркрафт коошен” раз</w:t>
      </w:r>
      <w:r w:rsidRPr="00A3026E">
        <w:rPr>
          <w:rFonts w:ascii="Times New Roman" w:hAnsi="Times New Roman"/>
          <w:color w:val="000000" w:themeColor="text1"/>
          <w:sz w:val="16"/>
          <w:szCs w:val="16"/>
        </w:rPr>
        <w:softHyphen/>
        <w:t>рабатывает новый вариант многоместного истребителя УФМ 1-А «Эракуда».</w:t>
      </w:r>
    </w:p>
    <w:p w14:paraId="2AF6B15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сообщению вашингтонского корреспондента агентства Асоошиэйтед Пресс, командование американской армии об'яви</w:t>
      </w:r>
      <w:r w:rsidRPr="00A3026E">
        <w:rPr>
          <w:rFonts w:ascii="Times New Roman" w:hAnsi="Times New Roman"/>
          <w:color w:val="000000" w:themeColor="text1"/>
          <w:sz w:val="16"/>
          <w:szCs w:val="16"/>
        </w:rPr>
        <w:softHyphen/>
        <w:t>ло об испытаниях одноместного одномотор</w:t>
      </w:r>
      <w:r w:rsidRPr="00A3026E">
        <w:rPr>
          <w:rFonts w:ascii="Times New Roman" w:hAnsi="Times New Roman"/>
          <w:color w:val="000000" w:themeColor="text1"/>
          <w:sz w:val="16"/>
          <w:szCs w:val="16"/>
        </w:rPr>
        <w:softHyphen/>
        <w:t>ного истребителя «Эйракобра». Опыты показали, что новая 37-мм. пушка этого истребителя, стреляющая через втулку винта, дает большую точность огня на дальние дастанции.</w:t>
      </w:r>
    </w:p>
    <w:p w14:paraId="54FF44A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Американская армия заказала около 100 истребителей типа “Эйркобра” (4156,47).</w:t>
      </w:r>
    </w:p>
    <w:p w14:paraId="5FF8BA6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6413695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13-го декабря 1940 в ГИИ ВВС начались госиспытания Мессершмитт-109 на втулке немецкого винта VDM которого были установлены лопасти винта ВИШ-61П. До 16-го декабря про</w:t>
      </w:r>
      <w:r w:rsidRPr="00A3026E">
        <w:rPr>
          <w:rFonts w:ascii="Times New Roman" w:hAnsi="Times New Roman"/>
          <w:color w:val="000000" w:themeColor="text1"/>
          <w:sz w:val="16"/>
          <w:szCs w:val="16"/>
        </w:rPr>
        <w:softHyphen/>
        <w:t>ведено 4 полета (сняты скорости у земли на километровой базе, скоропдъемность до 3000 м и скорости по высотам 5000, 4000, 3000 и 2000 метров/. При наличии летной погоды, до 20 декабря с.г. испы</w:t>
      </w:r>
      <w:r w:rsidRPr="00A3026E">
        <w:rPr>
          <w:rFonts w:ascii="Times New Roman" w:hAnsi="Times New Roman"/>
          <w:color w:val="000000" w:themeColor="text1"/>
          <w:sz w:val="16"/>
          <w:szCs w:val="16"/>
        </w:rPr>
        <w:softHyphen/>
        <w:t>тания будут закончены (9820,68).</w:t>
      </w:r>
    </w:p>
    <w:p w14:paraId="57BE093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3074B3E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 г в Ногинске лопасти винта ВИШ-22 были установлены на втулке винта VDM и 16-го декабря самолет Дорнье-15 передан в НИИ ВВС Красной Армии и взвешен. 17-го декабря приступлено к летным испытаниям винтов с лопастями ВИШ-22 (9820,68).</w:t>
      </w:r>
    </w:p>
    <w:p w14:paraId="0825DFB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30031CB5"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2712752"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49FE26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 года начальник 1-го отделения 3-го отдела бронетанкового управления ГАБТУ КА подполковник И. Панов (он курировал работы по Т-34 от автобронетанкового управления) направил на имя генерал-лейтенанта Федоренко следующее письмо:</w:t>
      </w:r>
    </w:p>
    <w:p w14:paraId="3627CC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КО № 428 предусматривает расширение башни танка Т-34 без расширения погона. Эта модернизация не дает полной эффективности улучшения боевых качеств танка. Уширение баш- вв в верхней ее части даст некоторое улучшение в размещении экипажа в походном положении (удобнее будет сидетъ). При стрельбе же положение не улучшится, так как не изменяя погона остается узкое пространство между гильзоулавливателем и погоном, которое и будет стеснять работу расчета при стрельбе (особенно заряжающего). При установке пушки Ф-34 еще больше затрудняется работа экипажа, так как гильзоулавли- ватель своей тыльной частью почти касается погона. Что не дает возможности произвести замену орудийного расчета не опуская гильзоулавливате- ля и разместить пятого члена экипажа - командира с установленной ему командирской башенкой.</w:t>
      </w:r>
    </w:p>
    <w:p w14:paraId="2FE503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Преследуемая цель расширением башни без расширения погона обеспечить более легкий переход производства на самом деле это не дает правильного и нужного решения...</w:t>
      </w:r>
    </w:p>
    <w:p w14:paraId="7FB9F9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Существующая башня танка Т-34 тесна, мало удобна, имеет слабую видимость, но последние испытания войскового пробега с троекратной боевой стрельбой еще раз подтвердили, что вести прицельный огонь из танка можно. Интенсивность достигает 2-3 выстрела в минуту.</w:t>
      </w:r>
    </w:p>
    <w:p w14:paraId="1CA862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Имеется ли возможность расширить погон башни танка Т-34? Да. имеется. По предварительным прикидкам можно погон башни расширить примерно на 200 мм. Возможно ли это расширение с точки зрения производства? Возможно, так как для Мариупольского завода это расширение не имеет никакого значения. а завод № 183 имеет станочное оборудование для производств расширенного погона.</w:t>
      </w:r>
    </w:p>
    <w:p w14:paraId="02C4A5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Расширение башни и попав на 200 мм даст возможность удобного размещения орудийного рапса и обеспечить требование правительства - дать 6 прицельных выстрелов на ходу танка. Позволит разместить 5-го члена экипажа (командира танка - части), разгруженного для ведения наблюдения за полем боя и руководства танком - соединением, что значительно повысит боевые качества танка...</w:t>
      </w:r>
    </w:p>
    <w:p w14:paraId="4D1CFA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КО № 428 не предусматривает в 1941 г. постановки на танк Т-34 торсионной подвески, можно полагать по причине трудности изготовления торсионных валов для завода № 183.</w:t>
      </w:r>
    </w:p>
    <w:p w14:paraId="6BBE8A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выяснению мною на заводе № 183 установил, что имеющееся станочное оборудование позволяет производить обработку торсионных валов. Проект торсионной подвески заводом разработан с использованием существующих катков и балансиров.</w:t>
      </w:r>
    </w:p>
    <w:p w14:paraId="07D9D5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Какие дает преимущества торсионная подвеска по предварительным подсчетам?</w:t>
      </w:r>
    </w:p>
    <w:p w14:paraId="4AD6D5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rPr>
        <w:tab/>
        <w:t>Увеличивается объем боевого отделения танка на 20%, что дает возможность увеличить боекомплект, который и выдвинут нами в проекте Постановления с учетом постановки торсионной подвески.</w:t>
      </w:r>
    </w:p>
    <w:p w14:paraId="2EB988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Увеличенный объем боевого отделения дает возможность более удобно разместить экипаж и облегчить его работу в боевых условиях.</w:t>
      </w:r>
    </w:p>
    <w:p w14:paraId="1EC407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Увеличивается запас топлива до 750 лит. Вместо 465 л, что увеличивает, радиус действия танка на 60100 км, а топливные баки из боевого отделения переносятся в трансмиссионное.</w:t>
      </w:r>
    </w:p>
    <w:p w14:paraId="6162D6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w:t>
      </w:r>
      <w:r w:rsidRPr="00A3026E">
        <w:rPr>
          <w:rFonts w:ascii="Times New Roman" w:hAnsi="Times New Roman"/>
          <w:color w:val="000000" w:themeColor="text1"/>
          <w:sz w:val="16"/>
          <w:szCs w:val="16"/>
        </w:rPr>
        <w:tab/>
        <w:t>Уменьшается вес самой подвески на 300-400 кг.</w:t>
      </w:r>
    </w:p>
    <w:p w14:paraId="27BEBB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w:t>
      </w:r>
      <w:r w:rsidRPr="00A3026E">
        <w:rPr>
          <w:rFonts w:ascii="Times New Roman" w:hAnsi="Times New Roman"/>
          <w:color w:val="000000" w:themeColor="text1"/>
          <w:sz w:val="16"/>
          <w:szCs w:val="16"/>
        </w:rPr>
        <w:tab/>
        <w:t>Облегчается монтаж и демонтаж.</w:t>
      </w:r>
    </w:p>
    <w:p w14:paraId="5B21CC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w:t>
      </w:r>
      <w:r w:rsidRPr="00A3026E">
        <w:rPr>
          <w:rFonts w:ascii="Times New Roman" w:hAnsi="Times New Roman"/>
          <w:color w:val="000000" w:themeColor="text1"/>
          <w:sz w:val="16"/>
          <w:szCs w:val="16"/>
        </w:rPr>
        <w:tab/>
        <w:t>Ликвидируются вырезы в бортах танка для хода балансиров.</w:t>
      </w:r>
    </w:p>
    <w:p w14:paraId="3AB142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установки торсионной подвески и связанной с ней перекомпановки нельзя значительно снизить вес танка.</w:t>
      </w:r>
    </w:p>
    <w:p w14:paraId="3D57873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мотора В-2-К без предварительной проверки трансмиссии нежелательна, так как коробка перемены передач была рассчитана на вес танка в 18 тн. при мощности мотора 500 л.с. с Мкр=240 кг/м и числе оборотов 1800 об/мин.</w:t>
      </w:r>
    </w:p>
    <w:p w14:paraId="61EB34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В-2-К имеет мощность 600 л.с. Мкр=265 кг/мин, макс.число оборотов 2100 об/мин, а вес танка колеблется в пределах 27 тн, увеличение же всех остальных параметров мажет вызвать усиленный износ деталей КПП и преждевременный выход ее из строя.</w:t>
      </w:r>
    </w:p>
    <w:p w14:paraId="175584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 В дополнение к постановлению КО № 428, считаю необходимым просить выйти с ходатайством в КО об изготовлении к 1.4.41 г. заводом № 183 НКСМ двухусовершенс- вованных образцов Т-34, в которые должно войти:</w:t>
      </w:r>
    </w:p>
    <w:p w14:paraId="46D933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rPr>
        <w:tab/>
        <w:t>Расширение башни и погона с поставкой на ней командирской башенки с круговым обзором.</w:t>
      </w:r>
    </w:p>
    <w:p w14:paraId="159A2A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Установить торсионную подвеску</w:t>
      </w:r>
    </w:p>
    <w:p w14:paraId="565822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Увеличить боекомплект.</w:t>
      </w:r>
    </w:p>
    <w:p w14:paraId="0E3822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w:t>
      </w:r>
      <w:r w:rsidRPr="00A3026E">
        <w:rPr>
          <w:rFonts w:ascii="Times New Roman" w:hAnsi="Times New Roman"/>
          <w:color w:val="000000" w:themeColor="text1"/>
          <w:sz w:val="16"/>
          <w:szCs w:val="16"/>
        </w:rPr>
        <w:tab/>
        <w:t>Усилить трансмиссию танка.</w:t>
      </w:r>
    </w:p>
    <w:p w14:paraId="1AA233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w:t>
      </w:r>
      <w:r w:rsidRPr="00A3026E">
        <w:rPr>
          <w:rFonts w:ascii="Times New Roman" w:hAnsi="Times New Roman"/>
          <w:color w:val="000000" w:themeColor="text1"/>
          <w:sz w:val="16"/>
          <w:szCs w:val="16"/>
        </w:rPr>
        <w:tab/>
        <w:t>Увеличить максимальную скорость танка до 70 км/ч.</w:t>
      </w:r>
    </w:p>
    <w:p w14:paraId="5BAAF4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Максимально улучшить рабочие места экипажа, обеспечив им удобное размещение, хорошее наблюдение.</w:t>
      </w:r>
    </w:p>
    <w:p w14:paraId="486649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период апрель - май провести испытания.</w:t>
      </w:r>
    </w:p>
    <w:p w14:paraId="1730B7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Июнь месяц — на доработки по результатам испытаний.</w:t>
      </w:r>
    </w:p>
    <w:p w14:paraId="42F55A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Июль месяц - вторичное испытание образцов с доработками.</w:t>
      </w:r>
    </w:p>
    <w:p w14:paraId="599B8D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Август и сентябрь месяцы на отработку технологичного процесса. В октябре начать серийный выпуск усовершенствованного Т-34.</w:t>
      </w:r>
    </w:p>
    <w:p w14:paraId="3F9D8D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даст возможность без спешки ввести все изменения по усовершенствованию, проверить испытаниями и планово безболезненно перейти к производству на выпуск еще более высококачественной машины.</w:t>
      </w:r>
    </w:p>
    <w:p w14:paraId="1A5504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183 на выполнение указанной работы идет охотно и считает такие мероприятия по усовершенствованию танка совершенно правильными. Выпуск серийных танков Т-34 производить с существующей башней, не меняя как-то половинчато и подвеску, сохранив взаимозаменяемость внутреннего оборудования, сосредоточив внимание на максимальном выпуске танков.</w:t>
      </w:r>
    </w:p>
    <w:p w14:paraId="4A90055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завод № 183 НКСМ доработать только вопросы во исполнения Постановления № 428 по:</w:t>
      </w:r>
    </w:p>
    <w:p w14:paraId="122A37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rPr>
        <w:tab/>
        <w:t>главн. фрикциону.</w:t>
      </w:r>
    </w:p>
    <w:p w14:paraId="789449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вентилятору.</w:t>
      </w:r>
    </w:p>
    <w:p w14:paraId="6BD12F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гусенице.</w:t>
      </w:r>
    </w:p>
    <w:p w14:paraId="531B83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w:t>
      </w:r>
      <w:r w:rsidRPr="00A3026E">
        <w:rPr>
          <w:rFonts w:ascii="Times New Roman" w:hAnsi="Times New Roman"/>
          <w:color w:val="000000" w:themeColor="text1"/>
          <w:sz w:val="16"/>
          <w:szCs w:val="16"/>
        </w:rPr>
        <w:tab/>
        <w:t>обзорности.</w:t>
      </w:r>
    </w:p>
    <w:p w14:paraId="619C48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w:t>
      </w:r>
      <w:r w:rsidRPr="00A3026E">
        <w:rPr>
          <w:rFonts w:ascii="Times New Roman" w:hAnsi="Times New Roman"/>
          <w:color w:val="000000" w:themeColor="text1"/>
          <w:sz w:val="16"/>
          <w:szCs w:val="16"/>
        </w:rPr>
        <w:tab/>
        <w:t>укладке снарядов».</w:t>
      </w:r>
    </w:p>
    <w:p w14:paraId="43957D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видно из приведенного документа, предложения подполковника Панова были очень разумными, позволявшими в перспективе дать на вооружение Красной Армии мощную боевую машину, превосходящую имевшийся на тот момент Т-34. Естественно, такая инициатива получила поддержку у начальника ГАБТУ КА Я.Федоренко, который направил соответствующие предложения в наркомат среднего машиностроения, на завод № 183, а также в Комитет Обороны (12217).</w:t>
      </w:r>
    </w:p>
    <w:p w14:paraId="590D1F3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772DE8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 года прибывший на завод №183 инженер ГАБТУ КА подполковник И.Г. Панов и детально ознакомившийся с возможностями станочного оборудования сделал доклад, согласно которому на заводе №183 имелось необходимое станочное оборудование для изготовления погонов диаметром 1600 мм. При этом установка мотора В-2К, наоборот, считалась крайне нежелательной. Дело в том, что существовавшая коробка передач была рассчитана на менее мощный мотор и в расчёте на менее тяжёлые танки </w:t>
      </w:r>
      <w:hyperlink r:id="rId154" w:history="1">
        <w:r w:rsidRPr="00A3026E">
          <w:rPr>
            <w:rStyle w:val="a5"/>
            <w:rFonts w:ascii="Times New Roman" w:hAnsi="Times New Roman"/>
            <w:color w:val="000000" w:themeColor="text1"/>
            <w:sz w:val="16"/>
            <w:szCs w:val="16"/>
          </w:rPr>
          <w:t>А-20 и А-32</w:t>
        </w:r>
      </w:hyperlink>
      <w:r w:rsidRPr="00A3026E">
        <w:rPr>
          <w:rFonts w:ascii="Times New Roman" w:hAnsi="Times New Roman"/>
          <w:color w:val="000000" w:themeColor="text1"/>
          <w:sz w:val="16"/>
          <w:szCs w:val="16"/>
        </w:rPr>
        <w:t>. Кроме того, в ГАБТУ КА считали крайне важным мероприятием переход на торсионную подвеску. Помимо того, что ещё на БТ наблюдались значительные продольные колебания, свечная подвеска имела ряд других недостатков – например, большой объём, занимаемый подвеской внутри боевого отделения и наличие вырезов под балансиры в бортах корпуса. По расчётам, переход на торсионную подвеску позволил бы увеличить внутренний объём боевого отделения на 20%, снизить массу машины на 300-400 кг, увеличить запас топлива с 465 до 750 л, а также повысить прочность нижних бортовых листов. Кроме того, торсионная подвеска имела преимущество с точки зрения её обслуживания. Дополнительным козырем являлось то, что производственная база завода №183 позволяла изготовлять торсионы, к тому же торсионная подвеска отнюдь не являлась чем-то новым. КВ и Т-40, принятые в тот же день, что и Т-34, имели именно такую подвеску. Создававшийся в то же время Т-50 также проектировался с торсионной подвеской (18281).</w:t>
      </w:r>
    </w:p>
    <w:p w14:paraId="3CCF3283" w14:textId="77777777" w:rsidR="004B7EF4" w:rsidRPr="00A3026E" w:rsidRDefault="004B7EF4" w:rsidP="00A3026E">
      <w:pPr>
        <w:spacing w:after="0" w:line="240" w:lineRule="auto"/>
        <w:jc w:val="both"/>
        <w:rPr>
          <w:rFonts w:ascii="Times New Roman" w:hAnsi="Times New Roman"/>
          <w:color w:val="000000" w:themeColor="text1"/>
          <w:sz w:val="16"/>
          <w:szCs w:val="16"/>
        </w:rPr>
      </w:pPr>
    </w:p>
    <w:p w14:paraId="73D1AD2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 г. после выяснения всех вопросов на заводе № 183 и возвращения в Москву И.Г. Панов направил начальнику ГАБТУ КА Я.Н. Федоренко подробный </w:t>
      </w:r>
      <w:hyperlink r:id="rId155" w:tgtFrame="_blank" w:history="1">
        <w:r w:rsidRPr="00A3026E">
          <w:rPr>
            <w:rStyle w:val="a5"/>
            <w:rFonts w:ascii="Times New Roman" w:hAnsi="Times New Roman"/>
            <w:color w:val="000000" w:themeColor="text1"/>
            <w:sz w:val="16"/>
            <w:szCs w:val="16"/>
          </w:rPr>
          <w:t>доклад</w:t>
        </w:r>
      </w:hyperlink>
      <w:r w:rsidRPr="00A3026E">
        <w:rPr>
          <w:rFonts w:ascii="Times New Roman" w:hAnsi="Times New Roman"/>
          <w:color w:val="000000" w:themeColor="text1"/>
          <w:sz w:val="16"/>
          <w:szCs w:val="16"/>
        </w:rPr>
        <w:t>, в заключительной части которого содержалась просьба о возбуждении ходатайства о пересмотре ряда положений Постановления № 428сс. Вызвано это было, прежде всего, тем, что указанные в Постановлении № 428сс тактико-технические характеристики модернизированного танка Т-34 не полностью соответствовали требованиям ГАБТУ КА. Ниже приведем выписки из доклада подполковника И.Г. Панова: </w:t>
      </w:r>
    </w:p>
    <w:p w14:paraId="4DEC515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КО № 428 предусматривает расширение башни танка Т-34 без расширения погона. Эта модернизация не дает полной эффективности улучшения боевых качеств танка. Уширение башни только в верхней ее части даст некоторое улучшение в размещении экипажа в походном положении (удобнее будет сидеть). При стрельбе же, положение не улучшится, так как, не изменяя погона, останется узкое пространство между гильзоулавливателем и погоном, которое и будет стеснять работу расчета при стрельбе (особенно заряжающего). При установке пушки Ф-34 еще больше затрудняется работа экипажа, так как гильзоулавливатель своей тыльной частью, почти касается погона, что не дает возможности произвести замену орудийного расчета не опуская гильзоулавливателя, и разместить пятого члена экипажа – командира с установленной ему командирской башенкой. </w:t>
      </w:r>
    </w:p>
    <w:p w14:paraId="7DF8410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Преследуется цель расширением башни без расширения погона обеспечить более легкий переход производства, на самом деле, это не дает правильного и нужного решения. </w:t>
      </w:r>
    </w:p>
    <w:p w14:paraId="37E48B8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Конструктора должны будут принять решения временного лечения, мало дающего с точки зрения боевого улучшения в башне, ломая производство башен в феврале, а затем еще раз через некоторый промежуток времени для перехода на требуемый жизнью вариант башни, т.е. для производства появится больше трудностей. </w:t>
      </w:r>
    </w:p>
    <w:p w14:paraId="55C8B06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Существующая башня танка Т-34 тесна, мало удобна, имеет слабую видимость, но последние испытания войскового пробега с троекратной боевой стрельбой еще раз подтвердили, что вести прицельный огонь из танка можно. Интенсивность достигает 2 – 3 выстрела в минуту. </w:t>
      </w:r>
    </w:p>
    <w:p w14:paraId="0F241F6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Имеется ли возможность расширить погон башни танка Т-34? Да, имеется. По предварительным прикидкам можно погон башни расширить примерно на 200 мм. Возможно ли это расширение с точки зрения производства? Возможно, так как для Мариупольского завода это расширение не имеет никакого значения, а завод № 183 имеет станочное оборудование для производства расширенного погона. </w:t>
      </w:r>
    </w:p>
    <w:p w14:paraId="77D5B74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Расширение башни и погона на 200 мм даст возможность удобного размещения орудийного расчета, и обеспечить требование правительства – дать 6 прицельных выстрелов на ходу танка. Позволит разместить 5-го члена экипажа (командира танка – части), разгруженного для ведения наблюдения за полем боя и руководства танком – соединением, что значительно повысит боевые качества танков. </w:t>
      </w:r>
    </w:p>
    <w:p w14:paraId="5CE4876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Увеличение боекомплекта без коренного изменения подвески танка приводит к значительным переделкам внутри танка. Меняется в корне топливная и масляная системы. Видоизменяется пружинная подвеска, перемещается в какой-то степени электропроводка, и все равно, полностью вопрос не решается. Все эти изменения должны войти на серию без предварительной проверки испытаниями. </w:t>
      </w:r>
    </w:p>
    <w:p w14:paraId="462BD3E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КО № 428 не предусматривает в 1941 г. постановки на танк Т-34 торсионной подвески, можно полагать по причине трудности изготовления торсионных валов для завода № 183. </w:t>
      </w:r>
    </w:p>
    <w:p w14:paraId="1A6E5D4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выяснению мною на заводе № 183 установил, что имеющееся станочное оборудование позволяет производить обработку торсионных валов. Проект торсионной подвески заводом разработан с использованием существующих катков и балансиров. Какие дает преимущества торсионная подвеска по предварительным подсчетам? </w:t>
      </w:r>
    </w:p>
    <w:p w14:paraId="16FD446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Увеличивается объем боевого отделения танка на 20 %, что дает возможность увеличить боекомплект, который и выдвинут нами в проекте Постановления с учетом постановки торсионной подвески. </w:t>
      </w:r>
    </w:p>
    <w:p w14:paraId="0D354A6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Увеличенный объем боевого отделения дает возможность более удобно разместить экипаж и облегчить его работу в боевых условиях. </w:t>
      </w:r>
    </w:p>
    <w:p w14:paraId="5074335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Увеличивается запас топлива до 750 литров вместо 465 л., что увеличивает радиус действия танка на 60 – 100 км., а топливные баки из боевого отделения переносятся в трансмиссионное. </w:t>
      </w:r>
    </w:p>
    <w:p w14:paraId="14E2C6A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Уменьшается вес самой подвески на 300 – 400 кг. </w:t>
      </w:r>
    </w:p>
    <w:p w14:paraId="5AECE9E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Облегчается монтаж и демонтаж. </w:t>
      </w:r>
    </w:p>
    <w:p w14:paraId="4DD579C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Ликвидируются вырезы в бортах танка для хода балансиров. </w:t>
      </w:r>
    </w:p>
    <w:p w14:paraId="11AE096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установки торсионной подвески и связанной с ней перекомпоновки нельзя значительно снизить вес танка. </w:t>
      </w:r>
    </w:p>
    <w:p w14:paraId="5CACB30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мотора В-2-К без предварительной проверки трансмиссии нежелательна, так как коробка перемены передач была рассчитана на вес танка в 18 тн. при мощности мотора в 500 л.с., с Мкр=240 кг/м и числе оборотов 1800 об/мин. Мотор В-2-К имеет мощность 600 л.с., Мкр=365 кг/м, максимальное число оборотов 2100 об/мин., а вес танка колеблется в пределах 27 тн., увеличение же всех указанных параметров может вызвать усиленный износ деталей КПП и преждевременный выход ее из строя. </w:t>
      </w:r>
    </w:p>
    <w:p w14:paraId="685BF25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 В дополнение к постановлению КО № 428, считаю необходимым просить войти с ходатайством в КО об изготовлении к 1.4.41 г. заводом № 183 НКСМ двух усовершенствованных образцов танка Т-34, в которые должно войти: </w:t>
      </w:r>
    </w:p>
    <w:p w14:paraId="2A6E0B8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Расширение башни и погона с постановкой на ней командирской башенки с круговым обзором. </w:t>
      </w:r>
    </w:p>
    <w:p w14:paraId="5ABC9B1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Установить торсионную подвеску. </w:t>
      </w:r>
    </w:p>
    <w:p w14:paraId="1096E74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Увеличить боекомплект. </w:t>
      </w:r>
    </w:p>
    <w:p w14:paraId="08323B9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Усилить трансмиссию танка. </w:t>
      </w:r>
    </w:p>
    <w:p w14:paraId="0A24282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Увеличить максимальную скорость танка до 70 км/час. </w:t>
      </w:r>
    </w:p>
    <w:p w14:paraId="2825516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Максимально улучшить рабочие места экипажа, обеспечив им удобное размещение, хорошее наблюдение. </w:t>
      </w:r>
    </w:p>
    <w:p w14:paraId="3AB0080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период Апрель – Май провести испытания. Июнь месяц – на доработки по результатам испытаний. Июль месяц – вторичное испытание образцов с доработками. Август и сентябрь месяцы на отработку технологического процесса. В Октябре начать серийный выпуск усовершенствованного танка Т-34. </w:t>
      </w:r>
    </w:p>
    <w:p w14:paraId="0E31A05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даст возможность без спешки ввести все изменения по усовершенствованию, проверить испытаниями и планово безболезненно перейти к производству на выпуск еще более высококачественной машины. </w:t>
      </w:r>
    </w:p>
    <w:p w14:paraId="20E0ACE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183 на выполнение указанной работы идет охотно и считает такие мероприятия по усовершенствованию танка совершенно правильными. </w:t>
      </w:r>
    </w:p>
    <w:p w14:paraId="6655F37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 серийных танков Т-34 производить с существующей башней, не меняя как-то половинчато и подвеску, сохранив взаимозаменяемость внутреннего оборудования, сосредоточив внимание на максимальный выпуск этих танков. Обязав завод № 183 и НКСМ доработать только вопросы во исполнение Постановления № 428 по: </w:t>
      </w:r>
    </w:p>
    <w:p w14:paraId="0A69ABA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главному фрикциону </w:t>
      </w:r>
    </w:p>
    <w:p w14:paraId="12EB82A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вентилятору </w:t>
      </w:r>
    </w:p>
    <w:p w14:paraId="6FFF4D9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гусенице </w:t>
      </w:r>
    </w:p>
    <w:p w14:paraId="3050009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обзорности </w:t>
      </w:r>
    </w:p>
    <w:p w14:paraId="08340C0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укладке снарядов. </w:t>
      </w:r>
    </w:p>
    <w:p w14:paraId="4FBF557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&lt;…&gt;</w:t>
      </w:r>
    </w:p>
    <w:p w14:paraId="7A3DC08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Докладывая о вышеизложенном, прошу возбудить ходатайство».</w:t>
      </w:r>
    </w:p>
    <w:p w14:paraId="2E0F7A7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41. Л. 15 – 18] (18306)</w:t>
      </w:r>
    </w:p>
    <w:p w14:paraId="22D92FDF" w14:textId="77777777" w:rsidR="004B7EF4" w:rsidRPr="00A3026E" w:rsidRDefault="004B7EF4" w:rsidP="00A3026E">
      <w:pPr>
        <w:spacing w:after="0" w:line="240" w:lineRule="auto"/>
        <w:jc w:val="both"/>
        <w:rPr>
          <w:rFonts w:ascii="Times New Roman" w:hAnsi="Times New Roman"/>
          <w:color w:val="000000" w:themeColor="text1"/>
          <w:sz w:val="16"/>
          <w:szCs w:val="16"/>
        </w:rPr>
      </w:pPr>
    </w:p>
    <w:p w14:paraId="010E4A4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w:t>
      </w:r>
    </w:p>
    <w:p w14:paraId="1C44CF4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ЦАМО Фонд 38 Опись 11355 Дело 41 Листы 15 – 18 </w:t>
      </w:r>
    </w:p>
    <w:p w14:paraId="16D09AD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 СЕКРЕТНО. </w:t>
      </w:r>
    </w:p>
    <w:p w14:paraId="5BD099A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1 </w:t>
      </w:r>
    </w:p>
    <w:p w14:paraId="6CA3B40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ГАБТУ КРАСНОЙ АРМИИ</w:t>
      </w:r>
    </w:p>
    <w:p w14:paraId="5F3E91F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ГЕНЕРАЛ-ЛЕЙТЕНАНТУ ТАНКОВЫХ ВОЙСК</w:t>
      </w:r>
    </w:p>
    <w:p w14:paraId="7E7187E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ФЕДОРЕНКО</w:t>
      </w:r>
    </w:p>
    <w:p w14:paraId="6478132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Постановление КО № 428 предусматривает расширение башни танка Т-34 без расширения погона. Эта модернизация не дает полной эффективности улучшения боевых качеств танка. Уширение башни только в верхней ее части даст некоторое улучшение в размещении экипажа в походном положении (удобнее будет сидеть). При стрельбе же, положение не улучшится, так как, не изменяя погона, останется узкое пространство между гильзоулавливателем и погоном, которое и будет стеснять работу расчета при стрельбе (особенно заряжающего). При установке пушки Ф-34 еще больше затрудняется работа экипажа, так как гильзоулавливатель своей тыльной частью, почти касается погона, что не дает возможности произвести замену орудийного расчета не опуская гильзоулавливателя, и разместить пятого члена экипажа – командира с установленной ему командирской башенкой. </w:t>
      </w:r>
    </w:p>
    <w:p w14:paraId="6D83451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Преследуется цель расширением башни без расширения погона обеспечить более легкий переход производства, на самом деле, это не дает правильного и нужного решения. </w:t>
      </w:r>
    </w:p>
    <w:p w14:paraId="5FFE443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Конструктора должны будут принять решения временного лечения, мало дающего с точки зрения боевого улучшения в башне, ломая производство башен в феврале, а затем еще раз через некоторый промежуток времени для перехода на требуемый жизнью вариант башни, т.е. для производства появится больше трудностей. </w:t>
      </w:r>
    </w:p>
    <w:p w14:paraId="388CE40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Существующая башня танка Т-34 тесна, мало удобна, имеет слабую видимость, но последние испытания войскового пробега с троекратной боевой стрельбой еще раз подтвердили, что вести прицельный огонь из танка можно. Интенсивность достигает 2 – 3 выстрела в минуту. </w:t>
      </w:r>
    </w:p>
    <w:p w14:paraId="1015A54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Имеется ли возможность расширить погон башни танка Т-34? Да, имеется. По предварительным прикидкам можно погон башни расширить примерно на 200 мм. Возможно ли это расширение с точки зрения производства? Возможно, так как для Мариупольского завода это расширение не имеет никакого значения, а завод № 183 имеет станочное оборудование для производства расширенного погона. </w:t>
      </w:r>
    </w:p>
    <w:p w14:paraId="29729DD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Расширение башни и погона на 200 мм даст возможность удобного размещения орудийного расчета, и обеспечить требование правительства – дать 6 прицельных выстрелов на ходу танка. Позволит разместить 5-го члена экипажа (командира танка – части), разгруженного для ведения наблюдения за полем боя и руководства танком – соединением, что значительно повысит боевые качества танков. </w:t>
      </w:r>
    </w:p>
    <w:p w14:paraId="2D1DFD0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Увеличение боекомплекта без коренного изменения подвески танка приводит к значительным переделкам внутри танка. Меняется в корне топливная и масляная системы. Видоизменяется пружинная подвеска, перемещается в какой-то степени электропроводка, и все равно, полностью вопрос не решается. Все эти изменения должны войти на серию без предварительной проверки испытаниями. </w:t>
      </w:r>
    </w:p>
    <w:p w14:paraId="72819B2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Постановление КО № 428 не предусматривает в 1941 г. постановки на танк Т-34 торсионной подвески, можно полагать по причине трудности изготовления торсионных валов для завода № 183. </w:t>
      </w:r>
    </w:p>
    <w:p w14:paraId="712B548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выяснению мною на заводе № 183 установил, что имеющееся станочное оборудование позволяет производить обработку торсионных валов. Проект торсионной подвески заводом разработан с использованием существующих катков и балансиров. Какие дает преимущества торсионная подвеска по предварительным подсчетам? </w:t>
      </w:r>
    </w:p>
    <w:p w14:paraId="2655D19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Увеличивается объем боевого отделения танка на 20%, что дает возможность увеличить боекомплект, который и выдвинут нами в проекте Постановления с учетом постановки торсионной подвески. </w:t>
      </w:r>
    </w:p>
    <w:p w14:paraId="4555BFD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Увеличенный объем боевого отделения дает возможность более удобно разместить экипаж и облегчить его работу в боевых условиях. </w:t>
      </w:r>
    </w:p>
    <w:p w14:paraId="05AE0B0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Увеличивается запас топлива до 750 литров вместо 465 л., что увеличивает радиус действия танка на 60 – 100 км., а топливные баки из боевого отделения переносятся в трансмиссионное. </w:t>
      </w:r>
    </w:p>
    <w:p w14:paraId="00E9D68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г) Уменьшается вес самой подвески на 300 – 400 кг. </w:t>
      </w:r>
    </w:p>
    <w:p w14:paraId="25D88BE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Облегчается монтаж и демонтаж. </w:t>
      </w:r>
    </w:p>
    <w:p w14:paraId="7F7B1A7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Ликвидируются вырезы в бортах танка для хода балансиров. </w:t>
      </w:r>
    </w:p>
    <w:p w14:paraId="30B349D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Без установки торсионной подвески и связанной с ней перекомпоновки нельзя значительно снизить вес танка. </w:t>
      </w:r>
    </w:p>
    <w:p w14:paraId="6925AAD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Установка мотора В-2-К без предварительной проверки трансмиссии нежелательна, так как коробка перемены передач была рассчитана на вес танка в 18 тн. при мощности мотора в 500 л.с., с Мкр=240 кг/мин и числе оборотов 1800 об/мин. Мотор В-2-К имеет мощность 600 л.с., Мкр=365 кг/мин, максимальное число оборотов 2100 об/мин., а вес танка колеблется в пределах 27 тн., увеличение же всех указанных параметров может вызвать усиленный износ деталей КПП и преждевременный выход ее из строя. </w:t>
      </w:r>
    </w:p>
    <w:p w14:paraId="6517776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ВЫВОД: В дополнение к постановлению КО № 428, считаю необходимым просить войти с ходатайством в КО об изготовлении к 1.4.41 г. заводом № 183 НКСМ двух усовершенствованных образцов танка Т-34, в которые должно войти: </w:t>
      </w:r>
    </w:p>
    <w:p w14:paraId="504CBC4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Расширение башни и погона с постановкой на ней командирской башенки с круговым обзором. </w:t>
      </w:r>
    </w:p>
    <w:p w14:paraId="2AE0C8E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Установить торсионную подвеску. </w:t>
      </w:r>
    </w:p>
    <w:p w14:paraId="0C8884E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Увеличить боекомплект. </w:t>
      </w:r>
    </w:p>
    <w:p w14:paraId="6C5FB88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Усилить трансмиссию танка. </w:t>
      </w:r>
    </w:p>
    <w:p w14:paraId="2F381E9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Увеличить максимальную скорость танка до 70 км/час. </w:t>
      </w:r>
    </w:p>
    <w:p w14:paraId="16FA5C3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Максимально улучшить рабочие места экипажа, обеспечив им удобное размещение, хорошее наблюдение. </w:t>
      </w:r>
    </w:p>
    <w:p w14:paraId="1DAFE61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период Апрель–Май провести испытания. </w:t>
      </w:r>
    </w:p>
    <w:p w14:paraId="001B113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Июнь месяц – на доработки по результатам испытаний. </w:t>
      </w:r>
    </w:p>
    <w:p w14:paraId="296F62E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Июль месяц – вторичное испытание образцов с доработками. </w:t>
      </w:r>
    </w:p>
    <w:p w14:paraId="313263E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Август и сентябрь месяцы на отработку технологического процесса. В Октябре начать серийный выпуск усовершенствованного танка Т-34. </w:t>
      </w:r>
    </w:p>
    <w:p w14:paraId="752E91C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Это даст возможность без спешки ввести все изменения по усовершенствованию, проверить испытаниями и планово безболезненно перейти к производству на выпуск еще более высококачественной машины. </w:t>
      </w:r>
    </w:p>
    <w:p w14:paraId="169BF78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Завод № 183 на выполнение указанной работы идет охотно и считает такие мероприятия по усовершенствованию танка совершенно правильными. </w:t>
      </w:r>
    </w:p>
    <w:p w14:paraId="7873EDB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Выпуск серийных танков Т-34 производить с существующей башней, не меняя как-то половинчато и подвеску, сохранив взаимозаменяемость внутреннего оборудования, сосредоточив внимание на максимальный выпуск этих танков. Обязав завод № 183 и НКСМ доработать только вопросы во исполнение Постановления № 428 по: </w:t>
      </w:r>
    </w:p>
    <w:p w14:paraId="1272EF4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главному фрикциону </w:t>
      </w:r>
    </w:p>
    <w:p w14:paraId="5E533FC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вентилятору </w:t>
      </w:r>
    </w:p>
    <w:p w14:paraId="3AC38BB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гусенице </w:t>
      </w:r>
    </w:p>
    <w:p w14:paraId="7AD3C91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обзорности </w:t>
      </w:r>
    </w:p>
    <w:p w14:paraId="29D565F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укладке снарядов. </w:t>
      </w:r>
    </w:p>
    <w:p w14:paraId="7AB6B2C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Считаю необходимым вооружать танки Т-34 пушками 45 мм 76 мм при одной и той же башне из расчета: </w:t>
      </w:r>
    </w:p>
    <w:p w14:paraId="4DF5D05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Две роты танков в батальоне вооружить 45 мм пушкой, спаренной с ДТ и одну роту 76 мм пушкой, спаренной с ДТ, или два взвода в роте вооружать 45 мм и один – 76 мм пушкой. </w:t>
      </w:r>
    </w:p>
    <w:p w14:paraId="6A46753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Что это даст? Танки вооруженные 45 мм пушкой будут иметь запас снарядов до 250 шт. (в башне расширенной), в существующей до 200 шт., т.е. увеличенное число выстрелов по сравнению с 76 мм запасом в два раза. Скорострельность 45 мм пушки, учитывая и вес патрона при перезаряжании, также почти в два раза выше, что даст не меньший эффект при ведении огня по огневым точкам пр-ка (пуль гнезда, ПТО) и по танкам легкого бронирования. </w:t>
      </w:r>
    </w:p>
    <w:p w14:paraId="2C0CAAFC"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встретившихся препятствиях, требующих более мощного огня, командир (роты – батальона) в своем распоряжении его будет иметь, и при решении боевых задач, соответственно, будет строить свой боевой порядок. </w:t>
      </w:r>
    </w:p>
    <w:p w14:paraId="7D0848C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Докладывая о вышеизложенном, прошу возбудить ходатайство. </w:t>
      </w:r>
    </w:p>
    <w:p w14:paraId="41DC11B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ВЕДУЩИЙ ИНЖЕНЕР-ПОДПОЛКОВНИК подпись 13.12.40 г. (ПАНОВ)</w:t>
      </w:r>
    </w:p>
    <w:p w14:paraId="329F9DA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2 экз. </w:t>
      </w:r>
    </w:p>
    <w:p w14:paraId="306ED34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1 – Н-ку ГАБТУ </w:t>
      </w:r>
    </w:p>
    <w:p w14:paraId="26ACF21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2 – в дело </w:t>
      </w:r>
    </w:p>
    <w:p w14:paraId="53D009E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Панов </w:t>
      </w:r>
    </w:p>
    <w:p w14:paraId="6F191A4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13.12.1940 г. № 1617 (18307).</w:t>
      </w:r>
    </w:p>
    <w:p w14:paraId="31118EC0" w14:textId="77777777" w:rsidR="004B7EF4" w:rsidRPr="00A3026E" w:rsidRDefault="004B7EF4" w:rsidP="00A3026E">
      <w:pPr>
        <w:spacing w:after="0" w:line="240" w:lineRule="auto"/>
        <w:jc w:val="both"/>
        <w:rPr>
          <w:rFonts w:ascii="Times New Roman" w:hAnsi="Times New Roman"/>
          <w:color w:val="000000" w:themeColor="text1"/>
          <w:sz w:val="16"/>
          <w:szCs w:val="16"/>
        </w:rPr>
      </w:pPr>
    </w:p>
    <w:p w14:paraId="099E32E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 г. не дожидаясь окончания оформления отчета,, начальник НИ полигона ГАБТУ КА полковник И.К. Романов и его помощник по научно-технической части военинженер 1 ранга П.С. Глухов в </w:t>
      </w:r>
      <w:hyperlink r:id="rId156" w:tgtFrame="_blank" w:history="1">
        <w:r w:rsidRPr="00A3026E">
          <w:rPr>
            <w:rStyle w:val="a5"/>
            <w:rFonts w:ascii="Times New Roman" w:hAnsi="Times New Roman"/>
            <w:color w:val="000000" w:themeColor="text1"/>
            <w:sz w:val="16"/>
            <w:szCs w:val="16"/>
          </w:rPr>
          <w:t>письме № 0951с</w:t>
        </w:r>
      </w:hyperlink>
      <w:r w:rsidRPr="00A3026E">
        <w:rPr>
          <w:rFonts w:ascii="Times New Roman" w:hAnsi="Times New Roman"/>
          <w:color w:val="000000" w:themeColor="text1"/>
          <w:sz w:val="16"/>
          <w:szCs w:val="16"/>
        </w:rPr>
        <w:t> доложили заместителю начальника ГАБТУ КА генерал-майору технических войск И.А. Лебедеву предварительные результаты испытаний трех танков Т-34. На десяти листах машинописного текста было изложено следующее: </w:t>
      </w:r>
    </w:p>
    <w:p w14:paraId="1513383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w:t>
      </w:r>
    </w:p>
    <w:p w14:paraId="1D5F375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ПРОБЕГА ТАНКОВ Т-34 ПО МАРШРУТУ ХАРЬКОВ – КУБИНКА – СМОЛЕНСК – ОРША – МОГИЛЕВ – ГОМЕЛЬ – КИЕВ – ПОЛТАВА – ХАРЬКОВ</w:t>
      </w:r>
    </w:p>
    <w:p w14:paraId="68DBF83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ОБЩИЕ ДАННЫЕ.</w:t>
      </w:r>
    </w:p>
    <w:p w14:paraId="59CF86B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Пройдено километров: </w:t>
      </w:r>
    </w:p>
    <w:p w14:paraId="096F0D2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 1 – 2706 км. </w:t>
      </w:r>
    </w:p>
    <w:p w14:paraId="0458EE6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 2 – 2578 км. </w:t>
      </w:r>
    </w:p>
    <w:p w14:paraId="62BFDA8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 3 – 2680 км. </w:t>
      </w:r>
    </w:p>
    <w:p w14:paraId="75308FA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среднем пройдено – 2655 км. </w:t>
      </w:r>
    </w:p>
    <w:p w14:paraId="6304664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них по шоссе – 1070 км. </w:t>
      </w:r>
    </w:p>
    <w:p w14:paraId="3AD516B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по грунтовым дорогам – 1580 км. </w:t>
      </w:r>
    </w:p>
    <w:p w14:paraId="1BD4A77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Маршрут пробега пройден за 14 ходовых дней, ремонт – 11 дней. Специспытания – 8 дней. </w:t>
      </w:r>
    </w:p>
    <w:p w14:paraId="482A7E2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скорость чистого движения – 22,9 км/час. </w:t>
      </w:r>
    </w:p>
    <w:p w14:paraId="2135FE1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техническая скорость – 14,2 км/час. </w:t>
      </w:r>
    </w:p>
    <w:p w14:paraId="2F61E8D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оперативная скорость – 10,8 км/час. </w:t>
      </w:r>
    </w:p>
    <w:p w14:paraId="5A2D445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работы двигателя по 127 часов (в среднем). </w:t>
      </w:r>
    </w:p>
    <w:p w14:paraId="15A369B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Средний расход горючего по шоссе – 44,7 литров на 1 час движения. </w:t>
      </w:r>
    </w:p>
    <w:p w14:paraId="391C50F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Средний расход горючего на грунтовой дороге – 45,77 литров. </w:t>
      </w:r>
    </w:p>
    <w:p w14:paraId="0E5B4E1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чистого движения – 117 часов. </w:t>
      </w:r>
    </w:p>
    <w:p w14:paraId="5FCF252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 ремонта – 145 часов. </w:t>
      </w:r>
    </w:p>
    <w:p w14:paraId="28D0A1A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Отношение времени ремонта к времени чистого движения: 145 / 117 = 124 %. </w:t>
      </w:r>
    </w:p>
    <w:p w14:paraId="66D7749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Максимальный суточный переход: </w:t>
      </w:r>
    </w:p>
    <w:p w14:paraId="72A1942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шоссе – 255 км. </w:t>
      </w:r>
    </w:p>
    <w:p w14:paraId="3BBDBCA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грунтовым дорогам – 225 км. </w:t>
      </w:r>
    </w:p>
    <w:p w14:paraId="78FBA29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Проведенные виды специспытаний: </w:t>
      </w:r>
    </w:p>
    <w:p w14:paraId="68997D1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Стрельбы (Кубинка – Киев – Харьков). </w:t>
      </w:r>
    </w:p>
    <w:p w14:paraId="63605CC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Израсходовано 76 мм патронов – 249 шт. </w:t>
      </w:r>
    </w:p>
    <w:p w14:paraId="02D4297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Израсходовано патронов пулемета ДТ – 1423 шт. </w:t>
      </w:r>
    </w:p>
    <w:p w14:paraId="2046A42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Кучность для башенного пулемета R100=0,84 м, R50=0,35 м. </w:t>
      </w:r>
    </w:p>
    <w:p w14:paraId="5114265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Кучность для пулемета радиста R100=1,40 м, R50=0,41 м. </w:t>
      </w:r>
    </w:p>
    <w:p w14:paraId="0D0EBA1C"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Кучность для 76 мм пушки через Вб=0,81 м, и Вв=0,77 м. </w:t>
      </w:r>
    </w:p>
    <w:p w14:paraId="09067EF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Кучность следует считать хорошей. </w:t>
      </w:r>
    </w:p>
    <w:p w14:paraId="5942A04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Практическая средняя скорострельность для всего боекомплекта из пушки 2 выстрела/минут. Максимальная скорострельность для наиболее удобно расположенной и приготовленной укладки (21 снаряд) – 5 – 6 выстрела/мин. </w:t>
      </w:r>
    </w:p>
    <w:p w14:paraId="6C0C957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Скорострельность следует считать неудовлетворительной. </w:t>
      </w:r>
    </w:p>
    <w:p w14:paraId="39CFF5B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Преодоление препятствий. </w:t>
      </w:r>
    </w:p>
    <w:p w14:paraId="7A12398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Подъемы на суглинке с незначительным снежным покровом – до 30°. </w:t>
      </w:r>
    </w:p>
    <w:p w14:paraId="2835FE4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Тоже на влажном черноземе с дерновым покровом – 20 – 21° (со шпорами и без шпор). </w:t>
      </w:r>
    </w:p>
    <w:p w14:paraId="3A67FA8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Преодолеваемый косогор на том же грунте – 20 – 23° – лимитируется сползанием танка и сваливанием гусениц. </w:t>
      </w:r>
    </w:p>
    <w:p w14:paraId="4202CAA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Преодолеваемый брод 1,25 – 1,3 метра. </w:t>
      </w:r>
    </w:p>
    <w:p w14:paraId="00248E8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Торфяное болото при толщине покрова до 800 мм танк не преодолел. </w:t>
      </w:r>
    </w:p>
    <w:p w14:paraId="157CBD8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Определение тяговых усилий на крюке. </w:t>
      </w:r>
    </w:p>
    <w:p w14:paraId="6D80319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II-й передаче при 550 об/мин. – 8750 кг. </w:t>
      </w:r>
    </w:p>
    <w:p w14:paraId="69FA9F7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Взвешивание танка. </w:t>
      </w:r>
    </w:p>
    <w:p w14:paraId="4EC453CC"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Полный боевой вес – 26,8 тонны. </w:t>
      </w:r>
    </w:p>
    <w:p w14:paraId="5CCFA27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Испытание средств связи. </w:t>
      </w:r>
    </w:p>
    <w:p w14:paraId="24984B2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получены после пробега 800 км: </w:t>
      </w:r>
    </w:p>
    <w:p w14:paraId="0188F40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Дальность связи рацией с микрофоном на ходу обоих машин не более 10 км. </w:t>
      </w:r>
    </w:p>
    <w:p w14:paraId="7E06CC5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Дальность связи рацией с микрофоном на стоянке обоих машин до 15 – 18 км. </w:t>
      </w:r>
    </w:p>
    <w:p w14:paraId="65D9317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недостатки: </w:t>
      </w:r>
    </w:p>
    <w:p w14:paraId="584B992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 приемником очень трудно оперировать (слишком низко и глубоко расположен). </w:t>
      </w:r>
    </w:p>
    <w:p w14:paraId="673EDE0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Антенна при подъеме цепляет за запдетали, расположенные на полке. </w:t>
      </w:r>
    </w:p>
    <w:p w14:paraId="71D8BE9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ходу танка по шоссе получается сильное дробление слов при приеме. </w:t>
      </w:r>
    </w:p>
    <w:p w14:paraId="231446A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Ручным регулятором напряжения пользоваться невозможно из-за неудачного расположения (не виден вольтметр). </w:t>
      </w:r>
    </w:p>
    <w:p w14:paraId="5BE6429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получены после пробега 2700 км. </w:t>
      </w:r>
    </w:p>
    <w:p w14:paraId="2B94715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Дальность связи рацией с микрофоном на ходу обоих машин не более 5 км. </w:t>
      </w:r>
    </w:p>
    <w:p w14:paraId="78CE01E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Дальность связи рацией с микрофоном на стоянке обоих машин до 7 – 8 км. </w:t>
      </w:r>
    </w:p>
    <w:p w14:paraId="122CFF0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Недостатки помимо перечисленных выше: </w:t>
      </w:r>
    </w:p>
    <w:p w14:paraId="6341454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Радист упираясь ногами в умформер приемника загрязняет его и выламывает токоведущую клемму. </w:t>
      </w:r>
    </w:p>
    <w:p w14:paraId="5A0C81EC"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Антенна, ни чем не защищенная на борту сильно изминается и изгибается по всей длине и ввод ее забрасывается грязью с гусениц. </w:t>
      </w:r>
    </w:p>
    <w:p w14:paraId="2CE12A9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ОЦЕНКА МОНТАЖА.</w:t>
      </w:r>
    </w:p>
    <w:p w14:paraId="552C370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Расположение рации в корпусе, а не в башне имеет преимущество в том отношении что: </w:t>
      </w:r>
    </w:p>
    <w:p w14:paraId="1C48D72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представилось возможным в состав экипажа танка включить лицо, специально обслуживающее рацию, </w:t>
      </w:r>
    </w:p>
    <w:p w14:paraId="3172961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упростилась схема питания, т.к. проводка идет помимо ВКУ. </w:t>
      </w:r>
    </w:p>
    <w:p w14:paraId="13F4963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Монтаж рации в общем выполнен неудовлетворительно. </w:t>
      </w:r>
    </w:p>
    <w:p w14:paraId="2932CB9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ДЕФЕКТЫ ОСНОВНЫХ АГРЕГАТОВ ТАНКА.</w:t>
      </w:r>
    </w:p>
    <w:p w14:paraId="1CB9280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Двигатель. </w:t>
      </w:r>
    </w:p>
    <w:p w14:paraId="0640D1DC"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среднем двигатели проработали по 127 часов. Был один случай излома вертикального валика привода топливного насоса. На всех машинах к 2000 км пробега вышли из строя манометры давления масла. Двигатели вышли из строя по причинам пробивания прокладки головки блоков и деформации выхлопных клапанов. </w:t>
      </w:r>
    </w:p>
    <w:p w14:paraId="7FBFA56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Главный фрикцион. </w:t>
      </w:r>
    </w:p>
    <w:p w14:paraId="763A7C3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за время пробега на 3-х машинах были сменены по причине полного износа 9 комплектов дисков. В среднем диски работают 400 – 500 км. </w:t>
      </w:r>
    </w:p>
    <w:p w14:paraId="3CBC7BF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Помимо этого имеют место ослабление крепления и смещение главного фрикциона, поломка лопаток вентилятора, срез, вытяжка и ослабление болтов крепления зубчатого венца и нажимного диска. Было 5 случаев разъединения поперечной тяги главного фрикциона. На всех машинах после 750 – 1500 км были сменены вентиляторы. </w:t>
      </w:r>
    </w:p>
    <w:p w14:paraId="25EB68F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Весь узел главного фрикциона с вентилятором негоден и требует коренной переработки. </w:t>
      </w:r>
    </w:p>
    <w:p w14:paraId="5326060C"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Коробка перемены передач. </w:t>
      </w:r>
    </w:p>
    <w:p w14:paraId="74C2D70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все время пробега наблюдались частые случаи неполного выключения передач. В то время как рычаг кулисы находится в нейтрали, скорость остается включенной. Переход со 2-й передачи на 3-ю на целине или на небольших подъемах на шоссе затруднен. Танк начинает движение почти с места при 500 – 550 об/мин. двигателя или двигатель глохнет. </w:t>
      </w:r>
    </w:p>
    <w:p w14:paraId="71C0B54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Проверка расчетов завода по коробке П.П. и данные испытаний показывают, что коробка рассчитана неправильно (подбор передаточных чисел). Данная коробка перемены передач негодна. </w:t>
      </w:r>
    </w:p>
    <w:p w14:paraId="08F787C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Ходовая часть. </w:t>
      </w:r>
    </w:p>
    <w:p w14:paraId="1B20206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Гусеничная лента в среднем выдерживает пробег 500 км. Причина: неправильно выбранная геометрическая форма траков и недостаточная механическая прочность. </w:t>
      </w:r>
    </w:p>
    <w:p w14:paraId="3A86E93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Резиновые бандажи опорных колес из Н.К. [натурального каучука] разрушаются после 1,5 – 2 часового непрерывного движения по шоссе со скоростью 30–35 км/час. Причина: высокое удельное давление на опорные колеса. Натяжка гусеницы ленивцем при червячном натяжном приспособлении неудобна, тяжела и отнимает много времени (1,5 – 2 часа). </w:t>
      </w:r>
    </w:p>
    <w:p w14:paraId="64AE348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Форма траков (грунтозацепы) не обеспечивает необходимого зацепления с грунтом вследствие чего имеют место продольные и поперечные скольжения танка на мокрых покровах. Входящие в комплект шпоры не эффективны. </w:t>
      </w:r>
    </w:p>
    <w:p w14:paraId="0A23074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Фиксация гусеницы в опорных колесах ненадежна. При движении по косогорам порядка 20° происходит сваливание гусениц. </w:t>
      </w:r>
    </w:p>
    <w:p w14:paraId="7CDBD50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Перечисленные дефекты дают все основания считать ходовую часть танка неудовлетворительной. </w:t>
      </w:r>
    </w:p>
    <w:p w14:paraId="18889FB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Система топлива, смазки и охлаждения. </w:t>
      </w:r>
    </w:p>
    <w:p w14:paraId="4C6453F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Недостаточно надежны и герметичны, что обуславливает постоянную загрязненность машины. </w:t>
      </w:r>
    </w:p>
    <w:p w14:paraId="3FF55FA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ОСНОВНЫЕ ДЕФЕКТЫ УСТАНОВКИ ВООРУЖЕНИЯ, ОПТИКИ, ПРИБОРОВ НАБЛЮДЕНИЯ И БОЕУКЛАДКИ.</w:t>
      </w:r>
    </w:p>
    <w:p w14:paraId="4363635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 мм пушка. </w:t>
      </w:r>
    </w:p>
    <w:p w14:paraId="56E7842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Отказ в работе спускового механизма: прогиб стержня пружины, заедание ползуна, слабая пружина спуска, срез болтов крепления щитка спускового механизма. </w:t>
      </w:r>
    </w:p>
    <w:p w14:paraId="0AC5D42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Неудобен для работы ножной спуск. </w:t>
      </w:r>
    </w:p>
    <w:p w14:paraId="62691CB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 спаренный с пушкой не имеет самостоятельного сектора </w:t>
      </w:r>
    </w:p>
    <w:p w14:paraId="75802B1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 радиста. </w:t>
      </w:r>
    </w:p>
    <w:p w14:paraId="5102068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Ведение огня из пулемета радиста затруднено ограниченной обзорностью, быстрым загрязнением пулемета и шаровой установки, невозможностью регулировки сидения по высоте. </w:t>
      </w:r>
    </w:p>
    <w:p w14:paraId="55C1DFA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Поворотный механизм (ручной). </w:t>
      </w:r>
    </w:p>
    <w:p w14:paraId="09AD1B3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допускает одновременной работы по наводке и наблюдению за целью. Рукоятка поворотного механизма и маховик упирается в грудь стреляющего. </w:t>
      </w:r>
    </w:p>
    <w:p w14:paraId="50FA3D9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Поворотный механизм (электропривод). </w:t>
      </w:r>
    </w:p>
    <w:p w14:paraId="2B19823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Затруднен доступ к маховику пускового механизма. Вращение башни возможно лишь при условии отклонения головы от налобника прицела. </w:t>
      </w:r>
    </w:p>
    <w:p w14:paraId="0CA4CF2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ПРИЦЕЛЫ И ПРИБОРЫ НАБЛЮДЕНИЯ.</w:t>
      </w:r>
    </w:p>
    <w:p w14:paraId="29AB988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ТОД-6. Пользоваться прицелом невозможно вследствие перекрытия окна шкалы углов прицеливания прицелом ПТ-6. </w:t>
      </w:r>
    </w:p>
    <w:p w14:paraId="3706737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ПТ-6 затруднен доступ к рукоятке механизма кругового обзора. </w:t>
      </w:r>
    </w:p>
    <w:p w14:paraId="0D87831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Смотровой прибор "Кругового обзора" имеет ограниченный сектор обзора, конструктивно выполнен с большими недостатками. Доступ к прибору затруднен. Прибор негоден. </w:t>
      </w:r>
    </w:p>
    <w:p w14:paraId="22BC659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Смотровой прибор водителя загрязняется до полной потери видимости при движении по грунтовым дорогам и целине через 5 – 10 минут. Очистка прибора не разработана. При боевой стрельбе защитные стекла разрушаются. </w:t>
      </w:r>
    </w:p>
    <w:p w14:paraId="30931F9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Смотровые приборы в башне. </w:t>
      </w:r>
    </w:p>
    <w:p w14:paraId="172F986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Смотровые приборы по высоте расположены низко относительно сидения. Обзорность мала (53°), мертвое пространство велико (15,5 м). Очистка защитных стекол возможна при условии выхода из танка. </w:t>
      </w:r>
    </w:p>
    <w:p w14:paraId="17F5A7B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оценка приборов наблюдения – отрицательная. Танк не обладает необходимой обзорностью. </w:t>
      </w:r>
    </w:p>
    <w:p w14:paraId="4630EA1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Укладка боекомплекта. </w:t>
      </w:r>
    </w:p>
    <w:p w14:paraId="5D90FB1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Патроны 76 мм пушки. </w:t>
      </w:r>
    </w:p>
    <w:p w14:paraId="1DFDD54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Укладка патронов в кассетах не обеспечивает достаточного темпа ведения огня по следующим причинам: </w:t>
      </w:r>
    </w:p>
    <w:p w14:paraId="2DEB236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неудобство доставания патронов из кассет, </w:t>
      </w:r>
    </w:p>
    <w:p w14:paraId="30B961B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загрязнение боекомплекта, </w:t>
      </w:r>
    </w:p>
    <w:p w14:paraId="52E6474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крайне затруднен доступ к патронам, уложенным с левой стороны по ходу танка, </w:t>
      </w:r>
    </w:p>
    <w:p w14:paraId="674A3A0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г) наличие острых краев, приводящих к ранению рук заряжающего, </w:t>
      </w:r>
    </w:p>
    <w:p w14:paraId="25A1DFD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затруднена укладка патронов в кассеты наличием большого количества крышек и резиновых прокладок, </w:t>
      </w:r>
    </w:p>
    <w:p w14:paraId="4E14E9C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отсутствие достаточной плотности укладки патронов в кассетах, приводящее к самоотвинчиванию дистанционных трубок и капсюлей гильзы. </w:t>
      </w:r>
    </w:p>
    <w:p w14:paraId="1359A41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сильное загрязнение магазинов к пулеметам, находящихся в отделении управления. </w:t>
      </w:r>
    </w:p>
    <w:p w14:paraId="70F867D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 затруднена выемка отдельных магазинов в нише башни. </w:t>
      </w:r>
    </w:p>
    <w:p w14:paraId="04B53F8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Сидение для экипажа неудобно при работе. Экипаж в боевом отделении крайне стеснен. </w:t>
      </w:r>
    </w:p>
    <w:p w14:paraId="385331B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Настоящий материал является предварительным и освещает только основные вопросы испытания. Полные выводы и заключения по танку будут представлены в отчете 19 декабря с/г.».</w:t>
      </w:r>
    </w:p>
    <w:p w14:paraId="6AA786E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1182 Л. 138 – 147] (18173).</w:t>
      </w:r>
    </w:p>
    <w:p w14:paraId="37F05AE9" w14:textId="77777777" w:rsidR="004B7EF4" w:rsidRPr="00A3026E" w:rsidRDefault="004B7EF4" w:rsidP="00A3026E">
      <w:pPr>
        <w:spacing w:after="0" w:line="240" w:lineRule="auto"/>
        <w:jc w:val="both"/>
        <w:rPr>
          <w:rFonts w:ascii="Times New Roman" w:hAnsi="Times New Roman"/>
          <w:color w:val="000000" w:themeColor="text1"/>
          <w:sz w:val="16"/>
          <w:szCs w:val="16"/>
        </w:rPr>
      </w:pPr>
    </w:p>
    <w:p w14:paraId="1ADC7F8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w:t>
      </w:r>
    </w:p>
    <w:p w14:paraId="1816151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1182 листы 138 – 147 </w:t>
      </w:r>
    </w:p>
    <w:p w14:paraId="22332D0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2052548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1 </w:t>
      </w:r>
    </w:p>
    <w:p w14:paraId="1182B99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13.12.1940 г. </w:t>
      </w:r>
    </w:p>
    <w:p w14:paraId="5F16557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0951с </w:t>
      </w:r>
    </w:p>
    <w:p w14:paraId="76DA2D0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Начальника ГАБТУ КА</w:t>
      </w:r>
    </w:p>
    <w:p w14:paraId="2AFEE54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Генерал-майору технических войск т. Лебедеву И.А.</w:t>
      </w:r>
    </w:p>
    <w:p w14:paraId="0FAE860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w:t>
      </w:r>
    </w:p>
    <w:p w14:paraId="3558549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ПРОБЕГА ТАНКОВ Т-34 ПО МАРШРУТУ ХАРЬКОВ–КУБИНКА–СМОЛЕНСК–ОРША–МОГИЛЕВ–ГОМЕЛЬ–КИЕВ–ПОЛТАВА–ХАРЬКОВ</w:t>
      </w:r>
    </w:p>
    <w:p w14:paraId="18B3135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ОБЩИЕ ДАННЫЕ.</w:t>
      </w:r>
    </w:p>
    <w:p w14:paraId="28F966D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Пройдено километров: </w:t>
      </w:r>
    </w:p>
    <w:p w14:paraId="02EC14F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 № 1 – 2706 км. </w:t>
      </w:r>
    </w:p>
    <w:p w14:paraId="35ECF1B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 № 2 – 2578 км. </w:t>
      </w:r>
    </w:p>
    <w:p w14:paraId="5E00E25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 № 3 – 2680 км. </w:t>
      </w:r>
    </w:p>
    <w:p w14:paraId="62F8796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среднем пройдено – 2655 км. </w:t>
      </w:r>
    </w:p>
    <w:p w14:paraId="71553A2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 них по шоссе – 1070 км. </w:t>
      </w:r>
    </w:p>
    <w:p w14:paraId="6DA5DC8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 по грунтовым дорогам – 1580 км. </w:t>
      </w:r>
    </w:p>
    <w:p w14:paraId="0F0A6E4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Маршрут пробега пройден за 14 ходовых дней, ремонт – 11 дней, специспытания – 8 дней. </w:t>
      </w:r>
    </w:p>
    <w:p w14:paraId="1E35730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Средняя скорость чистого движения – 22,9 км/час. </w:t>
      </w:r>
    </w:p>
    <w:p w14:paraId="038AE09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Средняя техническая скорость – 14,2 км/час. </w:t>
      </w:r>
    </w:p>
    <w:p w14:paraId="01D5A1F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Средняя оперативная скорость – 10,8 км/час. </w:t>
      </w:r>
    </w:p>
    <w:p w14:paraId="7BB28C2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Время работы двигателя по 127 часов (в среднем). </w:t>
      </w:r>
    </w:p>
    <w:p w14:paraId="0BB7290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Средний расход горючего по шоссе – 44,7 литров на 1 час движения. </w:t>
      </w:r>
    </w:p>
    <w:p w14:paraId="0CACF9BC"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Средний расход горючего на грунтовой дороге – 45,77 литров. </w:t>
      </w:r>
    </w:p>
    <w:p w14:paraId="62F56A2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Время чистого движения – 117 часов. </w:t>
      </w:r>
    </w:p>
    <w:p w14:paraId="7BF53CB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Врем ремонта – 145 часов. </w:t>
      </w:r>
    </w:p>
    <w:p w14:paraId="0A282D2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Отношение времени ремонта к времени чистого движения: 145/117 = 124%. </w:t>
      </w:r>
    </w:p>
    <w:p w14:paraId="4259DD6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Максимальный суточный переход: </w:t>
      </w:r>
    </w:p>
    <w:p w14:paraId="0C8FB24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по шоссе – 255 км. </w:t>
      </w:r>
    </w:p>
    <w:p w14:paraId="7FB6286C"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по грунтовым дорогам – 225 км. </w:t>
      </w:r>
    </w:p>
    <w:p w14:paraId="0A39BC0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Проведенные виды специспытаний: </w:t>
      </w:r>
    </w:p>
    <w:p w14:paraId="63EE6D7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Стрельбы (Кубинка – Киев – Харьков). </w:t>
      </w:r>
    </w:p>
    <w:p w14:paraId="4CEA7F2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Израсходовано 76 мм патронов – 249 шт. </w:t>
      </w:r>
    </w:p>
    <w:p w14:paraId="5B1C6D2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Израсходовано патронов пулемета ДТ – 1423 шт. </w:t>
      </w:r>
    </w:p>
    <w:p w14:paraId="6C9472A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Кучность для башенного пулемета R100=0,84 м, R50=0,35 м. </w:t>
      </w:r>
    </w:p>
    <w:p w14:paraId="15FEF8F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Кучность для пулемета радиста R100=1,40 м, R50=0,41 м. </w:t>
      </w:r>
    </w:p>
    <w:p w14:paraId="71A2BBA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Кучность для 76 мм пушки через Вб=0,81 м, и Вв=0,77 м. </w:t>
      </w:r>
    </w:p>
    <w:p w14:paraId="0B06DDC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Кучность следует считать хорошей. </w:t>
      </w:r>
    </w:p>
    <w:p w14:paraId="2176CD9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Практическая средняя скорострельность для всего боекомплекта из пушки 2 выстрела/минут. </w:t>
      </w:r>
    </w:p>
    <w:p w14:paraId="65B92F4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Максимальная скорострельность для наиболее удобно расположенной и приготовленной укладки (21 снаряд) – 5 – 6 выстрела/мин. </w:t>
      </w:r>
    </w:p>
    <w:p w14:paraId="0C58B84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Скорострельность следует считать неудовлетворительной. </w:t>
      </w:r>
    </w:p>
    <w:p w14:paraId="42A32A3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Преодоление препятствий. </w:t>
      </w:r>
    </w:p>
    <w:p w14:paraId="0896EAA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Подъемы на суглинке с незначительным снежным покровом – до 30°. </w:t>
      </w:r>
    </w:p>
    <w:p w14:paraId="20B3DEE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Тоже на влажном черноземе с дерновым покровом – 20 – 21° (со шпорами и без шпор). </w:t>
      </w:r>
    </w:p>
    <w:p w14:paraId="2F7A470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Преодолеваемый косогор на том же грунте – 20 – 23° – лимитируется сползанием танка и сваливанием гусениц. </w:t>
      </w:r>
    </w:p>
    <w:p w14:paraId="01031FC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Преодолеваемый брод 1,25 – 1,3 метра. </w:t>
      </w:r>
    </w:p>
    <w:p w14:paraId="6FE7A98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Торфяное болото при толщине покрова до 800 мм танк не преодолел. </w:t>
      </w:r>
    </w:p>
    <w:p w14:paraId="25607B4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Определение тяговых усилий на крюке. </w:t>
      </w:r>
    </w:p>
    <w:p w14:paraId="0165941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II-й передаче при 550 об/мин. – 8750 кг. </w:t>
      </w:r>
    </w:p>
    <w:p w14:paraId="30EE9BD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Взвешивание танка. </w:t>
      </w:r>
    </w:p>
    <w:p w14:paraId="4CDD08A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Полный боевой вес – 26,8 тонны. </w:t>
      </w:r>
    </w:p>
    <w:p w14:paraId="56A2D96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Испытание средств связи. </w:t>
      </w:r>
    </w:p>
    <w:p w14:paraId="407C4DC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Данные получены после пробега 800 км: </w:t>
      </w:r>
    </w:p>
    <w:p w14:paraId="7BC12FB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Дальность связи рацией с микрофоном на ходу обоих машин не более 10 км. </w:t>
      </w:r>
    </w:p>
    <w:p w14:paraId="3D51ABC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Дальность связи рацией с микрофоном на стоянке обоих машин до 15 – 18 км. </w:t>
      </w:r>
    </w:p>
    <w:p w14:paraId="0137884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Основные недостатки: </w:t>
      </w:r>
    </w:p>
    <w:p w14:paraId="4A749C6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С приемником очень трудно оперировать (слишком низко и глубоко расположен). </w:t>
      </w:r>
    </w:p>
    <w:p w14:paraId="76A02E1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Антенна при подъеме цепляет за запдетали, расположенные на полке. </w:t>
      </w:r>
    </w:p>
    <w:p w14:paraId="7A1559D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На ходу танка по шоссе получается сильное дробление слов при приеме. </w:t>
      </w:r>
    </w:p>
    <w:p w14:paraId="2025329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Ручным регулятором напряжения пользоваться невозможно из-за неудачного расположения (не виден вольтметр). </w:t>
      </w:r>
    </w:p>
    <w:p w14:paraId="4E13042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Данные получены после пробега 2700 км. </w:t>
      </w:r>
    </w:p>
    <w:p w14:paraId="4A932D9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Дальность связи рацией с микрофоном на ходу обоих машин не более 5 км. </w:t>
      </w:r>
    </w:p>
    <w:p w14:paraId="0B483F5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Дальность связи рацией с микрофоном на стоянке обоих машин до 7 – 8 км. </w:t>
      </w:r>
    </w:p>
    <w:p w14:paraId="6DB2A56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Недостатки помимо перечисленных выше: </w:t>
      </w:r>
    </w:p>
    <w:p w14:paraId="79802E1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Радист упираясь ногами в умформер приемника загрязняет его и выламывает токоведущую клемму. </w:t>
      </w:r>
    </w:p>
    <w:p w14:paraId="45761CA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Антенна, ни чем не защищенная на борту сильно изминается и изгибается по всей длине и ввод ее забрасывается грязью с гусениц. </w:t>
      </w:r>
    </w:p>
    <w:p w14:paraId="5F36E25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ОЦЕНКА МОНТАЖА.</w:t>
      </w:r>
    </w:p>
    <w:p w14:paraId="579677C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Расположение рации в корпусе, а не в башне имеет преимущество в том отношении что: </w:t>
      </w:r>
    </w:p>
    <w:p w14:paraId="427EDCE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представилось возможным в состав экипажа танка включить лицо, специально обслуживающее рацию, </w:t>
      </w:r>
    </w:p>
    <w:p w14:paraId="17ED2CD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упростилась схема питания, т.к. проводка идет помимо ВКУ. </w:t>
      </w:r>
    </w:p>
    <w:p w14:paraId="00DDD9F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Монтаж рации в общем выполнен неудовлетворительно. </w:t>
      </w:r>
    </w:p>
    <w:p w14:paraId="59FEE85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ДЕФЕКТЫ ОСНОВНЫХ АГРЕГАТОВ ТАНКА.</w:t>
      </w:r>
    </w:p>
    <w:p w14:paraId="232419C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Двигатель. </w:t>
      </w:r>
    </w:p>
    <w:p w14:paraId="3AFD301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В среднем двигатели проработали по 127 часов. Был один случай излома вертикального валика привода топливного насоса. На всех машинах к 2000 км пробега вышли из строя манометры давления масла. Двигатели вышли из строя по причинам пробивания прокладки головки блоков и деформации выхлопных клапанов. </w:t>
      </w:r>
    </w:p>
    <w:p w14:paraId="1E2A016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Главный фрикцион. </w:t>
      </w:r>
    </w:p>
    <w:p w14:paraId="4C847E3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за время пробега на 3-х машинах были сменены по причине полного износа 9 комплектов дисков. В среднем диски работают 400 – 500 км. </w:t>
      </w:r>
    </w:p>
    <w:p w14:paraId="11EC08B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Помимо этого имеют место ослабление крепления и смещение главного фрикциона, поломка лопаток вентилятора, срез, вытяжка и ослабление болтов крепления зубчатого венца и нажимного диска. Было 5 случаев разъединения поперечной тяги главного фрикциона. На всех машинах после 750 – 1500 км были сменены вентиляторы. </w:t>
      </w:r>
    </w:p>
    <w:p w14:paraId="2716EF1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Весь узел главного фрикциона с вентилятором негоден и требует коренной переработки. </w:t>
      </w:r>
    </w:p>
    <w:p w14:paraId="35DEBE9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Коробка перемены передач. </w:t>
      </w:r>
    </w:p>
    <w:p w14:paraId="3D43598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 все время пробега наблюдались частые случаи неполного выключения передач. В то время как рычаг кулисы находится в нейтрале, скорость остается включенной. Переход со 2-й передачи на 3-ю на целине или на небольших подъемах на шоссе затруднен. Танк начинает движение почти с места при 500 – 550 об/мин. двигателя или двигатель глохнет. </w:t>
      </w:r>
    </w:p>
    <w:p w14:paraId="5BCEC81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Проверка расчетов завода по коробке П.П. и данные испытаний показывают, что коробка рассчитана неправильно (подбор передаточных чисел). Данная коробка перемены передач негодна. </w:t>
      </w:r>
    </w:p>
    <w:p w14:paraId="26DE123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Ходовая часть. </w:t>
      </w:r>
    </w:p>
    <w:p w14:paraId="306D79E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Гусеничная лента в среднем выдерживает пробег 500 км. Причина: неправильно выбранная геометрическая форма траков и недостаточная механическая прочность. </w:t>
      </w:r>
    </w:p>
    <w:p w14:paraId="72E9ABE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Резиновые бандажи опорных колес из Н.К. разрушаются после 1,5 – 2 часового непрерывного движения по шоссе со скоростью 30 – 35 км/час. Причина: высокое удельное давление на опорные колеса. </w:t>
      </w:r>
    </w:p>
    <w:p w14:paraId="09742D0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Натяжка гусеницы ленивцем при червячном натяжном приспособлении неудобна, тяжела и отнимает много времени (1,5 – 2 часа). </w:t>
      </w:r>
    </w:p>
    <w:p w14:paraId="48F078A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Форма траков (грунтозацепы) не обеспечивает необходимого зацепления с грунтом вследствие чего имеют место продольные и поперечные скольжения танка на мокрых покровах. Входящие в комплект шпоры не эффективны. </w:t>
      </w:r>
    </w:p>
    <w:p w14:paraId="4C50817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Фиксация гусеницы в опорных колесах ненадежна. При движении по косогорам порядка 20° происходит сваливание гусениц. </w:t>
      </w:r>
    </w:p>
    <w:p w14:paraId="4783AF4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Перечисленные дефекты дают все основания считать ходовую часть танка неудовлетворительной. </w:t>
      </w:r>
    </w:p>
    <w:p w14:paraId="21E8636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Система топлива, смазки и охлаждения. </w:t>
      </w:r>
    </w:p>
    <w:p w14:paraId="6B3B399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Недостаточно надежны и герметичны, что обуславливает постоянную загрязненность машины. </w:t>
      </w:r>
    </w:p>
    <w:p w14:paraId="5A1E474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ОСНОВНЫЕ ДЕФЕКТЫ УСТАНОВКИ ВООРУЖЕНИЯ, ОПТИКИ, ПРИБОРОВ НАБЛЮДЕНИЯ И БОЕУКЛАДКИ.</w:t>
      </w:r>
    </w:p>
    <w:p w14:paraId="56A04EF8"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76 мм пушка. </w:t>
      </w:r>
    </w:p>
    <w:p w14:paraId="5F026F7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Отказ в работе спускового механизма: прогиб стержня пружины, заедание ползуна, слабая пружина спуска, срез болтов крепления щитка спускового механизма. </w:t>
      </w:r>
    </w:p>
    <w:p w14:paraId="7B79F26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Неудобен для работы ножной спуск. </w:t>
      </w:r>
    </w:p>
    <w:p w14:paraId="1054532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Пулемет спаренный с пушкой. </w:t>
      </w:r>
    </w:p>
    <w:p w14:paraId="0E069F7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 имеет самостоятельного сектора </w:t>
      </w:r>
    </w:p>
    <w:p w14:paraId="2F2056B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Пулемет радиста. </w:t>
      </w:r>
    </w:p>
    <w:p w14:paraId="06ABBD6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Ведение огня из пулемета радиста затруднено ограниченной обзорностью, быстрым загрязнением пулемета и шаровой установки, невозможностью регулировки сидения по высоте. </w:t>
      </w:r>
    </w:p>
    <w:p w14:paraId="058E6CE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Поворотный механизм (ручной). </w:t>
      </w:r>
    </w:p>
    <w:p w14:paraId="43F52BF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 допускает одновременной работы по наводке и наблюдению за целью. Рукоятка поворотного механизма и маховик упирается в грудь стреляющего. </w:t>
      </w:r>
    </w:p>
    <w:p w14:paraId="2FA39BB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Поворотный механизм (электропривод). </w:t>
      </w:r>
    </w:p>
    <w:p w14:paraId="329962D2"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Затруднен доступ к маховику пускового механизма. Вращение башни возможно лишь при условии отклонения головы от налобника прицела. </w:t>
      </w:r>
    </w:p>
    <w:p w14:paraId="4170D3A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ПРИЦЕЛЫ И ПРИБОРЫ НАБЛЮДЕНИЯ.</w:t>
      </w:r>
    </w:p>
    <w:p w14:paraId="207389F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ТОД-6. Пользоваться прицелом невозможно вследствие перекрытия окна шкалы углов прицеливания прицелом ПТ-6. </w:t>
      </w:r>
    </w:p>
    <w:p w14:paraId="0B800D8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ПТ-6 затруднен доступ к рукоятке механизма кругового обзора. </w:t>
      </w:r>
    </w:p>
    <w:p w14:paraId="4A942DF1"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Смотровой прибор "Кругового обзора" имеет ограниченный сектор обзора, конструктивно выполнен с большими недостатками. Доступ к прибору затруднен. Прибор негоден. </w:t>
      </w:r>
    </w:p>
    <w:p w14:paraId="31B342FB"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Смотровой прибор водителя загрязняется до полной потери видимости при движении по грунтовым дорогам и целине через 5 – 10 минут. Очистка прибора не разработана. При боевой стрельбе защитные стекла разрушаются. </w:t>
      </w:r>
    </w:p>
    <w:p w14:paraId="451D552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Смотровые приборы в башне. </w:t>
      </w:r>
    </w:p>
    <w:p w14:paraId="115874F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Смотровые приборы по высоте расположены низко относительно сидения. Обзорность мала (53°), мертвое пространство велико (15,5 м). Очистка защитных стекол возможна при условии выхода из танка. </w:t>
      </w:r>
    </w:p>
    <w:p w14:paraId="098BD943"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Общая оценка приборов наблюдения – отрицательная. Танк не обладает необходимой обзорностью. </w:t>
      </w:r>
    </w:p>
    <w:p w14:paraId="551A954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Укладка боекомплекта. </w:t>
      </w:r>
    </w:p>
    <w:p w14:paraId="77DE095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Патроны 76 мм пушки. </w:t>
      </w:r>
    </w:p>
    <w:p w14:paraId="1C18C65E"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Укладка патронов в кассетах не обеспечивает достаточного темпа ведения огня по следующим причинам: </w:t>
      </w:r>
    </w:p>
    <w:p w14:paraId="7D7EB885"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неудобство доставания патронов из кассет, </w:t>
      </w:r>
    </w:p>
    <w:p w14:paraId="0179C54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загрязнение боекомплекта, </w:t>
      </w:r>
    </w:p>
    <w:p w14:paraId="3790D056"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крайне затруднен доступ к патронам, уложенным с левой стороны по ходу танка, </w:t>
      </w:r>
    </w:p>
    <w:p w14:paraId="499553E7"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наличие острых краев, приводящих к ранению рук заряжающего, </w:t>
      </w:r>
    </w:p>
    <w:p w14:paraId="00C0900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затруднена укладка патронов в кассеты наличием большого количества крышек и резиновых прокладок, </w:t>
      </w:r>
    </w:p>
    <w:p w14:paraId="7661039F"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отсутствие достаточной плотности укладки патронов в кассетах, приводящее к самоотвинчиванию дистанционных трубок и капсюлей гильзы, </w:t>
      </w:r>
    </w:p>
    <w:p w14:paraId="02D4F0BD"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ж) сильное загрязнение магазинов к пулеметам, находящихся в отделении управления. </w:t>
      </w:r>
    </w:p>
    <w:p w14:paraId="3E2438FC"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 затруднена выемка отдельных магазинов в нише башни. </w:t>
      </w:r>
    </w:p>
    <w:p w14:paraId="0EAAE97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Сидение для экипажа неудобно при работе. Экипаж в боевом отделении крайне стеснен. </w:t>
      </w:r>
    </w:p>
    <w:p w14:paraId="4DCBB434"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Настоящий материал является предварительным и освещает только основные вопросы испытания. Полные выводы и заключения по танку будут представлены в отчете 19 декабря с/г. </w:t>
      </w:r>
    </w:p>
    <w:p w14:paraId="1ACD024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НИП ГАБТУ КА ПОЛКОВНИК подпись (РОМАНОВ)</w:t>
      </w:r>
    </w:p>
    <w:p w14:paraId="45DD8ABA"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 НАЧ-КА НИП ГАБТУ КА ПО НАУЧНО-ТЕХНИЧ. ЧАСТИ</w:t>
      </w:r>
    </w:p>
    <w:p w14:paraId="5F1FE419"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1 РАНГА 13.XII.40 подпись (ГЛУХОВ)</w:t>
      </w:r>
    </w:p>
    <w:p w14:paraId="657E8DD0" w14:textId="77777777" w:rsidR="004B7EF4" w:rsidRPr="00A3026E" w:rsidRDefault="004B7E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 в двух экз.</w:t>
      </w:r>
    </w:p>
    <w:p w14:paraId="431352A2" w14:textId="77777777" w:rsidR="004B7EF4" w:rsidRPr="00A3026E" w:rsidRDefault="004B7EF4" w:rsidP="00A3026E">
      <w:pPr>
        <w:spacing w:after="0" w:line="240" w:lineRule="auto"/>
        <w:jc w:val="both"/>
        <w:rPr>
          <w:rFonts w:ascii="Times New Roman" w:hAnsi="Times New Roman"/>
          <w:color w:val="000000" w:themeColor="text1"/>
          <w:sz w:val="16"/>
          <w:szCs w:val="16"/>
        </w:rPr>
      </w:pPr>
    </w:p>
    <w:p w14:paraId="1521FE29" w14:textId="77777777" w:rsidR="009E6104" w:rsidRPr="00A3026E" w:rsidRDefault="009E610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13 декабря 1940 была </w:t>
      </w:r>
      <w:r w:rsidRPr="00A3026E">
        <w:rPr>
          <w:rFonts w:ascii="Times New Roman" w:hAnsi="Times New Roman"/>
          <w:color w:val="0070C0"/>
          <w:sz w:val="16"/>
          <w:szCs w:val="16"/>
          <w:shd w:val="clear" w:color="auto" w:fill="FFFFFF"/>
        </w:rPr>
        <w:t>Докладная записка секретариата Комитета обороны при СНК председателю Комитета обороны при СНК СССР К. Е. Ворошилову о состоянии производства танков Т-34 на заводе № 183 (22100).</w:t>
      </w:r>
    </w:p>
    <w:p w14:paraId="542028C9" w14:textId="77777777" w:rsidR="009E6104" w:rsidRPr="00A3026E" w:rsidRDefault="009E6104" w:rsidP="00A3026E">
      <w:pPr>
        <w:spacing w:after="0" w:line="240" w:lineRule="auto"/>
        <w:jc w:val="both"/>
        <w:rPr>
          <w:rFonts w:ascii="Times New Roman" w:hAnsi="Times New Roman"/>
          <w:color w:val="0070C0"/>
          <w:sz w:val="16"/>
          <w:szCs w:val="16"/>
        </w:rPr>
      </w:pPr>
    </w:p>
    <w:p w14:paraId="5755E4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 года вышел приказ № 396 НКВ:</w:t>
      </w:r>
    </w:p>
    <w:p w14:paraId="151F45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приказом НКВ от 1 августа 1940 года № 139/к о назначении директором строящегося завода № 313 Мелихова ……….(9190).</w:t>
      </w:r>
    </w:p>
    <w:p w14:paraId="6BAF825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728D76B" w14:textId="77777777" w:rsidR="0014077F"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За</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рубежом</w:t>
      </w:r>
      <w:r w:rsidRPr="00A3026E">
        <w:rPr>
          <w:rFonts w:ascii="Times New Roman" w:hAnsi="Times New Roman"/>
          <w:i/>
          <w:iCs/>
          <w:color w:val="000000" w:themeColor="text1"/>
          <w:sz w:val="16"/>
          <w:szCs w:val="16"/>
          <w:lang w:val="en-US"/>
        </w:rPr>
        <w:t>:</w:t>
      </w:r>
    </w:p>
    <w:p w14:paraId="04DCEF2E" w14:textId="77777777" w:rsidR="0014077F" w:rsidRPr="00A3026E" w:rsidRDefault="0014077F" w:rsidP="00A3026E">
      <w:pPr>
        <w:spacing w:after="0" w:line="240" w:lineRule="auto"/>
        <w:jc w:val="both"/>
        <w:rPr>
          <w:rFonts w:ascii="Times New Roman" w:hAnsi="Times New Roman"/>
          <w:iCs/>
          <w:color w:val="000000" w:themeColor="text1"/>
          <w:sz w:val="16"/>
          <w:szCs w:val="16"/>
          <w:lang w:val="en-US"/>
        </w:rPr>
      </w:pPr>
    </w:p>
    <w:p w14:paraId="2AD059E1"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December 13, 1940: Hitler issues Directive No. 20, the order for the preparation of Operation Marita, a plan for sending German forces to revive the bogged-down Italian offensive in Albania (3819).</w:t>
      </w:r>
    </w:p>
    <w:p w14:paraId="1614DFFD"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p>
    <w:p w14:paraId="39E198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 А.Гитлер выпустил директиву по операции Мартита - захвату Греции (2100).</w:t>
      </w:r>
    </w:p>
    <w:p w14:paraId="1EB074B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279CAA5" w14:textId="77777777" w:rsidR="00436F07" w:rsidRPr="00A3026E" w:rsidRDefault="00436F07"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13 декабря</w:t>
      </w:r>
      <w:r w:rsidRPr="00A3026E">
        <w:rPr>
          <w:rFonts w:ascii="Times New Roman" w:hAnsi="Times New Roman"/>
          <w:color w:val="000000" w:themeColor="text1"/>
          <w:sz w:val="16"/>
          <w:szCs w:val="16"/>
        </w:rPr>
        <w:t xml:space="preserve"> в 1940 году директива германского командования о нападении на Грецию (14859).</w:t>
      </w:r>
    </w:p>
    <w:p w14:paraId="4560110E" w14:textId="77777777" w:rsidR="00436F07" w:rsidRPr="00A3026E" w:rsidRDefault="00436F07" w:rsidP="00A3026E">
      <w:pPr>
        <w:spacing w:after="0" w:line="240" w:lineRule="auto"/>
        <w:jc w:val="both"/>
        <w:rPr>
          <w:rFonts w:ascii="Times New Roman" w:hAnsi="Times New Roman"/>
          <w:color w:val="000000" w:themeColor="text1"/>
          <w:sz w:val="16"/>
          <w:szCs w:val="16"/>
        </w:rPr>
      </w:pPr>
    </w:p>
    <w:p w14:paraId="117B1C5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декабря 1940 состоялась премьера антифашистского фильма Чарли Чаплина «Великий диктатор» (4962).</w:t>
      </w:r>
    </w:p>
    <w:p w14:paraId="3AFA9EF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3BB1BC34"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lastRenderedPageBreak/>
        <w:t>Авиапромышленность:</w:t>
      </w:r>
    </w:p>
    <w:p w14:paraId="2C8DF97F"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5DA958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вышел приказ А.И.Шахурина № 739 о запуске в серийное производство одноместного штурмовика Ил-2 на заводе № 18 (г. Воронеж) по типу прошедшего госиспытания, то есть, двухместного ЦКБ-55 № 2, со следующими изменениями:</w:t>
      </w:r>
    </w:p>
    <w:p w14:paraId="44B403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 сделать самолет одноместным, вместо двухместного;</w:t>
      </w:r>
    </w:p>
    <w:p w14:paraId="4906AE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установить мотор АМ-35А, вместо АМ-35;</w:t>
      </w:r>
    </w:p>
    <w:p w14:paraId="207382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установить заднюю бронес-тенку толщиной 12 мм;</w:t>
      </w:r>
    </w:p>
    <w:p w14:paraId="0A63BA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вместо двух крыльевых пулеметов ШКАС, установить в крыле две авиапушки конструкции Таубина-Ба-бурина (ОКБ-16) калибра 23 мм МП-6 (ПТБ-23) с общим боекомплектом 162 снаряда... » и т. д.</w:t>
      </w:r>
    </w:p>
    <w:p w14:paraId="2EEA4C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этом директор 18-го завода М. Б. Шенкман и Главный конструктор самолета С. В. Ильюшин обязывались обеспечить начало серийного производства Ил-2 с мотором АМ-35А с 15 февраля 1941 г. с выпуском до 1 марта - 10 машин, а всего в 1941 г. - 1200 штурмовиков. Кроме того, лично С. В. Ильюшин должен был завершить заводские испытания новой машины к 10 января 41-го.</w:t>
      </w:r>
    </w:p>
    <w:p w14:paraId="6D88A9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этой связи 20 декабря в Воронеж для помощи заводскому КБ прибыл Главный конструктор Ил-2 С. В. Ильюшин с группой ведущих конструкторов своего ОКБ.</w:t>
      </w:r>
    </w:p>
    <w:p w14:paraId="2EE4F8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АМ-35А к этому времени удовлетворительно прошел государственные испытания на станке (9649).</w:t>
      </w:r>
    </w:p>
    <w:p w14:paraId="21195B9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4DC36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г. А.И.Шахурин подписал приказ, обязывающий головной завод № 18 подготовить производство и обеспечить выпуск в 1941 г. 1200 бронированных штурмовиков (9528).</w:t>
      </w:r>
    </w:p>
    <w:p w14:paraId="6F1A397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C1CADD4"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shd w:val="clear" w:color="auto" w:fill="FFFFFF"/>
        </w:rPr>
        <w:t>14 декабря 1940г А.Шахурин подписывает приказ №739 о запуске в производство одноместного штурмовика Ил-2 на заводе №18 с требованием внесения следующих изменений в прошедший испытания двухместный штурмовик БШ-2: «…4) вместо двух крыльевых пулеметов ШКАС, установить в крыле две авиапушки конструкции Таубина-Бабурина (ОКБ-16) калибра 23 мм МП-6 (ПТБ-23) с общим боекомплектом 162 снаряда…». С 15 февраля по 1 марта 1941г планировалось выпустить 10 самолетов, а до конца года – 1200 самолетов Ил-2. Заводские испытания новой машины С.Ильюшин должен был завершить до 10 января 1941г. Сроки эти выдержаны не были (19205).</w:t>
      </w:r>
    </w:p>
    <w:p w14:paraId="53457F0C" w14:textId="77777777" w:rsidR="00023AEE" w:rsidRPr="00A3026E" w:rsidRDefault="00023AEE" w:rsidP="00A3026E">
      <w:pPr>
        <w:spacing w:after="0" w:line="240" w:lineRule="auto"/>
        <w:jc w:val="both"/>
        <w:rPr>
          <w:rFonts w:ascii="Times New Roman" w:hAnsi="Times New Roman"/>
          <w:color w:val="000000" w:themeColor="text1"/>
          <w:sz w:val="16"/>
          <w:szCs w:val="16"/>
        </w:rPr>
      </w:pPr>
    </w:p>
    <w:p w14:paraId="2C27D1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вышел приказ Шахурина № 739 о запуске в серийное производство одноместного штурмо</w:t>
      </w:r>
      <w:r w:rsidRPr="00A3026E">
        <w:rPr>
          <w:rFonts w:ascii="Times New Roman" w:hAnsi="Times New Roman"/>
          <w:color w:val="000000" w:themeColor="text1"/>
          <w:sz w:val="16"/>
          <w:szCs w:val="16"/>
        </w:rPr>
        <w:softHyphen/>
        <w:t>вика Ил-2* на заводе № 18 в Вороне</w:t>
      </w:r>
      <w:r w:rsidRPr="00A3026E">
        <w:rPr>
          <w:rFonts w:ascii="Times New Roman" w:hAnsi="Times New Roman"/>
          <w:color w:val="000000" w:themeColor="text1"/>
          <w:sz w:val="16"/>
          <w:szCs w:val="16"/>
        </w:rPr>
        <w:softHyphen/>
        <w:t>же по типу прошедшего гос. испытания (то есть двухместного) ЦКБ-55 № 2, со следующими изменениями:</w:t>
      </w:r>
    </w:p>
    <w:p w14:paraId="0EA90C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сделать самолет одноместным вместо двухместного;</w:t>
      </w:r>
    </w:p>
    <w:p w14:paraId="064ABE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установить мотор AM-35 А вмес</w:t>
      </w:r>
      <w:r w:rsidRPr="00A3026E">
        <w:rPr>
          <w:rFonts w:ascii="Times New Roman" w:hAnsi="Times New Roman"/>
          <w:color w:val="000000" w:themeColor="text1"/>
          <w:sz w:val="16"/>
          <w:szCs w:val="16"/>
        </w:rPr>
        <w:softHyphen/>
        <w:t>то АМ-35;</w:t>
      </w:r>
    </w:p>
    <w:p w14:paraId="7C7508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установить заднюю бронестенку толщиной 12мм;</w:t>
      </w:r>
    </w:p>
    <w:p w14:paraId="30E3D5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вместо двух крыльевых пулеметов ШКАС, установить в крыле две авиапуш</w:t>
      </w:r>
      <w:r w:rsidRPr="00A3026E">
        <w:rPr>
          <w:rFonts w:ascii="Times New Roman" w:hAnsi="Times New Roman"/>
          <w:color w:val="000000" w:themeColor="text1"/>
          <w:sz w:val="16"/>
          <w:szCs w:val="16"/>
        </w:rPr>
        <w:softHyphen/>
        <w:t>ки конструкции Таубина-Бабурина (ОКБ-16) калибра 23 мм МП-6 (ПТБ-23) с общим боекомплектом 162 снаряда...” и т. д (4140).</w:t>
      </w:r>
    </w:p>
    <w:p w14:paraId="2F8CBB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этом директор 18-го завода М. Б. Шенкман и Главный конструк</w:t>
      </w:r>
      <w:r w:rsidRPr="00A3026E">
        <w:rPr>
          <w:rFonts w:ascii="Times New Roman" w:hAnsi="Times New Roman"/>
          <w:color w:val="000000" w:themeColor="text1"/>
          <w:sz w:val="16"/>
          <w:szCs w:val="16"/>
        </w:rPr>
        <w:softHyphen/>
        <w:t>тор самолета С. В. Ильюшин обязы</w:t>
      </w:r>
      <w:r w:rsidRPr="00A3026E">
        <w:rPr>
          <w:rFonts w:ascii="Times New Roman" w:hAnsi="Times New Roman"/>
          <w:color w:val="000000" w:themeColor="text1"/>
          <w:sz w:val="16"/>
          <w:szCs w:val="16"/>
        </w:rPr>
        <w:softHyphen/>
        <w:t>вались обеспечить начало серийного производства Ил-2 АМ-35А с 15 фев</w:t>
      </w:r>
      <w:r w:rsidRPr="00A3026E">
        <w:rPr>
          <w:rFonts w:ascii="Times New Roman" w:hAnsi="Times New Roman"/>
          <w:color w:val="000000" w:themeColor="text1"/>
          <w:sz w:val="16"/>
          <w:szCs w:val="16"/>
        </w:rPr>
        <w:softHyphen/>
        <w:t>раля 1941 г. с выпуском до 1 марта 10 машин, а всего в 1941 г. — 1200 штурмовиков. Кроме того, Ильюшин должен был завершить заводские ис</w:t>
      </w:r>
      <w:r w:rsidRPr="00A3026E">
        <w:rPr>
          <w:rFonts w:ascii="Times New Roman" w:hAnsi="Times New Roman"/>
          <w:color w:val="000000" w:themeColor="text1"/>
          <w:sz w:val="16"/>
          <w:szCs w:val="16"/>
        </w:rPr>
        <w:softHyphen/>
        <w:t>пытания новой машины к 10 января 1941-го (4140).</w:t>
      </w:r>
    </w:p>
    <w:p w14:paraId="45062FB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961ED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А.И.Шахурин в новом приказе директору завода 18 и С.В.И. дал задание поставить на производство Ил-2 (был переименован в соответствии с постановлением, выпущенном 9 декабря 1940 в отношении всех новых самолетов) по тому образцу, который проходил гос. испытания, но только в одноместном варианте (172,194).</w:t>
      </w:r>
    </w:p>
    <w:p w14:paraId="5CE230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Точная формулировка приказа N 739cc от 14 декабря 1940:</w:t>
      </w:r>
    </w:p>
    <w:p w14:paraId="6C7163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исполнение постановления Правительства от 10 декабря 1940 года о программе завода N 18 на 1941 год - ПРИКАЗЫВАЮ:</w:t>
      </w:r>
    </w:p>
    <w:p w14:paraId="5515BB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Заместитель Народного Комиссара тов. Воронину П.А. и директору завода N 18 тов. А.Б.Шенкману обеспечить выпуск следующего количества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7"/>
        <w:gridCol w:w="1277"/>
        <w:gridCol w:w="1277"/>
        <w:gridCol w:w="1277"/>
        <w:gridCol w:w="1277"/>
        <w:gridCol w:w="1277"/>
        <w:gridCol w:w="1277"/>
      </w:tblGrid>
      <w:tr w:rsidR="00983732" w:rsidRPr="00A3026E" w14:paraId="33B0D99B" w14:textId="77777777" w:rsidTr="00EA0DA7">
        <w:tc>
          <w:tcPr>
            <w:tcW w:w="1277" w:type="dxa"/>
            <w:tcBorders>
              <w:top w:val="single" w:sz="12" w:space="0" w:color="auto"/>
            </w:tcBorders>
          </w:tcPr>
          <w:p w14:paraId="3DBE48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самолета</w:t>
            </w:r>
          </w:p>
        </w:tc>
        <w:tc>
          <w:tcPr>
            <w:tcW w:w="1277" w:type="dxa"/>
            <w:tcBorders>
              <w:top w:val="single" w:sz="12" w:space="0" w:color="auto"/>
            </w:tcBorders>
          </w:tcPr>
          <w:p w14:paraId="47F692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1941 г.</w:t>
            </w:r>
          </w:p>
        </w:tc>
        <w:tc>
          <w:tcPr>
            <w:tcW w:w="1277" w:type="dxa"/>
            <w:tcBorders>
              <w:top w:val="single" w:sz="12" w:space="0" w:color="auto"/>
            </w:tcBorders>
          </w:tcPr>
          <w:p w14:paraId="5962E6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tc>
        <w:tc>
          <w:tcPr>
            <w:tcW w:w="1277" w:type="dxa"/>
            <w:tcBorders>
              <w:top w:val="single" w:sz="12" w:space="0" w:color="auto"/>
            </w:tcBorders>
          </w:tcPr>
          <w:p w14:paraId="42338970"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77" w:type="dxa"/>
            <w:tcBorders>
              <w:top w:val="single" w:sz="12" w:space="0" w:color="auto"/>
            </w:tcBorders>
          </w:tcPr>
          <w:p w14:paraId="4E2C5BD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77" w:type="dxa"/>
            <w:tcBorders>
              <w:top w:val="single" w:sz="12" w:space="0" w:color="auto"/>
            </w:tcBorders>
          </w:tcPr>
          <w:p w14:paraId="16CC0BE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77" w:type="dxa"/>
            <w:tcBorders>
              <w:top w:val="single" w:sz="12" w:space="0" w:color="auto"/>
            </w:tcBorders>
          </w:tcPr>
          <w:p w14:paraId="2CF0F9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кв. 1942</w:t>
            </w:r>
          </w:p>
        </w:tc>
      </w:tr>
      <w:tr w:rsidR="00983732" w:rsidRPr="00A3026E" w14:paraId="7FF5D15D" w14:textId="77777777" w:rsidTr="00EA0DA7">
        <w:tc>
          <w:tcPr>
            <w:tcW w:w="1277" w:type="dxa"/>
          </w:tcPr>
          <w:p w14:paraId="2298E75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77" w:type="dxa"/>
          </w:tcPr>
          <w:p w14:paraId="5EF02B9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77" w:type="dxa"/>
          </w:tcPr>
          <w:p w14:paraId="3EC4BC5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77" w:type="dxa"/>
          </w:tcPr>
          <w:p w14:paraId="1C79F47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77" w:type="dxa"/>
          </w:tcPr>
          <w:p w14:paraId="0DA4BFD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77" w:type="dxa"/>
          </w:tcPr>
          <w:p w14:paraId="04616F6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77" w:type="dxa"/>
          </w:tcPr>
          <w:p w14:paraId="28FCA940"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078103C9" w14:textId="77777777" w:rsidTr="00EA0DA7">
        <w:tc>
          <w:tcPr>
            <w:tcW w:w="1277" w:type="dxa"/>
          </w:tcPr>
          <w:p w14:paraId="146DEA2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77" w:type="dxa"/>
          </w:tcPr>
          <w:p w14:paraId="57BD90E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77" w:type="dxa"/>
          </w:tcPr>
          <w:p w14:paraId="1E6C852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кв.</w:t>
            </w:r>
          </w:p>
        </w:tc>
        <w:tc>
          <w:tcPr>
            <w:tcW w:w="1277" w:type="dxa"/>
          </w:tcPr>
          <w:p w14:paraId="443CC2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кв.</w:t>
            </w:r>
          </w:p>
        </w:tc>
        <w:tc>
          <w:tcPr>
            <w:tcW w:w="1277" w:type="dxa"/>
          </w:tcPr>
          <w:p w14:paraId="69EFE5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кв.</w:t>
            </w:r>
          </w:p>
        </w:tc>
        <w:tc>
          <w:tcPr>
            <w:tcW w:w="1277" w:type="dxa"/>
          </w:tcPr>
          <w:p w14:paraId="33402E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кв.</w:t>
            </w:r>
          </w:p>
        </w:tc>
        <w:tc>
          <w:tcPr>
            <w:tcW w:w="1277" w:type="dxa"/>
          </w:tcPr>
          <w:p w14:paraId="40368B0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0FEF1A94" w14:textId="77777777" w:rsidTr="00EA0DA7">
        <w:tc>
          <w:tcPr>
            <w:tcW w:w="1277" w:type="dxa"/>
          </w:tcPr>
          <w:p w14:paraId="7B7AE0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 АМ-35А</w:t>
            </w:r>
          </w:p>
        </w:tc>
        <w:tc>
          <w:tcPr>
            <w:tcW w:w="1277" w:type="dxa"/>
          </w:tcPr>
          <w:p w14:paraId="3411ED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1277" w:type="dxa"/>
          </w:tcPr>
          <w:p w14:paraId="2ED813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277" w:type="dxa"/>
          </w:tcPr>
          <w:p w14:paraId="3266DB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277" w:type="dxa"/>
          </w:tcPr>
          <w:p w14:paraId="2F04B2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w:t>
            </w:r>
          </w:p>
        </w:tc>
        <w:tc>
          <w:tcPr>
            <w:tcW w:w="1277" w:type="dxa"/>
          </w:tcPr>
          <w:p w14:paraId="624DA5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c>
          <w:tcPr>
            <w:tcW w:w="1277" w:type="dxa"/>
          </w:tcPr>
          <w:p w14:paraId="57D48B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r>
      <w:tr w:rsidR="00983732" w:rsidRPr="00A3026E" w14:paraId="44A32242" w14:textId="77777777" w:rsidTr="00EA0DA7">
        <w:tc>
          <w:tcPr>
            <w:tcW w:w="1277" w:type="dxa"/>
          </w:tcPr>
          <w:p w14:paraId="62DB4A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ДБ-3Ф 2М-88</w:t>
            </w:r>
          </w:p>
        </w:tc>
        <w:tc>
          <w:tcPr>
            <w:tcW w:w="1277" w:type="dxa"/>
          </w:tcPr>
          <w:p w14:paraId="11CD91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1277" w:type="dxa"/>
          </w:tcPr>
          <w:p w14:paraId="166487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c>
          <w:tcPr>
            <w:tcW w:w="1277" w:type="dxa"/>
          </w:tcPr>
          <w:p w14:paraId="299C94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1277" w:type="dxa"/>
          </w:tcPr>
          <w:p w14:paraId="77014E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77" w:type="dxa"/>
          </w:tcPr>
          <w:p w14:paraId="0823C2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77" w:type="dxa"/>
          </w:tcPr>
          <w:p w14:paraId="5ED8F7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D827CDD" w14:textId="77777777" w:rsidTr="00EA0DA7">
        <w:tc>
          <w:tcPr>
            <w:tcW w:w="1277" w:type="dxa"/>
            <w:tcBorders>
              <w:bottom w:val="single" w:sz="12" w:space="0" w:color="auto"/>
            </w:tcBorders>
          </w:tcPr>
          <w:p w14:paraId="416619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Ер-2 2М-40</w:t>
            </w:r>
          </w:p>
        </w:tc>
        <w:tc>
          <w:tcPr>
            <w:tcW w:w="1277" w:type="dxa"/>
            <w:tcBorders>
              <w:bottom w:val="single" w:sz="12" w:space="0" w:color="auto"/>
            </w:tcBorders>
          </w:tcPr>
          <w:p w14:paraId="04EBBB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277" w:type="dxa"/>
            <w:tcBorders>
              <w:bottom w:val="single" w:sz="12" w:space="0" w:color="auto"/>
            </w:tcBorders>
          </w:tcPr>
          <w:p w14:paraId="628EA6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77" w:type="dxa"/>
            <w:tcBorders>
              <w:bottom w:val="single" w:sz="12" w:space="0" w:color="auto"/>
            </w:tcBorders>
          </w:tcPr>
          <w:p w14:paraId="1598DF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277" w:type="dxa"/>
            <w:tcBorders>
              <w:bottom w:val="single" w:sz="12" w:space="0" w:color="auto"/>
            </w:tcBorders>
          </w:tcPr>
          <w:p w14:paraId="24B559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277" w:type="dxa"/>
            <w:tcBorders>
              <w:bottom w:val="single" w:sz="12" w:space="0" w:color="auto"/>
            </w:tcBorders>
          </w:tcPr>
          <w:p w14:paraId="5C353D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1277" w:type="dxa"/>
            <w:tcBorders>
              <w:bottom w:val="single" w:sz="12" w:space="0" w:color="auto"/>
            </w:tcBorders>
          </w:tcPr>
          <w:p w14:paraId="0182AF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bl>
    <w:p w14:paraId="61FCD6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Директору завода N 18 тов. А.Б.Шенкману и главному конструктору самолета Ил-2 тов. Ильюшину поставить производство самолета Ил-2 по образцу, прошедшему гос. испытания со следующими изменениями:</w:t>
      </w:r>
    </w:p>
    <w:p w14:paraId="3BBAAB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сделать самолет одноместным вместо двухместного;</w:t>
      </w:r>
    </w:p>
    <w:p w14:paraId="035954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установить заднюю броневую стенку толщиной 12 мм, вместо 7 мм;</w:t>
      </w:r>
    </w:p>
    <w:p w14:paraId="151742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установить мотор АМ-35А вместо АМ-35;</w:t>
      </w:r>
    </w:p>
    <w:p w14:paraId="386B3F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установить в крыльях самолета две пушки Таубина-Бабурина калибра 23 мм со 150 снарядами на каждую пушку, вместо двух установленных пулеметов ШКАС;</w:t>
      </w:r>
    </w:p>
    <w:p w14:paraId="057FD4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важно, так как ясно, что речь идет именно о пушках с ленточным питанием.</w:t>
      </w:r>
    </w:p>
    <w:p w14:paraId="141143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обеспечить подвеску 8 штук реактивных снарядов;</w:t>
      </w:r>
    </w:p>
    <w:p w14:paraId="755B6F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Считать главной задачей - внедрение в серийное производство на заводе N 18 самолета Ил-2 - главному конструктору тов. Ильюшину вместе с группой конструкторов выехать на завод N 18 и обеспечить быстрейшее внедрение в серийное производство самолета Ил-2.</w:t>
      </w:r>
    </w:p>
    <w:p w14:paraId="4FC59B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Директору завода тов. А.Б.Шенкману и главному конструктору тов. Ильюшину - серийный выпуск самолетов Ил-2 начать с 15 февраля 1941 года с таким расчетом, чтобы до 1 марта 1941 года выпустить 10 самолетов.</w:t>
      </w:r>
    </w:p>
    <w:p w14:paraId="6AEB11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Главному конструктору тов. Ильюшину:</w:t>
      </w:r>
    </w:p>
    <w:p w14:paraId="5716EE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принять от ОКБ-16 НКЗ к 20.XII.1940 года 2 крыльевых пушки Таубина-Бабурина калибра 23 мм;</w:t>
      </w:r>
    </w:p>
    <w:p w14:paraId="25C080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важно, так как получается, что пушек МП-6 у ОКБ С.В.И. еще не было.</w:t>
      </w:r>
    </w:p>
    <w:p w14:paraId="6519EB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передать заводу N 18 пять комплектов чертежей самолета Ил-2 к 20.XII.1940, а спецификации материалов и готовых изделий - немедленно;</w:t>
      </w:r>
    </w:p>
    <w:p w14:paraId="2E7ABB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закончить заводские испытания самолета Ил-2 с пушками Таубина-Бабурина к 10 января 1941.</w:t>
      </w:r>
    </w:p>
    <w:p w14:paraId="3567CB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Директору завода N 18 тов. А.Б.Шенкману - немедленно прекратить выпуск самолетов ДБ-3Ф с М-87 и выпускать эти самолеты только с моторами М-88, а по получению с завода 39 моторов М-89 перейти на выпуск самолетов ДБ-3Ф с моторами М-89.</w:t>
      </w:r>
    </w:p>
    <w:p w14:paraId="6A015F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Главному конструктору тов. Ермолаеву установить на самолете Ер-2 моторы М-40, закончить к 1 апреля 1941 года заводские испытания и передать самолет на гос. испытания.</w:t>
      </w:r>
    </w:p>
    <w:p w14:paraId="51ABDDB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Начальнику ГУКС'а НКАП тов.Кац и-директору завода тов. Шенкману закончить строительство:</w:t>
      </w:r>
    </w:p>
    <w:p w14:paraId="4965961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цеха шасси</w:t>
      </w:r>
      <w:r w:rsidRPr="00A3026E">
        <w:rPr>
          <w:rFonts w:ascii="Times New Roman" w:hAnsi="Times New Roman"/>
          <w:color w:val="000000" w:themeColor="text1"/>
          <w:sz w:val="16"/>
          <w:szCs w:val="16"/>
        </w:rPr>
        <w:tab/>
        <w:t>к I мая 1941 года;</w:t>
      </w:r>
    </w:p>
    <w:p w14:paraId="593AC2D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литейного цеха</w:t>
      </w:r>
      <w:r w:rsidRPr="00A3026E">
        <w:rPr>
          <w:rFonts w:ascii="Times New Roman" w:hAnsi="Times New Roman"/>
          <w:color w:val="000000" w:themeColor="text1"/>
          <w:sz w:val="16"/>
          <w:szCs w:val="16"/>
        </w:rPr>
        <w:tab/>
        <w:t>к I марта 1941 года;</w:t>
      </w:r>
    </w:p>
    <w:p w14:paraId="3E50D8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ЦРП № I</w:t>
      </w:r>
      <w:r w:rsidRPr="00A3026E">
        <w:rPr>
          <w:rFonts w:ascii="Times New Roman" w:hAnsi="Times New Roman"/>
          <w:color w:val="000000" w:themeColor="text1"/>
          <w:sz w:val="16"/>
          <w:szCs w:val="16"/>
        </w:rPr>
        <w:tab/>
        <w:t>к 15 мая 1941 года;</w:t>
      </w:r>
    </w:p>
    <w:p w14:paraId="3E8B4A7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ЦРЦ № 2</w:t>
      </w:r>
      <w:r w:rsidRPr="00A3026E">
        <w:rPr>
          <w:rFonts w:ascii="Times New Roman" w:hAnsi="Times New Roman"/>
          <w:color w:val="000000" w:themeColor="text1"/>
          <w:sz w:val="16"/>
          <w:szCs w:val="16"/>
        </w:rPr>
        <w:tab/>
        <w:t>к 15 марта 1941года}</w:t>
      </w:r>
    </w:p>
    <w:p w14:paraId="00B405D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бетоно-взлетно-посадочной полосы на аэродроме</w:t>
      </w:r>
      <w:r w:rsidRPr="00A3026E">
        <w:rPr>
          <w:rFonts w:ascii="Times New Roman" w:hAnsi="Times New Roman"/>
          <w:color w:val="000000" w:themeColor="text1"/>
          <w:sz w:val="16"/>
          <w:szCs w:val="16"/>
        </w:rPr>
        <w:tab/>
        <w:t>к 15 июля 1941 года;</w:t>
      </w:r>
    </w:p>
    <w:p w14:paraId="1551618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4-х этажного жилого дома</w:t>
      </w:r>
      <w:r w:rsidRPr="00A3026E">
        <w:rPr>
          <w:rFonts w:ascii="Times New Roman" w:hAnsi="Times New Roman"/>
          <w:color w:val="000000" w:themeColor="text1"/>
          <w:sz w:val="16"/>
          <w:szCs w:val="16"/>
        </w:rPr>
        <w:tab/>
        <w:t>к 15 июня 1941 года;</w:t>
      </w:r>
    </w:p>
    <w:p w14:paraId="6E16352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2-х этажные шлакобетонные дома</w:t>
      </w:r>
    </w:p>
    <w:p w14:paraId="650213B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домов</w:t>
      </w:r>
      <w:r w:rsidRPr="00A3026E">
        <w:rPr>
          <w:rFonts w:ascii="Times New Roman" w:hAnsi="Times New Roman"/>
          <w:color w:val="000000" w:themeColor="text1"/>
          <w:sz w:val="16"/>
          <w:szCs w:val="16"/>
        </w:rPr>
        <w:tab/>
        <w:t>к 15 мая 1941 года;</w:t>
      </w:r>
    </w:p>
    <w:p w14:paraId="1BBB1CF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домов</w:t>
      </w:r>
      <w:r w:rsidRPr="00A3026E">
        <w:rPr>
          <w:rFonts w:ascii="Times New Roman" w:hAnsi="Times New Roman"/>
          <w:color w:val="000000" w:themeColor="text1"/>
          <w:sz w:val="16"/>
          <w:szCs w:val="16"/>
        </w:rPr>
        <w:tab/>
        <w:t>к 15 августа 1941 года;</w:t>
      </w:r>
    </w:p>
    <w:p w14:paraId="7453D0A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домов</w:t>
      </w:r>
      <w:r w:rsidRPr="00A3026E">
        <w:rPr>
          <w:rFonts w:ascii="Times New Roman" w:hAnsi="Times New Roman"/>
          <w:color w:val="000000" w:themeColor="text1"/>
          <w:sz w:val="16"/>
          <w:szCs w:val="16"/>
        </w:rPr>
        <w:tab/>
        <w:t>к 15 октября 1941 года;</w:t>
      </w:r>
    </w:p>
    <w:p w14:paraId="4E78801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Начальникам ГУКС'а тов. Кац и ЦФО тов. Хавину - выделить заводу № 18 для промышленного и жилищно-бытового строительства в 1941 году 30 млн.рублей.</w:t>
      </w:r>
    </w:p>
    <w:p w14:paraId="7FD6E21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Заместителю Народного Комиссара тов. Хруничеву М.З. выделить из фондов Наркомата заводу № 18 в 1941 году 250 еди</w:t>
      </w:r>
      <w:r w:rsidRPr="00A3026E">
        <w:rPr>
          <w:rFonts w:ascii="Times New Roman" w:hAnsi="Times New Roman"/>
          <w:color w:val="000000" w:themeColor="text1"/>
          <w:sz w:val="16"/>
          <w:szCs w:val="16"/>
        </w:rPr>
        <w:softHyphen/>
        <w:t>ниц оборудования, из них 100 единиц в первом квартале.</w:t>
      </w:r>
    </w:p>
    <w:p w14:paraId="71ABC61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11. Начальнику Главснаба тов. Папернову реализовать выделенные Экономсоветом целевым назначением для завода № 18 в счет фондов Наркомата: электрооборудование, тяжелую и легкую кабель</w:t>
      </w:r>
      <w:r w:rsidRPr="00A3026E">
        <w:rPr>
          <w:rFonts w:ascii="Times New Roman" w:hAnsi="Times New Roman"/>
          <w:color w:val="000000" w:themeColor="text1"/>
          <w:sz w:val="16"/>
          <w:szCs w:val="16"/>
        </w:rPr>
        <w:softHyphen/>
        <w:t>ную продукцию, общезаводское оборудование, строймеханизмы и стройоборудование, аэродромное оборудование и строительные мате</w:t>
      </w:r>
      <w:r w:rsidRPr="00A3026E">
        <w:rPr>
          <w:rFonts w:ascii="Times New Roman" w:hAnsi="Times New Roman"/>
          <w:color w:val="000000" w:themeColor="text1"/>
          <w:sz w:val="16"/>
          <w:szCs w:val="16"/>
        </w:rPr>
        <w:softHyphen/>
        <w:t>риалы, согласно приложений №№ 1, 2, 3, 4, 5, 6 и 7.</w:t>
      </w:r>
    </w:p>
    <w:p w14:paraId="65DA92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Начальнику ЦФО тов. Хавину оформить получение в НКФ СССР в мое распоряжение для завода № 18:</w:t>
      </w:r>
    </w:p>
    <w:p w14:paraId="0D2D839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7 млн. рублей - на постановку производства самолетов ИЛ-2;</w:t>
      </w:r>
    </w:p>
    <w:p w14:paraId="261E7CE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3 млн. рублей на премирование рабочих и ИТР за выполне</w:t>
      </w:r>
      <w:r w:rsidRPr="00A3026E">
        <w:rPr>
          <w:rFonts w:ascii="Times New Roman" w:hAnsi="Times New Roman"/>
          <w:color w:val="000000" w:themeColor="text1"/>
          <w:sz w:val="16"/>
          <w:szCs w:val="16"/>
        </w:rPr>
        <w:softHyphen/>
        <w:t>ние программы 1941 года с выдачей премий поквартально.</w:t>
      </w:r>
    </w:p>
    <w:p w14:paraId="7AAB124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Директору завода № 18 тов. Шенкману:</w:t>
      </w:r>
    </w:p>
    <w:p w14:paraId="0FE8C5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довести до сведения коллектив рабочих, ИТР и служащих завода, что за своевременное выполнение утвержденной программы заводу установлена премия в размере 3 млн. рублей;</w:t>
      </w:r>
    </w:p>
    <w:p w14:paraId="6FE0F63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выплата прений за своевременное выполнение программы в соответствии с.положением о премировании производится поквар</w:t>
      </w:r>
      <w:r w:rsidRPr="00A3026E">
        <w:rPr>
          <w:rFonts w:ascii="Times New Roman" w:hAnsi="Times New Roman"/>
          <w:color w:val="000000" w:themeColor="text1"/>
          <w:sz w:val="16"/>
          <w:szCs w:val="16"/>
        </w:rPr>
        <w:softHyphen/>
        <w:t xml:space="preserve">тально с моего утверждения. </w:t>
      </w:r>
    </w:p>
    <w:p w14:paraId="2453400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Для обеспечения притока рабочем силы на завод № 18 начальникам ГУКС'а тов.Кац и ЦФО тов. Хавину - выделить заводу на 1941 год ссуду а размере 2 млн. рублей для развития индиви</w:t>
      </w:r>
      <w:r w:rsidRPr="00A3026E">
        <w:rPr>
          <w:rFonts w:ascii="Times New Roman" w:hAnsi="Times New Roman"/>
          <w:color w:val="000000" w:themeColor="text1"/>
          <w:sz w:val="16"/>
          <w:szCs w:val="16"/>
        </w:rPr>
        <w:softHyphen/>
        <w:t>дуального жилстроительства.</w:t>
      </w:r>
    </w:p>
    <w:p w14:paraId="28CD0E1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Одновременно этим же постановлением Правительство обязало:</w:t>
      </w:r>
    </w:p>
    <w:p w14:paraId="5DA13F6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НКПС тов.Каганович Л.М. - выделять 20-му стройтресту НКАП ежемесячно, начиная с I января 1941 года по 250 вагонов, для завоза в Воронеж бутового камня из Ельца, также разрешен завоз в Воронеж для 20-го стройтреста НКАП кирпича со ст.Осно</w:t>
      </w:r>
      <w:r w:rsidRPr="00A3026E">
        <w:rPr>
          <w:rFonts w:ascii="Times New Roman" w:hAnsi="Times New Roman"/>
          <w:color w:val="000000" w:themeColor="text1"/>
          <w:sz w:val="16"/>
          <w:szCs w:val="16"/>
        </w:rPr>
        <w:softHyphen/>
        <w:t>ва в количестве 500 тыс.штук в месяц;</w:t>
      </w:r>
    </w:p>
    <w:p w14:paraId="0E09FFC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Воронежский Обком ВКП/б/ и Облисполком - обеспечить в первую очередь снабжение строительства завода № 18 местными строительными материалами в 1941 году в пределах полной потреб</w:t>
      </w:r>
      <w:r w:rsidRPr="00A3026E">
        <w:rPr>
          <w:rFonts w:ascii="Times New Roman" w:hAnsi="Times New Roman"/>
          <w:color w:val="000000" w:themeColor="text1"/>
          <w:sz w:val="16"/>
          <w:szCs w:val="16"/>
        </w:rPr>
        <w:softHyphen/>
        <w:t>ности завода;</w:t>
      </w:r>
    </w:p>
    <w:p w14:paraId="30A53E7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Наркомат Электростанций тов. Леткова:</w:t>
      </w:r>
    </w:p>
    <w:p w14:paraId="4E5A53A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полностью и бесперебойно снабжать завода № 18 электрической энергией;</w:t>
      </w:r>
    </w:p>
    <w:p w14:paraId="7A47907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окончить монтаж 2-х ячеек на открытой подстанции ВОГЭС 35 квт. и подсоединить фидера 35 квт завода № 18:</w:t>
      </w:r>
    </w:p>
    <w:p w14:paraId="267D456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к 30 января 1941 года;</w:t>
      </w:r>
    </w:p>
    <w:p w14:paraId="2EDC27C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к 1 марта 1941 года;</w:t>
      </w:r>
    </w:p>
    <w:p w14:paraId="4EEDFED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Наркомхоз РСФСР - выделить Воронежскому Горсовету 10 моторных и 10 прицепных вагонов, усилив трамвайное сообще</w:t>
      </w:r>
      <w:r w:rsidRPr="00A3026E">
        <w:rPr>
          <w:rFonts w:ascii="Times New Roman" w:hAnsi="Times New Roman"/>
          <w:color w:val="000000" w:themeColor="text1"/>
          <w:sz w:val="16"/>
          <w:szCs w:val="16"/>
        </w:rPr>
        <w:softHyphen/>
        <w:t>ние между городом и заводом;</w:t>
      </w:r>
    </w:p>
    <w:p w14:paraId="1B555A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НКПС - (Начальника Юго-Зосточной ж.д.) - перевести сообщение между станциями Лиски-Придача в категорию пригород</w:t>
      </w:r>
      <w:r w:rsidRPr="00A3026E">
        <w:rPr>
          <w:rFonts w:ascii="Times New Roman" w:hAnsi="Times New Roman"/>
          <w:color w:val="000000" w:themeColor="text1"/>
          <w:sz w:val="16"/>
          <w:szCs w:val="16"/>
        </w:rPr>
        <w:softHyphen/>
        <w:t>ного города Воронежа и увеличить количество рабочих поездов, изменив расписание их движения в соответствии со сменностью работы на заводе № 18;</w:t>
      </w:r>
    </w:p>
    <w:p w14:paraId="3479663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Промбанк СССР - финансировать строительство завода № 18 по проектам и сметам на отдельные об'екты и виды работ, утверждаемые мною (244,ё152).</w:t>
      </w:r>
    </w:p>
    <w:p w14:paraId="305385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АВИАЦИОННОЙ</w:t>
      </w:r>
    </w:p>
    <w:p w14:paraId="0F43D5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ПРОМЫШЛЕННОСТИ СССР</w:t>
      </w:r>
    </w:p>
    <w:p w14:paraId="385590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(А.Шахурин)" (244,152).</w:t>
      </w:r>
    </w:p>
    <w:p w14:paraId="4598AC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донесения военпреда завода 39 от 31 декабря 1940 на заводе с 14 по 21 декабря проходили заводские испытания головного Пе-2. В.П.Федоров сделал 10 полетов и налетал 4 час. 36 мин., однако 21 полет выполнил П.М.Стефановский и выявил ряд недостатков. Тем не менее 22 декабря самолет был передан на гос. испытания (769,2).</w:t>
      </w:r>
    </w:p>
    <w:p w14:paraId="0D2434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Интересно, что потом С.В.И. ссылался и на постановление Правительства от 14.12.1940, согласно которому ему должны были дать 2 пушки МП-6 Таубина серийного производства для установки их на самолет Ил-2 к 20 декабря 1940 (1316,282).</w:t>
      </w:r>
    </w:p>
    <w:p w14:paraId="40F33E7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EB09F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приказом А.И.Шахурина № 739 был запусщен в серийное про</w:t>
      </w:r>
      <w:r w:rsidRPr="00A3026E">
        <w:rPr>
          <w:rFonts w:ascii="Times New Roman" w:hAnsi="Times New Roman"/>
          <w:color w:val="000000" w:themeColor="text1"/>
          <w:sz w:val="16"/>
          <w:szCs w:val="16"/>
        </w:rPr>
        <w:softHyphen/>
        <w:t>изводство одноместный штурмовик Ил-2 (9 декабря приказом по НКАП № 704 все новые боевые самолеты, принятые к се</w:t>
      </w:r>
      <w:r w:rsidRPr="00A3026E">
        <w:rPr>
          <w:rFonts w:ascii="Times New Roman" w:hAnsi="Times New Roman"/>
          <w:color w:val="000000" w:themeColor="text1"/>
          <w:sz w:val="16"/>
          <w:szCs w:val="16"/>
        </w:rPr>
        <w:softHyphen/>
        <w:t>рийному производству, получили наиме</w:t>
      </w:r>
      <w:r w:rsidRPr="00A3026E">
        <w:rPr>
          <w:rFonts w:ascii="Times New Roman" w:hAnsi="Times New Roman"/>
          <w:color w:val="000000" w:themeColor="text1"/>
          <w:sz w:val="16"/>
          <w:szCs w:val="16"/>
        </w:rPr>
        <w:softHyphen/>
        <w:t>нования по фамилиям их Главных кон</w:t>
      </w:r>
      <w:r w:rsidRPr="00A3026E">
        <w:rPr>
          <w:rFonts w:ascii="Times New Roman" w:hAnsi="Times New Roman"/>
          <w:color w:val="000000" w:themeColor="text1"/>
          <w:sz w:val="16"/>
          <w:szCs w:val="16"/>
        </w:rPr>
        <w:softHyphen/>
        <w:t>структоров, в том числе БШ-2 стал име</w:t>
      </w:r>
      <w:r w:rsidRPr="00A3026E">
        <w:rPr>
          <w:rFonts w:ascii="Times New Roman" w:hAnsi="Times New Roman"/>
          <w:color w:val="000000" w:themeColor="text1"/>
          <w:sz w:val="16"/>
          <w:szCs w:val="16"/>
        </w:rPr>
        <w:softHyphen/>
        <w:t>новаться Ил-2) на заводе № 18 по типу прошедшего гос. испытания, то есть двух</w:t>
      </w:r>
      <w:r w:rsidRPr="00A3026E">
        <w:rPr>
          <w:rFonts w:ascii="Times New Roman" w:hAnsi="Times New Roman"/>
          <w:color w:val="000000" w:themeColor="text1"/>
          <w:sz w:val="16"/>
          <w:szCs w:val="16"/>
        </w:rPr>
        <w:softHyphen/>
        <w:t>местного БШ-2 № 2, со следующими изменениями: ".</w:t>
      </w:r>
      <w:r w:rsidRPr="00A3026E">
        <w:rPr>
          <w:rFonts w:ascii="Times New Roman" w:hAnsi="Times New Roman"/>
          <w:iCs/>
          <w:color w:val="000000" w:themeColor="text1"/>
          <w:sz w:val="16"/>
          <w:szCs w:val="16"/>
        </w:rPr>
        <w:t>..1) сделать самолет одноместным, вместо двухместного; 2) установить мотор АМ-35А вместо АМ-35; 3) установить заднюю бронестенку толщиной 12 мм; 4) вместо двух крыльевых пулеметов ШКАС, установить в кры</w:t>
      </w:r>
      <w:r w:rsidRPr="00A3026E">
        <w:rPr>
          <w:rFonts w:ascii="Times New Roman" w:hAnsi="Times New Roman"/>
          <w:iCs/>
          <w:color w:val="000000" w:themeColor="text1"/>
          <w:sz w:val="16"/>
          <w:szCs w:val="16"/>
        </w:rPr>
        <w:softHyphen/>
        <w:t>ле две авиапушки конструкции Таубина-Бабурина (ОКБ-16) калибра 23 мм МП-6 (ПТБ-23) с общим боекомплектом 162 снаряда..."</w:t>
      </w:r>
      <w:r w:rsidRPr="00A3026E">
        <w:rPr>
          <w:rFonts w:ascii="Times New Roman" w:hAnsi="Times New Roman"/>
          <w:color w:val="000000" w:themeColor="text1"/>
          <w:sz w:val="16"/>
          <w:szCs w:val="16"/>
        </w:rPr>
        <w:t xml:space="preserve"> При этом директор 18-го завода М.Б.Шенкман и С.В.Ильюшин обязывались обеспечить начало серий</w:t>
      </w:r>
      <w:r w:rsidRPr="00A3026E">
        <w:rPr>
          <w:rFonts w:ascii="Times New Roman" w:hAnsi="Times New Roman"/>
          <w:color w:val="000000" w:themeColor="text1"/>
          <w:sz w:val="16"/>
          <w:szCs w:val="16"/>
        </w:rPr>
        <w:softHyphen/>
        <w:t>ного производства Ил-2 с АМ-35А с 15 февраля 1941 г. с выпуском до 1 марта - 10 машин, а всего в 1941 г. - 1200 штур</w:t>
      </w:r>
      <w:r w:rsidRPr="00A3026E">
        <w:rPr>
          <w:rFonts w:ascii="Times New Roman" w:hAnsi="Times New Roman"/>
          <w:color w:val="000000" w:themeColor="text1"/>
          <w:sz w:val="16"/>
          <w:szCs w:val="16"/>
        </w:rPr>
        <w:softHyphen/>
        <w:t>мовиков. Кроме этого, лично С.В.Илью</w:t>
      </w:r>
      <w:r w:rsidRPr="00A3026E">
        <w:rPr>
          <w:rFonts w:ascii="Times New Roman" w:hAnsi="Times New Roman"/>
          <w:color w:val="000000" w:themeColor="text1"/>
          <w:sz w:val="16"/>
          <w:szCs w:val="16"/>
        </w:rPr>
        <w:softHyphen/>
        <w:t>шин должен был завершить заводские испытания новой машины к 10 января 41 -го. В этой связи С.В.Ильюшин с груп</w:t>
      </w:r>
      <w:r w:rsidRPr="00A3026E">
        <w:rPr>
          <w:rFonts w:ascii="Times New Roman" w:hAnsi="Times New Roman"/>
          <w:color w:val="000000" w:themeColor="text1"/>
          <w:sz w:val="16"/>
          <w:szCs w:val="16"/>
        </w:rPr>
        <w:softHyphen/>
        <w:t>пой ведущих конструкторов своего ОКБ 20 декабря прибыл в Воронеж для по</w:t>
      </w:r>
      <w:r w:rsidRPr="00A3026E">
        <w:rPr>
          <w:rFonts w:ascii="Times New Roman" w:hAnsi="Times New Roman"/>
          <w:color w:val="000000" w:themeColor="text1"/>
          <w:sz w:val="16"/>
          <w:szCs w:val="16"/>
        </w:rPr>
        <w:softHyphen/>
        <w:t>мощи заводскому КБ (6467).</w:t>
      </w:r>
    </w:p>
    <w:p w14:paraId="68EE0D0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F7786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вышел приказ НКАП N 739сс, которым С.В.И. был обязан установить на самолете БШ-2 две 23 мм пушки системы Я.Г.Таубина со 150-ю снарядами на каждую пушку (1203).</w:t>
      </w:r>
    </w:p>
    <w:p w14:paraId="776875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Видно это как раз этот приказ.</w:t>
      </w:r>
    </w:p>
    <w:p w14:paraId="7D77DDD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A867983" w14:textId="77777777" w:rsidR="00D61E13" w:rsidRPr="00A3026E" w:rsidRDefault="00D61E1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14 декабря 1940 г. Приказ Шахурина в целом повторял постанов</w:t>
      </w:r>
      <w:r w:rsidRPr="00A3026E">
        <w:rPr>
          <w:color w:val="000000" w:themeColor="text1"/>
          <w:sz w:val="16"/>
          <w:szCs w:val="16"/>
        </w:rPr>
        <w:softHyphen/>
        <w:t>ление и устанавливал срок оконча</w:t>
      </w:r>
      <w:r w:rsidRPr="00A3026E">
        <w:rPr>
          <w:color w:val="000000" w:themeColor="text1"/>
          <w:sz w:val="16"/>
          <w:szCs w:val="16"/>
        </w:rPr>
        <w:softHyphen/>
        <w:t>ния заводских испытаний опытного самолета БШ-2 с мотором АМ-38 и с пушками МП-6 не позже 10 ян</w:t>
      </w:r>
      <w:r w:rsidRPr="00A3026E">
        <w:rPr>
          <w:color w:val="000000" w:themeColor="text1"/>
          <w:sz w:val="16"/>
          <w:szCs w:val="16"/>
        </w:rPr>
        <w:softHyphen/>
        <w:t>варя 1941 г.</w:t>
      </w:r>
    </w:p>
    <w:p w14:paraId="13F092E6" w14:textId="77777777" w:rsidR="00D61E13" w:rsidRPr="00A3026E" w:rsidRDefault="00D61E1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Одновременно «главному кон</w:t>
      </w:r>
      <w:r w:rsidRPr="00A3026E">
        <w:rPr>
          <w:color w:val="000000" w:themeColor="text1"/>
          <w:sz w:val="16"/>
          <w:szCs w:val="16"/>
        </w:rPr>
        <w:softHyphen/>
        <w:t>структору тов. Ильюшину вместе с группой конструкторов» предпи</w:t>
      </w:r>
      <w:r w:rsidRPr="00A3026E">
        <w:rPr>
          <w:color w:val="000000" w:themeColor="text1"/>
          <w:sz w:val="16"/>
          <w:szCs w:val="16"/>
        </w:rPr>
        <w:softHyphen/>
        <w:t>сывалось «выехать на завод № 18 и обеспечить быстрейшее внедре</w:t>
      </w:r>
      <w:r w:rsidRPr="00A3026E">
        <w:rPr>
          <w:color w:val="000000" w:themeColor="text1"/>
          <w:sz w:val="16"/>
          <w:szCs w:val="16"/>
        </w:rPr>
        <w:softHyphen/>
        <w:t>ние в серийное производство само</w:t>
      </w:r>
      <w:r w:rsidRPr="00A3026E">
        <w:rPr>
          <w:color w:val="000000" w:themeColor="text1"/>
          <w:sz w:val="16"/>
          <w:szCs w:val="16"/>
        </w:rPr>
        <w:softHyphen/>
        <w:t>лета Ил-2». Уже к 20 декабря 1940 г. требовалось передать заводу № 18 пять комплектов чертежей самоле</w:t>
      </w:r>
      <w:r w:rsidRPr="00A3026E">
        <w:rPr>
          <w:color w:val="000000" w:themeColor="text1"/>
          <w:sz w:val="16"/>
          <w:szCs w:val="16"/>
        </w:rPr>
        <w:softHyphen/>
        <w:t>та Ил-2, а «спецификации материалов и готовых из</w:t>
      </w:r>
      <w:r w:rsidRPr="00A3026E">
        <w:rPr>
          <w:color w:val="000000" w:themeColor="text1"/>
          <w:sz w:val="16"/>
          <w:szCs w:val="16"/>
        </w:rPr>
        <w:softHyphen/>
        <w:t>делий — немедленно».</w:t>
      </w:r>
    </w:p>
    <w:p w14:paraId="0F404239" w14:textId="77777777" w:rsidR="00D61E13" w:rsidRPr="00A3026E" w:rsidRDefault="00D61E1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Отметим, что к этому времени БШ-2 осваивал</w:t>
      </w:r>
      <w:r w:rsidRPr="00A3026E">
        <w:rPr>
          <w:color w:val="000000" w:themeColor="text1"/>
          <w:sz w:val="16"/>
          <w:szCs w:val="16"/>
        </w:rPr>
        <w:softHyphen/>
        <w:t>ся в производстве на заводах № 30 (г. Иваньково) и № 381 (г. Ленинград), но без пушечного вооруже</w:t>
      </w:r>
      <w:r w:rsidRPr="00A3026E">
        <w:rPr>
          <w:color w:val="000000" w:themeColor="text1"/>
          <w:sz w:val="16"/>
          <w:szCs w:val="16"/>
        </w:rPr>
        <w:softHyphen/>
        <w:t>ния. Приказом НКАП от 27 декабря завод № 30 ос</w:t>
      </w:r>
      <w:r w:rsidRPr="00A3026E">
        <w:rPr>
          <w:color w:val="000000" w:themeColor="text1"/>
          <w:sz w:val="16"/>
          <w:szCs w:val="16"/>
        </w:rPr>
        <w:softHyphen/>
        <w:t>вобождался от войсковой серии БШ-2 и передавал всю оснастку и задел по самолету заводу № 381, который с 7 января 1941 г. переходил в серии на одноместный самолет Ил-2 с двумя пушками МП-6 (боезапас 300 патронов). С 8 февраля 1941 г. к про</w:t>
      </w:r>
      <w:r w:rsidRPr="00A3026E">
        <w:rPr>
          <w:color w:val="000000" w:themeColor="text1"/>
          <w:sz w:val="16"/>
          <w:szCs w:val="16"/>
        </w:rPr>
        <w:softHyphen/>
        <w:t>грамме выпуска пушечного Ил-2 подключался смо</w:t>
      </w:r>
      <w:r w:rsidRPr="00A3026E">
        <w:rPr>
          <w:color w:val="000000" w:themeColor="text1"/>
          <w:sz w:val="16"/>
          <w:szCs w:val="16"/>
        </w:rPr>
        <w:softHyphen/>
        <w:t>ленский завод № 35, а с 12 февраля — ленинград</w:t>
      </w:r>
      <w:r w:rsidRPr="00A3026E">
        <w:rPr>
          <w:color w:val="000000" w:themeColor="text1"/>
          <w:sz w:val="16"/>
          <w:szCs w:val="16"/>
        </w:rPr>
        <w:softHyphen/>
        <w:t>ский завод № 380.</w:t>
      </w:r>
    </w:p>
    <w:p w14:paraId="2F392ED1" w14:textId="77777777" w:rsidR="00D61E13" w:rsidRPr="00A3026E" w:rsidRDefault="00D61E1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Таким образом, бронированный штурмовик Ил-2 планировалось выпускать сразу на 4 авиаза</w:t>
      </w:r>
      <w:r w:rsidRPr="00A3026E">
        <w:rPr>
          <w:color w:val="000000" w:themeColor="text1"/>
          <w:sz w:val="16"/>
          <w:szCs w:val="16"/>
        </w:rPr>
        <w:softHyphen/>
        <w:t>водах. К концу 1941 г. строевые части ВВС КА долж</w:t>
      </w:r>
      <w:r w:rsidRPr="00A3026E">
        <w:rPr>
          <w:color w:val="000000" w:themeColor="text1"/>
          <w:sz w:val="16"/>
          <w:szCs w:val="16"/>
        </w:rPr>
        <w:softHyphen/>
        <w:t>ны были получить 1500 самолетов этого типа (17500).</w:t>
      </w:r>
    </w:p>
    <w:p w14:paraId="3FC5E4EA" w14:textId="77777777" w:rsidR="00D61E13" w:rsidRPr="00A3026E" w:rsidRDefault="00D61E13" w:rsidP="00A3026E">
      <w:pPr>
        <w:spacing w:after="0" w:line="240" w:lineRule="auto"/>
        <w:jc w:val="both"/>
        <w:rPr>
          <w:rFonts w:ascii="Times New Roman" w:eastAsia="Times New Roman" w:hAnsi="Times New Roman"/>
          <w:color w:val="000000" w:themeColor="text1"/>
          <w:sz w:val="16"/>
          <w:szCs w:val="16"/>
          <w:lang w:eastAsia="ru-RU"/>
        </w:rPr>
      </w:pPr>
    </w:p>
    <w:p w14:paraId="67A51DCA"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 и 15 декабря 1940 была Сопроводительная записка членов Политбюро ЦК ВКП(б) Н. С. Хрущева и А. А. Жданова к проекту постановления СНК СССР и ЦК ВКП(б) "Об обеспечении бронекорпусами самолетов Ил-2" и проект постановления, утвержденный Политбюро ЦК ВКП(б)</w:t>
      </w:r>
    </w:p>
    <w:p w14:paraId="4474B662"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Проект</w:t>
      </w:r>
    </w:p>
    <w:p w14:paraId="4C85ABF0"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w:t>
      </w:r>
    </w:p>
    <w:p w14:paraId="3F21E3F7"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СОВЕТА НАРОДНЫХ КОМИССАРОВ СОЮЗА ССР И ЦЕНТРАЛЬНОГО КОМИТЕТА ВКП(б)</w:t>
      </w:r>
    </w:p>
    <w:p w14:paraId="1233430A"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 обеспечении бронекорпусами самолетов</w:t>
      </w:r>
    </w:p>
    <w:p w14:paraId="539F94F9"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Для обеспечения выпуска в 1941 году заводами Наркомавиапрома самолетов с бронированными корпусами и наращения мощностей на 1942 год, СНК СССР и ЦК ВКП(б) постановляют:</w:t>
      </w:r>
    </w:p>
    <w:p w14:paraId="2C22F318"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w:t>
      </w:r>
    </w:p>
    <w:p w14:paraId="53D4A301"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Создать 5 производственных баз по изготовлению бронекорпусов для самолетов в следующих районах:</w:t>
      </w:r>
    </w:p>
    <w:p w14:paraId="1F7E3B8D"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В гор. Подольске - на заводе имени Орджоникидзе, возло</w:t>
      </w:r>
      <w:r w:rsidRPr="00A3026E">
        <w:rPr>
          <w:rFonts w:ascii="Times New Roman" w:hAnsi="Times New Roman"/>
          <w:color w:val="0070C0"/>
          <w:sz w:val="16"/>
          <w:szCs w:val="16"/>
        </w:rPr>
        <w:softHyphen/>
        <w:t>жив на этот завод выпуск в 1941 году 900 комплектов бронекорпусов в кооперации по поставке бронелистов 4-5-6 мм. толщины из кремне-никеле-молибденовой стали с заводом „Красный Ок</w:t>
      </w:r>
      <w:r w:rsidRPr="00A3026E">
        <w:rPr>
          <w:rFonts w:ascii="Times New Roman" w:hAnsi="Times New Roman"/>
          <w:color w:val="0070C0"/>
          <w:sz w:val="16"/>
          <w:szCs w:val="16"/>
        </w:rPr>
        <w:softHyphen/>
        <w:t>тябрь" НКЧП и 12 мм. хромомолибденовой стали марки „ХД" с Ижорского завода НКСудпрома,</w:t>
      </w:r>
    </w:p>
    <w:p w14:paraId="48BF5010"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В гор.Ленинграде на Ижорском заводе НКСудпрома, воз</w:t>
      </w:r>
      <w:r w:rsidRPr="00A3026E">
        <w:rPr>
          <w:rFonts w:ascii="Times New Roman" w:hAnsi="Times New Roman"/>
          <w:color w:val="0070C0"/>
          <w:sz w:val="16"/>
          <w:szCs w:val="16"/>
        </w:rPr>
        <w:softHyphen/>
        <w:t>ложив на этот завод выпуск в 1941 году 1200 штук бронекорпусов для Ил—2 с развитием мощности к 1 января 1942 года на 2000 компл., в кооперации по поставке деталей из бронелистов 4-5-6 мм. толщины и кремне-никеле-молибденовой стали с Киров</w:t>
      </w:r>
      <w:r w:rsidRPr="00A3026E">
        <w:rPr>
          <w:rFonts w:ascii="Times New Roman" w:hAnsi="Times New Roman"/>
          <w:color w:val="0070C0"/>
          <w:sz w:val="16"/>
          <w:szCs w:val="16"/>
        </w:rPr>
        <w:softHyphen/>
        <w:t>ского завода НКТМ.</w:t>
      </w:r>
    </w:p>
    <w:p w14:paraId="6E6F465C"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Сталинграде на заводе № 264 (Красноармейская верфь) НКСудпрома, возложив на этот завод выпуск в 1941 году 200 бронекорпусов с доведением мощности к 1.1.1942 года до 1000 штук в кооперации по поставке бронелистов 4-5-6 мы.толщины из кремне-никеле-молибденовой стали и 12 мм. хромомолибденовой стали марки „ХД" с завода „Красный Октябрь" НКЧМ.</w:t>
      </w:r>
    </w:p>
    <w:p w14:paraId="3DEB1B60"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В гор. Выксе Горьковской области на заводе "ДРО" НКТмаша (завод дробильно-размольного оборудования) с выпуском в 1941 г. 200 штук бронекорпусов с развитием мощности к 1 ок</w:t>
      </w:r>
      <w:r w:rsidRPr="00A3026E">
        <w:rPr>
          <w:rFonts w:ascii="Times New Roman" w:hAnsi="Times New Roman"/>
          <w:color w:val="0070C0"/>
          <w:sz w:val="16"/>
          <w:szCs w:val="16"/>
        </w:rPr>
        <w:softHyphen/>
        <w:t>тября 1941 года до 2.000 штук в год в кооперации по поставке 12 мм. бронелистов марки „ХД" с Кулебакского завода НКСудпрома и 4-5-6 мм.бронелистов с Выксунского металлургического завода HKЧМ.</w:t>
      </w:r>
    </w:p>
    <w:p w14:paraId="7F8617B3"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В гор. Запорожье на заводе "Коммунар" НКСредмаша соз</w:t>
      </w:r>
      <w:r w:rsidRPr="00A3026E">
        <w:rPr>
          <w:rFonts w:ascii="Times New Roman" w:hAnsi="Times New Roman"/>
          <w:color w:val="0070C0"/>
          <w:sz w:val="16"/>
          <w:szCs w:val="16"/>
        </w:rPr>
        <w:softHyphen/>
        <w:t>дать мощность на 1000 штук бронекорпусов к 1 октября 1941 го</w:t>
      </w:r>
      <w:r w:rsidRPr="00A3026E">
        <w:rPr>
          <w:rFonts w:ascii="Times New Roman" w:hAnsi="Times New Roman"/>
          <w:color w:val="0070C0"/>
          <w:sz w:val="16"/>
          <w:szCs w:val="16"/>
        </w:rPr>
        <w:softHyphen/>
        <w:t>да, в кооперации по поставке 12 мм. бронелистов марки „ХД" с Мариупольского завода имени Ильича и 4-5-6 мм. бронелистов из кремне-никеле-молибденовой стали с завода имени Дзержинского НКЧермета с обеспечением выпуска готовых корпусов в четвер</w:t>
      </w:r>
      <w:r w:rsidRPr="00A3026E">
        <w:rPr>
          <w:rFonts w:ascii="Times New Roman" w:hAnsi="Times New Roman"/>
          <w:color w:val="0070C0"/>
          <w:sz w:val="16"/>
          <w:szCs w:val="16"/>
        </w:rPr>
        <w:softHyphen/>
        <w:t>том квартале 1941 года 100 штук.</w:t>
      </w:r>
    </w:p>
    <w:p w14:paraId="56482876"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П.</w:t>
      </w:r>
    </w:p>
    <w:p w14:paraId="29450937"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Для ввода в действие создаваемых баз на полную мощность и обеспечения поставок бронекорпусов в 1941 году, провести следующие мероприятия:</w:t>
      </w:r>
    </w:p>
    <w:p w14:paraId="587F4E5B"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Обязать Народного Комиссара Нефтяной Промышленности тов. Седина И.К. и директора Подольского завода имени Орджони</w:t>
      </w:r>
      <w:r w:rsidRPr="00A3026E">
        <w:rPr>
          <w:rFonts w:ascii="Times New Roman" w:hAnsi="Times New Roman"/>
          <w:color w:val="0070C0"/>
          <w:sz w:val="16"/>
          <w:szCs w:val="16"/>
        </w:rPr>
        <w:softHyphen/>
        <w:t>кидзе тов. Мыльникова Г.М.</w:t>
      </w:r>
    </w:p>
    <w:p w14:paraId="26EDEEEC"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организовать на Подольском заводе им. Орджоникидре серийное производство бронированных корпуссов Ил-2 с выпуском в 1941 году 900 штук;</w:t>
      </w:r>
    </w:p>
    <w:p w14:paraId="10F3A2DD"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поставку корпусов поквартально обеспечить в следующих количестввах:  в первом квартале - 150 штук, во втором квартале - 250 ш, в третьем квартале - 300 штук, в четвертом - 200 штук;</w:t>
      </w:r>
    </w:p>
    <w:p w14:paraId="6DBBA491"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обеспечить изготовление Установочной партии 5 штук корпусов для Ил-2 к 15 января 1941 года с расчетом начала серийного выпуска с 20 января 1941</w:t>
      </w:r>
    </w:p>
    <w:p w14:paraId="52A535ED"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Обязать Наркомавиапром тов. Шахурина А.И. в пятидневный срок обеспечить Подольский, Ижорский и Кировские заводи необ</w:t>
      </w:r>
      <w:r w:rsidRPr="00A3026E">
        <w:rPr>
          <w:rFonts w:ascii="Times New Roman" w:hAnsi="Times New Roman"/>
          <w:color w:val="0070C0"/>
          <w:sz w:val="16"/>
          <w:szCs w:val="16"/>
        </w:rPr>
        <w:softHyphen/>
        <w:t>ходимыми чертежами и техническими условиями на поставку бронекорпусов к самолетам</w:t>
      </w:r>
    </w:p>
    <w:p w14:paraId="2712AAA1"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Обязать Народного Комиссара Судостроительной Промышленности тов.Носенко И.Н.:</w:t>
      </w:r>
    </w:p>
    <w:p w14:paraId="12289AB0"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организовать на Ижорском заводе серийное производство бронекорпусов для самолетов Ил-2 с выпуском в 1941 г. 1200 штук, в том числе в первом квартале - 150 штук, во втором квартале - 300 штук, в третьем квартале - 350 штук, в чевертом квартале - 400 штук, с доведением модности к 1942 года на 2000 штук;</w:t>
      </w:r>
    </w:p>
    <w:p w14:paraId="3AC30E41"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обеспечить изготовление установочной партии в 5 шт. бронекорпусов Ил-2 на Ижорском заводе к 15 января 1941 года, с расчетом начать серийный выпуск с 20 января 1941 года;</w:t>
      </w:r>
    </w:p>
    <w:p w14:paraId="6806B5EB"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поставить Подольскому заводу имени Орджоникидзе 12 мм. бронелиста из хромомолибденовой стали марки „ХД" 450 тонн, со сроками поставки - в январе месяце - 50 тонн и в последующие месяцы по 75 тонн;</w:t>
      </w:r>
    </w:p>
    <w:p w14:paraId="647DDE32" w14:textId="77777777" w:rsidR="00AB680A" w:rsidRPr="00A3026E" w:rsidRDefault="00AB680A" w:rsidP="00A3026E">
      <w:pPr>
        <w:spacing w:after="0" w:line="240" w:lineRule="auto"/>
        <w:jc w:val="both"/>
        <w:rPr>
          <w:rFonts w:ascii="Times New Roman" w:hAnsi="Times New Roman"/>
          <w:color w:val="0070C0"/>
          <w:sz w:val="16"/>
          <w:szCs w:val="16"/>
        </w:rPr>
      </w:pPr>
    </w:p>
    <w:p w14:paraId="4BC21E99"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предусмотреть в плане строительства завода 264 (Красноармейская верфь) в 1941 году строительство производст</w:t>
      </w:r>
      <w:r w:rsidRPr="00A3026E">
        <w:rPr>
          <w:rFonts w:ascii="Times New Roman" w:hAnsi="Times New Roman"/>
          <w:color w:val="0070C0"/>
          <w:sz w:val="16"/>
          <w:szCs w:val="16"/>
        </w:rPr>
        <w:softHyphen/>
        <w:t>венных площадей до 5000 кв. метров для организации производст</w:t>
      </w:r>
      <w:r w:rsidRPr="00A3026E">
        <w:rPr>
          <w:rFonts w:ascii="Times New Roman" w:hAnsi="Times New Roman"/>
          <w:color w:val="0070C0"/>
          <w:sz w:val="16"/>
          <w:szCs w:val="16"/>
        </w:rPr>
        <w:softHyphen/>
        <w:t>ва бронекорпусов Ил-2 на мощность 1000 штук, с вводом в дей</w:t>
      </w:r>
      <w:r w:rsidRPr="00A3026E">
        <w:rPr>
          <w:rFonts w:ascii="Times New Roman" w:hAnsi="Times New Roman"/>
          <w:color w:val="0070C0"/>
          <w:sz w:val="16"/>
          <w:szCs w:val="16"/>
        </w:rPr>
        <w:softHyphen/>
        <w:t>ствие к 1 июля 1941 года.</w:t>
      </w:r>
    </w:p>
    <w:p w14:paraId="711CA5C7"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Выпуск готовых корпусов начать с 1 августа 1941 года, с подачей заводам Наркомавиапрома в третьем квартале - 50 штук, в четвертом квартале - 150 штук;</w:t>
      </w:r>
    </w:p>
    <w:p w14:paraId="7310A718"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 обеспечить поставку с Кулебакского металлургического завода в 1941 году заводу „ДРО" НКТяжмаша 200 тонн 12 мм. броне листа марки „ХД" (100 тонн - в августе л 100 тонн - в сентябре) и закрепить его постоянным поставщиком этой брони для завода „ДPO";</w:t>
      </w:r>
    </w:p>
    <w:p w14:paraId="60E741D2"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е) Закрепить Мариупольский завод имени Ильича, как по</w:t>
      </w:r>
      <w:r w:rsidRPr="00A3026E">
        <w:rPr>
          <w:rFonts w:ascii="Times New Roman" w:hAnsi="Times New Roman"/>
          <w:color w:val="0070C0"/>
          <w:sz w:val="16"/>
          <w:szCs w:val="16"/>
        </w:rPr>
        <w:softHyphen/>
        <w:t>стоянного поставщика 12 мм. бронедеталей Запорожскому заводу „Коммунар" Наркомсредмаша, с началом поставки 1 сентября 1941 г.</w:t>
      </w:r>
    </w:p>
    <w:p w14:paraId="22D50A1B"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Обязать народного комиссара тяжелого машиностроения т. Ефремова А.И.:</w:t>
      </w:r>
    </w:p>
    <w:p w14:paraId="61F1681A"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обеспечить поставку в 1941 году с Кировского завода бронедеталей 4-5-6 мы. толщины из кремне-никеле-молибденовой стали Ижорскому заводу НКСудпрома для изготовления бронекор</w:t>
      </w:r>
      <w:r w:rsidRPr="00A3026E">
        <w:rPr>
          <w:rFonts w:ascii="Times New Roman" w:hAnsi="Times New Roman"/>
          <w:color w:val="0070C0"/>
          <w:sz w:val="16"/>
          <w:szCs w:val="16"/>
        </w:rPr>
        <w:softHyphen/>
        <w:t>пусов Ил-2 со сроками поставки:</w:t>
      </w:r>
    </w:p>
    <w:p w14:paraId="0533936D"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1 квартале - 200 комплектов</w:t>
      </w:r>
    </w:p>
    <w:p w14:paraId="26AB783E"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fldChar w:fldCharType="begin"/>
      </w:r>
      <w:r w:rsidRPr="00A3026E">
        <w:rPr>
          <w:rFonts w:ascii="Times New Roman" w:hAnsi="Times New Roman"/>
          <w:color w:val="0070C0"/>
          <w:sz w:val="16"/>
          <w:szCs w:val="16"/>
        </w:rPr>
        <w:instrText xml:space="preserve"> TOC \o "1-5" \h \z </w:instrText>
      </w:r>
      <w:r w:rsidRPr="00A3026E">
        <w:rPr>
          <w:rFonts w:ascii="Times New Roman" w:hAnsi="Times New Roman"/>
          <w:color w:val="0070C0"/>
          <w:sz w:val="16"/>
          <w:szCs w:val="16"/>
        </w:rPr>
        <w:fldChar w:fldCharType="separate"/>
      </w:r>
      <w:r w:rsidRPr="00A3026E">
        <w:rPr>
          <w:rFonts w:ascii="Times New Roman" w:hAnsi="Times New Roman"/>
          <w:color w:val="0070C0"/>
          <w:sz w:val="16"/>
          <w:szCs w:val="16"/>
        </w:rPr>
        <w:t>во П</w:t>
      </w:r>
      <w:r w:rsidRPr="00A3026E">
        <w:rPr>
          <w:rFonts w:ascii="Times New Roman" w:hAnsi="Times New Roman"/>
          <w:color w:val="0070C0"/>
          <w:sz w:val="16"/>
          <w:szCs w:val="16"/>
        </w:rPr>
        <w:tab/>
        <w:t>"</w:t>
      </w:r>
      <w:r w:rsidRPr="00A3026E">
        <w:rPr>
          <w:rFonts w:ascii="Times New Roman" w:hAnsi="Times New Roman"/>
          <w:color w:val="0070C0"/>
          <w:sz w:val="16"/>
          <w:szCs w:val="16"/>
        </w:rPr>
        <w:tab/>
        <w:t>-</w:t>
      </w:r>
      <w:r w:rsidRPr="00A3026E">
        <w:rPr>
          <w:rFonts w:ascii="Times New Roman" w:hAnsi="Times New Roman"/>
          <w:color w:val="0070C0"/>
          <w:sz w:val="16"/>
          <w:szCs w:val="16"/>
        </w:rPr>
        <w:tab/>
        <w:t>350</w:t>
      </w:r>
    </w:p>
    <w:p w14:paraId="1B30AC7B"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Ш</w:t>
      </w:r>
      <w:r w:rsidRPr="00A3026E">
        <w:rPr>
          <w:rFonts w:ascii="Times New Roman" w:hAnsi="Times New Roman"/>
          <w:color w:val="0070C0"/>
          <w:sz w:val="16"/>
          <w:szCs w:val="16"/>
        </w:rPr>
        <w:tab/>
        <w:t>"</w:t>
      </w:r>
      <w:r w:rsidRPr="00A3026E">
        <w:rPr>
          <w:rFonts w:ascii="Times New Roman" w:hAnsi="Times New Roman"/>
          <w:color w:val="0070C0"/>
          <w:sz w:val="16"/>
          <w:szCs w:val="16"/>
        </w:rPr>
        <w:tab/>
        <w:t>-</w:t>
      </w:r>
      <w:r w:rsidRPr="00A3026E">
        <w:rPr>
          <w:rFonts w:ascii="Times New Roman" w:hAnsi="Times New Roman"/>
          <w:color w:val="0070C0"/>
          <w:sz w:val="16"/>
          <w:szCs w:val="16"/>
        </w:rPr>
        <w:tab/>
        <w:t>400</w:t>
      </w:r>
    </w:p>
    <w:p w14:paraId="3555A8E0"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1У</w:t>
      </w:r>
      <w:r w:rsidRPr="00A3026E">
        <w:rPr>
          <w:rFonts w:ascii="Times New Roman" w:hAnsi="Times New Roman"/>
          <w:color w:val="0070C0"/>
          <w:sz w:val="16"/>
          <w:szCs w:val="16"/>
        </w:rPr>
        <w:tab/>
        <w:t>"</w:t>
      </w:r>
      <w:r w:rsidRPr="00A3026E">
        <w:rPr>
          <w:rFonts w:ascii="Times New Roman" w:hAnsi="Times New Roman"/>
          <w:color w:val="0070C0"/>
          <w:sz w:val="16"/>
          <w:szCs w:val="16"/>
        </w:rPr>
        <w:tab/>
        <w:t>-</w:t>
      </w:r>
      <w:r w:rsidRPr="00A3026E">
        <w:rPr>
          <w:rFonts w:ascii="Times New Roman" w:hAnsi="Times New Roman"/>
          <w:color w:val="0070C0"/>
          <w:sz w:val="16"/>
          <w:szCs w:val="16"/>
        </w:rPr>
        <w:tab/>
        <w:t>450</w:t>
      </w:r>
      <w:r w:rsidRPr="00A3026E">
        <w:rPr>
          <w:rFonts w:ascii="Times New Roman" w:hAnsi="Times New Roman"/>
          <w:color w:val="0070C0"/>
          <w:sz w:val="16"/>
          <w:szCs w:val="16"/>
        </w:rPr>
        <w:fldChar w:fldCharType="end"/>
      </w:r>
    </w:p>
    <w:p w14:paraId="323C6A13"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начав поставку с 5 января 1941 года</w:t>
      </w:r>
    </w:p>
    <w:p w14:paraId="52BE266E"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организовать производство бронекорпусов для Ил-2 на заводе „ДРО” (завод дробильно-размольного оборудования) в гор. Выкса мощностью на 2000 штук к 1 октября 1941 года с вы</w:t>
      </w:r>
      <w:r w:rsidRPr="00A3026E">
        <w:rPr>
          <w:rFonts w:ascii="Times New Roman" w:hAnsi="Times New Roman"/>
          <w:color w:val="0070C0"/>
          <w:sz w:val="16"/>
          <w:szCs w:val="16"/>
        </w:rPr>
        <w:softHyphen/>
        <w:t>пуском 200 штук в четвертом квартале 1941 года.</w:t>
      </w:r>
    </w:p>
    <w:p w14:paraId="63D52765"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Обязать народного комиссара среднего машиностроения т.Малышева В.А. организовать производство бронекорпусов на Запорожском заводе „Коммунар" мощностью на 1000 штук к 1 ок</w:t>
      </w:r>
      <w:r w:rsidRPr="00A3026E">
        <w:rPr>
          <w:rFonts w:ascii="Times New Roman" w:hAnsi="Times New Roman"/>
          <w:color w:val="0070C0"/>
          <w:sz w:val="16"/>
          <w:szCs w:val="16"/>
        </w:rPr>
        <w:softHyphen/>
        <w:t>тября 1941 года с выпуском в четвертом квартале 1941 года 100 штук.</w:t>
      </w:r>
    </w:p>
    <w:p w14:paraId="03553AF1"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Обязать народного комиссара черной металлургии т.Тевосяна ИЛ.:</w:t>
      </w:r>
    </w:p>
    <w:p w14:paraId="77C2DC94"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обеспечить поставку Подольскому заводу НКНефти в 1941 году 2.200 тонн бронелистов 4-5-6 мм. толщин из кремне- никеле-молибденовой стали с завода „Красный Октябрь" в сле</w:t>
      </w:r>
      <w:r w:rsidRPr="00A3026E">
        <w:rPr>
          <w:rFonts w:ascii="Times New Roman" w:hAnsi="Times New Roman"/>
          <w:color w:val="0070C0"/>
          <w:sz w:val="16"/>
          <w:szCs w:val="16"/>
        </w:rPr>
        <w:softHyphen/>
        <w:t>дующие сроки:</w:t>
      </w:r>
    </w:p>
    <w:p w14:paraId="09952058"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1 квартале</w:t>
      </w:r>
      <w:r w:rsidRPr="00A3026E">
        <w:rPr>
          <w:rFonts w:ascii="Times New Roman" w:hAnsi="Times New Roman"/>
          <w:color w:val="0070C0"/>
          <w:sz w:val="16"/>
          <w:szCs w:val="16"/>
        </w:rPr>
        <w:tab/>
        <w:t>- 370 тонн</w:t>
      </w:r>
    </w:p>
    <w:p w14:paraId="39067CDA"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во П </w:t>
      </w:r>
      <w:r w:rsidRPr="00A3026E">
        <w:rPr>
          <w:rFonts w:ascii="Times New Roman" w:hAnsi="Times New Roman"/>
          <w:color w:val="0070C0"/>
          <w:sz w:val="16"/>
          <w:szCs w:val="16"/>
        </w:rPr>
        <w:tab/>
        <w:t>- 610 тонн</w:t>
      </w:r>
    </w:p>
    <w:p w14:paraId="48F08977"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в Ш </w:t>
      </w:r>
      <w:r w:rsidRPr="00A3026E">
        <w:rPr>
          <w:rFonts w:ascii="Times New Roman" w:hAnsi="Times New Roman"/>
          <w:color w:val="0070C0"/>
          <w:sz w:val="16"/>
          <w:szCs w:val="16"/>
        </w:rPr>
        <w:tab/>
        <w:t>- 730 тонн</w:t>
      </w:r>
    </w:p>
    <w:p w14:paraId="4ED68501"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в 1У </w:t>
      </w:r>
      <w:r w:rsidRPr="00A3026E">
        <w:rPr>
          <w:rFonts w:ascii="Times New Roman" w:hAnsi="Times New Roman"/>
          <w:color w:val="0070C0"/>
          <w:sz w:val="16"/>
          <w:szCs w:val="16"/>
        </w:rPr>
        <w:tab/>
        <w:t>- - 490 тонн</w:t>
      </w:r>
    </w:p>
    <w:p w14:paraId="16B94AFC"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Срок поставки металла установить с 5 января 1941 года;</w:t>
      </w:r>
    </w:p>
    <w:p w14:paraId="5D7E744C"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закрепить завод „Красный Октябрь", как постоянного поставщика бронелистов для корпусов Ил-2, изготовляемых на заводе № 264 (Красноармейская верфь) НКСудпрома и обеспечить поставку в 1941 году 450 тонн 4-5-6 мм. бронелиста из кремне- никеле-молибденовой стали и 100 тонн 12 мм. хромомолибденовой стали марки „ХД".</w:t>
      </w:r>
    </w:p>
    <w:p w14:paraId="57405DC7"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Срок поставки металла установить с 15 июня 1941 года;</w:t>
      </w:r>
    </w:p>
    <w:p w14:paraId="5B5A70C9" w14:textId="77777777" w:rsidR="00AB680A" w:rsidRPr="00A3026E" w:rsidRDefault="00AB680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закрепить Выксунский металлургический завод, как по</w:t>
      </w:r>
      <w:r w:rsidRPr="00A3026E">
        <w:rPr>
          <w:rFonts w:ascii="Times New Roman" w:hAnsi="Times New Roman"/>
          <w:color w:val="0070C0"/>
          <w:sz w:val="16"/>
          <w:szCs w:val="16"/>
        </w:rPr>
        <w:softHyphen/>
        <w:t>стоянного поставщика бронелистов заводу „&lt;-5’0" НКТяхмаша, с…(22101).</w:t>
      </w:r>
    </w:p>
    <w:p w14:paraId="37A5B286" w14:textId="77777777" w:rsidR="00AB680A" w:rsidRPr="00A3026E" w:rsidRDefault="00AB680A" w:rsidP="00A3026E">
      <w:pPr>
        <w:spacing w:after="0" w:line="240" w:lineRule="auto"/>
        <w:jc w:val="both"/>
        <w:rPr>
          <w:rFonts w:ascii="Times New Roman" w:hAnsi="Times New Roman"/>
          <w:color w:val="0070C0"/>
          <w:sz w:val="16"/>
          <w:szCs w:val="16"/>
        </w:rPr>
      </w:pPr>
    </w:p>
    <w:p w14:paraId="25EBA8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вышел приказ НКАП N 734сс в исполнение постановления СНК и ЦК ВКП(б) от 6 декабря 1940 (1315,15).</w:t>
      </w:r>
    </w:p>
    <w:p w14:paraId="5CA9E3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немедленно приступить к проектированию и изготовлению установок на самолетах и пневматических устройств к установкам для 12.7 мм пулемета и 23 мм пушки система Таубина-Бабурина</w:t>
      </w:r>
    </w:p>
    <w:p w14:paraId="7C7CEC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проектировании установок и пневматических устройств строго учесть, что в 1941 пушки Таубина-Бабурина (крыльевые) 23 мм должны устанавливаться на 10% самолетов И-200 и всех самолетах БШ-2, пулеметы Таубина-Бабурина 12.7 мм (крыльевые) на 90% самолетов И-200, турельные на всех самолетах ТБ-7 и ДБ-240, синхронные на самолетах И-200 начиная со 2 кв. 1941, а на самолетах И-301, начиная с 3 кв. 1941 (1315,15).</w:t>
      </w:r>
    </w:p>
    <w:p w14:paraId="5F9AD13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158E1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Нач. ГУАС ВВС Рычаговым подписано Заключение по проекту ДИС-200 (МиГ-5) АМ-37 (990,5).</w:t>
      </w:r>
    </w:p>
    <w:p w14:paraId="59D3BAB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AAFF72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года Начальник ГУ ВВС генерал-лейтенант авиации Рычагов утвердил Заключение по эскизному проекту одноместного двухмоторного истребителя сопровождения ДИС-200 2АМ-37 конструкции Микояна и Гуревича (6609).</w:t>
      </w:r>
    </w:p>
    <w:p w14:paraId="3BA9246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62E654B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1 отделения в/инженер 1 ранга Воеводин</w:t>
      </w:r>
    </w:p>
    <w:p w14:paraId="394CCD6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Алексеенко</w:t>
      </w:r>
    </w:p>
    <w:p w14:paraId="527058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Строящая организация – КБ завода № 1</w:t>
      </w:r>
    </w:p>
    <w:p w14:paraId="3AF2E6C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138C17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ДИС-200 2АМ-37 предназначается для выполнения следующих боевых задач:</w:t>
      </w:r>
    </w:p>
    <w:p w14:paraId="006EF7C7"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Сопровождать дальние бомбардировщики.</w:t>
      </w:r>
    </w:p>
    <w:p w14:paraId="3C243215"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Применяться для прорыва воздушной обороны противника.</w:t>
      </w:r>
    </w:p>
    <w:p w14:paraId="53A23096"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Вести патрульную службу в районах, отдаленных от своих баз, а также вести разведку с боем в глубоком тылу противника.</w:t>
      </w:r>
    </w:p>
    <w:p w14:paraId="102ED172"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Использоваться как пикирующий бомбардировщик.</w:t>
      </w:r>
    </w:p>
    <w:p w14:paraId="6F25CBE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схеме самолет является одноместным, двухмоторным монопланом и низкораположенным крылом, смешанной конструкции.</w:t>
      </w:r>
    </w:p>
    <w:p w14:paraId="180CD7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 и костыль убирающиеся. Хвостовое оперение двухкилевое.</w:t>
      </w:r>
    </w:p>
    <w:p w14:paraId="3FB34CB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Сидение пилота бронировано сзади, снизу и с боков.</w:t>
      </w:r>
    </w:p>
    <w:p w14:paraId="5C9404A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Фонарь сдвижной назад.</w:t>
      </w:r>
    </w:p>
    <w:p w14:paraId="3583E0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часть – деревянный монокок.</w:t>
      </w:r>
    </w:p>
    <w:p w14:paraId="1F419F9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Хвостовая часть – сварная. Обтекатели хвостовой части – дюралевые.</w:t>
      </w:r>
    </w:p>
    <w:p w14:paraId="3393B8E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Обшивка центроплана – дюралевая.</w:t>
      </w:r>
    </w:p>
    <w:p w14:paraId="452A0C8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Стабилизатор, управляемый в полете деревянной конструкции. Каркас руля высоты – дюралевый, обшивка полотняная.</w:t>
      </w:r>
    </w:p>
    <w:p w14:paraId="792E716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05C058C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19459CEF" w14:textId="77777777" w:rsidTr="00EA0DA7">
        <w:tc>
          <w:tcPr>
            <w:tcW w:w="5636" w:type="dxa"/>
            <w:tcBorders>
              <w:top w:val="single" w:sz="12" w:space="0" w:color="auto"/>
            </w:tcBorders>
          </w:tcPr>
          <w:p w14:paraId="3F1A89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Нормальный вариант</w:t>
            </w:r>
          </w:p>
        </w:tc>
        <w:tc>
          <w:tcPr>
            <w:tcW w:w="5002" w:type="dxa"/>
            <w:tcBorders>
              <w:top w:val="single" w:sz="12" w:space="0" w:color="auto"/>
            </w:tcBorders>
          </w:tcPr>
          <w:p w14:paraId="780CAC9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Перегрузочный вариант</w:t>
            </w:r>
          </w:p>
        </w:tc>
      </w:tr>
      <w:tr w:rsidR="00983732" w:rsidRPr="00A3026E" w14:paraId="2923340E" w14:textId="77777777" w:rsidTr="00EA0DA7">
        <w:tc>
          <w:tcPr>
            <w:tcW w:w="5636" w:type="dxa"/>
          </w:tcPr>
          <w:p w14:paraId="1EA2375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4 ШКАС по 1000 шт. патрон на каждый</w:t>
            </w:r>
          </w:p>
        </w:tc>
        <w:tc>
          <w:tcPr>
            <w:tcW w:w="5002" w:type="dxa"/>
          </w:tcPr>
          <w:p w14:paraId="5031FF7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4 ШКАС по 1000 шт. патрон на каждый</w:t>
            </w:r>
          </w:p>
        </w:tc>
      </w:tr>
      <w:tr w:rsidR="00983732" w:rsidRPr="00A3026E" w14:paraId="4BDDC97F" w14:textId="77777777" w:rsidTr="00EA0DA7">
        <w:tc>
          <w:tcPr>
            <w:tcW w:w="5636" w:type="dxa"/>
          </w:tcPr>
          <w:p w14:paraId="4690C82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2 БС по 300 шт. патрон на каждый</w:t>
            </w:r>
          </w:p>
        </w:tc>
        <w:tc>
          <w:tcPr>
            <w:tcW w:w="5002" w:type="dxa"/>
          </w:tcPr>
          <w:p w14:paraId="3B5BCD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2 БС по 600 шт. патрон на каждый</w:t>
            </w:r>
          </w:p>
        </w:tc>
      </w:tr>
      <w:tr w:rsidR="00983732" w:rsidRPr="00A3026E" w14:paraId="1AAD7DD9" w14:textId="77777777" w:rsidTr="00EA0DA7">
        <w:tc>
          <w:tcPr>
            <w:tcW w:w="5636" w:type="dxa"/>
          </w:tcPr>
          <w:p w14:paraId="1687DE4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3. 1 пушка 23 мм с 200 шт. Снарядов</w:t>
            </w:r>
          </w:p>
        </w:tc>
        <w:tc>
          <w:tcPr>
            <w:tcW w:w="5002" w:type="dxa"/>
          </w:tcPr>
          <w:p w14:paraId="756765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1 пушка 23 мм с 300 шт. снарядов</w:t>
            </w:r>
          </w:p>
        </w:tc>
      </w:tr>
      <w:tr w:rsidR="00983732" w:rsidRPr="00A3026E" w14:paraId="1EA87B32" w14:textId="77777777" w:rsidTr="00EA0DA7">
        <w:tc>
          <w:tcPr>
            <w:tcW w:w="5636" w:type="dxa"/>
          </w:tcPr>
          <w:p w14:paraId="0CC1B70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E97BF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ФАБ-1000 или торпеда 1000 кг</w:t>
            </w:r>
          </w:p>
        </w:tc>
      </w:tr>
      <w:tr w:rsidR="00983732" w:rsidRPr="00A3026E" w14:paraId="03E483E7" w14:textId="77777777" w:rsidTr="00EA0DA7">
        <w:tc>
          <w:tcPr>
            <w:tcW w:w="5636" w:type="dxa"/>
            <w:tcBorders>
              <w:bottom w:val="single" w:sz="12" w:space="0" w:color="auto"/>
            </w:tcBorders>
          </w:tcPr>
          <w:p w14:paraId="408AF50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2DE6A2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(вместо пушки)</w:t>
            </w:r>
          </w:p>
        </w:tc>
      </w:tr>
    </w:tbl>
    <w:p w14:paraId="70A4F5F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(Пушка конструкции Волкова и Ярцева, непрерывного питания).</w:t>
      </w:r>
    </w:p>
    <w:p w14:paraId="037C84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Пулеметы ШКАС расположены в центроплане по два с каждой стороны фюзеляжа; подход к пулеметам сверху через съемные люки.</w:t>
      </w:r>
    </w:p>
    <w:p w14:paraId="5B05737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 пулеметами ШКАС расположены пулеметы БС, подход к ним через съемные люки снизу.</w:t>
      </w:r>
    </w:p>
    <w:p w14:paraId="7B2B422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Пушка установлена под фюзеляжем на съемном лафете, подход к нему снизу.</w:t>
      </w:r>
    </w:p>
    <w:p w14:paraId="45955BD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хвостовой части фюзеляжа предусматривается установка двух РО-82 для защиты задней сферы.</w:t>
      </w:r>
    </w:p>
    <w:p w14:paraId="0DF0E4D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Пушка с лафетом легкосъемные, на их место можно подвесить или одну ФАБ-1000 или торпеду весом 1000 кг.</w:t>
      </w:r>
    </w:p>
    <w:p w14:paraId="6D885D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 сбрасывается с пикирования, т.к. на самолете имеются щитки для ограничения скорости пикирования.</w:t>
      </w:r>
    </w:p>
    <w:p w14:paraId="2370589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Запроектированные летно-тактические данные самолета (моторы АМ-37):</w:t>
      </w:r>
    </w:p>
    <w:p w14:paraId="2802AD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Н=7300 м – 635 км/час</w:t>
      </w:r>
    </w:p>
    <w:p w14:paraId="09D1BC3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у земли – 504 км/час</w:t>
      </w:r>
    </w:p>
    <w:p w14:paraId="4E2DFBF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(нормальный полетный вес) – 137 км/час</w:t>
      </w:r>
    </w:p>
    <w:p w14:paraId="5528343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(без боезапаса с 25% горючего) – 126 км/час</w:t>
      </w:r>
    </w:p>
    <w:p w14:paraId="0267AA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5000 м – 6,5 мин.</w:t>
      </w:r>
    </w:p>
    <w:p w14:paraId="5DFD05A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8000 м – 12,4 мин.</w:t>
      </w:r>
    </w:p>
    <w:p w14:paraId="4ECF45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0,8 Vmax норм. вар. – 1460 км</w:t>
      </w:r>
    </w:p>
    <w:p w14:paraId="00B2711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0,8 Vmax перегр. вар. – 2280 км</w:t>
      </w:r>
    </w:p>
    <w:p w14:paraId="58A989F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 (норм. вар.) – 360 м</w:t>
      </w:r>
    </w:p>
    <w:p w14:paraId="7B1EF0A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 (норм. вар.) – 291 м</w:t>
      </w:r>
    </w:p>
    <w:p w14:paraId="6D02D16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 на 1000 м – 19,6 сек.</w:t>
      </w:r>
    </w:p>
    <w:p w14:paraId="2028C9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 10900 м</w:t>
      </w:r>
    </w:p>
    <w:p w14:paraId="57D514F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4919D2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Одноместный двухмоторный истребитель сопровождения «ДИС-200 2АМ-37» по эскизному проекту инженеров Микояна и Гуревича рекомендуется для включения в план опытного самолетостроения на 1941 год с условием внесения в него изменений (6609).</w:t>
      </w:r>
    </w:p>
    <w:p w14:paraId="014774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2D42CDB5" w14:textId="77777777" w:rsidR="00CF0A5C" w:rsidRPr="00A3026E" w:rsidRDefault="00CF0A5C"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14 декабря 1940 Начальник ВВС гене</w:t>
      </w:r>
      <w:r w:rsidRPr="00A3026E">
        <w:rPr>
          <w:rFonts w:ascii="Times New Roman" w:cs="Times New Roman"/>
          <w:color w:val="000000" w:themeColor="text1"/>
          <w:spacing w:val="0"/>
        </w:rPr>
        <w:softHyphen/>
        <w:t>рал-лейтенант П.В. Рычагов утвердил заключение НИИ ВВС по эскизному проекту ТИС. Самолет рекомендовался для вклю</w:t>
      </w:r>
      <w:r w:rsidRPr="00A3026E">
        <w:rPr>
          <w:rFonts w:ascii="Times New Roman" w:cs="Times New Roman"/>
          <w:color w:val="000000" w:themeColor="text1"/>
          <w:spacing w:val="0"/>
        </w:rPr>
        <w:softHyphen/>
        <w:t>чения в план опытного самолетострое</w:t>
      </w:r>
      <w:r w:rsidRPr="00A3026E">
        <w:rPr>
          <w:rFonts w:ascii="Times New Roman" w:cs="Times New Roman"/>
          <w:color w:val="000000" w:themeColor="text1"/>
          <w:spacing w:val="0"/>
        </w:rPr>
        <w:softHyphen/>
        <w:t>ния на 1941 г. с внесением в проект из</w:t>
      </w:r>
      <w:r w:rsidRPr="00A3026E">
        <w:rPr>
          <w:rFonts w:ascii="Times New Roman" w:cs="Times New Roman"/>
          <w:color w:val="000000" w:themeColor="text1"/>
          <w:spacing w:val="0"/>
        </w:rPr>
        <w:softHyphen/>
        <w:t>менений в соответствии с заключением к эскизному проекту (15755).</w:t>
      </w:r>
    </w:p>
    <w:p w14:paraId="76DA5D29" w14:textId="77777777" w:rsidR="00CF0A5C" w:rsidRPr="00A3026E" w:rsidRDefault="00CF0A5C" w:rsidP="00A3026E">
      <w:pPr>
        <w:pStyle w:val="26"/>
        <w:shd w:val="clear" w:color="auto" w:fill="auto"/>
        <w:spacing w:after="0" w:line="240" w:lineRule="auto"/>
        <w:ind w:firstLine="0"/>
        <w:rPr>
          <w:rFonts w:ascii="Times New Roman" w:cs="Times New Roman"/>
          <w:color w:val="000000" w:themeColor="text1"/>
          <w:spacing w:val="0"/>
        </w:rPr>
      </w:pPr>
    </w:p>
    <w:p w14:paraId="3234F36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года Начальник ГУ ВВС генерал-лейтенант авиации Рычагов утвердил Заключение по эскизному проекту самолета «ТИС» с двумя моторами АМ-37 конструкции Поликарпова Н.Н. (6610).</w:t>
      </w:r>
    </w:p>
    <w:p w14:paraId="3469ADA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55388CB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1 отделения в/инженер 1 ранга Воеводин</w:t>
      </w:r>
    </w:p>
    <w:p w14:paraId="757BB5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Николаев</w:t>
      </w:r>
    </w:p>
    <w:p w14:paraId="25E837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p w14:paraId="58AE96B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предложению конструктора самолет имеет назначение тяжелого истребителя сопровождения имеющего возможность в перегрузочном варианте выполнять задачи ближнего пикирующего бомбардировщика.</w:t>
      </w:r>
    </w:p>
    <w:p w14:paraId="3CD9A50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ТИС представляет из себя двухмоторный двухместный цельнометаллический моноплан с низким расположением крыла.</w:t>
      </w:r>
    </w:p>
    <w:p w14:paraId="049CEB9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1307B95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Стрелковое вооружение состоит из восьми неподвижных точек, направленных вперед и двух подвижных огневых точек – назад (вверх и вниз).</w:t>
      </w:r>
    </w:p>
    <w:p w14:paraId="2A5EB1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Передние пулеметы «Шкас» расположены в носовой части фюзеляжа, пулеметы «Березина» и пушки «ШВАК» в центроплане, вблизи фюзеляжа. Задние подвижные точки расположены: одна в кабине стрелка, другая, с дистанционным управлением – снизу фюзеляжа.</w:t>
      </w:r>
    </w:p>
    <w:p w14:paraId="0DC4974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Бомбардировочное вооружение</w:t>
      </w:r>
    </w:p>
    <w:p w14:paraId="49EBB9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перегрузочном варианте могут быть подвешены 4 стокг бомбы внутри фюзеляжа на выпускной кассете. Снаружи под фюзеляжем возможна подвеска бомб крупного калибра.</w:t>
      </w:r>
    </w:p>
    <w:p w14:paraId="7331E37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Варианты бомбовой нагрузки</w:t>
      </w:r>
    </w:p>
    <w:tbl>
      <w:tblPr>
        <w:tblW w:w="0" w:type="auto"/>
        <w:tblLayout w:type="fixed"/>
        <w:tblLook w:val="0000" w:firstRow="0" w:lastRow="0" w:firstColumn="0" w:lastColumn="0" w:noHBand="0" w:noVBand="0"/>
      </w:tblPr>
      <w:tblGrid>
        <w:gridCol w:w="5636"/>
        <w:gridCol w:w="5362"/>
      </w:tblGrid>
      <w:tr w:rsidR="00983732" w:rsidRPr="00A3026E" w14:paraId="1B782658" w14:textId="77777777" w:rsidTr="00EA0DA7">
        <w:tc>
          <w:tcPr>
            <w:tcW w:w="5636" w:type="dxa"/>
            <w:tcBorders>
              <w:top w:val="nil"/>
              <w:left w:val="nil"/>
              <w:bottom w:val="nil"/>
              <w:right w:val="nil"/>
            </w:tcBorders>
          </w:tcPr>
          <w:p w14:paraId="5BF05A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Внутренняя подвеска</w:t>
            </w:r>
          </w:p>
        </w:tc>
        <w:tc>
          <w:tcPr>
            <w:tcW w:w="5362" w:type="dxa"/>
            <w:tcBorders>
              <w:top w:val="nil"/>
              <w:left w:val="nil"/>
              <w:bottom w:val="nil"/>
              <w:right w:val="nil"/>
            </w:tcBorders>
          </w:tcPr>
          <w:p w14:paraId="2ECD77C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Наружная подвеска</w:t>
            </w:r>
          </w:p>
        </w:tc>
      </w:tr>
      <w:tr w:rsidR="00983732" w:rsidRPr="00A3026E" w14:paraId="4720358C" w14:textId="77777777" w:rsidTr="00EA0DA7">
        <w:tc>
          <w:tcPr>
            <w:tcW w:w="5636" w:type="dxa"/>
            <w:tcBorders>
              <w:top w:val="single" w:sz="12" w:space="0" w:color="auto"/>
              <w:left w:val="single" w:sz="12" w:space="0" w:color="auto"/>
              <w:bottom w:val="single" w:sz="6" w:space="0" w:color="auto"/>
              <w:right w:val="single" w:sz="6" w:space="0" w:color="auto"/>
            </w:tcBorders>
          </w:tcPr>
          <w:p w14:paraId="6B63C1C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4 ФАБ-100</w:t>
            </w:r>
          </w:p>
        </w:tc>
        <w:tc>
          <w:tcPr>
            <w:tcW w:w="5362" w:type="dxa"/>
            <w:tcBorders>
              <w:top w:val="single" w:sz="12" w:space="0" w:color="auto"/>
              <w:left w:val="single" w:sz="6" w:space="0" w:color="auto"/>
              <w:bottom w:val="single" w:sz="6" w:space="0" w:color="auto"/>
              <w:right w:val="single" w:sz="12" w:space="0" w:color="auto"/>
            </w:tcBorders>
          </w:tcPr>
          <w:p w14:paraId="6D0DD7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2 ФАБ-500</w:t>
            </w:r>
          </w:p>
        </w:tc>
      </w:tr>
      <w:tr w:rsidR="00983732" w:rsidRPr="00A3026E" w14:paraId="21CE570A" w14:textId="77777777" w:rsidTr="00EA0DA7">
        <w:tc>
          <w:tcPr>
            <w:tcW w:w="5636" w:type="dxa"/>
            <w:tcBorders>
              <w:top w:val="single" w:sz="6" w:space="0" w:color="auto"/>
              <w:left w:val="single" w:sz="12" w:space="0" w:color="auto"/>
              <w:bottom w:val="single" w:sz="6" w:space="0" w:color="auto"/>
              <w:right w:val="single" w:sz="6" w:space="0" w:color="auto"/>
            </w:tcBorders>
          </w:tcPr>
          <w:p w14:paraId="39B30F1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4 ФАБ-50</w:t>
            </w:r>
          </w:p>
        </w:tc>
        <w:tc>
          <w:tcPr>
            <w:tcW w:w="5362" w:type="dxa"/>
            <w:tcBorders>
              <w:top w:val="single" w:sz="6" w:space="0" w:color="auto"/>
              <w:left w:val="single" w:sz="6" w:space="0" w:color="auto"/>
              <w:bottom w:val="single" w:sz="6" w:space="0" w:color="auto"/>
              <w:right w:val="single" w:sz="12" w:space="0" w:color="auto"/>
            </w:tcBorders>
          </w:tcPr>
          <w:p w14:paraId="2557511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2 ФАБ-250</w:t>
            </w:r>
          </w:p>
        </w:tc>
      </w:tr>
      <w:tr w:rsidR="00983732" w:rsidRPr="00A3026E" w14:paraId="1B997FF5" w14:textId="77777777" w:rsidTr="00EA0DA7">
        <w:tc>
          <w:tcPr>
            <w:tcW w:w="5636" w:type="dxa"/>
            <w:tcBorders>
              <w:top w:val="single" w:sz="6" w:space="0" w:color="auto"/>
              <w:left w:val="single" w:sz="12" w:space="0" w:color="auto"/>
              <w:bottom w:val="single" w:sz="6" w:space="0" w:color="auto"/>
              <w:right w:val="single" w:sz="6" w:space="0" w:color="auto"/>
            </w:tcBorders>
          </w:tcPr>
          <w:p w14:paraId="03EDEE4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4 ФАБ-25</w:t>
            </w:r>
          </w:p>
        </w:tc>
        <w:tc>
          <w:tcPr>
            <w:tcW w:w="5362" w:type="dxa"/>
            <w:tcBorders>
              <w:top w:val="single" w:sz="6" w:space="0" w:color="auto"/>
              <w:left w:val="single" w:sz="6" w:space="0" w:color="auto"/>
              <w:bottom w:val="single" w:sz="6" w:space="0" w:color="auto"/>
              <w:right w:val="single" w:sz="12" w:space="0" w:color="auto"/>
            </w:tcBorders>
          </w:tcPr>
          <w:p w14:paraId="59DA02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2 ФАБ-100</w:t>
            </w:r>
          </w:p>
        </w:tc>
      </w:tr>
      <w:tr w:rsidR="00983732" w:rsidRPr="00A3026E" w14:paraId="2A4673CB" w14:textId="77777777" w:rsidTr="00EA0DA7">
        <w:tc>
          <w:tcPr>
            <w:tcW w:w="5636" w:type="dxa"/>
            <w:tcBorders>
              <w:top w:val="single" w:sz="6" w:space="0" w:color="auto"/>
              <w:left w:val="single" w:sz="12" w:space="0" w:color="auto"/>
              <w:bottom w:val="single" w:sz="6" w:space="0" w:color="auto"/>
              <w:right w:val="single" w:sz="6" w:space="0" w:color="auto"/>
            </w:tcBorders>
          </w:tcPr>
          <w:p w14:paraId="6ACE892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4 ХАБ-25</w:t>
            </w:r>
          </w:p>
        </w:tc>
        <w:tc>
          <w:tcPr>
            <w:tcW w:w="5362" w:type="dxa"/>
            <w:tcBorders>
              <w:top w:val="single" w:sz="6" w:space="0" w:color="auto"/>
              <w:left w:val="single" w:sz="6" w:space="0" w:color="auto"/>
              <w:bottom w:val="single" w:sz="6" w:space="0" w:color="auto"/>
              <w:right w:val="single" w:sz="12" w:space="0" w:color="auto"/>
            </w:tcBorders>
          </w:tcPr>
          <w:p w14:paraId="106FC0D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2 БРАБ-200</w:t>
            </w:r>
          </w:p>
        </w:tc>
      </w:tr>
      <w:tr w:rsidR="00983732" w:rsidRPr="00A3026E" w14:paraId="6BEA1B60" w14:textId="77777777" w:rsidTr="00EA0DA7">
        <w:tc>
          <w:tcPr>
            <w:tcW w:w="5636" w:type="dxa"/>
            <w:tcBorders>
              <w:top w:val="single" w:sz="6" w:space="0" w:color="auto"/>
              <w:left w:val="single" w:sz="12" w:space="0" w:color="auto"/>
              <w:bottom w:val="single" w:sz="6" w:space="0" w:color="auto"/>
              <w:right w:val="single" w:sz="6" w:space="0" w:color="auto"/>
            </w:tcBorders>
          </w:tcPr>
          <w:p w14:paraId="6BD4EB3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362" w:type="dxa"/>
            <w:tcBorders>
              <w:top w:val="single" w:sz="6" w:space="0" w:color="auto"/>
              <w:left w:val="single" w:sz="6" w:space="0" w:color="auto"/>
              <w:bottom w:val="single" w:sz="6" w:space="0" w:color="auto"/>
              <w:right w:val="single" w:sz="12" w:space="0" w:color="auto"/>
            </w:tcBorders>
          </w:tcPr>
          <w:p w14:paraId="625181B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2 БРАБ-500</w:t>
            </w:r>
          </w:p>
        </w:tc>
      </w:tr>
      <w:tr w:rsidR="00983732" w:rsidRPr="00A3026E" w14:paraId="7454C6B5" w14:textId="77777777" w:rsidTr="00EA0DA7">
        <w:tc>
          <w:tcPr>
            <w:tcW w:w="5636" w:type="dxa"/>
            <w:tcBorders>
              <w:top w:val="single" w:sz="6" w:space="0" w:color="auto"/>
              <w:left w:val="single" w:sz="12" w:space="0" w:color="auto"/>
              <w:bottom w:val="single" w:sz="6" w:space="0" w:color="auto"/>
              <w:right w:val="single" w:sz="6" w:space="0" w:color="auto"/>
            </w:tcBorders>
          </w:tcPr>
          <w:p w14:paraId="0F29202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2 ХАБ-500</w:t>
            </w:r>
          </w:p>
        </w:tc>
        <w:tc>
          <w:tcPr>
            <w:tcW w:w="5362" w:type="dxa"/>
            <w:tcBorders>
              <w:top w:val="single" w:sz="6" w:space="0" w:color="auto"/>
              <w:left w:val="single" w:sz="6" w:space="0" w:color="auto"/>
              <w:bottom w:val="single" w:sz="6" w:space="0" w:color="auto"/>
              <w:right w:val="single" w:sz="12" w:space="0" w:color="auto"/>
            </w:tcBorders>
          </w:tcPr>
          <w:p w14:paraId="37C3F9D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D686AD4" w14:textId="77777777" w:rsidTr="00EA0DA7">
        <w:tc>
          <w:tcPr>
            <w:tcW w:w="5636" w:type="dxa"/>
            <w:tcBorders>
              <w:top w:val="single" w:sz="6" w:space="0" w:color="auto"/>
              <w:left w:val="single" w:sz="12" w:space="0" w:color="auto"/>
              <w:bottom w:val="single" w:sz="6" w:space="0" w:color="auto"/>
              <w:right w:val="single" w:sz="6" w:space="0" w:color="auto"/>
            </w:tcBorders>
          </w:tcPr>
          <w:p w14:paraId="7357F587" w14:textId="77777777" w:rsidR="0014077F" w:rsidRPr="00A3026E" w:rsidRDefault="0014077F" w:rsidP="00A3026E">
            <w:pPr>
              <w:pStyle w:val="a3"/>
              <w:widowControl/>
              <w:tabs>
                <w:tab w:val="left" w:pos="11199"/>
              </w:tabs>
              <w:rPr>
                <w:color w:val="000000" w:themeColor="text1"/>
                <w:lang w:val="ru-RU"/>
              </w:rPr>
            </w:pPr>
          </w:p>
        </w:tc>
        <w:tc>
          <w:tcPr>
            <w:tcW w:w="5362" w:type="dxa"/>
            <w:tcBorders>
              <w:top w:val="single" w:sz="6" w:space="0" w:color="auto"/>
              <w:left w:val="single" w:sz="6" w:space="0" w:color="auto"/>
              <w:bottom w:val="single" w:sz="6" w:space="0" w:color="auto"/>
              <w:right w:val="single" w:sz="12" w:space="0" w:color="auto"/>
            </w:tcBorders>
          </w:tcPr>
          <w:p w14:paraId="10732BEA" w14:textId="77777777" w:rsidR="0014077F" w:rsidRPr="00A3026E" w:rsidRDefault="0014077F" w:rsidP="00A3026E">
            <w:pPr>
              <w:pStyle w:val="a3"/>
              <w:widowControl/>
              <w:tabs>
                <w:tab w:val="left" w:pos="11199"/>
              </w:tabs>
              <w:rPr>
                <w:color w:val="000000" w:themeColor="text1"/>
                <w:lang w:val="ru-RU"/>
              </w:rPr>
            </w:pPr>
            <w:r w:rsidRPr="00A3026E">
              <w:rPr>
                <w:color w:val="000000" w:themeColor="text1"/>
                <w:lang w:val="ru-RU"/>
              </w:rPr>
              <w:t>7. 2 ХАБ-200</w:t>
            </w:r>
          </w:p>
        </w:tc>
      </w:tr>
      <w:tr w:rsidR="00983732" w:rsidRPr="00A3026E" w14:paraId="595AC0E4" w14:textId="77777777" w:rsidTr="00EA0DA7">
        <w:tc>
          <w:tcPr>
            <w:tcW w:w="5636" w:type="dxa"/>
            <w:tcBorders>
              <w:top w:val="single" w:sz="6" w:space="0" w:color="auto"/>
              <w:left w:val="single" w:sz="12" w:space="0" w:color="auto"/>
              <w:bottom w:val="single" w:sz="12" w:space="0" w:color="auto"/>
              <w:right w:val="single" w:sz="6" w:space="0" w:color="auto"/>
            </w:tcBorders>
          </w:tcPr>
          <w:p w14:paraId="19D7110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362" w:type="dxa"/>
            <w:tcBorders>
              <w:top w:val="single" w:sz="6" w:space="0" w:color="auto"/>
              <w:left w:val="single" w:sz="6" w:space="0" w:color="auto"/>
              <w:bottom w:val="single" w:sz="12" w:space="0" w:color="auto"/>
              <w:right w:val="single" w:sz="12" w:space="0" w:color="auto"/>
            </w:tcBorders>
          </w:tcPr>
          <w:p w14:paraId="6AB5BE8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2 ХАБ-100</w:t>
            </w:r>
          </w:p>
        </w:tc>
      </w:tr>
    </w:tbl>
    <w:p w14:paraId="09A6DD1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спроектирован под мотор АМ-35А или АМ-37 с винтами 3-СМВ-5.</w:t>
      </w:r>
    </w:p>
    <w:p w14:paraId="617CBBA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имеется 6 бензобаков.</w:t>
      </w:r>
    </w:p>
    <w:p w14:paraId="09370E7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Запроектированные летно-тактические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1"/>
        <w:gridCol w:w="2259"/>
        <w:gridCol w:w="3978"/>
      </w:tblGrid>
      <w:tr w:rsidR="00983732" w:rsidRPr="00A3026E" w14:paraId="4A2ADF4C" w14:textId="77777777" w:rsidTr="00EA0DA7">
        <w:tc>
          <w:tcPr>
            <w:tcW w:w="4361" w:type="dxa"/>
            <w:tcBorders>
              <w:top w:val="single" w:sz="12" w:space="0" w:color="auto"/>
            </w:tcBorders>
          </w:tcPr>
          <w:p w14:paraId="2033CD0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259" w:type="dxa"/>
            <w:tcBorders>
              <w:top w:val="single" w:sz="12" w:space="0" w:color="auto"/>
            </w:tcBorders>
          </w:tcPr>
          <w:p w14:paraId="7E4DED9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АМ-35</w:t>
            </w:r>
          </w:p>
        </w:tc>
        <w:tc>
          <w:tcPr>
            <w:tcW w:w="3978" w:type="dxa"/>
            <w:tcBorders>
              <w:top w:val="single" w:sz="12" w:space="0" w:color="auto"/>
            </w:tcBorders>
          </w:tcPr>
          <w:p w14:paraId="0EA0CED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АМ-37</w:t>
            </w:r>
          </w:p>
        </w:tc>
      </w:tr>
      <w:tr w:rsidR="00983732" w:rsidRPr="00A3026E" w14:paraId="0CA39DFB" w14:textId="77777777" w:rsidTr="00EA0DA7">
        <w:tc>
          <w:tcPr>
            <w:tcW w:w="4361" w:type="dxa"/>
          </w:tcPr>
          <w:p w14:paraId="69C549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w:t>
            </w:r>
          </w:p>
        </w:tc>
        <w:tc>
          <w:tcPr>
            <w:tcW w:w="2259" w:type="dxa"/>
          </w:tcPr>
          <w:p w14:paraId="509C5E0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6975,8 кг</w:t>
            </w:r>
          </w:p>
        </w:tc>
        <w:tc>
          <w:tcPr>
            <w:tcW w:w="3978" w:type="dxa"/>
          </w:tcPr>
          <w:p w14:paraId="19D1472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6975,8 кг</w:t>
            </w:r>
          </w:p>
        </w:tc>
      </w:tr>
      <w:tr w:rsidR="00983732" w:rsidRPr="00A3026E" w14:paraId="6ECE358F" w14:textId="77777777" w:rsidTr="00EA0DA7">
        <w:tc>
          <w:tcPr>
            <w:tcW w:w="4361" w:type="dxa"/>
          </w:tcPr>
          <w:p w14:paraId="7BF04E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перегр. вар. макс. дальности</w:t>
            </w:r>
          </w:p>
        </w:tc>
        <w:tc>
          <w:tcPr>
            <w:tcW w:w="2259" w:type="dxa"/>
          </w:tcPr>
          <w:p w14:paraId="4D002D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7672,3 кг</w:t>
            </w:r>
          </w:p>
        </w:tc>
        <w:tc>
          <w:tcPr>
            <w:tcW w:w="3978" w:type="dxa"/>
          </w:tcPr>
          <w:p w14:paraId="1AD815E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7672,3 кг</w:t>
            </w:r>
          </w:p>
        </w:tc>
      </w:tr>
      <w:tr w:rsidR="00983732" w:rsidRPr="00A3026E" w14:paraId="1C629666" w14:textId="77777777" w:rsidTr="00EA0DA7">
        <w:tc>
          <w:tcPr>
            <w:tcW w:w="4361" w:type="dxa"/>
          </w:tcPr>
          <w:p w14:paraId="77E9909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w:t>
            </w:r>
          </w:p>
        </w:tc>
        <w:tc>
          <w:tcPr>
            <w:tcW w:w="2259" w:type="dxa"/>
          </w:tcPr>
          <w:p w14:paraId="565C71A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3978" w:type="dxa"/>
          </w:tcPr>
          <w:p w14:paraId="3381FA0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227FF0A" w14:textId="77777777" w:rsidTr="00EA0DA7">
        <w:tc>
          <w:tcPr>
            <w:tcW w:w="4361" w:type="dxa"/>
          </w:tcPr>
          <w:p w14:paraId="0D307A1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Н=0 м</w:t>
            </w:r>
          </w:p>
        </w:tc>
        <w:tc>
          <w:tcPr>
            <w:tcW w:w="2259" w:type="dxa"/>
          </w:tcPr>
          <w:p w14:paraId="17C845D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527 км/час</w:t>
            </w:r>
          </w:p>
        </w:tc>
        <w:tc>
          <w:tcPr>
            <w:tcW w:w="3978" w:type="dxa"/>
          </w:tcPr>
          <w:p w14:paraId="792CAE4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531 км/час</w:t>
            </w:r>
          </w:p>
        </w:tc>
      </w:tr>
      <w:tr w:rsidR="00983732" w:rsidRPr="00A3026E" w14:paraId="34F4C56E" w14:textId="77777777" w:rsidTr="00EA0DA7">
        <w:tc>
          <w:tcPr>
            <w:tcW w:w="4361" w:type="dxa"/>
          </w:tcPr>
          <w:p w14:paraId="137003A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Н=5000 м</w:t>
            </w:r>
          </w:p>
        </w:tc>
        <w:tc>
          <w:tcPr>
            <w:tcW w:w="2259" w:type="dxa"/>
          </w:tcPr>
          <w:p w14:paraId="4B49733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586 км/час</w:t>
            </w:r>
          </w:p>
        </w:tc>
        <w:tc>
          <w:tcPr>
            <w:tcW w:w="3978" w:type="dxa"/>
          </w:tcPr>
          <w:p w14:paraId="5BD5D26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611 км/час</w:t>
            </w:r>
          </w:p>
        </w:tc>
      </w:tr>
      <w:tr w:rsidR="00983732" w:rsidRPr="00A3026E" w14:paraId="446A12F3" w14:textId="77777777" w:rsidTr="00EA0DA7">
        <w:tc>
          <w:tcPr>
            <w:tcW w:w="4361" w:type="dxa"/>
          </w:tcPr>
          <w:p w14:paraId="2D46DFE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Н=7300 м</w:t>
            </w:r>
          </w:p>
        </w:tc>
        <w:tc>
          <w:tcPr>
            <w:tcW w:w="2259" w:type="dxa"/>
          </w:tcPr>
          <w:p w14:paraId="1308A40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619 км/час</w:t>
            </w:r>
          </w:p>
        </w:tc>
        <w:tc>
          <w:tcPr>
            <w:tcW w:w="3978" w:type="dxa"/>
          </w:tcPr>
          <w:p w14:paraId="4D8A0E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 км/час</w:t>
            </w:r>
          </w:p>
        </w:tc>
      </w:tr>
      <w:tr w:rsidR="00983732" w:rsidRPr="00A3026E" w14:paraId="33D83A4C" w14:textId="77777777" w:rsidTr="00EA0DA7">
        <w:tc>
          <w:tcPr>
            <w:tcW w:w="4361" w:type="dxa"/>
          </w:tcPr>
          <w:p w14:paraId="3465D11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2259" w:type="dxa"/>
          </w:tcPr>
          <w:p w14:paraId="4114216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134 км/час</w:t>
            </w:r>
          </w:p>
        </w:tc>
        <w:tc>
          <w:tcPr>
            <w:tcW w:w="3978" w:type="dxa"/>
          </w:tcPr>
          <w:p w14:paraId="3C52140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 км/час</w:t>
            </w:r>
          </w:p>
        </w:tc>
      </w:tr>
      <w:tr w:rsidR="00983732" w:rsidRPr="00A3026E" w14:paraId="28585CCB" w14:textId="77777777" w:rsidTr="00EA0DA7">
        <w:tc>
          <w:tcPr>
            <w:tcW w:w="4361" w:type="dxa"/>
          </w:tcPr>
          <w:p w14:paraId="09414DF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в нормальном вар.</w:t>
            </w:r>
          </w:p>
        </w:tc>
        <w:tc>
          <w:tcPr>
            <w:tcW w:w="2259" w:type="dxa"/>
          </w:tcPr>
          <w:p w14:paraId="2958430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11200 м</w:t>
            </w:r>
          </w:p>
        </w:tc>
        <w:tc>
          <w:tcPr>
            <w:tcW w:w="3978" w:type="dxa"/>
          </w:tcPr>
          <w:p w14:paraId="3A108F5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11650 м</w:t>
            </w:r>
          </w:p>
        </w:tc>
      </w:tr>
      <w:tr w:rsidR="00983732" w:rsidRPr="00A3026E" w14:paraId="0B16AC75" w14:textId="77777777" w:rsidTr="00EA0DA7">
        <w:tc>
          <w:tcPr>
            <w:tcW w:w="4361" w:type="dxa"/>
          </w:tcPr>
          <w:p w14:paraId="60EC9D3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w:t>
            </w:r>
          </w:p>
        </w:tc>
        <w:tc>
          <w:tcPr>
            <w:tcW w:w="2259" w:type="dxa"/>
          </w:tcPr>
          <w:p w14:paraId="7057BC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3978" w:type="dxa"/>
          </w:tcPr>
          <w:p w14:paraId="70E1376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26D7532" w14:textId="77777777" w:rsidTr="00EA0DA7">
        <w:tc>
          <w:tcPr>
            <w:tcW w:w="4361" w:type="dxa"/>
          </w:tcPr>
          <w:p w14:paraId="7FE2AFB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Н=5000 м</w:t>
            </w:r>
          </w:p>
        </w:tc>
        <w:tc>
          <w:tcPr>
            <w:tcW w:w="2259" w:type="dxa"/>
          </w:tcPr>
          <w:p w14:paraId="367CB81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 мин.</w:t>
            </w:r>
          </w:p>
        </w:tc>
        <w:tc>
          <w:tcPr>
            <w:tcW w:w="3978" w:type="dxa"/>
          </w:tcPr>
          <w:p w14:paraId="69AECFF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 мин.</w:t>
            </w:r>
          </w:p>
        </w:tc>
      </w:tr>
      <w:tr w:rsidR="00983732" w:rsidRPr="00A3026E" w14:paraId="2C5CB64B" w14:textId="77777777" w:rsidTr="00EA0DA7">
        <w:tc>
          <w:tcPr>
            <w:tcW w:w="4361" w:type="dxa"/>
          </w:tcPr>
          <w:p w14:paraId="6C35F50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Н=8000 м</w:t>
            </w:r>
          </w:p>
        </w:tc>
        <w:tc>
          <w:tcPr>
            <w:tcW w:w="2259" w:type="dxa"/>
          </w:tcPr>
          <w:p w14:paraId="6D05DCB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 мин.</w:t>
            </w:r>
          </w:p>
        </w:tc>
        <w:tc>
          <w:tcPr>
            <w:tcW w:w="3978" w:type="dxa"/>
          </w:tcPr>
          <w:p w14:paraId="14F23EB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 мин.</w:t>
            </w:r>
          </w:p>
        </w:tc>
      </w:tr>
      <w:tr w:rsidR="00983732" w:rsidRPr="00A3026E" w14:paraId="74D7A507" w14:textId="77777777" w:rsidTr="00EA0DA7">
        <w:tc>
          <w:tcPr>
            <w:tcW w:w="4361" w:type="dxa"/>
          </w:tcPr>
          <w:p w14:paraId="7BCA1D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w:t>
            </w:r>
          </w:p>
        </w:tc>
        <w:tc>
          <w:tcPr>
            <w:tcW w:w="2259" w:type="dxa"/>
          </w:tcPr>
          <w:p w14:paraId="13D9E7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3978" w:type="dxa"/>
          </w:tcPr>
          <w:p w14:paraId="298F2DA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34B383B" w14:textId="77777777" w:rsidTr="00EA0DA7">
        <w:tc>
          <w:tcPr>
            <w:tcW w:w="4361" w:type="dxa"/>
          </w:tcPr>
          <w:p w14:paraId="0FE2E8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нормальная</w:t>
            </w:r>
          </w:p>
        </w:tc>
        <w:tc>
          <w:tcPr>
            <w:tcW w:w="2259" w:type="dxa"/>
          </w:tcPr>
          <w:p w14:paraId="0EF73F2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 км</w:t>
            </w:r>
          </w:p>
        </w:tc>
        <w:tc>
          <w:tcPr>
            <w:tcW w:w="3978" w:type="dxa"/>
          </w:tcPr>
          <w:p w14:paraId="3E3D5D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1070 км</w:t>
            </w:r>
          </w:p>
        </w:tc>
      </w:tr>
      <w:tr w:rsidR="00983732" w:rsidRPr="00A3026E" w14:paraId="49EE7F38" w14:textId="77777777" w:rsidTr="00EA0DA7">
        <w:tc>
          <w:tcPr>
            <w:tcW w:w="4361" w:type="dxa"/>
          </w:tcPr>
          <w:p w14:paraId="07B905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max</w:t>
            </w:r>
          </w:p>
        </w:tc>
        <w:tc>
          <w:tcPr>
            <w:tcW w:w="2259" w:type="dxa"/>
          </w:tcPr>
          <w:p w14:paraId="600D3AF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1980 км</w:t>
            </w:r>
          </w:p>
        </w:tc>
        <w:tc>
          <w:tcPr>
            <w:tcW w:w="3978" w:type="dxa"/>
          </w:tcPr>
          <w:p w14:paraId="769B96A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1720 км</w:t>
            </w:r>
          </w:p>
        </w:tc>
      </w:tr>
      <w:tr w:rsidR="00983732" w:rsidRPr="00A3026E" w14:paraId="68080D80" w14:textId="77777777" w:rsidTr="00EA0DA7">
        <w:tc>
          <w:tcPr>
            <w:tcW w:w="4361" w:type="dxa"/>
          </w:tcPr>
          <w:p w14:paraId="5D9374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w:t>
            </w:r>
          </w:p>
        </w:tc>
        <w:tc>
          <w:tcPr>
            <w:tcW w:w="2259" w:type="dxa"/>
          </w:tcPr>
          <w:p w14:paraId="7CE3F8A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419 м</w:t>
            </w:r>
          </w:p>
        </w:tc>
        <w:tc>
          <w:tcPr>
            <w:tcW w:w="3978" w:type="dxa"/>
          </w:tcPr>
          <w:p w14:paraId="50C671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433 м</w:t>
            </w:r>
          </w:p>
        </w:tc>
      </w:tr>
      <w:tr w:rsidR="00983732" w:rsidRPr="00A3026E" w14:paraId="36D26AF2" w14:textId="77777777" w:rsidTr="00EA0DA7">
        <w:tc>
          <w:tcPr>
            <w:tcW w:w="4361" w:type="dxa"/>
            <w:tcBorders>
              <w:bottom w:val="single" w:sz="12" w:space="0" w:color="auto"/>
            </w:tcBorders>
          </w:tcPr>
          <w:p w14:paraId="17FACD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w:t>
            </w:r>
          </w:p>
        </w:tc>
        <w:tc>
          <w:tcPr>
            <w:tcW w:w="2259" w:type="dxa"/>
            <w:tcBorders>
              <w:bottom w:val="single" w:sz="12" w:space="0" w:color="auto"/>
            </w:tcBorders>
          </w:tcPr>
          <w:p w14:paraId="0BA6C37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236 м</w:t>
            </w:r>
          </w:p>
        </w:tc>
        <w:tc>
          <w:tcPr>
            <w:tcW w:w="3978" w:type="dxa"/>
            <w:tcBorders>
              <w:bottom w:val="single" w:sz="12" w:space="0" w:color="auto"/>
            </w:tcBorders>
          </w:tcPr>
          <w:p w14:paraId="17A52D9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236 м</w:t>
            </w:r>
          </w:p>
        </w:tc>
      </w:tr>
    </w:tbl>
    <w:p w14:paraId="415D9A2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EEEEA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ТИС по эскизному проекту Поликарпова рекомендуется для включения в план опытного самолетостроения на 1941 год с внесением в проект изменений (6610).</w:t>
      </w:r>
    </w:p>
    <w:p w14:paraId="6EA6729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0287A3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были утверждены заключения на эскизные проекты двухмоторных истребителей сопровождения ТИС Н.Н.П. и ДИС-200 А.И.М. и Гуревича с АМ-37 - оба развитие СПБ (1759,7).</w:t>
      </w:r>
    </w:p>
    <w:p w14:paraId="288B49A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295DC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г. при рассмотрении эскизного проекта самолет ИТП получил одобрение Экспертной комиссии НКАП, которая сделала следующий вывод: "Представляет интерес как первый у нас фронтовой истребитель с мощным пушечным вооружением". Разработка самолета продолжалась достаточно оперативно, уже 8 января 1941 г. состоялась первая макетная комиссия. Однако выводы этой комиссии коснулись прежде всего двигателя АМ-37, в отношении которого указывалось, что "перспектив получения АМ-37П в ближайшее время нет". Действительно, создание указанного двигателя по причине невключения его в план опытных работ НКАП практически не велось. В ответ на обращения Поликарпова в разные инстанции с пожеланием ускорить процесс создания АМ-37, конструктор Микулин отвечал, что в разработке находится затребованный наркоматом АМ-41, а двигатель АМ-37П идет во второй очереди (11956).</w:t>
      </w:r>
    </w:p>
    <w:p w14:paraId="4A3BA76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D91F681" w14:textId="77777777" w:rsidR="00D61E13" w:rsidRPr="00A3026E" w:rsidRDefault="00D61E1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14 декабря 1940 г. эскизный проект одно</w:t>
      </w:r>
      <w:r w:rsidRPr="00A3026E">
        <w:rPr>
          <w:color w:val="000000" w:themeColor="text1"/>
          <w:sz w:val="16"/>
          <w:szCs w:val="16"/>
        </w:rPr>
        <w:softHyphen/>
        <w:t>местного одномоторного истребителя с тяжелым пушечным вооружением ИТП АМ-37П (или М-105П) был рассмотрен постоянно действующей эксперт</w:t>
      </w:r>
      <w:r w:rsidRPr="00A3026E">
        <w:rPr>
          <w:color w:val="000000" w:themeColor="text1"/>
          <w:sz w:val="16"/>
          <w:szCs w:val="16"/>
        </w:rPr>
        <w:softHyphen/>
        <w:t>ной комиссией НКАП под председательством про</w:t>
      </w:r>
      <w:r w:rsidRPr="00A3026E">
        <w:rPr>
          <w:color w:val="000000" w:themeColor="text1"/>
          <w:sz w:val="16"/>
          <w:szCs w:val="16"/>
        </w:rPr>
        <w:softHyphen/>
        <w:t>фессора Б. Н. Юрьева и получил положительную оценку. При этом поскольку А. А. Микулин факти</w:t>
      </w:r>
      <w:r w:rsidRPr="00A3026E">
        <w:rPr>
          <w:color w:val="000000" w:themeColor="text1"/>
          <w:sz w:val="16"/>
          <w:szCs w:val="16"/>
        </w:rPr>
        <w:softHyphen/>
        <w:t>чески отказался от разработки мотора АМ-37П, то в качестве промежуточного варианта комиссия сочла необходимым принять вариант ИТП под серийный мотор М-105П с перспективой пере</w:t>
      </w:r>
      <w:r w:rsidRPr="00A3026E">
        <w:rPr>
          <w:color w:val="000000" w:themeColor="text1"/>
          <w:sz w:val="16"/>
          <w:szCs w:val="16"/>
        </w:rPr>
        <w:softHyphen/>
        <w:t>хода к более мощному мотору М-107П. Самолет рекомендовался к постройке и включению в план опытного строительства 1941 г. «как первый у нас фронтовой истребитель с мощным пушечным во</w:t>
      </w:r>
      <w:r w:rsidRPr="00A3026E">
        <w:rPr>
          <w:color w:val="000000" w:themeColor="text1"/>
          <w:sz w:val="16"/>
          <w:szCs w:val="16"/>
        </w:rPr>
        <w:softHyphen/>
        <w:t>оружением».</w:t>
      </w:r>
    </w:p>
    <w:p w14:paraId="13AAACC6" w14:textId="77777777" w:rsidR="00D61E13" w:rsidRPr="00A3026E" w:rsidRDefault="00D61E1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Одновременно по распоряжению Шахурина во исполнение требования постановления СНК СССР и ЦК ВКП(б) от 4 октября 1940 г. ОКБ-115 Яковле</w:t>
      </w:r>
      <w:r w:rsidRPr="00A3026E">
        <w:rPr>
          <w:color w:val="000000" w:themeColor="text1"/>
          <w:sz w:val="16"/>
          <w:szCs w:val="16"/>
        </w:rPr>
        <w:softHyphen/>
        <w:t>ва совместно с заводом № 301 к концу декабря был проработан вопрос о возможности установки 37-мм мотор-пушки Шпитального на истребитель Як-1 (И-26). Оказалось, что конструкция самолета Як-1 требует значительных переделок. Вес пушки Ш-37 с магазином на 50 патронов и двух пулеме</w:t>
      </w:r>
      <w:r w:rsidRPr="00A3026E">
        <w:rPr>
          <w:color w:val="000000" w:themeColor="text1"/>
          <w:sz w:val="16"/>
          <w:szCs w:val="16"/>
        </w:rPr>
        <w:softHyphen/>
        <w:t>тов ШКАС с боекомплектом более чем в 3,2 раза (на 242,8 кг) превышал вес всего стрелково-пушеч- ного вооружения Як-1. К этому следует добавить и значительные габариты Ш-37. Поэтому для разме</w:t>
      </w:r>
      <w:r w:rsidRPr="00A3026E">
        <w:rPr>
          <w:color w:val="000000" w:themeColor="text1"/>
          <w:sz w:val="16"/>
          <w:szCs w:val="16"/>
        </w:rPr>
        <w:softHyphen/>
        <w:t>щения пушки с магазином и сохранения центровки самолета в допустимых пределах необходимо было сместить кабину летчика назад. Кроме того, пред</w:t>
      </w:r>
      <w:r w:rsidRPr="00A3026E">
        <w:rPr>
          <w:color w:val="000000" w:themeColor="text1"/>
          <w:sz w:val="16"/>
          <w:szCs w:val="16"/>
        </w:rPr>
        <w:softHyphen/>
        <w:t>полагаемый рост полетного веса самолета требо</w:t>
      </w:r>
      <w:r w:rsidRPr="00A3026E">
        <w:rPr>
          <w:color w:val="000000" w:themeColor="text1"/>
          <w:sz w:val="16"/>
          <w:szCs w:val="16"/>
        </w:rPr>
        <w:softHyphen/>
        <w:t>вал усиления шасси и применения основных колес с пневматиками увеличенных размеров, что влекло за собой перекомпоновку схемы шасси и внесения некоторых изменений в конструкцию крыла. К тому же пушка Ш-37 при стрельбе откатывалась назад, что создавало дополнительные трудности по ее установке на самолете. Получалось так, что проще было построить новый истребитель, чем переделы</w:t>
      </w:r>
      <w:r w:rsidRPr="00A3026E">
        <w:rPr>
          <w:color w:val="000000" w:themeColor="text1"/>
          <w:sz w:val="16"/>
          <w:szCs w:val="16"/>
        </w:rPr>
        <w:softHyphen/>
        <w:t>вать серийный Як-1.</w:t>
      </w:r>
    </w:p>
    <w:p w14:paraId="15B2EFCA" w14:textId="77777777" w:rsidR="00D61E13" w:rsidRPr="00A3026E" w:rsidRDefault="00D61E1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 учетом полученных результатов Яковлев до</w:t>
      </w:r>
      <w:r w:rsidRPr="00A3026E">
        <w:rPr>
          <w:color w:val="000000" w:themeColor="text1"/>
          <w:sz w:val="16"/>
          <w:szCs w:val="16"/>
        </w:rPr>
        <w:softHyphen/>
        <w:t>ложил в секретариат Комитета обороны, что для установки пушки калибра 37 мм на существующие самолеты необходимо затратить средств и време</w:t>
      </w:r>
      <w:r w:rsidRPr="00A3026E">
        <w:rPr>
          <w:color w:val="000000" w:themeColor="text1"/>
          <w:sz w:val="16"/>
          <w:szCs w:val="16"/>
        </w:rPr>
        <w:softHyphen/>
        <w:t>ни не меньше, чем на постройку нового самолета. В этой связи в проект плана опытного строитель</w:t>
      </w:r>
      <w:r w:rsidRPr="00A3026E">
        <w:rPr>
          <w:color w:val="000000" w:themeColor="text1"/>
          <w:sz w:val="16"/>
          <w:szCs w:val="16"/>
        </w:rPr>
        <w:softHyphen/>
        <w:t>ства самолетов и моторов на 1941 г. НКАП включил разработку специального самолета под 37-мм мо</w:t>
      </w:r>
      <w:r w:rsidRPr="00A3026E">
        <w:rPr>
          <w:color w:val="000000" w:themeColor="text1"/>
          <w:sz w:val="16"/>
          <w:szCs w:val="16"/>
        </w:rPr>
        <w:softHyphen/>
        <w:t>тор-пушку. Одновременно Поликарпову поручили сконструировать и построить такой самолет. Кроме того, считалось целесообразным дать задание ко</w:t>
      </w:r>
      <w:r w:rsidRPr="00A3026E">
        <w:rPr>
          <w:color w:val="000000" w:themeColor="text1"/>
          <w:sz w:val="16"/>
          <w:szCs w:val="16"/>
        </w:rPr>
        <w:softHyphen/>
        <w:t>му-либо из конструкторов разработать еще один самолет этого типа. В ряду кандидатов рассматри</w:t>
      </w:r>
      <w:r w:rsidRPr="00A3026E">
        <w:rPr>
          <w:color w:val="000000" w:themeColor="text1"/>
          <w:sz w:val="16"/>
          <w:szCs w:val="16"/>
        </w:rPr>
        <w:softHyphen/>
        <w:t>вался тяжелый истребитель Гудкова. Самолет про про</w:t>
      </w:r>
      <w:r w:rsidRPr="00A3026E">
        <w:rPr>
          <w:color w:val="000000" w:themeColor="text1"/>
          <w:sz w:val="16"/>
          <w:szCs w:val="16"/>
        </w:rPr>
        <w:softHyphen/>
        <w:t>ектировался с пушкой калибра 23 мм Таубина— Бабурина, но прорабатывался вариант и с пушкой калибра 37 мм.</w:t>
      </w:r>
    </w:p>
    <w:p w14:paraId="0CA5D348" w14:textId="77777777" w:rsidR="00D61E13" w:rsidRPr="00A3026E" w:rsidRDefault="00D61E13"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Следует отметить, что Яковлев, говоря об офи</w:t>
      </w:r>
      <w:r w:rsidRPr="00A3026E">
        <w:rPr>
          <w:color w:val="000000" w:themeColor="text1"/>
          <w:sz w:val="16"/>
          <w:szCs w:val="16"/>
        </w:rPr>
        <w:softHyphen/>
        <w:t>циальном задании Поликарпову на постройку пу</w:t>
      </w:r>
      <w:r w:rsidRPr="00A3026E">
        <w:rPr>
          <w:color w:val="000000" w:themeColor="text1"/>
          <w:sz w:val="16"/>
          <w:szCs w:val="16"/>
        </w:rPr>
        <w:softHyphen/>
        <w:t>шечного истребителя, в известной мере лукавил. К этому времени имелось только положительное заключение экспертной комиссии НКАП, а проект плана опытного строительства самолетов и мото</w:t>
      </w:r>
      <w:r w:rsidRPr="00A3026E">
        <w:rPr>
          <w:color w:val="000000" w:themeColor="text1"/>
          <w:sz w:val="16"/>
          <w:szCs w:val="16"/>
        </w:rPr>
        <w:softHyphen/>
        <w:t>ров на 1941 г. предусматривал создание тяжелого пушечного истребителя (по классификации НКАП) с летными данными, которые были значительно хуже, чем у самолетов Гу-1 Гудкова и ИТП Поли</w:t>
      </w:r>
      <w:r w:rsidRPr="00A3026E">
        <w:rPr>
          <w:color w:val="000000" w:themeColor="text1"/>
          <w:sz w:val="16"/>
          <w:szCs w:val="16"/>
        </w:rPr>
        <w:softHyphen/>
        <w:t>карпова (17500).</w:t>
      </w:r>
    </w:p>
    <w:p w14:paraId="50A71BCA" w14:textId="77777777" w:rsidR="00D61E13" w:rsidRPr="00A3026E" w:rsidRDefault="00D61E13" w:rsidP="00A3026E">
      <w:pPr>
        <w:spacing w:after="0" w:line="240" w:lineRule="auto"/>
        <w:jc w:val="both"/>
        <w:rPr>
          <w:rFonts w:ascii="Times New Roman" w:eastAsia="Times New Roman" w:hAnsi="Times New Roman"/>
          <w:color w:val="000000" w:themeColor="text1"/>
          <w:sz w:val="16"/>
          <w:szCs w:val="16"/>
          <w:lang w:eastAsia="ru-RU"/>
        </w:rPr>
      </w:pPr>
    </w:p>
    <w:p w14:paraId="35E1FB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вышел приказ НКАП N 741с в развитие приказа НКАП N 541 от 14 ноября 1940 (1312,99).</w:t>
      </w:r>
    </w:p>
    <w:p w14:paraId="39851A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Директору завода 23 Фролову и ГК С.А.Л. передать заводу 165 пять комплектов чертежей самолета ЛаГГ-3 и один комплект материальной спецификации к 20 декабря 1940 (1312,99).</w:t>
      </w:r>
    </w:p>
    <w:p w14:paraId="42688AD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FA31F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приказом НКАП N 578к "В целях создания ОКБ на заводе 301 перевести с 17.12 на пост. работу с завода 84 на завод 301 в распоряжение ГК М.И.Гудкова (862,206).</w:t>
      </w:r>
    </w:p>
    <w:p w14:paraId="6FF9000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E82A9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г. вышел приказ НКАП о назначении М.И.Гудкова главным конструктором ОКБ-301 - как-то принято считать, что именно в Химках находилась "альма матер" фирмы Ла, хотя на самом деле, Лавочкин в полной мере как Главный конструктор состоялся на заводе № 21 в Горьком (4707).</w:t>
      </w:r>
    </w:p>
    <w:p w14:paraId="35BA77D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D947209" w14:textId="77777777" w:rsidR="00023AEE" w:rsidRPr="00A3026E" w:rsidRDefault="00023AEE" w:rsidP="00A3026E">
      <w:pPr>
        <w:pStyle w:val="5e"/>
        <w:shd w:val="clear" w:color="auto" w:fill="auto"/>
        <w:spacing w:line="240" w:lineRule="auto"/>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14 декабря 1940 согласно приказу НКАП Гудков стал начальником ОКБ-301. Незадолго до этого представил собственный проект — истребитель Гу-1, по компоновке подобный американской «Аэрокобре» (19106).</w:t>
      </w:r>
    </w:p>
    <w:p w14:paraId="52E79192" w14:textId="77777777" w:rsidR="00023AEE" w:rsidRPr="00A3026E" w:rsidRDefault="00023AEE" w:rsidP="00A3026E">
      <w:pPr>
        <w:pStyle w:val="5e"/>
        <w:shd w:val="clear" w:color="auto" w:fill="auto"/>
        <w:spacing w:line="240" w:lineRule="auto"/>
        <w:rPr>
          <w:rFonts w:ascii="Times New Roman" w:hAnsi="Times New Roman" w:cs="Times New Roman"/>
          <w:color w:val="000000" w:themeColor="text1"/>
          <w:sz w:val="16"/>
          <w:szCs w:val="16"/>
        </w:rPr>
      </w:pPr>
    </w:p>
    <w:p w14:paraId="18C860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Зам. нач. 7 ГУ НКАП С.Шишкин писал письмо N 23/2679 Зам. нач. НИИ ВВС КА ви 3 ранга Лосюкову:</w:t>
      </w:r>
    </w:p>
    <w:p w14:paraId="5A34E0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Вашему запросу (от 2 декабря 1940 N 1/01240) сообщаю, что в системе 7 ГУ НКАП за 1940 организованы следующие новые опытные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559"/>
      </w:tblGrid>
      <w:tr w:rsidR="00983732" w:rsidRPr="00A3026E" w14:paraId="0CACB857" w14:textId="77777777" w:rsidTr="00EA0DA7">
        <w:tc>
          <w:tcPr>
            <w:tcW w:w="1526" w:type="dxa"/>
            <w:tcBorders>
              <w:top w:val="single" w:sz="12" w:space="0" w:color="auto"/>
            </w:tcBorders>
          </w:tcPr>
          <w:p w14:paraId="399CED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1. 51</w:t>
            </w:r>
          </w:p>
        </w:tc>
        <w:tc>
          <w:tcPr>
            <w:tcW w:w="1559" w:type="dxa"/>
            <w:tcBorders>
              <w:top w:val="single" w:sz="12" w:space="0" w:color="auto"/>
            </w:tcBorders>
          </w:tcPr>
          <w:p w14:paraId="546047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w:t>
            </w:r>
          </w:p>
        </w:tc>
      </w:tr>
      <w:tr w:rsidR="00983732" w:rsidRPr="00A3026E" w14:paraId="591DF62B" w14:textId="77777777" w:rsidTr="00EA0DA7">
        <w:tc>
          <w:tcPr>
            <w:tcW w:w="1526" w:type="dxa"/>
          </w:tcPr>
          <w:p w14:paraId="592888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2. 290</w:t>
            </w:r>
          </w:p>
        </w:tc>
        <w:tc>
          <w:tcPr>
            <w:tcW w:w="1559" w:type="dxa"/>
          </w:tcPr>
          <w:p w14:paraId="02FDAE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Камов</w:t>
            </w:r>
          </w:p>
        </w:tc>
      </w:tr>
      <w:tr w:rsidR="00983732" w:rsidRPr="00A3026E" w14:paraId="3D6CE9FC" w14:textId="77777777" w:rsidTr="00EA0DA7">
        <w:tc>
          <w:tcPr>
            <w:tcW w:w="1526" w:type="dxa"/>
          </w:tcPr>
          <w:p w14:paraId="6D79AA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3. 293</w:t>
            </w:r>
          </w:p>
        </w:tc>
        <w:tc>
          <w:tcPr>
            <w:tcW w:w="1559" w:type="dxa"/>
          </w:tcPr>
          <w:p w14:paraId="6F80DB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Болховитинов</w:t>
            </w:r>
          </w:p>
        </w:tc>
      </w:tr>
      <w:tr w:rsidR="00983732" w:rsidRPr="00A3026E" w14:paraId="26FE29FC" w14:textId="77777777" w:rsidTr="00EA0DA7">
        <w:tc>
          <w:tcPr>
            <w:tcW w:w="1526" w:type="dxa"/>
          </w:tcPr>
          <w:p w14:paraId="165948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4. 289</w:t>
            </w:r>
          </w:p>
        </w:tc>
        <w:tc>
          <w:tcPr>
            <w:tcW w:w="1559" w:type="dxa"/>
          </w:tcPr>
          <w:p w14:paraId="7A5196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w:t>
            </w:r>
          </w:p>
        </w:tc>
      </w:tr>
      <w:tr w:rsidR="00983732" w:rsidRPr="00A3026E" w14:paraId="2E768851" w14:textId="77777777" w:rsidTr="00EA0DA7">
        <w:tc>
          <w:tcPr>
            <w:tcW w:w="1526" w:type="dxa"/>
          </w:tcPr>
          <w:p w14:paraId="7F9D71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5. 240</w:t>
            </w:r>
          </w:p>
        </w:tc>
        <w:tc>
          <w:tcPr>
            <w:tcW w:w="1559" w:type="dxa"/>
          </w:tcPr>
          <w:p w14:paraId="56163E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Ермолаев</w:t>
            </w:r>
          </w:p>
        </w:tc>
      </w:tr>
      <w:tr w:rsidR="00983732" w:rsidRPr="00A3026E" w14:paraId="05F14DCE" w14:textId="77777777" w:rsidTr="00EA0DA7">
        <w:tc>
          <w:tcPr>
            <w:tcW w:w="1526" w:type="dxa"/>
          </w:tcPr>
          <w:p w14:paraId="145851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КБ-28</w:t>
            </w:r>
          </w:p>
        </w:tc>
        <w:tc>
          <w:tcPr>
            <w:tcW w:w="1559" w:type="dxa"/>
          </w:tcPr>
          <w:p w14:paraId="1B4375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Грибовский</w:t>
            </w:r>
          </w:p>
        </w:tc>
      </w:tr>
      <w:tr w:rsidR="00983732" w:rsidRPr="00A3026E" w14:paraId="65856E60" w14:textId="77777777" w:rsidTr="00EA0DA7">
        <w:tc>
          <w:tcPr>
            <w:tcW w:w="1526" w:type="dxa"/>
            <w:tcBorders>
              <w:bottom w:val="single" w:sz="12" w:space="0" w:color="auto"/>
            </w:tcBorders>
          </w:tcPr>
          <w:p w14:paraId="154291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7. 468</w:t>
            </w:r>
          </w:p>
        </w:tc>
        <w:tc>
          <w:tcPr>
            <w:tcW w:w="1559" w:type="dxa"/>
            <w:tcBorders>
              <w:bottom w:val="single" w:sz="12" w:space="0" w:color="auto"/>
            </w:tcBorders>
          </w:tcPr>
          <w:p w14:paraId="35C1C3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Привалов</w:t>
            </w:r>
          </w:p>
        </w:tc>
      </w:tr>
    </w:tbl>
    <w:p w14:paraId="4AE843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Последний в настоящее время находится в состоянии организации (2090,223).</w:t>
      </w:r>
    </w:p>
    <w:p w14:paraId="4B752B0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9018A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изготовили третий И-21. На нем маслорадиаторы заменили одним серпообразной формы и расположили его под двигателем. В мае-июне 1941 испытывался в ЛИИ. В мае-июне 1941-го этот И-21 с мотором М-105П испытывался в ЛИИ. Как отмечалось в акте по их результатам, подъем и выпуск шасси осуществлялся с помощью пневмоприводов, причем основные опоры убирались в центроплан с разворотом колес на 90°. Для уборки и выпуска костыля использовался цилиндр его амортизатора. Вооружение самолета включало пушку ПТБ-23 и два ШКАСа. Крыло набрали из профилей NACA 0012-14 до девятой нервюры и с 9 по 19-ю нервюры - из симметричных (начиная с 20% хорды) - на основе NACA 0012-14 и 23009. Консоли несущей поверхности имели стреловидность 8°40 мин. по передней кромке и угол поперечного V= 4°40 мин. Центровка изменялась в диапазоне от17.78% до 21% САХ. Отмечалась просторная кабина летчика, исключавшая задувание и попадание в нее излишков воды, бензина и отработанных газов (8280,26).</w:t>
      </w:r>
    </w:p>
    <w:p w14:paraId="7B3CAEC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20AA11F" w14:textId="77777777" w:rsidR="00436F07" w:rsidRPr="00A3026E" w:rsidRDefault="00436F0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г. закончились заводские испытания самолета третьего ИП-2 Пашинина. Этот третий ИП-21 заметно отличался от первых двух экземпляров. Самолет имел увеличенное по площади на 0,21 м² вертикальное оперение (1,54 м²), убирающееся костыльное колесо и уменьшенный на 60 мм выступ водяного радиатора. Крыло самолета стало более чистым после снятия с него масляных радиаторов, законцовки крыла стали почти прямоугольными. Масляный подковообразный радиатор установили под передней частью капота двигателя, так как он был установлен уже на Як-1 и ЛаГГ-3. Всасывающие патрубки двигателя разместили в корневой части фюзеляжа, выхлопные патрубки сгруппировали в два выхлопных коллектора с каждой стороны двигателя. Полетная центровка самолета, по данным заводского КБ, находилась в пределах 19,5-24% САХ (15561).</w:t>
      </w:r>
    </w:p>
    <w:p w14:paraId="4CD41A5F" w14:textId="77777777" w:rsidR="00436F07" w:rsidRPr="00A3026E" w:rsidRDefault="00436F07" w:rsidP="00A3026E">
      <w:pPr>
        <w:spacing w:after="0" w:line="240" w:lineRule="auto"/>
        <w:jc w:val="both"/>
        <w:rPr>
          <w:rFonts w:ascii="Times New Roman" w:hAnsi="Times New Roman"/>
          <w:color w:val="000000" w:themeColor="text1"/>
          <w:sz w:val="16"/>
          <w:szCs w:val="16"/>
        </w:rPr>
      </w:pPr>
    </w:p>
    <w:p w14:paraId="00048E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1941 Нач. ЦУС ГУ ГВФ бригинженер Карпухин писал письмо № 1455с:</w:t>
      </w:r>
    </w:p>
    <w:p w14:paraId="49E9CB1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НАРОДНОМУ КОМИССАРУ АВИАЦИОННОЙ ПРОМЫШЛЕННОСТИ тов. ШАХУРИНУ</w:t>
      </w:r>
    </w:p>
    <w:p w14:paraId="29220A0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соответствии с решешвм Комитета Обороны СНК СССР от 5 ноября с.г. о выделении Аэрофлоту 720 самолетов У-2, 400 </w:t>
      </w:r>
      <w:r w:rsidRPr="00A3026E">
        <w:rPr>
          <w:rFonts w:ascii="Times New Roman" w:hAnsi="Times New Roman"/>
          <w:smallCaps/>
          <w:color w:val="000000" w:themeColor="text1"/>
          <w:sz w:val="16"/>
          <w:szCs w:val="16"/>
        </w:rPr>
        <w:t xml:space="preserve">моторов </w:t>
      </w:r>
      <w:r w:rsidRPr="00A3026E">
        <w:rPr>
          <w:rFonts w:ascii="Times New Roman" w:hAnsi="Times New Roman"/>
          <w:color w:val="000000" w:themeColor="text1"/>
          <w:sz w:val="16"/>
          <w:szCs w:val="16"/>
        </w:rPr>
        <w:t>М-11 и запасных частей со срокомполучения до 15 апреля 1941 года. прошу Вашего срочного распоряжения о выделении заводов поставщиков и указания последним о заключении договоров на , поставку самолетов, моторов, групповых комплектов и запчастей.</w:t>
      </w:r>
    </w:p>
    <w:p w14:paraId="19E784D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Вашем решении прошу уведомить.</w:t>
      </w:r>
    </w:p>
    <w:p w14:paraId="61E0CF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Заявка на остродефицитные запчасти на 7 листах</w:t>
      </w:r>
    </w:p>
    <w:p w14:paraId="087F8AF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А Я В К А</w:t>
      </w:r>
    </w:p>
    <w:p w14:paraId="2002BBF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АГРЕГАТЫ К САМОЛЕТАМ, ПОТРЕБНЫХ ЦУС АЭРОФЛОТА СОГЛАСНО РЕШЕНИЯ КО СНК ОТ 5 НОЯБРЯ 1940 года.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381"/>
        <w:gridCol w:w="1133"/>
        <w:gridCol w:w="1267"/>
        <w:gridCol w:w="826"/>
        <w:gridCol w:w="1910"/>
      </w:tblGrid>
      <w:tr w:rsidR="00983732" w:rsidRPr="00A3026E" w14:paraId="2F81922F" w14:textId="77777777" w:rsidTr="00EA0DA7">
        <w:trPr>
          <w:trHeight w:val="20"/>
        </w:trPr>
        <w:tc>
          <w:tcPr>
            <w:tcW w:w="2381" w:type="dxa"/>
            <w:tcBorders>
              <w:top w:val="single" w:sz="12" w:space="0" w:color="auto"/>
            </w:tcBorders>
          </w:tcPr>
          <w:p w14:paraId="23F28A5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w:t>
            </w:r>
          </w:p>
        </w:tc>
        <w:tc>
          <w:tcPr>
            <w:tcW w:w="1133" w:type="dxa"/>
            <w:tcBorders>
              <w:top w:val="single" w:sz="12" w:space="0" w:color="auto"/>
            </w:tcBorders>
          </w:tcPr>
          <w:p w14:paraId="2AB2E72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детали </w:t>
            </w:r>
          </w:p>
        </w:tc>
        <w:tc>
          <w:tcPr>
            <w:tcW w:w="1267" w:type="dxa"/>
            <w:tcBorders>
              <w:top w:val="single" w:sz="12" w:space="0" w:color="auto"/>
            </w:tcBorders>
          </w:tcPr>
          <w:p w14:paraId="2C59B28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Колич. </w:t>
            </w:r>
          </w:p>
        </w:tc>
        <w:tc>
          <w:tcPr>
            <w:tcW w:w="826" w:type="dxa"/>
            <w:tcBorders>
              <w:top w:val="single" w:sz="12" w:space="0" w:color="auto"/>
            </w:tcBorders>
          </w:tcPr>
          <w:p w14:paraId="0823DC1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Цена </w:t>
            </w:r>
          </w:p>
        </w:tc>
        <w:tc>
          <w:tcPr>
            <w:tcW w:w="1910" w:type="dxa"/>
            <w:tcBorders>
              <w:top w:val="single" w:sz="12" w:space="0" w:color="auto"/>
            </w:tcBorders>
          </w:tcPr>
          <w:p w14:paraId="62BE098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Сумма </w:t>
            </w:r>
          </w:p>
        </w:tc>
      </w:tr>
      <w:tr w:rsidR="00983732" w:rsidRPr="00A3026E" w14:paraId="4CA5F318" w14:textId="77777777" w:rsidTr="00EA0DA7">
        <w:trPr>
          <w:trHeight w:val="20"/>
        </w:trPr>
        <w:tc>
          <w:tcPr>
            <w:tcW w:w="2381" w:type="dxa"/>
          </w:tcPr>
          <w:p w14:paraId="18D1E9B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Винтов воздушных У-2</w:t>
            </w:r>
          </w:p>
        </w:tc>
        <w:tc>
          <w:tcPr>
            <w:tcW w:w="1133" w:type="dxa"/>
          </w:tcPr>
          <w:p w14:paraId="4801019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w:t>
            </w:r>
          </w:p>
        </w:tc>
        <w:tc>
          <w:tcPr>
            <w:tcW w:w="1267" w:type="dxa"/>
          </w:tcPr>
          <w:p w14:paraId="69A75A2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 </w:t>
            </w:r>
          </w:p>
        </w:tc>
        <w:tc>
          <w:tcPr>
            <w:tcW w:w="826" w:type="dxa"/>
          </w:tcPr>
          <w:p w14:paraId="543A182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540-- </w:t>
            </w:r>
          </w:p>
        </w:tc>
        <w:tc>
          <w:tcPr>
            <w:tcW w:w="1910" w:type="dxa"/>
          </w:tcPr>
          <w:p w14:paraId="53BE754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162000</w:t>
            </w:r>
          </w:p>
        </w:tc>
      </w:tr>
      <w:tr w:rsidR="00983732" w:rsidRPr="00A3026E" w14:paraId="5E9DCE26" w14:textId="77777777" w:rsidTr="00EA0DA7">
        <w:trPr>
          <w:trHeight w:val="20"/>
        </w:trPr>
        <w:tc>
          <w:tcPr>
            <w:tcW w:w="2381" w:type="dxa"/>
          </w:tcPr>
          <w:p w14:paraId="156BB27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Колеса диск. 700x150</w:t>
            </w:r>
          </w:p>
        </w:tc>
        <w:tc>
          <w:tcPr>
            <w:tcW w:w="1133" w:type="dxa"/>
          </w:tcPr>
          <w:p w14:paraId="5FA960E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67" w:type="dxa"/>
          </w:tcPr>
          <w:p w14:paraId="7FF7858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826" w:type="dxa"/>
          </w:tcPr>
          <w:p w14:paraId="55CAD02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920</w:t>
            </w:r>
          </w:p>
        </w:tc>
        <w:tc>
          <w:tcPr>
            <w:tcW w:w="1910" w:type="dxa"/>
          </w:tcPr>
          <w:p w14:paraId="609F697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276000</w:t>
            </w:r>
          </w:p>
        </w:tc>
      </w:tr>
      <w:tr w:rsidR="00983732" w:rsidRPr="00A3026E" w14:paraId="2F7E11CD" w14:textId="77777777" w:rsidTr="00EA0DA7">
        <w:trPr>
          <w:trHeight w:val="20"/>
        </w:trPr>
        <w:tc>
          <w:tcPr>
            <w:tcW w:w="2381" w:type="dxa"/>
          </w:tcPr>
          <w:p w14:paraId="66FA72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Колес пневмат. тормозн. 900x200</w:t>
            </w:r>
          </w:p>
        </w:tc>
        <w:tc>
          <w:tcPr>
            <w:tcW w:w="1133" w:type="dxa"/>
          </w:tcPr>
          <w:p w14:paraId="3104AB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67" w:type="dxa"/>
          </w:tcPr>
          <w:p w14:paraId="1B39AFF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826" w:type="dxa"/>
          </w:tcPr>
          <w:p w14:paraId="0F1F393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3700</w:t>
            </w:r>
          </w:p>
        </w:tc>
        <w:tc>
          <w:tcPr>
            <w:tcW w:w="1910" w:type="dxa"/>
          </w:tcPr>
          <w:p w14:paraId="3BE3DC0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370000</w:t>
            </w:r>
          </w:p>
        </w:tc>
      </w:tr>
      <w:tr w:rsidR="00983732" w:rsidRPr="00A3026E" w14:paraId="23AF7029" w14:textId="77777777" w:rsidTr="00EA0DA7">
        <w:trPr>
          <w:trHeight w:val="20"/>
        </w:trPr>
        <w:tc>
          <w:tcPr>
            <w:tcW w:w="2381" w:type="dxa"/>
            <w:tcBorders>
              <w:bottom w:val="single" w:sz="12" w:space="0" w:color="auto"/>
            </w:tcBorders>
          </w:tcPr>
          <w:p w14:paraId="127DC3F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1133" w:type="dxa"/>
            <w:tcBorders>
              <w:bottom w:val="single" w:sz="12" w:space="0" w:color="auto"/>
            </w:tcBorders>
          </w:tcPr>
          <w:p w14:paraId="7DD369B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67" w:type="dxa"/>
            <w:tcBorders>
              <w:bottom w:val="single" w:sz="12" w:space="0" w:color="auto"/>
            </w:tcBorders>
          </w:tcPr>
          <w:p w14:paraId="328B77E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2B83E4D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910" w:type="dxa"/>
            <w:tcBorders>
              <w:bottom w:val="single" w:sz="12" w:space="0" w:color="auto"/>
            </w:tcBorders>
          </w:tcPr>
          <w:p w14:paraId="7DEDB7C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808000 руб.</w:t>
            </w:r>
          </w:p>
        </w:tc>
      </w:tr>
    </w:tbl>
    <w:p w14:paraId="1C6E90E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 А Я В К А </w:t>
      </w:r>
    </w:p>
    <w:p w14:paraId="58BA277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ЗАПАСНЫЕ ЧАСТИ К САМОЛЕТАМ У-2, СОГЛАСНО РЕШЕНИЯ К.О. СНК от 5-декабря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29"/>
        <w:gridCol w:w="1142"/>
        <w:gridCol w:w="1229"/>
        <w:gridCol w:w="931"/>
        <w:gridCol w:w="1766"/>
      </w:tblGrid>
      <w:tr w:rsidR="00983732" w:rsidRPr="00A3026E" w14:paraId="252A4FD7" w14:textId="77777777" w:rsidTr="00EA0DA7">
        <w:trPr>
          <w:trHeight w:val="20"/>
        </w:trPr>
        <w:tc>
          <w:tcPr>
            <w:tcW w:w="2429" w:type="dxa"/>
            <w:tcBorders>
              <w:top w:val="single" w:sz="12" w:space="0" w:color="auto"/>
            </w:tcBorders>
          </w:tcPr>
          <w:p w14:paraId="7887E9F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ДЕТАЛЕЙ</w:t>
            </w:r>
          </w:p>
        </w:tc>
        <w:tc>
          <w:tcPr>
            <w:tcW w:w="1142" w:type="dxa"/>
            <w:tcBorders>
              <w:top w:val="single" w:sz="12" w:space="0" w:color="auto"/>
            </w:tcBorders>
          </w:tcPr>
          <w:p w14:paraId="1128D49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деталей</w:t>
            </w:r>
          </w:p>
        </w:tc>
        <w:tc>
          <w:tcPr>
            <w:tcW w:w="1229" w:type="dxa"/>
            <w:tcBorders>
              <w:top w:val="single" w:sz="12" w:space="0" w:color="auto"/>
            </w:tcBorders>
          </w:tcPr>
          <w:p w14:paraId="666FC57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Количество </w:t>
            </w:r>
          </w:p>
        </w:tc>
        <w:tc>
          <w:tcPr>
            <w:tcW w:w="931" w:type="dxa"/>
            <w:tcBorders>
              <w:top w:val="single" w:sz="12" w:space="0" w:color="auto"/>
            </w:tcBorders>
          </w:tcPr>
          <w:p w14:paraId="68F7840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ЦЕНА </w:t>
            </w:r>
          </w:p>
        </w:tc>
        <w:tc>
          <w:tcPr>
            <w:tcW w:w="1766" w:type="dxa"/>
            <w:tcBorders>
              <w:top w:val="single" w:sz="12" w:space="0" w:color="auto"/>
            </w:tcBorders>
          </w:tcPr>
          <w:p w14:paraId="7A90EEE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СУММА </w:t>
            </w:r>
          </w:p>
        </w:tc>
      </w:tr>
      <w:tr w:rsidR="00983732" w:rsidRPr="00A3026E" w14:paraId="54FD6A60" w14:textId="77777777" w:rsidTr="00EA0DA7">
        <w:trPr>
          <w:trHeight w:val="20"/>
        </w:trPr>
        <w:tc>
          <w:tcPr>
            <w:tcW w:w="2429" w:type="dxa"/>
          </w:tcPr>
          <w:p w14:paraId="6345B3D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Узел крепления кабана к фюзеляжу прав .лев . </w:t>
            </w:r>
          </w:p>
        </w:tc>
        <w:tc>
          <w:tcPr>
            <w:tcW w:w="1142" w:type="dxa"/>
          </w:tcPr>
          <w:p w14:paraId="0411E71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137к </w:t>
            </w:r>
          </w:p>
        </w:tc>
        <w:tc>
          <w:tcPr>
            <w:tcW w:w="1229" w:type="dxa"/>
          </w:tcPr>
          <w:p w14:paraId="3DDA89D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шт. 1*тЛ </w:t>
            </w:r>
          </w:p>
        </w:tc>
        <w:tc>
          <w:tcPr>
            <w:tcW w:w="931" w:type="dxa"/>
          </w:tcPr>
          <w:p w14:paraId="03E5B61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17-55 </w:t>
            </w:r>
          </w:p>
        </w:tc>
        <w:tc>
          <w:tcPr>
            <w:tcW w:w="1766" w:type="dxa"/>
          </w:tcPr>
          <w:p w14:paraId="1E87A62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3510 </w:t>
            </w:r>
          </w:p>
        </w:tc>
      </w:tr>
      <w:tr w:rsidR="00983732" w:rsidRPr="00A3026E" w14:paraId="50CDB3FD" w14:textId="77777777" w:rsidTr="00EA0DA7">
        <w:trPr>
          <w:trHeight w:val="20"/>
        </w:trPr>
        <w:tc>
          <w:tcPr>
            <w:tcW w:w="2429" w:type="dxa"/>
          </w:tcPr>
          <w:p w14:paraId="18E6C0A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Узел фюзеляжа</w:t>
            </w:r>
          </w:p>
        </w:tc>
        <w:tc>
          <w:tcPr>
            <w:tcW w:w="1142" w:type="dxa"/>
          </w:tcPr>
          <w:p w14:paraId="677A00C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158</w:t>
            </w:r>
          </w:p>
        </w:tc>
        <w:tc>
          <w:tcPr>
            <w:tcW w:w="1229" w:type="dxa"/>
          </w:tcPr>
          <w:p w14:paraId="4E7D26B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931" w:type="dxa"/>
          </w:tcPr>
          <w:p w14:paraId="3243127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4-99</w:t>
            </w:r>
          </w:p>
        </w:tc>
        <w:tc>
          <w:tcPr>
            <w:tcW w:w="1766" w:type="dxa"/>
          </w:tcPr>
          <w:p w14:paraId="522782B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748-50</w:t>
            </w:r>
          </w:p>
        </w:tc>
      </w:tr>
      <w:tr w:rsidR="00983732" w:rsidRPr="00A3026E" w14:paraId="4767EB87" w14:textId="77777777" w:rsidTr="00EA0DA7">
        <w:trPr>
          <w:trHeight w:val="20"/>
        </w:trPr>
        <w:tc>
          <w:tcPr>
            <w:tcW w:w="2429" w:type="dxa"/>
          </w:tcPr>
          <w:p w14:paraId="7E7EDC2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То же прав. лев. </w:t>
            </w:r>
          </w:p>
        </w:tc>
        <w:tc>
          <w:tcPr>
            <w:tcW w:w="1142" w:type="dxa"/>
          </w:tcPr>
          <w:p w14:paraId="63CFDB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109 </w:t>
            </w:r>
          </w:p>
        </w:tc>
        <w:tc>
          <w:tcPr>
            <w:tcW w:w="1229" w:type="dxa"/>
          </w:tcPr>
          <w:p w14:paraId="3821746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400 шт. </w:t>
            </w:r>
          </w:p>
        </w:tc>
        <w:tc>
          <w:tcPr>
            <w:tcW w:w="931" w:type="dxa"/>
          </w:tcPr>
          <w:p w14:paraId="767BA02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28-80 </w:t>
            </w:r>
          </w:p>
        </w:tc>
        <w:tc>
          <w:tcPr>
            <w:tcW w:w="1766" w:type="dxa"/>
          </w:tcPr>
          <w:p w14:paraId="7FBB16D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11520 </w:t>
            </w:r>
          </w:p>
        </w:tc>
      </w:tr>
      <w:tr w:rsidR="00983732" w:rsidRPr="00A3026E" w14:paraId="73D495E3" w14:textId="77777777" w:rsidTr="00EA0DA7">
        <w:trPr>
          <w:trHeight w:val="20"/>
        </w:trPr>
        <w:tc>
          <w:tcPr>
            <w:tcW w:w="2429" w:type="dxa"/>
          </w:tcPr>
          <w:p w14:paraId="78C3878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 же прав. лев.</w:t>
            </w:r>
          </w:p>
        </w:tc>
        <w:tc>
          <w:tcPr>
            <w:tcW w:w="1142" w:type="dxa"/>
          </w:tcPr>
          <w:p w14:paraId="003294E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w:t>
            </w:r>
          </w:p>
        </w:tc>
        <w:tc>
          <w:tcPr>
            <w:tcW w:w="1229" w:type="dxa"/>
          </w:tcPr>
          <w:p w14:paraId="2F86C2A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 шт.</w:t>
            </w:r>
          </w:p>
        </w:tc>
        <w:tc>
          <w:tcPr>
            <w:tcW w:w="931" w:type="dxa"/>
          </w:tcPr>
          <w:p w14:paraId="5FE7242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24-64</w:t>
            </w:r>
          </w:p>
        </w:tc>
        <w:tc>
          <w:tcPr>
            <w:tcW w:w="1766" w:type="dxa"/>
          </w:tcPr>
          <w:p w14:paraId="4162514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9856</w:t>
            </w:r>
          </w:p>
        </w:tc>
      </w:tr>
      <w:tr w:rsidR="00983732" w:rsidRPr="00A3026E" w14:paraId="3C1746F5" w14:textId="77777777" w:rsidTr="00EA0DA7">
        <w:trPr>
          <w:trHeight w:val="20"/>
        </w:trPr>
        <w:tc>
          <w:tcPr>
            <w:tcW w:w="2429" w:type="dxa"/>
          </w:tcPr>
          <w:p w14:paraId="3D870CC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Киль</w:t>
            </w:r>
          </w:p>
        </w:tc>
        <w:tc>
          <w:tcPr>
            <w:tcW w:w="1142" w:type="dxa"/>
          </w:tcPr>
          <w:p w14:paraId="01028DC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1229" w:type="dxa"/>
          </w:tcPr>
          <w:p w14:paraId="5A06EB4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 шт. </w:t>
            </w:r>
          </w:p>
        </w:tc>
        <w:tc>
          <w:tcPr>
            <w:tcW w:w="931" w:type="dxa"/>
          </w:tcPr>
          <w:p w14:paraId="567DF68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139-32 </w:t>
            </w:r>
          </w:p>
        </w:tc>
        <w:tc>
          <w:tcPr>
            <w:tcW w:w="1766" w:type="dxa"/>
          </w:tcPr>
          <w:p w14:paraId="3966E97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5572-80</w:t>
            </w:r>
          </w:p>
        </w:tc>
      </w:tr>
      <w:tr w:rsidR="00983732" w:rsidRPr="00A3026E" w14:paraId="4ED9ECDD" w14:textId="77777777" w:rsidTr="00EA0DA7">
        <w:trPr>
          <w:trHeight w:val="20"/>
        </w:trPr>
        <w:tc>
          <w:tcPr>
            <w:tcW w:w="2429" w:type="dxa"/>
          </w:tcPr>
          <w:p w14:paraId="6409FED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Костыль 1938 г.</w:t>
            </w:r>
          </w:p>
        </w:tc>
        <w:tc>
          <w:tcPr>
            <w:tcW w:w="1142" w:type="dxa"/>
          </w:tcPr>
          <w:p w14:paraId="6E82762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302 </w:t>
            </w:r>
          </w:p>
        </w:tc>
        <w:tc>
          <w:tcPr>
            <w:tcW w:w="1229" w:type="dxa"/>
          </w:tcPr>
          <w:p w14:paraId="1DFB1C7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650 шт. </w:t>
            </w:r>
          </w:p>
        </w:tc>
        <w:tc>
          <w:tcPr>
            <w:tcW w:w="931" w:type="dxa"/>
          </w:tcPr>
          <w:p w14:paraId="457FF5E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57-04 </w:t>
            </w:r>
          </w:p>
        </w:tc>
        <w:tc>
          <w:tcPr>
            <w:tcW w:w="1766" w:type="dxa"/>
          </w:tcPr>
          <w:p w14:paraId="590924E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37076-00</w:t>
            </w:r>
          </w:p>
        </w:tc>
      </w:tr>
      <w:tr w:rsidR="00983732" w:rsidRPr="00A3026E" w14:paraId="6D76165D" w14:textId="77777777" w:rsidTr="00EA0DA7">
        <w:trPr>
          <w:trHeight w:val="20"/>
        </w:trPr>
        <w:tc>
          <w:tcPr>
            <w:tcW w:w="2429" w:type="dxa"/>
          </w:tcPr>
          <w:p w14:paraId="1960BB8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Труба поворота костыля 1938 года.</w:t>
            </w:r>
          </w:p>
        </w:tc>
        <w:tc>
          <w:tcPr>
            <w:tcW w:w="1142" w:type="dxa"/>
          </w:tcPr>
          <w:p w14:paraId="2F07947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313 </w:t>
            </w:r>
          </w:p>
        </w:tc>
        <w:tc>
          <w:tcPr>
            <w:tcW w:w="1229" w:type="dxa"/>
          </w:tcPr>
          <w:p w14:paraId="50D88D2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550 </w:t>
            </w:r>
          </w:p>
        </w:tc>
        <w:tc>
          <w:tcPr>
            <w:tcW w:w="931" w:type="dxa"/>
          </w:tcPr>
          <w:p w14:paraId="1EACC44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31-81 </w:t>
            </w:r>
          </w:p>
        </w:tc>
        <w:tc>
          <w:tcPr>
            <w:tcW w:w="1766" w:type="dxa"/>
          </w:tcPr>
          <w:p w14:paraId="64F386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17495-50 </w:t>
            </w:r>
          </w:p>
        </w:tc>
      </w:tr>
      <w:tr w:rsidR="00983732" w:rsidRPr="00A3026E" w14:paraId="110D422B" w14:textId="77777777" w:rsidTr="00EA0DA7">
        <w:trPr>
          <w:trHeight w:val="20"/>
        </w:trPr>
        <w:tc>
          <w:tcPr>
            <w:tcW w:w="2429" w:type="dxa"/>
          </w:tcPr>
          <w:p w14:paraId="6644EEA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Упор под костыль...... </w:t>
            </w:r>
          </w:p>
        </w:tc>
        <w:tc>
          <w:tcPr>
            <w:tcW w:w="1142" w:type="dxa"/>
          </w:tcPr>
          <w:p w14:paraId="7D84B36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316 </w:t>
            </w:r>
          </w:p>
        </w:tc>
        <w:tc>
          <w:tcPr>
            <w:tcW w:w="1229" w:type="dxa"/>
          </w:tcPr>
          <w:p w14:paraId="66E3EA8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400 </w:t>
            </w:r>
          </w:p>
        </w:tc>
        <w:tc>
          <w:tcPr>
            <w:tcW w:w="931" w:type="dxa"/>
          </w:tcPr>
          <w:p w14:paraId="50A95B8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4-65 </w:t>
            </w:r>
          </w:p>
        </w:tc>
        <w:tc>
          <w:tcPr>
            <w:tcW w:w="1766" w:type="dxa"/>
          </w:tcPr>
          <w:p w14:paraId="0C28B75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1820</w:t>
            </w:r>
          </w:p>
        </w:tc>
      </w:tr>
      <w:tr w:rsidR="00983732" w:rsidRPr="00A3026E" w14:paraId="52A9175E" w14:textId="77777777" w:rsidTr="00EA0DA7">
        <w:trPr>
          <w:trHeight w:val="20"/>
        </w:trPr>
        <w:tc>
          <w:tcPr>
            <w:tcW w:w="2429" w:type="dxa"/>
          </w:tcPr>
          <w:p w14:paraId="44B037C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Пдшипник нижний трубы иворота кост.</w:t>
            </w:r>
          </w:p>
        </w:tc>
        <w:tc>
          <w:tcPr>
            <w:tcW w:w="1142" w:type="dxa"/>
          </w:tcPr>
          <w:p w14:paraId="3757893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321к</w:t>
            </w:r>
          </w:p>
        </w:tc>
        <w:tc>
          <w:tcPr>
            <w:tcW w:w="1229" w:type="dxa"/>
          </w:tcPr>
          <w:p w14:paraId="3437828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931" w:type="dxa"/>
          </w:tcPr>
          <w:p w14:paraId="509771C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10-97 </w:t>
            </w:r>
          </w:p>
        </w:tc>
        <w:tc>
          <w:tcPr>
            <w:tcW w:w="1766" w:type="dxa"/>
          </w:tcPr>
          <w:p w14:paraId="5CF5898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2194</w:t>
            </w:r>
          </w:p>
        </w:tc>
      </w:tr>
      <w:tr w:rsidR="00983732" w:rsidRPr="00A3026E" w14:paraId="6B6E5E58" w14:textId="77777777" w:rsidTr="00EA0DA7">
        <w:trPr>
          <w:trHeight w:val="20"/>
        </w:trPr>
        <w:tc>
          <w:tcPr>
            <w:tcW w:w="2429" w:type="dxa"/>
          </w:tcPr>
          <w:p w14:paraId="3BF2548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Подшиник верхний трубы поворота кост.</w:t>
            </w:r>
          </w:p>
        </w:tc>
        <w:tc>
          <w:tcPr>
            <w:tcW w:w="1142" w:type="dxa"/>
          </w:tcPr>
          <w:p w14:paraId="5AA0AD2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325к</w:t>
            </w:r>
          </w:p>
        </w:tc>
        <w:tc>
          <w:tcPr>
            <w:tcW w:w="1229" w:type="dxa"/>
          </w:tcPr>
          <w:p w14:paraId="611FBEA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931" w:type="dxa"/>
          </w:tcPr>
          <w:p w14:paraId="19E1244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13-16 </w:t>
            </w:r>
          </w:p>
        </w:tc>
        <w:tc>
          <w:tcPr>
            <w:tcW w:w="1766" w:type="dxa"/>
          </w:tcPr>
          <w:p w14:paraId="6D3A2A1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2632</w:t>
            </w:r>
          </w:p>
        </w:tc>
      </w:tr>
      <w:tr w:rsidR="00983732" w:rsidRPr="00A3026E" w14:paraId="533CD27C" w14:textId="77777777" w:rsidTr="00EA0DA7">
        <w:trPr>
          <w:trHeight w:val="20"/>
        </w:trPr>
        <w:tc>
          <w:tcPr>
            <w:tcW w:w="2429" w:type="dxa"/>
          </w:tcPr>
          <w:p w14:paraId="04263EA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Козырек</w:t>
            </w:r>
          </w:p>
        </w:tc>
        <w:tc>
          <w:tcPr>
            <w:tcW w:w="1142" w:type="dxa"/>
          </w:tcPr>
          <w:p w14:paraId="4A3E105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540к </w:t>
            </w:r>
          </w:p>
        </w:tc>
        <w:tc>
          <w:tcPr>
            <w:tcW w:w="1229" w:type="dxa"/>
          </w:tcPr>
          <w:p w14:paraId="4A05AF9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400 </w:t>
            </w:r>
          </w:p>
        </w:tc>
        <w:tc>
          <w:tcPr>
            <w:tcW w:w="931" w:type="dxa"/>
          </w:tcPr>
          <w:p w14:paraId="572F54A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40-59 </w:t>
            </w:r>
          </w:p>
        </w:tc>
        <w:tc>
          <w:tcPr>
            <w:tcW w:w="1766" w:type="dxa"/>
          </w:tcPr>
          <w:p w14:paraId="4DD082F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16236</w:t>
            </w:r>
          </w:p>
        </w:tc>
      </w:tr>
      <w:tr w:rsidR="00983732" w:rsidRPr="00A3026E" w14:paraId="3E0EE718" w14:textId="77777777" w:rsidTr="00EA0DA7">
        <w:trPr>
          <w:trHeight w:val="20"/>
        </w:trPr>
        <w:tc>
          <w:tcPr>
            <w:tcW w:w="2429" w:type="dxa"/>
          </w:tcPr>
          <w:p w14:paraId="5F63C4F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Пятка костыля</w:t>
            </w:r>
          </w:p>
        </w:tc>
        <w:tc>
          <w:tcPr>
            <w:tcW w:w="1142" w:type="dxa"/>
          </w:tcPr>
          <w:p w14:paraId="1187795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0836к </w:t>
            </w:r>
          </w:p>
        </w:tc>
        <w:tc>
          <w:tcPr>
            <w:tcW w:w="1229" w:type="dxa"/>
          </w:tcPr>
          <w:p w14:paraId="1545E68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931" w:type="dxa"/>
          </w:tcPr>
          <w:p w14:paraId="35A8A0A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11-85 </w:t>
            </w:r>
          </w:p>
        </w:tc>
        <w:tc>
          <w:tcPr>
            <w:tcW w:w="1766" w:type="dxa"/>
          </w:tcPr>
          <w:p w14:paraId="2129076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11850</w:t>
            </w:r>
          </w:p>
        </w:tc>
      </w:tr>
      <w:tr w:rsidR="00983732" w:rsidRPr="00A3026E" w14:paraId="5B3D993D" w14:textId="77777777" w:rsidTr="00EA0DA7">
        <w:trPr>
          <w:trHeight w:val="20"/>
        </w:trPr>
        <w:tc>
          <w:tcPr>
            <w:tcW w:w="2429" w:type="dxa"/>
          </w:tcPr>
          <w:p w14:paraId="5CC45F4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Серьга под ленту мотоустановки</w:t>
            </w:r>
          </w:p>
        </w:tc>
        <w:tc>
          <w:tcPr>
            <w:tcW w:w="1142" w:type="dxa"/>
          </w:tcPr>
          <w:p w14:paraId="748825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1010 </w:t>
            </w:r>
          </w:p>
        </w:tc>
        <w:tc>
          <w:tcPr>
            <w:tcW w:w="1229" w:type="dxa"/>
          </w:tcPr>
          <w:p w14:paraId="261918A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200 </w:t>
            </w:r>
          </w:p>
        </w:tc>
        <w:tc>
          <w:tcPr>
            <w:tcW w:w="931" w:type="dxa"/>
          </w:tcPr>
          <w:p w14:paraId="2BD2FC0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0-45 </w:t>
            </w:r>
          </w:p>
        </w:tc>
        <w:tc>
          <w:tcPr>
            <w:tcW w:w="1766" w:type="dxa"/>
          </w:tcPr>
          <w:p w14:paraId="581C92E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r>
      <w:tr w:rsidR="00983732" w:rsidRPr="00A3026E" w14:paraId="70DAC7F7" w14:textId="77777777" w:rsidTr="00EA0DA7">
        <w:trPr>
          <w:trHeight w:val="20"/>
        </w:trPr>
        <w:tc>
          <w:tcPr>
            <w:tcW w:w="2429" w:type="dxa"/>
          </w:tcPr>
          <w:p w14:paraId="652C9EC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Подкос № 2 мотоустанов. средн.прав</w:t>
            </w:r>
          </w:p>
        </w:tc>
        <w:tc>
          <w:tcPr>
            <w:tcW w:w="1142" w:type="dxa"/>
          </w:tcPr>
          <w:p w14:paraId="7BD3845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1018к </w:t>
            </w:r>
          </w:p>
        </w:tc>
        <w:tc>
          <w:tcPr>
            <w:tcW w:w="1229" w:type="dxa"/>
          </w:tcPr>
          <w:p w14:paraId="7C89E8B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350 </w:t>
            </w:r>
          </w:p>
        </w:tc>
        <w:tc>
          <w:tcPr>
            <w:tcW w:w="931" w:type="dxa"/>
          </w:tcPr>
          <w:p w14:paraId="51B14A9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13-16 </w:t>
            </w:r>
          </w:p>
        </w:tc>
        <w:tc>
          <w:tcPr>
            <w:tcW w:w="1766" w:type="dxa"/>
          </w:tcPr>
          <w:p w14:paraId="1987267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4606</w:t>
            </w:r>
          </w:p>
        </w:tc>
      </w:tr>
      <w:tr w:rsidR="00983732" w:rsidRPr="00A3026E" w14:paraId="52A94D43" w14:textId="77777777" w:rsidTr="00EA0DA7">
        <w:trPr>
          <w:trHeight w:val="20"/>
        </w:trPr>
        <w:tc>
          <w:tcPr>
            <w:tcW w:w="2429" w:type="dxa"/>
          </w:tcPr>
          <w:p w14:paraId="143645C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 же левый</w:t>
            </w:r>
          </w:p>
        </w:tc>
        <w:tc>
          <w:tcPr>
            <w:tcW w:w="1142" w:type="dxa"/>
          </w:tcPr>
          <w:p w14:paraId="012048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1018к </w:t>
            </w:r>
          </w:p>
        </w:tc>
        <w:tc>
          <w:tcPr>
            <w:tcW w:w="1229" w:type="dxa"/>
          </w:tcPr>
          <w:p w14:paraId="4E8462B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350 </w:t>
            </w:r>
          </w:p>
        </w:tc>
        <w:tc>
          <w:tcPr>
            <w:tcW w:w="931" w:type="dxa"/>
          </w:tcPr>
          <w:p w14:paraId="47CCAF6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13-16 </w:t>
            </w:r>
          </w:p>
        </w:tc>
        <w:tc>
          <w:tcPr>
            <w:tcW w:w="1766" w:type="dxa"/>
          </w:tcPr>
          <w:p w14:paraId="1272A17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4606 </w:t>
            </w:r>
          </w:p>
        </w:tc>
      </w:tr>
      <w:tr w:rsidR="00983732" w:rsidRPr="00A3026E" w14:paraId="6C6F3A2B" w14:textId="77777777" w:rsidTr="00EA0DA7">
        <w:trPr>
          <w:trHeight w:val="20"/>
        </w:trPr>
        <w:tc>
          <w:tcPr>
            <w:tcW w:w="2429" w:type="dxa"/>
          </w:tcPr>
          <w:p w14:paraId="4405E6E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Подкос № 3 верхн.прав. </w:t>
            </w:r>
          </w:p>
        </w:tc>
        <w:tc>
          <w:tcPr>
            <w:tcW w:w="1142" w:type="dxa"/>
          </w:tcPr>
          <w:p w14:paraId="3178AE9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1021</w:t>
            </w:r>
          </w:p>
        </w:tc>
        <w:tc>
          <w:tcPr>
            <w:tcW w:w="1229" w:type="dxa"/>
          </w:tcPr>
          <w:p w14:paraId="7DCDF1C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931" w:type="dxa"/>
          </w:tcPr>
          <w:p w14:paraId="60C137D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13-16 </w:t>
            </w:r>
          </w:p>
        </w:tc>
        <w:tc>
          <w:tcPr>
            <w:tcW w:w="1766" w:type="dxa"/>
          </w:tcPr>
          <w:p w14:paraId="6F88C15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2303 </w:t>
            </w:r>
          </w:p>
        </w:tc>
      </w:tr>
      <w:tr w:rsidR="00983732" w:rsidRPr="00A3026E" w14:paraId="1868D3B5" w14:textId="77777777" w:rsidTr="00EA0DA7">
        <w:trPr>
          <w:trHeight w:val="20"/>
        </w:trPr>
        <w:tc>
          <w:tcPr>
            <w:tcW w:w="2429" w:type="dxa"/>
          </w:tcPr>
          <w:p w14:paraId="021769C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Левый</w:t>
            </w:r>
          </w:p>
        </w:tc>
        <w:tc>
          <w:tcPr>
            <w:tcW w:w="1142" w:type="dxa"/>
          </w:tcPr>
          <w:p w14:paraId="5740B46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1021</w:t>
            </w:r>
          </w:p>
        </w:tc>
        <w:tc>
          <w:tcPr>
            <w:tcW w:w="1229" w:type="dxa"/>
          </w:tcPr>
          <w:p w14:paraId="6855C27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931" w:type="dxa"/>
          </w:tcPr>
          <w:p w14:paraId="3D12210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vertAlign w:val="superscript"/>
              </w:rPr>
            </w:pPr>
            <w:r w:rsidRPr="00A3026E">
              <w:rPr>
                <w:rFonts w:ascii="Times New Roman" w:hAnsi="Times New Roman"/>
                <w:color w:val="000000" w:themeColor="text1"/>
                <w:sz w:val="16"/>
                <w:szCs w:val="16"/>
              </w:rPr>
              <w:t>13-16</w:t>
            </w:r>
          </w:p>
        </w:tc>
        <w:tc>
          <w:tcPr>
            <w:tcW w:w="1766" w:type="dxa"/>
          </w:tcPr>
          <w:p w14:paraId="7B8AD7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2303</w:t>
            </w:r>
          </w:p>
        </w:tc>
      </w:tr>
      <w:tr w:rsidR="00983732" w:rsidRPr="00A3026E" w14:paraId="00584232" w14:textId="77777777" w:rsidTr="00EA0DA7">
        <w:trPr>
          <w:trHeight w:val="20"/>
        </w:trPr>
        <w:tc>
          <w:tcPr>
            <w:tcW w:w="2429" w:type="dxa"/>
          </w:tcPr>
          <w:p w14:paraId="088E936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Рама мотоустановки 1940 собр.</w:t>
            </w:r>
          </w:p>
        </w:tc>
        <w:tc>
          <w:tcPr>
            <w:tcW w:w="1142" w:type="dxa"/>
          </w:tcPr>
          <w:p w14:paraId="60B9CFA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1060 к-1</w:t>
            </w:r>
          </w:p>
        </w:tc>
        <w:tc>
          <w:tcPr>
            <w:tcW w:w="1229" w:type="dxa"/>
          </w:tcPr>
          <w:p w14:paraId="53600F7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50 </w:t>
            </w:r>
          </w:p>
        </w:tc>
        <w:tc>
          <w:tcPr>
            <w:tcW w:w="931" w:type="dxa"/>
          </w:tcPr>
          <w:p w14:paraId="273DFAE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1766" w:type="dxa"/>
          </w:tcPr>
          <w:p w14:paraId="0FCE81D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3500</w:t>
            </w:r>
          </w:p>
        </w:tc>
      </w:tr>
      <w:tr w:rsidR="00983732" w:rsidRPr="00A3026E" w14:paraId="42921069" w14:textId="77777777" w:rsidTr="00EA0DA7">
        <w:trPr>
          <w:trHeight w:val="20"/>
        </w:trPr>
        <w:tc>
          <w:tcPr>
            <w:tcW w:w="2429" w:type="dxa"/>
          </w:tcPr>
          <w:p w14:paraId="54F01BE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Нижний подкос мотоустановки пр. лев.</w:t>
            </w:r>
          </w:p>
        </w:tc>
        <w:tc>
          <w:tcPr>
            <w:tcW w:w="1142" w:type="dxa"/>
          </w:tcPr>
          <w:p w14:paraId="1A6B5F6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1083 </w:t>
            </w:r>
          </w:p>
        </w:tc>
        <w:tc>
          <w:tcPr>
            <w:tcW w:w="1229" w:type="dxa"/>
          </w:tcPr>
          <w:p w14:paraId="243815F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100 ком. </w:t>
            </w:r>
          </w:p>
        </w:tc>
        <w:tc>
          <w:tcPr>
            <w:tcW w:w="931" w:type="dxa"/>
          </w:tcPr>
          <w:p w14:paraId="16B0526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12-77 </w:t>
            </w:r>
          </w:p>
        </w:tc>
        <w:tc>
          <w:tcPr>
            <w:tcW w:w="1766" w:type="dxa"/>
          </w:tcPr>
          <w:p w14:paraId="0555AB1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1277</w:t>
            </w:r>
          </w:p>
        </w:tc>
      </w:tr>
      <w:tr w:rsidR="00983732" w:rsidRPr="00A3026E" w14:paraId="046CD51E" w14:textId="77777777" w:rsidTr="00EA0DA7">
        <w:trPr>
          <w:trHeight w:val="20"/>
        </w:trPr>
        <w:tc>
          <w:tcPr>
            <w:tcW w:w="2429" w:type="dxa"/>
          </w:tcPr>
          <w:p w14:paraId="788C71A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верхн. левое</w:t>
            </w:r>
          </w:p>
        </w:tc>
        <w:tc>
          <w:tcPr>
            <w:tcW w:w="1142" w:type="dxa"/>
          </w:tcPr>
          <w:p w14:paraId="3EF1B20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2091сб</w:t>
            </w:r>
          </w:p>
        </w:tc>
        <w:tc>
          <w:tcPr>
            <w:tcW w:w="1229" w:type="dxa"/>
          </w:tcPr>
          <w:p w14:paraId="594832D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931" w:type="dxa"/>
          </w:tcPr>
          <w:p w14:paraId="41D2B8E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1650</w:t>
            </w:r>
          </w:p>
        </w:tc>
        <w:tc>
          <w:tcPr>
            <w:tcW w:w="1766" w:type="dxa"/>
          </w:tcPr>
          <w:p w14:paraId="4C0C06C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33000</w:t>
            </w:r>
          </w:p>
        </w:tc>
      </w:tr>
      <w:tr w:rsidR="00983732" w:rsidRPr="00A3026E" w14:paraId="40EBAB38" w14:textId="77777777" w:rsidTr="00EA0DA7">
        <w:trPr>
          <w:trHeight w:val="20"/>
        </w:trPr>
        <w:tc>
          <w:tcPr>
            <w:tcW w:w="2429" w:type="dxa"/>
          </w:tcPr>
          <w:p w14:paraId="5E3884B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Дужки под нижнее крыло</w:t>
            </w:r>
          </w:p>
        </w:tc>
        <w:tc>
          <w:tcPr>
            <w:tcW w:w="1142" w:type="dxa"/>
          </w:tcPr>
          <w:p w14:paraId="394734E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2091сб</w:t>
            </w:r>
          </w:p>
        </w:tc>
        <w:tc>
          <w:tcPr>
            <w:tcW w:w="1229" w:type="dxa"/>
          </w:tcPr>
          <w:p w14:paraId="7BC510A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931" w:type="dxa"/>
          </w:tcPr>
          <w:p w14:paraId="521DB4B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1650</w:t>
            </w:r>
          </w:p>
        </w:tc>
        <w:tc>
          <w:tcPr>
            <w:tcW w:w="1766" w:type="dxa"/>
          </w:tcPr>
          <w:p w14:paraId="58AB5BC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33000</w:t>
            </w:r>
          </w:p>
        </w:tc>
      </w:tr>
      <w:tr w:rsidR="00983732" w:rsidRPr="00A3026E" w14:paraId="667EFE0A" w14:textId="77777777" w:rsidTr="00EA0DA7">
        <w:trPr>
          <w:trHeight w:val="20"/>
        </w:trPr>
        <w:tc>
          <w:tcPr>
            <w:tcW w:w="2429" w:type="dxa"/>
          </w:tcPr>
          <w:p w14:paraId="2C144E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Шайба под болт крепления дужки под крыло</w:t>
            </w:r>
          </w:p>
        </w:tc>
        <w:tc>
          <w:tcPr>
            <w:tcW w:w="1142" w:type="dxa"/>
          </w:tcPr>
          <w:p w14:paraId="220E7F5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2310</w:t>
            </w:r>
          </w:p>
        </w:tc>
        <w:tc>
          <w:tcPr>
            <w:tcW w:w="1229" w:type="dxa"/>
          </w:tcPr>
          <w:p w14:paraId="213883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931" w:type="dxa"/>
          </w:tcPr>
          <w:p w14:paraId="1016BD6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0-46</w:t>
            </w:r>
          </w:p>
        </w:tc>
        <w:tc>
          <w:tcPr>
            <w:tcW w:w="1766" w:type="dxa"/>
          </w:tcPr>
          <w:p w14:paraId="536BB80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322</w:t>
            </w:r>
          </w:p>
        </w:tc>
      </w:tr>
      <w:tr w:rsidR="00983732" w:rsidRPr="00A3026E" w14:paraId="4CD37353" w14:textId="77777777" w:rsidTr="00EA0DA7">
        <w:trPr>
          <w:trHeight w:val="20"/>
        </w:trPr>
        <w:tc>
          <w:tcPr>
            <w:tcW w:w="2429" w:type="dxa"/>
          </w:tcPr>
          <w:p w14:paraId="30E4B34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Стабилизатор</w:t>
            </w:r>
          </w:p>
        </w:tc>
        <w:tc>
          <w:tcPr>
            <w:tcW w:w="1142" w:type="dxa"/>
          </w:tcPr>
          <w:p w14:paraId="50BD947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3002 </w:t>
            </w:r>
          </w:p>
        </w:tc>
        <w:tc>
          <w:tcPr>
            <w:tcW w:w="1229" w:type="dxa"/>
          </w:tcPr>
          <w:p w14:paraId="13F64B0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 </w:t>
            </w:r>
          </w:p>
        </w:tc>
        <w:tc>
          <w:tcPr>
            <w:tcW w:w="931" w:type="dxa"/>
          </w:tcPr>
          <w:p w14:paraId="6AA8967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606-00 </w:t>
            </w:r>
          </w:p>
        </w:tc>
        <w:tc>
          <w:tcPr>
            <w:tcW w:w="1766" w:type="dxa"/>
          </w:tcPr>
          <w:p w14:paraId="60A248E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36360</w:t>
            </w:r>
          </w:p>
        </w:tc>
      </w:tr>
      <w:tr w:rsidR="00983732" w:rsidRPr="00A3026E" w14:paraId="094A907E" w14:textId="77777777" w:rsidTr="00EA0DA7">
        <w:trPr>
          <w:trHeight w:val="20"/>
        </w:trPr>
        <w:tc>
          <w:tcPr>
            <w:tcW w:w="2429" w:type="dxa"/>
            <w:tcBorders>
              <w:bottom w:val="single" w:sz="12" w:space="0" w:color="auto"/>
            </w:tcBorders>
          </w:tcPr>
          <w:p w14:paraId="66FC13D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Руль глубины</w:t>
            </w:r>
          </w:p>
        </w:tc>
        <w:tc>
          <w:tcPr>
            <w:tcW w:w="1142" w:type="dxa"/>
            <w:tcBorders>
              <w:bottom w:val="single" w:sz="12" w:space="0" w:color="auto"/>
            </w:tcBorders>
          </w:tcPr>
          <w:p w14:paraId="6F91ED0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3059 ' </w:t>
            </w:r>
          </w:p>
        </w:tc>
        <w:tc>
          <w:tcPr>
            <w:tcW w:w="1229" w:type="dxa"/>
            <w:tcBorders>
              <w:bottom w:val="single" w:sz="12" w:space="0" w:color="auto"/>
            </w:tcBorders>
          </w:tcPr>
          <w:p w14:paraId="4C3F222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 ком. </w:t>
            </w:r>
          </w:p>
        </w:tc>
        <w:tc>
          <w:tcPr>
            <w:tcW w:w="931" w:type="dxa"/>
            <w:tcBorders>
              <w:bottom w:val="single" w:sz="12" w:space="0" w:color="auto"/>
            </w:tcBorders>
          </w:tcPr>
          <w:p w14:paraId="2D0DE85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464-00 </w:t>
            </w:r>
          </w:p>
        </w:tc>
        <w:tc>
          <w:tcPr>
            <w:tcW w:w="1766" w:type="dxa"/>
            <w:tcBorders>
              <w:bottom w:val="single" w:sz="12" w:space="0" w:color="auto"/>
            </w:tcBorders>
          </w:tcPr>
          <w:p w14:paraId="099737F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9280</w:t>
            </w:r>
          </w:p>
        </w:tc>
      </w:tr>
    </w:tbl>
    <w:p w14:paraId="0C95E7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(9820,42).</w:t>
      </w:r>
    </w:p>
    <w:p w14:paraId="6DD076B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16623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А.И.Ш. писал Поскребышеву письмо N 6773 о том, что К.Е.В. было направлено письмо о замене М-107 на М-105 на И-26 (1178).</w:t>
      </w:r>
    </w:p>
    <w:p w14:paraId="76688B1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3ABFF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вышел приказ НКАП "О выпуске мотора М-82" (979,30).</w:t>
      </w:r>
    </w:p>
    <w:p w14:paraId="18886DA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4E319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вышел приказ НКАП N 736сс "Об изменениях и выпуске типов моторов по заводам N 19 и 384" в исполнение постановления Правительства от 13 декабря 1940 и в частичное изменение приказа НКАП N 702сс от 9 декабря 1940. На заводе 19 изменили тип мотора и установили на 1941 АМ-35А вместо М-105 и хотели выпустить 1800 АМ-35А, а в 1 кв. 1942 - 1000 (1314,21).</w:t>
      </w:r>
    </w:p>
    <w:p w14:paraId="5757079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0CA1001" w14:textId="77777777" w:rsidR="00CF0A5C" w:rsidRPr="00A3026E" w:rsidRDefault="00CF0A5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г. на заводе № 19 вместо М-105 решили освоить выпуск моторов А.А. Микулина АМ-35А для массового производства истребителя МиГ-3, считавшегося тогда (судя по запланированному объёму выпуска на 1941 г.) самым перспективным. Не секрет, что производство моторов жидкостного и воздушного охлаждения требует ественно различного оборудования. Поэтому перепрофилирование завода требовало серьезных затрат — полной замены специального станочного парка. Мало того, вернуться в последующем на выпуск моторов воздушно охлаждения было бы весьма проблематично. Перед КБ А.Д. Швец вплотную замаячила перспектива таться не у дел (15788).</w:t>
      </w:r>
    </w:p>
    <w:p w14:paraId="22D4D766" w14:textId="77777777" w:rsidR="00CF0A5C" w:rsidRPr="00A3026E" w:rsidRDefault="00CF0A5C" w:rsidP="00A3026E">
      <w:pPr>
        <w:spacing w:after="0" w:line="240" w:lineRule="auto"/>
        <w:jc w:val="both"/>
        <w:rPr>
          <w:rFonts w:ascii="Times New Roman" w:hAnsi="Times New Roman"/>
          <w:color w:val="000000" w:themeColor="text1"/>
          <w:sz w:val="16"/>
          <w:szCs w:val="16"/>
        </w:rPr>
      </w:pPr>
    </w:p>
    <w:p w14:paraId="5A5820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года вместо М-105 было решено освоить на заводе № 19 выпуск моторов конструкции А.А.Микулина АМ-35А для обеспечения массового производства истребителя МиГ-3, считавшегося тогда (судя по запланированному объему выпуска на 1941 год) самым перспективным (10686).</w:t>
      </w:r>
    </w:p>
    <w:p w14:paraId="01D61F3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BACDB03"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14 декабря 1940 – протокол Политбюро </w:t>
      </w:r>
    </w:p>
    <w:p w14:paraId="215AC7A0"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14.XII.40 г. Решения ПБ за</w:t>
      </w:r>
    </w:p>
    <w:p w14:paraId="32A90E2E"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 заводе № 27 (постановление СНК СССР и ЦК ВКП(б)). — ОП.</w:t>
      </w:r>
    </w:p>
    <w:p w14:paraId="1A91D860"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Об организации завода по производству средств вооружения для боевых самолетов в Днепропетровске (постановление СНК СССР и ЦК</w:t>
      </w:r>
    </w:p>
    <w:p w14:paraId="6826904C"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ВКП(б)). — ОП.</w:t>
      </w:r>
    </w:p>
    <w:p w14:paraId="2A7AA102"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Об обеспечении производства авиамоторов и самолетов на заводах № 452 и 165 Наркомавиапрома (постановление СНК СССР и ЦК ВКП(б)). — ОП.</w:t>
      </w:r>
    </w:p>
    <w:p w14:paraId="3D7F84B2"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Об обеспечении производства самолетов на заводе № 450 и работы стройтрестов № 8 и № 26 (постановление СНК СССР и ЦК ВКП(б)). — ОП.</w:t>
      </w:r>
    </w:p>
    <w:p w14:paraId="601278A1"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О передаче Осоавиахиму аэродрома в г. Киеве (постановление СНК СССР и ЦК ВКП(б)). — ОП.</w:t>
      </w:r>
    </w:p>
    <w:p w14:paraId="3FAA9BC5"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Об обеспечении завода № 26 агрегатами для опытного мотора М-107П (постановление СНК СССР и ЦК ВКП(б)). — ОП.</w:t>
      </w:r>
    </w:p>
    <w:p w14:paraId="0F26A1E5"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Об обеспечении бронекорпусами самолетов Ил-2 (постановление СНК СССР и ЦК ВКП(б)). — ОП (20408).</w:t>
      </w:r>
    </w:p>
    <w:p w14:paraId="581D930D" w14:textId="77777777" w:rsidR="000F26CA" w:rsidRPr="00A3026E" w:rsidRDefault="000F26CA" w:rsidP="00A3026E">
      <w:pPr>
        <w:spacing w:after="0" w:line="240" w:lineRule="auto"/>
        <w:jc w:val="both"/>
        <w:rPr>
          <w:rFonts w:ascii="Times New Roman" w:hAnsi="Times New Roman"/>
          <w:color w:val="0070C0"/>
          <w:sz w:val="16"/>
          <w:szCs w:val="16"/>
        </w:rPr>
      </w:pPr>
    </w:p>
    <w:p w14:paraId="0E7800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Зам. нач. 7 ГУ НКАП С.Шишкин писал письмо Секретарь ЦК КП(б) Азербайджана Чеплакову:</w:t>
      </w:r>
    </w:p>
    <w:p w14:paraId="2CA7F8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"Присланное Вами предложение и Эмирова было рассмотрено постоянной экспертной комиссией НКАП и было отклонено, как технически совершенно неправильное.</w:t>
      </w:r>
    </w:p>
    <w:p w14:paraId="42F813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Автор не разбирается в основных физических законах и ошибочно считает, что винтовые самолеты пригодны для полетов в безвоздушном пространстве." (1448,163).</w:t>
      </w:r>
    </w:p>
    <w:p w14:paraId="4204247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3F722B9"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AFBEFF8"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E31D1FD" w14:textId="77777777" w:rsidR="00CF0A5C" w:rsidRPr="00A3026E" w:rsidRDefault="00CF0A5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г. специальная комиссия Наркомата вооружения произвела технологи</w:t>
      </w:r>
      <w:r w:rsidRPr="00A3026E">
        <w:rPr>
          <w:rFonts w:ascii="Times New Roman" w:hAnsi="Times New Roman"/>
          <w:color w:val="000000" w:themeColor="text1"/>
          <w:sz w:val="16"/>
          <w:szCs w:val="16"/>
        </w:rPr>
        <w:softHyphen/>
        <w:t>ческую оценку образцов.</w:t>
      </w:r>
    </w:p>
    <w:tbl>
      <w:tblPr>
        <w:tblW w:w="0" w:type="auto"/>
        <w:tblLayout w:type="fixed"/>
        <w:tblCellMar>
          <w:left w:w="10" w:type="dxa"/>
          <w:right w:w="10" w:type="dxa"/>
        </w:tblCellMar>
        <w:tblLook w:val="04A0" w:firstRow="1" w:lastRow="0" w:firstColumn="1" w:lastColumn="0" w:noHBand="0" w:noVBand="1"/>
      </w:tblPr>
      <w:tblGrid>
        <w:gridCol w:w="2035"/>
        <w:gridCol w:w="749"/>
        <w:gridCol w:w="504"/>
      </w:tblGrid>
      <w:tr w:rsidR="00983732" w:rsidRPr="00A3026E" w14:paraId="5C6A4A69" w14:textId="77777777" w:rsidTr="00CF0A5C">
        <w:trPr>
          <w:trHeight w:val="413"/>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7851A907" w14:textId="77777777" w:rsidR="00CF0A5C" w:rsidRPr="00A3026E" w:rsidRDefault="00CF0A5C" w:rsidP="00A3026E">
            <w:pPr>
              <w:pStyle w:val="213"/>
              <w:shd w:val="clear" w:color="auto" w:fill="auto"/>
              <w:spacing w:after="0" w:line="240" w:lineRule="auto"/>
              <w:ind w:firstLine="0"/>
              <w:rPr>
                <w:rFonts w:ascii="Times New Roman" w:hAnsi="Times New Roman" w:cs="Times New Roman"/>
                <w:b w:val="0"/>
                <w:i w:val="0"/>
                <w:color w:val="000000" w:themeColor="text1"/>
              </w:rPr>
            </w:pPr>
            <w:r w:rsidRPr="00A3026E">
              <w:rPr>
                <w:rFonts w:ascii="Times New Roman" w:hAnsi="Times New Roman" w:cs="Times New Roman"/>
                <w:b w:val="0"/>
                <w:i w:val="0"/>
                <w:color w:val="000000" w:themeColor="text1"/>
              </w:rPr>
              <w:t>Образец</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6FCE74BD" w14:textId="77777777" w:rsidR="00CF0A5C" w:rsidRPr="00A3026E" w:rsidRDefault="00CF0A5C" w:rsidP="00A3026E">
            <w:pPr>
              <w:pStyle w:val="213"/>
              <w:shd w:val="clear" w:color="auto" w:fill="auto"/>
              <w:spacing w:after="0" w:line="240" w:lineRule="auto"/>
              <w:ind w:firstLine="0"/>
              <w:rPr>
                <w:rFonts w:ascii="Times New Roman" w:hAnsi="Times New Roman" w:cs="Times New Roman"/>
                <w:b w:val="0"/>
                <w:i w:val="0"/>
                <w:color w:val="000000" w:themeColor="text1"/>
              </w:rPr>
            </w:pPr>
            <w:r w:rsidRPr="00A3026E">
              <w:rPr>
                <w:rFonts w:ascii="Times New Roman" w:hAnsi="Times New Roman" w:cs="Times New Roman"/>
                <w:b w:val="0"/>
                <w:i w:val="0"/>
                <w:color w:val="000000" w:themeColor="text1"/>
              </w:rPr>
              <w:t>ППД обр.1940</w:t>
            </w:r>
          </w:p>
        </w:tc>
        <w:tc>
          <w:tcPr>
            <w:tcW w:w="504" w:type="dxa"/>
            <w:tcBorders>
              <w:top w:val="single" w:sz="4" w:space="0" w:color="auto"/>
              <w:left w:val="single" w:sz="4" w:space="0" w:color="auto"/>
              <w:bottom w:val="single" w:sz="4" w:space="0" w:color="auto"/>
              <w:right w:val="single" w:sz="4" w:space="0" w:color="auto"/>
            </w:tcBorders>
            <w:shd w:val="clear" w:color="auto" w:fill="FFFFFF"/>
          </w:tcPr>
          <w:p w14:paraId="5E6178F5" w14:textId="77777777" w:rsidR="00CF0A5C" w:rsidRPr="00A3026E" w:rsidRDefault="00CF0A5C" w:rsidP="00A3026E">
            <w:pPr>
              <w:pStyle w:val="213"/>
              <w:shd w:val="clear" w:color="auto" w:fill="auto"/>
              <w:spacing w:after="0" w:line="240" w:lineRule="auto"/>
              <w:ind w:firstLine="0"/>
              <w:rPr>
                <w:rFonts w:ascii="Times New Roman" w:hAnsi="Times New Roman" w:cs="Times New Roman"/>
                <w:b w:val="0"/>
                <w:i w:val="0"/>
                <w:color w:val="000000" w:themeColor="text1"/>
              </w:rPr>
            </w:pPr>
            <w:r w:rsidRPr="00A3026E">
              <w:rPr>
                <w:rFonts w:ascii="Times New Roman" w:hAnsi="Times New Roman" w:cs="Times New Roman"/>
                <w:b w:val="0"/>
                <w:i w:val="0"/>
                <w:color w:val="000000" w:themeColor="text1"/>
              </w:rPr>
              <w:t>ППШ</w:t>
            </w:r>
          </w:p>
        </w:tc>
      </w:tr>
      <w:tr w:rsidR="00983732" w:rsidRPr="00A3026E" w14:paraId="29EA544D" w14:textId="77777777" w:rsidTr="00CF0A5C">
        <w:trPr>
          <w:trHeight w:val="245"/>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74B57E33"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Количество станю-часов</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71B7657B"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13,6</w:t>
            </w:r>
          </w:p>
        </w:tc>
        <w:tc>
          <w:tcPr>
            <w:tcW w:w="504" w:type="dxa"/>
            <w:tcBorders>
              <w:top w:val="single" w:sz="4" w:space="0" w:color="auto"/>
              <w:left w:val="single" w:sz="4" w:space="0" w:color="auto"/>
              <w:bottom w:val="single" w:sz="4" w:space="0" w:color="auto"/>
              <w:right w:val="single" w:sz="4" w:space="0" w:color="auto"/>
            </w:tcBorders>
            <w:shd w:val="clear" w:color="auto" w:fill="FFFFFF"/>
          </w:tcPr>
          <w:p w14:paraId="23BD22BC"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7,3</w:t>
            </w:r>
          </w:p>
        </w:tc>
      </w:tr>
      <w:tr w:rsidR="00983732" w:rsidRPr="00A3026E" w14:paraId="6BF5F3F8" w14:textId="77777777" w:rsidTr="00CF0A5C">
        <w:trPr>
          <w:trHeight w:val="230"/>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1DB0C4D3"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Количество заводских деталей</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217B84A2"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95</w:t>
            </w:r>
          </w:p>
        </w:tc>
        <w:tc>
          <w:tcPr>
            <w:tcW w:w="504" w:type="dxa"/>
            <w:tcBorders>
              <w:top w:val="single" w:sz="4" w:space="0" w:color="auto"/>
              <w:left w:val="single" w:sz="4" w:space="0" w:color="auto"/>
              <w:bottom w:val="single" w:sz="4" w:space="0" w:color="auto"/>
              <w:right w:val="single" w:sz="4" w:space="0" w:color="auto"/>
            </w:tcBorders>
            <w:shd w:val="clear" w:color="auto" w:fill="FFFFFF"/>
          </w:tcPr>
          <w:p w14:paraId="1A9BF440"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87</w:t>
            </w:r>
          </w:p>
        </w:tc>
      </w:tr>
      <w:tr w:rsidR="00983732" w:rsidRPr="00A3026E" w14:paraId="2B63EE61" w14:textId="77777777" w:rsidTr="00CF0A5C">
        <w:trPr>
          <w:trHeight w:val="422"/>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559D5E30"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Количество деталей механической обработки</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11334343"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72</w:t>
            </w:r>
          </w:p>
        </w:tc>
        <w:tc>
          <w:tcPr>
            <w:tcW w:w="504" w:type="dxa"/>
            <w:tcBorders>
              <w:top w:val="single" w:sz="4" w:space="0" w:color="auto"/>
              <w:left w:val="single" w:sz="4" w:space="0" w:color="auto"/>
              <w:bottom w:val="single" w:sz="4" w:space="0" w:color="auto"/>
              <w:right w:val="single" w:sz="4" w:space="0" w:color="auto"/>
            </w:tcBorders>
            <w:shd w:val="clear" w:color="auto" w:fill="FFFFFF"/>
          </w:tcPr>
          <w:p w14:paraId="76A8236C"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58</w:t>
            </w:r>
          </w:p>
        </w:tc>
      </w:tr>
      <w:tr w:rsidR="00983732" w:rsidRPr="00A3026E" w14:paraId="067FFD88" w14:textId="77777777" w:rsidTr="00CF0A5C">
        <w:trPr>
          <w:trHeight w:val="408"/>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33BCDABA"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lastRenderedPageBreak/>
              <w:t>Количество деталей холодной штамповки</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6F1FE317" w14:textId="77777777" w:rsidR="00CF0A5C" w:rsidRPr="00A3026E" w:rsidRDefault="00CF0A5C" w:rsidP="00A3026E">
            <w:pPr>
              <w:pStyle w:val="680"/>
              <w:shd w:val="clear" w:color="auto" w:fill="auto"/>
              <w:spacing w:line="240" w:lineRule="auto"/>
              <w:jc w:val="both"/>
              <w:rPr>
                <w:rFonts w:ascii="Times New Roman" w:hAnsi="Times New Roman" w:cs="Times New Roman"/>
                <w:color w:val="000000" w:themeColor="text1"/>
                <w:sz w:val="16"/>
                <w:szCs w:val="16"/>
              </w:rPr>
            </w:pPr>
            <w:r w:rsidRPr="00A3026E">
              <w:rPr>
                <w:rStyle w:val="68-1pt"/>
                <w:rFonts w:ascii="Times New Roman" w:hAnsi="Times New Roman" w:cs="Times New Roman"/>
                <w:color w:val="000000" w:themeColor="text1"/>
                <w:spacing w:val="0"/>
                <w:sz w:val="16"/>
                <w:szCs w:val="16"/>
              </w:rPr>
              <w:t>16</w:t>
            </w:r>
          </w:p>
        </w:tc>
        <w:tc>
          <w:tcPr>
            <w:tcW w:w="504" w:type="dxa"/>
            <w:tcBorders>
              <w:top w:val="single" w:sz="4" w:space="0" w:color="auto"/>
              <w:left w:val="single" w:sz="4" w:space="0" w:color="auto"/>
              <w:bottom w:val="single" w:sz="4" w:space="0" w:color="auto"/>
              <w:right w:val="single" w:sz="4" w:space="0" w:color="auto"/>
            </w:tcBorders>
            <w:shd w:val="clear" w:color="auto" w:fill="FFFFFF"/>
          </w:tcPr>
          <w:p w14:paraId="3557DB2C"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24</w:t>
            </w:r>
          </w:p>
        </w:tc>
      </w:tr>
      <w:tr w:rsidR="00983732" w:rsidRPr="00A3026E" w14:paraId="37207A78" w14:textId="77777777" w:rsidTr="00CF0A5C">
        <w:trPr>
          <w:trHeight w:val="418"/>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772DF603"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lang w:val="ru-RU"/>
              </w:rPr>
            </w:pPr>
            <w:r w:rsidRPr="00A3026E">
              <w:rPr>
                <w:rFonts w:ascii="Times New Roman" w:hAnsi="Times New Roman" w:cs="Times New Roman"/>
                <w:b w:val="0"/>
                <w:color w:val="000000" w:themeColor="text1"/>
                <w:sz w:val="16"/>
                <w:szCs w:val="16"/>
                <w:lang w:val="ru-RU"/>
              </w:rPr>
              <w:t>Количество основных деталей холодной штамповки</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3943C65A"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0</w:t>
            </w:r>
          </w:p>
        </w:tc>
        <w:tc>
          <w:tcPr>
            <w:tcW w:w="504" w:type="dxa"/>
            <w:vMerge w:val="restart"/>
            <w:tcBorders>
              <w:top w:val="single" w:sz="4" w:space="0" w:color="auto"/>
              <w:left w:val="single" w:sz="4" w:space="0" w:color="auto"/>
              <w:right w:val="single" w:sz="4" w:space="0" w:color="auto"/>
            </w:tcBorders>
            <w:shd w:val="clear" w:color="auto" w:fill="FFFFFF"/>
          </w:tcPr>
          <w:p w14:paraId="781D4EDF"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8</w:t>
            </w:r>
          </w:p>
          <w:p w14:paraId="1767BB99"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p>
          <w:p w14:paraId="0194965B"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p>
          <w:p w14:paraId="3C58D642"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8</w:t>
            </w:r>
          </w:p>
        </w:tc>
      </w:tr>
      <w:tr w:rsidR="00983732" w:rsidRPr="00A3026E" w14:paraId="2F9745B6" w14:textId="77777777" w:rsidTr="00CF0A5C">
        <w:trPr>
          <w:trHeight w:val="413"/>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74072063"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Колшесшо деталей горячей штамповки</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50726B27" w14:textId="77777777" w:rsidR="00CF0A5C" w:rsidRPr="00A3026E" w:rsidRDefault="00CF0A5C" w:rsidP="00A3026E">
            <w:pPr>
              <w:pStyle w:val="680"/>
              <w:shd w:val="clear" w:color="auto" w:fill="auto"/>
              <w:spacing w:line="240" w:lineRule="auto"/>
              <w:jc w:val="both"/>
              <w:rPr>
                <w:rFonts w:ascii="Times New Roman" w:hAnsi="Times New Roman" w:cs="Times New Roman"/>
                <w:color w:val="000000" w:themeColor="text1"/>
                <w:sz w:val="16"/>
                <w:szCs w:val="16"/>
              </w:rPr>
            </w:pPr>
            <w:r w:rsidRPr="00A3026E">
              <w:rPr>
                <w:rStyle w:val="68-1pt"/>
                <w:rFonts w:ascii="Times New Roman" w:hAnsi="Times New Roman" w:cs="Times New Roman"/>
                <w:color w:val="000000" w:themeColor="text1"/>
                <w:spacing w:val="0"/>
                <w:sz w:val="16"/>
                <w:szCs w:val="16"/>
              </w:rPr>
              <w:t>8</w:t>
            </w:r>
          </w:p>
        </w:tc>
        <w:tc>
          <w:tcPr>
            <w:tcW w:w="504" w:type="dxa"/>
            <w:vMerge/>
            <w:tcBorders>
              <w:left w:val="single" w:sz="4" w:space="0" w:color="auto"/>
              <w:bottom w:val="single" w:sz="4" w:space="0" w:color="auto"/>
              <w:right w:val="single" w:sz="4" w:space="0" w:color="auto"/>
            </w:tcBorders>
            <w:shd w:val="clear" w:color="auto" w:fill="FFFFFF"/>
          </w:tcPr>
          <w:p w14:paraId="5085944E" w14:textId="77777777" w:rsidR="00CF0A5C" w:rsidRPr="00A3026E" w:rsidRDefault="00CF0A5C" w:rsidP="00A3026E">
            <w:pPr>
              <w:spacing w:after="0" w:line="240" w:lineRule="auto"/>
              <w:jc w:val="both"/>
              <w:rPr>
                <w:rFonts w:ascii="Times New Roman" w:hAnsi="Times New Roman"/>
                <w:color w:val="000000" w:themeColor="text1"/>
                <w:sz w:val="16"/>
                <w:szCs w:val="16"/>
              </w:rPr>
            </w:pPr>
          </w:p>
        </w:tc>
      </w:tr>
      <w:tr w:rsidR="00983732" w:rsidRPr="00A3026E" w14:paraId="02702BD2" w14:textId="77777777" w:rsidTr="00CF0A5C">
        <w:trPr>
          <w:trHeight w:val="590"/>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595A14A2"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lang w:val="ru-RU"/>
              </w:rPr>
            </w:pPr>
            <w:r w:rsidRPr="00A3026E">
              <w:rPr>
                <w:rFonts w:ascii="Times New Roman" w:hAnsi="Times New Roman" w:cs="Times New Roman"/>
                <w:b w:val="0"/>
                <w:color w:val="000000" w:themeColor="text1"/>
                <w:sz w:val="16"/>
                <w:szCs w:val="16"/>
                <w:lang w:val="ru-RU"/>
              </w:rPr>
              <w:t>Количество дет алей сложной механической обработки (не менее 30 операций)</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6FD6698F"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3</w:t>
            </w:r>
          </w:p>
        </w:tc>
        <w:tc>
          <w:tcPr>
            <w:tcW w:w="504" w:type="dxa"/>
            <w:tcBorders>
              <w:top w:val="single" w:sz="4" w:space="0" w:color="auto"/>
              <w:left w:val="single" w:sz="4" w:space="0" w:color="auto"/>
              <w:bottom w:val="single" w:sz="4" w:space="0" w:color="auto"/>
              <w:right w:val="single" w:sz="4" w:space="0" w:color="auto"/>
            </w:tcBorders>
            <w:shd w:val="clear" w:color="auto" w:fill="FFFFFF"/>
          </w:tcPr>
          <w:p w14:paraId="0F9C8392"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2</w:t>
            </w:r>
          </w:p>
        </w:tc>
      </w:tr>
      <w:tr w:rsidR="00983732" w:rsidRPr="00A3026E" w14:paraId="6FDFC73C" w14:textId="77777777" w:rsidTr="00CF0A5C">
        <w:trPr>
          <w:trHeight w:val="235"/>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244DB81C"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Количество заклепок</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549CD314" w14:textId="77777777" w:rsidR="00CF0A5C" w:rsidRPr="00A3026E" w:rsidRDefault="00CF0A5C" w:rsidP="00A3026E">
            <w:pPr>
              <w:pStyle w:val="680"/>
              <w:shd w:val="clear" w:color="auto" w:fill="auto"/>
              <w:spacing w:line="240" w:lineRule="auto"/>
              <w:jc w:val="both"/>
              <w:rPr>
                <w:rFonts w:ascii="Times New Roman" w:hAnsi="Times New Roman" w:cs="Times New Roman"/>
                <w:color w:val="000000" w:themeColor="text1"/>
                <w:sz w:val="16"/>
                <w:szCs w:val="16"/>
              </w:rPr>
            </w:pPr>
            <w:r w:rsidRPr="00A3026E">
              <w:rPr>
                <w:rStyle w:val="68-1pt"/>
                <w:rFonts w:ascii="Times New Roman" w:hAnsi="Times New Roman" w:cs="Times New Roman"/>
                <w:color w:val="000000" w:themeColor="text1"/>
                <w:spacing w:val="0"/>
                <w:sz w:val="16"/>
                <w:szCs w:val="16"/>
              </w:rPr>
              <w:t>12</w:t>
            </w:r>
          </w:p>
        </w:tc>
        <w:tc>
          <w:tcPr>
            <w:tcW w:w="504" w:type="dxa"/>
            <w:tcBorders>
              <w:top w:val="single" w:sz="4" w:space="0" w:color="auto"/>
              <w:left w:val="single" w:sz="4" w:space="0" w:color="auto"/>
              <w:bottom w:val="single" w:sz="4" w:space="0" w:color="auto"/>
              <w:right w:val="single" w:sz="4" w:space="0" w:color="auto"/>
            </w:tcBorders>
            <w:shd w:val="clear" w:color="auto" w:fill="FFFFFF"/>
          </w:tcPr>
          <w:p w14:paraId="1F5A8CFF"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5</w:t>
            </w:r>
          </w:p>
        </w:tc>
      </w:tr>
      <w:tr w:rsidR="00983732" w:rsidRPr="00A3026E" w14:paraId="5A909FAB" w14:textId="77777777" w:rsidTr="00CF0A5C">
        <w:trPr>
          <w:trHeight w:val="250"/>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76EB3644"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Количество резьбовых мест</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388DB714"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7</w:t>
            </w:r>
          </w:p>
        </w:tc>
        <w:tc>
          <w:tcPr>
            <w:tcW w:w="504" w:type="dxa"/>
            <w:tcBorders>
              <w:top w:val="single" w:sz="4" w:space="0" w:color="auto"/>
              <w:left w:val="single" w:sz="4" w:space="0" w:color="auto"/>
              <w:bottom w:val="single" w:sz="4" w:space="0" w:color="auto"/>
              <w:right w:val="single" w:sz="4" w:space="0" w:color="auto"/>
            </w:tcBorders>
            <w:shd w:val="clear" w:color="auto" w:fill="FFFFFF"/>
          </w:tcPr>
          <w:p w14:paraId="2FB55528" w14:textId="77777777" w:rsidR="00CF0A5C" w:rsidRPr="00A3026E"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2</w:t>
            </w:r>
          </w:p>
        </w:tc>
      </w:tr>
    </w:tbl>
    <w:p w14:paraId="794A4F8A" w14:textId="77777777" w:rsidR="00CF0A5C" w:rsidRPr="00A3026E" w:rsidRDefault="00CF0A5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 есть, по сравнению с ППД доля дета</w:t>
      </w:r>
      <w:r w:rsidRPr="00A3026E">
        <w:rPr>
          <w:rFonts w:ascii="Times New Roman" w:hAnsi="Times New Roman"/>
          <w:color w:val="000000" w:themeColor="text1"/>
          <w:sz w:val="16"/>
          <w:szCs w:val="16"/>
        </w:rPr>
        <w:softHyphen/>
        <w:t>лей механической обработки уменьшилась примерно с 80 до 69%, а доля деталей, изго</w:t>
      </w:r>
      <w:r w:rsidRPr="00A3026E">
        <w:rPr>
          <w:rFonts w:ascii="Times New Roman" w:hAnsi="Times New Roman"/>
          <w:color w:val="000000" w:themeColor="text1"/>
          <w:sz w:val="16"/>
          <w:szCs w:val="16"/>
        </w:rPr>
        <w:softHyphen/>
        <w:t>товленных холодной штамповкой увеличилась с 17 до 28%. Для изготовления ППШ требова</w:t>
      </w:r>
      <w:r w:rsidRPr="00A3026E">
        <w:rPr>
          <w:rFonts w:ascii="Times New Roman" w:hAnsi="Times New Roman"/>
          <w:color w:val="000000" w:themeColor="text1"/>
          <w:sz w:val="16"/>
          <w:szCs w:val="16"/>
        </w:rPr>
        <w:softHyphen/>
        <w:t>лось вдвое меньше времени, чем для выпуска ППД. Точной механической обработки в ППШ требовали только ствол, затвор и некоторые другие детали. Ствольная коробка с кожухом ствола, затворная коробка, корпус спускового механизма представляли собой штампосварные конструкции простой формы: собственно, это и определило характерные «прямоуголь</w:t>
      </w:r>
      <w:r w:rsidRPr="00A3026E">
        <w:rPr>
          <w:rFonts w:ascii="Times New Roman" w:hAnsi="Times New Roman"/>
          <w:color w:val="000000" w:themeColor="text1"/>
          <w:sz w:val="16"/>
          <w:szCs w:val="16"/>
        </w:rPr>
        <w:softHyphen/>
        <w:t>ные» обводы оружия. Количество резьбовых соединений и прессовых посадок было мини</w:t>
      </w:r>
      <w:r w:rsidRPr="00A3026E">
        <w:rPr>
          <w:rFonts w:ascii="Times New Roman" w:hAnsi="Times New Roman"/>
          <w:color w:val="000000" w:themeColor="text1"/>
          <w:sz w:val="16"/>
          <w:szCs w:val="16"/>
        </w:rPr>
        <w:softHyphen/>
        <w:t>мизировано. Ствол фиксировался в ствольной коробке соединительной осью (15779).</w:t>
      </w:r>
    </w:p>
    <w:p w14:paraId="32DA5AF8" w14:textId="77777777" w:rsidR="00CF0A5C" w:rsidRPr="00A3026E" w:rsidRDefault="00CF0A5C" w:rsidP="00A3026E">
      <w:pPr>
        <w:spacing w:after="0" w:line="240" w:lineRule="auto"/>
        <w:jc w:val="both"/>
        <w:rPr>
          <w:rFonts w:ascii="Times New Roman" w:hAnsi="Times New Roman"/>
          <w:color w:val="000000" w:themeColor="text1"/>
          <w:sz w:val="16"/>
          <w:szCs w:val="16"/>
        </w:rPr>
      </w:pPr>
    </w:p>
    <w:p w14:paraId="7DE09D0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года вышел приказ № 338 НКВ</w:t>
      </w:r>
    </w:p>
    <w:p w14:paraId="2CF60E6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183 – Харьков</w:t>
      </w:r>
    </w:p>
    <w:p w14:paraId="769484F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37 – Москва</w:t>
      </w:r>
    </w:p>
    <w:p w14:paraId="3ABE3D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174 – Ленинград</w:t>
      </w:r>
    </w:p>
    <w:p w14:paraId="2F5185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48 – Харьков</w:t>
      </w:r>
    </w:p>
    <w:p w14:paraId="6571827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104 – Иркутск</w:t>
      </w:r>
    </w:p>
    <w:p w14:paraId="4EA74BD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105 – Хабаровск</w:t>
      </w:r>
    </w:p>
    <w:p w14:paraId="0314BEC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СТЗ – Сталинград</w:t>
      </w:r>
    </w:p>
    <w:p w14:paraId="4DE701E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75 – Харьков</w:t>
      </w:r>
    </w:p>
    <w:p w14:paraId="3240C43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ЧТЗ – Челябинск</w:t>
      </w:r>
    </w:p>
    <w:p w14:paraId="79B3BBB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ХТЗ – Харьков</w:t>
      </w:r>
    </w:p>
    <w:p w14:paraId="7F35E1A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Мытищинский – ст. Мытищи Московской обл. (6243, 79).</w:t>
      </w:r>
    </w:p>
    <w:p w14:paraId="511EB31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21C930BB"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г.</w:t>
      </w:r>
    </w:p>
    <w:p w14:paraId="3E5F3254"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1084 лист 126 </w:t>
      </w:r>
    </w:p>
    <w:p w14:paraId="651A836D"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4530CE4E"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2 </w:t>
      </w:r>
    </w:p>
    <w:p w14:paraId="7C675AC7"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14 декабря 1940 г. </w:t>
      </w:r>
    </w:p>
    <w:p w14:paraId="24127955"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77437с </w:t>
      </w:r>
    </w:p>
    <w:p w14:paraId="73C5813A"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РАЙОННОМУ ИНЖЕНЕРУ ГАБТУ КА НА ЗАВОДЕ № 183</w:t>
      </w:r>
    </w:p>
    <w:p w14:paraId="7AFB759E"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ВОЕНИНЖЕНЕРУ 2 РАНГА тов. КОЗЫРЕВУ</w:t>
      </w:r>
    </w:p>
    <w:p w14:paraId="1BDC2FCD"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Направляю для руководства подписанный Начальником ГАБТУ КА Генерал-лейтенантом танковых войск тов. ФЕДОРЕНКО и Зам. Наркома Среднего Машиностроения тов. ГОРЕГЛЯД протокол рассмотрения предложений завода № 183. </w:t>
      </w:r>
    </w:p>
    <w:p w14:paraId="6922999F"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Приложение: 1 экз. </w:t>
      </w:r>
    </w:p>
    <w:p w14:paraId="6F6C53E8"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ЗА НАЧАЛЬНИКА 1 ОТДЕЛА БТУ КА ВОЕНИНЖЕНЕР 2 РАНГА (ЕГОРОВ)</w:t>
      </w:r>
    </w:p>
    <w:p w14:paraId="29DBE1BF"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2 экз. </w:t>
      </w:r>
    </w:p>
    <w:p w14:paraId="7370169A"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Мартынов </w:t>
      </w:r>
    </w:p>
    <w:p w14:paraId="2E201752"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14.12.1940 г. № 1633 </w:t>
      </w:r>
    </w:p>
    <w:p w14:paraId="202B648E"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2 Дело 1084 лист 127 </w:t>
      </w:r>
    </w:p>
    <w:p w14:paraId="3BBD652B"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6BDEE455"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ПРОТОКОЛ</w:t>
      </w:r>
    </w:p>
    <w:p w14:paraId="60EA762E"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утверждению предложений представителей ГАБТУ КА и завода № 183,</w:t>
      </w:r>
    </w:p>
    <w:p w14:paraId="1DC4B2BB"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зафиксированных в протоколе совещания на заводе № 183 от 5/XI-40 года и приложенных к нему перечнях устранения дефектов.</w:t>
      </w:r>
    </w:p>
    <w:p w14:paraId="1E09789E"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 всеми изменениями, перечисленными в протоколе и приложенном к нему перечне согласиться, за исключением следующих пунктов: </w:t>
      </w:r>
    </w:p>
    <w:p w14:paraId="6C650037"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Пункт 1. – Принять в следующей редакции: До получения гусеницы, гарантирующей полный пробег танка, что должно быть выполнено не позже 1-го февраля 1940 г. – досылать к каждому танку по второму комплекту гусеницы. </w:t>
      </w:r>
    </w:p>
    <w:p w14:paraId="79C62E5F"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Пункт 3. – Сформулировать так: О допущении надрывов в бронелистах корпуса решить по результатам обстрела бракованного носа. Представить материал обстрела для согласования вопросов приемки не позже 1/XII-40 года. </w:t>
      </w:r>
    </w:p>
    <w:p w14:paraId="42EDDE09"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Пункт 5. – Изменить так: Временно, до подбора менее дефицитной стали, по испытаниям удовлетворяющей поставленным требованиям, главный вал коробки перемены передач изготовлять из стали 18ХНВА. На собранных танках замену валов не производить. </w:t>
      </w:r>
    </w:p>
    <w:p w14:paraId="3A6BCBEC"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Пункт 6. – Обсудить особо. </w:t>
      </w:r>
    </w:p>
    <w:p w14:paraId="547AEF9B"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Пункт 4. – Исключить. </w:t>
      </w:r>
    </w:p>
    <w:p w14:paraId="0B46E31B"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Пункт 7. – Исключить. </w:t>
      </w:r>
    </w:p>
    <w:p w14:paraId="39833576"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Пункт 8. – Сформулировать так: В целях повышения бронестойкости смотровых приборов считать необходимым основания смотровых приборов литой башни отливать за одно с корпусом башни. </w:t>
      </w:r>
    </w:p>
    <w:p w14:paraId="79A6C19C"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ЗАМЕСТИТЕЛЬ НАРКОМСРЕДМАША (Горегляд)</w:t>
      </w:r>
    </w:p>
    <w:p w14:paraId="0D5E8465"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НАЧАЛЬНИК ГАБТУ Кр. Армии Генерал-лейтенант Танковых Войск (Федоренко)</w:t>
      </w:r>
    </w:p>
    <w:p w14:paraId="7E09E0F1"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4 экз. </w:t>
      </w:r>
    </w:p>
    <w:p w14:paraId="5C077DFA"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6570 </w:t>
      </w:r>
    </w:p>
    <w:p w14:paraId="2678C68D"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25/XI-40 г. (18219).</w:t>
      </w:r>
    </w:p>
    <w:p w14:paraId="0265C3D4" w14:textId="77777777" w:rsidR="00023AEE" w:rsidRPr="00A3026E" w:rsidRDefault="00023AEE" w:rsidP="00A3026E">
      <w:pPr>
        <w:spacing w:after="0" w:line="240" w:lineRule="auto"/>
        <w:jc w:val="both"/>
        <w:rPr>
          <w:rFonts w:ascii="Times New Roman" w:hAnsi="Times New Roman"/>
          <w:color w:val="000000" w:themeColor="text1"/>
          <w:sz w:val="16"/>
          <w:szCs w:val="16"/>
        </w:rPr>
      </w:pPr>
    </w:p>
    <w:p w14:paraId="15163C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года приказом за № 637 в связи с переходом строительства в ведение НК общего машиностроения опытное производство было переименовано в опытный завод ТТК-2.</w:t>
      </w:r>
    </w:p>
    <w:p w14:paraId="1125C6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строился до октября 1941 года. 23 октября 1941 года началась эвакуация на Восток.</w:t>
      </w:r>
    </w:p>
    <w:p w14:paraId="7147AB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НКМВ за № 14 от 12 января 1942 года небольшая часть эвакуированного завода была возвращена в Углич для восстановления завода.</w:t>
      </w:r>
    </w:p>
    <w:p w14:paraId="657D5E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было начато в середине 1942 года в небольшом объеме (часовые камни).</w:t>
      </w:r>
    </w:p>
    <w:p w14:paraId="15A590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также получил эвакуированное оборудование с Петергофского завода (10424).</w:t>
      </w:r>
    </w:p>
    <w:p w14:paraId="0BB1CC2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EF2351C" w14:textId="77777777" w:rsidR="00023AEE" w:rsidRPr="00A3026E" w:rsidRDefault="00023AEE"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6CEC4272" w14:textId="77777777" w:rsidR="00023AEE" w:rsidRPr="00A3026E" w:rsidRDefault="00023AEE" w:rsidP="00A3026E">
      <w:pPr>
        <w:spacing w:after="0" w:line="240" w:lineRule="auto"/>
        <w:jc w:val="both"/>
        <w:rPr>
          <w:rFonts w:ascii="Times New Roman" w:hAnsi="Times New Roman"/>
          <w:iCs/>
          <w:color w:val="000000" w:themeColor="text1"/>
          <w:sz w:val="16"/>
          <w:szCs w:val="16"/>
        </w:rPr>
      </w:pPr>
    </w:p>
    <w:p w14:paraId="3EBDEFFF" w14:textId="77777777" w:rsidR="00023AEE" w:rsidRPr="00A3026E" w:rsidRDefault="00023AE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декабря 1940. Газета "Московский транспортник" сообщала: "В целях безопасности перехода перекрестков на улицах и площадях столицы для пешеходов в ближайшее время будут установлены новые опытные светофоры с дополнительной секцией (желтый свет). При включении этого светового сигнала водителю транспорта запрещается делать правый поворот" (18701).</w:t>
      </w:r>
    </w:p>
    <w:p w14:paraId="17ACE8B9" w14:textId="77777777" w:rsidR="00023AEE" w:rsidRPr="00A3026E" w:rsidRDefault="00023AEE" w:rsidP="00A3026E">
      <w:pPr>
        <w:spacing w:after="0" w:line="240" w:lineRule="auto"/>
        <w:jc w:val="both"/>
        <w:rPr>
          <w:rFonts w:ascii="Times New Roman" w:hAnsi="Times New Roman"/>
          <w:color w:val="000000" w:themeColor="text1"/>
          <w:sz w:val="16"/>
          <w:szCs w:val="16"/>
        </w:rPr>
      </w:pPr>
    </w:p>
    <w:p w14:paraId="5F68C7F0"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51CB2E02"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7AB0EB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14 декабря 1940 Боинг получил заказ на третий прототип ХВ-29 N 41-18335 (1051,11).</w:t>
      </w:r>
    </w:p>
    <w:p w14:paraId="703AFF2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25A707A"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299C9EC"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60E40EC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1940 вышло Постановление СНК и ЦК ВКП (б) № ?</w:t>
      </w:r>
    </w:p>
    <w:p w14:paraId="281854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обеспечении бронекорпусами с-тов БШ-2</w:t>
      </w:r>
    </w:p>
    <w:p w14:paraId="485EFF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выпуска в 1941 году заводами НКАП с-тов БШ-2 с бронированными корпусами и наращения мощностей на 1942 г., СНК СССР и ЦК ВКП(б) ПОСТАНОВЛЯЮТ:</w:t>
      </w:r>
    </w:p>
    <w:p w14:paraId="7F6D4EE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1F77DDB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Создать 5 производственных баз по изготовлению бронекорпусов для с-тов БШ-2 в следующих р-нах::</w:t>
      </w:r>
    </w:p>
    <w:p w14:paraId="54807B9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 г. Подолъске - на заводе имени Орджоникидзе,возлсжв на этот завод выпуск в 1941 году 900 штук бронекорпуров в коопера</w:t>
      </w:r>
      <w:r w:rsidRPr="00A3026E">
        <w:rPr>
          <w:rFonts w:ascii="Times New Roman" w:hAnsi="Times New Roman"/>
          <w:color w:val="000000" w:themeColor="text1"/>
          <w:sz w:val="16"/>
          <w:szCs w:val="16"/>
        </w:rPr>
        <w:softHyphen/>
        <w:t>ции по поставке бронелистов 4-5-6 мм, толщины из кремне-никеле-молибденовой стали с заводом "Красный Октябрь" НКЧМ и 12 мм хромомолибденовой стали марки “ХД" с Ижорского. завода НКСудпрома.</w:t>
      </w:r>
    </w:p>
    <w:p w14:paraId="6011EA6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гор. Ленинграде на Ижорском заводе НКСудпрома, возложив на этот завод выпуск в 1941 году 1200 штук бронекориусов для Ил-2 с развитием мощности к 1 января 1942 года на 2000 штук, в коопе</w:t>
      </w:r>
      <w:r w:rsidRPr="00A3026E">
        <w:rPr>
          <w:rFonts w:ascii="Times New Roman" w:hAnsi="Times New Roman"/>
          <w:color w:val="000000" w:themeColor="text1"/>
          <w:sz w:val="16"/>
          <w:szCs w:val="16"/>
        </w:rPr>
        <w:softHyphen/>
        <w:t>рации по поставке деталей из бронелистов 4-5-6 мм.толщины кремне-никеле-молибденовой стали с Кировского завода НКТМ.</w:t>
      </w:r>
    </w:p>
    <w:p w14:paraId="2A59709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Сталинграде на заводе № 264 (Красноармейская верфь) НКСудпрома, возложив на этот завод выпуск в 1941 году 200 бронекорпусов с доведением мощности к 1 января 1942 года до 1000 штук, в кооперации по поставке бронелистов 4-5-6 мм. толщины из кремне-никеле-молибденовой стали и 12 мм хромомолибденовой стали марки “ХД" с завода "Красный Октябрь" НКЧМ.</w:t>
      </w:r>
    </w:p>
    <w:p w14:paraId="44422E05"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xml:space="preserve">4. В гор. Выксе Горьковской области на заводе "ДРО" НКТМ (завод дробжльно-размольного оборудования),с выпуском в 1941 200 штук бронекорпусов с развитием мощности к 1 октября 1941 года. до 2000 штук в год в кооперации по поставке 12 мм бронелистов марки </w:t>
      </w:r>
      <w:r w:rsidRPr="00A3026E">
        <w:rPr>
          <w:color w:val="000000" w:themeColor="text1"/>
          <w:sz w:val="16"/>
          <w:szCs w:val="16"/>
          <w:vertAlign w:val="superscript"/>
        </w:rPr>
        <w:t>И</w:t>
      </w:r>
      <w:r w:rsidRPr="00A3026E">
        <w:rPr>
          <w:color w:val="000000" w:themeColor="text1"/>
          <w:sz w:val="16"/>
          <w:szCs w:val="16"/>
        </w:rPr>
        <w:t>ХД" с Кулебакского завода НКСудпрома и 4-5-6 с Выксунского.металлургического завода НКЧМ.</w:t>
      </w:r>
    </w:p>
    <w:p w14:paraId="39EC60B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 гор. Запорожье на заводе "Коммунар" НКСредмаша создать мощности на 1000 штук бронекорпусов к 1 октября 1941 года, в кооперации по поставке 12 мм бронелистов марки "ХД" с:Мариупольского завода им. Ильича и 4-5-6 мм бронелистов из кремне-никеле-молибденовой стали с завода им. Дзержинского НКЧермета с обеспе</w:t>
      </w:r>
      <w:r w:rsidRPr="00A3026E">
        <w:rPr>
          <w:rFonts w:ascii="Times New Roman" w:hAnsi="Times New Roman"/>
          <w:color w:val="000000" w:themeColor="text1"/>
          <w:sz w:val="16"/>
          <w:szCs w:val="16"/>
        </w:rPr>
        <w:softHyphen/>
        <w:t>чением выпуска готовых корпусов в четвертом квартале 1941 года 100 штук.</w:t>
      </w:r>
    </w:p>
    <w:p w14:paraId="3C48143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w:t>
      </w:r>
    </w:p>
    <w:p w14:paraId="343C6ED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ввода в действие создаваемых баз на полную мощность и обеспечения поставок бронекорпусов в 1941 г, провести следующие мероприятия:</w:t>
      </w:r>
    </w:p>
    <w:p w14:paraId="0D75781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Народный Комиссар Нефтяной промышленности - тов.СЕДИН И.К. и директор Подольского завода им.Орджоникидзе тов.МЫЛЬНИКОВ Г.М:</w:t>
      </w:r>
    </w:p>
    <w:p w14:paraId="6E8DBEF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организовать на Подольском заводе им.Орджоникидзе серийное производство бронированных корпусов для самолетов Ил-2 с выпуском в 1941 году 900 штук;</w:t>
      </w:r>
    </w:p>
    <w:p w14:paraId="4EE4AA3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поставку корпусов поквартально обеспечить в следующих количествах: - в первом квартале - 150 штук, во втором.квартале - 250 штук, в третьем квартале-300 штук, в четвертом квартале-200 штук;</w:t>
      </w:r>
    </w:p>
    <w:p w14:paraId="3562730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обеспечить изготовление установочной партии 5 штук корпусов для Ил-2 к 15 января 1941 года с расчетом начала серийного выпуска с 20 января 1941 года.</w:t>
      </w:r>
    </w:p>
    <w:p w14:paraId="1CE3506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Народный Комиссар Судостроительной Промышленности тов. НОСЕНКО И.И.:</w:t>
      </w:r>
    </w:p>
    <w:p w14:paraId="57901AC4"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а) организовать на Ижорском заводе серийное производство бронекорпусов для самолетов Ил-2 с выпуском в 1941 году 1200 штук, в том числе в первом квартале -150 штук, во втором квартале - 300 штук, в третьем квартале - 350 штук, в четвертом квартале - 400 штук, с доведением мощности к 1 января 1942 года на 2000 штук;</w:t>
      </w:r>
    </w:p>
    <w:p w14:paraId="4E5FB68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обеспечить изготовление установочной партии 5 штук броне корпусов для Ил-2 на Ижорском заводе к</w:t>
      </w:r>
      <w:r w:rsidRPr="00A3026E">
        <w:rPr>
          <w:rFonts w:ascii="Times New Roman" w:hAnsi="Times New Roman"/>
          <w:color w:val="000000" w:themeColor="text1"/>
          <w:sz w:val="16"/>
          <w:szCs w:val="16"/>
          <w:vertAlign w:val="superscript"/>
        </w:rPr>
        <w:t>:</w:t>
      </w:r>
      <w:r w:rsidRPr="00A3026E">
        <w:rPr>
          <w:rFonts w:ascii="Times New Roman" w:hAnsi="Times New Roman"/>
          <w:color w:val="000000" w:themeColor="text1"/>
          <w:sz w:val="16"/>
          <w:szCs w:val="16"/>
        </w:rPr>
        <w:t>15 января 1941 года, с расчетом начать серийный выпуск с 20 января 1941 года;</w:t>
      </w:r>
    </w:p>
    <w:p w14:paraId="48E962E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поставить Подольскому заводу им. Орджоникидзе 12 мм бронелиста из хромомолибденовом стали марки "ХД” 450 тонн, со сроками поставки: в январе месяце - 50 тонн и в последующие месяцы по 75 тонн;</w:t>
      </w:r>
    </w:p>
    <w:p w14:paraId="3C8340C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предусмотреть в плане строительства завода № 264 (Красно</w:t>
      </w:r>
      <w:r w:rsidRPr="00A3026E">
        <w:rPr>
          <w:rFonts w:ascii="Times New Roman" w:hAnsi="Times New Roman"/>
          <w:color w:val="000000" w:themeColor="text1"/>
          <w:sz w:val="16"/>
          <w:szCs w:val="16"/>
        </w:rPr>
        <w:softHyphen/>
        <w:t>армейская верфь) в 1941 году строительство производственных пло</w:t>
      </w:r>
      <w:r w:rsidRPr="00A3026E">
        <w:rPr>
          <w:rFonts w:ascii="Times New Roman" w:hAnsi="Times New Roman"/>
          <w:color w:val="000000" w:themeColor="text1"/>
          <w:sz w:val="16"/>
          <w:szCs w:val="16"/>
        </w:rPr>
        <w:softHyphen/>
        <w:t>щадей до 5000 кв.метров для организации производства бронекорпусов Ил-2 на мощность 1000 штук с вводом в действие к 1 июля 1941 года.</w:t>
      </w:r>
    </w:p>
    <w:p w14:paraId="125919D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 готовых корпусов начать с 1 августа 1941 года, с по</w:t>
      </w:r>
      <w:r w:rsidRPr="00A3026E">
        <w:rPr>
          <w:rFonts w:ascii="Times New Roman" w:hAnsi="Times New Roman"/>
          <w:color w:val="000000" w:themeColor="text1"/>
          <w:sz w:val="16"/>
          <w:szCs w:val="16"/>
        </w:rPr>
        <w:softHyphen/>
        <w:t>дачей заводам Наркомавиапрома в третьем квартале - 50 штук, в чет</w:t>
      </w:r>
      <w:r w:rsidRPr="00A3026E">
        <w:rPr>
          <w:rFonts w:ascii="Times New Roman" w:hAnsi="Times New Roman"/>
          <w:color w:val="000000" w:themeColor="text1"/>
          <w:sz w:val="16"/>
          <w:szCs w:val="16"/>
        </w:rPr>
        <w:softHyphen/>
        <w:t>вёртом квартале - 150 штук;</w:t>
      </w:r>
    </w:p>
    <w:p w14:paraId="7F41172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обеспечить поставку с Кулебакского металлургического за</w:t>
      </w:r>
      <w:r w:rsidRPr="00A3026E">
        <w:rPr>
          <w:rFonts w:ascii="Times New Roman" w:hAnsi="Times New Roman"/>
          <w:color w:val="000000" w:themeColor="text1"/>
          <w:sz w:val="16"/>
          <w:szCs w:val="16"/>
        </w:rPr>
        <w:softHyphen/>
        <w:t>вода в 1941 году заводу "ДРО" НКТяжмаша 200 тонн 12 мм бронелиста маркк "ХД".(100 тонн -в августе и 100 тонн в сентябре) и закре</w:t>
      </w:r>
      <w:r w:rsidRPr="00A3026E">
        <w:rPr>
          <w:rFonts w:ascii="Times New Roman" w:hAnsi="Times New Roman"/>
          <w:color w:val="000000" w:themeColor="text1"/>
          <w:sz w:val="16"/>
          <w:szCs w:val="16"/>
        </w:rPr>
        <w:softHyphen/>
        <w:t>пить его постоянным поставщиком этой брони для завода "ДРО".</w:t>
      </w:r>
    </w:p>
    <w:p w14:paraId="7F215ED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закрепить Мариупольский завод им. Ильича, как постоянного поставщика 12 мм броне деталей Запорожскому- заводу "Коммунар" Наркомсредмаша, с началом, поставки с 1 сентября 1941 года.</w:t>
      </w:r>
    </w:p>
    <w:p w14:paraId="3E41840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Народного-Комиссара Тяжелого Машиностроения тов.ЕФРЕМОВА А.И.:</w:t>
      </w:r>
    </w:p>
    <w:p w14:paraId="7272D37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обеспечить поставку в 1941 году с Кировского завода бронедеталей 4-5-6 мм толщины из кремне-никеле-молибденовой стали Ижорскому заводу НКСудпрома для изготовления бронекорпусов Ил-2 со сроками поставки:</w:t>
      </w:r>
    </w:p>
    <w:p w14:paraId="3A283F2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 квартале </w:t>
      </w:r>
      <w:r w:rsidRPr="00A3026E">
        <w:rPr>
          <w:rFonts w:ascii="Times New Roman" w:hAnsi="Times New Roman"/>
          <w:color w:val="000000" w:themeColor="text1"/>
          <w:sz w:val="16"/>
          <w:szCs w:val="16"/>
        </w:rPr>
        <w:tab/>
        <w:t>200 комплектов</w:t>
      </w:r>
    </w:p>
    <w:p w14:paraId="350C500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П</w:t>
      </w:r>
      <w:r w:rsidRPr="00A3026E">
        <w:rPr>
          <w:rFonts w:ascii="Times New Roman" w:hAnsi="Times New Roman"/>
          <w:color w:val="000000" w:themeColor="text1"/>
          <w:sz w:val="16"/>
          <w:szCs w:val="16"/>
        </w:rPr>
        <w:tab/>
        <w:t>350</w:t>
      </w:r>
    </w:p>
    <w:p w14:paraId="3466FC9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Ш</w:t>
      </w:r>
      <w:r w:rsidRPr="00A3026E">
        <w:rPr>
          <w:rFonts w:ascii="Times New Roman" w:hAnsi="Times New Roman"/>
          <w:color w:val="000000" w:themeColor="text1"/>
          <w:sz w:val="16"/>
          <w:szCs w:val="16"/>
        </w:rPr>
        <w:tab/>
        <w:t>400</w:t>
      </w:r>
    </w:p>
    <w:p w14:paraId="6DF5748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1У</w:t>
      </w:r>
      <w:r w:rsidRPr="00A3026E">
        <w:rPr>
          <w:rFonts w:ascii="Times New Roman" w:hAnsi="Times New Roman"/>
          <w:color w:val="000000" w:themeColor="text1"/>
          <w:sz w:val="16"/>
          <w:szCs w:val="16"/>
        </w:rPr>
        <w:tab/>
        <w:t>450</w:t>
      </w:r>
    </w:p>
    <w:p w14:paraId="7C84AEBE"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начав поставку с 5 января 1941 года;</w:t>
      </w:r>
    </w:p>
    <w:p w14:paraId="09309C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организовать производство бронекорнусов для Ил-2 на заводе "ДРО" (завод дробильно-размольного оборудования) в гор. Выкса, мощностью на 2000 штук к 1 октября 1941 года и выпуском 200 штук в четвертом квартале 1941 года.</w:t>
      </w:r>
    </w:p>
    <w:p w14:paraId="28EAB66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Народного Комиссара Среднего Машиностроения тов. МАЛЫШЕВА В.А. организовать производство бронекорпусов на Запорожском за</w:t>
      </w:r>
      <w:r w:rsidRPr="00A3026E">
        <w:rPr>
          <w:rFonts w:ascii="Times New Roman" w:hAnsi="Times New Roman"/>
          <w:color w:val="000000" w:themeColor="text1"/>
          <w:sz w:val="16"/>
          <w:szCs w:val="16"/>
        </w:rPr>
        <w:softHyphen/>
        <w:t>воде "Коммунар" мощностью на 1000 штук к 1 октября 1941 года с выпуском в четвертом квартале 1941 года 100 штук.</w:t>
      </w:r>
    </w:p>
    <w:p w14:paraId="4F6496D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Народный Комиссар Черной Металлургии тов. ТЕВОСЯН И.Т.:</w:t>
      </w:r>
    </w:p>
    <w:p w14:paraId="60FB6E8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обеспечить поставку Подольскому заводу НКНефти в 1941 году 2.200 тонн бронелистов 4-5-6 мм. толщины из кремне-никеле-молибденовой стали* с завода "Красный Октябрь" в следующие сроки:</w:t>
      </w:r>
    </w:p>
    <w:p w14:paraId="28CC024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 квартале </w:t>
      </w:r>
      <w:r w:rsidRPr="00A3026E">
        <w:rPr>
          <w:rFonts w:ascii="Times New Roman" w:hAnsi="Times New Roman"/>
          <w:color w:val="000000" w:themeColor="text1"/>
          <w:sz w:val="16"/>
          <w:szCs w:val="16"/>
        </w:rPr>
        <w:tab/>
        <w:t>370 тонн</w:t>
      </w:r>
    </w:p>
    <w:p w14:paraId="357FC0A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П</w:t>
      </w:r>
      <w:r w:rsidRPr="00A3026E">
        <w:rPr>
          <w:rFonts w:ascii="Times New Roman" w:hAnsi="Times New Roman"/>
          <w:color w:val="000000" w:themeColor="text1"/>
          <w:sz w:val="16"/>
          <w:szCs w:val="16"/>
        </w:rPr>
        <w:tab/>
        <w:t>610</w:t>
      </w:r>
    </w:p>
    <w:p w14:paraId="010E60E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Ш</w:t>
      </w:r>
      <w:r w:rsidRPr="00A3026E">
        <w:rPr>
          <w:rFonts w:ascii="Times New Roman" w:hAnsi="Times New Roman"/>
          <w:color w:val="000000" w:themeColor="text1"/>
          <w:sz w:val="16"/>
          <w:szCs w:val="16"/>
        </w:rPr>
        <w:tab/>
        <w:t>730</w:t>
      </w:r>
    </w:p>
    <w:p w14:paraId="1FA7FAB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1У</w:t>
      </w:r>
      <w:r w:rsidRPr="00A3026E">
        <w:rPr>
          <w:rFonts w:ascii="Times New Roman" w:hAnsi="Times New Roman"/>
          <w:color w:val="000000" w:themeColor="text1"/>
          <w:sz w:val="16"/>
          <w:szCs w:val="16"/>
        </w:rPr>
        <w:tab/>
        <w:t>490</w:t>
      </w:r>
    </w:p>
    <w:p w14:paraId="0A495FC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поставки металла установить с 5 января 1941 года;</w:t>
      </w:r>
    </w:p>
    <w:p w14:paraId="3BEBFD7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закрепить завод "Красный Октябрь", как постоянного поставщика бронелистов для корпусов Ил-2, изготовляемых на заводе № 264 (Красноармейская верфь) НКСудпрома, и обеспечить поставку в 1941 году 450 тонн 4-5-6 мм бронелиста из кремне-никеле-молибденовой стали и 100 тонн 12 мм. Хромомолибденовой стали мар</w:t>
      </w:r>
      <w:r w:rsidRPr="00A3026E">
        <w:rPr>
          <w:rFonts w:ascii="Times New Roman" w:hAnsi="Times New Roman"/>
          <w:color w:val="000000" w:themeColor="text1"/>
          <w:sz w:val="16"/>
          <w:szCs w:val="16"/>
        </w:rPr>
        <w:softHyphen/>
        <w:t>ки "ХД".</w:t>
      </w:r>
    </w:p>
    <w:p w14:paraId="6768A2B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поставки металла установить с 15 июня 1941 года;</w:t>
      </w:r>
    </w:p>
    <w:p w14:paraId="34369FF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закрепить Выксунский металлургический завод как постоянного поставщика бронелистов заводу "ДРО" НКТяжмаша, с поставкой этому заводу в 1941 году 4-5-6 мм бронелистов кремне-никеле-молибденовой стали в количестве 440 тонн.</w:t>
      </w:r>
    </w:p>
    <w:p w14:paraId="2EA3B8F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Сроки поставки установить следующие:</w:t>
      </w:r>
    </w:p>
    <w:p w14:paraId="59FCE88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августе</w:t>
      </w:r>
      <w:r w:rsidRPr="00A3026E">
        <w:rPr>
          <w:rFonts w:ascii="Times New Roman" w:hAnsi="Times New Roman"/>
          <w:color w:val="000000" w:themeColor="text1"/>
          <w:sz w:val="16"/>
          <w:szCs w:val="16"/>
        </w:rPr>
        <w:tab/>
        <w:t>100 тонн</w:t>
      </w:r>
    </w:p>
    <w:p w14:paraId="567241D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w:t>
      </w:r>
      <w:r w:rsidRPr="00A3026E">
        <w:rPr>
          <w:rFonts w:ascii="Times New Roman" w:hAnsi="Times New Roman"/>
          <w:color w:val="000000" w:themeColor="text1"/>
          <w:sz w:val="16"/>
          <w:szCs w:val="16"/>
        </w:rPr>
        <w:tab/>
        <w:t>140</w:t>
      </w:r>
    </w:p>
    <w:p w14:paraId="7855908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w:t>
      </w:r>
      <w:r w:rsidRPr="00A3026E">
        <w:rPr>
          <w:rFonts w:ascii="Times New Roman" w:hAnsi="Times New Roman"/>
          <w:color w:val="000000" w:themeColor="text1"/>
          <w:sz w:val="16"/>
          <w:szCs w:val="16"/>
        </w:rPr>
        <w:tab/>
        <w:t>200</w:t>
      </w:r>
    </w:p>
    <w:p w14:paraId="0597663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закрепить завод имени Дзержинского, как постоянного по</w:t>
      </w:r>
      <w:r w:rsidRPr="00A3026E">
        <w:rPr>
          <w:rFonts w:ascii="Times New Roman" w:hAnsi="Times New Roman"/>
          <w:color w:val="000000" w:themeColor="text1"/>
          <w:sz w:val="16"/>
          <w:szCs w:val="16"/>
        </w:rPr>
        <w:softHyphen/>
        <w:t>ставщика 4-5-6 мм. бронелистов Запорожскому заводу "Коммунар" НКСредмаша с началом поставки с 10 сентября 1941 года 245 тонн.</w:t>
      </w:r>
    </w:p>
    <w:p w14:paraId="1C3807B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Народный Комиссар Судостроительной промышленности тов.. НОСЕККО И.Е. и директор завода "Гидропресс" тов. ДОЦЕНКО Р.Е. обеспечить изготовление 10 штук 400 тонных гидропрессов с рабо</w:t>
      </w:r>
      <w:r w:rsidRPr="00A3026E">
        <w:rPr>
          <w:rFonts w:ascii="Times New Roman" w:hAnsi="Times New Roman"/>
          <w:color w:val="000000" w:themeColor="text1"/>
          <w:sz w:val="16"/>
          <w:szCs w:val="16"/>
        </w:rPr>
        <w:softHyphen/>
        <w:t>чим размером стола 2.500 х 1.300 мм. с аккумуляторной установ</w:t>
      </w:r>
      <w:r w:rsidRPr="00A3026E">
        <w:rPr>
          <w:rFonts w:ascii="Times New Roman" w:hAnsi="Times New Roman"/>
          <w:color w:val="000000" w:themeColor="text1"/>
          <w:sz w:val="16"/>
          <w:szCs w:val="16"/>
        </w:rPr>
        <w:softHyphen/>
        <w:t>кой, в следующие сроки:</w:t>
      </w:r>
    </w:p>
    <w:p w14:paraId="2C8DE8B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пресс - в марте 1941 года для Подольского завода, имени Орджоникидзе.</w:t>
      </w:r>
    </w:p>
    <w:p w14:paraId="5B26063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пресса - в апреле 1941 года, из них:</w:t>
      </w:r>
    </w:p>
    <w:p w14:paraId="5CC8E28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 пресс - заводу "Коммунар"НКСМ;</w:t>
      </w:r>
    </w:p>
    <w:p w14:paraId="21A7A65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пресс - Кировскому заводу НКТМ.</w:t>
      </w:r>
    </w:p>
    <w:p w14:paraId="37A457A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пресса - в мае 1941-года, из них:</w:t>
      </w:r>
    </w:p>
    <w:p w14:paraId="36C28C0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пресса- заводу "ДРО" НКТМаша</w:t>
      </w:r>
    </w:p>
    <w:p w14:paraId="6083193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 пресс - заводу № 264 НКСудпрома</w:t>
      </w:r>
    </w:p>
    <w:p w14:paraId="206B856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пресса - в июне 1941 года, из них:</w:t>
      </w:r>
    </w:p>
    <w:p w14:paraId="57E8ED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пресс - заводу № 264 НКСудпрома</w:t>
      </w:r>
    </w:p>
    <w:p w14:paraId="1DDCB28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пресс - Ижорско.му заводу -"-</w:t>
      </w:r>
    </w:p>
    <w:p w14:paraId="36B97B5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пресса - в августе 1941 года, из них:</w:t>
      </w:r>
    </w:p>
    <w:p w14:paraId="04BECA4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пресс - заводу "Коммунар"</w:t>
      </w:r>
    </w:p>
    <w:p w14:paraId="266396D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пресс - Подольскому заводу им. Орджоникидзе.</w:t>
      </w:r>
    </w:p>
    <w:p w14:paraId="559E3F5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Для обеспечения выпуска 10 штук гидропрессов в 1941 году обязываются:</w:t>
      </w:r>
    </w:p>
    <w:p w14:paraId="32F013B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Наркомтяжмаш тов. ЕФРЕМОВ А.И. поставить в январе-феврале 1941 года заводу "Гидропресс" 330 тонн стального литья, 330 тонн стальных поковок и 88 тонн чугунного литья;</w:t>
      </w:r>
    </w:p>
    <w:p w14:paraId="3F32298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Наркомсудпром тов. НОСЕНКО И.И. поставить заводу "Гидро</w:t>
      </w:r>
      <w:r w:rsidRPr="00A3026E">
        <w:rPr>
          <w:rFonts w:ascii="Times New Roman" w:hAnsi="Times New Roman"/>
          <w:color w:val="000000" w:themeColor="text1"/>
          <w:sz w:val="16"/>
          <w:szCs w:val="16"/>
        </w:rPr>
        <w:softHyphen/>
        <w:t>пресс" в январе-феврале 1941 года 310 тонн стального литья и 220 тонн стальных поковок;</w:t>
      </w:r>
    </w:p>
    <w:p w14:paraId="0270012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Наркомчермет тов. ТЕВОСЯН И.Т. поставить заводу "Гидропресс” в-январе-феврале 1941 года 125 тонн гидравлических труб;...(530).</w:t>
      </w:r>
    </w:p>
    <w:p w14:paraId="1DE8F83B" w14:textId="77777777" w:rsidR="0014077F" w:rsidRPr="00A3026E" w:rsidRDefault="0014077F" w:rsidP="00A3026E">
      <w:pPr>
        <w:pStyle w:val="Iauiue"/>
        <w:jc w:val="both"/>
        <w:rPr>
          <w:color w:val="000000" w:themeColor="text1"/>
          <w:sz w:val="16"/>
          <w:szCs w:val="16"/>
        </w:rPr>
      </w:pPr>
    </w:p>
    <w:p w14:paraId="0D87B8B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1940 Протокол № 24. Решения ПБ за 14 декабря 1940 г. - 2 января 1941 г.</w:t>
      </w:r>
    </w:p>
    <w:p w14:paraId="2AC627B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15.12.40 г.</w:t>
      </w:r>
    </w:p>
    <w:p w14:paraId="0EED514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3 О серийном выпуске моторов на заводе № 27*.</w:t>
      </w:r>
    </w:p>
    <w:p w14:paraId="4154999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4. Об организации завода по производству средств вооружения для боевых самолетов в Днепропетровске (постановление СНК СССР и ЦК ВКП (б))*.</w:t>
      </w:r>
    </w:p>
    <w:p w14:paraId="65950C8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5. Об обеспечении производства авиамоторов и самолетов на заводах №№ 452 и 265 Наркомавиапрома*.</w:t>
      </w:r>
    </w:p>
    <w:p w14:paraId="220F36C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 Об обеспечении производства самолетов на заводе № 450 и работы стройтрестов № 8 и № 26 (постановление СНК СССР и ЦК ВКП (б))*.</w:t>
      </w:r>
    </w:p>
    <w:p w14:paraId="3CB4EA3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8. Об обеспечении завода № 26 агрегатами для опытного мотора М-107П (постановление СНК СССР и ЦК ВКП (б))*.</w:t>
      </w:r>
    </w:p>
    <w:p w14:paraId="038A719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 Об обеспечении бронекорпусами самолетов Ил-2 (постановление СНК СССР и ЦК ВКП (б))*.</w:t>
      </w:r>
    </w:p>
    <w:p w14:paraId="7133678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20. 12. 40 г.</w:t>
      </w:r>
    </w:p>
    <w:p w14:paraId="5C173A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108. О выпуске самолетов на заводе № 39 НКАП (постановление СНК СССР и ЦК ВКП (б))*.</w:t>
      </w:r>
    </w:p>
    <w:p w14:paraId="0234AA2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109. О строительстве в БССР завода синтетического бензина из торфа (постановление СНК СССР и ЦК ВКП (б)).</w:t>
      </w:r>
    </w:p>
    <w:p w14:paraId="3970063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111. Вопрос ГАУ Красной Армии и НКВ. О принятии на вооружение КА пистолета-пулемета Шпагина*.</w:t>
      </w:r>
    </w:p>
    <w:p w14:paraId="19AC1FD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21.12.40 г.</w:t>
      </w:r>
    </w:p>
    <w:p w14:paraId="7B4F399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132. О Таганрогском заводе № 31 НКАП. Об использовании мощностей завода для выпуска боевых самолетов*.</w:t>
      </w:r>
    </w:p>
    <w:p w14:paraId="29628EE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26. 12.40 г</w:t>
      </w:r>
      <w:r w:rsidRPr="00A3026E">
        <w:rPr>
          <w:rFonts w:ascii="Times New Roman" w:hAnsi="Times New Roman"/>
          <w:color w:val="000000" w:themeColor="text1"/>
          <w:sz w:val="16"/>
          <w:szCs w:val="16"/>
        </w:rPr>
        <w:t>.</w:t>
      </w:r>
    </w:p>
    <w:p w14:paraId="4510535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162. О заводе № 22 НКАП. Программа выпуска самолетов Пе-2 (постановление СНК СССРиЦКВКП(б))*.</w:t>
      </w:r>
    </w:p>
    <w:p w14:paraId="1E59DEE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28. 12.40 г.</w:t>
      </w:r>
    </w:p>
    <w:p w14:paraId="78C9743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176. О выпуске моторов АМ-88 на заводе № 24 (постановление СНК СССР и ЦК ВКП (б))*.</w:t>
      </w:r>
    </w:p>
    <w:p w14:paraId="637C97E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 xml:space="preserve">29.12.40 г. </w:t>
      </w:r>
      <w:r w:rsidRPr="00A3026E">
        <w:rPr>
          <w:rFonts w:ascii="Times New Roman" w:hAnsi="Times New Roman"/>
          <w:color w:val="000000" w:themeColor="text1"/>
          <w:sz w:val="16"/>
          <w:szCs w:val="16"/>
        </w:rPr>
        <w:t>П. 230. Вопрос КО. О постройке трех истребителей ВИ-1* (11773).</w:t>
      </w:r>
    </w:p>
    <w:p w14:paraId="3DDC7A05" w14:textId="77777777" w:rsidR="0014077F" w:rsidRPr="00A3026E" w:rsidRDefault="0014077F" w:rsidP="00A3026E">
      <w:pPr>
        <w:shd w:val="clear" w:color="auto" w:fill="FFFFFF"/>
        <w:spacing w:after="0" w:line="240" w:lineRule="auto"/>
        <w:jc w:val="both"/>
        <w:rPr>
          <w:rFonts w:ascii="Times New Roman" w:hAnsi="Times New Roman"/>
          <w:bCs/>
          <w:color w:val="000000" w:themeColor="text1"/>
          <w:sz w:val="16"/>
          <w:szCs w:val="16"/>
        </w:rPr>
      </w:pPr>
    </w:p>
    <w:p w14:paraId="4E41EA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1940 года Шахурин писал письмо N Н-25/3742 Сталину.</w:t>
      </w:r>
    </w:p>
    <w:p w14:paraId="51C97F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с.г. летчик завода N 39 Федоров сделал два полета на самолете Пе-2 N 390101 (3542,9). В первом полете летчику было поставлено задание проверить режим работы винто-моторной группы самолета и произвести уборку и выпуск шасси.</w:t>
      </w:r>
    </w:p>
    <w:p w14:paraId="3A3C93A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полет продолжался 44 минуты на высоте 300-800 метров. Уборка и выпуск шасси произведены два раза - первый раз на высоте 800 метров и второй раз на высоте 450 метров.</w:t>
      </w:r>
    </w:p>
    <w:p w14:paraId="40F8C2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первом полете все агрегаты самолета работали нормально, самолет в полете вел себя хорошо. После посадки и проверки, самолет был выпущен во второй полет для проверки работы винтомоторной группы на высоте 4000 метров.</w:t>
      </w:r>
    </w:p>
    <w:p w14:paraId="2247FD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полет продолжался 15 минут, самолет поднялся на высоту 4200 метров. По сообщению летчика Федорова самолет легко набирает высоту и ведет себя в полете нормально.</w:t>
      </w:r>
    </w:p>
    <w:p w14:paraId="3ED80E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Сегодня, 15-го декабря, будут закончены работы по статическим испытаниям фюзеляжа и по замеру вибрационных колебаний самолета, после чего 16-го декабря самолет будет допущен к проведению скоростных испытаний (1293,150).</w:t>
      </w:r>
    </w:p>
    <w:p w14:paraId="01A2C90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D06DE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1940 г. летчик-испытатель завода № 39 Н.Федоров поднял в воздух Пе-2 с номером 390101 - головной самолет первой серии. В течение нескольких следующих дней на заводе ускоренно провели краткие испытания новой машины. С полетным весом 6800 кг головной Пе-2 развил максимальную скорость 540 км/час на высоте 5000 м, что полностью соответствовало техническому заданию. Впрочем, этот и последующие четыре самолета лишь условно можно считать серийными. Макетное стрелковое и бомбардировочное вооружение, длинный перечень дефектов по планеру, силовой установке и оборудованию обесценивали их боевую значимость. Самолет № 3 был вообще оставлен в распоряжении главного конструктора для отработки вводимых изменений, первым из которых было оборудование машины двойным управлением (с рабочего места штурмана) (3542).</w:t>
      </w:r>
    </w:p>
    <w:p w14:paraId="6B92768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CD99D16" w14:textId="77777777" w:rsidR="00391CB8" w:rsidRPr="00A3026E" w:rsidRDefault="00391CB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1940 года в воздух был поднят первый серийный самолет Пе-2. Самолет Пе-2 серийно строился на заводах № 22 (Москва), № 39 (Москва), № 124 (Казань), № 125 (Иркутск) (19769).</w:t>
      </w:r>
    </w:p>
    <w:p w14:paraId="736C4E00" w14:textId="77777777" w:rsidR="00391CB8" w:rsidRPr="00A3026E" w:rsidRDefault="00391CB8" w:rsidP="00A3026E">
      <w:pPr>
        <w:spacing w:after="0" w:line="240" w:lineRule="auto"/>
        <w:jc w:val="both"/>
        <w:rPr>
          <w:rFonts w:ascii="Times New Roman" w:hAnsi="Times New Roman"/>
          <w:color w:val="000000" w:themeColor="text1"/>
          <w:sz w:val="16"/>
          <w:szCs w:val="16"/>
        </w:rPr>
      </w:pPr>
    </w:p>
    <w:p w14:paraId="1CF93D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1940 летчик-испытатель Н.Федоров поднял в небо головной самолет первой серии Пе-2. Отзыв был благоприятный, однако летчик отметил высокую посадочную скорость. Это было связано с набором профилей крыла (профиль В - в корне, BS - на концах), который оказался не слишком удачным. Высокая посадочная скорость была ахиллесовой пятой Пе-2, и зачастую приводила к авариям в строевых частях, где на самолете летали молодые летчики.</w:t>
      </w:r>
    </w:p>
    <w:p w14:paraId="20B285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Серийные Пе-2 были оснащены моторами М-105Р взлетной мощностью 1100 л.с. с приводными центробежными нагнетателями и винтами изменяемого шага ВИШ-61П. Моторы запускались сжатым воздухом и имели систему нагнетания инертного газа.</w:t>
      </w:r>
    </w:p>
    <w:p w14:paraId="7BBB2B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Самое серьезное наследство от первоначального проекта в конструкции Пе-2 - это обилие электроприводов. Около пятидесяти электромоторов пяти типов мощностью от 30 до 1700 Вт открывали и закрывали створки радиаторов, меняли шаг винтов, приводили в действие насосы, отклоняли посадочные щитки.</w:t>
      </w:r>
    </w:p>
    <w:p w14:paraId="568EF1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Такое количество электрики определялось необходимостью герметизации кабины и, следовательно, требование минимума отверстий в ней. Электрические жгуты легко можно было пропустить через гермоперегородку, в то время как многочисленные трубопроводы и тяги свели бы на нет попытки надувать кабину на большой высоте. Для Пе-2 подошли бы и традиционные решения, но переделать всю конструкцию за полтора месяца было невозможно, а потому привода не стали менять. О серийном производстве тогда тоже не слишком задумывались, поскольку невыполнение приказа Л.П.Берии грозило отнюдь не выговором...</w:t>
      </w:r>
    </w:p>
    <w:p w14:paraId="44C79C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Пе-2 предусматривались различные варианты бомбовой нагрузки в виде фугасных, осколочных и специальных авиабомб (бетонобойных, химических, осветительных) общей массой до 1000 кг. Самой крупной бомбой, которую мог взять самолет, была ФАБ-500. До 600 кг бомб подвешивались внутри центральной части фюзеляжа и в маленьких отсеках хвостовой части мотогондол (туда укладывали по одной бомбе массой 100 кг), а остальная нагрузка подвешива- 12-цилиндровый мотор водяного охлаждения М-105Р</w:t>
      </w:r>
    </w:p>
    <w:p w14:paraId="38DBE5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Мелкие бомбы разметались в специальных кассетах. При пикировании можно было сбрасывать бомбы только с внешней подвески, так как никаких устройств для их выведения из бомбоотсека не имелось.</w:t>
      </w:r>
    </w:p>
    <w:p w14:paraId="66FE2C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целом бомбовая нагрузка для машины таких габаритов, как Пе-2, была невелика, что объясняется: значительной собственной массой планера, проектировавшегося с большим запасом прочности и недостаточной мощностью силовой установки. Однако в начале 40-х альтернатив М-105Р просто не было.</w:t>
      </w:r>
    </w:p>
    <w:p w14:paraId="400B19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Передняя кабина, где размещались летчик и штурман, была неплохо оснащена приборами. Самолет имел авиагоризонт АТП и радиополукомпас РПК-2. Литопилот на Пе-2 отсутствовал, но это не очень влияло на его тактические возможности, поскольку воевать ему предстояло на небольших удалениях от базового аэродрома в прифронтовой зоне.</w:t>
      </w:r>
    </w:p>
    <w:p w14:paraId="04E05A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"Летчика защищала бронеспинка толщиной 9 мм, а позднее, в ходе войны, броней толщиной 6 мм прикрыли штурмана. Сложнее всего было стрелку-радисту. Многочисленные попытки защитить его от огня с задней полусферы не увенчались успехом (12037).</w:t>
      </w:r>
    </w:p>
    <w:p w14:paraId="2DFE46F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EF420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1940 г. летчик- испытатель завода № 39 Н. Федоров поднял в воздух Пе-2 зав. № 390101 - головной самолет первой серии. Название Пе-2 вместо ПБ-100 было принято в соответствии с введенными в декабре 1940 г. новыми правилами обозначения типа самолета по двум первым буквам фамилии главного конструктора.</w:t>
      </w:r>
    </w:p>
    <w:p w14:paraId="469975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течение нескольких следующих декабрьских дней на заводе ускоренно провели краткие испытания новой машины. С полетной массой 6800 кг головной Пе-2 развил максимальную скорость 540 км/ч на высоте 5000 м, что полностью соответствовало техническому заданию. Впрочем, и этот и последующие четыре самолета лишь условно можно считать серийными. Макетное стрелковое и бомбардировочное вооружение, длинный перечень дефектов по планеру, силовой установке и </w:t>
      </w:r>
      <w:r w:rsidRPr="00A3026E">
        <w:rPr>
          <w:rFonts w:ascii="Times New Roman" w:hAnsi="Times New Roman"/>
          <w:color w:val="000000" w:themeColor="text1"/>
          <w:sz w:val="16"/>
          <w:szCs w:val="16"/>
        </w:rPr>
        <w:lastRenderedPageBreak/>
        <w:t>оборудованию обесценивали их боевые возможности. По распоряжению наркомата самолет № 3 оставили в распоряжении главного конструктора для отработки вводимых изменений, первым из которых было оборудование машины двойным управлением (с рабочего места штурмана). Самолеты № 1 и № 5, выработавшие к маю моторесурс на 100%, передали в одну из технических школ ВВС. Но это случилось позднее, а 16 января 1941 г. военная приемка приняла первый Пе-2, изготовленный на заводе № 22. Вместе с головными машинами завода № 39 его отправили на государственные испытания в НИИ ВВС (12042).</w:t>
      </w:r>
    </w:p>
    <w:p w14:paraId="083C188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4865CD3" w14:textId="77777777" w:rsidR="00097788" w:rsidRPr="00A3026E" w:rsidRDefault="00097788"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15-го декабря 1940 года летчик-испытатель завода Н.К. Федоров поднял бомбардировщик ПБ-100 с номером 390101 – головной самолет первой серии. После облетов первый Пе-2 (наименование Пе-2 вместо ПБ-100 впервые появилось в отчете о заводских испытаниях 18-го декабря 1940 года) «… был передан на Госиспытания. В конце декабря бомбардировщик был принят заказчиком и оформлен удостоверением. Одновременно приступили к облету второй машины. Третий серийный бомбардировщик Пе-2 вышел на испытания 2-го января 1941 года». Затянувшийся цикл сборки первых самолетов Пе-2 в отчете завода № 39 за 1940 год объясняется несколькими причинами (Отчет о работе завода № 39 им. Менжинского за 1940 год по основной деятельности. Центральный архив ИАЗ, дело № 78, лист 20.):</w:t>
      </w:r>
    </w:p>
    <w:p w14:paraId="31A3B357" w14:textId="77777777" w:rsidR="00097788" w:rsidRPr="00A3026E" w:rsidRDefault="00097788" w:rsidP="00A3026E">
      <w:pPr>
        <w:pStyle w:val="rteindent11"/>
        <w:shd w:val="clear" w:color="auto" w:fill="FFFFFF"/>
        <w:spacing w:before="0" w:beforeAutospacing="0" w:after="0"/>
        <w:ind w:left="0" w:firstLine="0"/>
        <w:rPr>
          <w:color w:val="000000" w:themeColor="text1"/>
          <w:sz w:val="16"/>
          <w:szCs w:val="16"/>
        </w:rPr>
      </w:pPr>
      <w:r w:rsidRPr="00A3026E">
        <w:rPr>
          <w:rStyle w:val="af0"/>
          <w:i w:val="0"/>
          <w:color w:val="000000" w:themeColor="text1"/>
          <w:sz w:val="16"/>
          <w:szCs w:val="16"/>
        </w:rPr>
        <w:t>1. Изменения и доводки, производимые в большом количестве в период обработки крупных агрегатов самолетов (в течение только ноября было приостановлено изготовление деталей по 383 чертежам, аннулировано 56 чертежей и введено вновь 627 чертежей, а всего с начала запуска (с августа по январь) изменено 13499 чертежей и спецификаций).</w:t>
      </w:r>
    </w:p>
    <w:p w14:paraId="7023DC48" w14:textId="77777777" w:rsidR="00097788" w:rsidRPr="00A3026E" w:rsidRDefault="00097788" w:rsidP="00A3026E">
      <w:pPr>
        <w:pStyle w:val="rteindent11"/>
        <w:shd w:val="clear" w:color="auto" w:fill="FFFFFF"/>
        <w:spacing w:before="0" w:beforeAutospacing="0" w:after="0"/>
        <w:ind w:left="0" w:firstLine="0"/>
        <w:rPr>
          <w:color w:val="000000" w:themeColor="text1"/>
          <w:sz w:val="16"/>
          <w:szCs w:val="16"/>
        </w:rPr>
      </w:pPr>
      <w:r w:rsidRPr="00A3026E">
        <w:rPr>
          <w:rStyle w:val="af0"/>
          <w:i w:val="0"/>
          <w:color w:val="000000" w:themeColor="text1"/>
          <w:sz w:val="16"/>
          <w:szCs w:val="16"/>
        </w:rPr>
        <w:t>2. Трудности освоения некоторых агрегатов новой машины, особенно капотов моторов, непоставленных своевременно бако-капотным цехом и, наконец,</w:t>
      </w:r>
    </w:p>
    <w:p w14:paraId="2AC6A188" w14:textId="77777777" w:rsidR="00097788" w:rsidRPr="00A3026E" w:rsidRDefault="00097788" w:rsidP="00A3026E">
      <w:pPr>
        <w:pStyle w:val="rteindent11"/>
        <w:shd w:val="clear" w:color="auto" w:fill="FFFFFF"/>
        <w:spacing w:before="0" w:beforeAutospacing="0" w:after="0"/>
        <w:ind w:left="0" w:firstLine="0"/>
        <w:rPr>
          <w:rStyle w:val="af0"/>
          <w:i w:val="0"/>
          <w:color w:val="000000" w:themeColor="text1"/>
          <w:sz w:val="16"/>
          <w:szCs w:val="16"/>
        </w:rPr>
      </w:pPr>
      <w:r w:rsidRPr="00A3026E">
        <w:rPr>
          <w:rStyle w:val="af0"/>
          <w:i w:val="0"/>
          <w:color w:val="000000" w:themeColor="text1"/>
          <w:sz w:val="16"/>
          <w:szCs w:val="16"/>
        </w:rPr>
        <w:t>3. Обстоятельства организационного порядка. Так узким местом, державшим окончательную сборку оказалась группа электрооборудования этого цеха, мощность которой не была рассчитана на большие по объему и сложности работы на новой машине по сравнению с ДБ-3Ф.</w:t>
      </w:r>
    </w:p>
    <w:p w14:paraId="212F9D20" w14:textId="77777777" w:rsidR="00097788" w:rsidRPr="00A3026E" w:rsidRDefault="00097788" w:rsidP="00A3026E">
      <w:pPr>
        <w:pStyle w:val="rteindent11"/>
        <w:shd w:val="clear" w:color="auto" w:fill="FFFFFF"/>
        <w:spacing w:before="0" w:beforeAutospacing="0" w:after="0"/>
        <w:ind w:left="0" w:firstLine="0"/>
        <w:rPr>
          <w:color w:val="000000" w:themeColor="text1"/>
          <w:sz w:val="16"/>
          <w:szCs w:val="16"/>
        </w:rPr>
      </w:pPr>
      <w:r w:rsidRPr="00A3026E">
        <w:rPr>
          <w:rStyle w:val="af0"/>
          <w:i w:val="0"/>
          <w:color w:val="000000" w:themeColor="text1"/>
          <w:sz w:val="16"/>
          <w:szCs w:val="16"/>
        </w:rPr>
        <w:t>На 1-е января 1941 года изготовлено (кроме одной машины сданной) 46 машин Пе-2 в условных единицах, т.е. меньше половины заданного плана. Сдача отдельных агрегатов цеху окончательной сборки дает чрезвычайно пеструю картину, причем неравномерность в обеспечении цеха окончательной сборки агрегатами весьма велика. В то время, как некоторые агрегаты изготовлены на 28 комплектов (лонжероны центроплана), большинство агрегатов – на 11-12 комплектов, есть агрегаты (капот мотора) изготовлены лишь на 6 комплектов и будут тормозить выполнение программы.</w:t>
      </w:r>
    </w:p>
    <w:p w14:paraId="3AAB8960" w14:textId="77777777" w:rsidR="00097788" w:rsidRPr="00A3026E" w:rsidRDefault="00097788" w:rsidP="00A3026E">
      <w:pPr>
        <w:pStyle w:val="rteindent11"/>
        <w:shd w:val="clear" w:color="auto" w:fill="FFFFFF"/>
        <w:spacing w:before="0" w:beforeAutospacing="0" w:after="0"/>
        <w:ind w:left="0" w:firstLine="0"/>
        <w:rPr>
          <w:color w:val="000000" w:themeColor="text1"/>
          <w:sz w:val="16"/>
          <w:szCs w:val="16"/>
        </w:rPr>
      </w:pPr>
      <w:r w:rsidRPr="00A3026E">
        <w:rPr>
          <w:rStyle w:val="af0"/>
          <w:i w:val="0"/>
          <w:color w:val="000000" w:themeColor="text1"/>
          <w:sz w:val="16"/>
          <w:szCs w:val="16"/>
        </w:rPr>
        <w:t>В настоящее время проводится ряд мероприятий, ликвидирующих узкие места и обеспечивающих нормальный выпуск машин: цеха подготовки, после изготовления оснастки для головной серии, начали оснащение производства для выпуска 1-го квартала 1941 г. и дальнейшего развертывания производства.</w:t>
      </w:r>
    </w:p>
    <w:p w14:paraId="61C1FCEB" w14:textId="77777777" w:rsidR="00097788" w:rsidRPr="00A3026E" w:rsidRDefault="00097788"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всего 1940 года большое внимание на заводе уделялось качеству продукции. БЦК в цехе окончательной сборки, а также в фюзеляжном и малярном цехах были усилены квалифицированными работниками. Для работы с цеховыми контрольными работниками организовано техническое бюро при центральном отделе технического контроля. Был введен магнитный контроль наиболее ответственных деталей в механическом и термическом цехах. На складе и в механическом цехе был введен спектральный анализ определения соответствия материала указанным маркам. Организована экспресс-лаборатория для экстренных ускоренных анализов, связанных с проверкой термообработки деталей. Составлен перечень деталей, подлежащих магнитному и рентгеновскому контролю. Разработаны и переданы в цехи паспорта на все агрегаты Пе-2 (15223).</w:t>
      </w:r>
    </w:p>
    <w:p w14:paraId="6A10A36D" w14:textId="77777777" w:rsidR="00097788" w:rsidRPr="00A3026E" w:rsidRDefault="00097788" w:rsidP="00A3026E">
      <w:pPr>
        <w:shd w:val="clear" w:color="auto" w:fill="FFFFFF"/>
        <w:spacing w:after="0" w:line="240" w:lineRule="auto"/>
        <w:jc w:val="both"/>
        <w:rPr>
          <w:rFonts w:ascii="Times New Roman" w:hAnsi="Times New Roman"/>
          <w:color w:val="000000" w:themeColor="text1"/>
          <w:sz w:val="16"/>
          <w:szCs w:val="16"/>
        </w:rPr>
      </w:pPr>
    </w:p>
    <w:p w14:paraId="1B5A878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1940 в Казани на заводе 124 закончились заводские испытания ТБ-7 № 4225 с 4М-40, постройки завода № 124, которые проходили со 2 октября 1940:</w:t>
      </w:r>
    </w:p>
    <w:p w14:paraId="7B0F2F3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 испытаний</w:t>
      </w:r>
    </w:p>
    <w:p w14:paraId="10927E7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постановлений КО от 12 мая 1940 года за № 200сс и от 25 мая 1940 года за № 227сс, завод № 124 обязан был концу 1940 года предъявить на гос. испытания самолет ТБ-7 с четырьмя моторами М-40 (авиадизель) с использованием в вариантах: военно-транспортном и бомбардировочном на дальние расстояния.</w:t>
      </w:r>
    </w:p>
    <w:p w14:paraId="5F0B35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января 1941 года заводом был предъявлен на гос. испытания самолет ТБ-7 № 4225 с 4М-40 с винтами ВИШ-24.</w:t>
      </w:r>
    </w:p>
    <w:p w14:paraId="4C0FB9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самолет является только дальним бомбардировщиком без возможности полного использования в военно-транспортном варианте, вследствие того, что планер взят из серийного производства 1940 года без изменений.</w:t>
      </w:r>
    </w:p>
    <w:p w14:paraId="123CF9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Изменения винтомоторной группы, требуемые установкой опытных моторов, произведены не полностью. Самолет только приспособлен для проведения испытаний моторов М-40.</w:t>
      </w:r>
    </w:p>
    <w:p w14:paraId="48321DA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Нормальная центровка самолета, нарушенная установкой более тяжелых моторов, восстановлена грузом весом 220 кг, помещенным в хвостовой части фюзеляжа.</w:t>
      </w:r>
    </w:p>
    <w:p w14:paraId="45A88BF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самолета на колеса и пневматики старой конструкции размером 1600х500 ограничивает полетный вес до 27 тонн.</w:t>
      </w:r>
    </w:p>
    <w:p w14:paraId="6E0EB6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и прочее оборудование такое же как на серийных самолетах постройки 1940 года.</w:t>
      </w:r>
    </w:p>
    <w:p w14:paraId="4578A3A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испытания произведено 10 полетов продолжительностью 17 час. 27 мин. и один полет 28 декабря 1940 года в ЦАГИ на определение расхода топлива продолжительностью 6 час. 30 мин.</w:t>
      </w:r>
    </w:p>
    <w:p w14:paraId="402AF87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Общий налет за время заводских испытаний: 11 полетов продолжительностью 23 час. 57 мин.</w:t>
      </w:r>
    </w:p>
    <w:p w14:paraId="4B8B9D7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18 января по 20 февраля 1941 этот самолет проходил гос. испытания в НИИ ВВС (4168, 24-45).</w:t>
      </w:r>
    </w:p>
    <w:p w14:paraId="4623BD3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641E8D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1940 закончились заводские испытания ТБ-7 с М-40 (за исключением полета на продолжительность), которые проводились на 124 заводе с 13 октября 1940, когда состоялся первый полет. Полет на дальность состоялся с этого аэродрома (куда машина прибыла 21 декабря) 28 декабря 1940 и тем самым закончились заводские испытания. Отчет об испытаниях был представлен в НКАП 25 декабря 1940 (1295,363).</w:t>
      </w:r>
    </w:p>
    <w:p w14:paraId="031B831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17FFD1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1940 года 2 экз. самолета И-21 Пашинина закончил испытания вооружения на полигоне НИПАВ, которые проходили с 18 ноября 1940 (4048, 4).</w:t>
      </w:r>
    </w:p>
    <w:p w14:paraId="361D340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1960A9E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1940 года 1-й экземпляр самолета ОКО-6 2М-88 закончил заводские испытания и, вследствие неудовлетворительных результатов на гос. испытания предъявлен не был. В конце января 1941 года самолет отправлен в Киев для переделок (4048, 4).</w:t>
      </w:r>
    </w:p>
    <w:p w14:paraId="2C63152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70304E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15 декабря 1940 завод 1 приступил к выпуску И-200 в улучшенном варианте - МиГ-3 (4211,34).</w:t>
      </w:r>
    </w:p>
    <w:p w14:paraId="084A92D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CB62FEF" w14:textId="77777777" w:rsidR="000F26CA" w:rsidRPr="00A3026E" w:rsidRDefault="000F26CA" w:rsidP="00A3026E">
      <w:pPr>
        <w:spacing w:after="0" w:line="240" w:lineRule="auto"/>
        <w:jc w:val="both"/>
        <w:rPr>
          <w:rFonts w:ascii="Times New Roman" w:hAnsi="Times New Roman"/>
          <w:color w:val="0070C0"/>
          <w:sz w:val="16"/>
          <w:szCs w:val="16"/>
          <w:lang w:eastAsia="ru-RU" w:bidi="ru-RU"/>
        </w:rPr>
      </w:pPr>
      <w:r w:rsidRPr="00A3026E">
        <w:rPr>
          <w:rFonts w:ascii="Times New Roman" w:hAnsi="Times New Roman"/>
          <w:color w:val="0070C0"/>
          <w:sz w:val="16"/>
          <w:szCs w:val="16"/>
          <w:lang w:eastAsia="ru-RU" w:bidi="ru-RU"/>
        </w:rPr>
        <w:t>15 декабря 1940 г. была заложе</w:t>
      </w:r>
      <w:r w:rsidRPr="00A3026E">
        <w:rPr>
          <w:rFonts w:ascii="Times New Roman" w:hAnsi="Times New Roman"/>
          <w:color w:val="0070C0"/>
          <w:sz w:val="16"/>
          <w:szCs w:val="16"/>
          <w:lang w:eastAsia="ru-RU" w:bidi="ru-RU"/>
        </w:rPr>
        <w:softHyphen/>
        <w:t>на первая серия МиГ-3 и к концу года были готовы 11 машин - заводской пилот Екатов облетал головную, и остался ею до</w:t>
      </w:r>
      <w:r w:rsidRPr="00A3026E">
        <w:rPr>
          <w:rFonts w:ascii="Times New Roman" w:hAnsi="Times New Roman"/>
          <w:color w:val="0070C0"/>
          <w:sz w:val="16"/>
          <w:szCs w:val="16"/>
          <w:lang w:eastAsia="ru-RU" w:bidi="ru-RU"/>
        </w:rPr>
        <w:softHyphen/>
        <w:t>волен. Государственные испытания МиГ-3 №2115 и 2107 начали 27 января 1941 г. летчики-испытатели НИИ ВВС Прошаков и Кочетков под руководством ведущего инженера 1-го ранга Воеводина. Они по</w:t>
      </w:r>
      <w:r w:rsidRPr="00A3026E">
        <w:rPr>
          <w:rFonts w:ascii="Times New Roman" w:hAnsi="Times New Roman"/>
          <w:color w:val="0070C0"/>
          <w:sz w:val="16"/>
          <w:szCs w:val="16"/>
          <w:lang w:eastAsia="ru-RU" w:bidi="ru-RU"/>
        </w:rPr>
        <w:softHyphen/>
        <w:t>лучили главную задачу проверить улучше</w:t>
      </w:r>
      <w:r w:rsidRPr="00A3026E">
        <w:rPr>
          <w:rFonts w:ascii="Times New Roman" w:hAnsi="Times New Roman"/>
          <w:color w:val="0070C0"/>
          <w:sz w:val="16"/>
          <w:szCs w:val="16"/>
          <w:lang w:eastAsia="ru-RU" w:bidi="ru-RU"/>
        </w:rPr>
        <w:softHyphen/>
        <w:t>ние дальности, устойчивости и штопорных свойств обновленного самолета, а также устранение основных дефектов, свойст</w:t>
      </w:r>
      <w:r w:rsidRPr="00A3026E">
        <w:rPr>
          <w:rFonts w:ascii="Times New Roman" w:hAnsi="Times New Roman"/>
          <w:color w:val="0070C0"/>
          <w:sz w:val="16"/>
          <w:szCs w:val="16"/>
          <w:lang w:eastAsia="ru-RU" w:bidi="ru-RU"/>
        </w:rPr>
        <w:softHyphen/>
        <w:t>венных МиГ-1 (21699).</w:t>
      </w:r>
    </w:p>
    <w:p w14:paraId="44599221" w14:textId="77777777" w:rsidR="000F26CA" w:rsidRPr="00A3026E" w:rsidRDefault="000F26CA" w:rsidP="00A3026E">
      <w:pPr>
        <w:spacing w:after="0" w:line="240" w:lineRule="auto"/>
        <w:jc w:val="both"/>
        <w:rPr>
          <w:rFonts w:ascii="Times New Roman" w:hAnsi="Times New Roman"/>
          <w:color w:val="0070C0"/>
          <w:sz w:val="16"/>
          <w:szCs w:val="16"/>
          <w:lang w:eastAsia="ru-RU" w:bidi="ru-RU"/>
        </w:rPr>
      </w:pPr>
    </w:p>
    <w:p w14:paraId="2FF104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1940 г. заложили первую серию МиГ-3, и к концу года были готовы 11 машин. Екатов облетал головную и остался ею доволен. 27 января 1941 г. летчики-испытатели НИИ ВВС Кочетков и Прошаков под руководством ведущего инженера Воеводина начали Госиспытания МиГ-3 №№ 2107 и 2115.</w:t>
      </w:r>
    </w:p>
    <w:p w14:paraId="4C3BD3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Взлетная масса по сравнению с эталонным И-200 увеличилась с 3099 до 3355 кг, и на набор высоты 5000 м самолет тратил теперь 6,5 мин, а 8000 м - до 10,28 мин. На вираж на 4000 м уходило 25-26 с, а на 7400 м - 32-33 с, что по-прежнему было лучше, чем у других истребителей на таких высотах. Разбег ухудшился с 238 до 347 м, пробег пострадал незначительно. Несколько улучшилась скорость: у земли с 486 до 495 км/ч, а на высоте - с 636 до 640 км/ч, причем граница высотности поднялась еще на 200 м и достигла 7800 м. Удалось увеличить дальность полета до 820 км, что было лучше, чем у других советских истребителей, "Спитфайра" и "Мессершмитта" (при невыраба- тываемом остатке в 6,5% внутренней заправки). Однако в Акте по результатам Госиспытаний было отмечено, что "...полученная дальность на 143-180 километров менее заданной. Необходимо обязать НКАП обеспечить на самолете МиГ-3 дальность 1000 км". И эту задачу удалось решить. В апреле летчики Баулин и Сахранов на "пятиточечных" МиГ-3 (с пулеметами БК) показали нужную техническую дальность - самолет N9 2592 пролетел 1100 км, а N9 2597 - 970 км, что было в допуске.</w:t>
      </w:r>
    </w:p>
    <w:p w14:paraId="2E346C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Из-за падения давления масла не удалось подняться выше 8000 м, а на малой высоте мотор медленно набирал обороты. Отказы АМ-35А оставались удручающе частыми. 27 февраля 1941 г. Госиспытания МиГ-3 завершились, но на следующий день при облете МиГ-1 на Центральном аэродроме погиб летчик Афанасьев, совершивший неудачную вынужденную посадку с вышедшим из строя двигателем. Осколки разрушившегося нагнетателя мотора АМ-35А головного МиГ-3 12 марта убили летчика-испытателя Екатова. При подготовке к первомайскому</w:t>
      </w:r>
    </w:p>
    <w:p w14:paraId="2C440B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параду 28 апреля на МиГ-1 погиб заводской летчик Кулешов - срезались бронзовые зубья шестерни валика газораспределителя АМ-35А № 9ЕА03117... В мае полеты МиГ-3 в 16-м ИАП пришлось остановить из-за неудовлетворительной работы моторов. А полк был на особом контроле - в нем служил Василий Сталин...(11938).</w:t>
      </w:r>
    </w:p>
    <w:p w14:paraId="4989792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9F9BE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1940 вышло постановление Правительства "Об обеспечении производства самолетов на заводе 450 и работы стройтрестов 8 и 26" по организации производства ПБ-100 на 450 заводе (1315,200).</w:t>
      </w:r>
    </w:p>
    <w:p w14:paraId="3CFB41B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E1423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1940 закончились заводские испытания СС МВ-6 (Аист) О.К.А., которые начались 15 октября 1940 и начались его гос. испытания (2090,232).</w:t>
      </w:r>
    </w:p>
    <w:p w14:paraId="35B13CE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B79BB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15 декабря 1940 года Постановлением СНК и ЦК ВКП(б) № 2533-1134сс на завод “Коммунар” в Запорожье возложено задание по производству бронекорпусов самолетов ИЛ-2. Размещение этого задания намечено на площадях, занимаемых в настоящее время ремонтом самолетов Р-5 (4165,222).</w:t>
      </w:r>
    </w:p>
    <w:p w14:paraId="381F462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6B03A9D"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 декабря 1940 – протокол Политбюро</w:t>
      </w:r>
    </w:p>
    <w:p w14:paraId="11C59186"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ПБ 13.XII.40 г.</w:t>
      </w:r>
    </w:p>
    <w:p w14:paraId="636C7827"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205. Об изменениях в выпуске типов моторов по заводам № 384 и 19 (постановление СНК СССР и ЦК ВКП(б)). — ОП.</w:t>
      </w:r>
    </w:p>
    <w:p w14:paraId="534A4C07"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206. Вопрос завода № 26 НКАП (постановление СНК СССР и ЦК ВКП(б)). — ОП.</w:t>
      </w:r>
    </w:p>
    <w:p w14:paraId="64539CE8"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207. Вопросы Наркомата авиационной промышленности (постановление СНК СССР и ЦК ВКП(б)) (20468).</w:t>
      </w:r>
    </w:p>
    <w:p w14:paraId="76B74D7D" w14:textId="77777777" w:rsidR="000F26CA" w:rsidRPr="00A3026E" w:rsidRDefault="000F26CA" w:rsidP="00A3026E">
      <w:pPr>
        <w:spacing w:after="0" w:line="240" w:lineRule="auto"/>
        <w:jc w:val="both"/>
        <w:rPr>
          <w:rFonts w:ascii="Times New Roman" w:hAnsi="Times New Roman"/>
          <w:color w:val="0070C0"/>
          <w:sz w:val="16"/>
          <w:szCs w:val="16"/>
        </w:rPr>
      </w:pPr>
    </w:p>
    <w:p w14:paraId="0F00CE9B"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15 декабря 1940 вышло </w:t>
      </w:r>
      <w:r w:rsidRPr="00A3026E">
        <w:rPr>
          <w:rFonts w:ascii="Times New Roman" w:hAnsi="Times New Roman"/>
          <w:color w:val="0070C0"/>
          <w:sz w:val="16"/>
          <w:szCs w:val="16"/>
          <w:shd w:val="clear" w:color="auto" w:fill="FFFFFF"/>
        </w:rPr>
        <w:t>Постановление Политбюро ЦК ВКП(б) о серийном выпуске моторов М-105 на заводе № 27 НКАП (пр. № 24/24-оп за 14 декабря 1940 г. - 2 января 1941 г., п. 3) (22102).</w:t>
      </w:r>
    </w:p>
    <w:p w14:paraId="2D02DC70" w14:textId="77777777" w:rsidR="000F26CA" w:rsidRPr="00A3026E" w:rsidRDefault="000F26CA" w:rsidP="00A3026E">
      <w:pPr>
        <w:spacing w:after="0" w:line="240" w:lineRule="auto"/>
        <w:jc w:val="both"/>
        <w:rPr>
          <w:rFonts w:ascii="Times New Roman" w:hAnsi="Times New Roman"/>
          <w:color w:val="0070C0"/>
          <w:sz w:val="16"/>
          <w:szCs w:val="16"/>
        </w:rPr>
      </w:pPr>
    </w:p>
    <w:p w14:paraId="61CF7D24"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15 декабря 1940 вышло </w:t>
      </w:r>
      <w:r w:rsidRPr="00A3026E">
        <w:rPr>
          <w:rFonts w:ascii="Times New Roman" w:hAnsi="Times New Roman"/>
          <w:color w:val="0070C0"/>
          <w:sz w:val="16"/>
          <w:szCs w:val="16"/>
          <w:shd w:val="clear" w:color="auto" w:fill="FFFFFF"/>
        </w:rPr>
        <w:t>Постановление Политбюро ЦК ВКП(б) о серийном выпуске моторов М-105 на заводе № 27 НКАП (пр. № 24/24-оп за 14 декабря 1940 г. - 2 января 1941 г., п. 3) (22103).</w:t>
      </w:r>
    </w:p>
    <w:p w14:paraId="7000C0B7" w14:textId="77777777" w:rsidR="000F26CA" w:rsidRPr="00A3026E" w:rsidRDefault="000F26CA" w:rsidP="00A3026E">
      <w:pPr>
        <w:spacing w:after="0" w:line="240" w:lineRule="auto"/>
        <w:jc w:val="both"/>
        <w:rPr>
          <w:rFonts w:ascii="Times New Roman" w:hAnsi="Times New Roman"/>
          <w:color w:val="0070C0"/>
          <w:sz w:val="16"/>
          <w:szCs w:val="16"/>
        </w:rPr>
      </w:pPr>
    </w:p>
    <w:p w14:paraId="67EE293C"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 декабря 1940 вышло Постановление Политбюро ЦК ВКП(б) "Об организации завода по производству средств вооружений для боевых самолетов в Днепропетровске" (пр. № 24/24-оп за 14 декабря 1940 г. - 2 января 1941 г., п. 4)</w:t>
      </w:r>
    </w:p>
    <w:p w14:paraId="36B0CD45"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Об организации завода по производству средств вооружений для боевых самолетов в Днепропетровске.</w:t>
      </w:r>
    </w:p>
    <w:p w14:paraId="37BFAE2D"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 СНК СССР и ЦК ВКП(б)).</w:t>
      </w:r>
    </w:p>
    <w:p w14:paraId="4F89D395"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Совет Народных Комиссаров Союза ССР и Центральный Комитет ВКП(б) постановляют:</w:t>
      </w:r>
    </w:p>
    <w:p w14:paraId="7586CFCC"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Организовать в Днепропетровске ни базе цехи шир</w:t>
      </w:r>
      <w:r w:rsidRPr="00A3026E">
        <w:rPr>
          <w:rFonts w:ascii="Times New Roman" w:hAnsi="Times New Roman"/>
          <w:color w:val="0070C0"/>
          <w:sz w:val="16"/>
          <w:szCs w:val="16"/>
        </w:rPr>
        <w:softHyphen/>
        <w:t>потреба завода имени Петровского Наркомчермета СССР за</w:t>
      </w:r>
      <w:r w:rsidRPr="00A3026E">
        <w:rPr>
          <w:rFonts w:ascii="Times New Roman" w:hAnsi="Times New Roman"/>
          <w:color w:val="0070C0"/>
          <w:sz w:val="16"/>
          <w:szCs w:val="16"/>
        </w:rPr>
        <w:softHyphen/>
        <w:t>вод по производству средств вооружений для боевых самоле</w:t>
      </w:r>
      <w:r w:rsidRPr="00A3026E">
        <w:rPr>
          <w:rFonts w:ascii="Times New Roman" w:hAnsi="Times New Roman"/>
          <w:color w:val="0070C0"/>
          <w:sz w:val="16"/>
          <w:szCs w:val="16"/>
        </w:rPr>
        <w:softHyphen/>
        <w:t>тов .</w:t>
      </w:r>
    </w:p>
    <w:p w14:paraId="4FDEA8B0"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Обязать Наркома черной металлургии тов. Тевосяна до 2О.ХП.с.г. передать цех ширпотреба завода имени Петровско</w:t>
      </w:r>
      <w:r w:rsidRPr="00A3026E">
        <w:rPr>
          <w:rFonts w:ascii="Times New Roman" w:hAnsi="Times New Roman"/>
          <w:color w:val="0070C0"/>
          <w:sz w:val="16"/>
          <w:szCs w:val="16"/>
        </w:rPr>
        <w:softHyphen/>
        <w:t>го Наркомату авиационной промышленности.</w:t>
      </w:r>
    </w:p>
    <w:p w14:paraId="2BFA5137"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Оборудование цеха ширпотреба, не могущее быть использовано для производства средств вооружения для самолетов, оставить Наркомчермету СССР.</w:t>
      </w:r>
    </w:p>
    <w:p w14:paraId="3D0A6653"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Обязать Наркома авиационной промышленности СССР тов. Шахурина немедленно приступить к организации завода в Днепропетровске по производству средств воооужения для боевых самолетов, обеспечив выпуск продукции завода в 1 квартале 1941 года.</w:t>
      </w:r>
    </w:p>
    <w:p w14:paraId="53045298"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Ответственность за своевременный ввод в эксплоатацию завода в Днепропетровске по производству средств воо</w:t>
      </w:r>
      <w:r w:rsidRPr="00A3026E">
        <w:rPr>
          <w:rFonts w:ascii="Times New Roman" w:hAnsi="Times New Roman"/>
          <w:color w:val="0070C0"/>
          <w:sz w:val="16"/>
          <w:szCs w:val="16"/>
        </w:rPr>
        <w:softHyphen/>
        <w:t>ружения для боевых самолетов возложить на Наркома авиа</w:t>
      </w:r>
      <w:r w:rsidRPr="00A3026E">
        <w:rPr>
          <w:rFonts w:ascii="Times New Roman" w:hAnsi="Times New Roman"/>
          <w:color w:val="0070C0"/>
          <w:sz w:val="16"/>
          <w:szCs w:val="16"/>
        </w:rPr>
        <w:softHyphen/>
        <w:t>ционной промышленности СССР тов. Шахурина и первого секретаря Днепропетровского горкома КП(б)У - т.Задионченко.</w:t>
      </w:r>
    </w:p>
    <w:p w14:paraId="67E18641"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Выписки посланы:</w:t>
      </w:r>
    </w:p>
    <w:p w14:paraId="51E8612D"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Т.т. Шахурину, Хрущеву, Вознесенскому, Мaленкову,</w:t>
      </w:r>
    </w:p>
    <w:p w14:paraId="5AE4D4F6"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Жданову, Зaдионченко, Тевосяну, Ворошилову, Чадаеву</w:t>
      </w:r>
    </w:p>
    <w:p w14:paraId="17CAC480" w14:textId="77777777" w:rsidR="000F26CA" w:rsidRPr="00A3026E" w:rsidRDefault="000F26CA" w:rsidP="00A3026E">
      <w:pPr>
        <w:spacing w:after="0" w:line="240" w:lineRule="auto"/>
        <w:jc w:val="both"/>
        <w:rPr>
          <w:rFonts w:ascii="Times New Roman" w:hAnsi="Times New Roman"/>
          <w:color w:val="0070C0"/>
          <w:sz w:val="16"/>
          <w:szCs w:val="16"/>
        </w:rPr>
      </w:pPr>
    </w:p>
    <w:p w14:paraId="58E121E3"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15 декабря 1940 – протокол Политбюро </w:t>
      </w:r>
    </w:p>
    <w:p w14:paraId="4FDDF4EE"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15.XII.40 г.</w:t>
      </w:r>
    </w:p>
    <w:p w14:paraId="110A24C8"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О заводе № 27 (постановление СНК СССР и ЦК ВКП(б)). — ОП.</w:t>
      </w:r>
    </w:p>
    <w:p w14:paraId="4D31C9B9"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Об организации завода по производству средств вооружения для боевых самолетов в Днепропетровске (постановление СНК СССР и ЦК ВКП(б)). — ОП.</w:t>
      </w:r>
    </w:p>
    <w:p w14:paraId="0A149979"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Об обеспечении производства авиамоторов и самолетов на заводах № 452 и 165 Наркомавиапрома (постановление СНК СССР и ЦК ВКП(б)). — ОП.</w:t>
      </w:r>
    </w:p>
    <w:p w14:paraId="53507393"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Об обеспечении производства самолетов на заводе № 450 и работы стройтрестов № 8 и № 26 (постановление СНК СССР и ЦК ВКП(б)). — ОП.</w:t>
      </w:r>
    </w:p>
    <w:p w14:paraId="506EA638"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Об обеспечении завода № 26 агрегатами для опытного мотора М-107П (постановление СНК СССР и ЦК ВКП(б)). — ОП.</w:t>
      </w:r>
    </w:p>
    <w:p w14:paraId="3FEB87B0"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Об обеспечении бронекорпусами самолетов Ил-2 (постановление СНК СССР и ЦК ВКП(б)). — ОП (20468).</w:t>
      </w:r>
    </w:p>
    <w:p w14:paraId="49C14081" w14:textId="77777777" w:rsidR="000F26CA" w:rsidRPr="00A3026E" w:rsidRDefault="000F26CA" w:rsidP="00A3026E">
      <w:pPr>
        <w:spacing w:after="0" w:line="240" w:lineRule="auto"/>
        <w:jc w:val="both"/>
        <w:rPr>
          <w:rFonts w:ascii="Times New Roman" w:hAnsi="Times New Roman"/>
          <w:color w:val="0070C0"/>
          <w:sz w:val="16"/>
          <w:szCs w:val="16"/>
        </w:rPr>
      </w:pPr>
    </w:p>
    <w:p w14:paraId="22D266F0" w14:textId="77777777" w:rsidR="00097788" w:rsidRPr="00A3026E" w:rsidRDefault="00097788"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15 декабря</w:t>
      </w:r>
      <w:r w:rsidRPr="00A3026E">
        <w:rPr>
          <w:rFonts w:ascii="Times New Roman" w:hAnsi="Times New Roman"/>
          <w:color w:val="000000" w:themeColor="text1"/>
          <w:sz w:val="16"/>
          <w:szCs w:val="16"/>
        </w:rPr>
        <w:t xml:space="preserve"> в 1940 году созданы 57-е авиационные мастерские, на базе которых работает Запорожское Государственное предприятие “МиГремонт” (14861).</w:t>
      </w:r>
    </w:p>
    <w:p w14:paraId="7CC3BDD4" w14:textId="77777777" w:rsidR="00097788" w:rsidRPr="00A3026E" w:rsidRDefault="00097788" w:rsidP="00A3026E">
      <w:pPr>
        <w:spacing w:after="0" w:line="240" w:lineRule="auto"/>
        <w:jc w:val="both"/>
        <w:rPr>
          <w:rFonts w:ascii="Times New Roman" w:hAnsi="Times New Roman"/>
          <w:color w:val="000000" w:themeColor="text1"/>
          <w:sz w:val="16"/>
          <w:szCs w:val="16"/>
        </w:rPr>
      </w:pPr>
    </w:p>
    <w:p w14:paraId="7C567A81"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15 декабря 1940 года пиростартер ПС-5 поступил в НИИ ВВС для войсковых испытаниях в гг. Клин и Орша (3333,15).)</w:t>
      </w:r>
    </w:p>
    <w:p w14:paraId="1CA696E2" w14:textId="77777777" w:rsidR="0014077F" w:rsidRPr="00A3026E" w:rsidRDefault="0014077F" w:rsidP="00A3026E">
      <w:pPr>
        <w:pStyle w:val="Iauiue"/>
        <w:jc w:val="both"/>
        <w:rPr>
          <w:color w:val="000000" w:themeColor="text1"/>
          <w:sz w:val="16"/>
          <w:szCs w:val="16"/>
        </w:rPr>
      </w:pPr>
    </w:p>
    <w:p w14:paraId="3DF724D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1940 Нач. ОКБ-15 НКВ Шпитальный писал письмо № 1296сс в КО при СНК Союза ССР тов. Лешукову (вход. № 24861 от 16 декабря 1940 г.):</w:t>
      </w:r>
    </w:p>
    <w:p w14:paraId="4D4DCDB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Ваших указаний и в дополнение к нашему письму от 11.ХП-1940 г. за № 1270сс, ОКБ-15 посылает Вам установочный чертеж 37 мм. мотор-пушки установленной в моторе М-105</w:t>
      </w:r>
      <w:r w:rsidRPr="00A3026E">
        <w:rPr>
          <w:rFonts w:ascii="Times New Roman" w:hAnsi="Times New Roman"/>
          <w:color w:val="000000" w:themeColor="text1"/>
          <w:sz w:val="16"/>
          <w:szCs w:val="16"/>
          <w:vertAlign w:val="superscript"/>
        </w:rPr>
        <w:t>-</w:t>
      </w:r>
      <w:r w:rsidRPr="00A3026E">
        <w:rPr>
          <w:rFonts w:ascii="Times New Roman" w:hAnsi="Times New Roman"/>
          <w:color w:val="000000" w:themeColor="text1"/>
          <w:sz w:val="16"/>
          <w:szCs w:val="16"/>
        </w:rPr>
        <w:t>.</w:t>
      </w:r>
    </w:p>
    <w:p w14:paraId="3CD9850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данные и характеристика 37 мм мотор-пушки нанесены на чертеже.</w:t>
      </w:r>
    </w:p>
    <w:p w14:paraId="7FD1231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Чертеж на 1 листе (4156,13).</w:t>
      </w:r>
    </w:p>
    <w:p w14:paraId="153B7F5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5B439DE6" w14:textId="77777777" w:rsidR="000F26CA" w:rsidRPr="00A3026E" w:rsidRDefault="000F26CA"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C0D5DB1" w14:textId="77777777" w:rsidR="000F26CA" w:rsidRPr="00A3026E" w:rsidRDefault="000F26CA" w:rsidP="00A3026E">
      <w:pPr>
        <w:spacing w:after="0" w:line="240" w:lineRule="auto"/>
        <w:jc w:val="both"/>
        <w:rPr>
          <w:rFonts w:ascii="Times New Roman" w:hAnsi="Times New Roman"/>
          <w:iCs/>
          <w:color w:val="000000" w:themeColor="text1"/>
          <w:sz w:val="16"/>
          <w:szCs w:val="16"/>
        </w:rPr>
      </w:pPr>
    </w:p>
    <w:p w14:paraId="1706BA1E" w14:textId="77777777" w:rsidR="000F26CA" w:rsidRPr="00A3026E" w:rsidRDefault="000F26C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shd w:val="clear" w:color="auto" w:fill="FFFFFF"/>
        </w:rPr>
        <w:t>15 декабря 1940 года вышла заметка в журнале Automotive Industries, из которой стало известно о работах по запуску в серию Bantam BRC. Впрочем, больше рассказывалось о Ford Pigmy, причем так, как будто эта машина, реально проигравшая совместные испытания, идет в крупную серию. Об этом генерал-майор И. П. Тягунов, начальник Автотракторного управления Красной армии, не знал. Именно он являлся инициатором разработки аналога Ford Pigmy, больше того, тема ГАЗ-64, а затем и НАТИ-АР, именовалась как "автомобиль "Пигмей"". В заметке, ставшей отправной точкой при создании советских "Пигмеев", четко говорилось, что создается машина как аналог мотоциклов с коляской. То есть разрабатывалась она как автомобиль-разведчик (21327).</w:t>
      </w:r>
    </w:p>
    <w:p w14:paraId="781EC319" w14:textId="77777777" w:rsidR="000F26CA" w:rsidRPr="00A3026E" w:rsidRDefault="000F26CA" w:rsidP="00A3026E">
      <w:pPr>
        <w:spacing w:after="0" w:line="240" w:lineRule="auto"/>
        <w:jc w:val="both"/>
        <w:rPr>
          <w:rFonts w:ascii="Times New Roman" w:hAnsi="Times New Roman"/>
          <w:color w:val="0070C0"/>
          <w:sz w:val="16"/>
          <w:szCs w:val="16"/>
        </w:rPr>
      </w:pPr>
    </w:p>
    <w:p w14:paraId="26904A87"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0887D970"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5EAD60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15 декабря 1940 по 9 февраля 1941 англичане нанесли поражение итальянской армии в Египте (2244,8).</w:t>
      </w:r>
    </w:p>
    <w:p w14:paraId="3C5FAF4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DD47E5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декабря 1940 гитлеровцы устроили торжественную церемонию возврата в Париж останков французского императора Наполеона II (4962).</w:t>
      </w:r>
    </w:p>
    <w:p w14:paraId="1BFF2B3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2728C600" w14:textId="77777777" w:rsidR="00391CB8" w:rsidRPr="00A3026E" w:rsidRDefault="00391CB8"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240C79D" w14:textId="77777777" w:rsidR="00391CB8" w:rsidRPr="00A3026E" w:rsidRDefault="00391CB8" w:rsidP="00A3026E">
      <w:pPr>
        <w:spacing w:after="0" w:line="240" w:lineRule="auto"/>
        <w:jc w:val="both"/>
        <w:rPr>
          <w:rFonts w:ascii="Times New Roman" w:hAnsi="Times New Roman"/>
          <w:iCs/>
          <w:color w:val="000000" w:themeColor="text1"/>
          <w:sz w:val="16"/>
          <w:szCs w:val="16"/>
        </w:rPr>
      </w:pPr>
    </w:p>
    <w:p w14:paraId="6A36B52A" w14:textId="77777777" w:rsidR="00391CB8" w:rsidRPr="00A3026E" w:rsidRDefault="00391CB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первой половине декабря 1940 г. при непосредственном участии инженеров НИИ-48 по принятой технологии в отделе «700» было изготовлено 40 корпусов танка Т-34. При проверке этих корпусов было установлено, что в соединениях бортов с деталями носа и днищами подкрылков надрывы полностью отсутствовали, в то время как до перевода этих соединений на сварку аустенитными электродами надрывы образовывались в больших количествах практически на каждом корпусе. При тщательном осмотре на 40 корпусах было обнаружено всего 18 небольших надрывов, располагавшихся на верхних листах носа (деталь 34.29.904-1). Появление этих надрывов специалистами НИИ-48 было объяснено так: </w:t>
      </w:r>
    </w:p>
    <w:p w14:paraId="4FD0F203" w14:textId="77777777" w:rsidR="00391CB8" w:rsidRPr="00A3026E" w:rsidRDefault="00391CB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деталь носа находится в весьма неблагоприятных в смысле сварки условиях, а именно на ее плоскости имеется очень большое количество всякого рода приварок и вварок. Кроме того, она обваривается еще по всему контуру. Такое значительное количество сварки в очень сильной степени напрягает деталь и приводит к возникновению надрывов в зоне сварки».</w:t>
      </w:r>
    </w:p>
    <w:p w14:paraId="1DE12A32" w14:textId="77777777" w:rsidR="00391CB8" w:rsidRPr="00A3026E" w:rsidRDefault="00391CB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157. Л. 136]</w:t>
      </w:r>
    </w:p>
    <w:p w14:paraId="621C701E" w14:textId="77777777" w:rsidR="00391CB8" w:rsidRPr="00A3026E" w:rsidRDefault="00391CB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ликвидации надрывов на верхнем листе носа корпуса танка Т-34 инженерами НИИ-48 было предложено заводу № 183 отменить обварку буксирных рымов и пересмотреть конструкцию лабиринтового уплотнения крышки люка механика-водителя, отказавшись от приварки защитных планок. </w:t>
      </w:r>
    </w:p>
    <w:p w14:paraId="78061253" w14:textId="77777777" w:rsidR="00391CB8" w:rsidRPr="00A3026E" w:rsidRDefault="00391CB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в результате совместной работы инженеров бригады НИИ-48 и специалистов отдела «700» завода № 183, проведенной в период с 1 ноября по 16 декабря 1940 г., в технологию сварки корпуса танка Т-34 были внесены значительные изменения. При изготовлении корпусов «тридцатьчетвёрки» в серийном производстве были отменены предварительная наплавка металла на кромки свариваемых броневых деталей. Наиболее ответственные соединения лобовых и бортовых листов корпуса были переведены на сварку аустенитными электродами марки «25-12», делающими сварные соединения более прочными и снижающими склонность брони к образованию надрывов в зонах термического влияния сварки. Так же были изменены технические условия на изготовление электродов марки «МД» в сторону уменьшения содержания углерода, влиявшего на вероятность возникновения надрывов. Так, в 1940 г. содержание углерода в электродах «МД» было снижено до 0,23 % по верхнему пределу, а в 1941 году – до 0,16 %. </w:t>
      </w:r>
    </w:p>
    <w:p w14:paraId="1BF9FBC8" w14:textId="77777777" w:rsidR="00391CB8" w:rsidRPr="00A3026E" w:rsidRDefault="00391CB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Следует отметить, что до приезда специалистов НИИ-48 сварка аустенитными электродами на заводе № 183 в серийном производстве не применялась, и соответственно сварщики отдела «700» не имели необходимой квалификации для работы с ними. Для внедрения в производство технологии сварки броневых конструкций с помощью аустенитных электродов, бригадой НИИ-48 совместно с руководством завода № 183 были организованы и проведены следующие мероприятия: </w:t>
      </w:r>
    </w:p>
    <w:p w14:paraId="603CE46C" w14:textId="77777777" w:rsidR="00391CB8" w:rsidRPr="00A3026E" w:rsidRDefault="00391CB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Составлены технологические процессы сварки узлов, переводимых на сварку аустенитными электродами. </w:t>
      </w:r>
    </w:p>
    <w:p w14:paraId="1B13E8FD" w14:textId="77777777" w:rsidR="00391CB8" w:rsidRPr="00A3026E" w:rsidRDefault="00391CB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Под руководством бригады и при ее практической помощи заводом полностью освоено производство обмазанных электродов по технологическим условиям и технологическому процессу, разработанным бригадой НИИ-48. </w:t>
      </w:r>
    </w:p>
    <w:p w14:paraId="65DDFF02" w14:textId="77777777" w:rsidR="00391CB8" w:rsidRPr="00A3026E" w:rsidRDefault="00391CB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Составлены программа по обучению сварщиков завода аустенитными электродами и инструкция по их испытанию. </w:t>
      </w:r>
    </w:p>
    <w:p w14:paraId="108CEC69" w14:textId="77777777" w:rsidR="00391CB8" w:rsidRPr="00A3026E" w:rsidRDefault="00391CB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Обучено 52 сварщика завода сварке аустенитными электродами. Обученные сварщики были подвергнуты квалификационной комиссией испытаниям и все выдержали испытания».</w:t>
      </w:r>
    </w:p>
    <w:p w14:paraId="09563537" w14:textId="77777777" w:rsidR="00391CB8" w:rsidRPr="00A3026E" w:rsidRDefault="00391CB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157. Л. 135] (18206).</w:t>
      </w:r>
    </w:p>
    <w:p w14:paraId="4B4433E1" w14:textId="77777777" w:rsidR="00391CB8" w:rsidRPr="00A3026E" w:rsidRDefault="00391CB8" w:rsidP="00A3026E">
      <w:pPr>
        <w:spacing w:after="0" w:line="240" w:lineRule="auto"/>
        <w:jc w:val="both"/>
        <w:rPr>
          <w:rFonts w:ascii="Times New Roman" w:hAnsi="Times New Roman"/>
          <w:color w:val="000000" w:themeColor="text1"/>
          <w:sz w:val="16"/>
          <w:szCs w:val="16"/>
        </w:rPr>
      </w:pPr>
    </w:p>
    <w:p w14:paraId="128721B9"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52567A8"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670693BC" w14:textId="77777777" w:rsidR="00EB6F04" w:rsidRPr="00A3026E" w:rsidRDefault="00EB6F04" w:rsidP="00A3026E">
      <w:pPr>
        <w:pStyle w:val="ae"/>
        <w:shd w:val="clear" w:color="auto" w:fill="FFFFFF"/>
        <w:spacing w:before="0" w:after="0"/>
        <w:jc w:val="both"/>
        <w:rPr>
          <w:color w:val="000000" w:themeColor="text1"/>
          <w:sz w:val="16"/>
          <w:szCs w:val="16"/>
        </w:rPr>
      </w:pPr>
      <w:r w:rsidRPr="00A3026E">
        <w:rPr>
          <w:color w:val="000000" w:themeColor="text1"/>
          <w:sz w:val="16"/>
          <w:szCs w:val="16"/>
        </w:rPr>
        <w:t>С середины декабря 1940 ОКБ-16 в авральном порядке дорабатывает пушку МП-6 под ленту. В этой работе Таубина с одной стороны "подгонял" Нарком вооружения Б. Л. Ванников, с другой - конструктор штурмовика БШ-2 С. В. Ильюшин, нуждающийся в доработке места для пушки в крыле самолета. К 27 декабря 1940 г. штурмовик БШ-2 был готов, но пушки МП-6 с ленточным питанием по-прежнему не было. Тогда Ильюшин принял решение ставить на штурмовик пушку МП-6 с магазином и в этом виде готовить его к государственным испытаниям, назначенным на 10 января 1941 г. МП-6 с ленточным питанием удалось изготовить в первых числах января, буквально накануне испытаний. С 10 по 22 января состоялись сравнительные испытания пушек ВЯ и МП-6 с ленточным питанием на двух БШ-2 и обе пушки прошли их успешно. Но Ильюшин выбрал для штурмовика пушку ВЯ, мотивировав свое решение меньшим значением усилия её отдачи (19193).</w:t>
      </w:r>
    </w:p>
    <w:p w14:paraId="025E8F3B" w14:textId="77777777" w:rsidR="00EB6F04" w:rsidRPr="00A3026E" w:rsidRDefault="00EB6F04" w:rsidP="00A3026E">
      <w:pPr>
        <w:pStyle w:val="ae"/>
        <w:shd w:val="clear" w:color="auto" w:fill="FFFFFF"/>
        <w:spacing w:before="0" w:after="0"/>
        <w:jc w:val="both"/>
        <w:rPr>
          <w:color w:val="000000" w:themeColor="text1"/>
          <w:sz w:val="16"/>
          <w:szCs w:val="16"/>
        </w:rPr>
      </w:pPr>
    </w:p>
    <w:p w14:paraId="00A98E8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середины де</w:t>
      </w:r>
      <w:r w:rsidRPr="00A3026E">
        <w:rPr>
          <w:rFonts w:ascii="Times New Roman" w:hAnsi="Times New Roman"/>
          <w:color w:val="000000" w:themeColor="text1"/>
          <w:sz w:val="16"/>
          <w:szCs w:val="16"/>
        </w:rPr>
        <w:softHyphen/>
        <w:t>кабря 1940 г., постепенно затухая, продолжалось производство И-180. Немалую роль в отка</w:t>
      </w:r>
      <w:r w:rsidRPr="00A3026E">
        <w:rPr>
          <w:rFonts w:ascii="Times New Roman" w:hAnsi="Times New Roman"/>
          <w:color w:val="000000" w:themeColor="text1"/>
          <w:sz w:val="16"/>
          <w:szCs w:val="16"/>
        </w:rPr>
        <w:softHyphen/>
        <w:t>зе от этой машины сыграло муссировавшееся мнение директора завода № 21 о якобы сложной конструкции И-180, неверие в перспективы дальнейшего развития машины с мотором воздушного охлаждения. Существовал и еще один субъективный фактор. К этому времени Николай Николаевич завершил проектирование и начал постройку нового опытного истре</w:t>
      </w:r>
      <w:r w:rsidRPr="00A3026E">
        <w:rPr>
          <w:rFonts w:ascii="Times New Roman" w:hAnsi="Times New Roman"/>
          <w:color w:val="000000" w:themeColor="text1"/>
          <w:sz w:val="16"/>
          <w:szCs w:val="16"/>
        </w:rPr>
        <w:softHyphen/>
        <w:t>бителя И-185 с гораздо более высокими летными харак</w:t>
      </w:r>
      <w:r w:rsidRPr="00A3026E">
        <w:rPr>
          <w:rFonts w:ascii="Times New Roman" w:hAnsi="Times New Roman"/>
          <w:color w:val="000000" w:themeColor="text1"/>
          <w:sz w:val="16"/>
          <w:szCs w:val="16"/>
        </w:rPr>
        <w:softHyphen/>
        <w:t>теристиками. Стали считать, что при наличии И-185 строить И-180 бессмысленно, забывая о времени, необ</w:t>
      </w:r>
      <w:r w:rsidRPr="00A3026E">
        <w:rPr>
          <w:rFonts w:ascii="Times New Roman" w:hAnsi="Times New Roman"/>
          <w:color w:val="000000" w:themeColor="text1"/>
          <w:sz w:val="16"/>
          <w:szCs w:val="16"/>
        </w:rPr>
        <w:softHyphen/>
        <w:t>ходимом на подготовку производства. Имел ли ЛаГГ-3 существенное превосходство над И-180? На этот вопрос следует ответить отрицательно. Даже беглый анализ летных характеристик свидетельст</w:t>
      </w:r>
      <w:r w:rsidRPr="00A3026E">
        <w:rPr>
          <w:rFonts w:ascii="Times New Roman" w:hAnsi="Times New Roman"/>
          <w:color w:val="000000" w:themeColor="text1"/>
          <w:sz w:val="16"/>
          <w:szCs w:val="16"/>
        </w:rPr>
        <w:softHyphen/>
        <w:t>вует о том, что на высотах свыше 5000 м И-180 превос</w:t>
      </w:r>
      <w:r w:rsidRPr="00A3026E">
        <w:rPr>
          <w:rFonts w:ascii="Times New Roman" w:hAnsi="Times New Roman"/>
          <w:color w:val="000000" w:themeColor="text1"/>
          <w:sz w:val="16"/>
          <w:szCs w:val="16"/>
        </w:rPr>
        <w:softHyphen/>
        <w:t>ходил по скорости истребители Як-1 и ЛаГГ-3 образца 1941 г. К тому же из новых советских истребителей 1940 г. И-180 оказался одним из самых легких: его по</w:t>
      </w:r>
      <w:r w:rsidRPr="00A3026E">
        <w:rPr>
          <w:rFonts w:ascii="Times New Roman" w:hAnsi="Times New Roman"/>
          <w:color w:val="000000" w:themeColor="text1"/>
          <w:sz w:val="16"/>
          <w:szCs w:val="16"/>
        </w:rPr>
        <w:softHyphen/>
        <w:t>летный вес составлял 2256-2400 кг, чем обеспечивалась неплохая маневренность. Время набора высоты 5000 м у И-180 было наименьшим по сравнению с другими ма</w:t>
      </w:r>
      <w:r w:rsidRPr="00A3026E">
        <w:rPr>
          <w:rFonts w:ascii="Times New Roman" w:hAnsi="Times New Roman"/>
          <w:color w:val="000000" w:themeColor="text1"/>
          <w:sz w:val="16"/>
          <w:szCs w:val="16"/>
        </w:rPr>
        <w:softHyphen/>
        <w:t>шинами. В целом, И-180 превосходил немецкий истре</w:t>
      </w:r>
      <w:r w:rsidRPr="00A3026E">
        <w:rPr>
          <w:rFonts w:ascii="Times New Roman" w:hAnsi="Times New Roman"/>
          <w:color w:val="000000" w:themeColor="text1"/>
          <w:sz w:val="16"/>
          <w:szCs w:val="16"/>
        </w:rPr>
        <w:softHyphen/>
        <w:t>битель Мессершмитт ВГ-109Е-3, немного уступая в скорости новейшей модификации Р-4. Первые серийные экземпляры ЛаГГ-3 не отлича</w:t>
      </w:r>
      <w:r w:rsidRPr="00A3026E">
        <w:rPr>
          <w:rFonts w:ascii="Times New Roman" w:hAnsi="Times New Roman"/>
          <w:color w:val="000000" w:themeColor="text1"/>
          <w:sz w:val="16"/>
          <w:szCs w:val="16"/>
        </w:rPr>
        <w:softHyphen/>
        <w:t>лись лучшей надежностью, чем И-180; по данным ВВС ЛаГГ-3 имел 101 неустраненный дефект. Впрочем, с истребителями других конструкторов положение вряд ли было лучше. В документах ВВС указывалось: «Самолет ЯК-1 запущен в серийное производство не</w:t>
      </w:r>
      <w:r w:rsidRPr="00A3026E">
        <w:rPr>
          <w:rFonts w:ascii="Times New Roman" w:hAnsi="Times New Roman"/>
          <w:color w:val="000000" w:themeColor="text1"/>
          <w:sz w:val="16"/>
          <w:szCs w:val="16"/>
        </w:rPr>
        <w:softHyphen/>
        <w:t>доведенным. В процессе заводских и государственных испытаний по состоянию на 1 декабря 1940 г. было вы</w:t>
      </w:r>
      <w:r w:rsidRPr="00A3026E">
        <w:rPr>
          <w:rFonts w:ascii="Times New Roman" w:hAnsi="Times New Roman"/>
          <w:color w:val="000000" w:themeColor="text1"/>
          <w:sz w:val="16"/>
          <w:szCs w:val="16"/>
        </w:rPr>
        <w:softHyphen/>
        <w:t>явлено 114 дефектов». Имел ли И-180 перспективы развития? Безусловно. Уже в 1941 г. началась постройка форсированного мото</w:t>
      </w:r>
      <w:r w:rsidRPr="00A3026E">
        <w:rPr>
          <w:rFonts w:ascii="Times New Roman" w:hAnsi="Times New Roman"/>
          <w:color w:val="000000" w:themeColor="text1"/>
          <w:sz w:val="16"/>
          <w:szCs w:val="16"/>
        </w:rPr>
        <w:softHyphen/>
        <w:t>ра М-88Ф (взлетная мощность 1250 л.с. вместо 1100 л.с.), а во время войны удалось создать новый мотор М-89, развивавший при тех же габаритах мощность 1300 л.с. на высоте 6000 м. С последним максимальная скорость И-180 даже без улучшения аэродинамики могла увели</w:t>
      </w:r>
      <w:r w:rsidRPr="00A3026E">
        <w:rPr>
          <w:rFonts w:ascii="Times New Roman" w:hAnsi="Times New Roman"/>
          <w:color w:val="000000" w:themeColor="text1"/>
          <w:sz w:val="16"/>
          <w:szCs w:val="16"/>
        </w:rPr>
        <w:softHyphen/>
        <w:t>читься до 630-650 км/ч. Скороподъемность И-180 была едва ли не самой вы</w:t>
      </w:r>
      <w:r w:rsidRPr="00A3026E">
        <w:rPr>
          <w:rFonts w:ascii="Times New Roman" w:hAnsi="Times New Roman"/>
          <w:color w:val="000000" w:themeColor="text1"/>
          <w:sz w:val="16"/>
          <w:szCs w:val="16"/>
        </w:rPr>
        <w:softHyphen/>
        <w:t>сокой из машин той эпохи и могла быть также повыше</w:t>
      </w:r>
      <w:r w:rsidRPr="00A3026E">
        <w:rPr>
          <w:rFonts w:ascii="Times New Roman" w:hAnsi="Times New Roman"/>
          <w:color w:val="000000" w:themeColor="text1"/>
          <w:sz w:val="16"/>
          <w:szCs w:val="16"/>
        </w:rPr>
        <w:softHyphen/>
        <w:t>на при установке форсированных моторов. Вместо пулеметов УБС было вполне возможно установить син</w:t>
      </w:r>
      <w:r w:rsidRPr="00A3026E">
        <w:rPr>
          <w:rFonts w:ascii="Times New Roman" w:hAnsi="Times New Roman"/>
          <w:color w:val="000000" w:themeColor="text1"/>
          <w:sz w:val="16"/>
          <w:szCs w:val="16"/>
        </w:rPr>
        <w:softHyphen/>
        <w:t>хронные 20-мм пушки. Словом, И-180 являлся перспек</w:t>
      </w:r>
      <w:r w:rsidRPr="00A3026E">
        <w:rPr>
          <w:rFonts w:ascii="Times New Roman" w:hAnsi="Times New Roman"/>
          <w:color w:val="000000" w:themeColor="text1"/>
          <w:sz w:val="16"/>
          <w:szCs w:val="16"/>
        </w:rPr>
        <w:softHyphen/>
        <w:t>тивным боевым самолетом, в котором остро нуждались Военно-воздушные Силы СССР. И-180 из войсковой серии (№25213) был передан в качестве учебного пособия ленинградскому военному авиационному училищу им. В.М.Молотова. Один из ве</w:t>
      </w:r>
      <w:r w:rsidRPr="00A3026E">
        <w:rPr>
          <w:rFonts w:ascii="Times New Roman" w:hAnsi="Times New Roman"/>
          <w:color w:val="000000" w:themeColor="text1"/>
          <w:sz w:val="16"/>
          <w:szCs w:val="16"/>
        </w:rPr>
        <w:softHyphen/>
        <w:t>теранов авиации рассказывал, что в критические дни обороны Ленинграда по приказу ко</w:t>
      </w:r>
      <w:r w:rsidRPr="00A3026E">
        <w:rPr>
          <w:rFonts w:ascii="Times New Roman" w:hAnsi="Times New Roman"/>
          <w:color w:val="000000" w:themeColor="text1"/>
          <w:sz w:val="16"/>
          <w:szCs w:val="16"/>
        </w:rPr>
        <w:softHyphen/>
        <w:t>мандующего фронтом Жукова вся находящаяся в тылу техника приводилась в боеготовное состояние и отправ</w:t>
      </w:r>
      <w:r w:rsidRPr="00A3026E">
        <w:rPr>
          <w:rFonts w:ascii="Times New Roman" w:hAnsi="Times New Roman"/>
          <w:color w:val="000000" w:themeColor="text1"/>
          <w:sz w:val="16"/>
          <w:szCs w:val="16"/>
        </w:rPr>
        <w:softHyphen/>
        <w:t>лялась на передовую. И-180 №25213 был доставлен на Комендантский аэродром. Замаскировать машину не успели и при очередном налете немецкой авиации само</w:t>
      </w:r>
      <w:r w:rsidRPr="00A3026E">
        <w:rPr>
          <w:rFonts w:ascii="Times New Roman" w:hAnsi="Times New Roman"/>
          <w:color w:val="000000" w:themeColor="text1"/>
          <w:sz w:val="16"/>
          <w:szCs w:val="16"/>
        </w:rPr>
        <w:softHyphen/>
        <w:t>лет был уничтожен. На этом завершилась история серийной постройки И-180, но не история самого истребителя. Николай Ни</w:t>
      </w:r>
      <w:r w:rsidRPr="00A3026E">
        <w:rPr>
          <w:rFonts w:ascii="Times New Roman" w:hAnsi="Times New Roman"/>
          <w:color w:val="000000" w:themeColor="text1"/>
          <w:sz w:val="16"/>
          <w:szCs w:val="16"/>
        </w:rPr>
        <w:softHyphen/>
        <w:t>колаевич продолжал работать над машиной. Он внес в предоставленный ему серийный И-180 необходимые из</w:t>
      </w:r>
      <w:r w:rsidRPr="00A3026E">
        <w:rPr>
          <w:rFonts w:ascii="Times New Roman" w:hAnsi="Times New Roman"/>
          <w:color w:val="000000" w:themeColor="text1"/>
          <w:sz w:val="16"/>
          <w:szCs w:val="16"/>
        </w:rPr>
        <w:softHyphen/>
        <w:t>менения, соответствующие эталону 1941 г. (Е-5) (10667).</w:t>
      </w:r>
    </w:p>
    <w:p w14:paraId="03CE489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BC458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середины декабря 1940 года продолжались попытки возобновить внедрение И-180 на заводе № 21, снятого с производства 9 сентября 1940. Завод не имел новой машины. НКАП предложил заводу № 21 рассмотреть вопрос о производстве истребителей МиГ-3. Горячим сторонником этой идеи был А.С. Яковлев, который предполагал тем самым освободить производственные мощности завода № 1 для своих собственных самолетов.</w:t>
      </w:r>
    </w:p>
    <w:p w14:paraId="568584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Против выступили конструктор А.И. Микоян, который не хотел связываться с руководством завода № 21, ибо хорошо знал историю создания И-180, а также директор завода №1 П.В. Дементьев, не желавший иметь проблемы, связанные с освоением новой машины. Свое слово сказали и представители ВВС, которые желали скорейшего насыщения частей новой техникой. Н.Н. Поликарпов писал А.С. Яковлеву 3 ноября 1940 года, что «работа по самолету И-180 начинает развертываться не только по войсковой, но и по первой и по второй сериям», и «основным вопросом, тормозящим окончание и облет самолетов И-180, является вопрос с мотором М-88». Он подчеркивал, что «совершенно необходимо в самом срочном порядке добиться получения на завод кондиционных моторов М-88 с тем, чтобы в ближайшее время начать облет законченных самолетов» (Иванов В. П. Указ. соч. С. 333, 335-337.).</w:t>
      </w:r>
    </w:p>
    <w:p w14:paraId="5B4B24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 временем конструкторы усиленно проводили доводку М-88, и их работа принесла свои плоды: моторы №№ 8821 – 8808 и 8820 прошли 100-часовые заводские испытания в период с 12-го по 20 октября 1940 года с удовлетворительным результатом. В результате Постановлением КО при СНК СССР № 422 сс от 13 ноября 1940 года НКАПу было разрешено «возобновить серийный выпуск моторов М-88 на заводе № 29». Это, кстати, не означает, что проблемы с М-88 разрешились. Например, 14 января 1941 года во время заводских испытаний разбился двухмоторный истребитель конструкции Таирова.</w:t>
      </w:r>
    </w:p>
    <w:p w14:paraId="6CC4B0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Причина – дефекты М-88. «Вообще же дела с моторами обстояли настолько плохо, что С.К. Туманского (разработчика М-88) хотели арестовать и уже сняли с должности главного конструктора завода № 29... Взамен С.К. Туманского главным конструктором завода стал Е.В. Урмин, который продолжил доводку моторов М-88...», – сообщал И. Султанов (Султанов И. Тяжелые истребители. ОКО-6. С. 23, 26.).</w:t>
      </w:r>
    </w:p>
    <w:p w14:paraId="50B5C7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Коллектив конструкторского бюро Н.Н. Поликарпова провел большую работу по совершенствованию истребителя. Ю. Гугля считал, что И-180 «превосходил по летным данным немецкий истребитель Bf-109Е и в перспективе мог обеспечить уровень не ниже Bf-109F» (Гугля Ю. А. Одномоторные истребители 1939-1945 гг. С. 13.).</w:t>
      </w:r>
    </w:p>
    <w:p w14:paraId="68B233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Буквально до последнего момента планировалось поставка И-180 в строевые части. Например, «Расчеты и обоснование на самолеты и моторы» 6-го отдела Управления авиации ВМФ РККА включали заявку на 100 истребителей типа «И-180 М-88» по плану заказа на 1941 год (РГАВМФ. Ф. Р-61. Оп. 7. Д. 143. Л. 1.). Однако в конце 1940 года было решено снять истребитель И-180 с серийного производства на заводе № 21 и запустить в широкую серию истребитель ЛаГГ (11672).</w:t>
      </w:r>
    </w:p>
    <w:p w14:paraId="177E726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8F68299"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53FD0A7D"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2D882E42"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середины декабря 1940 года до конца марта 1941 года проходили заводские испытания 57-мм танковой пушки на полевом лафете (3862).</w:t>
      </w:r>
    </w:p>
    <w:p w14:paraId="5C637371" w14:textId="77777777" w:rsidR="00EB6F04" w:rsidRPr="00A3026E" w:rsidRDefault="00EB6F04" w:rsidP="00A3026E">
      <w:pPr>
        <w:spacing w:after="0" w:line="240" w:lineRule="auto"/>
        <w:jc w:val="both"/>
        <w:rPr>
          <w:rFonts w:ascii="Times New Roman" w:hAnsi="Times New Roman"/>
          <w:color w:val="000000" w:themeColor="text1"/>
          <w:sz w:val="16"/>
          <w:szCs w:val="16"/>
        </w:rPr>
      </w:pPr>
    </w:p>
    <w:p w14:paraId="6E508B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середине декабря 1940 года на заводе имени Ильича возникли серьезные проблемы с броневым литьем для танков, о чем районный инженер ГАБТУ КА Зухер 20 декабря 1940 года докладывал начальнику управления генерал-лейтенанту Федоренко:</w:t>
      </w:r>
    </w:p>
    <w:p w14:paraId="22FAB7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литым башням. Решением Комитета обороны СССР заводу имени Ильича было предложено изготовить до конца года 300 башен литых, одновременно подготовить мощности по выпуску ежемесячно 200 башен.</w:t>
      </w:r>
    </w:p>
    <w:p w14:paraId="075F35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19 декабря завод имени Ильича приостановил дальнейшую отливку башен, так как не имеет никаких указаний. Директор завода № 183 т. Максарев заявил, что машины должны подвергнуться ряду серьезных изменений, в частности должна быть введена дополнительная башенка кругового обзора.</w:t>
      </w:r>
    </w:p>
    <w:p w14:paraId="6A9ABE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Прекращение производства литых башен чревато весьма серьезными последствиями, так как налаженное дело разваливается, а кадры подготовленных литейщиков приходится увольнять. На запросы завода 3 Главное управление НКСП (наркомата судостроительной промышленности, в состав которого входил Мариупольский завод. — Прим. автора) о разрешении дальнейшей отливки башен - ответа никакого нет. Завод дезорганизован.</w:t>
      </w:r>
    </w:p>
    <w:p w14:paraId="4D8A5A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Ваших решений по этому вопросу. Разрешите в декабре-феврале отлить еще 200 башен, то есть в пределах заданной годовой программы на 1940 год (775 штук), так и не выполненной заводом имени Ильича» (12217).</w:t>
      </w:r>
    </w:p>
    <w:p w14:paraId="4FD066E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907CBF0"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B2775E1"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03E1FB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16 декабря 1940 А.И.Ш. писал И.В.С. о моторах М-88 и М-89. В настоящее время изготовлено 4 М-89, но есть дефекты. В производстве - 10 моторов. заводские испытания предполагаются на ББ-1 5 января 1940, на ДБ-3Ф - к 20 января 1941, на машинах С.И.Кочеригина и В.К.Таирова - к 15 января. Моторов М-107 на 26 заводе было изготовлено 9 (1178).</w:t>
      </w:r>
    </w:p>
    <w:p w14:paraId="0F74718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1342C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1940 года Начальник НИИ ВВС генерал-майор авиации Филин утвердил Отчет об испытаниях самолета ДБ-3Ф 2М-88 с винтом ВИШ-23 № 390801 с обтекателем на МВ-3 и убирающимся костылем</w:t>
      </w:r>
    </w:p>
    <w:p w14:paraId="49AE19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371A39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1 ранга Платонов</w:t>
      </w:r>
    </w:p>
    <w:p w14:paraId="040EDE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капитан Сыроегин</w:t>
      </w:r>
    </w:p>
    <w:p w14:paraId="497A35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705142A7"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максимальные скорости по высотам у самолета ДБ-3Ф 2М-88 с винтом ВИШ-23 № 390801 с обтекателем на МВ-3 и убирающимся в полете костыльным колесом.</w:t>
      </w:r>
    </w:p>
    <w:p w14:paraId="7876FD32"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эксплуатационные качества системы пневматической уборки костыльного колеса.</w:t>
      </w:r>
    </w:p>
    <w:p w14:paraId="07DC632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обзор и обстрел пулеметной установки МВ-3 при установленном обтекателе.</w:t>
      </w:r>
    </w:p>
    <w:p w14:paraId="2CD55A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самолет является эталоном 1940 года прошедшим гос. испытания в НИИ ВВС в августе 1940 года.</w:t>
      </w:r>
    </w:p>
    <w:p w14:paraId="0FEFD1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гос. испытания самолета, на него завод № 39 установил обтекатель, который крепится к фюзеляжу являясь продолжением фонаря кабины летчика, простирается до пулеметной установки МВ-3. Кроме того, место тросового, установлено на самолете пневматическое управление уборкой костыля, включенное в общую систему уборки шасси.</w:t>
      </w:r>
    </w:p>
    <w:p w14:paraId="7E4B8E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33B8B7FB"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ДБ-3Ф устанавливать обтекатель для МВ-3 нецелесообразно, так как обтекатель не дает увеличения максимальной скорости самолету и уменьшает углы обстрела из МВ-3.</w:t>
      </w:r>
    </w:p>
    <w:p w14:paraId="5076E3A3"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Рекомендовать установку убирающегося костыля с пневматическим управлением на все выпускаемые самолеты ДБ-3Ф по испытанному образцу на самолете ДБ-3Ф 2М-88 № 390801 с обязательной установкой сигнализации для летчика положения костыля «выпущено и убрано».</w:t>
      </w:r>
    </w:p>
    <w:p w14:paraId="7C07BA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поступил на испытания 17 октября 1940 года</w:t>
      </w:r>
    </w:p>
    <w:p w14:paraId="4F9196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окончил испытание 29 октября 1940 года</w:t>
      </w:r>
    </w:p>
    <w:p w14:paraId="1F4A7E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испытания 12 дней, из них летные испытания 5 дней.</w:t>
      </w:r>
    </w:p>
    <w:p w14:paraId="07F1A8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самолета произведено 24 полета с общей продолжительностью 8 час. 20 мин. (4394).</w:t>
      </w:r>
    </w:p>
    <w:p w14:paraId="5CDEA86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4EFBD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1940 Дир. завода 81 Климовицкий и Нач. КБ Курбала писали НКАП А.И.Ш. письмо N 1889с:</w:t>
      </w:r>
    </w:p>
    <w:p w14:paraId="5C4108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приказах NN 500c и 685c по испытаниям пикирующего варианта ББ-22 с М-105 вкралась опечатка, указано "модификация и т Курбала".</w:t>
      </w:r>
    </w:p>
    <w:p w14:paraId="45DDF3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действительности модификация делалась по указанию ГК ББ-22 А.С.Я., поэтому просим исправить указанные опечатки - считать модификация ГК А.С.Я." (2455,248).</w:t>
      </w:r>
    </w:p>
    <w:p w14:paraId="6EE3767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7452D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1940 вышел приказ НКАП N 391cc (? - странный номер - должен был быть 700 какой-то) по результатам летных испытаний на И-153 N 6034 ПВРД ДМ-4 конструкции И.А.Меркулова. Всего с ДМ-2 и ДМ-4 выполнили 74 полета. Работа велась в отделе спец. конструкций завода им. Авиахима под руководством А.Я.Щербакова (366,47).</w:t>
      </w:r>
    </w:p>
    <w:p w14:paraId="23DDC94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E7E76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1940 года начальник 6 управления ГУ ВВС бригинженер Лапин писал письмо № 509078с зам. начальника ГУ ВВС генерал-лейтенанту авиации Астахову</w:t>
      </w:r>
    </w:p>
    <w:p w14:paraId="248DC1A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w:t>
      </w:r>
    </w:p>
    <w:p w14:paraId="6D4A7D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течении 14 и 15 декабря 1940 года при производстве полетов на 8 самолетах И-26 в Кубинке разрушились маслорадиаторы на 6 самолетах.</w:t>
      </w:r>
    </w:p>
    <w:p w14:paraId="5DC172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Разрушенные радиаторы 16 декабря 1940 года будут доставлены на завод № 34 для выявления причин повлекших к их разрушению.</w:t>
      </w:r>
    </w:p>
    <w:p w14:paraId="61587E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Войсковые испытания самолетов И-26 по причине разрушения маслорадиаторов приостановлены (7713, 389).</w:t>
      </w:r>
    </w:p>
    <w:p w14:paraId="1AFFD4E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396EAD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16 декабря 1940 года по 3 января 1941 года в НИИ ВВС 1-й экземпляр самолета связи типа «Аист» с мотором МВ-6, конструктор Антонов, завод № 23, проходил гос. испытания. Испытания выдержал (4048, 4).</w:t>
      </w:r>
    </w:p>
    <w:p w14:paraId="2FBC4D4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65ECF9A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1940 Нач. НИИ ВВС КА гма А.Филин писал письмо № 001919:</w:t>
      </w:r>
    </w:p>
    <w:p w14:paraId="4F324E3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СЕКРЕТАРЮ ЦК ВКП(б) тов. Маленкову</w:t>
      </w:r>
    </w:p>
    <w:p w14:paraId="57F05A7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ПРЕДСЕДАТЕЛЮ КО при СНК тов. Ворошилову</w:t>
      </w:r>
    </w:p>
    <w:p w14:paraId="3ACA8A8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НКАП т. А.И.Ш.</w:t>
      </w:r>
    </w:p>
    <w:p w14:paraId="0732137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 о ходе выполнения постановления СНК СССР и ЦК ВКП(б) № 2463-1097 от 6.Х1.40 года.</w:t>
      </w:r>
    </w:p>
    <w:p w14:paraId="2721D10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Параграф 4-ый, пункт "а" постановления обязывает НИИ ВВС Красной Ариая провести сравнительные испытания лопастей винтов ВИШ-61П и ВИШ-22 на немецких самолетах к 20 декабря 1940 года.</w:t>
      </w:r>
    </w:p>
    <w:p w14:paraId="575D3C6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Лопасти винта ВИШ-61П установлены на втулке немецкого винта VDM и испытываются ни истребительной самолете Мессершмтт-109.</w:t>
      </w:r>
    </w:p>
    <w:p w14:paraId="2EE432F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испытанию приступлено 13-го декабря 1940. До 16-го декабря про</w:t>
      </w:r>
      <w:r w:rsidRPr="00A3026E">
        <w:rPr>
          <w:rFonts w:ascii="Times New Roman" w:hAnsi="Times New Roman"/>
          <w:color w:val="000000" w:themeColor="text1"/>
          <w:sz w:val="16"/>
          <w:szCs w:val="16"/>
        </w:rPr>
        <w:softHyphen/>
        <w:t>ведено 4 полета (сняты скорости у земли на километровой базе, скоропдъемность до 3000 м и скорости по высотам 5000, 4000, 3000 и 2000 метров/. При наличии летной погоды, до 20 декабря с.г. испы</w:t>
      </w:r>
      <w:r w:rsidRPr="00A3026E">
        <w:rPr>
          <w:rFonts w:ascii="Times New Roman" w:hAnsi="Times New Roman"/>
          <w:color w:val="000000" w:themeColor="text1"/>
          <w:sz w:val="16"/>
          <w:szCs w:val="16"/>
        </w:rPr>
        <w:softHyphen/>
        <w:t>тания будут закончены.</w:t>
      </w:r>
    </w:p>
    <w:p w14:paraId="0383C98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Лопасти винта ВИШ-22 установлены на втулке винта VDM 13.ХП.40 г в Ногинске и 16-го декабря самолет Дорнье-15 передан в НИИ ВВС Красной Армии и взвешен. 17-го декабря будет приступлено к летным испытаниям винтов с лопастями ВИШ-22.</w:t>
      </w:r>
    </w:p>
    <w:p w14:paraId="71D728C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 же пунктом Постановления, НИИ ВВС Краснов Армии обязан провести к 20.ХП.40 г. испытание электроиеханического винта на самолете Як-3.</w:t>
      </w:r>
    </w:p>
    <w:p w14:paraId="6644CB0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испытаниям не приступлено.т.к. электромеханический винт ВЭИ-107 заводом № 28 еще не изготовлен. Завод № 28 предполагает закончить изготовление винта не раньше 17 декабря с. г. После этого винт должен будет пройти 20-ти часовое станковое испытание и потом будет передан на самолетный завод для установки на самолет Як-3.</w:t>
      </w:r>
    </w:p>
    <w:p w14:paraId="782E09A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обравои, самолет ЯК-3 с винтом ВЭМ-107 будет передан в НИИ ВВС Красной Армии на летные испытания не раньше 22-го декабря с.г., т.е. позже срока, установленного решением СНК СССР и ЦК ВКП(б) от 6-го декабря с.г. для окончания этих испытаний. В силу чего выполнение решения СНК СССР и ЦК ВКП(б) по этому пункту срывается.</w:t>
      </w:r>
    </w:p>
    <w:p w14:paraId="1934853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Параграф 4-ый, пункт "б" Постановления обязывает Наркома авиационной промышленности СССР (завод № I ) к 8 декабря 1940 года провести заводские летные испытания электромеханического винта типа ДМ на самолете И-153 с мотором М-63 и передать в НИИ ВВС Красной армии на государственные испытания, которые закончить к 25 декабря 1940 года.</w:t>
      </w:r>
    </w:p>
    <w:p w14:paraId="0EE8328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20 декабря 1940 года провести на заводе № 24 совместныв с НКО 100-часовые стендовые испытания электромеханического винта типа VДМ на моторе М-63.</w:t>
      </w:r>
    </w:p>
    <w:p w14:paraId="7CE735D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28 закончил 6 декабря заводские летные испытания винта ВЭИ-63 на самолета М-153 с мотором М-63 и после осмотра винта только 16 декабря с.г. посылает на завод № 1 для установки на самолет И-152 с мотором М-63.</w:t>
      </w:r>
    </w:p>
    <w:p w14:paraId="4D08656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И-153 с электромеханическим винтом ВЭМ-63 будет передан в НИИ ВВС Красной Армии на государственные летные испытанния не раньше 18 декабря с.г. При наличии летной погоды, до 25 декабря с.г. государственные летные испытания электромеханического винта ВЭМ-63 самолета И-153 будут закончены.</w:t>
      </w:r>
    </w:p>
    <w:p w14:paraId="5627B99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Электромеханический винт ВЭМ-63, предназначенный для совместных стендовых испытаний на заводе № 24, к 20 докабр с.г. не закончен изготовлением (завод "Шарикоподшипник" изготовил до 16 декабря подшипники).</w:t>
      </w:r>
    </w:p>
    <w:p w14:paraId="4D08FD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28 обещает закончить его изготовление лишь 18 декабря с.г. Для ускорения проведения стендовых испытаний винта ВЭМ-63, НИИ ВВС Красной Армии выделил свой станок. Выполнение решения СНК СССР и по этому пункту также срывается.</w:t>
      </w:r>
    </w:p>
    <w:p w14:paraId="6CEC317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Ваших указаний НКАП о скорейшем предъявлении винта ВЭМ-6З на совместные стендовые испытания и самолетов И-153 с винтсы ВЭМ-63 и Як-3 с винтом ВЭМ-107 на летные испытания в НИИ ВВС Красной Армии (9820,68).</w:t>
      </w:r>
    </w:p>
    <w:p w14:paraId="3C31D4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Виза Баландина:</w:t>
      </w:r>
    </w:p>
    <w:p w14:paraId="5EBBD1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“Королеву,</w:t>
      </w:r>
    </w:p>
    <w:p w14:paraId="66535A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Установите систематическое наблюдение за ходом испытаний.</w:t>
      </w:r>
    </w:p>
    <w:p w14:paraId="26D2F6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Каждый день мне докладывайте.</w:t>
      </w:r>
    </w:p>
    <w:p w14:paraId="0658E0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Проследите за заводами, чтобы сроки не срывались (19 декабря) (9820,60).</w:t>
      </w:r>
    </w:p>
    <w:p w14:paraId="1AB61E5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7B632E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16 декабре 1940 г. результаты летних испытаний ДМ-2 и ДМ-4 на И-152 и И-153 получили положительную оценку в приказе Наркома авиационной промниленности № 391 (11083).</w:t>
      </w:r>
    </w:p>
    <w:p w14:paraId="03CC0FE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468AE30A"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1940 г. испытания ПВРД на самолетах Н.Н.Поликарпова И-152 и И-153получили положительную оценку НКАП. С учетом положительной оценки работы ЖРД в РП 318-1, развернулись работы по созданию самолетов с ЖРД и ПВРД (19590).</w:t>
      </w:r>
    </w:p>
    <w:p w14:paraId="5934D378" w14:textId="77777777" w:rsidR="00EB6F04" w:rsidRPr="00A3026E" w:rsidRDefault="00EB6F04" w:rsidP="00A3026E">
      <w:pPr>
        <w:spacing w:after="0" w:line="240" w:lineRule="auto"/>
        <w:jc w:val="both"/>
        <w:rPr>
          <w:rFonts w:ascii="Times New Roman" w:hAnsi="Times New Roman"/>
          <w:color w:val="000000" w:themeColor="text1"/>
          <w:sz w:val="16"/>
          <w:szCs w:val="16"/>
        </w:rPr>
      </w:pPr>
    </w:p>
    <w:p w14:paraId="5AA17E7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1941 НКВ Б.Ванников писал письмо № 2032с на № М-3192сс от 13 декабря 1940 г. Зам. Зав. Секретариатом Председателя СНК СССР тов. Смирнову:</w:t>
      </w:r>
    </w:p>
    <w:p w14:paraId="007D1C8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Сообщаю, что по письму ОКБ-15 лично разговаривал с тоз.РЫЧАГОВЫМ (УВВС КА).</w:t>
      </w:r>
    </w:p>
    <w:p w14:paraId="5ABB5E1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Тов.РЫЧАГОВ обещал вызвать Директора завода № 51 т. Поликарпова Н.Н. и решить вопрос (4156,44).</w:t>
      </w:r>
    </w:p>
    <w:p w14:paraId="6114D73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779250BE"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3308674"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37A2EC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1940 года за № 65/157 вышло поручение О.Б. ЦК ВКП(б) Выписка из протокола № 65 с запиской Марголина о проектировании развития, проектировании и строительстве производства серной кислоты (7479, 112-116).</w:t>
      </w:r>
    </w:p>
    <w:p w14:paraId="005E8F3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6A87603" w14:textId="77777777" w:rsidR="00AB28E8" w:rsidRPr="00A3026E" w:rsidRDefault="00AB28E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1940 года заместитель начальника главного артиллерийского управления РККА генерал-майор Савченко сообщил начальнику ГАБТУ КА Я.Н. Федоренко об окончании работ по пушке Ф-42, и попросил направить на завод № 92 танк КВ, в котором можно было бы провести испытание этой артсистемы. Генерал-лейтенант Федоренко, видимо оценив перспективы новой пушки, распорядился выделить танк, и 8 января 1941 года на завод № 92 была отгружена одна машина КВ-2. Однако изготовление и доводка опытного образца 107-мм орудия Ф-42 затянулись до марта, и оно так и не было установлено в танк КВ-2.</w:t>
      </w:r>
    </w:p>
    <w:p w14:paraId="47C42CCE" w14:textId="77777777" w:rsidR="00AB28E8" w:rsidRPr="00A3026E" w:rsidRDefault="00AB28E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 не менее, и ГАУ, и ГАБТУ КА проявили большой интерес к новой 107-мм танковой пушке.</w:t>
      </w:r>
    </w:p>
    <w:p w14:paraId="4BF7A949" w14:textId="77777777" w:rsidR="00AB28E8" w:rsidRPr="00A3026E" w:rsidRDefault="00AB28E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Возможно, это было связано с тем, что весной 1941 года поступила разведывательная информация о том, что в Германии ведутся работы по созданию танков с более мощным бронированием, чем у ранее состоявших на вооружении вермахта. Источником этой информации могли быть данные о проектировании опытных шасси УК 3001 (Н) с 50 мм броней или сведения о танках В-2 (f), представлявших собой переделанные немцами в огнеметные трофейные французские В-Ibis с 60 мм броней. Может быть, все были значительно проще — при разработке тяжелых танков с броней 90-100 мм сразу изыскивались меры борьбы с аналогичными боевыми машинами противников, если такие вдруг появятся (17434).</w:t>
      </w:r>
    </w:p>
    <w:p w14:paraId="7726362D" w14:textId="77777777" w:rsidR="00AB28E8" w:rsidRPr="00A3026E" w:rsidRDefault="00AB28E8" w:rsidP="00A3026E">
      <w:pPr>
        <w:spacing w:after="0" w:line="240" w:lineRule="auto"/>
        <w:jc w:val="both"/>
        <w:rPr>
          <w:rFonts w:ascii="Times New Roman" w:hAnsi="Times New Roman"/>
          <w:color w:val="000000" w:themeColor="text1"/>
          <w:sz w:val="16"/>
          <w:szCs w:val="16"/>
        </w:rPr>
      </w:pPr>
    </w:p>
    <w:p w14:paraId="61C64C2F" w14:textId="77777777" w:rsidR="000F26CA" w:rsidRPr="00A3026E" w:rsidRDefault="000F26CA"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16 декабря 1940 года 107 мм орудие Ф-42 (которое в марте 1941 года сменило обозначение на ЗИС-6) впервые всплыло в переписке. Согласно телеграмме, завод № 92 уже приступил к изготовлению опытного образца орудия и просил прислать КВ-1 для установки в нем системы. Пока решался вопрос о поставке танка КВ-1, опытный образец Ф-42 не только построили, но и умудрились вписать в башню танка Т-28. Испытаний, правда, не проводили, поскольку к 15 января еще не прибыли боеприпасы, но тем не менее.</w:t>
      </w:r>
    </w:p>
    <w:p w14:paraId="0F6588B6" w14:textId="77777777" w:rsidR="000F26CA" w:rsidRPr="00A3026E" w:rsidRDefault="000F26CA"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Следует также отметить, что Ф-42 не являлась орудием с баллистикой М-60. Она использовала те же боеприпасы, но не более того. Даже длина ствола у Ф-42 была иной - 5185 мм (для сравнения, у М-60 она составляла 4605 мм). Начальная скорость снаряда, соответственно, была выше - 800 м/с против 730 м/с у М-60. Если у Ф-42 затвор был клиновой, то у М-60 - поршневой. Одним словом, КБ завода №92 создало совершенно новое орудие, грамотно использовав наработки по более ранним системам, прежде всего по Ф-30 и Ф-39 (20349).</w:t>
      </w:r>
    </w:p>
    <w:p w14:paraId="453A553B" w14:textId="77777777" w:rsidR="000F26CA" w:rsidRPr="00A3026E" w:rsidRDefault="000F26CA"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0FF94254"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16 декабря 1940 г. в результате совместной работы инженеров бригады НИИ-48 и специалистов отдела «700» завода № 183, проведенной в период с 1 ноября, в технологию сварки корпуса танка Т-34 были внесены значительные изменения. При изготовлении корпусов «тридцатьчетвёрки» в серийном производстве были отменены предварительная наплавка металла на кромки свариваемых броневых деталей. Наиболее ответственные соединения лобовых и бортовых листов корпуса были переведены на сварку аустенитными электродами марки «25-12», делающими сварные соединения более прочными и снижающими склонность брони к образованию надрывов в зонах термического влияния сварки. Так же были изменены технические условия на изготовление электродов марки «МД» в сторону уменьшения содержания углерода, влиявшего на вероятность возникновения надрывов. Так, в 1940 г. содержание углерода в электродах «МД» было снижено до 0,23 % по верхнему пределу, а в 1941 году – до 0,16 %. </w:t>
      </w:r>
    </w:p>
    <w:p w14:paraId="68724C3B"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Следует отметить, что до приезда специалистов НИИ-48 сварка аустенитными электродами на заводе № 183 в серийном производстве не применялась, и соответственно сварщики отдела «700» не имели необходимой квалификации для работы с ними. Для внедрения в производство технологии сварки броневых конструкций с помощью аустенитных электродов, бригадой НИИ-48 совместно с руководством завода № 183 были организованы и проведены следующие мероприятия: </w:t>
      </w:r>
    </w:p>
    <w:p w14:paraId="03E36AB9"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Составлены технологические процессы сварки узлов, переводимых на сварку аустенитными электродами. </w:t>
      </w:r>
    </w:p>
    <w:p w14:paraId="4681F547"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Под руководством бригады и при ее практической помощи заводом полностью освоено производство обмазанных электродов по технологическим условиям и технологическому процессу, разработанным бригадой НИИ-48. </w:t>
      </w:r>
    </w:p>
    <w:p w14:paraId="02AB75DF"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Составлены программа по обучению сварщиков завода аустенитными электродами и инструкция по их испытанию. </w:t>
      </w:r>
    </w:p>
    <w:p w14:paraId="06D58DA9"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Обучено 52 сварщика завода сварке аустенитными электродами. Обученные сварщики были подвергнуты квалификационной комиссией испытаниям и все выдержали испытания».</w:t>
      </w:r>
    </w:p>
    <w:p w14:paraId="49A82EDD"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157. Л. 135] (18206).</w:t>
      </w:r>
    </w:p>
    <w:p w14:paraId="541AB409" w14:textId="77777777" w:rsidR="00EB6F04" w:rsidRPr="00A3026E" w:rsidRDefault="00EB6F04" w:rsidP="00A3026E">
      <w:pPr>
        <w:spacing w:after="0" w:line="240" w:lineRule="auto"/>
        <w:jc w:val="both"/>
        <w:rPr>
          <w:rFonts w:ascii="Times New Roman" w:hAnsi="Times New Roman"/>
          <w:color w:val="000000" w:themeColor="text1"/>
          <w:sz w:val="16"/>
          <w:szCs w:val="16"/>
        </w:rPr>
      </w:pPr>
    </w:p>
    <w:p w14:paraId="1F798D12"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1940 г. в </w:t>
      </w:r>
      <w:hyperlink r:id="rId157" w:tgtFrame="_blank" w:history="1">
        <w:r w:rsidRPr="00A3026E">
          <w:rPr>
            <w:rStyle w:val="a5"/>
            <w:rFonts w:ascii="Times New Roman" w:hAnsi="Times New Roman"/>
            <w:color w:val="000000" w:themeColor="text1"/>
            <w:sz w:val="16"/>
            <w:szCs w:val="16"/>
          </w:rPr>
          <w:t>письме № 90/5753</w:t>
        </w:r>
      </w:hyperlink>
      <w:r w:rsidRPr="00A3026E">
        <w:rPr>
          <w:rFonts w:ascii="Times New Roman" w:hAnsi="Times New Roman"/>
          <w:color w:val="000000" w:themeColor="text1"/>
          <w:sz w:val="16"/>
          <w:szCs w:val="16"/>
        </w:rPr>
        <w:t> от, адресованном начальнику 3-го отдела БТУ ГАБТУ КА С.А. Афонину и директору завода № 183 Ю.Е. Максареву, директор завода № 92 А.С. Елян сообщил: </w:t>
      </w:r>
    </w:p>
    <w:p w14:paraId="1525B02D"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разработке системы Ф-34 завод № 92 был ориентирован, что бронезащиту будет изготовлять и устанавливать завод № 183. Брать на себя обязательство по поставке бронезащиты завод № 92 не может, т.к. не имеет опыта в изготовлении броневых деталей. Завод № 183 до настоящего времени при установке в танки других систем изготовление и установку бронезащиты производил у себя. Считаем, что изготовление и установка бронезащиты системы Ф-34 также должна производиться на заводе № 183».</w:t>
      </w:r>
    </w:p>
    <w:p w14:paraId="61E47082"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978. Л. 373]</w:t>
      </w:r>
    </w:p>
    <w:p w14:paraId="13BD13FB"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Переписка по этому вопросу между НКВ, Главспецмашем НКСМ, заводами № 92, № 183, ГАБТУ КА и ГАУ КА продолжалась почти до середины января 1941 г. </w:t>
      </w:r>
    </w:p>
    <w:p w14:paraId="57B4351C"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Следует отметить, что чертежи броневой защиты пушки Ф-34, разработанные конструкторами завода № 92, были отправлены в Харьков на завод № 183 только 4 декабря 1940 г., то есть с опозданием почти в три недели от оговоренного срока. Броневая защита пушки состояла из корпуса защиты противооткатных устройств (далее – ПОУ), лобовой крышки защиты ПОУ и щита, перекрывавшего пространство между лобовым листом башни и маской пушки. Из-за достаточно сложной формы и неравномерной толщины спроектированных броневых деталей их предполагалось делать литыми. После изучения полученных чертежей руководство завода № 183 </w:t>
      </w:r>
      <w:hyperlink r:id="rId158" w:tgtFrame="_blank" w:history="1">
        <w:r w:rsidRPr="00A3026E">
          <w:rPr>
            <w:rStyle w:val="a5"/>
            <w:rFonts w:ascii="Times New Roman" w:hAnsi="Times New Roman"/>
            <w:color w:val="000000" w:themeColor="text1"/>
            <w:sz w:val="16"/>
            <w:szCs w:val="16"/>
          </w:rPr>
          <w:t>письмом № СО6830</w:t>
        </w:r>
      </w:hyperlink>
      <w:r w:rsidRPr="00A3026E">
        <w:rPr>
          <w:rFonts w:ascii="Times New Roman" w:hAnsi="Times New Roman"/>
          <w:color w:val="000000" w:themeColor="text1"/>
          <w:sz w:val="16"/>
          <w:szCs w:val="16"/>
        </w:rPr>
        <w:t> уведомило все заинтересованные стороны о том, что разработанная заводом № 92 броневая защита пушки Ф-34 не является равнопрочной броневой защите башни танка Т-34 и, следовательно, не удовлетворяет требованиям, изложенным в Постановлении КО № 428сс: </w:t>
      </w:r>
    </w:p>
    <w:p w14:paraId="37666477"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 92 толщина бронировки запроектирована в передней части 35 мм, с боков по 30 мм и в наклонной верхней части по 18 мм (дет. 09-89) и толщина передней крышки запроектирована в 30 мм (дет. 09-57). </w:t>
      </w:r>
    </w:p>
    <w:p w14:paraId="6E28F548"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Указанные толщины бронировки системы Ф-34 являются неравнопрочными корпусу башни, поэтому просим срочно разработать утолщенную бронировку системы в соответствии с требованием комитета Обороны при СНК Союза ССР. Боковые стенки башни маш. Т-34 имеют толщину 45 мм. Крыша и днище башни имеют толщину 20 мм».</w:t>
      </w:r>
    </w:p>
    <w:p w14:paraId="3456B302"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978. Л. 375]</w:t>
      </w:r>
    </w:p>
    <w:p w14:paraId="7D1E2445" w14:textId="77777777" w:rsidR="00EB6F04" w:rsidRPr="00A3026E" w:rsidRDefault="00EB6F0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несмотря на это, чертежи броневой защиты пушки Ф-34 были утверждены представителем ГАБТУ КА майором В.И. Гороховым как временные со сроком действия до 1 февраля 1941 г. и с требованием предварительного обстрела ввиду неравнопрочности бронировки с корпусом башни. Утвержденные чертежи незамедлительно были отправлены из Харькова на Мариупольский завод им. Ильича, являвшегося основным производителем броневых деталей для танка Т-34. Однако руководство Мариупольского завода категорически отказалось изготавливать броневые детали защиты пушки Ф-34 по представленным чертежам, ссылаясь главным образом на то, что разработанная заводом № 92 конструкция деталей не удовлетворяла производственным требованиям на броневое литье. Вторая причина отказа Мариупольского от изготовления литых броневых деталей защиты пушки Ф-34 заключалась в том, что все производственные мощности сталелитейного цеха завода были полностью задействованы в производстве литых корпусов башен танка Т-34. В связи с этим 23 декабря 1940 г. руководство Мариупольского завода в письме № 6557 потребовало от завода № 183 перевести броневые детали защиты пушки Ф-34 на изготовление штамповкой (18533).</w:t>
      </w:r>
    </w:p>
    <w:p w14:paraId="08627563" w14:textId="77777777" w:rsidR="00EB6F04" w:rsidRPr="00A3026E" w:rsidRDefault="00EB6F04" w:rsidP="00A3026E">
      <w:pPr>
        <w:spacing w:after="0" w:line="240" w:lineRule="auto"/>
        <w:jc w:val="both"/>
        <w:rPr>
          <w:rFonts w:ascii="Times New Roman" w:hAnsi="Times New Roman"/>
          <w:color w:val="000000" w:themeColor="text1"/>
          <w:sz w:val="16"/>
          <w:szCs w:val="16"/>
        </w:rPr>
      </w:pPr>
    </w:p>
    <w:p w14:paraId="443E166E"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1CEF4E08"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23915B1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16 декабря 1940 состоялась 12-я встреча с Уэллесом, длившаяся 2 часа, - со</w:t>
      </w:r>
      <w:r w:rsidRPr="00A3026E">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A3026E">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A3026E">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A3026E">
        <w:rPr>
          <w:rFonts w:ascii="Times New Roman" w:hAnsi="Times New Roman"/>
          <w:color w:val="000000" w:themeColor="text1"/>
          <w:sz w:val="16"/>
          <w:szCs w:val="16"/>
        </w:rPr>
        <w:softHyphen/>
        <w:t>ны США. В пересмотре списка участвовали представители промышленнос</w:t>
      </w:r>
      <w:r w:rsidRPr="00A3026E">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A3026E">
        <w:rPr>
          <w:rFonts w:ascii="Times New Roman" w:hAnsi="Times New Roman"/>
          <w:color w:val="000000" w:themeColor="text1"/>
          <w:sz w:val="16"/>
          <w:szCs w:val="16"/>
        </w:rPr>
        <w:softHyphen/>
        <w:t>ти, авиационной, морской и артиллерийской, в этом оборудовании, аме</w:t>
      </w:r>
      <w:r w:rsidRPr="00A3026E">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A3026E">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A3026E">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A3026E">
        <w:rPr>
          <w:rFonts w:ascii="Times New Roman" w:hAnsi="Times New Roman"/>
          <w:color w:val="000000" w:themeColor="text1"/>
          <w:sz w:val="16"/>
          <w:szCs w:val="16"/>
        </w:rPr>
        <w:softHyphen/>
        <w:t>ходящихся в производстве, американское правительство сочло возможным лицензировать на экспорт советских заказов на сумму 495 тысяч долларов. К.А. Уманский ответил, что передаст эту информацию советскому прави</w:t>
      </w:r>
      <w:r w:rsidRPr="00A3026E">
        <w:rPr>
          <w:rFonts w:ascii="Times New Roman" w:hAnsi="Times New Roman"/>
          <w:color w:val="000000" w:themeColor="text1"/>
          <w:sz w:val="16"/>
          <w:szCs w:val="16"/>
        </w:rPr>
        <w:softHyphen/>
        <w:t>тельству. Он отметил: «Однако, при этой передаче я должен буду разъяснить своему правительству, что в ценностном выражении американское прави</w:t>
      </w:r>
      <w:r w:rsidRPr="00A3026E">
        <w:rPr>
          <w:rFonts w:ascii="Times New Roman" w:hAnsi="Times New Roman"/>
          <w:color w:val="000000" w:themeColor="text1"/>
          <w:sz w:val="16"/>
          <w:szCs w:val="16"/>
        </w:rPr>
        <w:softHyphen/>
        <w:t>тельство освобождает лишь около 60% принятого и в основном отгружен</w:t>
      </w:r>
      <w:r w:rsidRPr="00A3026E">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A3026E">
        <w:rPr>
          <w:rFonts w:ascii="Times New Roman" w:hAnsi="Times New Roman"/>
          <w:color w:val="000000" w:themeColor="text1"/>
          <w:sz w:val="16"/>
          <w:szCs w:val="16"/>
        </w:rPr>
        <w:softHyphen/>
        <w:t>ких заказов, находящихся в производстве, К.А. Уманский подчеркнул: «Кон</w:t>
      </w:r>
      <w:r w:rsidRPr="00A3026E">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A3026E">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A3026E">
        <w:rPr>
          <w:rFonts w:ascii="Times New Roman" w:hAnsi="Times New Roman"/>
          <w:color w:val="000000" w:themeColor="text1"/>
          <w:sz w:val="16"/>
          <w:szCs w:val="16"/>
        </w:rPr>
        <w:softHyphen/>
        <w:t>листы видят оборонный характер освобожденных станков и машин, вклю</w:t>
      </w:r>
      <w:r w:rsidRPr="00A3026E">
        <w:rPr>
          <w:rFonts w:ascii="Times New Roman" w:hAnsi="Times New Roman"/>
          <w:color w:val="000000" w:themeColor="text1"/>
          <w:sz w:val="16"/>
          <w:szCs w:val="16"/>
        </w:rPr>
        <w:softHyphen/>
        <w:t>чающих тяжелые станки, снарядные прессы, авиамоторы и т.д., безуслов</w:t>
      </w:r>
      <w:r w:rsidRPr="00A3026E">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A3026E">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A3026E">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1A60D84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A3026E">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A3026E">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A3026E">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A3026E">
        <w:rPr>
          <w:rFonts w:ascii="Times New Roman" w:hAnsi="Times New Roman"/>
          <w:color w:val="000000" w:themeColor="text1"/>
          <w:sz w:val="16"/>
          <w:szCs w:val="16"/>
        </w:rPr>
        <w:softHyphen/>
        <w:t>цией определенного числа станков и машин за компенсацию; обязательство американского правительства в форме обмена нотами рассматривать все со</w:t>
      </w:r>
      <w:r w:rsidRPr="00A3026E">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A3026E">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A3026E">
        <w:rPr>
          <w:rFonts w:ascii="Times New Roman" w:hAnsi="Times New Roman"/>
          <w:color w:val="000000" w:themeColor="text1"/>
          <w:sz w:val="16"/>
          <w:szCs w:val="16"/>
        </w:rPr>
        <w:softHyphen/>
        <w:t>тво не может дать нам ни гарантии неаннулирования выдаваемых лицензий, ни автоматического возобновления договоров на запрещаемое к вывозу обо</w:t>
      </w:r>
      <w:r w:rsidRPr="00A3026E">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A3026E">
        <w:rPr>
          <w:rFonts w:ascii="Times New Roman" w:hAnsi="Times New Roman"/>
          <w:color w:val="000000" w:themeColor="text1"/>
          <w:sz w:val="16"/>
          <w:szCs w:val="16"/>
        </w:rPr>
        <w:softHyphen/>
        <w:t>роительной и машиностроительной промышленности это исключают».</w:t>
      </w:r>
    </w:p>
    <w:p w14:paraId="1054E6F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Пятый вопрос встречи касался поездок в СССР американских специалис</w:t>
      </w:r>
      <w:r w:rsidRPr="00A3026E">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A3026E">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A3026E">
        <w:rPr>
          <w:rFonts w:ascii="Times New Roman" w:hAnsi="Times New Roman"/>
          <w:color w:val="000000" w:themeColor="text1"/>
          <w:sz w:val="16"/>
          <w:szCs w:val="16"/>
        </w:rPr>
        <w:softHyphen/>
        <w:t>га будут рассмотрены», на что К.А. Уманский, комментируя в телеграмме его слова, отметил: «Это является ответом с опозданием на четыре с половиной месяца на поднятый мной при второй встрече</w:t>
      </w:r>
      <w:r w:rsidRPr="00A3026E">
        <w:rPr>
          <w:rFonts w:ascii="Times New Roman" w:hAnsi="Times New Roman"/>
          <w:color w:val="000000" w:themeColor="text1"/>
          <w:sz w:val="16"/>
          <w:szCs w:val="16"/>
          <w:vertAlign w:val="superscript"/>
        </w:rPr>
        <w:t>118</w:t>
      </w:r>
      <w:r w:rsidRPr="00A3026E">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242E6CA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A3026E">
        <w:rPr>
          <w:rFonts w:ascii="Times New Roman" w:hAnsi="Times New Roman"/>
          <w:color w:val="000000" w:themeColor="text1"/>
          <w:sz w:val="16"/>
          <w:szCs w:val="16"/>
          <w:vertAlign w:val="superscript"/>
        </w:rPr>
        <w:t>119</w:t>
      </w:r>
      <w:r w:rsidRPr="00A3026E">
        <w:rPr>
          <w:rFonts w:ascii="Times New Roman" w:hAnsi="Times New Roman"/>
          <w:color w:val="000000" w:themeColor="text1"/>
          <w:sz w:val="16"/>
          <w:szCs w:val="16"/>
        </w:rPr>
        <w:t>.</w:t>
      </w:r>
    </w:p>
    <w:p w14:paraId="240AF5F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Телеграмма Уманского от 17.12.1940 года, вероятно, является самым важ</w:t>
      </w:r>
      <w:r w:rsidRPr="00A3026E">
        <w:rPr>
          <w:rFonts w:ascii="Times New Roman" w:hAnsi="Times New Roman"/>
          <w:color w:val="000000" w:themeColor="text1"/>
          <w:sz w:val="16"/>
          <w:szCs w:val="16"/>
        </w:rPr>
        <w:softHyphen/>
        <w:t>ным документом, освещающим переговоры советского полпреда с замес</w:t>
      </w:r>
      <w:r w:rsidRPr="00A3026E">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A3026E">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A3026E">
        <w:rPr>
          <w:rFonts w:ascii="Times New Roman" w:hAnsi="Times New Roman"/>
          <w:color w:val="000000" w:themeColor="text1"/>
          <w:sz w:val="16"/>
          <w:szCs w:val="16"/>
        </w:rPr>
        <w:softHyphen/>
        <w:t>ных советско-американских переговоров, проводившихся в 1940 году в пе</w:t>
      </w:r>
      <w:r w:rsidRPr="00A3026E">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A3026E">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A3026E">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538BFB5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Американская сторона отразила ход переговоров встречи в Меморанду</w:t>
      </w:r>
      <w:r w:rsidRPr="00A3026E">
        <w:rPr>
          <w:rFonts w:ascii="Times New Roman" w:hAnsi="Times New Roman"/>
          <w:color w:val="000000" w:themeColor="text1"/>
          <w:sz w:val="16"/>
          <w:szCs w:val="16"/>
        </w:rPr>
        <w:softHyphen/>
        <w:t>ме о переговорах, составленном Гендерсоном 16 декабря 1940 года. С аме</w:t>
      </w:r>
      <w:r w:rsidRPr="00A3026E">
        <w:rPr>
          <w:rFonts w:ascii="Times New Roman" w:hAnsi="Times New Roman"/>
          <w:color w:val="000000" w:themeColor="text1"/>
          <w:sz w:val="16"/>
          <w:szCs w:val="16"/>
        </w:rPr>
        <w:softHyphen/>
        <w:t>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A3026E">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A3026E">
        <w:rPr>
          <w:rFonts w:ascii="Times New Roman" w:hAnsi="Times New Roman"/>
          <w:color w:val="000000" w:themeColor="text1"/>
          <w:sz w:val="16"/>
          <w:szCs w:val="16"/>
        </w:rPr>
        <w:softHyphen/>
        <w:t>ки. Обсуждение проблемы морального эмбарго текстуально почти до</w:t>
      </w:r>
      <w:r w:rsidRPr="00A3026E">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A3026E">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3C374D2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A3026E">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A3026E">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A3026E">
        <w:rPr>
          <w:rFonts w:ascii="Times New Roman" w:hAnsi="Times New Roman"/>
          <w:color w:val="000000" w:themeColor="text1"/>
          <w:sz w:val="16"/>
          <w:szCs w:val="16"/>
        </w:rPr>
        <w:softHyphen/>
        <w:t>лучить часть заказанного в США промышленного оборудования. Более того, не было никаких гарантий в связи с целым комплексом причин, что вновь за</w:t>
      </w:r>
      <w:r w:rsidRPr="00A3026E">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309751E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A3026E">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382E772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оборудованию, находящемуся в производстве, можно сказать следу</w:t>
      </w:r>
      <w:r w:rsidRPr="00A3026E">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A3026E">
        <w:rPr>
          <w:rFonts w:ascii="Times New Roman" w:hAnsi="Times New Roman"/>
          <w:color w:val="000000" w:themeColor="text1"/>
          <w:sz w:val="16"/>
          <w:szCs w:val="16"/>
        </w:rPr>
        <w:softHyphen/>
        <w:t>ветственно, 87,5 % не могло быть получено СССР.</w:t>
      </w:r>
    </w:p>
    <w:p w14:paraId="699E7B7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7FF2A18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поводу режима комиссии НКАПа на заводе Райта: по первую полови</w:t>
      </w:r>
      <w:r w:rsidRPr="00A3026E">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A3026E">
        <w:rPr>
          <w:rFonts w:ascii="Times New Roman" w:hAnsi="Times New Roman"/>
          <w:color w:val="000000" w:themeColor="text1"/>
          <w:sz w:val="16"/>
          <w:szCs w:val="16"/>
        </w:rPr>
        <w:softHyphen/>
        <w:t>ты комиссии американская сторона не сообщила.</w:t>
      </w:r>
    </w:p>
    <w:p w14:paraId="1A2C6F9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A3026E">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35C1FE4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A3026E">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A3026E">
        <w:rPr>
          <w:rFonts w:ascii="Times New Roman" w:hAnsi="Times New Roman"/>
          <w:color w:val="000000" w:themeColor="text1"/>
          <w:sz w:val="16"/>
          <w:szCs w:val="16"/>
        </w:rPr>
        <w:softHyphen/>
        <w:t>нии СССР как в экономической, так и в политической области, и послед</w:t>
      </w:r>
      <w:r w:rsidRPr="00A3026E">
        <w:rPr>
          <w:rFonts w:ascii="Times New Roman" w:hAnsi="Times New Roman"/>
          <w:color w:val="000000" w:themeColor="text1"/>
          <w:sz w:val="16"/>
          <w:szCs w:val="16"/>
        </w:rPr>
        <w:softHyphen/>
        <w:t>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конста</w:t>
      </w:r>
      <w:r w:rsidRPr="00A3026E">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6E43A38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33E580C8"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068A538C"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62B31FBE" w14:textId="77777777" w:rsidR="00B05209" w:rsidRPr="00A3026E" w:rsidRDefault="00B0520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16–17 декабря (ночь) 1940 впервые бомбардировочное командование Королевских ВВС проводит рейд, направленный на атаку центра города, а не конкретных целей в ходе операции «Рэйчел», рейда 134 британских бомбардировщиков на Мангейм , Германия, в отместку за Немецкий рейд на Ковентри в ноябре. Их бомбы широко рассеяны, что в результате погибли всего 34 человека в Мангейме и Людвигсхафене  (20795).</w:t>
      </w:r>
    </w:p>
    <w:p w14:paraId="0CD5B45D" w14:textId="77777777" w:rsidR="00B05209" w:rsidRPr="00A3026E" w:rsidRDefault="00B05209" w:rsidP="00A3026E">
      <w:pPr>
        <w:spacing w:after="0" w:line="240" w:lineRule="auto"/>
        <w:jc w:val="both"/>
        <w:rPr>
          <w:rFonts w:ascii="Times New Roman" w:hAnsi="Times New Roman"/>
          <w:color w:val="0070C0"/>
          <w:sz w:val="16"/>
          <w:szCs w:val="16"/>
        </w:rPr>
      </w:pPr>
    </w:p>
    <w:p w14:paraId="03B3E201"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rPr>
        <w:t>16 декабря 1940 Нач. финского Генштаба Гейнрихс прибыл в Берлин с тем, чтобы передать свой опыт войны с русскими. Сказал, что уязвимое место - связь, отсутствие взаимодействия между войсками и то, что КА в оппозиции правительству. Сталаформироватьсяидеяколоссанаглиняныхногах</w:t>
      </w:r>
      <w:r w:rsidRPr="00A3026E">
        <w:rPr>
          <w:rFonts w:ascii="Times New Roman" w:hAnsi="Times New Roman"/>
          <w:color w:val="000000" w:themeColor="text1"/>
          <w:sz w:val="16"/>
          <w:szCs w:val="16"/>
          <w:lang w:val="en-US"/>
        </w:rPr>
        <w:t xml:space="preserve"> (2536,271).</w:t>
      </w:r>
    </w:p>
    <w:p w14:paraId="26F1E00F"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p>
    <w:p w14:paraId="282D72EC"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16 December 1940 (16-18-December) RAF bomb the German industrial centre of Mannheim (270).</w:t>
      </w:r>
    </w:p>
    <w:p w14:paraId="729E888B"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p>
    <w:p w14:paraId="46E941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16-18 декабря 1940 RAF бомбила немецкий промышленный центр Манхейм (270).</w:t>
      </w:r>
    </w:p>
    <w:p w14:paraId="7D79C8C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41997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1940 британские самолеты совершили рейд на итальянское Сомали (2100).</w:t>
      </w:r>
    </w:p>
    <w:p w14:paraId="24DF5F9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863F316"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D715FCC"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2174CF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одновременно с организацией круп</w:t>
      </w:r>
      <w:r w:rsidRPr="00A3026E">
        <w:rPr>
          <w:rFonts w:ascii="Times New Roman" w:hAnsi="Times New Roman"/>
          <w:color w:val="000000" w:themeColor="text1"/>
          <w:sz w:val="16"/>
          <w:szCs w:val="16"/>
        </w:rPr>
        <w:softHyphen/>
        <w:t>носерийного производства Ил-2 прика</w:t>
      </w:r>
      <w:r w:rsidRPr="00A3026E">
        <w:rPr>
          <w:rFonts w:ascii="Times New Roman" w:hAnsi="Times New Roman"/>
          <w:color w:val="000000" w:themeColor="text1"/>
          <w:sz w:val="16"/>
          <w:szCs w:val="16"/>
        </w:rPr>
        <w:softHyphen/>
        <w:t>зом А.И.Шахурина № 748 (во исполнение Постановления Прави</w:t>
      </w:r>
      <w:r w:rsidRPr="00A3026E">
        <w:rPr>
          <w:rFonts w:ascii="Times New Roman" w:hAnsi="Times New Roman"/>
          <w:color w:val="000000" w:themeColor="text1"/>
          <w:sz w:val="16"/>
          <w:szCs w:val="16"/>
        </w:rPr>
        <w:softHyphen/>
        <w:t>тельства от 15.12.40 г.) было создано пять производственных баз по изготов</w:t>
      </w:r>
      <w:r w:rsidRPr="00A3026E">
        <w:rPr>
          <w:rFonts w:ascii="Times New Roman" w:hAnsi="Times New Roman"/>
          <w:color w:val="000000" w:themeColor="text1"/>
          <w:sz w:val="16"/>
          <w:szCs w:val="16"/>
        </w:rPr>
        <w:softHyphen/>
        <w:t>лению бронекорпусов для нового штур</w:t>
      </w:r>
      <w:r w:rsidRPr="00A3026E">
        <w:rPr>
          <w:rFonts w:ascii="Times New Roman" w:hAnsi="Times New Roman"/>
          <w:color w:val="000000" w:themeColor="text1"/>
          <w:sz w:val="16"/>
          <w:szCs w:val="16"/>
        </w:rPr>
        <w:softHyphen/>
        <w:t>мовика: з-д им. Орджоникидзе (г. Подольск), Ижорский з-д (г. Ленинград), з-д № 264 (г. Сталинград), з-д Дробильно-размольного оборудования (г. Выкса), з-д "Коммунар" (г. Запорожъе) (6467).</w:t>
      </w:r>
    </w:p>
    <w:p w14:paraId="194B482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781B407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бронекорпусами самолетов Ил-2 в 1941 году, постановлением Правительства принято решение создать 5 производственных баз по изготовлению бронекорпусов для самоле</w:t>
      </w:r>
      <w:r w:rsidRPr="00A3026E">
        <w:rPr>
          <w:rFonts w:ascii="Times New Roman" w:hAnsi="Times New Roman"/>
          <w:color w:val="000000" w:themeColor="text1"/>
          <w:sz w:val="16"/>
          <w:szCs w:val="16"/>
        </w:rPr>
        <w:softHyphen/>
        <w:t>тов Ил-2 в следующих районах:</w:t>
      </w:r>
    </w:p>
    <w:p w14:paraId="4885796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 г. Подолъске - на заводе имени Орджоникидзе,возлсжв на этот завод выпуск в 1941 году 900 штук бронекорпуров в коопера</w:t>
      </w:r>
      <w:r w:rsidRPr="00A3026E">
        <w:rPr>
          <w:rFonts w:ascii="Times New Roman" w:hAnsi="Times New Roman"/>
          <w:color w:val="000000" w:themeColor="text1"/>
          <w:sz w:val="16"/>
          <w:szCs w:val="16"/>
        </w:rPr>
        <w:softHyphen/>
        <w:t>ции по поставке бронелистов 4-5-6 мм, толщины из кремне-никеле-молибденовой стали с заводом "Красный Октябрь" НКЧМ и 12 мм хромомолибденовой стали марки “ХД" с Ижорского. завода НКСудпрома.</w:t>
      </w:r>
    </w:p>
    <w:p w14:paraId="438EA88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гор. Ленинграде на Ижорском заводе НКСудпрома, возложив на этот завод выпуск в 1941 году 1200 штук бронекориусов для Ил-2 с развитием мощности к 1 января 1942 года на 2000 штук, в коопе</w:t>
      </w:r>
      <w:r w:rsidRPr="00A3026E">
        <w:rPr>
          <w:rFonts w:ascii="Times New Roman" w:hAnsi="Times New Roman"/>
          <w:color w:val="000000" w:themeColor="text1"/>
          <w:sz w:val="16"/>
          <w:szCs w:val="16"/>
        </w:rPr>
        <w:softHyphen/>
        <w:t>рации по поставке деталей из бронелистов 4-5-6 мм.толщины кремне-никеле-молибденовой стали с Кировского завода НКТМ.</w:t>
      </w:r>
    </w:p>
    <w:p w14:paraId="52E4FE0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Сталинграде на заводе № 264 (Красноармейская верфь) НКСудпрома, возложив на этот завод выпуск в 1941 году 200 бронекорпусов с доведением мощности к 1 января 1942 года до 1000 штук, в кооперации по поставке бронелистов 4-5-6 мм. толщины из кремне-никеле-молибденовой стали и 12 мм хромомолибденовой стали марки “ХД" с завода "Красный Октябрь" НКЧМ.</w:t>
      </w:r>
    </w:p>
    <w:p w14:paraId="35F2B726"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 xml:space="preserve">4. В гор. Выксе Горьковской области на заводе "ДРО" НКТМ (завод дробжльно-размольного оборудования),с выпуском в 1941 200 штук бронекорпусов с развитием мощности к 1 октября 1941 года. до 2000 штук в год в кооперации по поставке 12 мм бронелистов марки </w:t>
      </w:r>
      <w:r w:rsidRPr="00A3026E">
        <w:rPr>
          <w:color w:val="000000" w:themeColor="text1"/>
          <w:sz w:val="16"/>
          <w:szCs w:val="16"/>
          <w:vertAlign w:val="superscript"/>
        </w:rPr>
        <w:t>И</w:t>
      </w:r>
      <w:r w:rsidRPr="00A3026E">
        <w:rPr>
          <w:color w:val="000000" w:themeColor="text1"/>
          <w:sz w:val="16"/>
          <w:szCs w:val="16"/>
        </w:rPr>
        <w:t>ХД" с Кулебакского завода НКСудпрома и 4-5-6 с Выксунского.металлургического завода НКЧМ.</w:t>
      </w:r>
    </w:p>
    <w:p w14:paraId="3B690DC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 гор. Запорожье на заводе "Коммунар" НКСредмаша создать мощности на 1000 штук бронекорпусов к 1 октября 1941 года, в кооперации по поставке 12 мм бронелистов марки "ХД" с Мариупольского завода им. Ильича и 4-5-6 мм бронелистов из кремне-никеле-молибденовой стали с завода им. Дзержинского НКЧермета с обеспе</w:t>
      </w:r>
      <w:r w:rsidRPr="00A3026E">
        <w:rPr>
          <w:rFonts w:ascii="Times New Roman" w:hAnsi="Times New Roman"/>
          <w:color w:val="000000" w:themeColor="text1"/>
          <w:sz w:val="16"/>
          <w:szCs w:val="16"/>
        </w:rPr>
        <w:softHyphen/>
        <w:t>чением выпуска готовых корпусов в четвертом квартале 1941 года 100 штук.</w:t>
      </w:r>
    </w:p>
    <w:p w14:paraId="4841CD5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w:t>
      </w:r>
    </w:p>
    <w:p w14:paraId="1F6EE10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ввода в действие создаваемых баз на полную мощность и обеспечения поставок бронекорпусов в 1941 году, тем .же поста</w:t>
      </w:r>
      <w:r w:rsidRPr="00A3026E">
        <w:rPr>
          <w:rFonts w:ascii="Times New Roman" w:hAnsi="Times New Roman"/>
          <w:color w:val="000000" w:themeColor="text1"/>
          <w:sz w:val="16"/>
          <w:szCs w:val="16"/>
        </w:rPr>
        <w:softHyphen/>
        <w:t>новлением Правительства от 15 декабря 1940 года, Наркоматы, привлекаемые к кооперации по изготовлению бронекорпусов, обязываются провести следующие мероприятия:</w:t>
      </w:r>
    </w:p>
    <w:p w14:paraId="7BBC081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Народный Комиссар Нефтяной промышленности - тов.СЕДИН И.К. и директор Подольского завода им.Орджоникидзе тов.МЫЛЬНИКОВ Г.М:</w:t>
      </w:r>
    </w:p>
    <w:p w14:paraId="778F0A7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организовать на Подольском заводе им.Орджоникидзе серийное производство бронированных корпусов для самолетов Ил-2 с выпуском в 1941 году 900 штук;</w:t>
      </w:r>
    </w:p>
    <w:p w14:paraId="45911C0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поставку корпусов поквартально обеспечить в следующих количествах: - в первом квартале - 150 штук, во втором.квартале - 250 штук, в третьем квартале-300 штук, в четвертом квартале-200 штук;</w:t>
      </w:r>
    </w:p>
    <w:p w14:paraId="6AECCCD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обеспечить изготовление установочной партии 5 штук корпусов для Ил-2 к 15 января 1941 года с расчетом начала серийного выпуска с 20 января 1941 года.</w:t>
      </w:r>
    </w:p>
    <w:p w14:paraId="197B834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Народный Комиссар Судостроительной Промышленности тов. НОСЕНКО И.И.:</w:t>
      </w:r>
    </w:p>
    <w:p w14:paraId="32687B6F"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а) организовать на Ижорском заводе серийное производство бронекорпусов для самолетов Ил-2 с выпуском в 1941 году 1200 штук, в том числе в первом квартале -150 штук, во втором квартале - 300 штук, в третьем квартале - 350 штук, в четвертом квартале - 400 штук, с доведением мощности к 1 января 1942 года на 2000 штук;</w:t>
      </w:r>
    </w:p>
    <w:p w14:paraId="6D542B1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обеспечить изготовление установочной партии 5 штук броне корпусов для Ил-2 на Ижорском заводе к</w:t>
      </w:r>
      <w:r w:rsidRPr="00A3026E">
        <w:rPr>
          <w:rFonts w:ascii="Times New Roman" w:hAnsi="Times New Roman"/>
          <w:color w:val="000000" w:themeColor="text1"/>
          <w:sz w:val="16"/>
          <w:szCs w:val="16"/>
          <w:vertAlign w:val="superscript"/>
        </w:rPr>
        <w:t>:</w:t>
      </w:r>
      <w:r w:rsidRPr="00A3026E">
        <w:rPr>
          <w:rFonts w:ascii="Times New Roman" w:hAnsi="Times New Roman"/>
          <w:color w:val="000000" w:themeColor="text1"/>
          <w:sz w:val="16"/>
          <w:szCs w:val="16"/>
        </w:rPr>
        <w:t>15 января 1941 года, с расчетом начать серийный выпуск с 20 января 1941 года;</w:t>
      </w:r>
    </w:p>
    <w:p w14:paraId="5105DC0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поставить Подольскому заводу им. Орджоникидзе 12 мм бронелиста из хромомолибденовом стали марки "ХД” 450 тонн, со сроками поставки: в январе месяце - 50 тонн и в последующие месяцы по 75 тонн;</w:t>
      </w:r>
    </w:p>
    <w:p w14:paraId="68D8090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предусмотреть в плане строительства завода № 264 (Красно</w:t>
      </w:r>
      <w:r w:rsidRPr="00A3026E">
        <w:rPr>
          <w:rFonts w:ascii="Times New Roman" w:hAnsi="Times New Roman"/>
          <w:color w:val="000000" w:themeColor="text1"/>
          <w:sz w:val="16"/>
          <w:szCs w:val="16"/>
        </w:rPr>
        <w:softHyphen/>
        <w:t>армейская верфь) в 1941 году строительство производственных пло</w:t>
      </w:r>
      <w:r w:rsidRPr="00A3026E">
        <w:rPr>
          <w:rFonts w:ascii="Times New Roman" w:hAnsi="Times New Roman"/>
          <w:color w:val="000000" w:themeColor="text1"/>
          <w:sz w:val="16"/>
          <w:szCs w:val="16"/>
        </w:rPr>
        <w:softHyphen/>
        <w:t>щадей до 5000 кв.метров для организации производства бронекорпусов Ил-2 на мощность 1000 штук с вводом в действие к 1 июля 1941 года.</w:t>
      </w:r>
    </w:p>
    <w:p w14:paraId="42DF731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 готовых корпусов начать с 1 августа 1941 года, с по</w:t>
      </w:r>
      <w:r w:rsidRPr="00A3026E">
        <w:rPr>
          <w:rFonts w:ascii="Times New Roman" w:hAnsi="Times New Roman"/>
          <w:color w:val="000000" w:themeColor="text1"/>
          <w:sz w:val="16"/>
          <w:szCs w:val="16"/>
        </w:rPr>
        <w:softHyphen/>
        <w:t>дачей заводам Наркомавиапрома в третьем квартале - 50 штук, в чет</w:t>
      </w:r>
      <w:r w:rsidRPr="00A3026E">
        <w:rPr>
          <w:rFonts w:ascii="Times New Roman" w:hAnsi="Times New Roman"/>
          <w:color w:val="000000" w:themeColor="text1"/>
          <w:sz w:val="16"/>
          <w:szCs w:val="16"/>
        </w:rPr>
        <w:softHyphen/>
        <w:t>вёртом квартале - 150 штук;</w:t>
      </w:r>
    </w:p>
    <w:p w14:paraId="114F048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обеспечить поставку с Кулебакского металлургического за</w:t>
      </w:r>
      <w:r w:rsidRPr="00A3026E">
        <w:rPr>
          <w:rFonts w:ascii="Times New Roman" w:hAnsi="Times New Roman"/>
          <w:color w:val="000000" w:themeColor="text1"/>
          <w:sz w:val="16"/>
          <w:szCs w:val="16"/>
        </w:rPr>
        <w:softHyphen/>
        <w:t>вода в 1941 году заводу "ДРО" НКТяжмаша 200 тонн 12 мм бронелиста маркк "ХД".(100 тонн -в августе и 100 тонн в сентябре) и закре</w:t>
      </w:r>
      <w:r w:rsidRPr="00A3026E">
        <w:rPr>
          <w:rFonts w:ascii="Times New Roman" w:hAnsi="Times New Roman"/>
          <w:color w:val="000000" w:themeColor="text1"/>
          <w:sz w:val="16"/>
          <w:szCs w:val="16"/>
        </w:rPr>
        <w:softHyphen/>
        <w:t>пить его постоянным поставщиком этой брони для завода "ДРО".</w:t>
      </w:r>
    </w:p>
    <w:p w14:paraId="1F6CD03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закрепить Мариупольский завод им. Ильича, как постоянного поставщика 12 мм броне деталей Запорожскому- заводу "Коммунар" Наркомсредмаша, с началом, поставки с 1 сентября 1941 года.</w:t>
      </w:r>
    </w:p>
    <w:p w14:paraId="2C7B769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Народного-Комиссара Тяжелого Машиностроения тов.ЕФРЕМОВА А.И.:</w:t>
      </w:r>
    </w:p>
    <w:p w14:paraId="178043D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обеспечить поставку в 1941 году с Кировского завода бронедеталей 4-5-6 мм толщины из кремне-никеле-молибденовой стали Ижорскому заводу НКСудпрома для изготовления бронекорпусов Ил-2 со сроками поставки:</w:t>
      </w:r>
    </w:p>
    <w:p w14:paraId="2EB7343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 квартале </w:t>
      </w:r>
      <w:r w:rsidRPr="00A3026E">
        <w:rPr>
          <w:rFonts w:ascii="Times New Roman" w:hAnsi="Times New Roman"/>
          <w:color w:val="000000" w:themeColor="text1"/>
          <w:sz w:val="16"/>
          <w:szCs w:val="16"/>
        </w:rPr>
        <w:tab/>
        <w:t>200 комплектов</w:t>
      </w:r>
    </w:p>
    <w:p w14:paraId="455A38A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П</w:t>
      </w:r>
      <w:r w:rsidRPr="00A3026E">
        <w:rPr>
          <w:rFonts w:ascii="Times New Roman" w:hAnsi="Times New Roman"/>
          <w:color w:val="000000" w:themeColor="text1"/>
          <w:sz w:val="16"/>
          <w:szCs w:val="16"/>
        </w:rPr>
        <w:tab/>
        <w:t>350</w:t>
      </w:r>
    </w:p>
    <w:p w14:paraId="313B69D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Ш</w:t>
      </w:r>
      <w:r w:rsidRPr="00A3026E">
        <w:rPr>
          <w:rFonts w:ascii="Times New Roman" w:hAnsi="Times New Roman"/>
          <w:color w:val="000000" w:themeColor="text1"/>
          <w:sz w:val="16"/>
          <w:szCs w:val="16"/>
        </w:rPr>
        <w:tab/>
        <w:t>400</w:t>
      </w:r>
    </w:p>
    <w:p w14:paraId="4F58C99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1У</w:t>
      </w:r>
      <w:r w:rsidRPr="00A3026E">
        <w:rPr>
          <w:rFonts w:ascii="Times New Roman" w:hAnsi="Times New Roman"/>
          <w:color w:val="000000" w:themeColor="text1"/>
          <w:sz w:val="16"/>
          <w:szCs w:val="16"/>
        </w:rPr>
        <w:tab/>
        <w:t>450</w:t>
      </w:r>
    </w:p>
    <w:p w14:paraId="1C3A167F"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начав поставку с 5 января 1941 года;</w:t>
      </w:r>
    </w:p>
    <w:p w14:paraId="7B7DD6E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организовать производство бронекорнусов для Ил-2 на заводе "ДРО" (завод дробильно-размольного оборудования) в гор. Выкса, мощностью на 2000 штук к 1 октября 1941 года и выпуском 200 штук в четвертом квартале 1941 года.</w:t>
      </w:r>
    </w:p>
    <w:p w14:paraId="25AA7B2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Народного Комиссара Среднего Машиностроения тов. МАЛЫШЕВА В.А. организовать производство бронекорпусов на Запорожском за</w:t>
      </w:r>
      <w:r w:rsidRPr="00A3026E">
        <w:rPr>
          <w:rFonts w:ascii="Times New Roman" w:hAnsi="Times New Roman"/>
          <w:color w:val="000000" w:themeColor="text1"/>
          <w:sz w:val="16"/>
          <w:szCs w:val="16"/>
        </w:rPr>
        <w:softHyphen/>
        <w:t>воде "Коммунар" мощностью на 1000 штук к 1 октября 1941 года с выпуском в четвертом квартале 1941 года 100 штук.</w:t>
      </w:r>
    </w:p>
    <w:p w14:paraId="1842ED7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Народный Комиссар Черной Металлургии тов. ТЕВОСЯН И.Т.:</w:t>
      </w:r>
    </w:p>
    <w:p w14:paraId="5A9CE2D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обеспечить поставку Подольскому заводу НКНефти в 1941 году 2.200 тонн бронелистов 4-5-6 мм. толщины из кремне-никеле-молибденовой стали* с завода "Красный Октябрь" в следующие сроки:</w:t>
      </w:r>
    </w:p>
    <w:p w14:paraId="4FB65E0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 квартале </w:t>
      </w:r>
      <w:r w:rsidRPr="00A3026E">
        <w:rPr>
          <w:rFonts w:ascii="Times New Roman" w:hAnsi="Times New Roman"/>
          <w:color w:val="000000" w:themeColor="text1"/>
          <w:sz w:val="16"/>
          <w:szCs w:val="16"/>
        </w:rPr>
        <w:tab/>
        <w:t>370 тонн</w:t>
      </w:r>
    </w:p>
    <w:p w14:paraId="224297F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П</w:t>
      </w:r>
      <w:r w:rsidRPr="00A3026E">
        <w:rPr>
          <w:rFonts w:ascii="Times New Roman" w:hAnsi="Times New Roman"/>
          <w:color w:val="000000" w:themeColor="text1"/>
          <w:sz w:val="16"/>
          <w:szCs w:val="16"/>
        </w:rPr>
        <w:tab/>
        <w:t>610</w:t>
      </w:r>
    </w:p>
    <w:p w14:paraId="6FCD0C5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Ш</w:t>
      </w:r>
      <w:r w:rsidRPr="00A3026E">
        <w:rPr>
          <w:rFonts w:ascii="Times New Roman" w:hAnsi="Times New Roman"/>
          <w:color w:val="000000" w:themeColor="text1"/>
          <w:sz w:val="16"/>
          <w:szCs w:val="16"/>
        </w:rPr>
        <w:tab/>
        <w:t>730</w:t>
      </w:r>
    </w:p>
    <w:p w14:paraId="285F3A2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1У</w:t>
      </w:r>
      <w:r w:rsidRPr="00A3026E">
        <w:rPr>
          <w:rFonts w:ascii="Times New Roman" w:hAnsi="Times New Roman"/>
          <w:color w:val="000000" w:themeColor="text1"/>
          <w:sz w:val="16"/>
          <w:szCs w:val="16"/>
        </w:rPr>
        <w:tab/>
        <w:t>490</w:t>
      </w:r>
    </w:p>
    <w:p w14:paraId="6845B34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поставки металла установить с 5 января 1941 года;</w:t>
      </w:r>
    </w:p>
    <w:p w14:paraId="54FB292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закрепить завод "Красный Октябрь", как постоянного поставщика бронелистов для корпусов Ил-2, изготовляемых на заводе № 264 (Красноармейская верфь) НКСудпрома, и обеспечить поставку в 1941 году 450 тонн 4-5-6 мм бронелиста из кремне-никеле-молибденовой стали и 100 тонн 12 мм. Хромомолибденовой стали мар</w:t>
      </w:r>
      <w:r w:rsidRPr="00A3026E">
        <w:rPr>
          <w:rFonts w:ascii="Times New Roman" w:hAnsi="Times New Roman"/>
          <w:color w:val="000000" w:themeColor="text1"/>
          <w:sz w:val="16"/>
          <w:szCs w:val="16"/>
        </w:rPr>
        <w:softHyphen/>
        <w:t>ки "ХД".</w:t>
      </w:r>
    </w:p>
    <w:p w14:paraId="42664A6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 поставки металла установить с 15 июня 1941 года;</w:t>
      </w:r>
    </w:p>
    <w:p w14:paraId="69423D9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закрепить Выксунский металлургический завод как постоянного поставщика бронелистов заводу "ДРО" НКТяжмаша, с поставкой этому заводу в 1941 году 4-5-6 мм бронелистов кремне-никеле-молибденовой стали в количестве 440 тонн.</w:t>
      </w:r>
    </w:p>
    <w:p w14:paraId="2D40DB3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Сроки поставки установить следующие:</w:t>
      </w:r>
    </w:p>
    <w:p w14:paraId="2C258F6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августе</w:t>
      </w:r>
      <w:r w:rsidRPr="00A3026E">
        <w:rPr>
          <w:rFonts w:ascii="Times New Roman" w:hAnsi="Times New Roman"/>
          <w:color w:val="000000" w:themeColor="text1"/>
          <w:sz w:val="16"/>
          <w:szCs w:val="16"/>
        </w:rPr>
        <w:tab/>
        <w:t>100 тонн</w:t>
      </w:r>
    </w:p>
    <w:p w14:paraId="37FB9A3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w:t>
      </w:r>
      <w:r w:rsidRPr="00A3026E">
        <w:rPr>
          <w:rFonts w:ascii="Times New Roman" w:hAnsi="Times New Roman"/>
          <w:color w:val="000000" w:themeColor="text1"/>
          <w:sz w:val="16"/>
          <w:szCs w:val="16"/>
        </w:rPr>
        <w:tab/>
        <w:t>140</w:t>
      </w:r>
    </w:p>
    <w:p w14:paraId="4A581F7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октябре</w:t>
      </w:r>
      <w:r w:rsidRPr="00A3026E">
        <w:rPr>
          <w:rFonts w:ascii="Times New Roman" w:hAnsi="Times New Roman"/>
          <w:color w:val="000000" w:themeColor="text1"/>
          <w:sz w:val="16"/>
          <w:szCs w:val="16"/>
        </w:rPr>
        <w:tab/>
        <w:t>200</w:t>
      </w:r>
    </w:p>
    <w:p w14:paraId="31BC499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г) закрепить завод имени Дзержинского, как постоянного по</w:t>
      </w:r>
      <w:r w:rsidRPr="00A3026E">
        <w:rPr>
          <w:rFonts w:ascii="Times New Roman" w:hAnsi="Times New Roman"/>
          <w:color w:val="000000" w:themeColor="text1"/>
          <w:sz w:val="16"/>
          <w:szCs w:val="16"/>
        </w:rPr>
        <w:softHyphen/>
        <w:t>ставщика 4-5-6 мм. бронелистов Запорожскому заводу "Коммунар" НКСредмаша с началом поставки с 10 сентября 1941 года 245 тонн.</w:t>
      </w:r>
    </w:p>
    <w:p w14:paraId="1F5FD72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Народный Комиссар Судостроительной промышленности тов.. НОСЕККО И.Е. и директор завода "Гидропресс" тов. ДОЦЕНКО Р.Е. обеспечить изготовление 10 штук 400 тонных гидропрессов с рабо</w:t>
      </w:r>
      <w:r w:rsidRPr="00A3026E">
        <w:rPr>
          <w:rFonts w:ascii="Times New Roman" w:hAnsi="Times New Roman"/>
          <w:color w:val="000000" w:themeColor="text1"/>
          <w:sz w:val="16"/>
          <w:szCs w:val="16"/>
        </w:rPr>
        <w:softHyphen/>
        <w:t>чим размером стола 2.500 х 1.300 мм. с аккумуляторной установ</w:t>
      </w:r>
      <w:r w:rsidRPr="00A3026E">
        <w:rPr>
          <w:rFonts w:ascii="Times New Roman" w:hAnsi="Times New Roman"/>
          <w:color w:val="000000" w:themeColor="text1"/>
          <w:sz w:val="16"/>
          <w:szCs w:val="16"/>
        </w:rPr>
        <w:softHyphen/>
        <w:t>кой, в следующие сроки:</w:t>
      </w:r>
    </w:p>
    <w:p w14:paraId="3ACE074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пресс - в марте 1941 года для Подольского завода, имени Орджоникидзе.</w:t>
      </w:r>
    </w:p>
    <w:p w14:paraId="0CFAF2C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пресса - в апреле 1941 года, из них:</w:t>
      </w:r>
    </w:p>
    <w:p w14:paraId="1240CC6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 пресс - заводу "Коммунар"НКСМ;</w:t>
      </w:r>
    </w:p>
    <w:p w14:paraId="5AED8A6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пресс - Кировскому заводу НКТМ.</w:t>
      </w:r>
    </w:p>
    <w:p w14:paraId="65E3006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пресса - в мае 1941-года, из них:</w:t>
      </w:r>
    </w:p>
    <w:p w14:paraId="50938D1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пресса- заводу "ДРО" НКТМаша</w:t>
      </w:r>
    </w:p>
    <w:p w14:paraId="4797A59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пресс - заводу № 264 НКСудпрома</w:t>
      </w:r>
    </w:p>
    <w:p w14:paraId="1FB922B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пресса - в июне 1941 года, из них:</w:t>
      </w:r>
    </w:p>
    <w:p w14:paraId="1C76C16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пресс - заводу № 264 НКСудпрома</w:t>
      </w:r>
    </w:p>
    <w:p w14:paraId="12E6088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пресс - Ижорско.му заводу -"-</w:t>
      </w:r>
    </w:p>
    <w:p w14:paraId="1DE1C57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пресса - в августе 1941 года, из них:</w:t>
      </w:r>
    </w:p>
    <w:p w14:paraId="79601B7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пресс - заводу "Коммунар"</w:t>
      </w:r>
    </w:p>
    <w:p w14:paraId="770ADD3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пресс - Подольскому заводу им. Орджоникидзе.</w:t>
      </w:r>
    </w:p>
    <w:p w14:paraId="76D5E60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Для обеспечения выпуска 10 штук гидропрессов в 1941 году обязываются:</w:t>
      </w:r>
    </w:p>
    <w:p w14:paraId="06E704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Наркомтяжмаш тов. ЕФРЕМОВ А.И. поставить в январе-феврале 1941 года заводу "Гидропресс" 330 тонн стального литья, 330 тонн стальных поковок и 88 тонн чугунного литья;</w:t>
      </w:r>
    </w:p>
    <w:p w14:paraId="6794ED4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Наркомсудпром тов. НОСЕНКО И.И. поставить заводу "Гидро</w:t>
      </w:r>
      <w:r w:rsidRPr="00A3026E">
        <w:rPr>
          <w:rFonts w:ascii="Times New Roman" w:hAnsi="Times New Roman"/>
          <w:color w:val="000000" w:themeColor="text1"/>
          <w:sz w:val="16"/>
          <w:szCs w:val="16"/>
        </w:rPr>
        <w:softHyphen/>
        <w:t>пресс" в январе-феврале 1941 года 310 тонн стального литья и 220 тонн стальных поковок;</w:t>
      </w:r>
    </w:p>
    <w:p w14:paraId="576081F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Наркомчермет тов. ТЕВОСЯН И.Т. поставить заводу "Гидропресс” в-январе-феврале 1941 года 125 тонн гидравлических труб;...(530).</w:t>
      </w:r>
    </w:p>
    <w:p w14:paraId="2C676050" w14:textId="77777777" w:rsidR="0014077F" w:rsidRPr="00A3026E" w:rsidRDefault="0014077F" w:rsidP="00A3026E">
      <w:pPr>
        <w:pStyle w:val="Iauiue"/>
        <w:jc w:val="both"/>
        <w:rPr>
          <w:color w:val="000000" w:themeColor="text1"/>
          <w:sz w:val="16"/>
          <w:szCs w:val="16"/>
        </w:rPr>
      </w:pPr>
    </w:p>
    <w:p w14:paraId="14E6A6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г. во исполнение По</w:t>
      </w:r>
      <w:r w:rsidRPr="00A3026E">
        <w:rPr>
          <w:rFonts w:ascii="Times New Roman" w:hAnsi="Times New Roman"/>
          <w:color w:val="000000" w:themeColor="text1"/>
          <w:sz w:val="16"/>
          <w:szCs w:val="16"/>
        </w:rPr>
        <w:softHyphen/>
        <w:t>становления Правительства от 15 де</w:t>
      </w:r>
      <w:r w:rsidRPr="00A3026E">
        <w:rPr>
          <w:rFonts w:ascii="Times New Roman" w:hAnsi="Times New Roman"/>
          <w:color w:val="000000" w:themeColor="text1"/>
          <w:sz w:val="16"/>
          <w:szCs w:val="16"/>
        </w:rPr>
        <w:softHyphen/>
        <w:t>кабря 1940 г. приказом А. И. Шахурина № 748 были созданы пять про</w:t>
      </w:r>
      <w:r w:rsidRPr="00A3026E">
        <w:rPr>
          <w:rFonts w:ascii="Times New Roman" w:hAnsi="Times New Roman"/>
          <w:color w:val="000000" w:themeColor="text1"/>
          <w:sz w:val="16"/>
          <w:szCs w:val="16"/>
        </w:rPr>
        <w:softHyphen/>
        <w:t>изводственных баз по изготовлению бронекорпусов для нового штурмо</w:t>
      </w:r>
      <w:r w:rsidRPr="00A3026E">
        <w:rPr>
          <w:rFonts w:ascii="Times New Roman" w:hAnsi="Times New Roman"/>
          <w:color w:val="000000" w:themeColor="text1"/>
          <w:sz w:val="16"/>
          <w:szCs w:val="16"/>
        </w:rPr>
        <w:softHyphen/>
        <w:t>вика:</w:t>
      </w:r>
    </w:p>
    <w:p w14:paraId="6F93C9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 В г. Подольске - на заводе имени Орджоникидзе, возложив на этот завод выпуск в 1941 году 900 штук бронекорпу</w:t>
      </w:r>
      <w:r w:rsidRPr="00A3026E">
        <w:rPr>
          <w:rFonts w:ascii="Times New Roman" w:hAnsi="Times New Roman"/>
          <w:color w:val="000000" w:themeColor="text1"/>
          <w:sz w:val="16"/>
          <w:szCs w:val="16"/>
        </w:rPr>
        <w:softHyphen/>
        <w:t>сов в кооперации по поставке бронелистов 4-5-6 мм толщины из кремне-никеле-молибденовой стали с заводом “Крас</w:t>
      </w:r>
      <w:r w:rsidRPr="00A3026E">
        <w:rPr>
          <w:rFonts w:ascii="Times New Roman" w:hAnsi="Times New Roman"/>
          <w:color w:val="000000" w:themeColor="text1"/>
          <w:sz w:val="16"/>
          <w:szCs w:val="16"/>
        </w:rPr>
        <w:softHyphen/>
        <w:t>ный октябрь” НКЧМ и 12 мм хромо-молибденовой стали марки “ХД” с Ижорского завода НКСудпрома (4140).</w:t>
      </w:r>
    </w:p>
    <w:p w14:paraId="13ABF0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гор. Ленинграде на Ижорском за</w:t>
      </w:r>
      <w:r w:rsidRPr="00A3026E">
        <w:rPr>
          <w:rFonts w:ascii="Times New Roman" w:hAnsi="Times New Roman"/>
          <w:color w:val="000000" w:themeColor="text1"/>
          <w:sz w:val="16"/>
          <w:szCs w:val="16"/>
        </w:rPr>
        <w:softHyphen/>
        <w:t>воде НКСудпрома, возложив на этот за</w:t>
      </w:r>
      <w:r w:rsidRPr="00A3026E">
        <w:rPr>
          <w:rFonts w:ascii="Times New Roman" w:hAnsi="Times New Roman"/>
          <w:color w:val="000000" w:themeColor="text1"/>
          <w:sz w:val="16"/>
          <w:szCs w:val="16"/>
        </w:rPr>
        <w:softHyphen/>
        <w:t>вод выпуск в 1941 году 1200 штук броне</w:t>
      </w:r>
      <w:r w:rsidRPr="00A3026E">
        <w:rPr>
          <w:rFonts w:ascii="Times New Roman" w:hAnsi="Times New Roman"/>
          <w:color w:val="000000" w:themeColor="text1"/>
          <w:sz w:val="16"/>
          <w:szCs w:val="16"/>
        </w:rPr>
        <w:softHyphen/>
        <w:t>корпусов для Ил-2 с развитием мощности к 1 января 1942 года на 2000 штук, в ко</w:t>
      </w:r>
      <w:r w:rsidRPr="00A3026E">
        <w:rPr>
          <w:rFonts w:ascii="Times New Roman" w:hAnsi="Times New Roman"/>
          <w:color w:val="000000" w:themeColor="text1"/>
          <w:sz w:val="16"/>
          <w:szCs w:val="16"/>
        </w:rPr>
        <w:softHyphen/>
        <w:t>операции по поставке бронелистов 4-5-6 мм толщины из кремне-никеле-молибденовой стали с Кировского завода НКТМ (4140).</w:t>
      </w:r>
    </w:p>
    <w:p w14:paraId="46484A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Сталинграде на заводе № 264 (Красноармейская верфь) НКСудпрома, возложив на этот завод выпуск в 1941 го</w:t>
      </w:r>
      <w:r w:rsidRPr="00A3026E">
        <w:rPr>
          <w:rFonts w:ascii="Times New Roman" w:hAnsi="Times New Roman"/>
          <w:color w:val="000000" w:themeColor="text1"/>
          <w:sz w:val="16"/>
          <w:szCs w:val="16"/>
        </w:rPr>
        <w:softHyphen/>
        <w:t>ду 200 бронекорпусов с доведением мощно</w:t>
      </w:r>
      <w:r w:rsidRPr="00A3026E">
        <w:rPr>
          <w:rFonts w:ascii="Times New Roman" w:hAnsi="Times New Roman"/>
          <w:color w:val="000000" w:themeColor="text1"/>
          <w:sz w:val="16"/>
          <w:szCs w:val="16"/>
        </w:rPr>
        <w:softHyphen/>
        <w:t>сти к 1 января 1942 года до 1000 штук, в кооперации по поставке бронелистов 4-5-6 мм толщины из кремне-никеле-молибденовой стали и 12 мм хромо-молибденовой стали марки “ХД” с завода “Крас</w:t>
      </w:r>
      <w:r w:rsidRPr="00A3026E">
        <w:rPr>
          <w:rFonts w:ascii="Times New Roman" w:hAnsi="Times New Roman"/>
          <w:color w:val="000000" w:themeColor="text1"/>
          <w:sz w:val="16"/>
          <w:szCs w:val="16"/>
        </w:rPr>
        <w:softHyphen/>
        <w:t>ный октябрь” НКЧМ (4140).</w:t>
      </w:r>
    </w:p>
    <w:p w14:paraId="5E5003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 гор. Выксе Горьковской области на заводе“ДРО” НКТМ (завод дробильно-размольного оборудования), с выпуском в 1941 г. 200 штук бронекорпусов с разви</w:t>
      </w:r>
      <w:r w:rsidRPr="00A3026E">
        <w:rPr>
          <w:rFonts w:ascii="Times New Roman" w:hAnsi="Times New Roman"/>
          <w:color w:val="000000" w:themeColor="text1"/>
          <w:sz w:val="16"/>
          <w:szCs w:val="16"/>
        </w:rPr>
        <w:softHyphen/>
        <w:t>тием мощности 1 октября 1941 года до 2000 штук в год в кооперации по постав</w:t>
      </w:r>
      <w:r w:rsidRPr="00A3026E">
        <w:rPr>
          <w:rFonts w:ascii="Times New Roman" w:hAnsi="Times New Roman"/>
          <w:color w:val="000000" w:themeColor="text1"/>
          <w:sz w:val="16"/>
          <w:szCs w:val="16"/>
        </w:rPr>
        <w:softHyphen/>
        <w:t>ке 12 мм бронелистов марки “ХД” с Кулебакского завода НКСудпрома и 4-5-6 мм бронелистов с Выксунского металлургиче</w:t>
      </w:r>
      <w:r w:rsidRPr="00A3026E">
        <w:rPr>
          <w:rFonts w:ascii="Times New Roman" w:hAnsi="Times New Roman"/>
          <w:color w:val="000000" w:themeColor="text1"/>
          <w:sz w:val="16"/>
          <w:szCs w:val="16"/>
        </w:rPr>
        <w:softHyphen/>
        <w:t>ского завода НКЧМ (4140).</w:t>
      </w:r>
    </w:p>
    <w:p w14:paraId="3E9836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 гор. Запорожье на заводе “Комму</w:t>
      </w:r>
      <w:r w:rsidRPr="00A3026E">
        <w:rPr>
          <w:rFonts w:ascii="Times New Roman" w:hAnsi="Times New Roman"/>
          <w:color w:val="000000" w:themeColor="text1"/>
          <w:sz w:val="16"/>
          <w:szCs w:val="16"/>
        </w:rPr>
        <w:softHyphen/>
        <w:t>нар” НКСредмаша созданием мощности на 1000 штук бронекорпусов к 1 октября 1941 года, в кооперации по поставке 12 мм бронелистов марки “ХД” с Мариу</w:t>
      </w:r>
      <w:r w:rsidRPr="00A3026E">
        <w:rPr>
          <w:rFonts w:ascii="Times New Roman" w:hAnsi="Times New Roman"/>
          <w:color w:val="000000" w:themeColor="text1"/>
          <w:sz w:val="16"/>
          <w:szCs w:val="16"/>
        </w:rPr>
        <w:softHyphen/>
        <w:t>польского завода им Ильича и 4~5~6 мм бронелистов из кремне-никеле-молибденовой стали с завода им. Дзержинского НКЧермета с обеспечением выпуска готовых корпусов в четвертом квартал 1941 года 100 штук...”</w:t>
      </w:r>
    </w:p>
    <w:p w14:paraId="7062B3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вышел приказ НКАП N 748cc (1315,153).</w:t>
      </w:r>
    </w:p>
    <w:p w14:paraId="1584E3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и не ясно 748 или 749 - скорее 748, так как 749 по М-105</w:t>
      </w:r>
    </w:p>
    <w:p w14:paraId="2606E9A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23E58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вышел приказ НКАП N 749cc, согласно которому для обеспечения бронекорпусами самолетов Ил-2 в 1941 постановлением Правительства принято решение создать 5 производственных баз по изготовлению бронекорпусов для самолетов Ил-2 в следующих районах:</w:t>
      </w:r>
    </w:p>
    <w:p w14:paraId="5CC98C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 Подольске на заводе им. Серго Орджоникидзе - 900 в кооперации с заводом Красный октябрь (4-6 мм лист) и Ижорским заводом - 12 мм сталь ХД</w:t>
      </w:r>
    </w:p>
    <w:p w14:paraId="3B121A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Ленинграде на Ижорском заводе - 1200 до 2000 с Кировским заводом - (4-6 мм лист).</w:t>
      </w:r>
    </w:p>
    <w:p w14:paraId="4082BC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Сталинграде на заводе N 264 (Красноармейская верфь) - 200 до 1000 с поставкой 4-6 мм листа и 12 мм листа ХД со Сталинградского завода Красный Октябрь</w:t>
      </w:r>
    </w:p>
    <w:p w14:paraId="72800B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 Выксе Горьковской области на заводе дробильно-размольного оборудования (ДРО) - 200 - до 2000 с 12 мм ХД с Кулебакского завода и 4-6 мм с Выксунского завода</w:t>
      </w:r>
    </w:p>
    <w:p w14:paraId="354538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 Запорожье на заводе "Коммунар" - 1000 с поставкой 12 мм ХД с Мариупольского завода им. В.Ильича и 4-6 мм с завода Дзержинского (530).</w:t>
      </w:r>
    </w:p>
    <w:p w14:paraId="3B886C0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несколько дней до этого вышло Постановление аналогичного содержания, но точная дата не известна (530).</w:t>
      </w:r>
    </w:p>
    <w:p w14:paraId="7BA4973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44AEB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г. одновременно с организацией крупносерийного производства Ил-2 приказом А. И. Шахурина № 748 во исполнение Постановления Правительства от 15 декабря 1940 г. было создано пять производственных баз по изготовлению броне-корпусов для нового штурмовика:</w:t>
      </w:r>
    </w:p>
    <w:p w14:paraId="7936C6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В г. Подольске-на заводе имени Орджоникидзе, возложив на этот завод выпуск в 1941 году 900 штук бронекорпусов в кооперации по поставке бронел истов 4-5-6 мм толщины из кремне-никеле-молибденовой стали с заводом «Красный октябрь» НКЧМ и 12 мм хромомолибденовой стали марки «ХД» с Ижорского завода НКСудпрома.</w:t>
      </w:r>
    </w:p>
    <w:p w14:paraId="457A8E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гор. Ленинграде на Ижорском заводе НКСудпрома, возложив на этот завод выпуск в 1941 году 1200 штук бронекорпусов для Ил-2 с развитием мощности к 1 января 1942 года на 2000 штук, в кооперации по поставке бронелистов 4-5-6 мм толщины из кремне-никеле-молибденовой стали с Кировского завода НКТМ.</w:t>
      </w:r>
    </w:p>
    <w:p w14:paraId="09C9D4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Сталинграде на заводе №264 (Красноармейская верфь) НКСудпро-ма, возложив на этот завод выпуск в 1941 году 200 бронекорпусов с доведением мощности к 1 января 1942 года до 1000 штук, в кооперации по поставке бронелистов 4-5-6 мм толщины из кремне-никеле-молибденовой стали и 12 мм хромомолибденовой стали марки «ХД» с завода «Красный октябрь» НКЧМ.</w:t>
      </w:r>
    </w:p>
    <w:p w14:paraId="1EE306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 гор. Выксе Горьковской области на заводе «ДРО» НКТМ (завод дро-бильно-размольного оборудования), с выпусков в 1941 г. 200 штук бронекорпусов с развитием мощности 1 октября 1941 года до 2000 штук в год в кооперации по поставке 12мм бронелис-тов марки «ХД» с Кулебакского завода НК Судпрома и 4-5-6 мм бронелистов с Выксунского металлургического завода НКЧМ,</w:t>
      </w:r>
    </w:p>
    <w:p w14:paraId="067AB6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 гор. Запорожье на заводе «Коммунар» НКСредмаша созданием мощности на 1000 штук бронекорпу-сов к 1 октября 1941 года, в кооперации по поставке 12 мм бронелистов марки «ХД» с Мариупольского завода им Ильича и 4-5-6 мм бронелистов из кремне-никеле-молибденовой стали с завода им. Дзержинского НКЧермета с обеспечением выпуска готовых корпусов в четвертом квартале 1941 года 100 штук...» (9649).</w:t>
      </w:r>
    </w:p>
    <w:p w14:paraId="2CB649B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836FF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г. приказом НКАП № 748 в соответствии с пост. от 15.12.1940 г. на заводе (Завод № 125 НКАП, Подольский паровозоремонтный завод, Крекинго- электровозостроительный завод, Подольский завод им. Орджоникидзе (ЗиО) НКТП, НК нефти, Подольский машиностроительный завод (ПМЗ) им. Орджоникидзе, Подольский завод энергетического машиностроения, ОАО «Машиностроительный завод «ЗИО-Подольск», АО «ПМЗ» /142103  г. Подольск Московской обл. ул. Железнодорожная, 2 тел. 65-42-37, 747-10-06/) организовано производство бронекорпусов.</w:t>
      </w:r>
      <w:r w:rsidRPr="00A3026E">
        <w:rPr>
          <w:rFonts w:ascii="Times New Roman" w:hAnsi="Times New Roman"/>
          <w:color w:val="000000" w:themeColor="text1"/>
          <w:sz w:val="16"/>
          <w:szCs w:val="16"/>
          <w:vertAlign w:val="superscript"/>
        </w:rPr>
        <w:t>96</w:t>
      </w:r>
      <w:r w:rsidRPr="00A3026E">
        <w:rPr>
          <w:rFonts w:ascii="Times New Roman" w:hAnsi="Times New Roman"/>
          <w:color w:val="000000" w:themeColor="text1"/>
          <w:sz w:val="16"/>
          <w:szCs w:val="16"/>
        </w:rPr>
        <w:t xml:space="preserve"> В 09.1941 г. выпускал корпуса и башни танка Т-40.</w:t>
      </w:r>
    </w:p>
    <w:p w14:paraId="2104BF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09.1941 г. Подольский завод им. Орджоникидзе вошел в состав НКТП.</w:t>
      </w:r>
      <w:r w:rsidRPr="00A3026E">
        <w:rPr>
          <w:rFonts w:ascii="Times New Roman" w:hAnsi="Times New Roman"/>
          <w:color w:val="000000" w:themeColor="text1"/>
          <w:sz w:val="16"/>
          <w:szCs w:val="16"/>
          <w:vertAlign w:val="superscript"/>
        </w:rPr>
        <w:t>128</w:t>
      </w:r>
      <w:r w:rsidRPr="00A3026E">
        <w:rPr>
          <w:rFonts w:ascii="Times New Roman" w:hAnsi="Times New Roman"/>
          <w:color w:val="000000" w:themeColor="text1"/>
          <w:sz w:val="16"/>
          <w:szCs w:val="16"/>
        </w:rPr>
        <w:t xml:space="preserve"> Есть упоминание, что в 1941 г. завод эвакуирован в Саратов. По приказу № 1195сс от 31.12.1941 г. Подольский завод им. Орджоникидзе передан из НК нефти в ЮГУ НКАП. (есть упоминание, что Подольский завод им. Орджоникидзе- это завод № 180 НКТП).</w:t>
      </w:r>
    </w:p>
    <w:p w14:paraId="4E3A19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12.1942 г. ввиду неудовлетворительного состояния работ в отрасли по аэродромному оборудованию заводу поручено организовать производство передвижных масловодоподогревателей и бензозаправщиков. В соответствии с распоряжением ГКО № 5763 от 30.04.1944 г. заводу № 125 НКАП передано 100 заключенных из Подольского лагеря.</w:t>
      </w:r>
    </w:p>
    <w:p w14:paraId="25F132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1944-45 г. строились образцы самолетов-снарядов «10Х». С 12.1944 г. на завод возложено производство наземных стартовых устройств для «10Х».</w:t>
      </w:r>
    </w:p>
    <w:p w14:paraId="312CDF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1944 г. завод объединен с заводом № 9 ОАП, и образован единый завод № 125 НКАП.</w:t>
      </w:r>
    </w:p>
    <w:p w14:paraId="218DE0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404с/462с от 23.11.1945 г. завод № 125 ЮГУ НКАП передан в систему НК нефти. По приказу № 481с от 8.12.1945 г. весь задел по «10Х» (оснастка, техдокументация) оставлены в НКАП. В частности, по 110 чел. ИТР и рабочих, а также спецоборудование и станки переданы на заводы № 456 и № 491 НКАП.</w:t>
      </w:r>
    </w:p>
    <w:p w14:paraId="5AE06F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 1947 г.- производство электродов. С 1950-х  г. - проектирование и изготовление энергетических котельных установок для ТЭС. С 1947 г.- изготовление оборудования для экспериментальных атомных установок, с 1953 г. - оборудования для всех АЭС страны, а также на экспорт. С 1990-х  г.- создание котлов-утилизаторов для 111 У.</w:t>
      </w:r>
    </w:p>
    <w:p w14:paraId="6F29592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1980-х  г. завод был единственным предприятием в стране, имевшим оборудование для гибки труб диаметром 377 и 500 мм из стали 40ХМ (для катапульт авианесущих кораблей).</w:t>
      </w:r>
    </w:p>
    <w:p w14:paraId="204DF9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Предприятие имеет производства: заготовительное (кузнечный цех, холодной и горячей штамповки, раскроя листового проката); механообрабатывающее; трубное; сборочно-сварочное; экспериментальную базу, в состав которой входят лаборатории: аэродинамических и сепарационных испытаний, теплогидравлических исследований, импульсной техники, коррозионных и материаловедческих исследований. «ЗиО-Подольск» входил в ФПГ «Тяжэнергомаш» (ТЭМ), затем- в «ЭМАльянс».</w:t>
      </w:r>
    </w:p>
    <w:p w14:paraId="6A5901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Дочерние предприятия «ЗиО-Подольск» (2004 г.): ОАО «Инжиниринговая компания «Зиомар», ЗАО «Зиосаб», ОАО «Эсма», ОАО «ЗиО-Дор», ОАО «Строитель-плюс».</w:t>
      </w:r>
    </w:p>
    <w:p w14:paraId="739C77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Направления работы (2004 г.): тепловая энергетика, атомная энергетика, газонефтехимпереработка.</w:t>
      </w:r>
    </w:p>
    <w:p w14:paraId="54A712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(-08.1942-01.1943 г.-)- Б.Д. Кисилевский, (-09.1943-11.1944 г.-)- Свет. Гендиректор (-2003-06 г.)- В. Г. Даниленко, (-12.2007 г.)- В.П. Белоусов, (12.2007-08 г.)- Ю. Никаноров.</w:t>
      </w:r>
    </w:p>
    <w:p w14:paraId="2889AA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(-12.2007 г.)- Ю. Никаноров.</w:t>
      </w:r>
    </w:p>
    <w:p w14:paraId="447104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отделов: КО (1944-45 г.)- М.Р. Бисноват; маркетинга и управления проектами: № 1 (2000-е)- В.В. Гордеев; № 2 (2000-е)- Ю.А. Ершов; № 3 (2000-е)- А.Н. Шуб; № 5 (2000-е)- С.В. Долматов.</w:t>
      </w:r>
    </w:p>
    <w:p w14:paraId="3EC667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башни для танка Т-38 (1936-); крекинг-аппараты (1939-); бронекорпуса для Ил-2 (1940-); бронепоезд «Подольский рабочий» (1941); (1990-е) котлы-утилизаторы: П-90, П-91, П-92; (2000-е) котлы, котельное оборудование (сажеобдувочное, топливоподающее, тягодутьевые машины, калориферы, золоочистные установки, трубопроводы); оборудование для нефтегазхимии (колонны, теплообменники, емкости, трубчатые печи, змеевики, малогабаритные модульные установки для переработки газового конденсата и нефти, регенераторы); оборудование для геотермальных станций (11982).</w:t>
      </w:r>
    </w:p>
    <w:p w14:paraId="5C7DCB3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0EA6A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г. приказом НКАП № 748 в соответствии с пост. СНК от 15.12.1940 г. на заводе (Завод № 177 НКТП, Выксунский завод ДРО НКТП, НКОП, Выксунский завод «ДРА» НКСС, Выксунский завод дробильно-размольного оборудования (ДРО), ОАО «Дробмаш» /607061  г. Выкса Горьковской обл. ул. Заводская/) организовано производство бронекорпусов для Ил-2.</w:t>
      </w:r>
      <w:r w:rsidRPr="00A3026E">
        <w:rPr>
          <w:rFonts w:ascii="Times New Roman" w:hAnsi="Times New Roman"/>
          <w:color w:val="000000" w:themeColor="text1"/>
          <w:sz w:val="16"/>
          <w:szCs w:val="16"/>
          <w:vertAlign w:val="superscript"/>
        </w:rPr>
        <w:t>96</w:t>
      </w:r>
      <w:r w:rsidRPr="00A3026E">
        <w:rPr>
          <w:rFonts w:ascii="Times New Roman" w:hAnsi="Times New Roman"/>
          <w:color w:val="000000" w:themeColor="text1"/>
          <w:sz w:val="16"/>
          <w:szCs w:val="16"/>
        </w:rPr>
        <w:t xml:space="preserve"> В соответствии с пост. ГКО № 1сс от 1.07.1941 г. Выксунскому заводу «ДРА» НКСС поручен выпуск комплектующих для танков Т-34 и авиамоторов М-17. В годы войны завод выпускал военную продукцию: корпуса легких танков, САУ, бронекорпуса Ил-2, корпуса мин и РСов. Работы по корабельной броне (1942 г.).</w:t>
      </w:r>
      <w:r w:rsidRPr="00A3026E">
        <w:rPr>
          <w:rFonts w:ascii="Times New Roman" w:hAnsi="Times New Roman"/>
          <w:color w:val="000000" w:themeColor="text1"/>
          <w:sz w:val="16"/>
          <w:szCs w:val="16"/>
          <w:vertAlign w:val="superscript"/>
        </w:rPr>
        <w:t>61</w:t>
      </w:r>
      <w:r w:rsidRPr="00A3026E">
        <w:rPr>
          <w:rFonts w:ascii="Times New Roman" w:hAnsi="Times New Roman"/>
          <w:color w:val="000000" w:themeColor="text1"/>
          <w:sz w:val="16"/>
          <w:szCs w:val="16"/>
        </w:rPr>
        <w:t xml:space="preserve"> 16.03.1944 г. вышло распоряжение ГКО № 5409 об обеспечении кооперированных поставок с завода № 177 бронекорпусов СУ-16 на завод № 40 НКТП.</w:t>
      </w:r>
    </w:p>
    <w:p w14:paraId="1C0788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1942 г. завод № 177 - в ведении НКТП.</w:t>
      </w:r>
    </w:p>
    <w:p w14:paraId="681CF2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войны завод возвращается к производству дробильно-сортировочного оборудования. К началу 2000-х  г. выпущено около 110 тысяч единиц оборудования, в т.ч. 31 тысяча дробилок и около 60 тысяч агрегатов.</w:t>
      </w:r>
    </w:p>
    <w:p w14:paraId="39824D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(2000-е): дробильно-сортировочное оборудование: щековые, конусные, роторные, молотковые дробилки; питатели, грохоты, конвейеры, передвижные и транспортируемые агрегаты.</w:t>
      </w:r>
    </w:p>
    <w:p w14:paraId="56E631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2002 г. ОАО «Дробмаш» вошло в состав компании «Строительные машины и механизмы».</w:t>
      </w:r>
    </w:p>
    <w:p w14:paraId="581170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(06.1937 г.)- Н.Б. Завадский.</w:t>
      </w:r>
    </w:p>
    <w:p w14:paraId="3025D35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(06.1937 г.)- А.П. Петров.</w:t>
      </w:r>
      <w:r w:rsidRPr="00A3026E">
        <w:rPr>
          <w:rFonts w:ascii="Times New Roman" w:hAnsi="Times New Roman"/>
          <w:color w:val="000000" w:themeColor="text1"/>
          <w:sz w:val="16"/>
          <w:szCs w:val="16"/>
          <w:vertAlign w:val="superscript"/>
        </w:rPr>
        <w:t>139</w:t>
      </w:r>
    </w:p>
    <w:p w14:paraId="3629A6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Производство: бронекорпуса: для Ил-2 (1941-), для танков Т-60, Т-70 (ВОВ), для САУ-76 (ВОВ), АСУ-57 (1950-е); бронеавтомобиль БА-20 (ВОВ); погон для Т-34 (ВОВ); корпуса мин М-82 и </w:t>
      </w:r>
      <w:r w:rsidRPr="00A3026E">
        <w:rPr>
          <w:rFonts w:ascii="Times New Roman" w:hAnsi="Times New Roman"/>
          <w:color w:val="000000" w:themeColor="text1"/>
          <w:sz w:val="16"/>
          <w:szCs w:val="16"/>
          <w:lang w:val="en-US"/>
        </w:rPr>
        <w:t>PC</w:t>
      </w:r>
      <w:r w:rsidRPr="00A3026E">
        <w:rPr>
          <w:rFonts w:ascii="Times New Roman" w:hAnsi="Times New Roman"/>
          <w:color w:val="000000" w:themeColor="text1"/>
          <w:sz w:val="16"/>
          <w:szCs w:val="16"/>
        </w:rPr>
        <w:t xml:space="preserve"> М-8, М-13 и М-30 (ВОВ); дробилка щековая Щ-3 (1933-) (11982).</w:t>
      </w:r>
    </w:p>
    <w:p w14:paraId="76F837C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B8202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г. по приказу № 756с/590с Кроватный завод НКМП УССР передан в систему 6ГУ НКАП и по приказу № 73с от 27.01.1941 г. получил наименование ГС завод № 480 (ГС Завод № 480 НКАП /Украина  г. Харьков;  г. Молотов/). Производство узлов управления к моторам.</w:t>
      </w:r>
    </w:p>
    <w:p w14:paraId="35AF5D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10.1941 г. завод № 480 НКАП эвакуирован в Молотов на площадку строящегося завода № 19 и по приказу № 1103с от 9.11.1941 г. влит в состав завода № 135 НКАП.</w:t>
      </w:r>
    </w:p>
    <w:p w14:paraId="23987B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(11.1941 г.)- Савельев (11982).</w:t>
      </w:r>
    </w:p>
    <w:p w14:paraId="2BB73FA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012C8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состоялось заседание у Зам. наркома НКАП А.С.Я. по вопросам взаимоотношений с ВВС и А.С.Я. считал, что ВВС мешали работать. Был Н.Н.П., П.О.С. (899,36). Н.Н.П. тоже отмечал, что ВВС слишком часто меняют требования, П.О.С. хотел, чтобы отношения с заказчиком были регламентированы. С.В.И. - не было (960,36).</w:t>
      </w:r>
    </w:p>
    <w:p w14:paraId="5BA7C1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этом совещании речь шла о заделах в самой разнообразной форме. "а в некоторых случаях мы шли на то, чтобы, например, отгрузить 20 машин (разобранных) ДБ-3Ф на 126 завод, считая, что этим сможем выправить положение на 126 заводе, который в течение полугодия не выпускал машин. Послав туда машины, некоторый технический персонал и рабочих, а также дав туда оснастку, мы могли бы поставить 126 завод на ноги. Но это сделать не удалось" (1211).</w:t>
      </w:r>
    </w:p>
    <w:p w14:paraId="4DAB8CE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9496F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состоялось совещание у Зам. НКАП А.С.Я.:</w:t>
      </w:r>
    </w:p>
    <w:p w14:paraId="21521A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освоения мы получили следующие предприятия: группу з-в из 6 ГУ, которые занимались ремонтом, группу предприятий металлургии, машиностроительных, музыкальных инструментов и т.д., которые самолетостроением до этого никогда не занимались.</w:t>
      </w:r>
    </w:p>
    <w:p w14:paraId="65DA3D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Мы получили з-ды Ленинградской группы - № 380, 381, 387, автосборочный з-д в Ростове, авторемонтный з-д в Харькове, 35-й з-д, 43-1 з-д в Киевке, 165-й з-д в Днепропетровске, 83-й и 99-й, 116-й з-ды.</w:t>
      </w:r>
    </w:p>
    <w:p w14:paraId="006E9A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Сто представляют собой эти з-ды?</w:t>
      </w:r>
    </w:p>
    <w:p w14:paraId="2E1F62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380 в Ленинграде организован на базе в. Авторемонтного з-да трамвайно-троллейбусного управления (или 381?).</w:t>
      </w:r>
    </w:p>
    <w:p w14:paraId="0502B6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387-й з-д организован на базе 5 отдельных небольших зданий и мелких сооружений б з-да им. Каракозова и строящегося здания Лентекстильмаша (1 корпус).</w:t>
      </w:r>
    </w:p>
    <w:p w14:paraId="54249B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Харьковская группа. 350-й з-д организуется на базе б авторемонтного з-да</w:t>
      </w:r>
    </w:p>
    <w:p w14:paraId="1B6CC7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г. Ростове на Дону организуется 458-й.</w:t>
      </w:r>
    </w:p>
    <w:p w14:paraId="373658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получили три з-да в Прибалтике.</w:t>
      </w:r>
    </w:p>
    <w:p w14:paraId="3ADACB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Риге на базе очень больших площадей очень старый корпус з-да, оборудование которого было вывезено в период империалистической войны.</w:t>
      </w:r>
    </w:p>
    <w:p w14:paraId="76B9C1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Большое значение имеет группа з-в, переданная из нашей системы.</w:t>
      </w:r>
    </w:p>
    <w:p w14:paraId="4F5077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35 в Смоленске</w:t>
      </w:r>
    </w:p>
    <w:p w14:paraId="5CF55B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 43 в Киеве производил ремонт. К нему придается фабрика, производящая пионино (недостроенный корпус с лесосушилками) т аэродром Осоавиахима.</w:t>
      </w:r>
    </w:p>
    <w:p w14:paraId="4BC1A6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Дальневосточная группа – з-ды 83 - ремонтный, 99, 116 - ремонтный. Все з-ды находятся в стадии проектирования и стр-ва.</w:t>
      </w:r>
    </w:p>
    <w:p w14:paraId="5F180C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Мы имеем очень интересные з-ды, которые не освоены несмотря на то, что они считаются давно действующими и выпускающими продукцию. К таким надо отнести 153-й з-д в Новосибирске. Это очень мощный з-д по идее, заложенной в пр-те с двумя параллельными пр-вами. Мыслилось пр-во и и б, из которого закончена только одна часть под пр-во и (1235).</w:t>
      </w:r>
    </w:p>
    <w:p w14:paraId="38B6F92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E817D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состоялось совещание у Зам. НКАП А.С.Я.:</w:t>
      </w:r>
    </w:p>
    <w:p w14:paraId="28A634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обеспечения выполнения программы 1941 г.</w:t>
      </w:r>
    </w:p>
    <w:p w14:paraId="0B4981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Присутствуют: Шишкин, Петров, Ильюшин, Н.Н.П., П.О.С., Голеев, Щиц, Тарасевич, Штейнберг</w:t>
      </w:r>
    </w:p>
    <w:p w14:paraId="1E0A37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Поликарпов:</w:t>
      </w:r>
    </w:p>
    <w:p w14:paraId="08FCC0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“Хочу обратить внимание на наши взаимоотношения с ВВС. Требования ВВС к машине меняются чрезвычайно быстро. ВВС требует тех или иных видоизменений и модификаций, что что сопровождается крупными потерями в производстве. Предполагается значительный перелом в этом отношении - упрочение взаимоотношений, единство взглядов и постоянство требований со стороны ВВС. Мы можем выполнить любые требования ВВС, но если они будут постоянными, если они не будут зависить от настроения людей, возглавляющих те или иные участки ВВС.</w:t>
      </w:r>
    </w:p>
    <w:p w14:paraId="638292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отношения надо упорядочить, и это ускоррит и улучшит нашу работу...”</w:t>
      </w:r>
    </w:p>
    <w:p w14:paraId="233928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Сухой:</w:t>
      </w:r>
    </w:p>
    <w:p w14:paraId="62DD72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“...Относительно роли заказчика считаю необходимым подчеркнуть, что отношение завода к заказчику должны быть строго герламентированы. Необходимо, чтобы по воле военпреда, который с технической стороны не всегда является на своем месте, и не всегда понимая те или иные вещи, из-за перестраховки, начинает выставлять такие требования, которые тормозят сдачу продукцииЮ невыносимые излишние усложнения. Такие вещи должны быть резко отменены.</w:t>
      </w:r>
    </w:p>
    <w:p w14:paraId="64767C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Вчера на одной из серийных машин в Чкаловской вырвало плексиглас. Оказалось, что плексиглас на 5 мм выходил за рамку. Этот пункт ставится как пункт, опасный для полета, и через день получаю телеграмму, что приемка приостанавливается и заводы начинает лихорадить</w:t>
      </w:r>
    </w:p>
    <w:p w14:paraId="309682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отношение заказчика к заводу надо дать регламент”</w:t>
      </w:r>
    </w:p>
    <w:p w14:paraId="191653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Яковлев:</w:t>
      </w:r>
    </w:p>
    <w:p w14:paraId="089624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Нужно подготовить вопрос о взаимоотношениях с ВВС. Те основные вхзаимоотношения, которые имеются, не изменились и необходимо их упорядочить, чтобы нам не мешали работать. Четко регламентировать взаимоотношения с заказчиком и в части опытного самолетостроения и в части внедрения.</w:t>
      </w:r>
    </w:p>
    <w:p w14:paraId="031111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Далее, у меня намечается такой вопрос: для повышения авторитета, усиления единоначалия и производственной дисциплины на заводах, обеспечить директорам и руководящим работникам Гаркомата право бесконтрольного увольнения негодных работников на предприятиях АП.”</w:t>
      </w:r>
    </w:p>
    <w:p w14:paraId="40D9EF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Поднятие роли роли директора - установление понятия генерального директора, впоросы дисциплины и зарплаты для гендиректора установить в виде оклада в 4 тыс. руб. В месяц, для директора 2-й категории - 3 тыс., для директора 3-й категории - 2 тыс.</w:t>
      </w:r>
    </w:p>
    <w:p w14:paraId="03D87A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Разработку этого вопроса берет на себя тов. Яковлев (899,1).</w:t>
      </w:r>
    </w:p>
    <w:p w14:paraId="22D21DD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1CF1F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начались заводские испытания ДБ-4-2 С.В.И. 2АМ-37 (2090,234).</w:t>
      </w:r>
    </w:p>
    <w:p w14:paraId="31FF7C5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15170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на заводе 22 закончились 200 час. летные испытания матчасти двух самолетов СБ 2М-105 с ВИШ-22Е на изнашиваемость, которые шли с 21 октября 1940. Испытания были прекращены по телефонограмме Зам. нач. 7 ГУ Шишкина (2455).</w:t>
      </w:r>
    </w:p>
    <w:p w14:paraId="1C61D4A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027AC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А.И.Ш. писал И.В.С. о полетах Федорова на Пе-2 39 завода. 16 декабря был полет на одном моторе - устойчивый и продолжительный, а 17 - изучение скорости, которая совпала с расчетной (1178).</w:t>
      </w:r>
    </w:p>
    <w:p w14:paraId="3D04822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101E35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Директор з-да № 82 ви1р С.Жилин писал письмо № 1556с в НАРКОМАТ ГОСКОНТРОЛЯ СССР контролеру НКАП тов. Юданову М.И.</w:t>
      </w:r>
    </w:p>
    <w:p w14:paraId="707A696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этом посылаю Вам справку согласмо В/устному запросу (10499,63).</w:t>
      </w:r>
    </w:p>
    <w:p w14:paraId="232A594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Директор з-да № 82 ви1р С.Жилин и ГИ Таканаев подготовили:</w:t>
      </w:r>
    </w:p>
    <w:p w14:paraId="2AAFCFF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СПРАВКА</w:t>
      </w:r>
    </w:p>
    <w:p w14:paraId="35C8E72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Народного Комиссара Авиационной Промышлен</w:t>
      </w:r>
      <w:r w:rsidRPr="00A3026E">
        <w:rPr>
          <w:rFonts w:ascii="Times New Roman" w:hAnsi="Times New Roman"/>
          <w:color w:val="000000" w:themeColor="text1"/>
          <w:sz w:val="16"/>
          <w:szCs w:val="16"/>
        </w:rPr>
        <w:softHyphen/>
        <w:t>ности за № 222сс от 21 мая 1940 г., изданным в развитие Постановле</w:t>
      </w:r>
      <w:r w:rsidRPr="00A3026E">
        <w:rPr>
          <w:rFonts w:ascii="Times New Roman" w:hAnsi="Times New Roman"/>
          <w:color w:val="000000" w:themeColor="text1"/>
          <w:sz w:val="16"/>
          <w:szCs w:val="16"/>
        </w:rPr>
        <w:softHyphen/>
        <w:t>ния К.О. при СНК СССР за №-200сс от 12/5-40 г. завод № 82 НКАП обязывался:</w:t>
      </w:r>
    </w:p>
    <w:p w14:paraId="7759A40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Изготовить в 1940 году 50 моторов М-30,</w:t>
      </w:r>
    </w:p>
    <w:p w14:paraId="44F5A17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2 мотора М-30 постовить на заводские испытания в мае 1940 года.</w:t>
      </w:r>
    </w:p>
    <w:p w14:paraId="1E4029A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Довести рессурсы работы мотора М-30 до 100 часов.</w:t>
      </w:r>
    </w:p>
    <w:p w14:paraId="1E8B84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Провести государственное испытания мотора М-30 в Августе и летные испытания в Октябре—Декабре 1940 года.</w:t>
      </w:r>
    </w:p>
    <w:p w14:paraId="6961348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программы завода № 82 на 1940 год, приказом № 249сс от 29 мая 1940 ряд организаций и заводов обязаны были выполнить следующие работы:</w:t>
      </w:r>
    </w:p>
    <w:p w14:paraId="5128217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ГУЛАГ НКВД - закончить к 1/1X-40 г. строигельство 1-й очереди (главный корпус, лит.цех, кузница и испытат. станция).</w:t>
      </w:r>
    </w:p>
    <w:p w14:paraId="0B989B9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Фактически, работа по этим об'ъектам на 1/12-40 г. пронзведены на 79%</w:t>
      </w:r>
    </w:p>
    <w:p w14:paraId="78959CA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ЗАВОД № 219 - Поставить литье в след. колич. и сроки:</w:t>
      </w:r>
    </w:p>
    <w:p w14:paraId="1EA7F11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6 -10 комплектов</w:t>
      </w:r>
    </w:p>
    <w:p w14:paraId="2BD7BB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7 - 15</w:t>
      </w:r>
    </w:p>
    <w:p w14:paraId="0E3DD21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 8 -15</w:t>
      </w:r>
    </w:p>
    <w:p w14:paraId="74B1642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кроме того</w:t>
      </w:r>
    </w:p>
    <w:p w14:paraId="545BA4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в Ш и 1У кв.- 200 комплектов.</w:t>
      </w:r>
    </w:p>
    <w:p w14:paraId="5AB815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Фактически завод №-219 не только не выполнил эти поставки по срокам ни по количесгву, но ик поставлял литье некомплектно</w:t>
      </w:r>
    </w:p>
    <w:p w14:paraId="6316B2D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ЗАВОД № 24 - Изготовитъ коленчатые валы в количестве 25 штук в следующие сроки:</w:t>
      </w:r>
    </w:p>
    <w:p w14:paraId="78D8E4C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У-40 г. - 5 штук</w:t>
      </w:r>
    </w:p>
    <w:p w14:paraId="33CEC43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УП - 10</w:t>
      </w:r>
    </w:p>
    <w:p w14:paraId="1E499AB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 У111 - 10</w:t>
      </w:r>
    </w:p>
    <w:p w14:paraId="08C03AB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Фактически, на 15/ХП-40 г. поставлено 10 штук.</w:t>
      </w:r>
    </w:p>
    <w:p w14:paraId="5198493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ЗАВОД № 20 - Поставить водяную и топливную помпы;</w:t>
      </w:r>
    </w:p>
    <w:p w14:paraId="5A3E275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У1-40 г. - 5 комплектов</w:t>
      </w:r>
    </w:p>
    <w:p w14:paraId="1D78E6D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7, 8, 9, 10, 11 и 12 - по 10 комплектов.</w:t>
      </w:r>
    </w:p>
    <w:p w14:paraId="423C879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Этих обязательств завод ие выполнил. На 1/ХП-40 г. мы получали 6 компл.</w:t>
      </w:r>
    </w:p>
    <w:p w14:paraId="272AA29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3-д Оргавиапрома - Изготовить ротор и крыльчатку турбокомпрессора на всю программу 1940 г., это также было выполнено только частично, т.е. были даны полуфабрикаты.</w:t>
      </w:r>
    </w:p>
    <w:p w14:paraId="29AD5D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К.К.А.З. - Поставить насосы ТН-12.</w:t>
      </w:r>
    </w:p>
    <w:p w14:paraId="7AE599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Фактически поставлен один насос. Необходимо отметить, что это затя</w:t>
      </w:r>
      <w:r w:rsidRPr="00A3026E">
        <w:rPr>
          <w:rFonts w:ascii="Times New Roman" w:hAnsi="Times New Roman"/>
          <w:color w:val="000000" w:themeColor="text1"/>
          <w:sz w:val="16"/>
          <w:szCs w:val="16"/>
        </w:rPr>
        <w:softHyphen/>
        <w:t>гивало своевременную постановку М-30 на испытания.</w:t>
      </w:r>
    </w:p>
    <w:p w14:paraId="553BD65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ОТДЕЛ ОБОРУДОВАНИЯ НКАП - реалазоватъ заявку завода на импортное оборудование а кол. 173 станка. Фактически реализовано 9 единиц</w:t>
      </w:r>
    </w:p>
    <w:p w14:paraId="739ACF9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завод начал свою деятельность без достаточного парка комплектного оборудования, без необходимых кадров квалифицированных рабочих, имея очень сжатые сроки и возможности ддя обеспечения подго</w:t>
      </w:r>
      <w:r w:rsidRPr="00A3026E">
        <w:rPr>
          <w:rFonts w:ascii="Times New Roman" w:hAnsi="Times New Roman"/>
          <w:color w:val="000000" w:themeColor="text1"/>
          <w:sz w:val="16"/>
          <w:szCs w:val="16"/>
        </w:rPr>
        <w:softHyphen/>
        <w:t>товки производства. Это обусловлено тем обстоятельством, к что чертежи М-30 были переданы в производство в 1-м квартале 1940 года, а возможности Отдела Главного техно</w:t>
      </w:r>
      <w:r w:rsidRPr="00A3026E">
        <w:rPr>
          <w:rFonts w:ascii="Times New Roman" w:hAnsi="Times New Roman"/>
          <w:color w:val="000000" w:themeColor="text1"/>
          <w:sz w:val="16"/>
          <w:szCs w:val="16"/>
        </w:rPr>
        <w:softHyphen/>
        <w:t>лога и инструменталъного были весьма ограничены.</w:t>
      </w:r>
    </w:p>
    <w:p w14:paraId="151B14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Изготовление оснастки (инструмент и приспособления) велось параллельно с запуском деталей мотора, а это затягивало процесс освоения и изготовления мотора.</w:t>
      </w:r>
    </w:p>
    <w:p w14:paraId="4AEB462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основным узлам, запуск первых моторов был произведен в марте 1940 года.</w:t>
      </w:r>
    </w:p>
    <w:p w14:paraId="3EF02F7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моменту запуска, механический цех завода имел 140 единиц технологического оборудования (к 1/УП имелосъ 160, а к 1/Х1 - 170 станков).</w:t>
      </w:r>
    </w:p>
    <w:p w14:paraId="1F5A09D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Пропускная способностъ механического цеха по указанному оборудованию с Марта по Декабрь 1940 г. позволяла изготовить 30 комплектов М-30 (в деталям и узлах)</w:t>
      </w:r>
    </w:p>
    <w:p w14:paraId="5C38C25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Наряду с изготовлением мотора М-30, на этом-же оборудоваыхк производились и другие работы:</w:t>
      </w:r>
    </w:p>
    <w:p w14:paraId="08837A4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Изготовление мотороа Д-11,</w:t>
      </w:r>
    </w:p>
    <w:p w14:paraId="36F6383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изготовление опытиих установок (ОН-4, ОН-1, ОТД и друг.)</w:t>
      </w:r>
    </w:p>
    <w:p w14:paraId="1ED6F0E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Работы по М-20,</w:t>
      </w:r>
    </w:p>
    <w:p w14:paraId="36E4380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Работы по доводке мотора М-30,</w:t>
      </w:r>
    </w:p>
    <w:p w14:paraId="6C46AF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мая месяца 1940 года на заполнение работ по доводке М-30, как-то:</w:t>
      </w:r>
    </w:p>
    <w:p w14:paraId="6ED9C33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Замена гильз блока,</w:t>
      </w:r>
    </w:p>
    <w:p w14:paraId="3322F43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Замена силовых шпилек картера,</w:t>
      </w:r>
    </w:p>
    <w:p w14:paraId="5EFFB6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Замена вкладышей 6-ой опоры,</w:t>
      </w:r>
    </w:p>
    <w:p w14:paraId="1311C1C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Замена поршней,</w:t>
      </w:r>
    </w:p>
    <w:p w14:paraId="2B42EE3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Работы, связанные с устраненной дефектов втулки прицепного шатужа,</w:t>
      </w:r>
    </w:p>
    <w:p w14:paraId="41B8A8E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Работы по доводке Т1-82,</w:t>
      </w:r>
    </w:p>
    <w:p w14:paraId="6434EE0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Замена корпуса поддона (изготовление моделей, нового датъя и изготовление деталей) и т.д.</w:t>
      </w:r>
    </w:p>
    <w:p w14:paraId="5D9D48C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работы поглощали около 30-40% мощности ме</w:t>
      </w:r>
      <w:r w:rsidRPr="00A3026E">
        <w:rPr>
          <w:rFonts w:ascii="Times New Roman" w:hAnsi="Times New Roman"/>
          <w:color w:val="000000" w:themeColor="text1"/>
          <w:sz w:val="16"/>
          <w:szCs w:val="16"/>
        </w:rPr>
        <w:softHyphen/>
        <w:t>ханического цеха, так как при всех изменениях, задел деталей измененных конструкций выбрасывался.</w:t>
      </w:r>
    </w:p>
    <w:p w14:paraId="75FDF53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Приведенные причины:</w:t>
      </w:r>
    </w:p>
    <w:p w14:paraId="2AB674D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Задержка строительных работ 1-й очереди,</w:t>
      </w:r>
    </w:p>
    <w:p w14:paraId="34AE093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Срыв сроков заводами смежниками,</w:t>
      </w:r>
    </w:p>
    <w:p w14:paraId="13A569E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Значительный объем работ по доводке, обусловили следующие результаты работы завода в 1940 году:</w:t>
      </w:r>
    </w:p>
    <w:p w14:paraId="4BDC058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Изготовлено и собрано 10 моторов,</w:t>
      </w:r>
    </w:p>
    <w:p w14:paraId="52CDD52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Находится в заделе 40 моторов, за исключе</w:t>
      </w:r>
      <w:r w:rsidRPr="00A3026E">
        <w:rPr>
          <w:rFonts w:ascii="Times New Roman" w:hAnsi="Times New Roman"/>
          <w:color w:val="000000" w:themeColor="text1"/>
          <w:sz w:val="16"/>
          <w:szCs w:val="16"/>
        </w:rPr>
        <w:softHyphen/>
        <w:t>нием литья, поставляемого заводом № 219, по кото</w:t>
      </w:r>
      <w:r w:rsidRPr="00A3026E">
        <w:rPr>
          <w:rFonts w:ascii="Times New Roman" w:hAnsi="Times New Roman"/>
          <w:color w:val="000000" w:themeColor="text1"/>
          <w:sz w:val="16"/>
          <w:szCs w:val="16"/>
        </w:rPr>
        <w:softHyphen/>
        <w:t>рому обеспечено 14 комплектов.</w:t>
      </w:r>
    </w:p>
    <w:p w14:paraId="3D7623D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Проведены заводские, официальные заводские 100 часовые испытания по программе 45 АМТУ 12.11-1940 г.</w:t>
      </w:r>
    </w:p>
    <w:p w14:paraId="7849A23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Проведены государственные испытания в Декабре 1940 года со следующими результатами:</w:t>
      </w:r>
    </w:p>
    <w:p w14:paraId="3BE0A07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Взлетная мощность - 1500 лош. сил.,</w:t>
      </w:r>
    </w:p>
    <w:p w14:paraId="3378237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Номинальн. (на высоте 6000 м.) - 1250 л.с.</w:t>
      </w:r>
    </w:p>
    <w:p w14:paraId="22F61F5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Расход топлива (средн.за 100 часов) - 145 гр. на л.с.ч.</w:t>
      </w:r>
    </w:p>
    <w:p w14:paraId="571E326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Расход масла - 10,8 гр. на л.с.ч.</w:t>
      </w:r>
    </w:p>
    <w:p w14:paraId="3C7FE6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Вес мотора - 1150 кгр.</w:t>
      </w:r>
    </w:p>
    <w:p w14:paraId="11BF0F6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По жилстроительству</w:t>
      </w:r>
    </w:p>
    <w:p w14:paraId="69BE60E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Обеспечить выполнение в срок строительства 6-ти каменных корпусов и построить 10-12 - 8-ми кварт. стандартных домов в заводском поселке.</w:t>
      </w:r>
    </w:p>
    <w:p w14:paraId="4798FF4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Построить заводскою столовую в 1-м квартале 1941 г. (10499,64).</w:t>
      </w:r>
    </w:p>
    <w:p w14:paraId="5386DDF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77FE91B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с письмом № 26/496 Зам. Нач. ОКО Жиганова Зам. Нач. 7 ГУ НКАП Шишкину был направлен Отчет о ДВИЖЕНИИ ОПЫТНЫХ РАБОТ В ОКО ЗАВОДА № 135 на 16 декабря 1940 г.</w:t>
      </w:r>
    </w:p>
    <w:p w14:paraId="7C2907C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маш..330 (Заказ 360)</w:t>
      </w:r>
    </w:p>
    <w:p w14:paraId="4D1C1F2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Техническая готовность незаконченных монтажей следующая:</w:t>
      </w:r>
    </w:p>
    <w:p w14:paraId="4AE40E7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Капот</w:t>
      </w:r>
    </w:p>
    <w:p w14:paraId="2A0C736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Костыль</w:t>
      </w:r>
    </w:p>
    <w:p w14:paraId="3AB5084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Кок на винт</w:t>
      </w:r>
    </w:p>
    <w:p w14:paraId="4E0B199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Щитки шасси</w:t>
      </w:r>
    </w:p>
    <w:p w14:paraId="1AE12CC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сих пор не получены:</w:t>
      </w:r>
    </w:p>
    <w:p w14:paraId="4B801C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p w14:paraId="0CC0C9F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Пушка</w:t>
      </w:r>
    </w:p>
    <w:p w14:paraId="5B108E6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Бензиномер Телевель</w:t>
      </w:r>
    </w:p>
    <w:p w14:paraId="2534BDF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Рация</w:t>
      </w:r>
    </w:p>
    <w:p w14:paraId="7367B8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серийной машины с М-81</w:t>
      </w:r>
    </w:p>
    <w:p w14:paraId="6D15E4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Машина законсервирована ввиду отсутствия мотора</w:t>
      </w:r>
    </w:p>
    <w:p w14:paraId="7BF5429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ББ-1 МАИ</w:t>
      </w:r>
    </w:p>
    <w:p w14:paraId="0B084E2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Продолжилось проектирование изменяемых узлов по всем группам</w:t>
      </w:r>
    </w:p>
    <w:p w14:paraId="58AC24E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Техническая готовность запущенных в производство узлов следующая:</w:t>
      </w:r>
    </w:p>
    <w:p w14:paraId="5F0FDAB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Стабилизатор</w:t>
      </w:r>
    </w:p>
    <w:p w14:paraId="7E45F4B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Руль глубины</w:t>
      </w:r>
    </w:p>
    <w:p w14:paraId="5CCB168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Крылья</w:t>
      </w:r>
    </w:p>
    <w:p w14:paraId="762D376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Щитки крыла</w:t>
      </w:r>
    </w:p>
    <w:p w14:paraId="3FB340E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Элероны</w:t>
      </w:r>
    </w:p>
    <w:p w14:paraId="5ACD0F9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Костыль</w:t>
      </w:r>
    </w:p>
    <w:p w14:paraId="07DD015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рулем глубины</w:t>
      </w:r>
    </w:p>
    <w:p w14:paraId="4489DB8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Передняя и средняя части фонаря</w:t>
      </w:r>
    </w:p>
    <w:p w14:paraId="77B85B6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Фюзеляж</w:t>
      </w:r>
    </w:p>
    <w:p w14:paraId="76968A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Машина ДИС</w:t>
      </w:r>
    </w:p>
    <w:p w14:paraId="083B11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Продолжается разработка конструкции агрегатов</w:t>
      </w:r>
    </w:p>
    <w:p w14:paraId="5D201F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Макет закончен (874,82).</w:t>
      </w:r>
    </w:p>
    <w:p w14:paraId="3466A0A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02D6D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вышел приказ НКАП N 749cc в исполнение постановления Правительства от 15 декабря 1940, согласно которому директору завода 27 Михайлову было приказано приступить с 25 декабря 1940 к серийному производству моторов М-105 (1315,212).</w:t>
      </w:r>
    </w:p>
    <w:p w14:paraId="49C30B2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A8FB7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Данилин - Депутат ВС и ГСС написал письмо Зам. Пред. СНК и Пред. КО СНК К.Е.В. о том, что производство самолетов отстает от производства оборудования, вооружения и спецсредств (2463,195).</w:t>
      </w:r>
    </w:p>
    <w:p w14:paraId="568EDF8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2210F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вышел приказ НКАП N 393 в исполнение указа Президиума ВС от 19 октября 1940, которым был утвержден Устав завода 467 3 ГУ (1647,28).</w:t>
      </w:r>
    </w:p>
    <w:p w14:paraId="0958134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2E905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А.И.Ш. писал Г.М.Маленкову, что использование самолетов на колесах зимой срывается из-за отсутствия на аэродромах снегопогрузчиков (1178).</w:t>
      </w:r>
    </w:p>
    <w:p w14:paraId="107C574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0D2BFFA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г. появилась докладная записка начальника 3 отдела М.П.Елисеева начальнику института Б.М.Слонимсру, в которой говорилось: «Готовы к массовому производству РОФС-82 с неразъемным блоком «камера-сопло» без механической или с частичной механической обработкой РЧ. Они были заказаны в конце января и успешно испытаны в ноябре 1940 г. На заводе №70 изготовлена партия в 500 штук. В их конструкции применена правка стабилизаторов. Плани</w:t>
      </w:r>
      <w:r w:rsidRPr="00A3026E">
        <w:rPr>
          <w:rFonts w:ascii="Times New Roman" w:hAnsi="Times New Roman"/>
          <w:color w:val="000000" w:themeColor="text1"/>
          <w:sz w:val="16"/>
          <w:szCs w:val="16"/>
        </w:rPr>
        <w:softHyphen/>
        <w:t>руется в марте-апреле 1941 г. провести их полигонные испытания, а в ию-1941 г. запустить в массовое производство».</w:t>
      </w:r>
    </w:p>
    <w:p w14:paraId="6BFB757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каком именно образце боеприпасов здесь шла речь, понять трудно, поскольку даже РОФС-82, разработанных по теме объекта 622, было не</w:t>
      </w:r>
      <w:r w:rsidRPr="00A3026E">
        <w:rPr>
          <w:rFonts w:ascii="Times New Roman" w:hAnsi="Times New Roman"/>
          <w:color w:val="000000" w:themeColor="text1"/>
          <w:sz w:val="16"/>
          <w:szCs w:val="16"/>
        </w:rPr>
        <w:softHyphen/>
        <w:t>сколько образцов. Так, к 18 сентября 1940 г. в отделе Елисеева бригада инженеров под руководством ведущего технолога И.Я Лапшина и технолога-консгруктора Сергеева в инициативном порядке разработала ряд упрощенных авиационных реактивных снарядов - 82-мм осколочно</w:t>
      </w:r>
      <w:r w:rsidRPr="00A3026E">
        <w:rPr>
          <w:rFonts w:ascii="Times New Roman" w:hAnsi="Times New Roman"/>
          <w:color w:val="000000" w:themeColor="text1"/>
          <w:sz w:val="16"/>
          <w:szCs w:val="16"/>
        </w:rPr>
        <w:softHyphen/>
        <w:t>-фугасных ракет ОФР-82 и ОФР-132. Необходимость упрощения в массовом производстве технологии изготовления ракетного двигателя для них не°влекла изменение всей конструкции РС.</w:t>
      </w:r>
    </w:p>
    <w:p w14:paraId="28D75C1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По-видимому, наименование моделей этих ОФР - СЛ-005 и СЛ-017 - свидетельствует о том, что оба снаряда - детище Сергеева и Лапшина, хотя в этой работе им активно помогал и инженер отдела Булгаков. Ис</w:t>
      </w:r>
      <w:r w:rsidRPr="00A3026E">
        <w:rPr>
          <w:rFonts w:ascii="Times New Roman" w:hAnsi="Times New Roman"/>
          <w:color w:val="000000" w:themeColor="text1"/>
          <w:sz w:val="16"/>
          <w:szCs w:val="16"/>
        </w:rPr>
        <w:softHyphen/>
        <w:t>тория с ОФР-82 началась задолго до появления упомянутой докладной. Об этом говорит интенсивная переписка в 1939 г. между НИИ-3 и заместителем начальника «Главтрубостали» Колыбаловым. Еще бы, при под</w:t>
      </w:r>
      <w:r w:rsidRPr="00A3026E">
        <w:rPr>
          <w:rFonts w:ascii="Times New Roman" w:hAnsi="Times New Roman"/>
          <w:color w:val="000000" w:themeColor="text1"/>
          <w:sz w:val="16"/>
          <w:szCs w:val="16"/>
        </w:rPr>
        <w:softHyphen/>
        <w:t>боре цельнотянутых труб всего двух строго определенных диаметров ме</w:t>
      </w:r>
      <w:r w:rsidRPr="00A3026E">
        <w:rPr>
          <w:rFonts w:ascii="Times New Roman" w:hAnsi="Times New Roman"/>
          <w:color w:val="000000" w:themeColor="text1"/>
          <w:sz w:val="16"/>
          <w:szCs w:val="16"/>
        </w:rPr>
        <w:softHyphen/>
        <w:t>ханические заводы НКБ получали экономию в продолжительности про</w:t>
      </w:r>
      <w:r w:rsidRPr="00A3026E">
        <w:rPr>
          <w:rFonts w:ascii="Times New Roman" w:hAnsi="Times New Roman"/>
          <w:color w:val="000000" w:themeColor="text1"/>
          <w:sz w:val="16"/>
          <w:szCs w:val="16"/>
        </w:rPr>
        <w:softHyphen/>
        <w:t>изводственного цикла на целый порядок!</w:t>
      </w:r>
    </w:p>
    <w:p w14:paraId="68F46E7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снарядов, изготовленной в октябре опытной в 50 штук партии ОФР-82 модели СЛ-017 боевые части были абсолютно идентичны ис</w:t>
      </w:r>
      <w:r w:rsidRPr="00A3026E">
        <w:rPr>
          <w:rFonts w:ascii="Times New Roman" w:hAnsi="Times New Roman"/>
          <w:color w:val="000000" w:themeColor="text1"/>
          <w:sz w:val="16"/>
          <w:szCs w:val="16"/>
        </w:rPr>
        <w:softHyphen/>
        <w:t>пользуемым в штатных боеприпасах, которые производили на заводе №70 НКБ. Ракетная часть предусматривала использование штатных РЗ. Ее основу составляла тонкостенная бесшовная труба из стали марки Ст.45, ассортимент которых был широко распространен в авиационной и автотракторной промышленности.</w:t>
      </w:r>
    </w:p>
    <w:p w14:paraId="043EA7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Блоки «камера-сопло» изготавливали методом принудительной ков</w:t>
      </w:r>
      <w:r w:rsidRPr="00A3026E">
        <w:rPr>
          <w:rFonts w:ascii="Times New Roman" w:hAnsi="Times New Roman"/>
          <w:color w:val="000000" w:themeColor="text1"/>
          <w:sz w:val="16"/>
          <w:szCs w:val="16"/>
        </w:rPr>
        <w:softHyphen/>
        <w:t>ки в ротационно-ковочной машине или под молотом, оборудованным «дополнительным механизмом подачи обшей массой 150-200 кг». Эти приемы разработали в НИИ-3 НКБ и опробовали на заводе имени Лени</w:t>
      </w:r>
      <w:r w:rsidRPr="00A3026E">
        <w:rPr>
          <w:rFonts w:ascii="Times New Roman" w:hAnsi="Times New Roman"/>
          <w:color w:val="000000" w:themeColor="text1"/>
          <w:sz w:val="16"/>
          <w:szCs w:val="16"/>
        </w:rPr>
        <w:softHyphen/>
        <w:t>на НКЧМ. При этом колосниковую диафрагму в виде отдельного узла запрессовывали в полость камеры двигателя. Напомним, что у штатных снарядов ее закрепляли в специальных гнездах крышки-сопла, которой затем поджимали РЗ.</w:t>
      </w:r>
    </w:p>
    <w:p w14:paraId="729D11B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крепления ведущих штифтов и стабилизатора, на блок «камера-сопло» напрессовывали кольцевые пояски, которые одновременно уве</w:t>
      </w:r>
      <w:r w:rsidRPr="00A3026E">
        <w:rPr>
          <w:rFonts w:ascii="Times New Roman" w:hAnsi="Times New Roman"/>
          <w:color w:val="000000" w:themeColor="text1"/>
          <w:sz w:val="16"/>
          <w:szCs w:val="16"/>
        </w:rPr>
        <w:softHyphen/>
        <w:t>личивали прочность блока. Дно двигателя, в зависимости от назначения снаряда, крепили как в задней части БЧ, так и в передней части РЧ на резьбе. Стабилизатор использовали также штатный, «с объемной конст</w:t>
      </w:r>
      <w:r w:rsidRPr="00A3026E">
        <w:rPr>
          <w:rFonts w:ascii="Times New Roman" w:hAnsi="Times New Roman"/>
          <w:color w:val="000000" w:themeColor="text1"/>
          <w:sz w:val="16"/>
          <w:szCs w:val="16"/>
        </w:rPr>
        <w:softHyphen/>
        <w:t>рукцией крыльев», ранее разработанный на заводе №70 НКБ.</w:t>
      </w:r>
    </w:p>
    <w:p w14:paraId="0EBD9D0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Технико-экономические расчеты показали, что при использовании ка</w:t>
      </w:r>
      <w:r w:rsidRPr="00A3026E">
        <w:rPr>
          <w:rFonts w:ascii="Times New Roman" w:hAnsi="Times New Roman"/>
          <w:color w:val="000000" w:themeColor="text1"/>
          <w:sz w:val="16"/>
          <w:szCs w:val="16"/>
        </w:rPr>
        <w:softHyphen/>
        <w:t>либрованных труб Днепропетровского трубного завода имени Ленина (78/3 мм для РС-82) или Первоуральского Новотрубного завода (78/3 мм для РС-82 и 128/4 мм для РС-132), отпадает необходимость в обработке на</w:t>
      </w:r>
      <w:r w:rsidRPr="00A3026E">
        <w:rPr>
          <w:rFonts w:ascii="Times New Roman" w:hAnsi="Times New Roman"/>
          <w:color w:val="000000" w:themeColor="text1"/>
          <w:sz w:val="16"/>
          <w:szCs w:val="16"/>
        </w:rPr>
        <w:softHyphen/>
        <w:t>ружной и внутренней поверхностей камеры двигателей снарядов. Резьбо</w:t>
      </w:r>
      <w:r w:rsidRPr="00A3026E">
        <w:rPr>
          <w:rFonts w:ascii="Times New Roman" w:hAnsi="Times New Roman"/>
          <w:color w:val="000000" w:themeColor="text1"/>
          <w:sz w:val="16"/>
          <w:szCs w:val="16"/>
        </w:rPr>
        <w:softHyphen/>
        <w:t>вые соединения корпуса двигателя с крышкой-соплом, сопла со стабили</w:t>
      </w:r>
      <w:r w:rsidRPr="00A3026E">
        <w:rPr>
          <w:rFonts w:ascii="Times New Roman" w:hAnsi="Times New Roman"/>
          <w:color w:val="000000" w:themeColor="text1"/>
          <w:sz w:val="16"/>
          <w:szCs w:val="16"/>
        </w:rPr>
        <w:softHyphen/>
        <w:t>затором, а также запальных стаканов дополнительных детонаторов с кор</w:t>
      </w:r>
      <w:r w:rsidRPr="00A3026E">
        <w:rPr>
          <w:rFonts w:ascii="Times New Roman" w:hAnsi="Times New Roman"/>
          <w:color w:val="000000" w:themeColor="text1"/>
          <w:sz w:val="16"/>
          <w:szCs w:val="16"/>
        </w:rPr>
        <w:softHyphen/>
        <w:t>пусом БЧ упразднили. Время, необходимое на механическую обработку крышки-сопла, резко сокращалось, упрощалась и обработка дна двигателя, стабилизатора и запального стакана. Обтекатель стабилизатора теперь просто наделали на конусную выточку заднего центрирующего утолщения и в районе соплового среза фиксировали сваркой в нескольких точках.</w:t>
      </w:r>
    </w:p>
    <w:p w14:paraId="1B3EFA6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итоге общее время обработки узлов существенно сократилось. К при</w:t>
      </w:r>
      <w:r w:rsidRPr="00A3026E">
        <w:rPr>
          <w:rFonts w:ascii="Times New Roman" w:hAnsi="Times New Roman"/>
          <w:color w:val="000000" w:themeColor="text1"/>
          <w:sz w:val="16"/>
          <w:szCs w:val="16"/>
        </w:rPr>
        <w:softHyphen/>
        <w:t>меру, на производство одного штатного снаряда РОФС-82 затрачивали в среднем 490 минут, а на ОФР-82 по новой технологии - до 280. По старой технологии РОФС-132 изготавливали за 940 минут, а на изготовление ОФР-132 требовалось всего 360. Новая конструкция способствовала также экономии материала. Теперь при изготовлении снарядов 82-мм калибра в стружку уходило на 8,3 кг металла меньше, а у 132-мм - на целый 21 кг! В первом приближении, финансовую экономию представляли следу</w:t>
      </w:r>
      <w:r w:rsidRPr="00A3026E">
        <w:rPr>
          <w:rFonts w:ascii="Times New Roman" w:hAnsi="Times New Roman"/>
          <w:color w:val="000000" w:themeColor="text1"/>
          <w:sz w:val="16"/>
          <w:szCs w:val="16"/>
        </w:rPr>
        <w:softHyphen/>
        <w:t>ющим образом: при изготовлении 1000 штук 82-мм снарядов высвобождалось 98.000 руб., а при производстве 132-мм, - 271.000 руб. С учетом же сокращения расхода инструмента, механических и энергетических мощ</w:t>
      </w:r>
      <w:r w:rsidRPr="00A3026E">
        <w:rPr>
          <w:rFonts w:ascii="Times New Roman" w:hAnsi="Times New Roman"/>
          <w:color w:val="000000" w:themeColor="text1"/>
          <w:sz w:val="16"/>
          <w:szCs w:val="16"/>
        </w:rPr>
        <w:softHyphen/>
        <w:t>ностей, транспорта и пр. (на примере завода №70, где статьи накладных расходов достигали 800%), - ориентировочно до 500%. Экономический эффект при изготовлении 1000 боеприпасов мог достичь в 82-мм калибре - 131.000 руб., а в 132-мм - 325.000 руб.</w:t>
      </w:r>
    </w:p>
    <w:p w14:paraId="5A1A075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Качество снарядов, изготовленных по новой технологии, их внешне- и внутрибаллистические данные должны были также резко возрасти. К примеру, монолитность корпуса двигателя обеспечивала его гермети</w:t>
      </w:r>
      <w:r w:rsidRPr="00A3026E">
        <w:rPr>
          <w:rFonts w:ascii="Times New Roman" w:hAnsi="Times New Roman"/>
          <w:color w:val="000000" w:themeColor="text1"/>
          <w:sz w:val="16"/>
          <w:szCs w:val="16"/>
        </w:rPr>
        <w:softHyphen/>
        <w:t xml:space="preserve">зацию и полностью предотвращало прорыв продуктов горения РЗ через резьбовые соединения с крышкой-соплом. </w:t>
      </w:r>
      <w:r w:rsidRPr="00A3026E">
        <w:rPr>
          <w:rFonts w:ascii="Times New Roman" w:hAnsi="Times New Roman"/>
          <w:color w:val="000000" w:themeColor="text1"/>
          <w:sz w:val="16"/>
          <w:szCs w:val="16"/>
        </w:rPr>
        <w:lastRenderedPageBreak/>
        <w:t>Помимо того, устранялись отклонения от центровки осей отверстия критического сечения сопла и корпуса боеприпаса, а также от смешения соосности сопла, снаряда и оперения в момент выстрела за счет деформации разъемных соедине</w:t>
      </w:r>
      <w:r w:rsidRPr="00A3026E">
        <w:rPr>
          <w:rFonts w:ascii="Times New Roman" w:hAnsi="Times New Roman"/>
          <w:color w:val="000000" w:themeColor="text1"/>
          <w:sz w:val="16"/>
          <w:szCs w:val="16"/>
        </w:rPr>
        <w:softHyphen/>
        <w:t>ний. Благодаря конструкции колосниковой диафрагмы, увеличивалась ее площадь свободного сечения при одновременном уменьшении сече</w:t>
      </w:r>
      <w:r w:rsidRPr="00A3026E">
        <w:rPr>
          <w:rFonts w:ascii="Times New Roman" w:hAnsi="Times New Roman"/>
          <w:color w:val="000000" w:themeColor="text1"/>
          <w:sz w:val="16"/>
          <w:szCs w:val="16"/>
        </w:rPr>
        <w:softHyphen/>
        <w:t>ния проходных отверстий, что создавало условия для равномерного и полного сгорания РЗ.</w:t>
      </w:r>
    </w:p>
    <w:p w14:paraId="33990D2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пожалуй, самое главное, - производство снарядов по новой тех</w:t>
      </w:r>
      <w:r w:rsidRPr="00A3026E">
        <w:rPr>
          <w:rFonts w:ascii="Times New Roman" w:hAnsi="Times New Roman"/>
          <w:color w:val="000000" w:themeColor="text1"/>
          <w:sz w:val="16"/>
          <w:szCs w:val="16"/>
        </w:rPr>
        <w:softHyphen/>
        <w:t>нологии не требовало нового оборудования. Скорее, наоборот, при со</w:t>
      </w:r>
      <w:r w:rsidRPr="00A3026E">
        <w:rPr>
          <w:rFonts w:ascii="Times New Roman" w:hAnsi="Times New Roman"/>
          <w:color w:val="000000" w:themeColor="text1"/>
          <w:sz w:val="16"/>
          <w:szCs w:val="16"/>
        </w:rPr>
        <w:softHyphen/>
        <w:t>хранении объемов готовой продукции высвобождалось от 40 до 50% станочного парка и около 40% режущего и мерительного инструмента. Как видно из данных технико-экономических обоснований, конструкторам уже накануне войны были ясны причины большого рассеивания РС при наземной стрельбе и недостаточной точности при воздушной. Создатели боеприпасов готовы были конструктивными нюансами парировать эти отрицательные явления, однако в серийном производстве до этого (ело не дошло. В течение всей Великой Отечественной в больших количест</w:t>
      </w:r>
      <w:r w:rsidRPr="00A3026E">
        <w:rPr>
          <w:rFonts w:ascii="Times New Roman" w:hAnsi="Times New Roman"/>
          <w:color w:val="000000" w:themeColor="text1"/>
          <w:sz w:val="16"/>
          <w:szCs w:val="16"/>
        </w:rPr>
        <w:softHyphen/>
        <w:t>вах по заказам «гвардейских минометчиков» изготавливали тс самые до</w:t>
      </w:r>
      <w:r w:rsidRPr="00A3026E">
        <w:rPr>
          <w:rFonts w:ascii="Times New Roman" w:hAnsi="Times New Roman"/>
          <w:color w:val="000000" w:themeColor="text1"/>
          <w:sz w:val="16"/>
          <w:szCs w:val="16"/>
        </w:rPr>
        <w:softHyphen/>
        <w:t>рогостоящие и не очень удачные в отношении баллистики М-8 и М-13 -аналоги авиационных снарядов для полевой реактивной артиллерии.</w:t>
      </w:r>
    </w:p>
    <w:p w14:paraId="119A0B2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1.51 Результаты рассеивания опытных РОС-82 конструкции завода №70 НКБ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92"/>
        <w:gridCol w:w="1973"/>
        <w:gridCol w:w="2002"/>
      </w:tblGrid>
      <w:tr w:rsidR="00983732" w:rsidRPr="00A3026E" w14:paraId="165A3885" w14:textId="77777777" w:rsidTr="00EA0DA7">
        <w:trPr>
          <w:trHeight w:val="274"/>
        </w:trPr>
        <w:tc>
          <w:tcPr>
            <w:tcW w:w="1692" w:type="dxa"/>
            <w:tcBorders>
              <w:top w:val="single" w:sz="12" w:space="0" w:color="auto"/>
            </w:tcBorders>
          </w:tcPr>
          <w:p w14:paraId="5DAB82C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Группы снарядов</w:t>
            </w:r>
          </w:p>
          <w:p w14:paraId="17C6014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975" w:type="dxa"/>
            <w:gridSpan w:val="2"/>
            <w:tcBorders>
              <w:top w:val="single" w:sz="12" w:space="0" w:color="auto"/>
            </w:tcBorders>
          </w:tcPr>
          <w:p w14:paraId="222C2F4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величина рассеивания, доли дистанции:</w:t>
            </w:r>
          </w:p>
          <w:p w14:paraId="141F786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002D6FE" w14:textId="77777777" w:rsidTr="00EA0DA7">
        <w:trPr>
          <w:trHeight w:val="194"/>
        </w:trPr>
        <w:tc>
          <w:tcPr>
            <w:tcW w:w="1692" w:type="dxa"/>
          </w:tcPr>
          <w:p w14:paraId="1E3715E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24FA1E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973" w:type="dxa"/>
          </w:tcPr>
          <w:p w14:paraId="0403A94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дальности</w:t>
            </w:r>
          </w:p>
          <w:p w14:paraId="1B81309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463265C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боковому направлению</w:t>
            </w:r>
          </w:p>
          <w:p w14:paraId="16784BD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BF33EE4" w14:textId="77777777" w:rsidTr="00EA0DA7">
        <w:trPr>
          <w:trHeight w:val="216"/>
        </w:trPr>
        <w:tc>
          <w:tcPr>
            <w:tcW w:w="1692" w:type="dxa"/>
          </w:tcPr>
          <w:p w14:paraId="27FE9E3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w:t>
            </w:r>
          </w:p>
          <w:p w14:paraId="6E08C34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61385B1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1/108</w:t>
            </w:r>
          </w:p>
          <w:p w14:paraId="4A0AD17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1C130C8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w:t>
            </w:r>
          </w:p>
          <w:p w14:paraId="21D4CE1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C49620A" w14:textId="77777777" w:rsidTr="00EA0DA7">
        <w:trPr>
          <w:trHeight w:val="245"/>
        </w:trPr>
        <w:tc>
          <w:tcPr>
            <w:tcW w:w="1692" w:type="dxa"/>
          </w:tcPr>
          <w:p w14:paraId="3DC0984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p w14:paraId="209FBC5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2B08D41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1/133</w:t>
            </w:r>
          </w:p>
          <w:p w14:paraId="0CBDF7B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6ED5BEA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w:t>
            </w:r>
          </w:p>
          <w:p w14:paraId="190051A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4A5BC00" w14:textId="77777777" w:rsidTr="00EA0DA7">
        <w:trPr>
          <w:trHeight w:val="202"/>
        </w:trPr>
        <w:tc>
          <w:tcPr>
            <w:tcW w:w="1692" w:type="dxa"/>
          </w:tcPr>
          <w:p w14:paraId="6642E27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p w14:paraId="2EF6B7F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49FD26B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1/111</w:t>
            </w:r>
          </w:p>
          <w:p w14:paraId="0FC266F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2FF3CA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w:t>
            </w:r>
          </w:p>
          <w:p w14:paraId="36B4E44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BCA3E75" w14:textId="77777777" w:rsidTr="00EA0DA7">
        <w:trPr>
          <w:trHeight w:val="223"/>
        </w:trPr>
        <w:tc>
          <w:tcPr>
            <w:tcW w:w="1692" w:type="dxa"/>
          </w:tcPr>
          <w:p w14:paraId="752A27C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p w14:paraId="6D45376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136BBED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1/104</w:t>
            </w:r>
          </w:p>
          <w:p w14:paraId="2785162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37AF73B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1/74</w:t>
            </w:r>
          </w:p>
          <w:p w14:paraId="60F6168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E1629AE" w14:textId="77777777" w:rsidTr="00EA0DA7">
        <w:trPr>
          <w:trHeight w:val="259"/>
        </w:trPr>
        <w:tc>
          <w:tcPr>
            <w:tcW w:w="1692" w:type="dxa"/>
            <w:tcBorders>
              <w:bottom w:val="single" w:sz="12" w:space="0" w:color="auto"/>
            </w:tcBorders>
          </w:tcPr>
          <w:p w14:paraId="78CB086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p w14:paraId="200E924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973" w:type="dxa"/>
            <w:tcBorders>
              <w:bottom w:val="single" w:sz="12" w:space="0" w:color="auto"/>
            </w:tcBorders>
          </w:tcPr>
          <w:p w14:paraId="6A0EFB5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1/99</w:t>
            </w:r>
          </w:p>
          <w:p w14:paraId="5BCC5BD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02" w:type="dxa"/>
            <w:tcBorders>
              <w:bottom w:val="single" w:sz="12" w:space="0" w:color="auto"/>
            </w:tcBorders>
          </w:tcPr>
          <w:p w14:paraId="49EC4C4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w:t>
            </w:r>
          </w:p>
          <w:p w14:paraId="09362AD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bl>
    <w:p w14:paraId="334A058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Более того, и по окончании войны технология разъемного блока «каме</w:t>
      </w:r>
      <w:r w:rsidRPr="00A3026E">
        <w:rPr>
          <w:rFonts w:ascii="Times New Roman" w:hAnsi="Times New Roman"/>
          <w:color w:val="000000" w:themeColor="text1"/>
          <w:sz w:val="16"/>
          <w:szCs w:val="16"/>
        </w:rPr>
        <w:softHyphen/>
        <w:t>ра-сопло» настолько прочно укоренилась в производстве, что переход на иное качество и экономию заводчанам казался просто немыслимым. Изве</w:t>
      </w:r>
      <w:r w:rsidRPr="00A3026E">
        <w:rPr>
          <w:rFonts w:ascii="Times New Roman" w:hAnsi="Times New Roman"/>
          <w:color w:val="000000" w:themeColor="text1"/>
          <w:sz w:val="16"/>
          <w:szCs w:val="16"/>
        </w:rPr>
        <w:softHyphen/>
        <w:t>стны, по меньшей мере, четыре варианта снаряда ОФР-82 модели СЛ-017, которые изготавливали из толстостенных и тонкостенных груб. Они отли</w:t>
      </w:r>
      <w:r w:rsidRPr="00A3026E">
        <w:rPr>
          <w:rFonts w:ascii="Times New Roman" w:hAnsi="Times New Roman"/>
          <w:color w:val="000000" w:themeColor="text1"/>
          <w:sz w:val="16"/>
          <w:szCs w:val="16"/>
        </w:rPr>
        <w:softHyphen/>
        <w:t>чались ротационной ковкой корпуса двигателя за единое целое с сопловым раструбом либо из толстых труб с последующей выборкой металла между центрирующими утолщениями, либо из тонких труб с последующей горячей посадкой манжет центрирующих утолщений на заготовку и обработ</w:t>
      </w:r>
      <w:r w:rsidRPr="00A3026E">
        <w:rPr>
          <w:rFonts w:ascii="Times New Roman" w:hAnsi="Times New Roman"/>
          <w:color w:val="000000" w:themeColor="text1"/>
          <w:sz w:val="16"/>
          <w:szCs w:val="16"/>
        </w:rPr>
        <w:softHyphen/>
        <w:t>кой только передней и задней кромок утолщений. А кроме того, на обоих вариантах двигателя использовали БЧ либо с внутренним дном БЧ, л (бос внешним, установленным на резьбе внутри широкого фланца переднего центрирующего утолщения до стыковки БЧ с двигателем.</w:t>
      </w:r>
    </w:p>
    <w:p w14:paraId="39C2D5B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в рамках темы по 622 объекту в технологическом отделе НИИ-3 НКБ разработали и снаряд ОФР-82 модели СЛ-005 (аналог штатного РОС-82 модели 3-00497). Практически, это был боеприпас, из</w:t>
      </w:r>
      <w:r w:rsidRPr="00A3026E">
        <w:rPr>
          <w:rFonts w:ascii="Times New Roman" w:hAnsi="Times New Roman"/>
          <w:color w:val="000000" w:themeColor="text1"/>
          <w:sz w:val="16"/>
          <w:szCs w:val="16"/>
        </w:rPr>
        <w:softHyphen/>
        <w:t>готовленный по упрошенной технологии единой «камеры-сопла» изтонкостенных труб, но с двухпроводной системой электровоспламене</w:t>
      </w:r>
      <w:r w:rsidRPr="00A3026E">
        <w:rPr>
          <w:rFonts w:ascii="Times New Roman" w:hAnsi="Times New Roman"/>
          <w:color w:val="000000" w:themeColor="text1"/>
          <w:sz w:val="16"/>
          <w:szCs w:val="16"/>
        </w:rPr>
        <w:softHyphen/>
        <w:t>ния (без использования пиропатронов и пиросвеч). В принципе, эта идея не нова. Как говорилось выше, еще в 1933-1934 гг. для запуска РС наземных испытательных стендов, в пороховой воспламенитель (донный или сопловой) зашивали электрозапал, а его провода выводили сквозь каналы пороховых шашек РЗ и сопло наружу.</w:t>
      </w:r>
    </w:p>
    <w:p w14:paraId="028CFCB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конструкции снаряда модели СЛ-005 использовали этот же способ воспламенения, с той лишь разницей, что провода электрозапала, вши</w:t>
      </w:r>
      <w:r w:rsidRPr="00A3026E">
        <w:rPr>
          <w:rFonts w:ascii="Times New Roman" w:hAnsi="Times New Roman"/>
          <w:color w:val="000000" w:themeColor="text1"/>
          <w:sz w:val="16"/>
          <w:szCs w:val="16"/>
        </w:rPr>
        <w:softHyphen/>
        <w:t>того в дойный пороховой воспламенитель, припаяли к двум контактам, остановленным на изоляторных шайбах в районе переднего центрирую</w:t>
      </w:r>
      <w:r w:rsidRPr="00A3026E">
        <w:rPr>
          <w:rFonts w:ascii="Times New Roman" w:hAnsi="Times New Roman"/>
          <w:color w:val="000000" w:themeColor="text1"/>
          <w:sz w:val="16"/>
          <w:szCs w:val="16"/>
        </w:rPr>
        <w:softHyphen/>
        <w:t>щего утолщения по обеим сторонам от ведущего штифта (подобно пиросвечам снарядов РОФС). В отличие от однопроводной системы вос</w:t>
      </w:r>
      <w:r w:rsidRPr="00A3026E">
        <w:rPr>
          <w:rFonts w:ascii="Times New Roman" w:hAnsi="Times New Roman"/>
          <w:color w:val="000000" w:themeColor="text1"/>
          <w:sz w:val="16"/>
          <w:szCs w:val="16"/>
        </w:rPr>
        <w:softHyphen/>
        <w:t>пламенения пиропатронов штатных РОФС, двухпроводная обладала по</w:t>
      </w:r>
      <w:r w:rsidRPr="00A3026E">
        <w:rPr>
          <w:rFonts w:ascii="Times New Roman" w:hAnsi="Times New Roman"/>
          <w:color w:val="000000" w:themeColor="text1"/>
          <w:sz w:val="16"/>
          <w:szCs w:val="16"/>
        </w:rPr>
        <w:softHyphen/>
        <w:t>мехозащищенностью от грозовых разрядов. Между тем она предъявляла очень высокие требования к качеству пластмассовых изоляторов - они должны были выдерживать не только высокую температуру при горении РЗ но и высокое давление в камере двигателя. Невероятно, но уже тогда отечественная промышленность располагала такими конструкционны</w:t>
      </w:r>
      <w:r w:rsidRPr="00A3026E">
        <w:rPr>
          <w:rFonts w:ascii="Times New Roman" w:hAnsi="Times New Roman"/>
          <w:color w:val="000000" w:themeColor="text1"/>
          <w:sz w:val="16"/>
          <w:szCs w:val="16"/>
        </w:rPr>
        <w:softHyphen/>
        <w:t>ми пластиками и керамикой!</w:t>
      </w:r>
    </w:p>
    <w:p w14:paraId="75C78CE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Двигатели снарядов этой модели снаряжали РЗ из пороха рецептуры Н-24/6-230 мм. Колосниковая диафрагма состояла из восьми стальных пластин толщиной 3 мм. БЧ и РЧ отделяло стальное дно, зафиксирован</w:t>
      </w:r>
      <w:r w:rsidRPr="00A3026E">
        <w:rPr>
          <w:rFonts w:ascii="Times New Roman" w:hAnsi="Times New Roman"/>
          <w:color w:val="000000" w:themeColor="text1"/>
          <w:sz w:val="16"/>
          <w:szCs w:val="16"/>
        </w:rPr>
        <w:softHyphen/>
        <w:t>ное в задней части корпуса БЧ. Воспламенялся РЗ от двух пороховых воспламенителей с навеской по 8 г ДРП в каждом. Сопловой воспламе-:нитель располагался на колосниках в подводящей части сопла. Посколь</w:t>
      </w:r>
      <w:r w:rsidRPr="00A3026E">
        <w:rPr>
          <w:rFonts w:ascii="Times New Roman" w:hAnsi="Times New Roman"/>
          <w:color w:val="000000" w:themeColor="text1"/>
          <w:sz w:val="16"/>
          <w:szCs w:val="16"/>
        </w:rPr>
        <w:softHyphen/>
        <w:t>ку помешали его после запрессовки колосников, то пороховой картуз, свернутый трубочкой, приходилось проталкивать тонкой деревянной (Палочкой через сопло) (11402).</w:t>
      </w:r>
    </w:p>
    <w:p w14:paraId="03769D3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787A4994" w14:textId="77777777" w:rsidR="002C5435"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665A39D" w14:textId="77777777" w:rsidR="002C5435" w:rsidRPr="00A3026E" w:rsidRDefault="002C5435" w:rsidP="00A3026E">
      <w:pPr>
        <w:spacing w:after="0" w:line="240" w:lineRule="auto"/>
        <w:jc w:val="both"/>
        <w:rPr>
          <w:rFonts w:ascii="Times New Roman" w:hAnsi="Times New Roman"/>
          <w:iCs/>
          <w:color w:val="000000" w:themeColor="text1"/>
          <w:sz w:val="16"/>
          <w:szCs w:val="16"/>
        </w:rPr>
      </w:pPr>
    </w:p>
    <w:p w14:paraId="0442606E" w14:textId="77777777" w:rsidR="002C5435" w:rsidRPr="00A3026E" w:rsidRDefault="002C5435"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17 </w:t>
      </w:r>
      <w:bookmarkStart w:id="56" w:name="YANDEX_3"/>
      <w:bookmarkEnd w:id="56"/>
      <w:r w:rsidRPr="00A3026E">
        <w:rPr>
          <w:rFonts w:ascii="Times New Roman" w:eastAsia="Times New Roman" w:hAnsi="Times New Roman"/>
          <w:color w:val="000000" w:themeColor="text1"/>
          <w:sz w:val="16"/>
          <w:szCs w:val="16"/>
          <w:lang w:eastAsia="ru-RU"/>
        </w:rPr>
        <w:t> декабря   1940  года, согласно постановлению Совета Народных Комисаров ССР  завод  был передан Наркомату Станкостроительной и инструментальной промышленности, для освоения производства токарно-болторезных станков. Ему было присвоено название «Елецкий станкостроительный завод» - эта дата считается днём рождения завода.</w:t>
      </w:r>
    </w:p>
    <w:p w14:paraId="017A1DC1" w14:textId="77777777" w:rsidR="002C5435" w:rsidRPr="00A3026E" w:rsidRDefault="002C5435"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1944 году заводу было поручено освоение гидравлической аппаратуры для станков, он получил название «Елецкий завод станочной гидроаппаратуры».</w:t>
      </w:r>
    </w:p>
    <w:p w14:paraId="44D414A8" w14:textId="77777777" w:rsidR="002C5435" w:rsidRPr="00A3026E" w:rsidRDefault="002C5435"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1945 году завод изготовил первую продукцию гидравлики.</w:t>
      </w:r>
    </w:p>
    <w:p w14:paraId="17295CEF" w14:textId="77777777" w:rsidR="002C5435" w:rsidRPr="00A3026E" w:rsidRDefault="002C5435"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1946 году изготовлен первый пластинчатый насос Г12-1 (ЛФ) ресурс насоса первого габарита 3000 часов.</w:t>
      </w:r>
    </w:p>
    <w:p w14:paraId="28DEEAFB" w14:textId="77777777" w:rsidR="002C5435" w:rsidRPr="00A3026E" w:rsidRDefault="002C5435"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1961 году началось освоение новой гаммы насосов: Г21-2 на давление 6,3 МПа, насосов БГ12-2 на давление 12,5 МПа.</w:t>
      </w:r>
    </w:p>
    <w:p w14:paraId="0AE974D5" w14:textId="77777777" w:rsidR="002C5435" w:rsidRPr="00A3026E" w:rsidRDefault="002C5435"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1966 году завод переименован в «Гидропривод»</w:t>
      </w:r>
      <w:r w:rsidR="0082576F" w:rsidRPr="00A3026E">
        <w:rPr>
          <w:rFonts w:ascii="Times New Roman" w:eastAsia="Times New Roman" w:hAnsi="Times New Roman"/>
          <w:color w:val="000000" w:themeColor="text1"/>
          <w:sz w:val="16"/>
          <w:szCs w:val="16"/>
          <w:lang w:eastAsia="ru-RU"/>
        </w:rPr>
        <w:t xml:space="preserve"> (17421)</w:t>
      </w:r>
      <w:r w:rsidRPr="00A3026E">
        <w:rPr>
          <w:rFonts w:ascii="Times New Roman" w:eastAsia="Times New Roman" w:hAnsi="Times New Roman"/>
          <w:color w:val="000000" w:themeColor="text1"/>
          <w:sz w:val="16"/>
          <w:szCs w:val="16"/>
          <w:lang w:eastAsia="ru-RU"/>
        </w:rPr>
        <w:t>.</w:t>
      </w:r>
    </w:p>
    <w:p w14:paraId="3933B418" w14:textId="77777777" w:rsidR="002C5435" w:rsidRPr="00A3026E" w:rsidRDefault="002C5435" w:rsidP="00A3026E">
      <w:pPr>
        <w:shd w:val="clear" w:color="auto" w:fill="FFFFFF"/>
        <w:spacing w:after="0" w:line="240" w:lineRule="auto"/>
        <w:jc w:val="both"/>
        <w:rPr>
          <w:rFonts w:ascii="Times New Roman" w:hAnsi="Times New Roman"/>
          <w:color w:val="000000" w:themeColor="text1"/>
          <w:sz w:val="16"/>
          <w:szCs w:val="16"/>
        </w:rPr>
      </w:pPr>
    </w:p>
    <w:p w14:paraId="0F90D6B6"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4289BD5D"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393269EF" w14:textId="77777777" w:rsidR="00097788" w:rsidRPr="00A3026E" w:rsidRDefault="00097788" w:rsidP="00A3026E">
      <w:pPr>
        <w:spacing w:after="0" w:line="240" w:lineRule="auto"/>
        <w:jc w:val="both"/>
        <w:rPr>
          <w:rFonts w:ascii="Times New Roman" w:hAnsi="Times New Roman"/>
          <w:bCs/>
          <w:color w:val="000000" w:themeColor="text1"/>
          <w:sz w:val="16"/>
          <w:szCs w:val="16"/>
        </w:rPr>
      </w:pPr>
      <w:r w:rsidRPr="00A3026E">
        <w:rPr>
          <w:rStyle w:val="ucoz-forum-post"/>
          <w:rFonts w:ascii="Times New Roman" w:hAnsi="Times New Roman"/>
          <w:bCs/>
          <w:color w:val="000000" w:themeColor="text1"/>
          <w:sz w:val="16"/>
          <w:szCs w:val="16"/>
        </w:rPr>
        <w:t xml:space="preserve">17 декабря </w:t>
      </w:r>
      <w:r w:rsidRPr="00A3026E">
        <w:rPr>
          <w:rFonts w:ascii="Times New Roman" w:hAnsi="Times New Roman"/>
          <w:color w:val="000000" w:themeColor="text1"/>
          <w:sz w:val="16"/>
          <w:szCs w:val="16"/>
        </w:rPr>
        <w:t>в 1940 году массированная бомбардировка британскими ВВС Мангейма. В ночь с 16 на 17 декабря 1940 года была проведена операция «Abigail».</w:t>
      </w:r>
    </w:p>
    <w:p w14:paraId="5E16C4CC" w14:textId="77777777" w:rsidR="00097788" w:rsidRPr="00A3026E" w:rsidRDefault="00097788" w:rsidP="00A3026E">
      <w:pPr>
        <w:spacing w:after="0" w:line="240" w:lineRule="auto"/>
        <w:jc w:val="both"/>
        <w:rPr>
          <w:rStyle w:val="ucoz-forum-post"/>
          <w:rFonts w:ascii="Times New Roman" w:hAnsi="Times New Roman"/>
          <w:color w:val="000000" w:themeColor="text1"/>
          <w:sz w:val="16"/>
          <w:szCs w:val="16"/>
        </w:rPr>
      </w:pPr>
      <w:r w:rsidRPr="00A3026E">
        <w:rPr>
          <w:rStyle w:val="ucoz-forum-post"/>
          <w:rFonts w:ascii="Times New Roman" w:hAnsi="Times New Roman"/>
          <w:color w:val="000000" w:themeColor="text1"/>
          <w:sz w:val="16"/>
          <w:szCs w:val="16"/>
        </w:rPr>
        <w:t>В ночь с 16 на 17 декабря 1940 года была проведена операция «Abigail». В налете на Мангейм приняли участие 134 самолета Wellington, Whitley и Hampden (www.airpages.ru/uk/hp52.shtml), а также четыре Blenheim Mk IV. Первыми в дело вступили 14 Wellington с самыми опытными экипажами -они сбросили осветительные и зажигательные бомбы. Налет при ясной погоде и полной луне длился почти шесть часов. 103 самолета сбросили 89 т фугасных бомб и более 14000 зажигательных бомб. Потери англичан составили 10 самолетов. В наибольшей степени разрушениям подверглись жилые районы и пригороды Мангейма (14863).</w:t>
      </w:r>
    </w:p>
    <w:p w14:paraId="2A88B12F" w14:textId="77777777" w:rsidR="00097788" w:rsidRPr="00A3026E" w:rsidRDefault="00097788" w:rsidP="00A3026E">
      <w:pPr>
        <w:spacing w:after="0" w:line="240" w:lineRule="auto"/>
        <w:jc w:val="both"/>
        <w:rPr>
          <w:rStyle w:val="ucoz-forum-post"/>
          <w:rFonts w:ascii="Times New Roman" w:hAnsi="Times New Roman"/>
          <w:color w:val="000000" w:themeColor="text1"/>
          <w:sz w:val="16"/>
          <w:szCs w:val="16"/>
        </w:rPr>
      </w:pPr>
    </w:p>
    <w:p w14:paraId="59022134" w14:textId="77777777" w:rsidR="00097788" w:rsidRPr="00A3026E" w:rsidRDefault="0009778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 декабря 1940 года совершил первый полёт </w:t>
      </w:r>
      <w:r w:rsidRPr="00A3026E">
        <w:rPr>
          <w:rFonts w:ascii="Times New Roman" w:hAnsi="Times New Roman"/>
          <w:color w:val="000000" w:themeColor="text1"/>
          <w:sz w:val="16"/>
          <w:szCs w:val="16"/>
          <w:lang w:val="en-US"/>
        </w:rPr>
        <w:t>LF</w:t>
      </w:r>
      <w:r w:rsidRPr="00A3026E">
        <w:rPr>
          <w:rFonts w:ascii="Times New Roman" w:hAnsi="Times New Roman"/>
          <w:color w:val="000000" w:themeColor="text1"/>
          <w:sz w:val="16"/>
          <w:szCs w:val="16"/>
        </w:rPr>
        <w:t>-1, которым управлял сам кон</w:t>
      </w:r>
      <w:r w:rsidRPr="00A3026E">
        <w:rPr>
          <w:rFonts w:ascii="Times New Roman" w:hAnsi="Times New Roman"/>
          <w:color w:val="000000" w:themeColor="text1"/>
          <w:sz w:val="16"/>
          <w:szCs w:val="16"/>
        </w:rPr>
        <w:softHyphen/>
        <w:t>структор из нижнесаксон</w:t>
      </w:r>
      <w:r w:rsidRPr="00A3026E">
        <w:rPr>
          <w:rFonts w:ascii="Times New Roman" w:hAnsi="Times New Roman"/>
          <w:color w:val="000000" w:themeColor="text1"/>
          <w:sz w:val="16"/>
          <w:szCs w:val="16"/>
        </w:rPr>
        <w:softHyphen/>
        <w:t>ского города Брунсвик Гер</w:t>
      </w:r>
      <w:r w:rsidRPr="00A3026E">
        <w:rPr>
          <w:rFonts w:ascii="Times New Roman" w:hAnsi="Times New Roman"/>
          <w:color w:val="000000" w:themeColor="text1"/>
          <w:sz w:val="16"/>
          <w:szCs w:val="16"/>
        </w:rPr>
        <w:softHyphen/>
        <w:t>ман Винтер (</w:t>
      </w:r>
      <w:r w:rsidRPr="00A3026E">
        <w:rPr>
          <w:rFonts w:ascii="Times New Roman" w:hAnsi="Times New Roman"/>
          <w:color w:val="000000" w:themeColor="text1"/>
          <w:sz w:val="16"/>
          <w:szCs w:val="16"/>
          <w:lang w:val="en-US"/>
        </w:rPr>
        <w:t>HermannWinter</w:t>
      </w:r>
      <w:r w:rsidRPr="00A3026E">
        <w:rPr>
          <w:rFonts w:ascii="Times New Roman" w:hAnsi="Times New Roman"/>
          <w:color w:val="000000" w:themeColor="text1"/>
          <w:sz w:val="16"/>
          <w:szCs w:val="16"/>
        </w:rPr>
        <w:t xml:space="preserve">, 30.08.1897 - 14.09.1968). </w:t>
      </w:r>
      <w:r w:rsidRPr="00A3026E">
        <w:rPr>
          <w:rStyle w:val="75pt"/>
          <w:rFonts w:ascii="Times New Roman" w:hAnsi="Times New Roman" w:cs="Times New Roman"/>
          <w:color w:val="000000" w:themeColor="text1"/>
          <w:sz w:val="16"/>
          <w:szCs w:val="16"/>
        </w:rPr>
        <w:t xml:space="preserve">Название означало </w:t>
      </w:r>
      <w:r w:rsidRPr="00A3026E">
        <w:rPr>
          <w:rFonts w:ascii="Times New Roman" w:hAnsi="Times New Roman"/>
          <w:color w:val="000000" w:themeColor="text1"/>
          <w:sz w:val="16"/>
          <w:szCs w:val="16"/>
          <w:lang w:val="en-US"/>
        </w:rPr>
        <w:t>LangsamFlugzeug</w:t>
      </w:r>
      <w:r w:rsidRPr="00A3026E">
        <w:rPr>
          <w:rFonts w:ascii="Times New Roman" w:hAnsi="Times New Roman"/>
          <w:color w:val="000000" w:themeColor="text1"/>
          <w:sz w:val="16"/>
          <w:szCs w:val="16"/>
        </w:rPr>
        <w:t xml:space="preserve"> — медленный самолёт. Приоритетом была низкая минимальная скорость и простота пилотирования: при потере скорости самолёт опускал нос, не сваливаясь</w:t>
      </w:r>
      <w:r w:rsidRPr="00A3026E">
        <w:rPr>
          <w:rStyle w:val="aff8"/>
          <w:rFonts w:ascii="Times New Roman" w:hAnsi="Times New Roman" w:cs="Times New Roman"/>
          <w:b w:val="0"/>
          <w:color w:val="000000" w:themeColor="text1"/>
          <w:spacing w:val="0"/>
          <w:sz w:val="16"/>
          <w:szCs w:val="16"/>
        </w:rPr>
        <w:t xml:space="preserve"> в </w:t>
      </w:r>
      <w:r w:rsidRPr="00A3026E">
        <w:rPr>
          <w:rFonts w:ascii="Times New Roman" w:hAnsi="Times New Roman"/>
          <w:color w:val="000000" w:themeColor="text1"/>
          <w:sz w:val="16"/>
          <w:szCs w:val="16"/>
        </w:rPr>
        <w:t xml:space="preserve">штопор. Всего построили только 4 экземпляра. В противотанковый вариант переделали второй прототип с регистрационным номером </w:t>
      </w:r>
      <w:r w:rsidRPr="00A3026E">
        <w:rPr>
          <w:rFonts w:ascii="Times New Roman" w:hAnsi="Times New Roman"/>
          <w:color w:val="000000" w:themeColor="text1"/>
          <w:sz w:val="16"/>
          <w:szCs w:val="16"/>
          <w:lang w:val="en-US"/>
        </w:rPr>
        <w:t>D</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YBAR</w:t>
      </w:r>
      <w:r w:rsidRPr="00A3026E">
        <w:rPr>
          <w:rFonts w:ascii="Times New Roman" w:hAnsi="Times New Roman"/>
          <w:color w:val="000000" w:themeColor="text1"/>
          <w:sz w:val="16"/>
          <w:szCs w:val="16"/>
        </w:rPr>
        <w:t xml:space="preserve">, который назвали  </w:t>
      </w:r>
      <w:r w:rsidRPr="00A3026E">
        <w:rPr>
          <w:rFonts w:ascii="Times New Roman" w:hAnsi="Times New Roman"/>
          <w:color w:val="000000" w:themeColor="text1"/>
          <w:sz w:val="16"/>
          <w:szCs w:val="16"/>
          <w:lang w:val="en-US"/>
        </w:rPr>
        <w:t>Zaunkonig</w:t>
      </w:r>
      <w:r w:rsidRPr="00A3026E">
        <w:rPr>
          <w:rFonts w:ascii="Times New Roman" w:hAnsi="Times New Roman"/>
          <w:color w:val="000000" w:themeColor="text1"/>
          <w:sz w:val="16"/>
          <w:szCs w:val="16"/>
        </w:rPr>
        <w:t xml:space="preserve"> (птичка-крапивник). Один гра</w:t>
      </w:r>
      <w:r w:rsidRPr="00A3026E">
        <w:rPr>
          <w:rFonts w:ascii="Times New Roman" w:hAnsi="Times New Roman"/>
          <w:color w:val="000000" w:themeColor="text1"/>
          <w:sz w:val="16"/>
          <w:szCs w:val="16"/>
        </w:rPr>
        <w:softHyphen/>
        <w:t xml:space="preserve">натомёт </w:t>
      </w:r>
      <w:r w:rsidRPr="00A3026E">
        <w:rPr>
          <w:rFonts w:ascii="Times New Roman" w:hAnsi="Times New Roman"/>
          <w:color w:val="000000" w:themeColor="text1"/>
          <w:sz w:val="16"/>
          <w:szCs w:val="16"/>
          <w:lang w:val="en-US"/>
        </w:rPr>
        <w:t>Panzerfaust</w:t>
      </w:r>
      <w:r w:rsidRPr="00A3026E">
        <w:rPr>
          <w:rFonts w:ascii="Times New Roman" w:hAnsi="Times New Roman"/>
          <w:color w:val="000000" w:themeColor="text1"/>
          <w:sz w:val="16"/>
          <w:szCs w:val="16"/>
        </w:rPr>
        <w:t xml:space="preserve"> 100, поступивший в производство в ноябре 1944 года, установили над верхним крылом. Однозарядный гранатомёт весил только 6 кг и выстреливал 60 мм надкалиберную кумулятивную гранату с теоретической бронепробиваемостью 200 мм. Но начальная скорость составляла всего 60 м/с, поэтому траектория полёта сильно искривля</w:t>
      </w:r>
      <w:r w:rsidRPr="00A3026E">
        <w:rPr>
          <w:rFonts w:ascii="Times New Roman" w:hAnsi="Times New Roman"/>
          <w:color w:val="000000" w:themeColor="text1"/>
          <w:sz w:val="16"/>
          <w:szCs w:val="16"/>
        </w:rPr>
        <w:softHyphen/>
        <w:t>лась, и прицельная дальность при ведении огня с земли составляла не более 150 м.</w:t>
      </w:r>
    </w:p>
    <w:p w14:paraId="41C0AC85" w14:textId="77777777" w:rsidR="00097788" w:rsidRPr="00A3026E" w:rsidRDefault="0009778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Максимальная скорость </w:t>
      </w:r>
      <w:r w:rsidRPr="00A3026E">
        <w:rPr>
          <w:rFonts w:ascii="Times New Roman" w:hAnsi="Times New Roman"/>
          <w:color w:val="000000" w:themeColor="text1"/>
          <w:sz w:val="16"/>
          <w:szCs w:val="16"/>
          <w:lang w:val="en-US"/>
        </w:rPr>
        <w:t>LF</w:t>
      </w:r>
      <w:r w:rsidRPr="00A3026E">
        <w:rPr>
          <w:rFonts w:ascii="Times New Roman" w:hAnsi="Times New Roman"/>
          <w:color w:val="000000" w:themeColor="text1"/>
          <w:sz w:val="16"/>
          <w:szCs w:val="16"/>
        </w:rPr>
        <w:t>-1 даже без гранатомёта была такой же низкой, как у «Пега</w:t>
      </w:r>
      <w:r w:rsidRPr="00A3026E">
        <w:rPr>
          <w:rFonts w:ascii="Times New Roman" w:hAnsi="Times New Roman"/>
          <w:color w:val="000000" w:themeColor="text1"/>
          <w:sz w:val="16"/>
          <w:szCs w:val="16"/>
        </w:rPr>
        <w:softHyphen/>
        <w:t>са» - 180 км/ч. Никакой защиты мотора, пилота и баков не было, а возможность точного прицеливания вызывала очень большие сомнения. По</w:t>
      </w:r>
      <w:r w:rsidRPr="00A3026E">
        <w:rPr>
          <w:rFonts w:ascii="Times New Roman" w:hAnsi="Times New Roman"/>
          <w:color w:val="000000" w:themeColor="text1"/>
          <w:sz w:val="16"/>
          <w:szCs w:val="16"/>
        </w:rPr>
        <w:softHyphen/>
        <w:t>этому вскоре эксперименты прекратили.</w:t>
      </w:r>
    </w:p>
    <w:p w14:paraId="17A741FC" w14:textId="77777777" w:rsidR="00097788" w:rsidRPr="00A3026E" w:rsidRDefault="00097788"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rPr>
        <w:t>Противотанковый «медленный самолёт» был за</w:t>
      </w:r>
      <w:r w:rsidRPr="00A3026E">
        <w:rPr>
          <w:rFonts w:ascii="Times New Roman" w:hAnsi="Times New Roman"/>
          <w:color w:val="000000" w:themeColor="text1"/>
          <w:sz w:val="16"/>
          <w:szCs w:val="16"/>
        </w:rPr>
        <w:softHyphen/>
        <w:t xml:space="preserve">хвачен англичанами и испытан в Фарнборо, но, естественно, интереса не вызвал. В 1949 году его, сняв вооружение, продали частному лицу. Самолёт получил новый регистрационный номер </w:t>
      </w:r>
      <w:r w:rsidRPr="00A3026E">
        <w:rPr>
          <w:rFonts w:ascii="Times New Roman" w:hAnsi="Times New Roman"/>
          <w:color w:val="000000" w:themeColor="text1"/>
          <w:sz w:val="16"/>
          <w:szCs w:val="16"/>
          <w:lang w:val="en-US"/>
        </w:rPr>
        <w:t>G</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ALUA</w:t>
      </w:r>
      <w:r w:rsidRPr="00A3026E">
        <w:rPr>
          <w:rFonts w:ascii="Times New Roman" w:hAnsi="Times New Roman"/>
          <w:color w:val="000000" w:themeColor="text1"/>
          <w:sz w:val="16"/>
          <w:szCs w:val="16"/>
        </w:rPr>
        <w:t xml:space="preserve">. В 1976 году «крапивника» выкупил Немецкий музей под Мюнхеном, и аппарат, получив новую регистрацию </w:t>
      </w:r>
      <w:r w:rsidRPr="00A3026E">
        <w:rPr>
          <w:rFonts w:ascii="Times New Roman" w:hAnsi="Times New Roman"/>
          <w:color w:val="000000" w:themeColor="text1"/>
          <w:sz w:val="16"/>
          <w:szCs w:val="16"/>
          <w:lang w:val="en-US"/>
        </w:rPr>
        <w:t xml:space="preserve">D-EBCQ, </w:t>
      </w:r>
      <w:r w:rsidRPr="00A3026E">
        <w:rPr>
          <w:rFonts w:ascii="Times New Roman" w:hAnsi="Times New Roman"/>
          <w:color w:val="000000" w:themeColor="text1"/>
          <w:sz w:val="16"/>
          <w:szCs w:val="16"/>
        </w:rPr>
        <w:t>сталмузейнымэкспонатом</w:t>
      </w:r>
      <w:r w:rsidRPr="00A3026E">
        <w:rPr>
          <w:rFonts w:ascii="Times New Roman" w:hAnsi="Times New Roman"/>
          <w:color w:val="000000" w:themeColor="text1"/>
          <w:sz w:val="16"/>
          <w:szCs w:val="16"/>
          <w:lang w:val="en-US"/>
        </w:rPr>
        <w:t xml:space="preserve"> (15846).</w:t>
      </w:r>
    </w:p>
    <w:p w14:paraId="069B27F5" w14:textId="77777777" w:rsidR="00097788" w:rsidRPr="00A3026E" w:rsidRDefault="00097788" w:rsidP="00A3026E">
      <w:pPr>
        <w:spacing w:after="0" w:line="240" w:lineRule="auto"/>
        <w:jc w:val="both"/>
        <w:rPr>
          <w:rFonts w:ascii="Times New Roman" w:hAnsi="Times New Roman"/>
          <w:color w:val="000000" w:themeColor="text1"/>
          <w:sz w:val="16"/>
          <w:szCs w:val="16"/>
          <w:lang w:val="en-US"/>
        </w:rPr>
      </w:pPr>
    </w:p>
    <w:p w14:paraId="09589974"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December 17, 1940: In pursuit of the retrating Italian forces, the British 8th Army (Wavell) captures Sollum in Cyrenaica (3819).</w:t>
      </w:r>
    </w:p>
    <w:p w14:paraId="2703BA81"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p>
    <w:p w14:paraId="5516A5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в ходе преследования итальянцев британские войска 8А (Вавель) захватили Соллум и Киринаику (3819).</w:t>
      </w:r>
    </w:p>
    <w:p w14:paraId="60DDD9B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9F76B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на пресс-конференции Ф.Д.Р. использовал аллегорию садового шланга для того, чтобы оправдать переход к непосредственной военной помощи Англии (2536,267).</w:t>
      </w:r>
    </w:p>
    <w:p w14:paraId="63EA85E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7205972" w14:textId="77777777" w:rsidR="00403E07" w:rsidRPr="00A3026E" w:rsidRDefault="00403E0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декабря 1940 г.</w:t>
      </w:r>
      <w:r w:rsidRPr="00A3026E">
        <w:rPr>
          <w:rFonts w:ascii="Times New Roman" w:hAnsi="Times New Roman"/>
          <w:bCs/>
          <w:color w:val="000000" w:themeColor="text1"/>
          <w:sz w:val="16"/>
          <w:szCs w:val="16"/>
        </w:rPr>
        <w:t xml:space="preserve"> Рузвельт на пресс-конференции огласил план — США будут передавать противникам держав «оси» вооружение и снаряжение взаймы или в аренду. «Я пытаюсь теперь ликвидировать символ доллара… Освободиться от этого глупого старого символа доллара», заверил президент. На рассмотрение конгресса был представлен законопроект, предусматривающий передачу взаймы или в аренду вооружения и военных материалов </w:t>
      </w:r>
      <w:r w:rsidRPr="00A3026E">
        <w:rPr>
          <w:rFonts w:ascii="Times New Roman" w:hAnsi="Times New Roman"/>
          <w:color w:val="000000" w:themeColor="text1"/>
          <w:sz w:val="16"/>
          <w:szCs w:val="16"/>
        </w:rPr>
        <w:t>(ленд-лиз)</w:t>
      </w:r>
      <w:r w:rsidRPr="00A3026E">
        <w:rPr>
          <w:rFonts w:ascii="Times New Roman" w:hAnsi="Times New Roman"/>
          <w:bCs/>
          <w:color w:val="000000" w:themeColor="text1"/>
          <w:sz w:val="16"/>
          <w:szCs w:val="16"/>
        </w:rPr>
        <w:t>. До ноября 1940 г. англичане оплатили до последнего цента все полученное из США, истратив 4,5 млрд. долларов. На средства английского казначейства даже расширялись производственные возможности американской индустрии вооружений, что, например, ускорило подготовку авиационных заводов на 18 месяцев. Но запасы золота и иностранной валюты начинали иссякать, па осень 1940 г. оставалось немногим более 2 млрд. долларов. Даже если бы Англия реализовала все свои золотые запасы и зарубежные инвестиции, она бы смогла оплатить примерно одну двенадцатую потребного вооружения и военных материалов (17398).</w:t>
      </w:r>
    </w:p>
    <w:p w14:paraId="6F14326B" w14:textId="77777777" w:rsidR="00403E07" w:rsidRPr="00A3026E" w:rsidRDefault="00403E07" w:rsidP="00A3026E">
      <w:pPr>
        <w:spacing w:after="0" w:line="240" w:lineRule="auto"/>
        <w:jc w:val="both"/>
        <w:rPr>
          <w:rFonts w:ascii="Times New Roman" w:hAnsi="Times New Roman"/>
          <w:color w:val="000000" w:themeColor="text1"/>
          <w:sz w:val="16"/>
          <w:szCs w:val="16"/>
        </w:rPr>
      </w:pPr>
    </w:p>
    <w:p w14:paraId="74DF2210"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F2AAEEF"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385C8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года адмирал Кузнецов писал письмо N 4829с Ворошилову.</w:t>
      </w:r>
    </w:p>
    <w:p w14:paraId="0E70D4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1938 году Управление авиации ВМФ выдвинуло вопрос о производстве самолетов ДБ-3 на поплавках.</w:t>
      </w:r>
    </w:p>
    <w:p w14:paraId="19A117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Необходимость создания авиачасти, вооруженной самолетами торпедоносцами ДБ-3 на поплавках диктовалась условиями театра Тихоокеанского флота (дислоцирование части предполагалось в бухте Суходол).</w:t>
      </w:r>
    </w:p>
    <w:p w14:paraId="54092E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самолет, изготовленный заводом N 39 в 1938 году был разбит Коккинаки в первом полете под Брянском. Второй экземпляр этого самолета прошел гос. испытания в ЛИИ авиации ВМФ, ныне отлетал свой ресурс и подлежит ремонту.</w:t>
      </w:r>
    </w:p>
    <w:p w14:paraId="7F37E9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Нарком Авиапрома формально подтверждал необходимость производства самолетов ДБ-3 на поплавках, а фактически не обеспечил их производство на заводах N 39 и N 126, несмотря на ряд решений КО (N 77сс от 17 февраля 1940 года и N 413сс от 19 октября 1940 года).</w:t>
      </w:r>
    </w:p>
    <w:p w14:paraId="1F0228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5 гл. управления затянул оформление договора на самолеты до июня 1940 года. До сих пор завод N 126 не сдал ни одного самолета на поплавках.</w:t>
      </w:r>
    </w:p>
    <w:p w14:paraId="30D1E7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N 126 не сдал также ни одного самолета ДБ-3 и на сухопутных шасси.</w:t>
      </w:r>
    </w:p>
    <w:p w14:paraId="7FADA9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Шахурин объясняет невыполнение решения КО тем, что самолет этот никогда не проектировался, не строился и что на него отсутствуют чертежи на заводе N 126. Эти объяснения не подтверждаются фактами. Чертежи и поплавки, изготовленные в свое время заводами N 31 и N 39, по распоряжению НКАП, находятся на заводе N 126 с апреля 1940 года.</w:t>
      </w:r>
    </w:p>
    <w:p w14:paraId="445413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Внося ясность в создавшееся положение и учитывая, что в серийном производстве имеется самолет МДР6-2М62, считаю возможным снять свое требование - изготовлять для авиации ВМФ самолеты ДБ-3 на поплавках (3400,167-168).</w:t>
      </w:r>
    </w:p>
    <w:p w14:paraId="6889000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AD31B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года нарком обороны Тимошенко писал письмо № 18156с Ворошилову.</w:t>
      </w:r>
    </w:p>
    <w:p w14:paraId="3FC794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июле 1940 года был утвержден отчет по гос. испытаниям дальнего бомбардировщика – летающее крыло (ДБЛК-2М-87Б) конструкции инженера Беляева.</w:t>
      </w:r>
    </w:p>
    <w:p w14:paraId="668966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Заключением по отчету конструктор обязывался провести на самолете ряд доводочных работ в целях улучшения:</w:t>
      </w:r>
    </w:p>
    <w:p w14:paraId="403A0A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взлетно-посадочных свойств;</w:t>
      </w:r>
    </w:p>
    <w:p w14:paraId="0DAB57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управляемости и устойчивости;</w:t>
      </w:r>
    </w:p>
    <w:p w14:paraId="0151C6F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работы фюзеляжных стрелковых установок;</w:t>
      </w:r>
    </w:p>
    <w:p w14:paraId="394B2C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обзора экипажа.</w:t>
      </w:r>
    </w:p>
    <w:p w14:paraId="13E6CB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работы не проведены и сам самолет до сих пор стоит неиспользованным на аэродроме НИИ ВВС.</w:t>
      </w:r>
    </w:p>
    <w:p w14:paraId="180BFB2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Схема ДБЛК имеет ряд преимуществ по сравнению с обычной схемой самолета:</w:t>
      </w:r>
    </w:p>
    <w:p w14:paraId="1EAE96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возможность получения большей максимальной скорости на 35-40 км/час;</w:t>
      </w:r>
    </w:p>
    <w:p w14:paraId="2ADD1B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возможность более эффективной обороны задней полусферы самолета.</w:t>
      </w:r>
    </w:p>
    <w:p w14:paraId="7F7231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Конструктором сейчас просчитан вариант самолета ДБЛК под два мотора М-71 (ДБ-380-2М-71) с измененным расположением экипажа и другими изменениями, вытекающими из указаний, данных в отчете по гос. испытаниям.</w:t>
      </w:r>
    </w:p>
    <w:p w14:paraId="5AE907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расчетам получены следующие данные:</w:t>
      </w:r>
    </w:p>
    <w:p w14:paraId="38E0F0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6000 м – 590 км/час</w:t>
      </w:r>
    </w:p>
    <w:p w14:paraId="286ABE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 10500 м</w:t>
      </w:r>
    </w:p>
    <w:p w14:paraId="22105C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в перегруженном варианте – 4000 км</w:t>
      </w:r>
    </w:p>
    <w:p w14:paraId="68B227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Емкость бомбодержателей – 2000 кг внутрь и 2000 кг снаружи, стрелковое вооружение то же, что и у ДБЛК, т.е. четыре подвижных пулемета 7,62 мм назад и два пулемета 7,62 мм вперед.</w:t>
      </w:r>
    </w:p>
    <w:p w14:paraId="1592F9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большое значение преимуществ схемы ДБЛК для боевых самолетов ВВС, считаю необходимым сохранить КБ Беляева и поручить ему дальнейшую разработку схемы самолета – летающее крыло.</w:t>
      </w:r>
    </w:p>
    <w:p w14:paraId="427D29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Сейчас КБ находится при заводе № 156, который занят постройкой бомбардировщиков 102 и 103 и не имеет возможности обеспечить работы КБ Беляева.</w:t>
      </w:r>
    </w:p>
    <w:p w14:paraId="56B9C6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Целесообразно поэтому предоставить Беляеву самостоятельную производственную базу и включить в план КБ на 1941 год работы:</w:t>
      </w:r>
    </w:p>
    <w:p w14:paraId="300FC0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доводка построенного экземпляра самолета ДБЛК (ДБ-350) согласно указаний отчета гос. испытаний;</w:t>
      </w:r>
    </w:p>
    <w:p w14:paraId="675492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достройка и доводка экспериментального одноместного истребителя под мотор М-105П ТК с толкающим винтом и трехколесным шасси (задание пост. КО № 105сс от 4 марта 1940 года);</w:t>
      </w:r>
    </w:p>
    <w:p w14:paraId="3287C7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постройка одного экземпляра дальнего бомбардировщика по схеме летающее крыло под 2 мотора М-71 (ДБ-380) с данными, указанными выше.</w:t>
      </w:r>
    </w:p>
    <w:p w14:paraId="1DFD58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Ваших решений по данному вопросу и соответствующих указаний НКАП (4165,139-140).</w:t>
      </w:r>
    </w:p>
    <w:p w14:paraId="1B47B8B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985D31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г. было письмо бывшего наркома к действующему (Кагановича к Шахурину), где новый директор завода № 124 осмелился прямо сказать, что Шахурин в сентябре лично назначал сроки поставок моторов в Казань, но моторы получены не были. Позднее по телефону нарком вновь обещал дать заводу моторы АМ-35, но машины по-прежнему стояли без двигателей. То же самое произошло и с моторами к ДС-3. И после этого завод обвиняется в невыполнении плана. В заключение Каганович пишет: «Такой необъективный подход в момент запуска машины при огромных трудностях снабжения, главным образом моторами, внутри нашего Наркомата мало мобилизует коллектив на борьбу, а наоборот, это дает оправдание аппарату Наркомата прикрывать свою плохую работу по выполнению обязательств перед заводом» (12049).</w:t>
      </w:r>
    </w:p>
    <w:p w14:paraId="0E00034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18B9B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вышел отчет о гос. испытаниях 100 и там впервые было использовано наименование Пе-2 (1806,24).</w:t>
      </w:r>
    </w:p>
    <w:p w14:paraId="53C757A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179672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w:t>
      </w:r>
      <w:r w:rsidRPr="00A3026E">
        <w:rPr>
          <w:rFonts w:ascii="Times New Roman" w:hAnsi="Times New Roman"/>
          <w:color w:val="000000" w:themeColor="text1"/>
          <w:sz w:val="16"/>
          <w:szCs w:val="16"/>
        </w:rPr>
        <w:softHyphen/>
        <w:t>кабря 1940 г. был подписан отчет о заводских испытаниях Пе-2 (11432).</w:t>
      </w:r>
    </w:p>
    <w:p w14:paraId="4977D8D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5C703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года Шахурин писал письмо N Н-25/3819 Сталину, Молотову.</w:t>
      </w:r>
    </w:p>
    <w:p w14:paraId="0ED1C9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 о результатах летных испытаний самолета Пе-2 завода N 39 за период времени с 8.XII-40 г. по 18.XII-40 г.</w:t>
      </w:r>
    </w:p>
    <w:p w14:paraId="2125C8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указанный период времени самолет Пе-2, пилотируемый ведущим летчиком Федоровым, совершил 10 полетов общей продолжительностью 4 часа 53 минуты. Наибольшая продолжительность полета - 1 час. 13 минут.</w:t>
      </w:r>
    </w:p>
    <w:p w14:paraId="419BE5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первых 3-х полетах были проверены: устойчивость, управляемость, летные свойства самолета и работа винтомоторной группы. В 4-м полете (15.12.40 г.) была произведена уборка и выпуск шасси и проверка самолета на виражах. В 5-м полете (15.12.41 г.) была произведена проверка работы винтомоторной группы при подъеме на высоту 4200 метров. 6-й полет был совершен для проверки работы винтомоторной группы и бензосистемы. В 7-м полете была произведена проверка устойчивости самолета по трем осям и полет на одном моторе. В 8-м полете был произведен предварительный замер скоростей на высотах 5000 метров, 4500 метров, 4000 метр. и 3000 метров. 9-й полет был намечен для тарировки указателя скорости, однако, полет был прекращен вследствие ухудшения погоды. В 10-м полете была произведена тарировка указателя скорости на мерной базе НИИ ВВС.</w:t>
      </w:r>
    </w:p>
    <w:p w14:paraId="14BC7E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Произведенными полетами, по заключению летчика Федорова установлено, что самолет имеет вполне нормальные взлетно-посадочные свойства. Поведение самолета при полете на одном моторе нормальное. Предварительные данные по устойчивости и маневренности самолета в воздухе вполне нормальные. Обзор летчика и штурмана хороший. Предварительные замены скоростей на высотах, с учетом тарировки прибора, показали, что самолет на высоте 5000 метров имеет максимальную скорость 540 км/час, что соответствует расчетным данным, утвержденным постановлением Правительства.</w:t>
      </w:r>
    </w:p>
    <w:p w14:paraId="1E4640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испытания проводились без вооружения, при полетном весе самолета 6800 кг. Установка вооружения и загрузка самолета до нормального полетного веса 7600 кг не может существенно повлиять на величину полученной максимальной скорости, благодаря хорошему капотированию вооружения.</w:t>
      </w:r>
    </w:p>
    <w:p w14:paraId="082B9A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Сегодня самолет подготавливается к полету с нормальным полетным весом и установленным вооружением для замера скороподъемности и максимальных скоростей на разных высотах.</w:t>
      </w:r>
    </w:p>
    <w:p w14:paraId="0BDE19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Полет назначен на 19.XII-1940 года (1293,159).</w:t>
      </w:r>
    </w:p>
    <w:p w14:paraId="62921A8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A0FB9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смешанная комиссия из представителей НКАП и ГУ ВВС составила протокол по дефектам Як-1 М-105П (773,4).</w:t>
      </w:r>
    </w:p>
    <w:p w14:paraId="683B210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F6F0C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г. начальник ГУ ВВС КА генерал-лейтенант Рычагов и нарком авиапромышленности Шахурин утвердили протокол Комиссии, работавшей на заводе № 301 от 30 ноября 1940 г. из 114 пунктов, которым предписывалось заводам № 115, 301 и 292 устранить дефекты на серийных истребителях Як-1 в кратчайшие сроки.</w:t>
      </w:r>
    </w:p>
    <w:p w14:paraId="2245D10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1940 г. на заводе № 301 работала смешанная комиссия НКАП и ГУ ВВС КА под руководством начальника 6-го управления ГУ ВВС КА бригинженера Лапина. В состав комиссии входили: начальник производственного отдела ПГУ НКАП Тихомиров, заместитель главного конструктора завода № 115 Вигант, директор завода № 301 Эскин, помощник ведущего инженера НИИ ВВС КА по самолету И-26 военинженер 2-го ранга Степанец, летчик-испытатель подполковник Стефановский, ведущий инженер по войсковым испытаниям И-26 военинженер 2-го ранга Чернавский.</w:t>
      </w:r>
    </w:p>
    <w:p w14:paraId="6B7058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1940 г. завод № 301 выпустил 48 самолетов, из которых военной приемкой было принято 36, а отправлено с завода всего 12 (11 на войсковые испытания в 11-й иап 24-й ад Московского военного округа (МВО) и один вНИИ ВВС). Из-за многочисленных переделок и доработок во втором и третьем кварталах не было выпущено ни одного самолета. Наверстать упущенное в четвертом квартале завод не смог, так как из- за недопоставок агрегатов цех окончательной сборки был забит не сданными самолетами и не было места для сборки очередных машин.</w:t>
      </w:r>
    </w:p>
    <w:p w14:paraId="5002DC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Ситуация на заводе № 301 была почти зеркальным отражением ситуации на заводе № 21. Точно также, как и там (И-180 и И-21), параллельно с внедрением нового истребителя И-26, на заводе велись опытные работы в "своем" КБ по машине И-301. Доработки И-26 постоянно требовали большого отвлечения ресурсов, а оплата работ заводу осуществлялась по факту приемки самолетов заказчиком, в то время как опытные работы были хорошо профинансированы и премировались. Соответственно формировалось негативное отношение к выпуску истребителя Яковлева на всех уровнях заводской иерархии, начиная с рабочих. Качество производственного изготовления И-26 (Як-1) упало настолько низко, что у руководства ВВС преобладало мнение о том, что самолеты выпуска завода № 301 нельзя отправлять в части слишком отдаленные от завода (ЦАМО ф.35 on. 11287 д.24 л. 15). Что и было сделано: подавляющее большинство Як-1, собранных на заводе в Химках, поступили в полки МВО. С другой стороны, невысокое качество изготовления, возможно, было причиной отсутствия на заводе квалифицированных кадров - еще год назад это была мебельная фабрика. В дальнейшем ремонтные бригады завода практически постоянно находились в частях, выполняя доработки и устраняя производственные дефекты по рекламациям в рамках гарантий по договору с ГУ ВВС КА. В отличие от Н.Н. Поликарпова А.С. Яковлеву удалось преломить ситуацию на заводе (отдельные экземпляры Як-1 выпуска 301-го завода успешно эксплуатировались ВВС и ВМФ до середины 1942 года). Этому способствовало не столько высокое положение главного конструктора И-26, сколько близкое месторасположение завода (12048).</w:t>
      </w:r>
    </w:p>
    <w:p w14:paraId="18C7EC1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8B950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было направлено письмо Н 25/3795 НКАП И.В.С. с выдвижением кандидатур на:</w:t>
      </w:r>
    </w:p>
    <w:p w14:paraId="0840DB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Премия им. Сталина: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tblGrid>
      <w:tr w:rsidR="00983732" w:rsidRPr="00A3026E" w14:paraId="0DBDE693" w14:textId="77777777" w:rsidTr="00EA0DA7">
        <w:tc>
          <w:tcPr>
            <w:tcW w:w="2299" w:type="dxa"/>
            <w:tcBorders>
              <w:top w:val="single" w:sz="12" w:space="0" w:color="auto"/>
            </w:tcBorders>
          </w:tcPr>
          <w:p w14:paraId="3B3D93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 самолетам:</w:t>
            </w:r>
          </w:p>
        </w:tc>
        <w:tc>
          <w:tcPr>
            <w:tcW w:w="2299" w:type="dxa"/>
            <w:tcBorders>
              <w:top w:val="single" w:sz="12" w:space="0" w:color="auto"/>
            </w:tcBorders>
          </w:tcPr>
          <w:p w14:paraId="4447E70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1576E86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035E0103" w14:textId="77777777" w:rsidTr="00EA0DA7">
        <w:tc>
          <w:tcPr>
            <w:tcW w:w="2299" w:type="dxa"/>
          </w:tcPr>
          <w:p w14:paraId="4943494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299" w:type="dxa"/>
          </w:tcPr>
          <w:p w14:paraId="355E10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Микоян и Гуревич</w:t>
            </w:r>
          </w:p>
        </w:tc>
        <w:tc>
          <w:tcPr>
            <w:tcW w:w="2299" w:type="dxa"/>
          </w:tcPr>
          <w:p w14:paraId="74B5F3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- 1-я</w:t>
            </w:r>
          </w:p>
        </w:tc>
      </w:tr>
      <w:tr w:rsidR="00983732" w:rsidRPr="00A3026E" w14:paraId="140D47AF" w14:textId="77777777" w:rsidTr="00EA0DA7">
        <w:tc>
          <w:tcPr>
            <w:tcW w:w="2299" w:type="dxa"/>
          </w:tcPr>
          <w:p w14:paraId="48598A4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299" w:type="dxa"/>
          </w:tcPr>
          <w:p w14:paraId="2E1BD7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А.С.Я.</w:t>
            </w:r>
          </w:p>
        </w:tc>
        <w:tc>
          <w:tcPr>
            <w:tcW w:w="2299" w:type="dxa"/>
          </w:tcPr>
          <w:p w14:paraId="7D2F20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- 1-я</w:t>
            </w:r>
          </w:p>
        </w:tc>
      </w:tr>
      <w:tr w:rsidR="00983732" w:rsidRPr="00A3026E" w14:paraId="547D22C9" w14:textId="77777777" w:rsidTr="00EA0DA7">
        <w:tc>
          <w:tcPr>
            <w:tcW w:w="2299" w:type="dxa"/>
          </w:tcPr>
          <w:p w14:paraId="5C83C66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299" w:type="dxa"/>
          </w:tcPr>
          <w:p w14:paraId="466083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Горбунов, Лавочкин, Гудков</w:t>
            </w:r>
          </w:p>
        </w:tc>
        <w:tc>
          <w:tcPr>
            <w:tcW w:w="2299" w:type="dxa"/>
          </w:tcPr>
          <w:p w14:paraId="7FA413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- 1-я</w:t>
            </w:r>
          </w:p>
        </w:tc>
      </w:tr>
      <w:tr w:rsidR="00983732" w:rsidRPr="00A3026E" w14:paraId="7DCBFAC8" w14:textId="77777777" w:rsidTr="00EA0DA7">
        <w:tc>
          <w:tcPr>
            <w:tcW w:w="2299" w:type="dxa"/>
          </w:tcPr>
          <w:p w14:paraId="5FAC532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299" w:type="dxa"/>
          </w:tcPr>
          <w:p w14:paraId="70FF13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-Ермолаев</w:t>
            </w:r>
          </w:p>
        </w:tc>
        <w:tc>
          <w:tcPr>
            <w:tcW w:w="2299" w:type="dxa"/>
          </w:tcPr>
          <w:p w14:paraId="048BAF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- 2-я</w:t>
            </w:r>
          </w:p>
        </w:tc>
      </w:tr>
      <w:tr w:rsidR="00983732" w:rsidRPr="00A3026E" w14:paraId="3D846884" w14:textId="77777777" w:rsidTr="00EA0DA7">
        <w:tc>
          <w:tcPr>
            <w:tcW w:w="2299" w:type="dxa"/>
          </w:tcPr>
          <w:p w14:paraId="1560B5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моторам:</w:t>
            </w:r>
          </w:p>
        </w:tc>
        <w:tc>
          <w:tcPr>
            <w:tcW w:w="2299" w:type="dxa"/>
          </w:tcPr>
          <w:p w14:paraId="3A25B03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299" w:type="dxa"/>
          </w:tcPr>
          <w:p w14:paraId="52E5308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9268C5E" w14:textId="77777777" w:rsidTr="00EA0DA7">
        <w:tc>
          <w:tcPr>
            <w:tcW w:w="2299" w:type="dxa"/>
          </w:tcPr>
          <w:p w14:paraId="1BAA5AE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299" w:type="dxa"/>
          </w:tcPr>
          <w:p w14:paraId="716D5C2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-Климову В.Я.</w:t>
            </w:r>
          </w:p>
        </w:tc>
        <w:tc>
          <w:tcPr>
            <w:tcW w:w="2299" w:type="dxa"/>
          </w:tcPr>
          <w:p w14:paraId="0B752C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- 1-я</w:t>
            </w:r>
          </w:p>
        </w:tc>
      </w:tr>
      <w:tr w:rsidR="00983732" w:rsidRPr="00A3026E" w14:paraId="5222C319" w14:textId="77777777" w:rsidTr="00EA0DA7">
        <w:tc>
          <w:tcPr>
            <w:tcW w:w="2299" w:type="dxa"/>
          </w:tcPr>
          <w:p w14:paraId="46E3AF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Лисунов А.А.</w:t>
            </w:r>
          </w:p>
        </w:tc>
        <w:tc>
          <w:tcPr>
            <w:tcW w:w="2299" w:type="dxa"/>
          </w:tcPr>
          <w:p w14:paraId="27D9CB5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299" w:type="dxa"/>
          </w:tcPr>
          <w:p w14:paraId="695A8E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- 1-я</w:t>
            </w:r>
          </w:p>
        </w:tc>
      </w:tr>
      <w:tr w:rsidR="00983732" w:rsidRPr="00A3026E" w14:paraId="6FFD5426" w14:textId="77777777" w:rsidTr="00EA0DA7">
        <w:tc>
          <w:tcPr>
            <w:tcW w:w="2299" w:type="dxa"/>
          </w:tcPr>
          <w:p w14:paraId="1AA379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Премий им. Чкалова</w:t>
            </w:r>
          </w:p>
        </w:tc>
        <w:tc>
          <w:tcPr>
            <w:tcW w:w="2299" w:type="dxa"/>
          </w:tcPr>
          <w:p w14:paraId="0C6B128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299" w:type="dxa"/>
          </w:tcPr>
          <w:p w14:paraId="02B189B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821ABA1" w14:textId="77777777" w:rsidTr="00EA0DA7">
        <w:tc>
          <w:tcPr>
            <w:tcW w:w="2299" w:type="dxa"/>
          </w:tcPr>
          <w:p w14:paraId="64921C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 самолетам</w:t>
            </w:r>
          </w:p>
        </w:tc>
        <w:tc>
          <w:tcPr>
            <w:tcW w:w="2299" w:type="dxa"/>
          </w:tcPr>
          <w:p w14:paraId="54661F0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299" w:type="dxa"/>
          </w:tcPr>
          <w:p w14:paraId="6CC2617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2808027" w14:textId="77777777" w:rsidTr="00EA0DA7">
        <w:tc>
          <w:tcPr>
            <w:tcW w:w="2299" w:type="dxa"/>
          </w:tcPr>
          <w:p w14:paraId="3EC22F8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299" w:type="dxa"/>
          </w:tcPr>
          <w:p w14:paraId="3AA556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w:t>
            </w:r>
          </w:p>
        </w:tc>
        <w:tc>
          <w:tcPr>
            <w:tcW w:w="2299" w:type="dxa"/>
          </w:tcPr>
          <w:p w14:paraId="7406C35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C2E2EE4" w14:textId="77777777" w:rsidTr="00EA0DA7">
        <w:tc>
          <w:tcPr>
            <w:tcW w:w="2299" w:type="dxa"/>
          </w:tcPr>
          <w:p w14:paraId="56C11D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 моторам (966,263)</w:t>
            </w:r>
          </w:p>
        </w:tc>
        <w:tc>
          <w:tcPr>
            <w:tcW w:w="2299" w:type="dxa"/>
          </w:tcPr>
          <w:p w14:paraId="49A02B5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299" w:type="dxa"/>
          </w:tcPr>
          <w:p w14:paraId="20AA9BF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3EAF8455" w14:textId="77777777" w:rsidTr="00EA0DA7">
        <w:tc>
          <w:tcPr>
            <w:tcW w:w="2299" w:type="dxa"/>
            <w:tcBorders>
              <w:bottom w:val="single" w:sz="12" w:space="0" w:color="auto"/>
            </w:tcBorders>
          </w:tcPr>
          <w:p w14:paraId="22C9CAB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299" w:type="dxa"/>
            <w:tcBorders>
              <w:bottom w:val="single" w:sz="12" w:space="0" w:color="auto"/>
            </w:tcBorders>
          </w:tcPr>
          <w:p w14:paraId="327228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В.М.Яковлев</w:t>
            </w:r>
          </w:p>
        </w:tc>
        <w:tc>
          <w:tcPr>
            <w:tcW w:w="2299" w:type="dxa"/>
            <w:tcBorders>
              <w:bottom w:val="single" w:sz="12" w:space="0" w:color="auto"/>
            </w:tcBorders>
          </w:tcPr>
          <w:p w14:paraId="6079E0B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bl>
    <w:p w14:paraId="6E748A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(966,263).</w:t>
      </w:r>
    </w:p>
    <w:p w14:paraId="07E9474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B60D4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г. по приказу № 751с/70с цех ширпотреба завода им. Петровского НКЧМ был передан НКАП и по приказу № 15с от 9.01.1941 г. получил название ГС завод № 481 в системе 2ГУ НКАП (ГС завод № 481 НКАП, МАП, МСХМ /Украина  г. Днепропетровск;  г. Сызрань Куйбышевской обл./). Началась срочная организация производства агрегатов авиационного вооружения (планировалось начать выпуск до конца 1-го квартала 1941 г.).</w:t>
      </w:r>
    </w:p>
    <w:p w14:paraId="6CB1CF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1941 г. строящийся завод № 481 эвакуирован в Сызрань на площадку завода № 164 НКАП. Здесь по приказу № 1068с от 14.10.1941 г. в результате слияния двух заводов образован единый завод № 481 в системе 2ГУ. Вскоре в состав завода влита часть (70 %) эвакуированного по приказу № 1109сс от 11.11.1941 г. завода № 487 НКАП.</w:t>
      </w:r>
    </w:p>
    <w:p w14:paraId="7C848A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Москвы на территорию завода № 481 в Сызрань по приказу № 878сс от 20.08.1941 г. эвакуировано КБ-3 завода № 32 НКАП гл. конструктора И.И.Торопова. По приказу № 484с от 3.08.1944 г. КБ переведено на завод № 43 (возможно, перед этим оно уже было в Кирове на заводе № 32).</w:t>
      </w:r>
    </w:p>
    <w:p w14:paraId="03C9EF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Здания и сооружения завода № 481 в Днепропетровске по приказу № 780с от 28/30.12.1943 г. переданы из 2ГУ в 5ГУ НКАП.</w:t>
      </w:r>
    </w:p>
    <w:p w14:paraId="750873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277с от 14.04.1942 г. часть оборудования завода передана филиалу завода № 145 НКАП в Болшево.</w:t>
      </w:r>
    </w:p>
    <w:p w14:paraId="603992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07.1943 г. на завод передано производство лафетов для пушки «ВЯ» с завода № 165 НКАП.</w:t>
      </w:r>
    </w:p>
    <w:p w14:paraId="1BBE99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1.01.1947 г. завод передан из 2ГУ в ИГУ. В соответствии с пост. СМ № 2118-814с от 25.05.1949 г. и приказом № 414с от 2.06.1949 г. завод № 481 с 1.01.1949 г. передан в МСХМ.</w:t>
      </w:r>
    </w:p>
    <w:p w14:paraId="7A11AD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(-10.1941 г.)- Кравцов, (10.1941-)- Н.В. Климовицкий, (-04.1942-06.1945 г.-)- Гулай.</w:t>
      </w:r>
    </w:p>
    <w:p w14:paraId="132FDC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(10.1941 г.-)- А.И. Хвостюк.</w:t>
      </w:r>
    </w:p>
    <w:p w14:paraId="2E2CA3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(ВОВ) агрегаты вооружения: ухваты к Дер-31, АСИ-140, АСТ-141, блоки РО-82, балки для РС-82, петрофлексы, электропуски, синхронные установки для Як-1, лафеты УБС для ЛаГГ-3, лафеты ШВАК для Пе-3, элементы вооружения для Ту-2, бомбовые кассеты АБКП-100; лыжи для Ил-2, запчасти для И-153, Р-5.</w:t>
      </w:r>
    </w:p>
    <w:p w14:paraId="017CD7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завода № 481 НКАП /г. Москва/</w:t>
      </w:r>
    </w:p>
    <w:p w14:paraId="2D6A07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Филиал образован по приказу № 116с от 11.02.1942 г. на площадке эвакуированного завода № 487 НКАП для ремонта стрелкового и бомбардировочного вооружения. Начальник- Э.И. Озарский. Сразу после образования филиал получил задание на производство агрегатов вооружения: балок для РС-82, </w:t>
      </w:r>
      <w:r w:rsidRPr="00A3026E">
        <w:rPr>
          <w:rFonts w:ascii="Times New Roman" w:hAnsi="Times New Roman"/>
          <w:color w:val="000000" w:themeColor="text1"/>
          <w:sz w:val="16"/>
          <w:szCs w:val="16"/>
          <w:lang w:val="en-US"/>
        </w:rPr>
        <w:t>PC</w:t>
      </w:r>
      <w:r w:rsidRPr="00A3026E">
        <w:rPr>
          <w:rFonts w:ascii="Times New Roman" w:hAnsi="Times New Roman"/>
          <w:color w:val="000000" w:themeColor="text1"/>
          <w:sz w:val="16"/>
          <w:szCs w:val="16"/>
        </w:rPr>
        <w:t>-132, подкрыльевых кассет АБКП-500 для Ил-4, ампулометов.</w:t>
      </w:r>
    </w:p>
    <w:p w14:paraId="57AE67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375с от 14.05.1942 г. при филиале образован филиал ОКБ завода № 454 НКАП на площадях, ранее занимаемых ОКБ-487. Для этого из Куйбышева переведена группа сотрудников ОКБ завода № 454 (25 чел., начальник филиала- В.И. Ермилов).</w:t>
      </w:r>
    </w:p>
    <w:p w14:paraId="58BA39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02.1943 г. филиал был преобразован в самостоятельный завод с прежним наименованием- завод № 487 НКАП.</w:t>
      </w:r>
    </w:p>
    <w:p w14:paraId="7B4E11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КБ гл. конструктора И.И. Торопова при заводе № 481 НКАП /г. Сызрань Куйбышевской обл./</w:t>
      </w:r>
    </w:p>
    <w:p w14:paraId="7D0C7B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878сс от 20.08.1941 г. на территорию завода № 481 в'Сызрань было эвакуировано со всем личным составом, тех. документацией и материалами КБ-3 завода № 32 гл. конструктора И.И. Торопова. Здесь КБ работало по турели для 12,7-мм пулемета для Пе-2 и «103у», установке ВУБ-3 для Ил-2. Торопов оставался гл. конструктором завода № 32.</w:t>
      </w:r>
    </w:p>
    <w:p w14:paraId="62D861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484с от 3.08.1944 г. КБ переведено на завод № 43 (возможно, перед этим оно уже было в Кирове на заводе № 32) (11092).</w:t>
      </w:r>
    </w:p>
    <w:p w14:paraId="22227BD8" w14:textId="77777777" w:rsidR="0014077F" w:rsidRPr="00A3026E" w:rsidRDefault="0014077F" w:rsidP="00A3026E">
      <w:pPr>
        <w:pStyle w:val="Iauiue"/>
        <w:jc w:val="both"/>
        <w:rPr>
          <w:color w:val="000000" w:themeColor="text1"/>
          <w:sz w:val="16"/>
          <w:szCs w:val="16"/>
        </w:rPr>
      </w:pPr>
    </w:p>
    <w:p w14:paraId="1FF5D45A"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18 декабря 1940 был подготовлен протокол смешанной комиссии (из представителей НКАП и ГУ ВВС) по устранения дефектов Як-1 (773,2).</w:t>
      </w:r>
    </w:p>
    <w:p w14:paraId="34E05417" w14:textId="77777777" w:rsidR="0014077F" w:rsidRPr="00A3026E" w:rsidRDefault="0014077F" w:rsidP="00A3026E">
      <w:pPr>
        <w:pStyle w:val="Iauiue"/>
        <w:jc w:val="both"/>
        <w:rPr>
          <w:color w:val="000000" w:themeColor="text1"/>
          <w:sz w:val="16"/>
          <w:szCs w:val="16"/>
        </w:rPr>
      </w:pPr>
    </w:p>
    <w:p w14:paraId="1D06D691" w14:textId="77777777" w:rsidR="00387CFF" w:rsidRPr="00A3026E" w:rsidRDefault="00387CFF"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18 де</w:t>
      </w:r>
      <w:r w:rsidRPr="00A3026E">
        <w:rPr>
          <w:color w:val="000000" w:themeColor="text1"/>
          <w:sz w:val="16"/>
          <w:szCs w:val="16"/>
        </w:rPr>
        <w:softHyphen/>
        <w:t>кабря 1940 г. Нарком обороны маршал С. К. Тимошенко обратился к председателю Комитета обороны при СНК СССР маршалу К. Е. Ворошилову с предложением принять на вооружение ВВС КА оба боеприпаса «с содержанием их в комплектах боеприпасов к 23-мм пушке Таубина—Бабурина и 20-мм пушке ШВАК». Одновременно Тимошенко докладывал, что «представление к вводу на во</w:t>
      </w:r>
      <w:r w:rsidRPr="00A3026E">
        <w:rPr>
          <w:color w:val="000000" w:themeColor="text1"/>
          <w:sz w:val="16"/>
          <w:szCs w:val="16"/>
        </w:rPr>
        <w:softHyphen/>
        <w:t>оружение осколочно-зажигательных снарядов ка</w:t>
      </w:r>
      <w:r w:rsidRPr="00A3026E">
        <w:rPr>
          <w:color w:val="000000" w:themeColor="text1"/>
          <w:sz w:val="16"/>
          <w:szCs w:val="16"/>
        </w:rPr>
        <w:softHyphen/>
        <w:t>либров 23 и 20 мм временно задерживается из-за недоведенности взрывателя» (17500).</w:t>
      </w:r>
    </w:p>
    <w:p w14:paraId="2A6234D8" w14:textId="77777777" w:rsidR="00387CFF" w:rsidRPr="00A3026E" w:rsidRDefault="00387CFF" w:rsidP="00A3026E">
      <w:pPr>
        <w:spacing w:after="0" w:line="240" w:lineRule="auto"/>
        <w:jc w:val="both"/>
        <w:rPr>
          <w:rFonts w:ascii="Times New Roman" w:eastAsia="Times New Roman" w:hAnsi="Times New Roman"/>
          <w:color w:val="000000" w:themeColor="text1"/>
          <w:sz w:val="16"/>
          <w:szCs w:val="16"/>
          <w:lang w:eastAsia="ru-RU"/>
        </w:rPr>
      </w:pPr>
    </w:p>
    <w:p w14:paraId="149216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года начальник НИП АВ ВВС полковник Шевченко утвердил:</w:t>
      </w:r>
    </w:p>
    <w:p w14:paraId="4382FD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о полигонных испытаниях бомб П-25 м 2 с асбоцементной трубой</w:t>
      </w:r>
    </w:p>
    <w:p w14:paraId="134FE7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7B7FA2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В/инженер 3 ранга Лавров</w:t>
      </w:r>
    </w:p>
    <w:p w14:paraId="6A83CA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5CF31A1F"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прочность асбоцементной трубы при транспортировке и посадках самолета с бомбами.</w:t>
      </w:r>
    </w:p>
    <w:p w14:paraId="753DF06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Выявить эксплуатационные преимущества и недостатки асбоцементной трубы по сравнению с металлической.</w:t>
      </w:r>
    </w:p>
    <w:p w14:paraId="643D65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22635359"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 П-25 м-2 по прочности асбоцементной трубы – полигонные испытания выдержали (7580).</w:t>
      </w:r>
    </w:p>
    <w:p w14:paraId="57814F27"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p>
    <w:p w14:paraId="16C672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18-19 декабря 1940 года зам. нач. ГУ ВВС ген.-лейтенант авиации Астахов писал письмо N 509121с Шахурину.</w:t>
      </w:r>
    </w:p>
    <w:p w14:paraId="562338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окраски самолетов на заводе N 22.</w:t>
      </w:r>
    </w:p>
    <w:p w14:paraId="202CC9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ноября 1939 г., в период военных действий, заводу N 22 ГУ ВВС было разрешено в целях ускорения выпуска самолетов производить однослойное покрытие с-тов эмалевой краской.</w:t>
      </w:r>
    </w:p>
    <w:p w14:paraId="714529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N 22 было взято на себя обязательство произвести второе покрытие самолетов эмалевой краской в частях ВВС летом 1940 г.</w:t>
      </w:r>
    </w:p>
    <w:p w14:paraId="054801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Обследованием проведенным НИИ ГУ ВВС состояние однослойной покраски с-тов СБ в частях ВВС показало совершенно неудовлетворительные результаты. Однослойная окраска не выдерживает даже 2-х месяцев эксплуатации, особенно в южных районах, окраска трескается и отваливается.</w:t>
      </w:r>
    </w:p>
    <w:p w14:paraId="3677FB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N 22 взятые на себя обязательства, по покраске самолетов в строевых частях выполняются неудовлетворительно, из 1570 с-тов подлежащих окраске окрашено только 329. Кроме того окраска с-тов в воинских частях заводом производится некачественно, без предварительной обработки поверхности перед окраской.</w:t>
      </w:r>
    </w:p>
    <w:p w14:paraId="33E881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N 22 до настоящего времени не имеет малярного цеха и не использует имеющийся ангар в целях обеспечения выпуска самолетов с двухслойным покрытием эмалевой краской.</w:t>
      </w:r>
    </w:p>
    <w:p w14:paraId="79AE14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о принятии необходимых мер (1293,163).</w:t>
      </w:r>
    </w:p>
    <w:p w14:paraId="2659DE7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0B973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года нарком обороны маршал С. Тимошенко писал письмо председателю КО Ворошилову</w:t>
      </w:r>
    </w:p>
    <w:p w14:paraId="459476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Постановления СНК и ЦК ВКП(б) № 2473-1102с от 7 декабря 1940 года, в течение 10-11 декабря 1940 года Комиссией под председательством генерал-лейтенанта авиации Астахова, были произведены сравнительные испытания ряда опытных образцов 23 мм и 20 мм бронебойно-зажигательных снарядов и 12,7 мм бронебойно-зажигательных пуль с целью выбора наилучшей конструкции их для запуска в валовое производство.</w:t>
      </w:r>
    </w:p>
    <w:p w14:paraId="6B995F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итоге испытаний установлены следующие конструкции бронебойно-зажигательных снарядов, рекомендуемых Комиссией для запуска их в валовое производство:</w:t>
      </w:r>
    </w:p>
    <w:p w14:paraId="7600FC54"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мм бронебойно-зажигательный снаряд конструкции НИИ-24 НКВ. Этот снаряд при стрельбе из 23 мм пушки Таубина-Бабурина по бронеспинкам толщиной в 25 мм показал безотказное действие по броне на боевых дистанциях 200-400 м.</w:t>
      </w:r>
    </w:p>
    <w:p w14:paraId="1EDD136F" w14:textId="77777777" w:rsidR="0014077F" w:rsidRPr="00A3026E" w:rsidRDefault="0014077F" w:rsidP="00A3026E">
      <w:pPr>
        <w:pStyle w:val="22"/>
        <w:widowControl/>
        <w:rPr>
          <w:color w:val="000000" w:themeColor="text1"/>
        </w:rPr>
      </w:pPr>
      <w:r w:rsidRPr="00A3026E">
        <w:rPr>
          <w:color w:val="000000" w:themeColor="text1"/>
        </w:rPr>
        <w:t>При испытание на зажжение бензина выявлено, что снаряд зажигает бензин, находящийся в протектированных бензобаках за 25 мм броней.</w:t>
      </w:r>
    </w:p>
    <w:p w14:paraId="223F58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73452584"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 мм бронебойно-зажигательный снаряд конструкции ОКБ-15 со штатным пироксилиновым порохом «ВТ». Этот снаряд при стрельбе по 20 мм гомогенной броне показал, для существующей баллистике пушки ШВАК, вполне удовлетворительное действие на боевых дистанциях 200-400 м.</w:t>
      </w:r>
    </w:p>
    <w:p w14:paraId="3EBD29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79F65F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полученные результаты, прошу оба указанных бронебойно-зажигательных снаряда калибров 23 мм и 20 мм принять на вооружение ВВС с содержанием их в комплектах боеприпасов к 23 мм пушке Таубина-Бабурина и 20 мм пушке ШВАК.</w:t>
      </w:r>
    </w:p>
    <w:p w14:paraId="7BCA9F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процессе тех же испытаний комиссия не могла дать заключение по 12,7 мм бронебойно-зажигательной фосфорной пуле из-за недостаточного количества поданных патронов.</w:t>
      </w:r>
    </w:p>
    <w:p w14:paraId="275C79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Необходимость же в этой пуле объясняется следующим:</w:t>
      </w:r>
    </w:p>
    <w:p w14:paraId="21AE12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вооружении ВВС сейчас имеются три 12,7 мм пули: а) разрывная пуля МД с хорошим разрывным и зажигательным эффектом; б) бронебойно-зажигательная пуля Б-32 с хорошим бронебойным эффектом (пробивает 15 мм броню на дистанции до 600 метров) и с зажигательным эффектом по бензину, но защищенному броней и в) бронебойно-зажигательная трассирующая пуля БЗТ с более слабым бронебойным действием, чем пуля Б-32, с зажигательным действием как у пули Б-32 и с дополнительным трассирующим действием для пристрелки.</w:t>
      </w:r>
    </w:p>
    <w:p w14:paraId="2E0D1F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Разрывная пуля с хорошим зажигательным эффектом только сейчас осваивается. Производственной базы для нее не создано и в запасах ее нет.</w:t>
      </w:r>
    </w:p>
    <w:p w14:paraId="48802A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Бронебойно-зажигательная пуля Б-32 и бронебойно-зажигательно-трассирующая пуля БЗТ не обеспечивают зажжения бензина незащищенного броней.</w:t>
      </w:r>
    </w:p>
    <w:p w14:paraId="77DD1F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бронебойно-зажигательно-трассирующая пуля БЗТ содержится, гл. образом для трассирующего действия; в связи с прекращением заказа на 7,62 мм трассирующие пули, надобность в этой пуле также отпадает. Поэтому до полного разворота производства разрывных пуль МД и накопления их запасов, необходима массовая эффективная 12,7 мм зажигательная пуля. В то же время целесообразно 12,7 мм бронебойно-зажигательно-трассирующую пулю с вооружения ВВС снять.</w:t>
      </w:r>
    </w:p>
    <w:p w14:paraId="791D10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докладываю, что представление к вводу на вооружение осколочно-зажигательных снарядов калибров 23 мм и 20 мм временно задерживается из-за недоведенности взрывателя (7711, 329-333).</w:t>
      </w:r>
    </w:p>
    <w:p w14:paraId="6B0F9C0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0E281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года вышел приказ НКАП и НК легкой промышленности за № 30/750с во исполнение постановления Правительства от 7 декабря 1940 года, которым завод № 469 был передан из НК легкой промышленности в соответствии.</w:t>
      </w:r>
    </w:p>
    <w:p w14:paraId="1C90EE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передачи завода в систему НКАП завод носил название завода № 2 им. М.М. Громова и находился в Солнечногорском районе Московской области.</w:t>
      </w:r>
    </w:p>
    <w:p w14:paraId="7F1C08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Основной вид продукции был – изготовление индивидуальных, групповых десантных, грузовых парашютов и десантного имущества.</w:t>
      </w:r>
    </w:p>
    <w:p w14:paraId="718618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ликвидации парашютного производства, при передаче завода в НКАП, заводу предстояло организовать производство по выпуску радиаторов для самолетов.</w:t>
      </w:r>
    </w:p>
    <w:p w14:paraId="406BF0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1941 года завод в системе НКАП был переоборудован под выпуск нового вида продукции, т.е. радиаторов, производство которых быстро было освоено.</w:t>
      </w:r>
    </w:p>
    <w:p w14:paraId="080266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на основании Постановления Совета по эвакуации за № СЭ162сс от 11 октября 1941 года был эвакуирован в Горький.</w:t>
      </w:r>
    </w:p>
    <w:p w14:paraId="5F1F6D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Горький 34, п/я 397</w:t>
      </w:r>
    </w:p>
    <w:p w14:paraId="53B90A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Эвакуация завода была проведена с 19 октября по 8 ноября 1941 года. В Горьком заводу № 469 предстояло занять вновь строющуюся площадку завода № 285, который впоследствии и был влит в завод № 469. На базе строительной площадки завода № 285 построен завод № 469 (9607).</w:t>
      </w:r>
    </w:p>
    <w:p w14:paraId="7CCAA33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4E48C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г. по приказу № 30с/750с фабрика (ГС Завод № 469 ИМ. М.М. Громова НКАП, Фабрика «Волокно», Парашютная фабрика № 2 им. М.М. Громова НКЛП, Солнечногорский механический завод, Горьковский агрегатный завод, НПО «Теплообменник», ОАО «Производственно-конструкторское объединение (ПКО) «Теплообменник» ФАП /г. Солнечногорск Московской обл. ст. Подсолнечная;  г. Горький Сталинский р-н, 24-я линия/ /603950  г. Нижний Новгород ГСП-1376, пр. Ленина, 93 тел. (8312) 55-01-62, 58-99-68/) была передана из НКЛП в систему НКАП. По приказу № 9с от 8.01.1941 г. заводу присвоено название ГС завод № 469 НКАП им. М.М. Громова в подчинении 2ГУ, и начата организация производства радиаторов. Перед войной при заводе был аэродром, на котором базировалась ЛИС завода № 34 НКАП. С начала 1941 г. на заводе началось производство корпусов аэронавигационных бомб АНАБ-1 для НКВМФ.</w:t>
      </w:r>
    </w:p>
    <w:p w14:paraId="4EDFF6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1072сс от 15.10.1941 г. завод № 469 2ГУ НКАП эвакуирован в  г. Горький на площадку строящегося завода № 285 НКАП. В результате объединения двух заводов образован новый радиаторный завод № 469 НКАП.</w:t>
      </w:r>
    </w:p>
    <w:p w14:paraId="00F6B4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годы войны- производство авиационных масло- и водорадиаторов, в соответствии с пост. ГКО № 2177 от 16.08.1942 г. начато производство водяных радиаторов для танков Т-70.</w:t>
      </w:r>
    </w:p>
    <w:p w14:paraId="136B85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112с от 11.02.1942 г. на площадке эвакуированного завода в Солнечногорске образован филиал завода № 469 по ремонту радиаторов. Начальник филиала- С.И. Михайлов. По приказу № 464с от 24.06.1942 г. филиал преобразован в самостоятельный радиаторный завод № 459 при 2ГУ НКАП (в н. вр,- ОАО СМЗ).</w:t>
      </w:r>
    </w:p>
    <w:p w14:paraId="1EEBA2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1196с от 30.12.1941 г. при технической помощи заводов № 34 и № 21 при СКО завода № 469 организовано ОКБ для создания новых образцов радиаторов. И.О. гл. конструктора назначен начальник СКО  Г.А. Мосолов. Из-за затянувшейся реализации приказа и ввиду достаточности опытных работ по данной тематике в ОКБ завода № 124 и на заводе № 459, по приказу № 600с от 7.08.1942 г. организация ОКБ была отменена. СКО оставлен.</w:t>
      </w:r>
    </w:p>
    <w:p w14:paraId="50B9D1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1942 г. часть оборудования и кадров возвращена на вновь образованный завод № 459 НКАП.</w:t>
      </w:r>
    </w:p>
    <w:p w14:paraId="03B0D8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СМ СССР № 713-342 от 26.06.1957 г. передан в ведение СНХ РСФСР.</w:t>
      </w:r>
    </w:p>
    <w:p w14:paraId="32613C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работ по внедрению в серию теплообменной техники в 12.1960 г. при заводе образован филиал завода № 124. Филиал подчинялся заводу № 124 до 1973 г., далее был передан другому предприятию.</w:t>
      </w:r>
    </w:p>
    <w:p w14:paraId="574A21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Позже при заводе № 469 образован филиал завода № 918 для освоения производства гермошлемов. Начальник филиала- Ю.И. Менделенко.</w:t>
      </w:r>
    </w:p>
    <w:p w14:paraId="51E9B21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D621E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1965 г. выпускался топливо-воздушный радиатор для КР П-6.</w:t>
      </w:r>
    </w:p>
    <w:p w14:paraId="083928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Производство (1996 г.): регуляторы расхода, давления, газовой среды; запорно-регулирующие устройства; турбохолодильные агрегаты; клапаны выпускные, редукционные, обратные, предохранительные; воздухо- воздушные и масляные радиаторы; глушители шума; арматура азотно-кислородная; азотно-топливные </w:t>
      </w:r>
      <w:r w:rsidRPr="00A3026E">
        <w:rPr>
          <w:rFonts w:ascii="Times New Roman" w:hAnsi="Times New Roman"/>
          <w:color w:val="000000" w:themeColor="text1"/>
          <w:sz w:val="16"/>
          <w:szCs w:val="16"/>
        </w:rPr>
        <w:lastRenderedPageBreak/>
        <w:t xml:space="preserve">теплообменники; аппаратура управления агрегатами; защитные авиационные шлемы (ЗШ-7А), гермошлемы. Поставщик агрегатов системы кондиционирования, ПОС для создаваемого регионального самолета </w:t>
      </w:r>
      <w:r w:rsidRPr="00A3026E">
        <w:rPr>
          <w:rFonts w:ascii="Times New Roman" w:hAnsi="Times New Roman"/>
          <w:color w:val="000000" w:themeColor="text1"/>
          <w:sz w:val="16"/>
          <w:szCs w:val="16"/>
          <w:lang w:val="en-US"/>
        </w:rPr>
        <w:t>RRJ</w:t>
      </w:r>
      <w:r w:rsidRPr="00A3026E">
        <w:rPr>
          <w:rFonts w:ascii="Times New Roman" w:hAnsi="Times New Roman"/>
          <w:color w:val="000000" w:themeColor="text1"/>
          <w:sz w:val="16"/>
          <w:szCs w:val="16"/>
        </w:rPr>
        <w:t xml:space="preserve"> (2003 г.).</w:t>
      </w:r>
    </w:p>
    <w:p w14:paraId="13CA4D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Разработка и производство (2005 г.): системы: кондиционирования, регулирования давления в кабине, наддува топливных баков НГ, жидкостного охлаждения бортовой аппаратуры, охлаждения масла двигателей, ПОС; теплообменники, турбохолодильники.</w:t>
      </w:r>
    </w:p>
    <w:p w14:paraId="5304A7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(1.01.2001 г.)- 2620 чел.</w:t>
      </w:r>
    </w:p>
    <w:p w14:paraId="74A108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(12.1940-11.1944 г.-)- В.Н. Смирнов, (1960-е  г.)- Васильев. Гендиректор (1986-2006 г.-)- В.В. Тятинькин.</w:t>
      </w:r>
    </w:p>
    <w:p w14:paraId="60BE34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гендиректора: по экономике (2005 г.)-  Г.М. Воронина; по маркетингу (2005 г.)- И.Ю. Батраков.</w:t>
      </w:r>
    </w:p>
    <w:p w14:paraId="7C0286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(10.1941 г.)- В.В. Сычев.</w:t>
      </w:r>
    </w:p>
    <w:p w14:paraId="07E436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(12.1941-05.1942 г.)-  Г.А. Мосолов, (2003 г.-)- В.В. Тятинькин. Ген. конструктор (-2005-06 г.-)- В.В. Тятинькин {14.12.1945-} (11982).</w:t>
      </w:r>
    </w:p>
    <w:p w14:paraId="58FDB94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8B8B29B"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0A89C6F"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4E6DEA7E"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18 декабря 1940 была </w:t>
      </w:r>
      <w:r w:rsidRPr="00A3026E">
        <w:rPr>
          <w:rFonts w:ascii="Times New Roman" w:hAnsi="Times New Roman"/>
          <w:color w:val="0070C0"/>
          <w:sz w:val="16"/>
          <w:szCs w:val="16"/>
          <w:shd w:val="clear" w:color="auto" w:fill="FFFFFF"/>
        </w:rPr>
        <w:t>Докладная записка зам. начальника ГАУ КА Савченко и наркома вооружения СССР Б. Л. Ванникова в ЦК ВКП(б), СНК СССР, Комитет обороны при СНК СССР и Наркомат обороны СССР о результатах войсковых и полигонных испытаний пистолетов-пулеметов с рекомендацией принять на вооружение Красной армии пистолет-пулемет Шпагина (22104).</w:t>
      </w:r>
    </w:p>
    <w:p w14:paraId="69C9D5E3" w14:textId="77777777" w:rsidR="00D52CF0" w:rsidRPr="00A3026E" w:rsidRDefault="00D52CF0" w:rsidP="00A3026E">
      <w:pPr>
        <w:spacing w:after="0" w:line="240" w:lineRule="auto"/>
        <w:jc w:val="both"/>
        <w:rPr>
          <w:rFonts w:ascii="Times New Roman" w:hAnsi="Times New Roman"/>
          <w:color w:val="0070C0"/>
          <w:sz w:val="16"/>
          <w:szCs w:val="16"/>
        </w:rPr>
      </w:pPr>
    </w:p>
    <w:p w14:paraId="372B5B7B"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18 декабря 1940 была Докладная записка председателя Комитета обороны при СНК СССР К. Е. Ворошилова и наркома среднего машиностроения СССР В. А. Малышева И. В. Сталину о предложениях начальника Главного управления государственных резервов при СНК СССР М. В. Данченко по реорганизации танковой промышленности</w:t>
      </w:r>
    </w:p>
    <w:p w14:paraId="15614E62"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письме на Ваше имя тов. Данченко:</w:t>
      </w:r>
    </w:p>
    <w:p w14:paraId="5108D121"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Справедливо критикуя недостатки старых типов танков Т-26, БТ, Т-28 и Т-35 делает неправильный вывод предлагая после модерни</w:t>
      </w:r>
      <w:r w:rsidRPr="00A3026E">
        <w:rPr>
          <w:rFonts w:ascii="Times New Roman" w:hAnsi="Times New Roman"/>
          <w:color w:val="0070C0"/>
          <w:sz w:val="16"/>
          <w:szCs w:val="16"/>
        </w:rPr>
        <w:softHyphen/>
        <w:t>зации этих танков продолжать ими вооружать армию.</w:t>
      </w:r>
    </w:p>
    <w:p w14:paraId="5A4BBC6C"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Вместо модернизации решениями ЦК и СНК и КО старые танки, имеющие основной недостаток - тонкую броню, сняты с производства и взамен их созданы танки Т-40, Т-34 и "КВ" и, ведутся проектные работы по танку Т-50.</w:t>
      </w:r>
    </w:p>
    <w:p w14:paraId="2688687B"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Указание тов. Данченко на недостатки трансмиссии танка "КВ", вернее фрикционного механизма поворота, вследствие чего танк якобы не может быть принят на массовое вооружение - противо</w:t>
      </w:r>
      <w:r w:rsidRPr="00A3026E">
        <w:rPr>
          <w:rFonts w:ascii="Times New Roman" w:hAnsi="Times New Roman"/>
          <w:color w:val="0070C0"/>
          <w:sz w:val="16"/>
          <w:szCs w:val="16"/>
        </w:rPr>
        <w:softHyphen/>
        <w:t>речит опыту длительных испытаний танка "КВ" подтвердивших удовлетворительную маневренность этого танка во всех отношениях.</w:t>
      </w:r>
    </w:p>
    <w:p w14:paraId="5A1D0A14"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Однако, тов. Данченко прав в той части, что при существующем фрикционном механизме поворот танка осуществляется путем движения одной из гусениц вокруг намертво заторможенной второй гусеницы. Вследствие этого заторможенная гусеница во время поворота танка врезается в грунт и благодаря этому ходовая часть танка претерпевает значительное напряжение, а сам поворот проходит на малой скорости с большим радиусом.</w:t>
      </w:r>
    </w:p>
    <w:p w14:paraId="2718817A"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Было бы хорошо иметь механизм поворота устраняющий этот не</w:t>
      </w:r>
      <w:r w:rsidRPr="00A3026E">
        <w:rPr>
          <w:rFonts w:ascii="Times New Roman" w:hAnsi="Times New Roman"/>
          <w:color w:val="0070C0"/>
          <w:sz w:val="16"/>
          <w:szCs w:val="16"/>
        </w:rPr>
        <w:softHyphen/>
        <w:t>достаток. Таким механизмом тов. Данченко считает схему, предложен</w:t>
      </w:r>
      <w:r w:rsidRPr="00A3026E">
        <w:rPr>
          <w:rFonts w:ascii="Times New Roman" w:hAnsi="Times New Roman"/>
          <w:color w:val="0070C0"/>
          <w:sz w:val="16"/>
          <w:szCs w:val="16"/>
        </w:rPr>
        <w:softHyphen/>
        <w:t>ную им и т.Благонравовым.</w:t>
      </w:r>
    </w:p>
    <w:p w14:paraId="722BE17C"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предположению тов. Данченко его механизм устранит недостаток фрикционов и тем самым повысит маневренность танка осуществляя поворот не путем торможения одной из гусениц, а движением обеих гусениц в противоположные стороны.</w:t>
      </w:r>
    </w:p>
    <w:p w14:paraId="18764CC8"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После рассмотрения этой схемы представителями НКО, НКТМ и НКСМ было решено для проверки правильности расчета конструкций разработать в Академии Моторизации и Механизации технические про</w:t>
      </w:r>
      <w:r w:rsidRPr="00A3026E">
        <w:rPr>
          <w:rFonts w:ascii="Times New Roman" w:hAnsi="Times New Roman"/>
          <w:color w:val="0070C0"/>
          <w:sz w:val="16"/>
          <w:szCs w:val="16"/>
        </w:rPr>
        <w:softHyphen/>
        <w:t>екты трансмиссий к танкам Т-34 и "КВ". Проекты закончены, рассмот</w:t>
      </w:r>
      <w:r w:rsidRPr="00A3026E">
        <w:rPr>
          <w:rFonts w:ascii="Times New Roman" w:hAnsi="Times New Roman"/>
          <w:color w:val="0070C0"/>
          <w:sz w:val="16"/>
          <w:szCs w:val="16"/>
        </w:rPr>
        <w:softHyphen/>
        <w:t>рены в ГАБТУ и Начальник ГАБТУ т. Федоренко входит в КО с ходатай</w:t>
      </w:r>
      <w:r w:rsidRPr="00A3026E">
        <w:rPr>
          <w:rFonts w:ascii="Times New Roman" w:hAnsi="Times New Roman"/>
          <w:color w:val="0070C0"/>
          <w:sz w:val="16"/>
          <w:szCs w:val="16"/>
        </w:rPr>
        <w:softHyphen/>
        <w:t>ством об изготовлении на Харьковском танковом заводе № 183 опытно</w:t>
      </w:r>
      <w:r w:rsidRPr="00A3026E">
        <w:rPr>
          <w:rFonts w:ascii="Times New Roman" w:hAnsi="Times New Roman"/>
          <w:color w:val="0070C0"/>
          <w:sz w:val="16"/>
          <w:szCs w:val="16"/>
        </w:rPr>
        <w:softHyphen/>
        <w:t>го образца танка Т-34 с новой трансмиссией. В отношении трансмис</w:t>
      </w:r>
      <w:r w:rsidRPr="00A3026E">
        <w:rPr>
          <w:rFonts w:ascii="Times New Roman" w:hAnsi="Times New Roman"/>
          <w:color w:val="0070C0"/>
          <w:sz w:val="16"/>
          <w:szCs w:val="16"/>
        </w:rPr>
        <w:softHyphen/>
        <w:t>сии к танку "КВ" ГАБТУ отметив недостатки проекта предложило Ака</w:t>
      </w:r>
      <w:r w:rsidRPr="00A3026E">
        <w:rPr>
          <w:rFonts w:ascii="Times New Roman" w:hAnsi="Times New Roman"/>
          <w:color w:val="0070C0"/>
          <w:sz w:val="16"/>
          <w:szCs w:val="16"/>
        </w:rPr>
        <w:softHyphen/>
        <w:t>демии Моторизации и Механизации его доработать к 1-му января 1941г.</w:t>
      </w:r>
    </w:p>
    <w:p w14:paraId="0D6C5C84"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Предложение тов. Данченко о создании специального танко</w:t>
      </w:r>
      <w:r w:rsidRPr="00A3026E">
        <w:rPr>
          <w:rFonts w:ascii="Times New Roman" w:hAnsi="Times New Roman"/>
          <w:color w:val="0070C0"/>
          <w:sz w:val="16"/>
          <w:szCs w:val="16"/>
        </w:rPr>
        <w:softHyphen/>
        <w:t>тракторного наркомата нецелесообразно по следующим соображениям:</w:t>
      </w:r>
    </w:p>
    <w:p w14:paraId="1125EEDA"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Танковое и тракторное производство в основном сосредоточе</w:t>
      </w:r>
      <w:r w:rsidRPr="00A3026E">
        <w:rPr>
          <w:rFonts w:ascii="Times New Roman" w:hAnsi="Times New Roman"/>
          <w:color w:val="0070C0"/>
          <w:sz w:val="16"/>
          <w:szCs w:val="16"/>
        </w:rPr>
        <w:softHyphen/>
        <w:t>но в НКСМаше, т.е. уже об"единено в одном наркомате. Например: производство танков Т-4-, Т-34 и часть заказов на танки "КВ", а также все типы военных и сельско-хозяйственных тракторов сосредо</w:t>
      </w:r>
      <w:r w:rsidRPr="00A3026E">
        <w:rPr>
          <w:rFonts w:ascii="Times New Roman" w:hAnsi="Times New Roman"/>
          <w:color w:val="0070C0"/>
          <w:sz w:val="16"/>
          <w:szCs w:val="16"/>
        </w:rPr>
        <w:softHyphen/>
        <w:t>точено на заводах НКСМаша и только пока танки "КВ" в основном вы</w:t>
      </w:r>
      <w:r w:rsidRPr="00A3026E">
        <w:rPr>
          <w:rFonts w:ascii="Times New Roman" w:hAnsi="Times New Roman"/>
          <w:color w:val="0070C0"/>
          <w:sz w:val="16"/>
          <w:szCs w:val="16"/>
        </w:rPr>
        <w:softHyphen/>
        <w:t>пускаются Кировским заводом НКТМаша.</w:t>
      </w:r>
    </w:p>
    <w:p w14:paraId="7748CBD4"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б)Танковые заводы НКСМаша широко кооперируют свое производ</w:t>
      </w:r>
      <w:r w:rsidRPr="00A3026E">
        <w:rPr>
          <w:rFonts w:ascii="Times New Roman" w:hAnsi="Times New Roman"/>
          <w:color w:val="0070C0"/>
          <w:sz w:val="16"/>
          <w:szCs w:val="16"/>
        </w:rPr>
        <w:softHyphen/>
        <w:t>ство с заводами других наркоматов, чего вообще нельзя избежать при всех условиях.</w:t>
      </w:r>
    </w:p>
    <w:p w14:paraId="3EC06B6B"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Важнейшим элементом танкостроения является обеспечение их броней, но об"единение в танко-тракторном наркомате броневого про</w:t>
      </w:r>
      <w:r w:rsidRPr="00A3026E">
        <w:rPr>
          <w:rFonts w:ascii="Times New Roman" w:hAnsi="Times New Roman"/>
          <w:color w:val="0070C0"/>
          <w:sz w:val="16"/>
          <w:szCs w:val="16"/>
        </w:rPr>
        <w:softHyphen/>
        <w:t>изводства нецелесообразно, так как броневых заводов с танковым профилем нет. Производство танковой брони на основных заводах (броне</w:t>
      </w:r>
      <w:r w:rsidRPr="00A3026E">
        <w:rPr>
          <w:rFonts w:ascii="Times New Roman" w:hAnsi="Times New Roman"/>
          <w:color w:val="0070C0"/>
          <w:sz w:val="16"/>
          <w:szCs w:val="16"/>
        </w:rPr>
        <w:softHyphen/>
        <w:t>вых) Ижорском и Мариупольском составляет около 40%, а остальная продукция идет для судостроения.</w:t>
      </w:r>
    </w:p>
    <w:p w14:paraId="76E5B4D2"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В создании танкового научно-исследовательского института нет необходимости.</w:t>
      </w:r>
    </w:p>
    <w:p w14:paraId="6556CB08"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Постановлением КО от 26 апреля 1940г. к 1-му января 1941г. организуется при Научном Авто-Тракторном Институте (НАТИ) НКСМаша специальный танковый отдел с экспериментально-производственной ба</w:t>
      </w:r>
      <w:r w:rsidRPr="00A3026E">
        <w:rPr>
          <w:rFonts w:ascii="Times New Roman" w:hAnsi="Times New Roman"/>
          <w:color w:val="0070C0"/>
          <w:sz w:val="16"/>
          <w:szCs w:val="16"/>
        </w:rPr>
        <w:softHyphen/>
        <w:t>зой.</w:t>
      </w:r>
    </w:p>
    <w:p w14:paraId="4DB7DDBA"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Приказом по НКСМашу количество работников отдела определено в 250-300 человек.</w:t>
      </w:r>
    </w:p>
    <w:p w14:paraId="21C21106"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Отдел обеспечен производственной базой: литейным, механичес</w:t>
      </w:r>
      <w:r w:rsidRPr="00A3026E">
        <w:rPr>
          <w:rFonts w:ascii="Times New Roman" w:hAnsi="Times New Roman"/>
          <w:color w:val="0070C0"/>
          <w:sz w:val="16"/>
          <w:szCs w:val="16"/>
        </w:rPr>
        <w:softHyphen/>
        <w:t>ким и сборочным цехами; имеется площадь для создания лабораторной базы.</w:t>
      </w:r>
    </w:p>
    <w:p w14:paraId="2D13CE99"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ближайшее время будут рассмотрены и утверждены Наркомом к Среднего Машиностроения структура и положение отдела, план и те</w:t>
      </w:r>
      <w:r w:rsidRPr="00A3026E">
        <w:rPr>
          <w:rFonts w:ascii="Times New Roman" w:hAnsi="Times New Roman"/>
          <w:color w:val="0070C0"/>
          <w:sz w:val="16"/>
          <w:szCs w:val="16"/>
        </w:rPr>
        <w:softHyphen/>
        <w:t>матика работ на 1941 год и производственно-лабораторное обеспече</w:t>
      </w:r>
      <w:r w:rsidRPr="00A3026E">
        <w:rPr>
          <w:rFonts w:ascii="Times New Roman" w:hAnsi="Times New Roman"/>
          <w:color w:val="0070C0"/>
          <w:sz w:val="16"/>
          <w:szCs w:val="16"/>
        </w:rPr>
        <w:softHyphen/>
        <w:t>ние опытно-исследовательских работ.</w:t>
      </w:r>
    </w:p>
    <w:p w14:paraId="6BE99EFE"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В своем письме тов. Данченко делает упор на производственно-организационном улучшении танкостроения и в этом отношении он прав.</w:t>
      </w:r>
    </w:p>
    <w:p w14:paraId="7C856730"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целях улучшения руководства авто-танко-тракторным производ</w:t>
      </w:r>
      <w:r w:rsidRPr="00A3026E">
        <w:rPr>
          <w:rFonts w:ascii="Times New Roman" w:hAnsi="Times New Roman"/>
          <w:color w:val="0070C0"/>
          <w:sz w:val="16"/>
          <w:szCs w:val="16"/>
        </w:rPr>
        <w:softHyphen/>
        <w:t>ством, дальнейшей специализации машиностроительных наркоматов и более равномерного распределения производства машиностроительной продукции между НКТМ, НКСМ и HKОM - предлагаем:</w:t>
      </w:r>
    </w:p>
    <w:p w14:paraId="24D49274"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Освободить НКСМаш от продукции несвойственной его основно</w:t>
      </w:r>
      <w:r w:rsidRPr="00A3026E">
        <w:rPr>
          <w:rFonts w:ascii="Times New Roman" w:hAnsi="Times New Roman"/>
          <w:color w:val="0070C0"/>
          <w:sz w:val="16"/>
          <w:szCs w:val="16"/>
        </w:rPr>
        <w:softHyphen/>
        <w:t>му профилю, для чего заводы вагоностроения, об"единенные в Главтрансмаше передать НКТМашу и заводы сельхозмашин, об"единенные в Главсельмалше - передать НКОМашу.</w:t>
      </w:r>
    </w:p>
    <w:p w14:paraId="0A0322EB"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Мотоциклетные и велосипедные заводы, находящиеся в системе и ВКОмаша (Главмотовелопром), как имеющие общее с авто-тракторнным производством - передать в НКСМаш.</w:t>
      </w:r>
    </w:p>
    <w:p w14:paraId="355F3C62"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Кировский завод НКТМаша - передать в систему НКСМаша.</w:t>
      </w:r>
    </w:p>
    <w:p w14:paraId="219C391F"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Удельный вес танковой продукции в программе этого завода на 1941г. будет равен 50-55%, 20% займет выпуск авиадизелей и только 20-25% продукции завода - артиллерия, турбины и металлургия.</w:t>
      </w:r>
    </w:p>
    <w:p w14:paraId="0148129D"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Таким образом, Кировский завод по характеру своего основного производства родственен заводам НКСМаша.</w:t>
      </w:r>
    </w:p>
    <w:p w14:paraId="44FEB4ED"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результате этих мероприятий и учитывая организацию произ</w:t>
      </w:r>
      <w:r w:rsidRPr="00A3026E">
        <w:rPr>
          <w:rFonts w:ascii="Times New Roman" w:hAnsi="Times New Roman"/>
          <w:color w:val="0070C0"/>
          <w:sz w:val="16"/>
          <w:szCs w:val="16"/>
        </w:rPr>
        <w:softHyphen/>
        <w:t>водства авиадизелей на Горьковском автомобильном и Харьковском Тракторном заводах и предложение о переоборудовании СТЗ под вы</w:t>
      </w:r>
      <w:r w:rsidRPr="00A3026E">
        <w:rPr>
          <w:rFonts w:ascii="Times New Roman" w:hAnsi="Times New Roman"/>
          <w:color w:val="0070C0"/>
          <w:sz w:val="16"/>
          <w:szCs w:val="16"/>
        </w:rPr>
        <w:softHyphen/>
        <w:t>пуск танков Т-34 и танковых дизелей (доклад и проект Вам пред</w:t>
      </w:r>
      <w:r w:rsidRPr="00A3026E">
        <w:rPr>
          <w:rFonts w:ascii="Times New Roman" w:hAnsi="Times New Roman"/>
          <w:color w:val="0070C0"/>
          <w:sz w:val="16"/>
          <w:szCs w:val="16"/>
        </w:rPr>
        <w:softHyphen/>
        <w:t>ставлен) - производство НКСмаша будет специализировано на выпус</w:t>
      </w:r>
      <w:r w:rsidRPr="00A3026E">
        <w:rPr>
          <w:rFonts w:ascii="Times New Roman" w:hAnsi="Times New Roman"/>
          <w:color w:val="0070C0"/>
          <w:sz w:val="16"/>
          <w:szCs w:val="16"/>
        </w:rPr>
        <w:softHyphen/>
        <w:t>ке танков, авиационных и танковых дизелей, тракторов, автомашин, прицепов, мотоциклов и запасных частей к ним (22106).</w:t>
      </w:r>
    </w:p>
    <w:p w14:paraId="7A6FC229" w14:textId="77777777" w:rsidR="00D52CF0" w:rsidRPr="00A3026E" w:rsidRDefault="00D52CF0" w:rsidP="00A3026E">
      <w:pPr>
        <w:spacing w:after="0" w:line="240" w:lineRule="auto"/>
        <w:jc w:val="both"/>
        <w:rPr>
          <w:rFonts w:ascii="Times New Roman" w:hAnsi="Times New Roman"/>
          <w:color w:val="0070C0"/>
          <w:sz w:val="16"/>
          <w:szCs w:val="16"/>
        </w:rPr>
      </w:pPr>
    </w:p>
    <w:p w14:paraId="5F8603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г. на базе артели «Красный рабочий» по приказу НКТМ был создан Ленинградский государственный завод станкопринадлежностей НКТМ, НКСС, Завод гидроаппаратуры, Ленинградский опытный завод «Гидроавтоматика»,</w:t>
      </w:r>
    </w:p>
    <w:p w14:paraId="3347C3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АОЗТ, ЗАО «Гидроавтоматика». В 1942 г. завод эвакуирован в Москву.</w:t>
      </w:r>
    </w:p>
    <w:p w14:paraId="6333B2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07.1944 г. завод восстановлен на прежнем месте, передан в ведение НКСС, с 1946 г.- Министерства станкостроения, ММ (03.1953-04.1954 г.), Минстанкопрома (04.1954-06.1957 г.), Управления общего машиностроения ЛенСНХ (06.1957-02.1960 г.), Управления машиностроения ЛенСНХ (02.1960-10.1965 г.). С 10.1965 г. — в ведении Минстанкопрома. В 1962-66 г. завод входил в состав ЛСПО им. Свердлова. В 04.1966 г. завод подчинен ГУ по производству гидроаппаратуры Минстанкопрома и переименован в завод гидроаппаратуры. 19.11.1970 г. переименован в Ленинградский опытный завод «Гидроавтоматика» Минстанкопрома.</w:t>
      </w:r>
    </w:p>
    <w:p w14:paraId="51560D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1993 г. предприятие преобразовано в АОЗТ, далее - ЗАО «Гидроавтоматика» (11982).</w:t>
      </w:r>
    </w:p>
    <w:p w14:paraId="6D5F938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6ACA37A" w14:textId="77777777" w:rsidR="00403E07" w:rsidRPr="00A3026E" w:rsidRDefault="00403E07"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г. в Армении пущены в эксплуатацию сразу три предприятия – завод им. Кирова, Ереванский машиностроительный и трикотажная фабрика им. Сталина (17398).</w:t>
      </w:r>
    </w:p>
    <w:p w14:paraId="28084096" w14:textId="77777777" w:rsidR="00403E07" w:rsidRPr="00A3026E" w:rsidRDefault="00403E07" w:rsidP="00A3026E">
      <w:pPr>
        <w:spacing w:after="0" w:line="240" w:lineRule="auto"/>
        <w:jc w:val="both"/>
        <w:rPr>
          <w:rFonts w:ascii="Times New Roman" w:hAnsi="Times New Roman"/>
          <w:color w:val="000000" w:themeColor="text1"/>
          <w:sz w:val="16"/>
          <w:szCs w:val="16"/>
        </w:rPr>
      </w:pPr>
    </w:p>
    <w:p w14:paraId="543D1970" w14:textId="77777777" w:rsidR="00D52CF0" w:rsidRPr="00A3026E" w:rsidRDefault="00D52CF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18 декабря 1940 был </w:t>
      </w:r>
      <w:r w:rsidRPr="00A3026E">
        <w:rPr>
          <w:rFonts w:ascii="Times New Roman" w:hAnsi="Times New Roman"/>
          <w:color w:val="0070C0"/>
          <w:sz w:val="16"/>
          <w:szCs w:val="16"/>
          <w:shd w:val="clear" w:color="auto" w:fill="FFFFFF"/>
        </w:rPr>
        <w:t>Письмо заместителя председателя СНК СССР Н. А. Булганина заместителю наркома внешней торговли СССР А. Д. Крутикову и заместителю наркома обороны СССР Г. И. Кулику об импорте из Германии приборов и аппаратуры на сумму 114885 руб. для Наркомата обороны СССР с приложением перечня импортного оборудования для Научно-исследовательского испытательного санитарного института Красной армии (22105).</w:t>
      </w:r>
    </w:p>
    <w:p w14:paraId="4705BA60" w14:textId="77777777" w:rsidR="00D52CF0" w:rsidRPr="00A3026E" w:rsidRDefault="00D52CF0" w:rsidP="00A3026E">
      <w:pPr>
        <w:spacing w:after="0" w:line="240" w:lineRule="auto"/>
        <w:jc w:val="both"/>
        <w:rPr>
          <w:rFonts w:ascii="Times New Roman" w:hAnsi="Times New Roman"/>
          <w:color w:val="0070C0"/>
          <w:sz w:val="16"/>
          <w:szCs w:val="16"/>
        </w:rPr>
      </w:pPr>
    </w:p>
    <w:p w14:paraId="5FA275FC" w14:textId="77777777" w:rsidR="0014077F"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769526ED"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53033E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г. вышел Приказ НКО в связи со случаями извращения Дисциплинарного устава в 10-м строительном батальоне ЗабВО № 0357.</w:t>
      </w:r>
    </w:p>
    <w:p w14:paraId="3E90A7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 донесению члена Военного совета Забайкальского военного округа, в 10-м строительном батальоне имел место недопустимый факт извращения Дисциплинарного устава, выразившийся в рукоприкладстве со стороны отдельных лиц командного состава.</w:t>
      </w:r>
    </w:p>
    <w:p w14:paraId="4E68E2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уборки помещения батальона при встрече двух красноармейцев в дверях с вещами один красноармеец столкнул другого с дороги. Командир роты старший лейтенант Шичкин, вместо того чтобы разобрать этот случай и сделать правильный вывод, вызвал красноармейца, столкнувшего другого при переносе вещей, перед строем схватил его за грудь и два раза ударил по лицу.</w:t>
      </w:r>
    </w:p>
    <w:p w14:paraId="28CBDA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той же роте старшина роты после подачи команды «Становись» потребовал от одного красноармейца бросить папиросу. Последний, выполнив приказание, высказал недовольство. Вместо того чтобы сделать решительное и твердое внушение красноармейцу, старшина вызвал его из строя и ударил по лицу перед строем.</w:t>
      </w:r>
    </w:p>
    <w:p w14:paraId="2F8D95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Указанные недопустимые в Красной Армии факты извращения Дисциплинарного устава произошли потому, что начальник политотдела специальных войск гарнизона старший батальонный комиссар Грачев на совещании командиров частей и их заместителей по политчасти, сам не прочитав нового Дисциплинарного устава, дал провокационное разъяснение, что при применении нового Дисциплинарного устава командиры имеют право бить красноармейцев. На основании этого разъяснения командиры и заместители по политчасти, также не прочитав устава дисциплинарной службы, дали указания подчиненным им командирам, что они имеют право применять лом, топор и все то, что попадет под руку.</w:t>
      </w:r>
    </w:p>
    <w:p w14:paraId="65C001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эти факты извращения дисциплины стали возможны благодаря отсутствию руководства делом пропаганды и разъяснения существа Дисциплинарного устава со стороны Управления политпропаганды округа.</w:t>
      </w:r>
    </w:p>
    <w:p w14:paraId="120739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Приказываю:</w:t>
      </w:r>
    </w:p>
    <w:p w14:paraId="3A3FBDA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Старшего батальонного комиссара Грачева за провокационное разъяснение нового Дисциплинарного устава отстранить от занимаемой должности и передать суду Военного трибунала.</w:t>
      </w:r>
    </w:p>
    <w:p w14:paraId="3A5B01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Старшего лейтенанта Шичкина, допустившего извращение Дисциплинарного устава, распоряжением командующего войсками округа перевести в другую часть со снижением.</w:t>
      </w:r>
    </w:p>
    <w:p w14:paraId="504A5D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Члену Военного совета ЗабВО корпусному комиссару т. Гапоновичу и начальнику Управления политической пропаганды Забайкальского военного округа дивизионному комиссару т. Шманенко за необеспечение ими правильного разъяснения Дисциплинарного устава объявляю выговор.</w:t>
      </w:r>
    </w:p>
    <w:p w14:paraId="4FE416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Приказ объявить всему начальствующему составу Красной Армии, до командира взвода включительно.</w:t>
      </w:r>
    </w:p>
    <w:p w14:paraId="7C4C9A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СССР Маршал Советского Союза С. Тимошенко (10597).</w:t>
      </w:r>
    </w:p>
    <w:p w14:paraId="21C893A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6D453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г вышел Приказ НКО о порядке комплектования курсантским составом сухопутных военных училищ весной 1941 года № 462.</w:t>
      </w:r>
    </w:p>
    <w:p w14:paraId="3A95BC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укомплектования курсантским составом сухопутных училищ весной 1941 года приказываю:</w:t>
      </w:r>
    </w:p>
    <w:p w14:paraId="1D7FDF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Военным советам округов произвести отбор кандидатов в количестве, указанном в прилагаемом наряде.</w:t>
      </w:r>
    </w:p>
    <w:p w14:paraId="4DBF1C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 отбору кандидатов приступить с 1 января 1941 г. и закончить к 1 апреля 1941 г.</w:t>
      </w:r>
    </w:p>
    <w:p w14:paraId="37C5C4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Отбор кандидатов для укомплектования пехотных, стрелково-пулемет-ных, минометных, инженерных, связи и кавалерийских училищ произвести из красноармейцев 1 и 2 года службы с образованием от 7 классов и выше, а также красноармейцев с полным средним образованием, проходящих службу в первых ротах, батареях, эскадронах в порядке приказа № 0228 1940 г. из рядового и младшего начсостава запаса и гражданской молодежи.</w:t>
      </w:r>
    </w:p>
    <w:p w14:paraId="390BA8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Отбор кандидатов для комплектования автомобильных и медицинских училищ производить из запаса и гражданской молодежи с образованием не ниже 8 классов.</w:t>
      </w:r>
    </w:p>
    <w:p w14:paraId="0F5EAD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По возрасту кандидатов отбирать:</w:t>
      </w:r>
    </w:p>
    <w:p w14:paraId="3E20CB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из частей и запаса — до 25 лет включительно;</w:t>
      </w:r>
    </w:p>
    <w:p w14:paraId="0B29AF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гражданскую молодежь — от 18 до 22 лет включительно.</w:t>
      </w:r>
    </w:p>
    <w:p w14:paraId="593CC3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Отобранных кандидатов вместе с личными делами в период март — апрель 1941 г. направить в училища для держания вступительных испытаний.</w:t>
      </w:r>
    </w:p>
    <w:p w14:paraId="0B19F9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Начальникам военных училищ не позднее 1 марта 1941 г. сообщить штабам военных округов, в копии Генштабу Красной Армии, точные сроки направления кандидатов.</w:t>
      </w:r>
    </w:p>
    <w:p w14:paraId="7E786E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Кандидатам, направляемым в военные училища, в частях и военкоматах произвести предварительное медицинское освидетельствование. Окончательное медицинское освидетельствование произвести в училищах перед началом приемных испытаний.</w:t>
      </w:r>
    </w:p>
    <w:p w14:paraId="6D252E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Освидетельствование кандидатов в частях, военкоматах, сухопутных училищах производить по приказу НКО 1940 г. № 184.</w:t>
      </w:r>
    </w:p>
    <w:p w14:paraId="467C31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Военным советам округов предупредить командиров частей, районных и городских военных комиссаров, что они несут полную ответственность за качественный отбор кандидатов.</w:t>
      </w:r>
    </w:p>
    <w:p w14:paraId="258DBF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Укомплектование военных училищ курсантским составом закончить не позднее 1 мая 1941 г.</w:t>
      </w:r>
    </w:p>
    <w:p w14:paraId="49E5A0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Военным советам округов потребовать от начальников училищ, чтобы отсев кандидатов при испытаниях в училищах по всем причинам не превышал нормы, установленной нарядом Генштаба Красной Армии.</w:t>
      </w:r>
    </w:p>
    <w:p w14:paraId="09424A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Начальнику Генерального штаба Красной Армии дать Указания о сроках представления донесений по отбору кандидатов в военные училища.</w:t>
      </w:r>
    </w:p>
    <w:p w14:paraId="4F23F1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По остальным вопросам руководствоваться директивой № 24/2205 от 20 мая 1940 г.</w:t>
      </w:r>
    </w:p>
    <w:p w14:paraId="30F820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СССР Маршал Советского Союза С. Тимошенко (10596).</w:t>
      </w:r>
    </w:p>
    <w:p w14:paraId="3A11DDE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A79FCE5"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14E7B636"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845E101" w14:textId="77777777" w:rsidR="00097788" w:rsidRPr="00A3026E" w:rsidRDefault="00097788"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18 декабря </w:t>
      </w:r>
      <w:r w:rsidRPr="00A3026E">
        <w:rPr>
          <w:rFonts w:ascii="Times New Roman" w:hAnsi="Times New Roman"/>
          <w:color w:val="000000" w:themeColor="text1"/>
          <w:sz w:val="16"/>
          <w:szCs w:val="16"/>
        </w:rPr>
        <w:t>в 1940 году первый полёт прототипа палубного пикирующего бомбардировщика Curtiss SB2C Helldiver. Стрелковое вооружение на машине пока отсутствовало, а пулеметные порты были закрыты заглушками. После нескольких пробежек по аэродрому шеф-пилот фирмы "Кертисс" Ллойд Чайлдс впервые поднял машину в воздух (14864).</w:t>
      </w:r>
    </w:p>
    <w:p w14:paraId="4BD59D5B" w14:textId="77777777" w:rsidR="00097788" w:rsidRPr="00A3026E" w:rsidRDefault="00097788" w:rsidP="00A3026E">
      <w:pPr>
        <w:spacing w:after="0" w:line="240" w:lineRule="auto"/>
        <w:jc w:val="both"/>
        <w:rPr>
          <w:rFonts w:ascii="Times New Roman" w:hAnsi="Times New Roman"/>
          <w:color w:val="000000" w:themeColor="text1"/>
          <w:sz w:val="16"/>
          <w:szCs w:val="16"/>
        </w:rPr>
      </w:pPr>
    </w:p>
    <w:p w14:paraId="74C1B19F" w14:textId="77777777" w:rsidR="00041C5E" w:rsidRPr="00A3026E" w:rsidRDefault="00041C5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18 декабря 1940 выполнил первый полет Curtiss SB2C Helldiver (20795).</w:t>
      </w:r>
    </w:p>
    <w:p w14:paraId="45C829E1" w14:textId="77777777" w:rsidR="00041C5E" w:rsidRPr="00A3026E" w:rsidRDefault="00041C5E" w:rsidP="00A3026E">
      <w:pPr>
        <w:spacing w:after="0" w:line="240" w:lineRule="auto"/>
        <w:jc w:val="both"/>
        <w:rPr>
          <w:rFonts w:ascii="Times New Roman" w:hAnsi="Times New Roman"/>
          <w:color w:val="0070C0"/>
          <w:sz w:val="16"/>
          <w:szCs w:val="16"/>
        </w:rPr>
      </w:pPr>
    </w:p>
    <w:p w14:paraId="5D029C86"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18/12/40 Hitler endorses the Barbarossa Plan, which includes a design of warfare against the Soviet Union (1224).</w:t>
      </w:r>
    </w:p>
    <w:p w14:paraId="483BB32C"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p>
    <w:p w14:paraId="355567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А.Гитлер подписал директиву N 21 Барбаросса. Плановый срок завершения подготовки - 15 мая 1941 (512,11).</w:t>
      </w:r>
    </w:p>
    <w:p w14:paraId="286E265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4C13A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А.Гитлер подписал план Барбаросса (1224).</w:t>
      </w:r>
    </w:p>
    <w:p w14:paraId="23FDC0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директиве указывалось, что задача ВВС: "будет заключаться в том, чтобы по возможности парализовать и ликвидировать воздействие русской авиации, а также в том, чтобы поддержать операции армии на ее решающих направлениях... В целях сосредоточения всех сил борьбы против неприятельской авиации и непосредственной поддержке армии не следует во время главных операций совершать нападение на оборонную промышленность." (341,27).</w:t>
      </w:r>
    </w:p>
    <w:p w14:paraId="58D5AA5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7F5220E" w14:textId="77777777" w:rsidR="00097788" w:rsidRPr="00A3026E" w:rsidRDefault="00097788" w:rsidP="00A3026E">
      <w:pPr>
        <w:spacing w:after="0" w:line="240" w:lineRule="auto"/>
        <w:jc w:val="both"/>
        <w:rPr>
          <w:rFonts w:ascii="Times New Roman" w:hAnsi="Times New Roman"/>
          <w:color w:val="000000" w:themeColor="text1"/>
          <w:sz w:val="16"/>
          <w:szCs w:val="16"/>
        </w:rPr>
      </w:pPr>
      <w:r w:rsidRPr="00A3026E">
        <w:rPr>
          <w:rStyle w:val="ucoz-forum-post"/>
          <w:rFonts w:ascii="Times New Roman" w:hAnsi="Times New Roman"/>
          <w:bCs/>
          <w:color w:val="000000" w:themeColor="text1"/>
          <w:sz w:val="16"/>
          <w:szCs w:val="16"/>
        </w:rPr>
        <w:t xml:space="preserve">18 декабря </w:t>
      </w:r>
      <w:r w:rsidRPr="00A3026E">
        <w:rPr>
          <w:rFonts w:ascii="Times New Roman" w:hAnsi="Times New Roman"/>
          <w:color w:val="000000" w:themeColor="text1"/>
          <w:sz w:val="16"/>
          <w:szCs w:val="16"/>
        </w:rPr>
        <w:t>в 1940 году Адольф Гитлер подписал директиву N 21 о подготовке операции "Барбаросса" - плана агрессии против СССР к 15 мая 1941 года. Там говорилось: "Приказ о наступлении на Советскую Россию я дам в случае необходимости за восемь недель перед намеченным началом операции". Такая необходимость, по мнению Гитлера, возникла 31 января 1941 года, когда была дана директива по сосредоточению войск на проведение операции "Барбаросса". Однако из-за Балканской кампании срок нападения был перенесен с 15 мая на 22 июня 1941 года (14864).</w:t>
      </w:r>
    </w:p>
    <w:p w14:paraId="32282105" w14:textId="77777777" w:rsidR="00097788" w:rsidRPr="00A3026E" w:rsidRDefault="00097788" w:rsidP="00A3026E">
      <w:pPr>
        <w:spacing w:after="0" w:line="240" w:lineRule="auto"/>
        <w:jc w:val="both"/>
        <w:rPr>
          <w:rFonts w:ascii="Times New Roman" w:hAnsi="Times New Roman"/>
          <w:color w:val="000000" w:themeColor="text1"/>
          <w:sz w:val="16"/>
          <w:szCs w:val="16"/>
        </w:rPr>
      </w:pPr>
    </w:p>
    <w:p w14:paraId="48877D8E"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18 декабря 1940 г. Директива N 21. Ставка фюрера. Совершенно секретно. Только для командования. Германские вооруженные силы должны быть готовы разбить Советскую Россию в ходе кратковременной кампании... Адольф Гитлер (9712).</w:t>
      </w:r>
    </w:p>
    <w:p w14:paraId="10E88808" w14:textId="77777777" w:rsidR="0014077F" w:rsidRPr="00A3026E" w:rsidRDefault="0014077F" w:rsidP="00A3026E">
      <w:pPr>
        <w:pStyle w:val="a8"/>
        <w:widowControl/>
        <w:jc w:val="both"/>
        <w:rPr>
          <w:rFonts w:ascii="Times New Roman" w:hAnsi="Times New Roman" w:cs="Times New Roman"/>
          <w:color w:val="000000" w:themeColor="text1"/>
        </w:rPr>
      </w:pPr>
    </w:p>
    <w:p w14:paraId="43B74D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 Гитлер подписал директиву № 21, озаглавленную «План Барбаросса». Директива эта начиналась следующими словами: «Германские вооруженные силы должны быть готовы еще до окончания войны против Англии разбить Советскую Россию в стремительном походе. Для этого армия должна пустить в действие все находящиеся в ее распоряжении соединения, за исключением лишь тех, которые необходимы, чтобы оградить оккупированные районы от каких</w:t>
      </w:r>
      <w:r w:rsidRPr="00A3026E">
        <w:rPr>
          <w:rFonts w:ascii="Times New Roman" w:hAnsi="Times New Roman"/>
          <w:color w:val="000000" w:themeColor="text1"/>
          <w:sz w:val="16"/>
          <w:szCs w:val="16"/>
        </w:rPr>
        <w:noBreakHyphen/>
        <w:t>либо неожиданностей. Приготовления должны быть закончены до 15 мая 1941 года. Особое внимание надо уделить тому, чтобы подготовку этого нападения было невозможно обнаружить» (12629).</w:t>
      </w:r>
    </w:p>
    <w:p w14:paraId="6A2178F4" w14:textId="77777777" w:rsidR="0014077F" w:rsidRPr="00A3026E" w:rsidRDefault="0014077F" w:rsidP="00A3026E">
      <w:pPr>
        <w:pStyle w:val="a8"/>
        <w:widowControl/>
        <w:jc w:val="both"/>
        <w:rPr>
          <w:rFonts w:ascii="Times New Roman" w:hAnsi="Times New Roman" w:cs="Times New Roman"/>
          <w:color w:val="000000" w:themeColor="text1"/>
        </w:rPr>
      </w:pPr>
    </w:p>
    <w:p w14:paraId="212A113E"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5E440E0"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0099CA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19/20 декабря 1940 и 1 отдела 6 У ГУ ВВС ви1р Москалев писал письмо N 509133с ст. военпреду завода 18 Кувеневу, ст. военпреду на заводе 39 Савину и ст. военпреду на заводе 126 Рязанцеву:</w:t>
      </w:r>
    </w:p>
    <w:p w14:paraId="270A17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"Препровождаю при сем выписку дефектов ДБ-3 для учета и принятия мер по их устранению на выпускаемых самолетах:</w:t>
      </w:r>
    </w:p>
    <w:p w14:paraId="49458D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Выписка из ведомости дефектов ДБ-3 заводов 39, 126 и в меньшей степени 18:</w:t>
      </w:r>
    </w:p>
    <w:p w14:paraId="0C5E1C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Плохо притираются клапаны различных назначений...травят бензин и воздух</w:t>
      </w:r>
    </w:p>
    <w:p w14:paraId="118950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Клепаные масло и бензобаки, как правило, текут. Сварные баки в ребрах жесткости дают трещины...</w:t>
      </w:r>
    </w:p>
    <w:p w14:paraId="5BF056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Ферма костыля ломается даже в усиленной конструкции</w:t>
      </w:r>
    </w:p>
    <w:p w14:paraId="2E333E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Болт в ручке системы подъема шасси срезается</w:t>
      </w:r>
    </w:p>
    <w:p w14:paraId="7EDF37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Часты случаи трещин кронштейнов РВ</w:t>
      </w:r>
    </w:p>
    <w:p w14:paraId="546618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У шасси часто через 80-100 посадок отказывает пневмосистема...</w:t>
      </w:r>
    </w:p>
    <w:p w14:paraId="6BBFCC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Руль поворота трется на роликах под сидением...</w:t>
      </w:r>
    </w:p>
    <w:p w14:paraId="38261A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Все клепаные баки 3-4 группы - текут по швам...</w:t>
      </w:r>
    </w:p>
    <w:p w14:paraId="28D3C8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Заедание выпуска шасси...</w:t>
      </w:r>
    </w:p>
    <w:p w14:paraId="5FCDA5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Хвостовая резина слабая, отказывает через 10-15 посадок</w:t>
      </w:r>
    </w:p>
    <w:p w14:paraId="6F5C53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Целлулоид не выдерживает на высотных полетах, дает трещины</w:t>
      </w:r>
    </w:p>
    <w:p w14:paraId="43FFEB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Выхлопные патрубки выходят из строя из-за трещин сварных швов и перегорания в местах вварки газовых штуцеров для газоанализаторов</w:t>
      </w:r>
    </w:p>
    <w:p w14:paraId="4C05DB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Самолетные чехлы - малы, хотя должны заменять ангар (2700,265).</w:t>
      </w:r>
    </w:p>
    <w:p w14:paraId="17C001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внедрении ДБ-3 с М-85 потеряли 15 км/час скорости на 39 заводе и 25 км/час на 18 заводе, а в случае ДБ-3Ф при переходе с М-87 на М-88 несмотря на большую мощность опять потеряли (852).</w:t>
      </w:r>
    </w:p>
    <w:p w14:paraId="3C064C9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8B5F6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декабря 1940 были подготовлены материалы к докладу Нач. НИИ ВВС КА гма Филина</w:t>
      </w:r>
    </w:p>
    <w:p w14:paraId="57CFD9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 Швайб</w:t>
      </w:r>
    </w:p>
    <w:p w14:paraId="5BCECB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Краткие характеристики и выводы по немецким самолетам</w:t>
      </w:r>
    </w:p>
    <w:p w14:paraId="275D6B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Особенности конструкций самолета До-215, Ме-110, Ю-88</w:t>
      </w:r>
    </w:p>
    <w:p w14:paraId="46036B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Характеристики основных конструкций всех немецких самолетов</w:t>
      </w:r>
    </w:p>
    <w:p w14:paraId="0C3CEA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 эксплуатационных данных Ю-88, До-215, СБ и ДБ-3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330"/>
        <w:gridCol w:w="1330"/>
        <w:gridCol w:w="1330"/>
        <w:gridCol w:w="1330"/>
        <w:gridCol w:w="1330"/>
        <w:gridCol w:w="1330"/>
      </w:tblGrid>
      <w:tr w:rsidR="00983732" w:rsidRPr="00A3026E" w14:paraId="6CD41118" w14:textId="77777777" w:rsidTr="00EA0DA7">
        <w:tc>
          <w:tcPr>
            <w:tcW w:w="3227" w:type="dxa"/>
            <w:tcBorders>
              <w:top w:val="single" w:sz="12" w:space="0" w:color="auto"/>
            </w:tcBorders>
          </w:tcPr>
          <w:p w14:paraId="18076D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операции</w:t>
            </w:r>
          </w:p>
        </w:tc>
        <w:tc>
          <w:tcPr>
            <w:tcW w:w="1330" w:type="dxa"/>
            <w:tcBorders>
              <w:top w:val="single" w:sz="12" w:space="0" w:color="auto"/>
            </w:tcBorders>
          </w:tcPr>
          <w:p w14:paraId="7010AE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Ю-88</w:t>
            </w:r>
          </w:p>
        </w:tc>
        <w:tc>
          <w:tcPr>
            <w:tcW w:w="1330" w:type="dxa"/>
            <w:tcBorders>
              <w:top w:val="single" w:sz="12" w:space="0" w:color="auto"/>
            </w:tcBorders>
          </w:tcPr>
          <w:p w14:paraId="4B10E3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До-215</w:t>
            </w:r>
          </w:p>
        </w:tc>
        <w:tc>
          <w:tcPr>
            <w:tcW w:w="1330" w:type="dxa"/>
            <w:tcBorders>
              <w:top w:val="single" w:sz="12" w:space="0" w:color="auto"/>
            </w:tcBorders>
          </w:tcPr>
          <w:p w14:paraId="61EBB4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 с обыкновенными радиаторами</w:t>
            </w:r>
          </w:p>
        </w:tc>
        <w:tc>
          <w:tcPr>
            <w:tcW w:w="1330" w:type="dxa"/>
            <w:tcBorders>
              <w:top w:val="single" w:sz="12" w:space="0" w:color="auto"/>
            </w:tcBorders>
          </w:tcPr>
          <w:p w14:paraId="2A782B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 с обновленными радиаторами</w:t>
            </w:r>
          </w:p>
        </w:tc>
        <w:tc>
          <w:tcPr>
            <w:tcW w:w="1330" w:type="dxa"/>
            <w:tcBorders>
              <w:top w:val="single" w:sz="12" w:space="0" w:color="auto"/>
            </w:tcBorders>
          </w:tcPr>
          <w:p w14:paraId="5F1F27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w:t>
            </w:r>
          </w:p>
        </w:tc>
        <w:tc>
          <w:tcPr>
            <w:tcW w:w="1330" w:type="dxa"/>
            <w:tcBorders>
              <w:top w:val="single" w:sz="12" w:space="0" w:color="auto"/>
            </w:tcBorders>
          </w:tcPr>
          <w:p w14:paraId="494165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w:t>
            </w:r>
          </w:p>
        </w:tc>
      </w:tr>
      <w:tr w:rsidR="00983732" w:rsidRPr="00A3026E" w14:paraId="47FD08BB" w14:textId="77777777" w:rsidTr="00EA0DA7">
        <w:tc>
          <w:tcPr>
            <w:tcW w:w="3227" w:type="dxa"/>
          </w:tcPr>
          <w:p w14:paraId="1EA0AF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Съем кока винта</w:t>
            </w:r>
          </w:p>
        </w:tc>
        <w:tc>
          <w:tcPr>
            <w:tcW w:w="1330" w:type="dxa"/>
          </w:tcPr>
          <w:p w14:paraId="156908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сек.</w:t>
            </w:r>
          </w:p>
        </w:tc>
        <w:tc>
          <w:tcPr>
            <w:tcW w:w="1330" w:type="dxa"/>
          </w:tcPr>
          <w:p w14:paraId="7964C6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сек.</w:t>
            </w:r>
          </w:p>
        </w:tc>
        <w:tc>
          <w:tcPr>
            <w:tcW w:w="1330" w:type="dxa"/>
          </w:tcPr>
          <w:p w14:paraId="2A16BF2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мин.</w:t>
            </w:r>
          </w:p>
        </w:tc>
        <w:tc>
          <w:tcPr>
            <w:tcW w:w="1330" w:type="dxa"/>
          </w:tcPr>
          <w:p w14:paraId="45AFE1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мин.</w:t>
            </w:r>
          </w:p>
        </w:tc>
        <w:tc>
          <w:tcPr>
            <w:tcW w:w="1330" w:type="dxa"/>
          </w:tcPr>
          <w:p w14:paraId="076358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мин.</w:t>
            </w:r>
          </w:p>
        </w:tc>
        <w:tc>
          <w:tcPr>
            <w:tcW w:w="1330" w:type="dxa"/>
          </w:tcPr>
          <w:p w14:paraId="094C1CE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3C5F35BA" w14:textId="77777777" w:rsidTr="00EA0DA7">
        <w:tc>
          <w:tcPr>
            <w:tcW w:w="3227" w:type="dxa"/>
          </w:tcPr>
          <w:p w14:paraId="5144C6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Раскопотирование мотора перед снятием</w:t>
            </w:r>
          </w:p>
        </w:tc>
        <w:tc>
          <w:tcPr>
            <w:tcW w:w="1330" w:type="dxa"/>
          </w:tcPr>
          <w:p w14:paraId="56888A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мин.</w:t>
            </w:r>
          </w:p>
        </w:tc>
        <w:tc>
          <w:tcPr>
            <w:tcW w:w="1330" w:type="dxa"/>
          </w:tcPr>
          <w:p w14:paraId="4F32CA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мин.</w:t>
            </w:r>
          </w:p>
        </w:tc>
        <w:tc>
          <w:tcPr>
            <w:tcW w:w="1330" w:type="dxa"/>
          </w:tcPr>
          <w:p w14:paraId="6A9D6F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час.</w:t>
            </w:r>
          </w:p>
        </w:tc>
        <w:tc>
          <w:tcPr>
            <w:tcW w:w="1330" w:type="dxa"/>
          </w:tcPr>
          <w:p w14:paraId="34D04A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 час.</w:t>
            </w:r>
          </w:p>
        </w:tc>
        <w:tc>
          <w:tcPr>
            <w:tcW w:w="1330" w:type="dxa"/>
          </w:tcPr>
          <w:p w14:paraId="35BAA6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часа</w:t>
            </w:r>
          </w:p>
        </w:tc>
        <w:tc>
          <w:tcPr>
            <w:tcW w:w="1330" w:type="dxa"/>
          </w:tcPr>
          <w:p w14:paraId="5496E86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192A8551" w14:textId="77777777" w:rsidTr="00EA0DA7">
        <w:tc>
          <w:tcPr>
            <w:tcW w:w="3227" w:type="dxa"/>
          </w:tcPr>
          <w:p w14:paraId="2B9CE6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Закопотирование мотора после установки</w:t>
            </w:r>
          </w:p>
        </w:tc>
        <w:tc>
          <w:tcPr>
            <w:tcW w:w="1330" w:type="dxa"/>
          </w:tcPr>
          <w:p w14:paraId="3D4E41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мин.</w:t>
            </w:r>
          </w:p>
        </w:tc>
        <w:tc>
          <w:tcPr>
            <w:tcW w:w="1330" w:type="dxa"/>
          </w:tcPr>
          <w:p w14:paraId="7E3B4E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мин.</w:t>
            </w:r>
          </w:p>
        </w:tc>
        <w:tc>
          <w:tcPr>
            <w:tcW w:w="1330" w:type="dxa"/>
          </w:tcPr>
          <w:p w14:paraId="445112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час.</w:t>
            </w:r>
          </w:p>
        </w:tc>
        <w:tc>
          <w:tcPr>
            <w:tcW w:w="1330" w:type="dxa"/>
          </w:tcPr>
          <w:p w14:paraId="754092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час.</w:t>
            </w:r>
          </w:p>
        </w:tc>
        <w:tc>
          <w:tcPr>
            <w:tcW w:w="1330" w:type="dxa"/>
          </w:tcPr>
          <w:p w14:paraId="49502A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часа</w:t>
            </w:r>
          </w:p>
        </w:tc>
        <w:tc>
          <w:tcPr>
            <w:tcW w:w="1330" w:type="dxa"/>
          </w:tcPr>
          <w:p w14:paraId="2379F7F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60F3633" w14:textId="77777777" w:rsidTr="00EA0DA7">
        <w:tc>
          <w:tcPr>
            <w:tcW w:w="3227" w:type="dxa"/>
          </w:tcPr>
          <w:p w14:paraId="0F492B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Снятие мотора</w:t>
            </w:r>
          </w:p>
        </w:tc>
        <w:tc>
          <w:tcPr>
            <w:tcW w:w="1330" w:type="dxa"/>
          </w:tcPr>
          <w:p w14:paraId="0527D3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 часа</w:t>
            </w:r>
          </w:p>
        </w:tc>
        <w:tc>
          <w:tcPr>
            <w:tcW w:w="1330" w:type="dxa"/>
          </w:tcPr>
          <w:p w14:paraId="63EDC2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1330" w:type="dxa"/>
          </w:tcPr>
          <w:p w14:paraId="334566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 час.</w:t>
            </w:r>
          </w:p>
        </w:tc>
        <w:tc>
          <w:tcPr>
            <w:tcW w:w="1330" w:type="dxa"/>
          </w:tcPr>
          <w:p w14:paraId="0869413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5:30 час.</w:t>
            </w:r>
          </w:p>
        </w:tc>
        <w:tc>
          <w:tcPr>
            <w:tcW w:w="1330" w:type="dxa"/>
          </w:tcPr>
          <w:p w14:paraId="48F7A6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часа</w:t>
            </w:r>
          </w:p>
        </w:tc>
        <w:tc>
          <w:tcPr>
            <w:tcW w:w="1330" w:type="dxa"/>
          </w:tcPr>
          <w:p w14:paraId="5FC7262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3E229271" w14:textId="77777777" w:rsidTr="00EA0DA7">
        <w:tc>
          <w:tcPr>
            <w:tcW w:w="3227" w:type="dxa"/>
          </w:tcPr>
          <w:p w14:paraId="409F3D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мотора</w:t>
            </w:r>
          </w:p>
        </w:tc>
        <w:tc>
          <w:tcPr>
            <w:tcW w:w="1330" w:type="dxa"/>
          </w:tcPr>
          <w:p w14:paraId="38121A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часа</w:t>
            </w:r>
          </w:p>
        </w:tc>
        <w:tc>
          <w:tcPr>
            <w:tcW w:w="1330" w:type="dxa"/>
          </w:tcPr>
          <w:p w14:paraId="298493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час.</w:t>
            </w:r>
          </w:p>
        </w:tc>
        <w:tc>
          <w:tcPr>
            <w:tcW w:w="1330" w:type="dxa"/>
          </w:tcPr>
          <w:p w14:paraId="5E265D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час.</w:t>
            </w:r>
          </w:p>
        </w:tc>
        <w:tc>
          <w:tcPr>
            <w:tcW w:w="1330" w:type="dxa"/>
          </w:tcPr>
          <w:p w14:paraId="00E7D03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час.</w:t>
            </w:r>
          </w:p>
        </w:tc>
        <w:tc>
          <w:tcPr>
            <w:tcW w:w="1330" w:type="dxa"/>
          </w:tcPr>
          <w:p w14:paraId="582BA7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часов</w:t>
            </w:r>
          </w:p>
        </w:tc>
        <w:tc>
          <w:tcPr>
            <w:tcW w:w="1330" w:type="dxa"/>
          </w:tcPr>
          <w:p w14:paraId="1DCC353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AA61B06" w14:textId="77777777" w:rsidTr="00EA0DA7">
        <w:tc>
          <w:tcPr>
            <w:tcW w:w="3227" w:type="dxa"/>
          </w:tcPr>
          <w:p w14:paraId="4F58BE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Соединение тяг газа</w:t>
            </w:r>
          </w:p>
        </w:tc>
        <w:tc>
          <w:tcPr>
            <w:tcW w:w="1330" w:type="dxa"/>
          </w:tcPr>
          <w:p w14:paraId="1A9169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сек.</w:t>
            </w:r>
          </w:p>
        </w:tc>
        <w:tc>
          <w:tcPr>
            <w:tcW w:w="1330" w:type="dxa"/>
          </w:tcPr>
          <w:p w14:paraId="578FF3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330" w:type="dxa"/>
          </w:tcPr>
          <w:p w14:paraId="488242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мин.</w:t>
            </w:r>
          </w:p>
        </w:tc>
        <w:tc>
          <w:tcPr>
            <w:tcW w:w="1330" w:type="dxa"/>
          </w:tcPr>
          <w:p w14:paraId="484D62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мин.</w:t>
            </w:r>
          </w:p>
        </w:tc>
        <w:tc>
          <w:tcPr>
            <w:tcW w:w="1330" w:type="dxa"/>
          </w:tcPr>
          <w:p w14:paraId="5BC78B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мин.</w:t>
            </w:r>
          </w:p>
        </w:tc>
        <w:tc>
          <w:tcPr>
            <w:tcW w:w="1330" w:type="dxa"/>
          </w:tcPr>
          <w:p w14:paraId="1140B68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3A6A7DD2" w14:textId="77777777" w:rsidTr="00EA0DA7">
        <w:tc>
          <w:tcPr>
            <w:tcW w:w="3227" w:type="dxa"/>
          </w:tcPr>
          <w:p w14:paraId="51679C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Снятие винта</w:t>
            </w:r>
          </w:p>
        </w:tc>
        <w:tc>
          <w:tcPr>
            <w:tcW w:w="1330" w:type="dxa"/>
          </w:tcPr>
          <w:p w14:paraId="0EF76C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мин.</w:t>
            </w:r>
          </w:p>
        </w:tc>
        <w:tc>
          <w:tcPr>
            <w:tcW w:w="1330" w:type="dxa"/>
          </w:tcPr>
          <w:p w14:paraId="451484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мин.</w:t>
            </w:r>
          </w:p>
        </w:tc>
        <w:tc>
          <w:tcPr>
            <w:tcW w:w="1330" w:type="dxa"/>
          </w:tcPr>
          <w:p w14:paraId="3F2DFD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w:t>
            </w:r>
          </w:p>
        </w:tc>
        <w:tc>
          <w:tcPr>
            <w:tcW w:w="1330" w:type="dxa"/>
          </w:tcPr>
          <w:p w14:paraId="627230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w:t>
            </w:r>
          </w:p>
        </w:tc>
        <w:tc>
          <w:tcPr>
            <w:tcW w:w="1330" w:type="dxa"/>
          </w:tcPr>
          <w:p w14:paraId="51C9F6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час</w:t>
            </w:r>
          </w:p>
        </w:tc>
        <w:tc>
          <w:tcPr>
            <w:tcW w:w="1330" w:type="dxa"/>
          </w:tcPr>
          <w:p w14:paraId="4C0D6F0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6FB5BA7" w14:textId="77777777" w:rsidTr="00EA0DA7">
        <w:tc>
          <w:tcPr>
            <w:tcW w:w="3227" w:type="dxa"/>
          </w:tcPr>
          <w:p w14:paraId="2269C64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Слив масла из бака (80 л)</w:t>
            </w:r>
          </w:p>
        </w:tc>
        <w:tc>
          <w:tcPr>
            <w:tcW w:w="1330" w:type="dxa"/>
          </w:tcPr>
          <w:p w14:paraId="4EE8FF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мин. 30 сек.</w:t>
            </w:r>
          </w:p>
        </w:tc>
        <w:tc>
          <w:tcPr>
            <w:tcW w:w="1330" w:type="dxa"/>
          </w:tcPr>
          <w:p w14:paraId="5B9A78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мин. 30 сек.</w:t>
            </w:r>
          </w:p>
        </w:tc>
        <w:tc>
          <w:tcPr>
            <w:tcW w:w="1330" w:type="dxa"/>
          </w:tcPr>
          <w:p w14:paraId="500D59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мин.</w:t>
            </w:r>
          </w:p>
        </w:tc>
        <w:tc>
          <w:tcPr>
            <w:tcW w:w="1330" w:type="dxa"/>
          </w:tcPr>
          <w:p w14:paraId="2B2DB5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мин.</w:t>
            </w:r>
          </w:p>
        </w:tc>
        <w:tc>
          <w:tcPr>
            <w:tcW w:w="1330" w:type="dxa"/>
          </w:tcPr>
          <w:p w14:paraId="139D5F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мин.</w:t>
            </w:r>
          </w:p>
        </w:tc>
        <w:tc>
          <w:tcPr>
            <w:tcW w:w="1330" w:type="dxa"/>
          </w:tcPr>
          <w:p w14:paraId="1769F57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9844CC5" w14:textId="77777777" w:rsidTr="00EA0DA7">
        <w:tc>
          <w:tcPr>
            <w:tcW w:w="3227" w:type="dxa"/>
          </w:tcPr>
          <w:p w14:paraId="03F80C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Съемка б/бака</w:t>
            </w:r>
          </w:p>
        </w:tc>
        <w:tc>
          <w:tcPr>
            <w:tcW w:w="1330" w:type="dxa"/>
          </w:tcPr>
          <w:p w14:paraId="5DF34E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мин.</w:t>
            </w:r>
          </w:p>
        </w:tc>
        <w:tc>
          <w:tcPr>
            <w:tcW w:w="1330" w:type="dxa"/>
          </w:tcPr>
          <w:p w14:paraId="5A1C2C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мин.</w:t>
            </w:r>
          </w:p>
        </w:tc>
        <w:tc>
          <w:tcPr>
            <w:tcW w:w="1330" w:type="dxa"/>
          </w:tcPr>
          <w:p w14:paraId="05DBD6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330" w:type="dxa"/>
          </w:tcPr>
          <w:p w14:paraId="5DBCAD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330" w:type="dxa"/>
          </w:tcPr>
          <w:p w14:paraId="2A55BB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часа</w:t>
            </w:r>
          </w:p>
        </w:tc>
        <w:tc>
          <w:tcPr>
            <w:tcW w:w="1330" w:type="dxa"/>
          </w:tcPr>
          <w:p w14:paraId="360F06C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90B0A7D" w14:textId="77777777" w:rsidTr="00EA0DA7">
        <w:tc>
          <w:tcPr>
            <w:tcW w:w="3227" w:type="dxa"/>
            <w:tcBorders>
              <w:bottom w:val="single" w:sz="12" w:space="0" w:color="auto"/>
            </w:tcBorders>
          </w:tcPr>
          <w:p w14:paraId="6382162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Зарядка бензином</w:t>
            </w:r>
          </w:p>
        </w:tc>
        <w:tc>
          <w:tcPr>
            <w:tcW w:w="1330" w:type="dxa"/>
            <w:tcBorders>
              <w:bottom w:val="single" w:sz="12" w:space="0" w:color="auto"/>
            </w:tcBorders>
          </w:tcPr>
          <w:p w14:paraId="1098C8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мин. (2900 л)</w:t>
            </w:r>
          </w:p>
        </w:tc>
        <w:tc>
          <w:tcPr>
            <w:tcW w:w="1330" w:type="dxa"/>
            <w:tcBorders>
              <w:bottom w:val="single" w:sz="12" w:space="0" w:color="auto"/>
            </w:tcBorders>
          </w:tcPr>
          <w:p w14:paraId="504864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мин. 2000 л</w:t>
            </w:r>
          </w:p>
        </w:tc>
        <w:tc>
          <w:tcPr>
            <w:tcW w:w="1330" w:type="dxa"/>
            <w:tcBorders>
              <w:bottom w:val="single" w:sz="12" w:space="0" w:color="auto"/>
            </w:tcBorders>
          </w:tcPr>
          <w:p w14:paraId="04443D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мин. (1600 л)</w:t>
            </w:r>
          </w:p>
        </w:tc>
        <w:tc>
          <w:tcPr>
            <w:tcW w:w="1330" w:type="dxa"/>
            <w:tcBorders>
              <w:bottom w:val="single" w:sz="12" w:space="0" w:color="auto"/>
            </w:tcBorders>
          </w:tcPr>
          <w:p w14:paraId="48E5BD5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330" w:type="dxa"/>
            <w:tcBorders>
              <w:bottom w:val="single" w:sz="12" w:space="0" w:color="auto"/>
            </w:tcBorders>
          </w:tcPr>
          <w:p w14:paraId="309D61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 мин.</w:t>
            </w:r>
          </w:p>
        </w:tc>
        <w:tc>
          <w:tcPr>
            <w:tcW w:w="1330" w:type="dxa"/>
            <w:tcBorders>
              <w:bottom w:val="single" w:sz="12" w:space="0" w:color="auto"/>
            </w:tcBorders>
          </w:tcPr>
          <w:p w14:paraId="20C10C8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bl>
    <w:p w14:paraId="279E16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Колеса с-та Ю-88 можно поставить на До-215 (без использования тормозов), а колеса СБ и ДБ-3 - не взаимозаменяемы.</w:t>
      </w:r>
    </w:p>
    <w:p w14:paraId="76D7FC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Хвостовое колесо от Ю-88 можно использовать на До-215, а на СБ и ДБ-3 - они не совпадают.</w:t>
      </w:r>
    </w:p>
    <w:p w14:paraId="56F23F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Сильно развита стандартизация и хорошее качество изготовления оборудования, чего нет в системе нашей промышленности.</w:t>
      </w:r>
    </w:p>
    <w:p w14:paraId="268207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например, для стрельбы с подвижных и ограниченно-подвижных установок немцы на с-тах Ме-110, Ю-88 и До-215, а также Хе-111 имеют один прицел. Мы имеем ПМП-3, ПМП-6, ПМП-7, ОПТ-1, КП-4, КП-5 и др.</w:t>
      </w:r>
    </w:p>
    <w:p w14:paraId="6571F4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опытных с-тах, как правило, каждый конструктор устанавливает свой прицел, изготовленный по его заказу, или приспосабливает существующий под свою конструкцию.</w:t>
      </w:r>
    </w:p>
    <w:p w14:paraId="5FB13E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До-215, Ю-88, Хе-111 установлен один и тот же электросбрасыватель.</w:t>
      </w:r>
    </w:p>
    <w:p w14:paraId="2DC08A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Мы имеем 6 образцов (ЭСБР-1, 2, 3, 4, 5, 6, 7), причем рпоследние 2 только недавно приняты к использованию.</w:t>
      </w:r>
    </w:p>
    <w:p w14:paraId="4E964E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Бомбы: на вооружении у нас принято 58 образцов бомб разного калибра и назначения.</w:t>
      </w:r>
    </w:p>
    <w:p w14:paraId="775B8F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Одних только 50 кг бомб мы имеем 8 образцов (ФАБ-50сварн., Фаб-50 М5, ФАБ-50 М6, ФАБ-50 М7, ФАБ-50 с коробчатым стаблизатором, ФАБ-50 укороченная и т.д.)</w:t>
      </w:r>
    </w:p>
    <w:p w14:paraId="0E9A5C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Осколочных АО-8 - 5 образцов</w:t>
      </w:r>
    </w:p>
    <w:p w14:paraId="52D8D0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Осколочные бомбы калибрпа 8, 10, 15, 20 и 25 кг.</w:t>
      </w:r>
    </w:p>
    <w:p w14:paraId="62BD4E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всех немецких истребительных самолетах кронштйны крепления пулеметов и пушек однотипны и стандартны (852,6)</w:t>
      </w:r>
    </w:p>
    <w:p w14:paraId="13684E9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39CF3F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декабря 1940 года вышел приказ НИИ ВВС № 0282</w:t>
      </w:r>
    </w:p>
    <w:p w14:paraId="574737A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Войсковые испытания моторов М-105 серии 035 в 95-м СБП на 10 самолетах СБ (6890, 198).</w:t>
      </w:r>
    </w:p>
    <w:p w14:paraId="622E9FA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31AF233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декабря 1940 Секретарь КО при СНК М.Пугачев писал письмо № 10430/ко в НКАП А.И.Ш.:</w:t>
      </w:r>
    </w:p>
    <w:p w14:paraId="26E7614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Направляется при этом копия письма НИИ ВВС Красной Армии от 16.12.1940 года и 001419 с резо</w:t>
      </w:r>
      <w:r w:rsidRPr="00A3026E">
        <w:rPr>
          <w:rFonts w:ascii="Times New Roman" w:hAnsi="Times New Roman"/>
          <w:color w:val="000000" w:themeColor="text1"/>
          <w:sz w:val="16"/>
          <w:szCs w:val="16"/>
        </w:rPr>
        <w:softHyphen/>
        <w:t>люцией Председателя Комитета Обороны при СНК Союза ССР тов.Ворошилова К.Е.</w:t>
      </w:r>
    </w:p>
    <w:p w14:paraId="158CC32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Письмо на 2-х листах (9820,66).</w:t>
      </w:r>
    </w:p>
    <w:p w14:paraId="5426A20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декабря 1940 Нач. НИИ ВВС КА гма А.Филин писал письмо № 001919:</w:t>
      </w:r>
    </w:p>
    <w:p w14:paraId="6921D21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СЕКРЕТАРЮ ЦК ВКП(б) тов. Маленкову</w:t>
      </w:r>
    </w:p>
    <w:p w14:paraId="51865C8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ПРЕДСЕДАТЕЛЮ КО при СНК тов. Ворошилову</w:t>
      </w:r>
    </w:p>
    <w:p w14:paraId="2A98978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НКАП т. А.И.Ш.</w:t>
      </w:r>
    </w:p>
    <w:p w14:paraId="3AF948B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 о ходе выполнения постановления СНК СССР и ЦК ВКП(б) № 2463-1097 от 6.Х1.40 года.</w:t>
      </w:r>
    </w:p>
    <w:p w14:paraId="0867834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Параграф 4-ый, пункт "а" постановления обязывает НИИ ВВС Красной Ариая провести сравнительные испытания лопастей винтов ВИШ-61П и ВИШ-22 на немецких самолетах к 20 декабря 1940 года.</w:t>
      </w:r>
    </w:p>
    <w:p w14:paraId="0624ED4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Лопасти винта ВИШ-61П установлены на втулке немецкого винта VDM и испытываются ни истребительной самолете Мессершмитт-109.</w:t>
      </w:r>
    </w:p>
    <w:p w14:paraId="51AE86A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испытанию приступлено 13-го декабря 1940. До 16-го декабря про</w:t>
      </w:r>
      <w:r w:rsidRPr="00A3026E">
        <w:rPr>
          <w:rFonts w:ascii="Times New Roman" w:hAnsi="Times New Roman"/>
          <w:color w:val="000000" w:themeColor="text1"/>
          <w:sz w:val="16"/>
          <w:szCs w:val="16"/>
        </w:rPr>
        <w:softHyphen/>
        <w:t>ведено 4 полета (сняты скорости у земли на километровой базе, скоропдъемность до 3000 м и скорости по высотам 5000, 4000, 3000 и 2000 метров/. При наличии летной погоды, до 20 декабря с.г. испы</w:t>
      </w:r>
      <w:r w:rsidRPr="00A3026E">
        <w:rPr>
          <w:rFonts w:ascii="Times New Roman" w:hAnsi="Times New Roman"/>
          <w:color w:val="000000" w:themeColor="text1"/>
          <w:sz w:val="16"/>
          <w:szCs w:val="16"/>
        </w:rPr>
        <w:softHyphen/>
        <w:t>тания будут закончены.</w:t>
      </w:r>
    </w:p>
    <w:p w14:paraId="2F702BF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Лопасти винта ВИШ-22 установлены на втулке винта VDM 13.ХП.40 г в Ногинске и 16-го декабря самолет Дорнье-15 передан в НИИ ВВС Красной Армии и взвешен. 17-го декабря будет приступлено к летным испытаниям винтов с лопастями ВИШ-22.</w:t>
      </w:r>
    </w:p>
    <w:p w14:paraId="7D53ECF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 же пунктом Постановления, НИИ ВВС Краснов Армии обязан провести к 20.ХП.40 г. испытание электроиеханического винта на самолете Як-3.</w:t>
      </w:r>
    </w:p>
    <w:p w14:paraId="17B67CB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испытаниям не приступлено.т.к. электромеханический винт ВЭИ-107 заводом № 28 еще не изготовлен. Завод № 28 предполагает закончить изготовление винта не раньше 17 декабря с. г. После этого винт должен будет пройти 20-ти часовое станковое испытание и потом будет передан на самолетный завод для установки на самолет Як-3.</w:t>
      </w:r>
    </w:p>
    <w:p w14:paraId="4EDB99A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самолет ЯК-3 с винтом ВЭМ-107 будет передан в НИИ ВВС Красной Армии на летные испытания не раньше 22-го декабря с.г., т.е. позже срока, установленного решением СНК СССР и ЦК ВКП(б) от 6-го декабря с.г. для окончания этих испытаний. В силу чего выполнение решения СНК СССР и ЦК ВКП(б) по этому пункту срывается.</w:t>
      </w:r>
    </w:p>
    <w:p w14:paraId="59A26A5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Параграф 4-ый, пункт "б" Постановления обязывает Наркома авиационной промышленности СССР (завод № I ) к 8 декабря 1940 года провести заводские летные испытания электромеханического винта типа ДМ на самолете И-153 с мотором М-63 и передать в НИИ ВВС Красной армии на государственные испытания, которые закончить к 25 декабря 1940 года.</w:t>
      </w:r>
    </w:p>
    <w:p w14:paraId="46D6812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20 декабря 1940 года провести на заводе № 24 совместныв с НКО 100-часовые стендовые испытания электромеханического винта типа VДМ на моторе М-63.</w:t>
      </w:r>
    </w:p>
    <w:p w14:paraId="2E26283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Завод № 28 закончил 6 декабря заводские летные испытания винта ВЭМ-63 на самолета М-153 с мотором М-63 и после осмотра винта только 16 декабря с.г. посылает на завод № 1 для установки на самолет И-152 с мотором М-63.</w:t>
      </w:r>
    </w:p>
    <w:p w14:paraId="08E268E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И-153 с электромеханическим винтом ВЭМ-63 будет передан в НИИ ВВС Красной Армии на государственные летные испытанния не раньше 18 декабря с.г. При наличии летной погоды, до 25 декабря с.г. государственные летные испытания электромеханического винта ВЭМ-63 самолета И-153 будут закончены.</w:t>
      </w:r>
    </w:p>
    <w:p w14:paraId="70E031D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Электромеханический винт ВЭМ-63, предназначенный для совместных стендовых испытаний на заводе № 24, к 20 докабр с.г. не закончен изготовлением (завод "Шарикоподшипник" изготовил до 16 декабря подшипники).</w:t>
      </w:r>
    </w:p>
    <w:p w14:paraId="63E5454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28 обещает закончить его изготовление лишь 18 декабря с.г. Для ускорения проведения стендовых испытаний винта ВЭМ-63, НИИ ВВС Красной Армии выделил свой станок. Выполнение решения СНК СССР и по этому пункту также срывается.</w:t>
      </w:r>
    </w:p>
    <w:p w14:paraId="6DA04B0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Ваших указаний НКАП о скорейшем предъявлении винта ВЭМ-6З на совместные стендовые испытания и самолетов И-153 с винтсы ВЭМ-63 и Як-3 с винтом ВЭМ-107 на летные испытания в НИИ ВВС Красной Армии (9820,68).</w:t>
      </w:r>
    </w:p>
    <w:p w14:paraId="396A29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Виза К.Е.В.:</w:t>
      </w:r>
    </w:p>
    <w:p w14:paraId="38C305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Шахурину А.И.</w:t>
      </w:r>
    </w:p>
    <w:p w14:paraId="2CAB32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дать указание о немедленном выполнении постановления СНК и ЦК ВКП(б), т.к. в противном случае НИИ УВВС не выполнить возложенных на него обязательств.</w:t>
      </w:r>
    </w:p>
    <w:p w14:paraId="3EBDEC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декабря 1940”</w:t>
      </w:r>
    </w:p>
    <w:p w14:paraId="172B03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Виза Баландина:</w:t>
      </w:r>
    </w:p>
    <w:p w14:paraId="683C9A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“Королеву,</w:t>
      </w:r>
    </w:p>
    <w:p w14:paraId="77FB07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Установите систематическое наблюдение за ходом испытаний.</w:t>
      </w:r>
    </w:p>
    <w:p w14:paraId="7456D8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Каждый день мне докладывайте.</w:t>
      </w:r>
    </w:p>
    <w:p w14:paraId="42AB2D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Проследите за заводами, чтобы сроки не срывались (19 декабря) (9820,60).</w:t>
      </w:r>
    </w:p>
    <w:p w14:paraId="3BEB82A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500B0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декабря 1940 была подготовлена справка по полетным весам и колесам опытных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42"/>
        <w:gridCol w:w="1642"/>
        <w:gridCol w:w="1927"/>
        <w:gridCol w:w="2410"/>
        <w:gridCol w:w="2835"/>
      </w:tblGrid>
      <w:tr w:rsidR="00983732" w:rsidRPr="00A3026E" w14:paraId="0CC83365" w14:textId="77777777" w:rsidTr="00EA0DA7">
        <w:tc>
          <w:tcPr>
            <w:tcW w:w="1642" w:type="dxa"/>
            <w:tcBorders>
              <w:top w:val="single" w:sz="12" w:space="0" w:color="auto"/>
            </w:tcBorders>
          </w:tcPr>
          <w:p w14:paraId="16721C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И-200 АМ-35А</w:t>
            </w:r>
          </w:p>
        </w:tc>
        <w:tc>
          <w:tcPr>
            <w:tcW w:w="1642" w:type="dxa"/>
            <w:tcBorders>
              <w:top w:val="single" w:sz="12" w:space="0" w:color="auto"/>
            </w:tcBorders>
          </w:tcPr>
          <w:p w14:paraId="32C15E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3099/3327</w:t>
            </w:r>
          </w:p>
        </w:tc>
        <w:tc>
          <w:tcPr>
            <w:tcW w:w="1927" w:type="dxa"/>
            <w:tcBorders>
              <w:top w:val="single" w:sz="12" w:space="0" w:color="auto"/>
            </w:tcBorders>
          </w:tcPr>
          <w:p w14:paraId="3F56F5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600х180/2700</w:t>
            </w:r>
          </w:p>
        </w:tc>
        <w:tc>
          <w:tcPr>
            <w:tcW w:w="2410" w:type="dxa"/>
            <w:tcBorders>
              <w:top w:val="single" w:sz="12" w:space="0" w:color="auto"/>
            </w:tcBorders>
          </w:tcPr>
          <w:p w14:paraId="06044C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650х200/3200</w:t>
            </w:r>
          </w:p>
        </w:tc>
        <w:tc>
          <w:tcPr>
            <w:tcW w:w="2835" w:type="dxa"/>
            <w:tcBorders>
              <w:top w:val="single" w:sz="12" w:space="0" w:color="auto"/>
            </w:tcBorders>
          </w:tcPr>
          <w:p w14:paraId="6DFFE3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201 машины</w:t>
            </w:r>
          </w:p>
        </w:tc>
      </w:tr>
      <w:tr w:rsidR="00983732" w:rsidRPr="00A3026E" w14:paraId="586B6B03" w14:textId="77777777" w:rsidTr="00EA0DA7">
        <w:tc>
          <w:tcPr>
            <w:tcW w:w="1642" w:type="dxa"/>
          </w:tcPr>
          <w:p w14:paraId="776867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И-301 М-105П</w:t>
            </w:r>
          </w:p>
        </w:tc>
        <w:tc>
          <w:tcPr>
            <w:tcW w:w="1642" w:type="dxa"/>
          </w:tcPr>
          <w:p w14:paraId="7B5D7A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2968</w:t>
            </w:r>
          </w:p>
        </w:tc>
        <w:tc>
          <w:tcPr>
            <w:tcW w:w="1927" w:type="dxa"/>
          </w:tcPr>
          <w:p w14:paraId="4C255B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600х180/2700</w:t>
            </w:r>
          </w:p>
        </w:tc>
        <w:tc>
          <w:tcPr>
            <w:tcW w:w="2410" w:type="dxa"/>
          </w:tcPr>
          <w:p w14:paraId="503341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600х180/2700</w:t>
            </w:r>
          </w:p>
        </w:tc>
        <w:tc>
          <w:tcPr>
            <w:tcW w:w="2835" w:type="dxa"/>
          </w:tcPr>
          <w:p w14:paraId="596A27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11 машины 650х200</w:t>
            </w:r>
          </w:p>
        </w:tc>
      </w:tr>
      <w:tr w:rsidR="00983732" w:rsidRPr="00A3026E" w14:paraId="6A5A9683" w14:textId="77777777" w:rsidTr="00EA0DA7">
        <w:tc>
          <w:tcPr>
            <w:tcW w:w="1642" w:type="dxa"/>
          </w:tcPr>
          <w:p w14:paraId="2BF526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И-26 М-105П</w:t>
            </w:r>
          </w:p>
        </w:tc>
        <w:tc>
          <w:tcPr>
            <w:tcW w:w="1642" w:type="dxa"/>
          </w:tcPr>
          <w:p w14:paraId="76C005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2700</w:t>
            </w:r>
          </w:p>
        </w:tc>
        <w:tc>
          <w:tcPr>
            <w:tcW w:w="1927" w:type="dxa"/>
          </w:tcPr>
          <w:p w14:paraId="3F9A13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600х180/2700</w:t>
            </w:r>
          </w:p>
        </w:tc>
        <w:tc>
          <w:tcPr>
            <w:tcW w:w="2410" w:type="dxa"/>
          </w:tcPr>
          <w:p w14:paraId="14E6476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614D379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143EA48" w14:textId="77777777" w:rsidTr="00EA0DA7">
        <w:tc>
          <w:tcPr>
            <w:tcW w:w="1642" w:type="dxa"/>
          </w:tcPr>
          <w:p w14:paraId="304D06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ББ-1 М-88</w:t>
            </w:r>
          </w:p>
        </w:tc>
        <w:tc>
          <w:tcPr>
            <w:tcW w:w="1642" w:type="dxa"/>
          </w:tcPr>
          <w:p w14:paraId="16068B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4121/4400</w:t>
            </w:r>
          </w:p>
        </w:tc>
        <w:tc>
          <w:tcPr>
            <w:tcW w:w="1927" w:type="dxa"/>
          </w:tcPr>
          <w:p w14:paraId="142BD0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750х250/4500</w:t>
            </w:r>
          </w:p>
        </w:tc>
        <w:tc>
          <w:tcPr>
            <w:tcW w:w="2410" w:type="dxa"/>
          </w:tcPr>
          <w:p w14:paraId="6FF97EA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517C1BD0"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934A368" w14:textId="77777777" w:rsidTr="00EA0DA7">
        <w:tc>
          <w:tcPr>
            <w:tcW w:w="1642" w:type="dxa"/>
          </w:tcPr>
          <w:p w14:paraId="457F9F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ББ-22 2М-105</w:t>
            </w:r>
          </w:p>
        </w:tc>
        <w:tc>
          <w:tcPr>
            <w:tcW w:w="1642" w:type="dxa"/>
          </w:tcPr>
          <w:p w14:paraId="4C1024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6300/6500</w:t>
            </w:r>
          </w:p>
        </w:tc>
        <w:tc>
          <w:tcPr>
            <w:tcW w:w="1927" w:type="dxa"/>
          </w:tcPr>
          <w:p w14:paraId="226154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750х150/4700 (спарка)</w:t>
            </w:r>
          </w:p>
        </w:tc>
        <w:tc>
          <w:tcPr>
            <w:tcW w:w="2410" w:type="dxa"/>
          </w:tcPr>
          <w:p w14:paraId="0AFFCF8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12C98D0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62928D7" w14:textId="77777777" w:rsidTr="00EA0DA7">
        <w:tc>
          <w:tcPr>
            <w:tcW w:w="1642" w:type="dxa"/>
          </w:tcPr>
          <w:p w14:paraId="536DA0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БШ АМ-35</w:t>
            </w:r>
          </w:p>
        </w:tc>
        <w:tc>
          <w:tcPr>
            <w:tcW w:w="1642" w:type="dxa"/>
          </w:tcPr>
          <w:p w14:paraId="2FAF5E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4750</w:t>
            </w:r>
          </w:p>
        </w:tc>
        <w:tc>
          <w:tcPr>
            <w:tcW w:w="1927" w:type="dxa"/>
          </w:tcPr>
          <w:p w14:paraId="75BC6D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800х260/5000</w:t>
            </w:r>
          </w:p>
        </w:tc>
        <w:tc>
          <w:tcPr>
            <w:tcW w:w="2410" w:type="dxa"/>
          </w:tcPr>
          <w:p w14:paraId="58CCB3E0"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401D7BF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955BED0" w14:textId="77777777" w:rsidTr="00EA0DA7">
        <w:tc>
          <w:tcPr>
            <w:tcW w:w="1642" w:type="dxa"/>
          </w:tcPr>
          <w:p w14:paraId="34109A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ДБ-240 2М-105</w:t>
            </w:r>
          </w:p>
        </w:tc>
        <w:tc>
          <w:tcPr>
            <w:tcW w:w="1642" w:type="dxa"/>
          </w:tcPr>
          <w:p w14:paraId="7C1129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11300/13450</w:t>
            </w:r>
          </w:p>
        </w:tc>
        <w:tc>
          <w:tcPr>
            <w:tcW w:w="1927" w:type="dxa"/>
          </w:tcPr>
          <w:p w14:paraId="39600C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1100х400/10300</w:t>
            </w:r>
          </w:p>
        </w:tc>
        <w:tc>
          <w:tcPr>
            <w:tcW w:w="2410" w:type="dxa"/>
          </w:tcPr>
          <w:p w14:paraId="34CF0FD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069F53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 машин</w:t>
            </w:r>
          </w:p>
        </w:tc>
      </w:tr>
      <w:tr w:rsidR="00983732" w:rsidRPr="00A3026E" w14:paraId="20B57ECE" w14:textId="77777777" w:rsidTr="00EA0DA7">
        <w:tc>
          <w:tcPr>
            <w:tcW w:w="1642" w:type="dxa"/>
          </w:tcPr>
          <w:p w14:paraId="598602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ДБ-240 2АМ-37</w:t>
            </w:r>
          </w:p>
        </w:tc>
        <w:tc>
          <w:tcPr>
            <w:tcW w:w="1642" w:type="dxa"/>
          </w:tcPr>
          <w:p w14:paraId="052B6E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12400/14000</w:t>
            </w:r>
          </w:p>
        </w:tc>
        <w:tc>
          <w:tcPr>
            <w:tcW w:w="1927" w:type="dxa"/>
          </w:tcPr>
          <w:p w14:paraId="6E42CE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1200х450/13300</w:t>
            </w:r>
          </w:p>
        </w:tc>
        <w:tc>
          <w:tcPr>
            <w:tcW w:w="2410" w:type="dxa"/>
          </w:tcPr>
          <w:p w14:paraId="13E985B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00BAFE2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01F4818E" w14:textId="77777777" w:rsidTr="00EA0DA7">
        <w:tc>
          <w:tcPr>
            <w:tcW w:w="1642" w:type="dxa"/>
          </w:tcPr>
          <w:p w14:paraId="6DCE6D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ПБ-100 2М-105</w:t>
            </w:r>
          </w:p>
        </w:tc>
        <w:tc>
          <w:tcPr>
            <w:tcW w:w="1642" w:type="dxa"/>
          </w:tcPr>
          <w:p w14:paraId="2354ED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7600</w:t>
            </w:r>
          </w:p>
        </w:tc>
        <w:tc>
          <w:tcPr>
            <w:tcW w:w="1927" w:type="dxa"/>
          </w:tcPr>
          <w:p w14:paraId="0C1E7C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900х300/7000</w:t>
            </w:r>
          </w:p>
        </w:tc>
        <w:tc>
          <w:tcPr>
            <w:tcW w:w="2410" w:type="dxa"/>
          </w:tcPr>
          <w:p w14:paraId="089EFD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будут 1000х350/8500</w:t>
            </w:r>
          </w:p>
        </w:tc>
        <w:tc>
          <w:tcPr>
            <w:tcW w:w="2835" w:type="dxa"/>
          </w:tcPr>
          <w:p w14:paraId="56687F9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183AD296" w14:textId="77777777" w:rsidTr="00EA0DA7">
        <w:tc>
          <w:tcPr>
            <w:tcW w:w="1642" w:type="dxa"/>
          </w:tcPr>
          <w:p w14:paraId="1C1ADE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СБРК 2М-105</w:t>
            </w:r>
          </w:p>
        </w:tc>
        <w:tc>
          <w:tcPr>
            <w:tcW w:w="1642" w:type="dxa"/>
          </w:tcPr>
          <w:p w14:paraId="4DC5A5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6300</w:t>
            </w:r>
          </w:p>
        </w:tc>
        <w:tc>
          <w:tcPr>
            <w:tcW w:w="1927" w:type="dxa"/>
          </w:tcPr>
          <w:p w14:paraId="325D2F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900х300/7000</w:t>
            </w:r>
          </w:p>
        </w:tc>
        <w:tc>
          <w:tcPr>
            <w:tcW w:w="2410" w:type="dxa"/>
          </w:tcPr>
          <w:p w14:paraId="3BFB7C6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39E16DB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00D7DD00" w14:textId="77777777" w:rsidTr="00EA0DA7">
        <w:tc>
          <w:tcPr>
            <w:tcW w:w="1642" w:type="dxa"/>
          </w:tcPr>
          <w:p w14:paraId="23AD74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И-28</w:t>
            </w:r>
          </w:p>
        </w:tc>
        <w:tc>
          <w:tcPr>
            <w:tcW w:w="1642" w:type="dxa"/>
          </w:tcPr>
          <w:p w14:paraId="50591C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2950</w:t>
            </w:r>
          </w:p>
        </w:tc>
        <w:tc>
          <w:tcPr>
            <w:tcW w:w="1927" w:type="dxa"/>
          </w:tcPr>
          <w:p w14:paraId="05B465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600х180/2700</w:t>
            </w:r>
          </w:p>
        </w:tc>
        <w:tc>
          <w:tcPr>
            <w:tcW w:w="2410" w:type="dxa"/>
          </w:tcPr>
          <w:p w14:paraId="74AF99E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0FB07DD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CF1B374" w14:textId="77777777" w:rsidTr="00EA0DA7">
        <w:tc>
          <w:tcPr>
            <w:tcW w:w="1642" w:type="dxa"/>
          </w:tcPr>
          <w:p w14:paraId="7445F8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с нагн.</w:t>
            </w:r>
          </w:p>
        </w:tc>
        <w:tc>
          <w:tcPr>
            <w:tcW w:w="1642" w:type="dxa"/>
          </w:tcPr>
          <w:p w14:paraId="3B4FCD5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927" w:type="dxa"/>
          </w:tcPr>
          <w:p w14:paraId="7F86528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410" w:type="dxa"/>
          </w:tcPr>
          <w:p w14:paraId="5F182A6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3D1EAD7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67408B6F" w14:textId="77777777" w:rsidTr="00EA0DA7">
        <w:tc>
          <w:tcPr>
            <w:tcW w:w="1642" w:type="dxa"/>
          </w:tcPr>
          <w:p w14:paraId="3F7E41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И-30</w:t>
            </w:r>
          </w:p>
        </w:tc>
        <w:tc>
          <w:tcPr>
            <w:tcW w:w="1642" w:type="dxa"/>
          </w:tcPr>
          <w:p w14:paraId="699D2B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2850</w:t>
            </w:r>
          </w:p>
        </w:tc>
        <w:tc>
          <w:tcPr>
            <w:tcW w:w="1927" w:type="dxa"/>
          </w:tcPr>
          <w:p w14:paraId="4DA2595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650х200/3200</w:t>
            </w:r>
          </w:p>
        </w:tc>
        <w:tc>
          <w:tcPr>
            <w:tcW w:w="2410" w:type="dxa"/>
          </w:tcPr>
          <w:p w14:paraId="684ABE0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16697880"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0FEF5A6" w14:textId="77777777" w:rsidTr="00EA0DA7">
        <w:tc>
          <w:tcPr>
            <w:tcW w:w="1642" w:type="dxa"/>
            <w:tcBorders>
              <w:bottom w:val="single" w:sz="12" w:space="0" w:color="auto"/>
            </w:tcBorders>
          </w:tcPr>
          <w:p w14:paraId="3231FF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мет. Крылом (2090,</w:t>
            </w:r>
          </w:p>
        </w:tc>
        <w:tc>
          <w:tcPr>
            <w:tcW w:w="1642" w:type="dxa"/>
            <w:tcBorders>
              <w:bottom w:val="single" w:sz="12" w:space="0" w:color="auto"/>
            </w:tcBorders>
          </w:tcPr>
          <w:p w14:paraId="431E44B0"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927" w:type="dxa"/>
            <w:tcBorders>
              <w:bottom w:val="single" w:sz="12" w:space="0" w:color="auto"/>
            </w:tcBorders>
          </w:tcPr>
          <w:p w14:paraId="7B3DECB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410" w:type="dxa"/>
            <w:tcBorders>
              <w:bottom w:val="single" w:sz="12" w:space="0" w:color="auto"/>
            </w:tcBorders>
          </w:tcPr>
          <w:p w14:paraId="11AF7EC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Borders>
              <w:bottom w:val="single" w:sz="12" w:space="0" w:color="auto"/>
            </w:tcBorders>
          </w:tcPr>
          <w:p w14:paraId="149F5EA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bl>
    <w:p w14:paraId="1022B800"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EF991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19 декабря 1941 года объединенное предприятие в Иркутске получило название «Завод №39 им. Сталина». Вот что вспоминают об этом времени ветераны. Алексей Георгиевич Свидерский носит почетное звание «Заслуженный работник завода». Пришел в 1943 году на завод подростком и проработал там 45 лет. О том, какие пути-дороги привели его на завод, ветеран рассказывает сегодня. «В войну молодые быстро взрослели: понимали, что нужно помогать фронту, заменив рабочих, ушедших воевать с фашистами. И мы, подростки, работали на заводе во время войны наравне со взрослыми, без выходных и отпусков, по 12 часов и более… Весной 1943 года меня направили на практику на завод в цех 17. Вот с того самого времени я проработал 45 лет токарем в цехе 17. Пришел в цех подростком-юнцом, а ушел из него пенсионером…» Евгения Алексеевна Кузнецова, заслуженный работник завода, персональный пенсионер, пришла на предприятие в 1942 году. «В октябре-ноябре 1941 года на территорию завода №125 был эвакуирован завод №39 им. Менжинского из Москвы, который объединился с заводом №125 им. Сталина. В Иркутске эвакуированных размещали по частным домами квартирам. Станки разместили по цехам, где и работали москвичи. От том времени я знаю только по рассказам, а в январе 1942 года я и сама пришла работать на завод». Молодежи устраивалось на завод тогда очень много. В то время профессии обучались быстро, как и быстро повышались квалификационные разряды. Конечно, несмотря на то, что работали заводчане по режиму военного времени, все равно ходили в военкомат и просили отправить их на фронт. Война унесла жизни многих заводчан. Им в Комсомольском парке поставлен мемориал, воздвигнутый в 1975 году. 273 имени на нем, а на средней стеле названы трое – Герои Советского Союза Мария Цуканова, Василий Жуков, Николай Романенко. На протяжении всей войны завод не переставал строиться, совершенствоваться. Но даже и в это время он не изменил своей традиции – прийти на помощь тем, кто нуждался в помощи. Заводской коллектив часто помогал многим предприятиям промышленности г. Иркутска и других городов. К середине 50-х годов относится начало интенсивного строительства. Это и расширение заводских площадей, это и строительство жилья. До 1948 года в заводском поселке прерванное войной строительство жилых домов не велось. Потребность в квартирах ощущалась очень острая, и для создания нормальных жилищных условий надо было строить, к чему завод и приступил в 50-х годах с присущей ему инициативой. Вместе с новыми домами пришла и асфальтовая одежда улиц, отороченная зеленью газонов и деревьев. Заводской поселок – не новостройка, не знающая глубоких корней культурных и трудовых традиций, а с достоинством живущий и работающий микрорайон. Но лицо города определяют не только улицы и сооружения, его определяют люди. Как непохожи они на тех первых, что пришли сюда строителями! Приказом МАП № 2111 от 14. 5. 75 года завод получил название: «Иркутский авиационный завод». За успешное выполнение заданий 9-й пятилетки и достигнутые высокие показатели в повышении эффективности производства и улучшении качества продукции ИАЗ Указом Президиума Верховного Совета СССР от 24. 2. 76 года был награжден орденом Октябрьской революции. В связи с образованием у завода филиалов приказом МАП № 205 от 21. 4. 89 года ИАЗ преобразован и «Иркутское авиационное производственное объединение». В августе 1997 года ОАО ИАПО получило заключение о соответствии системе качества изготовления самолетов международному стандарту ISO-9002. Как гордимся мы, ныне живущие, за наших дедов, отцов, матерей, которые создавали и укрепляли могущество завода, его стабильность, силу, конкурентоспособность (11234). </w:t>
      </w:r>
    </w:p>
    <w:p w14:paraId="67516E8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A09A2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декабря 1940 г. приказом № 754с при заводе № 47 в начале 1941 г. образован опытный цех во главе с И.О. конструктора Е. Г. Адлером. В конце 1940 г. завод № 47 был определен основной базой создания опытных и серийных учебно-тренировочных самолетов. КБ работало при заводе до конца 1941 г. По прта № 857с от 15.08.1941 г. ОКБ было слито с Серийным КБ завода для оказания технической помощи серийно производству. Е. Г. Адлер освобожден от должности гл. конструктора и переведен в ОКБ-115 (11982).</w:t>
      </w:r>
    </w:p>
    <w:p w14:paraId="1EB7A56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6516831" w14:textId="77777777" w:rsidR="00387CFF" w:rsidRPr="00A3026E" w:rsidRDefault="00387CFF"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7C16D85E" w14:textId="77777777" w:rsidR="00387CFF" w:rsidRPr="00A3026E" w:rsidRDefault="00387CFF" w:rsidP="00A3026E">
      <w:pPr>
        <w:spacing w:after="0" w:line="240" w:lineRule="auto"/>
        <w:jc w:val="both"/>
        <w:rPr>
          <w:rFonts w:ascii="Times New Roman" w:hAnsi="Times New Roman"/>
          <w:iCs/>
          <w:color w:val="000000" w:themeColor="text1"/>
          <w:sz w:val="16"/>
          <w:szCs w:val="16"/>
        </w:rPr>
      </w:pPr>
    </w:p>
    <w:p w14:paraId="137793AC"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декабря 1940 г.</w:t>
      </w:r>
    </w:p>
    <w:p w14:paraId="6D68FB55"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171. Докладная записка председателя Комитета обороны при СНК СССР К. Е. Ворошилова и наркома среднего машиностроения СССР В. А. Малышева секретарю ЦК ВКП(б) И. В. Сталину о предложениях М. В. Данченко по реорганизации танкостроения[</w:t>
      </w:r>
      <w:hyperlink r:id="rId159" w:anchor="p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w:t>
      </w:r>
    </w:p>
    <w:p w14:paraId="6F7EE184"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Источник: </w:t>
      </w:r>
    </w:p>
    <w:p w14:paraId="719E65AF"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675-676.</w:t>
      </w:r>
    </w:p>
    <w:p w14:paraId="64AFD798"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Архив: </w:t>
      </w:r>
    </w:p>
    <w:p w14:paraId="48EEC726"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 РФ. Ф. 3. Оп. 46. Д. 385. Л. 51-54. Подлинник.</w:t>
      </w:r>
    </w:p>
    <w:p w14:paraId="0B5AC9FC"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письме на Ваше имя т. Данченко:</w:t>
      </w:r>
    </w:p>
    <w:p w14:paraId="35037F78"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Справедливо критикуя недостатки старых типов танков Т</w:t>
      </w:r>
      <w:r w:rsidRPr="00A3026E">
        <w:rPr>
          <w:rFonts w:ascii="Times New Roman" w:hAnsi="Times New Roman"/>
          <w:color w:val="000000" w:themeColor="text1"/>
          <w:sz w:val="16"/>
          <w:szCs w:val="16"/>
        </w:rPr>
        <w:noBreakHyphen/>
        <w:t>26, БТ, Т</w:t>
      </w:r>
      <w:r w:rsidRPr="00A3026E">
        <w:rPr>
          <w:rFonts w:ascii="Times New Roman" w:hAnsi="Times New Roman"/>
          <w:color w:val="000000" w:themeColor="text1"/>
          <w:sz w:val="16"/>
          <w:szCs w:val="16"/>
        </w:rPr>
        <w:noBreakHyphen/>
        <w:t>28 и Т</w:t>
      </w:r>
      <w:r w:rsidRPr="00A3026E">
        <w:rPr>
          <w:rFonts w:ascii="Times New Roman" w:hAnsi="Times New Roman"/>
          <w:color w:val="000000" w:themeColor="text1"/>
          <w:sz w:val="16"/>
          <w:szCs w:val="16"/>
        </w:rPr>
        <w:noBreakHyphen/>
        <w:t>35, делает неправильный вывод, предлагая после модернизации этих танков продолжать ими вооружать армию.</w:t>
      </w:r>
    </w:p>
    <w:p w14:paraId="623DFDE7"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Вместо модернизации решениями ЦК и СНК, и КО старые танки, имеющие основной недостаток — тонкую броню, сняты с производства и взамен их созданы танки Т</w:t>
      </w:r>
      <w:r w:rsidRPr="00A3026E">
        <w:rPr>
          <w:rFonts w:ascii="Times New Roman" w:hAnsi="Times New Roman"/>
          <w:color w:val="000000" w:themeColor="text1"/>
          <w:sz w:val="16"/>
          <w:szCs w:val="16"/>
        </w:rPr>
        <w:noBreakHyphen/>
        <w:t>40, Т</w:t>
      </w:r>
      <w:r w:rsidRPr="00A3026E">
        <w:rPr>
          <w:rFonts w:ascii="Times New Roman" w:hAnsi="Times New Roman"/>
          <w:color w:val="000000" w:themeColor="text1"/>
          <w:sz w:val="16"/>
          <w:szCs w:val="16"/>
        </w:rPr>
        <w:noBreakHyphen/>
        <w:t>34 и КВ и ведутся проектные работы по танку Т</w:t>
      </w:r>
      <w:r w:rsidRPr="00A3026E">
        <w:rPr>
          <w:rFonts w:ascii="Times New Roman" w:hAnsi="Times New Roman"/>
          <w:color w:val="000000" w:themeColor="text1"/>
          <w:sz w:val="16"/>
          <w:szCs w:val="16"/>
        </w:rPr>
        <w:noBreakHyphen/>
        <w:t>50.</w:t>
      </w:r>
    </w:p>
    <w:p w14:paraId="7F42628D"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Указание т. Данченко на недостатки трансмиссии танка КВ, вернее фрикционного механизма поворота, вследствие чего танк якобы не может быть принят на массовое вооружение, противоречит опыту длительных испытаний танка КВ, подтвердивших удовлетворительную маневренность этого танка во всех отношениях.</w:t>
      </w:r>
    </w:p>
    <w:p w14:paraId="30CBC10C"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Однако т. Данченко прав в той части, что при существующем фрикционном механизме поворот танка осуществляется путем движения одной из гусениц вокруг намертво заторможенной второй гусеницы. Вследствие этого заторможенная гусеница во время поворота танка врезается в грунт и благодаря этому ходовая часть танка претерпевает значительное напряжение, а сам поворот проходит на малой скорости с большим радиусом.</w:t>
      </w:r>
    </w:p>
    <w:p w14:paraId="13B9ACB9"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Было бы хорошо иметь механизм поворота, устраняющий этот недостаток. Таким механизмом т. Данченко считает схему, предложенную им и т. Благонравовым. По предложению т. Данченко его механизм устранит недостаток фрикционов и тем самым повысит маневренность танка, осуществляя поворот не путем торможения одной из гусениц, а движением обеих гусениц в противоположные стороны.</w:t>
      </w:r>
    </w:p>
    <w:p w14:paraId="5523F3FF"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рассмотрения этой схемы представителями НКО, НКТМ и НКСМ было решено для проверки правильности расчета конструкций разработать в Академии моторизации и механизации технические проекты трансмиссий к танкам Т</w:t>
      </w:r>
      <w:r w:rsidRPr="00A3026E">
        <w:rPr>
          <w:rFonts w:ascii="Times New Roman" w:hAnsi="Times New Roman"/>
          <w:color w:val="000000" w:themeColor="text1"/>
          <w:sz w:val="16"/>
          <w:szCs w:val="16"/>
        </w:rPr>
        <w:noBreakHyphen/>
        <w:t>34 и КВ. Проекты закончены, рассмотрены в ГАБТУ, и начальник ГАБТУ т. Федоренко входит в КО с ходатайством об изготовлении на Харьковском танковом заводе № 183 опытного образца танка Т</w:t>
      </w:r>
      <w:r w:rsidRPr="00A3026E">
        <w:rPr>
          <w:rFonts w:ascii="Times New Roman" w:hAnsi="Times New Roman"/>
          <w:color w:val="000000" w:themeColor="text1"/>
          <w:sz w:val="16"/>
          <w:szCs w:val="16"/>
        </w:rPr>
        <w:noBreakHyphen/>
        <w:t>34 с новой трансмиссией. В отношении трансмиссии к танку КВ ГАБТУ, отметив недостатки проекта, предложило Академии моторизации и механизации его доработать к 1 января 1941 г.</w:t>
      </w:r>
    </w:p>
    <w:p w14:paraId="5F545FB7"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Предложение т. Данченко о создании специального танко-тракторного наркомата нецелесообразно по следующим соображениям:</w:t>
      </w:r>
    </w:p>
    <w:p w14:paraId="42E8E6C4"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танковое и тракторное производство в основном сосредоточено в НКСМаше, т. е. объединено в одном наркомате. Например: производство танков Т</w:t>
      </w:r>
      <w:r w:rsidRPr="00A3026E">
        <w:rPr>
          <w:rFonts w:ascii="Times New Roman" w:hAnsi="Times New Roman"/>
          <w:color w:val="000000" w:themeColor="text1"/>
          <w:sz w:val="16"/>
          <w:szCs w:val="16"/>
        </w:rPr>
        <w:noBreakHyphen/>
        <w:t>40, Т</w:t>
      </w:r>
      <w:r w:rsidRPr="00A3026E">
        <w:rPr>
          <w:rFonts w:ascii="Times New Roman" w:hAnsi="Times New Roman"/>
          <w:color w:val="000000" w:themeColor="text1"/>
          <w:sz w:val="16"/>
          <w:szCs w:val="16"/>
        </w:rPr>
        <w:noBreakHyphen/>
        <w:t>34 и часть заказов на танки КВ, а также все типы военных и сельскохозяйственных тракторов сосредоточено на заводах НКСМаша, и только пока танки КВ в основном выпускаются Кировским заводом НКТМаша;</w:t>
      </w:r>
    </w:p>
    <w:p w14:paraId="7BE9CDA2"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танковые заводы НКСМаша широко кооперируют свое производство с заводами других наркоматов, чего вообще нельзя избежать при всех условиях;</w:t>
      </w:r>
    </w:p>
    <w:p w14:paraId="5382B749"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важнейшим элементом танкостроения является обеспечение броней, но объединение в танкотракторном наркомате броневого производства нецелесообразно, так как броневых заводов с танковым профилем нет. Производство танковой брони на основных заводах (броневых) Ижорском и Мариупольском составляет около 40%, а остальная продукция идет для судостроения.</w:t>
      </w:r>
    </w:p>
    <w:p w14:paraId="58BE5A0A"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 создании танкового научно-исследовательского института нет необходимости.</w:t>
      </w:r>
    </w:p>
    <w:p w14:paraId="19910867"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от 26 апреля 1940 г. к 1 января 1941 г. организуется при Научном автотракторном институте (НАТИ) НКСМаша специальный танковый отдел с экспериментально-производственной базой. Приказом по НКСМашу количество работников отдела определено в 250</w:t>
      </w:r>
      <w:r w:rsidRPr="00A3026E">
        <w:rPr>
          <w:rFonts w:ascii="Times New Roman" w:hAnsi="Times New Roman"/>
          <w:color w:val="000000" w:themeColor="text1"/>
          <w:sz w:val="16"/>
          <w:szCs w:val="16"/>
        </w:rPr>
        <w:noBreakHyphen/>
        <w:t>300 чел. Отдел обеспечен производственной базой: литейным, механическим и сборочным цехами; имеется площадь для создания лабораторной базы. В ближайшее время будут рассмотрены и утверждены наркомом среднего машиностроения структура и положение отдела, план и тематика работ на 1941 г. и производственно-лабораторное обеспечение опытно-исследовательских работ.</w:t>
      </w:r>
    </w:p>
    <w:p w14:paraId="6BFC17EE"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 своем письме т. Данченко делает упор на производственно-органнзационном улучшении танкостроения, и в этом отношении он прав.</w:t>
      </w:r>
    </w:p>
    <w:p w14:paraId="412EEE5C"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улучшения руководства автотанкотракторным производством, дальнейшей специализации машиностроительных наркоматов и более равномерного распределения производства машиностроительной продукции между НКТМ, НКСМ и НКОМ предлагаем:</w:t>
      </w:r>
    </w:p>
    <w:p w14:paraId="407B24A6"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освободить НКСМаш от продукции, не свойственной его основному профилю, для чего заводы вагоностроения, объединенные в Главтрансмаше, передать НКТМашу, и заводы сельхозмашин, объединенные в Главсельмаше, передать НКОМашу;</w:t>
      </w:r>
    </w:p>
    <w:p w14:paraId="4F39DD5B"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мотоциклетные и велосипедные заводы, находящиеся в системе НКОМаша (Главмотовелопром) как имеющие общее с автотракторным производством, передать в НКСМаш;</w:t>
      </w:r>
    </w:p>
    <w:p w14:paraId="79EDB8DB"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Кировский завод НКТМаша передать в систему НКОМаша. Удельный вес танковой продукции в программе этого завода на 1941 г. будет равен 50</w:t>
      </w:r>
      <w:r w:rsidRPr="00A3026E">
        <w:rPr>
          <w:rFonts w:ascii="Times New Roman" w:hAnsi="Times New Roman"/>
          <w:color w:val="000000" w:themeColor="text1"/>
          <w:sz w:val="16"/>
          <w:szCs w:val="16"/>
        </w:rPr>
        <w:noBreakHyphen/>
        <w:t>55%, 20% займет выпуск авиадизелей и только 20</w:t>
      </w:r>
      <w:r w:rsidRPr="00A3026E">
        <w:rPr>
          <w:rFonts w:ascii="Times New Roman" w:hAnsi="Times New Roman"/>
          <w:color w:val="000000" w:themeColor="text1"/>
          <w:sz w:val="16"/>
          <w:szCs w:val="16"/>
        </w:rPr>
        <w:noBreakHyphen/>
        <w:t>25% продукции завода — артиллерия, турбины и металлургия. Таким образом, Кировский завод по характеру своего основного производства родствен заводам НКСМаша.</w:t>
      </w:r>
    </w:p>
    <w:p w14:paraId="2FD9B0BB"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этих мероприятий, и учитывая организацию производства авиадизелей на Горьковском автомобильном и Харьковском тракторном заводах и предложение о переоборудовании СТЗ под выпуск танков Т</w:t>
      </w:r>
      <w:r w:rsidRPr="00A3026E">
        <w:rPr>
          <w:rFonts w:ascii="Times New Roman" w:hAnsi="Times New Roman"/>
          <w:color w:val="000000" w:themeColor="text1"/>
          <w:sz w:val="16"/>
          <w:szCs w:val="16"/>
        </w:rPr>
        <w:noBreakHyphen/>
        <w:t>34 и танковых дизелей (доклад и проект Вам представлен), производство НКСМаша будет специализировано на выпуске танков, авиационных и танковых дизелей, тракторов, автомашин, прицепов, мотоциклов и запасных частей к ним.</w:t>
      </w:r>
    </w:p>
    <w:p w14:paraId="4D5DC37C"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Ворошилов.</w:t>
      </w:r>
    </w:p>
    <w:p w14:paraId="212145D0"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Малышев.</w:t>
      </w:r>
    </w:p>
    <w:p w14:paraId="14800745"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w:t>
      </w:r>
    </w:p>
    <w:p w14:paraId="0EA39938"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160" w:anchor="s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 xml:space="preserve">] </w:t>
      </w:r>
      <w:hyperlink r:id="rId161" w:history="1">
        <w:r w:rsidRPr="00A3026E">
          <w:rPr>
            <w:rFonts w:ascii="Times New Roman" w:hAnsi="Times New Roman"/>
            <w:color w:val="000000" w:themeColor="text1"/>
            <w:sz w:val="16"/>
            <w:szCs w:val="16"/>
          </w:rPr>
          <w:t>См. документ № 160</w:t>
        </w:r>
      </w:hyperlink>
      <w:r w:rsidRPr="00A3026E">
        <w:rPr>
          <w:rFonts w:ascii="Times New Roman" w:hAnsi="Times New Roman"/>
          <w:color w:val="000000" w:themeColor="text1"/>
          <w:sz w:val="16"/>
          <w:szCs w:val="16"/>
        </w:rPr>
        <w:t>.</w:t>
      </w:r>
    </w:p>
    <w:p w14:paraId="3539A0D5"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 РФ. Ф. 3. Оп. 46. Д. 385. Л. 51-54. Подлинник (18013).</w:t>
      </w:r>
    </w:p>
    <w:p w14:paraId="7EDBDAA6" w14:textId="77777777" w:rsidR="00387CFF" w:rsidRPr="00A3026E" w:rsidRDefault="00387CFF" w:rsidP="00A3026E">
      <w:pPr>
        <w:spacing w:after="0" w:line="240" w:lineRule="auto"/>
        <w:jc w:val="both"/>
        <w:rPr>
          <w:rFonts w:ascii="Times New Roman" w:hAnsi="Times New Roman"/>
          <w:color w:val="000000" w:themeColor="text1"/>
          <w:sz w:val="16"/>
          <w:szCs w:val="16"/>
        </w:rPr>
      </w:pPr>
    </w:p>
    <w:p w14:paraId="53601940"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декабря 1939 г. Постановлением КО № 443сс танк Т</w:t>
      </w:r>
      <w:r w:rsidRPr="00A3026E">
        <w:rPr>
          <w:rFonts w:ascii="Times New Roman" w:hAnsi="Times New Roman"/>
          <w:color w:val="000000" w:themeColor="text1"/>
          <w:sz w:val="16"/>
          <w:szCs w:val="16"/>
        </w:rPr>
        <w:noBreakHyphen/>
        <w:t>26 с 1 января 1941 г. был снят с производства и завод оставлен как основная база по производству запасных частей и агрегатов к танку Т</w:t>
      </w:r>
      <w:r w:rsidRPr="00A3026E">
        <w:rPr>
          <w:rFonts w:ascii="Times New Roman" w:hAnsi="Times New Roman"/>
          <w:color w:val="000000" w:themeColor="text1"/>
          <w:sz w:val="16"/>
          <w:szCs w:val="16"/>
        </w:rPr>
        <w:noBreakHyphen/>
        <w:t>26[</w:t>
      </w:r>
      <w:hyperlink r:id="rId162" w:anchor="p2" w:history="1">
        <w:r w:rsidRPr="00A3026E">
          <w:rPr>
            <w:rFonts w:ascii="Times New Roman" w:hAnsi="Times New Roman"/>
            <w:color w:val="000000" w:themeColor="text1"/>
            <w:sz w:val="16"/>
            <w:szCs w:val="16"/>
          </w:rPr>
          <w:t>2</w:t>
        </w:r>
      </w:hyperlink>
      <w:r w:rsidRPr="00A3026E">
        <w:rPr>
          <w:rFonts w:ascii="Times New Roman" w:hAnsi="Times New Roman"/>
          <w:color w:val="000000" w:themeColor="text1"/>
          <w:sz w:val="16"/>
          <w:szCs w:val="16"/>
        </w:rPr>
        <w:t>]. В 1940 г. завод обязан был изготовить и поставить 816 моторов Т</w:t>
      </w:r>
      <w:r w:rsidRPr="00A3026E">
        <w:rPr>
          <w:rFonts w:ascii="Times New Roman" w:hAnsi="Times New Roman"/>
          <w:color w:val="000000" w:themeColor="text1"/>
          <w:sz w:val="16"/>
          <w:szCs w:val="16"/>
        </w:rPr>
        <w:noBreakHyphen/>
        <w:t>26 и запасных частей к танку Т</w:t>
      </w:r>
      <w:r w:rsidRPr="00A3026E">
        <w:rPr>
          <w:rFonts w:ascii="Times New Roman" w:hAnsi="Times New Roman"/>
          <w:color w:val="000000" w:themeColor="text1"/>
          <w:sz w:val="16"/>
          <w:szCs w:val="16"/>
        </w:rPr>
        <w:noBreakHyphen/>
        <w:t>26 на сумму 21 550 тыс. руб. Завод не выполнил этого задания. На 1 января 1941 г. изготовлено и сдано моторов 332 шт., или 40,7%, запасных частей изготовлено на сумму 20 160 тыс. руб., или 93,6% (19033).</w:t>
      </w:r>
    </w:p>
    <w:p w14:paraId="28B58B56" w14:textId="77777777" w:rsidR="00387CFF" w:rsidRPr="00A3026E" w:rsidRDefault="00387CFF" w:rsidP="00A3026E">
      <w:pPr>
        <w:spacing w:after="0" w:line="240" w:lineRule="auto"/>
        <w:jc w:val="both"/>
        <w:rPr>
          <w:rFonts w:ascii="Times New Roman" w:hAnsi="Times New Roman"/>
          <w:color w:val="000000" w:themeColor="text1"/>
          <w:sz w:val="16"/>
          <w:szCs w:val="16"/>
        </w:rPr>
      </w:pPr>
    </w:p>
    <w:p w14:paraId="57AF28F9"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и 21 декабря 1940 г.</w:t>
      </w:r>
    </w:p>
    <w:p w14:paraId="75C3C447"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ЦАМО Фонд 38 Опись 11355 Дело 232 Лист 7 </w:t>
      </w:r>
    </w:p>
    <w:p w14:paraId="724DC03E"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2BD4EC75"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1 </w:t>
      </w:r>
    </w:p>
    <w:p w14:paraId="22800791"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"УТВЕРЖДАЮ"</w:t>
      </w:r>
    </w:p>
    <w:p w14:paraId="24AF0EF5"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НАРОДНОГО КОМИССАРА ТЯЖЕЛОГО МАШИНОСТРОЕНИЯ СССР подпись (Замогильный)</w:t>
      </w:r>
    </w:p>
    <w:p w14:paraId="6ADD9934"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21 декабря 1940 г. </w:t>
      </w:r>
    </w:p>
    <w:p w14:paraId="524B55AD"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"УТВЕРЖДАЮ"</w:t>
      </w:r>
    </w:p>
    <w:p w14:paraId="2F22BC5E"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ГЛАВНОГО АВТОБРОНЕТАНКОВОГО УПРАВЛЕНИЯ КРАСНОЙ АРМИИ</w:t>
      </w:r>
    </w:p>
    <w:p w14:paraId="62A138EA"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ГЕНЕРАЛ-ЛЕЙТЕНАНТ ТАНКОВЫХ ВОЙСК подпись (ФЕДОРЕНКО)</w:t>
      </w:r>
    </w:p>
    <w:p w14:paraId="5E114FE2"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 декабря 1940 г. </w:t>
      </w:r>
    </w:p>
    <w:p w14:paraId="59327A00"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"УТВЕРЖДАЮ"</w:t>
      </w:r>
    </w:p>
    <w:p w14:paraId="007F373B"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НАРОДНОГО КОМИССАРА СРЕДНЕГО МАШИНОСТРОЕНИЯ СССР подпись (ГОРЕГЛЯД)</w:t>
      </w:r>
    </w:p>
    <w:p w14:paraId="2B76951F"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23 декабря 1940 г. </w:t>
      </w:r>
    </w:p>
    <w:p w14:paraId="7F439310"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целях сохранения мотто-ресурсов для боевой подготовки танковых частей, экономии горюче-смазочных материалов, а также учитывая большой опыт, накопившийся на заводах по испытаниям танков и танковых моторов, считать целесообразным внести следующие изменения в порядок проведения заводских и сдаточных испытаний танков и танкового дизель-мотора. </w:t>
      </w:r>
    </w:p>
    <w:p w14:paraId="5E6DB91F"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Заводские испытания проводятся с обязательным участием военного представителя ГАБТУ КА на заводе. </w:t>
      </w:r>
    </w:p>
    <w:p w14:paraId="3263B680"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БРОНЕТАНКОВОГО УПРАВЛЕНИЯ КРАСНОЙ АРМИИ</w:t>
      </w:r>
    </w:p>
    <w:p w14:paraId="365D16FB"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1 РАНГА подпись (КОРОБКОВ)</w:t>
      </w:r>
    </w:p>
    <w:p w14:paraId="2C4763CA"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3 экз. </w:t>
      </w:r>
    </w:p>
    <w:p w14:paraId="49CC1699"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 Мартынов </w:t>
      </w:r>
    </w:p>
    <w:p w14:paraId="358BB9BC"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17.12.40 </w:t>
      </w:r>
    </w:p>
    <w:p w14:paraId="4C612615"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1659 (18317).</w:t>
      </w:r>
    </w:p>
    <w:p w14:paraId="45FEC3BA" w14:textId="77777777" w:rsidR="00E917F4" w:rsidRPr="00A3026E" w:rsidRDefault="00E917F4" w:rsidP="00A3026E">
      <w:pPr>
        <w:spacing w:after="0" w:line="240" w:lineRule="auto"/>
        <w:jc w:val="both"/>
        <w:rPr>
          <w:rFonts w:ascii="Times New Roman" w:hAnsi="Times New Roman"/>
          <w:color w:val="000000" w:themeColor="text1"/>
          <w:sz w:val="16"/>
          <w:szCs w:val="16"/>
        </w:rPr>
      </w:pPr>
    </w:p>
    <w:p w14:paraId="59A79714"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0D5BB24F"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1D44496" w14:textId="77777777" w:rsidR="0014077F" w:rsidRPr="00A3026E" w:rsidRDefault="0014077F"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Между 19 и 25 декабря 1940. </w:t>
      </w:r>
      <w:r w:rsidRPr="00A3026E">
        <w:rPr>
          <w:rStyle w:val="a7"/>
          <w:rFonts w:ascii="Times New Roman" w:hAnsi="Times New Roman"/>
          <w:b w:val="0"/>
          <w:bCs w:val="0"/>
          <w:color w:val="000000" w:themeColor="text1"/>
          <w:sz w:val="16"/>
          <w:szCs w:val="16"/>
        </w:rPr>
        <w:t>Протокол заседания Политбюро № 24, 1940 г.</w:t>
      </w:r>
    </w:p>
    <w:p w14:paraId="1757F7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 планах капитальных работ на 1940 г. по стройкам НКВД </w:t>
      </w:r>
    </w:p>
    <w:p w14:paraId="24C653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Разрешить НКВД увеличить планы капитальных работ на 1940 год стройкам, по которым имеется возможность перевыполнения годовых планов, всего на сумму 52 миллиона рублей за счет перераспределения лимитов капитальных работ НКВД на 1940 год. </w:t>
      </w:r>
    </w:p>
    <w:p w14:paraId="677504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Также за счет перераспределения плана капитальных работ 1940 года разрешить НКВД израсходовать 10 миллионов рублей, дополнительно к утвержденным 2 миллионам руб.,— на работы по проектированию и изысканию для гидростанций средних и малых мощностей, и 10 миллионов рублей на строительство железной дороги № 107 (11652).</w:t>
      </w:r>
    </w:p>
    <w:p w14:paraId="0F49404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8328B2E" w14:textId="77777777" w:rsidR="0014077F" w:rsidRPr="00A3026E" w:rsidRDefault="0014077F"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Между 19 и 25 декабря 1940. </w:t>
      </w:r>
      <w:r w:rsidRPr="00A3026E">
        <w:rPr>
          <w:rStyle w:val="a7"/>
          <w:rFonts w:ascii="Times New Roman" w:hAnsi="Times New Roman"/>
          <w:b w:val="0"/>
          <w:bCs w:val="0"/>
          <w:color w:val="000000" w:themeColor="text1"/>
          <w:sz w:val="16"/>
          <w:szCs w:val="16"/>
        </w:rPr>
        <w:t>Протокол заседания Политбюро № 24, 1940 г.</w:t>
      </w:r>
    </w:p>
    <w:p w14:paraId="161212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Вопрос ЦК КП(б)У и СНК УССР</w:t>
      </w:r>
    </w:p>
    <w:p w14:paraId="4E5B46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Не привлекать к ответственности тех рабочих и служащих польской национальности западных областей Украины, которые не выйдут на работу 25 и 26 декабря 1940 г., и тех рабочих и служащих — украинцев и русских западных областей Украины, в том числе Черновицкой и Измаильской областей, которые не выйдут на работу 7-8 января 1941 г. (11652).</w:t>
      </w:r>
    </w:p>
    <w:p w14:paraId="1EA3227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36D72C3" w14:textId="77777777" w:rsidR="00E20D32"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48D88CA3" w14:textId="77777777" w:rsidR="00E20D32" w:rsidRPr="00A3026E" w:rsidRDefault="00E20D32" w:rsidP="00A3026E">
      <w:pPr>
        <w:spacing w:after="0" w:line="240" w:lineRule="auto"/>
        <w:jc w:val="both"/>
        <w:rPr>
          <w:rFonts w:ascii="Times New Roman" w:hAnsi="Times New Roman"/>
          <w:iCs/>
          <w:color w:val="000000" w:themeColor="text1"/>
          <w:sz w:val="16"/>
          <w:szCs w:val="16"/>
        </w:rPr>
      </w:pPr>
    </w:p>
    <w:p w14:paraId="36983556" w14:textId="77777777" w:rsidR="00E20D32" w:rsidRPr="00A3026E" w:rsidRDefault="00E20D3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19 декабря</w:t>
      </w:r>
      <w:r w:rsidRPr="00A3026E">
        <w:rPr>
          <w:rFonts w:ascii="Times New Roman" w:hAnsi="Times New Roman"/>
          <w:color w:val="000000" w:themeColor="text1"/>
          <w:sz w:val="16"/>
          <w:szCs w:val="16"/>
        </w:rPr>
        <w:t xml:space="preserve"> в 1940 году вступила в постоянную эксплуатацию радиомагистраль Москва – Сан-Франциско (через Хабаровск) (14865).</w:t>
      </w:r>
    </w:p>
    <w:p w14:paraId="08430235" w14:textId="77777777" w:rsidR="00E20D32" w:rsidRPr="00A3026E" w:rsidRDefault="00E20D32" w:rsidP="00A3026E">
      <w:pPr>
        <w:spacing w:after="0" w:line="240" w:lineRule="auto"/>
        <w:jc w:val="both"/>
        <w:rPr>
          <w:rFonts w:ascii="Times New Roman" w:hAnsi="Times New Roman"/>
          <w:color w:val="000000" w:themeColor="text1"/>
          <w:sz w:val="16"/>
          <w:szCs w:val="16"/>
        </w:rPr>
      </w:pPr>
    </w:p>
    <w:p w14:paraId="0DB85631" w14:textId="77777777" w:rsidR="0014077F"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За</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рубежом</w:t>
      </w:r>
      <w:r w:rsidRPr="00A3026E">
        <w:rPr>
          <w:rFonts w:ascii="Times New Roman" w:hAnsi="Times New Roman"/>
          <w:i/>
          <w:iCs/>
          <w:color w:val="000000" w:themeColor="text1"/>
          <w:sz w:val="16"/>
          <w:szCs w:val="16"/>
          <w:lang w:val="en-US"/>
        </w:rPr>
        <w:t>:</w:t>
      </w:r>
    </w:p>
    <w:p w14:paraId="73CF4C59" w14:textId="77777777" w:rsidR="0014077F" w:rsidRPr="00A3026E" w:rsidRDefault="0014077F" w:rsidP="00A3026E">
      <w:pPr>
        <w:spacing w:after="0" w:line="240" w:lineRule="auto"/>
        <w:jc w:val="both"/>
        <w:rPr>
          <w:rFonts w:ascii="Times New Roman" w:hAnsi="Times New Roman"/>
          <w:iCs/>
          <w:color w:val="000000" w:themeColor="text1"/>
          <w:sz w:val="16"/>
          <w:szCs w:val="16"/>
          <w:lang w:val="en-US"/>
        </w:rPr>
      </w:pPr>
    </w:p>
    <w:p w14:paraId="72B0D529"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December 19, 1940: Mussolini requests German assistance for his hard-pressed troops in Cyrenaica in the form of a Panzer Division and various logistical support (3819).</w:t>
      </w:r>
    </w:p>
    <w:p w14:paraId="04EE7637"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p>
    <w:p w14:paraId="4B39DA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декабря 1940 Б.Муссолини обратился к Германии за помощью войскам, окруженным в Киренаике в форме ТД и логистики (3819).</w:t>
      </w:r>
    </w:p>
    <w:p w14:paraId="05767A8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D4860FE"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CBDCE15"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2897E5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формально закончились заводские испытания БШ АМ-38 С.В.И., которые шли с 12 октября 1940 (2090,232).</w:t>
      </w:r>
    </w:p>
    <w:p w14:paraId="664692D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C7C70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в Воронеж для помощи заводскому КБ прибыл Главный конструктор Ил-2 с группой ведущих конструкто</w:t>
      </w:r>
      <w:r w:rsidRPr="00A3026E">
        <w:rPr>
          <w:rFonts w:ascii="Times New Roman" w:hAnsi="Times New Roman"/>
          <w:color w:val="000000" w:themeColor="text1"/>
          <w:sz w:val="16"/>
          <w:szCs w:val="16"/>
        </w:rPr>
        <w:softHyphen/>
        <w:t>ров своего ОКБ (4140).</w:t>
      </w:r>
    </w:p>
    <w:p w14:paraId="0D0491E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35F37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состоялась передача конструкторской документации по Ил-2 на завод 18 (3846,12).</w:t>
      </w:r>
    </w:p>
    <w:p w14:paraId="76F01D4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49F81B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Протокол № 24. Решения ПБ за 14 декабря 1940 г. - 2 января 1941 г.</w:t>
      </w:r>
    </w:p>
    <w:p w14:paraId="263FEC0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15.12.40 г.</w:t>
      </w:r>
    </w:p>
    <w:p w14:paraId="7D4E71F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3 О серийном выпуске моторов на заводе № 27*.</w:t>
      </w:r>
    </w:p>
    <w:p w14:paraId="45776ED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4. Об организации завода по производству средств вооружения для боевых самолетов в Днепропетровске (постановление СНК СССР и ЦК ВКП (б))*.</w:t>
      </w:r>
    </w:p>
    <w:p w14:paraId="11E3307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5. Об обеспечении производства авиамоторов и самолетов на заводах №№ 452 и 265 Наркомавиапрома*.</w:t>
      </w:r>
    </w:p>
    <w:p w14:paraId="53C6948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 Об обеспечении производства самолетов на заводе № 450 и работы стройтрестов № 8 и № 26 (постановление СНК СССР и ЦК ВКП (б))*.</w:t>
      </w:r>
    </w:p>
    <w:p w14:paraId="043CD65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8. Об обеспечении завода № 26 агрегатами для опытного мотора М-107П (постановление СНК СССР и ЦК ВКП (б))*.</w:t>
      </w:r>
    </w:p>
    <w:p w14:paraId="2CF76C2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 Об обеспечении бронекорпусами самолетов Ил-2 (постановление СНК СССР и ЦК ВКП (б))*.</w:t>
      </w:r>
    </w:p>
    <w:p w14:paraId="2AFDA00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20. 12. 40 г.</w:t>
      </w:r>
    </w:p>
    <w:p w14:paraId="5EF1611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108. О выпуске самолетов на заводе № 39 НКАП (постановление СНК СССР и ЦК ВКП (б))*.</w:t>
      </w:r>
    </w:p>
    <w:p w14:paraId="6D27B2A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109. О строительстве в БССР завода синтетического бензина из торфа (постановление СНК СССР и ЦК ВКП (б)).</w:t>
      </w:r>
    </w:p>
    <w:p w14:paraId="26FDD36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111. Вопрос ГАУ Красной Армии и НКВ. О принятии на вооружение КА пистолета-пулемета Шпагина*.</w:t>
      </w:r>
    </w:p>
    <w:p w14:paraId="72A4511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21.12.40 г.</w:t>
      </w:r>
    </w:p>
    <w:p w14:paraId="24C6BE9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132. О Таганрогском заводе № 31 НКАП. Об использовании мощностей завода для выпуска боевых самолетов*.</w:t>
      </w:r>
    </w:p>
    <w:p w14:paraId="7789559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26. 12.40 г</w:t>
      </w:r>
      <w:r w:rsidRPr="00A3026E">
        <w:rPr>
          <w:rFonts w:ascii="Times New Roman" w:hAnsi="Times New Roman"/>
          <w:color w:val="000000" w:themeColor="text1"/>
          <w:sz w:val="16"/>
          <w:szCs w:val="16"/>
        </w:rPr>
        <w:t>.</w:t>
      </w:r>
    </w:p>
    <w:p w14:paraId="6AA5029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162. О заводе № 22 НКАП. Программа выпуска самолетов Пе-2 (постановление СНК СССРиЦКВКП(б))*.</w:t>
      </w:r>
    </w:p>
    <w:p w14:paraId="5761C74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28. 12.40 г.</w:t>
      </w:r>
    </w:p>
    <w:p w14:paraId="5D25E56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176. О выпуске моторов АМ-88 на заводе № 24 (постановление СНК СССР и ЦК ВКП (б))*.</w:t>
      </w:r>
    </w:p>
    <w:p w14:paraId="11DD68C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 xml:space="preserve">29.12.40 г. </w:t>
      </w:r>
      <w:r w:rsidRPr="00A3026E">
        <w:rPr>
          <w:rFonts w:ascii="Times New Roman" w:hAnsi="Times New Roman"/>
          <w:color w:val="000000" w:themeColor="text1"/>
          <w:sz w:val="16"/>
          <w:szCs w:val="16"/>
        </w:rPr>
        <w:t>П. 230. Вопрос КО. О постройке трех истребителей ВИ-1* (11773).</w:t>
      </w:r>
    </w:p>
    <w:p w14:paraId="76091FAF" w14:textId="77777777" w:rsidR="0014077F" w:rsidRPr="00A3026E" w:rsidRDefault="0014077F" w:rsidP="00A3026E">
      <w:pPr>
        <w:shd w:val="clear" w:color="auto" w:fill="FFFFFF"/>
        <w:spacing w:after="0" w:line="240" w:lineRule="auto"/>
        <w:jc w:val="both"/>
        <w:rPr>
          <w:rFonts w:ascii="Times New Roman" w:hAnsi="Times New Roman"/>
          <w:bCs/>
          <w:color w:val="000000" w:themeColor="text1"/>
          <w:sz w:val="16"/>
          <w:szCs w:val="16"/>
        </w:rPr>
      </w:pPr>
    </w:p>
    <w:p w14:paraId="11935533" w14:textId="77777777" w:rsidR="0099525A" w:rsidRPr="00A3026E" w:rsidRDefault="0099525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20 декабря 1940 – протокол Политбюро </w:t>
      </w:r>
    </w:p>
    <w:p w14:paraId="5C383DCC" w14:textId="77777777" w:rsidR="0099525A" w:rsidRPr="00A3026E" w:rsidRDefault="0099525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20.XII.40 г.</w:t>
      </w:r>
    </w:p>
    <w:p w14:paraId="74A7A4C1" w14:textId="77777777" w:rsidR="0099525A" w:rsidRPr="00A3026E" w:rsidRDefault="0099525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107. О заводе № 292 (постановление СНК СССР и ЦК ВКП(б)). — ОП.</w:t>
      </w:r>
    </w:p>
    <w:p w14:paraId="5E6884A9" w14:textId="77777777" w:rsidR="0099525A" w:rsidRPr="00A3026E" w:rsidRDefault="0099525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108. О заводе № 39 НКАП (постановление СНК СССР и ЦК ВКП(б)). — ОП (20468).</w:t>
      </w:r>
    </w:p>
    <w:p w14:paraId="6AB62DAB" w14:textId="77777777" w:rsidR="0099525A" w:rsidRPr="00A3026E" w:rsidRDefault="0099525A" w:rsidP="00A3026E">
      <w:pPr>
        <w:spacing w:after="0" w:line="240" w:lineRule="auto"/>
        <w:jc w:val="both"/>
        <w:rPr>
          <w:rFonts w:ascii="Times New Roman" w:hAnsi="Times New Roman"/>
          <w:color w:val="0070C0"/>
          <w:sz w:val="16"/>
          <w:szCs w:val="16"/>
        </w:rPr>
      </w:pPr>
    </w:p>
    <w:p w14:paraId="6A02F700" w14:textId="77777777" w:rsidR="0099525A" w:rsidRPr="00A3026E" w:rsidRDefault="0099525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20 декабря 1940 вышло </w:t>
      </w:r>
      <w:r w:rsidRPr="00A3026E">
        <w:rPr>
          <w:rFonts w:ascii="Times New Roman" w:hAnsi="Times New Roman"/>
          <w:color w:val="0070C0"/>
          <w:sz w:val="16"/>
          <w:szCs w:val="16"/>
          <w:shd w:val="clear" w:color="auto" w:fill="FFFFFF"/>
        </w:rPr>
        <w:t>Постановление Политбюро ЦК ВКП(б) "О заводе № 292 [НКАП]" (пр. № 24/24-оп за 14 декабря 1940 г. - 2 января 1941 г., п. 107)</w:t>
      </w:r>
    </w:p>
    <w:p w14:paraId="0ECA9AD6" w14:textId="77777777" w:rsidR="0099525A" w:rsidRPr="00A3026E" w:rsidRDefault="0099525A" w:rsidP="00A3026E">
      <w:pPr>
        <w:spacing w:after="0" w:line="240" w:lineRule="auto"/>
        <w:jc w:val="both"/>
        <w:rPr>
          <w:rFonts w:ascii="Times New Roman" w:hAnsi="Times New Roman"/>
          <w:color w:val="0070C0"/>
          <w:sz w:val="16"/>
          <w:szCs w:val="16"/>
        </w:rPr>
      </w:pPr>
    </w:p>
    <w:p w14:paraId="0DA2C36F" w14:textId="77777777" w:rsidR="0099525A" w:rsidRPr="00A3026E" w:rsidRDefault="0099525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20 декабря 1940 вышло </w:t>
      </w:r>
      <w:r w:rsidRPr="00A3026E">
        <w:rPr>
          <w:rFonts w:ascii="Times New Roman" w:hAnsi="Times New Roman"/>
          <w:color w:val="0070C0"/>
          <w:sz w:val="16"/>
          <w:szCs w:val="16"/>
          <w:shd w:val="clear" w:color="auto" w:fill="FFFFFF"/>
        </w:rPr>
        <w:t>Постановление Политбюро ЦК ВКП(б) "О заводе № 39 НКАП" (пр. № 24/24-оп за 14 декабря 1940 г. - 2 января 1941 г., п. 108) (22108).</w:t>
      </w:r>
    </w:p>
    <w:p w14:paraId="38303BF0" w14:textId="77777777" w:rsidR="0099525A" w:rsidRPr="00A3026E" w:rsidRDefault="0099525A" w:rsidP="00A3026E">
      <w:pPr>
        <w:spacing w:after="0" w:line="240" w:lineRule="auto"/>
        <w:jc w:val="both"/>
        <w:rPr>
          <w:rFonts w:ascii="Times New Roman" w:hAnsi="Times New Roman"/>
          <w:color w:val="0070C0"/>
          <w:sz w:val="16"/>
          <w:szCs w:val="16"/>
        </w:rPr>
      </w:pPr>
    </w:p>
    <w:p w14:paraId="57117F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вышло постановление Правительства о программе завода N 39 на 1941, согласно которому надо было производить Пе-2 (531).</w:t>
      </w:r>
    </w:p>
    <w:p w14:paraId="555FAAD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22ADB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состоялось совещание на заводе 24, на котором присутствовали Зам. НКАП Дементьев и Кузнецов, ГК А.А.М., директор завода 1 Дементьев, г-л Астахов и Нач. 7 ГУ Бибиков по проблеме дефектов АМ-35А (1295,232).</w:t>
      </w:r>
    </w:p>
    <w:p w14:paraId="5138157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F9D35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МиГ-3 полностью сменил МиГ-1 в серийном производстве. До конца года завод №1 им. Авиахима выпустил 20 самолетов МиГ-3 (4802).</w:t>
      </w:r>
    </w:p>
    <w:p w14:paraId="7D0BE8D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CF130D7" w14:textId="77777777" w:rsidR="00E20D32" w:rsidRPr="00A3026E" w:rsidRDefault="00E20D3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20 декабря</w:t>
      </w:r>
      <w:r w:rsidRPr="00A3026E">
        <w:rPr>
          <w:rFonts w:ascii="Times New Roman" w:hAnsi="Times New Roman"/>
          <w:color w:val="000000" w:themeColor="text1"/>
          <w:sz w:val="16"/>
          <w:szCs w:val="16"/>
        </w:rPr>
        <w:t xml:space="preserve"> в 1940 году вместо «МиГ-1» начали выпускать усовершенствованный вариант перехватчика получившего название «МиГ-3» (14866).</w:t>
      </w:r>
    </w:p>
    <w:p w14:paraId="5BEB77C1" w14:textId="77777777" w:rsidR="00E20D32" w:rsidRPr="00A3026E" w:rsidRDefault="00E20D32" w:rsidP="00A3026E">
      <w:pPr>
        <w:spacing w:after="0" w:line="240" w:lineRule="auto"/>
        <w:jc w:val="both"/>
        <w:rPr>
          <w:rFonts w:ascii="Times New Roman" w:hAnsi="Times New Roman"/>
          <w:color w:val="000000" w:themeColor="text1"/>
          <w:sz w:val="16"/>
          <w:szCs w:val="16"/>
        </w:rPr>
      </w:pPr>
    </w:p>
    <w:p w14:paraId="735E042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МиГ-3 полно</w:t>
      </w:r>
      <w:r w:rsidRPr="00A3026E">
        <w:rPr>
          <w:rFonts w:ascii="Times New Roman" w:hAnsi="Times New Roman"/>
          <w:color w:val="000000" w:themeColor="text1"/>
          <w:sz w:val="16"/>
          <w:szCs w:val="16"/>
        </w:rPr>
        <w:softHyphen/>
        <w:t>стью сменил в серии своего пред</w:t>
      </w:r>
      <w:r w:rsidRPr="00A3026E">
        <w:rPr>
          <w:rFonts w:ascii="Times New Roman" w:hAnsi="Times New Roman"/>
          <w:color w:val="000000" w:themeColor="text1"/>
          <w:sz w:val="16"/>
          <w:szCs w:val="16"/>
        </w:rPr>
        <w:softHyphen/>
        <w:t>шественника. В декабре завод №1 выпустил 80 истребителей МиГ-1 и 20 МиГ-3. В этом же месяце в строевые части отправили первые 40 самолётов МиГ-1. Таким образом, от начала проектирования до поставки серий</w:t>
      </w:r>
      <w:r w:rsidRPr="00A3026E">
        <w:rPr>
          <w:rFonts w:ascii="Times New Roman" w:hAnsi="Times New Roman"/>
          <w:color w:val="000000" w:themeColor="text1"/>
          <w:sz w:val="16"/>
          <w:szCs w:val="16"/>
        </w:rPr>
        <w:softHyphen/>
        <w:t>ной продукции в войска, прошёл всего один год. Всего из построен</w:t>
      </w:r>
      <w:r w:rsidRPr="00A3026E">
        <w:rPr>
          <w:rFonts w:ascii="Times New Roman" w:hAnsi="Times New Roman"/>
          <w:color w:val="000000" w:themeColor="text1"/>
          <w:sz w:val="16"/>
          <w:szCs w:val="16"/>
        </w:rPr>
        <w:softHyphen/>
        <w:t>ных в 1940 г. 120 истребителей в распоряжение ВВС КА направили 92 МиГ-1 и 19 МиГ-3. Остальные самолёты предназначались для авиации ВМФ.</w:t>
      </w:r>
    </w:p>
    <w:p w14:paraId="78D2FCC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успешное выполнение пра</w:t>
      </w:r>
      <w:r w:rsidRPr="00A3026E">
        <w:rPr>
          <w:rFonts w:ascii="Times New Roman" w:hAnsi="Times New Roman"/>
          <w:color w:val="000000" w:themeColor="text1"/>
          <w:sz w:val="16"/>
          <w:szCs w:val="16"/>
        </w:rPr>
        <w:softHyphen/>
        <w:t>вительственного задания в облас</w:t>
      </w:r>
      <w:r w:rsidRPr="00A3026E">
        <w:rPr>
          <w:rFonts w:ascii="Times New Roman" w:hAnsi="Times New Roman"/>
          <w:color w:val="000000" w:themeColor="text1"/>
          <w:sz w:val="16"/>
          <w:szCs w:val="16"/>
        </w:rPr>
        <w:softHyphen/>
        <w:t>ти создания и освоения в произ</w:t>
      </w:r>
      <w:r w:rsidRPr="00A3026E">
        <w:rPr>
          <w:rFonts w:ascii="Times New Roman" w:hAnsi="Times New Roman"/>
          <w:color w:val="000000" w:themeColor="text1"/>
          <w:sz w:val="16"/>
          <w:szCs w:val="16"/>
        </w:rPr>
        <w:softHyphen/>
        <w:t>водстве новых образцов авиацион</w:t>
      </w:r>
      <w:r w:rsidRPr="00A3026E">
        <w:rPr>
          <w:rFonts w:ascii="Times New Roman" w:hAnsi="Times New Roman"/>
          <w:color w:val="000000" w:themeColor="text1"/>
          <w:sz w:val="16"/>
          <w:szCs w:val="16"/>
        </w:rPr>
        <w:softHyphen/>
        <w:t>ной техники 31 декабря 1940 г. авиазавод №1 им. Авиахима был награждён орденом Ленина, а боль</w:t>
      </w:r>
      <w:r w:rsidRPr="00A3026E">
        <w:rPr>
          <w:rFonts w:ascii="Times New Roman" w:hAnsi="Times New Roman"/>
          <w:color w:val="000000" w:themeColor="text1"/>
          <w:sz w:val="16"/>
          <w:szCs w:val="16"/>
        </w:rPr>
        <w:softHyphen/>
        <w:t>шая группа конструкторов, инжене</w:t>
      </w:r>
      <w:r w:rsidRPr="00A3026E">
        <w:rPr>
          <w:rFonts w:ascii="Times New Roman" w:hAnsi="Times New Roman"/>
          <w:color w:val="000000" w:themeColor="text1"/>
          <w:sz w:val="16"/>
          <w:szCs w:val="16"/>
        </w:rPr>
        <w:softHyphen/>
        <w:t>ров и рабочих - орденами и меда</w:t>
      </w:r>
      <w:r w:rsidRPr="00A3026E">
        <w:rPr>
          <w:rFonts w:ascii="Times New Roman" w:hAnsi="Times New Roman"/>
          <w:color w:val="000000" w:themeColor="text1"/>
          <w:sz w:val="16"/>
          <w:szCs w:val="16"/>
        </w:rPr>
        <w:softHyphen/>
        <w:t>лями. А.И. Микояна и М.И. Гуреви-ча наградили орденами Ленина, а за разработку новой конструкции самолёта они удостоились также Сталинской премии первой степе</w:t>
      </w:r>
      <w:r w:rsidRPr="00A3026E">
        <w:rPr>
          <w:rFonts w:ascii="Times New Roman" w:hAnsi="Times New Roman"/>
          <w:color w:val="000000" w:themeColor="text1"/>
          <w:sz w:val="16"/>
          <w:szCs w:val="16"/>
        </w:rPr>
        <w:softHyphen/>
        <w:t>ни.</w:t>
      </w:r>
    </w:p>
    <w:p w14:paraId="513739D3" w14:textId="77777777" w:rsidR="0014077F" w:rsidRPr="00A3026E" w:rsidRDefault="0014077F" w:rsidP="00A3026E">
      <w:pPr>
        <w:pStyle w:val="af9"/>
        <w:spacing w:before="0" w:after="0"/>
        <w:jc w:val="both"/>
        <w:rPr>
          <w:color w:val="000000" w:themeColor="text1"/>
          <w:sz w:val="16"/>
          <w:szCs w:val="16"/>
        </w:rPr>
      </w:pPr>
      <w:r w:rsidRPr="00A3026E">
        <w:rPr>
          <w:color w:val="000000" w:themeColor="text1"/>
          <w:sz w:val="16"/>
          <w:szCs w:val="16"/>
        </w:rPr>
        <w:t>Стоит отметить, что большую помощь в части скоростного про</w:t>
      </w:r>
      <w:r w:rsidRPr="00A3026E">
        <w:rPr>
          <w:color w:val="000000" w:themeColor="text1"/>
          <w:sz w:val="16"/>
          <w:szCs w:val="16"/>
        </w:rPr>
        <w:softHyphen/>
        <w:t>ектирования, изготовления опытных образцов и внедрения в серию ис</w:t>
      </w:r>
      <w:r w:rsidRPr="00A3026E">
        <w:rPr>
          <w:color w:val="000000" w:themeColor="text1"/>
          <w:sz w:val="16"/>
          <w:szCs w:val="16"/>
        </w:rPr>
        <w:softHyphen/>
        <w:t>требителей МиГ-1 и МиГ-3 оказы</w:t>
      </w:r>
      <w:r w:rsidRPr="00A3026E">
        <w:rPr>
          <w:color w:val="000000" w:themeColor="text1"/>
          <w:sz w:val="16"/>
          <w:szCs w:val="16"/>
        </w:rPr>
        <w:softHyphen/>
        <w:t>вало военное представительство ГУ ВВС КА на заводе №1. За успеш</w:t>
      </w:r>
      <w:r w:rsidRPr="00A3026E">
        <w:rPr>
          <w:color w:val="000000" w:themeColor="text1"/>
          <w:sz w:val="16"/>
          <w:szCs w:val="16"/>
        </w:rPr>
        <w:softHyphen/>
        <w:t>ную работу по внедрению в серий</w:t>
      </w:r>
      <w:r w:rsidRPr="00A3026E">
        <w:rPr>
          <w:color w:val="000000" w:themeColor="text1"/>
          <w:sz w:val="16"/>
          <w:szCs w:val="16"/>
        </w:rPr>
        <w:softHyphen/>
        <w:t>ное производство новых самолётов в соответствии с приказом ГУ ВВС КА от 31 декабря 1940 г. получили благодарность и были премирова</w:t>
      </w:r>
      <w:r w:rsidRPr="00A3026E">
        <w:rPr>
          <w:color w:val="000000" w:themeColor="text1"/>
          <w:sz w:val="16"/>
          <w:szCs w:val="16"/>
        </w:rPr>
        <w:softHyphen/>
        <w:t>ны старший военпред военинженер 2-го ранга М.В. Францев, райин-женер военинженер 1-го ранга Ф.М. Шишкин, военпреды военин</w:t>
      </w:r>
      <w:r w:rsidRPr="00A3026E">
        <w:rPr>
          <w:color w:val="000000" w:themeColor="text1"/>
          <w:sz w:val="16"/>
          <w:szCs w:val="16"/>
        </w:rPr>
        <w:softHyphen/>
        <w:t>женер 1-го ранга И.Ф. Воедило и военинженер 2-го ранга Т.П. Гал</w:t>
      </w:r>
      <w:r w:rsidRPr="00A3026E">
        <w:rPr>
          <w:color w:val="000000" w:themeColor="text1"/>
          <w:sz w:val="16"/>
          <w:szCs w:val="16"/>
        </w:rPr>
        <w:softHyphen/>
        <w:t>кин, старший техник военинженер 2-го ранга Л.К. Макаренко, а также лётчики майор А.Э. Шитц и ка</w:t>
      </w:r>
      <w:r w:rsidRPr="00A3026E">
        <w:rPr>
          <w:color w:val="000000" w:themeColor="text1"/>
          <w:sz w:val="16"/>
          <w:szCs w:val="16"/>
        </w:rPr>
        <w:softHyphen/>
        <w:t>питан И.А. Доброскокин (11761).</w:t>
      </w:r>
    </w:p>
    <w:p w14:paraId="4EB23908" w14:textId="77777777" w:rsidR="0014077F" w:rsidRPr="00A3026E" w:rsidRDefault="0014077F" w:rsidP="00A3026E">
      <w:pPr>
        <w:pStyle w:val="af9"/>
        <w:spacing w:before="0" w:after="0"/>
        <w:jc w:val="both"/>
        <w:rPr>
          <w:color w:val="000000" w:themeColor="text1"/>
          <w:sz w:val="16"/>
          <w:szCs w:val="16"/>
        </w:rPr>
      </w:pPr>
    </w:p>
    <w:p w14:paraId="2642B8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вышло постановление Правительства о программе завода N 292 на 1941, согласно которому надо было производить Як-1 (1314,53).</w:t>
      </w:r>
    </w:p>
    <w:p w14:paraId="68ADFDF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5F4CE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вышел приказ 7 ГУ N 43:</w:t>
      </w:r>
    </w:p>
    <w:p w14:paraId="4B9AB3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готовности опытного самолета И-185 конструкции Н.Н.П. к летным испытаниям назначить комиссию..." (2031,66).</w:t>
      </w:r>
    </w:p>
    <w:p w14:paraId="08E0DA5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52451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И.В.С. встретился с Тимошенко и Мерецковым по поводу анализа военной обстановки и стратегических игр, назначенных на 23 декабря 1940 (2536,309).</w:t>
      </w:r>
    </w:p>
    <w:p w14:paraId="4D4C3AC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0783DB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НКАП Шахурин писал письмо № Н-25/3852 в ЦК ВКП(б) тов. Сталину И.В.</w:t>
      </w:r>
    </w:p>
    <w:p w14:paraId="1FE533C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Секретарю Ростовского Обкома ВКП(б)тов. Д В И Н С К С М У.</w:t>
      </w:r>
    </w:p>
    <w:p w14:paraId="37005B5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письмам секретаря Ростовского Обкома ВКП(б) тов Двинско</w:t>
      </w:r>
      <w:r w:rsidRPr="00A3026E">
        <w:rPr>
          <w:rFonts w:ascii="Times New Roman" w:hAnsi="Times New Roman"/>
          <w:color w:val="000000" w:themeColor="text1"/>
          <w:sz w:val="16"/>
          <w:szCs w:val="16"/>
        </w:rPr>
        <w:softHyphen/>
        <w:t>го от 30.Х1 и и 11.ХП. с.г. о строительстве авиазаводов №№123 и 458, докладываю:</w:t>
      </w:r>
    </w:p>
    <w:p w14:paraId="23BE171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заводу № 123 в г. Каменске</w:t>
      </w:r>
    </w:p>
    <w:p w14:paraId="4E88280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Намеченное 21 октября с. г. коллегией Наркомстроя мероприя</w:t>
      </w:r>
      <w:r w:rsidRPr="00A3026E">
        <w:rPr>
          <w:rFonts w:ascii="Times New Roman" w:hAnsi="Times New Roman"/>
          <w:color w:val="000000" w:themeColor="text1"/>
          <w:sz w:val="16"/>
          <w:szCs w:val="16"/>
        </w:rPr>
        <w:softHyphen/>
        <w:t>тия по улучшению хода строительства, как по выполнению строитель</w:t>
      </w:r>
      <w:r w:rsidRPr="00A3026E">
        <w:rPr>
          <w:rFonts w:ascii="Times New Roman" w:hAnsi="Times New Roman"/>
          <w:color w:val="000000" w:themeColor="text1"/>
          <w:sz w:val="16"/>
          <w:szCs w:val="16"/>
        </w:rPr>
        <w:softHyphen/>
        <w:t>ных работ, так и по обеспечению стройматериалами, авторезиной и запчастями не выполняются.</w:t>
      </w:r>
    </w:p>
    <w:p w14:paraId="5874F64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обязать Наркомстрой (т. Гинзбург С.З.) полностью выде</w:t>
      </w:r>
      <w:r w:rsidRPr="00A3026E">
        <w:rPr>
          <w:rFonts w:ascii="Times New Roman" w:hAnsi="Times New Roman"/>
          <w:color w:val="000000" w:themeColor="text1"/>
          <w:sz w:val="16"/>
          <w:szCs w:val="16"/>
        </w:rPr>
        <w:softHyphen/>
        <w:t>лить строительству необходимые стройматериала, пополнить парк автомашин, обеспечив его бензином и командировать на строительст</w:t>
      </w:r>
      <w:r w:rsidRPr="00A3026E">
        <w:rPr>
          <w:rFonts w:ascii="Times New Roman" w:hAnsi="Times New Roman"/>
          <w:color w:val="000000" w:themeColor="text1"/>
          <w:sz w:val="16"/>
          <w:szCs w:val="16"/>
        </w:rPr>
        <w:softHyphen/>
        <w:t>во ответственного работника Наркомстроя для принятия необходимых мер по усилению строительства.</w:t>
      </w:r>
    </w:p>
    <w:p w14:paraId="1A19CCA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заводу № 458 в г. Ростове</w:t>
      </w:r>
    </w:p>
    <w:p w14:paraId="6ACDE77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Плановое задание на проектирование завода остается без изменения. Программа на 1941 год выслана заводу 10.12 с.г.</w:t>
      </w:r>
    </w:p>
    <w:p w14:paraId="7836435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Временная планировка составляется на месте самим заводом совместно с Первым Госпроектным институтом НКАП и будет представ</w:t>
      </w:r>
      <w:r w:rsidRPr="00A3026E">
        <w:rPr>
          <w:rFonts w:ascii="Times New Roman" w:hAnsi="Times New Roman"/>
          <w:color w:val="000000" w:themeColor="text1"/>
          <w:sz w:val="16"/>
          <w:szCs w:val="16"/>
        </w:rPr>
        <w:softHyphen/>
        <w:t>лена мне на утверждение к 10 января 1941 года.</w:t>
      </w:r>
    </w:p>
    <w:p w14:paraId="54C1F23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Бригада главного инженера проекта тов. Бренгауза выехала в Ростов 30 ноября в составе шести человек, взяв с собой необходи</w:t>
      </w:r>
      <w:r w:rsidRPr="00A3026E">
        <w:rPr>
          <w:rFonts w:ascii="Times New Roman" w:hAnsi="Times New Roman"/>
          <w:color w:val="000000" w:themeColor="text1"/>
          <w:sz w:val="16"/>
          <w:szCs w:val="16"/>
        </w:rPr>
        <w:softHyphen/>
        <w:t>мые типовое и готовые проекты.</w:t>
      </w:r>
    </w:p>
    <w:p w14:paraId="2F75F5D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Генплан завода утвержден моим заместителем тов. Ворониным 29 ноября с.г.</w:t>
      </w:r>
    </w:p>
    <w:p w14:paraId="5B64BBA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четвертом квартале с.г. заводу выделено 44 металлорежу</w:t>
      </w:r>
      <w:r w:rsidRPr="00A3026E">
        <w:rPr>
          <w:rFonts w:ascii="Times New Roman" w:hAnsi="Times New Roman"/>
          <w:color w:val="000000" w:themeColor="text1"/>
          <w:sz w:val="16"/>
          <w:szCs w:val="16"/>
        </w:rPr>
        <w:softHyphen/>
        <w:t>щих станка, которые будут отгружены в декабре месяце.</w:t>
      </w:r>
    </w:p>
    <w:p w14:paraId="427FD64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с заводов НКАП передается дополнительно 42 единиц оборудования, которое будет отгружено не позже 15 янва</w:t>
      </w:r>
      <w:r w:rsidRPr="00A3026E">
        <w:rPr>
          <w:rFonts w:ascii="Times New Roman" w:hAnsi="Times New Roman"/>
          <w:color w:val="000000" w:themeColor="text1"/>
          <w:sz w:val="16"/>
          <w:szCs w:val="16"/>
        </w:rPr>
        <w:softHyphen/>
        <w:t>ря 1941 года.</w:t>
      </w:r>
    </w:p>
    <w:p w14:paraId="3D4B344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Реализацию всего оборудования производит сам завод.</w:t>
      </w:r>
    </w:p>
    <w:p w14:paraId="0920AE1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Выделить в 1940 году для строительства экскаваторы и тракторы НКАП не имеет возможности (8049,86).</w:t>
      </w:r>
    </w:p>
    <w:p w14:paraId="45C40B6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0CF5BD0B"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A620DF0"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2EBD79D8"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г. из ГАУ РККА заместителю председателя Комитета Обороны при СНК СССР Н.А. Вознесенксому поступил доклад. В нем отмечалось: «Постановление Комитета Обороны № 310сс, переводящее снаряды сталистого чугуна в группу осколочных, является вполне обоснованным качественными особенностями этих снарядов и опытом их изготовления и испытаний стрельбой в течение ряда лет». В докладе признавалось, что подобные снаряды могут применяться лишь для уничтожения живой силы противника и его огневых точек, находящихся на открытой местности либо за легкими полевыми укреплениями (17). Ситуация значительно ухудшилась в ходе начального периода Великой Отечественной войны, когда фашисты оккупировали западные районы СССР, на которые приходилось до 58% мощностей по выплавки стали. После этого повсеместное изготовление корпусов из сталистого чугуна стало единственно возможным способом насытить фронт необходимым количеством боеприпасов. Низкая фугасность подобных боеприпасов не позволяла надежно разрушать немецкие укрепления артиллерийским огнем и вела к огромным людским и материальным потерям, которые несли советские войска в ходе атак от пулеметно-минометного и пушечного огня противника. Таким образом, особенности развития в 1920–1930-е гг. советской тяжелой и оборонной промышленности, обусловленные проведением новой экономической политики, привели к тому, что к началу 1940-х гг. советская промышленность боеприпасов не обладала надежной металлургической базой. В годы войны это предопределило переход к изготовлению из сталистого чугуна корпусов многих видов артиллерийских снарядов. Подобное обстоятельство, с одной стороны, уменьшило эффективность артиллерийского огня, но, с другой стороны, позволило расширить не только сырьевую, но и производственную базу производства самих корпусов – к их изготовлению стали привлекаться литейные и механические цеха предприятий гражданской промышленности, производившие в мирное время продукцию гражданского назначения из чугуна. Как следствие, количество возобладало над качеством. Иного способа решения данной проблемы в СССР на то время не имелось (18645).</w:t>
      </w:r>
    </w:p>
    <w:p w14:paraId="35F81C26" w14:textId="77777777" w:rsidR="00E917F4" w:rsidRPr="00A3026E" w:rsidRDefault="00E917F4" w:rsidP="00A3026E">
      <w:pPr>
        <w:spacing w:after="0" w:line="240" w:lineRule="auto"/>
        <w:jc w:val="both"/>
        <w:rPr>
          <w:rFonts w:ascii="Times New Roman" w:hAnsi="Times New Roman"/>
          <w:color w:val="000000" w:themeColor="text1"/>
          <w:sz w:val="16"/>
          <w:szCs w:val="16"/>
        </w:rPr>
      </w:pPr>
    </w:p>
    <w:p w14:paraId="0A5CBE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года районный инженер ГАБТУ КА Зухер докладывал начальнику управления генерал-лейтенанту Федоренко:</w:t>
      </w:r>
    </w:p>
    <w:p w14:paraId="2317B9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литым башням. Решением Комитета обороны СССР заводу имени Ильича было предложено изготовить до конца года 300 башен литых, одновременно подготовить мощности по выпуску ежемесячно 200 башен.</w:t>
      </w:r>
    </w:p>
    <w:p w14:paraId="604517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19 декабря завод имени Ильича приостановил дальнейшую отливку башен, так как не имеет никаких указаний. Директор завода № 183 т. Максарев заявил, что машины должны подвергнуться ряду серьезных изменений, в частности должна быть введена дополнительная башенка кругового обзора.</w:t>
      </w:r>
    </w:p>
    <w:p w14:paraId="55AB6D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Прекращение производства литых башен чревато весьма серьезными последствиями, так как налаженное дело разваливается, а кадры подготовленных литейщиков приходится увольнять. На запросы завода 3 Главное управление НКСП (наркомата судостроительной промышленности, в состав которого входил Мариупольский завод. — Прим. автора) о разрешении дальнейшей отливки башен - ответа никакого нет. Завод дезорганизован.</w:t>
      </w:r>
    </w:p>
    <w:p w14:paraId="2C9C11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Ваших решений по этому вопросу. Разрешите в декабре-феврале отлить еще 200 башен, то есть в пределах заданной годовой программы на 1940 год (775 штук), так и не выполненной заводом имени Ильича» (12217).</w:t>
      </w:r>
    </w:p>
    <w:p w14:paraId="7A5AC19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6C19680"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 декабря 1940 г. </w:t>
      </w:r>
      <w:hyperlink r:id="rId163" w:tgtFrame="_blank" w:history="1">
        <w:r w:rsidRPr="00A3026E">
          <w:rPr>
            <w:rStyle w:val="a5"/>
            <w:rFonts w:ascii="Times New Roman" w:hAnsi="Times New Roman"/>
            <w:color w:val="000000" w:themeColor="text1"/>
            <w:sz w:val="16"/>
            <w:szCs w:val="16"/>
          </w:rPr>
          <w:t>«Отчет по испытанию трех танков Т-34 длительным пробегом»</w:t>
        </w:r>
      </w:hyperlink>
      <w:r w:rsidRPr="00A3026E">
        <w:rPr>
          <w:rFonts w:ascii="Times New Roman" w:hAnsi="Times New Roman"/>
          <w:color w:val="000000" w:themeColor="text1"/>
          <w:sz w:val="16"/>
          <w:szCs w:val="16"/>
        </w:rPr>
        <w:t> был отпечатан в четырех экземплярах, подписан помощником начальника полигона по научно-технической части военинженером 1 ранга П.С. Глуховым, начальником 1-го отдела полигона военинженером 2 ранга А.М. Сычём, начальником 1-го отделения 1-го отдела полигона майором Е.Е. Геркевичем и 24 декабря 1940 г. утвержден начальником полигона полковником И.К. Романовым. </w:t>
      </w:r>
    </w:p>
    <w:p w14:paraId="4BB75B7B"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100 листах отчета были изложены: программа испытания, объем проведенных испытаний, тактико-техническая характеристика танка Т-34, результаты испытания и выводы. Завершало отчет следующее заключение: </w:t>
      </w:r>
    </w:p>
    <w:p w14:paraId="543D5340"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Танк Т-34 по вооружению, снарядостойкости, типу и запасу мощности двигателя и радиусу действия должен быть преобладающим в системе вооружения танковых войск К.А. в силу широких возможностей тактического использования этого класса танков. Поэтому конструкция танка данного типа должна быть особо тщательно отработана. </w:t>
      </w:r>
    </w:p>
    <w:p w14:paraId="4FAFA8B9"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представленном на испытания виде, танк Т-34 не удовлетворяет современным требованиям к данному классу танков по следующим причинам: </w:t>
      </w:r>
    </w:p>
    <w:p w14:paraId="20E89F52"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Огневая мощь танка не может быть использована полностью вследствие непригодности приборов наблюдения, дефектов установки вооружения и оптики, тесноты боевого отделения и неудобства пользования боеукладкой. </w:t>
      </w:r>
    </w:p>
    <w:p w14:paraId="1734C5AA"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При достаточном запасе мощности двигателя и максимальной скорости, динамическая характеристика танка подобрана неудачно, что снижает скоростные показатели и проходимость танка. </w:t>
      </w:r>
    </w:p>
    <w:p w14:paraId="5E8FB910"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Тактическое использование танка в отрыве от ремонтных баз невозможно, вследствие ненадежности основных узлов – главного фрикциона и ходовой части. </w:t>
      </w:r>
    </w:p>
    <w:p w14:paraId="4ABB7E64"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Полученная на испытаниях дальность и надежность связи для танка данного класса недостаточна, что обусловлено как характеристикой рации 71 ТК-3, так и низким качеством ее монтажа в танке Т-34. </w:t>
      </w:r>
    </w:p>
    <w:p w14:paraId="15ECAB88"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Для устранения перечисленных принципиальных дефектов танка необходимо: </w:t>
      </w:r>
    </w:p>
    <w:p w14:paraId="337D34C8"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Расширить габариты башни и боевого отделения, что даст возможность устранить дефекты установки вооружения и оптики. </w:t>
      </w:r>
    </w:p>
    <w:p w14:paraId="655EB538"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Разработать заново укладку боекомплекта. </w:t>
      </w:r>
    </w:p>
    <w:p w14:paraId="7D5B1A01"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Заменить существующие приборы наблюдения новыми более совершенными. </w:t>
      </w:r>
    </w:p>
    <w:p w14:paraId="2B019173"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Переработать узлы: главный фрикцион – вентилятор, коробку перемены передач и ходовую часть. </w:t>
      </w:r>
    </w:p>
    <w:p w14:paraId="7635B0A1"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Увеличить гарантийный срок дизель-мотора В-2 минимум до 250 часов. </w:t>
      </w:r>
    </w:p>
    <w:p w14:paraId="04C6181D"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Увеличить дальность и надежность радиосвязи путем установки рации, обладающей большим радиусом связи и улучшения качества монтажа».</w:t>
      </w:r>
    </w:p>
    <w:p w14:paraId="3E97BB52" w14:textId="77777777" w:rsidR="00E917F4" w:rsidRPr="00A3026E" w:rsidRDefault="00E917F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2116. Л. 99 – 100] (19173).</w:t>
      </w:r>
    </w:p>
    <w:p w14:paraId="5DFA07C3" w14:textId="77777777" w:rsidR="00E917F4" w:rsidRPr="00A3026E" w:rsidRDefault="00E917F4" w:rsidP="00A3026E">
      <w:pPr>
        <w:spacing w:after="0" w:line="240" w:lineRule="auto"/>
        <w:jc w:val="both"/>
        <w:rPr>
          <w:rFonts w:ascii="Times New Roman" w:hAnsi="Times New Roman"/>
          <w:color w:val="000000" w:themeColor="text1"/>
          <w:sz w:val="16"/>
          <w:szCs w:val="16"/>
        </w:rPr>
      </w:pPr>
    </w:p>
    <w:p w14:paraId="5C08AEE9" w14:textId="77777777" w:rsidR="0014077F"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542B1023"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316F3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г. вышел Приказ НКО о подготовке войск связи № 0360.</w:t>
      </w:r>
    </w:p>
    <w:p w14:paraId="72824E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Проведенные мною и моими заместителями инспекторские смотры войск Красной Армии показали, что подготовка частей связи может быть признана удовлетворительной только в части индивидуальной подготовки некоторых категорий специалистов. Что же касается подготовки частей связи в целом для обеспечения управления, то они в своем большинстве отстают от общего оперативно-тактического роста частей и соединений армии.</w:t>
      </w:r>
    </w:p>
    <w:p w14:paraId="0C0F8A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из основных видов современной связи — радио используется недостаточно. Организация радиосвязи при массовом насыщении радиостанциями, и особенно радиосвязь взаимодействия родов войск, освоена недостаточно. Отсутствует единообразие в подготовке частей связи. Недостаточны практические навыки в работе в сложных метеорологических условиях и ночью. Слабая подготовка специалистов по работе на быстродействующей аппаратуре, в обслуживании коммутаторов большой емкости, в определении и устранении повреждений в аппаратах и на линиях. Линии строятся плохо и небрежно.</w:t>
      </w:r>
    </w:p>
    <w:p w14:paraId="4B45D3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Слабо отработаны обязанности должностных лиц: дежурного по связи, начальника узла связи, начальников направлений связи и других.</w:t>
      </w:r>
    </w:p>
    <w:p w14:paraId="50D551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Командный состав частей связи, как правило, отрывается от тактической обстановки, выполняя свою работу вслепую.</w:t>
      </w:r>
    </w:p>
    <w:p w14:paraId="22A994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штабов частей и соединений слабо руководят подготовкой частей связи.</w:t>
      </w:r>
    </w:p>
    <w:p w14:paraId="5EC184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Продолжает иметь место большой отрыв частей связи на различного рода работы, не связанные с совершенствованием их по специальности, и на несение караульной службы.</w:t>
      </w:r>
    </w:p>
    <w:p w14:paraId="41072F5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Приказываю:</w:t>
      </w:r>
    </w:p>
    <w:p w14:paraId="4BB05B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 1940/41 учебный год сделать годом решительного перелома в подготовке войск связи Красной Армии.</w:t>
      </w:r>
    </w:p>
    <w:p w14:paraId="47B3F6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Начальникам штабов частей и соединений всех родов войск лично возглавить руководство боевой подготовкой начальников связи и частей связи. Не менее одного раза в месяц начальникам штабов выводить части связи на учение в поле и не менее двух раз в месяц проводить занятия по тактике с основными должностными лицами частей связи по своему плану.</w:t>
      </w:r>
    </w:p>
    <w:p w14:paraId="5E0934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Воспретить отрыв частей связи для несения караульной службы и на различного рода работы, не связанные с совершенствованием по специальности, а в гарнизонах, где нет других родов войск, сократить привлечение связистов для несения караульной службы до пределов возможного.</w:t>
      </w:r>
    </w:p>
    <w:p w14:paraId="223EBD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Возложить полную ответственность на начальников связи соединений за специальную подготовку частей связи всех родов войск, входящих в соединение (отдельные части артиллерии, авиации, танковые части, ПВО и т. д.), отмечая в аттестациях достижения и недочеты частей связи и ставя от этого в зависимость дальнейшее продвижение начальников связи по службе и повышение в звании.</w:t>
      </w:r>
    </w:p>
    <w:p w14:paraId="5BF344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 каждой части связи персонально отработать и держать на особом учете группу командиров связи, подготовленных к исполнению обязанностей дежурных по связи и начальников узлов связи. Весь начсостав линейных подразделений подготовить к отличному выполнению обязанностей начальников направлений связи.</w:t>
      </w:r>
    </w:p>
    <w:p w14:paraId="1E9965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Создать в частях связи такие условия боевой подготовки, при которых бы обеспечивалась непрерывная тренировка надсмотрщиков и механиков в обслуживании коммутаторов, переключении проводов, испытании, замене, отыскании повреждений и устранении их.</w:t>
      </w:r>
    </w:p>
    <w:p w14:paraId="7DD149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Решительно изгнать из практики работы связистов неряшливость и небрежность в постройке проводных линий связи в полевых условиях. Все полевые линии строить, как правило, с учетом возможного воздействия авиации и танков, артиллерии противника и движения своих подвижных войск и артиллерии.</w:t>
      </w:r>
    </w:p>
    <w:p w14:paraId="6106CC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Радиосвязь считать в армии одним из основных средств связи и подготовке радиоспециалистов в 1940 — 1941 гг. уделить серьезное внимание.</w:t>
      </w:r>
    </w:p>
    <w:p w14:paraId="5CCDDF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надлежащей отработки вопросов организации радиосвязи и повышения качества подготовки радиоспециалистов ввести в штат Управления связи Красной Армии отдел радиослужбы в составе 6 человек, а в штаты штабов округов и стрелковых корпусов — помощников начальников связи по радио за счет существующей штатной численности Управления связи и отделов связи округов.</w:t>
      </w:r>
    </w:p>
    <w:p w14:paraId="6102B7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Начальнику Управления связи Красной Армии:</w:t>
      </w:r>
    </w:p>
    <w:p w14:paraId="404804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 1.3.41 г. издать Наставление по службе связи Красной Армии;</w:t>
      </w:r>
    </w:p>
    <w:p w14:paraId="25EBD9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 1.1.41 г. разработать правила радиообмена, единые для всей Красной Армии, Военно-Морского Флота и погранвойск НКВД;</w:t>
      </w:r>
    </w:p>
    <w:p w14:paraId="63F1A4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 тому же сроку организовать тренировочные радиосети отработкой скородействия по радио и применением буквопечатающей аппаратуры по радио;</w:t>
      </w:r>
    </w:p>
    <w:p w14:paraId="484A57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к 1.2.41 г. разработать и дать войскам типовые схемы радиосвязи всех родов войск, обратив особое внимание на связь взаимодействия;</w:t>
      </w:r>
    </w:p>
    <w:p w14:paraId="67051B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к 1.1.41 г. разработать план всеармейских сборов по связи для обработки вопросов организации и использования всех видов связи;</w:t>
      </w:r>
    </w:p>
    <w:p w14:paraId="4A09D7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в 1941 г. провести всеармейское соревнование специалистов связи.</w:t>
      </w:r>
    </w:p>
    <w:p w14:paraId="7694A6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Начальнику Генерального штаба Красной Армии организовать контроль и проверку выполнения настоящего приказа и о результатах докладывать мне.</w:t>
      </w:r>
    </w:p>
    <w:p w14:paraId="3FBB78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СССР Маршал Советского Союза С. Тимошенко (10595).</w:t>
      </w:r>
    </w:p>
    <w:p w14:paraId="161D462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C19CBA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г. вышел Приказ НКО СССР об изменениях в составе ГВС КА № 468</w:t>
      </w:r>
    </w:p>
    <w:p w14:paraId="04A7361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переходом на другую работу считать выбывшими из состава Главного военного совета Красной Армии: Тов. Мехлиса Л.З. Генерал-лейтенанта т. Смушкевича Я.В.</w:t>
      </w:r>
    </w:p>
    <w:p w14:paraId="1DD3CC0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Утвердить членом Главного военного совета Красной Армии генерал-лейтенанта авиации т. Рычагова П.В.</w:t>
      </w:r>
    </w:p>
    <w:p w14:paraId="61470C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СССР Маршал Советского Союза С. Тимошенко</w:t>
      </w:r>
    </w:p>
    <w:p w14:paraId="7DA60A9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4. Оп. 12. Д. 95. Л. 472. Подлинник (10976).</w:t>
      </w:r>
    </w:p>
    <w:p w14:paraId="65F121B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 издан на основании аналогичного по содержанию постанов</w:t>
      </w:r>
      <w:r w:rsidRPr="00A3026E">
        <w:rPr>
          <w:rFonts w:ascii="Times New Roman" w:hAnsi="Times New Roman"/>
          <w:color w:val="000000" w:themeColor="text1"/>
          <w:sz w:val="16"/>
          <w:szCs w:val="16"/>
        </w:rPr>
        <w:softHyphen/>
        <w:t>ления ЦК ВКП(б) и СНК СССР от 17 декабря 1940 г. об изменениях в составе ГВС КА № 6 (10976).</w:t>
      </w:r>
    </w:p>
    <w:p w14:paraId="6EA741D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2194F50D"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6A89AC97"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3EAF17E3" w14:textId="77777777" w:rsidR="00E20D32" w:rsidRPr="00A3026E" w:rsidRDefault="00E20D32"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20 декабря</w:t>
      </w:r>
      <w:r w:rsidRPr="00A3026E">
        <w:rPr>
          <w:rFonts w:ascii="Times New Roman" w:hAnsi="Times New Roman"/>
          <w:color w:val="000000" w:themeColor="text1"/>
          <w:sz w:val="16"/>
          <w:szCs w:val="16"/>
        </w:rPr>
        <w:t xml:space="preserve"> в 1940 году в СССР учреждены Сталинские премии по науке, искусству и литературе. В такой же день, но в 1949 году, Указом Президиума ВС СССР учреждена Международная Сталинская премия «За укрепление мира между народами». После развенчания культа личности И.В.Сталина премии его имени были названы Государственными премиями СССР (14866).</w:t>
      </w:r>
    </w:p>
    <w:p w14:paraId="5E34430B" w14:textId="77777777" w:rsidR="00E20D32" w:rsidRPr="00A3026E" w:rsidRDefault="00E20D32" w:rsidP="00A3026E">
      <w:pPr>
        <w:spacing w:after="0" w:line="240" w:lineRule="auto"/>
        <w:jc w:val="both"/>
        <w:rPr>
          <w:rFonts w:ascii="Times New Roman" w:hAnsi="Times New Roman"/>
          <w:color w:val="000000" w:themeColor="text1"/>
          <w:sz w:val="16"/>
          <w:szCs w:val="16"/>
        </w:rPr>
      </w:pPr>
    </w:p>
    <w:p w14:paraId="15FCE6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декабря 1940 была годовщина ВЧК-НКВД (2536,309).</w:t>
      </w:r>
    </w:p>
    <w:p w14:paraId="2217E6E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A02047D"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A72D75A"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72BC44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С.В.И. писал А.И.Ш. письмо N 1202с "Доношу, что согласно Вашему приказу N 739сс от 14 декабря 1940 тех. документация по самолету Ил-2 передана заводу 18 в след. сроки:</w:t>
      </w:r>
    </w:p>
    <w:p w14:paraId="3B8B94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материальная спецификация - 13.12.1940</w:t>
      </w:r>
    </w:p>
    <w:p w14:paraId="74DDC2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Перечень приборов и готовых изделий - 19.12.1940</w:t>
      </w:r>
    </w:p>
    <w:p w14:paraId="7A8A30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Расчеты и протоколы испытаний на прочность - 19.12.1940</w:t>
      </w:r>
    </w:p>
    <w:p w14:paraId="2262DF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Чертежи и кальки в диазотипах 2000 шт. чертежей за время с 12 декабря по 16 декабря 1940 и остальные 1038 чертежей от 17.12 до 20.12.1940 (1316,286).</w:t>
      </w:r>
    </w:p>
    <w:p w14:paraId="462918A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1A35B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(20 - по 180,4) декабря 1939 С.В.Ильюшин прибыл на завод 18 с комплектом документации (24,252).</w:t>
      </w:r>
    </w:p>
    <w:p w14:paraId="63090D8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D58A36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Протокол № 24. Решения ПБ за 14 декабря 1940 г. - 2 января 1941 г.</w:t>
      </w:r>
    </w:p>
    <w:p w14:paraId="7C8152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15.12.40 г.</w:t>
      </w:r>
    </w:p>
    <w:p w14:paraId="0837856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3 О серийном выпуске моторов на заводе № 27*.</w:t>
      </w:r>
    </w:p>
    <w:p w14:paraId="55050DF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4. Об организации завода по производству средств вооружения для боевых самолетов в Днепропетровске (постановление СНК СССР и ЦК ВКП (б))*.</w:t>
      </w:r>
    </w:p>
    <w:p w14:paraId="3DF699B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5. Об обеспечении производства авиамоторов и самолетов на заводах №№ 452 и 265 Наркомавиапрома*.</w:t>
      </w:r>
    </w:p>
    <w:p w14:paraId="3875116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 Об обеспечении производства самолетов на заводе № 450 и работы стройтрестов № 8 и № 26 (постановление СНК СССР и ЦК ВКП (б))*.</w:t>
      </w:r>
    </w:p>
    <w:p w14:paraId="7E28534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8. Об обеспечении завода № 26 агрегатами для опытного мотора М-107П (постановление СНК СССР и ЦК ВКП (б))*.</w:t>
      </w:r>
    </w:p>
    <w:p w14:paraId="6C10E9D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 Об обеспечении бронекорпусами самолетов Ил-2 (постановление СНК СССР и ЦК ВКП (б))*.</w:t>
      </w:r>
    </w:p>
    <w:p w14:paraId="5FE6FB5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20. 12. 40 г.</w:t>
      </w:r>
    </w:p>
    <w:p w14:paraId="3B44777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108. О выпуске самолетов на заводе № 39 НКАП (постановление СНК СССР и ЦК ВКП (б))*.</w:t>
      </w:r>
    </w:p>
    <w:p w14:paraId="4CA8FC8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109. О строительстве в БССР завода синтетического бензина из торфа (постановление СНК СССР и ЦК ВКП (б)).</w:t>
      </w:r>
    </w:p>
    <w:p w14:paraId="09ECCC7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111. Вопрос ГАУ Красной Армии и НКВ. О принятии на вооружение КА пистолета-пулемета Шпагина*.</w:t>
      </w:r>
    </w:p>
    <w:p w14:paraId="5C6DC48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21.12.40 г.</w:t>
      </w:r>
    </w:p>
    <w:p w14:paraId="7A1874A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132. О Таганрогском заводе № 31 НКАП. Об использовании мощностей завода для выпуска боевых самолетов*.</w:t>
      </w:r>
    </w:p>
    <w:p w14:paraId="1741460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26. 12.40 г</w:t>
      </w:r>
      <w:r w:rsidRPr="00A3026E">
        <w:rPr>
          <w:rFonts w:ascii="Times New Roman" w:hAnsi="Times New Roman"/>
          <w:color w:val="000000" w:themeColor="text1"/>
          <w:sz w:val="16"/>
          <w:szCs w:val="16"/>
        </w:rPr>
        <w:t>.</w:t>
      </w:r>
    </w:p>
    <w:p w14:paraId="3E28361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162. О заводе № 22 НКАП. Программа выпуска самолетов Пе-2 (постановление СНК СССРиЦКВКП(б))*.</w:t>
      </w:r>
    </w:p>
    <w:p w14:paraId="27B0B98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28. 12.40 г.</w:t>
      </w:r>
    </w:p>
    <w:p w14:paraId="41CA0BF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176. О выпуске моторов АМ-88 на заводе № 24 (постановление СНК СССР и ЦК ВКП (б))*.</w:t>
      </w:r>
    </w:p>
    <w:p w14:paraId="7F3ADF9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 xml:space="preserve">29.12.40 г. </w:t>
      </w:r>
      <w:r w:rsidRPr="00A3026E">
        <w:rPr>
          <w:rFonts w:ascii="Times New Roman" w:hAnsi="Times New Roman"/>
          <w:color w:val="000000" w:themeColor="text1"/>
          <w:sz w:val="16"/>
          <w:szCs w:val="16"/>
        </w:rPr>
        <w:t>П. 230. Вопрос КО. О постройке трех истребителей ВИ-1* (11773).</w:t>
      </w:r>
    </w:p>
    <w:p w14:paraId="10A0BFA2" w14:textId="77777777" w:rsidR="0014077F" w:rsidRPr="00A3026E" w:rsidRDefault="0014077F" w:rsidP="00A3026E">
      <w:pPr>
        <w:shd w:val="clear" w:color="auto" w:fill="FFFFFF"/>
        <w:spacing w:after="0" w:line="240" w:lineRule="auto"/>
        <w:jc w:val="both"/>
        <w:rPr>
          <w:rFonts w:ascii="Times New Roman" w:hAnsi="Times New Roman"/>
          <w:bCs/>
          <w:color w:val="000000" w:themeColor="text1"/>
          <w:sz w:val="16"/>
          <w:szCs w:val="16"/>
        </w:rPr>
      </w:pPr>
    </w:p>
    <w:p w14:paraId="63E885A1" w14:textId="77777777" w:rsidR="0099525A" w:rsidRPr="00A3026E" w:rsidRDefault="0099525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21 декабря 1940 – протокол Политбюро </w:t>
      </w:r>
    </w:p>
    <w:p w14:paraId="6A5B6B3F" w14:textId="77777777" w:rsidR="0099525A" w:rsidRPr="00A3026E" w:rsidRDefault="0099525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21.XII.40 г.</w:t>
      </w:r>
    </w:p>
    <w:p w14:paraId="502E3018" w14:textId="77777777" w:rsidR="0099525A" w:rsidRPr="00A3026E" w:rsidRDefault="0099525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132. О Таганрогском заводе № 31 НКАП (постановление СНК СССР и ЦК ВКП(б)). — ОП (20469).</w:t>
      </w:r>
    </w:p>
    <w:p w14:paraId="16F7EB41" w14:textId="77777777" w:rsidR="0099525A" w:rsidRPr="00A3026E" w:rsidRDefault="0099525A" w:rsidP="00A3026E">
      <w:pPr>
        <w:spacing w:after="0" w:line="240" w:lineRule="auto"/>
        <w:jc w:val="both"/>
        <w:rPr>
          <w:rFonts w:ascii="Times New Roman" w:hAnsi="Times New Roman"/>
          <w:color w:val="0070C0"/>
          <w:sz w:val="16"/>
          <w:szCs w:val="16"/>
        </w:rPr>
      </w:pPr>
    </w:p>
    <w:p w14:paraId="01E475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года зам. начальника 7-го Главного управления Залесский писал письмо N 2736 Шахурину.</w:t>
      </w:r>
    </w:p>
    <w:p w14:paraId="348087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о сравнительных данных пушек Волкова-Ярцева и Таубина-Бабурина калибра 23 мм докладываю:</w:t>
      </w:r>
    </w:p>
    <w:p w14:paraId="41D2DC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 безотказности в работе пушка Волкова-Ярцева показала на полигонных испытаниях лучшие результаты: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2702"/>
      </w:tblGrid>
      <w:tr w:rsidR="00983732" w:rsidRPr="00A3026E" w14:paraId="0E5FC5BF" w14:textId="77777777" w:rsidTr="00EA0DA7">
        <w:tc>
          <w:tcPr>
            <w:tcW w:w="3833" w:type="dxa"/>
            <w:tcBorders>
              <w:top w:val="single" w:sz="12" w:space="0" w:color="auto"/>
            </w:tcBorders>
          </w:tcPr>
          <w:p w14:paraId="515E46F0"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3833" w:type="dxa"/>
            <w:tcBorders>
              <w:top w:val="single" w:sz="12" w:space="0" w:color="auto"/>
            </w:tcBorders>
          </w:tcPr>
          <w:p w14:paraId="28D458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Таубина-Бабурина</w:t>
            </w:r>
          </w:p>
        </w:tc>
        <w:tc>
          <w:tcPr>
            <w:tcW w:w="2702" w:type="dxa"/>
            <w:tcBorders>
              <w:top w:val="single" w:sz="12" w:space="0" w:color="auto"/>
            </w:tcBorders>
          </w:tcPr>
          <w:p w14:paraId="7545B5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Волкова-Ярцева</w:t>
            </w:r>
          </w:p>
        </w:tc>
      </w:tr>
      <w:tr w:rsidR="00983732" w:rsidRPr="00A3026E" w14:paraId="7E8D53AB" w14:textId="77777777" w:rsidTr="00EA0DA7">
        <w:tc>
          <w:tcPr>
            <w:tcW w:w="3833" w:type="dxa"/>
          </w:tcPr>
          <w:p w14:paraId="0B31E2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а) % боекомплектов с</w:t>
            </w:r>
          </w:p>
        </w:tc>
        <w:tc>
          <w:tcPr>
            <w:tcW w:w="3833" w:type="dxa"/>
          </w:tcPr>
          <w:p w14:paraId="13D1690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702" w:type="dxa"/>
          </w:tcPr>
          <w:p w14:paraId="63B7002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3B24ACA8" w14:textId="77777777" w:rsidTr="00EA0DA7">
        <w:tc>
          <w:tcPr>
            <w:tcW w:w="3833" w:type="dxa"/>
          </w:tcPr>
          <w:p w14:paraId="0ECFCB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задержками при стрельбе</w:t>
            </w:r>
          </w:p>
        </w:tc>
        <w:tc>
          <w:tcPr>
            <w:tcW w:w="3833" w:type="dxa"/>
          </w:tcPr>
          <w:p w14:paraId="54B406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w:t>
            </w:r>
          </w:p>
        </w:tc>
        <w:tc>
          <w:tcPr>
            <w:tcW w:w="2702" w:type="dxa"/>
          </w:tcPr>
          <w:p w14:paraId="195DB6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w:t>
            </w:r>
          </w:p>
        </w:tc>
      </w:tr>
      <w:tr w:rsidR="00983732" w:rsidRPr="00A3026E" w14:paraId="5E420485" w14:textId="77777777" w:rsidTr="00EA0DA7">
        <w:tc>
          <w:tcPr>
            <w:tcW w:w="3833" w:type="dxa"/>
          </w:tcPr>
          <w:p w14:paraId="09007D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общий % задержек</w:t>
            </w:r>
          </w:p>
        </w:tc>
        <w:tc>
          <w:tcPr>
            <w:tcW w:w="3833" w:type="dxa"/>
          </w:tcPr>
          <w:p w14:paraId="72E8DF5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1,28%</w:t>
            </w:r>
          </w:p>
        </w:tc>
        <w:tc>
          <w:tcPr>
            <w:tcW w:w="2702" w:type="dxa"/>
          </w:tcPr>
          <w:p w14:paraId="6ACD3A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0,65%</w:t>
            </w:r>
          </w:p>
        </w:tc>
      </w:tr>
      <w:tr w:rsidR="00983732" w:rsidRPr="00A3026E" w14:paraId="515177CA" w14:textId="77777777" w:rsidTr="00EA0DA7">
        <w:tc>
          <w:tcPr>
            <w:tcW w:w="3833" w:type="dxa"/>
          </w:tcPr>
          <w:p w14:paraId="25B441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 задержек по вине</w:t>
            </w:r>
          </w:p>
        </w:tc>
        <w:tc>
          <w:tcPr>
            <w:tcW w:w="3833" w:type="dxa"/>
          </w:tcPr>
          <w:p w14:paraId="0F4F126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702" w:type="dxa"/>
          </w:tcPr>
          <w:p w14:paraId="6780BFF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4F0CAD8" w14:textId="77777777" w:rsidTr="00EA0DA7">
        <w:tc>
          <w:tcPr>
            <w:tcW w:w="3833" w:type="dxa"/>
            <w:tcBorders>
              <w:bottom w:val="single" w:sz="12" w:space="0" w:color="auto"/>
            </w:tcBorders>
          </w:tcPr>
          <w:p w14:paraId="3D6D73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пушки</w:t>
            </w:r>
          </w:p>
        </w:tc>
        <w:tc>
          <w:tcPr>
            <w:tcW w:w="3833" w:type="dxa"/>
            <w:tcBorders>
              <w:bottom w:val="single" w:sz="12" w:space="0" w:color="auto"/>
            </w:tcBorders>
          </w:tcPr>
          <w:p w14:paraId="2AF0E2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0,21%</w:t>
            </w:r>
          </w:p>
        </w:tc>
        <w:tc>
          <w:tcPr>
            <w:tcW w:w="2702" w:type="dxa"/>
            <w:tcBorders>
              <w:bottom w:val="single" w:sz="12" w:space="0" w:color="auto"/>
            </w:tcBorders>
          </w:tcPr>
          <w:p w14:paraId="763E73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0,05%</w:t>
            </w:r>
          </w:p>
        </w:tc>
      </w:tr>
    </w:tbl>
    <w:p w14:paraId="34A292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 живучести деталей пушка Волкова-Ярцева также показала лучшие результаты: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74"/>
        <w:gridCol w:w="2874"/>
        <w:gridCol w:w="2874"/>
      </w:tblGrid>
      <w:tr w:rsidR="00983732" w:rsidRPr="00A3026E" w14:paraId="12AF3658" w14:textId="77777777" w:rsidTr="00EA0DA7">
        <w:tc>
          <w:tcPr>
            <w:tcW w:w="2874" w:type="dxa"/>
            <w:tcBorders>
              <w:top w:val="single" w:sz="12" w:space="0" w:color="auto"/>
            </w:tcBorders>
          </w:tcPr>
          <w:p w14:paraId="5BD028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общее количество</w:t>
            </w:r>
          </w:p>
        </w:tc>
        <w:tc>
          <w:tcPr>
            <w:tcW w:w="2874" w:type="dxa"/>
            <w:tcBorders>
              <w:top w:val="single" w:sz="12" w:space="0" w:color="auto"/>
            </w:tcBorders>
          </w:tcPr>
          <w:p w14:paraId="5BA85BB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74" w:type="dxa"/>
            <w:tcBorders>
              <w:top w:val="single" w:sz="12" w:space="0" w:color="auto"/>
            </w:tcBorders>
          </w:tcPr>
          <w:p w14:paraId="64D3213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9C685F2" w14:textId="77777777" w:rsidTr="00EA0DA7">
        <w:tc>
          <w:tcPr>
            <w:tcW w:w="2874" w:type="dxa"/>
          </w:tcPr>
          <w:p w14:paraId="66C49A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выстрелов</w:t>
            </w:r>
          </w:p>
        </w:tc>
        <w:tc>
          <w:tcPr>
            <w:tcW w:w="2874" w:type="dxa"/>
          </w:tcPr>
          <w:p w14:paraId="1F5E39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3710</w:t>
            </w:r>
          </w:p>
        </w:tc>
        <w:tc>
          <w:tcPr>
            <w:tcW w:w="2874" w:type="dxa"/>
          </w:tcPr>
          <w:p w14:paraId="7CC843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6567</w:t>
            </w:r>
          </w:p>
        </w:tc>
      </w:tr>
      <w:tr w:rsidR="00983732" w:rsidRPr="00A3026E" w14:paraId="7791DF81" w14:textId="77777777" w:rsidTr="00EA0DA7">
        <w:tc>
          <w:tcPr>
            <w:tcW w:w="2874" w:type="dxa"/>
          </w:tcPr>
          <w:p w14:paraId="400D51F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количество выстрелов</w:t>
            </w:r>
          </w:p>
        </w:tc>
        <w:tc>
          <w:tcPr>
            <w:tcW w:w="2874" w:type="dxa"/>
          </w:tcPr>
          <w:p w14:paraId="5A0EE57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74" w:type="dxa"/>
          </w:tcPr>
          <w:p w14:paraId="0885296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607AD9A8" w14:textId="77777777" w:rsidTr="00EA0DA7">
        <w:tc>
          <w:tcPr>
            <w:tcW w:w="2874" w:type="dxa"/>
          </w:tcPr>
          <w:p w14:paraId="323853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1-й поломки</w:t>
            </w:r>
          </w:p>
        </w:tc>
        <w:tc>
          <w:tcPr>
            <w:tcW w:w="2874" w:type="dxa"/>
          </w:tcPr>
          <w:p w14:paraId="35EADD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w:t>
            </w:r>
          </w:p>
        </w:tc>
        <w:tc>
          <w:tcPr>
            <w:tcW w:w="2874" w:type="dxa"/>
          </w:tcPr>
          <w:p w14:paraId="0E474D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1415</w:t>
            </w:r>
          </w:p>
        </w:tc>
      </w:tr>
      <w:tr w:rsidR="00983732" w:rsidRPr="00A3026E" w14:paraId="00A4DEB9" w14:textId="77777777" w:rsidTr="00EA0DA7">
        <w:tc>
          <w:tcPr>
            <w:tcW w:w="2874" w:type="dxa"/>
          </w:tcPr>
          <w:p w14:paraId="63FCE1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количество поломок</w:t>
            </w:r>
          </w:p>
        </w:tc>
        <w:tc>
          <w:tcPr>
            <w:tcW w:w="2874" w:type="dxa"/>
          </w:tcPr>
          <w:p w14:paraId="776921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2874" w:type="dxa"/>
          </w:tcPr>
          <w:p w14:paraId="173FAB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r>
      <w:tr w:rsidR="00983732" w:rsidRPr="00A3026E" w14:paraId="5EB885BA" w14:textId="77777777" w:rsidTr="00EA0DA7">
        <w:tc>
          <w:tcPr>
            <w:tcW w:w="2874" w:type="dxa"/>
          </w:tcPr>
          <w:p w14:paraId="50010F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 задержек по вине</w:t>
            </w:r>
          </w:p>
        </w:tc>
        <w:tc>
          <w:tcPr>
            <w:tcW w:w="2874" w:type="dxa"/>
          </w:tcPr>
          <w:p w14:paraId="53CC3A0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74" w:type="dxa"/>
          </w:tcPr>
          <w:p w14:paraId="5CDB28C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0924B54C" w14:textId="77777777" w:rsidTr="00EA0DA7">
        <w:tc>
          <w:tcPr>
            <w:tcW w:w="2874" w:type="dxa"/>
            <w:tcBorders>
              <w:bottom w:val="single" w:sz="12" w:space="0" w:color="auto"/>
            </w:tcBorders>
          </w:tcPr>
          <w:p w14:paraId="67EF21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поломок</w:t>
            </w:r>
          </w:p>
        </w:tc>
        <w:tc>
          <w:tcPr>
            <w:tcW w:w="2874" w:type="dxa"/>
            <w:tcBorders>
              <w:bottom w:val="single" w:sz="12" w:space="0" w:color="auto"/>
            </w:tcBorders>
          </w:tcPr>
          <w:p w14:paraId="5BD908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0,62%</w:t>
            </w:r>
          </w:p>
        </w:tc>
        <w:tc>
          <w:tcPr>
            <w:tcW w:w="2874" w:type="dxa"/>
            <w:tcBorders>
              <w:bottom w:val="single" w:sz="12" w:space="0" w:color="auto"/>
            </w:tcBorders>
          </w:tcPr>
          <w:p w14:paraId="3027FD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0,10%</w:t>
            </w:r>
          </w:p>
        </w:tc>
      </w:tr>
    </w:tbl>
    <w:p w14:paraId="604BCD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 количеству деталей также имеется некоторое преимущество у пушки Волкова-Ярцева, так как магазин у пушки Таубина-Бабурина фактически является приемником, то есть агрегатом пушки: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2702"/>
      </w:tblGrid>
      <w:tr w:rsidR="00983732" w:rsidRPr="00A3026E" w14:paraId="3FFACB00" w14:textId="77777777" w:rsidTr="00EA0DA7">
        <w:tc>
          <w:tcPr>
            <w:tcW w:w="3833" w:type="dxa"/>
            <w:tcBorders>
              <w:top w:val="single" w:sz="12" w:space="0" w:color="auto"/>
            </w:tcBorders>
          </w:tcPr>
          <w:p w14:paraId="571B27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кол-во технологич.</w:t>
            </w:r>
          </w:p>
        </w:tc>
        <w:tc>
          <w:tcPr>
            <w:tcW w:w="3833" w:type="dxa"/>
            <w:tcBorders>
              <w:top w:val="single" w:sz="12" w:space="0" w:color="auto"/>
            </w:tcBorders>
          </w:tcPr>
          <w:p w14:paraId="47D18B7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702" w:type="dxa"/>
            <w:tcBorders>
              <w:top w:val="single" w:sz="12" w:space="0" w:color="auto"/>
            </w:tcBorders>
          </w:tcPr>
          <w:p w14:paraId="4CDFC7A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2E88E90" w14:textId="77777777" w:rsidTr="00EA0DA7">
        <w:tc>
          <w:tcPr>
            <w:tcW w:w="3833" w:type="dxa"/>
          </w:tcPr>
          <w:p w14:paraId="134A92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деталей пушки</w:t>
            </w:r>
          </w:p>
        </w:tc>
        <w:tc>
          <w:tcPr>
            <w:tcW w:w="3833" w:type="dxa"/>
          </w:tcPr>
          <w:p w14:paraId="2EE1EC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c>
          <w:tcPr>
            <w:tcW w:w="2702" w:type="dxa"/>
          </w:tcPr>
          <w:p w14:paraId="2C451F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109</w:t>
            </w:r>
          </w:p>
        </w:tc>
      </w:tr>
      <w:tr w:rsidR="00983732" w:rsidRPr="00A3026E" w14:paraId="3F117983" w14:textId="77777777" w:rsidTr="00EA0DA7">
        <w:tc>
          <w:tcPr>
            <w:tcW w:w="3833" w:type="dxa"/>
          </w:tcPr>
          <w:p w14:paraId="5EB214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 деталей</w:t>
            </w:r>
          </w:p>
        </w:tc>
        <w:tc>
          <w:tcPr>
            <w:tcW w:w="3833" w:type="dxa"/>
          </w:tcPr>
          <w:p w14:paraId="70D7212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702" w:type="dxa"/>
          </w:tcPr>
          <w:p w14:paraId="081F97D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6655E81" w14:textId="77777777" w:rsidTr="00EA0DA7">
        <w:tc>
          <w:tcPr>
            <w:tcW w:w="3833" w:type="dxa"/>
          </w:tcPr>
          <w:p w14:paraId="1C6F5E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магазина-77)</w:t>
            </w:r>
          </w:p>
        </w:tc>
        <w:tc>
          <w:tcPr>
            <w:tcW w:w="3833" w:type="dxa"/>
          </w:tcPr>
          <w:p w14:paraId="779B3BC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702" w:type="dxa"/>
          </w:tcPr>
          <w:p w14:paraId="1950A8B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1681F559" w14:textId="77777777" w:rsidTr="00EA0DA7">
        <w:tc>
          <w:tcPr>
            <w:tcW w:w="3833" w:type="dxa"/>
          </w:tcPr>
          <w:p w14:paraId="39E755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них пружин</w:t>
            </w:r>
          </w:p>
        </w:tc>
        <w:tc>
          <w:tcPr>
            <w:tcW w:w="3833" w:type="dxa"/>
          </w:tcPr>
          <w:p w14:paraId="7AC8ED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2702" w:type="dxa"/>
          </w:tcPr>
          <w:p w14:paraId="09517F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r>
      <w:tr w:rsidR="00983732" w:rsidRPr="00A3026E" w14:paraId="64BA1A53" w14:textId="77777777" w:rsidTr="00EA0DA7">
        <w:tc>
          <w:tcPr>
            <w:tcW w:w="3833" w:type="dxa"/>
          </w:tcPr>
          <w:p w14:paraId="12AE22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 - пружин</w:t>
            </w:r>
          </w:p>
        </w:tc>
        <w:tc>
          <w:tcPr>
            <w:tcW w:w="3833" w:type="dxa"/>
          </w:tcPr>
          <w:p w14:paraId="3D766F9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702" w:type="dxa"/>
          </w:tcPr>
          <w:p w14:paraId="03A4CF8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E956BDC" w14:textId="77777777" w:rsidTr="00EA0DA7">
        <w:tc>
          <w:tcPr>
            <w:tcW w:w="3833" w:type="dxa"/>
          </w:tcPr>
          <w:p w14:paraId="5290C9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магазина-12)</w:t>
            </w:r>
          </w:p>
        </w:tc>
        <w:tc>
          <w:tcPr>
            <w:tcW w:w="3833" w:type="dxa"/>
          </w:tcPr>
          <w:p w14:paraId="178B59C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702" w:type="dxa"/>
          </w:tcPr>
          <w:p w14:paraId="5800B7B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2C8E479" w14:textId="77777777" w:rsidTr="00EA0DA7">
        <w:tc>
          <w:tcPr>
            <w:tcW w:w="3833" w:type="dxa"/>
          </w:tcPr>
          <w:p w14:paraId="355792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кол-во эксплоатацион.</w:t>
            </w:r>
          </w:p>
        </w:tc>
        <w:tc>
          <w:tcPr>
            <w:tcW w:w="3833" w:type="dxa"/>
          </w:tcPr>
          <w:p w14:paraId="7B8D4F6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702" w:type="dxa"/>
          </w:tcPr>
          <w:p w14:paraId="772C1FB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6BB54EF2" w14:textId="77777777" w:rsidTr="00EA0DA7">
        <w:tc>
          <w:tcPr>
            <w:tcW w:w="3833" w:type="dxa"/>
          </w:tcPr>
          <w:p w14:paraId="1FF1FD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деталей (для полной</w:t>
            </w:r>
          </w:p>
        </w:tc>
        <w:tc>
          <w:tcPr>
            <w:tcW w:w="3833" w:type="dxa"/>
          </w:tcPr>
          <w:p w14:paraId="2185C8B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702" w:type="dxa"/>
          </w:tcPr>
          <w:p w14:paraId="247305E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3DF6EAD9" w14:textId="77777777" w:rsidTr="00EA0DA7">
        <w:tc>
          <w:tcPr>
            <w:tcW w:w="3833" w:type="dxa"/>
            <w:tcBorders>
              <w:bottom w:val="single" w:sz="12" w:space="0" w:color="auto"/>
            </w:tcBorders>
          </w:tcPr>
          <w:p w14:paraId="25A27B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чистки)</w:t>
            </w:r>
          </w:p>
        </w:tc>
        <w:tc>
          <w:tcPr>
            <w:tcW w:w="3833" w:type="dxa"/>
            <w:tcBorders>
              <w:bottom w:val="single" w:sz="12" w:space="0" w:color="auto"/>
            </w:tcBorders>
          </w:tcPr>
          <w:p w14:paraId="6561D7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2702" w:type="dxa"/>
            <w:tcBorders>
              <w:bottom w:val="single" w:sz="12" w:space="0" w:color="auto"/>
            </w:tcBorders>
          </w:tcPr>
          <w:p w14:paraId="759DB3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r>
    </w:tbl>
    <w:p w14:paraId="449C6E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По габаритам оружия имеются положительные и отрицательные стороны у обоих пушек:</w:t>
      </w:r>
    </w:p>
    <w:p w14:paraId="404C20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габаритам автомата преимущество за пушкой Таубина-Бабурина, особенно по высоте: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2702"/>
      </w:tblGrid>
      <w:tr w:rsidR="00983732" w:rsidRPr="00A3026E" w14:paraId="345460EA" w14:textId="77777777" w:rsidTr="00EA0DA7">
        <w:tc>
          <w:tcPr>
            <w:tcW w:w="3833" w:type="dxa"/>
            <w:tcBorders>
              <w:top w:val="single" w:sz="12" w:space="0" w:color="auto"/>
            </w:tcBorders>
          </w:tcPr>
          <w:p w14:paraId="43785F9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3833" w:type="dxa"/>
            <w:tcBorders>
              <w:top w:val="single" w:sz="12" w:space="0" w:color="auto"/>
            </w:tcBorders>
          </w:tcPr>
          <w:p w14:paraId="7BF7C4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w:t>
            </w:r>
          </w:p>
        </w:tc>
        <w:tc>
          <w:tcPr>
            <w:tcW w:w="2702" w:type="dxa"/>
            <w:tcBorders>
              <w:top w:val="single" w:sz="12" w:space="0" w:color="auto"/>
            </w:tcBorders>
          </w:tcPr>
          <w:p w14:paraId="6B40E9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В.Я.</w:t>
            </w:r>
          </w:p>
        </w:tc>
      </w:tr>
      <w:tr w:rsidR="00983732" w:rsidRPr="00A3026E" w14:paraId="13E360A9" w14:textId="77777777" w:rsidTr="00EA0DA7">
        <w:tc>
          <w:tcPr>
            <w:tcW w:w="3833" w:type="dxa"/>
          </w:tcPr>
          <w:p w14:paraId="2416B5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пушки</w:t>
            </w:r>
          </w:p>
        </w:tc>
        <w:tc>
          <w:tcPr>
            <w:tcW w:w="3833" w:type="dxa"/>
          </w:tcPr>
          <w:p w14:paraId="16461C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2310 мм</w:t>
            </w:r>
          </w:p>
        </w:tc>
        <w:tc>
          <w:tcPr>
            <w:tcW w:w="2702" w:type="dxa"/>
          </w:tcPr>
          <w:p w14:paraId="1AD261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2140 мм</w:t>
            </w:r>
          </w:p>
        </w:tc>
      </w:tr>
      <w:tr w:rsidR="00983732" w:rsidRPr="00A3026E" w14:paraId="56A34BE4" w14:textId="77777777" w:rsidTr="00EA0DA7">
        <w:tc>
          <w:tcPr>
            <w:tcW w:w="3833" w:type="dxa"/>
          </w:tcPr>
          <w:p w14:paraId="14FFFA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пушки</w:t>
            </w:r>
          </w:p>
        </w:tc>
        <w:tc>
          <w:tcPr>
            <w:tcW w:w="3833" w:type="dxa"/>
          </w:tcPr>
          <w:p w14:paraId="3B4568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 мм</w:t>
            </w:r>
          </w:p>
        </w:tc>
        <w:tc>
          <w:tcPr>
            <w:tcW w:w="2702" w:type="dxa"/>
          </w:tcPr>
          <w:p w14:paraId="70BE7B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 мм</w:t>
            </w:r>
          </w:p>
        </w:tc>
      </w:tr>
      <w:tr w:rsidR="00983732" w:rsidRPr="00A3026E" w14:paraId="368F3CA7" w14:textId="77777777" w:rsidTr="00EA0DA7">
        <w:tc>
          <w:tcPr>
            <w:tcW w:w="3833" w:type="dxa"/>
            <w:tcBorders>
              <w:bottom w:val="single" w:sz="12" w:space="0" w:color="auto"/>
            </w:tcBorders>
          </w:tcPr>
          <w:p w14:paraId="51A34C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пушки</w:t>
            </w:r>
          </w:p>
        </w:tc>
        <w:tc>
          <w:tcPr>
            <w:tcW w:w="3833" w:type="dxa"/>
            <w:tcBorders>
              <w:bottom w:val="single" w:sz="12" w:space="0" w:color="auto"/>
            </w:tcBorders>
          </w:tcPr>
          <w:p w14:paraId="00A9BA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 мм</w:t>
            </w:r>
          </w:p>
        </w:tc>
        <w:tc>
          <w:tcPr>
            <w:tcW w:w="2702" w:type="dxa"/>
            <w:tcBorders>
              <w:bottom w:val="single" w:sz="12" w:space="0" w:color="auto"/>
            </w:tcBorders>
          </w:tcPr>
          <w:p w14:paraId="0A5D40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 мм</w:t>
            </w:r>
          </w:p>
        </w:tc>
      </w:tr>
    </w:tbl>
    <w:p w14:paraId="30169F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Однако, следует учитывать габариты магазина у пушки Таубина-Бабурина (ширина - 160 мм, высота - 150 мм для магазина на 81 снаряд), а также пространство, необходимое для поднятия крышки у пушки Волкова-Ярцева, для установки патронного ящика и для подвода рукава питания.</w:t>
      </w:r>
    </w:p>
    <w:p w14:paraId="6EE3B0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По силе отдачи преимущество за пушкой Таубина-Бабурина - 2200 кг, в то время, как у пушки Волкова-Ярцева сила отдачи - 2900 кг при откате на 9,5 мм.</w:t>
      </w:r>
    </w:p>
    <w:p w14:paraId="2FE493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Противооткатное устройство входит органически в конструкцию пушки Таубина-Бабурина, а система Волкова-Ярцева требует противооткатное устройство в лафете. Вот почему лафеты, сконструированные одним и тем же заводом (завод N 1) для обеих пушек для испытания их на одном и том же самолете (Мессершмидт-110), столь разнятся по весу:</w:t>
      </w:r>
    </w:p>
    <w:p w14:paraId="6EF772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лафета для пушки Таубина-Бабурина</w:t>
      </w:r>
      <w:r w:rsidRPr="00A3026E">
        <w:rPr>
          <w:rFonts w:ascii="Times New Roman" w:hAnsi="Times New Roman"/>
          <w:color w:val="000000" w:themeColor="text1"/>
          <w:sz w:val="16"/>
          <w:szCs w:val="16"/>
        </w:rPr>
        <w:tab/>
        <w:t>- 19 кг</w:t>
      </w:r>
    </w:p>
    <w:p w14:paraId="26024F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лафета для пушки Волкова-Ярцева</w:t>
      </w:r>
      <w:r w:rsidRPr="00A3026E">
        <w:rPr>
          <w:rFonts w:ascii="Times New Roman" w:hAnsi="Times New Roman"/>
          <w:color w:val="000000" w:themeColor="text1"/>
          <w:sz w:val="16"/>
          <w:szCs w:val="16"/>
        </w:rPr>
        <w:tab/>
        <w:t>- 42,5 кг</w:t>
      </w:r>
    </w:p>
    <w:p w14:paraId="41AE50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 есть разница на 23,5 кг.</w:t>
      </w:r>
    </w:p>
    <w:p w14:paraId="5744F7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По весовым данным преимущество также за пушкой Таубина-Бабурина: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2702"/>
      </w:tblGrid>
      <w:tr w:rsidR="00983732" w:rsidRPr="00A3026E" w14:paraId="3E8F75B9" w14:textId="77777777" w:rsidTr="00EA0DA7">
        <w:tc>
          <w:tcPr>
            <w:tcW w:w="3833" w:type="dxa"/>
            <w:tcBorders>
              <w:top w:val="single" w:sz="12" w:space="0" w:color="auto"/>
            </w:tcBorders>
          </w:tcPr>
          <w:p w14:paraId="0BC596B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3833" w:type="dxa"/>
            <w:tcBorders>
              <w:top w:val="single" w:sz="12" w:space="0" w:color="auto"/>
            </w:tcBorders>
          </w:tcPr>
          <w:p w14:paraId="3634D0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w:t>
            </w:r>
          </w:p>
        </w:tc>
        <w:tc>
          <w:tcPr>
            <w:tcW w:w="2702" w:type="dxa"/>
            <w:tcBorders>
              <w:top w:val="single" w:sz="12" w:space="0" w:color="auto"/>
            </w:tcBorders>
          </w:tcPr>
          <w:p w14:paraId="2334E0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В.Я.</w:t>
            </w:r>
          </w:p>
        </w:tc>
      </w:tr>
      <w:tr w:rsidR="00983732" w:rsidRPr="00A3026E" w14:paraId="0E41BD5E" w14:textId="77777777" w:rsidTr="00EA0DA7">
        <w:tc>
          <w:tcPr>
            <w:tcW w:w="3833" w:type="dxa"/>
          </w:tcPr>
          <w:p w14:paraId="20A407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вес пушки с пневматикой</w:t>
            </w:r>
          </w:p>
        </w:tc>
        <w:tc>
          <w:tcPr>
            <w:tcW w:w="3833" w:type="dxa"/>
          </w:tcPr>
          <w:p w14:paraId="4FB9380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42,8 кг</w:t>
            </w:r>
          </w:p>
        </w:tc>
        <w:tc>
          <w:tcPr>
            <w:tcW w:w="2702" w:type="dxa"/>
          </w:tcPr>
          <w:p w14:paraId="0FA6D4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 кг</w:t>
            </w:r>
          </w:p>
        </w:tc>
      </w:tr>
      <w:tr w:rsidR="00983732" w:rsidRPr="00A3026E" w14:paraId="432CB176" w14:textId="77777777" w:rsidTr="00EA0DA7">
        <w:tc>
          <w:tcPr>
            <w:tcW w:w="3833" w:type="dxa"/>
          </w:tcPr>
          <w:p w14:paraId="0B0A7B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вес магазина (патронного</w:t>
            </w:r>
          </w:p>
        </w:tc>
        <w:tc>
          <w:tcPr>
            <w:tcW w:w="3833" w:type="dxa"/>
          </w:tcPr>
          <w:p w14:paraId="2C3AE6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11,4 кг</w:t>
            </w:r>
          </w:p>
        </w:tc>
        <w:tc>
          <w:tcPr>
            <w:tcW w:w="2702" w:type="dxa"/>
          </w:tcPr>
          <w:p w14:paraId="6A9723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11,7 кг</w:t>
            </w:r>
          </w:p>
        </w:tc>
      </w:tr>
      <w:tr w:rsidR="00983732" w:rsidRPr="00A3026E" w14:paraId="30A35D27" w14:textId="77777777" w:rsidTr="00EA0DA7">
        <w:tc>
          <w:tcPr>
            <w:tcW w:w="3833" w:type="dxa"/>
          </w:tcPr>
          <w:p w14:paraId="24A0E65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ящика с рукавом)</w:t>
            </w:r>
          </w:p>
        </w:tc>
        <w:tc>
          <w:tcPr>
            <w:tcW w:w="3833" w:type="dxa"/>
          </w:tcPr>
          <w:p w14:paraId="4BB175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81 сн)</w:t>
            </w:r>
          </w:p>
        </w:tc>
        <w:tc>
          <w:tcPr>
            <w:tcW w:w="2702" w:type="dxa"/>
          </w:tcPr>
          <w:p w14:paraId="71FDCC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110 сн)</w:t>
            </w:r>
          </w:p>
        </w:tc>
      </w:tr>
      <w:tr w:rsidR="00983732" w:rsidRPr="00A3026E" w14:paraId="72C52596" w14:textId="77777777" w:rsidTr="00EA0DA7">
        <w:tc>
          <w:tcPr>
            <w:tcW w:w="3833" w:type="dxa"/>
          </w:tcPr>
          <w:p w14:paraId="06395E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вес установок (лафета</w:t>
            </w:r>
          </w:p>
        </w:tc>
        <w:tc>
          <w:tcPr>
            <w:tcW w:w="3833" w:type="dxa"/>
          </w:tcPr>
          <w:p w14:paraId="61EC7E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кг</w:t>
            </w:r>
          </w:p>
        </w:tc>
        <w:tc>
          <w:tcPr>
            <w:tcW w:w="2702" w:type="dxa"/>
          </w:tcPr>
          <w:p w14:paraId="48BF6C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 кг</w:t>
            </w:r>
          </w:p>
        </w:tc>
      </w:tr>
      <w:tr w:rsidR="00983732" w:rsidRPr="00A3026E" w14:paraId="6F9E9DD4" w14:textId="77777777" w:rsidTr="00EA0DA7">
        <w:tc>
          <w:tcPr>
            <w:tcW w:w="3833" w:type="dxa"/>
          </w:tcPr>
          <w:p w14:paraId="103FD9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вес баллона с редуктором</w:t>
            </w:r>
          </w:p>
        </w:tc>
        <w:tc>
          <w:tcPr>
            <w:tcW w:w="3833" w:type="dxa"/>
          </w:tcPr>
          <w:p w14:paraId="7C78FD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 кг</w:t>
            </w:r>
          </w:p>
        </w:tc>
        <w:tc>
          <w:tcPr>
            <w:tcW w:w="2702" w:type="dxa"/>
          </w:tcPr>
          <w:p w14:paraId="48A150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 кг</w:t>
            </w:r>
          </w:p>
        </w:tc>
      </w:tr>
      <w:tr w:rsidR="00983732" w:rsidRPr="00A3026E" w14:paraId="719E2EE6" w14:textId="77777777" w:rsidTr="00EA0DA7">
        <w:tc>
          <w:tcPr>
            <w:tcW w:w="3833" w:type="dxa"/>
          </w:tcPr>
          <w:p w14:paraId="3319C5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вес боекомплекта на 81</w:t>
            </w:r>
          </w:p>
        </w:tc>
        <w:tc>
          <w:tcPr>
            <w:tcW w:w="3833" w:type="dxa"/>
          </w:tcPr>
          <w:p w14:paraId="7EB8BB4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702" w:type="dxa"/>
          </w:tcPr>
          <w:p w14:paraId="0FF6296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77F5AD4" w14:textId="77777777" w:rsidTr="00EA0DA7">
        <w:tc>
          <w:tcPr>
            <w:tcW w:w="3833" w:type="dxa"/>
          </w:tcPr>
          <w:p w14:paraId="5C7A24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w:t>
            </w:r>
          </w:p>
        </w:tc>
        <w:tc>
          <w:tcPr>
            <w:tcW w:w="3833" w:type="dxa"/>
          </w:tcPr>
          <w:p w14:paraId="54D2ED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37,8 кг</w:t>
            </w:r>
          </w:p>
        </w:tc>
        <w:tc>
          <w:tcPr>
            <w:tcW w:w="2702" w:type="dxa"/>
          </w:tcPr>
          <w:p w14:paraId="3AECBF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37,8 кг</w:t>
            </w:r>
          </w:p>
        </w:tc>
      </w:tr>
      <w:tr w:rsidR="00983732" w:rsidRPr="00A3026E" w14:paraId="6696DD3D" w14:textId="77777777" w:rsidTr="00EA0DA7">
        <w:tc>
          <w:tcPr>
            <w:tcW w:w="3833" w:type="dxa"/>
          </w:tcPr>
          <w:p w14:paraId="5BCC2F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вес реек (звеньев) на</w:t>
            </w:r>
          </w:p>
        </w:tc>
        <w:tc>
          <w:tcPr>
            <w:tcW w:w="3833" w:type="dxa"/>
          </w:tcPr>
          <w:p w14:paraId="4341CD0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702" w:type="dxa"/>
          </w:tcPr>
          <w:p w14:paraId="4E63D2B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EC773BE" w14:textId="77777777" w:rsidTr="00EA0DA7">
        <w:tc>
          <w:tcPr>
            <w:tcW w:w="3833" w:type="dxa"/>
          </w:tcPr>
          <w:p w14:paraId="44B260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 снаряд</w:t>
            </w:r>
          </w:p>
        </w:tc>
        <w:tc>
          <w:tcPr>
            <w:tcW w:w="3833" w:type="dxa"/>
          </w:tcPr>
          <w:p w14:paraId="0A2ED0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1,683 кг</w:t>
            </w:r>
          </w:p>
        </w:tc>
        <w:tc>
          <w:tcPr>
            <w:tcW w:w="2702" w:type="dxa"/>
          </w:tcPr>
          <w:p w14:paraId="410458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7,614 кг</w:t>
            </w:r>
          </w:p>
        </w:tc>
      </w:tr>
      <w:tr w:rsidR="00983732" w:rsidRPr="00A3026E" w14:paraId="7C5A572E" w14:textId="77777777" w:rsidTr="00EA0DA7">
        <w:tc>
          <w:tcPr>
            <w:tcW w:w="3833" w:type="dxa"/>
            <w:tcBorders>
              <w:bottom w:val="single" w:sz="12" w:space="0" w:color="auto"/>
            </w:tcBorders>
          </w:tcPr>
          <w:p w14:paraId="24B026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3833" w:type="dxa"/>
            <w:tcBorders>
              <w:bottom w:val="single" w:sz="12" w:space="0" w:color="auto"/>
            </w:tcBorders>
          </w:tcPr>
          <w:p w14:paraId="14C2CF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120083 кг</w:t>
            </w:r>
          </w:p>
        </w:tc>
        <w:tc>
          <w:tcPr>
            <w:tcW w:w="2702" w:type="dxa"/>
            <w:tcBorders>
              <w:bottom w:val="single" w:sz="12" w:space="0" w:color="auto"/>
            </w:tcBorders>
          </w:tcPr>
          <w:p w14:paraId="108FEB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169814 кг</w:t>
            </w:r>
          </w:p>
        </w:tc>
      </w:tr>
    </w:tbl>
    <w:p w14:paraId="30CF847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По баллистическим данным (по начальной скорости), по темпу стрельбы, по эффективности снаряда (вес снаряда, вес разрывного заряда) обе пушки равноценны.</w:t>
      </w:r>
    </w:p>
    <w:p w14:paraId="241A5D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пушка Волкова-Ярцева имеет преимущество по безотказности в работе и по живучести деталей. По весовым данным и по силе отдачи преимущество за пушкой Таубина-Бабурина.</w:t>
      </w:r>
    </w:p>
    <w:p w14:paraId="228CF8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Наиболее сложным вопросом является различие в системе питания: у пушки Волкова-Ярцева питание непрерывное, у пушки Таубина-Бабурина - магазинное.</w:t>
      </w:r>
    </w:p>
    <w:p w14:paraId="1536A7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Преимущества непрерывного питания:</w:t>
      </w:r>
    </w:p>
    <w:p w14:paraId="6CC634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боезапас может быть увеличен до 300 шт. (как на схеме двухмоторного истребителя Микояна-Гуревича); для магазинного питания максимальный боезапас 150 снарядов;</w:t>
      </w:r>
    </w:p>
    <w:p w14:paraId="0ACF29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боезапас может быть расположен так, что не повлияет на конструкцию самолета (например крыла); магазинное питание даже на 60 снарядов требует конструктивное изменение крыла на самолете И-200;</w:t>
      </w:r>
    </w:p>
    <w:p w14:paraId="48886F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месторасположение боезапаса и его количество вызывает только изменение патронного ящика и рукава, т.е. агрегатов не расходных. Звено же остается единым; при магазинном питании требуется наличие 4-х типов магазинов) на 60, 81, 102 и 150 снарядов) и 2-х типов реек (по высоте 9-ти снарядов для магазина 81 и по высоте 6-ти снарядов для магазинов 60, 102 и 150);</w:t>
      </w:r>
    </w:p>
    <w:p w14:paraId="352DF5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сбор звеньев может быть осуществлен сравнительно легко; сбор реек магазина трудно осуществить, так как конструкция "собирателя реек" снижает летно-технические данные самолета;</w:t>
      </w:r>
    </w:p>
    <w:p w14:paraId="3F3AD22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выбрасывание звеньев не вызывает никаких трудностей в снабжении и комплектации) если не принимать в расчет стоимость звена); выбрасывание реек при малейшей нечеткости может вызвать большую путаницу: в часть с рейками 9-ти патронной высоты могут попасть рейки 6-ти патронной высоты и наоборот. Даже комплектация пушек с рейками на полную их живучесть порядка 8100 выстрелов (900-1350 шт. реек) не может предостеречь от путаницы - так в часть, где находятся самолеты с пушками и рейками 9-ти патронной высоты могут попасть пушки с рейками 6-ти патронной высоты и наоборот;</w:t>
      </w:r>
    </w:p>
    <w:p w14:paraId="4E9CC3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магазинное питание при отсутствии правого и левого питания приводит к ассиметричному расположению пушек относительно оси самолета, что значительно снижает меткость стрельбы и вызывает реактивный момент (заворачивание самолета в одну сторону) при стрельбе;</w:t>
      </w:r>
    </w:p>
    <w:p w14:paraId="6EF6EC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экономический эффект беззвеньевого питания весьма сомнителен и требует проверки. В настоящее время звено изготовляется штамповкой, а рейка требует фрезерной работы.</w:t>
      </w:r>
    </w:p>
    <w:p w14:paraId="11DDF1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0A83ED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 Таубина-Бабурина имеет ряд преимуществ перед пушкой Волкова-Ярцева, однако она требует значительной доводки по живучести и уточнения вопроса с питанием, так как магазин на 150 снарядов еще не изготовлен и не испытан.</w:t>
      </w:r>
    </w:p>
    <w:p w14:paraId="024A11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Целесообразно предложить ОКБ-16 после отработки непрерывного питания на пулемете 12,7 проработать вариант непрерывного питания пушки 23 мм.</w:t>
      </w:r>
    </w:p>
    <w:p w14:paraId="6E7B30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Предложить Волкову-Ярцеву и Таубину-Бабурину устранить дефекты пушек в соответствии с требованиями отчета по полигонным испытаниям и подать на контрольные сравнительные полигонные испытания. Для участия в контрольных испытаниях выделить представителей от КО и Наркомата контроля (1248,121).</w:t>
      </w:r>
    </w:p>
    <w:p w14:paraId="07062F9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35D8CC1"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color w:val="000000" w:themeColor="text1"/>
          <w:sz w:val="16"/>
          <w:szCs w:val="16"/>
        </w:rPr>
        <w:lastRenderedPageBreak/>
        <w:t>21 декабря 1940 года было письмо №2736 зам. начальника 7-го Главного управления Залесского наркому Шахурину:</w:t>
      </w:r>
    </w:p>
    <w:p w14:paraId="06ED7F1D"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«…По вопросу: о сравнительных данных пушек Волкова-Ярцева и Таубина-Бабурина калибра 23 мм докладываю:</w:t>
      </w:r>
    </w:p>
    <w:p w14:paraId="60323B73"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1. По безотказности в работе пушка Волкова-Ярцева показала на полигонных испытаниях лучшие результаты:</w:t>
      </w:r>
    </w:p>
    <w:p w14:paraId="021F824C"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а) % боекомплектов с задержками при стрельбе Таубина-Бабурина – 63%, Волкова-Ярцева – 55%</w:t>
      </w:r>
    </w:p>
    <w:p w14:paraId="0DD65715"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б) общий % задержек 1,28% и 0,65%</w:t>
      </w:r>
    </w:p>
    <w:p w14:paraId="72D78051"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в) % задержек по вине пушки 0,21% и 0,05%</w:t>
      </w:r>
    </w:p>
    <w:p w14:paraId="5062A367"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2. По живучести деталей пушка Волкова-Ярцева также показала лучшие результаты:</w:t>
      </w:r>
    </w:p>
    <w:p w14:paraId="7323898C"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а) общее количество выстрелов Таубина-Бабурина – 3710; Волкова-Ярцева – 6567</w:t>
      </w:r>
    </w:p>
    <w:p w14:paraId="3560A59D"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б) количество выстрелов до 1-й поломки 720 и 1415</w:t>
      </w:r>
    </w:p>
    <w:p w14:paraId="57BE4549"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в) количество поломок 31 и 16</w:t>
      </w:r>
    </w:p>
    <w:p w14:paraId="3974E5C6"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г) % задержек по вине поломок 0,62% и 0,10%</w:t>
      </w:r>
    </w:p>
    <w:p w14:paraId="549FB81E"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3. По количеству деталей также имеется некоторое преимущество у пушки Волкова-Ярцева, так как магазин у пушки Таубина-Бабурина фактически является приемником, то есть агрегатом пушки:</w:t>
      </w:r>
    </w:p>
    <w:p w14:paraId="0E6732EA"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а) кол-во технологич. деталей пушки (в том числе деталей магазина-77) Таубина-Бабурина – 170; Волкова-Ярцева – 109. Из них пружин (в том числе – пружин магазина-12) 23 и 19.</w:t>
      </w:r>
    </w:p>
    <w:p w14:paraId="2818F095"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б) кол-во эксплоатацион. деталей (для полной чистки) 12 и 25</w:t>
      </w:r>
    </w:p>
    <w:p w14:paraId="5FD25919"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4. По габаритам оружия имеются положительные и отрицательные стороны у обоих пушек:</w:t>
      </w:r>
    </w:p>
    <w:p w14:paraId="23B0ED2C"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а) по габаритам автомата преимущество за пушкой Таубина-Бабурина, особенно по высоте: длина пушки Таубина-Бабурина – 2310 мм; Волкова-Ярцева – 2140 мм; ширина пушки 145 мм и 165 мм; высота пушки 110 мм и 205 мм</w:t>
      </w:r>
    </w:p>
    <w:p w14:paraId="558789B3"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б) Однако, следует учитывать габариты магазина у пушки Таубина-Бабурина (ширина – 160 мм, высота – 150 мм для магазина на 81 снаряд), а также пространство, необходимое для поднятия крышки у пушки Волкова-Ярцева, для установки патронного ящика и для подвода рукава питания.</w:t>
      </w:r>
    </w:p>
    <w:p w14:paraId="4BBA7444"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5. По силе отдачи преимущество за пушкой Таубина-Бабурина – 2200 кг, в то время, как у пушки Волкова-Ярцева сила отдачи – 2900 кг при откате на 9,5 мм. Противооткатное устройство входит органически в конструкцию пушки Таубина-Бабурина, а система Волкова-Ярцева требует противооткатное устройство в лафете. Вот почему лафеты, сконструированные одним и тем же заводом (завод N 1) для обеих пушек для испытания их на одном и том же самолете (Мессершмидт-110), столь разнятся по весу: Вес лафета для пушки Таубина-Бабурина – 19 кг. Вес лафета для пушки Волкова-Ярцева – 42,5 кг, то есть разница на 23,5 кг.</w:t>
      </w:r>
    </w:p>
    <w:p w14:paraId="4B0B1F2E"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6. По весовым данным преимущество также за пушкой Таубина-Бабурина:</w:t>
      </w:r>
    </w:p>
    <w:p w14:paraId="04B816AF"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а) вес пушки с пневматикой Таубина-Бабурина – 42,8 кг, Волкова-Ярцева – 62,8 кг</w:t>
      </w:r>
    </w:p>
    <w:p w14:paraId="254AEB6D"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б) вес магазина (патронного ящика с рукавом) Таубина-Бабурина – 11,4 кг (на 81 сн), Волкова-Ярцева – 11,7 кг (на 110 сн)</w:t>
      </w:r>
    </w:p>
    <w:p w14:paraId="463682BF"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в) вес установок (лафета) 19 кг и 42,5 кг</w:t>
      </w:r>
    </w:p>
    <w:p w14:paraId="3442C489"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г) вес баллона пневмозарядки с редуктором 7,4 кг и 7,4 кг</w:t>
      </w:r>
    </w:p>
    <w:p w14:paraId="007A8BDF"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д) вес боекомплекта на 81 снаряд 37,8 кг и 37,8 кг</w:t>
      </w:r>
    </w:p>
    <w:p w14:paraId="7854A427"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е) вес реек (звеньев) на 81 снаряд 1,683 кг и 7,614 кг. Итого масса снаряженных пушек Таубина-Бабурина – 120,083 кг; Волкова-Ярцева – 169,814 кг</w:t>
      </w:r>
    </w:p>
    <w:p w14:paraId="622A6A92"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7. По баллистическим данным (по начальной скорости), по темпу стрельбы, по эффективности снаряда (вес снаряда, вес разрывного заряда) обе пушки равноценны.</w:t>
      </w:r>
    </w:p>
    <w:p w14:paraId="104758E8"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Таким образом, пушка Волкова-Ярцева имеет преимущество по безотказности в работе и по живучести деталей. По весовым данным и по силе отдачи преимущество за пушкой Таубина-Бабурина. Наиболее сложным вопросом является различие в системе питания: у пушки Волкова-Ярцева питание непрерывное, у пушки Таубина-Бабурина – магазинное.</w:t>
      </w:r>
    </w:p>
    <w:p w14:paraId="1C2A650B"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1. Преимущества непрерывного питания:</w:t>
      </w:r>
    </w:p>
    <w:p w14:paraId="217329A5"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а) боезапас может быть увеличен до 300 шт. (как на схеме двухмоторного истребителя Микояна-Гуревича); для магазинного питания максимальный боезапас 150 снарядов;</w:t>
      </w:r>
    </w:p>
    <w:p w14:paraId="5A115FD4"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б) боезапас может быть расположен так, что не повлияет на конструкцию самолета (например крыла); магазинное питание даже на 60 снарядов требует конструктивное изменение крыла на самолете И-200;</w:t>
      </w:r>
    </w:p>
    <w:p w14:paraId="67962D64"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в) месторасположение боезапаса и его количество вызывает только изменение патронного ящика и рукава, т.е. агрегатов не расходных. Звено же остается единым; при магазинном питании требуется наличие 4-х типов магазинов (на 60, 81, 102 и 150 снарядов) и 2-х типов реек (по высоте 9-ти снарядов для магазина 81 и по высоте 6-ти снарядов для магазинов 60, 102 и 150);</w:t>
      </w:r>
    </w:p>
    <w:p w14:paraId="07584C51"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г) сбор звеньев может быть осуществлен сравнительно легко; сбор реек магазина трудно осуществить, так как конструкция «собирателя реек» снижает летно-технические данные самолета;</w:t>
      </w:r>
    </w:p>
    <w:p w14:paraId="617483FC"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д) выбрасывание звеньев не вызывает никаких трудностей в снабжении и комплектации (если не принимать в расчет стоимость звена); выбрасывание реек при малейшей нечеткости может вызвать большую путаницу: в часть с рейками 9-ти патронной высоты могут попасть рейки 6-ти патронной высоты и наоборот. Даже комплектация пушек с рейками на полную их живучесть порядка 8100 выстрелов (900–1350 шт. реек) не может предостеречь от путаницы – так в часть, где находятся самолеты с пушками и рейками 9-ти патронной высоты, могут попасть пушки с рейками 6-ти патронной высоты и наоборот;</w:t>
      </w:r>
    </w:p>
    <w:p w14:paraId="4DF83C1A"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е) магазинное питание при отсутствии правого и левого питания приводит к ассиметричному расположению пушек относительно оси самолета, что значительно снижает меткость стрельбы и вызывает реактивный момент (заворачивание самолета в одну сторону) при стрельбе;</w:t>
      </w:r>
    </w:p>
    <w:p w14:paraId="47269E51"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ж) экономический эффект беззвеньевого питания весьма сомнителен и требует проверки. В настоящее время звено изготовляется штамповкой, а рейка требует фрезерной работы.</w:t>
      </w:r>
    </w:p>
    <w:p w14:paraId="2F946058"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Выводы:</w:t>
      </w:r>
    </w:p>
    <w:p w14:paraId="6A40DE6B"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1. Пушка Таубина-Бабурина имеет ряд преимуществ перед пушкой Волкова-Ярцева, однако она требует значительной доводки по живучести и уточнения вопроса с питанием, так как магазин на 150 снарядов еще не изготовлен и не испытан.</w:t>
      </w:r>
    </w:p>
    <w:p w14:paraId="55A18F87" w14:textId="77777777" w:rsidR="007541EB" w:rsidRPr="00A3026E" w:rsidRDefault="007541EB" w:rsidP="00A3026E">
      <w:pPr>
        <w:pStyle w:val="rtejustify"/>
        <w:shd w:val="clear" w:color="auto" w:fill="FFFFFF"/>
        <w:spacing w:before="0" w:after="0"/>
        <w:rPr>
          <w:color w:val="000000" w:themeColor="text1"/>
          <w:sz w:val="16"/>
          <w:szCs w:val="16"/>
        </w:rPr>
      </w:pPr>
      <w:r w:rsidRPr="00A3026E">
        <w:rPr>
          <w:rStyle w:val="af0"/>
          <w:i w:val="0"/>
          <w:color w:val="000000" w:themeColor="text1"/>
          <w:sz w:val="16"/>
          <w:szCs w:val="16"/>
          <w:bdr w:val="none" w:sz="0" w:space="0" w:color="auto" w:frame="1"/>
        </w:rPr>
        <w:t>2. Целесообразно предложить ОКБ-16 после отработки непрерывного питания на пулемете 12,7 проработать вариант непрерывного питания пушки 23 мм.</w:t>
      </w:r>
    </w:p>
    <w:p w14:paraId="320C1406" w14:textId="77777777" w:rsidR="007541EB" w:rsidRPr="00A3026E" w:rsidRDefault="007541EB" w:rsidP="00A3026E">
      <w:pPr>
        <w:pStyle w:val="rtejustify"/>
        <w:shd w:val="clear" w:color="auto" w:fill="FFFFFF"/>
        <w:spacing w:before="0" w:after="0"/>
        <w:rPr>
          <w:rStyle w:val="af0"/>
          <w:i w:val="0"/>
          <w:color w:val="000000" w:themeColor="text1"/>
          <w:sz w:val="16"/>
          <w:szCs w:val="16"/>
          <w:bdr w:val="none" w:sz="0" w:space="0" w:color="auto" w:frame="1"/>
        </w:rPr>
      </w:pPr>
      <w:r w:rsidRPr="00A3026E">
        <w:rPr>
          <w:rStyle w:val="af0"/>
          <w:i w:val="0"/>
          <w:color w:val="000000" w:themeColor="text1"/>
          <w:sz w:val="16"/>
          <w:szCs w:val="16"/>
          <w:bdr w:val="none" w:sz="0" w:space="0" w:color="auto" w:frame="1"/>
        </w:rPr>
        <w:t>3. Предложить Волкову-Ярцеву и Таубину-Бабурину устранить дефекты пушек в соответствии с требованиями отчета по полигонным испытаниям и подать на контрольные сравнительные полигонные испытания. Для участия в контрольных испытаниях выделить представителей от КО и Наркомата контроля.» (19192)</w:t>
      </w:r>
    </w:p>
    <w:p w14:paraId="1468E5D3" w14:textId="77777777" w:rsidR="007541EB" w:rsidRPr="00A3026E" w:rsidRDefault="007541EB" w:rsidP="00A3026E">
      <w:pPr>
        <w:pStyle w:val="rtejustify"/>
        <w:shd w:val="clear" w:color="auto" w:fill="FFFFFF"/>
        <w:spacing w:before="0" w:after="0"/>
        <w:rPr>
          <w:color w:val="000000" w:themeColor="text1"/>
          <w:sz w:val="16"/>
          <w:szCs w:val="16"/>
        </w:rPr>
      </w:pPr>
    </w:p>
    <w:p w14:paraId="174599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года Начальник 5 отдела НИИ ВВС в/инженер 1 ранга Саморуков утвердил Отчет по замеру перегрузок при взлете, посадке и рулежке самолета ДБ-3 № 1606 (6762).</w:t>
      </w:r>
    </w:p>
    <w:p w14:paraId="6422B3D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225AF5F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инженер 14 отдела Казанский</w:t>
      </w:r>
    </w:p>
    <w:p w14:paraId="169B901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68F306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Получить данные по величинам перегрузок, возникающих на самолете ДБ-3 при взлете, посадке и рулежке в аэродромных условиях.</w:t>
      </w:r>
    </w:p>
    <w:p w14:paraId="4E46FE7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 испытаний</w:t>
      </w:r>
    </w:p>
    <w:p w14:paraId="149DD4C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ДБ-3 № 1606, двухмоторный бомбардировщик. Полетный вес 6700 кг. Посадочная скорость – 115 км/час.</w:t>
      </w:r>
    </w:p>
    <w:p w14:paraId="05F9C30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59BC5F8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2AA9926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Наибольшая величина перегрузок получена для носовой части самолета (6762).</w:t>
      </w:r>
    </w:p>
    <w:p w14:paraId="4662B43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53A875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ТБ-7 с М-40 после заводских испытаний (за исключением полета на продолжительность), которые проводились на 124 заводе с 13 октября 1940, когда состоялся первый полет до 15 декабря 1940, перелетел в Москву на аэродром ЦАГИ (1295,363).</w:t>
      </w:r>
    </w:p>
    <w:p w14:paraId="00A8E43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A47D2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закончились заводские испытания головного Пе-2 39 завода, которые начались 14 декабря 1940 (769,2).</w:t>
      </w:r>
    </w:p>
    <w:p w14:paraId="605A750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949BD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вышел приказ НКАП N 765cc, согласно которому в исполнение Постановления Правительства от 20 декабря 1940 о программе завода N 39 на 1941 было приказано директору Соколову обеспечить выпуск самолетов Пе-2 по самолету через день (531).</w:t>
      </w:r>
    </w:p>
    <w:p w14:paraId="6CF7DDC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исполнение постановления правительства от 20 декабря 1940 года о программе завода № 39 на 1941 ПРИКАЗЫВАЮ:</w:t>
      </w:r>
    </w:p>
    <w:p w14:paraId="7C03BB9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Директору завода № 39 тов. СОКОЛОВУ обеспечить выпуск самолетов Пе-2 по следущецу графику:</w:t>
      </w:r>
    </w:p>
    <w:p w14:paraId="36404E6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23 декабря 1940 г.</w:t>
      </w:r>
      <w:r w:rsidRPr="00A3026E">
        <w:rPr>
          <w:rFonts w:ascii="Times New Roman" w:hAnsi="Times New Roman"/>
          <w:color w:val="000000" w:themeColor="text1"/>
          <w:sz w:val="16"/>
          <w:szCs w:val="16"/>
        </w:rPr>
        <w:tab/>
        <w:t>1 самолет</w:t>
      </w:r>
    </w:p>
    <w:p w14:paraId="5C0D527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27 -“- -"- </w:t>
      </w:r>
      <w:r w:rsidRPr="00A3026E">
        <w:rPr>
          <w:rFonts w:ascii="Times New Roman" w:hAnsi="Times New Roman"/>
          <w:color w:val="000000" w:themeColor="text1"/>
          <w:sz w:val="16"/>
          <w:szCs w:val="16"/>
        </w:rPr>
        <w:tab/>
        <w:t>1 -“-</w:t>
      </w:r>
    </w:p>
    <w:p w14:paraId="0622434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 -"-</w:t>
      </w:r>
      <w:r w:rsidRPr="00A3026E">
        <w:rPr>
          <w:rFonts w:ascii="Times New Roman" w:hAnsi="Times New Roman"/>
          <w:color w:val="000000" w:themeColor="text1"/>
          <w:sz w:val="16"/>
          <w:szCs w:val="16"/>
        </w:rPr>
        <w:tab/>
        <w:t xml:space="preserve"> 1 -</w:t>
      </w:r>
      <w:r w:rsidRPr="00A3026E">
        <w:rPr>
          <w:rFonts w:ascii="Times New Roman" w:hAnsi="Times New Roman"/>
          <w:color w:val="000000" w:themeColor="text1"/>
          <w:sz w:val="16"/>
          <w:szCs w:val="16"/>
          <w:vertAlign w:val="superscript"/>
        </w:rPr>
        <w:t>п</w:t>
      </w:r>
      <w:r w:rsidRPr="00A3026E">
        <w:rPr>
          <w:rFonts w:ascii="Times New Roman" w:hAnsi="Times New Roman"/>
          <w:color w:val="000000" w:themeColor="text1"/>
          <w:sz w:val="16"/>
          <w:szCs w:val="16"/>
        </w:rPr>
        <w:t>-</w:t>
      </w:r>
    </w:p>
    <w:p w14:paraId="6B7CBC2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б) с 2 января 1941 года по 8 февраля 1941 года по одному самолету через один день</w:t>
      </w:r>
    </w:p>
    <w:p w14:paraId="2B4B4CE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Директорам заводов №№ 22 и 39 и начальнику треста Оргавиапром тов. ШТЕЙНБЕРГУ спректиовати наготовить штампы для штамповки 75 деталей из цветных металлов в следующие сроки:</w:t>
      </w:r>
    </w:p>
    <w:p w14:paraId="02D23C3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Завод № 1 до 10 января 1941 года</w:t>
      </w:r>
      <w:r w:rsidRPr="00A3026E">
        <w:rPr>
          <w:rFonts w:ascii="Times New Roman" w:hAnsi="Times New Roman"/>
          <w:color w:val="000000" w:themeColor="text1"/>
          <w:sz w:val="16"/>
          <w:szCs w:val="16"/>
        </w:rPr>
        <w:tab/>
        <w:t>10 наименований</w:t>
      </w:r>
    </w:p>
    <w:p w14:paraId="565D055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20 -“-</w:t>
      </w:r>
      <w:r w:rsidRPr="00A3026E">
        <w:rPr>
          <w:rFonts w:ascii="Times New Roman" w:hAnsi="Times New Roman"/>
          <w:color w:val="000000" w:themeColor="text1"/>
          <w:sz w:val="16"/>
          <w:szCs w:val="16"/>
        </w:rPr>
        <w:tab/>
        <w:t>20 -“-</w:t>
      </w:r>
    </w:p>
    <w:p w14:paraId="49A1A72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Завод № 22 до 10 -"-</w:t>
      </w:r>
      <w:r w:rsidRPr="00A3026E">
        <w:rPr>
          <w:rFonts w:ascii="Times New Roman" w:hAnsi="Times New Roman"/>
          <w:color w:val="000000" w:themeColor="text1"/>
          <w:sz w:val="16"/>
          <w:szCs w:val="16"/>
        </w:rPr>
        <w:tab/>
        <w:t>5</w:t>
      </w:r>
    </w:p>
    <w:p w14:paraId="599672E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20 -"-</w:t>
      </w:r>
      <w:r w:rsidRPr="00A3026E">
        <w:rPr>
          <w:rFonts w:ascii="Times New Roman" w:hAnsi="Times New Roman"/>
          <w:color w:val="000000" w:themeColor="text1"/>
          <w:sz w:val="16"/>
          <w:szCs w:val="16"/>
        </w:rPr>
        <w:tab/>
        <w:t>10</w:t>
      </w:r>
    </w:p>
    <w:p w14:paraId="7BC241A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1 февраля 1941 года</w:t>
      </w:r>
      <w:r w:rsidRPr="00A3026E">
        <w:rPr>
          <w:rFonts w:ascii="Times New Roman" w:hAnsi="Times New Roman"/>
          <w:color w:val="000000" w:themeColor="text1"/>
          <w:sz w:val="16"/>
          <w:szCs w:val="16"/>
        </w:rPr>
        <w:tab/>
        <w:t>15</w:t>
      </w:r>
    </w:p>
    <w:p w14:paraId="665CD58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Завод № 39 до 10 января 1941 года</w:t>
      </w:r>
      <w:r w:rsidRPr="00A3026E">
        <w:rPr>
          <w:rFonts w:ascii="Times New Roman" w:hAnsi="Times New Roman"/>
          <w:color w:val="000000" w:themeColor="text1"/>
          <w:sz w:val="16"/>
          <w:szCs w:val="16"/>
        </w:rPr>
        <w:tab/>
        <w:t xml:space="preserve"> 15</w:t>
      </w:r>
    </w:p>
    <w:p w14:paraId="127817E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20 -"-</w:t>
      </w:r>
      <w:r w:rsidRPr="00A3026E">
        <w:rPr>
          <w:rFonts w:ascii="Times New Roman" w:hAnsi="Times New Roman"/>
          <w:color w:val="000000" w:themeColor="text1"/>
          <w:sz w:val="16"/>
          <w:szCs w:val="16"/>
        </w:rPr>
        <w:tab/>
        <w:t>30</w:t>
      </w:r>
    </w:p>
    <w:p w14:paraId="243A92F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"Оргавиапром” до 20 января 1941 г.</w:t>
      </w:r>
      <w:r w:rsidRPr="00A3026E">
        <w:rPr>
          <w:rFonts w:ascii="Times New Roman" w:hAnsi="Times New Roman"/>
          <w:color w:val="000000" w:themeColor="text1"/>
          <w:sz w:val="16"/>
          <w:szCs w:val="16"/>
        </w:rPr>
        <w:tab/>
        <w:t>10</w:t>
      </w:r>
    </w:p>
    <w:p w14:paraId="762442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Штампы проектировать под оборудование завода № 95.</w:t>
      </w:r>
    </w:p>
    <w:p w14:paraId="68153AB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Директорт завода № 22 тов. ОКУЛОВУ и директору завода № 95 тов. ВИШТЕНЕЦКОМУ обеспечить подачу заводу № 39 штампованных деталей из цветных металлов в количестве наименований:</w:t>
      </w:r>
    </w:p>
    <w:p w14:paraId="117B81A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завода № 95 - 150 наименований</w:t>
      </w:r>
    </w:p>
    <w:p w14:paraId="4A29124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завода № 22 — 66 -</w:t>
      </w:r>
      <w:r w:rsidRPr="00A3026E">
        <w:rPr>
          <w:rFonts w:ascii="Times New Roman" w:hAnsi="Times New Roman"/>
          <w:color w:val="000000" w:themeColor="text1"/>
          <w:sz w:val="16"/>
          <w:szCs w:val="16"/>
          <w:vertAlign w:val="superscript"/>
        </w:rPr>
        <w:t>и</w:t>
      </w:r>
      <w:r w:rsidRPr="00A3026E">
        <w:rPr>
          <w:rFonts w:ascii="Times New Roman" w:hAnsi="Times New Roman"/>
          <w:color w:val="000000" w:themeColor="text1"/>
          <w:sz w:val="16"/>
          <w:szCs w:val="16"/>
        </w:rPr>
        <w:t>-</w:t>
      </w:r>
    </w:p>
    <w:p w14:paraId="24AFBD6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Поставку производить по графику завода № 39, утвержденному моим заместителем тов. ВОРОНИНЫМ (531,8).</w:t>
      </w:r>
    </w:p>
    <w:p w14:paraId="050229C8" w14:textId="77777777" w:rsidR="0014077F" w:rsidRPr="00A3026E" w:rsidRDefault="0014077F" w:rsidP="00A3026E">
      <w:pPr>
        <w:pStyle w:val="Iauiue"/>
        <w:jc w:val="both"/>
        <w:rPr>
          <w:color w:val="000000" w:themeColor="text1"/>
          <w:sz w:val="16"/>
          <w:szCs w:val="16"/>
        </w:rPr>
      </w:pPr>
    </w:p>
    <w:p w14:paraId="3F099F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СНК и ЦК ВКП(б) приняли постановление N 2610-1193сс о том, что мощности 31 завода не используются полностью и должны производить до 1200 ЛаГГ-3 (417,1).</w:t>
      </w:r>
    </w:p>
    <w:p w14:paraId="6F44FDA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4C4AD2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на И-187 М-81 заменили вал редуктора и вновь опробовали двигатель (9979).</w:t>
      </w:r>
    </w:p>
    <w:p w14:paraId="4833091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68F03DA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первая партия МиГ-1 прибыла в Евпаторию. Их собрали к Новому году, а вплоть до начала февраля 1941 г. в ос</w:t>
      </w:r>
      <w:r w:rsidRPr="00A3026E">
        <w:rPr>
          <w:rFonts w:ascii="Times New Roman" w:hAnsi="Times New Roman"/>
          <w:color w:val="000000" w:themeColor="text1"/>
          <w:sz w:val="16"/>
          <w:szCs w:val="16"/>
        </w:rPr>
        <w:softHyphen/>
        <w:t>новном занимались доработками: перерегулировали автомат постоянства давления, отлаживали шасси и винтомоторную группу и др. Но и февраль не пора</w:t>
      </w:r>
      <w:r w:rsidRPr="00A3026E">
        <w:rPr>
          <w:rFonts w:ascii="Times New Roman" w:hAnsi="Times New Roman"/>
          <w:color w:val="000000" w:themeColor="text1"/>
          <w:sz w:val="16"/>
          <w:szCs w:val="16"/>
        </w:rPr>
        <w:softHyphen/>
        <w:t>довал: за весь месяц было всего четыре летных дня. В один из них самолеты перелетели в Качу, а за другие дни сделали еще 35 полетов. К этому времени Микулин уже «расписался» в недостаточной подготовлен</w:t>
      </w:r>
      <w:r w:rsidRPr="00A3026E">
        <w:rPr>
          <w:rFonts w:ascii="Times New Roman" w:hAnsi="Times New Roman"/>
          <w:color w:val="000000" w:themeColor="text1"/>
          <w:sz w:val="16"/>
          <w:szCs w:val="16"/>
        </w:rPr>
        <w:softHyphen/>
        <w:t>ности моторов первых МиГов к испытаниям, предложив их прекратить и взамен поставить машины более позднего времени выпуска. Но военные заупрямились: ведь проверке подлежала не только винтомоторная группа, но и другие системы и агре</w:t>
      </w:r>
      <w:r w:rsidRPr="00A3026E">
        <w:rPr>
          <w:rFonts w:ascii="Times New Roman" w:hAnsi="Times New Roman"/>
          <w:color w:val="000000" w:themeColor="text1"/>
          <w:sz w:val="16"/>
          <w:szCs w:val="16"/>
        </w:rPr>
        <w:softHyphen/>
        <w:t>гаты (9984).</w:t>
      </w:r>
    </w:p>
    <w:p w14:paraId="6379ED0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578743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А.И.Ш. направил И.В.С. с письмом N 6589 модель ИТП Н.Н.П. с 37 мм пушкой (1178).</w:t>
      </w:r>
    </w:p>
    <w:p w14:paraId="7B23CF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Видно по запросу.</w:t>
      </w:r>
    </w:p>
    <w:p w14:paraId="27DBEE1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B49AF9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w:t>
      </w:r>
      <w:r w:rsidRPr="00A3026E">
        <w:rPr>
          <w:rFonts w:ascii="Times New Roman" w:hAnsi="Times New Roman"/>
          <w:color w:val="000000" w:themeColor="text1"/>
          <w:sz w:val="16"/>
          <w:szCs w:val="16"/>
        </w:rPr>
        <w:softHyphen/>
        <w:t>кабря 1940 года Решением Политбюро ЦК ВКП(б) №П 24 /132 - ОП было утверждено совместное Постановление СНК СССР и ЦК ВКП(б) «О Таганрогском заводе № 31 НКАП». В нем, в частности, говорилось, что крупный и хорошо оснащенный завод, на котором работало 8600 рабо</w:t>
      </w:r>
      <w:r w:rsidRPr="00A3026E">
        <w:rPr>
          <w:rFonts w:ascii="Times New Roman" w:hAnsi="Times New Roman"/>
          <w:color w:val="000000" w:themeColor="text1"/>
          <w:sz w:val="16"/>
          <w:szCs w:val="16"/>
        </w:rPr>
        <w:softHyphen/>
        <w:t>чих и служащих (из них - 1200 инженерно-технических работников), не ис</w:t>
      </w:r>
      <w:r w:rsidRPr="00A3026E">
        <w:rPr>
          <w:rFonts w:ascii="Times New Roman" w:hAnsi="Times New Roman"/>
          <w:color w:val="000000" w:themeColor="text1"/>
          <w:sz w:val="16"/>
          <w:szCs w:val="16"/>
        </w:rPr>
        <w:softHyphen/>
        <w:t>пользует мощностей, так как дал всего 73 самолета в 1940 году. Было принято решение освободить завод от производства Су-2 с передачей оснастки на их изготовление заводу № 207, а также от производства морских самолетов МДР-6 с передачей оснастки, соответственно, на авиазавод № ЗО (РГАСПИ. Ф. 17. Оп. 162. Д. 31. Л. 24.) (11710,216).</w:t>
      </w:r>
    </w:p>
    <w:p w14:paraId="14E2E9E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60345B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года за № 3/00214 из НИИ ВВС были получены Летно-тактические данные по отечественным самолетам – эталон 1940 года (6630).</w:t>
      </w:r>
    </w:p>
    <w:p w14:paraId="539D644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Указанные в приложенных таблицах данные по серийным и опытным самолетам являются единственными сведениями – эталонами по самолетам, прошедшим гос. испытания.</w:t>
      </w:r>
    </w:p>
    <w:p w14:paraId="581D540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Только данные из этих таблиц и должны даваться при всех справках и сравнительных сопоставлениях в отчетах.</w:t>
      </w:r>
    </w:p>
    <w:p w14:paraId="782CA4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НИИ ВВС генерал-майор авиации Филин.</w:t>
      </w:r>
    </w:p>
    <w:p w14:paraId="63AF78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для справок</w:t>
      </w:r>
    </w:p>
    <w:p w14:paraId="5DBB04A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серийным и опытным самолетам</w:t>
      </w:r>
    </w:p>
    <w:p w14:paraId="6AAE57E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Представлены зам. начальника ГУ ВВС генерал-лейтенанту авиации Гусеву 10 октября 1940 года за № 3/00140 сс и в секретариат КО при СНК Осипенко 16 октября за № 3/00154 сс (6630).</w:t>
      </w:r>
    </w:p>
    <w:p w14:paraId="3D6E2B1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Истребители</w:t>
      </w:r>
    </w:p>
    <w:p w14:paraId="46777E0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 с М-25В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912"/>
      </w:tblGrid>
      <w:tr w:rsidR="00983732" w:rsidRPr="00A3026E" w14:paraId="53256C25" w14:textId="77777777" w:rsidTr="00EA0DA7">
        <w:tc>
          <w:tcPr>
            <w:tcW w:w="5636" w:type="dxa"/>
            <w:tcBorders>
              <w:top w:val="single" w:sz="12" w:space="0" w:color="auto"/>
            </w:tcBorders>
          </w:tcPr>
          <w:p w14:paraId="712A8B4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912" w:type="dxa"/>
            <w:tcBorders>
              <w:top w:val="single" w:sz="12" w:space="0" w:color="auto"/>
            </w:tcBorders>
          </w:tcPr>
          <w:p w14:paraId="082D767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750/2900</w:t>
            </w:r>
          </w:p>
        </w:tc>
      </w:tr>
      <w:tr w:rsidR="00983732" w:rsidRPr="00A3026E" w14:paraId="0481FF17" w14:textId="77777777" w:rsidTr="00EA0DA7">
        <w:tc>
          <w:tcPr>
            <w:tcW w:w="5636" w:type="dxa"/>
          </w:tcPr>
          <w:p w14:paraId="5DB2AF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912" w:type="dxa"/>
          </w:tcPr>
          <w:p w14:paraId="2B129F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1726,5</w:t>
            </w:r>
          </w:p>
        </w:tc>
      </w:tr>
      <w:tr w:rsidR="00983732" w:rsidRPr="00A3026E" w14:paraId="57011B6A" w14:textId="77777777" w:rsidTr="00EA0DA7">
        <w:tc>
          <w:tcPr>
            <w:tcW w:w="5636" w:type="dxa"/>
          </w:tcPr>
          <w:p w14:paraId="0A23B98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912" w:type="dxa"/>
          </w:tcPr>
          <w:p w14:paraId="1791FF7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C41FD48" w14:textId="77777777" w:rsidTr="00EA0DA7">
        <w:tc>
          <w:tcPr>
            <w:tcW w:w="5636" w:type="dxa"/>
          </w:tcPr>
          <w:p w14:paraId="6085A66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912" w:type="dxa"/>
          </w:tcPr>
          <w:p w14:paraId="024D58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398</w:t>
            </w:r>
          </w:p>
        </w:tc>
      </w:tr>
      <w:tr w:rsidR="00983732" w:rsidRPr="00A3026E" w14:paraId="367823EC" w14:textId="77777777" w:rsidTr="00EA0DA7">
        <w:tc>
          <w:tcPr>
            <w:tcW w:w="5636" w:type="dxa"/>
          </w:tcPr>
          <w:p w14:paraId="3A9E958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912" w:type="dxa"/>
          </w:tcPr>
          <w:p w14:paraId="70DBAC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448/3160</w:t>
            </w:r>
          </w:p>
        </w:tc>
      </w:tr>
      <w:tr w:rsidR="00983732" w:rsidRPr="00A3026E" w14:paraId="32FAA67A" w14:textId="77777777" w:rsidTr="00EA0DA7">
        <w:tc>
          <w:tcPr>
            <w:tcW w:w="5636" w:type="dxa"/>
          </w:tcPr>
          <w:p w14:paraId="3A06E84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912" w:type="dxa"/>
          </w:tcPr>
          <w:p w14:paraId="3609D9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448/3160</w:t>
            </w:r>
          </w:p>
        </w:tc>
      </w:tr>
      <w:tr w:rsidR="00983732" w:rsidRPr="00A3026E" w14:paraId="6656D2F4" w14:textId="77777777" w:rsidTr="00EA0DA7">
        <w:tc>
          <w:tcPr>
            <w:tcW w:w="5636" w:type="dxa"/>
          </w:tcPr>
          <w:p w14:paraId="54D16B7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912" w:type="dxa"/>
          </w:tcPr>
          <w:p w14:paraId="01138E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 без щитков</w:t>
            </w:r>
          </w:p>
        </w:tc>
      </w:tr>
      <w:tr w:rsidR="00983732" w:rsidRPr="00A3026E" w14:paraId="070A3C13" w14:textId="77777777" w:rsidTr="00EA0DA7">
        <w:tc>
          <w:tcPr>
            <w:tcW w:w="5636" w:type="dxa"/>
          </w:tcPr>
          <w:p w14:paraId="2BE7B7A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912" w:type="dxa"/>
          </w:tcPr>
          <w:p w14:paraId="737C6A6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16-18/1000</w:t>
            </w:r>
          </w:p>
        </w:tc>
      </w:tr>
      <w:tr w:rsidR="00983732" w:rsidRPr="00A3026E" w14:paraId="68EA1067" w14:textId="77777777" w:rsidTr="00EA0DA7">
        <w:tc>
          <w:tcPr>
            <w:tcW w:w="5636" w:type="dxa"/>
          </w:tcPr>
          <w:p w14:paraId="2EAF4BC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912" w:type="dxa"/>
          </w:tcPr>
          <w:p w14:paraId="15FB68A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6,8/5000</w:t>
            </w:r>
          </w:p>
        </w:tc>
      </w:tr>
      <w:tr w:rsidR="00983732" w:rsidRPr="00A3026E" w14:paraId="0A6A1A9A" w14:textId="77777777" w:rsidTr="00EA0DA7">
        <w:tc>
          <w:tcPr>
            <w:tcW w:w="5636" w:type="dxa"/>
          </w:tcPr>
          <w:p w14:paraId="76841B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912" w:type="dxa"/>
          </w:tcPr>
          <w:p w14:paraId="451D26E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8260</w:t>
            </w:r>
          </w:p>
        </w:tc>
      </w:tr>
      <w:tr w:rsidR="00983732" w:rsidRPr="00A3026E" w14:paraId="3BF1B399" w14:textId="77777777" w:rsidTr="00EA0DA7">
        <w:tc>
          <w:tcPr>
            <w:tcW w:w="5636" w:type="dxa"/>
          </w:tcPr>
          <w:p w14:paraId="238B3FA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912" w:type="dxa"/>
          </w:tcPr>
          <w:p w14:paraId="30154B2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FFB1F39" w14:textId="77777777" w:rsidTr="00EA0DA7">
        <w:tc>
          <w:tcPr>
            <w:tcW w:w="5636" w:type="dxa"/>
          </w:tcPr>
          <w:p w14:paraId="4283BB8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912" w:type="dxa"/>
          </w:tcPr>
          <w:p w14:paraId="52BE777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440/3160</w:t>
            </w:r>
          </w:p>
        </w:tc>
      </w:tr>
      <w:tr w:rsidR="00983732" w:rsidRPr="00A3026E" w14:paraId="31B78291" w14:textId="77777777" w:rsidTr="00EA0DA7">
        <w:tc>
          <w:tcPr>
            <w:tcW w:w="5636" w:type="dxa"/>
          </w:tcPr>
          <w:p w14:paraId="0FE9B09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912" w:type="dxa"/>
          </w:tcPr>
          <w:p w14:paraId="132947E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525/3160</w:t>
            </w:r>
          </w:p>
        </w:tc>
      </w:tr>
      <w:tr w:rsidR="00983732" w:rsidRPr="00A3026E" w14:paraId="5534814B" w14:textId="77777777" w:rsidTr="00EA0DA7">
        <w:tc>
          <w:tcPr>
            <w:tcW w:w="5636" w:type="dxa"/>
          </w:tcPr>
          <w:p w14:paraId="6818C9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912" w:type="dxa"/>
          </w:tcPr>
          <w:p w14:paraId="1A0537A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CEFE102" w14:textId="77777777" w:rsidTr="00EA0DA7">
        <w:tc>
          <w:tcPr>
            <w:tcW w:w="5636" w:type="dxa"/>
          </w:tcPr>
          <w:p w14:paraId="5A50F79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912" w:type="dxa"/>
          </w:tcPr>
          <w:p w14:paraId="6F37DB9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260/14,2</w:t>
            </w:r>
          </w:p>
        </w:tc>
      </w:tr>
      <w:tr w:rsidR="00983732" w:rsidRPr="00A3026E" w14:paraId="35485DFA" w14:textId="77777777" w:rsidTr="00EA0DA7">
        <w:tc>
          <w:tcPr>
            <w:tcW w:w="5636" w:type="dxa"/>
          </w:tcPr>
          <w:p w14:paraId="2997E99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912" w:type="dxa"/>
          </w:tcPr>
          <w:p w14:paraId="43E7F90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288/23,3</w:t>
            </w:r>
          </w:p>
        </w:tc>
      </w:tr>
      <w:tr w:rsidR="00983732" w:rsidRPr="00A3026E" w14:paraId="079B06C3" w14:textId="77777777" w:rsidTr="00EA0DA7">
        <w:tc>
          <w:tcPr>
            <w:tcW w:w="5636" w:type="dxa"/>
          </w:tcPr>
          <w:p w14:paraId="344A05A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912" w:type="dxa"/>
          </w:tcPr>
          <w:p w14:paraId="16C7BC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8040A72" w14:textId="77777777" w:rsidTr="00EA0DA7">
        <w:tc>
          <w:tcPr>
            <w:tcW w:w="5636" w:type="dxa"/>
          </w:tcPr>
          <w:p w14:paraId="615F1DC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912" w:type="dxa"/>
          </w:tcPr>
          <w:p w14:paraId="1905A1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5028D3B0" w14:textId="77777777" w:rsidTr="00EA0DA7">
        <w:tc>
          <w:tcPr>
            <w:tcW w:w="5636" w:type="dxa"/>
            <w:tcBorders>
              <w:bottom w:val="single" w:sz="12" w:space="0" w:color="auto"/>
            </w:tcBorders>
          </w:tcPr>
          <w:p w14:paraId="1E11708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912" w:type="dxa"/>
            <w:tcBorders>
              <w:bottom w:val="single" w:sz="12" w:space="0" w:color="auto"/>
            </w:tcBorders>
          </w:tcPr>
          <w:p w14:paraId="1E1614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494DF14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E2D678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 с М-62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2817"/>
        <w:gridCol w:w="2094"/>
      </w:tblGrid>
      <w:tr w:rsidR="00983732" w:rsidRPr="00A3026E" w14:paraId="71AAB0A6" w14:textId="77777777" w:rsidTr="00EA0DA7">
        <w:tc>
          <w:tcPr>
            <w:tcW w:w="5637" w:type="dxa"/>
            <w:tcBorders>
              <w:top w:val="single" w:sz="12" w:space="0" w:color="auto"/>
            </w:tcBorders>
          </w:tcPr>
          <w:p w14:paraId="3EE8F41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2817" w:type="dxa"/>
            <w:tcBorders>
              <w:top w:val="single" w:sz="12" w:space="0" w:color="auto"/>
            </w:tcBorders>
          </w:tcPr>
          <w:p w14:paraId="09E8041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800/4200</w:t>
            </w:r>
          </w:p>
        </w:tc>
        <w:tc>
          <w:tcPr>
            <w:tcW w:w="2094" w:type="dxa"/>
            <w:tcBorders>
              <w:top w:val="single" w:sz="12" w:space="0" w:color="auto"/>
            </w:tcBorders>
          </w:tcPr>
          <w:p w14:paraId="24F1F75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2926054" w14:textId="77777777" w:rsidTr="00EA0DA7">
        <w:tc>
          <w:tcPr>
            <w:tcW w:w="5637" w:type="dxa"/>
          </w:tcPr>
          <w:p w14:paraId="3C47CDA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2817" w:type="dxa"/>
          </w:tcPr>
          <w:p w14:paraId="29A9A1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1830/1938</w:t>
            </w:r>
          </w:p>
        </w:tc>
        <w:tc>
          <w:tcPr>
            <w:tcW w:w="2094" w:type="dxa"/>
          </w:tcPr>
          <w:p w14:paraId="6BB464F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5AC43A5" w14:textId="77777777" w:rsidTr="00EA0DA7">
        <w:tc>
          <w:tcPr>
            <w:tcW w:w="5637" w:type="dxa"/>
          </w:tcPr>
          <w:p w14:paraId="44862F1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2817" w:type="dxa"/>
          </w:tcPr>
          <w:p w14:paraId="6AC93E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094" w:type="dxa"/>
          </w:tcPr>
          <w:p w14:paraId="456242D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FB32C4A" w14:textId="77777777" w:rsidTr="00EA0DA7">
        <w:tc>
          <w:tcPr>
            <w:tcW w:w="5637" w:type="dxa"/>
          </w:tcPr>
          <w:p w14:paraId="1CABFA9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2817" w:type="dxa"/>
          </w:tcPr>
          <w:p w14:paraId="0CB9510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411</w:t>
            </w:r>
          </w:p>
        </w:tc>
        <w:tc>
          <w:tcPr>
            <w:tcW w:w="2094" w:type="dxa"/>
          </w:tcPr>
          <w:p w14:paraId="3C66D2D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B69AE97" w14:textId="77777777" w:rsidTr="00EA0DA7">
        <w:tc>
          <w:tcPr>
            <w:tcW w:w="5637" w:type="dxa"/>
          </w:tcPr>
          <w:p w14:paraId="27B6F6D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2817" w:type="dxa"/>
          </w:tcPr>
          <w:p w14:paraId="3128556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464/4400</w:t>
            </w:r>
          </w:p>
        </w:tc>
        <w:tc>
          <w:tcPr>
            <w:tcW w:w="2094" w:type="dxa"/>
          </w:tcPr>
          <w:p w14:paraId="7361D6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514F026" w14:textId="77777777" w:rsidTr="00EA0DA7">
        <w:tc>
          <w:tcPr>
            <w:tcW w:w="5637" w:type="dxa"/>
          </w:tcPr>
          <w:p w14:paraId="705B939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2817" w:type="dxa"/>
          </w:tcPr>
          <w:p w14:paraId="043B20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458/4400</w:t>
            </w:r>
          </w:p>
        </w:tc>
        <w:tc>
          <w:tcPr>
            <w:tcW w:w="2094" w:type="dxa"/>
          </w:tcPr>
          <w:p w14:paraId="6B5B353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B9FAA11" w14:textId="77777777" w:rsidTr="00EA0DA7">
        <w:tc>
          <w:tcPr>
            <w:tcW w:w="5637" w:type="dxa"/>
          </w:tcPr>
          <w:p w14:paraId="2F4D96C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2817" w:type="dxa"/>
          </w:tcPr>
          <w:p w14:paraId="4E9E3A3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 без щитков</w:t>
            </w:r>
          </w:p>
        </w:tc>
        <w:tc>
          <w:tcPr>
            <w:tcW w:w="2094" w:type="dxa"/>
          </w:tcPr>
          <w:p w14:paraId="272D303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59826C6" w14:textId="77777777" w:rsidTr="00EA0DA7">
        <w:tc>
          <w:tcPr>
            <w:tcW w:w="5637" w:type="dxa"/>
          </w:tcPr>
          <w:p w14:paraId="074BF9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2817" w:type="dxa"/>
          </w:tcPr>
          <w:p w14:paraId="08BD42C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16-18/1000</w:t>
            </w:r>
          </w:p>
        </w:tc>
        <w:tc>
          <w:tcPr>
            <w:tcW w:w="2094" w:type="dxa"/>
          </w:tcPr>
          <w:p w14:paraId="5FB81F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BD09919" w14:textId="77777777" w:rsidTr="00EA0DA7">
        <w:tc>
          <w:tcPr>
            <w:tcW w:w="5637" w:type="dxa"/>
          </w:tcPr>
          <w:p w14:paraId="29145AA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2817" w:type="dxa"/>
          </w:tcPr>
          <w:p w14:paraId="0CE6F25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5,2/5000</w:t>
            </w:r>
          </w:p>
        </w:tc>
        <w:tc>
          <w:tcPr>
            <w:tcW w:w="2094" w:type="dxa"/>
          </w:tcPr>
          <w:p w14:paraId="12EBD1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5DD6662" w14:textId="77777777" w:rsidTr="00EA0DA7">
        <w:tc>
          <w:tcPr>
            <w:tcW w:w="5637" w:type="dxa"/>
          </w:tcPr>
          <w:p w14:paraId="0C8E5B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2817" w:type="dxa"/>
          </w:tcPr>
          <w:p w14:paraId="4C5839D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9470</w:t>
            </w:r>
          </w:p>
        </w:tc>
        <w:tc>
          <w:tcPr>
            <w:tcW w:w="2094" w:type="dxa"/>
          </w:tcPr>
          <w:p w14:paraId="6FB0349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761875F" w14:textId="77777777" w:rsidTr="00EA0DA7">
        <w:tc>
          <w:tcPr>
            <w:tcW w:w="5637" w:type="dxa"/>
          </w:tcPr>
          <w:p w14:paraId="29AD910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2817" w:type="dxa"/>
          </w:tcPr>
          <w:p w14:paraId="02A066D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094" w:type="dxa"/>
          </w:tcPr>
          <w:p w14:paraId="5E964EF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5A98F89" w14:textId="77777777" w:rsidTr="00EA0DA7">
        <w:tc>
          <w:tcPr>
            <w:tcW w:w="5637" w:type="dxa"/>
          </w:tcPr>
          <w:p w14:paraId="039326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2817" w:type="dxa"/>
          </w:tcPr>
          <w:p w14:paraId="3F2E22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485/4400</w:t>
            </w:r>
          </w:p>
        </w:tc>
        <w:tc>
          <w:tcPr>
            <w:tcW w:w="2094" w:type="dxa"/>
          </w:tcPr>
          <w:p w14:paraId="6800116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24797CB" w14:textId="77777777" w:rsidTr="00EA0DA7">
        <w:tc>
          <w:tcPr>
            <w:tcW w:w="5637" w:type="dxa"/>
          </w:tcPr>
          <w:p w14:paraId="34F46E2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 полностью залитыми баками</w:t>
            </w:r>
          </w:p>
        </w:tc>
        <w:tc>
          <w:tcPr>
            <w:tcW w:w="2817" w:type="dxa"/>
          </w:tcPr>
          <w:p w14:paraId="2032EA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485/4400</w:t>
            </w:r>
          </w:p>
        </w:tc>
        <w:tc>
          <w:tcPr>
            <w:tcW w:w="2094" w:type="dxa"/>
          </w:tcPr>
          <w:p w14:paraId="5C5134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DFB78DA" w14:textId="77777777" w:rsidTr="00EA0DA7">
        <w:tc>
          <w:tcPr>
            <w:tcW w:w="5637" w:type="dxa"/>
          </w:tcPr>
          <w:p w14:paraId="7F9706E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2817" w:type="dxa"/>
          </w:tcPr>
          <w:p w14:paraId="5FEFF8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094" w:type="dxa"/>
          </w:tcPr>
          <w:p w14:paraId="141E00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BC9B5FD" w14:textId="77777777" w:rsidTr="00EA0DA7">
        <w:tc>
          <w:tcPr>
            <w:tcW w:w="5637" w:type="dxa"/>
          </w:tcPr>
          <w:p w14:paraId="13581D7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2817" w:type="dxa"/>
          </w:tcPr>
          <w:p w14:paraId="366FF32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150/8,5 без фор.</w:t>
            </w:r>
          </w:p>
        </w:tc>
        <w:tc>
          <w:tcPr>
            <w:tcW w:w="2094" w:type="dxa"/>
          </w:tcPr>
          <w:p w14:paraId="7FD0794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100/6,2 с фор.</w:t>
            </w:r>
          </w:p>
        </w:tc>
      </w:tr>
      <w:tr w:rsidR="00983732" w:rsidRPr="00A3026E" w14:paraId="4DDD6DFA" w14:textId="77777777" w:rsidTr="00EA0DA7">
        <w:tc>
          <w:tcPr>
            <w:tcW w:w="5637" w:type="dxa"/>
          </w:tcPr>
          <w:p w14:paraId="0457AE6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2817" w:type="dxa"/>
          </w:tcPr>
          <w:p w14:paraId="32CAC39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2094" w:type="dxa"/>
          </w:tcPr>
          <w:p w14:paraId="27BE62B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835A28E" w14:textId="77777777" w:rsidTr="00EA0DA7">
        <w:tc>
          <w:tcPr>
            <w:tcW w:w="5637" w:type="dxa"/>
          </w:tcPr>
          <w:p w14:paraId="42D100D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2817" w:type="dxa"/>
          </w:tcPr>
          <w:p w14:paraId="671902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094" w:type="dxa"/>
          </w:tcPr>
          <w:p w14:paraId="457297C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C9A3882" w14:textId="77777777" w:rsidTr="00EA0DA7">
        <w:tc>
          <w:tcPr>
            <w:tcW w:w="5637" w:type="dxa"/>
          </w:tcPr>
          <w:p w14:paraId="1CAA05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2817" w:type="dxa"/>
          </w:tcPr>
          <w:p w14:paraId="41A9248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c>
          <w:tcPr>
            <w:tcW w:w="2094" w:type="dxa"/>
          </w:tcPr>
          <w:p w14:paraId="10EC19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F5BFACF" w14:textId="77777777" w:rsidTr="00EA0DA7">
        <w:tc>
          <w:tcPr>
            <w:tcW w:w="5637" w:type="dxa"/>
            <w:tcBorders>
              <w:bottom w:val="single" w:sz="12" w:space="0" w:color="auto"/>
            </w:tcBorders>
          </w:tcPr>
          <w:p w14:paraId="5376AF3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2817" w:type="dxa"/>
            <w:tcBorders>
              <w:bottom w:val="single" w:sz="12" w:space="0" w:color="auto"/>
            </w:tcBorders>
          </w:tcPr>
          <w:p w14:paraId="0B2D93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094" w:type="dxa"/>
            <w:tcBorders>
              <w:bottom w:val="single" w:sz="12" w:space="0" w:color="auto"/>
            </w:tcBorders>
          </w:tcPr>
          <w:p w14:paraId="6E70FB0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06B1D65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6F791DF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 с М-63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2835"/>
        <w:gridCol w:w="2076"/>
      </w:tblGrid>
      <w:tr w:rsidR="00983732" w:rsidRPr="00A3026E" w14:paraId="4A3B320A" w14:textId="77777777" w:rsidTr="00EA0DA7">
        <w:tc>
          <w:tcPr>
            <w:tcW w:w="5637" w:type="dxa"/>
            <w:tcBorders>
              <w:top w:val="single" w:sz="12" w:space="0" w:color="auto"/>
            </w:tcBorders>
          </w:tcPr>
          <w:p w14:paraId="147FCD2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2835" w:type="dxa"/>
            <w:tcBorders>
              <w:top w:val="single" w:sz="12" w:space="0" w:color="auto"/>
            </w:tcBorders>
          </w:tcPr>
          <w:p w14:paraId="05EDEFA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900/4500</w:t>
            </w:r>
          </w:p>
        </w:tc>
        <w:tc>
          <w:tcPr>
            <w:tcW w:w="2076" w:type="dxa"/>
            <w:tcBorders>
              <w:top w:val="single" w:sz="12" w:space="0" w:color="auto"/>
            </w:tcBorders>
          </w:tcPr>
          <w:p w14:paraId="141023D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ADE611C" w14:textId="77777777" w:rsidTr="00EA0DA7">
        <w:tc>
          <w:tcPr>
            <w:tcW w:w="5637" w:type="dxa"/>
          </w:tcPr>
          <w:p w14:paraId="5BFB820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2835" w:type="dxa"/>
          </w:tcPr>
          <w:p w14:paraId="5AB8ED1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1941/2115</w:t>
            </w:r>
          </w:p>
        </w:tc>
        <w:tc>
          <w:tcPr>
            <w:tcW w:w="2076" w:type="dxa"/>
          </w:tcPr>
          <w:p w14:paraId="036C3F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E7D57BE" w14:textId="77777777" w:rsidTr="00EA0DA7">
        <w:tc>
          <w:tcPr>
            <w:tcW w:w="5637" w:type="dxa"/>
          </w:tcPr>
          <w:p w14:paraId="7040577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2835" w:type="dxa"/>
          </w:tcPr>
          <w:p w14:paraId="6F6890C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076" w:type="dxa"/>
          </w:tcPr>
          <w:p w14:paraId="1987EC3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8196FF5" w14:textId="77777777" w:rsidTr="00EA0DA7">
        <w:tc>
          <w:tcPr>
            <w:tcW w:w="5637" w:type="dxa"/>
          </w:tcPr>
          <w:p w14:paraId="799BC71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2835" w:type="dxa"/>
          </w:tcPr>
          <w:p w14:paraId="6832EBD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w:t>
            </w:r>
          </w:p>
        </w:tc>
        <w:tc>
          <w:tcPr>
            <w:tcW w:w="2076" w:type="dxa"/>
          </w:tcPr>
          <w:p w14:paraId="048D9F0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75FED32" w14:textId="77777777" w:rsidTr="00EA0DA7">
        <w:tc>
          <w:tcPr>
            <w:tcW w:w="5637" w:type="dxa"/>
          </w:tcPr>
          <w:p w14:paraId="12E8E3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2835" w:type="dxa"/>
          </w:tcPr>
          <w:p w14:paraId="0B62A82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462/4700</w:t>
            </w:r>
          </w:p>
        </w:tc>
        <w:tc>
          <w:tcPr>
            <w:tcW w:w="2076" w:type="dxa"/>
          </w:tcPr>
          <w:p w14:paraId="62DA9A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F2388A1" w14:textId="77777777" w:rsidTr="00EA0DA7">
        <w:tc>
          <w:tcPr>
            <w:tcW w:w="5637" w:type="dxa"/>
          </w:tcPr>
          <w:p w14:paraId="361B7F1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2835" w:type="dxa"/>
          </w:tcPr>
          <w:p w14:paraId="57E76CC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462/4700</w:t>
            </w:r>
          </w:p>
        </w:tc>
        <w:tc>
          <w:tcPr>
            <w:tcW w:w="2076" w:type="dxa"/>
          </w:tcPr>
          <w:p w14:paraId="6445A6F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 429/4150</w:t>
            </w:r>
          </w:p>
        </w:tc>
      </w:tr>
      <w:tr w:rsidR="00983732" w:rsidRPr="00A3026E" w14:paraId="062A5F0F" w14:textId="77777777" w:rsidTr="00EA0DA7">
        <w:tc>
          <w:tcPr>
            <w:tcW w:w="5637" w:type="dxa"/>
          </w:tcPr>
          <w:p w14:paraId="713D711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2835" w:type="dxa"/>
          </w:tcPr>
          <w:p w14:paraId="5D2848B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 без щитков</w:t>
            </w:r>
          </w:p>
        </w:tc>
        <w:tc>
          <w:tcPr>
            <w:tcW w:w="2076" w:type="dxa"/>
          </w:tcPr>
          <w:p w14:paraId="6D7A415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5601F76" w14:textId="77777777" w:rsidTr="00EA0DA7">
        <w:tc>
          <w:tcPr>
            <w:tcW w:w="5637" w:type="dxa"/>
          </w:tcPr>
          <w:p w14:paraId="228D870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2835" w:type="dxa"/>
          </w:tcPr>
          <w:p w14:paraId="2A81394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18-19/1000</w:t>
            </w:r>
          </w:p>
        </w:tc>
        <w:tc>
          <w:tcPr>
            <w:tcW w:w="2076" w:type="dxa"/>
          </w:tcPr>
          <w:p w14:paraId="3A7F6C0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C64FF51" w14:textId="77777777" w:rsidTr="00EA0DA7">
        <w:tc>
          <w:tcPr>
            <w:tcW w:w="5637" w:type="dxa"/>
          </w:tcPr>
          <w:p w14:paraId="13A3C0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2835" w:type="dxa"/>
          </w:tcPr>
          <w:p w14:paraId="0C15C41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6,0/5000</w:t>
            </w:r>
          </w:p>
        </w:tc>
        <w:tc>
          <w:tcPr>
            <w:tcW w:w="2076" w:type="dxa"/>
          </w:tcPr>
          <w:p w14:paraId="3A103F9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86E11F1" w14:textId="77777777" w:rsidTr="00EA0DA7">
        <w:tc>
          <w:tcPr>
            <w:tcW w:w="5637" w:type="dxa"/>
          </w:tcPr>
          <w:p w14:paraId="69A3906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2835" w:type="dxa"/>
          </w:tcPr>
          <w:p w14:paraId="42E6BDC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9700</w:t>
            </w:r>
          </w:p>
        </w:tc>
        <w:tc>
          <w:tcPr>
            <w:tcW w:w="2076" w:type="dxa"/>
          </w:tcPr>
          <w:p w14:paraId="290BE57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FD61B49" w14:textId="77777777" w:rsidTr="00EA0DA7">
        <w:tc>
          <w:tcPr>
            <w:tcW w:w="5637" w:type="dxa"/>
          </w:tcPr>
          <w:p w14:paraId="41B327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2835" w:type="dxa"/>
          </w:tcPr>
          <w:p w14:paraId="1111DBC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076" w:type="dxa"/>
          </w:tcPr>
          <w:p w14:paraId="7529CE2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ECD71FE" w14:textId="77777777" w:rsidTr="00EA0DA7">
        <w:tc>
          <w:tcPr>
            <w:tcW w:w="5637" w:type="dxa"/>
          </w:tcPr>
          <w:p w14:paraId="33E1A20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2835" w:type="dxa"/>
          </w:tcPr>
          <w:p w14:paraId="7212A11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445/4700</w:t>
            </w:r>
          </w:p>
        </w:tc>
        <w:tc>
          <w:tcPr>
            <w:tcW w:w="2076" w:type="dxa"/>
          </w:tcPr>
          <w:p w14:paraId="4FBADD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D805867" w14:textId="77777777" w:rsidTr="00EA0DA7">
        <w:tc>
          <w:tcPr>
            <w:tcW w:w="5637" w:type="dxa"/>
          </w:tcPr>
          <w:p w14:paraId="3A9AFD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2835" w:type="dxa"/>
          </w:tcPr>
          <w:p w14:paraId="66FB3A3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445/4700</w:t>
            </w:r>
          </w:p>
        </w:tc>
        <w:tc>
          <w:tcPr>
            <w:tcW w:w="2076" w:type="dxa"/>
          </w:tcPr>
          <w:p w14:paraId="4EF5245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A9CD040" w14:textId="77777777" w:rsidTr="00EA0DA7">
        <w:tc>
          <w:tcPr>
            <w:tcW w:w="5637" w:type="dxa"/>
          </w:tcPr>
          <w:p w14:paraId="2FCC3AB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2835" w:type="dxa"/>
          </w:tcPr>
          <w:p w14:paraId="48F63DE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625/4700</w:t>
            </w:r>
          </w:p>
        </w:tc>
        <w:tc>
          <w:tcPr>
            <w:tcW w:w="2076" w:type="dxa"/>
          </w:tcPr>
          <w:p w14:paraId="29B1873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E812182" w14:textId="77777777" w:rsidTr="00EA0DA7">
        <w:tc>
          <w:tcPr>
            <w:tcW w:w="5637" w:type="dxa"/>
          </w:tcPr>
          <w:p w14:paraId="0CEDF2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2835" w:type="dxa"/>
          </w:tcPr>
          <w:p w14:paraId="1F7C1A4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260/10 без фор.</w:t>
            </w:r>
          </w:p>
        </w:tc>
        <w:tc>
          <w:tcPr>
            <w:tcW w:w="2076" w:type="dxa"/>
          </w:tcPr>
          <w:p w14:paraId="7707BA4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220/8с фор.</w:t>
            </w:r>
          </w:p>
        </w:tc>
      </w:tr>
      <w:tr w:rsidR="00983732" w:rsidRPr="00A3026E" w14:paraId="5AEE5F61" w14:textId="77777777" w:rsidTr="00EA0DA7">
        <w:tc>
          <w:tcPr>
            <w:tcW w:w="5637" w:type="dxa"/>
          </w:tcPr>
          <w:p w14:paraId="3AEF66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2835" w:type="dxa"/>
          </w:tcPr>
          <w:p w14:paraId="0D3FC4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300/19,5</w:t>
            </w:r>
          </w:p>
        </w:tc>
        <w:tc>
          <w:tcPr>
            <w:tcW w:w="2076" w:type="dxa"/>
          </w:tcPr>
          <w:p w14:paraId="6261BF2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D40FCE3" w14:textId="77777777" w:rsidTr="00EA0DA7">
        <w:tc>
          <w:tcPr>
            <w:tcW w:w="5637" w:type="dxa"/>
          </w:tcPr>
          <w:p w14:paraId="05CDF8E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2835" w:type="dxa"/>
          </w:tcPr>
          <w:p w14:paraId="49D1DE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076" w:type="dxa"/>
          </w:tcPr>
          <w:p w14:paraId="1350C92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432C4BF" w14:textId="77777777" w:rsidTr="00EA0DA7">
        <w:tc>
          <w:tcPr>
            <w:tcW w:w="5637" w:type="dxa"/>
          </w:tcPr>
          <w:p w14:paraId="61325AA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2835" w:type="dxa"/>
          </w:tcPr>
          <w:p w14:paraId="63CC3F0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c>
          <w:tcPr>
            <w:tcW w:w="2076" w:type="dxa"/>
          </w:tcPr>
          <w:p w14:paraId="2D9B26F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F14CAE0" w14:textId="77777777" w:rsidTr="00EA0DA7">
        <w:tc>
          <w:tcPr>
            <w:tcW w:w="5637" w:type="dxa"/>
            <w:tcBorders>
              <w:bottom w:val="single" w:sz="12" w:space="0" w:color="auto"/>
            </w:tcBorders>
          </w:tcPr>
          <w:p w14:paraId="1AB2A64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2835" w:type="dxa"/>
            <w:tcBorders>
              <w:bottom w:val="single" w:sz="12" w:space="0" w:color="auto"/>
            </w:tcBorders>
          </w:tcPr>
          <w:p w14:paraId="52A107C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076" w:type="dxa"/>
            <w:tcBorders>
              <w:bottom w:val="single" w:sz="12" w:space="0" w:color="auto"/>
            </w:tcBorders>
          </w:tcPr>
          <w:p w14:paraId="06B3E99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1BB7D3B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76429D6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 бис с М-25В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912"/>
      </w:tblGrid>
      <w:tr w:rsidR="00983732" w:rsidRPr="00A3026E" w14:paraId="5FFD2AC7" w14:textId="77777777" w:rsidTr="00EA0DA7">
        <w:tc>
          <w:tcPr>
            <w:tcW w:w="5636" w:type="dxa"/>
            <w:tcBorders>
              <w:top w:val="single" w:sz="12" w:space="0" w:color="auto"/>
            </w:tcBorders>
          </w:tcPr>
          <w:p w14:paraId="749D448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912" w:type="dxa"/>
            <w:tcBorders>
              <w:top w:val="single" w:sz="12" w:space="0" w:color="auto"/>
            </w:tcBorders>
          </w:tcPr>
          <w:p w14:paraId="505B775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750/2900</w:t>
            </w:r>
          </w:p>
        </w:tc>
      </w:tr>
      <w:tr w:rsidR="00983732" w:rsidRPr="00A3026E" w14:paraId="4878106E" w14:textId="77777777" w:rsidTr="00EA0DA7">
        <w:tc>
          <w:tcPr>
            <w:tcW w:w="5636" w:type="dxa"/>
          </w:tcPr>
          <w:p w14:paraId="0E5EF1A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912" w:type="dxa"/>
          </w:tcPr>
          <w:p w14:paraId="6B6979F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1700/1880</w:t>
            </w:r>
          </w:p>
        </w:tc>
      </w:tr>
      <w:tr w:rsidR="00983732" w:rsidRPr="00A3026E" w14:paraId="2A01AB16" w14:textId="77777777" w:rsidTr="00EA0DA7">
        <w:tc>
          <w:tcPr>
            <w:tcW w:w="5636" w:type="dxa"/>
          </w:tcPr>
          <w:p w14:paraId="411B2BC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912" w:type="dxa"/>
          </w:tcPr>
          <w:p w14:paraId="4A6BF0C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18B684D" w14:textId="77777777" w:rsidTr="00EA0DA7">
        <w:tc>
          <w:tcPr>
            <w:tcW w:w="5636" w:type="dxa"/>
          </w:tcPr>
          <w:p w14:paraId="1D0D30D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912" w:type="dxa"/>
          </w:tcPr>
          <w:p w14:paraId="1E16F39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327</w:t>
            </w:r>
          </w:p>
        </w:tc>
      </w:tr>
      <w:tr w:rsidR="00983732" w:rsidRPr="00A3026E" w14:paraId="5C52320C" w14:textId="77777777" w:rsidTr="00EA0DA7">
        <w:tc>
          <w:tcPr>
            <w:tcW w:w="5636" w:type="dxa"/>
          </w:tcPr>
          <w:p w14:paraId="0C2D55A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912" w:type="dxa"/>
          </w:tcPr>
          <w:p w14:paraId="423A942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379/3500</w:t>
            </w:r>
          </w:p>
        </w:tc>
      </w:tr>
      <w:tr w:rsidR="00983732" w:rsidRPr="00A3026E" w14:paraId="3C40F1BB" w14:textId="77777777" w:rsidTr="00EA0DA7">
        <w:tc>
          <w:tcPr>
            <w:tcW w:w="5636" w:type="dxa"/>
          </w:tcPr>
          <w:p w14:paraId="5856D1B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912" w:type="dxa"/>
          </w:tcPr>
          <w:p w14:paraId="15B7839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447625A" w14:textId="77777777" w:rsidTr="00EA0DA7">
        <w:tc>
          <w:tcPr>
            <w:tcW w:w="5636" w:type="dxa"/>
          </w:tcPr>
          <w:p w14:paraId="228668A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912" w:type="dxa"/>
          </w:tcPr>
          <w:p w14:paraId="1969A0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324BB075" w14:textId="77777777" w:rsidTr="00EA0DA7">
        <w:tc>
          <w:tcPr>
            <w:tcW w:w="5636" w:type="dxa"/>
          </w:tcPr>
          <w:p w14:paraId="4194D05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912" w:type="dxa"/>
          </w:tcPr>
          <w:p w14:paraId="0508810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10,5/1000</w:t>
            </w:r>
          </w:p>
        </w:tc>
      </w:tr>
      <w:tr w:rsidR="00983732" w:rsidRPr="00A3026E" w14:paraId="1F3CDE12" w14:textId="77777777" w:rsidTr="00EA0DA7">
        <w:tc>
          <w:tcPr>
            <w:tcW w:w="5636" w:type="dxa"/>
          </w:tcPr>
          <w:p w14:paraId="1CBD3F1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912" w:type="dxa"/>
          </w:tcPr>
          <w:p w14:paraId="232A0CE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3,5/2900</w:t>
            </w:r>
          </w:p>
        </w:tc>
      </w:tr>
      <w:tr w:rsidR="00983732" w:rsidRPr="00A3026E" w14:paraId="2240A5AC" w14:textId="77777777" w:rsidTr="00EA0DA7">
        <w:tc>
          <w:tcPr>
            <w:tcW w:w="5636" w:type="dxa"/>
          </w:tcPr>
          <w:p w14:paraId="7D20133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912" w:type="dxa"/>
          </w:tcPr>
          <w:p w14:paraId="528DBAB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1883BC22" w14:textId="77777777" w:rsidTr="00EA0DA7">
        <w:tc>
          <w:tcPr>
            <w:tcW w:w="5636" w:type="dxa"/>
          </w:tcPr>
          <w:p w14:paraId="25206AE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912" w:type="dxa"/>
          </w:tcPr>
          <w:p w14:paraId="67B1512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BB95FD7" w14:textId="77777777" w:rsidTr="00EA0DA7">
        <w:tc>
          <w:tcPr>
            <w:tcW w:w="5636" w:type="dxa"/>
          </w:tcPr>
          <w:p w14:paraId="10D5323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912" w:type="dxa"/>
          </w:tcPr>
          <w:p w14:paraId="5DF3C42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340/3500</w:t>
            </w:r>
          </w:p>
        </w:tc>
      </w:tr>
      <w:tr w:rsidR="00983732" w:rsidRPr="00A3026E" w14:paraId="02D6B357" w14:textId="77777777" w:rsidTr="00EA0DA7">
        <w:tc>
          <w:tcPr>
            <w:tcW w:w="5636" w:type="dxa"/>
          </w:tcPr>
          <w:p w14:paraId="419E9A1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912" w:type="dxa"/>
          </w:tcPr>
          <w:p w14:paraId="7C8B30A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520/3500</w:t>
            </w:r>
          </w:p>
        </w:tc>
      </w:tr>
      <w:tr w:rsidR="00983732" w:rsidRPr="00A3026E" w14:paraId="2126845F" w14:textId="77777777" w:rsidTr="00EA0DA7">
        <w:tc>
          <w:tcPr>
            <w:tcW w:w="5636" w:type="dxa"/>
          </w:tcPr>
          <w:p w14:paraId="01AAD27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912" w:type="dxa"/>
          </w:tcPr>
          <w:p w14:paraId="115912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710/3500</w:t>
            </w:r>
          </w:p>
        </w:tc>
      </w:tr>
      <w:tr w:rsidR="00983732" w:rsidRPr="00A3026E" w14:paraId="4B9E2E5F" w14:textId="77777777" w:rsidTr="00EA0DA7">
        <w:tc>
          <w:tcPr>
            <w:tcW w:w="5636" w:type="dxa"/>
          </w:tcPr>
          <w:p w14:paraId="5DB0E94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912" w:type="dxa"/>
          </w:tcPr>
          <w:p w14:paraId="66F121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90/6,2</w:t>
            </w:r>
          </w:p>
        </w:tc>
      </w:tr>
      <w:tr w:rsidR="00983732" w:rsidRPr="00A3026E" w14:paraId="10EA7891" w14:textId="77777777" w:rsidTr="00EA0DA7">
        <w:tc>
          <w:tcPr>
            <w:tcW w:w="5636" w:type="dxa"/>
          </w:tcPr>
          <w:p w14:paraId="0E65BF5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912" w:type="dxa"/>
          </w:tcPr>
          <w:p w14:paraId="706940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270/23</w:t>
            </w:r>
          </w:p>
        </w:tc>
      </w:tr>
      <w:tr w:rsidR="00983732" w:rsidRPr="00A3026E" w14:paraId="6B9D2C7E" w14:textId="77777777" w:rsidTr="00EA0DA7">
        <w:tc>
          <w:tcPr>
            <w:tcW w:w="5636" w:type="dxa"/>
          </w:tcPr>
          <w:p w14:paraId="0E2006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912" w:type="dxa"/>
          </w:tcPr>
          <w:p w14:paraId="7D98D7D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95194DE" w14:textId="77777777" w:rsidTr="00EA0DA7">
        <w:tc>
          <w:tcPr>
            <w:tcW w:w="5636" w:type="dxa"/>
          </w:tcPr>
          <w:p w14:paraId="07C0D27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912" w:type="dxa"/>
          </w:tcPr>
          <w:p w14:paraId="0B55E57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ПВ-1</w:t>
            </w:r>
          </w:p>
        </w:tc>
      </w:tr>
      <w:tr w:rsidR="00983732" w:rsidRPr="00A3026E" w14:paraId="00F8851A" w14:textId="77777777" w:rsidTr="00EA0DA7">
        <w:tc>
          <w:tcPr>
            <w:tcW w:w="5636" w:type="dxa"/>
            <w:tcBorders>
              <w:bottom w:val="single" w:sz="12" w:space="0" w:color="auto"/>
            </w:tcBorders>
          </w:tcPr>
          <w:p w14:paraId="49C90C2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912" w:type="dxa"/>
            <w:tcBorders>
              <w:bottom w:val="single" w:sz="12" w:space="0" w:color="auto"/>
            </w:tcBorders>
          </w:tcPr>
          <w:p w14:paraId="40E3DF4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0/150</w:t>
            </w:r>
          </w:p>
        </w:tc>
      </w:tr>
    </w:tbl>
    <w:p w14:paraId="5916EAA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5F35931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И-153 с М-25В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4961"/>
      </w:tblGrid>
      <w:tr w:rsidR="00983732" w:rsidRPr="00A3026E" w14:paraId="1204EF56" w14:textId="77777777" w:rsidTr="00EA0DA7">
        <w:tc>
          <w:tcPr>
            <w:tcW w:w="5637" w:type="dxa"/>
            <w:tcBorders>
              <w:top w:val="single" w:sz="12" w:space="0" w:color="auto"/>
            </w:tcBorders>
          </w:tcPr>
          <w:p w14:paraId="2559A18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4961" w:type="dxa"/>
            <w:tcBorders>
              <w:top w:val="single" w:sz="12" w:space="0" w:color="auto"/>
            </w:tcBorders>
          </w:tcPr>
          <w:p w14:paraId="7A971B7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750/2900</w:t>
            </w:r>
          </w:p>
        </w:tc>
      </w:tr>
      <w:tr w:rsidR="00983732" w:rsidRPr="00A3026E" w14:paraId="0D48C377" w14:textId="77777777" w:rsidTr="00EA0DA7">
        <w:tc>
          <w:tcPr>
            <w:tcW w:w="5637" w:type="dxa"/>
          </w:tcPr>
          <w:p w14:paraId="625E60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961" w:type="dxa"/>
          </w:tcPr>
          <w:p w14:paraId="59B1990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1650/1890</w:t>
            </w:r>
          </w:p>
        </w:tc>
      </w:tr>
      <w:tr w:rsidR="00983732" w:rsidRPr="00A3026E" w14:paraId="67879793" w14:textId="77777777" w:rsidTr="00EA0DA7">
        <w:tc>
          <w:tcPr>
            <w:tcW w:w="5637" w:type="dxa"/>
          </w:tcPr>
          <w:p w14:paraId="3B7F73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961" w:type="dxa"/>
          </w:tcPr>
          <w:p w14:paraId="238CB1A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20AC968" w14:textId="77777777" w:rsidTr="00EA0DA7">
        <w:tc>
          <w:tcPr>
            <w:tcW w:w="5637" w:type="dxa"/>
          </w:tcPr>
          <w:p w14:paraId="57CEC8A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961" w:type="dxa"/>
          </w:tcPr>
          <w:p w14:paraId="32F592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r>
      <w:tr w:rsidR="00983732" w:rsidRPr="00A3026E" w14:paraId="1C7124E0" w14:textId="77777777" w:rsidTr="00EA0DA7">
        <w:tc>
          <w:tcPr>
            <w:tcW w:w="5637" w:type="dxa"/>
          </w:tcPr>
          <w:p w14:paraId="42DD5A7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4961" w:type="dxa"/>
          </w:tcPr>
          <w:p w14:paraId="40E4969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425/2900</w:t>
            </w:r>
          </w:p>
        </w:tc>
      </w:tr>
      <w:tr w:rsidR="00983732" w:rsidRPr="00A3026E" w14:paraId="55AE79DB" w14:textId="77777777" w:rsidTr="00EA0DA7">
        <w:tc>
          <w:tcPr>
            <w:tcW w:w="5637" w:type="dxa"/>
          </w:tcPr>
          <w:p w14:paraId="3BA063F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4961" w:type="dxa"/>
          </w:tcPr>
          <w:p w14:paraId="1326E1B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415/2900</w:t>
            </w:r>
          </w:p>
        </w:tc>
      </w:tr>
      <w:tr w:rsidR="00983732" w:rsidRPr="00A3026E" w14:paraId="6B58FCFA" w14:textId="77777777" w:rsidTr="00EA0DA7">
        <w:tc>
          <w:tcPr>
            <w:tcW w:w="5637" w:type="dxa"/>
          </w:tcPr>
          <w:p w14:paraId="2185A5D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961" w:type="dxa"/>
          </w:tcPr>
          <w:p w14:paraId="1F39114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100-105</w:t>
            </w:r>
          </w:p>
        </w:tc>
      </w:tr>
      <w:tr w:rsidR="00983732" w:rsidRPr="00A3026E" w14:paraId="185C4F7A" w14:textId="77777777" w:rsidTr="00EA0DA7">
        <w:tc>
          <w:tcPr>
            <w:tcW w:w="5637" w:type="dxa"/>
          </w:tcPr>
          <w:p w14:paraId="4FEDEC6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4961" w:type="dxa"/>
          </w:tcPr>
          <w:p w14:paraId="7592B5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12/1000</w:t>
            </w:r>
          </w:p>
        </w:tc>
      </w:tr>
      <w:tr w:rsidR="00983732" w:rsidRPr="00A3026E" w14:paraId="58FF132F" w14:textId="77777777" w:rsidTr="00EA0DA7">
        <w:tc>
          <w:tcPr>
            <w:tcW w:w="5637" w:type="dxa"/>
          </w:tcPr>
          <w:p w14:paraId="2861C76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4961" w:type="dxa"/>
          </w:tcPr>
          <w:p w14:paraId="4A2A6F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4/2900</w:t>
            </w:r>
          </w:p>
        </w:tc>
      </w:tr>
      <w:tr w:rsidR="00983732" w:rsidRPr="00A3026E" w14:paraId="59D6512D" w14:textId="77777777" w:rsidTr="00EA0DA7">
        <w:tc>
          <w:tcPr>
            <w:tcW w:w="5637" w:type="dxa"/>
          </w:tcPr>
          <w:p w14:paraId="4C8FC81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4961" w:type="dxa"/>
          </w:tcPr>
          <w:p w14:paraId="42FC08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8600</w:t>
            </w:r>
          </w:p>
        </w:tc>
      </w:tr>
      <w:tr w:rsidR="00983732" w:rsidRPr="00A3026E" w14:paraId="6EE84068" w14:textId="77777777" w:rsidTr="00EA0DA7">
        <w:tc>
          <w:tcPr>
            <w:tcW w:w="5637" w:type="dxa"/>
          </w:tcPr>
          <w:p w14:paraId="0DF50CD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4961" w:type="dxa"/>
          </w:tcPr>
          <w:p w14:paraId="0CFA06E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8656AA4" w14:textId="77777777" w:rsidTr="00EA0DA7">
        <w:tc>
          <w:tcPr>
            <w:tcW w:w="5637" w:type="dxa"/>
          </w:tcPr>
          <w:p w14:paraId="5EFBCA3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4961" w:type="dxa"/>
          </w:tcPr>
          <w:p w14:paraId="7C89AAA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390/2900</w:t>
            </w:r>
          </w:p>
        </w:tc>
      </w:tr>
      <w:tr w:rsidR="00983732" w:rsidRPr="00A3026E" w14:paraId="2E0599A9" w14:textId="77777777" w:rsidTr="00EA0DA7">
        <w:tc>
          <w:tcPr>
            <w:tcW w:w="5637" w:type="dxa"/>
          </w:tcPr>
          <w:p w14:paraId="75B8ED9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4961" w:type="dxa"/>
          </w:tcPr>
          <w:p w14:paraId="5280B0A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625/2900</w:t>
            </w:r>
          </w:p>
        </w:tc>
      </w:tr>
      <w:tr w:rsidR="00983732" w:rsidRPr="00A3026E" w14:paraId="4C2089B7" w14:textId="77777777" w:rsidTr="00EA0DA7">
        <w:tc>
          <w:tcPr>
            <w:tcW w:w="5637" w:type="dxa"/>
          </w:tcPr>
          <w:p w14:paraId="27E4BB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4961" w:type="dxa"/>
          </w:tcPr>
          <w:p w14:paraId="0CFC74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840/2900</w:t>
            </w:r>
          </w:p>
        </w:tc>
      </w:tr>
      <w:tr w:rsidR="00983732" w:rsidRPr="00A3026E" w14:paraId="600293E0" w14:textId="77777777" w:rsidTr="00EA0DA7">
        <w:tc>
          <w:tcPr>
            <w:tcW w:w="5637" w:type="dxa"/>
          </w:tcPr>
          <w:p w14:paraId="175004B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4961" w:type="dxa"/>
          </w:tcPr>
          <w:p w14:paraId="73D225D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130/10</w:t>
            </w:r>
          </w:p>
        </w:tc>
      </w:tr>
      <w:tr w:rsidR="00983732" w:rsidRPr="00A3026E" w14:paraId="49A2120B" w14:textId="77777777" w:rsidTr="00EA0DA7">
        <w:tc>
          <w:tcPr>
            <w:tcW w:w="5637" w:type="dxa"/>
          </w:tcPr>
          <w:p w14:paraId="5DEFF26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4961" w:type="dxa"/>
          </w:tcPr>
          <w:p w14:paraId="5934620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250/15</w:t>
            </w:r>
          </w:p>
        </w:tc>
      </w:tr>
      <w:tr w:rsidR="00983732" w:rsidRPr="00A3026E" w14:paraId="66E857B1" w14:textId="77777777" w:rsidTr="00EA0DA7">
        <w:tc>
          <w:tcPr>
            <w:tcW w:w="5637" w:type="dxa"/>
          </w:tcPr>
          <w:p w14:paraId="699B05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4961" w:type="dxa"/>
          </w:tcPr>
          <w:p w14:paraId="7B3CCF4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5655E3C" w14:textId="77777777" w:rsidTr="00EA0DA7">
        <w:tc>
          <w:tcPr>
            <w:tcW w:w="5637" w:type="dxa"/>
          </w:tcPr>
          <w:p w14:paraId="7A79020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4961" w:type="dxa"/>
          </w:tcPr>
          <w:p w14:paraId="0F4FD9D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799B9121" w14:textId="77777777" w:rsidTr="00EA0DA7">
        <w:tc>
          <w:tcPr>
            <w:tcW w:w="5637" w:type="dxa"/>
            <w:tcBorders>
              <w:bottom w:val="single" w:sz="12" w:space="0" w:color="auto"/>
            </w:tcBorders>
          </w:tcPr>
          <w:p w14:paraId="1CDCD5B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4961" w:type="dxa"/>
            <w:tcBorders>
              <w:bottom w:val="single" w:sz="12" w:space="0" w:color="auto"/>
            </w:tcBorders>
          </w:tcPr>
          <w:p w14:paraId="5EFF0CD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0/150</w:t>
            </w:r>
          </w:p>
        </w:tc>
      </w:tr>
    </w:tbl>
    <w:p w14:paraId="601B8BB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1BCB8E2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И-153 с М-62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127F910B" w14:textId="77777777" w:rsidTr="00EA0DA7">
        <w:tc>
          <w:tcPr>
            <w:tcW w:w="5636" w:type="dxa"/>
            <w:tcBorders>
              <w:top w:val="single" w:sz="12" w:space="0" w:color="auto"/>
            </w:tcBorders>
          </w:tcPr>
          <w:p w14:paraId="6B1A0BA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613D94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800/4200</w:t>
            </w:r>
          </w:p>
        </w:tc>
      </w:tr>
      <w:tr w:rsidR="00983732" w:rsidRPr="00A3026E" w14:paraId="7649CBC6" w14:textId="77777777" w:rsidTr="00EA0DA7">
        <w:tc>
          <w:tcPr>
            <w:tcW w:w="5636" w:type="dxa"/>
          </w:tcPr>
          <w:p w14:paraId="42EC14E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75EBE8A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1765/2005</w:t>
            </w:r>
          </w:p>
        </w:tc>
      </w:tr>
      <w:tr w:rsidR="00983732" w:rsidRPr="00A3026E" w14:paraId="3784F39F" w14:textId="77777777" w:rsidTr="00EA0DA7">
        <w:tc>
          <w:tcPr>
            <w:tcW w:w="5636" w:type="dxa"/>
          </w:tcPr>
          <w:p w14:paraId="081B5B4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1C8864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6788AB1" w14:textId="77777777" w:rsidTr="00EA0DA7">
        <w:tc>
          <w:tcPr>
            <w:tcW w:w="5636" w:type="dxa"/>
          </w:tcPr>
          <w:p w14:paraId="0282E22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722B696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364</w:t>
            </w:r>
          </w:p>
        </w:tc>
      </w:tr>
      <w:tr w:rsidR="00983732" w:rsidRPr="00A3026E" w14:paraId="63123106" w14:textId="77777777" w:rsidTr="00EA0DA7">
        <w:tc>
          <w:tcPr>
            <w:tcW w:w="5636" w:type="dxa"/>
          </w:tcPr>
          <w:p w14:paraId="596D57B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52CB79F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424/5000</w:t>
            </w:r>
          </w:p>
        </w:tc>
      </w:tr>
      <w:tr w:rsidR="00983732" w:rsidRPr="00A3026E" w14:paraId="19AFF34A" w14:textId="77777777" w:rsidTr="00EA0DA7">
        <w:tc>
          <w:tcPr>
            <w:tcW w:w="5636" w:type="dxa"/>
          </w:tcPr>
          <w:p w14:paraId="4BEF93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40FBDF3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415/5000</w:t>
            </w:r>
          </w:p>
        </w:tc>
      </w:tr>
      <w:tr w:rsidR="00983732" w:rsidRPr="00A3026E" w14:paraId="4ED7EB7E" w14:textId="77777777" w:rsidTr="00EA0DA7">
        <w:tc>
          <w:tcPr>
            <w:tcW w:w="5636" w:type="dxa"/>
          </w:tcPr>
          <w:p w14:paraId="0E15265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Посадочная скорость</w:t>
            </w:r>
          </w:p>
        </w:tc>
        <w:tc>
          <w:tcPr>
            <w:tcW w:w="5002" w:type="dxa"/>
          </w:tcPr>
          <w:p w14:paraId="5C6CA3E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110-115</w:t>
            </w:r>
          </w:p>
        </w:tc>
      </w:tr>
      <w:tr w:rsidR="00983732" w:rsidRPr="00A3026E" w14:paraId="37FDC4FB" w14:textId="77777777" w:rsidTr="00EA0DA7">
        <w:tc>
          <w:tcPr>
            <w:tcW w:w="5636" w:type="dxa"/>
          </w:tcPr>
          <w:p w14:paraId="4C722B2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52EF0E2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13,0-13,5/1000</w:t>
            </w:r>
          </w:p>
        </w:tc>
      </w:tr>
      <w:tr w:rsidR="00983732" w:rsidRPr="00A3026E" w14:paraId="6287A6AD" w14:textId="77777777" w:rsidTr="00EA0DA7">
        <w:tc>
          <w:tcPr>
            <w:tcW w:w="5636" w:type="dxa"/>
          </w:tcPr>
          <w:p w14:paraId="1D7AA5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052B20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5,7/5000</w:t>
            </w:r>
          </w:p>
        </w:tc>
      </w:tr>
      <w:tr w:rsidR="00983732" w:rsidRPr="00A3026E" w14:paraId="14095A7C" w14:textId="77777777" w:rsidTr="00EA0DA7">
        <w:tc>
          <w:tcPr>
            <w:tcW w:w="5636" w:type="dxa"/>
          </w:tcPr>
          <w:p w14:paraId="091213B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158B174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10700</w:t>
            </w:r>
          </w:p>
        </w:tc>
      </w:tr>
      <w:tr w:rsidR="00983732" w:rsidRPr="00A3026E" w14:paraId="1CB8F629" w14:textId="77777777" w:rsidTr="00EA0DA7">
        <w:tc>
          <w:tcPr>
            <w:tcW w:w="5636" w:type="dxa"/>
          </w:tcPr>
          <w:p w14:paraId="45E1106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663F129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8569BD1" w14:textId="77777777" w:rsidTr="00EA0DA7">
        <w:tc>
          <w:tcPr>
            <w:tcW w:w="5636" w:type="dxa"/>
          </w:tcPr>
          <w:p w14:paraId="7EC84B6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650267D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350/5000</w:t>
            </w:r>
          </w:p>
        </w:tc>
      </w:tr>
      <w:tr w:rsidR="00983732" w:rsidRPr="00A3026E" w14:paraId="53C1CFDE" w14:textId="77777777" w:rsidTr="00EA0DA7">
        <w:tc>
          <w:tcPr>
            <w:tcW w:w="5636" w:type="dxa"/>
          </w:tcPr>
          <w:p w14:paraId="1DA46C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47DBBBD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560/5000</w:t>
            </w:r>
          </w:p>
        </w:tc>
      </w:tr>
      <w:tr w:rsidR="00983732" w:rsidRPr="00A3026E" w14:paraId="38E91B84" w14:textId="77777777" w:rsidTr="00EA0DA7">
        <w:tc>
          <w:tcPr>
            <w:tcW w:w="5636" w:type="dxa"/>
          </w:tcPr>
          <w:p w14:paraId="4D504A4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5002" w:type="dxa"/>
          </w:tcPr>
          <w:p w14:paraId="1C3F068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760/5000</w:t>
            </w:r>
          </w:p>
        </w:tc>
      </w:tr>
      <w:tr w:rsidR="00983732" w:rsidRPr="00A3026E" w14:paraId="662C1AB5" w14:textId="77777777" w:rsidTr="00EA0DA7">
        <w:tc>
          <w:tcPr>
            <w:tcW w:w="5636" w:type="dxa"/>
          </w:tcPr>
          <w:p w14:paraId="61D1679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397F5D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106/6,8</w:t>
            </w:r>
          </w:p>
        </w:tc>
      </w:tr>
      <w:tr w:rsidR="00983732" w:rsidRPr="00A3026E" w14:paraId="26EE4F73" w14:textId="77777777" w:rsidTr="00EA0DA7">
        <w:tc>
          <w:tcPr>
            <w:tcW w:w="5636" w:type="dxa"/>
          </w:tcPr>
          <w:p w14:paraId="45097EA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184B970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325/15,25</w:t>
            </w:r>
          </w:p>
        </w:tc>
      </w:tr>
      <w:tr w:rsidR="00983732" w:rsidRPr="00A3026E" w14:paraId="40DE92F6" w14:textId="77777777" w:rsidTr="00EA0DA7">
        <w:tc>
          <w:tcPr>
            <w:tcW w:w="5636" w:type="dxa"/>
          </w:tcPr>
          <w:p w14:paraId="1F6AA9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59E4FD8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7C3AFAB" w14:textId="77777777" w:rsidTr="00EA0DA7">
        <w:tc>
          <w:tcPr>
            <w:tcW w:w="5636" w:type="dxa"/>
          </w:tcPr>
          <w:p w14:paraId="35B8B1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09777B5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19A056E9" w14:textId="77777777" w:rsidTr="00EA0DA7">
        <w:tc>
          <w:tcPr>
            <w:tcW w:w="5636" w:type="dxa"/>
            <w:tcBorders>
              <w:bottom w:val="single" w:sz="12" w:space="0" w:color="auto"/>
            </w:tcBorders>
          </w:tcPr>
          <w:p w14:paraId="3936FEA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0DD403B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0/150</w:t>
            </w:r>
          </w:p>
        </w:tc>
      </w:tr>
    </w:tbl>
    <w:p w14:paraId="3732D5A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43C2E0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И-153 с М-63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2817"/>
        <w:gridCol w:w="2184"/>
      </w:tblGrid>
      <w:tr w:rsidR="00983732" w:rsidRPr="00A3026E" w14:paraId="7AD007D2" w14:textId="77777777" w:rsidTr="00EA0DA7">
        <w:tc>
          <w:tcPr>
            <w:tcW w:w="5637" w:type="dxa"/>
            <w:tcBorders>
              <w:top w:val="single" w:sz="12" w:space="0" w:color="auto"/>
            </w:tcBorders>
          </w:tcPr>
          <w:p w14:paraId="03BFB19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2817" w:type="dxa"/>
            <w:tcBorders>
              <w:top w:val="single" w:sz="12" w:space="0" w:color="auto"/>
            </w:tcBorders>
          </w:tcPr>
          <w:p w14:paraId="6C0DCEC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900/4500</w:t>
            </w:r>
          </w:p>
        </w:tc>
        <w:tc>
          <w:tcPr>
            <w:tcW w:w="2184" w:type="dxa"/>
            <w:tcBorders>
              <w:top w:val="single" w:sz="12" w:space="0" w:color="auto"/>
            </w:tcBorders>
          </w:tcPr>
          <w:p w14:paraId="68C2234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3055E4C" w14:textId="77777777" w:rsidTr="00EA0DA7">
        <w:tc>
          <w:tcPr>
            <w:tcW w:w="5637" w:type="dxa"/>
          </w:tcPr>
          <w:p w14:paraId="19C909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2817" w:type="dxa"/>
          </w:tcPr>
          <w:p w14:paraId="508C1F7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1902/2142</w:t>
            </w:r>
          </w:p>
        </w:tc>
        <w:tc>
          <w:tcPr>
            <w:tcW w:w="2184" w:type="dxa"/>
          </w:tcPr>
          <w:p w14:paraId="2A9F798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8B5C334" w14:textId="77777777" w:rsidTr="00EA0DA7">
        <w:tc>
          <w:tcPr>
            <w:tcW w:w="5637" w:type="dxa"/>
          </w:tcPr>
          <w:p w14:paraId="3FFF5CE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2817" w:type="dxa"/>
          </w:tcPr>
          <w:p w14:paraId="429CEFB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184" w:type="dxa"/>
          </w:tcPr>
          <w:p w14:paraId="19A48CA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BC00E88" w14:textId="77777777" w:rsidTr="00EA0DA7">
        <w:tc>
          <w:tcPr>
            <w:tcW w:w="5637" w:type="dxa"/>
          </w:tcPr>
          <w:p w14:paraId="500E93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2817" w:type="dxa"/>
          </w:tcPr>
          <w:p w14:paraId="5A3CBD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365</w:t>
            </w:r>
          </w:p>
        </w:tc>
        <w:tc>
          <w:tcPr>
            <w:tcW w:w="2184" w:type="dxa"/>
          </w:tcPr>
          <w:p w14:paraId="6742E10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638295F" w14:textId="77777777" w:rsidTr="00EA0DA7">
        <w:tc>
          <w:tcPr>
            <w:tcW w:w="5637" w:type="dxa"/>
          </w:tcPr>
          <w:p w14:paraId="61FA3F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2817" w:type="dxa"/>
          </w:tcPr>
          <w:p w14:paraId="585CAE7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427/5100</w:t>
            </w:r>
          </w:p>
        </w:tc>
        <w:tc>
          <w:tcPr>
            <w:tcW w:w="2184" w:type="dxa"/>
          </w:tcPr>
          <w:p w14:paraId="769DFE7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8B52828" w14:textId="77777777" w:rsidTr="00EA0DA7">
        <w:tc>
          <w:tcPr>
            <w:tcW w:w="5637" w:type="dxa"/>
          </w:tcPr>
          <w:p w14:paraId="5397EB0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2817" w:type="dxa"/>
          </w:tcPr>
          <w:p w14:paraId="061FD99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420</w:t>
            </w:r>
          </w:p>
        </w:tc>
        <w:tc>
          <w:tcPr>
            <w:tcW w:w="2184" w:type="dxa"/>
          </w:tcPr>
          <w:p w14:paraId="0EEA2C6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79F508D" w14:textId="77777777" w:rsidTr="00EA0DA7">
        <w:tc>
          <w:tcPr>
            <w:tcW w:w="5637" w:type="dxa"/>
          </w:tcPr>
          <w:p w14:paraId="68D252B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2817" w:type="dxa"/>
          </w:tcPr>
          <w:p w14:paraId="67BCC5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110-115</w:t>
            </w:r>
          </w:p>
        </w:tc>
        <w:tc>
          <w:tcPr>
            <w:tcW w:w="2184" w:type="dxa"/>
          </w:tcPr>
          <w:p w14:paraId="4FFA12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84A7631" w14:textId="77777777" w:rsidTr="00EA0DA7">
        <w:tc>
          <w:tcPr>
            <w:tcW w:w="5637" w:type="dxa"/>
          </w:tcPr>
          <w:p w14:paraId="45E2181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2817" w:type="dxa"/>
          </w:tcPr>
          <w:p w14:paraId="0DC35FF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14,5/1000</w:t>
            </w:r>
          </w:p>
        </w:tc>
        <w:tc>
          <w:tcPr>
            <w:tcW w:w="2184" w:type="dxa"/>
          </w:tcPr>
          <w:p w14:paraId="1B46056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38C8E56" w14:textId="77777777" w:rsidTr="00EA0DA7">
        <w:tc>
          <w:tcPr>
            <w:tcW w:w="5637" w:type="dxa"/>
          </w:tcPr>
          <w:p w14:paraId="0BA528F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2817" w:type="dxa"/>
          </w:tcPr>
          <w:p w14:paraId="5A216C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5,7/5000</w:t>
            </w:r>
          </w:p>
        </w:tc>
        <w:tc>
          <w:tcPr>
            <w:tcW w:w="2184" w:type="dxa"/>
          </w:tcPr>
          <w:p w14:paraId="4F4DB7A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D49ABA1" w14:textId="77777777" w:rsidTr="00EA0DA7">
        <w:tc>
          <w:tcPr>
            <w:tcW w:w="5637" w:type="dxa"/>
          </w:tcPr>
          <w:p w14:paraId="723D6A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2817" w:type="dxa"/>
          </w:tcPr>
          <w:p w14:paraId="3924364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10600</w:t>
            </w:r>
          </w:p>
        </w:tc>
        <w:tc>
          <w:tcPr>
            <w:tcW w:w="2184" w:type="dxa"/>
          </w:tcPr>
          <w:p w14:paraId="3D43636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597A218" w14:textId="77777777" w:rsidTr="00EA0DA7">
        <w:tc>
          <w:tcPr>
            <w:tcW w:w="5637" w:type="dxa"/>
          </w:tcPr>
          <w:p w14:paraId="6E4A1C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2817" w:type="dxa"/>
          </w:tcPr>
          <w:p w14:paraId="2C2D780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184" w:type="dxa"/>
          </w:tcPr>
          <w:p w14:paraId="6761FF9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D14B809" w14:textId="77777777" w:rsidTr="00EA0DA7">
        <w:tc>
          <w:tcPr>
            <w:tcW w:w="5637" w:type="dxa"/>
          </w:tcPr>
          <w:p w14:paraId="153242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2817" w:type="dxa"/>
          </w:tcPr>
          <w:p w14:paraId="443A2C6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315/5100</w:t>
            </w:r>
          </w:p>
        </w:tc>
        <w:tc>
          <w:tcPr>
            <w:tcW w:w="2184" w:type="dxa"/>
          </w:tcPr>
          <w:p w14:paraId="06C7765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D3AC623" w14:textId="77777777" w:rsidTr="00EA0DA7">
        <w:tc>
          <w:tcPr>
            <w:tcW w:w="5637" w:type="dxa"/>
          </w:tcPr>
          <w:p w14:paraId="0EE4FA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2817" w:type="dxa"/>
          </w:tcPr>
          <w:p w14:paraId="0169DF8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510/5100</w:t>
            </w:r>
          </w:p>
        </w:tc>
        <w:tc>
          <w:tcPr>
            <w:tcW w:w="2184" w:type="dxa"/>
          </w:tcPr>
          <w:p w14:paraId="55B21E2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C2BB4CC" w14:textId="77777777" w:rsidTr="00EA0DA7">
        <w:tc>
          <w:tcPr>
            <w:tcW w:w="5637" w:type="dxa"/>
          </w:tcPr>
          <w:p w14:paraId="42CFEC1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2817" w:type="dxa"/>
          </w:tcPr>
          <w:p w14:paraId="3DA194E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690/5100</w:t>
            </w:r>
          </w:p>
        </w:tc>
        <w:tc>
          <w:tcPr>
            <w:tcW w:w="2184" w:type="dxa"/>
          </w:tcPr>
          <w:p w14:paraId="7ADA84F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EB56768" w14:textId="77777777" w:rsidTr="00EA0DA7">
        <w:tc>
          <w:tcPr>
            <w:tcW w:w="5637" w:type="dxa"/>
          </w:tcPr>
          <w:p w14:paraId="23C3D17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2817" w:type="dxa"/>
          </w:tcPr>
          <w:p w14:paraId="2A46EC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145/7,3 без фор.</w:t>
            </w:r>
          </w:p>
        </w:tc>
        <w:tc>
          <w:tcPr>
            <w:tcW w:w="2184" w:type="dxa"/>
          </w:tcPr>
          <w:p w14:paraId="7DE67F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118/6,5 с фор.</w:t>
            </w:r>
          </w:p>
        </w:tc>
      </w:tr>
      <w:tr w:rsidR="00983732" w:rsidRPr="00A3026E" w14:paraId="77E5BBE0" w14:textId="77777777" w:rsidTr="00EA0DA7">
        <w:tc>
          <w:tcPr>
            <w:tcW w:w="5637" w:type="dxa"/>
          </w:tcPr>
          <w:p w14:paraId="604CAC7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2817" w:type="dxa"/>
          </w:tcPr>
          <w:p w14:paraId="7881271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373/21</w:t>
            </w:r>
          </w:p>
        </w:tc>
        <w:tc>
          <w:tcPr>
            <w:tcW w:w="2184" w:type="dxa"/>
          </w:tcPr>
          <w:p w14:paraId="0DC5CA1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71DEC30" w14:textId="77777777" w:rsidTr="00EA0DA7">
        <w:tc>
          <w:tcPr>
            <w:tcW w:w="5637" w:type="dxa"/>
          </w:tcPr>
          <w:p w14:paraId="436568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2817" w:type="dxa"/>
          </w:tcPr>
          <w:p w14:paraId="245689B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184" w:type="dxa"/>
          </w:tcPr>
          <w:p w14:paraId="26EE82D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0EB83B1" w14:textId="77777777" w:rsidTr="00EA0DA7">
        <w:tc>
          <w:tcPr>
            <w:tcW w:w="5637" w:type="dxa"/>
          </w:tcPr>
          <w:p w14:paraId="41FAB9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2817" w:type="dxa"/>
          </w:tcPr>
          <w:p w14:paraId="4AB9379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c>
          <w:tcPr>
            <w:tcW w:w="2184" w:type="dxa"/>
          </w:tcPr>
          <w:p w14:paraId="3E97643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D8E65F1" w14:textId="77777777" w:rsidTr="00EA0DA7">
        <w:tc>
          <w:tcPr>
            <w:tcW w:w="5637" w:type="dxa"/>
            <w:tcBorders>
              <w:bottom w:val="single" w:sz="12" w:space="0" w:color="auto"/>
            </w:tcBorders>
          </w:tcPr>
          <w:p w14:paraId="7627F9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2817" w:type="dxa"/>
            <w:tcBorders>
              <w:bottom w:val="single" w:sz="12" w:space="0" w:color="auto"/>
            </w:tcBorders>
          </w:tcPr>
          <w:p w14:paraId="769FCD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0/150</w:t>
            </w:r>
          </w:p>
        </w:tc>
        <w:tc>
          <w:tcPr>
            <w:tcW w:w="2184" w:type="dxa"/>
            <w:tcBorders>
              <w:bottom w:val="single" w:sz="12" w:space="0" w:color="auto"/>
            </w:tcBorders>
          </w:tcPr>
          <w:p w14:paraId="6B9AD29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4AE99C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7F166B3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 с М-105П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2B4FEBB2" w14:textId="77777777" w:rsidTr="00EA0DA7">
        <w:tc>
          <w:tcPr>
            <w:tcW w:w="5636" w:type="dxa"/>
            <w:tcBorders>
              <w:top w:val="single" w:sz="12" w:space="0" w:color="auto"/>
            </w:tcBorders>
          </w:tcPr>
          <w:p w14:paraId="1A1BC1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35D4446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40A7E997" w14:textId="77777777" w:rsidTr="00EA0DA7">
        <w:tc>
          <w:tcPr>
            <w:tcW w:w="5636" w:type="dxa"/>
          </w:tcPr>
          <w:p w14:paraId="3411D6D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2B6AF0E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2700</w:t>
            </w:r>
          </w:p>
        </w:tc>
      </w:tr>
      <w:tr w:rsidR="00983732" w:rsidRPr="00A3026E" w14:paraId="06DAEFC6" w14:textId="77777777" w:rsidTr="00EA0DA7">
        <w:tc>
          <w:tcPr>
            <w:tcW w:w="5636" w:type="dxa"/>
          </w:tcPr>
          <w:p w14:paraId="04B9176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4BC2AF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8AA022F" w14:textId="77777777" w:rsidTr="00EA0DA7">
        <w:tc>
          <w:tcPr>
            <w:tcW w:w="5636" w:type="dxa"/>
          </w:tcPr>
          <w:p w14:paraId="182D239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16BA6B1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r>
      <w:tr w:rsidR="00983732" w:rsidRPr="00A3026E" w14:paraId="1BD03FE3" w14:textId="77777777" w:rsidTr="00EA0DA7">
        <w:tc>
          <w:tcPr>
            <w:tcW w:w="5636" w:type="dxa"/>
          </w:tcPr>
          <w:p w14:paraId="7D226F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2D1BBA8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586/4800</w:t>
            </w:r>
          </w:p>
        </w:tc>
      </w:tr>
      <w:tr w:rsidR="00983732" w:rsidRPr="00A3026E" w14:paraId="0E99CC11" w14:textId="77777777" w:rsidTr="00EA0DA7">
        <w:tc>
          <w:tcPr>
            <w:tcW w:w="5636" w:type="dxa"/>
          </w:tcPr>
          <w:p w14:paraId="1F2FB5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045A130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586/4800</w:t>
            </w:r>
          </w:p>
        </w:tc>
      </w:tr>
      <w:tr w:rsidR="00983732" w:rsidRPr="00A3026E" w14:paraId="29A0AFB8" w14:textId="77777777" w:rsidTr="00EA0DA7">
        <w:tc>
          <w:tcPr>
            <w:tcW w:w="5636" w:type="dxa"/>
          </w:tcPr>
          <w:p w14:paraId="3D3662B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6A751B2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r>
      <w:tr w:rsidR="00983732" w:rsidRPr="00A3026E" w14:paraId="3C0C03D1" w14:textId="77777777" w:rsidTr="00EA0DA7">
        <w:tc>
          <w:tcPr>
            <w:tcW w:w="5636" w:type="dxa"/>
          </w:tcPr>
          <w:p w14:paraId="1481F0E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580467B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24/1000</w:t>
            </w:r>
          </w:p>
        </w:tc>
      </w:tr>
      <w:tr w:rsidR="00983732" w:rsidRPr="00A3026E" w14:paraId="52BAB172" w14:textId="77777777" w:rsidTr="00EA0DA7">
        <w:tc>
          <w:tcPr>
            <w:tcW w:w="5636" w:type="dxa"/>
          </w:tcPr>
          <w:p w14:paraId="33FB3A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47EFB9E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6/5000</w:t>
            </w:r>
          </w:p>
        </w:tc>
      </w:tr>
      <w:tr w:rsidR="00983732" w:rsidRPr="00A3026E" w14:paraId="58E2634F" w14:textId="77777777" w:rsidTr="00EA0DA7">
        <w:tc>
          <w:tcPr>
            <w:tcW w:w="5636" w:type="dxa"/>
          </w:tcPr>
          <w:p w14:paraId="5F3651E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41F115E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10200</w:t>
            </w:r>
          </w:p>
        </w:tc>
      </w:tr>
      <w:tr w:rsidR="00983732" w:rsidRPr="00A3026E" w14:paraId="07710126" w14:textId="77777777" w:rsidTr="00EA0DA7">
        <w:tc>
          <w:tcPr>
            <w:tcW w:w="5636" w:type="dxa"/>
          </w:tcPr>
          <w:p w14:paraId="0008BB7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6A0CC86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A8534FA" w14:textId="77777777" w:rsidTr="00EA0DA7">
        <w:tc>
          <w:tcPr>
            <w:tcW w:w="5636" w:type="dxa"/>
          </w:tcPr>
          <w:p w14:paraId="1545B4D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2E388C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700/5000</w:t>
            </w:r>
          </w:p>
        </w:tc>
      </w:tr>
      <w:tr w:rsidR="00983732" w:rsidRPr="00A3026E" w14:paraId="7F0CE968" w14:textId="77777777" w:rsidTr="00EA0DA7">
        <w:tc>
          <w:tcPr>
            <w:tcW w:w="5636" w:type="dxa"/>
          </w:tcPr>
          <w:p w14:paraId="734E32B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19FC4C6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700/500</w:t>
            </w:r>
          </w:p>
        </w:tc>
      </w:tr>
      <w:tr w:rsidR="00983732" w:rsidRPr="00A3026E" w14:paraId="64EFC5A2" w14:textId="77777777" w:rsidTr="00EA0DA7">
        <w:tc>
          <w:tcPr>
            <w:tcW w:w="5636" w:type="dxa"/>
          </w:tcPr>
          <w:p w14:paraId="2D6325A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5002" w:type="dxa"/>
          </w:tcPr>
          <w:p w14:paraId="4FA76C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83BD2B4" w14:textId="77777777" w:rsidTr="00EA0DA7">
        <w:tc>
          <w:tcPr>
            <w:tcW w:w="5636" w:type="dxa"/>
          </w:tcPr>
          <w:p w14:paraId="5D7DCC8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3E1BB6A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300/12,3</w:t>
            </w:r>
          </w:p>
        </w:tc>
      </w:tr>
      <w:tr w:rsidR="00983732" w:rsidRPr="00A3026E" w14:paraId="2F870260" w14:textId="77777777" w:rsidTr="00EA0DA7">
        <w:tc>
          <w:tcPr>
            <w:tcW w:w="5636" w:type="dxa"/>
          </w:tcPr>
          <w:p w14:paraId="3A0F24A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71FDC5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F77385E" w14:textId="77777777" w:rsidTr="00EA0DA7">
        <w:tc>
          <w:tcPr>
            <w:tcW w:w="5636" w:type="dxa"/>
          </w:tcPr>
          <w:p w14:paraId="6972E9D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7881326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AEC3667" w14:textId="77777777" w:rsidTr="00EA0DA7">
        <w:tc>
          <w:tcPr>
            <w:tcW w:w="5636" w:type="dxa"/>
          </w:tcPr>
          <w:p w14:paraId="6BBA225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5EC5878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ШВАК</w:t>
            </w:r>
          </w:p>
        </w:tc>
      </w:tr>
      <w:tr w:rsidR="00983732" w:rsidRPr="00A3026E" w14:paraId="181D3332" w14:textId="77777777" w:rsidTr="00EA0DA7">
        <w:tc>
          <w:tcPr>
            <w:tcW w:w="5636" w:type="dxa"/>
          </w:tcPr>
          <w:p w14:paraId="32F005C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D198C0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3EB9E407" w14:textId="77777777" w:rsidTr="00EA0DA7">
        <w:tc>
          <w:tcPr>
            <w:tcW w:w="5636" w:type="dxa"/>
            <w:tcBorders>
              <w:bottom w:val="single" w:sz="12" w:space="0" w:color="auto"/>
            </w:tcBorders>
          </w:tcPr>
          <w:p w14:paraId="3341D26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7F3210C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7C6DBCA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18EA4F6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Миг-1 опытный с АМ-35А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500023ED" w14:textId="77777777" w:rsidTr="00EA0DA7">
        <w:tc>
          <w:tcPr>
            <w:tcW w:w="5636" w:type="dxa"/>
            <w:tcBorders>
              <w:top w:val="single" w:sz="12" w:space="0" w:color="auto"/>
            </w:tcBorders>
          </w:tcPr>
          <w:p w14:paraId="6FF4A6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17A5D59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1200/6000</w:t>
            </w:r>
          </w:p>
        </w:tc>
      </w:tr>
      <w:tr w:rsidR="00983732" w:rsidRPr="00A3026E" w14:paraId="20E3998C" w14:textId="77777777" w:rsidTr="00EA0DA7">
        <w:tc>
          <w:tcPr>
            <w:tcW w:w="5636" w:type="dxa"/>
          </w:tcPr>
          <w:p w14:paraId="306F10A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2FDF343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3099/3319</w:t>
            </w:r>
          </w:p>
        </w:tc>
      </w:tr>
      <w:tr w:rsidR="00983732" w:rsidRPr="00A3026E" w14:paraId="53EDB186" w14:textId="77777777" w:rsidTr="00EA0DA7">
        <w:tc>
          <w:tcPr>
            <w:tcW w:w="5636" w:type="dxa"/>
          </w:tcPr>
          <w:p w14:paraId="568648B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78A102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698AEC6" w14:textId="77777777" w:rsidTr="00EA0DA7">
        <w:tc>
          <w:tcPr>
            <w:tcW w:w="5636" w:type="dxa"/>
          </w:tcPr>
          <w:p w14:paraId="60C04AF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4C08545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r>
      <w:tr w:rsidR="00983732" w:rsidRPr="00A3026E" w14:paraId="16BE519B" w14:textId="77777777" w:rsidTr="00EA0DA7">
        <w:tc>
          <w:tcPr>
            <w:tcW w:w="5636" w:type="dxa"/>
          </w:tcPr>
          <w:p w14:paraId="5A75D6F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75C4B77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628/7200</w:t>
            </w:r>
          </w:p>
        </w:tc>
      </w:tr>
      <w:tr w:rsidR="00983732" w:rsidRPr="00A3026E" w14:paraId="49F4D7F1" w14:textId="77777777" w:rsidTr="00EA0DA7">
        <w:tc>
          <w:tcPr>
            <w:tcW w:w="5636" w:type="dxa"/>
          </w:tcPr>
          <w:p w14:paraId="1E4D5BF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18CEA0A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628/7200</w:t>
            </w:r>
          </w:p>
        </w:tc>
      </w:tr>
      <w:tr w:rsidR="00983732" w:rsidRPr="00A3026E" w14:paraId="7DA6CB96" w14:textId="77777777" w:rsidTr="00EA0DA7">
        <w:tc>
          <w:tcPr>
            <w:tcW w:w="5636" w:type="dxa"/>
          </w:tcPr>
          <w:p w14:paraId="510D0CC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7CAFC1B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w:t>
            </w:r>
          </w:p>
        </w:tc>
      </w:tr>
      <w:tr w:rsidR="00983732" w:rsidRPr="00A3026E" w14:paraId="0A898542" w14:textId="77777777" w:rsidTr="00EA0DA7">
        <w:tc>
          <w:tcPr>
            <w:tcW w:w="5636" w:type="dxa"/>
          </w:tcPr>
          <w:p w14:paraId="02DD388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7BCD35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20-22/1000</w:t>
            </w:r>
          </w:p>
        </w:tc>
      </w:tr>
      <w:tr w:rsidR="00983732" w:rsidRPr="00A3026E" w14:paraId="107925FD" w14:textId="77777777" w:rsidTr="00EA0DA7">
        <w:tc>
          <w:tcPr>
            <w:tcW w:w="5636" w:type="dxa"/>
          </w:tcPr>
          <w:p w14:paraId="58C9E9C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551B39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8,57/8000</w:t>
            </w:r>
          </w:p>
        </w:tc>
      </w:tr>
      <w:tr w:rsidR="00983732" w:rsidRPr="00A3026E" w14:paraId="61060CB6" w14:textId="77777777" w:rsidTr="00EA0DA7">
        <w:tc>
          <w:tcPr>
            <w:tcW w:w="5636" w:type="dxa"/>
          </w:tcPr>
          <w:p w14:paraId="12B309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7980E60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r>
      <w:tr w:rsidR="00983732" w:rsidRPr="00A3026E" w14:paraId="3403FDBD" w14:textId="77777777" w:rsidTr="00EA0DA7">
        <w:tc>
          <w:tcPr>
            <w:tcW w:w="5636" w:type="dxa"/>
          </w:tcPr>
          <w:p w14:paraId="40227E5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0656338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29EFFD5" w14:textId="77777777" w:rsidTr="00EA0DA7">
        <w:tc>
          <w:tcPr>
            <w:tcW w:w="5636" w:type="dxa"/>
          </w:tcPr>
          <w:p w14:paraId="182A15E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2196008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580/7000</w:t>
            </w:r>
          </w:p>
        </w:tc>
      </w:tr>
      <w:tr w:rsidR="00983732" w:rsidRPr="00A3026E" w14:paraId="2B1B2B0A" w14:textId="77777777" w:rsidTr="00EA0DA7">
        <w:tc>
          <w:tcPr>
            <w:tcW w:w="5636" w:type="dxa"/>
          </w:tcPr>
          <w:p w14:paraId="78C9381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5A7A910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580/7000</w:t>
            </w:r>
          </w:p>
        </w:tc>
      </w:tr>
      <w:tr w:rsidR="00983732" w:rsidRPr="00A3026E" w14:paraId="15F6C6EB" w14:textId="77777777" w:rsidTr="00EA0DA7">
        <w:tc>
          <w:tcPr>
            <w:tcW w:w="5636" w:type="dxa"/>
          </w:tcPr>
          <w:p w14:paraId="4C4EE28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5002" w:type="dxa"/>
          </w:tcPr>
          <w:p w14:paraId="0954D18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F244570" w14:textId="77777777" w:rsidTr="00EA0DA7">
        <w:tc>
          <w:tcPr>
            <w:tcW w:w="5636" w:type="dxa"/>
          </w:tcPr>
          <w:p w14:paraId="3739D28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404F595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268/12,5</w:t>
            </w:r>
          </w:p>
        </w:tc>
      </w:tr>
      <w:tr w:rsidR="00983732" w:rsidRPr="00A3026E" w14:paraId="34191DD6" w14:textId="77777777" w:rsidTr="00EA0DA7">
        <w:tc>
          <w:tcPr>
            <w:tcW w:w="5636" w:type="dxa"/>
          </w:tcPr>
          <w:p w14:paraId="6D88AE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2FA6FB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400/18,6</w:t>
            </w:r>
          </w:p>
        </w:tc>
      </w:tr>
      <w:tr w:rsidR="00983732" w:rsidRPr="00A3026E" w14:paraId="27A52615" w14:textId="77777777" w:rsidTr="00EA0DA7">
        <w:tc>
          <w:tcPr>
            <w:tcW w:w="5636" w:type="dxa"/>
          </w:tcPr>
          <w:p w14:paraId="429A585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363B9A8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7A4C737" w14:textId="77777777" w:rsidTr="00EA0DA7">
        <w:tc>
          <w:tcPr>
            <w:tcW w:w="5636" w:type="dxa"/>
          </w:tcPr>
          <w:p w14:paraId="05B2CE1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3798453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w:t>
            </w:r>
          </w:p>
        </w:tc>
      </w:tr>
      <w:tr w:rsidR="00983732" w:rsidRPr="00A3026E" w14:paraId="558A6459" w14:textId="77777777" w:rsidTr="00EA0DA7">
        <w:tc>
          <w:tcPr>
            <w:tcW w:w="5636" w:type="dxa"/>
          </w:tcPr>
          <w:p w14:paraId="377B80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800109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1A7A6B47" w14:textId="77777777" w:rsidTr="00EA0DA7">
        <w:tc>
          <w:tcPr>
            <w:tcW w:w="5636" w:type="dxa"/>
          </w:tcPr>
          <w:p w14:paraId="39389A3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Pr>
          <w:p w14:paraId="4B8077A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0/220</w:t>
            </w:r>
          </w:p>
        </w:tc>
      </w:tr>
      <w:tr w:rsidR="00983732" w:rsidRPr="00A3026E" w14:paraId="7F17783B" w14:textId="77777777" w:rsidTr="00EA0DA7">
        <w:tc>
          <w:tcPr>
            <w:tcW w:w="5636" w:type="dxa"/>
            <w:tcBorders>
              <w:bottom w:val="single" w:sz="12" w:space="0" w:color="auto"/>
            </w:tcBorders>
          </w:tcPr>
          <w:p w14:paraId="65724C1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6CDD41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перегрузку 8 РО-82</w:t>
            </w:r>
          </w:p>
        </w:tc>
      </w:tr>
    </w:tbl>
    <w:p w14:paraId="426C5DF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525D30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с М-105П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70ABCCE4" w14:textId="77777777" w:rsidTr="00EA0DA7">
        <w:tc>
          <w:tcPr>
            <w:tcW w:w="5636" w:type="dxa"/>
            <w:tcBorders>
              <w:top w:val="single" w:sz="12" w:space="0" w:color="auto"/>
            </w:tcBorders>
          </w:tcPr>
          <w:p w14:paraId="5C19CC8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64C83B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786CD8F2" w14:textId="77777777" w:rsidTr="00EA0DA7">
        <w:tc>
          <w:tcPr>
            <w:tcW w:w="5636" w:type="dxa"/>
          </w:tcPr>
          <w:p w14:paraId="09E02C5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78127D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2968</w:t>
            </w:r>
          </w:p>
        </w:tc>
      </w:tr>
      <w:tr w:rsidR="00983732" w:rsidRPr="00A3026E" w14:paraId="3A9317BE" w14:textId="77777777" w:rsidTr="00EA0DA7">
        <w:tc>
          <w:tcPr>
            <w:tcW w:w="5636" w:type="dxa"/>
          </w:tcPr>
          <w:p w14:paraId="02CBC09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5DA914E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98CA6F8" w14:textId="77777777" w:rsidTr="00EA0DA7">
        <w:tc>
          <w:tcPr>
            <w:tcW w:w="5636" w:type="dxa"/>
          </w:tcPr>
          <w:p w14:paraId="3802A5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588A37D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r>
      <w:tr w:rsidR="00983732" w:rsidRPr="00A3026E" w14:paraId="72CB285C" w14:textId="77777777" w:rsidTr="00EA0DA7">
        <w:tc>
          <w:tcPr>
            <w:tcW w:w="5636" w:type="dxa"/>
          </w:tcPr>
          <w:p w14:paraId="33EE41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56576BB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605/4950</w:t>
            </w:r>
          </w:p>
        </w:tc>
      </w:tr>
      <w:tr w:rsidR="00983732" w:rsidRPr="00A3026E" w14:paraId="2D8C197B" w14:textId="77777777" w:rsidTr="00EA0DA7">
        <w:tc>
          <w:tcPr>
            <w:tcW w:w="5636" w:type="dxa"/>
          </w:tcPr>
          <w:p w14:paraId="76D8411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6144F58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605/4950</w:t>
            </w:r>
          </w:p>
        </w:tc>
      </w:tr>
      <w:tr w:rsidR="00983732" w:rsidRPr="00A3026E" w14:paraId="6A9742D2" w14:textId="77777777" w:rsidTr="00EA0DA7">
        <w:tc>
          <w:tcPr>
            <w:tcW w:w="5636" w:type="dxa"/>
          </w:tcPr>
          <w:p w14:paraId="72BA4A9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6FCB701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r>
      <w:tr w:rsidR="00983732" w:rsidRPr="00A3026E" w14:paraId="6C298CD2" w14:textId="77777777" w:rsidTr="00EA0DA7">
        <w:tc>
          <w:tcPr>
            <w:tcW w:w="5636" w:type="dxa"/>
          </w:tcPr>
          <w:p w14:paraId="47EB5B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2B30048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20/1000</w:t>
            </w:r>
          </w:p>
        </w:tc>
      </w:tr>
      <w:tr w:rsidR="00983732" w:rsidRPr="00A3026E" w14:paraId="41704DA6" w14:textId="77777777" w:rsidTr="00EA0DA7">
        <w:tc>
          <w:tcPr>
            <w:tcW w:w="5636" w:type="dxa"/>
          </w:tcPr>
          <w:p w14:paraId="110C4AD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1F9F684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5,85/5000</w:t>
            </w:r>
          </w:p>
        </w:tc>
      </w:tr>
      <w:tr w:rsidR="00983732" w:rsidRPr="00A3026E" w14:paraId="3130AD76" w14:textId="77777777" w:rsidTr="00EA0DA7">
        <w:tc>
          <w:tcPr>
            <w:tcW w:w="5636" w:type="dxa"/>
          </w:tcPr>
          <w:p w14:paraId="0C5FBBB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4FB0155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9600</w:t>
            </w:r>
          </w:p>
        </w:tc>
      </w:tr>
      <w:tr w:rsidR="00983732" w:rsidRPr="00A3026E" w14:paraId="7F33C597" w14:textId="77777777" w:rsidTr="00EA0DA7">
        <w:tc>
          <w:tcPr>
            <w:tcW w:w="5636" w:type="dxa"/>
          </w:tcPr>
          <w:p w14:paraId="337B5A7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1E495AF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19FDB86" w14:textId="77777777" w:rsidTr="00EA0DA7">
        <w:tc>
          <w:tcPr>
            <w:tcW w:w="5636" w:type="dxa"/>
          </w:tcPr>
          <w:p w14:paraId="0030287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528D4BC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556/4950</w:t>
            </w:r>
          </w:p>
        </w:tc>
      </w:tr>
      <w:tr w:rsidR="00983732" w:rsidRPr="00A3026E" w14:paraId="4C3E1F3E" w14:textId="77777777" w:rsidTr="00EA0DA7">
        <w:tc>
          <w:tcPr>
            <w:tcW w:w="5636" w:type="dxa"/>
          </w:tcPr>
          <w:p w14:paraId="3CB54C3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1239BE1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556/4950</w:t>
            </w:r>
          </w:p>
        </w:tc>
      </w:tr>
      <w:tr w:rsidR="00983732" w:rsidRPr="00A3026E" w14:paraId="581CDCB2" w14:textId="77777777" w:rsidTr="00EA0DA7">
        <w:tc>
          <w:tcPr>
            <w:tcW w:w="5636" w:type="dxa"/>
          </w:tcPr>
          <w:p w14:paraId="064171C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5002" w:type="dxa"/>
          </w:tcPr>
          <w:p w14:paraId="17B6BA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D8D4619" w14:textId="77777777" w:rsidTr="00EA0DA7">
        <w:tc>
          <w:tcPr>
            <w:tcW w:w="5636" w:type="dxa"/>
          </w:tcPr>
          <w:p w14:paraId="664B74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77C50CE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355/14,1</w:t>
            </w:r>
          </w:p>
        </w:tc>
      </w:tr>
      <w:tr w:rsidR="00983732" w:rsidRPr="00A3026E" w14:paraId="676F6DB3" w14:textId="77777777" w:rsidTr="00EA0DA7">
        <w:tc>
          <w:tcPr>
            <w:tcW w:w="5636" w:type="dxa"/>
          </w:tcPr>
          <w:p w14:paraId="0FC705E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61391F3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400/22,4</w:t>
            </w:r>
          </w:p>
        </w:tc>
      </w:tr>
      <w:tr w:rsidR="00983732" w:rsidRPr="00A3026E" w14:paraId="4C8304CC" w14:textId="77777777" w:rsidTr="00EA0DA7">
        <w:tc>
          <w:tcPr>
            <w:tcW w:w="5636" w:type="dxa"/>
          </w:tcPr>
          <w:p w14:paraId="38D05B5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2C4E223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F04ADAD" w14:textId="77777777" w:rsidTr="00EA0DA7">
        <w:tc>
          <w:tcPr>
            <w:tcW w:w="5636" w:type="dxa"/>
          </w:tcPr>
          <w:p w14:paraId="595BF32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378B1DD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 23 мм</w:t>
            </w:r>
          </w:p>
        </w:tc>
      </w:tr>
      <w:tr w:rsidR="00983732" w:rsidRPr="00A3026E" w14:paraId="604DA504" w14:textId="77777777" w:rsidTr="00EA0DA7">
        <w:tc>
          <w:tcPr>
            <w:tcW w:w="5636" w:type="dxa"/>
          </w:tcPr>
          <w:p w14:paraId="2187A74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C28478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БС</w:t>
            </w:r>
          </w:p>
        </w:tc>
      </w:tr>
      <w:tr w:rsidR="00983732" w:rsidRPr="00A3026E" w14:paraId="27B54447" w14:textId="77777777" w:rsidTr="00EA0DA7">
        <w:tc>
          <w:tcPr>
            <w:tcW w:w="5636" w:type="dxa"/>
          </w:tcPr>
          <w:p w14:paraId="1DC07EA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CC8356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перегрузку 2 ШКАС</w:t>
            </w:r>
          </w:p>
        </w:tc>
      </w:tr>
      <w:tr w:rsidR="00983732" w:rsidRPr="00A3026E" w14:paraId="62FC4B65" w14:textId="77777777" w:rsidTr="00EA0DA7">
        <w:tc>
          <w:tcPr>
            <w:tcW w:w="5636" w:type="dxa"/>
            <w:tcBorders>
              <w:bottom w:val="single" w:sz="12" w:space="0" w:color="auto"/>
            </w:tcBorders>
          </w:tcPr>
          <w:p w14:paraId="7009108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26CB5EB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03E54A2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E5A28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Миг-3 АМ-35А серийный (исп. в марте 1941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0AF1ADB0" w14:textId="77777777" w:rsidTr="00EA0DA7">
        <w:tc>
          <w:tcPr>
            <w:tcW w:w="5636" w:type="dxa"/>
            <w:tcBorders>
              <w:top w:val="single" w:sz="12" w:space="0" w:color="auto"/>
            </w:tcBorders>
          </w:tcPr>
          <w:p w14:paraId="33DE5B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7462BCC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1200/6000</w:t>
            </w:r>
          </w:p>
        </w:tc>
      </w:tr>
      <w:tr w:rsidR="00983732" w:rsidRPr="00A3026E" w14:paraId="7E9A937F" w14:textId="77777777" w:rsidTr="00EA0DA7">
        <w:tc>
          <w:tcPr>
            <w:tcW w:w="5636" w:type="dxa"/>
          </w:tcPr>
          <w:p w14:paraId="74A0E8D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5C10766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3355/3555</w:t>
            </w:r>
          </w:p>
        </w:tc>
      </w:tr>
      <w:tr w:rsidR="00983732" w:rsidRPr="00A3026E" w14:paraId="11727FC7" w14:textId="77777777" w:rsidTr="00EA0DA7">
        <w:tc>
          <w:tcPr>
            <w:tcW w:w="5636" w:type="dxa"/>
          </w:tcPr>
          <w:p w14:paraId="0B195FA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6778697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792FBD8" w14:textId="77777777" w:rsidTr="00EA0DA7">
        <w:tc>
          <w:tcPr>
            <w:tcW w:w="5636" w:type="dxa"/>
          </w:tcPr>
          <w:p w14:paraId="709CB9B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478D020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495</w:t>
            </w:r>
          </w:p>
        </w:tc>
      </w:tr>
      <w:tr w:rsidR="00983732" w:rsidRPr="00A3026E" w14:paraId="4F81F03D" w14:textId="77777777" w:rsidTr="00EA0DA7">
        <w:tc>
          <w:tcPr>
            <w:tcW w:w="5636" w:type="dxa"/>
          </w:tcPr>
          <w:p w14:paraId="2CD43D4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653F7BE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640/7800</w:t>
            </w:r>
          </w:p>
        </w:tc>
      </w:tr>
      <w:tr w:rsidR="00983732" w:rsidRPr="00A3026E" w14:paraId="7876FEA0" w14:textId="77777777" w:rsidTr="00EA0DA7">
        <w:tc>
          <w:tcPr>
            <w:tcW w:w="5636" w:type="dxa"/>
          </w:tcPr>
          <w:p w14:paraId="46EA366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2235793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640/7800</w:t>
            </w:r>
          </w:p>
        </w:tc>
      </w:tr>
      <w:tr w:rsidR="00983732" w:rsidRPr="00A3026E" w14:paraId="6EADD086" w14:textId="77777777" w:rsidTr="00EA0DA7">
        <w:tc>
          <w:tcPr>
            <w:tcW w:w="5636" w:type="dxa"/>
          </w:tcPr>
          <w:p w14:paraId="0813385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6464160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144,5</w:t>
            </w:r>
          </w:p>
        </w:tc>
      </w:tr>
      <w:tr w:rsidR="00983732" w:rsidRPr="00A3026E" w14:paraId="44C91BA7" w14:textId="77777777" w:rsidTr="00EA0DA7">
        <w:tc>
          <w:tcPr>
            <w:tcW w:w="5636" w:type="dxa"/>
          </w:tcPr>
          <w:p w14:paraId="1D25978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46339A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25-26/4000</w:t>
            </w:r>
          </w:p>
        </w:tc>
      </w:tr>
      <w:tr w:rsidR="00983732" w:rsidRPr="00A3026E" w14:paraId="216DE468" w14:textId="77777777" w:rsidTr="00EA0DA7">
        <w:tc>
          <w:tcPr>
            <w:tcW w:w="5636" w:type="dxa"/>
          </w:tcPr>
          <w:p w14:paraId="7236A9C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361D69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10,28/8000</w:t>
            </w:r>
          </w:p>
        </w:tc>
      </w:tr>
      <w:tr w:rsidR="00983732" w:rsidRPr="00A3026E" w14:paraId="1778ABE0" w14:textId="77777777" w:rsidTr="00EA0DA7">
        <w:tc>
          <w:tcPr>
            <w:tcW w:w="5636" w:type="dxa"/>
          </w:tcPr>
          <w:p w14:paraId="0FE0297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25A3C99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34C1CDB" w14:textId="77777777" w:rsidTr="00EA0DA7">
        <w:tc>
          <w:tcPr>
            <w:tcW w:w="5636" w:type="dxa"/>
          </w:tcPr>
          <w:p w14:paraId="0B666EF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73BAE0B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E0B95DF" w14:textId="77777777" w:rsidTr="00EA0DA7">
        <w:tc>
          <w:tcPr>
            <w:tcW w:w="5636" w:type="dxa"/>
          </w:tcPr>
          <w:p w14:paraId="79FBDC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4E57EC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820/7860</w:t>
            </w:r>
          </w:p>
        </w:tc>
      </w:tr>
      <w:tr w:rsidR="00983732" w:rsidRPr="00A3026E" w14:paraId="78949D82" w14:textId="77777777" w:rsidTr="00EA0DA7">
        <w:tc>
          <w:tcPr>
            <w:tcW w:w="5636" w:type="dxa"/>
          </w:tcPr>
          <w:p w14:paraId="3D814F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24D774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820/7860</w:t>
            </w:r>
          </w:p>
        </w:tc>
      </w:tr>
      <w:tr w:rsidR="00983732" w:rsidRPr="00A3026E" w14:paraId="6A7E988E" w14:textId="77777777" w:rsidTr="00EA0DA7">
        <w:tc>
          <w:tcPr>
            <w:tcW w:w="5636" w:type="dxa"/>
          </w:tcPr>
          <w:p w14:paraId="786B7CA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5002" w:type="dxa"/>
          </w:tcPr>
          <w:p w14:paraId="4E994F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F4C5024" w14:textId="77777777" w:rsidTr="00EA0DA7">
        <w:tc>
          <w:tcPr>
            <w:tcW w:w="5636" w:type="dxa"/>
          </w:tcPr>
          <w:p w14:paraId="15AF76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075EEA3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347/-</w:t>
            </w:r>
          </w:p>
        </w:tc>
      </w:tr>
      <w:tr w:rsidR="00983732" w:rsidRPr="00A3026E" w14:paraId="1E0AEFB6" w14:textId="77777777" w:rsidTr="00EA0DA7">
        <w:tc>
          <w:tcPr>
            <w:tcW w:w="5636" w:type="dxa"/>
          </w:tcPr>
          <w:p w14:paraId="0DAB613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02BCBF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w:t>
            </w:r>
          </w:p>
        </w:tc>
      </w:tr>
      <w:tr w:rsidR="00983732" w:rsidRPr="00A3026E" w14:paraId="268CD609" w14:textId="77777777" w:rsidTr="00EA0DA7">
        <w:tc>
          <w:tcPr>
            <w:tcW w:w="5636" w:type="dxa"/>
          </w:tcPr>
          <w:p w14:paraId="249ACFA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621DA69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17DFB2C" w14:textId="77777777" w:rsidTr="00EA0DA7">
        <w:tc>
          <w:tcPr>
            <w:tcW w:w="5636" w:type="dxa"/>
          </w:tcPr>
          <w:p w14:paraId="03FBCF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6E4D2B2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w:t>
            </w:r>
          </w:p>
        </w:tc>
      </w:tr>
      <w:tr w:rsidR="00983732" w:rsidRPr="00A3026E" w14:paraId="6017B10D" w14:textId="77777777" w:rsidTr="00EA0DA7">
        <w:tc>
          <w:tcPr>
            <w:tcW w:w="5636" w:type="dxa"/>
          </w:tcPr>
          <w:p w14:paraId="791985D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330BEE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6565566E" w14:textId="77777777" w:rsidTr="00EA0DA7">
        <w:tc>
          <w:tcPr>
            <w:tcW w:w="5636" w:type="dxa"/>
            <w:tcBorders>
              <w:bottom w:val="single" w:sz="12" w:space="0" w:color="auto"/>
            </w:tcBorders>
          </w:tcPr>
          <w:p w14:paraId="07F02E7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243376E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0/200</w:t>
            </w:r>
          </w:p>
        </w:tc>
      </w:tr>
    </w:tbl>
    <w:p w14:paraId="7BB1A3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68ECD53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ЯК-1 М-105П экз.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1B27FF8C" w14:textId="77777777" w:rsidTr="00EA0DA7">
        <w:tc>
          <w:tcPr>
            <w:tcW w:w="5636" w:type="dxa"/>
            <w:tcBorders>
              <w:top w:val="single" w:sz="12" w:space="0" w:color="auto"/>
            </w:tcBorders>
          </w:tcPr>
          <w:p w14:paraId="60BC4A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327DB22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6DA3FD6C" w14:textId="77777777" w:rsidTr="00EA0DA7">
        <w:tc>
          <w:tcPr>
            <w:tcW w:w="5636" w:type="dxa"/>
          </w:tcPr>
          <w:p w14:paraId="688369F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1485D75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2700/-</w:t>
            </w:r>
          </w:p>
        </w:tc>
      </w:tr>
      <w:tr w:rsidR="00983732" w:rsidRPr="00A3026E" w14:paraId="388C45B6" w14:textId="77777777" w:rsidTr="00EA0DA7">
        <w:tc>
          <w:tcPr>
            <w:tcW w:w="5636" w:type="dxa"/>
          </w:tcPr>
          <w:p w14:paraId="473E14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33B8186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C2BA683" w14:textId="77777777" w:rsidTr="00EA0DA7">
        <w:tc>
          <w:tcPr>
            <w:tcW w:w="5636" w:type="dxa"/>
          </w:tcPr>
          <w:p w14:paraId="785B365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5E40EF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r>
      <w:tr w:rsidR="00983732" w:rsidRPr="00A3026E" w14:paraId="20A3653C" w14:textId="77777777" w:rsidTr="00EA0DA7">
        <w:tc>
          <w:tcPr>
            <w:tcW w:w="5636" w:type="dxa"/>
          </w:tcPr>
          <w:p w14:paraId="319FE6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5E63403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592/4960</w:t>
            </w:r>
          </w:p>
        </w:tc>
      </w:tr>
      <w:tr w:rsidR="00983732" w:rsidRPr="00A3026E" w14:paraId="1E6C1700" w14:textId="77777777" w:rsidTr="00EA0DA7">
        <w:tc>
          <w:tcPr>
            <w:tcW w:w="5636" w:type="dxa"/>
          </w:tcPr>
          <w:p w14:paraId="376F6DD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48D4952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592/4960</w:t>
            </w:r>
          </w:p>
        </w:tc>
      </w:tr>
      <w:tr w:rsidR="00983732" w:rsidRPr="00A3026E" w14:paraId="1ABD9767" w14:textId="77777777" w:rsidTr="00EA0DA7">
        <w:tc>
          <w:tcPr>
            <w:tcW w:w="5636" w:type="dxa"/>
          </w:tcPr>
          <w:p w14:paraId="33BB163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2B4F42A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r>
      <w:tr w:rsidR="00983732" w:rsidRPr="00A3026E" w14:paraId="123ADF77" w14:textId="77777777" w:rsidTr="00EA0DA7">
        <w:tc>
          <w:tcPr>
            <w:tcW w:w="5636" w:type="dxa"/>
          </w:tcPr>
          <w:p w14:paraId="766618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45D4DD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20-21/1000</w:t>
            </w:r>
          </w:p>
        </w:tc>
      </w:tr>
      <w:tr w:rsidR="00983732" w:rsidRPr="00A3026E" w14:paraId="6D48E4CE" w14:textId="77777777" w:rsidTr="00EA0DA7">
        <w:tc>
          <w:tcPr>
            <w:tcW w:w="5636" w:type="dxa"/>
          </w:tcPr>
          <w:p w14:paraId="779BA1C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289B6A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6/5000</w:t>
            </w:r>
          </w:p>
        </w:tc>
      </w:tr>
      <w:tr w:rsidR="00983732" w:rsidRPr="00A3026E" w14:paraId="2E1EA12D" w14:textId="77777777" w:rsidTr="00EA0DA7">
        <w:tc>
          <w:tcPr>
            <w:tcW w:w="5636" w:type="dxa"/>
          </w:tcPr>
          <w:p w14:paraId="207EA9D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3645C83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10200</w:t>
            </w:r>
          </w:p>
        </w:tc>
      </w:tr>
      <w:tr w:rsidR="00983732" w:rsidRPr="00A3026E" w14:paraId="6FCCE7C5" w14:textId="77777777" w:rsidTr="00EA0DA7">
        <w:tc>
          <w:tcPr>
            <w:tcW w:w="5636" w:type="dxa"/>
          </w:tcPr>
          <w:p w14:paraId="681A01D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48C605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4A72453" w14:textId="77777777" w:rsidTr="00EA0DA7">
        <w:tc>
          <w:tcPr>
            <w:tcW w:w="5636" w:type="dxa"/>
          </w:tcPr>
          <w:p w14:paraId="22E451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2C0CDDD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700/5000</w:t>
            </w:r>
          </w:p>
        </w:tc>
      </w:tr>
      <w:tr w:rsidR="00983732" w:rsidRPr="00A3026E" w14:paraId="15A4AE83" w14:textId="77777777" w:rsidTr="00EA0DA7">
        <w:tc>
          <w:tcPr>
            <w:tcW w:w="5636" w:type="dxa"/>
          </w:tcPr>
          <w:p w14:paraId="1B2945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196A149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700/5000</w:t>
            </w:r>
          </w:p>
        </w:tc>
      </w:tr>
      <w:tr w:rsidR="00983732" w:rsidRPr="00A3026E" w14:paraId="33B25948" w14:textId="77777777" w:rsidTr="00EA0DA7">
        <w:tc>
          <w:tcPr>
            <w:tcW w:w="5636" w:type="dxa"/>
          </w:tcPr>
          <w:p w14:paraId="69C7A04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5002" w:type="dxa"/>
          </w:tcPr>
          <w:p w14:paraId="2A5C584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4D22644" w14:textId="77777777" w:rsidTr="00EA0DA7">
        <w:tc>
          <w:tcPr>
            <w:tcW w:w="5636" w:type="dxa"/>
          </w:tcPr>
          <w:p w14:paraId="5C17E45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1B9EC40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r>
      <w:tr w:rsidR="00983732" w:rsidRPr="00A3026E" w14:paraId="287A9AFA" w14:textId="77777777" w:rsidTr="00EA0DA7">
        <w:tc>
          <w:tcPr>
            <w:tcW w:w="5636" w:type="dxa"/>
          </w:tcPr>
          <w:p w14:paraId="7D12D89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570CFE0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540/33</w:t>
            </w:r>
          </w:p>
        </w:tc>
      </w:tr>
      <w:tr w:rsidR="00983732" w:rsidRPr="00A3026E" w14:paraId="440114CD" w14:textId="77777777" w:rsidTr="00EA0DA7">
        <w:tc>
          <w:tcPr>
            <w:tcW w:w="5636" w:type="dxa"/>
          </w:tcPr>
          <w:p w14:paraId="02983E6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259E467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CCFDE4D" w14:textId="77777777" w:rsidTr="00EA0DA7">
        <w:tc>
          <w:tcPr>
            <w:tcW w:w="5636" w:type="dxa"/>
          </w:tcPr>
          <w:p w14:paraId="7887CC5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0CB73D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ШВАК</w:t>
            </w:r>
          </w:p>
        </w:tc>
      </w:tr>
      <w:tr w:rsidR="00983732" w:rsidRPr="00A3026E" w14:paraId="150BAACB" w14:textId="77777777" w:rsidTr="00EA0DA7">
        <w:tc>
          <w:tcPr>
            <w:tcW w:w="5636" w:type="dxa"/>
          </w:tcPr>
          <w:p w14:paraId="7D90201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D2AFBD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6039BA0E" w14:textId="77777777" w:rsidTr="00EA0DA7">
        <w:tc>
          <w:tcPr>
            <w:tcW w:w="5636" w:type="dxa"/>
            <w:tcBorders>
              <w:bottom w:val="single" w:sz="12" w:space="0" w:color="auto"/>
            </w:tcBorders>
          </w:tcPr>
          <w:p w14:paraId="7BA3D8C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57BF47F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21A3A2A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1DA4766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ЯК-1 М-105П серийный № 0406 производства завода № 301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74DD2CAD" w14:textId="77777777" w:rsidTr="00EA0DA7">
        <w:tc>
          <w:tcPr>
            <w:tcW w:w="5636" w:type="dxa"/>
            <w:tcBorders>
              <w:top w:val="single" w:sz="12" w:space="0" w:color="auto"/>
            </w:tcBorders>
          </w:tcPr>
          <w:p w14:paraId="49601A8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06E75CB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65314230" w14:textId="77777777" w:rsidTr="00EA0DA7">
        <w:tc>
          <w:tcPr>
            <w:tcW w:w="5636" w:type="dxa"/>
          </w:tcPr>
          <w:p w14:paraId="6407D24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1B1A90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2858/-</w:t>
            </w:r>
          </w:p>
        </w:tc>
      </w:tr>
      <w:tr w:rsidR="00983732" w:rsidRPr="00A3026E" w14:paraId="08DBA5DB" w14:textId="77777777" w:rsidTr="00EA0DA7">
        <w:tc>
          <w:tcPr>
            <w:tcW w:w="5636" w:type="dxa"/>
          </w:tcPr>
          <w:p w14:paraId="2DC51D1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7DFA5D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7318206" w14:textId="77777777" w:rsidTr="00EA0DA7">
        <w:tc>
          <w:tcPr>
            <w:tcW w:w="5636" w:type="dxa"/>
          </w:tcPr>
          <w:p w14:paraId="6D766E8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737B95D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w:t>
            </w:r>
          </w:p>
        </w:tc>
      </w:tr>
      <w:tr w:rsidR="00983732" w:rsidRPr="00A3026E" w14:paraId="62C0BF23" w14:textId="77777777" w:rsidTr="00EA0DA7">
        <w:tc>
          <w:tcPr>
            <w:tcW w:w="5636" w:type="dxa"/>
          </w:tcPr>
          <w:p w14:paraId="7155FD5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0AE3DDC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577,5/4950</w:t>
            </w:r>
          </w:p>
        </w:tc>
      </w:tr>
      <w:tr w:rsidR="00983732" w:rsidRPr="00A3026E" w14:paraId="1A2237ED" w14:textId="77777777" w:rsidTr="00EA0DA7">
        <w:tc>
          <w:tcPr>
            <w:tcW w:w="5636" w:type="dxa"/>
          </w:tcPr>
          <w:p w14:paraId="17718E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7A6F47C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577,5/4950</w:t>
            </w:r>
          </w:p>
        </w:tc>
      </w:tr>
      <w:tr w:rsidR="00983732" w:rsidRPr="00A3026E" w14:paraId="6CEF38FB" w14:textId="77777777" w:rsidTr="00EA0DA7">
        <w:tc>
          <w:tcPr>
            <w:tcW w:w="5636" w:type="dxa"/>
          </w:tcPr>
          <w:p w14:paraId="2DC8384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7523793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137</w:t>
            </w:r>
          </w:p>
        </w:tc>
      </w:tr>
      <w:tr w:rsidR="00983732" w:rsidRPr="00A3026E" w14:paraId="6465E1BE" w14:textId="77777777" w:rsidTr="00EA0DA7">
        <w:tc>
          <w:tcPr>
            <w:tcW w:w="5636" w:type="dxa"/>
          </w:tcPr>
          <w:p w14:paraId="3069DFF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68C18DB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20-21/1000</w:t>
            </w:r>
          </w:p>
        </w:tc>
      </w:tr>
      <w:tr w:rsidR="00983732" w:rsidRPr="00A3026E" w14:paraId="1054EDCA" w14:textId="77777777" w:rsidTr="00EA0DA7">
        <w:tc>
          <w:tcPr>
            <w:tcW w:w="5636" w:type="dxa"/>
          </w:tcPr>
          <w:p w14:paraId="33922E6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Время подъема на высоту</w:t>
            </w:r>
          </w:p>
        </w:tc>
        <w:tc>
          <w:tcPr>
            <w:tcW w:w="5002" w:type="dxa"/>
          </w:tcPr>
          <w:p w14:paraId="0A0C2E3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5,7/5000</w:t>
            </w:r>
          </w:p>
        </w:tc>
      </w:tr>
      <w:tr w:rsidR="00983732" w:rsidRPr="00A3026E" w14:paraId="276B926F" w14:textId="77777777" w:rsidTr="00EA0DA7">
        <w:tc>
          <w:tcPr>
            <w:tcW w:w="5636" w:type="dxa"/>
          </w:tcPr>
          <w:p w14:paraId="253305A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316C6BA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352C73ED" w14:textId="77777777" w:rsidTr="00EA0DA7">
        <w:tc>
          <w:tcPr>
            <w:tcW w:w="5636" w:type="dxa"/>
          </w:tcPr>
          <w:p w14:paraId="64DD63D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1C4C462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0904EBD" w14:textId="77777777" w:rsidTr="00EA0DA7">
        <w:tc>
          <w:tcPr>
            <w:tcW w:w="5636" w:type="dxa"/>
          </w:tcPr>
          <w:p w14:paraId="05682D8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08A86DF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700/5000</w:t>
            </w:r>
          </w:p>
        </w:tc>
      </w:tr>
      <w:tr w:rsidR="00983732" w:rsidRPr="00A3026E" w14:paraId="6AF67595" w14:textId="77777777" w:rsidTr="00EA0DA7">
        <w:tc>
          <w:tcPr>
            <w:tcW w:w="5636" w:type="dxa"/>
          </w:tcPr>
          <w:p w14:paraId="7B297B9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0177C6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700/5000</w:t>
            </w:r>
          </w:p>
        </w:tc>
      </w:tr>
      <w:tr w:rsidR="00983732" w:rsidRPr="00A3026E" w14:paraId="1533069B" w14:textId="77777777" w:rsidTr="00EA0DA7">
        <w:tc>
          <w:tcPr>
            <w:tcW w:w="5636" w:type="dxa"/>
          </w:tcPr>
          <w:p w14:paraId="0C09B53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5002" w:type="dxa"/>
          </w:tcPr>
          <w:p w14:paraId="6B78D2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5D72470" w14:textId="77777777" w:rsidTr="00EA0DA7">
        <w:tc>
          <w:tcPr>
            <w:tcW w:w="5636" w:type="dxa"/>
          </w:tcPr>
          <w:p w14:paraId="61911A9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16B5C1C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340</w:t>
            </w:r>
          </w:p>
        </w:tc>
      </w:tr>
      <w:tr w:rsidR="00983732" w:rsidRPr="00A3026E" w14:paraId="26541B96" w14:textId="77777777" w:rsidTr="00EA0DA7">
        <w:tc>
          <w:tcPr>
            <w:tcW w:w="5636" w:type="dxa"/>
          </w:tcPr>
          <w:p w14:paraId="399DCB4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758C66E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560/34</w:t>
            </w:r>
          </w:p>
        </w:tc>
      </w:tr>
      <w:tr w:rsidR="00983732" w:rsidRPr="00A3026E" w14:paraId="105E4CDB" w14:textId="77777777" w:rsidTr="00EA0DA7">
        <w:tc>
          <w:tcPr>
            <w:tcW w:w="5636" w:type="dxa"/>
          </w:tcPr>
          <w:p w14:paraId="03B30C8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06F56CD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77CA323" w14:textId="77777777" w:rsidTr="00EA0DA7">
        <w:tc>
          <w:tcPr>
            <w:tcW w:w="5636" w:type="dxa"/>
          </w:tcPr>
          <w:p w14:paraId="0CB7169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66EB99E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ШВАК</w:t>
            </w:r>
          </w:p>
        </w:tc>
      </w:tr>
      <w:tr w:rsidR="00983732" w:rsidRPr="00A3026E" w14:paraId="0CC2B237" w14:textId="77777777" w:rsidTr="00EA0DA7">
        <w:tc>
          <w:tcPr>
            <w:tcW w:w="5636" w:type="dxa"/>
          </w:tcPr>
          <w:p w14:paraId="038B5C9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46BF5D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5067348E" w14:textId="77777777" w:rsidTr="00EA0DA7">
        <w:tc>
          <w:tcPr>
            <w:tcW w:w="5636" w:type="dxa"/>
            <w:tcBorders>
              <w:bottom w:val="single" w:sz="12" w:space="0" w:color="auto"/>
            </w:tcBorders>
          </w:tcPr>
          <w:p w14:paraId="243BA68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1F71160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22580AE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6A6CED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ЯК-1 М-105П серийный № 0511 производства завода № 292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145D01A0" w14:textId="77777777" w:rsidTr="00EA0DA7">
        <w:tc>
          <w:tcPr>
            <w:tcW w:w="5636" w:type="dxa"/>
            <w:tcBorders>
              <w:top w:val="single" w:sz="12" w:space="0" w:color="auto"/>
            </w:tcBorders>
          </w:tcPr>
          <w:p w14:paraId="68597A7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4BBC5D8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67CD91BB" w14:textId="77777777" w:rsidTr="00EA0DA7">
        <w:tc>
          <w:tcPr>
            <w:tcW w:w="5636" w:type="dxa"/>
          </w:tcPr>
          <w:p w14:paraId="4F141B1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515FEB2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2847/-</w:t>
            </w:r>
          </w:p>
        </w:tc>
      </w:tr>
      <w:tr w:rsidR="00983732" w:rsidRPr="00A3026E" w14:paraId="51405CFE" w14:textId="77777777" w:rsidTr="00EA0DA7">
        <w:tc>
          <w:tcPr>
            <w:tcW w:w="5636" w:type="dxa"/>
          </w:tcPr>
          <w:p w14:paraId="545CAD3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026E01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B695318" w14:textId="77777777" w:rsidTr="00EA0DA7">
        <w:tc>
          <w:tcPr>
            <w:tcW w:w="5636" w:type="dxa"/>
          </w:tcPr>
          <w:p w14:paraId="2D3C534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7E53441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r>
      <w:tr w:rsidR="00983732" w:rsidRPr="00A3026E" w14:paraId="026C25A0" w14:textId="77777777" w:rsidTr="00EA0DA7">
        <w:tc>
          <w:tcPr>
            <w:tcW w:w="5636" w:type="dxa"/>
          </w:tcPr>
          <w:p w14:paraId="72A5A70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58063D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586,5/5100</w:t>
            </w:r>
          </w:p>
        </w:tc>
      </w:tr>
      <w:tr w:rsidR="00983732" w:rsidRPr="00A3026E" w14:paraId="3A21E4F3" w14:textId="77777777" w:rsidTr="00EA0DA7">
        <w:tc>
          <w:tcPr>
            <w:tcW w:w="5636" w:type="dxa"/>
          </w:tcPr>
          <w:p w14:paraId="09EC17A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415377A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586,5/5100</w:t>
            </w:r>
          </w:p>
        </w:tc>
      </w:tr>
      <w:tr w:rsidR="00983732" w:rsidRPr="00A3026E" w14:paraId="07B34FCB" w14:textId="77777777" w:rsidTr="00EA0DA7">
        <w:tc>
          <w:tcPr>
            <w:tcW w:w="5636" w:type="dxa"/>
          </w:tcPr>
          <w:p w14:paraId="41591E0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12E21E5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137</w:t>
            </w:r>
          </w:p>
        </w:tc>
      </w:tr>
      <w:tr w:rsidR="00983732" w:rsidRPr="00A3026E" w14:paraId="247FF664" w14:textId="77777777" w:rsidTr="00EA0DA7">
        <w:tc>
          <w:tcPr>
            <w:tcW w:w="5636" w:type="dxa"/>
          </w:tcPr>
          <w:p w14:paraId="0508E43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412787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20-21/1000</w:t>
            </w:r>
          </w:p>
        </w:tc>
      </w:tr>
      <w:tr w:rsidR="00983732" w:rsidRPr="00A3026E" w14:paraId="3C852952" w14:textId="77777777" w:rsidTr="00EA0DA7">
        <w:tc>
          <w:tcPr>
            <w:tcW w:w="5636" w:type="dxa"/>
          </w:tcPr>
          <w:p w14:paraId="5C1C0F6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3B86C6C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5,7/5000</w:t>
            </w:r>
          </w:p>
        </w:tc>
      </w:tr>
      <w:tr w:rsidR="00983732" w:rsidRPr="00A3026E" w14:paraId="5DDF81C0" w14:textId="77777777" w:rsidTr="00EA0DA7">
        <w:tc>
          <w:tcPr>
            <w:tcW w:w="5636" w:type="dxa"/>
          </w:tcPr>
          <w:p w14:paraId="5B8F04E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18BB20A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10500</w:t>
            </w:r>
          </w:p>
        </w:tc>
      </w:tr>
      <w:tr w:rsidR="00983732" w:rsidRPr="00A3026E" w14:paraId="45921CBC" w14:textId="77777777" w:rsidTr="00EA0DA7">
        <w:tc>
          <w:tcPr>
            <w:tcW w:w="5636" w:type="dxa"/>
          </w:tcPr>
          <w:p w14:paraId="6281849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1DC910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F1B27C9" w14:textId="77777777" w:rsidTr="00EA0DA7">
        <w:tc>
          <w:tcPr>
            <w:tcW w:w="5636" w:type="dxa"/>
          </w:tcPr>
          <w:p w14:paraId="1165284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70C5CB7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700/5000</w:t>
            </w:r>
          </w:p>
        </w:tc>
      </w:tr>
      <w:tr w:rsidR="00983732" w:rsidRPr="00A3026E" w14:paraId="5935DD98" w14:textId="77777777" w:rsidTr="00EA0DA7">
        <w:tc>
          <w:tcPr>
            <w:tcW w:w="5636" w:type="dxa"/>
          </w:tcPr>
          <w:p w14:paraId="7FD2339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3E12258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700/5000</w:t>
            </w:r>
          </w:p>
        </w:tc>
      </w:tr>
      <w:tr w:rsidR="00983732" w:rsidRPr="00A3026E" w14:paraId="2E94C19B" w14:textId="77777777" w:rsidTr="00EA0DA7">
        <w:tc>
          <w:tcPr>
            <w:tcW w:w="5636" w:type="dxa"/>
          </w:tcPr>
          <w:p w14:paraId="0282E33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5002" w:type="dxa"/>
          </w:tcPr>
          <w:p w14:paraId="72547EE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A0146BB" w14:textId="77777777" w:rsidTr="00EA0DA7">
        <w:tc>
          <w:tcPr>
            <w:tcW w:w="5636" w:type="dxa"/>
          </w:tcPr>
          <w:p w14:paraId="1BD41A8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330A37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340</w:t>
            </w:r>
          </w:p>
        </w:tc>
      </w:tr>
      <w:tr w:rsidR="00983732" w:rsidRPr="00A3026E" w14:paraId="1A166F71" w14:textId="77777777" w:rsidTr="00EA0DA7">
        <w:tc>
          <w:tcPr>
            <w:tcW w:w="5636" w:type="dxa"/>
          </w:tcPr>
          <w:p w14:paraId="0E03441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2E58A74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560/34</w:t>
            </w:r>
          </w:p>
        </w:tc>
      </w:tr>
      <w:tr w:rsidR="00983732" w:rsidRPr="00A3026E" w14:paraId="6A94A660" w14:textId="77777777" w:rsidTr="00EA0DA7">
        <w:tc>
          <w:tcPr>
            <w:tcW w:w="5636" w:type="dxa"/>
          </w:tcPr>
          <w:p w14:paraId="69BE064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3A04F0B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4C3F207" w14:textId="77777777" w:rsidTr="00EA0DA7">
        <w:tc>
          <w:tcPr>
            <w:tcW w:w="5636" w:type="dxa"/>
          </w:tcPr>
          <w:p w14:paraId="63BFACA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4B4F85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ШВАК</w:t>
            </w:r>
          </w:p>
        </w:tc>
      </w:tr>
      <w:tr w:rsidR="00983732" w:rsidRPr="00A3026E" w14:paraId="3BE4290A" w14:textId="77777777" w:rsidTr="00EA0DA7">
        <w:tc>
          <w:tcPr>
            <w:tcW w:w="5636" w:type="dxa"/>
          </w:tcPr>
          <w:p w14:paraId="2C28D50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581494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458D0BEE" w14:textId="77777777" w:rsidTr="00EA0DA7">
        <w:tc>
          <w:tcPr>
            <w:tcW w:w="5636" w:type="dxa"/>
            <w:tcBorders>
              <w:bottom w:val="single" w:sz="12" w:space="0" w:color="auto"/>
            </w:tcBorders>
          </w:tcPr>
          <w:p w14:paraId="3B074A1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21B2059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4F0F8B6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26364A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ЯК-3 М-105П опытный экземпляр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7DCD5769" w14:textId="77777777" w:rsidTr="00EA0DA7">
        <w:tc>
          <w:tcPr>
            <w:tcW w:w="5636" w:type="dxa"/>
            <w:tcBorders>
              <w:top w:val="single" w:sz="12" w:space="0" w:color="auto"/>
            </w:tcBorders>
          </w:tcPr>
          <w:p w14:paraId="5A1A29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38B7CA0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45DD6929" w14:textId="77777777" w:rsidTr="00EA0DA7">
        <w:tc>
          <w:tcPr>
            <w:tcW w:w="5636" w:type="dxa"/>
          </w:tcPr>
          <w:p w14:paraId="499F492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7EC77B9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3130</w:t>
            </w:r>
          </w:p>
        </w:tc>
      </w:tr>
      <w:tr w:rsidR="00983732" w:rsidRPr="00A3026E" w14:paraId="77D24B99" w14:textId="77777777" w:rsidTr="00EA0DA7">
        <w:tc>
          <w:tcPr>
            <w:tcW w:w="5636" w:type="dxa"/>
          </w:tcPr>
          <w:p w14:paraId="5A1815F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690ECCC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C3B0343" w14:textId="77777777" w:rsidTr="00EA0DA7">
        <w:tc>
          <w:tcPr>
            <w:tcW w:w="5636" w:type="dxa"/>
          </w:tcPr>
          <w:p w14:paraId="59AB28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164F534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478</w:t>
            </w:r>
          </w:p>
        </w:tc>
      </w:tr>
      <w:tr w:rsidR="00983732" w:rsidRPr="00A3026E" w14:paraId="22F992CE" w14:textId="77777777" w:rsidTr="00EA0DA7">
        <w:tc>
          <w:tcPr>
            <w:tcW w:w="5636" w:type="dxa"/>
          </w:tcPr>
          <w:p w14:paraId="7EF9292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37ADD60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571/4900</w:t>
            </w:r>
          </w:p>
        </w:tc>
      </w:tr>
      <w:tr w:rsidR="00983732" w:rsidRPr="00A3026E" w14:paraId="58C7E6B7" w14:textId="77777777" w:rsidTr="00EA0DA7">
        <w:tc>
          <w:tcPr>
            <w:tcW w:w="5636" w:type="dxa"/>
          </w:tcPr>
          <w:p w14:paraId="5B81B9C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1AC027E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571/4900</w:t>
            </w:r>
          </w:p>
        </w:tc>
      </w:tr>
      <w:tr w:rsidR="00983732" w:rsidRPr="00A3026E" w14:paraId="7681214C" w14:textId="77777777" w:rsidTr="00EA0DA7">
        <w:tc>
          <w:tcPr>
            <w:tcW w:w="5636" w:type="dxa"/>
          </w:tcPr>
          <w:p w14:paraId="07EAE8D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59F3BC0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142</w:t>
            </w:r>
          </w:p>
        </w:tc>
      </w:tr>
      <w:tr w:rsidR="00983732" w:rsidRPr="00A3026E" w14:paraId="44E41906" w14:textId="77777777" w:rsidTr="00EA0DA7">
        <w:tc>
          <w:tcPr>
            <w:tcW w:w="5636" w:type="dxa"/>
          </w:tcPr>
          <w:p w14:paraId="52E748C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0DDF26E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B111F56" w14:textId="77777777" w:rsidTr="00EA0DA7">
        <w:tc>
          <w:tcPr>
            <w:tcW w:w="5636" w:type="dxa"/>
          </w:tcPr>
          <w:p w14:paraId="7DA0E25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20189B7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7,0/5000</w:t>
            </w:r>
          </w:p>
        </w:tc>
      </w:tr>
      <w:tr w:rsidR="00983732" w:rsidRPr="00A3026E" w14:paraId="2D371BB9" w14:textId="77777777" w:rsidTr="00EA0DA7">
        <w:tc>
          <w:tcPr>
            <w:tcW w:w="5636" w:type="dxa"/>
          </w:tcPr>
          <w:p w14:paraId="0AEC10C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1D4CFA9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r>
      <w:tr w:rsidR="00983732" w:rsidRPr="00A3026E" w14:paraId="4B836B52" w14:textId="77777777" w:rsidTr="00EA0DA7">
        <w:tc>
          <w:tcPr>
            <w:tcW w:w="5636" w:type="dxa"/>
          </w:tcPr>
          <w:p w14:paraId="362F550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50DD0E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DE11065" w14:textId="77777777" w:rsidTr="00EA0DA7">
        <w:tc>
          <w:tcPr>
            <w:tcW w:w="5636" w:type="dxa"/>
          </w:tcPr>
          <w:p w14:paraId="0BB9028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53A3CC4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975/5000</w:t>
            </w:r>
          </w:p>
        </w:tc>
      </w:tr>
      <w:tr w:rsidR="00983732" w:rsidRPr="00A3026E" w14:paraId="77995D25" w14:textId="77777777" w:rsidTr="00EA0DA7">
        <w:tc>
          <w:tcPr>
            <w:tcW w:w="5636" w:type="dxa"/>
          </w:tcPr>
          <w:p w14:paraId="4E3EC08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586D63C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975/5000</w:t>
            </w:r>
          </w:p>
        </w:tc>
      </w:tr>
      <w:tr w:rsidR="00983732" w:rsidRPr="00A3026E" w14:paraId="38395DE2" w14:textId="77777777" w:rsidTr="00EA0DA7">
        <w:tc>
          <w:tcPr>
            <w:tcW w:w="5636" w:type="dxa"/>
          </w:tcPr>
          <w:p w14:paraId="519759D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5002" w:type="dxa"/>
          </w:tcPr>
          <w:p w14:paraId="365D66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954864D" w14:textId="77777777" w:rsidTr="00EA0DA7">
        <w:tc>
          <w:tcPr>
            <w:tcW w:w="5636" w:type="dxa"/>
          </w:tcPr>
          <w:p w14:paraId="0BD368D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4868D8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303</w:t>
            </w:r>
          </w:p>
        </w:tc>
      </w:tr>
      <w:tr w:rsidR="00983732" w:rsidRPr="00A3026E" w14:paraId="670EE7FC" w14:textId="77777777" w:rsidTr="00EA0DA7">
        <w:tc>
          <w:tcPr>
            <w:tcW w:w="5636" w:type="dxa"/>
          </w:tcPr>
          <w:p w14:paraId="3AB1270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3932A5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525/17,3</w:t>
            </w:r>
          </w:p>
        </w:tc>
      </w:tr>
      <w:tr w:rsidR="00983732" w:rsidRPr="00A3026E" w14:paraId="3E0BD7D4" w14:textId="77777777" w:rsidTr="00EA0DA7">
        <w:tc>
          <w:tcPr>
            <w:tcW w:w="5636" w:type="dxa"/>
          </w:tcPr>
          <w:p w14:paraId="41E691D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45753F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48FDADF" w14:textId="77777777" w:rsidTr="00EA0DA7">
        <w:tc>
          <w:tcPr>
            <w:tcW w:w="5636" w:type="dxa"/>
          </w:tcPr>
          <w:p w14:paraId="6763B71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77737D0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ШВАК</w:t>
            </w:r>
          </w:p>
        </w:tc>
      </w:tr>
      <w:tr w:rsidR="00983732" w:rsidRPr="00A3026E" w14:paraId="483E2D36" w14:textId="77777777" w:rsidTr="00EA0DA7">
        <w:tc>
          <w:tcPr>
            <w:tcW w:w="5636" w:type="dxa"/>
          </w:tcPr>
          <w:p w14:paraId="3DCC5D6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42706D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354938A3" w14:textId="77777777" w:rsidTr="00EA0DA7">
        <w:tc>
          <w:tcPr>
            <w:tcW w:w="5636" w:type="dxa"/>
            <w:tcBorders>
              <w:bottom w:val="single" w:sz="12" w:space="0" w:color="auto"/>
            </w:tcBorders>
          </w:tcPr>
          <w:p w14:paraId="145958E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42B5033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550E8F0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A91896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МИГ-3 АМ-35А серийный № 3262 ред. 0,902 б/предкр.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218EC22A" w14:textId="77777777" w:rsidTr="00EA0DA7">
        <w:tc>
          <w:tcPr>
            <w:tcW w:w="5636" w:type="dxa"/>
            <w:tcBorders>
              <w:top w:val="single" w:sz="12" w:space="0" w:color="auto"/>
            </w:tcBorders>
          </w:tcPr>
          <w:p w14:paraId="2C52404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6A783B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1200/6000</w:t>
            </w:r>
          </w:p>
        </w:tc>
      </w:tr>
      <w:tr w:rsidR="00983732" w:rsidRPr="00A3026E" w14:paraId="5D1DFE15" w14:textId="77777777" w:rsidTr="00EA0DA7">
        <w:tc>
          <w:tcPr>
            <w:tcW w:w="5636" w:type="dxa"/>
          </w:tcPr>
          <w:p w14:paraId="7CBB8EF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42694F8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3285/3485</w:t>
            </w:r>
          </w:p>
        </w:tc>
      </w:tr>
      <w:tr w:rsidR="00983732" w:rsidRPr="00A3026E" w14:paraId="514CBA77" w14:textId="77777777" w:rsidTr="00EA0DA7">
        <w:tc>
          <w:tcPr>
            <w:tcW w:w="5636" w:type="dxa"/>
          </w:tcPr>
          <w:p w14:paraId="62A963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1755CAA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A07ACC6" w14:textId="77777777" w:rsidTr="00EA0DA7">
        <w:tc>
          <w:tcPr>
            <w:tcW w:w="5636" w:type="dxa"/>
          </w:tcPr>
          <w:p w14:paraId="079A57D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4728F9E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462</w:t>
            </w:r>
          </w:p>
        </w:tc>
      </w:tr>
      <w:tr w:rsidR="00983732" w:rsidRPr="00A3026E" w14:paraId="749EDE39" w14:textId="77777777" w:rsidTr="00EA0DA7">
        <w:tc>
          <w:tcPr>
            <w:tcW w:w="5636" w:type="dxa"/>
          </w:tcPr>
          <w:p w14:paraId="637BCE9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1FB16C9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603/7800</w:t>
            </w:r>
          </w:p>
        </w:tc>
      </w:tr>
      <w:tr w:rsidR="00983732" w:rsidRPr="00A3026E" w14:paraId="188AA328" w14:textId="77777777" w:rsidTr="00EA0DA7">
        <w:tc>
          <w:tcPr>
            <w:tcW w:w="5636" w:type="dxa"/>
          </w:tcPr>
          <w:p w14:paraId="0DC031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21496A9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FCAD8C6" w14:textId="77777777" w:rsidTr="00EA0DA7">
        <w:tc>
          <w:tcPr>
            <w:tcW w:w="5636" w:type="dxa"/>
          </w:tcPr>
          <w:p w14:paraId="19A204E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77A2134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r>
      <w:tr w:rsidR="00983732" w:rsidRPr="00A3026E" w14:paraId="0399C6F2" w14:textId="77777777" w:rsidTr="00EA0DA7">
        <w:tc>
          <w:tcPr>
            <w:tcW w:w="5636" w:type="dxa"/>
          </w:tcPr>
          <w:p w14:paraId="43EAE42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253F2C7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23/1000</w:t>
            </w:r>
          </w:p>
        </w:tc>
      </w:tr>
      <w:tr w:rsidR="00983732" w:rsidRPr="00A3026E" w14:paraId="188E2E62" w14:textId="77777777" w:rsidTr="00EA0DA7">
        <w:tc>
          <w:tcPr>
            <w:tcW w:w="5636" w:type="dxa"/>
          </w:tcPr>
          <w:p w14:paraId="3D71F3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5788075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11,4/8000</w:t>
            </w:r>
          </w:p>
        </w:tc>
      </w:tr>
      <w:tr w:rsidR="00983732" w:rsidRPr="00A3026E" w14:paraId="73549675" w14:textId="77777777" w:rsidTr="00EA0DA7">
        <w:tc>
          <w:tcPr>
            <w:tcW w:w="5636" w:type="dxa"/>
          </w:tcPr>
          <w:p w14:paraId="21962BA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1915C5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10850</w:t>
            </w:r>
          </w:p>
        </w:tc>
      </w:tr>
      <w:tr w:rsidR="00983732" w:rsidRPr="00A3026E" w14:paraId="7264AD51" w14:textId="77777777" w:rsidTr="00EA0DA7">
        <w:tc>
          <w:tcPr>
            <w:tcW w:w="5636" w:type="dxa"/>
          </w:tcPr>
          <w:p w14:paraId="0F1D0B4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684677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08EE7BB" w14:textId="77777777" w:rsidTr="00EA0DA7">
        <w:tc>
          <w:tcPr>
            <w:tcW w:w="5636" w:type="dxa"/>
          </w:tcPr>
          <w:p w14:paraId="1B59E18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622CED0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1A82D2B" w14:textId="77777777" w:rsidTr="00EA0DA7">
        <w:tc>
          <w:tcPr>
            <w:tcW w:w="5636" w:type="dxa"/>
          </w:tcPr>
          <w:p w14:paraId="355CF3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49EC19D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0171AA8" w14:textId="77777777" w:rsidTr="00EA0DA7">
        <w:tc>
          <w:tcPr>
            <w:tcW w:w="5636" w:type="dxa"/>
          </w:tcPr>
          <w:p w14:paraId="2BD978D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5002" w:type="dxa"/>
          </w:tcPr>
          <w:p w14:paraId="50FE1FC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1BD0EC4" w14:textId="77777777" w:rsidTr="00EA0DA7">
        <w:tc>
          <w:tcPr>
            <w:tcW w:w="5636" w:type="dxa"/>
          </w:tcPr>
          <w:p w14:paraId="5166881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657F5A6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320/12,4</w:t>
            </w:r>
          </w:p>
        </w:tc>
      </w:tr>
      <w:tr w:rsidR="00983732" w:rsidRPr="00A3026E" w14:paraId="29A6AD77" w14:textId="77777777" w:rsidTr="00EA0DA7">
        <w:tc>
          <w:tcPr>
            <w:tcW w:w="5636" w:type="dxa"/>
          </w:tcPr>
          <w:p w14:paraId="2CEC691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04897DA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DAA29B4" w14:textId="77777777" w:rsidTr="00EA0DA7">
        <w:tc>
          <w:tcPr>
            <w:tcW w:w="5636" w:type="dxa"/>
          </w:tcPr>
          <w:p w14:paraId="7A59656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5293081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2C733EF" w14:textId="77777777" w:rsidTr="00EA0DA7">
        <w:tc>
          <w:tcPr>
            <w:tcW w:w="5636" w:type="dxa"/>
          </w:tcPr>
          <w:p w14:paraId="340EC5F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35CC899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w:t>
            </w:r>
          </w:p>
        </w:tc>
      </w:tr>
      <w:tr w:rsidR="00983732" w:rsidRPr="00A3026E" w14:paraId="5FBD713E" w14:textId="77777777" w:rsidTr="00EA0DA7">
        <w:tc>
          <w:tcPr>
            <w:tcW w:w="5636" w:type="dxa"/>
          </w:tcPr>
          <w:p w14:paraId="2F2015A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CEB08C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19DA0A6A" w14:textId="77777777" w:rsidTr="00EA0DA7">
        <w:tc>
          <w:tcPr>
            <w:tcW w:w="5636" w:type="dxa"/>
            <w:tcBorders>
              <w:bottom w:val="single" w:sz="12" w:space="0" w:color="auto"/>
            </w:tcBorders>
          </w:tcPr>
          <w:p w14:paraId="01AE50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175458A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0/200</w:t>
            </w:r>
          </w:p>
        </w:tc>
      </w:tr>
    </w:tbl>
    <w:p w14:paraId="5CCE45C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(6630).</w:t>
      </w:r>
    </w:p>
    <w:p w14:paraId="7057786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МИГ-3 АМ-35А серийный № 3943 ред. 0,732 с предкр.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3E541333" w14:textId="77777777" w:rsidTr="00EA0DA7">
        <w:tc>
          <w:tcPr>
            <w:tcW w:w="5636" w:type="dxa"/>
            <w:tcBorders>
              <w:top w:val="single" w:sz="12" w:space="0" w:color="auto"/>
            </w:tcBorders>
          </w:tcPr>
          <w:p w14:paraId="66B3A99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157ED8E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1200/6000</w:t>
            </w:r>
          </w:p>
        </w:tc>
      </w:tr>
      <w:tr w:rsidR="00983732" w:rsidRPr="00A3026E" w14:paraId="6E06AA4C" w14:textId="77777777" w:rsidTr="00EA0DA7">
        <w:tc>
          <w:tcPr>
            <w:tcW w:w="5636" w:type="dxa"/>
          </w:tcPr>
          <w:p w14:paraId="3A7159F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2995AC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3299/3499</w:t>
            </w:r>
          </w:p>
        </w:tc>
      </w:tr>
      <w:tr w:rsidR="00983732" w:rsidRPr="00A3026E" w14:paraId="05F41B41" w14:textId="77777777" w:rsidTr="00EA0DA7">
        <w:tc>
          <w:tcPr>
            <w:tcW w:w="5636" w:type="dxa"/>
          </w:tcPr>
          <w:p w14:paraId="10C0079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31F1025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5686347" w14:textId="77777777" w:rsidTr="00EA0DA7">
        <w:tc>
          <w:tcPr>
            <w:tcW w:w="5636" w:type="dxa"/>
          </w:tcPr>
          <w:p w14:paraId="00C636F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4F36D3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466</w:t>
            </w:r>
          </w:p>
        </w:tc>
      </w:tr>
      <w:tr w:rsidR="00983732" w:rsidRPr="00A3026E" w14:paraId="79F194FB" w14:textId="77777777" w:rsidTr="00EA0DA7">
        <w:tc>
          <w:tcPr>
            <w:tcW w:w="5636" w:type="dxa"/>
          </w:tcPr>
          <w:p w14:paraId="10B546C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15690BA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615,5/7800</w:t>
            </w:r>
          </w:p>
        </w:tc>
      </w:tr>
      <w:tr w:rsidR="00983732" w:rsidRPr="00A3026E" w14:paraId="6AA3F43D" w14:textId="77777777" w:rsidTr="00EA0DA7">
        <w:tc>
          <w:tcPr>
            <w:tcW w:w="5636" w:type="dxa"/>
          </w:tcPr>
          <w:p w14:paraId="43ED56A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0322D72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A40EA54" w14:textId="77777777" w:rsidTr="00EA0DA7">
        <w:tc>
          <w:tcPr>
            <w:tcW w:w="5636" w:type="dxa"/>
          </w:tcPr>
          <w:p w14:paraId="2EDDAD8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09576EC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r>
      <w:tr w:rsidR="00983732" w:rsidRPr="00A3026E" w14:paraId="1FEC54C0" w14:textId="77777777" w:rsidTr="00EA0DA7">
        <w:tc>
          <w:tcPr>
            <w:tcW w:w="5636" w:type="dxa"/>
          </w:tcPr>
          <w:p w14:paraId="276AA14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40B94DD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22/1000</w:t>
            </w:r>
          </w:p>
        </w:tc>
      </w:tr>
      <w:tr w:rsidR="00983732" w:rsidRPr="00A3026E" w14:paraId="6C6D1A0D" w14:textId="77777777" w:rsidTr="00EA0DA7">
        <w:tc>
          <w:tcPr>
            <w:tcW w:w="5636" w:type="dxa"/>
          </w:tcPr>
          <w:p w14:paraId="487C183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5BB93D2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12,4/8000</w:t>
            </w:r>
          </w:p>
        </w:tc>
      </w:tr>
      <w:tr w:rsidR="00983732" w:rsidRPr="00A3026E" w14:paraId="2D561205" w14:textId="77777777" w:rsidTr="00EA0DA7">
        <w:tc>
          <w:tcPr>
            <w:tcW w:w="5636" w:type="dxa"/>
          </w:tcPr>
          <w:p w14:paraId="308D46B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36DF3D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11500</w:t>
            </w:r>
          </w:p>
        </w:tc>
      </w:tr>
      <w:tr w:rsidR="00983732" w:rsidRPr="00A3026E" w14:paraId="737B1D1E" w14:textId="77777777" w:rsidTr="00EA0DA7">
        <w:tc>
          <w:tcPr>
            <w:tcW w:w="5636" w:type="dxa"/>
          </w:tcPr>
          <w:p w14:paraId="59FE1A8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044C05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34C34B1" w14:textId="77777777" w:rsidTr="00EA0DA7">
        <w:tc>
          <w:tcPr>
            <w:tcW w:w="5636" w:type="dxa"/>
          </w:tcPr>
          <w:p w14:paraId="5518F52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39815F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628/7250</w:t>
            </w:r>
          </w:p>
        </w:tc>
      </w:tr>
      <w:tr w:rsidR="00983732" w:rsidRPr="00A3026E" w14:paraId="23591C7C" w14:textId="77777777" w:rsidTr="00EA0DA7">
        <w:tc>
          <w:tcPr>
            <w:tcW w:w="5636" w:type="dxa"/>
          </w:tcPr>
          <w:p w14:paraId="0D8E449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25EA29F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AF90BC6" w14:textId="77777777" w:rsidTr="00EA0DA7">
        <w:tc>
          <w:tcPr>
            <w:tcW w:w="5636" w:type="dxa"/>
          </w:tcPr>
          <w:p w14:paraId="2CA691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5002" w:type="dxa"/>
          </w:tcPr>
          <w:p w14:paraId="0D2978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CB361DB" w14:textId="77777777" w:rsidTr="00EA0DA7">
        <w:tc>
          <w:tcPr>
            <w:tcW w:w="5636" w:type="dxa"/>
          </w:tcPr>
          <w:p w14:paraId="0F4570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7600EDE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398/16,5</w:t>
            </w:r>
          </w:p>
        </w:tc>
      </w:tr>
      <w:tr w:rsidR="00983732" w:rsidRPr="00A3026E" w14:paraId="7456EA58" w14:textId="77777777" w:rsidTr="00EA0DA7">
        <w:tc>
          <w:tcPr>
            <w:tcW w:w="5636" w:type="dxa"/>
          </w:tcPr>
          <w:p w14:paraId="28BDC52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13425F8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455/20,5</w:t>
            </w:r>
          </w:p>
        </w:tc>
      </w:tr>
      <w:tr w:rsidR="00983732" w:rsidRPr="00A3026E" w14:paraId="7B71ED25" w14:textId="77777777" w:rsidTr="00EA0DA7">
        <w:tc>
          <w:tcPr>
            <w:tcW w:w="5636" w:type="dxa"/>
          </w:tcPr>
          <w:p w14:paraId="4569364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7054AC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E4979FC" w14:textId="77777777" w:rsidTr="00EA0DA7">
        <w:tc>
          <w:tcPr>
            <w:tcW w:w="5636" w:type="dxa"/>
          </w:tcPr>
          <w:p w14:paraId="5CA3A58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0D129E2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w:t>
            </w:r>
          </w:p>
        </w:tc>
      </w:tr>
      <w:tr w:rsidR="00983732" w:rsidRPr="00A3026E" w14:paraId="06568802" w14:textId="77777777" w:rsidTr="00EA0DA7">
        <w:tc>
          <w:tcPr>
            <w:tcW w:w="5636" w:type="dxa"/>
          </w:tcPr>
          <w:p w14:paraId="03D987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4B22850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6BA7FAB0" w14:textId="77777777" w:rsidTr="00EA0DA7">
        <w:tc>
          <w:tcPr>
            <w:tcW w:w="5636" w:type="dxa"/>
            <w:tcBorders>
              <w:bottom w:val="single" w:sz="12" w:space="0" w:color="auto"/>
            </w:tcBorders>
          </w:tcPr>
          <w:p w14:paraId="40AC711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327C752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0/200</w:t>
            </w:r>
          </w:p>
        </w:tc>
      </w:tr>
    </w:tbl>
    <w:p w14:paraId="26492CB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60466A2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ЛАГГ-3 М-105П серийный № 312112 с закр. совк. водорад.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31D277BA" w14:textId="77777777" w:rsidTr="00EA0DA7">
        <w:tc>
          <w:tcPr>
            <w:tcW w:w="5636" w:type="dxa"/>
            <w:tcBorders>
              <w:top w:val="single" w:sz="12" w:space="0" w:color="auto"/>
            </w:tcBorders>
          </w:tcPr>
          <w:p w14:paraId="086296E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4943319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49168433" w14:textId="77777777" w:rsidTr="00EA0DA7">
        <w:tc>
          <w:tcPr>
            <w:tcW w:w="5636" w:type="dxa"/>
          </w:tcPr>
          <w:p w14:paraId="7247D66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48FA658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3346/-</w:t>
            </w:r>
          </w:p>
        </w:tc>
      </w:tr>
      <w:tr w:rsidR="00983732" w:rsidRPr="00A3026E" w14:paraId="30A46C1E" w14:textId="77777777" w:rsidTr="00EA0DA7">
        <w:tc>
          <w:tcPr>
            <w:tcW w:w="5636" w:type="dxa"/>
          </w:tcPr>
          <w:p w14:paraId="7FDA784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7B45679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99A3DBC" w14:textId="77777777" w:rsidTr="00EA0DA7">
        <w:tc>
          <w:tcPr>
            <w:tcW w:w="5636" w:type="dxa"/>
          </w:tcPr>
          <w:p w14:paraId="2ED4876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2A5B3F5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498</w:t>
            </w:r>
          </w:p>
        </w:tc>
      </w:tr>
      <w:tr w:rsidR="00983732" w:rsidRPr="00A3026E" w14:paraId="13BFEEB5" w14:textId="77777777" w:rsidTr="00EA0DA7">
        <w:tc>
          <w:tcPr>
            <w:tcW w:w="5636" w:type="dxa"/>
          </w:tcPr>
          <w:p w14:paraId="7D3F073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7604085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575/5000</w:t>
            </w:r>
          </w:p>
        </w:tc>
      </w:tr>
      <w:tr w:rsidR="00983732" w:rsidRPr="00A3026E" w14:paraId="58EBB95E" w14:textId="77777777" w:rsidTr="00EA0DA7">
        <w:tc>
          <w:tcPr>
            <w:tcW w:w="5636" w:type="dxa"/>
          </w:tcPr>
          <w:p w14:paraId="453563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2C29C15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CC88241" w14:textId="77777777" w:rsidTr="00EA0DA7">
        <w:tc>
          <w:tcPr>
            <w:tcW w:w="5636" w:type="dxa"/>
          </w:tcPr>
          <w:p w14:paraId="663327E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538EEA8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143</w:t>
            </w:r>
          </w:p>
        </w:tc>
      </w:tr>
      <w:tr w:rsidR="00983732" w:rsidRPr="00A3026E" w14:paraId="72693093" w14:textId="77777777" w:rsidTr="00EA0DA7">
        <w:tc>
          <w:tcPr>
            <w:tcW w:w="5636" w:type="dxa"/>
          </w:tcPr>
          <w:p w14:paraId="2339D47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7C981BA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27/4000</w:t>
            </w:r>
          </w:p>
        </w:tc>
      </w:tr>
      <w:tr w:rsidR="00983732" w:rsidRPr="00A3026E" w14:paraId="7ECFCB69" w14:textId="77777777" w:rsidTr="00EA0DA7">
        <w:tc>
          <w:tcPr>
            <w:tcW w:w="5636" w:type="dxa"/>
          </w:tcPr>
          <w:p w14:paraId="48797B0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777281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6,8/5000</w:t>
            </w:r>
          </w:p>
        </w:tc>
      </w:tr>
      <w:tr w:rsidR="00983732" w:rsidRPr="00A3026E" w14:paraId="5903406F" w14:textId="77777777" w:rsidTr="00EA0DA7">
        <w:tc>
          <w:tcPr>
            <w:tcW w:w="5636" w:type="dxa"/>
          </w:tcPr>
          <w:p w14:paraId="04BB7CD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27B154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B9E93E7" w14:textId="77777777" w:rsidTr="00EA0DA7">
        <w:tc>
          <w:tcPr>
            <w:tcW w:w="5636" w:type="dxa"/>
          </w:tcPr>
          <w:p w14:paraId="6CCBDA4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6381F4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3491046" w14:textId="77777777" w:rsidTr="00EA0DA7">
        <w:tc>
          <w:tcPr>
            <w:tcW w:w="5636" w:type="dxa"/>
          </w:tcPr>
          <w:p w14:paraId="5D9CA9E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5E3005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870/5000</w:t>
            </w:r>
          </w:p>
        </w:tc>
      </w:tr>
      <w:tr w:rsidR="00983732" w:rsidRPr="00A3026E" w14:paraId="036D4571" w14:textId="77777777" w:rsidTr="00EA0DA7">
        <w:tc>
          <w:tcPr>
            <w:tcW w:w="5636" w:type="dxa"/>
          </w:tcPr>
          <w:p w14:paraId="5502467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53551E0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7E48C56" w14:textId="77777777" w:rsidTr="00EA0DA7">
        <w:tc>
          <w:tcPr>
            <w:tcW w:w="5636" w:type="dxa"/>
          </w:tcPr>
          <w:p w14:paraId="120DA63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5002" w:type="dxa"/>
          </w:tcPr>
          <w:p w14:paraId="30AD6AB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989C7A4" w14:textId="77777777" w:rsidTr="00EA0DA7">
        <w:tc>
          <w:tcPr>
            <w:tcW w:w="5636" w:type="dxa"/>
          </w:tcPr>
          <w:p w14:paraId="65E8712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214971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A79CC51" w14:textId="77777777" w:rsidTr="00EA0DA7">
        <w:tc>
          <w:tcPr>
            <w:tcW w:w="5636" w:type="dxa"/>
          </w:tcPr>
          <w:p w14:paraId="55BCA4E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4110542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05F5063" w14:textId="77777777" w:rsidTr="00EA0DA7">
        <w:tc>
          <w:tcPr>
            <w:tcW w:w="5636" w:type="dxa"/>
          </w:tcPr>
          <w:p w14:paraId="1D9FF8F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1D1F2F1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92EA448" w14:textId="77777777" w:rsidTr="00EA0DA7">
        <w:tc>
          <w:tcPr>
            <w:tcW w:w="5636" w:type="dxa"/>
          </w:tcPr>
          <w:p w14:paraId="739BD28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3BE8B32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БК</w:t>
            </w:r>
          </w:p>
        </w:tc>
      </w:tr>
      <w:tr w:rsidR="00983732" w:rsidRPr="00A3026E" w14:paraId="25492554" w14:textId="77777777" w:rsidTr="00EA0DA7">
        <w:tc>
          <w:tcPr>
            <w:tcW w:w="5636" w:type="dxa"/>
          </w:tcPr>
          <w:p w14:paraId="3D613D5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567A1A2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БС</w:t>
            </w:r>
          </w:p>
        </w:tc>
      </w:tr>
      <w:tr w:rsidR="00983732" w:rsidRPr="00A3026E" w14:paraId="782A9E6F" w14:textId="77777777" w:rsidTr="00EA0DA7">
        <w:tc>
          <w:tcPr>
            <w:tcW w:w="5636" w:type="dxa"/>
          </w:tcPr>
          <w:p w14:paraId="0229C9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8365A1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684CBBBE" w14:textId="77777777" w:rsidTr="00EA0DA7">
        <w:tc>
          <w:tcPr>
            <w:tcW w:w="5636" w:type="dxa"/>
            <w:tcBorders>
              <w:bottom w:val="single" w:sz="12" w:space="0" w:color="auto"/>
            </w:tcBorders>
          </w:tcPr>
          <w:p w14:paraId="160D121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0E7CE43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62CB621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F7E955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 М-105П серийный № 312126 с закр. совк. водорад.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140EBFCB" w14:textId="77777777" w:rsidTr="00EA0DA7">
        <w:tc>
          <w:tcPr>
            <w:tcW w:w="5636" w:type="dxa"/>
            <w:tcBorders>
              <w:top w:val="single" w:sz="12" w:space="0" w:color="auto"/>
            </w:tcBorders>
          </w:tcPr>
          <w:p w14:paraId="2634496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3EEFE41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15C43C79" w14:textId="77777777" w:rsidTr="00EA0DA7">
        <w:tc>
          <w:tcPr>
            <w:tcW w:w="5636" w:type="dxa"/>
          </w:tcPr>
          <w:p w14:paraId="14E09C6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07DBC9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3340</w:t>
            </w:r>
          </w:p>
        </w:tc>
      </w:tr>
      <w:tr w:rsidR="00983732" w:rsidRPr="00A3026E" w14:paraId="3FFD961F" w14:textId="77777777" w:rsidTr="00EA0DA7">
        <w:tc>
          <w:tcPr>
            <w:tcW w:w="5636" w:type="dxa"/>
          </w:tcPr>
          <w:p w14:paraId="2450A5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44E92A0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09309CA" w14:textId="77777777" w:rsidTr="00EA0DA7">
        <w:tc>
          <w:tcPr>
            <w:tcW w:w="5636" w:type="dxa"/>
          </w:tcPr>
          <w:p w14:paraId="7E7505B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6A69313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471BC86" w14:textId="77777777" w:rsidTr="00EA0DA7">
        <w:tc>
          <w:tcPr>
            <w:tcW w:w="5636" w:type="dxa"/>
          </w:tcPr>
          <w:p w14:paraId="03EB64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787390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578/5000</w:t>
            </w:r>
          </w:p>
        </w:tc>
      </w:tr>
      <w:tr w:rsidR="00983732" w:rsidRPr="00A3026E" w14:paraId="1892B077" w14:textId="77777777" w:rsidTr="00EA0DA7">
        <w:tc>
          <w:tcPr>
            <w:tcW w:w="5636" w:type="dxa"/>
          </w:tcPr>
          <w:p w14:paraId="1A5A091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0B1AA75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99F4FE1" w14:textId="77777777" w:rsidTr="00EA0DA7">
        <w:tc>
          <w:tcPr>
            <w:tcW w:w="5636" w:type="dxa"/>
          </w:tcPr>
          <w:p w14:paraId="4E88825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65FE58B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143</w:t>
            </w:r>
          </w:p>
        </w:tc>
      </w:tr>
      <w:tr w:rsidR="00983732" w:rsidRPr="00A3026E" w14:paraId="45E65780" w14:textId="77777777" w:rsidTr="00EA0DA7">
        <w:tc>
          <w:tcPr>
            <w:tcW w:w="5636" w:type="dxa"/>
          </w:tcPr>
          <w:p w14:paraId="1FC8694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667C341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26,5/4000</w:t>
            </w:r>
          </w:p>
        </w:tc>
      </w:tr>
      <w:tr w:rsidR="00983732" w:rsidRPr="00A3026E" w14:paraId="2074322E" w14:textId="77777777" w:rsidTr="00EA0DA7">
        <w:tc>
          <w:tcPr>
            <w:tcW w:w="5636" w:type="dxa"/>
          </w:tcPr>
          <w:p w14:paraId="30B7B5D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12C812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7,5/5000</w:t>
            </w:r>
          </w:p>
        </w:tc>
      </w:tr>
      <w:tr w:rsidR="00983732" w:rsidRPr="00A3026E" w14:paraId="4A1E9E70" w14:textId="77777777" w:rsidTr="00EA0DA7">
        <w:tc>
          <w:tcPr>
            <w:tcW w:w="5636" w:type="dxa"/>
          </w:tcPr>
          <w:p w14:paraId="24B5C66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6C8875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9650</w:t>
            </w:r>
          </w:p>
        </w:tc>
      </w:tr>
      <w:tr w:rsidR="00983732" w:rsidRPr="00A3026E" w14:paraId="45810818" w14:textId="77777777" w:rsidTr="00EA0DA7">
        <w:tc>
          <w:tcPr>
            <w:tcW w:w="5636" w:type="dxa"/>
          </w:tcPr>
          <w:p w14:paraId="13B111F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0B0B246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F9AEC33" w14:textId="77777777" w:rsidTr="00EA0DA7">
        <w:tc>
          <w:tcPr>
            <w:tcW w:w="5636" w:type="dxa"/>
          </w:tcPr>
          <w:p w14:paraId="022057C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2DD496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830/5000</w:t>
            </w:r>
          </w:p>
        </w:tc>
      </w:tr>
      <w:tr w:rsidR="00983732" w:rsidRPr="00A3026E" w14:paraId="3BAC204A" w14:textId="77777777" w:rsidTr="00EA0DA7">
        <w:tc>
          <w:tcPr>
            <w:tcW w:w="5636" w:type="dxa"/>
          </w:tcPr>
          <w:p w14:paraId="056437E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70C11E1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AB8661E" w14:textId="77777777" w:rsidTr="00EA0DA7">
        <w:tc>
          <w:tcPr>
            <w:tcW w:w="5636" w:type="dxa"/>
          </w:tcPr>
          <w:p w14:paraId="555F78B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5002" w:type="dxa"/>
          </w:tcPr>
          <w:p w14:paraId="4AA8044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C072A49" w14:textId="77777777" w:rsidTr="00EA0DA7">
        <w:tc>
          <w:tcPr>
            <w:tcW w:w="5636" w:type="dxa"/>
          </w:tcPr>
          <w:p w14:paraId="7F3256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4926AEA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427/17,6</w:t>
            </w:r>
          </w:p>
        </w:tc>
      </w:tr>
      <w:tr w:rsidR="00983732" w:rsidRPr="00A3026E" w14:paraId="07C4B16A" w14:textId="77777777" w:rsidTr="00EA0DA7">
        <w:tc>
          <w:tcPr>
            <w:tcW w:w="5636" w:type="dxa"/>
          </w:tcPr>
          <w:p w14:paraId="69EE28C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709E66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460/22</w:t>
            </w:r>
          </w:p>
        </w:tc>
      </w:tr>
      <w:tr w:rsidR="00983732" w:rsidRPr="00A3026E" w14:paraId="1B8C863D" w14:textId="77777777" w:rsidTr="00EA0DA7">
        <w:tc>
          <w:tcPr>
            <w:tcW w:w="5636" w:type="dxa"/>
          </w:tcPr>
          <w:p w14:paraId="1FD6EA2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12E2A2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F9E3F66" w14:textId="77777777" w:rsidTr="00EA0DA7">
        <w:tc>
          <w:tcPr>
            <w:tcW w:w="5636" w:type="dxa"/>
          </w:tcPr>
          <w:p w14:paraId="79069DF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0DE7C5D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БК</w:t>
            </w:r>
          </w:p>
        </w:tc>
      </w:tr>
      <w:tr w:rsidR="00983732" w:rsidRPr="00A3026E" w14:paraId="5772A1B4" w14:textId="77777777" w:rsidTr="00EA0DA7">
        <w:tc>
          <w:tcPr>
            <w:tcW w:w="5636" w:type="dxa"/>
          </w:tcPr>
          <w:p w14:paraId="44F2E18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4C3D29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БС</w:t>
            </w:r>
          </w:p>
        </w:tc>
      </w:tr>
      <w:tr w:rsidR="00983732" w:rsidRPr="00A3026E" w14:paraId="2795D463" w14:textId="77777777" w:rsidTr="00EA0DA7">
        <w:tc>
          <w:tcPr>
            <w:tcW w:w="5636" w:type="dxa"/>
          </w:tcPr>
          <w:p w14:paraId="63B24EB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4A833B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7778557E" w14:textId="77777777" w:rsidTr="00EA0DA7">
        <w:tc>
          <w:tcPr>
            <w:tcW w:w="5636" w:type="dxa"/>
            <w:tcBorders>
              <w:bottom w:val="single" w:sz="12" w:space="0" w:color="auto"/>
            </w:tcBorders>
          </w:tcPr>
          <w:p w14:paraId="3A01A0B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6B7EB8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5E74CB1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19F349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 М-105П серийный № 3121422 с закр. совк. водорад. с РО и РС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53813EDA" w14:textId="77777777" w:rsidTr="00EA0DA7">
        <w:tc>
          <w:tcPr>
            <w:tcW w:w="5636" w:type="dxa"/>
            <w:tcBorders>
              <w:top w:val="single" w:sz="12" w:space="0" w:color="auto"/>
            </w:tcBorders>
          </w:tcPr>
          <w:p w14:paraId="13B1C1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254E9A4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4E6105C3" w14:textId="77777777" w:rsidTr="00EA0DA7">
        <w:tc>
          <w:tcPr>
            <w:tcW w:w="5636" w:type="dxa"/>
          </w:tcPr>
          <w:p w14:paraId="20551F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7CAE863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3400</w:t>
            </w:r>
          </w:p>
        </w:tc>
      </w:tr>
      <w:tr w:rsidR="00983732" w:rsidRPr="00A3026E" w14:paraId="05D65469" w14:textId="77777777" w:rsidTr="00EA0DA7">
        <w:tc>
          <w:tcPr>
            <w:tcW w:w="5636" w:type="dxa"/>
          </w:tcPr>
          <w:p w14:paraId="7B26F2D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203E01C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E855030" w14:textId="77777777" w:rsidTr="00EA0DA7">
        <w:tc>
          <w:tcPr>
            <w:tcW w:w="5636" w:type="dxa"/>
          </w:tcPr>
          <w:p w14:paraId="0A70E6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2859224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421</w:t>
            </w:r>
          </w:p>
        </w:tc>
      </w:tr>
      <w:tr w:rsidR="00983732" w:rsidRPr="00A3026E" w14:paraId="2468F7E3" w14:textId="77777777" w:rsidTr="00EA0DA7">
        <w:tc>
          <w:tcPr>
            <w:tcW w:w="5636" w:type="dxa"/>
          </w:tcPr>
          <w:p w14:paraId="5B62437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63C1FF3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503/4650</w:t>
            </w:r>
          </w:p>
        </w:tc>
      </w:tr>
      <w:tr w:rsidR="00983732" w:rsidRPr="00A3026E" w14:paraId="313646F5" w14:textId="77777777" w:rsidTr="00EA0DA7">
        <w:tc>
          <w:tcPr>
            <w:tcW w:w="5636" w:type="dxa"/>
          </w:tcPr>
          <w:p w14:paraId="69FA928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4CD562A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001A4A4" w14:textId="77777777" w:rsidTr="00EA0DA7">
        <w:tc>
          <w:tcPr>
            <w:tcW w:w="5636" w:type="dxa"/>
          </w:tcPr>
          <w:p w14:paraId="0A4CF7E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45CE222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w:t>
            </w:r>
          </w:p>
        </w:tc>
      </w:tr>
      <w:tr w:rsidR="00983732" w:rsidRPr="00A3026E" w14:paraId="337434AD" w14:textId="77777777" w:rsidTr="00EA0DA7">
        <w:tc>
          <w:tcPr>
            <w:tcW w:w="5636" w:type="dxa"/>
          </w:tcPr>
          <w:p w14:paraId="2A15D2F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224B07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6D5CF12" w14:textId="77777777" w:rsidTr="00EA0DA7">
        <w:tc>
          <w:tcPr>
            <w:tcW w:w="5636" w:type="dxa"/>
          </w:tcPr>
          <w:p w14:paraId="0C159CF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Время подъема на высоту</w:t>
            </w:r>
          </w:p>
        </w:tc>
        <w:tc>
          <w:tcPr>
            <w:tcW w:w="5002" w:type="dxa"/>
          </w:tcPr>
          <w:p w14:paraId="3433EB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8,6/5000</w:t>
            </w:r>
          </w:p>
        </w:tc>
      </w:tr>
      <w:tr w:rsidR="00983732" w:rsidRPr="00A3026E" w14:paraId="694A6610" w14:textId="77777777" w:rsidTr="00EA0DA7">
        <w:tc>
          <w:tcPr>
            <w:tcW w:w="5636" w:type="dxa"/>
          </w:tcPr>
          <w:p w14:paraId="1375BBE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26B783D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C77581D" w14:textId="77777777" w:rsidTr="00EA0DA7">
        <w:tc>
          <w:tcPr>
            <w:tcW w:w="5636" w:type="dxa"/>
          </w:tcPr>
          <w:p w14:paraId="663A572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672EE0E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B99ADBA" w14:textId="77777777" w:rsidTr="00EA0DA7">
        <w:tc>
          <w:tcPr>
            <w:tcW w:w="5636" w:type="dxa"/>
          </w:tcPr>
          <w:p w14:paraId="597C019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0556BCE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85F82C7" w14:textId="77777777" w:rsidTr="00EA0DA7">
        <w:tc>
          <w:tcPr>
            <w:tcW w:w="5636" w:type="dxa"/>
          </w:tcPr>
          <w:p w14:paraId="01AAA12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09F5DE5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F813407" w14:textId="77777777" w:rsidTr="00EA0DA7">
        <w:tc>
          <w:tcPr>
            <w:tcW w:w="5636" w:type="dxa"/>
          </w:tcPr>
          <w:p w14:paraId="4328EE9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подвесными баками</w:t>
            </w:r>
          </w:p>
        </w:tc>
        <w:tc>
          <w:tcPr>
            <w:tcW w:w="5002" w:type="dxa"/>
          </w:tcPr>
          <w:p w14:paraId="1455ED6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9F069C8" w14:textId="77777777" w:rsidTr="00EA0DA7">
        <w:tc>
          <w:tcPr>
            <w:tcW w:w="5636" w:type="dxa"/>
          </w:tcPr>
          <w:p w14:paraId="5AB5BF7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097E362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500/19,0</w:t>
            </w:r>
          </w:p>
        </w:tc>
      </w:tr>
      <w:tr w:rsidR="00983732" w:rsidRPr="00A3026E" w14:paraId="7E922163" w14:textId="77777777" w:rsidTr="00EA0DA7">
        <w:tc>
          <w:tcPr>
            <w:tcW w:w="5636" w:type="dxa"/>
          </w:tcPr>
          <w:p w14:paraId="271701E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38B122D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23B8D72" w14:textId="77777777" w:rsidTr="00EA0DA7">
        <w:tc>
          <w:tcPr>
            <w:tcW w:w="5636" w:type="dxa"/>
          </w:tcPr>
          <w:p w14:paraId="4717D54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785D66B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E150457" w14:textId="77777777" w:rsidTr="00EA0DA7">
        <w:tc>
          <w:tcPr>
            <w:tcW w:w="5636" w:type="dxa"/>
          </w:tcPr>
          <w:p w14:paraId="31AE232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0087A01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ШВАК</w:t>
            </w:r>
          </w:p>
        </w:tc>
      </w:tr>
      <w:tr w:rsidR="00983732" w:rsidRPr="00A3026E" w14:paraId="64E5DBA0" w14:textId="77777777" w:rsidTr="00EA0DA7">
        <w:tc>
          <w:tcPr>
            <w:tcW w:w="5636" w:type="dxa"/>
          </w:tcPr>
          <w:p w14:paraId="37547F1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F9C293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w:t>
            </w:r>
          </w:p>
        </w:tc>
      </w:tr>
      <w:tr w:rsidR="00983732" w:rsidRPr="00A3026E" w14:paraId="003671E1" w14:textId="77777777" w:rsidTr="00EA0DA7">
        <w:tc>
          <w:tcPr>
            <w:tcW w:w="5636" w:type="dxa"/>
          </w:tcPr>
          <w:p w14:paraId="61276F4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40E3DA3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17E4E2B8" w14:textId="77777777" w:rsidTr="00EA0DA7">
        <w:tc>
          <w:tcPr>
            <w:tcW w:w="5636" w:type="dxa"/>
            <w:tcBorders>
              <w:bottom w:val="single" w:sz="12" w:space="0" w:color="auto"/>
            </w:tcBorders>
          </w:tcPr>
          <w:p w14:paraId="43BB83A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0BB773D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РС 82 мм</w:t>
            </w:r>
          </w:p>
        </w:tc>
      </w:tr>
    </w:tbl>
    <w:p w14:paraId="42DA62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F0FB71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Бомбардировщики</w:t>
      </w:r>
    </w:p>
    <w:p w14:paraId="28EEC78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 с 2М-103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07943BD1" w14:textId="77777777" w:rsidTr="00EA0DA7">
        <w:tc>
          <w:tcPr>
            <w:tcW w:w="5636" w:type="dxa"/>
            <w:tcBorders>
              <w:top w:val="single" w:sz="12" w:space="0" w:color="auto"/>
            </w:tcBorders>
          </w:tcPr>
          <w:p w14:paraId="6B69D41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55FA8A3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960/4000</w:t>
            </w:r>
          </w:p>
        </w:tc>
      </w:tr>
      <w:tr w:rsidR="00983732" w:rsidRPr="00A3026E" w14:paraId="64CB5D52" w14:textId="77777777" w:rsidTr="00EA0DA7">
        <w:tc>
          <w:tcPr>
            <w:tcW w:w="5636" w:type="dxa"/>
          </w:tcPr>
          <w:p w14:paraId="5CC7756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6AEEC3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6380/7880</w:t>
            </w:r>
          </w:p>
        </w:tc>
      </w:tr>
      <w:tr w:rsidR="00983732" w:rsidRPr="00A3026E" w14:paraId="0A3E95EE" w14:textId="77777777" w:rsidTr="00EA0DA7">
        <w:tc>
          <w:tcPr>
            <w:tcW w:w="5636" w:type="dxa"/>
          </w:tcPr>
          <w:p w14:paraId="68C80C6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5D9077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0051263" w14:textId="77777777" w:rsidTr="00EA0DA7">
        <w:tc>
          <w:tcPr>
            <w:tcW w:w="5636" w:type="dxa"/>
          </w:tcPr>
          <w:p w14:paraId="1E0A78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12C5F9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w:t>
            </w:r>
          </w:p>
        </w:tc>
      </w:tr>
      <w:tr w:rsidR="00983732" w:rsidRPr="00A3026E" w14:paraId="204407F6" w14:textId="77777777" w:rsidTr="00EA0DA7">
        <w:tc>
          <w:tcPr>
            <w:tcW w:w="5636" w:type="dxa"/>
          </w:tcPr>
          <w:p w14:paraId="6D9F357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0FD2AD0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450/4100</w:t>
            </w:r>
          </w:p>
        </w:tc>
      </w:tr>
      <w:tr w:rsidR="00983732" w:rsidRPr="00A3026E" w14:paraId="79109837" w14:textId="77777777" w:rsidTr="00EA0DA7">
        <w:tc>
          <w:tcPr>
            <w:tcW w:w="5636" w:type="dxa"/>
          </w:tcPr>
          <w:p w14:paraId="6CF220D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1FE396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440/4100</w:t>
            </w:r>
          </w:p>
        </w:tc>
      </w:tr>
      <w:tr w:rsidR="00983732" w:rsidRPr="00A3026E" w14:paraId="40D22EE8" w14:textId="77777777" w:rsidTr="00EA0DA7">
        <w:tc>
          <w:tcPr>
            <w:tcW w:w="5636" w:type="dxa"/>
          </w:tcPr>
          <w:p w14:paraId="0CAC64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4C8FB9A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6B496BE0" w14:textId="77777777" w:rsidTr="00EA0DA7">
        <w:tc>
          <w:tcPr>
            <w:tcW w:w="5636" w:type="dxa"/>
          </w:tcPr>
          <w:p w14:paraId="5A5E620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71E4A2E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24/3000</w:t>
            </w:r>
          </w:p>
        </w:tc>
      </w:tr>
      <w:tr w:rsidR="00983732" w:rsidRPr="00A3026E" w14:paraId="611E8023" w14:textId="77777777" w:rsidTr="00EA0DA7">
        <w:tc>
          <w:tcPr>
            <w:tcW w:w="5636" w:type="dxa"/>
          </w:tcPr>
          <w:p w14:paraId="7ABC5DF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276ECF9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9,5/5000</w:t>
            </w:r>
          </w:p>
        </w:tc>
      </w:tr>
      <w:tr w:rsidR="00983732" w:rsidRPr="00A3026E" w14:paraId="5FF134CB" w14:textId="77777777" w:rsidTr="00EA0DA7">
        <w:tc>
          <w:tcPr>
            <w:tcW w:w="5636" w:type="dxa"/>
          </w:tcPr>
          <w:p w14:paraId="6A26A5F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Практический потолок </w:t>
            </w:r>
          </w:p>
        </w:tc>
        <w:tc>
          <w:tcPr>
            <w:tcW w:w="5002" w:type="dxa"/>
          </w:tcPr>
          <w:p w14:paraId="67B9DA1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592440B8" w14:textId="77777777" w:rsidTr="00EA0DA7">
        <w:tc>
          <w:tcPr>
            <w:tcW w:w="5636" w:type="dxa"/>
          </w:tcPr>
          <w:p w14:paraId="43833AA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1C6E93A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55B338B" w14:textId="77777777" w:rsidTr="00EA0DA7">
        <w:tc>
          <w:tcPr>
            <w:tcW w:w="5636" w:type="dxa"/>
          </w:tcPr>
          <w:p w14:paraId="5ED3A9C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79246C4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600/4100</w:t>
            </w:r>
          </w:p>
        </w:tc>
      </w:tr>
      <w:tr w:rsidR="00983732" w:rsidRPr="00A3026E" w14:paraId="3D0DF972" w14:textId="77777777" w:rsidTr="00EA0DA7">
        <w:tc>
          <w:tcPr>
            <w:tcW w:w="5636" w:type="dxa"/>
          </w:tcPr>
          <w:p w14:paraId="16D51B4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0883A2E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1350/4100</w:t>
            </w:r>
          </w:p>
        </w:tc>
      </w:tr>
      <w:tr w:rsidR="00983732" w:rsidRPr="00A3026E" w14:paraId="3F5A8A2E" w14:textId="77777777" w:rsidTr="00EA0DA7">
        <w:tc>
          <w:tcPr>
            <w:tcW w:w="5636" w:type="dxa"/>
          </w:tcPr>
          <w:p w14:paraId="5C276FB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6FF5AF7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300/14,3</w:t>
            </w:r>
          </w:p>
        </w:tc>
      </w:tr>
      <w:tr w:rsidR="00983732" w:rsidRPr="00A3026E" w14:paraId="624C51A5" w14:textId="77777777" w:rsidTr="00EA0DA7">
        <w:tc>
          <w:tcPr>
            <w:tcW w:w="5636" w:type="dxa"/>
          </w:tcPr>
          <w:p w14:paraId="0F73E80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6C99C5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397/29,3</w:t>
            </w:r>
          </w:p>
        </w:tc>
      </w:tr>
      <w:tr w:rsidR="00983732" w:rsidRPr="00A3026E" w14:paraId="6798F013" w14:textId="77777777" w:rsidTr="00EA0DA7">
        <w:tc>
          <w:tcPr>
            <w:tcW w:w="5636" w:type="dxa"/>
          </w:tcPr>
          <w:p w14:paraId="24E51AB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043E5D9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C16FBDD" w14:textId="77777777" w:rsidTr="00EA0DA7">
        <w:tc>
          <w:tcPr>
            <w:tcW w:w="5636" w:type="dxa"/>
          </w:tcPr>
          <w:p w14:paraId="713EE5A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14FD7FA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491BE888" w14:textId="77777777" w:rsidTr="00EA0DA7">
        <w:tc>
          <w:tcPr>
            <w:tcW w:w="5636" w:type="dxa"/>
          </w:tcPr>
          <w:p w14:paraId="78C9311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Pr>
          <w:p w14:paraId="596D171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600/1500</w:t>
            </w:r>
          </w:p>
        </w:tc>
      </w:tr>
      <w:tr w:rsidR="00983732" w:rsidRPr="00A3026E" w14:paraId="407DC064" w14:textId="77777777" w:rsidTr="00EA0DA7">
        <w:tc>
          <w:tcPr>
            <w:tcW w:w="5636" w:type="dxa"/>
            <w:tcBorders>
              <w:bottom w:val="single" w:sz="12" w:space="0" w:color="auto"/>
            </w:tcBorders>
          </w:tcPr>
          <w:p w14:paraId="4EB48A1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w:t>
            </w:r>
          </w:p>
        </w:tc>
        <w:tc>
          <w:tcPr>
            <w:tcW w:w="5002" w:type="dxa"/>
            <w:tcBorders>
              <w:bottom w:val="single" w:sz="12" w:space="0" w:color="auto"/>
            </w:tcBorders>
          </w:tcPr>
          <w:p w14:paraId="7F216D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 год</w:t>
            </w:r>
          </w:p>
        </w:tc>
      </w:tr>
    </w:tbl>
    <w:p w14:paraId="334A864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D0E5CB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СБ-РК с 2 М-105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6851DA93" w14:textId="77777777" w:rsidTr="00EA0DA7">
        <w:tc>
          <w:tcPr>
            <w:tcW w:w="5636" w:type="dxa"/>
            <w:tcBorders>
              <w:top w:val="single" w:sz="12" w:space="0" w:color="auto"/>
            </w:tcBorders>
          </w:tcPr>
          <w:p w14:paraId="3B0782D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2A32577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62EA903C" w14:textId="77777777" w:rsidTr="00EA0DA7">
        <w:tc>
          <w:tcPr>
            <w:tcW w:w="5636" w:type="dxa"/>
          </w:tcPr>
          <w:p w14:paraId="273B26A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234681B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6300/7800</w:t>
            </w:r>
          </w:p>
        </w:tc>
      </w:tr>
      <w:tr w:rsidR="00983732" w:rsidRPr="00A3026E" w14:paraId="22C7FE2C" w14:textId="77777777" w:rsidTr="00EA0DA7">
        <w:tc>
          <w:tcPr>
            <w:tcW w:w="5636" w:type="dxa"/>
          </w:tcPr>
          <w:p w14:paraId="5BAC305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77C6DAE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93F15F2" w14:textId="77777777" w:rsidTr="00EA0DA7">
        <w:tc>
          <w:tcPr>
            <w:tcW w:w="5636" w:type="dxa"/>
          </w:tcPr>
          <w:p w14:paraId="6D6EB16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4A97B67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w:t>
            </w:r>
          </w:p>
        </w:tc>
      </w:tr>
      <w:tr w:rsidR="00983732" w:rsidRPr="00A3026E" w14:paraId="2DEA9D64" w14:textId="77777777" w:rsidTr="00EA0DA7">
        <w:tc>
          <w:tcPr>
            <w:tcW w:w="5636" w:type="dxa"/>
          </w:tcPr>
          <w:p w14:paraId="4439B94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7585ED3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480/4700</w:t>
            </w:r>
          </w:p>
        </w:tc>
      </w:tr>
      <w:tr w:rsidR="00983732" w:rsidRPr="00A3026E" w14:paraId="71EC3582" w14:textId="77777777" w:rsidTr="00EA0DA7">
        <w:tc>
          <w:tcPr>
            <w:tcW w:w="5636" w:type="dxa"/>
          </w:tcPr>
          <w:p w14:paraId="1CA4DE9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7BFB47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475/4700</w:t>
            </w:r>
          </w:p>
        </w:tc>
      </w:tr>
      <w:tr w:rsidR="00983732" w:rsidRPr="00A3026E" w14:paraId="3B335653" w14:textId="77777777" w:rsidTr="00EA0DA7">
        <w:tc>
          <w:tcPr>
            <w:tcW w:w="5636" w:type="dxa"/>
          </w:tcPr>
          <w:p w14:paraId="0DCDADE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2694F2C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651A525C" w14:textId="77777777" w:rsidTr="00EA0DA7">
        <w:tc>
          <w:tcPr>
            <w:tcW w:w="5636" w:type="dxa"/>
          </w:tcPr>
          <w:p w14:paraId="3B837C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3E44811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35/3000</w:t>
            </w:r>
          </w:p>
        </w:tc>
      </w:tr>
      <w:tr w:rsidR="00983732" w:rsidRPr="00A3026E" w14:paraId="5C529DBF" w14:textId="77777777" w:rsidTr="00EA0DA7">
        <w:tc>
          <w:tcPr>
            <w:tcW w:w="5636" w:type="dxa"/>
          </w:tcPr>
          <w:p w14:paraId="3DD673E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672A498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7,25/5000</w:t>
            </w:r>
          </w:p>
        </w:tc>
      </w:tr>
      <w:tr w:rsidR="00983732" w:rsidRPr="00A3026E" w14:paraId="073392B6" w14:textId="77777777" w:rsidTr="00EA0DA7">
        <w:tc>
          <w:tcPr>
            <w:tcW w:w="5636" w:type="dxa"/>
          </w:tcPr>
          <w:p w14:paraId="687A97F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4224573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10100</w:t>
            </w:r>
          </w:p>
        </w:tc>
      </w:tr>
      <w:tr w:rsidR="00983732" w:rsidRPr="00A3026E" w14:paraId="4FACE791" w14:textId="77777777" w:rsidTr="00EA0DA7">
        <w:tc>
          <w:tcPr>
            <w:tcW w:w="5636" w:type="dxa"/>
          </w:tcPr>
          <w:p w14:paraId="608FF1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0D31EF1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65DEC45" w14:textId="77777777" w:rsidTr="00EA0DA7">
        <w:tc>
          <w:tcPr>
            <w:tcW w:w="5636" w:type="dxa"/>
          </w:tcPr>
          <w:p w14:paraId="373C8CB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28EEA5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560/4700</w:t>
            </w:r>
          </w:p>
        </w:tc>
      </w:tr>
      <w:tr w:rsidR="00983732" w:rsidRPr="00A3026E" w14:paraId="6408F1BD" w14:textId="77777777" w:rsidTr="00EA0DA7">
        <w:tc>
          <w:tcPr>
            <w:tcW w:w="5636" w:type="dxa"/>
          </w:tcPr>
          <w:p w14:paraId="3C3DFC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311A96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960/4700</w:t>
            </w:r>
          </w:p>
        </w:tc>
      </w:tr>
      <w:tr w:rsidR="00983732" w:rsidRPr="00A3026E" w14:paraId="477052DC" w14:textId="77777777" w:rsidTr="00EA0DA7">
        <w:tc>
          <w:tcPr>
            <w:tcW w:w="5636" w:type="dxa"/>
          </w:tcPr>
          <w:p w14:paraId="462ED7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0E0741B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500/19,0</w:t>
            </w:r>
          </w:p>
        </w:tc>
      </w:tr>
      <w:tr w:rsidR="00983732" w:rsidRPr="00A3026E" w14:paraId="4AD3B545" w14:textId="77777777" w:rsidTr="00EA0DA7">
        <w:tc>
          <w:tcPr>
            <w:tcW w:w="5636" w:type="dxa"/>
          </w:tcPr>
          <w:p w14:paraId="3B278BC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772B150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665/30</w:t>
            </w:r>
          </w:p>
        </w:tc>
      </w:tr>
      <w:tr w:rsidR="00983732" w:rsidRPr="00A3026E" w14:paraId="5BDEB175" w14:textId="77777777" w:rsidTr="00EA0DA7">
        <w:tc>
          <w:tcPr>
            <w:tcW w:w="5636" w:type="dxa"/>
          </w:tcPr>
          <w:p w14:paraId="36DDE33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7962BC4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A267903" w14:textId="77777777" w:rsidTr="00EA0DA7">
        <w:tc>
          <w:tcPr>
            <w:tcW w:w="5636" w:type="dxa"/>
          </w:tcPr>
          <w:p w14:paraId="094ACD7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15B920A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06AFB99C" w14:textId="77777777" w:rsidTr="00EA0DA7">
        <w:tc>
          <w:tcPr>
            <w:tcW w:w="5636" w:type="dxa"/>
          </w:tcPr>
          <w:p w14:paraId="30FD59D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Pr>
          <w:p w14:paraId="026C100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600/1500</w:t>
            </w:r>
          </w:p>
        </w:tc>
      </w:tr>
      <w:tr w:rsidR="00983732" w:rsidRPr="00A3026E" w14:paraId="3A21F08E" w14:textId="77777777" w:rsidTr="00EA0DA7">
        <w:tc>
          <w:tcPr>
            <w:tcW w:w="5636" w:type="dxa"/>
            <w:tcBorders>
              <w:bottom w:val="single" w:sz="12" w:space="0" w:color="auto"/>
            </w:tcBorders>
          </w:tcPr>
          <w:p w14:paraId="1E7039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w:t>
            </w:r>
          </w:p>
        </w:tc>
        <w:tc>
          <w:tcPr>
            <w:tcW w:w="5002" w:type="dxa"/>
            <w:tcBorders>
              <w:bottom w:val="single" w:sz="12" w:space="0" w:color="auto"/>
            </w:tcBorders>
          </w:tcPr>
          <w:p w14:paraId="5262FA1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год</w:t>
            </w:r>
          </w:p>
        </w:tc>
      </w:tr>
    </w:tbl>
    <w:p w14:paraId="43165AC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BA5E4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ДБ-3 с 2М-87А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001"/>
      </w:tblGrid>
      <w:tr w:rsidR="00983732" w:rsidRPr="00A3026E" w14:paraId="38F8CCD0" w14:textId="77777777" w:rsidTr="00EA0DA7">
        <w:tc>
          <w:tcPr>
            <w:tcW w:w="5637" w:type="dxa"/>
            <w:tcBorders>
              <w:top w:val="single" w:sz="12" w:space="0" w:color="auto"/>
            </w:tcBorders>
          </w:tcPr>
          <w:p w14:paraId="362CA8C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1" w:type="dxa"/>
            <w:tcBorders>
              <w:top w:val="single" w:sz="12" w:space="0" w:color="auto"/>
            </w:tcBorders>
          </w:tcPr>
          <w:p w14:paraId="6A5424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950/4700</w:t>
            </w:r>
          </w:p>
        </w:tc>
      </w:tr>
      <w:tr w:rsidR="00983732" w:rsidRPr="00A3026E" w14:paraId="100CEDBD" w14:textId="77777777" w:rsidTr="00EA0DA7">
        <w:tc>
          <w:tcPr>
            <w:tcW w:w="5637" w:type="dxa"/>
          </w:tcPr>
          <w:p w14:paraId="3BD60E3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1" w:type="dxa"/>
          </w:tcPr>
          <w:p w14:paraId="1DEC5F3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7500/9500</w:t>
            </w:r>
          </w:p>
        </w:tc>
      </w:tr>
      <w:tr w:rsidR="00983732" w:rsidRPr="00A3026E" w14:paraId="77DF9D4F" w14:textId="77777777" w:rsidTr="00EA0DA7">
        <w:tc>
          <w:tcPr>
            <w:tcW w:w="5637" w:type="dxa"/>
          </w:tcPr>
          <w:p w14:paraId="5B0926B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1" w:type="dxa"/>
          </w:tcPr>
          <w:p w14:paraId="091EA65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4D0C1D3" w14:textId="77777777" w:rsidTr="00EA0DA7">
        <w:tc>
          <w:tcPr>
            <w:tcW w:w="5637" w:type="dxa"/>
          </w:tcPr>
          <w:p w14:paraId="58A2D3C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1" w:type="dxa"/>
          </w:tcPr>
          <w:p w14:paraId="79A2C79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345</w:t>
            </w:r>
          </w:p>
        </w:tc>
      </w:tr>
      <w:tr w:rsidR="00983732" w:rsidRPr="00A3026E" w14:paraId="14824242" w14:textId="77777777" w:rsidTr="00EA0DA7">
        <w:tc>
          <w:tcPr>
            <w:tcW w:w="5637" w:type="dxa"/>
          </w:tcPr>
          <w:p w14:paraId="07A8BC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1" w:type="dxa"/>
          </w:tcPr>
          <w:p w14:paraId="6F4711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439/4900</w:t>
            </w:r>
          </w:p>
        </w:tc>
      </w:tr>
      <w:tr w:rsidR="00983732" w:rsidRPr="00A3026E" w14:paraId="2D276987" w14:textId="77777777" w:rsidTr="00EA0DA7">
        <w:tc>
          <w:tcPr>
            <w:tcW w:w="5637" w:type="dxa"/>
          </w:tcPr>
          <w:p w14:paraId="6434A9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1" w:type="dxa"/>
          </w:tcPr>
          <w:p w14:paraId="536036E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429/4900</w:t>
            </w:r>
          </w:p>
        </w:tc>
      </w:tr>
      <w:tr w:rsidR="00983732" w:rsidRPr="00A3026E" w14:paraId="2F1C7B15" w14:textId="77777777" w:rsidTr="00EA0DA7">
        <w:tc>
          <w:tcPr>
            <w:tcW w:w="5637" w:type="dxa"/>
          </w:tcPr>
          <w:p w14:paraId="5C08349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1" w:type="dxa"/>
          </w:tcPr>
          <w:p w14:paraId="41D54DF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40BAF4E0" w14:textId="77777777" w:rsidTr="00EA0DA7">
        <w:tc>
          <w:tcPr>
            <w:tcW w:w="5637" w:type="dxa"/>
          </w:tcPr>
          <w:p w14:paraId="72AAAE9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1" w:type="dxa"/>
          </w:tcPr>
          <w:p w14:paraId="18F9C30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BDC1FE8" w14:textId="77777777" w:rsidTr="00EA0DA7">
        <w:tc>
          <w:tcPr>
            <w:tcW w:w="5637" w:type="dxa"/>
          </w:tcPr>
          <w:p w14:paraId="5F51045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1" w:type="dxa"/>
          </w:tcPr>
          <w:p w14:paraId="4220B5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10,6/5000</w:t>
            </w:r>
          </w:p>
        </w:tc>
      </w:tr>
      <w:tr w:rsidR="00983732" w:rsidRPr="00A3026E" w14:paraId="6F0C695B" w14:textId="77777777" w:rsidTr="00EA0DA7">
        <w:tc>
          <w:tcPr>
            <w:tcW w:w="5637" w:type="dxa"/>
          </w:tcPr>
          <w:p w14:paraId="46C1124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1" w:type="dxa"/>
          </w:tcPr>
          <w:p w14:paraId="77E6DF2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4E8D2059" w14:textId="77777777" w:rsidTr="00EA0DA7">
        <w:tc>
          <w:tcPr>
            <w:tcW w:w="5637" w:type="dxa"/>
          </w:tcPr>
          <w:p w14:paraId="4A32C84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1" w:type="dxa"/>
          </w:tcPr>
          <w:p w14:paraId="1939841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09B6668" w14:textId="77777777" w:rsidTr="00EA0DA7">
        <w:tc>
          <w:tcPr>
            <w:tcW w:w="5637" w:type="dxa"/>
          </w:tcPr>
          <w:p w14:paraId="171EE6C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1" w:type="dxa"/>
          </w:tcPr>
          <w:p w14:paraId="1789129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770/4900</w:t>
            </w:r>
          </w:p>
        </w:tc>
      </w:tr>
      <w:tr w:rsidR="00983732" w:rsidRPr="00A3026E" w14:paraId="784DF6F2" w14:textId="77777777" w:rsidTr="00EA0DA7">
        <w:tc>
          <w:tcPr>
            <w:tcW w:w="5637" w:type="dxa"/>
          </w:tcPr>
          <w:p w14:paraId="64B449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1" w:type="dxa"/>
          </w:tcPr>
          <w:p w14:paraId="737C080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2870/4900</w:t>
            </w:r>
          </w:p>
        </w:tc>
      </w:tr>
      <w:tr w:rsidR="00983732" w:rsidRPr="00A3026E" w14:paraId="4FD91FD3" w14:textId="77777777" w:rsidTr="00EA0DA7">
        <w:tc>
          <w:tcPr>
            <w:tcW w:w="5637" w:type="dxa"/>
          </w:tcPr>
          <w:p w14:paraId="620797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1" w:type="dxa"/>
          </w:tcPr>
          <w:p w14:paraId="584AFD0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395/22,0</w:t>
            </w:r>
          </w:p>
        </w:tc>
      </w:tr>
      <w:tr w:rsidR="00983732" w:rsidRPr="00A3026E" w14:paraId="65C6CD6E" w14:textId="77777777" w:rsidTr="00EA0DA7">
        <w:tc>
          <w:tcPr>
            <w:tcW w:w="5637" w:type="dxa"/>
          </w:tcPr>
          <w:p w14:paraId="57A6C34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1" w:type="dxa"/>
          </w:tcPr>
          <w:p w14:paraId="339E94F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460/30,0</w:t>
            </w:r>
          </w:p>
        </w:tc>
      </w:tr>
      <w:tr w:rsidR="00983732" w:rsidRPr="00A3026E" w14:paraId="4B973EEC" w14:textId="77777777" w:rsidTr="00EA0DA7">
        <w:tc>
          <w:tcPr>
            <w:tcW w:w="5637" w:type="dxa"/>
          </w:tcPr>
          <w:p w14:paraId="16C3EA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1" w:type="dxa"/>
          </w:tcPr>
          <w:p w14:paraId="74FA90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F312D6B" w14:textId="77777777" w:rsidTr="00EA0DA7">
        <w:tc>
          <w:tcPr>
            <w:tcW w:w="5637" w:type="dxa"/>
          </w:tcPr>
          <w:p w14:paraId="0455C7C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1" w:type="dxa"/>
          </w:tcPr>
          <w:p w14:paraId="69DD70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ШКАС</w:t>
            </w:r>
          </w:p>
        </w:tc>
      </w:tr>
      <w:tr w:rsidR="00983732" w:rsidRPr="00A3026E" w14:paraId="7B31F55E" w14:textId="77777777" w:rsidTr="00EA0DA7">
        <w:tc>
          <w:tcPr>
            <w:tcW w:w="5637" w:type="dxa"/>
          </w:tcPr>
          <w:p w14:paraId="4CA8630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1" w:type="dxa"/>
          </w:tcPr>
          <w:p w14:paraId="72ECA2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1000/2500</w:t>
            </w:r>
          </w:p>
        </w:tc>
      </w:tr>
      <w:tr w:rsidR="00983732" w:rsidRPr="00A3026E" w14:paraId="02EFCE09" w14:textId="77777777" w:rsidTr="00EA0DA7">
        <w:tc>
          <w:tcPr>
            <w:tcW w:w="5637" w:type="dxa"/>
            <w:tcBorders>
              <w:bottom w:val="single" w:sz="12" w:space="0" w:color="auto"/>
            </w:tcBorders>
          </w:tcPr>
          <w:p w14:paraId="469F10C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 эталона</w:t>
            </w:r>
          </w:p>
        </w:tc>
        <w:tc>
          <w:tcPr>
            <w:tcW w:w="5001" w:type="dxa"/>
            <w:tcBorders>
              <w:bottom w:val="single" w:sz="12" w:space="0" w:color="auto"/>
            </w:tcBorders>
          </w:tcPr>
          <w:p w14:paraId="5F52B4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 год</w:t>
            </w:r>
          </w:p>
        </w:tc>
      </w:tr>
    </w:tbl>
    <w:p w14:paraId="44BFD8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EDDDCE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ДБ-3Ф с М-88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40542938" w14:textId="77777777" w:rsidTr="00EA0DA7">
        <w:tc>
          <w:tcPr>
            <w:tcW w:w="5636" w:type="dxa"/>
            <w:tcBorders>
              <w:top w:val="single" w:sz="12" w:space="0" w:color="auto"/>
            </w:tcBorders>
          </w:tcPr>
          <w:p w14:paraId="707099E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2ACE1DA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1000/6000</w:t>
            </w:r>
          </w:p>
        </w:tc>
      </w:tr>
      <w:tr w:rsidR="00983732" w:rsidRPr="00A3026E" w14:paraId="0AA20D3E" w14:textId="77777777" w:rsidTr="00EA0DA7">
        <w:tc>
          <w:tcPr>
            <w:tcW w:w="5636" w:type="dxa"/>
          </w:tcPr>
          <w:p w14:paraId="77BE20D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53FF77C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8000/10000</w:t>
            </w:r>
          </w:p>
        </w:tc>
      </w:tr>
      <w:tr w:rsidR="00983732" w:rsidRPr="00A3026E" w14:paraId="7215419E" w14:textId="77777777" w:rsidTr="00EA0DA7">
        <w:tc>
          <w:tcPr>
            <w:tcW w:w="5636" w:type="dxa"/>
          </w:tcPr>
          <w:p w14:paraId="05E2CD1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68E346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E7D5947" w14:textId="77777777" w:rsidTr="00EA0DA7">
        <w:tc>
          <w:tcPr>
            <w:tcW w:w="5636" w:type="dxa"/>
          </w:tcPr>
          <w:p w14:paraId="34833A6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2964E3A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359-345</w:t>
            </w:r>
          </w:p>
        </w:tc>
      </w:tr>
      <w:tr w:rsidR="00983732" w:rsidRPr="00A3026E" w14:paraId="24B58128" w14:textId="77777777" w:rsidTr="00EA0DA7">
        <w:tc>
          <w:tcPr>
            <w:tcW w:w="5636" w:type="dxa"/>
          </w:tcPr>
          <w:p w14:paraId="49D6BEB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4E5EC4E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448-429/6800</w:t>
            </w:r>
          </w:p>
        </w:tc>
      </w:tr>
      <w:tr w:rsidR="00983732" w:rsidRPr="00A3026E" w14:paraId="0DC667DF" w14:textId="77777777" w:rsidTr="00EA0DA7">
        <w:tc>
          <w:tcPr>
            <w:tcW w:w="5636" w:type="dxa"/>
          </w:tcPr>
          <w:p w14:paraId="622892D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4995AAC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438-418/6800</w:t>
            </w:r>
          </w:p>
        </w:tc>
      </w:tr>
      <w:tr w:rsidR="00983732" w:rsidRPr="00A3026E" w14:paraId="27A92616" w14:textId="77777777" w:rsidTr="00EA0DA7">
        <w:tc>
          <w:tcPr>
            <w:tcW w:w="5636" w:type="dxa"/>
          </w:tcPr>
          <w:p w14:paraId="0F8B90F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7845C52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20B09644" w14:textId="77777777" w:rsidTr="00EA0DA7">
        <w:tc>
          <w:tcPr>
            <w:tcW w:w="5636" w:type="dxa"/>
          </w:tcPr>
          <w:p w14:paraId="1F26E76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3287D9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CF2BABA" w14:textId="77777777" w:rsidTr="00EA0DA7">
        <w:tc>
          <w:tcPr>
            <w:tcW w:w="5636" w:type="dxa"/>
          </w:tcPr>
          <w:p w14:paraId="318165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4C106B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10,54/5000</w:t>
            </w:r>
          </w:p>
        </w:tc>
      </w:tr>
      <w:tr w:rsidR="00983732" w:rsidRPr="00A3026E" w14:paraId="2715D318" w14:textId="77777777" w:rsidTr="00EA0DA7">
        <w:tc>
          <w:tcPr>
            <w:tcW w:w="5636" w:type="dxa"/>
          </w:tcPr>
          <w:p w14:paraId="76F24E6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48B6C7A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r>
      <w:tr w:rsidR="00983732" w:rsidRPr="00A3026E" w14:paraId="2BFDF5E0" w14:textId="77777777" w:rsidTr="00EA0DA7">
        <w:tc>
          <w:tcPr>
            <w:tcW w:w="5636" w:type="dxa"/>
          </w:tcPr>
          <w:p w14:paraId="0B50048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17C998F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F3B31AE" w14:textId="77777777" w:rsidTr="00EA0DA7">
        <w:tc>
          <w:tcPr>
            <w:tcW w:w="5636" w:type="dxa"/>
          </w:tcPr>
          <w:p w14:paraId="48CE6A6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31D54EC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720/6800</w:t>
            </w:r>
          </w:p>
        </w:tc>
      </w:tr>
      <w:tr w:rsidR="00983732" w:rsidRPr="00A3026E" w14:paraId="16BA423F" w14:textId="77777777" w:rsidTr="00EA0DA7">
        <w:tc>
          <w:tcPr>
            <w:tcW w:w="5636" w:type="dxa"/>
          </w:tcPr>
          <w:p w14:paraId="7CEDCB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баками/С подвесными баками</w:t>
            </w:r>
          </w:p>
        </w:tc>
        <w:tc>
          <w:tcPr>
            <w:tcW w:w="5002" w:type="dxa"/>
          </w:tcPr>
          <w:p w14:paraId="49B097B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2540/6800</w:t>
            </w:r>
          </w:p>
        </w:tc>
      </w:tr>
      <w:tr w:rsidR="00983732" w:rsidRPr="00A3026E" w14:paraId="65E10012" w14:textId="77777777" w:rsidTr="00EA0DA7">
        <w:tc>
          <w:tcPr>
            <w:tcW w:w="5636" w:type="dxa"/>
          </w:tcPr>
          <w:p w14:paraId="028C25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55923AA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360/15,0</w:t>
            </w:r>
          </w:p>
        </w:tc>
      </w:tr>
      <w:tr w:rsidR="00983732" w:rsidRPr="00A3026E" w14:paraId="1D933947" w14:textId="77777777" w:rsidTr="00EA0DA7">
        <w:tc>
          <w:tcPr>
            <w:tcW w:w="5636" w:type="dxa"/>
          </w:tcPr>
          <w:p w14:paraId="03CC967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5AB6457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400/22</w:t>
            </w:r>
          </w:p>
        </w:tc>
      </w:tr>
      <w:tr w:rsidR="00983732" w:rsidRPr="00A3026E" w14:paraId="51AC6F2D" w14:textId="77777777" w:rsidTr="00EA0DA7">
        <w:tc>
          <w:tcPr>
            <w:tcW w:w="5636" w:type="dxa"/>
          </w:tcPr>
          <w:p w14:paraId="34090CD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5A3F83B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DD71422" w14:textId="77777777" w:rsidTr="00EA0DA7">
        <w:tc>
          <w:tcPr>
            <w:tcW w:w="5636" w:type="dxa"/>
          </w:tcPr>
          <w:p w14:paraId="5F31E2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17CDD0F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ШКАС</w:t>
            </w:r>
          </w:p>
        </w:tc>
      </w:tr>
      <w:tr w:rsidR="00983732" w:rsidRPr="00A3026E" w14:paraId="2BF9E234" w14:textId="77777777" w:rsidTr="00EA0DA7">
        <w:tc>
          <w:tcPr>
            <w:tcW w:w="5636" w:type="dxa"/>
          </w:tcPr>
          <w:p w14:paraId="4F2C4C3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Pr>
          <w:p w14:paraId="7174E17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1000/2500</w:t>
            </w:r>
          </w:p>
        </w:tc>
      </w:tr>
      <w:tr w:rsidR="00983732" w:rsidRPr="00A3026E" w14:paraId="7B1B5CC0" w14:textId="77777777" w:rsidTr="00EA0DA7">
        <w:tc>
          <w:tcPr>
            <w:tcW w:w="5636" w:type="dxa"/>
            <w:tcBorders>
              <w:bottom w:val="single" w:sz="12" w:space="0" w:color="auto"/>
            </w:tcBorders>
          </w:tcPr>
          <w:p w14:paraId="2C67AE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w:t>
            </w:r>
          </w:p>
        </w:tc>
        <w:tc>
          <w:tcPr>
            <w:tcW w:w="5002" w:type="dxa"/>
            <w:tcBorders>
              <w:bottom w:val="single" w:sz="12" w:space="0" w:color="auto"/>
            </w:tcBorders>
          </w:tcPr>
          <w:p w14:paraId="20947A0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год</w:t>
            </w:r>
          </w:p>
        </w:tc>
      </w:tr>
    </w:tbl>
    <w:p w14:paraId="63C220A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96B2D3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ДБ-240 с 2М-105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5155ECAA" w14:textId="77777777" w:rsidTr="00EA0DA7">
        <w:tc>
          <w:tcPr>
            <w:tcW w:w="5636" w:type="dxa"/>
            <w:tcBorders>
              <w:top w:val="single" w:sz="12" w:space="0" w:color="auto"/>
            </w:tcBorders>
          </w:tcPr>
          <w:p w14:paraId="0FB15CB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223E768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4923892F" w14:textId="77777777" w:rsidTr="00EA0DA7">
        <w:tc>
          <w:tcPr>
            <w:tcW w:w="5636" w:type="dxa"/>
          </w:tcPr>
          <w:p w14:paraId="6865048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066AC56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11300/13700</w:t>
            </w:r>
          </w:p>
        </w:tc>
      </w:tr>
      <w:tr w:rsidR="00983732" w:rsidRPr="00A3026E" w14:paraId="523F1392" w14:textId="77777777" w:rsidTr="00EA0DA7">
        <w:tc>
          <w:tcPr>
            <w:tcW w:w="5636" w:type="dxa"/>
          </w:tcPr>
          <w:p w14:paraId="7352B39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46C016F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B8B21C6" w14:textId="77777777" w:rsidTr="00EA0DA7">
        <w:tc>
          <w:tcPr>
            <w:tcW w:w="5636" w:type="dxa"/>
          </w:tcPr>
          <w:p w14:paraId="58DEA73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70C11D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w:t>
            </w:r>
          </w:p>
        </w:tc>
      </w:tr>
      <w:tr w:rsidR="00983732" w:rsidRPr="00A3026E" w14:paraId="5EA39CA9" w14:textId="77777777" w:rsidTr="00EA0DA7">
        <w:tc>
          <w:tcPr>
            <w:tcW w:w="5636" w:type="dxa"/>
          </w:tcPr>
          <w:p w14:paraId="639B6B6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5C73B99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430/4200</w:t>
            </w:r>
          </w:p>
        </w:tc>
      </w:tr>
      <w:tr w:rsidR="00983732" w:rsidRPr="00A3026E" w14:paraId="72A12692" w14:textId="77777777" w:rsidTr="00EA0DA7">
        <w:tc>
          <w:tcPr>
            <w:tcW w:w="5636" w:type="dxa"/>
          </w:tcPr>
          <w:p w14:paraId="45BDF22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2300D9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430/4200</w:t>
            </w:r>
          </w:p>
        </w:tc>
      </w:tr>
      <w:tr w:rsidR="00983732" w:rsidRPr="00A3026E" w14:paraId="69760944" w14:textId="77777777" w:rsidTr="00EA0DA7">
        <w:tc>
          <w:tcPr>
            <w:tcW w:w="5636" w:type="dxa"/>
          </w:tcPr>
          <w:p w14:paraId="2B51AD4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7771F2A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w:t>
            </w:r>
          </w:p>
        </w:tc>
      </w:tr>
      <w:tr w:rsidR="00983732" w:rsidRPr="00A3026E" w14:paraId="7B0EC55A" w14:textId="77777777" w:rsidTr="00EA0DA7">
        <w:tc>
          <w:tcPr>
            <w:tcW w:w="5636" w:type="dxa"/>
          </w:tcPr>
          <w:p w14:paraId="704E5C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093CC2E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F1300BE" w14:textId="77777777" w:rsidTr="00EA0DA7">
        <w:tc>
          <w:tcPr>
            <w:tcW w:w="5636" w:type="dxa"/>
          </w:tcPr>
          <w:p w14:paraId="00B603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61C1B39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18/5000</w:t>
            </w:r>
          </w:p>
        </w:tc>
      </w:tr>
      <w:tr w:rsidR="00983732" w:rsidRPr="00A3026E" w14:paraId="68A5F076" w14:textId="77777777" w:rsidTr="00EA0DA7">
        <w:tc>
          <w:tcPr>
            <w:tcW w:w="5636" w:type="dxa"/>
          </w:tcPr>
          <w:p w14:paraId="7710655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4B0DBA0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6600</w:t>
            </w:r>
          </w:p>
        </w:tc>
      </w:tr>
      <w:tr w:rsidR="00983732" w:rsidRPr="00A3026E" w14:paraId="617FD5B2" w14:textId="77777777" w:rsidTr="00EA0DA7">
        <w:tc>
          <w:tcPr>
            <w:tcW w:w="5636" w:type="dxa"/>
          </w:tcPr>
          <w:p w14:paraId="4106C3D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3B9516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3C4D1A2" w14:textId="77777777" w:rsidTr="00EA0DA7">
        <w:tc>
          <w:tcPr>
            <w:tcW w:w="5636" w:type="dxa"/>
          </w:tcPr>
          <w:p w14:paraId="0035ED5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2FDF477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2600/4700 по зав.</w:t>
            </w:r>
          </w:p>
        </w:tc>
      </w:tr>
      <w:tr w:rsidR="00983732" w:rsidRPr="00A3026E" w14:paraId="03EBD125" w14:textId="77777777" w:rsidTr="00EA0DA7">
        <w:tc>
          <w:tcPr>
            <w:tcW w:w="5636" w:type="dxa"/>
          </w:tcPr>
          <w:p w14:paraId="50AB07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4C44BBF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4100/4700 исп.</w:t>
            </w:r>
          </w:p>
        </w:tc>
      </w:tr>
      <w:tr w:rsidR="00983732" w:rsidRPr="00A3026E" w14:paraId="5F1F66D2" w14:textId="77777777" w:rsidTr="00EA0DA7">
        <w:tc>
          <w:tcPr>
            <w:tcW w:w="5636" w:type="dxa"/>
          </w:tcPr>
          <w:p w14:paraId="08C326D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41B530D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590/24</w:t>
            </w:r>
          </w:p>
        </w:tc>
      </w:tr>
      <w:tr w:rsidR="00983732" w:rsidRPr="00A3026E" w14:paraId="17DC6BEE" w14:textId="77777777" w:rsidTr="00EA0DA7">
        <w:tc>
          <w:tcPr>
            <w:tcW w:w="5636" w:type="dxa"/>
          </w:tcPr>
          <w:p w14:paraId="52B8616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067D817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750/38</w:t>
            </w:r>
          </w:p>
        </w:tc>
      </w:tr>
      <w:tr w:rsidR="00983732" w:rsidRPr="00A3026E" w14:paraId="5EDDA0F7" w14:textId="77777777" w:rsidTr="00EA0DA7">
        <w:tc>
          <w:tcPr>
            <w:tcW w:w="5636" w:type="dxa"/>
          </w:tcPr>
          <w:p w14:paraId="7E2537B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74D65DE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C05BDC7" w14:textId="77777777" w:rsidTr="00EA0DA7">
        <w:tc>
          <w:tcPr>
            <w:tcW w:w="5636" w:type="dxa"/>
          </w:tcPr>
          <w:p w14:paraId="7774FE2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5E479AA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13EE6493" w14:textId="77777777" w:rsidTr="00EA0DA7">
        <w:tc>
          <w:tcPr>
            <w:tcW w:w="5636" w:type="dxa"/>
          </w:tcPr>
          <w:p w14:paraId="034E80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5B09FC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w:t>
            </w:r>
          </w:p>
        </w:tc>
      </w:tr>
      <w:tr w:rsidR="00983732" w:rsidRPr="00A3026E" w14:paraId="0D5D3100" w14:textId="77777777" w:rsidTr="00EA0DA7">
        <w:tc>
          <w:tcPr>
            <w:tcW w:w="5636" w:type="dxa"/>
          </w:tcPr>
          <w:p w14:paraId="3B9506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Pr>
          <w:p w14:paraId="5F20EE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1000/4000</w:t>
            </w:r>
          </w:p>
        </w:tc>
      </w:tr>
      <w:tr w:rsidR="00983732" w:rsidRPr="00A3026E" w14:paraId="7DAC2BF8" w14:textId="77777777" w:rsidTr="00EA0DA7">
        <w:tc>
          <w:tcPr>
            <w:tcW w:w="5636" w:type="dxa"/>
            <w:tcBorders>
              <w:bottom w:val="single" w:sz="12" w:space="0" w:color="auto"/>
            </w:tcBorders>
          </w:tcPr>
          <w:p w14:paraId="4B2D96E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w:t>
            </w:r>
          </w:p>
        </w:tc>
        <w:tc>
          <w:tcPr>
            <w:tcW w:w="5002" w:type="dxa"/>
            <w:tcBorders>
              <w:bottom w:val="single" w:sz="12" w:space="0" w:color="auto"/>
            </w:tcBorders>
          </w:tcPr>
          <w:p w14:paraId="2F0213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год</w:t>
            </w:r>
          </w:p>
        </w:tc>
      </w:tr>
    </w:tbl>
    <w:p w14:paraId="511FBA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946D3B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 с 2М-105 2ТК-2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04ECA5A1" w14:textId="77777777" w:rsidTr="00EA0DA7">
        <w:tc>
          <w:tcPr>
            <w:tcW w:w="5636" w:type="dxa"/>
            <w:tcBorders>
              <w:top w:val="single" w:sz="12" w:space="0" w:color="auto"/>
            </w:tcBorders>
          </w:tcPr>
          <w:p w14:paraId="3D3482D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228C8C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1050/4500</w:t>
            </w:r>
          </w:p>
        </w:tc>
      </w:tr>
      <w:tr w:rsidR="00983732" w:rsidRPr="00A3026E" w14:paraId="25BE7FDE" w14:textId="77777777" w:rsidTr="00EA0DA7">
        <w:tc>
          <w:tcPr>
            <w:tcW w:w="5636" w:type="dxa"/>
          </w:tcPr>
          <w:p w14:paraId="059ABE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1C7A95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7200/8000</w:t>
            </w:r>
          </w:p>
        </w:tc>
      </w:tr>
      <w:tr w:rsidR="00983732" w:rsidRPr="00A3026E" w14:paraId="486BA648" w14:textId="77777777" w:rsidTr="00EA0DA7">
        <w:tc>
          <w:tcPr>
            <w:tcW w:w="5636" w:type="dxa"/>
          </w:tcPr>
          <w:p w14:paraId="183C39C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5981176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C0D765E" w14:textId="77777777" w:rsidTr="00EA0DA7">
        <w:tc>
          <w:tcPr>
            <w:tcW w:w="5636" w:type="dxa"/>
          </w:tcPr>
          <w:p w14:paraId="64D6E6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234869B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455</w:t>
            </w:r>
          </w:p>
        </w:tc>
      </w:tr>
      <w:tr w:rsidR="00983732" w:rsidRPr="00A3026E" w14:paraId="1D45F6DD" w14:textId="77777777" w:rsidTr="00EA0DA7">
        <w:tc>
          <w:tcPr>
            <w:tcW w:w="5636" w:type="dxa"/>
          </w:tcPr>
          <w:p w14:paraId="1B82AD8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7F488C9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535/6000</w:t>
            </w:r>
          </w:p>
        </w:tc>
      </w:tr>
      <w:tr w:rsidR="00983732" w:rsidRPr="00A3026E" w14:paraId="2EB949BD" w14:textId="77777777" w:rsidTr="00EA0DA7">
        <w:tc>
          <w:tcPr>
            <w:tcW w:w="5636" w:type="dxa"/>
          </w:tcPr>
          <w:p w14:paraId="201C41B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7712FE7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525/6000</w:t>
            </w:r>
          </w:p>
        </w:tc>
      </w:tr>
      <w:tr w:rsidR="00983732" w:rsidRPr="00A3026E" w14:paraId="123683F9" w14:textId="77777777" w:rsidTr="00EA0DA7">
        <w:tc>
          <w:tcPr>
            <w:tcW w:w="5636" w:type="dxa"/>
          </w:tcPr>
          <w:p w14:paraId="154EB3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073B8A5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r>
      <w:tr w:rsidR="00983732" w:rsidRPr="00A3026E" w14:paraId="3F5A0872" w14:textId="77777777" w:rsidTr="00EA0DA7">
        <w:tc>
          <w:tcPr>
            <w:tcW w:w="5636" w:type="dxa"/>
          </w:tcPr>
          <w:p w14:paraId="5071978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30D03A5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32,5-41,4/3000</w:t>
            </w:r>
          </w:p>
        </w:tc>
      </w:tr>
      <w:tr w:rsidR="00983732" w:rsidRPr="00A3026E" w14:paraId="07C825A1" w14:textId="77777777" w:rsidTr="00EA0DA7">
        <w:tc>
          <w:tcPr>
            <w:tcW w:w="5636" w:type="dxa"/>
          </w:tcPr>
          <w:p w14:paraId="7C02E12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1584193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6,8/4000</w:t>
            </w:r>
          </w:p>
        </w:tc>
      </w:tr>
      <w:tr w:rsidR="00983732" w:rsidRPr="00A3026E" w14:paraId="6C92183C" w14:textId="77777777" w:rsidTr="00EA0DA7">
        <w:tc>
          <w:tcPr>
            <w:tcW w:w="5636" w:type="dxa"/>
          </w:tcPr>
          <w:p w14:paraId="2458526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6B5D124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r>
      <w:tr w:rsidR="00983732" w:rsidRPr="00A3026E" w14:paraId="0C1ED9CD" w14:textId="77777777" w:rsidTr="00EA0DA7">
        <w:tc>
          <w:tcPr>
            <w:tcW w:w="5636" w:type="dxa"/>
          </w:tcPr>
          <w:p w14:paraId="3BB8A0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34FA94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63310F2" w14:textId="77777777" w:rsidTr="00EA0DA7">
        <w:tc>
          <w:tcPr>
            <w:tcW w:w="5636" w:type="dxa"/>
          </w:tcPr>
          <w:p w14:paraId="169639E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1C38481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0C5F8C3" w14:textId="77777777" w:rsidTr="00EA0DA7">
        <w:tc>
          <w:tcPr>
            <w:tcW w:w="5636" w:type="dxa"/>
          </w:tcPr>
          <w:p w14:paraId="601DE54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75F2056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8B54440" w14:textId="77777777" w:rsidTr="00EA0DA7">
        <w:tc>
          <w:tcPr>
            <w:tcW w:w="5636" w:type="dxa"/>
          </w:tcPr>
          <w:p w14:paraId="25E5417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670CFF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380/14,8</w:t>
            </w:r>
          </w:p>
        </w:tc>
      </w:tr>
      <w:tr w:rsidR="00983732" w:rsidRPr="00A3026E" w14:paraId="678FB3A5" w14:textId="77777777" w:rsidTr="00EA0DA7">
        <w:tc>
          <w:tcPr>
            <w:tcW w:w="5636" w:type="dxa"/>
          </w:tcPr>
          <w:p w14:paraId="5D083EA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2057E8E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435/23,4</w:t>
            </w:r>
          </w:p>
        </w:tc>
      </w:tr>
      <w:tr w:rsidR="00983732" w:rsidRPr="00A3026E" w14:paraId="75FC4E64" w14:textId="77777777" w:rsidTr="00EA0DA7">
        <w:tc>
          <w:tcPr>
            <w:tcW w:w="5636" w:type="dxa"/>
          </w:tcPr>
          <w:p w14:paraId="0EEBC23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0585B8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13858C3" w14:textId="77777777" w:rsidTr="00EA0DA7">
        <w:tc>
          <w:tcPr>
            <w:tcW w:w="5636" w:type="dxa"/>
          </w:tcPr>
          <w:p w14:paraId="6B584C2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356EA83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41CBC48C" w14:textId="77777777" w:rsidTr="00EA0DA7">
        <w:tc>
          <w:tcPr>
            <w:tcW w:w="5636" w:type="dxa"/>
          </w:tcPr>
          <w:p w14:paraId="19B22AA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31BEFC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ШВАК</w:t>
            </w:r>
          </w:p>
        </w:tc>
      </w:tr>
      <w:tr w:rsidR="00983732" w:rsidRPr="00A3026E" w14:paraId="271EE7E1" w14:textId="77777777" w:rsidTr="00EA0DA7">
        <w:tc>
          <w:tcPr>
            <w:tcW w:w="5636" w:type="dxa"/>
          </w:tcPr>
          <w:p w14:paraId="413FFB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Pr>
          <w:p w14:paraId="4E9AE3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0/1000</w:t>
            </w:r>
          </w:p>
        </w:tc>
      </w:tr>
      <w:tr w:rsidR="00983732" w:rsidRPr="00A3026E" w14:paraId="5196F15F" w14:textId="77777777" w:rsidTr="00EA0DA7">
        <w:tc>
          <w:tcPr>
            <w:tcW w:w="5636" w:type="dxa"/>
            <w:tcBorders>
              <w:bottom w:val="single" w:sz="12" w:space="0" w:color="auto"/>
            </w:tcBorders>
          </w:tcPr>
          <w:p w14:paraId="67B27B0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гос. испытаниям 1940 года и расчетам</w:t>
            </w:r>
          </w:p>
        </w:tc>
        <w:tc>
          <w:tcPr>
            <w:tcW w:w="5002" w:type="dxa"/>
            <w:tcBorders>
              <w:bottom w:val="single" w:sz="12" w:space="0" w:color="auto"/>
            </w:tcBorders>
          </w:tcPr>
          <w:p w14:paraId="4525AE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26B6B6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A79E4C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ББ-22 с 2 М-103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45BCE229" w14:textId="77777777" w:rsidTr="00EA0DA7">
        <w:tc>
          <w:tcPr>
            <w:tcW w:w="5636" w:type="dxa"/>
            <w:tcBorders>
              <w:top w:val="single" w:sz="12" w:space="0" w:color="auto"/>
            </w:tcBorders>
          </w:tcPr>
          <w:p w14:paraId="414A7CF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61A9AF7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960/4000</w:t>
            </w:r>
          </w:p>
        </w:tc>
      </w:tr>
      <w:tr w:rsidR="00983732" w:rsidRPr="00A3026E" w14:paraId="5DC2927C" w14:textId="77777777" w:rsidTr="00EA0DA7">
        <w:tc>
          <w:tcPr>
            <w:tcW w:w="5636" w:type="dxa"/>
          </w:tcPr>
          <w:p w14:paraId="7A3D23B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169142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5660</w:t>
            </w:r>
          </w:p>
        </w:tc>
      </w:tr>
      <w:tr w:rsidR="00983732" w:rsidRPr="00A3026E" w14:paraId="07E2A681" w14:textId="77777777" w:rsidTr="00EA0DA7">
        <w:tc>
          <w:tcPr>
            <w:tcW w:w="5636" w:type="dxa"/>
          </w:tcPr>
          <w:p w14:paraId="0C7A84F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534B395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11EA718" w14:textId="77777777" w:rsidTr="00EA0DA7">
        <w:tc>
          <w:tcPr>
            <w:tcW w:w="5636" w:type="dxa"/>
          </w:tcPr>
          <w:p w14:paraId="1D1A60A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17FBC76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399</w:t>
            </w:r>
          </w:p>
        </w:tc>
      </w:tr>
      <w:tr w:rsidR="00983732" w:rsidRPr="00A3026E" w14:paraId="7367D8B5" w14:textId="77777777" w:rsidTr="00EA0DA7">
        <w:tc>
          <w:tcPr>
            <w:tcW w:w="5636" w:type="dxa"/>
          </w:tcPr>
          <w:p w14:paraId="7FFD1F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2CA5E5A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478/4600</w:t>
            </w:r>
          </w:p>
        </w:tc>
      </w:tr>
      <w:tr w:rsidR="00983732" w:rsidRPr="00A3026E" w14:paraId="2713A985" w14:textId="77777777" w:rsidTr="00EA0DA7">
        <w:tc>
          <w:tcPr>
            <w:tcW w:w="5636" w:type="dxa"/>
          </w:tcPr>
          <w:p w14:paraId="71F19BE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5CF7BC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478/4600</w:t>
            </w:r>
          </w:p>
        </w:tc>
      </w:tr>
      <w:tr w:rsidR="00983732" w:rsidRPr="00A3026E" w14:paraId="439BB911" w14:textId="77777777" w:rsidTr="00EA0DA7">
        <w:tc>
          <w:tcPr>
            <w:tcW w:w="5636" w:type="dxa"/>
          </w:tcPr>
          <w:p w14:paraId="385B160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1967F12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r>
      <w:tr w:rsidR="00983732" w:rsidRPr="00A3026E" w14:paraId="74AF60F1" w14:textId="77777777" w:rsidTr="00EA0DA7">
        <w:tc>
          <w:tcPr>
            <w:tcW w:w="5636" w:type="dxa"/>
          </w:tcPr>
          <w:p w14:paraId="48178E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4ACB4F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25/1000</w:t>
            </w:r>
          </w:p>
        </w:tc>
      </w:tr>
      <w:tr w:rsidR="00983732" w:rsidRPr="00A3026E" w14:paraId="70428B0D" w14:textId="77777777" w:rsidTr="00EA0DA7">
        <w:tc>
          <w:tcPr>
            <w:tcW w:w="5636" w:type="dxa"/>
          </w:tcPr>
          <w:p w14:paraId="0727016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7E6E807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9,5/1000</w:t>
            </w:r>
          </w:p>
        </w:tc>
      </w:tr>
      <w:tr w:rsidR="00983732" w:rsidRPr="00A3026E" w14:paraId="511F1EBF" w14:textId="77777777" w:rsidTr="00EA0DA7">
        <w:tc>
          <w:tcPr>
            <w:tcW w:w="5636" w:type="dxa"/>
          </w:tcPr>
          <w:p w14:paraId="43DD527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1CB1192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8100</w:t>
            </w:r>
          </w:p>
        </w:tc>
      </w:tr>
      <w:tr w:rsidR="00983732" w:rsidRPr="00A3026E" w14:paraId="2BF98C15" w14:textId="77777777" w:rsidTr="00EA0DA7">
        <w:tc>
          <w:tcPr>
            <w:tcW w:w="5636" w:type="dxa"/>
          </w:tcPr>
          <w:p w14:paraId="31EB71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307FA56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57B0C50" w14:textId="77777777" w:rsidTr="00EA0DA7">
        <w:tc>
          <w:tcPr>
            <w:tcW w:w="5636" w:type="dxa"/>
          </w:tcPr>
          <w:p w14:paraId="1F7FBA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021FB5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845/4600</w:t>
            </w:r>
          </w:p>
        </w:tc>
      </w:tr>
      <w:tr w:rsidR="00983732" w:rsidRPr="00A3026E" w14:paraId="5ABF79A7" w14:textId="77777777" w:rsidTr="00EA0DA7">
        <w:tc>
          <w:tcPr>
            <w:tcW w:w="5636" w:type="dxa"/>
          </w:tcPr>
          <w:p w14:paraId="2C941B8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 полностью залитыми баками</w:t>
            </w:r>
          </w:p>
        </w:tc>
        <w:tc>
          <w:tcPr>
            <w:tcW w:w="5002" w:type="dxa"/>
          </w:tcPr>
          <w:p w14:paraId="48F0D8F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845/4600</w:t>
            </w:r>
          </w:p>
        </w:tc>
      </w:tr>
      <w:tr w:rsidR="00983732" w:rsidRPr="00A3026E" w14:paraId="6E33747B" w14:textId="77777777" w:rsidTr="00EA0DA7">
        <w:tc>
          <w:tcPr>
            <w:tcW w:w="5636" w:type="dxa"/>
          </w:tcPr>
          <w:p w14:paraId="7EAAEF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7EAA81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515-520/16</w:t>
            </w:r>
          </w:p>
        </w:tc>
      </w:tr>
      <w:tr w:rsidR="00983732" w:rsidRPr="00A3026E" w14:paraId="74F6E856" w14:textId="77777777" w:rsidTr="00EA0DA7">
        <w:tc>
          <w:tcPr>
            <w:tcW w:w="5636" w:type="dxa"/>
          </w:tcPr>
          <w:p w14:paraId="47087CB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2BA506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370-380/16</w:t>
            </w:r>
          </w:p>
        </w:tc>
      </w:tr>
      <w:tr w:rsidR="00983732" w:rsidRPr="00A3026E" w14:paraId="35DB0017" w14:textId="77777777" w:rsidTr="00EA0DA7">
        <w:tc>
          <w:tcPr>
            <w:tcW w:w="5636" w:type="dxa"/>
          </w:tcPr>
          <w:p w14:paraId="3F3C1FE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00A0DA1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C48498A" w14:textId="77777777" w:rsidTr="00EA0DA7">
        <w:tc>
          <w:tcPr>
            <w:tcW w:w="5636" w:type="dxa"/>
          </w:tcPr>
          <w:p w14:paraId="2D9F4F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53B971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797A6EA1" w14:textId="77777777" w:rsidTr="00EA0DA7">
        <w:tc>
          <w:tcPr>
            <w:tcW w:w="5636" w:type="dxa"/>
          </w:tcPr>
          <w:p w14:paraId="4C39DAC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Pr>
          <w:p w14:paraId="628A94C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400/600</w:t>
            </w:r>
          </w:p>
        </w:tc>
      </w:tr>
      <w:tr w:rsidR="00983732" w:rsidRPr="00A3026E" w14:paraId="1F4177F4" w14:textId="77777777" w:rsidTr="00EA0DA7">
        <w:tc>
          <w:tcPr>
            <w:tcW w:w="5636" w:type="dxa"/>
            <w:tcBorders>
              <w:bottom w:val="single" w:sz="12" w:space="0" w:color="auto"/>
            </w:tcBorders>
          </w:tcPr>
          <w:p w14:paraId="68F31C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 серийного самолета</w:t>
            </w:r>
          </w:p>
        </w:tc>
        <w:tc>
          <w:tcPr>
            <w:tcW w:w="5002" w:type="dxa"/>
            <w:tcBorders>
              <w:bottom w:val="single" w:sz="12" w:space="0" w:color="auto"/>
            </w:tcBorders>
          </w:tcPr>
          <w:p w14:paraId="519D6BE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год</w:t>
            </w:r>
          </w:p>
        </w:tc>
      </w:tr>
    </w:tbl>
    <w:p w14:paraId="2DA388D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75C622C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ТБ-7 с 4АМ-34 ФНР без АЦН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4B646608" w14:textId="77777777" w:rsidTr="00EA0DA7">
        <w:tc>
          <w:tcPr>
            <w:tcW w:w="5636" w:type="dxa"/>
            <w:tcBorders>
              <w:top w:val="single" w:sz="12" w:space="0" w:color="auto"/>
            </w:tcBorders>
          </w:tcPr>
          <w:p w14:paraId="4D30473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5028E19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1050/3500</w:t>
            </w:r>
          </w:p>
        </w:tc>
      </w:tr>
      <w:tr w:rsidR="00983732" w:rsidRPr="00A3026E" w14:paraId="0E2A843E" w14:textId="77777777" w:rsidTr="00EA0DA7">
        <w:tc>
          <w:tcPr>
            <w:tcW w:w="5636" w:type="dxa"/>
          </w:tcPr>
          <w:p w14:paraId="65AB0F8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6E7EB67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24000/32000</w:t>
            </w:r>
          </w:p>
        </w:tc>
      </w:tr>
      <w:tr w:rsidR="00983732" w:rsidRPr="00A3026E" w14:paraId="539531C1" w14:textId="77777777" w:rsidTr="00EA0DA7">
        <w:tc>
          <w:tcPr>
            <w:tcW w:w="5636" w:type="dxa"/>
          </w:tcPr>
          <w:p w14:paraId="101FFAF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35ECAC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C965BC7" w14:textId="77777777" w:rsidTr="00EA0DA7">
        <w:tc>
          <w:tcPr>
            <w:tcW w:w="5636" w:type="dxa"/>
          </w:tcPr>
          <w:p w14:paraId="1DA28DE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002BD4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315</w:t>
            </w:r>
          </w:p>
        </w:tc>
      </w:tr>
      <w:tr w:rsidR="00983732" w:rsidRPr="00A3026E" w14:paraId="16059556" w14:textId="77777777" w:rsidTr="00EA0DA7">
        <w:tc>
          <w:tcPr>
            <w:tcW w:w="5636" w:type="dxa"/>
          </w:tcPr>
          <w:p w14:paraId="1F4BBC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379624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375/3650</w:t>
            </w:r>
          </w:p>
        </w:tc>
      </w:tr>
      <w:tr w:rsidR="00983732" w:rsidRPr="00A3026E" w14:paraId="786C7258" w14:textId="77777777" w:rsidTr="00EA0DA7">
        <w:tc>
          <w:tcPr>
            <w:tcW w:w="5636" w:type="dxa"/>
          </w:tcPr>
          <w:p w14:paraId="6F3EC2B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55C16C8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355/3650</w:t>
            </w:r>
          </w:p>
        </w:tc>
      </w:tr>
      <w:tr w:rsidR="00983732" w:rsidRPr="00A3026E" w14:paraId="166BE5E0" w14:textId="77777777" w:rsidTr="00EA0DA7">
        <w:tc>
          <w:tcPr>
            <w:tcW w:w="5636" w:type="dxa"/>
          </w:tcPr>
          <w:p w14:paraId="736B7F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7E15690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6076FDAC" w14:textId="77777777" w:rsidTr="00EA0DA7">
        <w:tc>
          <w:tcPr>
            <w:tcW w:w="5636" w:type="dxa"/>
          </w:tcPr>
          <w:p w14:paraId="445E87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7976DFD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67A3404" w14:textId="77777777" w:rsidTr="00EA0DA7">
        <w:tc>
          <w:tcPr>
            <w:tcW w:w="5636" w:type="dxa"/>
          </w:tcPr>
          <w:p w14:paraId="4FEE87F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0CE349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17/5000</w:t>
            </w:r>
          </w:p>
        </w:tc>
      </w:tr>
      <w:tr w:rsidR="00983732" w:rsidRPr="00A3026E" w14:paraId="5C435687" w14:textId="77777777" w:rsidTr="00EA0DA7">
        <w:tc>
          <w:tcPr>
            <w:tcW w:w="5636" w:type="dxa"/>
          </w:tcPr>
          <w:p w14:paraId="192A1E9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7FE3ABD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8240</w:t>
            </w:r>
          </w:p>
        </w:tc>
      </w:tr>
      <w:tr w:rsidR="00983732" w:rsidRPr="00A3026E" w14:paraId="0B400144" w14:textId="77777777" w:rsidTr="00EA0DA7">
        <w:tc>
          <w:tcPr>
            <w:tcW w:w="5636" w:type="dxa"/>
          </w:tcPr>
          <w:p w14:paraId="1E5B5E9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3247E59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EB26DA2" w14:textId="77777777" w:rsidTr="00EA0DA7">
        <w:tc>
          <w:tcPr>
            <w:tcW w:w="5636" w:type="dxa"/>
          </w:tcPr>
          <w:p w14:paraId="317D49A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2E7F24C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A969D05" w14:textId="77777777" w:rsidTr="00EA0DA7">
        <w:tc>
          <w:tcPr>
            <w:tcW w:w="5636" w:type="dxa"/>
          </w:tcPr>
          <w:p w14:paraId="7E24D8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668F17F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8CF0182" w14:textId="77777777" w:rsidTr="00EA0DA7">
        <w:tc>
          <w:tcPr>
            <w:tcW w:w="5636" w:type="dxa"/>
          </w:tcPr>
          <w:p w14:paraId="1F12973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273F0C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320/18,7</w:t>
            </w:r>
          </w:p>
        </w:tc>
      </w:tr>
      <w:tr w:rsidR="00983732" w:rsidRPr="00A3026E" w14:paraId="4221EE00" w14:textId="77777777" w:rsidTr="00EA0DA7">
        <w:tc>
          <w:tcPr>
            <w:tcW w:w="5636" w:type="dxa"/>
          </w:tcPr>
          <w:p w14:paraId="7879B9D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70DBFA6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370/25,2</w:t>
            </w:r>
          </w:p>
        </w:tc>
      </w:tr>
      <w:tr w:rsidR="00983732" w:rsidRPr="00A3026E" w14:paraId="7BC2834E" w14:textId="77777777" w:rsidTr="00EA0DA7">
        <w:tc>
          <w:tcPr>
            <w:tcW w:w="5636" w:type="dxa"/>
          </w:tcPr>
          <w:p w14:paraId="2AB452D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62DAB79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C083760" w14:textId="77777777" w:rsidTr="00EA0DA7">
        <w:tc>
          <w:tcPr>
            <w:tcW w:w="5636" w:type="dxa"/>
          </w:tcPr>
          <w:p w14:paraId="70344AE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212AA4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ШКАС</w:t>
            </w:r>
          </w:p>
        </w:tc>
      </w:tr>
      <w:tr w:rsidR="00983732" w:rsidRPr="00A3026E" w14:paraId="09635A80" w14:textId="77777777" w:rsidTr="00EA0DA7">
        <w:tc>
          <w:tcPr>
            <w:tcW w:w="5636" w:type="dxa"/>
          </w:tcPr>
          <w:p w14:paraId="62416A4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297820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ШВАК</w:t>
            </w:r>
          </w:p>
        </w:tc>
      </w:tr>
      <w:tr w:rsidR="00983732" w:rsidRPr="00A3026E" w14:paraId="045F224C" w14:textId="77777777" w:rsidTr="00EA0DA7">
        <w:tc>
          <w:tcPr>
            <w:tcW w:w="5636" w:type="dxa"/>
          </w:tcPr>
          <w:p w14:paraId="439396D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Pr>
          <w:p w14:paraId="100E019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2000/4000</w:t>
            </w:r>
          </w:p>
        </w:tc>
      </w:tr>
      <w:tr w:rsidR="00983732" w:rsidRPr="00A3026E" w14:paraId="3B93072E" w14:textId="77777777" w:rsidTr="00EA0DA7">
        <w:tc>
          <w:tcPr>
            <w:tcW w:w="5636" w:type="dxa"/>
            <w:tcBorders>
              <w:bottom w:val="single" w:sz="12" w:space="0" w:color="auto"/>
            </w:tcBorders>
          </w:tcPr>
          <w:p w14:paraId="50B3726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w:t>
            </w:r>
          </w:p>
        </w:tc>
        <w:tc>
          <w:tcPr>
            <w:tcW w:w="5002" w:type="dxa"/>
            <w:tcBorders>
              <w:bottom w:val="single" w:sz="12" w:space="0" w:color="auto"/>
            </w:tcBorders>
          </w:tcPr>
          <w:p w14:paraId="0F39E8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1938-1939 г.г.</w:t>
            </w:r>
          </w:p>
        </w:tc>
      </w:tr>
    </w:tbl>
    <w:p w14:paraId="128744A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6A62A04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 2М-105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30A866D4" w14:textId="77777777" w:rsidTr="00EA0DA7">
        <w:tc>
          <w:tcPr>
            <w:tcW w:w="5636" w:type="dxa"/>
            <w:tcBorders>
              <w:top w:val="single" w:sz="12" w:space="0" w:color="auto"/>
            </w:tcBorders>
          </w:tcPr>
          <w:p w14:paraId="64AC82B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491E762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6B40D0F8" w14:textId="77777777" w:rsidTr="00EA0DA7">
        <w:tc>
          <w:tcPr>
            <w:tcW w:w="5636" w:type="dxa"/>
          </w:tcPr>
          <w:p w14:paraId="477D9B9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38C7FCF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7500/8500</w:t>
            </w:r>
          </w:p>
        </w:tc>
      </w:tr>
      <w:tr w:rsidR="00983732" w:rsidRPr="00A3026E" w14:paraId="63A57302" w14:textId="77777777" w:rsidTr="00EA0DA7">
        <w:tc>
          <w:tcPr>
            <w:tcW w:w="5636" w:type="dxa"/>
          </w:tcPr>
          <w:p w14:paraId="309DA53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2AD90BC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4DB7B65" w14:textId="77777777" w:rsidTr="00EA0DA7">
        <w:tc>
          <w:tcPr>
            <w:tcW w:w="5636" w:type="dxa"/>
          </w:tcPr>
          <w:p w14:paraId="5D3A09E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169A347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w:t>
            </w:r>
          </w:p>
        </w:tc>
      </w:tr>
      <w:tr w:rsidR="00983732" w:rsidRPr="00A3026E" w14:paraId="67002AE0" w14:textId="77777777" w:rsidTr="00EA0DA7">
        <w:tc>
          <w:tcPr>
            <w:tcW w:w="5636" w:type="dxa"/>
          </w:tcPr>
          <w:p w14:paraId="631994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67529A8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540/2080</w:t>
            </w:r>
          </w:p>
        </w:tc>
      </w:tr>
      <w:tr w:rsidR="00983732" w:rsidRPr="00A3026E" w14:paraId="0F7FD433" w14:textId="77777777" w:rsidTr="00EA0DA7">
        <w:tc>
          <w:tcPr>
            <w:tcW w:w="5636" w:type="dxa"/>
          </w:tcPr>
          <w:p w14:paraId="0C79C5C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36A5BE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A9D6E3C" w14:textId="77777777" w:rsidTr="00EA0DA7">
        <w:tc>
          <w:tcPr>
            <w:tcW w:w="5636" w:type="dxa"/>
          </w:tcPr>
          <w:p w14:paraId="35FC582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2CCFCAA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 с щитками</w:t>
            </w:r>
          </w:p>
        </w:tc>
      </w:tr>
      <w:tr w:rsidR="00983732" w:rsidRPr="00A3026E" w14:paraId="08DC89B5" w14:textId="77777777" w:rsidTr="00EA0DA7">
        <w:tc>
          <w:tcPr>
            <w:tcW w:w="5636" w:type="dxa"/>
          </w:tcPr>
          <w:p w14:paraId="449AD5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2F4EAB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 без щитков</w:t>
            </w:r>
          </w:p>
        </w:tc>
      </w:tr>
      <w:tr w:rsidR="00983732" w:rsidRPr="00A3026E" w14:paraId="13AACDB0" w14:textId="77777777" w:rsidTr="00EA0DA7">
        <w:tc>
          <w:tcPr>
            <w:tcW w:w="5636" w:type="dxa"/>
          </w:tcPr>
          <w:p w14:paraId="0F9B8C7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5D68AC6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4BEAAFC1" w14:textId="77777777" w:rsidTr="00EA0DA7">
        <w:tc>
          <w:tcPr>
            <w:tcW w:w="5636" w:type="dxa"/>
          </w:tcPr>
          <w:p w14:paraId="1AA1A81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46B9407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9,3/5000</w:t>
            </w:r>
          </w:p>
        </w:tc>
      </w:tr>
      <w:tr w:rsidR="00983732" w:rsidRPr="00A3026E" w14:paraId="5D7B3B9D" w14:textId="77777777" w:rsidTr="00EA0DA7">
        <w:tc>
          <w:tcPr>
            <w:tcW w:w="5636" w:type="dxa"/>
          </w:tcPr>
          <w:p w14:paraId="0565647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1DCD066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8800</w:t>
            </w:r>
          </w:p>
        </w:tc>
      </w:tr>
      <w:tr w:rsidR="00983732" w:rsidRPr="00A3026E" w14:paraId="40DEBE7D" w14:textId="77777777" w:rsidTr="00EA0DA7">
        <w:tc>
          <w:tcPr>
            <w:tcW w:w="5636" w:type="dxa"/>
          </w:tcPr>
          <w:p w14:paraId="5BAAD79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441DA8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68BD2BD" w14:textId="77777777" w:rsidTr="00EA0DA7">
        <w:tc>
          <w:tcPr>
            <w:tcW w:w="5636" w:type="dxa"/>
          </w:tcPr>
          <w:p w14:paraId="3C3E8FD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4721CB9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61CF58C" w14:textId="77777777" w:rsidTr="00EA0DA7">
        <w:tc>
          <w:tcPr>
            <w:tcW w:w="5636" w:type="dxa"/>
          </w:tcPr>
          <w:p w14:paraId="6D20A50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1867ED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69CC469B" w14:textId="77777777" w:rsidTr="00EA0DA7">
        <w:tc>
          <w:tcPr>
            <w:tcW w:w="5636" w:type="dxa"/>
          </w:tcPr>
          <w:p w14:paraId="0004F9E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59F367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360/15</w:t>
            </w:r>
          </w:p>
        </w:tc>
      </w:tr>
      <w:tr w:rsidR="00983732" w:rsidRPr="00A3026E" w14:paraId="6B42014D" w14:textId="77777777" w:rsidTr="00EA0DA7">
        <w:tc>
          <w:tcPr>
            <w:tcW w:w="5636" w:type="dxa"/>
          </w:tcPr>
          <w:p w14:paraId="5CBD9FE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71ABEA2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462/15,8</w:t>
            </w:r>
          </w:p>
        </w:tc>
      </w:tr>
      <w:tr w:rsidR="00983732" w:rsidRPr="00A3026E" w14:paraId="235ACFB2" w14:textId="77777777" w:rsidTr="00EA0DA7">
        <w:tc>
          <w:tcPr>
            <w:tcW w:w="5636" w:type="dxa"/>
          </w:tcPr>
          <w:p w14:paraId="5E38D6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459C970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FBD693E" w14:textId="77777777" w:rsidTr="00EA0DA7">
        <w:tc>
          <w:tcPr>
            <w:tcW w:w="5636" w:type="dxa"/>
          </w:tcPr>
          <w:p w14:paraId="6DDEA59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1182BD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4134E852" w14:textId="77777777" w:rsidTr="00EA0DA7">
        <w:tc>
          <w:tcPr>
            <w:tcW w:w="5636" w:type="dxa"/>
            <w:tcBorders>
              <w:bottom w:val="single" w:sz="12" w:space="0" w:color="auto"/>
            </w:tcBorders>
          </w:tcPr>
          <w:p w14:paraId="007B4D3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154CDF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600/1000</w:t>
            </w:r>
          </w:p>
        </w:tc>
      </w:tr>
    </w:tbl>
    <w:p w14:paraId="25C1584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563C2A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 2М-105 перегрузочный вариант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3267A35B" w14:textId="77777777" w:rsidTr="00EA0DA7">
        <w:tc>
          <w:tcPr>
            <w:tcW w:w="5636" w:type="dxa"/>
            <w:tcBorders>
              <w:top w:val="single" w:sz="12" w:space="0" w:color="auto"/>
            </w:tcBorders>
          </w:tcPr>
          <w:p w14:paraId="5F2E6E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135156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6EBAF411" w14:textId="77777777" w:rsidTr="00EA0DA7">
        <w:tc>
          <w:tcPr>
            <w:tcW w:w="5636" w:type="dxa"/>
          </w:tcPr>
          <w:p w14:paraId="4CF2B1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158D747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ФАБ-50 наруж. 8000</w:t>
            </w:r>
          </w:p>
        </w:tc>
      </w:tr>
      <w:tr w:rsidR="00983732" w:rsidRPr="00A3026E" w14:paraId="2D51A8E5" w14:textId="77777777" w:rsidTr="00EA0DA7">
        <w:tc>
          <w:tcPr>
            <w:tcW w:w="5636" w:type="dxa"/>
          </w:tcPr>
          <w:p w14:paraId="1532186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3DDEF45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215301D" w14:textId="77777777" w:rsidTr="00EA0DA7">
        <w:tc>
          <w:tcPr>
            <w:tcW w:w="5636" w:type="dxa"/>
          </w:tcPr>
          <w:p w14:paraId="30C91E8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2EA3EF0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428</w:t>
            </w:r>
          </w:p>
        </w:tc>
      </w:tr>
      <w:tr w:rsidR="00983732" w:rsidRPr="00A3026E" w14:paraId="0316770D" w14:textId="77777777" w:rsidTr="00EA0DA7">
        <w:tc>
          <w:tcPr>
            <w:tcW w:w="5636" w:type="dxa"/>
          </w:tcPr>
          <w:p w14:paraId="61E3A33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74F8AD1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510/5000</w:t>
            </w:r>
          </w:p>
        </w:tc>
      </w:tr>
      <w:tr w:rsidR="00983732" w:rsidRPr="00A3026E" w14:paraId="01FCBEDC" w14:textId="77777777" w:rsidTr="00EA0DA7">
        <w:tc>
          <w:tcPr>
            <w:tcW w:w="5636" w:type="dxa"/>
          </w:tcPr>
          <w:p w14:paraId="0FE1D9B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6669C02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31707D4" w14:textId="77777777" w:rsidTr="00EA0DA7">
        <w:tc>
          <w:tcPr>
            <w:tcW w:w="5636" w:type="dxa"/>
          </w:tcPr>
          <w:p w14:paraId="58329D9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28D589D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2F44763" w14:textId="77777777" w:rsidTr="00EA0DA7">
        <w:tc>
          <w:tcPr>
            <w:tcW w:w="5636" w:type="dxa"/>
          </w:tcPr>
          <w:p w14:paraId="4594255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5F6A0F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C25F15E" w14:textId="77777777" w:rsidTr="00EA0DA7">
        <w:tc>
          <w:tcPr>
            <w:tcW w:w="5636" w:type="dxa"/>
          </w:tcPr>
          <w:p w14:paraId="706358B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2E4F1D5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11,2/5000</w:t>
            </w:r>
          </w:p>
        </w:tc>
      </w:tr>
      <w:tr w:rsidR="00983732" w:rsidRPr="00A3026E" w14:paraId="046B318A" w14:textId="77777777" w:rsidTr="00EA0DA7">
        <w:tc>
          <w:tcPr>
            <w:tcW w:w="5636" w:type="dxa"/>
          </w:tcPr>
          <w:p w14:paraId="46A97DA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6F46A66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7950</w:t>
            </w:r>
          </w:p>
        </w:tc>
      </w:tr>
      <w:tr w:rsidR="00983732" w:rsidRPr="00A3026E" w14:paraId="5929A52A" w14:textId="77777777" w:rsidTr="00EA0DA7">
        <w:tc>
          <w:tcPr>
            <w:tcW w:w="5636" w:type="dxa"/>
          </w:tcPr>
          <w:p w14:paraId="1F5826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13CA765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31D7187" w14:textId="77777777" w:rsidTr="00EA0DA7">
        <w:tc>
          <w:tcPr>
            <w:tcW w:w="5636" w:type="dxa"/>
          </w:tcPr>
          <w:p w14:paraId="2DB22EC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27B8443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CDEC25E" w14:textId="77777777" w:rsidTr="00EA0DA7">
        <w:tc>
          <w:tcPr>
            <w:tcW w:w="5636" w:type="dxa"/>
          </w:tcPr>
          <w:p w14:paraId="7B9944C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41F1308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2C415A1" w14:textId="77777777" w:rsidTr="00EA0DA7">
        <w:tc>
          <w:tcPr>
            <w:tcW w:w="5636" w:type="dxa"/>
          </w:tcPr>
          <w:p w14:paraId="68D3738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1302F02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C9EF137" w14:textId="77777777" w:rsidTr="00EA0DA7">
        <w:tc>
          <w:tcPr>
            <w:tcW w:w="5636" w:type="dxa"/>
          </w:tcPr>
          <w:p w14:paraId="677EBF4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047D793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519BC3B" w14:textId="77777777" w:rsidTr="00EA0DA7">
        <w:tc>
          <w:tcPr>
            <w:tcW w:w="5636" w:type="dxa"/>
          </w:tcPr>
          <w:p w14:paraId="5898AF7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74900B9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B724A06" w14:textId="77777777" w:rsidTr="00EA0DA7">
        <w:tc>
          <w:tcPr>
            <w:tcW w:w="5636" w:type="dxa"/>
          </w:tcPr>
          <w:p w14:paraId="5757009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3FBDB26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80B56B1" w14:textId="77777777" w:rsidTr="00EA0DA7">
        <w:tc>
          <w:tcPr>
            <w:tcW w:w="5636" w:type="dxa"/>
            <w:tcBorders>
              <w:bottom w:val="single" w:sz="12" w:space="0" w:color="auto"/>
            </w:tcBorders>
          </w:tcPr>
          <w:p w14:paraId="1A8EA6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6DA5431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600/1000</w:t>
            </w:r>
          </w:p>
        </w:tc>
      </w:tr>
    </w:tbl>
    <w:p w14:paraId="6609AB0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1BF3069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 2М-105 серийный № 10\35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7AABE9C1" w14:textId="77777777" w:rsidTr="00EA0DA7">
        <w:tc>
          <w:tcPr>
            <w:tcW w:w="5636" w:type="dxa"/>
            <w:tcBorders>
              <w:top w:val="single" w:sz="12" w:space="0" w:color="auto"/>
            </w:tcBorders>
          </w:tcPr>
          <w:p w14:paraId="5550503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0521BF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1050/4000</w:t>
            </w:r>
          </w:p>
        </w:tc>
      </w:tr>
      <w:tr w:rsidR="00983732" w:rsidRPr="00A3026E" w14:paraId="70271128" w14:textId="77777777" w:rsidTr="00EA0DA7">
        <w:tc>
          <w:tcPr>
            <w:tcW w:w="5636" w:type="dxa"/>
          </w:tcPr>
          <w:p w14:paraId="303397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464C174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7700/8000</w:t>
            </w:r>
          </w:p>
        </w:tc>
      </w:tr>
      <w:tr w:rsidR="00983732" w:rsidRPr="00A3026E" w14:paraId="7A10A45F" w14:textId="77777777" w:rsidTr="00EA0DA7">
        <w:tc>
          <w:tcPr>
            <w:tcW w:w="5636" w:type="dxa"/>
          </w:tcPr>
          <w:p w14:paraId="25CA151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5498841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56D4B9E" w14:textId="77777777" w:rsidTr="00EA0DA7">
        <w:tc>
          <w:tcPr>
            <w:tcW w:w="5636" w:type="dxa"/>
          </w:tcPr>
          <w:p w14:paraId="6B7EC2E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7908E60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446</w:t>
            </w:r>
          </w:p>
        </w:tc>
      </w:tr>
      <w:tr w:rsidR="00983732" w:rsidRPr="00A3026E" w14:paraId="451F0D1A" w14:textId="77777777" w:rsidTr="00EA0DA7">
        <w:tc>
          <w:tcPr>
            <w:tcW w:w="5636" w:type="dxa"/>
          </w:tcPr>
          <w:p w14:paraId="2CFAEBB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3131232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530/5000</w:t>
            </w:r>
          </w:p>
        </w:tc>
      </w:tr>
      <w:tr w:rsidR="00983732" w:rsidRPr="00A3026E" w14:paraId="4D4AF4B2" w14:textId="77777777" w:rsidTr="00EA0DA7">
        <w:tc>
          <w:tcPr>
            <w:tcW w:w="5636" w:type="dxa"/>
          </w:tcPr>
          <w:p w14:paraId="5346682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4F1755F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2AABBB4" w14:textId="77777777" w:rsidTr="00EA0DA7">
        <w:tc>
          <w:tcPr>
            <w:tcW w:w="5636" w:type="dxa"/>
          </w:tcPr>
          <w:p w14:paraId="4F9A416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Посадочная скорость</w:t>
            </w:r>
          </w:p>
        </w:tc>
        <w:tc>
          <w:tcPr>
            <w:tcW w:w="5002" w:type="dxa"/>
          </w:tcPr>
          <w:p w14:paraId="6BCD00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37C6DB1" w14:textId="77777777" w:rsidTr="00EA0DA7">
        <w:tc>
          <w:tcPr>
            <w:tcW w:w="5636" w:type="dxa"/>
          </w:tcPr>
          <w:p w14:paraId="5AEFB63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392F37C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F264898" w14:textId="77777777" w:rsidTr="00EA0DA7">
        <w:tc>
          <w:tcPr>
            <w:tcW w:w="5636" w:type="dxa"/>
          </w:tcPr>
          <w:p w14:paraId="3788FE5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1D9102D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10/5000</w:t>
            </w:r>
          </w:p>
        </w:tc>
      </w:tr>
      <w:tr w:rsidR="00983732" w:rsidRPr="00A3026E" w14:paraId="5C2913E0" w14:textId="77777777" w:rsidTr="00EA0DA7">
        <w:tc>
          <w:tcPr>
            <w:tcW w:w="5636" w:type="dxa"/>
          </w:tcPr>
          <w:p w14:paraId="5ABBD74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733F3D8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8800</w:t>
            </w:r>
          </w:p>
        </w:tc>
      </w:tr>
      <w:tr w:rsidR="00983732" w:rsidRPr="00A3026E" w14:paraId="663A2E01" w14:textId="77777777" w:rsidTr="00EA0DA7">
        <w:tc>
          <w:tcPr>
            <w:tcW w:w="5636" w:type="dxa"/>
          </w:tcPr>
          <w:p w14:paraId="2EEC677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3E4B34E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458AF5B" w14:textId="77777777" w:rsidTr="00EA0DA7">
        <w:tc>
          <w:tcPr>
            <w:tcW w:w="5636" w:type="dxa"/>
          </w:tcPr>
          <w:p w14:paraId="6103C84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69267B6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B36CF9A" w14:textId="77777777" w:rsidTr="00EA0DA7">
        <w:tc>
          <w:tcPr>
            <w:tcW w:w="5636" w:type="dxa"/>
          </w:tcPr>
          <w:p w14:paraId="594BEB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5095BB1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6A49068" w14:textId="77777777" w:rsidTr="00EA0DA7">
        <w:tc>
          <w:tcPr>
            <w:tcW w:w="5636" w:type="dxa"/>
          </w:tcPr>
          <w:p w14:paraId="20C6F88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0C39F62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4E49253" w14:textId="77777777" w:rsidTr="00EA0DA7">
        <w:tc>
          <w:tcPr>
            <w:tcW w:w="5636" w:type="dxa"/>
          </w:tcPr>
          <w:p w14:paraId="1244AAA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6F532CA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F395B4B" w14:textId="77777777" w:rsidTr="00EA0DA7">
        <w:tc>
          <w:tcPr>
            <w:tcW w:w="5636" w:type="dxa"/>
          </w:tcPr>
          <w:p w14:paraId="2FCE790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1F05091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F075B02" w14:textId="77777777" w:rsidTr="00EA0DA7">
        <w:tc>
          <w:tcPr>
            <w:tcW w:w="5636" w:type="dxa"/>
          </w:tcPr>
          <w:p w14:paraId="767013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44B1AB5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1189A780" w14:textId="77777777" w:rsidTr="00EA0DA7">
        <w:tc>
          <w:tcPr>
            <w:tcW w:w="5636" w:type="dxa"/>
          </w:tcPr>
          <w:p w14:paraId="083B48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54E8D2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Березина</w:t>
            </w:r>
          </w:p>
        </w:tc>
      </w:tr>
      <w:tr w:rsidR="00983732" w:rsidRPr="00A3026E" w14:paraId="1C881BF3" w14:textId="77777777" w:rsidTr="00EA0DA7">
        <w:tc>
          <w:tcPr>
            <w:tcW w:w="5636" w:type="dxa"/>
            <w:tcBorders>
              <w:bottom w:val="single" w:sz="12" w:space="0" w:color="auto"/>
            </w:tcBorders>
          </w:tcPr>
          <w:p w14:paraId="68EB91E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3049DBF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600/1000</w:t>
            </w:r>
          </w:p>
        </w:tc>
      </w:tr>
    </w:tbl>
    <w:p w14:paraId="2CA4F9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501283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 2АМ-37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06CE78EB" w14:textId="77777777" w:rsidTr="00EA0DA7">
        <w:tc>
          <w:tcPr>
            <w:tcW w:w="5636" w:type="dxa"/>
            <w:tcBorders>
              <w:top w:val="single" w:sz="12" w:space="0" w:color="auto"/>
            </w:tcBorders>
          </w:tcPr>
          <w:p w14:paraId="713E504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7E9A76D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1400/6000</w:t>
            </w:r>
          </w:p>
        </w:tc>
      </w:tr>
      <w:tr w:rsidR="00983732" w:rsidRPr="00A3026E" w14:paraId="735117DF" w14:textId="77777777" w:rsidTr="00EA0DA7">
        <w:tc>
          <w:tcPr>
            <w:tcW w:w="5636" w:type="dxa"/>
          </w:tcPr>
          <w:p w14:paraId="3A017C4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66089BE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10130/10992</w:t>
            </w:r>
          </w:p>
        </w:tc>
      </w:tr>
      <w:tr w:rsidR="00983732" w:rsidRPr="00A3026E" w14:paraId="52307422" w14:textId="77777777" w:rsidTr="00EA0DA7">
        <w:tc>
          <w:tcPr>
            <w:tcW w:w="5636" w:type="dxa"/>
          </w:tcPr>
          <w:p w14:paraId="090DC00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6F8B686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073FC77" w14:textId="77777777" w:rsidTr="00EA0DA7">
        <w:tc>
          <w:tcPr>
            <w:tcW w:w="5636" w:type="dxa"/>
          </w:tcPr>
          <w:p w14:paraId="27E411F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73932EB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482</w:t>
            </w:r>
          </w:p>
        </w:tc>
      </w:tr>
      <w:tr w:rsidR="00983732" w:rsidRPr="00A3026E" w14:paraId="6A09235E" w14:textId="77777777" w:rsidTr="00EA0DA7">
        <w:tc>
          <w:tcPr>
            <w:tcW w:w="5636" w:type="dxa"/>
          </w:tcPr>
          <w:p w14:paraId="2CA967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79EBE6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635/8000</w:t>
            </w:r>
          </w:p>
        </w:tc>
      </w:tr>
      <w:tr w:rsidR="00983732" w:rsidRPr="00A3026E" w14:paraId="17F3E6FE" w14:textId="77777777" w:rsidTr="00EA0DA7">
        <w:tc>
          <w:tcPr>
            <w:tcW w:w="5636" w:type="dxa"/>
          </w:tcPr>
          <w:p w14:paraId="7B9EB47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127E72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D5404CB" w14:textId="77777777" w:rsidTr="00EA0DA7">
        <w:tc>
          <w:tcPr>
            <w:tcW w:w="5636" w:type="dxa"/>
          </w:tcPr>
          <w:p w14:paraId="02F14A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7DCEB07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152</w:t>
            </w:r>
          </w:p>
        </w:tc>
      </w:tr>
      <w:tr w:rsidR="00983732" w:rsidRPr="00A3026E" w14:paraId="7EE19BA6" w14:textId="77777777" w:rsidTr="00EA0DA7">
        <w:tc>
          <w:tcPr>
            <w:tcW w:w="5636" w:type="dxa"/>
          </w:tcPr>
          <w:p w14:paraId="1B48C89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5243675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875E966" w14:textId="77777777" w:rsidTr="00EA0DA7">
        <w:tc>
          <w:tcPr>
            <w:tcW w:w="5636" w:type="dxa"/>
          </w:tcPr>
          <w:p w14:paraId="301D1DF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6813BE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14/8000</w:t>
            </w:r>
          </w:p>
        </w:tc>
      </w:tr>
      <w:tr w:rsidR="00983732" w:rsidRPr="00A3026E" w14:paraId="7CC8179D" w14:textId="77777777" w:rsidTr="00EA0DA7">
        <w:tc>
          <w:tcPr>
            <w:tcW w:w="5636" w:type="dxa"/>
          </w:tcPr>
          <w:p w14:paraId="3E87D39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7BCCD9A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10600</w:t>
            </w:r>
          </w:p>
        </w:tc>
      </w:tr>
      <w:tr w:rsidR="00983732" w:rsidRPr="00A3026E" w14:paraId="071C3F2E" w14:textId="77777777" w:rsidTr="00EA0DA7">
        <w:tc>
          <w:tcPr>
            <w:tcW w:w="5636" w:type="dxa"/>
          </w:tcPr>
          <w:p w14:paraId="233EEAC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3FC1C12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358D62E" w14:textId="77777777" w:rsidTr="00EA0DA7">
        <w:tc>
          <w:tcPr>
            <w:tcW w:w="5636" w:type="dxa"/>
          </w:tcPr>
          <w:p w14:paraId="61B06FC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48BDC5C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61D86BD" w14:textId="77777777" w:rsidTr="00EA0DA7">
        <w:tc>
          <w:tcPr>
            <w:tcW w:w="5636" w:type="dxa"/>
          </w:tcPr>
          <w:p w14:paraId="721D84B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717950C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1900/расч.</w:t>
            </w:r>
          </w:p>
        </w:tc>
      </w:tr>
      <w:tr w:rsidR="00983732" w:rsidRPr="00A3026E" w14:paraId="6413066F" w14:textId="77777777" w:rsidTr="00EA0DA7">
        <w:tc>
          <w:tcPr>
            <w:tcW w:w="5636" w:type="dxa"/>
          </w:tcPr>
          <w:p w14:paraId="45C6D86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7868B5C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440/18</w:t>
            </w:r>
          </w:p>
        </w:tc>
      </w:tr>
      <w:tr w:rsidR="00983732" w:rsidRPr="00A3026E" w14:paraId="05015605" w14:textId="77777777" w:rsidTr="00EA0DA7">
        <w:tc>
          <w:tcPr>
            <w:tcW w:w="5636" w:type="dxa"/>
          </w:tcPr>
          <w:p w14:paraId="48EABA7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700182B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730/35</w:t>
            </w:r>
          </w:p>
        </w:tc>
      </w:tr>
      <w:tr w:rsidR="00983732" w:rsidRPr="00A3026E" w14:paraId="1B79B962" w14:textId="77777777" w:rsidTr="00EA0DA7">
        <w:tc>
          <w:tcPr>
            <w:tcW w:w="5636" w:type="dxa"/>
          </w:tcPr>
          <w:p w14:paraId="1F4DAAB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019A67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10867D3" w14:textId="77777777" w:rsidTr="00EA0DA7">
        <w:tc>
          <w:tcPr>
            <w:tcW w:w="5636" w:type="dxa"/>
          </w:tcPr>
          <w:p w14:paraId="27C9B83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00AD3C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пушки 20 мм</w:t>
            </w:r>
          </w:p>
        </w:tc>
      </w:tr>
      <w:tr w:rsidR="00983732" w:rsidRPr="00A3026E" w14:paraId="7ECCEDAB" w14:textId="77777777" w:rsidTr="00EA0DA7">
        <w:tc>
          <w:tcPr>
            <w:tcW w:w="5636" w:type="dxa"/>
          </w:tcPr>
          <w:p w14:paraId="0A83B93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A648EF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пулемета 7,62 мм</w:t>
            </w:r>
          </w:p>
        </w:tc>
      </w:tr>
      <w:tr w:rsidR="00983732" w:rsidRPr="00A3026E" w14:paraId="661F92FA" w14:textId="77777777" w:rsidTr="00EA0DA7">
        <w:tc>
          <w:tcPr>
            <w:tcW w:w="5636" w:type="dxa"/>
            <w:tcBorders>
              <w:bottom w:val="single" w:sz="12" w:space="0" w:color="auto"/>
            </w:tcBorders>
          </w:tcPr>
          <w:p w14:paraId="16C6C0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61DFE9F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1000/2000</w:t>
            </w:r>
          </w:p>
        </w:tc>
      </w:tr>
    </w:tbl>
    <w:p w14:paraId="6456706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6322718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 2АМ-37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4D224AAE" w14:textId="77777777" w:rsidTr="00EA0DA7">
        <w:tc>
          <w:tcPr>
            <w:tcW w:w="5636" w:type="dxa"/>
            <w:tcBorders>
              <w:top w:val="single" w:sz="12" w:space="0" w:color="auto"/>
            </w:tcBorders>
          </w:tcPr>
          <w:p w14:paraId="3B6B74D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246EE3B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1400/6000</w:t>
            </w:r>
          </w:p>
        </w:tc>
      </w:tr>
      <w:tr w:rsidR="00983732" w:rsidRPr="00A3026E" w14:paraId="2841A7F9" w14:textId="77777777" w:rsidTr="00EA0DA7">
        <w:tc>
          <w:tcPr>
            <w:tcW w:w="5636" w:type="dxa"/>
          </w:tcPr>
          <w:p w14:paraId="3797CA5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5539DF8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10448/11498</w:t>
            </w:r>
          </w:p>
        </w:tc>
      </w:tr>
      <w:tr w:rsidR="00983732" w:rsidRPr="00A3026E" w14:paraId="079FB8F0" w14:textId="77777777" w:rsidTr="00EA0DA7">
        <w:tc>
          <w:tcPr>
            <w:tcW w:w="5636" w:type="dxa"/>
          </w:tcPr>
          <w:p w14:paraId="79D5B21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161D931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ADF6657" w14:textId="77777777" w:rsidTr="00EA0DA7">
        <w:tc>
          <w:tcPr>
            <w:tcW w:w="5636" w:type="dxa"/>
          </w:tcPr>
          <w:p w14:paraId="158686C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64ED9E5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469</w:t>
            </w:r>
          </w:p>
        </w:tc>
      </w:tr>
      <w:tr w:rsidR="00983732" w:rsidRPr="00A3026E" w14:paraId="1A5C243F" w14:textId="77777777" w:rsidTr="00EA0DA7">
        <w:tc>
          <w:tcPr>
            <w:tcW w:w="5636" w:type="dxa"/>
          </w:tcPr>
          <w:p w14:paraId="3765D4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5885A6C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610/7800</w:t>
            </w:r>
          </w:p>
        </w:tc>
      </w:tr>
      <w:tr w:rsidR="00983732" w:rsidRPr="00A3026E" w14:paraId="34F1C038" w14:textId="77777777" w:rsidTr="00EA0DA7">
        <w:tc>
          <w:tcPr>
            <w:tcW w:w="5636" w:type="dxa"/>
          </w:tcPr>
          <w:p w14:paraId="5BE733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4FA9821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3941EC5F" w14:textId="77777777" w:rsidTr="00EA0DA7">
        <w:tc>
          <w:tcPr>
            <w:tcW w:w="5636" w:type="dxa"/>
          </w:tcPr>
          <w:p w14:paraId="3967FFD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65CE5FE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w:t>
            </w:r>
          </w:p>
        </w:tc>
      </w:tr>
      <w:tr w:rsidR="00983732" w:rsidRPr="00A3026E" w14:paraId="4D088A75" w14:textId="77777777" w:rsidTr="00EA0DA7">
        <w:tc>
          <w:tcPr>
            <w:tcW w:w="5636" w:type="dxa"/>
          </w:tcPr>
          <w:p w14:paraId="3115CE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2CB23E3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E3C0788" w14:textId="77777777" w:rsidTr="00EA0DA7">
        <w:tc>
          <w:tcPr>
            <w:tcW w:w="5636" w:type="dxa"/>
          </w:tcPr>
          <w:p w14:paraId="5BB48E3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38C1649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15,5/8000</w:t>
            </w:r>
          </w:p>
        </w:tc>
      </w:tr>
      <w:tr w:rsidR="00983732" w:rsidRPr="00A3026E" w14:paraId="75359A1F" w14:textId="77777777" w:rsidTr="00EA0DA7">
        <w:tc>
          <w:tcPr>
            <w:tcW w:w="5636" w:type="dxa"/>
          </w:tcPr>
          <w:p w14:paraId="0FF9EC1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01E2CF4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10500</w:t>
            </w:r>
          </w:p>
        </w:tc>
      </w:tr>
      <w:tr w:rsidR="00983732" w:rsidRPr="00A3026E" w14:paraId="282D3561" w14:textId="77777777" w:rsidTr="00EA0DA7">
        <w:tc>
          <w:tcPr>
            <w:tcW w:w="5636" w:type="dxa"/>
          </w:tcPr>
          <w:p w14:paraId="2466893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0CAB71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870303B" w14:textId="77777777" w:rsidTr="00EA0DA7">
        <w:tc>
          <w:tcPr>
            <w:tcW w:w="5636" w:type="dxa"/>
          </w:tcPr>
          <w:p w14:paraId="69659ED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7A8B2D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0DBA9F6" w14:textId="77777777" w:rsidTr="00EA0DA7">
        <w:tc>
          <w:tcPr>
            <w:tcW w:w="5636" w:type="dxa"/>
          </w:tcPr>
          <w:p w14:paraId="12F721E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2DDB4B1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1898/расч.</w:t>
            </w:r>
          </w:p>
        </w:tc>
      </w:tr>
      <w:tr w:rsidR="00983732" w:rsidRPr="00A3026E" w14:paraId="0F5B4210" w14:textId="77777777" w:rsidTr="00EA0DA7">
        <w:tc>
          <w:tcPr>
            <w:tcW w:w="5636" w:type="dxa"/>
          </w:tcPr>
          <w:p w14:paraId="1614139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1B405DC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435/19</w:t>
            </w:r>
          </w:p>
        </w:tc>
      </w:tr>
      <w:tr w:rsidR="00983732" w:rsidRPr="00A3026E" w14:paraId="2DC6EFD5" w14:textId="77777777" w:rsidTr="00EA0DA7">
        <w:tc>
          <w:tcPr>
            <w:tcW w:w="5636" w:type="dxa"/>
          </w:tcPr>
          <w:p w14:paraId="3B02295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5CF7E98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765/37</w:t>
            </w:r>
          </w:p>
        </w:tc>
      </w:tr>
      <w:tr w:rsidR="00983732" w:rsidRPr="00A3026E" w14:paraId="102EFF02" w14:textId="77777777" w:rsidTr="00EA0DA7">
        <w:tc>
          <w:tcPr>
            <w:tcW w:w="5636" w:type="dxa"/>
          </w:tcPr>
          <w:p w14:paraId="43EB87A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3DC02A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0093EAC" w14:textId="77777777" w:rsidTr="00EA0DA7">
        <w:tc>
          <w:tcPr>
            <w:tcW w:w="5636" w:type="dxa"/>
          </w:tcPr>
          <w:p w14:paraId="75F9B7E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08102FD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пушки 20 мм</w:t>
            </w:r>
          </w:p>
        </w:tc>
      </w:tr>
      <w:tr w:rsidR="00983732" w:rsidRPr="00A3026E" w14:paraId="1F88BE79" w14:textId="77777777" w:rsidTr="00EA0DA7">
        <w:tc>
          <w:tcPr>
            <w:tcW w:w="5636" w:type="dxa"/>
          </w:tcPr>
          <w:p w14:paraId="2DB643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44417DE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пулеметов 7,62 мм</w:t>
            </w:r>
          </w:p>
        </w:tc>
      </w:tr>
      <w:tr w:rsidR="00983732" w:rsidRPr="00A3026E" w14:paraId="12653761" w14:textId="77777777" w:rsidTr="00EA0DA7">
        <w:tc>
          <w:tcPr>
            <w:tcW w:w="5636" w:type="dxa"/>
            <w:tcBorders>
              <w:bottom w:val="single" w:sz="12" w:space="0" w:color="auto"/>
            </w:tcBorders>
          </w:tcPr>
          <w:p w14:paraId="5BFFE57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031331A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1000\2000</w:t>
            </w:r>
          </w:p>
        </w:tc>
      </w:tr>
    </w:tbl>
    <w:p w14:paraId="500A37F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310EFC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 АМ-38 (серийный завода № 18).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17DD2076" w14:textId="77777777" w:rsidTr="00EA0DA7">
        <w:tc>
          <w:tcPr>
            <w:tcW w:w="5636" w:type="dxa"/>
            <w:tcBorders>
              <w:top w:val="single" w:sz="12" w:space="0" w:color="auto"/>
            </w:tcBorders>
          </w:tcPr>
          <w:p w14:paraId="2BCB1C8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2A12373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1600/1750</w:t>
            </w:r>
          </w:p>
        </w:tc>
      </w:tr>
      <w:tr w:rsidR="00983732" w:rsidRPr="00A3026E" w14:paraId="3789AE9B" w14:textId="77777777" w:rsidTr="00EA0DA7">
        <w:tc>
          <w:tcPr>
            <w:tcW w:w="5636" w:type="dxa"/>
          </w:tcPr>
          <w:p w14:paraId="1932FC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540AA5D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5336/5536</w:t>
            </w:r>
          </w:p>
        </w:tc>
      </w:tr>
      <w:tr w:rsidR="00983732" w:rsidRPr="00A3026E" w14:paraId="3F8F1ADD" w14:textId="77777777" w:rsidTr="00EA0DA7">
        <w:tc>
          <w:tcPr>
            <w:tcW w:w="5636" w:type="dxa"/>
          </w:tcPr>
          <w:p w14:paraId="37FC47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64482A6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50693D1" w14:textId="77777777" w:rsidTr="00EA0DA7">
        <w:tc>
          <w:tcPr>
            <w:tcW w:w="5636" w:type="dxa"/>
          </w:tcPr>
          <w:p w14:paraId="700676A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430229B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423</w:t>
            </w:r>
          </w:p>
        </w:tc>
      </w:tr>
      <w:tr w:rsidR="00983732" w:rsidRPr="00A3026E" w14:paraId="48FDAA35" w14:textId="77777777" w:rsidTr="00EA0DA7">
        <w:tc>
          <w:tcPr>
            <w:tcW w:w="5636" w:type="dxa"/>
          </w:tcPr>
          <w:p w14:paraId="28617F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3F76BB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451/2500</w:t>
            </w:r>
          </w:p>
        </w:tc>
      </w:tr>
      <w:tr w:rsidR="00983732" w:rsidRPr="00A3026E" w14:paraId="706D2AF0" w14:textId="77777777" w:rsidTr="00EA0DA7">
        <w:tc>
          <w:tcPr>
            <w:tcW w:w="5636" w:type="dxa"/>
          </w:tcPr>
          <w:p w14:paraId="467796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74D6D31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451/2500</w:t>
            </w:r>
          </w:p>
        </w:tc>
      </w:tr>
      <w:tr w:rsidR="00983732" w:rsidRPr="00A3026E" w14:paraId="74956C32" w14:textId="77777777" w:rsidTr="00EA0DA7">
        <w:tc>
          <w:tcPr>
            <w:tcW w:w="5636" w:type="dxa"/>
          </w:tcPr>
          <w:p w14:paraId="271536B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73E007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 (пол. вес 4950 кг)</w:t>
            </w:r>
          </w:p>
        </w:tc>
      </w:tr>
      <w:tr w:rsidR="00983732" w:rsidRPr="00A3026E" w14:paraId="3CEEA8F9" w14:textId="77777777" w:rsidTr="00EA0DA7">
        <w:tc>
          <w:tcPr>
            <w:tcW w:w="5636" w:type="dxa"/>
          </w:tcPr>
          <w:p w14:paraId="23649D4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65F32C1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000F5B2" w14:textId="77777777" w:rsidTr="00EA0DA7">
        <w:tc>
          <w:tcPr>
            <w:tcW w:w="5636" w:type="dxa"/>
          </w:tcPr>
          <w:p w14:paraId="2AD52AA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4ED22C7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10,6/5000</w:t>
            </w:r>
          </w:p>
        </w:tc>
      </w:tr>
      <w:tr w:rsidR="00983732" w:rsidRPr="00A3026E" w14:paraId="389A6CB9" w14:textId="77777777" w:rsidTr="00EA0DA7">
        <w:tc>
          <w:tcPr>
            <w:tcW w:w="5636" w:type="dxa"/>
          </w:tcPr>
          <w:p w14:paraId="6FDEA26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4B09234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7500</w:t>
            </w:r>
          </w:p>
        </w:tc>
      </w:tr>
      <w:tr w:rsidR="00983732" w:rsidRPr="00A3026E" w14:paraId="4C85F5C8" w14:textId="77777777" w:rsidTr="00EA0DA7">
        <w:tc>
          <w:tcPr>
            <w:tcW w:w="5636" w:type="dxa"/>
          </w:tcPr>
          <w:p w14:paraId="1749D5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0692E5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1A62FFA" w14:textId="77777777" w:rsidTr="00EA0DA7">
        <w:tc>
          <w:tcPr>
            <w:tcW w:w="5636" w:type="dxa"/>
          </w:tcPr>
          <w:p w14:paraId="4A32E8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1E0D5C9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508/200</w:t>
            </w:r>
          </w:p>
        </w:tc>
      </w:tr>
      <w:tr w:rsidR="00983732" w:rsidRPr="00A3026E" w14:paraId="10E63ED9" w14:textId="77777777" w:rsidTr="00EA0DA7">
        <w:tc>
          <w:tcPr>
            <w:tcW w:w="5636" w:type="dxa"/>
          </w:tcPr>
          <w:p w14:paraId="5F8B4DD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E36A1B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553/2400</w:t>
            </w:r>
          </w:p>
        </w:tc>
      </w:tr>
      <w:tr w:rsidR="00983732" w:rsidRPr="00A3026E" w14:paraId="6F199FC0" w14:textId="77777777" w:rsidTr="00EA0DA7">
        <w:tc>
          <w:tcPr>
            <w:tcW w:w="5636" w:type="dxa"/>
          </w:tcPr>
          <w:p w14:paraId="6C05D72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371D037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A5E4D39" w14:textId="77777777" w:rsidTr="00EA0DA7">
        <w:tc>
          <w:tcPr>
            <w:tcW w:w="5636" w:type="dxa"/>
          </w:tcPr>
          <w:p w14:paraId="45126E3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6F1A98A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410/17</w:t>
            </w:r>
          </w:p>
        </w:tc>
      </w:tr>
      <w:tr w:rsidR="00983732" w:rsidRPr="00A3026E" w14:paraId="692323D0" w14:textId="77777777" w:rsidTr="00EA0DA7">
        <w:tc>
          <w:tcPr>
            <w:tcW w:w="5636" w:type="dxa"/>
          </w:tcPr>
          <w:p w14:paraId="3EC583E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3A62535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360/18</w:t>
            </w:r>
          </w:p>
        </w:tc>
      </w:tr>
      <w:tr w:rsidR="00983732" w:rsidRPr="00A3026E" w14:paraId="58742FB6" w14:textId="77777777" w:rsidTr="00EA0DA7">
        <w:tc>
          <w:tcPr>
            <w:tcW w:w="5636" w:type="dxa"/>
          </w:tcPr>
          <w:p w14:paraId="0421D7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2147BEE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29051F6" w14:textId="77777777" w:rsidTr="00EA0DA7">
        <w:tc>
          <w:tcPr>
            <w:tcW w:w="5636" w:type="dxa"/>
          </w:tcPr>
          <w:p w14:paraId="7C5739F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3958E6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ШВАК (420 сн.)</w:t>
            </w:r>
          </w:p>
        </w:tc>
      </w:tr>
      <w:tr w:rsidR="00983732" w:rsidRPr="00A3026E" w14:paraId="70949F06" w14:textId="77777777" w:rsidTr="00EA0DA7">
        <w:tc>
          <w:tcPr>
            <w:tcW w:w="5636" w:type="dxa"/>
          </w:tcPr>
          <w:p w14:paraId="15A5157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934906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 (1500 п.)</w:t>
            </w:r>
          </w:p>
        </w:tc>
      </w:tr>
      <w:tr w:rsidR="00983732" w:rsidRPr="00A3026E" w14:paraId="082CC960" w14:textId="77777777" w:rsidTr="00EA0DA7">
        <w:tc>
          <w:tcPr>
            <w:tcW w:w="5636" w:type="dxa"/>
            <w:tcBorders>
              <w:bottom w:val="single" w:sz="12" w:space="0" w:color="auto"/>
            </w:tcBorders>
          </w:tcPr>
          <w:p w14:paraId="10A5A0B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3D12755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400/600</w:t>
            </w:r>
          </w:p>
        </w:tc>
      </w:tr>
    </w:tbl>
    <w:p w14:paraId="39362CE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6E64BF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Су-2-88Б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31C99564" w14:textId="77777777" w:rsidTr="00EA0DA7">
        <w:tc>
          <w:tcPr>
            <w:tcW w:w="5636" w:type="dxa"/>
            <w:tcBorders>
              <w:top w:val="single" w:sz="12" w:space="0" w:color="auto"/>
            </w:tcBorders>
          </w:tcPr>
          <w:p w14:paraId="2A0442F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008963E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1000/6000</w:t>
            </w:r>
          </w:p>
        </w:tc>
      </w:tr>
      <w:tr w:rsidR="00983732" w:rsidRPr="00A3026E" w14:paraId="797F554F" w14:textId="77777777" w:rsidTr="00EA0DA7">
        <w:tc>
          <w:tcPr>
            <w:tcW w:w="5636" w:type="dxa"/>
          </w:tcPr>
          <w:p w14:paraId="1D74F15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5002" w:type="dxa"/>
          </w:tcPr>
          <w:p w14:paraId="2A5AD3E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4310/4520</w:t>
            </w:r>
          </w:p>
        </w:tc>
      </w:tr>
      <w:tr w:rsidR="00983732" w:rsidRPr="00A3026E" w14:paraId="5CAC8C30" w14:textId="77777777" w:rsidTr="00EA0DA7">
        <w:tc>
          <w:tcPr>
            <w:tcW w:w="5636" w:type="dxa"/>
          </w:tcPr>
          <w:p w14:paraId="24F8B5D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7464DE2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102159F" w14:textId="77777777" w:rsidTr="00EA0DA7">
        <w:tc>
          <w:tcPr>
            <w:tcW w:w="5636" w:type="dxa"/>
          </w:tcPr>
          <w:p w14:paraId="628AE2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051F68B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w:t>
            </w:r>
          </w:p>
        </w:tc>
      </w:tr>
      <w:tr w:rsidR="00983732" w:rsidRPr="00A3026E" w14:paraId="397D7BB9" w14:textId="77777777" w:rsidTr="00EA0DA7">
        <w:tc>
          <w:tcPr>
            <w:tcW w:w="5636" w:type="dxa"/>
          </w:tcPr>
          <w:p w14:paraId="68042B0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02F2D90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512/7100</w:t>
            </w:r>
          </w:p>
        </w:tc>
      </w:tr>
      <w:tr w:rsidR="00983732" w:rsidRPr="00A3026E" w14:paraId="07722551" w14:textId="77777777" w:rsidTr="00EA0DA7">
        <w:tc>
          <w:tcPr>
            <w:tcW w:w="5636" w:type="dxa"/>
          </w:tcPr>
          <w:p w14:paraId="1E00444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 полностью залитыми баками/на высоте</w:t>
            </w:r>
          </w:p>
        </w:tc>
        <w:tc>
          <w:tcPr>
            <w:tcW w:w="5002" w:type="dxa"/>
          </w:tcPr>
          <w:p w14:paraId="0B48EB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512/7100</w:t>
            </w:r>
          </w:p>
        </w:tc>
      </w:tr>
      <w:tr w:rsidR="00983732" w:rsidRPr="00A3026E" w14:paraId="33200797" w14:textId="77777777" w:rsidTr="00EA0DA7">
        <w:tc>
          <w:tcPr>
            <w:tcW w:w="5636" w:type="dxa"/>
          </w:tcPr>
          <w:p w14:paraId="410E485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5BFA79D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136 (пол. вес 3600 кг)</w:t>
            </w:r>
          </w:p>
        </w:tc>
      </w:tr>
      <w:tr w:rsidR="00983732" w:rsidRPr="00A3026E" w14:paraId="4CC9BB60" w14:textId="77777777" w:rsidTr="00EA0DA7">
        <w:tc>
          <w:tcPr>
            <w:tcW w:w="5636" w:type="dxa"/>
          </w:tcPr>
          <w:p w14:paraId="6ECFFC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виража/на высоте</w:t>
            </w:r>
          </w:p>
        </w:tc>
        <w:tc>
          <w:tcPr>
            <w:tcW w:w="5002" w:type="dxa"/>
          </w:tcPr>
          <w:p w14:paraId="3C0FFF8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21/1000</w:t>
            </w:r>
          </w:p>
        </w:tc>
      </w:tr>
      <w:tr w:rsidR="00983732" w:rsidRPr="00A3026E" w14:paraId="727997C3" w14:textId="77777777" w:rsidTr="00EA0DA7">
        <w:tc>
          <w:tcPr>
            <w:tcW w:w="5636" w:type="dxa"/>
          </w:tcPr>
          <w:p w14:paraId="72261E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высоту</w:t>
            </w:r>
          </w:p>
        </w:tc>
        <w:tc>
          <w:tcPr>
            <w:tcW w:w="5002" w:type="dxa"/>
          </w:tcPr>
          <w:p w14:paraId="3B70D3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11,3/5000</w:t>
            </w:r>
          </w:p>
        </w:tc>
      </w:tr>
      <w:tr w:rsidR="00983732" w:rsidRPr="00A3026E" w14:paraId="459924BD" w14:textId="77777777" w:rsidTr="00EA0DA7">
        <w:tc>
          <w:tcPr>
            <w:tcW w:w="5636" w:type="dxa"/>
          </w:tcPr>
          <w:p w14:paraId="3DC01A9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5002" w:type="dxa"/>
          </w:tcPr>
          <w:p w14:paraId="0DC7D09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9120</w:t>
            </w:r>
          </w:p>
        </w:tc>
      </w:tr>
      <w:tr w:rsidR="00983732" w:rsidRPr="00A3026E" w14:paraId="296302CA" w14:textId="77777777" w:rsidTr="00EA0DA7">
        <w:tc>
          <w:tcPr>
            <w:tcW w:w="5636" w:type="dxa"/>
          </w:tcPr>
          <w:p w14:paraId="1F234D3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Vmax/на высоте:</w:t>
            </w:r>
          </w:p>
        </w:tc>
        <w:tc>
          <w:tcPr>
            <w:tcW w:w="5002" w:type="dxa"/>
          </w:tcPr>
          <w:p w14:paraId="2856EA3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F451999" w14:textId="77777777" w:rsidTr="00EA0DA7">
        <w:tc>
          <w:tcPr>
            <w:tcW w:w="5636" w:type="dxa"/>
          </w:tcPr>
          <w:p w14:paraId="566EC09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нормальным запасом горючего</w:t>
            </w:r>
          </w:p>
        </w:tc>
        <w:tc>
          <w:tcPr>
            <w:tcW w:w="5002" w:type="dxa"/>
          </w:tcPr>
          <w:p w14:paraId="71DE7BE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850/670</w:t>
            </w:r>
          </w:p>
        </w:tc>
      </w:tr>
      <w:tr w:rsidR="00983732" w:rsidRPr="00A3026E" w14:paraId="5BD5CE6D" w14:textId="77777777" w:rsidTr="00EA0DA7">
        <w:tc>
          <w:tcPr>
            <w:tcW w:w="5636" w:type="dxa"/>
          </w:tcPr>
          <w:p w14:paraId="18F3EF0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124CCE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815/630</w:t>
            </w:r>
          </w:p>
        </w:tc>
      </w:tr>
      <w:tr w:rsidR="00983732" w:rsidRPr="00A3026E" w14:paraId="7417FD27" w14:textId="77777777" w:rsidTr="00EA0DA7">
        <w:tc>
          <w:tcPr>
            <w:tcW w:w="5636" w:type="dxa"/>
          </w:tcPr>
          <w:p w14:paraId="345D05E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полностью залитыми баками</w:t>
            </w:r>
          </w:p>
        </w:tc>
        <w:tc>
          <w:tcPr>
            <w:tcW w:w="5002" w:type="dxa"/>
          </w:tcPr>
          <w:p w14:paraId="6FB7AA9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6A4718E4" w14:textId="77777777" w:rsidTr="00EA0DA7">
        <w:tc>
          <w:tcPr>
            <w:tcW w:w="5636" w:type="dxa"/>
          </w:tcPr>
          <w:p w14:paraId="5757B81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разбега/время разбега</w:t>
            </w:r>
          </w:p>
        </w:tc>
        <w:tc>
          <w:tcPr>
            <w:tcW w:w="5002" w:type="dxa"/>
          </w:tcPr>
          <w:p w14:paraId="5B3DBB4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474/18</w:t>
            </w:r>
          </w:p>
        </w:tc>
      </w:tr>
      <w:tr w:rsidR="00983732" w:rsidRPr="00A3026E" w14:paraId="2E462CED" w14:textId="77777777" w:rsidTr="00EA0DA7">
        <w:tc>
          <w:tcPr>
            <w:tcW w:w="5636" w:type="dxa"/>
          </w:tcPr>
          <w:p w14:paraId="4492CB3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пробега/время пробега</w:t>
            </w:r>
          </w:p>
        </w:tc>
        <w:tc>
          <w:tcPr>
            <w:tcW w:w="5002" w:type="dxa"/>
          </w:tcPr>
          <w:p w14:paraId="4E8A64B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425/22,5</w:t>
            </w:r>
          </w:p>
        </w:tc>
      </w:tr>
      <w:tr w:rsidR="00983732" w:rsidRPr="00A3026E" w14:paraId="207AE72A" w14:textId="77777777" w:rsidTr="00EA0DA7">
        <w:tc>
          <w:tcPr>
            <w:tcW w:w="5636" w:type="dxa"/>
          </w:tcPr>
          <w:p w14:paraId="55364A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1ECC58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05CD8C0" w14:textId="77777777" w:rsidTr="00EA0DA7">
        <w:tc>
          <w:tcPr>
            <w:tcW w:w="5636" w:type="dxa"/>
          </w:tcPr>
          <w:p w14:paraId="260302E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Стрелково-артиллерийское</w:t>
            </w:r>
          </w:p>
        </w:tc>
        <w:tc>
          <w:tcPr>
            <w:tcW w:w="5002" w:type="dxa"/>
          </w:tcPr>
          <w:p w14:paraId="5C93778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ШКАС (2600 патр.)</w:t>
            </w:r>
          </w:p>
        </w:tc>
      </w:tr>
      <w:tr w:rsidR="00983732" w:rsidRPr="00A3026E" w14:paraId="51B4389D" w14:textId="77777777" w:rsidTr="00EA0DA7">
        <w:tc>
          <w:tcPr>
            <w:tcW w:w="5636" w:type="dxa"/>
            <w:tcBorders>
              <w:bottom w:val="single" w:sz="12" w:space="0" w:color="auto"/>
            </w:tcBorders>
          </w:tcPr>
          <w:p w14:paraId="24F3F06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3D5A712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400/600</w:t>
            </w:r>
          </w:p>
        </w:tc>
      </w:tr>
    </w:tbl>
    <w:p w14:paraId="09ECCF8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5CE153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для справок по серийным и опытным самолетам</w:t>
      </w:r>
    </w:p>
    <w:p w14:paraId="4B5FFFB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Представлены для справок зам. начальника ГУ ВВС генерал-лейтенанту авиации Гусеву 15 октября 1940 г. за № 3/00152.</w:t>
      </w:r>
    </w:p>
    <w:p w14:paraId="3CE2753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модификаций самолета И-16 по годам и типам</w:t>
      </w:r>
    </w:p>
    <w:p w14:paraId="56B76F0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ЦКБ-12 1934 г. опытный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13E67690" w14:textId="77777777" w:rsidTr="00EA0DA7">
        <w:tc>
          <w:tcPr>
            <w:tcW w:w="5636" w:type="dxa"/>
            <w:tcBorders>
              <w:top w:val="single" w:sz="12" w:space="0" w:color="auto"/>
            </w:tcBorders>
          </w:tcPr>
          <w:p w14:paraId="562A8A2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3901C4C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М-22</w:t>
            </w:r>
          </w:p>
        </w:tc>
      </w:tr>
      <w:tr w:rsidR="00983732" w:rsidRPr="00A3026E" w14:paraId="45CABE91" w14:textId="77777777" w:rsidTr="00EA0DA7">
        <w:tc>
          <w:tcPr>
            <w:tcW w:w="5636" w:type="dxa"/>
          </w:tcPr>
          <w:p w14:paraId="0B5F20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5B64D1A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 Д-2,8</w:t>
            </w:r>
          </w:p>
        </w:tc>
      </w:tr>
      <w:tr w:rsidR="00983732" w:rsidRPr="00A3026E" w14:paraId="4FEEF1EF" w14:textId="77777777" w:rsidTr="00EA0DA7">
        <w:tc>
          <w:tcPr>
            <w:tcW w:w="5636" w:type="dxa"/>
          </w:tcPr>
          <w:p w14:paraId="0DFD998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54F82D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1345</w:t>
            </w:r>
          </w:p>
        </w:tc>
      </w:tr>
      <w:tr w:rsidR="00983732" w:rsidRPr="00A3026E" w14:paraId="6B238B6C" w14:textId="77777777" w:rsidTr="00EA0DA7">
        <w:tc>
          <w:tcPr>
            <w:tcW w:w="5636" w:type="dxa"/>
          </w:tcPr>
          <w:p w14:paraId="1CC44D8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31DFA0A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C14A612" w14:textId="77777777" w:rsidTr="00EA0DA7">
        <w:tc>
          <w:tcPr>
            <w:tcW w:w="5636" w:type="dxa"/>
          </w:tcPr>
          <w:p w14:paraId="4DA89D2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58A0CE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359</w:t>
            </w:r>
          </w:p>
        </w:tc>
      </w:tr>
      <w:tr w:rsidR="00983732" w:rsidRPr="00A3026E" w14:paraId="4E79534E" w14:textId="77777777" w:rsidTr="00EA0DA7">
        <w:tc>
          <w:tcPr>
            <w:tcW w:w="5636" w:type="dxa"/>
          </w:tcPr>
          <w:p w14:paraId="2F33C4F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701771E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359</w:t>
            </w:r>
          </w:p>
        </w:tc>
      </w:tr>
      <w:tr w:rsidR="00983732" w:rsidRPr="00A3026E" w14:paraId="3FB20774" w14:textId="77777777" w:rsidTr="00EA0DA7">
        <w:tc>
          <w:tcPr>
            <w:tcW w:w="5636" w:type="dxa"/>
          </w:tcPr>
          <w:p w14:paraId="1F7DAD9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3378E3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w:t>
            </w:r>
          </w:p>
        </w:tc>
      </w:tr>
      <w:tr w:rsidR="00983732" w:rsidRPr="00A3026E" w14:paraId="193F7C29" w14:textId="77777777" w:rsidTr="00EA0DA7">
        <w:tc>
          <w:tcPr>
            <w:tcW w:w="5636" w:type="dxa"/>
          </w:tcPr>
          <w:p w14:paraId="2BD4CFB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1E32AD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12-14</w:t>
            </w:r>
          </w:p>
        </w:tc>
      </w:tr>
      <w:tr w:rsidR="00983732" w:rsidRPr="00A3026E" w14:paraId="43CF136E" w14:textId="77777777" w:rsidTr="00EA0DA7">
        <w:tc>
          <w:tcPr>
            <w:tcW w:w="5636" w:type="dxa"/>
          </w:tcPr>
          <w:p w14:paraId="338ADE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717C2C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w:t>
            </w:r>
          </w:p>
        </w:tc>
      </w:tr>
      <w:tr w:rsidR="00983732" w:rsidRPr="00A3026E" w14:paraId="29BE20AB" w14:textId="77777777" w:rsidTr="00EA0DA7">
        <w:tc>
          <w:tcPr>
            <w:tcW w:w="5636" w:type="dxa"/>
          </w:tcPr>
          <w:p w14:paraId="7A2938E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1A78DCD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7180</w:t>
            </w:r>
          </w:p>
        </w:tc>
      </w:tr>
      <w:tr w:rsidR="00983732" w:rsidRPr="00A3026E" w14:paraId="7058D422" w14:textId="77777777" w:rsidTr="00EA0DA7">
        <w:tc>
          <w:tcPr>
            <w:tcW w:w="5636" w:type="dxa"/>
          </w:tcPr>
          <w:p w14:paraId="7DF808C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2F7681A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w:t>
            </w:r>
          </w:p>
        </w:tc>
      </w:tr>
      <w:tr w:rsidR="00983732" w:rsidRPr="00A3026E" w14:paraId="0A231C61" w14:textId="77777777" w:rsidTr="00EA0DA7">
        <w:tc>
          <w:tcPr>
            <w:tcW w:w="5636" w:type="dxa"/>
          </w:tcPr>
          <w:p w14:paraId="1ACF0ED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14793CE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7D7BD896" w14:textId="77777777" w:rsidTr="00EA0DA7">
        <w:tc>
          <w:tcPr>
            <w:tcW w:w="5636" w:type="dxa"/>
          </w:tcPr>
          <w:p w14:paraId="0004654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43ADCC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прототип</w:t>
            </w:r>
          </w:p>
        </w:tc>
      </w:tr>
      <w:tr w:rsidR="00983732" w:rsidRPr="00A3026E" w14:paraId="703EAA5E" w14:textId="77777777" w:rsidTr="00EA0DA7">
        <w:tc>
          <w:tcPr>
            <w:tcW w:w="5636" w:type="dxa"/>
          </w:tcPr>
          <w:p w14:paraId="1330E3B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Pr>
          <w:p w14:paraId="559C824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Ненадежна обшивка крыла.</w:t>
            </w:r>
          </w:p>
        </w:tc>
      </w:tr>
      <w:tr w:rsidR="00983732" w:rsidRPr="00A3026E" w14:paraId="31A2CDBF" w14:textId="77777777" w:rsidTr="00EA0DA7">
        <w:tc>
          <w:tcPr>
            <w:tcW w:w="5636" w:type="dxa"/>
          </w:tcPr>
          <w:p w14:paraId="2F1ACA6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1D41E7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Непрочные капоты.</w:t>
            </w:r>
          </w:p>
        </w:tc>
      </w:tr>
      <w:tr w:rsidR="00983732" w:rsidRPr="00A3026E" w14:paraId="0398931A" w14:textId="77777777" w:rsidTr="00EA0DA7">
        <w:tc>
          <w:tcPr>
            <w:tcW w:w="5636" w:type="dxa"/>
          </w:tcPr>
          <w:p w14:paraId="4DBBE9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CFAFBB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Негодные шасси.</w:t>
            </w:r>
          </w:p>
        </w:tc>
      </w:tr>
      <w:tr w:rsidR="00983732" w:rsidRPr="00A3026E" w14:paraId="69537B8D" w14:textId="77777777" w:rsidTr="00EA0DA7">
        <w:tc>
          <w:tcPr>
            <w:tcW w:w="5636" w:type="dxa"/>
            <w:tcBorders>
              <w:bottom w:val="single" w:sz="12" w:space="0" w:color="auto"/>
            </w:tcBorders>
          </w:tcPr>
          <w:p w14:paraId="0F4FEF3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0898CF4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Недоведено вооружение и спецоборуд.</w:t>
            </w:r>
          </w:p>
        </w:tc>
      </w:tr>
    </w:tbl>
    <w:p w14:paraId="42B7BDF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1E00971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ЦКБ-12бис 1934 г. опытный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2AD25DEA" w14:textId="77777777" w:rsidTr="00EA0DA7">
        <w:tc>
          <w:tcPr>
            <w:tcW w:w="5636" w:type="dxa"/>
            <w:tcBorders>
              <w:top w:val="single" w:sz="12" w:space="0" w:color="auto"/>
            </w:tcBorders>
          </w:tcPr>
          <w:p w14:paraId="17B0EA5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791B63D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Р.Ц. F-3</w:t>
            </w:r>
          </w:p>
        </w:tc>
      </w:tr>
      <w:tr w:rsidR="00983732" w:rsidRPr="00A3026E" w14:paraId="050C2829" w14:textId="77777777" w:rsidTr="00EA0DA7">
        <w:tc>
          <w:tcPr>
            <w:tcW w:w="5636" w:type="dxa"/>
          </w:tcPr>
          <w:p w14:paraId="6369AB0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67D22CC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 Д-2,8</w:t>
            </w:r>
          </w:p>
        </w:tc>
      </w:tr>
      <w:tr w:rsidR="00983732" w:rsidRPr="00A3026E" w14:paraId="7DA5F9F0" w14:textId="77777777" w:rsidTr="00EA0DA7">
        <w:tc>
          <w:tcPr>
            <w:tcW w:w="5636" w:type="dxa"/>
          </w:tcPr>
          <w:p w14:paraId="3E6D4EE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02792C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1430</w:t>
            </w:r>
          </w:p>
        </w:tc>
      </w:tr>
      <w:tr w:rsidR="00983732" w:rsidRPr="00A3026E" w14:paraId="3955840D" w14:textId="77777777" w:rsidTr="00EA0DA7">
        <w:tc>
          <w:tcPr>
            <w:tcW w:w="5636" w:type="dxa"/>
          </w:tcPr>
          <w:p w14:paraId="6372563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3462474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280A78F" w14:textId="77777777" w:rsidTr="00EA0DA7">
        <w:tc>
          <w:tcPr>
            <w:tcW w:w="5636" w:type="dxa"/>
          </w:tcPr>
          <w:p w14:paraId="20B7B9F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436631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362</w:t>
            </w:r>
          </w:p>
        </w:tc>
      </w:tr>
      <w:tr w:rsidR="00983732" w:rsidRPr="00A3026E" w14:paraId="279BFA8D" w14:textId="77777777" w:rsidTr="00EA0DA7">
        <w:tc>
          <w:tcPr>
            <w:tcW w:w="5636" w:type="dxa"/>
          </w:tcPr>
          <w:p w14:paraId="5CA8EC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57886BC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437</w:t>
            </w:r>
          </w:p>
        </w:tc>
      </w:tr>
      <w:tr w:rsidR="00983732" w:rsidRPr="00A3026E" w14:paraId="0E3560C8" w14:textId="77777777" w:rsidTr="00EA0DA7">
        <w:tc>
          <w:tcPr>
            <w:tcW w:w="5636" w:type="dxa"/>
          </w:tcPr>
          <w:p w14:paraId="25E7C8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480BF7F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3941643F" w14:textId="77777777" w:rsidTr="00EA0DA7">
        <w:tc>
          <w:tcPr>
            <w:tcW w:w="5636" w:type="dxa"/>
          </w:tcPr>
          <w:p w14:paraId="30CE91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7FA35D5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r>
      <w:tr w:rsidR="00983732" w:rsidRPr="00A3026E" w14:paraId="0F5C2B37" w14:textId="77777777" w:rsidTr="00EA0DA7">
        <w:tc>
          <w:tcPr>
            <w:tcW w:w="5636" w:type="dxa"/>
          </w:tcPr>
          <w:p w14:paraId="1CAF85D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14AEC22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w:t>
            </w:r>
          </w:p>
        </w:tc>
      </w:tr>
      <w:tr w:rsidR="00983732" w:rsidRPr="00A3026E" w14:paraId="1C4FBA44" w14:textId="77777777" w:rsidTr="00EA0DA7">
        <w:tc>
          <w:tcPr>
            <w:tcW w:w="5636" w:type="dxa"/>
          </w:tcPr>
          <w:p w14:paraId="5DF2A1E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403A6C0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7180</w:t>
            </w:r>
          </w:p>
        </w:tc>
      </w:tr>
      <w:tr w:rsidR="00983732" w:rsidRPr="00A3026E" w14:paraId="429A8286" w14:textId="77777777" w:rsidTr="00EA0DA7">
        <w:tc>
          <w:tcPr>
            <w:tcW w:w="5636" w:type="dxa"/>
          </w:tcPr>
          <w:p w14:paraId="39A9752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34FF563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540/2900</w:t>
            </w:r>
          </w:p>
        </w:tc>
      </w:tr>
      <w:tr w:rsidR="00983732" w:rsidRPr="00A3026E" w14:paraId="3DB47CE7" w14:textId="77777777" w:rsidTr="00EA0DA7">
        <w:tc>
          <w:tcPr>
            <w:tcW w:w="5636" w:type="dxa"/>
          </w:tcPr>
          <w:p w14:paraId="3C8E17A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322E851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003E5630" w14:textId="77777777" w:rsidTr="00EA0DA7">
        <w:tc>
          <w:tcPr>
            <w:tcW w:w="5636" w:type="dxa"/>
          </w:tcPr>
          <w:p w14:paraId="5028709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3A739C4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ЦКБ-12 М-22 отличается другой ВМГ, улучшенной конструкцией шасси, упрочненным крылом, тоннельным капотом.</w:t>
            </w:r>
          </w:p>
        </w:tc>
      </w:tr>
      <w:tr w:rsidR="00983732" w:rsidRPr="00A3026E" w14:paraId="3D398E05" w14:textId="77777777" w:rsidTr="00EA0DA7">
        <w:tc>
          <w:tcPr>
            <w:tcW w:w="5636" w:type="dxa"/>
          </w:tcPr>
          <w:p w14:paraId="727D2A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Pr>
          <w:p w14:paraId="46D38F9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Недоведено шасси.</w:t>
            </w:r>
          </w:p>
        </w:tc>
      </w:tr>
      <w:tr w:rsidR="00983732" w:rsidRPr="00A3026E" w14:paraId="72C5FC52" w14:textId="77777777" w:rsidTr="00EA0DA7">
        <w:tc>
          <w:tcPr>
            <w:tcW w:w="5636" w:type="dxa"/>
          </w:tcPr>
          <w:p w14:paraId="640A25B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454C2E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Непрочны капоты и выхлопные патрубки.</w:t>
            </w:r>
          </w:p>
        </w:tc>
      </w:tr>
      <w:tr w:rsidR="00983732" w:rsidRPr="00A3026E" w14:paraId="64DB90D9" w14:textId="77777777" w:rsidTr="00EA0DA7">
        <w:tc>
          <w:tcPr>
            <w:tcW w:w="5636" w:type="dxa"/>
          </w:tcPr>
          <w:p w14:paraId="306DBEE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D41EAD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Перегрев масла в полете.</w:t>
            </w:r>
          </w:p>
        </w:tc>
      </w:tr>
      <w:tr w:rsidR="00983732" w:rsidRPr="00A3026E" w14:paraId="14FAC51F" w14:textId="77777777" w:rsidTr="00EA0DA7">
        <w:tc>
          <w:tcPr>
            <w:tcW w:w="5636" w:type="dxa"/>
            <w:tcBorders>
              <w:bottom w:val="single" w:sz="12" w:space="0" w:color="auto"/>
            </w:tcBorders>
          </w:tcPr>
          <w:p w14:paraId="5650C52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73A8275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Недоведено вооружение и спецоборуд.</w:t>
            </w:r>
          </w:p>
        </w:tc>
      </w:tr>
    </w:tbl>
    <w:p w14:paraId="736901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1E795F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«4» 1935 г. серийный, завод № 21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337511D1" w14:textId="77777777" w:rsidTr="00EA0DA7">
        <w:tc>
          <w:tcPr>
            <w:tcW w:w="5636" w:type="dxa"/>
            <w:tcBorders>
              <w:top w:val="single" w:sz="12" w:space="0" w:color="auto"/>
            </w:tcBorders>
          </w:tcPr>
          <w:p w14:paraId="3158CC1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3699559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М-22</w:t>
            </w:r>
          </w:p>
        </w:tc>
      </w:tr>
      <w:tr w:rsidR="00983732" w:rsidRPr="00A3026E" w14:paraId="3EE42E26" w14:textId="77777777" w:rsidTr="00EA0DA7">
        <w:tc>
          <w:tcPr>
            <w:tcW w:w="5636" w:type="dxa"/>
          </w:tcPr>
          <w:p w14:paraId="2D394CD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0A461D7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 Д-2,8</w:t>
            </w:r>
          </w:p>
        </w:tc>
      </w:tr>
      <w:tr w:rsidR="00983732" w:rsidRPr="00A3026E" w14:paraId="7A578455" w14:textId="77777777" w:rsidTr="00EA0DA7">
        <w:tc>
          <w:tcPr>
            <w:tcW w:w="5636" w:type="dxa"/>
          </w:tcPr>
          <w:p w14:paraId="52CB473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5B76DF0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1354</w:t>
            </w:r>
          </w:p>
        </w:tc>
      </w:tr>
      <w:tr w:rsidR="00983732" w:rsidRPr="00A3026E" w14:paraId="3877FD94" w14:textId="77777777" w:rsidTr="00EA0DA7">
        <w:tc>
          <w:tcPr>
            <w:tcW w:w="5636" w:type="dxa"/>
          </w:tcPr>
          <w:p w14:paraId="0A7C9AD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694C8AD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4BB60F8" w14:textId="77777777" w:rsidTr="00EA0DA7">
        <w:tc>
          <w:tcPr>
            <w:tcW w:w="5636" w:type="dxa"/>
          </w:tcPr>
          <w:p w14:paraId="6E47E0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567F17A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362</w:t>
            </w:r>
          </w:p>
        </w:tc>
      </w:tr>
      <w:tr w:rsidR="00983732" w:rsidRPr="00A3026E" w14:paraId="29859A86" w14:textId="77777777" w:rsidTr="00EA0DA7">
        <w:tc>
          <w:tcPr>
            <w:tcW w:w="5636" w:type="dxa"/>
          </w:tcPr>
          <w:p w14:paraId="0383FB3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рассчетной высоте</w:t>
            </w:r>
          </w:p>
        </w:tc>
        <w:tc>
          <w:tcPr>
            <w:tcW w:w="5002" w:type="dxa"/>
          </w:tcPr>
          <w:p w14:paraId="794A114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362</w:t>
            </w:r>
          </w:p>
        </w:tc>
      </w:tr>
      <w:tr w:rsidR="00983732" w:rsidRPr="00A3026E" w14:paraId="0986C52C" w14:textId="77777777" w:rsidTr="00EA0DA7">
        <w:tc>
          <w:tcPr>
            <w:tcW w:w="5636" w:type="dxa"/>
          </w:tcPr>
          <w:p w14:paraId="0585D65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7A7C319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w:t>
            </w:r>
          </w:p>
        </w:tc>
      </w:tr>
      <w:tr w:rsidR="00983732" w:rsidRPr="00A3026E" w14:paraId="22875AC0" w14:textId="77777777" w:rsidTr="00EA0DA7">
        <w:tc>
          <w:tcPr>
            <w:tcW w:w="5636" w:type="dxa"/>
          </w:tcPr>
          <w:p w14:paraId="1246EAB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45A693F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12-14</w:t>
            </w:r>
          </w:p>
        </w:tc>
      </w:tr>
      <w:tr w:rsidR="00983732" w:rsidRPr="00A3026E" w14:paraId="5CF65E78" w14:textId="77777777" w:rsidTr="00EA0DA7">
        <w:tc>
          <w:tcPr>
            <w:tcW w:w="5636" w:type="dxa"/>
          </w:tcPr>
          <w:p w14:paraId="3DB1406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54019D2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w:t>
            </w:r>
          </w:p>
        </w:tc>
      </w:tr>
      <w:tr w:rsidR="00983732" w:rsidRPr="00A3026E" w14:paraId="3A978860" w14:textId="77777777" w:rsidTr="00EA0DA7">
        <w:tc>
          <w:tcPr>
            <w:tcW w:w="5636" w:type="dxa"/>
          </w:tcPr>
          <w:p w14:paraId="72930D1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0E6B04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7440</w:t>
            </w:r>
          </w:p>
        </w:tc>
      </w:tr>
      <w:tr w:rsidR="00983732" w:rsidRPr="00A3026E" w14:paraId="39648D18" w14:textId="77777777" w:rsidTr="00EA0DA7">
        <w:tc>
          <w:tcPr>
            <w:tcW w:w="5636" w:type="dxa"/>
          </w:tcPr>
          <w:p w14:paraId="62578C5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53B09C2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w:t>
            </w:r>
          </w:p>
        </w:tc>
      </w:tr>
      <w:tr w:rsidR="00983732" w:rsidRPr="00A3026E" w14:paraId="4704E5D4" w14:textId="77777777" w:rsidTr="00EA0DA7">
        <w:tc>
          <w:tcPr>
            <w:tcW w:w="5636" w:type="dxa"/>
          </w:tcPr>
          <w:p w14:paraId="6185994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5D55FE2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38D30738" w14:textId="77777777" w:rsidTr="00EA0DA7">
        <w:tc>
          <w:tcPr>
            <w:tcW w:w="5636" w:type="dxa"/>
          </w:tcPr>
          <w:p w14:paraId="21F1DBE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568EA1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Усилены крыло и капот. Установлено новое шасси завода № 21. Доведено вооружение.</w:t>
            </w:r>
          </w:p>
        </w:tc>
      </w:tr>
      <w:tr w:rsidR="00983732" w:rsidRPr="00A3026E" w14:paraId="49084AB0" w14:textId="77777777" w:rsidTr="00EA0DA7">
        <w:tc>
          <w:tcPr>
            <w:tcW w:w="5636" w:type="dxa"/>
          </w:tcPr>
          <w:p w14:paraId="12C8D38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Основные дефекты</w:t>
            </w:r>
          </w:p>
        </w:tc>
        <w:tc>
          <w:tcPr>
            <w:tcW w:w="5002" w:type="dxa"/>
          </w:tcPr>
          <w:p w14:paraId="3D678FE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Недоведено шасси и непрочны капоты.</w:t>
            </w:r>
          </w:p>
        </w:tc>
      </w:tr>
      <w:tr w:rsidR="00983732" w:rsidRPr="00A3026E" w14:paraId="690ECA9A" w14:textId="77777777" w:rsidTr="00EA0DA7">
        <w:tc>
          <w:tcPr>
            <w:tcW w:w="5636" w:type="dxa"/>
            <w:tcBorders>
              <w:bottom w:val="single" w:sz="12" w:space="0" w:color="auto"/>
            </w:tcBorders>
          </w:tcPr>
          <w:p w14:paraId="5E261D8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77468F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 рации.</w:t>
            </w:r>
          </w:p>
        </w:tc>
      </w:tr>
    </w:tbl>
    <w:p w14:paraId="777F732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6F7166A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1936 году испытаний на замер данных не производилось.</w:t>
      </w:r>
    </w:p>
    <w:p w14:paraId="6C7BD33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«5» 1937 г. серийный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31DBB418" w14:textId="77777777" w:rsidTr="00EA0DA7">
        <w:tc>
          <w:tcPr>
            <w:tcW w:w="5636" w:type="dxa"/>
            <w:tcBorders>
              <w:top w:val="single" w:sz="12" w:space="0" w:color="auto"/>
            </w:tcBorders>
          </w:tcPr>
          <w:p w14:paraId="6563720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331B1A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М-25А</w:t>
            </w:r>
          </w:p>
        </w:tc>
      </w:tr>
      <w:tr w:rsidR="00983732" w:rsidRPr="00A3026E" w14:paraId="44C6D4FE" w14:textId="77777777" w:rsidTr="00EA0DA7">
        <w:tc>
          <w:tcPr>
            <w:tcW w:w="5636" w:type="dxa"/>
          </w:tcPr>
          <w:p w14:paraId="5498D4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062140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 Д-2,8</w:t>
            </w:r>
          </w:p>
        </w:tc>
      </w:tr>
      <w:tr w:rsidR="00983732" w:rsidRPr="00A3026E" w14:paraId="363ACFD3" w14:textId="77777777" w:rsidTr="00EA0DA7">
        <w:tc>
          <w:tcPr>
            <w:tcW w:w="5636" w:type="dxa"/>
          </w:tcPr>
          <w:p w14:paraId="1AE5FF2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047922D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1589</w:t>
            </w:r>
          </w:p>
        </w:tc>
      </w:tr>
      <w:tr w:rsidR="00983732" w:rsidRPr="00A3026E" w14:paraId="067A059E" w14:textId="77777777" w:rsidTr="00EA0DA7">
        <w:tc>
          <w:tcPr>
            <w:tcW w:w="5636" w:type="dxa"/>
          </w:tcPr>
          <w:p w14:paraId="0943A83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0398582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F02C0C5" w14:textId="77777777" w:rsidTr="00EA0DA7">
        <w:tc>
          <w:tcPr>
            <w:tcW w:w="5636" w:type="dxa"/>
          </w:tcPr>
          <w:p w14:paraId="12363C2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45ADFE5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390</w:t>
            </w:r>
          </w:p>
        </w:tc>
      </w:tr>
      <w:tr w:rsidR="00983732" w:rsidRPr="00A3026E" w14:paraId="0B226F91" w14:textId="77777777" w:rsidTr="00EA0DA7">
        <w:tc>
          <w:tcPr>
            <w:tcW w:w="5636" w:type="dxa"/>
          </w:tcPr>
          <w:p w14:paraId="67AA20C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04B7682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445/2700</w:t>
            </w:r>
          </w:p>
        </w:tc>
      </w:tr>
      <w:tr w:rsidR="00983732" w:rsidRPr="00A3026E" w14:paraId="1CCC1C9B" w14:textId="77777777" w:rsidTr="00EA0DA7">
        <w:tc>
          <w:tcPr>
            <w:tcW w:w="5636" w:type="dxa"/>
          </w:tcPr>
          <w:p w14:paraId="431EBC4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0D29EF4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115-117</w:t>
            </w:r>
          </w:p>
        </w:tc>
      </w:tr>
      <w:tr w:rsidR="00983732" w:rsidRPr="00A3026E" w14:paraId="64386D31" w14:textId="77777777" w:rsidTr="00EA0DA7">
        <w:tc>
          <w:tcPr>
            <w:tcW w:w="5636" w:type="dxa"/>
          </w:tcPr>
          <w:p w14:paraId="5D721C2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7DB0018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14-15</w:t>
            </w:r>
          </w:p>
        </w:tc>
      </w:tr>
      <w:tr w:rsidR="00983732" w:rsidRPr="00A3026E" w14:paraId="359A36FC" w14:textId="77777777" w:rsidTr="00EA0DA7">
        <w:tc>
          <w:tcPr>
            <w:tcW w:w="5636" w:type="dxa"/>
          </w:tcPr>
          <w:p w14:paraId="63C1CB1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1C9906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w:t>
            </w:r>
          </w:p>
        </w:tc>
      </w:tr>
      <w:tr w:rsidR="00983732" w:rsidRPr="00A3026E" w14:paraId="1A729059" w14:textId="77777777" w:rsidTr="00EA0DA7">
        <w:tc>
          <w:tcPr>
            <w:tcW w:w="5636" w:type="dxa"/>
          </w:tcPr>
          <w:p w14:paraId="783C320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3857C6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9100</w:t>
            </w:r>
          </w:p>
        </w:tc>
      </w:tr>
      <w:tr w:rsidR="00983732" w:rsidRPr="00A3026E" w14:paraId="1263488F" w14:textId="77777777" w:rsidTr="00EA0DA7">
        <w:tc>
          <w:tcPr>
            <w:tcW w:w="5636" w:type="dxa"/>
          </w:tcPr>
          <w:p w14:paraId="3818730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1D02E04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540/2700</w:t>
            </w:r>
          </w:p>
        </w:tc>
      </w:tr>
      <w:tr w:rsidR="00983732" w:rsidRPr="00A3026E" w14:paraId="162B311D" w14:textId="77777777" w:rsidTr="00EA0DA7">
        <w:tc>
          <w:tcPr>
            <w:tcW w:w="5636" w:type="dxa"/>
          </w:tcPr>
          <w:p w14:paraId="05E348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7B736D0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0BA9D35F" w14:textId="77777777" w:rsidTr="00EA0DA7">
        <w:tc>
          <w:tcPr>
            <w:tcW w:w="5636" w:type="dxa"/>
          </w:tcPr>
          <w:p w14:paraId="1207F19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55CBEF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Новое шасси завода № 21. Новая ВМГ.</w:t>
            </w:r>
          </w:p>
        </w:tc>
      </w:tr>
      <w:tr w:rsidR="00983732" w:rsidRPr="00A3026E" w14:paraId="580DCA18" w14:textId="77777777" w:rsidTr="00EA0DA7">
        <w:tc>
          <w:tcPr>
            <w:tcW w:w="5636" w:type="dxa"/>
          </w:tcPr>
          <w:p w14:paraId="0D1E932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Pr>
          <w:p w14:paraId="6900A02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Недоведено шасси.</w:t>
            </w:r>
          </w:p>
        </w:tc>
      </w:tr>
      <w:tr w:rsidR="00983732" w:rsidRPr="00A3026E" w14:paraId="6A2634FF" w14:textId="77777777" w:rsidTr="00EA0DA7">
        <w:tc>
          <w:tcPr>
            <w:tcW w:w="5636" w:type="dxa"/>
          </w:tcPr>
          <w:p w14:paraId="240EDC3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92276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Непрочны капоты.</w:t>
            </w:r>
          </w:p>
        </w:tc>
      </w:tr>
      <w:tr w:rsidR="00983732" w:rsidRPr="00A3026E" w14:paraId="442069D9" w14:textId="77777777" w:rsidTr="00EA0DA7">
        <w:tc>
          <w:tcPr>
            <w:tcW w:w="5636" w:type="dxa"/>
          </w:tcPr>
          <w:p w14:paraId="56CC0F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Перегрев масла в полете и переохлаждение мотора на пикиров.</w:t>
            </w:r>
          </w:p>
        </w:tc>
        <w:tc>
          <w:tcPr>
            <w:tcW w:w="5002" w:type="dxa"/>
          </w:tcPr>
          <w:p w14:paraId="6D6B301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A71A9BD" w14:textId="77777777" w:rsidTr="00EA0DA7">
        <w:tc>
          <w:tcPr>
            <w:tcW w:w="5636" w:type="dxa"/>
            <w:tcBorders>
              <w:bottom w:val="single" w:sz="12" w:space="0" w:color="auto"/>
            </w:tcBorders>
          </w:tcPr>
          <w:p w14:paraId="2A8989F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Непрочны выхлопные патрубки.</w:t>
            </w:r>
          </w:p>
        </w:tc>
        <w:tc>
          <w:tcPr>
            <w:tcW w:w="5002" w:type="dxa"/>
            <w:tcBorders>
              <w:bottom w:val="single" w:sz="12" w:space="0" w:color="auto"/>
            </w:tcBorders>
          </w:tcPr>
          <w:p w14:paraId="797EA44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45897F1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6DC8CF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«12»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509FA36D" w14:textId="77777777" w:rsidTr="00EA0DA7">
        <w:tc>
          <w:tcPr>
            <w:tcW w:w="5636" w:type="dxa"/>
            <w:tcBorders>
              <w:top w:val="single" w:sz="12" w:space="0" w:color="auto"/>
            </w:tcBorders>
          </w:tcPr>
          <w:p w14:paraId="1619894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6CB4013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М-25А</w:t>
            </w:r>
          </w:p>
        </w:tc>
      </w:tr>
      <w:tr w:rsidR="00983732" w:rsidRPr="00A3026E" w14:paraId="0F55DBB7" w14:textId="77777777" w:rsidTr="00EA0DA7">
        <w:tc>
          <w:tcPr>
            <w:tcW w:w="5636" w:type="dxa"/>
          </w:tcPr>
          <w:p w14:paraId="174D5D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0E0C77A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 Д-2,8</w:t>
            </w:r>
          </w:p>
        </w:tc>
      </w:tr>
      <w:tr w:rsidR="00983732" w:rsidRPr="00A3026E" w14:paraId="783B33CE" w14:textId="77777777" w:rsidTr="00EA0DA7">
        <w:tc>
          <w:tcPr>
            <w:tcW w:w="5636" w:type="dxa"/>
          </w:tcPr>
          <w:p w14:paraId="6BDAC3D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4298BA9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1696</w:t>
            </w:r>
          </w:p>
        </w:tc>
      </w:tr>
      <w:tr w:rsidR="00983732" w:rsidRPr="00A3026E" w14:paraId="599114EB" w14:textId="77777777" w:rsidTr="00EA0DA7">
        <w:tc>
          <w:tcPr>
            <w:tcW w:w="5636" w:type="dxa"/>
          </w:tcPr>
          <w:p w14:paraId="123F56D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22F2D98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CB1B641" w14:textId="77777777" w:rsidTr="00EA0DA7">
        <w:tc>
          <w:tcPr>
            <w:tcW w:w="5636" w:type="dxa"/>
          </w:tcPr>
          <w:p w14:paraId="2DDC70A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7CD9DAF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393</w:t>
            </w:r>
          </w:p>
        </w:tc>
      </w:tr>
      <w:tr w:rsidR="00983732" w:rsidRPr="00A3026E" w14:paraId="321891A5" w14:textId="77777777" w:rsidTr="00EA0DA7">
        <w:tc>
          <w:tcPr>
            <w:tcW w:w="5636" w:type="dxa"/>
          </w:tcPr>
          <w:p w14:paraId="58A9BFF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033562B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431,5/2400</w:t>
            </w:r>
          </w:p>
        </w:tc>
      </w:tr>
      <w:tr w:rsidR="00983732" w:rsidRPr="00A3026E" w14:paraId="77F130BE" w14:textId="77777777" w:rsidTr="00EA0DA7">
        <w:tc>
          <w:tcPr>
            <w:tcW w:w="5636" w:type="dxa"/>
          </w:tcPr>
          <w:p w14:paraId="7398434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3358FD1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4F821494" w14:textId="77777777" w:rsidTr="00EA0DA7">
        <w:tc>
          <w:tcPr>
            <w:tcW w:w="5636" w:type="dxa"/>
          </w:tcPr>
          <w:p w14:paraId="7AE7D25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2A7E6F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16-17</w:t>
            </w:r>
          </w:p>
        </w:tc>
      </w:tr>
      <w:tr w:rsidR="00983732" w:rsidRPr="00A3026E" w14:paraId="0379C02E" w14:textId="77777777" w:rsidTr="00EA0DA7">
        <w:tc>
          <w:tcPr>
            <w:tcW w:w="5636" w:type="dxa"/>
          </w:tcPr>
          <w:p w14:paraId="4C5C3F8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09FE7F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w:t>
            </w:r>
          </w:p>
        </w:tc>
      </w:tr>
      <w:tr w:rsidR="00983732" w:rsidRPr="00A3026E" w14:paraId="0C5DB3B8" w14:textId="77777777" w:rsidTr="00EA0DA7">
        <w:tc>
          <w:tcPr>
            <w:tcW w:w="5636" w:type="dxa"/>
          </w:tcPr>
          <w:p w14:paraId="70CE5C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37D1F2D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8340</w:t>
            </w:r>
          </w:p>
        </w:tc>
      </w:tr>
      <w:tr w:rsidR="00983732" w:rsidRPr="00A3026E" w14:paraId="15F033DD" w14:textId="77777777" w:rsidTr="00EA0DA7">
        <w:tc>
          <w:tcPr>
            <w:tcW w:w="5636" w:type="dxa"/>
          </w:tcPr>
          <w:p w14:paraId="01C4414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6108494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520/2400</w:t>
            </w:r>
          </w:p>
        </w:tc>
      </w:tr>
      <w:tr w:rsidR="00983732" w:rsidRPr="00A3026E" w14:paraId="3EBCAA6A" w14:textId="77777777" w:rsidTr="00EA0DA7">
        <w:tc>
          <w:tcPr>
            <w:tcW w:w="5636" w:type="dxa"/>
          </w:tcPr>
          <w:p w14:paraId="3B02748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683E728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7B744BD1" w14:textId="77777777" w:rsidTr="00EA0DA7">
        <w:tc>
          <w:tcPr>
            <w:tcW w:w="5636" w:type="dxa"/>
          </w:tcPr>
          <w:p w14:paraId="66E28AA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BED58C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ШВАК (в крыле)</w:t>
            </w:r>
          </w:p>
        </w:tc>
      </w:tr>
      <w:tr w:rsidR="00983732" w:rsidRPr="00A3026E" w14:paraId="4CD5260E" w14:textId="77777777" w:rsidTr="00EA0DA7">
        <w:tc>
          <w:tcPr>
            <w:tcW w:w="5636" w:type="dxa"/>
          </w:tcPr>
          <w:p w14:paraId="378D9C9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4EBD3CD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Новое шасси завода № 21. Новая ВМГ. Другое вооружение.</w:t>
            </w:r>
          </w:p>
        </w:tc>
      </w:tr>
      <w:tr w:rsidR="00983732" w:rsidRPr="00A3026E" w14:paraId="0C8B893F" w14:textId="77777777" w:rsidTr="00EA0DA7">
        <w:tc>
          <w:tcPr>
            <w:tcW w:w="5636" w:type="dxa"/>
          </w:tcPr>
          <w:p w14:paraId="2821C84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Pr>
          <w:p w14:paraId="330CC91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Недоведено шасси.</w:t>
            </w:r>
          </w:p>
        </w:tc>
      </w:tr>
      <w:tr w:rsidR="00983732" w:rsidRPr="00A3026E" w14:paraId="5385393F" w14:textId="77777777" w:rsidTr="00EA0DA7">
        <w:tc>
          <w:tcPr>
            <w:tcW w:w="5636" w:type="dxa"/>
          </w:tcPr>
          <w:p w14:paraId="601CDC1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4E349D5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Непрочны капоты.</w:t>
            </w:r>
          </w:p>
        </w:tc>
      </w:tr>
      <w:tr w:rsidR="00983732" w:rsidRPr="00A3026E" w14:paraId="3F0209AA" w14:textId="77777777" w:rsidTr="00EA0DA7">
        <w:tc>
          <w:tcPr>
            <w:tcW w:w="5636" w:type="dxa"/>
          </w:tcPr>
          <w:p w14:paraId="38F1FE8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Перегрев масла в полете и переохлаждение мотора на пикиров.</w:t>
            </w:r>
          </w:p>
        </w:tc>
        <w:tc>
          <w:tcPr>
            <w:tcW w:w="5002" w:type="dxa"/>
          </w:tcPr>
          <w:p w14:paraId="36BE565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13A1DB2" w14:textId="77777777" w:rsidTr="00EA0DA7">
        <w:tc>
          <w:tcPr>
            <w:tcW w:w="5636" w:type="dxa"/>
            <w:tcBorders>
              <w:bottom w:val="single" w:sz="12" w:space="0" w:color="auto"/>
            </w:tcBorders>
          </w:tcPr>
          <w:p w14:paraId="4C3986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Непрочны выхлопные патрубки.</w:t>
            </w:r>
          </w:p>
        </w:tc>
        <w:tc>
          <w:tcPr>
            <w:tcW w:w="5002" w:type="dxa"/>
            <w:tcBorders>
              <w:bottom w:val="single" w:sz="12" w:space="0" w:color="auto"/>
            </w:tcBorders>
          </w:tcPr>
          <w:p w14:paraId="55FC75A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3D921E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9B9BEE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1938 году испытаний на замер летных данных не производилось.</w:t>
      </w:r>
    </w:p>
    <w:p w14:paraId="55DD2BA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«10»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2DEEE229" w14:textId="77777777" w:rsidTr="00EA0DA7">
        <w:tc>
          <w:tcPr>
            <w:tcW w:w="5636" w:type="dxa"/>
            <w:tcBorders>
              <w:top w:val="single" w:sz="12" w:space="0" w:color="auto"/>
            </w:tcBorders>
          </w:tcPr>
          <w:p w14:paraId="20DFDA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46DD2C0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r>
      <w:tr w:rsidR="00983732" w:rsidRPr="00A3026E" w14:paraId="019546E9" w14:textId="77777777" w:rsidTr="00EA0DA7">
        <w:tc>
          <w:tcPr>
            <w:tcW w:w="5636" w:type="dxa"/>
          </w:tcPr>
          <w:p w14:paraId="4066FBA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49D1682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 Д-2,8</w:t>
            </w:r>
          </w:p>
        </w:tc>
      </w:tr>
      <w:tr w:rsidR="00983732" w:rsidRPr="00A3026E" w14:paraId="03C28ED2" w14:textId="77777777" w:rsidTr="00EA0DA7">
        <w:tc>
          <w:tcPr>
            <w:tcW w:w="5636" w:type="dxa"/>
          </w:tcPr>
          <w:p w14:paraId="56CE08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392CB90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1726</w:t>
            </w:r>
          </w:p>
        </w:tc>
      </w:tr>
      <w:tr w:rsidR="00983732" w:rsidRPr="00A3026E" w14:paraId="54EB9820" w14:textId="77777777" w:rsidTr="00EA0DA7">
        <w:tc>
          <w:tcPr>
            <w:tcW w:w="5636" w:type="dxa"/>
          </w:tcPr>
          <w:p w14:paraId="59EDC2E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115A6B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DFA3334" w14:textId="77777777" w:rsidTr="00EA0DA7">
        <w:tc>
          <w:tcPr>
            <w:tcW w:w="5636" w:type="dxa"/>
          </w:tcPr>
          <w:p w14:paraId="6D37D77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1251FA4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398</w:t>
            </w:r>
          </w:p>
        </w:tc>
      </w:tr>
      <w:tr w:rsidR="00983732" w:rsidRPr="00A3026E" w14:paraId="2542D7CE" w14:textId="77777777" w:rsidTr="00EA0DA7">
        <w:tc>
          <w:tcPr>
            <w:tcW w:w="5636" w:type="dxa"/>
          </w:tcPr>
          <w:p w14:paraId="328B367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21B4844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448/3160</w:t>
            </w:r>
          </w:p>
        </w:tc>
      </w:tr>
      <w:tr w:rsidR="00983732" w:rsidRPr="00A3026E" w14:paraId="0ECBD37D" w14:textId="77777777" w:rsidTr="00EA0DA7">
        <w:tc>
          <w:tcPr>
            <w:tcW w:w="5636" w:type="dxa"/>
          </w:tcPr>
          <w:p w14:paraId="105DCF0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79DC2D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w:t>
            </w:r>
          </w:p>
        </w:tc>
      </w:tr>
      <w:tr w:rsidR="00983732" w:rsidRPr="00A3026E" w14:paraId="1DC42DDC" w14:textId="77777777" w:rsidTr="00EA0DA7">
        <w:tc>
          <w:tcPr>
            <w:tcW w:w="5636" w:type="dxa"/>
          </w:tcPr>
          <w:p w14:paraId="3C7D19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264770E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16-18</w:t>
            </w:r>
          </w:p>
        </w:tc>
      </w:tr>
      <w:tr w:rsidR="00983732" w:rsidRPr="00A3026E" w14:paraId="4FB277AA" w14:textId="77777777" w:rsidTr="00EA0DA7">
        <w:tc>
          <w:tcPr>
            <w:tcW w:w="5636" w:type="dxa"/>
          </w:tcPr>
          <w:p w14:paraId="0A200AC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0A49E3B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6,75</w:t>
            </w:r>
          </w:p>
        </w:tc>
      </w:tr>
      <w:tr w:rsidR="00983732" w:rsidRPr="00A3026E" w14:paraId="2D83267C" w14:textId="77777777" w:rsidTr="00EA0DA7">
        <w:tc>
          <w:tcPr>
            <w:tcW w:w="5636" w:type="dxa"/>
          </w:tcPr>
          <w:p w14:paraId="0CA5A2D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496472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8260</w:t>
            </w:r>
          </w:p>
        </w:tc>
      </w:tr>
      <w:tr w:rsidR="00983732" w:rsidRPr="00A3026E" w14:paraId="4831E563" w14:textId="77777777" w:rsidTr="00EA0DA7">
        <w:tc>
          <w:tcPr>
            <w:tcW w:w="5636" w:type="dxa"/>
          </w:tcPr>
          <w:p w14:paraId="1B6823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05206E3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r>
      <w:tr w:rsidR="00983732" w:rsidRPr="00A3026E" w14:paraId="5EA5E80F" w14:textId="77777777" w:rsidTr="00EA0DA7">
        <w:tc>
          <w:tcPr>
            <w:tcW w:w="5636" w:type="dxa"/>
          </w:tcPr>
          <w:p w14:paraId="3D39EE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728E783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406BE804" w14:textId="77777777" w:rsidTr="00EA0DA7">
        <w:tc>
          <w:tcPr>
            <w:tcW w:w="5636" w:type="dxa"/>
          </w:tcPr>
          <w:p w14:paraId="1DC475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14E8C21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Установлено 2 синхронных ШКАС добавочно к 2 ШКАС в крыле. Новое усиленное крыло.</w:t>
            </w:r>
          </w:p>
        </w:tc>
      </w:tr>
      <w:tr w:rsidR="00983732" w:rsidRPr="00A3026E" w14:paraId="0B5BFAE1" w14:textId="77777777" w:rsidTr="00EA0DA7">
        <w:tc>
          <w:tcPr>
            <w:tcW w:w="5636" w:type="dxa"/>
            <w:tcBorders>
              <w:bottom w:val="single" w:sz="12" w:space="0" w:color="auto"/>
            </w:tcBorders>
          </w:tcPr>
          <w:p w14:paraId="06B0C99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Borders>
              <w:bottom w:val="single" w:sz="12" w:space="0" w:color="auto"/>
            </w:tcBorders>
          </w:tcPr>
          <w:p w14:paraId="4733053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Переохлаждение головок на планировании.</w:t>
            </w:r>
          </w:p>
        </w:tc>
      </w:tr>
    </w:tbl>
    <w:p w14:paraId="62B452C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AD913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«18»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196DB3E0" w14:textId="77777777" w:rsidTr="00EA0DA7">
        <w:tc>
          <w:tcPr>
            <w:tcW w:w="5636" w:type="dxa"/>
            <w:tcBorders>
              <w:top w:val="single" w:sz="12" w:space="0" w:color="auto"/>
            </w:tcBorders>
          </w:tcPr>
          <w:p w14:paraId="34CA589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51B4A01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r>
      <w:tr w:rsidR="00983732" w:rsidRPr="00A3026E" w14:paraId="6DBFB5C5" w14:textId="77777777" w:rsidTr="00EA0DA7">
        <w:tc>
          <w:tcPr>
            <w:tcW w:w="5636" w:type="dxa"/>
          </w:tcPr>
          <w:p w14:paraId="209A49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5A14DF1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321A9D1C" w14:textId="77777777" w:rsidTr="00EA0DA7">
        <w:tc>
          <w:tcPr>
            <w:tcW w:w="5636" w:type="dxa"/>
          </w:tcPr>
          <w:p w14:paraId="6EAD31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055BE98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1830</w:t>
            </w:r>
          </w:p>
        </w:tc>
      </w:tr>
      <w:tr w:rsidR="00983732" w:rsidRPr="00A3026E" w14:paraId="0CB91F28" w14:textId="77777777" w:rsidTr="00EA0DA7">
        <w:tc>
          <w:tcPr>
            <w:tcW w:w="5636" w:type="dxa"/>
          </w:tcPr>
          <w:p w14:paraId="420A166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180B834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2C09401" w14:textId="77777777" w:rsidTr="00EA0DA7">
        <w:tc>
          <w:tcPr>
            <w:tcW w:w="5636" w:type="dxa"/>
          </w:tcPr>
          <w:p w14:paraId="34ECF08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00D3A72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411</w:t>
            </w:r>
          </w:p>
        </w:tc>
      </w:tr>
      <w:tr w:rsidR="00983732" w:rsidRPr="00A3026E" w14:paraId="73C45DAE" w14:textId="77777777" w:rsidTr="00EA0DA7">
        <w:tc>
          <w:tcPr>
            <w:tcW w:w="5636" w:type="dxa"/>
          </w:tcPr>
          <w:p w14:paraId="40FAC8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6FE9B4A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464/4400</w:t>
            </w:r>
          </w:p>
        </w:tc>
      </w:tr>
      <w:tr w:rsidR="00983732" w:rsidRPr="00A3026E" w14:paraId="4020B008" w14:textId="77777777" w:rsidTr="00EA0DA7">
        <w:tc>
          <w:tcPr>
            <w:tcW w:w="5636" w:type="dxa"/>
          </w:tcPr>
          <w:p w14:paraId="4F4AD5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04EE2C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r>
      <w:tr w:rsidR="00983732" w:rsidRPr="00A3026E" w14:paraId="7B74A71C" w14:textId="77777777" w:rsidTr="00EA0DA7">
        <w:tc>
          <w:tcPr>
            <w:tcW w:w="5636" w:type="dxa"/>
          </w:tcPr>
          <w:p w14:paraId="410DF0E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4EDFD1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r>
      <w:tr w:rsidR="00983732" w:rsidRPr="00A3026E" w14:paraId="76A5AA59" w14:textId="77777777" w:rsidTr="00EA0DA7">
        <w:tc>
          <w:tcPr>
            <w:tcW w:w="5636" w:type="dxa"/>
          </w:tcPr>
          <w:p w14:paraId="453BE34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258B93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w:t>
            </w:r>
          </w:p>
        </w:tc>
      </w:tr>
      <w:tr w:rsidR="00983732" w:rsidRPr="00A3026E" w14:paraId="286D9B19" w14:textId="77777777" w:rsidTr="00EA0DA7">
        <w:tc>
          <w:tcPr>
            <w:tcW w:w="5636" w:type="dxa"/>
          </w:tcPr>
          <w:p w14:paraId="4C85224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2A80C0B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9470</w:t>
            </w:r>
          </w:p>
        </w:tc>
      </w:tr>
      <w:tr w:rsidR="00983732" w:rsidRPr="00A3026E" w14:paraId="3345190B" w14:textId="77777777" w:rsidTr="00EA0DA7">
        <w:tc>
          <w:tcPr>
            <w:tcW w:w="5636" w:type="dxa"/>
          </w:tcPr>
          <w:p w14:paraId="0FE3E28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347623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485</w:t>
            </w:r>
          </w:p>
        </w:tc>
      </w:tr>
      <w:tr w:rsidR="00983732" w:rsidRPr="00A3026E" w14:paraId="2350294D" w14:textId="77777777" w:rsidTr="00EA0DA7">
        <w:tc>
          <w:tcPr>
            <w:tcW w:w="5636" w:type="dxa"/>
          </w:tcPr>
          <w:p w14:paraId="7CDE949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01F807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19B8E6E8" w14:textId="77777777" w:rsidTr="00EA0DA7">
        <w:tc>
          <w:tcPr>
            <w:tcW w:w="5636" w:type="dxa"/>
          </w:tcPr>
          <w:p w14:paraId="554D430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1011E63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планер типа «10» установлен мотор М-62 и винт ВИШ (6-А и АВ-1).</w:t>
            </w:r>
          </w:p>
        </w:tc>
      </w:tr>
      <w:tr w:rsidR="00983732" w:rsidRPr="00A3026E" w14:paraId="10E1440E" w14:textId="77777777" w:rsidTr="00EA0DA7">
        <w:tc>
          <w:tcPr>
            <w:tcW w:w="5636" w:type="dxa"/>
          </w:tcPr>
          <w:p w14:paraId="657F04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Pr>
          <w:p w14:paraId="54DBD75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Переохлаждение головок выражено более резко, т.к. оребрение увеличено, а капотаж остался тот же. Поломка выхлопных патрубков. </w:t>
            </w:r>
          </w:p>
        </w:tc>
      </w:tr>
      <w:tr w:rsidR="00983732" w:rsidRPr="00A3026E" w14:paraId="79405032" w14:textId="77777777" w:rsidTr="00EA0DA7">
        <w:tc>
          <w:tcPr>
            <w:tcW w:w="5636" w:type="dxa"/>
            <w:tcBorders>
              <w:bottom w:val="single" w:sz="12" w:space="0" w:color="auto"/>
            </w:tcBorders>
          </w:tcPr>
          <w:p w14:paraId="2CFC94F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70EAC2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335175A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571AE89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Серия «18»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18E80BE0" w14:textId="77777777" w:rsidTr="00EA0DA7">
        <w:tc>
          <w:tcPr>
            <w:tcW w:w="5636" w:type="dxa"/>
            <w:tcBorders>
              <w:top w:val="single" w:sz="12" w:space="0" w:color="auto"/>
            </w:tcBorders>
          </w:tcPr>
          <w:p w14:paraId="3E591AA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7B5F7A6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r>
      <w:tr w:rsidR="00983732" w:rsidRPr="00A3026E" w14:paraId="0CFC886F" w14:textId="77777777" w:rsidTr="00EA0DA7">
        <w:tc>
          <w:tcPr>
            <w:tcW w:w="5636" w:type="dxa"/>
          </w:tcPr>
          <w:p w14:paraId="191C62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70F89F1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ВИШ-6А</w:t>
            </w:r>
          </w:p>
        </w:tc>
      </w:tr>
      <w:tr w:rsidR="00983732" w:rsidRPr="00A3026E" w14:paraId="27C7E98C" w14:textId="77777777" w:rsidTr="00EA0DA7">
        <w:tc>
          <w:tcPr>
            <w:tcW w:w="5636" w:type="dxa"/>
          </w:tcPr>
          <w:p w14:paraId="4F0AB1A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684E881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1830</w:t>
            </w:r>
          </w:p>
        </w:tc>
      </w:tr>
      <w:tr w:rsidR="00983732" w:rsidRPr="00A3026E" w14:paraId="2B4FE0F3" w14:textId="77777777" w:rsidTr="00EA0DA7">
        <w:tc>
          <w:tcPr>
            <w:tcW w:w="5636" w:type="dxa"/>
          </w:tcPr>
          <w:p w14:paraId="3B5757C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20CE744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86CAF1B" w14:textId="77777777" w:rsidTr="00EA0DA7">
        <w:tc>
          <w:tcPr>
            <w:tcW w:w="5636" w:type="dxa"/>
          </w:tcPr>
          <w:p w14:paraId="327588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61F894A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413</w:t>
            </w:r>
          </w:p>
        </w:tc>
      </w:tr>
      <w:tr w:rsidR="00983732" w:rsidRPr="00A3026E" w14:paraId="6E95B394" w14:textId="77777777" w:rsidTr="00EA0DA7">
        <w:tc>
          <w:tcPr>
            <w:tcW w:w="5636" w:type="dxa"/>
          </w:tcPr>
          <w:p w14:paraId="1C8654C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686E67E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461/4400</w:t>
            </w:r>
          </w:p>
        </w:tc>
      </w:tr>
      <w:tr w:rsidR="00983732" w:rsidRPr="00A3026E" w14:paraId="35F33E5F" w14:textId="77777777" w:rsidTr="00EA0DA7">
        <w:tc>
          <w:tcPr>
            <w:tcW w:w="5636" w:type="dxa"/>
          </w:tcPr>
          <w:p w14:paraId="001735B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15749E8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r>
      <w:tr w:rsidR="00983732" w:rsidRPr="00A3026E" w14:paraId="528DBDA3" w14:textId="77777777" w:rsidTr="00EA0DA7">
        <w:tc>
          <w:tcPr>
            <w:tcW w:w="5636" w:type="dxa"/>
          </w:tcPr>
          <w:p w14:paraId="4FAC9E0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2C36EF7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r>
      <w:tr w:rsidR="00983732" w:rsidRPr="00A3026E" w14:paraId="4B61E727" w14:textId="77777777" w:rsidTr="00EA0DA7">
        <w:tc>
          <w:tcPr>
            <w:tcW w:w="5636" w:type="dxa"/>
          </w:tcPr>
          <w:p w14:paraId="22B0F76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7A0FCE1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w:t>
            </w:r>
          </w:p>
        </w:tc>
      </w:tr>
      <w:tr w:rsidR="00983732" w:rsidRPr="00A3026E" w14:paraId="486480B0" w14:textId="77777777" w:rsidTr="00EA0DA7">
        <w:tc>
          <w:tcPr>
            <w:tcW w:w="5636" w:type="dxa"/>
          </w:tcPr>
          <w:p w14:paraId="05ED8FD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05B33E2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4CB1C852" w14:textId="77777777" w:rsidTr="00EA0DA7">
        <w:tc>
          <w:tcPr>
            <w:tcW w:w="5636" w:type="dxa"/>
          </w:tcPr>
          <w:p w14:paraId="52A9B8F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54293A6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485</w:t>
            </w:r>
          </w:p>
        </w:tc>
      </w:tr>
      <w:tr w:rsidR="00983732" w:rsidRPr="00A3026E" w14:paraId="38C83644" w14:textId="77777777" w:rsidTr="00EA0DA7">
        <w:tc>
          <w:tcPr>
            <w:tcW w:w="5636" w:type="dxa"/>
          </w:tcPr>
          <w:p w14:paraId="5B5EE24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621ACA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42B9A2E0" w14:textId="77777777" w:rsidTr="00EA0DA7">
        <w:tc>
          <w:tcPr>
            <w:tcW w:w="5636" w:type="dxa"/>
          </w:tcPr>
          <w:p w14:paraId="73D69AF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0B04659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планер типа «10» установлен мотор М-62 и винт ВИШ (6-А и АВ-1).</w:t>
            </w:r>
          </w:p>
        </w:tc>
      </w:tr>
      <w:tr w:rsidR="00983732" w:rsidRPr="00A3026E" w14:paraId="6B5513D3" w14:textId="77777777" w:rsidTr="00EA0DA7">
        <w:tc>
          <w:tcPr>
            <w:tcW w:w="5636" w:type="dxa"/>
            <w:tcBorders>
              <w:bottom w:val="single" w:sz="12" w:space="0" w:color="auto"/>
            </w:tcBorders>
          </w:tcPr>
          <w:p w14:paraId="66AA49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Borders>
              <w:bottom w:val="single" w:sz="12" w:space="0" w:color="auto"/>
            </w:tcBorders>
          </w:tcPr>
          <w:p w14:paraId="2DD1F94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Переохлаждение головок выражено более резко, т.к. оребрение увеличено, а капотаж остался тот же. Поломка выхлопных патрубков. </w:t>
            </w:r>
          </w:p>
        </w:tc>
      </w:tr>
    </w:tbl>
    <w:p w14:paraId="39E669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575FE5B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«24»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758DA4BC" w14:textId="77777777" w:rsidTr="00EA0DA7">
        <w:tc>
          <w:tcPr>
            <w:tcW w:w="5636" w:type="dxa"/>
            <w:tcBorders>
              <w:top w:val="single" w:sz="12" w:space="0" w:color="auto"/>
            </w:tcBorders>
          </w:tcPr>
          <w:p w14:paraId="14FC327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2A28AD5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r>
      <w:tr w:rsidR="00983732" w:rsidRPr="00A3026E" w14:paraId="375B54C5" w14:textId="77777777" w:rsidTr="00EA0DA7">
        <w:tc>
          <w:tcPr>
            <w:tcW w:w="5636" w:type="dxa"/>
          </w:tcPr>
          <w:p w14:paraId="55F5B5D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4E4E92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2024E629" w14:textId="77777777" w:rsidTr="00EA0DA7">
        <w:tc>
          <w:tcPr>
            <w:tcW w:w="5636" w:type="dxa"/>
          </w:tcPr>
          <w:p w14:paraId="45CFEB3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547ED10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1878</w:t>
            </w:r>
          </w:p>
        </w:tc>
      </w:tr>
      <w:tr w:rsidR="00983732" w:rsidRPr="00A3026E" w14:paraId="0C0D0A8F" w14:textId="77777777" w:rsidTr="00EA0DA7">
        <w:tc>
          <w:tcPr>
            <w:tcW w:w="5636" w:type="dxa"/>
          </w:tcPr>
          <w:p w14:paraId="429E81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55E34C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A8DE3CE" w14:textId="77777777" w:rsidTr="00EA0DA7">
        <w:tc>
          <w:tcPr>
            <w:tcW w:w="5636" w:type="dxa"/>
          </w:tcPr>
          <w:p w14:paraId="6B5ACD7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15892CF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r>
      <w:tr w:rsidR="00983732" w:rsidRPr="00A3026E" w14:paraId="4E83F261" w14:textId="77777777" w:rsidTr="00EA0DA7">
        <w:tc>
          <w:tcPr>
            <w:tcW w:w="5636" w:type="dxa"/>
          </w:tcPr>
          <w:p w14:paraId="40692FE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1E5F712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485/4720</w:t>
            </w:r>
          </w:p>
        </w:tc>
      </w:tr>
      <w:tr w:rsidR="00983732" w:rsidRPr="00A3026E" w14:paraId="6B88ECE2" w14:textId="77777777" w:rsidTr="00EA0DA7">
        <w:tc>
          <w:tcPr>
            <w:tcW w:w="5636" w:type="dxa"/>
          </w:tcPr>
          <w:p w14:paraId="36F6429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20655C0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w:t>
            </w:r>
          </w:p>
        </w:tc>
      </w:tr>
      <w:tr w:rsidR="00983732" w:rsidRPr="00A3026E" w14:paraId="7FA769B1" w14:textId="77777777" w:rsidTr="00EA0DA7">
        <w:tc>
          <w:tcPr>
            <w:tcW w:w="5636" w:type="dxa"/>
          </w:tcPr>
          <w:p w14:paraId="7EF4809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04F6805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17-19</w:t>
            </w:r>
          </w:p>
        </w:tc>
      </w:tr>
      <w:tr w:rsidR="00983732" w:rsidRPr="00A3026E" w14:paraId="38728240" w14:textId="77777777" w:rsidTr="00EA0DA7">
        <w:tc>
          <w:tcPr>
            <w:tcW w:w="5636" w:type="dxa"/>
          </w:tcPr>
          <w:p w14:paraId="548E997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7DA184D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w:t>
            </w:r>
          </w:p>
        </w:tc>
      </w:tr>
      <w:tr w:rsidR="00983732" w:rsidRPr="00A3026E" w14:paraId="7F9AFD7E" w14:textId="77777777" w:rsidTr="00EA0DA7">
        <w:tc>
          <w:tcPr>
            <w:tcW w:w="5636" w:type="dxa"/>
          </w:tcPr>
          <w:p w14:paraId="1BFBB03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21A2DA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10800</w:t>
            </w:r>
          </w:p>
        </w:tc>
      </w:tr>
      <w:tr w:rsidR="00983732" w:rsidRPr="00A3026E" w14:paraId="72CA0302" w14:textId="77777777" w:rsidTr="00EA0DA7">
        <w:tc>
          <w:tcPr>
            <w:tcW w:w="5636" w:type="dxa"/>
          </w:tcPr>
          <w:p w14:paraId="77FBD8D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13BA729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455</w:t>
            </w:r>
          </w:p>
        </w:tc>
      </w:tr>
      <w:tr w:rsidR="00983732" w:rsidRPr="00A3026E" w14:paraId="1FAAE017" w14:textId="77777777" w:rsidTr="00EA0DA7">
        <w:tc>
          <w:tcPr>
            <w:tcW w:w="5636" w:type="dxa"/>
          </w:tcPr>
          <w:p w14:paraId="4AE257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6851A8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510ADB24" w14:textId="77777777" w:rsidTr="00EA0DA7">
        <w:tc>
          <w:tcPr>
            <w:tcW w:w="5636" w:type="dxa"/>
          </w:tcPr>
          <w:p w14:paraId="7963826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798DD3F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Мотор М-63.</w:t>
            </w:r>
          </w:p>
        </w:tc>
      </w:tr>
      <w:tr w:rsidR="00983732" w:rsidRPr="00A3026E" w14:paraId="4C73AB64" w14:textId="77777777" w:rsidTr="00EA0DA7">
        <w:tc>
          <w:tcPr>
            <w:tcW w:w="5636" w:type="dxa"/>
          </w:tcPr>
          <w:p w14:paraId="2885D78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1A971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Винт АВ-1.</w:t>
            </w:r>
          </w:p>
        </w:tc>
      </w:tr>
      <w:tr w:rsidR="00983732" w:rsidRPr="00A3026E" w14:paraId="784F9F96" w14:textId="77777777" w:rsidTr="00EA0DA7">
        <w:tc>
          <w:tcPr>
            <w:tcW w:w="5636" w:type="dxa"/>
          </w:tcPr>
          <w:p w14:paraId="0C82F32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6B6A7C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Прочность по нормам 1937 года.</w:t>
            </w:r>
          </w:p>
        </w:tc>
      </w:tr>
      <w:tr w:rsidR="00983732" w:rsidRPr="00A3026E" w14:paraId="0A185337" w14:textId="77777777" w:rsidTr="00EA0DA7">
        <w:tc>
          <w:tcPr>
            <w:tcW w:w="5636" w:type="dxa"/>
          </w:tcPr>
          <w:p w14:paraId="21AA27F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7CC0CE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Жесткая обшивка верха крыла.</w:t>
            </w:r>
          </w:p>
        </w:tc>
      </w:tr>
      <w:tr w:rsidR="00983732" w:rsidRPr="00A3026E" w14:paraId="310AD74C" w14:textId="77777777" w:rsidTr="00EA0DA7">
        <w:tc>
          <w:tcPr>
            <w:tcW w:w="5636" w:type="dxa"/>
          </w:tcPr>
          <w:p w14:paraId="623D0F2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5B7BA23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Бесшлицевое шасси.</w:t>
            </w:r>
          </w:p>
        </w:tc>
      </w:tr>
      <w:tr w:rsidR="00983732" w:rsidRPr="00A3026E" w14:paraId="70DF1CEB" w14:textId="77777777" w:rsidTr="00EA0DA7">
        <w:tc>
          <w:tcPr>
            <w:tcW w:w="5636" w:type="dxa"/>
          </w:tcPr>
          <w:p w14:paraId="07F244B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444077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Ролик на костыле.</w:t>
            </w:r>
          </w:p>
        </w:tc>
      </w:tr>
      <w:tr w:rsidR="00983732" w:rsidRPr="00A3026E" w14:paraId="7E5742B9" w14:textId="77777777" w:rsidTr="00EA0DA7">
        <w:tc>
          <w:tcPr>
            <w:tcW w:w="5636" w:type="dxa"/>
            <w:tcBorders>
              <w:bottom w:val="single" w:sz="12" w:space="0" w:color="auto"/>
            </w:tcBorders>
          </w:tcPr>
          <w:p w14:paraId="3A6568A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Borders>
              <w:bottom w:val="single" w:sz="12" w:space="0" w:color="auto"/>
            </w:tcBorders>
          </w:tcPr>
          <w:p w14:paraId="5F6D475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Переохлаждение головок на планировании. Не подобран винт. Неудовлетворительно работает «АК». Поломка выхлопных патрубков и растрескивание капотов.</w:t>
            </w:r>
          </w:p>
        </w:tc>
      </w:tr>
    </w:tbl>
    <w:p w14:paraId="74A7BD2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6210441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Эталон «24»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1F4D1E7C" w14:textId="77777777" w:rsidTr="00EA0DA7">
        <w:tc>
          <w:tcPr>
            <w:tcW w:w="5636" w:type="dxa"/>
            <w:tcBorders>
              <w:top w:val="single" w:sz="12" w:space="0" w:color="auto"/>
            </w:tcBorders>
          </w:tcPr>
          <w:p w14:paraId="2510950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0832C8C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r>
      <w:tr w:rsidR="00983732" w:rsidRPr="00A3026E" w14:paraId="13001F29" w14:textId="77777777" w:rsidTr="00EA0DA7">
        <w:tc>
          <w:tcPr>
            <w:tcW w:w="5636" w:type="dxa"/>
          </w:tcPr>
          <w:p w14:paraId="6C974A9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03168BD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251B397A" w14:textId="77777777" w:rsidTr="00EA0DA7">
        <w:tc>
          <w:tcPr>
            <w:tcW w:w="5636" w:type="dxa"/>
          </w:tcPr>
          <w:p w14:paraId="06B8302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631B30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1941</w:t>
            </w:r>
          </w:p>
        </w:tc>
      </w:tr>
      <w:tr w:rsidR="00983732" w:rsidRPr="00A3026E" w14:paraId="4D01BB52" w14:textId="77777777" w:rsidTr="00EA0DA7">
        <w:tc>
          <w:tcPr>
            <w:tcW w:w="5636" w:type="dxa"/>
          </w:tcPr>
          <w:p w14:paraId="2078C10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539317B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444288F" w14:textId="77777777" w:rsidTr="00EA0DA7">
        <w:tc>
          <w:tcPr>
            <w:tcW w:w="5636" w:type="dxa"/>
          </w:tcPr>
          <w:p w14:paraId="567C0B9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6FD5485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w:t>
            </w:r>
          </w:p>
        </w:tc>
      </w:tr>
      <w:tr w:rsidR="00983732" w:rsidRPr="00A3026E" w14:paraId="6F0F48BD" w14:textId="77777777" w:rsidTr="00EA0DA7">
        <w:tc>
          <w:tcPr>
            <w:tcW w:w="5636" w:type="dxa"/>
          </w:tcPr>
          <w:p w14:paraId="25D4EDC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74B216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462/4700</w:t>
            </w:r>
          </w:p>
        </w:tc>
      </w:tr>
      <w:tr w:rsidR="00983732" w:rsidRPr="00A3026E" w14:paraId="3F567F5A" w14:textId="77777777" w:rsidTr="00EA0DA7">
        <w:tc>
          <w:tcPr>
            <w:tcW w:w="5636" w:type="dxa"/>
          </w:tcPr>
          <w:p w14:paraId="38666B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4C3F9C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r>
      <w:tr w:rsidR="00983732" w:rsidRPr="00A3026E" w14:paraId="5B9C0C05" w14:textId="77777777" w:rsidTr="00EA0DA7">
        <w:tc>
          <w:tcPr>
            <w:tcW w:w="5636" w:type="dxa"/>
          </w:tcPr>
          <w:p w14:paraId="74606AD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31EFE7C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18-19</w:t>
            </w:r>
          </w:p>
        </w:tc>
      </w:tr>
      <w:tr w:rsidR="00983732" w:rsidRPr="00A3026E" w14:paraId="70587B94" w14:textId="77777777" w:rsidTr="00EA0DA7">
        <w:tc>
          <w:tcPr>
            <w:tcW w:w="5636" w:type="dxa"/>
          </w:tcPr>
          <w:p w14:paraId="0C85FB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0B05960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r>
      <w:tr w:rsidR="00983732" w:rsidRPr="00A3026E" w14:paraId="2BF03B64" w14:textId="77777777" w:rsidTr="00EA0DA7">
        <w:tc>
          <w:tcPr>
            <w:tcW w:w="5636" w:type="dxa"/>
          </w:tcPr>
          <w:p w14:paraId="0D89C71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79A78D9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9700</w:t>
            </w:r>
          </w:p>
        </w:tc>
      </w:tr>
      <w:tr w:rsidR="00983732" w:rsidRPr="00A3026E" w14:paraId="1B5D0112" w14:textId="77777777" w:rsidTr="00EA0DA7">
        <w:tc>
          <w:tcPr>
            <w:tcW w:w="5636" w:type="dxa"/>
          </w:tcPr>
          <w:p w14:paraId="3A233B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74A5E55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445</w:t>
            </w:r>
          </w:p>
        </w:tc>
      </w:tr>
      <w:tr w:rsidR="00983732" w:rsidRPr="00A3026E" w14:paraId="1E947C0E" w14:textId="77777777" w:rsidTr="00EA0DA7">
        <w:tc>
          <w:tcPr>
            <w:tcW w:w="5636" w:type="dxa"/>
          </w:tcPr>
          <w:p w14:paraId="59FED2C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1FE7E6F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3A085210" w14:textId="77777777" w:rsidTr="00EA0DA7">
        <w:tc>
          <w:tcPr>
            <w:tcW w:w="5636" w:type="dxa"/>
          </w:tcPr>
          <w:p w14:paraId="4167F54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4C38CC7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Установлена новая приборная доска, установлена рация РСИ-3, сделан люк, в фюзеляже установлены подвесные баки, убирающиеся ракетодержатели.</w:t>
            </w:r>
          </w:p>
        </w:tc>
      </w:tr>
      <w:tr w:rsidR="00983732" w:rsidRPr="00A3026E" w14:paraId="40674BA2" w14:textId="77777777" w:rsidTr="00EA0DA7">
        <w:tc>
          <w:tcPr>
            <w:tcW w:w="5636" w:type="dxa"/>
            <w:tcBorders>
              <w:bottom w:val="single" w:sz="12" w:space="0" w:color="auto"/>
            </w:tcBorders>
          </w:tcPr>
          <w:p w14:paraId="6C40F41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Borders>
              <w:bottom w:val="single" w:sz="12" w:space="0" w:color="auto"/>
            </w:tcBorders>
          </w:tcPr>
          <w:p w14:paraId="12E0429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Переохлаждение головок на планировании. Не подобран винт. Неудовлетворительно работает «АК». Поломка выхлопных патрубков и растрескивание капотов. Разрушение литых дисков тормозных колес.</w:t>
            </w:r>
          </w:p>
        </w:tc>
      </w:tr>
    </w:tbl>
    <w:p w14:paraId="55CD693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449EA8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«24»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7EEA7D10" w14:textId="77777777" w:rsidTr="00EA0DA7">
        <w:tc>
          <w:tcPr>
            <w:tcW w:w="5636" w:type="dxa"/>
            <w:tcBorders>
              <w:top w:val="single" w:sz="12" w:space="0" w:color="auto"/>
            </w:tcBorders>
          </w:tcPr>
          <w:p w14:paraId="62B7E3F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43B12BC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r>
      <w:tr w:rsidR="00983732" w:rsidRPr="00A3026E" w14:paraId="329A4F08" w14:textId="77777777" w:rsidTr="00EA0DA7">
        <w:tc>
          <w:tcPr>
            <w:tcW w:w="5636" w:type="dxa"/>
          </w:tcPr>
          <w:p w14:paraId="04CCB8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3CE1843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50E68C95" w14:textId="77777777" w:rsidTr="00EA0DA7">
        <w:tc>
          <w:tcPr>
            <w:tcW w:w="5636" w:type="dxa"/>
          </w:tcPr>
          <w:p w14:paraId="64D6B4F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1BE8E6A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1882</w:t>
            </w:r>
          </w:p>
        </w:tc>
      </w:tr>
      <w:tr w:rsidR="00983732" w:rsidRPr="00A3026E" w14:paraId="06481A4E" w14:textId="77777777" w:rsidTr="00EA0DA7">
        <w:tc>
          <w:tcPr>
            <w:tcW w:w="5636" w:type="dxa"/>
          </w:tcPr>
          <w:p w14:paraId="37AC152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5FB38D7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10840A9" w14:textId="77777777" w:rsidTr="00EA0DA7">
        <w:tc>
          <w:tcPr>
            <w:tcW w:w="5636" w:type="dxa"/>
          </w:tcPr>
          <w:p w14:paraId="1725DBA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2268942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w:t>
            </w:r>
          </w:p>
        </w:tc>
      </w:tr>
      <w:tr w:rsidR="00983732" w:rsidRPr="00A3026E" w14:paraId="46F00945" w14:textId="77777777" w:rsidTr="00EA0DA7">
        <w:tc>
          <w:tcPr>
            <w:tcW w:w="5636" w:type="dxa"/>
          </w:tcPr>
          <w:p w14:paraId="54A558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66402C4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470/4800</w:t>
            </w:r>
          </w:p>
        </w:tc>
      </w:tr>
      <w:tr w:rsidR="00983732" w:rsidRPr="00A3026E" w14:paraId="5ADBC078" w14:textId="77777777" w:rsidTr="00EA0DA7">
        <w:tc>
          <w:tcPr>
            <w:tcW w:w="5636" w:type="dxa"/>
          </w:tcPr>
          <w:p w14:paraId="01A075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03CC977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w:t>
            </w:r>
          </w:p>
        </w:tc>
      </w:tr>
      <w:tr w:rsidR="00983732" w:rsidRPr="00A3026E" w14:paraId="37EB6EB8" w14:textId="77777777" w:rsidTr="00EA0DA7">
        <w:tc>
          <w:tcPr>
            <w:tcW w:w="5636" w:type="dxa"/>
          </w:tcPr>
          <w:p w14:paraId="3B7393D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5BFA99C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17-18</w:t>
            </w:r>
          </w:p>
        </w:tc>
      </w:tr>
      <w:tr w:rsidR="00983732" w:rsidRPr="00A3026E" w14:paraId="12821167" w14:textId="77777777" w:rsidTr="00EA0DA7">
        <w:tc>
          <w:tcPr>
            <w:tcW w:w="5636" w:type="dxa"/>
          </w:tcPr>
          <w:p w14:paraId="5E035E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424CAC7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r>
      <w:tr w:rsidR="00983732" w:rsidRPr="00A3026E" w14:paraId="0E8A3242" w14:textId="77777777" w:rsidTr="00EA0DA7">
        <w:tc>
          <w:tcPr>
            <w:tcW w:w="5636" w:type="dxa"/>
          </w:tcPr>
          <w:p w14:paraId="22E255A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5FFD2BE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9900</w:t>
            </w:r>
          </w:p>
        </w:tc>
      </w:tr>
      <w:tr w:rsidR="00983732" w:rsidRPr="00A3026E" w14:paraId="14F437CF" w14:textId="77777777" w:rsidTr="00EA0DA7">
        <w:tc>
          <w:tcPr>
            <w:tcW w:w="5636" w:type="dxa"/>
          </w:tcPr>
          <w:p w14:paraId="66B6D2A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0EBD731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r>
      <w:tr w:rsidR="00983732" w:rsidRPr="00A3026E" w14:paraId="275659F4" w14:textId="77777777" w:rsidTr="00EA0DA7">
        <w:tc>
          <w:tcPr>
            <w:tcW w:w="5636" w:type="dxa"/>
          </w:tcPr>
          <w:p w14:paraId="780DB18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405F694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6E4B1414" w14:textId="77777777" w:rsidTr="00EA0DA7">
        <w:tc>
          <w:tcPr>
            <w:tcW w:w="5636" w:type="dxa"/>
          </w:tcPr>
          <w:p w14:paraId="36C5AFF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58FC9E2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с полотняной обшивкой, нет люка в фюзеляже, нет РСИ-3, старая приборная доска, нет ролика на костыле.</w:t>
            </w:r>
          </w:p>
        </w:tc>
      </w:tr>
      <w:tr w:rsidR="00983732" w:rsidRPr="00A3026E" w14:paraId="20F9541E" w14:textId="77777777" w:rsidTr="00EA0DA7">
        <w:tc>
          <w:tcPr>
            <w:tcW w:w="5636" w:type="dxa"/>
            <w:tcBorders>
              <w:bottom w:val="single" w:sz="12" w:space="0" w:color="auto"/>
            </w:tcBorders>
          </w:tcPr>
          <w:p w14:paraId="514E370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Основные дефекты</w:t>
            </w:r>
          </w:p>
        </w:tc>
        <w:tc>
          <w:tcPr>
            <w:tcW w:w="5002" w:type="dxa"/>
            <w:tcBorders>
              <w:bottom w:val="single" w:sz="12" w:space="0" w:color="auto"/>
            </w:tcBorders>
          </w:tcPr>
          <w:p w14:paraId="40A1F9C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Плохая аэродинамика крыла (швы). Перегрев масла на наборе высоты и тоже, что на опытном.</w:t>
            </w:r>
          </w:p>
        </w:tc>
      </w:tr>
    </w:tbl>
    <w:p w14:paraId="181CB52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05F549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«29»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6F185D2B" w14:textId="77777777" w:rsidTr="00EA0DA7">
        <w:tc>
          <w:tcPr>
            <w:tcW w:w="5636" w:type="dxa"/>
            <w:tcBorders>
              <w:top w:val="single" w:sz="12" w:space="0" w:color="auto"/>
            </w:tcBorders>
          </w:tcPr>
          <w:p w14:paraId="043E000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5992C83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r>
      <w:tr w:rsidR="00983732" w:rsidRPr="00A3026E" w14:paraId="0F9DB441" w14:textId="77777777" w:rsidTr="00EA0DA7">
        <w:tc>
          <w:tcPr>
            <w:tcW w:w="5636" w:type="dxa"/>
          </w:tcPr>
          <w:p w14:paraId="14BB1D6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6962D54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049356DB" w14:textId="77777777" w:rsidTr="00EA0DA7">
        <w:tc>
          <w:tcPr>
            <w:tcW w:w="5636" w:type="dxa"/>
          </w:tcPr>
          <w:p w14:paraId="3018EDD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47683A5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r>
      <w:tr w:rsidR="00983732" w:rsidRPr="00A3026E" w14:paraId="214A5E6D" w14:textId="77777777" w:rsidTr="00EA0DA7">
        <w:tc>
          <w:tcPr>
            <w:tcW w:w="5636" w:type="dxa"/>
          </w:tcPr>
          <w:p w14:paraId="2377BFF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440C273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733692C" w14:textId="77777777" w:rsidTr="00EA0DA7">
        <w:tc>
          <w:tcPr>
            <w:tcW w:w="5636" w:type="dxa"/>
          </w:tcPr>
          <w:p w14:paraId="3D153A7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7270A9E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419</w:t>
            </w:r>
          </w:p>
        </w:tc>
      </w:tr>
      <w:tr w:rsidR="00983732" w:rsidRPr="00A3026E" w14:paraId="3572A144" w14:textId="77777777" w:rsidTr="00EA0DA7">
        <w:tc>
          <w:tcPr>
            <w:tcW w:w="5636" w:type="dxa"/>
          </w:tcPr>
          <w:p w14:paraId="3A569D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27F3222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470/4480 б/р.о. и подвесн. баков</w:t>
            </w:r>
          </w:p>
        </w:tc>
      </w:tr>
      <w:tr w:rsidR="00983732" w:rsidRPr="00A3026E" w14:paraId="223F1B8D" w14:textId="77777777" w:rsidTr="00EA0DA7">
        <w:tc>
          <w:tcPr>
            <w:tcW w:w="5636" w:type="dxa"/>
          </w:tcPr>
          <w:p w14:paraId="09A178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12A36AA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r>
      <w:tr w:rsidR="00983732" w:rsidRPr="00A3026E" w14:paraId="1C39081F" w14:textId="77777777" w:rsidTr="00EA0DA7">
        <w:tc>
          <w:tcPr>
            <w:tcW w:w="5636" w:type="dxa"/>
          </w:tcPr>
          <w:p w14:paraId="6A10C15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1FD7287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17-19</w:t>
            </w:r>
          </w:p>
        </w:tc>
      </w:tr>
      <w:tr w:rsidR="00983732" w:rsidRPr="00A3026E" w14:paraId="7BD474AB" w14:textId="77777777" w:rsidTr="00EA0DA7">
        <w:tc>
          <w:tcPr>
            <w:tcW w:w="5636" w:type="dxa"/>
          </w:tcPr>
          <w:p w14:paraId="52F9566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42741EF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r>
      <w:tr w:rsidR="00983732" w:rsidRPr="00A3026E" w14:paraId="729217CE" w14:textId="77777777" w:rsidTr="00EA0DA7">
        <w:tc>
          <w:tcPr>
            <w:tcW w:w="5636" w:type="dxa"/>
          </w:tcPr>
          <w:p w14:paraId="208CB1E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509155B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9800</w:t>
            </w:r>
          </w:p>
        </w:tc>
      </w:tr>
      <w:tr w:rsidR="00983732" w:rsidRPr="00A3026E" w14:paraId="57A41619" w14:textId="77777777" w:rsidTr="00EA0DA7">
        <w:tc>
          <w:tcPr>
            <w:tcW w:w="5636" w:type="dxa"/>
          </w:tcPr>
          <w:p w14:paraId="69A8413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76DB56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r>
      <w:tr w:rsidR="00983732" w:rsidRPr="00A3026E" w14:paraId="3F0BCA6E" w14:textId="77777777" w:rsidTr="00EA0DA7">
        <w:tc>
          <w:tcPr>
            <w:tcW w:w="5636" w:type="dxa"/>
          </w:tcPr>
          <w:p w14:paraId="4CF0AB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47E88A3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33FC140B" w14:textId="77777777" w:rsidTr="00EA0DA7">
        <w:tc>
          <w:tcPr>
            <w:tcW w:w="5636" w:type="dxa"/>
          </w:tcPr>
          <w:p w14:paraId="4261C5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BDD4DB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w:t>
            </w:r>
          </w:p>
        </w:tc>
      </w:tr>
      <w:tr w:rsidR="00983732" w:rsidRPr="00A3026E" w14:paraId="3F70F7DB" w14:textId="77777777" w:rsidTr="00EA0DA7">
        <w:tc>
          <w:tcPr>
            <w:tcW w:w="5636" w:type="dxa"/>
          </w:tcPr>
          <w:p w14:paraId="6899AF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6AE71DD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Изменено вооружение. Установлена рация. Подкрыльные факелы убир. Установлены подвесные бензобаки. Установлены 6-РО-82. Приборная доска старая.</w:t>
            </w:r>
          </w:p>
        </w:tc>
      </w:tr>
      <w:tr w:rsidR="00983732" w:rsidRPr="00A3026E" w14:paraId="01CE37CD" w14:textId="77777777" w:rsidTr="00EA0DA7">
        <w:tc>
          <w:tcPr>
            <w:tcW w:w="5636" w:type="dxa"/>
            <w:tcBorders>
              <w:bottom w:val="single" w:sz="12" w:space="0" w:color="auto"/>
            </w:tcBorders>
          </w:tcPr>
          <w:p w14:paraId="6BE1674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Borders>
              <w:bottom w:val="single" w:sz="12" w:space="0" w:color="auto"/>
            </w:tcBorders>
          </w:tcPr>
          <w:p w14:paraId="4144A72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Переохлаждение на планировании. Поломка выхлопных патрубков. Плохая аэродинамика крыла (полотно, швы, отделка).</w:t>
            </w:r>
          </w:p>
        </w:tc>
      </w:tr>
    </w:tbl>
    <w:p w14:paraId="5F3F6DC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1F62DE2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1F00AB19" w14:textId="77777777" w:rsidTr="00EA0DA7">
        <w:tc>
          <w:tcPr>
            <w:tcW w:w="5636" w:type="dxa"/>
            <w:tcBorders>
              <w:top w:val="single" w:sz="12" w:space="0" w:color="auto"/>
            </w:tcBorders>
          </w:tcPr>
          <w:p w14:paraId="2EF283B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28B4111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r>
      <w:tr w:rsidR="00983732" w:rsidRPr="00A3026E" w14:paraId="209D50B2" w14:textId="77777777" w:rsidTr="00EA0DA7">
        <w:tc>
          <w:tcPr>
            <w:tcW w:w="5636" w:type="dxa"/>
          </w:tcPr>
          <w:p w14:paraId="77B0AEB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502B1A5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1B99B534" w14:textId="77777777" w:rsidTr="00EA0DA7">
        <w:tc>
          <w:tcPr>
            <w:tcW w:w="5636" w:type="dxa"/>
          </w:tcPr>
          <w:p w14:paraId="4E2D8A2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441959E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1966</w:t>
            </w:r>
          </w:p>
        </w:tc>
      </w:tr>
      <w:tr w:rsidR="00983732" w:rsidRPr="00A3026E" w14:paraId="1ADBE705" w14:textId="77777777" w:rsidTr="00EA0DA7">
        <w:tc>
          <w:tcPr>
            <w:tcW w:w="5636" w:type="dxa"/>
          </w:tcPr>
          <w:p w14:paraId="72C942A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2E0F452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444C751" w14:textId="77777777" w:rsidTr="00EA0DA7">
        <w:tc>
          <w:tcPr>
            <w:tcW w:w="5636" w:type="dxa"/>
          </w:tcPr>
          <w:p w14:paraId="013A71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3A11B47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408</w:t>
            </w:r>
          </w:p>
        </w:tc>
      </w:tr>
      <w:tr w:rsidR="00983732" w:rsidRPr="00A3026E" w14:paraId="63F7374D" w14:textId="77777777" w:rsidTr="00EA0DA7">
        <w:tc>
          <w:tcPr>
            <w:tcW w:w="5636" w:type="dxa"/>
          </w:tcPr>
          <w:p w14:paraId="6D9F596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15366CC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462/4350</w:t>
            </w:r>
          </w:p>
        </w:tc>
      </w:tr>
      <w:tr w:rsidR="00983732" w:rsidRPr="00A3026E" w14:paraId="7BE1F5BB" w14:textId="77777777" w:rsidTr="00EA0DA7">
        <w:tc>
          <w:tcPr>
            <w:tcW w:w="5636" w:type="dxa"/>
          </w:tcPr>
          <w:p w14:paraId="1E1163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1C18BB9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w:t>
            </w:r>
          </w:p>
        </w:tc>
      </w:tr>
      <w:tr w:rsidR="00983732" w:rsidRPr="00A3026E" w14:paraId="6605C6EA" w14:textId="77777777" w:rsidTr="00EA0DA7">
        <w:tc>
          <w:tcPr>
            <w:tcW w:w="5636" w:type="dxa"/>
          </w:tcPr>
          <w:p w14:paraId="269D11A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72BA095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16-17</w:t>
            </w:r>
          </w:p>
        </w:tc>
      </w:tr>
      <w:tr w:rsidR="00983732" w:rsidRPr="00A3026E" w14:paraId="25DD8676" w14:textId="77777777" w:rsidTr="00EA0DA7">
        <w:tc>
          <w:tcPr>
            <w:tcW w:w="5636" w:type="dxa"/>
          </w:tcPr>
          <w:p w14:paraId="06ACFDB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358E0EE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w:t>
            </w:r>
          </w:p>
        </w:tc>
      </w:tr>
      <w:tr w:rsidR="00983732" w:rsidRPr="00A3026E" w14:paraId="1BA6A7DF" w14:textId="77777777" w:rsidTr="00EA0DA7">
        <w:tc>
          <w:tcPr>
            <w:tcW w:w="5636" w:type="dxa"/>
          </w:tcPr>
          <w:p w14:paraId="3E7C239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3B6E90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9800</w:t>
            </w:r>
          </w:p>
        </w:tc>
      </w:tr>
      <w:tr w:rsidR="00983732" w:rsidRPr="00A3026E" w14:paraId="74B0E16D" w14:textId="77777777" w:rsidTr="00EA0DA7">
        <w:tc>
          <w:tcPr>
            <w:tcW w:w="5636" w:type="dxa"/>
          </w:tcPr>
          <w:p w14:paraId="6382D16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2CA9446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r>
      <w:tr w:rsidR="00983732" w:rsidRPr="00A3026E" w14:paraId="33BBBD8D" w14:textId="77777777" w:rsidTr="00EA0DA7">
        <w:tc>
          <w:tcPr>
            <w:tcW w:w="5636" w:type="dxa"/>
          </w:tcPr>
          <w:p w14:paraId="40C508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61E5460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w:t>
            </w:r>
          </w:p>
        </w:tc>
      </w:tr>
      <w:tr w:rsidR="00983732" w:rsidRPr="00A3026E" w14:paraId="307AC959" w14:textId="77777777" w:rsidTr="00EA0DA7">
        <w:tc>
          <w:tcPr>
            <w:tcW w:w="5636" w:type="dxa"/>
          </w:tcPr>
          <w:p w14:paraId="4463A99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E6E81E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БС</w:t>
            </w:r>
          </w:p>
        </w:tc>
      </w:tr>
      <w:tr w:rsidR="00983732" w:rsidRPr="00A3026E" w14:paraId="5A85EEF8" w14:textId="77777777" w:rsidTr="00EA0DA7">
        <w:tc>
          <w:tcPr>
            <w:tcW w:w="5636" w:type="dxa"/>
          </w:tcPr>
          <w:p w14:paraId="718B1EE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12DF11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РО-82</w:t>
            </w:r>
          </w:p>
        </w:tc>
      </w:tr>
      <w:tr w:rsidR="00983732" w:rsidRPr="00A3026E" w14:paraId="0C90FBF2" w14:textId="77777777" w:rsidTr="00EA0DA7">
        <w:tc>
          <w:tcPr>
            <w:tcW w:w="5636" w:type="dxa"/>
          </w:tcPr>
          <w:p w14:paraId="5F2D791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6E8C046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Изменено вооружение. Установлена рация. Подкрыльные факелы убир. Установлены подвесные бензобаки. Установлены 6-РО-82. Приборная доска старая. Все данные с РО без РС и подвесных бензобаков.</w:t>
            </w:r>
          </w:p>
        </w:tc>
      </w:tr>
      <w:tr w:rsidR="00983732" w:rsidRPr="00A3026E" w14:paraId="37759CA5" w14:textId="77777777" w:rsidTr="00EA0DA7">
        <w:tc>
          <w:tcPr>
            <w:tcW w:w="5636" w:type="dxa"/>
            <w:tcBorders>
              <w:bottom w:val="single" w:sz="12" w:space="0" w:color="auto"/>
            </w:tcBorders>
          </w:tcPr>
          <w:p w14:paraId="311E2C6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Borders>
              <w:bottom w:val="single" w:sz="12" w:space="0" w:color="auto"/>
            </w:tcBorders>
          </w:tcPr>
          <w:p w14:paraId="6D9991A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Переохлаждение на планировании. Поломка выхлопных патрубков. Плохая аэродинамика крыла (полотно, швы, отделка).</w:t>
            </w:r>
          </w:p>
        </w:tc>
      </w:tr>
    </w:tbl>
    <w:p w14:paraId="36072BD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4C2A0F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модификаций самолета И-153 по годам</w:t>
      </w:r>
    </w:p>
    <w:p w14:paraId="04AA41F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 (ЦКБ-3) опытный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1C975C0D" w14:textId="77777777" w:rsidTr="00EA0DA7">
        <w:tc>
          <w:tcPr>
            <w:tcW w:w="5636" w:type="dxa"/>
            <w:tcBorders>
              <w:top w:val="single" w:sz="12" w:space="0" w:color="auto"/>
            </w:tcBorders>
          </w:tcPr>
          <w:p w14:paraId="12B2649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60C910D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Р.Ц. F-3</w:t>
            </w:r>
          </w:p>
        </w:tc>
      </w:tr>
      <w:tr w:rsidR="00983732" w:rsidRPr="00A3026E" w14:paraId="1A6BDB23" w14:textId="77777777" w:rsidTr="00EA0DA7">
        <w:tc>
          <w:tcPr>
            <w:tcW w:w="5636" w:type="dxa"/>
          </w:tcPr>
          <w:p w14:paraId="75B319B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72ED734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Гамильтон</w:t>
            </w:r>
          </w:p>
        </w:tc>
      </w:tr>
      <w:tr w:rsidR="00983732" w:rsidRPr="00A3026E" w14:paraId="63FC6F28" w14:textId="77777777" w:rsidTr="00EA0DA7">
        <w:tc>
          <w:tcPr>
            <w:tcW w:w="5636" w:type="dxa"/>
          </w:tcPr>
          <w:p w14:paraId="36C282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5F1C83E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1357,9</w:t>
            </w:r>
          </w:p>
        </w:tc>
      </w:tr>
      <w:tr w:rsidR="00983732" w:rsidRPr="00A3026E" w14:paraId="4E98C57F" w14:textId="77777777" w:rsidTr="00EA0DA7">
        <w:tc>
          <w:tcPr>
            <w:tcW w:w="5636" w:type="dxa"/>
          </w:tcPr>
          <w:p w14:paraId="66414D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724B521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83723FB" w14:textId="77777777" w:rsidTr="00EA0DA7">
        <w:tc>
          <w:tcPr>
            <w:tcW w:w="5636" w:type="dxa"/>
          </w:tcPr>
          <w:p w14:paraId="55DD794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2C8227A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324</w:t>
            </w:r>
          </w:p>
        </w:tc>
      </w:tr>
      <w:tr w:rsidR="00983732" w:rsidRPr="00A3026E" w14:paraId="5D48F297" w14:textId="77777777" w:rsidTr="00EA0DA7">
        <w:tc>
          <w:tcPr>
            <w:tcW w:w="5636" w:type="dxa"/>
          </w:tcPr>
          <w:p w14:paraId="166C1B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4C686DC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353/3000</w:t>
            </w:r>
          </w:p>
        </w:tc>
      </w:tr>
      <w:tr w:rsidR="00983732" w:rsidRPr="00A3026E" w14:paraId="04B86AAC" w14:textId="77777777" w:rsidTr="00EA0DA7">
        <w:tc>
          <w:tcPr>
            <w:tcW w:w="5636" w:type="dxa"/>
          </w:tcPr>
          <w:p w14:paraId="528F6FA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63BA7F7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80-85</w:t>
            </w:r>
          </w:p>
        </w:tc>
      </w:tr>
      <w:tr w:rsidR="00983732" w:rsidRPr="00A3026E" w14:paraId="075D0E23" w14:textId="77777777" w:rsidTr="00EA0DA7">
        <w:tc>
          <w:tcPr>
            <w:tcW w:w="5636" w:type="dxa"/>
          </w:tcPr>
          <w:p w14:paraId="31E100A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1FE3F5E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r>
      <w:tr w:rsidR="00983732" w:rsidRPr="00A3026E" w14:paraId="4C0C56DA" w14:textId="77777777" w:rsidTr="00EA0DA7">
        <w:tc>
          <w:tcPr>
            <w:tcW w:w="5636" w:type="dxa"/>
          </w:tcPr>
          <w:p w14:paraId="17F4142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09B6FC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r>
      <w:tr w:rsidR="00983732" w:rsidRPr="00A3026E" w14:paraId="02835767" w14:textId="77777777" w:rsidTr="00EA0DA7">
        <w:tc>
          <w:tcPr>
            <w:tcW w:w="5636" w:type="dxa"/>
          </w:tcPr>
          <w:p w14:paraId="106CCD0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390150B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tc>
      </w:tr>
      <w:tr w:rsidR="00983732" w:rsidRPr="00A3026E" w14:paraId="6785F9E3" w14:textId="77777777" w:rsidTr="00EA0DA7">
        <w:tc>
          <w:tcPr>
            <w:tcW w:w="5636" w:type="dxa"/>
          </w:tcPr>
          <w:p w14:paraId="03BCBDB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7AC80C1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r>
      <w:tr w:rsidR="00983732" w:rsidRPr="00A3026E" w14:paraId="6BB2787D" w14:textId="77777777" w:rsidTr="00EA0DA7">
        <w:tc>
          <w:tcPr>
            <w:tcW w:w="5636" w:type="dxa"/>
          </w:tcPr>
          <w:p w14:paraId="19D0551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685DA5E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4ПВ-1</w:t>
            </w:r>
          </w:p>
        </w:tc>
      </w:tr>
      <w:tr w:rsidR="00983732" w:rsidRPr="00A3026E" w14:paraId="7700A1F8" w14:textId="77777777" w:rsidTr="00EA0DA7">
        <w:tc>
          <w:tcPr>
            <w:tcW w:w="5636" w:type="dxa"/>
          </w:tcPr>
          <w:p w14:paraId="38C550F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04C0E43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Прототип.</w:t>
            </w:r>
          </w:p>
        </w:tc>
      </w:tr>
      <w:tr w:rsidR="00983732" w:rsidRPr="00A3026E" w14:paraId="212F6393" w14:textId="77777777" w:rsidTr="00EA0DA7">
        <w:tc>
          <w:tcPr>
            <w:tcW w:w="5636" w:type="dxa"/>
          </w:tcPr>
          <w:p w14:paraId="6E528E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Pr>
          <w:p w14:paraId="70344B0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Недостаточная устойчивость пути.</w:t>
            </w:r>
          </w:p>
        </w:tc>
      </w:tr>
      <w:tr w:rsidR="00983732" w:rsidRPr="00A3026E" w14:paraId="58C5F8B3" w14:textId="77777777" w:rsidTr="00EA0DA7">
        <w:tc>
          <w:tcPr>
            <w:tcW w:w="5636" w:type="dxa"/>
          </w:tcPr>
          <w:p w14:paraId="320BC70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Ненадежное крепление стакана одностоечного шасси.</w:t>
            </w:r>
          </w:p>
        </w:tc>
        <w:tc>
          <w:tcPr>
            <w:tcW w:w="5002" w:type="dxa"/>
          </w:tcPr>
          <w:p w14:paraId="08DE71F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16491ED" w14:textId="77777777" w:rsidTr="00EA0DA7">
        <w:tc>
          <w:tcPr>
            <w:tcW w:w="5636" w:type="dxa"/>
          </w:tcPr>
          <w:p w14:paraId="3DE2D62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Переохлаждение мотора.</w:t>
            </w:r>
          </w:p>
        </w:tc>
        <w:tc>
          <w:tcPr>
            <w:tcW w:w="5002" w:type="dxa"/>
          </w:tcPr>
          <w:p w14:paraId="423F4C7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2099DEB" w14:textId="77777777" w:rsidTr="00EA0DA7">
        <w:tc>
          <w:tcPr>
            <w:tcW w:w="5636" w:type="dxa"/>
            <w:tcBorders>
              <w:bottom w:val="single" w:sz="12" w:space="0" w:color="auto"/>
            </w:tcBorders>
          </w:tcPr>
          <w:p w14:paraId="5A3EE2C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Вибрация элеронов.</w:t>
            </w:r>
          </w:p>
        </w:tc>
        <w:tc>
          <w:tcPr>
            <w:tcW w:w="5002" w:type="dxa"/>
            <w:tcBorders>
              <w:bottom w:val="single" w:sz="12" w:space="0" w:color="auto"/>
            </w:tcBorders>
          </w:tcPr>
          <w:p w14:paraId="398EB02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35FC059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06FDED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 головной серийный 1934 г., завод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74AA1462" w14:textId="77777777" w:rsidTr="00EA0DA7">
        <w:tc>
          <w:tcPr>
            <w:tcW w:w="5636" w:type="dxa"/>
            <w:tcBorders>
              <w:top w:val="single" w:sz="12" w:space="0" w:color="auto"/>
            </w:tcBorders>
          </w:tcPr>
          <w:p w14:paraId="7EC53F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701BC6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РЦ F-3</w:t>
            </w:r>
          </w:p>
        </w:tc>
      </w:tr>
      <w:tr w:rsidR="00983732" w:rsidRPr="00A3026E" w14:paraId="2473D5F3" w14:textId="77777777" w:rsidTr="00EA0DA7">
        <w:tc>
          <w:tcPr>
            <w:tcW w:w="5636" w:type="dxa"/>
          </w:tcPr>
          <w:p w14:paraId="3BDCE1A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23CA56E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w:t>
            </w:r>
          </w:p>
        </w:tc>
      </w:tr>
      <w:tr w:rsidR="00983732" w:rsidRPr="00A3026E" w14:paraId="25EE8ABA" w14:textId="77777777" w:rsidTr="00EA0DA7">
        <w:tc>
          <w:tcPr>
            <w:tcW w:w="5636" w:type="dxa"/>
          </w:tcPr>
          <w:p w14:paraId="0AE3877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55CFF4C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1389</w:t>
            </w:r>
          </w:p>
        </w:tc>
      </w:tr>
      <w:tr w:rsidR="00983732" w:rsidRPr="00A3026E" w14:paraId="79925AD3" w14:textId="77777777" w:rsidTr="00EA0DA7">
        <w:tc>
          <w:tcPr>
            <w:tcW w:w="5636" w:type="dxa"/>
          </w:tcPr>
          <w:p w14:paraId="4B4CD4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5D90081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444544C" w14:textId="77777777" w:rsidTr="00EA0DA7">
        <w:tc>
          <w:tcPr>
            <w:tcW w:w="5636" w:type="dxa"/>
          </w:tcPr>
          <w:p w14:paraId="7EB34B0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3F517D6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315</w:t>
            </w:r>
          </w:p>
        </w:tc>
      </w:tr>
      <w:tr w:rsidR="00983732" w:rsidRPr="00A3026E" w14:paraId="635D689E" w14:textId="77777777" w:rsidTr="00EA0DA7">
        <w:tc>
          <w:tcPr>
            <w:tcW w:w="5636" w:type="dxa"/>
          </w:tcPr>
          <w:p w14:paraId="3C62C1D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33B289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367/3000</w:t>
            </w:r>
          </w:p>
        </w:tc>
      </w:tr>
      <w:tr w:rsidR="00983732" w:rsidRPr="00A3026E" w14:paraId="6402CF00" w14:textId="77777777" w:rsidTr="00EA0DA7">
        <w:tc>
          <w:tcPr>
            <w:tcW w:w="5636" w:type="dxa"/>
          </w:tcPr>
          <w:p w14:paraId="11836B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79CDB7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r>
      <w:tr w:rsidR="00983732" w:rsidRPr="00A3026E" w14:paraId="51715CA1" w14:textId="77777777" w:rsidTr="00EA0DA7">
        <w:tc>
          <w:tcPr>
            <w:tcW w:w="5636" w:type="dxa"/>
          </w:tcPr>
          <w:p w14:paraId="5ACC1D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638DC9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r>
      <w:tr w:rsidR="00983732" w:rsidRPr="00A3026E" w14:paraId="4EB53B77" w14:textId="77777777" w:rsidTr="00EA0DA7">
        <w:tc>
          <w:tcPr>
            <w:tcW w:w="5636" w:type="dxa"/>
          </w:tcPr>
          <w:p w14:paraId="04FB606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3AAE60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w:t>
            </w:r>
          </w:p>
        </w:tc>
      </w:tr>
      <w:tr w:rsidR="00983732" w:rsidRPr="00A3026E" w14:paraId="22C8BB2A" w14:textId="77777777" w:rsidTr="00EA0DA7">
        <w:tc>
          <w:tcPr>
            <w:tcW w:w="5636" w:type="dxa"/>
          </w:tcPr>
          <w:p w14:paraId="19B71B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209C2F2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9800</w:t>
            </w:r>
          </w:p>
        </w:tc>
      </w:tr>
      <w:tr w:rsidR="00983732" w:rsidRPr="00A3026E" w14:paraId="69061539" w14:textId="77777777" w:rsidTr="00EA0DA7">
        <w:tc>
          <w:tcPr>
            <w:tcW w:w="5636" w:type="dxa"/>
          </w:tcPr>
          <w:p w14:paraId="09C0FA4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4B4D215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w:t>
            </w:r>
          </w:p>
        </w:tc>
      </w:tr>
      <w:tr w:rsidR="00983732" w:rsidRPr="00A3026E" w14:paraId="200BC16E" w14:textId="77777777" w:rsidTr="00EA0DA7">
        <w:tc>
          <w:tcPr>
            <w:tcW w:w="5636" w:type="dxa"/>
          </w:tcPr>
          <w:p w14:paraId="2969122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3EE987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4ПВ-1</w:t>
            </w:r>
          </w:p>
        </w:tc>
      </w:tr>
      <w:tr w:rsidR="00983732" w:rsidRPr="00A3026E" w14:paraId="27ECCFF9" w14:textId="77777777" w:rsidTr="00EA0DA7">
        <w:tc>
          <w:tcPr>
            <w:tcW w:w="5636" w:type="dxa"/>
          </w:tcPr>
          <w:p w14:paraId="7E08596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215A7F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Усилено крепление стакана шасси.</w:t>
            </w:r>
          </w:p>
        </w:tc>
      </w:tr>
      <w:tr w:rsidR="00983732" w:rsidRPr="00A3026E" w14:paraId="77B47FB5" w14:textId="77777777" w:rsidTr="00EA0DA7">
        <w:tc>
          <w:tcPr>
            <w:tcW w:w="5636" w:type="dxa"/>
          </w:tcPr>
          <w:p w14:paraId="42F34CB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AD3BA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Устранена вибрация элеронов.</w:t>
            </w:r>
          </w:p>
        </w:tc>
      </w:tr>
      <w:tr w:rsidR="00983732" w:rsidRPr="00A3026E" w14:paraId="469041E9" w14:textId="77777777" w:rsidTr="00EA0DA7">
        <w:tc>
          <w:tcPr>
            <w:tcW w:w="5636" w:type="dxa"/>
          </w:tcPr>
          <w:p w14:paraId="6294314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A33214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Улучшена устойчивость пути.</w:t>
            </w:r>
          </w:p>
        </w:tc>
      </w:tr>
      <w:tr w:rsidR="00983732" w:rsidRPr="00A3026E" w14:paraId="01AB0746" w14:textId="77777777" w:rsidTr="00EA0DA7">
        <w:tc>
          <w:tcPr>
            <w:tcW w:w="5636" w:type="dxa"/>
          </w:tcPr>
          <w:p w14:paraId="273D6C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A7550D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Улучшен капотаж.</w:t>
            </w:r>
          </w:p>
        </w:tc>
      </w:tr>
      <w:tr w:rsidR="00983732" w:rsidRPr="00A3026E" w14:paraId="3BA6EE09" w14:textId="77777777" w:rsidTr="00EA0DA7">
        <w:tc>
          <w:tcPr>
            <w:tcW w:w="5636" w:type="dxa"/>
          </w:tcPr>
          <w:p w14:paraId="1942C0B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Pr>
          <w:p w14:paraId="30E77CA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Поломка ног шасси.</w:t>
            </w:r>
          </w:p>
        </w:tc>
      </w:tr>
      <w:tr w:rsidR="00983732" w:rsidRPr="00A3026E" w14:paraId="6FE7330B" w14:textId="77777777" w:rsidTr="00EA0DA7">
        <w:tc>
          <w:tcPr>
            <w:tcW w:w="5636" w:type="dxa"/>
          </w:tcPr>
          <w:p w14:paraId="0E06AC6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110E3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Обрыв обшивки крыльев и поломка моторамы.</w:t>
            </w:r>
          </w:p>
        </w:tc>
      </w:tr>
      <w:tr w:rsidR="00983732" w:rsidRPr="00A3026E" w14:paraId="3C5293CF" w14:textId="77777777" w:rsidTr="00EA0DA7">
        <w:tc>
          <w:tcPr>
            <w:tcW w:w="5636" w:type="dxa"/>
          </w:tcPr>
          <w:p w14:paraId="139E321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6F3A6C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Поломка фюзеляжа.</w:t>
            </w:r>
          </w:p>
        </w:tc>
      </w:tr>
      <w:tr w:rsidR="00983732" w:rsidRPr="00A3026E" w14:paraId="3D9E3E23" w14:textId="77777777" w:rsidTr="00EA0DA7">
        <w:tc>
          <w:tcPr>
            <w:tcW w:w="5636" w:type="dxa"/>
          </w:tcPr>
          <w:p w14:paraId="46FD52C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F5D695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Неудовлетворительный обзор и устойчивость пути (рыскание.</w:t>
            </w:r>
          </w:p>
        </w:tc>
      </w:tr>
      <w:tr w:rsidR="00983732" w:rsidRPr="00A3026E" w14:paraId="3C3FFC66" w14:textId="77777777" w:rsidTr="00EA0DA7">
        <w:tc>
          <w:tcPr>
            <w:tcW w:w="5636" w:type="dxa"/>
            <w:tcBorders>
              <w:bottom w:val="single" w:sz="12" w:space="0" w:color="auto"/>
            </w:tcBorders>
          </w:tcPr>
          <w:p w14:paraId="7AC2AC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195A677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 с производства в конце 1935 г. из-за дефектов.</w:t>
            </w:r>
          </w:p>
        </w:tc>
      </w:tr>
    </w:tbl>
    <w:p w14:paraId="7DC2A96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FEA82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 опытный 1935 г., завод № 39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722C3A9B" w14:textId="77777777" w:rsidTr="00EA0DA7">
        <w:tc>
          <w:tcPr>
            <w:tcW w:w="5636" w:type="dxa"/>
            <w:tcBorders>
              <w:top w:val="single" w:sz="12" w:space="0" w:color="auto"/>
            </w:tcBorders>
          </w:tcPr>
          <w:p w14:paraId="5295BDB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559C8F2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РЦ F-3</w:t>
            </w:r>
          </w:p>
        </w:tc>
      </w:tr>
      <w:tr w:rsidR="00983732" w:rsidRPr="00A3026E" w14:paraId="3F54E474" w14:textId="77777777" w:rsidTr="00EA0DA7">
        <w:tc>
          <w:tcPr>
            <w:tcW w:w="5636" w:type="dxa"/>
          </w:tcPr>
          <w:p w14:paraId="25D1470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689F38D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w:t>
            </w:r>
          </w:p>
        </w:tc>
      </w:tr>
      <w:tr w:rsidR="00983732" w:rsidRPr="00A3026E" w14:paraId="407298DA" w14:textId="77777777" w:rsidTr="00EA0DA7">
        <w:tc>
          <w:tcPr>
            <w:tcW w:w="5636" w:type="dxa"/>
          </w:tcPr>
          <w:p w14:paraId="36CD072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7297B11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1472</w:t>
            </w:r>
          </w:p>
        </w:tc>
      </w:tr>
      <w:tr w:rsidR="00983732" w:rsidRPr="00A3026E" w14:paraId="57ADA74E" w14:textId="77777777" w:rsidTr="00EA0DA7">
        <w:tc>
          <w:tcPr>
            <w:tcW w:w="5636" w:type="dxa"/>
          </w:tcPr>
          <w:p w14:paraId="075EABA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55EBF1F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6B54F00A" w14:textId="77777777" w:rsidTr="00EA0DA7">
        <w:tc>
          <w:tcPr>
            <w:tcW w:w="5636" w:type="dxa"/>
          </w:tcPr>
          <w:p w14:paraId="3BF845B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3E98147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312</w:t>
            </w:r>
          </w:p>
        </w:tc>
      </w:tr>
      <w:tr w:rsidR="00983732" w:rsidRPr="00A3026E" w14:paraId="3B12DDDC" w14:textId="77777777" w:rsidTr="00EA0DA7">
        <w:tc>
          <w:tcPr>
            <w:tcW w:w="5636" w:type="dxa"/>
          </w:tcPr>
          <w:p w14:paraId="3489AA4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2056C01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360/3000</w:t>
            </w:r>
          </w:p>
        </w:tc>
      </w:tr>
      <w:tr w:rsidR="00983732" w:rsidRPr="00A3026E" w14:paraId="107A666B" w14:textId="77777777" w:rsidTr="00EA0DA7">
        <w:tc>
          <w:tcPr>
            <w:tcW w:w="5636" w:type="dxa"/>
          </w:tcPr>
          <w:p w14:paraId="5DD615A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790A05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w:t>
            </w:r>
          </w:p>
        </w:tc>
      </w:tr>
      <w:tr w:rsidR="00983732" w:rsidRPr="00A3026E" w14:paraId="5EE093C8" w14:textId="77777777" w:rsidTr="00EA0DA7">
        <w:tc>
          <w:tcPr>
            <w:tcW w:w="5636" w:type="dxa"/>
          </w:tcPr>
          <w:p w14:paraId="42B7CBB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200E47A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r>
      <w:tr w:rsidR="00983732" w:rsidRPr="00A3026E" w14:paraId="52CA59B7" w14:textId="77777777" w:rsidTr="00EA0DA7">
        <w:tc>
          <w:tcPr>
            <w:tcW w:w="5636" w:type="dxa"/>
          </w:tcPr>
          <w:p w14:paraId="68925AF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51B9750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w:t>
            </w:r>
          </w:p>
        </w:tc>
      </w:tr>
      <w:tr w:rsidR="00983732" w:rsidRPr="00A3026E" w14:paraId="4CD546C2" w14:textId="77777777" w:rsidTr="00EA0DA7">
        <w:tc>
          <w:tcPr>
            <w:tcW w:w="5636" w:type="dxa"/>
          </w:tcPr>
          <w:p w14:paraId="37E09D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3F0F66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8950</w:t>
            </w:r>
          </w:p>
        </w:tc>
      </w:tr>
      <w:tr w:rsidR="00983732" w:rsidRPr="00A3026E" w14:paraId="7AE054EC" w14:textId="77777777" w:rsidTr="00EA0DA7">
        <w:tc>
          <w:tcPr>
            <w:tcW w:w="5636" w:type="dxa"/>
          </w:tcPr>
          <w:p w14:paraId="2D085A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348C067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w:t>
            </w:r>
          </w:p>
        </w:tc>
      </w:tr>
      <w:tr w:rsidR="00983732" w:rsidRPr="00A3026E" w14:paraId="0E7B3C66" w14:textId="77777777" w:rsidTr="00EA0DA7">
        <w:tc>
          <w:tcPr>
            <w:tcW w:w="5636" w:type="dxa"/>
          </w:tcPr>
          <w:p w14:paraId="0B26D83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6C40D6B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4ПВ-1</w:t>
            </w:r>
          </w:p>
        </w:tc>
      </w:tr>
      <w:tr w:rsidR="00983732" w:rsidRPr="00A3026E" w14:paraId="021A3DBA" w14:textId="77777777" w:rsidTr="00EA0DA7">
        <w:tc>
          <w:tcPr>
            <w:tcW w:w="5636" w:type="dxa"/>
          </w:tcPr>
          <w:p w14:paraId="28C8D4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3B9945D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Центроплан взамен «Чайки» по типу самолета И-5.</w:t>
            </w:r>
          </w:p>
        </w:tc>
      </w:tr>
      <w:tr w:rsidR="00983732" w:rsidRPr="00A3026E" w14:paraId="48746E92" w14:textId="77777777" w:rsidTr="00EA0DA7">
        <w:tc>
          <w:tcPr>
            <w:tcW w:w="5636" w:type="dxa"/>
          </w:tcPr>
          <w:p w14:paraId="43BEC78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8F8B64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Установлен самопуск «Эклипс» и другое спецоборудование.</w:t>
            </w:r>
          </w:p>
        </w:tc>
      </w:tr>
      <w:tr w:rsidR="00983732" w:rsidRPr="00A3026E" w14:paraId="3CD3070D" w14:textId="77777777" w:rsidTr="00EA0DA7">
        <w:tc>
          <w:tcPr>
            <w:tcW w:w="5636" w:type="dxa"/>
            <w:tcBorders>
              <w:bottom w:val="single" w:sz="12" w:space="0" w:color="auto"/>
            </w:tcBorders>
          </w:tcPr>
          <w:p w14:paraId="35C2AF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Borders>
              <w:bottom w:val="single" w:sz="12" w:space="0" w:color="auto"/>
            </w:tcBorders>
          </w:tcPr>
          <w:p w14:paraId="08C65C6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Слабое крепление ног шасси.</w:t>
            </w:r>
          </w:p>
        </w:tc>
      </w:tr>
    </w:tbl>
    <w:p w14:paraId="06C243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659DE3E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1936 году самолет не строился. Был применен при выполнении спецзадания. Летных испытаний не производилось.</w:t>
      </w:r>
    </w:p>
    <w:p w14:paraId="753CEE7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И-15бис головной серийный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0F9FF453" w14:textId="77777777" w:rsidTr="00EA0DA7">
        <w:tc>
          <w:tcPr>
            <w:tcW w:w="5636" w:type="dxa"/>
            <w:tcBorders>
              <w:top w:val="single" w:sz="12" w:space="0" w:color="auto"/>
            </w:tcBorders>
          </w:tcPr>
          <w:p w14:paraId="3D94DAA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129595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r>
      <w:tr w:rsidR="00983732" w:rsidRPr="00A3026E" w14:paraId="647CA74F" w14:textId="77777777" w:rsidTr="00EA0DA7">
        <w:tc>
          <w:tcPr>
            <w:tcW w:w="5636" w:type="dxa"/>
          </w:tcPr>
          <w:p w14:paraId="066CBF6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14F70B6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 (217 мм)</w:t>
            </w:r>
          </w:p>
        </w:tc>
      </w:tr>
      <w:tr w:rsidR="00983732" w:rsidRPr="00A3026E" w14:paraId="27284159" w14:textId="77777777" w:rsidTr="00EA0DA7">
        <w:tc>
          <w:tcPr>
            <w:tcW w:w="5636" w:type="dxa"/>
          </w:tcPr>
          <w:p w14:paraId="1D2B737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26F8858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1750</w:t>
            </w:r>
          </w:p>
        </w:tc>
      </w:tr>
      <w:tr w:rsidR="00983732" w:rsidRPr="00A3026E" w14:paraId="2EF26AEB" w14:textId="77777777" w:rsidTr="00EA0DA7">
        <w:tc>
          <w:tcPr>
            <w:tcW w:w="5636" w:type="dxa"/>
          </w:tcPr>
          <w:p w14:paraId="4E5FC5F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4B3AEF1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0481FB9" w14:textId="77777777" w:rsidTr="00EA0DA7">
        <w:tc>
          <w:tcPr>
            <w:tcW w:w="5636" w:type="dxa"/>
          </w:tcPr>
          <w:p w14:paraId="24FC89F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0746C03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321</w:t>
            </w:r>
          </w:p>
        </w:tc>
      </w:tr>
      <w:tr w:rsidR="00983732" w:rsidRPr="00A3026E" w14:paraId="12DDC082" w14:textId="77777777" w:rsidTr="00EA0DA7">
        <w:tc>
          <w:tcPr>
            <w:tcW w:w="5636" w:type="dxa"/>
          </w:tcPr>
          <w:p w14:paraId="29F5C2B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543BBD6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370/3500</w:t>
            </w:r>
          </w:p>
        </w:tc>
      </w:tr>
      <w:tr w:rsidR="00983732" w:rsidRPr="00A3026E" w14:paraId="503C8040" w14:textId="77777777" w:rsidTr="00EA0DA7">
        <w:tc>
          <w:tcPr>
            <w:tcW w:w="5636" w:type="dxa"/>
          </w:tcPr>
          <w:p w14:paraId="602EF5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048DD54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0ECCEA22" w14:textId="77777777" w:rsidTr="00EA0DA7">
        <w:tc>
          <w:tcPr>
            <w:tcW w:w="5636" w:type="dxa"/>
          </w:tcPr>
          <w:p w14:paraId="3C1107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745C2A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r>
      <w:tr w:rsidR="00983732" w:rsidRPr="00A3026E" w14:paraId="64D6DD1E" w14:textId="77777777" w:rsidTr="00EA0DA7">
        <w:tc>
          <w:tcPr>
            <w:tcW w:w="5636" w:type="dxa"/>
          </w:tcPr>
          <w:p w14:paraId="663EE5F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1608A60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6,75</w:t>
            </w:r>
          </w:p>
        </w:tc>
      </w:tr>
      <w:tr w:rsidR="00983732" w:rsidRPr="00A3026E" w14:paraId="6F605A24" w14:textId="77777777" w:rsidTr="00EA0DA7">
        <w:tc>
          <w:tcPr>
            <w:tcW w:w="5636" w:type="dxa"/>
          </w:tcPr>
          <w:p w14:paraId="21EDC20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3939899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8980</w:t>
            </w:r>
          </w:p>
        </w:tc>
      </w:tr>
      <w:tr w:rsidR="00983732" w:rsidRPr="00A3026E" w14:paraId="18C50187" w14:textId="77777777" w:rsidTr="00EA0DA7">
        <w:tc>
          <w:tcPr>
            <w:tcW w:w="5636" w:type="dxa"/>
          </w:tcPr>
          <w:p w14:paraId="5E6F13A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6652FD1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525</w:t>
            </w:r>
          </w:p>
        </w:tc>
      </w:tr>
      <w:tr w:rsidR="00983732" w:rsidRPr="00A3026E" w14:paraId="6DB1AE85" w14:textId="77777777" w:rsidTr="00EA0DA7">
        <w:tc>
          <w:tcPr>
            <w:tcW w:w="5636" w:type="dxa"/>
          </w:tcPr>
          <w:p w14:paraId="58D8502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7D8836F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4ПВ-1</w:t>
            </w:r>
          </w:p>
        </w:tc>
      </w:tr>
      <w:tr w:rsidR="00983732" w:rsidRPr="00A3026E" w14:paraId="05830919" w14:textId="77777777" w:rsidTr="00EA0DA7">
        <w:tc>
          <w:tcPr>
            <w:tcW w:w="5636" w:type="dxa"/>
          </w:tcPr>
          <w:p w14:paraId="548109D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756382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Усилена конструкция самолетов.</w:t>
            </w:r>
          </w:p>
        </w:tc>
      </w:tr>
      <w:tr w:rsidR="00983732" w:rsidRPr="00A3026E" w14:paraId="3C1B1097" w14:textId="77777777" w:rsidTr="00EA0DA7">
        <w:tc>
          <w:tcPr>
            <w:tcW w:w="5636" w:type="dxa"/>
          </w:tcPr>
          <w:p w14:paraId="0F00BC0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2A3B32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Нормальный центроплан.</w:t>
            </w:r>
          </w:p>
        </w:tc>
      </w:tr>
      <w:tr w:rsidR="00983732" w:rsidRPr="00A3026E" w14:paraId="51FC96DA" w14:textId="77777777" w:rsidTr="00EA0DA7">
        <w:tc>
          <w:tcPr>
            <w:tcW w:w="5636" w:type="dxa"/>
          </w:tcPr>
          <w:p w14:paraId="7558558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58D72D9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Общий выхлопной коллектор.</w:t>
            </w:r>
          </w:p>
        </w:tc>
      </w:tr>
      <w:tr w:rsidR="00983732" w:rsidRPr="00A3026E" w14:paraId="5328096E" w14:textId="77777777" w:rsidTr="00EA0DA7">
        <w:tc>
          <w:tcPr>
            <w:tcW w:w="5636" w:type="dxa"/>
          </w:tcPr>
          <w:p w14:paraId="62340E5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Самопуск «Эклипс» и спецоборудование.</w:t>
            </w:r>
          </w:p>
        </w:tc>
        <w:tc>
          <w:tcPr>
            <w:tcW w:w="5002" w:type="dxa"/>
          </w:tcPr>
          <w:p w14:paraId="02174E6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A9F4F82" w14:textId="77777777" w:rsidTr="00EA0DA7">
        <w:tc>
          <w:tcPr>
            <w:tcW w:w="5636" w:type="dxa"/>
          </w:tcPr>
          <w:p w14:paraId="41FEA16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Pr>
          <w:p w14:paraId="608287C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Вибрация хвоста и элеронов.</w:t>
            </w:r>
          </w:p>
        </w:tc>
      </w:tr>
      <w:tr w:rsidR="00983732" w:rsidRPr="00A3026E" w14:paraId="0A1F16D8" w14:textId="77777777" w:rsidTr="00EA0DA7">
        <w:tc>
          <w:tcPr>
            <w:tcW w:w="5636" w:type="dxa"/>
          </w:tcPr>
          <w:p w14:paraId="1CB9F7E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256761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Перекомпенсация рулей.</w:t>
            </w:r>
          </w:p>
        </w:tc>
      </w:tr>
      <w:tr w:rsidR="00983732" w:rsidRPr="00A3026E" w14:paraId="49C774F4" w14:textId="77777777" w:rsidTr="00EA0DA7">
        <w:tc>
          <w:tcPr>
            <w:tcW w:w="5636" w:type="dxa"/>
          </w:tcPr>
          <w:p w14:paraId="65BC002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85E03D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Слабая амортизация костыля.</w:t>
            </w:r>
          </w:p>
        </w:tc>
      </w:tr>
      <w:tr w:rsidR="00983732" w:rsidRPr="00A3026E" w14:paraId="20EC1E91" w14:textId="77777777" w:rsidTr="00EA0DA7">
        <w:tc>
          <w:tcPr>
            <w:tcW w:w="5636" w:type="dxa"/>
            <w:tcBorders>
              <w:bottom w:val="single" w:sz="12" w:space="0" w:color="auto"/>
            </w:tcBorders>
          </w:tcPr>
          <w:p w14:paraId="03DE80B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09FBEE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Недостаточная прочность коллектора.</w:t>
            </w:r>
          </w:p>
        </w:tc>
      </w:tr>
    </w:tbl>
    <w:p w14:paraId="1D5D76B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И-152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734FC5D6" w14:textId="77777777" w:rsidTr="00EA0DA7">
        <w:tc>
          <w:tcPr>
            <w:tcW w:w="5636" w:type="dxa"/>
            <w:tcBorders>
              <w:top w:val="single" w:sz="12" w:space="0" w:color="auto"/>
            </w:tcBorders>
          </w:tcPr>
          <w:p w14:paraId="259F523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6C221A1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r>
      <w:tr w:rsidR="00983732" w:rsidRPr="00A3026E" w14:paraId="3D3A4105" w14:textId="77777777" w:rsidTr="00EA0DA7">
        <w:tc>
          <w:tcPr>
            <w:tcW w:w="5636" w:type="dxa"/>
          </w:tcPr>
          <w:p w14:paraId="566588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103ADCE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w:t>
            </w:r>
          </w:p>
        </w:tc>
      </w:tr>
      <w:tr w:rsidR="00983732" w:rsidRPr="00A3026E" w14:paraId="3A6AE54F" w14:textId="77777777" w:rsidTr="00EA0DA7">
        <w:tc>
          <w:tcPr>
            <w:tcW w:w="5636" w:type="dxa"/>
          </w:tcPr>
          <w:p w14:paraId="7EDD3D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088391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1648</w:t>
            </w:r>
          </w:p>
        </w:tc>
      </w:tr>
      <w:tr w:rsidR="00983732" w:rsidRPr="00A3026E" w14:paraId="7C3A8EB4" w14:textId="77777777" w:rsidTr="00EA0DA7">
        <w:tc>
          <w:tcPr>
            <w:tcW w:w="5636" w:type="dxa"/>
          </w:tcPr>
          <w:p w14:paraId="31EBDE7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40C2621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BCB428C" w14:textId="77777777" w:rsidTr="00EA0DA7">
        <w:tc>
          <w:tcPr>
            <w:tcW w:w="5636" w:type="dxa"/>
          </w:tcPr>
          <w:p w14:paraId="6D819A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2023784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w:t>
            </w:r>
          </w:p>
        </w:tc>
      </w:tr>
      <w:tr w:rsidR="00983732" w:rsidRPr="00A3026E" w14:paraId="1BB66614" w14:textId="77777777" w:rsidTr="00EA0DA7">
        <w:tc>
          <w:tcPr>
            <w:tcW w:w="5636" w:type="dxa"/>
          </w:tcPr>
          <w:p w14:paraId="0FC4B2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07F34BF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367/3200</w:t>
            </w:r>
          </w:p>
        </w:tc>
      </w:tr>
      <w:tr w:rsidR="00983732" w:rsidRPr="00A3026E" w14:paraId="2ED3315E" w14:textId="77777777" w:rsidTr="00EA0DA7">
        <w:tc>
          <w:tcPr>
            <w:tcW w:w="5636" w:type="dxa"/>
          </w:tcPr>
          <w:p w14:paraId="3F76BFD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49AA8C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2E30CA1A" w14:textId="77777777" w:rsidTr="00EA0DA7">
        <w:tc>
          <w:tcPr>
            <w:tcW w:w="5636" w:type="dxa"/>
          </w:tcPr>
          <w:p w14:paraId="7719ACE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2F0A036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12-11</w:t>
            </w:r>
          </w:p>
        </w:tc>
      </w:tr>
      <w:tr w:rsidR="00983732" w:rsidRPr="00A3026E" w14:paraId="6D59D68B" w14:textId="77777777" w:rsidTr="00EA0DA7">
        <w:tc>
          <w:tcPr>
            <w:tcW w:w="5636" w:type="dxa"/>
          </w:tcPr>
          <w:p w14:paraId="20C618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6AB2ED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w:t>
            </w:r>
          </w:p>
        </w:tc>
      </w:tr>
      <w:tr w:rsidR="00983732" w:rsidRPr="00A3026E" w14:paraId="68B7B907" w14:textId="77777777" w:rsidTr="00EA0DA7">
        <w:tc>
          <w:tcPr>
            <w:tcW w:w="5636" w:type="dxa"/>
          </w:tcPr>
          <w:p w14:paraId="2A88831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521AC9A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r>
      <w:tr w:rsidR="00983732" w:rsidRPr="00A3026E" w14:paraId="65BBB38C" w14:textId="77777777" w:rsidTr="00EA0DA7">
        <w:tc>
          <w:tcPr>
            <w:tcW w:w="5636" w:type="dxa"/>
          </w:tcPr>
          <w:p w14:paraId="6B4230C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65576B4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686060D" w14:textId="77777777" w:rsidTr="00EA0DA7">
        <w:tc>
          <w:tcPr>
            <w:tcW w:w="5636" w:type="dxa"/>
          </w:tcPr>
          <w:p w14:paraId="6CE3EE8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7F41B3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4ПВ-1</w:t>
            </w:r>
          </w:p>
        </w:tc>
      </w:tr>
      <w:tr w:rsidR="00983732" w:rsidRPr="00A3026E" w14:paraId="36262155" w14:textId="77777777" w:rsidTr="00EA0DA7">
        <w:tc>
          <w:tcPr>
            <w:tcW w:w="5636" w:type="dxa"/>
          </w:tcPr>
          <w:p w14:paraId="2EA2E0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399C243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Установлен мотор с воздушным запуском.</w:t>
            </w:r>
          </w:p>
        </w:tc>
      </w:tr>
      <w:tr w:rsidR="00983732" w:rsidRPr="00A3026E" w14:paraId="5F824A63" w14:textId="77777777" w:rsidTr="00EA0DA7">
        <w:tc>
          <w:tcPr>
            <w:tcW w:w="5636" w:type="dxa"/>
          </w:tcPr>
          <w:p w14:paraId="6FD97B1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553161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Протектированный бензобак.</w:t>
            </w:r>
          </w:p>
        </w:tc>
      </w:tr>
      <w:tr w:rsidR="00983732" w:rsidRPr="00A3026E" w14:paraId="49352A55" w14:textId="77777777" w:rsidTr="00EA0DA7">
        <w:tc>
          <w:tcPr>
            <w:tcW w:w="5636" w:type="dxa"/>
          </w:tcPr>
          <w:p w14:paraId="246CAB5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7F691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Отдельные выхлопные патрубки на цилиндры.</w:t>
            </w:r>
          </w:p>
        </w:tc>
      </w:tr>
      <w:tr w:rsidR="00983732" w:rsidRPr="00A3026E" w14:paraId="05BA2B99" w14:textId="77777777" w:rsidTr="00EA0DA7">
        <w:tc>
          <w:tcPr>
            <w:tcW w:w="5636" w:type="dxa"/>
          </w:tcPr>
          <w:p w14:paraId="17A5D9E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Pr>
          <w:p w14:paraId="50A5DA7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Вибрация элеронов.</w:t>
            </w:r>
          </w:p>
        </w:tc>
      </w:tr>
      <w:tr w:rsidR="00983732" w:rsidRPr="00A3026E" w14:paraId="1880E5DB" w14:textId="77777777" w:rsidTr="00EA0DA7">
        <w:tc>
          <w:tcPr>
            <w:tcW w:w="5636" w:type="dxa"/>
          </w:tcPr>
          <w:p w14:paraId="52273A7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45F9BA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Перекомпенсация рулей.</w:t>
            </w:r>
          </w:p>
        </w:tc>
      </w:tr>
      <w:tr w:rsidR="00983732" w:rsidRPr="00A3026E" w14:paraId="61F9ACE8" w14:textId="77777777" w:rsidTr="00EA0DA7">
        <w:tc>
          <w:tcPr>
            <w:tcW w:w="5636" w:type="dxa"/>
            <w:tcBorders>
              <w:bottom w:val="single" w:sz="12" w:space="0" w:color="auto"/>
            </w:tcBorders>
          </w:tcPr>
          <w:p w14:paraId="23FEB4B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7D668B4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Плохая работа тормозной системы.</w:t>
            </w:r>
          </w:p>
        </w:tc>
      </w:tr>
    </w:tbl>
    <w:p w14:paraId="426B2E3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4D846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И-15бис серийный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1D0891E6" w14:textId="77777777" w:rsidTr="00EA0DA7">
        <w:tc>
          <w:tcPr>
            <w:tcW w:w="5636" w:type="dxa"/>
            <w:tcBorders>
              <w:top w:val="single" w:sz="12" w:space="0" w:color="auto"/>
            </w:tcBorders>
          </w:tcPr>
          <w:p w14:paraId="180CCCE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3E1DEC8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r>
      <w:tr w:rsidR="00983732" w:rsidRPr="00A3026E" w14:paraId="74B1EA6A" w14:textId="77777777" w:rsidTr="00EA0DA7">
        <w:tc>
          <w:tcPr>
            <w:tcW w:w="5636" w:type="dxa"/>
          </w:tcPr>
          <w:p w14:paraId="6CD1F2A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4D55EEA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 (250 мм)</w:t>
            </w:r>
          </w:p>
        </w:tc>
      </w:tr>
      <w:tr w:rsidR="00983732" w:rsidRPr="00A3026E" w14:paraId="7CD1EC66" w14:textId="77777777" w:rsidTr="00EA0DA7">
        <w:tc>
          <w:tcPr>
            <w:tcW w:w="5636" w:type="dxa"/>
          </w:tcPr>
          <w:p w14:paraId="687ACB9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49E1F71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w:t>
            </w:r>
          </w:p>
        </w:tc>
      </w:tr>
      <w:tr w:rsidR="00983732" w:rsidRPr="00A3026E" w14:paraId="42FCABB6" w14:textId="77777777" w:rsidTr="00EA0DA7">
        <w:tc>
          <w:tcPr>
            <w:tcW w:w="5636" w:type="dxa"/>
          </w:tcPr>
          <w:p w14:paraId="1C66EF3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33F46CB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6A44C23" w14:textId="77777777" w:rsidTr="00EA0DA7">
        <w:tc>
          <w:tcPr>
            <w:tcW w:w="5636" w:type="dxa"/>
          </w:tcPr>
          <w:p w14:paraId="7254342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236221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327</w:t>
            </w:r>
          </w:p>
        </w:tc>
      </w:tr>
      <w:tr w:rsidR="00983732" w:rsidRPr="00A3026E" w14:paraId="602F27B3" w14:textId="77777777" w:rsidTr="00EA0DA7">
        <w:tc>
          <w:tcPr>
            <w:tcW w:w="5636" w:type="dxa"/>
          </w:tcPr>
          <w:p w14:paraId="680980E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4FA3F6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379/3500</w:t>
            </w:r>
          </w:p>
        </w:tc>
      </w:tr>
      <w:tr w:rsidR="00983732" w:rsidRPr="00A3026E" w14:paraId="3A3A51EE" w14:textId="77777777" w:rsidTr="00EA0DA7">
        <w:tc>
          <w:tcPr>
            <w:tcW w:w="5636" w:type="dxa"/>
          </w:tcPr>
          <w:p w14:paraId="0C12D6A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49C2336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71D4A706" w14:textId="77777777" w:rsidTr="00EA0DA7">
        <w:tc>
          <w:tcPr>
            <w:tcW w:w="5636" w:type="dxa"/>
          </w:tcPr>
          <w:p w14:paraId="6A65DF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6143670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546A5A25" w14:textId="77777777" w:rsidTr="00EA0DA7">
        <w:tc>
          <w:tcPr>
            <w:tcW w:w="5636" w:type="dxa"/>
          </w:tcPr>
          <w:p w14:paraId="06187A7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741E95E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w:t>
            </w:r>
          </w:p>
        </w:tc>
      </w:tr>
      <w:tr w:rsidR="00983732" w:rsidRPr="00A3026E" w14:paraId="3BDF62BB" w14:textId="77777777" w:rsidTr="00EA0DA7">
        <w:tc>
          <w:tcPr>
            <w:tcW w:w="5636" w:type="dxa"/>
          </w:tcPr>
          <w:p w14:paraId="0F112E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Потолок практический</w:t>
            </w:r>
          </w:p>
        </w:tc>
        <w:tc>
          <w:tcPr>
            <w:tcW w:w="5002" w:type="dxa"/>
          </w:tcPr>
          <w:p w14:paraId="212C4EF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133FE1D9" w14:textId="77777777" w:rsidTr="00EA0DA7">
        <w:tc>
          <w:tcPr>
            <w:tcW w:w="5636" w:type="dxa"/>
          </w:tcPr>
          <w:p w14:paraId="03DB6E7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1429662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r>
      <w:tr w:rsidR="00983732" w:rsidRPr="00A3026E" w14:paraId="733BA26F" w14:textId="77777777" w:rsidTr="00EA0DA7">
        <w:tc>
          <w:tcPr>
            <w:tcW w:w="5636" w:type="dxa"/>
          </w:tcPr>
          <w:p w14:paraId="14C7FDD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57625AA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4ПВ-1</w:t>
            </w:r>
          </w:p>
        </w:tc>
      </w:tr>
      <w:tr w:rsidR="00983732" w:rsidRPr="00A3026E" w14:paraId="7AE19E37" w14:textId="77777777" w:rsidTr="00EA0DA7">
        <w:tc>
          <w:tcPr>
            <w:tcW w:w="5636" w:type="dxa"/>
          </w:tcPr>
          <w:p w14:paraId="51D3754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3846456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с шириной лопасти 250 мм вместо 217 мм.</w:t>
            </w:r>
          </w:p>
        </w:tc>
      </w:tr>
      <w:tr w:rsidR="00983732" w:rsidRPr="00A3026E" w14:paraId="76E096AA" w14:textId="77777777" w:rsidTr="00EA0DA7">
        <w:tc>
          <w:tcPr>
            <w:tcW w:w="5636" w:type="dxa"/>
            <w:tcBorders>
              <w:bottom w:val="single" w:sz="12" w:space="0" w:color="auto"/>
            </w:tcBorders>
          </w:tcPr>
          <w:p w14:paraId="3C7F925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Borders>
              <w:bottom w:val="single" w:sz="12" w:space="0" w:color="auto"/>
            </w:tcBorders>
          </w:tcPr>
          <w:p w14:paraId="051E4F9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Увеличилась вибрация хвоста, консоли крыла и элеронов.</w:t>
            </w:r>
          </w:p>
        </w:tc>
      </w:tr>
    </w:tbl>
    <w:p w14:paraId="210102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EBC588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086172EC" w14:textId="77777777" w:rsidTr="00EA0DA7">
        <w:tc>
          <w:tcPr>
            <w:tcW w:w="5636" w:type="dxa"/>
            <w:tcBorders>
              <w:top w:val="single" w:sz="12" w:space="0" w:color="auto"/>
            </w:tcBorders>
          </w:tcPr>
          <w:p w14:paraId="5A9CFC0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537D48D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r>
      <w:tr w:rsidR="00983732" w:rsidRPr="00A3026E" w14:paraId="17F20C49" w14:textId="77777777" w:rsidTr="00EA0DA7">
        <w:tc>
          <w:tcPr>
            <w:tcW w:w="5636" w:type="dxa"/>
          </w:tcPr>
          <w:p w14:paraId="1D828E6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349D772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w:t>
            </w:r>
          </w:p>
        </w:tc>
      </w:tr>
      <w:tr w:rsidR="00983732" w:rsidRPr="00A3026E" w14:paraId="5C9A960B" w14:textId="77777777" w:rsidTr="00EA0DA7">
        <w:tc>
          <w:tcPr>
            <w:tcW w:w="5636" w:type="dxa"/>
          </w:tcPr>
          <w:p w14:paraId="3BCE079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6A04FE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1650</w:t>
            </w:r>
          </w:p>
        </w:tc>
      </w:tr>
      <w:tr w:rsidR="00983732" w:rsidRPr="00A3026E" w14:paraId="51BB9DA1" w14:textId="77777777" w:rsidTr="00EA0DA7">
        <w:tc>
          <w:tcPr>
            <w:tcW w:w="5636" w:type="dxa"/>
          </w:tcPr>
          <w:p w14:paraId="317B181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5A56DF2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7E59560" w14:textId="77777777" w:rsidTr="00EA0DA7">
        <w:tc>
          <w:tcPr>
            <w:tcW w:w="5636" w:type="dxa"/>
          </w:tcPr>
          <w:p w14:paraId="259B07C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4785178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r>
      <w:tr w:rsidR="00983732" w:rsidRPr="00A3026E" w14:paraId="4AF92540" w14:textId="77777777" w:rsidTr="00EA0DA7">
        <w:tc>
          <w:tcPr>
            <w:tcW w:w="5636" w:type="dxa"/>
          </w:tcPr>
          <w:p w14:paraId="1DA0683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2DCA750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w:t>
            </w:r>
          </w:p>
        </w:tc>
      </w:tr>
      <w:tr w:rsidR="00983732" w:rsidRPr="00A3026E" w14:paraId="50F3B253" w14:textId="77777777" w:rsidTr="00EA0DA7">
        <w:tc>
          <w:tcPr>
            <w:tcW w:w="5636" w:type="dxa"/>
          </w:tcPr>
          <w:p w14:paraId="5316E49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304B39C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100-105</w:t>
            </w:r>
          </w:p>
        </w:tc>
      </w:tr>
      <w:tr w:rsidR="00983732" w:rsidRPr="00A3026E" w14:paraId="6F64C835" w14:textId="77777777" w:rsidTr="00EA0DA7">
        <w:tc>
          <w:tcPr>
            <w:tcW w:w="5636" w:type="dxa"/>
          </w:tcPr>
          <w:p w14:paraId="300CF4B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7C15E7A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r>
      <w:tr w:rsidR="00983732" w:rsidRPr="00A3026E" w14:paraId="737445FA" w14:textId="77777777" w:rsidTr="00EA0DA7">
        <w:tc>
          <w:tcPr>
            <w:tcW w:w="5636" w:type="dxa"/>
          </w:tcPr>
          <w:p w14:paraId="086191A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221DFCB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4/2900</w:t>
            </w:r>
          </w:p>
        </w:tc>
      </w:tr>
      <w:tr w:rsidR="00983732" w:rsidRPr="00A3026E" w14:paraId="6C077B4A" w14:textId="77777777" w:rsidTr="00EA0DA7">
        <w:tc>
          <w:tcPr>
            <w:tcW w:w="5636" w:type="dxa"/>
          </w:tcPr>
          <w:p w14:paraId="4EAD77B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6FD57C1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8600</w:t>
            </w:r>
          </w:p>
        </w:tc>
      </w:tr>
      <w:tr w:rsidR="00983732" w:rsidRPr="00A3026E" w14:paraId="7D8A0844" w14:textId="77777777" w:rsidTr="00EA0DA7">
        <w:tc>
          <w:tcPr>
            <w:tcW w:w="5636" w:type="dxa"/>
          </w:tcPr>
          <w:p w14:paraId="7611B16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1FCFAF6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625</w:t>
            </w:r>
          </w:p>
        </w:tc>
      </w:tr>
      <w:tr w:rsidR="00983732" w:rsidRPr="00A3026E" w14:paraId="6DEF4481" w14:textId="77777777" w:rsidTr="00EA0DA7">
        <w:tc>
          <w:tcPr>
            <w:tcW w:w="5636" w:type="dxa"/>
          </w:tcPr>
          <w:p w14:paraId="336C1BD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5574690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454223BF" w14:textId="77777777" w:rsidTr="00EA0DA7">
        <w:tc>
          <w:tcPr>
            <w:tcW w:w="5636" w:type="dxa"/>
          </w:tcPr>
          <w:p w14:paraId="0F2403D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73B36BF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Убирающиеся шасси.</w:t>
            </w:r>
          </w:p>
        </w:tc>
      </w:tr>
      <w:tr w:rsidR="00983732" w:rsidRPr="00A3026E" w14:paraId="0D9961AA" w14:textId="77777777" w:rsidTr="00EA0DA7">
        <w:tc>
          <w:tcPr>
            <w:tcW w:w="5636" w:type="dxa"/>
          </w:tcPr>
          <w:p w14:paraId="15622CA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256F8F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Центроплан «Чайка».</w:t>
            </w:r>
          </w:p>
        </w:tc>
      </w:tr>
      <w:tr w:rsidR="00983732" w:rsidRPr="00A3026E" w14:paraId="21331115" w14:textId="77777777" w:rsidTr="00EA0DA7">
        <w:tc>
          <w:tcPr>
            <w:tcW w:w="5636" w:type="dxa"/>
          </w:tcPr>
          <w:p w14:paraId="504473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CFF823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Пулеметы ШКАС вместо ПВ-1.</w:t>
            </w:r>
          </w:p>
        </w:tc>
      </w:tr>
      <w:tr w:rsidR="00983732" w:rsidRPr="00A3026E" w14:paraId="28E79F67" w14:textId="77777777" w:rsidTr="00EA0DA7">
        <w:tc>
          <w:tcPr>
            <w:tcW w:w="5636" w:type="dxa"/>
          </w:tcPr>
          <w:p w14:paraId="3F2326C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Усилена конструкция в соответствии с нормами прочности.</w:t>
            </w:r>
          </w:p>
        </w:tc>
        <w:tc>
          <w:tcPr>
            <w:tcW w:w="5002" w:type="dxa"/>
          </w:tcPr>
          <w:p w14:paraId="4293531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8C86335" w14:textId="77777777" w:rsidTr="00EA0DA7">
        <w:tc>
          <w:tcPr>
            <w:tcW w:w="5636" w:type="dxa"/>
          </w:tcPr>
          <w:p w14:paraId="58DB0A8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Pr>
          <w:p w14:paraId="662FF49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Вибрация элеронов хвоста и корневой части крыла.</w:t>
            </w:r>
          </w:p>
        </w:tc>
      </w:tr>
      <w:tr w:rsidR="00983732" w:rsidRPr="00A3026E" w14:paraId="12D2C343" w14:textId="77777777" w:rsidTr="00EA0DA7">
        <w:tc>
          <w:tcPr>
            <w:tcW w:w="5636" w:type="dxa"/>
          </w:tcPr>
          <w:p w14:paraId="1A92D4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DE4851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Перегрев мотора.</w:t>
            </w:r>
          </w:p>
        </w:tc>
      </w:tr>
      <w:tr w:rsidR="00983732" w:rsidRPr="00A3026E" w14:paraId="32BE8495" w14:textId="77777777" w:rsidTr="00EA0DA7">
        <w:tc>
          <w:tcPr>
            <w:tcW w:w="5636" w:type="dxa"/>
          </w:tcPr>
          <w:p w14:paraId="3A99972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148039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Неустойчивость пути.</w:t>
            </w:r>
          </w:p>
        </w:tc>
      </w:tr>
      <w:tr w:rsidR="00983732" w:rsidRPr="00A3026E" w14:paraId="62445097" w14:textId="77777777" w:rsidTr="00EA0DA7">
        <w:tc>
          <w:tcPr>
            <w:tcW w:w="5636" w:type="dxa"/>
            <w:tcBorders>
              <w:bottom w:val="single" w:sz="12" w:space="0" w:color="auto"/>
            </w:tcBorders>
          </w:tcPr>
          <w:p w14:paraId="51F121F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2AB0F8C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Перекомпенсация рулей высоты и затруднена координация рулей на пилотаже.</w:t>
            </w:r>
          </w:p>
        </w:tc>
      </w:tr>
    </w:tbl>
    <w:p w14:paraId="71D4A57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5DBD22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1E79E8A5" w14:textId="77777777" w:rsidTr="00EA0DA7">
        <w:tc>
          <w:tcPr>
            <w:tcW w:w="5636" w:type="dxa"/>
            <w:tcBorders>
              <w:top w:val="single" w:sz="12" w:space="0" w:color="auto"/>
            </w:tcBorders>
          </w:tcPr>
          <w:p w14:paraId="5D1A87A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5DD3B95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r>
      <w:tr w:rsidR="00983732" w:rsidRPr="00A3026E" w14:paraId="176EE477" w14:textId="77777777" w:rsidTr="00EA0DA7">
        <w:tc>
          <w:tcPr>
            <w:tcW w:w="5636" w:type="dxa"/>
          </w:tcPr>
          <w:p w14:paraId="45DEB1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0B50022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w:t>
            </w:r>
          </w:p>
        </w:tc>
      </w:tr>
      <w:tr w:rsidR="00983732" w:rsidRPr="00A3026E" w14:paraId="271F28D6" w14:textId="77777777" w:rsidTr="00EA0DA7">
        <w:tc>
          <w:tcPr>
            <w:tcW w:w="5636" w:type="dxa"/>
          </w:tcPr>
          <w:p w14:paraId="143F645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5EF990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1762</w:t>
            </w:r>
          </w:p>
        </w:tc>
      </w:tr>
      <w:tr w:rsidR="00983732" w:rsidRPr="00A3026E" w14:paraId="74DE5D1A" w14:textId="77777777" w:rsidTr="00EA0DA7">
        <w:tc>
          <w:tcPr>
            <w:tcW w:w="5636" w:type="dxa"/>
          </w:tcPr>
          <w:p w14:paraId="716E67D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3391A11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E59A9D6" w14:textId="77777777" w:rsidTr="00EA0DA7">
        <w:tc>
          <w:tcPr>
            <w:tcW w:w="5636" w:type="dxa"/>
          </w:tcPr>
          <w:p w14:paraId="11A6958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3EC3F3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365</w:t>
            </w:r>
          </w:p>
        </w:tc>
      </w:tr>
      <w:tr w:rsidR="00983732" w:rsidRPr="00A3026E" w14:paraId="39F2DEE6" w14:textId="77777777" w:rsidTr="00EA0DA7">
        <w:tc>
          <w:tcPr>
            <w:tcW w:w="5636" w:type="dxa"/>
          </w:tcPr>
          <w:p w14:paraId="50D560E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24F3D9A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443/4600</w:t>
            </w:r>
          </w:p>
        </w:tc>
      </w:tr>
      <w:tr w:rsidR="00983732" w:rsidRPr="00A3026E" w14:paraId="2200CBEC" w14:textId="77777777" w:rsidTr="00EA0DA7">
        <w:tc>
          <w:tcPr>
            <w:tcW w:w="5636" w:type="dxa"/>
          </w:tcPr>
          <w:p w14:paraId="355DEC9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6F4AC1F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110/115</w:t>
            </w:r>
          </w:p>
        </w:tc>
      </w:tr>
      <w:tr w:rsidR="00983732" w:rsidRPr="00A3026E" w14:paraId="476EF0DF" w14:textId="77777777" w:rsidTr="00EA0DA7">
        <w:tc>
          <w:tcPr>
            <w:tcW w:w="5636" w:type="dxa"/>
          </w:tcPr>
          <w:p w14:paraId="139BDB7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5D3EA5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13-13,5</w:t>
            </w:r>
          </w:p>
        </w:tc>
      </w:tr>
      <w:tr w:rsidR="00983732" w:rsidRPr="00A3026E" w14:paraId="182292F7" w14:textId="77777777" w:rsidTr="00EA0DA7">
        <w:tc>
          <w:tcPr>
            <w:tcW w:w="5636" w:type="dxa"/>
          </w:tcPr>
          <w:p w14:paraId="061B7B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674D362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r>
      <w:tr w:rsidR="00983732" w:rsidRPr="00A3026E" w14:paraId="6DEAEC0F" w14:textId="77777777" w:rsidTr="00EA0DA7">
        <w:tc>
          <w:tcPr>
            <w:tcW w:w="5636" w:type="dxa"/>
          </w:tcPr>
          <w:p w14:paraId="016CD4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47283E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9800</w:t>
            </w:r>
          </w:p>
        </w:tc>
      </w:tr>
      <w:tr w:rsidR="00983732" w:rsidRPr="00A3026E" w14:paraId="43E7DBE3" w14:textId="77777777" w:rsidTr="00EA0DA7">
        <w:tc>
          <w:tcPr>
            <w:tcW w:w="5636" w:type="dxa"/>
          </w:tcPr>
          <w:p w14:paraId="686EE9D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020CE63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r>
      <w:tr w:rsidR="00983732" w:rsidRPr="00A3026E" w14:paraId="3A6CAE8B" w14:textId="77777777" w:rsidTr="00EA0DA7">
        <w:tc>
          <w:tcPr>
            <w:tcW w:w="5636" w:type="dxa"/>
          </w:tcPr>
          <w:p w14:paraId="30EB777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5454206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0DCF3FED" w14:textId="77777777" w:rsidTr="00EA0DA7">
        <w:tc>
          <w:tcPr>
            <w:tcW w:w="5636" w:type="dxa"/>
          </w:tcPr>
          <w:p w14:paraId="7670E62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643985C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Новая ВМГ.</w:t>
            </w:r>
          </w:p>
        </w:tc>
      </w:tr>
      <w:tr w:rsidR="00983732" w:rsidRPr="00A3026E" w14:paraId="443166C8" w14:textId="77777777" w:rsidTr="00EA0DA7">
        <w:tc>
          <w:tcPr>
            <w:tcW w:w="5636" w:type="dxa"/>
          </w:tcPr>
          <w:p w14:paraId="62D425E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Усилена конструкция с частичным устранением дефектов.</w:t>
            </w:r>
          </w:p>
        </w:tc>
        <w:tc>
          <w:tcPr>
            <w:tcW w:w="5002" w:type="dxa"/>
          </w:tcPr>
          <w:p w14:paraId="7FBE578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677F9F8" w14:textId="77777777" w:rsidTr="00EA0DA7">
        <w:tc>
          <w:tcPr>
            <w:tcW w:w="5636" w:type="dxa"/>
          </w:tcPr>
          <w:p w14:paraId="3640E71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Pr>
          <w:p w14:paraId="72EE2E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Поломка траверс шасси.</w:t>
            </w:r>
          </w:p>
        </w:tc>
      </w:tr>
      <w:tr w:rsidR="00983732" w:rsidRPr="00A3026E" w14:paraId="6308783C" w14:textId="77777777" w:rsidTr="00EA0DA7">
        <w:tc>
          <w:tcPr>
            <w:tcW w:w="5636" w:type="dxa"/>
          </w:tcPr>
          <w:p w14:paraId="33BD680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44B97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Неудовлетворительные штопорные свойства.</w:t>
            </w:r>
          </w:p>
        </w:tc>
      </w:tr>
      <w:tr w:rsidR="00983732" w:rsidRPr="00A3026E" w14:paraId="5FBF5D69" w14:textId="77777777" w:rsidTr="00EA0DA7">
        <w:tc>
          <w:tcPr>
            <w:tcW w:w="5636" w:type="dxa"/>
            <w:tcBorders>
              <w:bottom w:val="single" w:sz="12" w:space="0" w:color="auto"/>
            </w:tcBorders>
          </w:tcPr>
          <w:p w14:paraId="56F9827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3D0E11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Недоведены ВМГ и вооружение.</w:t>
            </w:r>
          </w:p>
        </w:tc>
      </w:tr>
    </w:tbl>
    <w:p w14:paraId="4B6F64A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B76316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7AB82E79" w14:textId="77777777" w:rsidTr="00EA0DA7">
        <w:tc>
          <w:tcPr>
            <w:tcW w:w="5636" w:type="dxa"/>
            <w:tcBorders>
              <w:top w:val="single" w:sz="12" w:space="0" w:color="auto"/>
            </w:tcBorders>
          </w:tcPr>
          <w:p w14:paraId="50519C6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65EAC5E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r>
      <w:tr w:rsidR="00983732" w:rsidRPr="00A3026E" w14:paraId="0B0FD1FA" w14:textId="77777777" w:rsidTr="00EA0DA7">
        <w:tc>
          <w:tcPr>
            <w:tcW w:w="5636" w:type="dxa"/>
          </w:tcPr>
          <w:p w14:paraId="06DBD13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39F51AB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3E9A8F67" w14:textId="77777777" w:rsidTr="00EA0DA7">
        <w:tc>
          <w:tcPr>
            <w:tcW w:w="5636" w:type="dxa"/>
          </w:tcPr>
          <w:p w14:paraId="78F72D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3D92AA4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1765</w:t>
            </w:r>
          </w:p>
        </w:tc>
      </w:tr>
      <w:tr w:rsidR="00983732" w:rsidRPr="00A3026E" w14:paraId="16512CDC" w14:textId="77777777" w:rsidTr="00EA0DA7">
        <w:tc>
          <w:tcPr>
            <w:tcW w:w="5636" w:type="dxa"/>
          </w:tcPr>
          <w:p w14:paraId="4A7C2BB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18A53E3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453473C8" w14:textId="77777777" w:rsidTr="00EA0DA7">
        <w:tc>
          <w:tcPr>
            <w:tcW w:w="5636" w:type="dxa"/>
          </w:tcPr>
          <w:p w14:paraId="4332BC1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0C66220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364</w:t>
            </w:r>
          </w:p>
        </w:tc>
      </w:tr>
      <w:tr w:rsidR="00983732" w:rsidRPr="00A3026E" w14:paraId="01C3F89E" w14:textId="77777777" w:rsidTr="00EA0DA7">
        <w:tc>
          <w:tcPr>
            <w:tcW w:w="5636" w:type="dxa"/>
          </w:tcPr>
          <w:p w14:paraId="084AA88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333134D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424/5000</w:t>
            </w:r>
          </w:p>
        </w:tc>
      </w:tr>
      <w:tr w:rsidR="00983732" w:rsidRPr="00A3026E" w14:paraId="3EC1F2C7" w14:textId="77777777" w:rsidTr="00EA0DA7">
        <w:tc>
          <w:tcPr>
            <w:tcW w:w="5636" w:type="dxa"/>
          </w:tcPr>
          <w:p w14:paraId="56256BD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74A6D18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110-115</w:t>
            </w:r>
          </w:p>
        </w:tc>
      </w:tr>
      <w:tr w:rsidR="00983732" w:rsidRPr="00A3026E" w14:paraId="46A0E4B1" w14:textId="77777777" w:rsidTr="00EA0DA7">
        <w:tc>
          <w:tcPr>
            <w:tcW w:w="5636" w:type="dxa"/>
          </w:tcPr>
          <w:p w14:paraId="318B8D2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51B2778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13-13,5</w:t>
            </w:r>
          </w:p>
        </w:tc>
      </w:tr>
      <w:tr w:rsidR="00983732" w:rsidRPr="00A3026E" w14:paraId="7B038DB4" w14:textId="77777777" w:rsidTr="00EA0DA7">
        <w:tc>
          <w:tcPr>
            <w:tcW w:w="5636" w:type="dxa"/>
          </w:tcPr>
          <w:p w14:paraId="257221E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268C9A2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w:t>
            </w:r>
          </w:p>
        </w:tc>
      </w:tr>
      <w:tr w:rsidR="00983732" w:rsidRPr="00A3026E" w14:paraId="41CA07F0" w14:textId="77777777" w:rsidTr="00EA0DA7">
        <w:tc>
          <w:tcPr>
            <w:tcW w:w="5636" w:type="dxa"/>
          </w:tcPr>
          <w:p w14:paraId="52603F0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515EED7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10700</w:t>
            </w:r>
          </w:p>
        </w:tc>
      </w:tr>
      <w:tr w:rsidR="00983732" w:rsidRPr="00A3026E" w14:paraId="39D2A5B6" w14:textId="77777777" w:rsidTr="00EA0DA7">
        <w:tc>
          <w:tcPr>
            <w:tcW w:w="5636" w:type="dxa"/>
          </w:tcPr>
          <w:p w14:paraId="7E9F641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43D0BC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w:t>
            </w:r>
          </w:p>
        </w:tc>
      </w:tr>
      <w:tr w:rsidR="00983732" w:rsidRPr="00A3026E" w14:paraId="03F825CA" w14:textId="77777777" w:rsidTr="00EA0DA7">
        <w:tc>
          <w:tcPr>
            <w:tcW w:w="5636" w:type="dxa"/>
          </w:tcPr>
          <w:p w14:paraId="612C156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733CF10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1AB2FF4E" w14:textId="77777777" w:rsidTr="00EA0DA7">
        <w:tc>
          <w:tcPr>
            <w:tcW w:w="5636" w:type="dxa"/>
          </w:tcPr>
          <w:p w14:paraId="61CE745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48525C7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Новый винт.</w:t>
            </w:r>
          </w:p>
        </w:tc>
      </w:tr>
      <w:tr w:rsidR="00983732" w:rsidRPr="00A3026E" w14:paraId="66A61C94" w14:textId="77777777" w:rsidTr="00EA0DA7">
        <w:tc>
          <w:tcPr>
            <w:tcW w:w="5636" w:type="dxa"/>
          </w:tcPr>
          <w:p w14:paraId="5FF9094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Pr>
          <w:p w14:paraId="6FE606F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Поломка траверс шасси.</w:t>
            </w:r>
          </w:p>
        </w:tc>
      </w:tr>
      <w:tr w:rsidR="00983732" w:rsidRPr="00A3026E" w14:paraId="3B037743" w14:textId="77777777" w:rsidTr="00EA0DA7">
        <w:tc>
          <w:tcPr>
            <w:tcW w:w="5636" w:type="dxa"/>
          </w:tcPr>
          <w:p w14:paraId="0DA3348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4922116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Неудовлетворительные штопорные свойства.</w:t>
            </w:r>
          </w:p>
        </w:tc>
      </w:tr>
      <w:tr w:rsidR="00983732" w:rsidRPr="00A3026E" w14:paraId="2A7DB261" w14:textId="77777777" w:rsidTr="00EA0DA7">
        <w:tc>
          <w:tcPr>
            <w:tcW w:w="5636" w:type="dxa"/>
          </w:tcPr>
          <w:p w14:paraId="0F03181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4BEE5A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Недоведены ВМГ и вооружение.</w:t>
            </w:r>
          </w:p>
        </w:tc>
      </w:tr>
      <w:tr w:rsidR="00983732" w:rsidRPr="00A3026E" w14:paraId="0F76C67B" w14:textId="77777777" w:rsidTr="00EA0DA7">
        <w:tc>
          <w:tcPr>
            <w:tcW w:w="5636" w:type="dxa"/>
            <w:tcBorders>
              <w:bottom w:val="single" w:sz="12" w:space="0" w:color="auto"/>
            </w:tcBorders>
          </w:tcPr>
          <w:p w14:paraId="3331043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7A7C593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Обрыв несущих лент расчалок коробки.</w:t>
            </w:r>
          </w:p>
        </w:tc>
      </w:tr>
    </w:tbl>
    <w:p w14:paraId="5AA9252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2602A25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5B668E7D" w14:textId="77777777" w:rsidTr="00EA0DA7">
        <w:tc>
          <w:tcPr>
            <w:tcW w:w="5636" w:type="dxa"/>
            <w:tcBorders>
              <w:top w:val="single" w:sz="12" w:space="0" w:color="auto"/>
            </w:tcBorders>
          </w:tcPr>
          <w:p w14:paraId="4E1B537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095D4D2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r>
      <w:tr w:rsidR="00983732" w:rsidRPr="00A3026E" w14:paraId="34704A3D" w14:textId="77777777" w:rsidTr="00EA0DA7">
        <w:tc>
          <w:tcPr>
            <w:tcW w:w="5636" w:type="dxa"/>
          </w:tcPr>
          <w:p w14:paraId="087534C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1376178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4DD3305F" w14:textId="77777777" w:rsidTr="00EA0DA7">
        <w:tc>
          <w:tcPr>
            <w:tcW w:w="5636" w:type="dxa"/>
          </w:tcPr>
          <w:p w14:paraId="52DCDD9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7E2E35C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1853</w:t>
            </w:r>
          </w:p>
        </w:tc>
      </w:tr>
      <w:tr w:rsidR="00983732" w:rsidRPr="00A3026E" w14:paraId="69D561E3" w14:textId="77777777" w:rsidTr="00EA0DA7">
        <w:tc>
          <w:tcPr>
            <w:tcW w:w="5636" w:type="dxa"/>
          </w:tcPr>
          <w:p w14:paraId="39F3953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50AF22C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4BD2DCE" w14:textId="77777777" w:rsidTr="00EA0DA7">
        <w:tc>
          <w:tcPr>
            <w:tcW w:w="5636" w:type="dxa"/>
          </w:tcPr>
          <w:p w14:paraId="3A19338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73D9C7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372</w:t>
            </w:r>
          </w:p>
        </w:tc>
      </w:tr>
      <w:tr w:rsidR="00983732" w:rsidRPr="00A3026E" w14:paraId="4CB1EEFF" w14:textId="77777777" w:rsidTr="00EA0DA7">
        <w:tc>
          <w:tcPr>
            <w:tcW w:w="5636" w:type="dxa"/>
          </w:tcPr>
          <w:p w14:paraId="6892E59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667FB79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435/5000</w:t>
            </w:r>
          </w:p>
        </w:tc>
      </w:tr>
      <w:tr w:rsidR="00983732" w:rsidRPr="00A3026E" w14:paraId="5432B12D" w14:textId="77777777" w:rsidTr="00EA0DA7">
        <w:tc>
          <w:tcPr>
            <w:tcW w:w="5636" w:type="dxa"/>
          </w:tcPr>
          <w:p w14:paraId="612A84C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3733AAF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110-115</w:t>
            </w:r>
          </w:p>
        </w:tc>
      </w:tr>
      <w:tr w:rsidR="00983732" w:rsidRPr="00A3026E" w14:paraId="6C380919" w14:textId="77777777" w:rsidTr="00EA0DA7">
        <w:tc>
          <w:tcPr>
            <w:tcW w:w="5636" w:type="dxa"/>
          </w:tcPr>
          <w:p w14:paraId="37C3F7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73F3D4C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r>
      <w:tr w:rsidR="00983732" w:rsidRPr="00A3026E" w14:paraId="2F9AEB90" w14:textId="77777777" w:rsidTr="00EA0DA7">
        <w:tc>
          <w:tcPr>
            <w:tcW w:w="5636" w:type="dxa"/>
          </w:tcPr>
          <w:p w14:paraId="3CC206A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7A87322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5,46</w:t>
            </w:r>
          </w:p>
        </w:tc>
      </w:tr>
      <w:tr w:rsidR="00983732" w:rsidRPr="00A3026E" w14:paraId="7AB390BD" w14:textId="77777777" w:rsidTr="00EA0DA7">
        <w:tc>
          <w:tcPr>
            <w:tcW w:w="5636" w:type="dxa"/>
          </w:tcPr>
          <w:p w14:paraId="654BC98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2780290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11000</w:t>
            </w:r>
          </w:p>
        </w:tc>
      </w:tr>
      <w:tr w:rsidR="00983732" w:rsidRPr="00A3026E" w14:paraId="1386FA9B" w14:textId="77777777" w:rsidTr="00EA0DA7">
        <w:tc>
          <w:tcPr>
            <w:tcW w:w="5636" w:type="dxa"/>
          </w:tcPr>
          <w:p w14:paraId="55C4ABA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Техническая дальность на 0,9 Vmax на высоте</w:t>
            </w:r>
          </w:p>
        </w:tc>
        <w:tc>
          <w:tcPr>
            <w:tcW w:w="5002" w:type="dxa"/>
          </w:tcPr>
          <w:p w14:paraId="74F91AD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r>
      <w:tr w:rsidR="00983732" w:rsidRPr="00A3026E" w14:paraId="6E806F6F" w14:textId="77777777" w:rsidTr="00EA0DA7">
        <w:tc>
          <w:tcPr>
            <w:tcW w:w="5636" w:type="dxa"/>
          </w:tcPr>
          <w:p w14:paraId="3C48B9C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4D0C5E0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5D363592" w14:textId="77777777" w:rsidTr="00EA0DA7">
        <w:tc>
          <w:tcPr>
            <w:tcW w:w="5636" w:type="dxa"/>
          </w:tcPr>
          <w:p w14:paraId="503FF2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403F73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Усилена конструкция.</w:t>
            </w:r>
          </w:p>
        </w:tc>
      </w:tr>
      <w:tr w:rsidR="00983732" w:rsidRPr="00A3026E" w14:paraId="20762A03" w14:textId="77777777" w:rsidTr="00EA0DA7">
        <w:tc>
          <w:tcPr>
            <w:tcW w:w="5636" w:type="dxa"/>
          </w:tcPr>
          <w:p w14:paraId="03B2068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5FB0E60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Поставлен самопуск.</w:t>
            </w:r>
          </w:p>
        </w:tc>
      </w:tr>
      <w:tr w:rsidR="00983732" w:rsidRPr="00A3026E" w14:paraId="7AC27D17" w14:textId="77777777" w:rsidTr="00EA0DA7">
        <w:tc>
          <w:tcPr>
            <w:tcW w:w="5636" w:type="dxa"/>
          </w:tcPr>
          <w:p w14:paraId="70366B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2D1EE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Улучшена отделка.</w:t>
            </w:r>
          </w:p>
        </w:tc>
      </w:tr>
      <w:tr w:rsidR="00983732" w:rsidRPr="00A3026E" w14:paraId="32D6162F" w14:textId="77777777" w:rsidTr="00EA0DA7">
        <w:tc>
          <w:tcPr>
            <w:tcW w:w="5636" w:type="dxa"/>
          </w:tcPr>
          <w:p w14:paraId="1245E7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Pr>
          <w:p w14:paraId="1EBF7AC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Перегрев мотора.</w:t>
            </w:r>
          </w:p>
        </w:tc>
      </w:tr>
      <w:tr w:rsidR="00983732" w:rsidRPr="00A3026E" w14:paraId="339C535A" w14:textId="77777777" w:rsidTr="00EA0DA7">
        <w:tc>
          <w:tcPr>
            <w:tcW w:w="5636" w:type="dxa"/>
          </w:tcPr>
          <w:p w14:paraId="5A1DE68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4820F67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Поломка выхлопных патрубков.</w:t>
            </w:r>
          </w:p>
        </w:tc>
      </w:tr>
      <w:tr w:rsidR="00983732" w:rsidRPr="00A3026E" w14:paraId="75E36B25" w14:textId="77777777" w:rsidTr="00EA0DA7">
        <w:tc>
          <w:tcPr>
            <w:tcW w:w="5636" w:type="dxa"/>
            <w:tcBorders>
              <w:bottom w:val="single" w:sz="12" w:space="0" w:color="auto"/>
            </w:tcBorders>
          </w:tcPr>
          <w:p w14:paraId="0F3683E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396F177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Вибрация хвостового оперения.</w:t>
            </w:r>
          </w:p>
        </w:tc>
      </w:tr>
    </w:tbl>
    <w:p w14:paraId="3092588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795A6C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на лыжах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0F267B50" w14:textId="77777777" w:rsidTr="00EA0DA7">
        <w:tc>
          <w:tcPr>
            <w:tcW w:w="5636" w:type="dxa"/>
            <w:tcBorders>
              <w:top w:val="single" w:sz="12" w:space="0" w:color="auto"/>
            </w:tcBorders>
          </w:tcPr>
          <w:p w14:paraId="1D13DFC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1E7BD1A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r>
      <w:tr w:rsidR="00983732" w:rsidRPr="00A3026E" w14:paraId="4A9F20B4" w14:textId="77777777" w:rsidTr="00EA0DA7">
        <w:tc>
          <w:tcPr>
            <w:tcW w:w="5636" w:type="dxa"/>
          </w:tcPr>
          <w:p w14:paraId="525573C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33471FE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1E355081" w14:textId="77777777" w:rsidTr="00EA0DA7">
        <w:tc>
          <w:tcPr>
            <w:tcW w:w="5636" w:type="dxa"/>
          </w:tcPr>
          <w:p w14:paraId="55B6800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555AF9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1887</w:t>
            </w:r>
          </w:p>
        </w:tc>
      </w:tr>
      <w:tr w:rsidR="00983732" w:rsidRPr="00A3026E" w14:paraId="5D4CA7C7" w14:textId="77777777" w:rsidTr="00EA0DA7">
        <w:tc>
          <w:tcPr>
            <w:tcW w:w="5636" w:type="dxa"/>
          </w:tcPr>
          <w:p w14:paraId="7E5E266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7CF4FA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6728E41" w14:textId="77777777" w:rsidTr="00EA0DA7">
        <w:tc>
          <w:tcPr>
            <w:tcW w:w="5636" w:type="dxa"/>
          </w:tcPr>
          <w:p w14:paraId="60CD53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3FFF0BC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w:t>
            </w:r>
          </w:p>
        </w:tc>
      </w:tr>
      <w:tr w:rsidR="00983732" w:rsidRPr="00A3026E" w14:paraId="6DC90058" w14:textId="77777777" w:rsidTr="00EA0DA7">
        <w:tc>
          <w:tcPr>
            <w:tcW w:w="5636" w:type="dxa"/>
          </w:tcPr>
          <w:p w14:paraId="63C834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129B604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431/5180</w:t>
            </w:r>
          </w:p>
        </w:tc>
      </w:tr>
      <w:tr w:rsidR="00983732" w:rsidRPr="00A3026E" w14:paraId="06A97332" w14:textId="77777777" w:rsidTr="00EA0DA7">
        <w:tc>
          <w:tcPr>
            <w:tcW w:w="5636" w:type="dxa"/>
          </w:tcPr>
          <w:p w14:paraId="531F22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6C7CB14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110-115</w:t>
            </w:r>
          </w:p>
        </w:tc>
      </w:tr>
      <w:tr w:rsidR="00983732" w:rsidRPr="00A3026E" w14:paraId="30712423" w14:textId="77777777" w:rsidTr="00EA0DA7">
        <w:tc>
          <w:tcPr>
            <w:tcW w:w="5636" w:type="dxa"/>
          </w:tcPr>
          <w:p w14:paraId="2DB4F17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119F89A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119D7DE4" w14:textId="77777777" w:rsidTr="00EA0DA7">
        <w:tc>
          <w:tcPr>
            <w:tcW w:w="5636" w:type="dxa"/>
          </w:tcPr>
          <w:p w14:paraId="7F8423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0B4C852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5,26</w:t>
            </w:r>
          </w:p>
        </w:tc>
      </w:tr>
      <w:tr w:rsidR="00983732" w:rsidRPr="00A3026E" w14:paraId="0C1FA72E" w14:textId="77777777" w:rsidTr="00EA0DA7">
        <w:tc>
          <w:tcPr>
            <w:tcW w:w="5636" w:type="dxa"/>
          </w:tcPr>
          <w:p w14:paraId="61F361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50E8C02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r>
      <w:tr w:rsidR="00983732" w:rsidRPr="00A3026E" w14:paraId="1B92F0C1" w14:textId="77777777" w:rsidTr="00EA0DA7">
        <w:tc>
          <w:tcPr>
            <w:tcW w:w="5636" w:type="dxa"/>
          </w:tcPr>
          <w:p w14:paraId="355D46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5665D46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w:t>
            </w:r>
          </w:p>
        </w:tc>
      </w:tr>
      <w:tr w:rsidR="00983732" w:rsidRPr="00A3026E" w14:paraId="0E3DE867" w14:textId="77777777" w:rsidTr="00EA0DA7">
        <w:tc>
          <w:tcPr>
            <w:tcW w:w="5636" w:type="dxa"/>
          </w:tcPr>
          <w:p w14:paraId="6F2AD47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59257D1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0D5654FF" w14:textId="77777777" w:rsidTr="00EA0DA7">
        <w:tc>
          <w:tcPr>
            <w:tcW w:w="5636" w:type="dxa"/>
          </w:tcPr>
          <w:p w14:paraId="78097E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1F4AA2D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Новая ВМГ.</w:t>
            </w:r>
          </w:p>
        </w:tc>
      </w:tr>
      <w:tr w:rsidR="00983732" w:rsidRPr="00A3026E" w14:paraId="1995239C" w14:textId="77777777" w:rsidTr="00EA0DA7">
        <w:tc>
          <w:tcPr>
            <w:tcW w:w="5636" w:type="dxa"/>
          </w:tcPr>
          <w:p w14:paraId="44077F4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Pr>
          <w:p w14:paraId="6EAA629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Несоответствие винта.</w:t>
            </w:r>
          </w:p>
        </w:tc>
      </w:tr>
      <w:tr w:rsidR="00983732" w:rsidRPr="00A3026E" w14:paraId="21D6DF36" w14:textId="77777777" w:rsidTr="00EA0DA7">
        <w:tc>
          <w:tcPr>
            <w:tcW w:w="5636" w:type="dxa"/>
          </w:tcPr>
          <w:p w14:paraId="0983C8C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FB9469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Переобогащение смеси.</w:t>
            </w:r>
          </w:p>
        </w:tc>
      </w:tr>
      <w:tr w:rsidR="00983732" w:rsidRPr="00A3026E" w14:paraId="229A922E" w14:textId="77777777" w:rsidTr="00EA0DA7">
        <w:tc>
          <w:tcPr>
            <w:tcW w:w="5636" w:type="dxa"/>
          </w:tcPr>
          <w:p w14:paraId="4B3DDCD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F4E86E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Недоведена ВМГ.</w:t>
            </w:r>
          </w:p>
        </w:tc>
      </w:tr>
      <w:tr w:rsidR="00983732" w:rsidRPr="00A3026E" w14:paraId="4BEEDDCB" w14:textId="77777777" w:rsidTr="00EA0DA7">
        <w:tc>
          <w:tcPr>
            <w:tcW w:w="5636" w:type="dxa"/>
            <w:tcBorders>
              <w:bottom w:val="single" w:sz="12" w:space="0" w:color="auto"/>
            </w:tcBorders>
          </w:tcPr>
          <w:p w14:paraId="1EE6BA0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147AF3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Поломка узла крепления шасси.</w:t>
            </w:r>
          </w:p>
        </w:tc>
      </w:tr>
    </w:tbl>
    <w:p w14:paraId="25BF870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FAB8F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эталон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983732" w:rsidRPr="00A3026E" w14:paraId="146118E5" w14:textId="77777777" w:rsidTr="00EA0DA7">
        <w:tc>
          <w:tcPr>
            <w:tcW w:w="5636" w:type="dxa"/>
            <w:tcBorders>
              <w:top w:val="single" w:sz="12" w:space="0" w:color="auto"/>
            </w:tcBorders>
          </w:tcPr>
          <w:p w14:paraId="33A277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5002" w:type="dxa"/>
            <w:tcBorders>
              <w:top w:val="single" w:sz="12" w:space="0" w:color="auto"/>
            </w:tcBorders>
          </w:tcPr>
          <w:p w14:paraId="7AD6900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r>
      <w:tr w:rsidR="00983732" w:rsidRPr="00A3026E" w14:paraId="2004C469" w14:textId="77777777" w:rsidTr="00EA0DA7">
        <w:tc>
          <w:tcPr>
            <w:tcW w:w="5636" w:type="dxa"/>
          </w:tcPr>
          <w:p w14:paraId="6C04B87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w:t>
            </w:r>
          </w:p>
        </w:tc>
        <w:tc>
          <w:tcPr>
            <w:tcW w:w="5002" w:type="dxa"/>
          </w:tcPr>
          <w:p w14:paraId="0C25C50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r>
      <w:tr w:rsidR="00983732" w:rsidRPr="00A3026E" w14:paraId="2FC03109" w14:textId="77777777" w:rsidTr="00EA0DA7">
        <w:tc>
          <w:tcPr>
            <w:tcW w:w="5636" w:type="dxa"/>
          </w:tcPr>
          <w:p w14:paraId="71EFB7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w:t>
            </w:r>
          </w:p>
        </w:tc>
        <w:tc>
          <w:tcPr>
            <w:tcW w:w="5002" w:type="dxa"/>
          </w:tcPr>
          <w:p w14:paraId="1458DA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1902</w:t>
            </w:r>
          </w:p>
        </w:tc>
      </w:tr>
      <w:tr w:rsidR="00983732" w:rsidRPr="00A3026E" w14:paraId="4DCC3FE0" w14:textId="77777777" w:rsidTr="00EA0DA7">
        <w:tc>
          <w:tcPr>
            <w:tcW w:w="5636" w:type="dxa"/>
          </w:tcPr>
          <w:p w14:paraId="7B25EAE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5002" w:type="dxa"/>
          </w:tcPr>
          <w:p w14:paraId="78B1887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F2D627F" w14:textId="77777777" w:rsidTr="00EA0DA7">
        <w:tc>
          <w:tcPr>
            <w:tcW w:w="5636" w:type="dxa"/>
          </w:tcPr>
          <w:p w14:paraId="2FBB52B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5002" w:type="dxa"/>
          </w:tcPr>
          <w:p w14:paraId="4060DDE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365</w:t>
            </w:r>
          </w:p>
        </w:tc>
      </w:tr>
      <w:tr w:rsidR="00983732" w:rsidRPr="00A3026E" w14:paraId="338D7063" w14:textId="77777777" w:rsidTr="00EA0DA7">
        <w:tc>
          <w:tcPr>
            <w:tcW w:w="5636" w:type="dxa"/>
          </w:tcPr>
          <w:p w14:paraId="6B2886D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5002" w:type="dxa"/>
          </w:tcPr>
          <w:p w14:paraId="0CC9C4B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427/5100</w:t>
            </w:r>
          </w:p>
        </w:tc>
      </w:tr>
      <w:tr w:rsidR="00983732" w:rsidRPr="00A3026E" w14:paraId="10068917" w14:textId="77777777" w:rsidTr="00EA0DA7">
        <w:tc>
          <w:tcPr>
            <w:tcW w:w="5636" w:type="dxa"/>
          </w:tcPr>
          <w:p w14:paraId="541D44C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5002" w:type="dxa"/>
          </w:tcPr>
          <w:p w14:paraId="01E3823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110-115</w:t>
            </w:r>
          </w:p>
        </w:tc>
      </w:tr>
      <w:tr w:rsidR="00983732" w:rsidRPr="00A3026E" w14:paraId="262B0DCA" w14:textId="77777777" w:rsidTr="00EA0DA7">
        <w:tc>
          <w:tcPr>
            <w:tcW w:w="5636" w:type="dxa"/>
          </w:tcPr>
          <w:p w14:paraId="65C5F1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w:t>
            </w:r>
          </w:p>
        </w:tc>
        <w:tc>
          <w:tcPr>
            <w:tcW w:w="5002" w:type="dxa"/>
          </w:tcPr>
          <w:p w14:paraId="75CBCAA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w:t>
            </w:r>
          </w:p>
        </w:tc>
      </w:tr>
      <w:tr w:rsidR="00983732" w:rsidRPr="00A3026E" w14:paraId="75DA0E3E" w14:textId="77777777" w:rsidTr="00EA0DA7">
        <w:tc>
          <w:tcPr>
            <w:tcW w:w="5636" w:type="dxa"/>
          </w:tcPr>
          <w:p w14:paraId="5CBCC80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w:t>
            </w:r>
          </w:p>
        </w:tc>
        <w:tc>
          <w:tcPr>
            <w:tcW w:w="5002" w:type="dxa"/>
          </w:tcPr>
          <w:p w14:paraId="5152F05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w:t>
            </w:r>
          </w:p>
        </w:tc>
      </w:tr>
      <w:tr w:rsidR="00983732" w:rsidRPr="00A3026E" w14:paraId="406F89FC" w14:textId="77777777" w:rsidTr="00EA0DA7">
        <w:tc>
          <w:tcPr>
            <w:tcW w:w="5636" w:type="dxa"/>
          </w:tcPr>
          <w:p w14:paraId="496150E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5002" w:type="dxa"/>
          </w:tcPr>
          <w:p w14:paraId="356A0C8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10600</w:t>
            </w:r>
          </w:p>
        </w:tc>
      </w:tr>
      <w:tr w:rsidR="00983732" w:rsidRPr="00A3026E" w14:paraId="1BADF3F2" w14:textId="77777777" w:rsidTr="00EA0DA7">
        <w:tc>
          <w:tcPr>
            <w:tcW w:w="5636" w:type="dxa"/>
          </w:tcPr>
          <w:p w14:paraId="120D547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5002" w:type="dxa"/>
          </w:tcPr>
          <w:p w14:paraId="246D99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w:t>
            </w:r>
          </w:p>
        </w:tc>
      </w:tr>
      <w:tr w:rsidR="00983732" w:rsidRPr="00A3026E" w14:paraId="4FFE2222" w14:textId="77777777" w:rsidTr="00EA0DA7">
        <w:tc>
          <w:tcPr>
            <w:tcW w:w="5636" w:type="dxa"/>
          </w:tcPr>
          <w:p w14:paraId="7B7439D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5002" w:type="dxa"/>
          </w:tcPr>
          <w:p w14:paraId="34DAFB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ШКАС</w:t>
            </w:r>
          </w:p>
        </w:tc>
      </w:tr>
      <w:tr w:rsidR="00983732" w:rsidRPr="00A3026E" w14:paraId="14B1867F" w14:textId="77777777" w:rsidTr="00EA0DA7">
        <w:tc>
          <w:tcPr>
            <w:tcW w:w="5636" w:type="dxa"/>
          </w:tcPr>
          <w:p w14:paraId="6370570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5002" w:type="dxa"/>
          </w:tcPr>
          <w:p w14:paraId="67C892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Подвесные бензобаки и заполнение бензобаков нейтральным газом.</w:t>
            </w:r>
          </w:p>
        </w:tc>
      </w:tr>
      <w:tr w:rsidR="00983732" w:rsidRPr="00A3026E" w14:paraId="20805FCE" w14:textId="77777777" w:rsidTr="00EA0DA7">
        <w:tc>
          <w:tcPr>
            <w:tcW w:w="5636" w:type="dxa"/>
          </w:tcPr>
          <w:p w14:paraId="79816DF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564363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Пневмопуски пулеметов.</w:t>
            </w:r>
          </w:p>
        </w:tc>
      </w:tr>
      <w:tr w:rsidR="00983732" w:rsidRPr="00A3026E" w14:paraId="5EE199F7" w14:textId="77777777" w:rsidTr="00EA0DA7">
        <w:tc>
          <w:tcPr>
            <w:tcW w:w="5636" w:type="dxa"/>
          </w:tcPr>
          <w:p w14:paraId="77E81F8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F0D5E2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Вторая противопожарная перегородка.</w:t>
            </w:r>
          </w:p>
        </w:tc>
      </w:tr>
      <w:tr w:rsidR="00983732" w:rsidRPr="00A3026E" w14:paraId="182A9BC0" w14:textId="77777777" w:rsidTr="00EA0DA7">
        <w:tc>
          <w:tcPr>
            <w:tcW w:w="5636" w:type="dxa"/>
          </w:tcPr>
          <w:p w14:paraId="0FDC81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96022F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Рация РСИ-3.</w:t>
            </w:r>
          </w:p>
        </w:tc>
      </w:tr>
      <w:tr w:rsidR="00983732" w:rsidRPr="00A3026E" w14:paraId="294F408D" w14:textId="77777777" w:rsidTr="00EA0DA7">
        <w:tc>
          <w:tcPr>
            <w:tcW w:w="5636" w:type="dxa"/>
          </w:tcPr>
          <w:p w14:paraId="35A5E0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7AE00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Усилена конструкция под новый вес.</w:t>
            </w:r>
          </w:p>
        </w:tc>
      </w:tr>
      <w:tr w:rsidR="00983732" w:rsidRPr="00A3026E" w14:paraId="5B52A403" w14:textId="77777777" w:rsidTr="00EA0DA7">
        <w:tc>
          <w:tcPr>
            <w:tcW w:w="5636" w:type="dxa"/>
          </w:tcPr>
          <w:p w14:paraId="606C373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5002" w:type="dxa"/>
          </w:tcPr>
          <w:p w14:paraId="32900D1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 доведена ВМГ.</w:t>
            </w:r>
          </w:p>
        </w:tc>
      </w:tr>
      <w:tr w:rsidR="00983732" w:rsidRPr="00A3026E" w14:paraId="656F0E96" w14:textId="77777777" w:rsidTr="00EA0DA7">
        <w:tc>
          <w:tcPr>
            <w:tcW w:w="5636" w:type="dxa"/>
          </w:tcPr>
          <w:p w14:paraId="0C6AE89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C690E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 доведено вооружение, установка РСИ-3 и система заполнения баков нейтральным газом.</w:t>
            </w:r>
          </w:p>
        </w:tc>
      </w:tr>
      <w:tr w:rsidR="00983732" w:rsidRPr="00A3026E" w14:paraId="70460BD6" w14:textId="77777777" w:rsidTr="00EA0DA7">
        <w:tc>
          <w:tcPr>
            <w:tcW w:w="5636" w:type="dxa"/>
            <w:tcBorders>
              <w:bottom w:val="single" w:sz="12" w:space="0" w:color="auto"/>
            </w:tcBorders>
          </w:tcPr>
          <w:p w14:paraId="708F850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4CEE628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Нет самопуска.</w:t>
            </w:r>
          </w:p>
        </w:tc>
      </w:tr>
    </w:tbl>
    <w:p w14:paraId="4A40FF3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A8AA46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модификации самолета СБ по годам</w:t>
      </w:r>
    </w:p>
    <w:p w14:paraId="73D13C8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4961"/>
      </w:tblGrid>
      <w:tr w:rsidR="00983732" w:rsidRPr="00A3026E" w14:paraId="611EFAD3" w14:textId="77777777" w:rsidTr="00EA0DA7">
        <w:tc>
          <w:tcPr>
            <w:tcW w:w="5637" w:type="dxa"/>
            <w:tcBorders>
              <w:top w:val="single" w:sz="12" w:space="0" w:color="auto"/>
            </w:tcBorders>
          </w:tcPr>
          <w:p w14:paraId="3D0C340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4961" w:type="dxa"/>
            <w:tcBorders>
              <w:top w:val="single" w:sz="12" w:space="0" w:color="auto"/>
            </w:tcBorders>
          </w:tcPr>
          <w:p w14:paraId="1835C0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Испано 12 Ybrs</w:t>
            </w:r>
          </w:p>
        </w:tc>
      </w:tr>
      <w:tr w:rsidR="00983732" w:rsidRPr="00A3026E" w14:paraId="48240FE6" w14:textId="77777777" w:rsidTr="00EA0DA7">
        <w:tc>
          <w:tcPr>
            <w:tcW w:w="5637" w:type="dxa"/>
          </w:tcPr>
          <w:p w14:paraId="7C895AF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961" w:type="dxa"/>
          </w:tcPr>
          <w:p w14:paraId="3C73F8F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4800/5386</w:t>
            </w:r>
          </w:p>
        </w:tc>
      </w:tr>
      <w:tr w:rsidR="00983732" w:rsidRPr="00A3026E" w14:paraId="59489379" w14:textId="77777777" w:rsidTr="00EA0DA7">
        <w:tc>
          <w:tcPr>
            <w:tcW w:w="5637" w:type="dxa"/>
          </w:tcPr>
          <w:p w14:paraId="2A82CC6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961" w:type="dxa"/>
          </w:tcPr>
          <w:p w14:paraId="76E8BA8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509E980" w14:textId="77777777" w:rsidTr="00EA0DA7">
        <w:tc>
          <w:tcPr>
            <w:tcW w:w="5637" w:type="dxa"/>
          </w:tcPr>
          <w:p w14:paraId="504E7F4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961" w:type="dxa"/>
          </w:tcPr>
          <w:p w14:paraId="6E754CA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356</w:t>
            </w:r>
          </w:p>
        </w:tc>
      </w:tr>
      <w:tr w:rsidR="00983732" w:rsidRPr="00A3026E" w14:paraId="1F34F634" w14:textId="77777777" w:rsidTr="00EA0DA7">
        <w:tc>
          <w:tcPr>
            <w:tcW w:w="5637" w:type="dxa"/>
          </w:tcPr>
          <w:p w14:paraId="084F96B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4961" w:type="dxa"/>
          </w:tcPr>
          <w:p w14:paraId="70559B5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418/5300</w:t>
            </w:r>
          </w:p>
        </w:tc>
      </w:tr>
      <w:tr w:rsidR="00983732" w:rsidRPr="00A3026E" w14:paraId="0030CEB3" w14:textId="77777777" w:rsidTr="00EA0DA7">
        <w:tc>
          <w:tcPr>
            <w:tcW w:w="5637" w:type="dxa"/>
          </w:tcPr>
          <w:p w14:paraId="4DD5F92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961" w:type="dxa"/>
          </w:tcPr>
          <w:p w14:paraId="24C3A22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w:t>
            </w:r>
          </w:p>
        </w:tc>
      </w:tr>
      <w:tr w:rsidR="00983732" w:rsidRPr="00A3026E" w14:paraId="39766A90" w14:textId="77777777" w:rsidTr="00EA0DA7">
        <w:tc>
          <w:tcPr>
            <w:tcW w:w="5637" w:type="dxa"/>
          </w:tcPr>
          <w:p w14:paraId="6B76474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4961" w:type="dxa"/>
          </w:tcPr>
          <w:p w14:paraId="339A172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9600</w:t>
            </w:r>
          </w:p>
        </w:tc>
      </w:tr>
      <w:tr w:rsidR="00983732" w:rsidRPr="00A3026E" w14:paraId="5A08D50A" w14:textId="77777777" w:rsidTr="00EA0DA7">
        <w:tc>
          <w:tcPr>
            <w:tcW w:w="5637" w:type="dxa"/>
          </w:tcPr>
          <w:p w14:paraId="0EE2EFC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4961" w:type="dxa"/>
          </w:tcPr>
          <w:p w14:paraId="33157A7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5539E95" w14:textId="77777777" w:rsidTr="00EA0DA7">
        <w:tc>
          <w:tcPr>
            <w:tcW w:w="5637" w:type="dxa"/>
          </w:tcPr>
          <w:p w14:paraId="1FE1D35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4961" w:type="dxa"/>
          </w:tcPr>
          <w:p w14:paraId="3575DAB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500/600</w:t>
            </w:r>
          </w:p>
        </w:tc>
      </w:tr>
      <w:tr w:rsidR="00983732" w:rsidRPr="00A3026E" w14:paraId="0223380B" w14:textId="77777777" w:rsidTr="00EA0DA7">
        <w:tc>
          <w:tcPr>
            <w:tcW w:w="5637" w:type="dxa"/>
            <w:tcBorders>
              <w:bottom w:val="single" w:sz="12" w:space="0" w:color="auto"/>
            </w:tcBorders>
          </w:tcPr>
          <w:p w14:paraId="73F76B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изменения и дефекты</w:t>
            </w:r>
          </w:p>
        </w:tc>
        <w:tc>
          <w:tcPr>
            <w:tcW w:w="4961" w:type="dxa"/>
            <w:tcBorders>
              <w:bottom w:val="single" w:sz="12" w:space="0" w:color="auto"/>
            </w:tcBorders>
          </w:tcPr>
          <w:p w14:paraId="75DB88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1C29A14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41D5C9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4961"/>
      </w:tblGrid>
      <w:tr w:rsidR="00983732" w:rsidRPr="00A3026E" w14:paraId="4F21264A" w14:textId="77777777" w:rsidTr="00EA0DA7">
        <w:tc>
          <w:tcPr>
            <w:tcW w:w="5637" w:type="dxa"/>
            <w:tcBorders>
              <w:top w:val="single" w:sz="12" w:space="0" w:color="auto"/>
            </w:tcBorders>
          </w:tcPr>
          <w:p w14:paraId="7574F87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4961" w:type="dxa"/>
            <w:tcBorders>
              <w:top w:val="single" w:sz="12" w:space="0" w:color="auto"/>
            </w:tcBorders>
          </w:tcPr>
          <w:p w14:paraId="236E077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М-100А</w:t>
            </w:r>
          </w:p>
        </w:tc>
      </w:tr>
      <w:tr w:rsidR="00983732" w:rsidRPr="00A3026E" w14:paraId="2554B86C" w14:textId="77777777" w:rsidTr="00EA0DA7">
        <w:tc>
          <w:tcPr>
            <w:tcW w:w="5637" w:type="dxa"/>
          </w:tcPr>
          <w:p w14:paraId="45C6B85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961" w:type="dxa"/>
          </w:tcPr>
          <w:p w14:paraId="739B3B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5732/6462</w:t>
            </w:r>
          </w:p>
        </w:tc>
      </w:tr>
      <w:tr w:rsidR="00983732" w:rsidRPr="00A3026E" w14:paraId="7B342B39" w14:textId="77777777" w:rsidTr="00EA0DA7">
        <w:tc>
          <w:tcPr>
            <w:tcW w:w="5637" w:type="dxa"/>
          </w:tcPr>
          <w:p w14:paraId="3E33DB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961" w:type="dxa"/>
          </w:tcPr>
          <w:p w14:paraId="668AF05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F6D81F5" w14:textId="77777777" w:rsidTr="00EA0DA7">
        <w:tc>
          <w:tcPr>
            <w:tcW w:w="5637" w:type="dxa"/>
          </w:tcPr>
          <w:p w14:paraId="1B6B2B3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961" w:type="dxa"/>
          </w:tcPr>
          <w:p w14:paraId="79647F1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371</w:t>
            </w:r>
          </w:p>
        </w:tc>
      </w:tr>
      <w:tr w:rsidR="00983732" w:rsidRPr="00A3026E" w14:paraId="430E22E7" w14:textId="77777777" w:rsidTr="00EA0DA7">
        <w:tc>
          <w:tcPr>
            <w:tcW w:w="5637" w:type="dxa"/>
          </w:tcPr>
          <w:p w14:paraId="471F68B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4961" w:type="dxa"/>
          </w:tcPr>
          <w:p w14:paraId="1B0251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423/4000</w:t>
            </w:r>
          </w:p>
        </w:tc>
      </w:tr>
      <w:tr w:rsidR="00983732" w:rsidRPr="00A3026E" w14:paraId="0FC58057" w14:textId="77777777" w:rsidTr="00EA0DA7">
        <w:tc>
          <w:tcPr>
            <w:tcW w:w="5637" w:type="dxa"/>
          </w:tcPr>
          <w:p w14:paraId="105DD30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961" w:type="dxa"/>
          </w:tcPr>
          <w:p w14:paraId="7A75AEF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6974E2CB" w14:textId="77777777" w:rsidTr="00EA0DA7">
        <w:tc>
          <w:tcPr>
            <w:tcW w:w="5637" w:type="dxa"/>
          </w:tcPr>
          <w:p w14:paraId="26D937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4961" w:type="dxa"/>
          </w:tcPr>
          <w:p w14:paraId="7645A91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9560</w:t>
            </w:r>
          </w:p>
        </w:tc>
      </w:tr>
      <w:tr w:rsidR="00983732" w:rsidRPr="00A3026E" w14:paraId="69B791B2" w14:textId="77777777" w:rsidTr="00EA0DA7">
        <w:tc>
          <w:tcPr>
            <w:tcW w:w="5637" w:type="dxa"/>
          </w:tcPr>
          <w:p w14:paraId="442D874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4961" w:type="dxa"/>
          </w:tcPr>
          <w:p w14:paraId="21AC4AA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r>
      <w:tr w:rsidR="00983732" w:rsidRPr="00A3026E" w14:paraId="3F3A1F49" w14:textId="77777777" w:rsidTr="00EA0DA7">
        <w:tc>
          <w:tcPr>
            <w:tcW w:w="5637" w:type="dxa"/>
          </w:tcPr>
          <w:p w14:paraId="425D54F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4961" w:type="dxa"/>
          </w:tcPr>
          <w:p w14:paraId="119293B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500/600</w:t>
            </w:r>
          </w:p>
        </w:tc>
      </w:tr>
      <w:tr w:rsidR="00983732" w:rsidRPr="00A3026E" w14:paraId="6CB4329B" w14:textId="77777777" w:rsidTr="00EA0DA7">
        <w:tc>
          <w:tcPr>
            <w:tcW w:w="5637" w:type="dxa"/>
          </w:tcPr>
          <w:p w14:paraId="33CF0FC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изменения и дефекты</w:t>
            </w:r>
          </w:p>
        </w:tc>
        <w:tc>
          <w:tcPr>
            <w:tcW w:w="4961" w:type="dxa"/>
          </w:tcPr>
          <w:p w14:paraId="299C4FF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Дефекты:</w:t>
            </w:r>
          </w:p>
        </w:tc>
      </w:tr>
      <w:tr w:rsidR="00983732" w:rsidRPr="00A3026E" w14:paraId="5F2B402E" w14:textId="77777777" w:rsidTr="00EA0DA7">
        <w:tc>
          <w:tcPr>
            <w:tcW w:w="5637" w:type="dxa"/>
          </w:tcPr>
          <w:p w14:paraId="580664E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961" w:type="dxa"/>
          </w:tcPr>
          <w:p w14:paraId="0859269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Недостаточна прочность моторамы, шасси, крепления обшивки крыла.</w:t>
            </w:r>
          </w:p>
        </w:tc>
      </w:tr>
      <w:tr w:rsidR="00983732" w:rsidRPr="00A3026E" w14:paraId="0B2084D1" w14:textId="77777777" w:rsidTr="00EA0DA7">
        <w:tc>
          <w:tcPr>
            <w:tcW w:w="5637" w:type="dxa"/>
          </w:tcPr>
          <w:p w14:paraId="194A1B2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961" w:type="dxa"/>
          </w:tcPr>
          <w:p w14:paraId="4B0147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Система охлаждения моторов недостаточная.</w:t>
            </w:r>
          </w:p>
        </w:tc>
      </w:tr>
      <w:tr w:rsidR="00983732" w:rsidRPr="00A3026E" w14:paraId="7739FFDF" w14:textId="77777777" w:rsidTr="00EA0DA7">
        <w:tc>
          <w:tcPr>
            <w:tcW w:w="5637" w:type="dxa"/>
            <w:tcBorders>
              <w:bottom w:val="single" w:sz="12" w:space="0" w:color="auto"/>
            </w:tcBorders>
          </w:tcPr>
          <w:p w14:paraId="799409C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961" w:type="dxa"/>
            <w:tcBorders>
              <w:bottom w:val="single" w:sz="12" w:space="0" w:color="auto"/>
            </w:tcBorders>
          </w:tcPr>
          <w:p w14:paraId="3F4939C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Неравномерный расход горючего из баков.</w:t>
            </w:r>
          </w:p>
        </w:tc>
      </w:tr>
    </w:tbl>
    <w:p w14:paraId="071A0E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DBA04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4819"/>
      </w:tblGrid>
      <w:tr w:rsidR="00983732" w:rsidRPr="00A3026E" w14:paraId="2E599CEC" w14:textId="77777777" w:rsidTr="00EA0DA7">
        <w:tc>
          <w:tcPr>
            <w:tcW w:w="5637" w:type="dxa"/>
            <w:tcBorders>
              <w:top w:val="single" w:sz="12" w:space="0" w:color="auto"/>
            </w:tcBorders>
          </w:tcPr>
          <w:p w14:paraId="344B0A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4819" w:type="dxa"/>
            <w:tcBorders>
              <w:top w:val="single" w:sz="12" w:space="0" w:color="auto"/>
            </w:tcBorders>
          </w:tcPr>
          <w:p w14:paraId="3DCE4C8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М-100А</w:t>
            </w:r>
          </w:p>
        </w:tc>
      </w:tr>
      <w:tr w:rsidR="00983732" w:rsidRPr="00A3026E" w14:paraId="0783653B" w14:textId="77777777" w:rsidTr="00EA0DA7">
        <w:tc>
          <w:tcPr>
            <w:tcW w:w="5637" w:type="dxa"/>
          </w:tcPr>
          <w:p w14:paraId="3EE5DC1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19" w:type="dxa"/>
          </w:tcPr>
          <w:p w14:paraId="1338DD0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5750/6480</w:t>
            </w:r>
          </w:p>
        </w:tc>
      </w:tr>
      <w:tr w:rsidR="00983732" w:rsidRPr="00A3026E" w14:paraId="24477574" w14:textId="77777777" w:rsidTr="00EA0DA7">
        <w:tc>
          <w:tcPr>
            <w:tcW w:w="5637" w:type="dxa"/>
          </w:tcPr>
          <w:p w14:paraId="56CF313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19" w:type="dxa"/>
          </w:tcPr>
          <w:p w14:paraId="659F1DC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5B742817" w14:textId="77777777" w:rsidTr="00EA0DA7">
        <w:tc>
          <w:tcPr>
            <w:tcW w:w="5637" w:type="dxa"/>
          </w:tcPr>
          <w:p w14:paraId="6471A2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19" w:type="dxa"/>
          </w:tcPr>
          <w:p w14:paraId="7666A9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334</w:t>
            </w:r>
          </w:p>
        </w:tc>
      </w:tr>
      <w:tr w:rsidR="00983732" w:rsidRPr="00A3026E" w14:paraId="3E4F16C3" w14:textId="77777777" w:rsidTr="00EA0DA7">
        <w:tc>
          <w:tcPr>
            <w:tcW w:w="5637" w:type="dxa"/>
          </w:tcPr>
          <w:p w14:paraId="1232DBF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4819" w:type="dxa"/>
          </w:tcPr>
          <w:p w14:paraId="442E466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406/3800</w:t>
            </w:r>
          </w:p>
        </w:tc>
      </w:tr>
      <w:tr w:rsidR="00983732" w:rsidRPr="00A3026E" w14:paraId="5FC64DA3" w14:textId="77777777" w:rsidTr="00EA0DA7">
        <w:tc>
          <w:tcPr>
            <w:tcW w:w="5637" w:type="dxa"/>
          </w:tcPr>
          <w:p w14:paraId="7B2905A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19" w:type="dxa"/>
          </w:tcPr>
          <w:p w14:paraId="6FCB27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6DBE7CEF" w14:textId="77777777" w:rsidTr="00EA0DA7">
        <w:tc>
          <w:tcPr>
            <w:tcW w:w="5637" w:type="dxa"/>
          </w:tcPr>
          <w:p w14:paraId="559D512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4819" w:type="dxa"/>
          </w:tcPr>
          <w:p w14:paraId="0F3E8D4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9500</w:t>
            </w:r>
          </w:p>
        </w:tc>
      </w:tr>
      <w:tr w:rsidR="00983732" w:rsidRPr="00A3026E" w14:paraId="2D9220A3" w14:textId="77777777" w:rsidTr="00EA0DA7">
        <w:tc>
          <w:tcPr>
            <w:tcW w:w="5637" w:type="dxa"/>
          </w:tcPr>
          <w:p w14:paraId="3FCBDA1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4819" w:type="dxa"/>
          </w:tcPr>
          <w:p w14:paraId="0A7B0C4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1450</w:t>
            </w:r>
          </w:p>
        </w:tc>
      </w:tr>
      <w:tr w:rsidR="00983732" w:rsidRPr="00A3026E" w14:paraId="1D968723" w14:textId="77777777" w:rsidTr="00EA0DA7">
        <w:tc>
          <w:tcPr>
            <w:tcW w:w="5637" w:type="dxa"/>
          </w:tcPr>
          <w:p w14:paraId="59FACCD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4819" w:type="dxa"/>
          </w:tcPr>
          <w:p w14:paraId="0590C30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500/600</w:t>
            </w:r>
          </w:p>
        </w:tc>
      </w:tr>
      <w:tr w:rsidR="00983732" w:rsidRPr="00A3026E" w14:paraId="0A06ABB7" w14:textId="77777777" w:rsidTr="00EA0DA7">
        <w:tc>
          <w:tcPr>
            <w:tcW w:w="5637" w:type="dxa"/>
          </w:tcPr>
          <w:p w14:paraId="32CB07E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изменения и дефекты</w:t>
            </w:r>
          </w:p>
        </w:tc>
        <w:tc>
          <w:tcPr>
            <w:tcW w:w="4819" w:type="dxa"/>
          </w:tcPr>
          <w:p w14:paraId="31FB1F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Поставлен мотор М-100А по 860 л.с., новое размещение приборов. </w:t>
            </w:r>
          </w:p>
        </w:tc>
      </w:tr>
      <w:tr w:rsidR="00983732" w:rsidRPr="00A3026E" w14:paraId="6EA5B6FD" w14:textId="77777777" w:rsidTr="00EA0DA7">
        <w:tc>
          <w:tcPr>
            <w:tcW w:w="5637" w:type="dxa"/>
            <w:tcBorders>
              <w:bottom w:val="single" w:sz="12" w:space="0" w:color="auto"/>
            </w:tcBorders>
          </w:tcPr>
          <w:p w14:paraId="3CF6428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19" w:type="dxa"/>
            <w:tcBorders>
              <w:bottom w:val="single" w:sz="12" w:space="0" w:color="auto"/>
            </w:tcBorders>
          </w:tcPr>
          <w:p w14:paraId="4E64087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Дефекты: передняя стрелковая установка плохо выполнена, динамомашина ДСФИ 1000 дает колебания от 26 до 30 вольт, недостаточно эффективны водорадиаторы.</w:t>
            </w:r>
          </w:p>
        </w:tc>
      </w:tr>
    </w:tbl>
    <w:p w14:paraId="6669E81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7FAA96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4819"/>
      </w:tblGrid>
      <w:tr w:rsidR="00983732" w:rsidRPr="00A3026E" w14:paraId="22015ED1" w14:textId="77777777" w:rsidTr="00EA0DA7">
        <w:tc>
          <w:tcPr>
            <w:tcW w:w="5637" w:type="dxa"/>
            <w:tcBorders>
              <w:top w:val="single" w:sz="12" w:space="0" w:color="auto"/>
            </w:tcBorders>
          </w:tcPr>
          <w:p w14:paraId="3642B55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4819" w:type="dxa"/>
            <w:tcBorders>
              <w:top w:val="single" w:sz="12" w:space="0" w:color="auto"/>
            </w:tcBorders>
          </w:tcPr>
          <w:p w14:paraId="3833459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М-103</w:t>
            </w:r>
          </w:p>
        </w:tc>
      </w:tr>
      <w:tr w:rsidR="00983732" w:rsidRPr="00A3026E" w14:paraId="797E5C9E" w14:textId="77777777" w:rsidTr="00EA0DA7">
        <w:tc>
          <w:tcPr>
            <w:tcW w:w="5637" w:type="dxa"/>
          </w:tcPr>
          <w:p w14:paraId="299F2A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19" w:type="dxa"/>
          </w:tcPr>
          <w:p w14:paraId="5A39E12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6059/6789</w:t>
            </w:r>
          </w:p>
        </w:tc>
      </w:tr>
      <w:tr w:rsidR="00983732" w:rsidRPr="00A3026E" w14:paraId="2D66B02F" w14:textId="77777777" w:rsidTr="00EA0DA7">
        <w:tc>
          <w:tcPr>
            <w:tcW w:w="5637" w:type="dxa"/>
          </w:tcPr>
          <w:p w14:paraId="7FB40AF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19" w:type="dxa"/>
          </w:tcPr>
          <w:p w14:paraId="391673D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7F81A06" w14:textId="77777777" w:rsidTr="00EA0DA7">
        <w:tc>
          <w:tcPr>
            <w:tcW w:w="5637" w:type="dxa"/>
          </w:tcPr>
          <w:p w14:paraId="5781D3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19" w:type="dxa"/>
          </w:tcPr>
          <w:p w14:paraId="2AAC88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352</w:t>
            </w:r>
          </w:p>
        </w:tc>
      </w:tr>
      <w:tr w:rsidR="00983732" w:rsidRPr="00A3026E" w14:paraId="2CC483DB" w14:textId="77777777" w:rsidTr="00EA0DA7">
        <w:tc>
          <w:tcPr>
            <w:tcW w:w="5637" w:type="dxa"/>
          </w:tcPr>
          <w:p w14:paraId="440B21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4819" w:type="dxa"/>
          </w:tcPr>
          <w:p w14:paraId="7A1257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415/4000</w:t>
            </w:r>
          </w:p>
        </w:tc>
      </w:tr>
      <w:tr w:rsidR="00983732" w:rsidRPr="00A3026E" w14:paraId="0F3FDA1C" w14:textId="77777777" w:rsidTr="00EA0DA7">
        <w:tc>
          <w:tcPr>
            <w:tcW w:w="5637" w:type="dxa"/>
          </w:tcPr>
          <w:p w14:paraId="0A03312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19" w:type="dxa"/>
          </w:tcPr>
          <w:p w14:paraId="3781F27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w:t>
            </w:r>
          </w:p>
        </w:tc>
      </w:tr>
      <w:tr w:rsidR="00983732" w:rsidRPr="00A3026E" w14:paraId="029738F5" w14:textId="77777777" w:rsidTr="00EA0DA7">
        <w:tc>
          <w:tcPr>
            <w:tcW w:w="5637" w:type="dxa"/>
          </w:tcPr>
          <w:p w14:paraId="1F9F28F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4819" w:type="dxa"/>
          </w:tcPr>
          <w:p w14:paraId="37F30F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9400</w:t>
            </w:r>
          </w:p>
        </w:tc>
      </w:tr>
      <w:tr w:rsidR="00983732" w:rsidRPr="00A3026E" w14:paraId="061D3827" w14:textId="77777777" w:rsidTr="00EA0DA7">
        <w:tc>
          <w:tcPr>
            <w:tcW w:w="5637" w:type="dxa"/>
          </w:tcPr>
          <w:p w14:paraId="7E70C0A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4819" w:type="dxa"/>
          </w:tcPr>
          <w:p w14:paraId="469CBD7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1480</w:t>
            </w:r>
          </w:p>
        </w:tc>
      </w:tr>
      <w:tr w:rsidR="00983732" w:rsidRPr="00A3026E" w14:paraId="53668D93" w14:textId="77777777" w:rsidTr="00EA0DA7">
        <w:tc>
          <w:tcPr>
            <w:tcW w:w="5637" w:type="dxa"/>
          </w:tcPr>
          <w:p w14:paraId="29FFF3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4819" w:type="dxa"/>
          </w:tcPr>
          <w:p w14:paraId="5B25C79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500/600</w:t>
            </w:r>
          </w:p>
        </w:tc>
      </w:tr>
      <w:tr w:rsidR="00983732" w:rsidRPr="00A3026E" w14:paraId="65118034" w14:textId="77777777" w:rsidTr="00EA0DA7">
        <w:tc>
          <w:tcPr>
            <w:tcW w:w="5637" w:type="dxa"/>
          </w:tcPr>
          <w:p w14:paraId="2052103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изменения и дефекты</w:t>
            </w:r>
          </w:p>
        </w:tc>
        <w:tc>
          <w:tcPr>
            <w:tcW w:w="4819" w:type="dxa"/>
          </w:tcPr>
          <w:p w14:paraId="07445F8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Поставлены 3-х лопастные винты ВИШ-2, установлены замки ДЕР-13 для наружной подвески бомб. Установлены моторы М-103; изменена покраска на алюминиевую; поставлен фото АФА-13, поставлено гидроуправление щитками, увеличен запас прочности, установлены новые мех. сбрасыватели.</w:t>
            </w:r>
          </w:p>
        </w:tc>
      </w:tr>
      <w:tr w:rsidR="00983732" w:rsidRPr="00A3026E" w14:paraId="4340C304" w14:textId="77777777" w:rsidTr="00EA0DA7">
        <w:tc>
          <w:tcPr>
            <w:tcW w:w="5637" w:type="dxa"/>
            <w:tcBorders>
              <w:bottom w:val="single" w:sz="12" w:space="0" w:color="auto"/>
            </w:tcBorders>
          </w:tcPr>
          <w:p w14:paraId="6B7033A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19" w:type="dxa"/>
            <w:tcBorders>
              <w:bottom w:val="single" w:sz="12" w:space="0" w:color="auto"/>
            </w:tcBorders>
          </w:tcPr>
          <w:p w14:paraId="4A79F1D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Дефекты: передняя стрелковая установка имеет задержки при стрельбе. Течь горючего у пробок карбюратора, тугой ход бензокранов, слаба аварийная лебедка, слаб водомаслорадиатор, СПУ работает неудовлетворительно, сильное задувание в кабину штурмана, маслопомпа не обеспечивает нормальное давление масла на высоте выше 6000 м. Кабина штурмана тесна, не полное открытие створок бомболюков, мощность огня слабая.</w:t>
            </w:r>
          </w:p>
        </w:tc>
      </w:tr>
    </w:tbl>
    <w:p w14:paraId="268643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7D75C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 полугодия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378E946D" w14:textId="77777777" w:rsidTr="00EA0DA7">
        <w:tc>
          <w:tcPr>
            <w:tcW w:w="5636" w:type="dxa"/>
            <w:tcBorders>
              <w:top w:val="single" w:sz="12" w:space="0" w:color="auto"/>
            </w:tcBorders>
          </w:tcPr>
          <w:p w14:paraId="6C0B9CB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4822" w:type="dxa"/>
            <w:tcBorders>
              <w:top w:val="single" w:sz="12" w:space="0" w:color="auto"/>
            </w:tcBorders>
          </w:tcPr>
          <w:p w14:paraId="1487C49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М-103</w:t>
            </w:r>
          </w:p>
        </w:tc>
      </w:tr>
      <w:tr w:rsidR="00983732" w:rsidRPr="00A3026E" w14:paraId="711B42D5" w14:textId="77777777" w:rsidTr="00EA0DA7">
        <w:tc>
          <w:tcPr>
            <w:tcW w:w="5636" w:type="dxa"/>
          </w:tcPr>
          <w:p w14:paraId="73E0E7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162A55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6186/7876</w:t>
            </w:r>
          </w:p>
        </w:tc>
      </w:tr>
      <w:tr w:rsidR="00983732" w:rsidRPr="00A3026E" w14:paraId="6AEB2123" w14:textId="77777777" w:rsidTr="00EA0DA7">
        <w:tc>
          <w:tcPr>
            <w:tcW w:w="5636" w:type="dxa"/>
          </w:tcPr>
          <w:p w14:paraId="3DDFCD3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4DD120F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5F489F7" w14:textId="77777777" w:rsidTr="00EA0DA7">
        <w:tc>
          <w:tcPr>
            <w:tcW w:w="5636" w:type="dxa"/>
          </w:tcPr>
          <w:p w14:paraId="5963216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4B04E5E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366</w:t>
            </w:r>
          </w:p>
        </w:tc>
      </w:tr>
      <w:tr w:rsidR="00983732" w:rsidRPr="00A3026E" w14:paraId="4C2D540D" w14:textId="77777777" w:rsidTr="00EA0DA7">
        <w:tc>
          <w:tcPr>
            <w:tcW w:w="5636" w:type="dxa"/>
          </w:tcPr>
          <w:p w14:paraId="615D81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4822" w:type="dxa"/>
          </w:tcPr>
          <w:p w14:paraId="5B36462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425/4000</w:t>
            </w:r>
          </w:p>
        </w:tc>
      </w:tr>
      <w:tr w:rsidR="00983732" w:rsidRPr="00A3026E" w14:paraId="444EA3B6" w14:textId="77777777" w:rsidTr="00EA0DA7">
        <w:tc>
          <w:tcPr>
            <w:tcW w:w="5636" w:type="dxa"/>
          </w:tcPr>
          <w:p w14:paraId="01FE5E6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16793E1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5B2DA071" w14:textId="77777777" w:rsidTr="00EA0DA7">
        <w:tc>
          <w:tcPr>
            <w:tcW w:w="5636" w:type="dxa"/>
          </w:tcPr>
          <w:p w14:paraId="17EB5AE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4822" w:type="dxa"/>
          </w:tcPr>
          <w:p w14:paraId="3B0C1F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9600</w:t>
            </w:r>
          </w:p>
        </w:tc>
      </w:tr>
      <w:tr w:rsidR="00983732" w:rsidRPr="00A3026E" w14:paraId="22C93BDE" w14:textId="77777777" w:rsidTr="00EA0DA7">
        <w:tc>
          <w:tcPr>
            <w:tcW w:w="5636" w:type="dxa"/>
          </w:tcPr>
          <w:p w14:paraId="0070F12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4822" w:type="dxa"/>
          </w:tcPr>
          <w:p w14:paraId="07DF764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1440</w:t>
            </w:r>
          </w:p>
        </w:tc>
      </w:tr>
      <w:tr w:rsidR="00983732" w:rsidRPr="00A3026E" w14:paraId="1B0C3E03" w14:textId="77777777" w:rsidTr="00EA0DA7">
        <w:tc>
          <w:tcPr>
            <w:tcW w:w="5636" w:type="dxa"/>
          </w:tcPr>
          <w:p w14:paraId="1D0A69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4822" w:type="dxa"/>
          </w:tcPr>
          <w:p w14:paraId="338BF39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500/1500</w:t>
            </w:r>
          </w:p>
        </w:tc>
      </w:tr>
      <w:tr w:rsidR="00983732" w:rsidRPr="00A3026E" w14:paraId="6E0D77AD" w14:textId="77777777" w:rsidTr="00EA0DA7">
        <w:tc>
          <w:tcPr>
            <w:tcW w:w="5636" w:type="dxa"/>
          </w:tcPr>
          <w:p w14:paraId="3FB3AEA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изменения и дефекты</w:t>
            </w:r>
          </w:p>
        </w:tc>
        <w:tc>
          <w:tcPr>
            <w:tcW w:w="4822" w:type="dxa"/>
          </w:tcPr>
          <w:p w14:paraId="6B3F14C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Скоростной напор отсутствует, маслопомпа не обеспечивает нормального давления масла на высотах, электрообрудование не отвечает Т.Т., внутреннее освещение кабины неудовлетворительное.</w:t>
            </w:r>
          </w:p>
        </w:tc>
      </w:tr>
      <w:tr w:rsidR="00983732" w:rsidRPr="00A3026E" w14:paraId="6A541AF0" w14:textId="77777777" w:rsidTr="00EA0DA7">
        <w:tc>
          <w:tcPr>
            <w:tcW w:w="5636" w:type="dxa"/>
            <w:tcBorders>
              <w:bottom w:val="single" w:sz="12" w:space="0" w:color="auto"/>
            </w:tcBorders>
          </w:tcPr>
          <w:p w14:paraId="15B510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5E3675D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Изменена амортизация ног, поставлена новая аварийная лебедка; сидение летчика бронировано; установлены протектированные бензобаки.</w:t>
            </w:r>
          </w:p>
        </w:tc>
      </w:tr>
    </w:tbl>
    <w:p w14:paraId="379A54D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6B6567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2 полугодия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4C25123C" w14:textId="77777777" w:rsidTr="00EA0DA7">
        <w:tc>
          <w:tcPr>
            <w:tcW w:w="5636" w:type="dxa"/>
            <w:tcBorders>
              <w:top w:val="single" w:sz="12" w:space="0" w:color="auto"/>
            </w:tcBorders>
          </w:tcPr>
          <w:p w14:paraId="0C1ECA5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4822" w:type="dxa"/>
            <w:tcBorders>
              <w:top w:val="single" w:sz="12" w:space="0" w:color="auto"/>
            </w:tcBorders>
          </w:tcPr>
          <w:p w14:paraId="1445930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М-103</w:t>
            </w:r>
          </w:p>
        </w:tc>
      </w:tr>
      <w:tr w:rsidR="00983732" w:rsidRPr="00A3026E" w14:paraId="6F5999AD" w14:textId="77777777" w:rsidTr="00EA0DA7">
        <w:tc>
          <w:tcPr>
            <w:tcW w:w="5636" w:type="dxa"/>
          </w:tcPr>
          <w:p w14:paraId="45395A3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4446E8B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6380/7880</w:t>
            </w:r>
          </w:p>
        </w:tc>
      </w:tr>
      <w:tr w:rsidR="00983732" w:rsidRPr="00A3026E" w14:paraId="57700D0A" w14:textId="77777777" w:rsidTr="00EA0DA7">
        <w:tc>
          <w:tcPr>
            <w:tcW w:w="5636" w:type="dxa"/>
          </w:tcPr>
          <w:p w14:paraId="5B6977B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7822505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2AE1AD53" w14:textId="77777777" w:rsidTr="00EA0DA7">
        <w:tc>
          <w:tcPr>
            <w:tcW w:w="5636" w:type="dxa"/>
          </w:tcPr>
          <w:p w14:paraId="00B11BC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2582ED9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w:t>
            </w:r>
          </w:p>
        </w:tc>
      </w:tr>
      <w:tr w:rsidR="00983732" w:rsidRPr="00A3026E" w14:paraId="02D9D1A5" w14:textId="77777777" w:rsidTr="00EA0DA7">
        <w:tc>
          <w:tcPr>
            <w:tcW w:w="5636" w:type="dxa"/>
          </w:tcPr>
          <w:p w14:paraId="2EC304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4822" w:type="dxa"/>
          </w:tcPr>
          <w:p w14:paraId="0A94A06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450/4100</w:t>
            </w:r>
          </w:p>
        </w:tc>
      </w:tr>
      <w:tr w:rsidR="00983732" w:rsidRPr="00A3026E" w14:paraId="0E5EFEB6" w14:textId="77777777" w:rsidTr="00EA0DA7">
        <w:tc>
          <w:tcPr>
            <w:tcW w:w="5636" w:type="dxa"/>
          </w:tcPr>
          <w:p w14:paraId="794C50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7FB2ED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792F27BD" w14:textId="77777777" w:rsidTr="00EA0DA7">
        <w:tc>
          <w:tcPr>
            <w:tcW w:w="5636" w:type="dxa"/>
          </w:tcPr>
          <w:p w14:paraId="6D5E3C9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4822" w:type="dxa"/>
          </w:tcPr>
          <w:p w14:paraId="5347811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5C44609C" w14:textId="77777777" w:rsidTr="00EA0DA7">
        <w:tc>
          <w:tcPr>
            <w:tcW w:w="5636" w:type="dxa"/>
          </w:tcPr>
          <w:p w14:paraId="2114713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4822" w:type="dxa"/>
          </w:tcPr>
          <w:p w14:paraId="28478EF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1350</w:t>
            </w:r>
          </w:p>
        </w:tc>
      </w:tr>
      <w:tr w:rsidR="00983732" w:rsidRPr="00A3026E" w14:paraId="74B84A26" w14:textId="77777777" w:rsidTr="00EA0DA7">
        <w:tc>
          <w:tcPr>
            <w:tcW w:w="5636" w:type="dxa"/>
          </w:tcPr>
          <w:p w14:paraId="463B3A6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4822" w:type="dxa"/>
          </w:tcPr>
          <w:p w14:paraId="693D6E2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500/1500</w:t>
            </w:r>
          </w:p>
        </w:tc>
      </w:tr>
      <w:tr w:rsidR="00983732" w:rsidRPr="00A3026E" w14:paraId="0BC6CA2C" w14:textId="77777777" w:rsidTr="00EA0DA7">
        <w:tc>
          <w:tcPr>
            <w:tcW w:w="5636" w:type="dxa"/>
          </w:tcPr>
          <w:p w14:paraId="5D018E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изменения и дефекты</w:t>
            </w:r>
          </w:p>
        </w:tc>
        <w:tc>
          <w:tcPr>
            <w:tcW w:w="4822" w:type="dxa"/>
          </w:tcPr>
          <w:p w14:paraId="1FC60BF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обеспечивает полный слив масла, моторама не позволяет снять нижнюю крышку мотора, температуры масла высоки. Освещение демаскирует кабины. Маслопомпа не обеспечивает давление масла на высоте. Вода при аварийном сливе в полете остается в водорадиаторе (зимой). Триммера при низких температурах не работают.</w:t>
            </w:r>
          </w:p>
        </w:tc>
      </w:tr>
      <w:tr w:rsidR="00983732" w:rsidRPr="00A3026E" w14:paraId="23F80D6D" w14:textId="77777777" w:rsidTr="00EA0DA7">
        <w:tc>
          <w:tcPr>
            <w:tcW w:w="5636" w:type="dxa"/>
            <w:tcBorders>
              <w:bottom w:val="single" w:sz="12" w:space="0" w:color="auto"/>
            </w:tcBorders>
          </w:tcPr>
          <w:p w14:paraId="6446A49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052628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Винтомоторная группа обнажена, сняты водомасляные радиаторы и поставлены воздушно-масляные радиаторы; добавлено ДЕР-31; установлена посадочная фара; изменена бензосистема и водомаслосистема, сделаны новые туннели водорадиаторов, установлены шторки Ф-1.</w:t>
            </w:r>
          </w:p>
        </w:tc>
      </w:tr>
    </w:tbl>
    <w:p w14:paraId="7E27D6F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596F20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Серийный эталон 1 полугодия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5950870C" w14:textId="77777777" w:rsidTr="00EA0DA7">
        <w:tc>
          <w:tcPr>
            <w:tcW w:w="5636" w:type="dxa"/>
            <w:tcBorders>
              <w:top w:val="single" w:sz="12" w:space="0" w:color="auto"/>
            </w:tcBorders>
          </w:tcPr>
          <w:p w14:paraId="173E5C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4822" w:type="dxa"/>
            <w:tcBorders>
              <w:top w:val="single" w:sz="12" w:space="0" w:color="auto"/>
            </w:tcBorders>
          </w:tcPr>
          <w:p w14:paraId="4E6A266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М-103А</w:t>
            </w:r>
          </w:p>
        </w:tc>
      </w:tr>
      <w:tr w:rsidR="00983732" w:rsidRPr="00A3026E" w14:paraId="2312AE6C" w14:textId="77777777" w:rsidTr="00EA0DA7">
        <w:tc>
          <w:tcPr>
            <w:tcW w:w="5636" w:type="dxa"/>
          </w:tcPr>
          <w:p w14:paraId="0159CFB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6D81AE9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6450/8100</w:t>
            </w:r>
          </w:p>
        </w:tc>
      </w:tr>
      <w:tr w:rsidR="00983732" w:rsidRPr="00A3026E" w14:paraId="5020874D" w14:textId="77777777" w:rsidTr="00EA0DA7">
        <w:tc>
          <w:tcPr>
            <w:tcW w:w="5636" w:type="dxa"/>
          </w:tcPr>
          <w:p w14:paraId="1EBA17A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642A91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5E6D4CF" w14:textId="77777777" w:rsidTr="00EA0DA7">
        <w:tc>
          <w:tcPr>
            <w:tcW w:w="5636" w:type="dxa"/>
          </w:tcPr>
          <w:p w14:paraId="0AF384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3B27EE1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356</w:t>
            </w:r>
          </w:p>
        </w:tc>
      </w:tr>
      <w:tr w:rsidR="00983732" w:rsidRPr="00A3026E" w14:paraId="121F4DB8" w14:textId="77777777" w:rsidTr="00EA0DA7">
        <w:tc>
          <w:tcPr>
            <w:tcW w:w="5636" w:type="dxa"/>
          </w:tcPr>
          <w:p w14:paraId="037ECFD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4822" w:type="dxa"/>
          </w:tcPr>
          <w:p w14:paraId="32F8E96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420/4100</w:t>
            </w:r>
          </w:p>
        </w:tc>
      </w:tr>
      <w:tr w:rsidR="00983732" w:rsidRPr="00A3026E" w14:paraId="3D189537" w14:textId="77777777" w:rsidTr="00EA0DA7">
        <w:tc>
          <w:tcPr>
            <w:tcW w:w="5636" w:type="dxa"/>
          </w:tcPr>
          <w:p w14:paraId="55F546E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3DAD516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77FC3177" w14:textId="77777777" w:rsidTr="00EA0DA7">
        <w:tc>
          <w:tcPr>
            <w:tcW w:w="5636" w:type="dxa"/>
          </w:tcPr>
          <w:p w14:paraId="73212CA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4822" w:type="dxa"/>
          </w:tcPr>
          <w:p w14:paraId="5ABBF6E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9400</w:t>
            </w:r>
          </w:p>
        </w:tc>
      </w:tr>
      <w:tr w:rsidR="00983732" w:rsidRPr="00A3026E" w14:paraId="78E33050" w14:textId="77777777" w:rsidTr="00EA0DA7">
        <w:tc>
          <w:tcPr>
            <w:tcW w:w="5636" w:type="dxa"/>
          </w:tcPr>
          <w:p w14:paraId="2102A6D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4822" w:type="dxa"/>
          </w:tcPr>
          <w:p w14:paraId="7DC7E68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1145</w:t>
            </w:r>
          </w:p>
        </w:tc>
      </w:tr>
      <w:tr w:rsidR="00983732" w:rsidRPr="00A3026E" w14:paraId="0BEAA7A4" w14:textId="77777777" w:rsidTr="00EA0DA7">
        <w:tc>
          <w:tcPr>
            <w:tcW w:w="5636" w:type="dxa"/>
          </w:tcPr>
          <w:p w14:paraId="3EC16FA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4822" w:type="dxa"/>
          </w:tcPr>
          <w:p w14:paraId="1DE5975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600/1500-1800</w:t>
            </w:r>
          </w:p>
        </w:tc>
      </w:tr>
      <w:tr w:rsidR="00983732" w:rsidRPr="00A3026E" w14:paraId="1E4D4156" w14:textId="77777777" w:rsidTr="00EA0DA7">
        <w:tc>
          <w:tcPr>
            <w:tcW w:w="5636" w:type="dxa"/>
            <w:tcBorders>
              <w:bottom w:val="single" w:sz="12" w:space="0" w:color="auto"/>
            </w:tcBorders>
          </w:tcPr>
          <w:p w14:paraId="442DEE4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изменения и дефекты</w:t>
            </w:r>
          </w:p>
        </w:tc>
        <w:tc>
          <w:tcPr>
            <w:tcW w:w="4822" w:type="dxa"/>
            <w:tcBorders>
              <w:bottom w:val="single" w:sz="12" w:space="0" w:color="auto"/>
            </w:tcBorders>
          </w:tcPr>
          <w:p w14:paraId="311C1B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Установлены винты автоматы ВИШ-22; установлена противопожарная перегородка, установлено освещение рации, установлен педальный спусковой крючок ЛУ; на подкосах моторамы установлены отражатели.</w:t>
            </w:r>
          </w:p>
        </w:tc>
      </w:tr>
    </w:tbl>
    <w:p w14:paraId="14D03BB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13907DA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Эталон на лыжах 1 полугодия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3B579466" w14:textId="77777777" w:rsidTr="00EA0DA7">
        <w:tc>
          <w:tcPr>
            <w:tcW w:w="5636" w:type="dxa"/>
            <w:tcBorders>
              <w:top w:val="single" w:sz="12" w:space="0" w:color="auto"/>
            </w:tcBorders>
          </w:tcPr>
          <w:p w14:paraId="293242A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4822" w:type="dxa"/>
            <w:tcBorders>
              <w:top w:val="single" w:sz="12" w:space="0" w:color="auto"/>
            </w:tcBorders>
          </w:tcPr>
          <w:p w14:paraId="083383E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r>
      <w:tr w:rsidR="00983732" w:rsidRPr="00A3026E" w14:paraId="02877A47" w14:textId="77777777" w:rsidTr="00EA0DA7">
        <w:tc>
          <w:tcPr>
            <w:tcW w:w="5636" w:type="dxa"/>
          </w:tcPr>
          <w:p w14:paraId="29E4ED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4E71E5B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6700</w:t>
            </w:r>
          </w:p>
        </w:tc>
      </w:tr>
      <w:tr w:rsidR="00983732" w:rsidRPr="00A3026E" w14:paraId="26D673F8" w14:textId="77777777" w:rsidTr="00EA0DA7">
        <w:tc>
          <w:tcPr>
            <w:tcW w:w="5636" w:type="dxa"/>
          </w:tcPr>
          <w:p w14:paraId="226A978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6E434C6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C6DFD32" w14:textId="77777777" w:rsidTr="00EA0DA7">
        <w:tc>
          <w:tcPr>
            <w:tcW w:w="5636" w:type="dxa"/>
          </w:tcPr>
          <w:p w14:paraId="0C2BAA4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022FBCE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r>
      <w:tr w:rsidR="00983732" w:rsidRPr="00A3026E" w14:paraId="1DABBD3A" w14:textId="77777777" w:rsidTr="00EA0DA7">
        <w:tc>
          <w:tcPr>
            <w:tcW w:w="5636" w:type="dxa"/>
          </w:tcPr>
          <w:p w14:paraId="229751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4822" w:type="dxa"/>
          </w:tcPr>
          <w:p w14:paraId="222C6F0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445/4000</w:t>
            </w:r>
          </w:p>
        </w:tc>
      </w:tr>
      <w:tr w:rsidR="00983732" w:rsidRPr="00A3026E" w14:paraId="0231CA89" w14:textId="77777777" w:rsidTr="00EA0DA7">
        <w:tc>
          <w:tcPr>
            <w:tcW w:w="5636" w:type="dxa"/>
          </w:tcPr>
          <w:p w14:paraId="60872C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3CC58FF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w:t>
            </w:r>
          </w:p>
        </w:tc>
      </w:tr>
      <w:tr w:rsidR="00983732" w:rsidRPr="00A3026E" w14:paraId="3EDE99E2" w14:textId="77777777" w:rsidTr="00EA0DA7">
        <w:tc>
          <w:tcPr>
            <w:tcW w:w="5636" w:type="dxa"/>
          </w:tcPr>
          <w:p w14:paraId="4B33934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4822" w:type="dxa"/>
          </w:tcPr>
          <w:p w14:paraId="14A5FCC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r>
      <w:tr w:rsidR="00983732" w:rsidRPr="00A3026E" w14:paraId="1AD43819" w14:textId="77777777" w:rsidTr="00EA0DA7">
        <w:tc>
          <w:tcPr>
            <w:tcW w:w="5636" w:type="dxa"/>
          </w:tcPr>
          <w:p w14:paraId="7CC253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4822" w:type="dxa"/>
          </w:tcPr>
          <w:p w14:paraId="45FD207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07002D8F" w14:textId="77777777" w:rsidTr="00EA0DA7">
        <w:tc>
          <w:tcPr>
            <w:tcW w:w="5636" w:type="dxa"/>
          </w:tcPr>
          <w:p w14:paraId="5A78E50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4822" w:type="dxa"/>
          </w:tcPr>
          <w:p w14:paraId="6AF653F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600/1500-1800</w:t>
            </w:r>
          </w:p>
        </w:tc>
      </w:tr>
      <w:tr w:rsidR="00983732" w:rsidRPr="00A3026E" w14:paraId="01B19526" w14:textId="77777777" w:rsidTr="00EA0DA7">
        <w:tc>
          <w:tcPr>
            <w:tcW w:w="5636" w:type="dxa"/>
          </w:tcPr>
          <w:p w14:paraId="2CE0801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изменения и дефекты</w:t>
            </w:r>
          </w:p>
        </w:tc>
        <w:tc>
          <w:tcPr>
            <w:tcW w:w="4822" w:type="dxa"/>
          </w:tcPr>
          <w:p w14:paraId="3B9FEF7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Бомболюки не открываются при выпущенных шасси; отходят ноги при максимальных скоростях; астрономический люк открывается на больших скоростях; газоанализаторы не доведены; установка РПК-2 влияет на показания компаса летчика; форсажем пользоваться опасно. Оборудование самолета имеет те же дефекты.</w:t>
            </w:r>
          </w:p>
        </w:tc>
      </w:tr>
      <w:tr w:rsidR="00983732" w:rsidRPr="00A3026E" w14:paraId="24874BCF" w14:textId="77777777" w:rsidTr="00EA0DA7">
        <w:tc>
          <w:tcPr>
            <w:tcW w:w="5636" w:type="dxa"/>
            <w:tcBorders>
              <w:bottom w:val="single" w:sz="12" w:space="0" w:color="auto"/>
            </w:tcBorders>
          </w:tcPr>
          <w:p w14:paraId="14B3972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48BA0CB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Установлено МВ-3, МВ-2, РПК-2 и жесткая антенна, установлена система наполнения бензобаков от СО2, установлен форсаж моторов, установлено новое зеркало летчика, установлена убирающаяся люковая установка.</w:t>
            </w:r>
          </w:p>
        </w:tc>
      </w:tr>
    </w:tbl>
    <w:p w14:paraId="757410E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0BA2DF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модификаций самолета ДБ-3 по годам</w:t>
      </w:r>
    </w:p>
    <w:p w14:paraId="018121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5BD4D505" w14:textId="77777777" w:rsidTr="00EA0DA7">
        <w:tc>
          <w:tcPr>
            <w:tcW w:w="5636" w:type="dxa"/>
            <w:tcBorders>
              <w:top w:val="single" w:sz="12" w:space="0" w:color="auto"/>
            </w:tcBorders>
          </w:tcPr>
          <w:p w14:paraId="51FFAE2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4822" w:type="dxa"/>
            <w:tcBorders>
              <w:top w:val="single" w:sz="12" w:space="0" w:color="auto"/>
            </w:tcBorders>
          </w:tcPr>
          <w:p w14:paraId="58CA16A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М-85</w:t>
            </w:r>
          </w:p>
        </w:tc>
      </w:tr>
      <w:tr w:rsidR="00983732" w:rsidRPr="00A3026E" w14:paraId="070ADF3F" w14:textId="77777777" w:rsidTr="00EA0DA7">
        <w:tc>
          <w:tcPr>
            <w:tcW w:w="5636" w:type="dxa"/>
          </w:tcPr>
          <w:p w14:paraId="0EFD096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1C5F17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6648</w:t>
            </w:r>
          </w:p>
        </w:tc>
      </w:tr>
      <w:tr w:rsidR="00983732" w:rsidRPr="00A3026E" w14:paraId="4284DF1B" w14:textId="77777777" w:rsidTr="00EA0DA7">
        <w:tc>
          <w:tcPr>
            <w:tcW w:w="5636" w:type="dxa"/>
          </w:tcPr>
          <w:p w14:paraId="472318D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287C458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A86FE55" w14:textId="77777777" w:rsidTr="00EA0DA7">
        <w:tc>
          <w:tcPr>
            <w:tcW w:w="5636" w:type="dxa"/>
          </w:tcPr>
          <w:p w14:paraId="7E6FE11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251AA70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335</w:t>
            </w:r>
          </w:p>
        </w:tc>
      </w:tr>
      <w:tr w:rsidR="00983732" w:rsidRPr="00A3026E" w14:paraId="53982969" w14:textId="77777777" w:rsidTr="00EA0DA7">
        <w:tc>
          <w:tcPr>
            <w:tcW w:w="5636" w:type="dxa"/>
          </w:tcPr>
          <w:p w14:paraId="77D7B23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4822" w:type="dxa"/>
          </w:tcPr>
          <w:p w14:paraId="28DD79D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415/4800</w:t>
            </w:r>
          </w:p>
        </w:tc>
      </w:tr>
      <w:tr w:rsidR="00983732" w:rsidRPr="00A3026E" w14:paraId="3C288B9A" w14:textId="77777777" w:rsidTr="00EA0DA7">
        <w:tc>
          <w:tcPr>
            <w:tcW w:w="5636" w:type="dxa"/>
          </w:tcPr>
          <w:p w14:paraId="0F79881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4466F09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w:t>
            </w:r>
          </w:p>
        </w:tc>
      </w:tr>
      <w:tr w:rsidR="00983732" w:rsidRPr="00A3026E" w14:paraId="78539D13" w14:textId="77777777" w:rsidTr="00EA0DA7">
        <w:tc>
          <w:tcPr>
            <w:tcW w:w="5636" w:type="dxa"/>
          </w:tcPr>
          <w:p w14:paraId="7A80560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4822" w:type="dxa"/>
          </w:tcPr>
          <w:p w14:paraId="2870540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8920</w:t>
            </w:r>
          </w:p>
        </w:tc>
      </w:tr>
      <w:tr w:rsidR="00983732" w:rsidRPr="00A3026E" w14:paraId="1CF133AE" w14:textId="77777777" w:rsidTr="00EA0DA7">
        <w:tc>
          <w:tcPr>
            <w:tcW w:w="5636" w:type="dxa"/>
          </w:tcPr>
          <w:p w14:paraId="3ABDE5A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4822" w:type="dxa"/>
          </w:tcPr>
          <w:p w14:paraId="221F118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3250</w:t>
            </w:r>
          </w:p>
        </w:tc>
      </w:tr>
      <w:tr w:rsidR="00983732" w:rsidRPr="00A3026E" w14:paraId="12941358" w14:textId="77777777" w:rsidTr="00EA0DA7">
        <w:tc>
          <w:tcPr>
            <w:tcW w:w="5636" w:type="dxa"/>
          </w:tcPr>
          <w:p w14:paraId="6C584B7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4822" w:type="dxa"/>
          </w:tcPr>
          <w:p w14:paraId="1252EE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1000/2500</w:t>
            </w:r>
          </w:p>
        </w:tc>
      </w:tr>
      <w:tr w:rsidR="00983732" w:rsidRPr="00A3026E" w14:paraId="05CD49C1" w14:textId="77777777" w:rsidTr="00EA0DA7">
        <w:tc>
          <w:tcPr>
            <w:tcW w:w="5636" w:type="dxa"/>
          </w:tcPr>
          <w:p w14:paraId="55B6D9F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4822" w:type="dxa"/>
          </w:tcPr>
          <w:p w14:paraId="62D44E5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A6D322E" w14:textId="77777777" w:rsidTr="00EA0DA7">
        <w:tc>
          <w:tcPr>
            <w:tcW w:w="5636" w:type="dxa"/>
          </w:tcPr>
          <w:p w14:paraId="2F9319C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4822" w:type="dxa"/>
          </w:tcPr>
          <w:p w14:paraId="395199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Неудовлетворительная продольная устойчивость в полете.</w:t>
            </w:r>
          </w:p>
        </w:tc>
      </w:tr>
      <w:tr w:rsidR="00983732" w:rsidRPr="00A3026E" w14:paraId="73901644" w14:textId="77777777" w:rsidTr="00EA0DA7">
        <w:tc>
          <w:tcPr>
            <w:tcW w:w="5636" w:type="dxa"/>
          </w:tcPr>
          <w:p w14:paraId="1A2ACD5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7714C9D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Развороты при разбеге и пробеге.</w:t>
            </w:r>
          </w:p>
        </w:tc>
      </w:tr>
      <w:tr w:rsidR="00983732" w:rsidRPr="00A3026E" w14:paraId="2A41A03B" w14:textId="77777777" w:rsidTr="00EA0DA7">
        <w:tc>
          <w:tcPr>
            <w:tcW w:w="5636" w:type="dxa"/>
          </w:tcPr>
          <w:p w14:paraId="79B334E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B0141A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Перегрев моторов при температуре воздуха свыше 10 градусов.</w:t>
            </w:r>
          </w:p>
        </w:tc>
      </w:tr>
      <w:tr w:rsidR="00983732" w:rsidRPr="00A3026E" w14:paraId="00893BC5" w14:textId="77777777" w:rsidTr="00EA0DA7">
        <w:tc>
          <w:tcPr>
            <w:tcW w:w="5636" w:type="dxa"/>
          </w:tcPr>
          <w:p w14:paraId="32ACC03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2855D99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Радиосвязь не обеспечивает дальних полетов.</w:t>
            </w:r>
          </w:p>
        </w:tc>
      </w:tr>
      <w:tr w:rsidR="00983732" w:rsidRPr="00A3026E" w14:paraId="39898FA5" w14:textId="77777777" w:rsidTr="00EA0DA7">
        <w:tc>
          <w:tcPr>
            <w:tcW w:w="5636" w:type="dxa"/>
            <w:tcBorders>
              <w:bottom w:val="single" w:sz="12" w:space="0" w:color="auto"/>
            </w:tcBorders>
          </w:tcPr>
          <w:p w14:paraId="2BC693B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7C1E82B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Отсутствие бензиномеров для всех баков.</w:t>
            </w:r>
          </w:p>
        </w:tc>
      </w:tr>
    </w:tbl>
    <w:p w14:paraId="6D58710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74F5DDD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7EA3B6D6" w14:textId="77777777" w:rsidTr="00EA0DA7">
        <w:tc>
          <w:tcPr>
            <w:tcW w:w="5636" w:type="dxa"/>
            <w:tcBorders>
              <w:top w:val="single" w:sz="12" w:space="0" w:color="auto"/>
            </w:tcBorders>
          </w:tcPr>
          <w:p w14:paraId="174C139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4822" w:type="dxa"/>
            <w:tcBorders>
              <w:top w:val="single" w:sz="12" w:space="0" w:color="auto"/>
            </w:tcBorders>
          </w:tcPr>
          <w:p w14:paraId="5C9942C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М-85</w:t>
            </w:r>
          </w:p>
        </w:tc>
      </w:tr>
      <w:tr w:rsidR="00983732" w:rsidRPr="00A3026E" w14:paraId="0EACC75B" w14:textId="77777777" w:rsidTr="00EA0DA7">
        <w:tc>
          <w:tcPr>
            <w:tcW w:w="5636" w:type="dxa"/>
          </w:tcPr>
          <w:p w14:paraId="69AA3B2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42AD554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6802</w:t>
            </w:r>
          </w:p>
        </w:tc>
      </w:tr>
      <w:tr w:rsidR="00983732" w:rsidRPr="00A3026E" w14:paraId="26281B61" w14:textId="77777777" w:rsidTr="00EA0DA7">
        <w:tc>
          <w:tcPr>
            <w:tcW w:w="5636" w:type="dxa"/>
          </w:tcPr>
          <w:p w14:paraId="1568A3A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6A5A52D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5276E4C" w14:textId="77777777" w:rsidTr="00EA0DA7">
        <w:tc>
          <w:tcPr>
            <w:tcW w:w="5636" w:type="dxa"/>
          </w:tcPr>
          <w:p w14:paraId="6BAF30F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3AF5DCE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311</w:t>
            </w:r>
          </w:p>
        </w:tc>
      </w:tr>
      <w:tr w:rsidR="00983732" w:rsidRPr="00A3026E" w14:paraId="1A3A6621" w14:textId="77777777" w:rsidTr="00EA0DA7">
        <w:tc>
          <w:tcPr>
            <w:tcW w:w="5636" w:type="dxa"/>
          </w:tcPr>
          <w:p w14:paraId="54BF02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4822" w:type="dxa"/>
          </w:tcPr>
          <w:p w14:paraId="3EDC086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380/4400</w:t>
            </w:r>
          </w:p>
        </w:tc>
      </w:tr>
      <w:tr w:rsidR="00983732" w:rsidRPr="00A3026E" w14:paraId="5C116C30" w14:textId="77777777" w:rsidTr="00EA0DA7">
        <w:tc>
          <w:tcPr>
            <w:tcW w:w="5636" w:type="dxa"/>
          </w:tcPr>
          <w:p w14:paraId="4D6CC14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603E961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w:t>
            </w:r>
          </w:p>
        </w:tc>
      </w:tr>
      <w:tr w:rsidR="00983732" w:rsidRPr="00A3026E" w14:paraId="1A2B94F6" w14:textId="77777777" w:rsidTr="00EA0DA7">
        <w:tc>
          <w:tcPr>
            <w:tcW w:w="5636" w:type="dxa"/>
          </w:tcPr>
          <w:p w14:paraId="23705A3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4822" w:type="dxa"/>
          </w:tcPr>
          <w:p w14:paraId="28427FB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8400</w:t>
            </w:r>
          </w:p>
        </w:tc>
      </w:tr>
      <w:tr w:rsidR="00983732" w:rsidRPr="00A3026E" w14:paraId="26F83511" w14:textId="77777777" w:rsidTr="00EA0DA7">
        <w:tc>
          <w:tcPr>
            <w:tcW w:w="5636" w:type="dxa"/>
          </w:tcPr>
          <w:p w14:paraId="14FE5B4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4822" w:type="dxa"/>
          </w:tcPr>
          <w:p w14:paraId="7D00E90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r>
      <w:tr w:rsidR="00983732" w:rsidRPr="00A3026E" w14:paraId="569004D1" w14:textId="77777777" w:rsidTr="00EA0DA7">
        <w:tc>
          <w:tcPr>
            <w:tcW w:w="5636" w:type="dxa"/>
          </w:tcPr>
          <w:p w14:paraId="1B1895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4822" w:type="dxa"/>
          </w:tcPr>
          <w:p w14:paraId="1925B4A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1000/2500</w:t>
            </w:r>
          </w:p>
        </w:tc>
      </w:tr>
      <w:tr w:rsidR="00983732" w:rsidRPr="00A3026E" w14:paraId="5847D5DD" w14:textId="77777777" w:rsidTr="00EA0DA7">
        <w:tc>
          <w:tcPr>
            <w:tcW w:w="5636" w:type="dxa"/>
          </w:tcPr>
          <w:p w14:paraId="6E15AED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4822" w:type="dxa"/>
          </w:tcPr>
          <w:p w14:paraId="50E0B9E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Увеличено продольное V.</w:t>
            </w:r>
          </w:p>
        </w:tc>
      </w:tr>
      <w:tr w:rsidR="00983732" w:rsidRPr="00A3026E" w14:paraId="5F83A5DA" w14:textId="77777777" w:rsidTr="00EA0DA7">
        <w:tc>
          <w:tcPr>
            <w:tcW w:w="5636" w:type="dxa"/>
          </w:tcPr>
          <w:p w14:paraId="56E4530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10531CC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Установлены триммера на элероны и флеттнера на оперение.</w:t>
            </w:r>
          </w:p>
        </w:tc>
      </w:tr>
      <w:tr w:rsidR="00983732" w:rsidRPr="00A3026E" w14:paraId="4B9ACC35" w14:textId="77777777" w:rsidTr="00EA0DA7">
        <w:tc>
          <w:tcPr>
            <w:tcW w:w="5636" w:type="dxa"/>
          </w:tcPr>
          <w:p w14:paraId="587E98C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BB8CCF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Установлена рация РСБ.</w:t>
            </w:r>
          </w:p>
        </w:tc>
      </w:tr>
      <w:tr w:rsidR="00983732" w:rsidRPr="00A3026E" w14:paraId="65951BEC" w14:textId="77777777" w:rsidTr="00EA0DA7">
        <w:tc>
          <w:tcPr>
            <w:tcW w:w="5636" w:type="dxa"/>
          </w:tcPr>
          <w:p w14:paraId="0C98EF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236A64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Установлено второе управление в кабине штурмана.</w:t>
            </w:r>
          </w:p>
        </w:tc>
      </w:tr>
      <w:tr w:rsidR="00983732" w:rsidRPr="00A3026E" w14:paraId="11AC1A48" w14:textId="77777777" w:rsidTr="00EA0DA7">
        <w:tc>
          <w:tcPr>
            <w:tcW w:w="5636" w:type="dxa"/>
          </w:tcPr>
          <w:p w14:paraId="245D26C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24A60F7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Облагорожена ВМГ (новые мотокапоты, новый маслорадиатор и т.д.).</w:t>
            </w:r>
          </w:p>
        </w:tc>
      </w:tr>
      <w:tr w:rsidR="00983732" w:rsidRPr="00A3026E" w14:paraId="3EFD60DD" w14:textId="77777777" w:rsidTr="00EA0DA7">
        <w:tc>
          <w:tcPr>
            <w:tcW w:w="5636" w:type="dxa"/>
          </w:tcPr>
          <w:p w14:paraId="1278EBA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43F5926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Самолет окрашен в защитный цвет.</w:t>
            </w:r>
          </w:p>
        </w:tc>
      </w:tr>
      <w:tr w:rsidR="00983732" w:rsidRPr="00A3026E" w14:paraId="4C3CEBF0" w14:textId="77777777" w:rsidTr="00EA0DA7">
        <w:tc>
          <w:tcPr>
            <w:tcW w:w="5636" w:type="dxa"/>
          </w:tcPr>
          <w:p w14:paraId="1979DF0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4822" w:type="dxa"/>
          </w:tcPr>
          <w:p w14:paraId="736D896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Стреловое вооружение не обеспечивает обороноспособности самолета.</w:t>
            </w:r>
          </w:p>
        </w:tc>
      </w:tr>
      <w:tr w:rsidR="00983732" w:rsidRPr="00A3026E" w14:paraId="66A6FFE9" w14:textId="77777777" w:rsidTr="00EA0DA7">
        <w:tc>
          <w:tcPr>
            <w:tcW w:w="5636" w:type="dxa"/>
          </w:tcPr>
          <w:p w14:paraId="583446F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892E6A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Продольная устойчивость недостаточна.</w:t>
            </w:r>
          </w:p>
        </w:tc>
      </w:tr>
      <w:tr w:rsidR="00983732" w:rsidRPr="00A3026E" w14:paraId="4EEF88DB" w14:textId="77777777" w:rsidTr="00EA0DA7">
        <w:tc>
          <w:tcPr>
            <w:tcW w:w="5636" w:type="dxa"/>
          </w:tcPr>
          <w:p w14:paraId="2FB481C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3AE3C4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При разбеге и пробеге самолет разворачивает.</w:t>
            </w:r>
          </w:p>
        </w:tc>
      </w:tr>
      <w:tr w:rsidR="00983732" w:rsidRPr="00A3026E" w14:paraId="19DC8EF7" w14:textId="77777777" w:rsidTr="00EA0DA7">
        <w:tc>
          <w:tcPr>
            <w:tcW w:w="5636" w:type="dxa"/>
          </w:tcPr>
          <w:p w14:paraId="5662183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C46F97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Обзор летчика недостаточный.</w:t>
            </w:r>
          </w:p>
        </w:tc>
      </w:tr>
      <w:tr w:rsidR="00983732" w:rsidRPr="00A3026E" w14:paraId="0B4B8C73" w14:textId="77777777" w:rsidTr="00EA0DA7">
        <w:tc>
          <w:tcPr>
            <w:tcW w:w="5636" w:type="dxa"/>
          </w:tcPr>
          <w:p w14:paraId="3D65599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742A069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Управление уборкой шасси сложное – 7 операций.</w:t>
            </w:r>
          </w:p>
        </w:tc>
      </w:tr>
      <w:tr w:rsidR="00983732" w:rsidRPr="00A3026E" w14:paraId="0E534E91" w14:textId="77777777" w:rsidTr="00EA0DA7">
        <w:tc>
          <w:tcPr>
            <w:tcW w:w="5636" w:type="dxa"/>
            <w:tcBorders>
              <w:bottom w:val="single" w:sz="12" w:space="0" w:color="auto"/>
            </w:tcBorders>
          </w:tcPr>
          <w:p w14:paraId="6C57D73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00E939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Баки не протектированы и т.д. </w:t>
            </w:r>
          </w:p>
        </w:tc>
      </w:tr>
    </w:tbl>
    <w:p w14:paraId="2CF9DC0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87BE01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13379960" w14:textId="77777777" w:rsidTr="00EA0DA7">
        <w:tc>
          <w:tcPr>
            <w:tcW w:w="5636" w:type="dxa"/>
            <w:tcBorders>
              <w:top w:val="single" w:sz="12" w:space="0" w:color="auto"/>
            </w:tcBorders>
          </w:tcPr>
          <w:p w14:paraId="135089C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Мотор</w:t>
            </w:r>
          </w:p>
        </w:tc>
        <w:tc>
          <w:tcPr>
            <w:tcW w:w="4822" w:type="dxa"/>
            <w:tcBorders>
              <w:top w:val="single" w:sz="12" w:space="0" w:color="auto"/>
            </w:tcBorders>
          </w:tcPr>
          <w:p w14:paraId="13C1F74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М-86</w:t>
            </w:r>
          </w:p>
        </w:tc>
      </w:tr>
      <w:tr w:rsidR="00983732" w:rsidRPr="00A3026E" w14:paraId="45EEFFBF" w14:textId="77777777" w:rsidTr="00EA0DA7">
        <w:tc>
          <w:tcPr>
            <w:tcW w:w="5636" w:type="dxa"/>
          </w:tcPr>
          <w:p w14:paraId="5703B36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44066F7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6600/8500</w:t>
            </w:r>
          </w:p>
        </w:tc>
      </w:tr>
      <w:tr w:rsidR="00983732" w:rsidRPr="00A3026E" w14:paraId="140E9FD2" w14:textId="77777777" w:rsidTr="00EA0DA7">
        <w:tc>
          <w:tcPr>
            <w:tcW w:w="5636" w:type="dxa"/>
          </w:tcPr>
          <w:p w14:paraId="7CD6223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3DEBA46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C48379F" w14:textId="77777777" w:rsidTr="00EA0DA7">
        <w:tc>
          <w:tcPr>
            <w:tcW w:w="5636" w:type="dxa"/>
          </w:tcPr>
          <w:p w14:paraId="1015E8B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338CD15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331</w:t>
            </w:r>
          </w:p>
        </w:tc>
      </w:tr>
      <w:tr w:rsidR="00983732" w:rsidRPr="00A3026E" w14:paraId="01DEC50A" w14:textId="77777777" w:rsidTr="00EA0DA7">
        <w:tc>
          <w:tcPr>
            <w:tcW w:w="5636" w:type="dxa"/>
          </w:tcPr>
          <w:p w14:paraId="398AA50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4822" w:type="dxa"/>
          </w:tcPr>
          <w:p w14:paraId="16E8F3D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395/4000</w:t>
            </w:r>
          </w:p>
        </w:tc>
      </w:tr>
      <w:tr w:rsidR="00983732" w:rsidRPr="00A3026E" w14:paraId="160AAF12" w14:textId="77777777" w:rsidTr="00EA0DA7">
        <w:tc>
          <w:tcPr>
            <w:tcW w:w="5636" w:type="dxa"/>
          </w:tcPr>
          <w:p w14:paraId="5A39CCE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767588B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w:t>
            </w:r>
          </w:p>
        </w:tc>
      </w:tr>
      <w:tr w:rsidR="00983732" w:rsidRPr="00A3026E" w14:paraId="316A3F1F" w14:textId="77777777" w:rsidTr="00EA0DA7">
        <w:tc>
          <w:tcPr>
            <w:tcW w:w="5636" w:type="dxa"/>
          </w:tcPr>
          <w:p w14:paraId="32EB103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4822" w:type="dxa"/>
          </w:tcPr>
          <w:p w14:paraId="7EDAF80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8300</w:t>
            </w:r>
          </w:p>
        </w:tc>
      </w:tr>
      <w:tr w:rsidR="00983732" w:rsidRPr="00A3026E" w14:paraId="6E96DC98" w14:textId="77777777" w:rsidTr="00EA0DA7">
        <w:tc>
          <w:tcPr>
            <w:tcW w:w="5636" w:type="dxa"/>
          </w:tcPr>
          <w:p w14:paraId="540457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4822" w:type="dxa"/>
          </w:tcPr>
          <w:p w14:paraId="45A1E33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3200</w:t>
            </w:r>
          </w:p>
        </w:tc>
      </w:tr>
      <w:tr w:rsidR="00983732" w:rsidRPr="00A3026E" w14:paraId="0D35482D" w14:textId="77777777" w:rsidTr="00EA0DA7">
        <w:tc>
          <w:tcPr>
            <w:tcW w:w="5636" w:type="dxa"/>
          </w:tcPr>
          <w:p w14:paraId="2C9999B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4822" w:type="dxa"/>
          </w:tcPr>
          <w:p w14:paraId="1BAB144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1000/2500</w:t>
            </w:r>
          </w:p>
        </w:tc>
      </w:tr>
      <w:tr w:rsidR="00983732" w:rsidRPr="00A3026E" w14:paraId="65CEBB14" w14:textId="77777777" w:rsidTr="00EA0DA7">
        <w:tc>
          <w:tcPr>
            <w:tcW w:w="5636" w:type="dxa"/>
          </w:tcPr>
          <w:p w14:paraId="501EA72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4822" w:type="dxa"/>
          </w:tcPr>
          <w:p w14:paraId="42FFAE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Моторы М-86, винты ЦКБ-30.</w:t>
            </w:r>
          </w:p>
        </w:tc>
      </w:tr>
      <w:tr w:rsidR="00983732" w:rsidRPr="00A3026E" w14:paraId="7A2BD6B0" w14:textId="77777777" w:rsidTr="00EA0DA7">
        <w:tc>
          <w:tcPr>
            <w:tcW w:w="5636" w:type="dxa"/>
          </w:tcPr>
          <w:p w14:paraId="46EBD8D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Упрощена система уборки шасси и управления щитками.</w:t>
            </w:r>
          </w:p>
        </w:tc>
        <w:tc>
          <w:tcPr>
            <w:tcW w:w="4822" w:type="dxa"/>
          </w:tcPr>
          <w:p w14:paraId="60E988A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B093216" w14:textId="77777777" w:rsidTr="00EA0DA7">
        <w:tc>
          <w:tcPr>
            <w:tcW w:w="5636" w:type="dxa"/>
          </w:tcPr>
          <w:p w14:paraId="7ED819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Для охлаждения моторов вместо юбок установлены жалюзи.</w:t>
            </w:r>
          </w:p>
        </w:tc>
        <w:tc>
          <w:tcPr>
            <w:tcW w:w="4822" w:type="dxa"/>
          </w:tcPr>
          <w:p w14:paraId="435125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266B9E5" w14:textId="77777777" w:rsidTr="00EA0DA7">
        <w:tc>
          <w:tcPr>
            <w:tcW w:w="5636" w:type="dxa"/>
          </w:tcPr>
          <w:p w14:paraId="4AD32F1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Изменены маслобаки.</w:t>
            </w:r>
          </w:p>
        </w:tc>
        <w:tc>
          <w:tcPr>
            <w:tcW w:w="4822" w:type="dxa"/>
          </w:tcPr>
          <w:p w14:paraId="22C248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2D31316" w14:textId="77777777" w:rsidTr="00EA0DA7">
        <w:tc>
          <w:tcPr>
            <w:tcW w:w="5636" w:type="dxa"/>
          </w:tcPr>
          <w:p w14:paraId="09F64A2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Установлена прозрачная перегородка у летчика в бомбоотсек.</w:t>
            </w:r>
          </w:p>
        </w:tc>
        <w:tc>
          <w:tcPr>
            <w:tcW w:w="4822" w:type="dxa"/>
          </w:tcPr>
          <w:p w14:paraId="48878A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3DC46BBB" w14:textId="77777777" w:rsidTr="00EA0DA7">
        <w:tc>
          <w:tcPr>
            <w:tcW w:w="5636" w:type="dxa"/>
          </w:tcPr>
          <w:p w14:paraId="468FE08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4822" w:type="dxa"/>
          </w:tcPr>
          <w:p w14:paraId="18A645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Недостаточная продольная устойчивость.</w:t>
            </w:r>
          </w:p>
        </w:tc>
      </w:tr>
      <w:tr w:rsidR="00983732" w:rsidRPr="00A3026E" w14:paraId="23D5CC7E" w14:textId="77777777" w:rsidTr="00EA0DA7">
        <w:tc>
          <w:tcPr>
            <w:tcW w:w="5636" w:type="dxa"/>
          </w:tcPr>
          <w:p w14:paraId="3365BBE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0E7488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 хватает рулей высоты при посадке со щитками.</w:t>
            </w:r>
          </w:p>
        </w:tc>
      </w:tr>
      <w:tr w:rsidR="00983732" w:rsidRPr="00A3026E" w14:paraId="5C0D0BDD" w14:textId="77777777" w:rsidTr="00EA0DA7">
        <w:tc>
          <w:tcPr>
            <w:tcW w:w="5636" w:type="dxa"/>
          </w:tcPr>
          <w:p w14:paraId="5C12BDC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5606C0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самолет разворачивается вправо при разбеге и пробеге.</w:t>
            </w:r>
          </w:p>
        </w:tc>
      </w:tr>
      <w:tr w:rsidR="00983732" w:rsidRPr="00A3026E" w14:paraId="490AB2C8" w14:textId="77777777" w:rsidTr="00EA0DA7">
        <w:tc>
          <w:tcPr>
            <w:tcW w:w="5636" w:type="dxa"/>
          </w:tcPr>
          <w:p w14:paraId="7B8D03B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BD442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Недостаточный обзор летчика.</w:t>
            </w:r>
          </w:p>
        </w:tc>
      </w:tr>
      <w:tr w:rsidR="00983732" w:rsidRPr="00A3026E" w14:paraId="54133035" w14:textId="77777777" w:rsidTr="00EA0DA7">
        <w:tc>
          <w:tcPr>
            <w:tcW w:w="5636" w:type="dxa"/>
            <w:tcBorders>
              <w:bottom w:val="single" w:sz="12" w:space="0" w:color="auto"/>
            </w:tcBorders>
          </w:tcPr>
          <w:p w14:paraId="3A79711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5FF4F97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Отсутствует визуальная связь и т.д.</w:t>
            </w:r>
          </w:p>
        </w:tc>
      </w:tr>
    </w:tbl>
    <w:p w14:paraId="7F2D434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067A2B4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16CA5268" w14:textId="77777777" w:rsidTr="00EA0DA7">
        <w:tc>
          <w:tcPr>
            <w:tcW w:w="5636" w:type="dxa"/>
            <w:tcBorders>
              <w:top w:val="single" w:sz="12" w:space="0" w:color="auto"/>
            </w:tcBorders>
          </w:tcPr>
          <w:p w14:paraId="17DBC0E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4822" w:type="dxa"/>
            <w:tcBorders>
              <w:top w:val="single" w:sz="12" w:space="0" w:color="auto"/>
            </w:tcBorders>
          </w:tcPr>
          <w:p w14:paraId="6483290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М-87А</w:t>
            </w:r>
          </w:p>
        </w:tc>
      </w:tr>
      <w:tr w:rsidR="00983732" w:rsidRPr="00A3026E" w14:paraId="5FF551F9" w14:textId="77777777" w:rsidTr="00EA0DA7">
        <w:tc>
          <w:tcPr>
            <w:tcW w:w="5636" w:type="dxa"/>
          </w:tcPr>
          <w:p w14:paraId="6AC817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192FF5C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7500/9500</w:t>
            </w:r>
          </w:p>
        </w:tc>
      </w:tr>
      <w:tr w:rsidR="00983732" w:rsidRPr="00A3026E" w14:paraId="000E6B5B" w14:textId="77777777" w:rsidTr="00EA0DA7">
        <w:tc>
          <w:tcPr>
            <w:tcW w:w="5636" w:type="dxa"/>
          </w:tcPr>
          <w:p w14:paraId="6156A68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543E960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1C60F203" w14:textId="77777777" w:rsidTr="00EA0DA7">
        <w:tc>
          <w:tcPr>
            <w:tcW w:w="5636" w:type="dxa"/>
          </w:tcPr>
          <w:p w14:paraId="443929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5FF02FA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345</w:t>
            </w:r>
          </w:p>
        </w:tc>
      </w:tr>
      <w:tr w:rsidR="00983732" w:rsidRPr="00A3026E" w14:paraId="2C7F4916" w14:textId="77777777" w:rsidTr="00EA0DA7">
        <w:tc>
          <w:tcPr>
            <w:tcW w:w="5636" w:type="dxa"/>
          </w:tcPr>
          <w:p w14:paraId="4E3116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4822" w:type="dxa"/>
          </w:tcPr>
          <w:p w14:paraId="4C38722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439/4900</w:t>
            </w:r>
          </w:p>
        </w:tc>
      </w:tr>
      <w:tr w:rsidR="00983732" w:rsidRPr="00A3026E" w14:paraId="340F6CDA" w14:textId="77777777" w:rsidTr="00EA0DA7">
        <w:tc>
          <w:tcPr>
            <w:tcW w:w="5636" w:type="dxa"/>
          </w:tcPr>
          <w:p w14:paraId="2A23967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324FA23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56F471A5" w14:textId="77777777" w:rsidTr="00EA0DA7">
        <w:tc>
          <w:tcPr>
            <w:tcW w:w="5636" w:type="dxa"/>
          </w:tcPr>
          <w:p w14:paraId="4ECFC29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4822" w:type="dxa"/>
          </w:tcPr>
          <w:p w14:paraId="1369A53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52F5C35F" w14:textId="77777777" w:rsidTr="00EA0DA7">
        <w:tc>
          <w:tcPr>
            <w:tcW w:w="5636" w:type="dxa"/>
          </w:tcPr>
          <w:p w14:paraId="7AB89D0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4822" w:type="dxa"/>
          </w:tcPr>
          <w:p w14:paraId="176D30C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2870</w:t>
            </w:r>
          </w:p>
        </w:tc>
      </w:tr>
      <w:tr w:rsidR="00983732" w:rsidRPr="00A3026E" w14:paraId="7C529CD6" w14:textId="77777777" w:rsidTr="00EA0DA7">
        <w:tc>
          <w:tcPr>
            <w:tcW w:w="5636" w:type="dxa"/>
          </w:tcPr>
          <w:p w14:paraId="3954F55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4822" w:type="dxa"/>
          </w:tcPr>
          <w:p w14:paraId="0B55F98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1000/2500</w:t>
            </w:r>
          </w:p>
        </w:tc>
      </w:tr>
      <w:tr w:rsidR="00983732" w:rsidRPr="00A3026E" w14:paraId="3F36A02F" w14:textId="77777777" w:rsidTr="00EA0DA7">
        <w:tc>
          <w:tcPr>
            <w:tcW w:w="5636" w:type="dxa"/>
          </w:tcPr>
          <w:p w14:paraId="0857B40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4822" w:type="dxa"/>
          </w:tcPr>
          <w:p w14:paraId="27A34FB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Установлены моторы М-87А с ВИШ-3.</w:t>
            </w:r>
          </w:p>
        </w:tc>
      </w:tr>
      <w:tr w:rsidR="00983732" w:rsidRPr="00A3026E" w14:paraId="4476DDC3" w14:textId="77777777" w:rsidTr="00EA0DA7">
        <w:tc>
          <w:tcPr>
            <w:tcW w:w="5636" w:type="dxa"/>
          </w:tcPr>
          <w:p w14:paraId="2DAC107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3D0002C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Бензобаки 1 и 2 гр. протектированы.</w:t>
            </w:r>
          </w:p>
        </w:tc>
      </w:tr>
      <w:tr w:rsidR="00983732" w:rsidRPr="00A3026E" w14:paraId="47C8993B" w14:textId="77777777" w:rsidTr="00EA0DA7">
        <w:tc>
          <w:tcPr>
            <w:tcW w:w="5636" w:type="dxa"/>
          </w:tcPr>
          <w:p w14:paraId="1F26636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1EC0069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Маслобаки сварные.</w:t>
            </w:r>
          </w:p>
        </w:tc>
      </w:tr>
      <w:tr w:rsidR="00983732" w:rsidRPr="00A3026E" w14:paraId="7E9B889A" w14:textId="77777777" w:rsidTr="00EA0DA7">
        <w:tc>
          <w:tcPr>
            <w:tcW w:w="5636" w:type="dxa"/>
          </w:tcPr>
          <w:p w14:paraId="75AB3AE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44FED0C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Уборка щитков и шасси пневматическая. </w:t>
            </w:r>
          </w:p>
        </w:tc>
      </w:tr>
      <w:tr w:rsidR="00983732" w:rsidRPr="00A3026E" w14:paraId="2802122E" w14:textId="77777777" w:rsidTr="00EA0DA7">
        <w:tc>
          <w:tcPr>
            <w:tcW w:w="5636" w:type="dxa"/>
          </w:tcPr>
          <w:p w14:paraId="2FD46B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33BCBB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Новая вилка костыльного колеса.</w:t>
            </w:r>
          </w:p>
        </w:tc>
      </w:tr>
      <w:tr w:rsidR="00983732" w:rsidRPr="00A3026E" w14:paraId="6A183C98" w14:textId="77777777" w:rsidTr="00EA0DA7">
        <w:tc>
          <w:tcPr>
            <w:tcW w:w="5636" w:type="dxa"/>
          </w:tcPr>
          <w:p w14:paraId="7280301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3AC31C0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Новый фонарь летчика.</w:t>
            </w:r>
          </w:p>
        </w:tc>
      </w:tr>
      <w:tr w:rsidR="00983732" w:rsidRPr="00A3026E" w14:paraId="74320E86" w14:textId="77777777" w:rsidTr="00EA0DA7">
        <w:tc>
          <w:tcPr>
            <w:tcW w:w="5636" w:type="dxa"/>
          </w:tcPr>
          <w:p w14:paraId="3ED9888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3A589AA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Броня сидения летчика.</w:t>
            </w:r>
          </w:p>
        </w:tc>
      </w:tr>
      <w:tr w:rsidR="00983732" w:rsidRPr="00A3026E" w14:paraId="728BBA6C" w14:textId="77777777" w:rsidTr="00EA0DA7">
        <w:tc>
          <w:tcPr>
            <w:tcW w:w="5636" w:type="dxa"/>
          </w:tcPr>
          <w:p w14:paraId="3F640F4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4822" w:type="dxa"/>
          </w:tcPr>
          <w:p w14:paraId="7CAC217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Переохлаждение моторов.</w:t>
            </w:r>
          </w:p>
        </w:tc>
      </w:tr>
      <w:tr w:rsidR="00983732" w:rsidRPr="00A3026E" w14:paraId="7461FDC1" w14:textId="77777777" w:rsidTr="00EA0DA7">
        <w:tc>
          <w:tcPr>
            <w:tcW w:w="5636" w:type="dxa"/>
          </w:tcPr>
          <w:p w14:paraId="757BC16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27B8B77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Невозможно вести пулеметный огонь непрерывно – задержки.</w:t>
            </w:r>
          </w:p>
        </w:tc>
      </w:tr>
      <w:tr w:rsidR="00983732" w:rsidRPr="00A3026E" w14:paraId="770F3114" w14:textId="77777777" w:rsidTr="00EA0DA7">
        <w:tc>
          <w:tcPr>
            <w:tcW w:w="5636" w:type="dxa"/>
          </w:tcPr>
          <w:p w14:paraId="6E50CC8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2CC4056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Перегревается масло.</w:t>
            </w:r>
          </w:p>
        </w:tc>
      </w:tr>
      <w:tr w:rsidR="00983732" w:rsidRPr="00A3026E" w14:paraId="62BE179F" w14:textId="77777777" w:rsidTr="00EA0DA7">
        <w:tc>
          <w:tcPr>
            <w:tcW w:w="5636" w:type="dxa"/>
            <w:tcBorders>
              <w:bottom w:val="single" w:sz="12" w:space="0" w:color="auto"/>
            </w:tcBorders>
          </w:tcPr>
          <w:p w14:paraId="1CDABA1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0E22A91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Самолеты заводов №№ 39 и 18 разнятся между собой и т.д.</w:t>
            </w:r>
          </w:p>
        </w:tc>
      </w:tr>
    </w:tbl>
    <w:p w14:paraId="319D0C0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70E407A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1 полугодия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5127DD58" w14:textId="77777777" w:rsidTr="00EA0DA7">
        <w:tc>
          <w:tcPr>
            <w:tcW w:w="5636" w:type="dxa"/>
            <w:tcBorders>
              <w:top w:val="single" w:sz="12" w:space="0" w:color="auto"/>
            </w:tcBorders>
          </w:tcPr>
          <w:p w14:paraId="770706C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4822" w:type="dxa"/>
            <w:tcBorders>
              <w:top w:val="single" w:sz="12" w:space="0" w:color="auto"/>
            </w:tcBorders>
          </w:tcPr>
          <w:p w14:paraId="639B200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М-87Б</w:t>
            </w:r>
          </w:p>
        </w:tc>
      </w:tr>
      <w:tr w:rsidR="00983732" w:rsidRPr="00A3026E" w14:paraId="5F37A213" w14:textId="77777777" w:rsidTr="00EA0DA7">
        <w:tc>
          <w:tcPr>
            <w:tcW w:w="5636" w:type="dxa"/>
          </w:tcPr>
          <w:p w14:paraId="0163530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5A7540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8000/10000</w:t>
            </w:r>
          </w:p>
        </w:tc>
      </w:tr>
      <w:tr w:rsidR="00983732" w:rsidRPr="00A3026E" w14:paraId="3019B4B5" w14:textId="77777777" w:rsidTr="00EA0DA7">
        <w:tc>
          <w:tcPr>
            <w:tcW w:w="5636" w:type="dxa"/>
          </w:tcPr>
          <w:p w14:paraId="74518DB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77B6850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61EE8C7" w14:textId="77777777" w:rsidTr="00EA0DA7">
        <w:tc>
          <w:tcPr>
            <w:tcW w:w="5636" w:type="dxa"/>
          </w:tcPr>
          <w:p w14:paraId="65365DE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71BCE15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w:t>
            </w:r>
          </w:p>
        </w:tc>
      </w:tr>
      <w:tr w:rsidR="00983732" w:rsidRPr="00A3026E" w14:paraId="429E901C" w14:textId="77777777" w:rsidTr="00EA0DA7">
        <w:tc>
          <w:tcPr>
            <w:tcW w:w="5636" w:type="dxa"/>
          </w:tcPr>
          <w:p w14:paraId="1AD5107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4822" w:type="dxa"/>
          </w:tcPr>
          <w:p w14:paraId="7AE51D3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405/5000</w:t>
            </w:r>
          </w:p>
        </w:tc>
      </w:tr>
      <w:tr w:rsidR="00983732" w:rsidRPr="00A3026E" w14:paraId="1686927D" w14:textId="77777777" w:rsidTr="00EA0DA7">
        <w:tc>
          <w:tcPr>
            <w:tcW w:w="5636" w:type="dxa"/>
          </w:tcPr>
          <w:p w14:paraId="580B66C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48739E2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w:t>
            </w:r>
          </w:p>
        </w:tc>
      </w:tr>
      <w:tr w:rsidR="00983732" w:rsidRPr="00A3026E" w14:paraId="3E01FA4F" w14:textId="77777777" w:rsidTr="00EA0DA7">
        <w:tc>
          <w:tcPr>
            <w:tcW w:w="5636" w:type="dxa"/>
          </w:tcPr>
          <w:p w14:paraId="43AE7CD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4822" w:type="dxa"/>
          </w:tcPr>
          <w:p w14:paraId="17F8C74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r>
      <w:tr w:rsidR="00983732" w:rsidRPr="00A3026E" w14:paraId="711E6D32" w14:textId="77777777" w:rsidTr="00EA0DA7">
        <w:tc>
          <w:tcPr>
            <w:tcW w:w="5636" w:type="dxa"/>
          </w:tcPr>
          <w:p w14:paraId="6CEC8AC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4822" w:type="dxa"/>
          </w:tcPr>
          <w:p w14:paraId="4994EB9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2680</w:t>
            </w:r>
          </w:p>
        </w:tc>
      </w:tr>
      <w:tr w:rsidR="00983732" w:rsidRPr="00A3026E" w14:paraId="43F0A636" w14:textId="77777777" w:rsidTr="00EA0DA7">
        <w:tc>
          <w:tcPr>
            <w:tcW w:w="5636" w:type="dxa"/>
          </w:tcPr>
          <w:p w14:paraId="37500E9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4822" w:type="dxa"/>
          </w:tcPr>
          <w:p w14:paraId="154CF21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1000/2500</w:t>
            </w:r>
          </w:p>
        </w:tc>
      </w:tr>
      <w:tr w:rsidR="00983732" w:rsidRPr="00A3026E" w14:paraId="1A13B9B8" w14:textId="77777777" w:rsidTr="00EA0DA7">
        <w:tc>
          <w:tcPr>
            <w:tcW w:w="5636" w:type="dxa"/>
          </w:tcPr>
          <w:p w14:paraId="02254C7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4822" w:type="dxa"/>
          </w:tcPr>
          <w:p w14:paraId="6BF466A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Клепка крыла и фюзеляжа впотай.</w:t>
            </w:r>
          </w:p>
        </w:tc>
      </w:tr>
      <w:tr w:rsidR="00983732" w:rsidRPr="00A3026E" w14:paraId="7EEA1679" w14:textId="77777777" w:rsidTr="00EA0DA7">
        <w:tc>
          <w:tcPr>
            <w:tcW w:w="5636" w:type="dxa"/>
          </w:tcPr>
          <w:p w14:paraId="01C87B2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32A0AB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Капоты моторов новые.</w:t>
            </w:r>
          </w:p>
        </w:tc>
      </w:tr>
      <w:tr w:rsidR="00983732" w:rsidRPr="00A3026E" w14:paraId="0904BDE5" w14:textId="77777777" w:rsidTr="00EA0DA7">
        <w:tc>
          <w:tcPr>
            <w:tcW w:w="5636" w:type="dxa"/>
          </w:tcPr>
          <w:p w14:paraId="756D2AC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780F964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Крыло новой конструкции.</w:t>
            </w:r>
          </w:p>
        </w:tc>
      </w:tr>
      <w:tr w:rsidR="00983732" w:rsidRPr="00A3026E" w14:paraId="3706F894" w14:textId="77777777" w:rsidTr="00EA0DA7">
        <w:tc>
          <w:tcPr>
            <w:tcW w:w="5636" w:type="dxa"/>
          </w:tcPr>
          <w:p w14:paraId="15F5B22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DC0C30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Изменена система бензина и масла.</w:t>
            </w:r>
          </w:p>
        </w:tc>
      </w:tr>
      <w:tr w:rsidR="00983732" w:rsidRPr="00A3026E" w14:paraId="0A88FEB4" w14:textId="77777777" w:rsidTr="00EA0DA7">
        <w:tc>
          <w:tcPr>
            <w:tcW w:w="5636" w:type="dxa"/>
          </w:tcPr>
          <w:p w14:paraId="217B041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7595E7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Установлены МВ-2 и МВ-3.</w:t>
            </w:r>
          </w:p>
        </w:tc>
      </w:tr>
      <w:tr w:rsidR="00983732" w:rsidRPr="00A3026E" w14:paraId="534E20D6" w14:textId="77777777" w:rsidTr="00EA0DA7">
        <w:tc>
          <w:tcPr>
            <w:tcW w:w="5636" w:type="dxa"/>
          </w:tcPr>
          <w:p w14:paraId="449FF73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47DBB8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Установлен в полете убирающийся костыль.</w:t>
            </w:r>
          </w:p>
        </w:tc>
      </w:tr>
      <w:tr w:rsidR="00983732" w:rsidRPr="00A3026E" w14:paraId="33D9FD2D" w14:textId="77777777" w:rsidTr="00EA0DA7">
        <w:tc>
          <w:tcPr>
            <w:tcW w:w="5636" w:type="dxa"/>
          </w:tcPr>
          <w:p w14:paraId="774E95B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1CD1B35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Изменена конструкция шасси.</w:t>
            </w:r>
          </w:p>
        </w:tc>
      </w:tr>
      <w:tr w:rsidR="00983732" w:rsidRPr="00A3026E" w14:paraId="65143284" w14:textId="77777777" w:rsidTr="00EA0DA7">
        <w:tc>
          <w:tcPr>
            <w:tcW w:w="5636" w:type="dxa"/>
          </w:tcPr>
          <w:p w14:paraId="4CD288C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43D5330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Установлены винты ВИШ-23.</w:t>
            </w:r>
          </w:p>
        </w:tc>
      </w:tr>
      <w:tr w:rsidR="00983732" w:rsidRPr="00A3026E" w14:paraId="221533FF" w14:textId="77777777" w:rsidTr="00EA0DA7">
        <w:tc>
          <w:tcPr>
            <w:tcW w:w="5636" w:type="dxa"/>
          </w:tcPr>
          <w:p w14:paraId="52E2E60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4822" w:type="dxa"/>
          </w:tcPr>
          <w:p w14:paraId="659F0F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При открытии юбок, особенно на виражах, вибрирует хвостовое оперение.</w:t>
            </w:r>
          </w:p>
        </w:tc>
      </w:tr>
      <w:tr w:rsidR="00983732" w:rsidRPr="00A3026E" w14:paraId="31C52D32" w14:textId="77777777" w:rsidTr="00EA0DA7">
        <w:tc>
          <w:tcPr>
            <w:tcW w:w="5636" w:type="dxa"/>
          </w:tcPr>
          <w:p w14:paraId="227875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241CF9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Лебедка уборки костыля находится в кабине радиста.</w:t>
            </w:r>
          </w:p>
        </w:tc>
      </w:tr>
      <w:tr w:rsidR="00983732" w:rsidRPr="00A3026E" w14:paraId="2BA7DCB5" w14:textId="77777777" w:rsidTr="00EA0DA7">
        <w:tc>
          <w:tcPr>
            <w:tcW w:w="5636" w:type="dxa"/>
            <w:tcBorders>
              <w:bottom w:val="single" w:sz="12" w:space="0" w:color="auto"/>
            </w:tcBorders>
          </w:tcPr>
          <w:p w14:paraId="7463952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2B5D0C2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Переохлаждение моторов на планировании.</w:t>
            </w:r>
          </w:p>
        </w:tc>
      </w:tr>
    </w:tbl>
    <w:p w14:paraId="61CAC97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3BA0DA6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2 полугодия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983732" w:rsidRPr="00A3026E" w14:paraId="22BE6C6C" w14:textId="77777777" w:rsidTr="00EA0DA7">
        <w:tc>
          <w:tcPr>
            <w:tcW w:w="5636" w:type="dxa"/>
            <w:tcBorders>
              <w:top w:val="single" w:sz="12" w:space="0" w:color="auto"/>
            </w:tcBorders>
          </w:tcPr>
          <w:p w14:paraId="24E6EC3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w:t>
            </w:r>
          </w:p>
        </w:tc>
        <w:tc>
          <w:tcPr>
            <w:tcW w:w="4822" w:type="dxa"/>
            <w:tcBorders>
              <w:top w:val="single" w:sz="12" w:space="0" w:color="auto"/>
            </w:tcBorders>
          </w:tcPr>
          <w:p w14:paraId="4A00FB8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r>
      <w:tr w:rsidR="00983732" w:rsidRPr="00A3026E" w14:paraId="2C789CDD" w14:textId="77777777" w:rsidTr="00EA0DA7">
        <w:tc>
          <w:tcPr>
            <w:tcW w:w="5636" w:type="dxa"/>
          </w:tcPr>
          <w:p w14:paraId="7E5220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нормальный/перегрузочный</w:t>
            </w:r>
          </w:p>
        </w:tc>
        <w:tc>
          <w:tcPr>
            <w:tcW w:w="4822" w:type="dxa"/>
          </w:tcPr>
          <w:p w14:paraId="2FC17A2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8000/10000</w:t>
            </w:r>
          </w:p>
        </w:tc>
      </w:tr>
      <w:tr w:rsidR="00983732" w:rsidRPr="00A3026E" w14:paraId="256BFD49" w14:textId="77777777" w:rsidTr="00EA0DA7">
        <w:tc>
          <w:tcPr>
            <w:tcW w:w="5636" w:type="dxa"/>
          </w:tcPr>
          <w:p w14:paraId="2A268A9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w:t>
            </w:r>
          </w:p>
        </w:tc>
        <w:tc>
          <w:tcPr>
            <w:tcW w:w="4822" w:type="dxa"/>
          </w:tcPr>
          <w:p w14:paraId="239EFD6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0132478A" w14:textId="77777777" w:rsidTr="00EA0DA7">
        <w:tc>
          <w:tcPr>
            <w:tcW w:w="5636" w:type="dxa"/>
          </w:tcPr>
          <w:p w14:paraId="3AE09B1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у земли</w:t>
            </w:r>
          </w:p>
        </w:tc>
        <w:tc>
          <w:tcPr>
            <w:tcW w:w="4822" w:type="dxa"/>
          </w:tcPr>
          <w:p w14:paraId="55AA4BF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345</w:t>
            </w:r>
          </w:p>
        </w:tc>
      </w:tr>
      <w:tr w:rsidR="00983732" w:rsidRPr="00A3026E" w14:paraId="0634EEFE" w14:textId="77777777" w:rsidTr="00EA0DA7">
        <w:tc>
          <w:tcPr>
            <w:tcW w:w="5636" w:type="dxa"/>
          </w:tcPr>
          <w:p w14:paraId="00EF1AB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на расчетной высоте</w:t>
            </w:r>
          </w:p>
        </w:tc>
        <w:tc>
          <w:tcPr>
            <w:tcW w:w="4822" w:type="dxa"/>
          </w:tcPr>
          <w:p w14:paraId="6FE02D4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429/6800</w:t>
            </w:r>
          </w:p>
        </w:tc>
      </w:tr>
      <w:tr w:rsidR="00983732" w:rsidRPr="00A3026E" w14:paraId="57551450" w14:textId="77777777" w:rsidTr="00EA0DA7">
        <w:tc>
          <w:tcPr>
            <w:tcW w:w="5636" w:type="dxa"/>
          </w:tcPr>
          <w:p w14:paraId="37C13F7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4822" w:type="dxa"/>
          </w:tcPr>
          <w:p w14:paraId="0BABC2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w:t>
            </w:r>
          </w:p>
        </w:tc>
      </w:tr>
      <w:tr w:rsidR="00983732" w:rsidRPr="00A3026E" w14:paraId="608348B8" w14:textId="77777777" w:rsidTr="00EA0DA7">
        <w:tc>
          <w:tcPr>
            <w:tcW w:w="5636" w:type="dxa"/>
          </w:tcPr>
          <w:p w14:paraId="75F92BC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w:t>
            </w:r>
          </w:p>
        </w:tc>
        <w:tc>
          <w:tcPr>
            <w:tcW w:w="4822" w:type="dxa"/>
          </w:tcPr>
          <w:p w14:paraId="7310A47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r>
      <w:tr w:rsidR="00983732" w:rsidRPr="00A3026E" w14:paraId="083108E8" w14:textId="77777777" w:rsidTr="00EA0DA7">
        <w:tc>
          <w:tcPr>
            <w:tcW w:w="5636" w:type="dxa"/>
          </w:tcPr>
          <w:p w14:paraId="278997A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на 0,9 Vmax на высоте</w:t>
            </w:r>
          </w:p>
        </w:tc>
        <w:tc>
          <w:tcPr>
            <w:tcW w:w="4822" w:type="dxa"/>
          </w:tcPr>
          <w:p w14:paraId="648CCA1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2540</w:t>
            </w:r>
          </w:p>
        </w:tc>
      </w:tr>
      <w:tr w:rsidR="00983732" w:rsidRPr="00A3026E" w14:paraId="4ED79346" w14:textId="77777777" w:rsidTr="00EA0DA7">
        <w:tc>
          <w:tcPr>
            <w:tcW w:w="5636" w:type="dxa"/>
          </w:tcPr>
          <w:p w14:paraId="5C2F632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Бомбовая нагрузка</w:t>
            </w:r>
          </w:p>
        </w:tc>
        <w:tc>
          <w:tcPr>
            <w:tcW w:w="4822" w:type="dxa"/>
          </w:tcPr>
          <w:p w14:paraId="20FAC15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1000/2500</w:t>
            </w:r>
          </w:p>
        </w:tc>
      </w:tr>
      <w:tr w:rsidR="00983732" w:rsidRPr="00A3026E" w14:paraId="115FD666" w14:textId="77777777" w:rsidTr="00EA0DA7">
        <w:tc>
          <w:tcPr>
            <w:tcW w:w="5636" w:type="dxa"/>
          </w:tcPr>
          <w:p w14:paraId="3F39C38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от предыдущего типа</w:t>
            </w:r>
          </w:p>
        </w:tc>
        <w:tc>
          <w:tcPr>
            <w:tcW w:w="4822" w:type="dxa"/>
          </w:tcPr>
          <w:p w14:paraId="260E65B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983732" w:rsidRPr="00A3026E" w14:paraId="71681255" w14:textId="77777777" w:rsidTr="00EA0DA7">
        <w:tc>
          <w:tcPr>
            <w:tcW w:w="5636" w:type="dxa"/>
            <w:tcBorders>
              <w:bottom w:val="single" w:sz="12" w:space="0" w:color="auto"/>
            </w:tcBorders>
          </w:tcPr>
          <w:p w14:paraId="24B0C92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w:t>
            </w:r>
          </w:p>
        </w:tc>
        <w:tc>
          <w:tcPr>
            <w:tcW w:w="4822" w:type="dxa"/>
            <w:tcBorders>
              <w:bottom w:val="single" w:sz="12" w:space="0" w:color="auto"/>
            </w:tcBorders>
          </w:tcPr>
          <w:p w14:paraId="2D214BD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409437C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(6630).</w:t>
      </w:r>
    </w:p>
    <w:p w14:paraId="112D5CC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144C5B8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Пугаев писал письмо № 10502/ко в НКО маршалу Советского Союза т. С.К.Тимошенко и в НКАП т. А.И.Ш.:</w:t>
      </w:r>
    </w:p>
    <w:p w14:paraId="5060878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поручению председателя КО Маршала ССоюза Ворошилова направляю на Ваше заключение письмо т. Колоколова о модификации с-та ПС-84 под мотор М-71.</w:t>
      </w:r>
    </w:p>
    <w:p w14:paraId="223C7AC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копия письма ГУ ГВФ № 05155 - на 1 л. (4049,21).</w:t>
      </w:r>
    </w:p>
    <w:p w14:paraId="053EB5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 Начальник "Аэрофлота" B.C. Молоков обратился с письмом к Ворошилову с ходатайством о включении в план опытного строительства на 1941 г. модификацию самолета ПС-84 под моторы М-71. Секретариат Комитета Обороны предложил Ворошилову ходатайство Молоков отклонить, мотивируя это главным образом тем, что работа над ПС-84А отрицательно отразится на выпуске обычного пассажирского варианта ПС-84 (3404).</w:t>
      </w:r>
    </w:p>
    <w:p w14:paraId="51D52C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декабря 1940 года начальник Аэрофлота генерал-майор авиации Молоков писал письмо № 05155 председателю КО маршалу К.Е. Ворошилову</w:t>
      </w:r>
    </w:p>
    <w:p w14:paraId="7A2070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дальнейшего оснащения транспортно-пассажирской авиации Советского Союза скоростными и грузоподъемными самолетами новейшей конструкции ходатайствую перед Вами о включении в план опытного строительства на 1941 год модификацию, заводом № 84 им. Героя Советского Союза В.П. Чкалова, самолет ПС-84 под моторы М-71 со следующими данными:</w:t>
      </w:r>
    </w:p>
    <w:p w14:paraId="499ABEC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Количество пассажиров 30 человек, вместо 21 человека.</w:t>
      </w:r>
    </w:p>
    <w:p w14:paraId="509676BE"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Полезная нагрузка 5500 место 3600 кг на ПС-84.</w:t>
      </w:r>
    </w:p>
    <w:p w14:paraId="375640A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450-460 вместо 330 км/час.</w:t>
      </w:r>
    </w:p>
    <w:p w14:paraId="02FBE4A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дальность 2300-2400 км.</w:t>
      </w:r>
    </w:p>
    <w:p w14:paraId="14805A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Модернизированный самолет ПС-84А будет иметь и оборонное значение, так как позволит в десантном варианте загружать его 40-45 парашютистами с полным вооружением и переброску их в радиусе 400-500 км в короткие сроки.</w:t>
      </w:r>
    </w:p>
    <w:p w14:paraId="1B15F2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заявлению завода, указанная модификация ни в какой мере не отразится на выполнении заводом плана на 1941 год по выпуску серийный самолетов ПС-84.</w:t>
      </w:r>
    </w:p>
    <w:p w14:paraId="340CB7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предусматривает сохранение технологического процесса производства и большинства существующей на заводе оснастки (стапеля, шаблоны, матрицы и пр.), что в дальнейшем позволит быстро перейти от опытного образца к серийному выпуску.</w:t>
      </w:r>
    </w:p>
    <w:p w14:paraId="66FB1B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Предъявленные мною технические требования на проектирование и постройку модифицированного самолета ПС-84А заводом приняты (4049,16).</w:t>
      </w:r>
    </w:p>
    <w:p w14:paraId="4A4DBA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Ворошилову К.Е.</w:t>
      </w:r>
    </w:p>
    <w:p w14:paraId="230617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Молоков ходатайствует о включении в план опытных работ на 1941 год модификацию пассажирского самолета ПС-84 (Дуглас) под моторы М-71, что позволит увеличить скорость до 450 км/час, вместо 330 км/час и количество пассажиров 30 вместо 21 человека.</w:t>
      </w:r>
    </w:p>
    <w:p w14:paraId="3BC2A5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w:t>
      </w:r>
    </w:p>
    <w:p w14:paraId="35422D2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Вызывает сомнение возможность увеличения скорости на 120 км/час, так как хотя мощность М-71 и превышает в два раза мощность М-62 (1600 л.с. против 800 л.с.), но зато лоб и вес у М-71 больше, что неминуемо понизит эффект значительного увеличения мощности.</w:t>
      </w:r>
    </w:p>
    <w:p w14:paraId="46CBE832"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Постановка мощных и тяжелых моторов изменит центровку и силовую нагрузку, что заставит произвести не простую модификацию, а значительную переделку всей машины.</w:t>
      </w:r>
    </w:p>
    <w:p w14:paraId="17979FA2"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84, который намечается модифицировать ПС-84 с 1937 года занимается освоением Дугласа и только в 1939 году выпустил 6 машин, а в 1940 году – 48 самолетов.</w:t>
      </w:r>
    </w:p>
    <w:p w14:paraId="2ED3B8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 ПС-84 может отразиться на выпуске самолетов, которые удовлетворяют ВВС в существующем виде.</w:t>
      </w:r>
    </w:p>
    <w:p w14:paraId="0B60D9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НКАП (Яковлев и Воронин) и ВВС (Астахов) категорически возражают против модификации ПС-84.</w:t>
      </w:r>
    </w:p>
    <w:p w14:paraId="1D7992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ходатайство Молокова отклонить (4049,20).</w:t>
      </w:r>
    </w:p>
    <w:p w14:paraId="5BFA21A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5EA83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В.П.Баландин - зам. наркома - писал зам. нач. 3 ГУ Степину письмо N 6566 о том, что завод 29 осуществляет отгрузку моторов М-88 заводу 135 в соответствии с графиком - по 5 23, 25, 27, 28 и т.д. декабря (1187).</w:t>
      </w:r>
    </w:p>
    <w:p w14:paraId="30BFB79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5F23B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года зам. начальника НИИ ВВС по моторам и топливам бригинженер Левин писал письмо № МТ/01079сс начальнику ГУ ВВС генерал-лейтенанту авиации Рычагову</w:t>
      </w:r>
    </w:p>
    <w:p w14:paraId="78EFC0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 о состоянии работ по мотору М-30 (авиационный дизель) конструкции завода № 82.</w:t>
      </w:r>
    </w:p>
    <w:p w14:paraId="20A80E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производству мотора М-30 были начаты заводом № 82 в январе 1940 года. В мае были изготовлены два первых образца и начаты работы по доводке мотора.</w:t>
      </w:r>
    </w:p>
    <w:p w14:paraId="6A4C21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данные мотора М-30:</w:t>
      </w:r>
    </w:p>
    <w:p w14:paraId="05A5FF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взлетная мощность – 1500 л.с.</w:t>
      </w:r>
    </w:p>
    <w:p w14:paraId="4C5264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номинальная мощность – 1250 л.с.</w:t>
      </w:r>
    </w:p>
    <w:p w14:paraId="0FEE77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расчетная высотность мотора – 6000 м</w:t>
      </w:r>
    </w:p>
    <w:p w14:paraId="4A75E9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мотора – 1150 кг</w:t>
      </w:r>
    </w:p>
    <w:p w14:paraId="287B91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удельный расход топлива (на номинальной мощности у земли) – 150 гр/л.с.ч.</w:t>
      </w:r>
    </w:p>
    <w:p w14:paraId="278FE1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применяемое топливо – тракторный керосин или дизельное топливо</w:t>
      </w:r>
    </w:p>
    <w:p w14:paraId="55D374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настоящему времени изготовлено всего 12 моторов (два из них находятся в сборке). Шесть моторов использовано на доводку мотора до 100 часовой работы. Два из них вышли из строя из-за обрыва шатунов. В настоящее время этот дефект уже устранен. Один отправлен как работающий макет на самолет ДБ-240. Два использованы на 100 часовые заводские и государственное испытания. Один перебран после аварии при госиспытании (№ 309). Еще два из использованных моторов перебраны и подготовлены для отправки на самолет.</w:t>
      </w:r>
    </w:p>
    <w:p w14:paraId="2C2A8F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завод провел 100-часовые заводские испытания в период которых мотор наработал на режимах 102 часа 54 минуты.</w:t>
      </w:r>
    </w:p>
    <w:p w14:paraId="77BEB3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Летных испытаний мотор еще не проходил и в воздухе не был.</w:t>
      </w:r>
    </w:p>
    <w:p w14:paraId="69E7BE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ноябре завод предъявил мотор М-30 на государственное 100-часовое испытание на станке.</w:t>
      </w:r>
    </w:p>
    <w:p w14:paraId="7A8731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мотор (№ 309), поставленный на госиспытание, на первом этапе длительных испытаний, после 1 час. 22 мин. Работы потерпел аварию вследствие поломки вертикального валика. Кроме того, у него заклинило пяту турбокомпрессора.</w:t>
      </w:r>
    </w:p>
    <w:p w14:paraId="2F7A07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был предъявлен второй мотор (№ 310), который 12 декабря закончил 100-часовое госиспытание на станке, наработав при этом на режимах 108 часов 06 минут.</w:t>
      </w:r>
    </w:p>
    <w:p w14:paraId="777B8E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госиспытания мотора было выявлено значительное количество дефектов ………………</w:t>
      </w:r>
    </w:p>
    <w:p w14:paraId="5A1D77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испытания мотор имел три вынужденных остановки …………… и снимался со станка для частичной переборки.</w:t>
      </w:r>
    </w:p>
    <w:p w14:paraId="378D0E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397E29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анализа госиспытания мотора на станке Правительственная комиссия пришла к заключению:</w:t>
      </w:r>
    </w:p>
    <w:p w14:paraId="37FC186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Признать, что мотор М-30 госиспытание на станке прошел неудовлетворительно.</w:t>
      </w:r>
    </w:p>
    <w:p w14:paraId="5D41CD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Часть членов Правительственной комиссии (представители НКАП) не согласились с заключением и со своей стороны предложили:</w:t>
      </w:r>
    </w:p>
    <w:p w14:paraId="407E91B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что мотор М-30 госиспытание на станке прошел удовлетворительно.</w:t>
      </w:r>
    </w:p>
    <w:p w14:paraId="52A913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……………….(7713, 335-338).</w:t>
      </w:r>
    </w:p>
    <w:p w14:paraId="3B56CB3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BBFC1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анализа госиспытания мотора на станке Правительственная комиссия пришла к заключению:</w:t>
      </w:r>
    </w:p>
    <w:p w14:paraId="5671D2C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Признать, что мотор М-30 госиспытание на станке прошел неудовлетворительно.</w:t>
      </w:r>
    </w:p>
    <w:p w14:paraId="67B02D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Часть членов Правительственной комиссии (представители НКАП) не согласились с заключением и со своей стороны предложили:</w:t>
      </w:r>
    </w:p>
    <w:p w14:paraId="6CC308F7"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Считать, что мотор М-30 госиспытание на станке прошел удовлетворительно.</w:t>
      </w:r>
    </w:p>
    <w:p w14:paraId="113BED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……………….(7713, 335-338).</w:t>
      </w:r>
    </w:p>
    <w:p w14:paraId="4307DF4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00E46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года на НИП АВ закончились полигонные испытания осколочных авиабомб переделанных из 82 мм мин марки АО-3, которые проходили с 7 ноября 1940</w:t>
      </w:r>
    </w:p>
    <w:p w14:paraId="5EB9E2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 – в/инженер 2 ранга Галкин</w:t>
      </w:r>
    </w:p>
    <w:p w14:paraId="1C3B631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2D5556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Испытанием определить:</w:t>
      </w:r>
    </w:p>
    <w:p w14:paraId="3DEB0536"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Осколочный эффект каждого варианта.</w:t>
      </w:r>
    </w:p>
    <w:p w14:paraId="7C33C4B3"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Устойчивость на траектории.</w:t>
      </w:r>
    </w:p>
    <w:p w14:paraId="690E104B"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Безотказность действия снаряжения от принятых на вооружение взрывателей.</w:t>
      </w:r>
    </w:p>
    <w:p w14:paraId="5B9404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87BD5F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проведенных испытаниях осколочные бомбы АО-3 кг переделанные из 82 мм мин, показали неудовлетворительные результаты по устойчивости на траектории, давшие по этой причине 21 отказ, что составляет 6% к числу найденных.</w:t>
      </w:r>
    </w:p>
    <w:p w14:paraId="21CC60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НИП АВ считает возможным допустить АО-3 кг на снабжение ВВС как крайнюю временную меру, в любом из испытанных вариантов снаряжения с одновременной постановкой задачи перед РСМ о проведении срочных работ по улучшению баллистики бомбы и подачей партии в 500 штук для повторных полигонных испытаний (7551).</w:t>
      </w:r>
    </w:p>
    <w:p w14:paraId="3896BE8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A179A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года № 501 714 сс</w:t>
      </w:r>
    </w:p>
    <w:p w14:paraId="46877F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Сведения о сроках разработки радионавигационной аппаратуры и размещения ее с промышленности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4536"/>
        <w:gridCol w:w="1276"/>
        <w:gridCol w:w="1276"/>
      </w:tblGrid>
      <w:tr w:rsidR="00983732" w:rsidRPr="00A3026E" w14:paraId="46575645" w14:textId="77777777" w:rsidTr="00EA0DA7">
        <w:tc>
          <w:tcPr>
            <w:tcW w:w="2943" w:type="dxa"/>
          </w:tcPr>
          <w:p w14:paraId="573AB5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Какой завод и наркомат изготавливает</w:t>
            </w:r>
          </w:p>
        </w:tc>
        <w:tc>
          <w:tcPr>
            <w:tcW w:w="4536" w:type="dxa"/>
          </w:tcPr>
          <w:p w14:paraId="0262B6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изготавливает</w:t>
            </w:r>
          </w:p>
        </w:tc>
        <w:tc>
          <w:tcPr>
            <w:tcW w:w="1276" w:type="dxa"/>
          </w:tcPr>
          <w:p w14:paraId="1FEF8A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Начало разработки</w:t>
            </w:r>
          </w:p>
        </w:tc>
        <w:tc>
          <w:tcPr>
            <w:tcW w:w="1276" w:type="dxa"/>
          </w:tcPr>
          <w:p w14:paraId="438E54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Окончание разработки</w:t>
            </w:r>
          </w:p>
        </w:tc>
      </w:tr>
      <w:tr w:rsidR="00983732" w:rsidRPr="00A3026E" w14:paraId="3C7F3D38" w14:textId="77777777" w:rsidTr="00EA0DA7">
        <w:tc>
          <w:tcPr>
            <w:tcW w:w="2943" w:type="dxa"/>
          </w:tcPr>
          <w:p w14:paraId="1F9578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203 Наркомата электропромышленности</w:t>
            </w:r>
          </w:p>
        </w:tc>
        <w:tc>
          <w:tcPr>
            <w:tcW w:w="4536" w:type="dxa"/>
          </w:tcPr>
          <w:p w14:paraId="4430FB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радиополукомпас типа "РПК-2" ("Чайка") для дальней бомбардировочной и транспортной авиации (СБ, ДБ, ДБ-3, ДБ-100, ТБ-7);</w:t>
            </w:r>
          </w:p>
          <w:p w14:paraId="263D33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радиополукомпас типа "РПК-2" ("Чайка") облегченного типа для ближних бомбардировочных самолетов (ББ-1, ББ-22, БШ);</w:t>
            </w:r>
          </w:p>
          <w:p w14:paraId="14EC7F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модернизированный радиополукомпас типа "РПК-2" заменяющий первые два.</w:t>
            </w:r>
          </w:p>
        </w:tc>
        <w:tc>
          <w:tcPr>
            <w:tcW w:w="1276" w:type="dxa"/>
          </w:tcPr>
          <w:p w14:paraId="4FDB83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w:t>
            </w:r>
          </w:p>
          <w:p w14:paraId="335E6A3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81C70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(август)</w:t>
            </w:r>
          </w:p>
          <w:p w14:paraId="0603A0E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44093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(I квартал)</w:t>
            </w:r>
          </w:p>
        </w:tc>
        <w:tc>
          <w:tcPr>
            <w:tcW w:w="1276" w:type="dxa"/>
          </w:tcPr>
          <w:p w14:paraId="4C5E46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p w14:paraId="57D31CC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902F6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(декабрь)</w:t>
            </w:r>
          </w:p>
          <w:p w14:paraId="61ACC7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1941 (I квартал)</w:t>
            </w:r>
          </w:p>
        </w:tc>
      </w:tr>
      <w:tr w:rsidR="00983732" w:rsidRPr="00A3026E" w14:paraId="306536A9" w14:textId="77777777" w:rsidTr="00EA0DA7">
        <w:tc>
          <w:tcPr>
            <w:tcW w:w="2943" w:type="dxa"/>
          </w:tcPr>
          <w:p w14:paraId="785C70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326 Наркомата электропромышленности</w:t>
            </w:r>
          </w:p>
        </w:tc>
        <w:tc>
          <w:tcPr>
            <w:tcW w:w="4536" w:type="dxa"/>
          </w:tcPr>
          <w:p w14:paraId="0D64F6F0"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Радиополукомпас типа "РПК-5" для истребительных самолетов.</w:t>
            </w:r>
          </w:p>
          <w:p w14:paraId="7562098F"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Радиомаяк типа "РАМД" мощностью 5 квт.</w:t>
            </w:r>
          </w:p>
          <w:p w14:paraId="4D15B1E1"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r w:rsidRPr="00A3026E">
              <w:rPr>
                <w:rFonts w:ascii="Times New Roman" w:hAnsi="Times New Roman"/>
                <w:color w:val="000000" w:themeColor="text1"/>
                <w:sz w:val="16"/>
                <w:szCs w:val="16"/>
              </w:rPr>
              <w:tab/>
              <w:t>Приводная радиостанция типа "ПАР".</w:t>
            </w:r>
          </w:p>
        </w:tc>
        <w:tc>
          <w:tcPr>
            <w:tcW w:w="1276" w:type="dxa"/>
          </w:tcPr>
          <w:p w14:paraId="5455D3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w:t>
            </w:r>
          </w:p>
          <w:p w14:paraId="7B93B91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D30B3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1936</w:t>
            </w:r>
          </w:p>
          <w:p w14:paraId="006A95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1276" w:type="dxa"/>
          </w:tcPr>
          <w:p w14:paraId="13FF91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p w14:paraId="4E79440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D32B2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p w14:paraId="3D02D2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Разработка не окончена</w:t>
            </w:r>
          </w:p>
        </w:tc>
      </w:tr>
      <w:tr w:rsidR="00983732" w:rsidRPr="00A3026E" w14:paraId="1F1487CB" w14:textId="77777777" w:rsidTr="00EA0DA7">
        <w:tc>
          <w:tcPr>
            <w:tcW w:w="2943" w:type="dxa"/>
          </w:tcPr>
          <w:p w14:paraId="35EEC9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326 Наркомата электропромышленности</w:t>
            </w:r>
          </w:p>
        </w:tc>
        <w:tc>
          <w:tcPr>
            <w:tcW w:w="4536" w:type="dxa"/>
          </w:tcPr>
          <w:p w14:paraId="24C0F0EE"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Радиомаяк типа "РАМ" мощностью 15 квт.</w:t>
            </w:r>
          </w:p>
          <w:p w14:paraId="18E78F10"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Наземная аппаратура слепого расчета на посадку типа "НОЧЬ-1".</w:t>
            </w:r>
          </w:p>
        </w:tc>
        <w:tc>
          <w:tcPr>
            <w:tcW w:w="1276" w:type="dxa"/>
          </w:tcPr>
          <w:p w14:paraId="06681F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1936</w:t>
            </w:r>
          </w:p>
          <w:p w14:paraId="639D62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1936</w:t>
            </w:r>
          </w:p>
        </w:tc>
        <w:tc>
          <w:tcPr>
            <w:tcW w:w="1276" w:type="dxa"/>
          </w:tcPr>
          <w:p w14:paraId="27DF34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p w14:paraId="38E75E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r>
      <w:tr w:rsidR="00983732" w:rsidRPr="00A3026E" w14:paraId="701FF341" w14:textId="77777777" w:rsidTr="00EA0DA7">
        <w:tc>
          <w:tcPr>
            <w:tcW w:w="2943" w:type="dxa"/>
          </w:tcPr>
          <w:p w14:paraId="71AA26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210 Наркомата электропромышленности</w:t>
            </w:r>
          </w:p>
        </w:tc>
        <w:tc>
          <w:tcPr>
            <w:tcW w:w="4536" w:type="dxa"/>
          </w:tcPr>
          <w:p w14:paraId="27A703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Самолетная приемная аппаратура слепого расчета на посадку типа "НОЧЬ-1".</w:t>
            </w:r>
          </w:p>
        </w:tc>
        <w:tc>
          <w:tcPr>
            <w:tcW w:w="1276" w:type="dxa"/>
          </w:tcPr>
          <w:p w14:paraId="4D4EFF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Первые опытные разработки проводил завод № 327 в период 1936-1939 гг.</w:t>
            </w:r>
          </w:p>
        </w:tc>
        <w:tc>
          <w:tcPr>
            <w:tcW w:w="1276" w:type="dxa"/>
          </w:tcPr>
          <w:p w14:paraId="6AA8FDD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89E1EFD" w14:textId="77777777" w:rsidTr="00EA0DA7">
        <w:tc>
          <w:tcPr>
            <w:tcW w:w="2943" w:type="dxa"/>
          </w:tcPr>
          <w:p w14:paraId="14C3FB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208 Наркомата электропромышленности</w:t>
            </w:r>
          </w:p>
        </w:tc>
        <w:tc>
          <w:tcPr>
            <w:tcW w:w="4536" w:type="dxa"/>
          </w:tcPr>
          <w:p w14:paraId="3D8108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Радиомаяки типа "13-А-1" мощностью 800 ватт.</w:t>
            </w:r>
          </w:p>
        </w:tc>
        <w:tc>
          <w:tcPr>
            <w:tcW w:w="1276" w:type="dxa"/>
          </w:tcPr>
          <w:p w14:paraId="1A3172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1930</w:t>
            </w:r>
          </w:p>
        </w:tc>
        <w:tc>
          <w:tcPr>
            <w:tcW w:w="1276" w:type="dxa"/>
          </w:tcPr>
          <w:p w14:paraId="75FA91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1931</w:t>
            </w:r>
          </w:p>
        </w:tc>
      </w:tr>
    </w:tbl>
    <w:p w14:paraId="5517A9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(7713, 252).</w:t>
      </w:r>
    </w:p>
    <w:p w14:paraId="07D7FC6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3FB94A1"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г.</w:t>
      </w:r>
    </w:p>
    <w:p w14:paraId="65818C59"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172. Докладная записка начальника Главного управления ВВС Красной армии П. В. Рычагова и заместителя начальника Главного артиллерийского управления Красной армии[</w:t>
      </w:r>
      <w:hyperlink r:id="rId164" w:anchor="p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 Г. К. Савченко наркому обороны СССР С. К. Тимошенко о необходимости развертывания производства фугасных авиационных бомб и мин для минометов</w:t>
      </w:r>
    </w:p>
    <w:p w14:paraId="35F22473"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Источник: </w:t>
      </w:r>
    </w:p>
    <w:p w14:paraId="256D1BC2"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677.</w:t>
      </w:r>
    </w:p>
    <w:p w14:paraId="65CE9BFE"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Архив: </w:t>
      </w:r>
    </w:p>
    <w:p w14:paraId="42435A28"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4. Оп. 14. Д. 2638. Л. 166-167. Подлинник.</w:t>
      </w:r>
    </w:p>
    <w:p w14:paraId="2CE6862D"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Совершенно секретно.</w:t>
      </w:r>
    </w:p>
    <w:p w14:paraId="22B6376E"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Поставленные вопросы т. Золотаревым в большинстве своем правильны и должны найти разрешение в КО при СНК СССР[</w:t>
      </w:r>
      <w:hyperlink r:id="rId165" w:anchor="p2" w:history="1">
        <w:r w:rsidRPr="00A3026E">
          <w:rPr>
            <w:rFonts w:ascii="Times New Roman" w:hAnsi="Times New Roman"/>
            <w:color w:val="000000" w:themeColor="text1"/>
            <w:sz w:val="16"/>
            <w:szCs w:val="16"/>
          </w:rPr>
          <w:t>2</w:t>
        </w:r>
      </w:hyperlink>
      <w:r w:rsidRPr="00A3026E">
        <w:rPr>
          <w:rFonts w:ascii="Times New Roman" w:hAnsi="Times New Roman"/>
          <w:color w:val="000000" w:themeColor="text1"/>
          <w:sz w:val="16"/>
          <w:szCs w:val="16"/>
        </w:rPr>
        <w:t>].</w:t>
      </w:r>
    </w:p>
    <w:p w14:paraId="43792A96"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производства фугасных авиационных бомб и особенно крупных калибров (от 250 кг и выше) явно неудовлетворительное; что же касается производства фугасных мин всех калибров и, в частности, мин большой емкости из цельнокатаных труб, то оно находится в зачаточном состоянии — ведутся лишь опытные работы. Опыт последних событий показал, что потребность в цельнокорпусных фугасных авиационных бомбах и минах значительно возросла. Постановлением КО при СНК СССР № 330сс от 9 сентября 1939г. этой возросшей потребности учтено не было, причем предусмотренное этим постановлением создание мощностей по срокам Наркомчерметом не выполняется, как, например, завод им. К. Либкнехта в г. Нижнеднепровске закончил строительство коробки цеха, но совершенно не обеспечен оборудованием — молоты типа БШ, отрезные станки, а также не известно, кто их будет поставлять.</w:t>
      </w:r>
    </w:p>
    <w:p w14:paraId="1A639C1A"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фугасных авиабомб и мин из труб поставлено неудовлетворительно и в том отношении, что на трубопрокатных заводах изготовляются только трубозаготовки корпусов, окончательная обработка которых производится на других механических заводах, что приводит к излишней перегрузке транспорта и задержке сроков завершения производства боеприпасов.</w:t>
      </w:r>
    </w:p>
    <w:p w14:paraId="7A686297"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устранения указанных недостатков целесообразно предусмотреть организацию специальных цехов при трубопрокатных заводах для окончательной механической обработки фугасных авиабомб и мин к минометам.</w:t>
      </w:r>
    </w:p>
    <w:p w14:paraId="119B3032"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изложенного, считаем необходимым поставить вопрос о пересмотре постановления КО при СНК СССР № 330сс от 9 сентября 1939 г.</w:t>
      </w:r>
    </w:p>
    <w:p w14:paraId="0994B307"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проект письма председателю КО при СНК СССР на 2 листах; № 18092сс УД при НКО на 1 листе; № 10340 КО на 6 листах (к вх. УД № 4187сс); копия постановления КО № 330сс от 9 сентября 1939 г. на 2 л.[</w:t>
      </w:r>
      <w:hyperlink r:id="rId166" w:anchor="p3" w:history="1">
        <w:r w:rsidRPr="00A3026E">
          <w:rPr>
            <w:rFonts w:ascii="Times New Roman" w:hAnsi="Times New Roman"/>
            <w:color w:val="000000" w:themeColor="text1"/>
            <w:sz w:val="16"/>
            <w:szCs w:val="16"/>
          </w:rPr>
          <w:t>3</w:t>
        </w:r>
      </w:hyperlink>
      <w:r w:rsidRPr="00A3026E">
        <w:rPr>
          <w:rFonts w:ascii="Times New Roman" w:hAnsi="Times New Roman"/>
          <w:color w:val="000000" w:themeColor="text1"/>
          <w:sz w:val="16"/>
          <w:szCs w:val="16"/>
        </w:rPr>
        <w:t>]</w:t>
      </w:r>
    </w:p>
    <w:p w14:paraId="28A4C440"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Главного управления Военно-воздушных сил Красной армии, генерал-лейтенантРычагов.</w:t>
      </w:r>
    </w:p>
    <w:p w14:paraId="54098146"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начальника Главного артиллерийского управления Красной армии, генерал-майор артиллерииГ. Савченко.</w:t>
      </w:r>
    </w:p>
    <w:p w14:paraId="0BB132D9"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Примечания:</w:t>
      </w:r>
    </w:p>
    <w:p w14:paraId="27F86F32"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167" w:anchor="s1" w:history="1">
        <w:r w:rsidRPr="00A3026E">
          <w:rPr>
            <w:rFonts w:ascii="Times New Roman" w:hAnsi="Times New Roman"/>
            <w:color w:val="000000" w:themeColor="text1"/>
            <w:sz w:val="16"/>
            <w:szCs w:val="16"/>
          </w:rPr>
          <w:t>1</w:t>
        </w:r>
      </w:hyperlink>
      <w:r w:rsidRPr="00A3026E">
        <w:rPr>
          <w:rFonts w:ascii="Times New Roman" w:hAnsi="Times New Roman"/>
          <w:color w:val="000000" w:themeColor="text1"/>
          <w:sz w:val="16"/>
          <w:szCs w:val="16"/>
        </w:rPr>
        <w:t>] Начальник спецотдела Главтрубостали Наркомата черной металлургии СССР Я. М. Золотарев в письме И. В. Сталину высказал соображения по обеспечению Красной армии боеприпасами. В частности, он писал, что изготовление фугасных авиабомб крупного калибра (от 100 кг) из цельнокатаных труб является наиболее экономичным и эффективным. В связи с этим Я. М. Золотарев предлагал следующее: «1. Скорректировать постановление Комитета обороны № 330сс от 9 сентября 1939 г. в соответствии с развившейся потребностью в ФАБах крупного калибра и освоения мин большой емкости и калибра из труб. 2. Обязать Главтрубсталь построить при Бакинском трубопрокатном заводе спеццехи для производства ФАБ и мин. 3. Вместо Кемеровского трубопрокатного завода со станами Штифеля 3</w:t>
      </w:r>
      <w:r w:rsidRPr="00A3026E">
        <w:rPr>
          <w:rFonts w:ascii="Times New Roman" w:hAnsi="Times New Roman"/>
          <w:color w:val="000000" w:themeColor="text1"/>
          <w:sz w:val="16"/>
          <w:szCs w:val="16"/>
        </w:rPr>
        <w:noBreakHyphen/>
        <w:t>8 дюймов приступить немедленно к строительству трубопрокатного завода с установкой пильгерстана 6</w:t>
      </w:r>
      <w:r w:rsidRPr="00A3026E">
        <w:rPr>
          <w:rFonts w:ascii="Times New Roman" w:hAnsi="Times New Roman"/>
          <w:color w:val="000000" w:themeColor="text1"/>
          <w:sz w:val="16"/>
          <w:szCs w:val="16"/>
        </w:rPr>
        <w:noBreakHyphen/>
        <w:t>12 дюймов в районе Комсомольска-на-Амуре, включив в состав этого завода спеццех по изготовлению авиационных бомб 100 и 250 кг и мин для минометов из труб. 4. Обязать Наркомтяжмаш: а) ускорить освоение производства быстроходных молотов 400 кг баллонного типа, а также спроектировать и освоить молоты 750 и 1000 кг этого же типа; б) спроектировать и освоить агрегат для механической обработки ФАБ; в) обеспечить с 1 квартала 1941 г. поставку заводам им. К. Либкнехта, Куйбышева и Первоуральского завода молота и станкового оборудования». (РГВА. Ф. 4. Оп. 14. Д. 2638. Л. 161, 164</w:t>
      </w:r>
      <w:r w:rsidRPr="00A3026E">
        <w:rPr>
          <w:rFonts w:ascii="Times New Roman" w:hAnsi="Times New Roman"/>
          <w:color w:val="000000" w:themeColor="text1"/>
          <w:sz w:val="16"/>
          <w:szCs w:val="16"/>
        </w:rPr>
        <w:noBreakHyphen/>
        <w:t>165.)</w:t>
      </w:r>
    </w:p>
    <w:p w14:paraId="00CEAC22"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168" w:anchor="s2" w:history="1">
        <w:r w:rsidRPr="00A3026E">
          <w:rPr>
            <w:rFonts w:ascii="Times New Roman" w:hAnsi="Times New Roman"/>
            <w:color w:val="000000" w:themeColor="text1"/>
            <w:sz w:val="16"/>
            <w:szCs w:val="16"/>
          </w:rPr>
          <w:t>2</w:t>
        </w:r>
      </w:hyperlink>
      <w:r w:rsidRPr="00A3026E">
        <w:rPr>
          <w:rFonts w:ascii="Times New Roman" w:hAnsi="Times New Roman"/>
          <w:color w:val="000000" w:themeColor="text1"/>
          <w:sz w:val="16"/>
          <w:szCs w:val="16"/>
        </w:rPr>
        <w:t>} Нарком государственного контроля СССР Л. 3. Мехлис направил оригинал записки М. В. Бушмелева И. В. Сталину «как заслуживающей его внимания». В сопроводительном письме он сообщал: «3 января с. г. Наркомат госконтроля посетил заместитель начальника Управления вооружения наземной артиллерии ГАУ бригадный инженер т. Бушмелев М. В. В беседе со мной т. Бушмелев коснулся узких мест работы ГАУ: непрерывной реорганизации аппарата ГАУ, параллелизма в работе его отделов, плохой увязки ГАУ с промышленностью, особенности по разработке технических условий, серьезного срыва выполнения плана заказов 1940 г. по боеприпасам и т. п. К концу беседы т. Бушмелев изложил свое мнение о наших изъянах в области мобилизационной подготовки промышленности к войне в части производства порохов и других боеприпасов и вручил мне свою записку по этому вопросу». (АП РФ. Ф. 3. Оп. 46. Д. 344. Л. 1.)</w:t>
      </w:r>
    </w:p>
    <w:p w14:paraId="13AE3519"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hyperlink r:id="rId169" w:anchor="s3" w:history="1">
        <w:r w:rsidRPr="00A3026E">
          <w:rPr>
            <w:rFonts w:ascii="Times New Roman" w:hAnsi="Times New Roman"/>
            <w:color w:val="000000" w:themeColor="text1"/>
            <w:sz w:val="16"/>
            <w:szCs w:val="16"/>
          </w:rPr>
          <w:t>3</w:t>
        </w:r>
      </w:hyperlink>
      <w:r w:rsidRPr="00A3026E">
        <w:rPr>
          <w:rFonts w:ascii="Times New Roman" w:hAnsi="Times New Roman"/>
          <w:color w:val="000000" w:themeColor="text1"/>
          <w:sz w:val="16"/>
          <w:szCs w:val="16"/>
        </w:rPr>
        <w:t>] Приложение в деле отсутствует.</w:t>
      </w:r>
    </w:p>
    <w:p w14:paraId="1D37C206" w14:textId="77777777" w:rsidR="00387CFF" w:rsidRPr="00A3026E" w:rsidRDefault="00387C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4. Оп. 14. Д. 2638. Л. 166-167. Подлинник (18014).</w:t>
      </w:r>
    </w:p>
    <w:p w14:paraId="7F1B1929" w14:textId="77777777" w:rsidR="00387CFF" w:rsidRPr="00A3026E" w:rsidRDefault="00387CFF" w:rsidP="00A3026E">
      <w:pPr>
        <w:spacing w:after="0" w:line="240" w:lineRule="auto"/>
        <w:jc w:val="both"/>
        <w:rPr>
          <w:rFonts w:ascii="Times New Roman" w:hAnsi="Times New Roman"/>
          <w:color w:val="000000" w:themeColor="text1"/>
          <w:sz w:val="16"/>
          <w:szCs w:val="16"/>
        </w:rPr>
      </w:pPr>
    </w:p>
    <w:p w14:paraId="4DA12C32"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3B296AC8"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3EF254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21 декабря 1940 вышло постановление Правительства о принятии на вооружение нового стрелкового оружия и в т.ч. "пистолета-пулемета системы Шпагина обр. 1941 г. (ППШ-41) (1857,77).</w:t>
      </w:r>
    </w:p>
    <w:p w14:paraId="71A8FD6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1AA83B9" w14:textId="77777777" w:rsidR="0099525A" w:rsidRPr="00A3026E" w:rsidRDefault="0099525A" w:rsidP="00A3026E">
      <w:pPr>
        <w:spacing w:after="0" w:line="240" w:lineRule="auto"/>
        <w:jc w:val="both"/>
        <w:rPr>
          <w:rFonts w:ascii="Times New Roman" w:hAnsi="Times New Roman"/>
          <w:color w:val="0070C0"/>
          <w:sz w:val="16"/>
          <w:szCs w:val="16"/>
          <w:shd w:val="clear" w:color="auto" w:fill="FFFFFF"/>
        </w:rPr>
      </w:pPr>
      <w:r w:rsidRPr="00A3026E">
        <w:rPr>
          <w:rFonts w:ascii="Times New Roman" w:hAnsi="Times New Roman"/>
          <w:color w:val="0070C0"/>
          <w:sz w:val="16"/>
          <w:szCs w:val="16"/>
        </w:rPr>
        <w:t xml:space="preserve">21 декабря 1940 вышло </w:t>
      </w:r>
      <w:r w:rsidRPr="00A3026E">
        <w:rPr>
          <w:rFonts w:ascii="Times New Roman" w:hAnsi="Times New Roman"/>
          <w:color w:val="0070C0"/>
          <w:sz w:val="16"/>
          <w:szCs w:val="16"/>
          <w:shd w:val="clear" w:color="auto" w:fill="FFFFFF"/>
        </w:rPr>
        <w:t>Постановление Комитета обороны при СНК СССР № 456сс "О принятии на вооружение Красной Армии пистолета-пулемета конструкции Шпагина"</w:t>
      </w:r>
    </w:p>
    <w:p w14:paraId="158C2913" w14:textId="77777777" w:rsidR="0099525A" w:rsidRPr="00A3026E" w:rsidRDefault="0099525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Комитет Обороны при СНК Союза ССР ПОСТАНОВЛЯЕТ:</w:t>
      </w:r>
    </w:p>
    <w:p w14:paraId="3D1081B7" w14:textId="77777777" w:rsidR="0099525A" w:rsidRPr="00A3026E" w:rsidRDefault="0099525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Утвердить предложение ГАУ К.А. и НКВ о принятии на вооружение Красной Армии пистолета-пулемета Плагина с исправлениями</w:t>
      </w:r>
      <w:r w:rsidRPr="00A3026E">
        <w:rPr>
          <w:rFonts w:ascii="Times New Roman" w:hAnsi="Times New Roman"/>
          <w:color w:val="0070C0"/>
          <w:sz w:val="16"/>
          <w:szCs w:val="16"/>
          <w:shd w:val="clear" w:color="auto" w:fill="FFFFFF"/>
        </w:rPr>
        <w:t xml:space="preserve"> (22110).</w:t>
      </w:r>
    </w:p>
    <w:p w14:paraId="3D4D0BB8" w14:textId="77777777" w:rsidR="0099525A" w:rsidRPr="00A3026E" w:rsidRDefault="0099525A" w:rsidP="00A3026E">
      <w:pPr>
        <w:spacing w:after="0" w:line="240" w:lineRule="auto"/>
        <w:jc w:val="both"/>
        <w:rPr>
          <w:rFonts w:ascii="Times New Roman" w:hAnsi="Times New Roman"/>
          <w:color w:val="0070C0"/>
          <w:sz w:val="16"/>
          <w:szCs w:val="16"/>
        </w:rPr>
      </w:pPr>
    </w:p>
    <w:p w14:paraId="7B0EE542" w14:textId="77777777" w:rsidR="008B058A" w:rsidRPr="00A3026E" w:rsidRDefault="008B058A"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 xml:space="preserve">21 декабря </w:t>
      </w:r>
      <w:r w:rsidRPr="00A3026E">
        <w:rPr>
          <w:rFonts w:ascii="Times New Roman" w:hAnsi="Times New Roman"/>
          <w:color w:val="000000" w:themeColor="text1"/>
          <w:sz w:val="16"/>
          <w:szCs w:val="16"/>
        </w:rPr>
        <w:t>в 1940 году Комитет Обороны при СНК СССР принял постановление о принятии на вооружение Советской Армии пистолета-пулемета системы Шпагина образца 1941 г. Знаменитый ППШ калибра 7,62 мм, созданный за полгода до начала Великой Отечественной ковровским оружейником Георгием Шпагиным. При высоких эксплуатационных параметрах (вес без магазина 3,6 кг, длина 842 мм, скорострельность до 900 выстрелов в минуту, емкость дискового магазина 71 патрон) ППШ отличался невероятной технологичностью. Это было «штампосварное» изделие с минимальным числом резьбовых соединений и точных прессовых посадок — почти все узлы изготовлялись холодной штамповкой из листа и соединялись электросваркой, станочной обработки требовал только ствол. Серийное производство начато в августе 1941 г. Всего за военные годы было выпущено 5,4 миллиона ППШ, вклад которых в победу переоценить невозможно. За заслуги перед Родиной Г.С.Шпагину было присвоено звание Героя Социалистического Труда, присуждена Сталинская премия. Награжден тремя орденами Ленина, орденом Суворова П степени, орденом Красной Звезды и медалями (14867).</w:t>
      </w:r>
    </w:p>
    <w:p w14:paraId="057E0AB1" w14:textId="77777777" w:rsidR="008B058A" w:rsidRPr="00A3026E" w:rsidRDefault="008B058A" w:rsidP="00A3026E">
      <w:pPr>
        <w:spacing w:after="0" w:line="240" w:lineRule="auto"/>
        <w:jc w:val="both"/>
        <w:rPr>
          <w:rFonts w:ascii="Times New Roman" w:hAnsi="Times New Roman"/>
          <w:color w:val="000000" w:themeColor="text1"/>
          <w:sz w:val="16"/>
          <w:szCs w:val="16"/>
        </w:rPr>
      </w:pPr>
    </w:p>
    <w:p w14:paraId="4F6CE990" w14:textId="77777777" w:rsidR="008B058A" w:rsidRPr="00A3026E" w:rsidRDefault="008B058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w:t>
      </w:r>
      <w:r w:rsidRPr="00A3026E">
        <w:rPr>
          <w:rFonts w:ascii="Times New Roman" w:hAnsi="Times New Roman"/>
          <w:color w:val="000000" w:themeColor="text1"/>
          <w:sz w:val="16"/>
          <w:szCs w:val="16"/>
        </w:rPr>
        <w:softHyphen/>
        <w:t>бря 1940 г. Постановлени</w:t>
      </w:r>
      <w:r w:rsidRPr="00A3026E">
        <w:rPr>
          <w:rFonts w:ascii="Times New Roman" w:hAnsi="Times New Roman"/>
          <w:color w:val="000000" w:themeColor="text1"/>
          <w:sz w:val="16"/>
          <w:szCs w:val="16"/>
        </w:rPr>
        <w:softHyphen/>
        <w:t>ем Комитета обороны при СНК СССР на вооружение был принят «7,62-мм пистолет-пулемет обр. 1941 г., ППШ (пистолет- пулемет Шпагина)».</w:t>
      </w:r>
    </w:p>
    <w:p w14:paraId="20491B2C" w14:textId="77777777" w:rsidR="008B058A" w:rsidRPr="00A3026E" w:rsidRDefault="008B058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Барабанный магазин ППШ получил «в на</w:t>
      </w:r>
      <w:r w:rsidRPr="00A3026E">
        <w:rPr>
          <w:rFonts w:ascii="Times New Roman" w:hAnsi="Times New Roman"/>
          <w:color w:val="000000" w:themeColor="text1"/>
          <w:sz w:val="16"/>
          <w:szCs w:val="16"/>
        </w:rPr>
        <w:softHyphen/>
        <w:t>следство» от ППД-40. Он давал определенные преимущества, но оружие с таким магазином было громоздко и неудобно при переползании. Снаряжение барабанного магазина оказалось намного сложнее коробчатого, пружина подава</w:t>
      </w:r>
      <w:r w:rsidRPr="00A3026E">
        <w:rPr>
          <w:rFonts w:ascii="Times New Roman" w:hAnsi="Times New Roman"/>
          <w:color w:val="000000" w:themeColor="text1"/>
          <w:sz w:val="16"/>
          <w:szCs w:val="16"/>
        </w:rPr>
        <w:softHyphen/>
        <w:t>теля быстро ослабевала, магазин приходилось снаряжать меньшим количеством патронов; носить запасные барабанные магазины было менее удобно, чем коробчатые. Кроме того, барабанный магазин был значительно сложнее в производстве. Уже в 1942 г. для пистолетов- пулеметов в дополнение к барабанному приняли коробчатый магазин на 35 патронов (15770).</w:t>
      </w:r>
    </w:p>
    <w:p w14:paraId="2FA42301" w14:textId="77777777" w:rsidR="008B058A" w:rsidRPr="00A3026E" w:rsidRDefault="008B058A" w:rsidP="00A3026E">
      <w:pPr>
        <w:spacing w:after="0" w:line="240" w:lineRule="auto"/>
        <w:jc w:val="both"/>
        <w:rPr>
          <w:rFonts w:ascii="Times New Roman" w:hAnsi="Times New Roman"/>
          <w:color w:val="000000" w:themeColor="text1"/>
          <w:sz w:val="16"/>
          <w:szCs w:val="16"/>
        </w:rPr>
      </w:pPr>
    </w:p>
    <w:p w14:paraId="46DFA3CC" w14:textId="77777777" w:rsidR="008B058A" w:rsidRPr="00A3026E" w:rsidRDefault="008B058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г. Постановлением Комитета Обороны при СНК СССР на вооруже</w:t>
      </w:r>
      <w:r w:rsidRPr="00A3026E">
        <w:rPr>
          <w:rFonts w:ascii="Times New Roman" w:hAnsi="Times New Roman"/>
          <w:color w:val="000000" w:themeColor="text1"/>
          <w:sz w:val="16"/>
          <w:szCs w:val="16"/>
        </w:rPr>
        <w:softHyphen/>
        <w:t>ние был принят «7,62-мм пистолет-пулемет обр.1941 г., ППШ (пистолет-пулемет Шпа</w:t>
      </w:r>
      <w:r w:rsidRPr="00A3026E">
        <w:rPr>
          <w:rFonts w:ascii="Times New Roman" w:hAnsi="Times New Roman"/>
          <w:color w:val="000000" w:themeColor="text1"/>
          <w:sz w:val="16"/>
          <w:szCs w:val="16"/>
        </w:rPr>
        <w:softHyphen/>
        <w:t>гина)». Нередко он упоминается просто как ПП-41. Задание на разработку пистолета-пу- лемета, который должен был сменить в про</w:t>
      </w:r>
      <w:r w:rsidRPr="00A3026E">
        <w:rPr>
          <w:rFonts w:ascii="Times New Roman" w:hAnsi="Times New Roman"/>
          <w:color w:val="000000" w:themeColor="text1"/>
          <w:sz w:val="16"/>
          <w:szCs w:val="16"/>
        </w:rPr>
        <w:softHyphen/>
        <w:t>изводстве и на вооружении пистолет-пулемет Дегтярева обр.1940 г. (ППД-40), появилось уже в 1940 г. В этот период пистолет-пулемет все еще считался оружием специальных войск, расчетов артиллерийских орудий, экипажей боевых машин, а в системе вооружения пехоты занимал место оружия младших командиров и предназначался «для ведения боя в особых условиях». Тем не менее, опыт Советско-фин</w:t>
      </w:r>
      <w:r w:rsidRPr="00A3026E">
        <w:rPr>
          <w:rFonts w:ascii="Times New Roman" w:hAnsi="Times New Roman"/>
          <w:color w:val="000000" w:themeColor="text1"/>
          <w:sz w:val="16"/>
          <w:szCs w:val="16"/>
        </w:rPr>
        <w:softHyphen/>
        <w:t>ляндской войны 1939-1940 гг. заставил увели</w:t>
      </w:r>
      <w:r w:rsidRPr="00A3026E">
        <w:rPr>
          <w:rFonts w:ascii="Times New Roman" w:hAnsi="Times New Roman"/>
          <w:color w:val="000000" w:themeColor="text1"/>
          <w:sz w:val="16"/>
          <w:szCs w:val="16"/>
        </w:rPr>
        <w:softHyphen/>
        <w:t>чивать насыщенность войск этим типом ору</w:t>
      </w:r>
      <w:r w:rsidRPr="00A3026E">
        <w:rPr>
          <w:rFonts w:ascii="Times New Roman" w:hAnsi="Times New Roman"/>
          <w:color w:val="000000" w:themeColor="text1"/>
          <w:sz w:val="16"/>
          <w:szCs w:val="16"/>
        </w:rPr>
        <w:softHyphen/>
        <w:t>жия. Соответственно, в требования к новому пистолету-пулемету уже закладывалось сокра</w:t>
      </w:r>
      <w:r w:rsidRPr="00A3026E">
        <w:rPr>
          <w:rFonts w:ascii="Times New Roman" w:hAnsi="Times New Roman"/>
          <w:color w:val="000000" w:themeColor="text1"/>
          <w:sz w:val="16"/>
          <w:szCs w:val="16"/>
        </w:rPr>
        <w:softHyphen/>
        <w:t>щение времени и стоимости производства, по сравнению с ППД (15779).</w:t>
      </w:r>
    </w:p>
    <w:p w14:paraId="0C9B9910" w14:textId="77777777" w:rsidR="008B058A" w:rsidRPr="00A3026E" w:rsidRDefault="008B058A" w:rsidP="00A3026E">
      <w:pPr>
        <w:spacing w:after="0" w:line="240" w:lineRule="auto"/>
        <w:jc w:val="both"/>
        <w:rPr>
          <w:rFonts w:ascii="Times New Roman" w:hAnsi="Times New Roman"/>
          <w:color w:val="000000" w:themeColor="text1"/>
          <w:sz w:val="16"/>
          <w:szCs w:val="16"/>
        </w:rPr>
      </w:pPr>
    </w:p>
    <w:p w14:paraId="484BA7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года за № 65/394 вышло поручение О.Б. ЦК ВКП(б) Выписка из протокола № 65 с запиской Сергеева о состоянии строительства завода № 257 (7479, 112-116).</w:t>
      </w:r>
    </w:p>
    <w:p w14:paraId="19534B1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1F64C55" w14:textId="77777777" w:rsidR="0099525A" w:rsidRPr="00A3026E" w:rsidRDefault="0099525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21 декабря 1940 вышло </w:t>
      </w:r>
      <w:r w:rsidRPr="00A3026E">
        <w:rPr>
          <w:rFonts w:ascii="Times New Roman" w:hAnsi="Times New Roman"/>
          <w:color w:val="0070C0"/>
          <w:sz w:val="16"/>
          <w:szCs w:val="16"/>
          <w:shd w:val="clear" w:color="auto" w:fill="FFFFFF"/>
        </w:rPr>
        <w:t>Постановление Комитета обороны при СНК СССР № 455сс "О производстве морской артиллерии на Кировском заводе НКТяжмаша и производстве танковых и полковых пушек на заводах № 92 и № 7 Наркомата вооружения" с приложениями (22109).</w:t>
      </w:r>
    </w:p>
    <w:p w14:paraId="50DB2169" w14:textId="77777777" w:rsidR="0099525A" w:rsidRPr="00A3026E" w:rsidRDefault="0099525A" w:rsidP="00A3026E">
      <w:pPr>
        <w:spacing w:after="0" w:line="240" w:lineRule="auto"/>
        <w:jc w:val="both"/>
        <w:rPr>
          <w:rFonts w:ascii="Times New Roman" w:hAnsi="Times New Roman"/>
          <w:color w:val="0070C0"/>
          <w:sz w:val="16"/>
          <w:szCs w:val="16"/>
        </w:rPr>
      </w:pPr>
    </w:p>
    <w:p w14:paraId="2B74E7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г. начальник ГМШ И.С.Исаковым утвердил оперативно-тактическое задание, согласно которому 180-мм башни крейсера Красный Кавказ предполагалось заменить на три-четыре двухорудийные 152-мм башни или на четыре 130-мм башни с универсальными установками (восемь орудий). Таким образом, накануне войны командование ВМФ, считавшее крейсер не</w:t>
      </w:r>
      <w:r w:rsidRPr="00A3026E">
        <w:rPr>
          <w:rFonts w:ascii="Times New Roman" w:hAnsi="Times New Roman"/>
          <w:color w:val="000000" w:themeColor="text1"/>
          <w:sz w:val="16"/>
          <w:szCs w:val="16"/>
        </w:rPr>
        <w:softHyphen/>
        <w:t>боеспособным из-за "неудовлетворительного состояния артиллерии главного калибра", прорабатывало варианты модернизации "Крас</w:t>
      </w:r>
      <w:r w:rsidRPr="00A3026E">
        <w:rPr>
          <w:rFonts w:ascii="Times New Roman" w:hAnsi="Times New Roman"/>
          <w:color w:val="000000" w:themeColor="text1"/>
          <w:sz w:val="16"/>
          <w:szCs w:val="16"/>
        </w:rPr>
        <w:softHyphen/>
        <w:t>ного Кавказа" с заменой артиллерии, ПУАО, авиа- и радиовооруже</w:t>
      </w:r>
      <w:r w:rsidRPr="00A3026E">
        <w:rPr>
          <w:rFonts w:ascii="Times New Roman" w:hAnsi="Times New Roman"/>
          <w:color w:val="000000" w:themeColor="text1"/>
          <w:sz w:val="16"/>
          <w:szCs w:val="16"/>
        </w:rPr>
        <w:softHyphen/>
        <w:t>ния на современные образцы. Но этим планам было не суждено осуществиться, и крейсер вел боевые дей</w:t>
      </w:r>
      <w:r w:rsidRPr="00A3026E">
        <w:rPr>
          <w:rFonts w:ascii="Times New Roman" w:hAnsi="Times New Roman"/>
          <w:color w:val="000000" w:themeColor="text1"/>
          <w:sz w:val="16"/>
          <w:szCs w:val="16"/>
        </w:rPr>
        <w:softHyphen/>
        <w:t>ствия с прежними орудиями главного калибра, которые достаточно хорошо проявили себя при стрельбе по береговым целям (3898).</w:t>
      </w:r>
    </w:p>
    <w:p w14:paraId="3EE50F6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48BC451" w14:textId="77777777" w:rsidR="0014077F"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30F74D97"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A685E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21 по 31 декабря 1941 состоялось совещание военных, в котором участвовало 4 маршала (без К.Е.В.), 254 генерала и 15 полковников на генеральских должностях. Было 4 основных доклада (Г.К.Ж. с методами проведения фронтовой наступательной операции, П.В.Рычагов с докладом о завоевании господства в воздухе - "ВВС в наступательной операции и в борьбе за господство в воздухе", И.В.Тюленев - об оборонительной операции, Д.Г.Павлов - о прорыве мехсоединений. Итого подвел С.К.Тимошенко. было 74 выступления. Имя И.В.С. упомянули всего 4 раза (3573).</w:t>
      </w:r>
    </w:p>
    <w:p w14:paraId="3100A9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П.В.Р. сообщил, что в операции примут участие 4 тыс. самолетов, действующих с 160 основных и 80 запасных аэродромов (3573).</w:t>
      </w:r>
    </w:p>
    <w:p w14:paraId="017F287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64034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21-23 декабря 1940 г. прошло Совещание высшего командного состава РККА и начальник Главного управления ВВС Красной Армии генерал-лейтенант П.В.Рычагов выступил с докладом на тему "Военно-воздушные силы в наступательной операции и в борьбе за завоевание господства в воздухе"</w:t>
      </w:r>
    </w:p>
    <w:p w14:paraId="683A22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Совещании 21-31 декабря 1940 г., должно было участвовать 4 маршала (К.Е.Ворошилов отсутствовал), 254 генерала и 15 полковников (на должностях командиров дивизий). По докладам было сделано 74 выступления, правда некоторые участники выступали по несколько раз. В отличие от съездов КПСС, где секретари обкомов в своих речах били поклоны очередному генсеку, Сталин был упомянут менее 10 раз, причем, в основном, в связи со ссылками на распорядительные документы ВКП(б) по военным вопросам (3573).</w:t>
      </w:r>
    </w:p>
    <w:p w14:paraId="195C20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П.В.Рычагов в своем докладе сообщил, что по его расчетам наступательную операцию будут поддерживать 4000 самолетов, базирующихся на 160 основных и 80 запасных аэродромах и поставив этим самолетам десятки самых различных задач ("надо"), не сообщил, кто конкретно всей этой армадой командует, в каких вопросах и кто за что отвечает (3573).</w:t>
      </w:r>
    </w:p>
    <w:p w14:paraId="7E5E57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"Заканчивая свой доклад, в итоге должен отметить:</w:t>
      </w:r>
    </w:p>
    <w:p w14:paraId="04461A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современную наступательную операцию без мощной авиации проводить невозможно;</w:t>
      </w:r>
    </w:p>
    <w:p w14:paraId="1069E7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основное условие, обеспечивающее успех современной наступательной операции, это завоевание господства в воздухе;</w:t>
      </w:r>
    </w:p>
    <w:p w14:paraId="49E633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такое же значение имеет и непрерывная поддержка наземных войск, способствующая быстрому разгрому врага;</w:t>
      </w:r>
    </w:p>
    <w:p w14:paraId="1F49A6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надо добиться четкого взаимодействия авиации с наземными войсками в бою и операции, отработать вопросы управления авиацией и организации ее тыла;</w:t>
      </w:r>
    </w:p>
    <w:p w14:paraId="67806F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отработать вопросы подготовки аэродромной сети и вопросы снабжения при быстром продвижении армии вперед;</w:t>
      </w:r>
    </w:p>
    <w:p w14:paraId="45376F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восстановление убыли самолетов в операции является одним из важных условий сохранения наступательной возможности фронта и должно быть решено широким применением полевого ремонта;</w:t>
      </w:r>
    </w:p>
    <w:p w14:paraId="7AC1C3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учитывая огромный расход боеприпасов и горючего авиацией фронта, командующий фронтом и командующий ВВС должны непрерывно заботиться о пополнении и накоплении запасов" (3573).</w:t>
      </w:r>
    </w:p>
    <w:p w14:paraId="767CEEC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1E06EC1"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0A05B9B5"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8B2153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декабря 1940 Швейцария разорвала дипломатические отношения с СССР (4962).</w:t>
      </w:r>
    </w:p>
    <w:p w14:paraId="02E3DAB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4B695496" w14:textId="73268D90" w:rsidR="008D100B" w:rsidRPr="00A3026E" w:rsidRDefault="008D100B"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За рубежом:</w:t>
      </w:r>
    </w:p>
    <w:p w14:paraId="5AB65FB2" w14:textId="77777777" w:rsidR="008D100B" w:rsidRPr="00A3026E" w:rsidRDefault="008D100B" w:rsidP="00A3026E">
      <w:pPr>
        <w:spacing w:after="0" w:line="240" w:lineRule="auto"/>
        <w:jc w:val="both"/>
        <w:rPr>
          <w:rFonts w:ascii="Times New Roman" w:hAnsi="Times New Roman"/>
          <w:i/>
          <w:iCs/>
          <w:color w:val="000000" w:themeColor="text1"/>
          <w:sz w:val="16"/>
          <w:szCs w:val="16"/>
        </w:rPr>
      </w:pPr>
    </w:p>
    <w:p w14:paraId="2911BD1B" w14:textId="77777777" w:rsidR="008D100B" w:rsidRPr="00A3026E" w:rsidRDefault="008D100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21 декабря 1940 девять Fairey Swordfish с британского авианосца HMS Illustrious потопили два итальянских торговых судна у берегов Туниса, потеряв один Swordfish (20795).</w:t>
      </w:r>
    </w:p>
    <w:p w14:paraId="28908EF3" w14:textId="77777777" w:rsidR="008D100B" w:rsidRPr="00A3026E" w:rsidRDefault="008D100B" w:rsidP="00A3026E">
      <w:pPr>
        <w:spacing w:after="0" w:line="240" w:lineRule="auto"/>
        <w:jc w:val="both"/>
        <w:rPr>
          <w:rFonts w:ascii="Times New Roman" w:hAnsi="Times New Roman"/>
          <w:color w:val="0070C0"/>
          <w:sz w:val="16"/>
          <w:szCs w:val="16"/>
        </w:rPr>
      </w:pPr>
    </w:p>
    <w:p w14:paraId="7A4B2148" w14:textId="22DEDC4E"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F48AFD6"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28E65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C 22 декабря 1940 по 1 марта 1941 опытные самолеты производства 22 и 39 заводов проходили гос. испытания (796,17).</w:t>
      </w:r>
    </w:p>
    <w:p w14:paraId="7BE096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Общий объем проделанной работы по ДБ-4 с начала испытаний позволил конструктору принять окончательные решения по</w:t>
      </w:r>
    </w:p>
    <w:p w14:paraId="72039D2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FB119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C 22 декабря 1940 г. осуществлялись доводки устойчивости самолета ДБ-4 и температурных (3333).</w:t>
      </w:r>
    </w:p>
    <w:p w14:paraId="18232AC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82D15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декабря 1940 был передан на гос. испытания головной Пе-2 39 завода. Заводские проходили с 14 по 21 декабря проходили и 21 декабря П.М.Стефановский выявил ряд недостатков (769,2).</w:t>
      </w:r>
    </w:p>
    <w:p w14:paraId="14A8FB9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1C96FB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shd w:val="clear" w:color="auto" w:fill="FFFFFF"/>
        </w:rPr>
        <w:t>22 декабря 1940г 1-й головной самолет Пе-2 с номером 390101 завода № 39 был передан в НИИ ВВС на Государственные Испытания (19207).</w:t>
      </w:r>
    </w:p>
    <w:p w14:paraId="17D02D88" w14:textId="77777777" w:rsidR="0018056E" w:rsidRPr="00A3026E" w:rsidRDefault="0018056E" w:rsidP="00A3026E">
      <w:pPr>
        <w:spacing w:after="0" w:line="240" w:lineRule="auto"/>
        <w:jc w:val="both"/>
        <w:rPr>
          <w:rFonts w:ascii="Times New Roman" w:hAnsi="Times New Roman"/>
          <w:color w:val="000000" w:themeColor="text1"/>
          <w:sz w:val="16"/>
          <w:szCs w:val="16"/>
        </w:rPr>
      </w:pPr>
    </w:p>
    <w:p w14:paraId="286F70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декабря 1940 1-й серийный экз. ПБ-100 производства завода № 39 был передан в НИИ ВВС. Заводские испытания показали скорость 534 км/час. Газ полностью не давался из-за недостаточной прочности фюзеляжа (10395).</w:t>
      </w:r>
    </w:p>
    <w:p w14:paraId="5641A3F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F3CFB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декабря 1940 самолет ПБ-100 первый экз. Серийный передан в НИИ ВВС. Заводские испытания показали скорость 534 км/час. Газ полностью не давался из-за недостаточной прочности фюзеляжа. Сейчас фюзеляж подкрепляется.</w:t>
      </w:r>
    </w:p>
    <w:p w14:paraId="518088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 января 1941 намечен выпуск на аэродром 4 единиц (10395).</w:t>
      </w:r>
    </w:p>
    <w:p w14:paraId="4B0212D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99A52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декабря 1940 для гос. испытаний в НИИ ВВС был принят с завода 39 Пе-2 2М-105 с ВИШ-61Б 3.2 м без проведения заводских испытаний (2329,169).</w:t>
      </w:r>
    </w:p>
    <w:p w14:paraId="2066290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A40ED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декабря 1940 мотор М-105 поступил в НИИ ВВС для подбора топлива на станке на испытательной станции 5-го Отдела НИИ (3333,15).</w:t>
      </w:r>
    </w:p>
    <w:p w14:paraId="77D4C61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8BFB9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декабря 1940 года начальник НИП АВ ВВС полковник Шевченко утвердил:</w:t>
      </w:r>
    </w:p>
    <w:p w14:paraId="2E40BF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полигонным испытаниям подкрыльной ампульно-бомбовой кассеты (АБК-II) конструкции завода № 145 на самолете СБ</w:t>
      </w:r>
    </w:p>
    <w:p w14:paraId="050C3B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23 августа 1940 года</w:t>
      </w:r>
    </w:p>
    <w:p w14:paraId="41583C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4 декабря 1940 года</w:t>
      </w:r>
    </w:p>
    <w:p w14:paraId="71169A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0B32E9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Лукашев</w:t>
      </w:r>
    </w:p>
    <w:p w14:paraId="3B2991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44AEE1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Целью полигонных испытаний ампульно-бомбовой кассеты (АБК-II) являлось определение следующих конструктивно-эксплуатационных и боевых качеств:</w:t>
      </w:r>
    </w:p>
    <w:p w14:paraId="040D479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Прочности и надежность конструкции.</w:t>
      </w:r>
    </w:p>
    <w:p w14:paraId="0C81054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Безотказности работы механизма кассеты при нормальных и низких температурах.</w:t>
      </w:r>
    </w:p>
    <w:p w14:paraId="4CB4A4A6"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Вариантов бомбовой нагрузки.</w:t>
      </w:r>
    </w:p>
    <w:p w14:paraId="491D5A0F"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Характера распределения бомб на площади при сбрасывании с различных высот.</w:t>
      </w:r>
    </w:p>
    <w:p w14:paraId="0614BE8E"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Удобства и безопасности в эксплуатации</w:t>
      </w:r>
    </w:p>
    <w:p w14:paraId="64DEFD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Подкрыльная ампульная кассета (АК-II) предназначалась для ампулометания с самолета СБ.</w:t>
      </w:r>
    </w:p>
    <w:p w14:paraId="59B17A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Кассета испытывалась в 1939 году на ампулах АК-2 с диаметром 125 мм и диаметром 260 мм и показала удовлетворительные боевые качества, простоту конструкции, безотказность работы ее механизмов в нормальных условиях и при низких температурах.</w:t>
      </w:r>
    </w:p>
    <w:p w14:paraId="08B7C1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заводом № 145 была поставлена задача пересмотреть конструкцию подкрыльной ампульной кассеты с целью создания универсального прибора разового действия для применения из нее не только ампул, но и бомб мелкого калибра.</w:t>
      </w:r>
    </w:p>
    <w:p w14:paraId="0C8A07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264A12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внесения изменений в конструкцию кассеты на заводских испытаниях с бомбами в феврале 1940 года был выявлен ряд дополнительных конструктивных недостатков ………………..</w:t>
      </w:r>
    </w:p>
    <w:p w14:paraId="02B1683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6AF7DB8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Подкрыльная ампульно-бомбовая кассета (АБК-II) конструкции завода № 145 полигонные испытания выдержала (7843).</w:t>
      </w:r>
    </w:p>
    <w:p w14:paraId="41AE7456"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p>
    <w:p w14:paraId="5CB1D5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декабря 1940 года Начальник НИП АВ ВВС полковник Шевченко утвердил Отчет по полигонным испытаниям подкрыльной ампульно-бомбовой кассеты (АБК-П) конструкции завода № 145 на самолете СБ</w:t>
      </w:r>
    </w:p>
    <w:p w14:paraId="2D6B47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начаты 23 августа 1940 года</w:t>
      </w:r>
    </w:p>
    <w:p w14:paraId="07A08F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окончены 4 декабря 1940 года</w:t>
      </w:r>
    </w:p>
    <w:p w14:paraId="35AFAB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2F4001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В/инженер 3 ранга Лукашев</w:t>
      </w:r>
    </w:p>
    <w:p w14:paraId="457C134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43FCFC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Целью полигонных испытаний ампульно-бомбовой кассеты (АБК-П) явилось определение следующих конструктивно-эксплуатационных и боевых качеств:</w:t>
      </w:r>
    </w:p>
    <w:p w14:paraId="5B6D2682" w14:textId="77777777" w:rsidR="0014077F" w:rsidRPr="00A3026E" w:rsidRDefault="0014077F" w:rsidP="00A3026E">
      <w:pPr>
        <w:pStyle w:val="22"/>
        <w:widowControl/>
        <w:tabs>
          <w:tab w:val="left" w:pos="360"/>
        </w:tabs>
        <w:rPr>
          <w:color w:val="000000" w:themeColor="text1"/>
        </w:rPr>
      </w:pPr>
      <w:r w:rsidRPr="00A3026E">
        <w:rPr>
          <w:color w:val="000000" w:themeColor="text1"/>
        </w:rPr>
        <w:t>Прочности и надежности конструкции.</w:t>
      </w:r>
    </w:p>
    <w:p w14:paraId="056B308E" w14:textId="77777777" w:rsidR="0014077F" w:rsidRPr="00A3026E" w:rsidRDefault="0014077F" w:rsidP="00A3026E">
      <w:pPr>
        <w:pStyle w:val="22"/>
        <w:widowControl/>
        <w:tabs>
          <w:tab w:val="left" w:pos="360"/>
        </w:tabs>
        <w:rPr>
          <w:color w:val="000000" w:themeColor="text1"/>
        </w:rPr>
      </w:pPr>
      <w:r w:rsidRPr="00A3026E">
        <w:rPr>
          <w:color w:val="000000" w:themeColor="text1"/>
        </w:rPr>
        <w:t>Безотказности работы механизма кассеты при нормальных и низких температурах.</w:t>
      </w:r>
    </w:p>
    <w:p w14:paraId="7C327D91"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Вариантов бомбовой загрузки.</w:t>
      </w:r>
    </w:p>
    <w:p w14:paraId="3808168B"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Характера распределения бомб на площади при сбрасывании с различных высот.</w:t>
      </w:r>
    </w:p>
    <w:p w14:paraId="29559782" w14:textId="77777777" w:rsidR="0014077F" w:rsidRPr="00A3026E" w:rsidRDefault="0014077F" w:rsidP="00A3026E">
      <w:pPr>
        <w:pStyle w:val="22"/>
        <w:widowControl/>
        <w:tabs>
          <w:tab w:val="left" w:pos="360"/>
        </w:tabs>
        <w:rPr>
          <w:color w:val="000000" w:themeColor="text1"/>
        </w:rPr>
      </w:pPr>
      <w:r w:rsidRPr="00A3026E">
        <w:rPr>
          <w:color w:val="000000" w:themeColor="text1"/>
        </w:rPr>
        <w:t>Удобства и безопасности в эксплуатации.</w:t>
      </w:r>
    </w:p>
    <w:p w14:paraId="53A214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Подкрыльная ампульная кассета (АК-П) предназначалась для ампулометания с с самолета СБ. Перед заводом № 145 была поставлена задача пересмотреть конструкцию подкрыльной ампульной кассеты с целью создания универсального прибора разового действия для применения из нее не только ампул, но и бомб мелкого калибра.</w:t>
      </w:r>
    </w:p>
    <w:p w14:paraId="0C075C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17FB0E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Предъявленная на полигонные испытания подкрыльная ампульно-бомбовая кассета (АБК-П) конструкции завода № 145 полигонные испытания выдержала (7406).</w:t>
      </w:r>
    </w:p>
    <w:p w14:paraId="6AB2BA53"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p>
    <w:p w14:paraId="65A300A1" w14:textId="77777777" w:rsidR="0014077F"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395C11B5"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C2011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декабря 1940 И.В.С. на даче просмотрел разведсводку N 8, где было указано, что на нашей границе 110, а не 73 немецких дивизии (как до этого и потом сообщалось), но она на него впечатления не произвела (2536,327).</w:t>
      </w:r>
    </w:p>
    <w:p w14:paraId="15592AB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8C87E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декабря 1940 г. вышел приказ НКО № 0362 от об изменении порядка прохождения службы младшим и среднм летно-техническим составом ВВС Красной Армии и ле стали выпускать сержантами (9844).</w:t>
      </w:r>
    </w:p>
    <w:p w14:paraId="5EA9F46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911EF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декабря 1940 г. вышел Приказ НКО об изменении порядка прохождения службы младшим и средним начальствующим составом в ВВС Красной Армии № 0362.</w:t>
      </w:r>
    </w:p>
    <w:p w14:paraId="0020EA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1938 году НКО был издан приказ за № 0147 о присвоении новых военных званий пилотам и авиамеханикам. Этим приказом устанавливалось, что всем курсантам, оканчивающим летно-технические школы, присваиваются при выпуске звания среднего начальствующего состава: младшего лейтенанта, младшего воентехника, лейтенанта и воентехника 2 ранга. Практика показала, что этот приказ был явно ошибочным и нанес большой ущерб нашей авиации.</w:t>
      </w:r>
    </w:p>
    <w:p w14:paraId="09D662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Молодые пилоты и авиамеханики, только что окончившие летно-техниче-ские школы и не имеющие еще опыта и знаний, требуемых от командира, получают звания среднего начсостава Красной Армии, хотя и занимают должности рядовых пилотов и авиамехаников. В итоге этого создалось явно ненормальное и подрывающее основы военной организации положение, когда в авиачастях отсутствует рядовой и младший начсостав и все пилоты и авиамеханики являются лицами среднего начальствующего состава.</w:t>
      </w:r>
    </w:p>
    <w:p w14:paraId="008624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Получая при окончании школ звание младшего лейтенанта и младшего воентехника, лейтенанта и воентехника 2 ранга, пилоты и авиамеханики приобретают все права среднего начсостава, в том числе право жить вне казармы, на отдельной квартире и иметь при себе семью. Практика показала, что внеказармбнное размещение летно-технического состава по квартирам с семьями наносит величайший вред боевой подготовке летно-технического состава и боеспособности всей нашей авиации.</w:t>
      </w:r>
    </w:p>
    <w:p w14:paraId="3526B2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чем выражается этот вред?</w:t>
      </w:r>
    </w:p>
    <w:p w14:paraId="2896B8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Известно, что каждая авиационная часть должна быть готова в любой момент перебазироваться в любой район соответственно требованиям обстановки. При нынешнем же положении наши авиачасти часто оказываются неспособными выполнить это требование. Вместо организованных частей с должным военным распорядком они превратились в поселки полугражданского типа, в которых военные составляют лишь незначительную часть, а большую часть составляют члены их </w:t>
      </w:r>
      <w:r w:rsidRPr="00A3026E">
        <w:rPr>
          <w:rFonts w:ascii="Times New Roman" w:hAnsi="Times New Roman"/>
          <w:color w:val="000000" w:themeColor="text1"/>
          <w:sz w:val="16"/>
          <w:szCs w:val="16"/>
        </w:rPr>
        <w:lastRenderedPageBreak/>
        <w:t>семей. При передислоцировании авиачастей семьи остаются на месте, а взамен убывших расселяется новая часть. Это приводит к тому, что в гарнизонах проживают семьи нескольских частей. В некоторых гарнизонах на одного летчика приходится до 15 членов семей. Все это делает немобильными и неподвижными наши авиачасти, приковывает их к месту расквартирования.</w:t>
      </w:r>
    </w:p>
    <w:p w14:paraId="392CC1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Известно, что основным требованием к боевой авиации является обеспечение быстрого сбора авиачасти по тревоге и быстрого подъема в воздух для выполнения боевого приказа. При существующем же положении, когда летно-технический состав, обремененный семьями, живет по квартирам, зачастую на расстоянии десятка и более километров от своих аэродромов, авиачасть быстро собраться по тревоге не в, состоянии. Только на сборы и оповещение летного состава затрачиваются многие часы. Авиачасти вынуждены держать специальных людей и транспорт для обеспечения оповещения и сбора по тревоге. Все это также подрывает боеспособность нашей авиации.</w:t>
      </w:r>
    </w:p>
    <w:p w14:paraId="051227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Наши летчики должны быть лучшими летчиками в мире, летчиками, обладающими высокими боевыми летными качествами. Было бы глубоко ошибочным полагать, что все эти качества придут сами собою во время войны. Они могут быть привиты только напряженной упорной работой в мирное время. В современной международной обстановке, чреватой всякими неожиданностями, переход от мирной обстановки к военной — это только один шаг. Наша авиация, которая первая примет бой с противником, должна поэтому находиться в состоянии постоянной мобилизационной готовности. Этого требуют от нее интересы обороны страны.</w:t>
      </w:r>
    </w:p>
    <w:p w14:paraId="248136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 то же время задача создания обученных и вполне подготовленных к бою летчиков несовместима с современным положением, когда летчик переобременен семейными заботами. Для того чтобы в совершенстве владеть своим боевым оружием и успешно побеждать врага в военное время, летчик должен все свои силы и внимание именно теперь сосредоточить на боевой выучке, должен в совершенстве знать и любить свою боевую машину и мастерски владеть ею. В настоящее же время внимание и энергия летчика раздваиваются. Семейные заботы отвлекают его от забот о своем боевом совершенствовании. Летчик не может целиком посвятить себя военному делу. Семья, находящаяся около летчика, постоянно напоминает о себе. Такое раздвоение внимания и энергии летчика, невозможность целиком сосредоточиться на задаче боевой учебы снижает уровень боевой подготовки летчика, делает его малоподготовленным. Слабая же подготовленность летного состава неизбежно ведет к авариям и катастрофам, а в боевой обстановке поведет к тому, что плохо подготовленный летчик будет подстрелен противником.</w:t>
      </w:r>
    </w:p>
    <w:p w14:paraId="0C01B7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Мы не может терпеть положение, при котором наша авиация была бы организована хуже, чем авиация других государств. Нигде в мире не существует таких порядков, чтобы весь летно-технический состав являлся начальствующим составом, чтобы летчики жили по квартирам с семьями и чтобы авиационные части представляли из себя полугражданские поселки. Терпеть такое положение далее — это значит ставить под удар дело боевого воспитания наших летчиков, дело укрепления нашей авиации, оборону нашей страны.</w:t>
      </w:r>
    </w:p>
    <w:p w14:paraId="38EA96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Совнарком СССР и ЦК ВКП(б) потребовали немедленной ликвидации указанных нетерпимых недостатков организации службы в авиации, восстановления должного воинского порядка в авиачастях и соединениях, укрепления воинской дисциплины и перевода авиации на положение мобилизационной готовности.</w:t>
      </w:r>
    </w:p>
    <w:p w14:paraId="1AA9F6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того чтобы в кратчайший срок оздоровить нашу авиацию, помочь нашим авиационным частям и летчикам стать полноценными в боевом отношении, надо перевести летно-технический состав, до командира звена включительно, на казарменное положение и вывести его семьи из района расположения авиагарнизонов. Перевод летного состава на казарменное положение и вывод его семей из авиагарнизонов создаст необходимые условия для поднятия боеспособности авиации, обеспечит возможность быстрого передислоцирования авиачастей, когда это необходимо, сделает возможным своевременный сбор авиачастей по боевой тревоге и позволит летчику целиком посвятить себя делу боевого совершенствования.</w:t>
      </w:r>
    </w:p>
    <w:p w14:paraId="056BD7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Совнарком и ЦК постановил изменить существующий порядок комплектования летных школ. Существующий порядок комплектования этих школ целиком основан на принципе добровольности, т. е. отбор в школы производится из лиц, изъявивших желание служить в авиации. Этот принцип в настоящее время изжил себя и стал прямым тормозом в развитии военно-воздушных сил. Он ограничивает возможности комплектования школ контингентом желающих учиться в авиашколах, вместо того чтобы предоставить для авиации такую же возможность отбора достойных для учебы в школах из числа призываемых в Красную Армию, какой пользуются другие рода войск. В связи с принципом добровольного комплектования авиашкол, а также в связи с тем, что весь летно-технический состав относится ныне к категории среднего начальствующего состава, в авиации оказался нарушенным общеармейский порядок срочной службы. Поэтому Совнарком и ЦК сочли необходимым отменить существующий порядок комплектования военно-авиационных училищ и школ на началах добровольного приема, перейдя на комплектование школ путем отбора из очередных призывов в Красную Армию, и установить в авиации срок действительной службы 4 года.</w:t>
      </w:r>
    </w:p>
    <w:p w14:paraId="1529BD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исполнение указаний Совнаркома СССР и ЦК ВКП(б) приказываю:</w:t>
      </w:r>
    </w:p>
    <w:p w14:paraId="7D65F1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Приказ НКО № 0147 1938 г. отменить.</w:t>
      </w:r>
    </w:p>
    <w:p w14:paraId="4AEF6F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Летчиков, штурманов и авиатехников, независимо от имеющихся у них военных званий, находящихся в рядах Красной Армии менее 4 лет, считая срок службы со дня призыва или поступления в военно-авиационную и авиатехническую школу, перевести на положение срочнослужащих.</w:t>
      </w:r>
    </w:p>
    <w:p w14:paraId="5E9683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При переводе летчиков, штурманов и авиатехников на положение срочнослужащих сохранить за ними присвоенные военные звания и получаемые оклады содержания.</w:t>
      </w:r>
    </w:p>
    <w:p w14:paraId="4F496A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Перевести на казарменное положение к 1 февраля 1941 г. всех переведенных на положение срочнослужащих летчиков, штурманов и авиатехников, занимающих должности ниже командира, заместителя командира, штурмана и старшего авиатехника эскадрильи в истребительной, бомбардировочной и разведывательной авиации; командира, штурмана и старшего авиатехника отряда в тяжелобомбардировочной авиации.</w:t>
      </w:r>
    </w:p>
    <w:p w14:paraId="4E8DD6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 казармах установить четкий внутренний распорядок согласно Уставу внутренней службы, введя утренние и вечерние поверки.</w:t>
      </w:r>
    </w:p>
    <w:p w14:paraId="32705E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Предоставить право проживания по квартирам летно-техническому составу, в том числе и состоящему на срочной службе, занимающему следующие командные должности:</w:t>
      </w:r>
    </w:p>
    <w:p w14:paraId="1BE401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истребительных, бомбардировочных, разведывательных и учебных авиационных полках: командиру эскадрильи, заместителю командира эскадрильи, адъютанту, штурману, инженеру и начальникам служб эскадрильи и выше;</w:t>
      </w:r>
    </w:p>
    <w:p w14:paraId="151952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тяжелобомбардировочных авиационных полках: командиру, заместителю командира, штурману и старшему авиатехнику отряда и выше;</w:t>
      </w:r>
    </w:p>
    <w:p w14:paraId="077C06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 авиационных училищах и школах: командиру и технику звена, помощнику командира отряда и начальникам служб эскадрильи и выше;</w:t>
      </w:r>
    </w:p>
    <w:p w14:paraId="3C1CB8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летно-техническому составу, выслужившему срок действительной службы 4 года.</w:t>
      </w:r>
    </w:p>
    <w:p w14:paraId="34D8B65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Семьи летно-технического состава, переводимого на казарменное положение, семьи начальствующего состава убывших из гарнизона частей, а также и лиц, не имеющих отношения к частям, к 1 февраля 1941 г. вывести с территории военных городков.</w:t>
      </w:r>
    </w:p>
    <w:p w14:paraId="78D85E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Выселяемые семьи отправить на родину или переселить на местные городские и поселковые жилфонды вне расположения авиачасти.</w:t>
      </w:r>
    </w:p>
    <w:p w14:paraId="1FBCC2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проезд семьи по железной дороге выдавать семейным летчикам и авиатехникам бесплатные проездные документы и пособия на устройство в новом месте в размере:</w:t>
      </w:r>
    </w:p>
    <w:p w14:paraId="278AA7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семью в составе одного человека — 2000 руб.,</w:t>
      </w:r>
    </w:p>
    <w:p w14:paraId="0D39DF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семью в составе двух человек — 2500 руб.,</w:t>
      </w:r>
    </w:p>
    <w:p w14:paraId="0041D9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семью в составе трех человек — 3000 руб.,</w:t>
      </w:r>
    </w:p>
    <w:p w14:paraId="794D3C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семью в составе четырех человек и более 3500 руб.</w:t>
      </w:r>
    </w:p>
    <w:p w14:paraId="2306A4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Весь переведенный на казарменное положение летно-технический состав зачислить на все виды довольствия и перевести на котел, организовав отдельную столовую для летно-технического состава, имеющего право на специальное довольствие и отдельную столовую для срочнослужащих, обеспечиваемых красноармейским пайком.</w:t>
      </w:r>
    </w:p>
    <w:p w14:paraId="50DC1E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Стоимость пайка, отпускаемого на довольствие начальствующего состава, переведенного на казарменное положение и не пользующегося красноармейским пайком, удерживать из жалованья довольствующихся. Младшему начсоставу паек отпускается бесплатный.</w:t>
      </w:r>
    </w:p>
    <w:p w14:paraId="2780C2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Главному интенданту дать все необходимые указания о порядке отпуска продовольствия и удержания стоимости отпускаемого пайка, а также отпустить необходимые средства и материалы для оборудования казарм.</w:t>
      </w:r>
    </w:p>
    <w:p w14:paraId="11A740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Ввести в штат эскадрильи двух заместителей командира эскадрильи по строевой части.</w:t>
      </w:r>
    </w:p>
    <w:p w14:paraId="584F04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Летчики, прослужившие на летных должностях два-три года, при соответствующих успехах должны быть первыми кандидатами для выдвижения на должности командира звена, а лучшие из них — на должности командира эскадрильи, его заместителей.</w:t>
      </w:r>
    </w:p>
    <w:p w14:paraId="6A60642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В целях установления нормального прохождения службы летно-техни-ческим составом к категории начальствующего состава в авиационных частях отнести:</w:t>
      </w:r>
    </w:p>
    <w:p w14:paraId="0EEF07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 истребительной, бомбардировочной и разведывательной авиации: командира эскадрильи, заместителя командира эскадрильи, штурмана, инженера, адъютанта, начальников служб эскадрильи и выше;</w:t>
      </w:r>
    </w:p>
    <w:p w14:paraId="02F72A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тяжелобомбардировочной авиационной эскадрилье: командира, штурмана и старшего авиатехника отряда и выше;</w:t>
      </w:r>
    </w:p>
    <w:p w14:paraId="5F1AC6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 авиационных училищах и школах: командира звена, командира и помощника командира отряда, старшего авиатехника отряда, штурмана и начальников служб эскадрильи и выше.</w:t>
      </w:r>
    </w:p>
    <w:p w14:paraId="21413D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Остальной летно-технический состав, занимающий [положение] ниже перечисленных должностей, отнести к категории младшего начальствующего состава.</w:t>
      </w:r>
    </w:p>
    <w:p w14:paraId="5ED168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Генерального штаба в декадный срок переработать в соответствии с установленной категорией летно-технического состава штаты авиачастей и школ военно-воздушных сил Красной Армии.</w:t>
      </w:r>
    </w:p>
    <w:p w14:paraId="22A6E6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Установить в дальнейшем следующий порядок присвоения военных званий после окончания военно-авиационных училищ и школ:</w:t>
      </w:r>
    </w:p>
    <w:p w14:paraId="77E7FD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а) курсантов военно-авиационных училищ и школ летчиков и пилотов после окончания ими годичного срока обучения выпускать военными пилотами с присвоением военного звания «сержант»</w:t>
      </w:r>
    </w:p>
    <w:p w14:paraId="19F4F3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курсантов военно-авиационных училищ летчиков-наблюдателей и школ стрелков-бомбардиров после окончания ими годичного срока обучения выпускать стрелками-бомбардирами с присвоением им военного звания «сержант»</w:t>
      </w:r>
    </w:p>
    <w:p w14:paraId="652EC4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курсантов авиатехнических училищ и школ (по эксплуатации, вооружению, приборам, радио и электротехнике и фототехнике) после окончания ими годичного срока обучения выпускать авиамеханиками с присвоением им военного звания «сержант технической службы»</w:t>
      </w:r>
    </w:p>
    <w:p w14:paraId="4E3644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курсантов, окончивших военно-авиационные школы воздушных стрелков и стрелков-радистов, после окончания ими шестимесячного срока обучения выпускать воздушными стрелками с присвоением им военного звания «младший сержант»</w:t>
      </w:r>
    </w:p>
    <w:p w14:paraId="12DC00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курсантов, окончивших школы младших авиаспециалистов (авиамотористы, мастера по вооружению, по приборам, электро- и радиомеханики и фотоспециалисты), после окончания ими шестимесячного срока обучения выпускать младшими авиаспециалистами с присвоением им военного звания «младший сержант технической службы». Настоящий порядок присвоения военных званий распространить на курсантов, выпускаемых из военно-авиационных и авиатехнических школ и училищ в декабре 1940 г.</w:t>
      </w:r>
    </w:p>
    <w:p w14:paraId="1CFFBD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Сержантам, занимающим должности военных пилотов, стрелков-бомбардиров и авиамехаников, предоставить право:</w:t>
      </w:r>
    </w:p>
    <w:p w14:paraId="1A12DA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прослужении двух лет на летно-технических должностях в строю поступать в военно-авиационные и авиатехнические училища для подготовки командного состава авиации;</w:t>
      </w:r>
    </w:p>
    <w:p w14:paraId="60620E3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истечении срока действительной военной службы держать испытание экстерном на звание младшего лейтенанта и младшего воентехника.</w:t>
      </w:r>
    </w:p>
    <w:p w14:paraId="2CC869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Лица, не поступившие в военно-авиационные училища и не сдавшие испытания на звание младшего лейтенанта и младшего воентехника, по истечении срока действительной службы могут приниматься на сверхсрочную службу или зачисляться в резерв.</w:t>
      </w:r>
    </w:p>
    <w:p w14:paraId="1F7CFC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Младшим сержантам, занимающим должности воздушных стрелков, стрелков-радистов и младших авиаспециалистов, по истечении срока действительной военной службы на должностях младшего начсостава предоставить право поступления в военно-авиационные и авиатехнические училища, откуда они выпускаются со званием «лейтенант» и «воентехник».</w:t>
      </w:r>
    </w:p>
    <w:p w14:paraId="18E6FD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Лица младшего начсостава, не поступившие в военно-авиационные и авиатехнические училища, по истечении срока действительной военной службы могут приниматься на сверхсрочную службу или увольняться в запас.</w:t>
      </w:r>
    </w:p>
    <w:p w14:paraId="70A8F1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В связи с обеспечением летно-технического состава, имеющего военные звания младшего начсостава, бесплатным красноармейским пайком установить для них оклады содержания согласно прилагаемой к настоящему приказу тарифной сетке.</w:t>
      </w:r>
    </w:p>
    <w:p w14:paraId="1C4D30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Предоставить право летно-техническому составу, отнесенному к категории младшего начсостава, пользоваться ежегодно, начиная с первого года службы на летно-технических должностях, отпуском сроком на один месяц.</w:t>
      </w:r>
    </w:p>
    <w:p w14:paraId="583C1C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В целях создания стимула для повышения квалификации летного состава установить в соответствии со степенью летной подготовки деление военных летчиков, пилотов, стрелков-бомбардиров и штурманов на три класса.</w:t>
      </w:r>
    </w:p>
    <w:p w14:paraId="1512FC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Летный состав (пилот, стрелок-бомбардир и штурман), окончивший обучение в авиационной школе и училище, отнести к III классу.</w:t>
      </w:r>
    </w:p>
    <w:p w14:paraId="14647C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отнесения летчиков, стрелков-бомбардиров и штурманов к I и II классам ввести испытания по особой программе.</w:t>
      </w:r>
    </w:p>
    <w:p w14:paraId="6E07D1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Деление на классы летчиков, стрелков-бомбардиров и штурманов производить летному составу, до командира и штурмана эскадрильи включительно.</w:t>
      </w:r>
    </w:p>
    <w:p w14:paraId="3CF06D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командиров авиаполков и выше деление на классы не устанавливать.</w:t>
      </w:r>
    </w:p>
    <w:p w14:paraId="6E94BD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Для отличия летчиков, пилотов и штурманов I и II классов ввести нагрудные значки для ношения на груди для каждого класса.</w:t>
      </w:r>
    </w:p>
    <w:p w14:paraId="5B433E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Установить дополнительное вознаграждение к основному окладу:</w:t>
      </w:r>
    </w:p>
    <w:p w14:paraId="3DC6DE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летчикам, пилотам, стрелкам-бомбардирам и штурманам II класса — 75 руб. в месяц;</w:t>
      </w:r>
    </w:p>
    <w:p w14:paraId="1144C6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летчикам, пилотам, стрелкам-бомбардирам и штурманам I класса — 150 руб. в месяц.</w:t>
      </w:r>
    </w:p>
    <w:p w14:paraId="167731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Начальнику Главного управления ВВС Красной Армии к 15 января 1941 г. представить на утверждение Положение о классификации военных летчиков, штурманов, пилотов, порядок перевода их из одного класса в другой, а также образцы нагрудных знаков для летчиков I и II классов.</w:t>
      </w:r>
    </w:p>
    <w:p w14:paraId="75C39B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Для организованного проведения настоящего мероприятия военным советам округов и ДВФронта:</w:t>
      </w:r>
    </w:p>
    <w:p w14:paraId="6C2229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командировать во все авиагарнизоны ответственных лиц для разъяснения всему летно-техническому составу сущности проводимых настоящим приказом мероприятий; </w:t>
      </w:r>
    </w:p>
    <w:p w14:paraId="7595A9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организовать переселение и отправку семей;</w:t>
      </w:r>
    </w:p>
    <w:p w14:paraId="099C71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оборудовать казарменные помещения и организовать обслуживание летно-технического состава, переводимого на казарменное положение.</w:t>
      </w:r>
    </w:p>
    <w:p w14:paraId="51C59D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Предупреждаю командующих войсками округов, командующих ВВС округов, что предлагаемые настоящим приказом меры надлежит провести со всей решительностью и твердостью без всяких отступлений и в установленный срок.</w:t>
      </w:r>
    </w:p>
    <w:p w14:paraId="2545CE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Личную ответственность за исполнение в срок настоящего приказа возлагаю на командующих войсками округов и командующих ВВС округов.</w:t>
      </w:r>
    </w:p>
    <w:p w14:paraId="0200725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Приказ прочесть и разъяснить во всех отдельных отрядах и эскадрильях ВВС Красной Армии.</w:t>
      </w:r>
    </w:p>
    <w:p w14:paraId="66305F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Союза ССР Маршал Советского Союза С. Тимошенко (10594).</w:t>
      </w:r>
    </w:p>
    <w:p w14:paraId="68CAE72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B12468A"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22 декабря 1940 года нарком обороны издал приказ, согласно которому устанавливался новый срок службы в ВВС — четыре года. Летчики, штурманы и авиатехники, не выслужившие этот срок, занимавшие должность ниже командира эскадрильи, независимо от звания, с 1 февраля 1941 года переводились на казарменное положение. Их семьи следовало «отправить на родину» или переселить куда-нибудь еще. Во всяком случае, в авиагородках им делать нечего, а что они будут делать за забором, маршала не волновало. Выпускники авиаучилищ вместо офицерского звания получали в петлицы треугольники сержантов.</w:t>
      </w:r>
    </w:p>
    <w:p w14:paraId="1728FCA5"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Эти мероприятия, с одной стороны, позволяли сэкономить немало «народных денег», с другой — были призваны «оздоровить авиацию» в том смысле, что летчики, необремененные семейными заботами, смогут весь жар своих сердец отдать любимой боевой машине, всё свое время посвятить боевой подготовке, безоглядно, целиком и полностью отдаться военному делу, ибо этого требуют «интересы обороны страны». Вот где, оказывается, был зарыт корень всех проблем: «Семья, находящаяся около летчика, постоянно напоминает о себе. Такое раздвоение внимания и энергии летчика, невозможность целиком сосредоточиться на задаче боевой учебы снижает уровень боевой подготовки летчика, делает его малоподготовленным. Слабая же подготовленность летного состава неизбежно ведет к авариям и катастрофам, а в боевой обстановке поведет к тому, что плохо подготовленный летчик будет подстрелен противником».</w:t>
      </w:r>
    </w:p>
    <w:p w14:paraId="1A70F79F"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Генерал П.В. Рычагов был в восторге: «Приказом Народного комиссара обороны № 0362, одобренным правительством, кладется начало организованному Воздушному Флоту. Старая организация Воздушного Флота себя изжила. Сейчас нам нужен массовый Воздушный Флот, хорошо организованный и подвижный. В старой организации ВВС мы этого не имели. Приказ № 0362 наводит порядок, позволяет поднять дисциплину среди рядового летного состава. Поднимается роль командира и молодой человек — летчик, который должен выучиться летать и воевать, с самого начала службы не будет обременен семьей.</w:t>
      </w:r>
    </w:p>
    <w:p w14:paraId="7AD852A5"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Я хочу привести вам один пример. В Запорожье авиагарнизон имеет небольшое количество тяжелых кораблей, но зато имеет колоссальное количество детей; в среднем на каждый самолет приходится по 12,5 детей. Это до сих пор приводило к тому, что молодой летчик и техник, обремененные семьей, потеряли всякую маневренность в случае передвижения части. Кроме этого, летчик, связанный большой семьей, теряет боеспособность, храбрость и преждевременно изнашивается физически.</w:t>
      </w:r>
    </w:p>
    <w:p w14:paraId="57E77382"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Приказ Народного комиссара обороны устраняет имевшиеся недочеты в этом отношении, создает нормальные условия для работы и роста воздушного флота, который при едином понимании использования его принесет немало побед».</w:t>
      </w:r>
    </w:p>
    <w:p w14:paraId="65472DE6"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Вообще идея понравилась всем «большим начальникам». Генерал-майор А.А. Новиков, командующий ВВС Ленинградского округа: «Ваш приказ 0362 несет исторический поворот в жизни Воздушного Флота, он кладет конец источнику, порождавшему слабую дисциплину и неорганизованность в авиации. С переходом на казарменное положение основной массы летно-технического состава будет возможность улучшить не только состояние воинской дисциплины, но и в значительной степени поднять качество боевой подготовки и боеготовность авиачастей».</w:t>
      </w:r>
    </w:p>
    <w:p w14:paraId="76B8AB11"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Помощник начальника Генштаба по ВВС генерал-лейтенант Я.В. Смушкевич прямо назвал наличие семьи у строевого летчика «единственной и основной причиной» низкого уровня боевой подготовки военно-воздушных сил: «Мне думается, что основная масса летного состава поймет, что без перевода срочнослужащего летного состава на казарменное положение боевой воздушный флот не может быть боеспособен. Без того, что летный состав будет комплектоваться так же, как комплектуется вся Красная Армия — не на добровольном принципе, а в обязательном порядке, мы не будем иметь хороших летчиков».</w:t>
      </w:r>
    </w:p>
    <w:p w14:paraId="25879534"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 xml:space="preserve">На декабрьском совещании генерал Я.В Смушкевич докладывал о серьезном сокращении в 1940 году программ «по ночной подготовке, по высотной подготовке и по полетам в облаках, т. е. по самым сложным видам боевой подготовки»: «Я хочу сказать и по ночной подготовке, с которой у нас плохо. Например: весь Ленинградский округ на бомбардировочной авиации налетал 141 час, т. е. то, что должны налетать 3 летчика в год. Орловский округ налетал всего 36 часов, причем там есть 51-й полк, который еще весной 1940 г. летал в Белоруссию. Этот старый полк ни одного часа не налетал ночью. У Закавказского военного округа немножко лучше, но и там ночная подготовка сводится почти к нулю. Весь округ налетал ночью только 331 час для бомбометания. Мы слабо работаем по радионавигации. Еще в командировке наши бомбардировщики ночью, как правило, блудили. Ночью без радионавигации невозможно проводить большие полеты. Те радиостанции, которые </w:t>
      </w:r>
      <w:r w:rsidRPr="00A3026E">
        <w:rPr>
          <w:rFonts w:ascii="Times New Roman" w:hAnsi="Times New Roman"/>
          <w:bCs/>
          <w:color w:val="000000" w:themeColor="text1"/>
          <w:sz w:val="16"/>
          <w:szCs w:val="16"/>
        </w:rPr>
        <w:lastRenderedPageBreak/>
        <w:t>имеются, радиокомпас — не изучаются в частях». Бомбардировочные экипажи задачи бомбометания решали 2–5 раз в год. Истребители учились стрелять по конусу на скорости 200–250 км/ч, «ибо на больших скоростях отрываются конуса» (12623).</w:t>
      </w:r>
    </w:p>
    <w:p w14:paraId="5D73A044" w14:textId="77777777" w:rsidR="0014077F" w:rsidRPr="00A3026E" w:rsidRDefault="0014077F" w:rsidP="00A3026E">
      <w:pPr>
        <w:spacing w:after="0" w:line="240" w:lineRule="auto"/>
        <w:jc w:val="both"/>
        <w:rPr>
          <w:rFonts w:ascii="Times New Roman" w:hAnsi="Times New Roman"/>
          <w:bCs/>
          <w:color w:val="000000" w:themeColor="text1"/>
          <w:sz w:val="16"/>
          <w:szCs w:val="16"/>
        </w:rPr>
      </w:pPr>
    </w:p>
    <w:p w14:paraId="37D82945" w14:textId="77777777" w:rsidR="00DE51FA"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7AB40A5D" w14:textId="77777777" w:rsidR="00DE51FA" w:rsidRPr="00A3026E" w:rsidRDefault="00DE51FA" w:rsidP="00A3026E">
      <w:pPr>
        <w:spacing w:after="0" w:line="240" w:lineRule="auto"/>
        <w:jc w:val="both"/>
        <w:rPr>
          <w:rFonts w:ascii="Times New Roman" w:hAnsi="Times New Roman"/>
          <w:iCs/>
          <w:color w:val="000000" w:themeColor="text1"/>
          <w:sz w:val="16"/>
          <w:szCs w:val="16"/>
        </w:rPr>
      </w:pPr>
    </w:p>
    <w:p w14:paraId="67FE8ADE" w14:textId="77777777" w:rsidR="00DE51FA" w:rsidRPr="00A3026E" w:rsidRDefault="00DE51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22 декабря</w:t>
      </w:r>
      <w:r w:rsidRPr="00A3026E">
        <w:rPr>
          <w:rFonts w:ascii="Times New Roman" w:hAnsi="Times New Roman"/>
          <w:color w:val="000000" w:themeColor="text1"/>
          <w:sz w:val="16"/>
          <w:szCs w:val="16"/>
        </w:rPr>
        <w:t xml:space="preserve"> в 1940 году поднялся в воздух головной серийный самолет «N-3PB» - морской разведчик, легкий бомбардировщик и торпедоносец, созданный американской фирмой «Northrop Aircraft Inc.». «N-3PB» стал первым серийным самолетом разработанным фирмой «Northrop» (14868).</w:t>
      </w:r>
    </w:p>
    <w:p w14:paraId="2B2254DF" w14:textId="77777777" w:rsidR="00DE51FA" w:rsidRPr="00A3026E" w:rsidRDefault="00DE51FA" w:rsidP="00A3026E">
      <w:pPr>
        <w:spacing w:after="0" w:line="240" w:lineRule="auto"/>
        <w:jc w:val="both"/>
        <w:rPr>
          <w:rFonts w:ascii="Times New Roman" w:hAnsi="Times New Roman"/>
          <w:color w:val="000000" w:themeColor="text1"/>
          <w:sz w:val="16"/>
          <w:szCs w:val="16"/>
        </w:rPr>
      </w:pPr>
    </w:p>
    <w:p w14:paraId="5F1EA9E7"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3668FA48"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74565D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г. специалисты НИИ ВВС КА в очередной сводке о ходе ра</w:t>
      </w:r>
      <w:r w:rsidRPr="00A3026E">
        <w:rPr>
          <w:rFonts w:ascii="Times New Roman" w:hAnsi="Times New Roman"/>
          <w:color w:val="000000" w:themeColor="text1"/>
          <w:sz w:val="16"/>
          <w:szCs w:val="16"/>
        </w:rPr>
        <w:softHyphen/>
        <w:t>бот по БШ-2 доложили в Комитет Обо</w:t>
      </w:r>
      <w:r w:rsidRPr="00A3026E">
        <w:rPr>
          <w:rFonts w:ascii="Times New Roman" w:hAnsi="Times New Roman"/>
          <w:color w:val="000000" w:themeColor="text1"/>
          <w:sz w:val="16"/>
          <w:szCs w:val="16"/>
        </w:rPr>
        <w:softHyphen/>
        <w:t>роны, что: "...</w:t>
      </w:r>
      <w:r w:rsidRPr="00A3026E">
        <w:rPr>
          <w:rFonts w:ascii="Times New Roman" w:hAnsi="Times New Roman"/>
          <w:iCs/>
          <w:color w:val="000000" w:themeColor="text1"/>
          <w:sz w:val="16"/>
          <w:szCs w:val="16"/>
        </w:rPr>
        <w:t>ЦКБ-57 АМ-38 (БШ-2 № 1) проходит заводские испытания, после которых будут проведены работы по ус</w:t>
      </w:r>
      <w:r w:rsidRPr="00A3026E">
        <w:rPr>
          <w:rFonts w:ascii="Times New Roman" w:hAnsi="Times New Roman"/>
          <w:iCs/>
          <w:color w:val="000000" w:themeColor="text1"/>
          <w:sz w:val="16"/>
          <w:szCs w:val="16"/>
        </w:rPr>
        <w:softHyphen/>
        <w:t>тановке передвижного стабилизатора и устранены дефекты.... ЦКБ-55п АМ-35А (БШ-2 No 2) готовится в качестве этало</w:t>
      </w:r>
      <w:r w:rsidRPr="00A3026E">
        <w:rPr>
          <w:rFonts w:ascii="Times New Roman" w:hAnsi="Times New Roman"/>
          <w:iCs/>
          <w:color w:val="000000" w:themeColor="text1"/>
          <w:sz w:val="16"/>
          <w:szCs w:val="16"/>
        </w:rPr>
        <w:softHyphen/>
        <w:t>на серийного производства. Начаты ра</w:t>
      </w:r>
      <w:r w:rsidRPr="00A3026E">
        <w:rPr>
          <w:rFonts w:ascii="Times New Roman" w:hAnsi="Times New Roman"/>
          <w:iCs/>
          <w:color w:val="000000" w:themeColor="text1"/>
          <w:sz w:val="16"/>
          <w:szCs w:val="16"/>
        </w:rPr>
        <w:softHyphen/>
        <w:t>боты по установке крыла со стрельча</w:t>
      </w:r>
      <w:r w:rsidRPr="00A3026E">
        <w:rPr>
          <w:rFonts w:ascii="Times New Roman" w:hAnsi="Times New Roman"/>
          <w:iCs/>
          <w:color w:val="000000" w:themeColor="text1"/>
          <w:sz w:val="16"/>
          <w:szCs w:val="16"/>
        </w:rPr>
        <w:softHyphen/>
        <w:t>тым начертанием, по выносу мотора, по установке пушек Таубина, по переделке самолета в одноместный вариант. Ра</w:t>
      </w:r>
      <w:r w:rsidRPr="00A3026E">
        <w:rPr>
          <w:rFonts w:ascii="Times New Roman" w:hAnsi="Times New Roman"/>
          <w:iCs/>
          <w:color w:val="000000" w:themeColor="text1"/>
          <w:sz w:val="16"/>
          <w:szCs w:val="16"/>
        </w:rPr>
        <w:softHyphen/>
        <w:t xml:space="preserve">боты задерживаются из-за отсутствия на заводе № 39 пушек Таубина и мотора АМ-35А с редукцией 0,732...." </w:t>
      </w:r>
      <w:r w:rsidRPr="00A3026E">
        <w:rPr>
          <w:rFonts w:ascii="Times New Roman" w:hAnsi="Times New Roman"/>
          <w:color w:val="000000" w:themeColor="text1"/>
          <w:sz w:val="16"/>
          <w:szCs w:val="16"/>
        </w:rPr>
        <w:t>К этому времени завод № 24 добил</w:t>
      </w:r>
      <w:r w:rsidRPr="00A3026E">
        <w:rPr>
          <w:rFonts w:ascii="Times New Roman" w:hAnsi="Times New Roman"/>
          <w:color w:val="000000" w:themeColor="text1"/>
          <w:sz w:val="16"/>
          <w:szCs w:val="16"/>
        </w:rPr>
        <w:softHyphen/>
        <w:t>ся определенных успехов в доводке мотора АМ-38 и было принято решение об установке его на одноместный БШ-2 № 2 (6467).</w:t>
      </w:r>
    </w:p>
    <w:p w14:paraId="3042141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20A8B5A" w14:textId="77777777" w:rsidR="00761F70" w:rsidRPr="00A3026E" w:rsidRDefault="00761F7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23 декабря 1940, спустя 10 дней после поступления пушки МП-6, С. В. Ильюшин доложил А. И. Шахурину, что непоставка пушек МП-6 «срывает срок выпуска нами самолета Ил-2 на государственные испытания к 10.01.1941 г.».</w:t>
      </w:r>
    </w:p>
    <w:p w14:paraId="1990EE57" w14:textId="77777777" w:rsidR="00761F70" w:rsidRPr="00A3026E" w:rsidRDefault="00761F7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Так получилось, что вечером этого же дня в ОКБ завода № 39 поступила вторая пушка МП-6. Теперь это была опытно-серийная пушка зав. № 3 произ</w:t>
      </w:r>
      <w:r w:rsidRPr="00A3026E">
        <w:rPr>
          <w:color w:val="000000" w:themeColor="text1"/>
          <w:sz w:val="16"/>
          <w:szCs w:val="16"/>
        </w:rPr>
        <w:softHyphen/>
        <w:t>водства завода № 2 НКВ.</w:t>
      </w:r>
    </w:p>
    <w:p w14:paraId="68142FC8" w14:textId="77777777" w:rsidR="00761F70" w:rsidRPr="00A3026E" w:rsidRDefault="00761F7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При осмотре пушки и сравнении ее с опытным экземпляром № 1 и с официальными чертежами ОКБ-16 на пушку МП-6 оказалось, что ковровская пушка «поставлена на завод № 39 некомплектно».</w:t>
      </w:r>
    </w:p>
    <w:p w14:paraId="697A03FD" w14:textId="77777777" w:rsidR="00761F70" w:rsidRPr="00A3026E" w:rsidRDefault="00761F7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частности, отсутствовали пневмоцилиндр по</w:t>
      </w:r>
      <w:r w:rsidRPr="00A3026E">
        <w:rPr>
          <w:color w:val="000000" w:themeColor="text1"/>
          <w:sz w:val="16"/>
          <w:szCs w:val="16"/>
        </w:rPr>
        <w:softHyphen/>
        <w:t>давателя снарядов из магазина в пушку и пневмо- цилиндр перезарядки, а также имели место отсту</w:t>
      </w:r>
      <w:r w:rsidRPr="00A3026E">
        <w:rPr>
          <w:color w:val="000000" w:themeColor="text1"/>
          <w:sz w:val="16"/>
          <w:szCs w:val="16"/>
        </w:rPr>
        <w:softHyphen/>
        <w:t>пления размеров некоторых деталей от размеров по чертежам и размеров пушки № 1.</w:t>
      </w:r>
    </w:p>
    <w:p w14:paraId="08F7F62D" w14:textId="77777777" w:rsidR="00761F70" w:rsidRPr="00A3026E" w:rsidRDefault="00761F7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Но главное, серийная пушка завода № 2 имела магазин от пушки МП-3, приспособленный под патроны без буртика, тогда как пушка МП-6 № 1 была с магазином под патроны с буртиком.</w:t>
      </w:r>
    </w:p>
    <w:p w14:paraId="2BABDA17" w14:textId="77777777" w:rsidR="00761F70" w:rsidRPr="00A3026E" w:rsidRDefault="00761F7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На это был составлен официальный акт от 24 декабря, который подписали заместитель на</w:t>
      </w:r>
      <w:r w:rsidRPr="00A3026E">
        <w:rPr>
          <w:color w:val="000000" w:themeColor="text1"/>
          <w:sz w:val="16"/>
          <w:szCs w:val="16"/>
        </w:rPr>
        <w:softHyphen/>
        <w:t>чальника 7-го ГУ НКАП П. Я. Залесский, заместитель главного конструктора завода № 39 Я. И. Мальцев и руководитель группы вооружения ОКБ завода № 39 К. Н. Бажанов. Представитель ОКБ-16 ведущий конструктор А. Э. Нудельман без объяснения при</w:t>
      </w:r>
      <w:r w:rsidRPr="00A3026E">
        <w:rPr>
          <w:color w:val="000000" w:themeColor="text1"/>
          <w:sz w:val="16"/>
          <w:szCs w:val="16"/>
        </w:rPr>
        <w:softHyphen/>
        <w:t>чин отказался подписать акт.</w:t>
      </w:r>
    </w:p>
    <w:p w14:paraId="7ADA719A" w14:textId="77777777" w:rsidR="00761F70" w:rsidRPr="00A3026E" w:rsidRDefault="00761F7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Из акта следует, что ОКБ-16 обязывалось не позже 26 декабря установить на пушку пневмоци- линдры, а ОКБ завода № 39 — переделать изготов</w:t>
      </w:r>
      <w:r w:rsidRPr="00A3026E">
        <w:rPr>
          <w:color w:val="000000" w:themeColor="text1"/>
          <w:sz w:val="16"/>
          <w:szCs w:val="16"/>
        </w:rPr>
        <w:softHyphen/>
        <w:t>ленные для пушки узлы, руководствуясь размерами пушки МП-6 зав. № 3. При этом начало заводских летных испытаний пушечных установок привязыва</w:t>
      </w:r>
      <w:r w:rsidRPr="00A3026E">
        <w:rPr>
          <w:color w:val="000000" w:themeColor="text1"/>
          <w:sz w:val="16"/>
          <w:szCs w:val="16"/>
        </w:rPr>
        <w:softHyphen/>
        <w:t>лось к дате - получения заводом 150—200 запасных реек, поскольку они при стрельбе в полете не со</w:t>
      </w:r>
      <w:r w:rsidRPr="00A3026E">
        <w:rPr>
          <w:color w:val="000000" w:themeColor="text1"/>
          <w:sz w:val="16"/>
          <w:szCs w:val="16"/>
        </w:rPr>
        <w:softHyphen/>
        <w:t>бираются.</w:t>
      </w:r>
    </w:p>
    <w:p w14:paraId="29452B90" w14:textId="77777777" w:rsidR="00761F70" w:rsidRPr="00A3026E" w:rsidRDefault="00761F70"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Здесь следует сделать некоторые пояснения. Выше упоминалось, что для достижения темпа стрельбы не менее 600 выстр./мин в ОКБ-16 со</w:t>
      </w:r>
      <w:r w:rsidRPr="00A3026E">
        <w:rPr>
          <w:color w:val="000000" w:themeColor="text1"/>
          <w:sz w:val="16"/>
          <w:szCs w:val="16"/>
        </w:rPr>
        <w:softHyphen/>
        <w:t>кратили длину отката ствола пушки и ввели в кон</w:t>
      </w:r>
      <w:r w:rsidRPr="00A3026E">
        <w:rPr>
          <w:color w:val="000000" w:themeColor="text1"/>
          <w:sz w:val="16"/>
          <w:szCs w:val="16"/>
        </w:rPr>
        <w:softHyphen/>
        <w:t>струкцию рычажный ускоритель отката затворного узла. Это привело к значительному росту скоро</w:t>
      </w:r>
      <w:r w:rsidRPr="00A3026E">
        <w:rPr>
          <w:color w:val="000000" w:themeColor="text1"/>
          <w:sz w:val="16"/>
          <w:szCs w:val="16"/>
        </w:rPr>
        <w:softHyphen/>
        <w:t>стей элементов автоматики пушки, соответственно, и скорости соударения деталей. Как следствие, уча</w:t>
      </w:r>
      <w:r w:rsidRPr="00A3026E">
        <w:rPr>
          <w:color w:val="000000" w:themeColor="text1"/>
          <w:sz w:val="16"/>
          <w:szCs w:val="16"/>
        </w:rPr>
        <w:softHyphen/>
        <w:t>стились случаи поломки отдельных деталей и отка</w:t>
      </w:r>
      <w:r w:rsidRPr="00A3026E">
        <w:rPr>
          <w:color w:val="000000" w:themeColor="text1"/>
          <w:sz w:val="16"/>
          <w:szCs w:val="16"/>
        </w:rPr>
        <w:softHyphen/>
        <w:t>зов в работе автоматики пушки. Так, увеличенные скорости прихода затвора с патроном вперед из-за плохого гашения скоростей соударения затвора и казенного среза ствола были иногда причиной отскока затворного узла, что потребовало обеспе</w:t>
      </w:r>
      <w:r w:rsidRPr="00A3026E">
        <w:rPr>
          <w:color w:val="000000" w:themeColor="text1"/>
          <w:sz w:val="16"/>
          <w:szCs w:val="16"/>
        </w:rPr>
        <w:softHyphen/>
        <w:t>чить повышенную надежность в работе противоот- скочного механизма. Поэтому у канавки закраины гильзы патронов ввели бурт, который при ударе затвора с патроном о казенный срез ствола при досылании частично гасил энергию удара, что ис</w:t>
      </w:r>
      <w:r w:rsidRPr="00A3026E">
        <w:rPr>
          <w:color w:val="000000" w:themeColor="text1"/>
          <w:sz w:val="16"/>
          <w:szCs w:val="16"/>
        </w:rPr>
        <w:softHyphen/>
        <w:t>ключало отскок затворного узла в переднем поло</w:t>
      </w:r>
      <w:r w:rsidRPr="00A3026E">
        <w:rPr>
          <w:color w:val="000000" w:themeColor="text1"/>
          <w:sz w:val="16"/>
          <w:szCs w:val="16"/>
        </w:rPr>
        <w:softHyphen/>
        <w:t>жении запирания (17500).</w:t>
      </w:r>
    </w:p>
    <w:p w14:paraId="5DA50EA6" w14:textId="77777777" w:rsidR="00761F70" w:rsidRPr="00A3026E" w:rsidRDefault="00761F70" w:rsidP="00A3026E">
      <w:pPr>
        <w:spacing w:after="0" w:line="240" w:lineRule="auto"/>
        <w:jc w:val="both"/>
        <w:rPr>
          <w:rFonts w:ascii="Times New Roman" w:eastAsia="Times New Roman" w:hAnsi="Times New Roman"/>
          <w:color w:val="000000" w:themeColor="text1"/>
          <w:sz w:val="16"/>
          <w:szCs w:val="16"/>
          <w:lang w:eastAsia="ru-RU"/>
        </w:rPr>
      </w:pPr>
    </w:p>
    <w:p w14:paraId="202FE041" w14:textId="77777777" w:rsidR="00DE51FA" w:rsidRPr="00A3026E" w:rsidRDefault="00DE51FA" w:rsidP="00A3026E">
      <w:pPr>
        <w:pStyle w:val="a3"/>
        <w:rPr>
          <w:color w:val="000000" w:themeColor="text1"/>
          <w:lang w:val="ru-RU"/>
        </w:rPr>
      </w:pPr>
      <w:r w:rsidRPr="00A3026E">
        <w:rPr>
          <w:color w:val="000000" w:themeColor="text1"/>
          <w:lang w:val="ru-RU"/>
        </w:rPr>
        <w:t>23 декабря 1940 г. специалисты НИИ ВВС КА отметили в очередной сводке о ходе работ по штурмовику: «Начаты работы по установке пушек Таубина...» События разворачивались быстро, как снежный ком скатывается с горы. В ян</w:t>
      </w:r>
      <w:r w:rsidRPr="00A3026E">
        <w:rPr>
          <w:color w:val="000000" w:themeColor="text1"/>
          <w:lang w:val="ru-RU"/>
        </w:rPr>
        <w:softHyphen/>
        <w:t>варе и феврале 1941 г. число заводов, осваивающих производство Ил-2, выросло до че</w:t>
      </w:r>
      <w:r w:rsidRPr="00A3026E">
        <w:rPr>
          <w:color w:val="000000" w:themeColor="text1"/>
          <w:lang w:val="ru-RU"/>
        </w:rPr>
        <w:softHyphen/>
        <w:t>тырех, причем все они должны были строить штурмовик по единым чертежам, а любые изменения в конструкцию машины и технологию изготовления разрешалось производить только с разрешения наркома авиапромышленности. Невыполнение этого требования расценивалось как «преступление, которое наносит вред государству и подрывает инте</w:t>
      </w:r>
      <w:r w:rsidRPr="00A3026E">
        <w:rPr>
          <w:color w:val="000000" w:themeColor="text1"/>
          <w:lang w:val="ru-RU"/>
        </w:rPr>
        <w:softHyphen/>
        <w:t>ресы страны...» Но ведь пушечной установки с МП-6 для Ил-2 ещё фактически не было! Впрочем, справедливости ради надо указать, что и для пушек ШВАК нужно было ещё найти место в крыле штурмовика (15787).</w:t>
      </w:r>
    </w:p>
    <w:p w14:paraId="67BAF14E" w14:textId="77777777" w:rsidR="00DE51FA" w:rsidRPr="00A3026E" w:rsidRDefault="00DE51FA" w:rsidP="00A3026E">
      <w:pPr>
        <w:spacing w:after="0" w:line="240" w:lineRule="auto"/>
        <w:jc w:val="both"/>
        <w:rPr>
          <w:rFonts w:ascii="Times New Roman" w:hAnsi="Times New Roman"/>
          <w:color w:val="000000" w:themeColor="text1"/>
          <w:sz w:val="16"/>
          <w:szCs w:val="16"/>
        </w:rPr>
      </w:pPr>
    </w:p>
    <w:p w14:paraId="09C839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специалисты НИИ ВВС в очередной сводке о ходе работ по БШ-2 доложили, что: "...ЦКБ-57 АМ-38 (БШ-2 №1) проходит заводские испытания, после которых будут проведены работы по установке передвижного стабилизатора и устранены дефекты. ...ЦКБ-55п АМ-35А (БШ-2 №2) готовится в качестве эталона серийного производства. Начаты работы по установке крыла со стрельчатым начертанием, по выносу мотора, по установке пушек Таубина, по переделке самолета в одноместный вариант. Работы задерживаются из-за отсутствия на заводе №39 пушек Таубина и мотора АМ-35А с редукцией 0,732..." (12020).</w:t>
      </w:r>
    </w:p>
    <w:p w14:paraId="614F8FE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45100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ГК завода 39 (?) С.В.И. писал Наркому вооружений Б.Л.Ванникову и А.И.Ш. письмо N 1209с:</w:t>
      </w:r>
    </w:p>
    <w:p w14:paraId="728304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N 739сс от 14 декабря 1940 Вы обязали нас установить на самолете БШ-2 (?) две 23 мм пушки системы Я.Г.Таубина со 150 снарядами на каждую пушку.</w:t>
      </w:r>
    </w:p>
    <w:p w14:paraId="2742CD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спроектировать установку с указанным количеством патронов невозможно за отсутствием у Таубина не только готового магазина, но и чертежей его...</w:t>
      </w:r>
    </w:p>
    <w:p w14:paraId="48C1E5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Поскольку в Вашем приказе от 14 декабря в пар. 5 указано о передаче чертежей заводу 18 не позднее 20 декабря 1940 мною принято решение сдавать чертежи в указанные сроки, но с существующими для пушки Я.Г.Таубина магазинов на 81 снаряд на пушку (1203).</w:t>
      </w:r>
    </w:p>
    <w:p w14:paraId="519DE23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0FCA8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С.В.И. писал Б.Л.Ванникову и А.И.Ш. письмо N 1563 "Согласно постановлению Правительства от 14.12.1940 нам должны были дать 2 пушки МП-6 Таубина серийного производства для установки их на самолет Ил-2 к 20 декабря 1940.</w:t>
      </w:r>
    </w:p>
    <w:p w14:paraId="67EA89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Доношу, что сегодня 23 декабря 1940 пушки еще не поданы, что срывает срок выпуска самолета Ил-2 на гос. испытания к 10 января 1941 (1316,282).</w:t>
      </w:r>
    </w:p>
    <w:p w14:paraId="2BA362E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61667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23/24 декабря 1940 и 1 отдела 6 У ГУ ВВС ви1р Москалев писал письмо N 509168с ст. военпреду завода 39 Савкину, ст. военпреду на заводе 18 Кувенаеву, ст. военпреду на заводе 126 Рязанцеву:</w:t>
      </w:r>
    </w:p>
    <w:p w14:paraId="147E1D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НИИ ВВС на ДБ-3Ф завода 39 проводились испытания обтекателя на МВ-3 и убирающегося костыля.</w:t>
      </w:r>
    </w:p>
    <w:p w14:paraId="454BD9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того, что установка обтекателя практически увеличения скорости не дала, а наоборот уменьшила углы обстрела, указанный обтекатель на ДБ-3Ф не ставить.</w:t>
      </w:r>
    </w:p>
    <w:p w14:paraId="09E9FB5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Уборка костыля увеличивает углы обстрела из МВ-2 по оси самолета, поэтому установка убирающегося костыля рекомендована в серию с обязательной установкой сигнализации положения костыля.</w:t>
      </w:r>
    </w:p>
    <w:p w14:paraId="705C15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заключении договора указанную обстановку необходимо учесть." (2700,267).</w:t>
      </w:r>
    </w:p>
    <w:p w14:paraId="17AC8C0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18554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г. Начальник НИП АВ ВВС полковник Шевченко утвердил Отчет по контрольным испытаниям турели МВ-3 з-да N 32 с новой конструкцией запирания откидной части экрана, которые производились 13 декабря 1940 года (2970).</w:t>
      </w:r>
    </w:p>
    <w:p w14:paraId="02FBBF9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EF275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в Контрольном листе учета выполнения постановления КО СНК СССР № 239сс от 1 июня 1940 г. представителем КО СНК СССР - контролером Вахрушевым была сделана запись:</w:t>
      </w:r>
    </w:p>
    <w:p w14:paraId="068142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СБ-РК</w:t>
      </w:r>
    </w:p>
    <w:p w14:paraId="27D1A9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месяце будут изготовлены 86 самолетов из всего количества 360 ед. Заделанных на 5 месяцев. Завод переходит на выпуск 4-х самолетов в день. На 23 декабря на аэродром выпущено 48-50 самолетов. Работы по изготовлению СБ-РК - развернуты (10395).</w:t>
      </w:r>
    </w:p>
    <w:p w14:paraId="316AF1F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ED14C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в Контрольном листе учета выполнения постановления КО СНК СССР № 239сс от 1 июня 1940 г. представителем КО СНК СССР - контролером Вахрушевым была сделана запись:</w:t>
      </w:r>
    </w:p>
    <w:p w14:paraId="6E7D08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100 в варианте ПБ</w:t>
      </w:r>
    </w:p>
    <w:p w14:paraId="4DAACC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39</w:t>
      </w:r>
    </w:p>
    <w:p w14:paraId="2C86DF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22 декабря 1-й серийный экз. ПБ-100 передан в НИИ ВВС. Заводские испытания показали скорость 534 км/час. Газ полностью не давался из-за недостаточной прочности фюзеляжа. Сейчас фюзеляж подкреплен. К 1 января 1941 начечено выпустить на аэродром всю серию.</w:t>
      </w:r>
    </w:p>
    <w:p w14:paraId="4D485A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22</w:t>
      </w:r>
    </w:p>
    <w:p w14:paraId="6BB7CE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 ПБ-100 в сборке. Второй экз. Еще в стапелях. Постановление КО о выпуске заводом № 22 50 самолетов в 1940 выполнено не будет. Работы не развернуты, не хватает квалифицированных рабочих, станков и другого оборудования. Цех № 93 на заводе № 22 ликвидирован и отдельные производства подчинены другим цехам (10395).</w:t>
      </w:r>
    </w:p>
    <w:p w14:paraId="05763AC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3B8E9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23 декабря 1940 контролером Вахрушевым - представителем КО СНК СССР - в журнале Учета выполнения постановлени правительства в отношении постановления КО N 275сс 1940 “О внедрении в серийное производство самолетов “100” в варианте ПБ” отмечено:</w:t>
      </w:r>
    </w:p>
    <w:p w14:paraId="07DC5F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заводу № 22</w:t>
      </w:r>
    </w:p>
    <w:p w14:paraId="2C4136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с-та ПБ-100 в сборке.</w:t>
      </w:r>
    </w:p>
    <w:p w14:paraId="5CC4C2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экз. Еще в стапелях.</w:t>
      </w:r>
    </w:p>
    <w:p w14:paraId="0362F6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КО о выпуске заводом № 22 50 с-тов ПБ-100 в 1940 выполнено не будет.</w:t>
      </w:r>
    </w:p>
    <w:p w14:paraId="0697B4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не развернуты, не хватает квалифицированных рабочих, станков и другого оборудования. Цех № 93 на заводе ликвидирован и отдельные производства подчинены основным цехам.</w:t>
      </w:r>
    </w:p>
    <w:p w14:paraId="04E882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заводу № 39</w:t>
      </w:r>
    </w:p>
    <w:p w14:paraId="66F2E6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ПБ-100 первый экз. Серийный передан 22 декабря в НИИ ВВС. Заводские испытания показали скорость 534 км/час. Газ полностью не давался из-за недостаточной прочности фюзеляжа. Сейчас фюзеляж подкрепляется.</w:t>
      </w:r>
    </w:p>
    <w:p w14:paraId="0F84B5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 января 1941 намечен выпуск на аэродром 4 единиц (10395).</w:t>
      </w:r>
    </w:p>
    <w:p w14:paraId="7145F51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3D9235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года вышел приказ НИИ ВВС № 0285</w:t>
      </w:r>
    </w:p>
    <w:p w14:paraId="5C2D974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принятии на гос. испытания опытного самолета пикирующего бомбардировщика ПЕ-2 2М-105 № 390101 производства завода № 39 (6890, 209).</w:t>
      </w:r>
    </w:p>
    <w:p w14:paraId="5C121E8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3E299A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вышел приказ НКАП N 767сс в исполнение постановления Правительства от 20 декабря 1940 о программе завода 292. Директору завода 292 Левину поручили выпуск Як-1 по одному до 31.12, по 2 с 2 по 15 января, по 3 с 16 по 31 января 1941 (1314,53).</w:t>
      </w:r>
    </w:p>
    <w:p w14:paraId="5D2B274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B8FEE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23 декабря 1940 на ОКО-6бис были проведены дополни</w:t>
      </w:r>
      <w:r w:rsidRPr="00A3026E">
        <w:rPr>
          <w:rFonts w:ascii="Times New Roman" w:hAnsi="Times New Roman"/>
          <w:color w:val="000000" w:themeColor="text1"/>
          <w:sz w:val="16"/>
          <w:szCs w:val="16"/>
        </w:rPr>
        <w:softHyphen/>
        <w:t>тельные полеты на определение скорости по высотам, взлетно-посадочных свойств и повторно снята балансировочная кривая. Удалось установить, что причиной раз</w:t>
      </w:r>
      <w:r w:rsidRPr="00A3026E">
        <w:rPr>
          <w:rFonts w:ascii="Times New Roman" w:hAnsi="Times New Roman"/>
          <w:color w:val="000000" w:themeColor="text1"/>
          <w:sz w:val="16"/>
          <w:szCs w:val="16"/>
        </w:rPr>
        <w:softHyphen/>
        <w:t>броса точек максимальной скорости по высотам являлось различное положение юбок моторных капотов, которые само</w:t>
      </w:r>
      <w:r w:rsidRPr="00A3026E">
        <w:rPr>
          <w:rFonts w:ascii="Times New Roman" w:hAnsi="Times New Roman"/>
          <w:color w:val="000000" w:themeColor="text1"/>
          <w:sz w:val="16"/>
          <w:szCs w:val="16"/>
        </w:rPr>
        <w:softHyphen/>
        <w:t>произвольно смещались в полете при определении скоростей, а вовсе не неис</w:t>
      </w:r>
      <w:r w:rsidRPr="00A3026E">
        <w:rPr>
          <w:rFonts w:ascii="Times New Roman" w:hAnsi="Times New Roman"/>
          <w:color w:val="000000" w:themeColor="text1"/>
          <w:sz w:val="16"/>
          <w:szCs w:val="16"/>
        </w:rPr>
        <w:softHyphen/>
        <w:t>правность испытательной аппаратуры, как считалось ранее. Замеренные после устранения дефекта скорости полета и скороподъемности почти совпали с расчет</w:t>
      </w:r>
      <w:r w:rsidRPr="00A3026E">
        <w:rPr>
          <w:rFonts w:ascii="Times New Roman" w:hAnsi="Times New Roman"/>
          <w:color w:val="000000" w:themeColor="text1"/>
          <w:sz w:val="16"/>
          <w:szCs w:val="16"/>
        </w:rPr>
        <w:softHyphen/>
        <w:t>ными значениями.Балансировочная кривая имела такой же вид, что и полученная до этого. Посадочная скорость получилась равной 135 км/ч.</w:t>
      </w:r>
    </w:p>
    <w:p w14:paraId="3BB4AE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 был установлен дополни</w:t>
      </w:r>
      <w:r w:rsidRPr="00A3026E">
        <w:rPr>
          <w:rFonts w:ascii="Times New Roman" w:hAnsi="Times New Roman"/>
          <w:color w:val="000000" w:themeColor="text1"/>
          <w:sz w:val="16"/>
          <w:szCs w:val="16"/>
        </w:rPr>
        <w:softHyphen/>
        <w:t>тельный фюзеляжный бензобак емкостью 467 л, но в воздухе его так и не опробовали. Изменили схему управления пушечным огнем, после чего испытали (в третий раз) все вооружение стрельбой в тире и затем в воздухе. Стреляли по щитам на НИП АВ ВВС. Задержек и отказов не было.</w:t>
      </w:r>
    </w:p>
    <w:p w14:paraId="1D9636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ОКО-ббис к этому времени было выполнено 28 полетов с суммарным нале</w:t>
      </w:r>
      <w:r w:rsidRPr="00A3026E">
        <w:rPr>
          <w:rFonts w:ascii="Times New Roman" w:hAnsi="Times New Roman"/>
          <w:color w:val="000000" w:themeColor="text1"/>
          <w:sz w:val="16"/>
          <w:szCs w:val="16"/>
        </w:rPr>
        <w:softHyphen/>
        <w:t>том 16 ч, из них 11 полетов на определение взлетно-посадочных свойств самолета. За время полетов никаких крупных дефектов не наблюдалось. По программе испытаний оставались полеты: на маневренность, устойчивость с предельно задней цен</w:t>
      </w:r>
      <w:r w:rsidRPr="00A3026E">
        <w:rPr>
          <w:rFonts w:ascii="Times New Roman" w:hAnsi="Times New Roman"/>
          <w:color w:val="000000" w:themeColor="text1"/>
          <w:sz w:val="16"/>
          <w:szCs w:val="16"/>
        </w:rPr>
        <w:softHyphen/>
        <w:t>тровкой, на пикирование и на определение скоростей и скороподъемности до 9000 м. Всего требовалось выполнить 6-7 полетов. Как докладывал помощник ведущего инже</w:t>
      </w:r>
      <w:r w:rsidRPr="00A3026E">
        <w:rPr>
          <w:rFonts w:ascii="Times New Roman" w:hAnsi="Times New Roman"/>
          <w:color w:val="000000" w:themeColor="text1"/>
          <w:sz w:val="16"/>
          <w:szCs w:val="16"/>
        </w:rPr>
        <w:softHyphen/>
        <w:t>нера по самолету от НИИ ВВС военинженер 3-го ранга Николаев, «срок окончания заводских испытаний может быть обе</w:t>
      </w:r>
      <w:r w:rsidRPr="00A3026E">
        <w:rPr>
          <w:rFonts w:ascii="Times New Roman" w:hAnsi="Times New Roman"/>
          <w:color w:val="000000" w:themeColor="text1"/>
          <w:sz w:val="16"/>
          <w:szCs w:val="16"/>
        </w:rPr>
        <w:softHyphen/>
        <w:t>спечен при наличии летной погоды».</w:t>
      </w:r>
    </w:p>
    <w:p w14:paraId="26C4A7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следующей недели удалось выполнить шесть полетов. Определили скорости горизонтального полета и скороподъемность до высоты 9000 м. Сняли балансировочные кривые при предельно задней центровке самолета. Исследовали «бис» на штопор и виражи с открытым фонарем (для этого сняли колпак фонаря). Выполнили полет с подвесными бензобаками.</w:t>
      </w:r>
    </w:p>
    <w:p w14:paraId="616D62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полетах выяснилось, что самолет в штопор входит неохотно и выходит из него без задержки. Ввод в штоп'ор выполнялся на высоте 5000 м на скорости 170-180 км/ч. На виражах, «очевидно из-за отсутствия фонаря летчика, имелись потряхивания». Нагрузки на руль высоты по-прежнему были значительными. Полученные данные по расходам горючего позволяли сделать вывод, что дальность полета в 1200 км для самолета вполне реальная.</w:t>
      </w:r>
    </w:p>
    <w:p w14:paraId="3C6CE2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при выполнении полета на фигуры пилотажа - виражи, боевые развороты, перевороты, бочки и т.д., установили, что при виражах на малой ско</w:t>
      </w:r>
      <w:r w:rsidRPr="00A3026E">
        <w:rPr>
          <w:rFonts w:ascii="Times New Roman" w:hAnsi="Times New Roman"/>
          <w:color w:val="000000" w:themeColor="text1"/>
          <w:sz w:val="16"/>
          <w:szCs w:val="16"/>
        </w:rPr>
        <w:softHyphen/>
        <w:t>рости наблюдаются значительные нагрузки на элероны. В конце полета на фигуры обрезало мотор. Летчик благополучно произвел вынужденную посадку на аэро</w:t>
      </w:r>
      <w:r w:rsidRPr="00A3026E">
        <w:rPr>
          <w:rFonts w:ascii="Times New Roman" w:hAnsi="Times New Roman"/>
          <w:color w:val="000000" w:themeColor="text1"/>
          <w:sz w:val="16"/>
          <w:szCs w:val="16"/>
        </w:rPr>
        <w:softHyphen/>
        <w:t>дром Быково. Как оказалось, Емельянов забыл переключиться на фюзеляжный бензобак. В результате бензин перестал поступать в карбюратор. Перелететь на аэродром Раменское удалось только 6 января следующего года. До завершения программы оставалось выполнить еще только два полета - на пикирование и отстрел вооружения.</w:t>
      </w:r>
    </w:p>
    <w:p w14:paraId="38353F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января 1941 г. программа полетов была полностью выполнена и заводские испытания официально завершили. К этому времени самолет налетал около 30 ч (всего 38 полетов). Помимо А.И. Емельянова и Ю.К. Станкевича, самолет облетали А.Б. Юмашев и Н.В. Гаврилов.</w:t>
      </w:r>
    </w:p>
    <w:p w14:paraId="6DCBA4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полета соста</w:t>
      </w:r>
      <w:r w:rsidRPr="00A3026E">
        <w:rPr>
          <w:rFonts w:ascii="Times New Roman" w:hAnsi="Times New Roman"/>
          <w:color w:val="000000" w:themeColor="text1"/>
          <w:sz w:val="16"/>
          <w:szCs w:val="16"/>
        </w:rPr>
        <w:softHyphen/>
        <w:t>вила 595 км/ч - на 2-й границе высотности 7200 м, 575 км/ч - на 1 -й границе высотно</w:t>
      </w:r>
      <w:r w:rsidRPr="00A3026E">
        <w:rPr>
          <w:rFonts w:ascii="Times New Roman" w:hAnsi="Times New Roman"/>
          <w:color w:val="000000" w:themeColor="text1"/>
          <w:sz w:val="16"/>
          <w:szCs w:val="16"/>
        </w:rPr>
        <w:softHyphen/>
        <w:t>сти 5000 м, и 470 км/ч - у земли. Посадочная скорость - 144 км/ч. Время подъема на высоту 5000 м - 6,3 мин. Практический потолок - 10000 м. Дальность на высоте 1000 м на скорости 0,9 максимальной скорости - 1200 км. Разбег с бетона с выпущенными на 23° щитками - 324 м. Про</w:t>
      </w:r>
      <w:r w:rsidRPr="00A3026E">
        <w:rPr>
          <w:rFonts w:ascii="Times New Roman" w:hAnsi="Times New Roman"/>
          <w:color w:val="000000" w:themeColor="text1"/>
          <w:sz w:val="16"/>
          <w:szCs w:val="16"/>
        </w:rPr>
        <w:softHyphen/>
        <w:t>бег по бетону с использованием тормозов и с отклоненными на 45° щитками - 406 м.</w:t>
      </w:r>
    </w:p>
    <w:p w14:paraId="3872AF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самолета составлял около 5 т.</w:t>
      </w:r>
    </w:p>
    <w:p w14:paraId="22CA25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качестве основных недостатков самолета отмечались следующие. Большие нагрузки на рули высоты и элероны. Тугое управление триммерами рулей высоты и направления, а также юбками капота мотора на высоте 8000-9000 м. Отсасывание в полете щитков. Самопро</w:t>
      </w:r>
      <w:r w:rsidRPr="00A3026E">
        <w:rPr>
          <w:rFonts w:ascii="Times New Roman" w:hAnsi="Times New Roman"/>
          <w:color w:val="000000" w:themeColor="text1"/>
          <w:sz w:val="16"/>
          <w:szCs w:val="16"/>
        </w:rPr>
        <w:softHyphen/>
        <w:t>извольное перемещение в полете секторов газа, высотного корректора и управления винтами, которые плохо фиксировались. Неудовлетворительная работа автоматов высотных корректоров. При стрельбе из пушек и пулеметов пороховые газы проникали в кабину летчика. Кроме того, отстрелянные гильзы пулеметов попадали по винтам. К концу испытаний в выхлоп</w:t>
      </w:r>
      <w:r w:rsidRPr="00A3026E">
        <w:rPr>
          <w:rFonts w:ascii="Times New Roman" w:hAnsi="Times New Roman"/>
          <w:color w:val="000000" w:themeColor="text1"/>
          <w:sz w:val="16"/>
          <w:szCs w:val="16"/>
        </w:rPr>
        <w:softHyphen/>
        <w:t>ных коллекторах моторов образовались трещины (12614).</w:t>
      </w:r>
    </w:p>
    <w:p w14:paraId="40201FD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B727F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А.И.Ш. писал И.В.С. письмо:</w:t>
      </w:r>
    </w:p>
    <w:p w14:paraId="629250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"Направляю Вам протокол с заключением совещания экспертной комиссии НКАП под председательством проф. Б.Н.Ю. по эскизному проекту самолета и т.т. Арцис, Гриневецкого и Корис." Скоростной одноместный самолет с МВ-12 и механической передачей в крыле на 6 толкающих винтов. Отказали (1448,164).</w:t>
      </w:r>
    </w:p>
    <w:p w14:paraId="2218DAC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AA8A0FE"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23 декабря 1940 – протокол Политбюро </w:t>
      </w:r>
    </w:p>
    <w:p w14:paraId="5234F0B6"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23.XII.40 г.</w:t>
      </w:r>
    </w:p>
    <w:p w14:paraId="5403580C"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136. Об изготовлении гидравлических прессов для дельта-древесины (постановление СНК СССР и ЦК ВКП(б)) (20469).</w:t>
      </w:r>
    </w:p>
    <w:p w14:paraId="1F55ADB6" w14:textId="77777777" w:rsidR="00EF7897" w:rsidRPr="00A3026E" w:rsidRDefault="00EF7897" w:rsidP="00A3026E">
      <w:pPr>
        <w:spacing w:after="0" w:line="240" w:lineRule="auto"/>
        <w:jc w:val="both"/>
        <w:rPr>
          <w:rFonts w:ascii="Times New Roman" w:hAnsi="Times New Roman"/>
          <w:color w:val="0070C0"/>
          <w:sz w:val="16"/>
          <w:szCs w:val="16"/>
        </w:rPr>
      </w:pPr>
    </w:p>
    <w:p w14:paraId="2E8DE7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года за № 53322 в СОП из ЦК ВКП(б) для исполнения поступила Записка Данилина о разрешении вопроса выпуска всех видов боевого вооружения и специального оборудования самолетов (7479, 117-120).</w:t>
      </w:r>
    </w:p>
    <w:p w14:paraId="14F6DFD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DF6C3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года 8-й инструментальный завод согласно приказа НКАП за № 402 перешел в систему треста Оргавиапром НКАП по состоянию на 1 января 1941 года. До этого времени завод входил в систему областной местной промышленности и именовался «Станкостроительный завод-школа». С 1 января 1941 года школа была ликвидирована и значительное количество учеников было переведено в категорию рабочих (9376).</w:t>
      </w:r>
    </w:p>
    <w:p w14:paraId="5EC64B9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84F7F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года новым решением Политбюро ЦК ВКП(б) № П 24 / 137 – ОП «О передаче в 1941 году в мобзапас 105 тысяч тонн авиабензина» (во изменение Постановления СНК СССР и ЦК ВКП (б) «О мероприятиях по обеспечению программы Наркомавиапрома на 1941 год», утвержденного решением Политбюро ЦК ВКП(б) № П 23 / 139 – ОП от 7 декабря 1940 года), которое поручило наркому нефтяной промышленности И.К. Седину предоставить для нужд НКАП 166 тысяч тонн авиабензина (РГАСПИ. Ф. 17. Оп. 162. Д. 30 Л. 87.), предписывалось в связи с изменением режима испытаний авиамоторов на заводах сократить поставку авиабензина НКАП со 166 до 61 тысяч тонн, а 105 тысяч тонн направить в мобзапас (РГАСПИ. Ф. 17. Оп. 162. Д. 30 Л. 26.) (11672).</w:t>
      </w:r>
    </w:p>
    <w:p w14:paraId="1CDE3DC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7F087DA" w14:textId="7501340C" w:rsidR="00EF7897" w:rsidRPr="00A3026E" w:rsidRDefault="00EF7897"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073ADA3" w14:textId="77777777" w:rsidR="00EF7897" w:rsidRPr="00A3026E" w:rsidRDefault="00EF7897" w:rsidP="00A3026E">
      <w:pPr>
        <w:spacing w:after="0" w:line="240" w:lineRule="auto"/>
        <w:jc w:val="both"/>
        <w:rPr>
          <w:rFonts w:ascii="Times New Roman" w:hAnsi="Times New Roman"/>
          <w:i/>
          <w:iCs/>
          <w:color w:val="000000" w:themeColor="text1"/>
          <w:sz w:val="16"/>
          <w:szCs w:val="16"/>
        </w:rPr>
      </w:pPr>
    </w:p>
    <w:p w14:paraId="4A36B415"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23 декабря 1940 г. из </w:t>
      </w:r>
      <w:hyperlink r:id="rId170" w:tgtFrame="_blank" w:history="1">
        <w:r w:rsidRPr="00A3026E">
          <w:rPr>
            <w:rStyle w:val="a5"/>
            <w:rFonts w:ascii="Times New Roman" w:hAnsi="Times New Roman"/>
            <w:color w:val="0070C0"/>
            <w:sz w:val="16"/>
            <w:szCs w:val="16"/>
            <w:u w:val="none"/>
          </w:rPr>
          <w:t>письма № 18169с</w:t>
        </w:r>
      </w:hyperlink>
      <w:r w:rsidRPr="00A3026E">
        <w:rPr>
          <w:rFonts w:ascii="Times New Roman" w:hAnsi="Times New Roman"/>
          <w:color w:val="0070C0"/>
          <w:sz w:val="16"/>
          <w:szCs w:val="16"/>
        </w:rPr>
        <w:t> Г.И. Кулика К.Е. Ворошилову:</w:t>
      </w:r>
    </w:p>
    <w:p w14:paraId="2FA7700F"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протяжении ряда лет автобронетанковые войска не могут получить от промышленности законченную конструкцию планетарной трансмиссии.</w:t>
      </w:r>
    </w:p>
    <w:p w14:paraId="4582AE8A"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По заданию ГАБТУ КА Военная Академия Механизации Моторизации КА им. тов. СТАЛИНА представила разработанный проект планетарной трансмиссии для танка Т-34. Представленный проект планетарной трансмиссии должен повысить боевые качества танка, а именно:</w:t>
      </w:r>
    </w:p>
    <w:p w14:paraId="416EBBB9"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Повышается средняя скорость движения танка (6 скоростей вперед и 3 назад).</w:t>
      </w:r>
    </w:p>
    <w:p w14:paraId="50248F02"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Увеличивается преодолеваемость подъема (максимальный угол до 45°).</w:t>
      </w:r>
    </w:p>
    <w:p w14:paraId="258F21A9"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Исключена возможность остановки танка при переключении скоростей, что уменьшит поражаемость танка.</w:t>
      </w:r>
    </w:p>
    <w:p w14:paraId="7F0B1360"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Увеличивается поворотливость танка на мягких грунтах и в узких местах, так как танк может повернуться вокруг своей оси (движение гусениц в различных направлениях).</w:t>
      </w:r>
    </w:p>
    <w:p w14:paraId="66F358E9"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Облегчает управление танком благодаря простоте управления и малых прилагаемых усилий на бортовых рычагах и на педали сцепления (усилия на борт рычагах 5 – 7 кг, на педали сцепления 18 кг).</w:t>
      </w:r>
    </w:p>
    <w:p w14:paraId="20A6D968"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Автоматическая регулировка тормозов и фрикциона по мере износа даст возможность избежать ненужных остановок и упростить уход за танком.</w:t>
      </w:r>
    </w:p>
    <w:p w14:paraId="3BEF40CD"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Считаю необходимым обязать завод № 183 НКСМ разработать к 1.4.41 г. под руководством военинженера 2 ранга тов. БЛАГОНРАВОВА рабочие чертежи.</w:t>
      </w:r>
    </w:p>
    <w:p w14:paraId="6495C007"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15.5.41 г. на том же заводе № 183 (НКСМ) изготовить два опытных образца планетарной трансмиссии, которые и установить на танки Т-34. Заводские и полигонные испытания закончить к 1.8.41 г.».</w:t>
      </w:r>
    </w:p>
    <w:p w14:paraId="5FF4B84A"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[ГАРФ. Ф. Р8418. Оп. 25. Д. 338. Л. 38]</w:t>
      </w:r>
    </w:p>
    <w:p w14:paraId="4A4ED05D"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письму прилагался проект постановления Комитета обороны при СНК СССР «Об изготовлении планетарной трансмиссии для танка Т-34» для утверждения его К.Е. Ворошиловым (20377).</w:t>
      </w:r>
    </w:p>
    <w:p w14:paraId="4C9C65B0" w14:textId="77777777" w:rsidR="00EF7897" w:rsidRPr="00A3026E" w:rsidRDefault="00EF7897" w:rsidP="00A3026E">
      <w:pPr>
        <w:spacing w:after="0" w:line="240" w:lineRule="auto"/>
        <w:jc w:val="both"/>
        <w:rPr>
          <w:rFonts w:ascii="Times New Roman" w:hAnsi="Times New Roman"/>
          <w:color w:val="0070C0"/>
          <w:sz w:val="16"/>
          <w:szCs w:val="16"/>
        </w:rPr>
      </w:pPr>
    </w:p>
    <w:p w14:paraId="5277824E"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23 Декабря 1940 г.</w:t>
      </w:r>
    </w:p>
    <w:p w14:paraId="4DCED88E"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ГАРФ Фонд Р8418 Опись 25 Дело 338 Лист 38</w:t>
      </w:r>
    </w:p>
    <w:p w14:paraId="1356A0D9"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СЕКРЕТНО.</w:t>
      </w:r>
    </w:p>
    <w:p w14:paraId="7D654F76"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Экз. № 1</w:t>
      </w:r>
    </w:p>
    <w:p w14:paraId="32A66FA2"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23 Декабря 1940 г.</w:t>
      </w:r>
    </w:p>
    <w:p w14:paraId="361566CE"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18169с</w:t>
      </w:r>
    </w:p>
    <w:p w14:paraId="6E15B537"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ПРЕДСЕДАТЕЛЮ КОМИТЕТА ОБОРОНЫ ПРИ СНК СОЮЗА ССР</w:t>
      </w:r>
    </w:p>
    <w:p w14:paraId="51D5EAA7"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МАРШАЛУ СОВЕТСКОГО СОЮЗА тов. ВОРОШИЛОВУ К.Е.</w:t>
      </w:r>
    </w:p>
    <w:p w14:paraId="1697E342"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протяжении ряда лет автобронетанковые войска не могут получить от промышленности законченную конструкцию планетарной трансмиссии.</w:t>
      </w:r>
    </w:p>
    <w:p w14:paraId="5BF6259B"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 заданию ГАБТУ КА Военная Академия Механизации Моторизации КА им. тов. СТАЛИНА представила разработанный проект планетарной трансмиссии для танка Т-34. Представленный проект планетарной трансмиссии должен повысить боевые качества танка, а именно:</w:t>
      </w:r>
    </w:p>
    <w:p w14:paraId="0D0D81DB"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Повышается средняя скорость движения танка (6 скоростей вперед и 3 назад).</w:t>
      </w:r>
    </w:p>
    <w:p w14:paraId="5A3B5A2A"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Увеличивается преодолеваемость подъема (максимальный угол до 45°).</w:t>
      </w:r>
    </w:p>
    <w:p w14:paraId="31FEF286"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Исключена возможность остановки танка при переключении скоростей, что уменьшит поражаемость танка.</w:t>
      </w:r>
    </w:p>
    <w:p w14:paraId="1CAABC6C"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Увеличивается поворотливость танка на мягких грунтах и в узких местах, так как танк может повернуться вокруг своей оси (движение гусениц в различных направлениях).</w:t>
      </w:r>
    </w:p>
    <w:p w14:paraId="5D0B487C"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Облегчает управление танком благодаря простоте управления и малых прилагаемых усилий на бортовых рычагах и на педали сцепления (усилия на борт рычагах 5 – 7 кг, на педали сцепления 18 кг).</w:t>
      </w:r>
    </w:p>
    <w:p w14:paraId="14E8A14E"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Автоматическая регулировка тормозов и фрикциона по мере износа даст возможность избежать ненужных остановок и упростить уход за танком.</w:t>
      </w:r>
    </w:p>
    <w:p w14:paraId="3B80E229"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Считаю необходимым обязать завод № 183 НКСМ разработать к 1.4.41 г. под руководством военинженера 2 ранга тов. БЛАГОНРАВОВА рабочие чертежи.</w:t>
      </w:r>
    </w:p>
    <w:p w14:paraId="5A711AE8"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15.5.41 г. на том же заводе № 183 (НКСМ) изготовить два опытных образца планетарной трансмиссии, которые и установить на танки Т-34. Заводские и полигонные испытания закончить к 1.8.41 г.</w:t>
      </w:r>
    </w:p>
    <w:p w14:paraId="40221238"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МАРШАЛ СОВЕТСКОГО СОЮЗА подпись (Г. КУЛИК)</w:t>
      </w:r>
    </w:p>
    <w:p w14:paraId="7621C34F"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Отп. 2 экз.</w:t>
      </w:r>
    </w:p>
    <w:p w14:paraId="084EAD28"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п.м. 19.12.1940 г.</w:t>
      </w:r>
    </w:p>
    <w:p w14:paraId="4D5589F5"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1703</w:t>
      </w:r>
    </w:p>
    <w:p w14:paraId="659A5F35"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документе резолюция К.Е. Ворошилова:</w:t>
      </w:r>
    </w:p>
    <w:p w14:paraId="6E4360F9"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 Кулику. Почему эту работу не провести по плану опытных работ? Почему не дать заказ 183 заводу непосредственно? подпись 25/XII-40 г.».</w:t>
      </w:r>
    </w:p>
    <w:p w14:paraId="29EC1FCD"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ГАРФ Фонд Р8418 Опись 25 Дело 338 Лист 39</w:t>
      </w:r>
    </w:p>
    <w:p w14:paraId="628CD250"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СЕКРЕТНО.</w:t>
      </w:r>
    </w:p>
    <w:p w14:paraId="4F6D34E8"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Экз. № 1</w:t>
      </w:r>
    </w:p>
    <w:p w14:paraId="2B938D10"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w:t>
      </w:r>
    </w:p>
    <w:p w14:paraId="56975E0D"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КОМИТЕТА ОБОРОНЫ ПРИ СНК СОЮЗА С.С.Р.</w:t>
      </w:r>
    </w:p>
    <w:p w14:paraId="07FFFE41"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"___" Декабря 1940 года</w:t>
      </w:r>
    </w:p>
    <w:p w14:paraId="02C9BBD0"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Москва – Кремль.</w:t>
      </w:r>
    </w:p>
    <w:p w14:paraId="1036D6E2"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СОДЕРЖАНИЕ: Об изготовлении планетарной трансмиссии для танка Т-34.</w:t>
      </w:r>
    </w:p>
    <w:p w14:paraId="22DE580C"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ОБЯЗАТЬ ЗАВОД № 183 НКСМ:</w:t>
      </w:r>
    </w:p>
    <w:p w14:paraId="46E49AD4"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К 1.4.41 г. разработать по материалам Военной Академии Механизации Моторизации Красной Армии им. тов. СТАЛИНА под руководством Военинженера 2 ранга тов. БЛАГОНРАВОВА рабочие чертежи планетарной трансмиссии для танка Т-34.</w:t>
      </w:r>
    </w:p>
    <w:p w14:paraId="4B148205"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К 15.5.41 г. изготовить два опытных образца планетарной трансмиссии и установить на танки Т-34.</w:t>
      </w:r>
    </w:p>
    <w:p w14:paraId="6CCCCCD6"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К 15.6.41 г. закончить заводские испытания и предъявить НКО (ГАБТУ КА) на полигонные испытания.</w:t>
      </w:r>
    </w:p>
    <w:p w14:paraId="07DB117A"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ОБЯЗАТЬ НКО к 1.8.41 г. провести полигонные испытания и вместе с НКСМ к 15.8.41 г. представить в КО решение о принятии на вооружение и заключение о постановке на серийное производство.</w:t>
      </w:r>
    </w:p>
    <w:p w14:paraId="7A3A1FCD"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ПРЕДСЕДАТЕЛЬ КОМИТЕТА ОБОРОНЫ ПРИ СНК СОЮЗА ССР</w:t>
      </w:r>
    </w:p>
    <w:p w14:paraId="22E2FB4D" w14:textId="77777777" w:rsidR="00EF7897" w:rsidRPr="00A3026E" w:rsidRDefault="00EF789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МАРШАЛ СОВЕТСКОГО СОЮЗА (К. ВОРОШИЛОВ) (20384).</w:t>
      </w:r>
    </w:p>
    <w:p w14:paraId="78CF8E50" w14:textId="77777777" w:rsidR="00EF7897" w:rsidRPr="00A3026E" w:rsidRDefault="00EF7897" w:rsidP="00A3026E">
      <w:pPr>
        <w:spacing w:after="0" w:line="240" w:lineRule="auto"/>
        <w:jc w:val="both"/>
        <w:rPr>
          <w:rFonts w:ascii="Times New Roman" w:hAnsi="Times New Roman"/>
          <w:color w:val="0070C0"/>
          <w:sz w:val="16"/>
          <w:szCs w:val="16"/>
        </w:rPr>
      </w:pPr>
    </w:p>
    <w:p w14:paraId="14F52CF3" w14:textId="319872AA" w:rsidR="0014077F"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1CCA3375"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424C66E" w14:textId="77777777" w:rsidR="0014077F" w:rsidRPr="00A3026E" w:rsidRDefault="0014077F" w:rsidP="00A3026E">
      <w:pPr>
        <w:pStyle w:val="a3"/>
        <w:tabs>
          <w:tab w:val="left" w:pos="11199"/>
        </w:tabs>
        <w:rPr>
          <w:color w:val="000000" w:themeColor="text1"/>
          <w:lang w:val="ru-RU"/>
        </w:rPr>
      </w:pPr>
      <w:r w:rsidRPr="00A3026E">
        <w:rPr>
          <w:color w:val="000000" w:themeColor="text1"/>
          <w:lang w:val="ru-RU"/>
        </w:rPr>
        <w:t>23-31 декабря 1940 на Совещании высшего руководя</w:t>
      </w:r>
      <w:r w:rsidRPr="00A3026E">
        <w:rPr>
          <w:color w:val="000000" w:themeColor="text1"/>
          <w:lang w:val="ru-RU"/>
        </w:rPr>
        <w:softHyphen/>
        <w:t>щего состава Красной Армии заместитель гене</w:t>
      </w:r>
      <w:r w:rsidRPr="00A3026E">
        <w:rPr>
          <w:color w:val="000000" w:themeColor="text1"/>
          <w:lang w:val="ru-RU"/>
        </w:rPr>
        <w:softHyphen/>
        <w:t>рал-инспектора ВВС К А генерал-май</w:t>
      </w:r>
      <w:r w:rsidRPr="00A3026E">
        <w:rPr>
          <w:color w:val="000000" w:themeColor="text1"/>
          <w:lang w:val="ru-RU"/>
        </w:rPr>
        <w:softHyphen/>
        <w:t>ор авиации Т.Т.Хрюкин в своем выс</w:t>
      </w:r>
      <w:r w:rsidRPr="00A3026E">
        <w:rPr>
          <w:color w:val="000000" w:themeColor="text1"/>
          <w:lang w:val="ru-RU"/>
        </w:rPr>
        <w:softHyphen/>
        <w:t>туплении отмечал, что провал действий авиации против танков на оперативно-стратегической игре на местности осенью 1940 обуславливается, преж</w:t>
      </w:r>
      <w:r w:rsidRPr="00A3026E">
        <w:rPr>
          <w:color w:val="000000" w:themeColor="text1"/>
          <w:lang w:val="ru-RU"/>
        </w:rPr>
        <w:softHyphen/>
        <w:t>де всего, тем, что “мы имеем на воо</w:t>
      </w:r>
      <w:r w:rsidRPr="00A3026E">
        <w:rPr>
          <w:color w:val="000000" w:themeColor="text1"/>
          <w:lang w:val="ru-RU"/>
        </w:rPr>
        <w:softHyphen/>
        <w:t>ружении пушку 20мм, она имеет очень маленький калибр снаряда на толщину брони”, а самыми эффектив</w:t>
      </w:r>
      <w:r w:rsidRPr="00A3026E">
        <w:rPr>
          <w:color w:val="000000" w:themeColor="text1"/>
          <w:lang w:val="ru-RU"/>
        </w:rPr>
        <w:softHyphen/>
        <w:t>ными самолетами в борьбе с танками должны быть штурмовики и истреби</w:t>
      </w:r>
      <w:r w:rsidRPr="00A3026E">
        <w:rPr>
          <w:color w:val="000000" w:themeColor="text1"/>
          <w:lang w:val="ru-RU"/>
        </w:rPr>
        <w:softHyphen/>
        <w:t>тели, вооруженные пушками калибра 37-мм. Впрочем, ранее задача борьбы с наступающими бро</w:t>
      </w:r>
      <w:r w:rsidRPr="00A3026E">
        <w:rPr>
          <w:color w:val="000000" w:themeColor="text1"/>
          <w:lang w:val="ru-RU"/>
        </w:rPr>
        <w:softHyphen/>
        <w:t>нетанковыми силами противника в ка</w:t>
      </w:r>
      <w:r w:rsidRPr="00A3026E">
        <w:rPr>
          <w:color w:val="000000" w:themeColor="text1"/>
          <w:lang w:val="ru-RU"/>
        </w:rPr>
        <w:softHyphen/>
        <w:t>честве основной для самолета-штурмо</w:t>
      </w:r>
      <w:r w:rsidRPr="00A3026E">
        <w:rPr>
          <w:color w:val="000000" w:themeColor="text1"/>
          <w:lang w:val="ru-RU"/>
        </w:rPr>
        <w:softHyphen/>
        <w:t>вика, как в прочем и для авиации в целом, общевойсковыми командирами нс ставилась. В результате нс была поддержана инициатива НКАП 1940 г. по разработке двухмоторного пушеч</w:t>
      </w:r>
      <w:r w:rsidRPr="00A3026E">
        <w:rPr>
          <w:color w:val="000000" w:themeColor="text1"/>
          <w:lang w:val="ru-RU"/>
        </w:rPr>
        <w:softHyphen/>
        <w:t>ного штурмовика и только накануне войны руковод</w:t>
      </w:r>
      <w:r w:rsidRPr="00A3026E">
        <w:rPr>
          <w:color w:val="000000" w:themeColor="text1"/>
          <w:lang w:val="ru-RU"/>
        </w:rPr>
        <w:softHyphen/>
        <w:t>ство страны и Красной Армии все же пришли к пониманию о необходимос</w:t>
      </w:r>
      <w:r w:rsidRPr="00A3026E">
        <w:rPr>
          <w:color w:val="000000" w:themeColor="text1"/>
          <w:lang w:val="ru-RU"/>
        </w:rPr>
        <w:softHyphen/>
        <w:t>ти незамедлительной постройки и по</w:t>
      </w:r>
      <w:r w:rsidRPr="00A3026E">
        <w:rPr>
          <w:color w:val="000000" w:themeColor="text1"/>
          <w:lang w:val="ru-RU"/>
        </w:rPr>
        <w:softHyphen/>
        <w:t>становке на вооружение тяжелого двух</w:t>
      </w:r>
      <w:r w:rsidRPr="00A3026E">
        <w:rPr>
          <w:color w:val="000000" w:themeColor="text1"/>
          <w:lang w:val="ru-RU"/>
        </w:rPr>
        <w:softHyphen/>
        <w:t>моторного бронированного штурмови</w:t>
      </w:r>
      <w:r w:rsidRPr="00A3026E">
        <w:rPr>
          <w:color w:val="000000" w:themeColor="text1"/>
          <w:lang w:val="ru-RU"/>
        </w:rPr>
        <w:softHyphen/>
        <w:t>ка или многоцелевого истребителя с мощным пушечным вооружением, обес</w:t>
      </w:r>
      <w:r w:rsidRPr="00A3026E">
        <w:rPr>
          <w:color w:val="000000" w:themeColor="text1"/>
          <w:lang w:val="ru-RU"/>
        </w:rPr>
        <w:softHyphen/>
        <w:t>печивающим поражение легких и сред</w:t>
      </w:r>
      <w:r w:rsidRPr="00A3026E">
        <w:rPr>
          <w:color w:val="000000" w:themeColor="text1"/>
          <w:lang w:val="ru-RU"/>
        </w:rPr>
        <w:softHyphen/>
        <w:t>них танков противника (6269).</w:t>
      </w:r>
    </w:p>
    <w:p w14:paraId="61DD22E8" w14:textId="77777777" w:rsidR="0014077F" w:rsidRPr="00A3026E" w:rsidRDefault="0014077F" w:rsidP="00A3026E">
      <w:pPr>
        <w:pStyle w:val="a3"/>
        <w:tabs>
          <w:tab w:val="left" w:pos="11199"/>
        </w:tabs>
        <w:rPr>
          <w:color w:val="000000" w:themeColor="text1"/>
          <w:lang w:val="ru-RU"/>
        </w:rPr>
      </w:pPr>
    </w:p>
    <w:p w14:paraId="07293DAE" w14:textId="77777777" w:rsidR="00B64D57" w:rsidRPr="00A3026E" w:rsidRDefault="00B64D5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23–31 декабря 1940 г. – в наркомате обороны состоялось совещание командного состава РККА по изучению опыта войны в Европе ()75. Сталин на этом совещании отсутствовал, но затребовал текст заключительной речи наркома обороны маршала С.К. Тимошенко и лично отредактировал его (РГАСПИ. Ф. 558. Оп. 11. Д. 437. Л. 25–85) (21522).</w:t>
      </w:r>
    </w:p>
    <w:p w14:paraId="542FF190" w14:textId="77777777" w:rsidR="00B64D57" w:rsidRPr="00A3026E" w:rsidRDefault="00B64D57" w:rsidP="00A3026E">
      <w:pPr>
        <w:spacing w:after="0" w:line="240" w:lineRule="auto"/>
        <w:jc w:val="both"/>
        <w:rPr>
          <w:rFonts w:ascii="Times New Roman" w:hAnsi="Times New Roman"/>
          <w:color w:val="0070C0"/>
          <w:sz w:val="16"/>
          <w:szCs w:val="16"/>
        </w:rPr>
      </w:pPr>
    </w:p>
    <w:p w14:paraId="7B90F9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23-31 декабря 1940 года на заседаниях рассматривались все аспекты не самой удачной для СССР войны с Финляндией, выявленные в ходе боевых действий проблемы и пути их решения. Среди прочих выступлений собравшиеся командиры и политработники выслушали доклад командующего войсками Западного особого военного округа Д. Г. Павлова «Использование механизированных соединений в современной наступательной операции и ввод механизированного корпуса в прорыв», в котором упоминалось об одном из важнейших вопросов — о снабжении танковых частей горючим:</w:t>
      </w:r>
    </w:p>
    <w:p w14:paraId="03D08B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«Самое тяжелое положение с горючим, необходимым для танков. От наличия горючего зависит жизнь и деятельность танков и моточастей, а, как мы знаем, подача горючего чрезвычайно затруднена».</w:t>
      </w:r>
    </w:p>
    <w:p w14:paraId="72912D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Павлов предлагал различные способы выхода из затруднительного положения. Но выступавший в прениях по его докладу маршал Буденный упомянул о том, что стратегическое решение уже найдено:</w:t>
      </w:r>
    </w:p>
    <w:p w14:paraId="469490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 Павлов выдвинул вопрос о наличии 2-3 заправок в эшелоне развития успеха. По-моему, их надо довести до 4-х. Тов. Павлов правильно предлагает брать горючее там, где можно. Если можно в карман класть, не в жидком, а в сгущенном виде, пожалуйста, кладите в карман. А такое горючее тоже есть» (12153).</w:t>
      </w:r>
    </w:p>
    <w:p w14:paraId="4C845DC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D0F139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23-31 декабря 1940 года на совещании высшего руководя</w:t>
      </w:r>
      <w:r w:rsidRPr="00A3026E">
        <w:rPr>
          <w:rFonts w:ascii="Times New Roman" w:hAnsi="Times New Roman"/>
          <w:color w:val="000000" w:themeColor="text1"/>
          <w:sz w:val="16"/>
          <w:szCs w:val="16"/>
        </w:rPr>
        <w:softHyphen/>
        <w:t>щего состава РККА обсуждались важ</w:t>
      </w:r>
      <w:r w:rsidRPr="00A3026E">
        <w:rPr>
          <w:rFonts w:ascii="Times New Roman" w:hAnsi="Times New Roman"/>
          <w:color w:val="000000" w:themeColor="text1"/>
          <w:sz w:val="16"/>
          <w:szCs w:val="16"/>
        </w:rPr>
        <w:softHyphen/>
        <w:t>нейшие вопросы развития армии всего лишь за полгода до начала Великой Отечественной войны. На нем прозвучали и довольно резкие выступления по поводу целесообразности ставки на действия по аэродромам вообще.</w:t>
      </w:r>
    </w:p>
    <w:p w14:paraId="166FF98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докладе начальника Главного Управления ВВС Красной армии гене</w:t>
      </w:r>
      <w:r w:rsidRPr="00A3026E">
        <w:rPr>
          <w:rFonts w:ascii="Times New Roman" w:hAnsi="Times New Roman"/>
          <w:color w:val="000000" w:themeColor="text1"/>
          <w:sz w:val="16"/>
          <w:szCs w:val="16"/>
        </w:rPr>
        <w:softHyphen/>
        <w:t>рал-лейтенанта авиации П.В. Рычагова «Военно-Воздушные Силы в насту</w:t>
      </w:r>
      <w:r w:rsidRPr="00A3026E">
        <w:rPr>
          <w:rFonts w:ascii="Times New Roman" w:hAnsi="Times New Roman"/>
          <w:color w:val="000000" w:themeColor="text1"/>
          <w:sz w:val="16"/>
          <w:szCs w:val="16"/>
        </w:rPr>
        <w:softHyphen/>
        <w:t>пательной операции и в борьбе за господство в воздухе» было прямо заяв</w:t>
      </w:r>
      <w:r w:rsidRPr="00A3026E">
        <w:rPr>
          <w:rFonts w:ascii="Times New Roman" w:hAnsi="Times New Roman"/>
          <w:color w:val="000000" w:themeColor="text1"/>
          <w:sz w:val="16"/>
          <w:szCs w:val="16"/>
        </w:rPr>
        <w:softHyphen/>
        <w:t>лено, что задача уничтожения авиации противника на аэродромах являет</w:t>
      </w:r>
      <w:r w:rsidRPr="00A3026E">
        <w:rPr>
          <w:rFonts w:ascii="Times New Roman" w:hAnsi="Times New Roman"/>
          <w:color w:val="000000" w:themeColor="text1"/>
          <w:sz w:val="16"/>
          <w:szCs w:val="16"/>
        </w:rPr>
        <w:softHyphen/>
        <w:t>ся, по сравнению с задачами уничтожения авиации противника в воздухе и обеспечением превосходства в силах, «наиболее сложной» и «представляет большую трудность. Большинство таких налетов будет постигать неудача». Он подчеркивал, что «подобная задача не может быть выполнена за один полет, а требует ряда повторных ударов, которые проводятся после обнару</w:t>
      </w:r>
      <w:r w:rsidRPr="00A3026E">
        <w:rPr>
          <w:rFonts w:ascii="Times New Roman" w:hAnsi="Times New Roman"/>
          <w:color w:val="000000" w:themeColor="text1"/>
          <w:sz w:val="16"/>
          <w:szCs w:val="16"/>
        </w:rPr>
        <w:softHyphen/>
        <w:t>жения основных районов базирования авиации противника» (Накануне войны. Материалы совещания высшего руководящего состава РККА 23 — 31 декабря 1940 года. С. 177.). Интерес</w:t>
      </w:r>
      <w:r w:rsidRPr="00A3026E">
        <w:rPr>
          <w:rFonts w:ascii="Times New Roman" w:hAnsi="Times New Roman"/>
          <w:color w:val="000000" w:themeColor="text1"/>
          <w:sz w:val="16"/>
          <w:szCs w:val="16"/>
        </w:rPr>
        <w:softHyphen/>
        <w:t>но, что, когда начальник Главного управления противовоздушной обороны Красной армии генерал-лейтенант авиации Д.Т. Козлов начал превозно</w:t>
      </w:r>
      <w:r w:rsidRPr="00A3026E">
        <w:rPr>
          <w:rFonts w:ascii="Times New Roman" w:hAnsi="Times New Roman"/>
          <w:color w:val="000000" w:themeColor="text1"/>
          <w:sz w:val="16"/>
          <w:szCs w:val="16"/>
        </w:rPr>
        <w:softHyphen/>
        <w:t>сить успехи немцев во Франции, заявив, что они выбили из строя фран</w:t>
      </w:r>
      <w:r w:rsidRPr="00A3026E">
        <w:rPr>
          <w:rFonts w:ascii="Times New Roman" w:hAnsi="Times New Roman"/>
          <w:color w:val="000000" w:themeColor="text1"/>
          <w:sz w:val="16"/>
          <w:szCs w:val="16"/>
        </w:rPr>
        <w:softHyphen/>
        <w:t>цузскую авиацию в первые же дни войны и получили господство в воздухе, П.В. Рычагов возразил, что это было достигнуто только на восьмой день (Накануне войны. Материалы совещания высшего руководящего состава РККА 23 — 31 декабря 1940 года. С. 177.). В выступлении командующего ВВС Киевского Особого военного округа генерал-лейтенанта авиации Е.С. Птухина было заявлено, что эффективность ударов по аэродромам зависит от многих составляющих. Первое непре</w:t>
      </w:r>
      <w:r w:rsidRPr="00A3026E">
        <w:rPr>
          <w:rFonts w:ascii="Times New Roman" w:hAnsi="Times New Roman"/>
          <w:color w:val="000000" w:themeColor="text1"/>
          <w:sz w:val="16"/>
          <w:szCs w:val="16"/>
        </w:rPr>
        <w:softHyphen/>
        <w:t>менное условие - это превосходство в силах, второе - хорошая организа</w:t>
      </w:r>
      <w:r w:rsidRPr="00A3026E">
        <w:rPr>
          <w:rFonts w:ascii="Times New Roman" w:hAnsi="Times New Roman"/>
          <w:color w:val="000000" w:themeColor="text1"/>
          <w:sz w:val="16"/>
          <w:szCs w:val="16"/>
        </w:rPr>
        <w:softHyphen/>
        <w:t>ция разведки, третье - обеспечение непрерывности налетов. «Я сам лично подвергался ежедневной бомбежке, но они действовали очень маленькой группой бомбардировщиков, и они нам почти никакого вреда не приноси</w:t>
      </w:r>
      <w:r w:rsidRPr="00A3026E">
        <w:rPr>
          <w:rFonts w:ascii="Times New Roman" w:hAnsi="Times New Roman"/>
          <w:color w:val="000000" w:themeColor="text1"/>
          <w:sz w:val="16"/>
          <w:szCs w:val="16"/>
        </w:rPr>
        <w:softHyphen/>
        <w:t>ли. Наоборот, налетающая группа бомбардировщиков имела потери боль</w:t>
      </w:r>
      <w:r w:rsidRPr="00A3026E">
        <w:rPr>
          <w:rFonts w:ascii="Times New Roman" w:hAnsi="Times New Roman"/>
          <w:color w:val="000000" w:themeColor="text1"/>
          <w:sz w:val="16"/>
          <w:szCs w:val="16"/>
        </w:rPr>
        <w:softHyphen/>
        <w:t>ше», - приводил Е.С. Птухин пример из испанского боевого опыта и конс</w:t>
      </w:r>
      <w:r w:rsidRPr="00A3026E">
        <w:rPr>
          <w:rFonts w:ascii="Times New Roman" w:hAnsi="Times New Roman"/>
          <w:color w:val="000000" w:themeColor="text1"/>
          <w:sz w:val="16"/>
          <w:szCs w:val="16"/>
        </w:rPr>
        <w:softHyphen/>
        <w:t>татировал, что даже при соблюдении необходимых условий «эта операция самая трудная, самая сложная, и эта операция для воздушных сил в отноше</w:t>
      </w:r>
      <w:r w:rsidRPr="00A3026E">
        <w:rPr>
          <w:rFonts w:ascii="Times New Roman" w:hAnsi="Times New Roman"/>
          <w:color w:val="000000" w:themeColor="text1"/>
          <w:sz w:val="16"/>
          <w:szCs w:val="16"/>
        </w:rPr>
        <w:softHyphen/>
        <w:t>нии материальных и людских потерь — самая большая» (Накануне войны. Материалы совещания высшего руководящего состава РККА 23 — 31 декабря 1940 года. С. 190.).</w:t>
      </w:r>
    </w:p>
    <w:p w14:paraId="60C3755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 Е.С. Птухина поддержал помощник начальника Генерального штаба Красной армии по авиации Я.В. Смушкевич, который указал на несоб</w:t>
      </w:r>
      <w:r w:rsidRPr="00A3026E">
        <w:rPr>
          <w:rFonts w:ascii="Times New Roman" w:hAnsi="Times New Roman"/>
          <w:color w:val="000000" w:themeColor="text1"/>
          <w:sz w:val="16"/>
          <w:szCs w:val="16"/>
        </w:rPr>
        <w:softHyphen/>
        <w:t>людение немцами необходимых условий при налетах на аэродромы, что могло печально закончиться для люфтваффе. По его данным, германская авиация 10 мая 1940 года произвела одновременный налет на аэродромы Франции на глубину до 400 км и охватила своими ударами свыше 100 аэро</w:t>
      </w:r>
      <w:r w:rsidRPr="00A3026E">
        <w:rPr>
          <w:rFonts w:ascii="Times New Roman" w:hAnsi="Times New Roman"/>
          <w:color w:val="000000" w:themeColor="text1"/>
          <w:sz w:val="16"/>
          <w:szCs w:val="16"/>
        </w:rPr>
        <w:softHyphen/>
        <w:t>дромов. При наличии связи и хорошей организации подобный налет мог бы кончиться большим поражением немецкой авиации, так как если бы он про</w:t>
      </w:r>
      <w:r w:rsidRPr="00A3026E">
        <w:rPr>
          <w:rFonts w:ascii="Times New Roman" w:hAnsi="Times New Roman"/>
          <w:color w:val="000000" w:themeColor="text1"/>
          <w:sz w:val="16"/>
          <w:szCs w:val="16"/>
        </w:rPr>
        <w:softHyphen/>
        <w:t>водился мелкими группами без прикрытия истребителей, то встреча этих групп в определенном месте истребителями противника могла бы кончить</w:t>
      </w:r>
      <w:r w:rsidRPr="00A3026E">
        <w:rPr>
          <w:rFonts w:ascii="Times New Roman" w:hAnsi="Times New Roman"/>
          <w:color w:val="000000" w:themeColor="text1"/>
          <w:sz w:val="16"/>
          <w:szCs w:val="16"/>
        </w:rPr>
        <w:softHyphen/>
        <w:t>ся их уничтожением. А командующий авиацией Дальневосточного фронта генерал-лейтенант авиации КМ. Гусев также предупреждал, что удар впустую вообще чреват серьезными последствиями, так как противник после него может организоваться и произвести ответный удар (Накануне войны. Материалы совещания высшего руководящего состава РККА 23 — 31 декабря 1940 года. С. 192.).</w:t>
      </w:r>
    </w:p>
    <w:p w14:paraId="4578B21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 является воздушный бой. Я не верю тем данным, которые мы имеем в печати и которые говорят о большом количестве потерь самолетов на аэродромах. Это, безусловно, неправильно. Неправильно, когда пишут, что французы на своих аэродромах теряли по 500 - 1000 самолетов», -заявил при обсуждении доклада П.В. Рычагова командующий авиацией Прибалтийского Особого военного округа генерал-лейтенант авиации Г.П. Кравченко. «Я основываюсь на своем опыте. Во время действий на Хал-хин-Голе для разгрома одного только аэродрома мне пришлось вылетать несколько раз в составе полка. Я вылетал, имея 50-60 самолетов, в то вре</w:t>
      </w:r>
      <w:r w:rsidRPr="00A3026E">
        <w:rPr>
          <w:rFonts w:ascii="Times New Roman" w:hAnsi="Times New Roman"/>
          <w:color w:val="000000" w:themeColor="text1"/>
          <w:sz w:val="16"/>
          <w:szCs w:val="16"/>
        </w:rPr>
        <w:softHyphen/>
        <w:t>мя как на этом аэродроме имелось всего 17-18 самолетов. Поэтому я счи</w:t>
      </w:r>
      <w:r w:rsidRPr="00A3026E">
        <w:rPr>
          <w:rFonts w:ascii="Times New Roman" w:hAnsi="Times New Roman"/>
          <w:color w:val="000000" w:themeColor="text1"/>
          <w:sz w:val="16"/>
          <w:szCs w:val="16"/>
        </w:rPr>
        <w:softHyphen/>
        <w:t>таю, что цифры, приводимые в печати о потерях самолетов на аэродромах, неправильные», - доказывал он. Г.П. Кравченко подчеркнул: «Я считаю, что соотношение между потерями на аэродромах будет такое: в частности, на Халхин-Голе у меня было так -1/8 часть я уничтожил на земле и 7/8 в воз</w:t>
      </w:r>
      <w:r w:rsidRPr="00A3026E">
        <w:rPr>
          <w:rFonts w:ascii="Times New Roman" w:hAnsi="Times New Roman"/>
          <w:color w:val="000000" w:themeColor="text1"/>
          <w:sz w:val="16"/>
          <w:szCs w:val="16"/>
        </w:rPr>
        <w:softHyphen/>
        <w:t>духе». Г.М. Штерн заметил, что «примерно такое же соотношение и в других местах». «Поэтому надо ориентироваться на это и готовиться в основном к сражению в воздухе», - подытожил Г.П. Кравченко, а Г.М. Штерн добавил: «И иметь побольше истребителей» (Накануне войны. Материалы совещания высшего руководящего состава РККА 23 — 31 декабря 1940 года. С. 193.). В заключительном слове П.В. Рычагов указал на необходимость проведения сбалансированной подготовки ави</w:t>
      </w:r>
      <w:r w:rsidRPr="00A3026E">
        <w:rPr>
          <w:rFonts w:ascii="Times New Roman" w:hAnsi="Times New Roman"/>
          <w:color w:val="000000" w:themeColor="text1"/>
          <w:sz w:val="16"/>
          <w:szCs w:val="16"/>
        </w:rPr>
        <w:softHyphen/>
        <w:t>ации как к воздушным боям, так и к ударам по аэродромам. «Мы обязаны уметь одинаково хорошо бить воздушного противника и на земле, и в воз</w:t>
      </w:r>
      <w:r w:rsidRPr="00A3026E">
        <w:rPr>
          <w:rFonts w:ascii="Times New Roman" w:hAnsi="Times New Roman"/>
          <w:color w:val="000000" w:themeColor="text1"/>
          <w:sz w:val="16"/>
          <w:szCs w:val="16"/>
        </w:rPr>
        <w:softHyphen/>
        <w:t>духе», - подытожил он обсуждение этой темы (Накануне войны. Материалы совещания высшего руководящего состава РККА 23 — 31 декабря 1940 года. С. 208.).</w:t>
      </w:r>
    </w:p>
    <w:p w14:paraId="4255EEE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руководство советской военной авиации выступало за сбалансированное применение воздушных боев и ударов по аэродромам и за развитие истребительной авиации. Это было полной противоположнос</w:t>
      </w:r>
      <w:r w:rsidRPr="00A3026E">
        <w:rPr>
          <w:rFonts w:ascii="Times New Roman" w:hAnsi="Times New Roman"/>
          <w:color w:val="000000" w:themeColor="text1"/>
          <w:sz w:val="16"/>
          <w:szCs w:val="16"/>
        </w:rPr>
        <w:softHyphen/>
        <w:t>тью немецким взглядам, согласно которым использование истребителей для ведения воздушных боев признавалось менее эффективным способом борьбы за господство в воздухе. Но эти взгляды потерпели кризис в сраже</w:t>
      </w:r>
      <w:r w:rsidRPr="00A3026E">
        <w:rPr>
          <w:rFonts w:ascii="Times New Roman" w:hAnsi="Times New Roman"/>
          <w:color w:val="000000" w:themeColor="text1"/>
          <w:sz w:val="16"/>
          <w:szCs w:val="16"/>
        </w:rPr>
        <w:softHyphen/>
        <w:t>ниях над Англией. Как указывал историк К. Майер, «впервые военно-воз</w:t>
      </w:r>
      <w:r w:rsidRPr="00A3026E">
        <w:rPr>
          <w:rFonts w:ascii="Times New Roman" w:hAnsi="Times New Roman"/>
          <w:color w:val="000000" w:themeColor="text1"/>
          <w:sz w:val="16"/>
          <w:szCs w:val="16"/>
        </w:rPr>
        <w:softHyphen/>
        <w:t>душные силы, которые были вооружены и подготовлены в соответствии с гитлеровской стратегией «блицкрига», преимущественно оказались перед необходимостью атаковать вражескую авиацию и стратегические цели на море без использования таких благоприятных факторов, как внезапность и одновременное наступление сухопутных войск» (Клаус А. Майер. Воздушная битва над Англией // Вторая мировая война. Дискуссии, основные тенденции. Результаты исследований. С. 405.).</w:t>
      </w:r>
    </w:p>
    <w:p w14:paraId="75BA209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Версия о выводе из строя французской авиации в первые часы или дни войны была использована службой Геббельса еще до завершения воздуш</w:t>
      </w:r>
      <w:r w:rsidRPr="00A3026E">
        <w:rPr>
          <w:rFonts w:ascii="Times New Roman" w:hAnsi="Times New Roman"/>
          <w:color w:val="000000" w:themeColor="text1"/>
          <w:sz w:val="16"/>
          <w:szCs w:val="16"/>
        </w:rPr>
        <w:softHyphen/>
        <w:t>ной кампании во Франции. Эти же цифры приводились и в СССР.</w:t>
      </w:r>
    </w:p>
    <w:p w14:paraId="00819F3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Например, периодическое издание 1940 года - журнал «Военная мысль» -сообщало о потере французской авиацией только на земле с 11 мая по 5 июня 1940 года включительно (без учета потерь первого дня войны) полутора ты</w:t>
      </w:r>
      <w:r w:rsidRPr="00A3026E">
        <w:rPr>
          <w:rFonts w:ascii="Times New Roman" w:hAnsi="Times New Roman"/>
          <w:color w:val="000000" w:themeColor="text1"/>
          <w:sz w:val="16"/>
          <w:szCs w:val="16"/>
        </w:rPr>
        <w:softHyphen/>
        <w:t>сяч самолетов (Начальный период войны (По опыту первых кампаний Второй мировой войны). С. 328.). Между тем именно Ставка верховного главнокомандования германской армии через германское информационное бюро сообщила, что с 10 мая по 3 июня люфтваффе уничтожили только в воздухе 1841 и, кроме того, на земле 1600 - 1700 самолетов противника (Известия. 1940.6 июня.).</w:t>
      </w:r>
    </w:p>
    <w:p w14:paraId="07C6EB9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Одними из первых, кто усомнился в соответствии реальности заявлен</w:t>
      </w:r>
      <w:r w:rsidRPr="00A3026E">
        <w:rPr>
          <w:rFonts w:ascii="Times New Roman" w:hAnsi="Times New Roman"/>
          <w:color w:val="000000" w:themeColor="text1"/>
          <w:sz w:val="16"/>
          <w:szCs w:val="16"/>
        </w:rPr>
        <w:softHyphen/>
        <w:t>ных немцами побед, а также в правильности тактики люфтваффе, были со</w:t>
      </w:r>
      <w:r w:rsidRPr="00A3026E">
        <w:rPr>
          <w:rFonts w:ascii="Times New Roman" w:hAnsi="Times New Roman"/>
          <w:color w:val="000000" w:themeColor="text1"/>
          <w:sz w:val="16"/>
          <w:szCs w:val="16"/>
        </w:rPr>
        <w:softHyphen/>
        <w:t xml:space="preserve">ветские летчики, занимавшие высокие посты в военно-воздушных силах. </w:t>
      </w:r>
    </w:p>
    <w:p w14:paraId="7547A53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Участники совещания дали совершенно точную оценку итогам ударов по аэродромам в кампаниях на Западе. Так, согласно сводкам Верховного командования германской армии, люфтваффе было уничтожено 10 мая 1940 года 423 самолета, в основном на аэродромах. Собственные потери оценивались в 26 машин (Данные Германского информационного бюро. См.: Известия. 1940. 12 мая.). Но в реальности ситуация была прямо проти</w:t>
      </w:r>
      <w:r w:rsidRPr="00A3026E">
        <w:rPr>
          <w:rFonts w:ascii="Times New Roman" w:hAnsi="Times New Roman"/>
          <w:color w:val="000000" w:themeColor="text1"/>
          <w:sz w:val="16"/>
          <w:szCs w:val="16"/>
        </w:rPr>
        <w:softHyphen/>
        <w:t>воположной. Безвозвратные потери за 10 мая не только французских, но и английских ВВС составили всего 20 самолетов. А вот собственные потери люфтваффе за этот день - 304 самолета - превысили все ее предшествовав</w:t>
      </w:r>
      <w:r w:rsidRPr="00A3026E">
        <w:rPr>
          <w:rFonts w:ascii="Times New Roman" w:hAnsi="Times New Roman"/>
          <w:color w:val="000000" w:themeColor="text1"/>
          <w:sz w:val="16"/>
          <w:szCs w:val="16"/>
        </w:rPr>
        <w:softHyphen/>
        <w:t>шие совокупные потери, начиная с польской кампании, и достигли рекорд</w:t>
      </w:r>
      <w:r w:rsidRPr="00A3026E">
        <w:rPr>
          <w:rFonts w:ascii="Times New Roman" w:hAnsi="Times New Roman"/>
          <w:color w:val="000000" w:themeColor="text1"/>
          <w:sz w:val="16"/>
          <w:szCs w:val="16"/>
        </w:rPr>
        <w:softHyphen/>
        <w:t>ной отметки за всю историю Второй мировой войны (Тейлор М., Мандей Д. Книга Гиннесса об авиации: Рекорды, факты и достижения. С. 206-207.) (11710,420).</w:t>
      </w:r>
    </w:p>
    <w:p w14:paraId="589A134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29E2300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23-31 декабря 1940 г. ВЫДЕРЖКИ ИЗ МАТЕРИАЛОВ СОВЕЩАНИЯ ВЫСШЕГО РУКОВОДЯЩЕГО СОСТАВА РККА 23 - 31 ДЕКАБРЯ 1940 г.</w:t>
      </w:r>
    </w:p>
    <w:p w14:paraId="6559874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Москва</w:t>
      </w:r>
    </w:p>
    <w:p w14:paraId="36A8CAD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Я.Н. Федоренко, генерал-лейтенант танковых войск, начальник Главного автобронетанкового управления.</w:t>
      </w:r>
    </w:p>
    <w:p w14:paraId="0479D46D"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Механизированные танковые соединения в 1940 учебном году встретились с целым рядом тру</w:t>
      </w:r>
      <w:r w:rsidRPr="00A3026E">
        <w:rPr>
          <w:i w:val="0"/>
          <w:iCs w:val="0"/>
          <w:color w:val="000000" w:themeColor="text1"/>
          <w:spacing w:val="0"/>
          <w:kern w:val="0"/>
          <w:position w:val="0"/>
          <w:sz w:val="16"/>
          <w:szCs w:val="16"/>
          <w:lang w:val="ru-RU"/>
        </w:rPr>
        <w:softHyphen/>
        <w:t>дностей в боевой подготовке. Трудности заключались в том, что почти все соединения переменили дислокацию, перешли с места на место, причем отдельные части и даже соединения меняли по три-четыре раза место своего расположения, на расстояние каждый раз 100— 150 — 200 километров. Многие соединения совершили марши по 500 и до 1000 км в этом году, что, конечно, оторвало много времени от непосредственной учебы. Они научились хорошо делать марши, но не отработали целый ряд вопросов боевой подготовки: огневой подготовки, не доработали изучение материальной части, связи и разведки. Затратили много времени и много моторесурсов. Для того, чтобы привести мате</w:t>
      </w:r>
      <w:r w:rsidRPr="00A3026E">
        <w:rPr>
          <w:i w:val="0"/>
          <w:iCs w:val="0"/>
          <w:color w:val="000000" w:themeColor="text1"/>
          <w:spacing w:val="0"/>
          <w:kern w:val="0"/>
          <w:position w:val="0"/>
          <w:sz w:val="16"/>
          <w:szCs w:val="16"/>
          <w:lang w:val="ru-RU"/>
        </w:rPr>
        <w:softHyphen/>
        <w:t>риальную часть в порядок, потребовалось окбло 2 месяцев, почти 50 — 60 процентов личного соста</w:t>
      </w:r>
      <w:r w:rsidRPr="00A3026E">
        <w:rPr>
          <w:i w:val="0"/>
          <w:iCs w:val="0"/>
          <w:color w:val="000000" w:themeColor="text1"/>
          <w:spacing w:val="0"/>
          <w:kern w:val="0"/>
          <w:position w:val="0"/>
          <w:sz w:val="16"/>
          <w:szCs w:val="16"/>
          <w:lang w:val="ru-RU"/>
        </w:rPr>
        <w:softHyphen/>
        <w:t>ва было оторвано на приведение материальной части в порядок, так как моторесурсы за зиму и лето были почти полностью израсходованы.</w:t>
      </w:r>
    </w:p>
    <w:p w14:paraId="50D70FE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Больше половины частей, перешедших на новые места, не имели полигонов. Это не дало воз</w:t>
      </w:r>
      <w:r w:rsidRPr="00A3026E">
        <w:rPr>
          <w:rFonts w:ascii="Times New Roman" w:hAnsi="Times New Roman"/>
          <w:color w:val="000000" w:themeColor="text1"/>
          <w:sz w:val="16"/>
          <w:szCs w:val="16"/>
        </w:rPr>
        <w:softHyphen/>
        <w:t>можности отработать боевые стрельбы. Стрельбы закончили только с места, никто в этом году не стрелял взводом, ротой. Таким образом, огневая подготовка осталась в этом году недоработанной.</w:t>
      </w:r>
    </w:p>
    <w:p w14:paraId="658A9EA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Проверка частей инспекцией округов и распоряжением Народного комиссара обороны показа</w:t>
      </w:r>
      <w:r w:rsidRPr="00A3026E">
        <w:rPr>
          <w:rFonts w:ascii="Times New Roman" w:hAnsi="Times New Roman"/>
          <w:color w:val="000000" w:themeColor="text1"/>
          <w:sz w:val="16"/>
          <w:szCs w:val="16"/>
        </w:rPr>
        <w:softHyphen/>
        <w:t>ла, что большинство дивизий и бригад дали по огневой подготовке отличные и хорошие результаты. Но наряду с этим 20 процентов соединений и частей показали плохую стрелковую подготовку. Та</w:t>
      </w:r>
      <w:r w:rsidRPr="00A3026E">
        <w:rPr>
          <w:rFonts w:ascii="Times New Roman" w:hAnsi="Times New Roman"/>
          <w:color w:val="000000" w:themeColor="text1"/>
          <w:sz w:val="16"/>
          <w:szCs w:val="16"/>
        </w:rPr>
        <w:softHyphen/>
        <w:t>ким образом, в стрелковой подготовке получилось резкое колебание.</w:t>
      </w:r>
    </w:p>
    <w:p w14:paraId="11F58FA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тактической подготовке остались недоработанными вопросы взаимодействия. Из года в год мы говорим о взаимодействии с пехотой и каждый год так остается. Когда подводим итоги, мы ищем причины, почему получилось так, почему, если бригада или дивизия стоит далеко от пехоты, то обя</w:t>
      </w:r>
      <w:r w:rsidRPr="00A3026E">
        <w:rPr>
          <w:rFonts w:ascii="Times New Roman" w:hAnsi="Times New Roman"/>
          <w:color w:val="000000" w:themeColor="text1"/>
          <w:sz w:val="16"/>
          <w:szCs w:val="16"/>
        </w:rPr>
        <w:softHyphen/>
        <w:t>зательно требуется, чтобы танки шли к пехоте (а для этого требуется израсходовать лишних 10 мото</w:t>
      </w:r>
      <w:r w:rsidRPr="00A3026E">
        <w:rPr>
          <w:rFonts w:ascii="Times New Roman" w:hAnsi="Times New Roman"/>
          <w:color w:val="000000" w:themeColor="text1"/>
          <w:sz w:val="16"/>
          <w:szCs w:val="16"/>
        </w:rPr>
        <w:softHyphen/>
        <w:t>часов). Надо так ставить вопрос, чтобы не только танки ходили к пехоте, но и пехота ходила к тан</w:t>
      </w:r>
      <w:r w:rsidRPr="00A3026E">
        <w:rPr>
          <w:rFonts w:ascii="Times New Roman" w:hAnsi="Times New Roman"/>
          <w:color w:val="000000" w:themeColor="text1"/>
          <w:sz w:val="16"/>
          <w:szCs w:val="16"/>
        </w:rPr>
        <w:softHyphen/>
        <w:t>кам. Надо сделать марш, подойти к расположению танков и заниматься на том месте, где стоят тан</w:t>
      </w:r>
      <w:r w:rsidRPr="00A3026E">
        <w:rPr>
          <w:rFonts w:ascii="Times New Roman" w:hAnsi="Times New Roman"/>
          <w:color w:val="000000" w:themeColor="text1"/>
          <w:sz w:val="16"/>
          <w:szCs w:val="16"/>
        </w:rPr>
        <w:softHyphen/>
        <w:t>ки. Мы этого до сих пор не практикуем. А для того, чтобы сберечь для войны больше моторесурсов, надо теперь это практиковать.</w:t>
      </w:r>
    </w:p>
    <w:p w14:paraId="14943CA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Механизированные соединения еще не отработали взаимодействия внутри себя, не отработали взаимодействия даже с мотопехотой и артиллерией, которые входят в состав механизированных корпусов и дивизий. В этом отношении только есть попытки. В этом году корпуса и дивизии отраба</w:t>
      </w:r>
      <w:r w:rsidRPr="00A3026E">
        <w:rPr>
          <w:rFonts w:ascii="Times New Roman" w:hAnsi="Times New Roman"/>
          <w:color w:val="000000" w:themeColor="text1"/>
          <w:sz w:val="16"/>
          <w:szCs w:val="16"/>
        </w:rPr>
        <w:softHyphen/>
        <w:t xml:space="preserve">тывали вопросы вхождения в прорыв и </w:t>
      </w:r>
      <w:r w:rsidRPr="00A3026E">
        <w:rPr>
          <w:rFonts w:ascii="Times New Roman" w:hAnsi="Times New Roman"/>
          <w:color w:val="000000" w:themeColor="text1"/>
          <w:sz w:val="16"/>
          <w:szCs w:val="16"/>
        </w:rPr>
        <w:lastRenderedPageBreak/>
        <w:t>наступление, но это только ознакомление, никакого боевого взаимодействия и сплоченности в этих вопросах еще нет. И этот вопрос остался в этом году недора</w:t>
      </w:r>
      <w:r w:rsidRPr="00A3026E">
        <w:rPr>
          <w:rFonts w:ascii="Times New Roman" w:hAnsi="Times New Roman"/>
          <w:color w:val="000000" w:themeColor="text1"/>
          <w:sz w:val="16"/>
          <w:szCs w:val="16"/>
        </w:rPr>
        <w:softHyphen/>
        <w:t>ботанным.</w:t>
      </w:r>
    </w:p>
    <w:p w14:paraId="15E8983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из видов боевой подготовки — поднятие и выход по тревоге — также остался недоработан</w:t>
      </w:r>
      <w:r w:rsidRPr="00A3026E">
        <w:rPr>
          <w:rFonts w:ascii="Times New Roman" w:hAnsi="Times New Roman"/>
          <w:color w:val="000000" w:themeColor="text1"/>
          <w:sz w:val="16"/>
          <w:szCs w:val="16"/>
        </w:rPr>
        <w:softHyphen/>
        <w:t>ным. Поднятие по тревоге соединения показало, когда отъедешь на 30 — 40 км от расположения час</w:t>
      </w:r>
      <w:r w:rsidRPr="00A3026E">
        <w:rPr>
          <w:rFonts w:ascii="Times New Roman" w:hAnsi="Times New Roman"/>
          <w:color w:val="000000" w:themeColor="text1"/>
          <w:sz w:val="16"/>
          <w:szCs w:val="16"/>
        </w:rPr>
        <w:softHyphen/>
        <w:t>ти, то нужно пять дней ездить обратно и забирать нужное, но не взятое, и отвозить взятое, но ненуж</w:t>
      </w:r>
      <w:r w:rsidRPr="00A3026E">
        <w:rPr>
          <w:rFonts w:ascii="Times New Roman" w:hAnsi="Times New Roman"/>
          <w:color w:val="000000" w:themeColor="text1"/>
          <w:sz w:val="16"/>
          <w:szCs w:val="16"/>
        </w:rPr>
        <w:softHyphen/>
        <w:t>ное. Нужно заранее рассчитывать, что машина должна везти. При проверке вышедших машин ока</w:t>
      </w:r>
      <w:r w:rsidRPr="00A3026E">
        <w:rPr>
          <w:rFonts w:ascii="Times New Roman" w:hAnsi="Times New Roman"/>
          <w:color w:val="000000" w:themeColor="text1"/>
          <w:sz w:val="16"/>
          <w:szCs w:val="16"/>
        </w:rPr>
        <w:softHyphen/>
        <w:t>зывалось, что все машины, как правило, не догружены на 300 — 500 кг, а есть такие машины, которые вмещают в себя 3 тонны, а на них грузится одна тонна. В результате командиры заявляют, что машин не хватает. Нужно заранее, еще в мирное время, рассчитать, что на каждую машину грузить, сколько грузить, и тогда у нас тыл окажется много меньше и машин вместо недостачи будет много излишних.</w:t>
      </w:r>
    </w:p>
    <w:p w14:paraId="1724F20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Надо сказать, что подготовка тыла у нас плохая, этот вопрос остается недоработанным. В тылу остается людей столько, сколько идет в бой, а иногда и больше. На деле получается, что эти люди для обороны тыла не организованы ни в роты, ни во взводы, остается куча-масса людей. Нужно вовремя взять и организовать этих людей в роты и взводы, так как во время войны это делать будет трудно.</w:t>
      </w:r>
    </w:p>
    <w:p w14:paraId="7F6644F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Следующий вопрос — укладка груза и вождение колонн по дорогам. В этом вопросе еще много беспорядка. Машины на дорогах не держатся правой стороны, люди, которые выходят из машин, то</w:t>
      </w:r>
      <w:r w:rsidRPr="00A3026E">
        <w:rPr>
          <w:rFonts w:ascii="Times New Roman" w:hAnsi="Times New Roman"/>
          <w:color w:val="000000" w:themeColor="text1"/>
          <w:sz w:val="16"/>
          <w:szCs w:val="16"/>
        </w:rPr>
        <w:softHyphen/>
        <w:t>же не придерживаются правой стороны. Мы пробовали выводить до полутора тысяч машин, получа</w:t>
      </w:r>
      <w:r w:rsidRPr="00A3026E">
        <w:rPr>
          <w:rFonts w:ascii="Times New Roman" w:hAnsi="Times New Roman"/>
          <w:color w:val="000000" w:themeColor="text1"/>
          <w:sz w:val="16"/>
          <w:szCs w:val="16"/>
        </w:rPr>
        <w:softHyphen/>
        <w:t>ется много недочетов, как в движении на марше, так и в укладке грузов.</w:t>
      </w:r>
    </w:p>
    <w:p w14:paraId="1170C80C"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На следующий год на тыл придется обратить внимание, иначе он нам в боевой обстановке сде</w:t>
      </w:r>
      <w:r w:rsidRPr="00A3026E">
        <w:rPr>
          <w:i w:val="0"/>
          <w:iCs w:val="0"/>
          <w:color w:val="000000" w:themeColor="text1"/>
          <w:spacing w:val="0"/>
          <w:kern w:val="0"/>
          <w:position w:val="0"/>
          <w:sz w:val="16"/>
          <w:szCs w:val="16"/>
          <w:lang w:val="ru-RU"/>
        </w:rPr>
        <w:softHyphen/>
        <w:t>лает много плохого. Нужно уделить внимание вождению транспортных машин, как днем, так и но</w:t>
      </w:r>
      <w:r w:rsidRPr="00A3026E">
        <w:rPr>
          <w:i w:val="0"/>
          <w:iCs w:val="0"/>
          <w:color w:val="000000" w:themeColor="text1"/>
          <w:spacing w:val="0"/>
          <w:kern w:val="0"/>
          <w:position w:val="0"/>
          <w:sz w:val="16"/>
          <w:szCs w:val="16"/>
          <w:lang w:val="ru-RU"/>
        </w:rPr>
        <w:softHyphen/>
        <w:t>чью. Вождение в колоннах транспортных машин, связь, разведка остаются недоработанными и в особенности с разведкой и ориентировкой. Пустишь танк в разведку, он пройдет вокруг леса, боло</w:t>
      </w:r>
      <w:r w:rsidRPr="00A3026E">
        <w:rPr>
          <w:i w:val="0"/>
          <w:iCs w:val="0"/>
          <w:color w:val="000000" w:themeColor="text1"/>
          <w:spacing w:val="0"/>
          <w:kern w:val="0"/>
          <w:position w:val="0"/>
          <w:sz w:val="16"/>
          <w:szCs w:val="16"/>
          <w:lang w:val="ru-RU"/>
        </w:rPr>
        <w:softHyphen/>
        <w:t>та, экипаж выйдет и не знает, где юг, где север. У экипажа совершенно нет карт. Нужно научить экипаж разбираться по карте. У нас карты имеет, как правило, только командир роты, а командир взво</w:t>
      </w:r>
      <w:r w:rsidRPr="00A3026E">
        <w:rPr>
          <w:i w:val="0"/>
          <w:iCs w:val="0"/>
          <w:color w:val="000000" w:themeColor="text1"/>
          <w:spacing w:val="0"/>
          <w:kern w:val="0"/>
          <w:position w:val="0"/>
          <w:sz w:val="16"/>
          <w:szCs w:val="16"/>
          <w:lang w:val="ru-RU"/>
        </w:rPr>
        <w:softHyphen/>
        <w:t>да и экипаж карт не имеют. В танковых войсках даже экипаж должен иметь карту и отлично уметь ею пользоваться.</w:t>
      </w:r>
    </w:p>
    <w:p w14:paraId="2EB721D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из видов боевой подготовки механизированных соединений осталось недорабо</w:t>
      </w:r>
      <w:r w:rsidRPr="00A3026E">
        <w:rPr>
          <w:rFonts w:ascii="Times New Roman" w:hAnsi="Times New Roman"/>
          <w:color w:val="000000" w:themeColor="text1"/>
          <w:sz w:val="16"/>
          <w:szCs w:val="16"/>
        </w:rPr>
        <w:softHyphen/>
        <w:t>танным взаимодействие пехоты с танковыми соединениями.</w:t>
      </w:r>
    </w:p>
    <w:p w14:paraId="429A18C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Плохо обстоит дело с огневой подготовкой начальствующего состава. В прошлом году в сред</w:t>
      </w:r>
      <w:r w:rsidRPr="00A3026E">
        <w:rPr>
          <w:rFonts w:ascii="Times New Roman" w:hAnsi="Times New Roman"/>
          <w:color w:val="000000" w:themeColor="text1"/>
          <w:sz w:val="16"/>
          <w:szCs w:val="16"/>
        </w:rPr>
        <w:softHyphen/>
        <w:t>нем по РККА было выполнено 80 процентов из личного оружия, а в этом году 40 — 45 процентов. (С.К. Тимошенко: Почему?) Н.Я. Федоренко: С командиров в этом году недостаточно требовали. Командный состав, пришедший из запаса, как правило, стрелять не умеет. Когда стреляют, закры</w:t>
      </w:r>
      <w:r w:rsidRPr="00A3026E">
        <w:rPr>
          <w:rFonts w:ascii="Times New Roman" w:hAnsi="Times New Roman"/>
          <w:color w:val="000000" w:themeColor="text1"/>
          <w:sz w:val="16"/>
          <w:szCs w:val="16"/>
        </w:rPr>
        <w:softHyphen/>
        <w:t>вают глаза. (Смех в зале).</w:t>
      </w:r>
    </w:p>
    <w:p w14:paraId="2CB4BA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Какие части по боевой подготовке в танковых частях лучшие? Дивизия генерала Куркина (Прибалтийский военный округ), генерала Фотченко (Киевский военный округ), генерала Феклен-ко (Киевский военный округ), генерала Новикова (Закавказский военный округ). Лучшие крупные механизированные соединения Красной Армии — это соединения генерала Потапова и генерала Еременко.</w:t>
      </w:r>
    </w:p>
    <w:p w14:paraId="2C69228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Каковы причины недостатков в боевой подготовке? Основная причина — это подготовка на</w:t>
      </w:r>
      <w:r w:rsidRPr="00A3026E">
        <w:rPr>
          <w:rFonts w:ascii="Times New Roman" w:hAnsi="Times New Roman"/>
          <w:color w:val="000000" w:themeColor="text1"/>
          <w:sz w:val="16"/>
          <w:szCs w:val="16"/>
        </w:rPr>
        <w:softHyphen/>
        <w:t>чальствующего состава, начиная с академии. Из академии начальствующий состав приходит в вой</w:t>
      </w:r>
      <w:r w:rsidRPr="00A3026E">
        <w:rPr>
          <w:rFonts w:ascii="Times New Roman" w:hAnsi="Times New Roman"/>
          <w:color w:val="000000" w:themeColor="text1"/>
          <w:sz w:val="16"/>
          <w:szCs w:val="16"/>
        </w:rPr>
        <w:softHyphen/>
        <w:t>ска с недостаточной подготовкой для практической работы. За 5 лет учебы он бывает на стажировке мало, всего 3 раза по одному месяцу. По существу за время учебы в академии он отрывается от войск. Во-вторых, ввели в академиях систему учить людей по учебным штатам, а не по действитель</w:t>
      </w:r>
      <w:r w:rsidRPr="00A3026E">
        <w:rPr>
          <w:rFonts w:ascii="Times New Roman" w:hAnsi="Times New Roman"/>
          <w:color w:val="000000" w:themeColor="text1"/>
          <w:sz w:val="16"/>
          <w:szCs w:val="16"/>
        </w:rPr>
        <w:softHyphen/>
        <w:t>ным, и окончивший академию приходит в войска и хуже бойца знает организацию родов войск. Учить в академиях нужно на действительных штатах. (С.К. Тимошенко: Это в академии?). Я.Н. Фе</w:t>
      </w:r>
      <w:r w:rsidRPr="00A3026E">
        <w:rPr>
          <w:rFonts w:ascii="Times New Roman" w:hAnsi="Times New Roman"/>
          <w:color w:val="000000" w:themeColor="text1"/>
          <w:sz w:val="16"/>
          <w:szCs w:val="16"/>
        </w:rPr>
        <w:softHyphen/>
        <w:t>доренко: Так точно. Это во всех академиях. Им запрещено было давать действительные штаты. В этом году, с половины лета, это наладили. А до этого вели занятия исключительно на учебных шта</w:t>
      </w:r>
      <w:r w:rsidRPr="00A3026E">
        <w:rPr>
          <w:rFonts w:ascii="Times New Roman" w:hAnsi="Times New Roman"/>
          <w:color w:val="000000" w:themeColor="text1"/>
          <w:sz w:val="16"/>
          <w:szCs w:val="16"/>
        </w:rPr>
        <w:softHyphen/>
        <w:t>тах. Сейчас ведут на нормальных штатах.</w:t>
      </w:r>
    </w:p>
    <w:p w14:paraId="585FA0E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недостаток — обучают людей общей специальности. Скажем, Киевское танкотехниче-ское училище, там должны готовиться техники по ремонту, по эксплуатации, по электроприборам, а курсант проходит всего понемножку, научится всему, а по существу ничего конкретно не знает. (С.К. Тимошенко: За сколько лет таких грамотеев выпускают?). Я.Н. Федоренко: В академии -пять лет, а в училищах — 2 года. Я считаю, что для обучения танкового инженера вполне достаточ</w:t>
      </w:r>
      <w:r w:rsidRPr="00A3026E">
        <w:rPr>
          <w:rFonts w:ascii="Times New Roman" w:hAnsi="Times New Roman"/>
          <w:color w:val="000000" w:themeColor="text1"/>
          <w:sz w:val="16"/>
          <w:szCs w:val="16"/>
        </w:rPr>
        <w:softHyphen/>
        <w:t>но 4 года, для автотракторного дела — 3 года. А у нас есть какой-то закон — командует высшая шко</w:t>
      </w:r>
      <w:r w:rsidRPr="00A3026E">
        <w:rPr>
          <w:rFonts w:ascii="Times New Roman" w:hAnsi="Times New Roman"/>
          <w:color w:val="000000" w:themeColor="text1"/>
          <w:sz w:val="16"/>
          <w:szCs w:val="16"/>
        </w:rPr>
        <w:softHyphen/>
        <w:t>ла при Совнаркоме (смех в зале). Они командуют. (С.К. Тимошенко: Бюрократу все мешает, бюро</w:t>
      </w:r>
      <w:r w:rsidRPr="00A3026E">
        <w:rPr>
          <w:rFonts w:ascii="Times New Roman" w:hAnsi="Times New Roman"/>
          <w:color w:val="000000" w:themeColor="text1"/>
          <w:sz w:val="16"/>
          <w:szCs w:val="16"/>
        </w:rPr>
        <w:softHyphen/>
        <w:t>крат ищет себе в начальники такого же бюрократа). Я.Н. Федоренко: Они программу утверждают. Люди идут для армии, а программы дают другие. Это ненормально. Надо нам утверждать и учить, кого нам надо.</w:t>
      </w:r>
    </w:p>
    <w:p w14:paraId="67AC159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учат училища? Они учат всему понемножку. Практики училище не давало. В этом году впервые дали практику на 2 месяца, а до сих пор был один месяц практики. И получается, что при</w:t>
      </w:r>
      <w:r w:rsidRPr="00A3026E">
        <w:rPr>
          <w:rFonts w:ascii="Times New Roman" w:hAnsi="Times New Roman"/>
          <w:color w:val="000000" w:themeColor="text1"/>
          <w:sz w:val="16"/>
          <w:szCs w:val="16"/>
        </w:rPr>
        <w:softHyphen/>
        <w:t>ходят, знают теорию, а практики не знают. Нам надо немедленно это дело перевернуть наоборот.</w:t>
      </w:r>
    </w:p>
    <w:p w14:paraId="4FC5BFC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этом году инспекция вузов проверяла училища (до подчинения их мне) и требовала, как главное, — переползание, штыковой бой, рукопашный бой, наступление и оборона стрелково</w:t>
      </w:r>
      <w:r w:rsidRPr="00A3026E">
        <w:rPr>
          <w:rFonts w:ascii="Times New Roman" w:hAnsi="Times New Roman"/>
          <w:color w:val="000000" w:themeColor="text1"/>
          <w:sz w:val="16"/>
          <w:szCs w:val="16"/>
        </w:rPr>
        <w:softHyphen/>
        <w:t>го взвода. Получив по этим видам боевой подготовки неудовлетворительно, начали ползать (смех в зале), бросили изучать материальную часть машин и все то, что им положено, как тех</w:t>
      </w:r>
      <w:r w:rsidRPr="00A3026E">
        <w:rPr>
          <w:rFonts w:ascii="Times New Roman" w:hAnsi="Times New Roman"/>
          <w:color w:val="000000" w:themeColor="text1"/>
          <w:sz w:val="16"/>
          <w:szCs w:val="16"/>
        </w:rPr>
        <w:softHyphen/>
        <w:t>никам-танкистам.</w:t>
      </w:r>
    </w:p>
    <w:p w14:paraId="705B721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осенней проверки, по своей специальности получили также неудовлетворительно. При проверке говорят: «Объясни танк», а начальник училища предлагает: «Проверьте переползание и рукопашный бой, он вам все сделает». (Смех в зале). Получилось, что лето проползали, а потом ма</w:t>
      </w:r>
      <w:r w:rsidRPr="00A3026E">
        <w:rPr>
          <w:rFonts w:ascii="Times New Roman" w:hAnsi="Times New Roman"/>
          <w:color w:val="000000" w:themeColor="text1"/>
          <w:sz w:val="16"/>
          <w:szCs w:val="16"/>
        </w:rPr>
        <w:softHyphen/>
        <w:t>териальную часть машин и своей основной специальности не знают. Надо учить тому, что придется делать на войне. Не обязательно, чтобы все ползали, когда танкист вынужден будет ползти, он будет ползти, но учить его этому наравне с пехотой не надо.</w:t>
      </w:r>
    </w:p>
    <w:p w14:paraId="7F35922E"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Надо, товарищ Народный комиссар, не допускать растаскивания кадров танкистов. Они очень нужны нам, а получается, что мы готовим кадры в академиях и училищах, а у нас всех растаскивают в счет «тысячи». У нас большинство инженеров разобрали и только 25 процентов осталось в армии, а всех остальных забрали на заводы, в наркоматы и в разные управления и учреждения. (С места: У Вас все в тысячах). Я. Н. Федоренко: Получается, что 3 года берут подряд в счет «тысячи» и никаких инженерных кадров сейчас нет. Один-два инженера на дивизию. Надо поставить вопрос, чтобы на</w:t>
      </w:r>
      <w:r w:rsidRPr="00A3026E">
        <w:rPr>
          <w:i w:val="0"/>
          <w:iCs w:val="0"/>
          <w:color w:val="000000" w:themeColor="text1"/>
          <w:spacing w:val="0"/>
          <w:kern w:val="0"/>
          <w:position w:val="0"/>
          <w:sz w:val="16"/>
          <w:szCs w:val="16"/>
          <w:lang w:val="ru-RU"/>
        </w:rPr>
        <w:softHyphen/>
        <w:t>ших инженеров вернули.</w:t>
      </w:r>
    </w:p>
    <w:p w14:paraId="4535F23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Вопрос подготовки младшего начсостава. Подготовка младшего начсостава не на должной высо</w:t>
      </w:r>
      <w:r w:rsidRPr="00A3026E">
        <w:rPr>
          <w:rFonts w:ascii="Times New Roman" w:hAnsi="Times New Roman"/>
          <w:color w:val="000000" w:themeColor="text1"/>
          <w:sz w:val="16"/>
          <w:szCs w:val="16"/>
        </w:rPr>
        <w:softHyphen/>
        <w:t>те. Вопрос учебных подразделений. Нет полковых и бригадных школ. Сейчас обучают младший нач</w:t>
      </w:r>
      <w:r w:rsidRPr="00A3026E">
        <w:rPr>
          <w:rFonts w:ascii="Times New Roman" w:hAnsi="Times New Roman"/>
          <w:color w:val="000000" w:themeColor="text1"/>
          <w:sz w:val="16"/>
          <w:szCs w:val="16"/>
        </w:rPr>
        <w:softHyphen/>
        <w:t>состав при первых ротах, где получается двойной комплект экипажей, что создает еще худшие усло</w:t>
      </w:r>
      <w:r w:rsidRPr="00A3026E">
        <w:rPr>
          <w:rFonts w:ascii="Times New Roman" w:hAnsi="Times New Roman"/>
          <w:color w:val="000000" w:themeColor="text1"/>
          <w:sz w:val="16"/>
          <w:szCs w:val="16"/>
        </w:rPr>
        <w:softHyphen/>
        <w:t>вия, чем в линейной роте. Надо ввести полковые школы, как во всех частях, иначе обучать младший командный состав в механизированных частях и соединениях весьма трудно.</w:t>
      </w:r>
    </w:p>
    <w:p w14:paraId="4199D31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Еще один вопрос о национальностях. В танковых дивизиях и бригадах имеется около 24 нацио</w:t>
      </w:r>
      <w:r w:rsidRPr="00A3026E">
        <w:rPr>
          <w:rFonts w:ascii="Times New Roman" w:hAnsi="Times New Roman"/>
          <w:color w:val="000000" w:themeColor="text1"/>
          <w:sz w:val="16"/>
          <w:szCs w:val="16"/>
        </w:rPr>
        <w:softHyphen/>
        <w:t>нальностей, из них до 15 национальностей по-русски совсем ничего не говорят и поэтому их трудно научить овладеть танком в отводимое для этого время. Как же их научить, если они не говорят по-русски. Я не против национальностей (Смех в зале). Но надо, чтобы они знали русский язык и были грамотными людьми. Выходит, что он танка не знает, по радио говорить не может и поэтому подго</w:t>
      </w:r>
      <w:r w:rsidRPr="00A3026E">
        <w:rPr>
          <w:rFonts w:ascii="Times New Roman" w:hAnsi="Times New Roman"/>
          <w:color w:val="000000" w:themeColor="text1"/>
          <w:sz w:val="16"/>
          <w:szCs w:val="16"/>
        </w:rPr>
        <w:softHyphen/>
        <w:t>товка младшего состава страдает. Я считаю, что контингент национальностей, призываемых в танко</w:t>
      </w:r>
      <w:r w:rsidRPr="00A3026E">
        <w:rPr>
          <w:rFonts w:ascii="Times New Roman" w:hAnsi="Times New Roman"/>
          <w:color w:val="000000" w:themeColor="text1"/>
          <w:sz w:val="16"/>
          <w:szCs w:val="16"/>
        </w:rPr>
        <w:softHyphen/>
        <w:t>вые войска, не говорящих по-русски, надо сократить.</w:t>
      </w:r>
    </w:p>
    <w:p w14:paraId="4542F7A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Основная задача механизированных соединений на 1941 год — подготовить их для самостоя</w:t>
      </w:r>
      <w:r w:rsidRPr="00A3026E">
        <w:rPr>
          <w:rFonts w:ascii="Times New Roman" w:hAnsi="Times New Roman"/>
          <w:color w:val="000000" w:themeColor="text1"/>
          <w:sz w:val="16"/>
          <w:szCs w:val="16"/>
        </w:rPr>
        <w:softHyphen/>
        <w:t>тельных действий. Танковые бригады должны быть подготовлены взаимодействовать с пехотой и чтобы пехота при своих учениях подходила к расположению танковых бригад, а не наоборот. Надо будет, кроме программных указаний, научить танковые войска вести огонь, управлять огнем, взво</w:t>
      </w:r>
      <w:r w:rsidRPr="00A3026E">
        <w:rPr>
          <w:rFonts w:ascii="Times New Roman" w:hAnsi="Times New Roman"/>
          <w:color w:val="000000" w:themeColor="text1"/>
          <w:sz w:val="16"/>
          <w:szCs w:val="16"/>
        </w:rPr>
        <w:softHyphen/>
        <w:t>дом и ротой. Одиночные стрельбы не могут дать того эффекта, который должен быть в бою.</w:t>
      </w:r>
    </w:p>
    <w:p w14:paraId="3523E8F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 прошу еще, товарищ Народный комиссар, чтобы танковые войска были освобождены от гар</w:t>
      </w:r>
      <w:r w:rsidRPr="00A3026E">
        <w:rPr>
          <w:rFonts w:ascii="Times New Roman" w:hAnsi="Times New Roman"/>
          <w:color w:val="000000" w:themeColor="text1"/>
          <w:sz w:val="16"/>
          <w:szCs w:val="16"/>
        </w:rPr>
        <w:softHyphen/>
        <w:t>низонных караулов. Сейчас в караул ходит до 50 процентов личного состава отдельных механизиро</w:t>
      </w:r>
      <w:r w:rsidRPr="00A3026E">
        <w:rPr>
          <w:rFonts w:ascii="Times New Roman" w:hAnsi="Times New Roman"/>
          <w:color w:val="000000" w:themeColor="text1"/>
          <w:sz w:val="16"/>
          <w:szCs w:val="16"/>
        </w:rPr>
        <w:softHyphen/>
        <w:t>ванных и танковых соединений. Надо, чтобы танковые экипажи от караулов были освобождены, так как перед ними на следующий год стоят большие задачи.</w:t>
      </w:r>
    </w:p>
    <w:p w14:paraId="3DADD62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Нужно будет научить танковые части выходить по тревоге. Учить надо со взвода и выше. Сейчас получается так: спустят приказ о порядке выхода по тревоге и на этом кончается. Надо отработать роту, батальон, потом — полк, и, если полк не отработан, нечего поднимать по тревоге дивизию. От</w:t>
      </w:r>
      <w:r w:rsidRPr="00A3026E">
        <w:rPr>
          <w:rFonts w:ascii="Times New Roman" w:hAnsi="Times New Roman"/>
          <w:color w:val="000000" w:themeColor="text1"/>
          <w:sz w:val="16"/>
          <w:szCs w:val="16"/>
        </w:rPr>
        <w:softHyphen/>
        <w:t>работанной часть по тревоге считается тогда, когда каждый боец, взвод, рота, часть и соединение точно знает и умеет практически выполнять то, что положено делать по тревоге.</w:t>
      </w:r>
    </w:p>
    <w:p w14:paraId="50FE52E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Особенная трудность в 1941 году будет заключаться в том, что целый ряд танковых соединений не получит материальной части и придется учиться на минимальном количестве материальной час</w:t>
      </w:r>
      <w:r w:rsidRPr="00A3026E">
        <w:rPr>
          <w:rFonts w:ascii="Times New Roman" w:hAnsi="Times New Roman"/>
          <w:color w:val="000000" w:themeColor="text1"/>
          <w:sz w:val="16"/>
          <w:szCs w:val="16"/>
        </w:rPr>
        <w:softHyphen/>
        <w:t>ти. Это надо будет учесть.</w:t>
      </w:r>
    </w:p>
    <w:p w14:paraId="47BEC6C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последний вопрос. Я хочу просить высший командный состав о том, чтобы принять все меры к то</w:t>
      </w:r>
      <w:r w:rsidRPr="00A3026E">
        <w:rPr>
          <w:rFonts w:ascii="Times New Roman" w:hAnsi="Times New Roman"/>
          <w:color w:val="000000" w:themeColor="text1"/>
          <w:sz w:val="16"/>
          <w:szCs w:val="16"/>
        </w:rPr>
        <w:softHyphen/>
        <w:t>му, чтобы сберечь материальную часть. В этом году выбыла из строя масса боевых и вспомогательных машин. 21 000 машин по заявкам округов требует капитального ремонта, а когда проверишь, многие ма</w:t>
      </w:r>
      <w:r w:rsidRPr="00A3026E">
        <w:rPr>
          <w:rFonts w:ascii="Times New Roman" w:hAnsi="Times New Roman"/>
          <w:color w:val="000000" w:themeColor="text1"/>
          <w:sz w:val="16"/>
          <w:szCs w:val="16"/>
        </w:rPr>
        <w:softHyphen/>
        <w:t>шины требуют всего 2-х часов времени, за которые их можно привести в порядок. В дивизии надо иметь начальника автобронетанковой службы и дать ему еще помощника, которые ведали бы этим вопросом. А то получается: мы говорим, требуем, а исполнителей на низу нет. (С.К. Тимошенко: В мотодивизии есть. Я. Н. Федоренко: Да, там есть. В этом большая трудность сбережения материальной части машин.</w:t>
      </w:r>
    </w:p>
    <w:p w14:paraId="7CDD755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56ECA19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Заключительное слово командующего войсками Западного особого военного округа генерал-полковника танковых войск Д.Г. Павлова.</w:t>
      </w:r>
    </w:p>
    <w:p w14:paraId="4F00F7A6"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Товарищи! Все выступления показали, что по оперативным вопросам использования танковых корпусов и взаимодействию их с конницей и авиацией расхождений нет. Вопросы, которые здесь стали спорными, являлись больше вопросами тактического порядка. Я исхожу из старой истины, которая говорит, что там, где собралось два тактика, там обязательно будет три решения. У нас такти</w:t>
      </w:r>
      <w:r w:rsidRPr="00A3026E">
        <w:rPr>
          <w:i w:val="0"/>
          <w:iCs w:val="0"/>
          <w:color w:val="000000" w:themeColor="text1"/>
          <w:spacing w:val="0"/>
          <w:kern w:val="0"/>
          <w:position w:val="0"/>
          <w:sz w:val="16"/>
          <w:szCs w:val="16"/>
          <w:lang w:val="ru-RU"/>
        </w:rPr>
        <w:softHyphen/>
        <w:t>ков собралось очень много, и поэтому вопрос трактовался по-разному.</w:t>
      </w:r>
    </w:p>
    <w:p w14:paraId="73297F8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Сейчас настала такая пора, когда есть один тактик (я имею в виду Народного комиссара оборо</w:t>
      </w:r>
      <w:r w:rsidRPr="00A3026E">
        <w:rPr>
          <w:rFonts w:ascii="Times New Roman" w:hAnsi="Times New Roman"/>
          <w:color w:val="000000" w:themeColor="text1"/>
          <w:sz w:val="16"/>
          <w:szCs w:val="16"/>
        </w:rPr>
        <w:softHyphen/>
        <w:t>ны), который все наши мнения обобщит в одном общем выводе и даст точные и ясные указания, как нам нужно в ближайшее время работать. По тактическим вопросам, по вопросам введения мехкор-пусов в прорыв нужно работать много и очень много, искать разные пути и средства.</w:t>
      </w:r>
    </w:p>
    <w:p w14:paraId="1A0F6C2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своем заключении я попытаюсь остановиться на ряде вопросов. Мне из-за ограниченности времени не удалось развить вопрос использования конницы, за что получил справедливый и заслу</w:t>
      </w:r>
      <w:r w:rsidRPr="00A3026E">
        <w:rPr>
          <w:rFonts w:ascii="Times New Roman" w:hAnsi="Times New Roman"/>
          <w:color w:val="000000" w:themeColor="text1"/>
          <w:sz w:val="16"/>
          <w:szCs w:val="16"/>
        </w:rPr>
        <w:softHyphen/>
        <w:t>женный упрек. Я считаю, что конница, пущенная вторым эшелоном за танковым корпусом, выпол</w:t>
      </w:r>
      <w:r w:rsidRPr="00A3026E">
        <w:rPr>
          <w:rFonts w:ascii="Times New Roman" w:hAnsi="Times New Roman"/>
          <w:color w:val="000000" w:themeColor="text1"/>
          <w:sz w:val="16"/>
          <w:szCs w:val="16"/>
        </w:rPr>
        <w:softHyphen/>
        <w:t>няет и обязана выполнять следующие задачи:</w:t>
      </w:r>
    </w:p>
    <w:p w14:paraId="5CB456C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 Она своими действиями, направленными вправо или влево от главного удара мехкорпуса для обеспечения его боевого порядка от фланговых ударов противника, сможет усилить дальнобойность механизированного корпуса. Это раз.</w:t>
      </w:r>
    </w:p>
    <w:p w14:paraId="0D72D96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Конница, пущенная (я на это особенно обращаю внимание) за мехкорпусами в прорыв, даже если по срокам не успеет выйти вместе с ними в глубину, то она сможет связать [мехкорпус] со стрелковыми корпусами, не допустить смыкания флангов и этим обеспечить нормальную работу мехкорпуса. Одновременно она будет вести и охрану нашего тыла и свяжет части мехкорпуса со стрелковыми частями.</w:t>
      </w:r>
    </w:p>
    <w:p w14:paraId="0A0A2F1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Следующий принципиальный вопрос: когда вводить корпус в прорыв? Ломать ли ему самому вторую оборонительную полосу? Конечно, танкисту хочется, чтобы его корпус как святой вышел на престол, непотрепанный. Конечно, его мечта — громить тылы, станции, жандармерию. Но это не просто. По-видимому, свободу действий придется чаще завоевывать боем.</w:t>
      </w:r>
    </w:p>
    <w:p w14:paraId="43BD387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Дальше. Как проломить вторую полосу? Тут совершенно правильно говорили, что нельзя подхо</w:t>
      </w:r>
      <w:r w:rsidRPr="00A3026E">
        <w:rPr>
          <w:rFonts w:ascii="Times New Roman" w:hAnsi="Times New Roman"/>
          <w:color w:val="000000" w:themeColor="text1"/>
          <w:sz w:val="16"/>
          <w:szCs w:val="16"/>
        </w:rPr>
        <w:softHyphen/>
        <w:t>дить огульно и брать ее обязательно. Все зависит не только от данного мехкорпусу направления, но и от общего направления усилий фронта. Иногда будет выгоднее танковому корпусу не только не бо</w:t>
      </w:r>
      <w:r w:rsidRPr="00A3026E">
        <w:rPr>
          <w:rFonts w:ascii="Times New Roman" w:hAnsi="Times New Roman"/>
          <w:color w:val="000000" w:themeColor="text1"/>
          <w:sz w:val="16"/>
          <w:szCs w:val="16"/>
        </w:rPr>
        <w:softHyphen/>
        <w:t>яться, а ввязаться в бой, чтобы стянуть на себя все то, что есть у противника в его оперативных ре</w:t>
      </w:r>
      <w:r w:rsidRPr="00A3026E">
        <w:rPr>
          <w:rFonts w:ascii="Times New Roman" w:hAnsi="Times New Roman"/>
          <w:color w:val="000000" w:themeColor="text1"/>
          <w:sz w:val="16"/>
          <w:szCs w:val="16"/>
        </w:rPr>
        <w:softHyphen/>
        <w:t>зервах и этим дать возможность другим мотомехкорпусам зажать противника и бить до полного уничтожения.</w:t>
      </w:r>
    </w:p>
    <w:p w14:paraId="4D2BB5B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Надо иметь в виду, что если мы в своих расчетах будем уповать на то, что стрелковые части долж</w:t>
      </w:r>
      <w:r w:rsidRPr="00A3026E">
        <w:rPr>
          <w:rFonts w:ascii="Times New Roman" w:hAnsi="Times New Roman"/>
          <w:color w:val="000000" w:themeColor="text1"/>
          <w:sz w:val="16"/>
          <w:szCs w:val="16"/>
        </w:rPr>
        <w:softHyphen/>
        <w:t>ны будут сломать вторую оборонительную полосу, мы можем опоздать с использованием успеха при прорыве. Всегда предпочтительнее, чтобы танковый корпус ринулся в прорыв. Его части найдут уяз</w:t>
      </w:r>
      <w:r w:rsidRPr="00A3026E">
        <w:rPr>
          <w:rFonts w:ascii="Times New Roman" w:hAnsi="Times New Roman"/>
          <w:color w:val="000000" w:themeColor="text1"/>
          <w:sz w:val="16"/>
          <w:szCs w:val="16"/>
        </w:rPr>
        <w:softHyphen/>
        <w:t>вимые места второй оборонительной полосы противника, чтобы прорваться через них и этим самым развязать руки для подавления противника на глубину порядка 100 — 120 км.</w:t>
      </w:r>
    </w:p>
    <w:p w14:paraId="20E65BA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Следующий вопрос принципиальный. Я прошу Вас, товарищ Народный комиссар обороны, по нему дать свое заключение. Здесь все высказывались о том, кто же должен подать команду о начале движения механизированного корпуса в прорыв. Я не могу согласиться с тем, что эту команду о вво</w:t>
      </w:r>
      <w:r w:rsidRPr="00A3026E">
        <w:rPr>
          <w:rFonts w:ascii="Times New Roman" w:hAnsi="Times New Roman"/>
          <w:color w:val="000000" w:themeColor="text1"/>
          <w:sz w:val="16"/>
          <w:szCs w:val="16"/>
        </w:rPr>
        <w:softHyphen/>
        <w:t>де в прорыв должен подать командующий армией. Ее должен подать командующий мехкорпусом, который определяет момент ввода. Он обязан об этом донести немедленно командующему фронтом, если это в руках фронтового командования, и этим самым и получить санкцию на ввод в прорыв.</w:t>
      </w:r>
    </w:p>
    <w:p w14:paraId="40572EB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Можем ли мы допустить, чтобы командир стрелкового корпуса подал команду танковому корпу</w:t>
      </w:r>
      <w:r w:rsidRPr="00A3026E">
        <w:rPr>
          <w:rFonts w:ascii="Times New Roman" w:hAnsi="Times New Roman"/>
          <w:color w:val="000000" w:themeColor="text1"/>
          <w:sz w:val="16"/>
          <w:szCs w:val="16"/>
        </w:rPr>
        <w:softHyphen/>
        <w:t>су? Нет, не можем, потому что командир мехкорпуса собственными глазами должен убедиться, что прорыв готов. Он, получив санкцию командующего, и отдаст команду своему корпусу. Нужно покон</w:t>
      </w:r>
      <w:r w:rsidRPr="00A3026E">
        <w:rPr>
          <w:rFonts w:ascii="Times New Roman" w:hAnsi="Times New Roman"/>
          <w:color w:val="000000" w:themeColor="text1"/>
          <w:sz w:val="16"/>
          <w:szCs w:val="16"/>
        </w:rPr>
        <w:softHyphen/>
        <w:t>чить с обезличкой. Пусть командир мехкорпуса донесет, что все готово и командующий даст санкцию на ввод в прорыв. (Шум в зале). Боюсь, что мы очень умаляем значимость командира мехкорпуса.</w:t>
      </w:r>
    </w:p>
    <w:p w14:paraId="6BA932B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Следующий вопрос. Я говорил о том, что наличие крупных тяжелых танков сократит расход ар</w:t>
      </w:r>
      <w:r w:rsidRPr="00A3026E">
        <w:rPr>
          <w:rFonts w:ascii="Times New Roman" w:hAnsi="Times New Roman"/>
          <w:color w:val="000000" w:themeColor="text1"/>
          <w:sz w:val="16"/>
          <w:szCs w:val="16"/>
        </w:rPr>
        <w:softHyphen/>
        <w:t>тиллерийских снарядов. Правильно сказал т. Вершинин, что ни в коей мере танки не подменят ар</w:t>
      </w:r>
      <w:r w:rsidRPr="00A3026E">
        <w:rPr>
          <w:rFonts w:ascii="Times New Roman" w:hAnsi="Times New Roman"/>
          <w:color w:val="000000" w:themeColor="text1"/>
          <w:sz w:val="16"/>
          <w:szCs w:val="16"/>
        </w:rPr>
        <w:softHyphen/>
        <w:t>тиллерию. Сейчас, при наличии механизированных корпусов, по-новому ставится вопрос о реше</w:t>
      </w:r>
      <w:r w:rsidRPr="00A3026E">
        <w:rPr>
          <w:rFonts w:ascii="Times New Roman" w:hAnsi="Times New Roman"/>
          <w:color w:val="000000" w:themeColor="text1"/>
          <w:sz w:val="16"/>
          <w:szCs w:val="16"/>
        </w:rPr>
        <w:softHyphen/>
        <w:t>нии тех или иных оперативных, задач. Отпало время, когда в некоторых случаях расходовали огром</w:t>
      </w:r>
      <w:r w:rsidRPr="00A3026E">
        <w:rPr>
          <w:rFonts w:ascii="Times New Roman" w:hAnsi="Times New Roman"/>
          <w:color w:val="000000" w:themeColor="text1"/>
          <w:sz w:val="16"/>
          <w:szCs w:val="16"/>
        </w:rPr>
        <w:softHyphen/>
        <w:t>ное количество снарядов на 7 — 8 часов артподготовки.</w:t>
      </w:r>
    </w:p>
    <w:p w14:paraId="550CAFAA"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Мне кажется, что та оборона, которую представил т. Тюленев, правильно построена. И не будет ли эта оборона первым случаем и, может быть, последним? Не будет ли противник вынужден иногда прибегать к очень поспешной обороне? Я думаю, что будет и чаще всего — будет. А раз так, то со всей категоричностью встает вопрос о том, чтобы наши войска и, в частности, механизированные корпуса не давали противнику возможности построить полную оборону. Быстрота будет наиболь</w:t>
      </w:r>
      <w:r w:rsidRPr="00A3026E">
        <w:rPr>
          <w:i w:val="0"/>
          <w:iCs w:val="0"/>
          <w:color w:val="000000" w:themeColor="text1"/>
          <w:spacing w:val="0"/>
          <w:kern w:val="0"/>
          <w:position w:val="0"/>
          <w:sz w:val="16"/>
          <w:szCs w:val="16"/>
          <w:lang w:val="ru-RU"/>
        </w:rPr>
        <w:softHyphen/>
        <w:t>шим нашим залогом успеха.</w:t>
      </w:r>
    </w:p>
    <w:p w14:paraId="62BBE4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 разобрал случай, когда стрелковые корпуса двух ударных армий делают достаточной ширины прорыв. Это я разобрал более детально. Я только сослался, чтобы показать, как ввести мехкорпус в прорыв, какие вопросы, на каком этапе нужно знать каждому начальнику, но я не разобрал вопроса использования наших механизированных корпусов вместе с конницей и мотопехотой. Да и с пехо</w:t>
      </w:r>
      <w:r w:rsidRPr="00A3026E">
        <w:rPr>
          <w:rFonts w:ascii="Times New Roman" w:hAnsi="Times New Roman"/>
          <w:color w:val="000000" w:themeColor="text1"/>
          <w:sz w:val="16"/>
          <w:szCs w:val="16"/>
        </w:rPr>
        <w:softHyphen/>
        <w:t>той в таких случаях, когда мы, обнаружив противника и учтя его возможности к действиям, увиде</w:t>
      </w:r>
      <w:r w:rsidRPr="00A3026E">
        <w:rPr>
          <w:rFonts w:ascii="Times New Roman" w:hAnsi="Times New Roman"/>
          <w:color w:val="000000" w:themeColor="text1"/>
          <w:sz w:val="16"/>
          <w:szCs w:val="16"/>
        </w:rPr>
        <w:softHyphen/>
        <w:t>ли, что он перешел к поспешной обороне. Когда перед этим противником нет непреодолимых пре</w:t>
      </w:r>
      <w:r w:rsidRPr="00A3026E">
        <w:rPr>
          <w:rFonts w:ascii="Times New Roman" w:hAnsi="Times New Roman"/>
          <w:color w:val="000000" w:themeColor="text1"/>
          <w:sz w:val="16"/>
          <w:szCs w:val="16"/>
        </w:rPr>
        <w:softHyphen/>
        <w:t>град, было бы неправильно, если бы мы не построили следующий боевой порядок: мехкорпус — как авангард, ведущий за собой мотопехоту и конницу, за ними — наши стрелковые дивизии. Такой бо</w:t>
      </w:r>
      <w:r w:rsidRPr="00A3026E">
        <w:rPr>
          <w:rFonts w:ascii="Times New Roman" w:hAnsi="Times New Roman"/>
          <w:color w:val="000000" w:themeColor="text1"/>
          <w:sz w:val="16"/>
          <w:szCs w:val="16"/>
        </w:rPr>
        <w:softHyphen/>
        <w:t>евой порядок не даст возможности противнику построить никаких препятствий, не сможет приос</w:t>
      </w:r>
      <w:r w:rsidRPr="00A3026E">
        <w:rPr>
          <w:rFonts w:ascii="Times New Roman" w:hAnsi="Times New Roman"/>
          <w:color w:val="000000" w:themeColor="text1"/>
          <w:sz w:val="16"/>
          <w:szCs w:val="16"/>
        </w:rPr>
        <w:softHyphen/>
        <w:t>тановить нашего поступательного движения. Такой порядок позволит разрезать противника не толь</w:t>
      </w:r>
      <w:r w:rsidRPr="00A3026E">
        <w:rPr>
          <w:rFonts w:ascii="Times New Roman" w:hAnsi="Times New Roman"/>
          <w:color w:val="000000" w:themeColor="text1"/>
          <w:sz w:val="16"/>
          <w:szCs w:val="16"/>
        </w:rPr>
        <w:softHyphen/>
        <w:t>ко по частям в оперативном порядке, а разрезать так, чтобы лишить его сопротивления в стратеги</w:t>
      </w:r>
      <w:r w:rsidRPr="00A3026E">
        <w:rPr>
          <w:rFonts w:ascii="Times New Roman" w:hAnsi="Times New Roman"/>
          <w:color w:val="000000" w:themeColor="text1"/>
          <w:sz w:val="16"/>
          <w:szCs w:val="16"/>
        </w:rPr>
        <w:softHyphen/>
        <w:t>ческом масштабе. Противник должен быть отрезан с той стороны, откуда он ждет поддержку. В этом случае продолжительность операции не будет определяться только 3 — 4 днями, а до полного изно</w:t>
      </w:r>
      <w:r w:rsidRPr="00A3026E">
        <w:rPr>
          <w:rFonts w:ascii="Times New Roman" w:hAnsi="Times New Roman"/>
          <w:color w:val="000000" w:themeColor="text1"/>
          <w:sz w:val="16"/>
          <w:szCs w:val="16"/>
        </w:rPr>
        <w:softHyphen/>
        <w:t>са противника, до полной победы. (Голоса из зала: Правильно! Правильно!) 5-10-15 танков, которые выйдут и приведут к победе, уже решат задачу, а уже потом пусть 10 — 15 суток корпус ремонтиру</w:t>
      </w:r>
      <w:r w:rsidRPr="00A3026E">
        <w:rPr>
          <w:rFonts w:ascii="Times New Roman" w:hAnsi="Times New Roman"/>
          <w:color w:val="000000" w:themeColor="text1"/>
          <w:sz w:val="16"/>
          <w:szCs w:val="16"/>
        </w:rPr>
        <w:softHyphen/>
        <w:t>ется, чинится. Такая концепция должна быть заложена в использование наших механизированных сил. Из всех выступлений видно, что народ подрос настолько, что у нас особых колебаний по прие</w:t>
      </w:r>
      <w:r w:rsidRPr="00A3026E">
        <w:rPr>
          <w:rFonts w:ascii="Times New Roman" w:hAnsi="Times New Roman"/>
          <w:color w:val="000000" w:themeColor="text1"/>
          <w:sz w:val="16"/>
          <w:szCs w:val="16"/>
        </w:rPr>
        <w:softHyphen/>
        <w:t>мам и способам использования механизированных частей нет.</w:t>
      </w:r>
    </w:p>
    <w:p w14:paraId="5D34112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 что мы слышали здесь из докладов генерала армии т. Жукова, генерала армии т. Тюленева, генерал-лейтенанта авиации т. Рычагова, надо будет, товарищ Народный комиссар обороны, под Ва</w:t>
      </w:r>
      <w:r w:rsidRPr="00A3026E">
        <w:rPr>
          <w:rFonts w:ascii="Times New Roman" w:hAnsi="Times New Roman"/>
          <w:color w:val="000000" w:themeColor="text1"/>
          <w:sz w:val="16"/>
          <w:szCs w:val="16"/>
        </w:rPr>
        <w:softHyphen/>
        <w:t>шим руководством свести [воедино] и дать материал для армии в самый кратчайший срок. Тогда у нас будет совершенно ясное направление в подготовке. Это ясное направление дает уже сейчас мне право сказать, что выступающие имеют большой рот [в профессиональной подготовке]. Я не первый раз выступаю по этому вопросу перед большой аудиторией. Некоторые товарищи знают это. Но то направление, которое я здесь слышал, оно дает мне право заявить, что сегодня мы стоим на совер</w:t>
      </w:r>
      <w:r w:rsidRPr="00A3026E">
        <w:rPr>
          <w:rFonts w:ascii="Times New Roman" w:hAnsi="Times New Roman"/>
          <w:color w:val="000000" w:themeColor="text1"/>
          <w:sz w:val="16"/>
          <w:szCs w:val="16"/>
        </w:rPr>
        <w:softHyphen/>
        <w:t>шенно правильном пути по использованию механизированных корпусов, их взаимодействия с авиа</w:t>
      </w:r>
      <w:r w:rsidRPr="00A3026E">
        <w:rPr>
          <w:rFonts w:ascii="Times New Roman" w:hAnsi="Times New Roman"/>
          <w:color w:val="000000" w:themeColor="text1"/>
          <w:sz w:val="16"/>
          <w:szCs w:val="16"/>
        </w:rPr>
        <w:softHyphen/>
        <w:t>цией и мотопехотой. Ваши указания дадут возможность доработать этот вопрос.</w:t>
      </w:r>
    </w:p>
    <w:p w14:paraId="3182274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этом разрешите закончить.</w:t>
      </w:r>
    </w:p>
    <w:p w14:paraId="6929DE81"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РГВАФ. 4. Оп. 18. Д. 59. Л. 71-78? 101-105. Копия (11210).</w:t>
      </w:r>
    </w:p>
    <w:p w14:paraId="0649E38B" w14:textId="77777777" w:rsidR="0014077F" w:rsidRPr="00A3026E" w:rsidRDefault="0014077F" w:rsidP="00A3026E">
      <w:pPr>
        <w:pStyle w:val="af2"/>
        <w:jc w:val="both"/>
        <w:rPr>
          <w:i w:val="0"/>
          <w:iCs w:val="0"/>
          <w:color w:val="000000" w:themeColor="text1"/>
          <w:spacing w:val="0"/>
          <w:kern w:val="0"/>
          <w:position w:val="0"/>
          <w:sz w:val="16"/>
          <w:szCs w:val="16"/>
          <w:lang w:val="ru-RU"/>
        </w:rPr>
      </w:pPr>
    </w:p>
    <w:p w14:paraId="5BAAF5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23 по 31 декабря 1940 прошло совещание руководящего состава ВС. Выступали К.А.Мерецков, С.К.Тимошенко и Г.К.Жуков (512,27).</w:t>
      </w:r>
    </w:p>
    <w:p w14:paraId="489758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совещания и последующих военных игр не обнадеживали (2070,16).</w:t>
      </w:r>
    </w:p>
    <w:p w14:paraId="712D0B4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815F4B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23—31 декабря 1940 г. состоялось совещания высшего руководящего состава Красной Армии, где в докладах и выступлениях участников приводятся ссылки на опыт «зимней войны» (11773).</w:t>
      </w:r>
    </w:p>
    <w:p w14:paraId="2D59CF3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696E8C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23-31 декабря 1940 г. на Совещании высшего руководящего состава РККА генерал армии Г.К.Жуков в своем докладе "Характер современной наступательной операции" сообщал, что современные наступательные операции отличают "смелое и решительное применение танковых дивизий и мехкорпусов в тесном взаимодействии с военно-воздушными силами на всю глубину оперативной обороны противника" и утверждал, что это доказывают "высокие темпы проведения наступательных операций. Польша разгромлена в 18 дней (в среднем суточное передвижение немцев равно 30 км), Голландия, Бельгия и Северная Франция, за 20 дней, что равно (темп наступления) 20 км в сутки. Разгром Франции - в 18 дней, что составляет (по темпу наступления) 16 км в сутки, при этом действие ММС доходило до 100-120 км" (3573).</w:t>
      </w:r>
    </w:p>
    <w:p w14:paraId="510854D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7AB75C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23 по 31 декабря 1940 года в Москве состоялось сове</w:t>
      </w:r>
      <w:r w:rsidRPr="00A3026E">
        <w:rPr>
          <w:rFonts w:ascii="Times New Roman" w:hAnsi="Times New Roman"/>
          <w:color w:val="000000" w:themeColor="text1"/>
          <w:sz w:val="16"/>
          <w:szCs w:val="16"/>
        </w:rPr>
        <w:softHyphen/>
        <w:t>щание руководящего состава РККА. На нем присутствова</w:t>
      </w:r>
      <w:r w:rsidRPr="00A3026E">
        <w:rPr>
          <w:rFonts w:ascii="Times New Roman" w:hAnsi="Times New Roman"/>
          <w:color w:val="000000" w:themeColor="text1"/>
          <w:sz w:val="16"/>
          <w:szCs w:val="16"/>
        </w:rPr>
        <w:softHyphen/>
        <w:t>ло свыше 270 человек: руководители наркомата обороны и Генерального штаба, члены военных советов и командую</w:t>
      </w:r>
      <w:r w:rsidRPr="00A3026E">
        <w:rPr>
          <w:rFonts w:ascii="Times New Roman" w:hAnsi="Times New Roman"/>
          <w:color w:val="000000" w:themeColor="text1"/>
          <w:sz w:val="16"/>
          <w:szCs w:val="16"/>
        </w:rPr>
        <w:softHyphen/>
        <w:t>щие военных округов, начальники военных академий, ко</w:t>
      </w:r>
      <w:r w:rsidRPr="00A3026E">
        <w:rPr>
          <w:rFonts w:ascii="Times New Roman" w:hAnsi="Times New Roman"/>
          <w:color w:val="000000" w:themeColor="text1"/>
          <w:sz w:val="16"/>
          <w:szCs w:val="16"/>
        </w:rPr>
        <w:softHyphen/>
        <w:t>мандиры некоторых корпусов и дивизий. Итоги его не ра</w:t>
      </w:r>
      <w:r w:rsidRPr="00A3026E">
        <w:rPr>
          <w:rFonts w:ascii="Times New Roman" w:hAnsi="Times New Roman"/>
          <w:color w:val="000000" w:themeColor="text1"/>
          <w:sz w:val="16"/>
          <w:szCs w:val="16"/>
        </w:rPr>
        <w:softHyphen/>
        <w:t>довали. Кроме констатации низкой подготовки летного со</w:t>
      </w:r>
      <w:r w:rsidRPr="00A3026E">
        <w:rPr>
          <w:rFonts w:ascii="Times New Roman" w:hAnsi="Times New Roman"/>
          <w:color w:val="000000" w:themeColor="text1"/>
          <w:sz w:val="16"/>
          <w:szCs w:val="16"/>
        </w:rPr>
        <w:softHyphen/>
        <w:t>става, из материалов совещания видно, что у командования ВВС не было единой доктрины. В частности, обнаружилось полное расхождение взглядов по вопросу путей завоевания господства в воздухе, а до войны оставалось всего полгода (10745,294).</w:t>
      </w:r>
    </w:p>
    <w:p w14:paraId="17D30E1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6CF7E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23-31 декабря 1940 И.В.Тюленев в своем выступлении на Совещании высшего руководящего состава Красной армии констатировал: «Мы не имеем современной, обоснованной теории обороны, которую мы могли бы противопоставить современной теории и практике глубокой наступательной операции» (9649).</w:t>
      </w:r>
    </w:p>
    <w:p w14:paraId="313FD25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8752DF7" w14:textId="77777777" w:rsidR="0014077F" w:rsidRPr="00A3026E" w:rsidRDefault="0014077F" w:rsidP="00A3026E">
      <w:pPr>
        <w:pStyle w:val="ae"/>
        <w:spacing w:before="0" w:after="0"/>
        <w:jc w:val="both"/>
        <w:rPr>
          <w:rStyle w:val="a5"/>
          <w:color w:val="000000" w:themeColor="text1"/>
          <w:sz w:val="16"/>
          <w:szCs w:val="16"/>
        </w:rPr>
      </w:pPr>
      <w:r w:rsidRPr="00A3026E">
        <w:rPr>
          <w:color w:val="000000" w:themeColor="text1"/>
          <w:sz w:val="16"/>
          <w:szCs w:val="16"/>
        </w:rPr>
        <w:t>23–31 декабря 1940 г. на совещании высшего руководящего состава РККА Маршал Советского Союза, заместитель Народного комиссара обороны СССР С. М. Буденный приводил в пример такой случай: „Мне пришлось в Белоруссии возить горючее для 5 мехкорпуса (Вероятно, имелся в виду 15-й танковый корпус Дзержинской конно-механизированной группы. Других корпусов, в обозначение которых входила цифра „5“, кроме 5-го стрелкового корпуса, в составе Белорусского фронта не было) по воздуху. Хорошо, что там и драться не с кем было. На дорогах от Новогрудка (от советской границы до Новогрудка было около 100 км) до Волковыска 75 процентов танков стояло из-за горючего“. А. И. Еременко, генерал-лейтенант, командир 3-го механизированного корпуса, Прибалтийский особый военный округ (в сентябре 1939 г. командовал 6-м кавкорпусом, входившим в состав конно-механизированной группы), вспоминал: „Когда я приехал в Белосток (к 23 сентября 1939 г.), меня снабдила авиация бензином, а танковому корпусу стали бросать возле Гродно с парашютом“»</w:t>
      </w:r>
      <w:hyperlink r:id="rId171" w:anchor="n_248" w:history="1">
        <w:r w:rsidRPr="00A3026E">
          <w:rPr>
            <w:rStyle w:val="a5"/>
            <w:color w:val="000000" w:themeColor="text1"/>
            <w:sz w:val="16"/>
            <w:szCs w:val="16"/>
          </w:rPr>
          <w:t>[248]</w:t>
        </w:r>
      </w:hyperlink>
      <w:r w:rsidRPr="00A3026E">
        <w:rPr>
          <w:rStyle w:val="a5"/>
          <w:color w:val="000000" w:themeColor="text1"/>
          <w:sz w:val="16"/>
          <w:szCs w:val="16"/>
        </w:rPr>
        <w:t xml:space="preserve"> (12624).</w:t>
      </w:r>
    </w:p>
    <w:p w14:paraId="42715F2E" w14:textId="77777777" w:rsidR="0014077F" w:rsidRPr="00A3026E" w:rsidRDefault="0014077F" w:rsidP="00A3026E">
      <w:pPr>
        <w:pStyle w:val="ae"/>
        <w:spacing w:before="0" w:after="0"/>
        <w:jc w:val="both"/>
        <w:rPr>
          <w:color w:val="000000" w:themeColor="text1"/>
          <w:sz w:val="16"/>
          <w:szCs w:val="16"/>
        </w:rPr>
      </w:pPr>
    </w:p>
    <w:p w14:paraId="125D4AB2"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2007401E"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513394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приказ № 001601 «Об изменении системы регистрации и оперативного учета преступников» констатировал:</w:t>
      </w:r>
    </w:p>
    <w:p w14:paraId="42CAE4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«...Единого центра, руководящего этой работой, в системе НКВД не имеется. Вопросами регистрации и оперативного учета преступников ведают 5 отделов: 1 спецотдел, Главное тюремное управление, спецотдел ГУРКМ [Главное управление Рабоче-крестьянской милиции], 2 отдел ГУЛАГа и Отдел трудовых поселений </w:t>
      </w:r>
      <w:r w:rsidRPr="00A3026E">
        <w:rPr>
          <w:rFonts w:ascii="Times New Roman" w:hAnsi="Times New Roman"/>
          <w:color w:val="000000" w:themeColor="text1"/>
          <w:sz w:val="16"/>
          <w:szCs w:val="16"/>
        </w:rPr>
        <w:lastRenderedPageBreak/>
        <w:t>ГУЛАГа. Отсутствие единой системы учета преступников приводит к параллелизму в работе указанных отделов, к обезличке в учете и к необходимости в нужных случаях прибегать к проверке по всем этим учетам для того, чтобы получить сведения о том или ином лице.. (7560).</w:t>
      </w:r>
    </w:p>
    <w:p w14:paraId="7C9D30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Приказываю централизовать учет преступников в 1 спецотделе НКВД СССР, возложив на него руководство постановкой регистрации и оперативного учета преступников во всех аппаратах НКВД (в 1-х спецотделах НКВД-УНКВД, в ДТО и Особых отделах, в органах УРКМ, тюрьмах, исправительно-трудовых лагерях, колониях, спец. и труд. поселках). Обязать все органы НКВД, ведающие регистрацией и учетом преступников, сообщать о каждом вновь зарегистрированном преступнике в 1-й Спецотдел НКВД СССР не позже 48-ми часов с момента регистрации» (7560).</w:t>
      </w:r>
    </w:p>
    <w:p w14:paraId="3567132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E5591DC"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43C97997"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234A7970" w14:textId="77777777" w:rsidR="00DE51FA" w:rsidRPr="00A3026E" w:rsidRDefault="00DE51FA"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23 декабря</w:t>
      </w:r>
      <w:r w:rsidRPr="00A3026E">
        <w:rPr>
          <w:rFonts w:ascii="Times New Roman" w:hAnsi="Times New Roman"/>
          <w:color w:val="000000" w:themeColor="text1"/>
          <w:sz w:val="16"/>
          <w:szCs w:val="16"/>
        </w:rPr>
        <w:t xml:space="preserve"> в 1940 году первый полёт патрульного самолёта «Me.261» (14869).</w:t>
      </w:r>
    </w:p>
    <w:p w14:paraId="7B218085" w14:textId="77777777" w:rsidR="00DE51FA" w:rsidRPr="00A3026E" w:rsidRDefault="00DE51FA" w:rsidP="00A3026E">
      <w:pPr>
        <w:spacing w:after="0" w:line="240" w:lineRule="auto"/>
        <w:jc w:val="both"/>
        <w:rPr>
          <w:rFonts w:ascii="Times New Roman" w:hAnsi="Times New Roman"/>
          <w:color w:val="000000" w:themeColor="text1"/>
          <w:sz w:val="16"/>
          <w:szCs w:val="16"/>
        </w:rPr>
      </w:pPr>
    </w:p>
    <w:p w14:paraId="38B7883B" w14:textId="77777777" w:rsidR="00B64D57" w:rsidRPr="00A3026E" w:rsidRDefault="00B64D5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23 декабря 1940 года впервые поднялся в воздух Ме261 «Адольфин». Хотя экипажам Авиагруппы дальней разведки главного командования Люфтваффе Аufkl.Gr.Ob.d.L в мае 1943 года удалось выполнить на нем несколько полетов над Атлантикой, из-за многочисленных отказов систем сделать из него полноценный серийный боевой самолет не удалось. Самым слабым звеном оказались двигатели DB606 — два 12-цилиндровых DB601, работавших на один винт через общий редуктор (22883).</w:t>
      </w:r>
    </w:p>
    <w:p w14:paraId="73F214C6" w14:textId="77777777" w:rsidR="00B64D57" w:rsidRPr="00A3026E" w:rsidRDefault="00B64D57" w:rsidP="00A3026E">
      <w:pPr>
        <w:spacing w:after="0" w:line="240" w:lineRule="auto"/>
        <w:jc w:val="both"/>
        <w:rPr>
          <w:rFonts w:ascii="Times New Roman" w:hAnsi="Times New Roman"/>
          <w:color w:val="0070C0"/>
          <w:sz w:val="16"/>
          <w:szCs w:val="16"/>
        </w:rPr>
      </w:pPr>
    </w:p>
    <w:p w14:paraId="147B5D8C" w14:textId="77777777" w:rsidR="00B64D57" w:rsidRPr="00A3026E" w:rsidRDefault="00B64D5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23 декабря 1940 Эдди Август Шнайдер погибает в авиакатастрофе, когда его самолет подрезан бомбардировщиком ВМС США в районе Флойд Беннетт Филд  (20795).</w:t>
      </w:r>
    </w:p>
    <w:p w14:paraId="5BC074A3" w14:textId="77777777" w:rsidR="00B64D57" w:rsidRPr="00A3026E" w:rsidRDefault="00B64D57" w:rsidP="00A3026E">
      <w:pPr>
        <w:spacing w:after="0" w:line="240" w:lineRule="auto"/>
        <w:jc w:val="both"/>
        <w:rPr>
          <w:rFonts w:ascii="Times New Roman" w:hAnsi="Times New Roman"/>
          <w:color w:val="0070C0"/>
          <w:sz w:val="16"/>
          <w:szCs w:val="16"/>
        </w:rPr>
      </w:pPr>
    </w:p>
    <w:p w14:paraId="4F4C6F6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немцы казнили в Париже первого француза - 28-летнего инженера Ж. Бонсергента, напавшего на немецкого солдата (4962).</w:t>
      </w:r>
    </w:p>
    <w:p w14:paraId="425B348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3FFA5A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Части Западно-Македонской А(гр) в ходе наступления против итальянских войск (14.11-23.12.1940) вышли на линию гг.Валона - Тепелена - озеро Охрид и перешли к обороне (7594).</w:t>
      </w:r>
    </w:p>
    <w:p w14:paraId="027C788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C2874E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Чан Кайши запретил все коммунистические организации в Китае (4962).</w:t>
      </w:r>
    </w:p>
    <w:p w14:paraId="3719EC6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788E3E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декабря 1940 Чан-Кай-Ши распустил все коммунистические организации в Китае (2100).</w:t>
      </w:r>
    </w:p>
    <w:p w14:paraId="04139CD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F74ECFF"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3B4ED5F"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0F031D5F" w14:textId="77777777" w:rsidR="00DA459D" w:rsidRPr="00A3026E" w:rsidRDefault="00DA459D"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24 декабря 1940 по поводу пушек МП-6 в ОКБ С.В.И. был составлен официальный акт от, который подписали заместитель на</w:t>
      </w:r>
      <w:r w:rsidRPr="00A3026E">
        <w:rPr>
          <w:color w:val="000000" w:themeColor="text1"/>
          <w:sz w:val="16"/>
          <w:szCs w:val="16"/>
        </w:rPr>
        <w:softHyphen/>
        <w:t>чальника 7-го ГУ НКАП П. Я. Залесский, заместитель главного конструктора завода № 39 Я. И. Мальцев и руководитель группы вооружения ОКБ завода № 39 К. Н. Бажанов. Представитель ОКБ-16 ведущий конструктор А. Э. Нудельман без объяснения при</w:t>
      </w:r>
      <w:r w:rsidRPr="00A3026E">
        <w:rPr>
          <w:color w:val="000000" w:themeColor="text1"/>
          <w:sz w:val="16"/>
          <w:szCs w:val="16"/>
        </w:rPr>
        <w:softHyphen/>
        <w:t>чин отказался подписать акт.</w:t>
      </w:r>
    </w:p>
    <w:p w14:paraId="058A8069" w14:textId="77777777" w:rsidR="00DA459D" w:rsidRPr="00A3026E" w:rsidRDefault="00DA459D"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Из акта следует, что ОКБ-16 обязывалось не позже 26 декабря установить на пушку пневмоцилиндры, а ОКБ завода № 39 — переделать изготов</w:t>
      </w:r>
      <w:r w:rsidRPr="00A3026E">
        <w:rPr>
          <w:color w:val="000000" w:themeColor="text1"/>
          <w:sz w:val="16"/>
          <w:szCs w:val="16"/>
        </w:rPr>
        <w:softHyphen/>
        <w:t>ленные для пушки узлы, руководствуясь размерами пушки МП-6 зав. № 3. При этом начало заводских летных испытаний пушечных установок привязыва</w:t>
      </w:r>
      <w:r w:rsidRPr="00A3026E">
        <w:rPr>
          <w:color w:val="000000" w:themeColor="text1"/>
          <w:sz w:val="16"/>
          <w:szCs w:val="16"/>
        </w:rPr>
        <w:softHyphen/>
        <w:t>лось к дате - получения заводом 150—200 запасных реек, поскольку они при стрельбе в полете не со</w:t>
      </w:r>
      <w:r w:rsidRPr="00A3026E">
        <w:rPr>
          <w:color w:val="000000" w:themeColor="text1"/>
          <w:sz w:val="16"/>
          <w:szCs w:val="16"/>
        </w:rPr>
        <w:softHyphen/>
        <w:t>бираются.</w:t>
      </w:r>
    </w:p>
    <w:p w14:paraId="2D6CE6C8" w14:textId="77777777" w:rsidR="00DA459D" w:rsidRPr="00A3026E" w:rsidRDefault="00DA459D"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Здесь следует сделать некоторые пояснения. Выше упоминалось, что для достижения темпа стрельбы не менее 600 выстр./мин в ОКБ-16 со</w:t>
      </w:r>
      <w:r w:rsidRPr="00A3026E">
        <w:rPr>
          <w:color w:val="000000" w:themeColor="text1"/>
          <w:sz w:val="16"/>
          <w:szCs w:val="16"/>
        </w:rPr>
        <w:softHyphen/>
        <w:t>кратили длину отката ствола пушки и ввели в кон</w:t>
      </w:r>
      <w:r w:rsidRPr="00A3026E">
        <w:rPr>
          <w:color w:val="000000" w:themeColor="text1"/>
          <w:sz w:val="16"/>
          <w:szCs w:val="16"/>
        </w:rPr>
        <w:softHyphen/>
        <w:t>струкцию рычажный ускоритель отката затворного узла. Это привело к значительному росту скоро</w:t>
      </w:r>
      <w:r w:rsidRPr="00A3026E">
        <w:rPr>
          <w:color w:val="000000" w:themeColor="text1"/>
          <w:sz w:val="16"/>
          <w:szCs w:val="16"/>
        </w:rPr>
        <w:softHyphen/>
        <w:t>стей элементов автоматики пушки, соответственно, и скорости соударения деталей. Как следствие, уча</w:t>
      </w:r>
      <w:r w:rsidRPr="00A3026E">
        <w:rPr>
          <w:color w:val="000000" w:themeColor="text1"/>
          <w:sz w:val="16"/>
          <w:szCs w:val="16"/>
        </w:rPr>
        <w:softHyphen/>
        <w:t>стились случаи поломки отдельных деталей и отка</w:t>
      </w:r>
      <w:r w:rsidRPr="00A3026E">
        <w:rPr>
          <w:color w:val="000000" w:themeColor="text1"/>
          <w:sz w:val="16"/>
          <w:szCs w:val="16"/>
        </w:rPr>
        <w:softHyphen/>
        <w:t>зов в работе автоматики пушки. Так, увеличенные скорости прихода затвора с патроном вперед из-за плохого гашения скоростей соударения затвора и казенного среза ствола были иногда причиной отскока затворного узла, что потребовало обеспе</w:t>
      </w:r>
      <w:r w:rsidRPr="00A3026E">
        <w:rPr>
          <w:color w:val="000000" w:themeColor="text1"/>
          <w:sz w:val="16"/>
          <w:szCs w:val="16"/>
        </w:rPr>
        <w:softHyphen/>
        <w:t>чить повышенную надежность в работе противоот- скочного механизма. Поэтому у канавки закраины гильзы патронов ввели бурт, который при ударе затвора с патроном о казенный срез ствола при досылании частично гасил энергию удара, что ис</w:t>
      </w:r>
      <w:r w:rsidRPr="00A3026E">
        <w:rPr>
          <w:color w:val="000000" w:themeColor="text1"/>
          <w:sz w:val="16"/>
          <w:szCs w:val="16"/>
        </w:rPr>
        <w:softHyphen/>
        <w:t>ключало отскок затворного узла в переднем поло</w:t>
      </w:r>
      <w:r w:rsidRPr="00A3026E">
        <w:rPr>
          <w:color w:val="000000" w:themeColor="text1"/>
          <w:sz w:val="16"/>
          <w:szCs w:val="16"/>
        </w:rPr>
        <w:softHyphen/>
        <w:t>жении запирания (17500).</w:t>
      </w:r>
    </w:p>
    <w:p w14:paraId="45DE47B2" w14:textId="77777777" w:rsidR="00DA459D" w:rsidRPr="00A3026E" w:rsidRDefault="00DA459D" w:rsidP="00A3026E">
      <w:pPr>
        <w:spacing w:after="0" w:line="240" w:lineRule="auto"/>
        <w:jc w:val="both"/>
        <w:rPr>
          <w:rFonts w:ascii="Times New Roman" w:eastAsia="Times New Roman" w:hAnsi="Times New Roman"/>
          <w:color w:val="000000" w:themeColor="text1"/>
          <w:sz w:val="16"/>
          <w:szCs w:val="16"/>
          <w:lang w:eastAsia="ru-RU"/>
        </w:rPr>
      </w:pPr>
    </w:p>
    <w:p w14:paraId="7B71449D" w14:textId="77777777" w:rsidR="00DE51FA" w:rsidRPr="00A3026E" w:rsidRDefault="00DE51FA"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24 декабря 1940 макет самолета ТИС 2АМ-37 с внесенными в него изменени</w:t>
      </w:r>
      <w:r w:rsidRPr="00A3026E">
        <w:rPr>
          <w:rFonts w:ascii="Times New Roman" w:cs="Times New Roman"/>
          <w:color w:val="000000" w:themeColor="text1"/>
          <w:spacing w:val="0"/>
        </w:rPr>
        <w:softHyphen/>
        <w:t>ями был повторно осмотрен государст</w:t>
      </w:r>
      <w:r w:rsidRPr="00A3026E">
        <w:rPr>
          <w:rFonts w:ascii="Times New Roman" w:cs="Times New Roman"/>
          <w:color w:val="000000" w:themeColor="text1"/>
          <w:spacing w:val="0"/>
        </w:rPr>
        <w:softHyphen/>
        <w:t>венной комиссией под председательст</w:t>
      </w:r>
      <w:r w:rsidRPr="00A3026E">
        <w:rPr>
          <w:rFonts w:ascii="Times New Roman" w:cs="Times New Roman"/>
          <w:color w:val="000000" w:themeColor="text1"/>
          <w:spacing w:val="0"/>
        </w:rPr>
        <w:softHyphen/>
        <w:t>вом заместителя начальника НИИ ВВС военинженера 1-го ранга П.А. Лосюкова.</w:t>
      </w:r>
    </w:p>
    <w:p w14:paraId="436229C8" w14:textId="77777777" w:rsidR="00DE51FA" w:rsidRPr="00A3026E" w:rsidRDefault="00DE51FA" w:rsidP="00A3026E">
      <w:pPr>
        <w:pStyle w:val="26"/>
        <w:shd w:val="clear" w:color="auto" w:fill="auto"/>
        <w:spacing w:after="0" w:line="240" w:lineRule="auto"/>
        <w:ind w:firstLine="0"/>
        <w:rPr>
          <w:rFonts w:ascii="Times New Roman" w:cs="Times New Roman"/>
          <w:color w:val="000000" w:themeColor="text1"/>
          <w:spacing w:val="0"/>
        </w:rPr>
      </w:pPr>
      <w:r w:rsidRPr="00A3026E">
        <w:rPr>
          <w:rStyle w:val="aff8"/>
          <w:rFonts w:ascii="Times New Roman" w:cs="Times New Roman"/>
          <w:b w:val="0"/>
          <w:color w:val="000000" w:themeColor="text1"/>
          <w:spacing w:val="0"/>
          <w:sz w:val="16"/>
          <w:szCs w:val="16"/>
        </w:rPr>
        <w:t>Осмотр</w:t>
      </w:r>
      <w:r w:rsidRPr="00A3026E">
        <w:rPr>
          <w:rFonts w:ascii="Times New Roman" w:cs="Times New Roman"/>
          <w:color w:val="000000" w:themeColor="text1"/>
          <w:spacing w:val="0"/>
        </w:rPr>
        <w:t xml:space="preserve"> макета ТИС 2АМ-37 и об</w:t>
      </w:r>
      <w:r w:rsidRPr="00A3026E">
        <w:rPr>
          <w:rFonts w:ascii="Times New Roman" w:cs="Times New Roman"/>
          <w:color w:val="000000" w:themeColor="text1"/>
          <w:spacing w:val="0"/>
        </w:rPr>
        <w:softHyphen/>
        <w:t>суждение проектных материалов фак</w:t>
      </w:r>
      <w:r w:rsidRPr="00A3026E">
        <w:rPr>
          <w:rFonts w:ascii="Times New Roman" w:cs="Times New Roman"/>
          <w:color w:val="000000" w:themeColor="text1"/>
          <w:spacing w:val="0"/>
        </w:rPr>
        <w:softHyphen/>
        <w:t xml:space="preserve">тически проходили одновременно с </w:t>
      </w:r>
      <w:r w:rsidRPr="00A3026E">
        <w:rPr>
          <w:rStyle w:val="aff8"/>
          <w:rFonts w:ascii="Times New Roman" w:cs="Times New Roman"/>
          <w:b w:val="0"/>
          <w:color w:val="000000" w:themeColor="text1"/>
          <w:spacing w:val="0"/>
          <w:sz w:val="16"/>
          <w:szCs w:val="16"/>
        </w:rPr>
        <w:t>окончательной</w:t>
      </w:r>
      <w:r w:rsidRPr="00A3026E">
        <w:rPr>
          <w:rFonts w:ascii="Times New Roman" w:cs="Times New Roman"/>
          <w:color w:val="000000" w:themeColor="text1"/>
          <w:spacing w:val="0"/>
        </w:rPr>
        <w:t xml:space="preserve"> доработкой и согласова</w:t>
      </w:r>
      <w:r w:rsidRPr="00A3026E">
        <w:rPr>
          <w:rFonts w:ascii="Times New Roman" w:cs="Times New Roman"/>
          <w:color w:val="000000" w:themeColor="text1"/>
          <w:spacing w:val="0"/>
        </w:rPr>
        <w:softHyphen/>
      </w:r>
      <w:r w:rsidRPr="00A3026E">
        <w:rPr>
          <w:rStyle w:val="aff8"/>
          <w:rFonts w:ascii="Times New Roman" w:cs="Times New Roman"/>
          <w:b w:val="0"/>
          <w:color w:val="000000" w:themeColor="text1"/>
          <w:spacing w:val="0"/>
          <w:sz w:val="16"/>
          <w:szCs w:val="16"/>
        </w:rPr>
        <w:t>нием тактико</w:t>
      </w:r>
      <w:r w:rsidRPr="00A3026E">
        <w:rPr>
          <w:rFonts w:ascii="Times New Roman" w:cs="Times New Roman"/>
          <w:color w:val="000000" w:themeColor="text1"/>
          <w:spacing w:val="0"/>
        </w:rPr>
        <w:t xml:space="preserve">-технических требований к </w:t>
      </w:r>
      <w:r w:rsidRPr="00A3026E">
        <w:rPr>
          <w:rStyle w:val="aff8"/>
          <w:rFonts w:ascii="Times New Roman" w:cs="Times New Roman"/>
          <w:b w:val="0"/>
          <w:color w:val="000000" w:themeColor="text1"/>
          <w:spacing w:val="0"/>
          <w:sz w:val="16"/>
          <w:szCs w:val="16"/>
        </w:rPr>
        <w:t>нему.</w:t>
      </w:r>
      <w:r w:rsidRPr="00A3026E">
        <w:rPr>
          <w:rFonts w:ascii="Times New Roman" w:cs="Times New Roman"/>
          <w:color w:val="000000" w:themeColor="text1"/>
          <w:spacing w:val="0"/>
        </w:rPr>
        <w:t xml:space="preserve"> Официально ТТТ к самолету ТИС </w:t>
      </w:r>
      <w:r w:rsidRPr="00A3026E">
        <w:rPr>
          <w:rStyle w:val="aff8"/>
          <w:rFonts w:ascii="Times New Roman" w:cs="Times New Roman"/>
          <w:b w:val="0"/>
          <w:color w:val="000000" w:themeColor="text1"/>
          <w:spacing w:val="0"/>
          <w:sz w:val="16"/>
          <w:szCs w:val="16"/>
        </w:rPr>
        <w:t>2АМ-37</w:t>
      </w:r>
      <w:r w:rsidRPr="00A3026E">
        <w:rPr>
          <w:rFonts w:ascii="Times New Roman" w:cs="Times New Roman"/>
          <w:color w:val="000000" w:themeColor="text1"/>
          <w:spacing w:val="0"/>
        </w:rPr>
        <w:t xml:space="preserve"> были подписаны начальником </w:t>
      </w:r>
      <w:r w:rsidRPr="00A3026E">
        <w:rPr>
          <w:rStyle w:val="aff8"/>
          <w:rFonts w:ascii="Times New Roman" w:cs="Times New Roman"/>
          <w:b w:val="0"/>
          <w:color w:val="000000" w:themeColor="text1"/>
          <w:spacing w:val="0"/>
          <w:sz w:val="16"/>
          <w:szCs w:val="16"/>
        </w:rPr>
        <w:t>НИИ ВВС</w:t>
      </w:r>
      <w:r w:rsidRPr="00A3026E">
        <w:rPr>
          <w:rFonts w:ascii="Times New Roman" w:cs="Times New Roman"/>
          <w:color w:val="000000" w:themeColor="text1"/>
          <w:spacing w:val="0"/>
        </w:rPr>
        <w:t xml:space="preserve"> генерал-майором А.И. Фи</w:t>
      </w:r>
      <w:r w:rsidRPr="00A3026E">
        <w:rPr>
          <w:rFonts w:ascii="Times New Roman" w:cs="Times New Roman"/>
          <w:color w:val="000000" w:themeColor="text1"/>
          <w:spacing w:val="0"/>
        </w:rPr>
        <w:softHyphen/>
      </w:r>
      <w:r w:rsidRPr="00A3026E">
        <w:rPr>
          <w:rStyle w:val="aff8"/>
          <w:rFonts w:ascii="Times New Roman" w:cs="Times New Roman"/>
          <w:b w:val="0"/>
          <w:color w:val="000000" w:themeColor="text1"/>
          <w:spacing w:val="0"/>
          <w:sz w:val="16"/>
          <w:szCs w:val="16"/>
        </w:rPr>
        <w:t>линым</w:t>
      </w:r>
      <w:r w:rsidRPr="00A3026E">
        <w:rPr>
          <w:rFonts w:ascii="Times New Roman" w:cs="Times New Roman"/>
          <w:color w:val="000000" w:themeColor="text1"/>
          <w:spacing w:val="0"/>
        </w:rPr>
        <w:t xml:space="preserve"> уже после осмотра его макета </w:t>
      </w:r>
      <w:r w:rsidRPr="00A3026E">
        <w:rPr>
          <w:rStyle w:val="aff8"/>
          <w:rFonts w:ascii="Times New Roman" w:cs="Times New Roman"/>
          <w:b w:val="0"/>
          <w:color w:val="000000" w:themeColor="text1"/>
          <w:spacing w:val="0"/>
          <w:sz w:val="16"/>
          <w:szCs w:val="16"/>
        </w:rPr>
        <w:t>26 декабря</w:t>
      </w:r>
      <w:r w:rsidRPr="00A3026E">
        <w:rPr>
          <w:rFonts w:ascii="Times New Roman" w:cs="Times New Roman"/>
          <w:color w:val="000000" w:themeColor="text1"/>
          <w:spacing w:val="0"/>
        </w:rPr>
        <w:t xml:space="preserve"> и утверждены начальником </w:t>
      </w:r>
      <w:r w:rsidRPr="00A3026E">
        <w:rPr>
          <w:rStyle w:val="aff8"/>
          <w:rFonts w:ascii="Times New Roman" w:cs="Times New Roman"/>
          <w:b w:val="0"/>
          <w:color w:val="000000" w:themeColor="text1"/>
          <w:spacing w:val="0"/>
          <w:sz w:val="16"/>
          <w:szCs w:val="16"/>
        </w:rPr>
        <w:t>ВВС</w:t>
      </w:r>
      <w:r w:rsidRPr="00A3026E">
        <w:rPr>
          <w:rFonts w:ascii="Times New Roman" w:cs="Times New Roman"/>
          <w:color w:val="000000" w:themeColor="text1"/>
          <w:spacing w:val="0"/>
        </w:rPr>
        <w:t xml:space="preserve"> генерал-лейтенантом П.</w:t>
      </w:r>
      <w:r w:rsidRPr="00A3026E">
        <w:rPr>
          <w:rStyle w:val="aff8"/>
          <w:rFonts w:ascii="Times New Roman" w:cs="Times New Roman"/>
          <w:b w:val="0"/>
          <w:color w:val="000000" w:themeColor="text1"/>
          <w:spacing w:val="0"/>
          <w:sz w:val="16"/>
          <w:szCs w:val="16"/>
        </w:rPr>
        <w:t>В.</w:t>
      </w:r>
      <w:r w:rsidRPr="00A3026E">
        <w:rPr>
          <w:rFonts w:ascii="Times New Roman" w:cs="Times New Roman"/>
          <w:color w:val="000000" w:themeColor="text1"/>
          <w:spacing w:val="0"/>
        </w:rPr>
        <w:t xml:space="preserve"> Рычаго- </w:t>
      </w:r>
      <w:r w:rsidRPr="00A3026E">
        <w:rPr>
          <w:rStyle w:val="aff8"/>
          <w:rFonts w:ascii="Times New Roman" w:cs="Times New Roman"/>
          <w:b w:val="0"/>
          <w:color w:val="000000" w:themeColor="text1"/>
          <w:spacing w:val="0"/>
          <w:sz w:val="16"/>
          <w:szCs w:val="16"/>
        </w:rPr>
        <w:t>вым</w:t>
      </w:r>
      <w:r w:rsidRPr="00A3026E">
        <w:rPr>
          <w:rFonts w:ascii="Times New Roman" w:cs="Times New Roman"/>
          <w:color w:val="000000" w:themeColor="text1"/>
          <w:spacing w:val="0"/>
        </w:rPr>
        <w:t xml:space="preserve"> 3 января следующего года (15755).</w:t>
      </w:r>
    </w:p>
    <w:p w14:paraId="27E9A31E" w14:textId="77777777" w:rsidR="00DE51FA" w:rsidRPr="00A3026E" w:rsidRDefault="00DE51FA" w:rsidP="00A3026E">
      <w:pPr>
        <w:pStyle w:val="26"/>
        <w:shd w:val="clear" w:color="auto" w:fill="auto"/>
        <w:spacing w:after="0" w:line="240" w:lineRule="auto"/>
        <w:ind w:firstLine="0"/>
        <w:rPr>
          <w:rFonts w:ascii="Times New Roman" w:cs="Times New Roman"/>
          <w:color w:val="000000" w:themeColor="text1"/>
          <w:spacing w:val="0"/>
        </w:rPr>
      </w:pPr>
    </w:p>
    <w:p w14:paraId="492377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декабря 1940 г. в письме В.М. Молотову Микулин отмечал, что разработка мотора, получившего наименование АМ-37, велась конструкторами завода № 24 сверх плана. Микулин представил мотор АМ-37 на соискание премии им. В.П. Чкалова. По его данным при непрерывной работе в течение 60 мин. у земли и при непрерывной работе в течение 30 мин. на высоте 6000 м максимальная мощность мотора достигала 1400 л.с. Удельная масса мотора АМ-37 составляла всего 0,59 кг/л.с., следовательно, по указанному показателю "тридцать седьмой" был близок к немецкому двигателю DB 605. Нарком М.М. Каганович специально под "внеплановый" мотор предложил Н.Н. Поликарпову разработать проект нового истребителя. Вскоре Поликарпов предложил вариант самолета И-200, который по своим летно-тактическим характеристикам превосходил не только немецкий истребитель Bf 109Е, но и в значительной мере появившийся позднее Bf 109F-2. Применив модификацию мотора АМ-37П, Поликарпов позднее спроектировал весьма эффективный тяжелый пушечный истребитель (ИТП), предназначенный для борьбы с бомбардировщиками и бронированными наземными целями. Конструктор М.И. Гудков, ориентируясь на данные двигателя АМ-37, начал разработку истребителя Гу-1 (типа американской "Аэрокобры"). Для него понадобился вариант мотора с удлиненным валом и выносным редуктором. Гудков договорился с Микулиным. Катастрофа Гу-1 положила конец усилиям в этом направлении. Проект истребителя ЛаГГ-3 с мотором АМ-37 предъявлял С.А. Лавочкин, а В.П. Горбунов спроектировал одномоторный пикирующий бомбардировщик с АМ-37 (9029).</w:t>
      </w:r>
    </w:p>
    <w:p w14:paraId="70BEE05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5B0D1E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декабря 1940 г. в своем письме В.М. Молотову Микулин отмечал, что разработка мотора, получившего наименование АМ-37, велась конструкторами завода № 24 сверх плана. Чертежи мотора были разработаны досрочно, а в мае 1940 г. успешно закон</w:t>
      </w:r>
      <w:r w:rsidRPr="00A3026E">
        <w:rPr>
          <w:rFonts w:ascii="Times New Roman" w:hAnsi="Times New Roman"/>
          <w:color w:val="000000" w:themeColor="text1"/>
          <w:sz w:val="16"/>
          <w:szCs w:val="16"/>
        </w:rPr>
        <w:softHyphen/>
        <w:t>чились 50-часовые совместные испытания мотора. Микулин пред</w:t>
      </w:r>
      <w:r w:rsidRPr="00A3026E">
        <w:rPr>
          <w:rFonts w:ascii="Times New Roman" w:hAnsi="Times New Roman"/>
          <w:color w:val="000000" w:themeColor="text1"/>
          <w:sz w:val="16"/>
          <w:szCs w:val="16"/>
        </w:rPr>
        <w:softHyphen/>
        <w:t>ставил мотор АМ-37 на соискание премии им. В.П. Чкалова. В представлении он подчеркивал, что АМ-37 «...по своим техническим и тактико-техническим данным... стоит на первом месте мирового моторостроения, одновременно работая на топливе 93-94 октан вме</w:t>
      </w:r>
      <w:r w:rsidRPr="00A3026E">
        <w:rPr>
          <w:rFonts w:ascii="Times New Roman" w:hAnsi="Times New Roman"/>
          <w:color w:val="000000" w:themeColor="text1"/>
          <w:sz w:val="16"/>
          <w:szCs w:val="16"/>
        </w:rPr>
        <w:softHyphen/>
        <w:t>сто 100-октанового топлива, обязательно требующегося для сорев</w:t>
      </w:r>
      <w:r w:rsidRPr="00A3026E">
        <w:rPr>
          <w:rFonts w:ascii="Times New Roman" w:hAnsi="Times New Roman"/>
          <w:color w:val="000000" w:themeColor="text1"/>
          <w:sz w:val="16"/>
          <w:szCs w:val="16"/>
        </w:rPr>
        <w:softHyphen/>
        <w:t>нующихся с ним лучших зарубежных моторов («Аллисон», «Мерлин» и др.). Это достигнуто благодаря изобретенному мною и внедренному впервые в мировом моторостроении воздушному ради</w:t>
      </w:r>
      <w:r w:rsidRPr="00A3026E">
        <w:rPr>
          <w:rFonts w:ascii="Times New Roman" w:hAnsi="Times New Roman"/>
          <w:color w:val="000000" w:themeColor="text1"/>
          <w:sz w:val="16"/>
          <w:szCs w:val="16"/>
        </w:rPr>
        <w:softHyphen/>
        <w:t>атору особой конструкции, установленному на трубопроводе всасы</w:t>
      </w:r>
      <w:r w:rsidRPr="00A3026E">
        <w:rPr>
          <w:rFonts w:ascii="Times New Roman" w:hAnsi="Times New Roman"/>
          <w:color w:val="000000" w:themeColor="text1"/>
          <w:sz w:val="16"/>
          <w:szCs w:val="16"/>
        </w:rPr>
        <w:softHyphen/>
        <w:t>вающей системы». Речь шла о водо-воздушном радиаторе для охлаждения воздуха за нагнетателем. Прокачка воды через радиатор осуществлялась дополнительным водяным насосом. Охлаждение воздуха на всасывании позволяло повысить наполнение цилиндров и благодаря этому увеличить литровую мощность мотора.</w:t>
      </w:r>
    </w:p>
    <w:p w14:paraId="4B72620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Далее в представлении следовала фраза, характерная для того времени: «АМ-37 является целиком мотором отечественной конст</w:t>
      </w:r>
      <w:r w:rsidRPr="00A3026E">
        <w:rPr>
          <w:rFonts w:ascii="Times New Roman" w:hAnsi="Times New Roman"/>
          <w:color w:val="000000" w:themeColor="text1"/>
          <w:sz w:val="16"/>
          <w:szCs w:val="16"/>
        </w:rPr>
        <w:softHyphen/>
        <w:t>рукции и сделан весь из советских материалов». По данным Мику</w:t>
      </w:r>
      <w:r w:rsidRPr="00A3026E">
        <w:rPr>
          <w:rFonts w:ascii="Times New Roman" w:hAnsi="Times New Roman"/>
          <w:color w:val="000000" w:themeColor="text1"/>
          <w:sz w:val="16"/>
          <w:szCs w:val="16"/>
        </w:rPr>
        <w:softHyphen/>
        <w:t>лина, при непрерывной работе в течение 60 мин. у земли и при непрерывной работе в течение 30 мин. на высоте 6000 м макси</w:t>
      </w:r>
      <w:r w:rsidRPr="00A3026E">
        <w:rPr>
          <w:rFonts w:ascii="Times New Roman" w:hAnsi="Times New Roman"/>
          <w:color w:val="000000" w:themeColor="text1"/>
          <w:sz w:val="16"/>
          <w:szCs w:val="16"/>
        </w:rPr>
        <w:softHyphen/>
        <w:t>мальная мощность мотора достигала 1400 л. с. Номинальная мощ</w:t>
      </w:r>
      <w:r w:rsidRPr="00A3026E">
        <w:rPr>
          <w:rFonts w:ascii="Times New Roman" w:hAnsi="Times New Roman"/>
          <w:color w:val="000000" w:themeColor="text1"/>
          <w:sz w:val="16"/>
          <w:szCs w:val="16"/>
        </w:rPr>
        <w:softHyphen/>
        <w:t>ность составляла 1200 л. с. на высоте 7000 м, более того, в течение 20 мин. максимальную мощность на расчетной высоте 5500 м раз</w:t>
      </w:r>
      <w:r w:rsidRPr="00A3026E">
        <w:rPr>
          <w:rFonts w:ascii="Times New Roman" w:hAnsi="Times New Roman"/>
          <w:color w:val="000000" w:themeColor="text1"/>
          <w:sz w:val="16"/>
          <w:szCs w:val="16"/>
        </w:rPr>
        <w:softHyphen/>
        <w:t>решалось доводить до 1500 л. с. На этом режиме удельная масса мо</w:t>
      </w:r>
      <w:r w:rsidRPr="00A3026E">
        <w:rPr>
          <w:rFonts w:ascii="Times New Roman" w:hAnsi="Times New Roman"/>
          <w:color w:val="000000" w:themeColor="text1"/>
          <w:sz w:val="16"/>
          <w:szCs w:val="16"/>
        </w:rPr>
        <w:softHyphen/>
        <w:t>тора АМ-37 составляла всего 0,59 кг/л, с., следовательно, по указанному показателю «тридцать седьмой» был близок к немецко</w:t>
      </w:r>
      <w:r w:rsidRPr="00A3026E">
        <w:rPr>
          <w:rFonts w:ascii="Times New Roman" w:hAnsi="Times New Roman"/>
          <w:color w:val="000000" w:themeColor="text1"/>
          <w:sz w:val="16"/>
          <w:szCs w:val="16"/>
        </w:rPr>
        <w:softHyphen/>
        <w:t>му двигателю ДБ-605 (10781).</w:t>
      </w:r>
    </w:p>
    <w:p w14:paraId="7E27030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39ABF9A3" w14:textId="77777777" w:rsidR="00DA459D" w:rsidRPr="00A3026E" w:rsidRDefault="00DA459D"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24 декабря 1940 Лешуков подготовил справку на имя маршала Ворошилова, в которой он указывал, что «в результате неоднократных разбирательств тре</w:t>
      </w:r>
      <w:r w:rsidRPr="00A3026E">
        <w:rPr>
          <w:color w:val="000000" w:themeColor="text1"/>
          <w:sz w:val="16"/>
          <w:szCs w:val="16"/>
        </w:rPr>
        <w:softHyphen/>
        <w:t>ний между работниками ВВС и т. Шпитальным, счи</w:t>
      </w:r>
      <w:r w:rsidRPr="00A3026E">
        <w:rPr>
          <w:color w:val="000000" w:themeColor="text1"/>
          <w:sz w:val="16"/>
          <w:szCs w:val="16"/>
        </w:rPr>
        <w:softHyphen/>
        <w:t>таю установленным, что между Шпитальным, с од</w:t>
      </w:r>
      <w:r w:rsidRPr="00A3026E">
        <w:rPr>
          <w:color w:val="000000" w:themeColor="text1"/>
          <w:sz w:val="16"/>
          <w:szCs w:val="16"/>
        </w:rPr>
        <w:softHyphen/>
        <w:t>ной стороны, и работниками ВВС тт. Сакриером, Никоновым, с другой, существуют нездоровые, не</w:t>
      </w:r>
      <w:r w:rsidRPr="00A3026E">
        <w:rPr>
          <w:color w:val="000000" w:themeColor="text1"/>
          <w:sz w:val="16"/>
          <w:szCs w:val="16"/>
        </w:rPr>
        <w:softHyphen/>
        <w:t>деловые отношения. Однако нет оснований утверж</w:t>
      </w:r>
      <w:r w:rsidRPr="00A3026E">
        <w:rPr>
          <w:color w:val="000000" w:themeColor="text1"/>
          <w:sz w:val="16"/>
          <w:szCs w:val="16"/>
        </w:rPr>
        <w:softHyphen/>
        <w:t>дать, как это делает т. Шпитальный, что тт. Сакриер и Никонов противодействуют внедрению пушеч</w:t>
      </w:r>
      <w:r w:rsidRPr="00A3026E">
        <w:rPr>
          <w:color w:val="000000" w:themeColor="text1"/>
          <w:sz w:val="16"/>
          <w:szCs w:val="16"/>
        </w:rPr>
        <w:softHyphen/>
        <w:t>ного вооружения в авиацию. Поэтому необходимо кому-либо из работников аппарата КО поручить по</w:t>
      </w:r>
      <w:r w:rsidRPr="00A3026E">
        <w:rPr>
          <w:color w:val="000000" w:themeColor="text1"/>
          <w:sz w:val="16"/>
          <w:szCs w:val="16"/>
        </w:rPr>
        <w:softHyphen/>
        <w:t>стоянное наблюдение за работами ОКБ-15 и, в част</w:t>
      </w:r>
      <w:r w:rsidRPr="00A3026E">
        <w:rPr>
          <w:color w:val="000000" w:themeColor="text1"/>
          <w:sz w:val="16"/>
          <w:szCs w:val="16"/>
        </w:rPr>
        <w:softHyphen/>
        <w:t>ности, обеспечить объективную постановку испыта</w:t>
      </w:r>
      <w:r w:rsidRPr="00A3026E">
        <w:rPr>
          <w:color w:val="000000" w:themeColor="text1"/>
          <w:sz w:val="16"/>
          <w:szCs w:val="16"/>
        </w:rPr>
        <w:softHyphen/>
        <w:t>ний и сравнение пушки т. Таубина и т. Шпитально</w:t>
      </w:r>
      <w:r w:rsidRPr="00A3026E">
        <w:rPr>
          <w:color w:val="000000" w:themeColor="text1"/>
          <w:sz w:val="16"/>
          <w:szCs w:val="16"/>
        </w:rPr>
        <w:softHyphen/>
        <w:t>го». Кроме того, учитывая заявления А. С. Яковлева о включении в план опытных работ самолета под 37-мм мотор-пушку, «опасения т. Шпитального, что пушка не находит применения, — неоснова</w:t>
      </w:r>
      <w:r w:rsidRPr="00A3026E">
        <w:rPr>
          <w:color w:val="000000" w:themeColor="text1"/>
          <w:sz w:val="16"/>
          <w:szCs w:val="16"/>
        </w:rPr>
        <w:softHyphen/>
        <w:t>тельны». В этой связи предлагалось: «1) Уведомить т. Шпитального, что планом опытного самолето</w:t>
      </w:r>
      <w:r w:rsidRPr="00A3026E">
        <w:rPr>
          <w:color w:val="000000" w:themeColor="text1"/>
          <w:sz w:val="16"/>
          <w:szCs w:val="16"/>
        </w:rPr>
        <w:softHyphen/>
        <w:t>строения на 1941 г. предусмотрено строительство самолетов с 37-мм мотор-пушками. 2) Наблюде</w:t>
      </w:r>
      <w:r w:rsidRPr="00A3026E">
        <w:rPr>
          <w:color w:val="000000" w:themeColor="text1"/>
          <w:sz w:val="16"/>
          <w:szCs w:val="16"/>
        </w:rPr>
        <w:softHyphen/>
        <w:t>ние за 37-мм мотор-пушками возложить на МПО КО». В заключение Лешуков просил разрешения «уведомить т. Шпитального и вопрос снять с оче</w:t>
      </w:r>
      <w:r w:rsidRPr="00A3026E">
        <w:rPr>
          <w:color w:val="000000" w:themeColor="text1"/>
          <w:sz w:val="16"/>
          <w:szCs w:val="16"/>
        </w:rPr>
        <w:softHyphen/>
        <w:t>реди» (17500).</w:t>
      </w:r>
    </w:p>
    <w:p w14:paraId="1594B0D1" w14:textId="77777777" w:rsidR="00DA459D" w:rsidRPr="00A3026E" w:rsidRDefault="00DA459D" w:rsidP="00A3026E">
      <w:pPr>
        <w:pStyle w:val="128"/>
        <w:shd w:val="clear" w:color="auto" w:fill="auto"/>
        <w:spacing w:after="0" w:line="240" w:lineRule="auto"/>
        <w:jc w:val="both"/>
        <w:rPr>
          <w:color w:val="000000" w:themeColor="text1"/>
          <w:sz w:val="16"/>
          <w:szCs w:val="16"/>
        </w:rPr>
      </w:pPr>
    </w:p>
    <w:p w14:paraId="39A0E291" w14:textId="77777777" w:rsidR="00D4018A" w:rsidRPr="00A3026E" w:rsidRDefault="00D4018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24 декабря 1940 – протокол Политбюро</w:t>
      </w:r>
    </w:p>
    <w:p w14:paraId="6C20AE83" w14:textId="77777777" w:rsidR="00D4018A" w:rsidRPr="00A3026E" w:rsidRDefault="00D4018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24.XII.40 г.</w:t>
      </w:r>
    </w:p>
    <w:p w14:paraId="3CD3DB17" w14:textId="77777777" w:rsidR="00D4018A" w:rsidRPr="00A3026E" w:rsidRDefault="00D4018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146. Об установлении основной заработной платы летчикам-испытателям системы Наркомата авиационной промышленности в зависимости от присвоенного класса (постановление СНК СССР и ЦК ВКП(б)) (20469).</w:t>
      </w:r>
    </w:p>
    <w:p w14:paraId="2688D2CE" w14:textId="77777777" w:rsidR="00D4018A" w:rsidRPr="00A3026E" w:rsidRDefault="00D4018A" w:rsidP="00A3026E">
      <w:pPr>
        <w:spacing w:after="0" w:line="240" w:lineRule="auto"/>
        <w:jc w:val="both"/>
        <w:rPr>
          <w:rFonts w:ascii="Times New Roman" w:hAnsi="Times New Roman"/>
          <w:color w:val="0070C0"/>
          <w:sz w:val="16"/>
          <w:szCs w:val="16"/>
        </w:rPr>
      </w:pPr>
    </w:p>
    <w:p w14:paraId="04500A29" w14:textId="77777777" w:rsidR="00DA459D" w:rsidRPr="00A3026E" w:rsidRDefault="00DA459D"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DA27E45" w14:textId="77777777" w:rsidR="00DA459D" w:rsidRPr="00A3026E" w:rsidRDefault="00DA459D" w:rsidP="00A3026E">
      <w:pPr>
        <w:spacing w:after="0" w:line="240" w:lineRule="auto"/>
        <w:jc w:val="both"/>
        <w:rPr>
          <w:rFonts w:ascii="Times New Roman" w:hAnsi="Times New Roman"/>
          <w:iCs/>
          <w:color w:val="000000" w:themeColor="text1"/>
          <w:sz w:val="16"/>
          <w:szCs w:val="16"/>
        </w:rPr>
      </w:pPr>
    </w:p>
    <w:p w14:paraId="2DD2D97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декабря 1940</w:t>
      </w:r>
    </w:p>
    <w:p w14:paraId="0CED46C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РГВА Фонд 31811 Опись 3 Дело 2116 лист 1 – 100 </w:t>
      </w:r>
    </w:p>
    <w:p w14:paraId="05C1220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5D422E7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Научно-Испытательный полигон ГАБТУ Красной Армии</w:t>
      </w:r>
    </w:p>
    <w:p w14:paraId="4EFC9A1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 № 1</w:t>
      </w:r>
    </w:p>
    <w:p w14:paraId="4BB0338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УТВЕРЖДАЮ </w:t>
      </w:r>
    </w:p>
    <w:p w14:paraId="41B6A83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Начальник полигона Полковник подпись (Романов) </w:t>
      </w:r>
    </w:p>
    <w:p w14:paraId="175F8FA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 декабря 1940 г. </w:t>
      </w:r>
    </w:p>
    <w:p w14:paraId="481705C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w:t>
      </w:r>
    </w:p>
    <w:p w14:paraId="3645BD1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испытанию трех танков Т-34 длительным пробегом</w:t>
      </w:r>
    </w:p>
    <w:p w14:paraId="2C75249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ОТДЕЛ</w:t>
      </w:r>
    </w:p>
    <w:p w14:paraId="2509253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Ноябрь-декабрь 1940 г.</w:t>
      </w:r>
    </w:p>
    <w:p w14:paraId="6AE4CA6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ОГЛАВЛЕНИЕ.</w:t>
      </w:r>
    </w:p>
    <w:p w14:paraId="66369A9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 ВВЕДЕНИЕ – 1 </w:t>
      </w:r>
    </w:p>
    <w:p w14:paraId="57D4F7A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II. ПРОГРАММА ИСПЫТАНИЙ – 2–17 </w:t>
      </w:r>
    </w:p>
    <w:p w14:paraId="202DC45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III. ОБЪЕМ ПРОВЕДЕННЫХ ИСПЫТАНИЙ – 18–22 </w:t>
      </w:r>
    </w:p>
    <w:p w14:paraId="16D2356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IV. ТАКТИКО ТЕХНИЧЕСКАЯ ХАРАКТЕРИСТИКА – 23–35 </w:t>
      </w:r>
    </w:p>
    <w:p w14:paraId="19580E5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Основные данные – 23 </w:t>
      </w:r>
    </w:p>
    <w:p w14:paraId="622B93A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Тактические данные – 24 </w:t>
      </w:r>
    </w:p>
    <w:p w14:paraId="3CCC11E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Технические данные – 29 </w:t>
      </w:r>
    </w:p>
    <w:p w14:paraId="7BD8D45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Общие виды танка Т-34 – 34 </w:t>
      </w:r>
    </w:p>
    <w:p w14:paraId="4857EC1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V. РЕЗУЛЬТАТЫ ИСПЫТАНИЯ И ВЫВОДЫ – 36–98 </w:t>
      </w:r>
    </w:p>
    <w:p w14:paraId="700A304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Вооружение, оптика, боеукладка – 37–62 </w:t>
      </w:r>
    </w:p>
    <w:p w14:paraId="51EC38B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Броневой корпус – 63–66 </w:t>
      </w:r>
    </w:p>
    <w:p w14:paraId="6E49962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Средства связи – 67–69 </w:t>
      </w:r>
    </w:p>
    <w:p w14:paraId="181355A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Эксплоатационные показатели и надежность агрегатов танка – 70–98 </w:t>
      </w:r>
    </w:p>
    <w:p w14:paraId="38C9B3B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VI. ЗАКЛЮЧЕНИЕ – 99–100 </w:t>
      </w:r>
    </w:p>
    <w:p w14:paraId="2D0081B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ВВЕДЕНИЕ</w:t>
      </w:r>
    </w:p>
    <w:p w14:paraId="077C5A1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Согласно директивы Заместителя Народного Комиссара Обороны № 76791 от 25.10.40 г. испытание танков Т-34 было проведено методом длительного пробега с отрывом от базы, в сочетании c отстрелами огневых задач. </w:t>
      </w:r>
    </w:p>
    <w:p w14:paraId="4897EDD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соответствии с этой методической особенностью испытанием наиболее полно освещены вопросы: вооружение и оптика, надежность матчасти и ее эксплоатация. </w:t>
      </w:r>
    </w:p>
    <w:p w14:paraId="078BCBF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Ввиду того, что испытание проведено в условиях поздней осени, раздел преодоления естественных и искусственных препятствий проведен недостаточно полно и вывести максимальные показатели (на сухом грунте) не представилось возможным. </w:t>
      </w:r>
    </w:p>
    <w:p w14:paraId="191B7B9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этой же причине (низкие температуры) температурный режим работы дизельмотора полностью не выявлен. </w:t>
      </w:r>
    </w:p>
    <w:p w14:paraId="4E60718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Ввиду отсутствия на танк Т-34 утвержденных тактико-технических требований, выводы и оценка сделаны на основании выявленной тактико-технической характеристики. </w:t>
      </w:r>
    </w:p>
    <w:p w14:paraId="64EFE13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ПРОГРАММЫ ИСПЫТАНИЯ.</w:t>
      </w:r>
    </w:p>
    <w:p w14:paraId="619FFC6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ПРОГРАММА</w:t>
      </w:r>
    </w:p>
    <w:p w14:paraId="51A209A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полигонных испытаний танков Т-34 длительным пробегом по маршруту Харьков – Кубинка – Смоленск – Киев – Харьков.</w:t>
      </w:r>
    </w:p>
    <w:p w14:paraId="505A160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ЦЕЛЬ ИСПЫТАНИЯ</w:t>
      </w:r>
    </w:p>
    <w:p w14:paraId="2B0BDEC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Определить тактико-техническую характеристику танка в целом и установить ее соответствие с предъявленными генштабом тактико-техническими требованиями. </w:t>
      </w:r>
    </w:p>
    <w:p w14:paraId="016DBEF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Определить надежность и безотказность агрегатов танка в условиях длительного пробега. </w:t>
      </w:r>
    </w:p>
    <w:p w14:paraId="6A44320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Определить соответствие вооружения, боекомплекта, средств наблюдения и связи тактическим задачам, стоящим перед танками данного класса. </w:t>
      </w:r>
    </w:p>
    <w:p w14:paraId="553FC24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Определить обеспеченность танка возимым комплектом запчастей и инструмента и окончательно разработать комплект. Определить объем и периодичность технического обслуживания танка в полевых условиях. Определить ремонтные возможности танка в полевых условиях. </w:t>
      </w:r>
    </w:p>
    <w:p w14:paraId="0A0E238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ОБЪЕМ ИСПЫТАНИЯ</w:t>
      </w:r>
    </w:p>
    <w:p w14:paraId="5B748DF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Проверка соответствия представленных образцов требованиям испытания – согласно перечню переделок и изменений БТУ К.А. </w:t>
      </w:r>
    </w:p>
    <w:p w14:paraId="2176F38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Общий километраж пробега 3000 км., из них по шоссейным дорогам –1000 км., по грунтовым дорогам и бездорожью с преодолением естественных препятствий – 2000 км. </w:t>
      </w:r>
    </w:p>
    <w:p w14:paraId="6B686D3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ПРИМЕЧАНИЕ: </w:t>
      </w:r>
    </w:p>
    <w:p w14:paraId="20337AA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30% общего километража проходится в ночное время. </w:t>
      </w:r>
    </w:p>
    <w:p w14:paraId="71F61DA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30% километража по грунтовым дорогам и целине проходится в боевом положении (с закрытыми люками). </w:t>
      </w:r>
    </w:p>
    <w:p w14:paraId="09DBA11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Испытание вооружения – в процессе испытания должны быть выполнены основные задачи по курсу стрельб для танков данного класса с израсходованием полного боевого комплекта. </w:t>
      </w:r>
    </w:p>
    <w:p w14:paraId="49BF2BD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4.Испытание средств связи – по особой программе. </w:t>
      </w:r>
    </w:p>
    <w:p w14:paraId="4601E46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Определение проходимости: </w:t>
      </w:r>
    </w:p>
    <w:p w14:paraId="51A4CCB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Естественные препятствия. </w:t>
      </w:r>
    </w:p>
    <w:p w14:paraId="3A4F4FC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Искусственные препятствия. </w:t>
      </w:r>
    </w:p>
    <w:p w14:paraId="0FB3FBA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Испытание танка на противотанковых минах. </w:t>
      </w:r>
    </w:p>
    <w:p w14:paraId="06C918C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Испытание герметичности корпуса и башни танка путем обливания горючей жидкостью. </w:t>
      </w:r>
    </w:p>
    <w:p w14:paraId="6BC809C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ПОРЯДОК ИСПЫТАНИЯ.</w:t>
      </w:r>
    </w:p>
    <w:p w14:paraId="742B99F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Испытание разбивается на следующие этапы, проводимые в последовательности: </w:t>
      </w:r>
    </w:p>
    <w:p w14:paraId="47BF6D6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Приемка машин от военпреда завода и проверка готовности танков к испытаниям. </w:t>
      </w:r>
    </w:p>
    <w:p w14:paraId="15D5EBC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Проводится при участии специалистов по вооружению и связи. </w:t>
      </w:r>
    </w:p>
    <w:p w14:paraId="4AC4055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Семидневный марш с дневкой после первых трех дней (общий километраж 910 км., из них 320 км. по шоссе и 590 по грунтовым дорогам и бездорожью). </w:t>
      </w:r>
    </w:p>
    <w:p w14:paraId="5D0CD93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Стрельба с решением тактической задачи. Испытание средств связи. Преодоление естественных и искусственных препятствий. </w:t>
      </w:r>
    </w:p>
    <w:p w14:paraId="50F5857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Восьмидневный марш с дневкой после 4-х дней. Общий километраж 1060 км., из них 510 км., по шоссе и 550 по грунтовым дорогам и бездорожью. </w:t>
      </w:r>
    </w:p>
    <w:p w14:paraId="760F184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Стрельба с решением тактической задачи. Испытание средств связи. </w:t>
      </w:r>
    </w:p>
    <w:p w14:paraId="3C24208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Шестидневный марш с дневкой после 4-х дней. Общий километраж 630 км. по грунтовым дорогам и бездорожью. </w:t>
      </w:r>
    </w:p>
    <w:p w14:paraId="5100E43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Стрельба с решением тактической задачи. Испытание на противотанковых минах. Обливание горящей жидкостью. </w:t>
      </w:r>
    </w:p>
    <w:p w14:paraId="2A40C20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Оформление материалов и составление отчета. </w:t>
      </w:r>
    </w:p>
    <w:p w14:paraId="1160D73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ОСНОВНЫЕ ВОПРОСЫ ИСПЫТАНИЯ</w:t>
      </w:r>
    </w:p>
    <w:p w14:paraId="4B2D542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 вооружению и оптике: </w:t>
      </w:r>
    </w:p>
    <w:p w14:paraId="25029A6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Определить удобство пользования вооружением и оптикой при стрельбе с хода и с места при выполнении поставленных тактических задач. </w:t>
      </w:r>
    </w:p>
    <w:p w14:paraId="6FEA8F1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Определить меткость, кучность и скорострельность стрельбы из танка с целью установления наиболее эффективных дистанций и углов возвышения и склонения. </w:t>
      </w:r>
    </w:p>
    <w:p w14:paraId="1480B3F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Определить удобство пользования боеукладкой и ЗИПом. </w:t>
      </w:r>
    </w:p>
    <w:p w14:paraId="2883A96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Определить мертвые пространства, поражаемые сектора, а так же степень обзорности из танка. </w:t>
      </w:r>
    </w:p>
    <w:p w14:paraId="5E0766A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Определить загрязненность воздуха в танке СО при стрельбе. </w:t>
      </w:r>
    </w:p>
    <w:p w14:paraId="5CFA0D6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е) Определить возможность и удобство обслуживания, ремонта и замены вооружения и оптики в полевых условиях. </w:t>
      </w:r>
    </w:p>
    <w:p w14:paraId="7FE00D9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ж) Определить возможность использования вооружения для самообороны из танка и при выходе из танка. </w:t>
      </w:r>
    </w:p>
    <w:p w14:paraId="517735E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По радиостанции: </w:t>
      </w:r>
    </w:p>
    <w:p w14:paraId="655B87C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Установить правильность и удобство размещения радиоаппаратуры в танке. </w:t>
      </w:r>
    </w:p>
    <w:p w14:paraId="0373D0B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Установить дальность надежной связи на радиостанции и удобство пользования телефоном и микрофоном. </w:t>
      </w:r>
    </w:p>
    <w:p w14:paraId="0D1B52B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Определить удобство настройки и доступность радиоаппаратуры внутри танка. </w:t>
      </w:r>
    </w:p>
    <w:p w14:paraId="6C4082C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Определить надежность и удобство пользования ТПУ. </w:t>
      </w:r>
    </w:p>
    <w:p w14:paraId="01E5FFC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По танку в целом: </w:t>
      </w:r>
    </w:p>
    <w:p w14:paraId="6F918BD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Определить выносливость и надежность танка в целом и его отдельных агрегатов в условиях напряженной эксплуатации. </w:t>
      </w:r>
    </w:p>
    <w:p w14:paraId="3DAFAE0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Определить средние скорости движения (чистого, техническую и оперативную) в различных дорожных условиях. </w:t>
      </w:r>
    </w:p>
    <w:p w14:paraId="17B4F09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Определить нормы расхода горючесмазочных материалов на 1 час работы двигателя и 1 км пути. </w:t>
      </w:r>
    </w:p>
    <w:p w14:paraId="137E3F0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Определить запас хода по горючему, смазке и надежности танка. </w:t>
      </w:r>
    </w:p>
    <w:p w14:paraId="6D449A2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Определить температурный режим работы двигателя. </w:t>
      </w:r>
    </w:p>
    <w:p w14:paraId="7BDB97B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Определить возможности и нормативы полевого обслуживания и ремонта танка. Разработать нормы возимого комплекта запчастей и инструмента. </w:t>
      </w:r>
    </w:p>
    <w:p w14:paraId="32596DB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ж) Определить удобство пользования приборами наблюдения в условиях разрешения тактических задач. </w:t>
      </w:r>
    </w:p>
    <w:p w14:paraId="2BD25AD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 Определить управляемость танка и водимость при движении в различных дорожных условиях и в разное время суток. </w:t>
      </w:r>
    </w:p>
    <w:p w14:paraId="3FF4031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 Определить удобство размещения и работы экипажа танка. </w:t>
      </w:r>
    </w:p>
    <w:p w14:paraId="0F281F9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Определить суточный и трех суточный переход танка в зависимости от надежности танка, запаса хода и утомления экипажа. </w:t>
      </w:r>
    </w:p>
    <w:p w14:paraId="114FC1B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 Определить путь и время безостановочного движения. </w:t>
      </w:r>
    </w:p>
    <w:p w14:paraId="3BC73A4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 Определить возможность использования танка, как буксирного средства в боевой обстановке. </w:t>
      </w:r>
    </w:p>
    <w:p w14:paraId="6512D95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Испытание на воздействие горючей жидкости. </w:t>
      </w:r>
    </w:p>
    <w:p w14:paraId="1F28662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Определить герметичность танка, а так же места и степень проникновения горящей жидкости внутрь танка. </w:t>
      </w:r>
    </w:p>
    <w:p w14:paraId="6BE48D1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Установить степень опасности и повреждений от действия проникающей в танк горящей жидкости (выявить жизнеопасные очаги). </w:t>
      </w:r>
    </w:p>
    <w:p w14:paraId="3A055C6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Определить эффективность имеющихся противопожарных и других средств, для борьбы с огнем или этим видом нападения. </w:t>
      </w:r>
    </w:p>
    <w:p w14:paraId="7AB7E74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Установить наилучшие меры борьбы с горящей жидкостью попавшей внутрь танка. </w:t>
      </w:r>
    </w:p>
    <w:p w14:paraId="7C2FE67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Детализированные программы по испытанию вооружения, оптике и средств связи разрабатываются соответствующим отделами полигона – дополнительно. </w:t>
      </w:r>
    </w:p>
    <w:p w14:paraId="54A9E15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Отчет должен быть представлен через 10 дней после окончания испытания. </w:t>
      </w:r>
    </w:p>
    <w:p w14:paraId="143591C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ПРОГРАММА</w:t>
      </w:r>
    </w:p>
    <w:p w14:paraId="66275A3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вооружения танков Т-34 боевой стрельбой и длительным пробегом.</w:t>
      </w:r>
    </w:p>
    <w:p w14:paraId="0EBCA34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ЦЕЛЬ ИСПЫТАНИЯ.</w:t>
      </w:r>
    </w:p>
    <w:p w14:paraId="75D1D16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Определить соответствие установки вооружения и оптики, на танке Т-34, тактико-техническим требования Генштаба К.А. </w:t>
      </w:r>
    </w:p>
    <w:p w14:paraId="0D5C70F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Определить прочность и надёжность установки вооружения и оптики в условиях напряжённой эксплуатации танка. </w:t>
      </w:r>
    </w:p>
    <w:p w14:paraId="2E66348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Определить соответствие вооружения и оптики огневым задачам, стоящим перед танками данного типа. </w:t>
      </w:r>
    </w:p>
    <w:p w14:paraId="21FB055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Установить возможность обслуживания, а так же ремонта вооружения в полевых условиях. Дать оценку и уточнить комплект ЗИПа. </w:t>
      </w:r>
    </w:p>
    <w:p w14:paraId="3609186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ОСНОВНЫЕ ВОПРОСЫ ИСПЫТАНИЯ</w:t>
      </w:r>
    </w:p>
    <w:p w14:paraId="15F9DE9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До пробега. </w:t>
      </w:r>
    </w:p>
    <w:p w14:paraId="2DDC2E8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Составить характеристику установки вооружения и оптики в танке. </w:t>
      </w:r>
    </w:p>
    <w:p w14:paraId="72F1C05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Определить: углы и сектора обстрела, мёртвое пространство, обзорность. </w:t>
      </w:r>
    </w:p>
    <w:p w14:paraId="3F6BC40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В длительном пробеге определить: </w:t>
      </w:r>
    </w:p>
    <w:p w14:paraId="244B5FD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вооружению. </w:t>
      </w:r>
    </w:p>
    <w:p w14:paraId="7AA7754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Удобство обслуживания и надёжность крепления вооружения, боекомплекта и ЗИПа. </w:t>
      </w:r>
    </w:p>
    <w:p w14:paraId="054BAA1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Возможность ведения огня при максимальных углах снижения и возвышения. </w:t>
      </w:r>
    </w:p>
    <w:p w14:paraId="42C836B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Возможность устранения задержек и отказов пулемётов и пушки без выхода из танка. </w:t>
      </w:r>
    </w:p>
    <w:p w14:paraId="15E759C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Возможность замены отдельных агрегатов и ремонта вооружения в полевых условиях. </w:t>
      </w:r>
    </w:p>
    <w:p w14:paraId="676BFE9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Надёжность крепления башни. </w:t>
      </w:r>
    </w:p>
    <w:p w14:paraId="35128B6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Возможность использования полного боекомплекта после длительного пробега без предварительной подготовки. </w:t>
      </w:r>
    </w:p>
    <w:p w14:paraId="237B7A4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Удобство рабочих мест экипажа в боевом отделении. Освещённость боевого отделения. </w:t>
      </w:r>
    </w:p>
    <w:p w14:paraId="530F2A5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Возможность использования вооружения для самообороны из танка и при выходе из танка (пулемёт, гранаты, личное оружие). </w:t>
      </w:r>
    </w:p>
    <w:p w14:paraId="07D94EE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приборам стрельбы и наблюдения: </w:t>
      </w:r>
    </w:p>
    <w:p w14:paraId="36B516A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Удобство работы с приборами стрельбы и наблюдения. </w:t>
      </w:r>
    </w:p>
    <w:p w14:paraId="5C333F5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Защищённость приборов от атмосферных осадков, дорожной пыли и грязи, пулевых попаданий и свинцовых брызг. Возможность замены головки прибора ПТ-1 при движении танка. </w:t>
      </w:r>
    </w:p>
    <w:p w14:paraId="3510CBC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Возможность пользования приборами в условиях пониженной видимости (туман, дым, пыль и.т.д.). </w:t>
      </w:r>
    </w:p>
    <w:p w14:paraId="6067A5A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Удобство расположения приборов наблюдения относительно вооружения и рабочих мест экипажа. Возможность наблюдения за местностью и дорогой. </w:t>
      </w:r>
    </w:p>
    <w:p w14:paraId="034BEA1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При проведении боевых стрельб. </w:t>
      </w:r>
    </w:p>
    <w:p w14:paraId="1261359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Возможность ведения меткого огня с места, с хода и коротких остановок и выявление скорострельности. </w:t>
      </w:r>
    </w:p>
    <w:p w14:paraId="3651167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Влияние подвески танка на меткость стрельбы и удобство прицеливания во время движения. </w:t>
      </w:r>
    </w:p>
    <w:p w14:paraId="5FD8418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Сбиваемость прицельных линий при стрельбе и во время пробега. Надежность работы механизмов управления огнем. </w:t>
      </w:r>
    </w:p>
    <w:p w14:paraId="0655BD0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Гигиенические условия работы экипажа при боевых стрельбах. Определение концентрации СО и СО2. </w:t>
      </w:r>
    </w:p>
    <w:p w14:paraId="2241236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ИСПЫТАНИЕ ТАНКОВ БОЕВОЙ СТРЕЛЬБОЙ.</w:t>
      </w:r>
    </w:p>
    <w:p w14:paraId="37F84EA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Порядок стрельб.</w:t>
      </w:r>
    </w:p>
    <w:p w14:paraId="4BED6E6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До начала пробега – ХАРЬКОВ – АРТПОЛИГОН. </w:t>
      </w:r>
    </w:p>
    <w:p w14:paraId="6EB0245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Поверка прицельных линий, боя пулеметов и пушек. </w:t>
      </w:r>
    </w:p>
    <w:p w14:paraId="766E80F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Определение меткости и кучности ведения огня из пулеметов и пушек. </w:t>
      </w:r>
    </w:p>
    <w:p w14:paraId="08570EB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После 1000 км. пробега – Кубинка НИП ГАБТУ КА. </w:t>
      </w:r>
    </w:p>
    <w:p w14:paraId="0EDBCA1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Поверка прицельных линий и боя пулеметов. </w:t>
      </w:r>
    </w:p>
    <w:p w14:paraId="20E383E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Определение меткости и кучности ведения огня из пулеметов и пушек. </w:t>
      </w:r>
    </w:p>
    <w:p w14:paraId="534828A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Решение огневой задачи взводом танков. </w:t>
      </w:r>
    </w:p>
    <w:p w14:paraId="124D8D6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После 2000 км. пробега – КИЕВ – АРТПОЛИГОН. </w:t>
      </w:r>
    </w:p>
    <w:p w14:paraId="44367B5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Поверка прицельных линий и боя пулеметов. </w:t>
      </w:r>
    </w:p>
    <w:p w14:paraId="79277B8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Определение меткости и кучности ведения огня из пулеметов и пушек. </w:t>
      </w:r>
    </w:p>
    <w:p w14:paraId="7ABB7EC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Решение огневой задачи отдельным танком и взводом. </w:t>
      </w:r>
    </w:p>
    <w:p w14:paraId="05FA845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После 3000 км. пробега – ХАРЬКОВ – АРТПОЛИГОН. </w:t>
      </w:r>
    </w:p>
    <w:p w14:paraId="76B2AE9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Поверка прицельных линий и боя пулеметов. </w:t>
      </w:r>
    </w:p>
    <w:p w14:paraId="3FE0427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Определение меткости и кучности ведения огня из пулеметов и пушек. </w:t>
      </w:r>
    </w:p>
    <w:p w14:paraId="19630C9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Выполнение стрельб после 3000 км. пробега являются контрольно-поверочными для определения влияния износа отдельных узлов на меткость и кучность огня. </w:t>
      </w:r>
    </w:p>
    <w:p w14:paraId="07E63D7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Методика проведения стрельб.</w:t>
      </w:r>
    </w:p>
    <w:p w14:paraId="26D0E4C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 ХАРЬКОВ-АРТПОЛИГОН. </w:t>
      </w:r>
    </w:p>
    <w:p w14:paraId="36E6A63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Поверка Прицельных линий, боя пулеметов и пушек. </w:t>
      </w:r>
    </w:p>
    <w:p w14:paraId="4983CE6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пулемётов по 20 патрон – 120 шт. </w:t>
      </w:r>
    </w:p>
    <w:p w14:paraId="6092C66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пушки по 9 снарядов – 27 шт. </w:t>
      </w:r>
    </w:p>
    <w:p w14:paraId="79D2F81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Стрельба на кучность из пулемётов с места по щиту размером 2м х 2м. Курсовой угол 0°. Дистанция 400 мт. Темп стрельбы – короткие очереди. </w:t>
      </w:r>
    </w:p>
    <w:p w14:paraId="2D85A3C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пулемёта по 60 патрон – 120 шт. </w:t>
      </w:r>
    </w:p>
    <w:p w14:paraId="7AE85C4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Стрельба на кучность из пулемётов с места по щиту размером 4м х 4м. Курсовой угол 0°. Дистанция 600 мт. Темп стрельбы – короткие очереди. </w:t>
      </w:r>
    </w:p>
    <w:p w14:paraId="3F2849C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пулемёта по 60 патрон – 120 шт. </w:t>
      </w:r>
    </w:p>
    <w:p w14:paraId="07A4718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4) Стрельба на кучность из 76 мм пушки с места по щиту размером 4м х 4м. Курсовой угол 0°. Дистанция 600 мт. </w:t>
      </w:r>
    </w:p>
    <w:p w14:paraId="4AA40E0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пушки по 10 снарядов – 30 шт. </w:t>
      </w:r>
    </w:p>
    <w:p w14:paraId="12BAEF0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Стрельба на кучность из пулемёта с хода по щиту размером 2м х 2м. Дистанция 200 мт. Темп стрельбы – короткие очереди. </w:t>
      </w:r>
    </w:p>
    <w:p w14:paraId="2871644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пулемёта по 60 патрон – 120 шт. </w:t>
      </w:r>
    </w:p>
    <w:p w14:paraId="21216F4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Повторить пункт 5 при курсовом угле 90°. Длина пробега 100 метров. </w:t>
      </w:r>
    </w:p>
    <w:p w14:paraId="1AB6F56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пулемет – 120 шт. </w:t>
      </w:r>
    </w:p>
    <w:p w14:paraId="77F2090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КУБИНКА – НИП ГАБТУ КА. </w:t>
      </w:r>
    </w:p>
    <w:p w14:paraId="1B510E6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Поверка прицельных линий и боя пулеметов. </w:t>
      </w:r>
    </w:p>
    <w:p w14:paraId="0FA1B25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пулеметов по 20 патрон – 120 шт. </w:t>
      </w:r>
    </w:p>
    <w:p w14:paraId="4942E32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Стрельба на кучность из пулемета с места по щиту размером 2м х 2м. Курсовой угол 0°. Дистанция 400 мт. Темп стрельбы – короткие очереди. </w:t>
      </w:r>
    </w:p>
    <w:p w14:paraId="2610660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пулемета по 60 патрон – 120 шт. </w:t>
      </w:r>
    </w:p>
    <w:p w14:paraId="5E2793E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Стрельба на кучность из пулеметов с места по щиту размером 4м х 4м. Курсовой угол 0°. Дистанция 600 мт. Темп стрельбы – короткие очереди. </w:t>
      </w:r>
    </w:p>
    <w:p w14:paraId="2F61F1F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пулемета по 60 патрон – 120 шт. </w:t>
      </w:r>
    </w:p>
    <w:p w14:paraId="5B8B690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Стрельба на кучность из 76 мм пушки с места по щиту размером 4м х 4м. Курсовой угол 0°. Дистанция 600 мт. </w:t>
      </w:r>
    </w:p>
    <w:p w14:paraId="0E49913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пушки по 10 снарядов – 30 шт. </w:t>
      </w:r>
    </w:p>
    <w:p w14:paraId="3754594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Стрельба на кучность из пулеметов с хода по щиту размером 2м х 2м. Дистанция 200–150 мт. Темп огня – короткие очереди. </w:t>
      </w:r>
    </w:p>
    <w:p w14:paraId="39F2978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пулемета по 60 патрон – 120 шт. </w:t>
      </w:r>
    </w:p>
    <w:p w14:paraId="2AAC8EA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Повторить пункт 5 при курсовом угле 90°. Длина пробега 100 мт. </w:t>
      </w:r>
    </w:p>
    <w:p w14:paraId="38E990B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пулемет – 120 шт. </w:t>
      </w:r>
    </w:p>
    <w:p w14:paraId="73623DA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Боевая стрельба взводом танов. Порядок ведения огня. См. приложение схема № 1. </w:t>
      </w:r>
    </w:p>
    <w:p w14:paraId="1AE358A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пулемета по 63 патрона – 126 шт. </w:t>
      </w:r>
    </w:p>
    <w:p w14:paraId="1ECDC32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пушки – 55 шт. </w:t>
      </w:r>
    </w:p>
    <w:p w14:paraId="56C5AFD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КИЕВ – АРТПОЛИГОН. </w:t>
      </w:r>
    </w:p>
    <w:p w14:paraId="78F8067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Поверка прицельных линий и боя пулеметов. </w:t>
      </w:r>
    </w:p>
    <w:p w14:paraId="5E1E413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пулеметов по 20 патрон – 120 шт. </w:t>
      </w:r>
    </w:p>
    <w:p w14:paraId="49B8468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Стрельба из 76 пушки с места по щиту размером 4м х 4м. Курсовой угол 0°. Дистанция 600 метров. </w:t>
      </w:r>
    </w:p>
    <w:p w14:paraId="3D766C5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пушки по 10 снарядов – 30 шт. </w:t>
      </w:r>
    </w:p>
    <w:p w14:paraId="0326B0B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Боевая стрельба взводом танков. Порядок ведения огня см. приложение схема № 2. </w:t>
      </w:r>
    </w:p>
    <w:p w14:paraId="7E55A93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пушки всего снарядов – 71 шт. </w:t>
      </w:r>
    </w:p>
    <w:p w14:paraId="374A0CF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Стрельба отдельным танком с коротких остановок. АБТ КОП–39 тб. № 4 задача № 2 </w:t>
      </w:r>
    </w:p>
    <w:p w14:paraId="2EE0F42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пулеметов всего патрон – 144 шт. </w:t>
      </w:r>
    </w:p>
    <w:p w14:paraId="0702E5B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пушки снарядов – 12 шт. </w:t>
      </w:r>
    </w:p>
    <w:p w14:paraId="15327E4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Стрельба отдельным танком с хода АБТ КОП- 39 тб. № 8 задача № 1 </w:t>
      </w:r>
    </w:p>
    <w:p w14:paraId="4D22845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пулеметов всего патрон – 120 шт. </w:t>
      </w:r>
    </w:p>
    <w:p w14:paraId="403BD9B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пушки снарядов – 12 шт. </w:t>
      </w:r>
    </w:p>
    <w:p w14:paraId="531B3E3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4.ХАРЬКОВ – АРТПОЛИГОН </w:t>
      </w:r>
    </w:p>
    <w:p w14:paraId="572E481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Проверка прицельных линий и боя пулеметов – 120 шт. </w:t>
      </w:r>
    </w:p>
    <w:p w14:paraId="2590E6E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Повторить выполнения пунктов № 2,3,4,5,6 проведенных при стрельбе в Кубинке. </w:t>
      </w:r>
    </w:p>
    <w:p w14:paraId="42F74DD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патрон – 606 шт. </w:t>
      </w:r>
    </w:p>
    <w:p w14:paraId="2471F8B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снарядов – 30 шт. </w:t>
      </w:r>
    </w:p>
    <w:p w14:paraId="4360370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w:t>
      </w:r>
    </w:p>
    <w:p w14:paraId="5D2B4B7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СХЕМА № 1. Боевая стрельба взводом в составе 3-х танков для определения соответствия вооружения огневым задачам, поставленным пред танками данного типа. </w:t>
      </w:r>
    </w:p>
    <w:p w14:paraId="60FA610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Стрельба по целям ведется с коротких остановок. Средняя скорость движения 12-16 км/ ч. Дистанция между танками по фронту 30 метров. </w:t>
      </w:r>
    </w:p>
    <w:p w14:paraId="006A2D9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Начинает движение танк № 1 (средний) за 100 мт. от линии огня и при подходе к ней открывает огонь из пушки по цели № 1(Эскарп. Высота вала 1,5 мт. Дистанция от линии огня 400 мт. Количество снарядов 10 шт.). </w:t>
      </w:r>
    </w:p>
    <w:p w14:paraId="04644CC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Танки № 2 (правый) и № 3 (левый) начинают движение к линии огня после первого выстрела танка № 1 и при подходе к ней открывают огонь по целям № 23 (Два ПТО. Дистанция от линии огня 800 мт. Количество снарядов 10 шт. по пять снарядов на каждый танк). </w:t>
      </w:r>
    </w:p>
    <w:p w14:paraId="16E2545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 № 1 разрушив цель № 1 проходит препятствие перенося огонь на цель № 2 (Надолбы деревянные. Дистанция от линии огня 700 мт. Количество снарядов 15 шт.). </w:t>
      </w:r>
    </w:p>
    <w:p w14:paraId="03CAA87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Остальные два танка выполнив задание по целям № 23 следуют за танком № 1 и открывают огонь: танк № 2 (правый) из пушки по цели № 31 (Амбразура ДОТа. Дистанция от линии огня 800 мт. Количество снарядов 8 шт.), танк № 3 (левый) из пулеметов по целям №№ 12,19 (Охранение ДОТа. Дистанция от линии огня 800 мт. Количество патрон 126 шт.). </w:t>
      </w:r>
    </w:p>
    <w:p w14:paraId="10ACC3E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После разрушения средним танком цели № 2 его движение вперед заканчивается и стрельба прекращается. Танки № 2 и № 3 проходят разрушенное препятствие (цель № 2) и одновременно ведут огонь из пушек по целям №№ 43, 16, 13 (Взвод полковой артиллерии. Дистанция от линии огня 1900 мт. Количество снарядов 12 шт. по 6 снарядов на каждый танк). </w:t>
      </w:r>
    </w:p>
    <w:p w14:paraId="4EE48AE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Расход боеприпасов: снарядов 76,2 – 55, патрон 7,62 – 126. </w:t>
      </w:r>
    </w:p>
    <w:p w14:paraId="30B1BA5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Учет времени производится от первого выстрела и до последнего. </w:t>
      </w:r>
    </w:p>
    <w:p w14:paraId="2D4628F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СХЕМА № 2. Решение предыдущей задачи (схема № 1) несколько упрощается. Цели №№ 12, 19 снимаются. Вместо цели № 2 (надолбы) вводится цель № 2а (минное поле). При разрушении минного поля огонь ведется одновременно из 3-х танков с остановки. </w:t>
      </w:r>
    </w:p>
    <w:p w14:paraId="779D8C2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этом выполнении определяется скорострельность пушек и концентрация СО и СО2. </w:t>
      </w:r>
    </w:p>
    <w:p w14:paraId="72159B0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Количество снарядов 30 шт., по 10 штук на каждый танк. После разрушения цели № 2а, три танка проходят вперед и ведут огонь: танк № 1 и № 2 по цели №№ 43, 16, 13 (Взвод полковой артиллерии. Дистанция от линии огня 1900 мт. Количество снарядов 14 шт., по 7 снарядов на каждый танк), и танк № 3 обстреливает цель № 31 (амбразура ДОТа. Дистанция от линии огня 800 мт. Количество снарядов 7 штук). </w:t>
      </w:r>
    </w:p>
    <w:p w14:paraId="41E8B7C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Расход боеприпасов – снарядов 76,2 – 71 шт. </w:t>
      </w:r>
    </w:p>
    <w:p w14:paraId="17E01B1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ОБЪЕМ ПРОВЕДЕННЫХ ИСПЫТАНИЙ</w:t>
      </w:r>
    </w:p>
    <w:p w14:paraId="0B7C6FF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Испытания проведены методом длительного пробега по маршруту Харьков – Кубинка – Смоленск – Киев – Харьков. </w:t>
      </w:r>
    </w:p>
    <w:p w14:paraId="3FDF2C9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Дорожные условия: </w:t>
      </w:r>
    </w:p>
    <w:p w14:paraId="6FBDA37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На участке ХАРЬКОВ – СЕРПУХОВ. </w:t>
      </w:r>
    </w:p>
    <w:p w14:paraId="593528E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Шоссе с преобладающим щебеночным покрытием, местами асфальтированное; </w:t>
      </w:r>
    </w:p>
    <w:p w14:paraId="676F1EE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Грунтовая полевая дорога, укатанная, сухая; </w:t>
      </w:r>
    </w:p>
    <w:p w14:paraId="2D02515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Убранные поля (целина). </w:t>
      </w:r>
    </w:p>
    <w:p w14:paraId="4CF7A8B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На участке СЕРПУХОВ – ДОРОГОБУЖ. </w:t>
      </w:r>
    </w:p>
    <w:p w14:paraId="54101EB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Грунтовая лесная дорога (старый почтовый тракт), разбитая, мокрый снег. </w:t>
      </w:r>
    </w:p>
    <w:p w14:paraId="0978239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Шоссе со смешанным покрытием. </w:t>
      </w:r>
    </w:p>
    <w:p w14:paraId="60F9ECA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На участке ДОРОГОБУЖ – ОРША. </w:t>
      </w:r>
    </w:p>
    <w:p w14:paraId="6EF9E27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Шоссе – автострада, преобладающее покрытие – мелкий укатанный гравий. </w:t>
      </w:r>
    </w:p>
    <w:p w14:paraId="0371065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На участке ОРША – КИЕВ. </w:t>
      </w:r>
    </w:p>
    <w:p w14:paraId="220CB95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Шоссе клинкерное. </w:t>
      </w:r>
    </w:p>
    <w:p w14:paraId="5D2EAC2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Лесная проселочная дорога и бездорожье. </w:t>
      </w:r>
    </w:p>
    <w:p w14:paraId="628FF9F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На участке КИЕВ – ХАРЬКОВ. </w:t>
      </w:r>
    </w:p>
    <w:p w14:paraId="4875346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Грунтовая, профилированная дорога. </w:t>
      </w:r>
    </w:p>
    <w:p w14:paraId="536710D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Убранные поля (целина). </w:t>
      </w:r>
    </w:p>
    <w:p w14:paraId="33FD799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Метеорологические условия: </w:t>
      </w:r>
    </w:p>
    <w:p w14:paraId="1E2DA6B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Испытание проведено с 31.10 по 7.12.40 г в условиях поздней осени. </w:t>
      </w:r>
    </w:p>
    <w:p w14:paraId="58626C3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Преобладающая погода: </w:t>
      </w:r>
    </w:p>
    <w:p w14:paraId="52DD4AD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1.На участке ХАРЬКОВ – КУРСК – ясно, сухо, температура от 0 до –3°С. </w:t>
      </w:r>
    </w:p>
    <w:p w14:paraId="0E8E3A4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На участке КУРСК – СЕРПУХОВ – облачно с прояснениями, незначительный снежный покров (10-15мм) на целине, температура от –2 до –7°С. </w:t>
      </w:r>
    </w:p>
    <w:p w14:paraId="015DC96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На участке СЕРПУХОВ – СМОЛЕНСК – облачно, осадки (мокрый снег и дождь), температура от +2 до –3°С. </w:t>
      </w:r>
    </w:p>
    <w:p w14:paraId="060321B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На участке СМОЛЕНСК – КИЕВ – облачно с прояснениями, сухо, температура от 0 до +9°С. </w:t>
      </w:r>
    </w:p>
    <w:p w14:paraId="4131726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На участке КИЕВ – ХАРЬКОВ – облачно с прояснениями, без осадков, температура от –1 до +5°С. </w:t>
      </w:r>
    </w:p>
    <w:p w14:paraId="20FDACB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ПРОЙДЕННЫЙ ЗА ВРЕМЯ ИСПЫТАНИЙ КИЛОМЕТРАЖ. </w:t>
      </w:r>
    </w:p>
    <w:p w14:paraId="3ED8C3C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Весь маршрут пробега Харьков – Кубинка – Смоленск – Киев – Харьков пройден за 14 ходовых дней. Техосмотры и ремонты в процессе пробега заняли 11 дней. </w:t>
      </w:r>
    </w:p>
    <w:p w14:paraId="1CDB591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Специспытания. </w:t>
      </w:r>
    </w:p>
    <w:p w14:paraId="25F5E99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Проведены следующие виды специспытаний: </w:t>
      </w:r>
    </w:p>
    <w:p w14:paraId="660E8FE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Стрельбы после 800 (Кубинка), 1900 (Киев), и 2500 (Харьков) км. пробега. </w:t>
      </w:r>
    </w:p>
    <w:p w14:paraId="57B3998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Израсходовано – </w:t>
      </w:r>
    </w:p>
    <w:p w14:paraId="2015157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249 патронов 76 мм пушки. </w:t>
      </w:r>
    </w:p>
    <w:p w14:paraId="63E4B4F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1423 патронов пулемета ДТ. </w:t>
      </w:r>
    </w:p>
    <w:p w14:paraId="57FF5FE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Преодоление естественных препятствий: </w:t>
      </w:r>
    </w:p>
    <w:p w14:paraId="7B0F7B5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Подъемы, </w:t>
      </w:r>
    </w:p>
    <w:p w14:paraId="1BFB583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косогоры, </w:t>
      </w:r>
    </w:p>
    <w:p w14:paraId="147475B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водные преграды, </w:t>
      </w:r>
    </w:p>
    <w:p w14:paraId="52D50D1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торфяное болото. </w:t>
      </w:r>
    </w:p>
    <w:p w14:paraId="52638E0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Испытание средств связи после 800 км. (Кубинка) и 2500 км. (Харьков) пробега. </w:t>
      </w:r>
    </w:p>
    <w:p w14:paraId="504DAE7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на специспытания затрачено 8 дней. </w:t>
      </w:r>
    </w:p>
    <w:p w14:paraId="4F2ADCF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Дефектация. </w:t>
      </w:r>
    </w:p>
    <w:p w14:paraId="3A6C432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окончании пробега (2571 км.) танк № 2 был подвергнут дефектации. </w:t>
      </w:r>
    </w:p>
    <w:p w14:paraId="665A05D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Были демонтированы и осмотрены следующие агрегаты танка: </w:t>
      </w:r>
    </w:p>
    <w:p w14:paraId="269DEF0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Главный фрикцион. </w:t>
      </w:r>
    </w:p>
    <w:p w14:paraId="13E8B48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КПП </w:t>
      </w:r>
    </w:p>
    <w:p w14:paraId="616304C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Бортовые фрикционы </w:t>
      </w:r>
    </w:p>
    <w:p w14:paraId="2EBAF65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Бортовые передачи. </w:t>
      </w:r>
    </w:p>
    <w:p w14:paraId="5588923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Электрооборудование. </w:t>
      </w:r>
    </w:p>
    <w:p w14:paraId="735D129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Дизельмотор танка № 2 (№ 1227 -06) был снят и отправлен для дефектации на завод № 75. </w:t>
      </w:r>
    </w:p>
    <w:p w14:paraId="549E9B1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Данные по дефектации как этого мотора, так и моторов с танков №№ 1 и 3 будут представлены дополнительно. </w:t>
      </w:r>
    </w:p>
    <w:p w14:paraId="63B1C8B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дефектацию танка № 2 затрачено 3 дня. </w:t>
      </w:r>
    </w:p>
    <w:p w14:paraId="366D966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Распределение времени: </w:t>
      </w:r>
    </w:p>
    <w:p w14:paraId="2530C92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Ходовые испытания – 14 дней </w:t>
      </w:r>
    </w:p>
    <w:p w14:paraId="5BA2038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Ремонт и техосмотры – 11 дней </w:t>
      </w:r>
    </w:p>
    <w:p w14:paraId="716D755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Специспытания – 8 дней </w:t>
      </w:r>
    </w:p>
    <w:p w14:paraId="0F3C09D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Подготовка и сдача машин – 2 дня </w:t>
      </w:r>
    </w:p>
    <w:p w14:paraId="0D513DD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 38 дней. </w:t>
      </w:r>
    </w:p>
    <w:p w14:paraId="00BD38D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ТАКТИКО-ТЕХНИЧЕСКАЯ ХАРАКТЕРИСТИКА ТАНКА Т-34</w:t>
      </w:r>
    </w:p>
    <w:p w14:paraId="7639851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ОСНОВНЫЕ ДАННЫЕ</w:t>
      </w:r>
    </w:p>
    <w:p w14:paraId="17B4858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Марка машины – Т-34 </w:t>
      </w:r>
    </w:p>
    <w:p w14:paraId="0374335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Тип танка – гусеничный </w:t>
      </w:r>
    </w:p>
    <w:p w14:paraId="1BE23E2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Завод изготовитель – завод № 183 </w:t>
      </w:r>
    </w:p>
    <w:p w14:paraId="5177958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Год выпуска – 1940 </w:t>
      </w:r>
    </w:p>
    <w:p w14:paraId="73AFD4F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Боевой вес – 26,8 т. </w:t>
      </w:r>
    </w:p>
    <w:p w14:paraId="3B8B37F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Погрузочный вес – 25,2 т. </w:t>
      </w:r>
    </w:p>
    <w:p w14:paraId="66EFE0C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Длина – 5950 мм. </w:t>
      </w:r>
    </w:p>
    <w:p w14:paraId="1B8EA2B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Ширина – 3000 мм. </w:t>
      </w:r>
    </w:p>
    <w:p w14:paraId="4A04DBF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Высота общая – 2400 мм. </w:t>
      </w:r>
    </w:p>
    <w:p w14:paraId="3778316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до крыши корпуса у башни – 1550 мм. </w:t>
      </w:r>
    </w:p>
    <w:p w14:paraId="190C3AF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до крыши над моторным отделением – 1700 мм. </w:t>
      </w:r>
    </w:p>
    <w:p w14:paraId="053F344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Клиренс – 340 мм. (после пробега) – 365 мм. (до пробега) </w:t>
      </w:r>
    </w:p>
    <w:p w14:paraId="64C56F1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Колея (между центрами гусениц) – 2470 мм. </w:t>
      </w:r>
    </w:p>
    <w:p w14:paraId="0544BE4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 Ширина хода (по краям гусениц) – 3000 мм. </w:t>
      </w:r>
    </w:p>
    <w:p w14:paraId="3943436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 База – 5300 мм. </w:t>
      </w:r>
    </w:p>
    <w:p w14:paraId="647D184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14. Экипаж – 4 чел. </w:t>
      </w:r>
    </w:p>
    <w:p w14:paraId="2E18A06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ТАКТИЧЕСКИЕ ДАННЫЕ</w:t>
      </w:r>
    </w:p>
    <w:p w14:paraId="01CD5B2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Проходимость</w:t>
      </w:r>
    </w:p>
    <w:p w14:paraId="3E2E4CD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Максимальная скорость – 54 км/ч (по шоссе) </w:t>
      </w:r>
    </w:p>
    <w:p w14:paraId="1147C3D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Средняя скорость чистого движения – 30,2 км/ч (по шоссе) – 25 км/ч (улучшенный проселок) </w:t>
      </w:r>
    </w:p>
    <w:p w14:paraId="093185E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Средняя скорость техническая – 19,6 км/ч (по шоссе) – 12,5 км/ч (улучшенный проселок) </w:t>
      </w:r>
    </w:p>
    <w:p w14:paraId="4BEB6EA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Перекрываемый ров (расчетный) – 3,4 – 3,5 мт. </w:t>
      </w:r>
    </w:p>
    <w:p w14:paraId="2200ADD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Подъем (грунт с твердым дерновым покрытием) – 30° </w:t>
      </w:r>
    </w:p>
    <w:p w14:paraId="0F19312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Косогор – 20° </w:t>
      </w:r>
    </w:p>
    <w:p w14:paraId="547E585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Вертикальная стенка (расчетная) – до 730 мм. </w:t>
      </w:r>
    </w:p>
    <w:p w14:paraId="0E0EDE0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Песок (покров рыхлый – влажный) – проходим. </w:t>
      </w:r>
    </w:p>
    <w:p w14:paraId="6B68EB7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Брод (преодоленный) – 1,3 мт. </w:t>
      </w:r>
    </w:p>
    <w:p w14:paraId="331E192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Одиночные деревья – сосна диаметр до 900 мм. Х) </w:t>
      </w:r>
    </w:p>
    <w:p w14:paraId="24B8072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Лесной массив – диаметр до 300 мм. Х) </w:t>
      </w:r>
    </w:p>
    <w:p w14:paraId="42F6FAB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 – по данным зимних испытаний</w:t>
      </w:r>
    </w:p>
    <w:p w14:paraId="17FC59D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Вооружение</w:t>
      </w:r>
    </w:p>
    <w:p w14:paraId="470FDC3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Пушки – калибр – марка – 1 шт. 76 мм Л -11 </w:t>
      </w:r>
    </w:p>
    <w:p w14:paraId="467FB93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Пулеметы калибр – 3 шт. 7,62 мм (один запасной) </w:t>
      </w:r>
    </w:p>
    <w:p w14:paraId="2CF061C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Снарядов – 77 шт. </w:t>
      </w:r>
    </w:p>
    <w:p w14:paraId="1CE39BA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Патронов – 46 дисков 2898 шт. </w:t>
      </w:r>
    </w:p>
    <w:p w14:paraId="62D754B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Углы обстрела: </w:t>
      </w:r>
    </w:p>
    <w:p w14:paraId="79DAFF9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Пушки с пулеметом (спаренные) – угол возвышения 28°; угол снижения 5°; на корму 1,5°; горизонт. 360° . </w:t>
      </w:r>
    </w:p>
    <w:p w14:paraId="618D679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Пулемет радиста (носовой) –угол возвышения 16°; угол снижения 6°; горизонт. +12°, –12° от продольной оси пулемета. </w:t>
      </w:r>
    </w:p>
    <w:p w14:paraId="08CC6E1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Мертвые пространства вооружения: </w:t>
      </w:r>
    </w:p>
    <w:p w14:paraId="25A743F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пулемет в башне вперед по бортам танка – 19 мт; на корму танка – 75 мт. </w:t>
      </w:r>
    </w:p>
    <w:p w14:paraId="1CE720A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пулемет радиста (носовой) – 10 мт. </w:t>
      </w:r>
    </w:p>
    <w:p w14:paraId="69DBF91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Скорострельность пушки из танка (практическая) – 1 – 2 выстр/мин. </w:t>
      </w:r>
    </w:p>
    <w:p w14:paraId="36F0969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Оптические прицелы пушки ПТ-6 1 шт.; ТОД-6 1 шт. </w:t>
      </w:r>
    </w:p>
    <w:p w14:paraId="46CDFC8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Прицельная дальность огня пушки – 4000 мт. </w:t>
      </w:r>
    </w:p>
    <w:p w14:paraId="675D2FB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Количество люков для самообороны – 3 шт. (в башне). </w:t>
      </w:r>
    </w:p>
    <w:p w14:paraId="7CFD530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Мертвые пространства люков самообороны: </w:t>
      </w:r>
    </w:p>
    <w:p w14:paraId="1D68216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а) по бортам танка – 3,2 мт. </w:t>
      </w:r>
    </w:p>
    <w:p w14:paraId="3ED6DDE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на корму танка – 10 мт. </w:t>
      </w:r>
    </w:p>
    <w:p w14:paraId="540C1DE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Броневая защита.</w:t>
      </w:r>
    </w:p>
    <w:p w14:paraId="6FE3A36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Тип корпуса – сварной с наклонными листами. </w:t>
      </w:r>
    </w:p>
    <w:p w14:paraId="0B00454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Сорт броневой стали – гомогенная марки М3-2 (И8-С) </w:t>
      </w:r>
    </w:p>
    <w:p w14:paraId="246EFB6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IV. Средства связи. </w:t>
      </w:r>
    </w:p>
    <w:p w14:paraId="50B072B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Радиостанция тип – 71ТК-3 </w:t>
      </w:r>
    </w:p>
    <w:p w14:paraId="1C2EBD5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Дальность действия на телефон: </w:t>
      </w:r>
    </w:p>
    <w:p w14:paraId="48217B2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с места – 20 км. </w:t>
      </w:r>
    </w:p>
    <w:p w14:paraId="477F7AB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с хода –15 – 17 км. </w:t>
      </w:r>
    </w:p>
    <w:p w14:paraId="0094752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Внутренняя сигнализация тип – ТПУ-2 или ТПУ-3. </w:t>
      </w:r>
    </w:p>
    <w:p w14:paraId="5A5E765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 Средства наблюдения</w:t>
      </w:r>
    </w:p>
    <w:p w14:paraId="74EEAB0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Смотровые приборы – 2 боковых эпископа в башне; 1 башенный эпископ; 3 эпископа водителя; ПТ-6 в башне </w:t>
      </w:r>
    </w:p>
    <w:p w14:paraId="0324963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Обзорность: </w:t>
      </w:r>
    </w:p>
    <w:p w14:paraId="2DA3B84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с места водителя </w:t>
      </w:r>
    </w:p>
    <w:p w14:paraId="7CE1AF7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центральный эпископ – 67° по горизонту </w:t>
      </w:r>
    </w:p>
    <w:p w14:paraId="7915957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боковые эпископы – по 30° по горизонту </w:t>
      </w:r>
    </w:p>
    <w:p w14:paraId="4C13CE4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 127° по горизонту </w:t>
      </w:r>
    </w:p>
    <w:p w14:paraId="2EDD176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с места командира </w:t>
      </w:r>
    </w:p>
    <w:p w14:paraId="72D7278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боковой эпископ в башне – 53° по горизонту </w:t>
      </w:r>
    </w:p>
    <w:p w14:paraId="431340F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башенный эпископ – до 120° по горизонту </w:t>
      </w:r>
    </w:p>
    <w:p w14:paraId="54B08AD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ПТ-6 – 360° по горизонту </w:t>
      </w:r>
    </w:p>
    <w:p w14:paraId="13CA3F2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Мертвые пространства </w:t>
      </w:r>
    </w:p>
    <w:p w14:paraId="50E5A31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с места водителя </w:t>
      </w:r>
    </w:p>
    <w:p w14:paraId="14AEA71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центральный эпископ – 7 мт. </w:t>
      </w:r>
    </w:p>
    <w:p w14:paraId="0B4CC8E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боковые эпископы – по 10 мт. </w:t>
      </w:r>
    </w:p>
    <w:p w14:paraId="1BC39AC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с места командира </w:t>
      </w:r>
    </w:p>
    <w:p w14:paraId="3A14ECB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боков эпископ в башне – 15,5 мт. </w:t>
      </w:r>
    </w:p>
    <w:p w14:paraId="4FC9824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башенный эпископ влево – 9,5 мт; вправо – 15 мт. </w:t>
      </w:r>
    </w:p>
    <w:p w14:paraId="0097527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ПТ-6 вперед и влево – 5 мт; вправо – 10 мт; на корму – 16,5 мт. </w:t>
      </w:r>
    </w:p>
    <w:p w14:paraId="4844021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VI. Общие данные. </w:t>
      </w:r>
    </w:p>
    <w:p w14:paraId="7411ECA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Емкость горючего – 455 литров </w:t>
      </w:r>
    </w:p>
    <w:p w14:paraId="6EB17B7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Емкость смазки – 80 литров </w:t>
      </w:r>
    </w:p>
    <w:p w14:paraId="29DB781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Рабочий объем – 50 литров </w:t>
      </w:r>
    </w:p>
    <w:p w14:paraId="639B438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Емкость системы охлаждения – 90 – 95 литров </w:t>
      </w:r>
    </w:p>
    <w:p w14:paraId="56797F5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Удельная мощность – 18,65 л.с./на тонну </w:t>
      </w:r>
    </w:p>
    <w:p w14:paraId="0E16C70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Условное удельное давление: </w:t>
      </w:r>
    </w:p>
    <w:p w14:paraId="1ADF428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при 0 погружении – 0,62 кг/см² </w:t>
      </w:r>
    </w:p>
    <w:p w14:paraId="0206D6E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при 100 мм погружении – 0,555 кг/см² </w:t>
      </w:r>
    </w:p>
    <w:p w14:paraId="5B6E604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Положение центра тяжести при весе танка в 25 тонн. Х) </w:t>
      </w:r>
    </w:p>
    <w:p w14:paraId="3470B59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по горизонтали (от центра вед колеса) – 2545 мм. </w:t>
      </w:r>
    </w:p>
    <w:p w14:paraId="62F3A0B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по вертикали (от опорной поверхности) – 964 мм. </w:t>
      </w:r>
    </w:p>
    <w:p w14:paraId="3768BF0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 по данным войсковой комиссии.</w:t>
      </w:r>
    </w:p>
    <w:p w14:paraId="48746A3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VII. Спецоборудование.</w:t>
      </w:r>
    </w:p>
    <w:p w14:paraId="351CC76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Огнетушителей переносных – 2 шт. </w:t>
      </w:r>
    </w:p>
    <w:p w14:paraId="2C1AB66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Артимущество – 1 ЗИП 8,5 кг. </w:t>
      </w:r>
    </w:p>
    <w:p w14:paraId="17D53EA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Буксирное имущество – 2 троса = 4 мт. и 2 рымы </w:t>
      </w:r>
    </w:p>
    <w:p w14:paraId="6AD24CD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Шанцевый инструмент: </w:t>
      </w:r>
    </w:p>
    <w:p w14:paraId="20DA8D5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ломов – 1 шт. </w:t>
      </w:r>
    </w:p>
    <w:p w14:paraId="7B6D86D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пил – 1 шт. </w:t>
      </w:r>
    </w:p>
    <w:p w14:paraId="33DADB7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топоров – 1 шт. </w:t>
      </w:r>
    </w:p>
    <w:p w14:paraId="6E21694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молоток – 1 шт. </w:t>
      </w:r>
    </w:p>
    <w:p w14:paraId="12D0798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кувалда – 1 шт. </w:t>
      </w:r>
    </w:p>
    <w:p w14:paraId="62D1D9A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лопата – 3 шт. </w:t>
      </w:r>
    </w:p>
    <w:p w14:paraId="279881D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домкраты – 2 шт. </w:t>
      </w:r>
    </w:p>
    <w:p w14:paraId="20B9CD3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ТЕХНИЧЕСКИЕ ДАННЫЕ</w:t>
      </w:r>
    </w:p>
    <w:p w14:paraId="130305C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1.Двигатель.</w:t>
      </w:r>
    </w:p>
    <w:p w14:paraId="7601B01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Марка двигателя – В-2 </w:t>
      </w:r>
    </w:p>
    <w:p w14:paraId="39CCFB1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Тип – быстроходный дизельмотор </w:t>
      </w:r>
    </w:p>
    <w:p w14:paraId="07C92C6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Число цилиндров – 12 </w:t>
      </w:r>
    </w:p>
    <w:p w14:paraId="4BB806E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Расположение цилиндров – V–образное под углом 60° </w:t>
      </w:r>
    </w:p>
    <w:p w14:paraId="6DED0C2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Диаметр цилиндров – 150 мм. </w:t>
      </w:r>
    </w:p>
    <w:p w14:paraId="39F81E4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Ход поршня – левый ряд 180 мм., правый ряд 186,7 мм. </w:t>
      </w:r>
    </w:p>
    <w:p w14:paraId="7EADF85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Степень сжатия – 17 и 17,8 </w:t>
      </w:r>
    </w:p>
    <w:p w14:paraId="731CC8B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Литраж – 38,88 литров </w:t>
      </w:r>
    </w:p>
    <w:p w14:paraId="324D0DC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Максимальная мощность – 500 л.с. при 1800 об/мин. </w:t>
      </w:r>
    </w:p>
    <w:p w14:paraId="5116DB3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Эксплуатационная мощность – 400 л.с. при 1700 об/мин. </w:t>
      </w:r>
    </w:p>
    <w:p w14:paraId="74E4CF3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Вес сухого двигателя – 750 кг. ± 50 кг. </w:t>
      </w:r>
    </w:p>
    <w:p w14:paraId="08EDF24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 Максимальный крутящий момент – 250 кг. мт. при 1200 – 1400 об/мин. </w:t>
      </w:r>
    </w:p>
    <w:p w14:paraId="2B7384E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 Сорт топлива – дизельное топливо ДТ или газойль марки Э. </w:t>
      </w:r>
    </w:p>
    <w:p w14:paraId="09BE4AD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14. Сорт смазки – авиамасла МК, МЗС, МС или СО </w:t>
      </w:r>
    </w:p>
    <w:p w14:paraId="644ADBE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 Удельный расход топлива – 160 – 170 гр л.с./час. </w:t>
      </w:r>
    </w:p>
    <w:p w14:paraId="26E3CC3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16. Удельный расход смазки – 13 гр л.с./час. </w:t>
      </w:r>
    </w:p>
    <w:p w14:paraId="0C1D5D6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 Подача горючего – под давлением. </w:t>
      </w:r>
    </w:p>
    <w:p w14:paraId="5D94031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18. Система смазки – циркуляционная под давлением от 6 до 9 кг/см² </w:t>
      </w:r>
    </w:p>
    <w:p w14:paraId="124773A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 Допускаемая температура воды – 105°С. </w:t>
      </w:r>
    </w:p>
    <w:p w14:paraId="5A2DAA6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 Допускаемая температура масла – 100°С. </w:t>
      </w:r>
    </w:p>
    <w:p w14:paraId="24EE591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21. Система охлаждения – водяная принудительная. </w:t>
      </w:r>
    </w:p>
    <w:p w14:paraId="66DC282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22. Система пуска – электростартером и воздухопуском. </w:t>
      </w:r>
    </w:p>
    <w:p w14:paraId="26FE7DB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Трансмиссия.</w:t>
      </w:r>
    </w:p>
    <w:p w14:paraId="0C2901B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Тип – механическая. </w:t>
      </w:r>
    </w:p>
    <w:p w14:paraId="1C337A1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Главное сцепление – многодисковое, сухое. 8 ведущих чугунных дисков и 10 ведомых стальных. </w:t>
      </w:r>
    </w:p>
    <w:p w14:paraId="7DE0599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Коробка перемены передач: </w:t>
      </w:r>
    </w:p>
    <w:p w14:paraId="22D9D26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Тип – механическая шестеренчатая. </w:t>
      </w:r>
    </w:p>
    <w:p w14:paraId="19692CC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Количество передач – 4 вперед, 1 назад. </w:t>
      </w:r>
    </w:p>
    <w:p w14:paraId="72E6CD9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в) Передаточные числа </w:t>
      </w:r>
    </w:p>
    <w:p w14:paraId="1B690B4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 передача – 5,0 </w:t>
      </w:r>
    </w:p>
    <w:p w14:paraId="27E2169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II передача – 2,39 </w:t>
      </w:r>
    </w:p>
    <w:p w14:paraId="278914A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III передача – 1, 215 </w:t>
      </w:r>
    </w:p>
    <w:p w14:paraId="50EAA2F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IV передача – 0,765 </w:t>
      </w:r>
    </w:p>
    <w:p w14:paraId="547B869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Задний ход – 5, 333 </w:t>
      </w:r>
    </w:p>
    <w:p w14:paraId="21E7686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переключающий механизм – кулиса с качающимся рычагом. </w:t>
      </w:r>
    </w:p>
    <w:p w14:paraId="459C586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сорт смазки и количество – авиамасло СО 10 литров. </w:t>
      </w:r>
    </w:p>
    <w:p w14:paraId="19F881B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Механизмы управления: </w:t>
      </w:r>
    </w:p>
    <w:p w14:paraId="6D94636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Тип – бортовые фрикционы и тормоза. </w:t>
      </w:r>
    </w:p>
    <w:p w14:paraId="70B73DA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Тип привода – механический – рычагами и тягами. </w:t>
      </w:r>
    </w:p>
    <w:p w14:paraId="40C5805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Тип тормозов – ленточные с обшивкой ферродо или с чугунными колодками. </w:t>
      </w:r>
    </w:p>
    <w:p w14:paraId="73D984D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Тип бортовых фрикцион – многодисковые сухие – 21 ведущих и 22 ведомых стальных дисков. </w:t>
      </w:r>
    </w:p>
    <w:p w14:paraId="7ACAE46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Бортовая передача: </w:t>
      </w:r>
    </w:p>
    <w:p w14:paraId="54A9469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Тип – шестеренчатая, одноступенчатая. </w:t>
      </w:r>
    </w:p>
    <w:p w14:paraId="7D06F75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Расположение – по бортам в задней части танка. </w:t>
      </w:r>
    </w:p>
    <w:p w14:paraId="0F4B733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Передаточное число – 5,7 </w:t>
      </w:r>
    </w:p>
    <w:p w14:paraId="5C8FB7D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Ходовая часть.</w:t>
      </w:r>
    </w:p>
    <w:p w14:paraId="108D333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Ведущее колесо: </w:t>
      </w:r>
    </w:p>
    <w:p w14:paraId="13F2729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расположение – заднее </w:t>
      </w:r>
    </w:p>
    <w:p w14:paraId="5723BC4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тип – д/гребневое зацепление </w:t>
      </w:r>
    </w:p>
    <w:p w14:paraId="10FA3E4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высота расположения от грунта – 650 мм. </w:t>
      </w:r>
    </w:p>
    <w:p w14:paraId="6B338E1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число ведущих роликов – 6 шт. </w:t>
      </w:r>
    </w:p>
    <w:p w14:paraId="33DE1A7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Ленивец: </w:t>
      </w:r>
    </w:p>
    <w:p w14:paraId="6AA902B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расположение – переднее </w:t>
      </w:r>
    </w:p>
    <w:p w14:paraId="70D92F7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тип – гладкое </w:t>
      </w:r>
    </w:p>
    <w:p w14:paraId="56FFE3E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высота расположения от грунта – 730 мм. (среднее положение) </w:t>
      </w:r>
    </w:p>
    <w:p w14:paraId="31D68A0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тип натяжного приспособления и ход – червячное, ход 170 мм. </w:t>
      </w:r>
    </w:p>
    <w:p w14:paraId="0E7B07F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Гусеничная лента </w:t>
      </w:r>
    </w:p>
    <w:p w14:paraId="20ED502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тип зацепления – гребневое </w:t>
      </w:r>
    </w:p>
    <w:p w14:paraId="4B2864D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количество траков на один борт – 37 пар, 74 шт. </w:t>
      </w:r>
    </w:p>
    <w:p w14:paraId="67B2992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вес трака с гребнем – 11,41 кг., без гребня – 8,8 кг </w:t>
      </w:r>
    </w:p>
    <w:p w14:paraId="49AA345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вес одной гусеничной ленты в сборе – 835 кг. </w:t>
      </w:r>
    </w:p>
    <w:p w14:paraId="21A7299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ширина трака – 550 мм. </w:t>
      </w:r>
    </w:p>
    <w:p w14:paraId="24F3C8A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шаг трака – 167 мм. </w:t>
      </w:r>
    </w:p>
    <w:p w14:paraId="37662C2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ж) тип шплинтовки – заклепкой в ушко трака. </w:t>
      </w:r>
    </w:p>
    <w:p w14:paraId="65B89A7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 форма грунтозацепов – поперечный прямой гребень. </w:t>
      </w:r>
    </w:p>
    <w:p w14:paraId="760A162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Подвеска </w:t>
      </w:r>
    </w:p>
    <w:p w14:paraId="7C00B0F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тип – индивидуальная </w:t>
      </w:r>
    </w:p>
    <w:p w14:paraId="41926CB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тип рессоры – спиральные пружины </w:t>
      </w:r>
    </w:p>
    <w:p w14:paraId="2961991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количество опорных колес – по 5 двойных с каждой стороны </w:t>
      </w:r>
    </w:p>
    <w:p w14:paraId="203B2E2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диаметр и ширина опорных колес – 830 мм×150 мм. </w:t>
      </w:r>
    </w:p>
    <w:p w14:paraId="1966280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Электрооборудование.</w:t>
      </w:r>
    </w:p>
    <w:p w14:paraId="7F1A14D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Стартер </w:t>
      </w:r>
    </w:p>
    <w:p w14:paraId="269E71D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тип – СТ- 700 </w:t>
      </w:r>
    </w:p>
    <w:p w14:paraId="2781468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мощность – 15 л.с. </w:t>
      </w:r>
    </w:p>
    <w:p w14:paraId="257C711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реле стартера – РС-371 </w:t>
      </w:r>
    </w:p>
    <w:p w14:paraId="320AEEA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Генератор </w:t>
      </w:r>
    </w:p>
    <w:p w14:paraId="68721CB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тип – ГТ -4563 </w:t>
      </w:r>
    </w:p>
    <w:p w14:paraId="7CC54E9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мощность – 1000W </w:t>
      </w:r>
    </w:p>
    <w:p w14:paraId="3865893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реле динамо – РРТ </w:t>
      </w:r>
    </w:p>
    <w:p w14:paraId="2A4EEFF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Количество точек освещения – 6 </w:t>
      </w:r>
    </w:p>
    <w:p w14:paraId="31585B1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Аккумуляторы – 6-СТЭ-128 4 шт. Емкость 256 амп/час при 24V. </w:t>
      </w:r>
    </w:p>
    <w:p w14:paraId="25AAD64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Сигнал – вибрационный 1 шт. </w:t>
      </w:r>
    </w:p>
    <w:p w14:paraId="25EB044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Схема электропроводки – однопроводная </w:t>
      </w:r>
    </w:p>
    <w:p w14:paraId="440F471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Напряжение сети – генератор, аккумуляторы, стартер и мотор поворота башни 24V, все остальные 12V/ </w:t>
      </w:r>
    </w:p>
    <w:p w14:paraId="19274BD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 Контрольные приборы.</w:t>
      </w:r>
    </w:p>
    <w:p w14:paraId="13966FE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 водителя: </w:t>
      </w:r>
    </w:p>
    <w:p w14:paraId="0D50764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тахометр – 1 шт. </w:t>
      </w:r>
    </w:p>
    <w:p w14:paraId="62D5FE1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спидометр – 1 шт. </w:t>
      </w:r>
    </w:p>
    <w:p w14:paraId="4682C8E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амперметр – 1 шт. </w:t>
      </w:r>
    </w:p>
    <w:p w14:paraId="2262E18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вольтметр – 1 шт. </w:t>
      </w:r>
    </w:p>
    <w:p w14:paraId="467298B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аэротермометр температуры выхода воды – 1 шт. </w:t>
      </w:r>
    </w:p>
    <w:p w14:paraId="35595F7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аэротермометр температуры входа масла – 1 шт. </w:t>
      </w:r>
    </w:p>
    <w:p w14:paraId="40AF96B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аэротермометр температуры выхода масла –1 шт. </w:t>
      </w:r>
    </w:p>
    <w:p w14:paraId="2B36DA4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манометр давления топлива – 1 шт. </w:t>
      </w:r>
    </w:p>
    <w:p w14:paraId="7261AFA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манометр масла в системе – 1 шт. </w:t>
      </w:r>
    </w:p>
    <w:p w14:paraId="289CD19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манометр воздуха в баллонах и распределительном кране – 2 шт. </w:t>
      </w:r>
    </w:p>
    <w:p w14:paraId="2322718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индикаторная лампочка включения смазки – 1 шт. </w:t>
      </w:r>
    </w:p>
    <w:p w14:paraId="7B6A9E7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ОБЩИЕ ВИДЫ ТАНКА Т-34 </w:t>
      </w:r>
    </w:p>
    <w:p w14:paraId="444EF5B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Фото № 5. Общий вид танка Т-34 спереди. Фото № 6. СОбщий вид танка Т-34 сзади. Фото № 7. Общий вид танка Т-34 с правого борта.</w:t>
      </w:r>
    </w:p>
    <w:p w14:paraId="2434E19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Фото № 8. Общий вид танка Т-34 с левого борта. </w:t>
      </w:r>
    </w:p>
    <w:p w14:paraId="1BBE561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 РЕЗУЛЬТАТЫ ИСПЫТАНИЯ И ВЫВОДЫ.</w:t>
      </w:r>
    </w:p>
    <w:p w14:paraId="6FF95EB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ВООРУЖЕНИЕ, ОПТИКА БОЕУКЛАДКА.</w:t>
      </w:r>
    </w:p>
    <w:p w14:paraId="4CB43CD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СТРЕЛЬБЫ ИЗ ТАНКА.</w:t>
      </w:r>
    </w:p>
    <w:p w14:paraId="398F0FB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Определение сердцевин рассеивания.</w:t>
      </w:r>
    </w:p>
    <w:p w14:paraId="405A08B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Стрельбы с места.</w:t>
      </w:r>
    </w:p>
    <w:p w14:paraId="590D214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Стрельба на кучность из 76 мм. пушки Л-11 с места по щиту размером 4 х 4 мт. Курсовой угол 0°. Дистанция 600 мт. Количество снарядов 15 шт., из них 3 пристрелочных. Время для стрельбы – не ограниченное. </w:t>
      </w:r>
    </w:p>
    <w:p w14:paraId="67C2A7F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w:t>
      </w:r>
    </w:p>
    <w:p w14:paraId="31B27C4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Сердцевины рассеивания 76 мм. пушки Л-11. </w:t>
      </w:r>
    </w:p>
    <w:p w14:paraId="2756AFE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Результаты стрельбы на кучность, полученные после всех стрельб, и выраженные через сердцевинные полосы в отклонениях по ширине и высоте, выше табличных данных для 76 мм. пушки образца 1927 года. </w:t>
      </w:r>
    </w:p>
    <w:p w14:paraId="43A7BB7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Следует отметить, что значительные величины люфта башни и подъёмного механизма отрицательно сказывались на точность наводки и требовали тщательной выборки мертвого хода. </w:t>
      </w:r>
    </w:p>
    <w:p w14:paraId="14CE953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Стрельба с хода.</w:t>
      </w:r>
    </w:p>
    <w:p w14:paraId="543E936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Стрельба на кучность 76 мм. пушки Л-11 с хода по щиту размером 4 х 4 м. Курсовой угол 0°. Дистанция 600 – 300 мт. (на сближение). Количество снарядов 11 штук. Скорость движения 10 км/час. </w:t>
      </w:r>
    </w:p>
    <w:p w14:paraId="7FA8BF8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Таблица </w:t>
      </w:r>
    </w:p>
    <w:p w14:paraId="07C7E52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Результаты стрельбы на кучность с хода следует считать низкими, вследствие усложнения условий наводки при значительных люфтах поворотного и подъемного механизмов. </w:t>
      </w:r>
    </w:p>
    <w:p w14:paraId="1AAFA81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Стрельба из пулеметов.</w:t>
      </w:r>
    </w:p>
    <w:p w14:paraId="5FCF814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Стрельба на кучность с места по щитам размером 2 х 2 мт, дистанция 400 мт. и 4 х 4 мт. дистанция 600 мт. Курсовой угол 0°. Темп стрельбы – короткие очереди. Стрельба производится одновременно из пулеметов радиста и башни. Количество патронов – 120 штук на каждый пулемет. </w:t>
      </w:r>
    </w:p>
    <w:p w14:paraId="369F1FE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Стрельба на кучность с хода по щитам размером 2 х 2 мт. Дистанция 200 – 150 мт. Курсовой угол 0°. Темп стрельбы – короткие очереди. Количество патронов – 60 штук на каждый пулемет. </w:t>
      </w:r>
    </w:p>
    <w:p w14:paraId="11972FE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Стрельба на кучность с хода по щиту размером 2 х 2 мт. Дистанция 200 мт. Курсовой угол 90°. Темп стрельбы – короткие очереди. Количество патронов – 60 шт. </w:t>
      </w:r>
    </w:p>
    <w:p w14:paraId="701605C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w:t>
      </w:r>
    </w:p>
    <w:p w14:paraId="17E8F1C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Результаты стрельбы из пулеметов танка № 3 после 750 км пробега. </w:t>
      </w:r>
    </w:p>
    <w:p w14:paraId="5E90E9A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ТАБЛИЦА</w:t>
      </w:r>
    </w:p>
    <w:p w14:paraId="7860EE5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Результаты стрельбы из пулеметов танка № 3 после 2500 км пробега. </w:t>
      </w:r>
    </w:p>
    <w:p w14:paraId="39A408F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Таблицы результатов стрельбы из пулеметов показывают размеры сердцевин рассеивания, выраженные через R50 R100. </w:t>
      </w:r>
    </w:p>
    <w:p w14:paraId="64F9070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Величины рассеивания для пулемета, спаренного с пушкой, не превышают нормальных данных для пулемета ДТ. При стрельбе из пулемета радиста величина рассеивания значительно возрастает и выходит за пределы нормальных данных, а количество пробоин уменьшается. </w:t>
      </w:r>
    </w:p>
    <w:p w14:paraId="409092A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Стрельба из танков с решением огневых задач.</w:t>
      </w:r>
    </w:p>
    <w:p w14:paraId="0557FAF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Условия стрельбы.</w:t>
      </w:r>
    </w:p>
    <w:p w14:paraId="1B42F8A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Решение огневой задачи взводом танков. Огонь ведется с коротких остановок 1 – 2 выстрелами, скорость движения 10 км/ч. Длина пробега 700 мт. </w:t>
      </w:r>
    </w:p>
    <w:p w14:paraId="734AA16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После 750 км пробега танков. </w:t>
      </w:r>
    </w:p>
    <w:p w14:paraId="111E816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Результаты стрельбы. </w:t>
      </w:r>
    </w:p>
    <w:p w14:paraId="5A56FA7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Решение огневой задачи взводом танков. Огонь ведется с коротких остановок 1 – 2 выстрелами. Скорость движения 10 км/час. Длина пробега 700 мт. </w:t>
      </w:r>
    </w:p>
    <w:p w14:paraId="55D4CF2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После 1900 км пробега танка. </w:t>
      </w:r>
    </w:p>
    <w:p w14:paraId="601CC08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Результаты стрельбы: </w:t>
      </w:r>
    </w:p>
    <w:p w14:paraId="4A13947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Решение огневой задачи отдельным танком по КОПу-39 зад. № 2 стр. 78 и № 4 стр. 92. Цели неподвижные. </w:t>
      </w:r>
    </w:p>
    <w:p w14:paraId="6C33C91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После 1900 км пробега танков. </w:t>
      </w:r>
    </w:p>
    <w:p w14:paraId="19B636B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Результаты стрельбы: </w:t>
      </w:r>
    </w:p>
    <w:p w14:paraId="7E5F0AA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результате проведенных боевых стрельб с решением огневых задач, выявлены недостатки: </w:t>
      </w:r>
    </w:p>
    <w:p w14:paraId="1F27F37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Стесненность экипажа в боевом отделении, обусловленная малыми габаритами башни по погону. </w:t>
      </w:r>
    </w:p>
    <w:p w14:paraId="5AB41DE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Неудобства пользования боекомплектом, уложенным в полу боевого отделения. </w:t>
      </w:r>
    </w:p>
    <w:p w14:paraId="4AED1D6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Задержка при переносе огня, вследствие неудобного расположения поворотного механизма башни (ручного и электропривода). </w:t>
      </w:r>
    </w:p>
    <w:p w14:paraId="058E18D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Отсутствие зрительной связи между танками при решении огневой задачи, вследствие того, что единственный прибор, допускающий круговой обзор – ПТ-6 используется только для прицеливания. </w:t>
      </w:r>
    </w:p>
    <w:p w14:paraId="375BC5D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Невозможность пользования прицелом ТОД-6, вследствие перекрывания шкалы углов прицеливания прибором ПТ-6. </w:t>
      </w:r>
    </w:p>
    <w:p w14:paraId="56C101B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Значительные и медленно затухающие колебания танка при движении, отрицательно сказываются на меткости стрельбы из пушки и пулеметов. </w:t>
      </w:r>
    </w:p>
    <w:p w14:paraId="456B05E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Отмеченные недостатки снижают темп огня, вызывают большой расход времени на решение огневой задачи. </w:t>
      </w:r>
    </w:p>
    <w:p w14:paraId="35CE022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Определение скорострельности 76 мм пушки.</w:t>
      </w:r>
    </w:p>
    <w:p w14:paraId="3B3645F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Максимальная скорострельность.</w:t>
      </w:r>
    </w:p>
    <w:p w14:paraId="2C27423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Условия стрельбы.</w:t>
      </w:r>
    </w:p>
    <w:p w14:paraId="7923186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Стрельба с места. Патроны уложены в наиболее удобно расположенные кассеты. Резиновый коврик и крышки кассет сняты. Время для стрельбы одна минута. </w:t>
      </w:r>
    </w:p>
    <w:p w14:paraId="526B457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Полученная скорострельность 5 – 6 выстрелов в минуту. </w:t>
      </w:r>
    </w:p>
    <w:p w14:paraId="785596D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Практическая средняя скорострельность.</w:t>
      </w:r>
    </w:p>
    <w:p w14:paraId="0687919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Условия стрельбы.</w:t>
      </w:r>
    </w:p>
    <w:p w14:paraId="19E81FA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Стрельба с хода и с коротких остановок. Патроны уложены в различных местах боеукладки. Количество выстрелов – 25 – 28. Время засекается от первого до последнего выстрела. </w:t>
      </w:r>
    </w:p>
    <w:p w14:paraId="7912F11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Полученная средняя практическая скорострельность – два выстрела в минуту. </w:t>
      </w:r>
    </w:p>
    <w:p w14:paraId="66B77AE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Скорострельность недостаточна. </w:t>
      </w:r>
    </w:p>
    <w:p w14:paraId="27F4079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Гигиенические условия работы экипажа при ведении огня.</w:t>
      </w:r>
    </w:p>
    <w:p w14:paraId="57D4848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Вентиляция. </w:t>
      </w:r>
    </w:p>
    <w:p w14:paraId="0EEDD46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Гигиеническая вентиляция танка осуществляется вентилятором системы охлаждения и дополнительным вытяжным вентилятором, расположенным в перегородке моторного отделения. </w:t>
      </w:r>
    </w:p>
    <w:p w14:paraId="54F9B88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закрытых люках производительность вентилятора системы охлаждения (при средних оборотах мотора) равна 144 м³ воздуха в час, а добавочного вентилятора около 50 м³ воздуха в час. </w:t>
      </w:r>
    </w:p>
    <w:p w14:paraId="0B28CF5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Таким образом, общая производительность вентиляторного агрегата при работе мотора на средних оборотах, определяется приблизительно в 200 м³ в час. </w:t>
      </w:r>
    </w:p>
    <w:p w14:paraId="37A7DEB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Концентрация СО. </w:t>
      </w:r>
    </w:p>
    <w:p w14:paraId="3E186B6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Определение концентрации окиси углерода производилось при стрельбе с места. Темп огня – один выстрел чрез две минуты. </w:t>
      </w:r>
    </w:p>
    <w:p w14:paraId="49DCFC2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Содержание окиси углерода, при работающем моторе и добавочном вентиляторе, после 12 выстрелов получено следующее: </w:t>
      </w:r>
    </w:p>
    <w:p w14:paraId="3DC129D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В боевом отделении – 0,5 мгр/л </w:t>
      </w:r>
    </w:p>
    <w:p w14:paraId="366E411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В отделении управления 0,178 мгр/л </w:t>
      </w:r>
    </w:p>
    <w:p w14:paraId="3EC40D7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Содержание окиси углерода после 12 выстрелов, без вентиляции, получено следующее: </w:t>
      </w:r>
    </w:p>
    <w:p w14:paraId="0245363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В боевом отделении – 1,4 мгр/л </w:t>
      </w:r>
    </w:p>
    <w:p w14:paraId="343EC23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В отделении управления – 0,719 мгр/л </w:t>
      </w:r>
    </w:p>
    <w:p w14:paraId="66AD7BB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Отсюда вытекает, что вентиляция содействует понижению концентрации окиси углерода. </w:t>
      </w:r>
    </w:p>
    <w:p w14:paraId="2870141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Тем не менее, содержание СО в танке при вентиляции значительно превышает допустимую норму (0,1 мгр/л) и является токсической. </w:t>
      </w:r>
    </w:p>
    <w:p w14:paraId="6EC0874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Таким образом, существующие вентиляционные средства в танке недостаточны. </w:t>
      </w:r>
    </w:p>
    <w:p w14:paraId="6B13B55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УПРАВЛЕНИЕ ОГНЕМ ИЗ ТАНКА И УДОБСТВО ПОЛЬЗОВАНИЯ ПРИЦЕЛАМИ,</w:t>
      </w:r>
    </w:p>
    <w:p w14:paraId="6E1FD98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ПРИБОРАМИ НАБЛЮДЕНИЯ И БОЕКОМПЛЕКТОМ.</w:t>
      </w:r>
    </w:p>
    <w:p w14:paraId="56E9596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Поворотный механизм башни (ручной).</w:t>
      </w:r>
    </w:p>
    <w:p w14:paraId="5116946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Поворот башни осуществляется правой рукой. Расположение маховика и рукоятки поворотного механизма не обеспечивает быстрого поворота башни и вызывает сильное утомление руки. При одновременной работе поворотным механизмом и наблюдении в прицел ПТ-6, маховик и рукоятка упирается в грудь, затрудняя быстрое вращение башни. </w:t>
      </w:r>
    </w:p>
    <w:p w14:paraId="6A48667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Усилие на рукоятке поворотного механизма сильно возрастают, при увеличении угла крена танка, и значительно затрудняют работу. </w:t>
      </w:r>
    </w:p>
    <w:p w14:paraId="7690F49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Усилия на маховике поворотного механизма. </w:t>
      </w:r>
    </w:p>
    <w:p w14:paraId="3205537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Электропривод поворотного механизма башни.</w:t>
      </w:r>
    </w:p>
    <w:p w14:paraId="11602F6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Электропривод поворотного механизма башни расположен с левой стороны башни и обеспечивает поворот на 360° в обе стороны. Доступ к пусковому маховику электропривода затруднен снизу корпусом электромотора, слева смотровым прибором и корпусом башни, справа налобником и прибором ПТ-6. Поворот башни в любую сторону возможен лишь при условии отклонения головы от налобника прибора ПТ-6, т.е. вращение башни фактически производится вслепую. </w:t>
      </w:r>
    </w:p>
    <w:p w14:paraId="3206A80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Подъемный механизм.</w:t>
      </w:r>
    </w:p>
    <w:p w14:paraId="4469F8A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Расположение маховика подъемного механизма обеспечивает нормальную работу по наводке артсистемы при всех углах возвышения и снижения. </w:t>
      </w:r>
    </w:p>
    <w:p w14:paraId="3075EBA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Телескопический прицел ТОД-6.</w:t>
      </w:r>
    </w:p>
    <w:p w14:paraId="36DE213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Окно шкалы углов прицеливания телескопического прицела перекрывается рычагом углов местности прибора ПТ-6 и тягой параллелограмма. Установка прицельных данных возможна при углах возвышения 4 – 5,5° и 9° – 12°, что фактически лишает возможности вести стрельбу с прицелом ТОД-6. </w:t>
      </w:r>
    </w:p>
    <w:p w14:paraId="02ADE42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Барабанчик шкалы углов прицеливания расположен в средней части прицела и доступ к нему крайне затруднен. </w:t>
      </w:r>
    </w:p>
    <w:p w14:paraId="6416481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Перископический прицел ПТ-6.</w:t>
      </w:r>
    </w:p>
    <w:p w14:paraId="45D9773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Прицел ПТ-6 установлен, относительно головы и корпуса стреляющего нормально и допускает работу при всех углах возвышения и снижения. </w:t>
      </w:r>
    </w:p>
    <w:p w14:paraId="42BFABC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угле возвышения 7° и ниже, до максимального угла снижения, доступ к рукоятке механизма кругового обзора возможен лишь тремя пальцами вследствие того, что сектор подъемного механизма пушки не допускает охвата рукоятки кистью руки. </w:t>
      </w:r>
    </w:p>
    <w:p w14:paraId="4E2D1A7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Указанное положение не обеспечивает быстрого просмотра местности. </w:t>
      </w:r>
    </w:p>
    <w:p w14:paraId="335C99F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Смотровой прибор "кругового обзора".</w:t>
      </w:r>
    </w:p>
    <w:p w14:paraId="028BCA6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Смотровой прибор изготовлен по типу зеркального эпископа со свободным вращением вокруг своей оси. Прибор установлен справа – сзади от командира танка в крыше башни. </w:t>
      </w:r>
    </w:p>
    <w:p w14:paraId="47E0052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Доступ к прибору крайне затруднен и наблюдение возможно в ограниченном секторе: </w:t>
      </w:r>
    </w:p>
    <w:p w14:paraId="7832135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Обзор по горизонту вправо до 120°. </w:t>
      </w:r>
    </w:p>
    <w:p w14:paraId="341DCD1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Мертвое пространство – 15 мт. </w:t>
      </w:r>
    </w:p>
    <w:p w14:paraId="76520AB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Ограниченный сектор обзора, полная невозможность наблюдения в остальном секторе и конструктивные недостатки – обрыв крепления прибора, обрыв и зацепление стеклоочистителя за верхнее зеркало, заедание броневой заслонки прибора в пазах, неудобное положение головы при наблюдении – делают смотровой прибор непригодным в работе. </w:t>
      </w:r>
    </w:p>
    <w:p w14:paraId="447268D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Смотровые приборы башни (боковые).</w:t>
      </w:r>
    </w:p>
    <w:p w14:paraId="742C25D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Расположение смотровых приборов, относительно наблюдателя, неудобное. Недостатками является значительное мертвое пространство (15,5 м), небольшой угол обзора (53°), невозможность очистки защитных стекол без выхода из танка и низкое расположение относительно сидения. </w:t>
      </w:r>
    </w:p>
    <w:p w14:paraId="5CB3A17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Смотровые приборы водителя.</w:t>
      </w:r>
    </w:p>
    <w:p w14:paraId="7246F4E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Смотровые приборы изготовлены по типу эпископа. Расположение приборов предполагает достаточную обзорность водителю танка. </w:t>
      </w:r>
    </w:p>
    <w:p w14:paraId="272D259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практической работе по вождению танка с закрытым люком выявлены существенные недостатки смотровых приборов. </w:t>
      </w:r>
    </w:p>
    <w:p w14:paraId="0A08FC2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движении по загрязненной грунтовой дороге и целине в течение 5 – 10 минут, смотровые приборы забиваются грязью до полной потери видимости. Стеклоочиститель центрального прибора не обеспечивает очистку защитного стекла от грязи. </w:t>
      </w:r>
    </w:p>
    <w:p w14:paraId="15BD871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Вождение танка с закрытым люком крайне затруднено. При стрельбе защитные стекла смотровых приборов лопаются. Внешняя отделка внутри танка грубая, выступающие части острые (барашки на боковых приборах), что приводит к ранению головы водителя. </w:t>
      </w:r>
    </w:p>
    <w:p w14:paraId="22F5001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Смотровые приборы водителя в целом непригодны. </w:t>
      </w:r>
    </w:p>
    <w:p w14:paraId="2C11075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Схема обзорности танка Т-34. </w:t>
      </w:r>
    </w:p>
    <w:p w14:paraId="245342B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 установленные на танке прицельные приборы ПТ-6, ТОД-6 и приборы наблюдения в боевом отделении и отделении управления не имеют защиты от атмосферных осадков, дорожной пыли и грязи. В каждом отдельном случае потери видимости, очистку приборов возможно производить только с внешней стороны танка. В условиях пониженной видимости (туман) головка прицела ПТ-6 запотевает через 3 – 5 минут до полной потери видимости. </w:t>
      </w:r>
    </w:p>
    <w:p w14:paraId="2932289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В.УДОБСТВО ПОЛЬЗОВАНИЯ БОЕКОМПЛЕКТОМ.</w:t>
      </w:r>
    </w:p>
    <w:p w14:paraId="044CDE3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Боекомплект 76 мм пушки.</w:t>
      </w:r>
    </w:p>
    <w:p w14:paraId="13F67D6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Укладка патронов в кассетах не обеспечивает достаточного темпа ведения огня по следующим причинам: </w:t>
      </w:r>
    </w:p>
    <w:p w14:paraId="7236084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Неудобство доставания патронов из кассет. </w:t>
      </w:r>
    </w:p>
    <w:p w14:paraId="1DE84B2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Крайне затруднен доступ к патронам расположенным с левой стороны по ходу танка. </w:t>
      </w:r>
    </w:p>
    <w:p w14:paraId="7399175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Затруднена укладка патронов в кассеты наличием большого количества крышек (24 шт.) и резиновых прокладок между патронами. Время, затрачиваемое на укладку полного боекомплекта, определяется в 2 – 2,5 часа. </w:t>
      </w:r>
    </w:p>
    <w:p w14:paraId="5320AF6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Отсутствие достаточной плотности укладки патронов в кассетах, приводящей к самоотвинчиванию дистанционных трубок и капсюлей гильз. </w:t>
      </w:r>
    </w:p>
    <w:p w14:paraId="27F6041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Наличие острых краев кассет, вызывающих ранения рук заряжающего. </w:t>
      </w:r>
    </w:p>
    <w:p w14:paraId="2408DCD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Загрязнение боекомплекта после пробега в 200 – 300 км, в осенний период времени, достигает значительной величины. Использование полного боекомплекта возможно только после предварительной очистки всех патронов. </w:t>
      </w:r>
    </w:p>
    <w:p w14:paraId="030D448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Боекомплект к пулемету ДТ.</w:t>
      </w:r>
    </w:p>
    <w:p w14:paraId="2F0AC4C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Расположение боекомплекта в нише башни и в отделении управления обеспечивает бесперебойное ведение огня из обоих пулеметов. При проведении стрельб из пулеметов выявлены следующие недостатки: </w:t>
      </w:r>
    </w:p>
    <w:p w14:paraId="4B2B3EE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Сильное загрязнение магазинов в отделении управления. </w:t>
      </w:r>
    </w:p>
    <w:p w14:paraId="5518775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Запыление выступающих частей магазинов, уложенных в нише башни. </w:t>
      </w:r>
    </w:p>
    <w:p w14:paraId="26A6F52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Невозможность использования боекомплекта без предварительной очистки его от загрязнения. </w:t>
      </w:r>
    </w:p>
    <w:p w14:paraId="6E17F45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Выемка отдельных магазинов и нише башни затруднена, вследствие заедания их в укладке. </w:t>
      </w:r>
    </w:p>
    <w:p w14:paraId="2805B4A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УДОБСТВО РАБОЧИХ МЕСТ И ОСВЕЩЕНИЕ БОЕВОГО ОТДЕЛЕНИЯ.</w:t>
      </w:r>
    </w:p>
    <w:p w14:paraId="7DEF444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Сидения командира танка и заряжающего по своим габаритам велики. Спинки сидений не обеспечивают устойчивого положения корпуса, занимают много места и не предохраняют от попадания одежды в погон башни (сидение заряжающего). </w:t>
      </w:r>
    </w:p>
    <w:p w14:paraId="5F1A3B3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проведении боевых стрельб сидение заряжающего затрудняет выемку патронов, связывает движение и задевает за бортовую укладку боекомплекта. Указанное положение усугубляется значительной скученностью экипажа в боевом отделении. </w:t>
      </w:r>
    </w:p>
    <w:p w14:paraId="0C5DAF0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Освещение боевого отделения одним плафоном недостаточно. Командир танка на своем месте не может делать записей без дополнительного освещения. </w:t>
      </w:r>
    </w:p>
    <w:p w14:paraId="01106C6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НАДЕЖНОСТЬ И БЕЗОТКАЗНОСТЬ В РАБОТЕ УСТАНОВОК</w:t>
      </w:r>
    </w:p>
    <w:p w14:paraId="6E1C2CA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ВООРУЖЕНИЯ И ОПТИКИ В ДЛИТЕЛЬНОМ ПРОБЕГЕ И ПРИ СТРЕЛЬБЕ.</w:t>
      </w:r>
    </w:p>
    <w:p w14:paraId="49E9A5B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Расшатывание установленного вооружения.</w:t>
      </w:r>
    </w:p>
    <w:p w14:paraId="238802F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Таблица </w:t>
      </w:r>
    </w:p>
    <w:p w14:paraId="33E6F6F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Роста люфта башни и подъемного механизма. </w:t>
      </w:r>
    </w:p>
    <w:p w14:paraId="3E9CC91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Танки № 2 и № 3 на участке Харьков-Орел прошли по грунтовой дороге по 100 км с расстопоренными башнями и пушкой. Танк № 1 имел дважды срыв болтов стопора башни и в этом положении прошел в общей сложности около 50 км. </w:t>
      </w:r>
    </w:p>
    <w:p w14:paraId="1FDAE75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Значительный рост люфта башни с 4 мм., до 10 – 11 мм. отрицательно сказывается при стрельбе с хода и является недопустимы. </w:t>
      </w:r>
    </w:p>
    <w:p w14:paraId="2BE9139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Крепление башни.</w:t>
      </w:r>
    </w:p>
    <w:p w14:paraId="27A0BFA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Стопор крепящий башню по-походному ненадежен. На трех танках были сорваны болты, крепящие стопор. </w:t>
      </w:r>
    </w:p>
    <w:p w14:paraId="5CE4331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Уплотнение погона башни не обеспечивает от проникновения воды в боевое отделение. </w:t>
      </w:r>
    </w:p>
    <w:p w14:paraId="3987FA2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материальной части 76 мм пушки Л-11.</w:t>
      </w:r>
    </w:p>
    <w:p w14:paraId="30938D7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После 750 км. При проверке артсистем исскуственным откатом установлено следующее: </w:t>
      </w:r>
    </w:p>
    <w:p w14:paraId="27A7FBE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Недостает жидкости 200 гр. </w:t>
      </w:r>
    </w:p>
    <w:p w14:paraId="7276D02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Давление воздуха ниже нормы на 6 – 8 атмосфер. </w:t>
      </w:r>
    </w:p>
    <w:p w14:paraId="531CA48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проведении боевых стрельб отмечались случаи отказа артсистем (см. в приложении, акт осмотра артсистем Л-11 от 10.11.40 г.). </w:t>
      </w:r>
    </w:p>
    <w:p w14:paraId="0CE10E7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После 1900 км. При проверке артсистем искусственным откатом установлено следующее: </w:t>
      </w:r>
    </w:p>
    <w:p w14:paraId="30F5886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Давление воздуха ниже нормы на 2 – 3 атм. </w:t>
      </w:r>
    </w:p>
    <w:p w14:paraId="567EE40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Отказ в работе – полуавтоматики, вследствие застывания смазки. </w:t>
      </w:r>
    </w:p>
    <w:p w14:paraId="5CFFEAF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проведении боевых стрельб отмечались случаи отказа в работе спускового механизма (см. в приложении, акт осмотра артсистем Л-11 от 25.11.40 г.). </w:t>
      </w:r>
    </w:p>
    <w:p w14:paraId="60E5E59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После 2500 км. При проведении боевых стрельб отмечались случаи отказа артсистем (см. в приложении, акт осмотра артсистем Л-11 от 3.12.40 г.). </w:t>
      </w:r>
    </w:p>
    <w:p w14:paraId="6EA4AB5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Общим недостатком артсистем Л-11 установленных на танках является: </w:t>
      </w:r>
    </w:p>
    <w:p w14:paraId="3E4EF7C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Отказ в работе спускового механизма – не зацепление ползуна, прогиб стержня ползуна, ослабление пружины спуска, срез болтов крепления щитка спускового механизма. </w:t>
      </w:r>
    </w:p>
    <w:p w14:paraId="7683B9B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Незащищенность заряжающего от ударов рукояткой затвора при срабатывании полуавтоматики. </w:t>
      </w:r>
    </w:p>
    <w:p w14:paraId="3679C04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Ненадежность в работе ножного спуска допускающего, при несвоевременном и неполном снятии носка ноги с педали спуска, заклинивание ползуна спускового механизма и недокат артсистемы. </w:t>
      </w:r>
    </w:p>
    <w:p w14:paraId="77D2799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Сбиваемость прицельных линий.</w:t>
      </w:r>
    </w:p>
    <w:p w14:paraId="608EDA1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Проверка прицельных линий проводилась после перехода 1300 км. </w:t>
      </w:r>
    </w:p>
    <w:p w14:paraId="635073B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Величина отклонений в тысячных дистанции приводится по каждому танку. </w:t>
      </w:r>
    </w:p>
    <w:p w14:paraId="207561B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 № 1 – отклонение по вертикали – 0-02 тысячных, отклонение по горизонтали – 0-01 тысячных. </w:t>
      </w:r>
    </w:p>
    <w:p w14:paraId="5232A8E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Танк № 2 – отклонение по вертикали – 0-04 тысячных, отклонение по горизонтали – 0-01 тысячных. </w:t>
      </w:r>
    </w:p>
    <w:p w14:paraId="7C87B18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 № 3 – сбиваемости прицельных линий нет. </w:t>
      </w:r>
    </w:p>
    <w:p w14:paraId="7CB2D75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Сбиваемость прицельных линий после стрельбы незначительна и существенного значения не имеет. </w:t>
      </w:r>
    </w:p>
    <w:p w14:paraId="73FD221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ОБСЛУЖИВАНИЕ И РЕМОНТ ВООРУЖЕНИЯ В ПОЛЕВЫХ УСЛОВИЯХ И ОЦЕНКА ЗИПа.</w:t>
      </w:r>
    </w:p>
    <w:p w14:paraId="5110B5D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Подготовка вооружения к стрельбе.</w:t>
      </w:r>
    </w:p>
    <w:p w14:paraId="091C3CC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Подготовка вооружения к стрельбе производится экипажем танка и требует: </w:t>
      </w:r>
    </w:p>
    <w:p w14:paraId="1B54E2C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Внешнего осмотра вооружения, прицелов и просмотра боекомплекта. </w:t>
      </w:r>
    </w:p>
    <w:p w14:paraId="228BE9F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Проверки искусственным откатом заправки артсистемы жидкостью и воздухом, работы полуавтоматики и регулировка ее. </w:t>
      </w:r>
    </w:p>
    <w:p w14:paraId="6C9C93F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Регулировки тросов спуска пушки и пулемета. </w:t>
      </w:r>
    </w:p>
    <w:p w14:paraId="4DE5F4C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Выверки прицельных линий. </w:t>
      </w:r>
    </w:p>
    <w:p w14:paraId="09ED369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Объем работы по обслуживанию вооружения полностью может быть обеспечен экипажем танка. </w:t>
      </w:r>
    </w:p>
    <w:p w14:paraId="6C54EC3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Ремонт вооружения в полевых условиях.</w:t>
      </w:r>
    </w:p>
    <w:p w14:paraId="10F6E94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Ремонт в полевых условиях предусматривает разборку и замену деталей отдельных узлов вооружения производимого экипажем танка. </w:t>
      </w:r>
    </w:p>
    <w:p w14:paraId="6B5F0C0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Разбор щитка спускового механизма пушки, замена ползуна, пружины спуска, стержня пружины, направляющего полозка и других деталей. </w:t>
      </w:r>
    </w:p>
    <w:p w14:paraId="385E135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Разборка и замена деталей ударного и выбрасывающего механизмов. </w:t>
      </w:r>
    </w:p>
    <w:p w14:paraId="0C19729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Ремонт ножного спуска и крепления тросов к щитку пушки и пулемета. </w:t>
      </w:r>
    </w:p>
    <w:p w14:paraId="474DA6E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Разборка и ремонт полуавтоматики, противооткатного устройства, а так же ремонт, связанный с отделением качающей части артсистемы возможен только при наличии артмастерской. </w:t>
      </w:r>
    </w:p>
    <w:p w14:paraId="0907DD0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ЗИП 76 мм пушки и пулеметов ДТ.</w:t>
      </w:r>
    </w:p>
    <w:p w14:paraId="0DB746D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испытании вооружения установлена некомплектность возимого ЗИПа, наличие которого должно обеспечивать возможность устранения неполадок без выхода из танка. Учитывая основные неполадки необходимо возимый ЗИП дополнить следующими деталями: </w:t>
      </w:r>
    </w:p>
    <w:p w14:paraId="4B254BC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дет. 58-88 – стержень пружины. </w:t>
      </w:r>
    </w:p>
    <w:p w14:paraId="70D9929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дет. 58-91 – пружина </w:t>
      </w:r>
    </w:p>
    <w:p w14:paraId="65D9C7F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дет. 58-83 – ползун </w:t>
      </w:r>
    </w:p>
    <w:p w14:paraId="6ED9BE4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Болты и корончатые гайки к дет. 58-114. </w:t>
      </w:r>
    </w:p>
    <w:p w14:paraId="3265785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ЗИП к пулеметам ДТ обеспечивает работу по устранению задержек и замену отдельных деталей. </w:t>
      </w:r>
    </w:p>
    <w:p w14:paraId="79C5A30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Приспособление для искусственного отката.</w:t>
      </w:r>
    </w:p>
    <w:p w14:paraId="2E0D0B9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Опытный образец приспособления для искусственного отката изготовлен заводом № 183. Приспособление допускает искусственный откат 150 мм. При работе с приспособлением установлены следующие недостатки: </w:t>
      </w:r>
    </w:p>
    <w:p w14:paraId="45820F4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Усилия на рукоятке приспособления при откате ствола на 100 – 130 мм достигают 50 кг. </w:t>
      </w:r>
    </w:p>
    <w:p w14:paraId="2991AAF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Крючок для зацепления с казенной частью ствола не обеспечивает надежного зацепления. </w:t>
      </w:r>
    </w:p>
    <w:p w14:paraId="545926E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Цепь для крепления груши в нише башни не разъемная и не допускает установки приспособления. </w:t>
      </w:r>
    </w:p>
    <w:p w14:paraId="7B35CC2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59E5A70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Установка вооружения, оптика и укладка боекомплекта в танке Т-34 не удовлетворяют требованиям, предъявляемым к современным боевым машинам. Основными недостатками являются: </w:t>
      </w:r>
    </w:p>
    <w:p w14:paraId="5A4637B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Теснота боевого отделения; </w:t>
      </w:r>
    </w:p>
    <w:p w14:paraId="52D48F2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Слепота танка; </w:t>
      </w:r>
    </w:p>
    <w:p w14:paraId="3F85521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Неудачно разрешенная укладка боекомплекта. </w:t>
      </w:r>
    </w:p>
    <w:p w14:paraId="78AB24A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Для обеспечения нормального расположения вооружения, приборов стрельбы и наблюдения и экипажа необходимо: </w:t>
      </w:r>
    </w:p>
    <w:p w14:paraId="58AA14E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Расширить габаритные размеры башни. </w:t>
      </w:r>
    </w:p>
    <w:p w14:paraId="0FEFB91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76 мм пушке.</w:t>
      </w:r>
    </w:p>
    <w:p w14:paraId="7A9D119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Заменить щиток спускового механизма более совершенной конструкцией, обеспечивающей безотказность в работе. </w:t>
      </w:r>
    </w:p>
    <w:p w14:paraId="76B8539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Рукоятку затвора огородить щитком или сделать складной. </w:t>
      </w:r>
    </w:p>
    <w:p w14:paraId="186CFA8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Снять ножной спуск, заменив его спусками на рукоятках механизмов наводки. </w:t>
      </w:r>
    </w:p>
    <w:p w14:paraId="27D3684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пулеметам ДТ.</w:t>
      </w:r>
    </w:p>
    <w:p w14:paraId="7453585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Обеспечить возможность ведения раздельной стрельбы из пулемета, спаренного с пушкой. </w:t>
      </w:r>
    </w:p>
    <w:p w14:paraId="3C70A31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Увеличить обзорность и меткость стрельбы пулемета радиста установкой оптического прицела. </w:t>
      </w:r>
    </w:p>
    <w:p w14:paraId="482DD76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Внешнюю часть пулемета радиста и шаровую установку закрыть плотным чехлом для предохранения от загрязнения. </w:t>
      </w:r>
    </w:p>
    <w:p w14:paraId="21ADD57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механизмам наводки и прицелам.</w:t>
      </w:r>
    </w:p>
    <w:p w14:paraId="24E3663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Поворотный механизм (ручной) непригоден. </w:t>
      </w:r>
    </w:p>
    <w:p w14:paraId="42D5FF7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Заменить новой конструкцией обеспечивающей небольшие усилия и удобство работы. </w:t>
      </w:r>
    </w:p>
    <w:p w14:paraId="26B7234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Обеспечить выборку люфта башни поворотным механизмом. </w:t>
      </w:r>
    </w:p>
    <w:p w14:paraId="5AD0E52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Пусковой механизм электропривода поворота башни расположить так, что бы он обеспечивал поворот с одновременным наблюдением за местностью. </w:t>
      </w:r>
    </w:p>
    <w:p w14:paraId="1AF325B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Заменить телескопический прицел ТОД-6 прицелом типа ТМФ со шкалой углов прицеливания в поле зрения прибора. </w:t>
      </w:r>
    </w:p>
    <w:p w14:paraId="7CFB9C1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смотровым приборам.</w:t>
      </w:r>
    </w:p>
    <w:p w14:paraId="5B9F6BA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Заменить смотровой прибор водителя, как явно непригодный, более совершенной конструкцией. </w:t>
      </w:r>
    </w:p>
    <w:p w14:paraId="0DF0DA8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Установить в крыше башни прибор, обеспечивающий круговой обзор из танка. </w:t>
      </w:r>
    </w:p>
    <w:p w14:paraId="6BFC3B1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укладке боекомплекта.</w:t>
      </w:r>
    </w:p>
    <w:p w14:paraId="4674D21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Укладка боекомплекта 76 мм пушки в кассетах непригодна. Следует укладку патронов расположить так, что бы был одновременно доступ к целому ряду патронов. Уложенные патроны и пулеметные магазины следует обеспечить от проникновения пыли. </w:t>
      </w:r>
    </w:p>
    <w:p w14:paraId="0AAC1D9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Рабочие места в боевом отделении.</w:t>
      </w:r>
    </w:p>
    <w:p w14:paraId="07F6DE0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Уменьшить габаритные размеры сидений. Сидение заряжающего сделать откидным. </w:t>
      </w:r>
    </w:p>
    <w:p w14:paraId="24B1702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Крепление башни.</w:t>
      </w:r>
    </w:p>
    <w:p w14:paraId="4628D41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Стопор башни по походному непригоден. Заменить более прочным. </w:t>
      </w:r>
    </w:p>
    <w:p w14:paraId="275E937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Уплотнить погон башни, не допуская проникновение воды в боевое отделение. </w:t>
      </w:r>
    </w:p>
    <w:p w14:paraId="724AF1E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Закрыть погон башни щитком. </w:t>
      </w:r>
    </w:p>
    <w:p w14:paraId="402FDA7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БРОНЕВОЙ КОРПУС</w:t>
      </w:r>
    </w:p>
    <w:p w14:paraId="06DC676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Толщина и углы наклона броневых листов корпуса и башни. </w:t>
      </w:r>
    </w:p>
    <w:p w14:paraId="5077133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Броня гомогенная марки МЗ-2 (И8-С) </w:t>
      </w:r>
    </w:p>
    <w:p w14:paraId="0329CF9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процессе испытаний производилась проверка корпуса и башни на размещение агрегатов, входа и выхода экипажа, ремонта и обслуживания. При этом установлено: </w:t>
      </w:r>
    </w:p>
    <w:p w14:paraId="760CE7A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Размеры башни не соответствуют установленным в ней вооружению и оптике и не обеспечивают нормальной работы боевого расчета (малы). </w:t>
      </w:r>
    </w:p>
    <w:p w14:paraId="68200D2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Расположенные в корпусе колодцы подвесок ухудшают размещение агрегатов внутри танка и сокращают полезный объем. </w:t>
      </w:r>
    </w:p>
    <w:p w14:paraId="30A5319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Существующий вывод выхлопных труб через верхний кормовой лист неудобен для вождения танков в колонне и при демонтажно-монтажных работах. Целесообразно перенести вывод выхлопных труб в заднюю часть днища подкрылков по сторонам над гусеницами. </w:t>
      </w:r>
    </w:p>
    <w:p w14:paraId="4C6D207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Низко расположенные (260 мм от грунта) бронировки картеров бортовых передач, понижают проходимость танка. </w:t>
      </w:r>
    </w:p>
    <w:p w14:paraId="1183333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Передний люк водителя необходим, вследствие того, что посадка 4-х человек экипажа через один люк башни недопустима. Необходимо герметизировать и защитить люк от проникновения свинцовых брызг. </w:t>
      </w:r>
    </w:p>
    <w:p w14:paraId="714FE75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При малых размерах люка "лаза" (эллипс с диаметром d1 = 350 и d2 = 450 мм.) и существующем клиренсе (340 мм.) выход экипажа из танка возможен только на твердом грунте, а при погружении танка в мягкий грунт требует предварительной расчистки выхода. </w:t>
      </w:r>
    </w:p>
    <w:p w14:paraId="216A0CA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Крепление передних крыльев неудовлетворительно, а расположены они низко. Низкое расположение передних крыльев исключает возможность поднять ленивцы в верхнее положение, создающее более выгодные условия для провисания верхней ветви гусениц и преодолению препятствий. </w:t>
      </w:r>
    </w:p>
    <w:p w14:paraId="7C754B9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Расположение тяг на днище корпуса при существующей толщине днища, повлечет заклинивание тяг при поражении танка минами. </w:t>
      </w:r>
    </w:p>
    <w:p w14:paraId="3AE2050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Кроме перечисленного выявлено: </w:t>
      </w:r>
    </w:p>
    <w:p w14:paraId="0BE6915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Управление защелкой удерживающей люк башни в открытом положении ненадежно (управление защелкой вышло из строя на всех танках еще до выхода машин в пробег). </w:t>
      </w:r>
    </w:p>
    <w:p w14:paraId="276377C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2. Крепление заглушек лючков самообороны ненадежно. </w:t>
      </w:r>
    </w:p>
    <w:p w14:paraId="2DF5C7D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Необходимо предусмотреть крепление уплотняющего материала под съемные листы брони и люки (существующее негодно). </w:t>
      </w:r>
    </w:p>
    <w:p w14:paraId="490104D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Спускные пробки баков горючего и смазки смещены по отношению к люкам в днище корпуса. </w:t>
      </w:r>
    </w:p>
    <w:p w14:paraId="47243FC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Задние крылья слабы, а крепление их неудобно. При открытии верхнего кормового листа, необходимо снять задние крылья. </w:t>
      </w:r>
    </w:p>
    <w:p w14:paraId="54AF25D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Размеры зева рым по ширине и глубине малы, а пальцы рым поставлены неправильно (горизонтально). Необходимо увеличить размеры зева рым, пальцы ставить вертикально или установить буксирные крюки. </w:t>
      </w:r>
    </w:p>
    <w:p w14:paraId="5E4C32B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2C42E03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Корпус танка и башня в данном выполнении неудовлетворительны. Необходимо увеличить размеры башни за счет увеличения погона и изменения угла наклона броневых листов. </w:t>
      </w:r>
    </w:p>
    <w:p w14:paraId="1C9F6A6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Полезный объем корпуса может быть увеличен за счет изменения подвески ходовой части и упразднения бортовых колодцев. </w:t>
      </w:r>
    </w:p>
    <w:p w14:paraId="2AC0D60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Примечание: </w:t>
      </w:r>
    </w:p>
    <w:p w14:paraId="42DF3BE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Снарядостойкость корпуса и башни не определялись, как не предусмотренная программой испытаний. </w:t>
      </w:r>
    </w:p>
    <w:p w14:paraId="090B098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Испытание на проникновение горящей жидкости не производилась вследствие того, что герметизация танка со времени испытания его войсковой комиссией не изменялась. </w:t>
      </w:r>
    </w:p>
    <w:p w14:paraId="077A5C3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СРЕДСТВА СВЯЗИ</w:t>
      </w:r>
    </w:p>
    <w:p w14:paraId="7C3146D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танке Т-34 установлена танковая рация 71-ТК-3. За время испытаний танков рация испытывалась после 800 и 2600 км пробега. </w:t>
      </w:r>
    </w:p>
    <w:p w14:paraId="0978305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Состояние раций после 800 км. пробега: </w:t>
      </w:r>
    </w:p>
    <w:p w14:paraId="62E2C83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 № 1 – </w:t>
      </w:r>
    </w:p>
    <w:p w14:paraId="31283E6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Умформер приемника дает громко слышимый в телефонах фон (помехи приему). </w:t>
      </w:r>
    </w:p>
    <w:p w14:paraId="6FEDB28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Сломан стопор рукоятки механизма подъема антенны. </w:t>
      </w:r>
    </w:p>
    <w:p w14:paraId="0CE6D41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 № 2 и ТАНК № 3 – Рации работают в нормальных режимах. </w:t>
      </w:r>
    </w:p>
    <w:p w14:paraId="0E63315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Состояние раций после 2600 км. пробега: </w:t>
      </w:r>
    </w:p>
    <w:p w14:paraId="0E68151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На всех трех танках антенны изогнуты и повреждены по всей длине запасными деталями и оборудованием, уложенными на крыле. Изоляторы ввода и стаканы забиты землей. </w:t>
      </w:r>
    </w:p>
    <w:p w14:paraId="49FF032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На танке № 1 – не работает механизм подъема антенны – стержень "заел" во втулке. </w:t>
      </w:r>
    </w:p>
    <w:p w14:paraId="5729C90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На всех трех танках: </w:t>
      </w:r>
    </w:p>
    <w:p w14:paraId="7912497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Отвернуты и утеряны зажимные гайки на колодках питания. </w:t>
      </w:r>
    </w:p>
    <w:p w14:paraId="4D9A3DD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На умформерах приемников расшатаны (а на танке № 1 обломана) токоведущие клеммы – земля умформера. Клеммы залеплены грязью. </w:t>
      </w:r>
    </w:p>
    <w:p w14:paraId="31433DA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Промежуточные колодки на шлангах питания от умформера передатчика, находящиеся на уровне пола, покрыты грязью и маслом. </w:t>
      </w:r>
    </w:p>
    <w:p w14:paraId="7BA0A2E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Экранирующая оплетка на шлангах питания в местах зажима в вилку начала разрушаться. </w:t>
      </w:r>
    </w:p>
    <w:p w14:paraId="5C9762F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танке № 1 умформер приемника дает сильный фон в телефонах своего приемника. Напряжение накала ламп – 3,8 вольта вместо 4 вольт. Вольтметр не работает. </w:t>
      </w:r>
    </w:p>
    <w:p w14:paraId="36BBB9B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танке № 1 в цепи питания умформера приемника внутренний обрыв. </w:t>
      </w:r>
    </w:p>
    <w:p w14:paraId="5ACFF56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Дальность связи. </w:t>
      </w:r>
    </w:p>
    <w:p w14:paraId="7707119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ТПУ-3 никаких помех или ухудшений в работу раций не вносит. </w:t>
      </w:r>
    </w:p>
    <w:p w14:paraId="6539BFA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Как видно из приведенных данных после 2600 км пробега качество работы рации ухудшилось, и дальность связи резко снизилась. </w:t>
      </w:r>
    </w:p>
    <w:p w14:paraId="7379DA0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24AD59F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Расположение рации в корпусе танка является преимуществом сравнительно с размещением в башне. В этом случае упрощается монтажная схема (проводка минует ВКУ) и командир танка освобождается от обслуживания рации. </w:t>
      </w:r>
    </w:p>
    <w:p w14:paraId="2962220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Монтаж рации выполнен неудовлетворительно по следующим причинам: </w:t>
      </w:r>
    </w:p>
    <w:p w14:paraId="34C0BF6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Антенна в опущенном положении ничем не защищена от повреждений деталями и оборудованием, возимым на крыле. Антенный ввод слишком длинен. Конструкция и расположение рукоятки подъемного механизма антенны не обеспечивает надежного подъема антенны. </w:t>
      </w:r>
    </w:p>
    <w:p w14:paraId="617B061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Умформер приемника смонтирован под ногами радиста, токоведущая клемма повреждается и умформер загрязняется. </w:t>
      </w:r>
    </w:p>
    <w:p w14:paraId="47A4907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Приемник смонтирован слишком низко и далеко от радиста, настройка его затруднена. </w:t>
      </w:r>
    </w:p>
    <w:p w14:paraId="0F48153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Колодки питания рации (нового типа) неудобны в эксплуатации – имеют много выступов, цепляющихся за одежду и ранящих руки. На панели приемника необходимо ввести зажим для шланга питания. </w:t>
      </w:r>
    </w:p>
    <w:p w14:paraId="5B62472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Ручной регулятор напряжения на данном танке, при наличии мощного генератора, является излишним, тем более пользование существующим регулятором невозможно (не виден вольтметр). </w:t>
      </w:r>
    </w:p>
    <w:p w14:paraId="6450862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Монтаж в целом не обеспечивает стабильности работы рации на предельно дальних расстояниях. </w:t>
      </w:r>
    </w:p>
    <w:p w14:paraId="003737A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Внутританковое переговорное устройство ТПУ работает вполне исправно, как при непосредственной связи, так и во время передачи или приема радиограмм. На танке Т-34 необходима установка ТПУ-3. </w:t>
      </w:r>
    </w:p>
    <w:p w14:paraId="615DA41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ЭКСПЛУАТАЦИОННЫЕ ПОКАЗАТЕЛИ И НАДЕЖНОСТЬ АГРЕГАТОВ ТАНКА.</w:t>
      </w:r>
    </w:p>
    <w:p w14:paraId="606D756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ДИНАМИКА ТАНКА.</w:t>
      </w:r>
    </w:p>
    <w:p w14:paraId="623CDCB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Максимальная скорость движения танка на ровных участках асфальтированного шоссе (автострада) = 54 км/ч. </w:t>
      </w:r>
    </w:p>
    <w:p w14:paraId="53ECF19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Средние скорости движения: </w:t>
      </w:r>
    </w:p>
    <w:p w14:paraId="43FDDB4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Сравнительно высокие скорости чистого движения по грунтовым дорогам обусловлены хорошим состоянием последних во время пробега. В тяжелых дорожных условиях при переходе с 2-й на 3-ю передачу танк за время переключения настолько теряет инерцию, что это влечет к остановке или длительной пробуксовке главного фрикциона. Это обстоятельство затрудняет использование 3-й передачи в дорожных условиях вполне допускающих ее применение. В условиях дождливой осени, весны и снежной зимы этот недостаток танка влечет к резкому снижению скоростей движения по проселочным дорогам и бездорожью. </w:t>
      </w:r>
    </w:p>
    <w:p w14:paraId="7CD29C1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Отмеченный при испытаниях дефект динамики танка подтверждается проверкой расчета коробки перемены передач приведенной на стр. 84 отчета. </w:t>
      </w:r>
    </w:p>
    <w:p w14:paraId="36BC1CD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Резкое различие скоростей чистого движения и технических является следствием частых поломок главного фрикциона и гусеницы (изломы траков, выход пальцев и.т.д.). </w:t>
      </w:r>
    </w:p>
    <w:p w14:paraId="69AC2EC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Вывод: 1. Ввиду того, что наиболее необходимая в условиях войсковой эксплуатации 3-я передача не может быть полностью использована – динамику танка в целом следует считать неудовлетворительной. </w:t>
      </w:r>
    </w:p>
    <w:p w14:paraId="0D8ADEF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Технические скорости низки, что обусловлено ненадежностью главного фрикциона и ходовой части. </w:t>
      </w:r>
    </w:p>
    <w:p w14:paraId="2397467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ПРОХОДИМОСТЬ </w:t>
      </w:r>
    </w:p>
    <w:p w14:paraId="7D776D0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Подъемы и косогоры: </w:t>
      </w:r>
    </w:p>
    <w:p w14:paraId="699E233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Водные преграды: </w:t>
      </w:r>
    </w:p>
    <w:p w14:paraId="72BA036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Танк преодолевает вброд водные преграды глубиной 1,25 – 1,3 мтр. при твердом грунте дна. Крутизны выхода не должна превышать 20 – 25°, крутизна входа 30 – 35°. </w:t>
      </w:r>
    </w:p>
    <w:p w14:paraId="6522052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Заболоченные участки: </w:t>
      </w:r>
    </w:p>
    <w:p w14:paraId="652D590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Торфяное болото с плотным покровом толщиной 0,5 – 0,8 мтр. (выдерживающим лошадь) танк не преодолевает. Гусеницы прорезают покров, и танк вывешивается на днище. При одностороннем погружении имеют место выходы гребней траков из опорных колес (на не погруженной гусенице). </w:t>
      </w:r>
    </w:p>
    <w:p w14:paraId="17BC440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2C8B3B2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Проходимость танка Т-34 в осенних условиях неудовлетворительна по следующим причинам: </w:t>
      </w:r>
    </w:p>
    <w:p w14:paraId="746A1DB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Входящая в зацепление с грунтом поверхность трака недостаточно развита (малый коэффициент зацепления), следствием чего является буксование гусениц на подъемах даже при незначительно влажном покрове. </w:t>
      </w:r>
    </w:p>
    <w:p w14:paraId="2603C72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Эффективность входящих в комплект шпор незначительна. </w:t>
      </w:r>
    </w:p>
    <w:p w14:paraId="79FD22B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Фиксация гусеницы в опорных колесах ненадежна вследствие малого количества опорных колес и постоянно возникающей слабины гусениц (от износов). Ненадежность фиксации гусениц лимитирует преодоление косогоров – при движении с креном свыше 20 – 23° при поворотах гусеница "сваливается". </w:t>
      </w:r>
    </w:p>
    <w:p w14:paraId="7F2A0C7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Сваливание гусениц отмечено так же при преодолении канав под углом менее 90°. </w:t>
      </w:r>
    </w:p>
    <w:p w14:paraId="0B2C20F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Малое количество опорных колес, помимо изложенного в § 2, отрицательно влияет на проходимость по заболоченным участкам, несмотря на небольшое общее удельное давление. </w:t>
      </w:r>
    </w:p>
    <w:p w14:paraId="36FA974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Форсирование танком Т-34 водных преград следует считать вполне удовлетворительным. </w:t>
      </w:r>
    </w:p>
    <w:p w14:paraId="468B357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РАСХОД ГОРЮЧЕГО И МАСЛА. </w:t>
      </w:r>
    </w:p>
    <w:p w14:paraId="658E336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Необходимо отметить, что резкие различия в расходе масла двигателя по отдельным танкам обусловлены в первую очередь недостаточной прочностью и герметичностью масляной системы, что влечет к частому возникновению течей и увеличивает расход масла. </w:t>
      </w:r>
    </w:p>
    <w:p w14:paraId="1B56B9D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6924CC5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Сравнительно небольшой расход горючего по дизельмотору В-2 свидетельствует о том, что последний работал не на полной мощности (примерно 60 % от максимальной). </w:t>
      </w:r>
    </w:p>
    <w:p w14:paraId="43BF1D6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Расход масла повышен за счет течей системы смазки. </w:t>
      </w:r>
    </w:p>
    <w:p w14:paraId="15D7304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ЗАПАСЫ ХОДА: </w:t>
      </w:r>
    </w:p>
    <w:p w14:paraId="7B63573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Вывод: Запас хода по горючему и смазке двигателя является достаточным. </w:t>
      </w:r>
    </w:p>
    <w:p w14:paraId="2D17151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МАКСИМАЛЬНЫЙ СУТОЧНЫЙ ПЕРЕХОД.</w:t>
      </w:r>
    </w:p>
    <w:p w14:paraId="6990909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Максимальный суточный переход по шоссе, полученный в пробеге = 255 км; по грунтовым дорогам = 225 км. Эти величины являются предельными т.к. в большинстве случаев отказы матчасти значительно снижали переходы. </w:t>
      </w:r>
    </w:p>
    <w:p w14:paraId="6A0788A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3E13724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Величина суточного перехода лимитируется отказами в работе матчасти, главным образом гусениц и главного фрикциона. Запас хода по горючему и смазке двигателя данные величины суточного перехода обеспечивает полностью. </w:t>
      </w:r>
    </w:p>
    <w:p w14:paraId="0B13B2F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ТЕМПЕРАТУРНЫЙ РЕЖИМ РАБОТЫ ДВИГАТЕЛЯ.</w:t>
      </w:r>
    </w:p>
    <w:p w14:paraId="0DC53E7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температурах наружного воздуха не превышающих 9°С температура масла двигателя находится в пределах 60 – 70°С, температура воды в системе охлаждения 70 – 75°С. </w:t>
      </w:r>
    </w:p>
    <w:p w14:paraId="62F93BE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0E7D133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Температурный режим работы дизельмотора В-2 в танке Т-34 в осенних условиях следует считать нормальным. </w:t>
      </w:r>
    </w:p>
    <w:p w14:paraId="6F572B8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БУКСИРОВКА ТАНКА ТАНКОМ.</w:t>
      </w:r>
    </w:p>
    <w:p w14:paraId="7E2EA2C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Буксировка танка танком в процессе испытаний производилась неоднократно в различных дорожных условиях: </w:t>
      </w:r>
    </w:p>
    <w:p w14:paraId="5E269A8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шоссе с поворотами до 90° на протяжении до 3-х км. </w:t>
      </w:r>
    </w:p>
    <w:p w14:paraId="0A042EB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грязной грунтовой дороге на протяжении до 4-х км. </w:t>
      </w:r>
    </w:p>
    <w:p w14:paraId="5D805F3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 торфяного болота при погружении буксируемого танка свыше 400 мм. </w:t>
      </w:r>
    </w:p>
    <w:p w14:paraId="20D0D6A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Буксировка, как правило, производилась на 1-й – 2-й передачах. </w:t>
      </w:r>
    </w:p>
    <w:p w14:paraId="06C7CE8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существующих буксирных приспособлениях взятие танка на буксир отнимает самое неопределенное время по причине несоответствия толщины петель тросов размерам "зевов" сцепных устройств на танке. В ряде случаев была отмечена невозможность ввести петлю троса в "зев" сцепного устройства да же при помощи кувалды. </w:t>
      </w:r>
    </w:p>
    <w:p w14:paraId="3A4B400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73E31ED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Буксировка танка танком возможна. В тяжелых дорожных условиях и на подъемах лимитируется пробуксовкой главного фрикциона или буксованием гусениц. </w:t>
      </w:r>
    </w:p>
    <w:p w14:paraId="6B23B61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Сцепные устройства танков Т-34 не соответствуют своему назначению – не обеспечивают безотказной и быстрой сцепки танков. Сцепное устройство должно быть заменено более удачным вариантом. </w:t>
      </w:r>
    </w:p>
    <w:p w14:paraId="540E486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НАДЕЖНОСТЬ РАБОТЫ АГРЕГАТОВ ТАНКА.</w:t>
      </w:r>
    </w:p>
    <w:p w14:paraId="42FD925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ДВИГАТЕЛЬ, СИСТЕМЫ ТОПЛИВА, СМАЗКИ, ОХЛАЖДЕНИЯ И КОНТРОЛЬНЫЕ ПРИБОРЫ.</w:t>
      </w:r>
    </w:p>
    <w:p w14:paraId="14E38FB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процессе испытания танков, при проверке надежности работы двигателя, систем горючего смазки, охлаждения и контрольных приборов выявлено: </w:t>
      </w:r>
    </w:p>
    <w:p w14:paraId="790D01D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Двигатель.</w:t>
      </w:r>
    </w:p>
    <w:p w14:paraId="030DB02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Крепление муфты привода топливного насоса ненадежно. В работе имеют место срез и ослабление крепления болтов, а так же излом ушка муфты. Вертикальный валик привода топливного насоса вследствие малой прочности – ломается. </w:t>
      </w:r>
    </w:p>
    <w:p w14:paraId="3F2C015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Центробежный регулятор топливного насоса отказал в работе, в результате чего двигатель пошел в разнос и вышел из строя. </w:t>
      </w:r>
    </w:p>
    <w:p w14:paraId="163B53E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Прокладка головки двигателя пробивается и требует замены. </w:t>
      </w:r>
    </w:p>
    <w:p w14:paraId="7D0E765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Прокладки выхлопных коллекторов пробиваются, в результате ослабления крепления. В этом случае требуется замена коллектора вследствие его деформации. </w:t>
      </w:r>
    </w:p>
    <w:p w14:paraId="2EDFEFD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Запрессовка пальца вертикальной тяги акселератора ослабевает. Прохисодит разъединение тяг, что влечет за собой потерю управления подачи топлива. </w:t>
      </w:r>
    </w:p>
    <w:p w14:paraId="60017A3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Отсутствие доступности изнутри танка к винтам спуска воздуха из системы подачи топлива, исключает возможность запуска двигателя без выхода из танка. Необходимо предусмотреть возможность спуска воздуха из системы подачи топлива изнутри танка. </w:t>
      </w:r>
    </w:p>
    <w:p w14:paraId="33B9E7F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Система смазки.</w:t>
      </w:r>
    </w:p>
    <w:p w14:paraId="7E04EF1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Поломки трубопроводов, ослабление крепления штуцеров и кранов и течи маслобаков-радиаторов создают постоянные течи масла, загрязняющие машину и увеличивающие расходы смазки. </w:t>
      </w:r>
    </w:p>
    <w:p w14:paraId="1E54D83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Необходимость согласовывать положение 3-х кранов в системе смазки двигателя неудобно в эксплуатации. Тем более, что они расположены в разных местах, а доступ к двум из них невозможен без выхода из танка. </w:t>
      </w:r>
    </w:p>
    <w:p w14:paraId="37F86D4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Контрольные приборы.</w:t>
      </w:r>
    </w:p>
    <w:p w14:paraId="50863EA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Неправильная укладка и крепление трубок, манометров смазки и горючего, и гибких тросов спидометра и тахометра, приводит к поломкам их и выходу из строя указанных контрольных приборов. </w:t>
      </w:r>
    </w:p>
    <w:p w14:paraId="491F378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4DA3321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Надежность работы двигателя в пределах гарантийного срока (100 часов) удовлетворительна. Гарантийный срок двигателя, особенно для данной (толстобронной) машины мал. Необходимо его довести не менее чем до 250 часов. </w:t>
      </w:r>
    </w:p>
    <w:p w14:paraId="08C50DE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Постоянные течи масла и выход из строя контрольных приборов по причинам указанным выше, характеризует работу системы смазки и соединения контрольных приборов неудовлетворительно. </w:t>
      </w:r>
    </w:p>
    <w:p w14:paraId="0AB2E1D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ГЛАВНЫЙ ФРИКЦИОН.</w:t>
      </w:r>
    </w:p>
    <w:p w14:paraId="0B8F7C5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узлу главного фрикциона имели место следующие поломки и неисправности. </w:t>
      </w:r>
    </w:p>
    <w:p w14:paraId="1AA1805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ПРИМЕЧАНИЕ: </w:t>
      </w:r>
    </w:p>
    <w:p w14:paraId="40C4D9E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Ввиду частых случаев ослабления крепления нажимного диска и крепления зубчатого венца и вентилятора, на машинах были сняты по одной жалюзи над трансмиссионным отделением, и на остановках проверялось крепление и производилось подтягивание ослабленных болтов и гаек. </w:t>
      </w:r>
    </w:p>
    <w:p w14:paraId="5AE74B8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Анализом причин систематически повторяющихся случаев выхода из строя главного фрикциона установлено: </w:t>
      </w:r>
    </w:p>
    <w:p w14:paraId="76495C1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 расчету главного фрикциона (расчет з-да № 183, копия расчета дана в приложении к отчету) коэффициент запаса момента трения главного фрикциона "В" получается 1,15 при номинале и 0,92 минимум. Результаты испытаний подтверждают, что коэффициент запаса выбран низким (значительно меньше рекомендуемого), что и является причиной систематических пробуксовок главного фрикциона, ускорявших износ и коробление его дисков. </w:t>
      </w:r>
    </w:p>
    <w:p w14:paraId="7760088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Кроме указанного выше, ускоренный износ дисков главного фрикциона происходит по причинам неправильно выбранных передаточных отношений 2-й и 3-й передач К.П.П. Переход со 2-й на 3-ю передачу, особенно в тяжелых дорожных условиях сопровождается длительной пробуксовкой главного фрикциона. </w:t>
      </w:r>
    </w:p>
    <w:p w14:paraId="3A34C34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Смещение главного фрикциона с носка коленчатого вала происходило вследствие ненадежного стопорения затяжной гайки разжимным конусом. Установочные конуса от высокой температуры при буксовании главного фрикциона пригорают к носку коленчатого вала и к посадочным гнездам ведущего барабана. </w:t>
      </w:r>
    </w:p>
    <w:p w14:paraId="1534E56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Разъединение поперечной тяги главного фрикциона происходит по причине ненадежного крепления пальца тяги. </w:t>
      </w:r>
    </w:p>
    <w:p w14:paraId="295122A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Жесткое крепление вентилятора (отсутствие демпферного устройства) при больших инерционных массах самого вентилятора, и резкое изменение числа оборотов двигателя при сбросе газа и переключении передач вызывает: </w:t>
      </w:r>
    </w:p>
    <w:p w14:paraId="28ABBED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Трещины и поломки лопаток вентилятора. </w:t>
      </w:r>
    </w:p>
    <w:p w14:paraId="5FC4BA8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Ослабление крепления и срез болтов, крепящих зубчатый венец и вентилятор к ведущему барабану главного фрикциона, и разбивку отверстий в последнем. </w:t>
      </w:r>
    </w:p>
    <w:p w14:paraId="1933F1D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Выводы: Работа узла главного фрикциона и вентилятора в целом неудовлетворительна. </w:t>
      </w:r>
    </w:p>
    <w:p w14:paraId="78D2363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ПРИМЕЧАНИЕ: Ненадежность работы главного фрикциона и вентилятора отмечена так же в выводах войсковой комиссии. </w:t>
      </w:r>
    </w:p>
    <w:p w14:paraId="3377167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КОРОБКА ПЕРЕМЕНЫ ПЕРЕДАЧ.</w:t>
      </w:r>
    </w:p>
    <w:p w14:paraId="7AA6243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процессе испытаний было выявлено, что переход со 2-й передачи на 3-ю, особенно в тяжелых дорожных условиях, происходит при длительной пробуксовке главного фрикциона или двигатель глохнет. </w:t>
      </w:r>
    </w:p>
    <w:p w14:paraId="52C7CF9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Как видно из динамической характеристики, перепад между наименьшим динамическим фактором "Д" на 2-й передаче и наибольшим "Д" на 3-й составляет 0,08, что соответствует подъему около 5°. Перекрытие по скоростям между 2-й и 3-й передачами составляет всего около 3-х км/час. При переходе со 2-й на 3-ю передачу танк, имея небольшую инерцию, теряет скорость значительно больше, чем это допускается для плавного перехода на 3-ю передачу, что свидетельствует о неправильном подборе передаточных чисел к.п.п. </w:t>
      </w:r>
    </w:p>
    <w:p w14:paraId="5673682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В пробеге были неоднократно на всех машинах отмечены случаи "потери нейтрали" (рычаг кулисы находится в нейтральном положении, а скорость включена) и тяжелого включения передач. Причиной этого является: </w:t>
      </w:r>
    </w:p>
    <w:p w14:paraId="246FCF5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Замок кулисы находится у рычага переключения передач. Поводковые валики к.п.п. через большое количество сочленений (от 7 до 9) посредством тяг связаны с поводками кулисного механизма. В результате складывания зазоров сочленений, которые в процессе эксплуатации увеличиваются, происходит "потеря нейтрали". </w:t>
      </w:r>
    </w:p>
    <w:p w14:paraId="70727D1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Большое количество узлов сочленений привода к.п.п. при тягах, проходящих по всей длине машины, нечистое выключение главного фрикциона, отсутствие синхронизирующих устройств к.п.п. при большом весе машины и неправильный подбор передаточных чисел к.п.п., затрудняет переключение передач. </w:t>
      </w:r>
    </w:p>
    <w:p w14:paraId="7335F3E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Кроме того указанные причины объясняют сколы и забоины на концах зубьев шестерен. </w:t>
      </w:r>
    </w:p>
    <w:p w14:paraId="77DB049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284BF1B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Неправильный выбор передаточных чисел коробки перемены передач является причиной неудовлетворительной динамики танка и снижает его тактическую ценность. Тяжелое включение передач и "потеря нейтрали" затрудняют управление танком и влекут к вынужденным остановкам. </w:t>
      </w:r>
    </w:p>
    <w:p w14:paraId="0483EF3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Коробка перемены передач и ее привод требуют коренных изменений. </w:t>
      </w:r>
    </w:p>
    <w:p w14:paraId="547DCC2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БОРТОВЫЕ ФРИКЦИОНЫ.</w:t>
      </w:r>
    </w:p>
    <w:p w14:paraId="790CE71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 время пробега бортовые фрикционы и тормозные ленты с обшивкой ферродо и чугунными колодками работали удовлетворительно. </w:t>
      </w:r>
    </w:p>
    <w:p w14:paraId="7F09C2F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БОРТОВЫЕ ПЕРЕДАЧИ.</w:t>
      </w:r>
    </w:p>
    <w:p w14:paraId="3489F36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дефектации бортовых передач танка № 2 после пробега в 2571 км обнаружено: </w:t>
      </w:r>
    </w:p>
    <w:p w14:paraId="2B4C40C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Ослабление (вытяжка) стяжных струн ведущих шестерен. </w:t>
      </w:r>
    </w:p>
    <w:p w14:paraId="275E54F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Разрушение сепаратора и износ осей роликов, подшипника ведущего валика. </w:t>
      </w:r>
    </w:p>
    <w:p w14:paraId="68EE111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Износ и задиры на зубьях ведущих шестерен. </w:t>
      </w:r>
    </w:p>
    <w:p w14:paraId="1012BA9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Износ упорных шайб ведущих шестерен. </w:t>
      </w:r>
    </w:p>
    <w:p w14:paraId="398DB3E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Заклинило сферический роликовый подшипник несущего диска. </w:t>
      </w:r>
    </w:p>
    <w:p w14:paraId="0C3CB9A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Ослабление (вытяжка) стяжных струн ведомых шестерен. </w:t>
      </w:r>
    </w:p>
    <w:p w14:paraId="10AC2A9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37EACFA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Неудовлетворительное состояние бортовых передач объясняется ненормальными условиями работы их вследствие частого нарушения шага зацепления гусеничных лент по причине износа и замены отдельных траков. </w:t>
      </w:r>
    </w:p>
    <w:p w14:paraId="462D099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ПРИМЕЧАНИЕ: Проверить работу коробки перемены передач, бортовых фрикционов и передач с точки зрения их надежности в полной мере не удалось вследствие того, что главный фрикцион выходил, прежде всего, из строя, являясь как бы предохранителем в цепи трансмиссии танка. </w:t>
      </w:r>
    </w:p>
    <w:p w14:paraId="48D6C4F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ХОДОВАЯ ЧАСТЬ.</w:t>
      </w:r>
    </w:p>
    <w:p w14:paraId="724F3E6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ходовой части имели место следующие поломки и неисправности: </w:t>
      </w:r>
    </w:p>
    <w:p w14:paraId="6518D25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процессе испытаний и проверки надежности работы ходовой части выявлено: </w:t>
      </w:r>
    </w:p>
    <w:p w14:paraId="044B7D2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Не равнопрочная геометрическая форма и малая механическая прочность материала вызывает трещины и поломку траков после пробега 150 – 200 км., а шплинтовка гусениц совершенно ненадежна. </w:t>
      </w:r>
    </w:p>
    <w:p w14:paraId="5F0BFCB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Расположение ведущего колеса, опорных (поддерживающих) колес и ленивца по прямой, придает верхней ветви гусениц форму прямой нити, что вызывает большое растягивающее усилие, ускоряющее износ гусениц, ведущего колеса и ленивца. </w:t>
      </w:r>
    </w:p>
    <w:p w14:paraId="69EA7B8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Выбор гребневого зацепления гусеничного движителя, уступающего по своим качествам цевочному зацеплению, ничем не оправдан. </w:t>
      </w:r>
    </w:p>
    <w:p w14:paraId="6392BB3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Большой диаметр опорных колес (830 мм) для гусеничной машины не нужен. Обусловленное этим малое количество опорных колес (5 на сторону) и большие нагрузки (порядка 2,7 – 3 тн, на каждое колесо) вызывают осмоление и разрушение резинового массива Н.К. при 1,5 – 2 часовом непрерывном движении со скоростью 30 – 35 км/ч. Расход резины Н.К. на машину очень велик ~ 700 кг. </w:t>
      </w:r>
    </w:p>
    <w:p w14:paraId="0F253BD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Низкое расположение ленивца и ведущего колеса, при котором получаются малые углы атаки, слабо развитая форма грунтозацепов траков и шпор, и малое количество опорных точек нижней ветви гусениц снижают возможности преодоления препятствий, даваемых мощностью двигателя. Кроме того малое количество опорных точек при почти постоянной (вследствие износа траков) слабине гусениц ненадежно фиксирует гусеницы, отчего последняя на кренах сваливается. </w:t>
      </w:r>
    </w:p>
    <w:p w14:paraId="22769C6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Места, занимаемые колодцами рессор и штоков подвески, ухудшают расположение агрегатов в корпусе танка. Гайки штоков быстро изнашиваются, а смазка из гильз штоков выбрасывается. </w:t>
      </w:r>
    </w:p>
    <w:p w14:paraId="3B5ACC5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Натяжной червячный механизм ленивца в эксплуатации неудобен, вследствие ограниченной доступности и трудности крепления затяжных гаек. Натяжка гусениц требует больших усилий и продолжается 1 – 1,5 часа силами 2 чел. </w:t>
      </w:r>
    </w:p>
    <w:p w14:paraId="255E3D4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2B60FF6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Малый срок службы и низкие сцепные качества траков, ухудшение размещения агрегатов танка колодцами подвесок, большой расход резины НК на опорные колеса и гребневое зацепление характеризуют конструктивные и прочностные качества ходовой части как неудовлетворительные. </w:t>
      </w:r>
    </w:p>
    <w:p w14:paraId="4332872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ЭЛЕКТРООБОРУДОВАНИЕ.</w:t>
      </w:r>
    </w:p>
    <w:p w14:paraId="0478C01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Генератор ГА 4563 с реле регуляторами РРТ 4576 на всех танках работали безотказно и обеспечивали нормальную зарядку стартерной батареи. </w:t>
      </w:r>
    </w:p>
    <w:p w14:paraId="276EC83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Расположение контрольно-измерительных приборов и освещение их отвечает требованиям надежности и удобства контроля работы механизмов танка. </w:t>
      </w:r>
    </w:p>
    <w:p w14:paraId="6002C75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Стартеры СТ-700 и реле стартеров РС-371 недостаточно надежны в эксплуатации – не защищены от проникновения во внутрь масла и имеют ряд монтажных и производственных дефектов (см. приложение к отчету). </w:t>
      </w:r>
    </w:p>
    <w:p w14:paraId="65A6D9C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Наконечники толстых проводов к стартеру и реле стартера, изготовленные из тонкой 2 мм меди, не соответствуют сечению проводов. </w:t>
      </w:r>
    </w:p>
    <w:p w14:paraId="4CFE955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Существующий способ вывода проводов к фарам не обеспечивает сохранности проводов и нуждается в переделке. </w:t>
      </w:r>
    </w:p>
    <w:p w14:paraId="5DB32A5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Крепление стоп-сигнала ненадежно. Вследствие сильной вибрации разрушаются стекла и перегорают лампочки. </w:t>
      </w:r>
    </w:p>
    <w:p w14:paraId="3D6BB38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Резиновые чехлы на тоководящих клеммах разрушаются под воздействием газойля и масла. Чехлы необходимо изготавливать из бензостойкой резины. </w:t>
      </w:r>
    </w:p>
    <w:p w14:paraId="67D41CA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Крепление задней штепсельной розетки, реле стартера РС-371 и трубы с проводами к РС-371 ненадежно. </w:t>
      </w:r>
    </w:p>
    <w:p w14:paraId="4F5C639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2664D2A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Генератор ГА 4563 и реле-регулятор РРТ4576 в эксплуатации надежны и обеспечивают нормальную зарядку стартерных батарей. </w:t>
      </w:r>
    </w:p>
    <w:p w14:paraId="04F0FDE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Стартер СТ-700 и реле РС-371 при существующих монтажных и производственных дефектах к установке на танках Т-34 непригодны. </w:t>
      </w:r>
    </w:p>
    <w:p w14:paraId="2C4915C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Мощность стартера для запуска двигателя – достаточна. </w:t>
      </w:r>
    </w:p>
    <w:p w14:paraId="0AD4659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УКЛАДКА</w:t>
      </w:r>
    </w:p>
    <w:p w14:paraId="114AB2A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ЗАПЧАСТЕЙ, ИНСТРУМЕНТА, ЛИЧНЫХ ВЕЩЕЙ,ЗАПАСА</w:t>
      </w:r>
    </w:p>
    <w:p w14:paraId="79B4146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ПРОДОВОЛЬСТВИЯ И СПЕЦОБОРУДОВАНИЯ.</w:t>
      </w:r>
    </w:p>
    <w:p w14:paraId="0C803AB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процессе испытаний танков, определялось удобство, размещение, пользование и наличие необходимой укладки на танке. При этом выявлено: </w:t>
      </w:r>
    </w:p>
    <w:p w14:paraId="2E59636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Сумки с инструментами неудобны. Для того, что бы достать инструмент необходимо развернуть всю сумку. Желательно укладку инструмента осуществить на левой стенке боевого отделения. </w:t>
      </w:r>
    </w:p>
    <w:p w14:paraId="3647805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Неудобно доставать и укладывать инструмент, расположенный в носовой части танка у ног водителя. </w:t>
      </w:r>
    </w:p>
    <w:p w14:paraId="7012A71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Крепление укладки на крыльях кожаными ремнями неудовлетворительно, в силу их быстрого износа. Желательно крепление укладки на крыльях сделать быстродействующими запорами, по типу крепления запасных баков горючего. </w:t>
      </w:r>
    </w:p>
    <w:p w14:paraId="16A0633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Домкраты для данной машины слабы (гнуться подъемные винты). Укладка домкратов на крыльях неудовлетворительна, вследствие вывинчивания подъемных винтов и забрасыванию их грязью. </w:t>
      </w:r>
    </w:p>
    <w:p w14:paraId="220AEA4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Укладка личных вещей экипажа, запаса продовольствия, инженерного и химического имущества в танке не предусмотрена. </w:t>
      </w:r>
    </w:p>
    <w:p w14:paraId="17C99F1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2CE85F1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Укладка инструмента, личных вещей, запаса продовольствия, инженерного и химического имущества и спецоборудования на танке Т-34 не отработана. </w:t>
      </w:r>
    </w:p>
    <w:p w14:paraId="6995B2C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РЕМОНТ</w:t>
      </w:r>
    </w:p>
    <w:p w14:paraId="2EF75A1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Соотношение времени чистого движения, ремонта и остановок по техническим неисправностям по всем трем танкам: </w:t>
      </w:r>
    </w:p>
    <w:p w14:paraId="62475B1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Основные виды ремонтных работ: </w:t>
      </w:r>
    </w:p>
    <w:p w14:paraId="667DCF6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Замена дисков главного фрикциона. </w:t>
      </w:r>
    </w:p>
    <w:p w14:paraId="0389902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Посадка на место главного фрикциона при его смещениях. </w:t>
      </w:r>
    </w:p>
    <w:p w14:paraId="4F6C392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Соединение поперечной тяги главного фрикциона. </w:t>
      </w:r>
    </w:p>
    <w:p w14:paraId="05D9793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Замена вентилятора. </w:t>
      </w:r>
    </w:p>
    <w:p w14:paraId="030C09F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Крепление венца маховика. </w:t>
      </w:r>
    </w:p>
    <w:p w14:paraId="7FE76AD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Замена шпилек нажимного диска главного фрикциона. </w:t>
      </w:r>
    </w:p>
    <w:p w14:paraId="6BFBEFE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Переборка и замена гусеничных лент. </w:t>
      </w:r>
    </w:p>
    <w:p w14:paraId="3B2FBB0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8. Замена опорных колес. </w:t>
      </w:r>
    </w:p>
    <w:p w14:paraId="3125C47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Устранение течей систем: горючего, смазки и охлаждения. </w:t>
      </w:r>
    </w:p>
    <w:p w14:paraId="10EFF94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Ремонтные работы производились средствами мастерской типа "Б". </w:t>
      </w:r>
    </w:p>
    <w:p w14:paraId="613AFB0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Основные виды работ по устранению неисправностей на марше: </w:t>
      </w:r>
    </w:p>
    <w:p w14:paraId="2EBCF40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Шплинтовка пальцев и замена траков. </w:t>
      </w:r>
    </w:p>
    <w:p w14:paraId="21EAFBD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Натяжка гусеницы. </w:t>
      </w:r>
    </w:p>
    <w:p w14:paraId="4ECB9F7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Подтяжка крепления венца маховика и вентилятора и нажимного диска главного фрикциона. </w:t>
      </w:r>
    </w:p>
    <w:p w14:paraId="74B1CC4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Замена короткого провода стартер-реле стартера. </w:t>
      </w:r>
    </w:p>
    <w:p w14:paraId="63F6D28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Регулировка нажимного диска главного фрикциона (при пробуксовке). </w:t>
      </w:r>
    </w:p>
    <w:p w14:paraId="0EF66B8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1E8779D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Соотношение времени чистого движения и восстановительных работ (38 и 62 %) свидетельствует о низком качестве технического выполнения танка. </w:t>
      </w:r>
    </w:p>
    <w:p w14:paraId="4E59697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Объем и сложность основных ремонтных работ исключают возможность восстановления танка силами экипажа и требуют использования средств РВБ. </w:t>
      </w:r>
    </w:p>
    <w:p w14:paraId="572F136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Наличие перечисленных выше ремонтных работ в пределах гарантийного срока не допускает использование танка в отрыве от ремонтных средств, что в условиях войсковой эксплуатации неприемлемо. </w:t>
      </w:r>
    </w:p>
    <w:p w14:paraId="440934B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ОБСЛУЖИВАНИЕ.</w:t>
      </w:r>
    </w:p>
    <w:p w14:paraId="3037E41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Обслуживание танков в пробеге производилось в объеме, предусмотренном инструкцией завода со следующими, обусловленными ненадежностью узлов, дополнениями: </w:t>
      </w:r>
    </w:p>
    <w:p w14:paraId="6B36F6A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Осмотр лопаток вентилятора и проверка его крепления. </w:t>
      </w:r>
    </w:p>
    <w:p w14:paraId="36A0BDB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Проверка крепления главного фрикциона. </w:t>
      </w:r>
    </w:p>
    <w:p w14:paraId="4F9A913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Регулировка гусеницы и замена траков. </w:t>
      </w:r>
    </w:p>
    <w:p w14:paraId="77C190E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Уборка танка от скопляющегося на днище масла (течи). </w:t>
      </w:r>
    </w:p>
    <w:p w14:paraId="57E0779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Обслуживание производилось силами экипажей танков. </w:t>
      </w:r>
    </w:p>
    <w:p w14:paraId="5958799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Ежедневное обслуживание выражалось в дозаправке горючим и маслом двигателя, осмотре ходовой части, вентилятора и главного фрикциона и регулировке гусеничных лент (с заменой траков). </w:t>
      </w:r>
    </w:p>
    <w:p w14:paraId="323DE70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Время ежедневного обслуживания = 2 – 2,5 часа. Обслуживание после 2-х переходов (250 – 300 км.) занимает 4 – 5 часов. После 4-х переходов (500 – 600 км.) обслуживание танка занимает 7 – 8 часов. Большие затраты времени на обслуживание обусловлены наличием отмеченных выше дополнительных работ. </w:t>
      </w:r>
    </w:p>
    <w:p w14:paraId="0BD5E35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процессе обслуживания танков выявлено: </w:t>
      </w:r>
    </w:p>
    <w:p w14:paraId="277E957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Натяжной механизм гусеницы неудобен в эксплуатации. Натяжка гусениц занимает 1 – 1,5 часа и требует значительных усилий. </w:t>
      </w:r>
    </w:p>
    <w:p w14:paraId="3E388D1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Доступ к регулировочным муфтам тяг управления затруднен (необходимо вынуть боеукладки, снять поддоны, моторную перегородку и верхний кормовой лист брони и вынуть аккумуляторы), а необходимость регулировки через 250 – 400 км. недопустима. </w:t>
      </w:r>
    </w:p>
    <w:p w14:paraId="1A8947D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Масленки МТК малопроизводительны, что вызывает большие затраты времени на смазку отдельных точек. </w:t>
      </w:r>
    </w:p>
    <w:p w14:paraId="1F956AC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Домкраты, входящие в комплект танка, слабы, гнуться подъемные винты. Работа с домкратов тяжела. </w:t>
      </w:r>
    </w:p>
    <w:p w14:paraId="422D46A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Укладку возимого инструмента необходимо пополнить: </w:t>
      </w:r>
    </w:p>
    <w:p w14:paraId="5DFD4F8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Вторым ломом (для натяжки гусениц). </w:t>
      </w:r>
    </w:p>
    <w:p w14:paraId="59E0274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Вторым ключом 17 х 22. </w:t>
      </w:r>
    </w:p>
    <w:p w14:paraId="0750EFE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Запасными тросиками натяжного приспособления. </w:t>
      </w:r>
    </w:p>
    <w:p w14:paraId="4710EBA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Ключом разводным №5 (вместо №2). </w:t>
      </w:r>
    </w:p>
    <w:p w14:paraId="6F2C507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Тонким тросом для монтажа гусеницы. </w:t>
      </w:r>
    </w:p>
    <w:p w14:paraId="12188C7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Ключ для затяжки гаек балансиров сделать по типу ключа гайки ленивца БТ-7. </w:t>
      </w:r>
    </w:p>
    <w:p w14:paraId="52D0E4BA"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Помимо этого необходимо усилить ключи: для гайки поддерживающего колеса и ленивца, для затяжки главного фрикциона на коленчатом валу (и укоротить рукоятки). </w:t>
      </w:r>
    </w:p>
    <w:p w14:paraId="32E3A25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Рукоятки кувалд негодны – ломаются, необходимо их делать из более прочного материала. Укладка кувалды в носовой части танка неудобна (затруднена выемка). </w:t>
      </w:r>
    </w:p>
    <w:p w14:paraId="61D6C2B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укладке возимых запчастей сократить: </w:t>
      </w:r>
    </w:p>
    <w:p w14:paraId="06F980D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количество хомутиков до 1 шт. каждого типа. </w:t>
      </w:r>
    </w:p>
    <w:p w14:paraId="2CCF6F39"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пробки СК-0480 и 34-16032 до 1 шт. каждого типа. </w:t>
      </w:r>
    </w:p>
    <w:p w14:paraId="2CEAB85F"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43AFE61C"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Большие объем и время обслуживания танков, обусловленные ненадежностью работы отдельных агрегатов, для войсковой эксплуатации неприемлемы. </w:t>
      </w:r>
    </w:p>
    <w:p w14:paraId="4E1B929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Дать исчерпывающую оценку возимого комплекта запчастей и инструмента не представляется возможным ввиду наличия во время испытаний ряда недопустимых в войсковой эксплуатации дефектов отдельных узлов танка. </w:t>
      </w:r>
    </w:p>
    <w:p w14:paraId="12D3A391"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5C36BD0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Танк Т-34 по вооружению, снарядостойкости, типу и запасу мощности двигателя и радиусу действия должен быть преобладающим в системе вооружения танковых войск К.А. в силу широких возможностей тактического использования этого класса танков. Поэтому конструкция танка данного типа должна быть особо тщательно отработана. </w:t>
      </w:r>
    </w:p>
    <w:p w14:paraId="3AFF919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В представленном на испытания виде, танк Т-34 не удовлетворяет современным требованиям к данному классу танков по следующим причинам: </w:t>
      </w:r>
    </w:p>
    <w:p w14:paraId="7980F69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Огневая мощь танка не может быть использована полностью вследствие непригодности приборов наблюдения, дефектов установки вооружения и оптики, тесноты боевого отделения и неудобства пользования боеукладкой. </w:t>
      </w:r>
    </w:p>
    <w:p w14:paraId="6381DE0B"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При достаточном запасе мощности двигателя и максимальной скорости, динамическая характеристика танка подобрана неудачно, что снижает скоростные показатели и проходимость танка. </w:t>
      </w:r>
    </w:p>
    <w:p w14:paraId="0830335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Тактическое использование танка в отрыве от ремонтных баз невозможно, вследствие ненадежности основных узлов – главного фрикциона и ходовой части. </w:t>
      </w:r>
    </w:p>
    <w:p w14:paraId="3C2DBD23"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Полученная на испытаниях дальность и надежность связи для танка данного класса недостаточна, что обусловлено как характеристикой рации 71 ТК-3, так и низким качеством ее монтажа в танке Т-34. </w:t>
      </w:r>
    </w:p>
    <w:p w14:paraId="41BDB43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Для устранения перечисленных принципиальных дефектов танка необходимо: </w:t>
      </w:r>
    </w:p>
    <w:p w14:paraId="25B78D4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Расширить габариты башни и боевого отделения, что даст возможность устранить дефекты установки вооружения и оптики. </w:t>
      </w:r>
    </w:p>
    <w:p w14:paraId="0DB3BAD5"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Разработать заново укладку боекомплекта. </w:t>
      </w:r>
    </w:p>
    <w:p w14:paraId="43132F48"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Заменить существующие приборы наблюдения новыми более совершенными. </w:t>
      </w:r>
    </w:p>
    <w:p w14:paraId="5209B5F2"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Переработать узлы: главный фрикцион – вентилятор, коробку перемены передач и ходовую часть. </w:t>
      </w:r>
    </w:p>
    <w:p w14:paraId="5995E81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Увеличить гарантийный срок дизель-мотора В-2 минимум до 250 часов. </w:t>
      </w:r>
    </w:p>
    <w:p w14:paraId="66F6B39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Увеличить дальность и надежность радиосвязи путем установки рации, обладающей большим радиусом связи и улучшения качества монтажа. </w:t>
      </w:r>
    </w:p>
    <w:p w14:paraId="2155A3BE"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ПОМ. НАЧАЛЬНИКА ПОЛИГОНА ПО НАУЧНО-ТЕХН. ЧАСТИ ВОЕНИНЖЕНЕР I РАНГА подпись (ГЛУХОВ) </w:t>
      </w:r>
    </w:p>
    <w:p w14:paraId="6D7786B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НАЧАЛЬНИК I-го ОТДЕЛА ВОЕНИНЖЕНЕР 2 РАНГА 23/XII подпись (СЫЧ) </w:t>
      </w:r>
    </w:p>
    <w:p w14:paraId="1D77FA64"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НАЧАЛЬНИК I ОТДЕЛЕНИЯ МАЙОР подпись (ГЕРКЕВИЧ) </w:t>
      </w:r>
    </w:p>
    <w:p w14:paraId="1ECD94FD"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ОТВЕТСТВЕННЫЙ ИСПОЛНИТЕЛЬ ВОЕНИНЖЕНЕР 3 РАНГА подпись Е.Е. Геркевича (МЕДОВЫЙ)</w:t>
      </w:r>
    </w:p>
    <w:p w14:paraId="4FD96C66"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в 4-х экз. </w:t>
      </w:r>
    </w:p>
    <w:p w14:paraId="632071A0"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72/XII </w:t>
      </w:r>
    </w:p>
    <w:p w14:paraId="6EB3E887" w14:textId="77777777" w:rsidR="0018056E" w:rsidRPr="00A3026E" w:rsidRDefault="001805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20.12.40 г. С.Т. (18184).</w:t>
      </w:r>
    </w:p>
    <w:p w14:paraId="06EC8858" w14:textId="77777777" w:rsidR="0018056E" w:rsidRPr="00A3026E" w:rsidRDefault="0018056E" w:rsidP="00A3026E">
      <w:pPr>
        <w:spacing w:after="0" w:line="240" w:lineRule="auto"/>
        <w:jc w:val="both"/>
        <w:rPr>
          <w:rFonts w:ascii="Times New Roman" w:hAnsi="Times New Roman"/>
          <w:color w:val="000000" w:themeColor="text1"/>
          <w:sz w:val="16"/>
          <w:szCs w:val="16"/>
        </w:rPr>
      </w:pPr>
    </w:p>
    <w:p w14:paraId="3B3750D7" w14:textId="77777777" w:rsidR="00DA459D" w:rsidRPr="00A3026E" w:rsidRDefault="00DA459D" w:rsidP="00A3026E">
      <w:pPr>
        <w:pStyle w:val="ae"/>
        <w:spacing w:before="0" w:after="0"/>
        <w:jc w:val="both"/>
        <w:rPr>
          <w:color w:val="000000" w:themeColor="text1"/>
          <w:sz w:val="16"/>
          <w:szCs w:val="16"/>
        </w:rPr>
      </w:pPr>
      <w:r w:rsidRPr="00A3026E">
        <w:rPr>
          <w:color w:val="000000" w:themeColor="text1"/>
          <w:sz w:val="16"/>
          <w:szCs w:val="16"/>
        </w:rPr>
        <w:t>24 декабря 1940 года был отправлен проект изобретателя И.А. Аверина под названием «Бронированный мотоцикл». Идея родилась на основе информационных сообщений в радио и газетах о войне в Европе, в которых подчёркивалась роль механизированных соединений, и о большом количестве мотоциклистов в немецких войсках. В Красной армии тоже были мотоциклисты, поэтому изобретатель предлагал:</w:t>
      </w:r>
    </w:p>
    <w:p w14:paraId="54251CC6" w14:textId="77777777" w:rsidR="00DA459D" w:rsidRPr="00A3026E" w:rsidRDefault="00DA459D" w:rsidP="00A3026E">
      <w:pPr>
        <w:pStyle w:val="ae"/>
        <w:spacing w:before="0" w:after="0"/>
        <w:jc w:val="both"/>
        <w:rPr>
          <w:color w:val="000000" w:themeColor="text1"/>
          <w:sz w:val="16"/>
          <w:szCs w:val="16"/>
        </w:rPr>
      </w:pPr>
      <w:r w:rsidRPr="00A3026E">
        <w:rPr>
          <w:iCs/>
          <w:color w:val="000000" w:themeColor="text1"/>
          <w:sz w:val="16"/>
          <w:szCs w:val="16"/>
        </w:rPr>
        <w:t>«…Вполне своевременно поставить вопрос о броне для мотоцикла. Важно бронировать мотоцикл с таким расчётом, чтобы, с одной стороны, не утяжелить чрезмерно машину, с другой – защитить наиболее важные органы водителя и узлы машины…»</w:t>
      </w:r>
    </w:p>
    <w:p w14:paraId="2ECDBB8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мотоцикл, по замыслу изобретателя, должен был надеваться бронированный стальной колпак, в плане имеющий вид сектора эллипса, закреплённый на шарнире, установленном в подножке, с возможностью перемещения «от руки» для обеспечения защиты с нужного направления. При установке в окопе конструкция превращалась бы в пулемётное гнездо. Для дополнительной защиты можно было поставить два сектора одновременно. Каково было заключение специалистов ГАБТУ, осталось неизвестным (17730).</w:t>
      </w:r>
    </w:p>
    <w:p w14:paraId="259F536E" w14:textId="77777777" w:rsidR="00DA459D" w:rsidRPr="00A3026E" w:rsidRDefault="00DA459D" w:rsidP="00A3026E">
      <w:pPr>
        <w:spacing w:after="0" w:line="240" w:lineRule="auto"/>
        <w:jc w:val="both"/>
        <w:rPr>
          <w:rFonts w:ascii="Times New Roman" w:eastAsia="Times New Roman" w:hAnsi="Times New Roman"/>
          <w:color w:val="000000" w:themeColor="text1"/>
          <w:sz w:val="16"/>
          <w:szCs w:val="16"/>
          <w:lang w:eastAsia="ru-RU"/>
        </w:rPr>
      </w:pPr>
    </w:p>
    <w:p w14:paraId="6C505755"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613356CE"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099611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декабря 1940 г. В ответном письме Н-32/3962 наркому внешней торговли А.И. Микояну П.А. Воронин сообщал: «По вопросу: запчастей самолета СБ-2 «Катюшка» для Болгарии. При сем препровождаю перечень запасных частей самолета СБ-2 «Катюшка», которое можно будет передать Болгарии в настоящее время. Детали, не вошедшие в данную спецификацию, переданы быть не могут ввиду их конструктивных изменений.</w:t>
      </w:r>
    </w:p>
    <w:p w14:paraId="5D2FED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перечень деталей на двух листах»</w:t>
      </w:r>
    </w:p>
    <w:p w14:paraId="12C8DC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ноября 1940 года нарком внешней торговли А.И. Микоян отправил письмо № 19/2706 под грифом «секретно» на имя заместителя наркома авиапромышленности П.А. Воронина. В нем говорилось следующее: «Болгарское Военное Министерство обратилось к нашему Торгпредству с просьбой продать Болгарии запасные части на сумму около 100 тысяч долларов для самолетов СБ2 «Катюшка». Болгары сообщают, что эти самолеты куплены ими у чехословаков, которым в свое время действительно были проданы эти СБ. Перечень потребных запасных частей при сем прилагается.</w:t>
      </w:r>
    </w:p>
    <w:p w14:paraId="3EB9FD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результате прошу сообщить мне» (РГАЭ. Ф. 8044. Оп. 1. Д. 436. Л. 224.) (11672).</w:t>
      </w:r>
    </w:p>
    <w:p w14:paraId="005129C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4BC757C"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0CF3E6C0"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03E807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декабря 1940 при негласной поддержке Токио Пибун Сонграм, диктатор Таиланда, объявил войну Франции (3939,43).</w:t>
      </w:r>
    </w:p>
    <w:p w14:paraId="776CED9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8E4754E"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5F750015"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269122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Фирсаев писал А.И.Ш. Докладную справку:</w:t>
      </w:r>
    </w:p>
    <w:p w14:paraId="28D854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"Вашим приказом N 739cc от 14 декабря 1940 ГК завода 39 С.В.И. обязан передать заводу 18 5 комплектов чертежей Ил-2 к 20 декабря с.г., а спецификации материалов и готовых изделий - к 15 декабря 1940.</w:t>
      </w:r>
    </w:p>
    <w:p w14:paraId="0E2A3D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 докладывает, что это задание им выполняется в установленные сроки и частично досрочно." (1316,287).</w:t>
      </w:r>
    </w:p>
    <w:p w14:paraId="058506D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B63AB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был представлен в НКАП отчет о заводских испытаниях ТБ-7 с М-40 (за исключением полета на продолжительность), которые проводились на 124 заводе с 13 октября 1940, когда состоялся первый полет до 15 декабря 1940 (1295,363).</w:t>
      </w:r>
    </w:p>
    <w:p w14:paraId="19B798C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36D027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года вышел приказ НИИ ВВС № 0286</w:t>
      </w:r>
    </w:p>
    <w:p w14:paraId="7804E9A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 испытаниях вооружения, штопора, пилотажа и пикирования на опытном самолете И-301 М-105П, проводимых НИИ ВВС совместно с заводом № 21 НКАП (6890, 221).</w:t>
      </w:r>
    </w:p>
    <w:p w14:paraId="6F844B4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414922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приказом НКАП Ю.Б.Эскина утвердили директором завода 301 (862,256).</w:t>
      </w:r>
    </w:p>
    <w:p w14:paraId="2DBEB4B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827AD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года Начальник НИИ ВВС дивинженер Филин утвердил Отчет по государственным контрольным испытаниям серийного самолета И-16 с М-63 тип «29» № 292116 постройки завода № 21 для определения летных характеристик самолета при работе мотора М-63 на режимах мотора М-62.</w:t>
      </w:r>
    </w:p>
    <w:p w14:paraId="752DF8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7F9FF2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 в/инженер 2 ранга Ерышев</w:t>
      </w:r>
    </w:p>
    <w:p w14:paraId="3639D7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летчик – в/инженер 2 ранга Кочетков</w:t>
      </w:r>
    </w:p>
    <w:p w14:paraId="63FE29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287BEC24" w14:textId="77777777" w:rsidR="0014077F" w:rsidRPr="00A3026E" w:rsidRDefault="0014077F" w:rsidP="00A3026E">
      <w:pPr>
        <w:pStyle w:val="a3"/>
        <w:widowControl/>
        <w:rPr>
          <w:color w:val="000000" w:themeColor="text1"/>
          <w:lang w:val="ru-RU"/>
        </w:rPr>
      </w:pPr>
      <w:r w:rsidRPr="00A3026E">
        <w:rPr>
          <w:color w:val="000000" w:themeColor="text1"/>
          <w:lang w:val="ru-RU"/>
        </w:rPr>
        <w:t>Определить летные качества самолета сИ-16 с М-63 на пониженной мощности В.М.Г., а именно:</w:t>
      </w:r>
    </w:p>
    <w:p w14:paraId="351EFA2B"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взлетные качества самолета при Рк-950 мм рт. ст. и п=2200 об/мин.</w:t>
      </w:r>
      <w:r w:rsidRPr="00A3026E">
        <w:rPr>
          <w:rFonts w:ascii="Times New Roman" w:hAnsi="Times New Roman"/>
          <w:color w:val="000000" w:themeColor="text1"/>
          <w:sz w:val="16"/>
          <w:szCs w:val="16"/>
        </w:rPr>
        <w:tab/>
      </w:r>
    </w:p>
    <w:p w14:paraId="00701C57"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Определить скороподъемность и скорости по высотам при Рк=850 мм рт. ст. и п=2100 об/мин.</w:t>
      </w:r>
    </w:p>
    <w:p w14:paraId="67FBEB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проведены на серийном самолете И-16 тип «29» с мотором М-63.</w:t>
      </w:r>
    </w:p>
    <w:p w14:paraId="468598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Данный самолет в сентябре 1940 года проходил гос. испытания в НИИ ВВС (№ 292116).</w:t>
      </w:r>
    </w:p>
    <w:p w14:paraId="0E2B57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w:t>
      </w:r>
    </w:p>
    <w:p w14:paraId="2FC203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Полученные данные самолета с пониженной мощностью В.М.Г. при испытании уменьшились по сравнению с данными того же самолета на нормальном режиме.</w:t>
      </w:r>
    </w:p>
    <w:p w14:paraId="411540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Эксплуатацию самолета И-16 М-63 на пониженной мощности В.М.Г. считать возможной (4483).</w:t>
      </w:r>
    </w:p>
    <w:p w14:paraId="6768757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D6F97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Нач. ГУ ВВС КА Рычагов писал письмо N 512781сс НКАП А.И.Ш. о том, что при облете И-200 с АМ-35А были выявлены дефекты мотора - в т.ч. падение давления масла с высотой и отсутствие приемистости. Писал, что об этом дефекте известно давно всем, в т.ч. и А.А.М. и требовал устранить (1295,231).</w:t>
      </w:r>
    </w:p>
    <w:p w14:paraId="2D1B615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E72A3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Нач. ГУ ВВС Рычагов докладывал НКАП А.И.Ш. о том, что при облете И-200 с АМ-35А выявлены дефекты мотора и прежде всего отсутствие приемистости (233).</w:t>
      </w:r>
    </w:p>
    <w:p w14:paraId="5F02846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E9D4A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мотор М-105 на самолете СБ поступил в НИИ ВВС для войсковых испытаний в г. Калинин (3333,15).</w:t>
      </w:r>
    </w:p>
    <w:p w14:paraId="7348214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1316F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мотор АМ-35А на самолете И-200 поступил в НИИ ВВС для специальных летных испытаний по определению приемистости мотора (3333,15).</w:t>
      </w:r>
    </w:p>
    <w:p w14:paraId="5096BD7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1EFEBE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провели полноценную обкатку М-81 на И-187 (9979).</w:t>
      </w:r>
    </w:p>
    <w:p w14:paraId="2C39DD0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42E217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25 декабря 1940 г. гл. конструктором завода № 464 (ГС Завод № 464 НКАП /Латвия г. Рига/) был назначен М.М. Пашинин, переведен с завода № 21 НКАП по приказу НКАП № 28сс от 17.01.1941 г. для организации КО при заводе № 464, этим же приказом с завода № 21 НКАП в подчинение к М.М. Пашинину было переведено 20 конструкторов для внедрения в серийное производство на заводе самолета УТИ-26. С 03.1940 г. Пашининым проектировался опытный истребитель (в 04.1941 г. работы закрыты).</w:t>
      </w:r>
    </w:p>
    <w:p w14:paraId="76A424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705с от 17.07.1941 г. завод эвакуирован в Куйбышев, влит в состав завода № 122 НКАП и перестал существовать. Пашинин назначен начальником СКБ завода № 122.</w:t>
      </w:r>
    </w:p>
    <w:p w14:paraId="12064E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Площади завода после войны переданы: площадка завода «Проводник» по приказу № 424/МА-533 от 15.11.1945 г.- в НКЭП, в 1946 г. на площадке организован РЭЗ.</w:t>
      </w:r>
    </w:p>
    <w:p w14:paraId="16FB5C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(21.11.1940 г.-)- П.А. Антонов.</w:t>
      </w:r>
    </w:p>
    <w:p w14:paraId="440832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(25.12.1940 г.-)- М.М. Пашинин.</w:t>
      </w:r>
    </w:p>
    <w:p w14:paraId="098FAE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(27.12.1940 г.-)- Т.Т. Кувшинов.</w:t>
      </w:r>
    </w:p>
    <w:p w14:paraId="681966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«Проводник» /Латвия  г. Рига/</w:t>
      </w:r>
    </w:p>
    <w:p w14:paraId="318BEB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продукции для авиационной промышленности (1917 г.).</w:t>
      </w:r>
      <w:r w:rsidRPr="00A3026E">
        <w:rPr>
          <w:rFonts w:ascii="Times New Roman" w:hAnsi="Times New Roman"/>
          <w:color w:val="000000" w:themeColor="text1"/>
          <w:sz w:val="16"/>
          <w:szCs w:val="16"/>
          <w:vertAlign w:val="superscript"/>
        </w:rPr>
        <w:t>66</w:t>
      </w:r>
      <w:r w:rsidRPr="00A3026E">
        <w:rPr>
          <w:rFonts w:ascii="Times New Roman" w:hAnsi="Times New Roman"/>
          <w:color w:val="000000" w:themeColor="text1"/>
          <w:sz w:val="16"/>
          <w:szCs w:val="16"/>
        </w:rPr>
        <w:t xml:space="preserve"> В 1939 г. в пустующих корпусах завода разместились самолеты польских ВВС, улетевшие после захвата Польши Германией.</w:t>
      </w:r>
    </w:p>
    <w:p w14:paraId="5FD479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АО «Рижский электромашиностроительный завод» (РЭЗ) /Латвия  г. Рига а/я 11/</w:t>
      </w:r>
    </w:p>
    <w:p w14:paraId="753FBA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РЭЗ создан в 1946 г. на площадке эвакуированного завода № 464 НКАП, переданного по приказу № 424/МА- 533 от 15.11.1945 г. в ведение НКЭП.</w:t>
      </w:r>
    </w:p>
    <w:p w14:paraId="28F2D2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07.2006 г. вошел в состав ТМХ.</w:t>
      </w:r>
    </w:p>
    <w:p w14:paraId="0670AF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советские годы являлся основным производителем вагонов электропоездов.</w:t>
      </w:r>
    </w:p>
    <w:p w14:paraId="2C0815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Разработка и производство (2006 г.): электрооборудование для железнодорожного транспорта.</w:t>
      </w:r>
    </w:p>
    <w:p w14:paraId="4D3E6A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стиральная машина «Рига-17» (11982).</w:t>
      </w:r>
    </w:p>
    <w:p w14:paraId="6E84156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C360E8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года было письмо М.В. Хруничева АД Крутикову Н-32/3950. К нему прилагалась ведомость «особо остродефицитных станков», необходимых для моторо- и самолетостроительных заводов НКАП. В соответствующей ведомости было представлено десять позиций по типам станков (специальные токарные, балансировочные, специальные шлифо</w:t>
      </w:r>
      <w:r w:rsidRPr="00A3026E">
        <w:rPr>
          <w:rFonts w:ascii="Times New Roman" w:hAnsi="Times New Roman"/>
          <w:color w:val="000000" w:themeColor="text1"/>
          <w:sz w:val="16"/>
          <w:szCs w:val="16"/>
        </w:rPr>
        <w:softHyphen/>
        <w:t>вальные и др.), которые охватывали 97 единиц станочного оборудования. По</w:t>
      </w:r>
      <w:r w:rsidRPr="00A3026E">
        <w:rPr>
          <w:rFonts w:ascii="Times New Roman" w:hAnsi="Times New Roman"/>
          <w:color w:val="000000" w:themeColor="text1"/>
          <w:sz w:val="16"/>
          <w:szCs w:val="16"/>
        </w:rPr>
        <w:softHyphen/>
        <w:t>мимо американских и швейцарских фирм, в числе производителей значилось и большое количество немецких, в том числе «Берингер», «Билетер», «Вотан», «Кольман», «Лозенгаузен», «Людвиг Леве», «Наксос Унион», «Унгер». Практичес</w:t>
      </w:r>
      <w:r w:rsidRPr="00A3026E">
        <w:rPr>
          <w:rFonts w:ascii="Times New Roman" w:hAnsi="Times New Roman"/>
          <w:color w:val="000000" w:themeColor="text1"/>
          <w:sz w:val="16"/>
          <w:szCs w:val="16"/>
        </w:rPr>
        <w:softHyphen/>
        <w:t>ки все позиции включали продукцию Германии, а некоторые, например про</w:t>
      </w:r>
      <w:r w:rsidRPr="00A3026E">
        <w:rPr>
          <w:rFonts w:ascii="Times New Roman" w:hAnsi="Times New Roman"/>
          <w:color w:val="000000" w:themeColor="text1"/>
          <w:sz w:val="16"/>
          <w:szCs w:val="16"/>
        </w:rPr>
        <w:softHyphen/>
        <w:t>дольно-фрезерные (быстроходные) или продольно-</w:t>
      </w:r>
      <w:r w:rsidRPr="00A3026E">
        <w:rPr>
          <w:rFonts w:ascii="Times New Roman" w:hAnsi="Times New Roman"/>
          <w:color w:val="000000" w:themeColor="text1"/>
          <w:sz w:val="16"/>
          <w:szCs w:val="16"/>
        </w:rPr>
        <w:lastRenderedPageBreak/>
        <w:t>шлифовальные станки, были представлены исключительно немецкими образцами (РГАЭ. Ф. 8044. Оп. 1. Д. 436. Л. 109.). Примечательна и другая тенденция - попытка компенсировать срыв поставок станков из США немецким оборудованием. В письме замнаркома авиапромышленности Кузнецова замнаркома внешней торговли Бабкину № Н-32/103 от 8 января 1941 года сообщалось следующее: «Предлагаемая «Станкоимпортом» замена специального американского оборудования на немецкое должна быть всесторонне изучена непосредственно у фирм с точки зрения конкретных эксплуатационных данных». Далее, в частнос</w:t>
      </w:r>
      <w:r w:rsidRPr="00A3026E">
        <w:rPr>
          <w:rFonts w:ascii="Times New Roman" w:hAnsi="Times New Roman"/>
          <w:color w:val="000000" w:themeColor="text1"/>
          <w:sz w:val="16"/>
          <w:szCs w:val="16"/>
        </w:rPr>
        <w:softHyphen/>
        <w:t>ти, содержалась просьба включить в план предполагаемых командировок в Германию на 1941 год работников авиационной промышленности по вопросам приемки и инспектирования станочного оборудования (РГАЭ. Ф. 8044. Оп. 1. Д. 436. Л. 229.). В дей</w:t>
      </w:r>
      <w:r w:rsidRPr="00A3026E">
        <w:rPr>
          <w:rFonts w:ascii="Times New Roman" w:hAnsi="Times New Roman"/>
          <w:color w:val="000000" w:themeColor="text1"/>
          <w:sz w:val="16"/>
          <w:szCs w:val="16"/>
        </w:rPr>
        <w:softHyphen/>
        <w:t>ствительности, однако, к этому времени размещать в Германии заказы на станки было уже бессмысленно — до начала военных действий оставалось немногим более пяти месяцев (11710,260).</w:t>
      </w:r>
    </w:p>
    <w:p w14:paraId="20D7F92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87D47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приказом НКАП N 613к (896,257) М.М.Пашинин был назначен ГК завода 464 и освобожден от работы на 21 заводе (862,257).</w:t>
      </w:r>
    </w:p>
    <w:p w14:paraId="19326AE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E3C9B6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w:t>
      </w:r>
      <w:r w:rsidRPr="00A3026E">
        <w:rPr>
          <w:rFonts w:ascii="Times New Roman" w:hAnsi="Times New Roman"/>
          <w:color w:val="000000" w:themeColor="text1"/>
          <w:sz w:val="16"/>
          <w:szCs w:val="16"/>
        </w:rPr>
        <w:softHyphen/>
        <w:t>бря 1940 года вышло письмо заместителя наркома авиапромышленности М.В. Хруничева за</w:t>
      </w:r>
      <w:r w:rsidRPr="00A3026E">
        <w:rPr>
          <w:rFonts w:ascii="Times New Roman" w:hAnsi="Times New Roman"/>
          <w:color w:val="000000" w:themeColor="text1"/>
          <w:sz w:val="16"/>
          <w:szCs w:val="16"/>
        </w:rPr>
        <w:softHyphen/>
        <w:t>местителю наркома внешней торговли АД. Кругикову Н-32/3950, к которому прилагалась ведомость «особо остродефицитных станков», не</w:t>
      </w:r>
      <w:r w:rsidRPr="00A3026E">
        <w:rPr>
          <w:rFonts w:ascii="Times New Roman" w:hAnsi="Times New Roman"/>
          <w:color w:val="000000" w:themeColor="text1"/>
          <w:sz w:val="16"/>
          <w:szCs w:val="16"/>
        </w:rPr>
        <w:softHyphen/>
        <w:t>обходимых для моторо- и самолетостроительных заводов НКАП. В письме, в частности, подчеркивалось: «Указанные станки в настоящее время буквально лимитируют заводам НКАП выполнение программы. Прошу ваших указаний Станкоимпорту о немедленном приобретении станков, указанных в ведомос</w:t>
      </w:r>
      <w:r w:rsidRPr="00A3026E">
        <w:rPr>
          <w:rFonts w:ascii="Times New Roman" w:hAnsi="Times New Roman"/>
          <w:color w:val="000000" w:themeColor="text1"/>
          <w:sz w:val="16"/>
          <w:szCs w:val="16"/>
        </w:rPr>
        <w:softHyphen/>
        <w:t>ти, новых или из числа демонтируемых со сроками поставок не позднее I кв. 1941 года». В соответствующей ведомости, которая охватывала 97 единиц ста</w:t>
      </w:r>
      <w:r w:rsidRPr="00A3026E">
        <w:rPr>
          <w:rFonts w:ascii="Times New Roman" w:hAnsi="Times New Roman"/>
          <w:color w:val="000000" w:themeColor="text1"/>
          <w:sz w:val="16"/>
          <w:szCs w:val="16"/>
        </w:rPr>
        <w:softHyphen/>
        <w:t>ночного оборудования, в шести из десяти позиций по типам станков значи</w:t>
      </w:r>
      <w:r w:rsidRPr="00A3026E">
        <w:rPr>
          <w:rFonts w:ascii="Times New Roman" w:hAnsi="Times New Roman"/>
          <w:color w:val="000000" w:themeColor="text1"/>
          <w:sz w:val="16"/>
          <w:szCs w:val="16"/>
        </w:rPr>
        <w:softHyphen/>
        <w:t>лись и американские производители, в частности, «Брайант», «Валькотт», «Гишольд», «Ле-Блонд», «Лендис», «Нортон», «Уикс», «Хилд» (РГАЭ. Ф. 8044. Оп. 1. Д. 436. Л. 229.). Крупнейший в то время американский эксперт по СССР С.Н. Харпер, кон</w:t>
      </w:r>
      <w:r w:rsidRPr="00A3026E">
        <w:rPr>
          <w:rFonts w:ascii="Times New Roman" w:hAnsi="Times New Roman"/>
          <w:color w:val="000000" w:themeColor="text1"/>
          <w:sz w:val="16"/>
          <w:szCs w:val="16"/>
        </w:rPr>
        <w:softHyphen/>
        <w:t>сультант госдепартамента США, писал в своих мемуарах: «Для советской поли</w:t>
      </w:r>
      <w:r w:rsidRPr="00A3026E">
        <w:rPr>
          <w:rFonts w:ascii="Times New Roman" w:hAnsi="Times New Roman"/>
          <w:color w:val="000000" w:themeColor="text1"/>
          <w:sz w:val="16"/>
          <w:szCs w:val="16"/>
        </w:rPr>
        <w:softHyphen/>
        <w:t>тики всегда было характерно предпочитать американскую технику германс</w:t>
      </w:r>
      <w:r w:rsidRPr="00A3026E">
        <w:rPr>
          <w:rFonts w:ascii="Times New Roman" w:hAnsi="Times New Roman"/>
          <w:color w:val="000000" w:themeColor="text1"/>
          <w:sz w:val="16"/>
          <w:szCs w:val="16"/>
        </w:rPr>
        <w:softHyphen/>
        <w:t>кой, а американское техническое содействие - европейскому в целом. Но при</w:t>
      </w:r>
      <w:r w:rsidRPr="00A3026E">
        <w:rPr>
          <w:rFonts w:ascii="Times New Roman" w:hAnsi="Times New Roman"/>
          <w:color w:val="000000" w:themeColor="text1"/>
          <w:sz w:val="16"/>
          <w:szCs w:val="16"/>
        </w:rPr>
        <w:softHyphen/>
        <w:t>ближение войны и установление практически блокады Советского Союза со стороны Британии, а также тот факт, что Соединенные Штаты наложили свое «моральное эмбарго» на Советы, - все это, безусловно, означало решительное ограничение советских закупок в Америке и вытекающий отсюда поворот СССР к Германии с целью получения необходимого оборудования» (Документы внешней политики. Кн. 2. (Ч. 1). С. 782) (11710,242).</w:t>
      </w:r>
    </w:p>
    <w:p w14:paraId="3621A23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435816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вышел приказ НКАП № 772сс:</w:t>
      </w:r>
    </w:p>
    <w:p w14:paraId="255E71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исполнение постановления Правительства от 11 декабря 1940, приказываю:</w:t>
      </w:r>
    </w:p>
    <w:p w14:paraId="333EEB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ор-ть в системе 7 ГУ з-д по изготовлению самолетных деталей и агрегатов из пластических масс и ввести в эксплуатацию первую очередь з-да к 1 июня 1941,</w:t>
      </w:r>
    </w:p>
    <w:p w14:paraId="0FCA62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организацию з-да произвести на базе незаконченного стр-ва. Осуществляемого Комитетом по делам кинематографии на площадке, расположенной по Ленинградскому шоссе между троллейбусным парком и окружной ж.д. с прилегающим к этой площадке свободным участком,</w:t>
      </w:r>
    </w:p>
    <w:p w14:paraId="623D195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присвоить з-ду № 294 (1314. 28).</w:t>
      </w:r>
    </w:p>
    <w:p w14:paraId="5D028B7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5ACC1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декабря 1940 Секретарь Крымского Обкома ВКП(б) В.Березкин писал письмо “ 1755 с</w:t>
      </w:r>
    </w:p>
    <w:p w14:paraId="0F8255D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ЦК ВКП /б/</w:t>
      </w:r>
    </w:p>
    <w:p w14:paraId="1624D3A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Зал. Начальника управления кадров тов. ШАТАЛИНУ Н.Н.</w:t>
      </w:r>
    </w:p>
    <w:p w14:paraId="1DD89BB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Наркому Авиационной промышленности СССР тов. ШАХУРИНУ А.И.</w:t>
      </w:r>
    </w:p>
    <w:p w14:paraId="19DB74F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указания Наркомата авиапромышленности, ремонт гидросамолетов и моторов на Севастопольском заводе № 45 НКАП с начала 1941 года прекращается. Завод должен перейти на изготовление запасных частей для самолетов.</w:t>
      </w:r>
    </w:p>
    <w:p w14:paraId="13239A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на заводе работает 1350 чел. Програм</w:t>
      </w:r>
      <w:r w:rsidRPr="00A3026E">
        <w:rPr>
          <w:rFonts w:ascii="Times New Roman" w:hAnsi="Times New Roman"/>
          <w:color w:val="000000" w:themeColor="text1"/>
          <w:sz w:val="16"/>
          <w:szCs w:val="16"/>
        </w:rPr>
        <w:softHyphen/>
        <w:t>ма 1940 г. - капитальный ремонт гидросамолетов МБР-2 - 102 шт. и капитальный ремонт моторов М-34 - 202 мотора. Завод освоил капитальный ремонт самолетов и моторов. Годовой план выпол</w:t>
      </w:r>
      <w:r w:rsidRPr="00A3026E">
        <w:rPr>
          <w:rFonts w:ascii="Times New Roman" w:hAnsi="Times New Roman"/>
          <w:color w:val="000000" w:themeColor="text1"/>
          <w:sz w:val="16"/>
          <w:szCs w:val="16"/>
        </w:rPr>
        <w:softHyphen/>
        <w:t>нен 20 декабря.</w:t>
      </w:r>
    </w:p>
    <w:p w14:paraId="57E807E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Резкое изменение профиля завода крайне неблагоприятно отразится на его развитии. Значительная часть заводского коллектива до 30% -авиасборщики, мотористы, летно-подъемный и обспуживающий состав летно-испнтательной станции не могут быть использованы и должны быть пораведены на другие предприятия НКАП.</w:t>
      </w:r>
    </w:p>
    <w:p w14:paraId="7B83637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Незначительные вложения дадут возможность закончить в 3-4 месяца главный самолетосборочный корпус, что даст при</w:t>
      </w:r>
      <w:r w:rsidRPr="00A3026E">
        <w:rPr>
          <w:rFonts w:ascii="Times New Roman" w:hAnsi="Times New Roman"/>
          <w:color w:val="000000" w:themeColor="text1"/>
          <w:sz w:val="16"/>
          <w:szCs w:val="16"/>
        </w:rPr>
        <w:softHyphen/>
        <w:t>рост площадей до 20%. Некоторая перепланировка и переобору</w:t>
      </w:r>
      <w:r w:rsidRPr="00A3026E">
        <w:rPr>
          <w:rFonts w:ascii="Times New Roman" w:hAnsi="Times New Roman"/>
          <w:color w:val="000000" w:themeColor="text1"/>
          <w:sz w:val="16"/>
          <w:szCs w:val="16"/>
        </w:rPr>
        <w:softHyphen/>
        <w:t>дование цехов, замена устаревшего оборудования, создадут все возможности для постановки на серийное производство метал</w:t>
      </w:r>
      <w:r w:rsidRPr="00A3026E">
        <w:rPr>
          <w:rFonts w:ascii="Times New Roman" w:hAnsi="Times New Roman"/>
          <w:color w:val="000000" w:themeColor="text1"/>
          <w:sz w:val="16"/>
          <w:szCs w:val="16"/>
        </w:rPr>
        <w:softHyphen/>
        <w:t>лической морской машины "КР-2" конструкции т. БЕРИЕВА, прохо</w:t>
      </w:r>
      <w:r w:rsidRPr="00A3026E">
        <w:rPr>
          <w:rFonts w:ascii="Times New Roman" w:hAnsi="Times New Roman"/>
          <w:color w:val="000000" w:themeColor="text1"/>
          <w:sz w:val="16"/>
          <w:szCs w:val="16"/>
        </w:rPr>
        <w:softHyphen/>
        <w:t>дящей на заводе в данное время заводские испытания.</w:t>
      </w:r>
    </w:p>
    <w:p w14:paraId="7A8B711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Благоприятные климатические условия и незамерзающая бухта дают возможность вести испытания машинв течение круг лого года. Учитывая все эти условия, Обком ВКП/б/ считает необходимым сохранить производствинное лицо завода -как самолетостроительного завода и просит ЦК ВКП/б/ решить воп</w:t>
      </w:r>
      <w:r w:rsidRPr="00A3026E">
        <w:rPr>
          <w:rFonts w:ascii="Times New Roman" w:hAnsi="Times New Roman"/>
          <w:color w:val="000000" w:themeColor="text1"/>
          <w:sz w:val="16"/>
          <w:szCs w:val="16"/>
        </w:rPr>
        <w:softHyphen/>
        <w:t>рос о переводе завода № 45 на серийное производство самолетстроения морских машин с организацией на заводе опытного отдела (9820,58).</w:t>
      </w:r>
    </w:p>
    <w:p w14:paraId="527E8D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5C0CCA62"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71BCEA77"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777BC167" w14:textId="77777777" w:rsidR="00DA459D" w:rsidRPr="00A3026E" w:rsidRDefault="00DA459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25 декабря 1940 года был представлен макет аэросаней 02СС ЦКБ-50. Масса выросла с 3,5 до 4,7 тонны. Утверждённый макетной комиссией образец изготовили на заводе № 5 к определённому постановлением № 451сс сроку — 25 января 1941 года. На все опытные работы было потрачено 400 тысяч рублей, а стоимость серийных бронесаней, по расчётам, должна была составить 300 тысяч. Для сравнения, примерно столько же изначально стоил лёгкий танк Т-50, причём эта его цена была даже завышена (17667).</w:t>
      </w:r>
    </w:p>
    <w:p w14:paraId="61B77517" w14:textId="77777777" w:rsidR="00DA459D" w:rsidRPr="00A3026E" w:rsidRDefault="00DA459D" w:rsidP="00A3026E">
      <w:pPr>
        <w:pStyle w:val="128"/>
        <w:shd w:val="clear" w:color="auto" w:fill="auto"/>
        <w:spacing w:after="0" w:line="240" w:lineRule="auto"/>
        <w:jc w:val="both"/>
        <w:rPr>
          <w:color w:val="000000" w:themeColor="text1"/>
          <w:sz w:val="16"/>
          <w:szCs w:val="16"/>
        </w:rPr>
      </w:pPr>
    </w:p>
    <w:p w14:paraId="5613EA1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года за № 65/518 вышло поручение О.Б. ЦК ВКП(б) Выписка из протокола № 65 с запиской директора завода № 257 НКБ Кормилицина о состоянии строительства завода № 257 (7479, 112-116).</w:t>
      </w:r>
    </w:p>
    <w:p w14:paraId="550956EA" w14:textId="77777777" w:rsidR="00DA459D" w:rsidRPr="00A3026E" w:rsidRDefault="00DA459D" w:rsidP="00A3026E">
      <w:pPr>
        <w:spacing w:after="0" w:line="240" w:lineRule="auto"/>
        <w:jc w:val="both"/>
        <w:rPr>
          <w:rFonts w:ascii="Times New Roman" w:hAnsi="Times New Roman"/>
          <w:color w:val="000000" w:themeColor="text1"/>
          <w:sz w:val="16"/>
          <w:szCs w:val="16"/>
        </w:rPr>
      </w:pPr>
    </w:p>
    <w:p w14:paraId="62583CED" w14:textId="77777777" w:rsidR="00F01C92" w:rsidRPr="00A3026E" w:rsidRDefault="00F01C9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г. прошли испытания по проверке работоспособности главного фрикциона в особо тяжелых условиях. За время испытаний машина прошла 81 км и было выполнено следующее: </w:t>
      </w:r>
    </w:p>
    <w:p w14:paraId="6E263BD8" w14:textId="77777777" w:rsidR="00F01C92" w:rsidRPr="00A3026E" w:rsidRDefault="00F01C9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11 троганий с места на III передаче на ровном участке слегка примерзшего песка. </w:t>
      </w:r>
    </w:p>
    <w:p w14:paraId="4BD2AEF3" w14:textId="77777777" w:rsidR="00F01C92" w:rsidRPr="00A3026E" w:rsidRDefault="00F01C9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Преодолена 6 раз на II передаче песчаная дюна с углом подъема 21 – 25° и длиной 10 – 12 м. </w:t>
      </w:r>
    </w:p>
    <w:p w14:paraId="6C8E8641" w14:textId="77777777" w:rsidR="00F01C92" w:rsidRPr="00A3026E" w:rsidRDefault="00F01C9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Проведено 11 троганий с места на песчаной дюне в 21 – 25° на I передаче и 4 трогания на II передаче. </w:t>
      </w:r>
    </w:p>
    <w:p w14:paraId="32C14D9F" w14:textId="77777777" w:rsidR="00F01C92" w:rsidRPr="00A3026E" w:rsidRDefault="00F01C9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Проведено 10 буксований на подъеме в 21 – 25° общей продолжительностью в 5 минут. </w:t>
      </w:r>
    </w:p>
    <w:p w14:paraId="3CCB96B7" w14:textId="77777777" w:rsidR="00F01C92" w:rsidRPr="00A3026E" w:rsidRDefault="00F01C9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Произведено 8 троганий с места на III передаче на ровном твердом мерзлом грунте. </w:t>
      </w:r>
    </w:p>
    <w:p w14:paraId="6961CF08" w14:textId="77777777" w:rsidR="00F01C92" w:rsidRPr="00A3026E" w:rsidRDefault="00F01C9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 подъеме в 35° с твердым покровом сделано 2 попытки трогания с III передачи, при которых мотор глох».</w:t>
      </w:r>
    </w:p>
    <w:p w14:paraId="68505CF7" w14:textId="77777777" w:rsidR="00F01C92" w:rsidRPr="00A3026E" w:rsidRDefault="00F01C9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Д.232. Л. 69 – 70]</w:t>
      </w:r>
    </w:p>
    <w:p w14:paraId="6E0B619E" w14:textId="77777777" w:rsidR="00F01C92" w:rsidRPr="00A3026E" w:rsidRDefault="00F01C9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Заключения № 1 от 4 января 1941 г., составленного специалистами бюро цеха «540» по итогам проведенных испытаний: </w:t>
      </w:r>
    </w:p>
    <w:p w14:paraId="45ACEE33" w14:textId="77777777" w:rsidR="00F01C92" w:rsidRPr="00A3026E" w:rsidRDefault="00F01C9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во время специальных испытаний после 3 – 5 троганий, либо буксования, фрикцион переставал выключаться и при выключенном фрикционе машину вело. После кратковременного остывания в течение 5 – 10 минут фрикцион вновь начинал работать, хотя ведомый барабан и не останавливался, но переключение передач и трогание с места, без помощи бортовых фрикционов, было возможно. </w:t>
      </w:r>
    </w:p>
    <w:p w14:paraId="163AE17D" w14:textId="77777777" w:rsidR="00F01C92" w:rsidRPr="00A3026E" w:rsidRDefault="00F01C9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специальных испытаний диски трения были из фрикциона вынуты и обмеряны, при этом: </w:t>
      </w:r>
    </w:p>
    <w:p w14:paraId="6BE92C68" w14:textId="77777777" w:rsidR="00F01C92" w:rsidRPr="00A3026E" w:rsidRDefault="00F01C9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Коробление ведомых дисков находилось в пределах 0,05 – 0,80 мм. </w:t>
      </w:r>
    </w:p>
    <w:p w14:paraId="6B59943B" w14:textId="77777777" w:rsidR="00F01C92" w:rsidRPr="00A3026E" w:rsidRDefault="00F01C9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Коробление ведущих дисков находилось в пределах 0,05 – 0,25 мм. </w:t>
      </w:r>
    </w:p>
    <w:p w14:paraId="66987E69" w14:textId="77777777" w:rsidR="00F01C92" w:rsidRPr="00A3026E" w:rsidRDefault="00F01C9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Максимальное коробление со стороны рабочей поверхности, обращенной к мотору – 4,06 мм, со стороны, обращенной к коробке передач 4,35 мм. Износ всего комплекта дисков сохранился в тех же пределах – 0,5 мм. Задиры на дисках незначительны и в большинстве по своей протяженности не превосходят 1/4 окружности, т.к. вырезы препятствовали дальнейшему распространению задиров. Диски трения имеют цвета побежалости, свидетельствующие о их высоком нагреве при специальных испытаниях».</w:t>
      </w:r>
    </w:p>
    <w:p w14:paraId="03368067" w14:textId="77777777" w:rsidR="00F01C92" w:rsidRPr="00A3026E" w:rsidRDefault="00F01C9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Д.232. Л. 70] (18533).</w:t>
      </w:r>
    </w:p>
    <w:p w14:paraId="5CE8A55D" w14:textId="77777777" w:rsidR="00F01C92" w:rsidRPr="00A3026E" w:rsidRDefault="00F01C92" w:rsidP="00A3026E">
      <w:pPr>
        <w:spacing w:after="0" w:line="240" w:lineRule="auto"/>
        <w:jc w:val="both"/>
        <w:rPr>
          <w:rFonts w:ascii="Times New Roman" w:hAnsi="Times New Roman"/>
          <w:color w:val="000000" w:themeColor="text1"/>
          <w:sz w:val="16"/>
          <w:szCs w:val="16"/>
        </w:rPr>
      </w:pPr>
    </w:p>
    <w:p w14:paraId="641CD89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г.</w:t>
      </w:r>
    </w:p>
    <w:p w14:paraId="41AE411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173. Докладная записка наркома ВМФ СССР Н. Г. Кузнецова председателю Комитета обороны при СНК СССР К. Е. Ворошилову о мероприятиях по удовлетворению потребности ВМФ в боевых кораблях в условиях войны</w:t>
      </w:r>
    </w:p>
    <w:p w14:paraId="5503210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Источник: </w:t>
      </w:r>
    </w:p>
    <w:p w14:paraId="74182E4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678-681.</w:t>
      </w:r>
    </w:p>
    <w:p w14:paraId="5EB3BD2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Архив: </w:t>
      </w:r>
    </w:p>
    <w:p w14:paraId="306D0C2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 РФ. Ф. 3. Оп. 46. Д. 557. Л. 82-89. Подлинник.</w:t>
      </w:r>
    </w:p>
    <w:p w14:paraId="62777BA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Совершенно секретно.</w:t>
      </w:r>
    </w:p>
    <w:p w14:paraId="1CD050F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Особой важности.</w:t>
      </w:r>
    </w:p>
    <w:p w14:paraId="7EBF31F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Современный уровень производственных возможностей НКСП не обеспечивает удовлетворения даже минимальных потребностей ВМФ в боевых кораблях по военному времени.</w:t>
      </w:r>
    </w:p>
    <w:p w14:paraId="07ED35A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частичной в  ближайшие годы и полной в перспективе ликвидации подобного положения представляю, одновременно с расчетом вытекающей из оперативных задач потребности ВМФ в боевых кораблях, перечень необходимых мероприятий.</w:t>
      </w:r>
    </w:p>
    <w:p w14:paraId="322F84C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Основания по классам кораблей</w:t>
      </w:r>
    </w:p>
    <w:p w14:paraId="6404D87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Исходя из характера операций и реального состава флотов к 1 января 1941 г., главнейшими классами кораблей, которые могут решать основные задачи во взаимодействии с авиацией являются: легкие силы (крейсеры и миноносцы), подводные лодки (малые и большие) и торпедные катера.</w:t>
      </w:r>
    </w:p>
    <w:p w14:paraId="28F082A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Для придания устойчивости легким силам в активных операциях (поддержка) так же, как и для решительного боя с прорывающимся противником, на позициях будут использованы на КБФ и ЧФ имеемые старые линкоры.</w:t>
      </w:r>
    </w:p>
    <w:p w14:paraId="2DD20AF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Для боевого обеспечения операций легких сил, подлодок, а также для защиты линкоров (от мин, подлодок, авиации) и несения дозорной службы по охране водных районов, нужны: сторожевые корабли, тральщики (эскадренные и базовые), охотники за подлодками (большие и малые).</w:t>
      </w:r>
    </w:p>
    <w:p w14:paraId="6DFAFFE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Вопрос о вспомогательных судах (транспорта, плавбазы) и боевых судах из мобилизованных (минные заграждения, сетевые заграждения и т. д.) здесь не рассматривается.</w:t>
      </w:r>
    </w:p>
    <w:p w14:paraId="5137B21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Ожидаемые потери за год войны</w:t>
      </w:r>
    </w:p>
    <w:p w14:paraId="60B7AAF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основе анализа потерь всех флотов в войну 1914</w:t>
      </w:r>
      <w:r w:rsidRPr="00A3026E">
        <w:rPr>
          <w:rFonts w:ascii="Times New Roman" w:hAnsi="Times New Roman"/>
          <w:color w:val="000000" w:themeColor="text1"/>
          <w:sz w:val="16"/>
          <w:szCs w:val="16"/>
        </w:rPr>
        <w:noBreakHyphen/>
        <w:t>1918 гг. и корректировки норм потерь опытом современной войны ГМШ принимает средние нормы годовой убыли по классам: для крейсеров — 8%, для миноносцев — 20%, для подлодок — 30%, для тральщиков — 20%, сторожевых кораблей — 10%, охотников — 10%, торпедных катеров — 50%.</w:t>
      </w:r>
    </w:p>
    <w:p w14:paraId="0126AFA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Ожидаемый состав флотов на год войны</w:t>
      </w:r>
    </w:p>
    <w:p w14:paraId="442E79E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Баланс роста и убыли флотов на 1941 военный год будет (не считая линкоров):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7"/>
        <w:gridCol w:w="2057"/>
        <w:gridCol w:w="1232"/>
        <w:gridCol w:w="2359"/>
        <w:gridCol w:w="1279"/>
        <w:gridCol w:w="1154"/>
        <w:gridCol w:w="1730"/>
        <w:gridCol w:w="1264"/>
      </w:tblGrid>
      <w:tr w:rsidR="00983732" w:rsidRPr="00A3026E" w14:paraId="4B0CFBB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078F0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2B05D08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CFF7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Классы и типы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0615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Будет к 1 января 1941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28DB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Намече</w:t>
            </w:r>
            <w:r w:rsidRPr="00A3026E">
              <w:rPr>
                <w:rFonts w:ascii="Times New Roman" w:hAnsi="Times New Roman"/>
                <w:color w:val="000000" w:themeColor="text1"/>
                <w:sz w:val="16"/>
                <w:szCs w:val="16"/>
              </w:rPr>
              <w:softHyphen/>
              <w:t>но полу</w:t>
            </w:r>
            <w:r w:rsidRPr="00A3026E">
              <w:rPr>
                <w:rFonts w:ascii="Times New Roman" w:hAnsi="Times New Roman"/>
                <w:color w:val="000000" w:themeColor="text1"/>
                <w:sz w:val="16"/>
                <w:szCs w:val="16"/>
              </w:rPr>
              <w:softHyphen/>
              <w:t>чение от НКСП в 1941 военном году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4444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на 1 января 1942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D4A7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Веро</w:t>
            </w:r>
            <w:r w:rsidRPr="00A3026E">
              <w:rPr>
                <w:rFonts w:ascii="Times New Roman" w:hAnsi="Times New Roman"/>
                <w:color w:val="000000" w:themeColor="text1"/>
                <w:sz w:val="16"/>
                <w:szCs w:val="16"/>
              </w:rPr>
              <w:softHyphen/>
              <w:t>ятная убыль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E80C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Факти</w:t>
            </w:r>
            <w:r w:rsidRPr="00A3026E">
              <w:rPr>
                <w:rFonts w:ascii="Times New Roman" w:hAnsi="Times New Roman"/>
                <w:color w:val="000000" w:themeColor="text1"/>
                <w:sz w:val="16"/>
                <w:szCs w:val="16"/>
              </w:rPr>
              <w:softHyphen/>
              <w:t>чески будет к 1 января 1942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06D4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w:t>
            </w:r>
            <w:r w:rsidRPr="00A3026E">
              <w:rPr>
                <w:rFonts w:ascii="Times New Roman" w:hAnsi="Times New Roman"/>
                <w:color w:val="000000" w:themeColor="text1"/>
                <w:sz w:val="16"/>
                <w:szCs w:val="16"/>
              </w:rPr>
              <w:softHyphen/>
              <w:t>нение состава за год</w:t>
            </w:r>
          </w:p>
        </w:tc>
      </w:tr>
      <w:tr w:rsidR="00983732" w:rsidRPr="00A3026E" w14:paraId="54F06D52" w14:textId="77777777" w:rsidTr="007E425B">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4C2224F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Краснознаменный Балтийский флот</w:t>
            </w:r>
          </w:p>
        </w:tc>
      </w:tr>
      <w:tr w:rsidR="00983732" w:rsidRPr="00A3026E" w14:paraId="1AD4C47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9EC3F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0F17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Крейсеры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D0D9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E669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3877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02EA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9A6E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4288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7A7FE1B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823D9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15EF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Миноносцы и лидеры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5CC1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2EFB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2E7C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325F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D38E8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FB42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7F63B14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03DCC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8FB3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большие и средние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AF0D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5F28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5BBA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D89C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B7E6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CC02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314632B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95550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BABC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AFBD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D3B0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F65E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4EBE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B552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EE7F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r>
      <w:tr w:rsidR="00983732" w:rsidRPr="00A3026E" w14:paraId="743C84D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15837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0F09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Сторожевые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A25E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DA59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5E63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EE3A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0D65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C6CF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2DF4FBF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C0E86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1599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Тральщики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7C8D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0635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F601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60C4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1C30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2D4A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r>
      <w:tr w:rsidR="00983732" w:rsidRPr="00A3026E" w14:paraId="0334F8D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72D86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568B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Охотники большие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F519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A7D5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6C71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FE94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5770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320F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09F885C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3AA6F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45CA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Охотники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3340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EF33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456C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1B7B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1631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21B2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r>
      <w:tr w:rsidR="00983732" w:rsidRPr="00A3026E" w14:paraId="2F5AC9D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31F33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BAA5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1C78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F973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94D1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FF82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EAC0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98E0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r>
      <w:tr w:rsidR="00983732" w:rsidRPr="00A3026E" w14:paraId="713A42C3" w14:textId="77777777" w:rsidTr="007E425B">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48FEC78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Северный флот</w:t>
            </w:r>
          </w:p>
        </w:tc>
      </w:tr>
      <w:tr w:rsidR="00983732" w:rsidRPr="00A3026E" w14:paraId="10B7929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202B2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52C6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Крейсеры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510B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FC14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7B25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1934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AB81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5533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52D7A79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80A59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E7FA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Миноносцы и лидеры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4212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9B0C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EF49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A374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739E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5BCC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7A6DDDF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44ED0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6D11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большие и средние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0DA4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32EC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6B00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CFD8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6E20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948E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39CA6AE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EA359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68CF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9BE0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C39D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4778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B32C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75B4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47C1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05083BF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732DB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E194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Сторожевые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D8BE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D944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D724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6FB5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6279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A32B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1318DC9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F085D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C25A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Тральщики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E7F7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CF0B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B795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9F45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068C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F8D3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249DF60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D4028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27F5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Охотники большие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BF53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AF2D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2A38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85D4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ED0C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BF1F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09D19AA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F574D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F47D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Охотники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3319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2095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DB4E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31C9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D096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D820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r>
      <w:tr w:rsidR="00983732" w:rsidRPr="00A3026E" w14:paraId="425546A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6281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DFCF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F339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A7B0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F63E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7BDD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B2B7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0255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629DE87F" w14:textId="77777777" w:rsidTr="007E425B">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5C8482E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Черноморский флот</w:t>
            </w:r>
          </w:p>
        </w:tc>
      </w:tr>
      <w:tr w:rsidR="00983732" w:rsidRPr="00A3026E" w14:paraId="79D0EB7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ED4C8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D51D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Крейсеры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AC3C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4CAF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AFEE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1E55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748D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32A7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2D377FB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E57AE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9184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Миноносцы и лидеры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5619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EAD9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710E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FBEC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71B8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8FE1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532EA5A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2C138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71AA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большие и средние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58FD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C26E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CAF0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2795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6502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ED06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r>
      <w:tr w:rsidR="00983732" w:rsidRPr="00A3026E" w14:paraId="0A57F4B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9629D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0416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AB30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3423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F87E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C850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9141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5BF4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26CACBD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53D5D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060C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Сторожевые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D252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837B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E57C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B11B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4575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70FE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2A3B392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FAE1A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FBFC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Тральщики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BFAC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139F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A0BC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3AB8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88E7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E7A6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063B18A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0B942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FB55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Охотники большие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BEF1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1340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6E35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D3E6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ECFA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201C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w:t>
            </w:r>
          </w:p>
        </w:tc>
      </w:tr>
      <w:tr w:rsidR="00983732" w:rsidRPr="00A3026E" w14:paraId="5D74939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D344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A71E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Охотники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1D33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196E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75AF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A566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28E7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0DA5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r>
      <w:tr w:rsidR="00983732" w:rsidRPr="00A3026E" w14:paraId="797C497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4F083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AB8D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2C76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9BC4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99AA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FF4B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B820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7D17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tc>
      </w:tr>
      <w:tr w:rsidR="00983732" w:rsidRPr="00A3026E" w14:paraId="100DB09E" w14:textId="77777777" w:rsidTr="007E425B">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301AD29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Тихоокеанский флот</w:t>
            </w:r>
          </w:p>
        </w:tc>
      </w:tr>
      <w:tr w:rsidR="00983732" w:rsidRPr="00A3026E" w14:paraId="410E108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3D54F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28BE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Миноносцы и лидеры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F2CC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6EAF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224C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9048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EEDD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7C35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r>
      <w:tr w:rsidR="00983732" w:rsidRPr="00A3026E" w14:paraId="4470CC9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9D447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95EC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большие и средние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4E8C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406B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3940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34ED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4C76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29BD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r>
      <w:tr w:rsidR="00983732" w:rsidRPr="00A3026E" w14:paraId="5B8FB4E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6575A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F555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ADED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413A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2F25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8CDE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0C56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1E51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r>
      <w:tr w:rsidR="00983732" w:rsidRPr="00A3026E" w14:paraId="1967DFC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1B9ED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97C4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Сторожевые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2091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3618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1CF1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264A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CE09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1E7D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156314D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0173E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7E96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Тральщики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25D7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7EBC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E0E5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7C9A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1286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6B0A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r>
      <w:tr w:rsidR="00983732" w:rsidRPr="00A3026E" w14:paraId="4AFA816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2240D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F14D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Охотники большие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F123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A6B7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AC4B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9C20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551B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BFA9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r w:rsidR="00983732" w:rsidRPr="00A3026E" w14:paraId="7794744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43059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A3C0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Охотники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DF85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DF27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C4BB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0E4F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D013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4963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r>
      <w:tr w:rsidR="00983732" w:rsidRPr="00A3026E" w14:paraId="7DABCE7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3DCAF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14E3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2429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14DB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FE59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77F7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2A9A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2BA2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w:t>
            </w:r>
          </w:p>
        </w:tc>
      </w:tr>
    </w:tbl>
    <w:p w14:paraId="431BBD5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1A3A6E1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Рассмотрение баланса намечаемого роста флота и вероятных потерь показывает, что если исходить из намеченной промышленностью программы военного года: миноносцы — состав будет оставаться почти на уровне 1940</w:t>
      </w:r>
      <w:r w:rsidRPr="00A3026E">
        <w:rPr>
          <w:rFonts w:ascii="Times New Roman" w:hAnsi="Times New Roman"/>
          <w:color w:val="000000" w:themeColor="text1"/>
          <w:sz w:val="16"/>
          <w:szCs w:val="16"/>
        </w:rPr>
        <w:noBreakHyphen/>
        <w:t>1941 гг., который крайне недостаточен; подлодки — состав уменьшится на 20 лодок, прирост не будет покрывать потерь; тральщики и сторожевые корабли — почти на недостаточном уровне 1940</w:t>
      </w:r>
      <w:r w:rsidRPr="00A3026E">
        <w:rPr>
          <w:rFonts w:ascii="Times New Roman" w:hAnsi="Times New Roman"/>
          <w:color w:val="000000" w:themeColor="text1"/>
          <w:sz w:val="16"/>
          <w:szCs w:val="16"/>
        </w:rPr>
        <w:noBreakHyphen/>
        <w:t>1941 гг., за исключением ТОФ, где положение еще более ухудшается из-за отсутствия поступления, непрерывная убыль будет прогрессировать; торпедные катера — резкое уменьшение состава почти на 35% по всем морям.</w:t>
      </w:r>
    </w:p>
    <w:p w14:paraId="4E9D715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Фактический состав боеспособных кораблей будет еще меньше, так как здесь не учитывается капитальный и средний ремонт.</w:t>
      </w:r>
    </w:p>
    <w:p w14:paraId="0913124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Действительная потребность</w:t>
      </w:r>
    </w:p>
    <w:p w14:paraId="3BB0A2D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Вышеприведенные цифры дают только фактическое положение, но не отражают действительную потребность флотов для решения поставленных задач.</w:t>
      </w:r>
    </w:p>
    <w:p w14:paraId="0264717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Если взять оперативную потребность по всем флотам и начислить среднюю вероятность потерь, то недостаток сил по наиболее нужным классам определится следующим расчетом: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6"/>
        <w:gridCol w:w="2057"/>
        <w:gridCol w:w="2294"/>
        <w:gridCol w:w="1918"/>
        <w:gridCol w:w="1127"/>
        <w:gridCol w:w="3029"/>
        <w:gridCol w:w="651"/>
      </w:tblGrid>
      <w:tr w:rsidR="00983732" w:rsidRPr="00A3026E" w14:paraId="3A56D43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61CE2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5D2D910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247A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3F11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Опера</w:t>
            </w:r>
            <w:r w:rsidRPr="00A3026E">
              <w:rPr>
                <w:rFonts w:ascii="Times New Roman" w:hAnsi="Times New Roman"/>
                <w:color w:val="000000" w:themeColor="text1"/>
                <w:sz w:val="16"/>
                <w:szCs w:val="16"/>
              </w:rPr>
              <w:softHyphen/>
              <w:t>тивная потреб</w:t>
            </w:r>
            <w:r w:rsidRPr="00A3026E">
              <w:rPr>
                <w:rFonts w:ascii="Times New Roman" w:hAnsi="Times New Roman"/>
                <w:color w:val="000000" w:themeColor="text1"/>
                <w:sz w:val="16"/>
                <w:szCs w:val="16"/>
              </w:rPr>
              <w:softHyphen/>
              <w:t>ность к 1 января 1942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5D3C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Возмеще</w:t>
            </w:r>
            <w:r w:rsidRPr="00A3026E">
              <w:rPr>
                <w:rFonts w:ascii="Times New Roman" w:hAnsi="Times New Roman"/>
                <w:color w:val="000000" w:themeColor="text1"/>
                <w:sz w:val="16"/>
                <w:szCs w:val="16"/>
              </w:rPr>
              <w:softHyphen/>
              <w:t>ние потерь за военный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9745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потреб</w:t>
            </w:r>
            <w:r w:rsidRPr="00A3026E">
              <w:rPr>
                <w:rFonts w:ascii="Times New Roman" w:hAnsi="Times New Roman"/>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231A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Факти</w:t>
            </w:r>
            <w:r w:rsidRPr="00A3026E">
              <w:rPr>
                <w:rFonts w:ascii="Times New Roman" w:hAnsi="Times New Roman"/>
                <w:color w:val="000000" w:themeColor="text1"/>
                <w:sz w:val="16"/>
                <w:szCs w:val="16"/>
              </w:rPr>
              <w:softHyphen/>
              <w:t>ческое наличие с учетом подачи за 1941 военный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7EF5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до</w:t>
            </w:r>
            <w:r w:rsidRPr="00A3026E">
              <w:rPr>
                <w:rFonts w:ascii="Times New Roman" w:hAnsi="Times New Roman"/>
                <w:color w:val="000000" w:themeColor="text1"/>
                <w:sz w:val="16"/>
                <w:szCs w:val="16"/>
              </w:rPr>
              <w:softHyphen/>
              <w:t>стает</w:t>
            </w:r>
          </w:p>
        </w:tc>
      </w:tr>
      <w:tr w:rsidR="00983732" w:rsidRPr="00A3026E" w14:paraId="6E9BFFF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1857E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1713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Крейсеры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22B1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B195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7391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5896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45BA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6E5E50A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B75D5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52F9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Миноносцы и лидеры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EC0D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8D8E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6569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385B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D882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w:t>
            </w:r>
          </w:p>
        </w:tc>
      </w:tr>
      <w:tr w:rsidR="00983732" w:rsidRPr="00A3026E" w14:paraId="3DBD757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49383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E612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большие и средние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1364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D502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A12F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632D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878C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w:t>
            </w:r>
          </w:p>
        </w:tc>
      </w:tr>
      <w:tr w:rsidR="00983732" w:rsidRPr="00A3026E" w14:paraId="212E976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50C2B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A571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Подлодки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D110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358C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1308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F259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1484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r>
      <w:tr w:rsidR="00983732" w:rsidRPr="00A3026E" w14:paraId="1190BEA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72E22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B7BB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Сторожевые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5EB2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A2E0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5732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E7AA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32A7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r>
      <w:tr w:rsidR="00983732" w:rsidRPr="00A3026E" w14:paraId="088F0B9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EE883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DCBF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Тральщики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657C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2958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E6DC1"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52A3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0E35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79</w:t>
            </w:r>
          </w:p>
        </w:tc>
      </w:tr>
      <w:tr w:rsidR="00983732" w:rsidRPr="00A3026E" w14:paraId="6DC4231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BBE75B"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78FE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Охотники большие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8AF3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7AFF2"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5A94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B3AB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8745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r>
      <w:tr w:rsidR="00983732" w:rsidRPr="00A3026E" w14:paraId="4408213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83225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A311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Охотники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AEB8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A19F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311F7"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506AD"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DDB6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r>
      <w:tr w:rsidR="00983732" w:rsidRPr="00A3026E" w14:paraId="5C9DA4E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EE35E9"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6EEB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05F0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AA89E"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3B92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1C0B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A056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268</w:t>
            </w:r>
          </w:p>
        </w:tc>
      </w:tr>
    </w:tbl>
    <w:p w14:paraId="26CCB24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Настоящая таблица показывает, что вариант мобплана, предлагаемый промышленностыо, ни в коей мере не удовлетворяет НКВМФ.</w:t>
      </w:r>
    </w:p>
    <w:p w14:paraId="15DF03CA"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Такая нехватка сил не может быть покрыта при современном уровне судостроения в первый военный год, однако должны быть приняты все меры с тем, чтобы последовательно восполнить нехватку кораблей наиболее нужных классов.</w:t>
      </w:r>
    </w:p>
    <w:p w14:paraId="27A11B40"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Предложения</w:t>
      </w:r>
    </w:p>
    <w:p w14:paraId="6A9F28E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восполнения недостающих кораблей и восполнения убыли военного года надо:</w:t>
      </w:r>
    </w:p>
    <w:p w14:paraId="76F24BF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 начала войны совершенно прекратить постройку линкоров и тяжелых крейсеров (проект № 69) на всех театрах, кроме Белого моря, где оставить достройку одного линкора для освоения постройки тяжелых кораблей для будущего. Всю освободившуюся мощность заводов направить на строительство легких сил и подлодок.</w:t>
      </w:r>
    </w:p>
    <w:p w14:paraId="485A09B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Сократить сроки постройки кораблей за счет введения твердого технологического процесса и утвержденных КО генеральных графиков постройки типовых кораблей, введения трех смен, накопления мобзапаса материалов, арматуры, механизмов и т. д.</w:t>
      </w:r>
    </w:p>
    <w:p w14:paraId="4133A565"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Установления очередности строительства кораблей военной программы с тем, чтобы еще больше организовать производство.</w:t>
      </w:r>
    </w:p>
    <w:p w14:paraId="755CED7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 счет уплотнения сроков строящихся кораблей и ликвидации больших кораблей произвести максимальное число новых закладок миноносцев, подлодок и тральщиков, обеспечив их заказом механизмов вооружения.</w:t>
      </w:r>
    </w:p>
    <w:p w14:paraId="090E6C36"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Расширить базу кораблестроения, привлечение заводов НКМорфлота, Речфлота и ГУСМП еще в мирное время для строительства вспомогательного флота (плавмастерские, десантные лихтера, килектора и т. д.) и малых боевых кораблей (подлодок, тральщиков, охотников и торпедных катеров).</w:t>
      </w:r>
    </w:p>
    <w:p w14:paraId="095A0AD8"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Расширить базу кораблестроения за счет развертывания новых верфей для малых кораблей на базе гражданских механических заводов, находящихся вблизи водных систем или на железнодорожной магистрали (Таганрог, Мариуполь, Коломна, Мурманск и т. д.).</w:t>
      </w:r>
    </w:p>
    <w:p w14:paraId="5E5EAEEC"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Особо уделить внимание Дальнему Востоку, где диспропорция боевого флота с тральщиками и сторожевыми кораблями увеличивается. Помимо учета перебросок по Севморпути (подлодки типа “К”) и по железной дороге (торпедные катера) необходимо в Хабаровске теперь же, в Совгавани, с момента подвода железной дороги расширить базу для строительства тральщиков и охотников.</w:t>
      </w:r>
    </w:p>
    <w:p w14:paraId="7169853F"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Прошу поручить аппарату Комитета обороны совместно с  НКВМФ, НКСП и другими наркоматами, могущими быть привлеченными к кораблестроению, проработать конкретные мероприятия для реализации вышеизложенных предложений, представляющих в отношении показанной недостачи потребность ВМФ в боевых кораблях на военный год.</w:t>
      </w:r>
    </w:p>
    <w:p w14:paraId="7829C934"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Военно-морского флота Союза ССР, адмирал Кузнецов.</w:t>
      </w:r>
    </w:p>
    <w:p w14:paraId="7618D1E3" w14:textId="77777777" w:rsidR="00DA459D" w:rsidRPr="00A3026E" w:rsidRDefault="00DA459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 РФ. Ф. 3. Оп. 46. Д. 557. Л. 82-89. Подлинник (18015).</w:t>
      </w:r>
    </w:p>
    <w:p w14:paraId="3138F75D" w14:textId="77777777" w:rsidR="00DA459D" w:rsidRPr="00A3026E" w:rsidRDefault="00DA459D" w:rsidP="00A3026E">
      <w:pPr>
        <w:spacing w:after="0" w:line="240" w:lineRule="auto"/>
        <w:jc w:val="both"/>
        <w:rPr>
          <w:rFonts w:ascii="Times New Roman" w:hAnsi="Times New Roman"/>
          <w:color w:val="000000" w:themeColor="text1"/>
          <w:sz w:val="16"/>
          <w:szCs w:val="16"/>
        </w:rPr>
      </w:pPr>
    </w:p>
    <w:p w14:paraId="71767509" w14:textId="77777777" w:rsidR="0014077F"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6874DAB2"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65F6C5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м Голиков впервые представил обстоятельный доклад о планах нападения Германии на СССР (2070,13).</w:t>
      </w:r>
    </w:p>
    <w:p w14:paraId="46FF684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F50CC5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на совещании выступил Г.К.Ж. с докладом "Характер современной наступательной операции". Первый удар - разгром трети-половины сил противника силами 85-100 дивизий, 4-5 мехкорпусов, 2-3 кавкорпусов и 30-35 авиадивизий. Писал Баграмян (2536,341).</w:t>
      </w:r>
    </w:p>
    <w:p w14:paraId="69BC80F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FAD8A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был подписан к печати плакат "Родина мать зовет" (2536,334).</w:t>
      </w:r>
    </w:p>
    <w:p w14:paraId="3FA6745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FC9F78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года вышел документ:</w:t>
      </w:r>
    </w:p>
    <w:p w14:paraId="322B0D8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«Командиру Либавской ВМБазы</w:t>
      </w:r>
    </w:p>
    <w:p w14:paraId="38B1DEB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контр-адмиралу т. Трайнину</w:t>
      </w:r>
    </w:p>
    <w:p w14:paraId="1AB9C59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копия: Командующему ВВС КБФ генерал-майору авиации</w:t>
      </w:r>
    </w:p>
    <w:p w14:paraId="63DDBA5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 Самохину</w:t>
      </w:r>
    </w:p>
    <w:p w14:paraId="4C41C9C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№00792</w:t>
      </w:r>
    </w:p>
    <w:p w14:paraId="12E6F06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Командующий КБФ контр-адмирал т. Трибуц приказал немедленно уволить в запас личный состав б. Латвийского флота (ВВС) — врача, бывшего командира 8 эскадрильи Шергантовского и 12 человек матросов, состоящих на службе в 41 а. э.</w:t>
      </w:r>
    </w:p>
    <w:p w14:paraId="40A049D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ВРИД начальника орг. — стр. управления КБФ капитан-лейтенант /Недодаев/» (11710,413).</w:t>
      </w:r>
    </w:p>
    <w:p w14:paraId="603ED64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5AFAC66"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1F75A4E4"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7F437E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1940-го Берия подписал приказ № 001606 «О проверке состояния Печорского железнодорожного лагеря НКВД», где отмечалось, что «в результате преступного отношения к бытовому устройству и трудовому использованию заключенных со стороны руководства Печорского железнодорожного лагеря среди заключенных лагеря имеет место значительная заболеваемость и смертность. Начальник лагеря Большаков и начальник оперативно-чекистского отдела лагеря Югов своевременно не информировали НКВД СССР о тяжелом состоянии лагеря и не приняли необходимых мер к ликвидации создавшегося положения»; этим же приказом Г. П. Большаков был отстранен от должности, а врио начальника Печорлага стал зам. начальника ГУЖДС майор ГБ С. А. Чесноков, которому предписывалось немедленно завезти автотранспортом продовольствие, вещдовольствие, белье и медикаменты на участки Кожва-Синья и Абезь, ввести для всех ослабленных заключенных усиленные нормы питания, развернуть жилищно-бытовое и лечебно-санитарное строительство, в кратчайший срок обеспечив лагерникам минимальные санитарно-бытовые условия. Заместителю начальника ГУЛАГа П. В. Сафонову и зам. начальника ГУЖДС П. В. Худякову было приказано обеспечить немедленную отправку в Печорлаг 150 тонн свежего мяса, 15 тонн сливочного масла, 15 вагонов квашеной капусты, 30 тонн дрожжей и достаточного количества овощей для больных заключенных. Бригаде сотрудников НКВД во главе с начальником Политотдела ГУЛАГа капитаном ГБ М. Е. Горбачевым поручалось в двухмесячный срок выявить причины заболеваемости и большой смертности заключенных для привлечения виновных к уголовной ответственности. Наконец, этим же приказом начальник ГУЖДС Н. А. Френкель был отозван со стройки № 107 (Прикаспийский ИТЛ, строивший железнодорожную линию в Азербайджане) и командирован в Печорлаг для обеспечения своевременного строительства Северо-Печорской магистрали (7560).</w:t>
      </w:r>
    </w:p>
    <w:p w14:paraId="5B5976E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2344E5F"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7BAF580B"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5C6C30F1" w14:textId="77777777" w:rsidR="00D4018A" w:rsidRPr="00A3026E" w:rsidRDefault="00D4018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25 декабря 1940 два британских Grumman Martlets из 804-й морской эскадрильи королевских флота Air Arm сбивают немецкий Junkers Ju 88 у побережья Скапа-Флоу. Это первая воздушная победа в Европе Grumman F4F Wildcat (20795).</w:t>
      </w:r>
    </w:p>
    <w:p w14:paraId="3D9E66B7" w14:textId="77777777" w:rsidR="00D4018A" w:rsidRPr="00A3026E" w:rsidRDefault="00D4018A" w:rsidP="00A3026E">
      <w:pPr>
        <w:spacing w:after="0" w:line="240" w:lineRule="auto"/>
        <w:jc w:val="both"/>
        <w:rPr>
          <w:rFonts w:ascii="Times New Roman" w:hAnsi="Times New Roman"/>
          <w:color w:val="0070C0"/>
          <w:sz w:val="16"/>
          <w:szCs w:val="16"/>
        </w:rPr>
      </w:pPr>
    </w:p>
    <w:p w14:paraId="10D18D6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декабря 1940 в Англии организован Первый Канадский корпус (4962).</w:t>
      </w:r>
    </w:p>
    <w:p w14:paraId="522AF93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55A8A247"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1666711"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08CD8E3" w14:textId="77777777" w:rsidR="00E41268" w:rsidRPr="00A3026E" w:rsidRDefault="00E4126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26 декабря 1940 А. И. Шахурин, проведя консульта</w:t>
      </w:r>
      <w:r w:rsidRPr="00A3026E">
        <w:rPr>
          <w:color w:val="000000" w:themeColor="text1"/>
          <w:sz w:val="16"/>
          <w:szCs w:val="16"/>
        </w:rPr>
        <w:softHyphen/>
        <w:t>ции с работниками наркомата, обратился к нарко</w:t>
      </w:r>
      <w:r w:rsidRPr="00A3026E">
        <w:rPr>
          <w:color w:val="000000" w:themeColor="text1"/>
          <w:sz w:val="16"/>
          <w:szCs w:val="16"/>
        </w:rPr>
        <w:softHyphen/>
        <w:t>му вооружений Б. Л. Ванникову с просьбой дать ука</w:t>
      </w:r>
      <w:r w:rsidRPr="00A3026E">
        <w:rPr>
          <w:color w:val="000000" w:themeColor="text1"/>
          <w:sz w:val="16"/>
          <w:szCs w:val="16"/>
        </w:rPr>
        <w:softHyphen/>
        <w:t>зания о немедленной поставке пушек МП-6 в ОКБ Ильюшина. Шахурин напомнил Ванникову, что «По</w:t>
      </w:r>
      <w:r w:rsidRPr="00A3026E">
        <w:rPr>
          <w:color w:val="000000" w:themeColor="text1"/>
          <w:sz w:val="16"/>
          <w:szCs w:val="16"/>
        </w:rPr>
        <w:softHyphen/>
        <w:t>становление СНК СССР и ЦК ВКП(б) № 2497-1117 от 10.12 с.г. обязывало наркомат вооружения и ОКБ-16 передать к 20.12 с.г. главному конструктору тов. Ильюшину 2 крыльевые пушки Таубина—Бабурина калибра 23 мм. До настоящего времени пушки не переданы, что срывает сроки выпуска самолета на государственные испытания».</w:t>
      </w:r>
    </w:p>
    <w:p w14:paraId="06692A8D" w14:textId="77777777" w:rsidR="00E41268" w:rsidRPr="00A3026E" w:rsidRDefault="00E4126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этот же день пушка МП-6 зав. № 3 вместе с цилиндром перезарядки «изготовления завода № 39 по просьбе и чертежам ОКБ-16» была пере</w:t>
      </w:r>
      <w:r w:rsidRPr="00A3026E">
        <w:rPr>
          <w:color w:val="000000" w:themeColor="text1"/>
          <w:sz w:val="16"/>
          <w:szCs w:val="16"/>
        </w:rPr>
        <w:softHyphen/>
        <w:t>дана «представителю ОКБ-16 тов. Горностаеву В. П. /.../ для срочного производства доделок силами ОКБ-16». После доработок пушку следовало воз</w:t>
      </w:r>
      <w:r w:rsidRPr="00A3026E">
        <w:rPr>
          <w:color w:val="000000" w:themeColor="text1"/>
          <w:sz w:val="16"/>
          <w:szCs w:val="16"/>
        </w:rPr>
        <w:softHyphen/>
        <w:t>вратить на завод № 39 к 10.00 28 декабря (17500).</w:t>
      </w:r>
    </w:p>
    <w:p w14:paraId="0B920B8A" w14:textId="77777777" w:rsidR="00E41268" w:rsidRPr="00A3026E" w:rsidRDefault="00E41268" w:rsidP="00A3026E">
      <w:pPr>
        <w:spacing w:after="0" w:line="240" w:lineRule="auto"/>
        <w:jc w:val="both"/>
        <w:rPr>
          <w:rFonts w:ascii="Times New Roman" w:eastAsia="Times New Roman" w:hAnsi="Times New Roman"/>
          <w:color w:val="000000" w:themeColor="text1"/>
          <w:sz w:val="16"/>
          <w:szCs w:val="16"/>
          <w:lang w:eastAsia="ru-RU"/>
        </w:rPr>
      </w:pPr>
    </w:p>
    <w:p w14:paraId="7CD155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декабря 1940 вышло распоряжение ПГУ N 9560с о том, что дальнейшее производство ДБ-3Ф на 39 заводе прекращается и задел передается заводу 126 (2514).</w:t>
      </w:r>
    </w:p>
    <w:p w14:paraId="05DBE4B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FE1D6E2" w14:textId="77777777" w:rsidR="006810F9" w:rsidRPr="00A3026E" w:rsidRDefault="006810F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декабря 1940 г. по распоряжению ПГУ № 9560с дальнейшее производство самолетов ДБ-3Ф на заводе № 39 прекращается и задел передается заводу № 126. 55 машин передается комплектно, в разобранном виде в готовых для сборки деталях и агрегатах, а остальной задел – 13 условных машин в виде отдельных некомплектных агрегатов и деталей (15223).</w:t>
      </w:r>
    </w:p>
    <w:p w14:paraId="75FD81DA" w14:textId="77777777" w:rsidR="006810F9" w:rsidRPr="00A3026E" w:rsidRDefault="006810F9" w:rsidP="00A3026E">
      <w:pPr>
        <w:shd w:val="clear" w:color="auto" w:fill="FFFFFF"/>
        <w:spacing w:after="0" w:line="240" w:lineRule="auto"/>
        <w:jc w:val="both"/>
        <w:rPr>
          <w:rFonts w:ascii="Times New Roman" w:hAnsi="Times New Roman"/>
          <w:color w:val="000000" w:themeColor="text1"/>
          <w:sz w:val="16"/>
          <w:szCs w:val="16"/>
        </w:rPr>
      </w:pPr>
    </w:p>
    <w:p w14:paraId="196B7B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декабря 1940 закончились заводские испытания ПБ 100 2М-105, которые шли с 10 декабря 1940 (2090,232).</w:t>
      </w:r>
    </w:p>
    <w:p w14:paraId="4B73D8C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65081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26 декабря 1940 по 26 января 1941 проходили гос. испытания ПБ 100 2М-105 (2090,232).</w:t>
      </w:r>
    </w:p>
    <w:p w14:paraId="4981BD0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13CFF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декабря 1940 года зам. ст. военпреда на заводе NN 1 и 51 по опытным работам в/инженер 2 ранга Нахманович писал письмо N 01653.</w:t>
      </w:r>
    </w:p>
    <w:p w14:paraId="6C208C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Донесение</w:t>
      </w:r>
    </w:p>
    <w:p w14:paraId="37C2E2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состоянии опытного строительства на 25 декабря 1940 года</w:t>
      </w:r>
    </w:p>
    <w:p w14:paraId="4A85C3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N 1</w:t>
      </w:r>
    </w:p>
    <w:p w14:paraId="0896AF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 самолету Миг-3-АМ 35А</w:t>
      </w:r>
    </w:p>
    <w:p w14:paraId="17E59B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Заканчивается в цехе самолет с мотором АМ-37 N 6002, заканчивается постановка самолета с мотором АМ 35А, но с редукцией 0,732 самолет N 20; установлены на двух самолетах винты ВИШ-61 П, но в силу узости лопастей эти винты оказались легкими.</w:t>
      </w:r>
    </w:p>
    <w:p w14:paraId="5E89C0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Прибыл новый винт комбината 150 типа АВ 105, будет установлен на самолет.</w:t>
      </w:r>
    </w:p>
    <w:p w14:paraId="659B95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Разрабатываются чертежи по установке на самолет МИГ-3 2-х пулеметов Таубина кал. 12,7 мм.</w:t>
      </w:r>
    </w:p>
    <w:p w14:paraId="1CB63F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Качинской школе (Крым) испытания самолета с улучшенной дальностью тормозятся из-за снежной погоды и невозможности летать.</w:t>
      </w:r>
    </w:p>
    <w:p w14:paraId="16AC2A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Самолет ДИС-2АМ37</w:t>
      </w:r>
    </w:p>
    <w:p w14:paraId="65DE3B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Чертежи закончены на 44-45%.</w:t>
      </w:r>
    </w:p>
    <w:p w14:paraId="199340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410CB8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Завод N 51</w:t>
      </w:r>
    </w:p>
    <w:p w14:paraId="2005F3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самолету 185</w:t>
      </w:r>
    </w:p>
    <w:p w14:paraId="1F5A62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Заканчивается выпуском в производстве самолет И-187-М81. Все дефекты производственного характера на самолете устраняются.</w:t>
      </w:r>
    </w:p>
    <w:p w14:paraId="699286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Самолеты И-185 с М-81 и с М-90 находятся в сборочном цехе...</w:t>
      </w:r>
    </w:p>
    <w:p w14:paraId="35370E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Самолет с увеличением дальности идет очень туго...</w:t>
      </w:r>
    </w:p>
    <w:p w14:paraId="1C2650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ТИС-2Ам37</w:t>
      </w:r>
    </w:p>
    <w:p w14:paraId="04EDD4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Проведена повторная макетная комиссия по передней и задней кабине самолета....(3488,77-79).</w:t>
      </w:r>
    </w:p>
    <w:p w14:paraId="32FFBAB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7AB506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декабря 1940 с письмом № 26/503 Зам. Нач. ОКО Жиганова Зам. Нач. 7 ГУ НКАП Шишкину был направлен Отчет о ДВИЖЕНИИ ОПЫТНЫХ РАБОТ В ОКО ЗАВОДА № 135 на 25 декабря 1940 г.</w:t>
      </w:r>
    </w:p>
    <w:p w14:paraId="2239642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маш..330 (Заказ 360)</w:t>
      </w:r>
    </w:p>
    <w:p w14:paraId="0EC3FDF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Монтаж машины за исключением отсутствующих винта с коком, пушки и рации - закончен и машина подготавливается к отправке на завод № 289.</w:t>
      </w:r>
    </w:p>
    <w:p w14:paraId="0FF3BA3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 ББ-1 МАИ</w:t>
      </w:r>
    </w:p>
    <w:p w14:paraId="143C7C2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Продолжилось проектирование изменяемых узлов по всем группам</w:t>
      </w:r>
    </w:p>
    <w:p w14:paraId="6F7363F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Техническая готовность запущенных в производство узлов следующая:</w:t>
      </w:r>
    </w:p>
    <w:p w14:paraId="38CDFFD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Фюзеляж</w:t>
      </w:r>
    </w:p>
    <w:p w14:paraId="51DD05D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Стабилизатор</w:t>
      </w:r>
    </w:p>
    <w:p w14:paraId="2736EDE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Руль глубины</w:t>
      </w:r>
    </w:p>
    <w:p w14:paraId="015202C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Крылья</w:t>
      </w:r>
    </w:p>
    <w:p w14:paraId="42422F5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Щитки крыла</w:t>
      </w:r>
    </w:p>
    <w:p w14:paraId="001DFCC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Элероны</w:t>
      </w:r>
    </w:p>
    <w:p w14:paraId="19777F7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Костыль</w:t>
      </w:r>
    </w:p>
    <w:p w14:paraId="1861C6E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рулем глубины</w:t>
      </w:r>
    </w:p>
    <w:p w14:paraId="7A188FD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Передняя и средняя части фонаря</w:t>
      </w:r>
    </w:p>
    <w:p w14:paraId="1B5354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Машина ДИС</w:t>
      </w:r>
    </w:p>
    <w:p w14:paraId="66DD88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Конструирование: Продолжается разработка конструкции агрегатов</w:t>
      </w:r>
    </w:p>
    <w:p w14:paraId="5BC27E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Макет закончен, ожидается приезд комиссии (874,83).</w:t>
      </w:r>
    </w:p>
    <w:p w14:paraId="4F72A21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BC106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декабря 1940 Филин и Федоров подписали Протокол № 13 заседание Техсовета при НИИ ВВС (Протокол № 13) от 2 декабря 1940 в Чкаловской, Ярославской ж/д по вопросу "О результатах гос. испытаний И-26-3 с М-105П с винтом ВИШ-61 конструкции т. А.С.Я., постройки завода № 115 на штопор, пикирование, пилотаж, устойчивость и отстрел оружия.</w:t>
      </w:r>
    </w:p>
    <w:p w14:paraId="371D74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Техсовет НИИ ВВС под председательством Филина в составе члена Техсовета гмв Федорова в присутствии директора завода № 115 т. Ястребова, зам. ГК т. Виганд заслушала доклад вед. инженера НИИ ВВС КА ви2р т. Степанченка, содоклады вед. л. Стефановского и оценку свойств с-та от участвующих л и наземных испытаний.</w:t>
      </w:r>
    </w:p>
    <w:p w14:paraId="0016A8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Представленный на испытания 3-й экх. С-та И-26 М-105П является копией 2-го экз. с-та И-26, проходившего госиспытания в НИИ ВВС с 1 по 1 июня 1940 и незакончевшего их вследствие недостаточной прочности крыла и недоведенности конструкции.</w:t>
      </w:r>
    </w:p>
    <w:p w14:paraId="0051C4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3-й экз. И-26 поступил на госиспытания в НИИ ВВС 13 октября 1940 и закончил их 12 ноября 1940 г.</w:t>
      </w:r>
    </w:p>
    <w:p w14:paraId="5BE379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был испытан на пикирование до 635 км/час по прибору, с перегрузкой до 4,5, на штопор до 3-х витков, на выполнение всех фигур высшего пилотажа и устойчивость.</w:t>
      </w:r>
    </w:p>
    <w:p w14:paraId="40BC53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 проведен отстрел вооружения на земле и в воздухе.</w:t>
      </w:r>
    </w:p>
    <w:p w14:paraId="13EC16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с-та И-26 экз. № 3 работало безотказно.</w:t>
      </w:r>
    </w:p>
    <w:p w14:paraId="6324DB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части ВМГ (перегрев масла при работе мотора на номинальной мощности, неравномерность выработки горючего из баков) и шасси (невозможность уборки шасси на наивыгоднейшей скорости набора высоты 250 км/час) с-т остался недоведенным.</w:t>
      </w:r>
    </w:p>
    <w:p w14:paraId="180A00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не имеет радиостанции и установка ее не предусмотрена (отсутствует экранировка и металлизация). На с-те нет ночных посадочных средств и не предусмотрено место для фотоаппарата.</w:t>
      </w:r>
    </w:p>
    <w:p w14:paraId="52C539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w:t>
      </w:r>
    </w:p>
    <w:p w14:paraId="733081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 И-26 экз. № 3 конструкции А.С.Я., проверенный в части стрелково-пушечного вооружения, а также на пилотаж, пикирование до скорости 635 км/час и штопор до 3-х витков считать прошедшим госиспытания.</w:t>
      </w:r>
    </w:p>
    <w:p w14:paraId="26DFC8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720FDF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Обратить внимание НКАП, что выполнение Постановления КО № 377 от 16 сентября 1940 об установке радиостанции РСИ-4 на серийные с-ты И-26 с 1 января 1941 не обеспечено, т.к. и 3-й экз. опытного ст-та И-26 был предъявдлен на госиспытания без рации и установка ее на с-т не предусмотрена.</w:t>
      </w:r>
    </w:p>
    <w:p w14:paraId="660EAF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Устранение всех дефектов, выявленных во время госиспытаний опытных образцов, провести на всех выпущенных и выпускаемых с-тах И-26 в сроки по отдельному соглашению с НКАП ГУ ВВС КА.</w:t>
      </w:r>
    </w:p>
    <w:p w14:paraId="5C6B41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Необходимо на с-те И-26 выполнить постановление КО № 374 от 7 сентября 1940.</w:t>
      </w:r>
    </w:p>
    <w:p w14:paraId="19C0AC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Подписали Филин, Федоров,</w:t>
      </w:r>
    </w:p>
    <w:p w14:paraId="0FA978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Верно Гребенников 26 декабря 1940 (844).</w:t>
      </w:r>
    </w:p>
    <w:p w14:paraId="737B76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декабря 1940 Нач. НИИ ВВС КА Филин подписал:</w:t>
      </w:r>
    </w:p>
    <w:p w14:paraId="627944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Отчет по госиспытаниям опытного одноместного истребителя И-26 М-105П № 3 с винтом ВИШ-61 Д 3 м конструкции и А.С.Я. постройки завода № 115 на пикироване, штопор, отстрел вооружения, устойчивость и пилотаж</w:t>
      </w:r>
    </w:p>
    <w:p w14:paraId="6157E7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Ответственный исполнитель нач. отд. ви1р Васвод</w:t>
      </w:r>
    </w:p>
    <w:p w14:paraId="0450CB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 ви2р А.Т.Степанец</w:t>
      </w:r>
    </w:p>
    <w:p w14:paraId="2AA5D5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 п/п Стефановский</w:t>
      </w:r>
    </w:p>
    <w:p w14:paraId="36F98B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Объект испытаний:</w:t>
      </w:r>
    </w:p>
    <w:p w14:paraId="1E6653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Отличия экз. № 3 от экз. № 2</w:t>
      </w:r>
    </w:p>
    <w:p w14:paraId="568BEE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прочность носка крыла доведена до 107%</w:t>
      </w:r>
    </w:p>
    <w:p w14:paraId="513B90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увеличено давление в баллонах с 40 до 50 атм. Для обеспечения уборки шасси на взлете</w:t>
      </w:r>
    </w:p>
    <w:p w14:paraId="7517EC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кабина оборудована вентиляцией</w:t>
      </w:r>
    </w:p>
    <w:p w14:paraId="31D569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исключено попадание гильз и звеньев в стабилизатор</w:t>
      </w:r>
    </w:p>
    <w:p w14:paraId="634ED8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увеличен запас патронов до 750 шт. для пулеметов и до 135 шт. для пушки</w:t>
      </w:r>
    </w:p>
    <w:p w14:paraId="62E434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усилены цилиндры амртизаторов шасси и замка подъемника</w:t>
      </w:r>
    </w:p>
    <w:p w14:paraId="67C360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установлены амортизаторы для быстрого открытия фонаря кабины</w:t>
      </w:r>
    </w:p>
    <w:p w14:paraId="4D5227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улучшен подход к хвостовой части фюзеляжа, установлен люк</w:t>
      </w:r>
    </w:p>
    <w:p w14:paraId="63CA64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с-та увеличен на 74,5 кг, а вес полезной нагрузки за счет патронов на 25,5 кг (всего на 100 кг)</w:t>
      </w:r>
    </w:p>
    <w:p w14:paraId="66873E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Участники испытаний: Максимов, ви2р Степанец,</w:t>
      </w:r>
    </w:p>
    <w:p w14:paraId="6D6992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 Стефановский, к-н ...Иванов, берлин, Красовский, Турчак</w:t>
      </w:r>
    </w:p>
    <w:p w14:paraId="062AE0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техник с-та Сбитнев, Мякинина, Аверьянов, Иванников</w:t>
      </w:r>
    </w:p>
    <w:p w14:paraId="35E57A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облета Груздев, Прошаков, Кубышкин</w:t>
      </w:r>
    </w:p>
    <w:p w14:paraId="3F9F2D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Весовые данные:</w:t>
      </w:r>
    </w:p>
    <w:p w14:paraId="58A69F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 с парашютом 90 кг</w:t>
      </w:r>
    </w:p>
    <w:p w14:paraId="0B3A4C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горючее 305</w:t>
      </w:r>
    </w:p>
    <w:p w14:paraId="56846A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 30</w:t>
      </w:r>
    </w:p>
    <w:p w14:paraId="310829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патроны ШКАС (1500) 49,5</w:t>
      </w:r>
    </w:p>
    <w:p w14:paraId="213A32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снаряды для пушки ШВАК (135) 29,9</w:t>
      </w:r>
    </w:p>
    <w:p w14:paraId="50ADCC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аккумулятор 9</w:t>
      </w:r>
    </w:p>
    <w:p w14:paraId="369A88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511,7</w:t>
      </w:r>
    </w:p>
    <w:p w14:paraId="6162DF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2801 (ранее 2700 кг)</w:t>
      </w:r>
    </w:p>
    <w:p w14:paraId="291E43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Увеличение веса за счет:</w:t>
      </w:r>
    </w:p>
    <w:p w14:paraId="0906CE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увеличен запас патронов 26,5 кг</w:t>
      </w:r>
    </w:p>
    <w:p w14:paraId="6536C0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положенные в носке крыла и р/высоты грузы повышают критическую скорость флаттера - 16 кг</w:t>
      </w:r>
    </w:p>
    <w:p w14:paraId="008472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усиление носка крыла, обшивки крыла, замков шасси и устранение дефектов - 58,5 кг</w:t>
      </w:r>
    </w:p>
    <w:p w14:paraId="741DFE1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доступен для л строевых частей ВВС средней и нижесредней квалификации.</w:t>
      </w:r>
    </w:p>
    <w:p w14:paraId="3DA9CA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Раскрутки винта на пикировании не было</w:t>
      </w:r>
    </w:p>
    <w:p w14:paraId="35C364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Усилия на ручке для вывода из пикирования незначительные</w:t>
      </w:r>
    </w:p>
    <w:p w14:paraId="23F3BC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Изменить оформление кабины, поставить боковую панель</w:t>
      </w:r>
    </w:p>
    <w:p w14:paraId="588C81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Стрелково-пушечное вооружение работало безотказно</w:t>
      </w:r>
    </w:p>
    <w:p w14:paraId="215526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Требование о доводке ВМГ не выполнено</w:t>
      </w:r>
    </w:p>
    <w:p w14:paraId="5AA455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Спецоборудование ТТТ не удовлетворяет.</w:t>
      </w:r>
    </w:p>
    <w:p w14:paraId="6D5F62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Выводы отчега по госиспытаниям И-26 № 3 и решение Техсовета НИИ ВВС КА по быстрейшей доводкне спецоборудования не реализованы</w:t>
      </w:r>
    </w:p>
    <w:p w14:paraId="7F4F20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9A642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С-т И-26 М-105П с винтом ВИШ-61 № 3 конструкции ГССТ, д.т.н. и А.С.Я. производства з-да № 115 считать прошедшим ГИ удовлетворительно</w:t>
      </w:r>
    </w:p>
    <w:p w14:paraId="1A58C3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5A636B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Просить НКАП т. А.И.Ш. обязать ГК с-та И-26 А.С.Я. и завод № 115:</w:t>
      </w:r>
    </w:p>
    <w:p w14:paraId="332FFA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обеспечить уборку шасси на скорости, требуемой ТТТ</w:t>
      </w:r>
    </w:p>
    <w:p w14:paraId="52A047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обеспечить прочность и надежность на пикировании щитков шасси и крышки фонаря кабины на всех выпускаемых с-тах И-26</w:t>
      </w:r>
    </w:p>
    <w:p w14:paraId="69F572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установить на с-те колеса согласно сортаменту НКАП</w:t>
      </w:r>
    </w:p>
    <w:p w14:paraId="083B17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довести ВМГ</w:t>
      </w:r>
    </w:p>
    <w:p w14:paraId="5E0DE0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привести спецоборудование с-та в полное соответствие с существующими ТТТ</w:t>
      </w:r>
    </w:p>
    <w:p w14:paraId="556004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Подписал Филин 6 декабря 1940 (844).</w:t>
      </w:r>
    </w:p>
    <w:p w14:paraId="5F97F23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3340F88" w14:textId="77777777" w:rsidR="006810F9" w:rsidRPr="00A3026E" w:rsidRDefault="006810F9" w:rsidP="00A3026E">
      <w:pPr>
        <w:pStyle w:val="26"/>
        <w:shd w:val="clear" w:color="auto" w:fill="auto"/>
        <w:spacing w:after="0" w:line="240" w:lineRule="auto"/>
        <w:ind w:firstLine="0"/>
        <w:rPr>
          <w:rStyle w:val="aff8"/>
          <w:rFonts w:ascii="Times New Roman" w:cs="Times New Roman"/>
          <w:b w:val="0"/>
          <w:color w:val="000000" w:themeColor="text1"/>
          <w:spacing w:val="0"/>
          <w:sz w:val="16"/>
          <w:szCs w:val="16"/>
        </w:rPr>
      </w:pPr>
      <w:r w:rsidRPr="00A3026E">
        <w:rPr>
          <w:rStyle w:val="aff8"/>
          <w:rFonts w:ascii="Times New Roman" w:cs="Times New Roman"/>
          <w:b w:val="0"/>
          <w:color w:val="000000" w:themeColor="text1"/>
          <w:spacing w:val="0"/>
          <w:sz w:val="16"/>
          <w:szCs w:val="16"/>
        </w:rPr>
        <w:t>26 декабря</w:t>
      </w:r>
      <w:r w:rsidRPr="00A3026E">
        <w:rPr>
          <w:rFonts w:ascii="Times New Roman" w:cs="Times New Roman"/>
          <w:color w:val="000000" w:themeColor="text1"/>
          <w:spacing w:val="0"/>
        </w:rPr>
        <w:t xml:space="preserve"> 1940 начальник </w:t>
      </w:r>
      <w:r w:rsidRPr="00A3026E">
        <w:rPr>
          <w:rStyle w:val="aff8"/>
          <w:rFonts w:ascii="Times New Roman" w:cs="Times New Roman"/>
          <w:b w:val="0"/>
          <w:color w:val="000000" w:themeColor="text1"/>
          <w:spacing w:val="0"/>
          <w:sz w:val="16"/>
          <w:szCs w:val="16"/>
        </w:rPr>
        <w:t>НИИ ВВС</w:t>
      </w:r>
      <w:r w:rsidRPr="00A3026E">
        <w:rPr>
          <w:rFonts w:ascii="Times New Roman" w:cs="Times New Roman"/>
          <w:color w:val="000000" w:themeColor="text1"/>
          <w:spacing w:val="0"/>
        </w:rPr>
        <w:t xml:space="preserve"> генерал-майором А.И. Фи</w:t>
      </w:r>
      <w:r w:rsidRPr="00A3026E">
        <w:rPr>
          <w:rFonts w:ascii="Times New Roman" w:cs="Times New Roman"/>
          <w:color w:val="000000" w:themeColor="text1"/>
          <w:spacing w:val="0"/>
        </w:rPr>
        <w:softHyphen/>
      </w:r>
      <w:r w:rsidRPr="00A3026E">
        <w:rPr>
          <w:rStyle w:val="aff8"/>
          <w:rFonts w:ascii="Times New Roman" w:cs="Times New Roman"/>
          <w:b w:val="0"/>
          <w:color w:val="000000" w:themeColor="text1"/>
          <w:spacing w:val="0"/>
          <w:sz w:val="16"/>
          <w:szCs w:val="16"/>
        </w:rPr>
        <w:t>линым</w:t>
      </w:r>
      <w:r w:rsidRPr="00A3026E">
        <w:rPr>
          <w:rFonts w:ascii="Times New Roman" w:cs="Times New Roman"/>
          <w:color w:val="000000" w:themeColor="text1"/>
          <w:spacing w:val="0"/>
        </w:rPr>
        <w:t xml:space="preserve"> уже после осмотра макета подписал ТТТ к самолету ТИС </w:t>
      </w:r>
      <w:r w:rsidRPr="00A3026E">
        <w:rPr>
          <w:rStyle w:val="aff8"/>
          <w:rFonts w:ascii="Times New Roman" w:cs="Times New Roman"/>
          <w:b w:val="0"/>
          <w:color w:val="000000" w:themeColor="text1"/>
          <w:spacing w:val="0"/>
          <w:sz w:val="16"/>
          <w:szCs w:val="16"/>
        </w:rPr>
        <w:t>2АМ-37.</w:t>
      </w:r>
      <w:r w:rsidRPr="00A3026E">
        <w:rPr>
          <w:rFonts w:ascii="Times New Roman" w:cs="Times New Roman"/>
          <w:color w:val="000000" w:themeColor="text1"/>
          <w:spacing w:val="0"/>
        </w:rPr>
        <w:t xml:space="preserve"> 3 января 1941 года начальник </w:t>
      </w:r>
      <w:r w:rsidRPr="00A3026E">
        <w:rPr>
          <w:rStyle w:val="aff8"/>
          <w:rFonts w:ascii="Times New Roman" w:cs="Times New Roman"/>
          <w:b w:val="0"/>
          <w:color w:val="000000" w:themeColor="text1"/>
          <w:spacing w:val="0"/>
          <w:sz w:val="16"/>
          <w:szCs w:val="16"/>
        </w:rPr>
        <w:t>ВВС</w:t>
      </w:r>
      <w:r w:rsidRPr="00A3026E">
        <w:rPr>
          <w:rFonts w:ascii="Times New Roman" w:cs="Times New Roman"/>
          <w:color w:val="000000" w:themeColor="text1"/>
          <w:spacing w:val="0"/>
        </w:rPr>
        <w:t xml:space="preserve"> генерал-лейтенантом П.</w:t>
      </w:r>
      <w:r w:rsidRPr="00A3026E">
        <w:rPr>
          <w:rStyle w:val="aff8"/>
          <w:rFonts w:ascii="Times New Roman" w:cs="Times New Roman"/>
          <w:b w:val="0"/>
          <w:color w:val="000000" w:themeColor="text1"/>
          <w:spacing w:val="0"/>
          <w:sz w:val="16"/>
          <w:szCs w:val="16"/>
        </w:rPr>
        <w:t>В.</w:t>
      </w:r>
      <w:r w:rsidRPr="00A3026E">
        <w:rPr>
          <w:rFonts w:ascii="Times New Roman" w:cs="Times New Roman"/>
          <w:color w:val="000000" w:themeColor="text1"/>
          <w:spacing w:val="0"/>
        </w:rPr>
        <w:t xml:space="preserve"> Рычаго</w:t>
      </w:r>
      <w:r w:rsidRPr="00A3026E">
        <w:rPr>
          <w:rStyle w:val="aff8"/>
          <w:rFonts w:ascii="Times New Roman" w:cs="Times New Roman"/>
          <w:b w:val="0"/>
          <w:color w:val="000000" w:themeColor="text1"/>
          <w:spacing w:val="0"/>
          <w:sz w:val="16"/>
          <w:szCs w:val="16"/>
        </w:rPr>
        <w:t>в</w:t>
      </w:r>
      <w:r w:rsidRPr="00A3026E">
        <w:rPr>
          <w:rFonts w:ascii="Times New Roman" w:cs="Times New Roman"/>
          <w:color w:val="000000" w:themeColor="text1"/>
          <w:spacing w:val="0"/>
        </w:rPr>
        <w:t xml:space="preserve"> утвердил ТТТ к самолету ТИС </w:t>
      </w:r>
      <w:r w:rsidRPr="00A3026E">
        <w:rPr>
          <w:rStyle w:val="aff8"/>
          <w:rFonts w:ascii="Times New Roman" w:cs="Times New Roman"/>
          <w:b w:val="0"/>
          <w:color w:val="000000" w:themeColor="text1"/>
          <w:spacing w:val="0"/>
          <w:sz w:val="16"/>
          <w:szCs w:val="16"/>
        </w:rPr>
        <w:t>2АМ-37.</w:t>
      </w:r>
    </w:p>
    <w:p w14:paraId="5F44AF4B" w14:textId="77777777" w:rsidR="006810F9" w:rsidRPr="00A3026E" w:rsidRDefault="006810F9"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Работу по формированию ТТТ выпол</w:t>
      </w:r>
      <w:r w:rsidRPr="00A3026E">
        <w:rPr>
          <w:rFonts w:ascii="Times New Roman" w:cs="Times New Roman"/>
          <w:color w:val="000000" w:themeColor="text1"/>
          <w:spacing w:val="0"/>
        </w:rPr>
        <w:softHyphen/>
      </w:r>
      <w:r w:rsidRPr="00A3026E">
        <w:rPr>
          <w:rStyle w:val="aff8"/>
          <w:rFonts w:ascii="Times New Roman" w:cs="Times New Roman"/>
          <w:b w:val="0"/>
          <w:color w:val="000000" w:themeColor="text1"/>
          <w:spacing w:val="0"/>
          <w:sz w:val="16"/>
          <w:szCs w:val="16"/>
        </w:rPr>
        <w:t>нили</w:t>
      </w:r>
      <w:r w:rsidRPr="00A3026E">
        <w:rPr>
          <w:rFonts w:ascii="Times New Roman" w:cs="Times New Roman"/>
          <w:color w:val="000000" w:themeColor="text1"/>
          <w:spacing w:val="0"/>
        </w:rPr>
        <w:t xml:space="preserve"> ведущий инженер по самолету от </w:t>
      </w:r>
      <w:r w:rsidRPr="00A3026E">
        <w:rPr>
          <w:rStyle w:val="aff8"/>
          <w:rFonts w:ascii="Times New Roman" w:cs="Times New Roman"/>
          <w:b w:val="0"/>
          <w:color w:val="000000" w:themeColor="text1"/>
          <w:spacing w:val="0"/>
          <w:sz w:val="16"/>
          <w:szCs w:val="16"/>
        </w:rPr>
        <w:t>НИИ</w:t>
      </w:r>
      <w:r w:rsidRPr="00A3026E">
        <w:rPr>
          <w:rFonts w:ascii="Times New Roman" w:cs="Times New Roman"/>
          <w:color w:val="000000" w:themeColor="text1"/>
          <w:spacing w:val="0"/>
        </w:rPr>
        <w:t xml:space="preserve"> ВВС военинженер 1-го ранга И.Г. Ла</w:t>
      </w:r>
      <w:r w:rsidRPr="00A3026E">
        <w:rPr>
          <w:rFonts w:ascii="Times New Roman" w:cs="Times New Roman"/>
          <w:color w:val="000000" w:themeColor="text1"/>
          <w:spacing w:val="0"/>
        </w:rPr>
        <w:softHyphen/>
        <w:t>зарев и подполковник Н.И. Шауров. Основным назначением самолета ТИС считалось выполнение задач по со</w:t>
      </w:r>
      <w:r w:rsidRPr="00A3026E">
        <w:rPr>
          <w:rFonts w:ascii="Times New Roman" w:cs="Times New Roman"/>
          <w:color w:val="000000" w:themeColor="text1"/>
          <w:spacing w:val="0"/>
        </w:rPr>
        <w:softHyphen/>
        <w:t>провождению своих бомбардировщи</w:t>
      </w:r>
      <w:r w:rsidRPr="00A3026E">
        <w:rPr>
          <w:rFonts w:ascii="Times New Roman" w:cs="Times New Roman"/>
          <w:color w:val="000000" w:themeColor="text1"/>
          <w:spacing w:val="0"/>
        </w:rPr>
        <w:softHyphen/>
        <w:t>ков, ведению активного воздушного боя и обороне важных стратегических пун</w:t>
      </w:r>
      <w:r w:rsidRPr="00A3026E">
        <w:rPr>
          <w:rFonts w:ascii="Times New Roman" w:cs="Times New Roman"/>
          <w:color w:val="000000" w:themeColor="text1"/>
          <w:spacing w:val="0"/>
        </w:rPr>
        <w:softHyphen/>
        <w:t>ктов и районов. «В частных случаях» допус</w:t>
      </w:r>
      <w:r w:rsidRPr="00A3026E">
        <w:rPr>
          <w:rStyle w:val="aff8"/>
          <w:rFonts w:ascii="Times New Roman" w:cs="Times New Roman"/>
          <w:b w:val="0"/>
          <w:color w:val="000000" w:themeColor="text1"/>
          <w:spacing w:val="0"/>
          <w:sz w:val="16"/>
          <w:szCs w:val="16"/>
        </w:rPr>
        <w:t>калось</w:t>
      </w:r>
      <w:r w:rsidRPr="00A3026E">
        <w:rPr>
          <w:rFonts w:ascii="Times New Roman" w:cs="Times New Roman"/>
          <w:color w:val="000000" w:themeColor="text1"/>
          <w:spacing w:val="0"/>
        </w:rPr>
        <w:t xml:space="preserve"> применение самолета «для </w:t>
      </w:r>
      <w:r w:rsidRPr="00A3026E">
        <w:rPr>
          <w:rStyle w:val="aff8"/>
          <w:rFonts w:ascii="Times New Roman" w:cs="Times New Roman"/>
          <w:b w:val="0"/>
          <w:color w:val="000000" w:themeColor="text1"/>
          <w:spacing w:val="0"/>
          <w:sz w:val="16"/>
          <w:szCs w:val="16"/>
        </w:rPr>
        <w:t>вшбометания</w:t>
      </w:r>
      <w:r w:rsidRPr="00A3026E">
        <w:rPr>
          <w:rFonts w:ascii="Times New Roman" w:cs="Times New Roman"/>
          <w:color w:val="000000" w:themeColor="text1"/>
          <w:spacing w:val="0"/>
        </w:rPr>
        <w:t xml:space="preserve"> главным образом с пики</w:t>
      </w:r>
      <w:r w:rsidRPr="00A3026E">
        <w:rPr>
          <w:rFonts w:ascii="Times New Roman" w:cs="Times New Roman"/>
          <w:color w:val="000000" w:themeColor="text1"/>
          <w:spacing w:val="0"/>
        </w:rPr>
        <w:softHyphen/>
      </w:r>
      <w:r w:rsidRPr="00A3026E">
        <w:rPr>
          <w:rStyle w:val="aff8"/>
          <w:rFonts w:ascii="Times New Roman" w:cs="Times New Roman"/>
          <w:b w:val="0"/>
          <w:color w:val="000000" w:themeColor="text1"/>
          <w:spacing w:val="0"/>
          <w:sz w:val="16"/>
          <w:szCs w:val="16"/>
        </w:rPr>
        <w:t>рования и</w:t>
      </w:r>
      <w:r w:rsidRPr="00A3026E">
        <w:rPr>
          <w:rFonts w:ascii="Times New Roman" w:cs="Times New Roman"/>
          <w:color w:val="000000" w:themeColor="text1"/>
          <w:spacing w:val="0"/>
        </w:rPr>
        <w:t xml:space="preserve"> решения задач по взаимодей- </w:t>
      </w:r>
      <w:r w:rsidRPr="00A3026E">
        <w:rPr>
          <w:rStyle w:val="aff8"/>
          <w:rFonts w:ascii="Times New Roman" w:cs="Times New Roman"/>
          <w:b w:val="0"/>
          <w:color w:val="000000" w:themeColor="text1"/>
          <w:spacing w:val="0"/>
          <w:sz w:val="16"/>
          <w:szCs w:val="16"/>
        </w:rPr>
        <w:t>гаио с</w:t>
      </w:r>
      <w:r w:rsidRPr="00A3026E">
        <w:rPr>
          <w:rFonts w:ascii="Times New Roman" w:cs="Times New Roman"/>
          <w:color w:val="000000" w:themeColor="text1"/>
          <w:spacing w:val="0"/>
        </w:rPr>
        <w:t xml:space="preserve"> наземными войсками».</w:t>
      </w:r>
    </w:p>
    <w:p w14:paraId="6905B6BF" w14:textId="77777777" w:rsidR="006810F9" w:rsidRPr="00A3026E" w:rsidRDefault="006810F9" w:rsidP="00A3026E">
      <w:pPr>
        <w:pStyle w:val="26"/>
        <w:shd w:val="clear" w:color="auto" w:fill="auto"/>
        <w:spacing w:after="0" w:line="240" w:lineRule="auto"/>
        <w:ind w:firstLine="0"/>
        <w:rPr>
          <w:rFonts w:ascii="Times New Roman" w:cs="Times New Roman"/>
          <w:color w:val="000000" w:themeColor="text1"/>
          <w:spacing w:val="0"/>
        </w:rPr>
      </w:pPr>
      <w:r w:rsidRPr="00A3026E">
        <w:rPr>
          <w:rStyle w:val="aff8"/>
          <w:rFonts w:ascii="Times New Roman" w:cs="Times New Roman"/>
          <w:b w:val="0"/>
          <w:color w:val="000000" w:themeColor="text1"/>
          <w:spacing w:val="0"/>
          <w:sz w:val="16"/>
          <w:szCs w:val="16"/>
        </w:rPr>
        <w:t>Летные</w:t>
      </w:r>
      <w:r w:rsidRPr="00A3026E">
        <w:rPr>
          <w:rFonts w:ascii="Times New Roman" w:cs="Times New Roman"/>
          <w:color w:val="000000" w:themeColor="text1"/>
          <w:spacing w:val="0"/>
        </w:rPr>
        <w:t xml:space="preserve"> данные и пилотажные ка- </w:t>
      </w:r>
      <w:r w:rsidRPr="00A3026E">
        <w:rPr>
          <w:rStyle w:val="aff8"/>
          <w:rFonts w:ascii="Times New Roman" w:cs="Times New Roman"/>
          <w:b w:val="0"/>
          <w:color w:val="000000" w:themeColor="text1"/>
          <w:spacing w:val="0"/>
          <w:sz w:val="16"/>
          <w:szCs w:val="16"/>
        </w:rPr>
        <w:t>«ства</w:t>
      </w:r>
      <w:r w:rsidRPr="00A3026E">
        <w:rPr>
          <w:rFonts w:ascii="Times New Roman" w:cs="Times New Roman"/>
          <w:color w:val="000000" w:themeColor="text1"/>
          <w:spacing w:val="0"/>
        </w:rPr>
        <w:t xml:space="preserve"> самолета в комплексе с бортовым аэронавигационным, радио- и пи</w:t>
      </w:r>
      <w:r w:rsidRPr="00A3026E">
        <w:rPr>
          <w:rFonts w:ascii="Times New Roman" w:cs="Times New Roman"/>
          <w:color w:val="000000" w:themeColor="text1"/>
          <w:spacing w:val="0"/>
        </w:rPr>
        <w:softHyphen/>
      </w:r>
      <w:r w:rsidRPr="00A3026E">
        <w:rPr>
          <w:rStyle w:val="aff8"/>
          <w:rFonts w:ascii="Times New Roman" w:cs="Times New Roman"/>
          <w:b w:val="0"/>
          <w:color w:val="000000" w:themeColor="text1"/>
          <w:spacing w:val="0"/>
          <w:sz w:val="16"/>
          <w:szCs w:val="16"/>
        </w:rPr>
        <w:t>лотажным</w:t>
      </w:r>
      <w:r w:rsidRPr="00A3026E">
        <w:rPr>
          <w:rFonts w:ascii="Times New Roman" w:cs="Times New Roman"/>
          <w:color w:val="000000" w:themeColor="text1"/>
          <w:spacing w:val="0"/>
        </w:rPr>
        <w:t xml:space="preserve"> оборудованием должны были </w:t>
      </w:r>
      <w:r w:rsidRPr="00A3026E">
        <w:rPr>
          <w:rStyle w:val="aff8"/>
          <w:rFonts w:ascii="Times New Roman" w:cs="Times New Roman"/>
          <w:b w:val="0"/>
          <w:color w:val="000000" w:themeColor="text1"/>
          <w:spacing w:val="0"/>
          <w:sz w:val="16"/>
          <w:szCs w:val="16"/>
        </w:rPr>
        <w:t>обеспечивать</w:t>
      </w:r>
      <w:r w:rsidRPr="00A3026E">
        <w:rPr>
          <w:rFonts w:ascii="Times New Roman" w:cs="Times New Roman"/>
          <w:color w:val="000000" w:themeColor="text1"/>
          <w:spacing w:val="0"/>
        </w:rPr>
        <w:t xml:space="preserve"> эффективное применение </w:t>
      </w:r>
      <w:r w:rsidRPr="00A3026E">
        <w:rPr>
          <w:rStyle w:val="aff8"/>
          <w:rFonts w:ascii="Times New Roman" w:cs="Times New Roman"/>
          <w:b w:val="0"/>
          <w:color w:val="000000" w:themeColor="text1"/>
          <w:spacing w:val="0"/>
          <w:sz w:val="16"/>
          <w:szCs w:val="16"/>
        </w:rPr>
        <w:t>самолета</w:t>
      </w:r>
      <w:r w:rsidRPr="00A3026E">
        <w:rPr>
          <w:rFonts w:ascii="Times New Roman" w:cs="Times New Roman"/>
          <w:color w:val="000000" w:themeColor="text1"/>
          <w:spacing w:val="0"/>
        </w:rPr>
        <w:t xml:space="preserve"> днем и ночью, в сложных ме</w:t>
      </w:r>
      <w:r w:rsidRPr="00A3026E">
        <w:rPr>
          <w:rFonts w:ascii="Times New Roman" w:cs="Times New Roman"/>
          <w:color w:val="000000" w:themeColor="text1"/>
          <w:spacing w:val="0"/>
        </w:rPr>
        <w:softHyphen/>
      </w:r>
      <w:r w:rsidRPr="00A3026E">
        <w:rPr>
          <w:rStyle w:val="aff8"/>
          <w:rFonts w:ascii="Times New Roman" w:cs="Times New Roman"/>
          <w:b w:val="0"/>
          <w:color w:val="000000" w:themeColor="text1"/>
          <w:spacing w:val="0"/>
          <w:sz w:val="16"/>
          <w:szCs w:val="16"/>
        </w:rPr>
        <w:t>теоусловиях</w:t>
      </w:r>
      <w:r w:rsidRPr="00A3026E">
        <w:rPr>
          <w:rFonts w:ascii="Times New Roman" w:cs="Times New Roman"/>
          <w:color w:val="000000" w:themeColor="text1"/>
          <w:spacing w:val="0"/>
        </w:rPr>
        <w:t xml:space="preserve"> на всех рабочих высотах до </w:t>
      </w:r>
      <w:r w:rsidRPr="00A3026E">
        <w:rPr>
          <w:rStyle w:val="aff8"/>
          <w:rFonts w:ascii="Times New Roman" w:cs="Times New Roman"/>
          <w:b w:val="0"/>
          <w:color w:val="000000" w:themeColor="text1"/>
          <w:spacing w:val="0"/>
          <w:sz w:val="16"/>
          <w:szCs w:val="16"/>
        </w:rPr>
        <w:t>Практического</w:t>
      </w:r>
      <w:r w:rsidRPr="00A3026E">
        <w:rPr>
          <w:rFonts w:ascii="Times New Roman" w:cs="Times New Roman"/>
          <w:color w:val="000000" w:themeColor="text1"/>
          <w:spacing w:val="0"/>
        </w:rPr>
        <w:t xml:space="preserve"> потолка включительно.</w:t>
      </w:r>
    </w:p>
    <w:p w14:paraId="1B40A9CF" w14:textId="77777777" w:rsidR="006810F9" w:rsidRPr="00A3026E" w:rsidRDefault="006810F9" w:rsidP="00A3026E">
      <w:pPr>
        <w:pStyle w:val="26"/>
        <w:shd w:val="clear" w:color="auto" w:fill="auto"/>
        <w:spacing w:after="0" w:line="240" w:lineRule="auto"/>
        <w:ind w:firstLine="0"/>
        <w:rPr>
          <w:rFonts w:ascii="Times New Roman" w:cs="Times New Roman"/>
          <w:color w:val="000000" w:themeColor="text1"/>
          <w:spacing w:val="0"/>
        </w:rPr>
      </w:pPr>
      <w:r w:rsidRPr="00A3026E">
        <w:rPr>
          <w:rStyle w:val="aff8"/>
          <w:rFonts w:ascii="Times New Roman" w:cs="Times New Roman"/>
          <w:b w:val="0"/>
          <w:color w:val="000000" w:themeColor="text1"/>
          <w:spacing w:val="0"/>
          <w:sz w:val="16"/>
          <w:szCs w:val="16"/>
        </w:rPr>
        <w:t>Для</w:t>
      </w:r>
      <w:r w:rsidRPr="00A3026E">
        <w:rPr>
          <w:rFonts w:ascii="Times New Roman" w:cs="Times New Roman"/>
          <w:color w:val="000000" w:themeColor="text1"/>
          <w:spacing w:val="0"/>
        </w:rPr>
        <w:t xml:space="preserve"> летчика требовался хороший </w:t>
      </w:r>
      <w:r w:rsidRPr="00A3026E">
        <w:rPr>
          <w:rStyle w:val="aff8"/>
          <w:rFonts w:ascii="Times New Roman" w:cs="Times New Roman"/>
          <w:b w:val="0"/>
          <w:color w:val="000000" w:themeColor="text1"/>
          <w:spacing w:val="0"/>
          <w:sz w:val="16"/>
          <w:szCs w:val="16"/>
        </w:rPr>
        <w:t>обзор:</w:t>
      </w:r>
      <w:r w:rsidRPr="00A3026E">
        <w:rPr>
          <w:rFonts w:ascii="Times New Roman" w:cs="Times New Roman"/>
          <w:color w:val="000000" w:themeColor="text1"/>
          <w:spacing w:val="0"/>
        </w:rPr>
        <w:t xml:space="preserve"> вперед, вверх, в стороны и на</w:t>
      </w:r>
      <w:r w:rsidRPr="00A3026E">
        <w:rPr>
          <w:rFonts w:ascii="Times New Roman" w:cs="Times New Roman"/>
          <w:color w:val="000000" w:themeColor="text1"/>
          <w:spacing w:val="0"/>
        </w:rPr>
        <w:softHyphen/>
      </w:r>
      <w:r w:rsidRPr="00A3026E">
        <w:rPr>
          <w:rStyle w:val="aff8"/>
          <w:rFonts w:ascii="Times New Roman" w:cs="Times New Roman"/>
          <w:b w:val="0"/>
          <w:color w:val="000000" w:themeColor="text1"/>
          <w:spacing w:val="0"/>
          <w:sz w:val="16"/>
          <w:szCs w:val="16"/>
        </w:rPr>
        <w:t>зад - «как</w:t>
      </w:r>
      <w:r w:rsidRPr="00A3026E">
        <w:rPr>
          <w:rFonts w:ascii="Times New Roman" w:cs="Times New Roman"/>
          <w:color w:val="000000" w:themeColor="text1"/>
          <w:spacing w:val="0"/>
        </w:rPr>
        <w:t xml:space="preserve"> для истребителя», а вперед- </w:t>
      </w:r>
      <w:r w:rsidRPr="00A3026E">
        <w:rPr>
          <w:rStyle w:val="95pt-1pt"/>
          <w:rFonts w:ascii="Times New Roman" w:hAnsi="Times New Roman" w:cs="Times New Roman"/>
          <w:b w:val="0"/>
          <w:color w:val="000000" w:themeColor="text1"/>
          <w:spacing w:val="0"/>
          <w:sz w:val="16"/>
          <w:szCs w:val="16"/>
        </w:rPr>
        <w:t>яниз</w:t>
      </w:r>
      <w:r w:rsidRPr="00A3026E">
        <w:rPr>
          <w:rFonts w:ascii="Times New Roman" w:cs="Times New Roman"/>
          <w:color w:val="000000" w:themeColor="text1"/>
          <w:spacing w:val="0"/>
        </w:rPr>
        <w:t xml:space="preserve"> - «через окно в полу, как для пики</w:t>
      </w:r>
      <w:r w:rsidRPr="00A3026E">
        <w:rPr>
          <w:rFonts w:ascii="Times New Roman" w:cs="Times New Roman"/>
          <w:color w:val="000000" w:themeColor="text1"/>
          <w:spacing w:val="0"/>
        </w:rPr>
        <w:softHyphen/>
      </w:r>
      <w:r w:rsidRPr="00A3026E">
        <w:rPr>
          <w:rStyle w:val="aff8"/>
          <w:rFonts w:ascii="Times New Roman" w:cs="Times New Roman"/>
          <w:b w:val="0"/>
          <w:color w:val="000000" w:themeColor="text1"/>
          <w:spacing w:val="0"/>
          <w:sz w:val="16"/>
          <w:szCs w:val="16"/>
        </w:rPr>
        <w:t>рующего</w:t>
      </w:r>
      <w:r w:rsidRPr="00A3026E">
        <w:rPr>
          <w:rFonts w:ascii="Times New Roman" w:cs="Times New Roman"/>
          <w:color w:val="000000" w:themeColor="text1"/>
          <w:spacing w:val="0"/>
        </w:rPr>
        <w:t xml:space="preserve"> бомбардировщика».</w:t>
      </w:r>
    </w:p>
    <w:p w14:paraId="1ABF3DAC" w14:textId="77777777" w:rsidR="006810F9" w:rsidRPr="00A3026E" w:rsidRDefault="006810F9"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 xml:space="preserve">Основные летные данные самолета </w:t>
      </w:r>
      <w:r w:rsidRPr="00A3026E">
        <w:rPr>
          <w:rStyle w:val="aff8"/>
          <w:rFonts w:ascii="Times New Roman" w:cs="Times New Roman"/>
          <w:b w:val="0"/>
          <w:color w:val="000000" w:themeColor="text1"/>
          <w:spacing w:val="0"/>
          <w:sz w:val="16"/>
          <w:szCs w:val="16"/>
        </w:rPr>
        <w:t>устанавливались</w:t>
      </w:r>
      <w:r w:rsidRPr="00A3026E">
        <w:rPr>
          <w:rFonts w:ascii="Times New Roman" w:cs="Times New Roman"/>
          <w:color w:val="000000" w:themeColor="text1"/>
          <w:spacing w:val="0"/>
        </w:rPr>
        <w:t xml:space="preserve"> в полном соответствии </w:t>
      </w:r>
      <w:r w:rsidRPr="00A3026E">
        <w:rPr>
          <w:rStyle w:val="95pt-1pt"/>
          <w:rFonts w:ascii="Times New Roman" w:hAnsi="Times New Roman" w:cs="Times New Roman"/>
          <w:b w:val="0"/>
          <w:color w:val="000000" w:themeColor="text1"/>
          <w:spacing w:val="0"/>
          <w:sz w:val="16"/>
          <w:szCs w:val="16"/>
        </w:rPr>
        <w:t>с</w:t>
      </w:r>
      <w:r w:rsidRPr="00A3026E">
        <w:rPr>
          <w:rFonts w:ascii="Times New Roman" w:cs="Times New Roman"/>
          <w:color w:val="000000" w:themeColor="text1"/>
          <w:spacing w:val="0"/>
        </w:rPr>
        <w:t xml:space="preserve"> требованиями постановления Комите</w:t>
      </w:r>
      <w:r w:rsidRPr="00A3026E">
        <w:rPr>
          <w:rFonts w:ascii="Times New Roman" w:cs="Times New Roman"/>
          <w:color w:val="000000" w:themeColor="text1"/>
          <w:spacing w:val="0"/>
        </w:rPr>
        <w:softHyphen/>
      </w:r>
      <w:r w:rsidRPr="00A3026E">
        <w:rPr>
          <w:rStyle w:val="aff8"/>
          <w:rFonts w:ascii="Times New Roman" w:cs="Times New Roman"/>
          <w:b w:val="0"/>
          <w:color w:val="000000" w:themeColor="text1"/>
          <w:spacing w:val="0"/>
          <w:sz w:val="16"/>
          <w:szCs w:val="16"/>
        </w:rPr>
        <w:t>та</w:t>
      </w:r>
      <w:r w:rsidRPr="00A3026E">
        <w:rPr>
          <w:rFonts w:ascii="Times New Roman" w:cs="Times New Roman"/>
          <w:color w:val="000000" w:themeColor="text1"/>
          <w:spacing w:val="0"/>
        </w:rPr>
        <w:t xml:space="preserve"> Обороны.</w:t>
      </w:r>
    </w:p>
    <w:p w14:paraId="35ADB04C" w14:textId="77777777" w:rsidR="006810F9" w:rsidRPr="00A3026E" w:rsidRDefault="006810F9"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Максимальная скорость на вы</w:t>
      </w:r>
      <w:r w:rsidRPr="00A3026E">
        <w:rPr>
          <w:rFonts w:ascii="Times New Roman" w:cs="Times New Roman"/>
          <w:color w:val="000000" w:themeColor="text1"/>
          <w:spacing w:val="0"/>
        </w:rPr>
        <w:softHyphen/>
      </w:r>
      <w:r w:rsidRPr="00A3026E">
        <w:rPr>
          <w:rStyle w:val="aff8"/>
          <w:rFonts w:ascii="Times New Roman" w:cs="Times New Roman"/>
          <w:b w:val="0"/>
          <w:color w:val="000000" w:themeColor="text1"/>
          <w:spacing w:val="0"/>
          <w:sz w:val="16"/>
          <w:szCs w:val="16"/>
        </w:rPr>
        <w:t>соте</w:t>
      </w:r>
      <w:r w:rsidRPr="00A3026E">
        <w:rPr>
          <w:rFonts w:ascii="Times New Roman" w:cs="Times New Roman"/>
          <w:color w:val="000000" w:themeColor="text1"/>
          <w:spacing w:val="0"/>
        </w:rPr>
        <w:t xml:space="preserve"> 7000</w:t>
      </w:r>
      <w:r w:rsidRPr="00A3026E">
        <w:rPr>
          <w:rStyle w:val="aff8"/>
          <w:rFonts w:ascii="Times New Roman" w:cs="Times New Roman"/>
          <w:b w:val="0"/>
          <w:color w:val="000000" w:themeColor="text1"/>
          <w:spacing w:val="0"/>
          <w:sz w:val="16"/>
          <w:szCs w:val="16"/>
        </w:rPr>
        <w:t xml:space="preserve"> м</w:t>
      </w:r>
      <w:r w:rsidRPr="00A3026E">
        <w:rPr>
          <w:rFonts w:ascii="Times New Roman" w:cs="Times New Roman"/>
          <w:color w:val="000000" w:themeColor="text1"/>
          <w:spacing w:val="0"/>
        </w:rPr>
        <w:t xml:space="preserve"> должна была составлять </w:t>
      </w:r>
      <w:r w:rsidRPr="00A3026E">
        <w:rPr>
          <w:rStyle w:val="aff8"/>
          <w:rFonts w:ascii="Times New Roman" w:cs="Times New Roman"/>
          <w:b w:val="0"/>
          <w:color w:val="000000" w:themeColor="text1"/>
          <w:spacing w:val="0"/>
          <w:sz w:val="16"/>
          <w:szCs w:val="16"/>
        </w:rPr>
        <w:t>630 км</w:t>
      </w:r>
      <w:r w:rsidRPr="00A3026E">
        <w:rPr>
          <w:rFonts w:ascii="Times New Roman" w:cs="Times New Roman"/>
          <w:color w:val="000000" w:themeColor="text1"/>
          <w:spacing w:val="0"/>
        </w:rPr>
        <w:t xml:space="preserve">/ч. Посадочная скорость не более </w:t>
      </w:r>
      <w:r w:rsidRPr="00A3026E">
        <w:rPr>
          <w:rStyle w:val="aff8"/>
          <w:rFonts w:ascii="Times New Roman" w:cs="Times New Roman"/>
          <w:b w:val="0"/>
          <w:color w:val="000000" w:themeColor="text1"/>
          <w:spacing w:val="0"/>
          <w:sz w:val="16"/>
          <w:szCs w:val="16"/>
        </w:rPr>
        <w:t>135</w:t>
      </w:r>
      <w:r w:rsidRPr="00A3026E">
        <w:rPr>
          <w:rFonts w:ascii="Times New Roman" w:cs="Times New Roman"/>
          <w:color w:val="000000" w:themeColor="text1"/>
          <w:spacing w:val="0"/>
        </w:rPr>
        <w:t>-140</w:t>
      </w:r>
      <w:r w:rsidRPr="00A3026E">
        <w:rPr>
          <w:rStyle w:val="aff8"/>
          <w:rFonts w:ascii="Times New Roman" w:cs="Times New Roman"/>
          <w:b w:val="0"/>
          <w:color w:val="000000" w:themeColor="text1"/>
          <w:spacing w:val="0"/>
          <w:sz w:val="16"/>
          <w:szCs w:val="16"/>
        </w:rPr>
        <w:t xml:space="preserve"> км</w:t>
      </w:r>
      <w:r w:rsidRPr="00A3026E">
        <w:rPr>
          <w:rFonts w:ascii="Times New Roman" w:cs="Times New Roman"/>
          <w:color w:val="000000" w:themeColor="text1"/>
          <w:spacing w:val="0"/>
        </w:rPr>
        <w:t xml:space="preserve">/ч. Время подъема на высоту </w:t>
      </w:r>
      <w:r w:rsidRPr="00A3026E">
        <w:rPr>
          <w:rStyle w:val="aff8"/>
          <w:rFonts w:ascii="Times New Roman" w:cs="Times New Roman"/>
          <w:b w:val="0"/>
          <w:color w:val="000000" w:themeColor="text1"/>
          <w:spacing w:val="0"/>
          <w:sz w:val="16"/>
          <w:szCs w:val="16"/>
        </w:rPr>
        <w:t>8000 м</w:t>
      </w:r>
      <w:r w:rsidRPr="00A3026E">
        <w:rPr>
          <w:rFonts w:ascii="Times New Roman" w:cs="Times New Roman"/>
          <w:color w:val="000000" w:themeColor="text1"/>
          <w:spacing w:val="0"/>
        </w:rPr>
        <w:t xml:space="preserve"> - в пределах 10,2 мин, время ви</w:t>
      </w:r>
      <w:r w:rsidRPr="00A3026E">
        <w:rPr>
          <w:rFonts w:ascii="Times New Roman" w:cs="Times New Roman"/>
          <w:color w:val="000000" w:themeColor="text1"/>
          <w:spacing w:val="0"/>
        </w:rPr>
        <w:softHyphen/>
      </w:r>
      <w:r w:rsidRPr="00A3026E">
        <w:rPr>
          <w:rStyle w:val="aff8"/>
          <w:rFonts w:ascii="Times New Roman" w:cs="Times New Roman"/>
          <w:b w:val="0"/>
          <w:color w:val="000000" w:themeColor="text1"/>
          <w:spacing w:val="0"/>
          <w:sz w:val="16"/>
          <w:szCs w:val="16"/>
        </w:rPr>
        <w:t>ража</w:t>
      </w:r>
      <w:r w:rsidRPr="00A3026E">
        <w:rPr>
          <w:rFonts w:ascii="Times New Roman" w:cs="Times New Roman"/>
          <w:color w:val="000000" w:themeColor="text1"/>
          <w:spacing w:val="0"/>
        </w:rPr>
        <w:t xml:space="preserve"> на 1000 м - 20-22 с. Практический </w:t>
      </w:r>
      <w:r w:rsidRPr="00A3026E">
        <w:rPr>
          <w:rStyle w:val="aff8"/>
          <w:rFonts w:ascii="Times New Roman" w:cs="Times New Roman"/>
          <w:b w:val="0"/>
          <w:color w:val="000000" w:themeColor="text1"/>
          <w:spacing w:val="0"/>
          <w:sz w:val="16"/>
          <w:szCs w:val="16"/>
        </w:rPr>
        <w:t>потолок - 11000м.</w:t>
      </w:r>
    </w:p>
    <w:p w14:paraId="63513204" w14:textId="77777777" w:rsidR="006810F9" w:rsidRPr="00A3026E" w:rsidRDefault="006810F9"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 xml:space="preserve">Разбег ограничивался 450 м при </w:t>
      </w:r>
      <w:r w:rsidRPr="00A3026E">
        <w:rPr>
          <w:rStyle w:val="aff8"/>
          <w:rFonts w:ascii="Times New Roman" w:cs="Times New Roman"/>
          <w:b w:val="0"/>
          <w:color w:val="000000" w:themeColor="text1"/>
          <w:spacing w:val="0"/>
          <w:sz w:val="16"/>
          <w:szCs w:val="16"/>
        </w:rPr>
        <w:t>взлетной</w:t>
      </w:r>
      <w:r w:rsidRPr="00A3026E">
        <w:rPr>
          <w:rFonts w:ascii="Times New Roman" w:cs="Times New Roman"/>
          <w:color w:val="000000" w:themeColor="text1"/>
          <w:spacing w:val="0"/>
        </w:rPr>
        <w:t xml:space="preserve"> дистанции 800-900 м. Пробег равнялся 300 м, посадочная дистанция - 700-800 м. Дальность полета на скоро</w:t>
      </w:r>
      <w:r w:rsidRPr="00A3026E">
        <w:rPr>
          <w:rFonts w:ascii="Times New Roman" w:cs="Times New Roman"/>
          <w:color w:val="000000" w:themeColor="text1"/>
          <w:spacing w:val="0"/>
        </w:rPr>
        <w:softHyphen/>
        <w:t>сти 0,8 максимальной не менее 2000 км.</w:t>
      </w:r>
    </w:p>
    <w:p w14:paraId="3CF8BE90" w14:textId="77777777" w:rsidR="006810F9" w:rsidRPr="00A3026E" w:rsidRDefault="006810F9"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Наступательное стрелково-пушеч- ное вооружение состояло из четырех ШКАС (4400 патронов) в носовой части самолета, двух пушек ШВАК (700 снаря</w:t>
      </w:r>
      <w:r w:rsidRPr="00A3026E">
        <w:rPr>
          <w:rFonts w:ascii="Times New Roman" w:cs="Times New Roman"/>
          <w:color w:val="000000" w:themeColor="text1"/>
          <w:spacing w:val="0"/>
        </w:rPr>
        <w:softHyphen/>
        <w:t>дов) и двух крупнокалиберных пулеме</w:t>
      </w:r>
      <w:r w:rsidRPr="00A3026E">
        <w:rPr>
          <w:rFonts w:ascii="Times New Roman" w:cs="Times New Roman"/>
          <w:color w:val="000000" w:themeColor="text1"/>
          <w:spacing w:val="0"/>
        </w:rPr>
        <w:softHyphen/>
        <w:t>тов БК (800 патронов) в центроплане.</w:t>
      </w:r>
    </w:p>
    <w:p w14:paraId="2DB35E80" w14:textId="77777777" w:rsidR="006810F9" w:rsidRPr="00A3026E" w:rsidRDefault="006810F9"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Оборонительное стрелковое воору</w:t>
      </w:r>
      <w:r w:rsidRPr="00A3026E">
        <w:rPr>
          <w:rFonts w:ascii="Times New Roman" w:cs="Times New Roman"/>
          <w:color w:val="000000" w:themeColor="text1"/>
          <w:spacing w:val="0"/>
        </w:rPr>
        <w:softHyphen/>
        <w:t>жение включало два пулемета ШКАС: один на верхней установке (1000 патро</w:t>
      </w:r>
      <w:r w:rsidRPr="00A3026E">
        <w:rPr>
          <w:rFonts w:ascii="Times New Roman" w:cs="Times New Roman"/>
          <w:color w:val="000000" w:themeColor="text1"/>
          <w:spacing w:val="0"/>
        </w:rPr>
        <w:softHyphen/>
        <w:t>нов) и один в нижней люковой установке (500 патронов).</w:t>
      </w:r>
    </w:p>
    <w:p w14:paraId="553D1337" w14:textId="77777777" w:rsidR="006810F9" w:rsidRPr="00A3026E" w:rsidRDefault="006810F9"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В перегрузку под фюзеляжем пред</w:t>
      </w:r>
      <w:r w:rsidRPr="00A3026E">
        <w:rPr>
          <w:rFonts w:ascii="Times New Roman" w:cs="Times New Roman"/>
          <w:color w:val="000000" w:themeColor="text1"/>
          <w:spacing w:val="0"/>
        </w:rPr>
        <w:softHyphen/>
        <w:t>полагалась подвеска одной бомбы ка</w:t>
      </w:r>
      <w:r w:rsidRPr="00A3026E">
        <w:rPr>
          <w:rFonts w:ascii="Times New Roman" w:cs="Times New Roman"/>
          <w:color w:val="000000" w:themeColor="text1"/>
          <w:spacing w:val="0"/>
        </w:rPr>
        <w:softHyphen/>
        <w:t>либра 1000 кг или двух бомб калибра 500 кг, либо одной авиационной торпе</w:t>
      </w:r>
      <w:r w:rsidRPr="00A3026E">
        <w:rPr>
          <w:rFonts w:ascii="Times New Roman" w:cs="Times New Roman"/>
          <w:color w:val="000000" w:themeColor="text1"/>
          <w:spacing w:val="0"/>
        </w:rPr>
        <w:softHyphen/>
        <w:t>ды (типа 45-36). Размещение бомбовой нагрузки внутри фюзеляжа не предус</w:t>
      </w:r>
      <w:r w:rsidRPr="00A3026E">
        <w:rPr>
          <w:rFonts w:ascii="Times New Roman" w:cs="Times New Roman"/>
          <w:color w:val="000000" w:themeColor="text1"/>
          <w:spacing w:val="0"/>
        </w:rPr>
        <w:softHyphen/>
        <w:t>матривалось.</w:t>
      </w:r>
    </w:p>
    <w:p w14:paraId="23170018" w14:textId="77777777" w:rsidR="006810F9" w:rsidRPr="00A3026E" w:rsidRDefault="006810F9"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Самолет должен был пикировать под углами до 90° с потерей высоты до 3000 м, а также иметь хорошую продольную, по</w:t>
      </w:r>
      <w:r w:rsidRPr="00A3026E">
        <w:rPr>
          <w:rFonts w:ascii="Times New Roman" w:cs="Times New Roman"/>
          <w:color w:val="000000" w:themeColor="text1"/>
          <w:spacing w:val="0"/>
        </w:rPr>
        <w:softHyphen/>
        <w:t>перечную и путевую устойчивость на всех режимах и высотах полета.</w:t>
      </w:r>
    </w:p>
    <w:p w14:paraId="446B6DC3" w14:textId="77777777" w:rsidR="006810F9" w:rsidRPr="00A3026E" w:rsidRDefault="006810F9"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Кроме того, военные потребовали обеспечить высокую живучесть самоле</w:t>
      </w:r>
      <w:r w:rsidRPr="00A3026E">
        <w:rPr>
          <w:rFonts w:ascii="Times New Roman" w:cs="Times New Roman"/>
          <w:color w:val="000000" w:themeColor="text1"/>
          <w:spacing w:val="0"/>
        </w:rPr>
        <w:softHyphen/>
        <w:t>та «как конструктивно, так и установкой брони и протестированных бензобаков с заполнением их нейтральными газа</w:t>
      </w:r>
      <w:r w:rsidRPr="00A3026E">
        <w:rPr>
          <w:rFonts w:ascii="Times New Roman" w:cs="Times New Roman"/>
          <w:color w:val="000000" w:themeColor="text1"/>
          <w:spacing w:val="0"/>
        </w:rPr>
        <w:softHyphen/>
        <w:t>ми». При этом минимальная защита лет</w:t>
      </w:r>
      <w:r w:rsidRPr="00A3026E">
        <w:rPr>
          <w:rFonts w:ascii="Times New Roman" w:cs="Times New Roman"/>
          <w:color w:val="000000" w:themeColor="text1"/>
          <w:spacing w:val="0"/>
        </w:rPr>
        <w:softHyphen/>
        <w:t>чика включала бронеспинку толщиной 8,65 мм и 6-мм бронесиденье. Учитывая наличие мощного огня пушек и пулеме</w:t>
      </w:r>
      <w:r w:rsidRPr="00A3026E">
        <w:rPr>
          <w:rFonts w:ascii="Times New Roman" w:cs="Times New Roman"/>
          <w:color w:val="000000" w:themeColor="text1"/>
          <w:spacing w:val="0"/>
        </w:rPr>
        <w:softHyphen/>
        <w:t>тов вперед, допускалось броню со сто</w:t>
      </w:r>
      <w:r w:rsidRPr="00A3026E">
        <w:rPr>
          <w:rFonts w:ascii="Times New Roman" w:cs="Times New Roman"/>
          <w:color w:val="000000" w:themeColor="text1"/>
          <w:spacing w:val="0"/>
        </w:rPr>
        <w:softHyphen/>
        <w:t>роны передней полусферы не ставить. Стрел ка-радиста предполагалось «за</w:t>
      </w:r>
      <w:r w:rsidRPr="00A3026E">
        <w:rPr>
          <w:rFonts w:ascii="Times New Roman" w:cs="Times New Roman"/>
          <w:color w:val="000000" w:themeColor="text1"/>
          <w:spacing w:val="0"/>
        </w:rPr>
        <w:softHyphen/>
        <w:t>щитить сзади бензобаком и патронным ящиком» (15755).</w:t>
      </w:r>
    </w:p>
    <w:p w14:paraId="685EB1E5" w14:textId="77777777" w:rsidR="006810F9" w:rsidRPr="00A3026E" w:rsidRDefault="006810F9" w:rsidP="00A3026E">
      <w:pPr>
        <w:pStyle w:val="26"/>
        <w:shd w:val="clear" w:color="auto" w:fill="auto"/>
        <w:spacing w:after="0" w:line="240" w:lineRule="auto"/>
        <w:ind w:firstLine="0"/>
        <w:rPr>
          <w:rFonts w:ascii="Times New Roman" w:cs="Times New Roman"/>
          <w:color w:val="000000" w:themeColor="text1"/>
          <w:spacing w:val="0"/>
        </w:rPr>
      </w:pPr>
    </w:p>
    <w:p w14:paraId="13DB992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декабря 1940 Протокол № 24. Решения ПБ за 14 декабря 1940 г. - 2 января 1941 г.</w:t>
      </w:r>
    </w:p>
    <w:p w14:paraId="6A8F236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15.12.40 г.</w:t>
      </w:r>
    </w:p>
    <w:p w14:paraId="104E86D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3 О серийном выпуске моторов на заводе № 27*.</w:t>
      </w:r>
    </w:p>
    <w:p w14:paraId="2F974D6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4. Об организации завода по производству средств вооружения для боевых самолетов в Днепропетровске (постановление СНК СССР и ЦК ВКП (б))*.</w:t>
      </w:r>
    </w:p>
    <w:p w14:paraId="5A805E5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5. Об обеспечении производства авиамоторов и самолетов на заводах №№ 452 и 265 Наркомавиапрома*.</w:t>
      </w:r>
    </w:p>
    <w:p w14:paraId="09AF791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 Об обеспечении производства самолетов на заводе № 450 и работы стройтрестов № 8 и № 26 (постановление СНК СССР и ЦК ВКП (б))*.</w:t>
      </w:r>
    </w:p>
    <w:p w14:paraId="2BC4054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8. Об обеспечении завода № 26 агрегатами для опытного мотора М-107П (постановление СНК СССР и ЦК ВКП (б))*.</w:t>
      </w:r>
    </w:p>
    <w:p w14:paraId="1A0C0E1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 Об обеспечении бронекорпусами самолетов Ил-2 (постановление СНК СССР и ЦК ВКП (б))*.</w:t>
      </w:r>
    </w:p>
    <w:p w14:paraId="5B84C41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lastRenderedPageBreak/>
        <w:t>20. 12. 40 г.</w:t>
      </w:r>
    </w:p>
    <w:p w14:paraId="0F63BAB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108. О выпуске самолетов на заводе № 39 НКАП (постановление СНК СССР и ЦК ВКП (б))*.</w:t>
      </w:r>
    </w:p>
    <w:p w14:paraId="7FFECAD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109. О строительстве в БССР завода синтетического бензина из торфа (постановление СНК СССР и ЦК ВКП (б)).</w:t>
      </w:r>
    </w:p>
    <w:p w14:paraId="6CB82AB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111. Вопрос ГАУ Красной Армии и НКВ. О принятии на вооружение КА пистолета-пулемета Шпагина*.</w:t>
      </w:r>
    </w:p>
    <w:p w14:paraId="704C7B1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21.12.40 г.</w:t>
      </w:r>
    </w:p>
    <w:p w14:paraId="411AE08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132. О Таганрогском заводе № 31 НКАП. Об использовании мощностей завода для выпуска боевых самолетов*.</w:t>
      </w:r>
    </w:p>
    <w:p w14:paraId="3F242CF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26. 12.40 г</w:t>
      </w:r>
      <w:r w:rsidRPr="00A3026E">
        <w:rPr>
          <w:rFonts w:ascii="Times New Roman" w:hAnsi="Times New Roman"/>
          <w:color w:val="000000" w:themeColor="text1"/>
          <w:sz w:val="16"/>
          <w:szCs w:val="16"/>
        </w:rPr>
        <w:t>.</w:t>
      </w:r>
    </w:p>
    <w:p w14:paraId="69DD4FE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162. О заводе № 22 НКАП. Программа выпуска самолетов Пе-2 (постановление СНК СССРиЦКВКП(б))*.</w:t>
      </w:r>
    </w:p>
    <w:p w14:paraId="6A50154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28. 12.40 г.</w:t>
      </w:r>
    </w:p>
    <w:p w14:paraId="1D4D515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176. О выпуске моторов АМ-88 на заводе № 24 (постановление СНК СССР и ЦК ВКП (б))*.</w:t>
      </w:r>
    </w:p>
    <w:p w14:paraId="3A3706F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 xml:space="preserve">29.12.40 г. </w:t>
      </w:r>
      <w:r w:rsidRPr="00A3026E">
        <w:rPr>
          <w:rFonts w:ascii="Times New Roman" w:hAnsi="Times New Roman"/>
          <w:color w:val="000000" w:themeColor="text1"/>
          <w:sz w:val="16"/>
          <w:szCs w:val="16"/>
        </w:rPr>
        <w:t>П. 230. Вопрос КО. О постройке трех истребителей ВИ-1* (11773).</w:t>
      </w:r>
    </w:p>
    <w:p w14:paraId="6C133C0C" w14:textId="77777777" w:rsidR="0014077F" w:rsidRPr="00A3026E" w:rsidRDefault="0014077F" w:rsidP="00A3026E">
      <w:pPr>
        <w:shd w:val="clear" w:color="auto" w:fill="FFFFFF"/>
        <w:spacing w:after="0" w:line="240" w:lineRule="auto"/>
        <w:jc w:val="both"/>
        <w:rPr>
          <w:rFonts w:ascii="Times New Roman" w:hAnsi="Times New Roman"/>
          <w:bCs/>
          <w:color w:val="000000" w:themeColor="text1"/>
          <w:sz w:val="16"/>
          <w:szCs w:val="16"/>
        </w:rPr>
      </w:pPr>
    </w:p>
    <w:p w14:paraId="33D09A10" w14:textId="77777777" w:rsidR="00D4018A" w:rsidRPr="00A3026E" w:rsidRDefault="00D4018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26 декабря 1940 – протокол Политбюро</w:t>
      </w:r>
    </w:p>
    <w:p w14:paraId="64B33073" w14:textId="77777777" w:rsidR="00D4018A" w:rsidRPr="00A3026E" w:rsidRDefault="00D4018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26.XII.40 г.</w:t>
      </w:r>
    </w:p>
    <w:p w14:paraId="4956A769" w14:textId="77777777" w:rsidR="00D4018A" w:rsidRPr="00A3026E" w:rsidRDefault="00D4018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161. Об аэродроме завода № 22 (постановление СНК СССР и ЦК ВКП(б)). — ОП.</w:t>
      </w:r>
    </w:p>
    <w:p w14:paraId="1C6135BF" w14:textId="77777777" w:rsidR="00D4018A" w:rsidRPr="00A3026E" w:rsidRDefault="00D4018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162. О заводе № 22 НКАП (постановление СНК СССР и ЦК ВКП(б)). — ОП.</w:t>
      </w:r>
    </w:p>
    <w:p w14:paraId="5857A89E" w14:textId="77777777" w:rsidR="00D4018A" w:rsidRPr="00A3026E" w:rsidRDefault="00D4018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163. Об обеспечении заводов НКАП продольно-фрезерными станками типа «Кольман» (постановление СНК СССР и ЦК ВКП(б)). — ОП.</w:t>
      </w:r>
    </w:p>
    <w:p w14:paraId="35EC9322" w14:textId="77777777" w:rsidR="00D4018A" w:rsidRPr="00A3026E" w:rsidRDefault="00D4018A"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169. О выпуске карбюраторов и агрегатов непосредственного впрыска в 1941 году (постановление СНК СССР и ЦК ВКП(б)). — ОП (20471).</w:t>
      </w:r>
    </w:p>
    <w:p w14:paraId="4FD5621B" w14:textId="77777777" w:rsidR="00D4018A" w:rsidRPr="00A3026E" w:rsidRDefault="00D4018A" w:rsidP="00A3026E">
      <w:pPr>
        <w:spacing w:after="0" w:line="240" w:lineRule="auto"/>
        <w:jc w:val="both"/>
        <w:rPr>
          <w:rFonts w:ascii="Times New Roman" w:hAnsi="Times New Roman"/>
          <w:color w:val="0070C0"/>
          <w:sz w:val="16"/>
          <w:szCs w:val="16"/>
        </w:rPr>
      </w:pPr>
    </w:p>
    <w:p w14:paraId="38F37E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декабря 1940 НКАП А.И.Ш. утвердил:</w:t>
      </w:r>
    </w:p>
    <w:p w14:paraId="70370BD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МЕСЯЧНАЯ ПЛАНИРОВКА ПРОГРАММЫ 1 КВ. 1941 г. ПО МОТОРНЫМ ЗАВОДАМ 3-го ГЛАВНОГО УПРАВЛЕНИЯ.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027"/>
        <w:gridCol w:w="1238"/>
        <w:gridCol w:w="1210"/>
        <w:gridCol w:w="1037"/>
        <w:gridCol w:w="1094"/>
        <w:gridCol w:w="1104"/>
      </w:tblGrid>
      <w:tr w:rsidR="00983732" w:rsidRPr="00A3026E" w14:paraId="40167A89" w14:textId="77777777" w:rsidTr="00EA0DA7">
        <w:trPr>
          <w:trHeight w:val="20"/>
        </w:trPr>
        <w:tc>
          <w:tcPr>
            <w:tcW w:w="1027" w:type="dxa"/>
            <w:tcBorders>
              <w:top w:val="single" w:sz="12" w:space="0" w:color="auto"/>
            </w:tcBorders>
          </w:tcPr>
          <w:p w14:paraId="0ACE188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заводов-поставщиков</w:t>
            </w:r>
          </w:p>
        </w:tc>
        <w:tc>
          <w:tcPr>
            <w:tcW w:w="1238" w:type="dxa"/>
            <w:tcBorders>
              <w:top w:val="single" w:sz="12" w:space="0" w:color="auto"/>
            </w:tcBorders>
          </w:tcPr>
          <w:p w14:paraId="1F8F388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изделий</w:t>
            </w:r>
          </w:p>
        </w:tc>
        <w:tc>
          <w:tcPr>
            <w:tcW w:w="1210" w:type="dxa"/>
            <w:tcBorders>
              <w:top w:val="single" w:sz="12" w:space="0" w:color="auto"/>
            </w:tcBorders>
          </w:tcPr>
          <w:p w14:paraId="54784BD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Програм. на 1 кв. 1941 г.</w:t>
            </w:r>
          </w:p>
        </w:tc>
        <w:tc>
          <w:tcPr>
            <w:tcW w:w="3235" w:type="dxa"/>
            <w:gridSpan w:val="3"/>
            <w:tcBorders>
              <w:top w:val="single" w:sz="12" w:space="0" w:color="auto"/>
            </w:tcBorders>
          </w:tcPr>
          <w:p w14:paraId="260244C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числа по месяцам</w:t>
            </w:r>
          </w:p>
        </w:tc>
      </w:tr>
      <w:tr w:rsidR="00983732" w:rsidRPr="00A3026E" w14:paraId="5124715F" w14:textId="77777777" w:rsidTr="00EA0DA7">
        <w:trPr>
          <w:trHeight w:val="20"/>
        </w:trPr>
        <w:tc>
          <w:tcPr>
            <w:tcW w:w="1027" w:type="dxa"/>
          </w:tcPr>
          <w:p w14:paraId="3967C29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38" w:type="dxa"/>
          </w:tcPr>
          <w:p w14:paraId="5CA11F7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10" w:type="dxa"/>
          </w:tcPr>
          <w:p w14:paraId="2C41787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037" w:type="dxa"/>
          </w:tcPr>
          <w:p w14:paraId="66B8463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Январь</w:t>
            </w:r>
          </w:p>
        </w:tc>
        <w:tc>
          <w:tcPr>
            <w:tcW w:w="1094" w:type="dxa"/>
          </w:tcPr>
          <w:p w14:paraId="4669F6D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Февраль</w:t>
            </w:r>
          </w:p>
        </w:tc>
        <w:tc>
          <w:tcPr>
            <w:tcW w:w="1104" w:type="dxa"/>
          </w:tcPr>
          <w:p w14:paraId="6A3011B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Март</w:t>
            </w:r>
          </w:p>
        </w:tc>
      </w:tr>
      <w:tr w:rsidR="00983732" w:rsidRPr="00A3026E" w14:paraId="501A0C48" w14:textId="77777777" w:rsidTr="00EA0DA7">
        <w:trPr>
          <w:trHeight w:val="20"/>
        </w:trPr>
        <w:tc>
          <w:tcPr>
            <w:tcW w:w="1027" w:type="dxa"/>
          </w:tcPr>
          <w:p w14:paraId="7E1E25D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1238" w:type="dxa"/>
          </w:tcPr>
          <w:p w14:paraId="659DE1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c>
          <w:tcPr>
            <w:tcW w:w="1210" w:type="dxa"/>
          </w:tcPr>
          <w:p w14:paraId="74D1670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1037" w:type="dxa"/>
          </w:tcPr>
          <w:p w14:paraId="206972E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094" w:type="dxa"/>
          </w:tcPr>
          <w:p w14:paraId="086A8E6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104" w:type="dxa"/>
          </w:tcPr>
          <w:p w14:paraId="7AE5772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13F7C7E8" w14:textId="77777777" w:rsidTr="00EA0DA7">
        <w:trPr>
          <w:trHeight w:val="20"/>
        </w:trPr>
        <w:tc>
          <w:tcPr>
            <w:tcW w:w="1027" w:type="dxa"/>
          </w:tcPr>
          <w:p w14:paraId="125607A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1238" w:type="dxa"/>
          </w:tcPr>
          <w:p w14:paraId="096FDE1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М-62ИР</w:t>
            </w:r>
          </w:p>
        </w:tc>
        <w:tc>
          <w:tcPr>
            <w:tcW w:w="1210" w:type="dxa"/>
          </w:tcPr>
          <w:p w14:paraId="23A8FFF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w:t>
            </w:r>
          </w:p>
        </w:tc>
        <w:tc>
          <w:tcPr>
            <w:tcW w:w="1037" w:type="dxa"/>
          </w:tcPr>
          <w:p w14:paraId="256F684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w:t>
            </w:r>
          </w:p>
        </w:tc>
        <w:tc>
          <w:tcPr>
            <w:tcW w:w="1094" w:type="dxa"/>
          </w:tcPr>
          <w:p w14:paraId="3DFFB68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1104" w:type="dxa"/>
          </w:tcPr>
          <w:p w14:paraId="1609E08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w:t>
            </w:r>
          </w:p>
        </w:tc>
      </w:tr>
      <w:tr w:rsidR="00983732" w:rsidRPr="00A3026E" w14:paraId="5D2CB07C" w14:textId="77777777" w:rsidTr="00EA0DA7">
        <w:trPr>
          <w:trHeight w:val="20"/>
        </w:trPr>
        <w:tc>
          <w:tcPr>
            <w:tcW w:w="1027" w:type="dxa"/>
          </w:tcPr>
          <w:p w14:paraId="23BCC47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1238" w:type="dxa"/>
          </w:tcPr>
          <w:p w14:paraId="1BCA7B2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c>
          <w:tcPr>
            <w:tcW w:w="1210" w:type="dxa"/>
          </w:tcPr>
          <w:p w14:paraId="41E434A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1037" w:type="dxa"/>
          </w:tcPr>
          <w:p w14:paraId="6AC5CE0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094" w:type="dxa"/>
          </w:tcPr>
          <w:p w14:paraId="417EB69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1104" w:type="dxa"/>
          </w:tcPr>
          <w:p w14:paraId="352EBD9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r>
      <w:tr w:rsidR="00983732" w:rsidRPr="00A3026E" w14:paraId="68A14384" w14:textId="77777777" w:rsidTr="00EA0DA7">
        <w:trPr>
          <w:trHeight w:val="20"/>
        </w:trPr>
        <w:tc>
          <w:tcPr>
            <w:tcW w:w="1027" w:type="dxa"/>
          </w:tcPr>
          <w:p w14:paraId="167B625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1238" w:type="dxa"/>
          </w:tcPr>
          <w:p w14:paraId="1678363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w:t>
            </w:r>
          </w:p>
        </w:tc>
        <w:tc>
          <w:tcPr>
            <w:tcW w:w="1210" w:type="dxa"/>
          </w:tcPr>
          <w:p w14:paraId="1CC3AB1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1037" w:type="dxa"/>
          </w:tcPr>
          <w:p w14:paraId="1986D75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94" w:type="dxa"/>
          </w:tcPr>
          <w:p w14:paraId="6500CDF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1104" w:type="dxa"/>
          </w:tcPr>
          <w:p w14:paraId="6AEB86D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r>
      <w:tr w:rsidR="00983732" w:rsidRPr="00A3026E" w14:paraId="1FF67F62" w14:textId="77777777" w:rsidTr="00EA0DA7">
        <w:trPr>
          <w:trHeight w:val="20"/>
        </w:trPr>
        <w:tc>
          <w:tcPr>
            <w:tcW w:w="1027" w:type="dxa"/>
          </w:tcPr>
          <w:p w14:paraId="0DA8159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1238" w:type="dxa"/>
          </w:tcPr>
          <w:p w14:paraId="045023C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w:t>
            </w:r>
          </w:p>
        </w:tc>
        <w:tc>
          <w:tcPr>
            <w:tcW w:w="1210" w:type="dxa"/>
          </w:tcPr>
          <w:p w14:paraId="1178994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1037" w:type="dxa"/>
          </w:tcPr>
          <w:p w14:paraId="5A9CFD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c>
          <w:tcPr>
            <w:tcW w:w="1094" w:type="dxa"/>
          </w:tcPr>
          <w:p w14:paraId="53B3271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1104" w:type="dxa"/>
          </w:tcPr>
          <w:p w14:paraId="1AF0B90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w:t>
            </w:r>
          </w:p>
        </w:tc>
      </w:tr>
      <w:tr w:rsidR="00983732" w:rsidRPr="00A3026E" w14:paraId="282C508C" w14:textId="77777777" w:rsidTr="00EA0DA7">
        <w:trPr>
          <w:trHeight w:val="20"/>
        </w:trPr>
        <w:tc>
          <w:tcPr>
            <w:tcW w:w="1027" w:type="dxa"/>
          </w:tcPr>
          <w:p w14:paraId="4E819D8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1238" w:type="dxa"/>
          </w:tcPr>
          <w:p w14:paraId="5D85367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ГАМ-34БС</w:t>
            </w:r>
          </w:p>
        </w:tc>
        <w:tc>
          <w:tcPr>
            <w:tcW w:w="1210" w:type="dxa"/>
          </w:tcPr>
          <w:p w14:paraId="5A870E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1037" w:type="dxa"/>
          </w:tcPr>
          <w:p w14:paraId="0A3E897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1094" w:type="dxa"/>
          </w:tcPr>
          <w:p w14:paraId="1C2C238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104" w:type="dxa"/>
          </w:tcPr>
          <w:p w14:paraId="645B933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r>
      <w:tr w:rsidR="00983732" w:rsidRPr="00A3026E" w14:paraId="4D080E66" w14:textId="77777777" w:rsidTr="00EA0DA7">
        <w:trPr>
          <w:trHeight w:val="20"/>
        </w:trPr>
        <w:tc>
          <w:tcPr>
            <w:tcW w:w="1027" w:type="dxa"/>
          </w:tcPr>
          <w:p w14:paraId="471AC5F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1238" w:type="dxa"/>
          </w:tcPr>
          <w:p w14:paraId="6929EDB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М- 105</w:t>
            </w:r>
          </w:p>
        </w:tc>
        <w:tc>
          <w:tcPr>
            <w:tcW w:w="1210" w:type="dxa"/>
          </w:tcPr>
          <w:p w14:paraId="0891AD4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c>
          <w:tcPr>
            <w:tcW w:w="1037" w:type="dxa"/>
          </w:tcPr>
          <w:p w14:paraId="57B017F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094" w:type="dxa"/>
          </w:tcPr>
          <w:p w14:paraId="19941C8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104" w:type="dxa"/>
          </w:tcPr>
          <w:p w14:paraId="6217FB1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r>
      <w:tr w:rsidR="00983732" w:rsidRPr="00A3026E" w14:paraId="46F66861" w14:textId="77777777" w:rsidTr="00EA0DA7">
        <w:trPr>
          <w:trHeight w:val="20"/>
        </w:trPr>
        <w:tc>
          <w:tcPr>
            <w:tcW w:w="1027" w:type="dxa"/>
          </w:tcPr>
          <w:p w14:paraId="491D3A9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1238" w:type="dxa"/>
          </w:tcPr>
          <w:p w14:paraId="015E97E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210" w:type="dxa"/>
          </w:tcPr>
          <w:p w14:paraId="24F5CD2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1037" w:type="dxa"/>
          </w:tcPr>
          <w:p w14:paraId="04CC74B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w:t>
            </w:r>
          </w:p>
        </w:tc>
        <w:tc>
          <w:tcPr>
            <w:tcW w:w="1094" w:type="dxa"/>
          </w:tcPr>
          <w:p w14:paraId="32A749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420</w:t>
            </w:r>
          </w:p>
        </w:tc>
        <w:tc>
          <w:tcPr>
            <w:tcW w:w="1104" w:type="dxa"/>
          </w:tcPr>
          <w:p w14:paraId="56C10C0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520</w:t>
            </w:r>
          </w:p>
        </w:tc>
      </w:tr>
      <w:tr w:rsidR="00983732" w:rsidRPr="00A3026E" w14:paraId="4F2384F8" w14:textId="77777777" w:rsidTr="00EA0DA7">
        <w:trPr>
          <w:trHeight w:val="20"/>
        </w:trPr>
        <w:tc>
          <w:tcPr>
            <w:tcW w:w="1027" w:type="dxa"/>
          </w:tcPr>
          <w:p w14:paraId="760F238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1238" w:type="dxa"/>
          </w:tcPr>
          <w:p w14:paraId="3DD21D0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М- 105</w:t>
            </w:r>
          </w:p>
        </w:tc>
        <w:tc>
          <w:tcPr>
            <w:tcW w:w="1210" w:type="dxa"/>
          </w:tcPr>
          <w:p w14:paraId="40AF5CB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037" w:type="dxa"/>
          </w:tcPr>
          <w:p w14:paraId="2283EE6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1094" w:type="dxa"/>
          </w:tcPr>
          <w:p w14:paraId="3A5CF7A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104" w:type="dxa"/>
          </w:tcPr>
          <w:p w14:paraId="1B95712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r>
      <w:tr w:rsidR="00983732" w:rsidRPr="00A3026E" w14:paraId="0B82156A" w14:textId="77777777" w:rsidTr="00EA0DA7">
        <w:trPr>
          <w:trHeight w:val="20"/>
        </w:trPr>
        <w:tc>
          <w:tcPr>
            <w:tcW w:w="1027" w:type="dxa"/>
          </w:tcPr>
          <w:p w14:paraId="20B0EB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1238" w:type="dxa"/>
          </w:tcPr>
          <w:p w14:paraId="3E4FD29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М-11</w:t>
            </w:r>
          </w:p>
        </w:tc>
        <w:tc>
          <w:tcPr>
            <w:tcW w:w="1210" w:type="dxa"/>
          </w:tcPr>
          <w:p w14:paraId="174E3E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1037" w:type="dxa"/>
          </w:tcPr>
          <w:p w14:paraId="2FBABA3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c>
          <w:tcPr>
            <w:tcW w:w="1094" w:type="dxa"/>
          </w:tcPr>
          <w:p w14:paraId="2986C0A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104" w:type="dxa"/>
          </w:tcPr>
          <w:p w14:paraId="319A678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w:t>
            </w:r>
          </w:p>
        </w:tc>
      </w:tr>
      <w:tr w:rsidR="00983732" w:rsidRPr="00A3026E" w14:paraId="1164DD6C" w14:textId="77777777" w:rsidTr="00EA0DA7">
        <w:trPr>
          <w:trHeight w:val="20"/>
        </w:trPr>
        <w:tc>
          <w:tcPr>
            <w:tcW w:w="1027" w:type="dxa"/>
          </w:tcPr>
          <w:p w14:paraId="187C2A8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tc>
        <w:tc>
          <w:tcPr>
            <w:tcW w:w="1238" w:type="dxa"/>
          </w:tcPr>
          <w:p w14:paraId="6E7908A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c>
          <w:tcPr>
            <w:tcW w:w="1210" w:type="dxa"/>
          </w:tcPr>
          <w:p w14:paraId="344F1AE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037" w:type="dxa"/>
          </w:tcPr>
          <w:p w14:paraId="59C72CF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094" w:type="dxa"/>
          </w:tcPr>
          <w:p w14:paraId="4913CF0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c>
          <w:tcPr>
            <w:tcW w:w="1104" w:type="dxa"/>
          </w:tcPr>
          <w:p w14:paraId="17FAF3B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r>
      <w:tr w:rsidR="00983732" w:rsidRPr="00A3026E" w14:paraId="0A4409CE" w14:textId="77777777" w:rsidTr="00EA0DA7">
        <w:trPr>
          <w:trHeight w:val="20"/>
        </w:trPr>
        <w:tc>
          <w:tcPr>
            <w:tcW w:w="1027" w:type="dxa"/>
          </w:tcPr>
          <w:p w14:paraId="658F2A3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234</w:t>
            </w:r>
          </w:p>
        </w:tc>
        <w:tc>
          <w:tcPr>
            <w:tcW w:w="1238" w:type="dxa"/>
          </w:tcPr>
          <w:p w14:paraId="4053396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М-105П</w:t>
            </w:r>
          </w:p>
        </w:tc>
        <w:tc>
          <w:tcPr>
            <w:tcW w:w="1210" w:type="dxa"/>
          </w:tcPr>
          <w:p w14:paraId="53CCF6F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037" w:type="dxa"/>
          </w:tcPr>
          <w:p w14:paraId="792B02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23х/</w:t>
            </w:r>
          </w:p>
        </w:tc>
        <w:tc>
          <w:tcPr>
            <w:tcW w:w="1094" w:type="dxa"/>
          </w:tcPr>
          <w:p w14:paraId="01FC64E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1104" w:type="dxa"/>
          </w:tcPr>
          <w:p w14:paraId="4AB7DA7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w:t>
            </w:r>
          </w:p>
        </w:tc>
      </w:tr>
      <w:tr w:rsidR="00983732" w:rsidRPr="00A3026E" w14:paraId="0D358AB1" w14:textId="77777777" w:rsidTr="00EA0DA7">
        <w:trPr>
          <w:trHeight w:val="20"/>
        </w:trPr>
        <w:tc>
          <w:tcPr>
            <w:tcW w:w="1027" w:type="dxa"/>
          </w:tcPr>
          <w:p w14:paraId="6F38EBC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384</w:t>
            </w:r>
          </w:p>
        </w:tc>
        <w:tc>
          <w:tcPr>
            <w:tcW w:w="1238" w:type="dxa"/>
          </w:tcPr>
          <w:p w14:paraId="75B9A6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c>
          <w:tcPr>
            <w:tcW w:w="1210" w:type="dxa"/>
          </w:tcPr>
          <w:p w14:paraId="6E3296E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1037" w:type="dxa"/>
          </w:tcPr>
          <w:p w14:paraId="25D4577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094" w:type="dxa"/>
          </w:tcPr>
          <w:p w14:paraId="5E2C3C9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1104" w:type="dxa"/>
          </w:tcPr>
          <w:p w14:paraId="621CFD7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r>
      <w:tr w:rsidR="00983732" w:rsidRPr="00A3026E" w14:paraId="7D7369E3" w14:textId="77777777" w:rsidTr="00EA0DA7">
        <w:trPr>
          <w:trHeight w:val="20"/>
        </w:trPr>
        <w:tc>
          <w:tcPr>
            <w:tcW w:w="1027" w:type="dxa"/>
          </w:tcPr>
          <w:p w14:paraId="5A16597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452</w:t>
            </w:r>
          </w:p>
        </w:tc>
        <w:tc>
          <w:tcPr>
            <w:tcW w:w="1238" w:type="dxa"/>
          </w:tcPr>
          <w:p w14:paraId="267296F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w:t>
            </w:r>
          </w:p>
        </w:tc>
        <w:tc>
          <w:tcPr>
            <w:tcW w:w="1210" w:type="dxa"/>
          </w:tcPr>
          <w:p w14:paraId="1516B48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1037" w:type="dxa"/>
          </w:tcPr>
          <w:p w14:paraId="2317C83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094" w:type="dxa"/>
          </w:tcPr>
          <w:p w14:paraId="626838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104" w:type="dxa"/>
          </w:tcPr>
          <w:p w14:paraId="5354F62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r>
      <w:tr w:rsidR="00983732" w:rsidRPr="00A3026E" w14:paraId="2545C21C" w14:textId="77777777" w:rsidTr="00EA0DA7">
        <w:trPr>
          <w:trHeight w:val="20"/>
        </w:trPr>
        <w:tc>
          <w:tcPr>
            <w:tcW w:w="1027" w:type="dxa"/>
          </w:tcPr>
          <w:p w14:paraId="4FB22D1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1238" w:type="dxa"/>
          </w:tcPr>
          <w:p w14:paraId="017990E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w:t>
            </w:r>
          </w:p>
        </w:tc>
        <w:tc>
          <w:tcPr>
            <w:tcW w:w="1210" w:type="dxa"/>
          </w:tcPr>
          <w:p w14:paraId="2FB969F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1150</w:t>
            </w:r>
          </w:p>
        </w:tc>
        <w:tc>
          <w:tcPr>
            <w:tcW w:w="1037" w:type="dxa"/>
          </w:tcPr>
          <w:p w14:paraId="7723772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1094" w:type="dxa"/>
          </w:tcPr>
          <w:p w14:paraId="269F2EF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w:t>
            </w:r>
          </w:p>
        </w:tc>
        <w:tc>
          <w:tcPr>
            <w:tcW w:w="1104" w:type="dxa"/>
          </w:tcPr>
          <w:p w14:paraId="43DA359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w:t>
            </w:r>
          </w:p>
        </w:tc>
      </w:tr>
      <w:tr w:rsidR="00983732" w:rsidRPr="00A3026E" w14:paraId="55815B2C" w14:textId="77777777" w:rsidTr="00EA0DA7">
        <w:trPr>
          <w:trHeight w:val="20"/>
        </w:trPr>
        <w:tc>
          <w:tcPr>
            <w:tcW w:w="1027" w:type="dxa"/>
            <w:tcBorders>
              <w:bottom w:val="single" w:sz="12" w:space="0" w:color="auto"/>
            </w:tcBorders>
          </w:tcPr>
          <w:p w14:paraId="00347C2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w:t>
            </w:r>
          </w:p>
        </w:tc>
        <w:tc>
          <w:tcPr>
            <w:tcW w:w="1238" w:type="dxa"/>
            <w:tcBorders>
              <w:bottom w:val="single" w:sz="12" w:space="0" w:color="auto"/>
            </w:tcBorders>
          </w:tcPr>
          <w:p w14:paraId="788A83D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М-30</w:t>
            </w:r>
          </w:p>
        </w:tc>
        <w:tc>
          <w:tcPr>
            <w:tcW w:w="1210" w:type="dxa"/>
            <w:tcBorders>
              <w:bottom w:val="single" w:sz="12" w:space="0" w:color="auto"/>
            </w:tcBorders>
          </w:tcPr>
          <w:p w14:paraId="74F062A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037" w:type="dxa"/>
            <w:tcBorders>
              <w:bottom w:val="single" w:sz="12" w:space="0" w:color="auto"/>
            </w:tcBorders>
          </w:tcPr>
          <w:p w14:paraId="4505E55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94" w:type="dxa"/>
            <w:tcBorders>
              <w:bottom w:val="single" w:sz="12" w:space="0" w:color="auto"/>
            </w:tcBorders>
          </w:tcPr>
          <w:p w14:paraId="0E3CA68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1104" w:type="dxa"/>
            <w:tcBorders>
              <w:bottom w:val="single" w:sz="12" w:space="0" w:color="auto"/>
            </w:tcBorders>
          </w:tcPr>
          <w:p w14:paraId="47CE6EE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r>
    </w:tbl>
    <w:p w14:paraId="5E939D3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 в т.ч. М-105 - 10 шт. (9820,75).</w:t>
      </w:r>
    </w:p>
    <w:p w14:paraId="60035F4F" w14:textId="77777777" w:rsidR="0014077F" w:rsidRPr="00A3026E" w:rsidRDefault="0014077F" w:rsidP="00A3026E">
      <w:pPr>
        <w:shd w:val="clear" w:color="auto" w:fill="FFFFFF"/>
        <w:spacing w:after="0" w:line="240" w:lineRule="auto"/>
        <w:jc w:val="both"/>
        <w:rPr>
          <w:rFonts w:ascii="Times New Roman" w:hAnsi="Times New Roman"/>
          <w:smallCaps/>
          <w:color w:val="000000" w:themeColor="text1"/>
          <w:sz w:val="16"/>
          <w:szCs w:val="16"/>
        </w:rPr>
      </w:pPr>
    </w:p>
    <w:p w14:paraId="7C6C3E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декабря 1940 г. Решением ЦК ВКП(б) и СНК СССР завод № 24 обязывался с апреля 1941 г. выпускать моторы АМ-35А с кар</w:t>
      </w:r>
      <w:r w:rsidRPr="00A3026E">
        <w:rPr>
          <w:rFonts w:ascii="Times New Roman" w:hAnsi="Times New Roman"/>
          <w:color w:val="000000" w:themeColor="text1"/>
          <w:sz w:val="16"/>
          <w:szCs w:val="16"/>
        </w:rPr>
        <w:softHyphen/>
        <w:t>бюраторами беспоплавкового типа. Такие карбюраторы были изго</w:t>
      </w:r>
      <w:r w:rsidRPr="00A3026E">
        <w:rPr>
          <w:rFonts w:ascii="Times New Roman" w:hAnsi="Times New Roman"/>
          <w:color w:val="000000" w:themeColor="text1"/>
          <w:sz w:val="16"/>
          <w:szCs w:val="16"/>
        </w:rPr>
        <w:softHyphen/>
        <w:t>товлены и проверены в наземных и летных условиях. Но двигатели с беспоплавковыми карбюраторами были невзаимозаменяемыми с мо</w:t>
      </w:r>
      <w:r w:rsidRPr="00A3026E">
        <w:rPr>
          <w:rFonts w:ascii="Times New Roman" w:hAnsi="Times New Roman"/>
          <w:color w:val="000000" w:themeColor="text1"/>
          <w:sz w:val="16"/>
          <w:szCs w:val="16"/>
        </w:rPr>
        <w:softHyphen/>
        <w:t>торами прежнего варианта; их внедрение потребовало переделки не</w:t>
      </w:r>
      <w:r w:rsidRPr="00A3026E">
        <w:rPr>
          <w:rFonts w:ascii="Times New Roman" w:hAnsi="Times New Roman"/>
          <w:color w:val="000000" w:themeColor="text1"/>
          <w:sz w:val="16"/>
          <w:szCs w:val="16"/>
        </w:rPr>
        <w:softHyphen/>
        <w:t>которых узлов как на двигателе, так и на самолете. Несмотря на определенные преимущества беспоплавковых карбюраторов в силу отмеченных причин они не были внедрены в серию (10781).</w:t>
      </w:r>
    </w:p>
    <w:p w14:paraId="5F97549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B9438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декабря 1940 вышло постановление СНК и ЦК ВКП(б) "О производстве карбюраторов и агрегатов непосредственного впрыска" (877,52).</w:t>
      </w:r>
    </w:p>
    <w:p w14:paraId="105719C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883F1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декабря 1940 НКАП А.И.Ш. утвердил:</w:t>
      </w:r>
    </w:p>
    <w:p w14:paraId="78CC2DC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МЕСЯЧНАЯ ПЛАНИРОВКА ПРОГРАММЫ 1кв. 1941 г. ПО ВИНТОВЫМ ЗАВОДАМ 3-г о ГЛАВНОГО УПРАВЛЕНИЯ НКАП.</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027"/>
        <w:gridCol w:w="1238"/>
        <w:gridCol w:w="1210"/>
        <w:gridCol w:w="1037"/>
        <w:gridCol w:w="1094"/>
        <w:gridCol w:w="1104"/>
      </w:tblGrid>
      <w:tr w:rsidR="00983732" w:rsidRPr="00A3026E" w14:paraId="0CD7680D" w14:textId="77777777" w:rsidTr="00EA0DA7">
        <w:trPr>
          <w:trHeight w:val="20"/>
        </w:trPr>
        <w:tc>
          <w:tcPr>
            <w:tcW w:w="1027" w:type="dxa"/>
            <w:tcBorders>
              <w:top w:val="single" w:sz="12" w:space="0" w:color="auto"/>
            </w:tcBorders>
          </w:tcPr>
          <w:p w14:paraId="4C04DDD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заводов-поставщиков</w:t>
            </w:r>
          </w:p>
        </w:tc>
        <w:tc>
          <w:tcPr>
            <w:tcW w:w="1238" w:type="dxa"/>
            <w:tcBorders>
              <w:top w:val="single" w:sz="12" w:space="0" w:color="auto"/>
            </w:tcBorders>
          </w:tcPr>
          <w:p w14:paraId="71C07ED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изделий</w:t>
            </w:r>
          </w:p>
        </w:tc>
        <w:tc>
          <w:tcPr>
            <w:tcW w:w="1210" w:type="dxa"/>
            <w:tcBorders>
              <w:top w:val="single" w:sz="12" w:space="0" w:color="auto"/>
            </w:tcBorders>
          </w:tcPr>
          <w:p w14:paraId="00CFCFB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Програм. на 1 кв. 1941 г.</w:t>
            </w:r>
          </w:p>
        </w:tc>
        <w:tc>
          <w:tcPr>
            <w:tcW w:w="3235" w:type="dxa"/>
            <w:gridSpan w:val="3"/>
            <w:tcBorders>
              <w:top w:val="single" w:sz="12" w:space="0" w:color="auto"/>
            </w:tcBorders>
          </w:tcPr>
          <w:p w14:paraId="3F61250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числа по месяцам</w:t>
            </w:r>
          </w:p>
        </w:tc>
      </w:tr>
      <w:tr w:rsidR="00983732" w:rsidRPr="00A3026E" w14:paraId="68FCEB23" w14:textId="77777777" w:rsidTr="00EA0DA7">
        <w:trPr>
          <w:trHeight w:val="20"/>
        </w:trPr>
        <w:tc>
          <w:tcPr>
            <w:tcW w:w="1027" w:type="dxa"/>
          </w:tcPr>
          <w:p w14:paraId="3EBF711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38" w:type="dxa"/>
          </w:tcPr>
          <w:p w14:paraId="5163872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210" w:type="dxa"/>
          </w:tcPr>
          <w:p w14:paraId="7244DBA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037" w:type="dxa"/>
          </w:tcPr>
          <w:p w14:paraId="56AB728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Январь</w:t>
            </w:r>
          </w:p>
        </w:tc>
        <w:tc>
          <w:tcPr>
            <w:tcW w:w="1094" w:type="dxa"/>
          </w:tcPr>
          <w:p w14:paraId="0A549AC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Февраль</w:t>
            </w:r>
          </w:p>
        </w:tc>
        <w:tc>
          <w:tcPr>
            <w:tcW w:w="1104" w:type="dxa"/>
          </w:tcPr>
          <w:p w14:paraId="6AC37F7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Март</w:t>
            </w:r>
          </w:p>
        </w:tc>
      </w:tr>
      <w:tr w:rsidR="00983732" w:rsidRPr="00A3026E" w14:paraId="79248BC4" w14:textId="77777777" w:rsidTr="00EA0DA7">
        <w:trPr>
          <w:trHeight w:val="20"/>
        </w:trPr>
        <w:tc>
          <w:tcPr>
            <w:tcW w:w="1027" w:type="dxa"/>
          </w:tcPr>
          <w:p w14:paraId="49D59CC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238" w:type="dxa"/>
          </w:tcPr>
          <w:p w14:paraId="22ECF3F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ВИШ-61</w:t>
            </w:r>
          </w:p>
        </w:tc>
        <w:tc>
          <w:tcPr>
            <w:tcW w:w="1210" w:type="dxa"/>
          </w:tcPr>
          <w:p w14:paraId="7758D50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037" w:type="dxa"/>
          </w:tcPr>
          <w:p w14:paraId="25F1362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285</w:t>
            </w:r>
          </w:p>
        </w:tc>
        <w:tc>
          <w:tcPr>
            <w:tcW w:w="1094" w:type="dxa"/>
          </w:tcPr>
          <w:p w14:paraId="31B72A1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w:t>
            </w:r>
          </w:p>
        </w:tc>
        <w:tc>
          <w:tcPr>
            <w:tcW w:w="1104" w:type="dxa"/>
          </w:tcPr>
          <w:p w14:paraId="5AD6AFD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w:t>
            </w:r>
          </w:p>
        </w:tc>
      </w:tr>
      <w:tr w:rsidR="00983732" w:rsidRPr="00A3026E" w14:paraId="6011F2FB" w14:textId="77777777" w:rsidTr="00EA0DA7">
        <w:trPr>
          <w:trHeight w:val="20"/>
        </w:trPr>
        <w:tc>
          <w:tcPr>
            <w:tcW w:w="1027" w:type="dxa"/>
          </w:tcPr>
          <w:p w14:paraId="0A12D50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0F83BDC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ВИШ-22Е</w:t>
            </w:r>
          </w:p>
        </w:tc>
        <w:tc>
          <w:tcPr>
            <w:tcW w:w="1210" w:type="dxa"/>
          </w:tcPr>
          <w:p w14:paraId="4C13FFF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037" w:type="dxa"/>
          </w:tcPr>
          <w:p w14:paraId="364E7E1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w:t>
            </w:r>
          </w:p>
        </w:tc>
        <w:tc>
          <w:tcPr>
            <w:tcW w:w="1094" w:type="dxa"/>
          </w:tcPr>
          <w:p w14:paraId="7C4730E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w:t>
            </w:r>
          </w:p>
        </w:tc>
        <w:tc>
          <w:tcPr>
            <w:tcW w:w="1104" w:type="dxa"/>
          </w:tcPr>
          <w:p w14:paraId="522B3EB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310</w:t>
            </w:r>
          </w:p>
        </w:tc>
      </w:tr>
      <w:tr w:rsidR="00983732" w:rsidRPr="00A3026E" w14:paraId="50118A45" w14:textId="77777777" w:rsidTr="00EA0DA7">
        <w:trPr>
          <w:trHeight w:val="20"/>
        </w:trPr>
        <w:tc>
          <w:tcPr>
            <w:tcW w:w="1027" w:type="dxa"/>
          </w:tcPr>
          <w:p w14:paraId="2BA374B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38C1F2D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ВИШ-24</w:t>
            </w:r>
          </w:p>
        </w:tc>
        <w:tc>
          <w:tcPr>
            <w:tcW w:w="1210" w:type="dxa"/>
          </w:tcPr>
          <w:p w14:paraId="038DF1D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c>
          <w:tcPr>
            <w:tcW w:w="1037" w:type="dxa"/>
          </w:tcPr>
          <w:p w14:paraId="7783360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1094" w:type="dxa"/>
          </w:tcPr>
          <w:p w14:paraId="7FBD30A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1104" w:type="dxa"/>
          </w:tcPr>
          <w:p w14:paraId="17FFEC1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r>
      <w:tr w:rsidR="00983732" w:rsidRPr="00A3026E" w14:paraId="4A29EA04" w14:textId="77777777" w:rsidTr="00EA0DA7">
        <w:trPr>
          <w:trHeight w:val="20"/>
        </w:trPr>
        <w:tc>
          <w:tcPr>
            <w:tcW w:w="1027" w:type="dxa"/>
          </w:tcPr>
          <w:p w14:paraId="4BF2575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2B0CF85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ВЭМ-63</w:t>
            </w:r>
          </w:p>
        </w:tc>
        <w:tc>
          <w:tcPr>
            <w:tcW w:w="1210" w:type="dxa"/>
          </w:tcPr>
          <w:p w14:paraId="2B9F549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1037" w:type="dxa"/>
          </w:tcPr>
          <w:p w14:paraId="1A7C96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94" w:type="dxa"/>
          </w:tcPr>
          <w:p w14:paraId="3896F8E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1104" w:type="dxa"/>
          </w:tcPr>
          <w:p w14:paraId="12D6814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r>
      <w:tr w:rsidR="00983732" w:rsidRPr="00A3026E" w14:paraId="13595B46" w14:textId="77777777" w:rsidTr="00EA0DA7">
        <w:trPr>
          <w:trHeight w:val="20"/>
        </w:trPr>
        <w:tc>
          <w:tcPr>
            <w:tcW w:w="1027" w:type="dxa"/>
          </w:tcPr>
          <w:p w14:paraId="45036CE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2F759E6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ВЭМ-107</w:t>
            </w:r>
          </w:p>
        </w:tc>
        <w:tc>
          <w:tcPr>
            <w:tcW w:w="1210" w:type="dxa"/>
          </w:tcPr>
          <w:p w14:paraId="4E4AB00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037" w:type="dxa"/>
          </w:tcPr>
          <w:p w14:paraId="224F075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94" w:type="dxa"/>
          </w:tcPr>
          <w:p w14:paraId="4CDA049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1104" w:type="dxa"/>
          </w:tcPr>
          <w:p w14:paraId="62EF59E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r>
      <w:tr w:rsidR="00983732" w:rsidRPr="00A3026E" w14:paraId="6DBEA55B" w14:textId="77777777" w:rsidTr="00EA0DA7">
        <w:trPr>
          <w:trHeight w:val="20"/>
        </w:trPr>
        <w:tc>
          <w:tcPr>
            <w:tcW w:w="1027" w:type="dxa"/>
          </w:tcPr>
          <w:p w14:paraId="660F4A2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739D473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1210" w:type="dxa"/>
          </w:tcPr>
          <w:p w14:paraId="73C2AD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2205</w:t>
            </w:r>
          </w:p>
        </w:tc>
        <w:tc>
          <w:tcPr>
            <w:tcW w:w="1037" w:type="dxa"/>
          </w:tcPr>
          <w:p w14:paraId="0E75A71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w:t>
            </w:r>
          </w:p>
        </w:tc>
        <w:tc>
          <w:tcPr>
            <w:tcW w:w="1094" w:type="dxa"/>
          </w:tcPr>
          <w:p w14:paraId="5296D47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w:t>
            </w:r>
          </w:p>
        </w:tc>
        <w:tc>
          <w:tcPr>
            <w:tcW w:w="1104" w:type="dxa"/>
          </w:tcPr>
          <w:p w14:paraId="7F62009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805</w:t>
            </w:r>
          </w:p>
        </w:tc>
      </w:tr>
      <w:tr w:rsidR="00983732" w:rsidRPr="00A3026E" w14:paraId="2BEB664D" w14:textId="77777777" w:rsidTr="00EA0DA7">
        <w:trPr>
          <w:trHeight w:val="20"/>
        </w:trPr>
        <w:tc>
          <w:tcPr>
            <w:tcW w:w="1027" w:type="dxa"/>
          </w:tcPr>
          <w:p w14:paraId="45DA8CE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238" w:type="dxa"/>
          </w:tcPr>
          <w:p w14:paraId="6C5CECC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ВИШ-61</w:t>
            </w:r>
          </w:p>
        </w:tc>
        <w:tc>
          <w:tcPr>
            <w:tcW w:w="1210" w:type="dxa"/>
          </w:tcPr>
          <w:p w14:paraId="43F3C31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037" w:type="dxa"/>
          </w:tcPr>
          <w:p w14:paraId="798F2EE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1094" w:type="dxa"/>
          </w:tcPr>
          <w:p w14:paraId="05082C7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175</w:t>
            </w:r>
          </w:p>
        </w:tc>
        <w:tc>
          <w:tcPr>
            <w:tcW w:w="1104" w:type="dxa"/>
          </w:tcPr>
          <w:p w14:paraId="259DA5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w:t>
            </w:r>
          </w:p>
        </w:tc>
      </w:tr>
      <w:tr w:rsidR="00983732" w:rsidRPr="00A3026E" w14:paraId="1A2D853E" w14:textId="77777777" w:rsidTr="00EA0DA7">
        <w:trPr>
          <w:trHeight w:val="20"/>
        </w:trPr>
        <w:tc>
          <w:tcPr>
            <w:tcW w:w="1027" w:type="dxa"/>
          </w:tcPr>
          <w:p w14:paraId="00C0656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6FFDDFB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ВИШ-22Е</w:t>
            </w:r>
          </w:p>
        </w:tc>
        <w:tc>
          <w:tcPr>
            <w:tcW w:w="1210" w:type="dxa"/>
          </w:tcPr>
          <w:p w14:paraId="797BCF5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c>
          <w:tcPr>
            <w:tcW w:w="1037" w:type="dxa"/>
          </w:tcPr>
          <w:p w14:paraId="1DCDFE9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1094" w:type="dxa"/>
          </w:tcPr>
          <w:p w14:paraId="02ADCE4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w:t>
            </w:r>
          </w:p>
        </w:tc>
        <w:tc>
          <w:tcPr>
            <w:tcW w:w="1104" w:type="dxa"/>
          </w:tcPr>
          <w:p w14:paraId="60CFAD0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675</w:t>
            </w:r>
          </w:p>
        </w:tc>
      </w:tr>
      <w:tr w:rsidR="00983732" w:rsidRPr="00A3026E" w14:paraId="131E618A" w14:textId="77777777" w:rsidTr="00EA0DA7">
        <w:trPr>
          <w:trHeight w:val="20"/>
        </w:trPr>
        <w:tc>
          <w:tcPr>
            <w:tcW w:w="1027" w:type="dxa"/>
          </w:tcPr>
          <w:p w14:paraId="5F5D5FA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1C2AA7F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ВИШ-23</w:t>
            </w:r>
          </w:p>
        </w:tc>
        <w:tc>
          <w:tcPr>
            <w:tcW w:w="1210" w:type="dxa"/>
          </w:tcPr>
          <w:p w14:paraId="2B7A679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1037" w:type="dxa"/>
          </w:tcPr>
          <w:p w14:paraId="11E5539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1094" w:type="dxa"/>
          </w:tcPr>
          <w:p w14:paraId="25C5919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1104" w:type="dxa"/>
          </w:tcPr>
          <w:p w14:paraId="27701D3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3C824299" w14:textId="77777777" w:rsidTr="00EA0DA7">
        <w:trPr>
          <w:trHeight w:val="20"/>
        </w:trPr>
        <w:tc>
          <w:tcPr>
            <w:tcW w:w="1027" w:type="dxa"/>
          </w:tcPr>
          <w:p w14:paraId="0F909D5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39F0BA8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АВ-1</w:t>
            </w:r>
          </w:p>
        </w:tc>
        <w:tc>
          <w:tcPr>
            <w:tcW w:w="1210" w:type="dxa"/>
          </w:tcPr>
          <w:p w14:paraId="6331393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1037" w:type="dxa"/>
          </w:tcPr>
          <w:p w14:paraId="726CE13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094" w:type="dxa"/>
          </w:tcPr>
          <w:p w14:paraId="560842C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104" w:type="dxa"/>
          </w:tcPr>
          <w:p w14:paraId="15F6EA2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23A7003D" w14:textId="77777777" w:rsidTr="00EA0DA7">
        <w:trPr>
          <w:trHeight w:val="20"/>
        </w:trPr>
        <w:tc>
          <w:tcPr>
            <w:tcW w:w="1027" w:type="dxa"/>
          </w:tcPr>
          <w:p w14:paraId="6C41AC4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2E7B826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ВИШ-21</w:t>
            </w:r>
          </w:p>
        </w:tc>
        <w:tc>
          <w:tcPr>
            <w:tcW w:w="1210" w:type="dxa"/>
          </w:tcPr>
          <w:p w14:paraId="5345818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tc>
        <w:tc>
          <w:tcPr>
            <w:tcW w:w="1037" w:type="dxa"/>
          </w:tcPr>
          <w:p w14:paraId="2C86098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1094" w:type="dxa"/>
          </w:tcPr>
          <w:p w14:paraId="2D286DD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c>
          <w:tcPr>
            <w:tcW w:w="1104" w:type="dxa"/>
          </w:tcPr>
          <w:p w14:paraId="0309A26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w:t>
            </w:r>
          </w:p>
        </w:tc>
      </w:tr>
      <w:tr w:rsidR="00983732" w:rsidRPr="00A3026E" w14:paraId="60B76AF7" w14:textId="77777777" w:rsidTr="00EA0DA7">
        <w:trPr>
          <w:trHeight w:val="20"/>
        </w:trPr>
        <w:tc>
          <w:tcPr>
            <w:tcW w:w="1027" w:type="dxa"/>
          </w:tcPr>
          <w:p w14:paraId="58C0E2F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7ACF7D5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w:t>
            </w:r>
          </w:p>
        </w:tc>
        <w:tc>
          <w:tcPr>
            <w:tcW w:w="1210" w:type="dxa"/>
          </w:tcPr>
          <w:p w14:paraId="050920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1037" w:type="dxa"/>
          </w:tcPr>
          <w:p w14:paraId="4A3614E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094" w:type="dxa"/>
          </w:tcPr>
          <w:p w14:paraId="17CD069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104" w:type="dxa"/>
          </w:tcPr>
          <w:p w14:paraId="2F8371F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r>
      <w:tr w:rsidR="00983732" w:rsidRPr="00A3026E" w14:paraId="6D63D013" w14:textId="77777777" w:rsidTr="00EA0DA7">
        <w:trPr>
          <w:trHeight w:val="20"/>
        </w:trPr>
        <w:tc>
          <w:tcPr>
            <w:tcW w:w="1027" w:type="dxa"/>
            <w:tcBorders>
              <w:bottom w:val="single" w:sz="12" w:space="0" w:color="auto"/>
            </w:tcBorders>
          </w:tcPr>
          <w:p w14:paraId="778F70F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Borders>
              <w:bottom w:val="single" w:sz="12" w:space="0" w:color="auto"/>
            </w:tcBorders>
          </w:tcPr>
          <w:p w14:paraId="54ED17B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1210" w:type="dxa"/>
            <w:tcBorders>
              <w:bottom w:val="single" w:sz="12" w:space="0" w:color="auto"/>
            </w:tcBorders>
          </w:tcPr>
          <w:p w14:paraId="26B3574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2925</w:t>
            </w:r>
          </w:p>
        </w:tc>
        <w:tc>
          <w:tcPr>
            <w:tcW w:w="1037" w:type="dxa"/>
            <w:tcBorders>
              <w:bottom w:val="single" w:sz="12" w:space="0" w:color="auto"/>
            </w:tcBorders>
          </w:tcPr>
          <w:p w14:paraId="4928983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1125</w:t>
            </w:r>
          </w:p>
        </w:tc>
        <w:tc>
          <w:tcPr>
            <w:tcW w:w="1094" w:type="dxa"/>
            <w:tcBorders>
              <w:bottom w:val="single" w:sz="12" w:space="0" w:color="auto"/>
            </w:tcBorders>
          </w:tcPr>
          <w:p w14:paraId="3565144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1225</w:t>
            </w:r>
          </w:p>
        </w:tc>
        <w:tc>
          <w:tcPr>
            <w:tcW w:w="1104" w:type="dxa"/>
            <w:tcBorders>
              <w:bottom w:val="single" w:sz="12" w:space="0" w:color="auto"/>
            </w:tcBorders>
          </w:tcPr>
          <w:p w14:paraId="01C7E9D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1475</w:t>
            </w:r>
          </w:p>
        </w:tc>
      </w:tr>
    </w:tbl>
    <w:p w14:paraId="29324E5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(9820,73).</w:t>
      </w:r>
    </w:p>
    <w:p w14:paraId="09F4E7B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740CDFFA" w14:textId="77777777" w:rsidR="00963159" w:rsidRPr="00A3026E" w:rsidRDefault="00963159" w:rsidP="00A3026E">
      <w:pPr>
        <w:pStyle w:val="ae"/>
        <w:shd w:val="clear" w:color="auto" w:fill="FFFFFF"/>
        <w:spacing w:before="0" w:after="0"/>
        <w:jc w:val="both"/>
        <w:rPr>
          <w:color w:val="0070C0"/>
          <w:sz w:val="16"/>
          <w:szCs w:val="16"/>
        </w:rPr>
      </w:pPr>
      <w:r w:rsidRPr="00A3026E">
        <w:rPr>
          <w:color w:val="0070C0"/>
          <w:sz w:val="16"/>
          <w:szCs w:val="16"/>
        </w:rPr>
        <w:t>26 декабря 1940г. было решение Технического Совета НИИ № 3 НКБ о представления к Премии товарища Сталина работников НИИ № 3.</w:t>
      </w:r>
    </w:p>
    <w:p w14:paraId="2CF96964" w14:textId="77777777" w:rsidR="00963159" w:rsidRPr="00A3026E" w:rsidRDefault="00963159" w:rsidP="00A3026E">
      <w:pPr>
        <w:pStyle w:val="ae"/>
        <w:shd w:val="clear" w:color="auto" w:fill="FFFFFF"/>
        <w:spacing w:before="0" w:after="0"/>
        <w:jc w:val="both"/>
        <w:rPr>
          <w:color w:val="0070C0"/>
          <w:sz w:val="16"/>
          <w:szCs w:val="16"/>
        </w:rPr>
      </w:pPr>
      <w:r w:rsidRPr="00A3026E">
        <w:rPr>
          <w:color w:val="0070C0"/>
          <w:sz w:val="16"/>
          <w:szCs w:val="16"/>
        </w:rPr>
        <w:t>В письме и.о. директора НИИ № 3, военинженера 1 ранга Костикова А.Г. о возможности представления в К.В.Ш. при СНК СССР данных для присуждения премии товарища Сталина, по результатам работ в период с 1935 по 1940 годы, указываются следующие участники работ:</w:t>
      </w:r>
    </w:p>
    <w:p w14:paraId="774CE6A2" w14:textId="77777777" w:rsidR="00963159" w:rsidRPr="00A3026E" w:rsidRDefault="00963159"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ракетная автоустановка для внезапного, мощного артиллерийского и химического нападения на противника с помощью ракетных снарядов – Авторы по заявочному свидетельству ГБПРИ №3338 9.II.40г (авторское свидетельство № 3338 от 19 февраля 1940 года) Костиков Андрей Григорьевич, Гвай Иван Исидорович, Аборенков Василий Васильевич.</w:t>
      </w:r>
    </w:p>
    <w:p w14:paraId="5C38D5BA" w14:textId="77777777" w:rsidR="00963159" w:rsidRPr="00A3026E" w:rsidRDefault="00963159"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тактико-техническое обоснование схемы и конструкции автоустановки – конструкторы: Павленко Алексей Петрович и Галковский Владимир Николаевич.</w:t>
      </w:r>
    </w:p>
    <w:p w14:paraId="0B6C2A99" w14:textId="77777777" w:rsidR="00963159" w:rsidRPr="00A3026E" w:rsidRDefault="00963159"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отработка ракетных осколочно-фугасных химических снарядов калибра 132 мм. – Шварц Леонид Эмильевич, Артемьев Владимир Андреевич, Шитов Дмитрий Александрович (21476).</w:t>
      </w:r>
    </w:p>
    <w:p w14:paraId="4FAAE3E2" w14:textId="77777777" w:rsidR="00963159" w:rsidRPr="00A3026E" w:rsidRDefault="00963159" w:rsidP="00A3026E">
      <w:pPr>
        <w:pStyle w:val="ae"/>
        <w:shd w:val="clear" w:color="auto" w:fill="FFFFFF"/>
        <w:spacing w:before="0" w:after="0"/>
        <w:jc w:val="both"/>
        <w:rPr>
          <w:color w:val="0070C0"/>
          <w:sz w:val="16"/>
          <w:szCs w:val="16"/>
        </w:rPr>
      </w:pPr>
    </w:p>
    <w:p w14:paraId="136AAF47" w14:textId="77777777" w:rsidR="005D6F1A"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7ED2EF10" w14:textId="77777777" w:rsidR="005D6F1A" w:rsidRPr="00A3026E" w:rsidRDefault="005D6F1A" w:rsidP="00A3026E">
      <w:pPr>
        <w:spacing w:after="0" w:line="240" w:lineRule="auto"/>
        <w:jc w:val="both"/>
        <w:rPr>
          <w:rFonts w:ascii="Times New Roman" w:hAnsi="Times New Roman"/>
          <w:iCs/>
          <w:color w:val="000000" w:themeColor="text1"/>
          <w:sz w:val="16"/>
          <w:szCs w:val="16"/>
        </w:rPr>
      </w:pPr>
    </w:p>
    <w:p w14:paraId="7D2A2275" w14:textId="77777777" w:rsidR="005D6F1A" w:rsidRPr="00A3026E" w:rsidRDefault="005D6F1A" w:rsidP="00A3026E">
      <w:pPr>
        <w:pStyle w:val="a3"/>
        <w:rPr>
          <w:color w:val="000000" w:themeColor="text1"/>
          <w:lang w:val="ru-RU"/>
        </w:rPr>
      </w:pPr>
      <w:r w:rsidRPr="00A3026E">
        <w:rPr>
          <w:color w:val="000000" w:themeColor="text1"/>
          <w:lang w:val="ru-RU"/>
        </w:rPr>
        <w:t xml:space="preserve">26 декабря 1940 го дадатировано письмо начальника 2-го отдела Арткома ГАУ подполковника М.М. Жеванни- ка начальнику НТО УВНА КА (Научно-технический </w:t>
      </w:r>
      <w:r w:rsidRPr="00A3026E">
        <w:rPr>
          <w:color w:val="000000" w:themeColor="text1"/>
          <w:lang w:val="ru-RU"/>
        </w:rPr>
        <w:lastRenderedPageBreak/>
        <w:t>отдел управле</w:t>
      </w:r>
      <w:r w:rsidRPr="00A3026E">
        <w:rPr>
          <w:color w:val="000000" w:themeColor="text1"/>
          <w:lang w:val="ru-RU"/>
        </w:rPr>
        <w:softHyphen/>
        <w:t>ния вооружений наземной артилерии Красной Армии) военинженеру 1-го ранга Комарову:</w:t>
      </w:r>
    </w:p>
    <w:p w14:paraId="5478E733"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«В виду того, что самоходы находятся в ведении НТО УВНА, заключе</w:t>
      </w:r>
      <w:r w:rsidRPr="00A3026E">
        <w:rPr>
          <w:i w:val="0"/>
          <w:color w:val="000000" w:themeColor="text1"/>
          <w:sz w:val="16"/>
          <w:szCs w:val="16"/>
        </w:rPr>
        <w:softHyphen/>
        <w:t>ние и доклад по письму Кировского завода должны быть составлены НТО УВНА.</w:t>
      </w:r>
    </w:p>
    <w:p w14:paraId="3D4A83BE"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Сообщаю мнение 2 отдела Арткома по существу вопроса:</w:t>
      </w:r>
    </w:p>
    <w:p w14:paraId="6EACDF4C" w14:textId="77777777" w:rsidR="005D6F1A" w:rsidRPr="00A3026E" w:rsidRDefault="005D6F1A" w:rsidP="00A3026E">
      <w:pPr>
        <w:pStyle w:val="Bodytext141"/>
        <w:shd w:val="clear" w:color="auto" w:fill="auto"/>
        <w:tabs>
          <w:tab w:val="left" w:pos="3774"/>
        </w:tabs>
        <w:spacing w:line="240" w:lineRule="auto"/>
        <w:ind w:firstLine="0"/>
        <w:jc w:val="both"/>
        <w:rPr>
          <w:i w:val="0"/>
          <w:color w:val="000000" w:themeColor="text1"/>
          <w:sz w:val="16"/>
          <w:szCs w:val="16"/>
        </w:rPr>
      </w:pPr>
      <w:r w:rsidRPr="00A3026E">
        <w:rPr>
          <w:i w:val="0"/>
          <w:color w:val="000000" w:themeColor="text1"/>
          <w:sz w:val="16"/>
          <w:szCs w:val="16"/>
        </w:rPr>
        <w:t>1. На основании предварительных расчетов Кировский завод считает, что боевой вес самохода вместе с орудием БР-2 будет порядка 65 тонн, вместо предусмотренного проектом ТТТ веса в 55 тонн.</w:t>
      </w:r>
    </w:p>
    <w:p w14:paraId="78FF4730"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В виду того, что предельный вес машины, могущей быть погруженной на железнодорожную платформу, не должен превышать 60 тонн, а вес самохода без боеприпасов, без экипажа и без горючего получается равным порядка 60 тонн, 2-й отдел Арткома считает, что с отступлением от веса по проекту ТТ (55 тонн) можно мириться, добиваясь уменьшения веса на 2 тонны за счет небольшого уменьшения толщины брони башни.</w:t>
      </w:r>
    </w:p>
    <w:p w14:paraId="745B01E2"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i w:val="0"/>
          <w:color w:val="000000" w:themeColor="text1"/>
          <w:sz w:val="16"/>
          <w:szCs w:val="16"/>
        </w:rPr>
        <w:t>Более чувствительное уменьшение веса самохода должно быть достиг</w:t>
      </w:r>
      <w:r w:rsidRPr="00A3026E">
        <w:rPr>
          <w:i w:val="0"/>
          <w:color w:val="000000" w:themeColor="text1"/>
          <w:sz w:val="16"/>
          <w:szCs w:val="16"/>
        </w:rPr>
        <w:softHyphen/>
        <w:t>нуто заменой пушки БР-2 пушкой Б-13.</w:t>
      </w:r>
    </w:p>
    <w:p w14:paraId="62642845" w14:textId="77777777" w:rsidR="005D6F1A" w:rsidRPr="00A3026E" w:rsidRDefault="005D6F1A" w:rsidP="00A3026E">
      <w:pPr>
        <w:pStyle w:val="Bodytext141"/>
        <w:shd w:val="clear" w:color="auto" w:fill="auto"/>
        <w:tabs>
          <w:tab w:val="left" w:pos="3802"/>
        </w:tabs>
        <w:spacing w:line="240" w:lineRule="auto"/>
        <w:ind w:firstLine="0"/>
        <w:jc w:val="both"/>
        <w:rPr>
          <w:i w:val="0"/>
          <w:color w:val="000000" w:themeColor="text1"/>
          <w:sz w:val="16"/>
          <w:szCs w:val="16"/>
        </w:rPr>
      </w:pPr>
      <w:r w:rsidRPr="00A3026E">
        <w:rPr>
          <w:i w:val="0"/>
          <w:color w:val="000000" w:themeColor="text1"/>
          <w:sz w:val="16"/>
          <w:szCs w:val="16"/>
        </w:rPr>
        <w:t>2. Причина уменьшения скоростей наведения по сравнению с полевой системой БР-2 без рассмотрения проектных чертежей 2-му отделу Арт</w:t>
      </w:r>
      <w:r w:rsidRPr="00A3026E">
        <w:rPr>
          <w:i w:val="0"/>
          <w:color w:val="000000" w:themeColor="text1"/>
          <w:sz w:val="16"/>
          <w:szCs w:val="16"/>
        </w:rPr>
        <w:softHyphen/>
        <w:t>кома не понятна.</w:t>
      </w:r>
    </w:p>
    <w:p w14:paraId="3769D1EF" w14:textId="77777777" w:rsidR="005D6F1A" w:rsidRPr="00A3026E" w:rsidRDefault="005D6F1A" w:rsidP="00A3026E">
      <w:pPr>
        <w:pStyle w:val="Bodytext141"/>
        <w:shd w:val="clear" w:color="auto" w:fill="auto"/>
        <w:tabs>
          <w:tab w:val="left" w:pos="3774"/>
        </w:tabs>
        <w:spacing w:line="240" w:lineRule="auto"/>
        <w:ind w:firstLine="0"/>
        <w:jc w:val="both"/>
        <w:rPr>
          <w:i w:val="0"/>
          <w:color w:val="000000" w:themeColor="text1"/>
          <w:sz w:val="16"/>
          <w:szCs w:val="16"/>
        </w:rPr>
      </w:pPr>
      <w:r w:rsidRPr="00A3026E">
        <w:rPr>
          <w:i w:val="0"/>
          <w:color w:val="000000" w:themeColor="text1"/>
          <w:sz w:val="16"/>
          <w:szCs w:val="16"/>
        </w:rPr>
        <w:t>3. По нашему мнению, механизмы наведения должны быть использова</w:t>
      </w:r>
      <w:r w:rsidRPr="00A3026E">
        <w:rPr>
          <w:i w:val="0"/>
          <w:color w:val="000000" w:themeColor="text1"/>
          <w:sz w:val="16"/>
          <w:szCs w:val="16"/>
        </w:rPr>
        <w:softHyphen/>
        <w:t>ны от БР-2 с изменением только мест крепления.</w:t>
      </w:r>
    </w:p>
    <w:p w14:paraId="71A782C1" w14:textId="77777777" w:rsidR="005D6F1A" w:rsidRPr="00A3026E" w:rsidRDefault="005D6F1A" w:rsidP="00A3026E">
      <w:pPr>
        <w:pStyle w:val="Bodytext141"/>
        <w:shd w:val="clear" w:color="auto" w:fill="auto"/>
        <w:spacing w:line="240" w:lineRule="auto"/>
        <w:ind w:firstLine="0"/>
        <w:jc w:val="both"/>
        <w:rPr>
          <w:i w:val="0"/>
          <w:color w:val="000000" w:themeColor="text1"/>
          <w:sz w:val="16"/>
          <w:szCs w:val="16"/>
        </w:rPr>
      </w:pPr>
      <w:r w:rsidRPr="00A3026E">
        <w:rPr>
          <w:rStyle w:val="Bodytext147"/>
          <w:i w:val="0"/>
          <w:iCs w:val="0"/>
          <w:color w:val="000000" w:themeColor="text1"/>
          <w:sz w:val="16"/>
          <w:szCs w:val="16"/>
        </w:rPr>
        <w:t>Для</w:t>
      </w:r>
      <w:r w:rsidRPr="00A3026E">
        <w:rPr>
          <w:i w:val="0"/>
          <w:color w:val="000000" w:themeColor="text1"/>
          <w:sz w:val="16"/>
          <w:szCs w:val="16"/>
        </w:rPr>
        <w:t xml:space="preserve"> возможности стрельбы под углами снижения порядка —15—20°, а также с целью удержания воздуха в накатнике при спусках самохода с уклона, следует предложить Кировскому заводу удлинить трубки, име</w:t>
      </w:r>
      <w:r w:rsidRPr="00A3026E">
        <w:rPr>
          <w:i w:val="0"/>
          <w:color w:val="000000" w:themeColor="text1"/>
          <w:sz w:val="16"/>
          <w:szCs w:val="16"/>
        </w:rPr>
        <w:softHyphen/>
        <w:t>ющиеся в накатнике. Величина удлинения трубки должна быть определе</w:t>
      </w:r>
      <w:r w:rsidRPr="00A3026E">
        <w:rPr>
          <w:i w:val="0"/>
          <w:color w:val="000000" w:themeColor="text1"/>
          <w:sz w:val="16"/>
          <w:szCs w:val="16"/>
        </w:rPr>
        <w:softHyphen/>
        <w:t>на с таким расчетом, чтобы не нарушить надежность удержания воздуха также и при углах возвышения порядка 35°.</w:t>
      </w:r>
    </w:p>
    <w:p w14:paraId="42502A83" w14:textId="77777777" w:rsidR="005D6F1A" w:rsidRPr="00A3026E" w:rsidRDefault="005D6F1A" w:rsidP="00A3026E">
      <w:pPr>
        <w:pStyle w:val="Bodytext141"/>
        <w:shd w:val="clear" w:color="auto" w:fill="auto"/>
        <w:tabs>
          <w:tab w:val="left" w:pos="562"/>
        </w:tabs>
        <w:spacing w:line="240" w:lineRule="auto"/>
        <w:ind w:firstLine="0"/>
        <w:jc w:val="both"/>
        <w:rPr>
          <w:i w:val="0"/>
          <w:color w:val="000000" w:themeColor="text1"/>
          <w:sz w:val="16"/>
          <w:szCs w:val="16"/>
        </w:rPr>
      </w:pPr>
      <w:r w:rsidRPr="00A3026E">
        <w:rPr>
          <w:i w:val="0"/>
          <w:color w:val="000000" w:themeColor="text1"/>
          <w:sz w:val="16"/>
          <w:szCs w:val="16"/>
        </w:rPr>
        <w:t>4. Угол горизонтального обстрела в 8° (+/—4°) следует признать до</w:t>
      </w:r>
      <w:r w:rsidRPr="00A3026E">
        <w:rPr>
          <w:i w:val="0"/>
          <w:color w:val="000000" w:themeColor="text1"/>
          <w:sz w:val="16"/>
          <w:szCs w:val="16"/>
        </w:rPr>
        <w:softHyphen/>
        <w:t>статочным.</w:t>
      </w:r>
    </w:p>
    <w:p w14:paraId="187BBBEF" w14:textId="77777777" w:rsidR="005D6F1A" w:rsidRPr="00A3026E" w:rsidRDefault="005D6F1A" w:rsidP="00A3026E">
      <w:pPr>
        <w:pStyle w:val="Bodytext141"/>
        <w:shd w:val="clear" w:color="auto" w:fill="auto"/>
        <w:tabs>
          <w:tab w:val="left" w:pos="577"/>
        </w:tabs>
        <w:spacing w:line="240" w:lineRule="auto"/>
        <w:ind w:firstLine="0"/>
        <w:jc w:val="both"/>
        <w:rPr>
          <w:i w:val="0"/>
          <w:color w:val="000000" w:themeColor="text1"/>
          <w:sz w:val="16"/>
          <w:szCs w:val="16"/>
        </w:rPr>
      </w:pPr>
      <w:r w:rsidRPr="00A3026E">
        <w:rPr>
          <w:i w:val="0"/>
          <w:color w:val="000000" w:themeColor="text1"/>
          <w:sz w:val="16"/>
          <w:szCs w:val="16"/>
        </w:rPr>
        <w:t>5. Уменьшение количества выстрелов в боекомплекте с 50, согласно проекта ТТТ, до 47» (17484).</w:t>
      </w:r>
    </w:p>
    <w:p w14:paraId="5DE57938" w14:textId="77777777" w:rsidR="005D6F1A" w:rsidRPr="00A3026E" w:rsidRDefault="005D6F1A" w:rsidP="00A3026E">
      <w:pPr>
        <w:spacing w:after="0" w:line="240" w:lineRule="auto"/>
        <w:jc w:val="both"/>
        <w:rPr>
          <w:rFonts w:ascii="Times New Roman" w:hAnsi="Times New Roman"/>
          <w:color w:val="000000" w:themeColor="text1"/>
          <w:sz w:val="16"/>
          <w:szCs w:val="16"/>
        </w:rPr>
      </w:pPr>
    </w:p>
    <w:p w14:paraId="68EEB044"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26/27 декабря 1940 г.</w:t>
      </w:r>
    </w:p>
    <w:p w14:paraId="27ED1884"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РГВА Фонд 4 Опись 14 Дело 2892 лист 103</w:t>
      </w:r>
    </w:p>
    <w:p w14:paraId="4DD24470"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СЕКРЕТНО</w:t>
      </w:r>
    </w:p>
    <w:p w14:paraId="16985747"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Экз. № 1</w:t>
      </w:r>
    </w:p>
    <w:p w14:paraId="6D59096B"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26/27 XII 1940 г.</w:t>
      </w:r>
    </w:p>
    <w:p w14:paraId="0BCB4AC8"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10604/КО</w:t>
      </w:r>
    </w:p>
    <w:p w14:paraId="11008658"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НКО – тов. КУЛИК Г.И.</w:t>
      </w:r>
    </w:p>
    <w:p w14:paraId="5C2E8D79"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 № 18169с.</w:t>
      </w:r>
    </w:p>
    <w:p w14:paraId="00F63AF2"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Сообщаю резолюцию Председателя Комитета Обороны тов. Ворошилова К.Е. на Вашем письме по вопросу изготовления планетарной трансмиссии для танка Т-34.</w:t>
      </w:r>
    </w:p>
    <w:p w14:paraId="013FFD2E"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Резолюция: "т. Кулик. Почему эту работу не провести по плану опытных работ? Почему не дать заказ 183 заводу непосредственно? К. Ворошилов. 25.12.40 г.".</w:t>
      </w:r>
    </w:p>
    <w:p w14:paraId="0EE08816"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СЕКРЕТАРЬ КОМИТЕТА ОБОРОНЫ при СНК Союза ССР</w:t>
      </w:r>
    </w:p>
    <w:p w14:paraId="56D15FB6"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подпись (М. ПУГАЕВ)</w:t>
      </w:r>
    </w:p>
    <w:p w14:paraId="39519EA6"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кд/2</w:t>
      </w:r>
    </w:p>
    <w:p w14:paraId="0B401A14"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26.XII.40 г.</w:t>
      </w:r>
    </w:p>
    <w:p w14:paraId="35352797"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15659</w:t>
      </w:r>
    </w:p>
    <w:p w14:paraId="533C99C8"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исп. Сивов (20385).</w:t>
      </w:r>
    </w:p>
    <w:p w14:paraId="56E463E6" w14:textId="77777777" w:rsidR="00F5366E" w:rsidRPr="00A3026E" w:rsidRDefault="00F5366E" w:rsidP="00A3026E">
      <w:pPr>
        <w:spacing w:after="0" w:line="240" w:lineRule="auto"/>
        <w:jc w:val="both"/>
        <w:rPr>
          <w:rFonts w:ascii="Times New Roman" w:hAnsi="Times New Roman"/>
          <w:color w:val="0070C0"/>
          <w:sz w:val="16"/>
          <w:szCs w:val="16"/>
        </w:rPr>
      </w:pPr>
    </w:p>
    <w:p w14:paraId="12D94B05"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26 декабря 1940 г. было п</w:t>
      </w:r>
      <w:hyperlink r:id="rId172" w:tgtFrame="_blank" w:history="1">
        <w:r w:rsidRPr="00A3026E">
          <w:rPr>
            <w:rStyle w:val="a5"/>
            <w:rFonts w:ascii="Times New Roman" w:hAnsi="Times New Roman"/>
            <w:color w:val="0070C0"/>
            <w:sz w:val="16"/>
            <w:szCs w:val="16"/>
          </w:rPr>
          <w:t>исьмо № 10604/КО</w:t>
        </w:r>
      </w:hyperlink>
      <w:r w:rsidRPr="00A3026E">
        <w:rPr>
          <w:rFonts w:ascii="Times New Roman" w:hAnsi="Times New Roman"/>
          <w:color w:val="0070C0"/>
          <w:sz w:val="16"/>
          <w:szCs w:val="16"/>
        </w:rPr>
        <w:t> секретаря Комитета обороны при СНК СССР М.П. Пугаева:</w:t>
      </w:r>
    </w:p>
    <w:p w14:paraId="351FB7D6"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«Сообщаю резолюцию Председателя Комитета Обороны тов. Ворошилова К.Е. на Вашем письме по вопросу изготовления планетарной трансмиссии для танка Т-34.</w:t>
      </w:r>
    </w:p>
    <w:p w14:paraId="1CDC6F5A"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Резолюция: "т. Кулик. Почему эту работу не провести по плану опытных работ? Почему не дать заказ 183 заводу непосредственно? К. Ворошилов. 25.12.40 г."».</w:t>
      </w:r>
    </w:p>
    <w:p w14:paraId="4FA884AB" w14:textId="77777777" w:rsidR="00F5366E" w:rsidRPr="00A3026E" w:rsidRDefault="00F5366E"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[РГВА. Ф. 4. Оп. 14. Д. 2892. Л. 103] (20377).</w:t>
      </w:r>
    </w:p>
    <w:p w14:paraId="0EF67E13" w14:textId="77777777" w:rsidR="00F5366E" w:rsidRPr="00A3026E" w:rsidRDefault="00F5366E" w:rsidP="00A3026E">
      <w:pPr>
        <w:spacing w:after="0" w:line="240" w:lineRule="auto"/>
        <w:jc w:val="both"/>
        <w:rPr>
          <w:rFonts w:ascii="Times New Roman" w:hAnsi="Times New Roman"/>
          <w:color w:val="0070C0"/>
          <w:sz w:val="16"/>
          <w:szCs w:val="16"/>
        </w:rPr>
      </w:pPr>
    </w:p>
    <w:p w14:paraId="4768386D" w14:textId="77777777" w:rsidR="0014077F"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04499AB2"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6C064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декабря 1940 выступил П.Рычагов с докладом "ВВС в наступательной операции и борьбе за господство в воздухе". Идея упредительного удара по аэродромам и действие по всей глубине с тем, чтобы завоевать господство в воздухе (2536,344).</w:t>
      </w:r>
    </w:p>
    <w:p w14:paraId="6DCDE1B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E58E4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декабря 1940 на совещании выступил и Д.Павлов (Ком. ЗОВО) с докладом "использование механизированных соединений в современной наступательной операции и ввод мехкорпуса в прорыв" (2536,345).</w:t>
      </w:r>
    </w:p>
    <w:p w14:paraId="0352270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1B0A286" w14:textId="77777777" w:rsidR="0014077F" w:rsidRPr="00A3026E" w:rsidRDefault="0014077F"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Между 26 декабря 1940 и 1 января 1941. </w:t>
      </w:r>
      <w:r w:rsidRPr="00A3026E">
        <w:rPr>
          <w:rStyle w:val="a7"/>
          <w:rFonts w:ascii="Times New Roman" w:hAnsi="Times New Roman"/>
          <w:b w:val="0"/>
          <w:bCs w:val="0"/>
          <w:color w:val="000000" w:themeColor="text1"/>
          <w:sz w:val="16"/>
          <w:szCs w:val="16"/>
        </w:rPr>
        <w:t>Протокол заседания Политбюро № 23, 1940 г.</w:t>
      </w:r>
    </w:p>
    <w:p w14:paraId="705793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нормах расхода чая по основному красноармейскому пайку в частях Красной армии</w:t>
      </w:r>
    </w:p>
    <w:p w14:paraId="6ACCDA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...Установить с 1 января 1941 года норму расхода чая по основному красноармейскому пайку в частях Красной армии в 35 граммов на одного человека в месяц (11652).</w:t>
      </w:r>
    </w:p>
    <w:p w14:paraId="4FD545A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3DD6B3C"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2067C1A7"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477CE9E0" w14:textId="77777777" w:rsidR="0014077F" w:rsidRPr="00A3026E" w:rsidRDefault="0014077F" w:rsidP="00A3026E">
      <w:pPr>
        <w:spacing w:after="0" w:line="240" w:lineRule="auto"/>
        <w:jc w:val="both"/>
        <w:rPr>
          <w:rStyle w:val="a7"/>
          <w:rFonts w:ascii="Times New Roman" w:hAnsi="Times New Roman"/>
          <w:b w:val="0"/>
          <w:bCs w:val="0"/>
          <w:color w:val="000000" w:themeColor="text1"/>
          <w:sz w:val="16"/>
          <w:szCs w:val="16"/>
        </w:rPr>
      </w:pPr>
      <w:r w:rsidRPr="00A3026E">
        <w:rPr>
          <w:rFonts w:ascii="Times New Roman" w:hAnsi="Times New Roman"/>
          <w:color w:val="000000" w:themeColor="text1"/>
          <w:sz w:val="16"/>
          <w:szCs w:val="16"/>
        </w:rPr>
        <w:t xml:space="preserve">Между 26 декабря 1940 и 1 января 1941. </w:t>
      </w:r>
      <w:r w:rsidRPr="00A3026E">
        <w:rPr>
          <w:rStyle w:val="a7"/>
          <w:rFonts w:ascii="Times New Roman" w:hAnsi="Times New Roman"/>
          <w:b w:val="0"/>
          <w:bCs w:val="0"/>
          <w:color w:val="000000" w:themeColor="text1"/>
          <w:sz w:val="16"/>
          <w:szCs w:val="16"/>
        </w:rPr>
        <w:t>Протокол заседания Политбюро № 23, 1940 г.</w:t>
      </w:r>
    </w:p>
    <w:p w14:paraId="1E2517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Style w:val="a7"/>
          <w:rFonts w:ascii="Times New Roman" w:hAnsi="Times New Roman"/>
          <w:b w:val="0"/>
          <w:bCs w:val="0"/>
          <w:color w:val="000000" w:themeColor="text1"/>
          <w:sz w:val="16"/>
          <w:szCs w:val="16"/>
        </w:rPr>
        <w:t xml:space="preserve">О национализации автобусов, грузовых автомашин и гаражей в Литовской, Латвийской и Эстонской республиках </w:t>
      </w:r>
    </w:p>
    <w:p w14:paraId="100E32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Разрешить Совнаркомам Литовской, Латвийской и Эстонской ССР произвести национализацию принадлежащих частным лицам и ненационализированным предприятиям автобусов, грузовых автомашин, тягачей и прицепов со всеми принадлежностями, инструментом, запасными частями и материалами, а также гаражей, площадь которых превышает 40 кв. метров, мастерских и автостанций со всем их оборудованием (11652).</w:t>
      </w:r>
    </w:p>
    <w:p w14:paraId="0BB7AA0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0022928"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DF1A4DF"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0A4EC1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работы по переделке самолета в одноместный и установке АМ-38 были закончены. Доводка вооружения задерживалась из-за отсутствия второй пушки Я.Г.Таубина (462,11).</w:t>
      </w:r>
    </w:p>
    <w:p w14:paraId="0A611D3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AAAB427"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27 декбря 1940 С. В. Ильюшин официально довел до сведения заместителя начальника ВВС КА генерал-лейтенанта Ф. А. Астахова, «что работы по отработке установок пушек на самолете Ил-2 при</w:t>
      </w:r>
      <w:r w:rsidRPr="00A3026E">
        <w:rPr>
          <w:color w:val="000000" w:themeColor="text1"/>
          <w:sz w:val="16"/>
          <w:szCs w:val="16"/>
        </w:rPr>
        <w:softHyphen/>
        <w:t>остановлены за отсутствием пушек» (17500).</w:t>
      </w:r>
    </w:p>
    <w:p w14:paraId="11CE0899" w14:textId="77777777" w:rsidR="00D20661" w:rsidRPr="00A3026E" w:rsidRDefault="00D20661" w:rsidP="00A3026E">
      <w:pPr>
        <w:spacing w:after="0" w:line="240" w:lineRule="auto"/>
        <w:jc w:val="both"/>
        <w:rPr>
          <w:rFonts w:ascii="Times New Roman" w:eastAsia="Times New Roman" w:hAnsi="Times New Roman"/>
          <w:color w:val="000000" w:themeColor="text1"/>
          <w:sz w:val="16"/>
          <w:szCs w:val="16"/>
          <w:lang w:eastAsia="ru-RU"/>
        </w:rPr>
      </w:pPr>
    </w:p>
    <w:p w14:paraId="282C93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года Начальник НИИ ВВС утвердил Акт по гос. испытаниям образцов немагнитной авиаброни, предъявленных НИИ № 13 НКВ</w:t>
      </w:r>
    </w:p>
    <w:p w14:paraId="5125440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исполнитель</w:t>
      </w:r>
    </w:p>
    <w:p w14:paraId="1DAF25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14 отдела НИИ ВВС в/инженер 3 ранга Шлямин</w:t>
      </w:r>
    </w:p>
    <w:p w14:paraId="63387D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092B04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Определение пределов пулестойкости немагнитной брони на образцах, предъявленных НИИ № 13 и установление возможности использования ее в качестве материала при изготовлении броневых конструкций самолетов.</w:t>
      </w:r>
    </w:p>
    <w:p w14:paraId="525C72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Предъявленные в 1939 году НИИ № 13 образцы немагнитной авиаброни не удовлетворяли требованиям ВВС по пулестойкости, так как обладали сравнительно невысокой твердостью.</w:t>
      </w:r>
    </w:p>
    <w:p w14:paraId="3FACB0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этим работа по упрочнению, полученных в 1939 году первых образцов немагнитной брони, продолжилась в течении 1940 года.</w:t>
      </w:r>
    </w:p>
    <w:p w14:paraId="5EF59D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FB64A8F"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Предложить НИИ № 13 изготовить из немагнитной брони макет броневой кабины одного из самолетов (4531).</w:t>
      </w:r>
    </w:p>
    <w:p w14:paraId="5F56FB8E"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p>
    <w:p w14:paraId="26FD6B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был подписан Акт по гос. испытаниям образцов немагнитной авиационной брони, предъявленной НИИ 13 НКВ 18 октября 1940 (473).</w:t>
      </w:r>
    </w:p>
    <w:p w14:paraId="631F47E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2178F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Приказом НКАП завод №30 освобождался от производства Ил-2 и передавал всю оснастку и задел заводу №381 (12020).</w:t>
      </w:r>
    </w:p>
    <w:p w14:paraId="1CE69FF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692BBBD" w14:textId="77777777" w:rsidR="00F01C92" w:rsidRPr="00A3026E" w:rsidRDefault="00F01C92" w:rsidP="00A3026E">
      <w:pPr>
        <w:pStyle w:val="ae"/>
        <w:shd w:val="clear" w:color="auto" w:fill="FFFFFF"/>
        <w:spacing w:before="0" w:after="0"/>
        <w:jc w:val="both"/>
        <w:rPr>
          <w:color w:val="000000" w:themeColor="text1"/>
          <w:sz w:val="16"/>
          <w:szCs w:val="16"/>
        </w:rPr>
      </w:pPr>
      <w:r w:rsidRPr="00A3026E">
        <w:rPr>
          <w:color w:val="000000" w:themeColor="text1"/>
          <w:sz w:val="16"/>
          <w:szCs w:val="16"/>
        </w:rPr>
        <w:t xml:space="preserve">К 27 декабря 1940 г. штурмовик БШ-2 был готов, но пушки МП-6 с ленточным питанием по-прежнему не было. Тогда Ильюшин принял решение ставить на штурмовик пушку МП-6 с магазином и в этом виде готовить его к государственным испытаниям, назначенным на 10 января 1941 г. МП-6 с ленточным питанием удалось </w:t>
      </w:r>
      <w:r w:rsidRPr="00A3026E">
        <w:rPr>
          <w:color w:val="000000" w:themeColor="text1"/>
          <w:sz w:val="16"/>
          <w:szCs w:val="16"/>
        </w:rPr>
        <w:lastRenderedPageBreak/>
        <w:t>изготовить в первых числах января, буквально накануне испытаний. С 10 по 22 января состоялись сравнительные испытания пушек ВЯ и МП-6 с ленточным питанием на двух БШ-2 и обе пушки прошли их успешно. Но Ильюшин выбрал для штурмовика пушку ВЯ, мотивировав свое решение меньшим значением усилия её отдачи (19193).</w:t>
      </w:r>
    </w:p>
    <w:p w14:paraId="56391DAC" w14:textId="77777777" w:rsidR="00F01C92" w:rsidRPr="00A3026E" w:rsidRDefault="00F01C92" w:rsidP="00A3026E">
      <w:pPr>
        <w:pStyle w:val="ae"/>
        <w:shd w:val="clear" w:color="auto" w:fill="FFFFFF"/>
        <w:spacing w:before="0" w:after="0"/>
        <w:jc w:val="both"/>
        <w:rPr>
          <w:color w:val="000000" w:themeColor="text1"/>
          <w:sz w:val="16"/>
          <w:szCs w:val="16"/>
        </w:rPr>
      </w:pPr>
    </w:p>
    <w:p w14:paraId="76D97585" w14:textId="77777777" w:rsidR="00B600A9" w:rsidRPr="00A3026E" w:rsidRDefault="00B600A9" w:rsidP="00A3026E">
      <w:pPr>
        <w:pStyle w:val="171"/>
        <w:shd w:val="clear" w:color="auto" w:fill="auto"/>
        <w:spacing w:before="0" w:line="240" w:lineRule="auto"/>
        <w:ind w:firstLine="0"/>
        <w:jc w:val="both"/>
        <w:rPr>
          <w:rFonts w:ascii="Times New Roman" w:hAnsi="Times New Roman" w:cs="Times New Roman"/>
          <w:color w:val="0070C0"/>
          <w:sz w:val="16"/>
          <w:szCs w:val="16"/>
        </w:rPr>
      </w:pPr>
      <w:r w:rsidRPr="00A3026E">
        <w:rPr>
          <w:rFonts w:ascii="Times New Roman" w:hAnsi="Times New Roman" w:cs="Times New Roman"/>
          <w:color w:val="0070C0"/>
          <w:sz w:val="16"/>
          <w:szCs w:val="16"/>
        </w:rPr>
        <w:t>К 27 декабря 1940 самолет Су-6 все еще нахо</w:t>
      </w:r>
      <w:r w:rsidRPr="00A3026E">
        <w:rPr>
          <w:rFonts w:ascii="Times New Roman" w:hAnsi="Times New Roman" w:cs="Times New Roman"/>
          <w:color w:val="0070C0"/>
          <w:sz w:val="16"/>
          <w:szCs w:val="16"/>
        </w:rPr>
        <w:softHyphen/>
        <w:t>дился в стадии сборки. Были смонтиро</w:t>
      </w:r>
      <w:r w:rsidRPr="00A3026E">
        <w:rPr>
          <w:rFonts w:ascii="Times New Roman" w:hAnsi="Times New Roman" w:cs="Times New Roman"/>
          <w:color w:val="0070C0"/>
          <w:sz w:val="16"/>
          <w:szCs w:val="16"/>
        </w:rPr>
        <w:softHyphen/>
        <w:t>ваны крыло, шасси, оперение, моторная рама. 2 января 1941 г. завод №289 доло</w:t>
      </w:r>
      <w:r w:rsidRPr="00A3026E">
        <w:rPr>
          <w:rFonts w:ascii="Times New Roman" w:hAnsi="Times New Roman" w:cs="Times New Roman"/>
          <w:color w:val="0070C0"/>
          <w:sz w:val="16"/>
          <w:szCs w:val="16"/>
        </w:rPr>
        <w:softHyphen/>
        <w:t>жил, что «изготовление всех деталей са</w:t>
      </w:r>
      <w:r w:rsidRPr="00A3026E">
        <w:rPr>
          <w:rFonts w:ascii="Times New Roman" w:hAnsi="Times New Roman" w:cs="Times New Roman"/>
          <w:color w:val="0070C0"/>
          <w:sz w:val="16"/>
          <w:szCs w:val="16"/>
        </w:rPr>
        <w:softHyphen/>
        <w:t>молета закончено, проведен монтаж спе</w:t>
      </w:r>
      <w:r w:rsidRPr="00A3026E">
        <w:rPr>
          <w:rFonts w:ascii="Times New Roman" w:hAnsi="Times New Roman" w:cs="Times New Roman"/>
          <w:color w:val="0070C0"/>
          <w:sz w:val="16"/>
          <w:szCs w:val="16"/>
        </w:rPr>
        <w:softHyphen/>
        <w:t>цоборудования и вооружения», но «от</w:t>
      </w:r>
      <w:r w:rsidRPr="00A3026E">
        <w:rPr>
          <w:rFonts w:ascii="Times New Roman" w:hAnsi="Times New Roman" w:cs="Times New Roman"/>
          <w:color w:val="0070C0"/>
          <w:sz w:val="16"/>
          <w:szCs w:val="16"/>
        </w:rPr>
        <w:softHyphen/>
        <w:t>сутствует летный экземпляр мотора М-71, что задерживает монтажные и отладоч</w:t>
      </w:r>
      <w:r w:rsidRPr="00A3026E">
        <w:rPr>
          <w:rFonts w:ascii="Times New Roman" w:hAnsi="Times New Roman" w:cs="Times New Roman"/>
          <w:color w:val="0070C0"/>
          <w:sz w:val="16"/>
          <w:szCs w:val="16"/>
        </w:rPr>
        <w:softHyphen/>
        <w:t>ные работы». Дело в том, что мотор М-71 только в январе 1941 г. смог удовлетво</w:t>
      </w:r>
      <w:r w:rsidRPr="00A3026E">
        <w:rPr>
          <w:rFonts w:ascii="Times New Roman" w:hAnsi="Times New Roman" w:cs="Times New Roman"/>
          <w:color w:val="0070C0"/>
          <w:sz w:val="16"/>
          <w:szCs w:val="16"/>
        </w:rPr>
        <w:softHyphen/>
        <w:t>рительно пройти совместные 50-часовые испытания. Соответственно, на завод №289 первый М-71 поступил лишь 19 ян</w:t>
      </w:r>
      <w:r w:rsidRPr="00A3026E">
        <w:rPr>
          <w:rFonts w:ascii="Times New Roman" w:hAnsi="Times New Roman" w:cs="Times New Roman"/>
          <w:color w:val="0070C0"/>
          <w:sz w:val="16"/>
          <w:szCs w:val="16"/>
        </w:rPr>
        <w:softHyphen/>
        <w:t>варя. Но мотор оказался «не вполне кон</w:t>
      </w:r>
      <w:r w:rsidRPr="00A3026E">
        <w:rPr>
          <w:rFonts w:ascii="Times New Roman" w:hAnsi="Times New Roman" w:cs="Times New Roman"/>
          <w:color w:val="0070C0"/>
          <w:sz w:val="16"/>
          <w:szCs w:val="16"/>
        </w:rPr>
        <w:softHyphen/>
        <w:t>диционный: магнето и синхронизатор по указанию завода №19 пригодны только для работы на земле». Летать с ним было нельзя, но отладить винтомотор</w:t>
      </w:r>
      <w:r w:rsidRPr="00A3026E">
        <w:rPr>
          <w:rFonts w:ascii="Times New Roman" w:hAnsi="Times New Roman" w:cs="Times New Roman"/>
          <w:color w:val="0070C0"/>
          <w:sz w:val="16"/>
          <w:szCs w:val="16"/>
        </w:rPr>
        <w:softHyphen/>
        <w:t>ную группу можно. К 25 января все мон</w:t>
      </w:r>
      <w:r w:rsidRPr="00A3026E">
        <w:rPr>
          <w:rFonts w:ascii="Times New Roman" w:hAnsi="Times New Roman" w:cs="Times New Roman"/>
          <w:color w:val="0070C0"/>
          <w:sz w:val="16"/>
          <w:szCs w:val="16"/>
        </w:rPr>
        <w:softHyphen/>
        <w:t>тажные работы на самолете по сборке и установке оборудования были завершены и 1 февраля Су-6 передали на ЛИС за</w:t>
      </w:r>
      <w:r w:rsidRPr="00A3026E">
        <w:rPr>
          <w:rFonts w:ascii="Times New Roman" w:hAnsi="Times New Roman" w:cs="Times New Roman"/>
          <w:color w:val="0070C0"/>
          <w:sz w:val="16"/>
          <w:szCs w:val="16"/>
        </w:rPr>
        <w:softHyphen/>
        <w:t>вода №289 для отработки винтомоторной группы. Через неделю на заводском аэро</w:t>
      </w:r>
      <w:r w:rsidRPr="00A3026E">
        <w:rPr>
          <w:rFonts w:ascii="Times New Roman" w:hAnsi="Times New Roman" w:cs="Times New Roman"/>
          <w:color w:val="0070C0"/>
          <w:sz w:val="16"/>
          <w:szCs w:val="16"/>
        </w:rPr>
        <w:softHyphen/>
        <w:t>дроме выполнили первую рулежку. Само</w:t>
      </w:r>
      <w:r w:rsidRPr="00A3026E">
        <w:rPr>
          <w:rFonts w:ascii="Times New Roman" w:hAnsi="Times New Roman" w:cs="Times New Roman"/>
          <w:color w:val="0070C0"/>
          <w:sz w:val="16"/>
          <w:szCs w:val="16"/>
        </w:rPr>
        <w:softHyphen/>
        <w:t>лет вел себя вполне нормально. Мотор и винтомоторная группа работали удовлет</w:t>
      </w:r>
      <w:r w:rsidRPr="00A3026E">
        <w:rPr>
          <w:rFonts w:ascii="Times New Roman" w:hAnsi="Times New Roman" w:cs="Times New Roman"/>
          <w:color w:val="0070C0"/>
          <w:sz w:val="16"/>
          <w:szCs w:val="16"/>
        </w:rPr>
        <w:softHyphen/>
        <w:t>ворительно. Вскоре были получены кон</w:t>
      </w:r>
      <w:r w:rsidRPr="00A3026E">
        <w:rPr>
          <w:rFonts w:ascii="Times New Roman" w:hAnsi="Times New Roman" w:cs="Times New Roman"/>
          <w:color w:val="0070C0"/>
          <w:sz w:val="16"/>
          <w:szCs w:val="16"/>
        </w:rPr>
        <w:softHyphen/>
        <w:t>диционные магнето и синхронизаторы, которые незамедлительно установили на самолет. Уже к 15 февраля самолет полно</w:t>
      </w:r>
      <w:r w:rsidRPr="00A3026E">
        <w:rPr>
          <w:rFonts w:ascii="Times New Roman" w:hAnsi="Times New Roman" w:cs="Times New Roman"/>
          <w:color w:val="0070C0"/>
          <w:sz w:val="16"/>
          <w:szCs w:val="16"/>
        </w:rPr>
        <w:softHyphen/>
        <w:t>стью подготовили к заводским летным ис</w:t>
      </w:r>
      <w:r w:rsidRPr="00A3026E">
        <w:rPr>
          <w:rFonts w:ascii="Times New Roman" w:hAnsi="Times New Roman" w:cs="Times New Roman"/>
          <w:color w:val="0070C0"/>
          <w:sz w:val="16"/>
          <w:szCs w:val="16"/>
        </w:rPr>
        <w:softHyphen/>
        <w:t>пытаниям. Так получилось, что «при окон</w:t>
      </w:r>
      <w:r w:rsidRPr="00A3026E">
        <w:rPr>
          <w:rFonts w:ascii="Times New Roman" w:hAnsi="Times New Roman" w:cs="Times New Roman"/>
          <w:color w:val="0070C0"/>
          <w:sz w:val="16"/>
          <w:szCs w:val="16"/>
        </w:rPr>
        <w:softHyphen/>
        <w:t>чательном испытании шасси на земле» крыло получило повреждения («из-за не</w:t>
      </w:r>
      <w:r w:rsidRPr="00A3026E">
        <w:rPr>
          <w:rFonts w:ascii="Times New Roman" w:hAnsi="Times New Roman" w:cs="Times New Roman"/>
          <w:color w:val="0070C0"/>
          <w:sz w:val="16"/>
          <w:szCs w:val="16"/>
        </w:rPr>
        <w:softHyphen/>
        <w:t>удовлетворительной доводки заводом гидросистемы уборки шасси»). Самолет встал в ремонт. 21 февраля завод получил разрешение на проведение полетов с аэ</w:t>
      </w:r>
      <w:r w:rsidRPr="00A3026E">
        <w:rPr>
          <w:rFonts w:ascii="Times New Roman" w:hAnsi="Times New Roman" w:cs="Times New Roman"/>
          <w:color w:val="0070C0"/>
          <w:sz w:val="16"/>
          <w:szCs w:val="16"/>
        </w:rPr>
        <w:softHyphen/>
        <w:t>родрома ЛИИ НКАП. Самолет разобрали и к 27 февраля перевезли в Раменское, где его собрали и подготовили к полетам (19844).</w:t>
      </w:r>
    </w:p>
    <w:p w14:paraId="0F7E578C" w14:textId="77777777" w:rsidR="00B600A9" w:rsidRPr="00A3026E" w:rsidRDefault="00B600A9" w:rsidP="00A3026E">
      <w:pPr>
        <w:pStyle w:val="171"/>
        <w:shd w:val="clear" w:color="auto" w:fill="auto"/>
        <w:spacing w:before="0" w:line="240" w:lineRule="auto"/>
        <w:ind w:firstLine="0"/>
        <w:jc w:val="both"/>
        <w:rPr>
          <w:rFonts w:ascii="Times New Roman" w:hAnsi="Times New Roman" w:cs="Times New Roman"/>
          <w:color w:val="0070C0"/>
          <w:sz w:val="16"/>
          <w:szCs w:val="16"/>
        </w:rPr>
      </w:pPr>
    </w:p>
    <w:p w14:paraId="68342B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г. по заданию заместителя начальника ГУ ВВС КА генерала Ф.А.Астахова военинженеры П.К.Москалев и Н.Н.Фингеров произвели проверку состояния серийного производства самолетов ДБ-240 2М-105 на заводе №18 (3322,15).</w:t>
      </w:r>
    </w:p>
    <w:p w14:paraId="3472A3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проверке программа производства ДБ-240 заводом №18 на 1940 г. оказалась сорванной. На аэродроме стояли десять самолетов, еще столько же находилось в процессе сборки, а для остальных имелись только отдельные агрегаты и узлы. Даже уже выведенные на летном поле машины являлись непригодными для полетов, поскольку на них не были устранены дефекты, выявленные при испытаниях опытного ДБ-240. В соответствии с существовавшим положением военная техника, имеющая дефекты из так называемого "Перечня N 1" (дефекты, исключающие возможность нормальной эксплуатации машины в частях ВВС), не подлежала приемке. Кроме того, сразу после завершения испытаний опытного самолета было принято решение о необходимости замены колес основных опор шасси (1000х350 мм) усиленными колесами с типоразмером 1100х400 мм. Однако на первых семи машинах это решение внедрить не успели: производство таких колес только налаживалось на заводе в Ярославле. Аналогичным образом сложилась ситуация и с верхними турелями ТАТ-БУ, для которых отсутствовали серийные пулеметы БТ. Пришлось разрешить заводу временно (позднее оказалось, что эта "временная" мера коснулась всех выпущенных Ер-2 с М-105) установить на самолеты турели МВ-3 с пулеметами ШКАС, что заметно ослабило оборонительные возможности машины. По-прежнему отмечались течи из гидросистемы, а также ненадежная работа агрегатов и устройств самолета, начиная от системы выпуска костыля, управления створками радиаторов, регуляторов шага винтов и т.д. Только на серийных машинах приступили к отладке бомбардировочного вооружения, поскольку на опытном ДБ-240 этого сделать не успели. Сразу выявилась еще одна группа дефектов: невозможность подвески и снятия крупнокалиберных 500-кг бомб из-за отсутствия подходов к замкам, огромных усилий на рычагах аварийных бомбосбрасывателей, заклинивания и обрывов тросов при подъеме бомб. Первые машины, выпущенные заводом №18, нуждались в столь многочисленных переделках, что в качестве эталона для серии Москалев и Фингеров предложили считать самолет № 11, еще не законченный производством. В докладе руководству специалисты НИИ ВВС отмечали, что "самолеты ДБ-240 2М-105 производства завода № 18 могут быть приняты и направлены для эксплуатации в части ВВС КА при условии полной доводки и проверки в полете вооружения и всех изменений, введенных на самолете N 11..." (3322,15).</w:t>
      </w:r>
    </w:p>
    <w:p w14:paraId="2CEBDAF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F3CA7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вышел приказ НКАП N 780сс в исполнение постановления Правительства от 15 декабря 1940 "Об обеспечении производства самолетов на заводе 450 и работы стройтрестов 8 и 26" в развитие приказа по НКАП N 710 от 10 ноября 1940</w:t>
      </w:r>
    </w:p>
    <w:p w14:paraId="0501FE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Директору завода 39 Соколову и ГК Петлякову</w:t>
      </w:r>
    </w:p>
    <w:p w14:paraId="38987C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закончить передачу заводу 450 всех конструктивных чертежей и технологию производства самолета ПБ-100 до 01.01.1941</w:t>
      </w:r>
    </w:p>
    <w:p w14:paraId="4CE565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изготовить и передать заводу 450 один эталон самолета ПБ-100 к 15.01.1941 и в течение января и февраля 5 самолетов россыпью (1315,200).</w:t>
      </w:r>
    </w:p>
    <w:p w14:paraId="177581F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2073C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вышел приказ НКАП N 783сс об использовании мощностей Таганрогского завода 31 для производства 1200 ЛаГГ-3 с освобождением от производства Су-2, МДР-6 и КОР-1.</w:t>
      </w:r>
    </w:p>
    <w:p w14:paraId="3A9BFE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этому же приказу:</w:t>
      </w:r>
    </w:p>
    <w:p w14:paraId="0D8E05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передать к 15.01.1941 оснастку и задел по самолету Су-2 заводу 207, увеличив для этого заводу производственную программу в 1941 на 35 самолетов</w:t>
      </w:r>
    </w:p>
    <w:p w14:paraId="1C876A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передать к 15 января оснастку и задел по самолету МДР-6 заводу 30, установив для завода производственную программу по самолетам МДР-6 на 1941 год в количестве 100 самолетов;</w:t>
      </w:r>
    </w:p>
    <w:p w14:paraId="12091E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перевести КБ тов. Четверикова с имеющимися у него заданиями с завода 31 на завод 30 к 1 февраля 1941 года;</w:t>
      </w:r>
    </w:p>
    <w:p w14:paraId="02DFFF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завод 30 освободить от производства самолетов Ил-2, передав оснастку и задел на завод 381 к 15 января 1941;..." (417,1).</w:t>
      </w:r>
    </w:p>
    <w:p w14:paraId="66469B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перевести КБ Г.М.Б. с имеющимися у него заданиями с завода 31 на завод 25 к 01.02.1941 (1314,57).</w:t>
      </w:r>
    </w:p>
    <w:p w14:paraId="3DD9001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8164405" w14:textId="77777777" w:rsidR="00B600A9" w:rsidRPr="00A3026E" w:rsidRDefault="00B600A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27 декабря 1940 года приказом НКАП № 783сс самолет ББ-1 сняли с производства на авиазаводе № 31 в Таганроге, а заодно закрыли и всю морскую тематику, а заводу было дано задание перейти на выпуск ЛАГГ-3 – как с 9 декабря 1940 года стали именовать «улучшенный» И-301. В.П. Горбунова назначили главным конструктором, разрешив ему взять с собой на завод № 31 15 конструкторов с условием немедленного выезда в Таганрог. В это же время появились конкретные планы по организации производства этих самолетов в Прибалтике, Днепропетровске и Тбилиси, но фактически выпуск ЛаГГ-3 освоил еще только один завод – № 153 в Новосибирске, правда, произошло это лишь в мае 1941 года (23197).</w:t>
      </w:r>
    </w:p>
    <w:p w14:paraId="793C2C4F" w14:textId="77777777" w:rsidR="00B600A9" w:rsidRPr="00A3026E" w:rsidRDefault="00B600A9" w:rsidP="00A3026E">
      <w:pPr>
        <w:spacing w:after="0" w:line="240" w:lineRule="auto"/>
        <w:jc w:val="both"/>
        <w:rPr>
          <w:rFonts w:ascii="Times New Roman" w:hAnsi="Times New Roman"/>
          <w:color w:val="0070C0"/>
          <w:sz w:val="16"/>
          <w:szCs w:val="16"/>
        </w:rPr>
      </w:pPr>
    </w:p>
    <w:p w14:paraId="48E60C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вышел приказ НКАП N 783сс об использовании мощностей Таганрогского завода 31 для производства 1200 ЛаГГ-3 с освобождением от производства Су-2, МДР-6 и КОР-1.</w:t>
      </w:r>
    </w:p>
    <w:p w14:paraId="3C7320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СНК и ЦК ВКП (б) решением от 21 декабря 1940 г. установили, что Таганрогский з-д № 31, являясь крупным и хорошо оснащенным заводлм, в течение ряда лет не использует свои производственные мощности.</w:t>
      </w:r>
    </w:p>
    <w:p w14:paraId="27A8D9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з-д № 31 насчитывал 8600 рабочих и служащих, в т.ч. свяше 1200 итр, дал всего лишь 73 с-та. Завод в марте месяце приступил к освоению с-та Су-2 и до сих пор не выпустил ни одного с-та. Завод стоит в стороны от вооружения армии боевыми современными самолетами.</w:t>
      </w:r>
    </w:p>
    <w:p w14:paraId="13B810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обеспечения использлования полной мощности з-да в исполнение постановления Правительства от 21 декабря 1940 приказываю:</w:t>
      </w:r>
    </w:p>
    <w:p w14:paraId="175CAF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Директору завода № 31 т. Загайнову:</w:t>
      </w:r>
    </w:p>
    <w:p w14:paraId="59CA53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Поставить на з-де № 31 про-во с-тов ЛаГГ-3</w:t>
      </w:r>
    </w:p>
    <w:p w14:paraId="41EEA5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Установить на 1941 г. программу з-ду № 31 в количестве 1200 с-тов, с выпуском:</w:t>
      </w:r>
    </w:p>
    <w:p w14:paraId="7B42CA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марте 25</w:t>
      </w:r>
    </w:p>
    <w:p w14:paraId="4C5971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2 кв. - 290</w:t>
      </w:r>
    </w:p>
    <w:p w14:paraId="1E642C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3 кв. - 410</w:t>
      </w:r>
    </w:p>
    <w:p w14:paraId="03FD54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4 кв. - 475</w:t>
      </w:r>
    </w:p>
    <w:p w14:paraId="28B147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марте по 1 с-ту в день, в первой половине апреля - по 2 с-та в день и во второй половине апреля - по 3 в день).</w:t>
      </w:r>
    </w:p>
    <w:p w14:paraId="3421DB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Завод освободить от производства с-тов Су-2, МДР-6 и КОР-1, для чего:</w:t>
      </w:r>
    </w:p>
    <w:p w14:paraId="11FF7B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передать к 15.01.1941 оснастку и задел по самолету Су-2 заводу 207, увеличив для этого заводу производственную программу в 1941 на 35 самолетов</w:t>
      </w:r>
    </w:p>
    <w:p w14:paraId="11410E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передать к 15 января оснастку и задел по самолету МДР-6 заводу 30, установив для завода производственную программу по самолетам МДР-6 на 1941 год в количестве 100 самолетов;</w:t>
      </w:r>
    </w:p>
    <w:p w14:paraId="07C6FC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перевести КБ тов. Четверикова с имеющимися у него заданиями с завода 31 на завод 30 к 1 февраля 1941 года;</w:t>
      </w:r>
    </w:p>
    <w:p w14:paraId="77D91F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завод 30 освободить от производства самолетов Ил-2, передав оснастку и задел на завод 381 к 15 января 1941;..." (417,1).</w:t>
      </w:r>
    </w:p>
    <w:p w14:paraId="5F8D7A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перевести КБ Г.М.Б. с имеющимися у него заданиями с завода 31 на завод № 45 к 01.02.1941 (1314,57).</w:t>
      </w:r>
    </w:p>
    <w:p w14:paraId="51A838C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Начальнику ЦФО НКАП тов. Хавину в трехдневный срок установить порядок взаимных расчетов за передаваемый задел и оснастку и дать необходимые указания директорам заводов № 31, 30 и 207.</w:t>
      </w:r>
    </w:p>
    <w:p w14:paraId="3D9632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Главным конструктором з-да № 31 назначить т. Горбунова, разрешив ему взять с собой на завод № 31 15 конструкторов с немедленным выездом на завод.</w:t>
      </w:r>
    </w:p>
    <w:p w14:paraId="4612E8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Дир. З-да № 21 т. Воронину и ГК т. С.А.Л. передать з-ду № 31</w:t>
      </w:r>
    </w:p>
    <w:p w14:paraId="5E654D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3 комплекта чертежей ЛаГГ-3 не позднее 5 декабря 1940</w:t>
      </w:r>
    </w:p>
    <w:p w14:paraId="6F6758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3 следующих комплекта чертежей и чертежей оснастки первой очереди не позднее 10 января 1941</w:t>
      </w:r>
    </w:p>
    <w:p w14:paraId="6AB3EB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один готовый с-т ЛаГГ-3 и полный комплект деталей на 2 с-та не позднее 1 февраля 1941</w:t>
      </w:r>
    </w:p>
    <w:p w14:paraId="136DB3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Дир. З-да № 31 т. Загайнову использовать цех ширпотреба для основного производства, освободив немедленно от внешних заказов на предметы народного потребления и т.д. (по строитедльству, передаче фондов на дельта-древесину, о сдаче в эксплуатацию объектов, передачу колхозных полей под аэродром и т.п. (417,1)</w:t>
      </w:r>
    </w:p>
    <w:p w14:paraId="72935EA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AA3D05E" w14:textId="77777777" w:rsidR="00F01C92" w:rsidRPr="00A3026E" w:rsidRDefault="00F01C9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г. вышел приказ НКАП № 783сс:</w:t>
      </w:r>
    </w:p>
    <w:p w14:paraId="197D5E92" w14:textId="77777777" w:rsidR="00F01C92" w:rsidRPr="00A3026E" w:rsidRDefault="00F01C9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«1. Поставить на заводе №31 произ</w:t>
      </w:r>
      <w:r w:rsidRPr="00A3026E">
        <w:rPr>
          <w:rFonts w:ascii="Times New Roman" w:hAnsi="Times New Roman" w:cs="Times New Roman"/>
          <w:color w:val="000000" w:themeColor="text1"/>
        </w:rPr>
        <w:softHyphen/>
        <w:t>водство самолетов ЛаГГ-3.</w:t>
      </w:r>
    </w:p>
    <w:p w14:paraId="79A1D842" w14:textId="77777777" w:rsidR="00F01C92" w:rsidRPr="00A3026E" w:rsidRDefault="00F01C92"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2. Установить на 1941 год программу для завода №31 в количестве 1200 само</w:t>
      </w:r>
      <w:r w:rsidRPr="00A3026E">
        <w:rPr>
          <w:rFonts w:ascii="Times New Roman" w:hAnsi="Times New Roman" w:cs="Times New Roman"/>
          <w:color w:val="000000" w:themeColor="text1"/>
        </w:rPr>
        <w:softHyphen/>
        <w:t>летов с выпуском:</w:t>
      </w:r>
    </w:p>
    <w:p w14:paraId="50F25848" w14:textId="77777777" w:rsidR="00F01C92" w:rsidRPr="00A3026E" w:rsidRDefault="00F01C92" w:rsidP="00A3026E">
      <w:pPr>
        <w:pStyle w:val="80"/>
        <w:shd w:val="clear" w:color="auto" w:fill="auto"/>
        <w:tabs>
          <w:tab w:val="left" w:pos="410"/>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 в марте месяце 1941 года - 25 само</w:t>
      </w:r>
      <w:r w:rsidRPr="00A3026E">
        <w:rPr>
          <w:rFonts w:ascii="Times New Roman" w:hAnsi="Times New Roman" w:cs="Times New Roman"/>
          <w:color w:val="000000" w:themeColor="text1"/>
        </w:rPr>
        <w:softHyphen/>
        <w:t>летов</w:t>
      </w:r>
    </w:p>
    <w:p w14:paraId="7C31A92E" w14:textId="77777777" w:rsidR="00F01C92" w:rsidRPr="00A3026E" w:rsidRDefault="00F01C92" w:rsidP="00A3026E">
      <w:pPr>
        <w:pStyle w:val="80"/>
        <w:shd w:val="clear" w:color="auto" w:fill="auto"/>
        <w:tabs>
          <w:tab w:val="left" w:pos="382"/>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 во II квартале -'- - 290 -'-</w:t>
      </w:r>
    </w:p>
    <w:p w14:paraId="1834408D" w14:textId="77777777" w:rsidR="00F01C92" w:rsidRPr="00A3026E" w:rsidRDefault="00F01C92" w:rsidP="00A3026E">
      <w:pPr>
        <w:pStyle w:val="80"/>
        <w:shd w:val="clear" w:color="auto" w:fill="auto"/>
        <w:tabs>
          <w:tab w:val="left" w:pos="386"/>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 xml:space="preserve">- в </w:t>
      </w:r>
      <w:r w:rsidRPr="00A3026E">
        <w:rPr>
          <w:rFonts w:ascii="Times New Roman" w:hAnsi="Times New Roman" w:cs="Times New Roman"/>
          <w:color w:val="000000" w:themeColor="text1"/>
          <w:lang w:val="en-US"/>
        </w:rPr>
        <w:t>III</w:t>
      </w:r>
      <w:r w:rsidRPr="00A3026E">
        <w:rPr>
          <w:rFonts w:ascii="Times New Roman" w:hAnsi="Times New Roman" w:cs="Times New Roman"/>
          <w:color w:val="000000" w:themeColor="text1"/>
        </w:rPr>
        <w:t xml:space="preserve"> квартале -'- -410 -'-</w:t>
      </w:r>
    </w:p>
    <w:p w14:paraId="279D17FF" w14:textId="77777777" w:rsidR="00F01C92" w:rsidRPr="00A3026E" w:rsidRDefault="00F01C92" w:rsidP="00A3026E">
      <w:pPr>
        <w:pStyle w:val="80"/>
        <w:shd w:val="clear" w:color="auto" w:fill="auto"/>
        <w:tabs>
          <w:tab w:val="left" w:pos="386"/>
        </w:tabs>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 в IV квартале -'- - 475 -'-...» (19740).</w:t>
      </w:r>
    </w:p>
    <w:p w14:paraId="50AE6302" w14:textId="77777777" w:rsidR="00F01C92" w:rsidRPr="00A3026E" w:rsidRDefault="00F01C92" w:rsidP="00A3026E">
      <w:pPr>
        <w:pStyle w:val="80"/>
        <w:shd w:val="clear" w:color="auto" w:fill="auto"/>
        <w:tabs>
          <w:tab w:val="left" w:pos="471"/>
        </w:tabs>
        <w:spacing w:line="240" w:lineRule="auto"/>
        <w:jc w:val="both"/>
        <w:rPr>
          <w:rFonts w:ascii="Times New Roman" w:hAnsi="Times New Roman" w:cs="Times New Roman"/>
          <w:color w:val="000000" w:themeColor="text1"/>
        </w:rPr>
      </w:pPr>
    </w:p>
    <w:p w14:paraId="4D1927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года 30-й завод в посёлке Иваньково, не изготовивший к тому времени ни одного самолёта из-за отсутствия бронекорпусов, получил приказ НКАП передать весь задел деталей и два комплекта технологической оснастки для производства штурмовиков БШ-2 на завод № 381 в г.Ленинград. Для справки, первые пять бронекорпусов для одноместных штурмовиков были изготовлены на заводе имени Орджоникидзе в подмосковном г. Подольске только к 15 февраля 1941 года.</w:t>
      </w:r>
    </w:p>
    <w:p w14:paraId="5911440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году завод № 381 изготовил всего 27 штурмовиков. Уже в июле 1941 года он был эвакуирован из г.Ленинграда в г.Нижний Тагил на Уралвагонзавод. За 1942 и первую половину 1943 года он изготовил мелкими сериями ещё 243 самолёта ИЛ-2. В 1943 году он был перебазирован в г.Москву и производил истребители ЛА-5, потом ЛА-7. После войны завод № 381 изготавливал образцы новых самолётов ЛА-150, И-250, И-310 (будущий МИГ-15) и др. В 1950 году завод № 381 был расформирован и передан опять же заводу № 30 в г. Москве.</w:t>
      </w:r>
    </w:p>
    <w:p w14:paraId="066B3E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Уникальность штурмовиков ИЛ-2, серийное производство которых началось у нас на 30-ом заводе, а потом на 381-ом, состоит в том, что они имели расположение пушек ШВАК-20 ближе к оси самолёта, а пулемёты ШКАС-7,62 дальше. Такое расположение пушек и пулемётов повышало точность стрельбы на 50 процентов по сравнению со штурмовиками других заводов-изготовителей, у которых расположение пушек и пулемётов было как раз наоборот. На этом основании можно сделать простой вывод о том, что Объединённый Институт Ядерных исследований, город Дубна, ставший Наукоградом, и Особая Экономическая Зона технико-внедренческого типа образовались здесь, не просто так, а в силу исторической неизбежности. Если в 1940 году нашим предкам ума хватило правильно расположить пушки и пулемёты, то и в наше время их потомки себя не посрамят и найдут правильные решения.</w:t>
      </w:r>
    </w:p>
    <w:p w14:paraId="5B3912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на этом наша связь с производством штурмовиков не кончается. Тут надо сказать несколько слов об истории создания Дубненского машиностроительного завода и Московского завода № 30. Первоначально завод в п. Иваньково на берегу Московского моря создавался как филиал завода № 30, находившегося в п. Савёлово (сейчас ото ОАО "САВМА"), изготавливающего гидросамолёты конструкции Бериева Георгия Михайловича.</w:t>
      </w:r>
    </w:p>
    <w:p w14:paraId="378B84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Первая очередь строительства этого филиала была введена в эксплуатацию 10 июля 1939 года. С этой даты по 26 мая 1940 года он оставался филиалом Савёловского завода. Затем Савёловскому заводу присвоили новый номер 288, а его филиал в посёлке Иваньково стал самостоятельным заводом № 30. Савёловскому заводу поручили изготавливать гидросамолёты КОР-2 (Бе-4) для полярной авиации, а новому недостроенному заводу № 30 было поручено изготовить опытный гидросамолёт МТБ-2 из задела деталей Таганрогского завода. Когда в мае 1940 года в НКАП решался вопрос об изготовлении первой серии штурмовиков БШ-2 в количестве 10 штук для проведения войсковых испытаний и отработки тактических приёмов их использования в боевых условиях, а серийные заводы не имели для этого свободных мощностей, то и поручили это дело строящемуся заводу № 30.</w:t>
      </w:r>
    </w:p>
    <w:p w14:paraId="7E67D5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 1941 года, когда немецкие войска подошли к Москве, 10 октября на теплоходе "Бах" завод № 30 был эвакуирован в г. Чкаловск под г. Горьким на судостроительный завод. Там места для его размещения не нашлось и завод № 30 к 07 ноября 1941 года оказался в г. Омске.</w:t>
      </w:r>
    </w:p>
    <w:p w14:paraId="707E50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разгрома немцев под Москвой, в конце декабря 1941 года заводчанам дали команду возвращаться назад в п. Иваньково. Но им пришлось задержаться на три месяца в г. Москве. Первое время работали на заводе имени Горбунова в Филях, потом на бывшем заводе № 1 в Тушино, который тоже был эвакуирован в г. Куйбышев. Причина этой задержки опять связана со штурмовиками ИЛ-2.</w:t>
      </w:r>
    </w:p>
    <w:p w14:paraId="38D3DD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декабря 1941 года завод № 18, эвакуированный из г. Воронежа в г. Куйбышев (ныне г. Самара), после известной телеграммы И.В.Сталина о том, что "…штурмовики ИЛ-2 нужны Красной Армии как воздух, как хлеб..", изготовил первую партию штурмовиков на новом месте. Заводской аэродром ещё не был построен, поэтому готовые самолёты грузились на железнодорожные платформы и отправлялись в г. Москву по железной дороге. В Москве они выгружались на пустых площадках эвакуированных заводов, собирались заводскими бригадами и всеми, кого могли привлечь, и тут же отправлялись в боевые полки на фронт. Так продолжалось до мая месяца 1942 года. Часть оборудования, рабочих и специалистов нашего завода № 30 так и осталась в Москве на Тушинской площадке, а 10 мая 1942 года было принято решение о создании на этой площадке нового Московского завода № 30, а на базе завода в п. Иваньково был создан новый Опытный завод № 458.</w:t>
      </w:r>
    </w:p>
    <w:p w14:paraId="32D4DD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Теперь уже Московский завод № 30 начал изготавливать штурмовики ИЛ-2. В 1942 году выпустил 1053 бронированных самолёта, а всего за годы войны изготовил 8865 штурмовиков различных модификаций. Как отмечалось выше большая их часть поступала в запасные полки 3-й авиабригады в том числе и Борковский 34-й запасной полк (11709).</w:t>
      </w:r>
    </w:p>
    <w:p w14:paraId="2B412DF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E8C5F3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года 1 экз. самолета И-21 Пашинина закончил гос. испытания в НИИ ВВС, которые проходили с 18 сентября 1940. Гос. испытания самолет не выдержал, вследствие его неустойчивости и сложности техники пилотирования (4048, 4).</w:t>
      </w:r>
    </w:p>
    <w:p w14:paraId="6A2E046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026B65B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проходили повторные гос. испытания доработанного И-21-1 Пашинина, которые проходили с 18 ноября. Результаты - разочаровывающие - скорость не превышала 573 км/час (8280,26).</w:t>
      </w:r>
    </w:p>
    <w:p w14:paraId="6D2AF5B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2420BF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года закончились гос. испытания самолета И-21 с М-105П конструкции инженера Пашинина производства завода № 21, которые проходили с 12 ноября 1940</w:t>
      </w:r>
    </w:p>
    <w:p w14:paraId="175BA8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324B38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в/инженер 2 ранга Ерышев</w:t>
      </w:r>
    </w:p>
    <w:p w14:paraId="0AD25C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вед. летчик подполковник Стефановский</w:t>
      </w:r>
    </w:p>
    <w:p w14:paraId="433F9D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вед. летчик подполковник Супрун</w:t>
      </w:r>
    </w:p>
    <w:p w14:paraId="7A8B61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5038435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Проверка летно-тактических данных самолета.</w:t>
      </w:r>
    </w:p>
    <w:p w14:paraId="197C7232"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Определение его устойчивости, управляемости, маневренности и дальности полета.</w:t>
      </w:r>
    </w:p>
    <w:p w14:paraId="563598DE"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Оценка конструкции самолета и доведенности винто-моторной группы, вооружения и спецоборудования.</w:t>
      </w:r>
    </w:p>
    <w:p w14:paraId="61365909"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Определение соответствия самолета с Тактико-техническими требованиями.</w:t>
      </w:r>
    </w:p>
    <w:p w14:paraId="7D0286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И-21 с М-105П с винтом ВИШ-61 конструкции Пашинина, производства завода № 21 был изготовлен по Постановлению КО № 106сс от 4 марта 1940 года.</w:t>
      </w:r>
    </w:p>
    <w:p w14:paraId="64F5CE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испытаний 45 дней, из них летных дней – 11.</w:t>
      </w:r>
    </w:p>
    <w:p w14:paraId="44F83B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1FCB02B"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И-21 гос. испытания в НИИ ВВС не прошел (4069,145-171).</w:t>
      </w:r>
    </w:p>
    <w:p w14:paraId="55FF1F70"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p>
    <w:p w14:paraId="3765DF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года в НИИ ВВС закончились госиспытания самолета И-21 с М-105П конструкции инженера Пашинина производства завода № 21, которые приходили с 12 ноября 1940</w:t>
      </w:r>
    </w:p>
    <w:p w14:paraId="5A4BBE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Отв. исполнители:</w:t>
      </w:r>
    </w:p>
    <w:p w14:paraId="26D4E1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 инженер – в/инженер 2 ранга Ерышев</w:t>
      </w:r>
    </w:p>
    <w:p w14:paraId="4FD6AC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вед. летчик подполковник Стефановский</w:t>
      </w:r>
    </w:p>
    <w:p w14:paraId="79A3187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2-й вед. летчик подполковник Супрун</w:t>
      </w:r>
    </w:p>
    <w:p w14:paraId="00EF43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Летчики облета:</w:t>
      </w:r>
    </w:p>
    <w:p w14:paraId="75F513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НИИ ВВС генерал-майор авиации Филин А.И.</w:t>
      </w:r>
    </w:p>
    <w:p w14:paraId="55F130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лейтенант – Кубышкин А.Г.</w:t>
      </w:r>
    </w:p>
    <w:p w14:paraId="20DAF2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0A8A885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Проверка летно-технических данных самолетов.</w:t>
      </w:r>
    </w:p>
    <w:p w14:paraId="7F9E189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Определение его устойчивости, управляемости, маневренности и дальности полета.</w:t>
      </w:r>
    </w:p>
    <w:p w14:paraId="6F2283F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Оценка конструкции самолета и доведенности винтомоторной группы, вооружения и спецоборудования.</w:t>
      </w:r>
    </w:p>
    <w:p w14:paraId="1A2E7C05"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Определение соответствия самолета с Тактико-техническими требованиями.</w:t>
      </w:r>
    </w:p>
    <w:p w14:paraId="045890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 испытания</w:t>
      </w:r>
    </w:p>
    <w:p w14:paraId="549C14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И-21 с М-105П с винтом ВИШ-61 конструкции Пашинина, производства завода № 21 был изготовлен по Постановлению КО № 106сс от 4 марта 1940 года и должен иметь следующие данные:</w:t>
      </w:r>
    </w:p>
    <w:p w14:paraId="02DC8546"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Н=5000 м – 620 км/час</w:t>
      </w:r>
    </w:p>
    <w:p w14:paraId="60F17D7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 120 км/час</w:t>
      </w:r>
    </w:p>
    <w:p w14:paraId="2B67DA96"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 10000-12000 м</w:t>
      </w:r>
    </w:p>
    <w:p w14:paraId="4A39837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Техническая дальность полета на 0,9 V максимальной при нормальном запасе горючего на Н=5000-7000 м – 750 км</w:t>
      </w:r>
    </w:p>
    <w:p w14:paraId="1B76017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при тех же условиях, но с подвесными бензобаками – 1100 км</w:t>
      </w:r>
    </w:p>
    <w:p w14:paraId="19230EC5"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 – 200-250 м</w:t>
      </w:r>
    </w:p>
    <w:p w14:paraId="70FA5B8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 – 250-300 м</w:t>
      </w:r>
    </w:p>
    <w:p w14:paraId="4F973512"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и боезапас:</w:t>
      </w:r>
    </w:p>
    <w:p w14:paraId="76DBCF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пушка калибра 23 мм через вал редуктора с запасом снарядов – 100 штук</w:t>
      </w:r>
    </w:p>
    <w:p w14:paraId="69AD90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2 синхронных пулемета ШКАС с запасом патрон – 1500 штук</w:t>
      </w:r>
    </w:p>
    <w:p w14:paraId="428F2C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перегрузочном варианте должна быть обеспечена возможность установки 8 штук снарядов РС-82, а также подвеска 4 штук бомб калибра от 8 до 50 кг общим весом до 200 кг.</w:t>
      </w:r>
    </w:p>
    <w:p w14:paraId="099F2B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РС и бомб должна быть выполнена вне площади, ометаемой винтом.</w:t>
      </w:r>
    </w:p>
    <w:p w14:paraId="3A5EE17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Должен быть установлен электросбрасыватель ЭСБР-3П с боевой кнопкой, смонтированной на ручке управления, а также механический аварийный сбрасыватель.</w:t>
      </w:r>
    </w:p>
    <w:p w14:paraId="64FD1F5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должна быть установлена приемно-передаточная станция РСИ-3 и оборудование для ночных полетов.</w:t>
      </w:r>
    </w:p>
    <w:p w14:paraId="5DA96A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Сроки предъявления самолета на госиспытания были установлены:</w:t>
      </w:r>
    </w:p>
    <w:p w14:paraId="477085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 № 1 – 15 сентября 1940 года</w:t>
      </w:r>
    </w:p>
    <w:p w14:paraId="42B91D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экземпляр № 1 – 1 ноября 1940 года</w:t>
      </w:r>
    </w:p>
    <w:p w14:paraId="52A0F9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Принятый на госиспытания в НИИ ВВС самолет И-21 с М-105П имеет назначение:</w:t>
      </w:r>
    </w:p>
    <w:p w14:paraId="048CA4C9"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Ведение активного воздушного боя для поражения и уничтожения противника на основе преимущества в скорости.</w:t>
      </w:r>
    </w:p>
    <w:p w14:paraId="229A679F"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перегрузочном варианте с увеличенной дальностью полета, как самолет патрулирования.</w:t>
      </w:r>
    </w:p>
    <w:p w14:paraId="188605DF"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частных случаях обстановки – выполнение задач по взаимодействию с названными войсками.</w:t>
      </w:r>
    </w:p>
    <w:p w14:paraId="689BFD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Схема самолета.</w:t>
      </w:r>
    </w:p>
    <w:p w14:paraId="436A27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схеме самолет представляет из себя одноместный скоростной истребитель, свободонесущий моноплан с низким расположением крыла, с убирающимися шасси и свободонесущим оперением.</w:t>
      </w:r>
    </w:p>
    <w:p w14:paraId="5A6BB3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Конструкция самолета.</w:t>
      </w:r>
    </w:p>
    <w:p w14:paraId="70E208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конструкции смешанный (металл, дерево).</w:t>
      </w:r>
    </w:p>
    <w:p w14:paraId="2A607C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состоит из 3-х частей, центроплана и 2-х консолей, центроплан – сварная ферма, образованная двумя трубчатыми лонжеронами, нервюрами, раскосами и обшитая фанерой. На задней кромке центроплана расположены щитки. Консоли крыла деревянные (кроме трубчатых лонжеронов) и имеют закрылки.</w:t>
      </w:r>
    </w:p>
    <w:p w14:paraId="52A6E8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Фюзеляж состоит из двух частей. Передняя неметаллическая, стыкующаяся с центропланом имеет дюралевый каркас и обшивку. Задняя деревянная выклеенная из фанеры.</w:t>
      </w:r>
    </w:p>
    <w:p w14:paraId="6838D9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 консольного типа, убирающиеся по потоку в центроплан.</w:t>
      </w:r>
    </w:p>
    <w:p w14:paraId="67F3C3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Оперение – свободонесущее. Киль выполнен заодно с фюзеляжем. Стабилизатор деревянный с фанерной обшивкой. Обшивка рулей высоты и поворота полотняная. Триммера имеются на руле высоты.</w:t>
      </w:r>
    </w:p>
    <w:p w14:paraId="0DAC19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самолета состоит из пушки Таубина калибра 23 мм и 2-х синхронных пулеметов ШКАС калибра 7,62 мм. Запас снарядов на пушку 81 шт. и патрон на пулеметы – 1000 штук.</w:t>
      </w:r>
    </w:p>
    <w:p w14:paraId="1E48A4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ВМГ - на самолете установлен мотор М-105П с трехлопастным винтом ВИШ-61П диаметром 3 метра.</w:t>
      </w:r>
    </w:p>
    <w:p w14:paraId="63DA46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Номинальная мощность мотора на расчетной высоте 4000 м равна 1100 л.с. Запас горючего равен 270 кг и распределяется в трех баках. Охлаждение воды в системе осуществляется трубчато-пластинчатым радиатором типа ОП-224, расположенным по оси самолета под центропланом, фронт водорадиатора 25,2 дм кв., охлаждающая поверхность по воздуху 47 м кв.</w:t>
      </w:r>
    </w:p>
    <w:p w14:paraId="47C775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масла равен 35 кг и распределяется в двух баках. Масло охлаждается двумя параллельно включенными радиаторами типа 0,4, установленными на носках центроплана.</w:t>
      </w:r>
    </w:p>
    <w:p w14:paraId="49F949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Перечень отступления от данных указанных в Постановлении КО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260"/>
        <w:gridCol w:w="3260"/>
      </w:tblGrid>
      <w:tr w:rsidR="00983732" w:rsidRPr="00A3026E" w14:paraId="1F7E3B64" w14:textId="77777777" w:rsidTr="00EA0DA7">
        <w:tc>
          <w:tcPr>
            <w:tcW w:w="3227" w:type="dxa"/>
          </w:tcPr>
          <w:p w14:paraId="7B7E13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w:t>
            </w:r>
          </w:p>
        </w:tc>
        <w:tc>
          <w:tcPr>
            <w:tcW w:w="3260" w:type="dxa"/>
          </w:tcPr>
          <w:p w14:paraId="2EC57B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данным указанным в Постановлении КО</w:t>
            </w:r>
          </w:p>
        </w:tc>
        <w:tc>
          <w:tcPr>
            <w:tcW w:w="3260" w:type="dxa"/>
          </w:tcPr>
          <w:p w14:paraId="691681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Получены в НИИ ВВС</w:t>
            </w:r>
          </w:p>
        </w:tc>
      </w:tr>
      <w:tr w:rsidR="00983732" w:rsidRPr="00A3026E" w14:paraId="55EF5C4C" w14:textId="77777777" w:rsidTr="00EA0DA7">
        <w:tc>
          <w:tcPr>
            <w:tcW w:w="3227" w:type="dxa"/>
          </w:tcPr>
          <w:p w14:paraId="48B91B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Н=5000 м</w:t>
            </w:r>
          </w:p>
        </w:tc>
        <w:tc>
          <w:tcPr>
            <w:tcW w:w="3260" w:type="dxa"/>
          </w:tcPr>
          <w:p w14:paraId="005B5C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620</w:t>
            </w:r>
          </w:p>
        </w:tc>
        <w:tc>
          <w:tcPr>
            <w:tcW w:w="3260" w:type="dxa"/>
          </w:tcPr>
          <w:p w14:paraId="4BF6CB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573</w:t>
            </w:r>
          </w:p>
        </w:tc>
      </w:tr>
      <w:tr w:rsidR="00983732" w:rsidRPr="00A3026E" w14:paraId="530C5AC6" w14:textId="77777777" w:rsidTr="00EA0DA7">
        <w:tc>
          <w:tcPr>
            <w:tcW w:w="3227" w:type="dxa"/>
          </w:tcPr>
          <w:p w14:paraId="5AB4B2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3260" w:type="dxa"/>
          </w:tcPr>
          <w:p w14:paraId="6128A3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3260" w:type="dxa"/>
          </w:tcPr>
          <w:p w14:paraId="6F094E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w:t>
            </w:r>
          </w:p>
        </w:tc>
      </w:tr>
      <w:tr w:rsidR="00983732" w:rsidRPr="00A3026E" w14:paraId="4F5EE62C" w14:textId="77777777" w:rsidTr="00EA0DA7">
        <w:tc>
          <w:tcPr>
            <w:tcW w:w="3227" w:type="dxa"/>
          </w:tcPr>
          <w:p w14:paraId="1C0330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3260" w:type="dxa"/>
          </w:tcPr>
          <w:p w14:paraId="415FDF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10000-12000</w:t>
            </w:r>
          </w:p>
        </w:tc>
        <w:tc>
          <w:tcPr>
            <w:tcW w:w="3260" w:type="dxa"/>
          </w:tcPr>
          <w:p w14:paraId="16016A7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10600</w:t>
            </w:r>
          </w:p>
        </w:tc>
      </w:tr>
      <w:tr w:rsidR="00983732" w:rsidRPr="00A3026E" w14:paraId="41C9FF42" w14:textId="77777777" w:rsidTr="00EA0DA7">
        <w:tc>
          <w:tcPr>
            <w:tcW w:w="3227" w:type="dxa"/>
          </w:tcPr>
          <w:p w14:paraId="06B0F8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Н=5000 м</w:t>
            </w:r>
          </w:p>
        </w:tc>
        <w:tc>
          <w:tcPr>
            <w:tcW w:w="3260" w:type="dxa"/>
          </w:tcPr>
          <w:p w14:paraId="4E3F1F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3260" w:type="dxa"/>
          </w:tcPr>
          <w:p w14:paraId="66B17B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r>
      <w:tr w:rsidR="00983732" w:rsidRPr="00A3026E" w14:paraId="140C2DD7" w14:textId="77777777" w:rsidTr="00EA0DA7">
        <w:tc>
          <w:tcPr>
            <w:tcW w:w="3227" w:type="dxa"/>
          </w:tcPr>
          <w:p w14:paraId="7D524B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 при взлете</w:t>
            </w:r>
          </w:p>
        </w:tc>
        <w:tc>
          <w:tcPr>
            <w:tcW w:w="3260" w:type="dxa"/>
          </w:tcPr>
          <w:p w14:paraId="5928A8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w:t>
            </w:r>
          </w:p>
        </w:tc>
        <w:tc>
          <w:tcPr>
            <w:tcW w:w="3260" w:type="dxa"/>
          </w:tcPr>
          <w:p w14:paraId="07CE65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324</w:t>
            </w:r>
          </w:p>
        </w:tc>
      </w:tr>
      <w:tr w:rsidR="00983732" w:rsidRPr="00A3026E" w14:paraId="3A7B4D47" w14:textId="77777777" w:rsidTr="00EA0DA7">
        <w:tc>
          <w:tcPr>
            <w:tcW w:w="3227" w:type="dxa"/>
          </w:tcPr>
          <w:p w14:paraId="324757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 при посадке</w:t>
            </w:r>
          </w:p>
        </w:tc>
        <w:tc>
          <w:tcPr>
            <w:tcW w:w="3260" w:type="dxa"/>
          </w:tcPr>
          <w:p w14:paraId="75ED79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c>
          <w:tcPr>
            <w:tcW w:w="3260" w:type="dxa"/>
          </w:tcPr>
          <w:p w14:paraId="3259CF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w:t>
            </w:r>
          </w:p>
        </w:tc>
      </w:tr>
      <w:tr w:rsidR="00983732" w:rsidRPr="00A3026E" w14:paraId="1A84B897" w14:textId="77777777" w:rsidTr="00EA0DA7">
        <w:tc>
          <w:tcPr>
            <w:tcW w:w="3227" w:type="dxa"/>
          </w:tcPr>
          <w:p w14:paraId="275071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3260" w:type="dxa"/>
          </w:tcPr>
          <w:p w14:paraId="541D9F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w:t>
            </w:r>
          </w:p>
          <w:p w14:paraId="0F7AC1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ШКАС</w:t>
            </w:r>
          </w:p>
        </w:tc>
        <w:tc>
          <w:tcPr>
            <w:tcW w:w="3260" w:type="dxa"/>
          </w:tcPr>
          <w:p w14:paraId="73627E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w:t>
            </w:r>
          </w:p>
          <w:p w14:paraId="24A64A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ШКАС</w:t>
            </w:r>
          </w:p>
        </w:tc>
      </w:tr>
      <w:tr w:rsidR="00983732" w:rsidRPr="00A3026E" w14:paraId="19E18463" w14:textId="77777777" w:rsidTr="00EA0DA7">
        <w:tc>
          <w:tcPr>
            <w:tcW w:w="3227" w:type="dxa"/>
          </w:tcPr>
          <w:p w14:paraId="70AA332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Боезапас</w:t>
            </w:r>
          </w:p>
        </w:tc>
        <w:tc>
          <w:tcPr>
            <w:tcW w:w="3260" w:type="dxa"/>
          </w:tcPr>
          <w:p w14:paraId="4C791E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 снарядов</w:t>
            </w:r>
          </w:p>
          <w:p w14:paraId="5D9EC0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 патрон</w:t>
            </w:r>
          </w:p>
        </w:tc>
        <w:tc>
          <w:tcPr>
            <w:tcW w:w="3260" w:type="dxa"/>
          </w:tcPr>
          <w:p w14:paraId="2E54E3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 снаряд</w:t>
            </w:r>
          </w:p>
          <w:p w14:paraId="09ABAB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 патрон</w:t>
            </w:r>
          </w:p>
        </w:tc>
      </w:tr>
    </w:tbl>
    <w:p w14:paraId="7BA091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Общая продолжительность испытаний – 45 дней</w:t>
      </w:r>
    </w:p>
    <w:p w14:paraId="5A0CC6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них:</w:t>
      </w:r>
    </w:p>
    <w:p w14:paraId="371FCDA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наземные испытания – 5 дней</w:t>
      </w:r>
    </w:p>
    <w:p w14:paraId="5A20CE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летные испытания – 11 дней</w:t>
      </w:r>
    </w:p>
    <w:p w14:paraId="3799B2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Краткий результат испытаний</w:t>
      </w:r>
    </w:p>
    <w:p w14:paraId="1E50AE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И-21 экземпляр № 1 поступил в НИИ ВВС вторично. Впервые, до принятия самолета на госиспытания, с 27 августа по 18 сентября 1940 года в порядке заводских испытаний было сделано 5 полетов летчиками НИИ ВВС, во время которых была выявлена недостаточная поперечная устойчивость самолета, как в продольном отношении, так и отношении пути.</w:t>
      </w:r>
    </w:p>
    <w:p w14:paraId="1855C2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Неустойчивость в продольном отношении самолет имел из-за чрезвычайно задней центровки (34% САХ).</w:t>
      </w:r>
    </w:p>
    <w:p w14:paraId="2D176B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целью улучшения продольной устойчивости, центровка была искусственно доведена до 29% САХ при убранном шасси, однако и при этой центровке самолет остался неустойчивым в продольном отношении.</w:t>
      </w:r>
    </w:p>
    <w:p w14:paraId="7687F51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проверке максимальных скоростей на расчетной высоте, получены значительно меньшие скорости, чем по заводским данным, а именно:</w:t>
      </w:r>
    </w:p>
    <w:p w14:paraId="58D287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данным завода № 21 V максимальная – 628 км/час на гр. высоте</w:t>
      </w:r>
    </w:p>
    <w:p w14:paraId="1F9644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данным НИИ ВВС V максимальная – 559 км/час на гр. высоте</w:t>
      </w:r>
    </w:p>
    <w:p w14:paraId="62DCD0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выявленных дефектов самолет на госиспытания принят не был и отправлен на завод № 21 для доводки.</w:t>
      </w:r>
    </w:p>
    <w:p w14:paraId="4C3BFA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18 сентября по 12 ноября 1940 года самолет находился на доводке на заводе № 21, где устранялись конструктивные и эксплуатационные дефекты, выявленные во время предварительных полетов. Была проделана следующая работа:</w:t>
      </w:r>
    </w:p>
    <w:p w14:paraId="33FEC2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 целью улучшения центровки, была придана стрельчатость крылу в плане, чем достигнута центровка 24,5% САХ при убранном шасси;</w:t>
      </w:r>
    </w:p>
    <w:p w14:paraId="4F822A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переделаны водомаслосистемы: изменена заправка водой – сделана через блок; в маслосистеме поставлен автоматический клапан, регулирующий прокачку масла через каждый радиатор;</w:t>
      </w:r>
    </w:p>
    <w:p w14:paraId="4FB769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проведен ряд других, более мелких переделок.</w:t>
      </w:r>
    </w:p>
    <w:p w14:paraId="4A5816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окончания указанных переделок, самолет вторично – 12 ноября 1940 года поступил на госиспытания в НИИ ВВС.</w:t>
      </w:r>
    </w:p>
    <w:p w14:paraId="305362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12 ноября по 27 декабря 1940 года сделано всего 39 полетов с общим налетом 9 часов 30 минут. Из них 5 полетов на скорости по высотам, 2 полета на километраж, 6 полетов на определение взлетно-посадочных качеств самолета и остальные 26 полетов – ознакомительные, тренировочные и на облет.</w:t>
      </w:r>
    </w:p>
    <w:p w14:paraId="09FA21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испытывался с полетным весом 2754 кг с полезной нагрузкой – 542,6 кг.</w:t>
      </w:r>
    </w:p>
    <w:p w14:paraId="5BE72C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госиспытаний самолета И-21, в НИИ ВВС получены следующие летные данные самолета:</w:t>
      </w:r>
    </w:p>
    <w:p w14:paraId="4E935B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Максимальная скорость у земли – 488 км/час</w:t>
      </w:r>
    </w:p>
    <w:p w14:paraId="063695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границе высотности Н=4800 – 573 км/час</w:t>
      </w:r>
    </w:p>
    <w:p w14:paraId="772385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Н=8000 м – 500 км/час</w:t>
      </w:r>
    </w:p>
    <w:p w14:paraId="28C4C9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Н=500 м – 6,0 минут</w:t>
      </w:r>
    </w:p>
    <w:p w14:paraId="207AC8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 10600 м</w:t>
      </w:r>
    </w:p>
    <w:p w14:paraId="2164BC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 при взлете – 324 м</w:t>
      </w:r>
    </w:p>
    <w:p w14:paraId="30A131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 при посадке – 552 м</w:t>
      </w:r>
    </w:p>
    <w:p w14:paraId="32F021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 165 км/час</w:t>
      </w:r>
    </w:p>
    <w:p w14:paraId="414C39A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отсутствовало: радиостанция, генератор электроэнергии, осветительные посадочные средства, бензиномер.</w:t>
      </w:r>
    </w:p>
    <w:p w14:paraId="244C0F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Емкость установленного аккумулятора недостаточна.</w:t>
      </w:r>
    </w:p>
    <w:p w14:paraId="14F9F5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обеспечен удобный подход и легкосъемность основных элементов спецоборудования (приборная доска, аккумулятор, кислородное оборудование).</w:t>
      </w:r>
    </w:p>
    <w:p w14:paraId="5442EB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Сравнительная таблица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824"/>
        <w:gridCol w:w="851"/>
        <w:gridCol w:w="850"/>
        <w:gridCol w:w="851"/>
        <w:gridCol w:w="850"/>
        <w:gridCol w:w="992"/>
        <w:gridCol w:w="851"/>
        <w:gridCol w:w="850"/>
        <w:gridCol w:w="1985"/>
      </w:tblGrid>
      <w:tr w:rsidR="00983732" w:rsidRPr="00A3026E" w14:paraId="06A46BB5" w14:textId="77777777" w:rsidTr="00EA0DA7">
        <w:tc>
          <w:tcPr>
            <w:tcW w:w="1127" w:type="dxa"/>
          </w:tcPr>
          <w:p w14:paraId="26533C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Наименован. самолета </w:t>
            </w:r>
          </w:p>
        </w:tc>
        <w:tc>
          <w:tcPr>
            <w:tcW w:w="824" w:type="dxa"/>
          </w:tcPr>
          <w:p w14:paraId="62409C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в кг</w:t>
            </w:r>
          </w:p>
        </w:tc>
        <w:tc>
          <w:tcPr>
            <w:tcW w:w="851" w:type="dxa"/>
          </w:tcPr>
          <w:p w14:paraId="63C846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моторов в л.с.</w:t>
            </w:r>
          </w:p>
        </w:tc>
        <w:tc>
          <w:tcPr>
            <w:tcW w:w="850" w:type="dxa"/>
          </w:tcPr>
          <w:p w14:paraId="154E6D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 скорость в км/час у земли</w:t>
            </w:r>
          </w:p>
        </w:tc>
        <w:tc>
          <w:tcPr>
            <w:tcW w:w="851" w:type="dxa"/>
          </w:tcPr>
          <w:p w14:paraId="7CD01F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 скорость в км/час на гр. высотности</w:t>
            </w:r>
          </w:p>
        </w:tc>
        <w:tc>
          <w:tcPr>
            <w:tcW w:w="850" w:type="dxa"/>
          </w:tcPr>
          <w:p w14:paraId="575A96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5000 м</w:t>
            </w:r>
          </w:p>
        </w:tc>
        <w:tc>
          <w:tcPr>
            <w:tcW w:w="992" w:type="dxa"/>
          </w:tcPr>
          <w:p w14:paraId="495A96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 потолок в м</w:t>
            </w:r>
          </w:p>
        </w:tc>
        <w:tc>
          <w:tcPr>
            <w:tcW w:w="851" w:type="dxa"/>
          </w:tcPr>
          <w:p w14:paraId="3357C2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скорость</w:t>
            </w:r>
          </w:p>
        </w:tc>
        <w:tc>
          <w:tcPr>
            <w:tcW w:w="850" w:type="dxa"/>
          </w:tcPr>
          <w:p w14:paraId="48DD44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w:t>
            </w:r>
          </w:p>
        </w:tc>
        <w:tc>
          <w:tcPr>
            <w:tcW w:w="1985" w:type="dxa"/>
          </w:tcPr>
          <w:p w14:paraId="6B9322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стрелковое</w:t>
            </w:r>
          </w:p>
        </w:tc>
      </w:tr>
      <w:tr w:rsidR="00983732" w:rsidRPr="00A3026E" w14:paraId="58FED6B4" w14:textId="77777777" w:rsidTr="00EA0DA7">
        <w:tc>
          <w:tcPr>
            <w:tcW w:w="1127" w:type="dxa"/>
          </w:tcPr>
          <w:p w14:paraId="6CC4C3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И-21</w:t>
            </w:r>
          </w:p>
        </w:tc>
        <w:tc>
          <w:tcPr>
            <w:tcW w:w="824" w:type="dxa"/>
          </w:tcPr>
          <w:p w14:paraId="539CB4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2754</w:t>
            </w:r>
          </w:p>
        </w:tc>
        <w:tc>
          <w:tcPr>
            <w:tcW w:w="851" w:type="dxa"/>
          </w:tcPr>
          <w:p w14:paraId="3DC8AA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850" w:type="dxa"/>
          </w:tcPr>
          <w:p w14:paraId="56437E5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488</w:t>
            </w:r>
          </w:p>
        </w:tc>
        <w:tc>
          <w:tcPr>
            <w:tcW w:w="851" w:type="dxa"/>
          </w:tcPr>
          <w:p w14:paraId="7652EC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573</w:t>
            </w:r>
          </w:p>
        </w:tc>
        <w:tc>
          <w:tcPr>
            <w:tcW w:w="850" w:type="dxa"/>
          </w:tcPr>
          <w:p w14:paraId="665097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992" w:type="dxa"/>
          </w:tcPr>
          <w:p w14:paraId="3CE233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10600</w:t>
            </w:r>
          </w:p>
        </w:tc>
        <w:tc>
          <w:tcPr>
            <w:tcW w:w="851" w:type="dxa"/>
          </w:tcPr>
          <w:p w14:paraId="4CD2F0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0" w:type="dxa"/>
          </w:tcPr>
          <w:p w14:paraId="5370FC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985" w:type="dxa"/>
          </w:tcPr>
          <w:p w14:paraId="30853D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 – 81 шт.</w:t>
            </w:r>
          </w:p>
          <w:p w14:paraId="02963F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 1000 шт.</w:t>
            </w:r>
          </w:p>
        </w:tc>
      </w:tr>
      <w:tr w:rsidR="00983732" w:rsidRPr="00A3026E" w14:paraId="2050E1E1" w14:textId="77777777" w:rsidTr="00EA0DA7">
        <w:tc>
          <w:tcPr>
            <w:tcW w:w="1127" w:type="dxa"/>
          </w:tcPr>
          <w:p w14:paraId="437F9B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w:t>
            </w:r>
          </w:p>
        </w:tc>
        <w:tc>
          <w:tcPr>
            <w:tcW w:w="824" w:type="dxa"/>
          </w:tcPr>
          <w:p w14:paraId="11801B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2700</w:t>
            </w:r>
          </w:p>
        </w:tc>
        <w:tc>
          <w:tcPr>
            <w:tcW w:w="851" w:type="dxa"/>
          </w:tcPr>
          <w:p w14:paraId="7AA2B0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850" w:type="dxa"/>
          </w:tcPr>
          <w:p w14:paraId="4E5662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c>
          <w:tcPr>
            <w:tcW w:w="851" w:type="dxa"/>
          </w:tcPr>
          <w:p w14:paraId="6300E4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850" w:type="dxa"/>
          </w:tcPr>
          <w:p w14:paraId="343BF3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992" w:type="dxa"/>
          </w:tcPr>
          <w:p w14:paraId="7B0762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10200</w:t>
            </w:r>
          </w:p>
        </w:tc>
        <w:tc>
          <w:tcPr>
            <w:tcW w:w="851" w:type="dxa"/>
          </w:tcPr>
          <w:p w14:paraId="655A43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850" w:type="dxa"/>
          </w:tcPr>
          <w:p w14:paraId="52D2F9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985" w:type="dxa"/>
          </w:tcPr>
          <w:p w14:paraId="02BC16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 760 шт.</w:t>
            </w:r>
          </w:p>
          <w:p w14:paraId="04BEA1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 – 120 снарядов</w:t>
            </w:r>
          </w:p>
        </w:tc>
      </w:tr>
      <w:tr w:rsidR="00983732" w:rsidRPr="00A3026E" w14:paraId="6C376709" w14:textId="77777777" w:rsidTr="00EA0DA7">
        <w:tc>
          <w:tcPr>
            <w:tcW w:w="1127" w:type="dxa"/>
          </w:tcPr>
          <w:p w14:paraId="59F641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w:t>
            </w:r>
          </w:p>
        </w:tc>
        <w:tc>
          <w:tcPr>
            <w:tcW w:w="824" w:type="dxa"/>
          </w:tcPr>
          <w:p w14:paraId="5728B0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2968</w:t>
            </w:r>
          </w:p>
        </w:tc>
        <w:tc>
          <w:tcPr>
            <w:tcW w:w="851" w:type="dxa"/>
          </w:tcPr>
          <w:p w14:paraId="4F1633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1050</w:t>
            </w:r>
          </w:p>
        </w:tc>
        <w:tc>
          <w:tcPr>
            <w:tcW w:w="850" w:type="dxa"/>
          </w:tcPr>
          <w:p w14:paraId="21C583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851" w:type="dxa"/>
          </w:tcPr>
          <w:p w14:paraId="3141F5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w:t>
            </w:r>
          </w:p>
        </w:tc>
        <w:tc>
          <w:tcPr>
            <w:tcW w:w="850" w:type="dxa"/>
          </w:tcPr>
          <w:p w14:paraId="4A8340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w:t>
            </w:r>
          </w:p>
        </w:tc>
        <w:tc>
          <w:tcPr>
            <w:tcW w:w="992" w:type="dxa"/>
          </w:tcPr>
          <w:p w14:paraId="284ADD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1" w:type="dxa"/>
          </w:tcPr>
          <w:p w14:paraId="5B1C89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850" w:type="dxa"/>
          </w:tcPr>
          <w:p w14:paraId="70D08E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8РС-82</w:t>
            </w:r>
          </w:p>
        </w:tc>
        <w:tc>
          <w:tcPr>
            <w:tcW w:w="1985" w:type="dxa"/>
          </w:tcPr>
          <w:p w14:paraId="0C074D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2БС - …40 шт.</w:t>
            </w:r>
          </w:p>
          <w:p w14:paraId="0F38AF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 – 1300 штук</w:t>
            </w:r>
          </w:p>
          <w:p w14:paraId="0C9FDE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 – 81 снаряд</w:t>
            </w:r>
          </w:p>
        </w:tc>
      </w:tr>
      <w:tr w:rsidR="00983732" w:rsidRPr="00A3026E" w14:paraId="74CEC4B7" w14:textId="77777777" w:rsidTr="00EA0DA7">
        <w:tc>
          <w:tcPr>
            <w:tcW w:w="1127" w:type="dxa"/>
          </w:tcPr>
          <w:p w14:paraId="2478AE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w:t>
            </w:r>
          </w:p>
        </w:tc>
        <w:tc>
          <w:tcPr>
            <w:tcW w:w="824" w:type="dxa"/>
          </w:tcPr>
          <w:p w14:paraId="44D1AD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2988</w:t>
            </w:r>
          </w:p>
        </w:tc>
        <w:tc>
          <w:tcPr>
            <w:tcW w:w="851" w:type="dxa"/>
          </w:tcPr>
          <w:p w14:paraId="3AF0C6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c>
          <w:tcPr>
            <w:tcW w:w="850" w:type="dxa"/>
          </w:tcPr>
          <w:p w14:paraId="42036E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486</w:t>
            </w:r>
          </w:p>
        </w:tc>
        <w:tc>
          <w:tcPr>
            <w:tcW w:w="851" w:type="dxa"/>
          </w:tcPr>
          <w:p w14:paraId="18C494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w:t>
            </w:r>
          </w:p>
        </w:tc>
        <w:tc>
          <w:tcPr>
            <w:tcW w:w="850" w:type="dxa"/>
          </w:tcPr>
          <w:p w14:paraId="4872A7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w:t>
            </w:r>
          </w:p>
        </w:tc>
        <w:tc>
          <w:tcPr>
            <w:tcW w:w="992" w:type="dxa"/>
          </w:tcPr>
          <w:p w14:paraId="71871B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c>
          <w:tcPr>
            <w:tcW w:w="851" w:type="dxa"/>
          </w:tcPr>
          <w:p w14:paraId="672811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850" w:type="dxa"/>
          </w:tcPr>
          <w:p w14:paraId="073C35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985" w:type="dxa"/>
          </w:tcPr>
          <w:p w14:paraId="2BDA8D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БС 300 штук</w:t>
            </w:r>
          </w:p>
          <w:p w14:paraId="7A6AF8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ШКАС 1800 штук</w:t>
            </w:r>
          </w:p>
        </w:tc>
      </w:tr>
      <w:tr w:rsidR="00983732" w:rsidRPr="00A3026E" w14:paraId="7A8E1469" w14:textId="77777777" w:rsidTr="00EA0DA7">
        <w:tc>
          <w:tcPr>
            <w:tcW w:w="1127" w:type="dxa"/>
          </w:tcPr>
          <w:p w14:paraId="3B5D8C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И-180</w:t>
            </w:r>
          </w:p>
        </w:tc>
        <w:tc>
          <w:tcPr>
            <w:tcW w:w="824" w:type="dxa"/>
          </w:tcPr>
          <w:p w14:paraId="0ED0CF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2450</w:t>
            </w:r>
          </w:p>
        </w:tc>
        <w:tc>
          <w:tcPr>
            <w:tcW w:w="851" w:type="dxa"/>
          </w:tcPr>
          <w:p w14:paraId="7BA29F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850" w:type="dxa"/>
          </w:tcPr>
          <w:p w14:paraId="28C708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456</w:t>
            </w:r>
          </w:p>
        </w:tc>
        <w:tc>
          <w:tcPr>
            <w:tcW w:w="851" w:type="dxa"/>
          </w:tcPr>
          <w:p w14:paraId="76AF05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850" w:type="dxa"/>
          </w:tcPr>
          <w:p w14:paraId="335FD0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c>
          <w:tcPr>
            <w:tcW w:w="992" w:type="dxa"/>
          </w:tcPr>
          <w:p w14:paraId="7DBE6B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1" w:type="dxa"/>
          </w:tcPr>
          <w:p w14:paraId="0D2EFE5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0" w:type="dxa"/>
          </w:tcPr>
          <w:p w14:paraId="5EE03E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985" w:type="dxa"/>
          </w:tcPr>
          <w:p w14:paraId="5BD327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БС 300 штук</w:t>
            </w:r>
          </w:p>
          <w:p w14:paraId="4E99BA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ШКАС</w:t>
            </w:r>
          </w:p>
        </w:tc>
      </w:tr>
      <w:tr w:rsidR="00983732" w:rsidRPr="00A3026E" w14:paraId="49FC8CE1" w14:textId="77777777" w:rsidTr="00EA0DA7">
        <w:tc>
          <w:tcPr>
            <w:tcW w:w="1127" w:type="dxa"/>
          </w:tcPr>
          <w:p w14:paraId="37B1EF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И-28</w:t>
            </w:r>
          </w:p>
        </w:tc>
        <w:tc>
          <w:tcPr>
            <w:tcW w:w="824" w:type="dxa"/>
          </w:tcPr>
          <w:p w14:paraId="404045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2730</w:t>
            </w:r>
          </w:p>
        </w:tc>
        <w:tc>
          <w:tcPr>
            <w:tcW w:w="851" w:type="dxa"/>
          </w:tcPr>
          <w:p w14:paraId="7CA5C0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850" w:type="dxa"/>
          </w:tcPr>
          <w:p w14:paraId="7DC801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439</w:t>
            </w:r>
          </w:p>
        </w:tc>
        <w:tc>
          <w:tcPr>
            <w:tcW w:w="851" w:type="dxa"/>
          </w:tcPr>
          <w:p w14:paraId="7CFA43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w:t>
            </w:r>
          </w:p>
        </w:tc>
        <w:tc>
          <w:tcPr>
            <w:tcW w:w="850" w:type="dxa"/>
          </w:tcPr>
          <w:p w14:paraId="280ECF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tc>
        <w:tc>
          <w:tcPr>
            <w:tcW w:w="992" w:type="dxa"/>
          </w:tcPr>
          <w:p w14:paraId="5B41CB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10800</w:t>
            </w:r>
          </w:p>
        </w:tc>
        <w:tc>
          <w:tcPr>
            <w:tcW w:w="851" w:type="dxa"/>
          </w:tcPr>
          <w:p w14:paraId="0618B7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0" w:type="dxa"/>
          </w:tcPr>
          <w:p w14:paraId="7D3340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985" w:type="dxa"/>
          </w:tcPr>
          <w:p w14:paraId="322DBD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БС – 300 штук</w:t>
            </w:r>
          </w:p>
          <w:p w14:paraId="1FDBB0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ШКАС</w:t>
            </w:r>
          </w:p>
        </w:tc>
      </w:tr>
      <w:tr w:rsidR="00983732" w:rsidRPr="00A3026E" w14:paraId="5CC89995" w14:textId="77777777" w:rsidTr="00EA0DA7">
        <w:tc>
          <w:tcPr>
            <w:tcW w:w="1127" w:type="dxa"/>
          </w:tcPr>
          <w:p w14:paraId="78B55E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Хейнкель-100</w:t>
            </w:r>
          </w:p>
        </w:tc>
        <w:tc>
          <w:tcPr>
            <w:tcW w:w="824" w:type="dxa"/>
          </w:tcPr>
          <w:p w14:paraId="60E973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c>
          <w:tcPr>
            <w:tcW w:w="851" w:type="dxa"/>
          </w:tcPr>
          <w:p w14:paraId="76F0A4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850" w:type="dxa"/>
          </w:tcPr>
          <w:p w14:paraId="08E775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851" w:type="dxa"/>
          </w:tcPr>
          <w:p w14:paraId="329C02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689</w:t>
            </w:r>
          </w:p>
        </w:tc>
        <w:tc>
          <w:tcPr>
            <w:tcW w:w="850" w:type="dxa"/>
          </w:tcPr>
          <w:p w14:paraId="261F00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w:t>
            </w:r>
          </w:p>
        </w:tc>
        <w:tc>
          <w:tcPr>
            <w:tcW w:w="992" w:type="dxa"/>
          </w:tcPr>
          <w:p w14:paraId="0E512F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1" w:type="dxa"/>
          </w:tcPr>
          <w:p w14:paraId="5B9E50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0" w:type="dxa"/>
          </w:tcPr>
          <w:p w14:paraId="638E52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985" w:type="dxa"/>
          </w:tcPr>
          <w:p w14:paraId="660EB1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 1000 штук</w:t>
            </w:r>
          </w:p>
        </w:tc>
      </w:tr>
      <w:tr w:rsidR="00983732" w:rsidRPr="00A3026E" w14:paraId="0819625B" w14:textId="77777777" w:rsidTr="00EA0DA7">
        <w:tc>
          <w:tcPr>
            <w:tcW w:w="1127" w:type="dxa"/>
          </w:tcPr>
          <w:p w14:paraId="16B8D0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Мессершмидт-109</w:t>
            </w:r>
          </w:p>
        </w:tc>
        <w:tc>
          <w:tcPr>
            <w:tcW w:w="824" w:type="dxa"/>
          </w:tcPr>
          <w:p w14:paraId="4B193E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2605</w:t>
            </w:r>
          </w:p>
        </w:tc>
        <w:tc>
          <w:tcPr>
            <w:tcW w:w="851" w:type="dxa"/>
          </w:tcPr>
          <w:p w14:paraId="228DF0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850" w:type="dxa"/>
          </w:tcPr>
          <w:p w14:paraId="3A463E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440</w:t>
            </w:r>
          </w:p>
        </w:tc>
        <w:tc>
          <w:tcPr>
            <w:tcW w:w="851" w:type="dxa"/>
          </w:tcPr>
          <w:p w14:paraId="33D22B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546</w:t>
            </w:r>
          </w:p>
        </w:tc>
        <w:tc>
          <w:tcPr>
            <w:tcW w:w="850" w:type="dxa"/>
          </w:tcPr>
          <w:p w14:paraId="20DAD7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w:t>
            </w:r>
          </w:p>
        </w:tc>
        <w:tc>
          <w:tcPr>
            <w:tcW w:w="992" w:type="dxa"/>
          </w:tcPr>
          <w:p w14:paraId="06786D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1" w:type="dxa"/>
          </w:tcPr>
          <w:p w14:paraId="551943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0" w:type="dxa"/>
          </w:tcPr>
          <w:p w14:paraId="453184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985" w:type="dxa"/>
          </w:tcPr>
          <w:p w14:paraId="17B927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пушки – 120 штук</w:t>
            </w:r>
          </w:p>
          <w:p w14:paraId="353D34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 2000 штук</w:t>
            </w:r>
          </w:p>
        </w:tc>
      </w:tr>
      <w:tr w:rsidR="00983732" w:rsidRPr="00A3026E" w14:paraId="093D6506" w14:textId="77777777" w:rsidTr="00EA0DA7">
        <w:tc>
          <w:tcPr>
            <w:tcW w:w="1127" w:type="dxa"/>
          </w:tcPr>
          <w:p w14:paraId="50DEEA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Белл ХР-39</w:t>
            </w:r>
          </w:p>
        </w:tc>
        <w:tc>
          <w:tcPr>
            <w:tcW w:w="824" w:type="dxa"/>
          </w:tcPr>
          <w:p w14:paraId="12CFF4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2720</w:t>
            </w:r>
          </w:p>
        </w:tc>
        <w:tc>
          <w:tcPr>
            <w:tcW w:w="851" w:type="dxa"/>
          </w:tcPr>
          <w:p w14:paraId="4ED738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1250</w:t>
            </w:r>
          </w:p>
        </w:tc>
        <w:tc>
          <w:tcPr>
            <w:tcW w:w="850" w:type="dxa"/>
          </w:tcPr>
          <w:p w14:paraId="319FF5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1" w:type="dxa"/>
          </w:tcPr>
          <w:p w14:paraId="6097F9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653</w:t>
            </w:r>
          </w:p>
        </w:tc>
        <w:tc>
          <w:tcPr>
            <w:tcW w:w="850" w:type="dxa"/>
          </w:tcPr>
          <w:p w14:paraId="415B8E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992" w:type="dxa"/>
          </w:tcPr>
          <w:p w14:paraId="707A88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1" w:type="dxa"/>
          </w:tcPr>
          <w:p w14:paraId="27DF1F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50" w:type="dxa"/>
          </w:tcPr>
          <w:p w14:paraId="35B621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985" w:type="dxa"/>
          </w:tcPr>
          <w:p w14:paraId="272DB3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w:t>
            </w:r>
          </w:p>
          <w:p w14:paraId="1F5E8C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w:t>
            </w:r>
          </w:p>
        </w:tc>
      </w:tr>
    </w:tbl>
    <w:p w14:paraId="135958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отечественных самолетов, а также самолета Ме-109 указаны по результатам госиспытаний в НИИ ВВС, кроме самолета И-180, данные которого указаны по заводским испытаниям.</w:t>
      </w:r>
    </w:p>
    <w:p w14:paraId="65A888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иностранных самолетов взяты из журналов.</w:t>
      </w:r>
    </w:p>
    <w:p w14:paraId="0D8F22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Выводы </w:t>
      </w:r>
    </w:p>
    <w:p w14:paraId="472936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По летным свойствам самолета.</w:t>
      </w:r>
    </w:p>
    <w:p w14:paraId="1320547E"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И-21 по максимальной горизонтальной скорости на границе высотности Н=4800 м, равной 573 км/час стоит ниже лучших отечественных однотипных самолетов, а также уступает многим иностранным самолетам (см. сравнительную таблицу).</w:t>
      </w:r>
    </w:p>
    <w:p w14:paraId="5A560F22"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И-21 на эксплуатационной центровке 24,5% САХ (шасси убраны) обладает:</w:t>
      </w:r>
    </w:p>
    <w:p w14:paraId="328F6F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неустойчивость в поперечном отношении;</w:t>
      </w:r>
    </w:p>
    <w:p w14:paraId="43B0C8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нейтральной устойчивостью пути;</w:t>
      </w:r>
    </w:p>
    <w:p w14:paraId="70176E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недостаточным запасом устойчивости в продольном отношении.</w:t>
      </w:r>
    </w:p>
    <w:p w14:paraId="4DF61922" w14:textId="77777777" w:rsidR="0014077F" w:rsidRPr="00A3026E" w:rsidRDefault="0014077F" w:rsidP="00A3026E">
      <w:pPr>
        <w:pStyle w:val="a3"/>
        <w:widowControl/>
        <w:tabs>
          <w:tab w:val="left" w:pos="360"/>
        </w:tabs>
        <w:rPr>
          <w:color w:val="000000" w:themeColor="text1"/>
          <w:lang w:val="ru-RU"/>
        </w:rPr>
      </w:pPr>
      <w:r w:rsidRPr="00A3026E">
        <w:rPr>
          <w:color w:val="000000" w:themeColor="text1"/>
          <w:lang w:val="ru-RU"/>
        </w:rPr>
        <w:t>имеет большую посадочную скорость по сравнению с другими однотипными самолетами.</w:t>
      </w:r>
    </w:p>
    <w:p w14:paraId="752F0C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Увеличенная посадочная скорость объясняется большой нагрузкой на кв. метр, чем у однотипных самолетов при прочих равных посадочных приспособлениях, а именно: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491"/>
        <w:gridCol w:w="1559"/>
        <w:gridCol w:w="1701"/>
        <w:gridCol w:w="1701"/>
        <w:gridCol w:w="1701"/>
      </w:tblGrid>
      <w:tr w:rsidR="00983732" w:rsidRPr="00A3026E" w14:paraId="44F7BF65" w14:textId="77777777" w:rsidTr="00EA0DA7">
        <w:tc>
          <w:tcPr>
            <w:tcW w:w="1878" w:type="dxa"/>
          </w:tcPr>
          <w:p w14:paraId="290E2AA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491" w:type="dxa"/>
          </w:tcPr>
          <w:p w14:paraId="1F86CF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И-21</w:t>
            </w:r>
          </w:p>
        </w:tc>
        <w:tc>
          <w:tcPr>
            <w:tcW w:w="1559" w:type="dxa"/>
          </w:tcPr>
          <w:p w14:paraId="11C736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И-200</w:t>
            </w:r>
          </w:p>
        </w:tc>
        <w:tc>
          <w:tcPr>
            <w:tcW w:w="1701" w:type="dxa"/>
          </w:tcPr>
          <w:p w14:paraId="228AA8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И-26</w:t>
            </w:r>
          </w:p>
        </w:tc>
        <w:tc>
          <w:tcPr>
            <w:tcW w:w="1701" w:type="dxa"/>
          </w:tcPr>
          <w:p w14:paraId="3C7016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w:t>
            </w:r>
          </w:p>
        </w:tc>
        <w:tc>
          <w:tcPr>
            <w:tcW w:w="1701" w:type="dxa"/>
          </w:tcPr>
          <w:p w14:paraId="332246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Ме-109</w:t>
            </w:r>
          </w:p>
        </w:tc>
      </w:tr>
      <w:tr w:rsidR="00983732" w:rsidRPr="00A3026E" w14:paraId="5AF55391" w14:textId="77777777" w:rsidTr="00EA0DA7">
        <w:tc>
          <w:tcPr>
            <w:tcW w:w="1878" w:type="dxa"/>
          </w:tcPr>
          <w:p w14:paraId="6F765B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1491" w:type="dxa"/>
          </w:tcPr>
          <w:p w14:paraId="2A94FD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w:t>
            </w:r>
          </w:p>
        </w:tc>
        <w:tc>
          <w:tcPr>
            <w:tcW w:w="1559" w:type="dxa"/>
          </w:tcPr>
          <w:p w14:paraId="30D0F8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w:t>
            </w:r>
          </w:p>
        </w:tc>
        <w:tc>
          <w:tcPr>
            <w:tcW w:w="1701" w:type="dxa"/>
          </w:tcPr>
          <w:p w14:paraId="5BED2D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w:t>
            </w:r>
          </w:p>
        </w:tc>
        <w:tc>
          <w:tcPr>
            <w:tcW w:w="1701" w:type="dxa"/>
          </w:tcPr>
          <w:p w14:paraId="34F739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w:t>
            </w:r>
          </w:p>
        </w:tc>
        <w:tc>
          <w:tcPr>
            <w:tcW w:w="1701" w:type="dxa"/>
          </w:tcPr>
          <w:p w14:paraId="0B5F1D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122</w:t>
            </w:r>
          </w:p>
        </w:tc>
      </w:tr>
      <w:tr w:rsidR="00983732" w:rsidRPr="00A3026E" w14:paraId="2F3ABE08" w14:textId="77777777" w:rsidTr="00EA0DA7">
        <w:tc>
          <w:tcPr>
            <w:tcW w:w="1878" w:type="dxa"/>
          </w:tcPr>
          <w:p w14:paraId="1093CE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Нагрузка в кг/м кв.</w:t>
            </w:r>
          </w:p>
        </w:tc>
        <w:tc>
          <w:tcPr>
            <w:tcW w:w="1491" w:type="dxa"/>
          </w:tcPr>
          <w:p w14:paraId="115388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w:t>
            </w:r>
          </w:p>
        </w:tc>
        <w:tc>
          <w:tcPr>
            <w:tcW w:w="1559" w:type="dxa"/>
          </w:tcPr>
          <w:p w14:paraId="4CAF66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178</w:t>
            </w:r>
          </w:p>
        </w:tc>
        <w:tc>
          <w:tcPr>
            <w:tcW w:w="1701" w:type="dxa"/>
          </w:tcPr>
          <w:p w14:paraId="7FFC67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154</w:t>
            </w:r>
          </w:p>
        </w:tc>
        <w:tc>
          <w:tcPr>
            <w:tcW w:w="1701" w:type="dxa"/>
          </w:tcPr>
          <w:p w14:paraId="11124D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168</w:t>
            </w:r>
          </w:p>
        </w:tc>
        <w:tc>
          <w:tcPr>
            <w:tcW w:w="1701" w:type="dxa"/>
          </w:tcPr>
          <w:p w14:paraId="06380C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w:t>
            </w:r>
          </w:p>
        </w:tc>
      </w:tr>
      <w:tr w:rsidR="00983732" w:rsidRPr="00A3026E" w14:paraId="2A41339F" w14:textId="77777777" w:rsidTr="00EA0DA7">
        <w:tc>
          <w:tcPr>
            <w:tcW w:w="1878" w:type="dxa"/>
          </w:tcPr>
          <w:p w14:paraId="7B98F7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посадочных приспособлений/ отклонения в градус.</w:t>
            </w:r>
          </w:p>
        </w:tc>
        <w:tc>
          <w:tcPr>
            <w:tcW w:w="1491" w:type="dxa"/>
          </w:tcPr>
          <w:p w14:paraId="36496A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2,08/60</w:t>
            </w:r>
          </w:p>
        </w:tc>
        <w:tc>
          <w:tcPr>
            <w:tcW w:w="1559" w:type="dxa"/>
          </w:tcPr>
          <w:p w14:paraId="39973C4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2,09/60</w:t>
            </w:r>
          </w:p>
        </w:tc>
        <w:tc>
          <w:tcPr>
            <w:tcW w:w="1701" w:type="dxa"/>
          </w:tcPr>
          <w:p w14:paraId="79F0E6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2,15/50</w:t>
            </w:r>
          </w:p>
        </w:tc>
        <w:tc>
          <w:tcPr>
            <w:tcW w:w="1701" w:type="dxa"/>
          </w:tcPr>
          <w:p w14:paraId="29C02F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2,34/60</w:t>
            </w:r>
          </w:p>
        </w:tc>
        <w:tc>
          <w:tcPr>
            <w:tcW w:w="1701" w:type="dxa"/>
          </w:tcPr>
          <w:p w14:paraId="4CDBE0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2,306/40</w:t>
            </w:r>
          </w:p>
        </w:tc>
      </w:tr>
    </w:tbl>
    <w:p w14:paraId="2266246B"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неустойчив на площадке, имеет тенденции сваливаться на крыло (вправо, влево), поэтому производство посадки на нем сложно и небезопасно. Причина неустойчивости на посадках объясняется:</w:t>
      </w:r>
    </w:p>
    <w:p w14:paraId="438FE5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на посадочных углах симметричный профиль «НАКА» 0012-64, переводит самолет на углы, близкие к критическому, что подтверждается полярой продувки самолета;</w:t>
      </w:r>
    </w:p>
    <w:p w14:paraId="026633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недостаточная эффективность элеронов затрудняет парирование при сваливании самолета на крыло.</w:t>
      </w:r>
    </w:p>
    <w:p w14:paraId="25CEE6D0"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Расположение кабины летчика слишком заднее, что ухудшает обзор, особенно при посадке, по сравнению с другими однотипными самолетами.</w:t>
      </w:r>
    </w:p>
    <w:p w14:paraId="0D797EB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вследствие неустойчивости и недостаточно эффективных элеронов сложен в пилотировании при посадке и виражах (остальные фигуры не производились).</w:t>
      </w:r>
    </w:p>
    <w:p w14:paraId="08FF62C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p>
    <w:p w14:paraId="487DA23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конструкции самолета.</w:t>
      </w:r>
    </w:p>
    <w:p w14:paraId="16C51916"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фонаря откидная по типу Ме-109, сбрасывающаяся в аварийных случаях, не обеспечивает открытия его в нормальном полете при забрасывании маслом, обледенении и других случаях, ухудшающих обзор, а также при необходимости дополнительной вентиляции кабины летчика.</w:t>
      </w:r>
    </w:p>
    <w:p w14:paraId="22601332"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Дюралевый ролик, размером 185 мм, заменяющий костыльное колесо, не пригоден для эксплуатации, особенно в условиях мягкого грунта, кроме того ухудшает устойчивость на пробеге.</w:t>
      </w:r>
    </w:p>
    <w:p w14:paraId="5ACD3376"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имеет следующие недостатки:</w:t>
      </w:r>
    </w:p>
    <w:p w14:paraId="0D3C2E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искажен профиль крыла у разъема, введением клина между центропланом и консолью, в связи с переделкой крыла на новую стрельчатость в плане;</w:t>
      </w:r>
    </w:p>
    <w:p w14:paraId="58E20E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резкий переход на стрельчатость крыльев в разъеме;</w:t>
      </w:r>
    </w:p>
    <w:p w14:paraId="7352FF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наличие 2-х маслорадиаторов на передней кромке крыла, ухудшающих аэродинамику.</w:t>
      </w:r>
    </w:p>
    <w:p w14:paraId="521C96B0"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щитками-закрылками механическое штурвалом, не пригодно для современных истребителей, у которых управление щитками должно быть гидравлическое с приводом от мотора или пневматическое.</w:t>
      </w:r>
    </w:p>
    <w:p w14:paraId="2DCDC56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самолета недостаточное – одна пушка Таубина с боезапасом 81 снаряд и два пулемета ШКАС с запасом патрон 1000 штук, не соответствует Тактико-техническим требованиям к истребительным самолетам на 1941 год.</w:t>
      </w:r>
    </w:p>
    <w:p w14:paraId="4A1B476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ВМГ обеспечивает нормальную эксплуатацию самолета с использованием номинальной мощности мотора, как на режиме скороподъемности, так и в горизонтальном полете.</w:t>
      </w:r>
    </w:p>
    <w:p w14:paraId="13900B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полетах на режимах скороподъемности до высоты 8000 м, при температуре наружного воздуха у земли –10 градусов С, температуры выходящего масла и воды оставались в пределах нормы.</w:t>
      </w:r>
    </w:p>
    <w:p w14:paraId="180B4F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Винтомоторная группа имеет ряд существенных дефектов (например, неполный слив воды и масла) и отступлений от Тактико-технических требований. (Указанные дефекты и отступления отмечены во 2-й части отчета).</w:t>
      </w:r>
    </w:p>
    <w:p w14:paraId="04F18653"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Положительные стороны конструкции самолета и его эксплуатации:</w:t>
      </w:r>
    </w:p>
    <w:p w14:paraId="40BACD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Капоты мотора быстросъемные (раскапочивание занимает 4-5 минут), это обеспечивает хорошие подходы для производства работ.</w:t>
      </w:r>
    </w:p>
    <w:p w14:paraId="595F46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Заправка самолета горючим, маслом и водой проста и требует 10-15 минут. Общая подготовка самолета к полету занимает 30-35 минут в зимних условиях.</w:t>
      </w:r>
    </w:p>
    <w:p w14:paraId="372B99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Кинематика шасси простая; замок шасси в выпущенном положении прост и надежен, подходы к соединениям хорошие.</w:t>
      </w:r>
    </w:p>
    <w:p w14:paraId="1EB59F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Герметичность всей системы воздухопроводки хорошая.</w:t>
      </w:r>
    </w:p>
    <w:p w14:paraId="38BF975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Консоли крыла отъемные, что обеспечивает удобство транспортировки и ремонта самолета.</w:t>
      </w:r>
    </w:p>
    <w:p w14:paraId="291ED7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Самолет И-21 по своей технологии сходен с технологией по некоторым основным агрегатам самолета И-16 (например хвостовая часть фюзеляжа, центроплан, лонжероны крыла, управление) и спроектирован с таким расчетом, чтобы сохранить профиль заготовительных и сборочных цехов завода № 21 на случай серийного выпуска, а также основная оснастка для постройки самолета использована с небольшими переделками самолета И-16.</w:t>
      </w:r>
    </w:p>
    <w:p w14:paraId="1F4107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Около 10% входящих в конструкцию самолета деталей, составляют детали самолета И-16.</w:t>
      </w:r>
    </w:p>
    <w:p w14:paraId="1CD73427"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Спецоборудование не полностью соответствует Тактико-техническим требованиям ВВС. Отсутствует: радиосвязь на самолете, экранировка, металлизация и посадочное освещение. Не обеспечена легкосъемность и подход к агрегатам спецоборудования. Не предусмотрено место установки аэрофотоаппарата АФА-И.</w:t>
      </w:r>
    </w:p>
    <w:p w14:paraId="06F87C9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самолета испытывалось в НИПАВ на втором экземпляре И-21.</w:t>
      </w:r>
    </w:p>
    <w:p w14:paraId="05D1283E"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Радиостанция и оборудование для ночного полета не испытывались.</w:t>
      </w:r>
    </w:p>
    <w:p w14:paraId="44019582" w14:textId="77777777" w:rsidR="0014077F" w:rsidRPr="00A3026E" w:rsidRDefault="0014077F" w:rsidP="00A3026E">
      <w:pPr>
        <w:pStyle w:val="a3"/>
        <w:widowControl/>
        <w:rPr>
          <w:color w:val="000000" w:themeColor="text1"/>
          <w:lang w:val="ru-RU"/>
        </w:rPr>
      </w:pPr>
      <w:r w:rsidRPr="00A3026E">
        <w:rPr>
          <w:color w:val="000000" w:themeColor="text1"/>
          <w:lang w:val="ru-RU"/>
        </w:rPr>
        <w:t>Заключение.</w:t>
      </w:r>
    </w:p>
    <w:p w14:paraId="0BD184E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И-21 госиспытания в НИИ ВВС не прошел ввиду:</w:t>
      </w:r>
    </w:p>
    <w:p w14:paraId="7FE462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неустойчивости в поперечном отношении, недостаточной устойчивости в продольном отношении и нейтральной устойчивости пути;</w:t>
      </w:r>
    </w:p>
    <w:p w14:paraId="7799B3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недобора скоростей, заданных Постановлением КО;</w:t>
      </w:r>
    </w:p>
    <w:p w14:paraId="5E8ADA2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большой посадочной скорости, намного превышающей заданную Постановлением КО;</w:t>
      </w:r>
    </w:p>
    <w:p w14:paraId="0FDFFC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сложности техники пилотирования.</w:t>
      </w:r>
    </w:p>
    <w:p w14:paraId="1EE9C7FB"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в представленном виде не пригоден для серийного производства.</w:t>
      </w:r>
    </w:p>
    <w:p w14:paraId="09A9B8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Построенный заводом № 21 3-й экземпляр самолета И-21 с конструктивными изменениями, целесообразно передать в ЦАГИ для определения его устойчивости и управляемости в трубе, для тщательного обобщения материалов по 1 и 3 экземпляру самолета И-21 и даче рекомендации гл. конструктору в дальнейшей его работе по скоростным истребительным самолетам (4189,144-171).</w:t>
      </w:r>
    </w:p>
    <w:p w14:paraId="4F1B022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A2E33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в НИИ ВВС закончились испытания первого экз. И-21 М.М.Пашинина, которые начались 18 ноября 1940. Не выдержал из-за неустойчивости и сложности в пилотировании. Поэтому ходатайствовали перед НКАП о снятии задания (822).</w:t>
      </w:r>
    </w:p>
    <w:p w14:paraId="39753C2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1921F1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года в НИИ ВВС был выдан наряд-приказ № 0287</w:t>
      </w:r>
    </w:p>
    <w:p w14:paraId="3DC00E5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Исследование плохой приемистости моторов АМ-35А на самолете И-200 в воздухе (6890, 216).</w:t>
      </w:r>
    </w:p>
    <w:p w14:paraId="0BF3476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0F05D5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приказом НКАП В.П.Горбунов был назначен ГК завода 31 (862).</w:t>
      </w:r>
    </w:p>
    <w:p w14:paraId="6DDFBFA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BC8FDB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27 декабря 1940 года по 10 января 1941 года 2-й экземпляр самолета связи типа «Аист» с мотором МВ-6, конструктор Антонов, завод № 23 (санитарный вариант) проходил гос. испытания в НИИ ВВС. Испытания выдержал (4048, 4).</w:t>
      </w:r>
    </w:p>
    <w:p w14:paraId="28B9C28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79686A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г. на заводе № 1 образована Опытно-экспериментальная группа завода № 1 выделением из отдела изобретений по приказу № 779с.</w:t>
      </w:r>
    </w:p>
    <w:p w14:paraId="35C0A50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Руководитель- И.А. Меркулов. Работы по ВРД, оснащению ими истребителей Як-7 и др.</w:t>
      </w:r>
    </w:p>
    <w:p w14:paraId="3A8751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296с от 4.04.1941 г. специальная конструкторская группа А.И. Меркулова вместе с КБ А.Я. Щербакова переведена на завод № 482 НКАП (11982).</w:t>
      </w:r>
    </w:p>
    <w:p w14:paraId="745C42B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278E9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года нарком обороны маршал Тимошенко писал письмо № 18218с председателю КО маршалу К.Е. Ворошилову</w:t>
      </w:r>
    </w:p>
    <w:p w14:paraId="43A8B7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 10502/ко</w:t>
      </w:r>
    </w:p>
    <w:p w14:paraId="3A8B48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Докладываю:</w:t>
      </w:r>
    </w:p>
    <w:p w14:paraId="0C5701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начальника Аэрофлота генерал-майор авиации Молокова по модификации самолета ПС-84 (Дуглас) под мотор М-71 в целях повышения скоростей и грузоподъемности самолета, считаю в настоящее время не целесообразным по следующим причинам:</w:t>
      </w:r>
    </w:p>
    <w:p w14:paraId="00DB6DC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84 занимается освоением самолета ПС-84 в серийном производстве в течении 4-х лет и несмотря на это, до настоящего времени не смог организовать плановый пуск самолетов.</w:t>
      </w:r>
    </w:p>
    <w:p w14:paraId="7D0F38D7"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Установка более мощных моторов с целью увеличения скорости и грузоподъемности самолета потребует усиления всей конструкции самолета и следовательно коренной его переделки.</w:t>
      </w:r>
    </w:p>
    <w:p w14:paraId="4C04903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при пересчете на отечественные нормы прочности также будет значительно перетяжелен, так как в настоящем своем виде он не отвечает существующим нормам прочности.</w:t>
      </w:r>
    </w:p>
    <w:p w14:paraId="661E240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Внедрение модификации в серийное производство прекратит на длительный срок и ту малочисленную поставку самолетов ПС-84, которая имеется в настоящее время (4049,22-23).</w:t>
      </w:r>
    </w:p>
    <w:p w14:paraId="2D597019"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p>
    <w:p w14:paraId="5B2E28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НКАП А.И.Ш. писал письмо № Н-20/4028:</w:t>
      </w:r>
    </w:p>
    <w:p w14:paraId="14C550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 Комитета Обороны при СНК СССП тов. К.Е.В.</w:t>
      </w:r>
    </w:p>
    <w:p w14:paraId="709CDE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Секретарю ЦК ВКП(б) тов. Маленкову</w:t>
      </w:r>
    </w:p>
    <w:p w14:paraId="4CFFCF6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письму Начальника НИИ ВВС Красной Армии генерала-майора авиации, о ходе наполнения постановления СНК СССР и ЦК ВКП(б) № 2463-1097сс от 6.ХП-40 г. докладываю:</w:t>
      </w:r>
    </w:p>
    <w:p w14:paraId="0CC44FE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Мною приняты меры, обеспечввашяе скорейшее выполнение постановления СНК СССР и ЦК ВКП(б).</w:t>
      </w:r>
    </w:p>
    <w:p w14:paraId="623A0E3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 1 самолет И-153 с мотором М-62 и винтом ВЭМ-63 готов к полету. Облет самолета будет произведен при наличия летной погоды до 31/ХП, после чего машява будет от</w:t>
      </w:r>
      <w:r w:rsidRPr="00A3026E">
        <w:rPr>
          <w:rFonts w:ascii="Times New Roman" w:hAnsi="Times New Roman"/>
          <w:color w:val="000000" w:themeColor="text1"/>
          <w:sz w:val="16"/>
          <w:szCs w:val="16"/>
        </w:rPr>
        <w:softHyphen/>
        <w:t>правлена в НИИ ВВС Красной Армии.</w:t>
      </w:r>
    </w:p>
    <w:p w14:paraId="683FF7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проведения государственных 100-часовых испытаний винтов ВЭМ-63, изготовлениях заводом № 28 из советских ма</w:t>
      </w:r>
      <w:r w:rsidRPr="00A3026E">
        <w:rPr>
          <w:rFonts w:ascii="Times New Roman" w:hAnsi="Times New Roman"/>
          <w:color w:val="000000" w:themeColor="text1"/>
          <w:sz w:val="16"/>
          <w:szCs w:val="16"/>
        </w:rPr>
        <w:softHyphen/>
        <w:t>териалов в количестве 2 шт. не хватало подшипников двух типов: ОКБ-55 и ОКБ-62, которые 1 ГПЗ сданы лишь 26/ХП-40 г.</w:t>
      </w:r>
    </w:p>
    <w:p w14:paraId="7903C0D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Заводом № 266 три электромотора будут сдали 28.ХП-40 г. Винт ВЭМ-63 будет пред"явлен НИИ ВВС Красной Армии на 100 часовне государственвне испытания 30.ХП-40 года.</w:t>
      </w:r>
    </w:p>
    <w:p w14:paraId="200A44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28 закончил изготовление первого винта для самолета ЯК-1 с мотором М-105П, который отправлен 21.ХП-40 г. на завод № 22 для проведения заводских стендо</w:t>
      </w:r>
      <w:r w:rsidRPr="00A3026E">
        <w:rPr>
          <w:rFonts w:ascii="Times New Roman" w:hAnsi="Times New Roman"/>
          <w:color w:val="000000" w:themeColor="text1"/>
          <w:sz w:val="16"/>
          <w:szCs w:val="16"/>
        </w:rPr>
        <w:softHyphen/>
        <w:t>вых испытаний, после чего винт ВЭМ-107 будет смонтирован на самолет Як-1 и пред'явлея в НИИ ВВС Красной Армян для проведения летных испытаний.</w:t>
      </w:r>
    </w:p>
    <w:p w14:paraId="44E4BD9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23.ХП завод № 28 заканчивает изготовление первого винта ВЭМ-35 для самолета МиГ-3 с котором АМ-35А, который после стендовых заводских испытаний на заводе № 24 на моторе АВ-35А, будет установлен на самолет МиГ-1 и предъявлен НИИ ВВС Красной Арыии 5.1-1941 года (9820,44).</w:t>
      </w:r>
    </w:p>
    <w:p w14:paraId="16494F2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56D443C"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года появилось заключение по войсковым испытаниям автожира А-7, в котором предлагалось выпустить в 1941 году партию из 20 автожиров, в конструкции которых учитывались бы замечания военных. В 1942 году предполагалось наладить массовый выпуск А-7-3а, для чего был нужен завод в структуре НКАП. Обеспечение выпуска ложилось на плечи ГУ ВВС КА. Должна была быть создана и войсковая автожирная часть, в которой сосредотачивались все А-7. В ней планировалось отрабатывать методику применения автожиров, а также готовить кадры (18227).</w:t>
      </w:r>
    </w:p>
    <w:p w14:paraId="1BDF81D3" w14:textId="77777777" w:rsidR="00A82625" w:rsidRPr="00A3026E" w:rsidRDefault="00A82625" w:rsidP="00A3026E">
      <w:pPr>
        <w:spacing w:after="0" w:line="240" w:lineRule="auto"/>
        <w:jc w:val="both"/>
        <w:rPr>
          <w:rFonts w:ascii="Times New Roman" w:hAnsi="Times New Roman"/>
          <w:color w:val="000000" w:themeColor="text1"/>
          <w:sz w:val="16"/>
          <w:szCs w:val="16"/>
        </w:rPr>
      </w:pPr>
    </w:p>
    <w:p w14:paraId="68842ED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г. из-за отказа мотора едва не погиб заводской летчик-испытатель Жуков, самолет которого на гра</w:t>
      </w:r>
      <w:r w:rsidRPr="00A3026E">
        <w:rPr>
          <w:rFonts w:ascii="Times New Roman" w:hAnsi="Times New Roman"/>
          <w:color w:val="000000" w:themeColor="text1"/>
          <w:sz w:val="16"/>
          <w:szCs w:val="16"/>
        </w:rPr>
        <w:softHyphen/>
        <w:t>нице аэродрома задел за телеграфный столб и дере</w:t>
      </w:r>
      <w:r w:rsidRPr="00A3026E">
        <w:rPr>
          <w:rFonts w:ascii="Times New Roman" w:hAnsi="Times New Roman"/>
          <w:color w:val="000000" w:themeColor="text1"/>
          <w:sz w:val="16"/>
          <w:szCs w:val="16"/>
        </w:rPr>
        <w:softHyphen/>
        <w:t>вья (9984).</w:t>
      </w:r>
    </w:p>
    <w:p w14:paraId="3205572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5945A3F8" w14:textId="77777777" w:rsidR="00B600A9" w:rsidRPr="00A3026E" w:rsidRDefault="00B600A9" w:rsidP="00A3026E">
      <w:pPr>
        <w:pStyle w:val="121"/>
        <w:shd w:val="clear" w:color="auto" w:fill="auto"/>
        <w:spacing w:line="240" w:lineRule="auto"/>
        <w:jc w:val="both"/>
        <w:rPr>
          <w:rStyle w:val="770"/>
          <w:rFonts w:ascii="Times New Roman" w:hAnsi="Times New Roman" w:cs="Times New Roman"/>
          <w:b w:val="0"/>
          <w:bCs w:val="0"/>
          <w:color w:val="0070C0"/>
          <w:sz w:val="16"/>
          <w:szCs w:val="16"/>
        </w:rPr>
      </w:pPr>
      <w:r w:rsidRPr="00A3026E">
        <w:rPr>
          <w:rStyle w:val="770"/>
          <w:rFonts w:ascii="Times New Roman" w:hAnsi="Times New Roman" w:cs="Times New Roman"/>
          <w:b w:val="0"/>
          <w:bCs w:val="0"/>
          <w:color w:val="0070C0"/>
          <w:sz w:val="16"/>
          <w:szCs w:val="16"/>
        </w:rPr>
        <w:t>27 декабря 1940 г. вышел при</w:t>
      </w:r>
      <w:r w:rsidRPr="00A3026E">
        <w:rPr>
          <w:rStyle w:val="770"/>
          <w:rFonts w:ascii="Times New Roman" w:hAnsi="Times New Roman" w:cs="Times New Roman"/>
          <w:b w:val="0"/>
          <w:bCs w:val="0"/>
          <w:color w:val="0070C0"/>
          <w:sz w:val="16"/>
          <w:szCs w:val="16"/>
        </w:rPr>
        <w:softHyphen/>
        <w:t>каз НКО, согласно которому требовалось к 10 января 1941 года предста</w:t>
      </w:r>
      <w:r w:rsidRPr="00A3026E">
        <w:rPr>
          <w:rStyle w:val="770"/>
          <w:rFonts w:ascii="Times New Roman" w:hAnsi="Times New Roman" w:cs="Times New Roman"/>
          <w:b w:val="0"/>
          <w:bCs w:val="0"/>
          <w:color w:val="0070C0"/>
          <w:sz w:val="16"/>
          <w:szCs w:val="16"/>
        </w:rPr>
        <w:softHyphen/>
        <w:t>вить соображения о камуфляжной окраске самолетов, однако получить серьезно прора</w:t>
      </w:r>
      <w:r w:rsidRPr="00A3026E">
        <w:rPr>
          <w:rStyle w:val="770"/>
          <w:rFonts w:ascii="Times New Roman" w:hAnsi="Times New Roman" w:cs="Times New Roman"/>
          <w:b w:val="0"/>
          <w:bCs w:val="0"/>
          <w:color w:val="0070C0"/>
          <w:sz w:val="16"/>
          <w:szCs w:val="16"/>
        </w:rPr>
        <w:softHyphen/>
        <w:t>ботанный материал за такое короткое время, очевидно, не получилось. Тем не менее, рабо</w:t>
      </w:r>
      <w:r w:rsidRPr="00A3026E">
        <w:rPr>
          <w:rStyle w:val="770"/>
          <w:rFonts w:ascii="Times New Roman" w:hAnsi="Times New Roman" w:cs="Times New Roman"/>
          <w:b w:val="0"/>
          <w:bCs w:val="0"/>
          <w:color w:val="0070C0"/>
          <w:sz w:val="16"/>
          <w:szCs w:val="16"/>
        </w:rPr>
        <w:softHyphen/>
        <w:t>ты велись, и 4 апреля начальник 10-го управ</w:t>
      </w:r>
      <w:r w:rsidRPr="00A3026E">
        <w:rPr>
          <w:rStyle w:val="770"/>
          <w:rFonts w:ascii="Times New Roman" w:hAnsi="Times New Roman" w:cs="Times New Roman"/>
          <w:b w:val="0"/>
          <w:bCs w:val="0"/>
          <w:color w:val="0070C0"/>
          <w:sz w:val="16"/>
          <w:szCs w:val="16"/>
        </w:rPr>
        <w:softHyphen/>
        <w:t>ления НКАП Борис Николаевич Тарасевич направил начальнику 1-го отдела 6-го ГУ ВВС бригинженеру Ивану Прокопьевичу Осипен</w:t>
      </w:r>
      <w:r w:rsidRPr="00A3026E">
        <w:rPr>
          <w:rStyle w:val="770"/>
          <w:rFonts w:ascii="Times New Roman" w:hAnsi="Times New Roman" w:cs="Times New Roman"/>
          <w:b w:val="0"/>
          <w:bCs w:val="0"/>
          <w:color w:val="0070C0"/>
          <w:sz w:val="16"/>
          <w:szCs w:val="16"/>
        </w:rPr>
        <w:softHyphen/>
        <w:t>ко телеграмму о том, что 50 самолетов, выпу</w:t>
      </w:r>
      <w:r w:rsidRPr="00A3026E">
        <w:rPr>
          <w:rStyle w:val="770"/>
          <w:rFonts w:ascii="Times New Roman" w:hAnsi="Times New Roman" w:cs="Times New Roman"/>
          <w:b w:val="0"/>
          <w:bCs w:val="0"/>
          <w:color w:val="0070C0"/>
          <w:sz w:val="16"/>
          <w:szCs w:val="16"/>
        </w:rPr>
        <w:softHyphen/>
        <w:t>щенные на заводе №22, получат опытную камуфлированную окраску (19910).</w:t>
      </w:r>
    </w:p>
    <w:p w14:paraId="5FB049D8" w14:textId="77777777" w:rsidR="00B600A9" w:rsidRPr="00A3026E" w:rsidRDefault="00B600A9" w:rsidP="00A3026E">
      <w:pPr>
        <w:pStyle w:val="121"/>
        <w:shd w:val="clear" w:color="auto" w:fill="auto"/>
        <w:spacing w:line="240" w:lineRule="auto"/>
        <w:jc w:val="both"/>
        <w:rPr>
          <w:rFonts w:ascii="Times New Roman" w:hAnsi="Times New Roman" w:cs="Times New Roman"/>
          <w:b w:val="0"/>
          <w:bCs w:val="0"/>
          <w:color w:val="0070C0"/>
          <w:sz w:val="16"/>
          <w:szCs w:val="16"/>
        </w:rPr>
      </w:pPr>
    </w:p>
    <w:p w14:paraId="11EE4339" w14:textId="77777777" w:rsidR="00D20661" w:rsidRPr="00A3026E" w:rsidRDefault="00D20661" w:rsidP="00A3026E">
      <w:pPr>
        <w:pStyle w:val="Bodytext1"/>
        <w:shd w:val="clear" w:color="auto" w:fill="auto"/>
        <w:spacing w:line="240" w:lineRule="auto"/>
        <w:ind w:firstLine="0"/>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27 декабря 1940 г. группу Меркулова переводят с агрегатного завода № 61 на самолетостроительный завод №1. Уходу Меркулова и его коллег из НИИ-3, как с 1937 г. стал именоваться Реактивный НИИ, «способствовали» слож</w:t>
      </w:r>
      <w:r w:rsidRPr="00A3026E">
        <w:rPr>
          <w:rFonts w:ascii="Times New Roman" w:hAnsi="Times New Roman" w:cs="Times New Roman"/>
          <w:color w:val="000000" w:themeColor="text1"/>
          <w:sz w:val="16"/>
          <w:szCs w:val="16"/>
        </w:rPr>
        <w:softHyphen/>
        <w:t>ные (впрочем, не у его одного) служебные отношения с главным инженером инсти</w:t>
      </w:r>
      <w:r w:rsidRPr="00A3026E">
        <w:rPr>
          <w:rFonts w:ascii="Times New Roman" w:hAnsi="Times New Roman" w:cs="Times New Roman"/>
          <w:color w:val="000000" w:themeColor="text1"/>
          <w:sz w:val="16"/>
          <w:szCs w:val="16"/>
        </w:rPr>
        <w:softHyphen/>
        <w:t>тута А.Г. Костиковым, который после 1937 г. стал там фактически первым лицом. Костиков сам намерился создать пере</w:t>
      </w:r>
      <w:r w:rsidRPr="00A3026E">
        <w:rPr>
          <w:rFonts w:ascii="Times New Roman" w:hAnsi="Times New Roman" w:cs="Times New Roman"/>
          <w:color w:val="000000" w:themeColor="text1"/>
          <w:sz w:val="16"/>
          <w:szCs w:val="16"/>
        </w:rPr>
        <w:softHyphen/>
        <w:t>хватчик с ПВРД. Не имея личных способ</w:t>
      </w:r>
      <w:r w:rsidRPr="00A3026E">
        <w:rPr>
          <w:rFonts w:ascii="Times New Roman" w:hAnsi="Times New Roman" w:cs="Times New Roman"/>
          <w:color w:val="000000" w:themeColor="text1"/>
          <w:sz w:val="16"/>
          <w:szCs w:val="16"/>
        </w:rPr>
        <w:softHyphen/>
        <w:t xml:space="preserve">ностей в проектировании ни самолетов, ни двигателей, он поручил разработку ЖРД (на котором самолет должен был взлетать и разгоняться до скорости запуска ПВРД) Л.С. Душкину, прямоточные двигатели - </w:t>
      </w:r>
      <w:r w:rsidRPr="00A3026E">
        <w:rPr>
          <w:rFonts w:ascii="Times New Roman" w:hAnsi="Times New Roman" w:cs="Times New Roman"/>
          <w:color w:val="000000" w:themeColor="text1"/>
          <w:sz w:val="16"/>
          <w:szCs w:val="16"/>
          <w:lang w:val="en-US"/>
        </w:rPr>
        <w:t>B</w:t>
      </w:r>
      <w:r w:rsidRPr="00A3026E">
        <w:rPr>
          <w:rFonts w:ascii="Times New Roman" w:hAnsi="Times New Roman" w:cs="Times New Roman"/>
          <w:color w:val="000000" w:themeColor="text1"/>
          <w:sz w:val="16"/>
          <w:szCs w:val="16"/>
        </w:rPr>
        <w:t>.</w:t>
      </w:r>
      <w:r w:rsidRPr="00A3026E">
        <w:rPr>
          <w:rFonts w:ascii="Times New Roman" w:hAnsi="Times New Roman" w:cs="Times New Roman"/>
          <w:color w:val="000000" w:themeColor="text1"/>
          <w:sz w:val="16"/>
          <w:szCs w:val="16"/>
          <w:lang w:val="en-US"/>
        </w:rPr>
        <w:t>C</w:t>
      </w:r>
      <w:r w:rsidRPr="00A3026E">
        <w:rPr>
          <w:rFonts w:ascii="Times New Roman" w:hAnsi="Times New Roman" w:cs="Times New Roman"/>
          <w:color w:val="000000" w:themeColor="text1"/>
          <w:sz w:val="16"/>
          <w:szCs w:val="16"/>
        </w:rPr>
        <w:t>. Зуеву, а планер - М.К. Тихонравову, который формально возглавил весь про</w:t>
      </w:r>
      <w:r w:rsidRPr="00A3026E">
        <w:rPr>
          <w:rFonts w:ascii="Times New Roman" w:hAnsi="Times New Roman" w:cs="Times New Roman"/>
          <w:color w:val="000000" w:themeColor="text1"/>
          <w:sz w:val="16"/>
          <w:szCs w:val="16"/>
        </w:rPr>
        <w:softHyphen/>
        <w:t>ект. Но тот не имел опыта строительства самолетов и, в конце концов, на долж</w:t>
      </w:r>
      <w:r w:rsidRPr="00A3026E">
        <w:rPr>
          <w:rFonts w:ascii="Times New Roman" w:hAnsi="Times New Roman" w:cs="Times New Roman"/>
          <w:color w:val="000000" w:themeColor="text1"/>
          <w:sz w:val="16"/>
          <w:szCs w:val="16"/>
        </w:rPr>
        <w:softHyphen/>
        <w:t>ность главного конструктора перехватчика «302П» пришлось пригласить уволенного из ЦАГИ весьма неординарного инженера М.Р. Бисновата, «закрыв глаза» на его не совсем красивую анкету (он имел родст</w:t>
      </w:r>
      <w:r w:rsidRPr="00A3026E">
        <w:rPr>
          <w:rFonts w:ascii="Times New Roman" w:hAnsi="Times New Roman" w:cs="Times New Roman"/>
          <w:color w:val="000000" w:themeColor="text1"/>
          <w:sz w:val="16"/>
          <w:szCs w:val="16"/>
        </w:rPr>
        <w:softHyphen/>
        <w:t>венников, эмигрировавших в США). Мер</w:t>
      </w:r>
      <w:r w:rsidRPr="00A3026E">
        <w:rPr>
          <w:rFonts w:ascii="Times New Roman" w:hAnsi="Times New Roman" w:cs="Times New Roman"/>
          <w:color w:val="000000" w:themeColor="text1"/>
          <w:sz w:val="16"/>
          <w:szCs w:val="16"/>
        </w:rPr>
        <w:softHyphen/>
        <w:t>кулову же в новом проекте места не было (17742).</w:t>
      </w:r>
    </w:p>
    <w:p w14:paraId="7C95AE6E" w14:textId="77777777" w:rsidR="00D20661" w:rsidRPr="00A3026E" w:rsidRDefault="00D20661" w:rsidP="00A3026E">
      <w:pPr>
        <w:spacing w:after="0" w:line="240" w:lineRule="auto"/>
        <w:jc w:val="both"/>
        <w:rPr>
          <w:rFonts w:ascii="Times New Roman" w:eastAsia="Times New Roman" w:hAnsi="Times New Roman"/>
          <w:color w:val="000000" w:themeColor="text1"/>
          <w:sz w:val="16"/>
          <w:szCs w:val="16"/>
          <w:lang w:eastAsia="ru-RU"/>
        </w:rPr>
      </w:pPr>
    </w:p>
    <w:p w14:paraId="1551B22B" w14:textId="77777777" w:rsidR="006810F9"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7A2CC700" w14:textId="77777777" w:rsidR="006810F9" w:rsidRPr="00A3026E" w:rsidRDefault="006810F9" w:rsidP="00A3026E">
      <w:pPr>
        <w:spacing w:after="0" w:line="240" w:lineRule="auto"/>
        <w:jc w:val="both"/>
        <w:rPr>
          <w:rFonts w:ascii="Times New Roman" w:hAnsi="Times New Roman"/>
          <w:iCs/>
          <w:color w:val="000000" w:themeColor="text1"/>
          <w:sz w:val="16"/>
          <w:szCs w:val="16"/>
        </w:rPr>
      </w:pPr>
    </w:p>
    <w:p w14:paraId="22DB51B9" w14:textId="77777777" w:rsidR="006810F9" w:rsidRPr="00A3026E" w:rsidRDefault="006810F9"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27 декабря</w:t>
      </w:r>
      <w:r w:rsidRPr="00A3026E">
        <w:rPr>
          <w:rFonts w:ascii="Times New Roman" w:hAnsi="Times New Roman"/>
          <w:color w:val="000000" w:themeColor="text1"/>
          <w:sz w:val="16"/>
          <w:szCs w:val="16"/>
        </w:rPr>
        <w:t xml:space="preserve"> в 1940 году в СССР утвержден новый стандарт четкости передачи изображения по телевидению — 441 строка (14873).</w:t>
      </w:r>
    </w:p>
    <w:p w14:paraId="52DAF076" w14:textId="77777777" w:rsidR="006810F9" w:rsidRPr="00A3026E" w:rsidRDefault="006810F9" w:rsidP="00A3026E">
      <w:pPr>
        <w:spacing w:after="0" w:line="240" w:lineRule="auto"/>
        <w:jc w:val="both"/>
        <w:rPr>
          <w:rFonts w:ascii="Times New Roman" w:hAnsi="Times New Roman"/>
          <w:color w:val="000000" w:themeColor="text1"/>
          <w:sz w:val="16"/>
          <w:szCs w:val="16"/>
        </w:rPr>
      </w:pPr>
    </w:p>
    <w:p w14:paraId="3447B8EF" w14:textId="77777777" w:rsidR="0014077F"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3E8E690A"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786071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приказом НКО N 0368 Управление ПВО КА было преобразовано в ГУ ПВО КА (Д.Т.Козлов) (3398,455).</w:t>
      </w:r>
    </w:p>
    <w:p w14:paraId="26F52FB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73573A7" w14:textId="77777777" w:rsidR="006810F9" w:rsidRPr="00A3026E" w:rsidRDefault="006810F9"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27 декабря</w:t>
      </w:r>
      <w:r w:rsidRPr="00A3026E">
        <w:rPr>
          <w:rFonts w:ascii="Times New Roman" w:hAnsi="Times New Roman"/>
          <w:color w:val="000000" w:themeColor="text1"/>
          <w:sz w:val="16"/>
          <w:szCs w:val="16"/>
        </w:rPr>
        <w:t xml:space="preserve"> в 1940 году приказом наркома обороны СССР № 0368 Управление ПВО РККА преобразовано в Главное управление противовоздушной обороны Красной Армии. Начальник нового управления генерал-лейтенант Д.Т.Козлов был непосредственно подчинен наркому обороны. На управление, кроме руководства боевой подготовкой личного состава, возлагалась задача организации системы противовоздушной обороны СССР (14873).</w:t>
      </w:r>
    </w:p>
    <w:p w14:paraId="48A28929" w14:textId="77777777" w:rsidR="006810F9" w:rsidRPr="00A3026E" w:rsidRDefault="006810F9" w:rsidP="00A3026E">
      <w:pPr>
        <w:spacing w:after="0" w:line="240" w:lineRule="auto"/>
        <w:jc w:val="both"/>
        <w:rPr>
          <w:rFonts w:ascii="Times New Roman" w:hAnsi="Times New Roman"/>
          <w:color w:val="000000" w:themeColor="text1"/>
          <w:sz w:val="16"/>
          <w:szCs w:val="16"/>
        </w:rPr>
      </w:pPr>
    </w:p>
    <w:p w14:paraId="1E74CC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вышел приказ НКО, требовавший закончить маскировку всех аэродромов, расположенных в 500-км приграничной зоне, к 1 июля 1941 (1079,25).</w:t>
      </w:r>
    </w:p>
    <w:p w14:paraId="01CD863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4A32F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г. Нарком обороны СССР Маршал Советского Союза Тимошенко подписал приказ N 0367 "О маскировке аэродромов и материальной части ВВС ". В нем говорилось о несоблюдении мер по маскировке аэродромов и требовалось "к 10 января 1941 г. представить соображения о применении камуфляжной окраски самолетов, как выпускаемых авиационной промышленностью, так и находящихся в строевых частях ВВС". Несмотря на всю работу, проведенную в 1940 г., планам по введению камуфляжной окраски в качестве стандартной к 25 декабря не суждено было сбыться именно по причине отсутствия лакокрасочных материалов (3092).</w:t>
      </w:r>
    </w:p>
    <w:p w14:paraId="434FA56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188BE4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w:t>
      </w:r>
      <w:r w:rsidRPr="00A3026E">
        <w:rPr>
          <w:rFonts w:ascii="Times New Roman" w:hAnsi="Times New Roman"/>
          <w:color w:val="000000" w:themeColor="text1"/>
          <w:sz w:val="16"/>
          <w:szCs w:val="16"/>
        </w:rPr>
        <w:softHyphen/>
        <w:t>кабря 1940 году С. Тимошенко в своем приказе отмечал, что «без тщательной маскировки всех аэро</w:t>
      </w:r>
      <w:r w:rsidRPr="00A3026E">
        <w:rPr>
          <w:rFonts w:ascii="Times New Roman" w:hAnsi="Times New Roman"/>
          <w:color w:val="000000" w:themeColor="text1"/>
          <w:sz w:val="16"/>
          <w:szCs w:val="16"/>
        </w:rPr>
        <w:softHyphen/>
        <w:t>дромов, создания ложных аэродромов и маскировки всей материальной части в современной войне немыслима боевая работа авиации» и потребовал от командующих военными округами и командиров авиадивизий предложений о маски</w:t>
      </w:r>
      <w:r w:rsidRPr="00A3026E">
        <w:rPr>
          <w:rFonts w:ascii="Times New Roman" w:hAnsi="Times New Roman"/>
          <w:color w:val="000000" w:themeColor="text1"/>
          <w:sz w:val="16"/>
          <w:szCs w:val="16"/>
        </w:rPr>
        <w:softHyphen/>
        <w:t>ровке аэродромов. Однако этот приказ остался невыполнен</w:t>
      </w:r>
      <w:r w:rsidRPr="00A3026E">
        <w:rPr>
          <w:rFonts w:ascii="Times New Roman" w:hAnsi="Times New Roman"/>
          <w:color w:val="000000" w:themeColor="text1"/>
          <w:sz w:val="16"/>
          <w:szCs w:val="16"/>
        </w:rPr>
        <w:softHyphen/>
        <w:t>ным (10745,326).</w:t>
      </w:r>
    </w:p>
    <w:p w14:paraId="55F77DA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29D73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г. вышел Приказ НКО о реорганизации управления противовоздушной обороны Красной Армии в главное управление противовоздушной обороны Красной Армии № 0368.</w:t>
      </w:r>
    </w:p>
    <w:p w14:paraId="3D6A6F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Приказываю:</w:t>
      </w:r>
    </w:p>
    <w:p w14:paraId="373D18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Управление противовоздушной обороны Красной Армии преобразовать в Главное управление противовоздушной обороны Красной Армии.</w:t>
      </w:r>
    </w:p>
    <w:p w14:paraId="3DF0D1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начальника Главного управления противовоздушной обороны возложить руководство организацией противовоздушной обороны территории Союза ССР и разработку вопросов и использования всех средств ПВО: зенитной артиллерии, зенитных пулеметов, зенитных прожекторов, истребительной авиации, выделенной для ПВО пунктов, аэростатов заграждения и службы ВНОС.</w:t>
      </w:r>
    </w:p>
    <w:p w14:paraId="5AB319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Начальнику Генерального штаба к 5 января 1941 г. представить на утверждение штаты и проект положения о Главном управлении ПВО Красной Армии.</w:t>
      </w:r>
    </w:p>
    <w:p w14:paraId="23D567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СССР Маршал Советского Союза С. Тимошенко (10592).</w:t>
      </w:r>
    </w:p>
    <w:p w14:paraId="4CE07C8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B161019"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27 дека бря 1940 года вышел приказ командующего КБФ № 00177 о переводе 9-й батареи из трех артустановок ТМ-III-12 со штатов военного времени на штат № 41/ 604-А мирного времени, ее боевой расчет состоял из 459 человек, в числе которых было 33 военнослужащих начальствующего состава, 110 — младшего начальствующего состава и 316 — рядового состава. Непосредственно боевой расчет по обслуживанию одного транспортера составлял 50 человек. Штаб батареи состоял из 9 человек. Аэрометрический отряд — из четырех человек. Прожекторный взвод — из 13 человек. Санчасть — из пяти человек, в числе которых 1 зубной врач. Были также предусмотрены должности начальника клуба и библиотекаря.</w:t>
      </w:r>
    </w:p>
    <w:p w14:paraId="78746CBD"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305-мм железнодорожная батарея состояла из пяти эшелонов подвижного состава. В том числе: боевая часть — три эшелона; подвижная база — 1 эшелон; средства ПВО — 1 эшелон.</w:t>
      </w:r>
    </w:p>
    <w:p w14:paraId="257C90D0"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Эшелоны боевой части батареи комплектовались из следующего подвижного состава (который сохранялся и во время следования):</w:t>
      </w:r>
    </w:p>
    <w:p w14:paraId="36CC42AC"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rStyle w:val="12"/>
          <w:b w:val="0"/>
          <w:bCs w:val="0"/>
          <w:i w:val="0"/>
          <w:iCs w:val="0"/>
          <w:color w:val="000000" w:themeColor="text1"/>
          <w:spacing w:val="0"/>
          <w:kern w:val="0"/>
          <w:position w:val="0"/>
          <w:sz w:val="16"/>
          <w:szCs w:val="16"/>
          <w:lang w:val="ru-RU"/>
        </w:rPr>
        <w:t>Первый боевой эшелон:</w:t>
      </w:r>
    </w:p>
    <w:p w14:paraId="5526826C"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1 . платформа 2-осная (контрольная);</w:t>
      </w:r>
    </w:p>
    <w:p w14:paraId="41663D14"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rStyle w:val="ac"/>
          <w:color w:val="000000" w:themeColor="text1"/>
          <w:spacing w:val="0"/>
          <w:kern w:val="0"/>
          <w:position w:val="0"/>
          <w:sz w:val="16"/>
          <w:szCs w:val="16"/>
          <w:lang w:val="ru-RU"/>
        </w:rPr>
        <w:t>2.</w:t>
      </w:r>
      <w:r w:rsidRPr="00A3026E">
        <w:rPr>
          <w:i w:val="0"/>
          <w:iCs w:val="0"/>
          <w:color w:val="000000" w:themeColor="text1"/>
          <w:spacing w:val="0"/>
          <w:kern w:val="0"/>
          <w:position w:val="0"/>
          <w:sz w:val="16"/>
          <w:szCs w:val="16"/>
          <w:lang w:val="ru-RU"/>
        </w:rPr>
        <w:t xml:space="preserve"> платформа 2-осная (контрольная);</w:t>
      </w:r>
    </w:p>
    <w:p w14:paraId="0A420BED"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3. паровоз серии «Эм»; </w:t>
      </w:r>
    </w:p>
    <w:p w14:paraId="22D0268A"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4. транспортер; </w:t>
      </w:r>
    </w:p>
    <w:p w14:paraId="266352C0"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5. крытый 4-осный вагон (снарядный погреб); </w:t>
      </w:r>
    </w:p>
    <w:p w14:paraId="4B6A68B1"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6. крытый 4-осный вагон (зарядный погреб); </w:t>
      </w:r>
    </w:p>
    <w:p w14:paraId="4C3F1914"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7. крытый 4-осный вагон (силовая станция); </w:t>
      </w:r>
    </w:p>
    <w:p w14:paraId="2BB1F8BF"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8. крытый 2-осный вагон (зип); </w:t>
      </w:r>
    </w:p>
    <w:p w14:paraId="65A0811D"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9. крытый 4-осный вагон (центральный пост управления стрельбой); </w:t>
      </w:r>
    </w:p>
    <w:p w14:paraId="59862B8C"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10. платформа 4-осный вагон (вв имущ.); </w:t>
      </w:r>
    </w:p>
    <w:p w14:paraId="0B4176ED"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11. классный (мягкий) 4-осный вагон (штаб); </w:t>
      </w:r>
    </w:p>
    <w:p w14:paraId="697C0623"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12. классный 4-осный вагон (для личного состава); </w:t>
      </w:r>
    </w:p>
    <w:p w14:paraId="560454B7"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13. классный 4-осный вагон (для личного состава); </w:t>
      </w:r>
    </w:p>
    <w:p w14:paraId="7F32CED0"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14. платформа 2-осная (для прожектора); </w:t>
      </w:r>
    </w:p>
    <w:p w14:paraId="5B34F5B3"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15. платформа 2-осная (трактор с прицепом); </w:t>
      </w:r>
    </w:p>
    <w:p w14:paraId="19C2C2D9"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16. платформа 2-осная (кабель ПУАО); </w:t>
      </w:r>
    </w:p>
    <w:p w14:paraId="5FB9CB1C"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17. крытый 2-осный вагон (склад);</w:t>
      </w:r>
    </w:p>
    <w:p w14:paraId="75B1C790"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18. крытый 2-осный вагон (кухня). </w:t>
      </w:r>
    </w:p>
    <w:p w14:paraId="4041C9B6" w14:textId="77777777" w:rsidR="0014077F" w:rsidRPr="00A3026E" w:rsidRDefault="0014077F" w:rsidP="00A3026E">
      <w:pPr>
        <w:pStyle w:val="af2"/>
        <w:jc w:val="both"/>
        <w:rPr>
          <w:rStyle w:val="12"/>
          <w:b w:val="0"/>
          <w:bCs w:val="0"/>
          <w:i w:val="0"/>
          <w:iCs w:val="0"/>
          <w:color w:val="000000" w:themeColor="text1"/>
          <w:spacing w:val="0"/>
          <w:kern w:val="0"/>
          <w:position w:val="0"/>
          <w:sz w:val="16"/>
          <w:szCs w:val="16"/>
          <w:lang w:val="ru-RU"/>
        </w:rPr>
      </w:pPr>
      <w:r w:rsidRPr="00A3026E">
        <w:rPr>
          <w:rStyle w:val="12"/>
          <w:b w:val="0"/>
          <w:bCs w:val="0"/>
          <w:i w:val="0"/>
          <w:iCs w:val="0"/>
          <w:color w:val="000000" w:themeColor="text1"/>
          <w:spacing w:val="0"/>
          <w:kern w:val="0"/>
          <w:position w:val="0"/>
          <w:sz w:val="16"/>
          <w:szCs w:val="16"/>
          <w:lang w:val="ru-RU"/>
        </w:rPr>
        <w:t>Второй боевой эшелон:</w:t>
      </w:r>
    </w:p>
    <w:p w14:paraId="36E42242"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 платформа 2-осная (контрольная); </w:t>
      </w:r>
    </w:p>
    <w:p w14:paraId="69032154"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2. платформа 2-осная (контрольная); </w:t>
      </w:r>
    </w:p>
    <w:p w14:paraId="38228E2D"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3. паровоз серии «Эм»; </w:t>
      </w:r>
    </w:p>
    <w:p w14:paraId="20B51517"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4. транспортер; </w:t>
      </w:r>
    </w:p>
    <w:p w14:paraId="5DF6C46F"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5. крытый 4-осный вагон (снарядный погреб); </w:t>
      </w:r>
    </w:p>
    <w:p w14:paraId="5EDAAF30"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6. крытый 4-осный вагон (зарядный погреб); </w:t>
      </w:r>
    </w:p>
    <w:p w14:paraId="067FAE9D"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7. крытый 4-осный вагон (силовая станция); </w:t>
      </w:r>
    </w:p>
    <w:p w14:paraId="6B5A7F45"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8. крытый 2-осный вагон (зип); </w:t>
      </w:r>
    </w:p>
    <w:p w14:paraId="09D169CA"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9. платформа 4-осная (автомобильное имущество); </w:t>
      </w:r>
    </w:p>
    <w:p w14:paraId="41D41744"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10. классный 4-осный вагон (для личного состава);</w:t>
      </w:r>
    </w:p>
    <w:p w14:paraId="008D5DFB"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11. класный 4-осный вагон (для личного состава);</w:t>
      </w:r>
    </w:p>
    <w:p w14:paraId="4A5B043B"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12. крытый 2-осный вагон (кухня); </w:t>
      </w:r>
    </w:p>
    <w:p w14:paraId="20BE1F0F"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13. крытый 2-осный вагон (склад). </w:t>
      </w:r>
    </w:p>
    <w:p w14:paraId="38BA364D" w14:textId="77777777" w:rsidR="0014077F" w:rsidRPr="00A3026E" w:rsidRDefault="0014077F" w:rsidP="00A3026E">
      <w:pPr>
        <w:pStyle w:val="af2"/>
        <w:jc w:val="both"/>
        <w:rPr>
          <w:rStyle w:val="12"/>
          <w:b w:val="0"/>
          <w:bCs w:val="0"/>
          <w:i w:val="0"/>
          <w:iCs w:val="0"/>
          <w:color w:val="000000" w:themeColor="text1"/>
          <w:spacing w:val="0"/>
          <w:kern w:val="0"/>
          <w:position w:val="0"/>
          <w:sz w:val="16"/>
          <w:szCs w:val="16"/>
          <w:lang w:val="ru-RU"/>
        </w:rPr>
      </w:pPr>
      <w:r w:rsidRPr="00A3026E">
        <w:rPr>
          <w:rStyle w:val="12"/>
          <w:b w:val="0"/>
          <w:bCs w:val="0"/>
          <w:i w:val="0"/>
          <w:iCs w:val="0"/>
          <w:color w:val="000000" w:themeColor="text1"/>
          <w:spacing w:val="0"/>
          <w:kern w:val="0"/>
          <w:position w:val="0"/>
          <w:sz w:val="16"/>
          <w:szCs w:val="16"/>
          <w:lang w:val="ru-RU"/>
        </w:rPr>
        <w:t>Третий боевой эшелон:</w:t>
      </w:r>
    </w:p>
    <w:p w14:paraId="5AC1F61F"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1. платформа 2-осная (контрольная);</w:t>
      </w:r>
    </w:p>
    <w:p w14:paraId="5E0BEE68"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lastRenderedPageBreak/>
        <w:t xml:space="preserve">2. платформа 2-осная (контрольная); </w:t>
      </w:r>
    </w:p>
    <w:p w14:paraId="0AC6023F"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3. паровоз серии «Эм»; </w:t>
      </w:r>
    </w:p>
    <w:p w14:paraId="6950E507"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4. транспортер; </w:t>
      </w:r>
    </w:p>
    <w:p w14:paraId="5F6F3BF2"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5. крытый 4-осный вагон (снарядный погреб); </w:t>
      </w:r>
    </w:p>
    <w:p w14:paraId="495B9D2A"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6. крытый 4-осный вагон (зарядный погреб); </w:t>
      </w:r>
    </w:p>
    <w:p w14:paraId="5AA91D76"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7. крытый 4-осный вагон (силовая станция); </w:t>
      </w:r>
    </w:p>
    <w:p w14:paraId="24DC2377"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8. крытый 2-осный вагон (зип); </w:t>
      </w:r>
    </w:p>
    <w:p w14:paraId="2C495FC7"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9. платформа 4-осная (автомобильное имущество); </w:t>
      </w:r>
    </w:p>
    <w:p w14:paraId="15EC1D14"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10. классный 4-осный вагон (для личного состава); </w:t>
      </w:r>
    </w:p>
    <w:p w14:paraId="1E243C31"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11. класный 4-осный вагон (для личного состава); </w:t>
      </w:r>
    </w:p>
    <w:p w14:paraId="6F25F8EB"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12. крытый 2-осный вагон (кухня); </w:t>
      </w:r>
    </w:p>
    <w:p w14:paraId="1ECB3666"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13. крытый 2-осный вагон (склад). </w:t>
      </w:r>
    </w:p>
    <w:p w14:paraId="74F2B79A" w14:textId="77777777" w:rsidR="0014077F" w:rsidRPr="00A3026E" w:rsidRDefault="0014077F" w:rsidP="00A3026E">
      <w:pPr>
        <w:pStyle w:val="af2"/>
        <w:jc w:val="both"/>
        <w:rPr>
          <w:rStyle w:val="12"/>
          <w:b w:val="0"/>
          <w:bCs w:val="0"/>
          <w:i w:val="0"/>
          <w:iCs w:val="0"/>
          <w:color w:val="000000" w:themeColor="text1"/>
          <w:spacing w:val="0"/>
          <w:kern w:val="0"/>
          <w:position w:val="0"/>
          <w:sz w:val="16"/>
          <w:szCs w:val="16"/>
          <w:lang w:val="ru-RU"/>
        </w:rPr>
      </w:pPr>
      <w:r w:rsidRPr="00A3026E">
        <w:rPr>
          <w:rStyle w:val="12"/>
          <w:b w:val="0"/>
          <w:bCs w:val="0"/>
          <w:i w:val="0"/>
          <w:iCs w:val="0"/>
          <w:color w:val="000000" w:themeColor="text1"/>
          <w:spacing w:val="0"/>
          <w:kern w:val="0"/>
          <w:position w:val="0"/>
          <w:sz w:val="16"/>
          <w:szCs w:val="16"/>
          <w:lang w:val="ru-RU"/>
        </w:rPr>
        <w:t>Четвертый эшелон (подвижная база):</w:t>
      </w:r>
    </w:p>
    <w:p w14:paraId="1E7A72E7"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 паровоз; </w:t>
      </w:r>
    </w:p>
    <w:p w14:paraId="5A96C762"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2. крытый 4-осный вагон (артмастерская); </w:t>
      </w:r>
    </w:p>
    <w:p w14:paraId="656BCEAB"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3. крытый 4-осный вагон (клуб); </w:t>
      </w:r>
    </w:p>
    <w:p w14:paraId="73E46EAE"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4. платформа 2-осная (автотранспорт); </w:t>
      </w:r>
    </w:p>
    <w:p w14:paraId="1D76ED05"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5. крытый 4-осный вагон (снарядный погреб); </w:t>
      </w:r>
    </w:p>
    <w:p w14:paraId="766F8A31"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6. крытый 4-осный вагон (зарядный погреб); </w:t>
      </w:r>
    </w:p>
    <w:p w14:paraId="30156E8A"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7. крытый 4-осный (снарядный погреб); </w:t>
      </w:r>
    </w:p>
    <w:p w14:paraId="413E7DF9"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8. крытый 4-осный вагон (зарядный погреб); </w:t>
      </w:r>
    </w:p>
    <w:p w14:paraId="15738B22"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9. крытый 2-осный вагон (склад); </w:t>
      </w:r>
    </w:p>
    <w:p w14:paraId="0CAD4A62"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10. крытый 2-осный вагон (склад); </w:t>
      </w:r>
    </w:p>
    <w:p w14:paraId="6F0B3976"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11. крытый 4-осный вагон (амбулатория); </w:t>
      </w:r>
    </w:p>
    <w:p w14:paraId="1CA855FC"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12. крытый 4-осный вагон (для личного состава); </w:t>
      </w:r>
    </w:p>
    <w:p w14:paraId="00F7709A"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13. крытый 4-осный вагон (продсклад); </w:t>
      </w:r>
    </w:p>
    <w:p w14:paraId="2FA7856F"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14. крытый 2-осный вагон (кухня); </w:t>
      </w:r>
    </w:p>
    <w:p w14:paraId="48B6C3B9"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15. цистерна 2-осная (вода); </w:t>
      </w:r>
    </w:p>
    <w:p w14:paraId="267F71BA"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16. цистерна 2-осная (нефть); </w:t>
      </w:r>
    </w:p>
    <w:p w14:paraId="023AC2BE"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17. крытый 2-осный вагон (силовая станция); </w:t>
      </w:r>
    </w:p>
    <w:p w14:paraId="234DA228"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18. платформа 2-осная (для прожектора); </w:t>
      </w:r>
    </w:p>
    <w:p w14:paraId="745295AC"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19. платформа 2-осная (для автотранспорта); </w:t>
      </w:r>
    </w:p>
    <w:p w14:paraId="1F44E0B8"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20. крытый 4-осный вагон (баня). </w:t>
      </w:r>
    </w:p>
    <w:p w14:paraId="306DC8CA"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rStyle w:val="12"/>
          <w:b w:val="0"/>
          <w:bCs w:val="0"/>
          <w:i w:val="0"/>
          <w:iCs w:val="0"/>
          <w:color w:val="000000" w:themeColor="text1"/>
          <w:spacing w:val="0"/>
          <w:kern w:val="0"/>
          <w:position w:val="0"/>
          <w:sz w:val="16"/>
          <w:szCs w:val="16"/>
          <w:lang w:val="ru-RU"/>
        </w:rPr>
        <w:t>Пятый эшелон (средства ПВО).</w:t>
      </w:r>
    </w:p>
    <w:p w14:paraId="7EBCADF8"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Данный эшелон состоял из 46 единиц подвижного состава, крытых вагонов и платформ.</w:t>
      </w:r>
    </w:p>
    <w:p w14:paraId="276AF2F7"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ПВО батареи располагала тремя счетверенными зенитными 7,62-мм пулеметами «Максим». Самооборону батареи обеспечивали пулеметный и прожекторный взводы (58 человек) с 8 станковыми и 4 ручными пуле­ метами.</w:t>
      </w:r>
    </w:p>
    <w:p w14:paraId="4CF7A88C"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Таким образом, полный комплект 305-мм железнодорожной батареи насчитывал 110 единиц подвижного состава.*</w:t>
      </w:r>
    </w:p>
    <w:p w14:paraId="5409F340"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«Железнодорожный портрет» батареи не будет полным, если не дать некоторые характеристики, хотя бы отдельным его составляющим.</w:t>
      </w:r>
    </w:p>
    <w:p w14:paraId="1CC5C9C6"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rStyle w:val="12"/>
          <w:b w:val="0"/>
          <w:bCs w:val="0"/>
          <w:i w:val="0"/>
          <w:iCs w:val="0"/>
          <w:color w:val="000000" w:themeColor="text1"/>
          <w:spacing w:val="0"/>
          <w:kern w:val="0"/>
          <w:position w:val="0"/>
          <w:sz w:val="16"/>
          <w:szCs w:val="16"/>
          <w:lang w:val="ru-RU"/>
        </w:rPr>
        <w:t xml:space="preserve">Вагон-снарядный погреб. </w:t>
      </w:r>
      <w:r w:rsidRPr="00A3026E">
        <w:rPr>
          <w:i w:val="0"/>
          <w:iCs w:val="0"/>
          <w:color w:val="000000" w:themeColor="text1"/>
          <w:spacing w:val="0"/>
          <w:kern w:val="0"/>
          <w:position w:val="0"/>
          <w:sz w:val="16"/>
          <w:szCs w:val="16"/>
          <w:lang w:val="ru-RU"/>
        </w:rPr>
        <w:t>Бронирован. Вместимость — 44 снаряда.</w:t>
      </w:r>
    </w:p>
    <w:p w14:paraId="6ADA7D81"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rStyle w:val="12"/>
          <w:b w:val="0"/>
          <w:bCs w:val="0"/>
          <w:i w:val="0"/>
          <w:iCs w:val="0"/>
          <w:color w:val="000000" w:themeColor="text1"/>
          <w:spacing w:val="0"/>
          <w:kern w:val="0"/>
          <w:position w:val="0"/>
          <w:sz w:val="16"/>
          <w:szCs w:val="16"/>
          <w:lang w:val="ru-RU"/>
        </w:rPr>
        <w:t xml:space="preserve">Вагон-зарядный погреб. </w:t>
      </w:r>
      <w:r w:rsidRPr="00A3026E">
        <w:rPr>
          <w:i w:val="0"/>
          <w:iCs w:val="0"/>
          <w:color w:val="000000" w:themeColor="text1"/>
          <w:spacing w:val="0"/>
          <w:kern w:val="0"/>
          <w:position w:val="0"/>
          <w:sz w:val="16"/>
          <w:szCs w:val="16"/>
          <w:lang w:val="ru-RU"/>
        </w:rPr>
        <w:t>Бронирован по бортам 20-мм броней, по крыше — 6-мм. Вместимость — 88 полузарядов.</w:t>
      </w:r>
    </w:p>
    <w:p w14:paraId="5B0DB021"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rStyle w:val="12"/>
          <w:b w:val="0"/>
          <w:bCs w:val="0"/>
          <w:i w:val="0"/>
          <w:iCs w:val="0"/>
          <w:color w:val="000000" w:themeColor="text1"/>
          <w:spacing w:val="0"/>
          <w:kern w:val="0"/>
          <w:position w:val="0"/>
          <w:sz w:val="16"/>
          <w:szCs w:val="16"/>
          <w:lang w:val="ru-RU"/>
        </w:rPr>
        <w:t xml:space="preserve">Вагон-силовая станция. </w:t>
      </w:r>
      <w:r w:rsidRPr="00A3026E">
        <w:rPr>
          <w:i w:val="0"/>
          <w:iCs w:val="0"/>
          <w:color w:val="000000" w:themeColor="text1"/>
          <w:spacing w:val="0"/>
          <w:kern w:val="0"/>
          <w:position w:val="0"/>
          <w:sz w:val="16"/>
          <w:szCs w:val="16"/>
          <w:lang w:val="ru-RU"/>
        </w:rPr>
        <w:t>Оснащен бензиновым двигателем «Коммунар» мощностью 90 л. с. и динамомашиной ХЭМЗ (Харьковского электромеханического завода) мощностью 60 кВт. Обеспечивал напряжение 220 в.</w:t>
      </w:r>
    </w:p>
    <w:p w14:paraId="372ABBFA"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rStyle w:val="12"/>
          <w:b w:val="0"/>
          <w:bCs w:val="0"/>
          <w:i w:val="0"/>
          <w:iCs w:val="0"/>
          <w:color w:val="000000" w:themeColor="text1"/>
          <w:spacing w:val="0"/>
          <w:kern w:val="0"/>
          <w:position w:val="0"/>
          <w:sz w:val="16"/>
          <w:szCs w:val="16"/>
          <w:lang w:val="ru-RU"/>
        </w:rPr>
        <w:t xml:space="preserve">Вагон-центральный пост управления стрельбой. </w:t>
      </w:r>
      <w:r w:rsidRPr="00A3026E">
        <w:rPr>
          <w:i w:val="0"/>
          <w:iCs w:val="0"/>
          <w:color w:val="000000" w:themeColor="text1"/>
          <w:spacing w:val="0"/>
          <w:kern w:val="0"/>
          <w:position w:val="0"/>
          <w:sz w:val="16"/>
          <w:szCs w:val="16"/>
          <w:lang w:val="ru-RU"/>
        </w:rPr>
        <w:t>Сюда поступали данные из батарейного поста. В вагоне располагался телефонный узел и радиостанция. При стрельбе с путей центральный пост располагался вблизи среднего транспортера.</w:t>
      </w:r>
    </w:p>
    <w:p w14:paraId="7D7A456D"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rStyle w:val="12"/>
          <w:b w:val="0"/>
          <w:bCs w:val="0"/>
          <w:i w:val="0"/>
          <w:iCs w:val="0"/>
          <w:color w:val="000000" w:themeColor="text1"/>
          <w:spacing w:val="0"/>
          <w:kern w:val="0"/>
          <w:position w:val="0"/>
          <w:sz w:val="16"/>
          <w:szCs w:val="16"/>
          <w:lang w:val="ru-RU"/>
        </w:rPr>
        <w:t xml:space="preserve">Вагон-батарейный пост. </w:t>
      </w:r>
      <w:r w:rsidRPr="00A3026E">
        <w:rPr>
          <w:i w:val="0"/>
          <w:iCs w:val="0"/>
          <w:color w:val="000000" w:themeColor="text1"/>
          <w:spacing w:val="0"/>
          <w:kern w:val="0"/>
          <w:position w:val="0"/>
          <w:sz w:val="16"/>
          <w:szCs w:val="16"/>
          <w:lang w:val="ru-RU"/>
        </w:rPr>
        <w:t>Оснащен специальной вышкой. Она, как правило, устанавливалась в нескольких десятках метров от центрального поста. Вышка буксировалась трактором. На ее сборку и установку требовалось примерно полчаса. На вышке монтировали шестиметровый стереоскопический дальномер и приборы центральной наводки.</w:t>
      </w:r>
    </w:p>
    <w:p w14:paraId="56C65E1B"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rStyle w:val="12"/>
          <w:b w:val="0"/>
          <w:bCs w:val="0"/>
          <w:i w:val="0"/>
          <w:iCs w:val="0"/>
          <w:color w:val="000000" w:themeColor="text1"/>
          <w:spacing w:val="0"/>
          <w:kern w:val="0"/>
          <w:position w:val="0"/>
          <w:sz w:val="16"/>
          <w:szCs w:val="16"/>
          <w:lang w:val="ru-RU"/>
        </w:rPr>
        <w:t xml:space="preserve">«Подвижная база» </w:t>
      </w:r>
      <w:r w:rsidRPr="00A3026E">
        <w:rPr>
          <w:i w:val="0"/>
          <w:iCs w:val="0"/>
          <w:color w:val="000000" w:themeColor="text1"/>
          <w:spacing w:val="0"/>
          <w:kern w:val="0"/>
          <w:position w:val="0"/>
          <w:sz w:val="16"/>
          <w:szCs w:val="16"/>
          <w:lang w:val="ru-RU"/>
        </w:rPr>
        <w:t>батареи была призвана обеспечивать автономность ее существования и, в частности, боевые, технические и бытовые нужды личного состава. Она включала в себя средства восстановления разрушенного железнодорожного полотна, а также маскировочное имущество. Кроме того, в нее входили 3 автодрезины для связи и разведки пути, в том числе одна бронедрезина с пулеметом.</w:t>
      </w:r>
    </w:p>
    <w:p w14:paraId="13152739"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Также батарея была оснащена гусеничным трактором, одним легковым, тремя грузовыми и двумя специальными автомобилями, четырьмя мотоциклами с колясками, пятью обозными лошадьми и пятью сторожеыми собаками.</w:t>
      </w:r>
    </w:p>
    <w:p w14:paraId="2D8E8163"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РГАВМФ, ф. Р-92, оп. 2, д. 271, л. 82 (11454).</w:t>
      </w:r>
    </w:p>
    <w:p w14:paraId="4F0677F9"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Боекомплект 305-мм железнодорожных установок по штату на 75 процентов состоял из фугасных и на 25 процентов — из бронебойных снарядов. На каждый ствол батареи было предусмотрено по 200 снарядов. Комплект одного выстрела — снаряд и два полузаряда. Вес снаряда (образца 1911 года) — 470,9 кг. Вес полузаряда — 147,5 кг. Длина снаряда — 152,4 см. Длина полузаряда — 101 см.</w:t>
      </w:r>
    </w:p>
    <w:p w14:paraId="46357076"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Баллистические данные 305-мм орудия транспортера ТМ-III-12 идентичны орудиям линейных кораблей «Гангут» («Октябрьская революция»), «Петропавловск» («Марат») и «Севастополь» («Парижская Коммуна»). Начальная скорость снаряда — 762,5 м/с, а нового фугасно-дальнобойного (образца 1928 года) — 950 м/с. В первом случае дальность стрельбы достигала 28,6 км, во втором — 44 км.</w:t>
      </w:r>
    </w:p>
    <w:p w14:paraId="0B283304"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Живучесть ствола — 250 выстрелов.</w:t>
      </w:r>
    </w:p>
    <w:p w14:paraId="2039D342"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Подача снарядов и полузарядов из вагонов-арсеналов к казенной части ствола производилась следующим образом:</w:t>
      </w:r>
    </w:p>
    <w:p w14:paraId="656A444B"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Внутреннее пространство вагона-арсенала по обеим его сторонам снизу до верху занимали выполненные из тяжелого стального уголка ячейки — «лари»,— оставляя по оси вагона узкий сквозной коридор. Снаряд выкатывался из ларя в этот проход на специальные брусья, подхватывался талью и перемещался в специальные «подготовительные посты» (по два в каждом вагоне).</w:t>
      </w:r>
    </w:p>
    <w:p w14:paraId="38CAEFBA"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Полузаряды, хранившиеся в зарядном вагоне-погребе (размещался сразу за снарядным вагоном-погребом), передвигались сначала по желобам внутри своего вагона, затем по желобам вдоль стенок снарядного, и в итоге также попадали в подготовительные посты.</w:t>
      </w:r>
    </w:p>
    <w:p w14:paraId="5C5B7D6C"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Далее снаряды и полузаряды последовательно загружались в специальную передвижную тележку-контейнер, называемую «кокор». Для того, чтобы читатель хоть в какой-то степени умозрительно представил себе это устройство, сравним его с обыкновенным сундуком длиной около полутора метров. Посредине его верхней части укреплено колесо блока, через который проходит трос, соединенный с консолью транспортера, нависающей над подготовительным снарядным постом. В нижней части кокора имеется продольная полусферическая (точно по диаметру снаряда) выемка. Этой выемкой кокор опускался на снаряд, подхватывал его спе­ циальными зацепами и фиксировал в своем чреве. В это же время два пооховых полузаряда вручную (они значительно легче снаряда) загружались в боковые ниши кокора, до поры закрытые откидными крышками, по типу автомобильного капота. После завершения процесса загрузки кокор с помощью лебедки поднимался, фиксировался на консоли транспортера, затем высвобождал снаряд и полузаряды, которые на снарядной тележке доставлялись к каморе ствола.</w:t>
      </w:r>
    </w:p>
    <w:p w14:paraId="3CE783AF"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Нужно заметить, однако, что в такой последовательности подача боеприпасов осуществлялась при производстве стрельбы с железнодорожного полотна. При ведении огня с постоянного железобетонного основания подача снарядов из вагона-арсенала производилась через его боковые двери. Снаряд сначала попадал на специальный погрузочный стол, затем, как и в первом варианте, его перегружали в кокор, только теперь уже под­ возимый от артустановки на электрокаре грузоподъемностью 1,5 тонны. Следующий этап: электрокар перемещался к вагону полузарядов, заби­ рал из него в кокор полузаряды и после этого доставлял боекомплект для одного выстрела к подъемным устройствам.</w:t>
      </w:r>
    </w:p>
    <w:p w14:paraId="18B3962F"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Железнодорожные артиллерийские транспортеры, в том числе и ТМ-III-12, обладали многими преимуществами перед стационарными батареями: высокой маневренностью и автономностью, способностью довольно быстро менять позицию, перемещаться на значительные, практически любые, расстояния, быть неуловимыми. Первоначально предназначенные для стрельбы главным образом по морским целям, в боевых действиях они были использованы для поражения целей наземных. Установки вобрали в себя все лучшее, что до них было создано в корабельной артиллерии.</w:t>
      </w:r>
    </w:p>
    <w:p w14:paraId="3C955919"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Транспортеры могли вести исключительно точный огонь как с «открытых», так и с «полузакрытых» и «закрытых» позиций.</w:t>
      </w:r>
    </w:p>
    <w:p w14:paraId="4887ED9F"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lastRenderedPageBreak/>
        <w:t>При этом у железнодорожных артустановок был серьезный недостаток — сложность горизонтального наведения на цель при стрельбе с пути. Угол поворота ствола относительно оси рельсовой колеи, например, у 305-мм транспортера не превышает 2—3 градусов. Обеспечить больший угол горизонтального наведения можно двумя способами.</w:t>
      </w:r>
    </w:p>
    <w:p w14:paraId="21B3C8ED"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(РГАВМФ, ф. Р-92, оп. 2, д. 271, л. 8).</w:t>
      </w:r>
    </w:p>
    <w:p w14:paraId="092FEF9D"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rStyle w:val="12"/>
          <w:b w:val="0"/>
          <w:bCs w:val="0"/>
          <w:i w:val="0"/>
          <w:iCs w:val="0"/>
          <w:color w:val="000000" w:themeColor="text1"/>
          <w:spacing w:val="0"/>
          <w:kern w:val="0"/>
          <w:position w:val="0"/>
          <w:sz w:val="16"/>
          <w:szCs w:val="16"/>
          <w:lang w:val="ru-RU"/>
        </w:rPr>
        <w:t xml:space="preserve">Первый способ </w:t>
      </w:r>
      <w:r w:rsidRPr="00A3026E">
        <w:rPr>
          <w:i w:val="0"/>
          <w:iCs w:val="0"/>
          <w:color w:val="000000" w:themeColor="text1"/>
          <w:spacing w:val="0"/>
          <w:kern w:val="0"/>
          <w:position w:val="0"/>
          <w:sz w:val="16"/>
          <w:szCs w:val="16"/>
          <w:lang w:val="ru-RU"/>
        </w:rPr>
        <w:t>— сооружение специальных закругленных отводов от основного железнодорожного пути, так называемых «усов», перемещаясь по которым, транспортер меняет угол поворота орудия и, следовательно, угол обстрела. Однако стрельба с «усов» вполне результативно может вестись лишь по наземным целям. По морским целям, движущимся с большой скоростью и сменой курса, а также на значительном расстоянии от берега, это весьма затруднительно, потому что цель быстро покидает сектор обстрела.</w:t>
      </w:r>
    </w:p>
    <w:p w14:paraId="0F080067"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rStyle w:val="12"/>
          <w:b w:val="0"/>
          <w:bCs w:val="0"/>
          <w:i w:val="0"/>
          <w:iCs w:val="0"/>
          <w:color w:val="000000" w:themeColor="text1"/>
          <w:spacing w:val="0"/>
          <w:kern w:val="0"/>
          <w:position w:val="0"/>
          <w:sz w:val="16"/>
          <w:szCs w:val="16"/>
          <w:lang w:val="ru-RU"/>
        </w:rPr>
        <w:t xml:space="preserve">Второй способ </w:t>
      </w:r>
      <w:r w:rsidRPr="00A3026E">
        <w:rPr>
          <w:i w:val="0"/>
          <w:iCs w:val="0"/>
          <w:color w:val="000000" w:themeColor="text1"/>
          <w:spacing w:val="0"/>
          <w:kern w:val="0"/>
          <w:position w:val="0"/>
          <w:sz w:val="16"/>
          <w:szCs w:val="16"/>
          <w:lang w:val="ru-RU"/>
        </w:rPr>
        <w:t xml:space="preserve">— заблаговременное оборудование в местах наиболее вероятного ведения транспортерами огня </w:t>
      </w:r>
      <w:r w:rsidRPr="00A3026E">
        <w:rPr>
          <w:rStyle w:val="ac"/>
          <w:color w:val="000000" w:themeColor="text1"/>
          <w:spacing w:val="0"/>
          <w:kern w:val="0"/>
          <w:position w:val="0"/>
          <w:sz w:val="16"/>
          <w:szCs w:val="16"/>
          <w:lang w:val="ru-RU"/>
        </w:rPr>
        <w:t xml:space="preserve">стационарных боевых позиций, </w:t>
      </w:r>
      <w:r w:rsidRPr="00A3026E">
        <w:rPr>
          <w:i w:val="0"/>
          <w:iCs w:val="0"/>
          <w:color w:val="000000" w:themeColor="text1"/>
          <w:spacing w:val="0"/>
          <w:kern w:val="0"/>
          <w:position w:val="0"/>
          <w:sz w:val="16"/>
          <w:szCs w:val="16"/>
          <w:lang w:val="ru-RU"/>
        </w:rPr>
        <w:t>включавших в себя основные и запасные пути, а также специальные бетонные площадки (основания).*</w:t>
      </w:r>
    </w:p>
    <w:p w14:paraId="410422E5"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Площадка представляла собой железобетонный квадрат со стороной 16 метров и толщиной 3 метра, заглубленный в землю под рельсовой ко­леей. На плоскости квадрата вмуровывался круговой погон — металлическая лента диаметром около 13 метров и шириной чуть более 300 миллиметров, а в центре площадки, строго по оси рельсового пути, закреплялся </w:t>
      </w:r>
      <w:r w:rsidRPr="00A3026E">
        <w:rPr>
          <w:rStyle w:val="ac"/>
          <w:color w:val="000000" w:themeColor="text1"/>
          <w:spacing w:val="0"/>
          <w:kern w:val="0"/>
          <w:position w:val="0"/>
          <w:sz w:val="16"/>
          <w:szCs w:val="16"/>
          <w:lang w:val="ru-RU"/>
        </w:rPr>
        <w:t xml:space="preserve">посадочный узел </w:t>
      </w:r>
      <w:r w:rsidRPr="00A3026E">
        <w:rPr>
          <w:i w:val="0"/>
          <w:iCs w:val="0"/>
          <w:color w:val="000000" w:themeColor="text1"/>
          <w:spacing w:val="0"/>
          <w:kern w:val="0"/>
          <w:position w:val="0"/>
          <w:sz w:val="16"/>
          <w:szCs w:val="16"/>
          <w:lang w:val="ru-RU"/>
        </w:rPr>
        <w:t>— устройство из прочнейшей литой стали, напоминающее по внешнему виду шайбу диаметром более двух метров.</w:t>
      </w:r>
    </w:p>
    <w:p w14:paraId="56BB7CDD"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Чтобы изготовиться к стрельбе с подобной позиции, транспортер, движимый паровозом, заталкивался на площадку так, чтобы расположенное под его брюхом так называемое </w:t>
      </w:r>
      <w:r w:rsidRPr="00A3026E">
        <w:rPr>
          <w:rStyle w:val="ac"/>
          <w:color w:val="000000" w:themeColor="text1"/>
          <w:spacing w:val="0"/>
          <w:kern w:val="0"/>
          <w:position w:val="0"/>
          <w:sz w:val="16"/>
          <w:szCs w:val="16"/>
          <w:lang w:val="ru-RU"/>
        </w:rPr>
        <w:t xml:space="preserve">возимое штыревое основание </w:t>
      </w:r>
      <w:r w:rsidRPr="00A3026E">
        <w:rPr>
          <w:i w:val="0"/>
          <w:iCs w:val="0"/>
          <w:color w:val="000000" w:themeColor="text1"/>
          <w:spacing w:val="0"/>
          <w:kern w:val="0"/>
          <w:position w:val="0"/>
          <w:sz w:val="16"/>
          <w:szCs w:val="16"/>
          <w:lang w:val="ru-RU"/>
        </w:rPr>
        <w:t>оказывалось точно над посадочным узлом. После этого оно опускалось на него. В течение 15—20 минут они соединялись воедино тяжелыми болтами (общее нормативное время перехода из походного положения в боевое — 1 час). Затем транспортер вывешивал сам себя с помощью мощных домкратов, из-под него по разные стороны метров на 30—40 выкатывались Железнодорожные тележки. И теперь уже всей своей оставшейся массой (257 тонн) артсистема была связана с землей фактически только в одной опорной точке, вокруг которой она могла вращаться на 360 градусов, поддерживая себя при этом двумя катками, укрепленными на главной балке транспортера и скользящими по круговому погону. Транспортер получал таким образом способность вести огонь по всем направлениям.</w:t>
      </w:r>
    </w:p>
    <w:p w14:paraId="71B203AC"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Возвращение артустановки в транспортное положение производилось выполнением тех же операций, но только в обратном порядке.</w:t>
      </w:r>
    </w:p>
    <w:p w14:paraId="5543D212"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Такие огневые позиции для 305-мм артустановок ТМ-III-12 во второй половине 30-х годов были оборудованы в наиболее выгодных точках Балтийского побережья, в частности, в Лебяжьем (форт «Красная горка»), возле поселка Гора Валдай, а также на полуостровах Кургальский и Колгонпя. В 1940 году стационарные позиции для железнодорожных транспортеров были сооружены и на финском полуострове Ханко, где СССР по условиям мирного договора с этой страной получил право на создание военно-морской базы.</w:t>
      </w:r>
    </w:p>
    <w:p w14:paraId="25DEEEA8"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комплекс стационарной позиции входили основные и запасные пути. Они в нужном месте разветвлялись от основной железнодорожной линии,(а затем снова соединялись в одну «нитку».</w:t>
      </w:r>
    </w:p>
    <w:p w14:paraId="74766F01"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При оборудовании стационарных боевых позиций для железнодорож­ ных артустановок на Тихоокеанском побережье СССР (там их было построено четыре) был сооружен и укрепленный командный пункт батареи. Он представлял собой мощную, заглубленную в землю бутобетонную одноэтажную постройку. Здесь было помещение, где размещался командный состав батареи, стояли столы с картами, приборы определения дистанции и другие электротехнические приспособления для ведения огня. Помещение увенчивалось бетонной башенкой со смотровыми щелями для наблюдения. В башню вела лестница. Там стоял дальномер и приборы центральной наводки и работал управляющий огнем батареи. Данные о цели передавались по кабелю в центральный пост батареи, размещенный в специальном вагоне.</w:t>
      </w:r>
    </w:p>
    <w:p w14:paraId="7E8D809B"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Первые батареи располагали следующими средствами связи: передатчиком «Град» и приемником «Ветер», приемопередатчиком «Штиль», передатчиком «Бухта» и приемником «Куб-4», а также приемопередатчиком «Рейд» (11454).</w:t>
      </w:r>
    </w:p>
    <w:p w14:paraId="158BB545" w14:textId="77777777" w:rsidR="0014077F" w:rsidRPr="00A3026E" w:rsidRDefault="0014077F" w:rsidP="00A3026E">
      <w:pPr>
        <w:pStyle w:val="af2"/>
        <w:jc w:val="both"/>
        <w:rPr>
          <w:i w:val="0"/>
          <w:iCs w:val="0"/>
          <w:color w:val="000000" w:themeColor="text1"/>
          <w:spacing w:val="0"/>
          <w:kern w:val="0"/>
          <w:position w:val="0"/>
          <w:sz w:val="16"/>
          <w:szCs w:val="16"/>
          <w:lang w:val="ru-RU"/>
        </w:rPr>
      </w:pPr>
    </w:p>
    <w:p w14:paraId="2BB5CE64"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27 декабря 1940 года вышнл приказом Командующего КБФ № 00177, в соответствии с которым по штату мирного времени № 41/614-А личный состав батареи № 17 из четырех артустановок ТМ-1-180 состоял из 409 человек, в том числе: 31 — начальствующий состав, 108 — младший начальствующий состав и 270 — рядовые (11454).</w:t>
      </w:r>
    </w:p>
    <w:p w14:paraId="78BBA040" w14:textId="77777777" w:rsidR="0014077F" w:rsidRPr="00A3026E" w:rsidRDefault="0014077F" w:rsidP="00A3026E">
      <w:pPr>
        <w:pStyle w:val="af2"/>
        <w:jc w:val="both"/>
        <w:rPr>
          <w:i w:val="0"/>
          <w:iCs w:val="0"/>
          <w:color w:val="000000" w:themeColor="text1"/>
          <w:spacing w:val="0"/>
          <w:kern w:val="0"/>
          <w:position w:val="0"/>
          <w:sz w:val="16"/>
          <w:szCs w:val="16"/>
          <w:lang w:val="ru-RU"/>
        </w:rPr>
      </w:pPr>
    </w:p>
    <w:p w14:paraId="50FFB3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1940 г. вышел Приказ о маскировке аэродромов и материальной части Военно-Воздушных Сил № 0367.</w:t>
      </w:r>
    </w:p>
    <w:p w14:paraId="7CA3B5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НКО 1939 г. № 0145 требовалась обязательная маскировка всех вновь строящихся оперативных аэродромов. Главное управление ВВС Красной Армии эти мероприятия должно бы до провести не только на оперативных аэродромах, но и на всей аэродромной сети ВВС. Однако ни один из округов должного внимания этому приказу не уделил и его не выполнил.</w:t>
      </w:r>
    </w:p>
    <w:p w14:paraId="2F6740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осознать, что без тщательной маскировки всех аэродромов, создания ложных аэродромов и маскировки всей материальной части в современной войне немыслима боевая работа авиации.</w:t>
      </w:r>
    </w:p>
    <w:p w14:paraId="2711D1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Приказываю:</w:t>
      </w:r>
    </w:p>
    <w:p w14:paraId="71926E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Представить мне на утверждение к 1 января 1941 г. инструкцию по маскировке аэродромов.</w:t>
      </w:r>
    </w:p>
    <w:p w14:paraId="19AB1B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 10 января 1941 г. представить соображения о применении камуфлирующей окраски самолетов, как выпускаемых авиапромышленностью, так и находящихся в строевых частях ВВС.</w:t>
      </w:r>
    </w:p>
    <w:p w14:paraId="54390E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Все аэродромы, намеченные к засеву в 1941 году, засеять обязательно с учетом маскировки и применительно к окружающей местности путем подбора соответствующих трав. На аэродромах имитировать: поля, луга, огороды, ямы, рвы, канавы, дороги, с тем чтобы полностью слить фон аэродрома с фоном окружающей местности.</w:t>
      </w:r>
    </w:p>
    <w:p w14:paraId="2BEFE8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 же самое путем подсева провести на всех ранее построенных аэродромах.</w:t>
      </w:r>
    </w:p>
    <w:p w14:paraId="2DB28A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 июля 1941 г. закончить маскировку всех аэродромов, расположенных в 500-км полосе от границы.</w:t>
      </w:r>
    </w:p>
    <w:p w14:paraId="358027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Командирам авиационных дивизий:</w:t>
      </w:r>
    </w:p>
    <w:p w14:paraId="1083F2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До 1 апреля 1941 г. составить схему-план на каждый аэродром по маскировке как в части засева, так и на расстановку переносных маскировочных средств.</w:t>
      </w:r>
    </w:p>
    <w:p w14:paraId="3106DB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Силами частей до 1 апреля 1941 г. заготовить необходимый легкий переносной маскировочный материал применительно к каждому аэродрому.</w:t>
      </w:r>
    </w:p>
    <w:p w14:paraId="6F1B96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По оперативным аэродромам, сдаваемым в аренду советским и хозяйственным организациям, оговорить в договорах требование сохранности и целости средств маскировки.</w:t>
      </w:r>
    </w:p>
    <w:p w14:paraId="106E1E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Маскировочный засев аэродромов и оборудование переносных средств маскировки произвести за счет денежных средств, отпускаемых на строительство аэродромов и их содержание.</w:t>
      </w:r>
    </w:p>
    <w:p w14:paraId="6BA5BA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В дальнейшем не принимать от строительных организаций вновь построенных летных полей, засеянных без учета маскировки.</w:t>
      </w:r>
    </w:p>
    <w:p w14:paraId="4FF553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Генерал-инспектору ВВС установить контроль и о ходе работ докладывать ежемесячно.</w:t>
      </w:r>
    </w:p>
    <w:p w14:paraId="117E47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Народный комиссар обороны СССР Маршал Советского Союза С. Тимошенко (10593).</w:t>
      </w:r>
    </w:p>
    <w:p w14:paraId="3481103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657C1E8" w14:textId="77777777" w:rsidR="006810F9"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7FB6B665" w14:textId="77777777" w:rsidR="006810F9" w:rsidRPr="00A3026E" w:rsidRDefault="006810F9" w:rsidP="00A3026E">
      <w:pPr>
        <w:spacing w:after="0" w:line="240" w:lineRule="auto"/>
        <w:jc w:val="both"/>
        <w:rPr>
          <w:rFonts w:ascii="Times New Roman" w:hAnsi="Times New Roman"/>
          <w:iCs/>
          <w:color w:val="000000" w:themeColor="text1"/>
          <w:sz w:val="16"/>
          <w:szCs w:val="16"/>
        </w:rPr>
      </w:pPr>
    </w:p>
    <w:p w14:paraId="1F804E15" w14:textId="77777777" w:rsidR="006810F9" w:rsidRPr="00A3026E" w:rsidRDefault="006810F9"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27 декабря</w:t>
      </w:r>
      <w:r w:rsidRPr="00A3026E">
        <w:rPr>
          <w:rFonts w:ascii="Times New Roman" w:hAnsi="Times New Roman"/>
          <w:color w:val="000000" w:themeColor="text1"/>
          <w:sz w:val="16"/>
          <w:szCs w:val="16"/>
        </w:rPr>
        <w:t xml:space="preserve"> в 1940 году массированные бомбардировки немецкой авиацией Лондона (14873).</w:t>
      </w:r>
    </w:p>
    <w:p w14:paraId="18404C2E" w14:textId="77777777" w:rsidR="006810F9" w:rsidRPr="00A3026E" w:rsidRDefault="006810F9" w:rsidP="00A3026E">
      <w:pPr>
        <w:spacing w:after="0" w:line="240" w:lineRule="auto"/>
        <w:jc w:val="both"/>
        <w:rPr>
          <w:rFonts w:ascii="Times New Roman" w:hAnsi="Times New Roman"/>
          <w:color w:val="000000" w:themeColor="text1"/>
          <w:sz w:val="16"/>
          <w:szCs w:val="16"/>
        </w:rPr>
      </w:pPr>
    </w:p>
    <w:p w14:paraId="75B73E4D"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1DDF5A7"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0B25CDE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года вышло Постановление СНК СССР и ЦК ВКП(б).</w:t>
      </w:r>
    </w:p>
    <w:p w14:paraId="4457EBC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конструктора Микулина и директора завода № 24 Дубова сдать первый экземпляр мотора АМ-38 на совместные стендовые испытания к 15 января 1941 года.</w:t>
      </w:r>
    </w:p>
    <w:p w14:paraId="7BFD369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мотора:</w:t>
      </w:r>
    </w:p>
    <w:p w14:paraId="3C241E0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Взлетная мощность 1600 л.с.</w:t>
      </w:r>
    </w:p>
    <w:p w14:paraId="50A04D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Номинальная мощность 1500 л.с. (4048, 4).</w:t>
      </w:r>
    </w:p>
    <w:p w14:paraId="30C2789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2F99D9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г. появилось Постановление СНК СССР и ЦК ВКП (б) о развертывании серийного производства АМ-38 и сокращении выпуска двигателей АМ-35А, которые устанавливались на истребителях МиГ-3 и бомбардировщиках ТБ-7 (9528).</w:t>
      </w:r>
    </w:p>
    <w:p w14:paraId="3C30719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FBE3A73"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28 декабря 1940 – протокол Политбюро</w:t>
      </w:r>
    </w:p>
    <w:p w14:paraId="4FD53328"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 28.XII.40 г.</w:t>
      </w:r>
    </w:p>
    <w:p w14:paraId="41185628"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176. О выпуске моторов АМ-38 на заводе № 24 (постановление СНК СССР и ЦК ВКП(б)). — ОП (20471).</w:t>
      </w:r>
    </w:p>
    <w:p w14:paraId="5DAE0117" w14:textId="77777777" w:rsidR="00A33124" w:rsidRPr="00A3026E" w:rsidRDefault="00A33124" w:rsidP="00A3026E">
      <w:pPr>
        <w:spacing w:after="0" w:line="240" w:lineRule="auto"/>
        <w:jc w:val="both"/>
        <w:rPr>
          <w:rFonts w:ascii="Times New Roman" w:hAnsi="Times New Roman"/>
          <w:color w:val="0070C0"/>
          <w:sz w:val="16"/>
          <w:szCs w:val="16"/>
        </w:rPr>
      </w:pPr>
    </w:p>
    <w:p w14:paraId="776CB0E9"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lastRenderedPageBreak/>
        <w:t>28 декабря 1940 вышло Постановление Политбюро ЦК ВКП(б) "О выпуске моторов АМ-38 на заводе № 24" (пр. № 24/24-оп за 14 декабря 1940 г. - 2 января 1941 г., п. 176)</w:t>
      </w:r>
    </w:p>
    <w:p w14:paraId="1FCBC785"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176.- О выпуске моторов АМ-38 на заводе № 24.</w:t>
      </w:r>
    </w:p>
    <w:p w14:paraId="67B1E9F1"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(Постановление СНК СССР и ЦК ВКП/б/).</w:t>
      </w:r>
    </w:p>
    <w:p w14:paraId="2F68BE55"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Совет Народных Комиссаров Союза ССР и Центральный Комитет ВКП(б) постановляют:</w:t>
      </w:r>
    </w:p>
    <w:p w14:paraId="605A9F6A"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1. С 1-го января 1941 года на заводе № 24 поставить производство моторов АМ-38 со следующими данными: взлетная мощность </w:t>
      </w:r>
      <w:r w:rsidRPr="00A3026E">
        <w:rPr>
          <w:rFonts w:ascii="Times New Roman" w:hAnsi="Times New Roman"/>
          <w:color w:val="0070C0"/>
          <w:sz w:val="16"/>
          <w:szCs w:val="16"/>
        </w:rPr>
        <w:tab/>
        <w:t>1600 л.с.</w:t>
      </w:r>
    </w:p>
    <w:p w14:paraId="0FA28BDD"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номинальная мощность у земли</w:t>
      </w:r>
      <w:r w:rsidRPr="00A3026E">
        <w:rPr>
          <w:rFonts w:ascii="Times New Roman" w:hAnsi="Times New Roman"/>
          <w:color w:val="0070C0"/>
          <w:sz w:val="16"/>
          <w:szCs w:val="16"/>
        </w:rPr>
        <w:tab/>
        <w:t>1500 л.с.</w:t>
      </w:r>
    </w:p>
    <w:p w14:paraId="69DC5567"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Обязать главного конструктора завода № 24 т. Мику</w:t>
      </w:r>
      <w:r w:rsidRPr="00A3026E">
        <w:rPr>
          <w:rFonts w:ascii="Times New Roman" w:hAnsi="Times New Roman"/>
          <w:color w:val="0070C0"/>
          <w:sz w:val="16"/>
          <w:szCs w:val="16"/>
        </w:rPr>
        <w:softHyphen/>
        <w:t>лина и директора завода т. Дубова сдать первый экземпляр мотора АМ-38 на совместные стендовые испытания к 15-му января 1941 года.</w:t>
      </w:r>
    </w:p>
    <w:p w14:paraId="44C5527E"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Обязать директора завода т. Дубова, главного кон</w:t>
      </w:r>
      <w:r w:rsidRPr="00A3026E">
        <w:rPr>
          <w:rFonts w:ascii="Times New Roman" w:hAnsi="Times New Roman"/>
          <w:color w:val="0070C0"/>
          <w:sz w:val="16"/>
          <w:szCs w:val="16"/>
        </w:rPr>
        <w:softHyphen/>
        <w:t>структора т. Микулина и военпреда завода т. Калинникова закончить совместные испытания к 1-му февраля 1941 года.</w:t>
      </w:r>
    </w:p>
    <w:p w14:paraId="60FA9233"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 Для выполнения доводочных работ по мотору АМ-38 директору завода т. Дубову в счет программы по моторам АМ-38 изготовить для ОКБ завода 5 штук моторов АМ-38, за</w:t>
      </w:r>
      <w:r w:rsidRPr="00A3026E">
        <w:rPr>
          <w:rFonts w:ascii="Times New Roman" w:hAnsi="Times New Roman"/>
          <w:color w:val="0070C0"/>
          <w:sz w:val="16"/>
          <w:szCs w:val="16"/>
        </w:rPr>
        <w:softHyphen/>
        <w:t>считав их в график поставки моторов.</w:t>
      </w:r>
    </w:p>
    <w:p w14:paraId="07C793FC"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4. Разрешить директору завода № 24 т. Дубову немедленно запустить моторы АМ-38 в серийное производство, не дожидаясь результатов совместных испытаний.</w:t>
      </w:r>
    </w:p>
    <w:p w14:paraId="0E84DBC7"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5. Утвердить программу выпуска заводом № 24 моторов АМ-38 на 1941 г. в количестве 2000 штук.</w:t>
      </w:r>
    </w:p>
    <w:p w14:paraId="19F021BC"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Из них: в первом квартале 1941 года - 50 моторов</w:t>
      </w:r>
    </w:p>
    <w:p w14:paraId="2C4AE4DE"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 втором - 475</w:t>
      </w:r>
    </w:p>
    <w:p w14:paraId="503ADBA2"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третьем - 700</w:t>
      </w:r>
    </w:p>
    <w:p w14:paraId="7D08BE86"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четвертом - 775</w:t>
      </w:r>
    </w:p>
    <w:p w14:paraId="5382115D"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6. Утвердить следующий график выпуска моторов АМ-38</w:t>
      </w:r>
    </w:p>
    <w:p w14:paraId="3FE11233"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w:t>
      </w:r>
    </w:p>
    <w:p w14:paraId="3883FA35"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7. В связи с постановкой производства на заводе № 24 моторов АМ-38, во изменение постановления CHK СССР и ЦК ВКП(б) от 7 декабря 1940 года (№ 2466-109бсс) пункт 5, программу выпуска моторов АМ-35А на заводе №24, уменьшив ее на 2000 моторов в соответствии с установленной программой по мотору АМ-38…</w:t>
      </w:r>
    </w:p>
    <w:p w14:paraId="3A228843"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8. Для обеспечения программы выпуска моторов АМ-38 и работы по графику, выделить заводу № 24 н январе меся</w:t>
      </w:r>
      <w:r w:rsidRPr="00A3026E">
        <w:rPr>
          <w:rFonts w:ascii="Times New Roman" w:hAnsi="Times New Roman"/>
          <w:color w:val="0070C0"/>
          <w:sz w:val="16"/>
          <w:szCs w:val="16"/>
        </w:rPr>
        <w:softHyphen/>
        <w:t>це 1941 года 216 станков, в том числе:</w:t>
      </w:r>
    </w:p>
    <w:p w14:paraId="59D25758"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 102 станка из фондов Наркомавиапрома;</w:t>
      </w:r>
    </w:p>
    <w:p w14:paraId="756D9F1C"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 24 станка со Всесоюзной выставки станков;</w:t>
      </w:r>
    </w:p>
    <w:p w14:paraId="097DF4B4"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обязать МГК ВКП(б) (т. Попова) изыскать на заводах и предприятиях гор. Москвы и Московской области и с утвер</w:t>
      </w:r>
      <w:r w:rsidRPr="00A3026E">
        <w:rPr>
          <w:rFonts w:ascii="Times New Roman" w:hAnsi="Times New Roman"/>
          <w:color w:val="0070C0"/>
          <w:sz w:val="16"/>
          <w:szCs w:val="16"/>
        </w:rPr>
        <w:softHyphen/>
        <w:t>ждения Экономсовета направить на завод № 24 - 90 станков.</w:t>
      </w:r>
    </w:p>
    <w:p w14:paraId="402156DC"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 2 станка ’’Паркинсон" модель 23 или модель 16 для обработки шестерен редуктора, сняв 1 станок с завода № 82 НКАП и 1 станок с одного из заводов, кроме НКАП, с утвер</w:t>
      </w:r>
      <w:r w:rsidRPr="00A3026E">
        <w:rPr>
          <w:rFonts w:ascii="Times New Roman" w:hAnsi="Times New Roman"/>
          <w:color w:val="0070C0"/>
          <w:sz w:val="16"/>
          <w:szCs w:val="16"/>
        </w:rPr>
        <w:softHyphen/>
        <w:t>ждения Экономсовета.</w:t>
      </w:r>
    </w:p>
    <w:p w14:paraId="5A0E1BF9"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9. Во изменение постановления Комитета Обороны при СПК СССР № ЗЗ0сс от 26 июля 1940 гола, уменьшить заво</w:t>
      </w:r>
      <w:r w:rsidRPr="00A3026E">
        <w:rPr>
          <w:rFonts w:ascii="Times New Roman" w:hAnsi="Times New Roman"/>
          <w:color w:val="0070C0"/>
          <w:sz w:val="16"/>
          <w:szCs w:val="16"/>
        </w:rPr>
        <w:softHyphen/>
        <w:t>ду 24 программу выпуски моторов АМ-34 ПБ на 43 штуки.</w:t>
      </w:r>
    </w:p>
    <w:p w14:paraId="6A54086E"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10. Снять с программы 1940 года завода № 24 моторы АМ-36, как не доведенные до серийного производства.</w:t>
      </w:r>
    </w:p>
    <w:p w14:paraId="34D45029"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11. За создание, внедрение в серийное производство и выполнение заданной программы декабря месяца 1940 года по моторам АМ-35А, разрешить наркому авиационной про</w:t>
      </w:r>
      <w:r w:rsidRPr="00A3026E">
        <w:rPr>
          <w:rFonts w:ascii="Times New Roman" w:hAnsi="Times New Roman"/>
          <w:color w:val="0070C0"/>
          <w:sz w:val="16"/>
          <w:szCs w:val="16"/>
        </w:rPr>
        <w:softHyphen/>
        <w:t>мышленности т. Шахурину израсходовать на премирование ра</w:t>
      </w:r>
      <w:r w:rsidRPr="00A3026E">
        <w:rPr>
          <w:rFonts w:ascii="Times New Roman" w:hAnsi="Times New Roman"/>
          <w:color w:val="0070C0"/>
          <w:sz w:val="16"/>
          <w:szCs w:val="16"/>
        </w:rPr>
        <w:softHyphen/>
        <w:t>бочих, ИТР, конструкторов и служащих завода № 24 3 млн. рублей из ранее отпущенных 3.5 миллиона рублей.</w:t>
      </w:r>
    </w:p>
    <w:p w14:paraId="5013F376"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12. За создание мотора АМ-38 и окончание совместных испытаний в установленные сроки, выделить в распоояжение наркома авиационной промышленности т.Шахурина для преми</w:t>
      </w:r>
      <w:r w:rsidRPr="00A3026E">
        <w:rPr>
          <w:rFonts w:ascii="Times New Roman" w:hAnsi="Times New Roman"/>
          <w:color w:val="0070C0"/>
          <w:sz w:val="16"/>
          <w:szCs w:val="16"/>
        </w:rPr>
        <w:softHyphen/>
        <w:t>рования конструкторов, рабочих, ИТР и служащих завода № 24 2,1 млн. рублей, из них 400 тыс.рублей на премирование конструкторов и работников опытного цеха завода и 1,7 млн. рублей за освоение в серийном производстве моторов АМ-38 и за выпуск первых 50 моторов АМ-38.</w:t>
      </w:r>
    </w:p>
    <w:p w14:paraId="286FC30C"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13. Разрешить наркому авиационной промышленности т. Шахурину расходование до 50% выделенных средств, указанных в пунктах 11 и 12 настоящего постановления, произво</w:t>
      </w:r>
      <w:r w:rsidRPr="00A3026E">
        <w:rPr>
          <w:rFonts w:ascii="Times New Roman" w:hAnsi="Times New Roman"/>
          <w:color w:val="0070C0"/>
          <w:sz w:val="16"/>
          <w:szCs w:val="16"/>
        </w:rPr>
        <w:softHyphen/>
        <w:t>дить в процессе выполнения работ в установленные сроки.</w:t>
      </w:r>
    </w:p>
    <w:p w14:paraId="629A5A48"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14. Во изменение постановления СНК Союза ССР и ЦК ВКП(б) от 7 декабря 1940 года № 2466-1096сс, заводам 18, 35 и 381 выпускать самолеты Ил-2 с моторами АМ-38.</w:t>
      </w:r>
    </w:p>
    <w:p w14:paraId="56865B77"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Выписки посланы:</w:t>
      </w:r>
    </w:p>
    <w:p w14:paraId="7B6FBFDD" w14:textId="77777777" w:rsidR="00A33124" w:rsidRPr="00A3026E" w:rsidRDefault="00A3312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т.т.Шахурину, Вознесенскому. Ворошилову. Дубову. Рычагову, Тимошенко, Маленкову. Щербакову. Попову. Чадаеву - все: Микулину. Калинникову -1,2, Звереву - 11,12,13 (22111).</w:t>
      </w:r>
    </w:p>
    <w:p w14:paraId="0920871C" w14:textId="77777777" w:rsidR="00A33124" w:rsidRPr="00A3026E" w:rsidRDefault="00A33124" w:rsidP="00A3026E">
      <w:pPr>
        <w:pStyle w:val="article-renderblock"/>
        <w:shd w:val="clear" w:color="auto" w:fill="FFFFFF"/>
        <w:spacing w:before="0" w:beforeAutospacing="0" w:after="0" w:afterAutospacing="0"/>
        <w:jc w:val="both"/>
        <w:rPr>
          <w:color w:val="0070C0"/>
          <w:sz w:val="16"/>
          <w:szCs w:val="16"/>
        </w:rPr>
      </w:pPr>
    </w:p>
    <w:p w14:paraId="2983C6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ТБ-7 с М-40 выполнил наконец полет на дальность и тем самым закончил заводские испытания. Машина 21 декабря 1940 после заводских испытаний (за исключением полета на продолжительность), которые проводились на 124 заводе с 13 октября 1940, когда состоялся первый полет до 15 декабря 1940, перелетел в Москву на аэродром ЦАГИ (1295,363).</w:t>
      </w:r>
    </w:p>
    <w:p w14:paraId="3F71E26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F0797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в ходе заводских испытаний ББ-22 л Пауль совершил вынужденную посадку разбив машину (439,8).</w:t>
      </w:r>
    </w:p>
    <w:p w14:paraId="315991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28 декабря 1940 был разбит ПБ-22 2М-105 в ходе заводских испытаний, которые шли с 22 октября 1940 (2290,232).</w:t>
      </w:r>
    </w:p>
    <w:p w14:paraId="543D94F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987AA3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г. на Як-1 М-105П 3-й экз. произошло заклинение мотора М-105П на пикировании. Причиной заклинения мотора является падение давления масла в моторе и раскрутка винта на пикировании. В виду загруженности теплого ангара, съемка мотора с самолета не производилась. Всего с начала летних испытаний произведено 12 полетов - 6 час. 15 мин. (3333,4).</w:t>
      </w:r>
    </w:p>
    <w:p w14:paraId="449A7A9E" w14:textId="77777777" w:rsidR="0014077F" w:rsidRPr="00A3026E" w:rsidRDefault="0014077F" w:rsidP="00A3026E">
      <w:pPr>
        <w:pStyle w:val="Iauiue"/>
        <w:jc w:val="both"/>
        <w:rPr>
          <w:color w:val="000000" w:themeColor="text1"/>
          <w:sz w:val="16"/>
          <w:szCs w:val="16"/>
        </w:rPr>
      </w:pPr>
    </w:p>
    <w:p w14:paraId="755EC9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закончились заводские испытания И-207 М-63, которые шли с 4 апреля 1940 (2090,232).</w:t>
      </w:r>
    </w:p>
    <w:p w14:paraId="5062461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528DF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года начальник Штаба НИИ ВВС бригинженер Щербаков писал письмо № 001495 зам. начальника ГУ ВВС генерал-лейтенанту авиации Астахову</w:t>
      </w:r>
    </w:p>
    <w:p w14:paraId="6C22E6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Краткая сводка по прохождению испытаний самолетов, моторов и винтов в НИИ ВВС по состоянию на 28 декабря 1940 года</w:t>
      </w:r>
    </w:p>
    <w:p w14:paraId="12001B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Самолет И-21</w:t>
      </w:r>
    </w:p>
    <w:p w14:paraId="292D097F"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находится в летном состоянии.</w:t>
      </w:r>
    </w:p>
    <w:p w14:paraId="3FD225D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Госиспытания закончены. Был произведен облет 4-мя летчиками НИИ ВВС, выявлено:</w:t>
      </w:r>
    </w:p>
    <w:p w14:paraId="7C02F8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неустойчивость в поперечном отношении;</w:t>
      </w:r>
    </w:p>
    <w:p w14:paraId="190184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устойчивость пути на пределе;</w:t>
      </w:r>
    </w:p>
    <w:p w14:paraId="6A509B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недостаточный запас устойчивости в продольном отношении;</w:t>
      </w:r>
    </w:p>
    <w:p w14:paraId="316DD8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неустойчивость на посадке.</w:t>
      </w:r>
    </w:p>
    <w:p w14:paraId="5E048A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чего было решение командования НИИ ВВС снять летные данные самолета.</w:t>
      </w:r>
    </w:p>
    <w:p w14:paraId="6F4754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Получены следующие данные (ориентировочно):</w:t>
      </w:r>
    </w:p>
    <w:p w14:paraId="1E8B12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у земли – 488 км/час</w:t>
      </w:r>
    </w:p>
    <w:p w14:paraId="585D46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границе высотности Н=5000 м – 573 км/час</w:t>
      </w:r>
    </w:p>
    <w:p w14:paraId="0D6931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 160 км/час</w:t>
      </w:r>
    </w:p>
    <w:p w14:paraId="17A822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скороподъемность – не обработана</w:t>
      </w:r>
    </w:p>
    <w:p w14:paraId="282DFB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сделано 38 полетов с общим налетом 8 час. 40 мин.</w:t>
      </w:r>
    </w:p>
    <w:p w14:paraId="07171821"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предполагается перегнать на завод № 21.</w:t>
      </w:r>
    </w:p>
    <w:p w14:paraId="1C0552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Самолет И-26 М-105П.</w:t>
      </w:r>
    </w:p>
    <w:p w14:paraId="1333232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И-26 М-105П экз. № 3 проходит госиспытания на пикирование, с задачей определения возможности и особенностей выполнения пикирования под различными углами до 90 градусов с мотором и без мотора, потери высоты на пикировании и работы винтомоторной группы.</w:t>
      </w:r>
    </w:p>
    <w:p w14:paraId="2BD9289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было произведено 7 полетов на пикирование. Произведено 14 пикирований под углами 50, 60, 70 и 80 градусов на скоростях ввода от 200 до 400 км/час и вывода до 600 км/час по прибору и с различными перегрузками.</w:t>
      </w:r>
    </w:p>
    <w:p w14:paraId="44F758B6"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данных полетов выявлено, что ввод и пикирование до углов свыше 70 градусов на скоростях свыше 300 км/час труден и потеря высоты достигает 1000-1500 метров. На выходе из пикирования при углах 50 градусов на скоростях порядка 500-550 км/час – потеря высоты достигает до 1000 м.</w:t>
      </w:r>
    </w:p>
    <w:p w14:paraId="601323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входа в пикирование наблюдается падение давления бензина и масла. Раскрутка винта имеется, но незначительная на 100-150 об/мин.</w:t>
      </w:r>
    </w:p>
    <w:p w14:paraId="5953EF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Указанные данные даны ориентировочно, так как материалы окончательно не обработаны.</w:t>
      </w:r>
    </w:p>
    <w:p w14:paraId="040901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испытаний разрушился мотор.</w:t>
      </w:r>
    </w:p>
    <w:p w14:paraId="6898EB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Причиной разрушения послужило отворачивание гаек крепления шестерен редуктора.</w:t>
      </w:r>
    </w:p>
    <w:p w14:paraId="4D9434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пикирования при полете 28 декабря 1940 года раскрутился винт и упало давление масла, в результате чего второй мотор разрушился.</w:t>
      </w:r>
    </w:p>
    <w:p w14:paraId="49AA9C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Окончательные результаты аварии мотора выясняются.</w:t>
      </w:r>
    </w:p>
    <w:p w14:paraId="3153C7BB"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Программа испытаний не закончена. Требуется произвести 11 полетов на пикирование до углов 90 градусов и пикирование с работающим мотором.</w:t>
      </w:r>
    </w:p>
    <w:p w14:paraId="762226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Самолет ПЕ-2 с 2М-105.</w:t>
      </w:r>
    </w:p>
    <w:p w14:paraId="172347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принят на госиспытание 22 декабря 1940 года.</w:t>
      </w:r>
    </w:p>
    <w:p w14:paraId="3F757F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28 декабря 1940 года к 14 часам произведено испытательных полетов – 7, с общей продолжительностью около 10 часов.</w:t>
      </w:r>
    </w:p>
    <w:p w14:paraId="1997B5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Полеты следующие:</w:t>
      </w:r>
    </w:p>
    <w:p w14:paraId="6C093D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километраж – 2</w:t>
      </w:r>
    </w:p>
    <w:p w14:paraId="399BE8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флаттер – 1</w:t>
      </w:r>
    </w:p>
    <w:p w14:paraId="2D2CBB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5000 м – 1 (определение скороподъемности и максимальных скоростей по высотам)</w:t>
      </w:r>
    </w:p>
    <w:p w14:paraId="2810C8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потолок – 2</w:t>
      </w:r>
    </w:p>
    <w:p w14:paraId="26D85F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потолок с подвеской наружных бомб – 1</w:t>
      </w:r>
    </w:p>
    <w:p w14:paraId="55D034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Задания выполнены.</w:t>
      </w:r>
    </w:p>
    <w:p w14:paraId="2F81B7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полученных данных по отработке их не окончательны и не полные – требуют контрольного уточнения в последующих полетах по программе испытаний.</w:t>
      </w:r>
    </w:p>
    <w:p w14:paraId="1E60DD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Ориентировочные результаты следующие:</w:t>
      </w:r>
    </w:p>
    <w:p w14:paraId="052CFE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горизонтального полета на высоте около 5000 м с полетным весом 7500 км (полные бензобаки, но без бомб) – 530-540 км/час</w:t>
      </w:r>
    </w:p>
    <w:p w14:paraId="2A33B3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горизонтального полета на высоте около 5000 м с полетным весом 8000 кг при бомбах 2 ФАБ-250 наружу – 500-510 км/час</w:t>
      </w:r>
    </w:p>
    <w:p w14:paraId="1C6ACE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Программа испытаний выполнена на 35-40%.</w:t>
      </w:r>
    </w:p>
    <w:p w14:paraId="487C22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Предстоит испытать самолет в основном:</w:t>
      </w:r>
    </w:p>
    <w:p w14:paraId="5D39CD61"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взлетно-посадочные свойства.</w:t>
      </w:r>
    </w:p>
    <w:p w14:paraId="0D88F8EE"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определение характеристик пикирования без бомб.</w:t>
      </w:r>
    </w:p>
    <w:p w14:paraId="5AC26B25"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расходы горючего и дальность.</w:t>
      </w:r>
    </w:p>
    <w:p w14:paraId="6F955C7B"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другие характеристики.</w:t>
      </w:r>
    </w:p>
    <w:p w14:paraId="5009C6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не предъявлено бомбардировочное вооружение. Стрелковое вооружение на заводе не отработано и может быть испытано в случае доводки его в ближайшие дни.</w:t>
      </w:r>
    </w:p>
    <w:p w14:paraId="21FFEC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менее 10 часов в сутки занимают доводочные работы на самолете и устранение дефектов.</w:t>
      </w:r>
    </w:p>
    <w:p w14:paraId="7213E2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 а на самолете производится почти без перерыва днем и ночью в среднем 20-22 часа в сутки.</w:t>
      </w:r>
    </w:p>
    <w:p w14:paraId="7FE02B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Самолет ББ-1 М-88 – госиспытания серийные.</w:t>
      </w:r>
    </w:p>
    <w:p w14:paraId="55F3C6B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экземпляр самолета находится в летном состоянии. Второй экземпляр находится на опытном заводе НИИ ВВС – производится замена мотора (мотор новый еще не получен).</w:t>
      </w:r>
    </w:p>
    <w:p w14:paraId="041B5C7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госиспытаний произведено 47 полетов 16.35 мин Выполнены полеты на скороподъемность и скорости по высотам (материал обрабатывается), километраж, взлетно-посадочные свойства, расходы горючего на двух высотах, бомбометание, маневренность и отстрел пулеметов.</w:t>
      </w:r>
    </w:p>
    <w:p w14:paraId="28B7BA25"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у земли получена – 381 км/час, разбег (в нормальном варианте – 400 кг бомб) – 450 м; посадочная скорость 140 км/час, пробег 420 метров.</w:t>
      </w:r>
    </w:p>
    <w:p w14:paraId="2B6CE0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Расход горючего, скороподъемность и скорости по высотам еще не обработаны.</w:t>
      </w:r>
    </w:p>
    <w:p w14:paraId="0AF33DE3"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программе осталось выполнить: расход горючего на 2-х высотах, полет на дальность, полет на номинале на границе высотности, стрельба по наземным целям.</w:t>
      </w:r>
    </w:p>
    <w:p w14:paraId="3099F1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 Самолет ББ-22 (№№ 70602 и 70603).</w:t>
      </w:r>
    </w:p>
    <w:p w14:paraId="1CCFB2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с 10 декабря 1940 года сделано в общей сложности 44 полета с налетом 12 час. 40 мин.</w:t>
      </w:r>
    </w:p>
    <w:p w14:paraId="670A17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самолетах сняты основные характеристики самолета.</w:t>
      </w:r>
    </w:p>
    <w:p w14:paraId="0922D4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Получены следующие данные:</w:t>
      </w:r>
    </w:p>
    <w:p w14:paraId="184EFF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Н=4800 м - Vmax у земли 458 км/час – 530 км/час (ориентировочно)</w:t>
      </w:r>
    </w:p>
    <w:p w14:paraId="29B1AF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 – 9700 м</w:t>
      </w:r>
    </w:p>
    <w:p w14:paraId="20A7F1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потолка – 30 минут</w:t>
      </w:r>
    </w:p>
    <w:p w14:paraId="65F29B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 с полетным весом 6115 кг (с бомбами 400 кг в люке и вооружен.) – 500 м</w:t>
      </w:r>
    </w:p>
    <w:p w14:paraId="273B0F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разбега – 18,5 сек.</w:t>
      </w:r>
    </w:p>
    <w:p w14:paraId="1FCEFA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 с тормозами и щитками – 460 м</w:t>
      </w:r>
    </w:p>
    <w:p w14:paraId="627DCE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пробега – 20,5 сек.</w:t>
      </w:r>
    </w:p>
    <w:p w14:paraId="0F560A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Остается сделать:</w:t>
      </w:r>
    </w:p>
    <w:p w14:paraId="72F025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Снять расходы на высотах 8000, 6000, 4800, 2800 м – 4 полета.</w:t>
      </w:r>
    </w:p>
    <w:p w14:paraId="01DFB7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Сделать полет на дальность.</w:t>
      </w:r>
    </w:p>
    <w:p w14:paraId="7E811E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 с наружной подвеской бомб 2хФАБ-250 до проверки замков наружных деталей и ст. испытаний балок держателей – делать нельзя.</w:t>
      </w:r>
    </w:p>
    <w:p w14:paraId="3A76CA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VI. Самолеты АР-2 2М-105 (пикирующий вариант СБ-РК).</w:t>
      </w:r>
    </w:p>
    <w:p w14:paraId="7A4467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госиспытания в НИИ ВВС поступило 2 самолета № 3/511 и 4/511. Испытания начаты 30 ноября 1940 года.</w:t>
      </w:r>
    </w:p>
    <w:p w14:paraId="2D4168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проведено 51 полет общей продолжительностью 22 час. 30 мин. Из них:</w:t>
      </w:r>
    </w:p>
    <w:p w14:paraId="414F88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снятие летных характеристик – 2 полета – 1 декабря и 14 декабря 1940 года</w:t>
      </w:r>
    </w:p>
    <w:p w14:paraId="234194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пикирование – 2 полета - 14 декабря и 17 декабря 1940 года</w:t>
      </w:r>
    </w:p>
    <w:p w14:paraId="25E0FD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остальные полеты проводились на малых высотах до 400 метров ввиду отсутствия высоты.</w:t>
      </w:r>
    </w:p>
    <w:p w14:paraId="435E25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проверено и отработано полностью на земле и в воздухе вооружение стрелковое и бомбардировочное, а также спецоборудование. Проверены летные качества самолета рядом летчиков НИИ ВВС и летной инспекции ГУ ВВС. Полученные летные данные и характеристики пикирования ориентировочные и будут уточнены после дальнейших испытательных полетов.</w:t>
      </w:r>
    </w:p>
    <w:p w14:paraId="0DD1A4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самолета у земли получена – 415 км/час</w:t>
      </w:r>
    </w:p>
    <w:p w14:paraId="3EA085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границе высотности 5000 м – 473 км/час (ориентировочно)</w:t>
      </w:r>
    </w:p>
    <w:p w14:paraId="2F394E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пикировании с выпущенными тормозными решетками получена установившаяся скорость 470 км/час на угле 40 градусов, при угле 60 градусов пикирование по прямой было в течение 10 секунд и скорость на выходе 460 км/час.</w:t>
      </w:r>
    </w:p>
    <w:p w14:paraId="447A071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своим летным качествам самолет мало отличается от серийных СБ, управление самолетом легкое, что позволяет летному составу в частях ВВС быстро освоить машину.</w:t>
      </w:r>
    </w:p>
    <w:p w14:paraId="186EF4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Основными недостатками самолета являются:</w:t>
      </w:r>
    </w:p>
    <w:p w14:paraId="739DB8A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Отсутствие продольной устойчивости, ввиду задней центровки у самолета (30% САХ).</w:t>
      </w:r>
    </w:p>
    <w:p w14:paraId="04C1EAB6"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Водомаслосистема совершенно не обеспечивает нормальную эксплуатацию при низкой температуре наружного воздуха (текут водомасляные радиаторы).</w:t>
      </w:r>
    </w:p>
    <w:p w14:paraId="1E560E54"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Фонарь летчика не открывается в полете (в настоящее время фонари изменяются).</w:t>
      </w:r>
    </w:p>
    <w:p w14:paraId="6670678F"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Недоработана наружная подвеска бомб.</w:t>
      </w:r>
    </w:p>
    <w:p w14:paraId="0141B7E3"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доведена задняя стрелковая точка «ТСС-1».</w:t>
      </w:r>
    </w:p>
    <w:p w14:paraId="513838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Основная задержка в испытаниях помимо отсутствия высотной погоды была из-за выхода из строя водомаслорадиаторов и из-за выявившейся невозможности открытия фонаря летчика в воздухе. Эти дефекты и на сегодня еще полностью не устранены.</w:t>
      </w:r>
    </w:p>
    <w:p w14:paraId="74D330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еще в процессе госиспытаний сделать следующее:</w:t>
      </w:r>
    </w:p>
    <w:p w14:paraId="64E6E2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полета на снятие летных характеристик;</w:t>
      </w:r>
    </w:p>
    <w:p w14:paraId="08978C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полета на пикирование (без бомб и с бомбами);</w:t>
      </w:r>
    </w:p>
    <w:p w14:paraId="3908C0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полета на устойчивость;</w:t>
      </w:r>
    </w:p>
    <w:p w14:paraId="1FD901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полет на дальность.</w:t>
      </w:r>
    </w:p>
    <w:p w14:paraId="6317246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М-105.</w:t>
      </w:r>
    </w:p>
    <w:p w14:paraId="09DC83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испытание на прочность на самолете СБ.</w:t>
      </w:r>
    </w:p>
    <w:p w14:paraId="6BB7FC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начались 24 декабря 1940 года по программе испытаний требуется налет 50 часов.</w:t>
      </w:r>
    </w:p>
    <w:p w14:paraId="0C521B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Фактически налет на 28 декабря 1940 года – 2 час. 50 мин.</w:t>
      </w:r>
    </w:p>
    <w:p w14:paraId="44F5A6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Данные этих полетов хорошие. Испытания продолжаются на номинальном режиме мотора на высотах 2000-4000 м.</w:t>
      </w:r>
    </w:p>
    <w:p w14:paraId="1EF54B1E"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М-35А.</w:t>
      </w:r>
    </w:p>
    <w:p w14:paraId="434F82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специальные летные испытания на двух самолетах И-200 на исследование мотора на приемистость. Испытания начались 28 декабря 1940 года. Идет подготовка матчасти, инструктаж летного состава. Были случаи отказа моторов (отсутствие приемистости), была вынужденная посадка самолета (летчик Супрун). Полеты приостановлены.</w:t>
      </w:r>
    </w:p>
    <w:p w14:paraId="5C5DE34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ДБ-601.</w:t>
      </w:r>
    </w:p>
    <w:p w14:paraId="18E53B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обкатку на станке с целью устранения следов коррозии. Из 11 моторов обкатано 4 мотора с хорошими результатами. Обкатка остальных моторов продолжается. Срок окончания 1 февраля 1941 года.</w:t>
      </w:r>
    </w:p>
    <w:p w14:paraId="2D2EC1E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М-88 Б.</w:t>
      </w:r>
    </w:p>
    <w:p w14:paraId="75D25A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специальные летные испытания на заводе № 39. Проводится подготовка самолета и оборудования мотора. В январе в НИИ начнутся испытания.</w:t>
      </w:r>
    </w:p>
    <w:p w14:paraId="21E392FD"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М-87 А.</w:t>
      </w:r>
    </w:p>
    <w:p w14:paraId="328ABE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войсковые испытания на самолете ДБ-3Ф в 51 и 11 полку. Проведен инструктаж летчиков. Проведены пробные полеты. По программе налет на каждый самолет должен быть 25 часов, на 28 декабря налет в 51 полку на 18 самолетах по 5 часов на самолет, в 11 полку на 5 самолетах по 6 часов на самолет. Результаты полетов хорошие. Задержки в испытании – отсутствует топливо Б-70.</w:t>
      </w:r>
    </w:p>
    <w:p w14:paraId="0FC52A4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М-105.</w:t>
      </w:r>
    </w:p>
    <w:p w14:paraId="19F41E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Проходит войсковые испытания на самолете СБ в г. Калинин. Испытания начались 22 декабря. Проводится подготовка материальной части к испытаниям.</w:t>
      </w:r>
    </w:p>
    <w:p w14:paraId="454297CC"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 М-63.</w:t>
      </w:r>
    </w:p>
    <w:p w14:paraId="26C646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И-16 проходят войсковые испытания с новой втулкой главного шатуна. На 9 самолетах общий налет 81 час. Выполнено: пикирований 692 и фигур 3100. На одном моторе на 58 часу работы разрушилась втулка главного шатуна. На остальных моторах испытания продолжаются.</w:t>
      </w:r>
    </w:p>
    <w:p w14:paraId="1F912A7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ВЭМ 63 на самолете И-153.</w:t>
      </w:r>
    </w:p>
    <w:p w14:paraId="1F1701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декабря № 1 винт прибыл в НИИ для прохождения летных испытаний, которые начнутся 28 декабря 1940 года.</w:t>
      </w:r>
    </w:p>
    <w:p w14:paraId="50923589"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ВЭМ-63 на моторе М-62.</w:t>
      </w:r>
    </w:p>
    <w:p w14:paraId="141CA2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Вследствие некондиционности ряда деталей для проверки их винт проходит предварительно 20 часовые испытания на станке. 28 декабря испытания будут закончены. После чего винт поступит на 100-часовые испытания.</w:t>
      </w:r>
    </w:p>
    <w:p w14:paraId="29970C58"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VDM на МИГ-200</w:t>
      </w:r>
    </w:p>
    <w:p w14:paraId="22C165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 28 27 декабря 1940 года детали винта подогнаны и собраны для прохождения испытаний 20 часовых на заводе № 24. Завод эти испытания берется провести только после 1 января 1941 года.</w:t>
      </w:r>
    </w:p>
    <w:p w14:paraId="705A48A5"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VDM на ЯК-3.</w:t>
      </w:r>
    </w:p>
    <w:p w14:paraId="52A1D4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 22 проходит 20-часовые испытания на станке. На 28 декабря 1940 года винт наработал 8 часов. Испытание предполагается закончить 28 декабря 1940 года.</w:t>
      </w:r>
    </w:p>
    <w:p w14:paraId="25510F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испытания винта в воздухе на самолете, завод № 301 должен выделить самолет и изготовить кок для винта. На сегодняшний день этого не сделано, так как завод ждет специального приказа из Наркомата.</w:t>
      </w:r>
    </w:p>
    <w:p w14:paraId="31CC895A"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ВРШ-105.</w:t>
      </w:r>
    </w:p>
    <w:p w14:paraId="0EBE12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самолете И-26 М-105 проходит совместные испытания с заводом № 28 на подбор противовесов. По программе проведен 1 полет. Результаты удовлетворительные. В настоящее время самолет находится в ремонте (7713, 360-368).</w:t>
      </w:r>
    </w:p>
    <w:p w14:paraId="2CC8F8B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4FB323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Протокол № 24. Решения ПБ за 14 декабря 1940 г. - 2 января 1941 г.</w:t>
      </w:r>
    </w:p>
    <w:p w14:paraId="23C253B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15.12.40 г.</w:t>
      </w:r>
    </w:p>
    <w:p w14:paraId="7112E80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3 О серийном выпуске моторов на заводе № 27*.</w:t>
      </w:r>
    </w:p>
    <w:p w14:paraId="7D5D209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4. Об организации завода по производству средств вооружения для боевых самолетов в Днепропетровске (постановление СНК СССР и ЦК ВКП (б))*.</w:t>
      </w:r>
    </w:p>
    <w:p w14:paraId="78B9752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5. Об обеспечении производства авиамоторов и самолетов на заводах №№ 452 и 265 Наркомавиапрома*.</w:t>
      </w:r>
    </w:p>
    <w:p w14:paraId="7DD09A6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 Об обеспечении производства самолетов на заводе № 450 и работы стройтрестов № 8 и № 26 (постановление СНК СССР и ЦК ВКП (б))*.</w:t>
      </w:r>
    </w:p>
    <w:p w14:paraId="46C0730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8. Об обеспечении завода № 26 агрегатами для опытного мотора М-107П (постановление СНК СССР и ЦК ВКП (б))*.</w:t>
      </w:r>
    </w:p>
    <w:p w14:paraId="6008C48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 Об обеспечении бронекорпусами самолетов Ил-2 (постановление СНК СССР и ЦК ВКП (б))*.</w:t>
      </w:r>
    </w:p>
    <w:p w14:paraId="4B676C3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20. 12. 40 г.</w:t>
      </w:r>
    </w:p>
    <w:p w14:paraId="59AF74A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108. О выпуске самолетов на заводе № 39 НКАП (постановление СНК СССР и ЦК ВКП (б))*.</w:t>
      </w:r>
    </w:p>
    <w:p w14:paraId="3B1A785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109. О строительстве в БССР завода синтетического бензина из торфа (постановление СНК СССР и ЦК ВКП (б)).</w:t>
      </w:r>
    </w:p>
    <w:p w14:paraId="018692D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111. Вопрос ГАУ Красной Армии и НКВ. О принятии на вооружение КА пистолета-пулемета Шпагина*.</w:t>
      </w:r>
    </w:p>
    <w:p w14:paraId="22BD278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21.12.40 г.</w:t>
      </w:r>
    </w:p>
    <w:p w14:paraId="4DA1B6C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132. О Таганрогском заводе № 31 НКАП. Об использовании мощностей завода для выпуска боевых самолетов*.</w:t>
      </w:r>
    </w:p>
    <w:p w14:paraId="4FED4AF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26. 12.40 г</w:t>
      </w:r>
      <w:r w:rsidRPr="00A3026E">
        <w:rPr>
          <w:rFonts w:ascii="Times New Roman" w:hAnsi="Times New Roman"/>
          <w:color w:val="000000" w:themeColor="text1"/>
          <w:sz w:val="16"/>
          <w:szCs w:val="16"/>
        </w:rPr>
        <w:t>.</w:t>
      </w:r>
    </w:p>
    <w:p w14:paraId="5D60D78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162. О заводе № 22 НКАП. Программа выпуска самолетов Пе-2 (постановление СНК СССРиЦКВКП(б))*.</w:t>
      </w:r>
    </w:p>
    <w:p w14:paraId="6738C63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28. 12.40 г.</w:t>
      </w:r>
    </w:p>
    <w:p w14:paraId="0819B92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176. О выпуске моторов АМ-38 на заводе № 24 (постановление СНК СССР и ЦК ВКП (б))*.</w:t>
      </w:r>
    </w:p>
    <w:p w14:paraId="5DDFC57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u w:val="single"/>
        </w:rPr>
      </w:pPr>
      <w:r w:rsidRPr="00A3026E">
        <w:rPr>
          <w:rFonts w:ascii="Times New Roman" w:hAnsi="Times New Roman"/>
          <w:color w:val="000000" w:themeColor="text1"/>
          <w:sz w:val="16"/>
          <w:szCs w:val="16"/>
          <w:u w:val="single"/>
        </w:rPr>
        <w:t xml:space="preserve">29.12.40 г. </w:t>
      </w:r>
    </w:p>
    <w:p w14:paraId="6CA7FD1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230. Вопрос КО. О постройке трех истребителей ВИ-1* (11773).</w:t>
      </w:r>
    </w:p>
    <w:p w14:paraId="03A61DED" w14:textId="77777777" w:rsidR="0014077F" w:rsidRPr="00A3026E" w:rsidRDefault="0014077F" w:rsidP="00A3026E">
      <w:pPr>
        <w:shd w:val="clear" w:color="auto" w:fill="FFFFFF"/>
        <w:spacing w:after="0" w:line="240" w:lineRule="auto"/>
        <w:jc w:val="both"/>
        <w:rPr>
          <w:rFonts w:ascii="Times New Roman" w:hAnsi="Times New Roman"/>
          <w:bCs/>
          <w:color w:val="000000" w:themeColor="text1"/>
          <w:sz w:val="16"/>
          <w:szCs w:val="16"/>
        </w:rPr>
      </w:pPr>
    </w:p>
    <w:p w14:paraId="16D6BF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вышел приказ НКАП N 784, присвоивший классы ли НКАП:</w:t>
      </w:r>
    </w:p>
    <w:p w14:paraId="4772DB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кл. (3000 руб. в месяц) Г.Ф.Байдуков, М.М.Громов, А.Н.Екатов, П.Л.Жуков, Калинин, И.Ф.Козлов, В.О.Кочекишин, С.А.Корзинщиков, Б.Н.Кудрин, М.Н.Можаев, Я.Г.Пауль, И.Ф.Петров, П.Я.Федрови, А.Б.Юмашев</w:t>
      </w:r>
    </w:p>
    <w:p w14:paraId="1C57D5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кл. (2500 руб. в месяц) А.Д.Алексеев (22), Л.М.Максимов (207), В.В.Шевченко (ОКБ 30), Г.М.Шиянов (ЦАГИ), Юнгмайстер (21), П.И.Фогейн;</w:t>
      </w:r>
    </w:p>
    <w:p w14:paraId="709D32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кл. (2000 руб. в месяц) И.П.Ивашенко (24), К.К.Коккинаки (1), Г.А.Мищенко (21), Б.Г.Уляхин (81), Н.К.Федоров (39), В.П.Федоров (289), Н.П.Баулин (1), М.П.Галлай (ЦАГИ), А.Н.Гринчик (ЦАГИ), А.В.Давыдов (1), А.Б.Давыдов, Н.В.Гаврилов (ЦАГИ), Н.Л.Тихомиров (39);</w:t>
      </w:r>
    </w:p>
    <w:p w14:paraId="59B387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кл. (1750 руб. в месяц) А.Н.Грацианский (22), А.П.Деев (135), И.П.Ермащенко (1), Н.И.Лаухин (22), Шелест (1), Н.П.Кривошеин (301);</w:t>
      </w:r>
    </w:p>
    <w:p w14:paraId="57517C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кл. (1500 руб. в месяц) Зосим (ЦАГИ), С.Г.Петухов (МАИ),</w:t>
      </w:r>
    </w:p>
    <w:p w14:paraId="6C2FA3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вышло постановление СНК и ЦК ВКП(б) N 2683-1241 "О выпуске моторов АМ-38 на заводе N 24", которое получило развитие в приказе НКАП N 758сс от 30 декабря 1940 (417,31).</w:t>
      </w:r>
    </w:p>
    <w:p w14:paraId="7AA797B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A7510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появилась справка N 1251 от нач. бюро изобретений тех. отдела НКАП Горева в секретариат наркома по предложению Гилельса И.В.С. по установке моторов с винтами в трубе (1169).</w:t>
      </w:r>
    </w:p>
    <w:p w14:paraId="4811FB3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4DF1AAF" w14:textId="77777777" w:rsidR="006810F9" w:rsidRPr="00A3026E" w:rsidRDefault="006810F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28-го декабря 1940 года в целях выполнения требований технологии директором завода № 39 Л.П. Соколовым выпускается приказ № 417 «О проверке всех технологических карт, утверждения их и категорическом запрещении изменения технологического процесса без ведома главного технолога и главного металлурга завода, и привлечению к ответственности за нарушение технологической дисциплины» (Отчет о работе завода № 39 им. Менжинского за 1940 год по основной деятельности. Центральный архив ИАЗ, дело № 78, лист 20.). Из подготовленного для Наркомата авиационной промышленности паспорта видно, каким был завод, вступая в трагический для страны 1941 год (Паспорт завода № 39 по состоянию на 1.1.1941 года. Центральный архив ИАЗ, дело 901). Завод по–прежнему находился в стадии реконструкции, в связи с переходом от опытного производства самолетов к серийному. Территория завода занимала 26,70 га, из них 20,5 приходилось на промплощадку и 6,65 – на аэродром. Отмечается некоторый ее прирост за счет площадей, переданных заводу ВВС РККА для постройки нового сборочного цеха. Производственные помещения размещались на 66651 квадратных метрах. Парк станочного оборудования включал 1508 единиц, из них 1042 - металлорежущего, 107 - кузнечно-прессового. С начала организации на заводе в 1937 году серийного производства, парк станков увеличился более чем вдвое. К основным цехам относились слесарно-сварочный № 1, механический № 2, бако-капотный № 3, оперения № 4, фюзеляжный № 5, заготовительно-дюралевый № 7, кузнечный № 8, малярный № 9, нормалей № 10, антикоррозийных покрытий № 11, термический № 12, механический (крупный) № 13, штамповочный № 14, деревообделочный № 16, крыльевой № 71, окончательной сборки № 75, аэродромный № 76. Во вспомогательные входили инструментальный, сборочных приспособлений и ремонтно-механический цехи, плазово-шаблонная и макетная мастерские, цехи энергохозяйства и теплоснабжения, транспорта и другие. Здесь же была мастерская отдела изобретений. К вспомогательному отнесен и цех № 80 опытного производства ОКБ Главного конструктора С.В. Ильюшина. Производственные, в основном, одноэтажные корпуса </w:t>
      </w:r>
      <w:r w:rsidRPr="00A3026E">
        <w:rPr>
          <w:rFonts w:ascii="Times New Roman" w:hAnsi="Times New Roman"/>
          <w:color w:val="000000" w:themeColor="text1"/>
          <w:sz w:val="16"/>
          <w:szCs w:val="16"/>
        </w:rPr>
        <w:lastRenderedPageBreak/>
        <w:t>были построены из кирпича и железобетона, но немало было и деревянных построек барачного типа, часть которых сохранилась еще от Военного Центрального парка–склада. После сооружения вблизи завода станции метро «Динамо», заводчане оставили для своих нужд несколько построек «Метростроя». На территории завода примыкающей к аэродрому располагались корпуса крыльевого, фюзеляжного и сборочного цехов. Соединенные конвейерным коридором, эти цехи образовывали агрегатно-сборочный комплекс. К сборочному корпусу было пристроено трехэтажное здание заводоуправления. Неподалеку находились также трехэтажное здание ОКБ С.В. Ильюшина и корпус опытного производства. Остальные производственные сооружения завода, кроме принадлежащих аэродромным службам, протянулись в сторону Боткинского проезда ближе к Ленинградскому шоссе. Партком завода, а также цехи оперения, нормалей и ширпотреба, находились в Красноармейском переулке. Упомянутые выше деревянные бараки относились к категории временных построек и занимали 11,4% от общего количества площадей. В них преимущественно размещались различные склады: ОГМ, строительных и сыпучих материалов, резины, макетов, нормалей, комплектующих изделий, канцтоваров. В бараках находились АХО завода, пожарное депо, пристрелочный тир, участок регенерации масел, контора УКСа, пошивочная мастерская, учебный комбинат, библиотека, амбулатория, клуб и проходные завода. Часть этих временных построек, выходящих на Ленинградское шоссе, подлежали сносу в связи с предстоящей в 1941 году реконструкцией этой оживленной московской магистрали. В 1941 году планировалось возведение новых корпусов: сборочного площадью 11000 квадратных метров, административного - 8800 квадратных метров, вспомогательных цехов - 7500 квадратных метров, а также нескольких вспомогательных пристроек к механическому корпусу. Количество работающих на заводе составляло 10792 человека, из них рабочих - 8038 (4166 - производственных, из них 1499 – женщины), ИТР - 1954, из них 275 дипломированных инженеров. Начиная с 1938 года, завод периодически переходил на трехсменную работу. В опытном производстве ОКБ С.В. Ильюшина трудилось около 800 человек, в том числе рабочих 478, ИТР - 214, служащих 104, других 13. В паспорте отмечается, что «и жилфондом и соцкультбытовыми учреждениями завод крайне беден» Благоустроенные многоэтажные жилые дома заводчан находились на Ленинградском шоссе (№ 11, 76, 78-88, 92-96). Несколько рубленных деревянных домов располагались по улице Красноармейской. Восемь шлакобетонных двухэтажных принадлежащих заводу домов, находились в Ново-Коптево. Остальной жилой фонд представлял собой бараки, разбросанные по всей Москве: в Хорошево, Боткинском и Петровско-Разумовском проездах, Стрельне, Коптевском поселке. Проживали заводчане и на Фоминской базе отдыха. Там же был пионерский лагерь. Завод имел два детских сада (№ 18 в 1-м Красноармейском переулке и № 2 в Стрельническом), а так же круглосуточные ясли. Клуб завода на 550 мест и амбулатория также размещались в бараках (15223).</w:t>
      </w:r>
    </w:p>
    <w:p w14:paraId="2E0FA423" w14:textId="77777777" w:rsidR="006810F9" w:rsidRPr="00A3026E" w:rsidRDefault="006810F9" w:rsidP="00A3026E">
      <w:pPr>
        <w:shd w:val="clear" w:color="auto" w:fill="FFFFFF"/>
        <w:spacing w:after="0" w:line="240" w:lineRule="auto"/>
        <w:jc w:val="both"/>
        <w:rPr>
          <w:rFonts w:ascii="Times New Roman" w:hAnsi="Times New Roman"/>
          <w:color w:val="000000" w:themeColor="text1"/>
          <w:sz w:val="16"/>
          <w:szCs w:val="16"/>
        </w:rPr>
      </w:pPr>
    </w:p>
    <w:p w14:paraId="2918903C"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E620625"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019283B3"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г. в Харькове на заводе № 183 на техническом совещании под председательством директора завода № 183 Ю.Е. Максарева исполняющий обязанности главного конструктора завода А.А. Морозов представил на согласование разработанные в КБ-520 чертежи броневых деталей корпуса и башни модернизированного танка Т-34. Кроме Ю.Е. Максарева и А.А. Морозова в работе совещания приняли участие: от завода № 183 – главный инженер С.Н. Махонин; от Мариупольского завода им. Ильича – главный инженер В.С. Ниценко, главный технолог Н.М. Ходос и технолог по броневому литью И.И. Брагин; от Главспецмаша НКСМ – ведущий инженер Н.И. Масальская; от ГАБТУ КА – районные инженеры Д.М. Козырев и Г.Э. Зухер, а также подполковник И.Г. Панов. </w:t>
      </w:r>
    </w:p>
    <w:p w14:paraId="6CD31DBA"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согласование было предъявлено два варианта расширенной двухместной башни, спроектированной без изменения диаметра шариковой опоры. В первом варианте башня имела местные уширения в зоне размещения командира танка и заряжающего, при этом угол наклона бортовых листов от вертикали в местах уширения составлял всего 10°. Над рабочим местом командира танка на крыше башни была установлена командирская башенка с круговым обзором. Конструкция носовой части башни по сравнению с серийной башней танка Т-34 осталась без изменений. В виду значительного усложнения конфигурации бортовых листов, требовавших при изготовлении сложной штамповки и трудноосуществимой правки, предложенная конструкцию башни с местным уширением была признана непригодной для серийного производства. Кроме этого в </w:t>
      </w:r>
      <w:hyperlink r:id="rId173" w:tgtFrame="_blank" w:history="1">
        <w:r w:rsidRPr="00A3026E">
          <w:rPr>
            <w:rStyle w:val="a5"/>
            <w:rFonts w:ascii="Times New Roman" w:hAnsi="Times New Roman"/>
            <w:color w:val="000000" w:themeColor="text1"/>
            <w:sz w:val="16"/>
            <w:szCs w:val="16"/>
          </w:rPr>
          <w:t>протоколе совещания</w:t>
        </w:r>
      </w:hyperlink>
      <w:r w:rsidRPr="00A3026E">
        <w:rPr>
          <w:rFonts w:ascii="Times New Roman" w:hAnsi="Times New Roman"/>
          <w:color w:val="000000" w:themeColor="text1"/>
          <w:sz w:val="16"/>
          <w:szCs w:val="16"/>
        </w:rPr>
        <w:t> было отмечено, что: </w:t>
      </w:r>
    </w:p>
    <w:p w14:paraId="7A284F25"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«Входящие углы, образуемые выштамповкой, и изменение угла наклона бортовых листов снижают снарядостойкость самой башни. Уменьшение по размеру люка-лаза затрудняет посадку экипажа. Носовая часть башни, оставленная без изменения, сохраняет неудобства пользования приборами наводки и прицеливания. Основной вопрос – удобства работы при данном конструктивном оформлении – не решается в положительном смысле, т.к. имеющийся узкий проход между гильзоулавливателем и погоном сохраняется».</w:t>
      </w:r>
    </w:p>
    <w:p w14:paraId="77713D71"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41. Л. 54]</w:t>
      </w:r>
    </w:p>
    <w:p w14:paraId="4E4F13C2"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втором из предъявленных вариантов башня отличалась от башни первого варианта только изгибом бортовых листов, и имела те же недостатки – пониженную относительно серийной башни танка Т-34 противоснарядную стойкость, сложность изготовления, и не улучшала условий работы командира и заряжающего. </w:t>
      </w:r>
    </w:p>
    <w:p w14:paraId="4AB5CF1F"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серийного производства башен по любому из предъявленных вариантов потребовалась бы разработка новых технологических процессов и оснащение цехов новым инструментом, приспособлениями и штампами. При этом подготовка и освоение серийного производства заняли бы не менее 2 – 3 месяцев. В результате обсуждения проектов расширенной башни участниками совещания было принято следующее решение: </w:t>
      </w:r>
    </w:p>
    <w:p w14:paraId="3BD7A357"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указанные варианты башен для серийного производства рекомендованы быть не могут. Другими вариантами расширения башни без расширения погона, удобного размещения экипажа и нормальных условий для ведения огня достичь не удастся».</w:t>
      </w:r>
    </w:p>
    <w:p w14:paraId="5AA21A98"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41. Л. 55]</w:t>
      </w:r>
    </w:p>
    <w:p w14:paraId="17E318D4"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Затем на совещании были рассмотрены чертежи броневых деталей корпуса танка Т-34, измененных в соответствии с Постановлением Комитета обороны № 428сс. Внесенные изменения, прежде всего, касались усиления днища корпуса танка и снижения массы машины. </w:t>
      </w:r>
    </w:p>
    <w:p w14:paraId="7E3C4E29"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Напомним, что согласно Постановлению Комитета обороны № 428сс масса модернизированного танка Т-34 не должна была превышать 26 тонн, масса же серийно выпускавшихся в декабре 1940 г. танков Т-34 составляла около 27 тонн. Как следует из </w:t>
      </w:r>
      <w:hyperlink r:id="rId174" w:tgtFrame="_blank" w:history="1">
        <w:r w:rsidRPr="00A3026E">
          <w:rPr>
            <w:rStyle w:val="a5"/>
            <w:rFonts w:ascii="Times New Roman" w:hAnsi="Times New Roman"/>
            <w:color w:val="000000" w:themeColor="text1"/>
            <w:sz w:val="16"/>
            <w:szCs w:val="16"/>
          </w:rPr>
          <w:t>справки</w:t>
        </w:r>
      </w:hyperlink>
      <w:r w:rsidRPr="00A3026E">
        <w:rPr>
          <w:rFonts w:ascii="Times New Roman" w:hAnsi="Times New Roman"/>
          <w:color w:val="000000" w:themeColor="text1"/>
          <w:sz w:val="16"/>
          <w:szCs w:val="16"/>
        </w:rPr>
        <w:t>, представленной заводом № 183 районному инженеру ГАБТУ КА Д.М. Козыреву, увеличение массы танка с 25600 кг (масса танка А-34) до 27 тонн произошло вследствие многочисленных изменений, вносимых в конструкцию «тридцатьчетверки» на протяжении 1940 г. по требованию ГАБТУ КА. Также на увеличение массы танка Т-34 повлиял ввод в серийное производство в конце 1940 г. литой башни. </w:t>
      </w:r>
    </w:p>
    <w:p w14:paraId="6A8F703B"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вернемся к рассмотрению итогов работы технического совещания, состоявшегося 28 декабря 1940 г. на заводе № 183. Несмотря на внесенные изменения, в общем, разработанная в КБ-520 конструкция корпуса модернизированного танка Т-34 не претерпела принципиальных изменений по сравнению с серийными танками Т-34, за исключением конструкции носовой части. Для уменьшения массы танка конструкторами было предложено отказаться от «разрезного» носового узла, состоявшего из верхнего и нижнего листов и связывавшей их балки. Вместо этого предлагалось вновь вернуться к производству носового узла в виде одной цельноштампованной детали, что позволило бы снизить массу танка на 70 – 80 кг. Однако данное предложение КБ-520 не было принято представителями ГАБТУ КА и Мариупольского завода, так как цельноштампованная носовая деталь имела в месте перегиба пониженную противоснарядную стойкость (относительно серийного «разрезного» носового узла) и, как уже показала практика, была чрезвычайно сложна в производстве. </w:t>
      </w:r>
    </w:p>
    <w:p w14:paraId="1BD172A9"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Отдельно на совещании был рассмотрен эскизный проект носовой части корпуса танка, разработанный КБ-520 под трехместную башню с увеличенным диаметром шариковой опоры. Этот вариант носовой части корпуса также был оформлен в виде одной цельноштампованной детали (без носовой балки), но в отличие от первого варианта имел дополнительный перегиб в верхней части листа, за счет чего крыша корпуса над отделением управления становилась длиннее на 510 мм. Такое конструктивное решение позволяло разместить на крыше корпуса танка (перед башней) два люка для входа и выхода механика-водителя и радиста, отказавшись от люка в лобовом листе, а также сместить сидение механика-водителя вперед на 200 мм и удобно расположить смотровые приборы. Предложенная конструкция получила высокую оценку, но ввиду сложности изготовления цельноштампованной детали вопрос о производстве такого варианта носовой части корпуса остался открытым, что и было зафиксировано в протоколе совещания: </w:t>
      </w:r>
    </w:p>
    <w:p w14:paraId="4D286E19"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«Запроектированный перегиб носового листа корпуса в верхней его части удачно разрешает вопрос повышения жесткости и снарядостойкости лобовой части танка и должен быть принят на производство, так как разрез листа в этом месте повлечет к понижению снарядостойкости столь ответственного места и повышению веса. </w:t>
      </w:r>
    </w:p>
    <w:p w14:paraId="23149179"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заявлению представителя завода Ильича – Главного Инженера т. Ниценко, перегиб носа в этом месте возможен, но представляет трудности и может быть изготовлен только с использованием судового пресса, что затрагивает снижение программы по судовой броне и может быть использован только с разрешения НКСП».</w:t>
      </w:r>
    </w:p>
    <w:p w14:paraId="671D8102"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по итогам технического совещания заинтересованные стороны – представители ГАБТУ КА, Главспецмаша НКСМ, руководство заводов № 183 и Мариупольского им. Ильича по ряду вопросов не пришли к единому мнению, и конструкция большого количества броневых деталей не была согласована. Но, тем не менее, всеми участниками совещания было отмечено, что дальнейшие работы по модернизации танка Т-34 в части расширения башни необходимо вести за счет увеличения диаметра ее шариковой опоры и переделки корпуса танка. </w:t>
      </w:r>
    </w:p>
    <w:p w14:paraId="71EB1073"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41. Л. 57] (18306).</w:t>
      </w:r>
    </w:p>
    <w:p w14:paraId="61E30D1A" w14:textId="77777777" w:rsidR="00A82625" w:rsidRPr="00A3026E" w:rsidRDefault="00A82625" w:rsidP="00A3026E">
      <w:pPr>
        <w:spacing w:after="0" w:line="240" w:lineRule="auto"/>
        <w:jc w:val="both"/>
        <w:rPr>
          <w:rFonts w:ascii="Times New Roman" w:hAnsi="Times New Roman"/>
          <w:color w:val="000000" w:themeColor="text1"/>
          <w:sz w:val="16"/>
          <w:szCs w:val="16"/>
        </w:rPr>
      </w:pPr>
    </w:p>
    <w:p w14:paraId="1DA5941A" w14:textId="77777777" w:rsidR="00A33124" w:rsidRPr="00A3026E" w:rsidRDefault="00A33124"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28 декабря 1940 года на заводе №183 прошло техническое совещание, посвященное модернизации Т-34. На нем КБ-520 представило 2 варианта расширенной двухместной башней, оба забраковали. В работу утвердили третий, трехместный вариант, с расширением диаметра погона до 1600 мм в свету. Тот самый, что А.А.Морозов предлагал еще за полгода до того. Надо сказать, что у Мариупольского завода им. Ильича, который изготовлял корпуса и башни Т-34, имелся ряд замечаний по принятым решениям. Тем не менее, энергичные действия Панова дали свои результаты. По результатам всех этих активностей сформировался проект более существенной модернизации, чем тот, что утвердили изначально (21265).</w:t>
      </w:r>
    </w:p>
    <w:p w14:paraId="742F701A" w14:textId="77777777" w:rsidR="00A33124" w:rsidRPr="00A3026E" w:rsidRDefault="00A33124" w:rsidP="00A3026E">
      <w:pPr>
        <w:pStyle w:val="article-renderblock"/>
        <w:shd w:val="clear" w:color="auto" w:fill="FFFFFF"/>
        <w:spacing w:before="0" w:beforeAutospacing="0" w:after="0" w:afterAutospacing="0"/>
        <w:jc w:val="both"/>
        <w:rPr>
          <w:color w:val="0070C0"/>
          <w:sz w:val="16"/>
          <w:szCs w:val="16"/>
        </w:rPr>
      </w:pPr>
    </w:p>
    <w:p w14:paraId="5E7A8C10"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28 декабря 1940 г. по итогам проведенной ревизии народным комиссаром государственного контроля СССР Л.З. Мехлисом был издан приказ № 189с, согласно которому на директора и главного инженера завода № 183 были наложены дисциплинарные взыскания, а лица, непосредственно виновные в финансовых злоупотреблениях привлечены к судебной ответственности: </w:t>
      </w:r>
    </w:p>
    <w:p w14:paraId="1E5C380D"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Директору завода № 183 Наркомсредмаша МАКСАРЕВУ Ю.Е. за срыв выполнения плана производства и поставки танков Т-34 и допущение антигосударственной практики в расходовании денежных средств и материальных ценностей – ОБЪЯВЛЯЮ СТРОГИЙ ВЫГОВОР. </w:t>
      </w:r>
    </w:p>
    <w:p w14:paraId="52DF1653"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Главному Инженеру завода № 183 Наркомсредмашу МАХОНИНУ С.Н. за допущение срыва подготовки производства танков Т-34 и нарушения технологии производства этих танков – ОБЪЯВЛЯЮ СТРОГИЙ ВЫГОВОР. </w:t>
      </w:r>
    </w:p>
    <w:p w14:paraId="5368528E"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Предупреждаю МАКСАРЕВА Ю.Е. и МАХОНИНА С.Н., что они будут отстранены от занимаемой должности и привлечены к судебной ответственности, если не примут мер к выполнению плана поставки танков Т-34, наведению порядка в технологическом процессе производства этих танков и прекращению антигосударственной практики в расходовании денежных средств и материальных ценностей. </w:t>
      </w:r>
    </w:p>
    <w:p w14:paraId="6433FAB5"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Главного бухгалтера завода № 183 Наркомсредмаша КАЧКОВА А.С. за допущение нарушений финансовой дисциплины и произвол в расходовании государственных средств – ОТ ЗАНИМАЕМОЙ ДОЛЖНОСТИ ОТСТРАНЯЮ и ПРИВЛЕКАЮ К СУДЕБНОЙ ОТВЕТСТВЕННОСТИ. </w:t>
      </w:r>
    </w:p>
    <w:p w14:paraId="3925EBE3" w14:textId="77777777" w:rsidR="00A82625" w:rsidRPr="00A3026E" w:rsidRDefault="00A8262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Зам. директора завода № 183 Наркомсредмаша ШУЛЬМАНА И.М. за разбазаривание материальных ценностей и нарушение финансовой дисциплины – ОТ ЗАНИМАЕМОЙ ДОЛЖНОСТИ ОТСТРАНЯЮ и ПРИВЛЕКАЮ К СУДЕБНОЙ ОТВЕТСТВЕННОСТИ» (18533).</w:t>
      </w:r>
    </w:p>
    <w:p w14:paraId="7ED74026" w14:textId="77777777" w:rsidR="00A82625" w:rsidRPr="00A3026E" w:rsidRDefault="00A82625" w:rsidP="00A3026E">
      <w:pPr>
        <w:spacing w:after="0" w:line="240" w:lineRule="auto"/>
        <w:jc w:val="both"/>
        <w:rPr>
          <w:rFonts w:ascii="Times New Roman" w:hAnsi="Times New Roman"/>
          <w:color w:val="000000" w:themeColor="text1"/>
          <w:sz w:val="16"/>
          <w:szCs w:val="16"/>
        </w:rPr>
      </w:pPr>
    </w:p>
    <w:p w14:paraId="22C4E61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года Б. Ванников писал письмо № В-9/4176 председателю СНК Молотову В.М.:</w:t>
      </w:r>
    </w:p>
    <w:p w14:paraId="76BBFC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Экспериментальным НИИ металлорежущих станков «ЭНИМС» и его опытным заводом «Станкоконструкция» созданы: вертикальный 8-ми шпиндельный полуавтомат для сверления стволов винтовок и пулеметов, профильно-шлифовальные полуавтоматы для обработки клинков, группа многошпиндельных агрегатных станков для производства стрелкового оружия и орудийного производства. Мощный горизонтально-протяжный станок для протягивания канала ствола орудий диаметром 76-107 мм.</w:t>
      </w:r>
    </w:p>
    <w:p w14:paraId="24E445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Московским станкостроительным заводом «Красный пролетарий» созданы: станки для сверления, расточки, нарезки и хонингования орудийных стволов (9204).</w:t>
      </w:r>
    </w:p>
    <w:p w14:paraId="6457B58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3DCAC68"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13CEBE84"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7D6F924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Сталин лично добавил несколько слов в пьесу украинского драматурга Александра Корнейчука «В степях Украины» (4962).</w:t>
      </w:r>
    </w:p>
    <w:p w14:paraId="3C4BED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47E473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ещё одним Указом была введена уголовная ответственность учащихся ремесленных, железнодорожных училищ и школ ФЗО за нарушение дисциплины и за самовольный уход из училища (школы) - вплоть до заключения в колонию сроком до года (9492).</w:t>
      </w:r>
    </w:p>
    <w:p w14:paraId="2238103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BD3EF6A" w14:textId="77777777" w:rsidR="0014077F" w:rsidRPr="00A3026E" w:rsidRDefault="001F3559" w:rsidP="00A3026E">
      <w:pPr>
        <w:spacing w:after="0" w:line="240" w:lineRule="auto"/>
        <w:jc w:val="both"/>
        <w:rPr>
          <w:rFonts w:ascii="Times New Roman" w:hAnsi="Times New Roman"/>
          <w:iCs/>
          <w:color w:val="000000" w:themeColor="text1"/>
          <w:sz w:val="16"/>
          <w:szCs w:val="16"/>
          <w:lang w:val="en-US"/>
        </w:rPr>
      </w:pPr>
      <w:r w:rsidRPr="00A3026E">
        <w:rPr>
          <w:rFonts w:ascii="Times New Roman" w:hAnsi="Times New Roman"/>
          <w:i/>
          <w:iCs/>
          <w:color w:val="000000" w:themeColor="text1"/>
          <w:sz w:val="16"/>
          <w:szCs w:val="16"/>
        </w:rPr>
        <w:t>За</w:t>
      </w:r>
      <w:r w:rsidRPr="00A3026E">
        <w:rPr>
          <w:rFonts w:ascii="Times New Roman" w:hAnsi="Times New Roman"/>
          <w:i/>
          <w:iCs/>
          <w:color w:val="000000" w:themeColor="text1"/>
          <w:sz w:val="16"/>
          <w:szCs w:val="16"/>
          <w:lang w:val="en-US"/>
        </w:rPr>
        <w:t xml:space="preserve"> </w:t>
      </w:r>
      <w:r w:rsidRPr="00A3026E">
        <w:rPr>
          <w:rFonts w:ascii="Times New Roman" w:hAnsi="Times New Roman"/>
          <w:i/>
          <w:iCs/>
          <w:color w:val="000000" w:themeColor="text1"/>
          <w:sz w:val="16"/>
          <w:szCs w:val="16"/>
        </w:rPr>
        <w:t>рубежом</w:t>
      </w:r>
      <w:r w:rsidRPr="00A3026E">
        <w:rPr>
          <w:rFonts w:ascii="Times New Roman" w:hAnsi="Times New Roman"/>
          <w:i/>
          <w:iCs/>
          <w:color w:val="000000" w:themeColor="text1"/>
          <w:sz w:val="16"/>
          <w:szCs w:val="16"/>
          <w:lang w:val="en-US"/>
        </w:rPr>
        <w:t>:</w:t>
      </w:r>
    </w:p>
    <w:p w14:paraId="6C94ADFD" w14:textId="77777777" w:rsidR="0014077F" w:rsidRPr="00A3026E" w:rsidRDefault="0014077F" w:rsidP="00A3026E">
      <w:pPr>
        <w:spacing w:after="0" w:line="240" w:lineRule="auto"/>
        <w:jc w:val="both"/>
        <w:rPr>
          <w:rFonts w:ascii="Times New Roman" w:hAnsi="Times New Roman"/>
          <w:iCs/>
          <w:color w:val="000000" w:themeColor="text1"/>
          <w:sz w:val="16"/>
          <w:szCs w:val="16"/>
          <w:lang w:val="en-US"/>
        </w:rPr>
      </w:pPr>
    </w:p>
    <w:p w14:paraId="1EE3C61D"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December 28, 1940: Mussolini asks Hitler for support of the Italian forces bogged-down in their offensive in Albania (3819).</w:t>
      </w:r>
    </w:p>
    <w:p w14:paraId="2333FC1C"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p>
    <w:p w14:paraId="1C5B93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Б.Муссолини запросил А.Г о поддержке итальянских сил, терпящих поражение в Албании (3819).</w:t>
      </w:r>
    </w:p>
    <w:p w14:paraId="0028A52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2553B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декабря 1940 в Италии введена смертная казнь за кражу и спекуляцию продовольствием (4962).</w:t>
      </w:r>
    </w:p>
    <w:p w14:paraId="0AD22E7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3C4DFD8D"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1704CE09"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2E60F1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г. шеф-пилот ОКБ В. К. Коккинаки выполнил первый полет на одноместном самолете Ил-2 с АМ-38 (заводское обозначение ЦКБ-55П), модифицированном самолете ЦКБ-55 № 2 с мотором АМ-38, в конструкции которого были учтены практически все требования и рекомендации Государственной комиссии, проводившей его испытания, а также недостатки, выявленные в ходе испытаний ЦКБ-57-го. Несмотря на все старания ОКБ и заводчан, к 11 января 41-го завершить весь комплекс испытаний новой машины все же не удалось и они продолжались до 22 февраля (9649).</w:t>
      </w:r>
    </w:p>
    <w:p w14:paraId="581DD1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Сначала на машине была установлена пушка МП-б (с магазином на 81 патрон). Первые же стрельбы в воздухе из пушек МП-б показали полную непригодность, разработанной в ОКБ С.В.Ильюшина пушечной установки - выходящая из пушки патронная обойма, попадая при стрельбе в воздушный поток, заклинивалась и стрельба прекращалась. Только после установки на консолях крыла обтекателей, защищающих патронные обоймы от воздушного потока, заклинивание последних при стрельбе в воздухе прекратилось. Большие же по габаритам обтекатели пушек имели и значительную парусность, что сильно ухудшало аэродинамику и маневренность машины. Кроме того, боекомплект из 162 снарядов на обе пушки был признан недостаточным. Требовалась срочная доработка пушки МП-б под звеньевое питание. Пока же на опытный Ил-2 были установлены хорошо отработанные, но менее мощные 20-мм авиапушки ШВАК и с ними к 22 февраля 1941 г. новый штурмовик успешно отлетал программу заводских испытаний.</w:t>
      </w:r>
    </w:p>
    <w:p w14:paraId="0AFE14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сожалению, пушки были установлены на месте внешних пулеметов, что нельзя признать правильным. Дело в том, что установка пушек всего на 43 см дальше от оси, проходящей через центр тяжести самолета, в горизонтальной плоскости и на 10 см в вертикальной, чем это можно было бы обеспечить, установив пушки на месте внутренних пулеметов, примерно в 1,5 раза, как показывают расчеты, снизило их боевую эффективность при стрельбе в воздухе.</w:t>
      </w:r>
    </w:p>
    <w:p w14:paraId="505D99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Снижение эффективности пушек обуславливалось главным образом увеличенной ошибкой прицеливания (более удаленное размещение пушек отлинии прицеливания) иувеличени-ем рассеивания снарядов при стрельбе в воздухе (вибрация крыла в этом случае сказывается на кучности стрельбы более сильно и т.д. ).</w:t>
      </w:r>
    </w:p>
    <w:p w14:paraId="31CE01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Видимо, только нехваткой времени можно объяснить такое, в общем-то, неграмотное техническое решение, принятое в ОКБ С. В. Ильюшина при совершенствовании Ил-2 -установка пушек на месте внешних пулеметов была значительно проще и требовала минимальных доработок в конструкции штурмовика.</w:t>
      </w:r>
    </w:p>
    <w:p w14:paraId="4715A0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вооружение машины было усилено путем установки 8 ракетных орудий для стрельбы реактивными снарядами PC-132 (последние могли заменяться PC-82).</w:t>
      </w:r>
    </w:p>
    <w:p w14:paraId="23B73B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Боекомплект двух крыльевых пулеметов ШКАС остался прежним - 750 патронов на каждый пулемет. Прежней осталась и бомбовая нагрузка -400 кг (в перегрузку 600 кг).</w:t>
      </w:r>
    </w:p>
    <w:p w14:paraId="476BC9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Были сделаны и другие изменения:</w:t>
      </w:r>
    </w:p>
    <w:p w14:paraId="0D2E5C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 целью улучшения обзора вперед-вниз из кабины летчика мотор АМ-38 был опущен вниз на 175 мм, с соответствующим изменением обводов носовой части фюзеляжа, и на 50 мм приподнято сиденье и фонарь пилота;</w:t>
      </w:r>
    </w:p>
    <w:p w14:paraId="46A7CD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для улучшения продольной устойчивости и управляемости самолета на Ил-2, также как и на ЦКБ-57, мотор был выдвинут вперед на 50 мм, увеличены на 5° стреловидность по передней кромке консолей крыла и на 3,1% площадь стабилизатора, и переделана компенсация элеронов;</w:t>
      </w:r>
    </w:p>
    <w:p w14:paraId="2E8716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 новый бронекорпус с усиленным бронированием по результатам полигонных испытаний на обстрел - толщина задней бронестен-ки увеличена до 12 мм, верхние боковые стенки кабины летчика сделаны толщиной 8 мм, вместо б мм, а боковые стенки, прикрывающие нижний бензобак, и боковые вертикальные стенки, защищающие маслобак, сделаны б мм, вместо 5 мм;</w:t>
      </w:r>
    </w:p>
    <w:p w14:paraId="0F72A9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для стрельбы из стрелково-пу-шечного и ракетного вооружения установлен прицел ПБП-16, позволяющий также выполнять бомбометание с бреющего полета;</w:t>
      </w:r>
    </w:p>
    <w:p w14:paraId="3CDBD1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изменено управление бомболю-ками - добавлено пневматическое закрепление замка люка;</w:t>
      </w:r>
    </w:p>
    <w:p w14:paraId="57EE1B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установлены держатели для парашютных ракет КАС-4, поставлен компас КИ-10 и</w:t>
      </w:r>
    </w:p>
    <w:p w14:paraId="64B364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 фотокинопулемет;</w:t>
      </w:r>
    </w:p>
    <w:p w14:paraId="51314A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установлена более мощная бен-зопомпа БНК-10;</w:t>
      </w:r>
    </w:p>
    <w:p w14:paraId="6B02FC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установлены индивидуальные выхлопные патрубки мотора;</w:t>
      </w:r>
    </w:p>
    <w:p w14:paraId="6C8FD8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патрубок, всасывающий воздух, выведен в носок крыла;</w:t>
      </w:r>
    </w:p>
    <w:p w14:paraId="656DD3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на месте кабины воздушного стрелка установлен дополнительный бензобак на 155 кг горючего, в связи с чем общий запас горючего на самолете увеличился до 470 кг.</w:t>
      </w:r>
    </w:p>
    <w:p w14:paraId="4164B2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все время заводских испытаний Ил-2 с АМ-38 шеф-пилотом ОКБ В. К. Коккинаки было выполнено 43 полета и установлено, что летные данные бронированного «Ила» с пушками ШВАК, по сравнению с ЦКБ-57, практически не изменились и остались на приемлемом для боевого применения уровне.</w:t>
      </w:r>
    </w:p>
    <w:p w14:paraId="4F2678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при взлетной массе 5125 кг (вес полезной нагрузки 1245 кг) в полете у земли была достигнута максимальная скорость 422 км/ч, а на высоте 2300 м -446 км/ч.</w:t>
      </w:r>
    </w:p>
    <w:p w14:paraId="11E7AE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этом максимальная дальность полета у земли с нормальной нагрузкой составила 600 км при средней скорости 357 км/ч, а время подъема на высоту 5000 м - 10 минут. Длина разбега - 250 м, а пробега - 260 м при посадочной скорости - 140 км/ч.</w:t>
      </w:r>
    </w:p>
    <w:p w14:paraId="000D97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Увеличение максимальной скорости полета на высоте произошло вследствие большей мощности на этой высоте, развиваемой мотором АМ-38, установленным на Ил-2, по сравнению с АМ-38-м, установленным на ЦКБ-57 (1575л. с., вместо 1500л. с. ),аумень-шение дальности полета опытного штурмовика на крейсерской скорости обуславливалось большей полетной массой самолета и увеличенным удельным расходом топлива у нового мотора.</w:t>
      </w:r>
    </w:p>
    <w:p w14:paraId="2471FF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Управляемость и маневренность штурмовика несколько улучшились, но все равно оставались недостаточными.</w:t>
      </w:r>
    </w:p>
    <w:p w14:paraId="445AF0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Были серьезные претензии к работе винтомоторной группы, связанные в основном с недоведенностью мотора АМ-38 (например, плохая приемистость, из-за плохой регулировки карбюратора) (9649).</w:t>
      </w:r>
    </w:p>
    <w:p w14:paraId="6FD8B88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82C72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г. состоялся первый полет модифицированного самолета-штурмовика ЦКБ-55П (летчик В.К.Коккинаки).</w:t>
      </w:r>
    </w:p>
    <w:p w14:paraId="0C2525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Эталоном для серии должен был стать модифицированный самолет ЦКБ-55 № 2, в конструкции которого учли практически все предъявленные к самолету требования. Для улучшения обзора «вперед-вниз» мотор опустили вниз на 175 мм, соответственно изменили обводы носовой части фюзеляжа и на 50 мм приподняли сиденье и фонарь летчика. Для улучшения обзора назад за головой летчика установили прозрачную броню и короткий прозрачный обтекатель. После этого самолет приобрел столь характерный для него «горбатый» вид. Новый бронекорпус уже имел усиленные по результатам испытаний на обстрел броневые листы. Стрелково-артиллерийское вооружение самолета стало очень мощным: две 23-мм пушки Я.Г.Таубина и М.Н.Бабурина МП-6 (ПТБ-23), два пулемета ШКАС, восемь направляющих для стрельбы реактивными снарядами PC-82 или PC-132. В зависимости от характера боевого задания штурмовик мог брать разнообразные бомбы, весом 250, 100,50,25, 15, 10,2,5 и 1 кг.</w:t>
      </w:r>
    </w:p>
    <w:p w14:paraId="0829FF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артиллерийского вооружения показали, что пушки МП-6 непригодны для эксплуатации на самолете - сила их отдачи при выстрелах более чем в два раза превышала расчетную. МП-6 заменили 20-мм пушками ШВАК, и с ними самолет, еще 9 декабря получивший по приказу НКАП обозначение Ил-2, поступил на госиспытания, начавшиеся 28 февраля 1941 г. (9528).</w:t>
      </w:r>
    </w:p>
    <w:p w14:paraId="4E3D988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C10E7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шеф-пилот ОКБ В.К.Коккинаки выполнил на новой ма</w:t>
      </w:r>
      <w:r w:rsidRPr="00A3026E">
        <w:rPr>
          <w:rFonts w:ascii="Times New Roman" w:hAnsi="Times New Roman"/>
          <w:color w:val="000000" w:themeColor="text1"/>
          <w:sz w:val="16"/>
          <w:szCs w:val="16"/>
        </w:rPr>
        <w:softHyphen/>
        <w:t>шине Ил-2 первый полет и начались заводские испытания, которые прохъодили до 22 февраля 1941. Вооружение машины было усилено путем установки пушек ПТБ-23, 8 ракетных орудий для стрельбы реактивными сна</w:t>
      </w:r>
      <w:r w:rsidRPr="00A3026E">
        <w:rPr>
          <w:rFonts w:ascii="Times New Roman" w:hAnsi="Times New Roman"/>
          <w:color w:val="000000" w:themeColor="text1"/>
          <w:sz w:val="16"/>
          <w:szCs w:val="16"/>
        </w:rPr>
        <w:softHyphen/>
        <w:t>рядами PC-132 (последние могли заме</w:t>
      </w:r>
      <w:r w:rsidRPr="00A3026E">
        <w:rPr>
          <w:rFonts w:ascii="Times New Roman" w:hAnsi="Times New Roman"/>
          <w:color w:val="000000" w:themeColor="text1"/>
          <w:sz w:val="16"/>
          <w:szCs w:val="16"/>
        </w:rPr>
        <w:softHyphen/>
        <w:t>няться PC-82). Боекомплект двух крыльевых пулеметов ШКАС остался пре</w:t>
      </w:r>
      <w:r w:rsidRPr="00A3026E">
        <w:rPr>
          <w:rFonts w:ascii="Times New Roman" w:hAnsi="Times New Roman"/>
          <w:color w:val="000000" w:themeColor="text1"/>
          <w:sz w:val="16"/>
          <w:szCs w:val="16"/>
        </w:rPr>
        <w:softHyphen/>
        <w:t>жним - 750 патронов на каждый пуле</w:t>
      </w:r>
      <w:r w:rsidRPr="00A3026E">
        <w:rPr>
          <w:rFonts w:ascii="Times New Roman" w:hAnsi="Times New Roman"/>
          <w:color w:val="000000" w:themeColor="text1"/>
          <w:sz w:val="16"/>
          <w:szCs w:val="16"/>
        </w:rPr>
        <w:softHyphen/>
        <w:t>мет.. Прежней осталась и бомбовая на</w:t>
      </w:r>
      <w:r w:rsidRPr="00A3026E">
        <w:rPr>
          <w:rFonts w:ascii="Times New Roman" w:hAnsi="Times New Roman"/>
          <w:color w:val="000000" w:themeColor="text1"/>
          <w:sz w:val="16"/>
          <w:szCs w:val="16"/>
        </w:rPr>
        <w:softHyphen/>
        <w:t>грузка - 400 кг (в перегрузку 600 кг). Помимо этого, по сравнению с БШ-2 № 2 с АМ-35, на пушечном Ил-2 с АМ-38 были сделаны следующие изменения:</w:t>
      </w:r>
    </w:p>
    <w:p w14:paraId="1F7CDB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 целью улучшения обзора вперед-вниз из кабины летчика мотор АМ-38 был опущен вниз на 175 мм, с соответ</w:t>
      </w:r>
      <w:r w:rsidRPr="00A3026E">
        <w:rPr>
          <w:rFonts w:ascii="Times New Roman" w:hAnsi="Times New Roman"/>
          <w:color w:val="000000" w:themeColor="text1"/>
          <w:sz w:val="16"/>
          <w:szCs w:val="16"/>
        </w:rPr>
        <w:softHyphen/>
        <w:t>ствующим изменением обводов носовой части фюзеляжа, и на 50 мм приподнято сиденье и фонарь пилота;</w:t>
      </w:r>
    </w:p>
    <w:p w14:paraId="13FEA2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для улучшения продольной устой</w:t>
      </w:r>
      <w:r w:rsidRPr="00A3026E">
        <w:rPr>
          <w:rFonts w:ascii="Times New Roman" w:hAnsi="Times New Roman"/>
          <w:color w:val="000000" w:themeColor="text1"/>
          <w:sz w:val="16"/>
          <w:szCs w:val="16"/>
        </w:rPr>
        <w:softHyphen/>
        <w:t>чивости и управляемости самолета на Ил-2, так же как и на ЦКБ-57, мотор был выдвинут вперед на 50 мм, увеличены на 5</w:t>
      </w:r>
      <w:r w:rsidRPr="00A3026E">
        <w:rPr>
          <w:rFonts w:ascii="Times New Roman" w:hAnsi="Times New Roman"/>
          <w:color w:val="000000" w:themeColor="text1"/>
          <w:sz w:val="16"/>
          <w:szCs w:val="16"/>
          <w:vertAlign w:val="superscript"/>
        </w:rPr>
        <w:t>е</w:t>
      </w:r>
      <w:r w:rsidRPr="00A3026E">
        <w:rPr>
          <w:rFonts w:ascii="Times New Roman" w:hAnsi="Times New Roman"/>
          <w:color w:val="000000" w:themeColor="text1"/>
          <w:sz w:val="16"/>
          <w:szCs w:val="16"/>
        </w:rPr>
        <w:t xml:space="preserve"> стреловидность по передней кромке консолей крыла и на 3,1% площадь ста</w:t>
      </w:r>
      <w:r w:rsidRPr="00A3026E">
        <w:rPr>
          <w:rFonts w:ascii="Times New Roman" w:hAnsi="Times New Roman"/>
          <w:color w:val="000000" w:themeColor="text1"/>
          <w:sz w:val="16"/>
          <w:szCs w:val="16"/>
        </w:rPr>
        <w:softHyphen/>
        <w:t>билизатора, и переделана компенсация элеронов;</w:t>
      </w:r>
    </w:p>
    <w:p w14:paraId="2ABC88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 новый бронекорпус с усиленными, по результатам полигонных испытаний на обстрел, бронированием - толщина задней бронестенки увели</w:t>
      </w:r>
      <w:r w:rsidRPr="00A3026E">
        <w:rPr>
          <w:rFonts w:ascii="Times New Roman" w:hAnsi="Times New Roman"/>
          <w:color w:val="000000" w:themeColor="text1"/>
          <w:sz w:val="16"/>
          <w:szCs w:val="16"/>
        </w:rPr>
        <w:softHyphen/>
        <w:t>чена до 12 мм, верхние боковые стенки кабины летчика сделаны толщиной 8 мм, вместо 6 мм, а боковые стенки, прикры</w:t>
      </w:r>
      <w:r w:rsidRPr="00A3026E">
        <w:rPr>
          <w:rFonts w:ascii="Times New Roman" w:hAnsi="Times New Roman"/>
          <w:color w:val="000000" w:themeColor="text1"/>
          <w:sz w:val="16"/>
          <w:szCs w:val="16"/>
        </w:rPr>
        <w:softHyphen/>
        <w:t>вающие нижний бензобак, и боковые вертикальные стенки, защищающие мас</w:t>
      </w:r>
      <w:r w:rsidRPr="00A3026E">
        <w:rPr>
          <w:rFonts w:ascii="Times New Roman" w:hAnsi="Times New Roman"/>
          <w:color w:val="000000" w:themeColor="text1"/>
          <w:sz w:val="16"/>
          <w:szCs w:val="16"/>
        </w:rPr>
        <w:softHyphen/>
        <w:t>лобак, сделаны 6 мм, вместо 5 мм;</w:t>
      </w:r>
    </w:p>
    <w:p w14:paraId="1DCBB2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для стрельбы из стрелково-пушечного и ракетного вооружения установ</w:t>
      </w:r>
      <w:r w:rsidRPr="00A3026E">
        <w:rPr>
          <w:rFonts w:ascii="Times New Roman" w:hAnsi="Times New Roman"/>
          <w:color w:val="000000" w:themeColor="text1"/>
          <w:sz w:val="16"/>
          <w:szCs w:val="16"/>
        </w:rPr>
        <w:softHyphen/>
        <w:t>лен прицел ПБП-16, позволяющий так</w:t>
      </w:r>
      <w:r w:rsidRPr="00A3026E">
        <w:rPr>
          <w:rFonts w:ascii="Times New Roman" w:hAnsi="Times New Roman"/>
          <w:color w:val="000000" w:themeColor="text1"/>
          <w:sz w:val="16"/>
          <w:szCs w:val="16"/>
        </w:rPr>
        <w:softHyphen/>
        <w:t>же выполнять бомбометание с бреюще</w:t>
      </w:r>
      <w:r w:rsidRPr="00A3026E">
        <w:rPr>
          <w:rFonts w:ascii="Times New Roman" w:hAnsi="Times New Roman"/>
          <w:color w:val="000000" w:themeColor="text1"/>
          <w:sz w:val="16"/>
          <w:szCs w:val="16"/>
        </w:rPr>
        <w:softHyphen/>
        <w:t>го полета;</w:t>
      </w:r>
    </w:p>
    <w:p w14:paraId="2A94EC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изменено управление бомболюками - добавлено пневматическое закреп</w:t>
      </w:r>
      <w:r w:rsidRPr="00A3026E">
        <w:rPr>
          <w:rFonts w:ascii="Times New Roman" w:hAnsi="Times New Roman"/>
          <w:color w:val="000000" w:themeColor="text1"/>
          <w:sz w:val="16"/>
          <w:szCs w:val="16"/>
        </w:rPr>
        <w:softHyphen/>
        <w:t>ление замка люка;</w:t>
      </w:r>
    </w:p>
    <w:p w14:paraId="2E3D18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установлены держатели для пара</w:t>
      </w:r>
      <w:r w:rsidRPr="00A3026E">
        <w:rPr>
          <w:rFonts w:ascii="Times New Roman" w:hAnsi="Times New Roman"/>
          <w:color w:val="000000" w:themeColor="text1"/>
          <w:sz w:val="16"/>
          <w:szCs w:val="16"/>
        </w:rPr>
        <w:softHyphen/>
        <w:t>шютных ракет КАС-4, поставлен компас КИ-10и</w:t>
      </w:r>
    </w:p>
    <w:p w14:paraId="78DE3F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 фотокинопулемет;</w:t>
      </w:r>
    </w:p>
    <w:p w14:paraId="0134E7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установлена более мощная Бензопомпа БНК-10;</w:t>
      </w:r>
    </w:p>
    <w:p w14:paraId="659A94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установлены индивидуальные вых</w:t>
      </w:r>
      <w:r w:rsidRPr="00A3026E">
        <w:rPr>
          <w:rFonts w:ascii="Times New Roman" w:hAnsi="Times New Roman"/>
          <w:color w:val="000000" w:themeColor="text1"/>
          <w:sz w:val="16"/>
          <w:szCs w:val="16"/>
        </w:rPr>
        <w:softHyphen/>
        <w:t>лопные патрубки мотора;</w:t>
      </w:r>
    </w:p>
    <w:p w14:paraId="7650DA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патрубок, всасывающий воздух, вы</w:t>
      </w:r>
      <w:r w:rsidRPr="00A3026E">
        <w:rPr>
          <w:rFonts w:ascii="Times New Roman" w:hAnsi="Times New Roman"/>
          <w:color w:val="000000" w:themeColor="text1"/>
          <w:sz w:val="16"/>
          <w:szCs w:val="16"/>
        </w:rPr>
        <w:softHyphen/>
        <w:t>веден в носок крыла;</w:t>
      </w:r>
    </w:p>
    <w:p w14:paraId="16CF33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на месте кабины воздушного стрел</w:t>
      </w:r>
      <w:r w:rsidRPr="00A3026E">
        <w:rPr>
          <w:rFonts w:ascii="Times New Roman" w:hAnsi="Times New Roman"/>
          <w:color w:val="000000" w:themeColor="text1"/>
          <w:sz w:val="16"/>
          <w:szCs w:val="16"/>
        </w:rPr>
        <w:softHyphen/>
        <w:t>ка установлен дополнительный бензо</w:t>
      </w:r>
      <w:r w:rsidRPr="00A3026E">
        <w:rPr>
          <w:rFonts w:ascii="Times New Roman" w:hAnsi="Times New Roman"/>
          <w:color w:val="000000" w:themeColor="text1"/>
          <w:sz w:val="16"/>
          <w:szCs w:val="16"/>
        </w:rPr>
        <w:softHyphen/>
        <w:t>бак на 155 кг горючего, в связи с чем общий запас горючего на самолете уве</w:t>
      </w:r>
      <w:r w:rsidRPr="00A3026E">
        <w:rPr>
          <w:rFonts w:ascii="Times New Roman" w:hAnsi="Times New Roman"/>
          <w:color w:val="000000" w:themeColor="text1"/>
          <w:sz w:val="16"/>
          <w:szCs w:val="16"/>
        </w:rPr>
        <w:softHyphen/>
        <w:t>личился до 470 кг.</w:t>
      </w:r>
    </w:p>
    <w:p w14:paraId="25F04F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все время заводских испытаний Ил-2 с АМ-38 шеф-пилотом ОКБ В.К.Коккинаки было выполнено 43 по</w:t>
      </w:r>
      <w:r w:rsidRPr="00A3026E">
        <w:rPr>
          <w:rFonts w:ascii="Times New Roman" w:hAnsi="Times New Roman"/>
          <w:color w:val="000000" w:themeColor="text1"/>
          <w:sz w:val="16"/>
          <w:szCs w:val="16"/>
        </w:rPr>
        <w:softHyphen/>
        <w:t>лета и установлено, что летные данные бронированного "Ила" с пушками ШВАК, по сравнению с ЦКБ-57, практически не изменились и остались на приемлемом для боевого применения уровне. Так, при взлетной массе 5125 кг (вес полезной нагрузки 1245 кг) в полете у земли была достигнута максимальная скорость 422 км/ч, а на высоте 2300 м - 446 км/ч. При этом максимальная дальность полета у земли с нормальной нагрузкой соста</w:t>
      </w:r>
      <w:r w:rsidRPr="00A3026E">
        <w:rPr>
          <w:rFonts w:ascii="Times New Roman" w:hAnsi="Times New Roman"/>
          <w:color w:val="000000" w:themeColor="text1"/>
          <w:sz w:val="16"/>
          <w:szCs w:val="16"/>
        </w:rPr>
        <w:softHyphen/>
        <w:t>вила 600 км при средней скорости 357 км/ч, а время подъема на высоту 5000 м - 10 минут. Длина разбега - 250 м, а про</w:t>
      </w:r>
      <w:r w:rsidRPr="00A3026E">
        <w:rPr>
          <w:rFonts w:ascii="Times New Roman" w:hAnsi="Times New Roman"/>
          <w:color w:val="000000" w:themeColor="text1"/>
          <w:sz w:val="16"/>
          <w:szCs w:val="16"/>
        </w:rPr>
        <w:softHyphen/>
        <w:t>бега - 260 м при посадочной скорости -140 км/ч. Увеличение максимальной скорости полета на высоте произошло вследствие большей мощности на этой высоте, раз</w:t>
      </w:r>
      <w:r w:rsidRPr="00A3026E">
        <w:rPr>
          <w:rFonts w:ascii="Times New Roman" w:hAnsi="Times New Roman"/>
          <w:color w:val="000000" w:themeColor="text1"/>
          <w:sz w:val="16"/>
          <w:szCs w:val="16"/>
        </w:rPr>
        <w:softHyphen/>
        <w:t>виваемой мотором АМ-38, установлен</w:t>
      </w:r>
      <w:r w:rsidRPr="00A3026E">
        <w:rPr>
          <w:rFonts w:ascii="Times New Roman" w:hAnsi="Times New Roman"/>
          <w:color w:val="000000" w:themeColor="text1"/>
          <w:sz w:val="16"/>
          <w:szCs w:val="16"/>
        </w:rPr>
        <w:softHyphen/>
        <w:t>ным на Ил-2, по сравнению с АМ-38-м, установленным на ЦКБ-57-м (1575 л.с., вместо 1500 л.с.), а уменьшение дально</w:t>
      </w:r>
      <w:r w:rsidRPr="00A3026E">
        <w:rPr>
          <w:rFonts w:ascii="Times New Roman" w:hAnsi="Times New Roman"/>
          <w:color w:val="000000" w:themeColor="text1"/>
          <w:sz w:val="16"/>
          <w:szCs w:val="16"/>
        </w:rPr>
        <w:softHyphen/>
        <w:t>сти полета опытного штурмовика на крейсерской скорости обуславливалось большей полетной массой самолета и увеличенным удельным расходом топ</w:t>
      </w:r>
      <w:r w:rsidRPr="00A3026E">
        <w:rPr>
          <w:rFonts w:ascii="Times New Roman" w:hAnsi="Times New Roman"/>
          <w:color w:val="000000" w:themeColor="text1"/>
          <w:sz w:val="16"/>
          <w:szCs w:val="16"/>
        </w:rPr>
        <w:softHyphen/>
        <w:t>лива у нового мотора. Управляемость и маневренность штурмовика несколько улучшились, но все равно оставались недостаточными. Были серьезные претензии и к работе винтомоторной группы, связанные в ос</w:t>
      </w:r>
      <w:r w:rsidRPr="00A3026E">
        <w:rPr>
          <w:rFonts w:ascii="Times New Roman" w:hAnsi="Times New Roman"/>
          <w:color w:val="000000" w:themeColor="text1"/>
          <w:sz w:val="16"/>
          <w:szCs w:val="16"/>
        </w:rPr>
        <w:softHyphen/>
        <w:t>новном с недоведенностью мотора АМ-38 (плохая приемистость, плохая регу</w:t>
      </w:r>
      <w:r w:rsidRPr="00A3026E">
        <w:rPr>
          <w:rFonts w:ascii="Times New Roman" w:hAnsi="Times New Roman"/>
          <w:color w:val="000000" w:themeColor="text1"/>
          <w:sz w:val="16"/>
          <w:szCs w:val="16"/>
        </w:rPr>
        <w:softHyphen/>
        <w:t>лировка карбюратора и т.д.) (6467).</w:t>
      </w:r>
    </w:p>
    <w:p w14:paraId="0F32D0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полет эталона Ил-2 был выполнен в Москве (24,252) 29 декабря 1940 и самолету было присвоено наименование ЦКБ-55П (4,260). Машина была с АМ-38 и первый вылет занял 10-12 минут. Летали на ЦА. При посадке, когда нужно было дать газ не забрал мотор (474) (769,4).</w:t>
      </w:r>
    </w:p>
    <w:p w14:paraId="2B850EC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B3F16E5" w14:textId="77777777" w:rsidR="00A33124" w:rsidRPr="00A3026E" w:rsidRDefault="00A33124" w:rsidP="00A3026E">
      <w:pPr>
        <w:pStyle w:val="35"/>
        <w:shd w:val="clear" w:color="auto" w:fill="auto"/>
        <w:spacing w:after="0" w:line="240" w:lineRule="auto"/>
        <w:jc w:val="both"/>
        <w:rPr>
          <w:rFonts w:ascii="Times New Roman" w:cs="Times New Roman"/>
          <w:color w:val="0070C0"/>
          <w:spacing w:val="0"/>
          <w:sz w:val="16"/>
          <w:szCs w:val="16"/>
        </w:rPr>
      </w:pPr>
      <w:r w:rsidRPr="00A3026E">
        <w:rPr>
          <w:rFonts w:ascii="Times New Roman" w:cs="Times New Roman"/>
          <w:color w:val="0070C0"/>
          <w:spacing w:val="0"/>
          <w:sz w:val="16"/>
          <w:szCs w:val="16"/>
        </w:rPr>
        <w:t>29 декабря 1940 начались заводские испытания Ил-2. Стрельбы из ПТБ-23 показали, что их отдача более чем в 2 раза превышает расчетную, и эти пушки пришлось заменить на 20-мм ШВАК. В таком виде штурмовик передали на Госиспытания, которые про</w:t>
      </w:r>
      <w:r w:rsidRPr="00A3026E">
        <w:rPr>
          <w:rFonts w:ascii="Times New Roman" w:cs="Times New Roman"/>
          <w:color w:val="0070C0"/>
          <w:spacing w:val="0"/>
          <w:sz w:val="16"/>
          <w:szCs w:val="16"/>
        </w:rPr>
        <w:softHyphen/>
        <w:t>длились менее месяца и завершились 20 марта 1941 г.</w:t>
      </w:r>
    </w:p>
    <w:p w14:paraId="6E5E3158" w14:textId="77777777" w:rsidR="00A33124" w:rsidRPr="00A3026E" w:rsidRDefault="00A33124" w:rsidP="00A3026E">
      <w:pPr>
        <w:pStyle w:val="35"/>
        <w:shd w:val="clear" w:color="auto" w:fill="auto"/>
        <w:spacing w:after="0" w:line="240" w:lineRule="auto"/>
        <w:jc w:val="both"/>
        <w:rPr>
          <w:rFonts w:ascii="Times New Roman" w:cs="Times New Roman"/>
          <w:color w:val="0070C0"/>
          <w:spacing w:val="0"/>
          <w:sz w:val="16"/>
          <w:szCs w:val="16"/>
        </w:rPr>
      </w:pPr>
      <w:r w:rsidRPr="00A3026E">
        <w:rPr>
          <w:rFonts w:ascii="Times New Roman" w:cs="Times New Roman"/>
          <w:color w:val="0070C0"/>
          <w:spacing w:val="0"/>
          <w:sz w:val="16"/>
          <w:szCs w:val="16"/>
        </w:rPr>
        <w:t>Замечаний снова набралось много, что само по себе было обычным явлением — через это проходил практически каждый самолет. Однако среди недостатков фигурировали совсем уж удручающие, говорившие о минимальном прогрессе в улучшении ряда основных характери</w:t>
      </w:r>
      <w:r w:rsidRPr="00A3026E">
        <w:rPr>
          <w:rFonts w:ascii="Times New Roman" w:cs="Times New Roman"/>
          <w:color w:val="0070C0"/>
          <w:spacing w:val="0"/>
          <w:sz w:val="16"/>
          <w:szCs w:val="16"/>
        </w:rPr>
        <w:softHyphen/>
        <w:t>стик машины. Например, дальность по</w:t>
      </w:r>
      <w:r w:rsidRPr="00A3026E">
        <w:rPr>
          <w:rFonts w:ascii="Times New Roman" w:cs="Times New Roman"/>
          <w:color w:val="0070C0"/>
          <w:spacing w:val="0"/>
          <w:sz w:val="16"/>
          <w:szCs w:val="16"/>
        </w:rPr>
        <w:softHyphen/>
        <w:t>лета с нормальной бомбовой нагрузкой оказалась 638 км, что лишь на 20 км превышало провальный прошлогодний показатель ЦКБ-55. Военные посчита</w:t>
      </w:r>
      <w:r w:rsidRPr="00A3026E">
        <w:rPr>
          <w:rFonts w:ascii="Times New Roman" w:cs="Times New Roman"/>
          <w:color w:val="0070C0"/>
          <w:spacing w:val="0"/>
          <w:sz w:val="16"/>
          <w:szCs w:val="16"/>
        </w:rPr>
        <w:softHyphen/>
        <w:t>ли, что продольная устойчивость при центровке 29,5% САХ осталась не удов</w:t>
      </w:r>
      <w:r w:rsidRPr="00A3026E">
        <w:rPr>
          <w:rFonts w:ascii="Times New Roman" w:cs="Times New Roman"/>
          <w:color w:val="0070C0"/>
          <w:spacing w:val="0"/>
          <w:sz w:val="16"/>
          <w:szCs w:val="16"/>
        </w:rPr>
        <w:softHyphen/>
        <w:t>летворительной (19854).</w:t>
      </w:r>
    </w:p>
    <w:p w14:paraId="2E97FB60" w14:textId="77777777" w:rsidR="00A33124" w:rsidRPr="00A3026E" w:rsidRDefault="00A33124" w:rsidP="00A3026E">
      <w:pPr>
        <w:pStyle w:val="35"/>
        <w:shd w:val="clear" w:color="auto" w:fill="auto"/>
        <w:spacing w:after="0" w:line="240" w:lineRule="auto"/>
        <w:jc w:val="both"/>
        <w:rPr>
          <w:rFonts w:ascii="Times New Roman" w:cs="Times New Roman"/>
          <w:color w:val="0070C0"/>
          <w:spacing w:val="0"/>
          <w:sz w:val="16"/>
          <w:szCs w:val="16"/>
        </w:rPr>
      </w:pPr>
    </w:p>
    <w:p w14:paraId="2A95A2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г. В.К. Коккинаки выполнил первый полет на одноме</w:t>
      </w:r>
      <w:r w:rsidRPr="00A3026E">
        <w:rPr>
          <w:rFonts w:ascii="Times New Roman" w:hAnsi="Times New Roman"/>
          <w:color w:val="000000" w:themeColor="text1"/>
          <w:sz w:val="16"/>
          <w:szCs w:val="16"/>
        </w:rPr>
        <w:softHyphen/>
        <w:t>стном Ил-2 с АМ-38 (ЦКБ-55П) (4140).</w:t>
      </w:r>
    </w:p>
    <w:p w14:paraId="499ABFE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0C165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В.К.К. выполнил первый полет на одноместном ЦКБ-55П с АМ-38 (3846,12).</w:t>
      </w:r>
    </w:p>
    <w:p w14:paraId="265DC6C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69F2C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года Завод 30 получил окончательно утвержденную программу на 1940 год от ПГУ НКАП: самолет БШ-2, тележки шасси к ТБ-3 и др. (9229).</w:t>
      </w:r>
    </w:p>
    <w:p w14:paraId="5386F8B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C002D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г. в НИИ ВВС КА был предъявлен эскизный проект одноместного бронированного штурмовика БШ-МВ с мотором АМ-38, вооруженного подвижной комбинированной стрел-ково-пушечной установкой (9649).</w:t>
      </w:r>
    </w:p>
    <w:p w14:paraId="2DD1964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C7FCD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г. был предъявлен эскизный проект БШ-МВ АМ-38. 25 января 1941 г. были предъявлены дополнительные материалы по этой машине. Заключение по эскизному проекту утвердил 12 марта 1941 г. начальник НИИ ВВС А.И. Филин (2868,17).</w:t>
      </w:r>
    </w:p>
    <w:p w14:paraId="2DED5DE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6393F5E"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29 декабря 1940 г. конструкторы завода № 32 Г. М. Можаровский и И. В. Веневидов — авторы це</w:t>
      </w:r>
      <w:r w:rsidRPr="00A3026E">
        <w:rPr>
          <w:color w:val="000000" w:themeColor="text1"/>
          <w:sz w:val="16"/>
          <w:szCs w:val="16"/>
        </w:rPr>
        <w:softHyphen/>
        <w:t>лого ряда систем вооружения боевых самолетов (стрелковые турели, прицелы, бомбардировочные установки) — предъявили в НИИ ВВС эскизный проект одноместного бронированного штурмови</w:t>
      </w:r>
      <w:r w:rsidRPr="00A3026E">
        <w:rPr>
          <w:color w:val="000000" w:themeColor="text1"/>
          <w:sz w:val="16"/>
          <w:szCs w:val="16"/>
        </w:rPr>
        <w:softHyphen/>
        <w:t>ка БШ-МВ (бронированный штурмовик Можаровского и Веневидова) с мотором АМ-38, вооружен</w:t>
      </w:r>
      <w:r w:rsidRPr="00A3026E">
        <w:rPr>
          <w:color w:val="000000" w:themeColor="text1"/>
          <w:sz w:val="16"/>
          <w:szCs w:val="16"/>
        </w:rPr>
        <w:softHyphen/>
        <w:t>ного подвижной стрелково-пушечной установкой. Дополнительные материалы по машине поступили в институт 25 января 1941 г.</w:t>
      </w:r>
    </w:p>
    <w:p w14:paraId="5D40ACB3"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Бронированный штурмовик БШ-МВ предна</w:t>
      </w:r>
      <w:r w:rsidRPr="00A3026E">
        <w:rPr>
          <w:color w:val="000000" w:themeColor="text1"/>
          <w:sz w:val="16"/>
          <w:szCs w:val="16"/>
        </w:rPr>
        <w:softHyphen/>
        <w:t>значался для штурмовых действий с малых высот в ближайшем тылу противника и в прифронтовой полосе противника.</w:t>
      </w:r>
    </w:p>
    <w:p w14:paraId="152E27AC"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Самолет представлял собой одноместный, од</w:t>
      </w:r>
      <w:r w:rsidRPr="00A3026E">
        <w:rPr>
          <w:color w:val="000000" w:themeColor="text1"/>
          <w:sz w:val="16"/>
          <w:szCs w:val="16"/>
        </w:rPr>
        <w:softHyphen/>
        <w:t>номоторный моноплан двухбалочной схемы с ка</w:t>
      </w:r>
      <w:r w:rsidRPr="00A3026E">
        <w:rPr>
          <w:color w:val="000000" w:themeColor="text1"/>
          <w:sz w:val="16"/>
          <w:szCs w:val="16"/>
        </w:rPr>
        <w:softHyphen/>
        <w:t>биной летчика, мотором АМ-38 и вооружением, размещаемыми в фюзеляже-гондоле, с толкающим винтом, крылом типа «обратной чайки» и убирающимся шасси с но</w:t>
      </w:r>
      <w:r w:rsidRPr="00A3026E">
        <w:rPr>
          <w:color w:val="000000" w:themeColor="text1"/>
          <w:sz w:val="16"/>
          <w:szCs w:val="16"/>
        </w:rPr>
        <w:softHyphen/>
        <w:t>совым колесом.</w:t>
      </w:r>
    </w:p>
    <w:p w14:paraId="26B4A064"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Броней защищались летчик, мотор, бензо- и маслобаки, водо- и маслорадиаторы и все оборудо</w:t>
      </w:r>
      <w:r w:rsidRPr="00A3026E">
        <w:rPr>
          <w:color w:val="000000" w:themeColor="text1"/>
          <w:sz w:val="16"/>
          <w:szCs w:val="16"/>
        </w:rPr>
        <w:softHyphen/>
        <w:t>вание в кабине летчика. Общий вес металлической и прозрачной бро</w:t>
      </w:r>
      <w:r w:rsidRPr="00A3026E">
        <w:rPr>
          <w:color w:val="000000" w:themeColor="text1"/>
          <w:sz w:val="16"/>
          <w:szCs w:val="16"/>
        </w:rPr>
        <w:softHyphen/>
        <w:t>ни достигал 845 кг.</w:t>
      </w:r>
    </w:p>
    <w:p w14:paraId="7A79EAED"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Особенностью штурмовика яв</w:t>
      </w:r>
      <w:r w:rsidRPr="00A3026E">
        <w:rPr>
          <w:color w:val="000000" w:themeColor="text1"/>
          <w:sz w:val="16"/>
          <w:szCs w:val="16"/>
        </w:rPr>
        <w:softHyphen/>
        <w:t>лялась подвижная батарея с от</w:t>
      </w:r>
      <w:r w:rsidRPr="00A3026E">
        <w:rPr>
          <w:color w:val="000000" w:themeColor="text1"/>
          <w:sz w:val="16"/>
          <w:szCs w:val="16"/>
        </w:rPr>
        <w:softHyphen/>
        <w:t>клоняемыми до 30° 2 пушками Та- убина—Бабурина ПТБ-23 калибра 23 мм (162 снаряда) и 4 пулемета</w:t>
      </w:r>
      <w:r w:rsidRPr="00A3026E">
        <w:rPr>
          <w:color w:val="000000" w:themeColor="text1"/>
          <w:sz w:val="16"/>
          <w:szCs w:val="16"/>
        </w:rPr>
        <w:softHyphen/>
        <w:t>ми ШКАС (3000 патронов), которая размещалась в отсеке вооружения за кабиной летчика. Питание пушек ПТБ-23 мага</w:t>
      </w:r>
      <w:r w:rsidRPr="00A3026E">
        <w:rPr>
          <w:color w:val="000000" w:themeColor="text1"/>
          <w:sz w:val="16"/>
          <w:szCs w:val="16"/>
        </w:rPr>
        <w:softHyphen/>
        <w:t>зинное — магазин на 81 патрон. Патронные ящики к пулеметам размещались непосредственно за бро</w:t>
      </w:r>
      <w:r w:rsidRPr="00A3026E">
        <w:rPr>
          <w:color w:val="000000" w:themeColor="text1"/>
          <w:sz w:val="16"/>
          <w:szCs w:val="16"/>
        </w:rPr>
        <w:softHyphen/>
        <w:t>неспинкой летчика. Патронная лента подавалась к приемнику пулемета по гибкому рукаву при по</w:t>
      </w:r>
      <w:r w:rsidRPr="00A3026E">
        <w:rPr>
          <w:color w:val="000000" w:themeColor="text1"/>
          <w:sz w:val="16"/>
          <w:szCs w:val="16"/>
        </w:rPr>
        <w:softHyphen/>
        <w:t>мощи механизма электроподтяга.</w:t>
      </w:r>
    </w:p>
    <w:p w14:paraId="323674B1"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Стволы оружия батареи могли синхронно пово</w:t>
      </w:r>
      <w:r w:rsidRPr="00A3026E">
        <w:rPr>
          <w:color w:val="000000" w:themeColor="text1"/>
          <w:sz w:val="16"/>
          <w:szCs w:val="16"/>
        </w:rPr>
        <w:softHyphen/>
        <w:t>рачиваться вслед за смещающейся целью с угловой скоростью, соответствующей скорости и высоте по</w:t>
      </w:r>
      <w:r w:rsidRPr="00A3026E">
        <w:rPr>
          <w:color w:val="000000" w:themeColor="text1"/>
          <w:sz w:val="16"/>
          <w:szCs w:val="16"/>
        </w:rPr>
        <w:softHyphen/>
        <w:t>лета самолета. За счет этого обеспечивалась высо</w:t>
      </w:r>
      <w:r w:rsidRPr="00A3026E">
        <w:rPr>
          <w:color w:val="000000" w:themeColor="text1"/>
          <w:sz w:val="16"/>
          <w:szCs w:val="16"/>
        </w:rPr>
        <w:softHyphen/>
        <w:t xml:space="preserve">кая плотность огня на цели в ходе атаки. Летчику было достаточно один раз прицелиться и открыть огонь с дистанции </w:t>
      </w:r>
      <w:r w:rsidRPr="00A3026E">
        <w:rPr>
          <w:color w:val="000000" w:themeColor="text1"/>
          <w:sz w:val="16"/>
          <w:szCs w:val="16"/>
        </w:rPr>
        <w:lastRenderedPageBreak/>
        <w:t>действительного огня — удер</w:t>
      </w:r>
      <w:r w:rsidRPr="00A3026E">
        <w:rPr>
          <w:color w:val="000000" w:themeColor="text1"/>
          <w:sz w:val="16"/>
          <w:szCs w:val="16"/>
        </w:rPr>
        <w:softHyphen/>
        <w:t>живанием стволов на цели в течение всей атаки за</w:t>
      </w:r>
      <w:r w:rsidRPr="00A3026E">
        <w:rPr>
          <w:color w:val="000000" w:themeColor="text1"/>
          <w:sz w:val="16"/>
          <w:szCs w:val="16"/>
        </w:rPr>
        <w:softHyphen/>
        <w:t>нималась автоматика. Требовалось только выдер</w:t>
      </w:r>
      <w:r w:rsidRPr="00A3026E">
        <w:rPr>
          <w:color w:val="000000" w:themeColor="text1"/>
          <w:sz w:val="16"/>
          <w:szCs w:val="16"/>
        </w:rPr>
        <w:softHyphen/>
        <w:t>живать постоянными заданную высоту и скорость полета. Полагая, что в реальных боевых условиях добиться идеальных условий для стрельбы будет весьма затруднительно, Можаровский и Веневидов угловую скорость поворота стволов предположили выбрать несколько большей, чем требовалось по расчету. В результате пушечно-пулеметная очередь должна была полоснуть по цели.</w:t>
      </w:r>
    </w:p>
    <w:p w14:paraId="6E278809"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Стрелковый прицел синхронно наклонялся вместе с поворотом стволов оружия, что позволя</w:t>
      </w:r>
      <w:r w:rsidRPr="00A3026E">
        <w:rPr>
          <w:color w:val="000000" w:themeColor="text1"/>
          <w:sz w:val="16"/>
          <w:szCs w:val="16"/>
        </w:rPr>
        <w:softHyphen/>
        <w:t>ло использовать его и для стрельбы, и для бомбо</w:t>
      </w:r>
      <w:r w:rsidRPr="00A3026E">
        <w:rPr>
          <w:color w:val="000000" w:themeColor="text1"/>
          <w:sz w:val="16"/>
          <w:szCs w:val="16"/>
        </w:rPr>
        <w:softHyphen/>
        <w:t>метания. То есть одновременно воздействовать на цель пулеметно-пушечным огнем и бомбами. Сброс бомб осуществлялся летчиком вручную при совпа</w:t>
      </w:r>
      <w:r w:rsidRPr="00A3026E">
        <w:rPr>
          <w:color w:val="000000" w:themeColor="text1"/>
          <w:sz w:val="16"/>
          <w:szCs w:val="16"/>
        </w:rPr>
        <w:softHyphen/>
        <w:t>дении угла визирования цели с расчетным углом прицеливания (бросания бомб).</w:t>
      </w:r>
    </w:p>
    <w:p w14:paraId="7D9AA406"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Как отмечалось в документах, «на штурмовом самолете обычного типа стрельба и бомбометание с бреющего полета и с низких высот производит</w:t>
      </w:r>
      <w:r w:rsidRPr="00A3026E">
        <w:rPr>
          <w:color w:val="000000" w:themeColor="text1"/>
          <w:sz w:val="16"/>
          <w:szCs w:val="16"/>
        </w:rPr>
        <w:softHyphen/>
        <w:t>ся на глаз или по выдержке времени, что не дает необходимых результатов», и, кроме того, «совер</w:t>
      </w:r>
      <w:r w:rsidRPr="00A3026E">
        <w:rPr>
          <w:color w:val="000000" w:themeColor="text1"/>
          <w:sz w:val="16"/>
          <w:szCs w:val="16"/>
        </w:rPr>
        <w:softHyphen/>
        <w:t>шенно невозможно производить одновременно стрельбу и бомбометание».</w:t>
      </w:r>
    </w:p>
    <w:p w14:paraId="3093639B"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Управление поворотом батареи осуществлялось от электрокнопки на ручке управления самолетом и электромотора посредством редуктора и систе</w:t>
      </w:r>
      <w:r w:rsidRPr="00A3026E">
        <w:rPr>
          <w:color w:val="000000" w:themeColor="text1"/>
          <w:sz w:val="16"/>
          <w:szCs w:val="16"/>
        </w:rPr>
        <w:softHyphen/>
        <w:t>мы тяг. Прицел крепился на дуге, жестко связанной с подвижной рамой батареи при помощи кулачно</w:t>
      </w:r>
      <w:r w:rsidRPr="00A3026E">
        <w:rPr>
          <w:color w:val="000000" w:themeColor="text1"/>
          <w:sz w:val="16"/>
          <w:szCs w:val="16"/>
        </w:rPr>
        <w:softHyphen/>
        <w:t>го механизма. При повороте оружия прицел син</w:t>
      </w:r>
      <w:r w:rsidRPr="00A3026E">
        <w:rPr>
          <w:color w:val="000000" w:themeColor="text1"/>
          <w:sz w:val="16"/>
          <w:szCs w:val="16"/>
        </w:rPr>
        <w:softHyphen/>
        <w:t>хронно наклонялся на тот же угол, что позволяло летчику визировать цель при стрельбе.</w:t>
      </w:r>
    </w:p>
    <w:p w14:paraId="2160FAAA"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На консолях предполагалась установка шести ракетных орудий РО-82. Нормальная бомбовая нагрузка — 250 кг, в перегрузку — 500 кг. Бомбо</w:t>
      </w:r>
      <w:r w:rsidRPr="00A3026E">
        <w:rPr>
          <w:color w:val="000000" w:themeColor="text1"/>
          <w:sz w:val="16"/>
          <w:szCs w:val="16"/>
        </w:rPr>
        <w:softHyphen/>
        <w:t>держатели с замками ДЗ-40 располагались вну</w:t>
      </w:r>
      <w:r w:rsidRPr="00A3026E">
        <w:rPr>
          <w:color w:val="000000" w:themeColor="text1"/>
          <w:sz w:val="16"/>
          <w:szCs w:val="16"/>
        </w:rPr>
        <w:softHyphen/>
        <w:t>три (в универсальных бомбоотсеках) и снаружи центроплана. Допускалась подвеска внутри четы</w:t>
      </w:r>
      <w:r w:rsidRPr="00A3026E">
        <w:rPr>
          <w:color w:val="000000" w:themeColor="text1"/>
          <w:sz w:val="16"/>
          <w:szCs w:val="16"/>
        </w:rPr>
        <w:softHyphen/>
        <w:t>рех бомб типа ФАБ-100 или ФАБ-50, 6 АО-25 или АО-20, 144 АО-2,5 или химампул типа АЖ-2 в кас</w:t>
      </w:r>
      <w:r w:rsidRPr="00A3026E">
        <w:rPr>
          <w:color w:val="000000" w:themeColor="text1"/>
          <w:sz w:val="16"/>
          <w:szCs w:val="16"/>
        </w:rPr>
        <w:softHyphen/>
        <w:t>сетах мелких бомб КД014, а снаружи — двух бомб типа ФАБ-250, ФАБ-100 или ФАБ-50, либо четырех бомб АО-25 или АО-20 в тандем, или два вылив- ных авиаприбора типа ВАП-200. Все бомбы наруж</w:t>
      </w:r>
      <w:r w:rsidRPr="00A3026E">
        <w:rPr>
          <w:color w:val="000000" w:themeColor="text1"/>
          <w:sz w:val="16"/>
          <w:szCs w:val="16"/>
        </w:rPr>
        <w:softHyphen/>
        <w:t>ной подвески можно было сбрасывать с пикиро</w:t>
      </w:r>
      <w:r w:rsidRPr="00A3026E">
        <w:rPr>
          <w:color w:val="000000" w:themeColor="text1"/>
          <w:sz w:val="16"/>
          <w:szCs w:val="16"/>
        </w:rPr>
        <w:softHyphen/>
        <w:t>вания.</w:t>
      </w:r>
    </w:p>
    <w:p w14:paraId="207D1EEE"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Для безопасного покидания летчиком само</w:t>
      </w:r>
      <w:r w:rsidRPr="00A3026E">
        <w:rPr>
          <w:color w:val="000000" w:themeColor="text1"/>
          <w:sz w:val="16"/>
          <w:szCs w:val="16"/>
        </w:rPr>
        <w:softHyphen/>
        <w:t>лета в воздухе с парашютом предусматривалась аварийная дверь (гнутый бронелист), которая рас полагалась по правому борту кабины и при необхо</w:t>
      </w:r>
      <w:r w:rsidRPr="00A3026E">
        <w:rPr>
          <w:color w:val="000000" w:themeColor="text1"/>
          <w:sz w:val="16"/>
          <w:szCs w:val="16"/>
        </w:rPr>
        <w:softHyphen/>
        <w:t>димости откидывалась на шарнирном соединении вбок. При этом средняя часть фонаря летчика от</w:t>
      </w:r>
      <w:r w:rsidRPr="00A3026E">
        <w:rPr>
          <w:color w:val="000000" w:themeColor="text1"/>
          <w:sz w:val="16"/>
          <w:szCs w:val="16"/>
        </w:rPr>
        <w:softHyphen/>
        <w:t>кидывалась влево по полету. Вертикальный размер аварийной двери почти совпадал с длиной лопасти воздушного винта. С аварийной дверью жестко связывалась металлическая сетка, предохранявшая летчика от попадания во вращающийся винт. По замыслу конструкторов в случае необходимости летчик откидывал аварийную дверь, выбирался из кабины, наступая на нее, и, отталкиваясь, выпры</w:t>
      </w:r>
      <w:r w:rsidRPr="00A3026E">
        <w:rPr>
          <w:color w:val="000000" w:themeColor="text1"/>
          <w:sz w:val="16"/>
          <w:szCs w:val="16"/>
        </w:rPr>
        <w:softHyphen/>
        <w:t>гивал за пределы плоскости вращения воздушного винта.</w:t>
      </w:r>
    </w:p>
    <w:p w14:paraId="7B185BC3"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 отстыкованными консолями самолет имел компактные размеры и вписывался в «вагонный габарит подвижного состава на ж.д. СССР», что по</w:t>
      </w:r>
      <w:r w:rsidRPr="00A3026E">
        <w:rPr>
          <w:color w:val="000000" w:themeColor="text1"/>
          <w:sz w:val="16"/>
          <w:szCs w:val="16"/>
        </w:rPr>
        <w:softHyphen/>
        <w:t>зволяло перевозить его на стандартной железнодо</w:t>
      </w:r>
      <w:r w:rsidRPr="00A3026E">
        <w:rPr>
          <w:color w:val="000000" w:themeColor="text1"/>
          <w:sz w:val="16"/>
          <w:szCs w:val="16"/>
        </w:rPr>
        <w:softHyphen/>
        <w:t>рожной платформе.</w:t>
      </w:r>
    </w:p>
    <w:p w14:paraId="708536BB"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 расчетам, вес пустого самолета составлял 3689 кг, а нормальный полетный вес — 5130 кг. Максимальная скорость достигала 485 км/ч у земли и 532 км/ч — на расчетной высоте. Время подъема на высоту 3000 м не превышало 9,7 мин. Посадоч</w:t>
      </w:r>
      <w:r w:rsidRPr="00A3026E">
        <w:rPr>
          <w:color w:val="000000" w:themeColor="text1"/>
          <w:sz w:val="16"/>
          <w:szCs w:val="16"/>
        </w:rPr>
        <w:softHyphen/>
        <w:t>ная скорость (посадочный вес 4120 кг) — 116 км/ч. Длина разбега — 435 м, пробега — 360 м. Даль</w:t>
      </w:r>
      <w:r w:rsidRPr="00A3026E">
        <w:rPr>
          <w:color w:val="000000" w:themeColor="text1"/>
          <w:sz w:val="16"/>
          <w:szCs w:val="16"/>
        </w:rPr>
        <w:softHyphen/>
        <w:t>ность полета на скорости 0,85 максимальной рав</w:t>
      </w:r>
      <w:r w:rsidRPr="00A3026E">
        <w:rPr>
          <w:color w:val="000000" w:themeColor="text1"/>
          <w:sz w:val="16"/>
          <w:szCs w:val="16"/>
        </w:rPr>
        <w:softHyphen/>
        <w:t>нялась 950 км. Нагрузка на крыло при нормальном полетном весе была около 189,5 кг/м</w:t>
      </w:r>
      <w:r w:rsidRPr="00A3026E">
        <w:rPr>
          <w:color w:val="000000" w:themeColor="text1"/>
          <w:sz w:val="16"/>
          <w:szCs w:val="16"/>
          <w:vertAlign w:val="superscript"/>
        </w:rPr>
        <w:t>2</w:t>
      </w:r>
      <w:r w:rsidRPr="00A3026E">
        <w:rPr>
          <w:color w:val="000000" w:themeColor="text1"/>
          <w:sz w:val="16"/>
          <w:szCs w:val="16"/>
        </w:rPr>
        <w:t>, в перегруз</w:t>
      </w:r>
      <w:r w:rsidRPr="00A3026E">
        <w:rPr>
          <w:color w:val="000000" w:themeColor="text1"/>
          <w:sz w:val="16"/>
          <w:szCs w:val="16"/>
        </w:rPr>
        <w:softHyphen/>
        <w:t>ку — 199,5 кг/м</w:t>
      </w:r>
      <w:r w:rsidRPr="00A3026E">
        <w:rPr>
          <w:color w:val="000000" w:themeColor="text1"/>
          <w:sz w:val="16"/>
          <w:szCs w:val="16"/>
          <w:vertAlign w:val="superscript"/>
        </w:rPr>
        <w:t>2</w:t>
      </w:r>
      <w:r w:rsidRPr="00A3026E">
        <w:rPr>
          <w:color w:val="000000" w:themeColor="text1"/>
          <w:sz w:val="16"/>
          <w:szCs w:val="16"/>
        </w:rPr>
        <w:t>.</w:t>
      </w:r>
    </w:p>
    <w:p w14:paraId="41919D8B"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Специалисты НИИ ВВС отметили недостаточно тщательную проработку проекта. Считалось, что конструкторы выбрали для штурмовика излишне большую нагрузку на крыло, занизили полетный вес, завысили летные данные и взлетно-посадоч</w:t>
      </w:r>
      <w:r w:rsidRPr="00A3026E">
        <w:rPr>
          <w:color w:val="000000" w:themeColor="text1"/>
          <w:sz w:val="16"/>
          <w:szCs w:val="16"/>
        </w:rPr>
        <w:softHyphen/>
        <w:t>ные качества. Запас устойчивости штурмовика по всем трем осям оценивался как незначительный. Не были проработаны в полном объеме вопросы обеспечения огневой защиты задней полусферы, безопасного покидания летчиком самолета и экс</w:t>
      </w:r>
      <w:r w:rsidRPr="00A3026E">
        <w:rPr>
          <w:color w:val="000000" w:themeColor="text1"/>
          <w:sz w:val="16"/>
          <w:szCs w:val="16"/>
        </w:rPr>
        <w:softHyphen/>
        <w:t>плуатации самолета с полевых аэродромов. Кроме того, требовалась проверка эффективности при</w:t>
      </w:r>
      <w:r w:rsidRPr="00A3026E">
        <w:rPr>
          <w:color w:val="000000" w:themeColor="text1"/>
          <w:sz w:val="16"/>
          <w:szCs w:val="16"/>
        </w:rPr>
        <w:softHyphen/>
        <w:t>менения боевых химических веществ из штатных выливных авиаприборов с самолета, оснащенного толкающим воздушным винтом.</w:t>
      </w:r>
    </w:p>
    <w:p w14:paraId="0A55AFD9"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то же время схема самолета представляла для ВВС КА определенный интерес. Прекрасный обзор летчику («достигающий 48% от всей сферы») и мощное вооружение оценивались более чем по</w:t>
      </w:r>
      <w:r w:rsidRPr="00A3026E">
        <w:rPr>
          <w:color w:val="000000" w:themeColor="text1"/>
          <w:sz w:val="16"/>
          <w:szCs w:val="16"/>
        </w:rPr>
        <w:softHyphen/>
        <w:t>ложительно.</w:t>
      </w:r>
    </w:p>
    <w:p w14:paraId="1447BCD9"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Эскизный проект одобрили с замечаниями. Предлагалось нормальную бомбовую нагрузку уве</w:t>
      </w:r>
      <w:r w:rsidRPr="00A3026E">
        <w:rPr>
          <w:color w:val="000000" w:themeColor="text1"/>
          <w:sz w:val="16"/>
          <w:szCs w:val="16"/>
        </w:rPr>
        <w:softHyphen/>
        <w:t>личить до 400 кг («преимущественно мелкого кали</w:t>
      </w:r>
      <w:r w:rsidRPr="00A3026E">
        <w:rPr>
          <w:color w:val="000000" w:themeColor="text1"/>
          <w:sz w:val="16"/>
          <w:szCs w:val="16"/>
        </w:rPr>
        <w:softHyphen/>
        <w:t>бра»), поставить 37-мм пушку и добавить пулеметы калибра 12,7 мм. Кроме этого, требовалось «сни</w:t>
      </w:r>
      <w:r w:rsidRPr="00A3026E">
        <w:rPr>
          <w:color w:val="000000" w:themeColor="text1"/>
          <w:sz w:val="16"/>
          <w:szCs w:val="16"/>
        </w:rPr>
        <w:softHyphen/>
        <w:t>зить удельную нагрузку на крыло, упростив взлет и посадку, — самолет массовый и качество летчи</w:t>
      </w:r>
      <w:r w:rsidRPr="00A3026E">
        <w:rPr>
          <w:color w:val="000000" w:themeColor="text1"/>
          <w:sz w:val="16"/>
          <w:szCs w:val="16"/>
        </w:rPr>
        <w:softHyphen/>
        <w:t>ков военного времени будет невысоким».</w:t>
      </w:r>
    </w:p>
    <w:p w14:paraId="1F24A055"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Поскольку Можаровский и Веневидов не имели никакого опыта создания самолетов, то для реали</w:t>
      </w:r>
      <w:r w:rsidRPr="00A3026E">
        <w:rPr>
          <w:color w:val="000000" w:themeColor="text1"/>
          <w:sz w:val="16"/>
          <w:szCs w:val="16"/>
        </w:rPr>
        <w:softHyphen/>
        <w:t>зации проекта самолета БШ-МВ считалось целесоо</w:t>
      </w:r>
      <w:r w:rsidRPr="00A3026E">
        <w:rPr>
          <w:color w:val="000000" w:themeColor="text1"/>
          <w:sz w:val="16"/>
          <w:szCs w:val="16"/>
        </w:rPr>
        <w:softHyphen/>
        <w:t>бразным подключить к работе «мощный самолето</w:t>
      </w:r>
      <w:r w:rsidRPr="00A3026E">
        <w:rPr>
          <w:color w:val="000000" w:themeColor="text1"/>
          <w:sz w:val="16"/>
          <w:szCs w:val="16"/>
        </w:rPr>
        <w:softHyphen/>
        <w:t>строительный коллектив».</w:t>
      </w:r>
    </w:p>
    <w:p w14:paraId="5B27AC00"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Учитывая революционность и сложность проек</w:t>
      </w:r>
      <w:r w:rsidRPr="00A3026E">
        <w:rPr>
          <w:color w:val="000000" w:themeColor="text1"/>
          <w:sz w:val="16"/>
          <w:szCs w:val="16"/>
        </w:rPr>
        <w:softHyphen/>
        <w:t>та БШ-МВ с синхронной подвижной пулеметно-пу- шечной установкой, а также отсутствие ясности в вопросе тактики боевого применения самолета такого типа, начальник НИИ ВВС генерал-майор А. И. Филин задержал утверждение заключения по эскизному проекту.</w:t>
      </w:r>
    </w:p>
    <w:p w14:paraId="1BFE7503"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Дело в том, что успешное применение подвиж</w:t>
      </w:r>
      <w:r w:rsidRPr="00A3026E">
        <w:rPr>
          <w:color w:val="000000" w:themeColor="text1"/>
          <w:sz w:val="16"/>
          <w:szCs w:val="16"/>
        </w:rPr>
        <w:softHyphen/>
        <w:t>ной батареи в бою у большинства специалистов НИИ ВВС вызывало серьезные сомнения. И, надо сказать, не без основания.</w:t>
      </w:r>
    </w:p>
    <w:p w14:paraId="0BDBB4FB" w14:textId="77777777" w:rsidR="00D20661" w:rsidRPr="00A3026E" w:rsidRDefault="00D20661"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Действительно, реальный эффект от примене</w:t>
      </w:r>
      <w:r w:rsidRPr="00A3026E">
        <w:rPr>
          <w:rFonts w:ascii="Times New Roman" w:hAnsi="Times New Roman"/>
          <w:color w:val="000000" w:themeColor="text1"/>
          <w:sz w:val="16"/>
          <w:szCs w:val="16"/>
        </w:rPr>
        <w:softHyphen/>
        <w:t>ния подвижной батареи достигался только тогда, когда летчик строго выдерживал в течение всей атаки нулевой угол крена, заданные скорость и вы</w:t>
      </w:r>
      <w:r w:rsidRPr="00A3026E">
        <w:rPr>
          <w:rFonts w:ascii="Times New Roman" w:hAnsi="Times New Roman"/>
          <w:color w:val="000000" w:themeColor="text1"/>
          <w:sz w:val="16"/>
          <w:szCs w:val="16"/>
        </w:rPr>
        <w:softHyphen/>
        <w:t>соту полета, значение которых заложены в алго</w:t>
      </w:r>
      <w:r w:rsidRPr="00A3026E">
        <w:rPr>
          <w:rFonts w:ascii="Times New Roman" w:hAnsi="Times New Roman"/>
          <w:color w:val="000000" w:themeColor="text1"/>
          <w:sz w:val="16"/>
          <w:szCs w:val="16"/>
        </w:rPr>
        <w:softHyphen/>
        <w:t>ритм автоматики поворота стволов оружия. В про</w:t>
      </w:r>
      <w:r w:rsidRPr="00A3026E">
        <w:rPr>
          <w:rFonts w:ascii="Times New Roman" w:hAnsi="Times New Roman"/>
          <w:color w:val="000000" w:themeColor="text1"/>
          <w:sz w:val="16"/>
          <w:szCs w:val="16"/>
        </w:rPr>
        <w:softHyphen/>
        <w:t>тивном случае боеприпасы ложились с большим «линейным разбросом» вокруг цели, не гарантируя ее поражение. Кроме этого, прямолинейный полет с постоянной скоростью и высотой в ходе атаки резко повышал вероятность сбития штурмовика зенитным огнем противника.</w:t>
      </w:r>
    </w:p>
    <w:p w14:paraId="06BAC034" w14:textId="77777777" w:rsidR="00D20661" w:rsidRPr="00A3026E" w:rsidRDefault="00D20661"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этой связи предлагалось дождаться резуль</w:t>
      </w:r>
      <w:r w:rsidRPr="00A3026E">
        <w:rPr>
          <w:color w:val="000000" w:themeColor="text1"/>
          <w:sz w:val="16"/>
          <w:szCs w:val="16"/>
        </w:rPr>
        <w:softHyphen/>
        <w:t>татов испытаний подвижной батареи на серийном ближнем бомбардировщике Як-2, оценить эффек</w:t>
      </w:r>
      <w:r w:rsidRPr="00A3026E">
        <w:rPr>
          <w:color w:val="000000" w:themeColor="text1"/>
          <w:sz w:val="16"/>
          <w:szCs w:val="16"/>
        </w:rPr>
        <w:softHyphen/>
        <w:t>тивность огня по цели и сделать выводы в отноше</w:t>
      </w:r>
      <w:r w:rsidRPr="00A3026E">
        <w:rPr>
          <w:color w:val="000000" w:themeColor="text1"/>
          <w:sz w:val="16"/>
          <w:szCs w:val="16"/>
        </w:rPr>
        <w:softHyphen/>
        <w:t>нии ее применимости в бою, а уже потом прини</w:t>
      </w:r>
      <w:r w:rsidRPr="00A3026E">
        <w:rPr>
          <w:color w:val="000000" w:themeColor="text1"/>
          <w:sz w:val="16"/>
          <w:szCs w:val="16"/>
        </w:rPr>
        <w:softHyphen/>
        <w:t>мать решение о постройке под нее специального самолета (17500).</w:t>
      </w:r>
    </w:p>
    <w:p w14:paraId="456C3526" w14:textId="77777777" w:rsidR="00D20661" w:rsidRPr="00A3026E" w:rsidRDefault="00D20661" w:rsidP="00A3026E">
      <w:pPr>
        <w:spacing w:after="0" w:line="240" w:lineRule="auto"/>
        <w:jc w:val="both"/>
        <w:rPr>
          <w:rFonts w:ascii="Times New Roman" w:eastAsia="Times New Roman" w:hAnsi="Times New Roman"/>
          <w:color w:val="000000" w:themeColor="text1"/>
          <w:sz w:val="16"/>
          <w:szCs w:val="16"/>
          <w:lang w:eastAsia="ru-RU"/>
        </w:rPr>
      </w:pPr>
    </w:p>
    <w:p w14:paraId="633FDD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года Ворошилов писал письмо N 10651/КО Шахурину и НКВМФ - Кузнецову.</w:t>
      </w:r>
    </w:p>
    <w:p w14:paraId="242A0A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КО при СНК N 413 от 19 октября 1940 года Наркомавиапром обязан сдать НКВМФ 20 самолетов ДБ-3ф (торпедоносцев) на поплавках.</w:t>
      </w:r>
    </w:p>
    <w:p w14:paraId="7BD35A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Принимая во внимание согласие НКВМФ на приемку указанных самолетов в сухопутном варианте, КО при СНК удовлетворяет Ваше ходатайство и разрешает Наркомавиапрому сдать Наркомвоенморфлоту 20 самолетов ДБ-3ф (торпедоносцев) на колесах (3400,165).</w:t>
      </w:r>
    </w:p>
    <w:p w14:paraId="7643910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92094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вл Байдуков доложил НКАП А.И.Ш. результаты испытаний ТБ-7 с М-40 (1295,363).</w:t>
      </w:r>
    </w:p>
    <w:p w14:paraId="11EF2C8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F8B177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29 декабря 1940 года по 17 января 1941 года проходил гос. испытания в НИИ ВВС винт типа VDM (электромеханический) на самолете И-153 с М-62. Результат удовлетворительный (4048, 4).</w:t>
      </w:r>
    </w:p>
    <w:p w14:paraId="360F4E4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043BAA4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г. Як-5 М-105Д самолет перевезен с завода на Ц.А. (3333,5).</w:t>
      </w:r>
    </w:p>
    <w:p w14:paraId="00012D02" w14:textId="77777777" w:rsidR="0014077F" w:rsidRPr="00A3026E" w:rsidRDefault="0014077F" w:rsidP="00A3026E">
      <w:pPr>
        <w:pStyle w:val="Iauiue"/>
        <w:jc w:val="both"/>
        <w:rPr>
          <w:color w:val="000000" w:themeColor="text1"/>
          <w:sz w:val="16"/>
          <w:szCs w:val="16"/>
        </w:rPr>
      </w:pPr>
    </w:p>
    <w:p w14:paraId="482861D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г. Як-1 М-105П самолет перевезен с завода на Ц.А. (3333,5).</w:t>
      </w:r>
    </w:p>
    <w:p w14:paraId="503D82B1" w14:textId="77777777" w:rsidR="0014077F" w:rsidRPr="00A3026E" w:rsidRDefault="0014077F" w:rsidP="00A3026E">
      <w:pPr>
        <w:pStyle w:val="Iauiue"/>
        <w:jc w:val="both"/>
        <w:rPr>
          <w:color w:val="000000" w:themeColor="text1"/>
          <w:sz w:val="16"/>
          <w:szCs w:val="16"/>
        </w:rPr>
      </w:pPr>
    </w:p>
    <w:p w14:paraId="62CB99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г. на Саратовский авиазавод поступила Дефектная ведомость протокола смешанной комиссии НКАП и ГУ ВВС КА, которая вызвала чувство растерянности у его руководства. Из 114 дефектов 56 заводом были устранены с первой машины, а часть дефектов была присуща только самолетам производства завода № 301. Согласно решениям по протоколу опытный завод ОКБ Яковлева № 115 должен был устранить к 20 декабря 1940 г. 10 основных дефектов на одной из машин выпуска завода № 301, которая должна была стать эталонной для обоих заводов. Мероприятия по устранению дефектов, предложенные конструкторами ОКБ, конструктивно разнились с доработками уже выполненными заводом № 292 в серии и заделе. Одной из причин сложившейся ситуации было то, что в работе комиссии не принимал участия представитель завода № 292. Вопрос был оперативно разрешен главным конструктором во время его визита вместе с наркомом авиапромышленности на Саратовский авиазавод 8 января 1941 г. Большинство доработок заводчан были одобрены и утверждены А.С. Яковлевым. Процесс согласования и исполнения доработок затянулся почти на два месяца. Модифицированный Як-1 № 0218, с устраненными согласно требованиям 8 дефектами (остались без изменения недостаточный угол поворота хвостового колеса и малый диаметр трубок кислородного прибора) и 43 инициативными изменениями конструкции, был представлен на государственные испытания только 13 февраля 1941 г.</w:t>
      </w:r>
    </w:p>
    <w:p w14:paraId="37DF690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0CC535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с завода №1 в адрес пол</w:t>
      </w:r>
      <w:r w:rsidRPr="00A3026E">
        <w:rPr>
          <w:rFonts w:ascii="Times New Roman" w:hAnsi="Times New Roman"/>
          <w:color w:val="000000" w:themeColor="text1"/>
          <w:sz w:val="16"/>
          <w:szCs w:val="16"/>
        </w:rPr>
        <w:softHyphen/>
        <w:t>ка, который базировался на аэро</w:t>
      </w:r>
      <w:r w:rsidRPr="00A3026E">
        <w:rPr>
          <w:rFonts w:ascii="Times New Roman" w:hAnsi="Times New Roman"/>
          <w:color w:val="000000" w:themeColor="text1"/>
          <w:sz w:val="16"/>
          <w:szCs w:val="16"/>
        </w:rPr>
        <w:softHyphen/>
        <w:t>дроме Ковно (Каунас), отгрузили первые 15 истребителей МиГ-1. Из первой партии на заводе облета</w:t>
      </w:r>
      <w:r w:rsidRPr="00A3026E">
        <w:rPr>
          <w:rFonts w:ascii="Times New Roman" w:hAnsi="Times New Roman"/>
          <w:color w:val="000000" w:themeColor="text1"/>
          <w:sz w:val="16"/>
          <w:szCs w:val="16"/>
        </w:rPr>
        <w:softHyphen/>
        <w:t>ли только один самолёт. На следую</w:t>
      </w:r>
      <w:r w:rsidRPr="00A3026E">
        <w:rPr>
          <w:rFonts w:ascii="Times New Roman" w:hAnsi="Times New Roman"/>
          <w:color w:val="000000" w:themeColor="text1"/>
          <w:sz w:val="16"/>
          <w:szCs w:val="16"/>
        </w:rPr>
        <w:softHyphen/>
        <w:t>щий день отгрузили ещё 14 МиГов. Во второй партии, наоборот, нео</w:t>
      </w:r>
      <w:r w:rsidRPr="00A3026E">
        <w:rPr>
          <w:rFonts w:ascii="Times New Roman" w:hAnsi="Times New Roman"/>
          <w:color w:val="000000" w:themeColor="text1"/>
          <w:sz w:val="16"/>
          <w:szCs w:val="16"/>
        </w:rPr>
        <w:softHyphen/>
        <w:t>блётанной была только одна ма</w:t>
      </w:r>
      <w:r w:rsidRPr="00A3026E">
        <w:rPr>
          <w:rFonts w:ascii="Times New Roman" w:hAnsi="Times New Roman"/>
          <w:color w:val="000000" w:themeColor="text1"/>
          <w:sz w:val="16"/>
          <w:szCs w:val="16"/>
        </w:rPr>
        <w:softHyphen/>
        <w:t>шина. Отправка в строевые части нео</w:t>
      </w:r>
      <w:r w:rsidRPr="00A3026E">
        <w:rPr>
          <w:rFonts w:ascii="Times New Roman" w:hAnsi="Times New Roman"/>
          <w:color w:val="000000" w:themeColor="text1"/>
          <w:sz w:val="16"/>
          <w:szCs w:val="16"/>
        </w:rPr>
        <w:softHyphen/>
        <w:t>блётанных самолётов производи</w:t>
      </w:r>
      <w:r w:rsidRPr="00A3026E">
        <w:rPr>
          <w:rFonts w:ascii="Times New Roman" w:hAnsi="Times New Roman"/>
          <w:color w:val="000000" w:themeColor="text1"/>
          <w:sz w:val="16"/>
          <w:szCs w:val="16"/>
        </w:rPr>
        <w:softHyphen/>
        <w:t>лась с целью скорейшей организа</w:t>
      </w:r>
      <w:r w:rsidRPr="00A3026E">
        <w:rPr>
          <w:rFonts w:ascii="Times New Roman" w:hAnsi="Times New Roman"/>
          <w:color w:val="000000" w:themeColor="text1"/>
          <w:sz w:val="16"/>
          <w:szCs w:val="16"/>
        </w:rPr>
        <w:softHyphen/>
        <w:t>ции переучивания частей ВВС КА на новую материальную часть. Это было связано с тем, что в зимнее время имелись проблемы с лётной погодой, и поэтому было принято решение отправлять самолёты без облёта на заводе с последующим их облётом в частях. В начале де</w:t>
      </w:r>
      <w:r w:rsidRPr="00A3026E">
        <w:rPr>
          <w:rFonts w:ascii="Times New Roman" w:hAnsi="Times New Roman"/>
          <w:color w:val="000000" w:themeColor="text1"/>
          <w:sz w:val="16"/>
          <w:szCs w:val="16"/>
        </w:rPr>
        <w:softHyphen/>
        <w:t>кабря 1940 г. старший военпред завода №1 военинженер 2-го ран</w:t>
      </w:r>
      <w:r w:rsidRPr="00A3026E">
        <w:rPr>
          <w:rFonts w:ascii="Times New Roman" w:hAnsi="Times New Roman"/>
          <w:color w:val="000000" w:themeColor="text1"/>
          <w:sz w:val="16"/>
          <w:szCs w:val="16"/>
        </w:rPr>
        <w:softHyphen/>
        <w:t>га М.В. Францев получил указание от заместителя начальника ГУ ВВС КА генерал-майора авиации П.И. Фёдорова принимать и оплачивать законченные производством и пол</w:t>
      </w:r>
      <w:r w:rsidRPr="00A3026E">
        <w:rPr>
          <w:rFonts w:ascii="Times New Roman" w:hAnsi="Times New Roman"/>
          <w:color w:val="000000" w:themeColor="text1"/>
          <w:sz w:val="16"/>
          <w:szCs w:val="16"/>
        </w:rPr>
        <w:softHyphen/>
        <w:t>ностью укомплектованные необлё</w:t>
      </w:r>
      <w:r w:rsidRPr="00A3026E">
        <w:rPr>
          <w:rFonts w:ascii="Times New Roman" w:hAnsi="Times New Roman"/>
          <w:color w:val="000000" w:themeColor="text1"/>
          <w:sz w:val="16"/>
          <w:szCs w:val="16"/>
        </w:rPr>
        <w:softHyphen/>
        <w:t>танные истребители МиГ-1 (11761).</w:t>
      </w:r>
    </w:p>
    <w:p w14:paraId="09A6BDE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5CCFF3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29 декабря 1940 был закончен самолет И-207 М-64К опытн. экземпляр № 4 или БФ-1. До начала марта 1941 время было потеряно благодаря недоведенности мотора М-64К. /Медлительность работы завода № 19 правела к тому, что перспективный мотор М-64К с удлиненным валом стал не перспективным, так как удлиненный вал не компенсирует достаточную мощность/ (3333,158).</w:t>
      </w:r>
    </w:p>
    <w:p w14:paraId="30B7928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0D7CD57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Протокол № 24. Решения ПБ за 14 декабря 1940 г. - 2 января 1941 г.</w:t>
      </w:r>
    </w:p>
    <w:p w14:paraId="0915948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15.12.40 г.</w:t>
      </w:r>
    </w:p>
    <w:p w14:paraId="1BEF497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3 О серийном выпуске моторов на заводе № 27*.</w:t>
      </w:r>
    </w:p>
    <w:p w14:paraId="45E25F4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4. Об организации завода по производству средств вооружения для боевых самолетов в Днепропетровске (постановление СНК СССР и ЦК ВКП (б))*.</w:t>
      </w:r>
    </w:p>
    <w:p w14:paraId="186EFD9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5. Об обеспечении производства авиамоторов и самолетов на заводах №№ 452 и 265 Наркомавиапрома*.</w:t>
      </w:r>
    </w:p>
    <w:p w14:paraId="750363E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6. Об обеспечении производства самолетов на заводе № 450 и работы стройтрестов № 8 и № 26 (постановление СНК СССР и ЦК ВКП (б))*.</w:t>
      </w:r>
    </w:p>
    <w:p w14:paraId="1E1D14F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8. Об обеспечении завода № 26 агрегатами для опытного мотора М-107П (постановление СНК СССР и ЦК ВКП (б))*.</w:t>
      </w:r>
    </w:p>
    <w:p w14:paraId="5CB97B6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9. Об обеспечении бронекорпусами самолетов Ил-2 (постановление СНК СССР и ЦК ВКП (б))*.</w:t>
      </w:r>
    </w:p>
    <w:p w14:paraId="52BF0E8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20. 12. 40 г.</w:t>
      </w:r>
    </w:p>
    <w:p w14:paraId="069E410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108. О выпуске самолетов на заводе № 39 НКАП (постановление СНК СССР и ЦК ВКП (б))*.</w:t>
      </w:r>
    </w:p>
    <w:p w14:paraId="003111B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109. О строительстве в БССР завода синтетического бензина из торфа (постановление СНК СССР и ЦК ВКП (б)).</w:t>
      </w:r>
    </w:p>
    <w:p w14:paraId="75817C7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111. Вопрос ГАУ Красной Армии и НКВ. О принятии на вооружение КА пистолета-пулемета Шпагина*.</w:t>
      </w:r>
    </w:p>
    <w:p w14:paraId="039092B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21.12.40 г.</w:t>
      </w:r>
    </w:p>
    <w:p w14:paraId="5C58274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132. О Таганрогском заводе № 31 НКАП. Об использовании мощностей завода для выпуска боевых самолетов*.</w:t>
      </w:r>
    </w:p>
    <w:p w14:paraId="3CE8AC1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26. 12.40 г</w:t>
      </w:r>
      <w:r w:rsidRPr="00A3026E">
        <w:rPr>
          <w:rFonts w:ascii="Times New Roman" w:hAnsi="Times New Roman"/>
          <w:color w:val="000000" w:themeColor="text1"/>
          <w:sz w:val="16"/>
          <w:szCs w:val="16"/>
        </w:rPr>
        <w:t>.</w:t>
      </w:r>
    </w:p>
    <w:p w14:paraId="451F80A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162. О заводе № 22 НКАП. Программа выпуска самолетов Пе-2 (постановление СНК СССРиЦКВКП(б))*.</w:t>
      </w:r>
    </w:p>
    <w:p w14:paraId="6497F96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u w:val="single"/>
        </w:rPr>
        <w:t>28. 12.40 г.</w:t>
      </w:r>
    </w:p>
    <w:p w14:paraId="354904F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176. О выпуске моторов АМ-38 на заводе № 24 (постановление СНК СССР и ЦК ВКП (б))*.</w:t>
      </w:r>
    </w:p>
    <w:p w14:paraId="4D4F87C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u w:val="single"/>
        </w:rPr>
      </w:pPr>
      <w:r w:rsidRPr="00A3026E">
        <w:rPr>
          <w:rFonts w:ascii="Times New Roman" w:hAnsi="Times New Roman"/>
          <w:color w:val="000000" w:themeColor="text1"/>
          <w:sz w:val="16"/>
          <w:szCs w:val="16"/>
          <w:u w:val="single"/>
        </w:rPr>
        <w:t xml:space="preserve">29.12.40 г. </w:t>
      </w:r>
    </w:p>
    <w:p w14:paraId="7F191BF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 230. Вопрос КО. О постройке трех истребителей ВИ-1* (11773).</w:t>
      </w:r>
    </w:p>
    <w:p w14:paraId="015376F4" w14:textId="77777777" w:rsidR="0014077F" w:rsidRPr="00A3026E" w:rsidRDefault="0014077F" w:rsidP="00A3026E">
      <w:pPr>
        <w:shd w:val="clear" w:color="auto" w:fill="FFFFFF"/>
        <w:spacing w:after="0" w:line="240" w:lineRule="auto"/>
        <w:jc w:val="both"/>
        <w:rPr>
          <w:rFonts w:ascii="Times New Roman" w:hAnsi="Times New Roman"/>
          <w:bCs/>
          <w:color w:val="000000" w:themeColor="text1"/>
          <w:sz w:val="16"/>
          <w:szCs w:val="16"/>
        </w:rPr>
      </w:pPr>
    </w:p>
    <w:p w14:paraId="7A0731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на заседании п/б 1 отд. НИИ ВВС в выступлении Лосюкова “О задачах парторганизации по обеспечению летно-испытательной работы на 1941” говорилось, что в 1940 испытали 40 истребителей, 32 бомбардировщика и 22 развития и модификации, а планы на 1941 - 59, 46 и 34 (854).</w:t>
      </w:r>
    </w:p>
    <w:p w14:paraId="00FF10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Максимов: Работая на И-26 мне трудно пришлось. Мне помогал начальник отдела.</w:t>
      </w:r>
    </w:p>
    <w:p w14:paraId="541CE9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Дефекты, известные и выявленные ранее, не устранены.</w:t>
      </w:r>
    </w:p>
    <w:p w14:paraId="743CEB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получилось потому, что А.С.Я. не представил проекта, даже специалистов не допускал к машине.</w:t>
      </w:r>
    </w:p>
    <w:p w14:paraId="602899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хотелось ему, так он и делал.”</w:t>
      </w:r>
    </w:p>
    <w:p w14:paraId="1085EF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Лисицын: “С самолетом ББ-22 неладно в частях, т.к. два полка получили эти самолеты и не летают на них. Это очень треводные факты. Ими нужно нам заниматься.” (854,97).</w:t>
      </w:r>
    </w:p>
    <w:p w14:paraId="7D39748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0380A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была подготовлена выписка из доклад об опытных истребителях, подготовленного 4 июля 1940:</w:t>
      </w:r>
    </w:p>
    <w:p w14:paraId="20FA97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Сравнивая по максимальной скорости наши опытные истребители И-26 и И-301 с немецкими Ме-109 и Ме-110 имеем довольно благоприятную картину, которую необходимо в самый краткий срок воплотить в жизнь и не ухудшить при массовом производстве.</w:t>
      </w:r>
    </w:p>
    <w:p w14:paraId="489D4F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 наши И-26 и И-301 превосходят скорость с-та Ме-109 на 40-60 км/час и отстают от Хе-100 на 45-65 км/час.</w:t>
      </w:r>
    </w:p>
    <w:p w14:paraId="5609B4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возможности к тому, чтобы имеющиеся опытные с-ты за счет улучшения аэродинамики, довести до скорости Зенкеля, у нас имеются. Для этого надо только путем глубокого изучения в лабораториях и в натуреопределять все резервы наших самолетов и их правильно использовать, а не заниматься разговорами о том, что повысить скорость нельзя, т.к. у нас нет надлежащией мощности моторов.</w:t>
      </w:r>
    </w:p>
    <w:p w14:paraId="4D6213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качеству наши моторы хуже, но по мощности они не хцже ДБ-601. Поэтому вправе требовать от конструкторов большой и глубокой отработки аэродинамики с-та в целом, а не только в отношении планера.</w:t>
      </w:r>
    </w:p>
    <w:p w14:paraId="468DE9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Прежде всего обращает на себя внимание, что на находящихся на вооружении с-тах Ме-109 и Ме-110 при наличии большой длины хвоста имеют очень переднюю центровку, причем такую центровку, при которой крыло самолета само по себе делается устойчивым или нейтральным. Это важно не только для устойчивости, но и для живучести самолета При повреждении хвостового оперения самолета с самоустойчивым крылом не может наступить резких изменений в поведении самолета и, следовательно, у л будет время для принятия правильного решения.</w:t>
      </w:r>
    </w:p>
    <w:p w14:paraId="4D4099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понять, что полная устойчивость и безопасность полета очень тесно связаны друг с другом и чем выше устойчивость, тем безопаснее и проще в технике пилоторования с-т.</w:t>
      </w:r>
    </w:p>
    <w:p w14:paraId="4257E3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 Ильюшин и на сегодня считает, что устойчивость не нужна, что с-т в отношении устойчивости д.б. нейтральным).</w:t>
      </w:r>
    </w:p>
    <w:p w14:paraId="40C428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сегодня немецкие с-ты Ме-109 и Ме-110 являются самолетами простыми в технике пилотирования и в этой части могут служить образцами.</w:t>
      </w:r>
    </w:p>
    <w:p w14:paraId="404F93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отличие от наших с-тов немецкие с-ты отличаются доведенностью ВМГ.</w:t>
      </w:r>
    </w:p>
    <w:p w14:paraId="47C814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ВМГ особо обращает на себя внимание следующее:</w:t>
      </w:r>
    </w:p>
    <w:p w14:paraId="61BC3C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Широкое применение непосредственного впрыска в Германии.</w:t>
      </w:r>
    </w:p>
    <w:p w14:paraId="0D7B0E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 преимуществом систем непосредственного впрыска является:</w:t>
      </w:r>
    </w:p>
    <w:p w14:paraId="44DE43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правильная дозировка топлива в каждом цилиндре, что позволяет получить совершенное распределение топлива (уменьшить выбросы)</w:t>
      </w:r>
    </w:p>
    <w:p w14:paraId="1DDC03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понижение пожарной опасности благодая невозможности обратного выхлопа</w:t>
      </w:r>
    </w:p>
    <w:p w14:paraId="1C7227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возможность улучшения продувки и охлаждения камеры сгорания путем соответствующей регулировки фаз распределения и зажигания</w:t>
      </w:r>
    </w:p>
    <w:p w14:paraId="625380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отсутствие опасности обледенения.</w:t>
      </w:r>
    </w:p>
    <w:p w14:paraId="388760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освоения непосредственного впрыска необходимо купить техпомощь на серийное производство аппаратуры непосредственного впрыска горбчего в мотор, а заводам 20 и 33 освоить в 1940 серийное производство насосов, форсунок, автоматики регулировки горючего для моторов непосредственного впрыска.</w:t>
      </w:r>
    </w:p>
    <w:p w14:paraId="3C7F37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Гидропривод с автоматическим включением нагнетателя, регулирующим число оборотов нагнетателя в зависимости от потребностей в наддуве имеет преимущество перед ПЦН с переключеним на две скорости в том, что мощность, затрачиваемая на нагнетатель с гидроприводом, не расходуется на бесполезное дросселирование воздуха перег нагнетателем и не отвлекает л на переключение скорости.</w:t>
      </w:r>
    </w:p>
    <w:p w14:paraId="7779DE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Выключение форсажа автоматически через 1 минуту выполняется часовым механизмом, что разгружает внимание и гарантирует правильную эксплуатацию мотора. Это также надо освоить для наших моторов и изъять еще одну ручку из кабины л.</w:t>
      </w:r>
    </w:p>
    <w:p w14:paraId="1964C6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Винт VDM допускает установку лопасти во флюгерное положение, чем достигантся значительное сопротивление при полете на 1 моторе и на планировании с-та с остановкой мотора (увеличивая скорость на 25-30%).</w:t>
      </w:r>
    </w:p>
    <w:p w14:paraId="4A1A0B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Сепараторы для отделения пара от воздуха обеспечивают устойчивую работу системы охлаждения (за полет значительно снижается расход воды).</w:t>
      </w:r>
    </w:p>
    <w:p w14:paraId="643B6F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спецоболрудование отличается высокой культурой производства, продуманностью конструкции и схем, надежностью в работе.</w:t>
      </w:r>
    </w:p>
    <w:p w14:paraId="573A24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всех немецких самолетах с целью устранения помех радиоприему применяется тзщательное экранирование, металлизация и система сильфонов у источников радиопомех.</w:t>
      </w:r>
    </w:p>
    <w:p w14:paraId="6C9880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электросхеме всех самолетов применена система защиты сетей и оборудования от электрической перегрузки и коротких замыканий при помощи автоматов фирмы Сименс, служающих одновременно и выключателями (они позволяют изъять из схемы электрооборудование плавкие предохранители).</w:t>
      </w:r>
    </w:p>
    <w:p w14:paraId="317A01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в кратчайший срок освоить эти автоматы у нас.</w:t>
      </w:r>
    </w:p>
    <w:p w14:paraId="308963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Мне кажется, следует поручить группе из товарищей от НКАП и ВВС увязать окончательно сделанные первые предложения с нашей стороны с тем, чтобы план реализации был бы в кратчайший срок утвержден.</w:t>
      </w:r>
    </w:p>
    <w:p w14:paraId="21A874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Ссорина (852,18).</w:t>
      </w:r>
    </w:p>
    <w:p w14:paraId="567B1FF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C8690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г. Завод № 165, который был в 08.1939 г. в Днепропетровске и строился в 1940 г. для производства самолета И-300, переориентирован на выпуск И-301. В начале 1941 г. на заводе велось производство авиалыж, деревянных в/винтов для ЛаГГ-3. На 1941 г. заводу утвержден план по выпуску 200 ЛаГГ-3. В соответствии с пост, правительства № 898-380сс от 11.04.1941 г. заводу выделено 150 станков.</w:t>
      </w:r>
      <w:r w:rsidRPr="00A3026E">
        <w:rPr>
          <w:rFonts w:ascii="Times New Roman" w:hAnsi="Times New Roman"/>
          <w:color w:val="000000" w:themeColor="text1"/>
          <w:sz w:val="16"/>
          <w:szCs w:val="16"/>
          <w:vertAlign w:val="superscript"/>
        </w:rPr>
        <w:t>144</w:t>
      </w:r>
    </w:p>
    <w:p w14:paraId="615FF1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НКАП № 21к от 2.01.1941 г. гл. конструктором завода № 165 назначен В.П. Яценко.</w:t>
      </w:r>
    </w:p>
    <w:p w14:paraId="38C578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завод № 165 1ГУ НКАП эвакуирован на площадку завода № 292 НКАП и влит в его состав. Выбыл из состава действующих с 09.1941 г.</w:t>
      </w:r>
    </w:p>
    <w:p w14:paraId="0AA3AD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Количество оборудования: (11.1940 г.)- 90 металлорежущих станков.</w:t>
      </w:r>
    </w:p>
    <w:p w14:paraId="4437AD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Директор (07.1940 г.-)- В.В. Ошко, М.П. Озимков.</w:t>
      </w:r>
    </w:p>
    <w:p w14:paraId="271387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(01-09.1941 г.)- В.П. Яценко.</w:t>
      </w:r>
    </w:p>
    <w:p w14:paraId="33417D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 завода № 165 НКАП</w:t>
      </w:r>
    </w:p>
    <w:p w14:paraId="726965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НКАП № 21к от 2.01.1941 г. гл. конструктором завода № 165 назначен В.П. Яценко (ранее ОКБ - на заводе № 81 НКАП), приказом № 31с от 18.01.1941 г. личный состав опытного отдела (32 чел., в том числе начальник КБ К.Д. Усиков, начальники секторов Н.В. Кирсанов, А.А. Орлов, А.Ф. Феофанов) и все имущество КБ завода № 81 было переведено на территорию завода № 165. Продолжены работы по И-28.</w:t>
      </w:r>
    </w:p>
    <w:p w14:paraId="506AA0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07.1941 г. В.П. Яценко переведен на завод № 1 НКАП (11982).</w:t>
      </w:r>
    </w:p>
    <w:p w14:paraId="25986DC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3B752E3"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AF3BD23"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2A11C874" w14:textId="77777777" w:rsidR="000567A2" w:rsidRPr="00A3026E" w:rsidRDefault="000567A2" w:rsidP="00A3026E">
      <w:pPr>
        <w:pStyle w:val="35"/>
        <w:shd w:val="clear" w:color="auto" w:fill="auto"/>
        <w:spacing w:after="0" w:line="240" w:lineRule="auto"/>
        <w:jc w:val="both"/>
        <w:rPr>
          <w:rFonts w:ascii="Times New Roman" w:cs="Times New Roman"/>
          <w:color w:val="0070C0"/>
          <w:spacing w:val="0"/>
          <w:sz w:val="16"/>
          <w:szCs w:val="16"/>
        </w:rPr>
      </w:pPr>
      <w:r w:rsidRPr="00A3026E">
        <w:rPr>
          <w:rFonts w:ascii="Times New Roman" w:cs="Times New Roman"/>
          <w:color w:val="0070C0"/>
          <w:spacing w:val="0"/>
          <w:sz w:val="16"/>
          <w:szCs w:val="16"/>
          <w:shd w:val="clear" w:color="auto" w:fill="FFFFFF"/>
        </w:rPr>
        <w:t>29 декабря 1940 вышло Постановление Комитета обороны при СНК СССР № 457сс "О постройке двух опытных образцов зенитной спаренной пушки „БЛ-140“" (22112).</w:t>
      </w:r>
    </w:p>
    <w:p w14:paraId="0743C21E" w14:textId="77777777" w:rsidR="000567A2" w:rsidRPr="00A3026E" w:rsidRDefault="000567A2" w:rsidP="00A3026E">
      <w:pPr>
        <w:pStyle w:val="35"/>
        <w:shd w:val="clear" w:color="auto" w:fill="auto"/>
        <w:spacing w:after="0" w:line="240" w:lineRule="auto"/>
        <w:jc w:val="both"/>
        <w:rPr>
          <w:rFonts w:ascii="Times New Roman" w:cs="Times New Roman"/>
          <w:color w:val="0070C0"/>
          <w:spacing w:val="0"/>
          <w:sz w:val="16"/>
          <w:szCs w:val="16"/>
        </w:rPr>
      </w:pPr>
    </w:p>
    <w:p w14:paraId="43ABA6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года прошло первое обсуждение некоторых вопросов намеченной модернизации Т-34. В этот день на заводе № 183 прошло техническое совещание по рассмотрению чертежей измененных бро- недеталей танка Т-34. на котором присутствовали: от завода № 183 - директор Максарев, главный инженер Махонин и главный конструктор завода Морозов, от Мариупольского завода имени Ильича — главный инженер Ниценко. главный технолог Ходос и главный технолог по литью Брагин, от Главспецмаша наркомата среднего машиностроения (в его состав входил завод № 183. - Прим. автора) Масальская, от ГАБТУ КА военинженеры 2-го ранга Козырев, Зухер и подполковник Панов. При этом многие предложенные варианты рассматривались в эскизах и черновиках, так как за столь короткое время - всего месяц с момента появления постановления № 428 и приказа по Наркомсредмашу № 268 - конструкторское бюро завода № 183, загруженное текущими заданиями по обеспечению серийного производства, не успело основательно проработать предложения.</w:t>
      </w:r>
    </w:p>
    <w:p w14:paraId="2B0E45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этом заседании заслушивался доклад главного конструктора завода № 183 А. Морозова «О модернизации танка Т-34», которая заключалась в следующем:</w:t>
      </w:r>
    </w:p>
    <w:p w14:paraId="5D958D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Расширение башни без изменения погона и при сохранении угла наклона бортов в 30 град. Толщина брони 45 мм.</w:t>
      </w:r>
    </w:p>
    <w:p w14:paraId="4D61F8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 равнопрочности бронирования артсистемы.</w:t>
      </w:r>
    </w:p>
    <w:p w14:paraId="4298B5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 введении дополнительной командирской башенки.</w:t>
      </w:r>
    </w:p>
    <w:p w14:paraId="776C82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Утолщение листа ниши башни до 20 мм.</w:t>
      </w:r>
    </w:p>
    <w:p w14:paraId="18E2D6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Утолщение листов днища корпуса до 20 мм в передней части до 16 мм в задней.</w:t>
      </w:r>
    </w:p>
    <w:p w14:paraId="5148F9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Изменение бронедеталей корпуса и башни в целях снятия лишнего веса.</w:t>
      </w:r>
    </w:p>
    <w:p w14:paraId="77959E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Допусках на толщины бронелиста</w:t>
      </w:r>
    </w:p>
    <w:p w14:paraId="41F4D8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Сначала рассматривались три варианта башен, предложенных конструкторами завода № 183. Первые два имели нормальны погон (1420 мм), «местные уширения в местах расположения орудийного расчета» и командирскую башенку над местом наводчика. Между собой эти варианты различались только формой изгиба бортовых листов. В ходе обсуждения присутствовавшие пришли к следующему мнению:</w:t>
      </w:r>
    </w:p>
    <w:p w14:paraId="691B7F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значительного усложнения бортов, требующей сложной штамповки и трудно осуществимой правки, признать конструкцию башни с местными уширениями для производства непригодной...</w:t>
      </w:r>
    </w:p>
    <w:p w14:paraId="5EEFB2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перехода на производство на один из предъявленных вариантов башен потребуется полная замена производственного инструмента (штампы, кондукторы, шаблоны, модели и т.д.) и необходимость на освоение и подготовку производства срока 2-3 месяца».</w:t>
      </w:r>
    </w:p>
    <w:p w14:paraId="2C8E40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Третий вариант башни был с погоном 1600 мм и расширенной носовой частью. Командирская башенка размещалась в корме, углы наклона бро- нелистов запроектировали 25 градусов на бортах и 15 градусов на лобовом и кормовом листах. В протоколе совещания отмечалось:</w:t>
      </w:r>
    </w:p>
    <w:p w14:paraId="6851A1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«Предъявленный третий вариант башни целиком удовлетворяет требованиям по размещению расчета, что обеспечивает удобное ведение прицельного огня и повышает темп стрельбы. Значительно улучшается обзорность из башни. Улучшена посадка экипажа за счет большего количества люков в башне.</w:t>
      </w:r>
    </w:p>
    <w:p w14:paraId="1E9E22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точки зрения производства брони башни, последняя значительно упрощена по сравнению с первыми двумя представленными вариантами. Для перехода на изготовление указанного варианта также потребуется замена производственного инструмента, но штампы будут менее сложные. Время для подготовки серийного производства башен этого варианта потребуется 2-3 месяца».</w:t>
      </w:r>
    </w:p>
    <w:p w14:paraId="33A47A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Рассмотренный литой вариант бронировки артсистемы. предложенный заводом № 92 отклонили из-за его неравнопрочности с основной броней танка. Изменения конструкции ряда бронедеталей. предложенные заводом № 183 для снижения массы (дно подкрылка, кормовой лист, уменьшение допусков на толщину бронелистов) были отклонены главным инженером завода имени Ильича Ниценко из-за значительного усложнения их производства.</w:t>
      </w:r>
    </w:p>
    <w:p w14:paraId="47F950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Особо рассматривались новые варианты передней части корпуса для установки башни без расширенного погона и с расширенным погоном. При этом предлагался «переход на цельно штампованный носовой узел (как на первых машинах А-34) вместо составного с литой балкой». Кроме того, для установки башни с расширенным погоном завод № 183 предлагал «изгибать носовой лист также в его верхней части, что обусловливается расширением отверстия в крыше, лучшим размещением водителя и радиста, более удобной установкой смотровых приборов и обеспечением люков посадки водителю и радисту». По заявлению главного инженера Мариупольского завода Ниценко такой изгиб бронелиста был возможен, но «представляет трудности и может быть изготовлен только с использованием судового пресса, что затрагивает снижение программы по судовой броне и может быть использован только с разрешения НКСП (наркомата судостроительной промышленности, в его состав входил завод имени Ильича)» (12217).</w:t>
      </w:r>
    </w:p>
    <w:p w14:paraId="42954B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по броневым деталям корпуса Т-34, в которые планировалось места изменения в 1941 год, завод №183 предоставил 27 чертежей, из них по 15 между Харьковом и Мариупольским заводом соглашение не было достигнуто. При этом представители последнего говорили следующее:</w:t>
      </w:r>
    </w:p>
    <w:p w14:paraId="74852D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«Невзирая на многократные переговоры завода им. Ильича с заводом им. Коминтерна о максимальных упрощениях деталей с целью увеличения выпуска их, без снижения боевых свойств машины, предъявляемые для просмотра эскизы не говорят о проведенной работе конструкторами зав. им. Коминтерна по упрощению деталей, а наоборот - все детали по модернизированной машине на 1941 г. максимально усложнены и сделаны такими, что производство их в значительной степени будет осложнено...</w:t>
      </w:r>
    </w:p>
    <w:p w14:paraId="341FFE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Особо необходимо отметить, увеличения числа литых деталей, представленных на рассмотрение заводом им. Коминтерна (шит водителя, бронировка системы Ф-34, командирская башенка, лобовой шит башни). Все перечисленные детали, в дополнение к отливаемым деталям на Мариупольском заводе, к производству не могут быть приняты в силу недостаточности производственных мощностей - печей и площадей».</w:t>
      </w:r>
    </w:p>
    <w:p w14:paraId="4A7686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приведенных документов хорошо видно, что между броневым (Мариуполь) и танковым (Харьков) заводами имелся целый ряд противоречий по вопросам изготовления деталей для тридцатьчетверки. Естественно, у каждого из предприятий была своя правда - харьковчане пытались повысить боевые свойства Т-34, а завод имени Ильича, перегруженный заказами для военно-морского флота, пытался сохранить производство в существующем виде, затрачивая минимум средств на изготовление дополнительной оснастки и не задействуя дефицитное прессовое оборудование.</w:t>
      </w:r>
    </w:p>
    <w:p w14:paraId="4014A2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вопросу модернизации танка Т-34 Федоренко заручился поддержкой одного из членов Комитета Обороны Маршала Советского Союза Г. Кулика. Последнего во многих публикациях изображают недалеким человеком, совершенно не смыслящем в военной технике. Однако документы рисуют несколько иную картину. Возможно, Григорий Кулик и не отличался выдающимися способностями, но точно мог разобраться в представляемых на его рассмотрение вопросах и принять верное решение (12217).</w:t>
      </w:r>
    </w:p>
    <w:p w14:paraId="72B2477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C6CF1BB" w14:textId="77777777" w:rsidR="0014077F"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3A8267AE"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37D042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было совещание высшего комсостава и выступил П.В.Рычагов с докладом "ВВС в наступательной операции и в борьбе за господство в воздухе" (66,248). Выразил сомнение, что можно уничтожать самолеты противника на аэродромах. Хрен застанешь. Другие поддержали и сомневались, что немцы смогут. С.К.Тимошенко тоже поддержал. Решающий эффект - не в действиях в далеком тылу, а в совместных действиях с войсками (66,249). Главное не учитывалась возможность завоевания противником стратегического господства в воздухе.</w:t>
      </w:r>
    </w:p>
    <w:p w14:paraId="4B9001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существу вырабатывалась новая военная доктрина (66,248).</w:t>
      </w:r>
    </w:p>
    <w:p w14:paraId="6EA0BDA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79991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вышел приказ НК ВМФ №00300 "По боевой подготовке на 1941 г.", который устанавливались основные задачи на обучение в наступающем году:</w:t>
      </w:r>
    </w:p>
    <w:p w14:paraId="49664A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 целях повышения боеготовности и улучшения качества боевой подготовки авиации...</w:t>
      </w:r>
    </w:p>
    <w:p w14:paraId="744E5C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минно-торпедных полках существующую дифференциацию эскадрилий по высотно-низкому торпедометанию сохранить, подготовив по одной эскадрилье для действий ночью.</w:t>
      </w:r>
    </w:p>
    <w:p w14:paraId="7D50AE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 учениях ВВС флота и легно-тактических учениях соединений и частей отработать:</w:t>
      </w:r>
    </w:p>
    <w:p w14:paraId="1B4D82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взаимодействие торпедоносной и бомбардировочной авиации при совместном ударе по боевым кораблям и десантным транспортам в море под прикрытием истребительной авиации и наведении самолетами-разведчиками...</w:t>
      </w:r>
    </w:p>
    <w:p w14:paraId="07A668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9. По минно-торпедной подготовке летному составу 1 года обучения овладеть высотным и низким торпедометанием днем по подвижной цели, с использованием дымовой завесы.</w:t>
      </w:r>
    </w:p>
    <w:p w14:paraId="15FDC2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Летному составу 2 года обучения и старше - торпедометанием звеньями по маневрирующей цели, во взаимодействии с другими силами флота, днем.</w:t>
      </w:r>
    </w:p>
    <w:p w14:paraId="4313BEA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Всему летному составу минно-торпедной авиации овладеть постановкой мин заграждения на фарватерах, в заданной точке моря и на пути эскадры (конвоя).</w:t>
      </w:r>
    </w:p>
    <w:p w14:paraId="67857C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Кадрам и летному составу ночных эскадрилий освоить высотное торпедометание по движущейся цели в море и постановку минных заграждений в узкостях, на фарватерах, в заданной точке на море - лунной ночью" (12002).</w:t>
      </w:r>
    </w:p>
    <w:p w14:paraId="06F432A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148BC4F"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E6D1C02"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7AD8557C" w14:textId="77777777" w:rsidR="000472A9" w:rsidRPr="00A3026E" w:rsidRDefault="000472A9"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color w:val="000000" w:themeColor="text1"/>
          <w:sz w:val="16"/>
          <w:szCs w:val="16"/>
        </w:rPr>
        <w:t>29 декабря в 1940 году «Люфтваффе» совершили очередной массированный налет-возмездие на Лондон, самый массированный за всю историю "Битвы за Британию". В результате массированного налета немецкой авиации повреждается собор Святого Павла в Лондоне. В эту ночь должно было быть уничтожено лондонское Сити.</w:t>
      </w:r>
    </w:p>
    <w:p w14:paraId="5854714E"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Поскольку по выходным неработающий деловой центр города оставался практически без пожарной охраны, в городе стали бушевать пожары. Этот налет был повторен на следующий день и был самым тяжелым из тех, что пережил Лондон (14875).</w:t>
      </w:r>
    </w:p>
    <w:p w14:paraId="3A8B8F88" w14:textId="77777777" w:rsidR="000472A9" w:rsidRPr="00A3026E" w:rsidRDefault="000472A9" w:rsidP="00A3026E">
      <w:pPr>
        <w:spacing w:after="0" w:line="240" w:lineRule="auto"/>
        <w:jc w:val="both"/>
        <w:rPr>
          <w:rFonts w:ascii="Times New Roman" w:hAnsi="Times New Roman"/>
          <w:color w:val="000000" w:themeColor="text1"/>
          <w:sz w:val="16"/>
          <w:szCs w:val="16"/>
        </w:rPr>
      </w:pPr>
    </w:p>
    <w:p w14:paraId="6F04D681" w14:textId="77777777" w:rsidR="000567A2" w:rsidRPr="00A3026E" w:rsidRDefault="000567A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29–30 декабря (ночь) 1940 Люфтваффе совершает разрушительную атаку на Лондон , широко применяя зажигательные бомбы (20795).</w:t>
      </w:r>
    </w:p>
    <w:p w14:paraId="27A6037B" w14:textId="77777777" w:rsidR="000567A2" w:rsidRPr="00A3026E" w:rsidRDefault="000567A2" w:rsidP="00A3026E">
      <w:pPr>
        <w:spacing w:after="0" w:line="240" w:lineRule="auto"/>
        <w:jc w:val="both"/>
        <w:rPr>
          <w:rFonts w:ascii="Times New Roman" w:hAnsi="Times New Roman"/>
          <w:color w:val="0070C0"/>
          <w:sz w:val="16"/>
          <w:szCs w:val="16"/>
        </w:rPr>
      </w:pPr>
    </w:p>
    <w:p w14:paraId="26E05FD3" w14:textId="77777777" w:rsidR="000567A2" w:rsidRPr="00A3026E" w:rsidRDefault="000567A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29–30 декабря (ночь) 1940 - Люфтваффе совершили очередной массированный налет-возмездие на Лондон, самый массированный за всю историю "Битвы за Британию". В результате массированного налета немецкой авиации повреждается собор Святого Павла в Лондоне. В эту ночь должно было быть уничтожено лондонское Сити. Поскольку по выходным неработающий деловой центр города оставался практически без пожарной охраны, в городе стали бушевать пожары. Этот налет был повторен на следующий день и был самым тяжелым из тех, что пережил Лондон (22688).</w:t>
      </w:r>
    </w:p>
    <w:p w14:paraId="08C8E8D7" w14:textId="77777777" w:rsidR="000567A2" w:rsidRPr="00A3026E" w:rsidRDefault="000567A2" w:rsidP="00A3026E">
      <w:pPr>
        <w:spacing w:after="0" w:line="240" w:lineRule="auto"/>
        <w:jc w:val="both"/>
        <w:rPr>
          <w:rFonts w:ascii="Times New Roman" w:hAnsi="Times New Roman"/>
          <w:color w:val="0070C0"/>
          <w:sz w:val="16"/>
          <w:szCs w:val="16"/>
        </w:rPr>
      </w:pPr>
    </w:p>
    <w:p w14:paraId="170E383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из-за массированного налета немецкой авиации поврежден собор Святого Павла в Лондоне (4962).</w:t>
      </w:r>
    </w:p>
    <w:p w14:paraId="178F475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6EB162CB"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December 29/30 1940 Massive German air raid on London (1050).</w:t>
      </w:r>
    </w:p>
    <w:p w14:paraId="262805CD" w14:textId="77777777" w:rsidR="0014077F" w:rsidRPr="00A3026E" w:rsidRDefault="0014077F" w:rsidP="00A3026E">
      <w:pPr>
        <w:spacing w:after="0" w:line="240" w:lineRule="auto"/>
        <w:jc w:val="both"/>
        <w:rPr>
          <w:rFonts w:ascii="Times New Roman" w:hAnsi="Times New Roman"/>
          <w:color w:val="000000" w:themeColor="text1"/>
          <w:sz w:val="16"/>
          <w:szCs w:val="16"/>
          <w:lang w:val="en-US"/>
        </w:rPr>
      </w:pPr>
    </w:p>
    <w:p w14:paraId="68734D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ночь с 29 на 30 декабря 1940 состоялся массированный немецкий налет на Лондон (1050).</w:t>
      </w:r>
    </w:p>
    <w:p w14:paraId="2A68ABC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C91FA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ночь с 29 на 30 декабря 1940 состоялся массированный немецкий налет на Лондон (1050). А.Г. приказал продолжить еще 5 ночей, но помешала погода (2536,351).</w:t>
      </w:r>
    </w:p>
    <w:p w14:paraId="5750908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8C63C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декабря 1940 Ф.Д.Р. в радиовыступлении назвал США арсеналом демократии (2100).</w:t>
      </w:r>
    </w:p>
    <w:p w14:paraId="780CCF9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E840DA6"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B0C6BA7"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368AB1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Приказом по НКАП № 785 директор завода № 24 Ду</w:t>
      </w:r>
      <w:r w:rsidRPr="00A3026E">
        <w:rPr>
          <w:rFonts w:ascii="Times New Roman" w:hAnsi="Times New Roman"/>
          <w:color w:val="000000" w:themeColor="text1"/>
          <w:sz w:val="16"/>
          <w:szCs w:val="16"/>
        </w:rPr>
        <w:softHyphen/>
        <w:t>бов и Главный конструктор Микулин обязывались, не дожидаясь результатов запланированных на 1-й квартал 1941 г. совместных испытаний мотора АМ-38, организовать с 1 января 1941 г. его се</w:t>
      </w:r>
      <w:r w:rsidRPr="00A3026E">
        <w:rPr>
          <w:rFonts w:ascii="Times New Roman" w:hAnsi="Times New Roman"/>
          <w:color w:val="000000" w:themeColor="text1"/>
          <w:sz w:val="16"/>
          <w:szCs w:val="16"/>
        </w:rPr>
        <w:softHyphen/>
        <w:t>рийное производство с выпуском в 1-м квартале - 50 штук, во II-м квартале -475 штук, в III-M квартале - 700 штук и в IV-м квартале - 775 штук. Всего за год - 2000 моторов. Этим же приказом про</w:t>
      </w:r>
      <w:r w:rsidRPr="00A3026E">
        <w:rPr>
          <w:rFonts w:ascii="Times New Roman" w:hAnsi="Times New Roman"/>
          <w:color w:val="000000" w:themeColor="text1"/>
          <w:sz w:val="16"/>
          <w:szCs w:val="16"/>
        </w:rPr>
        <w:softHyphen/>
        <w:t>грамма выпуска АМ-35А на 24-м заводе была сокращена на 2000 штук (6467).</w:t>
      </w:r>
    </w:p>
    <w:p w14:paraId="01B6E8D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1100F0B" w14:textId="77777777" w:rsidR="00E6586E" w:rsidRPr="00A3026E" w:rsidRDefault="00E6586E" w:rsidP="00A3026E">
      <w:pPr>
        <w:pStyle w:val="ae"/>
        <w:shd w:val="clear" w:color="auto" w:fill="FFFFFF"/>
        <w:spacing w:before="0" w:after="0"/>
        <w:jc w:val="both"/>
        <w:rPr>
          <w:color w:val="000000" w:themeColor="text1"/>
          <w:sz w:val="16"/>
          <w:szCs w:val="16"/>
        </w:rPr>
      </w:pPr>
      <w:r w:rsidRPr="00A3026E">
        <w:rPr>
          <w:color w:val="000000" w:themeColor="text1"/>
          <w:sz w:val="16"/>
          <w:szCs w:val="16"/>
        </w:rPr>
        <w:t>30 декабря 1940 вышел приказ НКАП № 785сс</w:t>
      </w:r>
    </w:p>
    <w:p w14:paraId="401E1202" w14:textId="77777777" w:rsidR="00E6586E" w:rsidRPr="00A3026E" w:rsidRDefault="00E6586E" w:rsidP="00A3026E">
      <w:pPr>
        <w:pStyle w:val="ae"/>
        <w:shd w:val="clear" w:color="auto" w:fill="FFFFFF"/>
        <w:spacing w:before="0" w:after="0"/>
        <w:jc w:val="both"/>
        <w:rPr>
          <w:color w:val="000000" w:themeColor="text1"/>
          <w:sz w:val="16"/>
          <w:szCs w:val="16"/>
        </w:rPr>
      </w:pPr>
      <w:r w:rsidRPr="00A3026E">
        <w:rPr>
          <w:color w:val="000000" w:themeColor="text1"/>
          <w:sz w:val="16"/>
          <w:szCs w:val="16"/>
        </w:rPr>
        <w:t>О выпуске моторов АМ-38 на заводе №24. Директорам заводов 18, 35 и 381 выпускать Ил-2 с моторами АМ-38 (19706).</w:t>
      </w:r>
    </w:p>
    <w:p w14:paraId="5CA5AE9E" w14:textId="77777777" w:rsidR="00E6586E" w:rsidRPr="00A3026E" w:rsidRDefault="00E6586E" w:rsidP="00A3026E">
      <w:pPr>
        <w:pStyle w:val="ae"/>
        <w:shd w:val="clear" w:color="auto" w:fill="FFFFFF"/>
        <w:spacing w:before="0" w:after="0"/>
        <w:jc w:val="both"/>
        <w:rPr>
          <w:color w:val="000000" w:themeColor="text1"/>
          <w:sz w:val="16"/>
          <w:szCs w:val="16"/>
        </w:rPr>
      </w:pPr>
    </w:p>
    <w:p w14:paraId="5B28BF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г. приказом А.И. Шахури</w:t>
      </w:r>
      <w:r w:rsidRPr="00A3026E">
        <w:rPr>
          <w:rFonts w:ascii="Times New Roman" w:hAnsi="Times New Roman"/>
          <w:color w:val="000000" w:themeColor="text1"/>
          <w:sz w:val="16"/>
          <w:szCs w:val="16"/>
        </w:rPr>
        <w:softHyphen/>
        <w:t>на № 785 программа выпуска АМ-35А на заводе № 24 была сокращена на 2000 штук. Этим же приказом директор завода № 24 Ду</w:t>
      </w:r>
      <w:r w:rsidRPr="00A3026E">
        <w:rPr>
          <w:rFonts w:ascii="Times New Roman" w:hAnsi="Times New Roman"/>
          <w:color w:val="000000" w:themeColor="text1"/>
          <w:sz w:val="16"/>
          <w:szCs w:val="16"/>
        </w:rPr>
        <w:softHyphen/>
        <w:t>бов и Главный конструктор Микулин обязывались, не дожидаясь результа</w:t>
      </w:r>
      <w:r w:rsidRPr="00A3026E">
        <w:rPr>
          <w:rFonts w:ascii="Times New Roman" w:hAnsi="Times New Roman"/>
          <w:color w:val="000000" w:themeColor="text1"/>
          <w:sz w:val="16"/>
          <w:szCs w:val="16"/>
        </w:rPr>
        <w:softHyphen/>
        <w:t>тов запланированных на 1-й квартал 1941 г. совместных испытаний мото</w:t>
      </w:r>
      <w:r w:rsidRPr="00A3026E">
        <w:rPr>
          <w:rFonts w:ascii="Times New Roman" w:hAnsi="Times New Roman"/>
          <w:color w:val="000000" w:themeColor="text1"/>
          <w:sz w:val="16"/>
          <w:szCs w:val="16"/>
        </w:rPr>
        <w:softHyphen/>
        <w:t xml:space="preserve">ра АМ-38, организовать с 1 января 1941 г. его серийное производство с выпуском в 1-м квартале 50 штук, во 11-м - 475, в Ш-м - 700 и в </w:t>
      </w:r>
      <w:r w:rsidRPr="00A3026E">
        <w:rPr>
          <w:rFonts w:ascii="Times New Roman" w:hAnsi="Times New Roman"/>
          <w:smallCaps/>
          <w:color w:val="000000" w:themeColor="text1"/>
          <w:sz w:val="16"/>
          <w:szCs w:val="16"/>
        </w:rPr>
        <w:t xml:space="preserve">iv-m </w:t>
      </w:r>
      <w:r w:rsidRPr="00A3026E">
        <w:rPr>
          <w:rFonts w:ascii="Times New Roman" w:hAnsi="Times New Roman"/>
          <w:color w:val="000000" w:themeColor="text1"/>
          <w:sz w:val="16"/>
          <w:szCs w:val="16"/>
        </w:rPr>
        <w:t>- 775 (всего за год — 2000 моторов) (4140).</w:t>
      </w:r>
    </w:p>
    <w:p w14:paraId="454F7A9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51DD1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вышел приказ НКАП N 785сс "О выпуске моторов АМ-38 на заводе 24":</w:t>
      </w:r>
    </w:p>
    <w:p w14:paraId="33EDEC7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исполнение постановления Правительства от 28 декабря 1940 года, ПРИКАЗЫВАЮ:</w:t>
      </w:r>
    </w:p>
    <w:p w14:paraId="49961B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Заместителю Наркома тов. Баландину В.П., директору завода N 24 тов. В.М.Дубову и Главному конструктору тов. Микулину:</w:t>
      </w:r>
    </w:p>
    <w:p w14:paraId="1EB092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 1 января 1941 года на заводе 24 поставить производство моторов АМ-38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4169"/>
      </w:tblGrid>
      <w:tr w:rsidR="00983732" w:rsidRPr="00A3026E" w14:paraId="7383DF30" w14:textId="77777777" w:rsidTr="00EA0DA7">
        <w:tc>
          <w:tcPr>
            <w:tcW w:w="5749" w:type="dxa"/>
            <w:tcBorders>
              <w:top w:val="single" w:sz="12" w:space="0" w:color="auto"/>
            </w:tcBorders>
          </w:tcPr>
          <w:p w14:paraId="76ECD8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Взлетная мощность</w:t>
            </w:r>
          </w:p>
        </w:tc>
        <w:tc>
          <w:tcPr>
            <w:tcW w:w="4169" w:type="dxa"/>
            <w:tcBorders>
              <w:top w:val="single" w:sz="12" w:space="0" w:color="auto"/>
            </w:tcBorders>
          </w:tcPr>
          <w:p w14:paraId="7732D0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 л.с.</w:t>
            </w:r>
          </w:p>
        </w:tc>
      </w:tr>
      <w:tr w:rsidR="00983732" w:rsidRPr="00A3026E" w14:paraId="73253999" w14:textId="77777777" w:rsidTr="00EA0DA7">
        <w:tc>
          <w:tcPr>
            <w:tcW w:w="5749" w:type="dxa"/>
            <w:tcBorders>
              <w:bottom w:val="single" w:sz="12" w:space="0" w:color="auto"/>
            </w:tcBorders>
          </w:tcPr>
          <w:p w14:paraId="25162F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Номинальная у земли</w:t>
            </w:r>
          </w:p>
        </w:tc>
        <w:tc>
          <w:tcPr>
            <w:tcW w:w="4169" w:type="dxa"/>
            <w:tcBorders>
              <w:bottom w:val="single" w:sz="12" w:space="0" w:color="auto"/>
            </w:tcBorders>
          </w:tcPr>
          <w:p w14:paraId="5F1992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 л.с.</w:t>
            </w:r>
          </w:p>
        </w:tc>
      </w:tr>
    </w:tbl>
    <w:p w14:paraId="761F9D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Сдать первый экземпляр мотора АМ-38 на совместные стендовые испытания к 15 января 1941. испытания завершить к 1 февраля.</w:t>
      </w:r>
    </w:p>
    <w:p w14:paraId="35F153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Зам. Наркома тов. Баландину В.П. и директору завода N 24 В.М.Дубову:</w:t>
      </w:r>
    </w:p>
    <w:p w14:paraId="061F81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для выполнения доводочных работ по мотору АМ-38 в счет программы по моторам АМ-38 изготовить для ОКБ завода 5 штук моторов, засчитав их в график поставки моторов.</w:t>
      </w:r>
    </w:p>
    <w:p w14:paraId="01A76D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немедленно запустить моторы АМ-38 в серийное производство, не дожидаясь результатов совместных испытаний.</w:t>
      </w:r>
    </w:p>
    <w:p w14:paraId="0F2098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Обеспечить выполнение заводом 24 программы по выпуску моторов АМ-28 в 1941 году в количестве 2000 штук: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6"/>
        <w:gridCol w:w="1916"/>
        <w:gridCol w:w="1916"/>
      </w:tblGrid>
      <w:tr w:rsidR="00983732" w:rsidRPr="00A3026E" w14:paraId="44DEEDAF" w14:textId="77777777" w:rsidTr="00EA0DA7">
        <w:tc>
          <w:tcPr>
            <w:tcW w:w="1916" w:type="dxa"/>
            <w:tcBorders>
              <w:top w:val="single" w:sz="12" w:space="0" w:color="auto"/>
            </w:tcBorders>
          </w:tcPr>
          <w:p w14:paraId="7092A7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них:</w:t>
            </w:r>
          </w:p>
        </w:tc>
        <w:tc>
          <w:tcPr>
            <w:tcW w:w="1916" w:type="dxa"/>
            <w:tcBorders>
              <w:top w:val="single" w:sz="12" w:space="0" w:color="auto"/>
            </w:tcBorders>
          </w:tcPr>
          <w:p w14:paraId="451E592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первом квартале 1941</w:t>
            </w:r>
          </w:p>
        </w:tc>
        <w:tc>
          <w:tcPr>
            <w:tcW w:w="1916" w:type="dxa"/>
            <w:tcBorders>
              <w:top w:val="single" w:sz="12" w:space="0" w:color="auto"/>
            </w:tcBorders>
          </w:tcPr>
          <w:p w14:paraId="384EDF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 моторов</w:t>
            </w:r>
          </w:p>
        </w:tc>
      </w:tr>
      <w:tr w:rsidR="00983732" w:rsidRPr="00A3026E" w14:paraId="7A1CEB41" w14:textId="77777777" w:rsidTr="00EA0DA7">
        <w:tc>
          <w:tcPr>
            <w:tcW w:w="1916" w:type="dxa"/>
          </w:tcPr>
          <w:p w14:paraId="3751212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916" w:type="dxa"/>
          </w:tcPr>
          <w:p w14:paraId="3E7283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втором</w:t>
            </w:r>
          </w:p>
        </w:tc>
        <w:tc>
          <w:tcPr>
            <w:tcW w:w="1916" w:type="dxa"/>
          </w:tcPr>
          <w:p w14:paraId="4A2EA2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475</w:t>
            </w:r>
          </w:p>
        </w:tc>
      </w:tr>
      <w:tr w:rsidR="00983732" w:rsidRPr="00A3026E" w14:paraId="12649F88" w14:textId="77777777" w:rsidTr="00EA0DA7">
        <w:tc>
          <w:tcPr>
            <w:tcW w:w="1916" w:type="dxa"/>
          </w:tcPr>
          <w:p w14:paraId="427A05E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916" w:type="dxa"/>
          </w:tcPr>
          <w:p w14:paraId="5E40B7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третьем</w:t>
            </w:r>
          </w:p>
        </w:tc>
        <w:tc>
          <w:tcPr>
            <w:tcW w:w="1916" w:type="dxa"/>
          </w:tcPr>
          <w:p w14:paraId="73C2C7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r>
      <w:tr w:rsidR="00983732" w:rsidRPr="00A3026E" w14:paraId="23FD6771" w14:textId="77777777" w:rsidTr="00EA0DA7">
        <w:tc>
          <w:tcPr>
            <w:tcW w:w="1916" w:type="dxa"/>
            <w:tcBorders>
              <w:bottom w:val="single" w:sz="12" w:space="0" w:color="auto"/>
            </w:tcBorders>
          </w:tcPr>
          <w:p w14:paraId="3948CDB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916" w:type="dxa"/>
            <w:tcBorders>
              <w:bottom w:val="single" w:sz="12" w:space="0" w:color="auto"/>
            </w:tcBorders>
          </w:tcPr>
          <w:p w14:paraId="3907DC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четвертом</w:t>
            </w:r>
          </w:p>
        </w:tc>
        <w:tc>
          <w:tcPr>
            <w:tcW w:w="1916" w:type="dxa"/>
            <w:tcBorders>
              <w:bottom w:val="single" w:sz="12" w:space="0" w:color="auto"/>
            </w:tcBorders>
          </w:tcPr>
          <w:p w14:paraId="7D9DA6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774 (417,31)</w:t>
            </w:r>
          </w:p>
        </w:tc>
      </w:tr>
    </w:tbl>
    <w:p w14:paraId="4B7612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Установить следующий график выпуска мотора АМ-38 на январь, февраль и март месяцы 1941: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6"/>
        <w:gridCol w:w="1916"/>
      </w:tblGrid>
      <w:tr w:rsidR="00983732" w:rsidRPr="00A3026E" w14:paraId="4A34C367" w14:textId="77777777" w:rsidTr="00EA0DA7">
        <w:tc>
          <w:tcPr>
            <w:tcW w:w="1916" w:type="dxa"/>
            <w:tcBorders>
              <w:top w:val="single" w:sz="12" w:space="0" w:color="auto"/>
            </w:tcBorders>
          </w:tcPr>
          <w:p w14:paraId="0B9E3D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января</w:t>
            </w:r>
          </w:p>
        </w:tc>
        <w:tc>
          <w:tcPr>
            <w:tcW w:w="1916" w:type="dxa"/>
            <w:tcBorders>
              <w:top w:val="single" w:sz="12" w:space="0" w:color="auto"/>
            </w:tcBorders>
          </w:tcPr>
          <w:p w14:paraId="50BBA8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мотор</w:t>
            </w:r>
          </w:p>
        </w:tc>
      </w:tr>
      <w:tr w:rsidR="00983732" w:rsidRPr="00A3026E" w14:paraId="695813B2" w14:textId="77777777" w:rsidTr="00EA0DA7">
        <w:tc>
          <w:tcPr>
            <w:tcW w:w="1916" w:type="dxa"/>
          </w:tcPr>
          <w:p w14:paraId="653925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января</w:t>
            </w:r>
          </w:p>
        </w:tc>
        <w:tc>
          <w:tcPr>
            <w:tcW w:w="1916" w:type="dxa"/>
          </w:tcPr>
          <w:p w14:paraId="5C4F4D5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4F5C0431" w14:textId="77777777" w:rsidTr="00EA0DA7">
        <w:tc>
          <w:tcPr>
            <w:tcW w:w="1916" w:type="dxa"/>
          </w:tcPr>
          <w:p w14:paraId="72F879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916" w:type="dxa"/>
          </w:tcPr>
          <w:p w14:paraId="41680A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19A78133" w14:textId="77777777" w:rsidTr="00EA0DA7">
        <w:tc>
          <w:tcPr>
            <w:tcW w:w="1916" w:type="dxa"/>
          </w:tcPr>
          <w:p w14:paraId="1819B8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1916" w:type="dxa"/>
          </w:tcPr>
          <w:p w14:paraId="2DC5D5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387A575A" w14:textId="77777777" w:rsidTr="00EA0DA7">
        <w:tc>
          <w:tcPr>
            <w:tcW w:w="1916" w:type="dxa"/>
          </w:tcPr>
          <w:p w14:paraId="4A143A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1916" w:type="dxa"/>
          </w:tcPr>
          <w:p w14:paraId="051CAF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0F079FD3" w14:textId="77777777" w:rsidTr="00EA0DA7">
        <w:tc>
          <w:tcPr>
            <w:tcW w:w="1916" w:type="dxa"/>
          </w:tcPr>
          <w:p w14:paraId="4875DC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1916" w:type="dxa"/>
          </w:tcPr>
          <w:p w14:paraId="6C86EB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35F2FE78" w14:textId="77777777" w:rsidTr="00EA0DA7">
        <w:tc>
          <w:tcPr>
            <w:tcW w:w="1916" w:type="dxa"/>
          </w:tcPr>
          <w:p w14:paraId="328B11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1916" w:type="dxa"/>
          </w:tcPr>
          <w:p w14:paraId="1C20EB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544B296B" w14:textId="77777777" w:rsidTr="00EA0DA7">
        <w:tc>
          <w:tcPr>
            <w:tcW w:w="1916" w:type="dxa"/>
          </w:tcPr>
          <w:p w14:paraId="461922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февраля</w:t>
            </w:r>
          </w:p>
        </w:tc>
        <w:tc>
          <w:tcPr>
            <w:tcW w:w="1916" w:type="dxa"/>
          </w:tcPr>
          <w:p w14:paraId="4D5516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75F138B0" w14:textId="77777777" w:rsidTr="00EA0DA7">
        <w:tc>
          <w:tcPr>
            <w:tcW w:w="1916" w:type="dxa"/>
          </w:tcPr>
          <w:p w14:paraId="6280E0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1916" w:type="dxa"/>
          </w:tcPr>
          <w:p w14:paraId="052EF8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68CA7F5D" w14:textId="77777777" w:rsidTr="00EA0DA7">
        <w:tc>
          <w:tcPr>
            <w:tcW w:w="1916" w:type="dxa"/>
          </w:tcPr>
          <w:p w14:paraId="4218B5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1916" w:type="dxa"/>
          </w:tcPr>
          <w:p w14:paraId="48E734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76D1D5E7" w14:textId="77777777" w:rsidTr="00EA0DA7">
        <w:tc>
          <w:tcPr>
            <w:tcW w:w="1916" w:type="dxa"/>
          </w:tcPr>
          <w:p w14:paraId="3B84EF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1916" w:type="dxa"/>
          </w:tcPr>
          <w:p w14:paraId="75EF42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5900C909" w14:textId="77777777" w:rsidTr="00EA0DA7">
        <w:tc>
          <w:tcPr>
            <w:tcW w:w="1916" w:type="dxa"/>
          </w:tcPr>
          <w:p w14:paraId="6B0803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1916" w:type="dxa"/>
          </w:tcPr>
          <w:p w14:paraId="2D7412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797BB308" w14:textId="77777777" w:rsidTr="00EA0DA7">
        <w:tc>
          <w:tcPr>
            <w:tcW w:w="1916" w:type="dxa"/>
          </w:tcPr>
          <w:p w14:paraId="0E2D44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tc>
        <w:tc>
          <w:tcPr>
            <w:tcW w:w="1916" w:type="dxa"/>
          </w:tcPr>
          <w:p w14:paraId="79A2E6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0A94F08D" w14:textId="77777777" w:rsidTr="00EA0DA7">
        <w:tc>
          <w:tcPr>
            <w:tcW w:w="1916" w:type="dxa"/>
          </w:tcPr>
          <w:p w14:paraId="199045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916" w:type="dxa"/>
          </w:tcPr>
          <w:p w14:paraId="4EBB82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6F55D672" w14:textId="77777777" w:rsidTr="00EA0DA7">
        <w:tc>
          <w:tcPr>
            <w:tcW w:w="1916" w:type="dxa"/>
            <w:tcBorders>
              <w:bottom w:val="single" w:sz="12" w:space="0" w:color="auto"/>
            </w:tcBorders>
          </w:tcPr>
          <w:p w14:paraId="0EDD06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16 марта - по 2 мотора</w:t>
            </w:r>
          </w:p>
        </w:tc>
        <w:tc>
          <w:tcPr>
            <w:tcW w:w="1916" w:type="dxa"/>
            <w:tcBorders>
              <w:bottom w:val="single" w:sz="12" w:space="0" w:color="auto"/>
            </w:tcBorders>
          </w:tcPr>
          <w:p w14:paraId="503DD65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bl>
    <w:p w14:paraId="4B10CE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В связи с постановкой производства на заводе 24 моторов АМ-38 во изменение моего приказа от 9 декабря N 702 п. 3, по. "б" изменить программу выпуска моторов АМ-35А на заводе 24, уменьшив ее на 2000 моторов.</w:t>
      </w:r>
    </w:p>
    <w:p w14:paraId="5ED84E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В изменение приказа по НКАП от 29 июля N 379 уменьшить программу выпуска моторов АМ-34 НБ на 43 штуки.</w:t>
      </w:r>
    </w:p>
    <w:p w14:paraId="2B4D36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Снять с программы 1940 года моторы АМ-36 как не доведенные. (417,32).</w:t>
      </w:r>
    </w:p>
    <w:p w14:paraId="4C3B444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3. Заместителю Начальника 3-го Главного Управления тов. КАМИНСКОМУ, в целях обеспечения программы выпуска моторов и обес</w:t>
      </w:r>
      <w:r w:rsidRPr="00A3026E">
        <w:rPr>
          <w:rFonts w:ascii="Times New Roman" w:hAnsi="Times New Roman"/>
          <w:color w:val="000000" w:themeColor="text1"/>
          <w:sz w:val="16"/>
          <w:szCs w:val="16"/>
        </w:rPr>
        <w:softHyphen/>
        <w:t>печения работы по графику, поставить заводу № 24 в январе 1941 года 102 станка (из фондов НКАП, приложение № 1) и 1 станок "Паркинсон" модель 23 или модель 16 для обработки шестерен ре</w:t>
      </w:r>
      <w:r w:rsidRPr="00A3026E">
        <w:rPr>
          <w:rFonts w:ascii="Times New Roman" w:hAnsi="Times New Roman"/>
          <w:color w:val="000000" w:themeColor="text1"/>
          <w:sz w:val="16"/>
          <w:szCs w:val="16"/>
        </w:rPr>
        <w:softHyphen/>
        <w:t>дуктора с завода № 82, а также обеспечить получение:</w:t>
      </w:r>
    </w:p>
    <w:p w14:paraId="18B7961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24-х станков со Всесоюзной выставки станков.</w:t>
      </w:r>
    </w:p>
    <w:p w14:paraId="560698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90 станков (согласно приложения № 2) которые МГК ВКП(б) необходимо изыскать на заводах и предприятиях гор.Москвы и Москов</w:t>
      </w:r>
      <w:r w:rsidRPr="00A3026E">
        <w:rPr>
          <w:rFonts w:ascii="Times New Roman" w:hAnsi="Times New Roman"/>
          <w:color w:val="000000" w:themeColor="text1"/>
          <w:sz w:val="16"/>
          <w:szCs w:val="16"/>
        </w:rPr>
        <w:softHyphen/>
        <w:t>ской области и- с утверждения Экономсовета направить на завод № 24 (417,32).</w:t>
      </w:r>
    </w:p>
    <w:p w14:paraId="5605CE7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7CDE3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г. приказом А. И. Шахурина № 785 программа производства АМ-35А на заводе № 24 была сокращена на 2000 штук, а ведь этот мотор устанавливался на скоростной истребитель МиГ-1 (позже МиГ-3), которому он был нужнее, чем низковысотному штурмовику (9649).</w:t>
      </w:r>
    </w:p>
    <w:p w14:paraId="70A42B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Этим же приказом директор завода № 24 Дубов и Главный конструктор Микулин обязывались, не дожидаясь результатов запланированных на 1-й квартал 41-го совместных испытаний мотора АМ-38, организовать с 1 января 1941 г. его серийное производство с выпуском в 1-м квартале - 50 шт., во 11-м квартале - 475 шт., в 111-м квартале - 700 шт. и в IV-м квартале - 775 шт. (всего за год - 2000 моторов) (9649).</w:t>
      </w:r>
    </w:p>
    <w:p w14:paraId="6530598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AE710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г. по приказу НКАП № 785 на заводе № 24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Мейеровский (Мейерский) пр-д,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запущен в серию с 1.01.1941 г. двигатель АМ-38 с планом на 1941 г.- 2000 шт. Кроме того, в 1941 г. планировалось выпустить 350 ГАМ-34БС (11982).</w:t>
      </w:r>
    </w:p>
    <w:p w14:paraId="5D67EF7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759D41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все материалы по заводским испытаниям ТБ-7 М-40 после состоявшегося 28 декабря 1940 полета на дальность и окончания тем самым заводских испытаний были направлены в 7 ГУ НКАП. Машина 21 декабря 1940 после заводских испытаний (за исключением полета на продолжительность), которые проводились на 124 заводе с 13 октября 1940, когда состоялся первый полет до 15 декабря 1940, перелетел в Москву на аэродром ЦАГИ. 25 декабря 1940 отчет по заводским испытаниям был передан в НКАП (1295,363).</w:t>
      </w:r>
    </w:p>
    <w:p w14:paraId="4C2A2A8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8AD80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года постановление № 458сс КО</w:t>
      </w:r>
    </w:p>
    <w:p w14:paraId="03365F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постройке трех истребителей ВИ-1 конструкции ТОБ НКВД</w:t>
      </w:r>
    </w:p>
    <w:p w14:paraId="57EC46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постановляет:</w:t>
      </w:r>
    </w:p>
    <w:p w14:paraId="1E5CBAEB"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НКАП и НКВД – завод № 156 и ОТБ НКВД спроектировать и построить три самолета ВИ-1, из них два первых экземпляра построить с мотором М-107П и третий экземпляр построить в высотном варианте с герметической кабиной и турбокомпрессором.</w:t>
      </w:r>
    </w:p>
    <w:p w14:paraId="667B8C5B" w14:textId="77777777" w:rsidR="0014077F" w:rsidRPr="00A3026E" w:rsidRDefault="0014077F" w:rsidP="00A3026E">
      <w:pPr>
        <w:tabs>
          <w:tab w:val="left" w:pos="36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Установить сроки предъявления самолетов ВИ-1 на госиспытания:</w:t>
      </w:r>
    </w:p>
    <w:p w14:paraId="2CC467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экземпляр – 1 сентября 1941 года</w:t>
      </w:r>
    </w:p>
    <w:p w14:paraId="05CC67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экземпляр – 1 октября 1941 года</w:t>
      </w:r>
    </w:p>
    <w:p w14:paraId="0DB00D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третий экземпляр – 15 декабря 1941 года</w:t>
      </w:r>
    </w:p>
    <w:p w14:paraId="360EB0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 следующими летными данными для двух первых самолетов ВИ-1:</w:t>
      </w:r>
    </w:p>
    <w:p w14:paraId="6C8BFF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у земли – 555 км/час</w:t>
      </w:r>
    </w:p>
    <w:p w14:paraId="51D6E9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4000 м – 645 км/час</w:t>
      </w:r>
    </w:p>
    <w:p w14:paraId="3CC535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5000 м – 665 км/час</w:t>
      </w:r>
    </w:p>
    <w:p w14:paraId="749A31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6000 м – 680 км/час</w:t>
      </w:r>
    </w:p>
    <w:p w14:paraId="5A5879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Емкость бензобаков – 520 кг</w:t>
      </w:r>
    </w:p>
    <w:p w14:paraId="0F2873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0,9 максимальной скорости - 1310 км</w:t>
      </w:r>
    </w:p>
    <w:p w14:paraId="1DD7CA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на 0,8 максимальной скорости - 1590 км</w:t>
      </w:r>
    </w:p>
    <w:p w14:paraId="7A772D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p w14:paraId="4911CF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пушка Таубина калибра 23 мм с запасом снарядов – 81 шт.</w:t>
      </w:r>
    </w:p>
    <w:p w14:paraId="4B4B49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пулемета Березина калибра 12,7 мм с запасом патронов на ствол – 180 штук</w:t>
      </w:r>
    </w:p>
    <w:p w14:paraId="224D46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синхронных пулемета Шкасс калибра 7,62 мм с запасом патрон на ствол – 800 шт.</w:t>
      </w:r>
    </w:p>
    <w:p w14:paraId="09A6A1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Летные данные третьего самолета ВИ-1 в высотном варианте представить на утверждение в КО к 1 июня 1941 года (7611, 258-260).</w:t>
      </w:r>
    </w:p>
    <w:p w14:paraId="588F910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B5791FD" w14:textId="77777777" w:rsidR="000567A2" w:rsidRPr="00A3026E" w:rsidRDefault="000567A2" w:rsidP="00A3026E">
      <w:pPr>
        <w:shd w:val="clear" w:color="auto" w:fill="FFFFFF"/>
        <w:spacing w:after="0" w:line="240" w:lineRule="auto"/>
        <w:jc w:val="both"/>
        <w:rPr>
          <w:rFonts w:ascii="Times New Roman" w:hAnsi="Times New Roman"/>
          <w:color w:val="0070C0"/>
          <w:sz w:val="16"/>
          <w:szCs w:val="16"/>
        </w:rPr>
      </w:pPr>
      <w:r w:rsidRPr="00A3026E">
        <w:rPr>
          <w:rStyle w:val="681"/>
          <w:rFonts w:ascii="Times New Roman" w:hAnsi="Times New Roman" w:cs="Times New Roman"/>
          <w:color w:val="0070C0"/>
          <w:sz w:val="16"/>
          <w:szCs w:val="16"/>
        </w:rPr>
        <w:t>30 декабря 1940 вышло постановление Коми</w:t>
      </w:r>
      <w:r w:rsidRPr="00A3026E">
        <w:rPr>
          <w:rStyle w:val="681"/>
          <w:rFonts w:ascii="Times New Roman" w:hAnsi="Times New Roman" w:cs="Times New Roman"/>
          <w:color w:val="0070C0"/>
          <w:sz w:val="16"/>
          <w:szCs w:val="16"/>
        </w:rPr>
        <w:softHyphen/>
        <w:t>тета Обороны № 458сс. Этим документом предусматривалась постройка ОТБ НКВД и заводом № 156 трех экземпляров самолета ВИ-1 - двух первых самолетов с мотором М-107П и третьего экземпляра в высотном варианте с герметичной кабиной и турбоком</w:t>
      </w:r>
      <w:r w:rsidRPr="00A3026E">
        <w:rPr>
          <w:rStyle w:val="681"/>
          <w:rFonts w:ascii="Times New Roman" w:hAnsi="Times New Roman" w:cs="Times New Roman"/>
          <w:color w:val="0070C0"/>
          <w:sz w:val="16"/>
          <w:szCs w:val="16"/>
        </w:rPr>
        <w:softHyphen/>
        <w:t>прессором. Первый экземпляр требовалось сдать к 1 сентября 1941 года, второй - к 1 октября, третий - к 15 декабря. ОТБ НКВД было упомянуто как головная организация для ЦКБ-29, а аббревиатура ВИ-1 не прижи</w:t>
      </w:r>
      <w:r w:rsidRPr="00A3026E">
        <w:rPr>
          <w:rStyle w:val="681"/>
          <w:rFonts w:ascii="Times New Roman" w:hAnsi="Times New Roman" w:cs="Times New Roman"/>
          <w:color w:val="0070C0"/>
          <w:sz w:val="16"/>
          <w:szCs w:val="16"/>
        </w:rPr>
        <w:softHyphen/>
        <w:t>лась - распространение получило заводское обозначение «самолет 110».</w:t>
      </w:r>
    </w:p>
    <w:p w14:paraId="09884764" w14:textId="77777777" w:rsidR="000567A2" w:rsidRPr="00A3026E" w:rsidRDefault="000567A2" w:rsidP="00A3026E">
      <w:pPr>
        <w:pStyle w:val="85"/>
        <w:shd w:val="clear" w:color="auto" w:fill="auto"/>
        <w:spacing w:line="240" w:lineRule="auto"/>
        <w:jc w:val="both"/>
        <w:rPr>
          <w:rStyle w:val="69"/>
          <w:rFonts w:ascii="Times New Roman" w:hAnsi="Times New Roman" w:cs="Times New Roman"/>
          <w:color w:val="0070C0"/>
          <w:sz w:val="16"/>
          <w:szCs w:val="16"/>
        </w:rPr>
      </w:pPr>
      <w:r w:rsidRPr="00A3026E">
        <w:rPr>
          <w:rStyle w:val="69"/>
          <w:rFonts w:ascii="Times New Roman" w:hAnsi="Times New Roman" w:cs="Times New Roman"/>
          <w:color w:val="0070C0"/>
          <w:sz w:val="16"/>
          <w:szCs w:val="16"/>
        </w:rPr>
        <w:t>В обеспечение постановления Комитета Обороны НКАП выпустил аж два приказа - № 12с/с от 8 января 1941 года и № 93с/с от 29 января, причем второй - уже после предъ</w:t>
      </w:r>
      <w:r w:rsidRPr="00A3026E">
        <w:rPr>
          <w:rStyle w:val="69"/>
          <w:rFonts w:ascii="Times New Roman" w:hAnsi="Times New Roman" w:cs="Times New Roman"/>
          <w:color w:val="0070C0"/>
          <w:sz w:val="16"/>
          <w:szCs w:val="16"/>
        </w:rPr>
        <w:softHyphen/>
        <w:t>явления эскизного проекта. В них сроком сдачи рабочих чертежей на первую летную машину было указано 1 мая 1941 года</w:t>
      </w:r>
      <w:r w:rsidRPr="00A3026E">
        <w:rPr>
          <w:rStyle w:val="69"/>
          <w:rFonts w:ascii="Times New Roman" w:hAnsi="Times New Roman" w:cs="Times New Roman"/>
          <w:color w:val="0070C0"/>
          <w:sz w:val="16"/>
          <w:szCs w:val="16"/>
          <w:lang w:val="ru-RU"/>
        </w:rPr>
        <w:t xml:space="preserve"> (19869)</w:t>
      </w:r>
      <w:r w:rsidRPr="00A3026E">
        <w:rPr>
          <w:rStyle w:val="69"/>
          <w:rFonts w:ascii="Times New Roman" w:hAnsi="Times New Roman" w:cs="Times New Roman"/>
          <w:color w:val="0070C0"/>
          <w:sz w:val="16"/>
          <w:szCs w:val="16"/>
        </w:rPr>
        <w:t>.</w:t>
      </w:r>
    </w:p>
    <w:p w14:paraId="4C278ECF" w14:textId="77777777" w:rsidR="000567A2" w:rsidRPr="00A3026E" w:rsidRDefault="000567A2" w:rsidP="00A3026E">
      <w:pPr>
        <w:pStyle w:val="85"/>
        <w:shd w:val="clear" w:color="auto" w:fill="auto"/>
        <w:spacing w:line="240" w:lineRule="auto"/>
        <w:jc w:val="both"/>
        <w:rPr>
          <w:rStyle w:val="69"/>
          <w:rFonts w:ascii="Times New Roman" w:hAnsi="Times New Roman" w:cs="Times New Roman"/>
          <w:color w:val="0070C0"/>
          <w:sz w:val="16"/>
          <w:szCs w:val="16"/>
        </w:rPr>
      </w:pPr>
    </w:p>
    <w:p w14:paraId="249E7FFB" w14:textId="77777777" w:rsidR="000567A2" w:rsidRPr="00A3026E" w:rsidRDefault="000567A2" w:rsidP="00A3026E">
      <w:pPr>
        <w:pStyle w:val="85"/>
        <w:shd w:val="clear" w:color="auto" w:fill="auto"/>
        <w:spacing w:line="240" w:lineRule="auto"/>
        <w:jc w:val="both"/>
        <w:rPr>
          <w:rStyle w:val="69"/>
          <w:rFonts w:ascii="Times New Roman" w:hAnsi="Times New Roman" w:cs="Times New Roman"/>
          <w:color w:val="0070C0"/>
          <w:sz w:val="16"/>
          <w:szCs w:val="16"/>
          <w:lang w:val="ru-RU"/>
        </w:rPr>
      </w:pPr>
      <w:r w:rsidRPr="00A3026E">
        <w:rPr>
          <w:rStyle w:val="681"/>
          <w:rFonts w:ascii="Times New Roman" w:hAnsi="Times New Roman" w:cs="Times New Roman"/>
          <w:color w:val="0070C0"/>
          <w:sz w:val="16"/>
          <w:szCs w:val="16"/>
        </w:rPr>
        <w:t>30 декабря 1940 вышло</w:t>
      </w:r>
      <w:r w:rsidRPr="00A3026E">
        <w:rPr>
          <w:rFonts w:ascii="Times New Roman" w:hAnsi="Times New Roman" w:cs="Times New Roman"/>
          <w:color w:val="0070C0"/>
          <w:sz w:val="16"/>
          <w:szCs w:val="16"/>
          <w:shd w:val="clear" w:color="auto" w:fill="FFFFFF"/>
        </w:rPr>
        <w:t xml:space="preserve"> Постановление Комитета обороны при СНК СССР </w:t>
      </w:r>
      <w:r w:rsidRPr="00A3026E">
        <w:rPr>
          <w:rFonts w:ascii="Times New Roman" w:hAnsi="Times New Roman" w:cs="Times New Roman"/>
          <w:color w:val="0070C0"/>
          <w:sz w:val="16"/>
          <w:szCs w:val="16"/>
          <w:shd w:val="clear" w:color="auto" w:fill="FFFFFF"/>
          <w:lang w:val="ru-RU"/>
        </w:rPr>
        <w:t xml:space="preserve">№ 458сс </w:t>
      </w:r>
      <w:r w:rsidRPr="00A3026E">
        <w:rPr>
          <w:rFonts w:ascii="Times New Roman" w:hAnsi="Times New Roman" w:cs="Times New Roman"/>
          <w:color w:val="0070C0"/>
          <w:sz w:val="16"/>
          <w:szCs w:val="16"/>
          <w:shd w:val="clear" w:color="auto" w:fill="FFFFFF"/>
        </w:rPr>
        <w:t>"О постройке 3-х истребителей ВИ-1 конструкции ОТБ НКВД"</w:t>
      </w:r>
      <w:r w:rsidRPr="00A3026E">
        <w:rPr>
          <w:rFonts w:ascii="Times New Roman" w:hAnsi="Times New Roman" w:cs="Times New Roman"/>
          <w:color w:val="0070C0"/>
          <w:sz w:val="16"/>
          <w:szCs w:val="16"/>
          <w:shd w:val="clear" w:color="auto" w:fill="FFFFFF"/>
          <w:lang w:val="ru-RU"/>
        </w:rPr>
        <w:t xml:space="preserve"> (22113).</w:t>
      </w:r>
    </w:p>
    <w:p w14:paraId="6FA07F6C" w14:textId="77777777" w:rsidR="000567A2" w:rsidRPr="00A3026E" w:rsidRDefault="000567A2" w:rsidP="00A3026E">
      <w:pPr>
        <w:pStyle w:val="85"/>
        <w:shd w:val="clear" w:color="auto" w:fill="auto"/>
        <w:spacing w:line="240" w:lineRule="auto"/>
        <w:jc w:val="both"/>
        <w:rPr>
          <w:rStyle w:val="69"/>
          <w:rFonts w:ascii="Times New Roman" w:hAnsi="Times New Roman" w:cs="Times New Roman"/>
          <w:color w:val="0070C0"/>
          <w:sz w:val="16"/>
          <w:szCs w:val="16"/>
        </w:rPr>
      </w:pPr>
    </w:p>
    <w:p w14:paraId="16BCBE3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года вышло постановление КО № 458</w:t>
      </w:r>
    </w:p>
    <w:p w14:paraId="61D9648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Постройка 3 экз. самолета ВИ-1, из них два первых самолета с мотором М-107П и третий экземпляр в высотном варианте с герметической кабиной и турбокомпрессором.</w:t>
      </w:r>
    </w:p>
    <w:p w14:paraId="6BF232C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ОТБ-НКВД, завод № 156.</w:t>
      </w:r>
    </w:p>
    <w:p w14:paraId="4593152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экз. – к 1 сентября 1941 года</w:t>
      </w:r>
    </w:p>
    <w:p w14:paraId="369F1B4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экз. – к 1 октября 1941 года</w:t>
      </w:r>
    </w:p>
    <w:p w14:paraId="10E5A59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экз. – к 15 декабря 1941 года (4048, 4).</w:t>
      </w:r>
    </w:p>
    <w:p w14:paraId="550F74C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4D0053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вышло постановление Правительства "О постройке 3-х истребителей ВИ-1 констр. ОТБ НКВД" (1408,25).</w:t>
      </w:r>
    </w:p>
    <w:p w14:paraId="209AF6C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3FAD37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г. состоялось заседание комиссии по первому вылету самолета И-187, после чего самолет допустили к проведению испытаний (9979).</w:t>
      </w:r>
    </w:p>
    <w:p w14:paraId="788F508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2D110B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г. на заседании комиссии для определения готовности И-187 к первому полету под председательст</w:t>
      </w:r>
      <w:r w:rsidRPr="00A3026E">
        <w:rPr>
          <w:rFonts w:ascii="Times New Roman" w:hAnsi="Times New Roman"/>
          <w:color w:val="000000" w:themeColor="text1"/>
          <w:sz w:val="16"/>
          <w:szCs w:val="16"/>
        </w:rPr>
        <w:softHyphen/>
        <w:t>вом М.М.Громова (зам. председателя Н.Н.Поликарпов). отмечалось, что пост</w:t>
      </w:r>
      <w:r w:rsidRPr="00A3026E">
        <w:rPr>
          <w:rFonts w:ascii="Times New Roman" w:hAnsi="Times New Roman"/>
          <w:color w:val="000000" w:themeColor="text1"/>
          <w:sz w:val="16"/>
          <w:szCs w:val="16"/>
        </w:rPr>
        <w:softHyphen/>
        <w:t>ройка самолета полностью завершена. Вес пустого само</w:t>
      </w:r>
      <w:r w:rsidRPr="00A3026E">
        <w:rPr>
          <w:rFonts w:ascii="Times New Roman" w:hAnsi="Times New Roman"/>
          <w:color w:val="000000" w:themeColor="text1"/>
          <w:sz w:val="16"/>
          <w:szCs w:val="16"/>
        </w:rPr>
        <w:softHyphen/>
        <w:t>лета равнялся 2353,5 кг, взлетный вес - 3206,3 кг. Ожидаемые летные характеристики машины: макси</w:t>
      </w:r>
      <w:r w:rsidRPr="00A3026E">
        <w:rPr>
          <w:rFonts w:ascii="Times New Roman" w:hAnsi="Times New Roman"/>
          <w:color w:val="000000" w:themeColor="text1"/>
          <w:sz w:val="16"/>
          <w:szCs w:val="16"/>
        </w:rPr>
        <w:softHyphen/>
        <w:t>мальная скорость у земли 500 км/ч, на высоте 6400 м -600 км/ч, время набора высоты 5000 м - 6,5 мин. Ре</w:t>
      </w:r>
      <w:r w:rsidRPr="00A3026E">
        <w:rPr>
          <w:rFonts w:ascii="Times New Roman" w:hAnsi="Times New Roman"/>
          <w:color w:val="000000" w:themeColor="text1"/>
          <w:sz w:val="16"/>
          <w:szCs w:val="16"/>
        </w:rPr>
        <w:softHyphen/>
        <w:t>комендовалось начать испытания истребителя (10667).</w:t>
      </w:r>
    </w:p>
    <w:p w14:paraId="0200AF0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F4814B5" w14:textId="77777777" w:rsidR="00497E8A" w:rsidRPr="00A3026E" w:rsidRDefault="00497E8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30 декабря 1940 И-185 М-81 передали на испытания. На их проведение был назначен летчик-испытатель завода №51 Е.Г. Ульяхин, который начал выполнять руления, а затем и скоростные пробежки 9 января 1941 г. Но разрешения на полет не было - мотор, его регулятор оборотов и воздушный винт без конца отлаживали, пытаясь добиться устойчивой работы (17736).</w:t>
      </w:r>
    </w:p>
    <w:p w14:paraId="3B4F4A2F" w14:textId="77777777" w:rsidR="00497E8A" w:rsidRPr="00A3026E" w:rsidRDefault="00497E8A" w:rsidP="00A3026E">
      <w:pPr>
        <w:spacing w:after="0" w:line="240" w:lineRule="auto"/>
        <w:jc w:val="both"/>
        <w:rPr>
          <w:rFonts w:ascii="Times New Roman" w:eastAsia="Times New Roman" w:hAnsi="Times New Roman"/>
          <w:color w:val="000000" w:themeColor="text1"/>
          <w:sz w:val="16"/>
          <w:szCs w:val="16"/>
          <w:lang w:eastAsia="ru-RU"/>
        </w:rPr>
      </w:pPr>
    </w:p>
    <w:p w14:paraId="6BDDC32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г. оценив характеристики М-82 и перспективы развития, Н.Н.Поликарпов дал письменное рас</w:t>
      </w:r>
      <w:r w:rsidRPr="00A3026E">
        <w:rPr>
          <w:rFonts w:ascii="Times New Roman" w:hAnsi="Times New Roman"/>
          <w:color w:val="000000" w:themeColor="text1"/>
          <w:sz w:val="16"/>
          <w:szCs w:val="16"/>
        </w:rPr>
        <w:softHyphen/>
        <w:t>поряжение исполняющему обязанности начальника бри</w:t>
      </w:r>
      <w:r w:rsidRPr="00A3026E">
        <w:rPr>
          <w:rFonts w:ascii="Times New Roman" w:hAnsi="Times New Roman"/>
          <w:color w:val="000000" w:themeColor="text1"/>
          <w:sz w:val="16"/>
          <w:szCs w:val="16"/>
        </w:rPr>
        <w:softHyphen/>
        <w:t>гады проектов В.Г.Сигаеву немедленно произвести «увязку установки мотора М-82 на И-185 с увеличенной дальностью полета» , привлекая для этой цели конст</w:t>
      </w:r>
      <w:r w:rsidRPr="00A3026E">
        <w:rPr>
          <w:rFonts w:ascii="Times New Roman" w:hAnsi="Times New Roman"/>
          <w:color w:val="000000" w:themeColor="text1"/>
          <w:sz w:val="16"/>
          <w:szCs w:val="16"/>
        </w:rPr>
        <w:softHyphen/>
        <w:t>рукторов Блудова и Александрова. Николай Николаевич просил всю работу вести под общим руководством веду</w:t>
      </w:r>
      <w:r w:rsidRPr="00A3026E">
        <w:rPr>
          <w:rFonts w:ascii="Times New Roman" w:hAnsi="Times New Roman"/>
          <w:color w:val="000000" w:themeColor="text1"/>
          <w:sz w:val="16"/>
          <w:szCs w:val="16"/>
        </w:rPr>
        <w:softHyphen/>
        <w:t>щего конструктора по И-185 В.И.Тарасова (10667).</w:t>
      </w:r>
    </w:p>
    <w:p w14:paraId="3595172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33A5CE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по решению Коллегии НКАП был подготовлен проект постановления СНК и ЦК ВКП(б) от января о взаимоотношениях НКАП и ВВС, что слишком много военприемки и НКАП хотел давать разрешения на посещения представителями ВВС заводов и КБ (900,50).</w:t>
      </w:r>
    </w:p>
    <w:p w14:paraId="7ADF440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241C9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30 декабря 1940 состоялось закрытое п/собрание парторганизации 3 отдела НИИВВС (протокол № 15)</w:t>
      </w:r>
    </w:p>
    <w:p w14:paraId="10D3E2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Докладывал т. Л... “О задачах п/о по обеспечению выполнения приказа НКО № 0362, направленного на укрепление боевой и мобилизационной готовности ВС на укрепление советской воинской дисциплины в частях (853,100).</w:t>
      </w:r>
    </w:p>
    <w:p w14:paraId="2BA0ED3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7BA5856" w14:textId="77777777" w:rsidR="00497E8A" w:rsidRPr="00A3026E" w:rsidRDefault="00497E8A"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30 декабря 1940 г. начальник ГУ ВВС КА генерал-лей</w:t>
      </w:r>
      <w:r w:rsidRPr="00A3026E">
        <w:rPr>
          <w:color w:val="000000" w:themeColor="text1"/>
          <w:sz w:val="16"/>
          <w:szCs w:val="16"/>
        </w:rPr>
        <w:softHyphen/>
        <w:t>тенант П. В. Рычагов, докладывая секретарю ЦК ВКП(б) Г. М. Маленкову состояние дел с внедрением пушки МП-6, просил дать указания «народному комиссару тов. Шахурину об ускоре</w:t>
      </w:r>
      <w:r w:rsidRPr="00A3026E">
        <w:rPr>
          <w:color w:val="000000" w:themeColor="text1"/>
          <w:sz w:val="16"/>
          <w:szCs w:val="16"/>
        </w:rPr>
        <w:softHyphen/>
        <w:t>нии отработки нового картера и подачи его на ис</w:t>
      </w:r>
      <w:r w:rsidRPr="00A3026E">
        <w:rPr>
          <w:color w:val="000000" w:themeColor="text1"/>
          <w:sz w:val="16"/>
          <w:szCs w:val="16"/>
        </w:rPr>
        <w:softHyphen/>
        <w:t>пытания стрельбой». Одновременно на завод № 26 от ГУ ВВС КА был командирован военинженер 2-го ранга Г. Г. Нырков. В его задачу входило оказать помощь по всем неясным вопросам и непосред</w:t>
      </w:r>
      <w:r w:rsidRPr="00A3026E">
        <w:rPr>
          <w:color w:val="000000" w:themeColor="text1"/>
          <w:sz w:val="16"/>
          <w:szCs w:val="16"/>
        </w:rPr>
        <w:softHyphen/>
        <w:t>ственно на месте контролировать ход работ. Ныр</w:t>
      </w:r>
      <w:r w:rsidRPr="00A3026E">
        <w:rPr>
          <w:color w:val="000000" w:themeColor="text1"/>
          <w:sz w:val="16"/>
          <w:szCs w:val="16"/>
        </w:rPr>
        <w:softHyphen/>
        <w:t>ков обязан был находиться на заводе до момента окончания изготовления мотора, организовать его быстрейшую отправку на полигон и провести со</w:t>
      </w:r>
      <w:r w:rsidRPr="00A3026E">
        <w:rPr>
          <w:color w:val="000000" w:themeColor="text1"/>
          <w:sz w:val="16"/>
          <w:szCs w:val="16"/>
        </w:rPr>
        <w:softHyphen/>
        <w:t>вместно с ОКБ-16 его испытания (17500).</w:t>
      </w:r>
    </w:p>
    <w:p w14:paraId="22DBBBE7" w14:textId="77777777" w:rsidR="00497E8A" w:rsidRPr="00A3026E" w:rsidRDefault="00497E8A" w:rsidP="00A3026E">
      <w:pPr>
        <w:spacing w:after="0" w:line="240" w:lineRule="auto"/>
        <w:jc w:val="both"/>
        <w:rPr>
          <w:rFonts w:ascii="Times New Roman" w:eastAsia="Times New Roman" w:hAnsi="Times New Roman"/>
          <w:color w:val="000000" w:themeColor="text1"/>
          <w:sz w:val="16"/>
          <w:szCs w:val="16"/>
          <w:lang w:eastAsia="ru-RU"/>
        </w:rPr>
      </w:pPr>
    </w:p>
    <w:p w14:paraId="62C44C88"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1FB8DF6A"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25FAF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года, получив письмо Федоренко, составленное на основе доклада подполковника Панова, Кулик уже направил на имя председателя Комитета Обороны при СНК СССР Маршала Советского Союза К. Ворошилова следующий документ:</w:t>
      </w:r>
    </w:p>
    <w:p w14:paraId="7BDB26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исполнение постановления КО от 19Х-40 г. № 428 представляю соображения о переходе на торсионную подвеску танков Т-34.</w:t>
      </w:r>
    </w:p>
    <w:p w14:paraId="215DCD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Пружинная (свечная) подвеска танка Т-34 в работе надежна, но имеет следующие недостатки:</w:t>
      </w:r>
    </w:p>
    <w:p w14:paraId="26B215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rPr>
        <w:tab/>
        <w:t>Создает значительные продольные колебания, что затрудняет вести меткий прицельный огонь на ходу танка.</w:t>
      </w:r>
    </w:p>
    <w:p w14:paraId="18ECDB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Шахты, в которых помешаются пружины и штоки подвески, сильно стесняют внутренний габарит танка, мешают свободному размещению агрегатов и сокращают боекомплект.</w:t>
      </w:r>
    </w:p>
    <w:p w14:paraId="519A78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Для обеспечения вертикального движения балансиров в бортовых листах делаются вырезы, которые снижают бронестойкость броне- защиты.</w:t>
      </w:r>
    </w:p>
    <w:p w14:paraId="2DFF37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Новый люк танка Т-34 с двумя смотровыми приборами после его испытания обстрелом. Харьков, весна 1941 года (ЦАМО).</w:t>
      </w:r>
    </w:p>
    <w:p w14:paraId="32FCFA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Торсионная подвеска по предварительным расчетам дает:</w:t>
      </w:r>
    </w:p>
    <w:p w14:paraId="2E1E29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w:t>
      </w:r>
      <w:r w:rsidRPr="00A3026E">
        <w:rPr>
          <w:rFonts w:ascii="Times New Roman" w:hAnsi="Times New Roman"/>
          <w:color w:val="000000" w:themeColor="text1"/>
          <w:sz w:val="16"/>
          <w:szCs w:val="16"/>
        </w:rPr>
        <w:tab/>
        <w:t>Увеличение объема боевого отделения примерно на 20%.</w:t>
      </w:r>
    </w:p>
    <w:p w14:paraId="561E06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Снижение веса самой подвески на 300-400 кг.</w:t>
      </w:r>
    </w:p>
    <w:p w14:paraId="58EC38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Увеличение запаса топлива до 750 л вместо 465 л. что увеличивает радиус действия танка на 60-100 км.</w:t>
      </w:r>
    </w:p>
    <w:p w14:paraId="795214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w:t>
      </w:r>
      <w:r w:rsidRPr="00A3026E">
        <w:rPr>
          <w:rFonts w:ascii="Times New Roman" w:hAnsi="Times New Roman"/>
          <w:color w:val="000000" w:themeColor="text1"/>
          <w:sz w:val="16"/>
          <w:szCs w:val="16"/>
        </w:rPr>
        <w:tab/>
        <w:t>Увеличивается прочность бортовых листов корпуса танка (вырезы не делаются).</w:t>
      </w:r>
    </w:p>
    <w:p w14:paraId="5CF2EC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w:t>
      </w:r>
      <w:r w:rsidRPr="00A3026E">
        <w:rPr>
          <w:rFonts w:ascii="Times New Roman" w:hAnsi="Times New Roman"/>
          <w:color w:val="000000" w:themeColor="text1"/>
          <w:sz w:val="16"/>
          <w:szCs w:val="16"/>
        </w:rPr>
        <w:tab/>
        <w:t>Облегчается демонтаж и монтаж подвески в полевых условиях.</w:t>
      </w:r>
    </w:p>
    <w:p w14:paraId="6E623A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w:t>
      </w:r>
      <w:r w:rsidRPr="00A3026E">
        <w:rPr>
          <w:rFonts w:ascii="Times New Roman" w:hAnsi="Times New Roman"/>
          <w:color w:val="000000" w:themeColor="text1"/>
          <w:sz w:val="16"/>
          <w:szCs w:val="16"/>
        </w:rPr>
        <w:tab/>
        <w:t>Допускает при компоновке невозможность снизить общий вес танка.</w:t>
      </w:r>
    </w:p>
    <w:p w14:paraId="49671EA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w:t>
      </w:r>
      <w:r w:rsidRPr="00A3026E">
        <w:rPr>
          <w:rFonts w:ascii="Times New Roman" w:hAnsi="Times New Roman"/>
          <w:color w:val="000000" w:themeColor="text1"/>
          <w:sz w:val="16"/>
          <w:szCs w:val="16"/>
        </w:rPr>
        <w:tab/>
        <w:t>Надежность работы торсионной подвески проверена на образцах танков Т-40 и КВ.</w:t>
      </w:r>
    </w:p>
    <w:p w14:paraId="140F4D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w:t>
      </w:r>
      <w:r w:rsidRPr="00A3026E">
        <w:rPr>
          <w:rFonts w:ascii="Times New Roman" w:hAnsi="Times New Roman"/>
          <w:color w:val="000000" w:themeColor="text1"/>
          <w:sz w:val="16"/>
          <w:szCs w:val="16"/>
        </w:rPr>
        <w:tab/>
        <w:t>Производственная база для изготоатения торсионных валов у з-да № 183 имеется.</w:t>
      </w:r>
    </w:p>
    <w:p w14:paraId="2A1A0B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Расширение башни танка Т-34 без расширения погона з-дом № 183, согласно протокола № 848 от 31.111-40 г. Народных Комиссаров</w:t>
      </w:r>
    </w:p>
    <w:p w14:paraId="4446F3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Обороны т. Ворошилова и Средн. Машиностроения т. Лихачева, уже произведено на 160 мм и дальнейшее расширение башни без расширения погона не дает улучшения ведения прицельного огня.</w:t>
      </w:r>
    </w:p>
    <w:p w14:paraId="70FD64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улучшения боевых качеств танка Т-34 прошу обязать НКСМ (з-д № 183) изготовить к 1.4-41 г. 2 опытных танка с торсионной подвеской, расширенным погоном башни, установкой на ней командирской башенки с круговым обзором и повышенной боевой скоростью».</w:t>
      </w:r>
    </w:p>
    <w:p w14:paraId="440428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этому прилагался проект постановления Комитета Обороны под названием «О переходе на производство танков Т-34 с торсионной подвеской».</w:t>
      </w:r>
    </w:p>
    <w:p w14:paraId="6E93DA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осталось только в проекте, но письмо Кулика на имя Ворошилова сыграло свою роль в ускорении работ по модернизации танка Т-34. В отчете о работе завода № 183 за 1940 год о проектировании новой боевой машины говорилось следующее:</w:t>
      </w:r>
    </w:p>
    <w:p w14:paraId="3936F1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приказом НКСМ от 25.11.40 г. и директивы БТУ КА от 3.12.40 г. КБ приступило к разработке модернизированного танка по большинству вопросов:</w:t>
      </w:r>
    </w:p>
    <w:p w14:paraId="0BD06A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Разработка 8-скоростной коробки перемены передач.</w:t>
      </w:r>
    </w:p>
    <w:p w14:paraId="558DC2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Разработка торсионной подвески.</w:t>
      </w:r>
    </w:p>
    <w:p w14:paraId="3A785D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Разработка смотрового прибора радиста и башни.</w:t>
      </w:r>
    </w:p>
    <w:p w14:paraId="369625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Разработка новой конструкции гусениц с цевочным и гребневым зацеплением.</w:t>
      </w:r>
    </w:p>
    <w:p w14:paraId="392B28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Разработка варианта башни на уширенном погоне с башенкой над командиром.</w:t>
      </w:r>
    </w:p>
    <w:p w14:paraId="47B6E8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Разработка увеличенной башни на нормальном погоне».</w:t>
      </w:r>
    </w:p>
    <w:p w14:paraId="4EFE48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пока работы велись каждая сама по себе, так как распоряжения правительства СССР о создании нового танка взамен Т-34 не было (12217).</w:t>
      </w:r>
    </w:p>
    <w:p w14:paraId="0C27A09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749723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 декабря 1940 г. в Комитет обороны при СНК СССР. было отправлено </w:t>
      </w:r>
      <w:hyperlink r:id="rId175" w:tgtFrame="_blank" w:history="1">
        <w:r w:rsidRPr="00A3026E">
          <w:rPr>
            <w:rStyle w:val="a5"/>
            <w:rFonts w:ascii="Times New Roman" w:hAnsi="Times New Roman"/>
            <w:color w:val="000000" w:themeColor="text1"/>
            <w:sz w:val="16"/>
            <w:szCs w:val="16"/>
          </w:rPr>
          <w:t>письмо № 18239сс</w:t>
        </w:r>
      </w:hyperlink>
      <w:r w:rsidRPr="00A3026E">
        <w:rPr>
          <w:rFonts w:ascii="Times New Roman" w:hAnsi="Times New Roman"/>
          <w:color w:val="000000" w:themeColor="text1"/>
          <w:sz w:val="16"/>
          <w:szCs w:val="16"/>
        </w:rPr>
        <w:t>, в котором подробно излагались все достоинства торсионной подвески по сравнению с пружинной, а также указывалось, почему необходимо было увеличить диаметр шариковой опоры башни танка Т-34. Заканчивалось письмо следующими словами: </w:t>
      </w:r>
    </w:p>
    <w:p w14:paraId="07AE7C66"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улучшения боевых качеств танка Т-34 прошу обязать НКСМ (завод № 183) изготовить к 1.4-41 г. два опытных танка с торсионной подвеской, расширенным погоном башни, установкой на ней командирской башенки с круговым обзором и повышенной боевой скоростью. </w:t>
      </w:r>
    </w:p>
    <w:p w14:paraId="4BE70A2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постановления представляю и прошу утвердить».</w:t>
      </w:r>
    </w:p>
    <w:p w14:paraId="797E583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41. Л. 102]</w:t>
      </w:r>
    </w:p>
    <w:p w14:paraId="7F0BC13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приложенном к письму проекте постановления Комитета обороны предлагалось обязать завод № 183 изготовить к 1 апреля 1941 г. два опытных образца танка Т-34 со следующими дополнениями: </w:t>
      </w:r>
    </w:p>
    <w:p w14:paraId="01018AC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Устанавливаемую пружинную подвеску танка Т-34 заменить индивидуальной торсионной. </w:t>
      </w:r>
    </w:p>
    <w:p w14:paraId="33365FC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Поддерживающие катки ходовой части танка заменить катками с внутренней амортизацией. </w:t>
      </w:r>
    </w:p>
    <w:p w14:paraId="4805C49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Погон башни расширить в свету до диаметра 1600 мм, защитив от заклинивания и пропуска свинцовых брызг внутрь танка. </w:t>
      </w:r>
    </w:p>
    <w:p w14:paraId="2054A686"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Установить на основную башню командирскую смотровую башенку с круговым обзором и мертвым пространством видимости не более 10 метров. </w:t>
      </w:r>
    </w:p>
    <w:p w14:paraId="6A8518A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Экипаж танка 5 человек, из них: три в башне танка (командир, артиллерист [наводчик], заряжающий) и два в носовой части танка (водитель, радист). </w:t>
      </w:r>
    </w:p>
    <w:p w14:paraId="0F0EA9F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Максимальная скорость танка 65 – 70 км/час </w:t>
      </w:r>
    </w:p>
    <w:p w14:paraId="409A20A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Двигатель установить В-5 с мощностью 600 л.с. (модернизированный В-2-К). </w:t>
      </w:r>
    </w:p>
    <w:p w14:paraId="73E4411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Остальные данные тактико-технической характеристики танка Т-34, остаются в силе согласно Постановления КО № 428 от 19.XI-40 г. </w:t>
      </w:r>
    </w:p>
    <w:p w14:paraId="16A1408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Заводские испытания провести к 1.4.41 года. На полигонные испытания НКО предъявить 1.5.41 г. </w:t>
      </w:r>
    </w:p>
    <w:p w14:paraId="433577F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НКСМ и НКО к 1.7.41 г. представить в КО свои предложения о серийном производстве усовершенствованного танка Т-34. </w:t>
      </w:r>
    </w:p>
    <w:p w14:paraId="7547773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НКС промышленности Союза ССР (Мариупольский завод) изготовить по чертежам завода № 183 к 1.2.41 г. бронедетали на два опытных корпуса с башнями».</w:t>
      </w:r>
    </w:p>
    <w:p w14:paraId="51B6A126"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41. Л. 103] (18306)</w:t>
      </w:r>
    </w:p>
    <w:p w14:paraId="665112FB" w14:textId="77777777" w:rsidR="00E6586E" w:rsidRPr="00A3026E" w:rsidRDefault="00E6586E" w:rsidP="00A3026E">
      <w:pPr>
        <w:spacing w:after="0" w:line="240" w:lineRule="auto"/>
        <w:jc w:val="both"/>
        <w:rPr>
          <w:rFonts w:ascii="Times New Roman" w:hAnsi="Times New Roman"/>
          <w:color w:val="000000" w:themeColor="text1"/>
          <w:sz w:val="16"/>
          <w:szCs w:val="16"/>
        </w:rPr>
      </w:pPr>
    </w:p>
    <w:p w14:paraId="4F5221C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г.</w:t>
      </w:r>
    </w:p>
    <w:p w14:paraId="1CE63C5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Фонд 38 Опись 11355 Дело 41 Лист 102</w:t>
      </w:r>
    </w:p>
    <w:p w14:paraId="47A58AC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НАЧАЛЬНИКУ ГАБТУ КРАСНОЙ АРМИИ </w:t>
      </w:r>
    </w:p>
    <w:p w14:paraId="34CAD95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Генерал-лейтенанту танковых войск тов. ФЕДОРЕНКО Я.Н. </w:t>
      </w:r>
    </w:p>
    <w:p w14:paraId="650032D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Копия. </w:t>
      </w:r>
    </w:p>
    <w:p w14:paraId="53AB85A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 СЕКРЕТНО </w:t>
      </w:r>
    </w:p>
    <w:p w14:paraId="7634055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1 </w:t>
      </w:r>
    </w:p>
    <w:p w14:paraId="44BD4C4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 декабря 1940 г. </w:t>
      </w:r>
    </w:p>
    <w:p w14:paraId="2D24BEE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18239сс </w:t>
      </w:r>
    </w:p>
    <w:p w14:paraId="75BD503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ПРЕДСЕДАТЕЛЮ КОМИТЕТА ОБОРОНЫ при СНК СССР</w:t>
      </w:r>
    </w:p>
    <w:p w14:paraId="7ABBC1D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МАРШАЛУ СОВЕТСКОГО СОЮЗА тов. ВОРОШИЛОВУ</w:t>
      </w:r>
    </w:p>
    <w:p w14:paraId="10096B2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 исполнение постановления КО от 19.XI-40 г. № 428 представляю соображения о переходе на торсионную подвеску танков Т-34. </w:t>
      </w:r>
    </w:p>
    <w:p w14:paraId="546029E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Пружинная (свечная) подвеска танка Т-34 в работе надежна, но имеет следующие недостатки: </w:t>
      </w:r>
    </w:p>
    <w:p w14:paraId="08347D5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Создает значительные продольные колебания, что затрудняет вести меткий прицельный огонь на ходу танка. </w:t>
      </w:r>
    </w:p>
    <w:p w14:paraId="60B9B7E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Шахты, в которых помещаются пружины и штоки подвески, сильно стесняют внутренний габарит танка, что мешает свободному размещению агрегатов и сокращает боекомплект. </w:t>
      </w:r>
    </w:p>
    <w:p w14:paraId="4FD089A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в) Для обеспечения вертикального движения балансиров в бортовых листах корпуса делаются вырезы, которые снижают стойкость бронезащиты. </w:t>
      </w:r>
    </w:p>
    <w:p w14:paraId="0E3CE39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Торсионная подвеска по предварительным подсчетам дает: </w:t>
      </w:r>
    </w:p>
    <w:p w14:paraId="50F40C9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Увеличение объема боевого отделения примерно на 20%. </w:t>
      </w:r>
    </w:p>
    <w:p w14:paraId="3D93FCE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Снижение веса самой подвески на 300 – 400 кг. </w:t>
      </w:r>
    </w:p>
    <w:p w14:paraId="715A3A6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Увеличение запаса топлива до 750 л вместо 465 л, что увеличивает радиус действия танка на 60 – 100 км. </w:t>
      </w:r>
    </w:p>
    <w:p w14:paraId="2D7E7CD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 Увеличивается прочность бортовых листов корпуса танков (вырезы не делаются). </w:t>
      </w:r>
    </w:p>
    <w:p w14:paraId="6889448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 Облегчается демонтаж и монтаж подвески в полевых условиях. </w:t>
      </w:r>
    </w:p>
    <w:p w14:paraId="7518221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 Допускает при компоновке возможность снизить общий вес танка. </w:t>
      </w:r>
    </w:p>
    <w:p w14:paraId="39E023F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ж) Надежность работы торсионной подвески проверена на образцах танков Т-40 и "КВ". </w:t>
      </w:r>
    </w:p>
    <w:p w14:paraId="66D0BEA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 Производственная база для изготовления торсионных валов у завода № 183 имеется. </w:t>
      </w:r>
    </w:p>
    <w:p w14:paraId="712FEE0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Расширение башни танка Т-34 без расширения погона заводом № 183, согласно протокола № 848 от 31.III-40 г. Народных Комиссаров Обороны т. Ворошилова и Среднего Машиностроения т. Лихачева, уже произведено на 160 мм и дальнейшее расширение башни без расширения погона не дает улучшения ведения прицельного огня. </w:t>
      </w:r>
    </w:p>
    <w:p w14:paraId="56CB740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Для улучшения боевых качеств танка Т-34 прошу обязать НКСМ (завод № 183) изготовить к 1.4-41 г. два опытных танка с торсионной подвеской, расширенным погоном башни, установкой на ней командирской башенки с круговым обзором и повышенной боевой скоростью. </w:t>
      </w:r>
    </w:p>
    <w:p w14:paraId="5630447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Проект постановления представляю и прошу утвердить. </w:t>
      </w:r>
    </w:p>
    <w:p w14:paraId="14C0052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 МАРШАЛ СОВЕТСКОГО СОЮЗА Г. КУЛИК</w:t>
      </w:r>
    </w:p>
    <w:p w14:paraId="2592037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ВЕРНО: "17" января 1941 г. подпись </w:t>
      </w:r>
    </w:p>
    <w:p w14:paraId="6D9C518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4518сс (18308).</w:t>
      </w:r>
    </w:p>
    <w:p w14:paraId="20EFE18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1 экз. </w:t>
      </w:r>
    </w:p>
    <w:p w14:paraId="2DAC219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17.1.41 г. № 115 (18308)</w:t>
      </w:r>
    </w:p>
    <w:p w14:paraId="3F92132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Фонд 38 Опись 11355 Дело 41 Лист 103</w:t>
      </w:r>
    </w:p>
    <w:p w14:paraId="61F64CF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Проект </w:t>
      </w:r>
    </w:p>
    <w:p w14:paraId="40F43CC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СЕКРЕТНО </w:t>
      </w:r>
    </w:p>
    <w:p w14:paraId="74CBB6D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1 </w:t>
      </w:r>
    </w:p>
    <w:p w14:paraId="46314FA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 № ___</w:t>
      </w:r>
    </w:p>
    <w:p w14:paraId="6CCACBC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КОМИТЕТА ОБОРОНЫ при СНК СОЮЗА ССР</w:t>
      </w:r>
    </w:p>
    <w:p w14:paraId="3AF998D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"___" декабря 1940 г. </w:t>
      </w:r>
    </w:p>
    <w:p w14:paraId="146A606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Москва–Кремль</w:t>
      </w:r>
    </w:p>
    <w:p w14:paraId="50003A0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переходе на производство танков Т-34 с торсионной подвеской</w:t>
      </w:r>
    </w:p>
    <w:p w14:paraId="33BE5796"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Обязать НКСМ СССР (завод № 183) изготовить к 1.4.41 г. два опытных образца танка Т-34 со следующими дополнениями: </w:t>
      </w:r>
    </w:p>
    <w:p w14:paraId="2832EEC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Устанавливаемую пружинную подвеску танка Т-34 заменить индивидуальной торсионной. </w:t>
      </w:r>
    </w:p>
    <w:p w14:paraId="4500427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Поддерживающие катки ходовой части танка заменить катками с внутренней амортизацией. </w:t>
      </w:r>
    </w:p>
    <w:p w14:paraId="3602526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Погон башни расширить в свету до диаметра 1600 мм, защитив от заклинивания и пропуска свинцовых брызг внутрь танка. </w:t>
      </w:r>
    </w:p>
    <w:p w14:paraId="121F1ED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Установить на основную башню командирскую смотровую башенку с круговым обзором и мертвым пространством видимости не более 10 метров. </w:t>
      </w:r>
    </w:p>
    <w:p w14:paraId="4EEF028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Экипаж танка 5 человек, из них: три в башне танка (командир, артиллерист, заряжающий) и два в носовой части танка (водитель, радист). </w:t>
      </w:r>
    </w:p>
    <w:p w14:paraId="42401E5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Максимальная скорость танка 65 – 70 км/час </w:t>
      </w:r>
    </w:p>
    <w:p w14:paraId="30D9367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Двигатель установить В-5 с мощностью 600 л.с. (модернизированный В-2-К). </w:t>
      </w:r>
    </w:p>
    <w:p w14:paraId="180B4FE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Остальные данные тактико-технической характеристики танка Т-34, остаются в силе согласно Постановления КО № 428 от 19.XI-40 г. </w:t>
      </w:r>
    </w:p>
    <w:p w14:paraId="0505B84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Заводские испытания провести к 1.4.41 года. На полигонные испытания НКО предъявить 1.5.41 г. </w:t>
      </w:r>
    </w:p>
    <w:p w14:paraId="477C11D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Обязать НКСМ и НКО к 1.7.41 г. представить в КО свои предложения о серийном производстве усовершенствованного танка Т-34. </w:t>
      </w:r>
    </w:p>
    <w:p w14:paraId="7DC5B4A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Обязать НКС промышленности Союза ССР (Мариупольский завод) изготовить по чертежам завода № 183 к 1.2.41 г. бронедетали на два опытных корпуса с башнями. </w:t>
      </w:r>
    </w:p>
    <w:p w14:paraId="24B0706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ПРЕДСЕДАТЕЛЬ КОМИТЕТА ОБОРОНЫ при СНК Союза ССР (К. ВОРОШИЛОВ)</w:t>
      </w:r>
    </w:p>
    <w:p w14:paraId="1FD5753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СЕКРЕТАРЬ КОМИТЕТА ОБОРОНЫ при СНК Союза ССР (М. ПУГАЕВ)</w:t>
      </w:r>
    </w:p>
    <w:p w14:paraId="5AFD94B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ВЕРНО: "17" января 1941 г. подпись </w:t>
      </w:r>
    </w:p>
    <w:p w14:paraId="4D4022D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 4518сс.</w:t>
      </w:r>
    </w:p>
    <w:p w14:paraId="3085D94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Отп. 1 экз. </w:t>
      </w:r>
    </w:p>
    <w:p w14:paraId="19ECD7E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17.1.41 г. № 115 (18308)</w:t>
      </w:r>
    </w:p>
    <w:p w14:paraId="2E23765C" w14:textId="77777777" w:rsidR="00E6586E" w:rsidRPr="00A3026E" w:rsidRDefault="00E6586E" w:rsidP="00A3026E">
      <w:pPr>
        <w:spacing w:after="0" w:line="240" w:lineRule="auto"/>
        <w:jc w:val="both"/>
        <w:rPr>
          <w:rFonts w:ascii="Times New Roman" w:hAnsi="Times New Roman"/>
          <w:color w:val="000000" w:themeColor="text1"/>
          <w:sz w:val="16"/>
          <w:szCs w:val="16"/>
        </w:rPr>
      </w:pPr>
    </w:p>
    <w:p w14:paraId="21807F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года главный инженер завода № 183 Махонин уведомил начальника БТУ ГАБТУ КА:</w:t>
      </w:r>
    </w:p>
    <w:p w14:paraId="599B3C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«Договор за № 153/сб/35 от 9/У-40 г., заключенный с б. ХИМУ КА на изготовление огнеметного прибора, испытанием его на машине А-34 и ремонт машины и прибора после испытания, не может быть закончен в 1940 году.</w:t>
      </w:r>
    </w:p>
    <w:p w14:paraId="3371EC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настоящего времени нами проведены следующие работы:</w:t>
      </w:r>
    </w:p>
    <w:p w14:paraId="348C54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Разработка технического проекта и выпуска рабочих чертежей.</w:t>
      </w:r>
    </w:p>
    <w:p w14:paraId="06883D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Изготовление прибора, монтаж его на машине.</w:t>
      </w:r>
    </w:p>
    <w:p w14:paraId="339B82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r w:rsidRPr="00A3026E">
        <w:rPr>
          <w:rFonts w:ascii="Times New Roman" w:hAnsi="Times New Roman"/>
          <w:color w:val="000000" w:themeColor="text1"/>
          <w:sz w:val="16"/>
          <w:szCs w:val="16"/>
        </w:rPr>
        <w:tab/>
        <w:t>Подготовлена машина с прибором для испытания.</w:t>
      </w:r>
    </w:p>
    <w:p w14:paraId="6FF013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Телеграммой от 28/ХП вызван Ваш представитель для участия в заводских испытаниях.</w:t>
      </w:r>
    </w:p>
    <w:p w14:paraId="68278B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Причинами невыполнения договора явились следующие обстоятельства:</w:t>
      </w:r>
    </w:p>
    <w:p w14:paraId="500E75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r w:rsidRPr="00A3026E">
        <w:rPr>
          <w:rFonts w:ascii="Times New Roman" w:hAnsi="Times New Roman"/>
          <w:color w:val="000000" w:themeColor="text1"/>
          <w:sz w:val="16"/>
          <w:szCs w:val="16"/>
        </w:rPr>
        <w:tab/>
        <w:t>Вызванный телеграммой от 12/У1-40 г. представитель ХИМУ для консультации при разработке прибора явился через месяц.</w:t>
      </w:r>
    </w:p>
    <w:p w14:paraId="55B3DD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rPr>
        <w:tab/>
        <w:t>Позднее получение заключения по проекту прибора.</w:t>
      </w:r>
    </w:p>
    <w:p w14:paraId="70352C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изложенного просим действие договора на изготовление огнеметного прибора продлить до 1/1У-41 года» (12217).</w:t>
      </w:r>
    </w:p>
    <w:p w14:paraId="42EB662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BBAB0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при выполнении полета на фигуры пилотажа на ОКО-6бис - виражи, боевые развороты, перевороты, бочки и т.д., установили, что при виражах на малой ско</w:t>
      </w:r>
      <w:r w:rsidRPr="00A3026E">
        <w:rPr>
          <w:rFonts w:ascii="Times New Roman" w:hAnsi="Times New Roman"/>
          <w:color w:val="000000" w:themeColor="text1"/>
          <w:sz w:val="16"/>
          <w:szCs w:val="16"/>
        </w:rPr>
        <w:softHyphen/>
        <w:t>рости наблюдаются значительные нагрузки на элероны. В конце полета на фигуры обрезало мотор. Летчик благополучно произвел вынужденную посадку на аэро</w:t>
      </w:r>
      <w:r w:rsidRPr="00A3026E">
        <w:rPr>
          <w:rFonts w:ascii="Times New Roman" w:hAnsi="Times New Roman"/>
          <w:color w:val="000000" w:themeColor="text1"/>
          <w:sz w:val="16"/>
          <w:szCs w:val="16"/>
        </w:rPr>
        <w:softHyphen/>
        <w:t>дром Быково. Как оказалось, Емельянов забыл переключиться на фюзеляжный бензобак. В результате бензин перестал поступать в карбюратор. Перелететь на аэродром Раменское удалось только 6 января следующего года. До завершения программы оставалось выполнить еще только два полета - на пикирование и отстрел вооружения.</w:t>
      </w:r>
    </w:p>
    <w:p w14:paraId="240EF9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января 1941 г. программа полетов была полностью выполнена и заводские испытания официально завершили. К этому времени самолет налетал около 30 ч (всего 38 полетов). Помимо А.И. Емельянова и Ю.К. Станкевича, самолет облетали А.Б. Юмашев и Н.В. Гаврилов.</w:t>
      </w:r>
    </w:p>
    <w:p w14:paraId="6D7EBF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полета соста</w:t>
      </w:r>
      <w:r w:rsidRPr="00A3026E">
        <w:rPr>
          <w:rFonts w:ascii="Times New Roman" w:hAnsi="Times New Roman"/>
          <w:color w:val="000000" w:themeColor="text1"/>
          <w:sz w:val="16"/>
          <w:szCs w:val="16"/>
        </w:rPr>
        <w:softHyphen/>
        <w:t>вила 595 км/ч - на 2-й границе высотности 7200 м, 575 км/ч - на 1 -й границе высотно</w:t>
      </w:r>
      <w:r w:rsidRPr="00A3026E">
        <w:rPr>
          <w:rFonts w:ascii="Times New Roman" w:hAnsi="Times New Roman"/>
          <w:color w:val="000000" w:themeColor="text1"/>
          <w:sz w:val="16"/>
          <w:szCs w:val="16"/>
        </w:rPr>
        <w:softHyphen/>
        <w:t>сти 5000 м, и 470 км/ч - у земли. Посадочная скорость - 144 км/ч. Время подъема на высоту 5000 м - 6,3 мин. Практический потолок - 10000 м. Дальность на высоте 1000 м на скорости 0,9 максимальной скорости - 1200 км. Разбег с бетона с выпущенными на 23° щитками - 324 м. Про</w:t>
      </w:r>
      <w:r w:rsidRPr="00A3026E">
        <w:rPr>
          <w:rFonts w:ascii="Times New Roman" w:hAnsi="Times New Roman"/>
          <w:color w:val="000000" w:themeColor="text1"/>
          <w:sz w:val="16"/>
          <w:szCs w:val="16"/>
        </w:rPr>
        <w:softHyphen/>
        <w:t>бег по бетону с использованием тормозов и с отклоненными на 45° щитками - 406 м.</w:t>
      </w:r>
    </w:p>
    <w:p w14:paraId="327961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самолета составлял около 5 т.</w:t>
      </w:r>
    </w:p>
    <w:p w14:paraId="759CE1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качестве основных недостатков самолета отмечались следующие. Большие нагрузки на рули высоты и элероны. Тугое управление триммерами рулей высоты и направления, а также юбками капота мотора на высоте 8000-9000 м. Отсасывание в полете щитков. Самопро</w:t>
      </w:r>
      <w:r w:rsidRPr="00A3026E">
        <w:rPr>
          <w:rFonts w:ascii="Times New Roman" w:hAnsi="Times New Roman"/>
          <w:color w:val="000000" w:themeColor="text1"/>
          <w:sz w:val="16"/>
          <w:szCs w:val="16"/>
        </w:rPr>
        <w:softHyphen/>
        <w:t>извольное перемещение в полете секторов газа, высотного корректора и управления винтами, которые плохо фиксировались. Неудовлетворительная работа автоматов высотных корректоров. При стрельбе из пушек и пулеметов пороховые газы проникали в кабину летчика. Кроме того, отстрелянные гильзы пулеметов попадали по винтам. К концу испытаний в выхлоп</w:t>
      </w:r>
      <w:r w:rsidRPr="00A3026E">
        <w:rPr>
          <w:rFonts w:ascii="Times New Roman" w:hAnsi="Times New Roman"/>
          <w:color w:val="000000" w:themeColor="text1"/>
          <w:sz w:val="16"/>
          <w:szCs w:val="16"/>
        </w:rPr>
        <w:softHyphen/>
        <w:t>ных коллекторах моторов образовались трещины (12614).</w:t>
      </w:r>
    </w:p>
    <w:p w14:paraId="1E86D25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53F487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г. вышел ОТЧЕТ ВОЕНПРЕДА КУЙБЫШЕВСКОГО КАРБЮРАТОРНОГО ЗАВОДА В ГАБТУ ЗА 1940 г.</w:t>
      </w:r>
    </w:p>
    <w:p w14:paraId="57CBCB4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Куйбышев</w:t>
      </w:r>
    </w:p>
    <w:p w14:paraId="4043538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работе военной приемки ГАБТУ на Куйбкарзе и заводе № 42 за 1940 год.</w:t>
      </w:r>
    </w:p>
    <w:p w14:paraId="71E7C32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 личному составу военной приемки.</w:t>
      </w:r>
    </w:p>
    <w:p w14:paraId="63374F1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Военная приемка на Куйбкарзе и заводе № 42 возглавляется одним лицом, т.е. мною воентехни</w:t>
      </w:r>
      <w:r w:rsidRPr="00A3026E">
        <w:rPr>
          <w:rFonts w:ascii="Times New Roman" w:hAnsi="Times New Roman"/>
          <w:color w:val="000000" w:themeColor="text1"/>
          <w:sz w:val="16"/>
          <w:szCs w:val="16"/>
        </w:rPr>
        <w:softHyphen/>
        <w:t>ком 1 ранга Елиным В.К. К исполнению обязанностей помощника военпреда ГАБТУ на вышеуказан</w:t>
      </w:r>
      <w:r w:rsidRPr="00A3026E">
        <w:rPr>
          <w:rFonts w:ascii="Times New Roman" w:hAnsi="Times New Roman"/>
          <w:color w:val="000000" w:themeColor="text1"/>
          <w:sz w:val="16"/>
          <w:szCs w:val="16"/>
        </w:rPr>
        <w:softHyphen/>
        <w:t>ных заводах я приступил с 16 октября сего года.</w:t>
      </w:r>
    </w:p>
    <w:p w14:paraId="5BE30D8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 данный период мною проведена следущая работа:</w:t>
      </w:r>
    </w:p>
    <w:p w14:paraId="308B203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Производственная работа на Куйбкарзе.</w:t>
      </w:r>
    </w:p>
    <w:p w14:paraId="64603AA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моменту моего прихода на завод договор ГАБТУ 1940 г. был выполнен только на 50 — 60 %, а по</w:t>
      </w:r>
      <w:r w:rsidRPr="00A3026E">
        <w:rPr>
          <w:rFonts w:ascii="Times New Roman" w:hAnsi="Times New Roman"/>
          <w:color w:val="000000" w:themeColor="text1"/>
          <w:sz w:val="16"/>
          <w:szCs w:val="16"/>
        </w:rPr>
        <w:softHyphen/>
        <w:t>этому все свое внимание пришлось сосредоточить исключительно на выколачивании продукции и от</w:t>
      </w:r>
      <w:r w:rsidRPr="00A3026E">
        <w:rPr>
          <w:rFonts w:ascii="Times New Roman" w:hAnsi="Times New Roman"/>
          <w:color w:val="000000" w:themeColor="text1"/>
          <w:sz w:val="16"/>
          <w:szCs w:val="16"/>
        </w:rPr>
        <w:softHyphen/>
        <w:t>грузки последней на войсковые склады. Приведу сводку выполнения Куйбкарзом договора 1940 года в суммовом выражении:</w:t>
      </w:r>
    </w:p>
    <w:tbl>
      <w:tblPr>
        <w:tblW w:w="0" w:type="auto"/>
        <w:tblInd w:w="40" w:type="dxa"/>
        <w:tblLayout w:type="fixed"/>
        <w:tblCellMar>
          <w:left w:w="40" w:type="dxa"/>
          <w:right w:w="40" w:type="dxa"/>
        </w:tblCellMar>
        <w:tblLook w:val="0000" w:firstRow="0" w:lastRow="0" w:firstColumn="0" w:lastColumn="0" w:noHBand="0" w:noVBand="0"/>
      </w:tblPr>
      <w:tblGrid>
        <w:gridCol w:w="3437"/>
        <w:gridCol w:w="1152"/>
        <w:gridCol w:w="1171"/>
        <w:gridCol w:w="1171"/>
      </w:tblGrid>
      <w:tr w:rsidR="00983732" w:rsidRPr="00A3026E" w14:paraId="2127AD24" w14:textId="77777777" w:rsidTr="00EA0DA7">
        <w:trPr>
          <w:trHeight w:val="240"/>
        </w:trPr>
        <w:tc>
          <w:tcPr>
            <w:tcW w:w="3437" w:type="dxa"/>
            <w:tcBorders>
              <w:top w:val="single" w:sz="6" w:space="0" w:color="auto"/>
              <w:left w:val="single" w:sz="6" w:space="0" w:color="auto"/>
              <w:bottom w:val="single" w:sz="6" w:space="0" w:color="auto"/>
              <w:right w:val="single" w:sz="6" w:space="0" w:color="auto"/>
            </w:tcBorders>
          </w:tcPr>
          <w:p w14:paraId="5AB6A32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продукции</w:t>
            </w:r>
          </w:p>
        </w:tc>
        <w:tc>
          <w:tcPr>
            <w:tcW w:w="1152" w:type="dxa"/>
            <w:tcBorders>
              <w:top w:val="single" w:sz="6" w:space="0" w:color="auto"/>
              <w:left w:val="single" w:sz="6" w:space="0" w:color="auto"/>
              <w:bottom w:val="single" w:sz="6" w:space="0" w:color="auto"/>
              <w:right w:val="single" w:sz="6" w:space="0" w:color="auto"/>
            </w:tcBorders>
          </w:tcPr>
          <w:p w14:paraId="2B9E1FD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договору в 1940 г. в руб.</w:t>
            </w:r>
          </w:p>
        </w:tc>
        <w:tc>
          <w:tcPr>
            <w:tcW w:w="1171" w:type="dxa"/>
            <w:tcBorders>
              <w:top w:val="single" w:sz="6" w:space="0" w:color="auto"/>
              <w:left w:val="single" w:sz="6" w:space="0" w:color="auto"/>
              <w:bottom w:val="single" w:sz="6" w:space="0" w:color="auto"/>
              <w:right w:val="single" w:sz="6" w:space="0" w:color="auto"/>
            </w:tcBorders>
          </w:tcPr>
          <w:p w14:paraId="6C38E4B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Отгружено течение года</w:t>
            </w:r>
          </w:p>
        </w:tc>
        <w:tc>
          <w:tcPr>
            <w:tcW w:w="1171" w:type="dxa"/>
            <w:tcBorders>
              <w:top w:val="single" w:sz="6" w:space="0" w:color="auto"/>
              <w:left w:val="single" w:sz="6" w:space="0" w:color="auto"/>
              <w:bottom w:val="single" w:sz="6" w:space="0" w:color="auto"/>
              <w:right w:val="single" w:sz="6" w:space="0" w:color="auto"/>
            </w:tcBorders>
          </w:tcPr>
          <w:p w14:paraId="5DABC16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Процент выполнения</w:t>
            </w:r>
          </w:p>
        </w:tc>
      </w:tr>
      <w:tr w:rsidR="00983732" w:rsidRPr="00A3026E" w14:paraId="0DA7CC63" w14:textId="77777777" w:rsidTr="00EA0DA7">
        <w:trPr>
          <w:trHeight w:val="240"/>
        </w:trPr>
        <w:tc>
          <w:tcPr>
            <w:tcW w:w="3437" w:type="dxa"/>
            <w:tcBorders>
              <w:top w:val="single" w:sz="6" w:space="0" w:color="auto"/>
              <w:left w:val="single" w:sz="6" w:space="0" w:color="auto"/>
              <w:bottom w:val="single" w:sz="6" w:space="0" w:color="auto"/>
              <w:right w:val="single" w:sz="6" w:space="0" w:color="auto"/>
            </w:tcBorders>
          </w:tcPr>
          <w:p w14:paraId="0A2A094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Автосвечи М- 12/20 и Д-20/20</w:t>
            </w:r>
          </w:p>
          <w:p w14:paraId="09B3DD4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43C2AB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600 000</w:t>
            </w:r>
          </w:p>
          <w:p w14:paraId="233F33A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AAD559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600 360</w:t>
            </w:r>
          </w:p>
          <w:p w14:paraId="76B9B6C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DA6F01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p w14:paraId="1854F0D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736E1CB" w14:textId="77777777" w:rsidTr="00EA0DA7">
        <w:trPr>
          <w:trHeight w:val="259"/>
        </w:trPr>
        <w:tc>
          <w:tcPr>
            <w:tcW w:w="3437" w:type="dxa"/>
            <w:tcBorders>
              <w:top w:val="single" w:sz="6" w:space="0" w:color="auto"/>
              <w:left w:val="single" w:sz="6" w:space="0" w:color="auto"/>
              <w:bottom w:val="single" w:sz="6" w:space="0" w:color="auto"/>
              <w:right w:val="single" w:sz="6" w:space="0" w:color="auto"/>
            </w:tcBorders>
          </w:tcPr>
          <w:p w14:paraId="79589D7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Карбюраторы, запчасти и арматура</w:t>
            </w:r>
          </w:p>
          <w:p w14:paraId="579EFF6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9BA073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781 913</w:t>
            </w:r>
          </w:p>
          <w:p w14:paraId="40B2895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C4AA9D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732 740</w:t>
            </w:r>
          </w:p>
          <w:p w14:paraId="7762668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5046FE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w:t>
            </w:r>
          </w:p>
          <w:p w14:paraId="664604E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bl>
    <w:p w14:paraId="7F80F45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заводу имени Масленикова (42). Завод № 42 до 23 декабря 1940 г. никакой приемки и от</w:t>
      </w:r>
      <w:r w:rsidRPr="00A3026E">
        <w:rPr>
          <w:rFonts w:ascii="Times New Roman" w:hAnsi="Times New Roman"/>
          <w:color w:val="000000" w:themeColor="text1"/>
          <w:sz w:val="16"/>
          <w:szCs w:val="16"/>
        </w:rPr>
        <w:softHyphen/>
        <w:t>грузки продукции не вел ввиду неуточнения вопроса в части заключения о качестве стальной пружинки в золотнике типа «Шрадер», о чем мною было Вам сообщено письмом от 3 декабря 1940 г. за №312.</w:t>
      </w:r>
    </w:p>
    <w:p w14:paraId="112ADEBD"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По приезду из Москвы с совещания военпредов мною был поставлен вопрос перед главным инженером завода № 42 т. Колбасиным о выдачи мне гарантийного письма с заключением завода о ка</w:t>
      </w:r>
      <w:r w:rsidRPr="00A3026E">
        <w:rPr>
          <w:i w:val="0"/>
          <w:iCs w:val="0"/>
          <w:color w:val="000000" w:themeColor="text1"/>
          <w:spacing w:val="0"/>
          <w:kern w:val="0"/>
          <w:position w:val="0"/>
          <w:sz w:val="16"/>
          <w:szCs w:val="16"/>
          <w:lang w:val="ru-RU"/>
        </w:rPr>
        <w:softHyphen/>
        <w:t>честве стальной пружинки применяемой в золотнике типа «Шрадер». В результате переговоров га</w:t>
      </w:r>
      <w:r w:rsidRPr="00A3026E">
        <w:rPr>
          <w:i w:val="0"/>
          <w:iCs w:val="0"/>
          <w:color w:val="000000" w:themeColor="text1"/>
          <w:spacing w:val="0"/>
          <w:kern w:val="0"/>
          <w:position w:val="0"/>
          <w:sz w:val="16"/>
          <w:szCs w:val="16"/>
          <w:lang w:val="ru-RU"/>
        </w:rPr>
        <w:softHyphen/>
        <w:t>рантийное письмо за № 1237 от 24 декабря 1940 г. заводом было вручено мне 24 декабря 1940 г. Пос</w:t>
      </w:r>
      <w:r w:rsidRPr="00A3026E">
        <w:rPr>
          <w:i w:val="0"/>
          <w:iCs w:val="0"/>
          <w:color w:val="000000" w:themeColor="text1"/>
          <w:spacing w:val="0"/>
          <w:kern w:val="0"/>
          <w:position w:val="0"/>
          <w:sz w:val="16"/>
          <w:szCs w:val="16"/>
          <w:lang w:val="ru-RU"/>
        </w:rPr>
        <w:softHyphen/>
        <w:t>ле чего я приступил к приемке и отправке продукции по войсковым складам, Привожу сводку вы</w:t>
      </w:r>
      <w:r w:rsidRPr="00A3026E">
        <w:rPr>
          <w:i w:val="0"/>
          <w:iCs w:val="0"/>
          <w:color w:val="000000" w:themeColor="text1"/>
          <w:spacing w:val="0"/>
          <w:kern w:val="0"/>
          <w:position w:val="0"/>
          <w:sz w:val="16"/>
          <w:szCs w:val="16"/>
          <w:lang w:val="ru-RU"/>
        </w:rPr>
        <w:softHyphen/>
        <w:t>полнения договора ГАБТУ с заводом 42 в суммовом выражении.</w:t>
      </w:r>
    </w:p>
    <w:p w14:paraId="34AFBB6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Отгружено в течение года</w:t>
      </w:r>
    </w:p>
    <w:p w14:paraId="54B5F20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продукции</w:t>
      </w:r>
    </w:p>
    <w:p w14:paraId="6311ED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Автовинтель, золотник и колпачок.</w:t>
      </w:r>
    </w:p>
    <w:p w14:paraId="41BFD9A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договору 1940 г. в руб.</w:t>
      </w:r>
    </w:p>
    <w:p w14:paraId="780D8B8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698415</w:t>
      </w:r>
    </w:p>
    <w:p w14:paraId="3AAF565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698 003</w:t>
      </w:r>
    </w:p>
    <w:p w14:paraId="738F675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Процент выполнения</w:t>
      </w:r>
    </w:p>
    <w:p w14:paraId="5F7BA55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p w14:paraId="2582812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Партийно-массовая работа.</w:t>
      </w:r>
    </w:p>
    <w:p w14:paraId="1AA07AE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партийном учете я состою при парторганизации Куйбышевского ОВК. Постоянной партий</w:t>
      </w:r>
      <w:r w:rsidRPr="00A3026E">
        <w:rPr>
          <w:rFonts w:ascii="Times New Roman" w:hAnsi="Times New Roman"/>
          <w:color w:val="000000" w:themeColor="text1"/>
          <w:sz w:val="16"/>
          <w:szCs w:val="16"/>
        </w:rPr>
        <w:softHyphen/>
        <w:t>ной нагрузки в данный момент не имею и выполняю отдельные партийные поручения.</w:t>
      </w:r>
    </w:p>
    <w:p w14:paraId="19978DF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изучению краткого курса истории ВКП(б) изучаю 4 главу, кроме того посещаю лекции при ДКА.</w:t>
      </w:r>
    </w:p>
    <w:p w14:paraId="662E10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конкретного изучения производства и жизни завода в январе 1941 года перехожу на учет в партийную организацию завода Куйбкарз.</w:t>
      </w:r>
    </w:p>
    <w:p w14:paraId="10361B7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Командирская учеба.</w:t>
      </w:r>
    </w:p>
    <w:p w14:paraId="06C7BA9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командирской учебе прикреплен к Куйбышевскому ОВК, где так же состою на всех видах до</w:t>
      </w:r>
      <w:r w:rsidRPr="00A3026E">
        <w:rPr>
          <w:rFonts w:ascii="Times New Roman" w:hAnsi="Times New Roman"/>
          <w:color w:val="000000" w:themeColor="text1"/>
          <w:sz w:val="16"/>
          <w:szCs w:val="16"/>
        </w:rPr>
        <w:softHyphen/>
        <w:t>вольствия. Время на командирскую учебу отводится два дня в неделю с 8.00 до 12.00. Метод препода</w:t>
      </w:r>
      <w:r w:rsidRPr="00A3026E">
        <w:rPr>
          <w:rFonts w:ascii="Times New Roman" w:hAnsi="Times New Roman"/>
          <w:color w:val="000000" w:themeColor="text1"/>
          <w:sz w:val="16"/>
          <w:szCs w:val="16"/>
        </w:rPr>
        <w:softHyphen/>
        <w:t>вания в основном удовлетворительный, но мало преподносится тем по танковому роду войск. Весь упор в программе командирской учебы построен на подготовку общего войскового командира.</w:t>
      </w:r>
    </w:p>
    <w:p w14:paraId="374DBB9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По мобилизационной работе.</w:t>
      </w:r>
    </w:p>
    <w:p w14:paraId="3C23A64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моего ознакомления с МП-1 и представления донесения согласно директивы № 706804 от 26 октября 1940 г. Существенных изменений в МП не произошло. Завод в скором времени ожидает получения нового МП на 1941 год.</w:t>
      </w:r>
    </w:p>
    <w:p w14:paraId="3EAE60E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Вывод.</w:t>
      </w:r>
    </w:p>
    <w:p w14:paraId="42C98FA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недостаток в своей работе в 1941 году работу военной приемки коренным образом пе</w:t>
      </w:r>
      <w:r w:rsidRPr="00A3026E">
        <w:rPr>
          <w:rFonts w:ascii="Times New Roman" w:hAnsi="Times New Roman"/>
          <w:color w:val="000000" w:themeColor="text1"/>
          <w:sz w:val="16"/>
          <w:szCs w:val="16"/>
        </w:rPr>
        <w:softHyphen/>
        <w:t>рестраиваю с учетом, как это требует Положение о военных представителях на заводах и указаний о работе военных представителей, изложенных в докладе начальника управления АТУ бригадного военинженера т. Тягунова на совещании военпредов 11 декабря 1940 года.</w:t>
      </w:r>
    </w:p>
    <w:p w14:paraId="499A04C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Помощник военпреда ГАБТУ на Куйбкарзе воентехник 1 ранга Елин</w:t>
      </w:r>
    </w:p>
    <w:p w14:paraId="34B5A50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1062. Л. 89 - 92. Подлинник (11210).</w:t>
      </w:r>
    </w:p>
    <w:p w14:paraId="3788BE8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40147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декабря 1940 года за № 4823 в СОП из ЦК ВКП(б) для исполнения поступила Записка НКБ Сергеева о выделении из завода № 5 трех основных цехов №№ 1, 2 и 16 и организации из них самостоятельного завода с передачей его в 1 гл. управление НКБ (7479, 117-120).</w:t>
      </w:r>
    </w:p>
    <w:p w14:paraId="1015AF1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AEBFD33" w14:textId="77777777" w:rsidR="00497E8A" w:rsidRPr="00A3026E" w:rsidRDefault="00497E8A"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3A5D4533" w14:textId="77777777" w:rsidR="00497E8A" w:rsidRPr="00A3026E" w:rsidRDefault="00497E8A" w:rsidP="00A3026E">
      <w:pPr>
        <w:spacing w:after="0" w:line="240" w:lineRule="auto"/>
        <w:jc w:val="both"/>
        <w:rPr>
          <w:rFonts w:ascii="Times New Roman" w:hAnsi="Times New Roman"/>
          <w:iCs/>
          <w:color w:val="000000" w:themeColor="text1"/>
          <w:sz w:val="16"/>
          <w:szCs w:val="16"/>
        </w:rPr>
      </w:pPr>
    </w:p>
    <w:p w14:paraId="27348DCB" w14:textId="77777777" w:rsidR="00497E8A" w:rsidRPr="00A3026E" w:rsidRDefault="00497E8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третьей декаде декабря 1940 г. в опытном цехе «540» завода № 183 в танке А-34 № 311-18-3 был начат монтаж танкового огнемета «ОП-34». Этот огнемет был разработан конструкторской группой КБ-520 под руководством П.П. Васильева в соответствие с договором № 153/сб/35, заключенным 9 мая 1940 г. между заводом № 183 и Химическим управлением РККА. Ко второй декаде декабря 1940 г. по рабочим чертежам был изготовлен комплект деталей огнемета «ОП-34», относившегося по принципу действия к пневматическим огнеметам. Выброс огнесмеси из насадка в огнемете «ОП-34» происходил под давлением воздуха, поступавшего в резервуар из четырех 13-литровых баллонов располагавшихся внутри корпуса танка. Монитор (брандспойт) был установлен в шаровой установке вместо лобового пулемета ДТ. Рабочий резервуар для огнесмеси емкостью 100 л был установлен в носовой части корпуса танка. Управление огнеметом осуществлял стрелок-радист со своего рабочего места. В связи с установкой огнемета боекомплект к пулемету ДТ был сокращен на пять магазинов (315 патронов) и на 270 кг увеличилась боевая масса танка. </w:t>
      </w:r>
    </w:p>
    <w:p w14:paraId="26307D8A" w14:textId="77777777" w:rsidR="00497E8A" w:rsidRPr="00A3026E" w:rsidRDefault="00497E8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Заводские испытания танка А-34 № 311-18-3 с установленным в нем огнеметом «ОП-34» начались в первой половине января 1941 г., и к концу месяца было произведено 5 выездов. В сводке по опытным работам за январь 1941 г. военный представитель ГАБТУ РККА на заводе № 183 военинженер 3 ранга П.П. Байков так изложил первые результаты заводских испытаний танка А-34 с огнеметом «ОП-34»: </w:t>
      </w:r>
    </w:p>
    <w:p w14:paraId="2D4CD3FA" w14:textId="77777777" w:rsidR="00497E8A" w:rsidRPr="00A3026E" w:rsidRDefault="00497E8A"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Cs/>
          <w:color w:val="000000" w:themeColor="text1"/>
          <w:sz w:val="16"/>
          <w:szCs w:val="16"/>
        </w:rPr>
        <w:t xml:space="preserve">«Во время испытаний получена длина струи на смеси нефть-керосин 65 – 70 метров. </w:t>
      </w:r>
    </w:p>
    <w:p w14:paraId="776CE42D" w14:textId="77777777" w:rsidR="00497E8A" w:rsidRPr="00A3026E" w:rsidRDefault="00497E8A"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Cs/>
          <w:color w:val="000000" w:themeColor="text1"/>
          <w:sz w:val="16"/>
          <w:szCs w:val="16"/>
        </w:rPr>
        <w:t xml:space="preserve">Огнемет имеет ряд дефектов: </w:t>
      </w:r>
    </w:p>
    <w:p w14:paraId="277A81B1" w14:textId="77777777" w:rsidR="00497E8A" w:rsidRPr="00A3026E" w:rsidRDefault="00497E8A"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Cs/>
          <w:color w:val="000000" w:themeColor="text1"/>
          <w:sz w:val="16"/>
          <w:szCs w:val="16"/>
        </w:rPr>
        <w:t xml:space="preserve">а) Как правило, можно дать при одной зарядке только 4 выстрела. </w:t>
      </w:r>
    </w:p>
    <w:p w14:paraId="21CE3A25" w14:textId="77777777" w:rsidR="00497E8A" w:rsidRPr="00A3026E" w:rsidRDefault="00497E8A"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Cs/>
          <w:color w:val="000000" w:themeColor="text1"/>
          <w:sz w:val="16"/>
          <w:szCs w:val="16"/>
        </w:rPr>
        <w:t xml:space="preserve">б) Нет отсечки струи. </w:t>
      </w:r>
    </w:p>
    <w:p w14:paraId="7F9964EB" w14:textId="77777777" w:rsidR="00497E8A" w:rsidRPr="00A3026E" w:rsidRDefault="00497E8A"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Cs/>
          <w:color w:val="000000" w:themeColor="text1"/>
          <w:sz w:val="16"/>
          <w:szCs w:val="16"/>
        </w:rPr>
        <w:t xml:space="preserve">в) Недостаточно надежно работает клапан продувки (пропускает). </w:t>
      </w:r>
    </w:p>
    <w:p w14:paraId="3AC19683" w14:textId="77777777" w:rsidR="00497E8A" w:rsidRPr="00A3026E" w:rsidRDefault="00497E8A"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Cs/>
          <w:color w:val="000000" w:themeColor="text1"/>
          <w:sz w:val="16"/>
          <w:szCs w:val="16"/>
        </w:rPr>
        <w:t xml:space="preserve">г) Имеются случаи отказа в работе зажигания. </w:t>
      </w:r>
    </w:p>
    <w:p w14:paraId="2FB80545" w14:textId="77777777" w:rsidR="00497E8A" w:rsidRPr="00A3026E" w:rsidRDefault="00497E8A"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Cs/>
          <w:color w:val="000000" w:themeColor="text1"/>
          <w:sz w:val="16"/>
          <w:szCs w:val="16"/>
        </w:rPr>
        <w:t xml:space="preserve">д) Подтекает бензин и т.п. </w:t>
      </w:r>
    </w:p>
    <w:p w14:paraId="41AEEE33" w14:textId="77777777" w:rsidR="00497E8A" w:rsidRPr="00A3026E" w:rsidRDefault="00497E8A"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В данном оформлении огнемет на серийную машину ставить пока нельзя, установка огнемета в данном конструктивном оформлении приведет к уменьшению боекомплекта и к ухудшению условий работы экипажа».</w:t>
      </w:r>
      <w:r w:rsidRPr="00A3026E">
        <w:rPr>
          <w:rFonts w:ascii="Times New Roman" w:hAnsi="Times New Roman"/>
          <w:color w:val="000000" w:themeColor="text1"/>
          <w:sz w:val="16"/>
          <w:szCs w:val="16"/>
        </w:rPr>
        <w:t xml:space="preserve"> </w:t>
      </w:r>
    </w:p>
    <w:p w14:paraId="6EF4F4F7" w14:textId="77777777" w:rsidR="00497E8A" w:rsidRPr="00A3026E" w:rsidRDefault="00497E8A" w:rsidP="00A3026E">
      <w:pPr>
        <w:pStyle w:val="ae"/>
        <w:spacing w:before="0" w:after="0"/>
        <w:jc w:val="both"/>
        <w:rPr>
          <w:color w:val="000000" w:themeColor="text1"/>
          <w:sz w:val="16"/>
          <w:szCs w:val="16"/>
        </w:rPr>
      </w:pPr>
      <w:r w:rsidRPr="00A3026E">
        <w:rPr>
          <w:bCs/>
          <w:color w:val="000000" w:themeColor="text1"/>
          <w:sz w:val="16"/>
          <w:szCs w:val="16"/>
        </w:rPr>
        <w:t>[ЦАМО. Ф. 38. Оп.. 11355. Д. 41. Л. 134 – 135]</w:t>
      </w:r>
    </w:p>
    <w:p w14:paraId="46668AC9" w14:textId="77777777" w:rsidR="00497E8A" w:rsidRPr="00A3026E" w:rsidRDefault="00497E8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21 февраля 1941 г. на заводе № 183 состоялось совещание по опытным работам и по подготовке к утверждению чертежей танка Т-34 выпуска 1941 г. Относительно установки огнемета «ОП-34» в танк Т-34 было решено: </w:t>
      </w:r>
    </w:p>
    <w:p w14:paraId="66E71FF4" w14:textId="77777777" w:rsidR="00497E8A" w:rsidRPr="00A3026E" w:rsidRDefault="00497E8A"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«К 15/IV-41 г. завод № 183 дорабатывает и представляет БТУ для испытания образец огнемета, разработанного в соответствии с ТУ, приложенными к договору с УВХЗ КА с дальностью огнеметания не менее 90 метров и с запасом огнесмеси не менее чем на 10 – 12 выстрелов».</w:t>
      </w:r>
      <w:r w:rsidRPr="00A3026E">
        <w:rPr>
          <w:rFonts w:ascii="Times New Roman" w:hAnsi="Times New Roman"/>
          <w:color w:val="000000" w:themeColor="text1"/>
          <w:sz w:val="16"/>
          <w:szCs w:val="16"/>
        </w:rPr>
        <w:t xml:space="preserve"> </w:t>
      </w:r>
    </w:p>
    <w:p w14:paraId="4BC1B2CD" w14:textId="77777777" w:rsidR="00497E8A" w:rsidRPr="00A3026E" w:rsidRDefault="00497E8A" w:rsidP="00A3026E">
      <w:pPr>
        <w:pStyle w:val="ae"/>
        <w:spacing w:before="0" w:after="0"/>
        <w:jc w:val="both"/>
        <w:rPr>
          <w:color w:val="000000" w:themeColor="text1"/>
          <w:sz w:val="16"/>
          <w:szCs w:val="16"/>
        </w:rPr>
      </w:pPr>
      <w:r w:rsidRPr="00A3026E">
        <w:rPr>
          <w:bCs/>
          <w:color w:val="000000" w:themeColor="text1"/>
          <w:sz w:val="16"/>
          <w:szCs w:val="16"/>
        </w:rPr>
        <w:t>[ЦАМО. Ф. 38. Оп. 11355. Д. 41. Л. 249 – 250]</w:t>
      </w:r>
    </w:p>
    <w:p w14:paraId="60F5302C" w14:textId="77777777" w:rsidR="00497E8A" w:rsidRPr="00A3026E" w:rsidRDefault="00497E8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Однако доработка огнемета «ОП-34» затянулась, и представить его для полигонных испытаний к указанному сроку специалистам завода № 183 не удалось. Работы по доводке огнемета «ОП-34» на заводе № 183 были продолжены и в апреле и в мае 1941 г. Необходимо отметить, что в начале 1941 г. в Ленинграде на заводе № 174 им. Ворошилова был разработан пороховой танковый огнемет, получивший наименование АТО-41. Согласно Постановлению СНК СССР и ЦК ВКП(б) № 525-224сс от 13 марта 1941 г. «О вооружении огнеметами танков "КВ", "Т-34" и "Т-50"» завод № 183 до конца года обязывался изготовить 300 танков Т-34 с пороховым танковым огнеметом АТО-41 конструкции завода № 174. В связи с этим руководство ГАБТУ КА письмом № 146407с от 4 июня 1941 г. уведомило дирекцию завода № 183 о прекращении дальнейших работ по огнемету «ОП-34»: </w:t>
      </w:r>
    </w:p>
    <w:p w14:paraId="3945EFB0" w14:textId="77777777" w:rsidR="00497E8A" w:rsidRPr="00A3026E" w:rsidRDefault="00497E8A"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Cs/>
          <w:color w:val="000000" w:themeColor="text1"/>
          <w:sz w:val="16"/>
          <w:szCs w:val="16"/>
        </w:rPr>
        <w:t xml:space="preserve">«Работы по испытаниям и доработке воздушного огнемета на Т-34 прекратите, огнеметную аппаратуру демонтируйте и используйте по своему усмотрению. </w:t>
      </w:r>
    </w:p>
    <w:p w14:paraId="4B08F566" w14:textId="77777777" w:rsidR="00497E8A" w:rsidRPr="00A3026E" w:rsidRDefault="00497E8A"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Cs/>
          <w:color w:val="000000" w:themeColor="text1"/>
          <w:sz w:val="16"/>
          <w:szCs w:val="16"/>
        </w:rPr>
        <w:t xml:space="preserve">На танке Т-34 будет устанавливаться пороховой автоматический огнемет конструкции завода № 174, а поэтому заводу № 183 необходимо вести подготовительную работу к установке этих огнеметов на серийные танки. </w:t>
      </w:r>
    </w:p>
    <w:p w14:paraId="31BB2851" w14:textId="77777777" w:rsidR="00497E8A" w:rsidRPr="00A3026E" w:rsidRDefault="00497E8A"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Завод № 174 донес, что 31 мая с.г. чертежи и образец установки порохового огнемета отправлены им в адрес завода № 183».</w:t>
      </w:r>
      <w:r w:rsidRPr="00A3026E">
        <w:rPr>
          <w:rFonts w:ascii="Times New Roman" w:hAnsi="Times New Roman"/>
          <w:color w:val="000000" w:themeColor="text1"/>
          <w:sz w:val="16"/>
          <w:szCs w:val="16"/>
        </w:rPr>
        <w:t xml:space="preserve"> </w:t>
      </w:r>
    </w:p>
    <w:p w14:paraId="7406723B" w14:textId="77777777" w:rsidR="00497E8A" w:rsidRPr="00A3026E" w:rsidRDefault="00497E8A" w:rsidP="00A3026E">
      <w:pPr>
        <w:pStyle w:val="ae"/>
        <w:spacing w:before="0" w:after="0"/>
        <w:jc w:val="both"/>
        <w:rPr>
          <w:color w:val="000000" w:themeColor="text1"/>
          <w:sz w:val="16"/>
          <w:szCs w:val="16"/>
        </w:rPr>
      </w:pPr>
      <w:r w:rsidRPr="00A3026E">
        <w:rPr>
          <w:bCs/>
          <w:color w:val="000000" w:themeColor="text1"/>
          <w:sz w:val="16"/>
          <w:szCs w:val="16"/>
        </w:rPr>
        <w:t>[ЦАМО. Ф. 38. Оп. 11355. Д. 67. Л. 186] (17625).</w:t>
      </w:r>
    </w:p>
    <w:p w14:paraId="3659343A" w14:textId="77777777" w:rsidR="00497E8A" w:rsidRPr="00A3026E" w:rsidRDefault="00497E8A" w:rsidP="00A3026E">
      <w:pPr>
        <w:spacing w:after="0" w:line="240" w:lineRule="auto"/>
        <w:jc w:val="both"/>
        <w:rPr>
          <w:rFonts w:ascii="Times New Roman" w:eastAsia="Times New Roman" w:hAnsi="Times New Roman"/>
          <w:color w:val="000000" w:themeColor="text1"/>
          <w:sz w:val="16"/>
          <w:szCs w:val="16"/>
          <w:lang w:eastAsia="ru-RU"/>
        </w:rPr>
      </w:pPr>
    </w:p>
    <w:p w14:paraId="1735530A"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73BF626C"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02FC77E"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31 декабря 1940 было подписано донесение ст. в/п ГУ ВВС на заводе № 39 ви2р Савкина:</w:t>
      </w:r>
    </w:p>
    <w:p w14:paraId="1404E2CD"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По с-ту Пе-2</w:t>
      </w:r>
    </w:p>
    <w:p w14:paraId="1A7D8487"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Головной с-т Пе-2 с 14 декабря по 21 декабря с.г. проходил заводские испытания. Всего налет 4:36 за 10 полетов. Летал Федотов.</w:t>
      </w:r>
    </w:p>
    <w:p w14:paraId="5C51EF68"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Во всех пометках, записанных Фкдотовым в полетных листах, отмечено, что с-т ведет себя хорошо. Управляемость, устойчивость и работа ВМГ - нормальные.</w:t>
      </w:r>
    </w:p>
    <w:p w14:paraId="4E5A43BE"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21 декабря 1940 был произведен полет ли НИИ ВВС Стефановского, который выявил ряд серьезных дефектов - недостаток продольной устойчивости и тугое управление элеронами и РЫ по сравнению с “100”. После этих замечаний недостатки стали устранятьсяю Без окончания заводских испытаний с-т срочно был принят на госиспытания.</w:t>
      </w:r>
    </w:p>
    <w:p w14:paraId="77E5BD7E"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По с-ту Ил-2 (БШ-2)</w:t>
      </w:r>
    </w:p>
    <w:p w14:paraId="43A37313"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29 декабря 1940 был произведен первый велет Ил-2 АМ-38 (10-12 минут) с ЦА. При посадке, когда л нужно было дать газ - не забрал мотор (474,2)</w:t>
      </w:r>
    </w:p>
    <w:p w14:paraId="708273BF" w14:textId="77777777" w:rsidR="0014077F" w:rsidRPr="00A3026E" w:rsidRDefault="0014077F" w:rsidP="00A3026E">
      <w:pPr>
        <w:pStyle w:val="Iauiue"/>
        <w:jc w:val="both"/>
        <w:rPr>
          <w:color w:val="000000" w:themeColor="text1"/>
          <w:sz w:val="16"/>
          <w:szCs w:val="16"/>
        </w:rPr>
      </w:pPr>
    </w:p>
    <w:p w14:paraId="579F4A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вышел приказ НКАП N 791с, согласно которому для заводских испытаний ДБ-4-2АМ-37 дублер конструкции тов. Ильюшина С.В. назначен л-и Коккинаки В.К. и поручено провести заводские испытания в течение двух месяцев с первого полета (417,50).</w:t>
      </w:r>
    </w:p>
    <w:p w14:paraId="14E851F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проведения заводских испытаний самолета ДБ-4-2АМ-37 дублер конструкции тов. ИЛЬЮШИНА С.В. ПРИКАЗЫВАЮ:</w:t>
      </w:r>
    </w:p>
    <w:p w14:paraId="2F9CBBD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Тов. КОККИНАКИ В.К. назначить на ДБ-4 дублер летчиком-испытателем для проведения заводских испыта</w:t>
      </w:r>
      <w:r w:rsidRPr="00A3026E">
        <w:rPr>
          <w:rFonts w:ascii="Times New Roman" w:hAnsi="Times New Roman"/>
          <w:color w:val="000000" w:themeColor="text1"/>
          <w:sz w:val="16"/>
          <w:szCs w:val="16"/>
        </w:rPr>
        <w:softHyphen/>
        <w:t>ний.</w:t>
      </w:r>
    </w:p>
    <w:p w14:paraId="2ADEAB1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Заводские испытания провести в течение двух с половиной месяцев со дня первого вылета.</w:t>
      </w:r>
    </w:p>
    <w:p w14:paraId="3B55E9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Установить дополнительную зарплату тов.КОККИНАКИ В.К. за полное проведение заводских испытаний в срок в сумме 30.000 рублей (417,50).</w:t>
      </w:r>
    </w:p>
    <w:p w14:paraId="69F6EE2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11C47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вышел приказ НКАП N 794сс о программе производства завода 22, где предусматривалось производство 1500 Пе-2 и 300 Ар-2 (1255).</w:t>
      </w:r>
    </w:p>
    <w:p w14:paraId="7501556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F360A4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31 декабря 1940 года собрали первую партию МиГ-1, которая прибыла в Евпаторию 21 декабря 1940, а вплоть до начала февраля 1941 г. в ос</w:t>
      </w:r>
      <w:r w:rsidRPr="00A3026E">
        <w:rPr>
          <w:rFonts w:ascii="Times New Roman" w:hAnsi="Times New Roman"/>
          <w:color w:val="000000" w:themeColor="text1"/>
          <w:sz w:val="16"/>
          <w:szCs w:val="16"/>
        </w:rPr>
        <w:softHyphen/>
        <w:t>новном занимались доработками: перерегулировали автомат постоянства давления, отлаживали шасси и винтомоторную группу и др. Но и февраль не пора</w:t>
      </w:r>
      <w:r w:rsidRPr="00A3026E">
        <w:rPr>
          <w:rFonts w:ascii="Times New Roman" w:hAnsi="Times New Roman"/>
          <w:color w:val="000000" w:themeColor="text1"/>
          <w:sz w:val="16"/>
          <w:szCs w:val="16"/>
        </w:rPr>
        <w:softHyphen/>
        <w:t>довал: за весь месяц было всего четыре летных дня. В один из них самолеты перелетели в Качу, а за другие дни сделали еще 35 полетов. К этому времени Микулин уже «расписался» в недостаточной подготовлен</w:t>
      </w:r>
      <w:r w:rsidRPr="00A3026E">
        <w:rPr>
          <w:rFonts w:ascii="Times New Roman" w:hAnsi="Times New Roman"/>
          <w:color w:val="000000" w:themeColor="text1"/>
          <w:sz w:val="16"/>
          <w:szCs w:val="16"/>
        </w:rPr>
        <w:softHyphen/>
        <w:t>ности моторов первых МиГов к испытаниям, предложив их прекратить и взамен поставить машины более позднего времени выпуска. Но военные заупрямились: ведь проверке подлежала не только винтомоторная группа, но и другие системы и агре</w:t>
      </w:r>
      <w:r w:rsidRPr="00A3026E">
        <w:rPr>
          <w:rFonts w:ascii="Times New Roman" w:hAnsi="Times New Roman"/>
          <w:color w:val="000000" w:themeColor="text1"/>
          <w:sz w:val="16"/>
          <w:szCs w:val="16"/>
        </w:rPr>
        <w:softHyphen/>
        <w:t>гаты (9984).</w:t>
      </w:r>
    </w:p>
    <w:p w14:paraId="67348ED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6659D5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мотор АМ-35А на самолете И-200 поступил в НИИ ВВС для войсковых испытаний в г.Севастополь-Кача (3333,15).</w:t>
      </w:r>
    </w:p>
    <w:p w14:paraId="1F5BD84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186220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года, вышло постановление СНК о постройке третьего экземпляра истребителя И-110 в высотном ва</w:t>
      </w:r>
      <w:r w:rsidRPr="00A3026E">
        <w:rPr>
          <w:rFonts w:ascii="Times New Roman" w:hAnsi="Times New Roman"/>
          <w:color w:val="000000" w:themeColor="text1"/>
          <w:sz w:val="16"/>
          <w:szCs w:val="16"/>
        </w:rPr>
        <w:softHyphen/>
        <w:t>рианте с гермокабиной и двигателем М-107П, оснащенном турбокомпрессором. Этот самолет должен был развивать ско</w:t>
      </w:r>
      <w:r w:rsidRPr="00A3026E">
        <w:rPr>
          <w:rFonts w:ascii="Times New Roman" w:hAnsi="Times New Roman"/>
          <w:color w:val="000000" w:themeColor="text1"/>
          <w:sz w:val="16"/>
          <w:szCs w:val="16"/>
        </w:rPr>
        <w:softHyphen/>
        <w:t>рость до 670 км/ч на высоте 7000 метров и подниматься на 8000 метров за девять минут. Расчеты показали, что его^аль-ность достигнет 1590 км (10745,193).</w:t>
      </w:r>
    </w:p>
    <w:p w14:paraId="31D3F30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2B2046B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года на ОКО-6 2М88Р 2-й экземпляр был произведен полет на фигуры до высоты 4000 мт. Выполнены: виражи, боевые развороты, петли; перевороты и бочки. Все фигуры выполняются на самолете нормально, за исключением виражей на малой скорости, при которых появляются значи</w:t>
      </w:r>
      <w:r w:rsidRPr="00A3026E">
        <w:rPr>
          <w:rFonts w:ascii="Times New Roman" w:hAnsi="Times New Roman"/>
          <w:color w:val="000000" w:themeColor="text1"/>
          <w:sz w:val="16"/>
          <w:szCs w:val="16"/>
        </w:rPr>
        <w:softHyphen/>
        <w:t>тельные нагрузки на элероны. Саможт приходится удерживать в вираже, предполагается установить на одном из элеронов флетнер. В конце выполнения задания на фигуры обре</w:t>
      </w:r>
      <w:r w:rsidRPr="00A3026E">
        <w:rPr>
          <w:rFonts w:ascii="Times New Roman" w:hAnsi="Times New Roman"/>
          <w:color w:val="000000" w:themeColor="text1"/>
          <w:sz w:val="16"/>
          <w:szCs w:val="16"/>
        </w:rPr>
        <w:softHyphen/>
        <w:t>зало моторы, как позже выяснилось, из-за пе</w:t>
      </w:r>
      <w:r w:rsidRPr="00A3026E">
        <w:rPr>
          <w:rFonts w:ascii="Times New Roman" w:hAnsi="Times New Roman"/>
          <w:color w:val="000000" w:themeColor="text1"/>
          <w:sz w:val="16"/>
          <w:szCs w:val="16"/>
        </w:rPr>
        <w:softHyphen/>
        <w:t>рекрытого крана фюзеляжного бака. Летчиком была произведена вынужденная посадка на аэродром в Быково, с-т сел благополучно. К 6 января 1941 г. за время заводских испытаний все го произведено 35 полетов, с общим налетом 27 часов (3333,6).</w:t>
      </w:r>
    </w:p>
    <w:p w14:paraId="104694A8" w14:textId="77777777" w:rsidR="0014077F" w:rsidRPr="00A3026E" w:rsidRDefault="0014077F" w:rsidP="00A3026E">
      <w:pPr>
        <w:pStyle w:val="Iauiue"/>
        <w:jc w:val="both"/>
        <w:rPr>
          <w:color w:val="000000" w:themeColor="text1"/>
          <w:sz w:val="16"/>
          <w:szCs w:val="16"/>
        </w:rPr>
      </w:pPr>
    </w:p>
    <w:p w14:paraId="7EC1BC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вышел приказ НКАП N 793сс "О производстве карбюраторов и агрегатов непосредственного впрыска". Хотели для М-88 и М-89, М-500 и АМ-35 (877,52).</w:t>
      </w:r>
    </w:p>
    <w:p w14:paraId="696017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авиамоторов современными карбюраторами и агрегатами непосредственного впрыска в 1941 и для дополнительного наращивания мощностей по выпуску карбюраторов и агрегатов непосредственного впрыска в 1942 г. в соответствии с постановление СНК СССР и ЦК ВКП (б) от 26 декабря 1940 приказываю:</w:t>
      </w:r>
    </w:p>
    <w:p w14:paraId="2681D0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5D2332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насосы непосредственного впрыска в количестве 2500 шт. из них:</w:t>
      </w:r>
    </w:p>
    <w:p w14:paraId="2A4D04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мотора М-88 и М-89 насосов типа “Деккем” - 2000 шт.</w:t>
      </w:r>
    </w:p>
    <w:p w14:paraId="67B9E2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мотора М-500 насосов типа “Бош” - 100 шт.</w:t>
      </w:r>
    </w:p>
    <w:p w14:paraId="614281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мотора АМ-35 насосов типа “Бош” - 400 шт.</w:t>
      </w:r>
    </w:p>
    <w:p w14:paraId="4F662D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заводу № 339</w:t>
      </w:r>
    </w:p>
    <w:p w14:paraId="1DF038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моторов АМ-35А беспоплавковых карбюраторов с ручным включением корректора К-37БП - 15000 шт.</w:t>
      </w:r>
    </w:p>
    <w:p w14:paraId="23AAB7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моторов М-105 и М-105П...</w:t>
      </w:r>
    </w:p>
    <w:p w14:paraId="675946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заводу № 444</w:t>
      </w:r>
    </w:p>
    <w:p w14:paraId="6701DE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моторов АМ-35А насосов типа БШ - 400 шт.</w:t>
      </w:r>
    </w:p>
    <w:p w14:paraId="4DB5C2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Директору завода № 24 тов. Дубову и ГК АММ обеспечить:</w:t>
      </w:r>
    </w:p>
    <w:p w14:paraId="50E865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выпуск моторов АМ-35А с беспоплавковым карбюратором К-37БП с 1 марта 1941</w:t>
      </w:r>
    </w:p>
    <w:p w14:paraId="7E80A3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отправку 3-х моторов АМ-35А с беспоплавковым карбюратором заводу № 1 к 1 января 1941 для проведения стендовых и летных испытаний</w:t>
      </w:r>
    </w:p>
    <w:p w14:paraId="281CF7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отработку конструкции мотора АМ-35А под непосредственный впрыск топлива в цилиндры и предъявитиь 15 сентября 1941 на совместные 50-часовые испытания и к 1 ноября 1941 предъявить на 100-часовые испытания</w:t>
      </w:r>
    </w:p>
    <w:p w14:paraId="7A5BBC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ГК завода № 33 т. Короткову и дир. Завода № 33 т. Солдатову:</w:t>
      </w:r>
    </w:p>
    <w:p w14:paraId="2C5008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 1 июля 1941 спроектировать и изготовить в соответствии с ТТ завода № 24 агрегат непосредственного впрыска для мотора АМ-35А в количестве 10 шт.</w:t>
      </w:r>
    </w:p>
    <w:p w14:paraId="155C7F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к 15 августа 1941 спроектировать и изготовить в соответствии с ТТ завода № агрегат непосредственного впрыска для мотора М-120 в количестве 10 шт.</w:t>
      </w:r>
    </w:p>
    <w:p w14:paraId="1881AA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Начальнику ЦИАМ Каширину отработать и изготовить к 1 мая 1941 10 шт. насосов непосредственного впрыска отечественной конструкции типа Б-13 для моторов АМ-35А и АМ-37</w:t>
      </w:r>
    </w:p>
    <w:p w14:paraId="41638A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Предъявить к 15 мая 1941 моторов АМ-35А с насосом Б-13 на 50-часовые испытания и т.д...(877,52).</w:t>
      </w:r>
    </w:p>
    <w:p w14:paraId="22D4B60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55728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активно обсуждался вопрос, поднятый Данилиным (Депутатом ВС, ГСС) в письме на имя К.Е.В. о необходимости ликвидации существующей диспропорции между выпуском самолетов и производством спецоборудования (авиаприборы, средства навигации, связи, слепой посадки и т.д.) (2463,183).</w:t>
      </w:r>
    </w:p>
    <w:p w14:paraId="0BB570F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ABBE8D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была отправлена справка:</w:t>
      </w:r>
    </w:p>
    <w:p w14:paraId="25E00E3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ЦК ВГП(б) - ТОВ.СТАЛИНУ.</w:t>
      </w:r>
    </w:p>
    <w:p w14:paraId="1F8D4D5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авиазаводу № 458 в г. Ростове.</w:t>
      </w:r>
    </w:p>
    <w:p w14:paraId="0ADCA6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Улучшалась работа по стровтельству домов-общежитвй, го</w:t>
      </w:r>
      <w:r w:rsidRPr="00A3026E">
        <w:rPr>
          <w:rFonts w:ascii="Times New Roman" w:hAnsi="Times New Roman"/>
          <w:color w:val="000000" w:themeColor="text1"/>
          <w:sz w:val="16"/>
          <w:szCs w:val="16"/>
        </w:rPr>
        <w:softHyphen/>
        <w:t>товность составляет 55%, против 38% предыдущей декады. Удов</w:t>
      </w:r>
      <w:r w:rsidRPr="00A3026E">
        <w:rPr>
          <w:rFonts w:ascii="Times New Roman" w:hAnsi="Times New Roman"/>
          <w:color w:val="000000" w:themeColor="text1"/>
          <w:sz w:val="16"/>
          <w:szCs w:val="16"/>
        </w:rPr>
        <w:softHyphen/>
        <w:t>летворительно строится здание экспедиции.</w:t>
      </w:r>
    </w:p>
    <w:p w14:paraId="4DE9505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отчетную декаду послано г. Ростовом на площадку еде 240 человек рабочих, необходимых для стровтельства специаль</w:t>
      </w:r>
      <w:r w:rsidRPr="00A3026E">
        <w:rPr>
          <w:rFonts w:ascii="Times New Roman" w:hAnsi="Times New Roman"/>
          <w:color w:val="000000" w:themeColor="text1"/>
          <w:sz w:val="16"/>
          <w:szCs w:val="16"/>
        </w:rPr>
        <w:softHyphen/>
        <w:t>ностей. Всего работает ва стройке 1240 человек.</w:t>
      </w:r>
    </w:p>
    <w:p w14:paraId="0ABB913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Начинает медленно поступать лес и металл.</w:t>
      </w:r>
    </w:p>
    <w:p w14:paraId="58BEB7A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авиазаводу № 123 в г. Каменске.</w:t>
      </w:r>
    </w:p>
    <w:p w14:paraId="279794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декаду освоено по строительству всего-навсего 68 тыс. рублей, т.е. на 22 тысячи меньше, чем было в предыдущей де</w:t>
      </w:r>
      <w:r w:rsidRPr="00A3026E">
        <w:rPr>
          <w:rFonts w:ascii="Times New Roman" w:hAnsi="Times New Roman"/>
          <w:color w:val="000000" w:themeColor="text1"/>
          <w:sz w:val="16"/>
          <w:szCs w:val="16"/>
        </w:rPr>
        <w:softHyphen/>
        <w:t>каде, при 640 чел. рабочвх. Начальник стройтреста № 23, как необеспечившей данную работу, смещается.</w:t>
      </w:r>
    </w:p>
    <w:p w14:paraId="7D3152F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авиазаводу № 31 в г. Таганроге.</w:t>
      </w:r>
    </w:p>
    <w:p w14:paraId="684A000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Решением ЦК ВКП(б) и СНК СССР о заводе обсудили вместе с руководителями завода и строительной конторой.</w:t>
      </w:r>
    </w:p>
    <w:p w14:paraId="79EF6B3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Свыше 50 человек (конструктора, техники, рабочие) по</w:t>
      </w:r>
      <w:r w:rsidRPr="00A3026E">
        <w:rPr>
          <w:rFonts w:ascii="Times New Roman" w:hAnsi="Times New Roman"/>
          <w:color w:val="000000" w:themeColor="text1"/>
          <w:sz w:val="16"/>
          <w:szCs w:val="16"/>
        </w:rPr>
        <w:softHyphen/>
        <w:t>сланы иа другие заводы за технической документацией с полу</w:t>
      </w:r>
      <w:r w:rsidRPr="00A3026E">
        <w:rPr>
          <w:rFonts w:ascii="Times New Roman" w:hAnsi="Times New Roman"/>
          <w:color w:val="000000" w:themeColor="text1"/>
          <w:sz w:val="16"/>
          <w:szCs w:val="16"/>
        </w:rPr>
        <w:softHyphen/>
        <w:t>чен а ей технической помощи. По этим же вопросам с других за</w:t>
      </w:r>
      <w:r w:rsidRPr="00A3026E">
        <w:rPr>
          <w:rFonts w:ascii="Times New Roman" w:hAnsi="Times New Roman"/>
          <w:color w:val="000000" w:themeColor="text1"/>
          <w:sz w:val="16"/>
          <w:szCs w:val="16"/>
        </w:rPr>
        <w:softHyphen/>
        <w:t>водов прибыло на Таганрогский завод свыше 40 человек.</w:t>
      </w:r>
    </w:p>
    <w:p w14:paraId="70F063E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производстве шасси, литье в поковки, т.е. то, что обес</w:t>
      </w:r>
      <w:r w:rsidRPr="00A3026E">
        <w:rPr>
          <w:rFonts w:ascii="Times New Roman" w:hAnsi="Times New Roman"/>
          <w:color w:val="000000" w:themeColor="text1"/>
          <w:sz w:val="16"/>
          <w:szCs w:val="16"/>
        </w:rPr>
        <w:softHyphen/>
        <w:t>печено чертежами.</w:t>
      </w:r>
    </w:p>
    <w:p w14:paraId="5134C5B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СЕКРЕТАРЬ РОСТОВСКОГО ОБКОМА ВКП(б)</w:t>
      </w:r>
    </w:p>
    <w:p w14:paraId="7091FDF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В.Двинский.</w:t>
      </w:r>
    </w:p>
    <w:p w14:paraId="2BC973B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Принято по телефону (8049).</w:t>
      </w:r>
    </w:p>
    <w:p w14:paraId="6A6995F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6FABE8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И.Ф.Козлова назначили начальником ЛИС завода 115 освободив от работы в ЦАГИ (896,288).</w:t>
      </w:r>
    </w:p>
    <w:p w14:paraId="310604D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EF400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1931 завод N 1 был награжден ОЛ, а группа к и и - орденами и медалями. А.И.М. и М.И.Г присудили Сталинскую премию первой степени (3951,3).</w:t>
      </w:r>
    </w:p>
    <w:p w14:paraId="01B58D9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D04A12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г. за успешное выполнение пра</w:t>
      </w:r>
      <w:r w:rsidRPr="00A3026E">
        <w:rPr>
          <w:rFonts w:ascii="Times New Roman" w:hAnsi="Times New Roman"/>
          <w:color w:val="000000" w:themeColor="text1"/>
          <w:sz w:val="16"/>
          <w:szCs w:val="16"/>
        </w:rPr>
        <w:softHyphen/>
        <w:t>вительственного задания в облас</w:t>
      </w:r>
      <w:r w:rsidRPr="00A3026E">
        <w:rPr>
          <w:rFonts w:ascii="Times New Roman" w:hAnsi="Times New Roman"/>
          <w:color w:val="000000" w:themeColor="text1"/>
          <w:sz w:val="16"/>
          <w:szCs w:val="16"/>
        </w:rPr>
        <w:softHyphen/>
        <w:t>ти создания и освоения в произ</w:t>
      </w:r>
      <w:r w:rsidRPr="00A3026E">
        <w:rPr>
          <w:rFonts w:ascii="Times New Roman" w:hAnsi="Times New Roman"/>
          <w:color w:val="000000" w:themeColor="text1"/>
          <w:sz w:val="16"/>
          <w:szCs w:val="16"/>
        </w:rPr>
        <w:softHyphen/>
        <w:t>водстве новых образцов авиацион</w:t>
      </w:r>
      <w:r w:rsidRPr="00A3026E">
        <w:rPr>
          <w:rFonts w:ascii="Times New Roman" w:hAnsi="Times New Roman"/>
          <w:color w:val="000000" w:themeColor="text1"/>
          <w:sz w:val="16"/>
          <w:szCs w:val="16"/>
        </w:rPr>
        <w:softHyphen/>
        <w:t>ной техники авиазавод №1 им. Авиахима был награждён орденом Ленина, а боль</w:t>
      </w:r>
      <w:r w:rsidRPr="00A3026E">
        <w:rPr>
          <w:rFonts w:ascii="Times New Roman" w:hAnsi="Times New Roman"/>
          <w:color w:val="000000" w:themeColor="text1"/>
          <w:sz w:val="16"/>
          <w:szCs w:val="16"/>
        </w:rPr>
        <w:softHyphen/>
        <w:t>шая группа конструкторов, инжене</w:t>
      </w:r>
      <w:r w:rsidRPr="00A3026E">
        <w:rPr>
          <w:rFonts w:ascii="Times New Roman" w:hAnsi="Times New Roman"/>
          <w:color w:val="000000" w:themeColor="text1"/>
          <w:sz w:val="16"/>
          <w:szCs w:val="16"/>
        </w:rPr>
        <w:softHyphen/>
        <w:t>ров и рабочих - орденами и меда</w:t>
      </w:r>
      <w:r w:rsidRPr="00A3026E">
        <w:rPr>
          <w:rFonts w:ascii="Times New Roman" w:hAnsi="Times New Roman"/>
          <w:color w:val="000000" w:themeColor="text1"/>
          <w:sz w:val="16"/>
          <w:szCs w:val="16"/>
        </w:rPr>
        <w:softHyphen/>
        <w:t>лями. А.И. Микояна и М.И. Гуреви-ча наградили орденами Ленина, а за разработку новой конструкции самолёта они удостоились также Сталинской премии первой степе</w:t>
      </w:r>
      <w:r w:rsidRPr="00A3026E">
        <w:rPr>
          <w:rFonts w:ascii="Times New Roman" w:hAnsi="Times New Roman"/>
          <w:color w:val="000000" w:themeColor="text1"/>
          <w:sz w:val="16"/>
          <w:szCs w:val="16"/>
        </w:rPr>
        <w:softHyphen/>
        <w:t>ни.</w:t>
      </w:r>
    </w:p>
    <w:p w14:paraId="25A75F31" w14:textId="77777777" w:rsidR="0014077F" w:rsidRPr="00A3026E" w:rsidRDefault="0014077F" w:rsidP="00A3026E">
      <w:pPr>
        <w:pStyle w:val="af9"/>
        <w:spacing w:before="0" w:after="0"/>
        <w:jc w:val="both"/>
        <w:rPr>
          <w:color w:val="000000" w:themeColor="text1"/>
          <w:sz w:val="16"/>
          <w:szCs w:val="16"/>
        </w:rPr>
      </w:pPr>
      <w:r w:rsidRPr="00A3026E">
        <w:rPr>
          <w:color w:val="000000" w:themeColor="text1"/>
          <w:sz w:val="16"/>
          <w:szCs w:val="16"/>
        </w:rPr>
        <w:t>Стоит отметить, что большую помощь в части скоростного про</w:t>
      </w:r>
      <w:r w:rsidRPr="00A3026E">
        <w:rPr>
          <w:color w:val="000000" w:themeColor="text1"/>
          <w:sz w:val="16"/>
          <w:szCs w:val="16"/>
        </w:rPr>
        <w:softHyphen/>
        <w:t>ектирования, изготовления опытных образцов и внедрения в серию ис</w:t>
      </w:r>
      <w:r w:rsidRPr="00A3026E">
        <w:rPr>
          <w:color w:val="000000" w:themeColor="text1"/>
          <w:sz w:val="16"/>
          <w:szCs w:val="16"/>
        </w:rPr>
        <w:softHyphen/>
        <w:t>требителей МиГ-1 и МиГ-3 оказы</w:t>
      </w:r>
      <w:r w:rsidRPr="00A3026E">
        <w:rPr>
          <w:color w:val="000000" w:themeColor="text1"/>
          <w:sz w:val="16"/>
          <w:szCs w:val="16"/>
        </w:rPr>
        <w:softHyphen/>
        <w:t>вало военное представительство ГУ ВВС КА на заводе №1. За успеш</w:t>
      </w:r>
      <w:r w:rsidRPr="00A3026E">
        <w:rPr>
          <w:color w:val="000000" w:themeColor="text1"/>
          <w:sz w:val="16"/>
          <w:szCs w:val="16"/>
        </w:rPr>
        <w:softHyphen/>
        <w:t>ную работу по внедрению в серий</w:t>
      </w:r>
      <w:r w:rsidRPr="00A3026E">
        <w:rPr>
          <w:color w:val="000000" w:themeColor="text1"/>
          <w:sz w:val="16"/>
          <w:szCs w:val="16"/>
        </w:rPr>
        <w:softHyphen/>
        <w:t>ное производство новых самолётов в соответствии с приказом ГУ ВВС КА от 31 декабря 1940 г. получили благодарность и были премирова</w:t>
      </w:r>
      <w:r w:rsidRPr="00A3026E">
        <w:rPr>
          <w:color w:val="000000" w:themeColor="text1"/>
          <w:sz w:val="16"/>
          <w:szCs w:val="16"/>
        </w:rPr>
        <w:softHyphen/>
        <w:t>ны старший военпред военинженер 2-го ранга М.В. Францев, райин-женер военинженер 1-го ранга Ф.М. Шишкин, военпреды военин</w:t>
      </w:r>
      <w:r w:rsidRPr="00A3026E">
        <w:rPr>
          <w:color w:val="000000" w:themeColor="text1"/>
          <w:sz w:val="16"/>
          <w:szCs w:val="16"/>
        </w:rPr>
        <w:softHyphen/>
        <w:t>женер 1-го ранга И.Ф. Воедило и военинженер 2-го ранга Т.П. Гал</w:t>
      </w:r>
      <w:r w:rsidRPr="00A3026E">
        <w:rPr>
          <w:color w:val="000000" w:themeColor="text1"/>
          <w:sz w:val="16"/>
          <w:szCs w:val="16"/>
        </w:rPr>
        <w:softHyphen/>
        <w:t>кин, старший техник военинженер 2-го ранга Л.К. Макаренко, а также лётчики майор А.Э. Шитц и ка</w:t>
      </w:r>
      <w:r w:rsidRPr="00A3026E">
        <w:rPr>
          <w:color w:val="000000" w:themeColor="text1"/>
          <w:sz w:val="16"/>
          <w:szCs w:val="16"/>
        </w:rPr>
        <w:softHyphen/>
        <w:t>питан И.А. Доброскокин (11761).</w:t>
      </w:r>
    </w:p>
    <w:p w14:paraId="20FB953F" w14:textId="77777777" w:rsidR="0014077F" w:rsidRPr="00A3026E" w:rsidRDefault="0014077F" w:rsidP="00A3026E">
      <w:pPr>
        <w:pStyle w:val="af9"/>
        <w:spacing w:before="0" w:after="0"/>
        <w:jc w:val="both"/>
        <w:rPr>
          <w:color w:val="000000" w:themeColor="text1"/>
          <w:sz w:val="16"/>
          <w:szCs w:val="16"/>
        </w:rPr>
      </w:pPr>
    </w:p>
    <w:p w14:paraId="6E995F6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г. (из тезисов доклада наркома оборо</w:t>
      </w:r>
      <w:r w:rsidRPr="00A3026E">
        <w:rPr>
          <w:rFonts w:ascii="Times New Roman" w:hAnsi="Times New Roman"/>
          <w:color w:val="000000" w:themeColor="text1"/>
          <w:sz w:val="16"/>
          <w:szCs w:val="16"/>
        </w:rPr>
        <w:softHyphen/>
        <w:t>ны маршала С.К.Тимошенко «Авиационное вооружение» (раздел "Во</w:t>
      </w:r>
      <w:r w:rsidRPr="00A3026E">
        <w:rPr>
          <w:rFonts w:ascii="Times New Roman" w:hAnsi="Times New Roman"/>
          <w:color w:val="000000" w:themeColor="text1"/>
          <w:sz w:val="16"/>
          <w:szCs w:val="16"/>
        </w:rPr>
        <w:softHyphen/>
        <w:t>оружение РС») для руководства ВКП(б): «Вообще ракетному снаряду принадлежит большая будущность, ибо в его типе нашла себе синтез идея объединения авиабомбы с пуш</w:t>
      </w:r>
      <w:r w:rsidRPr="00A3026E">
        <w:rPr>
          <w:rFonts w:ascii="Times New Roman" w:hAnsi="Times New Roman"/>
          <w:color w:val="000000" w:themeColor="text1"/>
          <w:sz w:val="16"/>
          <w:szCs w:val="16"/>
        </w:rPr>
        <w:softHyphen/>
        <w:t>кой. Пушка оказывается очень легкой и движется вместе со снарядом. В области РС отработаны и внедряются в производство калибры 82 и 132 мм. В стадии разработки находится калибр 203 мм (8-дюймовый снаряд).</w:t>
      </w:r>
    </w:p>
    <w:p w14:paraId="0CEF257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Попадания 45-мм артиллерийского снаряда уже достаточно для выбывания самолета из строя. Таким образом, 82 и 132 мм - избыточные калибры для прямого попадания. Поэтому они - осколочные и применяются с дистанционной трубкой. Их действие аналогично зенитной артиллерии среднего калибра. В условиях авиации целесообразно иметь станционную трубку двойного действия, и крайне важно, чтобы пилот мог ее устанавливать в полете. В опытной разработке находится АГДТ двойного действия. На испытаниях РС-82 и РС-132 показали высокую эффективность на дистанциях стрельбы от 1000 до 3500 м по воздушным и наземным целям. Испытанный на ТБ-3 в заводских условиях РС-203 показал возможность его применения по наземным целям с высоты 5000 м на дальностях до 12.000 м.</w:t>
      </w:r>
    </w:p>
    <w:p w14:paraId="4D7C9DF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массовом развитии РС стрельба с ними по воздушным целям аналогична стрельбе из пушек типа зенитной артиллерии. При стрельбе по наземным целям мы имеем типичный случай бомбометания, только с увеличенной скоростью, а значит, с уменьшенным временем полета (падения) и потому более меткое бомбометание. Во всяком случае, за</w:t>
      </w:r>
      <w:r w:rsidRPr="00A3026E">
        <w:rPr>
          <w:rFonts w:ascii="Times New Roman" w:hAnsi="Times New Roman"/>
          <w:color w:val="000000" w:themeColor="text1"/>
          <w:sz w:val="16"/>
          <w:szCs w:val="16"/>
        </w:rPr>
        <w:softHyphen/>
        <w:t>граница (Германия, Франция, Швеция) весьма активно работает над этим средством нападения. Помимо осколочных РС, разработаны также зажигательные, аналогичные артиллерийским зажигательным, и в ста</w:t>
      </w:r>
      <w:r w:rsidRPr="00A3026E">
        <w:rPr>
          <w:rFonts w:ascii="Times New Roman" w:hAnsi="Times New Roman"/>
          <w:color w:val="000000" w:themeColor="text1"/>
          <w:sz w:val="16"/>
          <w:szCs w:val="16"/>
        </w:rPr>
        <w:softHyphen/>
        <w:t>дии опытных разработок имеются осветительные РС для обеспечения ночной стрельбы» (11402).</w:t>
      </w:r>
    </w:p>
    <w:p w14:paraId="40C604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07AFF2D2"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4030BF4"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03EE42D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г. была сдана военпреду последняя 500-я гаубица. Был даже перевыполнен план по гильзам М-62. [73 — ГУ ЦАНО, Ф. 2491, Д. 443, Л. 227.] (11741).</w:t>
      </w:r>
    </w:p>
    <w:p w14:paraId="6686281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43BCBD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года была произведена опытная сборка первого KB уральского производства. Одновременно в Челябинске началось строительство специального корпуса для сборки тяжелых танков..</w:t>
      </w:r>
    </w:p>
    <w:p w14:paraId="3ACCBA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Планом опытных работ на 1940 год предусматривалось создание новых образцов танка КВ. Так, к 1 ноября предполагалось изготовить два KB с броней 90 мм, один с пушкой Ф-32, другой - с 85-мм пушкой. К 1 декабря должны были быть готовы еще два KB с броней 100 мм и с аналогичным вооружением. Эти танки были построены и получили обозначение КВ-3 (объекты 220, 221,222)..</w:t>
      </w:r>
    </w:p>
    <w:p w14:paraId="5B16CE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производства на 1941 год предусматривал выпуск 1200 танков КВ. Из них на Кировском заводе-1000 (400 КВ-1, 100 КВ-2, 500 КВ-3) и 200 КВ-1 на ЧТЗ. (3862).</w:t>
      </w:r>
    </w:p>
    <w:p w14:paraId="1505142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EE2F58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w:t>
      </w:r>
    </w:p>
    <w:p w14:paraId="63F33D2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Фонд 38 Опись 11355 Дело 41 Листы 19 – 22</w:t>
      </w:r>
    </w:p>
    <w:p w14:paraId="057EB31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[Рукописный документ] </w:t>
      </w:r>
    </w:p>
    <w:p w14:paraId="68A9B86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Секретно.</w:t>
      </w:r>
    </w:p>
    <w:p w14:paraId="5214E81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w:t>
      </w:r>
    </w:p>
    <w:p w14:paraId="07199B6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ходе выполнения опытных работ по заводу 183 по состоянию на 29.XII-40 г.</w:t>
      </w:r>
    </w:p>
    <w:p w14:paraId="7C6C2D8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 Во исполнение постановления КО № 428 завод предъявил два варианта расширенной, без расширения погона, башни. Расширение сделано местное – в месте посадки орудийного расчета. Над головой артиллериста установлена командирская башенка кругового обзора. </w:t>
      </w:r>
    </w:p>
    <w:p w14:paraId="5D1AEC0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Вывод: 1. Местное уширение башни снижает ее снарядостойкость, так как угол наклона в этих местах уширения 10°. </w:t>
      </w:r>
    </w:p>
    <w:p w14:paraId="6CDDC90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Не решается вопрос лучшего и более удобного размещения приборов наводки и прицеливания (поворотный и подъемный механизм, ПТ-6, ТОД). </w:t>
      </w:r>
    </w:p>
    <w:p w14:paraId="1376988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Не повышаются удобства ведения прицельного огня и расположения орудийного расчета – особенно заряжающего, ибо не расширяется узкий проход между гильзоулавливателем и погоном башни. </w:t>
      </w:r>
    </w:p>
    <w:p w14:paraId="47C6D58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Люк посадки в башне по своим размерам уменьшается, что будет затруднять посадку (через люк должны будут произвести посадку 3 чел.). </w:t>
      </w:r>
    </w:p>
    <w:p w14:paraId="31FB5FE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Вес башни увеличивается – снарядостойкость понижается. </w:t>
      </w:r>
    </w:p>
    <w:p w14:paraId="139A3CE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Изготовление башен усложняется. Подготовка Мариупольского завода потребует 2 – 3 месяца, так как необходимо будет переделать штампы. </w:t>
      </w:r>
    </w:p>
    <w:p w14:paraId="1F1EBDD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Заключение. Оба варианта предъявленных башен без расширения погона признаны непригодными и не могут быть рекомендованы для серийного производства. Другие какие-либо варианты расширения башни без расширения погона положительных результатов по ликвидации имеющихся недостатков у серийной башни дать не могут. </w:t>
      </w:r>
    </w:p>
    <w:p w14:paraId="7966824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II. Заводом предъявлен эскизный чертеж 3-го варианта башни с расширением погона на 200 мм. В ниши башни установлена командирская башенка кругового обзора, мертвым пространством в 10 – 12 метров. В башне размещено 3 чел. Конструктивно оформлена значительно проще. Позволит свободно разместить орудийный расчет, удобно расположить приборы наводки и прицеливания. Артсистема монтируется с внешней стороны, чем ликвидируется лишний люк в нише башни. Как недостаток нужно отметить – не выдержан заданный угол наклона, а именно: борта имеют 25°, корма и нос 15°. </w:t>
      </w:r>
    </w:p>
    <w:p w14:paraId="6C9FCF9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Заключение: Указанная башня наиболее приемлемая, как с точки зрения размещения экипажа и ведения прицельного огня, так и с точки зрения производства, так как потребует меньших затрат по переделке инструмента и меньше времени для перехода на ее выпуск. </w:t>
      </w:r>
    </w:p>
    <w:p w14:paraId="49EB443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Башня рекомендуется для изготовления с поправкой – изменить угол наклона лобового листа на 30°. </w:t>
      </w:r>
    </w:p>
    <w:p w14:paraId="61A40D8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III. Корпус танка. </w:t>
      </w:r>
    </w:p>
    <w:p w14:paraId="6DA6D17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Разработаны чертежи корпуса с внесением изменений, согласно постановления № 428 и проведены мероприятия по снятию веса. Корпус разработан и с учетом установки торсионной подвески. Переработке подверглись носовая часть в целях снижения веса, и днище усилено. В остальном корпус оставлен в прежнем оформлении. </w:t>
      </w:r>
    </w:p>
    <w:p w14:paraId="33BDFC7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Для расширенной башни корпус оформлен во втором варианте, с перегнутым передним листом в верхней части, с установкой торсионной подвески и устройством люков на крыше танка в передней части для водителя и радиста. Перегиб носа дает удлинение крыши на 510 мм, делает возможным передвинуть водителя вперед на 200 мм и удобно расположить смотровые приборы. Увеличивается объем боевого отделения. </w:t>
      </w:r>
    </w:p>
    <w:p w14:paraId="1A8B83C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Заключение: Признано рекомендовать изготовление корпуса с передним листом, изгибаемым в верхней своей части, как дающий значительные преимущества. </w:t>
      </w:r>
    </w:p>
    <w:p w14:paraId="754A35C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IV. Боеукладка – разработана новая, с укладкой снарядов не в чемоданах, а в отдельных ящиках, что облегчит пользование снарядами, но еще не проверена. </w:t>
      </w:r>
    </w:p>
    <w:p w14:paraId="3AFD71F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V. Боекомплект. При существующей подвеске и различных ее вариантах (укороченные пружины – одинарные, двойные, горизонтальные) положительных результатов не достигнуто. Количество снарядов остается 77 шт. (68 в ящиках на дне танка и 9 на бортах). Завод предлагает положить в ящики 4-й ряд, что повышает пол на 100 мм и делает еще более неудобное размещение экипажа, нельзя будет добираться до моторной перегородки, затруднит пользование снарядами. На такое предложение согласиться нельзя. </w:t>
      </w:r>
    </w:p>
    <w:p w14:paraId="280957B6"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торсионной подвеске завод разработал укладку на 98 снарядов (60 шт. в ящиках на полу, 20 шт. на бортах и 18 шт. в скосе борта с правой стороны). Можно уложить 107 снарядов и как максимум 116 снарядов. Патроны еще не размещены. </w:t>
      </w:r>
    </w:p>
    <w:p w14:paraId="0976B23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VI. ППД еще не размещено. Укладка его не желательна по следующим причинам: длина его 780 мм. Можно выставить его в отверстие только на 170 мм, расширив при этом пистолетную щель до 80 – 90 мм. Огонь вести можно будет только с противоположной стороны, не имея обзорности, и неудобно прицеливание. В кормовую щель вести огонь совершенно нельзя, так как магазин, подвешенный у пулемета снизу, не дает возможности пользоваться пулеметом для ведения прицельного огня. </w:t>
      </w:r>
    </w:p>
    <w:p w14:paraId="299EC9C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Вывод: Прицельный огонь из ППД, при расширении даже щелей, вести из танка нельзя. Патроны отличны от патронов ДТ, и при выходе экипажа с пулеметом берется только его запас. А при израсходовании комплекта патрон ДТ, патроны ППД использовать в танке нельзя будет. Дальность ведения огня из ППД сокращается. </w:t>
      </w:r>
    </w:p>
    <w:p w14:paraId="4BB0D30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Заключение. Укладку ППД заменить укладкой ДТ, увеличив количество патрон. В танке иметь 4 сумки с укладкой в них по 4 магазина патронов ДТ. Это обеспечит надежное ведение огня при выходе из танка, ибо можно будет использовать второй пулемет радиста или башни, и заменить пулемет в случае его выхода из строя при стрельбе из танка. </w:t>
      </w:r>
    </w:p>
    <w:p w14:paraId="599CA2A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VII. Торсионная подвеска. Завод разработал 4 варианта укороченной пружинной подвески, и не одного нельзя признать пригодным, так как не решается вопрос расширения боевого отделения, изменяются топливные и масляные системы и не увеличивается запас топлива, а уменьшается, что не обеспечивает гарантийную работу мотора 10 – 12 часов. </w:t>
      </w:r>
    </w:p>
    <w:p w14:paraId="6919158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Торсионная подвеска дает увеличение топлива до 560 – 590 литров без запасных бачков. Топливные баки убираются из боевого отделения в трансмиссионное. Дает снижение 450 кг. веса. Завод имеет решение к 1.2.41 г. изготовить торсионную подвеску. Длина 1893 мм, Д=60 мм, крепление снаружи. </w:t>
      </w:r>
    </w:p>
    <w:p w14:paraId="025C61C6"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Заключение: Установку торсионной подвески необходимо будет произвести одновременно с уменьшением диаметра катков и увеличением числа катков. </w:t>
      </w:r>
    </w:p>
    <w:p w14:paraId="2D1F881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VIII. Гусеница. Разработана цевочного зацепления. Трак ажурный, но вес гусеницы на 200 кг тяжелей по сравнению с гребневой, при той же ширине трака. Шаг 125 мм. Общий вес по теоретическим подсчетам 1980 кг. Изготовление предполагается на ХТЗ, но еще не преступлено (ХТЗ отказывается). </w:t>
      </w:r>
    </w:p>
    <w:p w14:paraId="2DB5168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IX. Главный фрикцион. Испытываемый вариант утолщенных стальных дисков при коэффициенте запаса 1,26 при усилии на педаль 57 кг отказал в работе через 1000 км на спец. испытании на подъем (искусственная пробуксовка – нагрев) и считать непригодным. </w:t>
      </w:r>
    </w:p>
    <w:p w14:paraId="172D212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Второй вариант с тонкими разрезными стальными дисками при коэффициенте запаса 2,3 –1 ,8 прошел 3000 км и после спец. испытаний, одновременно с утолщенными дисками, оказался пригодным для дальнейшей работы, но свободный ход короблением дисков почти выбран (остался 1 мм). Изготовляются еще два образца фрикциона: </w:t>
      </w:r>
    </w:p>
    <w:p w14:paraId="395E1AF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Тонкие стальные диски с большим вырезом и свободным ходом до 8,5 мм вместо 6 мм. </w:t>
      </w:r>
    </w:p>
    <w:p w14:paraId="6A3DD70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Тонкие стальные диски с большим числом вырезов и с фрикционной насадкой на него вентилятора. Улучшенным креплением главного фрикциона на картере мотора. </w:t>
      </w:r>
    </w:p>
    <w:p w14:paraId="616F7BE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Вывод: Предложено 1) Чугунные диски на всех ранее выпущенных танках и выпускаемых заменить на тонкие стальные с вырезами – до 1.2.41 г. </w:t>
      </w:r>
    </w:p>
    <w:p w14:paraId="0CF0AAD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До 1.2.41 г. испытать и дать заключение по изготовляемым образцам главного фрикциона. </w:t>
      </w:r>
    </w:p>
    <w:p w14:paraId="07D6480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Экспериментальные работы по главному фрикциону, по устранению его дефектов, идут крайне медленно. </w:t>
      </w:r>
    </w:p>
    <w:p w14:paraId="42970E0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Х. Вентилятор. 1. Вентилятор с подлопатником положительных результатов не дал. </w:t>
      </w:r>
    </w:p>
    <w:p w14:paraId="38025E0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Испытывается вентилятор с двумя подлопатниками и с двумя подлопатниками – облегченные лопатки. Прошли по 1000 км. </w:t>
      </w:r>
    </w:p>
    <w:p w14:paraId="4DDD84C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Изготовляется с одним подлопатником с фрикционной посадкой. </w:t>
      </w:r>
    </w:p>
    <w:p w14:paraId="463B075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Вывод. Вентилятора, обеспечивающего гарантийную работу танка у завода еще нет. Испытания идут крайне медленно. </w:t>
      </w:r>
    </w:p>
    <w:p w14:paraId="6195F1B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XI. Коробка П. Передач. Остается серийная, изменяется третья передача на один зуб (понижается на 2,5 км) и на 2 зуба (5 км). Коробка заканчивается изготовлением. </w:t>
      </w:r>
    </w:p>
    <w:p w14:paraId="5066FA8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Вывод – предложено к 1.2.41 г. испытать и дать заключение. </w:t>
      </w:r>
    </w:p>
    <w:p w14:paraId="19A51ED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Запроектированы 2 коробки: на 6 передач и 8 передач с максимальной скоростью при 2000 об/мин – 65 км/час. </w:t>
      </w:r>
    </w:p>
    <w:p w14:paraId="6E9C571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XII Бронировка артсистемы, разработанная заводом 92 (для пушки Ф-34) Мариупольским заводом к изготовлению не принята по следующим причинам: </w:t>
      </w:r>
    </w:p>
    <w:p w14:paraId="7EC5463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Неравномерная толщина броневой отливки (35 мм переходит в 18 мм), благодаря чему Мариупольский завод не может отлить. </w:t>
      </w:r>
    </w:p>
    <w:p w14:paraId="7124D0B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Заостренные переходы. </w:t>
      </w:r>
    </w:p>
    <w:p w14:paraId="2C675FE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Неравнопрочна корпусу башни. </w:t>
      </w:r>
    </w:p>
    <w:p w14:paraId="14D825E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Чертежи Мариупольский завод возвратил. Изготовление маски затягивается, а значит и затягивает установку пушки Ф-34 на танках. Предложено изготовить маску штампованную, так как Мариупольский завод не имеет литейной базы. Завод 183 отказывается изготовлять , мотивируя, что это должен выполнить завод 92. </w:t>
      </w:r>
    </w:p>
    <w:p w14:paraId="4331B1E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Вывод – необходимо обязать завод 183 изготовить чертеж для штампованной маски и довести ее до равнопрочности с башней, привлечь конструкторов завода 92 и специалистов Мариупольского завода. </w:t>
      </w:r>
    </w:p>
    <w:p w14:paraId="6481E4B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XIII Весовые мероприятия, намеченные заводом. </w:t>
      </w:r>
    </w:p>
    <w:p w14:paraId="66305AD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Прибавляется </w:t>
      </w:r>
    </w:p>
    <w:p w14:paraId="68197E1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Утолщение днища, бортовой передачи, люка водителя – 305 кг. </w:t>
      </w:r>
    </w:p>
    <w:p w14:paraId="3507E51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Система, крыша, корпус башни, башенка кругового обзора – 360 кг. </w:t>
      </w:r>
    </w:p>
    <w:p w14:paraId="0AED8DC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Трансмиссия – 25 кг. </w:t>
      </w:r>
    </w:p>
    <w:p w14:paraId="5665225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Боеукладка – 390 кг. </w:t>
      </w:r>
    </w:p>
    <w:p w14:paraId="00E3915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Ходовая часть, гусеница – 200 кг. </w:t>
      </w:r>
    </w:p>
    <w:p w14:paraId="354C7F3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Смотровые приборы – 60 кг. </w:t>
      </w:r>
    </w:p>
    <w:p w14:paraId="52BA3AE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Снимается </w:t>
      </w:r>
    </w:p>
    <w:p w14:paraId="4D736D6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Убрать трубу в носу (нос выгибать) – 115 кг. (не утв.) </w:t>
      </w:r>
    </w:p>
    <w:p w14:paraId="6039D02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Поворотный механизм алюминий – 14 кг. </w:t>
      </w:r>
    </w:p>
    <w:p w14:paraId="24F3550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Отменяется сидение заряжающего – 16 кг. </w:t>
      </w:r>
    </w:p>
    <w:p w14:paraId="2612378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Отмена прибора кругового обзора – 13 кг. </w:t>
      </w:r>
    </w:p>
    <w:p w14:paraId="23E9EAA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Торсион – 450 кг. </w:t>
      </w:r>
    </w:p>
    <w:p w14:paraId="5FDCA92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Облегчение колес – 240 кг. </w:t>
      </w:r>
    </w:p>
    <w:p w14:paraId="2F51B00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Облегчение гусеничного колеса и ленивца – 90 кг. </w:t>
      </w:r>
    </w:p>
    <w:p w14:paraId="6BDBEB1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Борт. передачи – 76 кг. </w:t>
      </w:r>
    </w:p>
    <w:p w14:paraId="6ED6C1A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Трансмиссии – 30 кг. </w:t>
      </w:r>
    </w:p>
    <w:p w14:paraId="3FD0C81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Моторной группы – 275 кг. </w:t>
      </w:r>
    </w:p>
    <w:p w14:paraId="4799D84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Укладка – уменьшение шпор – 70 кг (нельзя) </w:t>
      </w:r>
    </w:p>
    <w:p w14:paraId="740AEA2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Переносной огнетушитель – 30 кг. </w:t>
      </w:r>
    </w:p>
    <w:p w14:paraId="61C64D4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Облегчается боеукладка – 30 кг. </w:t>
      </w:r>
    </w:p>
    <w:p w14:paraId="0F90B9E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Электрооборудование – 20 кг. </w:t>
      </w:r>
    </w:p>
    <w:p w14:paraId="3E37889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Этим завод предлагает снять 1700 кг. В действительности, без дополнительных мероприятий снимет 1300 кг. Нынешний вес танка колеблется 26800 – 27000. Прибавляется 26800 + 1330 = 28130, снимается 1700 = 26430 кг. Но фактический вес танка будет колебаться 26430 + 400 = 26830 – 27000 кг. Нужно потребовать от завода выполнение веса 26500– 26700 кг. </w:t>
      </w:r>
    </w:p>
    <w:p w14:paraId="7380B86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Общий вывод.</w:t>
      </w:r>
    </w:p>
    <w:p w14:paraId="2C2EA78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Мариупольский завод, по заявлению главного инженера, просит для перехода на производство расширенной башни и измененного переднего листа корпуса 2 – 3 месяца, а значит, завод Ильича через два месяца может уже перейти на серийное производство. На сегодня завод Ильича имеет изготовленных 580 комплектов, к 1.1.41 г. будет изготовлено 600 комплектов брони для танка Т-34, ввиду этого нужно заводу указать, что выпускать с 1.1.41 г. </w:t>
      </w:r>
    </w:p>
    <w:p w14:paraId="14DCA4F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Считаю до первого марта Мариупольскому заводу продолжать выпуск брони по чертежам 1940 г. Март, Апрель месяцы на перестройку и изготовление штампов. Май месяц – начать выпуск расширенной башни с перегнутым носом. </w:t>
      </w:r>
    </w:p>
    <w:p w14:paraId="6FB0FB1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Харьковскому и Сталинградскому заводам выпускать танк Т-34 по чертежам 1941 года до Июня 1941 г. Июнь месяц на переход производства, в Июле дать установочную партию, а с Августа начать выпуск усовершенствованного танка. </w:t>
      </w:r>
    </w:p>
    <w:p w14:paraId="739E2C2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Доработать вопросы к 1.2.41.: </w:t>
      </w:r>
    </w:p>
    <w:p w14:paraId="16118D7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Обзорности. </w:t>
      </w:r>
    </w:p>
    <w:p w14:paraId="3A6C12D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Гл. фрикцион. </w:t>
      </w:r>
    </w:p>
    <w:p w14:paraId="5F1AFC4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Вентилятор. </w:t>
      </w:r>
    </w:p>
    <w:p w14:paraId="294CD82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Гусеницу. </w:t>
      </w:r>
    </w:p>
    <w:p w14:paraId="040E32E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этому времени провести испытания опытных образцов и дать заключение о переходе. Переход с первого февраля на частичную, мало удовлетворяющую модернизацию считаю не целесообразным. </w:t>
      </w:r>
    </w:p>
    <w:p w14:paraId="2FC2B73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31/XII</w:t>
      </w:r>
    </w:p>
    <w:p w14:paraId="5BFC35F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Подполковник подпись И.Г. Панова</w:t>
      </w:r>
    </w:p>
    <w:p w14:paraId="75AE1A6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Написано один экземпляр (18318).</w:t>
      </w:r>
    </w:p>
    <w:p w14:paraId="333859BB" w14:textId="77777777" w:rsidR="00E6586E" w:rsidRPr="00A3026E" w:rsidRDefault="00E6586E" w:rsidP="00A3026E">
      <w:pPr>
        <w:spacing w:after="0" w:line="240" w:lineRule="auto"/>
        <w:jc w:val="both"/>
        <w:rPr>
          <w:rFonts w:ascii="Times New Roman" w:hAnsi="Times New Roman"/>
          <w:color w:val="000000" w:themeColor="text1"/>
          <w:sz w:val="16"/>
          <w:szCs w:val="16"/>
        </w:rPr>
      </w:pPr>
    </w:p>
    <w:p w14:paraId="13D7334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w:t>
      </w:r>
    </w:p>
    <w:p w14:paraId="41D6E43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ЦАМО Фонд 38 Опись 11355 Дело 41 Листы 19 – 22</w:t>
      </w:r>
    </w:p>
    <w:p w14:paraId="6BFCE48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[Рукописный документ] </w:t>
      </w:r>
    </w:p>
    <w:p w14:paraId="5FD7AF6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Секретно.</w:t>
      </w:r>
    </w:p>
    <w:p w14:paraId="70713AF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Сводка</w:t>
      </w:r>
    </w:p>
    <w:p w14:paraId="42EFFE2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ходе выполнения опытных работ по заводу 183 по состоянию на 29.XII-40 г.</w:t>
      </w:r>
    </w:p>
    <w:p w14:paraId="0BF70CA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 Во исполнение постановления КО № 428 завод предъявил два варианта расширенной, без расширения погона, башни. Расширение сделано местное – в месте посадки орудийного расчета. Над головой артиллериста установлена командирская башенка кругового обзора. </w:t>
      </w:r>
    </w:p>
    <w:p w14:paraId="1FACD8E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Вывод: 1. Местное уширение башни снижает ее снарядостойкость, так как угол наклона в этих местах уширения 10°. </w:t>
      </w:r>
    </w:p>
    <w:p w14:paraId="450AE4C6"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Не решается вопрос лучшего и более удобного размещения приборов наводки и прицеливания (поворотный и подъемный механизм, ПТ-6, ТОД). </w:t>
      </w:r>
    </w:p>
    <w:p w14:paraId="4DF7504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Не повышаются удобства ведения прицельного огня и расположения орудийного расчета – особенно заряжающего, ибо не расширяется узкий проход между гильзоулавливателем и погоном башни. </w:t>
      </w:r>
    </w:p>
    <w:p w14:paraId="23CE9CA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Люк посадки в башне по своим размерам уменьшается, что будет затруднять посадку (через люк должны будут произвести посадку 3 чел.). </w:t>
      </w:r>
    </w:p>
    <w:p w14:paraId="485CF16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Вес башни увеличивается – снарядостойкость понижается. </w:t>
      </w:r>
    </w:p>
    <w:p w14:paraId="30A71AB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Изготовление башен усложняется. Подготовка Мариупольского завода потребует 2 – 3 месяца, так как необходимо будет переделать штампы. </w:t>
      </w:r>
    </w:p>
    <w:p w14:paraId="15B803A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Заключение. Оба варианта предъявленных башен без расширения погона признаны непригодными и не могут быть рекомендованы для серийного производства. Другие какие-либо варианты расширения башни без расширения погона положительных результатов по ликвидации имеющихся недостатков у серийной башни дать не могут. </w:t>
      </w:r>
    </w:p>
    <w:p w14:paraId="4F718B4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II. Заводом предъявлен эскизный чертеж 3-го варианта башни с расширением погона на 200 мм. В ниши башни установлена командирская башенка кругового обзора, мертвым пространством в 10 – 12 метров. В башне размещено 3 чел. Конструктивно оформлена значительно проще. Позволит свободно разместить орудийный расчет, удобно расположить приборы наводки и прицеливания. Артсистема монтируется с внешней стороны, чем ликвидируется лишний люк в нише башни. Как недостаток нужно отметить – не выдержан заданный угол наклона, а именно: борта имеют 25°, корма и нос 15°. </w:t>
      </w:r>
    </w:p>
    <w:p w14:paraId="51F888D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Заключение: Указанная башня наиболее приемлемая, как с точки зрения размещения экипажа и ведения прицельного огня, так и с точки зрения производства, так как потребует меньших затрат по переделке инструмента и меньше времени для перехода на ее выпуск. </w:t>
      </w:r>
    </w:p>
    <w:p w14:paraId="46A78C5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Башня рекомендуется для изготовления с поправкой – изменить угол наклона лобового листа на 30°. </w:t>
      </w:r>
    </w:p>
    <w:p w14:paraId="24BF70F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III. Корпус танка. </w:t>
      </w:r>
    </w:p>
    <w:p w14:paraId="5F5EB17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Разработаны чертежи корпуса с внесением изменений, согласно постановления № 428 и проведены мероприятия по снятию веса. Корпус разработан и с учетом установки торсионной подвески. Переработке подверглись носовая часть в целях снижения веса, и днище усилено. В остальном корпус оставлен в прежнем оформлении. </w:t>
      </w:r>
    </w:p>
    <w:p w14:paraId="4ECBF3D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Для расширенной башни корпус оформлен во втором варианте, с перегнутым передним листом в верхней части, с установкой торсионной подвески и устройством люков на крыше танка в передней части для водителя и радиста. Перегиб носа дает удлинение крыши на 510 мм, делает возможным передвинуть водителя вперед на 200 мм и удобно расположить смотровые приборы. Увеличивается объем боевого отделения. </w:t>
      </w:r>
    </w:p>
    <w:p w14:paraId="0157048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Заключение: Признано рекомендовать изготовление корпуса с передним листом, изгибаемым в верхней своей части, как дающий значительные преимущества. </w:t>
      </w:r>
    </w:p>
    <w:p w14:paraId="0255A56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IV. Боеукладка – разработана новая, с укладкой снарядов не в чемоданах, а в отдельных ящиках, что облегчит пользование снарядами, но еще не проверена. </w:t>
      </w:r>
    </w:p>
    <w:p w14:paraId="2AB8468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V. Боекомплект. При существующей подвеске и различных ее вариантах (укороченные пружины – одинарные, двойные, горизонтальные) положительных результатов не достигнуто. Количество снарядов остается 77 шт. (68 в ящиках на дне танка и 9 на бортах). Завод предлагает положить в ящики 4-й ряд, что повышает пол на 100 мм и делает еще более неудобное размещение экипажа, нельзя будет добираться до моторной перегородки, затруднит пользование снарядами. На такое предложение согласиться нельзя. </w:t>
      </w:r>
    </w:p>
    <w:p w14:paraId="7A75842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торсионной подвеске завод разработал укладку на 98 снарядов (60 шт. в ящиках на полу, 20 шт. на бортах и 18 шт. в скосе борта с правой стороны). Можно уложить 107 снарядов и как максимум 116 снарядов. Патроны еще не размещены. </w:t>
      </w:r>
    </w:p>
    <w:p w14:paraId="095BFA6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VI. ППД еще не размещено. Укладка его не желательна по следующим причинам: длина его 780 мм. Можно выставить его в отверстие только на 170 мм, расширив при этом пистолетную щель до 80 – 90 мм. Огонь вести можно будет только с противоположной стороны, не имея обзорности, и неудобно прицеливание. В кормовую щель вести огонь совершенно нельзя, так как магазин, подвешенный у пулемета снизу, не дает возможности пользоваться пулеметом для ведения прицельного огня. </w:t>
      </w:r>
    </w:p>
    <w:p w14:paraId="28A28AC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Вывод: Прицельный огонь из ППД, при расширении даже щелей, вести из танка нельзя. Патроны отличны от патронов ДТ, и при выходе экипажа с пулеметом берется только его запас. А при израсходовании комплекта патрон ДТ, патроны ППД использовать в танке нельзя будет. Дальность ведения огня из ППД сокращается. </w:t>
      </w:r>
    </w:p>
    <w:p w14:paraId="7EB1C43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Заключение. Укладку ППД заменить укладкой ДТ, увеличив количество патрон. В танке иметь 4 сумки с укладкой в них по 4 магазина патронов ДТ. Это обеспечит надежное ведение огня при выходе из танка, ибо можно будет использовать второй пулемет радиста или башни, и заменить пулемет в случае его выхода из строя при стрельбе из танка. </w:t>
      </w:r>
    </w:p>
    <w:p w14:paraId="04C12B0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VII. Торсионная подвеска. Завод разработал 4 варианта укороченной пружинной подвески, и не одного нельзя признать пригодным, так как не решается вопрос расширения боевого отделения, изменяются топливные и масляные системы и не увеличивается запас топлива, а уменьшается, что не обеспечивает гарантийную работу мотора 10 – 12 часов. </w:t>
      </w:r>
    </w:p>
    <w:p w14:paraId="019B81A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Торсионная подвеска дает увеличение топлива до 560 – 590 литров без запасных бачков. Топливные баки убираются из боевого отделения в трансмиссионное. Дает снижение 450 кг. веса. Завод имеет решение к 1.2.41 г. изготовить торсионную подвеску. Длина 1893 мм, Д=60 мм, крепление снаружи. </w:t>
      </w:r>
    </w:p>
    <w:p w14:paraId="45CAD28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Заключение: Установку торсионной подвески необходимо будет произвести одновременно с уменьшением диаметра катков и увеличением числа катков. </w:t>
      </w:r>
    </w:p>
    <w:p w14:paraId="10FAF7C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VIII. Гусеница. Разработана цевочного зацепления. Трак ажурный, но вес гусеницы на 200 кг тяжелей по сравнению с гребневой, при той же ширине трака. Шаг 125 мм. Общий вес по теоретическим подсчетам 1980 кг. Изготовление предполагается на ХТЗ, но еще не преступлено (ХТЗ отказывается). </w:t>
      </w:r>
    </w:p>
    <w:p w14:paraId="0700933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IX. Главный фрикцион. Испытываемый вариант утолщенных стальных дисков при коэффициенте запаса 1,26 при усилии на педаль 57 кг отказал в работе через 1000 км на спец. испытании на подъем (искусственная пробуксовка – нагрев) и считать непригодным. </w:t>
      </w:r>
    </w:p>
    <w:p w14:paraId="3C1B88F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Второй вариант с тонкими разрезными стальными дисками при коэффициенте запаса 2,3 –1 ,8 прошел 3000 км и после спец. испытаний, одновременно с утолщенными дисками, оказался пригодным для дальнейшей работы, но свободный ход короблением дисков почти выбран (остался 1 мм). Изготовляются еще два образца фрикциона: </w:t>
      </w:r>
    </w:p>
    <w:p w14:paraId="0762D84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Тонкие стальные диски с большим вырезом и свободным ходом до 8,5 мм вместо 6 мм. </w:t>
      </w:r>
    </w:p>
    <w:p w14:paraId="7610067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Тонкие стальные диски с большим числом вырезов и с фрикционной насадкой на него вентилятора. Улучшенным креплением главного фрикциона на картере мотора. </w:t>
      </w:r>
    </w:p>
    <w:p w14:paraId="5FD5DC6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Вывод: Предложено 1) Чугунные диски на всех ранее выпущенных танках и выпускаемых заменить на тонкие стальные с вырезами – до 1.2.41 г. </w:t>
      </w:r>
    </w:p>
    <w:p w14:paraId="2A76148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До 1.2.41 г. испытать и дать заключение по изготовляемым образцам главного фрикциона. </w:t>
      </w:r>
    </w:p>
    <w:p w14:paraId="0EFEF54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Экспериментальные работы по главному фрикциону, по устранению его дефектов, идут крайне медленно. </w:t>
      </w:r>
    </w:p>
    <w:p w14:paraId="6613B9D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Х. Вентилятор. 1. Вентилятор с подлопатником положительных результатов не дал. </w:t>
      </w:r>
    </w:p>
    <w:p w14:paraId="1DCE722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Испытывается вентилятор с двумя подлопатниками и с двумя подлопатниками – облегченные лопатки. Прошли по 1000 км. </w:t>
      </w:r>
    </w:p>
    <w:p w14:paraId="13FD5F3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Изготовляется с одним подлопатником с фрикционной посадкой. </w:t>
      </w:r>
    </w:p>
    <w:p w14:paraId="7A39904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Вывод. Вентилятора, обеспечивающего гарантийную работу танка у завода еще нет. Испытания идут крайне медленно. </w:t>
      </w:r>
    </w:p>
    <w:p w14:paraId="0D61A7F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XI. Коробка П. Передач. Остается серийная, изменяется третья передача на один зуб (понижается на 2,5 км) и на 2 зуба (5 км). Коробка заканчивается изготовлением. </w:t>
      </w:r>
    </w:p>
    <w:p w14:paraId="7675D8B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Вывод – предложено к 1.2.41 г. испытать и дать заключение. </w:t>
      </w:r>
    </w:p>
    <w:p w14:paraId="2208D056"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Запроектированы 2 коробки: на 6 передач и 8 передач с максимальной скоростью при 2000 об/мин – 65 км/час. </w:t>
      </w:r>
    </w:p>
    <w:p w14:paraId="472D288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XII Бронировка артсистемы, разработанная заводом 92 (для пушки Ф-34) Мариупольским заводом к изготовлению не принята по следующим причинам: </w:t>
      </w:r>
    </w:p>
    <w:p w14:paraId="2A782F6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Неравномерная толщина броневой отливки (35 мм переходит в 18 мм), благодаря чему Мариупольский завод не может отлить. </w:t>
      </w:r>
    </w:p>
    <w:p w14:paraId="5FBFB8B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 Заостренные переходы. </w:t>
      </w:r>
    </w:p>
    <w:p w14:paraId="591E420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Неравнопрочна корпусу башни. </w:t>
      </w:r>
    </w:p>
    <w:p w14:paraId="78D923C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Чертежи Мариупольский завод возвратил. Изготовление маски затягивается, а значит и затягивает установку пушки Ф-34 на танках. Предложено изготовить маску штампованную, так как Мариупольский завод не имеет литейной базы. Завод 183 отказывается изготовлять , мотивируя, что это должен выполнить завод 92. </w:t>
      </w:r>
    </w:p>
    <w:p w14:paraId="3D3E331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Вывод – необходимо обязать завод 183 изготовить чертеж для штампованной маски и довести ее до равнопрочности с башней, привлечь конструкторов завода 92 и специалистов Мариупольского завода. </w:t>
      </w:r>
    </w:p>
    <w:p w14:paraId="163B541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XIII Весовые мероприятия, намеченные заводом. </w:t>
      </w:r>
    </w:p>
    <w:p w14:paraId="7D15186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Прибавляется </w:t>
      </w:r>
    </w:p>
    <w:p w14:paraId="2D55BD1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Утолщение днища, бортовой передачи, люка водителя – 305 кг. </w:t>
      </w:r>
    </w:p>
    <w:p w14:paraId="4D43486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Система, крыша, корпус башни, башенка кругового обзора – 360 кг. </w:t>
      </w:r>
    </w:p>
    <w:p w14:paraId="293DBB1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3. Трансмиссия – 25 кг. </w:t>
      </w:r>
    </w:p>
    <w:p w14:paraId="403E234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Боеукладка – 390 кг. </w:t>
      </w:r>
    </w:p>
    <w:p w14:paraId="2ADBA20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Ходовая часть, гусеница – 200 кг. </w:t>
      </w:r>
    </w:p>
    <w:p w14:paraId="46E2999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Смотровые приборы – 60 кг. </w:t>
      </w:r>
    </w:p>
    <w:p w14:paraId="7E2BFE0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Снимается </w:t>
      </w:r>
    </w:p>
    <w:p w14:paraId="78BDB5F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Убрать трубу в носу (нос выгибать) – 115 кг. (не утв.) </w:t>
      </w:r>
    </w:p>
    <w:p w14:paraId="20FA0FE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Поворотный механизм алюминий – 14 кг. </w:t>
      </w:r>
    </w:p>
    <w:p w14:paraId="34410F06"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Отменяется сидение заряжающего – 16 кг. </w:t>
      </w:r>
    </w:p>
    <w:p w14:paraId="3EEA278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Отмена прибора кругового обзора – 13 кг. </w:t>
      </w:r>
    </w:p>
    <w:p w14:paraId="37FC4C4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Торсион – 450 кг. </w:t>
      </w:r>
    </w:p>
    <w:p w14:paraId="6507038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Облегчение колес – 240 кг. </w:t>
      </w:r>
    </w:p>
    <w:p w14:paraId="591F33A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Облегчение гусеничного колеса и ленивца – 90 кг. </w:t>
      </w:r>
    </w:p>
    <w:p w14:paraId="1D0E415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Борт. передачи – 76 кг. </w:t>
      </w:r>
    </w:p>
    <w:p w14:paraId="46ECDFF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Трансмиссии – 30 кг. </w:t>
      </w:r>
    </w:p>
    <w:p w14:paraId="08583C1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Моторной группы – 275 кг. </w:t>
      </w:r>
    </w:p>
    <w:p w14:paraId="3C068E9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Укладка – уменьшение шпор – 70 кг (нельзя) </w:t>
      </w:r>
    </w:p>
    <w:p w14:paraId="6298BB8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Переносной огнетушитель – 30 кг. </w:t>
      </w:r>
    </w:p>
    <w:p w14:paraId="185E016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Облегчается боеукладка – 30 кг. </w:t>
      </w:r>
    </w:p>
    <w:p w14:paraId="6967C4F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Электрооборудование – 20 кг. </w:t>
      </w:r>
    </w:p>
    <w:p w14:paraId="4CFB688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Этим завод предлагает снять 1700 кг. В действительности, без дополнительных мероприятий снимет 1300 кг. Нынешний вес танка колеблется 26800 – 27000. Прибавляется 26800 + 1330 = 28130, снимается 1700 = 26430 кг. Но фактический вес танка будет колебаться 26430 + 400 = 26830 – 27000 кг. Нужно потребовать от завода выполнение веса 26500– 26700 кг. </w:t>
      </w:r>
    </w:p>
    <w:p w14:paraId="63E6037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Общий вывод.</w:t>
      </w:r>
    </w:p>
    <w:p w14:paraId="0A1FF92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Мариупольский завод, по заявлению главного инженера, просит для перехода на производство расширенной башни и измененного переднего листа корпуса 2 – 3 месяца, а значит, завод Ильича через два месяца может уже перейти на серийное производство. На сегодня завод Ильича имеет изготовленных 580 комплектов, к 1.1.41 г. будет изготовлено 600 комплектов брони для танка Т-34, ввиду этого нужно заводу указать, что выпускать с 1.1.41 г. </w:t>
      </w:r>
    </w:p>
    <w:p w14:paraId="07A6DA0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Считаю до первого марта Мариупольскому заводу продолжать выпуск брони по чертежам 1940 г. Март, Апрель месяцы на перестройку и изготовление штампов. Май месяц – начать выпуск расширенной башни с перегнутым носом. </w:t>
      </w:r>
    </w:p>
    <w:p w14:paraId="2706747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Харьковскому и Сталинградскому заводам выпускать танк Т-34 по чертежам 1941 года до Июня 1941 г. Июнь месяц на переход производства, в Июле дать установочную партию, а с Августа начать выпуск усовершенствованного танка. </w:t>
      </w:r>
    </w:p>
    <w:p w14:paraId="3DADD43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Доработать вопросы к 1.2.41.: </w:t>
      </w:r>
    </w:p>
    <w:p w14:paraId="50B4030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Обзорности. </w:t>
      </w:r>
    </w:p>
    <w:p w14:paraId="24E5C9D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Гл. фрикцион. </w:t>
      </w:r>
    </w:p>
    <w:p w14:paraId="1E7DE95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Вентилятор. </w:t>
      </w:r>
    </w:p>
    <w:p w14:paraId="5F6DA87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Гусеницу. </w:t>
      </w:r>
    </w:p>
    <w:p w14:paraId="0CE3B7D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этому времени провести испытания опытных образцов и дать заключение о переходе. Переход с первого февраля на частичную, мало удовлетворяющую модернизацию считаю не целесообразным. </w:t>
      </w:r>
    </w:p>
    <w:p w14:paraId="171177B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31/XII</w:t>
      </w:r>
    </w:p>
    <w:p w14:paraId="1429BC6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Подполковник подпись И.Г. Панова</w:t>
      </w:r>
    </w:p>
    <w:p w14:paraId="202DCC5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Написано один экземпляр (18310). </w:t>
      </w:r>
      <w:hyperlink r:id="rId176" w:tgtFrame="_blank" w:history="1"/>
    </w:p>
    <w:p w14:paraId="18049799" w14:textId="77777777" w:rsidR="00E6586E" w:rsidRPr="00A3026E" w:rsidRDefault="00E6586E" w:rsidP="00A3026E">
      <w:pPr>
        <w:spacing w:after="0" w:line="240" w:lineRule="auto"/>
        <w:jc w:val="both"/>
        <w:rPr>
          <w:rFonts w:ascii="Times New Roman" w:hAnsi="Times New Roman"/>
          <w:color w:val="000000" w:themeColor="text1"/>
          <w:sz w:val="16"/>
          <w:szCs w:val="16"/>
        </w:rPr>
      </w:pPr>
    </w:p>
    <w:p w14:paraId="03387D56"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г. В </w:t>
      </w:r>
      <w:hyperlink r:id="rId177" w:tgtFrame="_blank" w:history="1">
        <w:r w:rsidRPr="00A3026E">
          <w:rPr>
            <w:rStyle w:val="a5"/>
            <w:rFonts w:ascii="Times New Roman" w:hAnsi="Times New Roman"/>
            <w:color w:val="000000" w:themeColor="text1"/>
            <w:sz w:val="16"/>
            <w:szCs w:val="16"/>
          </w:rPr>
          <w:t>донесении № 775с</w:t>
        </w:r>
      </w:hyperlink>
      <w:r w:rsidRPr="00A3026E">
        <w:rPr>
          <w:rFonts w:ascii="Times New Roman" w:hAnsi="Times New Roman"/>
          <w:color w:val="000000" w:themeColor="text1"/>
          <w:sz w:val="16"/>
          <w:szCs w:val="16"/>
        </w:rPr>
        <w:t> районный инженер ГАБТУ КА на заводе № 183 Д.М. Козырев так охарактеризовал ситуацию, сложившуюся на заводе: </w:t>
      </w:r>
    </w:p>
    <w:p w14:paraId="292CFAE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выполнению объема изменений, указанных в приказе НКСМ завод приступил, и в данное время по большинству вопросов Конструкторским бюро намечены решения. </w:t>
      </w:r>
    </w:p>
    <w:p w14:paraId="3DA30FC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Проработка в чертежах дополнительных тактико-технических требований на танк Т-34 показывает, что большая часть деталей и узлов танка Т-34 подвергается коренным изменениям. Основной объем изменений вызывается выполнением следующих требований: </w:t>
      </w:r>
    </w:p>
    <w:p w14:paraId="33A1CA5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танк Т-34 весит 26800 – 27150 кг. На основании директивы БТУ КА № 77319сс от 3/XII-40 г. [</w:t>
      </w:r>
      <w:hyperlink r:id="rId178" w:tgtFrame="_blank" w:history="1">
        <w:r w:rsidRPr="00A3026E">
          <w:rPr>
            <w:rStyle w:val="a5"/>
            <w:rFonts w:ascii="Times New Roman" w:hAnsi="Times New Roman"/>
            <w:color w:val="000000" w:themeColor="text1"/>
            <w:sz w:val="16"/>
            <w:szCs w:val="16"/>
          </w:rPr>
          <w:t>письмом № 77319сс</w:t>
        </w:r>
      </w:hyperlink>
      <w:r w:rsidRPr="00A3026E">
        <w:rPr>
          <w:rFonts w:ascii="Times New Roman" w:hAnsi="Times New Roman"/>
          <w:color w:val="000000" w:themeColor="text1"/>
          <w:sz w:val="16"/>
          <w:szCs w:val="16"/>
        </w:rPr>
        <w:t> ГАБТУ КА уведомило военную приемку завода № 183 о проведении модернизации танка Т-34] должно быть введено утолщение бронировки согласно пункта 4, увеличение боекомплекта согласно пункта 3, запаса горючего согласно пункта 5, что дает увеличение веса танка на 1300 кг. Таким образом, танк будет весить 28100 – 28450 кг. Для получения веса в 26000 кг Конструкторское бюро подвергло изменениям все основные узлы и агрегаты танка, о чем мною указывалось выше. </w:t>
      </w:r>
    </w:p>
    <w:p w14:paraId="60DC658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Увеличение боекомплекта и запаса горючего требует увеличить полезный объем боевого и машинного отделения танка, что невозможно без коренной переделки ряда узлов и перехода с пружинной подвески колес на торсионную. В результате этого целый ряд механизмов и узлов подвергается столь значительному изменению, что в отдельных случаях нарушается их взаимозаменяемость с ранее выпущенными машинами. </w:t>
      </w:r>
    </w:p>
    <w:p w14:paraId="022F40B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Узлы целиком изменяются по конструкции: гусеница, топливные и масло баки, масло радиаторы, укладки, смотровые приборы, подвеска танка, моторная перегородка корпуса, укладка возимого инструмента, размещение электроаппаратуры, установка рации, щиток водителя, башня с командирской башенкой, щиток контрольных приборов, воздухоочистители, выхлопной трубопровод, сидение в башне. </w:t>
      </w:r>
    </w:p>
    <w:p w14:paraId="69D3469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Узлы частичного изменения: броня корпуса и башни, бортовые фрикционы, колеса, ленивец, бортовая передача, железные детали корпуса, тормоза, управление механизмами, электрооборудование, воздушный пуск. </w:t>
      </w:r>
    </w:p>
    <w:p w14:paraId="6947BD9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Указанные в настоящем разделе частичные изменения вызваны переделкой деталей для облегчения веса последних или увеличения надежности в работе в пределах заданного гарантийного километража. </w:t>
      </w:r>
    </w:p>
    <w:p w14:paraId="004207B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перечисленного объема вносимых изменений в танке Т-34 видно, что потребуется произвести большие переделки затрагивающие почти все узлы танка. Для проведения столь значительных изменений потребуется произвести большой объем работы. Для проведения изменений и испытания вновь проектируемых узлов и агрегатов с последующей корректировкой чертежей нужно не менее 2,5 – 3 месяцев. </w:t>
      </w:r>
    </w:p>
    <w:p w14:paraId="002E4BC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подготовки производства модернизированного танка и вход в серийное производство потребуется: спроектировать технологических процессов около 2000 шт. Спроектировать и изготовить приспособлений и штампов – 2300 – 2500 шт. Спроектировать и изготовить инструмента разных видов – 3500 – 4000 наименований. Спроектировать и изготовить 200 – 300 комплектов кузнечных штампов и моделей. Мариупольскому заводу потребуется тоже в значительной мере переоснастить производство, а в настоящее время Марзавод не имеет еще чертежей на 1941 г. При этом следует отметить, что запуск в серию недостаточно проверенных конструкций (т.к. подготовку производства необходимо начать немедленно до получения результатов испытания на километраж) чреват тяжелыми последствиями и противоречит постановлению СНК СССР № 2465 от 8/VII-40 г. </w:t>
      </w:r>
    </w:p>
    <w:p w14:paraId="0B1EAEE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создается угроза срыва в выпуске танков на 4 – 6 мес., о чем и считаю своим долгом донести».</w:t>
      </w:r>
    </w:p>
    <w:p w14:paraId="3329657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232. Л. 21 – 22]</w:t>
      </w:r>
    </w:p>
    <w:p w14:paraId="5626875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обеспечения бесперебойного выпуска танков Т-34 в 1941 г., а также для достижения более высоких боевых и эксплуатационных качеств этих машин, Д.М. Козырев предложил провести модернизацию «тридцатьчетверки» в два этапа. В первую очередь, по мнению Д.М. Козырева, начиная с 1 февраля 1941 г. в конструкцию серийно выпускавшегося танка Т-34 следовало внести следующие изменения: </w:t>
      </w:r>
    </w:p>
    <w:p w14:paraId="1F21E87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Устанавливать систему Ф-34. </w:t>
      </w:r>
    </w:p>
    <w:p w14:paraId="72E1213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Воздухоочиститель новый, лучший из числа испытываемых в настоящее время Госкомиссией на заводе № 75. </w:t>
      </w:r>
    </w:p>
    <w:p w14:paraId="41C3DCA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Вентилятор новой конструкции, обеспечивающий надежную работу не менее 3000 клм. </w:t>
      </w:r>
    </w:p>
    <w:p w14:paraId="11F3AF0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Смотровые приборы у водителя новые на базе имеющегося люка, у радиста ручной перископ. </w:t>
      </w:r>
    </w:p>
    <w:p w14:paraId="4C8E95A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Гарантийный километраж [танка] – 3000 клм. </w:t>
      </w:r>
    </w:p>
    <w:p w14:paraId="150F258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Укладка снарядов в полу новая, обеспечивающая удобную выемку снарядов и скорострельность 5 – 6 выстрелов в минуту на ходу танка. </w:t>
      </w:r>
    </w:p>
    <w:p w14:paraId="011F259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Обеспечить надежную работу главного фрикциона. </w:t>
      </w:r>
    </w:p>
    <w:p w14:paraId="22F246F6"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Гусеница новая, обеспечивающая работу не менее 2000 клм. </w:t>
      </w:r>
    </w:p>
    <w:p w14:paraId="4398FFD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Упрощенная схема маслопровода. </w:t>
      </w:r>
    </w:p>
    <w:p w14:paraId="5F9ADFF6"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На место прибора кругового обзора установить выдвижной перископ пехотного типа».</w:t>
      </w:r>
    </w:p>
    <w:p w14:paraId="538EB93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232. Л. 25]</w:t>
      </w:r>
    </w:p>
    <w:p w14:paraId="2564F69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Вторую очередь модернизации танка Т-34, подразумевавшую создание фактически новой машины массой 26 тонн с дизелем В-5, торсионной подвеской и с трехместной башней на расширенной шариковой опоре, предлагалось провести в течение 1941 г. Для этого, по мнению Д.М. Козырева, завод № 183 к 1 мая 1941 г. должен был изготовить опытный образец модернизированного танка Т-34, испытать его, и только после получения положительных результатов ставить новую машину на серийное производство. Заканчивалось донесение районного инженера ГАБТУ КА на заводе № 183 Д.М. Козырева следующим: </w:t>
      </w:r>
    </w:p>
    <w:p w14:paraId="2D5580E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«Резюмируя изложенное выше считаю, что при проведении модернизации в две очереди и в указанных выше объемах, нормальный ход производства танков не будет нарушен, и в 1941 г. страна получит боеспособные танки в нужном количестве, а с 1942 г. опробовав и скорректировав в 1941 г. конструкцию, подготовив должным образом серийное производство танка, завод 183 будет бесперебойно давать танки Т-34 нового модернизированного и значительно улучшенного образца».</w:t>
      </w:r>
    </w:p>
    <w:p w14:paraId="443F340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232. Л. 27] (18306).</w:t>
      </w:r>
    </w:p>
    <w:p w14:paraId="47BAB72C" w14:textId="77777777" w:rsidR="00E6586E" w:rsidRPr="00A3026E" w:rsidRDefault="00E6586E" w:rsidP="00A3026E">
      <w:pPr>
        <w:spacing w:after="0" w:line="240" w:lineRule="auto"/>
        <w:jc w:val="both"/>
        <w:rPr>
          <w:rFonts w:ascii="Times New Roman" w:hAnsi="Times New Roman"/>
          <w:color w:val="000000" w:themeColor="text1"/>
          <w:sz w:val="16"/>
          <w:szCs w:val="16"/>
        </w:rPr>
      </w:pPr>
    </w:p>
    <w:p w14:paraId="6111DE4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w:t>
      </w:r>
    </w:p>
    <w:p w14:paraId="0589856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ЦАМО Фонд 38 Опись 11355 Дело 232 Листы 21 – 27 </w:t>
      </w:r>
    </w:p>
    <w:p w14:paraId="07D006C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 Секретно. </w:t>
      </w:r>
    </w:p>
    <w:p w14:paraId="529FEC6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Экз. № 1 </w:t>
      </w:r>
    </w:p>
    <w:p w14:paraId="5C3C565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31/XII-1940 г. </w:t>
      </w:r>
    </w:p>
    <w:p w14:paraId="11CA748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775с </w:t>
      </w:r>
    </w:p>
    <w:p w14:paraId="1EE3FAE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1 ОТДЕЛА БТУ КА</w:t>
      </w:r>
    </w:p>
    <w:p w14:paraId="2B1CACA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ВОЕНИНЖЕНЕРУ 1 РАНГА т. ПАВЛОВУ</w:t>
      </w:r>
    </w:p>
    <w:p w14:paraId="0617985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СОСТОЯНИЕ РАБОТ ПО МОДЕРНИЗАЦИИ ТАНКА Т-34.</w:t>
      </w:r>
    </w:p>
    <w:p w14:paraId="523C4B7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соответствии с приказом НКСМ 268сс от 25/XI-40 г. и директивой БТУ КА № 77319сс от 3/XII-40 г. завод № 183 с 1/II-41 года должен запускать танк с изменениями, изложенными в вышеуказанном приказе и директиве БТУ КА. </w:t>
      </w:r>
    </w:p>
    <w:p w14:paraId="6E28432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выполнению объема изменений, указанных в приказе НКСМ завод приступил, и в данное время по большинству вопросов Конструкторским бюро намечены решения. </w:t>
      </w:r>
    </w:p>
    <w:p w14:paraId="19A6674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Проработка в чертежах дополнительных тактико-технических требований на танк Т-34 показывает, что большая часть деталей и узлов танка Т-34 подвергается коренным изменениям. Основной объем изменений вызывается выполнением следующих требований: </w:t>
      </w:r>
    </w:p>
    <w:p w14:paraId="1FD5A6F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настоящее время танк Т-34 весит 26800 – 27150 кг. На основании директивы БТУ КА № 77319сс от 3/XII-40 г. должно быть введено утолщение бронировки согласно пункта 4, увеличение боекомплекта согласно пункта 3, запаса горючего согласно пункта 5, что дает увеличение веса танка на 1300 кг. Таким образом танк будет весить 28100 – 28450 кг. Для получения веса в 26000 кг Конструкторское бюро подвергло изменениям все основные узлы и агрегаты танка, о чем мною указывалось выше. </w:t>
      </w:r>
    </w:p>
    <w:p w14:paraId="6272980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Увеличение боекомплекта и запаса горючего требует увеличить полезный объем боевого и машинного отделения танка, что невозможно без коренной переделки ряда узлов и перехода с пружинной подвески колес на торсионную. В результате этого целый ряд механизмов и узлов подвергается столь значительному изменению, что в отдельных случаях нарушается их взаимозаменяемость с ранее выпущенными машинами. </w:t>
      </w:r>
    </w:p>
    <w:p w14:paraId="613F705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Узлы целиком изменяются по конструкции: гусеница, топливные и масло баки, масло радиаторы, укладки, смотровые приборы, подвеска танка, моторная перегородка корпуса, укладка возимого инструмента, размещение электроаппаратуры, установка рации, щиток водителя, башня с командирской башенкой, щиток контрольных приборов, воздухоочистители, выхлопной трубопровод, сидение в башне. </w:t>
      </w:r>
    </w:p>
    <w:p w14:paraId="59C619C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Узлы частичного изменения: броня корпуса и башни, бортовые фрикционы, колеса, ленивец, бортовая передача, железные детали корпуса, тормоза, управление механизмами, электрооборудование, воздушный пуск. </w:t>
      </w:r>
    </w:p>
    <w:p w14:paraId="1FD8463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Указанные в настоящем разделе частичные изменения вызваны переделкой деталей для облегчения веса последних или увеличения надежности в работе в пределах заданного гарантийного километража. </w:t>
      </w:r>
    </w:p>
    <w:p w14:paraId="470A215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 перечисленного объема вносимых изменений в танке Т-34 видно, что потребуется произвести большие переделки затрагивающие почти все узлы танка. Для проведения столь значительных изменений потребуется произвести большой объем работы. Для проведения изменений и испытания вновь проектируемых узлов и агрегатов с последующей корректировкой чертежей нужно не менее 2,5 – 3 месяцев. </w:t>
      </w:r>
    </w:p>
    <w:p w14:paraId="6AADE86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Для подготовки производства модернизированного танка и вход в серийное производство потребуется: спроектировать технологических процессов около 2000 шт. Спроектировать и изготовить приспособлений и штампов – 2300 – 2500 шт. Спроектировать и изготовить инструмента разных видов – 3500 – 4000 наименований. Спроектировать и изготовить 200 – 300 комплектов кузнечных штампов и моделей. Мариупольскому заводу потребуется тоже в значительной мере переоснастить производство, а в настоящее время Марзавод не имеет еще чертежей на 1941 г. При этом следует отметить, что запуск в серию недостаточно проверенных конструкций (т.к. подготовку производства необходимо начать немедленно до получения результатов испытания на километраж) чреват тяжелыми последствиями и противоречит постановлению СНК СССР № 2465 от 8/VII-40 г. </w:t>
      </w:r>
    </w:p>
    <w:p w14:paraId="2CB8F96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ТАКИМ ОБРАЗОМ, СОЗДАЕТСЯ УГРОЗА СРЫВА ВЫПУСКА ТАНКОВ НА 4 – 6 мес., О ЧЕМ И СЧИТАЮ СВОИМ ДОЛГОМ ДОНЕСТИ. </w:t>
      </w:r>
    </w:p>
    <w:p w14:paraId="4F43C8C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 СОСТОЯНИЕ ВЫПОЛНЕНИЯ ПРОГРАММЫ ПО ТАНКАМ Т-34 И ЗАДЕЛЫ НА 30/XII-40 ГОДА.</w:t>
      </w:r>
    </w:p>
    <w:p w14:paraId="767AE35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Поступило с завода "ИЛЬИЧА" бронедеталей корпуса – 443 компл. и на башню – 440 компл. в том числе литых – 148 компл. </w:t>
      </w:r>
    </w:p>
    <w:p w14:paraId="636F96E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Заложено корпусов на стендах – 381, заложено башен на стендах – 357 (закладкой подкомплектов охвачено значительно больше). </w:t>
      </w:r>
    </w:p>
    <w:p w14:paraId="4AFC2AB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Снято со стендов корпусов – 371, снято со стендов башен – 354. </w:t>
      </w:r>
    </w:p>
    <w:p w14:paraId="46FF039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Принято военпредом корпусов – 357, принято военпредом башен – 293. Из числа принятого военпредом отправлено на СТЗ корпусов – 50 и башен – 40. </w:t>
      </w:r>
    </w:p>
    <w:p w14:paraId="403AC87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Заложено машин на конвейере – 270. </w:t>
      </w:r>
    </w:p>
    <w:p w14:paraId="2A2A92E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Собрано машин – 257. </w:t>
      </w:r>
    </w:p>
    <w:p w14:paraId="3E521E1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Передано в сдаточный цех на испытание – 253. </w:t>
      </w:r>
    </w:p>
    <w:p w14:paraId="6F59AD26"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Испытано пробегом – 251. </w:t>
      </w:r>
    </w:p>
    <w:p w14:paraId="5E54859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Сдано на покраску и укомплектовку – 180. </w:t>
      </w:r>
    </w:p>
    <w:p w14:paraId="6B96A6C8"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Окрашено и укомплектовано, но не принято военпредом по увеличенному люфту башни – 165. </w:t>
      </w:r>
    </w:p>
    <w:p w14:paraId="0D89433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Принято военпредом окончательно – 115. </w:t>
      </w:r>
    </w:p>
    <w:p w14:paraId="65E35E1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Отправлено машин – 108. </w:t>
      </w:r>
    </w:p>
    <w:p w14:paraId="5E9D16B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III. ОБЕСПЕЧЕННОСТЬ ОТДЕЛА "100" ОТ НУЛЯ.</w:t>
      </w:r>
    </w:p>
    <w:p w14:paraId="4B7CF7B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Подано с завода № 75 моторов В-2 – 321. </w:t>
      </w:r>
    </w:p>
    <w:p w14:paraId="143913A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Пушек Л-11 – 300. </w:t>
      </w:r>
    </w:p>
    <w:p w14:paraId="6CB2FEF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Оптические приборы ТОД-6 и ПТ-6 – 252. </w:t>
      </w:r>
    </w:p>
    <w:p w14:paraId="29ED71F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Маска пушки – 268. </w:t>
      </w:r>
    </w:p>
    <w:p w14:paraId="153A48A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Гусеницы – 165. </w:t>
      </w:r>
    </w:p>
    <w:p w14:paraId="78031246"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остальным узлам, механизмам и деталям обеспечен больший номер. По заявлению Главного Инженера завода "ИЛЬИЧА" к 1/I-41 г. будет изготовлено брони для Т-34 по чертежам 1940 г. 700 комплектов и на Январь запланировано 200 комплектов. </w:t>
      </w:r>
    </w:p>
    <w:p w14:paraId="28E10A2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IV. ПЛАН ЗАВОДА НА ЯНВАРЬ МЕС. 1941 года.</w:t>
      </w:r>
    </w:p>
    <w:p w14:paraId="5C505F3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Собрать и сдать – 125 (план Гл. 100). </w:t>
      </w:r>
    </w:p>
    <w:p w14:paraId="1261153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Сдать запасных частей Т-34 на 1 млн. </w:t>
      </w:r>
    </w:p>
    <w:p w14:paraId="3178028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Сдать запасных частей БТ на 1,2 млн. </w:t>
      </w:r>
    </w:p>
    <w:p w14:paraId="6406A2B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 СОСТОЯНИЕ ПОДГОТОВКИ МАТЕРИАЛОВ К ЗАКЛЮЧЕНИЮ ДОГОВОРА НА 1941 год.</w:t>
      </w:r>
    </w:p>
    <w:p w14:paraId="6D9CB82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Подписано чертежей 26 групп полностью и частично подписано 3 группы. 29-я корпус в основном не подписаны детали и узлы, связанные со смотровыми приборами т.к. последние предъявлены без изменения. </w:t>
      </w:r>
    </w:p>
    <w:p w14:paraId="30522F3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30-я башня, в основном не подписаны чертежи люка башни в связи с дополнительной выштамповкой под систему Ф-34 и по неизмененным смотровым приборам. </w:t>
      </w:r>
    </w:p>
    <w:p w14:paraId="5BEA833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31-я вооружение, основные узловые чертежи подписаны с оговоркой о проведении обстрела бронировки пушек Ф-34 до 1/II-1941 года, и часть чертежей не подписана из-за несвоевременной их готовности. </w:t>
      </w:r>
    </w:p>
    <w:p w14:paraId="4EB9735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Совершенно не подписано 6 групп: </w:t>
      </w:r>
    </w:p>
    <w:p w14:paraId="3B8B4CB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03-я маслосистема, система сложная и ненадежная в работе, завод срочно проверяет схему без кранов. </w:t>
      </w:r>
    </w:p>
    <w:p w14:paraId="6A0BD0F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07-я – главный фрикцион с вентилятором не обеспечивает гарантийный километраж машины. В настоящее время заводом заканчиваются испытания измененного фрикциона. </w:t>
      </w:r>
    </w:p>
    <w:p w14:paraId="625C798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27-я – боеукладка, не закончено испытание изменений укладки, обеспечивающей быстрое и удобное пользование ею и не отработана окончательно схема укладки при системе Ф-34. </w:t>
      </w:r>
    </w:p>
    <w:p w14:paraId="10B03706"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36-я – смотровые приборы, не обеспечивают должной видимости и защиты от загрязнения, в настоящее время заканчиваются испытания измененного смотрового прибора водителя, по башне улучшенные смотровые приборы не разработаны. </w:t>
      </w:r>
    </w:p>
    <w:p w14:paraId="533B8D0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44-я – гусеница, существующая не обеспечивает гарантийного километража машины (не годна), новый вариант не разработан и не испытан. </w:t>
      </w:r>
    </w:p>
    <w:p w14:paraId="2E9D8FE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47-я группа – круговой обзор конструктивно не удобен, не обеспечивает своего назначения, в работе не надежен, кроме этого мешает круговому обзору через ПТ-6 благодаря установленной на крыше башни "беседки". </w:t>
      </w:r>
    </w:p>
    <w:p w14:paraId="6DA61BE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Технические условия просмотрены и сданы Конструкторскому бюро, часть из них находится в печати. </w:t>
      </w:r>
    </w:p>
    <w:p w14:paraId="188A6E3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Возимый комплект Конструкторским бюро заканчивается и будет В/предом просмотрен 3 – 4 Января. </w:t>
      </w:r>
    </w:p>
    <w:p w14:paraId="11B2745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Наставление по Т-34 отправляется 31/XII-40 г. с представителем отдела "70", которому необходимо обеспечить возможность надежной корректировки в ВАММ КА </w:t>
      </w:r>
    </w:p>
    <w:p w14:paraId="06270BD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Каталог по Т-34 и руководство по трактору будут отправлены 3 Января 1941 г. </w:t>
      </w:r>
    </w:p>
    <w:p w14:paraId="22FD50A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Завод в 1941 г. предполагает по заданию Главка изготовить запчастей по Т-34 на 15 млн. руб. и на 18 млн. руб. к БТ, всем заказчикам. Номенклатура запчастей по Т-34 мной заводу передана, находится в расценке и печатании. Номенклатура по БТ прорабатывается и согласовывается с заводом. </w:t>
      </w:r>
    </w:p>
    <w:p w14:paraId="6B0CF16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Съемники и приспособления по Т-34 заканчиваются разработкой и изготовляются образцы. По предварительным переговорам принять заказ на изготовление приспособлений и съемников завод отказывается. </w:t>
      </w:r>
    </w:p>
    <w:p w14:paraId="6A97217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Окончательную отработку ведомостей на запчасти для заказа на 1941 г. закончить нет возможности из-за отсутствия от БТУ КА общих и раздельных сумм по типам машин на заказ запчастей в 1941 г. Вся документация для заключения договора будет закончена к 7–8 Января и направлена БТУ КА. </w:t>
      </w:r>
    </w:p>
    <w:p w14:paraId="42EAB81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ВЫВОД</w:t>
      </w:r>
    </w:p>
    <w:p w14:paraId="41A5A54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целях бесперебойного выпуска танков заводом № 183 в 1941 г., а также для достижения высоких боевых и эксплоатационных качеств танка, и анализируя состояние производства, модернизацию танка необходимо провести в 2 очереди. </w:t>
      </w:r>
    </w:p>
    <w:p w14:paraId="0AC3250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первую очередь (с 1/II-41 года) модернизацию следует ограничить следующим: </w:t>
      </w:r>
    </w:p>
    <w:p w14:paraId="7B6F93B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Устанавливать систему Ф-34. </w:t>
      </w:r>
    </w:p>
    <w:p w14:paraId="0283CDF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Воздухоочиститель новый, лучший из числа испытываемых в настоящее время Госкомиссией на заводе № 75. </w:t>
      </w:r>
    </w:p>
    <w:p w14:paraId="1580826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Вентилятор новой конструкции, обеспечивающий надежную работу не менее 3000 клм. </w:t>
      </w:r>
    </w:p>
    <w:p w14:paraId="7E165EF6"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Смотровые приборы у водителя новые на базе имеющегося люка, у радиста ручной перископ. </w:t>
      </w:r>
    </w:p>
    <w:p w14:paraId="3B45FC2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Гарантийный километраж – 3000 клм. </w:t>
      </w:r>
    </w:p>
    <w:p w14:paraId="06E7368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Укладка снарядов в полу новая, обеспечивающая удобную выемку снарядов и скорострельность 5 – 6 выстрелов в минуту на ходу танка. </w:t>
      </w:r>
    </w:p>
    <w:p w14:paraId="6F23315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Обеспечить надежную работу главного фрикциона. </w:t>
      </w:r>
    </w:p>
    <w:p w14:paraId="3428596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Гусеница новая, обеспечивающая работу не менее 2000 клм. </w:t>
      </w:r>
    </w:p>
    <w:p w14:paraId="0AF9AD7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Упрощенная схема маслопровода. </w:t>
      </w:r>
    </w:p>
    <w:p w14:paraId="277F7B4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На место прибора кругового обзора установить выдвижной перископ пехотного типа. </w:t>
      </w:r>
    </w:p>
    <w:p w14:paraId="60AA1C1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2-я ОЧЕРЕДЬ МОДЕРНИЗАЦИИ ДОЛЖНА БЫТЬ ЗАКОНЧЕНА В 1941 г. Для этого необходимо: </w:t>
      </w:r>
    </w:p>
    <w:p w14:paraId="7904F73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Проработать и изготовить к 1/V-41 г. опытный образец танка Т-34, и после испытания и проведения подготовки производства, последний ввести в серийное производство. Изменения по танку Т-34 в этом случае произвести следующие: </w:t>
      </w:r>
    </w:p>
    <w:p w14:paraId="4E8C2CA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Полный боевой вес танка не более 26000 кг. </w:t>
      </w:r>
    </w:p>
    <w:p w14:paraId="7298F2E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Башня коническая с углом наклона брони не менее 30° на расширенном погоне. </w:t>
      </w:r>
    </w:p>
    <w:p w14:paraId="70AA8C2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На башне в кормовой ее части установить командирскую башенку и сидение для 5-го человека. </w:t>
      </w:r>
    </w:p>
    <w:p w14:paraId="59CEF1D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Межремонтный срок работы танка установить не менее 7000 клм. </w:t>
      </w:r>
    </w:p>
    <w:p w14:paraId="732141F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Гарантийный километраж ходовой части не менее 3000 клм. </w:t>
      </w:r>
    </w:p>
    <w:p w14:paraId="5DED622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6. Двигатель В-5 с инерционным стартером. </w:t>
      </w:r>
    </w:p>
    <w:p w14:paraId="76DC151D"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7. Система Ф-34. </w:t>
      </w:r>
    </w:p>
    <w:p w14:paraId="7422DF4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Разрешить установку вместо электростартера СТ-700 инерционный. </w:t>
      </w:r>
    </w:p>
    <w:p w14:paraId="78DCE72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Зарядку воздушных баллонов для запуска двигателя производить от двигателя. </w:t>
      </w:r>
    </w:p>
    <w:p w14:paraId="4D9BE7A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Запас снарядов не менее 100 шт. и патронов к ДТ не менее 4500 шт. </w:t>
      </w:r>
    </w:p>
    <w:p w14:paraId="7113E07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11. Запас горючего забронированных баков не менее чем на 12 часов работы двигателя. </w:t>
      </w:r>
    </w:p>
    <w:p w14:paraId="22962DE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12. Гусеница со сроком службы не менее 3000 клм. </w:t>
      </w:r>
    </w:p>
    <w:p w14:paraId="766C1BF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 Новые смотровые приборы корпуса и башни, обеспечивающие надежную видимость из танка. </w:t>
      </w:r>
    </w:p>
    <w:p w14:paraId="2C7A724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14. Рация КРСТБ в корпусе. </w:t>
      </w:r>
    </w:p>
    <w:p w14:paraId="707FF99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15. Угол возвышения системы не менее 30° и снижения в сторону бортов и носовой части не менее 5°. </w:t>
      </w:r>
    </w:p>
    <w:p w14:paraId="78962AB4"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16. Упрощенная маслосистема с одним баком и отдельно расположенный радиатор для масла. </w:t>
      </w:r>
    </w:p>
    <w:p w14:paraId="33F1457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 Упрощенная топливная система с меньшим количеством баков. </w:t>
      </w:r>
    </w:p>
    <w:p w14:paraId="4A0376E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18. Предусмотреть указатель уровня горючего в топливных баках. </w:t>
      </w:r>
    </w:p>
    <w:p w14:paraId="01F508A9"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 Весь возимый крупный инструмент вынести в спец. ящике, установленный на крыше машины. </w:t>
      </w:r>
    </w:p>
    <w:p w14:paraId="3059EA3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20. Торсионная подвеска колес. </w:t>
      </w:r>
    </w:p>
    <w:p w14:paraId="047B7AB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21. Упростить бронедетали корпуса и технологию их сборки. </w:t>
      </w:r>
    </w:p>
    <w:p w14:paraId="101F2EC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22. Воздухоочиститель новой конструкции, обеспечивающий работу без очистки не менее 12 часов в пыльных условиях. </w:t>
      </w:r>
    </w:p>
    <w:p w14:paraId="175129A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23. Крышку корпуса над моторным отделением снизить до уровня нижнего основания башни. </w:t>
      </w:r>
    </w:p>
    <w:p w14:paraId="1FB8DF51"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24. Днище корпуса утолстить до 20 мм в передней части и до 16 мм в корме. </w:t>
      </w:r>
    </w:p>
    <w:p w14:paraId="125BD782"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25. Упростить систему выхлопных трубопроводов. </w:t>
      </w:r>
    </w:p>
    <w:p w14:paraId="686748B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26. Новая коробка перемены передач. </w:t>
      </w:r>
    </w:p>
    <w:p w14:paraId="5D5DF1B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27. Устанавливать огнемет. </w:t>
      </w:r>
    </w:p>
    <w:p w14:paraId="780FEE9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Резюмируя изложенное выше считаю, что при проведении модернизации в две очереди и в указанных выше объемах, нормальный ход производства танков не будет нарушен, и в 1941 г. страна получит боеспособные танки в нужном количестве, а с 1942 г. опробовав и скорректировав в 1941 г. конструкцию, подготовив должным образом серийное производство танка, завод 183 будет бесперебойно давать танки Т-34 нового модернизированного и значительно улучшенного образца. </w:t>
      </w:r>
    </w:p>
    <w:p w14:paraId="1642397C"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РАЙОННЫЙ ИНЖЕНЕР ГАБТУ КА</w:t>
      </w:r>
    </w:p>
    <w:p w14:paraId="05A3F6EF"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ВОЕНИНЖЕНЕР 2 РАНГА подпись 31/XII-41 (КОЗЫРЕВ)</w:t>
      </w:r>
    </w:p>
    <w:p w14:paraId="7E44DABB"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Отпечатано 2 экз. (18311).</w:t>
      </w:r>
    </w:p>
    <w:p w14:paraId="328822B5" w14:textId="77777777" w:rsidR="00E6586E" w:rsidRPr="00A3026E" w:rsidRDefault="00E6586E" w:rsidP="00A3026E">
      <w:pPr>
        <w:spacing w:after="0" w:line="240" w:lineRule="auto"/>
        <w:jc w:val="both"/>
        <w:rPr>
          <w:rFonts w:ascii="Times New Roman" w:hAnsi="Times New Roman"/>
          <w:color w:val="000000" w:themeColor="text1"/>
          <w:sz w:val="16"/>
          <w:szCs w:val="16"/>
        </w:rPr>
      </w:pPr>
    </w:p>
    <w:p w14:paraId="2BA84D73"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состоянию на 31 декабря 1940 г. Кроме 32 сданных машин в заделе завода № 183 в разной степени готовности имелось 156 танков Т-34. Из них 14 находилось на конвейерной сборке, еще 5 сошедших с конвейера машин готовились в сдаточный пробег. Одна машина, прошедшая сдаточные испытания, готовилась под установку пушки Л-11. На 39 танках Т-34, прошедших сдаточные испытания, пушки Л-11 были смонтированы, но их установка не была принята военными представителям ГАУ КА. Кроме этого 12 танков, принятых под окраску и окончательное укомплектование, не имели гусениц из-за недопоставок траков Сталинградским тракторным заводом. Ещё 85 собранных, испытанных, окрашенных и полностью укомплектованных танков Т-34 не были окончательно приняты военной приемкой ГАБТУ КА из-за увеличенного люфта башни и наличия на части этих машин трещин в броневых деталях корпуса и башни. Вопрос о приемке этих 85 машин решался руководством ГАБТУ КА и Главспецмаша НКСМ (18306).</w:t>
      </w:r>
    </w:p>
    <w:p w14:paraId="72B00A7E" w14:textId="77777777" w:rsidR="00E6586E" w:rsidRPr="00A3026E" w:rsidRDefault="00E6586E" w:rsidP="00A3026E">
      <w:pPr>
        <w:spacing w:after="0" w:line="240" w:lineRule="auto"/>
        <w:jc w:val="both"/>
        <w:rPr>
          <w:rFonts w:ascii="Times New Roman" w:hAnsi="Times New Roman"/>
          <w:color w:val="000000" w:themeColor="text1"/>
          <w:sz w:val="16"/>
          <w:szCs w:val="16"/>
        </w:rPr>
      </w:pPr>
    </w:p>
    <w:p w14:paraId="668F7C2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г. после проведенных измерений комплект разрезных дисков вновь был установлен в опытный главный фрикцион и на танке Т-34 № 312-25 вторично прошел специальные испытания, заключавшиеся в следующем: </w:t>
      </w:r>
    </w:p>
    <w:p w14:paraId="299BED05"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13 троганий на подъеме (дюне) в 21 – 25° с I передачи. </w:t>
      </w:r>
    </w:p>
    <w:p w14:paraId="5DE09967"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21 трогание с I передачи на том же подъеме после 20 минутного перерыва, после чего фрикцион перестал выключаться. </w:t>
      </w:r>
    </w:p>
    <w:p w14:paraId="0C69F44A"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Немедленно после этого было произведено трогание с заторможенными б/фрикционами [бортовыми фрикционами] – после трогания фрикцион начал работать нормально, и было произведено еще 8 троганий с первой передачи на песчаном подъеме в 21 – 25° и 2 трогания с места с III передачи на ровном участке. В итоге этих испытаний работоспособность фрикциона не нарушилась».</w:t>
      </w:r>
    </w:p>
    <w:p w14:paraId="57CD75A0"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Д.232. Л. 70]</w:t>
      </w:r>
    </w:p>
    <w:p w14:paraId="0026648E" w14:textId="77777777" w:rsidR="00E6586E" w:rsidRPr="00A3026E" w:rsidRDefault="00E6586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Результаты обмера дисков трения, проведенного после повторных специальных испытаний, показали, что коробление ведомых и ведущих дисков было несколько выше, чем после первых испытаний, но суммарный износ дисков остался без изменений, в пределах 0,5 мм. Главный вывод был таков: «Диски к дальнейшей </w:t>
      </w:r>
      <w:r w:rsidRPr="00A3026E">
        <w:rPr>
          <w:rFonts w:ascii="Times New Roman" w:hAnsi="Times New Roman"/>
          <w:color w:val="000000" w:themeColor="text1"/>
          <w:sz w:val="16"/>
          <w:szCs w:val="16"/>
        </w:rPr>
        <w:lastRenderedPageBreak/>
        <w:t>эксплоатации пригодны». Таким образом, после пройденных 2823 км и проведенных двух специальных испытаний на стойкость, комплект разрезных дисков трения опытного главного фрикциона танка Т-34 сохранил свою работоспособность (18533).</w:t>
      </w:r>
    </w:p>
    <w:p w14:paraId="5BEC3E80" w14:textId="77777777" w:rsidR="00E6586E" w:rsidRPr="00A3026E" w:rsidRDefault="00E6586E" w:rsidP="00A3026E">
      <w:pPr>
        <w:spacing w:after="0" w:line="240" w:lineRule="auto"/>
        <w:jc w:val="both"/>
        <w:rPr>
          <w:rFonts w:ascii="Times New Roman" w:hAnsi="Times New Roman"/>
          <w:color w:val="000000" w:themeColor="text1"/>
          <w:sz w:val="16"/>
          <w:szCs w:val="16"/>
        </w:rPr>
      </w:pPr>
    </w:p>
    <w:p w14:paraId="4A64416B" w14:textId="77777777" w:rsidR="000567A2" w:rsidRPr="00A3026E" w:rsidRDefault="000567A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31 декабря 1940 вышло Постановление Комитета обороны при СНК СССР № 460сс "О наращении мощностей по взрывателям ГВМЗ"</w:t>
      </w:r>
    </w:p>
    <w:p w14:paraId="032E899B" w14:textId="77777777" w:rsidR="000567A2" w:rsidRPr="00A3026E" w:rsidRDefault="000567A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Отмечая, что производство взрывателя МП до сих пор заводами Наркомсредма так и не освоено, а взрыватель для 120 мм и 107 мм мин не отработан, Комитет Обороны при СНК Союза ССР ПОСТАНОВЛЯЕТ:</w:t>
      </w:r>
    </w:p>
    <w:p w14:paraId="2B61A9B8" w14:textId="77777777" w:rsidR="000567A2" w:rsidRPr="00A3026E" w:rsidRDefault="000567A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Согласиться с предложением Наркомсредмапа сохранить на автозаводе им. Сталина мощности по взрывателю "М-1" на 1941 г. в количестве 2000,0 тыс. шт.</w:t>
      </w:r>
    </w:p>
    <w:p w14:paraId="5CB8CA57" w14:textId="77777777" w:rsidR="000567A2" w:rsidRPr="00A3026E" w:rsidRDefault="000567A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Продлить срок выполнения Наркомсредмашем постановления Комитета Обороны № 378 от 7 октября 1939 года в части создания мощностей по "ГВМЗ" на заводах Наркомсредмаша в количестве 2000,0 тыс. штук до 1 января 1942 года (22114).</w:t>
      </w:r>
    </w:p>
    <w:p w14:paraId="38375BEC" w14:textId="77777777" w:rsidR="000567A2" w:rsidRPr="00A3026E" w:rsidRDefault="000567A2" w:rsidP="00A3026E">
      <w:pPr>
        <w:spacing w:after="0" w:line="240" w:lineRule="auto"/>
        <w:jc w:val="both"/>
        <w:rPr>
          <w:rFonts w:ascii="Times New Roman" w:hAnsi="Times New Roman"/>
          <w:color w:val="0070C0"/>
          <w:sz w:val="16"/>
          <w:szCs w:val="16"/>
        </w:rPr>
      </w:pPr>
    </w:p>
    <w:p w14:paraId="0F629AB8" w14:textId="77777777" w:rsidR="000567A2" w:rsidRPr="00A3026E" w:rsidRDefault="000567A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31 декабря 1940 вышел Приказ НКСМ № 801.</w:t>
      </w:r>
    </w:p>
    <w:p w14:paraId="54D6353F" w14:textId="77777777" w:rsidR="000567A2" w:rsidRPr="00A3026E" w:rsidRDefault="000567A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нем, в частности, говорилось:</w:t>
      </w:r>
    </w:p>
    <w:p w14:paraId="38C598C4" w14:textId="77777777" w:rsidR="000567A2" w:rsidRPr="00A3026E" w:rsidRDefault="000567A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 исполнение Постановления Экономсовета при СНК СССР от 25.12.1936 г. «Об улучшении ка</w:t>
      </w:r>
      <w:r w:rsidRPr="00A3026E">
        <w:rPr>
          <w:rFonts w:ascii="Times New Roman" w:hAnsi="Times New Roman"/>
          <w:color w:val="0070C0"/>
          <w:sz w:val="16"/>
          <w:szCs w:val="16"/>
        </w:rPr>
        <w:softHyphen/>
        <w:t>чества запальных свечей и организации их ремонта в эксплуатации» - ПРИКАЗЫВАЮ:</w:t>
      </w:r>
    </w:p>
    <w:p w14:paraId="0F8259BE" w14:textId="77777777" w:rsidR="000567A2" w:rsidRPr="00A3026E" w:rsidRDefault="000567A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Передать в НАТИ к 01.02.1941 г. для эксплуата</w:t>
      </w:r>
      <w:r w:rsidRPr="00A3026E">
        <w:rPr>
          <w:rFonts w:ascii="Times New Roman" w:hAnsi="Times New Roman"/>
          <w:color w:val="0070C0"/>
          <w:sz w:val="16"/>
          <w:szCs w:val="16"/>
        </w:rPr>
        <w:softHyphen/>
        <w:t>ционных испытаний опытную партию свечей нераз</w:t>
      </w:r>
      <w:r w:rsidRPr="00A3026E">
        <w:rPr>
          <w:rFonts w:ascii="Times New Roman" w:hAnsi="Times New Roman"/>
          <w:color w:val="0070C0"/>
          <w:sz w:val="16"/>
          <w:szCs w:val="16"/>
        </w:rPr>
        <w:softHyphen/>
        <w:t>борной конструкции, изготовленных по приказу НКСМ за № 617 на заводе Ленкарз.</w:t>
      </w:r>
    </w:p>
    <w:p w14:paraId="16B98CE4" w14:textId="77777777" w:rsidR="000567A2" w:rsidRPr="00A3026E" w:rsidRDefault="000567A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Представить к 01.04.1941 г. окончательную кон</w:t>
      </w:r>
      <w:r w:rsidRPr="00A3026E">
        <w:rPr>
          <w:rFonts w:ascii="Times New Roman" w:hAnsi="Times New Roman"/>
          <w:color w:val="0070C0"/>
          <w:sz w:val="16"/>
          <w:szCs w:val="16"/>
        </w:rPr>
        <w:softHyphen/>
        <w:t>струкцию с материалами по их лабораторным и экс</w:t>
      </w:r>
      <w:r w:rsidRPr="00A3026E">
        <w:rPr>
          <w:rFonts w:ascii="Times New Roman" w:hAnsi="Times New Roman"/>
          <w:color w:val="0070C0"/>
          <w:sz w:val="16"/>
          <w:szCs w:val="16"/>
        </w:rPr>
        <w:softHyphen/>
        <w:t>плуатационным испытаниям в крупных гаражных хо</w:t>
      </w:r>
      <w:r w:rsidRPr="00A3026E">
        <w:rPr>
          <w:rFonts w:ascii="Times New Roman" w:hAnsi="Times New Roman"/>
          <w:color w:val="0070C0"/>
          <w:sz w:val="16"/>
          <w:szCs w:val="16"/>
        </w:rPr>
        <w:softHyphen/>
        <w:t>зяйствах.</w:t>
      </w:r>
    </w:p>
    <w:p w14:paraId="675EC983" w14:textId="77777777" w:rsidR="000567A2" w:rsidRPr="00A3026E" w:rsidRDefault="000567A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Директору НАТИ Толкунову: оказать техничес</w:t>
      </w:r>
      <w:r w:rsidRPr="00A3026E">
        <w:rPr>
          <w:rFonts w:ascii="Times New Roman" w:hAnsi="Times New Roman"/>
          <w:color w:val="0070C0"/>
          <w:sz w:val="16"/>
          <w:szCs w:val="16"/>
        </w:rPr>
        <w:softHyphen/>
        <w:t>кую помощь Ленкарзу в изготовлении 5 тыс. нераз</w:t>
      </w:r>
      <w:r w:rsidRPr="00A3026E">
        <w:rPr>
          <w:rFonts w:ascii="Times New Roman" w:hAnsi="Times New Roman"/>
          <w:color w:val="0070C0"/>
          <w:sz w:val="16"/>
          <w:szCs w:val="16"/>
        </w:rPr>
        <w:softHyphen/>
        <w:t>борных свечей.</w:t>
      </w:r>
    </w:p>
    <w:p w14:paraId="3A6599C1" w14:textId="77777777" w:rsidR="000567A2" w:rsidRPr="00A3026E" w:rsidRDefault="000567A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Разработать и представить на утверждение мое</w:t>
      </w:r>
      <w:r w:rsidRPr="00A3026E">
        <w:rPr>
          <w:rFonts w:ascii="Times New Roman" w:hAnsi="Times New Roman"/>
          <w:color w:val="0070C0"/>
          <w:sz w:val="16"/>
          <w:szCs w:val="16"/>
        </w:rPr>
        <w:softHyphen/>
        <w:t>му заместителю т. Вовк номенклатуру запальных све</w:t>
      </w:r>
      <w:r w:rsidRPr="00A3026E">
        <w:rPr>
          <w:rFonts w:ascii="Times New Roman" w:hAnsi="Times New Roman"/>
          <w:color w:val="0070C0"/>
          <w:sz w:val="16"/>
          <w:szCs w:val="16"/>
        </w:rPr>
        <w:softHyphen/>
        <w:t>чей, переводимых в 1941 г. на глиноземистые изоля</w:t>
      </w:r>
      <w:r w:rsidRPr="00A3026E">
        <w:rPr>
          <w:rFonts w:ascii="Times New Roman" w:hAnsi="Times New Roman"/>
          <w:color w:val="0070C0"/>
          <w:sz w:val="16"/>
          <w:szCs w:val="16"/>
        </w:rPr>
        <w:softHyphen/>
        <w:t>торы, к 01.04.1941 г.</w:t>
      </w:r>
    </w:p>
    <w:p w14:paraId="66C861EB" w14:textId="77777777" w:rsidR="000567A2" w:rsidRPr="00A3026E" w:rsidRDefault="000567A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НАТИ к 01.04.1941 г. представить в Технический от</w:t>
      </w:r>
      <w:r w:rsidRPr="00A3026E">
        <w:rPr>
          <w:rFonts w:ascii="Times New Roman" w:hAnsi="Times New Roman"/>
          <w:color w:val="0070C0"/>
          <w:sz w:val="16"/>
          <w:szCs w:val="16"/>
        </w:rPr>
        <w:softHyphen/>
        <w:t>дел НКСМ отчет об испытаниях неразборных свечей.» (22518).</w:t>
      </w:r>
    </w:p>
    <w:p w14:paraId="30616849" w14:textId="77777777" w:rsidR="000567A2" w:rsidRPr="00A3026E" w:rsidRDefault="000567A2" w:rsidP="00A3026E">
      <w:pPr>
        <w:spacing w:after="0" w:line="240" w:lineRule="auto"/>
        <w:jc w:val="both"/>
        <w:rPr>
          <w:rFonts w:ascii="Times New Roman" w:hAnsi="Times New Roman"/>
          <w:color w:val="0070C0"/>
          <w:sz w:val="16"/>
          <w:szCs w:val="16"/>
        </w:rPr>
      </w:pPr>
    </w:p>
    <w:p w14:paraId="1126A7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года за № 67/284 вышло поручение О.Б. ЦК ВКП(б) Выписка из протокола № 67 с запиской директора завода Аэрофотоаппаратуры № 356 Троянова и парторга ЦК завода Самуйлова о положении с обеспечением завода моторами и о передаче заводу № 356 Картонажноящичной фабрики НКПП СССР (7479, 112-116).</w:t>
      </w:r>
    </w:p>
    <w:p w14:paraId="12E414F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305F145"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г. вышло решение ГВС ВМФ от, предписывающее оборудовать защитой корабли ВМФ в 41 г. Уже в марте все материалы новой огромной серии измерений магнитных характеристик кораблей, выполненных ранней весной на Черноморском флоте были проанализированы группой Александрова и по результатам анализа совместно с ВМФ были разработаны необходимые технические задания (15490).</w:t>
      </w:r>
    </w:p>
    <w:p w14:paraId="2605C939" w14:textId="77777777" w:rsidR="000472A9" w:rsidRPr="00A3026E" w:rsidRDefault="000472A9" w:rsidP="00A3026E">
      <w:pPr>
        <w:spacing w:after="0" w:line="240" w:lineRule="auto"/>
        <w:jc w:val="both"/>
        <w:rPr>
          <w:rFonts w:ascii="Times New Roman" w:hAnsi="Times New Roman"/>
          <w:color w:val="000000" w:themeColor="text1"/>
          <w:sz w:val="16"/>
          <w:szCs w:val="16"/>
        </w:rPr>
      </w:pPr>
    </w:p>
    <w:p w14:paraId="47054B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г. Сводка графиков постройки кораблей, сдающихся в 1940 г. на ленинградских судостроительных заводах, направленная зав. отделом судостроительной промышленности Ленинградским ГК ВКП(б) А.А.Жданову. Д.67, л.219-223 (11775).</w:t>
      </w:r>
    </w:p>
    <w:p w14:paraId="312B658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8E27FBF" w14:textId="77777777" w:rsidR="0014077F"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544BB9D2"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78249BA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года в заключительной речи наркома обороны СССР С.К. Тимошенко на совещании высшего руково</w:t>
      </w:r>
      <w:r w:rsidRPr="00A3026E">
        <w:rPr>
          <w:rFonts w:ascii="Times New Roman" w:hAnsi="Times New Roman"/>
          <w:color w:val="000000" w:themeColor="text1"/>
          <w:sz w:val="16"/>
          <w:szCs w:val="16"/>
        </w:rPr>
        <w:softHyphen/>
        <w:t>дящего состава РККА, им, в частности, было заявлено, что «усиление фронта ВВС может колебаться от 15 до 30 авиационных дивизий» (Накануне войны. Материалы совещания высшего руководящего состава РККА 23-31 декабря 1940 года. С. 338.). В действительности же численность ВВС четырех западных военных округов накануне начала войны с Германией колебалась в пределах от трех до десяти авиационных дивизий. Даже самые мощные ВВС Киевского Особого Военно</w:t>
      </w:r>
      <w:r w:rsidRPr="00A3026E">
        <w:rPr>
          <w:rFonts w:ascii="Times New Roman" w:hAnsi="Times New Roman"/>
          <w:color w:val="000000" w:themeColor="text1"/>
          <w:sz w:val="16"/>
          <w:szCs w:val="16"/>
        </w:rPr>
        <w:softHyphen/>
        <w:t>го Округа составляли лишь 66% от требуемого планами минимума (Хорьков А.Г. Грозовой июнь: Трагедия и подвиг войск приграничных военных округов накануне Великой Отечественной войны. С. 226.). Негатив</w:t>
      </w:r>
      <w:r w:rsidRPr="00A3026E">
        <w:rPr>
          <w:rFonts w:ascii="Times New Roman" w:hAnsi="Times New Roman"/>
          <w:color w:val="000000" w:themeColor="text1"/>
          <w:sz w:val="16"/>
          <w:szCs w:val="16"/>
        </w:rPr>
        <w:softHyphen/>
        <w:t xml:space="preserve">ным было не только то обстоятельство, что к началу Великой Отечественной войны в строю находилось 67 </w:t>
      </w:r>
      <w:r w:rsidRPr="00A3026E">
        <w:rPr>
          <w:rFonts w:ascii="Times New Roman" w:hAnsi="Times New Roman"/>
          <w:iCs/>
          <w:color w:val="000000" w:themeColor="text1"/>
          <w:sz w:val="16"/>
          <w:szCs w:val="16"/>
        </w:rPr>
        <w:t xml:space="preserve">% </w:t>
      </w:r>
      <w:r w:rsidRPr="00A3026E">
        <w:rPr>
          <w:rFonts w:ascii="Times New Roman" w:hAnsi="Times New Roman"/>
          <w:color w:val="000000" w:themeColor="text1"/>
          <w:sz w:val="16"/>
          <w:szCs w:val="16"/>
        </w:rPr>
        <w:t>самолетов от предусмотренных широкомасш</w:t>
      </w:r>
      <w:r w:rsidRPr="00A3026E">
        <w:rPr>
          <w:rFonts w:ascii="Times New Roman" w:hAnsi="Times New Roman"/>
          <w:color w:val="000000" w:themeColor="text1"/>
          <w:sz w:val="16"/>
          <w:szCs w:val="16"/>
        </w:rPr>
        <w:softHyphen/>
        <w:t>табным планом (Великая Отечественная война 1941 - 1945. Военно-исторические очерки. Кн. 1. С. 91.). Как отмечали авторы исследования «Великая Отечественная война 1941 — 1945», сам план боевых действий строился на базе учета «только тех вооруженных сил, которые намечалось создать в перспективе» (Великая Отечественная война 1941 - 1945. Военно-исторические очерки. Кн. 1. С. 112.). Реальное же положение дел во внимание не принималось (11710,346).</w:t>
      </w:r>
    </w:p>
    <w:p w14:paraId="2F746B3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204258D4" w14:textId="77777777" w:rsidR="0014077F" w:rsidRPr="00A3026E" w:rsidRDefault="0014077F" w:rsidP="00A3026E">
      <w:pPr>
        <w:pStyle w:val="a3"/>
        <w:tabs>
          <w:tab w:val="left" w:pos="11199"/>
        </w:tabs>
        <w:rPr>
          <w:color w:val="000000" w:themeColor="text1"/>
          <w:lang w:val="ru-RU"/>
        </w:rPr>
      </w:pPr>
      <w:r w:rsidRPr="00A3026E">
        <w:rPr>
          <w:color w:val="000000" w:themeColor="text1"/>
          <w:lang w:val="ru-RU"/>
        </w:rPr>
        <w:t>31 декабря 1940 в выступле</w:t>
      </w:r>
      <w:r w:rsidRPr="00A3026E">
        <w:rPr>
          <w:color w:val="000000" w:themeColor="text1"/>
          <w:lang w:val="ru-RU"/>
        </w:rPr>
        <w:softHyphen/>
        <w:t>нии на за</w:t>
      </w:r>
      <w:r w:rsidRPr="00A3026E">
        <w:rPr>
          <w:color w:val="000000" w:themeColor="text1"/>
          <w:lang w:val="ru-RU"/>
        </w:rPr>
        <w:softHyphen/>
        <w:t>седании Главного Военного Совета Красной Армии Я.В.Смушкевич отметил низ</w:t>
      </w:r>
      <w:r w:rsidRPr="00A3026E">
        <w:rPr>
          <w:color w:val="000000" w:themeColor="text1"/>
          <w:lang w:val="ru-RU"/>
        </w:rPr>
        <w:softHyphen/>
        <w:t xml:space="preserve">кий уровень оперативной подготовки командиров авиационных соединений и их штабов, а также руководящего состава ВВС: </w:t>
      </w:r>
      <w:r w:rsidRPr="00A3026E">
        <w:rPr>
          <w:iCs/>
          <w:color w:val="000000" w:themeColor="text1"/>
          <w:lang w:val="ru-RU"/>
        </w:rPr>
        <w:t>“Наш командный и лет</w:t>
      </w:r>
      <w:r w:rsidRPr="00A3026E">
        <w:rPr>
          <w:iCs/>
          <w:color w:val="000000" w:themeColor="text1"/>
          <w:lang w:val="ru-RU"/>
        </w:rPr>
        <w:softHyphen/>
        <w:t>ный состав своп уставы мало изуча</w:t>
      </w:r>
      <w:r w:rsidRPr="00A3026E">
        <w:rPr>
          <w:iCs/>
          <w:color w:val="000000" w:themeColor="text1"/>
          <w:lang w:val="ru-RU"/>
        </w:rPr>
        <w:softHyphen/>
        <w:t>ет и плохо знает</w:t>
      </w:r>
      <w:r w:rsidRPr="00A3026E">
        <w:rPr>
          <w:color w:val="000000" w:themeColor="text1"/>
          <w:lang w:val="ru-RU"/>
        </w:rPr>
        <w:t xml:space="preserve">. </w:t>
      </w:r>
      <w:r w:rsidRPr="00A3026E">
        <w:rPr>
          <w:iCs/>
          <w:color w:val="000000" w:themeColor="text1"/>
          <w:lang w:val="ru-RU"/>
        </w:rPr>
        <w:t xml:space="preserve">У руководящего состава ВВС нет единства взглядов по вопросам использования авиации в операциях” </w:t>
      </w:r>
      <w:r w:rsidRPr="00A3026E">
        <w:rPr>
          <w:color w:val="000000" w:themeColor="text1"/>
          <w:lang w:val="ru-RU"/>
        </w:rPr>
        <w:t>(6269).</w:t>
      </w:r>
    </w:p>
    <w:p w14:paraId="2C567ECE" w14:textId="77777777" w:rsidR="0014077F" w:rsidRPr="00A3026E" w:rsidRDefault="0014077F" w:rsidP="00A3026E">
      <w:pPr>
        <w:pStyle w:val="a3"/>
        <w:tabs>
          <w:tab w:val="left" w:pos="11199"/>
        </w:tabs>
        <w:rPr>
          <w:color w:val="000000" w:themeColor="text1"/>
          <w:lang w:val="ru-RU"/>
        </w:rPr>
      </w:pPr>
    </w:p>
    <w:p w14:paraId="0D4B6A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генерал-инспектор ВВС Я. В. Смушкевич на заседании Главного Военного Совета Красной армии констатировал: «Наш командный и летный состав свои уставы мало изучает и плохо знает... у руководящего состава ВВС нет единства взглядов по вопросам использования авиации в операциях...» (9649).</w:t>
      </w:r>
    </w:p>
    <w:p w14:paraId="214AE6E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189B4CA"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2AE9870B"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5BEE8C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декабря 1940 А.Г. написал еще одно личное письмо И.В.С. (всего с октября 1940 по май 1945 было 6, но опубликовали 2 и нет ответов И.В.С.) и писал о том, что готовится захватить Англию, а 70 дивизий в Польше - на переформировании. Предостерегал от того, чтобы верить слухам (как английским, так и немецким) о нападении на СССР. Предложил встречу в конце июня-начале июля 1941 (2536,357).</w:t>
      </w:r>
    </w:p>
    <w:p w14:paraId="699BC20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7704E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 позднее 31 декабря 1940 г. Из обзора Наркомвнешторга СССР о внешнеторговой политике США и ее тенденции в связи с войной в Европе </w:t>
      </w:r>
    </w:p>
    <w:p w14:paraId="4A6F47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Изменения в торговых взаимоотношениях в связи с новой империалистической войной.С начала второй империалистической войны в 1939 г. намечается новый поворот во внешнеторговой политике США по отношению к Советскому Союзу, который по своему характеру отчасти напоминает собой период 1930-1933 гг. </w:t>
      </w:r>
    </w:p>
    <w:p w14:paraId="2A05A1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Снова в правящих кругах США, а также в некоторых кругах промышленно-финансового капитала был поставлен вопрос о возобновлении политической и экономической войны против Советского Союза вместо продолжения развития мирных экономических и торговых отношений. </w:t>
      </w:r>
    </w:p>
    <w:p w14:paraId="34FE70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Возобновление этой обостренной до крайности враждебности некоторых финансовых и правящих кругов США к Советскому Союзу объясняется тем, что эти круги зашли в тупик в своей империалистической политике. Не следует забывать, что самой сильной мечтой верхушки финансового капитала все время было, что она сумеет найти выход из тупика все обостряющихся империалистических противоречий, на почве которых возникла вторая империалистическая война, путем организации крестового похода против Советского Союза. Финансовая верхушка США, отличающаяся своей постоянной классовой враждебностью к стране социализма, не может поэтому примириться с мыслью, что ей не удалось организовать империалистическую войну против Советского Союза. </w:t>
      </w:r>
    </w:p>
    <w:p w14:paraId="2035FB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Яркий свет на это проливает статья корреспондента Дороти Томпсон, являющейся массовым истолкователем точки зрения правящих кругов США. Так, в статье в газете "Геральд Трибюн" от 22 марта 1940 г., посвященной обзору сообщений в прессе об условиях мира, будто предложенных Германией в совещаниях с Сомнер Уэлсом, она останавливается на так называемом четвертом пункте, согласно которому, по данным римского корреспондента Мэтюса в "Нью-Йорк Тайме", Германия якобы будет готова присоединиться к Англии, Франции и Италии после заключения мира с целью предпринять крестовый поход против Советского Союза. Дороти Томпсон утверждает, что хотя точность этого сообщения неизвестна, верно, однако, то, что план "крестового похода против Советского Союза, безусловно, является основной мыслью тех международных групп, которые поддерживают заключение такого рода мира". </w:t>
      </w:r>
    </w:p>
    <w:p w14:paraId="51F12A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Заключение торгового договора и договора о ненападении СССР с Германией, опрокидывающее планы международной буржуазии о военном столкновении СССР с Германией, послужило поэтому поводом для злобной кампании против Советского Союза. Клевета и грязь, которая преподносилась усиленными дозами широкой общественности США в связи с заключением советско-германского торгового договора и договора о ненападении еще усилились, когда Германия вступила в войну с Польшей и когда Советский Союз принял необходимые меры для защиты народов Западной Белоруссии и Западной Украины. Провал финляндской кампании, организованной финской белогвардейщиной под руководством Англии и Франции, которые стремились организовать империалистическую войну против Советского Союза, еще более озлобила эти круги финансового капитала. </w:t>
      </w:r>
    </w:p>
    <w:p w14:paraId="2C09FB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Следующее место из вышеупомянутой статьи Дороти Томпсон представляет интерес в этом отношении: "Несколько фактов выяснились в результате ... русско-финской кампании...123 Одним из этих фактов является сила и важность Красной Армии, относительно которой большинство журналистов, включая и автора данной статьи (Томпсон), имели неверные данные. Эта армия является фактором, и очень крупным фактором". </w:t>
      </w:r>
    </w:p>
    <w:p w14:paraId="160BF3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"Успех Советского Союза" в финской кампании, продолжает Дороти Томпсон, навеял страх на "консервативные круги" (читай: круги финансового капитала) и «возобновил в ряде этих кругов вечную надежду на вовлечение Германии в их лагерь путем мира, заключенного на основании переговоров, и направления войны против "действительного" врага - против Советского Союза». </w:t>
      </w:r>
    </w:p>
    <w:p w14:paraId="638A68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Согласно Дороти Томпсон в этих кругах самым важным препятствием для реализации их "вечной надежды", кроме доказанной мощи Красной Армии, считали симпатии широких народных масс капиталистических стран к стране социализма. "Трудность" в организации войны против СССР, говорит Дороти Томпсон, "заключается в том, что вы не можете иметь крестового похода против Советского Союза без предварительного заключения мира, а после того, как мир будет заключен, вы не сумеете добиться, чтобы массы пошли на войну против Советского Союза". </w:t>
      </w:r>
    </w:p>
    <w:p w14:paraId="4FE228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Отсюда непрестанные попытки опорочить Советский Союз в глазах народных масс путем усиления клеветнических измышлений и выпадов против Советского Союза, включая сфабрикованные заведомо ложные россказни о том, что советская авиация якобы бомбардировала гражданское население. </w:t>
      </w:r>
    </w:p>
    <w:p w14:paraId="3239B0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Пропаганда, которая велась среди широких масс США, сводилась в основном к тому, что якобы Советский Союз нарушил провозглашенный им принцип невмешательства во внутренние дела других государств и якобы отошел от своей практики защиты малых государств. Буржуазная пресса, имевшая целью вызвать у масс враждебное настроение против Советского Союза, систематически представляла общественному мнению закупки Советского Союза, как закупки, которые якобы предназначаются не для Союза, а для Германии. Необходимо отметить, что чрезвычайно большую работу в этом направлении проводили английские и французские миссии и посольства, которые пытались вбить клин между СССР и США, чего они в значительное степени добились. </w:t>
      </w:r>
    </w:p>
    <w:p w14:paraId="6A3579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 клеветническая пропаганда в связи с явным враждебным отношением со стороны финансового капитала и правящих кругов США не могла не отразиться на отношениях американских фирм к советской торговле. Тот факт, что многие из этих фирм имели большие военные заказы Англии и Франции и также правительственные заказы США, содействовал тому, что некоторые из этих фирм совершенно отказались иметь торговые отношения с Амтор- гом. К тому же отношение правительства в связи с так называемыми "моральными" эмбарго на вывоз некоторых материалов и видов оборудования создали в торгово-промышленных кругах США чувство неуверенности по отношению к дальнейшему развитию советско-американского торгового оборота. Ввиду всех этих условий громадное большинство фирм сочло возможным использовать создавшееся положение для предъявления чрезвычайно неблагоприятных условий для советско-американского внешнеторгового обмена. К числу таких условий, предъявленных большинством фирм, необходимо отнести:</w:t>
      </w:r>
    </w:p>
    <w:p w14:paraId="2091F3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Требования аванса или на полную сумму стоимости заказанного оборудования, или на значительную часть таковой при самом подписании договора. </w:t>
      </w:r>
    </w:p>
    <w:p w14:paraId="1A3DF1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Отказ давать гарантии в отношении срока и условий поставки заказанного оборудования. </w:t>
      </w:r>
    </w:p>
    <w:p w14:paraId="5558BB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Принятие заказов на оборудование лишь при условии удлинения срока поставки в несколько раз, против сроков, практиковавшихся в довоенное время.</w:t>
      </w:r>
    </w:p>
    <w:p w14:paraId="482CA3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4. Ограничения в допуске наших инженеров на заводы фирм и </w:t>
      </w:r>
    </w:p>
    <w:p w14:paraId="7391A2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Ряд фирм вообще показали стремление диктовать условия и вести торговлю с Амторгом на базисе "бери что дают". </w:t>
      </w:r>
    </w:p>
    <w:p w14:paraId="351EC3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Несмотря на то что ряд амфирм стремились использовать создавшееся положение для "нажима" на Амторг, широкие деловые круги США вовсе не искали разрыва, а, наоборот, предпочитали и предпочитают продолжать свои деловые отношения с советскими организациями. Да и отмеченные трудности и обременительные условия, предъявляемые амфирмами, вряд ли приняли бы такие чрезвычайные размеры, если бы советско-американские торговые взаимоотношения продолжали бы, хотя бы лишь принципиально, основываться на духе советско-американского торгового соглашения о безусловном наибольшем благоприятствовании. </w:t>
      </w:r>
    </w:p>
    <w:p w14:paraId="784A4D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Остается печальным фактом, однако, что вместо того, чтобы оказать отрезвляющее влияние на злобную клеветническую пропаганду враждебной прессы против Советского Союза, правительственные круги США сами подпали под влияние этой клеветнической пропаганды и приняли ряд дискриминационных мер против советско-американских торговых отношений - мер, идущих вразрез с принципом о безусловном наибольшем благоприятствовании, являющемся основанием советско-американского торгового соглашения. </w:t>
      </w:r>
    </w:p>
    <w:p w14:paraId="559523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числу таких актов со стороны правящих кругов необходимо отнести резолюцию, внесенную в январе 1940 г. в Конгресс о разрыве дипломатических отношений с СССР, под предлогом, что условия, установленные этими отношениями якобы были нарушены СССР. Сюда же относятся требования некоторых конгрессменов об отзыве посла США из СССР и разные другие выпады против Советского Союза, направленные не на укрепление торговых взаимоотношений с Советским Союзом, а, наоборот, на ухудшение этих отношений. </w:t>
      </w:r>
    </w:p>
    <w:p w14:paraId="557915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Одновременно с этим стали преследоваться и притаскиваться к ответственности различные организации, как Буккнига, Интурист и Амкино, с широкой пропагандой о том, будто бы они ведут подрывную работу в США. Таким путем были ликвидированы эти организации, имеющие чрезвычайно большое значение в деловых отношениях между СССР и США. Буккнига, Интурист и Амкино закрылись в связи с тем, что были созданы совершенно неблагоприятные условия для их работы в дальнейшем. </w:t>
      </w:r>
    </w:p>
    <w:p w14:paraId="212A3F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Еще более отрицательное влияние на советско-американскую торговлю имело наложение ряда последовательных "эмбарго" (так называемых "моральных" эмбарго и также других видов эмбарго под разными предлогами) на вывоз некоторых товаров из США в СССР. Как известно, в связи с провокациями финской белогвардейщины и упомянутой клеветнической кампанией враждебной прессы США против СССР правительство США наложило в начале декабря 1939 г.84 так называемое "моральное" эмбарго, запрещающее вывоз самолетов, частей, алюминия, молибдена85 и всякого вида авиационного оборудования в СССР. Впоследствии 2 декабря 1939 г. это "моральное" эмбарго было распространено на вывоз оборудования патентов и планов по производству высокооктанового газолина*. </w:t>
      </w:r>
    </w:p>
    <w:p w14:paraId="6CCAB5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Это "моральное" эмбарго было явным дискриминационным актом против СССР, ибо очевидно существовало гораздо меньше оснований для наложения такого эмбарго против СССР, чем против любой другой из европейских стран, и в особенности против Англии и Франции, которые в это время усиленно размещали заказы на военное оборудование, и особенно на самолеты, при непосредственной поддержке правительства США. </w:t>
      </w:r>
    </w:p>
    <w:p w14:paraId="378EA6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связи с этим "моральным" эмбарго, наложенным правительством США на вывоз в СССР авиационного оборудования и некоторых других товаров под предлогом, что воздушный флот Союза якобы бомбардировал гражданское население Финляндии, заслуживает внимания сообщение корреспондента "Геральд Трибюн" Вольтера Керра из Стокгольма от 21 марта 1940 г. Объясняя, почему население Финляндии якобы не могло понять причины, принудившие финское правительство искать мира, он между прочим говорит: </w:t>
      </w:r>
    </w:p>
    <w:p w14:paraId="76A5C6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"Пожалуй, более важным, с точки зрения обывателя, был тот факт, что неограниченная воздушная война, которой так боялись, направленная главным образом против гражданского населения, так и никогда не началась". </w:t>
      </w:r>
    </w:p>
    <w:p w14:paraId="50CE73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Тут имеется неопровержимое показание враждебного к Союзу источника, что все россказни о том, будто бы воздушный флот СССР бомбардировал гражданское население, являются злобной, заведомо ложной клеветой. </w:t>
      </w:r>
    </w:p>
    <w:p w14:paraId="1B21AA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Ввиду указанного сообщения из такого источника, как газета "Геральд Трибюн", перед правительством США должен встать вопрос о </w:t>
      </w:r>
    </w:p>
    <w:p w14:paraId="759A6B5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'Сообщение "Сгейт Департамента США" за № 706, от 20 декабря 1939 г. </w:t>
      </w:r>
    </w:p>
    <w:p w14:paraId="401619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том, как в сущности оно может оправдать продолжение морального эмбарго, которое, бесспорно, было направлено против СССР без каких-либо малейших резонных оснований. </w:t>
      </w:r>
    </w:p>
    <w:p w14:paraId="2AE750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Как дальнейший шаг дискриминационных мероприятий, направленных против торговли с Советским Союзом, необходимо отметить запрещение Морской комиссией пароходовладельцам предоставлять пароходы под советские грузы. Существующий закон дает Морской комиссии США право одобрить или отказаться одобрить чартирова- ние пароходов под американским флагом для экспорта товаров организациями, работающими для иностранных контрагентов, фактически, однако, Морская комиссия США, как общее правило, не возражала против чартирования таких пароходов для экспорта в разные страны вне военных зон, но она стала препятствовать чартированию таких пароходов для экспорта в СССР. Более того, закон не создает никаких препятствий для владельцев пароходов под американским флагом принимать груз (без чартирования) от организаций, работающих для иностранных контрагентов для транспорта такого груза на своем пароходе, направляющемся в то или иное направление, или так называемую операцию "букинг" (транспорт груза по специальному контракту с уплатой за каждую тонну, но без чартирования всего парохода). Однако Морская комиссия США неофициально угрожала судовладельцам, заключившим контракт с Амторгом, о перевозке советского груза без чартирования парохода, а в порядке "букинг" - преследованием. Эти последние трудности создавались Морской комиссией США несмотря на то, что закон не требует и не уполномочивает комиссию одобрить или не одобрить такие транспортные операции. Таким образом, это фактически явилось открытой дискриминацией против товарообмена с СССР. </w:t>
      </w:r>
    </w:p>
    <w:p w14:paraId="070B89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После проведения США закона об "ускорении и усилении национальной обороны" 2 июля 1940 г. президент США запретил экспорт без специальных лицензий всех видов военных и подсобно-военных материалов, включая оборудование для их производства. Запрещение безлицензионного экспорта, согласно прокламации президента США от 2 июля 1940 г., распространяется не только на все виды оружия, самолетов и оборудования для них, но также на основные сырьевые материалы (алюминий, молибден, ванадий, олово, вольфрам, ртуть, магнезий, графит, каучук и т.д.), на важнейшие химикалии и на важнейшие виды станков и других металлообрабатывающих машин. Официально единственной целью закона является предупреждение экспорта из США материалов и машин, которые могут оказаться необходимыми для обороны самих США. </w:t>
      </w:r>
    </w:p>
    <w:p w14:paraId="609E02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крайней мере формально, поэтому запрет безлицензионного экспорта распространяется одинаково на все страны, и он не имеет целью дискриминировать против какой бы то ни было страны. В действительности же не было ни одного сообщения об отказе выдать лицензии на экспорт таких материалов или машин в Англию, или связанные с нею страны. Между тем в основном отказы в выдаче лицензий были на вывоз станков в СССР. </w:t>
      </w:r>
    </w:p>
    <w:p w14:paraId="28DE00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Следует отметить, что станки и металлообрабатывающие машины являются важнейшей статьей советского импорта из США. </w:t>
      </w:r>
    </w:p>
    <w:p w14:paraId="67CE0D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В 1938 г., например, общая сумма экспорта США в СССР составила 69,7 млн долл., а экспорт станков и других металлообрабатывающих машин составил 35,1 млн долл., или свыше 50%. Нетрудно себе поэтому представить, какие громадные затруднения для советско-американ- ского торгового оборота были созданы указанным видом дискриминационного применения распоряжения 2 июля 1940 г. к экспорту металлообрабатывающих машин в Советский Союз 8б. </w:t>
      </w:r>
    </w:p>
    <w:p w14:paraId="66DE2C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Настроение тех элементов среди правящих кругов США, которые, по-видимому, ищут возобновления крестового похода против Советского Союза, нашло, пожалуй, свое наиболее яркое выражение в сообщении Министерства иностранных дел США от 23 июля, сделанном по поводу успехов советской внешней политики в Прибалтике. </w:t>
      </w:r>
    </w:p>
    <w:p w14:paraId="744B1C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Это сообщение, которое корреспондент газеты "Нью- Йорк Тайме" (24 июля 1940 г.) характеризует как "один из тех дипломатических документов, которые являются крайним исключением", изобилует явно неверными утверждениями и враждебными атаками против Советского Союза. Единственным предлогом для этой беспричинной атаки было то, что народы Литвы, Латвии и Эстонии, освободившиеся от своих правящих клик, которые представляли только узкие группы эксплуататоров, единогласно решили путем свободных всенародных выборов воссоединиться с Советским Союзом, от территории которой они были отторгнуты империалистическими державами в годы интервенции, в момент военной слабости СССР124. </w:t>
      </w:r>
    </w:p>
    <w:p w14:paraId="0093F0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Еще до этого, 15 июля 1940 г. распоряжением за № 8484, правительство США "заморозило" находящиеся в США фонды трех Балтийских республик или их граждан, запретив производить какие бы то ни было платежи или операции по этим фондам и задержав золото, закупленное некоторое время тому назад Государственным банком СССР у банков Литвы, Латвии и Эстонии, без всякого законного основания. </w:t>
      </w:r>
    </w:p>
    <w:p w14:paraId="4685A6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выражению вашингтонского корреспондента газеты "Нью- Йорк Тайме", сообщение Мининдела США от 23 июля "довело дипломатические отношения между США и СССР до новой самой низкой точки за все время с момента установления дипломатических сношений между ними в 1933 г.". </w:t>
      </w:r>
    </w:p>
    <w:p w14:paraId="1055DF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Однако, как в течение периода 1930-1933 гг., далеко не все влиятельные круги США считали выпады и дискриминации против СССР желательными с точки зрения действительных интересов США. </w:t>
      </w:r>
    </w:p>
    <w:p w14:paraId="497D6F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Еще в начале июля некоторые деловые круги были озабочены о том, не поведет ли возрастающее неблагоприятное политическое отношение США к СССР, выразившееся в наложении так называемого мо- рального эмбарго на экспорт военных и подсобно-военных материалов в СССР, так же как и в транспортных трудностях, к полному провалу переговоров о возобновлении советско-американского торгового соглашения еще на год (см. статью в деловом журнале "Бизнес Уик" за 6 июля 1940 г. под заглавием "Договор с Советским Союзом кончается"). </w:t>
      </w:r>
    </w:p>
    <w:p w14:paraId="6C36F55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сообщении относительно конференции между и. о. министра иностранных дел США Сомнер Уэллс и полпредом СССР Уманским, 27 июля 1940 г., о продлении советско-американского торгового соглашения все телеграфные агентуры США ("Ассосиэйтед Пресс", "Юнайтед Пресс" и "Интернэйшнл Ньюз Сервис") отметили заявление Уэллса, что эта конференция состоялась по его инициативе и что это "вызвало слухи, что правительство США заинтересовано в продлении торгового соглашения США с Советским Союзом". Газета "Сан-Франциско Экзаменер" в городе Сан-Франциско комментировала по этому поводу 27 августа, что "согласно убеждениям стратегов, проводящих программу (внешнеторговой политики) министра иностранных дел США Хэлла, совершенно независимый подход к экономическим вопросам и политическим вопросам является единственной безопасной политикой в отношении к Советскому Союзу, так как только таким путем программа Хэлла может быть проведена с полным достоинством". </w:t>
      </w:r>
    </w:p>
    <w:p w14:paraId="136F24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другой стороны, торгово-промышленная газета "Джорнал оф Коммерс" 30 июля 1940 г. в передовице "О торговле с Советским Союзом" утверждала, что "в существующих международных условиях политические мотивы неизбежно господствуют над торговыми взаимоотношениями". Все же "Джорнал оф Коммерс" полагает, что "было бы нелогично для США отказаться от своей торговли с Советским Союзом или значительно сократить эту торговлю". С чисто деловой точки зрения, эта газета также считает поддерживание американо-советских торговых отношений важным, ибо, в противном случае, проникновение на советский рынок после войны может оказаться трудным или даже совершенно невозможным. </w:t>
      </w:r>
    </w:p>
    <w:p w14:paraId="29C72D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Возобновление советско-американского торгового соглашения 6 августа 1940 г. еще на год, вообще говоря, приветствовалось всей прессой, за единственным исключением Хорстовской прессы. Почти все газеты благоприятно комментировали заявление Уэллса, сделанное им на второй день после продления соглашения на 1941 г., в котором он указал, что "есть источник глубокого удовлетворения, что пакт был заключен и что это дает надежду, что в текущем году наши торговые взаимоотношения будут развиваться выгодно для обеих сторон". </w:t>
      </w:r>
    </w:p>
    <w:p w14:paraId="592141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Продление советско-американского торгового соглашения еще на год - с 6 августа 1940 г. по 6 августа 1941 г. указывает, что правящие круги США заинтересованы в советско-американских торговых взаимоотношениях. Деловые круги США отлично понимают действительное значение Советского Союза в торговле США, особенно после окончания войны в Европе. Таким образом, деловые круги США считают дальнейшее развитие как торговых, так и дружественных взаимоотношений между США и СССР вообще желательным и необходимым. Эта точка зрения нашла также ясное выражение и в статье отставного адмирала флота США Yates Stirling, Jr., которая была разослана телеграфной агентурой "Юнайтед Пресс" и которая была опубликована 13 августа сего года в большинстве крупных газет США, включая "Нью-Йорк Тайме", "Геральд Трибюн" и т.д. </w:t>
      </w:r>
    </w:p>
    <w:p w14:paraId="6BDCBD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Адмирал Стойрлинг указывает на то, что "наши (США) собственные отношения с Москвой в течение многих периодов за последние 20 лет не были сердечными. Тем не менее в основном, - утверждает Стойрлинг, - СССР и США должны были быть друзьями. Нам не нужно одобрять их (СССР) правительственную систему, но нам нужно понять, что во многих отношениях наши практические интересы параллельны интересам СССР. Отсюда логически ясно следует, что тенденция, недавно обнаруженная Вашингтоном, в направлении более дружественных отношений с Москвой должна быть усилена". </w:t>
      </w:r>
    </w:p>
    <w:p w14:paraId="0E70EE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Из всего вышесказанного видно, что в связи с усиленными подготовлениями к войне, и в особенности с начала текущей войны в сентябре 1939 г., развитие внешнеторговой политики США пошло по пути, напоминающему собою период 1930-1933 гг. Благодаря войне обострились до крайности (как в период 1930-1933 гг.) все противоречия экономической и политической жизни США. В кругах финансового капитала снова был поднят вопрос о полном разрыве дипломатических и торговых отношений с СССР, и даже вопрос о крестовом походе против СССР, вместо развития мирных и дружественных экономических и торговых взаимоотношений. Несмотря на то, что пока еще невозможно с уверенностью сказать, какая из этих тенденций получит окончательное преобладание среди правящих и влиятельных кругов США, следует все же отметить, что продление американо-советского торгового договора 6 августа сего года указывает на некоторый поворот к той точке зрения, которая признает, что существенные интересы обеих этих великих стран требуют самого широкого развития их экономических и торговых взаимоотношений. </w:t>
      </w:r>
    </w:p>
    <w:p w14:paraId="1D690E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К.И. Лукашев Я.М. Будиш </w:t>
      </w:r>
    </w:p>
    <w:p w14:paraId="624F3A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РГАЭ. Ф. 413. On. 13. Д. 2879. Л. 79-93. Копия (12152).</w:t>
      </w:r>
    </w:p>
    <w:p w14:paraId="1484947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EDD22AA" w14:textId="77777777" w:rsidR="00EF51BB" w:rsidRPr="00A3026E" w:rsidRDefault="00EF51BB"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За рубежом:</w:t>
      </w:r>
    </w:p>
    <w:p w14:paraId="32B4486C" w14:textId="77777777" w:rsidR="00EF51BB" w:rsidRPr="00A3026E" w:rsidRDefault="00EF51BB" w:rsidP="00A3026E">
      <w:pPr>
        <w:spacing w:after="0" w:line="240" w:lineRule="auto"/>
        <w:jc w:val="both"/>
        <w:rPr>
          <w:rFonts w:ascii="Times New Roman" w:hAnsi="Times New Roman"/>
          <w:i/>
          <w:iCs/>
          <w:color w:val="000000" w:themeColor="text1"/>
          <w:sz w:val="16"/>
          <w:szCs w:val="16"/>
        </w:rPr>
      </w:pPr>
    </w:p>
    <w:p w14:paraId="494B1AAB" w14:textId="77777777" w:rsidR="00EF51BB" w:rsidRPr="00A3026E" w:rsidRDefault="00EF51BB"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31 декабря 1940 немецкие ночные истребители, защищавшие Германию, сбили 42 британских бомбардировщика (20795).</w:t>
      </w:r>
    </w:p>
    <w:p w14:paraId="614AFE3E" w14:textId="77777777" w:rsidR="00EF51BB" w:rsidRPr="00A3026E" w:rsidRDefault="00EF51BB" w:rsidP="00A3026E">
      <w:pPr>
        <w:spacing w:after="0" w:line="240" w:lineRule="auto"/>
        <w:jc w:val="both"/>
        <w:rPr>
          <w:rFonts w:ascii="Times New Roman" w:hAnsi="Times New Roman"/>
          <w:color w:val="0070C0"/>
          <w:sz w:val="16"/>
          <w:szCs w:val="16"/>
        </w:rPr>
      </w:pPr>
    </w:p>
    <w:p w14:paraId="3D40BA7A" w14:textId="1487A43C"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773EAFF6"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3AF161CF" w14:textId="77777777" w:rsidR="000472A9" w:rsidRPr="00A3026E" w:rsidRDefault="000472A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декабря 1940 Пе-2 с номером 390101 – головной самолет первой серии был принят заказчиком и оформлен удостоверением. Одновременно приступили к облету второй машины. Третий серийный бомбардировщик Пе-2 вышел на испытания 2-го января 1941 года». Затянувшийся цикл сборки первых самолетов Пе-2 в отчете завода № 39 за 1940 год объясняется несколькими причинами (Отчет о работе завода № 39 им. Менжинского за 1940 год по основной деятельности. Центральный архив ИАЗ, дело № 78, лист 20.):</w:t>
      </w:r>
    </w:p>
    <w:p w14:paraId="59421C56" w14:textId="77777777" w:rsidR="000472A9" w:rsidRPr="00A3026E" w:rsidRDefault="000472A9" w:rsidP="00A3026E">
      <w:pPr>
        <w:pStyle w:val="rteindent11"/>
        <w:shd w:val="clear" w:color="auto" w:fill="FFFFFF"/>
        <w:spacing w:before="0" w:beforeAutospacing="0" w:after="0"/>
        <w:ind w:left="0" w:firstLine="0"/>
        <w:rPr>
          <w:color w:val="000000" w:themeColor="text1"/>
          <w:sz w:val="16"/>
          <w:szCs w:val="16"/>
        </w:rPr>
      </w:pPr>
      <w:r w:rsidRPr="00A3026E">
        <w:rPr>
          <w:rStyle w:val="af0"/>
          <w:i w:val="0"/>
          <w:color w:val="000000" w:themeColor="text1"/>
          <w:sz w:val="16"/>
          <w:szCs w:val="16"/>
        </w:rPr>
        <w:t>1. Изменения и доводки, производимые в большом количестве в период обработки крупных агрегатов самолетов (в течение только ноября было приостановлено изготовление деталей по 383 чертежам, аннулировано 56 чертежей и введено вновь 627 чертежей, а всего с начала запуска (с августа по январь) изменено 13499 чертежей и спецификаций).</w:t>
      </w:r>
    </w:p>
    <w:p w14:paraId="5845FCC9" w14:textId="77777777" w:rsidR="000472A9" w:rsidRPr="00A3026E" w:rsidRDefault="000472A9" w:rsidP="00A3026E">
      <w:pPr>
        <w:pStyle w:val="rteindent11"/>
        <w:shd w:val="clear" w:color="auto" w:fill="FFFFFF"/>
        <w:spacing w:before="0" w:beforeAutospacing="0" w:after="0"/>
        <w:ind w:left="0" w:firstLine="0"/>
        <w:rPr>
          <w:color w:val="000000" w:themeColor="text1"/>
          <w:sz w:val="16"/>
          <w:szCs w:val="16"/>
        </w:rPr>
      </w:pPr>
      <w:r w:rsidRPr="00A3026E">
        <w:rPr>
          <w:rStyle w:val="af0"/>
          <w:i w:val="0"/>
          <w:color w:val="000000" w:themeColor="text1"/>
          <w:sz w:val="16"/>
          <w:szCs w:val="16"/>
        </w:rPr>
        <w:t>2. Трудности освоения некоторых агрегатов новой машины, особенно капотов моторов, непоставленных своевременно бако-капотным цехом и, наконец,</w:t>
      </w:r>
    </w:p>
    <w:p w14:paraId="0FFF9A4B" w14:textId="77777777" w:rsidR="000472A9" w:rsidRPr="00A3026E" w:rsidRDefault="000472A9" w:rsidP="00A3026E">
      <w:pPr>
        <w:pStyle w:val="rteindent11"/>
        <w:shd w:val="clear" w:color="auto" w:fill="FFFFFF"/>
        <w:spacing w:before="0" w:beforeAutospacing="0" w:after="0"/>
        <w:ind w:left="0" w:firstLine="0"/>
        <w:rPr>
          <w:rStyle w:val="af0"/>
          <w:i w:val="0"/>
          <w:color w:val="000000" w:themeColor="text1"/>
          <w:sz w:val="16"/>
          <w:szCs w:val="16"/>
        </w:rPr>
      </w:pPr>
      <w:r w:rsidRPr="00A3026E">
        <w:rPr>
          <w:rStyle w:val="af0"/>
          <w:i w:val="0"/>
          <w:color w:val="000000" w:themeColor="text1"/>
          <w:sz w:val="16"/>
          <w:szCs w:val="16"/>
        </w:rPr>
        <w:t>3. Обстоятельства организационного порядка. Так узким местом, державшим окончательную сборку оказалась группа электрооборудования этого цеха, мощность которой не была рассчитана на большие по объему и сложности работы на новой машине по сравнению с ДБ-3Ф.</w:t>
      </w:r>
    </w:p>
    <w:p w14:paraId="5BCED89B" w14:textId="77777777" w:rsidR="000472A9" w:rsidRPr="00A3026E" w:rsidRDefault="000472A9" w:rsidP="00A3026E">
      <w:pPr>
        <w:pStyle w:val="rteindent11"/>
        <w:shd w:val="clear" w:color="auto" w:fill="FFFFFF"/>
        <w:spacing w:before="0" w:beforeAutospacing="0" w:after="0"/>
        <w:ind w:left="0" w:firstLine="0"/>
        <w:rPr>
          <w:color w:val="000000" w:themeColor="text1"/>
          <w:sz w:val="16"/>
          <w:szCs w:val="16"/>
        </w:rPr>
      </w:pPr>
      <w:r w:rsidRPr="00A3026E">
        <w:rPr>
          <w:rStyle w:val="af0"/>
          <w:i w:val="0"/>
          <w:color w:val="000000" w:themeColor="text1"/>
          <w:sz w:val="16"/>
          <w:szCs w:val="16"/>
        </w:rPr>
        <w:t>На 1-е января 1941 года изготовлено (кроме одной машины сданной) 46 машин Пе-2 в условных единицах, т.е. меньше половины заданного плана. Сдача отдельных агрегатов цеху окончательной сборки дает чрезвычайно пеструю картину, причем неравномерность в обеспечении цеха окончательной сборки агрегатами весьма велика. В то время, как некоторые агрегаты изготовлены на 28 комплектов (лонжероны центроплана), большинство агрегатов – на 11-12 комплектов, есть агрегаты (капот мотора) изготовлены лишь на 6 комплектов и будут тормозить выполнение программы.</w:t>
      </w:r>
    </w:p>
    <w:p w14:paraId="29589657" w14:textId="77777777" w:rsidR="000472A9" w:rsidRPr="00A3026E" w:rsidRDefault="000472A9" w:rsidP="00A3026E">
      <w:pPr>
        <w:pStyle w:val="rteindent11"/>
        <w:shd w:val="clear" w:color="auto" w:fill="FFFFFF"/>
        <w:spacing w:before="0" w:beforeAutospacing="0" w:after="0"/>
        <w:ind w:left="0" w:firstLine="0"/>
        <w:rPr>
          <w:color w:val="000000" w:themeColor="text1"/>
          <w:sz w:val="16"/>
          <w:szCs w:val="16"/>
        </w:rPr>
      </w:pPr>
      <w:r w:rsidRPr="00A3026E">
        <w:rPr>
          <w:rStyle w:val="af0"/>
          <w:i w:val="0"/>
          <w:color w:val="000000" w:themeColor="text1"/>
          <w:sz w:val="16"/>
          <w:szCs w:val="16"/>
        </w:rPr>
        <w:t>В настоящее время проводится ряд мероприятий, ликвидирующих узкие места и обеспечивающих нормальный выпуск машин: цеха подготовки, после изготовления оснастки для головной серии, начали оснащение производства для выпуска 1-го квартала 1941 г. и дальнейшего развертывания производства.</w:t>
      </w:r>
    </w:p>
    <w:p w14:paraId="468C4DE3" w14:textId="77777777" w:rsidR="000472A9" w:rsidRPr="00A3026E" w:rsidRDefault="000472A9"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течение всего 1940 года большое внимание на заводе уделялось качеству продукции. БЦК в цехе окончательной сборки, а также в фюзеляжном и малярном цехах были усилены квалифицированными работниками. Для работы с цеховыми контрольными работниками организовано техническое бюро при центральном отделе технического контроля. Был введен магнитный контроль наиболее ответственных деталей в механическом и термическом цехах. На складе и в механическом цехе был введен спектральный анализ определения соответствия материала указанным маркам. Организована экспресс-лаборатория для экстренных ускоренных анализов, </w:t>
      </w:r>
      <w:r w:rsidRPr="00A3026E">
        <w:rPr>
          <w:rFonts w:ascii="Times New Roman" w:hAnsi="Times New Roman"/>
          <w:color w:val="000000" w:themeColor="text1"/>
          <w:sz w:val="16"/>
          <w:szCs w:val="16"/>
        </w:rPr>
        <w:lastRenderedPageBreak/>
        <w:t>связанных с проверкой термообработки деталей. Составлен перечень деталей, подлежащих магнитному и рентгеновскому контролю. Разработаны и переданы в цехи паспорта на все агрегаты Пе-2 (15223).</w:t>
      </w:r>
    </w:p>
    <w:p w14:paraId="0F94E5D8" w14:textId="77777777" w:rsidR="000472A9" w:rsidRPr="00A3026E" w:rsidRDefault="000472A9" w:rsidP="00A3026E">
      <w:pPr>
        <w:shd w:val="clear" w:color="auto" w:fill="FFFFFF"/>
        <w:spacing w:after="0" w:line="240" w:lineRule="auto"/>
        <w:jc w:val="both"/>
        <w:rPr>
          <w:rFonts w:ascii="Times New Roman" w:hAnsi="Times New Roman"/>
          <w:color w:val="000000" w:themeColor="text1"/>
          <w:sz w:val="16"/>
          <w:szCs w:val="16"/>
        </w:rPr>
      </w:pPr>
    </w:p>
    <w:p w14:paraId="5E4243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декабря 1940 - начале января 1941 были подготовлены справки по работе ленинградских заводов и в т.ч. N 381 по выпуску БШ (490,533).</w:t>
      </w:r>
    </w:p>
    <w:p w14:paraId="2F346DE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381</w:t>
      </w:r>
    </w:p>
    <w:p w14:paraId="0969277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сборке завод имеет 2 машины из деталей завода № 30. Изготовлено узлов и деталей 262 наименования на заво</w:t>
      </w:r>
      <w:r w:rsidRPr="00A3026E">
        <w:rPr>
          <w:rFonts w:ascii="Times New Roman" w:hAnsi="Times New Roman"/>
          <w:color w:val="000000" w:themeColor="text1"/>
          <w:sz w:val="16"/>
          <w:szCs w:val="16"/>
        </w:rPr>
        <w:softHyphen/>
        <w:t>де и 845 наименований по кооперации.</w:t>
      </w:r>
    </w:p>
    <w:p w14:paraId="221BACF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изготовил один комплект лонжеронов крыла.</w:t>
      </w:r>
    </w:p>
    <w:p w14:paraId="1AC7441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Технологический процесс сдан в производство полностью. Сдано в производство 1046 наименований чертежей оснастки (из 1251 всего), изготовлено 174 наименования. В связи с изменением машины с 2-х местной на одноместную и устранению конструктивных недостатков, по данным завода изменилось 7 групп деталей или 30-35% из общего количества.</w:t>
      </w:r>
    </w:p>
    <w:p w14:paraId="698B0CD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Коллектив завода помимо сборки первых 2-х машин по старым чертежам, усиленно подготовляется к производству (чертежи, машины, технология и оснастка) измененного ва</w:t>
      </w:r>
      <w:r w:rsidRPr="00A3026E">
        <w:rPr>
          <w:rFonts w:ascii="Times New Roman" w:hAnsi="Times New Roman"/>
          <w:color w:val="000000" w:themeColor="text1"/>
          <w:sz w:val="16"/>
          <w:szCs w:val="16"/>
        </w:rPr>
        <w:softHyphen/>
        <w:t>рианта максимально используя имеющие приспособления и инструмент.</w:t>
      </w:r>
    </w:p>
    <w:p w14:paraId="1677F3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имеет 470 станков при потребности на 1 кв. в 457 станков, но нехватает до технологического комплекта - 86 единиц (490,175).</w:t>
      </w:r>
    </w:p>
    <w:p w14:paraId="12D42143"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Завод № 381</w:t>
      </w:r>
    </w:p>
    <w:p w14:paraId="6F0CB9F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ЦК ВКП(б) и СНК СССР от 26.УП.1940 г. за</w:t>
      </w:r>
      <w:r w:rsidRPr="00A3026E">
        <w:rPr>
          <w:rFonts w:ascii="Times New Roman" w:hAnsi="Times New Roman"/>
          <w:color w:val="000000" w:themeColor="text1"/>
          <w:sz w:val="16"/>
          <w:szCs w:val="16"/>
        </w:rPr>
        <w:softHyphen/>
        <w:t>вод обязан был на базе переданных ему заводов и отдельных цехов изготовить 10 самолетов БШ и подготовить производство к выпуску в 1941 г. - 600 самолетов.</w:t>
      </w:r>
    </w:p>
    <w:p w14:paraId="5648170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1940 г. завод не выпустил ни одного самолета. Состояние производства следующее: подучено готовых (по линии кооперации) 1.600 наименований деталей (из 2817), азготовлено у себя-156 наиаенований, размещено на стороне 991 наименование и запущено в производство изготовление всех деталей и агрегатов на два комплекта.</w:t>
      </w:r>
    </w:p>
    <w:p w14:paraId="26A7FB4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значительными изменениями в конструкции самолета, завод выпускает по старым чертежам только две машины, используя заделы завода № 30, выпуск остальных машин в количестве 300 единиц в год (установленный НКАП) пойдет по новым чертежам.</w:t>
      </w:r>
    </w:p>
    <w:p w14:paraId="155E975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подготовки производства:</w:t>
      </w:r>
    </w:p>
    <w:p w14:paraId="68E0132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техническая документация получена полностью и находится в переработке 6.093 наименований техпроцесса (вз 6.516) и 926 наименований оснастки (из 1.924) откорректированы и сданы в производство;</w:t>
      </w:r>
    </w:p>
    <w:p w14:paraId="774BD4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изготовлены и уставовлены основные стапеля для сборки агрегатов и самолета;</w:t>
      </w:r>
    </w:p>
    <w:p w14:paraId="332CAC5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роконструхрованы и введены в строй: инструментальный цех (филиал № 2), агрегатно-сборочный цех (филиал № 3) и иеханический цех (филиал № 1). Установлено в цехах 250 единиц оборудования, из них отремонтированы силами завода и ленинградскими предприятаяии - 127 единиц;</w:t>
      </w:r>
    </w:p>
    <w:p w14:paraId="53DBD46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за два месяца завод увеличил свой состав: ИТР на 263, проазводственных рабочих на 446 чел., рабочих на 408 чел. и пропустил через сеть кружков и стажировку боле 1500 человек ИТР и рабочих.</w:t>
      </w:r>
    </w:p>
    <w:p w14:paraId="336F5A1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Сейчас организовано дополнительно обучение для 1139 ИТР и рабочих.</w:t>
      </w:r>
    </w:p>
    <w:p w14:paraId="51E0F24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программы 1-го квартала 1941 г. заводу требуются:</w:t>
      </w:r>
    </w:p>
    <w:p w14:paraId="3DBCB07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увеличение механического парка оборудования на 100 ед.</w:t>
      </w:r>
    </w:p>
    <w:p w14:paraId="0ACBABEA"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б) увеличение станочников на 300-400 чел.;</w:t>
      </w:r>
    </w:p>
    <w:p w14:paraId="428EF731"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г) ввода в строй в первом квартале агрегатно-сборочного цеха (Ижора)</w:t>
      </w:r>
    </w:p>
    <w:p w14:paraId="01ADDBB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трест № 4 должен был сдать в эксплоатацию: цех завода им. Кирова (филиал № 3), цех завода Красный металлист (филиал № 2), агрегатно-сборочный корпус (Ижора) и 30 шт. бараков. Вошли в строй все объекты, за исключением агрегатно-сборочного цеха.</w:t>
      </w:r>
    </w:p>
    <w:p w14:paraId="05D27E7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Руководство завода (Филимончук, Савельев) уделяют очень много времени строительству, в результате чего ряд существенных и важных вопросов организации производства и освоения деталей из их поля зрения выпал.</w:t>
      </w:r>
    </w:p>
    <w:p w14:paraId="774AF2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ряда указаний горкома ВЕП(б) и в связи с приходом парторга ЦК (т. Попов) значительно изменилось положение с внедрением деталей в производство.</w:t>
      </w:r>
    </w:p>
    <w:p w14:paraId="114043F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Сейчас директором завода т. Филимончук, совместно с парторганизацией, проверяются на конкретной работе начальники цехов и отделов, производится замена неспособных руководителей (нач. производства Евстигнева и нач. филиала № 2 Каминов).</w:t>
      </w:r>
    </w:p>
    <w:p w14:paraId="697C778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основном подбор руководящих кадров заводом решен (532,163).</w:t>
      </w:r>
    </w:p>
    <w:p w14:paraId="6703631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7FD67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декабря 1940 на аэродроме завода №125 находилось 49 самолетов СБ, принятых военными и 49 самолетов, готовых к приемке. Для ликвидации этого в период ноябрь-январь необходима была организация отдельной базы по отправке. Такой базой стал аэродром ГВФ в Усть-Орде (70 км севернее Иркутска), большой и находящийся вне влияния ангарских туманов, где можно было держать команду обслуживания с заправочными средствами.</w:t>
      </w:r>
    </w:p>
    <w:p w14:paraId="1F8267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Качество самолетов, выпускаемых заводом 125, по оценкам представителей военной приемки, было вполне приемлемым, но культура производства оставалась ниже, чем на заводе №22. По этой причине имели место деформация обшивки крыла по верхнему стрингеру носка крыла (плохая натяжка и клепка обшивки). Остальные дефекты были теми же, что и на машинах завода №22, с той разницей, что устранение этих дефектов на заводе № 125 происходило медленнее, т.к. конструктивные изменения, проведенные заводом №22, поступали в Иркутск с опозданием. Большая часть дефектов конструктивного характера могла бы быть устранена заводом самостоятельно, но этого нельзя было делать без согласования с главным конструктором машины. По отзывам военных, самолеты завода №125 качественны и надежны в эксплуатации, обладали большой маневренностью и легкостью в управлении (12037).</w:t>
      </w:r>
    </w:p>
    <w:p w14:paraId="68D213C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E4D7E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декабря 1940 Филиным подписан ТТТ к ДИС-200 (МиГ-5) АМ-37 (990,4).</w:t>
      </w:r>
    </w:p>
    <w:p w14:paraId="5DFBD49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1176CA4" w14:textId="77777777" w:rsidR="00497E8A" w:rsidRPr="00A3026E" w:rsidRDefault="00497E8A"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конце декабря 1940 Н. Н. По</w:t>
      </w:r>
      <w:r w:rsidRPr="00A3026E">
        <w:rPr>
          <w:color w:val="000000" w:themeColor="text1"/>
          <w:sz w:val="16"/>
          <w:szCs w:val="16"/>
        </w:rPr>
        <w:softHyphen/>
        <w:t>ликарпов встречался с начальником ГУ ВВС КА ге</w:t>
      </w:r>
      <w:r w:rsidRPr="00A3026E">
        <w:rPr>
          <w:color w:val="000000" w:themeColor="text1"/>
          <w:sz w:val="16"/>
          <w:szCs w:val="16"/>
        </w:rPr>
        <w:softHyphen/>
        <w:t>нерал-лейтенантом П. В. Рычаговым. На встрече Поликарпов рассказал об особенностях запроекти</w:t>
      </w:r>
      <w:r w:rsidRPr="00A3026E">
        <w:rPr>
          <w:color w:val="000000" w:themeColor="text1"/>
          <w:sz w:val="16"/>
          <w:szCs w:val="16"/>
        </w:rPr>
        <w:softHyphen/>
        <w:t>рованного им тяжелого истребителя ИТП. Обсужда</w:t>
      </w:r>
      <w:r w:rsidRPr="00A3026E">
        <w:rPr>
          <w:color w:val="000000" w:themeColor="text1"/>
          <w:sz w:val="16"/>
          <w:szCs w:val="16"/>
        </w:rPr>
        <w:softHyphen/>
        <w:t>лись и варианты вооружения самолета, в том числе возможность установки на самолет всего спектра перспективных авиационных автоматов калибра 12,7, 23 и 37 мм конструкции ОКБ-16.</w:t>
      </w:r>
    </w:p>
    <w:p w14:paraId="1AAF8382" w14:textId="77777777" w:rsidR="00497E8A" w:rsidRPr="00A3026E" w:rsidRDefault="00497E8A"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Крупнокалиберный пулемет АП-12,7 и 23-мм пушка ПТБ-23 конструкции Я. Г. Таубина и М. П. Ба</w:t>
      </w:r>
      <w:r w:rsidRPr="00A3026E">
        <w:rPr>
          <w:color w:val="000000" w:themeColor="text1"/>
          <w:sz w:val="16"/>
          <w:szCs w:val="16"/>
        </w:rPr>
        <w:softHyphen/>
        <w:t>бурина считались основными в системе стрелко- во-пушечного вооружения ВВС КА. Большие надеж</w:t>
      </w:r>
      <w:r w:rsidRPr="00A3026E">
        <w:rPr>
          <w:color w:val="000000" w:themeColor="text1"/>
          <w:sz w:val="16"/>
          <w:szCs w:val="16"/>
        </w:rPr>
        <w:softHyphen/>
        <w:t>ды возлагались на пушку БМА-37 калибра 37 мм, которая была легче и компактнее Ш-37. И главное, при стрельбе БМА-37 не откатывалась назад, как Ш-37, что заметно улучшало условия по размеще</w:t>
      </w:r>
      <w:r w:rsidRPr="00A3026E">
        <w:rPr>
          <w:color w:val="000000" w:themeColor="text1"/>
          <w:sz w:val="16"/>
          <w:szCs w:val="16"/>
        </w:rPr>
        <w:softHyphen/>
        <w:t>нию пушки на самолете.</w:t>
      </w:r>
    </w:p>
    <w:p w14:paraId="5A54C0FB" w14:textId="77777777" w:rsidR="00497E8A" w:rsidRPr="00A3026E" w:rsidRDefault="00497E8A"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Надо полагать, результаты беседы Рычагова полностью удовлетворили, поскольку Поликарпов почти сразу же направляет эскизный проект ИТП в НИИ ВВС. Одновременно форсируется работа по достройке макета самолета.</w:t>
      </w:r>
    </w:p>
    <w:p w14:paraId="007C4437" w14:textId="77777777" w:rsidR="00497E8A" w:rsidRPr="00A3026E" w:rsidRDefault="00497E8A"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Отметим, что «Докладную записку к эскизному проекту одноместного одномоторного истребителя с тяжелым пушечным вооружением ИТП», помимо главного конструктора и директора завода № 51 Н. Н. Поликарпова, подписал начальник ОКБ-15 Б. Г. Шпитальный. Он же участвовал и в работе ма</w:t>
      </w:r>
      <w:r w:rsidRPr="00A3026E">
        <w:rPr>
          <w:color w:val="000000" w:themeColor="text1"/>
          <w:sz w:val="16"/>
          <w:szCs w:val="16"/>
        </w:rPr>
        <w:softHyphen/>
        <w:t>кетной комиссии по самолету (17500).</w:t>
      </w:r>
    </w:p>
    <w:p w14:paraId="3A519C17" w14:textId="77777777" w:rsidR="00497E8A" w:rsidRPr="00A3026E" w:rsidRDefault="00497E8A" w:rsidP="00A3026E">
      <w:pPr>
        <w:spacing w:after="0" w:line="240" w:lineRule="auto"/>
        <w:jc w:val="both"/>
        <w:rPr>
          <w:rFonts w:ascii="Times New Roman" w:eastAsia="Times New Roman" w:hAnsi="Times New Roman"/>
          <w:color w:val="000000" w:themeColor="text1"/>
          <w:sz w:val="16"/>
          <w:szCs w:val="16"/>
          <w:lang w:eastAsia="ru-RU"/>
        </w:rPr>
      </w:pPr>
    </w:p>
    <w:p w14:paraId="67DDFB57"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самом конце де</w:t>
      </w:r>
      <w:r w:rsidRPr="00A3026E">
        <w:rPr>
          <w:rFonts w:ascii="Times New Roman" w:hAnsi="Times New Roman"/>
          <w:color w:val="000000" w:themeColor="text1"/>
          <w:sz w:val="16"/>
          <w:szCs w:val="16"/>
        </w:rPr>
        <w:softHyphen/>
        <w:t>кабря 1940 г., на совещании высшего руководящего состава Красной Армии со всей остротой был поставлен вопрос о совершенно недопустимом положении с оснащением ВВС КА скоростными самолётами с мощным пушечным вооружением, эффективных как против бомбардировщиков, так и против танков противника (15828).</w:t>
      </w:r>
    </w:p>
    <w:p w14:paraId="4A002DDE" w14:textId="77777777" w:rsidR="000472A9" w:rsidRPr="00A3026E" w:rsidRDefault="000472A9" w:rsidP="00A3026E">
      <w:pPr>
        <w:spacing w:after="0" w:line="240" w:lineRule="auto"/>
        <w:jc w:val="both"/>
        <w:rPr>
          <w:rFonts w:ascii="Times New Roman" w:hAnsi="Times New Roman"/>
          <w:color w:val="000000" w:themeColor="text1"/>
          <w:sz w:val="16"/>
          <w:szCs w:val="16"/>
        </w:rPr>
      </w:pPr>
    </w:p>
    <w:p w14:paraId="03EC81C2" w14:textId="77777777" w:rsidR="002920FF" w:rsidRPr="00A3026E" w:rsidRDefault="002920FF"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конце декабря 1940 г. АП-12,7 не поступил на полигонные испытания. Тем временем, к 10 января заводы практически завершили разработку технологии изготовления пулемёта, а завод № 74 даже выпустил несколько пробных образцов. Ситуация с готовностью пулемётов АП-12,7 к серийному производству на заводе № 74 описана его бывшим директором, впоследствии — заместителем НКВ В. Н. Новиковым. «… Конструктор Таубин сумел побывать на приёме у Маленкова, потом и у Сталина и много им наобещал. Мол, конструктора Березин, Шпитальный, Волков с Ярцевым пытаются создать новый пулемёт. Но я такой пулемёт сделаю в 2 раза более скорострельный и вдвое легче, чем сделают они. […] Маленков и Сталин поверили Таубину. Прошло месяцев 7–8. Меня Ванников затащил на завод и заставил делать пулемёт этого Таубина […]. Наш пулемёт был совершенно сырой. Вот только тогда мне признался Нудельман — заместитель Таубина, что тот его не сделал даже в деревянном макете. Просто подготовил чертежи и сунул на завод. А я удивлялся, почему не едет конструктор, в чём дело? Приехал на завод Ванников […], заместитель начальника Управления ВВС генерал Сакриер. При них я должен был отстрелять этот пулемёт Таубина. Я из 5 пулемётов отстрелял по 5 штук, все они отработали. […] При второй очереди все эти пулемёты развалились. Буквально всё. У одного затвор, у другого защёлка и т.д. […]» (6). Здесь началась знакомая по МП-6 история — ОКБ-16 стало дорабатывать пулемёт в процессе организации его производства, внося существенные изменения в конструкцию многих деталей и узлов. В итоге в установленный срок производство АП-12,7 не началось (19195).</w:t>
      </w:r>
    </w:p>
    <w:p w14:paraId="233A965E" w14:textId="77777777" w:rsidR="002920FF" w:rsidRPr="00A3026E" w:rsidRDefault="002920FF"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19A7520B"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430324D2"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6AA868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конце декабря 1940 макетной комиссией был рассмотрен проект и деревянный макет Т-50 СК-2 ЛКЗ и также решили изготовить образец (9527,67).</w:t>
      </w:r>
    </w:p>
    <w:p w14:paraId="59B62DE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D0C189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декабря 1940 свой вариант Т-50 представило СКБ-2 ЛКЗ. Их проект во многом напоминал машину завода № 174. Главные козыри, на которые ставили «кировцы», -проработка конструкции цельнолитого корпуса, что сделало бы машину очень дешевой в серии, а также подковообраз</w:t>
      </w:r>
      <w:r w:rsidRPr="00A3026E">
        <w:rPr>
          <w:rFonts w:ascii="Times New Roman" w:hAnsi="Times New Roman"/>
          <w:color w:val="000000" w:themeColor="text1"/>
          <w:sz w:val="16"/>
          <w:szCs w:val="16"/>
        </w:rPr>
        <w:softHyphen/>
        <w:t>ный радиатор, позволяющий вкупе с вентилятором, вращаю</w:t>
      </w:r>
      <w:r w:rsidRPr="00A3026E">
        <w:rPr>
          <w:rFonts w:ascii="Times New Roman" w:hAnsi="Times New Roman"/>
          <w:color w:val="000000" w:themeColor="text1"/>
          <w:sz w:val="16"/>
          <w:szCs w:val="16"/>
        </w:rPr>
        <w:softHyphen/>
        <w:t>щимся в плоскости «подковы», сделать систему охлаждения очень компактной и высокоэффективной. Таким образом, их танк также получил «высочайшее благословение» (10782).</w:t>
      </w:r>
    </w:p>
    <w:p w14:paraId="1419182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5C53131E" w14:textId="77777777" w:rsidR="00D702E0" w:rsidRPr="00A3026E" w:rsidRDefault="00D702E0"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В самом конце декабря 1940 года закончилась сборка двух образцов Т-50, а на испытания их предъявили 12 января 1941 года. Казалось бы, всё идет по плану, но реальность оказалась не самой приятной. Машина оказалась сырой, в частности, наблюдался перегрев масла в коробке передач, а траки начинали рваться спустя 300-400 километров пробега. В результате 17 февраля 1941 года испытания Т-50 прекратили. С завода №174 потребовали устранения дефектов, что, естественно, влияло на сроки запуска машины в серию (21068).</w:t>
      </w:r>
    </w:p>
    <w:p w14:paraId="7A113E03" w14:textId="77777777" w:rsidR="00D702E0" w:rsidRPr="00A3026E" w:rsidRDefault="00D702E0" w:rsidP="00A3026E">
      <w:pPr>
        <w:pStyle w:val="article-renderblock"/>
        <w:shd w:val="clear" w:color="auto" w:fill="FFFFFF"/>
        <w:spacing w:before="0" w:beforeAutospacing="0" w:after="0" w:afterAutospacing="0"/>
        <w:jc w:val="both"/>
        <w:rPr>
          <w:color w:val="0070C0"/>
          <w:sz w:val="16"/>
          <w:szCs w:val="16"/>
        </w:rPr>
      </w:pPr>
    </w:p>
    <w:p w14:paraId="21BF5C58" w14:textId="77777777" w:rsidR="0014077F" w:rsidRPr="00A3026E" w:rsidRDefault="0014077F" w:rsidP="00A3026E">
      <w:pPr>
        <w:pStyle w:val="a3"/>
        <w:rPr>
          <w:color w:val="000000" w:themeColor="text1"/>
          <w:lang w:val="ru-RU"/>
        </w:rPr>
      </w:pPr>
      <w:r w:rsidRPr="00A3026E">
        <w:rPr>
          <w:color w:val="000000" w:themeColor="text1"/>
          <w:lang w:val="ru-RU"/>
        </w:rPr>
        <w:t>В конце декабря 1940 г. военные рассмо</w:t>
      </w:r>
      <w:r w:rsidRPr="00A3026E">
        <w:rPr>
          <w:color w:val="000000" w:themeColor="text1"/>
          <w:lang w:val="ru-RU"/>
        </w:rPr>
        <w:softHyphen/>
        <w:t>трели деревянный макет танка «Объект 211» конструкции ЛКЗ и приняли решение об изго</w:t>
      </w:r>
      <w:r w:rsidRPr="00A3026E">
        <w:rPr>
          <w:color w:val="000000" w:themeColor="text1"/>
          <w:lang w:val="ru-RU"/>
        </w:rPr>
        <w:softHyphen/>
        <w:t>товлении опытного образца. Ведущим кон</w:t>
      </w:r>
      <w:r w:rsidRPr="00A3026E">
        <w:rPr>
          <w:color w:val="000000" w:themeColor="text1"/>
          <w:lang w:val="ru-RU"/>
        </w:rPr>
        <w:softHyphen/>
        <w:t>структором танка был А.С. Ермолаев, боевое отделение проектировал Г.Н. Москвин.</w:t>
      </w:r>
    </w:p>
    <w:p w14:paraId="454651D8" w14:textId="77777777" w:rsidR="0014077F" w:rsidRPr="00A3026E" w:rsidRDefault="0014077F" w:rsidP="00A3026E">
      <w:pPr>
        <w:pStyle w:val="a3"/>
        <w:rPr>
          <w:color w:val="000000" w:themeColor="text1"/>
          <w:lang w:val="ru-RU"/>
        </w:rPr>
      </w:pPr>
      <w:r w:rsidRPr="00A3026E">
        <w:rPr>
          <w:color w:val="000000" w:themeColor="text1"/>
          <w:lang w:val="ru-RU"/>
        </w:rPr>
        <w:t xml:space="preserve">Конфигурация корпуса и башни танков двух заводов значительно различалась. Если у танка завода </w:t>
      </w:r>
      <w:r w:rsidRPr="00A3026E">
        <w:rPr>
          <w:color w:val="000000" w:themeColor="text1"/>
        </w:rPr>
        <w:t>N</w:t>
      </w:r>
      <w:r w:rsidRPr="00A3026E">
        <w:rPr>
          <w:color w:val="000000" w:themeColor="text1"/>
          <w:lang w:val="ru-RU"/>
        </w:rPr>
        <w:t xml:space="preserve"> 174 листы брони корпуса распола</w:t>
      </w:r>
      <w:r w:rsidRPr="00A3026E">
        <w:rPr>
          <w:color w:val="000000" w:themeColor="text1"/>
          <w:lang w:val="ru-RU"/>
        </w:rPr>
        <w:softHyphen/>
        <w:t>гались под большими углами, наклонно (напо</w:t>
      </w:r>
      <w:r w:rsidRPr="00A3026E">
        <w:rPr>
          <w:color w:val="000000" w:themeColor="text1"/>
          <w:lang w:val="ru-RU"/>
        </w:rPr>
        <w:softHyphen/>
        <w:t>добие бронезащиты Т-34), то в варианте ЛКЗ повторялись решения лобовой части танка КВ. Посадка механика-водителя в танк «Объект 211» осуществлялась через люк в башне. Перед</w:t>
      </w:r>
      <w:r w:rsidRPr="00A3026E">
        <w:rPr>
          <w:color w:val="000000" w:themeColor="text1"/>
          <w:lang w:val="ru-RU"/>
        </w:rPr>
        <w:softHyphen/>
        <w:t>няя часть корпуса в зоне рубки водителя была сужена. В задней части сварной башни была установлена командирская башенка со смотро</w:t>
      </w:r>
      <w:r w:rsidRPr="00A3026E">
        <w:rPr>
          <w:color w:val="000000" w:themeColor="text1"/>
          <w:lang w:val="ru-RU"/>
        </w:rPr>
        <w:softHyphen/>
        <w:t>выми щелями кругового обзора. Для ведения огня использовались перископический и телескопический прицелы. Вооружение — танковая пушка калибра 45 мм, с которой были спарены два 7,62-мм пулемета Дегтярева. Механизмы наводки — механические, ручные (12619).</w:t>
      </w:r>
    </w:p>
    <w:p w14:paraId="35BE95F3" w14:textId="77777777" w:rsidR="0014077F" w:rsidRPr="00A3026E" w:rsidRDefault="0014077F" w:rsidP="00A3026E">
      <w:pPr>
        <w:pStyle w:val="a3"/>
        <w:rPr>
          <w:color w:val="000000" w:themeColor="text1"/>
          <w:lang w:val="ru-RU"/>
        </w:rPr>
      </w:pPr>
    </w:p>
    <w:p w14:paraId="6B8B53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Последние дни 1940 г. ознаменовались тем, что в акаде</w:t>
      </w:r>
      <w:r w:rsidRPr="00A3026E">
        <w:rPr>
          <w:rFonts w:ascii="Times New Roman" w:hAnsi="Times New Roman"/>
          <w:color w:val="000000" w:themeColor="text1"/>
          <w:sz w:val="16"/>
          <w:szCs w:val="16"/>
        </w:rPr>
        <w:softHyphen/>
        <w:t>мии ВАММ РККА по заданию начальника АБТУ Д. Павло</w:t>
      </w:r>
      <w:r w:rsidRPr="00A3026E">
        <w:rPr>
          <w:rFonts w:ascii="Times New Roman" w:hAnsi="Times New Roman"/>
          <w:color w:val="000000" w:themeColor="text1"/>
          <w:sz w:val="16"/>
          <w:szCs w:val="16"/>
        </w:rPr>
        <w:softHyphen/>
        <w:t>ва были выполнены три проекта планетарной трансмиссии для Т-34. Установка этой трансмиссии позволяла, по расче</w:t>
      </w:r>
      <w:r w:rsidRPr="00A3026E">
        <w:rPr>
          <w:rFonts w:ascii="Times New Roman" w:hAnsi="Times New Roman"/>
          <w:color w:val="000000" w:themeColor="text1"/>
          <w:sz w:val="16"/>
          <w:szCs w:val="16"/>
        </w:rPr>
        <w:softHyphen/>
        <w:t>там, увеличить среднетехническую скорость движения тан</w:t>
      </w:r>
      <w:r w:rsidRPr="00A3026E">
        <w:rPr>
          <w:rFonts w:ascii="Times New Roman" w:hAnsi="Times New Roman"/>
          <w:color w:val="000000" w:themeColor="text1"/>
          <w:sz w:val="16"/>
          <w:szCs w:val="16"/>
        </w:rPr>
        <w:softHyphen/>
        <w:t>ка по пересеченной местности на 5-7 км/ч, преодолевать подъемы с углом возвышения в 45°, увеличить поворотли</w:t>
      </w:r>
      <w:r w:rsidRPr="00A3026E">
        <w:rPr>
          <w:rFonts w:ascii="Times New Roman" w:hAnsi="Times New Roman"/>
          <w:color w:val="000000" w:themeColor="text1"/>
          <w:sz w:val="16"/>
          <w:szCs w:val="16"/>
        </w:rPr>
        <w:softHyphen/>
        <w:t>вость танка, особенно на мягком грунте, и резко снизить сложность управления танком (10782).</w:t>
      </w:r>
    </w:p>
    <w:p w14:paraId="5B1DDF5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40CF494"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декабря 1940 г. после ознакомления Я.Н. Федоренко с докладом И.Г. Панова, в ГАБТУ были подготовлены письмо на имя председателя Комитета обороны при СНК СССР К.Е. Ворошилова и проект постановления Комитета обороны «О переходе на производство танков Т-34 с торсионной подвеской». Это письмо, подписанное заместителем народного комиссара обороны Г.И. Куликом и зарегистрированное под № 18239сс, вместе с проектом постановления 30 декабря 1940 г. были отправлены в Комитет обороны при СНК СССР. В </w:t>
      </w:r>
      <w:hyperlink r:id="rId179" w:tgtFrame="_blank" w:history="1">
        <w:r w:rsidRPr="00A3026E">
          <w:rPr>
            <w:rStyle w:val="a5"/>
            <w:rFonts w:ascii="Times New Roman" w:hAnsi="Times New Roman"/>
            <w:color w:val="000000" w:themeColor="text1"/>
            <w:sz w:val="16"/>
            <w:szCs w:val="16"/>
          </w:rPr>
          <w:t>письме № 18239сс</w:t>
        </w:r>
      </w:hyperlink>
      <w:r w:rsidRPr="00A3026E">
        <w:rPr>
          <w:rFonts w:ascii="Times New Roman" w:hAnsi="Times New Roman"/>
          <w:color w:val="000000" w:themeColor="text1"/>
          <w:sz w:val="16"/>
          <w:szCs w:val="16"/>
        </w:rPr>
        <w:t> подробно излагались все достоинства торсионной подвески по сравнению с пружинной, а также указывалось, почему необходимо было увеличить диаметр шариковой опоры башни танка Т-34. Заканчивалось письмо следующими словами: </w:t>
      </w:r>
    </w:p>
    <w:p w14:paraId="200F968D"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улучшения боевых качеств танка Т-34 прошу обязать НКСМ (завод № 183) изготовить к 1.4-41 г. два опытных танка с торсионной подвеской, расширенным погоном башни, установкой на ней командирской башенки с круговым обзором и повышенной боевой скоростью. </w:t>
      </w:r>
    </w:p>
    <w:p w14:paraId="110F6F53"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постановления представляю и прошу утвердить».</w:t>
      </w:r>
    </w:p>
    <w:p w14:paraId="182E7D4D"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41. Л. 102]</w:t>
      </w:r>
    </w:p>
    <w:p w14:paraId="4A89A4A6"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приложенном к письму проекте постановления Комитета обороны предлагалось обязать завод № 183 изготовить к 1 апреля 1941 г. два опытных образца танка Т-34 со следующими дополнениями: </w:t>
      </w:r>
    </w:p>
    <w:p w14:paraId="1D7E5E8E"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Устанавливаемую пружинную подвеску танка Т-34 заменить индивидуальной торсионной. </w:t>
      </w:r>
    </w:p>
    <w:p w14:paraId="13FE36CB"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Поддерживающие катки ходовой части танка заменить катками с внутренней амортизацией. </w:t>
      </w:r>
    </w:p>
    <w:p w14:paraId="1A88CEFC"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Погон башни расширить в свету до диаметра 1600 мм, защитив от заклинивания и пропуска свинцовых брызг внутрь танка. </w:t>
      </w:r>
    </w:p>
    <w:p w14:paraId="0D7946BB"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Установить на основную башню командирскую смотровую башенку с круговым обзором и мертвым пространством видимости не более 10 метров. </w:t>
      </w:r>
    </w:p>
    <w:p w14:paraId="009B3BB8"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Экипаж танка 5 человек, из них: три в башне танка (командир, артиллерист [наводчик], заряжающий) и два в носовой части танка (водитель, радист). </w:t>
      </w:r>
    </w:p>
    <w:p w14:paraId="5E4EB5C4"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Максимальная скорость танка 65 – 70 км/час </w:t>
      </w:r>
    </w:p>
    <w:p w14:paraId="0CA01BB1"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Двигатель установить В-5 с мощностью 600 л.с. (модернизированный В-2-К). </w:t>
      </w:r>
    </w:p>
    <w:p w14:paraId="7552FB10"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Остальные данные тактико-технической характеристики танка Т-34, остаются в силе согласно Постановления КО № 428 от 19.XI-40 г. </w:t>
      </w:r>
    </w:p>
    <w:p w14:paraId="0B7683A3"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Заводские испытания провести к 1.4.41 года. На полигонные испытания НКО предъявить 1.5.41 г. </w:t>
      </w:r>
    </w:p>
    <w:p w14:paraId="5CA4AA34"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НКСМ и НКО к 1.7.41 г. представить в КО свои предложения о серийном производстве усовершенствованного танка Т-34. </w:t>
      </w:r>
    </w:p>
    <w:p w14:paraId="34226A41"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Обязать НКС промышленности Союза ССР (Мариупольский завод) изготовить по чертежам завода № 183 к 1.2.41 г. бронедетали на два опытных корпуса с башнями».</w:t>
      </w:r>
    </w:p>
    <w:p w14:paraId="2752FF87"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41. Л. 103] (18306)</w:t>
      </w:r>
    </w:p>
    <w:p w14:paraId="3621B58F" w14:textId="77777777" w:rsidR="002920FF" w:rsidRPr="00A3026E" w:rsidRDefault="002920F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 письмо, подписанное заместителем народного комиссара обороны Г.И. Куликом и зарегистрированное под № 18239сс, вместе с проектом постановления (18306).</w:t>
      </w:r>
    </w:p>
    <w:p w14:paraId="463F0EC8" w14:textId="77777777" w:rsidR="002920FF" w:rsidRPr="00A3026E" w:rsidRDefault="002920FF" w:rsidP="00A3026E">
      <w:pPr>
        <w:spacing w:after="0" w:line="240" w:lineRule="auto"/>
        <w:jc w:val="both"/>
        <w:rPr>
          <w:rFonts w:ascii="Times New Roman" w:hAnsi="Times New Roman"/>
          <w:color w:val="000000" w:themeColor="text1"/>
          <w:sz w:val="16"/>
          <w:szCs w:val="16"/>
        </w:rPr>
      </w:pPr>
    </w:p>
    <w:p w14:paraId="7C26F4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декабря 1940 г. были утверждены результаты испытаний полугусеничных автомобилей. Рекомендовалось после доработки принять на снабжение Красной Ар</w:t>
      </w:r>
      <w:r w:rsidRPr="00A3026E">
        <w:rPr>
          <w:rFonts w:ascii="Times New Roman" w:hAnsi="Times New Roman"/>
          <w:color w:val="000000" w:themeColor="text1"/>
          <w:sz w:val="16"/>
          <w:szCs w:val="16"/>
        </w:rPr>
        <w:softHyphen/>
        <w:t>мии полугусеничный автомобиль ЗИС-22-52 и колесный полноприводный автомобиль ЗИС-Э2Р.</w:t>
      </w:r>
    </w:p>
    <w:p w14:paraId="7D86AC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1941 г. военные решили заказать 2000 вездеходов ЗИС-22-52. Доработанный для серии ЗИС-22-52 назвали ЗИС-22М. Зимой 1940-1941 гг. прошли испытания прототипа, а летом 1941 г. были организованы полигонные испытания эталона для серии</w:t>
      </w:r>
    </w:p>
    <w:p w14:paraId="329D47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сентябре 1940 г. на государственные испытания были представлены опытные полноприводные автомобили ЗИС-32, новые варианты ЗИС-22 и автомобили с приспосо</w:t>
      </w:r>
      <w:r w:rsidRPr="00A3026E">
        <w:rPr>
          <w:rFonts w:ascii="Times New Roman" w:hAnsi="Times New Roman"/>
          <w:color w:val="000000" w:themeColor="text1"/>
          <w:sz w:val="16"/>
          <w:szCs w:val="16"/>
        </w:rPr>
        <w:softHyphen/>
        <w:t>блением повышения проходимости ЗИС-35. Параллельно, с целью сравнения машин по проходимости и экономике, испытывались серийные ЗИС-22, ЗИС-5 с цепями Гаянт и ЗИС-6 с цепями Оверрол.</w:t>
      </w:r>
    </w:p>
    <w:p w14:paraId="56D9EF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испытаний общий километраж про</w:t>
      </w:r>
      <w:r w:rsidRPr="00A3026E">
        <w:rPr>
          <w:rFonts w:ascii="Times New Roman" w:hAnsi="Times New Roman"/>
          <w:color w:val="000000" w:themeColor="text1"/>
          <w:sz w:val="16"/>
          <w:szCs w:val="16"/>
        </w:rPr>
        <w:softHyphen/>
        <w:t>бега устанавливался в 2000 км (1000 км - по проселку, 600 км - по шоссе смешанного типа, 350 км - по бездорожью, 50 км - по болотам и топким грунтам). Предполагалось первона</w:t>
      </w:r>
      <w:r w:rsidRPr="00A3026E">
        <w:rPr>
          <w:rFonts w:ascii="Times New Roman" w:hAnsi="Times New Roman"/>
          <w:color w:val="000000" w:themeColor="text1"/>
          <w:sz w:val="16"/>
          <w:szCs w:val="16"/>
        </w:rPr>
        <w:softHyphen/>
        <w:t>чально загружать автомобиль 2500 кг груза, но фактически ЗИСы были нагружены 2000 кг, а именно -</w:t>
      </w:r>
      <w:r w:rsidRPr="00A3026E">
        <w:rPr>
          <w:rStyle w:val="aff6"/>
          <w:rFonts w:ascii="Times New Roman" w:hAnsi="Times New Roman" w:cs="Times New Roman"/>
          <w:i w:val="0"/>
          <w:color w:val="000000" w:themeColor="text1"/>
        </w:rPr>
        <w:t xml:space="preserve"> «чугунными чушками с равномерной укладкой их по всей площади грузовой плат</w:t>
      </w:r>
      <w:r w:rsidRPr="00A3026E">
        <w:rPr>
          <w:rStyle w:val="aff6"/>
          <w:rFonts w:ascii="Times New Roman" w:hAnsi="Times New Roman" w:cs="Times New Roman"/>
          <w:i w:val="0"/>
          <w:color w:val="000000" w:themeColor="text1"/>
        </w:rPr>
        <w:softHyphen/>
        <w:t>формы».</w:t>
      </w:r>
      <w:r w:rsidRPr="00A3026E">
        <w:rPr>
          <w:rFonts w:ascii="Times New Roman" w:hAnsi="Times New Roman"/>
          <w:color w:val="000000" w:themeColor="text1"/>
          <w:sz w:val="16"/>
          <w:szCs w:val="16"/>
        </w:rPr>
        <w:t xml:space="preserve"> На испытаниях</w:t>
      </w:r>
      <w:r w:rsidRPr="00A3026E">
        <w:rPr>
          <w:rStyle w:val="aff6"/>
          <w:rFonts w:ascii="Times New Roman" w:hAnsi="Times New Roman" w:cs="Times New Roman"/>
          <w:i w:val="0"/>
          <w:color w:val="000000" w:themeColor="text1"/>
        </w:rPr>
        <w:t xml:space="preserve"> «буксировка аварийных машин, а также вытаскивание засевших в грязи, производились испытуемыми автомобилями и главным образом полугусеничным ЗИС-22-50».</w:t>
      </w:r>
    </w:p>
    <w:p w14:paraId="01B5A24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новых модификациях ЗИС-22 говорилось следующее:</w:t>
      </w:r>
    </w:p>
    <w:p w14:paraId="301FCA6C" w14:textId="77777777" w:rsidR="0014077F" w:rsidRPr="00A3026E" w:rsidRDefault="0014077F"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«При проектировании автомобиля ЗИС-22-50 ставилось задачей перевести ав</w:t>
      </w:r>
      <w:r w:rsidRPr="00A3026E">
        <w:rPr>
          <w:rFonts w:ascii="Times New Roman" w:cs="Times New Roman"/>
          <w:color w:val="000000" w:themeColor="text1"/>
          <w:spacing w:val="0"/>
          <w:sz w:val="16"/>
          <w:szCs w:val="16"/>
        </w:rPr>
        <w:softHyphen/>
        <w:t>томобиль ЗИС-22 с фрикционного сцепления гусеницы с ведущими колесами на принуди</w:t>
      </w:r>
      <w:r w:rsidRPr="00A3026E">
        <w:rPr>
          <w:rFonts w:ascii="Times New Roman" w:cs="Times New Roman"/>
          <w:color w:val="000000" w:themeColor="text1"/>
          <w:spacing w:val="0"/>
          <w:sz w:val="16"/>
          <w:szCs w:val="16"/>
        </w:rPr>
        <w:softHyphen/>
        <w:t>тельное зацепление, также была проведена работа по усилению и конструктивной пере</w:t>
      </w:r>
      <w:r w:rsidRPr="00A3026E">
        <w:rPr>
          <w:rFonts w:ascii="Times New Roman" w:cs="Times New Roman"/>
          <w:color w:val="000000" w:themeColor="text1"/>
          <w:spacing w:val="0"/>
          <w:sz w:val="16"/>
          <w:szCs w:val="16"/>
        </w:rPr>
        <w:softHyphen/>
        <w:t>работке некоторых узлов движителя.</w:t>
      </w:r>
    </w:p>
    <w:p w14:paraId="4EA56D66" w14:textId="77777777" w:rsidR="0014077F" w:rsidRPr="00A3026E" w:rsidRDefault="0014077F"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Эти переработки были связаны с необхо</w:t>
      </w:r>
      <w:r w:rsidRPr="00A3026E">
        <w:rPr>
          <w:rFonts w:ascii="Times New Roman" w:cs="Times New Roman"/>
          <w:color w:val="000000" w:themeColor="text1"/>
          <w:spacing w:val="0"/>
          <w:sz w:val="16"/>
          <w:szCs w:val="16"/>
        </w:rPr>
        <w:softHyphen/>
        <w:t>димостью согласовать агрегаты движителя с новыми условиями работы и возможным упрощением эксплуатационного ухода за ма</w:t>
      </w:r>
      <w:r w:rsidRPr="00A3026E">
        <w:rPr>
          <w:rFonts w:ascii="Times New Roman" w:cs="Times New Roman"/>
          <w:color w:val="000000" w:themeColor="text1"/>
          <w:spacing w:val="0"/>
          <w:sz w:val="16"/>
          <w:szCs w:val="16"/>
        </w:rPr>
        <w:softHyphen/>
        <w:t>шиной».</w:t>
      </w:r>
    </w:p>
    <w:p w14:paraId="3B62BC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этим в конструкцию ЗИС-22 внес</w:t>
      </w:r>
      <w:r w:rsidRPr="00A3026E">
        <w:rPr>
          <w:rFonts w:ascii="Times New Roman" w:hAnsi="Times New Roman"/>
          <w:color w:val="000000" w:themeColor="text1"/>
          <w:sz w:val="16"/>
          <w:szCs w:val="16"/>
        </w:rPr>
        <w:softHyphen/>
        <w:t>ли ряд принципиальных изменений:</w:t>
      </w:r>
    </w:p>
    <w:p w14:paraId="55E8F0B3" w14:textId="77777777" w:rsidR="0014077F" w:rsidRPr="00A3026E" w:rsidRDefault="0014077F"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«1. Привод цепью осуществлен только на переднее колесо движителя (в связи с чем были устранены промежуточные дифференциалы).</w:t>
      </w:r>
    </w:p>
    <w:p w14:paraId="6466DDB0" w14:textId="77777777" w:rsidR="0014077F" w:rsidRPr="00A3026E" w:rsidRDefault="0014077F" w:rsidP="00A3026E">
      <w:pPr>
        <w:pStyle w:val="7"/>
        <w:shd w:val="clear" w:color="auto" w:fill="auto"/>
        <w:tabs>
          <w:tab w:val="left" w:pos="495"/>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2. Рамка движителя переконструирована. Изменена форма и боковые стороны усилены.</w:t>
      </w:r>
    </w:p>
    <w:p w14:paraId="5953A0E5" w14:textId="77777777" w:rsidR="0014077F" w:rsidRPr="00A3026E" w:rsidRDefault="0014077F" w:rsidP="00A3026E">
      <w:pPr>
        <w:pStyle w:val="7"/>
        <w:shd w:val="clear" w:color="auto" w:fill="auto"/>
        <w:tabs>
          <w:tab w:val="left" w:pos="476"/>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3. Введены тормоза в движитель (на осно</w:t>
      </w:r>
      <w:r w:rsidRPr="00A3026E">
        <w:rPr>
          <w:rFonts w:ascii="Times New Roman" w:cs="Times New Roman"/>
          <w:color w:val="000000" w:themeColor="text1"/>
          <w:spacing w:val="0"/>
          <w:sz w:val="16"/>
          <w:szCs w:val="16"/>
        </w:rPr>
        <w:softHyphen/>
        <w:t>ве передних тормозов ЗИС-5).</w:t>
      </w:r>
    </w:p>
    <w:p w14:paraId="785069F9" w14:textId="77777777" w:rsidR="0014077F" w:rsidRPr="00A3026E" w:rsidRDefault="0014077F" w:rsidP="00A3026E">
      <w:pPr>
        <w:pStyle w:val="7"/>
        <w:shd w:val="clear" w:color="auto" w:fill="auto"/>
        <w:tabs>
          <w:tab w:val="left" w:pos="577"/>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4. Переконструированы задние колеса движителя, которые в новой конструкции вы</w:t>
      </w:r>
      <w:r w:rsidRPr="00A3026E">
        <w:rPr>
          <w:rFonts w:ascii="Times New Roman" w:cs="Times New Roman"/>
          <w:color w:val="000000" w:themeColor="text1"/>
          <w:spacing w:val="0"/>
          <w:sz w:val="16"/>
          <w:szCs w:val="16"/>
        </w:rPr>
        <w:softHyphen/>
        <w:t>полняют роль ленивца и служат для регулиров</w:t>
      </w:r>
      <w:r w:rsidRPr="00A3026E">
        <w:rPr>
          <w:rFonts w:ascii="Times New Roman" w:cs="Times New Roman"/>
          <w:color w:val="000000" w:themeColor="text1"/>
          <w:spacing w:val="0"/>
          <w:sz w:val="16"/>
          <w:szCs w:val="16"/>
        </w:rPr>
        <w:softHyphen/>
        <w:t>ки натяжения гусеницы.</w:t>
      </w:r>
    </w:p>
    <w:p w14:paraId="3FFE6E2B" w14:textId="77777777" w:rsidR="0014077F" w:rsidRPr="00A3026E" w:rsidRDefault="0014077F" w:rsidP="00A3026E">
      <w:pPr>
        <w:pStyle w:val="7"/>
        <w:shd w:val="clear" w:color="auto" w:fill="auto"/>
        <w:tabs>
          <w:tab w:val="left" w:pos="490"/>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5. Ведущие зубчатки расположены между обрезиненными поддерживающими скатами. В самих колесах размещены тормоза.</w:t>
      </w:r>
    </w:p>
    <w:p w14:paraId="1ED53314" w14:textId="77777777" w:rsidR="0014077F" w:rsidRPr="00A3026E" w:rsidRDefault="0014077F" w:rsidP="00A3026E">
      <w:pPr>
        <w:pStyle w:val="7"/>
        <w:shd w:val="clear" w:color="auto" w:fill="auto"/>
        <w:tabs>
          <w:tab w:val="left" w:pos="500"/>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6. Регулировка натяжения цепи осущест</w:t>
      </w:r>
      <w:r w:rsidRPr="00A3026E">
        <w:rPr>
          <w:rFonts w:ascii="Times New Roman" w:cs="Times New Roman"/>
          <w:color w:val="000000" w:themeColor="text1"/>
          <w:spacing w:val="0"/>
          <w:sz w:val="16"/>
          <w:szCs w:val="16"/>
        </w:rPr>
        <w:softHyphen/>
        <w:t>вляется специальным приспособлением пере</w:t>
      </w:r>
      <w:r w:rsidRPr="00A3026E">
        <w:rPr>
          <w:rFonts w:ascii="Times New Roman" w:cs="Times New Roman"/>
          <w:color w:val="000000" w:themeColor="text1"/>
          <w:spacing w:val="0"/>
          <w:sz w:val="16"/>
          <w:szCs w:val="16"/>
        </w:rPr>
        <w:softHyphen/>
        <w:t>мещающим двумя винтами каждое переднее колесо.</w:t>
      </w:r>
    </w:p>
    <w:p w14:paraId="7415365E" w14:textId="77777777" w:rsidR="0014077F" w:rsidRPr="00A3026E" w:rsidRDefault="0014077F" w:rsidP="00A3026E">
      <w:pPr>
        <w:pStyle w:val="7"/>
        <w:shd w:val="clear" w:color="auto" w:fill="auto"/>
        <w:tabs>
          <w:tab w:val="left" w:pos="529"/>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7. Поддерживающий верхнюю ветвь гу</w:t>
      </w:r>
      <w:r w:rsidRPr="00A3026E">
        <w:rPr>
          <w:rFonts w:ascii="Times New Roman" w:cs="Times New Roman"/>
          <w:color w:val="000000" w:themeColor="text1"/>
          <w:spacing w:val="0"/>
          <w:sz w:val="16"/>
          <w:szCs w:val="16"/>
        </w:rPr>
        <w:softHyphen/>
        <w:t>сеницы каток удерживается на рамке в двух вильчатых кронштейнах.</w:t>
      </w:r>
    </w:p>
    <w:p w14:paraId="6CD3A583" w14:textId="77777777" w:rsidR="0014077F" w:rsidRPr="00A3026E" w:rsidRDefault="0014077F"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Эксцентриковые опоры поддерживающего катка устранены.</w:t>
      </w:r>
    </w:p>
    <w:p w14:paraId="0E818C0D" w14:textId="77777777" w:rsidR="0014077F" w:rsidRPr="00A3026E" w:rsidRDefault="0014077F"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Резинометаллические гусеницы зубчаткой передних колес движителя принудительно приводятся в движение, зацепление гусеницы цевочное.</w:t>
      </w:r>
    </w:p>
    <w:p w14:paraId="1AE69323" w14:textId="77777777" w:rsidR="0014077F" w:rsidRPr="00A3026E" w:rsidRDefault="0014077F"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Звено гусеницы состоит из стальной пли</w:t>
      </w:r>
      <w:r w:rsidRPr="00A3026E">
        <w:rPr>
          <w:rFonts w:ascii="Times New Roman" w:cs="Times New Roman"/>
          <w:color w:val="000000" w:themeColor="text1"/>
          <w:spacing w:val="0"/>
          <w:sz w:val="16"/>
          <w:szCs w:val="16"/>
        </w:rPr>
        <w:softHyphen/>
        <w:t>цы, имеющей на одном конце два желобка в которые закладываются резиновые прокладки. Другой конец загнут крючкообразно и заце</w:t>
      </w:r>
      <w:r w:rsidRPr="00A3026E">
        <w:rPr>
          <w:rFonts w:ascii="Times New Roman" w:cs="Times New Roman"/>
          <w:color w:val="000000" w:themeColor="text1"/>
          <w:spacing w:val="0"/>
          <w:sz w:val="16"/>
          <w:szCs w:val="16"/>
        </w:rPr>
        <w:softHyphen/>
        <w:t>пляется в желобки с резиновыми прокладками следующего звена.</w:t>
      </w:r>
    </w:p>
    <w:p w14:paraId="1AA752F9" w14:textId="77777777" w:rsidR="0014077F" w:rsidRPr="00A3026E" w:rsidRDefault="0014077F"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Для лучшего сцепления с поверхностью дороги и амортизации, а также и для того чтобы звенья не расцеплялись, по наружной поверхности гусеницы крепятся болтами рези</w:t>
      </w:r>
      <w:r w:rsidRPr="00A3026E">
        <w:rPr>
          <w:rFonts w:ascii="Times New Roman" w:cs="Times New Roman"/>
          <w:color w:val="000000" w:themeColor="text1"/>
          <w:spacing w:val="0"/>
          <w:sz w:val="16"/>
          <w:szCs w:val="16"/>
        </w:rPr>
        <w:softHyphen/>
        <w:t>новые башмаки 2 шт. на каждое звено.</w:t>
      </w:r>
    </w:p>
    <w:p w14:paraId="2026E935" w14:textId="77777777" w:rsidR="0014077F" w:rsidRPr="00A3026E" w:rsidRDefault="0014077F"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На плицах имеются зубья-реборды, кото</w:t>
      </w:r>
      <w:r w:rsidRPr="00A3026E">
        <w:rPr>
          <w:rFonts w:ascii="Times New Roman" w:cs="Times New Roman"/>
          <w:color w:val="000000" w:themeColor="text1"/>
          <w:spacing w:val="0"/>
          <w:sz w:val="16"/>
          <w:szCs w:val="16"/>
        </w:rPr>
        <w:softHyphen/>
        <w:t>рые удерживают гусеницы от спадания с дви</w:t>
      </w:r>
      <w:r w:rsidRPr="00A3026E">
        <w:rPr>
          <w:rFonts w:ascii="Times New Roman" w:cs="Times New Roman"/>
          <w:color w:val="000000" w:themeColor="text1"/>
          <w:spacing w:val="0"/>
          <w:sz w:val="16"/>
          <w:szCs w:val="16"/>
        </w:rPr>
        <w:softHyphen/>
        <w:t>жителя. Шестерни и цепь Галля «движителя» закрыты общим кожухом».</w:t>
      </w:r>
    </w:p>
    <w:p w14:paraId="0FCD6C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вездехода ЗИС-22-52 от</w:t>
      </w:r>
      <w:r w:rsidRPr="00A3026E">
        <w:rPr>
          <w:rFonts w:ascii="Times New Roman" w:hAnsi="Times New Roman"/>
          <w:color w:val="000000" w:themeColor="text1"/>
          <w:sz w:val="16"/>
          <w:szCs w:val="16"/>
        </w:rPr>
        <w:softHyphen/>
        <w:t>личалась от ЗИС-22-50 только устройством гусеницы, которая была выполнена в виде двух резинотканевых лент общей шириной 400 мм. Ширина каждой ленты - 155 мм. Ленты соеди</w:t>
      </w:r>
      <w:r w:rsidRPr="00A3026E">
        <w:rPr>
          <w:rFonts w:ascii="Times New Roman" w:hAnsi="Times New Roman"/>
          <w:color w:val="000000" w:themeColor="text1"/>
          <w:sz w:val="16"/>
          <w:szCs w:val="16"/>
        </w:rPr>
        <w:softHyphen/>
        <w:t>нялись между собой стальными накладками, которые крепились к лентам совместно с пли</w:t>
      </w:r>
      <w:r w:rsidRPr="00A3026E">
        <w:rPr>
          <w:rFonts w:ascii="Times New Roman" w:hAnsi="Times New Roman"/>
          <w:color w:val="000000" w:themeColor="text1"/>
          <w:sz w:val="16"/>
          <w:szCs w:val="16"/>
        </w:rPr>
        <w:softHyphen/>
        <w:t>цами и башмаками беговой дорожки болтами.</w:t>
      </w:r>
    </w:p>
    <w:p w14:paraId="56C540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Движитель и все остальные агрегаты у обе</w:t>
      </w:r>
      <w:r w:rsidRPr="00A3026E">
        <w:rPr>
          <w:rFonts w:ascii="Times New Roman" w:hAnsi="Times New Roman"/>
          <w:color w:val="000000" w:themeColor="text1"/>
          <w:sz w:val="16"/>
          <w:szCs w:val="16"/>
        </w:rPr>
        <w:softHyphen/>
        <w:t>их машин были одинаковыми.</w:t>
      </w:r>
    </w:p>
    <w:p w14:paraId="685103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 результатам испытаний вездеходов во</w:t>
      </w:r>
      <w:r w:rsidRPr="00A3026E">
        <w:rPr>
          <w:rFonts w:ascii="Times New Roman" w:hAnsi="Times New Roman"/>
          <w:color w:val="000000" w:themeColor="text1"/>
          <w:sz w:val="16"/>
          <w:szCs w:val="16"/>
        </w:rPr>
        <w:softHyphen/>
        <w:t>енные сделали следующие выводы:</w:t>
      </w:r>
    </w:p>
    <w:p w14:paraId="06EFD223" w14:textId="77777777" w:rsidR="0014077F" w:rsidRPr="00A3026E" w:rsidRDefault="0014077F"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«Из всех представленных на сравнитель</w:t>
      </w:r>
      <w:r w:rsidRPr="00A3026E">
        <w:rPr>
          <w:rFonts w:ascii="Times New Roman" w:cs="Times New Roman"/>
          <w:color w:val="000000" w:themeColor="text1"/>
          <w:spacing w:val="0"/>
          <w:sz w:val="16"/>
          <w:szCs w:val="16"/>
        </w:rPr>
        <w:softHyphen/>
        <w:t>ные испытания автомобилей повышенной проходимости требованиям Красной Армии удовлетворяют следующие автомобили:</w:t>
      </w:r>
    </w:p>
    <w:p w14:paraId="395D4136" w14:textId="77777777" w:rsidR="0014077F" w:rsidRPr="00A3026E" w:rsidRDefault="0014077F" w:rsidP="00A3026E">
      <w:pPr>
        <w:pStyle w:val="80"/>
        <w:shd w:val="clear" w:color="auto" w:fill="auto"/>
        <w:spacing w:line="240" w:lineRule="auto"/>
        <w:jc w:val="both"/>
        <w:rPr>
          <w:rFonts w:ascii="Times New Roman" w:hAnsi="Times New Roman" w:cs="Times New Roman"/>
          <w:color w:val="000000" w:themeColor="text1"/>
        </w:rPr>
      </w:pPr>
      <w:r w:rsidRPr="00A3026E">
        <w:rPr>
          <w:rFonts w:ascii="Times New Roman" w:hAnsi="Times New Roman" w:cs="Times New Roman"/>
          <w:color w:val="000000" w:themeColor="text1"/>
        </w:rPr>
        <w:t>Общие виды усовершенствованного вездехода</w:t>
      </w:r>
    </w:p>
    <w:p w14:paraId="499B8CCF" w14:textId="77777777" w:rsidR="0014077F" w:rsidRPr="00A3026E" w:rsidRDefault="0014077F" w:rsidP="00A3026E">
      <w:pPr>
        <w:pStyle w:val="7"/>
        <w:shd w:val="clear" w:color="auto" w:fill="auto"/>
        <w:tabs>
          <w:tab w:val="left" w:pos="519"/>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1. Полугусеничный автомобиль на шасси ЗИС-5 конструкции НАТИ ЗИС-22-52, как сред</w:t>
      </w:r>
      <w:r w:rsidRPr="00A3026E">
        <w:rPr>
          <w:rFonts w:ascii="Times New Roman" w:cs="Times New Roman"/>
          <w:color w:val="000000" w:themeColor="text1"/>
          <w:spacing w:val="0"/>
          <w:sz w:val="16"/>
          <w:szCs w:val="16"/>
        </w:rPr>
        <w:softHyphen/>
        <w:t>ний автомобиль высокой проходимости по снегу, болотам, бездорожью, который может быть использован для перевозки грузов в без</w:t>
      </w:r>
      <w:r w:rsidRPr="00A3026E">
        <w:rPr>
          <w:rFonts w:ascii="Times New Roman" w:cs="Times New Roman"/>
          <w:color w:val="000000" w:themeColor="text1"/>
          <w:spacing w:val="0"/>
          <w:sz w:val="16"/>
          <w:szCs w:val="16"/>
        </w:rPr>
        <w:softHyphen/>
        <w:t>дорожных районах и как быстроходный артил</w:t>
      </w:r>
      <w:r w:rsidRPr="00A3026E">
        <w:rPr>
          <w:rFonts w:ascii="Times New Roman" w:cs="Times New Roman"/>
          <w:color w:val="000000" w:themeColor="text1"/>
          <w:spacing w:val="0"/>
          <w:sz w:val="16"/>
          <w:szCs w:val="16"/>
        </w:rPr>
        <w:softHyphen/>
        <w:t>лерийский тягач противотанковой и полковой артиллерии.</w:t>
      </w:r>
    </w:p>
    <w:p w14:paraId="6F75B305" w14:textId="77777777" w:rsidR="0014077F" w:rsidRPr="00A3026E" w:rsidRDefault="0014077F" w:rsidP="00A3026E">
      <w:pPr>
        <w:pStyle w:val="7"/>
        <w:shd w:val="clear" w:color="auto" w:fill="auto"/>
        <w:tabs>
          <w:tab w:val="left" w:pos="471"/>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2. Двухосный автомобиль ЭИС-32Р с при</w:t>
      </w:r>
      <w:r w:rsidRPr="00A3026E">
        <w:rPr>
          <w:rFonts w:ascii="Times New Roman" w:cs="Times New Roman"/>
          <w:color w:val="000000" w:themeColor="text1"/>
          <w:spacing w:val="0"/>
          <w:sz w:val="16"/>
          <w:szCs w:val="16"/>
        </w:rPr>
        <w:softHyphen/>
        <w:t>водом на все колеса конструкции завода имени товарища Сталина, как трехтонный грузовик повышенной проходимости (в сравнении с ЗИС-5), который может быть использован в качестве нормальной транспортной машины с прицепом. В будущем должен заменить ЗИС-5.</w:t>
      </w:r>
    </w:p>
    <w:p w14:paraId="1161AE25" w14:textId="77777777" w:rsidR="0014077F" w:rsidRPr="00A3026E" w:rsidRDefault="0014077F" w:rsidP="00A3026E">
      <w:pPr>
        <w:pStyle w:val="7"/>
        <w:shd w:val="clear" w:color="auto" w:fill="auto"/>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В автомобиль ЗИС-22-52 необходимо вне</w:t>
      </w:r>
      <w:r w:rsidRPr="00A3026E">
        <w:rPr>
          <w:rFonts w:ascii="Times New Roman" w:cs="Times New Roman"/>
          <w:color w:val="000000" w:themeColor="text1"/>
          <w:spacing w:val="0"/>
          <w:sz w:val="16"/>
          <w:szCs w:val="16"/>
        </w:rPr>
        <w:softHyphen/>
        <w:t>сти следующие изменения:</w:t>
      </w:r>
    </w:p>
    <w:p w14:paraId="6B62877F" w14:textId="77777777" w:rsidR="0014077F" w:rsidRPr="00A3026E" w:rsidRDefault="0014077F" w:rsidP="00A3026E">
      <w:pPr>
        <w:pStyle w:val="7"/>
        <w:shd w:val="clear" w:color="auto" w:fill="auto"/>
        <w:tabs>
          <w:tab w:val="left" w:pos="534"/>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1. Нижние опорные катки переработать заново с устранением поломок траверз, под</w:t>
      </w:r>
      <w:r w:rsidRPr="00A3026E">
        <w:rPr>
          <w:rFonts w:ascii="Times New Roman" w:cs="Times New Roman"/>
          <w:color w:val="000000" w:themeColor="text1"/>
          <w:spacing w:val="0"/>
          <w:sz w:val="16"/>
          <w:szCs w:val="16"/>
        </w:rPr>
        <w:softHyphen/>
        <w:t>шипников и разрушения резины.</w:t>
      </w:r>
    </w:p>
    <w:p w14:paraId="3DF50CF8" w14:textId="77777777" w:rsidR="0014077F" w:rsidRPr="00A3026E" w:rsidRDefault="0014077F" w:rsidP="00A3026E">
      <w:pPr>
        <w:pStyle w:val="7"/>
        <w:shd w:val="clear" w:color="auto" w:fill="auto"/>
        <w:tabs>
          <w:tab w:val="left" w:pos="490"/>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2. Направляющие гребни гусеницы повы</w:t>
      </w:r>
      <w:r w:rsidRPr="00A3026E">
        <w:rPr>
          <w:rFonts w:ascii="Times New Roman" w:cs="Times New Roman"/>
          <w:color w:val="000000" w:themeColor="text1"/>
          <w:spacing w:val="0"/>
          <w:sz w:val="16"/>
          <w:szCs w:val="16"/>
        </w:rPr>
        <w:softHyphen/>
        <w:t>сить по высоте и придать им более овальную форму в верней части.</w:t>
      </w:r>
    </w:p>
    <w:p w14:paraId="7CFF6D6B" w14:textId="77777777" w:rsidR="0014077F" w:rsidRPr="00A3026E" w:rsidRDefault="0014077F" w:rsidP="00A3026E">
      <w:pPr>
        <w:pStyle w:val="7"/>
        <w:shd w:val="clear" w:color="auto" w:fill="auto"/>
        <w:tabs>
          <w:tab w:val="left" w:pos="500"/>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3. Направляющую реборду ленивца необ</w:t>
      </w:r>
      <w:r w:rsidRPr="00A3026E">
        <w:rPr>
          <w:rFonts w:ascii="Times New Roman" w:cs="Times New Roman"/>
          <w:color w:val="000000" w:themeColor="text1"/>
          <w:spacing w:val="0"/>
          <w:sz w:val="16"/>
          <w:szCs w:val="16"/>
        </w:rPr>
        <w:softHyphen/>
        <w:t>ходимо увеличить в диаметре с целью лучшего направления гусеницы и удержания ее от сва</w:t>
      </w:r>
      <w:r w:rsidRPr="00A3026E">
        <w:rPr>
          <w:rFonts w:ascii="Times New Roman" w:cs="Times New Roman"/>
          <w:color w:val="000000" w:themeColor="text1"/>
          <w:spacing w:val="0"/>
          <w:sz w:val="16"/>
          <w:szCs w:val="16"/>
        </w:rPr>
        <w:softHyphen/>
        <w:t>ливания.</w:t>
      </w:r>
    </w:p>
    <w:p w14:paraId="6E158E37" w14:textId="77777777" w:rsidR="0014077F" w:rsidRPr="00A3026E" w:rsidRDefault="0014077F" w:rsidP="00A3026E">
      <w:pPr>
        <w:pStyle w:val="7"/>
        <w:shd w:val="clear" w:color="auto" w:fill="auto"/>
        <w:tabs>
          <w:tab w:val="left" w:pos="468"/>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4. Увеличить прочность цепей Галля.</w:t>
      </w:r>
    </w:p>
    <w:p w14:paraId="4BFDC6FF" w14:textId="77777777" w:rsidR="0014077F" w:rsidRPr="00A3026E" w:rsidRDefault="0014077F" w:rsidP="00A3026E">
      <w:pPr>
        <w:pStyle w:val="7"/>
        <w:shd w:val="clear" w:color="auto" w:fill="auto"/>
        <w:tabs>
          <w:tab w:val="left" w:pos="468"/>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5. Уменьшить общий вес приспособления.</w:t>
      </w:r>
    </w:p>
    <w:p w14:paraId="61C7F795" w14:textId="77777777" w:rsidR="0014077F" w:rsidRPr="00A3026E" w:rsidRDefault="0014077F" w:rsidP="00A3026E">
      <w:pPr>
        <w:pStyle w:val="7"/>
        <w:shd w:val="clear" w:color="auto" w:fill="auto"/>
        <w:tabs>
          <w:tab w:val="left" w:pos="558"/>
        </w:tabs>
        <w:autoSpaceDE/>
        <w:autoSpaceDN/>
        <w:adjustRightInd/>
        <w:spacing w:line="240" w:lineRule="auto"/>
        <w:rPr>
          <w:rFonts w:ascii="Times New Roman" w:cs="Times New Roman"/>
          <w:color w:val="000000" w:themeColor="text1"/>
          <w:spacing w:val="0"/>
          <w:sz w:val="16"/>
          <w:szCs w:val="16"/>
        </w:rPr>
      </w:pPr>
      <w:r w:rsidRPr="00A3026E">
        <w:rPr>
          <w:rFonts w:ascii="Times New Roman" w:cs="Times New Roman"/>
          <w:color w:val="000000" w:themeColor="text1"/>
          <w:spacing w:val="0"/>
          <w:sz w:val="16"/>
          <w:szCs w:val="16"/>
        </w:rPr>
        <w:t>6. Уменьшить количество применяемой резины».</w:t>
      </w:r>
    </w:p>
    <w:p w14:paraId="4F71EB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Заказчик также подчеркнул, что остальные образцы автомобилей по целому ряду параме</w:t>
      </w:r>
      <w:r w:rsidRPr="00A3026E">
        <w:rPr>
          <w:rFonts w:ascii="Times New Roman" w:hAnsi="Times New Roman"/>
          <w:color w:val="000000" w:themeColor="text1"/>
          <w:sz w:val="16"/>
          <w:szCs w:val="16"/>
        </w:rPr>
        <w:softHyphen/>
        <w:t>тров не удовлетворяют предъявленным ТТТ (12729).</w:t>
      </w:r>
    </w:p>
    <w:p w14:paraId="60735EB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1B3D733" w14:textId="77777777" w:rsidR="00D702E0" w:rsidRPr="00A3026E" w:rsidRDefault="00D702E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конце 1940 г. под руководством Б.Я. Гинцбурга был изготовлен первый вариант рабочих чер</w:t>
      </w:r>
      <w:r w:rsidRPr="00A3026E">
        <w:rPr>
          <w:rFonts w:ascii="Times New Roman" w:hAnsi="Times New Roman"/>
          <w:color w:val="0070C0"/>
          <w:sz w:val="16"/>
          <w:szCs w:val="16"/>
        </w:rPr>
        <w:softHyphen/>
        <w:t>тежей базовой четы</w:t>
      </w:r>
      <w:r w:rsidRPr="00A3026E">
        <w:rPr>
          <w:rFonts w:ascii="Times New Roman" w:hAnsi="Times New Roman"/>
          <w:color w:val="0070C0"/>
          <w:sz w:val="16"/>
          <w:szCs w:val="16"/>
        </w:rPr>
        <w:softHyphen/>
        <w:t>рехцилиндровой модели двухтактно</w:t>
      </w:r>
      <w:r w:rsidRPr="00A3026E">
        <w:rPr>
          <w:rFonts w:ascii="Times New Roman" w:hAnsi="Times New Roman"/>
          <w:color w:val="0070C0"/>
          <w:sz w:val="16"/>
          <w:szCs w:val="16"/>
        </w:rPr>
        <w:softHyphen/>
        <w:t>го дизеля ЯАЗ-204. Ориентация на ди</w:t>
      </w:r>
      <w:r w:rsidRPr="00A3026E">
        <w:rPr>
          <w:rFonts w:ascii="Times New Roman" w:hAnsi="Times New Roman"/>
          <w:color w:val="0070C0"/>
          <w:sz w:val="16"/>
          <w:szCs w:val="16"/>
        </w:rPr>
        <w:softHyphen/>
        <w:t>зели МД-23, МД-6 или МД-25 была отклонена ввиду увлечения 2-такт</w:t>
      </w:r>
      <w:r w:rsidRPr="00A3026E">
        <w:rPr>
          <w:rFonts w:ascii="Times New Roman" w:hAnsi="Times New Roman"/>
          <w:color w:val="0070C0"/>
          <w:sz w:val="16"/>
          <w:szCs w:val="16"/>
        </w:rPr>
        <w:softHyphen/>
        <w:t>ными дизелями. В качестве объек</w:t>
      </w:r>
      <w:r w:rsidRPr="00A3026E">
        <w:rPr>
          <w:rFonts w:ascii="Times New Roman" w:hAnsi="Times New Roman"/>
          <w:color w:val="0070C0"/>
          <w:sz w:val="16"/>
          <w:szCs w:val="16"/>
        </w:rPr>
        <w:softHyphen/>
        <w:t>тов подражания были выбраны три унифицированных модели американ</w:t>
      </w:r>
      <w:r w:rsidRPr="00A3026E">
        <w:rPr>
          <w:rFonts w:ascii="Times New Roman" w:hAnsi="Times New Roman"/>
          <w:color w:val="0070C0"/>
          <w:sz w:val="16"/>
          <w:szCs w:val="16"/>
        </w:rPr>
        <w:softHyphen/>
        <w:t>ского двухтактного дизеля GMC 71-й серии с 3, 4, и 6 ци</w:t>
      </w:r>
      <w:r w:rsidRPr="00A3026E">
        <w:rPr>
          <w:rFonts w:ascii="Times New Roman" w:hAnsi="Times New Roman"/>
          <w:color w:val="0070C0"/>
          <w:sz w:val="16"/>
          <w:szCs w:val="16"/>
        </w:rPr>
        <w:softHyphen/>
        <w:t>линдрами (22518).</w:t>
      </w:r>
    </w:p>
    <w:p w14:paraId="1B53B0F9" w14:textId="77777777" w:rsidR="00D702E0" w:rsidRPr="00A3026E" w:rsidRDefault="00D702E0" w:rsidP="00A3026E">
      <w:pPr>
        <w:spacing w:after="0" w:line="240" w:lineRule="auto"/>
        <w:jc w:val="both"/>
        <w:rPr>
          <w:rFonts w:ascii="Times New Roman" w:hAnsi="Times New Roman"/>
          <w:color w:val="0070C0"/>
          <w:sz w:val="16"/>
          <w:szCs w:val="16"/>
        </w:rPr>
      </w:pPr>
    </w:p>
    <w:p w14:paraId="4505B154" w14:textId="77777777" w:rsidR="0014077F"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0670C05B"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2E9018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декабря 1940 г. для усиления авиации Северного флота из состава Белорусского военного округа прибыла эскадрилья самолетов СБ, которая совместно с истребителями И-16, И-15бис и И-153 вошла в состав 72-го смешанного авиаполка (сап), базирующегося в основном на аэродроме Ваенга под Мурманском. К началу боевых действий летом 1941 г. в 72-м сап числилось 11 СБ, 28 И-15бис и 17 И-153. Согласно приказу Наркома ВМФ СССР от 3 августа 1941 г. для усиления 72-го сап с Балтики направили дополнительно 9 СБ (12027).</w:t>
      </w:r>
    </w:p>
    <w:p w14:paraId="690AF3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СБ 72-го сап совместно с МБР-2 118-го авиаполка в основном применялись для нанесения бомбовых ударов в районе Варангер-фьорда по портам Киркенес и Петсамо. Всего было совершено свыше 500 самолетовылетов, экипажи доложили о потоплении двух транспортов и повреждении нескольких судов (12027).</w:t>
      </w:r>
    </w:p>
    <w:p w14:paraId="643D8E7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97C802A" w14:textId="77777777" w:rsidR="00D702E0" w:rsidRPr="00A3026E" w:rsidRDefault="00D702E0"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конце декабря 1940 г. командному составу вооруженных сил пришлось собраться вновь. Мотивы организации этого совещания еще до конца не изучены. Но есть основания предполагать, что его инициатором был сам генеральный секретарь ЦК ВКП (б). Во время праздничного обеда после парада 7 ноября 1940 г. Сталин совершенно неожиданно выступил с далеко непраздничной, гневной речью. Суть ее свелась к обвинению своего окружения в нежелании учиться: «Люди не хотят учиться, хотя и условия для учебы у нас прекрасные. Думают, что раз они из рабочих и крестьян, раз у них руки мозолистые, они уже все могут, незачем им дальше учиться и работать над собой. Между тем – настоящие тупицы». Но все же острие сталинского гнева оказалось направленным на военных, им досталось более остальных: «…Необходимо постоянно учиться и каждые 2–3 года переучиваться. Но у нас не любят учиться. Не изучают уроков войны с Финляндией, уроков войны в Европе Мы не готовы для такой войны, которая идет между Германией и Англией Люди беспечные не хотят учиться и переучиваться. Выслушают меня и все оставят по-старому. Но я вам покажу, если выйду из терпения. (Вы знаете, как я это могу). Так ударю по толстякам, что все затрещит» (21522).</w:t>
      </w:r>
    </w:p>
    <w:p w14:paraId="384DD6A0" w14:textId="77777777" w:rsidR="00D702E0" w:rsidRPr="00A3026E" w:rsidRDefault="00D702E0" w:rsidP="00A3026E">
      <w:pPr>
        <w:spacing w:after="0" w:line="240" w:lineRule="auto"/>
        <w:jc w:val="both"/>
        <w:rPr>
          <w:rFonts w:ascii="Times New Roman" w:hAnsi="Times New Roman"/>
          <w:color w:val="0070C0"/>
          <w:sz w:val="16"/>
          <w:szCs w:val="16"/>
        </w:rPr>
      </w:pPr>
    </w:p>
    <w:p w14:paraId="289029C1"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3D9E8A82"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06347C5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второй половине декабря 1940 г. ситуация круто изменилась. Имен</w:t>
      </w:r>
      <w:r w:rsidRPr="00A3026E">
        <w:rPr>
          <w:rFonts w:ascii="Times New Roman" w:hAnsi="Times New Roman"/>
          <w:color w:val="000000" w:themeColor="text1"/>
          <w:sz w:val="16"/>
          <w:szCs w:val="16"/>
        </w:rPr>
        <w:softHyphen/>
        <w:t>но в это время на заводе № 39 совершил первый полет двухмоторный пикирую</w:t>
      </w:r>
      <w:r w:rsidRPr="00A3026E">
        <w:rPr>
          <w:rFonts w:ascii="Times New Roman" w:hAnsi="Times New Roman"/>
          <w:color w:val="000000" w:themeColor="text1"/>
          <w:sz w:val="16"/>
          <w:szCs w:val="16"/>
        </w:rPr>
        <w:softHyphen/>
        <w:t>щий бомбардировщик Пе-2 (тогда он на</w:t>
      </w:r>
      <w:r w:rsidRPr="00A3026E">
        <w:rPr>
          <w:rFonts w:ascii="Times New Roman" w:hAnsi="Times New Roman"/>
          <w:color w:val="000000" w:themeColor="text1"/>
          <w:sz w:val="16"/>
          <w:szCs w:val="16"/>
        </w:rPr>
        <w:softHyphen/>
        <w:t>зывался еще ПБ-100). В соответствии с распоряжением НКАП яковлевские ма</w:t>
      </w:r>
      <w:r w:rsidRPr="00A3026E">
        <w:rPr>
          <w:rFonts w:ascii="Times New Roman" w:hAnsi="Times New Roman"/>
          <w:color w:val="000000" w:themeColor="text1"/>
          <w:sz w:val="16"/>
          <w:szCs w:val="16"/>
        </w:rPr>
        <w:softHyphen/>
        <w:t>шины также получили новые наименова</w:t>
      </w:r>
      <w:r w:rsidRPr="00A3026E">
        <w:rPr>
          <w:rFonts w:ascii="Times New Roman" w:hAnsi="Times New Roman"/>
          <w:color w:val="000000" w:themeColor="text1"/>
          <w:sz w:val="16"/>
          <w:szCs w:val="16"/>
        </w:rPr>
        <w:softHyphen/>
        <w:t>ния: ББ-22 с моторами М-103 стал назы</w:t>
      </w:r>
      <w:r w:rsidRPr="00A3026E">
        <w:rPr>
          <w:rFonts w:ascii="Times New Roman" w:hAnsi="Times New Roman"/>
          <w:color w:val="000000" w:themeColor="text1"/>
          <w:sz w:val="16"/>
          <w:szCs w:val="16"/>
        </w:rPr>
        <w:softHyphen/>
        <w:t>ваться Як-2, а ББ-22бис с моторами</w:t>
      </w:r>
    </w:p>
    <w:p w14:paraId="2691CFC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 — Як-4. На государственные испы</w:t>
      </w:r>
      <w:r w:rsidRPr="00A3026E">
        <w:rPr>
          <w:rFonts w:ascii="Times New Roman" w:hAnsi="Times New Roman"/>
          <w:color w:val="000000" w:themeColor="text1"/>
          <w:sz w:val="16"/>
          <w:szCs w:val="16"/>
        </w:rPr>
        <w:softHyphen/>
        <w:t>тания в конце 1940 г. передали сразу не</w:t>
      </w:r>
      <w:r w:rsidRPr="00A3026E">
        <w:rPr>
          <w:rFonts w:ascii="Times New Roman" w:hAnsi="Times New Roman"/>
          <w:color w:val="000000" w:themeColor="text1"/>
          <w:sz w:val="16"/>
          <w:szCs w:val="16"/>
        </w:rPr>
        <w:softHyphen/>
        <w:t>сколько «яков» осенней постройки. Вот тогда-то у А.С. Яковлева начались насто</w:t>
      </w:r>
      <w:r w:rsidRPr="00A3026E">
        <w:rPr>
          <w:rFonts w:ascii="Times New Roman" w:hAnsi="Times New Roman"/>
          <w:color w:val="000000" w:themeColor="text1"/>
          <w:sz w:val="16"/>
          <w:szCs w:val="16"/>
        </w:rPr>
        <w:softHyphen/>
        <w:t>ящие неприятности! Сравнение летно-технических и эксплуатационных данных «пешки» и «яков»-бомбардировщиков оказалось явно не в пользу последних. По скорости и дальности полета, по бом</w:t>
      </w:r>
      <w:r w:rsidRPr="00A3026E">
        <w:rPr>
          <w:rFonts w:ascii="Times New Roman" w:hAnsi="Times New Roman"/>
          <w:color w:val="000000" w:themeColor="text1"/>
          <w:sz w:val="16"/>
          <w:szCs w:val="16"/>
        </w:rPr>
        <w:softHyphen/>
        <w:t>бовой нагрузке и мощи оборонительного вооружения — практически по всем важ</w:t>
      </w:r>
      <w:r w:rsidRPr="00A3026E">
        <w:rPr>
          <w:rFonts w:ascii="Times New Roman" w:hAnsi="Times New Roman"/>
          <w:color w:val="000000" w:themeColor="text1"/>
          <w:sz w:val="16"/>
          <w:szCs w:val="16"/>
        </w:rPr>
        <w:softHyphen/>
        <w:t>нейшим параметрам — головной серий</w:t>
      </w:r>
      <w:r w:rsidRPr="00A3026E">
        <w:rPr>
          <w:rFonts w:ascii="Times New Roman" w:hAnsi="Times New Roman"/>
          <w:color w:val="000000" w:themeColor="text1"/>
          <w:sz w:val="16"/>
          <w:szCs w:val="16"/>
        </w:rPr>
        <w:softHyphen/>
        <w:t>ный Пе-2 превзошел Як-4, не говоря уже о Як-2.</w:t>
      </w:r>
    </w:p>
    <w:p w14:paraId="42DD8A9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Накопившееся у руководства ВВС раз</w:t>
      </w:r>
      <w:r w:rsidRPr="00A3026E">
        <w:rPr>
          <w:rFonts w:ascii="Times New Roman" w:hAnsi="Times New Roman"/>
          <w:color w:val="000000" w:themeColor="text1"/>
          <w:sz w:val="16"/>
          <w:szCs w:val="16"/>
        </w:rPr>
        <w:softHyphen/>
        <w:t xml:space="preserve">дражение против «упрямой машины» наконец-то можно было не сдерживать. В заключении по госиспытаниям двух </w:t>
      </w:r>
      <w:r w:rsidRPr="00A3026E">
        <w:rPr>
          <w:rFonts w:ascii="Times New Roman" w:hAnsi="Times New Roman"/>
          <w:iCs/>
          <w:color w:val="000000" w:themeColor="text1"/>
          <w:sz w:val="16"/>
          <w:szCs w:val="16"/>
        </w:rPr>
        <w:t xml:space="preserve">Як-2 </w:t>
      </w:r>
      <w:r w:rsidRPr="00A3026E">
        <w:rPr>
          <w:rFonts w:ascii="Times New Roman" w:hAnsi="Times New Roman"/>
          <w:color w:val="000000" w:themeColor="text1"/>
          <w:sz w:val="16"/>
          <w:szCs w:val="16"/>
        </w:rPr>
        <w:t>и двух Як-4 начальник НИИ ВВС ге</w:t>
      </w:r>
      <w:r w:rsidRPr="00A3026E">
        <w:rPr>
          <w:rFonts w:ascii="Times New Roman" w:hAnsi="Times New Roman"/>
          <w:color w:val="000000" w:themeColor="text1"/>
          <w:sz w:val="16"/>
          <w:szCs w:val="16"/>
        </w:rPr>
        <w:softHyphen/>
        <w:t>нерал-майор А.И. Филин особо выделил пункт о том, что самолеты «в испытан</w:t>
      </w:r>
      <w:r w:rsidRPr="00A3026E">
        <w:rPr>
          <w:rFonts w:ascii="Times New Roman" w:hAnsi="Times New Roman"/>
          <w:color w:val="000000" w:themeColor="text1"/>
          <w:sz w:val="16"/>
          <w:szCs w:val="16"/>
        </w:rPr>
        <w:softHyphen/>
        <w:t>ном виде не являются надежными и бое</w:t>
      </w:r>
      <w:r w:rsidRPr="00A3026E">
        <w:rPr>
          <w:rFonts w:ascii="Times New Roman" w:hAnsi="Times New Roman"/>
          <w:color w:val="000000" w:themeColor="text1"/>
          <w:sz w:val="16"/>
          <w:szCs w:val="16"/>
        </w:rPr>
        <w:softHyphen/>
        <w:t>способными»... Резко ужесточились тре</w:t>
      </w:r>
      <w:r w:rsidRPr="00A3026E">
        <w:rPr>
          <w:rFonts w:ascii="Times New Roman" w:hAnsi="Times New Roman"/>
          <w:color w:val="000000" w:themeColor="text1"/>
          <w:sz w:val="16"/>
          <w:szCs w:val="16"/>
        </w:rPr>
        <w:softHyphen/>
        <w:t>бования военной приемки. 17 февраля 1941 г. генерал-лейтенант Астахов, заме</w:t>
      </w:r>
      <w:r w:rsidRPr="00A3026E">
        <w:rPr>
          <w:rFonts w:ascii="Times New Roman" w:hAnsi="Times New Roman"/>
          <w:color w:val="000000" w:themeColor="text1"/>
          <w:sz w:val="16"/>
          <w:szCs w:val="16"/>
        </w:rPr>
        <w:softHyphen/>
        <w:t>ститель начальника ВВС П.В. Рычагова, в письме наркому авиапрома А.И. Шаху-рину назвал положение, сложившееся с серийным выпуском Як-4, нетерпимым и просил о его личном вмешательстве. По состоянию на 31 января завод № 81 по</w:t>
      </w:r>
      <w:r w:rsidRPr="00A3026E">
        <w:rPr>
          <w:rFonts w:ascii="Times New Roman" w:hAnsi="Times New Roman"/>
          <w:color w:val="000000" w:themeColor="text1"/>
          <w:sz w:val="16"/>
          <w:szCs w:val="16"/>
        </w:rPr>
        <w:softHyphen/>
        <w:t>строил полсотни «четверок», но лишь три из них были облетаны. Большая часть стоявших под снегом самолетов имела дефекты винтомоторной группы, не позволявшие поднять машины в небо (11214).</w:t>
      </w:r>
    </w:p>
    <w:p w14:paraId="4819C52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FAC3E6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второй половине декабря 1940 Лешуковым была подготовлена записка т. Ворошилову К.Е.</w:t>
      </w:r>
    </w:p>
    <w:p w14:paraId="2DE2F73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37 мм мотор-пушке т. Шпитального</w:t>
      </w:r>
    </w:p>
    <w:p w14:paraId="773203B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апреля 1940 г. т. Шпиталъный обратился к т. Молотову В.М. с письмом, в котором жаловался на ГУАСКА и просил:</w:t>
      </w:r>
    </w:p>
    <w:p w14:paraId="54C579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расследовать приводимые им факты противодействия со стороны ГУАСКА внедрению пушечного вооружения и</w:t>
      </w:r>
    </w:p>
    <w:p w14:paraId="36CFD41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отпустить ОКБ-15 НКВ деньги на проектирование и изготовление 37 мм мотор-пушки.</w:t>
      </w:r>
    </w:p>
    <w:p w14:paraId="5E0938F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соответствии с резолюцией т. Молотова В.М.- "Надо обратить внимание и Помочь т. Шпитальному", Секретариат КО оказал т. Шпитальному помощь, в результате чего ГУАСКА заключило </w:t>
      </w:r>
      <w:r w:rsidRPr="00A3026E">
        <w:rPr>
          <w:rFonts w:ascii="Times New Roman" w:hAnsi="Times New Roman"/>
          <w:smallCaps/>
          <w:color w:val="000000" w:themeColor="text1"/>
          <w:sz w:val="16"/>
          <w:szCs w:val="16"/>
        </w:rPr>
        <w:t xml:space="preserve">договор </w:t>
      </w:r>
      <w:r w:rsidRPr="00A3026E">
        <w:rPr>
          <w:rFonts w:ascii="Times New Roman" w:hAnsi="Times New Roman"/>
          <w:color w:val="000000" w:themeColor="text1"/>
          <w:sz w:val="16"/>
          <w:szCs w:val="16"/>
        </w:rPr>
        <w:t>на изготовление мотор-пушки и дало тактико-технические требования. До этого т. Шпиталъный уже работал над 37 мм. пушкой в крыльевом варианте.</w:t>
      </w:r>
    </w:p>
    <w:p w14:paraId="22DC6E0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Впоследствии, решением СНК СССР и ЦК ВКП/б/ от 4 октября 1940 г. за № 1882-779сс т. Шпитальному поручено сконструировать и построить 37 мм. авиационную мотор-пушку со следующими показателями: вес системы-130-150 кгр., усилие отдачи 1300-1500 кгр., темп стрельбы 300-320 выстр./мин, начальная Скорость 900 мт/сек., вес снаряда- 700 гр., магазин на 20-50 патронов, непрерыв-очередь 20-50 патронов. Кроме того, в постановлении записано:</w:t>
      </w:r>
    </w:p>
    <w:p w14:paraId="7D7598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"Приспособить мотор-пушку под самолет И-26, обязав т. Шахурина и т. Яковлева оказать т. Шпиталъному в этом содействие. Пушку подать на испытания не позднее 25 декабря с.г."</w:t>
      </w:r>
    </w:p>
    <w:p w14:paraId="2365429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Тем же постановлением поручено так же и т. Таубину сконструировать и построить 37 мм. пушку с теми же, приблизительно, данными и предъявить на испытания к 25 декабря.</w:t>
      </w:r>
    </w:p>
    <w:p w14:paraId="7EB7C50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Теперь, обращаясь к т. Молотову В.М. т. Шпитальный жалуется на т. Рычагова за то, что он не отпускает денег на проектирование и постройку самолета с 37 мм. пушкой.</w:t>
      </w:r>
    </w:p>
    <w:p w14:paraId="6B0FD17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результате неоднократных разбирательств трений между работниками ВВС и т. Шпитальным, считаю установленным, что между Шпитальным, с одной </w:t>
      </w:r>
      <w:r w:rsidRPr="00A3026E">
        <w:rPr>
          <w:rFonts w:ascii="Times New Roman" w:hAnsi="Times New Roman"/>
          <w:smallCaps/>
          <w:color w:val="000000" w:themeColor="text1"/>
          <w:sz w:val="16"/>
          <w:szCs w:val="16"/>
        </w:rPr>
        <w:t xml:space="preserve">стороны, </w:t>
      </w:r>
      <w:r w:rsidRPr="00A3026E">
        <w:rPr>
          <w:rFonts w:ascii="Times New Roman" w:hAnsi="Times New Roman"/>
          <w:color w:val="000000" w:themeColor="text1"/>
          <w:sz w:val="16"/>
          <w:szCs w:val="16"/>
        </w:rPr>
        <w:t>и работниками ВВС т.т. Сакриером, Никоновым, с другой, существуют нездоровые, неделовые отношения. Однако, нет основании утверждать, как это делает т. Шпитальный, что т.т. Сакриер и Никонов противодействуют внедрению пушечного вооружения в авиацию. Поэтому необходимо кому либо из работников аппарата КО поручить постоянное наблюдение за работами ОКБ-15 и, в частности, обеспечить объективную постановку испытаний и сравнение пушки т. Таубина и т. Шпитального.</w:t>
      </w:r>
    </w:p>
    <w:p w14:paraId="58E4071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Проектом плана опытных работ по самолетостроению, как заявил т.Яковлев, предусматривается постройка самолета под 37 мм. мотор-пушку. Один такой самолет поручено сконструировать и построить т. Поликарпову. Кроме этого, т. Яковлев считает необходимым поручить кому либо из конструкторов сконструировать еще один аналогичный самолет. Поэтому опасения т.Шпиталъного, что пушка не находит применения - неосновательны.</w:t>
      </w:r>
    </w:p>
    <w:p w14:paraId="3EEFF79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Установить 37 мм. мотор-пушку на существующие самолеты, повидимому, невозможно, а, если это делать, то потребуются затраты средств и времени не меньше, чем на постройку нового самолета.</w:t>
      </w:r>
    </w:p>
    <w:p w14:paraId="16FAECB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отстрела пушки в воздухе т. Яковлев пробует приспособить самолет И-26, но вопрос о такой возможности еще не решен. Наземные испытания пушки проводить с 25 декабря. Пушка действительно готова и может быть поставлена на испытания к этому сроку.</w:t>
      </w:r>
    </w:p>
    <w:p w14:paraId="3359236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МПО КО вносит предложения -</w:t>
      </w:r>
    </w:p>
    <w:p w14:paraId="7DAFA28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 Уведомить т. Шпиталъного, что планом опытного самолетостроения на 1943 предусмотрено строительство самолетов с 37 мм. мотор-пушками.</w:t>
      </w:r>
    </w:p>
    <w:p w14:paraId="55FAB76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Наблюдение за 37 мм. мотор-пушками возложить на МПО КО (4156,1).</w:t>
      </w:r>
    </w:p>
    <w:p w14:paraId="0E5C058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29EBAEF3" w14:textId="17577E35" w:rsidR="00D702E0" w:rsidRPr="00A3026E" w:rsidRDefault="00D702E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0426C9E4" w14:textId="77777777" w:rsidR="00D702E0" w:rsidRPr="00A3026E" w:rsidRDefault="00D702E0" w:rsidP="00A3026E">
      <w:pPr>
        <w:spacing w:after="0" w:line="240" w:lineRule="auto"/>
        <w:jc w:val="both"/>
        <w:rPr>
          <w:rFonts w:ascii="Times New Roman" w:hAnsi="Times New Roman"/>
          <w:i/>
          <w:iCs/>
          <w:color w:val="000000" w:themeColor="text1"/>
          <w:sz w:val="16"/>
          <w:szCs w:val="16"/>
        </w:rPr>
      </w:pPr>
    </w:p>
    <w:p w14:paraId="5F1BD5AA" w14:textId="77777777" w:rsidR="00D702E0" w:rsidRPr="00A3026E" w:rsidRDefault="00D702E0"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Во второй половине декабря 1940 года на заводе 174 начались работы над А.Т.О. (автоматический танковый огнемет). Конструкция нового огнемета существенно отличалась от более ранних моделей. Тело огнемета получилось довольно компактным, что теоретически позволяло его поставить в шаровую установку курсового пулемета ДТ. Таковой у Т-50 не имелось, поэтому требовалось делать ее дополнительно. А вот на Т-34 и КВ установка курсового пулемета ДТ вполне имелась. По этой причине в начале 1941 года стала обсуждаться идея установки А.Т.О. в танки КВ и Т-34. Масса тела огнемета по исходному проекту оказалось небольшим - 45 кг. Это позволяло весьма оперативно ставить его в шаровую установку, что и привлекло внимание руководства ГАБТУ КА.</w:t>
      </w:r>
    </w:p>
    <w:p w14:paraId="49E0D08B" w14:textId="77777777" w:rsidR="00D702E0" w:rsidRPr="00A3026E" w:rsidRDefault="00D702E0"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Аристов и Елагин вместо системы баллонов для выброса струи использовались пороховые газы, что значительно уменьшало объемы оборудования. На заводе №174 изначально решили использовать укороченные гильзы 37-мм авиационной пушки конструкции Шпитального. Ставились они в магазин, первоначально вмещавший 6 патронов. Также использовался затвор с пулемета ДС, который тогда уже находился в серийном производстве. Согласно предварительным данным, скорострельность огнемета составляла 15-20 выстрелов в минуту. Это означало, что за минуту А.Т.О. мог выпустить имеющийся запас огнесмеси. Наличие обоймы на 6 патронов позволяло дать, так сказать, очередь из огнемета. Баллон при этом требовался всего один - 5-литровый, он использовался для подачи огнесмеси в тело огнемета (20878).</w:t>
      </w:r>
    </w:p>
    <w:p w14:paraId="50AD5304" w14:textId="77777777" w:rsidR="00D702E0" w:rsidRPr="00A3026E" w:rsidRDefault="00D702E0" w:rsidP="00A3026E">
      <w:pPr>
        <w:shd w:val="clear" w:color="auto" w:fill="FFFFFF"/>
        <w:spacing w:after="0" w:line="240" w:lineRule="auto"/>
        <w:jc w:val="both"/>
        <w:rPr>
          <w:rFonts w:ascii="Times New Roman" w:hAnsi="Times New Roman"/>
          <w:color w:val="0070C0"/>
          <w:sz w:val="16"/>
          <w:szCs w:val="16"/>
        </w:rPr>
      </w:pPr>
    </w:p>
    <w:p w14:paraId="7B4DBF19" w14:textId="51A36356"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70A909DB"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FEC066E"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С.В. Ильюшин получил желанный «приз»: его штурмовик получил официальное обозначение Ил-2 и постановлением правительства был запущен в серийное производство на одном из самых мощных авиазаводов страны — воронежском № 18, и заказ на 1941 г. получил немалый — 1200 машин. С другой сто</w:t>
      </w:r>
      <w:r w:rsidRPr="00A3026E">
        <w:rPr>
          <w:rFonts w:ascii="Times New Roman" w:hAnsi="Times New Roman"/>
          <w:color w:val="000000" w:themeColor="text1"/>
          <w:sz w:val="16"/>
          <w:szCs w:val="16"/>
        </w:rPr>
        <w:softHyphen/>
        <w:t>роны, сроки на освоение штурмовика вновь отводились исключительно короткие — до 1 марта 1941 г. следовало сдать те самые 10 самолётов для войсковых испытаний, при</w:t>
      </w:r>
      <w:r w:rsidRPr="00A3026E">
        <w:rPr>
          <w:rFonts w:ascii="Times New Roman" w:hAnsi="Times New Roman"/>
          <w:color w:val="000000" w:themeColor="text1"/>
          <w:sz w:val="16"/>
          <w:szCs w:val="16"/>
        </w:rPr>
        <w:softHyphen/>
        <w:t>чем именно с пушками МП-6 (15787).</w:t>
      </w:r>
    </w:p>
    <w:p w14:paraId="3CBF64C8" w14:textId="77777777" w:rsidR="000472A9" w:rsidRPr="00A3026E" w:rsidRDefault="000472A9" w:rsidP="00A3026E">
      <w:pPr>
        <w:spacing w:after="0" w:line="240" w:lineRule="auto"/>
        <w:jc w:val="both"/>
        <w:rPr>
          <w:rFonts w:ascii="Times New Roman" w:hAnsi="Times New Roman"/>
          <w:color w:val="000000" w:themeColor="text1"/>
          <w:sz w:val="16"/>
          <w:szCs w:val="16"/>
        </w:rPr>
      </w:pPr>
    </w:p>
    <w:p w14:paraId="158A16B0" w14:textId="77777777" w:rsidR="00DE7B39" w:rsidRPr="00A3026E" w:rsidRDefault="00DE7B39"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В декабре 1940 г. завод № 135 предъ</w:t>
      </w:r>
      <w:r w:rsidRPr="00A3026E">
        <w:rPr>
          <w:rFonts w:ascii="Times New Roman" w:cs="Times New Roman"/>
          <w:color w:val="000000" w:themeColor="text1"/>
          <w:spacing w:val="0"/>
        </w:rPr>
        <w:softHyphen/>
        <w:t>явил в НИИ ВВС на государственные испытания два серийных Су-2 с мото</w:t>
      </w:r>
      <w:r w:rsidRPr="00A3026E">
        <w:rPr>
          <w:rFonts w:ascii="Times New Roman" w:cs="Times New Roman"/>
          <w:color w:val="000000" w:themeColor="text1"/>
          <w:spacing w:val="0"/>
        </w:rPr>
        <w:softHyphen/>
        <w:t>рами М-88Б (№ 16/2 и 20/2). Двигатели продолжали оставаться «ахиллесовой пятой» машины. За время испытаний с 2 декабря 1940 г. по 17 марта 1941 г. на самопете №16/2 пришлось заменить четыре мотора.</w:t>
      </w:r>
    </w:p>
    <w:p w14:paraId="6D952318" w14:textId="77777777" w:rsidR="00DE7B39" w:rsidRPr="00A3026E" w:rsidRDefault="00DE7B39"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Несмотря на доработку винтомо</w:t>
      </w:r>
      <w:r w:rsidRPr="00A3026E">
        <w:rPr>
          <w:rFonts w:ascii="Times New Roman" w:cs="Times New Roman"/>
          <w:color w:val="000000" w:themeColor="text1"/>
          <w:spacing w:val="0"/>
        </w:rPr>
        <w:softHyphen/>
        <w:t>торной группы, она по-прежнему стра</w:t>
      </w:r>
      <w:r w:rsidRPr="00A3026E">
        <w:rPr>
          <w:rFonts w:ascii="Times New Roman" w:cs="Times New Roman"/>
          <w:color w:val="000000" w:themeColor="text1"/>
          <w:spacing w:val="0"/>
        </w:rPr>
        <w:softHyphen/>
        <w:t>дала от перегрева В заключении акта по результатам испытаний отмечали «Считать моторы М-88 и М-88Б не до</w:t>
      </w:r>
      <w:r w:rsidRPr="00A3026E">
        <w:rPr>
          <w:rFonts w:ascii="Times New Roman" w:cs="Times New Roman"/>
          <w:color w:val="000000" w:themeColor="text1"/>
          <w:spacing w:val="0"/>
        </w:rPr>
        <w:softHyphen/>
        <w:t>веденными для надежной эксплуатации в строевых частях ВВС КА Потребовать от завода № 29 обеспечить надежную работу мотора на самолете Су-2». С 1 мая в Харькове планировали про</w:t>
      </w:r>
      <w:r w:rsidRPr="00A3026E">
        <w:rPr>
          <w:rFonts w:ascii="Times New Roman" w:cs="Times New Roman"/>
          <w:color w:val="000000" w:themeColor="text1"/>
          <w:spacing w:val="0"/>
        </w:rPr>
        <w:softHyphen/>
        <w:t>вести контрольные испытания машины с мотором М-88Б (19102).</w:t>
      </w:r>
    </w:p>
    <w:p w14:paraId="0D7042AA" w14:textId="77777777" w:rsidR="00DE7B39" w:rsidRPr="00A3026E" w:rsidRDefault="00DE7B39" w:rsidP="00A3026E">
      <w:pPr>
        <w:pStyle w:val="26"/>
        <w:shd w:val="clear" w:color="auto" w:fill="auto"/>
        <w:spacing w:after="0" w:line="240" w:lineRule="auto"/>
        <w:ind w:firstLine="0"/>
        <w:rPr>
          <w:rFonts w:ascii="Times New Roman" w:cs="Times New Roman"/>
          <w:color w:val="000000" w:themeColor="text1"/>
          <w:spacing w:val="0"/>
        </w:rPr>
      </w:pPr>
    </w:p>
    <w:p w14:paraId="26BA197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декабря 1940 по март 1941 в НИИ ВВС проходили гос. испытания серийного самолета Су-2 М-88 производства завода 135 (4068, 43).</w:t>
      </w:r>
    </w:p>
    <w:p w14:paraId="4C6F124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испытаний</w:t>
      </w:r>
    </w:p>
    <w:p w14:paraId="5C1C8B1A"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Снять летные характеристики серийного самолета производства завода № 135.</w:t>
      </w:r>
    </w:p>
    <w:p w14:paraId="4E113A76"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температурные режимы винтомоторной группы после доводки ее заводом № 135.</w:t>
      </w:r>
    </w:p>
    <w:p w14:paraId="05FCAECA"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Замерить расходы горючего и произвести полеты на дальность с целью составления инструкции по дальности для строевых частей ВВС.</w:t>
      </w:r>
    </w:p>
    <w:p w14:paraId="49CA40C4"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Проверить и дать оценку стрелковому, бомбардировочному и специальному оборудованию серийного самолета.</w:t>
      </w:r>
    </w:p>
    <w:p w14:paraId="6F2380AF"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Дать оценку серийной продукции, выпускаемой заводом 135.</w:t>
      </w:r>
    </w:p>
    <w:p w14:paraId="400C9F7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 испытаний</w:t>
      </w:r>
    </w:p>
    <w:p w14:paraId="3F4EE65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гос. испытания предъявлено два серийных самолета Су-2 №№ 16/2 и 20/2 с мотором М-88 производства завода № 135.</w:t>
      </w:r>
    </w:p>
    <w:p w14:paraId="50E8257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отличия серийного самолета Су-2 от опытного экземпляра:</w:t>
      </w:r>
    </w:p>
    <w:p w14:paraId="74F35D50"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Металлический фюзеляж заменен на деревянный.</w:t>
      </w:r>
    </w:p>
    <w:p w14:paraId="374FC0A5"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Усилена амортизационная стойка шасси и изменена ее конструкция (поставлена траверза).</w:t>
      </w:r>
    </w:p>
    <w:p w14:paraId="099E5A14"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Поставлен замок на шасси.</w:t>
      </w:r>
    </w:p>
    <w:p w14:paraId="1AF26678"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Установлены колеса 750х250 усиленной конструкции.</w:t>
      </w:r>
    </w:p>
    <w:p w14:paraId="6051BBB8"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Изменена конструкция сиденья штурмана.</w:t>
      </w:r>
    </w:p>
    <w:p w14:paraId="3A9B6F8A"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Установлена бронеспинка летчика.</w:t>
      </w:r>
    </w:p>
    <w:p w14:paraId="7812D7F9" w14:textId="77777777" w:rsidR="0014077F" w:rsidRPr="00A3026E"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Пробковый бензокран заменен на золотниковый.</w:t>
      </w:r>
    </w:p>
    <w:p w14:paraId="05F459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испытаний на самолете № 16/2 вышел из строя мотор М-88 и на самолет был установлен модифицированный мотор М-88Б.</w:t>
      </w:r>
    </w:p>
    <w:p w14:paraId="0A12C3E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время испытаний с декабря 1940 года по март 1941 года вышло из строя на этом же самолете 16/2 три мотора М-88Б по причине задира поршней.</w:t>
      </w:r>
    </w:p>
    <w:p w14:paraId="0CF2421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Сравнительная таблица</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70"/>
        <w:gridCol w:w="2870"/>
        <w:gridCol w:w="2870"/>
        <w:gridCol w:w="2447"/>
      </w:tblGrid>
      <w:tr w:rsidR="00983732" w:rsidRPr="00A3026E" w14:paraId="49DF2B6B" w14:textId="77777777" w:rsidTr="00EA0DA7">
        <w:tc>
          <w:tcPr>
            <w:tcW w:w="2870" w:type="dxa"/>
          </w:tcPr>
          <w:p w14:paraId="44DE700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 данных</w:t>
            </w:r>
          </w:p>
        </w:tc>
        <w:tc>
          <w:tcPr>
            <w:tcW w:w="2870" w:type="dxa"/>
          </w:tcPr>
          <w:p w14:paraId="247BB5A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Опытный самолет Су-2 М-88 с винтами ВИШ23 апр. 1940 г.</w:t>
            </w:r>
          </w:p>
        </w:tc>
        <w:tc>
          <w:tcPr>
            <w:tcW w:w="2870" w:type="dxa"/>
          </w:tcPr>
          <w:p w14:paraId="38F5631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Модифицированный самолет Су-2 М-88Б с винтом ВИШ-23-7 март 1941 г.</w:t>
            </w:r>
          </w:p>
        </w:tc>
        <w:tc>
          <w:tcPr>
            <w:tcW w:w="2447" w:type="dxa"/>
          </w:tcPr>
          <w:p w14:paraId="38E87BB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самолет Су-2 М-88Б с винтом ВИШ-23 март 1941 г.</w:t>
            </w:r>
          </w:p>
        </w:tc>
      </w:tr>
      <w:tr w:rsidR="00983732" w:rsidRPr="00A3026E" w14:paraId="3D11FC5F" w14:textId="77777777" w:rsidTr="00EA0DA7">
        <w:tc>
          <w:tcPr>
            <w:tcW w:w="2870" w:type="dxa"/>
          </w:tcPr>
          <w:p w14:paraId="11917F1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Назначение самолета</w:t>
            </w:r>
          </w:p>
        </w:tc>
        <w:tc>
          <w:tcPr>
            <w:tcW w:w="2870" w:type="dxa"/>
          </w:tcPr>
          <w:p w14:paraId="15C5595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Ближний бомбардировщик</w:t>
            </w:r>
          </w:p>
        </w:tc>
        <w:tc>
          <w:tcPr>
            <w:tcW w:w="2870" w:type="dxa"/>
          </w:tcPr>
          <w:p w14:paraId="4F00489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Ближний бомбардировщик</w:t>
            </w:r>
          </w:p>
        </w:tc>
        <w:tc>
          <w:tcPr>
            <w:tcW w:w="2447" w:type="dxa"/>
          </w:tcPr>
          <w:p w14:paraId="58EDFD0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Ближний бомбардировщик</w:t>
            </w:r>
          </w:p>
        </w:tc>
      </w:tr>
      <w:tr w:rsidR="00983732" w:rsidRPr="00A3026E" w14:paraId="7E0099D5" w14:textId="77777777" w:rsidTr="00EA0DA7">
        <w:tc>
          <w:tcPr>
            <w:tcW w:w="2870" w:type="dxa"/>
          </w:tcPr>
          <w:p w14:paraId="760B8CC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w:t>
            </w:r>
          </w:p>
        </w:tc>
        <w:tc>
          <w:tcPr>
            <w:tcW w:w="2870" w:type="dxa"/>
          </w:tcPr>
          <w:p w14:paraId="34244D9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2870" w:type="dxa"/>
          </w:tcPr>
          <w:p w14:paraId="6FC2572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2447" w:type="dxa"/>
          </w:tcPr>
          <w:p w14:paraId="0D973CB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4614EBA8" w14:textId="77777777" w:rsidTr="00EA0DA7">
        <w:tc>
          <w:tcPr>
            <w:tcW w:w="2870" w:type="dxa"/>
          </w:tcPr>
          <w:p w14:paraId="781A756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мотора</w:t>
            </w:r>
          </w:p>
        </w:tc>
        <w:tc>
          <w:tcPr>
            <w:tcW w:w="2870" w:type="dxa"/>
          </w:tcPr>
          <w:p w14:paraId="2A17593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1000/6000</w:t>
            </w:r>
          </w:p>
        </w:tc>
        <w:tc>
          <w:tcPr>
            <w:tcW w:w="2870" w:type="dxa"/>
          </w:tcPr>
          <w:p w14:paraId="5CC6A0F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1000/6000</w:t>
            </w:r>
          </w:p>
        </w:tc>
        <w:tc>
          <w:tcPr>
            <w:tcW w:w="2447" w:type="dxa"/>
          </w:tcPr>
          <w:p w14:paraId="4B1A2BF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1000/6000</w:t>
            </w:r>
          </w:p>
        </w:tc>
      </w:tr>
      <w:tr w:rsidR="00983732" w:rsidRPr="00A3026E" w14:paraId="4F6FCADA" w14:textId="77777777" w:rsidTr="00EA0DA7">
        <w:tc>
          <w:tcPr>
            <w:tcW w:w="2870" w:type="dxa"/>
          </w:tcPr>
          <w:p w14:paraId="2BA178D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самолета</w:t>
            </w:r>
          </w:p>
        </w:tc>
        <w:tc>
          <w:tcPr>
            <w:tcW w:w="2870" w:type="dxa"/>
          </w:tcPr>
          <w:p w14:paraId="6CA52C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2875</w:t>
            </w:r>
          </w:p>
        </w:tc>
        <w:tc>
          <w:tcPr>
            <w:tcW w:w="2870" w:type="dxa"/>
          </w:tcPr>
          <w:p w14:paraId="17BAD2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2954</w:t>
            </w:r>
          </w:p>
        </w:tc>
        <w:tc>
          <w:tcPr>
            <w:tcW w:w="2447" w:type="dxa"/>
          </w:tcPr>
          <w:p w14:paraId="7522B46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2970</w:t>
            </w:r>
          </w:p>
        </w:tc>
      </w:tr>
      <w:tr w:rsidR="00983732" w:rsidRPr="00A3026E" w14:paraId="32E2BDE4" w14:textId="77777777" w:rsidTr="00EA0DA7">
        <w:tc>
          <w:tcPr>
            <w:tcW w:w="2870" w:type="dxa"/>
          </w:tcPr>
          <w:p w14:paraId="0EC5FBB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у земли</w:t>
            </w:r>
          </w:p>
        </w:tc>
        <w:tc>
          <w:tcPr>
            <w:tcW w:w="2870" w:type="dxa"/>
          </w:tcPr>
          <w:p w14:paraId="5C56723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w:t>
            </w:r>
          </w:p>
        </w:tc>
        <w:tc>
          <w:tcPr>
            <w:tcW w:w="2870" w:type="dxa"/>
          </w:tcPr>
          <w:p w14:paraId="7B69C1C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410</w:t>
            </w:r>
          </w:p>
        </w:tc>
        <w:tc>
          <w:tcPr>
            <w:tcW w:w="2447" w:type="dxa"/>
          </w:tcPr>
          <w:p w14:paraId="233B3EB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378</w:t>
            </w:r>
          </w:p>
        </w:tc>
      </w:tr>
      <w:tr w:rsidR="00983732" w:rsidRPr="00A3026E" w14:paraId="4408EF49" w14:textId="77777777" w:rsidTr="00EA0DA7">
        <w:tc>
          <w:tcPr>
            <w:tcW w:w="2870" w:type="dxa"/>
          </w:tcPr>
          <w:p w14:paraId="3F9B968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расчетной высоте</w:t>
            </w:r>
          </w:p>
        </w:tc>
        <w:tc>
          <w:tcPr>
            <w:tcW w:w="2870" w:type="dxa"/>
          </w:tcPr>
          <w:p w14:paraId="4EEA12C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468/4600</w:t>
            </w:r>
          </w:p>
        </w:tc>
        <w:tc>
          <w:tcPr>
            <w:tcW w:w="2870" w:type="dxa"/>
          </w:tcPr>
          <w:p w14:paraId="04DE56E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512/7100</w:t>
            </w:r>
          </w:p>
        </w:tc>
        <w:tc>
          <w:tcPr>
            <w:tcW w:w="2447" w:type="dxa"/>
          </w:tcPr>
          <w:p w14:paraId="60B9694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455/4400</w:t>
            </w:r>
          </w:p>
        </w:tc>
      </w:tr>
      <w:tr w:rsidR="00983732" w:rsidRPr="00A3026E" w14:paraId="2D8ADA46" w14:textId="77777777" w:rsidTr="00EA0DA7">
        <w:tc>
          <w:tcPr>
            <w:tcW w:w="2870" w:type="dxa"/>
          </w:tcPr>
          <w:p w14:paraId="25D08E3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(нормальный вариант)</w:t>
            </w:r>
          </w:p>
        </w:tc>
        <w:tc>
          <w:tcPr>
            <w:tcW w:w="2870" w:type="dxa"/>
          </w:tcPr>
          <w:p w14:paraId="4CECFE3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4121</w:t>
            </w:r>
          </w:p>
        </w:tc>
        <w:tc>
          <w:tcPr>
            <w:tcW w:w="2870" w:type="dxa"/>
          </w:tcPr>
          <w:p w14:paraId="3AE1783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4310</w:t>
            </w:r>
          </w:p>
        </w:tc>
        <w:tc>
          <w:tcPr>
            <w:tcW w:w="2447" w:type="dxa"/>
          </w:tcPr>
          <w:p w14:paraId="76CCE56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4345</w:t>
            </w:r>
          </w:p>
        </w:tc>
      </w:tr>
      <w:tr w:rsidR="00983732" w:rsidRPr="00A3026E" w14:paraId="018F4A16" w14:textId="77777777" w:rsidTr="00EA0DA7">
        <w:tc>
          <w:tcPr>
            <w:tcW w:w="2870" w:type="dxa"/>
          </w:tcPr>
          <w:p w14:paraId="42E4682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w:t>
            </w:r>
          </w:p>
        </w:tc>
        <w:tc>
          <w:tcPr>
            <w:tcW w:w="2870" w:type="dxa"/>
          </w:tcPr>
          <w:p w14:paraId="4F7C66E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8900</w:t>
            </w:r>
          </w:p>
        </w:tc>
        <w:tc>
          <w:tcPr>
            <w:tcW w:w="2870" w:type="dxa"/>
          </w:tcPr>
          <w:p w14:paraId="7284716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9120</w:t>
            </w:r>
          </w:p>
        </w:tc>
        <w:tc>
          <w:tcPr>
            <w:tcW w:w="2447" w:type="dxa"/>
          </w:tcPr>
          <w:p w14:paraId="5DFE58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8900</w:t>
            </w:r>
          </w:p>
        </w:tc>
      </w:tr>
      <w:tr w:rsidR="00983732" w:rsidRPr="00A3026E" w14:paraId="2BDCEC41" w14:textId="77777777" w:rsidTr="00EA0DA7">
        <w:tc>
          <w:tcPr>
            <w:tcW w:w="2870" w:type="dxa"/>
          </w:tcPr>
          <w:p w14:paraId="7119F0F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практического потолка</w:t>
            </w:r>
          </w:p>
        </w:tc>
        <w:tc>
          <w:tcPr>
            <w:tcW w:w="2870" w:type="dxa"/>
          </w:tcPr>
          <w:p w14:paraId="0B3E8F8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w:t>
            </w:r>
          </w:p>
        </w:tc>
        <w:tc>
          <w:tcPr>
            <w:tcW w:w="2870" w:type="dxa"/>
          </w:tcPr>
          <w:p w14:paraId="7A13D71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w:t>
            </w:r>
          </w:p>
        </w:tc>
        <w:tc>
          <w:tcPr>
            <w:tcW w:w="2447" w:type="dxa"/>
          </w:tcPr>
          <w:p w14:paraId="662EC8D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r>
      <w:tr w:rsidR="00983732" w:rsidRPr="00A3026E" w14:paraId="49CD3B93" w14:textId="77777777" w:rsidTr="00EA0DA7">
        <w:tc>
          <w:tcPr>
            <w:tcW w:w="2870" w:type="dxa"/>
          </w:tcPr>
          <w:p w14:paraId="556039E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5000 м</w:t>
            </w:r>
          </w:p>
        </w:tc>
        <w:tc>
          <w:tcPr>
            <w:tcW w:w="2870" w:type="dxa"/>
          </w:tcPr>
          <w:p w14:paraId="679A26E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w:t>
            </w:r>
          </w:p>
        </w:tc>
        <w:tc>
          <w:tcPr>
            <w:tcW w:w="2870" w:type="dxa"/>
          </w:tcPr>
          <w:p w14:paraId="1FD3AA3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w:t>
            </w:r>
          </w:p>
        </w:tc>
        <w:tc>
          <w:tcPr>
            <w:tcW w:w="2447" w:type="dxa"/>
          </w:tcPr>
          <w:p w14:paraId="1636A7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w:t>
            </w:r>
          </w:p>
        </w:tc>
      </w:tr>
      <w:tr w:rsidR="00983732" w:rsidRPr="00A3026E" w14:paraId="02E6B965" w14:textId="77777777" w:rsidTr="00EA0DA7">
        <w:tc>
          <w:tcPr>
            <w:tcW w:w="2870" w:type="dxa"/>
          </w:tcPr>
          <w:p w14:paraId="6173484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техническая (до полной выработки горючего с выполнением прогрева и пробы мотора, рулежки и набора высоты) для одиночного самолета на скорости 0,8 Vmax</w:t>
            </w:r>
          </w:p>
        </w:tc>
        <w:tc>
          <w:tcPr>
            <w:tcW w:w="2870" w:type="dxa"/>
          </w:tcPr>
          <w:p w14:paraId="1EA979E8"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870" w:type="dxa"/>
          </w:tcPr>
          <w:p w14:paraId="66B67B2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1180/4000</w:t>
            </w:r>
          </w:p>
          <w:p w14:paraId="019F075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(Vg=390 км/час)</w:t>
            </w:r>
          </w:p>
        </w:tc>
        <w:tc>
          <w:tcPr>
            <w:tcW w:w="2447" w:type="dxa"/>
          </w:tcPr>
          <w:p w14:paraId="4CE8963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1090/4200</w:t>
            </w:r>
          </w:p>
          <w:p w14:paraId="11D7125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(Vg=360 км/час)</w:t>
            </w:r>
          </w:p>
        </w:tc>
      </w:tr>
      <w:tr w:rsidR="00983732" w:rsidRPr="00A3026E" w14:paraId="7E02F3CC" w14:textId="77777777" w:rsidTr="00EA0DA7">
        <w:tc>
          <w:tcPr>
            <w:tcW w:w="2870" w:type="dxa"/>
          </w:tcPr>
          <w:p w14:paraId="686316D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 (нормальный вариант)</w:t>
            </w:r>
          </w:p>
        </w:tc>
        <w:tc>
          <w:tcPr>
            <w:tcW w:w="2870" w:type="dxa"/>
          </w:tcPr>
          <w:p w14:paraId="3C70AE1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870" w:type="dxa"/>
          </w:tcPr>
          <w:p w14:paraId="49D4AE9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474*</w:t>
            </w:r>
          </w:p>
        </w:tc>
        <w:tc>
          <w:tcPr>
            <w:tcW w:w="2447" w:type="dxa"/>
          </w:tcPr>
          <w:p w14:paraId="7F3A635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388*</w:t>
            </w:r>
          </w:p>
        </w:tc>
      </w:tr>
      <w:tr w:rsidR="00983732" w:rsidRPr="00A3026E" w14:paraId="5180492B" w14:textId="77777777" w:rsidTr="00EA0DA7">
        <w:tc>
          <w:tcPr>
            <w:tcW w:w="2870" w:type="dxa"/>
          </w:tcPr>
          <w:p w14:paraId="524FD39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Пробег (посадочный вариант)</w:t>
            </w:r>
          </w:p>
        </w:tc>
        <w:tc>
          <w:tcPr>
            <w:tcW w:w="2870" w:type="dxa"/>
          </w:tcPr>
          <w:p w14:paraId="5B762DA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870" w:type="dxa"/>
          </w:tcPr>
          <w:p w14:paraId="5FC1ACD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w:t>
            </w:r>
          </w:p>
        </w:tc>
        <w:tc>
          <w:tcPr>
            <w:tcW w:w="2447" w:type="dxa"/>
          </w:tcPr>
          <w:p w14:paraId="241194A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w:t>
            </w:r>
          </w:p>
        </w:tc>
      </w:tr>
      <w:tr w:rsidR="00983732" w:rsidRPr="00A3026E" w14:paraId="5DB20246" w14:textId="77777777" w:rsidTr="00EA0DA7">
        <w:tc>
          <w:tcPr>
            <w:tcW w:w="2870" w:type="dxa"/>
          </w:tcPr>
          <w:p w14:paraId="4183DE8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w:t>
            </w:r>
          </w:p>
        </w:tc>
        <w:tc>
          <w:tcPr>
            <w:tcW w:w="2870" w:type="dxa"/>
          </w:tcPr>
          <w:p w14:paraId="7AFD783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2870" w:type="dxa"/>
          </w:tcPr>
          <w:p w14:paraId="68FA1AF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136</w:t>
            </w:r>
          </w:p>
        </w:tc>
        <w:tc>
          <w:tcPr>
            <w:tcW w:w="2447" w:type="dxa"/>
          </w:tcPr>
          <w:p w14:paraId="5DE9641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136</w:t>
            </w:r>
          </w:p>
        </w:tc>
      </w:tr>
      <w:tr w:rsidR="00983732" w:rsidRPr="00A3026E" w14:paraId="34B9DE5B" w14:textId="77777777" w:rsidTr="00EA0DA7">
        <w:tc>
          <w:tcPr>
            <w:tcW w:w="2870" w:type="dxa"/>
          </w:tcPr>
          <w:p w14:paraId="110E268D"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Бомбардировочное вооружение</w:t>
            </w:r>
          </w:p>
        </w:tc>
        <w:tc>
          <w:tcPr>
            <w:tcW w:w="2870" w:type="dxa"/>
          </w:tcPr>
          <w:p w14:paraId="66E9B10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Нормальный вариант</w:t>
            </w:r>
          </w:p>
          <w:p w14:paraId="2E388600"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 кг</w:t>
            </w:r>
          </w:p>
          <w:p w14:paraId="497973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Перегрузочный вариант</w:t>
            </w:r>
          </w:p>
          <w:p w14:paraId="535217D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 кг</w:t>
            </w:r>
          </w:p>
        </w:tc>
        <w:tc>
          <w:tcPr>
            <w:tcW w:w="2870" w:type="dxa"/>
          </w:tcPr>
          <w:p w14:paraId="0F68D75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Нормальный вариант</w:t>
            </w:r>
          </w:p>
          <w:p w14:paraId="4418F3D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 кг</w:t>
            </w:r>
          </w:p>
          <w:p w14:paraId="0C4FB93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Перегрузочный вариант</w:t>
            </w:r>
          </w:p>
          <w:p w14:paraId="6981C76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 кг</w:t>
            </w:r>
          </w:p>
        </w:tc>
        <w:tc>
          <w:tcPr>
            <w:tcW w:w="2447" w:type="dxa"/>
          </w:tcPr>
          <w:p w14:paraId="32CB926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Нормальный вариант</w:t>
            </w:r>
          </w:p>
          <w:p w14:paraId="46BB9CE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 кг</w:t>
            </w:r>
          </w:p>
          <w:p w14:paraId="267E576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Перегрузочный вариант</w:t>
            </w:r>
          </w:p>
          <w:p w14:paraId="57ECDBD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 кг</w:t>
            </w:r>
          </w:p>
        </w:tc>
      </w:tr>
      <w:tr w:rsidR="00983732" w:rsidRPr="00A3026E" w14:paraId="2AF0FBA9" w14:textId="77777777" w:rsidTr="00EA0DA7">
        <w:tc>
          <w:tcPr>
            <w:tcW w:w="2870" w:type="dxa"/>
          </w:tcPr>
          <w:p w14:paraId="5994257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вооружение</w:t>
            </w:r>
          </w:p>
        </w:tc>
        <w:tc>
          <w:tcPr>
            <w:tcW w:w="2870" w:type="dxa"/>
          </w:tcPr>
          <w:p w14:paraId="236D5ED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крыльевых пулемета с запасом патрон по 850 штук</w:t>
            </w:r>
          </w:p>
          <w:p w14:paraId="35DBD1B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турельный пулемет с запасом патрон 900 штук</w:t>
            </w:r>
          </w:p>
        </w:tc>
        <w:tc>
          <w:tcPr>
            <w:tcW w:w="2870" w:type="dxa"/>
          </w:tcPr>
          <w:p w14:paraId="4D0A40FC"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крыльевых пулемета с запасом патрон по 850 штук</w:t>
            </w:r>
          </w:p>
          <w:p w14:paraId="1D6BF10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пул. уст. ТСС-1 запас патрон 900 штук</w:t>
            </w:r>
          </w:p>
        </w:tc>
        <w:tc>
          <w:tcPr>
            <w:tcW w:w="2447" w:type="dxa"/>
          </w:tcPr>
          <w:p w14:paraId="510A0EC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крыльевых пулемета с запасом патрон по 850 штук</w:t>
            </w:r>
          </w:p>
          <w:p w14:paraId="09E4D5F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турельный пулемет с запасом патрон 900 штук</w:t>
            </w:r>
          </w:p>
        </w:tc>
      </w:tr>
    </w:tbl>
    <w:p w14:paraId="79F34C3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 Взлетно-посадочные свойства самолета замерялись при более укатанном снежном покрове, чем при замере взлетно-посадочных свойств модифицированного самолета.</w:t>
      </w:r>
    </w:p>
    <w:p w14:paraId="05BF172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0EE7BF6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Температурные режимы винтомоторной группы на серийном самолете Су-2 М-88Б, после переделки ее заводом № 135 остаются по-прежнему недоведенными (4068, 44-60).</w:t>
      </w:r>
    </w:p>
    <w:p w14:paraId="6BA5DD61"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552AB6B7" w14:textId="77777777" w:rsidR="000472A9" w:rsidRPr="00A3026E" w:rsidRDefault="000472A9" w:rsidP="00A3026E">
      <w:pPr>
        <w:pStyle w:val="a3"/>
        <w:rPr>
          <w:color w:val="000000" w:themeColor="text1"/>
          <w:lang w:val="ru-RU"/>
        </w:rPr>
      </w:pPr>
      <w:r w:rsidRPr="00A3026E">
        <w:rPr>
          <w:color w:val="000000" w:themeColor="text1"/>
          <w:lang w:val="ru-RU"/>
        </w:rPr>
        <w:t>В декабре 1940 года завод № 135 предъявил в НИИ ВВС КА на госиспытания два серийных самолёта Су-2 М-88Б ( №№ 16/2 и 20/2). За время испытаний со 2 декабря 1940 года по 17 марта 1941 года на самолёте №16/2 были заменены четыре (!) мотора М-88Б.</w:t>
      </w:r>
    </w:p>
    <w:p w14:paraId="62B07AA5" w14:textId="77777777" w:rsidR="000472A9" w:rsidRPr="00A3026E" w:rsidRDefault="000472A9" w:rsidP="00A3026E">
      <w:pPr>
        <w:pStyle w:val="a3"/>
        <w:rPr>
          <w:color w:val="000000" w:themeColor="text1"/>
          <w:lang w:val="ru-RU"/>
        </w:rPr>
      </w:pPr>
      <w:r w:rsidRPr="00A3026E">
        <w:rPr>
          <w:color w:val="000000" w:themeColor="text1"/>
          <w:lang w:val="ru-RU"/>
        </w:rPr>
        <w:t>В заключении Акта по результатам испытаний отмечалось, что:</w:t>
      </w:r>
    </w:p>
    <w:p w14:paraId="275E08EC" w14:textId="77777777" w:rsidR="000472A9" w:rsidRPr="00A3026E" w:rsidRDefault="000472A9"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 1.Температурные режимы ВМГ на серийном Су-2 М-88Б, после переделки её заводом № 135, остаются по прежнему не доведёнными. ...</w:t>
      </w:r>
    </w:p>
    <w:p w14:paraId="5D891EAC" w14:textId="77777777" w:rsidR="000472A9" w:rsidRPr="00A3026E" w:rsidRDefault="000472A9" w:rsidP="00A3026E">
      <w:pPr>
        <w:pStyle w:val="212"/>
        <w:shd w:val="clear" w:color="auto" w:fill="auto"/>
        <w:tabs>
          <w:tab w:val="left" w:pos="582"/>
        </w:tabs>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3. Считать моторы М-88 и</w:t>
      </w:r>
      <w:r w:rsidRPr="00A3026E">
        <w:rPr>
          <w:rStyle w:val="246"/>
          <w:rFonts w:ascii="Times New Roman" w:eastAsia="Arial Unicode MS" w:hAnsi="Times New Roman" w:cs="Times New Roman"/>
          <w:i w:val="0"/>
          <w:iCs w:val="0"/>
          <w:color w:val="000000" w:themeColor="text1"/>
        </w:rPr>
        <w:t xml:space="preserve"> М-88Б</w:t>
      </w:r>
      <w:r w:rsidRPr="00A3026E">
        <w:rPr>
          <w:rFonts w:ascii="Times New Roman" w:hAnsi="Times New Roman" w:cs="Times New Roman"/>
          <w:i w:val="0"/>
          <w:color w:val="000000" w:themeColor="text1"/>
          <w:sz w:val="16"/>
          <w:szCs w:val="16"/>
        </w:rPr>
        <w:t xml:space="preserve"> не</w:t>
      </w:r>
      <w:r w:rsidRPr="00A3026E">
        <w:rPr>
          <w:rStyle w:val="246"/>
          <w:rFonts w:ascii="Times New Roman" w:eastAsia="Arial Unicode MS" w:hAnsi="Times New Roman" w:cs="Times New Roman"/>
          <w:i w:val="0"/>
          <w:iCs w:val="0"/>
          <w:color w:val="000000" w:themeColor="text1"/>
        </w:rPr>
        <w:t xml:space="preserve"> доведёнными</w:t>
      </w:r>
      <w:r w:rsidRPr="00A3026E">
        <w:rPr>
          <w:rFonts w:ascii="Times New Roman" w:hAnsi="Times New Roman" w:cs="Times New Roman"/>
          <w:i w:val="0"/>
          <w:color w:val="000000" w:themeColor="text1"/>
          <w:sz w:val="16"/>
          <w:szCs w:val="16"/>
        </w:rPr>
        <w:t xml:space="preserve"> для надёжной эксплуатации в строевых частях ВВС КА. Потребовать от завода № 29 обеспечить</w:t>
      </w:r>
      <w:r w:rsidRPr="00A3026E">
        <w:rPr>
          <w:rStyle w:val="246"/>
          <w:rFonts w:ascii="Times New Roman" w:eastAsia="Arial Unicode MS" w:hAnsi="Times New Roman" w:cs="Times New Roman"/>
          <w:i w:val="0"/>
          <w:iCs w:val="0"/>
          <w:color w:val="000000" w:themeColor="text1"/>
        </w:rPr>
        <w:t xml:space="preserve"> надёжную</w:t>
      </w:r>
      <w:r w:rsidRPr="00A3026E">
        <w:rPr>
          <w:rFonts w:ascii="Times New Roman" w:hAnsi="Times New Roman" w:cs="Times New Roman"/>
          <w:i w:val="0"/>
          <w:color w:val="000000" w:themeColor="text1"/>
          <w:sz w:val="16"/>
          <w:szCs w:val="16"/>
        </w:rPr>
        <w:t xml:space="preserve"> работу мотора на само</w:t>
      </w:r>
      <w:r w:rsidRPr="00A3026E">
        <w:rPr>
          <w:rFonts w:ascii="Times New Roman" w:hAnsi="Times New Roman" w:cs="Times New Roman"/>
          <w:i w:val="0"/>
          <w:color w:val="000000" w:themeColor="text1"/>
          <w:sz w:val="16"/>
          <w:szCs w:val="16"/>
        </w:rPr>
        <w:softHyphen/>
        <w:t>лёте Су-2.</w:t>
      </w:r>
    </w:p>
    <w:p w14:paraId="706A9DA0" w14:textId="77777777" w:rsidR="000472A9" w:rsidRPr="00A3026E" w:rsidRDefault="000472A9" w:rsidP="00A3026E">
      <w:pPr>
        <w:pStyle w:val="212"/>
        <w:shd w:val="clear" w:color="auto" w:fill="auto"/>
        <w:tabs>
          <w:tab w:val="left" w:pos="577"/>
        </w:tabs>
        <w:spacing w:line="240" w:lineRule="auto"/>
        <w:jc w:val="both"/>
        <w:rPr>
          <w:rFonts w:ascii="Times New Roman" w:hAnsi="Times New Roman" w:cs="Times New Roman"/>
          <w:i w:val="0"/>
          <w:color w:val="000000" w:themeColor="text1"/>
          <w:sz w:val="16"/>
          <w:szCs w:val="16"/>
        </w:rPr>
      </w:pPr>
      <w:r w:rsidRPr="00A3026E">
        <w:rPr>
          <w:rFonts w:ascii="Times New Roman" w:hAnsi="Times New Roman" w:cs="Times New Roman"/>
          <w:i w:val="0"/>
          <w:color w:val="000000" w:themeColor="text1"/>
          <w:sz w:val="16"/>
          <w:szCs w:val="16"/>
        </w:rPr>
        <w:t>4. К 1. 05. 4 1 провести контрольные испытания на заводе № 135 для снятия лётных харак</w:t>
      </w:r>
      <w:r w:rsidRPr="00A3026E">
        <w:rPr>
          <w:rFonts w:ascii="Times New Roman" w:hAnsi="Times New Roman" w:cs="Times New Roman"/>
          <w:i w:val="0"/>
          <w:color w:val="000000" w:themeColor="text1"/>
          <w:sz w:val="16"/>
          <w:szCs w:val="16"/>
        </w:rPr>
        <w:softHyphen/>
        <w:t>теристик Су-2 М-88Б.»</w:t>
      </w:r>
      <w:r w:rsidRPr="00A3026E">
        <w:rPr>
          <w:rStyle w:val="692"/>
          <w:rFonts w:ascii="Times New Roman" w:eastAsia="Arial Unicode MS" w:hAnsi="Times New Roman" w:cs="Times New Roman"/>
          <w:b w:val="0"/>
          <w:i w:val="0"/>
          <w:iCs w:val="0"/>
          <w:color w:val="000000" w:themeColor="text1"/>
          <w:spacing w:val="0"/>
          <w:sz w:val="16"/>
          <w:szCs w:val="16"/>
        </w:rPr>
        <w:t xml:space="preserve"> (15975).</w:t>
      </w:r>
    </w:p>
    <w:p w14:paraId="452DE79B" w14:textId="77777777" w:rsidR="000472A9" w:rsidRPr="00A3026E" w:rsidRDefault="000472A9" w:rsidP="00A3026E">
      <w:pPr>
        <w:pStyle w:val="a3"/>
        <w:rPr>
          <w:color w:val="000000" w:themeColor="text1"/>
          <w:lang w:val="ru-RU"/>
        </w:rPr>
      </w:pPr>
    </w:p>
    <w:p w14:paraId="0D1AEF1E"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декабря 1940 г. самолет стал называться Су</w:t>
      </w:r>
      <w:r w:rsidRPr="00A3026E">
        <w:rPr>
          <w:rFonts w:ascii="Times New Roman" w:hAnsi="Times New Roman"/>
          <w:color w:val="000000" w:themeColor="text1"/>
          <w:sz w:val="16"/>
          <w:szCs w:val="16"/>
        </w:rPr>
        <w:noBreakHyphen/>
        <w:t>2 и в программе выпуска самолетов и моторов на 1941 г., принятой в декабре 1940 г. на совместном заседании СНК и ЦК ВКП(б), для него был установлен суммарный выпуск в 1150 машин, из них постройка 600 самолетов поручалась заводу № 135. План первого полугодия 1941 г. по выпуску Су</w:t>
      </w:r>
      <w:r w:rsidRPr="00A3026E">
        <w:rPr>
          <w:rFonts w:ascii="Times New Roman" w:hAnsi="Times New Roman"/>
          <w:color w:val="000000" w:themeColor="text1"/>
          <w:sz w:val="16"/>
          <w:szCs w:val="16"/>
        </w:rPr>
        <w:noBreakHyphen/>
        <w:t>2 был выполнен на 119%: заводы доложили о принятии военпредами 413  самолетов на 1 июня 1941 г. (17873).</w:t>
      </w:r>
    </w:p>
    <w:p w14:paraId="5D540227" w14:textId="77777777" w:rsidR="009E7912" w:rsidRPr="00A3026E" w:rsidRDefault="009E7912" w:rsidP="00A3026E">
      <w:pPr>
        <w:spacing w:after="0" w:line="240" w:lineRule="auto"/>
        <w:jc w:val="both"/>
        <w:rPr>
          <w:rFonts w:ascii="Times New Roman" w:hAnsi="Times New Roman"/>
          <w:color w:val="000000" w:themeColor="text1"/>
          <w:sz w:val="16"/>
          <w:szCs w:val="16"/>
        </w:rPr>
      </w:pPr>
    </w:p>
    <w:p w14:paraId="63A3AD43" w14:textId="77777777" w:rsidR="00302822" w:rsidRPr="00A3026E" w:rsidRDefault="00302822"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декабре 1940 г. был сформирован 135-й ближнебомбардировочны й авиаполк. Его номер был символичен — полк формировался на территории завода №135, обучение его летчиков и техников вели испытатели и инженерный состав завода — это был первый полк на Су-2. До мая 1941 г. в части прошли переподготовку 67 летчиков и 71 летчик-наблюдатель, а также командный состав девяти других полков, перевооружаемых на Су-2. В составе 135-го полка было много опытных летчиков, но не отставала от мужчин отважная женщина — капитан Екатерина Зеленко была награждена за Финскую войну орденом Красного Знамени и теперь на равных дралась с фашистами (22829).</w:t>
      </w:r>
    </w:p>
    <w:p w14:paraId="193AC473" w14:textId="77777777" w:rsidR="00302822" w:rsidRPr="00A3026E" w:rsidRDefault="00302822" w:rsidP="00A3026E">
      <w:pPr>
        <w:spacing w:after="0" w:line="240" w:lineRule="auto"/>
        <w:jc w:val="both"/>
        <w:rPr>
          <w:rFonts w:ascii="Times New Roman" w:hAnsi="Times New Roman"/>
          <w:color w:val="0070C0"/>
          <w:sz w:val="16"/>
          <w:szCs w:val="16"/>
        </w:rPr>
      </w:pPr>
    </w:p>
    <w:p w14:paraId="7AE36B1B" w14:textId="77777777" w:rsidR="000472A9" w:rsidRPr="00A3026E" w:rsidRDefault="000472A9" w:rsidP="00A3026E">
      <w:pPr>
        <w:pStyle w:val="a3"/>
        <w:rPr>
          <w:color w:val="000000" w:themeColor="text1"/>
          <w:lang w:val="ru-RU"/>
        </w:rPr>
      </w:pPr>
      <w:r w:rsidRPr="00A3026E">
        <w:rPr>
          <w:color w:val="000000" w:themeColor="text1"/>
          <w:lang w:val="ru-RU"/>
        </w:rPr>
        <w:t>В декабре 1940 г. была представлена на испытания установка пушки ОКБ-15 (впоследствии она получила наименование Ш-37) всего с 20 патронами, причем пушка весила почти 170 кг, а скорострельность орудия не превышала 183 выстр./мин. В то же время у 37-мм пушки конструкции ОКБ-16 скорострельность оказалась 280-300 выстр./мин. при боекомплекте 40 патронов.</w:t>
      </w:r>
    </w:p>
    <w:p w14:paraId="0190DBF4" w14:textId="77777777" w:rsidR="000472A9" w:rsidRPr="00A3026E" w:rsidRDefault="000472A9" w:rsidP="00A3026E">
      <w:pPr>
        <w:pStyle w:val="a3"/>
        <w:rPr>
          <w:color w:val="000000" w:themeColor="text1"/>
          <w:lang w:val="ru-RU"/>
        </w:rPr>
      </w:pPr>
      <w:r w:rsidRPr="00A3026E">
        <w:rPr>
          <w:color w:val="000000" w:themeColor="text1"/>
          <w:lang w:val="ru-RU"/>
        </w:rPr>
        <w:t>Требования ВВС КА к 37-мм пушке установили «нижнюю планку» скорострельности 330 выстр./мин., массу системы ограничивали 130 кг, а боекомплект должен был состоять не менее чем из 50 снарядов (15787).</w:t>
      </w:r>
    </w:p>
    <w:p w14:paraId="2D52DDE8" w14:textId="77777777" w:rsidR="000472A9" w:rsidRPr="00A3026E" w:rsidRDefault="000472A9" w:rsidP="00A3026E">
      <w:pPr>
        <w:spacing w:after="0" w:line="240" w:lineRule="auto"/>
        <w:jc w:val="both"/>
        <w:rPr>
          <w:rFonts w:ascii="Times New Roman" w:hAnsi="Times New Roman"/>
          <w:color w:val="000000" w:themeColor="text1"/>
          <w:sz w:val="16"/>
          <w:szCs w:val="16"/>
        </w:rPr>
      </w:pPr>
    </w:p>
    <w:p w14:paraId="5F17E4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декабря 1940 г. по март 1941 г. летчик- испытатель А. К. Долгов провел государственные испытания в НИИ ВВС трех Су-2. Одна из поступивших машин значительно отличалась от серийных. Целью модификации стало повышение летно-тактичес- ких данных до требований 1941 г. Для этого маслорадиатор перенесли в центроплан, изменили профиль капота и форму всасывающего патрубка. Весьма громоздкую заднюю башню МВ-5 заменили турелью ТСС-1 со сдвигаемой крышкой. В целом, результаты проведенной работы радовали. Скорости по сравнению с серийными самолетами возросли на 33 - 38 км/ч, потолок - на 700 м. Впервые в истории испытаний на второй границе высотности Су-2 летал быстрее 500 км/ч.</w:t>
      </w:r>
    </w:p>
    <w:p w14:paraId="32B711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Ведущий инженер А.В. Синельников выразил тревогу по поводу остававшейся ненадежности двигателей. В то время как на модифицированном самолете он работал удовлетворительно, на серийных машинах во время испытаний пришлось сменить четыре М-88Б, причем три из них вышли из строя после трех часов работы из- за задира и прогара поршней. Штурман капитан Гладинцев отметил ряд достоинств ТСС-1, но и не обошел вниманием недостатки: малые углы обстрела, трудности ведения прицельного огня при работе в потоке воздуха, сложности перевода пулемета из походного положения в боевое.</w:t>
      </w:r>
    </w:p>
    <w:p w14:paraId="341B24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мнению начальника НИИ ВВС генерал-майора ИАС А. И. Филина, изменения, осуществленные на модифицированной машине, следовало внедрить в серию после устранения отмеченных дефектов. Но здесь конструкторы и производственники проявили поспешность и уже весной начали строить Су-2 без башен. Тем временем турель ТСС-1 модифицировали, доработали, но ее государственные испытания завершились неудовлетворительно. Генерал И.Ф. Петров, сменивший арестованного по ложному обвинению Филина, считал недопустимо ослабленной обороноспособность Су-2, и после его вмешательства в конце мая 1941 г. башню МВ-5 восстановили на серийных самолетах. Всего построили 250 машин с ТСС-1, причем на некоторых из них в частях силами ремонтных бригад уже в ходе боевых действий турели сменили на МВ-5.</w:t>
      </w:r>
    </w:p>
    <w:p w14:paraId="1056CF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материалов переписки ГУ ВВС со строевыми частями следовало, что на многих машинах 135-го бап щитки Шренка выходили слишком быстро, создавая опасность для пилотирования, на других выходили из строя тахометры, ненадежно работало кислородное оборудование, обнаружились трещины на стойках наружного капота, потребовалось срочно утеплять коки винта, особенно при полетах на высотах более 7000 м, подтекал бензин из дренажной магистрали, особенно на пикировании, что представляло серьезную опасность во время боевых действий, сливать горючее было неудобно, усилия на перезарядку пулеметов оказывались недопустимо большими...</w:t>
      </w:r>
    </w:p>
    <w:p w14:paraId="6D625E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сожалению, многие дефекты М-88 первое время серийного производства сохранились и на М-88Б: отмечались задиры, прогары поршней, тряска, сопровождаемая прерывистыми выхлопами, трудная регулировка состава смеси, особенно при работе на второй скорости нагнетателя. Когда представители главного конструктора указывали на неграмотную эксплуатацию, как первопричину "моторных проблем", например, в 226-м бап, то выяснилось, что отступления от инструкций здесь не допускалось, поскольку монтаж моторов и подготовка самолетов к полетам производилась под непосредственным наблюдением представителей моторного завода № 29.</w:t>
      </w:r>
    </w:p>
    <w:p w14:paraId="71CB67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Тщательная проверка показала: все предусмотренные тактико-техническими требованиями типы и калибры авиабомб подвешиваются на Су-2 нормально. К недостаткам бомбардировочного вооружения специалисты НИ ПАВ отнесли ненадежное крепление кронштейна лебедки при подвеске бомб на наружные держатели, короткие ухваты для закрепления некоторых образцов бомб, например, БРАБ-220. Комплект бомбардировочного вооружения был весьма разнообразен и громоздок в эксплуатации, и, в то же время, позволял загружать бомбодержатели КД-1 мелкими авиабомбами (теоретически до 44 штук каждого типа), как АО-15, АО-10 или АО-8.</w:t>
      </w:r>
    </w:p>
    <w:p w14:paraId="23548F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Незадолго до начала войны Сухой (в ответ на обращение руководства НКАП) определил свое отношение к перспективным двигателям. Он считал, что уже с осени 1941 г. серийное производство можно перевести на моторы М-89, который начал создавать ещеТуманский и продолжил работу Урмин. Но, по мнению Павла Осиповича, гораздо больше преимуществ в летных характеристиках сулил двигатель Шевцова М-82 - прежде всего, его модификация М-81. В качестве перспективного мотора для Су-4 (крупная модификация, которую запланировал произвести главный конструктор) рассматривались М-90 и АМ-37 (12028). </w:t>
      </w:r>
    </w:p>
    <w:p w14:paraId="7E19564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D1018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незадолго до нового 1941 г. моторы М-88Б устанавливали не только на вновь построенные Су-2, но и заменяли некондиционные двигатели на уже выпущенных машинах. В последних числах декабря 1940 г. не только впервые удалось выполнить план и сдать военным представителям 40 самолетов, но и обеспечить задел для выполнения программы следующего года.</w:t>
      </w:r>
    </w:p>
    <w:p w14:paraId="5D81C7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Номера серийных бомбардировщиков: Несколько таганрогских машин имели тип (код) «26» и шестизначный номер, включавший номер завода. Так, один из самолетов 211-го бап имел № 263107. В Харькове нумерация Су-2 продолжалась порядком, принятым для Р-10. Например, машины №№ 9/2 и 1/4 передали в январе 1941 г. в 135-й бап. С весны этого года стандартным стал заводской номер бомбардировщика из пяти цифр. Например, самолеты №№ 19017, 54093, 17106 имелись летом 1942 г. в 209-м бап, а на Су-2 № 05056 летал осенью 1941 г. экипаж мл. лейтенанта И.А.Клевцова и ст. лейтенанта М.АЛашина из 135-го бап. И наконец, как бы специально для запутывания вражеских шпионов присваивали серийные номера в Долгопрудном. Известно, что машины завода № 207 имели обычно пять цифр и одну букву, перемещавшиеся от серии к серии. Цифры «07 » определяли тип машины, буквы указывали зашифрованный номер серии, а оставшиеся цифры - порядковый номер каждого самолета в серии. Для примера приводим расшифровку машин с пятой по седьмую серию (в каждой по 25 Су-2): Из общей заводской таблицы следует, что Су-2 № 070Т29, переданный в 9-ю драэ, принадлежал 4-й серии, № А07072 из 97-го бап - 5-й, а недостроенный и брошенный впоследствии в Перми № Ю07083 - 8-й серии. Налаживание серийного производства позволило рассчитать себестоимость самолета. Она оказалась весьма высокой. Так, харьковские «сушки» обходились стране в 430 тыс. руб, а долгопрудненскис еще дороже - 700 тыс. Для сравнения отметим, что СБ завода № 22 стоили всего 265 тыс. руб, а ББ-22 завода № 1 - 400 тыс. руб. Основные причины больших затрат можно объяснить невысокой механизацией производства даже на заводе № 135 (по сравнению с нашими передовыми предприятиями), значительными объемами механической обработки большого количества деталей и высокой металлоемкостью (845 кг дюраля и 440 кг стали на каждый самолет) (5360).</w:t>
      </w:r>
    </w:p>
    <w:p w14:paraId="56D123D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058009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ОКБ предъявило только макет самолета ОБШ М-71. В том же месяце самолет получил на</w:t>
      </w:r>
      <w:r w:rsidRPr="00A3026E">
        <w:rPr>
          <w:rFonts w:ascii="Times New Roman" w:hAnsi="Times New Roman"/>
          <w:color w:val="000000" w:themeColor="text1"/>
          <w:sz w:val="16"/>
          <w:szCs w:val="16"/>
        </w:rPr>
        <w:softHyphen/>
        <w:t>именование Су-6 М-71 (5011).</w:t>
      </w:r>
    </w:p>
    <w:p w14:paraId="3B1B576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22F4ED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из-за перегруженности ОКБ был готов макет ОБШ М-71 был готов. В 1941 г. самолет получил обозначение Су-6 М-71 (9649).</w:t>
      </w:r>
    </w:p>
    <w:p w14:paraId="293E7A2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CE021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декабре (1939 или 1940? - по логике - в январе 1940) был продемонстрирован макет подвижной установки Г.М.Можаровского и В.И.Веневидова недавно назначенному наркому авиапромышленности А.И.Шахурину (35 лет), оценившему схему и доложившему правительству. А.С.Яковлев, зам. Наркома ответственный за опытное самолетостроение и научные разработки (33 года), поддержал проект (1940) (58).</w:t>
      </w:r>
    </w:p>
    <w:p w14:paraId="1D74D93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6BE2ADD"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учитывая возможную задержку с поставкой мотора М-90, Кочеригин переделал проект ОПБ под установку более реального мотора М-89. Несмотря на несколько худшие летные данные (скорость у земли – 440 км/ч, время подъема на высоту 6900 м – 11,8 мин, скоростная дальность – 660 км), Кочеригин предложил достроить первый экземпляр ОПБ именно с М-89. В этом случае появлялась возможность сократить сроки выхода самолета на заводские испытания, доводки систем и вооружения, а также оценки его свойств как пикировщика. На государственные испытания машину планировалось предъявить уже с М-90. Однако НКАП счел нецелесообразным устанавливать на самолет промежуточный мотор и разрешения не дал.</w:t>
      </w:r>
    </w:p>
    <w:p w14:paraId="687F1AE0"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планам 1941 года одновременно с ОПБ М-90 предполагался к постройке второй экземпляр самолета (дублер) с мотором АМ-37. В этом варианте С. А. Кочеригин в очередной раз наглядно продемонстрировал способность к нестандартным и смелым решениям.</w:t>
      </w:r>
    </w:p>
    <w:p w14:paraId="6F370539"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ОПБ с АМ-37 Кочеригин предусмотрел высокое размещение летчика с соответствующим увеличением фонаря кабины, сознательно пойдя на некоторое ухудшение аэродинамики. Обзор летчику вперед и вниз увеличился до 15°, что заметно повышало эффективность применения самолета на поле боя. При этом сохранялось и специальное остекление пола пилотской кабины и бомбовых люков.</w:t>
      </w:r>
    </w:p>
    <w:p w14:paraId="2CD05398"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проекту при полетном весе 4010 кг максимальная скорость полета машины у земли составляла 462 км/ч, на высоте 7000 м – 580 км/ч. Время набора высоты 5000 м – 6,8 мин. Дальность полета – 960 км (с дополнительным бензобаком 1560 км).</w:t>
      </w:r>
    </w:p>
    <w:p w14:paraId="4F23B9AC"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в связи с тем, что А. А. Микулин отказался от доводки мотора АМ-37 работа по дублеру, «кроме сделанного небольшого задела в заготовительных цехах», заводом № 156 практически не велась. По требованию ВВС директор завода № 156 и Кочеригин получили указание наркома авиапромышленности Шахурина ускорить постройку второго экземпляра и одновременно доработать его под установку мотора М-71. Предполагалось после проведения испытаний «обоих экземпляров самолета принять решение о серийной постройке его с одним из этих моторов».</w:t>
      </w:r>
    </w:p>
    <w:p w14:paraId="2896D1F4"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Планом опытного строительства на 1942 год предусматривалась постройка одномоторного пикирующего бомбардировщика ОПБ конструкции С. А. Кочеригина с мотором воздушного охлаждения М-90. Срок предъявления самолета на государственные испытания устанавливался 1 марта 1942 года.</w:t>
      </w:r>
    </w:p>
    <w:p w14:paraId="3D0148A5"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задумке, ОПБ представлял собой многоцелевой боевой самолет: с бомбовой нагрузкой и РС – легкий пикирующий бомбардировщик и штурмовик для действий непосредственно на поле боя, без них – истребитель воздушного боя, в том числе «в частных случаях обстановки» истребитель сопровождения бомбардировщиков с большой дальностью полета.</w:t>
      </w:r>
    </w:p>
    <w:p w14:paraId="754CB4F6"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заданию, максимальная скорость полета ОПБ должна была составлять 508 км/ч у земли и 625 км/ч – на высоте 6900 м. Посадочная скорость – 130 км/ч. Скоростная дальность полета (на 0,9V) – 770 км. Время набора высоты 5000 м – 5,2 мин.</w:t>
      </w:r>
    </w:p>
    <w:p w14:paraId="1AC72519"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в его окончательном варианте (1942 г.) включало 2 пушки калибра 23 мм (200 патронов) или калибра 20 мм (300 патронов), 6 РО-82 (или РО-132) и 500 кг бомб (в перегрузку 700 кг).</w:t>
      </w:r>
    </w:p>
    <w:p w14:paraId="64E700ED"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Вся бомбовая нагрузка размещалась внутри фюзеляжа и на двух держателях под крылом. Внутри фюзеляжа допускалась подвеска одной бомбы калибра 500 кг или кассеты мелких бомб на 460 кг, а на каждый держатель под крылом бомба калибра до 250 кг.</w:t>
      </w:r>
    </w:p>
    <w:p w14:paraId="0D1B83EE"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фюзеляжном отсеке вместо бомбовой нагрузки можно было подвесить дополнительный 500-литровый бензобак.</w:t>
      </w:r>
    </w:p>
    <w:p w14:paraId="73A0F04A"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Безопасный сброс бомбы с внутренней подвески при пикировании обеспечивался специальным бомбодержателем ПБ-3 с параллелограммным механизмом, который выводил бомбу за пределы площади вращения винта. Сброс бомб с внешних держателей был возможен как с горизонтального полета, так и с пикирования.</w:t>
      </w:r>
    </w:p>
    <w:p w14:paraId="002F34E2"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оснащался автоматом вывода из пикирования, а для ограничения скорости при пикировании на верхней и нижней поверхностях консолей крыла устанавливались отклоняющиеся на 90° воздушные тормоза.</w:t>
      </w:r>
    </w:p>
    <w:p w14:paraId="2E0C6817"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цельнометаллическое типа «обратная чайка» с работающей обшивкой имело развитую механизацию – автоматические предкрылки, зависающие элероны и щитки-закрылки. Это повышало устойчивость самолета при маневрировании на больших углах атаки, что было весьма полезно при нанесении ударов с малой высоты. Для успеха атаки необходимо было строить энергичный маневр с небольшим размахом и преимущественно в вертикальной плоскости. К тому же стойки шасси можно сделать короче, значит, и легче. Шасси убиралось в центроплан по диагонали к направлению фюзеляжа с одновременным поворотом вокруг оси.</w:t>
      </w:r>
    </w:p>
    <w:p w14:paraId="2D0217B8"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целью обеспечения хорошего обзора при прицеливании летчик на ОПБ «располагается непосредственно за мотором и таким образом имеет обзор всей передней полусферы значительно лучше, чем у многих современных одномоторных истребителей и штурмовиков». Обзор зоны непосредственно перед самолетом и под ним частично улучшался за счет остекления пола кабины летчика и бомбовых люков под ней.</w:t>
      </w:r>
    </w:p>
    <w:p w14:paraId="4454BC25"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передних стеклах фонаря кабины устанавливалось бронестекло. Сзади и снизу летчик прикрывался 13-мм броней, сверху – бронезаголовником. Бензобаки проектировались. Штурмовой вариант предполагал усиленное бронирование.</w:t>
      </w:r>
    </w:p>
    <w:p w14:paraId="01C2AA2B" w14:textId="77777777" w:rsidR="009E7912" w:rsidRPr="00A3026E" w:rsidRDefault="009E7912"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Надо сказать, в сравнении с однотипными машинами ОПБ получался очень компактным: размах крыла – 10,4 м, длина – всего 8,2 м. Конструкция самолета имела высокую производственную технологичность, что позволяло быстро развернуть его серийный выпуск (17490).</w:t>
      </w:r>
    </w:p>
    <w:p w14:paraId="2406D51E" w14:textId="77777777" w:rsidR="009E7912" w:rsidRPr="00A3026E" w:rsidRDefault="009E7912" w:rsidP="00A3026E">
      <w:pPr>
        <w:spacing w:after="0" w:line="240" w:lineRule="auto"/>
        <w:jc w:val="both"/>
        <w:rPr>
          <w:rFonts w:ascii="Times New Roman" w:eastAsia="Times New Roman" w:hAnsi="Times New Roman"/>
          <w:color w:val="000000" w:themeColor="text1"/>
          <w:sz w:val="16"/>
          <w:szCs w:val="16"/>
          <w:lang w:eastAsia="ru-RU"/>
        </w:rPr>
      </w:pPr>
    </w:p>
    <w:p w14:paraId="352A9A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на заводе №39 провели интересный эксперимент по повышению боевой живучести ДБ-ЗФ. Бензобак расположили в герметизированном отсеке, заполнявшемся нейтральным газом. Идею позаимствовали у немцев - изучавшихся у нас бомбардировщиках Юнкере Ju 88 и Дорнье Do 215. Изготовили экспериментальное крыло, которое расстреливали из пулемета на полигоне. Но результат от новинки оказался невысоким. Сказалось низкое качество изготовления. Отсек, который должен был герметизироваться, уплотнили плохо. Идея была хорошей, но подвела технология. На серийных самолетах баки изготовлялись по-старому (12021).</w:t>
      </w:r>
    </w:p>
    <w:p w14:paraId="3E8145B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05D8E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первый самолет ТБ-7 с АМ-35А взлетной мощностью 1350 л.с, номинальной - 1120 л.с, и воздушными винтами ВИШ-24 диаметром 4,1 м, выкатили из заводского цеха.</w:t>
      </w:r>
    </w:p>
    <w:p w14:paraId="20391C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Указывалось, что в данный экземпляр с заводским номером 42015 внесены следующие изменения:</w:t>
      </w:r>
    </w:p>
    <w:p w14:paraId="4A19B7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Для выброски воздушного десанта в отсеке фюзеляжа Ф-3 оборудована вторая дверь по левому боргу размером 1150x750 мм;</w:t>
      </w:r>
    </w:p>
    <w:p w14:paraId="57AF19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Усилен каркас и обшивка фюзеляжа в районе отсека Ф-3;</w:t>
      </w:r>
    </w:p>
    <w:p w14:paraId="7369DF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Снята люковая оборонительная установка;</w:t>
      </w:r>
    </w:p>
    <w:p w14:paraId="3FAA9E1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Для подъема грузов установлены лебедки БЛ-4 вместо БЛ-3;</w:t>
      </w:r>
    </w:p>
    <w:p w14:paraId="0F7FD8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Дая перевозки под фюзеляжем грузов до 4-х тонн введены дополнительные узлы крепления грузовой платформы;</w:t>
      </w:r>
    </w:p>
    <w:p w14:paraId="369838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Оборудованы отделения для размещения десантников;</w:t>
      </w:r>
    </w:p>
    <w:p w14:paraId="08AE80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Построена и прилагается к самолету съемная десантная кабина на 12 человек; </w:t>
      </w:r>
    </w:p>
    <w:p w14:paraId="2987ED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Оборудована система заполнения топливных баков инертным газом (в данном варианте - выхлопными газами двигателей);</w:t>
      </w:r>
    </w:p>
    <w:p w14:paraId="5EB246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Смонтировано отопление штурманской кабины;</w:t>
      </w:r>
    </w:p>
    <w:p w14:paraId="785969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 автопилот АПГ-1;</w:t>
      </w:r>
    </w:p>
    <w:p w14:paraId="193B5D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Установлены новые кассетные держатели КД-2, новый прицел РПБ-2МУ, ночной прицел НКПГ-3, электросбрасыватель ЭСБР-5, опытные стрелковые установки НЭБ-42 и КЭБ-42 (соответственно: носовая и кормовая экранированные башни).</w:t>
      </w:r>
    </w:p>
    <w:p w14:paraId="15825E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 ТБ-7 №42015 согласно сопроводительной документации состоял из 10 человек, самолет был оборудован антиобледенителем воздушных винтов, емкость топливной системы в 12 протектированных бензобаках составляла 12440 литров. Предельный полетный вес самолета был ограничен прочностью колес размером 1600x500 мм. При использовании более прочных колес размером 1600x600 мм допустимый полетный вес в дальнейшем определялся в 33500 кг (12025).</w:t>
      </w:r>
    </w:p>
    <w:p w14:paraId="4570E70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75C32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ВВС потеряли первый из ТБ-7 (АНТ-42) в результате катастрофы и осталось 18 (1103,226).</w:t>
      </w:r>
    </w:p>
    <w:p w14:paraId="4709C6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другим данным первая катастрофа ТБ-7 была 13 ноября 1940.</w:t>
      </w:r>
    </w:p>
    <w:p w14:paraId="5D175F1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4A8E9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ТБ-7 №4216 (первая, переданная в полк) потерпела катастрофу а одна сильно повреждена при аварии (7685).</w:t>
      </w:r>
    </w:p>
    <w:p w14:paraId="3F0AFBE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36F7B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Начиная с декабря 1940 года никакой официальной информации от ВВС по эксплуатации ТБ-7 не было и ОКБ питалось, в основном, слухами. В 14 ТБАП помимо ТБ-7 (одна эскадрилья) стояли на вооружении ТБ-3. Штаб 18-й АД ДД, куда входил 14 ТБАП, находился в Скоморохах, там же базировался 90 ДБАП и 93 ДБАП на ДБ-3Ф. Для выяснения реального состояния дел в эксплуатации, а также возможных претензий к матчасти и заводу ОКБ направило на Украину ведущего инженера по летным испытаниям Я.С.Осокина. Но командование 14 ТБАП с актом по катастрофе Осокина даже не ознакомило, а заявило, что ни у командования полка, ни у техсостава претензий нет. Представитель завода выяснил, что с декабря 1940 года самолеты не летали. На естественный вопрос Осокина о причинах отсутствия полетов в течение нескольких месяцев командование полка сообщило ему о том, что с моральным состоянием экипажей они справятся сами без участия завода и </w:t>
      </w:r>
      <w:r w:rsidRPr="00A3026E">
        <w:rPr>
          <w:rFonts w:ascii="Times New Roman" w:hAnsi="Times New Roman"/>
          <w:color w:val="000000" w:themeColor="text1"/>
          <w:sz w:val="16"/>
          <w:szCs w:val="16"/>
        </w:rPr>
        <w:lastRenderedPageBreak/>
        <w:t>заставят экипажи летать и что остальные ТБ-7 полка находятся в летном состоянии и вмешательства ни ОКБ, ни завода не требуется. Все сделаем сами. С этим Осокин и уехал в Казань (7685).</w:t>
      </w:r>
    </w:p>
    <w:p w14:paraId="06E0E2F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C7104C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штаб авиации ВМФ разработал оперативно-тактическое обоснование при</w:t>
      </w:r>
      <w:r w:rsidRPr="00A3026E">
        <w:rPr>
          <w:rFonts w:ascii="Times New Roman" w:hAnsi="Times New Roman"/>
          <w:color w:val="000000" w:themeColor="text1"/>
          <w:sz w:val="16"/>
          <w:szCs w:val="16"/>
        </w:rPr>
        <w:softHyphen/>
        <w:t>менения комплексных звеньев ТБ-7 с двумя И-16. «Основными задачами комплексных звеньев (ТБ7+2И16) на морских театрах являются:</w:t>
      </w:r>
    </w:p>
    <w:p w14:paraId="16D17D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Прикрытие действий своего флота от налетов авиации противника на удалении до 300 км от ближай</w:t>
      </w:r>
      <w:r w:rsidRPr="00A3026E">
        <w:rPr>
          <w:rFonts w:ascii="Times New Roman" w:hAnsi="Times New Roman"/>
          <w:color w:val="000000" w:themeColor="text1"/>
          <w:sz w:val="16"/>
          <w:szCs w:val="16"/>
        </w:rPr>
        <w:softHyphen/>
        <w:t>ших аэродромов.</w:t>
      </w:r>
    </w:p>
    <w:p w14:paraId="7DB6E9B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Прикрытие от действия авиации противника воен</w:t>
      </w:r>
      <w:r w:rsidRPr="00A3026E">
        <w:rPr>
          <w:rFonts w:ascii="Times New Roman" w:hAnsi="Times New Roman"/>
          <w:color w:val="000000" w:themeColor="text1"/>
          <w:sz w:val="16"/>
          <w:szCs w:val="16"/>
        </w:rPr>
        <w:softHyphen/>
        <w:t>но-морских баз путем длительного патрулирования в воздухе (в течение 6,5 часов).</w:t>
      </w:r>
    </w:p>
    <w:p w14:paraId="6D31A9D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Бомбардировочные действия с пикирования по транспортам и легким силам противника на удалении до 300 км от ближайших сухопутных аэродромов.</w:t>
      </w:r>
    </w:p>
    <w:p w14:paraId="254E51B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Обеспечение от налетов авиации противника на</w:t>
      </w:r>
      <w:r w:rsidRPr="00A3026E">
        <w:rPr>
          <w:rFonts w:ascii="Times New Roman" w:hAnsi="Times New Roman"/>
          <w:color w:val="000000" w:themeColor="text1"/>
          <w:sz w:val="16"/>
          <w:szCs w:val="16"/>
        </w:rPr>
        <w:softHyphen/>
        <w:t>ших коммуникаций (устье Белого моря-Мурманск, Владивосток-Сов. Гавань).</w:t>
      </w:r>
    </w:p>
    <w:p w14:paraId="48A27A0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Главнейшие преимущества в применении комплекс</w:t>
      </w:r>
      <w:r w:rsidRPr="00A3026E">
        <w:rPr>
          <w:rFonts w:ascii="Times New Roman" w:hAnsi="Times New Roman"/>
          <w:color w:val="000000" w:themeColor="text1"/>
          <w:sz w:val="16"/>
          <w:szCs w:val="16"/>
        </w:rPr>
        <w:softHyphen/>
        <w:t>ных звеньев по сравнению с существующими на воору</w:t>
      </w:r>
      <w:r w:rsidRPr="00A3026E">
        <w:rPr>
          <w:rFonts w:ascii="Times New Roman" w:hAnsi="Times New Roman"/>
          <w:color w:val="000000" w:themeColor="text1"/>
          <w:sz w:val="16"/>
          <w:szCs w:val="16"/>
        </w:rPr>
        <w:softHyphen/>
        <w:t>жении истребителями, действующими непосредственно с аэродромов, заключаются в следующем:</w:t>
      </w:r>
    </w:p>
    <w:p w14:paraId="1C304B7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Применение ТБ7 как матки для истребителей уве</w:t>
      </w:r>
      <w:r w:rsidRPr="00A3026E">
        <w:rPr>
          <w:rFonts w:ascii="Times New Roman" w:hAnsi="Times New Roman"/>
          <w:color w:val="000000" w:themeColor="text1"/>
          <w:sz w:val="16"/>
          <w:szCs w:val="16"/>
        </w:rPr>
        <w:softHyphen/>
        <w:t>личивает радиус действия существующих истребителей в 2 раза.</w:t>
      </w:r>
    </w:p>
    <w:p w14:paraId="03CCD84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Позволяет с меньшим напряжением для истреби</w:t>
      </w:r>
      <w:r w:rsidRPr="00A3026E">
        <w:rPr>
          <w:rFonts w:ascii="Times New Roman" w:hAnsi="Times New Roman"/>
          <w:color w:val="000000" w:themeColor="text1"/>
          <w:sz w:val="16"/>
          <w:szCs w:val="16"/>
        </w:rPr>
        <w:softHyphen/>
        <w:t>тельных частей нести в течение всего светлого времени непрерывное дежурство в воздухе при обороне ВМФ и других важнейших объектов. (Пример: при обороне ВМБ (военно-морских баз) путем одновременно</w:t>
      </w:r>
      <w:r w:rsidRPr="00A3026E">
        <w:rPr>
          <w:rFonts w:ascii="Times New Roman" w:hAnsi="Times New Roman"/>
          <w:color w:val="000000" w:themeColor="text1"/>
          <w:sz w:val="16"/>
          <w:szCs w:val="16"/>
        </w:rPr>
        <w:softHyphen/>
        <w:t>го дежурства в воздухе 18 истребителей, работающих с аэродромов в течение 12 часов светлого времени, потре</w:t>
      </w:r>
      <w:r w:rsidRPr="00A3026E">
        <w:rPr>
          <w:rFonts w:ascii="Times New Roman" w:hAnsi="Times New Roman"/>
          <w:color w:val="000000" w:themeColor="text1"/>
          <w:sz w:val="16"/>
          <w:szCs w:val="16"/>
        </w:rPr>
        <w:softHyphen/>
        <w:t>буется сделать 144 самолето-вылета по 1,5 часа каждого. При применении комплексных звеньев потребуется сде</w:t>
      </w:r>
      <w:r w:rsidRPr="00A3026E">
        <w:rPr>
          <w:rFonts w:ascii="Times New Roman" w:hAnsi="Times New Roman"/>
          <w:color w:val="000000" w:themeColor="text1"/>
          <w:sz w:val="16"/>
          <w:szCs w:val="16"/>
        </w:rPr>
        <w:softHyphen/>
        <w:t>лать 18 звенье-вылетов по 6 часов каждый вылет).</w:t>
      </w:r>
    </w:p>
    <w:p w14:paraId="6492A5F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Позволяет с меньшим напряжением для истреби</w:t>
      </w:r>
      <w:r w:rsidRPr="00A3026E">
        <w:rPr>
          <w:rFonts w:ascii="Times New Roman" w:hAnsi="Times New Roman"/>
          <w:color w:val="000000" w:themeColor="text1"/>
          <w:sz w:val="16"/>
          <w:szCs w:val="16"/>
        </w:rPr>
        <w:softHyphen/>
        <w:t>тельных частей обеспечивать корабли флота сопровож</w:t>
      </w:r>
      <w:r w:rsidRPr="00A3026E">
        <w:rPr>
          <w:rFonts w:ascii="Times New Roman" w:hAnsi="Times New Roman"/>
          <w:color w:val="000000" w:themeColor="text1"/>
          <w:sz w:val="16"/>
          <w:szCs w:val="16"/>
        </w:rPr>
        <w:softHyphen/>
        <w:t>дением на удалении до 300 клм от аэродромов».</w:t>
      </w:r>
    </w:p>
    <w:p w14:paraId="68F4C93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этом предполагалось, что в случае применения звена ТБ7-2И16 для охраны флота И-16 будет иметь 10 минут для ведения боя, продолжительность нахождения И-16 на носителе до отцепления в районе действия (т.е. на расстоянии 300 км от базы) составит 3,5 часов, а об</w:t>
      </w:r>
      <w:r w:rsidRPr="00A3026E">
        <w:rPr>
          <w:rFonts w:ascii="Times New Roman" w:hAnsi="Times New Roman"/>
          <w:color w:val="000000" w:themeColor="text1"/>
          <w:sz w:val="16"/>
          <w:szCs w:val="16"/>
        </w:rPr>
        <w:softHyphen/>
        <w:t>щая продолжительность полета ТБ-7 - 6,3 часа (10667).</w:t>
      </w:r>
    </w:p>
    <w:p w14:paraId="11D84BC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1E0C4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вышел на испытания бомбардировочный вариант сотки. Гос. испытания первого серийного проходили в январе-феврале 1941 (163,5).</w:t>
      </w:r>
    </w:p>
    <w:p w14:paraId="16ED913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2E84AD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начались испытания предсерийного ПБ-100, а в начале 1940 г. из сборочных цехов заво</w:t>
      </w:r>
      <w:r w:rsidRPr="00A3026E">
        <w:rPr>
          <w:rFonts w:ascii="Times New Roman" w:hAnsi="Times New Roman"/>
          <w:color w:val="000000" w:themeColor="text1"/>
          <w:sz w:val="16"/>
          <w:szCs w:val="16"/>
        </w:rPr>
        <w:softHyphen/>
        <w:t>дов № 22 и № 39 начали выходить первые серийные Пе-2. Этот самолет немного превосходил СПБ по макси</w:t>
      </w:r>
      <w:r w:rsidRPr="00A3026E">
        <w:rPr>
          <w:rFonts w:ascii="Times New Roman" w:hAnsi="Times New Roman"/>
          <w:color w:val="000000" w:themeColor="text1"/>
          <w:sz w:val="16"/>
          <w:szCs w:val="16"/>
        </w:rPr>
        <w:softHyphen/>
        <w:t>мальной скорости на расчетной высоте, но уступал ему в скороподъемности и мог нести меньше бомб на внут</w:t>
      </w:r>
      <w:r w:rsidRPr="00A3026E">
        <w:rPr>
          <w:rFonts w:ascii="Times New Roman" w:hAnsi="Times New Roman"/>
          <w:color w:val="000000" w:themeColor="text1"/>
          <w:sz w:val="16"/>
          <w:szCs w:val="16"/>
        </w:rPr>
        <w:softHyphen/>
        <w:t>ренней подвеске. Так закончилась история СПБ. Один из построенных самолетов передали в Московский авиационный инсти</w:t>
      </w:r>
      <w:r w:rsidRPr="00A3026E">
        <w:rPr>
          <w:rFonts w:ascii="Times New Roman" w:hAnsi="Times New Roman"/>
          <w:color w:val="000000" w:themeColor="text1"/>
          <w:sz w:val="16"/>
          <w:szCs w:val="16"/>
        </w:rPr>
        <w:softHyphen/>
        <w:t>тут и использовали для обучения студентов (10667).</w:t>
      </w:r>
    </w:p>
    <w:p w14:paraId="148BD08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52CAB9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закончились гос. испытания Як-4 N 70603 с М-105 производства 81 завода (1081).</w:t>
      </w:r>
    </w:p>
    <w:p w14:paraId="4645199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3F3DF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закончились заводские испытания СБ РК, которые шли с августа 1940 (2090,232).</w:t>
      </w:r>
    </w:p>
    <w:p w14:paraId="1DCEE7B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59CE54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завод №1 выпустил 80 истребителей МиГ-1 и 20 МиГ-3. В этом же месяце в строевые части отправили первые 40 самолётов МиГ-1. Таким образом, от начала проектирования до поставки серий</w:t>
      </w:r>
      <w:r w:rsidRPr="00A3026E">
        <w:rPr>
          <w:rFonts w:ascii="Times New Roman" w:hAnsi="Times New Roman"/>
          <w:color w:val="000000" w:themeColor="text1"/>
          <w:sz w:val="16"/>
          <w:szCs w:val="16"/>
        </w:rPr>
        <w:softHyphen/>
        <w:t>ной продукции в войска, прошёл всего один год. Всего из построен</w:t>
      </w:r>
      <w:r w:rsidRPr="00A3026E">
        <w:rPr>
          <w:rFonts w:ascii="Times New Roman" w:hAnsi="Times New Roman"/>
          <w:color w:val="000000" w:themeColor="text1"/>
          <w:sz w:val="16"/>
          <w:szCs w:val="16"/>
        </w:rPr>
        <w:softHyphen/>
        <w:t>ных в 1940 г. 120 истребителей в распоряжение ВВС КА направили 92 МиГ-1 и 19 МиГ-3. Остальные самолёты предназначались для авиации ВМФ.</w:t>
      </w:r>
    </w:p>
    <w:p w14:paraId="0F1571D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успешное выполнение пра</w:t>
      </w:r>
      <w:r w:rsidRPr="00A3026E">
        <w:rPr>
          <w:rFonts w:ascii="Times New Roman" w:hAnsi="Times New Roman"/>
          <w:color w:val="000000" w:themeColor="text1"/>
          <w:sz w:val="16"/>
          <w:szCs w:val="16"/>
        </w:rPr>
        <w:softHyphen/>
        <w:t>вительственного задания в облас</w:t>
      </w:r>
      <w:r w:rsidRPr="00A3026E">
        <w:rPr>
          <w:rFonts w:ascii="Times New Roman" w:hAnsi="Times New Roman"/>
          <w:color w:val="000000" w:themeColor="text1"/>
          <w:sz w:val="16"/>
          <w:szCs w:val="16"/>
        </w:rPr>
        <w:softHyphen/>
        <w:t>ти создания и освоения в произ</w:t>
      </w:r>
      <w:r w:rsidRPr="00A3026E">
        <w:rPr>
          <w:rFonts w:ascii="Times New Roman" w:hAnsi="Times New Roman"/>
          <w:color w:val="000000" w:themeColor="text1"/>
          <w:sz w:val="16"/>
          <w:szCs w:val="16"/>
        </w:rPr>
        <w:softHyphen/>
        <w:t>водстве новых образцов авиацион</w:t>
      </w:r>
      <w:r w:rsidRPr="00A3026E">
        <w:rPr>
          <w:rFonts w:ascii="Times New Roman" w:hAnsi="Times New Roman"/>
          <w:color w:val="000000" w:themeColor="text1"/>
          <w:sz w:val="16"/>
          <w:szCs w:val="16"/>
        </w:rPr>
        <w:softHyphen/>
        <w:t>ной техники 31 декабря 1940 г. авиазавод №1 им. Авиахима был награждён орденом Ленина, а боль</w:t>
      </w:r>
      <w:r w:rsidRPr="00A3026E">
        <w:rPr>
          <w:rFonts w:ascii="Times New Roman" w:hAnsi="Times New Roman"/>
          <w:color w:val="000000" w:themeColor="text1"/>
          <w:sz w:val="16"/>
          <w:szCs w:val="16"/>
        </w:rPr>
        <w:softHyphen/>
        <w:t>шая группа конструкторов, инжене</w:t>
      </w:r>
      <w:r w:rsidRPr="00A3026E">
        <w:rPr>
          <w:rFonts w:ascii="Times New Roman" w:hAnsi="Times New Roman"/>
          <w:color w:val="000000" w:themeColor="text1"/>
          <w:sz w:val="16"/>
          <w:szCs w:val="16"/>
        </w:rPr>
        <w:softHyphen/>
        <w:t>ров и рабочих - орденами и меда</w:t>
      </w:r>
      <w:r w:rsidRPr="00A3026E">
        <w:rPr>
          <w:rFonts w:ascii="Times New Roman" w:hAnsi="Times New Roman"/>
          <w:color w:val="000000" w:themeColor="text1"/>
          <w:sz w:val="16"/>
          <w:szCs w:val="16"/>
        </w:rPr>
        <w:softHyphen/>
        <w:t>лями. А.И. Микояна и М.И. Гуреви-ча наградили орденами Ленина, а за разработку новой конструкции самолёта они удостоились также Сталинской премии первой степе</w:t>
      </w:r>
      <w:r w:rsidRPr="00A3026E">
        <w:rPr>
          <w:rFonts w:ascii="Times New Roman" w:hAnsi="Times New Roman"/>
          <w:color w:val="000000" w:themeColor="text1"/>
          <w:sz w:val="16"/>
          <w:szCs w:val="16"/>
        </w:rPr>
        <w:softHyphen/>
        <w:t>ни.</w:t>
      </w:r>
    </w:p>
    <w:p w14:paraId="44BC5DA1" w14:textId="77777777" w:rsidR="0014077F" w:rsidRPr="00A3026E" w:rsidRDefault="0014077F" w:rsidP="00A3026E">
      <w:pPr>
        <w:pStyle w:val="af9"/>
        <w:spacing w:before="0" w:after="0"/>
        <w:jc w:val="both"/>
        <w:rPr>
          <w:color w:val="000000" w:themeColor="text1"/>
          <w:sz w:val="16"/>
          <w:szCs w:val="16"/>
        </w:rPr>
      </w:pPr>
      <w:r w:rsidRPr="00A3026E">
        <w:rPr>
          <w:color w:val="000000" w:themeColor="text1"/>
          <w:sz w:val="16"/>
          <w:szCs w:val="16"/>
        </w:rPr>
        <w:t>Стоит отметить, что большую помощь в части скоростного про</w:t>
      </w:r>
      <w:r w:rsidRPr="00A3026E">
        <w:rPr>
          <w:color w:val="000000" w:themeColor="text1"/>
          <w:sz w:val="16"/>
          <w:szCs w:val="16"/>
        </w:rPr>
        <w:softHyphen/>
        <w:t>ектирования, изготовления опытных образцов и внедрения в серию ис</w:t>
      </w:r>
      <w:r w:rsidRPr="00A3026E">
        <w:rPr>
          <w:color w:val="000000" w:themeColor="text1"/>
          <w:sz w:val="16"/>
          <w:szCs w:val="16"/>
        </w:rPr>
        <w:softHyphen/>
        <w:t>требителей МиГ-1 и МиГ-3 оказы</w:t>
      </w:r>
      <w:r w:rsidRPr="00A3026E">
        <w:rPr>
          <w:color w:val="000000" w:themeColor="text1"/>
          <w:sz w:val="16"/>
          <w:szCs w:val="16"/>
        </w:rPr>
        <w:softHyphen/>
        <w:t>вало военное представительство ГУ ВВС КА на заводе №1. За успеш</w:t>
      </w:r>
      <w:r w:rsidRPr="00A3026E">
        <w:rPr>
          <w:color w:val="000000" w:themeColor="text1"/>
          <w:sz w:val="16"/>
          <w:szCs w:val="16"/>
        </w:rPr>
        <w:softHyphen/>
        <w:t>ную работу по внедрению в серий</w:t>
      </w:r>
      <w:r w:rsidRPr="00A3026E">
        <w:rPr>
          <w:color w:val="000000" w:themeColor="text1"/>
          <w:sz w:val="16"/>
          <w:szCs w:val="16"/>
        </w:rPr>
        <w:softHyphen/>
        <w:t>ное производство новых самолётов в соответствии с приказом ГУ ВВС КА от 31 декабря 1940 г. получили благодарность и были премирова</w:t>
      </w:r>
      <w:r w:rsidRPr="00A3026E">
        <w:rPr>
          <w:color w:val="000000" w:themeColor="text1"/>
          <w:sz w:val="16"/>
          <w:szCs w:val="16"/>
        </w:rPr>
        <w:softHyphen/>
        <w:t>ны старший военпред военинженер 2-го ранга М.В. Францев, райин-женер военинженер 1-го ранга Ф.М. Шишкин, военпреды военин</w:t>
      </w:r>
      <w:r w:rsidRPr="00A3026E">
        <w:rPr>
          <w:color w:val="000000" w:themeColor="text1"/>
          <w:sz w:val="16"/>
          <w:szCs w:val="16"/>
        </w:rPr>
        <w:softHyphen/>
        <w:t>женер 1-го ранга И.Ф. Воедило и военинженер 2-го ранга Т.П. Гал</w:t>
      </w:r>
      <w:r w:rsidRPr="00A3026E">
        <w:rPr>
          <w:color w:val="000000" w:themeColor="text1"/>
          <w:sz w:val="16"/>
          <w:szCs w:val="16"/>
        </w:rPr>
        <w:softHyphen/>
        <w:t>кин, старший техник военинженер 2-го ранга Л.К. Макаренко, а также лётчики майор А.Э. Шитц и ка</w:t>
      </w:r>
      <w:r w:rsidRPr="00A3026E">
        <w:rPr>
          <w:color w:val="000000" w:themeColor="text1"/>
          <w:sz w:val="16"/>
          <w:szCs w:val="16"/>
        </w:rPr>
        <w:softHyphen/>
        <w:t>питан И.А. Доброскокин (11761).</w:t>
      </w:r>
    </w:p>
    <w:p w14:paraId="0960C940" w14:textId="77777777" w:rsidR="0014077F" w:rsidRPr="00A3026E" w:rsidRDefault="0014077F" w:rsidP="00A3026E">
      <w:pPr>
        <w:pStyle w:val="af9"/>
        <w:spacing w:before="0" w:after="0"/>
        <w:jc w:val="both"/>
        <w:rPr>
          <w:color w:val="000000" w:themeColor="text1"/>
          <w:sz w:val="16"/>
          <w:szCs w:val="16"/>
        </w:rPr>
      </w:pPr>
    </w:p>
    <w:p w14:paraId="611554F8" w14:textId="77777777" w:rsidR="000472A9" w:rsidRPr="00A3026E" w:rsidRDefault="000472A9" w:rsidP="00A3026E">
      <w:pPr>
        <w:pStyle w:val="a3"/>
        <w:rPr>
          <w:color w:val="000000" w:themeColor="text1"/>
          <w:lang w:val="ru-RU"/>
        </w:rPr>
      </w:pPr>
      <w:r w:rsidRPr="00A3026E">
        <w:rPr>
          <w:color w:val="000000" w:themeColor="text1"/>
          <w:lang w:val="ru-RU"/>
        </w:rPr>
        <w:t>В декабре 1940 завод № 1 выпустил 80 МиГ-1 и 20 МиГ-3. В этом же месяце в строевые части было отправлено 40 самолётов МиГ-1. Таким образом, от начала проектирования до по</w:t>
      </w:r>
      <w:r w:rsidRPr="00A3026E">
        <w:rPr>
          <w:color w:val="000000" w:themeColor="text1"/>
          <w:lang w:val="ru-RU"/>
        </w:rPr>
        <w:softHyphen/>
        <w:t>ставки серийной продукции в войска прошёл всего один год, в то время как ранее на это уходило 1,5 - 2 года, а то и больше. Всего из построенных в 1940 г. 120 истребителей в рас</w:t>
      </w:r>
      <w:r w:rsidRPr="00A3026E">
        <w:rPr>
          <w:color w:val="000000" w:themeColor="text1"/>
          <w:lang w:val="ru-RU"/>
        </w:rPr>
        <w:softHyphen/>
        <w:t>поряжение ВВС КА направили 92 МиГ-1 и 19 МиГ-3. Остальные самолёты предназначались для авиации ВМФ (15976).</w:t>
      </w:r>
    </w:p>
    <w:p w14:paraId="0A699B31" w14:textId="77777777" w:rsidR="000472A9" w:rsidRPr="00A3026E" w:rsidRDefault="000472A9" w:rsidP="00A3026E">
      <w:pPr>
        <w:pStyle w:val="a3"/>
        <w:rPr>
          <w:color w:val="000000" w:themeColor="text1"/>
          <w:lang w:val="ru-RU"/>
        </w:rPr>
      </w:pPr>
    </w:p>
    <w:p w14:paraId="10736C4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в ОКБ П.О. Сухого завершили разработку еще одного варианта ИОП 2АМ-37. Основным отличием его был пере</w:t>
      </w:r>
      <w:r w:rsidRPr="00A3026E">
        <w:rPr>
          <w:rFonts w:ascii="Times New Roman" w:hAnsi="Times New Roman"/>
          <w:color w:val="000000" w:themeColor="text1"/>
          <w:sz w:val="16"/>
          <w:szCs w:val="16"/>
        </w:rPr>
        <w:softHyphen/>
        <w:t>ход на среднее расположение кры</w:t>
      </w:r>
      <w:r w:rsidRPr="00A3026E">
        <w:rPr>
          <w:rFonts w:ascii="Times New Roman" w:hAnsi="Times New Roman"/>
          <w:color w:val="000000" w:themeColor="text1"/>
          <w:sz w:val="16"/>
          <w:szCs w:val="16"/>
        </w:rPr>
        <w:softHyphen/>
        <w:t>ла, что предполагало получение бо</w:t>
      </w:r>
      <w:r w:rsidRPr="00A3026E">
        <w:rPr>
          <w:rFonts w:ascii="Times New Roman" w:hAnsi="Times New Roman"/>
          <w:color w:val="000000" w:themeColor="text1"/>
          <w:sz w:val="16"/>
          <w:szCs w:val="16"/>
        </w:rPr>
        <w:softHyphen/>
        <w:t>лее высоких летных характеристик. Проект этого варианта ИОП для официального рассмотрения не представлялся (11754).</w:t>
      </w:r>
    </w:p>
    <w:p w14:paraId="370D08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0A091F62"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П.О.С. представил проект истребителя одноместного пушечного (ИОП) с 2хАМ-37 и блоком лафета пушек и пулеметов (577,14).</w:t>
      </w:r>
    </w:p>
    <w:p w14:paraId="1B05A7A7" w14:textId="77777777" w:rsidR="000472A9" w:rsidRPr="00A3026E" w:rsidRDefault="000472A9" w:rsidP="00A3026E">
      <w:pPr>
        <w:spacing w:after="0" w:line="240" w:lineRule="auto"/>
        <w:jc w:val="both"/>
        <w:rPr>
          <w:rFonts w:ascii="Times New Roman" w:hAnsi="Times New Roman"/>
          <w:color w:val="000000" w:themeColor="text1"/>
          <w:sz w:val="16"/>
          <w:szCs w:val="16"/>
        </w:rPr>
      </w:pPr>
    </w:p>
    <w:p w14:paraId="42FD7C39"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в ОКБ П.О. Сухого завершили разработку еще одного варианта ИОП 2АМ-37. Основным отличием его был переход на среднее расположение крыла, что предполагало получение более высоких летных характеристик. Проект этого варианта ИОП для официального рассмотрения не представлялся (15578).</w:t>
      </w:r>
    </w:p>
    <w:p w14:paraId="11936649" w14:textId="77777777" w:rsidR="000472A9" w:rsidRPr="00A3026E" w:rsidRDefault="000472A9" w:rsidP="00A3026E">
      <w:pPr>
        <w:spacing w:after="0" w:line="240" w:lineRule="auto"/>
        <w:jc w:val="both"/>
        <w:rPr>
          <w:rFonts w:ascii="Times New Roman" w:hAnsi="Times New Roman"/>
          <w:color w:val="000000" w:themeColor="text1"/>
          <w:sz w:val="16"/>
          <w:szCs w:val="16"/>
        </w:rPr>
      </w:pPr>
    </w:p>
    <w:p w14:paraId="5EC7AE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в ОКБ П.О.С. был разработан проект одноместного двухмоторного пушечного истребителя с 2хМ-38 ТК-3 и потом Чижевский предложил для него гермокабину (1454,55).</w:t>
      </w:r>
    </w:p>
    <w:p w14:paraId="2D749BC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D88E28E"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декабря 1940 началась постройка ДИС (МиГ-5) - изделия 71 завода 1 с 2АМ-37 (2181,26).</w:t>
      </w:r>
    </w:p>
    <w:p w14:paraId="37684371" w14:textId="77777777" w:rsidR="000472A9" w:rsidRPr="00A3026E" w:rsidRDefault="000472A9" w:rsidP="00A3026E">
      <w:pPr>
        <w:spacing w:after="0" w:line="240" w:lineRule="auto"/>
        <w:jc w:val="both"/>
        <w:rPr>
          <w:rFonts w:ascii="Times New Roman" w:hAnsi="Times New Roman"/>
          <w:color w:val="000000" w:themeColor="text1"/>
          <w:sz w:val="16"/>
          <w:szCs w:val="16"/>
        </w:rPr>
      </w:pPr>
    </w:p>
    <w:p w14:paraId="35F028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вторично рассматривался проект двухместного истребителя-перехватчика СК-3 М.Р.Бисновата (4,75).</w:t>
      </w:r>
    </w:p>
    <w:p w14:paraId="5951B07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DECE635"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самолет И-180 с производства снят и взамен его на заводе № 21 строится серийный самолет ЛАГГ-3 (4048, 4).</w:t>
      </w:r>
    </w:p>
    <w:p w14:paraId="7448529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1594AA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на заводе № 21 истребитель Лавочкина, Горбунова и Гудкова получил обозначение тип 31 и началось его изготовление. Был этот истребитель конструктивно выполнен на 36% из дерева (в И-16 деревянных деталей конструкции было 10%) и поразительным образом подтверждал стародавнее утверждение Поликарпова, что в российских условиях самолет для войны должен иметь деревянную конструкцию (12015).</w:t>
      </w:r>
    </w:p>
    <w:p w14:paraId="03633C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Пока в течение года верстались планы замены И-16. производство истребителя продолжалось. В таблице отображены варианты комплектации выпускаемых в 1940-м году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983732" w:rsidRPr="00A3026E" w14:paraId="6B52C585" w14:textId="77777777" w:rsidTr="00EA0DA7">
        <w:tc>
          <w:tcPr>
            <w:tcW w:w="3736" w:type="dxa"/>
            <w:tcBorders>
              <w:top w:val="single" w:sz="12" w:space="0" w:color="auto"/>
            </w:tcBorders>
          </w:tcPr>
          <w:p w14:paraId="110D57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18</w:t>
            </w:r>
          </w:p>
        </w:tc>
        <w:tc>
          <w:tcPr>
            <w:tcW w:w="3736" w:type="dxa"/>
            <w:tcBorders>
              <w:top w:val="single" w:sz="12" w:space="0" w:color="auto"/>
            </w:tcBorders>
          </w:tcPr>
          <w:p w14:paraId="47DAEC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c>
          <w:tcPr>
            <w:tcW w:w="3736" w:type="dxa"/>
            <w:tcBorders>
              <w:top w:val="single" w:sz="12" w:space="0" w:color="auto"/>
            </w:tcBorders>
          </w:tcPr>
          <w:p w14:paraId="349FA3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ПБ</w:t>
            </w:r>
          </w:p>
        </w:tc>
      </w:tr>
      <w:tr w:rsidR="00983732" w:rsidRPr="00A3026E" w14:paraId="6B9817B9" w14:textId="77777777" w:rsidTr="00EA0DA7">
        <w:tc>
          <w:tcPr>
            <w:tcW w:w="3736" w:type="dxa"/>
          </w:tcPr>
          <w:p w14:paraId="617062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24</w:t>
            </w:r>
          </w:p>
        </w:tc>
        <w:tc>
          <w:tcPr>
            <w:tcW w:w="3736" w:type="dxa"/>
          </w:tcPr>
          <w:p w14:paraId="2F91B4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c>
          <w:tcPr>
            <w:tcW w:w="3736" w:type="dxa"/>
          </w:tcPr>
          <w:p w14:paraId="03C304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ПБ</w:t>
            </w:r>
          </w:p>
        </w:tc>
      </w:tr>
      <w:tr w:rsidR="00983732" w:rsidRPr="00A3026E" w14:paraId="5ED9D312" w14:textId="77777777" w:rsidTr="00EA0DA7">
        <w:tc>
          <w:tcPr>
            <w:tcW w:w="3736" w:type="dxa"/>
          </w:tcPr>
          <w:p w14:paraId="44D306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24</w:t>
            </w:r>
          </w:p>
        </w:tc>
        <w:tc>
          <w:tcPr>
            <w:tcW w:w="3736" w:type="dxa"/>
          </w:tcPr>
          <w:p w14:paraId="6E9DCA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c>
          <w:tcPr>
            <w:tcW w:w="3736" w:type="dxa"/>
          </w:tcPr>
          <w:p w14:paraId="366F17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ПБ</w:t>
            </w:r>
          </w:p>
        </w:tc>
      </w:tr>
      <w:tr w:rsidR="00983732" w:rsidRPr="00A3026E" w14:paraId="349CEB72" w14:textId="77777777" w:rsidTr="00EA0DA7">
        <w:tc>
          <w:tcPr>
            <w:tcW w:w="3736" w:type="dxa"/>
          </w:tcPr>
          <w:p w14:paraId="658347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24</w:t>
            </w:r>
          </w:p>
        </w:tc>
        <w:tc>
          <w:tcPr>
            <w:tcW w:w="3736" w:type="dxa"/>
          </w:tcPr>
          <w:p w14:paraId="7861DE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c>
          <w:tcPr>
            <w:tcW w:w="3736" w:type="dxa"/>
          </w:tcPr>
          <w:p w14:paraId="5DAF99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PC</w:t>
            </w:r>
          </w:p>
        </w:tc>
      </w:tr>
      <w:tr w:rsidR="00983732" w:rsidRPr="00A3026E" w14:paraId="59A67887" w14:textId="77777777" w:rsidTr="00EA0DA7">
        <w:tc>
          <w:tcPr>
            <w:tcW w:w="3736" w:type="dxa"/>
          </w:tcPr>
          <w:p w14:paraId="030144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24</w:t>
            </w:r>
          </w:p>
        </w:tc>
        <w:tc>
          <w:tcPr>
            <w:tcW w:w="3736" w:type="dxa"/>
          </w:tcPr>
          <w:p w14:paraId="62BC95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c>
          <w:tcPr>
            <w:tcW w:w="3736" w:type="dxa"/>
          </w:tcPr>
          <w:p w14:paraId="77BE46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ПБ и РСИ-3</w:t>
            </w:r>
          </w:p>
        </w:tc>
      </w:tr>
      <w:tr w:rsidR="00983732" w:rsidRPr="00A3026E" w14:paraId="5C851F09" w14:textId="77777777" w:rsidTr="00EA0DA7">
        <w:tc>
          <w:tcPr>
            <w:tcW w:w="3736" w:type="dxa"/>
          </w:tcPr>
          <w:p w14:paraId="626AA8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24</w:t>
            </w:r>
          </w:p>
        </w:tc>
        <w:tc>
          <w:tcPr>
            <w:tcW w:w="3736" w:type="dxa"/>
          </w:tcPr>
          <w:p w14:paraId="30BF34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c>
          <w:tcPr>
            <w:tcW w:w="3736" w:type="dxa"/>
          </w:tcPr>
          <w:p w14:paraId="323CAB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PC и ПБ</w:t>
            </w:r>
          </w:p>
        </w:tc>
      </w:tr>
      <w:tr w:rsidR="00983732" w:rsidRPr="00A3026E" w14:paraId="37249E9C" w14:textId="77777777" w:rsidTr="00EA0DA7">
        <w:tc>
          <w:tcPr>
            <w:tcW w:w="3736" w:type="dxa"/>
          </w:tcPr>
          <w:p w14:paraId="7A0489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27</w:t>
            </w:r>
          </w:p>
        </w:tc>
        <w:tc>
          <w:tcPr>
            <w:tcW w:w="3736" w:type="dxa"/>
          </w:tcPr>
          <w:p w14:paraId="1B1F40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c>
          <w:tcPr>
            <w:tcW w:w="3736" w:type="dxa"/>
          </w:tcPr>
          <w:p w14:paraId="18EF80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ПБ</w:t>
            </w:r>
          </w:p>
        </w:tc>
      </w:tr>
      <w:tr w:rsidR="00983732" w:rsidRPr="00A3026E" w14:paraId="1378A787" w14:textId="77777777" w:rsidTr="00EA0DA7">
        <w:tc>
          <w:tcPr>
            <w:tcW w:w="3736" w:type="dxa"/>
          </w:tcPr>
          <w:p w14:paraId="12E58F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28</w:t>
            </w:r>
          </w:p>
        </w:tc>
        <w:tc>
          <w:tcPr>
            <w:tcW w:w="3736" w:type="dxa"/>
          </w:tcPr>
          <w:p w14:paraId="0BB671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c>
          <w:tcPr>
            <w:tcW w:w="3736" w:type="dxa"/>
          </w:tcPr>
          <w:p w14:paraId="711A27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ПБ</w:t>
            </w:r>
          </w:p>
        </w:tc>
      </w:tr>
      <w:tr w:rsidR="00983732" w:rsidRPr="00A3026E" w14:paraId="1652093F" w14:textId="77777777" w:rsidTr="00EA0DA7">
        <w:tc>
          <w:tcPr>
            <w:tcW w:w="3736" w:type="dxa"/>
          </w:tcPr>
          <w:p w14:paraId="16BF8F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28</w:t>
            </w:r>
          </w:p>
        </w:tc>
        <w:tc>
          <w:tcPr>
            <w:tcW w:w="3736" w:type="dxa"/>
          </w:tcPr>
          <w:p w14:paraId="4E0165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c>
          <w:tcPr>
            <w:tcW w:w="3736" w:type="dxa"/>
          </w:tcPr>
          <w:p w14:paraId="26A155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без ПБ</w:t>
            </w:r>
          </w:p>
        </w:tc>
      </w:tr>
      <w:tr w:rsidR="00983732" w:rsidRPr="00A3026E" w14:paraId="5FB15A28" w14:textId="77777777" w:rsidTr="00EA0DA7">
        <w:tc>
          <w:tcPr>
            <w:tcW w:w="3736" w:type="dxa"/>
          </w:tcPr>
          <w:p w14:paraId="643978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28</w:t>
            </w:r>
          </w:p>
        </w:tc>
        <w:tc>
          <w:tcPr>
            <w:tcW w:w="3736" w:type="dxa"/>
          </w:tcPr>
          <w:p w14:paraId="0BBF4D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c>
          <w:tcPr>
            <w:tcW w:w="3736" w:type="dxa"/>
          </w:tcPr>
          <w:p w14:paraId="44FE02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ПБ и РСИ-3</w:t>
            </w:r>
          </w:p>
        </w:tc>
      </w:tr>
      <w:tr w:rsidR="00983732" w:rsidRPr="00A3026E" w14:paraId="55A9EA09" w14:textId="77777777" w:rsidTr="00EA0DA7">
        <w:tc>
          <w:tcPr>
            <w:tcW w:w="3736" w:type="dxa"/>
            <w:tcBorders>
              <w:bottom w:val="single" w:sz="12" w:space="0" w:color="auto"/>
            </w:tcBorders>
          </w:tcPr>
          <w:p w14:paraId="31DCA2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15 М-25В (УТИ-4)</w:t>
            </w:r>
          </w:p>
        </w:tc>
        <w:tc>
          <w:tcPr>
            <w:tcW w:w="3736" w:type="dxa"/>
            <w:tcBorders>
              <w:bottom w:val="single" w:sz="12" w:space="0" w:color="auto"/>
            </w:tcBorders>
          </w:tcPr>
          <w:p w14:paraId="786405C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3736" w:type="dxa"/>
            <w:tcBorders>
              <w:bottom w:val="single" w:sz="12" w:space="0" w:color="auto"/>
            </w:tcBorders>
          </w:tcPr>
          <w:p w14:paraId="303E009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bl>
    <w:p w14:paraId="728450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 2-го полугодия 1940 г. взамен перечисленного многообразия начали выпускать И-16 тип 29 с двигателем М-63. Всего за 1940-й год построили 2210 И-16. Распределение по типам отображено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983732" w:rsidRPr="00A3026E" w14:paraId="18F41E38" w14:textId="77777777" w:rsidTr="00EA0DA7">
        <w:tc>
          <w:tcPr>
            <w:tcW w:w="5605" w:type="dxa"/>
            <w:tcBorders>
              <w:top w:val="single" w:sz="12" w:space="0" w:color="auto"/>
            </w:tcBorders>
          </w:tcPr>
          <w:p w14:paraId="5903F6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18 и тип 24</w:t>
            </w:r>
          </w:p>
        </w:tc>
        <w:tc>
          <w:tcPr>
            <w:tcW w:w="5605" w:type="dxa"/>
            <w:tcBorders>
              <w:top w:val="single" w:sz="12" w:space="0" w:color="auto"/>
            </w:tcBorders>
          </w:tcPr>
          <w:p w14:paraId="08073E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760</w:t>
            </w:r>
          </w:p>
        </w:tc>
      </w:tr>
      <w:tr w:rsidR="00983732" w:rsidRPr="00A3026E" w14:paraId="4452C71C" w14:textId="77777777" w:rsidTr="00EA0DA7">
        <w:tc>
          <w:tcPr>
            <w:tcW w:w="5605" w:type="dxa"/>
          </w:tcPr>
          <w:p w14:paraId="68380C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Тип 28</w:t>
            </w:r>
          </w:p>
        </w:tc>
        <w:tc>
          <w:tcPr>
            <w:tcW w:w="5605" w:type="dxa"/>
          </w:tcPr>
          <w:p w14:paraId="494A59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277</w:t>
            </w:r>
          </w:p>
        </w:tc>
      </w:tr>
      <w:tr w:rsidR="00983732" w:rsidRPr="00A3026E" w14:paraId="4D6BE7E5" w14:textId="77777777" w:rsidTr="00EA0DA7">
        <w:tc>
          <w:tcPr>
            <w:tcW w:w="5605" w:type="dxa"/>
          </w:tcPr>
          <w:p w14:paraId="36AD48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25(И-180)</w:t>
            </w:r>
          </w:p>
        </w:tc>
        <w:tc>
          <w:tcPr>
            <w:tcW w:w="5605" w:type="dxa"/>
          </w:tcPr>
          <w:p w14:paraId="30D098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3B465177" w14:textId="77777777" w:rsidTr="00EA0DA7">
        <w:tc>
          <w:tcPr>
            <w:tcW w:w="5605" w:type="dxa"/>
          </w:tcPr>
          <w:p w14:paraId="3FAC10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29</w:t>
            </w:r>
          </w:p>
        </w:tc>
        <w:tc>
          <w:tcPr>
            <w:tcW w:w="5605" w:type="dxa"/>
          </w:tcPr>
          <w:p w14:paraId="46FB8C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570</w:t>
            </w:r>
          </w:p>
        </w:tc>
      </w:tr>
      <w:tr w:rsidR="00983732" w:rsidRPr="00A3026E" w14:paraId="32EE5D86" w14:textId="77777777" w:rsidTr="00EA0DA7">
        <w:tc>
          <w:tcPr>
            <w:tcW w:w="5605" w:type="dxa"/>
          </w:tcPr>
          <w:p w14:paraId="13B01A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15(УТИ-4)</w:t>
            </w:r>
          </w:p>
        </w:tc>
        <w:tc>
          <w:tcPr>
            <w:tcW w:w="5605" w:type="dxa"/>
          </w:tcPr>
          <w:p w14:paraId="65EF93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r w:rsidR="00983732" w:rsidRPr="00A3026E" w14:paraId="110F26D3" w14:textId="77777777" w:rsidTr="00EA0DA7">
        <w:tc>
          <w:tcPr>
            <w:tcW w:w="5605" w:type="dxa"/>
            <w:tcBorders>
              <w:bottom w:val="single" w:sz="12" w:space="0" w:color="auto"/>
            </w:tcBorders>
          </w:tcPr>
          <w:p w14:paraId="7D86A3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5605" w:type="dxa"/>
            <w:tcBorders>
              <w:bottom w:val="single" w:sz="12" w:space="0" w:color="auto"/>
            </w:tcBorders>
          </w:tcPr>
          <w:p w14:paraId="31331D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2208 экземпляров</w:t>
            </w:r>
          </w:p>
        </w:tc>
      </w:tr>
    </w:tbl>
    <w:p w14:paraId="0D5122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Два И-16 тип 29 не вошли в количество переданных заказчику - они испытыва- лисьдо полного износа. Еше 125 самолетов (45 экз. тип 15 и 80 экз. тип 29) были закончены. но не сданы и перешли в план 1941 г. Кроме этого на заводе изготовили 7590 подвесных бензобаков из фибры, 165 комплектов оборудования для монтажа радиостанций РСИ-3. Еще подготовили 294 комплекта деталей для переоборудования И-16 тип 10 в тип 18 путем установки двигателей М-62 взамен М-25В.</w:t>
      </w:r>
    </w:p>
    <w:p w14:paraId="7CA37F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того, как в IV квартале 1940 г. И-16 сняли с производства, завод №21 реализовал все имеющиеся заделы по этой машине (12015).</w:t>
      </w:r>
    </w:p>
    <w:p w14:paraId="2764F66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74D5A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декабря 1940 по январь 1941 в НИИ ВВС проводились испытания ЛаГГ-3. Выполнили 3 полета продолжительностью 1 час. 45 минут (756,8).</w:t>
      </w:r>
    </w:p>
    <w:p w14:paraId="1D96E51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0DF09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декабря 1940 г., уже после того, как завод №31 полностью перешел на выпуск истребителей ЛаГГ-3, продолжалась сдача последних КОР-1 военной приемке (9966).</w:t>
      </w:r>
    </w:p>
    <w:p w14:paraId="4782404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AE7EF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на заводе № 23 планировалось построить пять самолетов ЛаГГ-1. В следующем 1941 году план предусматривал уже выпуск только одних ЛаГГов-3. Первый ЛаГГ-3 облетали в феврале 1941 года. Выпуск истребителей нарастал постепенно. К моменту эвакуации из Ленинграда завод успел передать армии только 65 машин (11749).</w:t>
      </w:r>
    </w:p>
    <w:p w14:paraId="5EE4A4E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4975FA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на аэродроме ЦАГИ-Раменское первый экземпляр самолета с мотором М-105 без ТК Грушина (МАИ) произвел первый вылет. Скороподъемность весьма незначительна. Летные испытания прекращены (4048, 4).</w:t>
      </w:r>
    </w:p>
    <w:p w14:paraId="3E3E524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77E847BC"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непостроенному еще самолету Грушина было присвоено наименование Гр-1, то есть Грушин-первый.</w:t>
      </w:r>
    </w:p>
    <w:p w14:paraId="2514E97D"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отличие от построенного здесь же тяжелого двухмоторного истребителя ОКО-6, ИДС Грушина проектировался под два двигателя жидкостного охлаждения АМ-37 конструкции А.А.Микулина мощностью по 1200 л.с. По своей аэродинамической схеме самолет довольно сильно напоминал хорошо известный в то время немецкий многоцелевой истребитель Мессерсшмитт Bf .110 и имел близкие к нему габаритные размеры.</w:t>
      </w:r>
    </w:p>
    <w:p w14:paraId="2E4E335B"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Правда, в отличие от Мессерсшмитта, Гр-1 был одноместным, а радиаторы системы охлаждения двигателя размещались под центропланом крыла и были выполнены выдвигающимися. Выхлопные коллекторы двигателей были выведены на верхнюю поверхность крыла, как это было сделано на ДИСе Микояна-Гуревича и ТИСе Поликарпова. Кабина летчика была бронированной. Интересно отметить, что этот фактор был положен в основу определения численности экипажа - один пилот или два. В весовом отношении двухместный вариант кабины с оборудованием для стрелка-радиста был отнюдь не тяжелее бронекоробки, сваренной из стальных листов и полностью защищавшей летчика. Тем не менее Грушин дал своим весовекам задание проанализировать и тот, и другой вариант, так что у них получилось, что полностью забронированная кабина одноместного варианта будет на 18 кг легче. Вот так и вышел этот самолет одноместным. Возможно, это решение было несколько скоропалительным, поскольку необходимость наличия второго члена экипажа на машинах подобного класса впоследствии была подтверждена войной.</w:t>
      </w:r>
    </w:p>
    <w:p w14:paraId="091506D3"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ИДС было достаточно мощным и ничуть не уступало его основному противнику - Bf.110. В носовой части фюзеляжа были расположены два пулемета ШКАС, а над ними две 20-мм пушки ШВАК. Еще два ШКАСа были установлены в зализах крыла. Все пулеметы имели боезапас по 1250 патронов на каждый ствол. В боекомплект пушек входило по 300 снарядов. Предусматривалась еще одна нижняя подфюзеляжная установка с двумя 37-мм орудиями с боезапасом по 200 снарядов на пушку.</w:t>
      </w:r>
    </w:p>
    <w:p w14:paraId="06B37B30"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 крылом самолета можно было установить четыре балочных держателя для подвески восьми 100-кг авиабомб или четырех ракетных снаряда РС-82 или PC-132. Кроме того, вместо подфюзеляжного пушечного контейнера на внутренней подвеске можно было разместить до 500 кг бомб.</w:t>
      </w:r>
    </w:p>
    <w:p w14:paraId="2E898C32"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кажущуюся схожесть с немецким Мессерсшмиттом Bf.110, грушинский ИДС имел конструкцию в корне от него отличную. Лонжероны крыла имели коробчатое поперечное сечение. Их стенки и полки были выполнены из сужающихся стальных полос, сваренных в замкнутый контур. Узлы разъема лонжеронов имели оригинальную конструкцию с поперечными гребенками.</w:t>
      </w:r>
    </w:p>
    <w:p w14:paraId="6DD436FF"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Постройка истребителя, который заранее получил обозначение Гр-1, была закончена всего за 9 месяцев. Статические испытания на прочность конструкции заняли всего несколько дней и, после устранения мелких недостатков, ранней весной 1941 года прототип самолёта был отправлен для прохождения натурных продувок в ЦАГИ. Для этого Гр-1 в июне 1941 года пришлось разобрать и отправить в Москву. Сборку истребителя предстояло провести на заводе №185, однако по пути из Харькова эшелон попал под бомбежку. Прототип был сильно поврежден, а вся проектная документация сгорела. В таких условиях дальнейшие работы по Гр-1 решили не продолжать. К тому же, к сентябрю 1941 года уже строился серийно Пе-3, а истребитель Таирова Та-3 находился на стадии завершающих испытаний и тоже был готов к серийному производству. А ведь в Гр-1 закладывались впечатляющие лётных характеристики.</w:t>
      </w:r>
    </w:p>
    <w:p w14:paraId="014ED6DE"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расчетам Грушина на оптимальной высоте 7200 метров его истребитель мог развивать максимальнуюскорость до 650 км\ч, а на высоте 5000 метров - 645 км\ч. Практический потолок Гр-1 составлял 11700 метров, максимальная дальность полёта (при полной заправке топлива 2550 литров) - 1890 км. При этом, самолёт имел разбег всего 400 метров и пробег 450 метров.</w:t>
      </w:r>
    </w:p>
    <w:p w14:paraId="4895AA6F"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Даже по сравнению с Та-3 истребитель Грушина смотрелся очень перспективно, однако реально подтвердить высокие боевые качества Гр-1 так и не удалось. Как поступили с поврежденным самолётом так и осталось неизвестным. Возможно, во избежание захвата противником ос</w:t>
      </w:r>
      <w:hyperlink r:id="rId180" w:tgtFrame="_blank" w:history="1">
        <w:r w:rsidRPr="00A3026E">
          <w:rPr>
            <w:rFonts w:ascii="Times New Roman" w:hAnsi="Times New Roman"/>
            <w:color w:val="000000" w:themeColor="text1"/>
            <w:sz w:val="16"/>
            <w:szCs w:val="16"/>
          </w:rPr>
          <w:t>танк</w:t>
        </w:r>
      </w:hyperlink>
      <w:r w:rsidRPr="00A3026E">
        <w:rPr>
          <w:rFonts w:ascii="Times New Roman" w:hAnsi="Times New Roman"/>
          <w:color w:val="000000" w:themeColor="text1"/>
          <w:sz w:val="16"/>
          <w:szCs w:val="16"/>
        </w:rPr>
        <w:t>и прототипа полностью уничтожили (15537).</w:t>
      </w:r>
    </w:p>
    <w:tbl>
      <w:tblPr>
        <w:tblW w:w="5000" w:type="pct"/>
        <w:tblCellSpacing w:w="15" w:type="dxa"/>
        <w:tblCellMar>
          <w:left w:w="0" w:type="dxa"/>
          <w:right w:w="0" w:type="dxa"/>
        </w:tblCellMar>
        <w:tblLook w:val="04A0" w:firstRow="1" w:lastRow="0" w:firstColumn="1" w:lastColumn="0" w:noHBand="0" w:noVBand="1"/>
      </w:tblPr>
      <w:tblGrid>
        <w:gridCol w:w="4180"/>
        <w:gridCol w:w="7142"/>
      </w:tblGrid>
      <w:tr w:rsidR="00983732" w:rsidRPr="00A3026E" w14:paraId="52F9B6CE"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30B84F79"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29CDB085"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Гр-1</w:t>
            </w:r>
          </w:p>
        </w:tc>
      </w:tr>
      <w:tr w:rsidR="00983732" w:rsidRPr="00A3026E" w14:paraId="7A8770BA"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50E6EA88"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крыла, м</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45C03A40"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16.80</w:t>
            </w:r>
          </w:p>
        </w:tc>
      </w:tr>
      <w:tr w:rsidR="00983732" w:rsidRPr="00A3026E" w14:paraId="112BE13F"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38FC9AB7"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м</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4DC81DCB"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11.60</w:t>
            </w:r>
          </w:p>
        </w:tc>
      </w:tr>
      <w:tr w:rsidR="00983732" w:rsidRPr="00A3026E" w14:paraId="68497704"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5B6CE1F6"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м</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7B257D6B"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3.88</w:t>
            </w:r>
          </w:p>
        </w:tc>
      </w:tr>
      <w:tr w:rsidR="00983732" w:rsidRPr="00A3026E" w14:paraId="7257653E"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567CC1D"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м2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5A0E5172"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42.00</w:t>
            </w:r>
          </w:p>
        </w:tc>
      </w:tr>
      <w:tr w:rsidR="00983732" w:rsidRPr="00A3026E" w14:paraId="735328F1"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1DD3EBC5"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Масса, кг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6089BF0"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4A137BBD"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58568ED3"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пустого самолета</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0BB21670"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5420</w:t>
            </w:r>
          </w:p>
        </w:tc>
      </w:tr>
      <w:tr w:rsidR="00983732" w:rsidRPr="00A3026E" w14:paraId="6DE002AD"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87ECC36"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нормальная взлетная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36D298D"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7650</w:t>
            </w:r>
          </w:p>
        </w:tc>
      </w:tr>
      <w:tr w:rsidR="00983732" w:rsidRPr="00A3026E" w14:paraId="4381D997"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45D39BBC"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топлива</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20A62EC"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1860/2550</w:t>
            </w:r>
          </w:p>
        </w:tc>
      </w:tr>
      <w:tr w:rsidR="00983732" w:rsidRPr="00A3026E" w14:paraId="147FB12C"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785583C"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двигателя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0196E299"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ПД АМ-37</w:t>
            </w:r>
          </w:p>
        </w:tc>
      </w:tr>
      <w:tr w:rsidR="00983732" w:rsidRPr="00A3026E" w14:paraId="368C7C48"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01BC9133"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л.с.</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3A1AF096"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х 1250</w:t>
            </w:r>
          </w:p>
        </w:tc>
      </w:tr>
      <w:tr w:rsidR="00983732" w:rsidRPr="00A3026E" w14:paraId="211F52F4"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4688976B"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 км/ч</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0125C5BB"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w:t>
            </w:r>
          </w:p>
        </w:tc>
      </w:tr>
      <w:tr w:rsidR="00983732" w:rsidRPr="00A3026E" w14:paraId="282BAAF4"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49BE2113"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земли</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1E07B15B"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448</w:t>
            </w:r>
          </w:p>
        </w:tc>
      </w:tr>
      <w:tr w:rsidR="00983732" w:rsidRPr="00A3026E" w14:paraId="3338795A"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2E4A23A4"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D460B9D"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w:t>
            </w:r>
          </w:p>
        </w:tc>
      </w:tr>
      <w:tr w:rsidR="00983732" w:rsidRPr="00A3026E" w14:paraId="366F09CF"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18943A27"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Перегоночная дальность, км</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0987B673"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1890</w:t>
            </w:r>
          </w:p>
        </w:tc>
      </w:tr>
      <w:tr w:rsidR="00983732" w:rsidRPr="00A3026E" w14:paraId="098FDC8C"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5CD80E3C"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Практическая дальность, км</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7A6EAF0"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1380</w:t>
            </w:r>
          </w:p>
        </w:tc>
      </w:tr>
      <w:tr w:rsidR="00983732" w:rsidRPr="00A3026E" w14:paraId="487A9C7D"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F0C94CA"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м</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50B4F07C"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11700</w:t>
            </w:r>
          </w:p>
        </w:tc>
      </w:tr>
      <w:tr w:rsidR="00983732" w:rsidRPr="00A3026E" w14:paraId="3C42A78C"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22D24047"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Экипаж,чел</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76F8A79A"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0D91A57E"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4226F36"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18116427"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четыре 7.62-мм пулемета ШКАС (по 1250 патронов)</w:t>
            </w:r>
          </w:p>
          <w:p w14:paraId="6E3BF778"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две 20-мм пушки ШВАК (по 300патронов)</w:t>
            </w:r>
          </w:p>
        </w:tc>
      </w:tr>
    </w:tbl>
    <w:p w14:paraId="27867FA8" w14:textId="77777777" w:rsidR="000472A9" w:rsidRPr="00A3026E" w:rsidRDefault="000472A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(15537).</w:t>
      </w:r>
    </w:p>
    <w:p w14:paraId="6DDC224D" w14:textId="77777777" w:rsidR="000472A9" w:rsidRPr="00A3026E" w:rsidRDefault="000472A9" w:rsidP="00A3026E">
      <w:pPr>
        <w:spacing w:after="0" w:line="240" w:lineRule="auto"/>
        <w:jc w:val="both"/>
        <w:rPr>
          <w:rFonts w:ascii="Times New Roman" w:hAnsi="Times New Roman"/>
          <w:color w:val="000000" w:themeColor="text1"/>
          <w:sz w:val="16"/>
          <w:szCs w:val="16"/>
        </w:rPr>
      </w:pPr>
    </w:p>
    <w:p w14:paraId="311CCEBF" w14:textId="77777777" w:rsidR="003324AA" w:rsidRPr="00A3026E" w:rsidRDefault="003324AA" w:rsidP="00A3026E">
      <w:pPr>
        <w:pStyle w:val="ae"/>
        <w:spacing w:before="0" w:after="0"/>
        <w:jc w:val="both"/>
        <w:rPr>
          <w:color w:val="000000" w:themeColor="text1"/>
          <w:sz w:val="16"/>
          <w:szCs w:val="16"/>
        </w:rPr>
      </w:pPr>
      <w:r w:rsidRPr="00A3026E">
        <w:rPr>
          <w:color w:val="000000" w:themeColor="text1"/>
          <w:sz w:val="16"/>
          <w:szCs w:val="16"/>
        </w:rPr>
        <w:t>В декабре 1940 года непостроенному еще самолету было присвоено наименование </w:t>
      </w:r>
      <w:r w:rsidRPr="00A3026E">
        <w:rPr>
          <w:bCs/>
          <w:color w:val="000000" w:themeColor="text1"/>
          <w:sz w:val="16"/>
          <w:szCs w:val="16"/>
        </w:rPr>
        <w:t>Гр-1</w:t>
      </w:r>
      <w:r w:rsidRPr="00A3026E">
        <w:rPr>
          <w:color w:val="000000" w:themeColor="text1"/>
          <w:sz w:val="16"/>
          <w:szCs w:val="16"/>
        </w:rPr>
        <w:t xml:space="preserve">, то есть Грушин-первый. В отличие от построенного здесь же тяжелого </w:t>
      </w:r>
      <w:r w:rsidRPr="00A3026E">
        <w:rPr>
          <w:color w:val="000000" w:themeColor="text1"/>
          <w:sz w:val="16"/>
          <w:szCs w:val="16"/>
        </w:rPr>
        <w:lastRenderedPageBreak/>
        <w:t>двухмоторного истребителя ОКО-6, ИДС Грушина проектировался под два двигателя жидкостного охлаждения АМ-37 конструкции А.А.Микулина мощностью по 1200 л.с. По своей аэродинамической схеме самолет довольно сильно напоминал хорошо известный в то время немецкий многоцелевой истребитель Мессерсшмитт Bf .110 и имел близкие к нему габаритные размеры. Даже внешне, особенно при виде в плане, обе машины были очень похожи. Правда, в отличие от Мессерсшмитта, Гр-1 был одноместным, а радиаторы системы охлаждения двигателя размещались под центропланом крыла и были выполнены выдвигающимися. Выхлопные коллекторы двигателей были выведены на верхнюю поверхность крыла, как это было сделано на ДИСе Микояна-Гуревича и ТИСе Поликарпова. Кабина летчика была бронированной. Интересно отметить, что этот фактор был положен в основу определения численности экипажа - один пилот или два. В весовом отношении двухместный вариант кабины с оборудованием для стрелка-радиста был отнюдь не тяжелее бронекоробки, сваренной из стальных листов и полностью защищавшей летчика. Тем не менее Грушин дал своим весовекам задание проанализировать и тот, и другой вариант, так что у них получилось, что полностью забронированная кабина одноместного варианта будет на 18 кг легче. Вот так и вышел этот самолет одноместным. Возможно, это решение было несколько скоропалительным, поскольку необходимость наличия второго члена экипажа на машинах подобного класса впоследствии была подтверждена войной.</w:t>
      </w:r>
    </w:p>
    <w:p w14:paraId="39344915" w14:textId="77777777" w:rsidR="003324AA" w:rsidRPr="00A3026E" w:rsidRDefault="003324AA" w:rsidP="00A3026E">
      <w:pPr>
        <w:pStyle w:val="ae"/>
        <w:spacing w:before="0" w:after="0"/>
        <w:jc w:val="both"/>
        <w:rPr>
          <w:color w:val="000000" w:themeColor="text1"/>
          <w:sz w:val="16"/>
          <w:szCs w:val="16"/>
        </w:rPr>
      </w:pPr>
      <w:r w:rsidRPr="00A3026E">
        <w:rPr>
          <w:color w:val="000000" w:themeColor="text1"/>
          <w:sz w:val="16"/>
          <w:szCs w:val="16"/>
        </w:rPr>
        <w:t>Следует заметить, что вооружение ИДС было чрезвычайно мощным и ничуть не уступало его основному противнику - Bf.110. В носовой части фюзеляжа были расположены два пулемета ШКАС, а над ними две 20-мм пушки ШВАК. Еще два ШКАСа были установлены в зализах крыла. Все пулеметы имели боезапас по 1250 патронов на каждый ствол. В боекомплект пушек входило по 300 снарядов. Предусматривалась еще одна нижняя подфюзеляжная установка с двумя 37-мм орудиями с боезапасом по 200 снарядов на пушку.</w:t>
      </w:r>
    </w:p>
    <w:p w14:paraId="25E48059" w14:textId="77777777" w:rsidR="003324AA" w:rsidRPr="00A3026E" w:rsidRDefault="003324AA" w:rsidP="00A3026E">
      <w:pPr>
        <w:pStyle w:val="ae"/>
        <w:spacing w:before="0" w:after="0"/>
        <w:jc w:val="both"/>
        <w:rPr>
          <w:color w:val="000000" w:themeColor="text1"/>
          <w:sz w:val="16"/>
          <w:szCs w:val="16"/>
        </w:rPr>
      </w:pPr>
      <w:r w:rsidRPr="00A3026E">
        <w:rPr>
          <w:color w:val="000000" w:themeColor="text1"/>
          <w:sz w:val="16"/>
          <w:szCs w:val="16"/>
        </w:rPr>
        <w:t>Под крылом самолета можно было установить четыре балочных держателя для подвески восьми 100-кг авиабомб или четырех ракетных снаряда РС-82 или PC-132. Кроме того, вместо подфюзеляжного пушечного контейнера на внутренней подвеске можно было разместить до 500 кг бомб.</w:t>
      </w:r>
    </w:p>
    <w:p w14:paraId="4A1CA861" w14:textId="77777777" w:rsidR="003324AA" w:rsidRPr="00A3026E" w:rsidRDefault="003324AA" w:rsidP="00A3026E">
      <w:pPr>
        <w:pStyle w:val="ae"/>
        <w:spacing w:before="0" w:after="0"/>
        <w:jc w:val="both"/>
        <w:rPr>
          <w:color w:val="000000" w:themeColor="text1"/>
          <w:sz w:val="16"/>
          <w:szCs w:val="16"/>
        </w:rPr>
      </w:pPr>
      <w:r w:rsidRPr="00A3026E">
        <w:rPr>
          <w:color w:val="000000" w:themeColor="text1"/>
          <w:sz w:val="16"/>
          <w:szCs w:val="16"/>
        </w:rPr>
        <w:t>Несмотря на кажущуюся схожесть с немецким Мессерсшмиттом Bf.110, грушинский ИДС имел конструкцию в корне от него отличную. Лонжероны крыла имели коробчатое поперечное сечение. Их стенки и полки были выполнены из сужающихся стальных полос, сваренных в замкнутый контур. Узлы разъема лонжеронов имели оригинальную конструкцию с поперечными гребенками.</w:t>
      </w:r>
    </w:p>
    <w:p w14:paraId="4874671B" w14:textId="77777777" w:rsidR="003324AA" w:rsidRPr="00A3026E" w:rsidRDefault="003324AA" w:rsidP="00A3026E">
      <w:pPr>
        <w:pStyle w:val="ae"/>
        <w:spacing w:before="0" w:after="0"/>
        <w:jc w:val="both"/>
        <w:rPr>
          <w:color w:val="000000" w:themeColor="text1"/>
          <w:sz w:val="16"/>
          <w:szCs w:val="16"/>
        </w:rPr>
      </w:pPr>
      <w:r w:rsidRPr="00A3026E">
        <w:rPr>
          <w:color w:val="000000" w:themeColor="text1"/>
          <w:sz w:val="16"/>
          <w:szCs w:val="16"/>
        </w:rPr>
        <w:t>Самолет был спроектирован и построен всего за девять месяцев. Статические испытания на прочность заняли несколько дней и по ранней весне 1941 года самолет был выведен на полеты (18996).</w:t>
      </w:r>
    </w:p>
    <w:p w14:paraId="34A456CB" w14:textId="77777777" w:rsidR="003324AA" w:rsidRPr="00A3026E" w:rsidRDefault="003324AA" w:rsidP="00A3026E">
      <w:pPr>
        <w:spacing w:after="0" w:line="240" w:lineRule="auto"/>
        <w:jc w:val="both"/>
        <w:rPr>
          <w:rFonts w:ascii="Times New Roman" w:hAnsi="Times New Roman"/>
          <w:color w:val="000000" w:themeColor="text1"/>
          <w:sz w:val="16"/>
          <w:szCs w:val="16"/>
        </w:rPr>
      </w:pPr>
    </w:p>
    <w:p w14:paraId="1FA277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закончили гос. испытания второго И-21 М.М.Пашинина. Не пошел, так как неустойчивый (4,73).</w:t>
      </w:r>
    </w:p>
    <w:p w14:paraId="36CA583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BA82F79" w14:textId="77777777" w:rsidR="009E7912" w:rsidRPr="00A3026E" w:rsidRDefault="009E7912"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декабре 1940 г. начальник Главного управления опытного самолётостроения Шишкин писал по поводу ИС-1: «Применение самолёта в бою в варианте биплана невозможно из-за низких лётных качеств самолёта в этом варианте по причине: выпущенных шасси, ям для колес и нижнего крыла в бортах фюзеляжа и испорченного верхнего крыла ямой для уборки в него нижнего»</w:t>
      </w:r>
      <w:hyperlink r:id="rId181" w:history="1">
        <w:r w:rsidRPr="00A3026E">
          <w:rPr>
            <w:rFonts w:ascii="Times New Roman" w:eastAsia="Times New Roman" w:hAnsi="Times New Roman"/>
            <w:color w:val="000000" w:themeColor="text1"/>
            <w:sz w:val="16"/>
            <w:szCs w:val="16"/>
            <w:lang w:eastAsia="ru-RU"/>
          </w:rPr>
          <w:t>[309]</w:t>
        </w:r>
      </w:hyperlink>
      <w:r w:rsidRPr="00A3026E">
        <w:rPr>
          <w:rFonts w:ascii="Times New Roman" w:eastAsia="Times New Roman" w:hAnsi="Times New Roman"/>
          <w:color w:val="000000" w:themeColor="text1"/>
          <w:sz w:val="16"/>
          <w:szCs w:val="16"/>
          <w:lang w:eastAsia="ru-RU"/>
        </w:rPr>
        <w:t xml:space="preserve"> (17489).</w:t>
      </w:r>
    </w:p>
    <w:p w14:paraId="4E31EC7A" w14:textId="77777777" w:rsidR="009E7912" w:rsidRPr="00A3026E" w:rsidRDefault="009E7912" w:rsidP="00A3026E">
      <w:pPr>
        <w:spacing w:after="0" w:line="240" w:lineRule="auto"/>
        <w:jc w:val="both"/>
        <w:rPr>
          <w:rFonts w:ascii="Times New Roman" w:eastAsia="Times New Roman" w:hAnsi="Times New Roman"/>
          <w:color w:val="000000" w:themeColor="text1"/>
          <w:sz w:val="16"/>
          <w:szCs w:val="16"/>
          <w:lang w:eastAsia="ru-RU"/>
        </w:rPr>
      </w:pPr>
    </w:p>
    <w:p w14:paraId="6C49F503" w14:textId="77777777" w:rsidR="004A3039" w:rsidRPr="00A3026E" w:rsidRDefault="004A3039"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В декабре 1940 г., в соответствии с постановлением правительства, пятнад</w:t>
      </w:r>
      <w:r w:rsidRPr="00A3026E">
        <w:rPr>
          <w:rFonts w:ascii="Times New Roman" w:cs="Times New Roman"/>
          <w:color w:val="000000" w:themeColor="text1"/>
          <w:spacing w:val="0"/>
        </w:rPr>
        <w:softHyphen/>
        <w:t>цать образцов новых боевых самолетов получили обозначения с указанием на фамилию конструктора - Ар-2, Ер-2, Ил-2, ЛаГГ-1, ЛаГГ-3, МиГ-1, МиГ-3, Пе-2, Як-1, Як-2, Як-3, Як-4, Як-5, Як-7, а само</w:t>
      </w:r>
      <w:r w:rsidRPr="00A3026E">
        <w:rPr>
          <w:rFonts w:ascii="Times New Roman" w:cs="Times New Roman"/>
          <w:color w:val="000000" w:themeColor="text1"/>
          <w:spacing w:val="0"/>
        </w:rPr>
        <w:softHyphen/>
        <w:t>лет ББ-1 М-88 стал именоваться Су-2 (19102).</w:t>
      </w:r>
    </w:p>
    <w:p w14:paraId="6C49551F" w14:textId="77777777" w:rsidR="004A3039" w:rsidRPr="00A3026E" w:rsidRDefault="004A3039" w:rsidP="00A3026E">
      <w:pPr>
        <w:spacing w:after="0" w:line="240" w:lineRule="auto"/>
        <w:jc w:val="both"/>
        <w:rPr>
          <w:rFonts w:ascii="Times New Roman" w:hAnsi="Times New Roman"/>
          <w:color w:val="000000" w:themeColor="text1"/>
          <w:sz w:val="16"/>
          <w:szCs w:val="16"/>
        </w:rPr>
      </w:pPr>
    </w:p>
    <w:p w14:paraId="545368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декабря 1940 по ноябрь 1941 ПС-124 был в составе эскадрильи особого назначения во Внуково, а с ноября - в Узбекском управлении ГА (80,376).</w:t>
      </w:r>
    </w:p>
    <w:p w14:paraId="1EE8083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68F0E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декабря 1940 г. по ноябрь 1941 г. ПС-124 находился на стоянке. Почему фактический флагман "Аэрофлота" вывели из эксплуатации, остается невыясненным. Возможно, его полеты не окупались. Однако в советское время немало авиалиний являлись убыточными; государство, стремясь их сохранить, покрывало убытки. Зимой ПС-124 мог простаивать, не имея лыж, так же как и "Максим Горький". Но с весны 1940 г. аэродромы зимой стали укатывать. DC-3 и ПС-84 летали на колесах круглый год. Тем не менее, остается фактом, что почти год огромная машина не приносила никакой пользы.</w:t>
      </w:r>
    </w:p>
    <w:p w14:paraId="792B2D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два внутренних мотора АМ-34ФРНВ заменили более современными АМ-35. Номинальная мощность у них равнялась 1200 л.е., а максимальная - 1350 л.с. Это увеличило суммарную тягу и улучшило летные данные. Разрешенную полезную нагрузку подняли с 4800 кг до 6400 кг, полетный вес - с 44 000 кг до 45 600 кг. Максимальная скорость полета поднялась до 296 км/ч, но дальность немного уменьшилась - до 960 км. Обтекатели с колесных тележек сняли.</w:t>
      </w:r>
    </w:p>
    <w:p w14:paraId="087E20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Пока ПС-124 простаивал, началась Великая Отечественная война. Большую часть современной авиационной техники ГВФ направили в особые эскадрильи и группы, приданные фронтам и флотам для перевозок людей и грузов. Тыловые управления стали испытывать нехватку самолетов, поскольку и там объем перевозок после начала боевых действий возрос. Вот тогда и вспомнили о ПС-124 (11926).</w:t>
      </w:r>
    </w:p>
    <w:p w14:paraId="69C22D9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95BDF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декабря 1940 г. по ноябрь 1941 г. ПС-124 находился на стоянке. Почему фактический флагман "Аэрофлота" вывели из эксплуатации, остается невыясненным. Возможно, его полеты не окупались. Однако в советское время немало авиалиний являлись убыточными; государство, стремясь их сохранить, покрывало убытки. Зимой ПС-124 мог простаивать, не имеялыж,также как и "Максим Горький". Но с весны 1940 г. аэродромы зимой стали укатывать. DC-3 и ПС-84 летали на колесах круглый год. Тем не менее, остается фактом, что почти год офомная машина не приносила никакой пользы.</w:t>
      </w:r>
    </w:p>
    <w:p w14:paraId="349E30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два внутренних мотора АМ-34ФР- Тележка шасси НВ заменили более современными АМ-35. после установки Номинальная мощность у них равнялась обтекателя 1200 л.е., а максимальная - 1350 л.с. Это увеличило суммарную тягу и улучшило летные данные. Разрешенную полезную нагрузку подняли с 4800 кг до 6400 кг, полетный вес - с 44 000 кг до 45 600 кг. Максимальная скорость полета поднялась до 296 км/ч, но дальность немного уменьшилась - до 960 км. Обтекатели с колесных тележек сняли.</w:t>
      </w:r>
    </w:p>
    <w:p w14:paraId="33C1F2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Пока ПС-124 простаивал, началась Великая Отечественная война. Большую часть современной авиационной техники ГВФ направили в особые эскадрильи и группы, приданные фронтам и флотам для перевозок людей и фузов. Тыловые управления стали испытывать нехватку самолетов, поскольку и там объем перевозок после начала боевых действий возрос. Вот тогда и вспомнили о ПС-124 (12024).</w:t>
      </w:r>
    </w:p>
    <w:p w14:paraId="32773E5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EDEDD5B" w14:textId="77777777" w:rsidR="00366D67" w:rsidRPr="00A3026E" w:rsidRDefault="00366D6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lang w:eastAsia="ru-RU" w:bidi="ru-RU"/>
        </w:rPr>
        <w:t>В декабре 1940 года переоборудованный Сталь-3 Л-1244 с двигателем «Юпитер» проходил испытания в НИИ ГВФ. Отличительной особенностью являлись отсутствие кольца Тауненда и выхлопного коллектора. По</w:t>
      </w:r>
      <w:r w:rsidRPr="00A3026E">
        <w:rPr>
          <w:rFonts w:ascii="Times New Roman" w:hAnsi="Times New Roman"/>
          <w:color w:val="0070C0"/>
          <w:sz w:val="16"/>
          <w:szCs w:val="16"/>
          <w:lang w:eastAsia="ru-RU" w:bidi="ru-RU"/>
        </w:rPr>
        <w:softHyphen/>
        <w:t>летный вес самолета составил 2820 кг (пустой 1717 кг), максимальная скорость 196 км/ч, потолок 5740 м, длина разбега — 270-280 м, полетная центровка 31,3-33,9% САХ. Согласно отчета по испытаниям последовало реше</w:t>
      </w:r>
      <w:r w:rsidRPr="00A3026E">
        <w:rPr>
          <w:rFonts w:ascii="Times New Roman" w:hAnsi="Times New Roman"/>
          <w:color w:val="0070C0"/>
          <w:sz w:val="16"/>
          <w:szCs w:val="16"/>
          <w:lang w:eastAsia="ru-RU" w:bidi="ru-RU"/>
        </w:rPr>
        <w:softHyphen/>
        <w:t>ние об установке двигателей «Юпитер</w:t>
      </w:r>
      <w:r w:rsidRPr="00A3026E">
        <w:rPr>
          <w:rFonts w:ascii="Times New Roman" w:hAnsi="Times New Roman"/>
          <w:color w:val="0070C0"/>
          <w:sz w:val="16"/>
          <w:szCs w:val="16"/>
          <w:lang w:bidi="en-US"/>
        </w:rPr>
        <w:t>-</w:t>
      </w:r>
      <w:r w:rsidRPr="00A3026E">
        <w:rPr>
          <w:rFonts w:ascii="Times New Roman" w:hAnsi="Times New Roman"/>
          <w:color w:val="0070C0"/>
          <w:sz w:val="16"/>
          <w:szCs w:val="16"/>
          <w:lang w:val="en-US" w:bidi="en-US"/>
        </w:rPr>
        <w:t>VII</w:t>
      </w:r>
      <w:r w:rsidRPr="00A3026E">
        <w:rPr>
          <w:rFonts w:ascii="Times New Roman" w:hAnsi="Times New Roman"/>
          <w:color w:val="0070C0"/>
          <w:sz w:val="16"/>
          <w:szCs w:val="16"/>
          <w:lang w:bidi="en-US"/>
        </w:rPr>
        <w:t xml:space="preserve">» </w:t>
      </w:r>
      <w:r w:rsidRPr="00A3026E">
        <w:rPr>
          <w:rFonts w:ascii="Times New Roman" w:hAnsi="Times New Roman"/>
          <w:color w:val="0070C0"/>
          <w:sz w:val="16"/>
          <w:szCs w:val="16"/>
          <w:lang w:eastAsia="ru-RU" w:bidi="ru-RU"/>
        </w:rPr>
        <w:t>на другие Сталь- 3. Точное количество полученных «Юпитеров» неизвестно, однако в конце 1940 г. в ГВФ насчитывалось четыре Сталь-3 с польскими двигателями (20365).</w:t>
      </w:r>
    </w:p>
    <w:p w14:paraId="76DED242" w14:textId="77777777" w:rsidR="00366D67" w:rsidRPr="00A3026E" w:rsidRDefault="00366D67" w:rsidP="00A3026E">
      <w:pPr>
        <w:shd w:val="clear" w:color="auto" w:fill="FFFFFF"/>
        <w:spacing w:after="0" w:line="240" w:lineRule="auto"/>
        <w:jc w:val="both"/>
        <w:rPr>
          <w:rFonts w:ascii="Times New Roman" w:hAnsi="Times New Roman"/>
          <w:color w:val="0070C0"/>
          <w:sz w:val="16"/>
          <w:szCs w:val="16"/>
        </w:rPr>
      </w:pPr>
    </w:p>
    <w:p w14:paraId="239E84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В.В.Никитин в ОКБ-30 при Московском авиатехникуме получил мотор для НВ-6, построенного по заказу Осоавиахима (УТИ-6) (4,102).</w:t>
      </w:r>
    </w:p>
    <w:p w14:paraId="135536E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728AD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декабря 1940 г. продолжалась сдача последних КОР-1 военной приемке, уже после того, как завод №31 полностью перешел на выпуск истребителей ЛаГГ-3. При проведении сдаточных испытаний 4 ноября 1940 г. само</w:t>
      </w:r>
      <w:r w:rsidRPr="00A3026E">
        <w:rPr>
          <w:rFonts w:ascii="Times New Roman" w:hAnsi="Times New Roman"/>
          <w:color w:val="000000" w:themeColor="text1"/>
          <w:sz w:val="16"/>
          <w:szCs w:val="16"/>
        </w:rPr>
        <w:softHyphen/>
        <w:t>лет №203107 потерпел аварию в районе Таганрога. Машина скапотировала при посадке, экипаж в составе летчика М.В. Цепилова и наблюдателя А.Н. Безуглого при этом не по</w:t>
      </w:r>
      <w:r w:rsidRPr="00A3026E">
        <w:rPr>
          <w:rFonts w:ascii="Times New Roman" w:hAnsi="Times New Roman"/>
          <w:color w:val="000000" w:themeColor="text1"/>
          <w:sz w:val="16"/>
          <w:szCs w:val="16"/>
        </w:rPr>
        <w:softHyphen/>
        <w:t>страдали. Так как глубина на месте происшествия была не</w:t>
      </w:r>
      <w:r w:rsidRPr="00A3026E">
        <w:rPr>
          <w:rFonts w:ascii="Times New Roman" w:hAnsi="Times New Roman"/>
          <w:color w:val="000000" w:themeColor="text1"/>
          <w:sz w:val="16"/>
          <w:szCs w:val="16"/>
        </w:rPr>
        <w:softHyphen/>
        <w:t>большой, полузатонувший КОР-1 подняли уже на следующий день. Причиной аварии стало разрушение центрального поплавка на пробеге вследствие его недостаточной проч</w:t>
      </w:r>
      <w:r w:rsidRPr="00A3026E">
        <w:rPr>
          <w:rFonts w:ascii="Times New Roman" w:hAnsi="Times New Roman"/>
          <w:color w:val="000000" w:themeColor="text1"/>
          <w:sz w:val="16"/>
          <w:szCs w:val="16"/>
        </w:rPr>
        <w:softHyphen/>
        <w:t>ности. Восстанавливать самолет не стали, он был списан (12279).</w:t>
      </w:r>
    </w:p>
    <w:p w14:paraId="7E88DFC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3FDD1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Н.Н.П. сделал БДП (107,9).</w:t>
      </w:r>
    </w:p>
    <w:p w14:paraId="1B50625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5D91C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у новой машины по</w:t>
      </w:r>
      <w:r w:rsidRPr="00A3026E">
        <w:rPr>
          <w:rFonts w:ascii="Times New Roman" w:hAnsi="Times New Roman"/>
          <w:color w:val="000000" w:themeColor="text1"/>
          <w:sz w:val="16"/>
          <w:szCs w:val="16"/>
        </w:rPr>
        <w:softHyphen/>
        <w:t>явилось другое имя: в соответствии с при</w:t>
      </w:r>
      <w:r w:rsidRPr="00A3026E">
        <w:rPr>
          <w:rFonts w:ascii="Times New Roman" w:hAnsi="Times New Roman"/>
          <w:color w:val="000000" w:themeColor="text1"/>
          <w:sz w:val="16"/>
          <w:szCs w:val="16"/>
        </w:rPr>
        <w:softHyphen/>
        <w:t>казом НКАП №704 «О переименовании бо</w:t>
      </w:r>
      <w:r w:rsidRPr="00A3026E">
        <w:rPr>
          <w:rFonts w:ascii="Times New Roman" w:hAnsi="Times New Roman"/>
          <w:color w:val="000000" w:themeColor="text1"/>
          <w:sz w:val="16"/>
          <w:szCs w:val="16"/>
        </w:rPr>
        <w:softHyphen/>
        <w:t>евых самолетов» КОР-2 получил обозначе</w:t>
      </w:r>
      <w:r w:rsidRPr="00A3026E">
        <w:rPr>
          <w:rFonts w:ascii="Times New Roman" w:hAnsi="Times New Roman"/>
          <w:color w:val="000000" w:themeColor="text1"/>
          <w:sz w:val="16"/>
          <w:szCs w:val="16"/>
        </w:rPr>
        <w:softHyphen/>
        <w:t>ние Бе-4 (10685).</w:t>
      </w:r>
    </w:p>
    <w:p w14:paraId="2529974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79E60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декабря 1940 г. производство М-63 было восста</w:t>
      </w:r>
      <w:r w:rsidRPr="00A3026E">
        <w:rPr>
          <w:rFonts w:ascii="Times New Roman" w:hAnsi="Times New Roman"/>
          <w:color w:val="000000" w:themeColor="text1"/>
          <w:sz w:val="16"/>
          <w:szCs w:val="16"/>
        </w:rPr>
        <w:softHyphen/>
        <w:t>новлено, а с завода в части и ремонтные базы ВВС на</w:t>
      </w:r>
      <w:r w:rsidRPr="00A3026E">
        <w:rPr>
          <w:rFonts w:ascii="Times New Roman" w:hAnsi="Times New Roman"/>
          <w:color w:val="000000" w:themeColor="text1"/>
          <w:sz w:val="16"/>
          <w:szCs w:val="16"/>
        </w:rPr>
        <w:softHyphen/>
        <w:t>правили для замены доработанные детали и агрегаты мотора (10667).</w:t>
      </w:r>
    </w:p>
    <w:p w14:paraId="21F5888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383388C"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С декабря 1940 г., хотя официальный статус мотор обрел только после выхода постановления Совнаркома от 19 июня 1941 г., Коссов проектировал М-32. Этот двигатель конструктор предлагал выпускать вместо МГ-31Ф. Мотор представлял собой дальнейшее развитие последнего. Мощность должна была дойти до 450 л.с. Параллельно предлагались сразу несколько модификаций: М-32 авиационный, М-32А дефорсированный до 300 л.с. и работавший на автомобильном бензине для аэросаней, М-32Т танковый с принудительным охлаждением и сдвоенный вариант последнего. В 1941 г. начали изготовлять основные детали и узлы первого опытного образца двигателя - авиационного. В октябре его планировали поставить на стенд. Этот процесс был прерван войной. В начале 1942 г. мотор официально исключили из плана опытных работ (11478).</w:t>
      </w:r>
    </w:p>
    <w:p w14:paraId="3C1D31B8" w14:textId="77777777" w:rsidR="0014077F" w:rsidRPr="00A3026E" w:rsidRDefault="0014077F" w:rsidP="00A3026E">
      <w:pPr>
        <w:pStyle w:val="af2"/>
        <w:jc w:val="both"/>
        <w:rPr>
          <w:i w:val="0"/>
          <w:iCs w:val="0"/>
          <w:color w:val="000000" w:themeColor="text1"/>
          <w:spacing w:val="0"/>
          <w:kern w:val="0"/>
          <w:position w:val="0"/>
          <w:sz w:val="16"/>
          <w:szCs w:val="16"/>
          <w:lang w:val="ru-RU"/>
        </w:rPr>
      </w:pPr>
    </w:p>
    <w:p w14:paraId="4709380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декабре 1940 закончились 100-часовые гос. испытания мотора М-30, которые проходили с ноября 1940. Отчет о гос. испытаниях мотора М-30 утвержден КО. Результаты испытаний признаны удовлетворительными. Мотор запущен в серийное производство (4048, 4).</w:t>
      </w:r>
    </w:p>
    <w:p w14:paraId="47B7831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662CF0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дизель М-30 А.Д.Чаромского прошел 100-часовые государственные испытания, а в июне 1941 г. - комиссионные 150-часовые испытания на станке. И все же М-30, как и все новые изделия, страдала большим количеством хотя и мелких, но неприятных дефектов. Унаследовала она и самый главный недостаток М-40: склонность к самовыключению при полете на крейсерской скорости на высоте более 4000 м (3322,37).</w:t>
      </w:r>
    </w:p>
    <w:p w14:paraId="651A2F8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D6399C7" w14:textId="77777777" w:rsidR="00366D67" w:rsidRPr="00A3026E" w:rsidRDefault="00366D6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декабре 1940 г. государственные испытания с удов</w:t>
      </w:r>
      <w:r w:rsidRPr="00A3026E">
        <w:rPr>
          <w:rFonts w:ascii="Times New Roman" w:hAnsi="Times New Roman"/>
          <w:color w:val="0070C0"/>
          <w:sz w:val="16"/>
          <w:szCs w:val="16"/>
        </w:rPr>
        <w:softHyphen/>
        <w:t>летворительной оценкой прошел дизель М-30, который яв</w:t>
      </w:r>
      <w:r w:rsidRPr="00A3026E">
        <w:rPr>
          <w:rFonts w:ascii="Times New Roman" w:hAnsi="Times New Roman"/>
          <w:color w:val="0070C0"/>
          <w:sz w:val="16"/>
          <w:szCs w:val="16"/>
        </w:rPr>
        <w:softHyphen/>
        <w:t>лялся модификацией М-40. Основным его отличием ста</w:t>
      </w:r>
      <w:r w:rsidRPr="00A3026E">
        <w:rPr>
          <w:rFonts w:ascii="Times New Roman" w:hAnsi="Times New Roman"/>
          <w:color w:val="0070C0"/>
          <w:sz w:val="16"/>
          <w:szCs w:val="16"/>
        </w:rPr>
        <w:softHyphen/>
        <w:t>ла установка по одному турбокомпрессору с каждой сто</w:t>
      </w:r>
      <w:r w:rsidRPr="00A3026E">
        <w:rPr>
          <w:rFonts w:ascii="Times New Roman" w:hAnsi="Times New Roman"/>
          <w:color w:val="0070C0"/>
          <w:sz w:val="16"/>
          <w:szCs w:val="16"/>
        </w:rPr>
        <w:softHyphen/>
        <w:t>роны двигателя. По весовым характеристикам и мощности оба дизеля были равноценными. Однако конструктор Ту</w:t>
      </w:r>
      <w:r w:rsidRPr="00A3026E">
        <w:rPr>
          <w:rFonts w:ascii="Times New Roman" w:hAnsi="Times New Roman"/>
          <w:color w:val="0070C0"/>
          <w:sz w:val="16"/>
          <w:szCs w:val="16"/>
        </w:rPr>
        <w:softHyphen/>
        <w:t>лупов путем дальнейшего форсирования обещал в ближай</w:t>
      </w:r>
      <w:r w:rsidRPr="00A3026E">
        <w:rPr>
          <w:rFonts w:ascii="Times New Roman" w:hAnsi="Times New Roman"/>
          <w:color w:val="0070C0"/>
          <w:sz w:val="16"/>
          <w:szCs w:val="16"/>
        </w:rPr>
        <w:softHyphen/>
        <w:t>шем времени изготовить дизель М-30Ф с максимальной мощностью 1700 л.с. Очевидно это обстоятельство приве</w:t>
      </w:r>
      <w:r w:rsidRPr="00A3026E">
        <w:rPr>
          <w:rFonts w:ascii="Times New Roman" w:hAnsi="Times New Roman"/>
          <w:color w:val="0070C0"/>
          <w:sz w:val="16"/>
          <w:szCs w:val="16"/>
        </w:rPr>
        <w:softHyphen/>
        <w:t>ло к решению оборудовать в июне 1941 г. на БОК-15 №2 дизель М-30. Начавшаяся война не позволила довести все перечисленные начинания до реализации. В 1941 г. по крайней мере один БОК-15 перегнали в Казань (20363).</w:t>
      </w:r>
    </w:p>
    <w:p w14:paraId="410F1646" w14:textId="77777777" w:rsidR="00366D67" w:rsidRPr="00A3026E" w:rsidRDefault="00366D67" w:rsidP="00A3026E">
      <w:pPr>
        <w:shd w:val="clear" w:color="auto" w:fill="FFFFFF"/>
        <w:spacing w:after="0" w:line="240" w:lineRule="auto"/>
        <w:jc w:val="both"/>
        <w:rPr>
          <w:rFonts w:ascii="Times New Roman" w:hAnsi="Times New Roman"/>
          <w:color w:val="0070C0"/>
          <w:sz w:val="16"/>
          <w:szCs w:val="16"/>
        </w:rPr>
      </w:pPr>
    </w:p>
    <w:p w14:paraId="389F4D7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1-й экземпляр учебного самолета с автомобильным двигателем – декабрь 1939 года. Конструктор Смолин, завод № 21.при заводских испытаниях потерпел катастрофу (4048, 4).</w:t>
      </w:r>
    </w:p>
    <w:p w14:paraId="526B201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72BA56E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переконструированный в тренировочный истребитель УТ-1 с мотором М-11, вооруженный 1 пулеметом 7,62 мм вперед через винт и с упрощенным пилотирование (Завод № 47) закончил гос. испытания в НИИ ВВС, которые проходили с ноября 1940. К серийной постройке не рекомендован (4048, 4).</w:t>
      </w:r>
    </w:p>
    <w:p w14:paraId="71A60D73"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0A5EF41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декабря 1940 г. под руководством М.А. Коссова выполнялся проект М-32. Это обозначение было дано повторно. Ранее его носил 16-цилиндровый двигатель, созданный под руководством В.М. Яковлева. В 1939 г. его еще раз присвоили мотору средней мощности, задание на который выдали кон</w:t>
      </w:r>
      <w:r w:rsidRPr="00A3026E">
        <w:rPr>
          <w:rFonts w:ascii="Times New Roman" w:hAnsi="Times New Roman"/>
          <w:color w:val="000000" w:themeColor="text1"/>
          <w:sz w:val="16"/>
          <w:szCs w:val="16"/>
        </w:rPr>
        <w:softHyphen/>
        <w:t>структорскому бюро завода № 154. М-32 представлял собой дальнейшее раз</w:t>
      </w:r>
      <w:r w:rsidRPr="00A3026E">
        <w:rPr>
          <w:rFonts w:ascii="Times New Roman" w:hAnsi="Times New Roman"/>
          <w:color w:val="000000" w:themeColor="text1"/>
          <w:sz w:val="16"/>
          <w:szCs w:val="16"/>
        </w:rPr>
        <w:softHyphen/>
        <w:t>витие МГ-31 Ф. Отличался головками цилиндров по типу М-62, гильзами с увеличенным оребрением, приводом компрессора и наличием синхро</w:t>
      </w:r>
      <w:r w:rsidRPr="00A3026E">
        <w:rPr>
          <w:rFonts w:ascii="Times New Roman" w:hAnsi="Times New Roman"/>
          <w:color w:val="000000" w:themeColor="text1"/>
          <w:sz w:val="16"/>
          <w:szCs w:val="16"/>
        </w:rPr>
        <w:softHyphen/>
        <w:t>низатора. В 1941 г. начали изготавливать основные детали и узлы опыт</w:t>
      </w:r>
      <w:r w:rsidRPr="00A3026E">
        <w:rPr>
          <w:rFonts w:ascii="Times New Roman" w:hAnsi="Times New Roman"/>
          <w:color w:val="000000" w:themeColor="text1"/>
          <w:sz w:val="16"/>
          <w:szCs w:val="16"/>
        </w:rPr>
        <w:softHyphen/>
        <w:t>ного образца двигателя. Этот процесс был прерван начавшейся войной, а затем эвакуацией завода в Андижан. После эвакуации работы по М-32 не возобновили. В начале 1942 г. мотор официально исключили из плана опытных работ.</w:t>
      </w:r>
    </w:p>
    <w:p w14:paraId="77C6947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Характеристики:</w:t>
      </w:r>
    </w:p>
    <w:p w14:paraId="183B1E2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9-цилиндровый, звездообразный, четырехтактный, воздушного охлаж</w:t>
      </w:r>
      <w:r w:rsidRPr="00A3026E">
        <w:rPr>
          <w:rFonts w:ascii="Times New Roman" w:hAnsi="Times New Roman"/>
          <w:color w:val="000000" w:themeColor="text1"/>
          <w:sz w:val="16"/>
          <w:szCs w:val="16"/>
        </w:rPr>
        <w:softHyphen/>
        <w:t>дения, безредукторный,, с ПЦН;</w:t>
      </w:r>
    </w:p>
    <w:p w14:paraId="2EFFC41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диаметр цилиндра/ход поршня 125/140 мм;</w:t>
      </w:r>
    </w:p>
    <w:p w14:paraId="2513442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мощность 400/450 л.с.;</w:t>
      </w:r>
    </w:p>
    <w:p w14:paraId="6F299D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вес 330 кг. Известны варианты:</w:t>
      </w:r>
    </w:p>
    <w:p w14:paraId="2A91C63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М-32, авиационный, 400/450 л.с.</w:t>
      </w:r>
    </w:p>
    <w:p w14:paraId="356E0ED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М-32А дефорсированный для аэросаней, 250/300 л.с., с работой на автомобильном бензине.</w:t>
      </w:r>
    </w:p>
    <w:p w14:paraId="5A3B0B7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М-32Т танковый с принудительным охлаждением.</w:t>
      </w:r>
    </w:p>
    <w:p w14:paraId="2632CBA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- 2М-32Т сдвоенный танковый.</w:t>
      </w:r>
    </w:p>
    <w:p w14:paraId="05BB010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они не вышли из стадии проектирования, кроме М-32, партия из 10 экз. которого не была завершена вследствие эвакуации (11852).</w:t>
      </w:r>
    </w:p>
    <w:p w14:paraId="722381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5728ED31" w14:textId="77777777" w:rsidR="004A3039" w:rsidRPr="00A3026E" w:rsidRDefault="004A303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государственные испытания с удовлетворительной оценкой прошел дизель М-30, который являлся модификацией М-40. Основным его отличием стала установка по одному турбокомпрессору с каждой стороны двигателя. По весовым характеристикам и мощности оба дизеля были равноценными. Однако конструктор Тулупов путем дальнейшего форсирования обещал в ближайшем времени изготовить дизель М-30Ф с максимальной мощностью 1700 л. с. Очевидно, это обстоятельство привело к решению оборудовать в июне 1941 г. на БОК-15 № 2 дизель М-30 (19159).</w:t>
      </w:r>
    </w:p>
    <w:p w14:paraId="58204C70" w14:textId="77777777" w:rsidR="004A3039" w:rsidRPr="00A3026E" w:rsidRDefault="004A3039" w:rsidP="00A3026E">
      <w:pPr>
        <w:spacing w:after="0" w:line="240" w:lineRule="auto"/>
        <w:jc w:val="both"/>
        <w:rPr>
          <w:rFonts w:ascii="Times New Roman" w:hAnsi="Times New Roman"/>
          <w:color w:val="000000" w:themeColor="text1"/>
          <w:sz w:val="16"/>
          <w:szCs w:val="16"/>
        </w:rPr>
      </w:pPr>
    </w:p>
    <w:p w14:paraId="6A21442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фирма «Райт» предоставила техпомощь по однорядным мо</w:t>
      </w:r>
      <w:r w:rsidRPr="00A3026E">
        <w:rPr>
          <w:rFonts w:ascii="Times New Roman" w:hAnsi="Times New Roman"/>
          <w:color w:val="000000" w:themeColor="text1"/>
          <w:sz w:val="16"/>
          <w:szCs w:val="16"/>
        </w:rPr>
        <w:softHyphen/>
        <w:t>торам С-100 и С-200 (РГАЭ. Ф. 8044. Оп. 1. Д. 408. Л. 46-47.) (11710,245).</w:t>
      </w:r>
    </w:p>
    <w:p w14:paraId="1940290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4D7255A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декабря 1940 года отсек М-20 проходил стендовые испытания, на которых получили большую мощность, чем рассчитывали. Если по проекту максимальная мощность М-20 составляла 2200 л.с., то по результатам испытаний ее оценили в 3000 л.с. Осенью 1940 г. на заводе № 82 в Москве изготовили отсек М-20 с четырьмя цилиндрами. Мощный дизель для тяжелых бомбардировщиков. Проектировался в ЦИАМ в 1940-1941 гг. Имел необычную ромбическую компоновку с че</w:t>
      </w:r>
      <w:r w:rsidRPr="00A3026E">
        <w:rPr>
          <w:rFonts w:ascii="Times New Roman" w:hAnsi="Times New Roman"/>
          <w:color w:val="000000" w:themeColor="text1"/>
          <w:sz w:val="16"/>
          <w:szCs w:val="16"/>
        </w:rPr>
        <w:softHyphen/>
        <w:t>тырьмя коленвалами, двумя противоположно движущимися поршнями в каждом из 48 цилиндров. Изготовление опытного образца М-20 должны были завершить в середине 1941 г., но его так и не сделали. Доводку четырехцилиндрового отсека продолжали в ЦИАМ до начала 1943 г.</w:t>
      </w:r>
    </w:p>
    <w:p w14:paraId="364D6B7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Характеристики:</w:t>
      </w:r>
    </w:p>
    <w:p w14:paraId="531FC4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48-цилиндровый ромбовидный, с противоположно движущимися поршнями, двухтактный, водяного охлаждения, редукторный;</w:t>
      </w:r>
    </w:p>
    <w:p w14:paraId="04C595F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максимальная мощность (расчетная) 3000 л.с.</w:t>
      </w:r>
    </w:p>
    <w:p w14:paraId="2B171F0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Предусматривалось использование М-20 в проекте бомбардировщика ДВБ-102ДМ.</w:t>
      </w:r>
    </w:p>
    <w:p w14:paraId="310DA0B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«половинки» от М-20 с 24 цилиндрами, создававшийся в ЦИАМ в 1941-1943 гг. как АН-5. Опытный образец изготовлен не был.</w:t>
      </w:r>
    </w:p>
    <w:p w14:paraId="72DB522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Характеристики:</w:t>
      </w:r>
    </w:p>
    <w:p w14:paraId="62EBEC3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24-цилиндровый ромбовидный, с противоположно движущимися порш</w:t>
      </w:r>
      <w:r w:rsidRPr="00A3026E">
        <w:rPr>
          <w:rFonts w:ascii="Times New Roman" w:hAnsi="Times New Roman"/>
          <w:color w:val="000000" w:themeColor="text1"/>
          <w:sz w:val="16"/>
          <w:szCs w:val="16"/>
        </w:rPr>
        <w:softHyphen/>
        <w:t>нями, двухтактный, водяного охлаждения, редукторный;</w:t>
      </w:r>
    </w:p>
    <w:p w14:paraId="0FD328B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мощность (расчетная) 1500/1750 л.с. (по другим данным, 1500/1700 л.с.);</w:t>
      </w:r>
    </w:p>
    <w:p w14:paraId="32CEE48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вес 800-850 кг. (11852).</w:t>
      </w:r>
    </w:p>
    <w:p w14:paraId="4621F14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F31E94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депутат верховного Совета Герой Советского Союза Данилин писал письмо №ОС/002193 зам. председателя СНК и председателю Комитета обороны при СНК Ворошилову.</w:t>
      </w:r>
    </w:p>
    <w:p w14:paraId="58CF941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p w14:paraId="2E706EBA"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Важнейший вопрос дублирования производственных баз пребывает все еще в стадии согласований. Уникальными заводами остаются:</w:t>
      </w:r>
    </w:p>
    <w:p w14:paraId="2A549689"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266 НКАП – самолетная энергетика</w:t>
      </w:r>
    </w:p>
    <w:p w14:paraId="0A1FCBC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230 НКАП - тахометры и другие электрифицированные моторные приборы</w:t>
      </w:r>
    </w:p>
    <w:p w14:paraId="00D8779F"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«Электросигнал» НКЭП (радиоприемники).</w:t>
      </w:r>
    </w:p>
    <w:p w14:paraId="0B71AD5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197 НКЭП – радиопередатчики и переговорные устройства</w:t>
      </w:r>
    </w:p>
    <w:p w14:paraId="231373EB"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203 НКЭП – радиокомпасы</w:t>
      </w:r>
    </w:p>
    <w:p w14:paraId="3C52BBC6"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356 НКВ – аэрофотоаппараты</w:t>
      </w:r>
    </w:p>
    <w:p w14:paraId="4CFA825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ГОМЗ – фотообъективы</w:t>
      </w:r>
    </w:p>
    <w:p w14:paraId="416833CE"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327 – радиомаяки и аппаратура слепой посадки (6893, 62-65).</w:t>
      </w:r>
    </w:p>
    <w:p w14:paraId="55982FA4"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4A687D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Начальник Института авиамедицины ВВС им. И.П. Павлова в/врач 1 ранга Ирунгов утвердил Отчет об испытании герметической кабины конструктора инженера Щербакова</w:t>
      </w:r>
    </w:p>
    <w:p w14:paraId="2597C0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Цель испытания.</w:t>
      </w:r>
    </w:p>
    <w:p w14:paraId="49B196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Изучение физиолого-гигиенических условий в герметической кабине данной конструкции, возникающих при внезапном нарушении ее герметичности, а также условий для эксплуатации кабины в зимних условиях.</w:t>
      </w:r>
    </w:p>
    <w:p w14:paraId="3CEADC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Общее заключение.</w:t>
      </w:r>
    </w:p>
    <w:p w14:paraId="192C06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Быстрое понижение давления обусловленное нарушением герметичности кабины (прострел) не оказывает какого-либо существенного влияния на человека.</w:t>
      </w:r>
    </w:p>
    <w:p w14:paraId="48F62F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Падение концентрации кислорода в воздухе кабины, возникающее при ее простреле, происходит сравнительно медленно, что позволяет летчику не спеша одеть маску кислородного прибора (запас времени до 5 минут) (3168).</w:t>
      </w:r>
    </w:p>
    <w:p w14:paraId="27793C0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101AF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начал работать новый комплекс ЦАГИ в Жуковском. Показывали К.Е.Ворошилову - зам. пред. Совнаркома и председателю КО при СНК (6,64).</w:t>
      </w:r>
    </w:p>
    <w:p w14:paraId="68B6366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15238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первый экз. ББ МАИ без ТК был на аэродроме ЦАГИ в Раменках и состоялся первый полет. Скороподъемность оказалась низкой и летные испытания прекратили и ходатайствовали к НКАП о снятии задания (822).</w:t>
      </w:r>
    </w:p>
    <w:p w14:paraId="3A4D947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D453B2C" w14:textId="77777777" w:rsidR="00DE7B39" w:rsidRPr="00A3026E" w:rsidRDefault="00DE7B39" w:rsidP="00A3026E">
      <w:pPr>
        <w:pStyle w:val="book-paragraph"/>
        <w:spacing w:before="0" w:beforeAutospacing="0" w:after="0" w:afterAutospacing="0"/>
        <w:jc w:val="both"/>
        <w:rPr>
          <w:color w:val="000000" w:themeColor="text1"/>
          <w:sz w:val="16"/>
          <w:szCs w:val="16"/>
        </w:rPr>
      </w:pPr>
      <w:r w:rsidRPr="00A3026E">
        <w:rPr>
          <w:color w:val="000000" w:themeColor="text1"/>
          <w:sz w:val="16"/>
          <w:szCs w:val="16"/>
        </w:rPr>
        <w:t>В декабре 1940 года состоялся первый полет ББ-МАИ. Пилотировал самолет бывший маевец Алексей Гринчик.</w:t>
      </w:r>
    </w:p>
    <w:p w14:paraId="73FBEBAF" w14:textId="77777777" w:rsidR="00DE7B39" w:rsidRPr="00A3026E" w:rsidRDefault="00DE7B39" w:rsidP="00A3026E">
      <w:pPr>
        <w:pStyle w:val="book-paragraph"/>
        <w:spacing w:before="0" w:beforeAutospacing="0" w:after="0" w:afterAutospacing="0"/>
        <w:jc w:val="both"/>
        <w:rPr>
          <w:color w:val="000000" w:themeColor="text1"/>
          <w:sz w:val="16"/>
          <w:szCs w:val="16"/>
        </w:rPr>
      </w:pPr>
      <w:r w:rsidRPr="00A3026E">
        <w:rPr>
          <w:color w:val="000000" w:themeColor="text1"/>
          <w:sz w:val="16"/>
          <w:szCs w:val="16"/>
        </w:rPr>
        <w:t>Уже в первом полете проявился основной недостаток ББ-МАИ – его удивительная нелетучесть. О том полете впервые рассказал в своей книге «Лечу за мечтой» известный летчик-испытатель Игорь Шелест:</w:t>
      </w:r>
    </w:p>
    <w:p w14:paraId="228D9D93" w14:textId="77777777" w:rsidR="00DE7B39" w:rsidRPr="00A3026E" w:rsidRDefault="00DE7B39" w:rsidP="00A3026E">
      <w:pPr>
        <w:pStyle w:val="book-paragraph"/>
        <w:spacing w:before="0" w:beforeAutospacing="0" w:after="0" w:afterAutospacing="0"/>
        <w:jc w:val="both"/>
        <w:rPr>
          <w:color w:val="000000" w:themeColor="text1"/>
          <w:sz w:val="16"/>
          <w:szCs w:val="16"/>
        </w:rPr>
      </w:pPr>
      <w:r w:rsidRPr="00A3026E">
        <w:rPr>
          <w:iCs/>
          <w:color w:val="000000" w:themeColor="text1"/>
          <w:sz w:val="16"/>
          <w:szCs w:val="16"/>
        </w:rPr>
        <w:t>«Гринчик, пойдя на взлет, пробежал на колесах всю огромную взлетную полосу и, оторвавшись так, будто магнит тянул его к земле, еле перетянул забор, но тут же был вынужден снизиться в пойму реки, где и скрылся из глаз не поднимаясь выше…</w:t>
      </w:r>
    </w:p>
    <w:p w14:paraId="2DE2D3C4" w14:textId="77777777" w:rsidR="00DE7B39" w:rsidRPr="00A3026E" w:rsidRDefault="00DE7B39" w:rsidP="00A3026E">
      <w:pPr>
        <w:pStyle w:val="book-paragraph"/>
        <w:spacing w:before="0" w:beforeAutospacing="0" w:after="0" w:afterAutospacing="0"/>
        <w:jc w:val="both"/>
        <w:rPr>
          <w:color w:val="000000" w:themeColor="text1"/>
          <w:sz w:val="16"/>
          <w:szCs w:val="16"/>
        </w:rPr>
      </w:pPr>
      <w:r w:rsidRPr="00A3026E">
        <w:rPr>
          <w:iCs/>
          <w:color w:val="000000" w:themeColor="text1"/>
          <w:sz w:val="16"/>
          <w:szCs w:val="16"/>
        </w:rPr>
        <w:t>Переживания тех, кто всматривался вдаль и больше ничего не видел, может представить себе всякий, у кого доброе сердце. Многие, по правде говоря, уже не сомневались, что Гринчик „припечатался на брюхо“ где-нибудь в лугах, и успокаивали этим друг друга, а напряжение тревоги повисло над летным полем, как туман.</w:t>
      </w:r>
    </w:p>
    <w:p w14:paraId="71E2C4FE" w14:textId="77777777" w:rsidR="00DE7B39" w:rsidRPr="00A3026E" w:rsidRDefault="00DE7B39" w:rsidP="00A3026E">
      <w:pPr>
        <w:pStyle w:val="book-paragraph"/>
        <w:spacing w:before="0" w:beforeAutospacing="0" w:after="0" w:afterAutospacing="0"/>
        <w:jc w:val="both"/>
        <w:rPr>
          <w:color w:val="000000" w:themeColor="text1"/>
          <w:sz w:val="16"/>
          <w:szCs w:val="16"/>
        </w:rPr>
      </w:pPr>
      <w:r w:rsidRPr="00A3026E">
        <w:rPr>
          <w:iCs/>
          <w:color w:val="000000" w:themeColor="text1"/>
          <w:sz w:val="16"/>
          <w:szCs w:val="16"/>
        </w:rPr>
        <w:t>Сколько прошло минут – пять или пятнадцать – теперь трудно сказать: время тянулось медленно. И тут откуда не возьмись к противоположной стороне бетонной полосы низко подкрался какой-то самолет. Пока он не коснулся бетонки и не побежал на трех колесах с приподнятым хвостом, все еще боялись ошибиться. Но нет! Это действительно был Гринчик!..»</w:t>
      </w:r>
    </w:p>
    <w:p w14:paraId="23AC265B" w14:textId="77777777" w:rsidR="00DE7B39" w:rsidRPr="00A3026E" w:rsidRDefault="00DE7B39" w:rsidP="00A3026E">
      <w:pPr>
        <w:pStyle w:val="book-paragraph"/>
        <w:spacing w:before="0" w:beforeAutospacing="0" w:after="0" w:afterAutospacing="0"/>
        <w:jc w:val="both"/>
        <w:rPr>
          <w:color w:val="000000" w:themeColor="text1"/>
          <w:sz w:val="16"/>
          <w:szCs w:val="16"/>
        </w:rPr>
      </w:pPr>
      <w:r w:rsidRPr="00A3026E">
        <w:rPr>
          <w:color w:val="000000" w:themeColor="text1"/>
          <w:sz w:val="16"/>
          <w:szCs w:val="16"/>
        </w:rPr>
        <w:t>Больше в Раменском летать ББ-МАИ не довелось. В отчете о том первом полете был сделан ряд предположений о причинах столь нелетучего поведения самолета: использование недостаточно кондиционного мотора (серийный выпуск «105-х» только разворачивался и далеко не все экземпляры развивали заявленную мощность), применение «истребительного» воздушного винта относительно небольшого диаметра (3,0 м вместо 3,25-3,5 м, используемых на самолете ББ-1), плохо отработанные вопросы аэродинамики воздухозаборника и тоннелей радиаторов. О еще одной причине неудачного первого полета ББ-МАИ рассказал в своих воспоминаниях Владимир Маркович Лиходей, работавший под руководством Грушина в Харькове:</w:t>
      </w:r>
    </w:p>
    <w:p w14:paraId="1E48420F" w14:textId="77777777" w:rsidR="00DE7B39" w:rsidRPr="00A3026E" w:rsidRDefault="00DE7B39" w:rsidP="00A3026E">
      <w:pPr>
        <w:pStyle w:val="book-paragraph"/>
        <w:spacing w:before="0" w:beforeAutospacing="0" w:after="0" w:afterAutospacing="0"/>
        <w:jc w:val="both"/>
        <w:rPr>
          <w:color w:val="000000" w:themeColor="text1"/>
          <w:sz w:val="16"/>
          <w:szCs w:val="16"/>
        </w:rPr>
      </w:pPr>
      <w:r w:rsidRPr="00A3026E">
        <w:rPr>
          <w:iCs/>
          <w:color w:val="000000" w:themeColor="text1"/>
          <w:sz w:val="16"/>
          <w:szCs w:val="16"/>
        </w:rPr>
        <w:t>«После того как самолет перевезли в Харьков, Грушин организовал обмеры несущей части крыла и оказалось, что, когда выводилась плавность перехода от выступающих щитков шасси в их убранном положении к стыку крыла с фюзеляжем, был искажен профиль крыла и эта часть давала отрицательную подъемную силу».</w:t>
      </w:r>
    </w:p>
    <w:p w14:paraId="551AFA7C" w14:textId="77777777" w:rsidR="00DE7B39" w:rsidRPr="00A3026E" w:rsidRDefault="00DE7B39" w:rsidP="00A3026E">
      <w:pPr>
        <w:pStyle w:val="book-paragraph"/>
        <w:spacing w:before="0" w:beforeAutospacing="0" w:after="0" w:afterAutospacing="0"/>
        <w:jc w:val="both"/>
        <w:rPr>
          <w:color w:val="000000" w:themeColor="text1"/>
          <w:sz w:val="16"/>
          <w:szCs w:val="16"/>
        </w:rPr>
      </w:pPr>
      <w:r w:rsidRPr="00A3026E">
        <w:rPr>
          <w:color w:val="000000" w:themeColor="text1"/>
          <w:sz w:val="16"/>
          <w:szCs w:val="16"/>
        </w:rPr>
        <w:t>В результате при относительно небольшой несущей поверхности крыла это привело к значительному снижению подъемной силы. После устранения обнаруженного недостатка самолет в мае 1941 года на аэродроме в Харькове совершил свой единственный полноценный полет под управлением заводского летчика-испытателя Александра Деева. Сам полет оказался успешным, но посадка…(18995).</w:t>
      </w:r>
    </w:p>
    <w:p w14:paraId="07085A5E" w14:textId="77777777" w:rsidR="00DE7B39" w:rsidRPr="00A3026E" w:rsidRDefault="00DE7B39" w:rsidP="00A3026E">
      <w:pPr>
        <w:pStyle w:val="book-paragraph"/>
        <w:spacing w:before="0" w:beforeAutospacing="0" w:after="0" w:afterAutospacing="0"/>
        <w:jc w:val="both"/>
        <w:rPr>
          <w:color w:val="000000" w:themeColor="text1"/>
          <w:sz w:val="16"/>
          <w:szCs w:val="16"/>
        </w:rPr>
      </w:pPr>
    </w:p>
    <w:p w14:paraId="667F6A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И.В.С. вырвал обещание А.И.Шахурина, П.В.Дементьева, М.В.Хруничева, П.А.Воронина производить в июне 1941 по 50 машин в сутки (6,90).</w:t>
      </w:r>
    </w:p>
    <w:p w14:paraId="4118B8E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C7B5C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был введен персональный учет номенклатуры работников (619).</w:t>
      </w:r>
    </w:p>
    <w:p w14:paraId="53AAA67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4C197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Начальник ВВС КА генерал-лейтенант авиации Я.В.Смушкевич в своем предновогоднем докладе по итогам достижений 1940 г. в области развития авиационного вооружения, адресованном ЦК ВКП(б), говорил: «Конструкция так называемых ракетных БРАБ и БЕТАБ такова, что они имеют приращение скорости у цели 200-300 м/с, близкое к скорости морского артиллерийского снаряда, а в некоторых случаях и больше. Действие ракетных авиабомб аналогично морским снарядам, поскольку БЧ взята из морской артиллерии. Их эффективность повышается при бомбометании с пикирования. Эти калибры (203, 254 и 305 мм) испытаны в 1936-1938 гг. и сейчас внедряются в производство» (7453).</w:t>
      </w:r>
    </w:p>
    <w:p w14:paraId="21DAE2C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53BA0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на заводе № 31 самолет ББ-1 снимается с производства и заводу № 31 дается задание выпускать самолеты ЛАГГ-3. В октябре 1941 года завод был эвакуирован в Тбилиси.</w:t>
      </w:r>
    </w:p>
    <w:p w14:paraId="3B939E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Тбилиси завод был размещен на территории строящегося авиамоторного завода № 448, куда также был переведен завод № 45 из Севастополя.</w:t>
      </w:r>
    </w:p>
    <w:p w14:paraId="293A34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НКАП за № 1173с от 20 декабря 1941 года заводы №№ 31, 45 и 448 объединились и объединенному заводу был присвоен № 31 им. Димитрова.</w:t>
      </w:r>
    </w:p>
    <w:p w14:paraId="38FDD9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Строительство завода № 448 начато в октябре 1940 года на основании постановления СНК и ЦК ВКП(б) от 19 сентября 1940 года за № 1723/692сс «О строительстве моторного завода в Тбилиси» и приказа НКАП от 24 сентября 1940 года за № 507сс. Было предусмотрено строительство завода по выпуску моторов типа М-105. В ноябре 1941 года завод выпустил два и в декабре 1941 года 18 ЛАГГ-3 с мотором М-105П, после чего перешел на серийный выпуск этих самолетов. С мая 1942 года по март 1944 года завод выпускал самолеты ЛАГГ-3, но уже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7D9E9D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4900FB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45BC44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6293F9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61E365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6BC7F6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завода Хведелиани</w:t>
      </w:r>
    </w:p>
    <w:p w14:paraId="71495C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Тбилиси, п/я 51 С июля 1956 года завод приступил к освоению нового самолета МИГ-21 (9821).</w:t>
      </w:r>
    </w:p>
    <w:p w14:paraId="2676402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1870A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фабрика музыкально-духовых инструментов «Пятилетие Октября» треста местной промышленности была переведена ул. Образцова, д. 13 (бывш. Бахметьевская) на другую площадку, а ее территория и корпуса были переданы МАП для организации нового серийного завода по выпуску сильфонов. Заводу был присвоен № 474. В октябре 1941 года завод полностью эвакуировался в Свердловск. В январе 1942 года на освобожденной территории в Москве начали оборудовать филиал завода № 474 по выпуску манометрических приборов. Директором филиала был назначен Валаев Н.Б.</w:t>
      </w:r>
    </w:p>
    <w:p w14:paraId="54AF97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решением ГКО за № 1543сс от 5 апреля 1942 года и приказа НКАП от 10 апреля 1942 года за № 269сс филиалу завода № 474 был присвоен № 118. С начала 1942 года до конца 1945 года завод № 118 работал как серийный по выпуску манометрических приборов. С ноября 1944 года директор завода – Домбровский И.И. В конце 1946 года на основании распоряжения СМ за № 7992 от 26 июня 1946 года и приказом МАП за № 430с от 4 июля 1946 года началось свертывание производства манометрических приборов и организация завода № 118 по разработке приборов автоматического самолетовождения и гироскопических авиаприборов. В июне 1946 года директором завода был назначен Сорокин В.М.</w:t>
      </w:r>
    </w:p>
    <w:p w14:paraId="6F5DBC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 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7A0513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Москва, ул. Образцова, д. 13, Дзержинский район</w:t>
      </w:r>
    </w:p>
    <w:p w14:paraId="2FC9CC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6BC569D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F7A4D5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В декабре 1940 г. Болшевский комбинат спортинвентаря был передан в систему НКАП из НКЛП РСФСР и включен в число действующих заводов 2ГУ НКАП в соответствии с приказом НКАП №220 от 4.3.41 г. с присвоением названия Государственный Союзный завод №472 НКАП. Директором завода назначен Ермолов (1941-43 гг.). </w:t>
      </w:r>
    </w:p>
    <w:p w14:paraId="61F62D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заводе началась организация производства масляных (ОП-321) и водяных (ОП-310, ОП-163, ОП-253) радиаторов и лент-расчалок, также осуществлялось производство чехлов для РГД-33. Перед ВОВ планировалось организовать производство фюзеляжей самолета Су-2. </w:t>
      </w:r>
    </w:p>
    <w:p w14:paraId="3C2BC7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1941 г. завод эвакуирован (приказ №1050 от 8.10.41 г.) в г.Кузнецк Пензенской обл. на территорию Канатной фабрики (филиал завода №34 НКАП). Новое место размещения было не удачным, т.к. находилось далеко от сырьевой базы и заводов-потребителей, не оказалось места для развертывания производство лент-расчалок. Даже планировалось в к. 1942 г. перевести завод в г.Куйбышев. </w:t>
      </w:r>
    </w:p>
    <w:p w14:paraId="76A1DE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заводе действовало ОКБ по радиаторостроению, которое было организовано в н.1941 г. (приказ НКАП №200 от 3.3.41 г.). Гл.к. ОКБ назначен С.Н.Рыбкин. Для укрепления ОКБ в его состав был переведен ряд конструкторов с завода №34 НКАП и завода №84 НКАП. Действовало под названием ОКБ завода №472 НКАП. </w:t>
      </w:r>
    </w:p>
    <w:p w14:paraId="3AEAB4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началом ВОВ ОКБ-472 с опытным цехом было переведено на площади филиала завода №34 в г.Кузнецк и подчинено ему как заводское ОКБ для работ по плану завода. </w:t>
      </w:r>
    </w:p>
    <w:p w14:paraId="59085E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годы ВОВ заводом №472 осуществлялось производство масло- и водорадиаторов, а также авиаколес. </w:t>
      </w:r>
    </w:p>
    <w:p w14:paraId="3129F9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Площади и сооружения эвакуированного завода №472 в Болшево были переданы (приказ №277 от 14.4.42 г.) в качестве филиала заводу №145 НКАП для налаживания производства приборов хим. вооружения и лент-расчалок. </w:t>
      </w:r>
    </w:p>
    <w:p w14:paraId="3263D5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1945 г. территория завод №472 в г.Кузнецке (площадки Канатной фабрики, артели "Молот" и ТЭЦ) передана в систему НКЭС (приказ №424/81 от 5.11.45 г.) с частью оборудования и кадров, а основная часть спецоборудования и кадров переведена на завод №124 НКАП и влиты в его состав. </w:t>
      </w:r>
    </w:p>
    <w:p w14:paraId="3B05420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Для расширения производства выливных авиационных химических приборов на площадях в г.Болшево приказом №438 от 12.6.42 г. был образован дублер завода №145 НКАП. Дополнительно обеспечен перевод необходимого оборудования с завода №472, завода №145, завода №481. Директором назначен Н.К.Сорокин. Началась организация выпуска выливных приборов ВАП-6М и ВАП-500. Во исполнение приказа №533 от 16.7.42 г. вновь организованному заводу-дублеру присвоен литерный номер и наименование Государственный Союзный завод №455 с подчинением 2ГУ НКАП. В годы ВОВ шло производство агрегатов авиавооружения: ВАП-100, ВАП-250. Директор завода - Горбунов (1943-46 гг.). </w:t>
      </w:r>
    </w:p>
    <w:p w14:paraId="53C276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Разработка выливных приборов типа ВАП шла на заводском ОКБ гл.к. И.И.Картукова. Коллектив работал здесь с 1943 г., когда ОКБ-145 И.И.Картукова переведено из эвакуации в г.Костино (с образованием ОКБ-455). Продолжены работы по химическим боеприпасам, создан разовый прибор ХАРП-500-300А для НКВМФ. С 1946 г. начались работы по пиропатронам для выбрасываемых кресел летчиков. В .3.1946 г. вновь образуется новый завод №81 МАП в г.Москве, куда было переведено ОКБ гл.к. И.И.Картукова. </w:t>
      </w:r>
    </w:p>
    <w:p w14:paraId="664C17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к. 1946 г. директором и руководителем строительства завода №455 назначен М.П.Аржаков. Началось расширение работ по установкам авиавооружения. </w:t>
      </w:r>
    </w:p>
    <w:p w14:paraId="103D06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1.4.55 г. завод №455 передан из 2ГУ в 6ГУ (приказ №283 от 25.4.55 г.). В связи с этим в 1956 г. при заводе образовано СКБ для освоения производства ракет РС-1-У (изд."М"). На базе ракет типа К-5 и К-8 разработана ракета Х-66, а на базе РС-2УС - ракета К-55. Далее созданы Х-23, Х-27, Х-25, Х-25М, Х-31А и Х-31П, Х-35. С образованием конструкторского бюро руководителем с правами гл.к. по серии (изд."М") стал М.Е.Едидович, далее его сменил Н.Т.Пикот (начальник и гл.к.). Далее эти должности занимал Ю.Н.Королев, В.Н.Бугайский (с 1974 г. по 1983 г.). Зам. гл.к. был В.Г.Кореньков, он ввел модульность в Х-25М. С 1983 г. гл.к. стал В.Г.Голушко (по 1986 г.), далее в 1986-94 гг. гл.к. ОКБ являлся Г.И.Хохлов, а с к. 1994 г. гл.к. стал Ю.Д.Новиков (ранее зам. гл.к.). Завод проводил работы по установкам вооружения конструкции ОКБ-134 и ОКБ-476. Осуществлял с 1956 г. производство ракет - изд."М" (РС-1-У, в 1956-57гг.), изд."И" (РС-2-У, в 1957-59гг.), изд."ИС" (РС-2-УС, с 1959 г.), изд."24" (Р-8М, с 1959 г.), К-13, Р-98, К-55, К-40 (до 1990-91гг.), К-80 (Р-4), планировалось освоить производство К-33, но работы передали на другой завод. Производство ракет Х-66, Х-23, Х-27, Х-25, Х-25М, Х-31, Х-35. Производство ЗУР 3М9. Опытные работы по ракете Р-6 (К-53) с ТГСН. </w:t>
      </w:r>
    </w:p>
    <w:p w14:paraId="1023CF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1976 г. предприятие превратилось в производственное объединение и стало наименоваться Калининградским объединением ”Стрела”. В состав предприятия входили Калининградский машиностроительный завод, КБ "Звезда", Бендерский машиностроительный завод и Костромской механический завод. В 1989 году из состава КПО ”Стрела” в качестве самостоятельного юридического лица было выделено ОКБ ”Звезда”. Далее из объединения вышли и др. предприятия. </w:t>
      </w:r>
    </w:p>
    <w:p w14:paraId="48D107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Вновь в н. 1995 г. произошло объединение Калининградского машиностроительного завода "Стрела" и ОКБ "Звезда" в ГНПЦ "Звезда-Стрела". Одновременно руководителем ГНПЦ стал бывший директор завода С.П.Яковлев, а гл.к. остался Ю.Д.Новиков. </w:t>
      </w:r>
    </w:p>
    <w:p w14:paraId="16209F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соответствии с Указом Президента РФ № 84 от 24 января 2002 г. осуществлена реорганизация ФГУП ГНПЦ ”Звезда-Стрела” и преобразование его в ОАО ”Корпорация ”Тактическое ракетное вооружение”. В состав Корпорации также вошли следующие предприятия: ОАО ТМКБ ”Союз”, ОАО ”Омский завод ”Автоматика”, ОАО ”УПКБ ”Деталь”, ОАО ”МКБ ”Искра” им. И.И. Картукова”, ОАО ”Завод ”Красный гидропресс”. На втором этапе расширения Корпорации, которое начато в мае 2004 г., планируется включить в ее состав ОАО "Горизонт" (Москва), ОАО "Салют" (Самара), ОАО "Смоленский авиационный завод", а после акционирования - ГосМКБ "Вымпел", ГосМКБ "Радуга", ГНПП "Регион", КБ машиностроения (Коломна). </w:t>
      </w:r>
    </w:p>
    <w:p w14:paraId="7CA0B7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Выпускаемая продукция в текущее время: Х-35Э, Х-31А, Х-31П, Х-25МПУ, Х-25МЛ. </w:t>
      </w:r>
    </w:p>
    <w:p w14:paraId="3CB50C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Генеральный директор корпорации - Б.В.Обносов. </w:t>
      </w:r>
    </w:p>
    <w:p w14:paraId="089B17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Корпорация ”Тактическое ракетное вооружение”, ОАО (ОАО "КТРВ") </w:t>
      </w:r>
    </w:p>
    <w:p w14:paraId="40E245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Ранее: завод №472, Завод №455, Костинский машиностроительный завод (КМЗ), Калининградский машиностроительный завод (НПО) "Стрела", КПКО "Стрела", "Государственный Научно-производственный центр (ГНПЦ) "Звезда-Стрела", ФГУП ГНПЦ "Звезда-Стрела" </w:t>
      </w:r>
    </w:p>
    <w:p w14:paraId="43876C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Адрес: 141075, Россия, Московская обл., Королев, ул. Ильича, д. 7, тел.: (095) 519-20-02, 511-9439, kmo@ktrv.ru, www.ktrv.ru </w:t>
      </w:r>
    </w:p>
    <w:p w14:paraId="3D54E3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 из ведущих предприятий России по разработке и производству противокорабельных, противорадиолокационных и многоцелевых унифицированных ракет тактического назначения, предназначенных для оснащения авиационных, корабельных и береговых ракетных комплексов (10777).</w:t>
      </w:r>
    </w:p>
    <w:p w14:paraId="7CA9B7A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5F6E3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для ленинградских авиапредприятий №№ 23, 47, 380, 381, 387 была составлена программа выпуска продукции на следующий, 1941 год, согласно которой предполагалось изготовить 4260 самолетов шести типов (см. Таблицу 8 раздела «Приложения»), однако и она не была окончательной. Так, решением Политбюро ЦК ВКП(б) от 12 февраля 1941 года утверждалось Постановление ЦК ВКП(б) и СНК СССР «О снятии с производства самолета Як-4 и постановлении на производство Ил-2 на заводе № 380» (Степанов А.С. Указ. соч. С.69.).</w:t>
      </w:r>
    </w:p>
    <w:p w14:paraId="3B78CB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Что же касается итогов производства 1940 года, то они отражены в Таблице 6 раздела «Приложения». Из нее следует, что в Ленинграде по-прежнему производилась основная часть небоевых самолетов СССР, но доля учебных машин «ленинградской генерации» составила чуть более 10% от общего числа произведенных в стране самолетов всех типов, что означало двукратное относительное снижение по сравнению с аналогичным соотношением 1939 года. В абсолютных цифрах тогда в Ленинграде было изготовлено больше учебных машин, чем в 1940 году предприятия всей страны выпустили небоевых самолетов всех типов. Это отражало общие тенденции перестройки авиапрома и означало, что резкий рост военной авиации происходит за счет снижения выпуска всех прочих категорий самолетов, в том числе и за счет недополучения учебных машин. Так, в Материалах по годовому отчету 6-го Управления ГУ ВВС КА за 1940 год сообщалось, что завод № 23 выполнил за первое полугодие программу по С-2, У-2, УТ2, но позже ситуация изменилась: «Во втором полугодии заказа на поставку 800 самолетов У-2 завод не принял, мотивируя тем, что НКАП дал указание заводу переключиться на изготовление самолета И-301. По этой же причине завод недовыполнил годовую программу по С-2 и УТ-2»( РГВА. Ф. 29. Оп. 56. Д. 182. Л. 1, 8-9.).</w:t>
      </w:r>
    </w:p>
    <w:p w14:paraId="24283D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подсчетам А.Н. Щербы, в начале 1939 года в Ленинграде работало два авиазавода, подведомственных НКАП, а к началу Великой Отечественной войны в городе было развернуто уже 14 заводов НКАП, включая собственно самолетостроительные и авиаремонтные (без учета кооперировавших с ними предприятий и спеццехов других наркоматов, занимавшихся выпуском отдельных деталей, приборов и механизмов для авиапрома) (Щерба А.Н. Военная промышленность Ленинграда в 20-е – 30-е годы. СПб., 1999. С. 130.).</w:t>
      </w:r>
    </w:p>
    <w:p w14:paraId="36BF93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Подводя итоги предвоенной перестройки и расширения ленинградского авиапрома, можно отметить, что даже в существовавших планах не предусматривался крупномасштабный выпуск самолетов нового поколения в первом полугодии 1941 года, то есть к реально начавшимся боевым действиям, а практические результаты оказались еще более скромными (см. Таблицу 9 раздела «Приложения»). До начала войны заводами №№ 380 и 381 не было сдано ни одного штурмовика Ил-2, а выпуск самолета ЛаГГ-3 составил неполных три десятка. За первое полугодие 1941 года на авиамоторном заводе № 234 удалось собрать 71 двигатель М-105 и его модификаций (Подсчитано по: РГАЭ. Ф. 8044. Оп.1. Д. 3228. Л. 30 об.).</w:t>
      </w:r>
    </w:p>
    <w:p w14:paraId="6E89AE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Примечательно, что, согласно пункту 17 протокола последнего предвоенного совещания заместителей наркома авиационной промышленности от 16 июня 1941 года, первым в повестке дня очередного заседания Коллегии, намеченного на 23 июня 1941 года, был вопрос «Работа заводов № 380 и № 381 по подготовке производства к выпуску самолетов Ил-2». В числе докладчиков значились Ленкин, Филимончук, Жуков (1941 год. Документы. Кн. 2. С. 378, 380.).</w:t>
      </w:r>
    </w:p>
    <w:p w14:paraId="330B5A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нападения Германии практически сразу же началась подготовка к эвакуации самолетостроительных ленинградских предприятий и главный их вклад в оборону страны заключался в выпуске в первом полугодии около 1000 учебных машин «старых» конструкций (11672).</w:t>
      </w:r>
    </w:p>
    <w:p w14:paraId="559265E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C5D07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Кассета АБК-П успешно завершила испытания и была запущена в серийное производство.</w:t>
      </w:r>
    </w:p>
    <w:p w14:paraId="47FC0B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1939 г. для СБ создали подкрыльную многоразовую кассету АК-П. Почему так поздно? Дело в том, что до 96-й серии у этого бомбардировщика не было наружной подвески. Как только она появилась, для нее подготовили кассеты. Это были длинные (более 2,5 м) и широкие (диаметром 513 мм) сигары, изготовлявшиеся из </w:t>
      </w:r>
      <w:r w:rsidRPr="00A3026E">
        <w:rPr>
          <w:rFonts w:ascii="Times New Roman" w:hAnsi="Times New Roman"/>
          <w:color w:val="000000" w:themeColor="text1"/>
          <w:sz w:val="16"/>
          <w:szCs w:val="16"/>
        </w:rPr>
        <w:lastRenderedPageBreak/>
        <w:t>листовой стали. Внутри они делились на три отсека. Загрузка ампул АЖ-2 осуществлялась через люки в верхней части. Кассеты вешались на бомбодержатели Дер-19 под крылом в заполненном или незаполненном виде. Над целью механический сбрасыватель открывал нижние створки, и ампулы просто высыпались. Затем створки закрывались пружинами. При необходимости сбрасывалось и сама кассета (как пустая, так и полная).</w:t>
      </w:r>
    </w:p>
    <w:p w14:paraId="2B4E57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Желая добиться универсальности, конструкторы завода № 145 попробовали загрузить свое творение мелкими осколочными и зажигательными бомбами. Заводские испытания в таком варианте шли с ноября 1939 г. по конец января 1940 г. Выявилась недостаточная прочность кассеты. Кроме того, бомбу калибром более 8 кг трудно было засунуть в загрузочный люк. Бомбы в полете сдвигались, что нарушало центровку самолета.</w:t>
      </w:r>
    </w:p>
    <w:p w14:paraId="779282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в августе 1940 г. на испытания выставили кассету АБК-П. Она отличалась от предшественницы увеличенными загрузочными люками, ограничителями открытия створок (это увеличило разброс содержимого) и, главное, системой передвижных фанерных диафрагм, не дававших бомбам или ампулам перемещаться. Уже в ходе испытаний ввели сигнализацию об открытии створок. Альтернативно в нее грузили 200 АЖ-2 или 12 ампул диаметром 260 мм. Максимальная загрузка кассеты ампулами равнялась 380 кг, бомбами - 505 кг. Объем позволял уложить и больше бомб, но держатели Дер-19 были рассчитаны только на 500 кг.</w:t>
      </w:r>
    </w:p>
    <w:p w14:paraId="4AA4DF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Ее приспособили и для других типов самолетов - ДБ-3 и МДР-6. Но если на СБ разрешалось брать одновременно внутренние кассеты АБК-1 и АБК-П, то на ДБ-3 при подвеске АБК-П внутренние АК-2У применять было невозможно, так как они использовали одну и ту же "химическую" тросовую проводку. Позже к числу носителей АБК-П добавился бомбардировщик "103" (Ту-2) (12043).</w:t>
      </w:r>
    </w:p>
    <w:p w14:paraId="3227FF8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38365F1"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было выпущено второе издание технического описания № 1 — «Амортизаторы шасси и костылей самолетов Юнкерс Ju-88, Хейнкель He-100, Мессершмитт Ме-109, Мессершмитт Ме-110». В нем были приведены основные характеристики амортизаторов, описывалась их работа, были даны подробные чертежи (19727).</w:t>
      </w:r>
    </w:p>
    <w:p w14:paraId="22EA9E5A" w14:textId="77777777" w:rsidR="003324AA" w:rsidRPr="00A3026E" w:rsidRDefault="003324AA" w:rsidP="00A3026E">
      <w:pPr>
        <w:spacing w:after="0" w:line="240" w:lineRule="auto"/>
        <w:jc w:val="both"/>
        <w:rPr>
          <w:rFonts w:ascii="Times New Roman" w:hAnsi="Times New Roman"/>
          <w:color w:val="000000" w:themeColor="text1"/>
          <w:sz w:val="16"/>
          <w:szCs w:val="16"/>
        </w:rPr>
      </w:pPr>
    </w:p>
    <w:p w14:paraId="1DC9A75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в докладе начальника ВВС КА генерал-лейтенанта авиации Я.В.Смушкевича по итогам достиже</w:t>
      </w:r>
      <w:r w:rsidRPr="00A3026E">
        <w:rPr>
          <w:rFonts w:ascii="Times New Roman" w:hAnsi="Times New Roman"/>
          <w:color w:val="000000" w:themeColor="text1"/>
          <w:sz w:val="16"/>
          <w:szCs w:val="16"/>
        </w:rPr>
        <w:softHyphen/>
        <w:t>ний 1940 г. в области развития авиационного вооружения, адресованном ЦК ВКП(б), говорилось; «Конструкция так называемых ракетных БРАВ и БЕТАБ такова, что они имеют приращение скорости у цели 200-300 м/с, близкое к скорости морского артиллерийского снаряда, а в некото</w:t>
      </w:r>
      <w:r w:rsidRPr="00A3026E">
        <w:rPr>
          <w:rFonts w:ascii="Times New Roman" w:hAnsi="Times New Roman"/>
          <w:color w:val="000000" w:themeColor="text1"/>
          <w:sz w:val="16"/>
          <w:szCs w:val="16"/>
        </w:rPr>
        <w:softHyphen/>
        <w:t>рых случаях и больше. Действие ракетных авиабомб аналогично мор</w:t>
      </w:r>
      <w:r w:rsidRPr="00A3026E">
        <w:rPr>
          <w:rFonts w:ascii="Times New Roman" w:hAnsi="Times New Roman"/>
          <w:color w:val="000000" w:themeColor="text1"/>
          <w:sz w:val="16"/>
          <w:szCs w:val="16"/>
        </w:rPr>
        <w:softHyphen/>
        <w:t>ским снарядам, поскольку БЧ взята из морской артиллерии. Их эффек</w:t>
      </w:r>
      <w:r w:rsidRPr="00A3026E">
        <w:rPr>
          <w:rFonts w:ascii="Times New Roman" w:hAnsi="Times New Roman"/>
          <w:color w:val="000000" w:themeColor="text1"/>
          <w:sz w:val="16"/>
          <w:szCs w:val="16"/>
        </w:rPr>
        <w:softHyphen/>
        <w:t>тивность повышается при бомбометании с пикирования. Эти калибры (203, 254 и 305 мм) испытаны в 1936-1938 гг. и сейчас внедряются в производство». Здесь следует отметить, что на этапе испытаний и отра</w:t>
      </w:r>
      <w:r w:rsidRPr="00A3026E">
        <w:rPr>
          <w:rFonts w:ascii="Times New Roman" w:hAnsi="Times New Roman"/>
          <w:color w:val="000000" w:themeColor="text1"/>
          <w:sz w:val="16"/>
          <w:szCs w:val="16"/>
        </w:rPr>
        <w:softHyphen/>
        <w:t>ботки калибр ракетных авиабомб измерялся в миллиметрах, а после при</w:t>
      </w:r>
      <w:r w:rsidRPr="00A3026E">
        <w:rPr>
          <w:rFonts w:ascii="Times New Roman" w:hAnsi="Times New Roman"/>
          <w:color w:val="000000" w:themeColor="text1"/>
          <w:sz w:val="16"/>
          <w:szCs w:val="16"/>
        </w:rPr>
        <w:softHyphen/>
        <w:t>нятия на вооружение - в килограммах (11402).</w:t>
      </w:r>
    </w:p>
    <w:p w14:paraId="5C252A0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23134ADD" w14:textId="77777777" w:rsidR="00E561DD" w:rsidRPr="00A3026E" w:rsidRDefault="00E561D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декабре 1940 г. с ДБ-3 выполня</w:t>
      </w:r>
      <w:r w:rsidRPr="00A3026E">
        <w:rPr>
          <w:rFonts w:ascii="Times New Roman" w:hAnsi="Times New Roman"/>
          <w:color w:val="0070C0"/>
          <w:sz w:val="16"/>
          <w:szCs w:val="16"/>
        </w:rPr>
        <w:softHyphen/>
        <w:t>лись наземные стрельбы РБС-203, но вскоре работы над этими ракетами пре</w:t>
      </w:r>
      <w:r w:rsidRPr="00A3026E">
        <w:rPr>
          <w:rFonts w:ascii="Times New Roman" w:hAnsi="Times New Roman"/>
          <w:color w:val="0070C0"/>
          <w:sz w:val="16"/>
          <w:szCs w:val="16"/>
        </w:rPr>
        <w:softHyphen/>
        <w:t>кратили. Планировалось, что они будут подвешиваться на специальные направ</w:t>
      </w:r>
      <w:r w:rsidRPr="00A3026E">
        <w:rPr>
          <w:rFonts w:ascii="Times New Roman" w:hAnsi="Times New Roman"/>
          <w:color w:val="0070C0"/>
          <w:sz w:val="16"/>
          <w:szCs w:val="16"/>
        </w:rPr>
        <w:softHyphen/>
        <w:t>ляющие, по две под каждой консолью крыла (19944).</w:t>
      </w:r>
    </w:p>
    <w:p w14:paraId="362BBE2D" w14:textId="77777777" w:rsidR="00E561DD" w:rsidRPr="00A3026E" w:rsidRDefault="00E561DD" w:rsidP="00A3026E">
      <w:pPr>
        <w:spacing w:after="0" w:line="240" w:lineRule="auto"/>
        <w:jc w:val="both"/>
        <w:rPr>
          <w:rFonts w:ascii="Times New Roman" w:hAnsi="Times New Roman"/>
          <w:color w:val="0070C0"/>
          <w:sz w:val="16"/>
          <w:szCs w:val="16"/>
        </w:rPr>
      </w:pPr>
    </w:p>
    <w:p w14:paraId="18CAAA63"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31F748E5"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76B4441E" w14:textId="77777777" w:rsidR="008253AC" w:rsidRPr="00A3026E" w:rsidRDefault="008253AC" w:rsidP="00A3026E">
      <w:pPr>
        <w:spacing w:after="0" w:line="240" w:lineRule="auto"/>
        <w:jc w:val="both"/>
        <w:rPr>
          <w:rStyle w:val="aff6"/>
          <w:rFonts w:ascii="Times New Roman" w:eastAsia="Arial Narrow" w:hAnsi="Times New Roman" w:cs="Times New Roman"/>
          <w:i w:val="0"/>
          <w:color w:val="000000" w:themeColor="text1"/>
        </w:rPr>
      </w:pPr>
      <w:r w:rsidRPr="00A3026E">
        <w:rPr>
          <w:rFonts w:ascii="Times New Roman" w:hAnsi="Times New Roman"/>
          <w:color w:val="000000" w:themeColor="text1"/>
          <w:sz w:val="16"/>
          <w:szCs w:val="16"/>
        </w:rPr>
        <w:t xml:space="preserve">В декабре </w:t>
      </w:r>
      <w:r w:rsidRPr="00A3026E">
        <w:rPr>
          <w:rStyle w:val="0pt0"/>
          <w:rFonts w:eastAsia="Arial Narrow"/>
          <w:b w:val="0"/>
          <w:color w:val="000000" w:themeColor="text1"/>
          <w:spacing w:val="0"/>
          <w:sz w:val="16"/>
          <w:szCs w:val="16"/>
        </w:rPr>
        <w:t>1940</w:t>
      </w:r>
      <w:r w:rsidRPr="00A3026E">
        <w:rPr>
          <w:rFonts w:ascii="Times New Roman" w:hAnsi="Times New Roman"/>
          <w:color w:val="000000" w:themeColor="text1"/>
          <w:sz w:val="16"/>
          <w:szCs w:val="16"/>
        </w:rPr>
        <w:t xml:space="preserve"> г. в выступлении генерала-инспектора пехоты генерал-лейтенанта А.К. Смирнова на совещании высшего руководящего состава РККА говорилось, что</w:t>
      </w:r>
      <w:r w:rsidRPr="00A3026E">
        <w:rPr>
          <w:rStyle w:val="aff6"/>
          <w:rFonts w:ascii="Times New Roman" w:eastAsia="Arial Narrow" w:hAnsi="Times New Roman" w:cs="Times New Roman"/>
          <w:i w:val="0"/>
          <w:color w:val="000000" w:themeColor="text1"/>
        </w:rPr>
        <w:t xml:space="preserve"> «при делении нашего</w:t>
      </w:r>
      <w:r w:rsidRPr="00A3026E">
        <w:rPr>
          <w:rFonts w:ascii="Times New Roman" w:hAnsi="Times New Roman"/>
          <w:color w:val="000000" w:themeColor="text1"/>
          <w:sz w:val="16"/>
          <w:szCs w:val="16"/>
        </w:rPr>
        <w:t xml:space="preserve"> [стрелкового] </w:t>
      </w:r>
      <w:r w:rsidRPr="00A3026E">
        <w:rPr>
          <w:rStyle w:val="affe"/>
          <w:rFonts w:ascii="Times New Roman" w:hAnsi="Times New Roman" w:cs="Times New Roman"/>
          <w:b w:val="0"/>
          <w:i w:val="0"/>
          <w:color w:val="000000" w:themeColor="text1"/>
          <w:sz w:val="16"/>
          <w:szCs w:val="16"/>
        </w:rPr>
        <w:t>отделения</w:t>
      </w:r>
      <w:r w:rsidRPr="00A3026E">
        <w:rPr>
          <w:rStyle w:val="aff6"/>
          <w:rFonts w:ascii="Times New Roman" w:eastAsia="Arial Narrow" w:hAnsi="Times New Roman" w:cs="Times New Roman"/>
          <w:i w:val="0"/>
          <w:color w:val="000000" w:themeColor="text1"/>
        </w:rPr>
        <w:t xml:space="preserve"> на два звена»</w:t>
      </w:r>
      <w:r w:rsidRPr="00A3026E">
        <w:rPr>
          <w:rFonts w:ascii="Times New Roman" w:hAnsi="Times New Roman"/>
          <w:color w:val="000000" w:themeColor="text1"/>
          <w:sz w:val="16"/>
          <w:szCs w:val="16"/>
        </w:rPr>
        <w:t xml:space="preserve"> в их составе были бы </w:t>
      </w:r>
      <w:r w:rsidRPr="00A3026E">
        <w:rPr>
          <w:rStyle w:val="0pt0"/>
          <w:rFonts w:eastAsia="Arial Narrow"/>
          <w:b w:val="0"/>
          <w:color w:val="000000" w:themeColor="text1"/>
          <w:spacing w:val="0"/>
          <w:sz w:val="16"/>
          <w:szCs w:val="16"/>
        </w:rPr>
        <w:t>«и</w:t>
      </w:r>
      <w:r w:rsidRPr="00A3026E">
        <w:rPr>
          <w:rStyle w:val="aff6"/>
          <w:rFonts w:ascii="Times New Roman" w:eastAsia="Arial Narrow" w:hAnsi="Times New Roman" w:cs="Times New Roman"/>
          <w:i w:val="0"/>
          <w:color w:val="000000" w:themeColor="text1"/>
        </w:rPr>
        <w:t xml:space="preserve"> автоматические ружья, и пистолеты-пулеме</w:t>
      </w:r>
      <w:r w:rsidRPr="00A3026E">
        <w:rPr>
          <w:rStyle w:val="aff6"/>
          <w:rFonts w:ascii="Times New Roman" w:eastAsia="Arial Narrow" w:hAnsi="Times New Roman" w:cs="Times New Roman"/>
          <w:i w:val="0"/>
          <w:color w:val="000000" w:themeColor="text1"/>
        </w:rPr>
        <w:softHyphen/>
      </w:r>
      <w:r w:rsidRPr="00A3026E">
        <w:rPr>
          <w:rStyle w:val="affe"/>
          <w:rFonts w:ascii="Times New Roman" w:hAnsi="Times New Roman" w:cs="Times New Roman"/>
          <w:b w:val="0"/>
          <w:i w:val="0"/>
          <w:color w:val="000000" w:themeColor="text1"/>
          <w:sz w:val="16"/>
          <w:szCs w:val="16"/>
        </w:rPr>
        <w:t>ты</w:t>
      </w:r>
      <w:r w:rsidRPr="00A3026E">
        <w:rPr>
          <w:rStyle w:val="0pt0"/>
          <w:rFonts w:eastAsia="Arial Narrow"/>
          <w:b w:val="0"/>
          <w:color w:val="000000" w:themeColor="text1"/>
          <w:spacing w:val="0"/>
          <w:sz w:val="16"/>
          <w:szCs w:val="16"/>
        </w:rPr>
        <w:t>». На том</w:t>
      </w:r>
      <w:r w:rsidRPr="00A3026E">
        <w:rPr>
          <w:rFonts w:ascii="Times New Roman" w:hAnsi="Times New Roman"/>
          <w:color w:val="000000" w:themeColor="text1"/>
          <w:sz w:val="16"/>
          <w:szCs w:val="16"/>
        </w:rPr>
        <w:t xml:space="preserve"> же знаменитом совещании начальник </w:t>
      </w:r>
      <w:r w:rsidRPr="00A3026E">
        <w:rPr>
          <w:rStyle w:val="0pt0"/>
          <w:rFonts w:eastAsia="Arial Narrow"/>
          <w:b w:val="0"/>
          <w:color w:val="000000" w:themeColor="text1"/>
          <w:spacing w:val="0"/>
          <w:sz w:val="16"/>
          <w:szCs w:val="16"/>
        </w:rPr>
        <w:t>Управления</w:t>
      </w:r>
      <w:r w:rsidRPr="00A3026E">
        <w:rPr>
          <w:rFonts w:ascii="Times New Roman" w:hAnsi="Times New Roman"/>
          <w:color w:val="000000" w:themeColor="text1"/>
          <w:sz w:val="16"/>
          <w:szCs w:val="16"/>
        </w:rPr>
        <w:t xml:space="preserve"> боевой подготовки Красной Армии </w:t>
      </w:r>
      <w:r w:rsidRPr="00A3026E">
        <w:rPr>
          <w:rStyle w:val="0pt0"/>
          <w:rFonts w:eastAsia="Arial Narrow"/>
          <w:b w:val="0"/>
          <w:color w:val="000000" w:themeColor="text1"/>
          <w:spacing w:val="0"/>
          <w:sz w:val="16"/>
          <w:szCs w:val="16"/>
        </w:rPr>
        <w:t>генерал</w:t>
      </w:r>
      <w:r w:rsidRPr="00A3026E">
        <w:rPr>
          <w:rFonts w:ascii="Times New Roman" w:hAnsi="Times New Roman"/>
          <w:color w:val="000000" w:themeColor="text1"/>
          <w:sz w:val="16"/>
          <w:szCs w:val="16"/>
        </w:rPr>
        <w:t xml:space="preserve">-лейтенант В.Н. Курдюмов давал расчет </w:t>
      </w:r>
      <w:r w:rsidRPr="00A3026E">
        <w:rPr>
          <w:rStyle w:val="0pt0"/>
          <w:rFonts w:eastAsia="Arial Narrow"/>
          <w:b w:val="0"/>
          <w:color w:val="000000" w:themeColor="text1"/>
          <w:spacing w:val="0"/>
          <w:sz w:val="16"/>
          <w:szCs w:val="16"/>
        </w:rPr>
        <w:t>на наступательный</w:t>
      </w:r>
      <w:r w:rsidRPr="00A3026E">
        <w:rPr>
          <w:rFonts w:ascii="Times New Roman" w:hAnsi="Times New Roman"/>
          <w:color w:val="000000" w:themeColor="text1"/>
          <w:sz w:val="16"/>
          <w:szCs w:val="16"/>
        </w:rPr>
        <w:t xml:space="preserve"> бой (в предположении нас</w:t>
      </w:r>
      <w:r w:rsidRPr="00A3026E">
        <w:rPr>
          <w:rFonts w:ascii="Times New Roman" w:hAnsi="Times New Roman"/>
          <w:color w:val="000000" w:themeColor="text1"/>
          <w:sz w:val="16"/>
          <w:szCs w:val="16"/>
        </w:rPr>
        <w:softHyphen/>
      </w:r>
      <w:r w:rsidRPr="00A3026E">
        <w:rPr>
          <w:rStyle w:val="0pt0"/>
          <w:rFonts w:eastAsia="Arial Narrow"/>
          <w:b w:val="0"/>
          <w:color w:val="000000" w:themeColor="text1"/>
          <w:spacing w:val="0"/>
          <w:sz w:val="16"/>
          <w:szCs w:val="16"/>
        </w:rPr>
        <w:t>тупления</w:t>
      </w:r>
      <w:r w:rsidRPr="00A3026E">
        <w:rPr>
          <w:rFonts w:ascii="Times New Roman" w:hAnsi="Times New Roman"/>
          <w:color w:val="000000" w:themeColor="text1"/>
          <w:sz w:val="16"/>
          <w:szCs w:val="16"/>
        </w:rPr>
        <w:t xml:space="preserve"> советского стрелкового корпуса на </w:t>
      </w:r>
      <w:r w:rsidRPr="00A3026E">
        <w:rPr>
          <w:rStyle w:val="0pt0"/>
          <w:rFonts w:eastAsia="Arial Narrow"/>
          <w:b w:val="0"/>
          <w:color w:val="000000" w:themeColor="text1"/>
          <w:spacing w:val="0"/>
          <w:sz w:val="16"/>
          <w:szCs w:val="16"/>
        </w:rPr>
        <w:t>оборону германской</w:t>
      </w:r>
      <w:r w:rsidRPr="00A3026E">
        <w:rPr>
          <w:rFonts w:ascii="Times New Roman" w:hAnsi="Times New Roman"/>
          <w:color w:val="000000" w:themeColor="text1"/>
          <w:sz w:val="16"/>
          <w:szCs w:val="16"/>
        </w:rPr>
        <w:t xml:space="preserve"> пехотной дивизии): </w:t>
      </w:r>
      <w:r w:rsidRPr="00A3026E">
        <w:rPr>
          <w:rStyle w:val="aff6"/>
          <w:rFonts w:ascii="Times New Roman" w:eastAsia="Arial Narrow" w:hAnsi="Times New Roman" w:cs="Times New Roman"/>
          <w:i w:val="0"/>
          <w:color w:val="000000" w:themeColor="text1"/>
        </w:rPr>
        <w:t xml:space="preserve">Наш </w:t>
      </w:r>
      <w:r w:rsidRPr="00A3026E">
        <w:rPr>
          <w:rStyle w:val="affe"/>
          <w:rFonts w:ascii="Times New Roman" w:hAnsi="Times New Roman" w:cs="Times New Roman"/>
          <w:b w:val="0"/>
          <w:i w:val="0"/>
          <w:color w:val="000000" w:themeColor="text1"/>
          <w:sz w:val="16"/>
          <w:szCs w:val="16"/>
        </w:rPr>
        <w:t>наступающий</w:t>
      </w:r>
      <w:r w:rsidRPr="00A3026E">
        <w:rPr>
          <w:rStyle w:val="aff6"/>
          <w:rFonts w:ascii="Times New Roman" w:eastAsia="Arial Narrow" w:hAnsi="Times New Roman" w:cs="Times New Roman"/>
          <w:i w:val="0"/>
          <w:color w:val="000000" w:themeColor="text1"/>
        </w:rPr>
        <w:t xml:space="preserve"> корпус будет иметь в первом ата</w:t>
      </w:r>
      <w:r w:rsidRPr="00A3026E">
        <w:rPr>
          <w:rStyle w:val="aff6"/>
          <w:rFonts w:ascii="Times New Roman" w:eastAsia="Arial Narrow" w:hAnsi="Times New Roman" w:cs="Times New Roman"/>
          <w:i w:val="0"/>
          <w:color w:val="000000" w:themeColor="text1"/>
        </w:rPr>
        <w:softHyphen/>
        <w:t>кующем</w:t>
      </w:r>
      <w:r w:rsidRPr="00A3026E">
        <w:rPr>
          <w:rStyle w:val="affe"/>
          <w:rFonts w:ascii="Times New Roman" w:hAnsi="Times New Roman" w:cs="Times New Roman"/>
          <w:b w:val="0"/>
          <w:i w:val="0"/>
          <w:color w:val="000000" w:themeColor="text1"/>
          <w:sz w:val="16"/>
          <w:szCs w:val="16"/>
        </w:rPr>
        <w:t xml:space="preserve"> эшелоне:</w:t>
      </w:r>
      <w:r w:rsidRPr="00A3026E">
        <w:rPr>
          <w:rStyle w:val="aff6"/>
          <w:rFonts w:ascii="Times New Roman" w:eastAsia="Arial Narrow" w:hAnsi="Times New Roman" w:cs="Times New Roman"/>
          <w:i w:val="0"/>
          <w:color w:val="000000" w:themeColor="text1"/>
        </w:rPr>
        <w:t xml:space="preserve"> 72 взвода, 2880 - штыков, 288 </w:t>
      </w:r>
      <w:r w:rsidRPr="00A3026E">
        <w:rPr>
          <w:rStyle w:val="0pt0"/>
          <w:rFonts w:eastAsia="Arial Narrow"/>
          <w:b w:val="0"/>
          <w:color w:val="000000" w:themeColor="text1"/>
          <w:spacing w:val="0"/>
          <w:sz w:val="16"/>
          <w:szCs w:val="16"/>
        </w:rPr>
        <w:t>ручных пулеметов, 576 -</w:t>
      </w:r>
      <w:r w:rsidRPr="00A3026E">
        <w:rPr>
          <w:rStyle w:val="aff6"/>
          <w:rFonts w:ascii="Times New Roman" w:eastAsia="Arial Narrow" w:hAnsi="Times New Roman" w:cs="Times New Roman"/>
          <w:i w:val="0"/>
          <w:color w:val="000000" w:themeColor="text1"/>
        </w:rPr>
        <w:t xml:space="preserve"> ППД... В</w:t>
      </w:r>
      <w:r w:rsidRPr="00A3026E">
        <w:rPr>
          <w:rFonts w:ascii="Times New Roman" w:hAnsi="Times New Roman"/>
          <w:color w:val="000000" w:themeColor="text1"/>
          <w:sz w:val="16"/>
          <w:szCs w:val="16"/>
        </w:rPr>
        <w:t xml:space="preserve"> среднем на </w:t>
      </w:r>
      <w:r w:rsidRPr="00A3026E">
        <w:rPr>
          <w:rStyle w:val="aff6"/>
          <w:rFonts w:ascii="Times New Roman" w:eastAsia="Arial Narrow" w:hAnsi="Times New Roman" w:cs="Times New Roman"/>
          <w:i w:val="0"/>
          <w:color w:val="000000" w:themeColor="text1"/>
        </w:rPr>
        <w:t>1</w:t>
      </w:r>
      <w:r w:rsidRPr="00A3026E">
        <w:rPr>
          <w:rStyle w:val="affe"/>
          <w:rFonts w:ascii="Times New Roman" w:hAnsi="Times New Roman" w:cs="Times New Roman"/>
          <w:b w:val="0"/>
          <w:i w:val="0"/>
          <w:color w:val="000000" w:themeColor="text1"/>
          <w:sz w:val="16"/>
          <w:szCs w:val="16"/>
        </w:rPr>
        <w:t xml:space="preserve"> км фронта будет</w:t>
      </w:r>
      <w:r w:rsidRPr="00A3026E">
        <w:rPr>
          <w:rStyle w:val="aff6"/>
          <w:rFonts w:ascii="Times New Roman" w:eastAsia="Arial Narrow" w:hAnsi="Times New Roman" w:cs="Times New Roman"/>
          <w:i w:val="0"/>
          <w:color w:val="000000" w:themeColor="text1"/>
        </w:rPr>
        <w:t xml:space="preserve"> атакующих2888 человек про</w:t>
      </w:r>
      <w:r w:rsidRPr="00A3026E">
        <w:rPr>
          <w:rStyle w:val="aff6"/>
          <w:rFonts w:ascii="Times New Roman" w:eastAsia="Arial Narrow" w:hAnsi="Times New Roman" w:cs="Times New Roman"/>
          <w:i w:val="0"/>
          <w:color w:val="000000" w:themeColor="text1"/>
        </w:rPr>
        <w:softHyphen/>
      </w:r>
      <w:r w:rsidRPr="00A3026E">
        <w:rPr>
          <w:rStyle w:val="affe"/>
          <w:rFonts w:ascii="Times New Roman" w:hAnsi="Times New Roman" w:cs="Times New Roman"/>
          <w:b w:val="0"/>
          <w:i w:val="0"/>
          <w:color w:val="000000" w:themeColor="text1"/>
          <w:sz w:val="16"/>
          <w:szCs w:val="16"/>
        </w:rPr>
        <w:t>тив</w:t>
      </w:r>
      <w:r w:rsidRPr="00A3026E">
        <w:rPr>
          <w:rStyle w:val="aff6"/>
          <w:rFonts w:ascii="Times New Roman" w:eastAsia="Arial Narrow" w:hAnsi="Times New Roman" w:cs="Times New Roman"/>
          <w:i w:val="0"/>
          <w:color w:val="000000" w:themeColor="text1"/>
        </w:rPr>
        <w:t xml:space="preserve"> 78</w:t>
      </w:r>
      <w:r w:rsidRPr="00A3026E">
        <w:rPr>
          <w:rStyle w:val="affe"/>
          <w:rFonts w:ascii="Times New Roman" w:hAnsi="Times New Roman" w:cs="Times New Roman"/>
          <w:b w:val="0"/>
          <w:i w:val="0"/>
          <w:color w:val="000000" w:themeColor="text1"/>
          <w:sz w:val="16"/>
          <w:szCs w:val="16"/>
        </w:rPr>
        <w:t xml:space="preserve"> человек обороны;</w:t>
      </w:r>
      <w:r w:rsidRPr="00A3026E">
        <w:rPr>
          <w:rStyle w:val="aff6"/>
          <w:rFonts w:ascii="Times New Roman" w:eastAsia="Arial Narrow" w:hAnsi="Times New Roman" w:cs="Times New Roman"/>
          <w:i w:val="0"/>
          <w:color w:val="000000" w:themeColor="text1"/>
        </w:rPr>
        <w:t xml:space="preserve"> пулеметов и пистоле</w:t>
      </w:r>
      <w:r w:rsidRPr="00A3026E">
        <w:rPr>
          <w:rStyle w:val="aff6"/>
          <w:rFonts w:ascii="Times New Roman" w:eastAsia="Arial Narrow" w:hAnsi="Times New Roman" w:cs="Times New Roman"/>
          <w:i w:val="0"/>
          <w:color w:val="000000" w:themeColor="text1"/>
        </w:rPr>
        <w:softHyphen/>
      </w:r>
      <w:r w:rsidRPr="00A3026E">
        <w:rPr>
          <w:rStyle w:val="affe"/>
          <w:rFonts w:ascii="Times New Roman" w:hAnsi="Times New Roman" w:cs="Times New Roman"/>
          <w:b w:val="0"/>
          <w:i w:val="0"/>
          <w:color w:val="000000" w:themeColor="text1"/>
          <w:sz w:val="16"/>
          <w:szCs w:val="16"/>
        </w:rPr>
        <w:t>тов-пулеметов -1</w:t>
      </w:r>
      <w:r w:rsidRPr="00A3026E">
        <w:rPr>
          <w:rStyle w:val="aff6"/>
          <w:rFonts w:ascii="Times New Roman" w:eastAsia="Arial Narrow" w:hAnsi="Times New Roman" w:cs="Times New Roman"/>
          <w:i w:val="0"/>
          <w:color w:val="000000" w:themeColor="text1"/>
        </w:rPr>
        <w:t>00 против 26...» (15770).</w:t>
      </w:r>
    </w:p>
    <w:p w14:paraId="7CA62550" w14:textId="77777777" w:rsidR="008253AC" w:rsidRPr="00A3026E" w:rsidRDefault="008253AC" w:rsidP="00A3026E">
      <w:pPr>
        <w:spacing w:after="0" w:line="240" w:lineRule="auto"/>
        <w:jc w:val="both"/>
        <w:rPr>
          <w:rFonts w:ascii="Times New Roman" w:hAnsi="Times New Roman"/>
          <w:color w:val="000000" w:themeColor="text1"/>
          <w:sz w:val="16"/>
          <w:szCs w:val="16"/>
        </w:rPr>
      </w:pPr>
    </w:p>
    <w:p w14:paraId="0CF255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так как ствол 203-мм гаубицы БЛ-39 имел ту же крутизну нарезки, что М-40 и У-3, маршал Кулик приказал войсковые испытания БЛ-39 не проводить, а изготовить для нее три свободные трубы с крутизной нарезки 25, 30 и 35 клб. Их предполагалось изготовить к 15.01.1941 года. Судя по всему до апреля 1942 года новых испытаний БЛ-39 провести не удалось (3861).</w:t>
      </w:r>
    </w:p>
    <w:p w14:paraId="47D9A25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3362F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были проведены заводские испытания 37-мм счетверенной корабельной башенной зенитной установки 46-К. 37-мм счетверенная башенная установка 46-К была спроектирована для вооружения линкоров типа "Советский Союз" пр. 23 и тяжелых крейсеров типа "Кронштадт" пр.69 на заводе им. Калинина. Ствол установки был почти одинаков с 70-К. Система охлаждения водяная с непрерывной циркуляцией воды. Питание обойменное по 5 патронов. Приводы ВН и ГН - от электродвигателя через муфту Дженни (№ 2,5 для ВН и № 5 для ГН). Установка имела автоматический прицел МКБ с оптическими визирами. МКБ рассчитан на самостоятельное ведение стрельбы с выработкой всех данных. Ручная подача, да еще в двух местах, при загрузке обоймы в подъемники в подбашенном отделении и при загрузке в автомат в башне существенно ухудшала боевые качества установки. Химзащита прислуги осуществлялась при помощи нагнетательной вентиляции и эжекции после каждого выстрела. Полная герметизация башни была невозможна. Вращающаяся часть установки обслуживалась одиннадцатью номерами. Из них семь - в боевом отделении и четыре - в подбашенном отделении (3861).</w:t>
      </w:r>
    </w:p>
    <w:p w14:paraId="50CB6B1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6D96C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было закончено проектирование 57-мм ПТП ЗИС-1КВ. Пушка ЗИС-1КВ была спроектирована под начальную скорость 1150 м/с для калиберного снаряда весом 3,14 кг. Длина ствола была увеличена до 86 клб, то есть до 4902 м. Лафет, верхний станок и прицел для ЗИС-1КВ были взяты от 76-мм дивизионной пушки Ф-22УСВ. Хотя Грабин и попытался облегчить вес конструкции лафета, вес новой 57-мм ПТП оказался на 30 кг больше веса дивизионки Ф-22УСВ (около 1650 кг) (3861).</w:t>
      </w:r>
    </w:p>
    <w:p w14:paraId="7E323AA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80096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декабрь 1940 года была подготовлена справка:</w:t>
      </w:r>
    </w:p>
    <w:p w14:paraId="798916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завода № 92 – Грабин</w:t>
      </w:r>
    </w:p>
    <w:p w14:paraId="1B3361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опытных систем завода № 92 производятся в Гороховце (окружной артиллерийский полигон МВО) (9193).</w:t>
      </w:r>
    </w:p>
    <w:p w14:paraId="1D3957D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BEAC3B1" w14:textId="77777777" w:rsidR="008253AC" w:rsidRPr="00A3026E" w:rsidRDefault="008253AC"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декабре 1940 года появилась информация, что КБ завода №92 в инициативном порядке разработало 107-мм танковую пушку и уже занимается её изготовлением. Было предложено установить орудие, получившее индекс Ф-42, в башню Т-220, но от этой идеи отказались. В производство под индексом КВ-3 решено было запускать более лёгкий, чем Т-220, танк Т-150. Опытный образец Т-220 должен был использоваться в качестве испытательного стенда для двигателя В-5, который предполагалось ставить в КВ-3. Но с новым мотором произошло примерно то же, что и с В-2СН – долго он в Т-220 не прожил (15224).</w:t>
      </w:r>
    </w:p>
    <w:p w14:paraId="3862442E" w14:textId="77777777" w:rsidR="008253AC" w:rsidRPr="00A3026E" w:rsidRDefault="008253AC" w:rsidP="00A3026E">
      <w:pPr>
        <w:pStyle w:val="ae"/>
        <w:shd w:val="clear" w:color="auto" w:fill="FFFFFF"/>
        <w:spacing w:before="0" w:after="0"/>
        <w:jc w:val="both"/>
        <w:rPr>
          <w:color w:val="000000" w:themeColor="text1"/>
          <w:sz w:val="16"/>
          <w:szCs w:val="16"/>
        </w:rPr>
      </w:pPr>
    </w:p>
    <w:p w14:paraId="4B9042E2" w14:textId="77777777" w:rsidR="00E561DD" w:rsidRPr="00A3026E" w:rsidRDefault="00E561DD"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В декабре 1940 года появилась новая разработка Грабина - 107-мм танковая пушка Ф-42. Одновременно шли работы и по 107-мм дивизионной пушке Ф-6 (наложение ствола с баллистикой по типу М-60 на лафет Ф-28) (21243).</w:t>
      </w:r>
    </w:p>
    <w:p w14:paraId="7862AB1E" w14:textId="77777777" w:rsidR="00E561DD" w:rsidRPr="00A3026E" w:rsidRDefault="00E561DD"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2CDE5B40" w14:textId="77777777" w:rsidR="00F124F9" w:rsidRPr="00A3026E" w:rsidRDefault="00F124F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декабре 1940 года стало известно о том, что завод №92 в инициативном порядке разрабатывает танковую пушку калибром 107 мм. До того момента про систему, получившую индекс Ф-42, никакой информации в ГАУ КА не поступало. При создании новой пушки коллектив КБ завода №92 максимально использовал опыт создания Ф-39 и Ф-34. Как и предписывалось в требованиях ГАУ КА, пушка создавалась с использованием ствола 107-мм дивизионной пушки обр.1940 года (под таким индексом М-60 приняли на вооружение).</w:t>
      </w:r>
    </w:p>
    <w:p w14:paraId="695F651D" w14:textId="77777777" w:rsidR="00F124F9" w:rsidRPr="00A3026E" w:rsidRDefault="00F124F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Ожидалось, что опытный образец Ф-42 будет готов к 25 декабря 1940 года, но работы затянулись. Новую пушку предполагалось использовать на базе опытного образца тяжёлого танка Т-220, но от этой идеи пришлось отказаться. Башня Т-220 оказалась маловата для Ф-42. 19 февраля 1942 года на завод №92 ушло письмо за подписью маршала Кулика с указанием установить к 1 мая 1941 года на танк КВ-2 опытный образец нового орудия. Танк заводу отгрузили ещё раньше – 29 января. В то же время, на второй образец Т-220 всё же решили попробовать поставить Ф-42, для чего на завод №92 должна была отправиться его башня (17642).</w:t>
      </w:r>
    </w:p>
    <w:p w14:paraId="0BB6F297" w14:textId="77777777" w:rsidR="00F124F9" w:rsidRPr="00A3026E" w:rsidRDefault="00F124F9" w:rsidP="00A3026E">
      <w:pPr>
        <w:spacing w:after="0" w:line="240" w:lineRule="auto"/>
        <w:jc w:val="both"/>
        <w:rPr>
          <w:rFonts w:ascii="Times New Roman" w:eastAsia="Times New Roman" w:hAnsi="Times New Roman"/>
          <w:color w:val="000000" w:themeColor="text1"/>
          <w:sz w:val="16"/>
          <w:szCs w:val="16"/>
          <w:lang w:eastAsia="ru-RU"/>
        </w:rPr>
      </w:pPr>
    </w:p>
    <w:p w14:paraId="0485314C" w14:textId="77777777" w:rsidR="008253AC" w:rsidRPr="00A3026E" w:rsidRDefault="008253AC"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декабре 1940 года стало известно о том, что завод №92 в инициативном порядке разрабатывает танковую пушку калибром 107 мм. До того момента про систему, получившую индекс Ф-42, никакой информации в ГАУ КА не поступало. При создании новой пушки коллектив КБ завода №92 максимально использовал опыт создания Ф-39 и Ф-34. Как и предписывалось в требованиях ГАУ КА, пушка создавалась с использованием ствола 107-мм дивизионной пушки обр.1940 года (под таким индексом М-60 приняли на вооружение).</w:t>
      </w:r>
    </w:p>
    <w:p w14:paraId="04C0EB0F" w14:textId="77777777" w:rsidR="008253AC" w:rsidRPr="00A3026E" w:rsidRDefault="008253AC" w:rsidP="00A3026E">
      <w:pPr>
        <w:pStyle w:val="ae"/>
        <w:shd w:val="clear" w:color="auto" w:fill="FFFFFF"/>
        <w:spacing w:before="0" w:after="0"/>
        <w:jc w:val="both"/>
        <w:rPr>
          <w:color w:val="000000" w:themeColor="text1"/>
          <w:sz w:val="16"/>
          <w:szCs w:val="16"/>
        </w:rPr>
      </w:pPr>
      <w:r w:rsidRPr="00A3026E">
        <w:rPr>
          <w:color w:val="000000" w:themeColor="text1"/>
          <w:sz w:val="16"/>
          <w:szCs w:val="16"/>
        </w:rPr>
        <w:t>Ожидалось, что опытный образец Ф-42 будет готов к 25 декабря 1940 года, но работы затянулись. Новую пушку предполагалось использовать на базе опытного образца тяжёлого танка Т-220, но от этой идеи пришлось отказаться. Башня Т-220 оказалась маловата для Ф-42 (15614).</w:t>
      </w:r>
    </w:p>
    <w:p w14:paraId="780645A2" w14:textId="77777777" w:rsidR="008253AC" w:rsidRPr="00A3026E" w:rsidRDefault="008253AC" w:rsidP="00A3026E">
      <w:pPr>
        <w:pStyle w:val="ae"/>
        <w:shd w:val="clear" w:color="auto" w:fill="FFFFFF"/>
        <w:spacing w:before="0" w:after="0"/>
        <w:jc w:val="both"/>
        <w:rPr>
          <w:color w:val="000000" w:themeColor="text1"/>
          <w:sz w:val="16"/>
          <w:szCs w:val="16"/>
        </w:rPr>
      </w:pPr>
    </w:p>
    <w:p w14:paraId="23AA57F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опытный образец пушки ЗИС-4 поступил на заводские ис</w:t>
      </w:r>
      <w:r w:rsidRPr="00A3026E">
        <w:rPr>
          <w:rFonts w:ascii="Times New Roman" w:hAnsi="Times New Roman"/>
          <w:color w:val="000000" w:themeColor="text1"/>
          <w:sz w:val="16"/>
          <w:szCs w:val="16"/>
        </w:rPr>
        <w:softHyphen/>
        <w:t>пытания, которые продолжались до марта 1941 г. В танке Т-34 опытный образец пушки был установлен в мае 1941 г. По результатам проведения испытаний в ее конструкцию были внесены соответствующие измене</w:t>
      </w:r>
      <w:r w:rsidRPr="00A3026E">
        <w:rPr>
          <w:rFonts w:ascii="Times New Roman" w:hAnsi="Times New Roman"/>
          <w:color w:val="000000" w:themeColor="text1"/>
          <w:sz w:val="16"/>
          <w:szCs w:val="16"/>
        </w:rPr>
        <w:softHyphen/>
        <w:t xml:space="preserve">ния. Модернизированный образец </w:t>
      </w:r>
      <w:r w:rsidRPr="00A3026E">
        <w:rPr>
          <w:rFonts w:ascii="Times New Roman" w:hAnsi="Times New Roman"/>
          <w:color w:val="000000" w:themeColor="text1"/>
          <w:sz w:val="16"/>
          <w:szCs w:val="16"/>
        </w:rPr>
        <w:lastRenderedPageBreak/>
        <w:t>орудия, установленный в танке Т-34, прошел испытания на Софринском полигоне уже после начала войны - в июле 1941 г. Ввиду крайней необходимости в противотанковых средствах пушка ЗИС-4 была принята на вооружение и с середины ию</w:t>
      </w:r>
      <w:r w:rsidRPr="00A3026E">
        <w:rPr>
          <w:rFonts w:ascii="Times New Roman" w:hAnsi="Times New Roman"/>
          <w:color w:val="000000" w:themeColor="text1"/>
          <w:sz w:val="16"/>
          <w:szCs w:val="16"/>
        </w:rPr>
        <w:softHyphen/>
        <w:t>ля 1941 г. поставлена на серийное производство на заводе № 92, которое продолжалось в течение осени 1941 г. В декабре того же года ввиду трудностей производственного характера (загруженность завода "Бар</w:t>
      </w:r>
      <w:r w:rsidRPr="00A3026E">
        <w:rPr>
          <w:rFonts w:ascii="Times New Roman" w:hAnsi="Times New Roman"/>
          <w:color w:val="000000" w:themeColor="text1"/>
          <w:sz w:val="16"/>
          <w:szCs w:val="16"/>
        </w:rPr>
        <w:softHyphen/>
        <w:t>рикады", поставлявшего трубы для стволов) и недостатка боеприпасов, а также отсутствия у противника тяжелых танков с мощной броневой защитой, производство 57-мм пушек ЗИС-4 было законсервировано. Вернулись к производству 57-мм танковых пушек ЗИС-4 в 1943 г., ког</w:t>
      </w:r>
      <w:r w:rsidRPr="00A3026E">
        <w:rPr>
          <w:rFonts w:ascii="Times New Roman" w:hAnsi="Times New Roman"/>
          <w:color w:val="000000" w:themeColor="text1"/>
          <w:sz w:val="16"/>
          <w:szCs w:val="16"/>
        </w:rPr>
        <w:softHyphen/>
        <w:t>да они стали единственными, освоенными в производстве артиллерий</w:t>
      </w:r>
      <w:r w:rsidRPr="00A3026E">
        <w:rPr>
          <w:rFonts w:ascii="Times New Roman" w:hAnsi="Times New Roman"/>
          <w:color w:val="000000" w:themeColor="text1"/>
          <w:sz w:val="16"/>
          <w:szCs w:val="16"/>
        </w:rPr>
        <w:softHyphen/>
        <w:t>скими системами, способными поражать новые немецкие танки Т-VI "Тигр I". В апреле 1943 г. на вооружение был принят бронебойно-подка-либерный снаряд для 57-мм пушки. Бронепробиваемость этого снаряда по нормали на дальности 500 м составляла 146 мм. Такая высокая бро-непробивемость была достигнута за счет увеличения начальной скоро</w:t>
      </w:r>
      <w:r w:rsidRPr="00A3026E">
        <w:rPr>
          <w:rFonts w:ascii="Times New Roman" w:hAnsi="Times New Roman"/>
          <w:color w:val="000000" w:themeColor="text1"/>
          <w:sz w:val="16"/>
          <w:szCs w:val="16"/>
        </w:rPr>
        <w:softHyphen/>
        <w:t>сти снаряда до 1270 м/с (10703).</w:t>
      </w:r>
    </w:p>
    <w:p w14:paraId="58FE030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23C75BB8" w14:textId="77777777" w:rsidR="00F124F9" w:rsidRPr="00A3026E" w:rsidRDefault="00F124F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декабре 1940 и январе 1941 г. по отчетам НИПСВО Рукавишников полагал, что, доработав гильзу патрона по чертежу НИПСВО и снабдив его новыми элементами (сердечник и порох), можно будет достигнуть пробивания брони, значительно превышающей 40-50 мм. Он просил модернизировать 20-30 штук его ПТР, находящихся на консервации на заводе №2, и передать их на полигонные и войсковые испытания. Жалобу, очевидно, направили для рассмотрения в СНК, потому что в копии сохранилась резолюция зам. председателя Н. Вознесенского от 3 июня: «тт. Ванникову и Кулику (лично). Прошу сообщить Ваше заключение о «ПТР» Рукавишникова и вообще о жалобе т. Рукавишникова». Там же была и резолюция нового Наркома вооружений Д. Устинова (Б. Ванников б июня был арестован) от 16 июня: «т. Барсукову. Нужно дать мне все материалы по этому вопросу, в том числе решение НКО» (17498).</w:t>
      </w:r>
    </w:p>
    <w:p w14:paraId="32166774" w14:textId="77777777" w:rsidR="00F124F9" w:rsidRPr="00A3026E" w:rsidRDefault="00F124F9" w:rsidP="00A3026E">
      <w:pPr>
        <w:spacing w:after="0" w:line="240" w:lineRule="auto"/>
        <w:jc w:val="both"/>
        <w:rPr>
          <w:rFonts w:ascii="Times New Roman" w:eastAsia="Times New Roman" w:hAnsi="Times New Roman"/>
          <w:color w:val="000000" w:themeColor="text1"/>
          <w:sz w:val="16"/>
          <w:szCs w:val="16"/>
          <w:lang w:eastAsia="ru-RU"/>
        </w:rPr>
      </w:pPr>
    </w:p>
    <w:p w14:paraId="208B9D2B" w14:textId="77777777" w:rsidR="004904DD" w:rsidRPr="00A3026E" w:rsidRDefault="004904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C декабря 1940 г. по май 1941 г. проводились полигонные испытания опытного образца 130 мм Б-2-ЛМ, корабельные испытания — во второй половине 1941 г. в Севастополе. По воспоминаниям бывших сотрудников ОТБ, заключенных специалистов под конвоем привозили для проведения испытаний на Ржевский полигон, инженеры шли на полигон, а конвой оставался ждать их у дверей, так как у заключенных «шпионов» допуск на полигон был, а у комсомольцев конвоя — нет.</w:t>
      </w:r>
    </w:p>
    <w:p w14:paraId="27192DCD" w14:textId="77777777" w:rsidR="004904DD" w:rsidRPr="00A3026E" w:rsidRDefault="004904D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Башенные установки Б-2-ЛМ были установлены на лидере «Ташкент» (проект 30) и использованы в морских сражениях Великой Отечественной войны. По тем временам 130-мм двухорудийная башенная установка, спроектированная в ОТБ, не имела себе равных по дальности стрельбы среди аналогов (18664).</w:t>
      </w:r>
    </w:p>
    <w:p w14:paraId="0BFEC746" w14:textId="77777777" w:rsidR="004904DD" w:rsidRPr="00A3026E" w:rsidRDefault="004904DD" w:rsidP="00A3026E">
      <w:pPr>
        <w:spacing w:after="0" w:line="240" w:lineRule="auto"/>
        <w:jc w:val="both"/>
        <w:rPr>
          <w:rFonts w:ascii="Times New Roman" w:hAnsi="Times New Roman"/>
          <w:color w:val="000000" w:themeColor="text1"/>
          <w:sz w:val="16"/>
          <w:szCs w:val="16"/>
        </w:rPr>
      </w:pPr>
    </w:p>
    <w:p w14:paraId="2A8A7644" w14:textId="77777777" w:rsidR="00E561DD" w:rsidRPr="00A3026E" w:rsidRDefault="00E561DD" w:rsidP="00A3026E">
      <w:pPr>
        <w:autoSpaceDE w:val="0"/>
        <w:autoSpaceDN w:val="0"/>
        <w:adjustRightInd w:val="0"/>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декабре 1940 г. начальником VIII отдела НИИ-13 Б. И. Шавыриным был представлен проект 240-мм миномета. При разработке этой системы большое внимание было уделено маневренности – транспортировка должна была осуществляться машиной ЗИС с использованием деталей системы МЛ-20. Переход в боевое положение предлагалось производить с помощью специальных домкратов. В целом, время установки системы должно было составлять 20 – 30 мин. (без подготовки площадки). В основу конструкции миномета была положена газодинамическая схема. Основные характеристики предлагаемой системы отличались от исходных ТТТ: наибольшая дальность стрельбы составляла 3 640 м (относительно 3 000 – 3 500 м), вес системы в боевом положении – 1 850 кг (относительно 2 200 кг), углы вертикального наведения составляли 25° – 80° (относительно 45° – 75°). Опорная плита была сварной и состояла из штампованного нижнего листа и опорной подушки, к которой приваривалась чаша для шаровой пяты ствола, укреплена дополнительными ребрами жесткости. Заряжание предполагалось раздельное: мина – с дула, заряд – с казны.</w:t>
      </w:r>
    </w:p>
    <w:p w14:paraId="1CE7C866" w14:textId="77777777" w:rsidR="00E561DD" w:rsidRPr="00A3026E" w:rsidRDefault="00E561D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Аналогичный принцип действия (газодинамический) был предложен и по 160-мм дивизионному миномету. (20074)</w:t>
      </w:r>
    </w:p>
    <w:p w14:paraId="02FFC5A7" w14:textId="77777777" w:rsidR="00E561DD" w:rsidRPr="00A3026E" w:rsidRDefault="00E561DD" w:rsidP="00A3026E">
      <w:pPr>
        <w:spacing w:after="0" w:line="240" w:lineRule="auto"/>
        <w:jc w:val="both"/>
        <w:rPr>
          <w:rFonts w:ascii="Times New Roman" w:hAnsi="Times New Roman"/>
          <w:color w:val="0070C0"/>
          <w:sz w:val="16"/>
          <w:szCs w:val="16"/>
        </w:rPr>
      </w:pPr>
    </w:p>
    <w:p w14:paraId="482F8B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прекратился выпуск танков Т-26. Однако в июле-августе 1941 г. в Ленинграде было достроено около сотни танков Т-26 из имевшегося неиспользованного запаса корпусов. Эти машины приняли участие в обороне города (3861).</w:t>
      </w:r>
    </w:p>
    <w:p w14:paraId="6318694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A8BA2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был готов проект и деревянный макет танка Т-50 завода № 174. Комиссия сочла неудачной расположение командирской башенки (9527,67).</w:t>
      </w:r>
    </w:p>
    <w:p w14:paraId="19EAF28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566D81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1941 г. началось изготовление литых ба</w:t>
      </w:r>
      <w:r w:rsidRPr="00A3026E">
        <w:rPr>
          <w:rFonts w:ascii="Times New Roman" w:hAnsi="Times New Roman"/>
          <w:color w:val="000000" w:themeColor="text1"/>
          <w:sz w:val="16"/>
          <w:szCs w:val="16"/>
        </w:rPr>
        <w:softHyphen/>
        <w:t>шен танка КВ, а литые де</w:t>
      </w:r>
      <w:r w:rsidRPr="00A3026E">
        <w:rPr>
          <w:rFonts w:ascii="Times New Roman" w:hAnsi="Times New Roman"/>
          <w:color w:val="000000" w:themeColor="text1"/>
          <w:sz w:val="16"/>
          <w:szCs w:val="16"/>
        </w:rPr>
        <w:softHyphen/>
        <w:t>тали корпуса получил только танк КВ-13/ИС (10782).</w:t>
      </w:r>
    </w:p>
    <w:p w14:paraId="357BF8C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00342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декабря 1940 кормовой люк башни КВ-2 (всего изготовлено 46) стал использоваться для загрузки боеприпасов и входа экипажа (9527,163).</w:t>
      </w:r>
    </w:p>
    <w:p w14:paraId="482C7CF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DC38A37"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завершили сборку танка Т-150. Танк Т-150 был построен на агрегатах серийного КВ и отличался от него только увеличенной толщиной брони корпуса (вместо 75 мм — 90 мм). Так как утолщение броневых листов производилось наружу, то все внутренние габариты машины сохранялись.</w:t>
      </w:r>
    </w:p>
    <w:p w14:paraId="019A4271"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по внутренней компоновке Т-150 практически не отличался от серийного КВ-1. Машина вооружалась 76,2-мм пушкой Ф-32, спаренной с пулеметом ДТ. Кроме того, второй ДТ устанавливался в кормовой части башни, а третий — в лобовом листе корпуса. Боекомплект состоял из 111 выстрелов к пушке и 42 дисков к пулеметам ДТ (2646 патронов). Из-за возросшей массы танка до 50,2 в ходовой части установили усиленные кронштейны подвески. Кроме того, танк оснастили двигателем В-5 мощностью 700 л.с. но запас топлива оставался прежним — 615 л, а запас хода по шоссе составлял 220 км.</w:t>
      </w:r>
    </w:p>
    <w:p w14:paraId="15F3903E"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 внешним отличием Т-150 от серийного КВ-1 стала командирская башенка с шестью смотровыми приборами в стенках и перископическим ПТК в крыше. Башенка монтировалась на крыше башни справа по ходу, поэтому командир машины теперь размещался справа. За ним находилось место заряжающего, а наводчик находился слева от пушки.</w:t>
      </w:r>
    </w:p>
    <w:p w14:paraId="3BF14DED"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танка с броней в 100 мм — «объект 220» — поступил на Кировский завод 7 декабря 1940 года, а сборку машины завершили в первых числах нового, 1941 года. Машина имела удлиненную на один каток (по сравнению с серийным КВ-1) ходовую часть. На это конструкторам пришлой пойти из-за существенного увеличения массы «объекта 220» (боевая масса составляла 62,7 т), что произошло из-за увеличения основной брони до 100 мм и установки мощной 85-мм пушки в башне значительных размеров.</w:t>
      </w:r>
    </w:p>
    <w:p w14:paraId="3347534E"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«объекта 220» (также в документах встречаются обозначения Т-220 и КВ-220) представлял собой удлиненный корпус КВ-1 с увеличенной до 100 мм броней лобовой части и бортов. Как и в случае с Т-150, утолщение производилось наружу.</w:t>
      </w:r>
    </w:p>
    <w:p w14:paraId="52539D2B"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и в серийном КВ-1, у КВ-220 впереди в отделении управления размещались механик-водитель и стрелок-радист. А вот в башне находилось четыре человека — слева от пушки наводчик и командир машины, а справа — два заряжающих.</w:t>
      </w:r>
    </w:p>
    <w:p w14:paraId="6CC15F8C"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Основное вооружение КВ-220 состояло из 85-мм танковой пушки Ф-30, установку которой спроектировала группа инженеров СКБ-2 под руководством прикомандированного с завода № 92 конструктора П.Ф. Муравьева. Пушка монтировалась в башне довольно больших размеров, имевшей вертикальные стенки. Для стрельбы использовались перископический прицел ПТ-6 и телескопический ТОД. Для монтажа и демонтажа пушки в кормовом листе башни был прорезан люк довольно больших размеров.</w:t>
      </w:r>
    </w:p>
    <w:p w14:paraId="517B7166"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орудия, КВ-220 имел три пулемета ДТ — один спаренный с пушкой, второй — в лобовом листе корпуса, слева от механика-водителя, и третий — в командирской башенке на крыше башни. Боекомплект состоял из 91 выстрела к 8 5-мм пушке и 64 дисков (4032 патрона) к ДТ.</w:t>
      </w:r>
    </w:p>
    <w:p w14:paraId="07BA337E"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КВ-220 оснащался дизельным двигателем В-2СН мощностью 850 л.с. Емкость топливных баков составила 825–845 л. Машина получила новую коробку перемены передач, спроектированную Н.Ф. Шашмуриным по типу коробки КВ-1, но усиленную и доработанную. Коробка имела меньшие габариты по сравнению с серийной, а так же больший запас прочности и улучшенные динамические характеристики.</w:t>
      </w:r>
    </w:p>
    <w:p w14:paraId="0D562FA9" w14:textId="77777777" w:rsidR="0016176C" w:rsidRPr="00A3026E" w:rsidRDefault="0016176C"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Ходовая часть выполнялась по типу серийных КВ, но имела семь опорных и четыре поддерживающих катка (на борт) (17434).</w:t>
      </w:r>
    </w:p>
    <w:p w14:paraId="3E6F136D" w14:textId="77777777" w:rsidR="0016176C" w:rsidRPr="00A3026E" w:rsidRDefault="0016176C" w:rsidP="00A3026E">
      <w:pPr>
        <w:spacing w:after="0" w:line="240" w:lineRule="auto"/>
        <w:jc w:val="both"/>
        <w:rPr>
          <w:rFonts w:ascii="Times New Roman" w:hAnsi="Times New Roman"/>
          <w:color w:val="000000" w:themeColor="text1"/>
          <w:sz w:val="16"/>
          <w:szCs w:val="16"/>
        </w:rPr>
      </w:pPr>
    </w:p>
    <w:p w14:paraId="46491CCE" w14:textId="77777777" w:rsidR="008253AC" w:rsidRPr="00A3026E" w:rsidRDefault="008253AC"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декабре 1940 года составленные Артиллерийским комитетом ГАУ КА тактико-технические требования (ТТТ) к САУ 212 вызвали острые дебаты. В виду запоздалой выдачи ТТТ и приоритета работ по теме Т-220 самоходную установку «212» к 1 декабря Кировский завод предъявить не смог. Зато 10 числа в адрес Арткома ГАУ КА поступило письмо с Кировского завода, подписанное начальником СКБ-2 Ж. Я. Котиным, начальником СКБ-4 П. Ф. Фёдоровым и старшим инженером машины Ц. Н. Гольбуртом. В письме указывался большой список замечаний по ТТТ, появившихся в ходе проектирования САУ. Дело в том, что при бронировании лобовой части машины, составлявшем по ТТТ 75 мм, в определённую в 55 тонн массу вложиться не получалось никак. И ладно бы эта проблема была только с САУ. Для выступавшего базовой машиной танка Т-220 боевая масса задавалась в 56 тонн, а в итоге она получилась 62,7 тонны.</w:t>
      </w:r>
    </w:p>
    <w:p w14:paraId="7DE2ED5D" w14:textId="77777777" w:rsidR="008253AC" w:rsidRPr="00A3026E" w:rsidRDefault="008253AC" w:rsidP="00A3026E">
      <w:pPr>
        <w:pStyle w:val="ae"/>
        <w:shd w:val="clear" w:color="auto" w:fill="FFFFFF"/>
        <w:spacing w:before="0" w:after="0"/>
        <w:jc w:val="both"/>
        <w:rPr>
          <w:color w:val="000000" w:themeColor="text1"/>
          <w:sz w:val="16"/>
          <w:szCs w:val="16"/>
        </w:rPr>
      </w:pPr>
      <w:r w:rsidRPr="00A3026E">
        <w:rPr>
          <w:color w:val="000000" w:themeColor="text1"/>
          <w:sz w:val="16"/>
          <w:szCs w:val="16"/>
        </w:rPr>
        <w:t>А ведь «212» получался больше. Простой подсчёт показывал, что при массе 55 тонн масса корпуса самохода должна была составить всего 17,5 тонн. При этом схожий по размерам СМК, имевший меньшую по толщине броню, имел массу корпуса 31 тонна. Выход из положения предлагался простой и бесхитростный – поднять верхнюю планку боевой массы установки до 65 тонн. Впрочем, даже в такие рамки конструкторы планировали вложиться в случае снижения толщины лобовой брони до 60 мм.</w:t>
      </w:r>
    </w:p>
    <w:p w14:paraId="05B90386" w14:textId="77777777" w:rsidR="008253AC" w:rsidRPr="00A3026E" w:rsidRDefault="008253AC" w:rsidP="00A3026E">
      <w:pPr>
        <w:pStyle w:val="ae"/>
        <w:shd w:val="clear" w:color="auto" w:fill="FFFFFF"/>
        <w:spacing w:before="0" w:after="0"/>
        <w:jc w:val="both"/>
        <w:rPr>
          <w:color w:val="000000" w:themeColor="text1"/>
          <w:sz w:val="16"/>
          <w:szCs w:val="16"/>
        </w:rPr>
      </w:pPr>
      <w:r w:rsidRPr="00A3026E">
        <w:rPr>
          <w:color w:val="000000" w:themeColor="text1"/>
          <w:sz w:val="16"/>
          <w:szCs w:val="16"/>
        </w:rPr>
        <w:t>После дебатов, длившихся до конца декабря, артиллеристы были вынуждены сдаться. Согласно отчёту ГАБТУ КА по опытным работам, к январю 1941 года Кировский завод изготовил ряд агрегатов для САУ «212». Также был завершён технологический проект, а чертежи переданы на Ижорский завод для изготовления бронекорпуса. Всего к тому моменту на тему «212» было потрачено 1,5 миллиона рублей. Согласно отчёту Кировского завода, 5 марта 1941 года с Ижорского завода прибыл комплект корпусных деталей. Сборка затягивалась в виду отсутствия полного комплекта, который изготовлялся силами Кировского завода. Фактически на этом работы и застопорились, поскольку к концу марта Кировскому заводу стало совсем не до «истребителя ДОТов» (15739).</w:t>
      </w:r>
    </w:p>
    <w:p w14:paraId="25C8CD2D" w14:textId="77777777" w:rsidR="008253AC" w:rsidRPr="00A3026E" w:rsidRDefault="008253AC" w:rsidP="00A3026E">
      <w:pPr>
        <w:pStyle w:val="ae"/>
        <w:shd w:val="clear" w:color="auto" w:fill="FFFFFF"/>
        <w:spacing w:before="0" w:after="0"/>
        <w:jc w:val="both"/>
        <w:rPr>
          <w:color w:val="000000" w:themeColor="text1"/>
          <w:sz w:val="16"/>
          <w:szCs w:val="16"/>
        </w:rPr>
      </w:pPr>
    </w:p>
    <w:p w14:paraId="2373F23E" w14:textId="77777777" w:rsidR="008253AC" w:rsidRPr="00A3026E" w:rsidRDefault="008253AC" w:rsidP="00A3026E">
      <w:pPr>
        <w:pStyle w:val="ae"/>
        <w:shd w:val="clear" w:color="auto" w:fill="FFFFFF"/>
        <w:spacing w:before="0" w:after="0"/>
        <w:jc w:val="both"/>
        <w:rPr>
          <w:color w:val="000000" w:themeColor="text1"/>
          <w:sz w:val="16"/>
          <w:szCs w:val="16"/>
        </w:rPr>
      </w:pPr>
      <w:r w:rsidRPr="00A3026E">
        <w:rPr>
          <w:color w:val="000000" w:themeColor="text1"/>
          <w:sz w:val="16"/>
          <w:szCs w:val="16"/>
        </w:rPr>
        <w:t xml:space="preserve">В декабре месяце 1940 завершили изготовление танка Т-150. По проекту машина должна была весить 48 тонн, но взвешивание опытного экземпляра показало массу </w:t>
      </w:r>
      <w:r w:rsidRPr="00A3026E">
        <w:rPr>
          <w:color w:val="000000" w:themeColor="text1"/>
          <w:sz w:val="16"/>
          <w:szCs w:val="16"/>
        </w:rPr>
        <w:lastRenderedPageBreak/>
        <w:t>50 160 кг. Общий бюджет на Т-150 составил 1,5 миллиона рублей (без учёта вооружения), то есть немногим меньше стоимости трёх серийных КВ-1. В профиль новый танк почти ничем не отличался от серийного КВ-1. Новая машина очень сильно напоминала серийный КВ-1. Внешне танк отличался лишь установкой пушки Ф-32 (её на серийные КВ-1 стали ставить с января 1941 года) и командирской башенкой, находившейся справа по ходу движения. В башенке находились 6 призматических перископов, а также вращающийся перископ ПТК. Кроме того, на Т-150 установили переработанную шаровую установку кормового пулемёта ДТ.</w:t>
      </w:r>
    </w:p>
    <w:p w14:paraId="32210586" w14:textId="77777777" w:rsidR="008253AC" w:rsidRPr="00A3026E" w:rsidRDefault="008253AC" w:rsidP="00A3026E">
      <w:pPr>
        <w:pStyle w:val="ae"/>
        <w:shd w:val="clear" w:color="auto" w:fill="FFFFFF"/>
        <w:spacing w:before="0" w:after="0"/>
        <w:jc w:val="both"/>
        <w:rPr>
          <w:color w:val="000000" w:themeColor="text1"/>
          <w:sz w:val="16"/>
          <w:szCs w:val="16"/>
        </w:rPr>
      </w:pPr>
      <w:r w:rsidRPr="00A3026E">
        <w:rPr>
          <w:color w:val="000000" w:themeColor="text1"/>
          <w:sz w:val="16"/>
          <w:szCs w:val="16"/>
        </w:rPr>
        <w:t>Подобное размещение командирской башенки было временным и не соответствующим требованиям. Ещё в ноябре 1940 года была спроектирована новая командирская башенка, которая имела определённое сходство с башенкой немецкого танка Pz.Kpfw.III. Это и неудивительно, поскольку закупленный в Германии танк пристально изучался танковыми заводами. Очень похожую башенку, лишённую перископа ПТК, поставили в лёгкий танк Т-50 разработки Кировского завода. На построенном в металле Т-150 командир вместе с башенкой находился справа от пушки. На переработанной башне он, вместе с башенкой, перемещался в кормовую нишу со смещением влево. Судя по конструкции башенки, люка в ней не предусматривалось.</w:t>
      </w:r>
    </w:p>
    <w:p w14:paraId="37DDA6B8" w14:textId="77777777" w:rsidR="008253AC" w:rsidRPr="00A3026E" w:rsidRDefault="008253AC" w:rsidP="00A3026E">
      <w:pPr>
        <w:pStyle w:val="ae"/>
        <w:shd w:val="clear" w:color="auto" w:fill="FFFFFF"/>
        <w:spacing w:before="0" w:after="0"/>
        <w:jc w:val="both"/>
        <w:rPr>
          <w:color w:val="000000" w:themeColor="text1"/>
          <w:sz w:val="16"/>
          <w:szCs w:val="16"/>
        </w:rPr>
      </w:pPr>
      <w:r w:rsidRPr="00A3026E">
        <w:rPr>
          <w:color w:val="000000" w:themeColor="text1"/>
          <w:sz w:val="16"/>
          <w:szCs w:val="16"/>
        </w:rPr>
        <w:t>Помимо вооружения и командирской башенки, Т-150 отличался от КВ бронированием корпуса, усиленным до 90 мм. Ввиду увеличения массы для танка на заводе №75 (г. Харьков) был разработан форсированный вариант двигателя В-2, получивший индекс В-5. Благодаря форсированию мощность В-5 подняли до 700 лошадиных сил, но подобные изменения неизбежно повлекли за собой проблемы с надёжностью (15616).</w:t>
      </w:r>
    </w:p>
    <w:p w14:paraId="4D51ADCB" w14:textId="77777777" w:rsidR="008253AC" w:rsidRPr="00A3026E" w:rsidRDefault="008253AC" w:rsidP="00A3026E">
      <w:pPr>
        <w:pStyle w:val="ae"/>
        <w:shd w:val="clear" w:color="auto" w:fill="FFFFFF"/>
        <w:spacing w:before="0" w:after="0"/>
        <w:jc w:val="both"/>
        <w:rPr>
          <w:color w:val="000000" w:themeColor="text1"/>
          <w:sz w:val="16"/>
          <w:szCs w:val="16"/>
        </w:rPr>
      </w:pPr>
    </w:p>
    <w:p w14:paraId="518533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на заводе № 183 была выполнена опытная установка огнемета АТО-41 на Т-34 и до конца февраля 1941 машина Т-О34 успешно прошла испытания в январе-феврале 1941, а в июне - была утверждена для серии (9527,181).</w:t>
      </w:r>
    </w:p>
    <w:p w14:paraId="7E152E1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D95B6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при заводских испытаниях были выявлены дефекты в коробке, гусеничном движителе, лебедке и т.п. опытных образцов тяжелого тягача на базе Т-34 (АТ-42), разработанные в апреле 1940 КБ завода № 183 и выпущенного в ноябре 1940. Машина была направлена на доработку и с началом войны работы прекратили (9527,218).</w:t>
      </w:r>
    </w:p>
    <w:p w14:paraId="43796D1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45B591C" w14:textId="77777777" w:rsidR="008253AC" w:rsidRPr="00A3026E" w:rsidRDefault="008253AC" w:rsidP="00A3026E">
      <w:pPr>
        <w:pStyle w:val="a3"/>
        <w:rPr>
          <w:color w:val="000000" w:themeColor="text1"/>
          <w:lang w:val="ru-RU"/>
        </w:rPr>
      </w:pPr>
      <w:r w:rsidRPr="00A3026E">
        <w:rPr>
          <w:color w:val="000000" w:themeColor="text1"/>
          <w:lang w:val="ru-RU"/>
        </w:rPr>
        <w:t>В декабре 1940 г. при про</w:t>
      </w:r>
      <w:r w:rsidRPr="00A3026E">
        <w:rPr>
          <w:color w:val="000000" w:themeColor="text1"/>
          <w:lang w:val="ru-RU"/>
        </w:rPr>
        <w:softHyphen/>
        <w:t>ведении заводских испытаний АТ-42 были выявлены дефекты в коробке передач, гусеничном дви</w:t>
      </w:r>
      <w:r w:rsidRPr="00A3026E">
        <w:rPr>
          <w:color w:val="000000" w:themeColor="text1"/>
          <w:lang w:val="ru-RU"/>
        </w:rPr>
        <w:softHyphen/>
        <w:t>жителе, в приводе лебедки и др. Машину от</w:t>
      </w:r>
      <w:r w:rsidRPr="00A3026E">
        <w:rPr>
          <w:color w:val="000000" w:themeColor="text1"/>
          <w:lang w:val="ru-RU"/>
        </w:rPr>
        <w:softHyphen/>
        <w:t>правили на доработку. С началом войны все работы по АТ-42 были завершены, но проект</w:t>
      </w:r>
      <w:r w:rsidRPr="00A3026E">
        <w:rPr>
          <w:color w:val="000000" w:themeColor="text1"/>
          <w:lang w:val="ru-RU"/>
        </w:rPr>
        <w:softHyphen/>
        <w:t>ные изыскания в области тракторостроения не прекращались.</w:t>
      </w:r>
    </w:p>
    <w:p w14:paraId="5F7658C4" w14:textId="77777777" w:rsidR="008253AC" w:rsidRPr="00A3026E" w:rsidRDefault="008253AC" w:rsidP="00A3026E">
      <w:pPr>
        <w:pStyle w:val="a3"/>
        <w:rPr>
          <w:color w:val="000000" w:themeColor="text1"/>
          <w:lang w:val="ru-RU"/>
        </w:rPr>
      </w:pPr>
      <w:r w:rsidRPr="00A3026E">
        <w:rPr>
          <w:color w:val="000000" w:themeColor="text1"/>
          <w:lang w:val="ru-RU"/>
        </w:rPr>
        <w:t>Про</w:t>
      </w:r>
      <w:r w:rsidRPr="00A3026E">
        <w:rPr>
          <w:color w:val="000000" w:themeColor="text1"/>
          <w:lang w:val="ru-RU"/>
        </w:rPr>
        <w:softHyphen/>
      </w:r>
      <w:r w:rsidRPr="00A3026E">
        <w:rPr>
          <w:rStyle w:val="304"/>
          <w:rFonts w:ascii="Times New Roman" w:hAnsi="Times New Roman" w:cs="Times New Roman"/>
          <w:b w:val="0"/>
          <w:color w:val="000000" w:themeColor="text1"/>
          <w:sz w:val="16"/>
          <w:szCs w:val="16"/>
          <w:lang w:val="ru-RU"/>
        </w:rPr>
        <w:t xml:space="preserve">ектирование </w:t>
      </w:r>
      <w:r w:rsidRPr="00A3026E">
        <w:rPr>
          <w:color w:val="000000" w:themeColor="text1"/>
          <w:lang w:val="ru-RU"/>
        </w:rPr>
        <w:t xml:space="preserve">провели </w:t>
      </w:r>
      <w:r w:rsidRPr="00A3026E">
        <w:rPr>
          <w:rStyle w:val="304"/>
          <w:rFonts w:ascii="Times New Roman" w:hAnsi="Times New Roman" w:cs="Times New Roman"/>
          <w:b w:val="0"/>
          <w:color w:val="000000" w:themeColor="text1"/>
          <w:sz w:val="16"/>
          <w:szCs w:val="16"/>
          <w:lang w:val="ru-RU"/>
        </w:rPr>
        <w:t>и</w:t>
      </w:r>
      <w:r w:rsidRPr="00A3026E">
        <w:rPr>
          <w:color w:val="000000" w:themeColor="text1"/>
          <w:lang w:val="ru-RU"/>
        </w:rPr>
        <w:t xml:space="preserve"> выполнили технический про</w:t>
      </w:r>
      <w:r w:rsidRPr="00A3026E">
        <w:rPr>
          <w:color w:val="000000" w:themeColor="text1"/>
          <w:lang w:val="ru-RU"/>
        </w:rPr>
        <w:softHyphen/>
      </w:r>
      <w:r w:rsidRPr="00A3026E">
        <w:rPr>
          <w:rStyle w:val="304"/>
          <w:rFonts w:ascii="Times New Roman" w:hAnsi="Times New Roman" w:cs="Times New Roman"/>
          <w:b w:val="0"/>
          <w:color w:val="000000" w:themeColor="text1"/>
          <w:sz w:val="16"/>
          <w:szCs w:val="16"/>
          <w:lang w:val="ru-RU"/>
        </w:rPr>
        <w:t>ект тяжелого</w:t>
      </w:r>
      <w:r w:rsidRPr="00A3026E">
        <w:rPr>
          <w:color w:val="000000" w:themeColor="text1"/>
          <w:lang w:val="ru-RU"/>
        </w:rPr>
        <w:t xml:space="preserve"> транспортного тягача АТ-42 (за</w:t>
      </w:r>
      <w:r w:rsidRPr="00A3026E">
        <w:rPr>
          <w:color w:val="000000" w:themeColor="text1"/>
          <w:lang w:val="ru-RU"/>
        </w:rPr>
        <w:softHyphen/>
      </w:r>
      <w:r w:rsidRPr="00A3026E">
        <w:rPr>
          <w:rStyle w:val="Arial5"/>
          <w:rFonts w:ascii="Times New Roman" w:hAnsi="Times New Roman" w:cs="Times New Roman"/>
          <w:b w:val="0"/>
          <w:color w:val="000000" w:themeColor="text1"/>
          <w:sz w:val="16"/>
          <w:szCs w:val="16"/>
          <w:lang w:val="ru-RU"/>
        </w:rPr>
        <w:t>ведете</w:t>
      </w:r>
      <w:r w:rsidRPr="00A3026E">
        <w:rPr>
          <w:color w:val="000000" w:themeColor="text1"/>
          <w:lang w:val="ru-RU"/>
        </w:rPr>
        <w:t xml:space="preserve"> обозначение А-42) на базе среднего </w:t>
      </w:r>
      <w:r w:rsidRPr="00A3026E">
        <w:rPr>
          <w:rStyle w:val="304"/>
          <w:rFonts w:ascii="Times New Roman" w:hAnsi="Times New Roman" w:cs="Times New Roman"/>
          <w:b w:val="0"/>
          <w:color w:val="000000" w:themeColor="text1"/>
          <w:sz w:val="16"/>
          <w:szCs w:val="16"/>
          <w:lang w:val="ru-RU"/>
        </w:rPr>
        <w:t>тайка Т-34</w:t>
      </w:r>
      <w:r w:rsidRPr="00A3026E">
        <w:rPr>
          <w:color w:val="000000" w:themeColor="text1"/>
          <w:lang w:val="ru-RU"/>
        </w:rPr>
        <w:t xml:space="preserve"> (трансмиссия и ходовая часть) конструк</w:t>
      </w:r>
      <w:r w:rsidRPr="00A3026E">
        <w:rPr>
          <w:color w:val="000000" w:themeColor="text1"/>
          <w:lang w:val="ru-RU"/>
        </w:rPr>
        <w:softHyphen/>
      </w:r>
      <w:r w:rsidRPr="00A3026E">
        <w:rPr>
          <w:rStyle w:val="304"/>
          <w:rFonts w:ascii="Times New Roman" w:hAnsi="Times New Roman" w:cs="Times New Roman"/>
          <w:b w:val="0"/>
          <w:color w:val="000000" w:themeColor="text1"/>
          <w:sz w:val="16"/>
          <w:szCs w:val="16"/>
          <w:lang w:val="ru-RU"/>
        </w:rPr>
        <w:t>торы</w:t>
      </w:r>
      <w:r w:rsidRPr="00A3026E">
        <w:rPr>
          <w:color w:val="000000" w:themeColor="text1"/>
          <w:lang w:val="ru-RU"/>
        </w:rPr>
        <w:t xml:space="preserve"> тракторного отдела «200» завода №183, </w:t>
      </w:r>
      <w:r w:rsidRPr="00A3026E">
        <w:rPr>
          <w:rStyle w:val="304"/>
          <w:rFonts w:ascii="Times New Roman" w:hAnsi="Times New Roman" w:cs="Times New Roman"/>
          <w:b w:val="0"/>
          <w:color w:val="000000" w:themeColor="text1"/>
          <w:sz w:val="16"/>
          <w:szCs w:val="16"/>
          <w:lang w:val="ru-RU"/>
        </w:rPr>
        <w:t>возглавляемые</w:t>
      </w:r>
      <w:r w:rsidRPr="00A3026E">
        <w:rPr>
          <w:color w:val="000000" w:themeColor="text1"/>
          <w:lang w:val="ru-RU"/>
        </w:rPr>
        <w:t xml:space="preserve"> Н.Г. Зубаревым.</w:t>
      </w:r>
    </w:p>
    <w:p w14:paraId="5A384FFC" w14:textId="77777777" w:rsidR="008253AC" w:rsidRPr="00A3026E" w:rsidRDefault="008253AC" w:rsidP="00A3026E">
      <w:pPr>
        <w:pStyle w:val="a3"/>
        <w:rPr>
          <w:color w:val="000000" w:themeColor="text1"/>
          <w:lang w:val="ru-RU"/>
        </w:rPr>
      </w:pPr>
      <w:r w:rsidRPr="00A3026E">
        <w:rPr>
          <w:color w:val="000000" w:themeColor="text1"/>
          <w:lang w:val="ru-RU"/>
        </w:rPr>
        <w:t>Первоначально он не имел броневой защиты и вооружения. В последующем тягач получил бронированную рубку в передней и средней части корпуса, в которой размещались отде</w:t>
      </w:r>
      <w:r w:rsidRPr="00A3026E">
        <w:rPr>
          <w:color w:val="000000" w:themeColor="text1"/>
          <w:lang w:val="ru-RU"/>
        </w:rPr>
        <w:softHyphen/>
        <w:t>ление управления и моторное отделение. Она сваривалась из броневых листов толщиной 15 и 50 мм. В кормовой части корпуса находилось трансмиссионное отделение, а перед ним - отделение тяговой лебедки.</w:t>
      </w:r>
    </w:p>
    <w:p w14:paraId="3D616F42" w14:textId="77777777" w:rsidR="008253AC" w:rsidRPr="00A3026E" w:rsidRDefault="008253AC" w:rsidP="00A3026E">
      <w:pPr>
        <w:pStyle w:val="a3"/>
        <w:rPr>
          <w:color w:val="000000" w:themeColor="text1"/>
          <w:lang w:val="ru-RU"/>
        </w:rPr>
      </w:pPr>
      <w:r w:rsidRPr="00A3026E">
        <w:rPr>
          <w:color w:val="000000" w:themeColor="text1"/>
          <w:lang w:val="ru-RU"/>
        </w:rPr>
        <w:t>АТ-42 был вооружен 7,62-мм пулеметом ДТ, устанавливавшимся в шаровой опоре справа в лобовом листе рубки.</w:t>
      </w:r>
    </w:p>
    <w:p w14:paraId="5DF6025A" w14:textId="77777777" w:rsidR="008253AC" w:rsidRPr="00A3026E" w:rsidRDefault="008253AC" w:rsidP="00A3026E">
      <w:pPr>
        <w:pStyle w:val="a3"/>
        <w:rPr>
          <w:color w:val="000000" w:themeColor="text1"/>
          <w:lang w:val="ru-RU"/>
        </w:rPr>
      </w:pPr>
      <w:r w:rsidRPr="00A3026E">
        <w:rPr>
          <w:color w:val="000000" w:themeColor="text1"/>
          <w:lang w:val="ru-RU"/>
        </w:rPr>
        <w:t>В моторном отделении вдоль продольной оси корпуса устанавливался дизель типа В-2 мощностью 500 л.с. В отличие от базовой ма</w:t>
      </w:r>
      <w:r w:rsidRPr="00A3026E">
        <w:rPr>
          <w:color w:val="000000" w:themeColor="text1"/>
          <w:lang w:val="ru-RU"/>
        </w:rPr>
        <w:softHyphen/>
        <w:t>шины, трансмиссия АТ-42 имела привод от</w:t>
      </w:r>
      <w:r w:rsidRPr="00A3026E">
        <w:rPr>
          <w:color w:val="000000" w:themeColor="text1"/>
          <w:lang w:val="ru-RU"/>
        </w:rPr>
        <w:softHyphen/>
        <w:t>бора мощности на тяговую лебедку. Ходовая часть машины осталась практически без изме</w:t>
      </w:r>
      <w:r w:rsidRPr="00A3026E">
        <w:rPr>
          <w:color w:val="000000" w:themeColor="text1"/>
          <w:lang w:val="ru-RU"/>
        </w:rPr>
        <w:softHyphen/>
        <w:t>нений. В кормовой части тягача располагалось буксирное приспособление. Тяговое усилие на крюке достигало 15 тс.</w:t>
      </w:r>
    </w:p>
    <w:p w14:paraId="41C52C8F" w14:textId="77777777" w:rsidR="008253AC" w:rsidRPr="00A3026E" w:rsidRDefault="008253AC" w:rsidP="00A3026E">
      <w:pPr>
        <w:pStyle w:val="a3"/>
        <w:rPr>
          <w:color w:val="000000" w:themeColor="text1"/>
          <w:lang w:val="ru-RU"/>
        </w:rPr>
      </w:pPr>
      <w:r w:rsidRPr="00A3026E">
        <w:rPr>
          <w:color w:val="000000" w:themeColor="text1"/>
          <w:lang w:val="ru-RU"/>
        </w:rPr>
        <w:t>Над крышей трансмиссионного отделе</w:t>
      </w:r>
      <w:r w:rsidRPr="00A3026E">
        <w:rPr>
          <w:color w:val="000000" w:themeColor="text1"/>
          <w:lang w:val="ru-RU"/>
        </w:rPr>
        <w:softHyphen/>
        <w:t>ния располагалась грузовая платформа гру</w:t>
      </w:r>
      <w:r w:rsidRPr="00A3026E">
        <w:rPr>
          <w:color w:val="000000" w:themeColor="text1"/>
          <w:lang w:val="ru-RU"/>
        </w:rPr>
        <w:softHyphen/>
        <w:t>зоподъемностью 3 т, на которой устанавлива</w:t>
      </w:r>
      <w:r w:rsidRPr="00A3026E">
        <w:rPr>
          <w:color w:val="000000" w:themeColor="text1"/>
          <w:lang w:val="ru-RU"/>
        </w:rPr>
        <w:softHyphen/>
        <w:t>лись сиденья для перевозки личного состава и брезентовый тент.</w:t>
      </w:r>
    </w:p>
    <w:p w14:paraId="444B3913" w14:textId="77777777" w:rsidR="008253AC" w:rsidRPr="00A3026E" w:rsidRDefault="008253AC" w:rsidP="00A3026E">
      <w:pPr>
        <w:pStyle w:val="a3"/>
        <w:rPr>
          <w:color w:val="000000" w:themeColor="text1"/>
          <w:lang w:val="ru-RU"/>
        </w:rPr>
      </w:pPr>
      <w:r w:rsidRPr="00A3026E">
        <w:rPr>
          <w:color w:val="000000" w:themeColor="text1"/>
          <w:lang w:val="ru-RU"/>
        </w:rPr>
        <w:t>Максимальная скорость АТ-42 - 33 км/ч (15748).</w:t>
      </w:r>
    </w:p>
    <w:p w14:paraId="14D9608D" w14:textId="77777777" w:rsidR="008253AC" w:rsidRPr="00A3026E" w:rsidRDefault="008253AC" w:rsidP="00A3026E">
      <w:pPr>
        <w:pStyle w:val="a3"/>
        <w:rPr>
          <w:color w:val="000000" w:themeColor="text1"/>
          <w:lang w:val="ru-RU"/>
        </w:rPr>
      </w:pPr>
    </w:p>
    <w:p w14:paraId="7259C21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на заводе № 183 во исполнение прика</w:t>
      </w:r>
      <w:r w:rsidRPr="00A3026E">
        <w:rPr>
          <w:rFonts w:ascii="Times New Roman" w:hAnsi="Times New Roman"/>
          <w:color w:val="000000" w:themeColor="text1"/>
          <w:sz w:val="16"/>
          <w:szCs w:val="16"/>
        </w:rPr>
        <w:softHyphen/>
        <w:t>за НКСМ № 268 от 25 ноября 1940 г. состоялось расширен</w:t>
      </w:r>
      <w:r w:rsidRPr="00A3026E">
        <w:rPr>
          <w:rFonts w:ascii="Times New Roman" w:hAnsi="Times New Roman"/>
          <w:color w:val="000000" w:themeColor="text1"/>
          <w:sz w:val="16"/>
          <w:szCs w:val="16"/>
        </w:rPr>
        <w:softHyphen/>
        <w:t>ное совещание по вопросам выполнения планов на 1941 г. и улучшения конструкции Т-34. На этом совещании глав</w:t>
      </w:r>
      <w:r w:rsidRPr="00A3026E">
        <w:rPr>
          <w:rFonts w:ascii="Times New Roman" w:hAnsi="Times New Roman"/>
          <w:color w:val="000000" w:themeColor="text1"/>
          <w:sz w:val="16"/>
          <w:szCs w:val="16"/>
        </w:rPr>
        <w:softHyphen/>
        <w:t>ный конструктор Т-34 А. Морозов доложил о трех вариан</w:t>
      </w:r>
      <w:r w:rsidRPr="00A3026E">
        <w:rPr>
          <w:rFonts w:ascii="Times New Roman" w:hAnsi="Times New Roman"/>
          <w:color w:val="000000" w:themeColor="text1"/>
          <w:sz w:val="16"/>
          <w:szCs w:val="16"/>
        </w:rPr>
        <w:softHyphen/>
        <w:t>тах изменения конструкции указанного танка с целью лик</w:t>
      </w:r>
      <w:r w:rsidRPr="00A3026E">
        <w:rPr>
          <w:rFonts w:ascii="Times New Roman" w:hAnsi="Times New Roman"/>
          <w:color w:val="000000" w:themeColor="text1"/>
          <w:sz w:val="16"/>
          <w:szCs w:val="16"/>
        </w:rPr>
        <w:softHyphen/>
        <w:t>видации главных недостатков танка - тесноту внутри бое</w:t>
      </w:r>
      <w:r w:rsidRPr="00A3026E">
        <w:rPr>
          <w:rFonts w:ascii="Times New Roman" w:hAnsi="Times New Roman"/>
          <w:color w:val="000000" w:themeColor="text1"/>
          <w:sz w:val="16"/>
          <w:szCs w:val="16"/>
        </w:rPr>
        <w:softHyphen/>
        <w:t>вого отделения и слепоту экипажа без усложнения техно</w:t>
      </w:r>
      <w:r w:rsidRPr="00A3026E">
        <w:rPr>
          <w:rFonts w:ascii="Times New Roman" w:hAnsi="Times New Roman"/>
          <w:color w:val="000000" w:themeColor="text1"/>
          <w:sz w:val="16"/>
          <w:szCs w:val="16"/>
        </w:rPr>
        <w:softHyphen/>
        <w:t>логического процесса сборки и остановки производства.</w:t>
      </w:r>
    </w:p>
    <w:p w14:paraId="7878918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первому варианту башня в целом оставалась прежней конфигурации и на прежнем погоне, но должна была получить выштампованные местные уширения в мес</w:t>
      </w:r>
      <w:r w:rsidRPr="00A3026E">
        <w:rPr>
          <w:rFonts w:ascii="Times New Roman" w:hAnsi="Times New Roman"/>
          <w:color w:val="000000" w:themeColor="text1"/>
          <w:sz w:val="16"/>
          <w:szCs w:val="16"/>
        </w:rPr>
        <w:softHyphen/>
        <w:t>тах расположения командира орудия и заряжающего, при</w:t>
      </w:r>
      <w:r w:rsidRPr="00A3026E">
        <w:rPr>
          <w:rFonts w:ascii="Times New Roman" w:hAnsi="Times New Roman"/>
          <w:color w:val="000000" w:themeColor="text1"/>
          <w:sz w:val="16"/>
          <w:szCs w:val="16"/>
        </w:rPr>
        <w:softHyphen/>
        <w:t>чем над головой командира орудия дополнительно уста</w:t>
      </w:r>
      <w:r w:rsidRPr="00A3026E">
        <w:rPr>
          <w:rFonts w:ascii="Times New Roman" w:hAnsi="Times New Roman"/>
          <w:color w:val="000000" w:themeColor="text1"/>
          <w:sz w:val="16"/>
          <w:szCs w:val="16"/>
        </w:rPr>
        <w:softHyphen/>
        <w:t>навливалась наблюдательная башенка.</w:t>
      </w:r>
    </w:p>
    <w:p w14:paraId="44749EE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вариант модернизации отличался от первого тем, что увеличение боевого отделения достигалось изменением угла наклона бортов башни. И третий — уширением погона до 1600 мм и изменением конструкции носовой части башни. Командирская башенка при этом размещалась в кормовой части башни слева, и под ней оборудовалось место команди</w:t>
      </w:r>
      <w:r w:rsidRPr="00A3026E">
        <w:rPr>
          <w:rFonts w:ascii="Times New Roman" w:hAnsi="Times New Roman"/>
          <w:color w:val="000000" w:themeColor="text1"/>
          <w:sz w:val="16"/>
          <w:szCs w:val="16"/>
        </w:rPr>
        <w:softHyphen/>
        <w:t>ра-наблюдателя. Третий вариант представлял собой переход на башню, напоминающую от А-41, но на погоне 1600 мм.</w:t>
      </w:r>
    </w:p>
    <w:p w14:paraId="49018F5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Обсуждение предложенных проектов показало, что пе</w:t>
      </w:r>
      <w:r w:rsidRPr="00A3026E">
        <w:rPr>
          <w:rFonts w:ascii="Times New Roman" w:hAnsi="Times New Roman"/>
          <w:color w:val="000000" w:themeColor="text1"/>
          <w:sz w:val="16"/>
          <w:szCs w:val="16"/>
        </w:rPr>
        <w:softHyphen/>
        <w:t>реход к выпуску танков по первым двум вариантам приво</w:t>
      </w:r>
      <w:r w:rsidRPr="00A3026E">
        <w:rPr>
          <w:rFonts w:ascii="Times New Roman" w:hAnsi="Times New Roman"/>
          <w:color w:val="000000" w:themeColor="text1"/>
          <w:sz w:val="16"/>
          <w:szCs w:val="16"/>
        </w:rPr>
        <w:softHyphen/>
        <w:t>дил к полной остановке производства Т-34 на 2-3 месяца, при этом сложность башни возрастала неимоверно. Третий вариант в целом удовлетворял требованиям по ликвидации тесноты боевого отделения и слепоты танка, но также тре</w:t>
      </w:r>
      <w:r w:rsidRPr="00A3026E">
        <w:rPr>
          <w:rFonts w:ascii="Times New Roman" w:hAnsi="Times New Roman"/>
          <w:color w:val="000000" w:themeColor="text1"/>
          <w:sz w:val="16"/>
          <w:szCs w:val="16"/>
        </w:rPr>
        <w:softHyphen/>
        <w:t>бовал изменения конструкции корпуса, остановки произ</w:t>
      </w:r>
      <w:r w:rsidRPr="00A3026E">
        <w:rPr>
          <w:rFonts w:ascii="Times New Roman" w:hAnsi="Times New Roman"/>
          <w:color w:val="000000" w:themeColor="text1"/>
          <w:sz w:val="16"/>
          <w:szCs w:val="16"/>
        </w:rPr>
        <w:softHyphen/>
        <w:t>водства на довольно большой срок, так как это приводило фактически к выпуску нового танка (10782).</w:t>
      </w:r>
    </w:p>
    <w:p w14:paraId="5BE4BA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70D935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военная приемка на заводе № 183 приняла 32 тридцатьчетверки. Кроме этого, еще 85 танков прошли заводской пробег, но не были приняты из-за увеличенного люфта башни, 12 принятых не имели гусениц и 39 не прошли приемку представителем артиллерийского управления Красной Армии. Таким образом, на заводе находилось еще 136 собранных машин:</w:t>
      </w:r>
    </w:p>
    <w:p w14:paraId="57D5A0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Т-34.</w:t>
      </w:r>
    </w:p>
    <w:p w14:paraId="398C40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Кроме показанных принятыми 115 машин, на 1 января 1941 года имеется:</w:t>
      </w:r>
    </w:p>
    <w:p w14:paraId="549CE1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85 машин собраны, испытаны, окрашены, укомплектованы возимым ЗИПом. но не приняты военной приемкой ГАБТУ КА по увеличенному люфту башни (5 мм вместо 3 мм), и часть машин имеет трещины брони на корпусе и башне, эти вопросы направлены для решения Глав- спецмаша НКСМ.</w:t>
      </w:r>
    </w:p>
    <w:p w14:paraId="218812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часть машин стоит без гусениц, так как траки от завода СТЗ получены в недостаточном количестве и с большим опозданием. И в настоящее время собираются в ленты и будут проходить обкатку.</w:t>
      </w:r>
    </w:p>
    <w:p w14:paraId="7C28C0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12 машин, принятых под окраску и окончательную укомплектовку, но не имеют гусениц.</w:t>
      </w:r>
    </w:p>
    <w:p w14:paraId="426D07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На 39 машинах установлены системы Л-11, но установка не сдана представителям АУ КА (испытания прошли все).</w:t>
      </w:r>
    </w:p>
    <w:p w14:paraId="6BB351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w:t>
      </w:r>
      <w:r w:rsidRPr="00A3026E">
        <w:rPr>
          <w:rFonts w:ascii="Times New Roman" w:hAnsi="Times New Roman"/>
          <w:color w:val="000000" w:themeColor="text1"/>
          <w:sz w:val="16"/>
          <w:szCs w:val="16"/>
        </w:rPr>
        <w:tab/>
        <w:t>Одна машина прошла сдаточное испытание и готовится под установку системы.</w:t>
      </w:r>
    </w:p>
    <w:p w14:paraId="5937C6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w:t>
      </w:r>
      <w:r w:rsidRPr="00A3026E">
        <w:rPr>
          <w:rFonts w:ascii="Times New Roman" w:hAnsi="Times New Roman"/>
          <w:color w:val="000000" w:themeColor="text1"/>
          <w:sz w:val="16"/>
          <w:szCs w:val="16"/>
        </w:rPr>
        <w:tab/>
        <w:t>Пять машин собраны и готовятся в сдаточный пробег.</w:t>
      </w:r>
    </w:p>
    <w:p w14:paraId="4BB93C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w:t>
      </w:r>
      <w:r w:rsidRPr="00A3026E">
        <w:rPr>
          <w:rFonts w:ascii="Times New Roman" w:hAnsi="Times New Roman"/>
          <w:color w:val="000000" w:themeColor="text1"/>
          <w:sz w:val="16"/>
          <w:szCs w:val="16"/>
        </w:rPr>
        <w:tab/>
        <w:t>14 машин находятся на конвейере в разной степени сборки.</w:t>
      </w:r>
    </w:p>
    <w:p w14:paraId="1C476A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заделе в разном состоянии 156 машин.</w:t>
      </w:r>
    </w:p>
    <w:p w14:paraId="7AD3B2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Декабре предъявлено на испытание большим пробегом 127 машин, из которых с одного пробега принято - 110, со второго пробега - 14 машин, с третьего пробега - 3 машины. Кроме этого, 31 машина из общего количества предъявленных проверялась контрольным пробегом.</w:t>
      </w:r>
    </w:p>
    <w:p w14:paraId="26639D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Основными дефектами, вызывающими повторные и контрольные пробеги являются следующие:</w:t>
      </w:r>
    </w:p>
    <w:p w14:paraId="56A026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Уменьшение зазора в включающем механизме бортовых фрикционов - 13 случаев. Для устранения изменена технология обкатки фрикциона на стенде и увеличен зазор, устанавливаемый на сборке.</w:t>
      </w:r>
    </w:p>
    <w:p w14:paraId="58FE6F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r w:rsidRPr="00A3026E">
        <w:rPr>
          <w:rFonts w:ascii="Times New Roman" w:hAnsi="Times New Roman"/>
          <w:color w:val="000000" w:themeColor="text1"/>
          <w:sz w:val="16"/>
          <w:szCs w:val="16"/>
        </w:rPr>
        <w:tab/>
        <w:t>Замена шестерен коробки перемены передач по сколам зубьев - 7 случаев. Испытывается в опытном цехе вариант с укороченными зубьями шестерен через зуб.</w:t>
      </w:r>
    </w:p>
    <w:p w14:paraId="34077A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w:t>
      </w:r>
      <w:r w:rsidRPr="00A3026E">
        <w:rPr>
          <w:rFonts w:ascii="Times New Roman" w:hAnsi="Times New Roman"/>
          <w:color w:val="000000" w:themeColor="text1"/>
          <w:sz w:val="16"/>
          <w:szCs w:val="16"/>
        </w:rPr>
        <w:tab/>
        <w:t>Поломка оси переднего балансира — 8 случаев. Изменена приварка оси к головке балансира, а на 1941 год приварка отменена и заменена стопором.</w:t>
      </w:r>
    </w:p>
    <w:p w14:paraId="1DFB2E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Поломка балансира переднего колеса - 2 случая. Введена шлифованная галтель при переходе от тела балансира в самородную его ось, и отменено смазочное отверстие в самом балансире, вместо которого использовано центровое отверстие.</w:t>
      </w:r>
    </w:p>
    <w:p w14:paraId="48206A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w:t>
      </w:r>
      <w:r w:rsidRPr="00A3026E">
        <w:rPr>
          <w:rFonts w:ascii="Times New Roman" w:hAnsi="Times New Roman"/>
          <w:color w:val="000000" w:themeColor="text1"/>
          <w:sz w:val="16"/>
          <w:szCs w:val="16"/>
        </w:rPr>
        <w:tab/>
        <w:t>Разрушение пружинного роликоподшипника бортовой передачи - 2 случая. Разработана новая конструкция крышки бортовой передачи, позволяющая проверить зазор в зубьях шестерен и монтаж самого подшипника, а до введения ее в серию усилен контроль на сборке.</w:t>
      </w:r>
    </w:p>
    <w:p w14:paraId="1EB4BC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w:t>
      </w:r>
      <w:r w:rsidRPr="00A3026E">
        <w:rPr>
          <w:rFonts w:ascii="Times New Roman" w:hAnsi="Times New Roman"/>
          <w:color w:val="000000" w:themeColor="text1"/>
          <w:sz w:val="16"/>
          <w:szCs w:val="16"/>
        </w:rPr>
        <w:tab/>
        <w:t>Отказ в работе регулятора максимальных оборотов мотора, в результате чего пошел разнос мотора, моторы заменены, завод № 75 занимается исследованием причин.</w:t>
      </w:r>
    </w:p>
    <w:p w14:paraId="16ACB5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Январь месс. 1941 года запланировано заводом собрать и сдать 125 машин по чертежам и ТУ 1940 года. Конвейер с 3 января работает нормально, подача корпусов идет также нормально, имеется разрыв по башням, который отдел 700 старается выправить.</w:t>
      </w:r>
    </w:p>
    <w:p w14:paraId="7ABADF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Из общего количества отправленных машин (108) одна машина, ранее отправленная Артиллерийскому полигону в Ленинград для обстрела брони и затем оттуда направленная в Мариуполь, на завод им Ильича, возвращена на завод № 183 и согласно письма ГАБТУ КА находится в распоряжении Опытного цеха завода.</w:t>
      </w:r>
    </w:p>
    <w:p w14:paraId="6E0B54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Сводку составил: военпред АБТУ КА капитан /Русаков/.</w:t>
      </w:r>
    </w:p>
    <w:p w14:paraId="43BC6D2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Сводку проверил: районный инженер АБТУ КА военинженер 2 ранга /Козырев/».</w:t>
      </w:r>
    </w:p>
    <w:p w14:paraId="2EB458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Всего же, по отчетам военпредов ГАБТУ КА, за 1940 год было принято 115 танков Т-34. из которых отгружено в войска 108. Из 115 машин радиостанции имелись только на 12 (7 в нише башни и 5 в передней части корпуса) (12217).</w:t>
      </w:r>
    </w:p>
    <w:p w14:paraId="57A846A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DAAB833"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декабре 1940 г. на военпредовские испытания большим пробегом заводом № 183 было предъявлено 127 танков Т-34, из них 112 машин выдержали испытание с первого раза, 14 машин ходили в большой пробег дважды и 1 машина – трижды. Кроме этого в декабре 1940 г. дополнительно испытывался контрольными пробегами 31 танк Т-34. Основными дефектами, из-за которых проводились контрольные и повторные большие пробеги, как следует из </w:t>
      </w:r>
      <w:hyperlink r:id="rId182" w:tgtFrame="_blank" w:history="1">
        <w:r w:rsidRPr="00A3026E">
          <w:rPr>
            <w:rStyle w:val="a5"/>
            <w:rFonts w:ascii="Times New Roman" w:hAnsi="Times New Roman"/>
            <w:color w:val="000000" w:themeColor="text1"/>
            <w:sz w:val="16"/>
            <w:szCs w:val="16"/>
          </w:rPr>
          <w:t>оперативной сводки № 6с</w:t>
        </w:r>
      </w:hyperlink>
      <w:r w:rsidRPr="00A3026E">
        <w:rPr>
          <w:rFonts w:ascii="Times New Roman" w:hAnsi="Times New Roman"/>
          <w:color w:val="000000" w:themeColor="text1"/>
          <w:sz w:val="16"/>
          <w:szCs w:val="16"/>
        </w:rPr>
        <w:t> по заводу № 183, были: </w:t>
      </w:r>
    </w:p>
    <w:p w14:paraId="49696653"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Уменьшение зазора в выключающем механизме бортовых фрикционов вследствие приработки дисков и уменьшения общей высоты набора – 13 случаев. Для устранения изменена технология обкатки фрикционов на стенде и увеличен зазор, устанавливаемый на сборке. </w:t>
      </w:r>
    </w:p>
    <w:p w14:paraId="6B876A46"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Замена шестерен коробки перемены передач – по сколам зубьев – 7 случаев. Испытывается в опытном цехе вариант с укороченными зубьями шестерен через один зуб. </w:t>
      </w:r>
    </w:p>
    <w:p w14:paraId="4504DD64"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Поломка оси переднего балансира – 8 случаев. Изменена приварка оси к головке балансира, а на 1941 г. приварка отменена и заменена стопором. </w:t>
      </w:r>
    </w:p>
    <w:p w14:paraId="66AE16C6"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Поломка балансира переднего колеса – 2 случая. Введена шлифованная галтель на переходе от тела балансира в самородную его ось и отменено смазочное отверстие в самом балансире, вместо которого использовано центровое отверстие. </w:t>
      </w:r>
    </w:p>
    <w:p w14:paraId="3FAC94C7"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Разрушение наружного роликоподшипника бортовой передачи – 2 случая. Разработана новая конструкция крышки бортовой передачи, позволяющая проверить зазор в зубьях шестерен, а до введения ее в серию усилен контроль на сборке. </w:t>
      </w:r>
    </w:p>
    <w:p w14:paraId="5AD470E1"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Отказ в работе регулятора максимальных оборотов мотора, в результате чего пошел разнос мотора, моторы заменены, завод № 75 занимается исследованием причин».</w:t>
      </w:r>
    </w:p>
    <w:p w14:paraId="22FB58BB"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32. Л. 202 об.]</w:t>
      </w:r>
    </w:p>
    <w:p w14:paraId="1F87D47A" w14:textId="77777777" w:rsidR="007320F3" w:rsidRPr="00A3026E" w:rsidRDefault="00A3026E" w:rsidP="00A3026E">
      <w:pPr>
        <w:spacing w:after="0" w:line="240" w:lineRule="auto"/>
        <w:jc w:val="both"/>
        <w:rPr>
          <w:rFonts w:ascii="Times New Roman" w:hAnsi="Times New Roman"/>
          <w:color w:val="000000" w:themeColor="text1"/>
          <w:sz w:val="16"/>
          <w:szCs w:val="16"/>
        </w:rPr>
      </w:pPr>
      <w:hyperlink r:id="rId183" w:tgtFrame="_blank" w:history="1"/>
      <w:r w:rsidR="007320F3" w:rsidRPr="00A3026E">
        <w:rPr>
          <w:rFonts w:ascii="Times New Roman" w:hAnsi="Times New Roman"/>
          <w:color w:val="000000" w:themeColor="text1"/>
          <w:sz w:val="16"/>
          <w:szCs w:val="16"/>
        </w:rPr>
        <w:t>Таким образом, в декабре 1940 г. количество больших пробегов, приходившихся на одну машину, составило 1,13 (в октябре данный показатель равнялся 2, в ноябре – 1,65), что свидетельствовало о повышении качества выпускаемых заводом № 183 танков Т-34 (18306).</w:t>
      </w:r>
    </w:p>
    <w:p w14:paraId="38EF1E4B" w14:textId="77777777" w:rsidR="007320F3" w:rsidRPr="00A3026E" w:rsidRDefault="007320F3" w:rsidP="00A3026E">
      <w:pPr>
        <w:spacing w:after="0" w:line="240" w:lineRule="auto"/>
        <w:jc w:val="both"/>
        <w:rPr>
          <w:rFonts w:ascii="Times New Roman" w:hAnsi="Times New Roman"/>
          <w:color w:val="000000" w:themeColor="text1"/>
          <w:sz w:val="16"/>
          <w:szCs w:val="16"/>
        </w:rPr>
      </w:pPr>
    </w:p>
    <w:p w14:paraId="4869F225"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в опытном цехе «540» завода № 183 было проведено испытание усиленных траков «СЭ». Собранные их этих траков гусеницы были установлены на танк Т-34 № 811-28 и за период с 10 по 22 декабря прошли 1258 км, из них 61 км по булыжному шоссе и 1197 км по замерзшим ухабистым дорогам. </w:t>
      </w:r>
    </w:p>
    <w:p w14:paraId="237B598C"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правая гусеница была собрана по технологии, применяемой в серийном производстве – траки соединялись между собой с помощью двух пальцев (деталь 34.44.003) длиной 262 мм каждый. В левой гусенице траки между собой соединялись с помощью одного длинного пальца с головкой, направленной в сторону корпуса танка, без шплинтовки на противоположном конце. </w:t>
      </w:r>
    </w:p>
    <w:p w14:paraId="4E271D1C"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следует из </w:t>
      </w:r>
      <w:hyperlink r:id="rId184" w:tgtFrame="_blank" w:history="1">
        <w:r w:rsidRPr="00A3026E">
          <w:rPr>
            <w:rStyle w:val="a5"/>
            <w:rFonts w:ascii="Times New Roman" w:hAnsi="Times New Roman"/>
            <w:color w:val="000000" w:themeColor="text1"/>
            <w:sz w:val="16"/>
            <w:szCs w:val="16"/>
          </w:rPr>
          <w:t>Заключения № 011</w:t>
        </w:r>
      </w:hyperlink>
      <w:r w:rsidRPr="00A3026E">
        <w:rPr>
          <w:rFonts w:ascii="Times New Roman" w:hAnsi="Times New Roman"/>
          <w:color w:val="000000" w:themeColor="text1"/>
          <w:sz w:val="16"/>
          <w:szCs w:val="16"/>
        </w:rPr>
        <w:t>, составленного специалистами бюро цеха «540», во время ходовых испытаний в гусеницах были обнаружены следующие дефекты: </w:t>
      </w:r>
    </w:p>
    <w:p w14:paraId="4D949F6D"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377 км. была обнаружена на гребневом траке дет. СЭ34.44.004 поперечная трещина по почвозацепу с одной стороны у подножья гребня (трак не заменялся). </w:t>
      </w:r>
    </w:p>
    <w:p w14:paraId="59B4F3C9"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На 377 км. было выброшено по 2 трака из каждой гусеничной ленты т.к. не было натяга (большая разработка проушин). </w:t>
      </w:r>
    </w:p>
    <w:p w14:paraId="0DF94209"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 558 км. обнаружена поперечная трещина у подножья гребня с обоих сторон трака (трак не заменялся). </w:t>
      </w:r>
    </w:p>
    <w:p w14:paraId="2E6708D8"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На 886 км. обнаружены поперечные трещины – изломы у подножья гребня на 4 шт. гребневых траков правой гусеницы и на 1-м траке левой гусеницы, а также на 1-м плоском траке правой гусеницы (поперечная трещина образовавшаяся вследствие трещин – изломов на 2-х смежных гребневых траков). </w:t>
      </w:r>
    </w:p>
    <w:p w14:paraId="41CB1B70"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На 1127 км. с начала испытаний при прямолинейном движении машины произошел разрыв плоского трака правой гусеницы по плице и по проушинам. </w:t>
      </w:r>
    </w:p>
    <w:p w14:paraId="27E870C7"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 1258 км. обнаружены поперечные трещины – изломы у подножья гребня на 2-х траках и на 1-м плоском траке».</w:t>
      </w:r>
    </w:p>
    <w:p w14:paraId="1B3B5B03"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Д.232. Л. 217 – 218]</w:t>
      </w:r>
    </w:p>
    <w:p w14:paraId="4F1F37F6"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завершения ходовых испытаний гусеницы с танка были сняты, разобраны и подвергнуты тщательному осмотру, в результате которого на 68 из 74 траках с гребнем были обнаружены поперечные трещины. Траков без гребня, имевших трещины, оказалось меньше – 26 из 74. Кроме этого был произведен замер диаметра отверстий проушин траков, который показал, что из-за абразивного износа металла среднее увеличение диаметра отверстий составило около 2,5 мм. Вследствие этого в период проведения ходовых испытаний гусеницы пришлось подтягивать 9 раз. Возникновение поперечных трещин и изломов на траках с гребнем было объяснено тем, что вследствие увеличения диаметра отверстий в проушинах траков, шаг гусеницы увеличивался и переставал соответствовать шагу ведущего колеса, и по мере роста пройденного километража это несоответствие только возрастало. Поэтому гребни траков с большой силой ударяли о ролики ведущих колес, в результате чего и образовывались поперечные трещины и изломы у оснований гребней траков, а также разрушались ролики ведущих колес. </w:t>
      </w:r>
    </w:p>
    <w:p w14:paraId="7BB2C935"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результатам проведенных испытаний были сделаны следующие выводы: </w:t>
      </w:r>
    </w:p>
    <w:p w14:paraId="14DDE53A"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Проведенное усиление за счет утолщения плицы и введения ребер жесткости как гребневых траков, дет. СЭ 34.44.004, так и плоских, дет. СЭ 34.44.005, не увеличило срок службы, а наоборот уменьшило его (на траках появляются трещины после 377 – 500 км эксплоатации). </w:t>
      </w:r>
    </w:p>
    <w:p w14:paraId="1FAF95FF"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сравнении с траками 1-го варианта (см. заключение «540» за № 141 от 5/XI-40 г.) имеют следующие недостатки: </w:t>
      </w:r>
    </w:p>
    <w:p w14:paraId="2E1A2CC2"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Выпуклая конфигурация почвозацепа и ребра жесткости по середине трака приводят к следующему: </w:t>
      </w:r>
    </w:p>
    <w:p w14:paraId="3D33CF24"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При движении по ровной обледенелой дороге машина плохо управляема – скользит. </w:t>
      </w:r>
    </w:p>
    <w:p w14:paraId="079E688E"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Движение по косогору невозможно, т.к. машина сползает «юзом». </w:t>
      </w:r>
    </w:p>
    <w:p w14:paraId="631DC635"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 движении по грязной дороге и снегу траки больше забиваются, уменьшая этим сцепление с почвой и увеличивая работу по перематыванию гусеничных лент, что снижает скорость машины. </w:t>
      </w:r>
    </w:p>
    <w:p w14:paraId="0849C90E"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Ребра жесткости, расположенные по краям плицы трака, при провисании верхней ветви гусеницы (на ухабах и т.д.), цепляют за подкосы площадок амортизаторов, балансиров и за приварку кронштейнов ленивцев. Кроме того, наличие этих ребер уменьшает зазор между картером бортовой передачи и гусеничной лентой, а следовательно затрудняет выход грязи из полости ведущего колеса, что в свою очередь снижает скорость машины. </w:t>
      </w:r>
    </w:p>
    <w:p w14:paraId="11B2E3D9"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Наличие большой консольности траков и соединение их двумя пальцами отрицательно действует на прочность и работу траков, что говорит о необходимости постановки одного длинного пальца. </w:t>
      </w:r>
    </w:p>
    <w:p w14:paraId="16DBB36F"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Большая разработка отверстий проушин литых траков является технологическим недостатком. </w:t>
      </w:r>
    </w:p>
    <w:p w14:paraId="057F5443"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Трещины плоских траков по середине (между проушинами) являются следствием трещин-изломов гребневых траков, смежных с плоскими. </w:t>
      </w:r>
    </w:p>
    <w:p w14:paraId="00D044E4"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Несмотря на то, что траки гусеничных лент марки «СЭ» специальным испытаниям на булыжном шоссе не подвергались, они значительно раньше приходят в непригодность к эксплоатации, чем траки гусеничных лент 1 варианта. </w:t>
      </w:r>
    </w:p>
    <w:p w14:paraId="50EF9B4B"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&lt;…&gt;</w:t>
      </w:r>
    </w:p>
    <w:p w14:paraId="13257C7E"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Траки гусеничных лент марки «СЭ» по весу значительно тяжелее траков 1-го варианта: </w:t>
      </w:r>
    </w:p>
    <w:p w14:paraId="2025B076"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Вес гребневого трака марки «СЭ» – 13,410 кг. </w:t>
      </w:r>
    </w:p>
    <w:p w14:paraId="60EF6BAB"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Вес плоского трака марки «СЭ» – 10,800 кг. </w:t>
      </w:r>
    </w:p>
    <w:p w14:paraId="5C025FED"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Вес гребневого трака 1 варианта – 12,150 кг. </w:t>
      </w:r>
    </w:p>
    <w:p w14:paraId="6226FB03"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Вес плоского трака 1 варианта – 9,720 кг. </w:t>
      </w:r>
    </w:p>
    <w:p w14:paraId="0C787BDB"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Разница веса гребневого трака – 1,260 кг. </w:t>
      </w:r>
    </w:p>
    <w:p w14:paraId="05344B44"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Разница веса плоского трака – 1,080 кг. </w:t>
      </w:r>
    </w:p>
    <w:p w14:paraId="423826DA"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7F37470B"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результатов и выводов по испытанию литых траков гусеничных лент марки «СЭ» из ст. Гадфильда (конструкция и производство СТЗ) бюро 540 считает: </w:t>
      </w:r>
    </w:p>
    <w:p w14:paraId="06AD66A3"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Гусеничная лента не обеспечивает гарантийного километража и значительно снижает тактические качества машины. </w:t>
      </w:r>
    </w:p>
    <w:p w14:paraId="45473596"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Траки марки «СЭ» в условиях эксплоатации показали себя менее прочными по сравнению со всеми ранее испытанными вариантами гусениц. </w:t>
      </w:r>
    </w:p>
    <w:p w14:paraId="57DF8213"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Данные по испытаниям усиленных траков, а также ранее проведенных испытаний нескольких вариантов траков гусеничных лент показали, что упрочнение траков за счет утолщений и введений дополнительных ребер жесткости приводит только к увеличению общего веса машины, увеличением работы на перематывание гусеницы и уменьшением скорости машины в любых дорожных условиях. </w:t>
      </w:r>
    </w:p>
    <w:p w14:paraId="348DF0CA"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целях повышения качества траков гусеничных лент считаем необходимым усилить контроль и обратить особое внимание на соблюдение технологии, химсостава и термообработки траков из ст. Гадфильда с тем, чтобы обеспечить все требования, предъявляемые к литым тракам гусеничных лент в эксплоатации» (18533).</w:t>
      </w:r>
    </w:p>
    <w:p w14:paraId="445B3FB6" w14:textId="77777777" w:rsidR="007320F3" w:rsidRPr="00A3026E" w:rsidRDefault="007320F3" w:rsidP="00A3026E">
      <w:pPr>
        <w:spacing w:after="0" w:line="240" w:lineRule="auto"/>
        <w:jc w:val="both"/>
        <w:rPr>
          <w:rFonts w:ascii="Times New Roman" w:hAnsi="Times New Roman"/>
          <w:color w:val="000000" w:themeColor="text1"/>
          <w:sz w:val="16"/>
          <w:szCs w:val="16"/>
        </w:rPr>
      </w:pPr>
    </w:p>
    <w:p w14:paraId="7BA80A25"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как видно из </w:t>
      </w:r>
      <w:hyperlink r:id="rId185" w:tgtFrame="_blank" w:history="1">
        <w:r w:rsidRPr="00A3026E">
          <w:rPr>
            <w:rStyle w:val="a5"/>
            <w:rFonts w:ascii="Times New Roman" w:hAnsi="Times New Roman"/>
            <w:color w:val="000000" w:themeColor="text1"/>
            <w:sz w:val="16"/>
            <w:szCs w:val="16"/>
          </w:rPr>
          <w:t>сводки «о ходе выполнения опытных работ по заводу 183 по состоянию на 29.XII-40 г.»</w:t>
        </w:r>
      </w:hyperlink>
      <w:r w:rsidRPr="00A3026E">
        <w:rPr>
          <w:rFonts w:ascii="Times New Roman" w:hAnsi="Times New Roman"/>
          <w:color w:val="000000" w:themeColor="text1"/>
          <w:sz w:val="16"/>
          <w:szCs w:val="16"/>
        </w:rPr>
        <w:t xml:space="preserve">, составленной подполковником И.Г. Пановым, кроме разработки чертежей и эскизных проектов башни и корпуса танка коллективом КБ-520, в рамках модернизации танка Т-34 были проведены многочисленные опытно-конструкторские работы. Для выполнения новых тактико-технических требований, изложенных в Постановлении Комитета обороны № 428сс, таких как улучшение условий работы экипажа, уменьшение массы танка, увеличение возимого боекомплекта и запаса топлива, увеличение срока службы агрегатов и танка в целом, требовалось коренным образом переработать всю конструкцию танка Т-34. Так, в частности, при существующей пружинной подвеске конструкторам не удалось увеличить боекомплект к 76,2-мм пушке до 100 артиллерийских выстрелов, как это было определено постановлением Комитета обороны. Различные варианты </w:t>
      </w:r>
      <w:r w:rsidRPr="00A3026E">
        <w:rPr>
          <w:rFonts w:ascii="Times New Roman" w:hAnsi="Times New Roman"/>
          <w:color w:val="000000" w:themeColor="text1"/>
          <w:sz w:val="16"/>
          <w:szCs w:val="16"/>
        </w:rPr>
        <w:lastRenderedPageBreak/>
        <w:t>переработки конструкции пружинной подвески (укороченные одинарные и двойные пружины, горизонтальные пружины) не дали положительных результатов в вопросе увеличения боекомплекта к пушке, так как существенно увеличить объем боевого отделения за счет изменения конструкции пружинной подвески не удалось. Для кардинального увеличения объема боевого отделения в существующих габаритах танка конструкторами КБ-520 был разработан проект индивидуальной подвески с торсионными валами диаметром 60 мм и длиной 1893 мм. Применение торсионной подвески позволяло увеличить возимый боекомплект к 76,2-мм пушке до 98 артиллерийских выстрелов (60 штук в ящиках на полу боевого отделения, 20 штук на бортах и 18 штук в скосе борта с правой стороны корпуса). Кроме этого торсионная подвеска давала еще одно важное преимущество – появилась возможность увеличения объема внутренних топливных баков до 560 – 590 литров и их переноса из боевого отделения в трансмиссионное. При этом масса танка согласно расчетов снижалась на 450 кг. </w:t>
      </w:r>
    </w:p>
    <w:p w14:paraId="789A3642"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Также в декабре 1940 г. в КБ-520 завода № 183 были проведены опытно-конструкторские работы по повышению надежности и увеличению срока службы агрегатов трансмиссии и вентилятора системы охлаждения, были разработаны гусеницы с цевочным зацеплением, конструктивно переработана серийная боеукладка на 77 артиллерийских выстрелов, а также проработан целый ряд других изменений, повышавших боевые и эксплуатационные качества танка Т-34.</w:t>
      </w:r>
    </w:p>
    <w:p w14:paraId="4F2075E4"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Естественно, что для внедрения в серийное производство такого количества изменений требовалось немало времени, которого у руководства завода № 183 уже не было. Напомним, что согласно приказу НКСМ № 268сс, изданному во исполнение Постановления Комитета обороны № 428сс, модернизированные «тридцатьчетверки» должны были начать сходить с конвейера с 1 февраля 1941 г., но по объективным причинам выполнить этого завод № 183 был не в состоянии (18306).</w:t>
      </w:r>
    </w:p>
    <w:p w14:paraId="2B5785AB" w14:textId="77777777" w:rsidR="007320F3" w:rsidRPr="00A3026E" w:rsidRDefault="007320F3" w:rsidP="00A3026E">
      <w:pPr>
        <w:spacing w:after="0" w:line="240" w:lineRule="auto"/>
        <w:jc w:val="both"/>
        <w:rPr>
          <w:rFonts w:ascii="Times New Roman" w:hAnsi="Times New Roman"/>
          <w:color w:val="000000" w:themeColor="text1"/>
          <w:sz w:val="16"/>
          <w:szCs w:val="16"/>
        </w:rPr>
      </w:pPr>
    </w:p>
    <w:p w14:paraId="57AFC2CB"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коллектив конструкторского бюро КБ-520 в основном занимался вопросами модернизации танка Т-34. В первую очередь это касалось повышения надёжности работы главного фрикциона, вентилятора системы охлаждения и гусениц, разработки новых смотровых приборов механика-водителя, а также обеспечения требуемой скорострельности пушки (не менее 6 выстрелов в минуту) за счет улучшения конструкции боеукладки. При этом большинство вновь сконструированных опытных деталей и механизмов сразу же изготавливались в металле и испытывались в отделе «500». О результатах испытаний, проведенных в декабре 1940 г. районный инженер ГАБТУ КА военинженером 2 ранга Д.М. Козырев доложил своему руководству в Москву 3 января 1941 г., в </w:t>
      </w:r>
      <w:hyperlink r:id="rId186" w:tgtFrame="_blank" w:history="1">
        <w:r w:rsidRPr="00A3026E">
          <w:rPr>
            <w:rStyle w:val="a5"/>
            <w:rFonts w:ascii="Times New Roman" w:hAnsi="Times New Roman"/>
            <w:color w:val="000000" w:themeColor="text1"/>
            <w:sz w:val="16"/>
            <w:szCs w:val="16"/>
          </w:rPr>
          <w:t>сводке № 1с</w:t>
        </w:r>
      </w:hyperlink>
      <w:r w:rsidRPr="00A3026E">
        <w:rPr>
          <w:rFonts w:ascii="Times New Roman" w:hAnsi="Times New Roman"/>
          <w:color w:val="000000" w:themeColor="text1"/>
          <w:sz w:val="16"/>
          <w:szCs w:val="16"/>
        </w:rPr>
        <w:t> он сообщил следующее: </w:t>
      </w:r>
    </w:p>
    <w:p w14:paraId="0CD0BF24"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Сборка и испытание 2-х машин А-34 № 611-28 [следует читать 811-28] и 312-25 с опытными механизмами и деталями из заменителей. На этих машинах установлены следующие опытные механизмы и детали: </w:t>
      </w:r>
    </w:p>
    <w:p w14:paraId="3F416FF1"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Главный фрикцион с 11-ю стальными утолщенными дисками и 20-ю пружинами. При спец. испытаниях диски показали отрицательные результаты. При трогании с места на 3-й передаче фрикцион буксует. После пробуксовки на подъемах (8 раз от 0,5 до 1 мин. каждый) диски сильно покоробились и спеклись. Диски с испытания сняты. </w:t>
      </w:r>
    </w:p>
    <w:p w14:paraId="4C703C4E"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Главный фрикцион с серийными стальными дисками. Данные диски в отличие от серийных, как ведущие, так и ведомые, имеют по 4 радиальных выреза. До спец. испытаний этих дисков один комплект проработал на машине 1200 клм. После спец. испытаний фрикцион остался в рабочем состоянии. Испытание дисков с вырезами будет продолжено. </w:t>
      </w:r>
    </w:p>
    <w:p w14:paraId="08C64851"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Вентилятор с фрикционом. После 500 клм. фрикцион вентилятора вышел из строя, т.к. сильно сработались посадочные места диска вентилятора на маховике. КБ разработал и спустил в производство новый тип фрикциона вентилятора, который по изготовлении будет установлен на машину. </w:t>
      </w:r>
    </w:p>
    <w:p w14:paraId="39D105F2"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Установлено два усиленных вентилятора: 1) с подлопатниками у ободка и 2) с усиленным ободком без накладного кольца. Оба вентилятора прошли по 1100 клм. и находятся в удовлетворительном состоянии. </w:t>
      </w:r>
    </w:p>
    <w:p w14:paraId="22DDE96F"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Шестерни коробки перемены передач с укороченными зубьями через один, с целью достижения плавного переключения и предотвращения сколов. При осмотри шестерни после 300 клм. обнаружено, что оставшиеся длинными зубья имеют большие сколы по торцам и почти сравнялись с укороченными. Таким образом, имевшая место плавность переключения в начале работы коробки передач нарушилась, и переключение стало хуже, чем на серийной. КБ разработана и спущена в производство коробка перемены передач с шестернями постоянного зацепления, в тех же габаритах, но с несколько уменьшенными скоростями на 3-й и 4-й передачах, также другие варианты коробки. </w:t>
      </w:r>
    </w:p>
    <w:p w14:paraId="36511CF8"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 Опытные ящики для укладки снарядов, взамен чемоданов. Спец. испытание этой укладки будет проведено в начале Января мес., после чего будет дано заключение о ее пригодности. </w:t>
      </w:r>
    </w:p>
    <w:p w14:paraId="60D1212C"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ж) Установка двигателя без призонных болтов. Двигатели прошли один 1000 клм., второй 1400 клм. и нарушения установки не имеют. Испытание будет продолжаться. </w:t>
      </w:r>
    </w:p>
    <w:p w14:paraId="51F26EF9"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Смотровые приборы у водителя. Разработан и изготовлен люк водителя со смотровыми приборами. Люк имеет два триплекса, которые с наружи защищаются открывающимися лючками. В случае выхода из строя триплексов или заклинки лючков, на их место можно поставить кассеты с зеркалами – призмами. Таким образом, водитель имеет 4 прибора наблюдения. </w:t>
      </w:r>
    </w:p>
    <w:p w14:paraId="5C982610"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Испытание на стойкость люка и приборов от попадания пуль и снарядов будет проведено в Январе месяце </w:t>
      </w:r>
    </w:p>
    <w:p w14:paraId="53F92B52"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Изготовлен и заканчивается установкой на машине прибор огнеметания. В первых числах Января будут начаты заводские испытания. </w:t>
      </w:r>
    </w:p>
    <w:p w14:paraId="18FFDE21"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Разработан и спущен в производство прибор по отеплению машины А-7М, по графику завод предполагает установить его на машине 15 Января 1941 г.</w:t>
      </w:r>
    </w:p>
    <w:p w14:paraId="2AF95CB3"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КБ в Декабре мес. занималось в основном разработкой вопросов, связанных с модернизацией маш. А-34 согласно постановления Правительства. </w:t>
      </w:r>
    </w:p>
    <w:p w14:paraId="3B660828"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Испытание усиленной гусеницы. КБ завода 183 были разработаны, а СТЗ изготовлены усиленные ребрами жесткости и утолщением плиц траки гусениц. После 1000 клм. пробега усиленные траки, также как и серийные не усиленные, начали рваться: у основания гребня, поперек плица и по проушинам. С целью создания работоспособной гусеницы Заводоуправление объявило конкурс на лучшую разработку литых гусениц».</w:t>
      </w:r>
    </w:p>
    <w:p w14:paraId="5453CB29"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Д.41. Л. 12 – 13] (18306).</w:t>
      </w:r>
    </w:p>
    <w:p w14:paraId="2DA5BB90" w14:textId="77777777" w:rsidR="007320F3" w:rsidRPr="00A3026E" w:rsidRDefault="007320F3" w:rsidP="00A3026E">
      <w:pPr>
        <w:spacing w:after="0" w:line="240" w:lineRule="auto"/>
        <w:jc w:val="both"/>
        <w:rPr>
          <w:rFonts w:ascii="Times New Roman" w:hAnsi="Times New Roman"/>
          <w:color w:val="000000" w:themeColor="text1"/>
          <w:sz w:val="16"/>
          <w:szCs w:val="16"/>
        </w:rPr>
      </w:pPr>
    </w:p>
    <w:p w14:paraId="4A194AB8"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по сравнению с ноябрем, увеличилось не только качество выпускаемых танков Т-34, но и количество этих боевых машин, отправленных в Красную Армию. Всего за месяц с завода № 183 было отгружено 63 «тридцатьчетверки», из них 61 линейная машина и 2 машины оснащенных радиостанциями. В декабре 1940 г. танки Т-34 отгружались в следующие адреса: </w:t>
      </w:r>
    </w:p>
    <w:p w14:paraId="475452A7"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 декабря 1940 г. 2 линейных танка Т-34 Харьковскому бронетанковому училищу им. Сталина (заводские номера: 547-70 и 423-66); </w:t>
      </w:r>
    </w:p>
    <w:p w14:paraId="08F3BA65"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 декабря 1940 г. 30 линейных танков Т-34 на станцию Стрый в распоряжение начальника АБТВ КОВО (заводские номера: 682-34, 423-57, 0550-3, 0550-8, 563-26, 563-64, 563-25, 323-73, 0550-5, 0405-1, 0405-2, 563-51, 563-16, 312-05, 312-75, 0405-8, 312-85, 0405-7, 312-65, 323-72, 0405-0, 312-35, 682-04, 0550-9, 682-35, 682-02, 682-36, 682-73, 312-45 и 682-72); </w:t>
      </w:r>
    </w:p>
    <w:p w14:paraId="0942737C"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 декабря 1940 г. 2 линейных танка Т-34 на станцию Казань начальнику Курсов усовершенствования командного состава (заводские номера: 558-99 и 558-73); </w:t>
      </w:r>
    </w:p>
    <w:p w14:paraId="555517C4"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12 декабря 1940 г. 1 радио и 1 линейный танк Т-34 Харьковскому бронетанковому училищу им. Сталина (заводские номера: 0618-4 и 0618-2); </w:t>
      </w:r>
    </w:p>
    <w:p w14:paraId="3C7D8B20"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16 декабря 1940 г. 20 линейных танков Т-34 на станцию Львов в распоряжение начальника АБТВ КОВО (заводские номера: 0550-4, 0550-7, 323-43, 682-74, 682-05, 811-74, 811-44, 0836-1, 312-95, 682-75, 811-64, 0836-5, 323-53, 811-38, 811-68, 682-06, 0405-3, 682-71, 0836-7 и 811-48); </w:t>
      </w:r>
    </w:p>
    <w:p w14:paraId="374F2B0F"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17 декабря 1940 г. 2 линейных танка Т-34 на станцию Кунцево начальнику ВАММ (заводские номера: 558-00 и 608-09); </w:t>
      </w:r>
    </w:p>
    <w:p w14:paraId="7333AF85"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18 декабря 1940 г. 2 линейных танка Т-34 Киевскому танково-техническому училищу (заводские номера: 608-28 и 608-74); </w:t>
      </w:r>
    </w:p>
    <w:p w14:paraId="20E16FB0"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26 декабря 1940 г. 2 линейных танка Т-34 на станцию Кубинка начальнику НИ полигона ГАБТУ КА (заводские номера: 714-16 и 714-91); </w:t>
      </w:r>
    </w:p>
    <w:p w14:paraId="03867BD9"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27 декабря 1940 г. 1 танк Т-34, оснащенный радиостанцией на станцию Казань начальнику Курсов усовершенствования командного состава (заводской номер 0618-3).</w:t>
      </w:r>
    </w:p>
    <w:p w14:paraId="5949DD31"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Подводя итоги работы завода № 183 в 1940 г. по танкостроению, прежде всего, необходимо отметить, что за год заводу удалось освоить серийный выпуск сразу двух новых танков – в первом полугодии – легкого колесно-гусеничного танка БТ-7М, и во втором полугодии – среднего танка Т-34. При этом для каждой из двух новых машин заводу пришлось разрабатывать полностью новые технологические процессы и заниматься оснащением их всеми необходимыми приспособлениями, штампами и инструментом. А для освоения серийного производства танка Т-34 во второй половине 1940 г. потребовалось развернуть масштабную реконструкцию цехов танкового отдела «100» и корпусного отдела «700». </w:t>
      </w:r>
    </w:p>
    <w:p w14:paraId="01B784D6"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заключенным 3 июля 1940 г. дополнительным соглашением № 4-529 к договору № 4-074 между заводом № 183 и ГАБТУ КА, в 1940 г. завод должен был изготовить и сдать заказчику 500 танков Т-34. Всего за год заводом № 183 было сдано военной приемке ГАБТУ КА только 115 танков Т-34, что составило 23 % от годового плана. </w:t>
      </w:r>
    </w:p>
    <w:p w14:paraId="786FA5A9"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2. Д. 1068. Л. 13]</w:t>
      </w:r>
    </w:p>
    <w:p w14:paraId="6E332CC5"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115 танков Т-34 в 1940 г. заводом № 183 было изготовлено и сдано по договорам и дополнительным соглашениям с ГАБТУ КА: </w:t>
      </w:r>
    </w:p>
    <w:p w14:paraId="3C497362"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танков БТ-7М – 706 шт., из них 174 шт. оборудованных радиостанциями и 18 шт. оборудованных зенитной пулеметной установкой П-40; </w:t>
      </w:r>
    </w:p>
    <w:p w14:paraId="68DC4D24"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танков БТ-7 – 1 шт. (машина изготовлена сверх договора); </w:t>
      </w:r>
    </w:p>
    <w:p w14:paraId="66885669"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запасных частей для танков БТ-5, БТ-7 и БТ-7М на сумму 23598694 рубля; </w:t>
      </w:r>
    </w:p>
    <w:p w14:paraId="1767EF69"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запасных частей для танков Т-35 на сумму 264448 рублей; </w:t>
      </w:r>
    </w:p>
    <w:p w14:paraId="09584CE4"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главных фрикционов, установленных на двигатели М-17Т для танков БТ-7 – 170 шт.; </w:t>
      </w:r>
    </w:p>
    <w:p w14:paraId="1B8A6DB8"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главных фрикционов, установленных на двигатели В-2 для танков БТ-7М – 10 шт.; </w:t>
      </w:r>
    </w:p>
    <w:p w14:paraId="289FE9BC"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главных фрикционов для танков БТ-7 – 62 шт. </w:t>
      </w:r>
    </w:p>
    <w:p w14:paraId="19D6AC7D"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главных фрикционов для танков БТ-5 – 276 шт.; </w:t>
      </w:r>
    </w:p>
    <w:p w14:paraId="5BA3ED0F"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3-х ступенчатых коробок передач для танков БТ-7 и БТ-7М – 193 шт.; </w:t>
      </w:r>
    </w:p>
    <w:p w14:paraId="3ACA3463"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учебный разрезной танк БТ-7М – 1 шт.; </w:t>
      </w:r>
    </w:p>
    <w:p w14:paraId="7A488EEE"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учебные агрегаты танка БТ-7М на сумму 87433 рубля; </w:t>
      </w:r>
    </w:p>
    <w:p w14:paraId="4CA03FEA"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учебные агрегаты танка Т-34 на сумму 304873 рубля; </w:t>
      </w:r>
    </w:p>
    <w:p w14:paraId="3AC0CCCC"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произведен ремонт танка Т-35 – 1 шт. </w:t>
      </w:r>
    </w:p>
    <w:p w14:paraId="117D9151"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Также по договорам с ГУВС НКВД и НК ВМФ заводом № 183 в 1940 г. было изготовлено и сдано 72 танка БТ-7М с двигателями М-17Т. </w:t>
      </w:r>
    </w:p>
    <w:p w14:paraId="193C96C9" w14:textId="77777777" w:rsidR="007320F3" w:rsidRPr="00A3026E" w:rsidRDefault="007320F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(18306).</w:t>
      </w:r>
    </w:p>
    <w:p w14:paraId="44716600" w14:textId="77777777" w:rsidR="007320F3" w:rsidRPr="00A3026E" w:rsidRDefault="007320F3" w:rsidP="00A3026E">
      <w:pPr>
        <w:spacing w:after="0" w:line="240" w:lineRule="auto"/>
        <w:jc w:val="both"/>
        <w:rPr>
          <w:rFonts w:ascii="Times New Roman" w:hAnsi="Times New Roman"/>
          <w:color w:val="000000" w:themeColor="text1"/>
          <w:sz w:val="16"/>
          <w:szCs w:val="16"/>
        </w:rPr>
      </w:pPr>
    </w:p>
    <w:p w14:paraId="4D62E4B1"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для проведения испытаний воздухоочистителей для В-2 на Т-34 была создана комиссия под председательством старшего инженера Государственного союзного научно-исследовательского и экспериментального автотракторного института (далее – НАТИ) М.М. Затравкина. В состав комиссии вошли: от БТУ ГАБТУ КА – военинженер 3 ранга А.А. Лаврушенко, курировавший производство дизеля В-2; от завода № 75 – главный конструктор завода и директор НИИ 1600 Т.П. Чупахин; от завода № 183 – исполняющий обязанности главного конструктора завода А.А. Морозов; от завода № 174 – старший инженер-исследователь Г.И. Нестеров и от ленинградского Кировского завода – старший инженер СКБ-2 Е.П. Дедов (19114).</w:t>
      </w:r>
    </w:p>
    <w:p w14:paraId="65EC3A35"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сравнительные стендовые испытания было предъявлено пять вариантов воздухоочистителей – серийный воздухоочиститель танка Т-34, опытный воздухоочиститель конструкции завода № 183, воздухоочистители конструкции заводов № 174 и № 75 – ВО-20 и ВФ-5, а также воздухоочиститель немецкого танка Т-III, находившегося в это время в Харькове на заводе № 183. В связи с тем, что завод № 174 не представил в срок свой образец воздухоочистителя, воздухоочиститель ВО-20 был изготовлен на заводе № 183 с незначительными отступлениями от чертежей завода № 174. Все предъявленные на испытания воздухоочистители по способу отделения пыли относились к типу комбинированных воздухоочистителей, работа которых основывалась на сочетании инерционного и контактного (фильтрующего) принципов очистки воздуха.</w:t>
      </w:r>
    </w:p>
    <w:p w14:paraId="3281F047"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Главное внимание во время испытаний уделялось трем основным показателям работы воздухоочистителя: коэффициенту очистки воздуха, аэродинамическому сопротивлению воздухоочистителя, а также расходу масла, уносимого из масляной ванны потоком воздуха во время работы двигателя. Испытания проводились в лаборатории НИИ 1600 на специальной безмоторной установке по следующей методике:</w:t>
      </w:r>
    </w:p>
    <w:p w14:paraId="3DEB9249"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«Каждый воздухоочиститель подвергался испытанию в продолжении 24 час. (по 12 час. этап) на переменном режиме по следующему графику, повторяющемуся через каждые полтора часа:</w:t>
      </w:r>
    </w:p>
    <w:p w14:paraId="1157C0BB"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Испытания воздухоочистителей производились при двух степенях запыленности воздуха:</w:t>
      </w:r>
    </w:p>
    <w:p w14:paraId="6E8980F9"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1 грамм пыли на 1 м³ воздуха</w:t>
      </w:r>
    </w:p>
    <w:p w14:paraId="2C25D5C2"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0,5 грамма пыли на 1 м³ воздуха.</w:t>
      </w:r>
    </w:p>
    <w:p w14:paraId="42862C59"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определения количества масла, уносимого из воздухоочистителя, последний продувался без наличия пыли в течение 2-х часов, при расходе воздуха равном 0,56 м³/сек., что соответствует максимальным оборотам двигателя.</w:t>
      </w:r>
    </w:p>
    <w:p w14:paraId="30602701"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каждую полуторачасовую продувку к воздухоочистителю подводилось: при пылесодержании 1 гр/м³ – 2322 граммов пыли, при пылесодержании 0,5 гр/м³ – 1161 грамм пыли. Подача пыли производилась через каждые 10 минут.</w:t>
      </w:r>
    </w:p>
    <w:p w14:paraId="73C50E94"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&lt;…&gt;</w:t>
      </w:r>
    </w:p>
    <w:p w14:paraId="69CD2CF6"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процессе испытаний через каждые 10 минут объектами замеров служили:</w:t>
      </w:r>
    </w:p>
    <w:p w14:paraId="7F42DA77"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Расход воздуха.</w:t>
      </w:r>
    </w:p>
    <w:p w14:paraId="42C40629"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Количество подаваемой пыли.</w:t>
      </w:r>
    </w:p>
    <w:p w14:paraId="752D2157"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Сопротивление воздухоочистителя.</w:t>
      </w:r>
    </w:p>
    <w:p w14:paraId="5F650DA0"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Измерения расхода воздуха производились при помощи нормальной диафрагмы VDJ, и определялись перепадом давлений в мм водяного столба. Количества подаваемой пыли определялись взвешиванием на нормальных чашечных весах с точностью ± 1 грамм. Разрежения, создаваемые воздухоочистителем, замерялись с помощью пьезометра и выражалось в мм водяного столба. Для исключения влияния сопротивления самой установки, установка предварительно тарировалась.</w:t>
      </w:r>
    </w:p>
    <w:p w14:paraId="42C89941"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Определение коэффициента очистки производилось следующим образом: Заправленный воздухоочиститель предварительно взвешивался и устанавливался в пылевую камеру. Через воздухоочиститель просасывался воздух, запыленный определенным количеством пыли (указанным выше) в течении полутора часов, после чего воздухоочиститель извлекался из пылевой камеры и подвергался вторичному взвешиванию. Отношение количества задержанной пыли к количеству всей подведенной пыли – фиксировалось как коэф. очистки для данного этапа (1,5 часа). Коэффициент очистки при данных условиях испытаний является условным, т.к. несовершенство установки не давало возможности определить соотношение весов масла и пыли в общей массе, унесенной из воздухоочистителя.</w:t>
      </w:r>
    </w:p>
    <w:p w14:paraId="24AC1C32"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Определение расхода масла воздухоочистителем производилось следующим образом: Испытуемый воздухоочиститель заправлялся согласно тех. условий, указанных в чертеже, взвешивался и устанавливался на испытание. Испытания производились в течение 2-х часов при расходе воздуха 0,56 м³/сек., что соответствует максимальному расходу мотором воздуха при 2000 об/мин. В процессе 2-х часовых испытаний через каждые пол часа воздухоочиститель взвешивался, чем и определялся расход масла из воздухоочистителя».</w:t>
      </w:r>
    </w:p>
    <w:p w14:paraId="79C26BDF"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2036. Л. 4 – 5].</w:t>
      </w:r>
    </w:p>
    <w:p w14:paraId="32B155AE"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 один из предъявленных воздухоочистителей не отработал на «испытательной установке» предусмотренные программой 24 часа. По решению комиссии воздухоочистители досрочно снимались с испытаний по причине недостаточного коэффициента очистки воздуха или из-за чрезмерно возраставшего в процессе работы воздухоочистителя аэродинамического сопротивления. Ниже рассмотрим конструкцию испытанных в НИИ 1600 воздухоочистителей и результаты их работы на установке.</w:t>
      </w:r>
    </w:p>
    <w:p w14:paraId="5830BDDD"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Серийный воздухоочиститель танка Т-34 состоял из поддона и фильтрующего элемента. В нижней части поддона находилась масляная ванна, над которой располагался фильтрующий элемент – промасленная канитель, уложенная между двумя сетками в металлическом кожухе. Воздух, содержавший пыль, входил в кольцевую щель, образованную верхней кромкой поддона и боковой цилиндрической поверхностью кожуха фильтрующего элемента. При повороте потока смешанного с пылью воздуха над масляной ванной более чем на 120º вследствие возникновения центробежных сил в частицах пыли и при прохождении воздуха через фильтрующий элемент происходила последовательная очистка воздуха от крупных и мелких частиц пыли. Крупные частицы пыли оседали в масляной ванне поддона, а более мелкие частицы улавливались фильтрующим элементом – промасленной проволокой (канителью). Очищенный воздух из фильтрующего элемента через внутреннюю камеру поступал во впускные коллекторы двигателя.</w:t>
      </w:r>
    </w:p>
    <w:p w14:paraId="60F0B654"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испытания серийного воздухоочистителя танка Т-34 были получены следующие результаты:</w:t>
      </w:r>
    </w:p>
    <w:p w14:paraId="0D8F95B3"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Средний коэффициент очистки воздуха за 4 часа 30 минут при запыленности воздуха 1 гр/м³ составил около 85 %. Аналогичный показатель при запыленности воздуха 0,5 гр/м³ при работе серийного воздухоочистителя в течение 7 часов 30 минут оказался еще меньше и составил 82,5 %.</w:t>
      </w:r>
    </w:p>
    <w:p w14:paraId="586EBE0E"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Аэродинамическое сопротивление воздухоочистителя с чистым фильтрующим элементом при расходе воздуха 0,56 м³/с, что соответствовало расходу воздуха при максимальной частоте вращения коленчатого вала дизеля В-2, равнялось около 1,2 кПа. Сопротивление воздухоочистителя с загрязненным фильтрующим элементом после четырех с половиной часов работы при запыленности 1 гр/м³ и при аналогичном расходе воздуха увеличилось до 21 кПа, что приводило к потере мощности дизеля В-2 более чем на 10 %.</w:t>
      </w:r>
    </w:p>
    <w:p w14:paraId="2B7E0A9C"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Масса масла, унесенного воздушным потоком из масляной ванны воздухоочистителя за полтора часа работы при расходе воздуха 0,56 м³/с составила 100 гр.</w:t>
      </w:r>
    </w:p>
    <w:p w14:paraId="1D69CF40"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Относительно работы серийного воздухоочистителя танка Т-34 комиссией были сделаны следующие выводы:</w:t>
      </w:r>
    </w:p>
    <w:p w14:paraId="7F409626"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Вследствие неудовлетворительной эффективности в части очистки и большого роста сопротивлений, Комиссия не рекомендует серийный образец воздушного очистителя к постановке на машину (см. заключение).</w:t>
      </w:r>
    </w:p>
    <w:p w14:paraId="6BCD3014"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Необходимо отметить неудобство сборки и разборки воздухоочистителя в полевых условиях».</w:t>
      </w:r>
    </w:p>
    <w:p w14:paraId="39BA6E45"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2036. Л. 12]</w:t>
      </w:r>
    </w:p>
    <w:p w14:paraId="40252269"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Лучшие результаты на сравнительных испытаниях показал воздухоочиститель ВФ-5 конструкции завода № 75. От серийного воздухоочистителя танка Т-34 воздухоочиститель ВФ-5 отличался главным образом увеличенным объемом фильтрующего элемента, которым являлась гофрированная проволока, наличием маслоотражательного конуса и упрощенного соединения (центральным болтом) поддона и кожуха фильтрующего элемента, что увеличивало плотность соединения и упрощало сборку и разборку воздухоочистителя. Увеличение объема фильтрующего элемента привело к увеличению диаметра металлического кожуха, в котором он размещался. Для обеспечения выемки кожуха фильтрующего элемента из люка над мотором танка Т-34, в кожухе были сделаны вырезы в форме сегментов. От воздухоочистителя ВО-20 воздухоочиститель ВФ-5 отличался, прежде всего, отсутствием инерционного аппарата и увеличенным объемом фильтрующего элемента.</w:t>
      </w:r>
    </w:p>
    <w:p w14:paraId="6BA5EBB6"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испытаний воздухоочистителя ВФ-5 были получены следующие результаты:</w:t>
      </w:r>
    </w:p>
    <w:p w14:paraId="57508F97"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Средний коэффициент очистки воздуха за 4 часа 30 минут работы при запыленности воздуха 1 гр/м³ оказался равным 90,5 %. При запыленности воздуха 0,5 гр/м³ средний коэффициент очистки воздуха за 7 часов 30 минут работы воздухоочистителя составил около 89 %.</w:t>
      </w:r>
    </w:p>
    <w:p w14:paraId="48A1720A"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Аэродинамическое сопротивление воздухоочистителя с чистым фильтрующим элементом при расходе воздуха 0,56 м³/с равнялось 1,9 кПа, что приводило к потере мощности дизеля В-2 до 1 %. После 4 часов 30 минут работы при запыленности воздуха 1 гр/м³ аэродинамическое сопротивление достигло 15,5 кПа, что приводило к потере мощности дизеля В-2 до 8,5 %.</w:t>
      </w:r>
    </w:p>
    <w:p w14:paraId="74A0CFD5"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Масса масла, унесенного воздушным потоком из масляной ванны воздухоочистителя ВФ-5 за два часа работы при расходе воздуха 0,56 м³/с составила 762 гр.</w:t>
      </w:r>
    </w:p>
    <w:p w14:paraId="5852154A"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Относительно работы воздухоочистителя ВФ-5 комиссия сделала следующие выводы:</w:t>
      </w:r>
    </w:p>
    <w:p w14:paraId="60079BE9"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Данный воздухоочиститель нельзя считать отработанным и удовлетворяющим полностью тактико-техническим требованиям, как в части эффективности очистки, так и в части роста сопротивления по времени.</w:t>
      </w:r>
    </w:p>
    <w:p w14:paraId="1EF5264B"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В части конструкции воздухоочистителя можно отметить простоту изготовления его, что не исключает неудобства обслуживания его в эксплоатационных условиях.</w:t>
      </w:r>
    </w:p>
    <w:p w14:paraId="3DCACD42"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Исходя из вышеизложенного, установку данного воздушного очистителя на серийную машину, Комиссия не рекомендует».</w:t>
      </w:r>
    </w:p>
    <w:p w14:paraId="283137CB"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2036. Л. 12 – 13]</w:t>
      </w:r>
    </w:p>
    <w:p w14:paraId="03361FEC"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результаты сравнительных испытаний, проведенных в НИИ 1600, показали, что ни один из отечественных воздухоочистителей не удовлетворял предусмотренным Постановлением КО № 428сс требованиям, предъявляемым к системе воздухоочистки дизеля В-2, установленного в танке Т-34. Следует отметить, что результаты испытаний воздухоочистителя немецкого танка Т-III оказались намного хуже результатов испытаний отечественных воздухоочистителей. Поэтому немецкий воздухоочиститель по решению комиссии был снят с испытаний еще на начальном их этапе. Коэффициент очистки воздуха немецкого воздухоочистителя в условиях запыленности воздуха 1 гр/м³ составил всего 65 %.</w:t>
      </w:r>
    </w:p>
    <w:p w14:paraId="4E73448D"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всестороннего изучения результатов сравнительных испытаний, комиссией был составлен отчет, в заключительной части которого было указано:</w:t>
      </w:r>
    </w:p>
    <w:p w14:paraId="3719A852"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Ни один из испытанных воздухоочистителей не может быть рекомендован для танкового двигателя В-2.</w:t>
      </w:r>
    </w:p>
    <w:p w14:paraId="6E5B2D20"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Из испытанных воздухоочистителей по основным показателям несколько лучшие результаты показал воздухоочиститель завода № 75.</w:t>
      </w:r>
    </w:p>
    <w:p w14:paraId="3ADF0E93"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Учитывая незначительную разницу показателей, налаженность производства и возможность введения положительных элементов воздухоочистителей заводов № 75 и 174, Комиссия считает возможным временно, до 1-го Мая 1941 г. допустить установку на машины завода № 183 своих воздухоочистителей при следующих условиях:</w:t>
      </w:r>
    </w:p>
    <w:p w14:paraId="1A3EF140"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Заправка воздушного очистителя должна производиться гофрированной не отожженной канителью.</w:t>
      </w:r>
    </w:p>
    <w:p w14:paraId="7BB9E18A"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Укладка канители должна производиться не отдельными жгутами или пучками, а распущенными слоями во всю ширину объема фильтрующего элемента, причем плотная утрамбовка ее не должна иметь место.</w:t>
      </w:r>
    </w:p>
    <w:p w14:paraId="250E5B4D"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При работе машины в пыльных условиях чистка фильтра должна производиться не реже чем через 2 часа.</w:t>
      </w:r>
    </w:p>
    <w:p w14:paraId="32D16FAA"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К маю 1941 года должен быть изготовлен и испытан воздухоочиститель со следующими основными показателями. После 10 часов работы двигателя на эксплоатационных оборотах при запыленности 1 гр. пыли на 1 м3 воздуха (пыль с зерном от 0,006 до 0,020 мм).</w:t>
      </w:r>
    </w:p>
    <w:p w14:paraId="27B5ACAB"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Коэф. очистки воздуха 97 – 98 %.</w:t>
      </w:r>
    </w:p>
    <w:p w14:paraId="7FADE2C6"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Разрежение за воздухоочистителем не более 750 мм в.с. [7,4 кПа]</w:t>
      </w:r>
    </w:p>
    <w:p w14:paraId="4CE1D125"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Отсутствие уноса масла из воздухоочистителя в двигатель за все время работы.</w:t>
      </w:r>
    </w:p>
    <w:p w14:paraId="0E21652A"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Конструкция – простая в серийном изготовлении и надежная и удобная в эксплоатации.</w:t>
      </w:r>
    </w:p>
    <w:p w14:paraId="3232C53D"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Возможность перезарядки в полевых условиях силами одного человека без специальных инструментов не более чем в 10 – 15 мин.</w:t>
      </w:r>
    </w:p>
    <w:p w14:paraId="60C58BDA"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Основным и наиболее целесообразным направлением в конструировании воздухоочистителей Комиссия считает:</w:t>
      </w:r>
    </w:p>
    <w:p w14:paraId="15930A1B"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Увеличение габаритов воздухоочистителя.</w:t>
      </w:r>
    </w:p>
    <w:p w14:paraId="44F77477"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Перенос воздухоочистителя с мотора в неиспользуемые объемы танка.</w:t>
      </w:r>
    </w:p>
    <w:p w14:paraId="643BDE15"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Особо тщательную увязку конструкции и расположения воздухоочистителя с воздушным трактом танка.</w:t>
      </w:r>
    </w:p>
    <w:p w14:paraId="67C3B833"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Комиссия, отмечая отсутствие воздухоочистителей для танка, подчеркивает исключительную важность создания танкового воздухоочистителя в кратчайшие сроки. Для чего рекомендует дать заказ на воздухоочистители для танкового двигателя заводам 75, 174, 183, Кировскому, СТЗ и НАТИ, обязав их изготовить и испытать к маю 1941 года образец, отвечающий требованиям § 3.</w:t>
      </w:r>
    </w:p>
    <w:p w14:paraId="5A7E5DEF"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этого Комиссия считает необходимым в ближайшее время – установление единой методики и условий испытаний воздухоочистителей для всех танковых заводов, что должно быть поручено специальной комиссии».</w:t>
      </w:r>
    </w:p>
    <w:p w14:paraId="3CE678C2"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2036. Л. 23 – 24]</w:t>
      </w:r>
    </w:p>
    <w:p w14:paraId="70B389A2"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отчету прилагались составленные главным конструктором завода № 75 и директором НИИ 1600 Т.П. Чупахиным «Замечания по выводам комиссии»:</w:t>
      </w:r>
    </w:p>
    <w:p w14:paraId="32B3FFEB"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выводах комиссии, производившей испытания воздухоочистителей, имеются следующие недостатки:</w:t>
      </w:r>
    </w:p>
    <w:p w14:paraId="3E6D9BC9"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Выводы не дают сравнительной оценки качеств воздухоочистителей.</w:t>
      </w:r>
    </w:p>
    <w:p w14:paraId="0DFE3774"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В выводах недостаточно обосновано оставление до мая месяца 1941 г. серийного выпуска воздухоочистителя завода 183.</w:t>
      </w:r>
    </w:p>
    <w:p w14:paraId="6CA210EA"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В выводах не отмечено, что основной недостаток испытанных воздухоочистителей, их малая пылевая емкость, объясняется в первую очередь габаритами отведенного для их установки места.</w:t>
      </w:r>
    </w:p>
    <w:p w14:paraId="206FCE8E"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Выводы не отмечают, что завод 183 дал на испытание по сути опытный воздухоочиститель с гофрированной канителью, внедрить которую он отказывался на протяжении всего 1940 года.</w:t>
      </w:r>
    </w:p>
    <w:p w14:paraId="7C53E6A3"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В выводах не указано на необходимость немедленной замены всех старых воздухоочистителей по изготовлении нового лучшего.</w:t>
      </w:r>
    </w:p>
    <w:p w14:paraId="39C3FF3D"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Основываясь на данных, полученных в результате испытаний воздухоочистителей, а также на большой трудности изготовить воздухоочиститель, отвечающий поставленным комиссией требованиям, считаю оставление в серии воздухоочистителя завода 183 до мая 1941 г. неверным.</w:t>
      </w:r>
    </w:p>
    <w:p w14:paraId="2F23A319"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Более правильным будет решение в месячный срок, до 1/II-1941 г., дать в серию воздухоочиститель, показавший лучшие результаты при испытании, внеся в него все необходимые улучшения. Такой воздухоочиститель сможет на определенный отрезок времени, до изготовления нового, отвечающего выставленным комиссией требованиям, обеспечить более или менее нормальную работу дизельмотора В-2».</w:t>
      </w:r>
    </w:p>
    <w:p w14:paraId="0534CB0E" w14:textId="77777777" w:rsidR="003324AA" w:rsidRPr="00A3026E" w:rsidRDefault="003324A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[РГВА. Ф. 31811. Оп. 3. Д. 2036. Л. 25] (19114).</w:t>
      </w:r>
    </w:p>
    <w:p w14:paraId="555E8AD0" w14:textId="77777777" w:rsidR="003324AA" w:rsidRPr="00A3026E" w:rsidRDefault="003324AA" w:rsidP="00A3026E">
      <w:pPr>
        <w:spacing w:after="0" w:line="240" w:lineRule="auto"/>
        <w:jc w:val="both"/>
        <w:rPr>
          <w:rFonts w:ascii="Times New Roman" w:hAnsi="Times New Roman"/>
          <w:color w:val="000000" w:themeColor="text1"/>
          <w:sz w:val="16"/>
          <w:szCs w:val="16"/>
        </w:rPr>
      </w:pPr>
    </w:p>
    <w:p w14:paraId="27002648"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Декабрь 1940 г.</w:t>
      </w:r>
    </w:p>
    <w:p w14:paraId="4BC94E08"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«Районному инженеру на заводе № 183 военинженеру 2 ранга тов. Козыреву</w:t>
      </w:r>
    </w:p>
    <w:p w14:paraId="04C35364"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Копия: начальнику 1-го отдела Бронетанкового управления КА военинженеру 1 ранга тов. Павлову, начальнику 3-го отдела Бронетанкового управления КА военинженеру 1 ранга тов. Афонину</w:t>
      </w:r>
    </w:p>
    <w:p w14:paraId="5462C592"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По вопросу: дефектов главного фрикциона машины Т-34.</w:t>
      </w:r>
    </w:p>
    <w:p w14:paraId="6C424C40"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При приеме первых машин Т-34 на СТЗ обнаружен дефект: невыключение и горение дисков главного фрикциона.</w:t>
      </w:r>
    </w:p>
    <w:p w14:paraId="467427C3"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Проверкой установлено, что детали фрикциона были изготовлены и установлены на машину в соответствии с чертежами и техническими условиями завода № 183.</w:t>
      </w:r>
    </w:p>
    <w:p w14:paraId="71264F0F"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При анализе причин дефекта мною установлено, что они носят чисто конструктивный характер и заключаются в малой величине диаметрального зазора между коробкой [перемены передач], кольцом выключения и шариком…</w:t>
      </w:r>
    </w:p>
    <w:p w14:paraId="65B3EFE1"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При выборе указанного зазора наступает пробуксовка и горение дисков главного фрикциона.</w:t>
      </w:r>
    </w:p>
    <w:p w14:paraId="43066746"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Зазор, который имеет место в собранной машине на конвейере, уменьшается при первом же включении фрикциона под нагрузкой, с работающим мотором и после нескольких включений полностью исчезает…</w:t>
      </w:r>
    </w:p>
    <w:p w14:paraId="67B4CEC8"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Особенно быстро изнашиваются диски главного фрикциона при работе машины в тяжелых дорожных условиях, при трогании с места, при переключении скоростей…</w:t>
      </w:r>
    </w:p>
    <w:p w14:paraId="1E6DAD25"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Я принял решение (и рекомендую Вам потребовать от завода) машины, прошедшие сдаточные испытания, вскрывать и устанавливать зазор 1 мм… чтобы машины, поступившие в часть, могли пройти хотя бы 200–250 км…</w:t>
      </w:r>
    </w:p>
    <w:p w14:paraId="709819CA"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Главный фрикцион в настоящем его конструктивном оформлении к работе не пригоден, необходимо всемерно форсировать работы по его улучшению…</w:t>
      </w:r>
    </w:p>
    <w:p w14:paraId="162240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(Старший военпред ГАБТУ КА) (военинженер 2 ранга Левин»</w:t>
      </w:r>
      <w:hyperlink r:id="rId187" w:anchor="n_104" w:history="1">
        <w:r w:rsidRPr="00A3026E">
          <w:rPr>
            <w:rStyle w:val="a5"/>
            <w:rFonts w:ascii="Times New Roman" w:hAnsi="Times New Roman"/>
            <w:color w:val="000000" w:themeColor="text1"/>
            <w:sz w:val="16"/>
            <w:szCs w:val="16"/>
          </w:rPr>
          <w:t>[104]</w:t>
        </w:r>
      </w:hyperlink>
      <w:r w:rsidRPr="00A3026E">
        <w:rPr>
          <w:rFonts w:ascii="Times New Roman" w:hAnsi="Times New Roman"/>
          <w:color w:val="000000" w:themeColor="text1"/>
          <w:sz w:val="16"/>
          <w:szCs w:val="16"/>
        </w:rPr>
        <w:t>.) (12624).</w:t>
      </w:r>
    </w:p>
    <w:p w14:paraId="3B1D2AB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8FD002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завод № 174 НКСМ (г. Ленинград) изготовил два танка «Т-50», которые в насто</w:t>
      </w:r>
      <w:r w:rsidRPr="00A3026E">
        <w:rPr>
          <w:rFonts w:ascii="Times New Roman" w:hAnsi="Times New Roman"/>
          <w:color w:val="000000" w:themeColor="text1"/>
          <w:sz w:val="16"/>
          <w:szCs w:val="16"/>
        </w:rPr>
        <w:softHyphen/>
        <w:t>ящее время проходят заводские испытания.</w:t>
      </w:r>
    </w:p>
    <w:p w14:paraId="4CFAD4A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Кировском заводе НКТМ (г. Ленинград) два танка «Т-50», по данным завода, будут изготов</w:t>
      </w:r>
      <w:r w:rsidRPr="00A3026E">
        <w:rPr>
          <w:rFonts w:ascii="Times New Roman" w:hAnsi="Times New Roman"/>
          <w:color w:val="000000" w:themeColor="text1"/>
          <w:sz w:val="16"/>
          <w:szCs w:val="16"/>
        </w:rPr>
        <w:softHyphen/>
        <w:t>лены только к 20-25 января 1941 г. (11211)</w:t>
      </w:r>
    </w:p>
    <w:p w14:paraId="4DBD86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7ADAE96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по указанию И.В.С. для детального ознакомления с состоянием танкострое</w:t>
      </w:r>
      <w:r w:rsidRPr="00A3026E">
        <w:rPr>
          <w:rFonts w:ascii="Times New Roman" w:hAnsi="Times New Roman"/>
          <w:color w:val="000000" w:themeColor="text1"/>
          <w:sz w:val="16"/>
          <w:szCs w:val="16"/>
        </w:rPr>
        <w:softHyphen/>
        <w:t>ния, были направлены работники аппарата КО на следующие заводы, производящие танки и броню для них: Кировский, Ижорский и № 174 (г. Ленинград), № 183 и № 75 (г. Харьков), Мариупольский, СТЗ и № 264 (г. Сталинград) и № 37 (г. Москва).</w:t>
      </w:r>
    </w:p>
    <w:p w14:paraId="3B39CEA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данным, полученным указанными работниками, качественное состояние новых типов тан</w:t>
      </w:r>
      <w:r w:rsidRPr="00A3026E">
        <w:rPr>
          <w:rFonts w:ascii="Times New Roman" w:hAnsi="Times New Roman"/>
          <w:color w:val="000000" w:themeColor="text1"/>
          <w:sz w:val="16"/>
          <w:szCs w:val="16"/>
        </w:rPr>
        <w:softHyphen/>
        <w:t>ков и выполнение программы характеризуется следующими данными:</w:t>
      </w:r>
    </w:p>
    <w:p w14:paraId="33BA487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«КВ» (Кировский завод НКТМ, г. Ленинград)</w:t>
      </w:r>
    </w:p>
    <w:p w14:paraId="0C7AEEF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Танк «КВ» по своим ходовым качествам, мощному бронированию и вооружению превосходит старые типы танков и является лучшей машиной из всех созданных за последние 2-3 года новых об</w:t>
      </w:r>
      <w:r w:rsidRPr="00A3026E">
        <w:rPr>
          <w:rFonts w:ascii="Times New Roman" w:hAnsi="Times New Roman"/>
          <w:color w:val="000000" w:themeColor="text1"/>
          <w:sz w:val="16"/>
          <w:szCs w:val="16"/>
        </w:rPr>
        <w:softHyphen/>
        <w:t>разцов тяжелых танков в нашем танкостроении.</w:t>
      </w:r>
    </w:p>
    <w:p w14:paraId="632E95F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танков «КВ» на Кировском заводе освоено. На 1.1.1941 г. заводом изготовлено и сдано военной приемке 243 танка при годовом плане 243 шт.</w:t>
      </w:r>
    </w:p>
    <w:p w14:paraId="0D3BA72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Отгружено в части 238 танков, из них: в г. Ковно — 51, г. Белосток — 52, г. Стрый — 41, г. Львов — 48, Киевский округ — 22, г. Саратов — 10, ВАММ, автобронетанковые школы и полигон — 11, на ЧТЗ и завод № 92 — 3 и 5 танков осталось на Кировском заводе.</w:t>
      </w:r>
    </w:p>
    <w:p w14:paraId="44876FA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Представители АБТУ КА, участвовавшие в проведении заводских испытаний танков, установоч</w:t>
      </w:r>
      <w:r w:rsidRPr="00A3026E">
        <w:rPr>
          <w:rFonts w:ascii="Times New Roman" w:hAnsi="Times New Roman"/>
          <w:color w:val="000000" w:themeColor="text1"/>
          <w:sz w:val="16"/>
          <w:szCs w:val="16"/>
        </w:rPr>
        <w:softHyphen/>
        <w:t>ной партии «У-7» и «У-21», по выявлению прочности отдельных агрегатов танка в пробеге на 3000 км считают, что танк «КВ» является вполне боеспособной машиной.</w:t>
      </w:r>
    </w:p>
    <w:p w14:paraId="1AD2811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Последнее подтверждается актами заводских испытаний и актами военной приемки по каждой машине.</w:t>
      </w:r>
    </w:p>
    <w:p w14:paraId="18AFA7D3"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результате проведенной заводом работы по устранению выявленных конструктивных и тех</w:t>
      </w:r>
      <w:r w:rsidRPr="00A3026E">
        <w:rPr>
          <w:i w:val="0"/>
          <w:iCs w:val="0"/>
          <w:color w:val="000000" w:themeColor="text1"/>
          <w:spacing w:val="0"/>
          <w:kern w:val="0"/>
          <w:position w:val="0"/>
          <w:sz w:val="16"/>
          <w:szCs w:val="16"/>
          <w:lang w:val="ru-RU"/>
        </w:rPr>
        <w:softHyphen/>
        <w:t>нологических недочетов машин, танки «КВ» последних выпусков по своим ходовым качествам зна</w:t>
      </w:r>
      <w:r w:rsidRPr="00A3026E">
        <w:rPr>
          <w:i w:val="0"/>
          <w:iCs w:val="0"/>
          <w:color w:val="000000" w:themeColor="text1"/>
          <w:spacing w:val="0"/>
          <w:kern w:val="0"/>
          <w:position w:val="0"/>
          <w:sz w:val="16"/>
          <w:szCs w:val="16"/>
          <w:lang w:val="ru-RU"/>
        </w:rPr>
        <w:softHyphen/>
        <w:t>чительно улучшены. По танкам первых выпусков завод гарантировал бесперебойную работу танков на 200 км; теперь по договору между заводом и ГАБТУ КА гарантия дается уже на 2000 км пробега. Однако по итогам испытаний, проводимых на заводе совместно с представителями Красной Армии, отмечается, что еще не каждый серийный танк «КВ» выдерживает 2000 км бесперебойной работы из-за недостаточной прочности некоторых отдельных агрегатов.</w:t>
      </w:r>
    </w:p>
    <w:p w14:paraId="25C61A4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настоящего времени еще не удалось устранить следующие недочеты танков «КВ»:</w:t>
      </w:r>
    </w:p>
    <w:p w14:paraId="3BEADA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Воздухоочиститель (фильтр) не обеспечивает хорошую очистку воздуха от пыли, вследствие чего происходит преждевременный износ двигателя.</w:t>
      </w:r>
    </w:p>
    <w:p w14:paraId="3BC7904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Система охлаждения танка «КВ» не обеспечивает нормальную работу двигателя вследствие высоких температур воды и масла.</w:t>
      </w:r>
    </w:p>
    <w:p w14:paraId="71F5D41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Коробка перемены передач, несмотря на ее усиление, до настоящего времени имеет дефекты — преждевременный износ буртика шестерни 2-4 скоростей и разрушение роликовых подшипни</w:t>
      </w:r>
      <w:r w:rsidRPr="00A3026E">
        <w:rPr>
          <w:rFonts w:ascii="Times New Roman" w:hAnsi="Times New Roman"/>
          <w:color w:val="000000" w:themeColor="text1"/>
          <w:sz w:val="16"/>
          <w:szCs w:val="16"/>
        </w:rPr>
        <w:softHyphen/>
        <w:t>ков после 1500 км пробега.</w:t>
      </w:r>
    </w:p>
    <w:p w14:paraId="7ED7802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Траки гусеницы после 1500 км пробега требуют замены, так как сильно изнашиваются и утра</w:t>
      </w:r>
      <w:r w:rsidRPr="00A3026E">
        <w:rPr>
          <w:rFonts w:ascii="Times New Roman" w:hAnsi="Times New Roman"/>
          <w:color w:val="000000" w:themeColor="text1"/>
          <w:sz w:val="16"/>
          <w:szCs w:val="16"/>
        </w:rPr>
        <w:softHyphen/>
        <w:t>чивают прочность (появляются трещины).</w:t>
      </w:r>
    </w:p>
    <w:p w14:paraId="2C5D332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Дизель-мотор В-2 мощностью 600 л.с. для танка «КВ», особенно с артсистемой 152 мм, слаб, не обеспечивает требуемые скорости (по шоссе 20-21 км вместо 35 км, по проселку 14 км, по целине 10-11 км), при поворотах на 2-й передаче глохнет и не имеет запаса мощности.</w:t>
      </w:r>
    </w:p>
    <w:p w14:paraId="0E808CA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согласно постановлению КО от 19 ноября 1940 г. завод № 75 НКСМ (г. Харь</w:t>
      </w:r>
      <w:r w:rsidRPr="00A3026E">
        <w:rPr>
          <w:rFonts w:ascii="Times New Roman" w:hAnsi="Times New Roman"/>
          <w:color w:val="000000" w:themeColor="text1"/>
          <w:sz w:val="16"/>
          <w:szCs w:val="16"/>
        </w:rPr>
        <w:softHyphen/>
        <w:t>ков) работает над доведением мощности дизель-мотора для танков «КВ» до 700 л.с. и увеличением его срока службы до 200 часов.</w:t>
      </w:r>
    </w:p>
    <w:p w14:paraId="749FC31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Имеющиеся отверстия на крыше танка для засасывания воздуха пока не предохранены от воз</w:t>
      </w:r>
      <w:r w:rsidRPr="00A3026E">
        <w:rPr>
          <w:rFonts w:ascii="Times New Roman" w:hAnsi="Times New Roman"/>
          <w:color w:val="000000" w:themeColor="text1"/>
          <w:sz w:val="16"/>
          <w:szCs w:val="16"/>
        </w:rPr>
        <w:softHyphen/>
        <w:t>можного попадания через них горящей жидкости во внутрь танка.</w:t>
      </w:r>
    </w:p>
    <w:p w14:paraId="300B67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Погон башни и подпогонное кольцо обнажены, вследствие чего возможны заклинивания баш</w:t>
      </w:r>
      <w:r w:rsidRPr="00A3026E">
        <w:rPr>
          <w:rFonts w:ascii="Times New Roman" w:hAnsi="Times New Roman"/>
          <w:color w:val="000000" w:themeColor="text1"/>
          <w:sz w:val="16"/>
          <w:szCs w:val="16"/>
        </w:rPr>
        <w:softHyphen/>
        <w:t>ни при попадании снаряда.</w:t>
      </w:r>
    </w:p>
    <w:p w14:paraId="408B8B0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Запоры люков трансмиссионного отделения не усовершенствованы, их можно открывать сна</w:t>
      </w:r>
      <w:r w:rsidRPr="00A3026E">
        <w:rPr>
          <w:rFonts w:ascii="Times New Roman" w:hAnsi="Times New Roman"/>
          <w:color w:val="000000" w:themeColor="text1"/>
          <w:sz w:val="16"/>
          <w:szCs w:val="16"/>
        </w:rPr>
        <w:softHyphen/>
        <w:t>ружи.</w:t>
      </w:r>
    </w:p>
    <w:p w14:paraId="4460670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Отсутствует вентиляция боевого отделения при неработающем двигателе.</w:t>
      </w:r>
    </w:p>
    <w:p w14:paraId="415C495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Не отработаны: укладка боекомплекта, обзорность и управление - все это утяжеляет работу экипажа.</w:t>
      </w:r>
    </w:p>
    <w:p w14:paraId="0C76360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Перечисленные недочеты, согласно Постановлению КО № 428сс от 19 ноября 1940 г. должны быть устранены с 1 марта 1941 года.</w:t>
      </w:r>
    </w:p>
    <w:p w14:paraId="2E03262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этом необходимо отметить, что устранения недостатков танка «КВ» на Кировском заводе проходят все же медленно вследствие перегруженности конструкторского бюро работами по проек</w:t>
      </w:r>
      <w:r w:rsidRPr="00A3026E">
        <w:rPr>
          <w:rFonts w:ascii="Times New Roman" w:hAnsi="Times New Roman"/>
          <w:color w:val="000000" w:themeColor="text1"/>
          <w:sz w:val="16"/>
          <w:szCs w:val="16"/>
        </w:rPr>
        <w:softHyphen/>
        <w:t>тированию новых образцов танков (танки с 90 мм и со 100 мм броней, танк Т-50) к 28.12.1940 г. Ки</w:t>
      </w:r>
      <w:r w:rsidRPr="00A3026E">
        <w:rPr>
          <w:rFonts w:ascii="Times New Roman" w:hAnsi="Times New Roman"/>
          <w:color w:val="000000" w:themeColor="text1"/>
          <w:sz w:val="16"/>
          <w:szCs w:val="16"/>
        </w:rPr>
        <w:softHyphen/>
        <w:t>ровским заводом были изготовлены и прошли 140 км пробег танки с 90 мм и со 100 мм броней и в пробеге показали хорошие результаты.</w:t>
      </w:r>
    </w:p>
    <w:p w14:paraId="49DA57F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Производственная база танкостроения на Кировском заводе значительно расширилась. На про</w:t>
      </w:r>
      <w:r w:rsidRPr="00A3026E">
        <w:rPr>
          <w:rFonts w:ascii="Times New Roman" w:hAnsi="Times New Roman"/>
          <w:color w:val="000000" w:themeColor="text1"/>
          <w:sz w:val="16"/>
          <w:szCs w:val="16"/>
        </w:rPr>
        <w:softHyphen/>
        <w:t>изводстве танков занято 5 основных цехов и, кроме того, некоторые цеха завода работают на танки по кооперации.</w:t>
      </w:r>
    </w:p>
    <w:p w14:paraId="586D7D5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Кировский завод в состоянии выпускать по 55-60 танков ежемесячно. Сбо</w:t>
      </w:r>
      <w:r w:rsidRPr="00A3026E">
        <w:rPr>
          <w:rFonts w:ascii="Times New Roman" w:hAnsi="Times New Roman"/>
          <w:color w:val="000000" w:themeColor="text1"/>
          <w:sz w:val="16"/>
          <w:szCs w:val="16"/>
        </w:rPr>
        <w:softHyphen/>
        <w:t>рочный и сдаточный цеха, а также сборка узлов, уже могут обеспечить выпуск 60-70 комплектов в месяц, но механические цеха еще недостаточны по площадям и оборудованию.</w:t>
      </w:r>
    </w:p>
    <w:p w14:paraId="7B6F426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базой для производства танков «КВ» является Челябинский тракторный завод, который готовится на производство 300 шт. танков в год, но подготовка производства на ЧТЗ идет слишком медленно.</w:t>
      </w:r>
    </w:p>
    <w:p w14:paraId="76547A8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«Т-34» (завод №183 НКСМ г. Харьков)</w:t>
      </w:r>
    </w:p>
    <w:p w14:paraId="21ECB38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1.1.1941 г. заводом сдано Красной Армии 115 шт. танков «Т-34» при годовом плане 500 шт.</w:t>
      </w:r>
    </w:p>
    <w:p w14:paraId="10AF337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Задержка в производстве «Т-34» на заводе № 183 вызвана неналаженностью технологического процесса и недостаточным оснащением производства приспособлениями, инструментом и оборудо</w:t>
      </w:r>
      <w:r w:rsidRPr="00A3026E">
        <w:rPr>
          <w:rFonts w:ascii="Times New Roman" w:hAnsi="Times New Roman"/>
          <w:color w:val="000000" w:themeColor="text1"/>
          <w:sz w:val="16"/>
          <w:szCs w:val="16"/>
        </w:rPr>
        <w:softHyphen/>
        <w:t>ванием.</w:t>
      </w:r>
    </w:p>
    <w:p w14:paraId="2C55CFF2"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Войсковые испытания, проведенные в октябре — декабре 1940 г. по маршруту Харьков — Ку</w:t>
      </w:r>
      <w:r w:rsidRPr="00A3026E">
        <w:rPr>
          <w:i w:val="0"/>
          <w:iCs w:val="0"/>
          <w:color w:val="000000" w:themeColor="text1"/>
          <w:spacing w:val="0"/>
          <w:kern w:val="0"/>
          <w:position w:val="0"/>
          <w:sz w:val="16"/>
          <w:szCs w:val="16"/>
          <w:lang w:val="ru-RU"/>
        </w:rPr>
        <w:softHyphen/>
        <w:t>бинка — Смоленск — Киев — Харьков — общим протяжением около 3000 км, в том числе 1000 км по шоссе и 2000 км по различным грунтам с преодолением естественных препятствий показали, что заводской гарантийный километраж до капитального ремонта в 2000 км не выдерживается. Отдельные агрегаты танка недостаточно прочны и выходят из строя после 800-1200 км пробега из-за следу</w:t>
      </w:r>
      <w:r w:rsidRPr="00A3026E">
        <w:rPr>
          <w:i w:val="0"/>
          <w:iCs w:val="0"/>
          <w:color w:val="000000" w:themeColor="text1"/>
          <w:spacing w:val="0"/>
          <w:kern w:val="0"/>
          <w:position w:val="0"/>
          <w:sz w:val="16"/>
          <w:szCs w:val="16"/>
          <w:lang w:val="ru-RU"/>
        </w:rPr>
        <w:softHyphen/>
        <w:t>ющих дефектов:</w:t>
      </w:r>
    </w:p>
    <w:p w14:paraId="7317327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коробятся и срабатываются диски главного фрикциона;</w:t>
      </w:r>
    </w:p>
    <w:p w14:paraId="5BF8820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быстро изнашиваются и ломаются литые траки гусеницы;</w:t>
      </w:r>
    </w:p>
    <w:p w14:paraId="67A155B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ломаются лопасти вентилятора;</w:t>
      </w:r>
    </w:p>
    <w:p w14:paraId="3362C53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коробка перемены передач недостаточно прочна и конструктивно не доработана, трудно пе</w:t>
      </w:r>
      <w:r w:rsidRPr="00A3026E">
        <w:rPr>
          <w:rFonts w:ascii="Times New Roman" w:hAnsi="Times New Roman"/>
          <w:color w:val="000000" w:themeColor="text1"/>
          <w:sz w:val="16"/>
          <w:szCs w:val="16"/>
        </w:rPr>
        <w:softHyphen/>
        <w:t>реключаются передачи, быстро срабатываются зубья шестерен, имеются случаи заедания шестерен на шлицах валов.</w:t>
      </w:r>
    </w:p>
    <w:p w14:paraId="6F33D5F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Обзорность из танка неудовлетворительная, смотровые приборы расположены неудобно, с ма</w:t>
      </w:r>
      <w:r w:rsidRPr="00A3026E">
        <w:rPr>
          <w:rFonts w:ascii="Times New Roman" w:hAnsi="Times New Roman"/>
          <w:color w:val="000000" w:themeColor="text1"/>
          <w:sz w:val="16"/>
          <w:szCs w:val="16"/>
        </w:rPr>
        <w:softHyphen/>
        <w:t>лым углом обзора (53° - из башни) и невозможно очищать их от грязи, не выходя из танка.</w:t>
      </w:r>
    </w:p>
    <w:p w14:paraId="32A47DE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Вентиляция боевого отделения танка недостаточна; после 12 выстрелов содержание СО состав</w:t>
      </w:r>
      <w:r w:rsidRPr="00A3026E">
        <w:rPr>
          <w:rFonts w:ascii="Times New Roman" w:hAnsi="Times New Roman"/>
          <w:color w:val="000000" w:themeColor="text1"/>
          <w:sz w:val="16"/>
          <w:szCs w:val="16"/>
        </w:rPr>
        <w:softHyphen/>
        <w:t>ляет 0,5 мг/л при допускаемом 0,1 мг/л, что может вредно отразиться на экипаже.</w:t>
      </w:r>
    </w:p>
    <w:p w14:paraId="6B7E2B6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башне танка тесно, боеукладка не отработана, что затрудняет работу экипажа и не обеспечи</w:t>
      </w:r>
      <w:r w:rsidRPr="00A3026E">
        <w:rPr>
          <w:rFonts w:ascii="Times New Roman" w:hAnsi="Times New Roman"/>
          <w:color w:val="000000" w:themeColor="text1"/>
          <w:sz w:val="16"/>
          <w:szCs w:val="16"/>
        </w:rPr>
        <w:softHyphen/>
        <w:t>вает необходимого темпа стрельбы. Комитет обороны своим постановлением от 19.11.1940 г. обязал завод № 183 НКСМ устранить недостатки танков «Т-34» и довести межремонтный пробег танка до 7000 км, а ходовой части танка до 3000 км с 1 февраля 1941 года.</w:t>
      </w:r>
    </w:p>
    <w:p w14:paraId="6254FD1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Производственная база на заводе № 183 для «Т-34» расширяется. В настоящее время завод в со</w:t>
      </w:r>
      <w:r w:rsidRPr="00A3026E">
        <w:rPr>
          <w:rFonts w:ascii="Times New Roman" w:hAnsi="Times New Roman"/>
          <w:color w:val="000000" w:themeColor="text1"/>
          <w:sz w:val="16"/>
          <w:szCs w:val="16"/>
        </w:rPr>
        <w:softHyphen/>
        <w:t>стоянии изготовлять по 100-200 танков в месяц. Производственных площадей на заводе достаточно, но механические цеха еще не полностью укомплектованы оборудованием.</w:t>
      </w:r>
    </w:p>
    <w:p w14:paraId="717F3FF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базой по производству «Т-34» является СТЗНКСМ. По плану 1940 г. завод должен был из</w:t>
      </w:r>
      <w:r w:rsidRPr="00A3026E">
        <w:rPr>
          <w:rFonts w:ascii="Times New Roman" w:hAnsi="Times New Roman"/>
          <w:color w:val="000000" w:themeColor="text1"/>
          <w:sz w:val="16"/>
          <w:szCs w:val="16"/>
        </w:rPr>
        <w:softHyphen/>
        <w:t>готовить 100 шт. танков «Т-34», но на 28.12.1940 г. ни одного танка не сдал, а собрал только 11 машин. Подготовка и освоение производства танка «Т-34» на СТЗ идет очень медленно. Площадей для произ</w:t>
      </w:r>
      <w:r w:rsidRPr="00A3026E">
        <w:rPr>
          <w:rFonts w:ascii="Times New Roman" w:hAnsi="Times New Roman"/>
          <w:color w:val="000000" w:themeColor="text1"/>
          <w:sz w:val="16"/>
          <w:szCs w:val="16"/>
        </w:rPr>
        <w:softHyphen/>
        <w:t>водства танков достаточно, но механические цеха не укомплектованы требующимся оборудованием.</w:t>
      </w:r>
    </w:p>
    <w:p w14:paraId="39C4C47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«Т-40» - амфибия (завод №37 НКСМ г. Москва)</w:t>
      </w:r>
    </w:p>
    <w:p w14:paraId="4CB0C60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«Т-40» прошел всесторонние войсковые и полигонные испытания. Последние испытания проводились в октябре месяце 1941 г. по маршруту Москва — Смоленск — Минск — Житомир — Киев — Брянск — Москва — общим протяжением около 3000 км, с преодолением ряда рек (Днепр, Десна, Припять) и озера «Князь» шириной 7 км.</w:t>
      </w:r>
    </w:p>
    <w:p w14:paraId="34AA672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испытаний показали, что танк «Т-40» удовлетворяет тактико-техническим требова</w:t>
      </w:r>
      <w:r w:rsidRPr="00A3026E">
        <w:rPr>
          <w:rFonts w:ascii="Times New Roman" w:hAnsi="Times New Roman"/>
          <w:color w:val="000000" w:themeColor="text1"/>
          <w:sz w:val="16"/>
          <w:szCs w:val="16"/>
        </w:rPr>
        <w:softHyphen/>
        <w:t>ниям Красной Армии. Одновременно в процессе испытаний был выявлен ряд серьезных недостат</w:t>
      </w:r>
      <w:r w:rsidRPr="00A3026E">
        <w:rPr>
          <w:rFonts w:ascii="Times New Roman" w:hAnsi="Times New Roman"/>
          <w:color w:val="000000" w:themeColor="text1"/>
          <w:sz w:val="16"/>
          <w:szCs w:val="16"/>
        </w:rPr>
        <w:softHyphen/>
        <w:t>ков, так, например:</w:t>
      </w:r>
    </w:p>
    <w:p w14:paraId="0844A7E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Повышенный износ поршней группы двигателя, возникающий вследствие неудовлетвори</w:t>
      </w:r>
      <w:r w:rsidRPr="00A3026E">
        <w:rPr>
          <w:rFonts w:ascii="Times New Roman" w:hAnsi="Times New Roman"/>
          <w:color w:val="000000" w:themeColor="text1"/>
          <w:sz w:val="16"/>
          <w:szCs w:val="16"/>
        </w:rPr>
        <w:softHyphen/>
        <w:t>тельной работы воздухоочистителя и смазки поршневых колец.</w:t>
      </w:r>
    </w:p>
    <w:p w14:paraId="4CEAF7A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Затруднительный запуск двигателя, особенно при пониженных температурах окружающего воздуха.</w:t>
      </w:r>
    </w:p>
    <w:p w14:paraId="6D2AAEB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Заклинивание гусеницы между ведущей зубчаткой и балансиром.</w:t>
      </w:r>
    </w:p>
    <w:p w14:paraId="197E349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Недостаточная прочность опорных катков по креплению подшипников и по ходовым качест</w:t>
      </w:r>
      <w:r w:rsidRPr="00A3026E">
        <w:rPr>
          <w:rFonts w:ascii="Times New Roman" w:hAnsi="Times New Roman"/>
          <w:color w:val="000000" w:themeColor="text1"/>
          <w:sz w:val="16"/>
          <w:szCs w:val="16"/>
        </w:rPr>
        <w:softHyphen/>
        <w:t>вам резины.</w:t>
      </w:r>
    </w:p>
    <w:p w14:paraId="19B3899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Повышенный износ траков и пальцев гусеницы.</w:t>
      </w:r>
    </w:p>
    <w:p w14:paraId="17B2942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Недостаточный запас плавучести (300 кг).</w:t>
      </w:r>
    </w:p>
    <w:p w14:paraId="38E9EF9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постановлению КО завод № 37 обязывается обеспечить межремонтный пробег танка «Т-40» до капитального ремонта не менее 8000 км и гарантийный километраж на ходовую часть не менее 4000 км.</w:t>
      </w:r>
    </w:p>
    <w:p w14:paraId="0199246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 производственным затруднением для завода № 37 является неудовлетворительная поставка по кооперации основных агрегатов и особенно бронекорпусов и двигателей.</w:t>
      </w:r>
    </w:p>
    <w:p w14:paraId="6B169E9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 «Т-50»</w:t>
      </w:r>
    </w:p>
    <w:p w14:paraId="5DCF0DE0"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Комитет обороны Постановлением № 427сс от 19 ноября 1940 г. утвердил тактико-технические требования по танку «Т-50» и обязал НКСМ и НКТМ к 15 января 1941 года изготовить по два опыт</w:t>
      </w:r>
      <w:r w:rsidRPr="00A3026E">
        <w:rPr>
          <w:i w:val="0"/>
          <w:iCs w:val="0"/>
          <w:color w:val="000000" w:themeColor="text1"/>
          <w:spacing w:val="0"/>
          <w:kern w:val="0"/>
          <w:position w:val="0"/>
          <w:sz w:val="16"/>
          <w:szCs w:val="16"/>
          <w:lang w:val="ru-RU"/>
        </w:rPr>
        <w:softHyphen/>
        <w:t>ных образца.</w:t>
      </w:r>
    </w:p>
    <w:p w14:paraId="6B543BE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завод № 174 НКСМ (г. Ленинград) изготовил два танка «Т-50», которые в насто</w:t>
      </w:r>
      <w:r w:rsidRPr="00A3026E">
        <w:rPr>
          <w:rFonts w:ascii="Times New Roman" w:hAnsi="Times New Roman"/>
          <w:color w:val="000000" w:themeColor="text1"/>
          <w:sz w:val="16"/>
          <w:szCs w:val="16"/>
        </w:rPr>
        <w:softHyphen/>
        <w:t>ящее время проходят заводские испытания.</w:t>
      </w:r>
    </w:p>
    <w:p w14:paraId="198A7AC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Кировском заводе НКТМ (г. Ленинград) два танка «Т-50», по данным завода, будут изготов</w:t>
      </w:r>
      <w:r w:rsidRPr="00A3026E">
        <w:rPr>
          <w:rFonts w:ascii="Times New Roman" w:hAnsi="Times New Roman"/>
          <w:color w:val="000000" w:themeColor="text1"/>
          <w:sz w:val="16"/>
          <w:szCs w:val="16"/>
        </w:rPr>
        <w:softHyphen/>
        <w:t>лены только к 20-25 января 1941 г.</w:t>
      </w:r>
    </w:p>
    <w:p w14:paraId="70954CA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Состояние производства танковой брони и бронекорпусов к танкам</w:t>
      </w:r>
    </w:p>
    <w:p w14:paraId="2AAAA87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Производством танковой брони всех толщин в 1940 году были заняты следующие заводы НКСП: Ижорский, Мариупольский и Кулебакский; заводы НКЧМ: Выксунский и Таганрогский.</w:t>
      </w:r>
    </w:p>
    <w:p w14:paraId="700EAD2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расширением производства танков в 1941 году для производства танковой брони при</w:t>
      </w:r>
      <w:r w:rsidRPr="00A3026E">
        <w:rPr>
          <w:rFonts w:ascii="Times New Roman" w:hAnsi="Times New Roman"/>
          <w:color w:val="000000" w:themeColor="text1"/>
          <w:sz w:val="16"/>
          <w:szCs w:val="16"/>
        </w:rPr>
        <w:softHyphen/>
        <w:t>влекаются следующие заводы:</w:t>
      </w:r>
    </w:p>
    <w:p w14:paraId="7E14D68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«Красный Октябрь» НКЧМ (г. Сталинград) по прокату брони до 45 мм</w:t>
      </w:r>
    </w:p>
    <w:p w14:paraId="0075F5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«Запорожсталь» НКЧМ по прокату брони до 75 мм</w:t>
      </w:r>
    </w:p>
    <w:p w14:paraId="484878A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Кировский завод НКТМ (г. Ленинград) по прокату брони до 75 мм.</w:t>
      </w:r>
    </w:p>
    <w:p w14:paraId="1F497DD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Производством бронекорпусов и башен к танкам и бронемашинам заняты: Ижорский и Мариу</w:t>
      </w:r>
      <w:r w:rsidRPr="00A3026E">
        <w:rPr>
          <w:rFonts w:ascii="Times New Roman" w:hAnsi="Times New Roman"/>
          <w:color w:val="000000" w:themeColor="text1"/>
          <w:sz w:val="16"/>
          <w:szCs w:val="16"/>
        </w:rPr>
        <w:softHyphen/>
        <w:t>польский заводы НКСП, Подольский завод НКНП, № 183 НКСМ (г. Харьков), Выксунский НКЧМ и привлекаются на 1941 год завод № 264 НКСП (г. Сталинград), завод № 78 НКБ (г. Челябинск).</w:t>
      </w:r>
    </w:p>
    <w:p w14:paraId="616D072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Значительным тормозом по производству бронекорпусов «Т-34» является завод № 264 НКСП. Строительство, обеспечение оборудованием и подготовка производства бронекорпусов на этом за</w:t>
      </w:r>
      <w:r w:rsidRPr="00A3026E">
        <w:rPr>
          <w:rFonts w:ascii="Times New Roman" w:hAnsi="Times New Roman"/>
          <w:color w:val="000000" w:themeColor="text1"/>
          <w:sz w:val="16"/>
          <w:szCs w:val="16"/>
        </w:rPr>
        <w:softHyphen/>
        <w:t>воде идет исключительно медленными темпами. От подготовленности этого завода зависит выпуск танков на СТЗ НКСМ.</w:t>
      </w:r>
    </w:p>
    <w:p w14:paraId="2EB94F6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заводах, производящих бронекорпуса и башни к танкам, недостает прессового и механиче</w:t>
      </w:r>
      <w:r w:rsidRPr="00A3026E">
        <w:rPr>
          <w:rFonts w:ascii="Times New Roman" w:hAnsi="Times New Roman"/>
          <w:color w:val="000000" w:themeColor="text1"/>
          <w:sz w:val="16"/>
          <w:szCs w:val="16"/>
        </w:rPr>
        <w:softHyphen/>
        <w:t>ского оборудования.</w:t>
      </w:r>
    </w:p>
    <w:p w14:paraId="1627ADC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моторов для танков</w:t>
      </w:r>
    </w:p>
    <w:p w14:paraId="0B43A90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Дизель-моторы производятся только на одном заводе № 75 НКСМ — г. Харьков и устанавлива</w:t>
      </w:r>
      <w:r w:rsidRPr="00A3026E">
        <w:rPr>
          <w:rFonts w:ascii="Times New Roman" w:hAnsi="Times New Roman"/>
          <w:color w:val="000000" w:themeColor="text1"/>
          <w:sz w:val="16"/>
          <w:szCs w:val="16"/>
        </w:rPr>
        <w:softHyphen/>
        <w:t>ются:</w:t>
      </w:r>
    </w:p>
    <w:p w14:paraId="3DB9432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дизель «В-2К» 600 л.с. на танк «КВ»</w:t>
      </w:r>
    </w:p>
    <w:p w14:paraId="0752B49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дизель «В-2» 500 л.с. на танк «Т-34»</w:t>
      </w:r>
    </w:p>
    <w:p w14:paraId="0AE6FB3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дизель «В-2-В» 350 л.с. на трактор «Ворошиловец» и, кроме того,</w:t>
      </w:r>
    </w:p>
    <w:p w14:paraId="5A41531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дизель «В-3» 300 л.с. предназначается к установке на танк «Т-50»</w:t>
      </w:r>
    </w:p>
    <w:p w14:paraId="171C68F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Дизеля «В-2К», «В-2», «В-2-В» сложны в производстве и не обеспечивают еще достаточного сро</w:t>
      </w:r>
      <w:r w:rsidRPr="00A3026E">
        <w:rPr>
          <w:rFonts w:ascii="Times New Roman" w:hAnsi="Times New Roman"/>
          <w:color w:val="000000" w:themeColor="text1"/>
          <w:sz w:val="16"/>
          <w:szCs w:val="16"/>
        </w:rPr>
        <w:softHyphen/>
        <w:t>ка службы до капитального ремонта. Гарантийный срок работы дизелей заводом дается в 100 часов. Комитет обороны Постановлением № 428сс обязывает завод № 75 НКСМ довести гарантийный срок работы дизель-моторов с 1 января 1941 г. до 150 часов, а с 1 июня 1941 г. до 200 часов.</w:t>
      </w:r>
    </w:p>
    <w:p w14:paraId="37F4025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дизеле «В-2» до последнего времени не устранены следующие недостатки:</w:t>
      </w:r>
    </w:p>
    <w:p w14:paraId="270A439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Пробивание газа в стыке между головкой и блоком цилиндров.</w:t>
      </w:r>
    </w:p>
    <w:p w14:paraId="4FD06B2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Разработка муфты привода топливного насоса.</w:t>
      </w:r>
    </w:p>
    <w:p w14:paraId="09AB627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Потеря компрессии вследствие преждевременного изнашивания поршневых колец и цилиндров.</w:t>
      </w:r>
    </w:p>
    <w:p w14:paraId="0EEDBBB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Не отработана конструкция воздухоочистителя, вследствие чего срок работы дизеля значи</w:t>
      </w:r>
      <w:r w:rsidRPr="00A3026E">
        <w:rPr>
          <w:rFonts w:ascii="Times New Roman" w:hAnsi="Times New Roman"/>
          <w:color w:val="000000" w:themeColor="text1"/>
          <w:sz w:val="16"/>
          <w:szCs w:val="16"/>
        </w:rPr>
        <w:softHyphen/>
        <w:t>тельно сокращается.</w:t>
      </w:r>
    </w:p>
    <w:p w14:paraId="5147035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Производственная возможность завода № 75 НКСМ составляет только 5500-6000 шт. дизель-мо</w:t>
      </w:r>
      <w:r w:rsidRPr="00A3026E">
        <w:rPr>
          <w:rFonts w:ascii="Times New Roman" w:hAnsi="Times New Roman"/>
          <w:color w:val="000000" w:themeColor="text1"/>
          <w:sz w:val="16"/>
          <w:szCs w:val="16"/>
        </w:rPr>
        <w:softHyphen/>
        <w:t>торов в год. Потребности же в указанных дизелях по производственным возможностям танковых за</w:t>
      </w:r>
      <w:r w:rsidRPr="00A3026E">
        <w:rPr>
          <w:rFonts w:ascii="Times New Roman" w:hAnsi="Times New Roman"/>
          <w:color w:val="000000" w:themeColor="text1"/>
          <w:sz w:val="16"/>
          <w:szCs w:val="16"/>
        </w:rPr>
        <w:softHyphen/>
        <w:t>водов к 1.1.1942 г. будут составлять: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3227"/>
      </w:tblGrid>
      <w:tr w:rsidR="00983732" w:rsidRPr="00A3026E" w14:paraId="40FA5EF5" w14:textId="77777777" w:rsidTr="00EA0DA7">
        <w:tc>
          <w:tcPr>
            <w:tcW w:w="3227" w:type="dxa"/>
            <w:tcBorders>
              <w:top w:val="single" w:sz="12" w:space="0" w:color="auto"/>
            </w:tcBorders>
          </w:tcPr>
          <w:p w14:paraId="2C5812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«КВ» (Кировский завод)</w:t>
            </w:r>
          </w:p>
        </w:tc>
        <w:tc>
          <w:tcPr>
            <w:tcW w:w="3227" w:type="dxa"/>
            <w:tcBorders>
              <w:top w:val="single" w:sz="12" w:space="0" w:color="auto"/>
            </w:tcBorders>
          </w:tcPr>
          <w:p w14:paraId="49D30F2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-800-1000 шт.:</w:t>
            </w:r>
          </w:p>
        </w:tc>
      </w:tr>
      <w:tr w:rsidR="00983732" w:rsidRPr="00A3026E" w14:paraId="53A3363B" w14:textId="77777777" w:rsidTr="00EA0DA7">
        <w:tc>
          <w:tcPr>
            <w:tcW w:w="3227" w:type="dxa"/>
          </w:tcPr>
          <w:p w14:paraId="6019B18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«КВ» (Челябинский завод)</w:t>
            </w:r>
          </w:p>
        </w:tc>
        <w:tc>
          <w:tcPr>
            <w:tcW w:w="3227" w:type="dxa"/>
          </w:tcPr>
          <w:p w14:paraId="54BC375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- 500-600 шт.:</w:t>
            </w:r>
          </w:p>
        </w:tc>
      </w:tr>
      <w:tr w:rsidR="00983732" w:rsidRPr="00A3026E" w14:paraId="41E44C9E" w14:textId="77777777" w:rsidTr="00EA0DA7">
        <w:tc>
          <w:tcPr>
            <w:tcW w:w="3227" w:type="dxa"/>
          </w:tcPr>
          <w:p w14:paraId="37644F6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«Т-34» (завод № 183 г. Харьков)</w:t>
            </w:r>
          </w:p>
        </w:tc>
        <w:tc>
          <w:tcPr>
            <w:tcW w:w="3227" w:type="dxa"/>
          </w:tcPr>
          <w:p w14:paraId="1E47C1D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- 2300-2600 шт.</w:t>
            </w:r>
          </w:p>
        </w:tc>
      </w:tr>
      <w:tr w:rsidR="00983732" w:rsidRPr="00A3026E" w14:paraId="07D146B3" w14:textId="77777777" w:rsidTr="00EA0DA7">
        <w:tc>
          <w:tcPr>
            <w:tcW w:w="3227" w:type="dxa"/>
          </w:tcPr>
          <w:p w14:paraId="6E5C185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«Т-34» (Сталинградский завод)</w:t>
            </w:r>
          </w:p>
        </w:tc>
        <w:tc>
          <w:tcPr>
            <w:tcW w:w="3227" w:type="dxa"/>
          </w:tcPr>
          <w:p w14:paraId="5E1FDF9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- 2400-2800 шт.</w:t>
            </w:r>
          </w:p>
        </w:tc>
      </w:tr>
      <w:tr w:rsidR="00983732" w:rsidRPr="00A3026E" w14:paraId="245FCB40" w14:textId="77777777" w:rsidTr="00EA0DA7">
        <w:tc>
          <w:tcPr>
            <w:tcW w:w="3227" w:type="dxa"/>
          </w:tcPr>
          <w:p w14:paraId="0292064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«Т-50» (завод № 174 г. Ленинград)</w:t>
            </w:r>
          </w:p>
        </w:tc>
        <w:tc>
          <w:tcPr>
            <w:tcW w:w="3227" w:type="dxa"/>
          </w:tcPr>
          <w:p w14:paraId="37070BE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- 2000-2400 шт.</w:t>
            </w:r>
          </w:p>
        </w:tc>
      </w:tr>
      <w:tr w:rsidR="00983732" w:rsidRPr="00A3026E" w14:paraId="23D4F9B1" w14:textId="77777777" w:rsidTr="00EA0DA7">
        <w:tc>
          <w:tcPr>
            <w:tcW w:w="3227" w:type="dxa"/>
          </w:tcPr>
          <w:p w14:paraId="0A05212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трактору «Ворошиловец» (завод № 183)</w:t>
            </w:r>
          </w:p>
        </w:tc>
        <w:tc>
          <w:tcPr>
            <w:tcW w:w="3227" w:type="dxa"/>
          </w:tcPr>
          <w:p w14:paraId="01D6ADC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- 1000-И 00 шт.</w:t>
            </w:r>
          </w:p>
        </w:tc>
      </w:tr>
      <w:tr w:rsidR="00983732" w:rsidRPr="00A3026E" w14:paraId="3610D437" w14:textId="77777777" w:rsidTr="00EA0DA7">
        <w:tc>
          <w:tcPr>
            <w:tcW w:w="3227" w:type="dxa"/>
            <w:tcBorders>
              <w:bottom w:val="single" w:sz="12" w:space="0" w:color="auto"/>
            </w:tcBorders>
          </w:tcPr>
          <w:p w14:paraId="3C7BCBB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w:t>
            </w:r>
          </w:p>
        </w:tc>
        <w:tc>
          <w:tcPr>
            <w:tcW w:w="3227" w:type="dxa"/>
            <w:tcBorders>
              <w:bottom w:val="single" w:sz="12" w:space="0" w:color="auto"/>
            </w:tcBorders>
          </w:tcPr>
          <w:p w14:paraId="74427F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- 9000-10500 шт.</w:t>
            </w:r>
          </w:p>
        </w:tc>
      </w:tr>
    </w:tbl>
    <w:p w14:paraId="3EAA085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Ввиду того, что срок службы дизель-мотора до капитального ремонта слишком мал, комитет обо</w:t>
      </w:r>
      <w:r w:rsidRPr="00A3026E">
        <w:rPr>
          <w:rFonts w:ascii="Times New Roman" w:hAnsi="Times New Roman"/>
          <w:color w:val="000000" w:themeColor="text1"/>
          <w:sz w:val="16"/>
          <w:szCs w:val="16"/>
        </w:rPr>
        <w:softHyphen/>
        <w:t>роны постановил изготавливать дизеля с расчетом — на каждые 2 вновь выпущенные танка — 1 за</w:t>
      </w:r>
      <w:r w:rsidRPr="00A3026E">
        <w:rPr>
          <w:rFonts w:ascii="Times New Roman" w:hAnsi="Times New Roman"/>
          <w:color w:val="000000" w:themeColor="text1"/>
          <w:sz w:val="16"/>
          <w:szCs w:val="16"/>
        </w:rPr>
        <w:softHyphen/>
        <w:t>пасной мотор, следовательно, потребность увеличивается на 4500-5250 шт. в год.</w:t>
      </w:r>
    </w:p>
    <w:p w14:paraId="1C0EBA9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моторы М-17-Т, установленные на танках БТ-7, сняты с производства. Необходимо будет на часть БТ-7 устанавливать дизель-моторы В-2.</w:t>
      </w:r>
    </w:p>
    <w:p w14:paraId="7C18E32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общая потребность в танковых дизелях на 1.1.1942 г. составит 16000-18000 шт. в год.</w:t>
      </w:r>
    </w:p>
    <w:p w14:paraId="61D061F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обеспечения танкостроения моторами и запчастями к ним требуется быстрейшее расшире</w:t>
      </w:r>
      <w:r w:rsidRPr="00A3026E">
        <w:rPr>
          <w:rFonts w:ascii="Times New Roman" w:hAnsi="Times New Roman"/>
          <w:color w:val="000000" w:themeColor="text1"/>
          <w:sz w:val="16"/>
          <w:szCs w:val="16"/>
        </w:rPr>
        <w:softHyphen/>
        <w:t>ние существующих мощностей по производству дизель-моторов.</w:t>
      </w:r>
    </w:p>
    <w:p w14:paraId="124BC73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настоящее время НКСМ готовит свои предложения по увеличению мощности заводами № 75 НКСМ и созданию новой базы по производству дизель-моторов на Сталинградском тракторном за</w:t>
      </w:r>
      <w:r w:rsidRPr="00A3026E">
        <w:rPr>
          <w:rFonts w:ascii="Times New Roman" w:hAnsi="Times New Roman"/>
          <w:color w:val="000000" w:themeColor="text1"/>
          <w:sz w:val="16"/>
          <w:szCs w:val="16"/>
        </w:rPr>
        <w:softHyphen/>
        <w:t>воде, согласно Постановлению СНК СССР и ЦК ВКП(б) № 976-368сс от 7.6.1940 года.</w:t>
      </w:r>
    </w:p>
    <w:p w14:paraId="0025FAC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Комитетом обороны поставлены перед нашей бронетанковой промышленностью следующие за</w:t>
      </w:r>
      <w:r w:rsidRPr="00A3026E">
        <w:rPr>
          <w:rFonts w:ascii="Times New Roman" w:hAnsi="Times New Roman"/>
          <w:color w:val="000000" w:themeColor="text1"/>
          <w:sz w:val="16"/>
          <w:szCs w:val="16"/>
        </w:rPr>
        <w:softHyphen/>
        <w:t>дачи (Постановления КО № 124сс от 28.5.139 г., № 373сс от 29.8.1940 г., № 330сс от 9.10.1940 г. и №428сс от 19.11.1940 г.):</w:t>
      </w:r>
    </w:p>
    <w:p w14:paraId="4C11379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Изыскание и внедрение в производство брони повышенной бронестойкости (без увеличения толщин) и создание литых конструкций из броневой стали.</w:t>
      </w:r>
    </w:p>
    <w:p w14:paraId="4B8EA3A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Увеличение сроков службы основных агрегатов танка (двигатель, коробка перемены передач, бортовые фрикционы, гусеницы и др.).</w:t>
      </w:r>
    </w:p>
    <w:p w14:paraId="3A281E7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Разработка и освоение в производстве улучшенной трансмиссии и ходовой части танка (пла</w:t>
      </w:r>
      <w:r w:rsidRPr="00A3026E">
        <w:rPr>
          <w:rFonts w:ascii="Times New Roman" w:hAnsi="Times New Roman"/>
          <w:color w:val="000000" w:themeColor="text1"/>
          <w:sz w:val="16"/>
          <w:szCs w:val="16"/>
        </w:rPr>
        <w:softHyphen/>
        <w:t>нетарные передачи, торсионная подвеска, металлические катки с внутренней резиновой амортиза</w:t>
      </w:r>
      <w:r w:rsidRPr="00A3026E">
        <w:rPr>
          <w:rFonts w:ascii="Times New Roman" w:hAnsi="Times New Roman"/>
          <w:color w:val="000000" w:themeColor="text1"/>
          <w:sz w:val="16"/>
          <w:szCs w:val="16"/>
        </w:rPr>
        <w:softHyphen/>
        <w:t>цией, резино-металлические гусеницы и пр.).</w:t>
      </w:r>
    </w:p>
    <w:p w14:paraId="3024D5C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Усовершенствование систем управления танками (удобство работы экипажей, снижение уси</w:t>
      </w:r>
      <w:r w:rsidRPr="00A3026E">
        <w:rPr>
          <w:rFonts w:ascii="Times New Roman" w:hAnsi="Times New Roman"/>
          <w:color w:val="000000" w:themeColor="text1"/>
          <w:sz w:val="16"/>
          <w:szCs w:val="16"/>
        </w:rPr>
        <w:softHyphen/>
        <w:t>лий на рычагах и пр.).</w:t>
      </w:r>
    </w:p>
    <w:p w14:paraId="102A0F6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БТУ ГАБТУ КА военинженер 1 ранга Коробков</w:t>
      </w:r>
    </w:p>
    <w:p w14:paraId="389CDF25"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ЦАМО. Ф. 38. Оп. 11569. Д. 300. Л. 16-24. Подлинник (11211).</w:t>
      </w:r>
    </w:p>
    <w:p w14:paraId="75295F49" w14:textId="77777777" w:rsidR="0014077F" w:rsidRPr="00A3026E" w:rsidRDefault="0014077F" w:rsidP="00A3026E">
      <w:pPr>
        <w:pStyle w:val="af2"/>
        <w:jc w:val="both"/>
        <w:rPr>
          <w:i w:val="0"/>
          <w:iCs w:val="0"/>
          <w:color w:val="000000" w:themeColor="text1"/>
          <w:spacing w:val="0"/>
          <w:kern w:val="0"/>
          <w:position w:val="0"/>
          <w:sz w:val="16"/>
          <w:szCs w:val="16"/>
          <w:lang w:val="ru-RU"/>
        </w:rPr>
      </w:pPr>
    </w:p>
    <w:p w14:paraId="4F3973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чертежи бронекорпуса именовалась «Объект 212А» были переданы на Ижорский завод, а габаритные чертежи артиллерийской части — на завод «Баррикады». Однако из-за большого объ</w:t>
      </w:r>
      <w:r w:rsidRPr="00A3026E">
        <w:rPr>
          <w:rFonts w:ascii="Times New Roman" w:hAnsi="Times New Roman"/>
          <w:color w:val="000000" w:themeColor="text1"/>
          <w:sz w:val="16"/>
          <w:szCs w:val="16"/>
        </w:rPr>
        <w:softHyphen/>
        <w:t>ема работ по танкам КВ он был готов в целом лишь в июне 1941 г., когда Кировский завод вовсю «боролся» с танком КВ-3 и потому вплоть до эвакуации Кировского завода опытный образец «объект 212А» изготовлен не был. Опыты с СУ-14 и Т-100-У, проведенные в 1940 г., не про</w:t>
      </w:r>
      <w:r w:rsidRPr="00A3026E">
        <w:rPr>
          <w:rFonts w:ascii="Times New Roman" w:hAnsi="Times New Roman"/>
          <w:color w:val="000000" w:themeColor="text1"/>
          <w:sz w:val="16"/>
          <w:szCs w:val="16"/>
        </w:rPr>
        <w:softHyphen/>
        <w:t>шли без следа. После обобщения всех работ с указанными машинами НТК ГАУ выдвинул 111 на «тяжелое самоходное орудие резерва главного командования». По заданию требо</w:t>
      </w:r>
      <w:r w:rsidRPr="00A3026E">
        <w:rPr>
          <w:rFonts w:ascii="Times New Roman" w:hAnsi="Times New Roman"/>
          <w:color w:val="000000" w:themeColor="text1"/>
          <w:sz w:val="16"/>
          <w:szCs w:val="16"/>
        </w:rPr>
        <w:softHyphen/>
        <w:t>валось «спроэктироеать и построить на шасси нового тяжело</w:t>
      </w:r>
      <w:r w:rsidRPr="00A3026E">
        <w:rPr>
          <w:rFonts w:ascii="Times New Roman" w:hAnsi="Times New Roman"/>
          <w:color w:val="000000" w:themeColor="text1"/>
          <w:sz w:val="16"/>
          <w:szCs w:val="16"/>
        </w:rPr>
        <w:softHyphen/>
        <w:t>го танка 152-мм дальнобойную пушку и 203-мм тяжелую гау</w:t>
      </w:r>
      <w:r w:rsidRPr="00A3026E">
        <w:rPr>
          <w:rFonts w:ascii="Times New Roman" w:hAnsi="Times New Roman"/>
          <w:color w:val="000000" w:themeColor="text1"/>
          <w:sz w:val="16"/>
          <w:szCs w:val="16"/>
        </w:rPr>
        <w:softHyphen/>
        <w:t>бицу с полностью забронированным боевым отделением*. Для этого конструкторы бывшего завода № 185 вновь пытались возродить проект своей Т-100-У, но по целому ряду причин он не отвечал выдвинутым требованиям. Поэтому на первый план вышли работы КБ Кировского завода, предложившего установку 152,4-мм дальнобойной пушки БР-2 на удлинен</w:t>
      </w:r>
      <w:r w:rsidRPr="00A3026E">
        <w:rPr>
          <w:rFonts w:ascii="Times New Roman" w:hAnsi="Times New Roman"/>
          <w:color w:val="000000" w:themeColor="text1"/>
          <w:sz w:val="16"/>
          <w:szCs w:val="16"/>
        </w:rPr>
        <w:softHyphen/>
        <w:t>ное шасси танка КВ. Предполагалось, что гаубичная САУ бу</w:t>
      </w:r>
      <w:r w:rsidRPr="00A3026E">
        <w:rPr>
          <w:rFonts w:ascii="Times New Roman" w:hAnsi="Times New Roman"/>
          <w:color w:val="000000" w:themeColor="text1"/>
          <w:sz w:val="16"/>
          <w:szCs w:val="16"/>
        </w:rPr>
        <w:softHyphen/>
        <w:t>дет получена простой заменой тела 152,4-мм пушки БР-2 те</w:t>
      </w:r>
      <w:r w:rsidRPr="00A3026E">
        <w:rPr>
          <w:rFonts w:ascii="Times New Roman" w:hAnsi="Times New Roman"/>
          <w:color w:val="000000" w:themeColor="text1"/>
          <w:sz w:val="16"/>
          <w:szCs w:val="16"/>
        </w:rPr>
        <w:softHyphen/>
        <w:t>лом 203,2-мм гаубицы Б-4 в случае необходимости. Разработка проекта велась под индексом «Объект 212», причем пушечная САУ именовалась «Объект 212А», гаубич</w:t>
      </w:r>
      <w:r w:rsidRPr="00A3026E">
        <w:rPr>
          <w:rFonts w:ascii="Times New Roman" w:hAnsi="Times New Roman"/>
          <w:color w:val="000000" w:themeColor="text1"/>
          <w:sz w:val="16"/>
          <w:szCs w:val="16"/>
        </w:rPr>
        <w:softHyphen/>
        <w:t>ная — «Объект 212Б». Боевое отделение САУ располагалось в корме, тогда как отделение управления и МТО в передней ча</w:t>
      </w:r>
      <w:r w:rsidRPr="00A3026E">
        <w:rPr>
          <w:rFonts w:ascii="Times New Roman" w:hAnsi="Times New Roman"/>
          <w:color w:val="000000" w:themeColor="text1"/>
          <w:sz w:val="16"/>
          <w:szCs w:val="16"/>
        </w:rPr>
        <w:softHyphen/>
        <w:t>сти машины. Катки, торсионы, КПП, двигатель с системами питания и охлаждения заимствовались от танка КВ. Толшина бортовой брони составляла 40—60 мм, что довело боевой вес САУ до 60,5 т. Для ускорения изготовления опытного об</w:t>
      </w:r>
      <w:r w:rsidRPr="00A3026E">
        <w:rPr>
          <w:rFonts w:ascii="Times New Roman" w:hAnsi="Times New Roman"/>
          <w:color w:val="000000" w:themeColor="text1"/>
          <w:sz w:val="16"/>
          <w:szCs w:val="16"/>
        </w:rPr>
        <w:softHyphen/>
        <w:t>разца разрешалось использовать корпус танка СМК (11417).</w:t>
      </w:r>
    </w:p>
    <w:p w14:paraId="6A0AF2A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Тактико-технические характеристики тяжелых предвоенных САУ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95"/>
        <w:gridCol w:w="2064"/>
        <w:gridCol w:w="1027"/>
        <w:gridCol w:w="1037"/>
      </w:tblGrid>
      <w:tr w:rsidR="00983732" w:rsidRPr="00A3026E" w14:paraId="633C1001" w14:textId="77777777" w:rsidTr="00EA0DA7">
        <w:trPr>
          <w:trHeight w:val="192"/>
        </w:trPr>
        <w:tc>
          <w:tcPr>
            <w:tcW w:w="1795" w:type="dxa"/>
            <w:tcBorders>
              <w:top w:val="single" w:sz="12" w:space="0" w:color="auto"/>
            </w:tcBorders>
          </w:tcPr>
          <w:p w14:paraId="410CAC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E3F48F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Borders>
              <w:top w:val="single" w:sz="12" w:space="0" w:color="auto"/>
            </w:tcBorders>
          </w:tcPr>
          <w:p w14:paraId="7CDFA34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203-мм 152-мм</w:t>
            </w:r>
          </w:p>
          <w:p w14:paraId="2A88537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12" w:space="0" w:color="auto"/>
            </w:tcBorders>
          </w:tcPr>
          <w:p w14:paraId="4AF76A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130-мм</w:t>
            </w:r>
          </w:p>
          <w:p w14:paraId="10BAC22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12" w:space="0" w:color="auto"/>
            </w:tcBorders>
          </w:tcPr>
          <w:p w14:paraId="67B6EA8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152-мм</w:t>
            </w:r>
          </w:p>
          <w:p w14:paraId="6F4FCB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053D013" w14:textId="77777777" w:rsidTr="00EA0DA7">
        <w:trPr>
          <w:trHeight w:val="202"/>
        </w:trPr>
        <w:tc>
          <w:tcPr>
            <w:tcW w:w="1795" w:type="dxa"/>
          </w:tcPr>
          <w:p w14:paraId="123ED68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ТТХ /Марка САУ</w:t>
            </w:r>
          </w:p>
          <w:p w14:paraId="0FB7A1B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12C3288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СУ-14 СУ-14-1</w:t>
            </w:r>
          </w:p>
          <w:p w14:paraId="63F63D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78A7E02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Т-100-У</w:t>
            </w:r>
          </w:p>
          <w:p w14:paraId="5B4ED94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7AF2AA7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Объект 2 12*</w:t>
            </w:r>
          </w:p>
          <w:p w14:paraId="4A81CAF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A3E0D0C" w14:textId="77777777" w:rsidTr="00EA0DA7">
        <w:trPr>
          <w:trHeight w:val="182"/>
        </w:trPr>
        <w:tc>
          <w:tcPr>
            <w:tcW w:w="1795" w:type="dxa"/>
          </w:tcPr>
          <w:p w14:paraId="5A62562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Год</w:t>
            </w:r>
          </w:p>
          <w:p w14:paraId="098FC3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6B461B7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1934 1936-1940</w:t>
            </w:r>
          </w:p>
          <w:p w14:paraId="7B98F19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3579C2D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p w14:paraId="1B35865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6F70246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p w14:paraId="3C30767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E45C2DE" w14:textId="77777777" w:rsidTr="00EA0DA7">
        <w:trPr>
          <w:trHeight w:val="192"/>
        </w:trPr>
        <w:tc>
          <w:tcPr>
            <w:tcW w:w="1795" w:type="dxa"/>
          </w:tcPr>
          <w:p w14:paraId="2987605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Боевая масса, кг</w:t>
            </w:r>
          </w:p>
          <w:p w14:paraId="4987174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5E94274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47060 64850</w:t>
            </w:r>
          </w:p>
          <w:p w14:paraId="74B3A2A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2A732AD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63900</w:t>
            </w:r>
          </w:p>
          <w:p w14:paraId="1F4076F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720C64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65000</w:t>
            </w:r>
          </w:p>
          <w:p w14:paraId="0F63AF3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7A8BDF9" w14:textId="77777777" w:rsidTr="00EA0DA7">
        <w:trPr>
          <w:trHeight w:val="202"/>
        </w:trPr>
        <w:tc>
          <w:tcPr>
            <w:tcW w:w="1795" w:type="dxa"/>
          </w:tcPr>
          <w:p w14:paraId="5551C27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 чел.</w:t>
            </w:r>
          </w:p>
          <w:p w14:paraId="3C9D7CB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00C712A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7 7</w:t>
            </w:r>
          </w:p>
          <w:p w14:paraId="7023B97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258F869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p w14:paraId="0E2B2B3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926C1F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p w14:paraId="4EEAFAE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5C43C9D" w14:textId="77777777" w:rsidTr="00EA0DA7">
        <w:trPr>
          <w:trHeight w:val="144"/>
        </w:trPr>
        <w:tc>
          <w:tcPr>
            <w:tcW w:w="5923" w:type="dxa"/>
            <w:gridSpan w:val="4"/>
          </w:tcPr>
          <w:p w14:paraId="0F8CC09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Размерения. Мм</w:t>
            </w:r>
          </w:p>
        </w:tc>
      </w:tr>
      <w:tr w:rsidR="00983732" w:rsidRPr="00A3026E" w14:paraId="611BADEE" w14:textId="77777777" w:rsidTr="00EA0DA7">
        <w:trPr>
          <w:trHeight w:val="211"/>
        </w:trPr>
        <w:tc>
          <w:tcPr>
            <w:tcW w:w="1795" w:type="dxa"/>
          </w:tcPr>
          <w:p w14:paraId="745626E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общая</w:t>
            </w:r>
          </w:p>
          <w:p w14:paraId="281E696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31BE11A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9450 10020</w:t>
            </w:r>
          </w:p>
          <w:p w14:paraId="63B7CB7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1D0697D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10900</w:t>
            </w:r>
          </w:p>
          <w:p w14:paraId="20FBB84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73D90C8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8000</w:t>
            </w:r>
          </w:p>
          <w:p w14:paraId="68C177B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274286B" w14:textId="77777777" w:rsidTr="00EA0DA7">
        <w:trPr>
          <w:trHeight w:val="182"/>
        </w:trPr>
        <w:tc>
          <w:tcPr>
            <w:tcW w:w="1795" w:type="dxa"/>
          </w:tcPr>
          <w:p w14:paraId="7DEC719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w:t>
            </w:r>
          </w:p>
          <w:p w14:paraId="72CF219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0F48BFC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3240 3370</w:t>
            </w:r>
          </w:p>
          <w:p w14:paraId="74F1FCF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0283BC5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3400</w:t>
            </w:r>
          </w:p>
          <w:p w14:paraId="12DC6F0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D9C463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3360</w:t>
            </w:r>
          </w:p>
          <w:p w14:paraId="5F3DD72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4BA2080" w14:textId="77777777" w:rsidTr="00EA0DA7">
        <w:trPr>
          <w:trHeight w:val="192"/>
        </w:trPr>
        <w:tc>
          <w:tcPr>
            <w:tcW w:w="1795" w:type="dxa"/>
          </w:tcPr>
          <w:p w14:paraId="1D3F79A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w:t>
            </w:r>
          </w:p>
          <w:p w14:paraId="2729A00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02EE040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3050 35ба</w:t>
            </w:r>
          </w:p>
          <w:p w14:paraId="001CD98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6DD111B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3290</w:t>
            </w:r>
          </w:p>
          <w:p w14:paraId="08A180E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6D9F48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3070</w:t>
            </w:r>
          </w:p>
          <w:p w14:paraId="6285DE9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D186074" w14:textId="77777777" w:rsidTr="00EA0DA7">
        <w:trPr>
          <w:trHeight w:val="192"/>
        </w:trPr>
        <w:tc>
          <w:tcPr>
            <w:tcW w:w="1795" w:type="dxa"/>
          </w:tcPr>
          <w:p w14:paraId="337DA4D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Клиренс</w:t>
            </w:r>
          </w:p>
          <w:p w14:paraId="7628C9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15C1835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480 470</w:t>
            </w:r>
          </w:p>
          <w:p w14:paraId="3BD7C3E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5F83F41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455</w:t>
            </w:r>
          </w:p>
          <w:p w14:paraId="64393C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2DB81E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p w14:paraId="3A12C4E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298470C" w14:textId="77777777" w:rsidTr="00EA0DA7">
        <w:trPr>
          <w:trHeight w:val="154"/>
        </w:trPr>
        <w:tc>
          <w:tcPr>
            <w:tcW w:w="5923" w:type="dxa"/>
            <w:gridSpan w:val="4"/>
          </w:tcPr>
          <w:p w14:paraId="2B393C2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Вооружение</w:t>
            </w:r>
          </w:p>
          <w:p w14:paraId="4DC4666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9C4C428" w14:textId="77777777" w:rsidTr="00EA0DA7">
        <w:trPr>
          <w:trHeight w:val="211"/>
        </w:trPr>
        <w:tc>
          <w:tcPr>
            <w:tcW w:w="1795" w:type="dxa"/>
          </w:tcPr>
          <w:p w14:paraId="26EA467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Орудие, кал</w:t>
            </w:r>
          </w:p>
          <w:p w14:paraId="049F0CE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64BF663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203,2-мм, 152,4-мм,</w:t>
            </w:r>
          </w:p>
          <w:p w14:paraId="1DC22E5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3D77B27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130-мм</w:t>
            </w:r>
          </w:p>
          <w:p w14:paraId="34056AC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4EDEF47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152,4-мм</w:t>
            </w:r>
          </w:p>
          <w:p w14:paraId="5A5569B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F2B75B9" w14:textId="77777777" w:rsidTr="00EA0DA7">
        <w:trPr>
          <w:trHeight w:val="365"/>
        </w:trPr>
        <w:tc>
          <w:tcPr>
            <w:tcW w:w="1795" w:type="dxa"/>
          </w:tcPr>
          <w:p w14:paraId="2CA5FAF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Длина ствола, клб</w:t>
            </w:r>
          </w:p>
          <w:p w14:paraId="769A882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21676FD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Б-4 обр 1931 БР-2 обр. 1938 25 47,2</w:t>
            </w:r>
          </w:p>
          <w:p w14:paraId="183A027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047E538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Б-13обр. 1929 50,2</w:t>
            </w:r>
          </w:p>
          <w:p w14:paraId="7D56F48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BF099E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Бр-2 обр. 1938 42,2</w:t>
            </w:r>
          </w:p>
          <w:p w14:paraId="284CA38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AED87C9" w14:textId="77777777" w:rsidTr="00EA0DA7">
        <w:trPr>
          <w:trHeight w:val="182"/>
        </w:trPr>
        <w:tc>
          <w:tcPr>
            <w:tcW w:w="1795" w:type="dxa"/>
          </w:tcPr>
          <w:p w14:paraId="61500CB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 скорость сн м/с</w:t>
            </w:r>
          </w:p>
          <w:p w14:paraId="57042EB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56809D0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550-600 880</w:t>
            </w:r>
          </w:p>
          <w:p w14:paraId="1F144BF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68B30E5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870</w:t>
            </w:r>
          </w:p>
          <w:p w14:paraId="3839B74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19392E4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880</w:t>
            </w:r>
          </w:p>
          <w:p w14:paraId="41B153E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7C5D02C" w14:textId="77777777" w:rsidTr="00EA0DA7">
        <w:trPr>
          <w:trHeight w:val="182"/>
        </w:trPr>
        <w:tc>
          <w:tcPr>
            <w:tcW w:w="3859" w:type="dxa"/>
            <w:gridSpan w:val="2"/>
          </w:tcPr>
          <w:p w14:paraId="157EF7F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Угол гориз. наведения ±4' ±4"</w:t>
            </w:r>
          </w:p>
          <w:p w14:paraId="42FAD52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2BD03BF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p w14:paraId="6E9A5EA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32E35A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p w14:paraId="0ECC898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CFE3A04" w14:textId="77777777" w:rsidTr="00EA0DA7">
        <w:trPr>
          <w:trHeight w:val="182"/>
        </w:trPr>
        <w:tc>
          <w:tcPr>
            <w:tcW w:w="1795" w:type="dxa"/>
          </w:tcPr>
          <w:p w14:paraId="5ACFFBA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Угол верт. наведения</w:t>
            </w:r>
          </w:p>
          <w:p w14:paraId="77F717E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5D5DD78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 0+52°</w:t>
            </w:r>
          </w:p>
          <w:p w14:paraId="74216C2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413F949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w:t>
            </w:r>
          </w:p>
          <w:p w14:paraId="3F33950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8EA292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w:t>
            </w:r>
          </w:p>
          <w:p w14:paraId="0A38B82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B3139D3" w14:textId="77777777" w:rsidTr="00EA0DA7">
        <w:trPr>
          <w:trHeight w:val="182"/>
        </w:trPr>
        <w:tc>
          <w:tcPr>
            <w:tcW w:w="1795" w:type="dxa"/>
          </w:tcPr>
          <w:p w14:paraId="0004709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Снарядов, шт.</w:t>
            </w:r>
          </w:p>
          <w:p w14:paraId="4561039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35D469F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16-28</w:t>
            </w:r>
          </w:p>
          <w:p w14:paraId="30F103F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2931E42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p w14:paraId="7A0AD30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C4EC77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w:t>
            </w:r>
          </w:p>
          <w:p w14:paraId="4546763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CC9EAB9" w14:textId="77777777" w:rsidTr="00EA0DA7">
        <w:trPr>
          <w:trHeight w:val="211"/>
        </w:trPr>
        <w:tc>
          <w:tcPr>
            <w:tcW w:w="1795" w:type="dxa"/>
          </w:tcPr>
          <w:p w14:paraId="6A842F7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Пулеметов, шт. х кал</w:t>
            </w:r>
          </w:p>
          <w:p w14:paraId="6C1CC91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275B0BF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2x7,62 мм 4x7,62 мм</w:t>
            </w:r>
          </w:p>
          <w:p w14:paraId="6AE6B46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2FA3E40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3x7,62 мм</w:t>
            </w:r>
          </w:p>
          <w:p w14:paraId="3D6FD04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5956D8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Зх7,62-мм</w:t>
            </w:r>
          </w:p>
          <w:p w14:paraId="509705E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FF565FB" w14:textId="77777777" w:rsidTr="00EA0DA7">
        <w:trPr>
          <w:trHeight w:val="192"/>
        </w:trPr>
        <w:tc>
          <w:tcPr>
            <w:tcW w:w="1795" w:type="dxa"/>
          </w:tcPr>
          <w:p w14:paraId="793E8E7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|НР Патронов, шт.</w:t>
            </w:r>
          </w:p>
          <w:p w14:paraId="6FEBCA6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43C1091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2268 2835</w:t>
            </w:r>
          </w:p>
          <w:p w14:paraId="5F85B2C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27297CA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1890</w:t>
            </w:r>
          </w:p>
          <w:p w14:paraId="7DA0CBA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1CB147C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p w14:paraId="581B075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40BB0BD" w14:textId="77777777" w:rsidTr="00EA0DA7">
        <w:trPr>
          <w:trHeight w:val="163"/>
        </w:trPr>
        <w:tc>
          <w:tcPr>
            <w:tcW w:w="5923" w:type="dxa"/>
            <w:gridSpan w:val="4"/>
          </w:tcPr>
          <w:p w14:paraId="24560BB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Толщина брони. Мм</w:t>
            </w:r>
          </w:p>
        </w:tc>
      </w:tr>
      <w:tr w:rsidR="00983732" w:rsidRPr="00A3026E" w14:paraId="37B5FAFA" w14:textId="77777777" w:rsidTr="00EA0DA7">
        <w:trPr>
          <w:trHeight w:val="202"/>
        </w:trPr>
        <w:tc>
          <w:tcPr>
            <w:tcW w:w="1795" w:type="dxa"/>
          </w:tcPr>
          <w:p w14:paraId="1F880CE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Вертик. Корпуса</w:t>
            </w:r>
          </w:p>
          <w:p w14:paraId="4164471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3F07641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20-10 50-30</w:t>
            </w:r>
          </w:p>
          <w:p w14:paraId="19989FE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0F3C167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60-40</w:t>
            </w:r>
          </w:p>
          <w:p w14:paraId="0F35FAF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4E9B09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60-50</w:t>
            </w:r>
          </w:p>
          <w:p w14:paraId="342983E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C8A7C4C" w14:textId="77777777" w:rsidTr="00EA0DA7">
        <w:trPr>
          <w:trHeight w:val="202"/>
        </w:trPr>
        <w:tc>
          <w:tcPr>
            <w:tcW w:w="1795" w:type="dxa"/>
          </w:tcPr>
          <w:p w14:paraId="5B6A1C4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Гориз. корпуса</w:t>
            </w:r>
          </w:p>
          <w:p w14:paraId="10CC2A1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03765FD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6 10</w:t>
            </w:r>
          </w:p>
          <w:p w14:paraId="6F484FA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4425174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p w14:paraId="5DFBF09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548AD5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p w14:paraId="702F959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E7F823B" w14:textId="77777777" w:rsidTr="00EA0DA7">
        <w:trPr>
          <w:trHeight w:val="182"/>
        </w:trPr>
        <w:tc>
          <w:tcPr>
            <w:tcW w:w="1795" w:type="dxa"/>
          </w:tcPr>
          <w:p w14:paraId="17CF638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Рубка</w:t>
            </w:r>
          </w:p>
        </w:tc>
        <w:tc>
          <w:tcPr>
            <w:tcW w:w="2064" w:type="dxa"/>
          </w:tcPr>
          <w:p w14:paraId="0A29E58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30-20</w:t>
            </w:r>
          </w:p>
          <w:p w14:paraId="0456F0F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1667F34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w:t>
            </w:r>
          </w:p>
          <w:p w14:paraId="2CED9F3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301334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60-30</w:t>
            </w:r>
          </w:p>
          <w:p w14:paraId="50191D2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2495512" w14:textId="77777777" w:rsidTr="00EA0DA7">
        <w:trPr>
          <w:trHeight w:val="173"/>
        </w:trPr>
        <w:tc>
          <w:tcPr>
            <w:tcW w:w="5923" w:type="dxa"/>
            <w:gridSpan w:val="4"/>
          </w:tcPr>
          <w:p w14:paraId="2CB40C5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Силовая установка</w:t>
            </w:r>
          </w:p>
        </w:tc>
      </w:tr>
      <w:tr w:rsidR="00983732" w:rsidRPr="00A3026E" w14:paraId="42AAE632" w14:textId="77777777" w:rsidTr="00EA0DA7">
        <w:trPr>
          <w:trHeight w:val="326"/>
        </w:trPr>
        <w:tc>
          <w:tcPr>
            <w:tcW w:w="1795" w:type="dxa"/>
          </w:tcPr>
          <w:p w14:paraId="22515E9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База</w:t>
            </w:r>
          </w:p>
        </w:tc>
        <w:tc>
          <w:tcPr>
            <w:tcW w:w="2064" w:type="dxa"/>
          </w:tcPr>
          <w:p w14:paraId="26A7AD6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Т-28 Т-35</w:t>
            </w:r>
          </w:p>
        </w:tc>
        <w:tc>
          <w:tcPr>
            <w:tcW w:w="1027" w:type="dxa"/>
          </w:tcPr>
          <w:p w14:paraId="09B38E9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Т- 100</w:t>
            </w:r>
          </w:p>
        </w:tc>
        <w:tc>
          <w:tcPr>
            <w:tcW w:w="1037" w:type="dxa"/>
          </w:tcPr>
          <w:p w14:paraId="48716E8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СМК, КВ</w:t>
            </w:r>
          </w:p>
        </w:tc>
      </w:tr>
      <w:tr w:rsidR="00983732" w:rsidRPr="00A3026E" w14:paraId="22E8B88E" w14:textId="77777777" w:rsidTr="00EA0DA7">
        <w:trPr>
          <w:trHeight w:val="326"/>
        </w:trPr>
        <w:tc>
          <w:tcPr>
            <w:tcW w:w="1795" w:type="dxa"/>
          </w:tcPr>
          <w:p w14:paraId="314DF73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макс., л.с</w:t>
            </w:r>
          </w:p>
          <w:p w14:paraId="1712A84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41CF038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400 660</w:t>
            </w:r>
          </w:p>
          <w:p w14:paraId="3DC6904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0598FB6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p w14:paraId="58F0BC6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678F1D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850</w:t>
            </w:r>
          </w:p>
          <w:p w14:paraId="08E3B6C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A4DC808" w14:textId="77777777" w:rsidTr="00EA0DA7">
        <w:trPr>
          <w:trHeight w:val="211"/>
        </w:trPr>
        <w:tc>
          <w:tcPr>
            <w:tcW w:w="1795" w:type="dxa"/>
          </w:tcPr>
          <w:p w14:paraId="54FCF08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част. враш. об/мин</w:t>
            </w:r>
          </w:p>
          <w:p w14:paraId="06A38BA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4B31A37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1700 1900</w:t>
            </w:r>
          </w:p>
          <w:p w14:paraId="4A58FA9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5292AEC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1850</w:t>
            </w:r>
          </w:p>
          <w:p w14:paraId="6047D1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E2BA18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w:t>
            </w:r>
          </w:p>
          <w:p w14:paraId="2ADFE48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3461E51" w14:textId="77777777" w:rsidTr="00EA0DA7">
        <w:trPr>
          <w:trHeight w:val="346"/>
        </w:trPr>
        <w:tc>
          <w:tcPr>
            <w:tcW w:w="1795" w:type="dxa"/>
          </w:tcPr>
          <w:p w14:paraId="44FFCA5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Передач КПП</w:t>
            </w:r>
          </w:p>
          <w:p w14:paraId="2401AFD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6FC29A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 4/1</w:t>
            </w:r>
          </w:p>
          <w:p w14:paraId="17A835B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2B2201E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w:t>
            </w:r>
          </w:p>
          <w:p w14:paraId="52AFD2E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E3A0B6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w:t>
            </w:r>
          </w:p>
          <w:p w14:paraId="53D37BE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1CD28C5" w14:textId="77777777" w:rsidTr="00EA0DA7">
        <w:trPr>
          <w:trHeight w:val="346"/>
        </w:trPr>
        <w:tc>
          <w:tcPr>
            <w:tcW w:w="1795" w:type="dxa"/>
          </w:tcPr>
          <w:p w14:paraId="640606D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Сюрость макс, км/ч</w:t>
            </w:r>
          </w:p>
          <w:p w14:paraId="5641DC1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37A56B1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27,2 22</w:t>
            </w:r>
          </w:p>
          <w:p w14:paraId="6009700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651B71E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w:t>
            </w:r>
          </w:p>
          <w:p w14:paraId="68ED1E4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6BAE891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r>
      <w:tr w:rsidR="00983732" w:rsidRPr="00A3026E" w14:paraId="72DF53E6" w14:textId="77777777" w:rsidTr="00EA0DA7">
        <w:trPr>
          <w:trHeight w:val="240"/>
        </w:trPr>
        <w:tc>
          <w:tcPr>
            <w:tcW w:w="1795" w:type="dxa"/>
          </w:tcPr>
          <w:p w14:paraId="56A1CE1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Среднетехнич км/ч</w:t>
            </w:r>
          </w:p>
          <w:p w14:paraId="186BBE2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786B367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н.д. 12</w:t>
            </w:r>
          </w:p>
          <w:p w14:paraId="44161C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1F40B80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p w14:paraId="10E0F9A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1D640F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p w14:paraId="3387915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2E85D49" w14:textId="77777777" w:rsidTr="00EA0DA7">
        <w:trPr>
          <w:trHeight w:val="240"/>
        </w:trPr>
        <w:tc>
          <w:tcPr>
            <w:tcW w:w="1795" w:type="dxa"/>
          </w:tcPr>
          <w:p w14:paraId="7CA29F9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топлива</w:t>
            </w:r>
          </w:p>
          <w:p w14:paraId="05D0E8E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3A82B9C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1 с Бензин 1</w:t>
            </w:r>
          </w:p>
          <w:p w14:paraId="441F0B4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7600446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1</w:t>
            </w:r>
          </w:p>
          <w:p w14:paraId="034E458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6CCDC81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Диз. топливо </w:t>
            </w:r>
          </w:p>
          <w:p w14:paraId="2D8142B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F3406C0" w14:textId="77777777" w:rsidTr="00EA0DA7">
        <w:trPr>
          <w:trHeight w:val="566"/>
        </w:trPr>
        <w:tc>
          <w:tcPr>
            <w:tcW w:w="1795" w:type="dxa"/>
          </w:tcPr>
          <w:p w14:paraId="374FA35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Емк. бака, л.</w:t>
            </w:r>
          </w:p>
          <w:p w14:paraId="0539468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015446D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н.д. 910</w:t>
            </w:r>
          </w:p>
          <w:p w14:paraId="192DB79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09E8D26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1270</w:t>
            </w:r>
          </w:p>
          <w:p w14:paraId="43DCA7C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31C494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845</w:t>
            </w:r>
          </w:p>
        </w:tc>
      </w:tr>
      <w:tr w:rsidR="00983732" w:rsidRPr="00A3026E" w14:paraId="2AD58536" w14:textId="77777777" w:rsidTr="00EA0DA7">
        <w:trPr>
          <w:trHeight w:val="566"/>
        </w:trPr>
        <w:tc>
          <w:tcPr>
            <w:tcW w:w="1795" w:type="dxa"/>
          </w:tcPr>
          <w:p w14:paraId="39F3EB6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хода, км</w:t>
            </w:r>
          </w:p>
          <w:p w14:paraId="5D9B0F0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209D8C3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50-100 130</w:t>
            </w:r>
          </w:p>
          <w:p w14:paraId="5718E4A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7109EB1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p w14:paraId="248C78D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C04C5D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p w14:paraId="1E25CA7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97C608A" w14:textId="77777777" w:rsidTr="00EA0DA7">
        <w:trPr>
          <w:trHeight w:val="365"/>
        </w:trPr>
        <w:tc>
          <w:tcPr>
            <w:tcW w:w="5923" w:type="dxa"/>
            <w:gridSpan w:val="4"/>
          </w:tcPr>
          <w:p w14:paraId="5C6428C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Поеололеваемые поепятствия</w:t>
            </w:r>
          </w:p>
        </w:tc>
      </w:tr>
      <w:tr w:rsidR="00983732" w:rsidRPr="00A3026E" w14:paraId="4260635A" w14:textId="77777777" w:rsidTr="00EA0DA7">
        <w:trPr>
          <w:trHeight w:val="365"/>
        </w:trPr>
        <w:tc>
          <w:tcPr>
            <w:tcW w:w="1795" w:type="dxa"/>
          </w:tcPr>
          <w:p w14:paraId="03903B3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Подъем, град.</w:t>
            </w:r>
          </w:p>
          <w:p w14:paraId="4F3D7A5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091" w:type="dxa"/>
            <w:gridSpan w:val="2"/>
          </w:tcPr>
          <w:p w14:paraId="048B13A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35 15 42</w:t>
            </w:r>
          </w:p>
          <w:p w14:paraId="667DC26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19820B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p w14:paraId="442B0B6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284BB0B" w14:textId="77777777" w:rsidTr="00EA0DA7">
        <w:trPr>
          <w:trHeight w:val="182"/>
        </w:trPr>
        <w:tc>
          <w:tcPr>
            <w:tcW w:w="1795" w:type="dxa"/>
          </w:tcPr>
          <w:p w14:paraId="06D0543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Спуск, град.</w:t>
            </w:r>
          </w:p>
          <w:p w14:paraId="013B26E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555162B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30 15</w:t>
            </w:r>
          </w:p>
          <w:p w14:paraId="2E44A95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1B20A5D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w:t>
            </w:r>
          </w:p>
          <w:p w14:paraId="4E8767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BA301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p w14:paraId="7782DDD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A40A89B" w14:textId="77777777" w:rsidTr="00EA0DA7">
        <w:trPr>
          <w:trHeight w:val="182"/>
        </w:trPr>
        <w:tc>
          <w:tcPr>
            <w:tcW w:w="1795" w:type="dxa"/>
          </w:tcPr>
          <w:p w14:paraId="69089BA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Крен, град.</w:t>
            </w:r>
          </w:p>
          <w:p w14:paraId="0A47CC2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7F6FCB6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20 15</w:t>
            </w:r>
          </w:p>
          <w:p w14:paraId="7EDA58E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19924C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p w14:paraId="1C87BA7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1E0A242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p w14:paraId="061AB93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06BF998" w14:textId="77777777" w:rsidTr="00EA0DA7">
        <w:trPr>
          <w:trHeight w:val="374"/>
        </w:trPr>
        <w:tc>
          <w:tcPr>
            <w:tcW w:w="1795" w:type="dxa"/>
          </w:tcPr>
          <w:p w14:paraId="2D91278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Окоп, мм</w:t>
            </w:r>
          </w:p>
          <w:p w14:paraId="34A69BD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76B4941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3200 3000</w:t>
            </w:r>
          </w:p>
          <w:p w14:paraId="08A2172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4D5F73C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p w14:paraId="61EAA5F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1EDBF7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p w14:paraId="18D5E2D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6C29148" w14:textId="77777777" w:rsidTr="00EA0DA7">
        <w:trPr>
          <w:trHeight w:val="182"/>
        </w:trPr>
        <w:tc>
          <w:tcPr>
            <w:tcW w:w="1795" w:type="dxa"/>
          </w:tcPr>
          <w:p w14:paraId="2953227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Стенка, мм</w:t>
            </w:r>
          </w:p>
          <w:p w14:paraId="755F39A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61339B8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900 960</w:t>
            </w:r>
          </w:p>
          <w:p w14:paraId="13E163A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48B7E11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p w14:paraId="5142314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7368498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p w14:paraId="02DA963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4581715" w14:textId="77777777" w:rsidTr="00EA0DA7">
        <w:trPr>
          <w:trHeight w:val="221"/>
        </w:trPr>
        <w:tc>
          <w:tcPr>
            <w:tcW w:w="1795" w:type="dxa"/>
            <w:tcBorders>
              <w:bottom w:val="single" w:sz="12" w:space="0" w:color="auto"/>
            </w:tcBorders>
          </w:tcPr>
          <w:p w14:paraId="414C38F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Брод, мм</w:t>
            </w:r>
          </w:p>
          <w:p w14:paraId="243178D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Borders>
              <w:bottom w:val="single" w:sz="12" w:space="0" w:color="auto"/>
            </w:tcBorders>
          </w:tcPr>
          <w:p w14:paraId="18F5197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1500 1500</w:t>
            </w:r>
          </w:p>
          <w:p w14:paraId="0DDF73E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Borders>
              <w:bottom w:val="single" w:sz="12" w:space="0" w:color="auto"/>
            </w:tcBorders>
          </w:tcPr>
          <w:p w14:paraId="506F28A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1250</w:t>
            </w:r>
          </w:p>
          <w:p w14:paraId="5378966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bottom w:val="single" w:sz="12" w:space="0" w:color="auto"/>
            </w:tcBorders>
          </w:tcPr>
          <w:p w14:paraId="542E6BD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p w14:paraId="13EC1E6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bl>
    <w:p w14:paraId="227A78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(11417).</w:t>
      </w:r>
    </w:p>
    <w:p w14:paraId="4F6E2B6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0840B3F"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декабре 1940 была согласно Оперативной сводке по заводу № 183:</w:t>
      </w:r>
    </w:p>
    <w:p w14:paraId="74B06140"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План – 125 машин, с начала года поставлено 115, в декабре 32 машины. Отгружено с начало года – 108 машин, в декабре 63, всего на заводе имеется еще 156 машин в различном состоянии. </w:t>
      </w:r>
    </w:p>
    <w:p w14:paraId="2D8FCDA3"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Дефекты : разрушение наружного роликоподшипника бортовой передачи – 2 случая. </w:t>
      </w:r>
    </w:p>
    <w:p w14:paraId="00D0A396"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Старший военпред Козырев (11450).</w:t>
      </w:r>
    </w:p>
    <w:p w14:paraId="5F205BE6" w14:textId="77777777" w:rsidR="0014077F" w:rsidRPr="00A3026E" w:rsidRDefault="0014077F" w:rsidP="00A3026E">
      <w:pPr>
        <w:pStyle w:val="Iauiue"/>
        <w:jc w:val="both"/>
        <w:rPr>
          <w:color w:val="000000" w:themeColor="text1"/>
          <w:sz w:val="16"/>
          <w:szCs w:val="16"/>
        </w:rPr>
      </w:pPr>
    </w:p>
    <w:p w14:paraId="77727F6A"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декабре 1940 согласно справке по Опытным работам на заводе № 183:</w:t>
      </w:r>
    </w:p>
    <w:p w14:paraId="7E8EEA48"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1. Сборка и испытание двух машин А-34 № 611-28 и № 312-25 с опытными механизмами и деталями из заменителей ГФ с одиннадцатью стальными утолщенными дисками и двадцатью пружинами с испытаний сняты из-за пробуксовки на третьей передаче. ГФ с дисками по четыре радиальных выреза прошли 1200 км, испытания продолжаются. </w:t>
      </w:r>
    </w:p>
    <w:p w14:paraId="4BBED832"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2. Разработан и изготовлен люк механика-водителя со смотровыми приборами – два триплекса с закрывающимися лючками. </w:t>
      </w:r>
    </w:p>
    <w:p w14:paraId="7378E2BB"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3. Заканчивается установка на машине прибора огнеметания. </w:t>
      </w:r>
    </w:p>
    <w:p w14:paraId="7F9F27B3"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4. Разработан и спущен в производство прибор по отоплению машины А-7М. </w:t>
      </w:r>
    </w:p>
    <w:p w14:paraId="17C30354"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5. КБ в декабре занимался в основном разработкой вопросов, связанных с усилением ребер жесткости и утолщением плиц трака гусеницы (после 1000 км – рвутся). </w:t>
      </w:r>
    </w:p>
    <w:p w14:paraId="2F636663"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Старший военпред Козырев (11450).</w:t>
      </w:r>
    </w:p>
    <w:p w14:paraId="135BB8A3" w14:textId="77777777" w:rsidR="0014077F" w:rsidRPr="00A3026E" w:rsidRDefault="0014077F" w:rsidP="00A3026E">
      <w:pPr>
        <w:pStyle w:val="af2"/>
        <w:jc w:val="both"/>
        <w:rPr>
          <w:i w:val="0"/>
          <w:iCs w:val="0"/>
          <w:color w:val="000000" w:themeColor="text1"/>
          <w:spacing w:val="0"/>
          <w:kern w:val="0"/>
          <w:position w:val="0"/>
          <w:sz w:val="16"/>
          <w:szCs w:val="16"/>
          <w:lang w:val="ru-RU"/>
        </w:rPr>
      </w:pPr>
    </w:p>
    <w:p w14:paraId="40C7026E" w14:textId="77777777" w:rsidR="00F124F9" w:rsidRPr="00A3026E" w:rsidRDefault="00F124F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В декабре 1940 года на заводе №183, куда прибыл немецкий танк, его подробно изучили. Для химического анализа специалисты завода взяли пробы с торсиона, балансира, пальца трака и листов брони. Были разобраны и изучены двигатель, ходовая часть, элементы трансмиссии, вооружение и смотровые приборы. Были сделаны эскизы наиболее интересных элементов и деталей. Разумеется, при проектировании А-43 изучение немецкой машины учитывалось, но, кроме командирской </w:t>
      </w:r>
      <w:r w:rsidRPr="00A3026E">
        <w:rPr>
          <w:rFonts w:ascii="Times New Roman" w:eastAsia="Times New Roman" w:hAnsi="Times New Roman"/>
          <w:color w:val="000000" w:themeColor="text1"/>
          <w:sz w:val="16"/>
          <w:szCs w:val="16"/>
          <w:lang w:eastAsia="ru-RU"/>
        </w:rPr>
        <w:lastRenderedPageBreak/>
        <w:t>башенки и размещения третьего члена экипажа в башне, ничего другого о Pz.Kpfw.III конструкторы советского танка не взяли. Торсионная подвеска для Т-34 предлагалась еще до появления немецкого танка, конструктивно она отличалась. Что же касается ходовой части А-43 в первом варианте, то она была, скорее, похожа на ходовую Т-50, а не Pz.Kpfw.III (17700).</w:t>
      </w:r>
    </w:p>
    <w:p w14:paraId="2DB51F29" w14:textId="77777777" w:rsidR="00F124F9" w:rsidRPr="00A3026E" w:rsidRDefault="00F124F9" w:rsidP="00A3026E">
      <w:pPr>
        <w:spacing w:after="0" w:line="240" w:lineRule="auto"/>
        <w:jc w:val="both"/>
        <w:rPr>
          <w:rFonts w:ascii="Times New Roman" w:eastAsia="Times New Roman" w:hAnsi="Times New Roman"/>
          <w:color w:val="000000" w:themeColor="text1"/>
          <w:sz w:val="16"/>
          <w:szCs w:val="16"/>
          <w:lang w:eastAsia="ru-RU"/>
        </w:rPr>
      </w:pPr>
    </w:p>
    <w:p w14:paraId="187942A3" w14:textId="77777777" w:rsidR="00F124F9" w:rsidRPr="00A3026E" w:rsidRDefault="00F124F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декабре 1940 года составленные Артиллерийским комитетом ГАУ КА тактико-технические требования (ТТТ) к САУ вызвали острые дебаты. В виду запоздалой выдачи ТТТ и приоритета работ по теме Т-220 самоходную установку «212» к 1 декабря Кировский завод предъявить не смог. Зато 10 числа в адрес Арткома ГАУ КА поступило письмо с Кировского завода, подписанное начальником СКБ-2 Ж. Я. Котиным, начальником СКБ-4 П. Ф. Фёдоровым и старшим инженером машины Ц. Н. Гольбуртом. В письме указывался большой список замечаний по ТТТ, появившихся в ходе проектирования САУ. Дело в том, что при бронировании лобовой части машины, составлявшем по ТТТ 75 мм, в определённую в 55 тонн массу вложиться не получалось никак. И ладно бы эта проблема была только с САУ. Для выступавшего базовой машиной танка Т-220 боевая масса задавалась в 56 тонн, а в итоге она получилась 62,7 тонны.</w:t>
      </w:r>
    </w:p>
    <w:p w14:paraId="7EFE196A" w14:textId="77777777" w:rsidR="00F124F9" w:rsidRPr="00A3026E" w:rsidRDefault="00F124F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А ведь «212» получался больше. Простой подсчёт показывал, что при массе 55 тонн масса корпуса самохода должна была составить всего 17,5 тонн. При этом схожий по размерам СМК, имевший меньшую по толщине броню, имел массу корпуса 31 тонна. Выход из положения предлагался простой и бесхитростный – поднять верхнюю планку боевой массы установки до 65 тонн. Впрочем, даже в такие рамки конструкторы планировали вложиться в случае снижения толщины лобовой брони до 60 мм (17646).</w:t>
      </w:r>
    </w:p>
    <w:p w14:paraId="7521EC2B" w14:textId="77777777" w:rsidR="00F124F9" w:rsidRPr="00A3026E" w:rsidRDefault="00F124F9" w:rsidP="00A3026E">
      <w:pPr>
        <w:spacing w:after="0" w:line="240" w:lineRule="auto"/>
        <w:jc w:val="both"/>
        <w:rPr>
          <w:rFonts w:ascii="Times New Roman" w:eastAsia="Times New Roman" w:hAnsi="Times New Roman"/>
          <w:color w:val="000000" w:themeColor="text1"/>
          <w:sz w:val="16"/>
          <w:szCs w:val="16"/>
          <w:lang w:eastAsia="ru-RU"/>
        </w:rPr>
      </w:pPr>
    </w:p>
    <w:p w14:paraId="316E26C8"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декабре 1940 была подготовлена справка:</w:t>
      </w:r>
    </w:p>
    <w:p w14:paraId="69D2958E"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Оперативная сводка по заводу № 183 за ноябрь 1940 г. </w:t>
      </w:r>
    </w:p>
    <w:p w14:paraId="4EC04CB1"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С начала года надлежало поставить 375 машин, в ноябре – 120 машин. Поставлено с начала года 83 машины, в ноябре – 38 машин. Отгружено с начала года 45, в ноябре – 35 машин. В ноябре предъявлено на испытания большим пробегом 34 машины, из них : ноябрьской сборки 9 машин. Из ноябрьских машин принято с первого пробега 22 машины, со второго – 2. </w:t>
      </w:r>
    </w:p>
    <w:p w14:paraId="424AEF8D"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Передано на СТЗ корпусов 24, башен 24. </w:t>
      </w:r>
    </w:p>
    <w:p w14:paraId="4FD4D87A"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Районный инженер ГАБТУ РККА военинженер 2-го ранга Козырев (11450).</w:t>
      </w:r>
    </w:p>
    <w:p w14:paraId="33819B82" w14:textId="77777777" w:rsidR="0014077F" w:rsidRPr="00A3026E" w:rsidRDefault="0014077F" w:rsidP="00A3026E">
      <w:pPr>
        <w:pStyle w:val="af2"/>
        <w:jc w:val="both"/>
        <w:rPr>
          <w:i w:val="0"/>
          <w:iCs w:val="0"/>
          <w:color w:val="000000" w:themeColor="text1"/>
          <w:spacing w:val="0"/>
          <w:kern w:val="0"/>
          <w:position w:val="0"/>
          <w:sz w:val="16"/>
          <w:szCs w:val="16"/>
          <w:lang w:val="ru-RU"/>
        </w:rPr>
      </w:pPr>
    </w:p>
    <w:p w14:paraId="0E37A63E" w14:textId="77777777" w:rsidR="0014077F" w:rsidRPr="00A3026E" w:rsidRDefault="0014077F" w:rsidP="00A3026E">
      <w:pPr>
        <w:pStyle w:val="a3"/>
        <w:rPr>
          <w:color w:val="000000" w:themeColor="text1"/>
          <w:lang w:val="ru-RU"/>
        </w:rPr>
      </w:pPr>
      <w:r w:rsidRPr="00A3026E">
        <w:rPr>
          <w:color w:val="000000" w:themeColor="text1"/>
          <w:lang w:val="ru-RU"/>
        </w:rPr>
        <w:t>В декабре 1940 г. в сохранившемся проекте доклада народного комиссара обороны председате</w:t>
      </w:r>
      <w:r w:rsidRPr="00A3026E">
        <w:rPr>
          <w:color w:val="000000" w:themeColor="text1"/>
          <w:lang w:val="ru-RU"/>
        </w:rPr>
        <w:softHyphen/>
        <w:t>лю Комитета обороны при Совете народных комиссаров СССР отме</w:t>
      </w:r>
      <w:r w:rsidRPr="00A3026E">
        <w:rPr>
          <w:color w:val="000000" w:themeColor="text1"/>
          <w:lang w:val="ru-RU"/>
        </w:rPr>
        <w:softHyphen/>
        <w:t>чалось:</w:t>
      </w:r>
    </w:p>
    <w:p w14:paraId="07F14E1A" w14:textId="77777777" w:rsidR="0014077F" w:rsidRPr="00A3026E" w:rsidRDefault="0014077F" w:rsidP="00A3026E">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A3026E">
        <w:rPr>
          <w:rFonts w:ascii="Times New Roman" w:hAnsi="Times New Roman" w:cs="Times New Roman"/>
          <w:i w:val="0"/>
          <w:iCs w:val="0"/>
          <w:color w:val="000000" w:themeColor="text1"/>
          <w:sz w:val="16"/>
          <w:szCs w:val="16"/>
          <w:lang w:val="ru-RU"/>
        </w:rPr>
        <w:t>«Производство артиллерийских тракто</w:t>
      </w:r>
      <w:r w:rsidRPr="00A3026E">
        <w:rPr>
          <w:rFonts w:ascii="Times New Roman" w:hAnsi="Times New Roman" w:cs="Times New Roman"/>
          <w:i w:val="0"/>
          <w:iCs w:val="0"/>
          <w:color w:val="000000" w:themeColor="text1"/>
          <w:sz w:val="16"/>
          <w:szCs w:val="16"/>
          <w:lang w:val="ru-RU"/>
        </w:rPr>
        <w:softHyphen/>
        <w:t>ров для противотанковой, дивизионной, зе</w:t>
      </w:r>
      <w:r w:rsidRPr="00A3026E">
        <w:rPr>
          <w:rFonts w:ascii="Times New Roman" w:hAnsi="Times New Roman" w:cs="Times New Roman"/>
          <w:i w:val="0"/>
          <w:iCs w:val="0"/>
          <w:color w:val="000000" w:themeColor="text1"/>
          <w:sz w:val="16"/>
          <w:szCs w:val="16"/>
          <w:lang w:val="ru-RU"/>
        </w:rPr>
        <w:softHyphen/>
        <w:t>нитной, корпусной артиллерии и артиллерии большой мощности далеко отстает от суще</w:t>
      </w:r>
      <w:r w:rsidRPr="00A3026E">
        <w:rPr>
          <w:rFonts w:ascii="Times New Roman" w:hAnsi="Times New Roman" w:cs="Times New Roman"/>
          <w:i w:val="0"/>
          <w:iCs w:val="0"/>
          <w:color w:val="000000" w:themeColor="text1"/>
          <w:sz w:val="16"/>
          <w:szCs w:val="16"/>
          <w:lang w:val="ru-RU"/>
        </w:rPr>
        <w:softHyphen/>
        <w:t>ствующей потребности в них, а тракторов (кроме «Комсомольца») по своим тактико- техническим данным не удовлетворяют тре</w:t>
      </w:r>
      <w:r w:rsidRPr="00A3026E">
        <w:rPr>
          <w:rFonts w:ascii="Times New Roman" w:hAnsi="Times New Roman" w:cs="Times New Roman"/>
          <w:i w:val="0"/>
          <w:iCs w:val="0"/>
          <w:color w:val="000000" w:themeColor="text1"/>
          <w:sz w:val="16"/>
          <w:szCs w:val="16"/>
          <w:lang w:val="ru-RU"/>
        </w:rPr>
        <w:softHyphen/>
        <w:t>бованиям современных артиллерийских си</w:t>
      </w:r>
      <w:r w:rsidRPr="00A3026E">
        <w:rPr>
          <w:rFonts w:ascii="Times New Roman" w:hAnsi="Times New Roman" w:cs="Times New Roman"/>
          <w:i w:val="0"/>
          <w:iCs w:val="0"/>
          <w:color w:val="000000" w:themeColor="text1"/>
          <w:sz w:val="16"/>
          <w:szCs w:val="16"/>
          <w:lang w:val="ru-RU"/>
        </w:rPr>
        <w:softHyphen/>
        <w:t>стем, находящихся на вооружении в Крас</w:t>
      </w:r>
      <w:r w:rsidRPr="00A3026E">
        <w:rPr>
          <w:rFonts w:ascii="Times New Roman" w:hAnsi="Times New Roman" w:cs="Times New Roman"/>
          <w:i w:val="0"/>
          <w:iCs w:val="0"/>
          <w:color w:val="000000" w:themeColor="text1"/>
          <w:sz w:val="16"/>
          <w:szCs w:val="16"/>
          <w:lang w:val="ru-RU"/>
        </w:rPr>
        <w:softHyphen/>
        <w:t>ной Армии. Вследствие чего, обеспеченность тракторами артиллерийских частей на меха</w:t>
      </w:r>
      <w:r w:rsidRPr="00A3026E">
        <w:rPr>
          <w:rFonts w:ascii="Times New Roman" w:hAnsi="Times New Roman" w:cs="Times New Roman"/>
          <w:i w:val="0"/>
          <w:iCs w:val="0"/>
          <w:color w:val="000000" w:themeColor="text1"/>
          <w:sz w:val="16"/>
          <w:szCs w:val="16"/>
          <w:lang w:val="ru-RU"/>
        </w:rPr>
        <w:softHyphen/>
        <w:t>нической тяге в настоящее время крайне низка.</w:t>
      </w:r>
    </w:p>
    <w:p w14:paraId="4F4DEA0D" w14:textId="77777777" w:rsidR="0014077F" w:rsidRPr="00A3026E" w:rsidRDefault="0014077F" w:rsidP="00A3026E">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A3026E">
        <w:rPr>
          <w:rFonts w:ascii="Times New Roman" w:hAnsi="Times New Roman" w:cs="Times New Roman"/>
          <w:i w:val="0"/>
          <w:iCs w:val="0"/>
          <w:color w:val="000000" w:themeColor="text1"/>
          <w:sz w:val="16"/>
          <w:szCs w:val="16"/>
          <w:lang w:val="ru-RU"/>
        </w:rPr>
        <w:t>...Основными причинами крайне тяже</w:t>
      </w:r>
      <w:r w:rsidRPr="00A3026E">
        <w:rPr>
          <w:rFonts w:ascii="Times New Roman" w:hAnsi="Times New Roman" w:cs="Times New Roman"/>
          <w:i w:val="0"/>
          <w:iCs w:val="0"/>
          <w:color w:val="000000" w:themeColor="text1"/>
          <w:sz w:val="16"/>
          <w:szCs w:val="16"/>
          <w:lang w:val="ru-RU"/>
        </w:rPr>
        <w:softHyphen/>
        <w:t>лого положения со средствами механичес</w:t>
      </w:r>
      <w:r w:rsidRPr="00A3026E">
        <w:rPr>
          <w:rFonts w:ascii="Times New Roman" w:hAnsi="Times New Roman" w:cs="Times New Roman"/>
          <w:i w:val="0"/>
          <w:iCs w:val="0"/>
          <w:color w:val="000000" w:themeColor="text1"/>
          <w:sz w:val="16"/>
          <w:szCs w:val="16"/>
          <w:lang w:val="ru-RU"/>
        </w:rPr>
        <w:softHyphen/>
        <w:t>кой тяги в артиллерийских частях являются: а) отсутствие специальных заводов по про</w:t>
      </w:r>
      <w:r w:rsidRPr="00A3026E">
        <w:rPr>
          <w:rFonts w:ascii="Times New Roman" w:hAnsi="Times New Roman" w:cs="Times New Roman"/>
          <w:i w:val="0"/>
          <w:iCs w:val="0"/>
          <w:color w:val="000000" w:themeColor="text1"/>
          <w:sz w:val="16"/>
          <w:szCs w:val="16"/>
          <w:lang w:val="ru-RU"/>
        </w:rPr>
        <w:softHyphen/>
        <w:t>изводству артиллерийских тракторов, а пе</w:t>
      </w:r>
      <w:r w:rsidRPr="00A3026E">
        <w:rPr>
          <w:rFonts w:ascii="Times New Roman" w:hAnsi="Times New Roman" w:cs="Times New Roman"/>
          <w:i w:val="0"/>
          <w:iCs w:val="0"/>
          <w:color w:val="000000" w:themeColor="text1"/>
          <w:sz w:val="16"/>
          <w:szCs w:val="16"/>
          <w:lang w:val="ru-RU"/>
        </w:rPr>
        <w:softHyphen/>
        <w:t>ределка тракторов сельскохозяйственного типа в артиллерийские на существующих тракторных заводах не дает положительных результатов; б) отсутствие специальных кон</w:t>
      </w:r>
      <w:r w:rsidRPr="00A3026E">
        <w:rPr>
          <w:rFonts w:ascii="Times New Roman" w:hAnsi="Times New Roman" w:cs="Times New Roman"/>
          <w:i w:val="0"/>
          <w:iCs w:val="0"/>
          <w:color w:val="000000" w:themeColor="text1"/>
          <w:sz w:val="16"/>
          <w:szCs w:val="16"/>
          <w:lang w:val="ru-RU"/>
        </w:rPr>
        <w:softHyphen/>
        <w:t>структорских бюро по разработке артилле</w:t>
      </w:r>
      <w:r w:rsidRPr="00A3026E">
        <w:rPr>
          <w:rFonts w:ascii="Times New Roman" w:hAnsi="Times New Roman" w:cs="Times New Roman"/>
          <w:i w:val="0"/>
          <w:iCs w:val="0"/>
          <w:color w:val="000000" w:themeColor="text1"/>
          <w:sz w:val="16"/>
          <w:szCs w:val="16"/>
          <w:lang w:val="ru-RU"/>
        </w:rPr>
        <w:softHyphen/>
        <w:t>рийских тракторов, вследствие чего конст</w:t>
      </w:r>
      <w:r w:rsidRPr="00A3026E">
        <w:rPr>
          <w:rFonts w:ascii="Times New Roman" w:hAnsi="Times New Roman" w:cs="Times New Roman"/>
          <w:i w:val="0"/>
          <w:iCs w:val="0"/>
          <w:color w:val="000000" w:themeColor="text1"/>
          <w:sz w:val="16"/>
          <w:szCs w:val="16"/>
          <w:lang w:val="ru-RU"/>
        </w:rPr>
        <w:softHyphen/>
        <w:t>руирование и научно-исследовательская ра</w:t>
      </w:r>
      <w:r w:rsidRPr="00A3026E">
        <w:rPr>
          <w:rFonts w:ascii="Times New Roman" w:hAnsi="Times New Roman" w:cs="Times New Roman"/>
          <w:i w:val="0"/>
          <w:iCs w:val="0"/>
          <w:color w:val="000000" w:themeColor="text1"/>
          <w:sz w:val="16"/>
          <w:szCs w:val="16"/>
          <w:lang w:val="ru-RU"/>
        </w:rPr>
        <w:softHyphen/>
        <w:t>бота по созданию артиллерийских тракторов возникает стихийно и никем не руководит</w:t>
      </w:r>
      <w:r w:rsidRPr="00A3026E">
        <w:rPr>
          <w:rFonts w:ascii="Times New Roman" w:hAnsi="Times New Roman" w:cs="Times New Roman"/>
          <w:i w:val="0"/>
          <w:iCs w:val="0"/>
          <w:color w:val="000000" w:themeColor="text1"/>
          <w:sz w:val="16"/>
          <w:szCs w:val="16"/>
          <w:lang w:val="ru-RU"/>
        </w:rPr>
        <w:softHyphen/>
        <w:t>ся; в) несоответствие поступающих на снаб</w:t>
      </w:r>
      <w:r w:rsidRPr="00A3026E">
        <w:rPr>
          <w:rFonts w:ascii="Times New Roman" w:hAnsi="Times New Roman" w:cs="Times New Roman"/>
          <w:i w:val="0"/>
          <w:iCs w:val="0"/>
          <w:color w:val="000000" w:themeColor="text1"/>
          <w:sz w:val="16"/>
          <w:szCs w:val="16"/>
          <w:lang w:val="ru-RU"/>
        </w:rPr>
        <w:softHyphen/>
        <w:t>жение артиллерийских частей тракторов сельскохозяйственного типа как в ко</w:t>
      </w:r>
      <w:r w:rsidRPr="00A3026E">
        <w:rPr>
          <w:rFonts w:ascii="Times New Roman" w:hAnsi="Times New Roman" w:cs="Times New Roman"/>
          <w:i w:val="0"/>
          <w:iCs w:val="0"/>
          <w:color w:val="000000" w:themeColor="text1"/>
          <w:sz w:val="16"/>
          <w:szCs w:val="16"/>
          <w:lang w:val="ru-RU"/>
        </w:rPr>
        <w:softHyphen/>
        <w:t>личественном, так и в качественном отношении.</w:t>
      </w:r>
    </w:p>
    <w:p w14:paraId="7B18CDCF" w14:textId="77777777" w:rsidR="0014077F" w:rsidRPr="00A3026E" w:rsidRDefault="0014077F" w:rsidP="00A3026E">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A3026E">
        <w:rPr>
          <w:rFonts w:ascii="Times New Roman" w:hAnsi="Times New Roman" w:cs="Times New Roman"/>
          <w:i w:val="0"/>
          <w:iCs w:val="0"/>
          <w:color w:val="000000" w:themeColor="text1"/>
          <w:sz w:val="16"/>
          <w:szCs w:val="16"/>
          <w:lang w:val="ru-RU"/>
        </w:rPr>
        <w:t>Обеспеченность частей указанны</w:t>
      </w:r>
      <w:r w:rsidRPr="00A3026E">
        <w:rPr>
          <w:rFonts w:ascii="Times New Roman" w:hAnsi="Times New Roman" w:cs="Times New Roman"/>
          <w:i w:val="0"/>
          <w:iCs w:val="0"/>
          <w:color w:val="000000" w:themeColor="text1"/>
          <w:sz w:val="16"/>
          <w:szCs w:val="16"/>
          <w:lang w:val="ru-RU"/>
        </w:rPr>
        <w:softHyphen/>
        <w:t>ми тракторами удовлетворительного технического состояния составляет около 30-35%.</w:t>
      </w:r>
    </w:p>
    <w:p w14:paraId="019C7D48" w14:textId="77777777" w:rsidR="0014077F" w:rsidRPr="00A3026E" w:rsidRDefault="0014077F" w:rsidP="00A3026E">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A3026E">
        <w:rPr>
          <w:rFonts w:ascii="Times New Roman" w:hAnsi="Times New Roman" w:cs="Times New Roman"/>
          <w:i w:val="0"/>
          <w:iCs w:val="0"/>
          <w:color w:val="000000" w:themeColor="text1"/>
          <w:sz w:val="16"/>
          <w:szCs w:val="16"/>
          <w:lang w:val="ru-RU"/>
        </w:rPr>
        <w:t>Вследствие указанного считаю не</w:t>
      </w:r>
      <w:r w:rsidRPr="00A3026E">
        <w:rPr>
          <w:rFonts w:ascii="Times New Roman" w:hAnsi="Times New Roman" w:cs="Times New Roman"/>
          <w:i w:val="0"/>
          <w:iCs w:val="0"/>
          <w:color w:val="000000" w:themeColor="text1"/>
          <w:sz w:val="16"/>
          <w:szCs w:val="16"/>
          <w:lang w:val="ru-RU"/>
        </w:rPr>
        <w:softHyphen/>
        <w:t>обходимым просить Вас о постановке вопроса перед Комитетом Обороны при СНК СССР о строительстве двух специальных заводов по производству артиллерийских тракторов: одного по производству тракторов противотанковой, малокалиберной зенитной и дивизионной ар</w:t>
      </w:r>
      <w:r w:rsidRPr="00A3026E">
        <w:rPr>
          <w:rFonts w:ascii="Times New Roman" w:hAnsi="Times New Roman" w:cs="Times New Roman"/>
          <w:i w:val="0"/>
          <w:iCs w:val="0"/>
          <w:color w:val="000000" w:themeColor="text1"/>
          <w:sz w:val="16"/>
          <w:szCs w:val="16"/>
          <w:lang w:val="ru-RU"/>
        </w:rPr>
        <w:softHyphen/>
        <w:t>тиллерии, а другого -для тракторов корпус</w:t>
      </w:r>
      <w:r w:rsidRPr="00A3026E">
        <w:rPr>
          <w:rFonts w:ascii="Times New Roman" w:hAnsi="Times New Roman" w:cs="Times New Roman"/>
          <w:i w:val="0"/>
          <w:iCs w:val="0"/>
          <w:color w:val="000000" w:themeColor="text1"/>
          <w:sz w:val="16"/>
          <w:szCs w:val="16"/>
          <w:lang w:val="ru-RU"/>
        </w:rPr>
        <w:softHyphen/>
        <w:t>ной и зенитной (76 и 85-мм пушек) артилле</w:t>
      </w:r>
      <w:r w:rsidRPr="00A3026E">
        <w:rPr>
          <w:rFonts w:ascii="Times New Roman" w:hAnsi="Times New Roman" w:cs="Times New Roman"/>
          <w:i w:val="0"/>
          <w:iCs w:val="0"/>
          <w:color w:val="000000" w:themeColor="text1"/>
          <w:sz w:val="16"/>
          <w:szCs w:val="16"/>
          <w:lang w:val="ru-RU"/>
        </w:rPr>
        <w:softHyphen/>
        <w:t>рии и артиллерии большой мощности.</w:t>
      </w:r>
    </w:p>
    <w:p w14:paraId="6B7EE907" w14:textId="77777777" w:rsidR="0014077F" w:rsidRPr="00A3026E" w:rsidRDefault="0014077F" w:rsidP="00A3026E">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A3026E">
        <w:rPr>
          <w:rFonts w:ascii="Times New Roman" w:hAnsi="Times New Roman" w:cs="Times New Roman"/>
          <w:i w:val="0"/>
          <w:iCs w:val="0"/>
          <w:color w:val="000000" w:themeColor="text1"/>
          <w:sz w:val="16"/>
          <w:szCs w:val="16"/>
          <w:lang w:val="ru-RU"/>
        </w:rPr>
        <w:t>Исходя из потребности в артиллерийс</w:t>
      </w:r>
      <w:r w:rsidRPr="00A3026E">
        <w:rPr>
          <w:rFonts w:ascii="Times New Roman" w:hAnsi="Times New Roman" w:cs="Times New Roman"/>
          <w:i w:val="0"/>
          <w:iCs w:val="0"/>
          <w:color w:val="000000" w:themeColor="text1"/>
          <w:sz w:val="16"/>
          <w:szCs w:val="16"/>
          <w:lang w:val="ru-RU"/>
        </w:rPr>
        <w:softHyphen/>
        <w:t>ких тракторах на 1941 год, с учетом покры</w:t>
      </w:r>
      <w:r w:rsidRPr="00A3026E">
        <w:rPr>
          <w:rFonts w:ascii="Times New Roman" w:hAnsi="Times New Roman" w:cs="Times New Roman"/>
          <w:i w:val="0"/>
          <w:iCs w:val="0"/>
          <w:color w:val="000000" w:themeColor="text1"/>
          <w:sz w:val="16"/>
          <w:szCs w:val="16"/>
          <w:lang w:val="ru-RU"/>
        </w:rPr>
        <w:softHyphen/>
        <w:t>тия общей потребности в них в течение 3-4 лет. Проектная мощность указанных заводов должна быть: а) по тракторам противотан</w:t>
      </w:r>
      <w:r w:rsidRPr="00A3026E">
        <w:rPr>
          <w:rFonts w:ascii="Times New Roman" w:hAnsi="Times New Roman" w:cs="Times New Roman"/>
          <w:i w:val="0"/>
          <w:iCs w:val="0"/>
          <w:color w:val="000000" w:themeColor="text1"/>
          <w:sz w:val="16"/>
          <w:szCs w:val="16"/>
          <w:lang w:val="ru-RU"/>
        </w:rPr>
        <w:softHyphen/>
        <w:t>ковой и малокалиберной зенитной артилле</w:t>
      </w:r>
      <w:r w:rsidRPr="00A3026E">
        <w:rPr>
          <w:rFonts w:ascii="Times New Roman" w:hAnsi="Times New Roman" w:cs="Times New Roman"/>
          <w:i w:val="0"/>
          <w:iCs w:val="0"/>
          <w:color w:val="000000" w:themeColor="text1"/>
          <w:sz w:val="16"/>
          <w:szCs w:val="16"/>
          <w:lang w:val="ru-RU"/>
        </w:rPr>
        <w:softHyphen/>
        <w:t xml:space="preserve">рии - </w:t>
      </w:r>
      <w:r w:rsidRPr="00A3026E">
        <w:rPr>
          <w:rStyle w:val="111pt2"/>
          <w:rFonts w:ascii="Times New Roman" w:hAnsi="Times New Roman" w:cs="Times New Roman"/>
          <w:iCs/>
          <w:color w:val="000000" w:themeColor="text1"/>
          <w:spacing w:val="0"/>
          <w:sz w:val="16"/>
          <w:szCs w:val="16"/>
          <w:lang w:val="ru-RU"/>
        </w:rPr>
        <w:t>7000</w:t>
      </w:r>
      <w:r w:rsidRPr="00A3026E">
        <w:rPr>
          <w:rFonts w:ascii="Times New Roman" w:hAnsi="Times New Roman" w:cs="Times New Roman"/>
          <w:i w:val="0"/>
          <w:iCs w:val="0"/>
          <w:color w:val="000000" w:themeColor="text1"/>
          <w:sz w:val="16"/>
          <w:szCs w:val="16"/>
          <w:lang w:val="ru-RU"/>
        </w:rPr>
        <w:t xml:space="preserve"> штук; б) по тракторам дивизион</w:t>
      </w:r>
      <w:r w:rsidRPr="00A3026E">
        <w:rPr>
          <w:rFonts w:ascii="Times New Roman" w:hAnsi="Times New Roman" w:cs="Times New Roman"/>
          <w:i w:val="0"/>
          <w:iCs w:val="0"/>
          <w:color w:val="000000" w:themeColor="text1"/>
          <w:sz w:val="16"/>
          <w:szCs w:val="16"/>
          <w:lang w:val="ru-RU"/>
        </w:rPr>
        <w:softHyphen/>
        <w:t xml:space="preserve">ной артиллерии - </w:t>
      </w:r>
      <w:r w:rsidRPr="00A3026E">
        <w:rPr>
          <w:rStyle w:val="111pt2"/>
          <w:rFonts w:ascii="Times New Roman" w:hAnsi="Times New Roman" w:cs="Times New Roman"/>
          <w:iCs/>
          <w:color w:val="000000" w:themeColor="text1"/>
          <w:spacing w:val="0"/>
          <w:sz w:val="16"/>
          <w:szCs w:val="16"/>
          <w:lang w:val="ru-RU"/>
        </w:rPr>
        <w:t>6000</w:t>
      </w:r>
      <w:r w:rsidRPr="00A3026E">
        <w:rPr>
          <w:rFonts w:ascii="Times New Roman" w:hAnsi="Times New Roman" w:cs="Times New Roman"/>
          <w:i w:val="0"/>
          <w:iCs w:val="0"/>
          <w:color w:val="000000" w:themeColor="text1"/>
          <w:sz w:val="16"/>
          <w:szCs w:val="16"/>
          <w:lang w:val="ru-RU"/>
        </w:rPr>
        <w:t xml:space="preserve"> штук; в) по тракто</w:t>
      </w:r>
      <w:r w:rsidRPr="00A3026E">
        <w:rPr>
          <w:rFonts w:ascii="Times New Roman" w:hAnsi="Times New Roman" w:cs="Times New Roman"/>
          <w:i w:val="0"/>
          <w:iCs w:val="0"/>
          <w:color w:val="000000" w:themeColor="text1"/>
          <w:sz w:val="16"/>
          <w:szCs w:val="16"/>
          <w:lang w:val="ru-RU"/>
        </w:rPr>
        <w:softHyphen/>
        <w:t xml:space="preserve">рам корпусной и зенитной артиллерии -4500 </w:t>
      </w:r>
      <w:r w:rsidRPr="00A3026E">
        <w:rPr>
          <w:rStyle w:val="1120"/>
          <w:rFonts w:ascii="Times New Roman" w:hAnsi="Times New Roman" w:cs="Times New Roman"/>
          <w:iCs/>
          <w:color w:val="000000" w:themeColor="text1"/>
          <w:sz w:val="16"/>
          <w:szCs w:val="16"/>
          <w:lang w:val="ru-RU"/>
        </w:rPr>
        <w:t>штук;</w:t>
      </w:r>
      <w:r w:rsidRPr="00A3026E">
        <w:rPr>
          <w:rFonts w:ascii="Times New Roman" w:hAnsi="Times New Roman" w:cs="Times New Roman"/>
          <w:i w:val="0"/>
          <w:iCs w:val="0"/>
          <w:color w:val="000000" w:themeColor="text1"/>
          <w:sz w:val="16"/>
          <w:szCs w:val="16"/>
          <w:lang w:val="ru-RU"/>
        </w:rPr>
        <w:t xml:space="preserve"> г) по тракторам для артиллерии боль</w:t>
      </w:r>
      <w:r w:rsidRPr="00A3026E">
        <w:rPr>
          <w:rFonts w:ascii="Times New Roman" w:hAnsi="Times New Roman" w:cs="Times New Roman"/>
          <w:i w:val="0"/>
          <w:iCs w:val="0"/>
          <w:color w:val="000000" w:themeColor="text1"/>
          <w:sz w:val="16"/>
          <w:szCs w:val="16"/>
          <w:lang w:val="ru-RU"/>
        </w:rPr>
        <w:softHyphen/>
        <w:t xml:space="preserve">шой мощности - </w:t>
      </w:r>
      <w:r w:rsidRPr="00A3026E">
        <w:rPr>
          <w:rStyle w:val="111pt2"/>
          <w:rFonts w:ascii="Times New Roman" w:hAnsi="Times New Roman" w:cs="Times New Roman"/>
          <w:iCs/>
          <w:color w:val="000000" w:themeColor="text1"/>
          <w:spacing w:val="0"/>
          <w:sz w:val="16"/>
          <w:szCs w:val="16"/>
          <w:lang w:val="ru-RU"/>
        </w:rPr>
        <w:t>2600</w:t>
      </w:r>
      <w:r w:rsidRPr="00A3026E">
        <w:rPr>
          <w:rFonts w:ascii="Times New Roman" w:hAnsi="Times New Roman" w:cs="Times New Roman"/>
          <w:i w:val="0"/>
          <w:iCs w:val="0"/>
          <w:color w:val="000000" w:themeColor="text1"/>
          <w:sz w:val="16"/>
          <w:szCs w:val="16"/>
          <w:lang w:val="ru-RU"/>
        </w:rPr>
        <w:t xml:space="preserve"> штук.</w:t>
      </w:r>
    </w:p>
    <w:p w14:paraId="7EBEA262" w14:textId="77777777" w:rsidR="0014077F" w:rsidRPr="00A3026E" w:rsidRDefault="0014077F" w:rsidP="00A3026E">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A3026E">
        <w:rPr>
          <w:rFonts w:ascii="Times New Roman" w:hAnsi="Times New Roman" w:cs="Times New Roman"/>
          <w:i w:val="0"/>
          <w:iCs w:val="0"/>
          <w:color w:val="000000" w:themeColor="text1"/>
          <w:sz w:val="16"/>
          <w:szCs w:val="16"/>
          <w:lang w:val="ru-RU"/>
        </w:rPr>
        <w:t>Учитывая крайнюю потребность в обес</w:t>
      </w:r>
      <w:r w:rsidRPr="00A3026E">
        <w:rPr>
          <w:rFonts w:ascii="Times New Roman" w:hAnsi="Times New Roman" w:cs="Times New Roman"/>
          <w:i w:val="0"/>
          <w:iCs w:val="0"/>
          <w:color w:val="000000" w:themeColor="text1"/>
          <w:sz w:val="16"/>
          <w:szCs w:val="16"/>
          <w:lang w:val="ru-RU"/>
        </w:rPr>
        <w:softHyphen/>
        <w:t>печении артиллерийских частей специаль</w:t>
      </w:r>
      <w:r w:rsidRPr="00A3026E">
        <w:rPr>
          <w:rFonts w:ascii="Times New Roman" w:hAnsi="Times New Roman" w:cs="Times New Roman"/>
          <w:i w:val="0"/>
          <w:iCs w:val="0"/>
          <w:color w:val="000000" w:themeColor="text1"/>
          <w:sz w:val="16"/>
          <w:szCs w:val="16"/>
          <w:lang w:val="ru-RU"/>
        </w:rPr>
        <w:softHyphen/>
        <w:t>ными тракторами, вышеуказанной проектной мощности заводы должны достигнуть к 1 ян</w:t>
      </w:r>
      <w:r w:rsidRPr="00A3026E">
        <w:rPr>
          <w:rFonts w:ascii="Times New Roman" w:hAnsi="Times New Roman" w:cs="Times New Roman"/>
          <w:i w:val="0"/>
          <w:iCs w:val="0"/>
          <w:color w:val="000000" w:themeColor="text1"/>
          <w:sz w:val="16"/>
          <w:szCs w:val="16"/>
          <w:lang w:val="ru-RU"/>
        </w:rPr>
        <w:softHyphen/>
        <w:t>варя 1943 года.</w:t>
      </w:r>
    </w:p>
    <w:p w14:paraId="7268841B" w14:textId="77777777" w:rsidR="0014077F" w:rsidRPr="00A3026E" w:rsidRDefault="0014077F" w:rsidP="00A3026E">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A3026E">
        <w:rPr>
          <w:rFonts w:ascii="Times New Roman" w:hAnsi="Times New Roman" w:cs="Times New Roman"/>
          <w:i w:val="0"/>
          <w:iCs w:val="0"/>
          <w:color w:val="000000" w:themeColor="text1"/>
          <w:sz w:val="16"/>
          <w:szCs w:val="16"/>
          <w:lang w:val="ru-RU"/>
        </w:rPr>
        <w:t>В основу производства специальных ар</w:t>
      </w:r>
      <w:r w:rsidRPr="00A3026E">
        <w:rPr>
          <w:rFonts w:ascii="Times New Roman" w:hAnsi="Times New Roman" w:cs="Times New Roman"/>
          <w:i w:val="0"/>
          <w:iCs w:val="0"/>
          <w:color w:val="000000" w:themeColor="text1"/>
          <w:sz w:val="16"/>
          <w:szCs w:val="16"/>
          <w:lang w:val="ru-RU"/>
        </w:rPr>
        <w:softHyphen/>
        <w:t>тиллерийских тракторов на вновь создавае</w:t>
      </w:r>
      <w:r w:rsidRPr="00A3026E">
        <w:rPr>
          <w:rFonts w:ascii="Times New Roman" w:hAnsi="Times New Roman" w:cs="Times New Roman"/>
          <w:i w:val="0"/>
          <w:iCs w:val="0"/>
          <w:color w:val="000000" w:themeColor="text1"/>
          <w:sz w:val="16"/>
          <w:szCs w:val="16"/>
          <w:lang w:val="ru-RU"/>
        </w:rPr>
        <w:softHyphen/>
        <w:t>мых заводах принять: а) для противотанко</w:t>
      </w:r>
      <w:r w:rsidRPr="00A3026E">
        <w:rPr>
          <w:rFonts w:ascii="Times New Roman" w:hAnsi="Times New Roman" w:cs="Times New Roman"/>
          <w:i w:val="0"/>
          <w:iCs w:val="0"/>
          <w:color w:val="000000" w:themeColor="text1"/>
          <w:sz w:val="16"/>
          <w:szCs w:val="16"/>
          <w:lang w:val="ru-RU"/>
        </w:rPr>
        <w:softHyphen/>
        <w:t>вой, малокалиберной зенитной и полковой артиллерии и 76-мм пушки образца 1939 года (УСВ) - существующий в производстве трак</w:t>
      </w:r>
      <w:r w:rsidRPr="00A3026E">
        <w:rPr>
          <w:rFonts w:ascii="Times New Roman" w:hAnsi="Times New Roman" w:cs="Times New Roman"/>
          <w:i w:val="0"/>
          <w:iCs w:val="0"/>
          <w:color w:val="000000" w:themeColor="text1"/>
          <w:sz w:val="16"/>
          <w:szCs w:val="16"/>
          <w:lang w:val="ru-RU"/>
        </w:rPr>
        <w:softHyphen/>
        <w:t>тор «Комсомолец» завода № 37; б) для ди</w:t>
      </w:r>
      <w:r w:rsidRPr="00A3026E">
        <w:rPr>
          <w:rFonts w:ascii="Times New Roman" w:hAnsi="Times New Roman" w:cs="Times New Roman"/>
          <w:i w:val="0"/>
          <w:iCs w:val="0"/>
          <w:color w:val="000000" w:themeColor="text1"/>
          <w:sz w:val="16"/>
          <w:szCs w:val="16"/>
          <w:lang w:val="ru-RU"/>
        </w:rPr>
        <w:softHyphen/>
        <w:t>визионной артиллерии - опытный образец трактора Т-22 (на базе танка Т-40) завода ГАЗ; в) для корпусной и зенитной артиллерии и артиллерии большой мощности - тип немец</w:t>
      </w:r>
      <w:r w:rsidRPr="00A3026E">
        <w:rPr>
          <w:rFonts w:ascii="Times New Roman" w:hAnsi="Times New Roman" w:cs="Times New Roman"/>
          <w:i w:val="0"/>
          <w:iCs w:val="0"/>
          <w:color w:val="000000" w:themeColor="text1"/>
          <w:sz w:val="16"/>
          <w:szCs w:val="16"/>
          <w:lang w:val="ru-RU"/>
        </w:rPr>
        <w:softHyphen/>
        <w:t>ких тракторов «Краус-Маффей» и «Фамо».</w:t>
      </w:r>
    </w:p>
    <w:p w14:paraId="2EA0FF6A" w14:textId="77777777" w:rsidR="0014077F" w:rsidRPr="00A3026E" w:rsidRDefault="0014077F" w:rsidP="00A3026E">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A3026E">
        <w:rPr>
          <w:rFonts w:ascii="Times New Roman" w:hAnsi="Times New Roman" w:cs="Times New Roman"/>
          <w:i w:val="0"/>
          <w:iCs w:val="0"/>
          <w:color w:val="000000" w:themeColor="text1"/>
          <w:sz w:val="16"/>
          <w:szCs w:val="16"/>
          <w:lang w:val="ru-RU"/>
        </w:rPr>
        <w:t>Временно, впредь до создания произ</w:t>
      </w:r>
      <w:r w:rsidRPr="00A3026E">
        <w:rPr>
          <w:rFonts w:ascii="Times New Roman" w:hAnsi="Times New Roman" w:cs="Times New Roman"/>
          <w:i w:val="0"/>
          <w:iCs w:val="0"/>
          <w:color w:val="000000" w:themeColor="text1"/>
          <w:sz w:val="16"/>
          <w:szCs w:val="16"/>
          <w:lang w:val="ru-RU"/>
        </w:rPr>
        <w:softHyphen/>
        <w:t>водственной базы по производству двига</w:t>
      </w:r>
      <w:r w:rsidRPr="00A3026E">
        <w:rPr>
          <w:rFonts w:ascii="Times New Roman" w:hAnsi="Times New Roman" w:cs="Times New Roman"/>
          <w:i w:val="0"/>
          <w:iCs w:val="0"/>
          <w:color w:val="000000" w:themeColor="text1"/>
          <w:sz w:val="16"/>
          <w:szCs w:val="16"/>
          <w:lang w:val="ru-RU"/>
        </w:rPr>
        <w:softHyphen/>
        <w:t>телей дизелей соответствующих мощнос</w:t>
      </w:r>
      <w:r w:rsidRPr="00A3026E">
        <w:rPr>
          <w:rFonts w:ascii="Times New Roman" w:hAnsi="Times New Roman" w:cs="Times New Roman"/>
          <w:i w:val="0"/>
          <w:iCs w:val="0"/>
          <w:color w:val="000000" w:themeColor="text1"/>
          <w:sz w:val="16"/>
          <w:szCs w:val="16"/>
          <w:lang w:val="ru-RU"/>
        </w:rPr>
        <w:softHyphen/>
        <w:t>тей, на вышеуказанные тракторы ставить су</w:t>
      </w:r>
      <w:r w:rsidRPr="00A3026E">
        <w:rPr>
          <w:rFonts w:ascii="Times New Roman" w:hAnsi="Times New Roman" w:cs="Times New Roman"/>
          <w:i w:val="0"/>
          <w:iCs w:val="0"/>
          <w:color w:val="000000" w:themeColor="text1"/>
          <w:sz w:val="16"/>
          <w:szCs w:val="16"/>
          <w:lang w:val="ru-RU"/>
        </w:rPr>
        <w:softHyphen/>
        <w:t>ществующие двигатели, изготавливаемые для машин отечественного производ</w:t>
      </w:r>
      <w:r w:rsidRPr="00A3026E">
        <w:rPr>
          <w:rFonts w:ascii="Times New Roman" w:hAnsi="Times New Roman" w:cs="Times New Roman"/>
          <w:i w:val="0"/>
          <w:iCs w:val="0"/>
          <w:color w:val="000000" w:themeColor="text1"/>
          <w:sz w:val="16"/>
          <w:szCs w:val="16"/>
          <w:lang w:val="ru-RU"/>
        </w:rPr>
        <w:softHyphen/>
        <w:t>ства».</w:t>
      </w:r>
    </w:p>
    <w:p w14:paraId="717345DE" w14:textId="77777777" w:rsidR="0014077F" w:rsidRPr="00A3026E" w:rsidRDefault="0014077F" w:rsidP="00A3026E">
      <w:pPr>
        <w:pStyle w:val="a3"/>
        <w:rPr>
          <w:color w:val="000000" w:themeColor="text1"/>
          <w:lang w:val="ru-RU"/>
        </w:rPr>
      </w:pPr>
      <w:r w:rsidRPr="00A3026E">
        <w:rPr>
          <w:color w:val="000000" w:themeColor="text1"/>
          <w:lang w:val="ru-RU"/>
        </w:rPr>
        <w:t>Перспективными тягачами дивизи</w:t>
      </w:r>
      <w:r w:rsidRPr="00A3026E">
        <w:rPr>
          <w:color w:val="000000" w:themeColor="text1"/>
          <w:lang w:val="ru-RU"/>
        </w:rPr>
        <w:softHyphen/>
        <w:t xml:space="preserve">онной артиллерии должны были стать небронированные тракторы типа «Комсомолец-2». Еще в 1939 г. в Москве на заводе </w:t>
      </w:r>
      <w:r w:rsidRPr="00A3026E">
        <w:rPr>
          <w:color w:val="000000" w:themeColor="text1"/>
        </w:rPr>
        <w:t>N</w:t>
      </w:r>
      <w:r w:rsidRPr="00A3026E">
        <w:rPr>
          <w:color w:val="000000" w:themeColor="text1"/>
          <w:lang w:val="ru-RU"/>
        </w:rPr>
        <w:t xml:space="preserve"> 37 под руководством Г.С. Су- реняна на базе трактора Т-20 «Комсо</w:t>
      </w:r>
      <w:r w:rsidRPr="00A3026E">
        <w:rPr>
          <w:color w:val="000000" w:themeColor="text1"/>
          <w:lang w:val="ru-RU"/>
        </w:rPr>
        <w:softHyphen/>
        <w:t>молец» выпустили опытные образцы быстроходных артиллерийских тракто</w:t>
      </w:r>
      <w:r w:rsidRPr="00A3026E">
        <w:rPr>
          <w:color w:val="000000" w:themeColor="text1"/>
          <w:lang w:val="ru-RU"/>
        </w:rPr>
        <w:softHyphen/>
        <w:t>ров ЛТ-1 и ЛТ-2 с автомобильными двигателями. Аналогичные тракторы изготовили на ГАЗе под маркой ГАЗ-20. Был спроектирован также трак</w:t>
      </w:r>
      <w:r w:rsidRPr="00A3026E">
        <w:rPr>
          <w:color w:val="000000" w:themeColor="text1"/>
          <w:lang w:val="ru-RU"/>
        </w:rPr>
        <w:softHyphen/>
        <w:t>тор ГАЗ-21, отличавшийся величиной ко</w:t>
      </w:r>
      <w:r w:rsidRPr="00A3026E">
        <w:rPr>
          <w:color w:val="000000" w:themeColor="text1"/>
          <w:lang w:val="ru-RU"/>
        </w:rPr>
        <w:softHyphen/>
        <w:t>леи.</w:t>
      </w:r>
    </w:p>
    <w:p w14:paraId="6E4C56F9" w14:textId="77777777" w:rsidR="0014077F" w:rsidRPr="00A3026E" w:rsidRDefault="0014077F" w:rsidP="00A3026E">
      <w:pPr>
        <w:pStyle w:val="a3"/>
        <w:rPr>
          <w:color w:val="000000" w:themeColor="text1"/>
          <w:lang w:val="ru-RU"/>
        </w:rPr>
      </w:pPr>
      <w:r w:rsidRPr="00A3026E">
        <w:rPr>
          <w:color w:val="000000" w:themeColor="text1"/>
          <w:lang w:val="ru-RU"/>
        </w:rPr>
        <w:t>В целом конструкции тракторов «Комсомолец-2» заводов №37 и ГАЗ были схожи и отличались производственным исполнением. Эти машины имели задние ведущие звез</w:t>
      </w:r>
      <w:r w:rsidRPr="00A3026E">
        <w:rPr>
          <w:color w:val="000000" w:themeColor="text1"/>
          <w:lang w:val="ru-RU"/>
        </w:rPr>
        <w:softHyphen/>
        <w:t>дочки, были унифицированы по ходовой ча</w:t>
      </w:r>
      <w:r w:rsidRPr="00A3026E">
        <w:rPr>
          <w:color w:val="000000" w:themeColor="text1"/>
          <w:lang w:val="ru-RU"/>
        </w:rPr>
        <w:softHyphen/>
        <w:t>сти с трактором «Комсомолец» и с легкими танками. Кабина была аналогична кабине грузового автомобиля ГАЗ-ММ. Грузовая платформа позволяла перевозить орудийный расчет. По своим тяговым свойствам новые тракторы могли буксировать орудия диви</w:t>
      </w:r>
      <w:r w:rsidRPr="00A3026E">
        <w:rPr>
          <w:color w:val="000000" w:themeColor="text1"/>
          <w:lang w:val="ru-RU"/>
        </w:rPr>
        <w:softHyphen/>
        <w:t>зионной и зенитной артиллерии. На тракто</w:t>
      </w:r>
      <w:r w:rsidRPr="00A3026E">
        <w:rPr>
          <w:color w:val="000000" w:themeColor="text1"/>
          <w:lang w:val="ru-RU"/>
        </w:rPr>
        <w:softHyphen/>
        <w:t>рах использовались моторы ГАЗ-ММ мощ</w:t>
      </w:r>
      <w:r w:rsidRPr="00A3026E">
        <w:rPr>
          <w:color w:val="000000" w:themeColor="text1"/>
          <w:lang w:val="ru-RU"/>
        </w:rPr>
        <w:softHyphen/>
        <w:t>ностью 50 л.с. (ЛТ-1 и ГАЗ-20№1) и ГАЗ-11 мощностью 76 л.с. (ЛТ-2 и ГАЗ-20№2). Уста</w:t>
      </w:r>
      <w:r w:rsidRPr="00A3026E">
        <w:rPr>
          <w:color w:val="000000" w:themeColor="text1"/>
          <w:lang w:val="ru-RU"/>
        </w:rPr>
        <w:softHyphen/>
        <w:t>новка более мощного мотора потребовала усиления системы охлаждения, что на трак</w:t>
      </w:r>
      <w:r w:rsidRPr="00A3026E">
        <w:rPr>
          <w:color w:val="000000" w:themeColor="text1"/>
          <w:lang w:val="ru-RU"/>
        </w:rPr>
        <w:softHyphen/>
        <w:t>торе ЛТ-2 внешне проявлялось в установке капота с логотипом ЗИС.</w:t>
      </w:r>
    </w:p>
    <w:p w14:paraId="01B17C15" w14:textId="77777777" w:rsidR="0014077F" w:rsidRPr="00A3026E" w:rsidRDefault="0014077F" w:rsidP="00A3026E">
      <w:pPr>
        <w:pStyle w:val="a3"/>
        <w:rPr>
          <w:color w:val="000000" w:themeColor="text1"/>
          <w:lang w:val="ru-RU"/>
        </w:rPr>
      </w:pPr>
      <w:r w:rsidRPr="00A3026E">
        <w:rPr>
          <w:color w:val="000000" w:themeColor="text1"/>
          <w:lang w:val="ru-RU"/>
        </w:rPr>
        <w:t>Тракторы ЛТ-1, ЛТ-2 и ГАЗ-20 серийно не выпускались и существовали в единич</w:t>
      </w:r>
      <w:r w:rsidRPr="00A3026E">
        <w:rPr>
          <w:color w:val="000000" w:themeColor="text1"/>
          <w:lang w:val="ru-RU"/>
        </w:rPr>
        <w:softHyphen/>
        <w:t>ных экземплярах, поскольку в этот период был сконструирован перспективный легкий танк Т-40, созданный для замены Т-37 и Т-38. В 1940-1941 гг. на ГАЗе с использованием узлов и агрегатов этого танка был разрабо</w:t>
      </w:r>
      <w:r w:rsidRPr="00A3026E">
        <w:rPr>
          <w:color w:val="000000" w:themeColor="text1"/>
          <w:lang w:val="ru-RU"/>
        </w:rPr>
        <w:softHyphen/>
        <w:t>тан и изготовлен в опытных образцах артил</w:t>
      </w:r>
      <w:r w:rsidRPr="00A3026E">
        <w:rPr>
          <w:color w:val="000000" w:themeColor="text1"/>
          <w:lang w:val="ru-RU"/>
        </w:rPr>
        <w:softHyphen/>
        <w:t>лерийский трактор ГАЗ-22. Он должен был строиться серийно с мотором ГАЗ-11. До</w:t>
      </w:r>
      <w:r w:rsidRPr="00A3026E">
        <w:rPr>
          <w:color w:val="000000" w:themeColor="text1"/>
          <w:lang w:val="ru-RU"/>
        </w:rPr>
        <w:softHyphen/>
        <w:t>пускалось и возможность установки на ГАЗ-22 мотора ГАЗ-ММ, но это существенно снижало эксплуатационные параметры ма</w:t>
      </w:r>
      <w:r w:rsidRPr="00A3026E">
        <w:rPr>
          <w:color w:val="000000" w:themeColor="text1"/>
          <w:lang w:val="ru-RU"/>
        </w:rPr>
        <w:softHyphen/>
        <w:t>шины. Выявленные в ходе испытаний дефек</w:t>
      </w:r>
      <w:r w:rsidRPr="00A3026E">
        <w:rPr>
          <w:color w:val="000000" w:themeColor="text1"/>
          <w:lang w:val="ru-RU"/>
        </w:rPr>
        <w:softHyphen/>
        <w:t>ты устранить до лета 1941 г. не успели, по</w:t>
      </w:r>
      <w:r w:rsidRPr="00A3026E">
        <w:rPr>
          <w:color w:val="000000" w:themeColor="text1"/>
          <w:lang w:val="ru-RU"/>
        </w:rPr>
        <w:softHyphen/>
        <w:t>этому ГАЗ-22 серийно не выпускались (11895).</w:t>
      </w:r>
    </w:p>
    <w:p w14:paraId="10F1DB38" w14:textId="77777777" w:rsidR="0014077F" w:rsidRPr="00A3026E" w:rsidRDefault="0014077F" w:rsidP="00A3026E">
      <w:pPr>
        <w:pStyle w:val="a3"/>
        <w:rPr>
          <w:color w:val="000000" w:themeColor="text1"/>
          <w:lang w:val="ru-RU"/>
        </w:rPr>
      </w:pPr>
    </w:p>
    <w:p w14:paraId="29739F8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закончились испытания бронеавтомобиля БА-11, на который установили дизельный двигатель ЗИС Д-7 мощностью 97,5 л.с. (при этом масса броневика возросла до 8650 кг) и который получил обозначение БА-11Д (Д - дизельный) на НИБТ полигоне, которые шли с октября 1940 Было пройдено 5051 км. В выводах отмечалось следующее:</w:t>
      </w:r>
    </w:p>
    <w:p w14:paraId="53BCDB8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Скорость БА-11Д (48,8 км/ч) ниже, чем у БА-11 (64,4 км/ч), что явно недостаточно для среднего бронеавто</w:t>
      </w:r>
      <w:r w:rsidRPr="00A3026E">
        <w:rPr>
          <w:rFonts w:ascii="Times New Roman" w:hAnsi="Times New Roman"/>
          <w:color w:val="000000" w:themeColor="text1"/>
          <w:sz w:val="16"/>
          <w:szCs w:val="16"/>
        </w:rPr>
        <w:softHyphen/>
        <w:t>мобиля.</w:t>
      </w:r>
    </w:p>
    <w:p w14:paraId="0F3DEAA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Динамические качества лучше динамических ка</w:t>
      </w:r>
      <w:r w:rsidRPr="00A3026E">
        <w:rPr>
          <w:rFonts w:ascii="Times New Roman" w:hAnsi="Times New Roman"/>
          <w:color w:val="000000" w:themeColor="text1"/>
          <w:sz w:val="16"/>
          <w:szCs w:val="16"/>
        </w:rPr>
        <w:softHyphen/>
        <w:t>честв БА-11.</w:t>
      </w:r>
    </w:p>
    <w:p w14:paraId="5560267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Эксплуатационные показатели (средняя скорость движения, расход горючего и запас хода) лучше, чем у БА-11.</w:t>
      </w:r>
    </w:p>
    <w:p w14:paraId="64B0919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Проходимость БА-11Д по грязным дорогам неудов</w:t>
      </w:r>
      <w:r w:rsidRPr="00A3026E">
        <w:rPr>
          <w:rFonts w:ascii="Times New Roman" w:hAnsi="Times New Roman"/>
          <w:color w:val="000000" w:themeColor="text1"/>
          <w:sz w:val="16"/>
          <w:szCs w:val="16"/>
        </w:rPr>
        <w:softHyphen/>
        <w:t>летворительная, а местами плохая. По проходимости БА-11 и БА-11Д одинаковы».</w:t>
      </w:r>
    </w:p>
    <w:p w14:paraId="64CE89C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из-за того, что производство Д-7 так и не было осво</w:t>
      </w:r>
      <w:r w:rsidRPr="00A3026E">
        <w:rPr>
          <w:rFonts w:ascii="Times New Roman" w:hAnsi="Times New Roman"/>
          <w:color w:val="000000" w:themeColor="text1"/>
          <w:sz w:val="16"/>
          <w:szCs w:val="16"/>
        </w:rPr>
        <w:softHyphen/>
        <w:t>ено, работы по дизельному бронеавтомобилю свернули вес</w:t>
      </w:r>
      <w:r w:rsidRPr="00A3026E">
        <w:rPr>
          <w:rFonts w:ascii="Times New Roman" w:hAnsi="Times New Roman"/>
          <w:color w:val="000000" w:themeColor="text1"/>
          <w:sz w:val="16"/>
          <w:szCs w:val="16"/>
        </w:rPr>
        <w:softHyphen/>
        <w:t>ной 1941 года (11284).</w:t>
      </w:r>
    </w:p>
    <w:p w14:paraId="628860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24D99483" w14:textId="77777777" w:rsidR="00864925" w:rsidRPr="00A3026E" w:rsidRDefault="0086492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декабре 1940 года на НИИБТ Полигоне в Кубинке испытали ГАЗ-61–40, оснастили самодельным буксирным устройством, в качестве артиллерийского тягача. Испытания возкой 45-мм противотанковой пушки с передком показали, что с поставленной задачей машина легко справляется, преодолевая полуметровые снежные заносы и рвы. По итогам испытаний было рекомендовано использовать машину как тягач противотанковой пушки и пулемётной тачанки для кавалерийских частей.</w:t>
      </w:r>
    </w:p>
    <w:p w14:paraId="4A232B7F" w14:textId="77777777" w:rsidR="00864925" w:rsidRPr="00A3026E" w:rsidRDefault="0086492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В СССР внимательно следили за последними новинками зарубежной автомобильной индустрии. Одним из основных источников информации был американский журнал Automotive Industries, откуда, собственно говоря, и были почерпнуты идеи при создании ГАЗ-61 и ГАЗ-64. Часто в этом журнале изображения новых машин публиковались с минимальными аннотациями, что приводило если не к заблуждениям, то к недостатку информации. Например, в номере от 15 сентября 1940 года было опубликовано изображение Dodge VC-1, «головной» машины семейства T202, с которого началось восхождение к знаменитым T214, у нас известным как </w:t>
      </w:r>
      <w:hyperlink r:id="rId188" w:history="1">
        <w:r w:rsidRPr="00A3026E">
          <w:rPr>
            <w:rFonts w:ascii="Times New Roman" w:eastAsia="Times New Roman" w:hAnsi="Times New Roman"/>
            <w:color w:val="000000" w:themeColor="text1"/>
            <w:sz w:val="16"/>
            <w:szCs w:val="16"/>
            <w:lang w:eastAsia="ru-RU"/>
          </w:rPr>
          <w:t>«Додж 3/4»</w:t>
        </w:r>
      </w:hyperlink>
      <w:r w:rsidRPr="00A3026E">
        <w:rPr>
          <w:rFonts w:ascii="Times New Roman" w:eastAsia="Times New Roman" w:hAnsi="Times New Roman"/>
          <w:color w:val="000000" w:themeColor="text1"/>
          <w:sz w:val="16"/>
          <w:szCs w:val="16"/>
          <w:lang w:eastAsia="ru-RU"/>
        </w:rPr>
        <w:t xml:space="preserve">. Изображение было подписано как «новый штабной автомобиль Dodge», и больше никакой информации к нему не было. О том, что в семейство T202 входят ещё и грузовой пикап VC-3, а также </w:t>
      </w:r>
      <w:hyperlink r:id="rId189" w:history="1">
        <w:r w:rsidRPr="00A3026E">
          <w:rPr>
            <w:rFonts w:ascii="Times New Roman" w:eastAsia="Times New Roman" w:hAnsi="Times New Roman"/>
            <w:color w:val="000000" w:themeColor="text1"/>
            <w:sz w:val="16"/>
            <w:szCs w:val="16"/>
            <w:lang w:eastAsia="ru-RU"/>
          </w:rPr>
          <w:t>артиллерийский тягач</w:t>
        </w:r>
      </w:hyperlink>
      <w:r w:rsidRPr="00A3026E">
        <w:rPr>
          <w:rFonts w:ascii="Times New Roman" w:eastAsia="Times New Roman" w:hAnsi="Times New Roman"/>
          <w:color w:val="000000" w:themeColor="text1"/>
          <w:sz w:val="16"/>
          <w:szCs w:val="16"/>
          <w:lang w:eastAsia="ru-RU"/>
        </w:rPr>
        <w:t xml:space="preserve"> VC-5 с открытой упрощенной кабиной, у нас не знали. Зато на страницах Automotive Industries «засветился» другой автомобиль – GMC ACK-101. Полноприводная машина грузоподъёмностью полтонны была разработана в 1939 году на базе «гражданского» пикапа. ACK-101 конкурировал с Dodge T202 и соревнование проиграл, в результате GMC довольствовалась экспортными поставками. К примеру, такие машины поставлялись в Швейцарию, где использовались как лёгкие артиллерийские тягачи и командирские автомобили. По иронии судьбы, именно эта машина, не нашедшая места в </w:t>
      </w:r>
      <w:r w:rsidRPr="00A3026E">
        <w:rPr>
          <w:rFonts w:ascii="Times New Roman" w:eastAsia="Times New Roman" w:hAnsi="Times New Roman"/>
          <w:color w:val="000000" w:themeColor="text1"/>
          <w:sz w:val="16"/>
          <w:szCs w:val="16"/>
          <w:lang w:eastAsia="ru-RU"/>
        </w:rPr>
        <w:lastRenderedPageBreak/>
        <w:t xml:space="preserve">американской армии, оказалась объектом пристального внимания советских военных. Точно так же Ford Pigmy, выпущенный всего в двух экземплярах, стал отправной точкой при </w:t>
      </w:r>
      <w:hyperlink r:id="rId190" w:history="1">
        <w:r w:rsidRPr="00A3026E">
          <w:rPr>
            <w:rFonts w:ascii="Times New Roman" w:eastAsia="Times New Roman" w:hAnsi="Times New Roman"/>
            <w:color w:val="000000" w:themeColor="text1"/>
            <w:sz w:val="16"/>
            <w:szCs w:val="16"/>
            <w:lang w:eastAsia="ru-RU"/>
          </w:rPr>
          <w:t>создании ГАЗ-64</w:t>
        </w:r>
      </w:hyperlink>
      <w:r w:rsidRPr="00A3026E">
        <w:rPr>
          <w:rFonts w:ascii="Times New Roman" w:eastAsia="Times New Roman" w:hAnsi="Times New Roman"/>
          <w:color w:val="000000" w:themeColor="text1"/>
          <w:sz w:val="16"/>
          <w:szCs w:val="16"/>
          <w:lang w:eastAsia="ru-RU"/>
        </w:rPr>
        <w:t>. GMC ACK-101 привлёк к себе внимание благодаря сильно упрощённой кабине, лишённой дверей, а также мощному буксирному крюку в корме. Согласно журнальной заметке, автомобиль предназначался для использования в качестве тягача противотанковой пушки, а также подвозчика боеприпасов (17657).</w:t>
      </w:r>
    </w:p>
    <w:p w14:paraId="42489309" w14:textId="77777777" w:rsidR="00864925" w:rsidRPr="00A3026E" w:rsidRDefault="00864925" w:rsidP="00A3026E">
      <w:pPr>
        <w:spacing w:after="0" w:line="240" w:lineRule="auto"/>
        <w:jc w:val="both"/>
        <w:rPr>
          <w:rFonts w:ascii="Times New Roman" w:eastAsia="Times New Roman" w:hAnsi="Times New Roman"/>
          <w:color w:val="000000" w:themeColor="text1"/>
          <w:sz w:val="16"/>
          <w:szCs w:val="16"/>
          <w:lang w:eastAsia="ru-RU"/>
        </w:rPr>
      </w:pPr>
    </w:p>
    <w:p w14:paraId="5CDD4EC0" w14:textId="77777777" w:rsidR="00366D67" w:rsidRPr="00A3026E" w:rsidRDefault="00366D67"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декабре 1940 года испытания ГАЗ-61-416 показали принципиальную возможность использования ГАЗ-61 как тягача противотанковой артиллерии.</w:t>
      </w:r>
    </w:p>
    <w:p w14:paraId="3122F571" w14:textId="77777777" w:rsidR="00366D67" w:rsidRPr="00A3026E" w:rsidRDefault="00366D67"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На НИБТ Полигоне провели зимние испытания второго опытного образца ГАЗ-61, который соответствующим образом доработали. Изначально фаркопа у машины не имелось, поэтому его пришлось ставить дополнительно. В ходе зимних испытаний ГАЗ-61-40 успешно использовался как тягач 45-мм противотанковой пушки. Этот факт отдельно отметили специалисты полигона, посетовав на то, что пикап ГАЗ-61-415 буксирными приборами не оснащается. Не менее важным моментом декабрьских испытаний стало то, что полигон признал ГАЗ-61 многоцелевой машиной. Он настаивал на необходимости расширения модельного ряда, в том числе и за счет специализированного тягача 45-мм противотанковой пушки. Также предлагалось выпускать и "пулеметную тачанку" (21375).</w:t>
      </w:r>
    </w:p>
    <w:p w14:paraId="252EB3CA" w14:textId="77777777" w:rsidR="00366D67" w:rsidRPr="00A3026E" w:rsidRDefault="00366D67" w:rsidP="00A3026E">
      <w:pPr>
        <w:shd w:val="clear" w:color="auto" w:fill="FFFFFF"/>
        <w:spacing w:after="0" w:line="240" w:lineRule="auto"/>
        <w:jc w:val="both"/>
        <w:rPr>
          <w:rFonts w:ascii="Times New Roman" w:hAnsi="Times New Roman"/>
          <w:color w:val="0070C0"/>
          <w:sz w:val="16"/>
          <w:szCs w:val="16"/>
        </w:rPr>
      </w:pPr>
    </w:p>
    <w:p w14:paraId="753D89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декабре 1940 г. СНК принял решение о строительстве металлургического комбината на базе высококачественных железных руд Бакальского рудника и Кузнецких углей. Строительство было сразу поручено НКВД, где получило наименование "Бакалстрой". Но в начале 1941 г. срок начала работ был перенесен на вторую половину года. После начала войны строительство первоначально (в июле 1941) не было внесено в список ударных сверхлимитных объектов, на сооружении которых предполагалось сосредоточить основные силы и ресурсы. Тем не менее, в августе - сентябре 1941 г. было принято решение о возобновлении стройки. В декабре 1941 г. началась переброска этапов, освободившихся со строительства Куйбышевских авиационных заводов, на едва размеченную площадку. В феврале 1942 г. было, наконец, сформировано управление "Челябметаллургстроя" во главе с бригинженером А. Н. Комаровским. К весне 1942 г. на стройплощадке было развернуто 12 жилых городков емкостью в 40 тыс. чел. </w:t>
      </w:r>
    </w:p>
    <w:p w14:paraId="54CA12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Уровень организации работ на объекте может быть признан очень высоким. Весна 1942 г. была полностью посвящена строительству подъездных путей и оборудованию площадки сетью надежных дорог. К декабрю было введено в строй 51 км автомобильных и 64 км железных дорог. Одновременно сооружались предприятия по производству строительных материалов: бетонно-растворный узел мощностью 1200 кубометров в сутки и кирпичный завод производительностью свыше 6 млн. штук кирпича в месяц, ремонтно-механический завод. Эти объекты вступили в строй к июлю 1942 г. Выполнение полного объема подготовительных работ позволило во всеоружии приступить к сооружению 1-й очереди комбината, состоящей из самого крупного и мощного в Европе электросталеплавильного цеха (5 печей по 30 тыс. тонн стали в год), прокатного цеха с длиной прокатного стана около 500 м, кузнечного и ремонтно-механического цехов. Одновременно строился город металлургов с населением в 25 тыс. человек, начиналась подготовка площадки для сооружения 2-й очереди комбината: мартеновского цеха, коксовой батареи и двух доменных печей. </w:t>
      </w:r>
    </w:p>
    <w:p w14:paraId="674091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Седьмого февраля 1943 г., ровно через 9 месяцев после начала работ, 1-я очередь Челябинского комбината специальных сталей была сдана в эксплуатацию. А 30 апреля 1944 г. дала чугун первая из двух доменных печей. При сооружении первой очереди строители переместили 2,2 млн. кубометров грунта, уложили 100 тыс. кубометров бетона и 15 тыс. тонн стальных конструкций, проложили 143 км железнодорожных путей. В июле 1944 г. в строй вошла коксовая батарея, а в декабре - вторая доменная печь. В 1943–45 гг. на комбинате было выплавлено 611,5 тыс. тонн чугуна и 214,5 тыс. тонн качественных специальных сталей, произведено 105 тыс. тонн проката (12129).</w:t>
      </w:r>
    </w:p>
    <w:p w14:paraId="331AB07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1F0C4B0" w14:textId="77777777" w:rsidR="00F124F9" w:rsidRPr="00A3026E" w:rsidRDefault="00F124F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декабре 1940 года была выпущена партия шлемов СШ-39 с новым подтулейным устройством. Впоследствии эта модификация получила индекс СШ-40. В июне 1941 года СССР вступил в войну с тремя типами касок: СШ-36, СШ-39 и СШ-40 – первые два типа уже не производились, но были в войсках в больших количествах (17495).</w:t>
      </w:r>
    </w:p>
    <w:p w14:paraId="2CB6464A" w14:textId="77777777" w:rsidR="00F124F9" w:rsidRPr="00A3026E" w:rsidRDefault="00F124F9" w:rsidP="00A3026E">
      <w:pPr>
        <w:spacing w:after="0" w:line="240" w:lineRule="auto"/>
        <w:jc w:val="both"/>
        <w:rPr>
          <w:rFonts w:ascii="Times New Roman" w:eastAsia="Times New Roman" w:hAnsi="Times New Roman"/>
          <w:color w:val="000000" w:themeColor="text1"/>
          <w:sz w:val="16"/>
          <w:szCs w:val="16"/>
          <w:lang w:eastAsia="ru-RU"/>
        </w:rPr>
      </w:pPr>
    </w:p>
    <w:p w14:paraId="67B361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в НКВ были:</w:t>
      </w:r>
    </w:p>
    <w:p w14:paraId="67A1AC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 – директор Чарский Ф.К.</w:t>
      </w:r>
    </w:p>
    <w:p w14:paraId="406CBD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 – директор Бутузов Г.М.</w:t>
      </w:r>
    </w:p>
    <w:p w14:paraId="26B3A3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4 – директор Каганович</w:t>
      </w:r>
    </w:p>
    <w:p w14:paraId="549BFE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7 – директор Каллистратов</w:t>
      </w:r>
    </w:p>
    <w:p w14:paraId="7F80DF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8 – директор Фраткин</w:t>
      </w:r>
    </w:p>
    <w:p w14:paraId="0E029D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13 – директор Куранов</w:t>
      </w:r>
    </w:p>
    <w:p w14:paraId="1557A7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17 – директор Володин К.А.</w:t>
      </w:r>
    </w:p>
    <w:p w14:paraId="5EB608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44 – директор</w:t>
      </w:r>
    </w:p>
    <w:p w14:paraId="086466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46 – директор</w:t>
      </w:r>
    </w:p>
    <w:p w14:paraId="0EAE30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38 – директор Домрачев Н.В.</w:t>
      </w:r>
    </w:p>
    <w:p w14:paraId="4B78B0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54 – директор</w:t>
      </w:r>
    </w:p>
    <w:p w14:paraId="701C35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60 – директор Шелковый</w:t>
      </w:r>
    </w:p>
    <w:p w14:paraId="054F81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66 – директор Пастухов Б.М.</w:t>
      </w:r>
    </w:p>
    <w:p w14:paraId="5626EE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69 – директор Уваров</w:t>
      </w:r>
    </w:p>
    <w:p w14:paraId="2E8837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71 – директор Остроушко И.А.</w:t>
      </w:r>
    </w:p>
    <w:p w14:paraId="3AB4D9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74 – директор Новиков В.Н.</w:t>
      </w:r>
    </w:p>
    <w:p w14:paraId="471BD1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92 – директор Елян А.С.</w:t>
      </w:r>
    </w:p>
    <w:p w14:paraId="11344E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106 – директор Чеботарев</w:t>
      </w:r>
    </w:p>
    <w:p w14:paraId="1EA2B3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172 – директор Быховский</w:t>
      </w:r>
    </w:p>
    <w:p w14:paraId="62C520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188 – директор</w:t>
      </w:r>
    </w:p>
    <w:p w14:paraId="3F6AC0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217 – директор</w:t>
      </w:r>
    </w:p>
    <w:p w14:paraId="7D602B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221 – директор Гонор Л.Р.</w:t>
      </w:r>
    </w:p>
    <w:p w14:paraId="6D6A27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232 – директор Устинов Д.Ф.</w:t>
      </w:r>
    </w:p>
    <w:p w14:paraId="1C7298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235 – директор Фирсов</w:t>
      </w:r>
    </w:p>
    <w:p w14:paraId="734D82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237 – директор Ольшанский</w:t>
      </w:r>
    </w:p>
    <w:p w14:paraId="7F9E10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314 – директор Томилин А.А.</w:t>
      </w:r>
    </w:p>
    <w:p w14:paraId="6DDB09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349 – директор Соловьев</w:t>
      </w:r>
    </w:p>
    <w:p w14:paraId="070E55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350 – директор Ступельман</w:t>
      </w:r>
    </w:p>
    <w:p w14:paraId="4BFCEA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352 – директор Баринов В.И.</w:t>
      </w:r>
    </w:p>
    <w:p w14:paraId="40C43B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353 – директор Дунаевский</w:t>
      </w:r>
    </w:p>
    <w:p w14:paraId="4327B3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354 – директор</w:t>
      </w:r>
    </w:p>
    <w:p w14:paraId="652255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355 – директор</w:t>
      </w:r>
    </w:p>
    <w:p w14:paraId="713D4D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356 – директор</w:t>
      </w:r>
    </w:p>
    <w:p w14:paraId="57D1F8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357 – директор Манин</w:t>
      </w:r>
    </w:p>
    <w:p w14:paraId="2D3021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367 – директор</w:t>
      </w:r>
    </w:p>
    <w:p w14:paraId="2A8F8D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371 – директор Никитин Н.Г.</w:t>
      </w:r>
    </w:p>
    <w:p w14:paraId="6039F0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393 – директор Шадрин</w:t>
      </w:r>
    </w:p>
    <w:p w14:paraId="29DB67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460 – директор Щекин И.А.</w:t>
      </w:r>
    </w:p>
    <w:p w14:paraId="61315D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507 – директор</w:t>
      </w:r>
    </w:p>
    <w:p w14:paraId="3DD17D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509 – директор</w:t>
      </w:r>
    </w:p>
    <w:p w14:paraId="28BE75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НИИ-13 - Шипулин</w:t>
      </w:r>
    </w:p>
    <w:p w14:paraId="2DBB63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ОКБ-43 – Кондаков</w:t>
      </w:r>
    </w:p>
    <w:p w14:paraId="08D452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ЦКБ-14</w:t>
      </w:r>
    </w:p>
    <w:p w14:paraId="546346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КБ-16 – Таубин</w:t>
      </w:r>
    </w:p>
    <w:p w14:paraId="7F9DF8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ГСПИ-7</w:t>
      </w:r>
    </w:p>
    <w:p w14:paraId="6A5D0F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ГСПКИ-40 – Завьялов</w:t>
      </w:r>
    </w:p>
    <w:p w14:paraId="0F27B5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303 (9193).</w:t>
      </w:r>
    </w:p>
    <w:p w14:paraId="01775F2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B8B47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вступил в строй лидер "Тбилиси" (3898).</w:t>
      </w:r>
    </w:p>
    <w:p w14:paraId="093EC5D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8376C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адмиралом Л. М. Галлером был утвержден проект достройки крейсера Адмирал Бутаков. К этому времени корабль получил новое имя — "Аврора", а его корпус был приведен в порядок средствами ВМФ в Кронштадте и подго</w:t>
      </w:r>
      <w:r w:rsidRPr="00A3026E">
        <w:rPr>
          <w:rFonts w:ascii="Times New Roman" w:hAnsi="Times New Roman"/>
          <w:color w:val="000000" w:themeColor="text1"/>
          <w:sz w:val="16"/>
          <w:szCs w:val="16"/>
        </w:rPr>
        <w:softHyphen/>
        <w:t>товлен к достройке. Но последняя была отменена в начале 1941 г. главным образом из-за высокой стоимости будущего учебного крейсера, которая приближалась к стоимости новых крейсеров. На</w:t>
      </w:r>
      <w:r w:rsidRPr="00A3026E">
        <w:rPr>
          <w:rFonts w:ascii="Times New Roman" w:hAnsi="Times New Roman"/>
          <w:color w:val="000000" w:themeColor="text1"/>
          <w:sz w:val="16"/>
          <w:szCs w:val="16"/>
        </w:rPr>
        <w:softHyphen/>
        <w:t>звание "Аврора", как указывалось выше, перешло крейсеру пр. 68, намеченному к закладке в 1941 г. (3898).</w:t>
      </w:r>
    </w:p>
    <w:p w14:paraId="114AE76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19B75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лидер "Киев" был спущен на воду, "Ереван" — в июне 1941 г. В авгу</w:t>
      </w:r>
      <w:r w:rsidRPr="00A3026E">
        <w:rPr>
          <w:rFonts w:ascii="Times New Roman" w:hAnsi="Times New Roman"/>
          <w:color w:val="000000" w:themeColor="text1"/>
          <w:sz w:val="16"/>
          <w:szCs w:val="16"/>
        </w:rPr>
        <w:softHyphen/>
        <w:t>сте 1941 г. корпуса лидеров удалось вывести из Николаева и впос</w:t>
      </w:r>
      <w:r w:rsidRPr="00A3026E">
        <w:rPr>
          <w:rFonts w:ascii="Times New Roman" w:hAnsi="Times New Roman"/>
          <w:color w:val="000000" w:themeColor="text1"/>
          <w:sz w:val="16"/>
          <w:szCs w:val="16"/>
        </w:rPr>
        <w:softHyphen/>
        <w:t>ледствии сохранить до конца войны на плаву в Поти. В конце 1945 г. по предположению Наркомсудпрома достройка "Киева" (готовность 48,9% полной) и "Еревана" (25,4%) был отложена, а корпуса законсервированы. Это предопределило судьбу кораблей, которые так и не вступили в строй (3898).</w:t>
      </w:r>
    </w:p>
    <w:p w14:paraId="4405824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26342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начальник Оперативного управления ГМШ контр</w:t>
      </w:r>
      <w:r w:rsidRPr="00A3026E">
        <w:rPr>
          <w:rFonts w:ascii="Times New Roman" w:hAnsi="Times New Roman"/>
          <w:color w:val="000000" w:themeColor="text1"/>
          <w:sz w:val="16"/>
          <w:szCs w:val="16"/>
        </w:rPr>
        <w:softHyphen/>
        <w:t>адмирал В. А. Алафузов не смотря на то, что при отрицатель</w:t>
      </w:r>
      <w:r w:rsidRPr="00A3026E">
        <w:rPr>
          <w:rFonts w:ascii="Times New Roman" w:hAnsi="Times New Roman"/>
          <w:color w:val="000000" w:themeColor="text1"/>
          <w:sz w:val="16"/>
          <w:szCs w:val="16"/>
        </w:rPr>
        <w:softHyphen/>
        <w:t>ной температуре воздуха аппарат и торпеда могли покрыться ледя</w:t>
      </w:r>
      <w:r w:rsidRPr="00A3026E">
        <w:rPr>
          <w:rFonts w:ascii="Times New Roman" w:hAnsi="Times New Roman"/>
          <w:color w:val="000000" w:themeColor="text1"/>
          <w:sz w:val="16"/>
          <w:szCs w:val="16"/>
        </w:rPr>
        <w:softHyphen/>
        <w:t>ной коркой, что исключало надежную стрельбу, посчитал необходимым ограничиться раз</w:t>
      </w:r>
      <w:r w:rsidRPr="00A3026E">
        <w:rPr>
          <w:rFonts w:ascii="Times New Roman" w:hAnsi="Times New Roman"/>
          <w:color w:val="000000" w:themeColor="text1"/>
          <w:sz w:val="16"/>
          <w:szCs w:val="16"/>
        </w:rPr>
        <w:softHyphen/>
        <w:t>витием только типа малого катера (С-505) и заказать серию, сохранив бутельные аппараты, так как возвращение к желобным аппаратам явилось бы очевидным шагом назад. Реализация этого замысла не состоялась в связи с началом войны (3898).</w:t>
      </w:r>
    </w:p>
    <w:p w14:paraId="54FBC91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A5F9E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на основании разработок Военно-морской академии (о двух типах охотников — большом и ма</w:t>
      </w:r>
      <w:r w:rsidRPr="00A3026E">
        <w:rPr>
          <w:rFonts w:ascii="Times New Roman" w:hAnsi="Times New Roman"/>
          <w:color w:val="000000" w:themeColor="text1"/>
          <w:sz w:val="16"/>
          <w:szCs w:val="16"/>
        </w:rPr>
        <w:softHyphen/>
        <w:t>лом) требования к новому охотнику были снижены: вооружение ограничивалось 45-мм полуавтоматами или 37-мм автоматами, 12 большими глубинными бомбами, а скорость — 22 уз при мореходности ка</w:t>
      </w:r>
      <w:r w:rsidRPr="00A3026E">
        <w:rPr>
          <w:rFonts w:ascii="Times New Roman" w:hAnsi="Times New Roman"/>
          <w:color w:val="000000" w:themeColor="text1"/>
          <w:sz w:val="16"/>
          <w:szCs w:val="16"/>
        </w:rPr>
        <w:softHyphen/>
        <w:t>тера до б балл. Такие характеристики и вошли в ОТЗ, утвержден</w:t>
      </w:r>
      <w:r w:rsidRPr="00A3026E">
        <w:rPr>
          <w:rFonts w:ascii="Times New Roman" w:hAnsi="Times New Roman"/>
          <w:color w:val="000000" w:themeColor="text1"/>
          <w:sz w:val="16"/>
          <w:szCs w:val="16"/>
        </w:rPr>
        <w:softHyphen/>
        <w:t>ное адмиралом И. С. Исаковым для малого охотника типа МО-6, проект которого (в стальном корпусе) был разработан в КБ завода 5 в 1941 г. Постройку их не успели начать до июня 1941 г. (3898).</w:t>
      </w:r>
    </w:p>
    <w:p w14:paraId="2143FE1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87869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ГМШ установил для ка</w:t>
      </w:r>
      <w:r w:rsidRPr="00A3026E">
        <w:rPr>
          <w:rFonts w:ascii="Times New Roman" w:hAnsi="Times New Roman"/>
          <w:color w:val="000000" w:themeColor="text1"/>
          <w:sz w:val="16"/>
          <w:szCs w:val="16"/>
        </w:rPr>
        <w:softHyphen/>
        <w:t>терного тральщика следующие элементы: скорость до 15—16 уз с плавным изменением от 2 уз до полной, осадка — 1,0—1,2 м, даль</w:t>
      </w:r>
      <w:r w:rsidRPr="00A3026E">
        <w:rPr>
          <w:rFonts w:ascii="Times New Roman" w:hAnsi="Times New Roman"/>
          <w:color w:val="000000" w:themeColor="text1"/>
          <w:sz w:val="16"/>
          <w:szCs w:val="16"/>
        </w:rPr>
        <w:softHyphen/>
        <w:t>ность плавания 200 миль, вооружение — облегченный катерный трал и трал Шульца, два 12,7-мм пулемета, шесть-двенадцать ма</w:t>
      </w:r>
      <w:r w:rsidRPr="00A3026E">
        <w:rPr>
          <w:rFonts w:ascii="Times New Roman" w:hAnsi="Times New Roman"/>
          <w:color w:val="000000" w:themeColor="text1"/>
          <w:sz w:val="16"/>
          <w:szCs w:val="16"/>
        </w:rPr>
        <w:softHyphen/>
        <w:t>лых глубинных бомб при водоизмещении до 60 т (3898).</w:t>
      </w:r>
    </w:p>
    <w:p w14:paraId="4E6A26A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95A625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на заводе № 112 заложили первую лодку IX серии сдачи 1941 г. Цех № 3 переключили исключительно на переданное с Воронежского завода производство дизелей. На заводе было установлено многочисленное новое оборудование: прессы, печи, транспортеры, эмульсионная установка. Всего же «Красное Сормово» в 40-м году получило 263 единицы нового оборудования. В различных стадиях технической готовности находились 16 подлодок: семь IX серии и девять XII серии. Еще 15 спецсудов стояли на достроечных базах. 12 февраля две лодки были спущены на воду в Севастополе и одна — в Северодвинске. В марте на заводе заложили три судна IX серии — зав. № 312–314. Это были последние подлодки, строительство которых началось до начала Великой Отечественной войны (11741).</w:t>
      </w:r>
    </w:p>
    <w:p w14:paraId="7B7B4C8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443344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декабре 1940 года прокуратура СССР докладывала в Совнарком СССР о достигнутых успехах: </w:t>
      </w:r>
    </w:p>
    <w:p w14:paraId="7DD91A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 дня издания Указа Президиума Верховного Совета Союза ССР от 10 июля с. г. органами прокуратуры было закончено следствием и направлено в суд 363 дела о преступлениях, предусмотренных Указом. </w:t>
      </w:r>
    </w:p>
    <w:p w14:paraId="0CE80A4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1 декабря с. г. судами были вынесены обвинительные приговоры по 221 делу и осуждены по Указу от 10 июля 381 чел. Из числа осужденных работали на предприятиях гос. промышленности 251 чел., на предприятиях системы Всекопромсовета — 80 чел. и на иных предприятиях — 50 чел. </w:t>
      </w:r>
    </w:p>
    <w:p w14:paraId="3CDFA4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Заслуживают особого внимания следующие дела, рассмотренные судом: </w:t>
      </w:r>
    </w:p>
    <w:p w14:paraId="6ABE75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Дело работников Коломенского патефонного завода Наркомата Общего Машиностроения (Московская область). Завод выпускал недоброкачественную оборонную продукцию. Директор завода Кирюхин приговорен к 6 годам тюремного заключения, а гл. инженер Марьев и нач. ОТК Люминцев к 5 годам тюремного заключения каждый. </w:t>
      </w:r>
    </w:p>
    <w:p w14:paraId="27BB9A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Дело работников завода "Автоприбор" системы промкооперации (Московская область). Этот завод систематически выпускал недоброкачественные части для автостроения, которыми снабжал автопромышленность. По этому делу приговорены: директор завода Макарычев к 5 годам тюремного заключения; технорук Суков к 6 годам тюремного заключения, а нач. ОТК Соколов — к 8 годам тюремного заключения с поражением в правах на 5 лет. </w:t>
      </w:r>
    </w:p>
    <w:p w14:paraId="6331D1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3. Дело работников завода "Карболит" Наркомхимпрома (Московская область). Этот завод выпускал в большом количестве недоброкачественные крышки для аккумуляторных баков. Директор завода Архиповский и гл. инженер Рогов приговорены к 6 годам тюремного заключения каждый, а нач. ОТК Козлов — к 5 годам тюрьмы... </w:t>
      </w:r>
    </w:p>
    <w:p w14:paraId="094D6F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5. Дело работников завода бетонных плит Наркомата Промышленности строительных материалов (г. Ленинград). Этот завод поставлял нестандартные бетонные плиты для ответственных военных строек. Директор завода Райхель и гл. инженер Айзенберг приговорены к 7 годам тюремного заключения каждый. Нач. ОТК Томич приговорен к 5 годам тюремного заключения... </w:t>
      </w:r>
    </w:p>
    <w:p w14:paraId="7AB35F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8. Дело работников завода N 55 Наркомата Боеприпасов. Этот завод систематически и в больших количествах выпускал недоброкачественную продукцию. Директор завода Соболев приговорен к 7 годам тюремного заключения с лишением военного звания. Нач. ОТК Костин приговорен к 5 годам тюремного заключения. </w:t>
      </w:r>
    </w:p>
    <w:p w14:paraId="4E6FD1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9. Дело работников Липецкого Мотороремонтного завода "Союзремтреста" Наркомзема Союза ССР (Воронежская область). Вследствие грубейших нарушений технологической дисциплины завод выпустил недоброкачественную оборонную продукцию. Главный инженер завода Адарюков приговорен к 5 годам тюремного заключения с поражением в правах на 2 года. </w:t>
      </w:r>
    </w:p>
    <w:p w14:paraId="32C06B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 Дело работников завода "Красная Этна" Наркомата Среднего Машиностроения (г. Горький). Этот завод систематически и в большом количестве выпускал недоброкачественные детали для автостроения. Директор завода Макаров и главный инженер Исаков приговорены к 8 годам тюремного заключения каждый... </w:t>
      </w:r>
    </w:p>
    <w:p w14:paraId="1ADD72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13. Дело работников шахты "Северная" Наркомчермета (Днепропетровская область). По этому делу приговорены: начальник шахты Ратушный к 5 годам и технорук Паденко — к 6 годам тюремного заключения..." </w:t>
      </w:r>
    </w:p>
    <w:p w14:paraId="3C6FEC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Еще через месяц дел стало 396, а осужденных — 417 и подчеркивалось, что "все без исключения осужденные приговорены к тюремному заключению". Однако больше сводки об осужденных директорах-бракоделах в Совнарком не поступали, что свидетельствовало об окончании кампании. Возможно, из-за приближающейся войны руководящие кадры промышленности решили поберечь. А возможно, в ЦК и правительстве сочли, что они достаточно напуганы для того, чтобы работать без брака. </w:t>
      </w:r>
    </w:p>
    <w:p w14:paraId="2CE3D5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Руководителей осуждали и потом, но далеко не каждого из тех, кто обвинялся в выпуске некачественной продукции, подвергали наказанию на основании указа от 10 июля 1940 года. Например, начальника главного управления спичечной промышленности Наркомлеспрома М. Д. Столярова, обвинявшегося в срыве правительственного задания по производству спичек и выпуске некачественной продукции, в 1942 году отдали под суд по обвинению в халатности и приговорили к шести месяцам исправительных работ по месту работы с удержанием 15% заработной платы. </w:t>
      </w:r>
    </w:p>
    <w:p w14:paraId="3B7E46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 указ от 10 июля позднее использовался в создании политических дел в послевоенное время. Знаменитое "Авиационное дело", в ходе которого в 1946 году арестовали и осудили наркома авиапромышленности Алексея Шахурина, главкома ВВС главного маршала ВВС Александра Новикова и других руководителей, началось именно с обвинений в выпуске и приемке некачественной авиатехники. Зато если директоров защищал кто-то из членов Политбюро, прокуратура смотрела на нарушения сквозь пальцы. </w:t>
      </w:r>
    </w:p>
    <w:p w14:paraId="766763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самым важным итогом репрессивной борьбы за качество оказалось то, что она окончилась безрезультатно. И о качестве советской, а теперь российской продукции можно сказать только одно — оно неизменно (11652).</w:t>
      </w:r>
    </w:p>
    <w:p w14:paraId="7766D21C" w14:textId="77777777" w:rsidR="0014077F" w:rsidRPr="00A3026E" w:rsidRDefault="0014077F" w:rsidP="00A3026E">
      <w:pPr>
        <w:spacing w:after="0" w:line="240" w:lineRule="auto"/>
        <w:jc w:val="both"/>
        <w:rPr>
          <w:rFonts w:ascii="Times New Roman" w:hAnsi="Times New Roman"/>
          <w:bCs/>
          <w:color w:val="000000" w:themeColor="text1"/>
          <w:sz w:val="16"/>
          <w:szCs w:val="16"/>
        </w:rPr>
      </w:pPr>
    </w:p>
    <w:p w14:paraId="3E977149" w14:textId="77777777" w:rsidR="0014077F"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52E1D3C3"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14A45ACE" w14:textId="77777777" w:rsidR="00E561DD" w:rsidRPr="00A3026E" w:rsidRDefault="00E561DD"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Декабрь 1940 Советский Союз отказывается от добровольного набора для своих программ подготовки пилотов и начинает комплектовать их через повинность (20795).</w:t>
      </w:r>
    </w:p>
    <w:p w14:paraId="003C46B7" w14:textId="77777777" w:rsidR="00E561DD" w:rsidRPr="00A3026E" w:rsidRDefault="00E561DD" w:rsidP="00A3026E">
      <w:pPr>
        <w:spacing w:after="0" w:line="240" w:lineRule="auto"/>
        <w:jc w:val="both"/>
        <w:rPr>
          <w:rFonts w:ascii="Times New Roman" w:hAnsi="Times New Roman"/>
          <w:color w:val="0070C0"/>
          <w:sz w:val="16"/>
          <w:szCs w:val="16"/>
        </w:rPr>
      </w:pPr>
    </w:p>
    <w:p w14:paraId="00947008" w14:textId="77777777" w:rsidR="00366D67" w:rsidRPr="00A3026E" w:rsidRDefault="00366D67" w:rsidP="00A3026E">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A3026E">
        <w:rPr>
          <w:rFonts w:ascii="Times New Roman" w:hAnsi="Times New Roman"/>
          <w:color w:val="0070C0"/>
          <w:sz w:val="16"/>
          <w:szCs w:val="16"/>
          <w:lang w:eastAsia="ru-RU" w:bidi="ru-RU"/>
        </w:rPr>
        <w:t>К концу 1940 года штур</w:t>
      </w:r>
      <w:r w:rsidRPr="00A3026E">
        <w:rPr>
          <w:rFonts w:ascii="Times New Roman" w:hAnsi="Times New Roman"/>
          <w:color w:val="0070C0"/>
          <w:sz w:val="16"/>
          <w:szCs w:val="16"/>
          <w:lang w:eastAsia="ru-RU" w:bidi="ru-RU"/>
        </w:rPr>
        <w:softHyphen/>
        <w:t>мовые полки, фактически вооружались лег</w:t>
      </w:r>
      <w:r w:rsidRPr="00A3026E">
        <w:rPr>
          <w:rFonts w:ascii="Times New Roman" w:hAnsi="Times New Roman"/>
          <w:color w:val="0070C0"/>
          <w:sz w:val="16"/>
          <w:szCs w:val="16"/>
          <w:lang w:eastAsia="ru-RU" w:bidi="ru-RU"/>
        </w:rPr>
        <w:softHyphen/>
        <w:t>кими пикирующими бомбардировщиками И-15бис/И-153 и организовали учебно-бое</w:t>
      </w:r>
      <w:r w:rsidRPr="00A3026E">
        <w:rPr>
          <w:rFonts w:ascii="Times New Roman" w:hAnsi="Times New Roman"/>
          <w:color w:val="0070C0"/>
          <w:sz w:val="16"/>
          <w:szCs w:val="16"/>
          <w:lang w:eastAsia="ru-RU" w:bidi="ru-RU"/>
        </w:rPr>
        <w:softHyphen/>
        <w:t>вую подготовку с упором на отработку лич</w:t>
      </w:r>
      <w:r w:rsidRPr="00A3026E">
        <w:rPr>
          <w:rFonts w:ascii="Times New Roman" w:hAnsi="Times New Roman"/>
          <w:color w:val="0070C0"/>
          <w:sz w:val="16"/>
          <w:szCs w:val="16"/>
          <w:lang w:eastAsia="ru-RU" w:bidi="ru-RU"/>
        </w:rPr>
        <w:softHyphen/>
        <w:t>ным составом такого эффективного тактиче</w:t>
      </w:r>
      <w:r w:rsidRPr="00A3026E">
        <w:rPr>
          <w:rFonts w:ascii="Times New Roman" w:hAnsi="Times New Roman"/>
          <w:color w:val="0070C0"/>
          <w:sz w:val="16"/>
          <w:szCs w:val="16"/>
          <w:lang w:eastAsia="ru-RU" w:bidi="ru-RU"/>
        </w:rPr>
        <w:softHyphen/>
        <w:t>ского приема, как бомбометание с пикирова</w:t>
      </w:r>
      <w:r w:rsidRPr="00A3026E">
        <w:rPr>
          <w:rFonts w:ascii="Times New Roman" w:hAnsi="Times New Roman"/>
          <w:color w:val="0070C0"/>
          <w:sz w:val="16"/>
          <w:szCs w:val="16"/>
          <w:lang w:eastAsia="ru-RU" w:bidi="ru-RU"/>
        </w:rPr>
        <w:softHyphen/>
        <w:t>ния (21289).</w:t>
      </w:r>
    </w:p>
    <w:p w14:paraId="599A9016" w14:textId="77777777" w:rsidR="00366D67" w:rsidRPr="00A3026E" w:rsidRDefault="00366D67" w:rsidP="00A3026E">
      <w:pPr>
        <w:spacing w:after="0" w:line="240" w:lineRule="auto"/>
        <w:jc w:val="both"/>
        <w:rPr>
          <w:rFonts w:ascii="Times New Roman" w:hAnsi="Times New Roman"/>
          <w:color w:val="0070C0"/>
          <w:sz w:val="16"/>
          <w:szCs w:val="16"/>
        </w:rPr>
      </w:pPr>
    </w:p>
    <w:p w14:paraId="3C85BC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декабря 1940 года никаких инструкций по эксплуатации ТБ-7 не было. В 14 ТБАП помимо ТБ-7 (одна эскадрилья) стояли на вооружении ТБ-3. Штаб 18-й АД ДД, куда входил 14 ТБАП, на</w:t>
      </w:r>
      <w:r w:rsidRPr="00A3026E">
        <w:rPr>
          <w:rFonts w:ascii="Times New Roman" w:hAnsi="Times New Roman"/>
          <w:color w:val="000000" w:themeColor="text1"/>
          <w:sz w:val="16"/>
          <w:szCs w:val="16"/>
        </w:rPr>
        <w:softHyphen/>
        <w:t>ходился в Скоморохах, там же базировался 90 ДБАП и 93 ДБАП на ДБ-ЗФ. Для выяснения реального состояния дел в эксплуатации, а также возможных претензий к матчасти и заводу ОКБ направило на Украину ведущего инженера по летным испытаниям Я.С.Осокина.</w:t>
      </w:r>
    </w:p>
    <w:p w14:paraId="7195B5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Но командование 14 ТБАП с актом по катастрофе Осокпна даже не ознакомило, а заявило, что ни у командования полка, ни у техсостава претензий нет. Представитель завода выяснил что с декабря 1940 года самолеты не летали. На естественный вопрос Осокина о причинах отсутствия полетов в течение нескольких месяцев </w:t>
      </w:r>
      <w:r w:rsidRPr="00A3026E">
        <w:rPr>
          <w:rFonts w:ascii="Times New Roman" w:hAnsi="Times New Roman"/>
          <w:color w:val="000000" w:themeColor="text1"/>
          <w:sz w:val="16"/>
          <w:szCs w:val="16"/>
        </w:rPr>
        <w:lastRenderedPageBreak/>
        <w:t>командование полка сообщило ему о том, что с моральным состоянием экипажей они справятся сами без участия завода и заставят экипажи летать и что остальные ТБ-7 полка находятся в летном состоянии и вмешательства ни ОКБ, ни завода не требуется. Все сделаем сами. С этим Осокин и уехал в Казань. К апрелю выяснилось, что все ТБ-7 полка как стояли на приколе, так и стоят. Теперь после такой "активной" эксплуатации необходимо было проводить на всех машинах полка регламентные работы и, возможно, частичный восстановительный ремонт. Ведь, как известно, для самолетов хуже нет, как стоять длительное время без движения и обслуживания под открытым небом, особенно в осенне-зимний период. Кроме того, необходимо было для летного состава, утратившего за полгода даже ту минимальную подготовку на ТБ-7, которая была у них организовать квалифицированные вывозные полеты. Вот такой невеселый расклад был в этом полку, получившем современную авиационную технику. Машины были не освоены, а отцы-командиры, законно боясь надвигавшегося нового молоха репрессий, все это старались скрыть. За неподготовленность полка могли дать разгон, а вот за аварии или, не дай Бог, за катастрофы могли расстрелять или отправить на свидание ко многим бывшим их сослуживцам, попавшим под репрессии в первую волну арестов 1937-1938 годов.</w:t>
      </w:r>
    </w:p>
    <w:p w14:paraId="175B46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первого "авторского надзора" в 14 ТБАП сильно обеспокоили И.Ф.Незваля, и в апреле 1941 года он вновь отправил в Борисполь Осокина, чтобы тот все-таки прояснил картину. Все самое худшее подтвердилось: с декабря 1940 года машины не летали и, надо с завода вызывать специальную бригаду рабочих для проведения регламентных работ. Что и было сделано.</w:t>
      </w:r>
    </w:p>
    <w:p w14:paraId="23B2C3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Через какое-то время машины полка были технически готовы, теперь необходимо было решать вопрос с экипажами. Вывозить их надо было заново, а инструкторов, способных это сделать, в полку не было, командный состав имел в лучшем случае по нескольку полетов на ТБ-7. Осокин предложил разумный вариант: привлечь к вывозке заводских летчиков-испытателей. Командование полка на это не пошло, во-первых, не веря в такую возможность, а во-вторых, не хотело выносить сор из избы. Как раз в это время в 14 ТБАП прибыл Командующий Киевским Особым военным округом, а вместе с ним майор Дацко, тот самый, который вместе со Стефановским испытывал в НИИ ВВС опытную машину и "дублер". С ними встретился Осокин, рассказал им о положении в полку и предложил вы</w:t>
      </w:r>
      <w:r w:rsidRPr="00A3026E">
        <w:rPr>
          <w:rFonts w:ascii="Times New Roman" w:hAnsi="Times New Roman"/>
          <w:color w:val="000000" w:themeColor="text1"/>
          <w:sz w:val="16"/>
          <w:szCs w:val="16"/>
        </w:rPr>
        <w:softHyphen/>
        <w:t>возку экипажей провести Дацко. Дацко согласился, только попросил ознакомить его с техническими особенностями серийной машины, ведь он летал только на опытных.</w:t>
      </w:r>
    </w:p>
    <w:p w14:paraId="1BF359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следующий день начались первые вывозные полеты. Начали с командира дивизии Дубинина. Полеты производились с аэродрома в Белой Церкви. Вскоре начались полеты с другими летчиками части, а затем эти первые переподготовленные пилоты уже сами проводили полеты с остальными летчиками. Таким образом, 14 ТБАП был приведен в летное состояние. К июню 1941 года в дивизию всего поступило 27 ТБ-7, из которых 17 были введены в строй в присутствии представителя ОКБ Осокина, а остальные в начале июня (по данным ОКБ) (12726).</w:t>
      </w:r>
    </w:p>
    <w:p w14:paraId="61C3C8D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EFBCFA5"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В декабре 1940 года в Москве состоялось совещание высшего командного и политического состава Красной Армии.</w:t>
      </w:r>
    </w:p>
    <w:p w14:paraId="0D59BEFE"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На совещании самое пристальное внимание было уделено обсуждению вопросов проведения сокрушительных операций, обеспечивающих разгром противника в короткие сроки. В советских теоретических трудах до того, как перестреляли теоретиков, существовал красивый термин: «Операции большого стиля». В докладе командующего войсками Киевского особого военного округа генерала армии Г. К. Жукова «Характер современной наступательной операции» излагались основные черты современных наступательных операций фронта и армии, способы использования крупных танковых и механизированных соединений во взаимодействии с ВВС, в том числе при действии в тылу у оперативной группировки противника и при развитии оперативного успеха в стратегический. Докладчик показал возросшие размах, глубину и темпы наступления, необходимость применения воздушных десантов для захвата ключевых объектов и рубежей в оперативной глубине обороны противника. К числу важнейших черт операции он относил непрерывность ведения наступательной операции фронта и завоевание господства в воздухе:</w:t>
      </w:r>
    </w:p>
    <w:p w14:paraId="4700C5C7"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«Господство в воздухе — основа успеха операций. Это господство достигается смелым и внезапным мощным ударом всех ВВС по авиации противника в районах ее базирования. Только при господстве в воздухе ВВС фронта смогут выполнить задачи непосредственного боевого содействия ударным армиям…</w:t>
      </w:r>
    </w:p>
    <w:p w14:paraId="03B04348"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Особой заботой командарма и командующего ВВС армии будет — не дать разбить свою авиацию на аэродромах. Лучшим средством для этого явится внезапный удар нашей авиации по аэродромам противника и рассредоточенное расположение нашей авиации с маскировкой материальной части и ПВО на аэродромах…</w:t>
      </w:r>
    </w:p>
    <w:p w14:paraId="1C11C86C"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Удары авиации должны развернуться на таком пространстве, чтобы подавить в районах аэродромного базирования основную массу авиации противника, нанести ей поражение, нарушить подвоз по железным и грунтовым дорогам, парализовать всю систему быстрого продвижения в оперативную глубину, должны уничтожить оперативные действия (сил противника) в тылу и исключить возможность их оперативного маневрирования».</w:t>
      </w:r>
    </w:p>
    <w:p w14:paraId="7142919A"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При прорыве вражеской обороны: «Армейская и фронтовая авиация в этот период центр тяжести своей боевой работы сосредоточивает для непосредственной поддержки и прикрытия войск».</w:t>
      </w:r>
    </w:p>
    <w:p w14:paraId="21D8ADE5"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С докладом «Военно-воздушные силы в наступательной операции и в борьбе за господство в воздухе» выступил начальник Главного управления ВВС Красной Армии генерал-лейтенант П.В. Рычагов, охвативший целый ряд вопросов, в частности, завоевание господства в воздухе, взаимодействие авиации с наземными войсками, нанесение ударов по оперативному тылу противника и другие:</w:t>
      </w:r>
    </w:p>
    <w:p w14:paraId="1093E1DE"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«Завоевание господства в воздухе является необходимым условием, обеспечивающим планомерность и успешность развития наземной наступательной операции фронта и поэтому вовлечение в нее армейской и фронтовой авиации обязательно…</w:t>
      </w:r>
    </w:p>
    <w:p w14:paraId="144CB38E"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Завоевание господства в воздухе во фронтовой операции достигается:</w:t>
      </w:r>
    </w:p>
    <w:p w14:paraId="5D910103"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1) уничтожением авиации противника на аэродромах с одновременным ударом по ее тылам (фронтовые базы, ремонтные органы, склады горючего, боеприпасов);</w:t>
      </w:r>
    </w:p>
    <w:p w14:paraId="1EE0B34C"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2) уничтожением авиации противника в воздухе и над полем боя;</w:t>
      </w:r>
    </w:p>
    <w:p w14:paraId="2D4B30F8"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3) наличием превосходства в силах.</w:t>
      </w:r>
    </w:p>
    <w:p w14:paraId="38A26313"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Наиболее сложной при выполнении является первая задача, так как для ее выполнения необходимо застать авиацию противника на ее аэродромах, а это при современной глубине базирования и способности авиации к маневрированию по аэродромам представляет большую трудность. Большинство таких налетов будет постигать неудача.</w:t>
      </w:r>
    </w:p>
    <w:p w14:paraId="48BFA698"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Лучшим способом поражения авиации на земле является одновременный удар по большому количеству аэродромов возможного базирования авиации противника…</w:t>
      </w:r>
    </w:p>
    <w:p w14:paraId="7B66F520"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Завоевав господство в воздухе, продолжать его удерживать, взяв основной упор на работу в непосредственных интересах операции».</w:t>
      </w:r>
    </w:p>
    <w:p w14:paraId="37D6B9A6"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В прениях о господстве в воздухе говорили много и с удовольствием. Немного поспорили на тему, как его лучше завоевать: внезапными ударами по аэродромам противника или в воздушных боях. Никаких возражений не вызвал постулат о том, что авиация должна всячески содействовать наземным войскам и решать оперативные задачи во взаимодействии с ними. Согласились, что должна быть как фронтовая, так и армейская авиация, и той и другой должно быть много, а летный состав должен быть вооружен самой современной техникой и превосходно обучен. Немецкий принцип централизации ВВС, позволявший сосредоточить на одном направлении крупные силы авиации, был признан интересным, но отмечалась также и «косность» такой организации: «Надо учесть, что такая система имеет весьма серьезные минусы. При слабом воздушном противнике, какими были Франция, Польша и Англия (последняя в 1939 г.), немцы могли ВВС централизовать. Но если война будет вестись между двумя равноценными противниками, то такая жесткая централизация к добру не приведет». К информации о том, что в Вермахте любой командир роты может по радио запросить авиационную поддержку, отнеслись скептически — рекламный трюк.</w:t>
      </w:r>
    </w:p>
    <w:p w14:paraId="439CD3DF"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Итог многолетним спорам о применении авиации подвел маршал С.К. Тимошенко: «Решающий эффект авиации заключается не в рейдах в далеком тылу, а в соединенных действиях с войсками на поле боя, в районе дивизии, армии».</w:t>
      </w:r>
    </w:p>
    <w:p w14:paraId="7278DF2F"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Затем с полководцами, допущенными к самым важным секретам, провели оперативно-стратегические игры, в ходе которых на картах отрабатывались варианты вторжения в Европу.</w:t>
      </w:r>
    </w:p>
    <w:p w14:paraId="221711BA"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Как несущественное, осталось за скобками главное: Красный Воздушный Флот бороться за господство в воздухе с серьезным противником не способен. Об этом говорили, как об отдельных недостатках, которые будут планово устранены к тому моменту, «когда нас в бой пошлет товарищ Сталин»:</w:t>
      </w:r>
    </w:p>
    <w:p w14:paraId="6A0FC597"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 авиация подготовлена к несложным видам боя, особенно большое отставание в полетах при сложных метеорологических условиях и на большой высоте. Огневая подготовка, подготовка авиации к полетам на большой высоте и ночью низка;</w:t>
      </w:r>
    </w:p>
    <w:p w14:paraId="7A1C1475"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 оперативная и тактическая подготовка — в запущенном состоянии;</w:t>
      </w:r>
    </w:p>
    <w:p w14:paraId="2249CE35"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 у руководящего состава ВВС нет единства взглядов по вопросам использования авиации в операциях;</w:t>
      </w:r>
    </w:p>
    <w:p w14:paraId="04788AEB"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 самое трудное — это действия военно-воздушных сил с конно-механизированной армией. У нас фактически это не проработано. Это сугубо теоретический вопрос;</w:t>
      </w:r>
    </w:p>
    <w:p w14:paraId="1F760DAC"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 если военные советы не займутся созданием тыла для ВВС, этот самый важный вопрос не будет решен;</w:t>
      </w:r>
    </w:p>
    <w:p w14:paraId="0EF75116"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 для того, чтобы работать бесперебойно, вовремя нужны хорошие средства связи, которыми должна располагать авиация. Имеющиеся средства связи на сегодня не обеспечивают надежной связи с наземным командованием и не обеспечивают управления в бою. Свои средства связи необходимы авиации.</w:t>
      </w:r>
    </w:p>
    <w:p w14:paraId="40EE650D"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bCs/>
          <w:color w:val="000000" w:themeColor="text1"/>
          <w:sz w:val="16"/>
          <w:szCs w:val="16"/>
        </w:rPr>
        <w:t>Каков же общий вывод? Вот он: «Мы нашли источник военной мысли, из которого она бурно разольется по всем порам нашего военного организма. Мы начали по-настоящему выполнять указания товарища Сталина о поднятии военно-идеологического уровня наших командных кадров и положили начало созданию своей собственной военной идеологии» (12623).</w:t>
      </w:r>
    </w:p>
    <w:p w14:paraId="14A77612" w14:textId="77777777" w:rsidR="0014077F" w:rsidRPr="00A3026E" w:rsidRDefault="0014077F" w:rsidP="00A3026E">
      <w:pPr>
        <w:spacing w:after="0" w:line="240" w:lineRule="auto"/>
        <w:jc w:val="both"/>
        <w:rPr>
          <w:rFonts w:ascii="Times New Roman" w:hAnsi="Times New Roman"/>
          <w:bCs/>
          <w:color w:val="000000" w:themeColor="text1"/>
          <w:sz w:val="16"/>
          <w:szCs w:val="16"/>
        </w:rPr>
      </w:pPr>
    </w:p>
    <w:p w14:paraId="77695BEA"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было проведено совещание высшего командного состава Красной армии. На нем значительное место заняло обсуждение вопросов использования военно-воздушных сил в глубокой наступательной операции. С докладом на эту тему выступил начальник Главного управления ВВС Красной армии генерал-лейтенант авиации П.В. Рычагов.</w:t>
      </w:r>
    </w:p>
    <w:p w14:paraId="1FF815DF"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Согласно выработанным нормативам, каждая ударная армия, участвуя в глубокой наступательной операции фронта, могла получить в оперативное управление две-три смешанные авиационные дивизии, в составе каждой из которых было по одному штурмовому авиационному полку. В особых случаях такие дивизии или </w:t>
      </w:r>
      <w:r w:rsidRPr="00A3026E">
        <w:rPr>
          <w:rFonts w:ascii="Times New Roman" w:hAnsi="Times New Roman"/>
          <w:color w:val="000000" w:themeColor="text1"/>
          <w:sz w:val="16"/>
          <w:szCs w:val="16"/>
        </w:rPr>
        <w:lastRenderedPageBreak/>
        <w:t>отдельные ее части могли временно придаваться механизированным соединениям, кавалерийским корпусам или танковым группам при их действиях на самостоятельных направлениях.</w:t>
      </w:r>
    </w:p>
    <w:p w14:paraId="0B6BDB37"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этом на штурмовую авиацию возлагались многочисленные задачи, что не соответствовало ее ограниченным силам, которые должны были находиться в составе ударной армии. Так, штурмовики предполагалось широко использовать при выполнении авиационной поддержки для подавления живой силы, огневых средств и артиллерии противника, для борьбы с его резервами, нарушения управления и коммуникаций. Одновременно они должны были препятствовать планомерному отходу войск противника с удерживаемых позиций и занятию ими второй оборонительной полосы с тем, чтобы максимально облегчить ее захват наступающими войсками.</w:t>
      </w:r>
    </w:p>
    <w:p w14:paraId="43C5803B"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Поддержка наступающих войск, как и другие вышеперечисленные задачи, возлагалась не только на штурмовую, но и на ближнюю бомбардировочную авиацию, так как первой было еще очень мало. По выражению одного из основоположников советского оперативного искусства ВВС А.Н. Лапчинского, «авиации всегда мало по сравнению с теми многообразными задачами, которые стоят перед нею»[12]. Это высказывание относилось в полной мере к штурмовой авиации. В связи с этим вполне резонно штурмовики предполагалось использовать мелкими группами, выполняя по нескольку заходов на одну и ту же цель. При этом непременными условиями успеха считались внезапность их появления над целью, массирование усилий на подавлении или разрушении важнейших для конкретного периода боя объектов, непрерывность и активность действий, смелая инициатива каждого авиационного командира и отдельного экипажа.</w:t>
      </w:r>
    </w:p>
    <w:p w14:paraId="0AD53A91"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Обязательным считалось также выделение на выполнение каждой задачи таких сил, которые обеспечивали бы получение «ощутимого результата оперативного или тактического значения». Другими важными требованиями при использовании штурмовой авиации являлись: экономное расходование сил и средств, а также достижение наивысшего напряжения боевых действий во время решающих этапов операции; очень важно было обеспечить наличие авиационного резерва для повторных действий и решения внезапно возникающих задач.</w:t>
      </w:r>
    </w:p>
    <w:p w14:paraId="31348C11"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Основными объектами действий штурмовой авиации, поддерживающей соединения сухопутных войск, в наступлении являлись: артиллерия противника на огневых позициях и на марше, отдельные очаги его обороны, скопления вражеских войск и резервы в районах сосредоточения, особенно танковые и моторизованные. Воспрещение их подхода к району сражения считалось важнейшей задачей авиации.</w:t>
      </w:r>
    </w:p>
    <w:p w14:paraId="47EE3547"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Боевом уставе бомбардировочной авиации (БУБА-40) указывалось, что «ближняя бомбардировочная авиация (ББА) имеет основным назначением непосредственное тактическое взаимодействие с наземными войсками на поле боя и действия в войсковом и оперативном тылу противника в интересах боя и операции наземных войск».</w:t>
      </w:r>
    </w:p>
    <w:p w14:paraId="187EBB1D"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Поскольку специального боевого устава для штурмовой авиации в предвоенный период разработано не было, при организации ее действий командование пользовалось положениями, изложенными в уставе бомбардировочной авиации (БУБА-40) и Боевом уставе истребительной авиации (БУИА-40). Расписание задач ближней бомбардировочной авиации в полной мере относилось и к штурмовым авиационным частям.</w:t>
      </w:r>
    </w:p>
    <w:p w14:paraId="50DD049A"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Усилия штурмовой и ближней бомбардировочной авиации в отдельных случаях, в соответствии со взглядами советского военного командования, могли наращиваться силами дальней бомбардировочной авиации главного командования «как для действий в интересах операции наземных войск… так и для поражения живой силы и боевых средств противника в районе поля сражения и на поле боя».</w:t>
      </w:r>
    </w:p>
    <w:p w14:paraId="4A066335"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отдельные моменты для поддержания атаки или задержки отхода врага в дополнение к штурмовой могла использоваться и истребительная авиация. Однако главная задача последней заключалась в прикрытии наземных войск, частей и подразделений других родов авиации, действовавших над полем боя с воздуха. Истребители должны были дежурить, наращивая свои силы в наиболее ответственные периоды боя (например, перед началом перехода частей сухопутных войск в атаку). Именно в эти же периоды требовалось сосредоточение усилий штурмовой авиации. Поэтому во всех случаях намечалось создание истребительного резерва для решения внезапно возникающих задач, а также для наращивания сил авиации в ходе воздушного сражения по мере необходимости.</w:t>
      </w:r>
    </w:p>
    <w:p w14:paraId="7218CB3B"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командиры и штабы штурмовых авиационных полков должны были организовывать тесное взаимодействие не только с соединениями сухопутных войск и частями ближней бомбардировочной авиации, но и с соединениями дальней бомбардировочной авиации главного командования, а также истребительной авиации.</w:t>
      </w:r>
    </w:p>
    <w:p w14:paraId="3C39949D"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Структура подчиненности соединений военно-воздушных сил, обусловливавшая постановку задач авиации в различных инстанциях наземного командования, усложняла эту на первый взгляд простую задачу. Кроме того, для ее решения была необходима надежно работающая система связи. Командующий ВВС Ленинградского военного округа генерал-майор авиации А.А. Новиков на совещании руководящего состава РККА в декабре 1940 года докладывал: «Для того чтобы работать бесперебойно, вовремя нужны хорошие средства связи, которыми должна располагать авиация». Поскольку таковые еще только создавались и накапливались, а опыта их использования практически не было, во избежание поражения своих войск, в соответствии с опытом локальных войн и вооруженных конфликтов, районы действий штурмовиков и бомбардировщиков выбирались на удалении не менее километра от линии боевого соприкосновения с противником.</w:t>
      </w:r>
    </w:p>
    <w:p w14:paraId="08072062"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Одним из наиболее ответственных этапов операции являлся ввод в прорыв эшелона развития успеха. В соответствии с положениями теории глубокой наступательной операции, он приурочивался к моменту выхода атакующей группы пехоты в район артиллерийских позиций главной оборонительной полосы противника. Штурмовики и ближние бомбардировщики при этом должны были изолировать район сражения, где вводился в прорыв эшелон развития успеха от подхода резервов противника, и немедленно после его введения приступить к сопровождению подвижных соединений на маршрутах выдвижения и при их действиях в глубине обороны противника.</w:t>
      </w:r>
    </w:p>
    <w:p w14:paraId="1471FECF"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Непосредственную поддержку эшелона развития успеха при этом предполагалось вести специально выделенными силами штурмовой или ближней бомбардировочной авиации при содействии фронтовой группы авиации. При этом допускалось переподчинение отдельных частей армейской авиации (вероятнее всего, это могли быть части штурмовой авиации) командирам подвижных соединений, что предъявляло ряд строгих требований к организации управления и обеспечения штурмовой авиации.</w:t>
      </w:r>
    </w:p>
    <w:p w14:paraId="74490F4E"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 командиров авиационных частей, выделенных в распоряжение подвижных соединений, требовалось глубокое понимание особенностей общевойскового боя и постоянное знание складывающейся обстановки в деталях. Аэродромы базирования таких частей требовалось по возможности приближать к району действий эшелона развития успеха. При этом наибольшую сложность обычно представляла собой оперативная организация полноценного материально-технического обеспечения выделенных в распоряжение командира эшелона развития успеха авиационных частей на новых аэродромах при имеющихся низких транспортных возможностях авиационного тыла.</w:t>
      </w:r>
    </w:p>
    <w:p w14:paraId="31DD27CF"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Организация наземной связи между общевойсковыми штабами и аэродромами базирования, выделенной авиации, как и посылка в войска представителей от авиационных соединений считались обязательными мероприятиями и также представляли собой круг трудно разрешаемых проблем, если учитывать реальное состояние войсковой и авиационной связи того времени.</w:t>
      </w:r>
    </w:p>
    <w:p w14:paraId="0C4D0F70"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Важное значение для нормального проведения операции имело своевременное обнаружение начала отхода противника с занимаемых рубежей, так как необходимо было, не теряя времени, приступить к его неуклонному преследованию с целью дезорганизации отступления покидающих фронт частей, воспрещения их закрепления на тыловых рубежах и по возможности их полного уничтожения. Особая роль при этом отводилась интенсивно развертываемой штурмовой авиации. Штурмовики были должны, действуя мелкими группами, самостоятельно и во взаимодействии с бронетанковыми и моторизованными частями непрерывно атаковывать отходящего противника, воспрещать подход его резервов из глубины, содействовать своим подвижным войскам и воздушным десантам в захвате узлов дорог и командных высот с удержанием их до подхода основных соединений сухопутных войск. Особенно удобными для производства таких атак считались места его скопления, узости, образуемые ландшафтом местности, переправы через ущелья и водные преграды.</w:t>
      </w:r>
    </w:p>
    <w:p w14:paraId="0355E9FF" w14:textId="77777777" w:rsidR="001411CB" w:rsidRPr="00A3026E" w:rsidRDefault="001411C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совершенно очевидно из изложенного материала, более определенными и конкретными являлись взгляды советского военного командования на применение штурмовой авиации в условиях наступления. Это было обусловлено, главным образом, известными положениями советской военной доктрины того времени и высокой степенью разработанности в советской военной науке теории глубокой наступательной операции (ГНО). Разработка теории применения авиации в ГНО явилась большим достижением оперативного искусства ВВС в предвоенные годы, в рамках которого формировались взгляды на боевое применение частей штурмовой авиации (18578).</w:t>
      </w:r>
    </w:p>
    <w:p w14:paraId="11FE98DB" w14:textId="77777777" w:rsidR="001411CB" w:rsidRPr="00A3026E" w:rsidRDefault="001411CB" w:rsidP="00A3026E">
      <w:pPr>
        <w:spacing w:after="0" w:line="240" w:lineRule="auto"/>
        <w:jc w:val="both"/>
        <w:rPr>
          <w:rFonts w:ascii="Times New Roman" w:hAnsi="Times New Roman"/>
          <w:color w:val="000000" w:themeColor="text1"/>
          <w:sz w:val="16"/>
          <w:szCs w:val="16"/>
        </w:rPr>
      </w:pPr>
    </w:p>
    <w:p w14:paraId="6F3ACC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заместитель генерал-инспектора ВВС КА генерал-майор авиации Т.Т.Хрюкин в своем выступлении на Совещании высшего руководящего состава Красной армии отмечал, что такой плохой результат применения штурмовиков по танкам в ходе осенней оперативно-стратегической игры обуславливается, прежде всего, тем, что «мы имеем на вооружении пушку 20 мм, она имеет очень маленький калибр снаряда на толщину брони», а самыми эффективными самолетами в борьбе с танками должны быть штурмовики и истребители, вооруженные пушками калибра 37 мм (9649).</w:t>
      </w:r>
    </w:p>
    <w:p w14:paraId="3DC0196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D9C69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на заседании Главного ВС КА выступил Нач. ГУ ВВС П.В.Рычагов и отметил, что не завоевав господства в воздухе невозможно "надежно подготовить наступление фронта; предохранить от ударов с воздуха подвозимые войска, особенно конные и механизированные; быстро и планомерно осуществить прорыв укрепленной полосы противника, развить успех в глубину", "что завоевание господства в воздухе достигается уничтожением авиации противника на аэродромах с одновременными ударами по ее тылам (фронтовым базам, ремонтным органам, складам ГСМ и боеприпасов), а также уничтожением авиации противника в воздухе над полем боя..." (518,14).</w:t>
      </w:r>
    </w:p>
    <w:p w14:paraId="448C0E3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C0A229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помощник начальника Генерального штаба Красной армии по авиации Я.В. Смушкевич, выступая на совещании высшего руководящего состава РККА, справедливо отмечал: «Сейчас мы в основном знаем характер участия ВВС на Западе. Поэтому мы можем безошибочно сказать, что огромное коли</w:t>
      </w:r>
      <w:r w:rsidRPr="00A3026E">
        <w:rPr>
          <w:rFonts w:ascii="Times New Roman" w:hAnsi="Times New Roman"/>
          <w:color w:val="000000" w:themeColor="text1"/>
          <w:sz w:val="16"/>
          <w:szCs w:val="16"/>
        </w:rPr>
        <w:softHyphen/>
        <w:t>чество вопросов, которые были выявлены, скажем, в Испании, на Хасане, Халхин-Голе, а затем и в Финляндии, сейчас составляют почти основу так</w:t>
      </w:r>
      <w:r w:rsidRPr="00A3026E">
        <w:rPr>
          <w:rFonts w:ascii="Times New Roman" w:hAnsi="Times New Roman"/>
          <w:color w:val="000000" w:themeColor="text1"/>
          <w:sz w:val="16"/>
          <w:szCs w:val="16"/>
        </w:rPr>
        <w:softHyphen/>
        <w:t xml:space="preserve">тики действий ВВС на </w:t>
      </w:r>
      <w:r w:rsidRPr="00A3026E">
        <w:rPr>
          <w:rFonts w:ascii="Times New Roman" w:hAnsi="Times New Roman"/>
          <w:color w:val="000000" w:themeColor="text1"/>
          <w:sz w:val="16"/>
          <w:szCs w:val="16"/>
        </w:rPr>
        <w:lastRenderedPageBreak/>
        <w:t>Западе. Я это утверждаю со всей ответственностью, потому что все действия воздушных боев, действия бомбардировочной и истребительной авиации днем и ночью, построение боевого порядка и уп</w:t>
      </w:r>
      <w:r w:rsidRPr="00A3026E">
        <w:rPr>
          <w:rFonts w:ascii="Times New Roman" w:hAnsi="Times New Roman"/>
          <w:color w:val="000000" w:themeColor="text1"/>
          <w:sz w:val="16"/>
          <w:szCs w:val="16"/>
        </w:rPr>
        <w:softHyphen/>
        <w:t>равления записаны в наших уставах, составленных на основе применения наших ВВС в Испании, Халхин-Голе, Финляндии» (Русский архив: Великая Отечественная: Накануне войны. Материалы совещания высшего руко</w:t>
      </w:r>
      <w:r w:rsidRPr="00A3026E">
        <w:rPr>
          <w:rFonts w:ascii="Times New Roman" w:hAnsi="Times New Roman"/>
          <w:color w:val="000000" w:themeColor="text1"/>
          <w:sz w:val="16"/>
          <w:szCs w:val="16"/>
        </w:rPr>
        <w:softHyphen/>
        <w:t>водящего состава РККА 23 - 31 декабря 1940 года. Т. 12 (1). С. 196.) (11710,417).</w:t>
      </w:r>
    </w:p>
    <w:p w14:paraId="3BDD765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3A1285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ввели должность помошника ГШ по авиации (66,223) - Я.В.Смушкевича назначили помошником начальника ГШ Г.К.Жукова (205,30).</w:t>
      </w:r>
    </w:p>
    <w:p w14:paraId="738B32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Ясно, что не Г.К.Жукова или не в декабре.</w:t>
      </w:r>
    </w:p>
    <w:p w14:paraId="3E1503C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73F64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на известном совещании высшего командного состава армии была проведена оперативно-стратегическая игра. За синюю сторону (западных) играл кавалерист Жуков, а за красную - танкист Павлов. Результат был неожиданным: по деликатному выражению Жукова, "для восточной стороны игра изобиловала драматическими моментами". Сталин был недоволен, но, по-видимому, удовлетворился мнением Павлова, что на учениях все бывает. Кроме того, доклад Павлова о применении механизированных войск был ярок, хорошо аргументирован и привлек всеобщее внимание (3573).</w:t>
      </w:r>
    </w:p>
    <w:p w14:paraId="66006A7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900D5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 на Совещании высшего руководящего состава РККА в частности, вскрылось, что в ходе советско-финской войны войска были вынуждены выбросить все наставления и боевые уставы, разработанные в московских кабинетах теоретиками. Выяснилось, что если действовать по этим теориям, то у наступающей дивизии практически нет солдат, которых можно послать в атаку. Одни, по мудрым теориям, должны охранять, другие отвлекать, третьи выжидать и т.д. Все вроде при деле, а атаковать некому. Дело доходило до того, что пулеметы сдавали в обоз, а пулеметчикам давали винтовки, чтобы пополнить стрелковые цепи. Такие были теории.. (3573).</w:t>
      </w:r>
    </w:p>
    <w:p w14:paraId="6FFA70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Командовавший в советско-финской войне 7-й армией генерал К.А.Мерецков докладывал на этом Совещании:</w:t>
      </w:r>
    </w:p>
    <w:p w14:paraId="75A86C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"Наш опыт войны на Карело-финском фронте говорит о том, что нам немедленно надо пересмотреть основы вождения войск в бою и операции. Опыт боев на Карело-финском театре показал, что наши уставы, дающие основные направления по вождению войск, не отвечают требованиям современной войны. В них много ошибочных утверждений, которые вводят в заблуждение командный состав. На войне не руководствовались основными положениями наших уставов потому, что они не отвечали требованиям войны (3573).</w:t>
      </w:r>
    </w:p>
    <w:p w14:paraId="594E88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Главный порок наших боевых порядков заключается в том, что две трети наших войск находится или в сковывающих группах, или разорваны (3573).</w:t>
      </w:r>
    </w:p>
    <w:p w14:paraId="34C563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Переходя к конкретному рассмотрению боевых порядков, необходимо отметить следующее (3573).</w:t>
      </w:r>
    </w:p>
    <w:p w14:paraId="137BF3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наступлении, когда наша дивизия готовится к активным действиям в составе корпуса, ведущего бой на главном направлении, идут в атаку 16 взводов, причем из них только 8 ударных, а 8 имеют задачу сковывающей группы. Следовательно, в ударной группе имеется только 320 бойцов, не считая минометчиков. Если допустить, что и ударная и сковывающая группы идут одновременно в атаку, то атакующих будет 640 бойцов. Надо признать, что для 17-тысячной дивизии такое количество атакующих бойцов слишком мало (3573).</w:t>
      </w:r>
    </w:p>
    <w:p w14:paraId="15326F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нашим уставам часть подразделений, расположенных в глубине, предназначены для развития удара. Они распределяются так: вторые эшелоны стрелковых рот имеют 320 бойцов, вторые эшелоны стрелковых батальонов - 516 бойцов, вторые эшелоны стрелковых полков - 762 бойца и вторые эшелоны стрелковых дивизий - 1140 бойцов. В итоге получается, что в атаку на передний край выходят 640 бойцов и для развития успеха в тылу находятся 2740 бойцов.. (3573).</w:t>
      </w:r>
    </w:p>
    <w:p w14:paraId="4AE96B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Крайне неудачно построение боевых порядков. Начальствующему составу прививаются неправильные взгляды на характер действия сковывающих групп, наличие которых в атаке действующих частей первой линии создает видимость численного превосходства в силах, тогда как на самом деле в атаке принимает участие только незначительная часть войск. На войне это привело к тому, что в боях на Халхин-Голе немедленно потребовали увеличения численности пехоты, считая, что в дивизии некому атаковать (3573).</w:t>
      </w:r>
    </w:p>
    <w:p w14:paraId="77DC9B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войне на Карельском перешейке вначале командующие 7-й и 13-й армиями издавали свои инструкции, а когда появился командующий фронтом, он дал свои указания как более правильно, на основе опыта и прошлой войны и текущей войны, построить боевые порядки для того, чтобы повести их в атаку (3573).</w:t>
      </w:r>
    </w:p>
    <w:p w14:paraId="653E25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нашим предварительным выводам, отмена по существу установленных нашими уставами боевых порядков во время атаки линии Маннергейма сразу же дала большие успехи и меньшие потери" (3573).</w:t>
      </w:r>
    </w:p>
    <w:p w14:paraId="1C39FAC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755A211"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2B374BDB"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0365D6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Декабрь 1940 г. В милиции создаются детские комнаты (10303).</w:t>
      </w:r>
    </w:p>
    <w:p w14:paraId="74ECFE9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2F085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года прокуратура СССР докладывала в Совнарком СССР о достигнутых успехах рьбе за качество:</w:t>
      </w:r>
    </w:p>
    <w:p w14:paraId="20426A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 дня издания Указа Президиума Верховного Совета Союза ССР от 10 июля с. г. органами прокуратуры было закончено следствием и направлено в суд 363 дела о преступлениях, предусмотренных Указом.</w:t>
      </w:r>
    </w:p>
    <w:p w14:paraId="2EFE2B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 декабря с. г. судами были вынесены обвинительные приговоры по 221 делу и осуждены по Указу от 10 июля 381 чел. Из числа осужденных работали на предприятиях гос. промышленности 251 чел., на предприятиях системы Всекопромсовета — 80 чел. и на иных предприятиях — 50 чел.</w:t>
      </w:r>
    </w:p>
    <w:p w14:paraId="67CACD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Заслуживают особого внимания следующие дела, рассмотренные судом:</w:t>
      </w:r>
    </w:p>
    <w:p w14:paraId="6A4773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Дело работников Коломенского патефонного завода Наркомата Общего Машиностроения (Московская область). Завод выпускал недоброкачественную оборонную продукцию. Директор завода Кирюхин приговорен к 6 годам тюремного заключения, а гл. инженер Марьев и нач. ОТК Люминцев к 5 годам тюремного заключения каждый.</w:t>
      </w:r>
    </w:p>
    <w:p w14:paraId="5237BF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Дело работников завода «Автоприбор» системы промкооперации (Московская область). Этот завод систематически выпускал недоброкачественные части для автостроения, которыми снабжал автопромышленность. По этому делу приговорены: директор завода Макарычев к 5 годам тюремного заключения; технорук Суков к 6 годам тюремного заключения, а нач. ОТК Соколов — к 8 годам тюремного заключения с поражением в правах на 5 лет.</w:t>
      </w:r>
    </w:p>
    <w:p w14:paraId="3FB252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Дело работников завода «Карболит» Наркомхимпрома (Московская область). Этот завод выпускал в большом количестве недоброкачественные крышки для аккумуляторных баков. Директор завода Архиповский и гл. инженер Рогов приговорены к 6 годам тюремного заключения каждый, а нач. ОТК Козлов — к 5 годам тюрьмы…</w:t>
      </w:r>
    </w:p>
    <w:p w14:paraId="3711D4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Дело работников завода бетонных плит Наркомата Промышленности строительных материалов (г. Ленинград). Этот завод поставлял нестандартные бетонные плиты для ответственных военных строек. Директор завода Райхель и гл. инженер Айзенберг приговорены к 7 годам тюремного заключения каждый. Нач. ОТК Томич приговорен к 5 годам тюремного заключения…</w:t>
      </w:r>
    </w:p>
    <w:p w14:paraId="4201D5FD" w14:textId="77777777" w:rsidR="0014077F" w:rsidRPr="00A3026E" w:rsidRDefault="0014077F" w:rsidP="00A3026E">
      <w:pPr>
        <w:spacing w:after="0" w:line="240" w:lineRule="auto"/>
        <w:jc w:val="both"/>
        <w:rPr>
          <w:rFonts w:ascii="Times New Roman" w:hAnsi="Times New Roman"/>
          <w:bCs/>
          <w:color w:val="000000" w:themeColor="text1"/>
          <w:sz w:val="16"/>
          <w:szCs w:val="16"/>
        </w:rPr>
      </w:pPr>
      <w:r w:rsidRPr="00A3026E">
        <w:rPr>
          <w:rStyle w:val="a7"/>
          <w:rFonts w:ascii="Times New Roman" w:hAnsi="Times New Roman"/>
          <w:b w:val="0"/>
          <w:bCs w:val="0"/>
          <w:color w:val="000000" w:themeColor="text1"/>
          <w:sz w:val="16"/>
          <w:szCs w:val="16"/>
        </w:rPr>
        <w:t xml:space="preserve">8. Дело работников (Павлоградского) завода N 55 Наркомата Боеприпасов. Этот завод систематически и в больших количествах выпускал недоброкачественную продукцию. Директор завода Соболев приговорен к 7 годам тюремного заключения с лишением военного звания. Нач. ОТК Костин приговорен к 5 годам тюремного заключения. </w:t>
      </w:r>
    </w:p>
    <w:p w14:paraId="5B7B12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Дело работников Липецкого Мотороремонтного завода «Союзремтреста» Наркомзема Союза ССР (Воронежская область). Вследствие грубейших нарушений технологической дисциплины завод выпустил недоброкачественную оборонную продукцию. Главный инженер завода Адарюков приговорен к 5 годам тюремного заключения с поражением в правах на 2 года.</w:t>
      </w:r>
    </w:p>
    <w:p w14:paraId="1B8BCA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Дело работников завода «Красная Этна» Наркомата Среднего Машиностроения (г. Горький). Этот завод систематически и в большом количестве выпускал недоброкачественные детали для автостроения. Директор завода Макаров и главный инженер Исаков приговорены к 8 годам тюремного заключения каждый…</w:t>
      </w:r>
    </w:p>
    <w:p w14:paraId="5CE2E1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Дело работников шахты «Северная» Наркомчермета (Днепропетровская область). По этому делу приговорены: начальник шахты Ратушный к 5 годам и технорук Паденко — к 6 годам тюремного заключения…»</w:t>
      </w:r>
    </w:p>
    <w:p w14:paraId="06FFC2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Еще через месяц дел стало 396, а осужденных — 417 и подчеркивалось, что «все без исключения осужденные приговорены к тюремному заключению». Однако больше сводки об осужденных директорах-бракоделах в Совнарком не поступали, что свидетельствовало об окончании кампании. Возможно, из-за приближающейся войны руководящие кадры промышленности решили поберечь. А возможно, в ЦК и правительстве сочли, что они достаточно напуганы для того, чтобы работать без брака.</w:t>
      </w:r>
    </w:p>
    <w:p w14:paraId="1CDCA6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Руководителей осуждали и потом, но далеко не каждого из тех, кто обвинялся в выпуске некачественной продукции, подвергали наказанию на основании указа от 10 июля 1940 года. Например, начальника главного управления спичечной промышленности Наркомлеспрома М. Д. Столярова, обвинявшегося в срыве правительственного задания по производству спичек и выпуске некачественной продукции, в 1942 году отдали под суд по обвинению в халатности и приговорили к шести месяцам исправительных работ по месту работы с удержанием 15% заработной платы.</w:t>
      </w:r>
    </w:p>
    <w:p w14:paraId="57FB41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указ от 10 июля позднее использовался в создании политических дел в послевоенное время. Знаменитое «Авиационное дело», в ходе которого в 1946 году арестовали и осудили наркома авиапромышленности Алексея Шахурина, главкома ВВС главного маршала ВВС Александра Новикова и других руководителей, началось именно с обвинений в выпуске и приемке некачественной авиатехники. Зато если директоров защищал кто-то из членов Политбюро, прокуратура смотрела на нарушения сквозь пальцы.</w:t>
      </w:r>
    </w:p>
    <w:p w14:paraId="5D0179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Однако самым важным итогом репрессивной борьбы за качество оказалось то, что она окончилась безрезультатно. И о качестве советской, а теперь российской продукции можно сказать только одно — оно неизменно (11750).</w:t>
      </w:r>
    </w:p>
    <w:p w14:paraId="1CAF539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0D2771B3"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D419454"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35B4224E" w14:textId="77777777" w:rsidR="00465749" w:rsidRPr="00A3026E" w:rsidRDefault="00465749"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Декабрь 1940 выполнил первый полет Накадзима Ки-58 Йокосука D4Y Suisei ("Комета"), союзное имя "Джуди" (20795). </w:t>
      </w:r>
    </w:p>
    <w:p w14:paraId="5A94DC9B" w14:textId="77777777" w:rsidR="00465749" w:rsidRPr="00A3026E" w:rsidRDefault="00465749" w:rsidP="00A3026E">
      <w:pPr>
        <w:spacing w:after="0" w:line="240" w:lineRule="auto"/>
        <w:jc w:val="both"/>
        <w:rPr>
          <w:rFonts w:ascii="Times New Roman" w:hAnsi="Times New Roman"/>
          <w:color w:val="0070C0"/>
          <w:sz w:val="16"/>
          <w:szCs w:val="16"/>
        </w:rPr>
      </w:pPr>
    </w:p>
    <w:p w14:paraId="4D543400" w14:textId="77777777" w:rsidR="00465749" w:rsidRPr="00A3026E" w:rsidRDefault="0046574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в компании Уитла Power Jets выпустили первый экземпляр W.1X, который считался полностью готовым к установке на самолет, хотя и не предназначался для полета. Не за горами было и окончание сборки летного W. 1 (7671,49).</w:t>
      </w:r>
    </w:p>
    <w:p w14:paraId="325BBA3E" w14:textId="77777777" w:rsidR="00465749" w:rsidRPr="00A3026E" w:rsidRDefault="00465749" w:rsidP="00A3026E">
      <w:pPr>
        <w:spacing w:after="0" w:line="240" w:lineRule="auto"/>
        <w:jc w:val="both"/>
        <w:rPr>
          <w:rFonts w:ascii="Times New Roman" w:hAnsi="Times New Roman"/>
          <w:color w:val="000000" w:themeColor="text1"/>
          <w:sz w:val="16"/>
          <w:szCs w:val="16"/>
        </w:rPr>
      </w:pPr>
    </w:p>
    <w:p w14:paraId="17E42C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1941 г. немецкие Т-III модификации J получили 50-мм пушку длиной ствола 60 калибров. Ее бронебойный и подкалиберный снаряды с расстояния 500 м. пробивали под углом 30" к нормали броню толщиной 59 и 72 мм соответственно.</w:t>
      </w:r>
    </w:p>
    <w:p w14:paraId="277D26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Была увеличена толщина лобовой брони с 30 до 50 мм (на танках предыдущих модификаций применили экранировку, то есть накладку дополнительных броневых плит). Поставить на "тройку" более мощную пушку не удалось - не было резерва для увеличения массы машины (3905).</w:t>
      </w:r>
    </w:p>
    <w:p w14:paraId="074C575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6BFE3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C декабря 1940 года бомбардировщики В-24А начали уходить в Англию (3457,115).</w:t>
      </w:r>
    </w:p>
    <w:p w14:paraId="5A771F6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6FC81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англичанин Franz Simon выпустил меморандум о разделении изотопов, предполагающий, что завод стоимостью 5 млн. фунтов сможет выпускать 1 кг высокообогащенного урана в день (2220).</w:t>
      </w:r>
    </w:p>
    <w:p w14:paraId="4002842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65910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1941 г. Центральноамериканские государства - Панама, Куба, Гаити, Доминиканская республика, Гватемала, Гондурас, Коста-Рика, Сальвадор и Никарагуа - объявили войну державам "оси". Колумбия, Мексика и Венесуэла разорвали с ними дипломатические отношения.</w:t>
      </w:r>
    </w:p>
    <w:p w14:paraId="11E6E6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Участие латиноамериканских стран в антигитлеровской коалиции выражалось в экономическом обеспечении их союзников, которые несли на себе основную тяжесть боевых действий. Непосредственное участие в войне приняли только два государства региона: Мексика направила эскадрилью ВВС для защиты Филиппин, а Бразилия выделила 50-тысячный экспедиционный корпус для высадки в Италии (3871).</w:t>
      </w:r>
    </w:p>
    <w:p w14:paraId="6225049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12E74D1"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E444CD8"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0D44C8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декабря 1940 г. по март 1941 г. летчик-испытатель А.К.ДОЛГОВ провел государственные испытания трех Су-2. Одна из поступивших машин (№ 1/6) значительно отличалась от серийных (№№ 16/2 и 20/2). Целью модификации стало повышение летно-тактических данных до требований 1941 г. Для этого маслорадиатор перенесли в центроплан, изменили профиль капота и форму всасывающего патрубка. Весьма громоздкую заднюю башню МВ-5 заменили турелью ТСС-1 со сдвигаемой крышкой. В целом результаты проведенной работы радовали. Скорость по сравнению с серийными самолетами возросла на 33-38 км/ч, а практический потолок - на 700 м. Впервые на второй границе высотности Cv-2 летал быстрее 500 км/ч.</w:t>
      </w:r>
    </w:p>
    <w:p w14:paraId="22DCC0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Ведущий инженер А.В.Синельников выразил тревогy - уже в который раз - по поводу ненадежности двигателей. В то время как на модифицированном самолете он работал удовлетворительно, на серийных машинах пришлось сменить четыре М-88Б, причем три из них вышли из строя после трех часов работы из-за задира и прогара поршней. Штурман капитан Гладинцев отметил ряд достоинств ТСС-1, но не обошел вниманием и недостатки: малые углы обстрела, трудности ведения прицельного огня при работе в потоке воздуха, сложность перевода пулемета из походного положения в боевое.</w:t>
      </w:r>
    </w:p>
    <w:p w14:paraId="09BFB2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мнению начальника НИИ ВВС А.И.Филина, изменения, осуществленные на модифицированной машине, следовало внедрить в серию после устранения отмеченных в ходе испытаний дефектов. Но здесь производственники проявили поспешность и уже весной начали строить Су-2 с турелью ТСС-1. Тем временем турель модифицировали, доработали, но ее государственные испытания завершились все же с неудовлетворительными результатами. Генерал И.Ф.Петров, сменивший Филина в НИИ ВВС, считал недопустимо ослабленной обороноспособность Су-2, и после его вмешательства в конце мая 1941 г. башню МВ-5 восстановили. Всего заводы выпустили 250 машин с турелью ТСС-1 (5360).</w:t>
      </w:r>
    </w:p>
    <w:p w14:paraId="1A307A5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0D18C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декабря 1940 по ноябрь 1941 Л-760 был в эскадрильи особого назначения Московского Аэропорта, но не летал и два внутренних АМ-34ФРНВ заменили на АМ-35. С ноября 1941 самолет передали в Узбекское управление ГВФ с припиской к Ташкенту (1017,263).</w:t>
      </w:r>
    </w:p>
    <w:p w14:paraId="11F8CC5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0C4DC7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 прошел повторные гос. испытания в декабре 1940 (129,13).</w:t>
      </w:r>
    </w:p>
    <w:p w14:paraId="6B4B4C9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2C580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 же время вышло распоряжение по ускорению работ над М-89 и этот мотор рассматривался в числе трех основных на 1941. Назначенные сроки были 15 марта 1941 для 50 час. и 15 июля для гос. испытаний (395,136).</w:t>
      </w:r>
    </w:p>
    <w:p w14:paraId="2DEC7F1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4D3632D"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1C909170"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712832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 1940 — марте 1941 гг. спустили на воду К-1, К-2 и К-3. Три последние лод</w:t>
      </w:r>
      <w:r w:rsidRPr="00A3026E">
        <w:rPr>
          <w:rFonts w:ascii="Times New Roman" w:hAnsi="Times New Roman"/>
          <w:color w:val="000000" w:themeColor="text1"/>
          <w:sz w:val="16"/>
          <w:szCs w:val="16"/>
        </w:rPr>
        <w:softHyphen/>
        <w:t>ки типа КЭ — К-21 — К-23, предназначенные, как и три первые, для Северного флота, были заложены в декабре 1937 — феврале 1938 гг. на заводе 196 ("Судомех") в Ленинграде и спущены на воду в 1938—1939 гг. Строителями их были Е. П. Корсак, В. В. Любимов и М. М. Коган. К-1 бьша предъявлена к испытаниям осенью 1939 г. и 16 декабря того же года принята Наркоматом ВМФ (3898).</w:t>
      </w:r>
    </w:p>
    <w:p w14:paraId="2E1BD24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C5EED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декабре—январе 1940—1941 гг. крейсера Фрунзе и Куйбышев были спущены на воду, и на освободившихся стапелях николаевские ко</w:t>
      </w:r>
      <w:r w:rsidRPr="00A3026E">
        <w:rPr>
          <w:rFonts w:ascii="Times New Roman" w:hAnsi="Times New Roman"/>
          <w:color w:val="000000" w:themeColor="text1"/>
          <w:sz w:val="16"/>
          <w:szCs w:val="16"/>
        </w:rPr>
        <w:softHyphen/>
        <w:t>рабелы заложили соответственно однотипные крейсера "Орджони</w:t>
      </w:r>
      <w:r w:rsidRPr="00A3026E">
        <w:rPr>
          <w:rFonts w:ascii="Times New Roman" w:hAnsi="Times New Roman"/>
          <w:color w:val="000000" w:themeColor="text1"/>
          <w:sz w:val="16"/>
          <w:szCs w:val="16"/>
        </w:rPr>
        <w:softHyphen/>
        <w:t>кидзе" и "Свердлов" (3898).</w:t>
      </w:r>
    </w:p>
    <w:p w14:paraId="60D1A1D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53A05AD"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7DF89882"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44FFAB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период с декабря 1940 г. до января 1941 г. в Хами состоялась передача И-153 китайским летчикам. Известно, что 17 машин получила 3-я эскадрилья, 20 - 4-я эскадрилья, 27 - 5-я эскадрилья, 4 -11-я эскадрилья. После ознакомления и тренировок основная часть этих соединений перелетела в Ченду. Участие в боевых столкновениях принесло значительные потери и серьезные разочарования (6592).</w:t>
      </w:r>
    </w:p>
    <w:p w14:paraId="1F5722F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CE40423"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27FA057"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7536D3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было принято совместное постановление ЦК ВКП(б) и НКО, потребовавшее "ликвидировать угрожающий пробел, который мы имеем из-за отсутствия штурмовика". Подготовка к выпуску Ил-2 еще только разворачивалась и работы по установке пришлись "ко двору".</w:t>
      </w:r>
    </w:p>
    <w:p w14:paraId="5350D1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конца 1940 НКАП получил много (несколько десятков) заводов других отраслей, например, Уфимский моторостроительный с 1940 г., Саратовский комбайновый (66,210). От нескольких сот до нескольких тысяч рабочих на каждом (6,81).</w:t>
      </w:r>
    </w:p>
    <w:p w14:paraId="5E7D20D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162F2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на заводе № 39 пол</w:t>
      </w:r>
      <w:r w:rsidRPr="00A3026E">
        <w:rPr>
          <w:rFonts w:ascii="Times New Roman" w:hAnsi="Times New Roman"/>
          <w:color w:val="000000" w:themeColor="text1"/>
          <w:sz w:val="16"/>
          <w:szCs w:val="16"/>
        </w:rPr>
        <w:softHyphen/>
        <w:t>ным ходом шла работа по подготовке к заводским испытаниям модифицированного самолета ЦКБ-55 № 2 с мо</w:t>
      </w:r>
      <w:r w:rsidRPr="00A3026E">
        <w:rPr>
          <w:rFonts w:ascii="Times New Roman" w:hAnsi="Times New Roman"/>
          <w:color w:val="000000" w:themeColor="text1"/>
          <w:sz w:val="16"/>
          <w:szCs w:val="16"/>
        </w:rPr>
        <w:softHyphen/>
        <w:t>тором АМ-38, в конструкции которо</w:t>
      </w:r>
      <w:r w:rsidRPr="00A3026E">
        <w:rPr>
          <w:rFonts w:ascii="Times New Roman" w:hAnsi="Times New Roman"/>
          <w:color w:val="000000" w:themeColor="text1"/>
          <w:sz w:val="16"/>
          <w:szCs w:val="16"/>
        </w:rPr>
        <w:softHyphen/>
        <w:t>го были учтены практически все тре</w:t>
      </w:r>
      <w:r w:rsidRPr="00A3026E">
        <w:rPr>
          <w:rFonts w:ascii="Times New Roman" w:hAnsi="Times New Roman"/>
          <w:color w:val="000000" w:themeColor="text1"/>
          <w:sz w:val="16"/>
          <w:szCs w:val="16"/>
        </w:rPr>
        <w:softHyphen/>
        <w:t>бования и рекомендации Государст</w:t>
      </w:r>
      <w:r w:rsidRPr="00A3026E">
        <w:rPr>
          <w:rFonts w:ascii="Times New Roman" w:hAnsi="Times New Roman"/>
          <w:color w:val="000000" w:themeColor="text1"/>
          <w:sz w:val="16"/>
          <w:szCs w:val="16"/>
        </w:rPr>
        <w:softHyphen/>
        <w:t>венной комиссии, проводившей его испытания, а также недостатки, вы</w:t>
      </w:r>
      <w:r w:rsidRPr="00A3026E">
        <w:rPr>
          <w:rFonts w:ascii="Times New Roman" w:hAnsi="Times New Roman"/>
          <w:color w:val="000000" w:themeColor="text1"/>
          <w:sz w:val="16"/>
          <w:szCs w:val="16"/>
        </w:rPr>
        <w:softHyphen/>
        <w:t>явленные в ходе испытаний ЦКБ-57 (4140).</w:t>
      </w:r>
    </w:p>
    <w:p w14:paraId="4BFA997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7DE0C3F" w14:textId="77777777" w:rsidR="00D0678D" w:rsidRPr="00A3026E" w:rsidRDefault="00D0678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Ссылка ОКБ С.В.И. на повышенную силу отдачи МП-6 в конце 1940 необоснована, так как методики замера силы отдачи на стенде еще не были отработаны, на самолете ее вообще невозможно замерить, а в полете В.К.Коккинаки на Ил-2 не мог ее определить (263,29).</w:t>
      </w:r>
    </w:p>
    <w:p w14:paraId="4C88C406" w14:textId="77777777" w:rsidR="00D0678D" w:rsidRPr="00A3026E" w:rsidRDefault="00D0678D" w:rsidP="00A3026E">
      <w:pPr>
        <w:spacing w:after="0" w:line="240" w:lineRule="auto"/>
        <w:jc w:val="both"/>
        <w:rPr>
          <w:rFonts w:ascii="Times New Roman" w:hAnsi="Times New Roman"/>
          <w:color w:val="000000" w:themeColor="text1"/>
          <w:sz w:val="16"/>
          <w:szCs w:val="16"/>
        </w:rPr>
      </w:pPr>
    </w:p>
    <w:p w14:paraId="35D4EC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пушка МП-6 была переведена на звеньевое непрерывное питание вместо магазинного.</w:t>
      </w:r>
    </w:p>
    <w:p w14:paraId="4488822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3F64C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 исходу 1940 г. в результате "аврала" в ОКБ-16 действительно был спроектирован и изготовлен очень легкий крупнокалиберный пулемет, получивший наименование АП-12,7. Но какой ценой! Во-первых, было отвлечено внимание конструкторов от МП-6 и от пушки калибра 37 мм, которую ОКБ-16 по более раннему заказу должно было изготовить и представить на испытания в декабре 1940 г. Во-вторых, живучесть автоматики АП-12,7 оказалась крайне низкой - после 100-200 выстрелов </w:t>
      </w:r>
      <w:r w:rsidRPr="00A3026E">
        <w:rPr>
          <w:rFonts w:ascii="Times New Roman" w:hAnsi="Times New Roman"/>
          <w:color w:val="000000" w:themeColor="text1"/>
          <w:sz w:val="16"/>
          <w:szCs w:val="16"/>
        </w:rPr>
        <w:lastRenderedPageBreak/>
        <w:t>начинались осечки и задержки, связанные с поломками отдельных деталей. Из-за погони за малой массой в конструкции пулемета оказалось множество слабых мест, на устранение их требовалось время. Таубин попросил месяц, потом еще один… (11148).</w:t>
      </w:r>
    </w:p>
    <w:p w14:paraId="5AE233D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2EB179F" w14:textId="77777777" w:rsidR="00D0678D" w:rsidRPr="00A3026E" w:rsidRDefault="00D0678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 начале 1941 г. завершение отработки пушки сдер</w:t>
      </w:r>
      <w:r w:rsidRPr="00A3026E">
        <w:rPr>
          <w:rFonts w:ascii="Times New Roman" w:hAnsi="Times New Roman"/>
          <w:color w:val="000000" w:themeColor="text1"/>
          <w:sz w:val="16"/>
          <w:szCs w:val="16"/>
        </w:rPr>
        <w:softHyphen/>
        <w:t>живалось тем, что не было достаточного количества параллельно отрабатываемых 23-мм патронов. Поставляемые патроны не отли</w:t>
      </w:r>
      <w:r w:rsidRPr="00A3026E">
        <w:rPr>
          <w:rFonts w:ascii="Times New Roman" w:hAnsi="Times New Roman"/>
          <w:color w:val="000000" w:themeColor="text1"/>
          <w:sz w:val="16"/>
          <w:szCs w:val="16"/>
        </w:rPr>
        <w:softHyphen/>
        <w:t>чались стабильностью своих характеристик и имели склонность к затяжным выстрелам. Последнее несколько раз приводило к преж</w:t>
      </w:r>
      <w:r w:rsidRPr="00A3026E">
        <w:rPr>
          <w:rFonts w:ascii="Times New Roman" w:hAnsi="Times New Roman"/>
          <w:color w:val="000000" w:themeColor="text1"/>
          <w:sz w:val="16"/>
          <w:szCs w:val="16"/>
        </w:rPr>
        <w:softHyphen/>
        <w:t>девременному выходу из строя всей пушки или ряда деталей (10695).</w:t>
      </w:r>
    </w:p>
    <w:p w14:paraId="7FF5ECCC" w14:textId="77777777" w:rsidR="00D0678D" w:rsidRPr="00A3026E" w:rsidRDefault="00D0678D" w:rsidP="00A3026E">
      <w:pPr>
        <w:spacing w:after="0" w:line="240" w:lineRule="auto"/>
        <w:jc w:val="both"/>
        <w:rPr>
          <w:rFonts w:ascii="Times New Roman" w:hAnsi="Times New Roman"/>
          <w:color w:val="000000" w:themeColor="text1"/>
          <w:sz w:val="16"/>
          <w:szCs w:val="16"/>
        </w:rPr>
      </w:pPr>
    </w:p>
    <w:p w14:paraId="188A5D9A" w14:textId="77777777" w:rsidR="00D0678D" w:rsidRPr="00A3026E" w:rsidRDefault="00D0678D"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 начале 1941 г. с учетом результатов испытаний 23-мм патронов с осколочным снарядом разработали 23-мм патрон с осколочно-зажигательным снарядом. Эти снаряды снаряжали шашкой мощного взрывчатого состава на основе тэна и тротила и шашкой зажигательного вещества РР-1. Снаряд комплектовался взрывателем К-20, созданным на базе взрывателя К-6 конструкто</w:t>
      </w:r>
      <w:r w:rsidRPr="00A3026E">
        <w:rPr>
          <w:rFonts w:ascii="Times New Roman" w:hAnsi="Times New Roman"/>
          <w:color w:val="000000" w:themeColor="text1"/>
          <w:sz w:val="16"/>
          <w:szCs w:val="16"/>
        </w:rPr>
        <w:softHyphen/>
        <w:t>ром завода № 4 Д.Г. Мелковым (10695).</w:t>
      </w:r>
    </w:p>
    <w:p w14:paraId="0F358A6E" w14:textId="77777777" w:rsidR="00D0678D" w:rsidRPr="00A3026E" w:rsidRDefault="00D0678D" w:rsidP="00A3026E">
      <w:pPr>
        <w:spacing w:after="0" w:line="240" w:lineRule="auto"/>
        <w:jc w:val="both"/>
        <w:rPr>
          <w:rFonts w:ascii="Times New Roman" w:hAnsi="Times New Roman"/>
          <w:color w:val="000000" w:themeColor="text1"/>
          <w:sz w:val="16"/>
          <w:szCs w:val="16"/>
        </w:rPr>
      </w:pPr>
    </w:p>
    <w:p w14:paraId="140C5B4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конца 1940 года завод №135 выпустил 110 самолетов Су-2, при плане 275; завод №31 - 12, при плане 100; завод №207 - 3, при плане 25. Недопоставка самолетов сорвала план формирования и под</w:t>
      </w:r>
      <w:r w:rsidRPr="00A3026E">
        <w:rPr>
          <w:rFonts w:ascii="Times New Roman" w:hAnsi="Times New Roman"/>
          <w:color w:val="000000" w:themeColor="text1"/>
          <w:sz w:val="16"/>
          <w:szCs w:val="16"/>
        </w:rPr>
        <w:softHyphen/>
        <w:t>готовки строевых частей ВВС КА.</w:t>
      </w:r>
    </w:p>
    <w:p w14:paraId="391596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Основными причинами невыпол</w:t>
      </w:r>
      <w:r w:rsidRPr="00A3026E">
        <w:rPr>
          <w:rFonts w:ascii="Times New Roman" w:hAnsi="Times New Roman"/>
          <w:color w:val="000000" w:themeColor="text1"/>
          <w:sz w:val="16"/>
          <w:szCs w:val="16"/>
        </w:rPr>
        <w:softHyphen/>
        <w:t>нения плана поставок явились:</w:t>
      </w:r>
    </w:p>
    <w:p w14:paraId="0C385D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неудовлетворительное снабжение заводов оборудованием, мате</w:t>
      </w:r>
      <w:r w:rsidRPr="00A3026E">
        <w:rPr>
          <w:rFonts w:ascii="Times New Roman" w:hAnsi="Times New Roman"/>
          <w:color w:val="000000" w:themeColor="text1"/>
          <w:sz w:val="16"/>
          <w:szCs w:val="16"/>
        </w:rPr>
        <w:softHyphen/>
        <w:t>риалами и готовыми изделиями;</w:t>
      </w:r>
    </w:p>
    <w:p w14:paraId="69675D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медлительность в подготовке производства и в освоении новых технологий;</w:t>
      </w:r>
    </w:p>
    <w:p w14:paraId="3D75107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неудовлетворительное состоя</w:t>
      </w:r>
      <w:r w:rsidRPr="00A3026E">
        <w:rPr>
          <w:rFonts w:ascii="Times New Roman" w:hAnsi="Times New Roman"/>
          <w:color w:val="000000" w:themeColor="text1"/>
          <w:sz w:val="16"/>
          <w:szCs w:val="16"/>
        </w:rPr>
        <w:softHyphen/>
        <w:t>ние с производственным коопериро</w:t>
      </w:r>
      <w:r w:rsidRPr="00A3026E">
        <w:rPr>
          <w:rFonts w:ascii="Times New Roman" w:hAnsi="Times New Roman"/>
          <w:color w:val="000000" w:themeColor="text1"/>
          <w:sz w:val="16"/>
          <w:szCs w:val="16"/>
        </w:rPr>
        <w:softHyphen/>
        <w:t>ванием между заводами (11849).</w:t>
      </w:r>
    </w:p>
    <w:p w14:paraId="4F05D66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2E00506B" w14:textId="77777777" w:rsidR="00173293" w:rsidRPr="00A3026E" w:rsidRDefault="00173293"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конца 1940 г завод № 135 выпустил 110 Су-2 при плане 275; завод № 31 - 12 при плане 100, завод № 207 - три при плане 25. Недопоставка самолетов сорвала план формирования и подго</w:t>
      </w:r>
      <w:r w:rsidRPr="00A3026E">
        <w:rPr>
          <w:rFonts w:ascii="Times New Roman" w:hAnsi="Times New Roman"/>
          <w:color w:val="000000" w:themeColor="text1"/>
          <w:sz w:val="16"/>
          <w:szCs w:val="16"/>
        </w:rPr>
        <w:softHyphen/>
        <w:t>товки строевых частей ВВС Основными причинами невыполнения плана явля</w:t>
      </w:r>
      <w:r w:rsidRPr="00A3026E">
        <w:rPr>
          <w:rFonts w:ascii="Times New Roman" w:hAnsi="Times New Roman"/>
          <w:color w:val="000000" w:themeColor="text1"/>
          <w:sz w:val="16"/>
          <w:szCs w:val="16"/>
        </w:rPr>
        <w:softHyphen/>
        <w:t>лись неудовлетворительное снабжение заводов оборудованием, материалами и готовыми изделиями, медлительность в подготовке производства и в освоении новых технологий; неудовлетворитель</w:t>
      </w:r>
      <w:r w:rsidRPr="00A3026E">
        <w:rPr>
          <w:rFonts w:ascii="Times New Roman" w:hAnsi="Times New Roman"/>
          <w:color w:val="000000" w:themeColor="text1"/>
          <w:sz w:val="16"/>
          <w:szCs w:val="16"/>
        </w:rPr>
        <w:softHyphen/>
        <w:t>ное состояние кооперации между пред</w:t>
      </w:r>
      <w:r w:rsidRPr="00A3026E">
        <w:rPr>
          <w:rFonts w:ascii="Times New Roman" w:hAnsi="Times New Roman"/>
          <w:color w:val="000000" w:themeColor="text1"/>
          <w:sz w:val="16"/>
          <w:szCs w:val="16"/>
        </w:rPr>
        <w:softHyphen/>
        <w:t>приятиями (19102).</w:t>
      </w:r>
    </w:p>
    <w:p w14:paraId="5D19E885" w14:textId="77777777" w:rsidR="00173293" w:rsidRPr="00A3026E" w:rsidRDefault="00173293" w:rsidP="00A3026E">
      <w:pPr>
        <w:spacing w:after="0" w:line="240" w:lineRule="auto"/>
        <w:jc w:val="both"/>
        <w:rPr>
          <w:rFonts w:ascii="Times New Roman" w:hAnsi="Times New Roman"/>
          <w:color w:val="000000" w:themeColor="text1"/>
          <w:sz w:val="16"/>
          <w:szCs w:val="16"/>
        </w:rPr>
      </w:pPr>
    </w:p>
    <w:p w14:paraId="45FA136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в связи с пе</w:t>
      </w:r>
      <w:r w:rsidRPr="00A3026E">
        <w:rPr>
          <w:rFonts w:ascii="Times New Roman" w:hAnsi="Times New Roman"/>
          <w:color w:val="000000" w:themeColor="text1"/>
          <w:sz w:val="16"/>
          <w:szCs w:val="16"/>
        </w:rPr>
        <w:softHyphen/>
        <w:t>реходом на серийное производство истребителей ЛаГГ-3, завод №31 прекратил выпуск самолетов Су-2. В январе-феврале 1941 года задел узлов, агрегатов и оснастки по са</w:t>
      </w:r>
      <w:r w:rsidRPr="00A3026E">
        <w:rPr>
          <w:rFonts w:ascii="Times New Roman" w:hAnsi="Times New Roman"/>
          <w:color w:val="000000" w:themeColor="text1"/>
          <w:sz w:val="16"/>
          <w:szCs w:val="16"/>
        </w:rPr>
        <w:softHyphen/>
        <w:t>молету Су-2 были переданы заводу №207 (11849).</w:t>
      </w:r>
    </w:p>
    <w:p w14:paraId="25C63A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40C48D94" w14:textId="77777777" w:rsidR="00173293" w:rsidRPr="00A3026E" w:rsidRDefault="00173293"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В конце 1940 г. в связи с переходом на серийное производство истребителей ЛаГГ-3 завод № 31 прекратил выпуск Су-2. В январе-феврале 1941 г. весь за</w:t>
      </w:r>
      <w:r w:rsidRPr="00A3026E">
        <w:rPr>
          <w:rFonts w:ascii="Times New Roman" w:cs="Times New Roman"/>
          <w:color w:val="000000" w:themeColor="text1"/>
          <w:spacing w:val="0"/>
        </w:rPr>
        <w:softHyphen/>
        <w:t>дел узлов, агрегатов и оснастки передали заводу № 207 (19102).</w:t>
      </w:r>
    </w:p>
    <w:p w14:paraId="4F78451A" w14:textId="77777777" w:rsidR="00173293" w:rsidRPr="00A3026E" w:rsidRDefault="00173293" w:rsidP="00A3026E">
      <w:pPr>
        <w:pStyle w:val="26"/>
        <w:shd w:val="clear" w:color="auto" w:fill="auto"/>
        <w:spacing w:after="0" w:line="240" w:lineRule="auto"/>
        <w:ind w:firstLine="0"/>
        <w:rPr>
          <w:rFonts w:ascii="Times New Roman" w:cs="Times New Roman"/>
          <w:color w:val="000000" w:themeColor="text1"/>
          <w:spacing w:val="0"/>
        </w:rPr>
      </w:pPr>
    </w:p>
    <w:p w14:paraId="53FFC438" w14:textId="77777777" w:rsidR="00173293" w:rsidRPr="00A3026E" w:rsidRDefault="00173293" w:rsidP="00A3026E">
      <w:pPr>
        <w:pStyle w:val="5e"/>
        <w:shd w:val="clear" w:color="auto" w:fill="auto"/>
        <w:tabs>
          <w:tab w:val="left" w:pos="4715"/>
        </w:tabs>
        <w:spacing w:line="240" w:lineRule="auto"/>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В конце 1940 г. Горбунова в должности главного конструктора-начальника ОКБ-31 направили руководить внед</w:t>
      </w:r>
      <w:r w:rsidRPr="00A3026E">
        <w:rPr>
          <w:rFonts w:ascii="Times New Roman" w:hAnsi="Times New Roman" w:cs="Times New Roman"/>
          <w:color w:val="000000" w:themeColor="text1"/>
          <w:sz w:val="16"/>
          <w:szCs w:val="16"/>
        </w:rPr>
        <w:softHyphen/>
        <w:t>рением истребителя на авиазавод № 31 (19106).</w:t>
      </w:r>
    </w:p>
    <w:p w14:paraId="16178704" w14:textId="77777777" w:rsidR="00173293" w:rsidRPr="00A3026E" w:rsidRDefault="00173293" w:rsidP="00A3026E">
      <w:pPr>
        <w:pStyle w:val="5e"/>
        <w:shd w:val="clear" w:color="auto" w:fill="auto"/>
        <w:tabs>
          <w:tab w:val="left" w:pos="4715"/>
        </w:tabs>
        <w:spacing w:line="240" w:lineRule="auto"/>
        <w:rPr>
          <w:rFonts w:ascii="Times New Roman" w:hAnsi="Times New Roman" w:cs="Times New Roman"/>
          <w:color w:val="000000" w:themeColor="text1"/>
          <w:sz w:val="16"/>
          <w:szCs w:val="16"/>
        </w:rPr>
      </w:pPr>
    </w:p>
    <w:p w14:paraId="1FA362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 начале 1941 годов ПС-43 (гражданское обозначение для БШ-1) начали поступать в различные управления ГВФ. В частности, они эксплуатировались на линиях Москва-Киев и Москва-Ташкент. В их числе эксплуатировался одни из самолетов американской постройки. Гражданские летчики приняли машину хорошо, вполне одобряя удобную кабину с продуманным размещением приборов, надежные механизмы уборки и выпуска шасси. Никаких особых переделок в связи с переходом к мирному применению в самолете не осуществлялось, лишь сняли все вооружение и военное оборудование (3457,43).</w:t>
      </w:r>
    </w:p>
    <w:p w14:paraId="5A11E46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B7346E2"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С.А.Кочеригин предложил проект самолета поля боя, который сочетал в себе каче</w:t>
      </w:r>
      <w:r w:rsidRPr="00A3026E">
        <w:rPr>
          <w:rFonts w:ascii="Times New Roman" w:hAnsi="Times New Roman"/>
          <w:color w:val="000000" w:themeColor="text1"/>
          <w:sz w:val="16"/>
          <w:szCs w:val="16"/>
        </w:rPr>
        <w:softHyphen/>
        <w:t>ства пикирующего бомбардировщика и штурмовика ОПБ с двигателем АМ-37. Он являлся развитием создаваемого им одномоторного пикирующего бомбар</w:t>
      </w:r>
      <w:r w:rsidRPr="00A3026E">
        <w:rPr>
          <w:rFonts w:ascii="Times New Roman" w:hAnsi="Times New Roman"/>
          <w:color w:val="000000" w:themeColor="text1"/>
          <w:sz w:val="16"/>
          <w:szCs w:val="16"/>
        </w:rPr>
        <w:softHyphen/>
        <w:t>дировщика ОПБ с двигателем М-90. Для более эффективного использова</w:t>
      </w:r>
      <w:r w:rsidRPr="00A3026E">
        <w:rPr>
          <w:rFonts w:ascii="Times New Roman" w:hAnsi="Times New Roman"/>
          <w:color w:val="000000" w:themeColor="text1"/>
          <w:sz w:val="16"/>
          <w:szCs w:val="16"/>
        </w:rPr>
        <w:softHyphen/>
        <w:t>ния его в качестве штурмовика пре</w:t>
      </w:r>
      <w:r w:rsidRPr="00A3026E">
        <w:rPr>
          <w:rFonts w:ascii="Times New Roman" w:hAnsi="Times New Roman"/>
          <w:color w:val="000000" w:themeColor="text1"/>
          <w:sz w:val="16"/>
          <w:szCs w:val="16"/>
        </w:rPr>
        <w:softHyphen/>
        <w:t>дусмотрели усиление стрелково-пушечного вооружения, улучшили обзор впе</w:t>
      </w:r>
      <w:r w:rsidRPr="00A3026E">
        <w:rPr>
          <w:rFonts w:ascii="Times New Roman" w:hAnsi="Times New Roman"/>
          <w:color w:val="000000" w:themeColor="text1"/>
          <w:sz w:val="16"/>
          <w:szCs w:val="16"/>
        </w:rPr>
        <w:softHyphen/>
        <w:t>ред-вниз, несколько усилили брониро</w:t>
      </w:r>
      <w:r w:rsidRPr="00A3026E">
        <w:rPr>
          <w:rFonts w:ascii="Times New Roman" w:hAnsi="Times New Roman"/>
          <w:color w:val="000000" w:themeColor="text1"/>
          <w:sz w:val="16"/>
          <w:szCs w:val="16"/>
        </w:rPr>
        <w:softHyphen/>
        <w:t>вание. Но все же последнее оказыва</w:t>
      </w:r>
      <w:r w:rsidRPr="00A3026E">
        <w:rPr>
          <w:rFonts w:ascii="Times New Roman" w:hAnsi="Times New Roman"/>
          <w:color w:val="000000" w:themeColor="text1"/>
          <w:sz w:val="16"/>
          <w:szCs w:val="16"/>
        </w:rPr>
        <w:softHyphen/>
        <w:t>лось недостаточным для штурмовика. При его же дальнейшем усилении сни</w:t>
      </w:r>
      <w:r w:rsidRPr="00A3026E">
        <w:rPr>
          <w:rFonts w:ascii="Times New Roman" w:hAnsi="Times New Roman"/>
          <w:color w:val="000000" w:themeColor="text1"/>
          <w:sz w:val="16"/>
          <w:szCs w:val="16"/>
        </w:rPr>
        <w:softHyphen/>
        <w:t>жался запас прочности, что исключа</w:t>
      </w:r>
      <w:r w:rsidRPr="00A3026E">
        <w:rPr>
          <w:rFonts w:ascii="Times New Roman" w:hAnsi="Times New Roman"/>
          <w:color w:val="000000" w:themeColor="text1"/>
          <w:sz w:val="16"/>
          <w:szCs w:val="16"/>
        </w:rPr>
        <w:softHyphen/>
        <w:t>ло бы использование самолета в каче</w:t>
      </w:r>
      <w:r w:rsidRPr="00A3026E">
        <w:rPr>
          <w:rFonts w:ascii="Times New Roman" w:hAnsi="Times New Roman"/>
          <w:color w:val="000000" w:themeColor="text1"/>
          <w:sz w:val="16"/>
          <w:szCs w:val="16"/>
        </w:rPr>
        <w:softHyphen/>
        <w:t>стве пикирующего бомбардировщика. Это противоречие в рамках одномотор</w:t>
      </w:r>
      <w:r w:rsidRPr="00A3026E">
        <w:rPr>
          <w:rFonts w:ascii="Times New Roman" w:hAnsi="Times New Roman"/>
          <w:color w:val="000000" w:themeColor="text1"/>
          <w:sz w:val="16"/>
          <w:szCs w:val="16"/>
        </w:rPr>
        <w:softHyphen/>
        <w:t>ного самолета до конца 40-х, начала 50-х годов разрешить не удавалось. Не случайно в силу этой же причины С.В. Ильюшин не смог выполнить своего обещания превратить Ил-2 в пикиру</w:t>
      </w:r>
      <w:r w:rsidRPr="00A3026E">
        <w:rPr>
          <w:rFonts w:ascii="Times New Roman" w:hAnsi="Times New Roman"/>
          <w:color w:val="000000" w:themeColor="text1"/>
          <w:sz w:val="16"/>
          <w:szCs w:val="16"/>
        </w:rPr>
        <w:softHyphen/>
        <w:t>ющий бомбардировщик-штурмовик. Созданный немцами на базе классичес</w:t>
      </w:r>
      <w:r w:rsidRPr="00A3026E">
        <w:rPr>
          <w:rFonts w:ascii="Times New Roman" w:hAnsi="Times New Roman"/>
          <w:color w:val="000000" w:themeColor="text1"/>
          <w:sz w:val="16"/>
          <w:szCs w:val="16"/>
        </w:rPr>
        <w:softHyphen/>
        <w:t>кого пикирующего бомбардировщика Ju-87B штурмовик с несколько усилен</w:t>
      </w:r>
      <w:r w:rsidRPr="00A3026E">
        <w:rPr>
          <w:rFonts w:ascii="Times New Roman" w:hAnsi="Times New Roman"/>
          <w:color w:val="000000" w:themeColor="text1"/>
          <w:sz w:val="16"/>
          <w:szCs w:val="16"/>
        </w:rPr>
        <w:softHyphen/>
        <w:t>ным бронированием Ju-87G мог по су</w:t>
      </w:r>
      <w:r w:rsidRPr="00A3026E">
        <w:rPr>
          <w:rFonts w:ascii="Times New Roman" w:hAnsi="Times New Roman"/>
          <w:color w:val="000000" w:themeColor="text1"/>
          <w:sz w:val="16"/>
          <w:szCs w:val="16"/>
        </w:rPr>
        <w:softHyphen/>
        <w:t>ществу осуществлять только пологое планирование под углами всего 20-25° (5278).</w:t>
      </w:r>
    </w:p>
    <w:p w14:paraId="107350A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32E9D6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конструктор С.А. Кочеригин предъявил в НКАП эскизный проект многоцелевого одноместного самолета поля боя ОПБ с мотором АМ-37 (в том числе, и штурмовика), в котором сознательно пошел на некоторое ухудшение аэродинамики. Для обеспечения хорошего (до 15°) обзора вперед-вниз он предусмотрел высокое размещение летчика с соответствующим увеличением размеров фонаря кабины. Кроме того, было разработано специальное остекление пола пилотской кабины и бомбовых люков под ней, что давало дополнительный обзор зоны непосредственно под самолетом.</w:t>
      </w:r>
    </w:p>
    <w:p w14:paraId="4FD9E9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Новая машина стала развитием ранее спроектированного и строящегося одномоторного бомбардировщика ОПБ М-90 и по схеме являлась среднепланом с крылом типа "обратная чайка", с хвостовым оперением нормального типа. Шасси с хвостовым колесом, убирающееся, смешанной конструкции. Средняя часть крыла представляла собой центроплан, соединенный с фюзеляжем. Консоли имели производственный разъем в переломе "чайки". При транспортировке отъем крыла осуществлялся у фюзеляжа. Крыло металлическое, однолонжеронное, с работающей обшивкой (лонжерон стальной). Профили открытого типа. Нервюры дюралевые, штампованные. Относительно толстое, трапециевидное в плане крыло с закруглениями на концах, с развитой механизацией - автоматическими предкрылками, зависающими элеронами и щитками-закрылками. Профиль крыла NASA-230. Толщина по оси самолета -19 %, по излому -16 %, на концах -7 %.</w:t>
      </w:r>
    </w:p>
    <w:p w14:paraId="75E53E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Передняя часть фюзеляжа дюралевая, хвостовая -деревянная. Сечение фюзеляжа эллиптическое. Фонарь из плексигласа, был предусмотрен его аварийный сброс. Сидение летчика сзади и снизу прикрывалось броней толщиной 13 мм, защищающей от пуль калибpa 12,7 мм и снарядов авиационных пушек. Предполагалось также поставить бронекозырек.</w:t>
      </w:r>
    </w:p>
    <w:p w14:paraId="76A617F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Киль был выполнен за одно целое с фюзеляжем. Руль поворота и горизонтальное оперение дюралевые, обшиты полотном. Рули имели весовую и аэродинамическую компенсацию. Шасси убиралось гидравлическим приводом, аварийный выпуск производился воздушной системой. Основные тормозные колеса убирались в крыло к фюзеляжу, хвостовое колесо - в хвостовую часть фюзеляжа.</w:t>
      </w:r>
    </w:p>
    <w:p w14:paraId="5CF2E1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 полом кабины пилота предусматривалась шахта, вмещающая бомбы калибром до 500 кг.</w:t>
      </w:r>
    </w:p>
    <w:p w14:paraId="6CBA67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рулями и элеронами жесткое, на шарикоподшипниках. Триммерами управлял летчик. Винт трехлопастный. Два водорадиатора размещались под центропланом, один - в носке мотора. Маслорадиатор тоже был в носке мотора. Имелось четыре протектированных бензобака общей емкостью 510 литров. Вместо бомбы в бомбоотсеке мог размещаться дополнительный 500-литровый бензобак. В мотогондоле над блоками мотора находился маслобак на 70 литров. По бокам мотора располагались два выхлопных коллектора. Наружная антенна была трехлучевой.</w:t>
      </w:r>
    </w:p>
    <w:p w14:paraId="4623232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самолета состояло из двух синхронных БС и двух синхронных ШКАС с боекомплектами 400 и 1500 патронов соответственно. Пулеметы размещались на специальной ферме на моторной раме: справа - ШКАС, слева - БС. В перегрузку под крылом могли поместиться две пушки калибра 20-23 мм. Предусматривалось использование трех бомбодержателей, которые обеспечивали бомбометание с пикирования. В фюзеляжном бомбоотсеке на параллелограмме могла подвешиваться одна из бомб следующих типов : ФАБ -500, БРАБ -500, ФАБ -250, БРАБ -200, БЕТАБ -150. Для прицеливания предусмотрели прицел ПБ-3. Под крылом самолет мог нести бомбы калибром 100 и 250 кг для бомбометания с пикирования, которое осуществлялось при помощи прицела ПБП-1 ( им пользовались и при стрельбе из пулеметов ). В случае необходимости на фюзеляжном бомбодержателе возможно было размещение трех орудий РО-82 с реактивными снарядами PC-82 (2868,16).</w:t>
      </w:r>
    </w:p>
    <w:p w14:paraId="4D08591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44FDE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 начале 1941, понимая, что М-89-й не решает «проблему мотора» для ОПБ, С.А.Кочеригин параллельно работам по ОПБ с М-90 и М-89 оперативно перепроектировал машину под мотор АМ-37.</w:t>
      </w:r>
    </w:p>
    <w:p w14:paraId="1723C8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этом проекте С. А. Кочеригин в очередной раз наглядно продемонстрировал способность к нестандартным и смелым решениям.</w:t>
      </w:r>
    </w:p>
    <w:p w14:paraId="52D46D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ОПБ АМ-37 с целью обеспечения хорошего (до 15°) обзора вперед-вниз, что было важно для успешного применения самолета на поле боя, С. А. Кочеригин предусмотрел высокое размещение летчика с соответствующим увеличением фонаря кабины, сознательно пойдя при этом на некоторое ухудшение аэродинамики.</w:t>
      </w:r>
    </w:p>
    <w:p w14:paraId="3A7F7D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было сохранено специальное остекление пола пилотской кабины и бомбовыхлюков под ней для улучшения обзора зоны непосредственно перед и под самолетом, предложенное на ОПБ М-90.</w:t>
      </w:r>
    </w:p>
    <w:p w14:paraId="47EF3B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Новая машина по схеме являлась среднепланом с крылом «обратная чайка», с хвостовым оперением нормального типа.</w:t>
      </w:r>
    </w:p>
    <w:p w14:paraId="3FD1C8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часть крыла представляла собой центроплан, соединенный с фюзеляжем. Консоли крыла имели производственный разъем в переломе «чайки».</w:t>
      </w:r>
    </w:p>
    <w:p w14:paraId="6E0D34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металлическое однолонже-ронное, с работающей обшивкой, имело развитую механизацию - автоматические предкрылки, зависающие элероны и щитки-закрылки.</w:t>
      </w:r>
    </w:p>
    <w:p w14:paraId="0BB231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Передняя часть фюзеляжа дюралевая, хвостовая -деревянная.Сечение фюзеляжа эллиптическое. Киль выполнялся за одно целое с фюзеляжем.</w:t>
      </w:r>
    </w:p>
    <w:p w14:paraId="4E2375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Руль поворота и горизонтальное оперение дюралевые, обшитые полотном. Рули имели весовую и ародина" мическую компенсацию.</w:t>
      </w:r>
    </w:p>
    <w:p w14:paraId="41706D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 с хвостовым колесом/убирающееся, смешанной конструкции. Основные тормозные колеса убирались в крыло к фюзеляжу, хвостовое колесо - в хвостовую часть фюзеляжа.</w:t>
      </w:r>
    </w:p>
    <w:p w14:paraId="111B19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Фонарь из плексигласа. Сиденье летчика сзади и снизу прикрывалось 13-мм броней (вес брони 50 кг). Предполагалась установка бронекозырька.</w:t>
      </w:r>
    </w:p>
    <w:p w14:paraId="57A545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 ОПБ АМ-37 состояло из двух синхронных 12,7 мм пулеметов БС (боекомплект 400 патронов) и двух пулеметов ШКАС (боекомплект 1500 патронов). В перегрузку под крылом могли размещаться две пушки калибра 20-23 мм.</w:t>
      </w:r>
    </w:p>
    <w:p w14:paraId="7A6F07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Предусматривалось использование трех бомбодержателей (два под крылом и один в фюзеляжном бомбо-отсеке), которые обеспечивали бомбометание с пикирования.</w:t>
      </w:r>
    </w:p>
    <w:p w14:paraId="10797A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фюзеляжном бомбоотсеке на параллелограмме могла подвешиваться одна из бомб следующего типа: ФАБ-500, БРАБ-500, ФАБ-250, БРАБ-200, БЕТАБ-150. Подкрыльевые держатели обеспечивали подвеску авиабомб калибра 100 и 250 кг. Предусматривалась возможность подвески реактивных орудий РО-82 под PC-82.</w:t>
      </w:r>
    </w:p>
    <w:p w14:paraId="1F57E8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Прицеливание при бомбометании с пикирования и стрельбе из стрелкового вооружения обеспечивалось прицелом ПБП-1.</w:t>
      </w:r>
    </w:p>
    <w:p w14:paraId="0A85F2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Отметим, что в фюзеляжном бомбоотсеке, как и на ОПБ М-90, вместо бомбы можно было разместить дополнительный 500-литровый бензобак.</w:t>
      </w:r>
    </w:p>
    <w:p w14:paraId="4FBE17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полета машины по проекту у земли 462 км/ч, на высоте 7000 м - 580 км/ч. Время набора высоты 5000 м - 6,8 минут. Дальность полета - 960 км (с дополнительным бензобаком 1560 км).</w:t>
      </w:r>
    </w:p>
    <w:p w14:paraId="4AA5BB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Эскизный проект ОПБ АМ-37 рассматривала комиссия НКАП под председательством Б. Н. Юрьева, с участием В. С. Пышнова и В. И. Поликовского. Предварительную экспертизу провел секретарь комиссии И. И. Машкевич.</w:t>
      </w:r>
    </w:p>
    <w:p w14:paraId="532429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Итогом работы комиссии явился вывод, что летные характеристики реальные, за исключением дальности полета - Кочеригин не имел точных данных по удельному расходу мотора.</w:t>
      </w:r>
    </w:p>
    <w:p w14:paraId="2D554F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Постройка второго опытного самолета ОПБ в варианте с мотором АМ-37 признавалась целесообразной при наличии положительных результатов по испытанию первой опытной машины с М-90.</w:t>
      </w:r>
    </w:p>
    <w:p w14:paraId="3CE151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Протокол комиссии утвердил заместитель наркома авиапромышленности А. С. Яковлев (9649).</w:t>
      </w:r>
    </w:p>
    <w:p w14:paraId="2B0D7DD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FA0BD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Можаровским и Веневидовым предложен проект штурмовика с мощным пушечным вооружением МВ («Комбайн», МоВ-2). Проект был одобрен в НКАП, и по приказу № 291сс от 1.04.1941 г. выдано задание на проектирование и постройку двух опытных экземпляров. Для реализации этого проекта по приказу НКАП № 309с от 10.04.1941 г. было организовано отдельное КБ завода № 32. Можаровский и Веневидов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Веневидова, и отдельно- ОКБ А.А. Архангельского. По приказу 7ГУ НКАП № 32/35 от 13.10.41 г. КБ-2 эвакуировано вместе с заводом в Киров. По приказу № 146с от 21.02.1942 г. конструкторская бригада из ОКБ-2 (6 чел.) была переведена в Москву в состав ОКБ завода № 43 НКАП. В ~1942 г. КБ-2 завода № 32 было влито в состав ОКБ завода № 266 для ускорения работ по электрифицированию установок вооружения. Объединенное ОКБ вскоре перевели с завода № 266 в отдельное помещение в Кирове (10376).</w:t>
      </w:r>
    </w:p>
    <w:p w14:paraId="1493AE8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09B13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А. А. Архангельский, Г. М. Можаровский и И. В. Веневидов разработали проект бронированного штурмовика БШ-МВ АМ-38 с использованием двухбалочной схемы с фюзеляжем-гондолой, в задней части которой размещался мотор с толкающим винтом. Идея создания самолета принадлежит Можаровскому и Веневидову - конструкторам завода N 32, авторам целого ряда разработок, связанных с вооружением: стрелковых турелей, прицелов, бомбардировочного вооружения, комбинированных стрелково-пушечных установок для штурмовиков с оружием, стреляющих под углом вниз от оси самолета КАБВ (комбинированное артиллерийско-бомбардировочное вооружение). Для этого они экспериментировали со своими установками КАБВ на самолетах СБ 2М-103А, Як-2 2М-103 и пришли к выводу, что нужен специальный самолет-штурмовик, основу наступательного вооружения которого составит их комбинированная стрелково-пушечная установка. Предложили и схему машины. Но не имея достаточного опыта в этом деле, эскизный проект тщательно не проработали. В частности, тогда считалось, что они выбрали слишком большую нагрузку на крыло для штурмовиков (отметим, что впоследствии у всех построенных бронированных штурмовиков она оказалась примерно такой же). К проектированию этого самолета привлекли конструктора А.А. Архангельского и возложили на него руководство работами. Здесь проблема обзора решалась достаточно успешно (был обеспечен угол обзора вперед-вниз около 15 градусов), но возникали трудности другого рода, связанные с безопасным покиданием самолета летчиком в полете и обеспечением огневой защиты задней полусферы. Эксплуатация самолета с размещенным в хвосте винтом также требовала от проектировщиков четких и ясных рекомендаций (2868,17).</w:t>
      </w:r>
    </w:p>
    <w:p w14:paraId="583FB1B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E924773" w14:textId="77777777" w:rsidR="00D0678D" w:rsidRPr="00A3026E" w:rsidRDefault="00D0678D"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 начале 1941 г. на заводе № 207 велась по</w:t>
      </w:r>
      <w:r w:rsidRPr="00A3026E">
        <w:rPr>
          <w:rFonts w:ascii="Times New Roman" w:hAnsi="Times New Roman"/>
          <w:color w:val="000000" w:themeColor="text1"/>
          <w:sz w:val="16"/>
          <w:szCs w:val="16"/>
        </w:rPr>
        <w:softHyphen/>
        <w:t>стройка варианта И-207 № 9 с мотором М-65, предназначен</w:t>
      </w:r>
      <w:r w:rsidRPr="00A3026E">
        <w:rPr>
          <w:rFonts w:ascii="Times New Roman" w:hAnsi="Times New Roman"/>
          <w:color w:val="000000" w:themeColor="text1"/>
          <w:sz w:val="16"/>
          <w:szCs w:val="16"/>
        </w:rPr>
        <w:softHyphen/>
        <w:t>ного для использования в качестве маневренного истребителя и пикирующего бомбардировщика.</w:t>
      </w:r>
    </w:p>
    <w:p w14:paraId="6CCBD706" w14:textId="77777777" w:rsidR="00D0678D" w:rsidRPr="00A3026E" w:rsidRDefault="00D0678D"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разрабатывался в двух модификациях: с неубираю</w:t>
      </w:r>
      <w:r w:rsidRPr="00A3026E">
        <w:rPr>
          <w:rFonts w:ascii="Times New Roman" w:hAnsi="Times New Roman"/>
          <w:color w:val="000000" w:themeColor="text1"/>
          <w:sz w:val="16"/>
          <w:szCs w:val="16"/>
        </w:rPr>
        <w:softHyphen/>
        <w:t>щимися шасси и с убирающимися шасси. Первый вариант хотя и имел менее высокие летные данные, но мог обеспечивать бомбометание бомбой калибра 500 кг, а второй имел очень вы</w:t>
      </w:r>
      <w:r w:rsidRPr="00A3026E">
        <w:rPr>
          <w:rFonts w:ascii="Times New Roman" w:hAnsi="Times New Roman"/>
          <w:color w:val="000000" w:themeColor="text1"/>
          <w:sz w:val="16"/>
          <w:szCs w:val="16"/>
        </w:rPr>
        <w:softHyphen/>
        <w:t>сокие летные данные и мог бомбить с пикирования двумя бом</w:t>
      </w:r>
      <w:r w:rsidRPr="00A3026E">
        <w:rPr>
          <w:rFonts w:ascii="Times New Roman" w:hAnsi="Times New Roman"/>
          <w:color w:val="000000" w:themeColor="text1"/>
          <w:sz w:val="16"/>
          <w:szCs w:val="16"/>
        </w:rPr>
        <w:softHyphen/>
        <w:t>бами калибра 250 кг или четырьмя бомбами калибра 100 кг. В первом варианте бомба в 500 кг подвешивалась под фюзеля</w:t>
      </w:r>
      <w:r w:rsidRPr="00A3026E">
        <w:rPr>
          <w:rFonts w:ascii="Times New Roman" w:hAnsi="Times New Roman"/>
          <w:color w:val="000000" w:themeColor="text1"/>
          <w:sz w:val="16"/>
          <w:szCs w:val="16"/>
        </w:rPr>
        <w:softHyphen/>
        <w:t>жем, а во втором — бомбы подвешивались под нижним крылом. Стрелковое вооружение самолета включало два пулемета калиб</w:t>
      </w:r>
      <w:r w:rsidRPr="00A3026E">
        <w:rPr>
          <w:rFonts w:ascii="Times New Roman" w:hAnsi="Times New Roman"/>
          <w:color w:val="000000" w:themeColor="text1"/>
          <w:sz w:val="16"/>
          <w:szCs w:val="16"/>
        </w:rPr>
        <w:softHyphen/>
        <w:t>ра 12,7 мм.</w:t>
      </w:r>
    </w:p>
    <w:p w14:paraId="6304EF9F" w14:textId="77777777" w:rsidR="00D0678D" w:rsidRPr="00A3026E" w:rsidRDefault="00D0678D"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проекту первый вариант самолета без бомб на расчетной высоте 6500—7000 м имел максимальную скорость 470 км/ч, а у земли — 405 км/ч. Время набора высоты 7000 м — 9,5 мин.</w:t>
      </w:r>
    </w:p>
    <w:p w14:paraId="4F699D13" w14:textId="77777777" w:rsidR="00D0678D" w:rsidRPr="00A3026E" w:rsidRDefault="00D0678D"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варианте самолета поля боя с бомбовой нагрузкой, вклю</w:t>
      </w:r>
      <w:r w:rsidRPr="00A3026E">
        <w:rPr>
          <w:rFonts w:ascii="Times New Roman" w:hAnsi="Times New Roman"/>
          <w:color w:val="000000" w:themeColor="text1"/>
          <w:sz w:val="16"/>
          <w:szCs w:val="16"/>
        </w:rPr>
        <w:softHyphen/>
        <w:t>чающей бомбу в 500 кг, максимальная скорость на расчетной вы</w:t>
      </w:r>
      <w:r w:rsidRPr="00A3026E">
        <w:rPr>
          <w:rFonts w:ascii="Times New Roman" w:hAnsi="Times New Roman"/>
          <w:color w:val="000000" w:themeColor="text1"/>
          <w:sz w:val="16"/>
          <w:szCs w:val="16"/>
        </w:rPr>
        <w:softHyphen/>
        <w:t>соте понижалась до 396 км/ч, и у земли — до 350 км/ч. Время на</w:t>
      </w:r>
      <w:r w:rsidRPr="00A3026E">
        <w:rPr>
          <w:rFonts w:ascii="Times New Roman" w:hAnsi="Times New Roman"/>
          <w:color w:val="000000" w:themeColor="text1"/>
          <w:sz w:val="16"/>
          <w:szCs w:val="16"/>
        </w:rPr>
        <w:softHyphen/>
        <w:t>бора высоты 7000 м возрастало до 19 мин.</w:t>
      </w:r>
    </w:p>
    <w:p w14:paraId="21BBB47A" w14:textId="77777777" w:rsidR="00D0678D" w:rsidRPr="00A3026E" w:rsidRDefault="00D0678D"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двумя бомбами по 250 кг максимальная скорость на рас</w:t>
      </w:r>
      <w:r w:rsidRPr="00A3026E">
        <w:rPr>
          <w:rFonts w:ascii="Times New Roman" w:hAnsi="Times New Roman"/>
          <w:color w:val="000000" w:themeColor="text1"/>
          <w:sz w:val="16"/>
          <w:szCs w:val="16"/>
        </w:rPr>
        <w:softHyphen/>
        <w:t>четной высоте составляла 433 км/ч, у земли — 383 км/ч. Время набора высоты 7000 м — 17 мин.</w:t>
      </w:r>
    </w:p>
    <w:p w14:paraId="3907663E" w14:textId="77777777" w:rsidR="00D0678D" w:rsidRPr="00A3026E" w:rsidRDefault="00D0678D"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варианте с убирающимся шасси максимальная скорость на расчетной высоте без бомб достигала 518 км/ч, и у земли — 439 км/ч. Время набора высоты 7000 м — 8,5 мин. С двумя бомбами по 250 кг скорость на расчетной высоте составляла 450 км/ч, у земли — 403 км/ч, время набора 7000 м — 15 мин.</w:t>
      </w:r>
    </w:p>
    <w:p w14:paraId="6BEA1BA8" w14:textId="77777777" w:rsidR="00D0678D" w:rsidRPr="00A3026E" w:rsidRDefault="00D0678D"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Прорабатывался вариант И-207 № 9 с редукторным мотором М-65 с удлиненным валом. Летные данные улучшались. Даже с двумя бомбами по 250 кг скорость у земли была 420 км/ч, на высоте — 460 км/ч. На высоту 7000 м самолет забирался за 14 мин. Без бомб скорость возрастала до 550 км/ч — на высоте, и до 470 км/ч — у земли. Скороподъемность возрастала вдвое (11474,71).</w:t>
      </w:r>
    </w:p>
    <w:p w14:paraId="0F33F2A5" w14:textId="77777777" w:rsidR="00D0678D" w:rsidRPr="00A3026E" w:rsidRDefault="00D0678D" w:rsidP="00A3026E">
      <w:pPr>
        <w:shd w:val="clear" w:color="auto" w:fill="FFFFFF"/>
        <w:spacing w:after="0" w:line="240" w:lineRule="auto"/>
        <w:jc w:val="both"/>
        <w:rPr>
          <w:rFonts w:ascii="Times New Roman" w:hAnsi="Times New Roman"/>
          <w:color w:val="000000" w:themeColor="text1"/>
          <w:sz w:val="16"/>
          <w:szCs w:val="16"/>
        </w:rPr>
      </w:pPr>
    </w:p>
    <w:p w14:paraId="56F06C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конца 1940 начались проработки проекта одномоторного дневного бомбардировщика (ОДБ) Н.Н.П. с передачей мощности на два винта на крыле (228,144).</w:t>
      </w:r>
    </w:p>
    <w:p w14:paraId="606FD1D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CD258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производство новой модификации ДБ-3 начал осваивать завод № 126. По плану ему к концу года надлежало выпустить головную серию из пяти бомбардировщиков. Но реально выпуск начали лишь во 2-м квартале 1941 г. В мае завод попытался сдать в первые ДБ-ЗФ, но военная приемка задержала их из-за неполной комплектации. На них не хватало прицелов НКПБ-3, вместо РСБбис и СПУ-Збис стояли старые РСБ и СПУ-3, мотогондолы клепали не впотай. Но вскоре основные вопросы решили, и бомбардировщики завода № 126 встали в строй ВВС. Машины из Комсомольска и далее немного отличались от московских и воронежских. Бензобаки имели иные габариты и несколько большую емкость. Например, консольный вместо 1055 л вмешал 1076 л, а центропланные по объему совпадали, но имели другие размеры. На заводе № 126 позднее внедрили МВ-2, МВ-3 и систему нейтрального газа .</w:t>
      </w:r>
    </w:p>
    <w:p w14:paraId="6CA200A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DFFEB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конца 1940 г. Завод № 126 стал внедрять в производство модификацию ДБ-3Т (торпедоносец) и ДБ-3ПТ (на поплавках). В 1939 г. было выпущено 100 машин ДБ-3. В 1940 г. — 125 машин. Завод постепенно осваивал производство нового самолета ДБ-3Ф, а затем и ИЛ-4 (12211)</w:t>
      </w:r>
    </w:p>
    <w:p w14:paraId="7E099950" w14:textId="77777777" w:rsidR="0014077F" w:rsidRPr="00A3026E" w:rsidRDefault="0014077F" w:rsidP="00A3026E">
      <w:pPr>
        <w:pStyle w:val="5b"/>
        <w:shd w:val="clear" w:color="auto" w:fill="auto"/>
        <w:spacing w:line="240" w:lineRule="auto"/>
        <w:jc w:val="both"/>
        <w:rPr>
          <w:rStyle w:val="5c"/>
          <w:rFonts w:ascii="Times New Roman" w:hAnsi="Times New Roman" w:cs="Times New Roman"/>
          <w:i w:val="0"/>
          <w:color w:val="000000" w:themeColor="text1"/>
          <w:sz w:val="16"/>
          <w:szCs w:val="16"/>
          <w:lang w:val="ru-RU"/>
        </w:rPr>
      </w:pPr>
    </w:p>
    <w:p w14:paraId="514B8C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закончились исследования СПБ Н.Н.П. в ЦАГИ в трубе Т-101, которые начались после 1 августа 1940, когда по приказу НКАП были остановлены заводские испытания СПБ из-за двух катастроф 27 апреля 1940 и 20 июля 1940. Машина опоздала, так как уже был Пе-2 (1249,98).</w:t>
      </w:r>
    </w:p>
    <w:p w14:paraId="5A4E370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5A0D6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конца 1940 года военным были сданы все выпущенные серийные машины ТБ-7 с различными типами двигателей (7685).</w:t>
      </w:r>
    </w:p>
    <w:p w14:paraId="065FAA4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F148F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года завод № 124 получил дизеля для первого самолета ТБ-7, их решено было ставить на машину № 4225. К этому моменту были спроектированы новые мотоустановки (7685).</w:t>
      </w:r>
    </w:p>
    <w:p w14:paraId="72DAD14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F9B4A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 завод получил комплект М-40 для одного самолёта; к началу следующего года изготовили новые моторамы и капоты. Первый полёт на машине с дизелями совершил Г.Ф. Байдуков. Никаких критических особенностей работы силовой установки и отличий в поведении самолёта поначалу не выявилось. Вторая машина получила дизеля М-30 (11996).</w:t>
      </w:r>
    </w:p>
    <w:p w14:paraId="1379F2A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85F852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года завод № 124 получил дизеля для первого самолета ТБ-7, их решено было ставить на машину №4225. К этому моменту были спроектированы новые мотоустановки. К началу 1941 года завод изготовил новые моторамы и мотогондолы (12726).</w:t>
      </w:r>
    </w:p>
    <w:p w14:paraId="13840CC0" w14:textId="77777777" w:rsidR="0014077F" w:rsidRPr="00A3026E" w:rsidRDefault="0014077F" w:rsidP="00A3026E">
      <w:pPr>
        <w:pStyle w:val="ae"/>
        <w:spacing w:before="0" w:after="0"/>
        <w:jc w:val="both"/>
        <w:rPr>
          <w:color w:val="000000" w:themeColor="text1"/>
          <w:sz w:val="16"/>
          <w:szCs w:val="16"/>
        </w:rPr>
      </w:pPr>
    </w:p>
    <w:p w14:paraId="4BE9E496"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В конце 1940 года был готов первый самолет ТБ-7 4АМ-35 (АМ-35А) №42015. После коротких заводских испытаний машину направили на Государственные испытания в НИИ ВВС, которые начались 28 марта 1941 года. Первый этап испытаний в варианте бомбардировщика был закончен 25 июня 1941 года (на четвертый день после начала войны). Всего машина налетала 26,5 часов, выполнив 38 полетов. Испытания проводил экипаж в составе: ведущий летчик-испытатель Лисицын, ведущий инженер Панюшкин, второй летчик Костюк. ведущий штурман Перевалов и т.д. В ходе этих испытаний были зафиксированы сле</w:t>
      </w:r>
      <w:r w:rsidRPr="00A3026E">
        <w:rPr>
          <w:color w:val="000000" w:themeColor="text1"/>
          <w:sz w:val="16"/>
          <w:szCs w:val="16"/>
        </w:rPr>
        <w:softHyphen/>
        <w:t xml:space="preserve">дующие основные данные самолета при взлетной мощности АМ-35А 1340 л.с и номинальной - 1120 </w:t>
      </w:r>
      <w:r w:rsidRPr="00A3026E">
        <w:rPr>
          <w:rStyle w:val="2pt"/>
          <w:rFonts w:ascii="Times New Roman" w:hAnsi="Times New Roman" w:cs="Times New Roman"/>
          <w:i w:val="0"/>
          <w:color w:val="000000" w:themeColor="text1"/>
          <w:spacing w:val="0"/>
          <w:sz w:val="16"/>
          <w:szCs w:val="16"/>
        </w:rPr>
        <w:t>леи</w:t>
      </w:r>
      <w:r w:rsidRPr="00A3026E">
        <w:rPr>
          <w:color w:val="000000" w:themeColor="text1"/>
          <w:sz w:val="16"/>
          <w:szCs w:val="16"/>
        </w:rPr>
        <w:t xml:space="preserve"> винтах ВИШ-24 диаметром 4,1 м:</w:t>
      </w:r>
    </w:p>
    <w:p w14:paraId="66F329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этих испытаний нагрузка самолета при полетной массе 2700 кг была следующей: экипаж — 880 кг; бензин и масло — 5220 кг; бомбы — 2000 кг (8хФАБ-250 внутри фюзеляжа), боекомплект стрелково-пушечного вооружения — 329 кг.</w:t>
      </w:r>
    </w:p>
    <w:p w14:paraId="198195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основании проведенных испытаний были предъявлены замечания по новой винто</w:t>
      </w:r>
      <w:r w:rsidRPr="00A3026E">
        <w:rPr>
          <w:rFonts w:ascii="Times New Roman" w:hAnsi="Times New Roman"/>
          <w:color w:val="000000" w:themeColor="text1"/>
          <w:sz w:val="16"/>
          <w:szCs w:val="16"/>
        </w:rPr>
        <w:softHyphen/>
        <w:t>моторной установке: по прочности водяного радиатора ОП-266 двигателя АМ-35А (предлагалось перейти на радиаторы типа ОП-379), по капотированию (имевшееся не обеспечивало нормальной продувки картера двигателя, что приводило к перегреву масла), антиобледенители винтов недостаточно эффективны (часть антифриза затекала на задние кромки лопастей, в результате чего не обеспечивалось полное и равномерное омывание лопастей антифризом). В общем, эти замечания — слезы на фоне больной силовой установки с дизелями. В заключении к отчету, подписанному начальником НИИ ВВС К А 27 августа 1941 года, бригадным инженером Петровым говорилось:</w:t>
      </w:r>
    </w:p>
    <w:p w14:paraId="1B3DEF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Летные данные самолета ТБ-7 4АМ-35А соответствуют требованиям Постановления КО 25.05.40 г. №227.</w:t>
      </w:r>
    </w:p>
    <w:p w14:paraId="32122FB2" w14:textId="77777777" w:rsidR="0014077F" w:rsidRPr="00A3026E" w:rsidRDefault="0014077F" w:rsidP="00A3026E">
      <w:pPr>
        <w:tabs>
          <w:tab w:val="left" w:pos="664"/>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2. В связи с лучшими летными данными самолета ТБ-7 с АМ-35А, полученными в результате летных испытаний по сравнению с ТБ-7 с </w:t>
      </w:r>
      <w:r w:rsidRPr="00A3026E">
        <w:rPr>
          <w:rFonts w:ascii="Times New Roman" w:hAnsi="Times New Roman"/>
          <w:color w:val="000000" w:themeColor="text1"/>
          <w:sz w:val="16"/>
          <w:szCs w:val="16"/>
          <w:lang w:val="en-US"/>
        </w:rPr>
        <w:t>AM</w:t>
      </w:r>
      <w:r w:rsidRPr="00A3026E">
        <w:rPr>
          <w:rFonts w:ascii="Times New Roman" w:hAnsi="Times New Roman"/>
          <w:color w:val="000000" w:themeColor="text1"/>
          <w:sz w:val="16"/>
          <w:szCs w:val="16"/>
        </w:rPr>
        <w:t xml:space="preserve">-34ФРНВ и </w:t>
      </w:r>
      <w:r w:rsidRPr="00A3026E">
        <w:rPr>
          <w:rFonts w:ascii="Times New Roman" w:hAnsi="Times New Roman"/>
          <w:color w:val="000000" w:themeColor="text1"/>
          <w:sz w:val="16"/>
          <w:szCs w:val="16"/>
          <w:lang w:val="en-US"/>
        </w:rPr>
        <w:t>AM</w:t>
      </w:r>
      <w:r w:rsidRPr="00A3026E">
        <w:rPr>
          <w:rFonts w:ascii="Times New Roman" w:hAnsi="Times New Roman"/>
          <w:color w:val="000000" w:themeColor="text1"/>
          <w:sz w:val="16"/>
          <w:szCs w:val="16"/>
        </w:rPr>
        <w:t>-35, заводу №124, по мере выработки ресурса АМ-34ФРНВ и АМ-35, заменить последние на АМ-35А (на М-40 и М-30 рука пока не поднималась, но на следующий день после подписания отчета ушли в полет на Берлин ТБ-7 с дизелями, и все стало на свои места, теперь надо было думать еще и о замене дизелей на более сносные АМ-35А).</w:t>
      </w:r>
    </w:p>
    <w:p w14:paraId="7EBC8784" w14:textId="77777777" w:rsidR="0014077F" w:rsidRPr="00A3026E" w:rsidRDefault="0014077F" w:rsidP="00A3026E">
      <w:pPr>
        <w:tabs>
          <w:tab w:val="left" w:pos="538"/>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Поставить дополнительное вооружение после испытаний:</w:t>
      </w:r>
    </w:p>
    <w:p w14:paraId="21A7DA93" w14:textId="77777777" w:rsidR="0014077F" w:rsidRPr="00A3026E" w:rsidRDefault="0014077F" w:rsidP="00A3026E">
      <w:pPr>
        <w:tabs>
          <w:tab w:val="left" w:pos="805"/>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пушки ШВАК-20 мм вместо ШКАС на кормовой установке;</w:t>
      </w:r>
    </w:p>
    <w:p w14:paraId="3F790A8D" w14:textId="77777777" w:rsidR="0014077F" w:rsidRPr="00A3026E" w:rsidRDefault="0014077F" w:rsidP="00A3026E">
      <w:pPr>
        <w:tabs>
          <w:tab w:val="left" w:pos="949"/>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 дополнительному пулемету УБ-12,7 мм вместо пулеметов ШКАС на гондольных установках.</w:t>
      </w:r>
    </w:p>
    <w:p w14:paraId="21969233" w14:textId="77777777" w:rsidR="0014077F" w:rsidRPr="00A3026E" w:rsidRDefault="0014077F" w:rsidP="00A3026E">
      <w:pPr>
        <w:tabs>
          <w:tab w:val="left" w:pos="686"/>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Для защиты экипажа ускорить постановку бронирования в соответствии с разработанным проектом завода №124 и включенными в него изменениями НИИ ВВС КА..."</w:t>
      </w:r>
    </w:p>
    <w:tbl>
      <w:tblPr>
        <w:tblW w:w="0" w:type="auto"/>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000" w:firstRow="0" w:lastRow="0" w:firstColumn="0" w:lastColumn="0" w:noHBand="0" w:noVBand="0"/>
      </w:tblPr>
      <w:tblGrid>
        <w:gridCol w:w="6638"/>
        <w:gridCol w:w="2772"/>
      </w:tblGrid>
      <w:tr w:rsidR="00983732" w:rsidRPr="00A3026E" w14:paraId="7EC95F82" w14:textId="77777777" w:rsidTr="00EA0DA7">
        <w:trPr>
          <w:trHeight w:val="385"/>
        </w:trPr>
        <w:tc>
          <w:tcPr>
            <w:tcW w:w="6638" w:type="dxa"/>
            <w:shd w:val="clear" w:color="auto" w:fill="auto"/>
          </w:tcPr>
          <w:p w14:paraId="287373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самолета, м</w:t>
            </w:r>
          </w:p>
        </w:tc>
        <w:tc>
          <w:tcPr>
            <w:tcW w:w="2772" w:type="dxa"/>
            <w:shd w:val="clear" w:color="auto" w:fill="auto"/>
          </w:tcPr>
          <w:p w14:paraId="7018B4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39,13</w:t>
            </w:r>
          </w:p>
        </w:tc>
      </w:tr>
      <w:tr w:rsidR="00983732" w:rsidRPr="00A3026E" w14:paraId="63FDD22C" w14:textId="77777777" w:rsidTr="00EA0DA7">
        <w:trPr>
          <w:trHeight w:val="288"/>
        </w:trPr>
        <w:tc>
          <w:tcPr>
            <w:tcW w:w="6638" w:type="dxa"/>
            <w:shd w:val="clear" w:color="auto" w:fill="auto"/>
          </w:tcPr>
          <w:p w14:paraId="0E61FC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крыла, м</w:t>
            </w:r>
          </w:p>
        </w:tc>
        <w:tc>
          <w:tcPr>
            <w:tcW w:w="2772" w:type="dxa"/>
            <w:shd w:val="clear" w:color="auto" w:fill="auto"/>
          </w:tcPr>
          <w:p w14:paraId="601A17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23,20</w:t>
            </w:r>
          </w:p>
        </w:tc>
      </w:tr>
      <w:tr w:rsidR="00983732" w:rsidRPr="00A3026E" w14:paraId="1D22CED5" w14:textId="77777777" w:rsidTr="00EA0DA7">
        <w:trPr>
          <w:trHeight w:val="259"/>
        </w:trPr>
        <w:tc>
          <w:tcPr>
            <w:tcW w:w="6638" w:type="dxa"/>
            <w:shd w:val="clear" w:color="auto" w:fill="auto"/>
          </w:tcPr>
          <w:p w14:paraId="1B74C7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самолета на стоянке, м</w:t>
            </w:r>
          </w:p>
        </w:tc>
        <w:tc>
          <w:tcPr>
            <w:tcW w:w="2772" w:type="dxa"/>
            <w:shd w:val="clear" w:color="auto" w:fill="auto"/>
          </w:tcPr>
          <w:p w14:paraId="6A280A5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6,70</w:t>
            </w:r>
          </w:p>
        </w:tc>
      </w:tr>
      <w:tr w:rsidR="00983732" w:rsidRPr="00A3026E" w14:paraId="0F7D2231" w14:textId="77777777" w:rsidTr="00EA0DA7">
        <w:trPr>
          <w:trHeight w:val="266"/>
        </w:trPr>
        <w:tc>
          <w:tcPr>
            <w:tcW w:w="6638" w:type="dxa"/>
            <w:shd w:val="clear" w:color="auto" w:fill="auto"/>
          </w:tcPr>
          <w:p w14:paraId="5B657F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самолета в линии полета, м</w:t>
            </w:r>
          </w:p>
        </w:tc>
        <w:tc>
          <w:tcPr>
            <w:tcW w:w="2772" w:type="dxa"/>
            <w:shd w:val="clear" w:color="auto" w:fill="auto"/>
          </w:tcPr>
          <w:p w14:paraId="5FDBD4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8,26</w:t>
            </w:r>
          </w:p>
        </w:tc>
      </w:tr>
      <w:tr w:rsidR="00983732" w:rsidRPr="00A3026E" w14:paraId="7513575E" w14:textId="77777777" w:rsidTr="00EA0DA7">
        <w:trPr>
          <w:trHeight w:val="299"/>
        </w:trPr>
        <w:tc>
          <w:tcPr>
            <w:tcW w:w="6638" w:type="dxa"/>
            <w:shd w:val="clear" w:color="auto" w:fill="auto"/>
          </w:tcPr>
          <w:p w14:paraId="4E9568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м</w:t>
            </w:r>
            <w:r w:rsidRPr="00A3026E">
              <w:rPr>
                <w:rFonts w:ascii="Times New Roman" w:hAnsi="Times New Roman"/>
                <w:color w:val="000000" w:themeColor="text1"/>
                <w:sz w:val="16"/>
                <w:szCs w:val="16"/>
                <w:vertAlign w:val="superscript"/>
              </w:rPr>
              <w:t>2</w:t>
            </w:r>
          </w:p>
        </w:tc>
        <w:tc>
          <w:tcPr>
            <w:tcW w:w="2772" w:type="dxa"/>
            <w:shd w:val="clear" w:color="auto" w:fill="auto"/>
          </w:tcPr>
          <w:p w14:paraId="54E520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188,66</w:t>
            </w:r>
          </w:p>
        </w:tc>
      </w:tr>
      <w:tr w:rsidR="00983732" w:rsidRPr="00A3026E" w14:paraId="4479673F" w14:textId="77777777" w:rsidTr="00EA0DA7">
        <w:trPr>
          <w:trHeight w:val="274"/>
        </w:trPr>
        <w:tc>
          <w:tcPr>
            <w:tcW w:w="6638" w:type="dxa"/>
            <w:shd w:val="clear" w:color="auto" w:fill="auto"/>
          </w:tcPr>
          <w:p w14:paraId="020BB7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Нормальная полетная масса, кг</w:t>
            </w:r>
          </w:p>
        </w:tc>
        <w:tc>
          <w:tcPr>
            <w:tcW w:w="2772" w:type="dxa"/>
            <w:shd w:val="clear" w:color="auto" w:fill="auto"/>
          </w:tcPr>
          <w:p w14:paraId="1693F0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27000</w:t>
            </w:r>
          </w:p>
        </w:tc>
      </w:tr>
      <w:tr w:rsidR="00983732" w:rsidRPr="00A3026E" w14:paraId="05FE70D0" w14:textId="77777777" w:rsidTr="00EA0DA7">
        <w:trPr>
          <w:trHeight w:val="277"/>
        </w:trPr>
        <w:tc>
          <w:tcPr>
            <w:tcW w:w="6638" w:type="dxa"/>
            <w:shd w:val="clear" w:color="auto" w:fill="auto"/>
          </w:tcPr>
          <w:p w14:paraId="007ABA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Масса пустого самолета, кг</w:t>
            </w:r>
          </w:p>
        </w:tc>
        <w:tc>
          <w:tcPr>
            <w:tcW w:w="2772" w:type="dxa"/>
            <w:shd w:val="clear" w:color="auto" w:fill="auto"/>
          </w:tcPr>
          <w:p w14:paraId="7F5549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18571</w:t>
            </w:r>
          </w:p>
        </w:tc>
      </w:tr>
      <w:tr w:rsidR="00983732" w:rsidRPr="00A3026E" w14:paraId="63297A47" w14:textId="77777777" w:rsidTr="00EA0DA7">
        <w:trPr>
          <w:trHeight w:val="259"/>
        </w:trPr>
        <w:tc>
          <w:tcPr>
            <w:tcW w:w="6638" w:type="dxa"/>
            <w:shd w:val="clear" w:color="auto" w:fill="auto"/>
          </w:tcPr>
          <w:p w14:paraId="0D3A80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полетная масса, кг</w:t>
            </w:r>
          </w:p>
        </w:tc>
        <w:tc>
          <w:tcPr>
            <w:tcW w:w="2772" w:type="dxa"/>
            <w:shd w:val="clear" w:color="auto" w:fill="auto"/>
          </w:tcPr>
          <w:p w14:paraId="1871DC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28000</w:t>
            </w:r>
          </w:p>
        </w:tc>
      </w:tr>
      <w:tr w:rsidR="00983732" w:rsidRPr="00A3026E" w14:paraId="355096DA" w14:textId="77777777" w:rsidTr="00EA0DA7">
        <w:trPr>
          <w:trHeight w:val="274"/>
        </w:trPr>
        <w:tc>
          <w:tcPr>
            <w:tcW w:w="6638" w:type="dxa"/>
            <w:shd w:val="clear" w:color="auto" w:fill="auto"/>
          </w:tcPr>
          <w:p w14:paraId="4944F0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Емкость топливных баков, л</w:t>
            </w:r>
          </w:p>
        </w:tc>
        <w:tc>
          <w:tcPr>
            <w:tcW w:w="2772" w:type="dxa"/>
            <w:shd w:val="clear" w:color="auto" w:fill="auto"/>
          </w:tcPr>
          <w:p w14:paraId="74D1F2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12455</w:t>
            </w:r>
          </w:p>
        </w:tc>
      </w:tr>
      <w:tr w:rsidR="00983732" w:rsidRPr="00A3026E" w14:paraId="115D3BA8" w14:textId="77777777" w:rsidTr="00EA0DA7">
        <w:trPr>
          <w:trHeight w:val="299"/>
        </w:trPr>
        <w:tc>
          <w:tcPr>
            <w:tcW w:w="6638" w:type="dxa"/>
            <w:shd w:val="clear" w:color="auto" w:fill="auto"/>
          </w:tcPr>
          <w:p w14:paraId="6FB803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км/ч</w:t>
            </w:r>
          </w:p>
        </w:tc>
        <w:tc>
          <w:tcPr>
            <w:tcW w:w="2772" w:type="dxa"/>
            <w:shd w:val="clear" w:color="auto" w:fill="auto"/>
          </w:tcPr>
          <w:p w14:paraId="0164C16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6FFA488D" w14:textId="77777777" w:rsidTr="00EA0DA7">
        <w:trPr>
          <w:trHeight w:val="259"/>
        </w:trPr>
        <w:tc>
          <w:tcPr>
            <w:tcW w:w="6638" w:type="dxa"/>
            <w:shd w:val="clear" w:color="auto" w:fill="auto"/>
          </w:tcPr>
          <w:p w14:paraId="40C653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земли</w:t>
            </w:r>
          </w:p>
        </w:tc>
        <w:tc>
          <w:tcPr>
            <w:tcW w:w="2772" w:type="dxa"/>
            <w:shd w:val="clear" w:color="auto" w:fill="auto"/>
          </w:tcPr>
          <w:p w14:paraId="1377A4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347</w:t>
            </w:r>
          </w:p>
        </w:tc>
      </w:tr>
      <w:tr w:rsidR="00983732" w:rsidRPr="00A3026E" w14:paraId="2B2C87C6" w14:textId="77777777" w:rsidTr="00EA0DA7">
        <w:trPr>
          <w:trHeight w:val="274"/>
        </w:trPr>
        <w:tc>
          <w:tcPr>
            <w:tcW w:w="6638" w:type="dxa"/>
            <w:shd w:val="clear" w:color="auto" w:fill="auto"/>
          </w:tcPr>
          <w:p w14:paraId="6FBE41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6366 м</w:t>
            </w:r>
          </w:p>
        </w:tc>
        <w:tc>
          <w:tcPr>
            <w:tcW w:w="2772" w:type="dxa"/>
            <w:shd w:val="clear" w:color="auto" w:fill="auto"/>
          </w:tcPr>
          <w:p w14:paraId="70E8B9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443</w:t>
            </w:r>
          </w:p>
        </w:tc>
      </w:tr>
      <w:tr w:rsidR="00983732" w:rsidRPr="00A3026E" w14:paraId="32305E1C" w14:textId="77777777" w:rsidTr="00EA0DA7">
        <w:trPr>
          <w:trHeight w:val="292"/>
        </w:trPr>
        <w:tc>
          <w:tcPr>
            <w:tcW w:w="6638" w:type="dxa"/>
            <w:shd w:val="clear" w:color="auto" w:fill="auto"/>
          </w:tcPr>
          <w:p w14:paraId="666187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м</w:t>
            </w:r>
          </w:p>
        </w:tc>
        <w:tc>
          <w:tcPr>
            <w:tcW w:w="2772" w:type="dxa"/>
            <w:shd w:val="clear" w:color="auto" w:fill="auto"/>
          </w:tcPr>
          <w:p w14:paraId="469737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r>
      <w:tr w:rsidR="00983732" w:rsidRPr="00A3026E" w14:paraId="255D3EFD" w14:textId="77777777" w:rsidTr="00EA0DA7">
        <w:trPr>
          <w:trHeight w:val="299"/>
        </w:trPr>
        <w:tc>
          <w:tcPr>
            <w:tcW w:w="6638" w:type="dxa"/>
            <w:shd w:val="clear" w:color="auto" w:fill="auto"/>
          </w:tcPr>
          <w:p w14:paraId="04971E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мин</w:t>
            </w:r>
          </w:p>
        </w:tc>
        <w:tc>
          <w:tcPr>
            <w:tcW w:w="2772" w:type="dxa"/>
            <w:shd w:val="clear" w:color="auto" w:fill="auto"/>
          </w:tcPr>
          <w:p w14:paraId="347270C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060AB964" w14:textId="77777777" w:rsidTr="00EA0DA7">
        <w:trPr>
          <w:trHeight w:val="259"/>
        </w:trPr>
        <w:tc>
          <w:tcPr>
            <w:tcW w:w="6638" w:type="dxa"/>
            <w:shd w:val="clear" w:color="auto" w:fill="auto"/>
          </w:tcPr>
          <w:p w14:paraId="054628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практического потолка</w:t>
            </w:r>
          </w:p>
        </w:tc>
        <w:tc>
          <w:tcPr>
            <w:tcW w:w="2772" w:type="dxa"/>
            <w:shd w:val="clear" w:color="auto" w:fill="auto"/>
          </w:tcPr>
          <w:p w14:paraId="6F8616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43,5</w:t>
            </w:r>
          </w:p>
        </w:tc>
      </w:tr>
      <w:tr w:rsidR="00983732" w:rsidRPr="00A3026E" w14:paraId="0A351560" w14:textId="77777777" w:rsidTr="00EA0DA7">
        <w:trPr>
          <w:trHeight w:val="252"/>
        </w:trPr>
        <w:tc>
          <w:tcPr>
            <w:tcW w:w="6638" w:type="dxa"/>
            <w:shd w:val="clear" w:color="auto" w:fill="auto"/>
          </w:tcPr>
          <w:p w14:paraId="6476F1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высоты 5000 м</w:t>
            </w:r>
          </w:p>
        </w:tc>
        <w:tc>
          <w:tcPr>
            <w:tcW w:w="2772" w:type="dxa"/>
            <w:shd w:val="clear" w:color="auto" w:fill="auto"/>
          </w:tcPr>
          <w:p w14:paraId="422E6D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14,6</w:t>
            </w:r>
          </w:p>
        </w:tc>
      </w:tr>
      <w:tr w:rsidR="00983732" w:rsidRPr="00A3026E" w14:paraId="47C70F40" w14:textId="77777777" w:rsidTr="00EA0DA7">
        <w:trPr>
          <w:trHeight w:val="295"/>
        </w:trPr>
        <w:tc>
          <w:tcPr>
            <w:tcW w:w="6638" w:type="dxa"/>
            <w:shd w:val="clear" w:color="auto" w:fill="auto"/>
          </w:tcPr>
          <w:p w14:paraId="3181C7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 м</w:t>
            </w:r>
          </w:p>
        </w:tc>
        <w:tc>
          <w:tcPr>
            <w:tcW w:w="2772" w:type="dxa"/>
            <w:shd w:val="clear" w:color="auto" w:fill="auto"/>
          </w:tcPr>
          <w:p w14:paraId="5AC80D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470</w:t>
            </w:r>
          </w:p>
        </w:tc>
      </w:tr>
      <w:tr w:rsidR="00983732" w:rsidRPr="00A3026E" w14:paraId="2B5A7666" w14:textId="77777777" w:rsidTr="00EA0DA7">
        <w:trPr>
          <w:trHeight w:val="277"/>
        </w:trPr>
        <w:tc>
          <w:tcPr>
            <w:tcW w:w="6638" w:type="dxa"/>
            <w:shd w:val="clear" w:color="auto" w:fill="auto"/>
          </w:tcPr>
          <w:p w14:paraId="3AA0DB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 м</w:t>
            </w:r>
          </w:p>
        </w:tc>
        <w:tc>
          <w:tcPr>
            <w:tcW w:w="2772" w:type="dxa"/>
            <w:shd w:val="clear" w:color="auto" w:fill="auto"/>
          </w:tcPr>
          <w:p w14:paraId="481366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570</w:t>
            </w:r>
          </w:p>
        </w:tc>
      </w:tr>
      <w:tr w:rsidR="00983732" w:rsidRPr="00A3026E" w14:paraId="6CE836F6" w14:textId="77777777" w:rsidTr="00EA0DA7">
        <w:trPr>
          <w:trHeight w:val="277"/>
        </w:trPr>
        <w:tc>
          <w:tcPr>
            <w:tcW w:w="6638" w:type="dxa"/>
            <w:shd w:val="clear" w:color="auto" w:fill="auto"/>
          </w:tcPr>
          <w:p w14:paraId="487CF0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Посадочная скорость с закрылками, км/ч</w:t>
            </w:r>
          </w:p>
        </w:tc>
        <w:tc>
          <w:tcPr>
            <w:tcW w:w="2772" w:type="dxa"/>
            <w:shd w:val="clear" w:color="auto" w:fill="auto"/>
          </w:tcPr>
          <w:p w14:paraId="7C33DE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114</w:t>
            </w:r>
          </w:p>
        </w:tc>
      </w:tr>
      <w:tr w:rsidR="00983732" w:rsidRPr="00A3026E" w14:paraId="495129CF" w14:textId="77777777" w:rsidTr="00EA0DA7">
        <w:trPr>
          <w:trHeight w:val="328"/>
        </w:trPr>
        <w:tc>
          <w:tcPr>
            <w:tcW w:w="6638" w:type="dxa"/>
            <w:shd w:val="clear" w:color="auto" w:fill="auto"/>
          </w:tcPr>
          <w:p w14:paraId="23916C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Экипаж, чел</w:t>
            </w:r>
          </w:p>
        </w:tc>
        <w:tc>
          <w:tcPr>
            <w:tcW w:w="2772" w:type="dxa"/>
            <w:shd w:val="clear" w:color="auto" w:fill="auto"/>
          </w:tcPr>
          <w:p w14:paraId="1D0AFB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r>
    </w:tbl>
    <w:p w14:paraId="49BDB79A"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(12726).</w:t>
      </w:r>
    </w:p>
    <w:p w14:paraId="0E395AC7" w14:textId="77777777" w:rsidR="0014077F" w:rsidRPr="00A3026E" w:rsidRDefault="0014077F" w:rsidP="00A3026E">
      <w:pPr>
        <w:pStyle w:val="ae"/>
        <w:spacing w:before="0" w:after="0"/>
        <w:jc w:val="both"/>
        <w:rPr>
          <w:color w:val="000000" w:themeColor="text1"/>
          <w:sz w:val="16"/>
          <w:szCs w:val="16"/>
        </w:rPr>
      </w:pPr>
    </w:p>
    <w:p w14:paraId="495C30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 конец 1940 года всего вместе с опытными машинами было построено 20 машин типа ТБ-7. Из них две опытные — одна с АМ-34ФРН+ М-100, вторая с АМ-34ФРНВ+М-100А); восемнадцать серийных, из них четыре с АМ-34ФРНВ+АЦН-2; одна с М-40, одна с М-30; девять с </w:t>
      </w:r>
      <w:r w:rsidRPr="00A3026E">
        <w:rPr>
          <w:rFonts w:ascii="Times New Roman" w:hAnsi="Times New Roman"/>
          <w:color w:val="000000" w:themeColor="text1"/>
          <w:sz w:val="16"/>
          <w:szCs w:val="16"/>
          <w:lang w:val="en-US"/>
        </w:rPr>
        <w:t>AM</w:t>
      </w:r>
      <w:r w:rsidRPr="00A3026E">
        <w:rPr>
          <w:rFonts w:ascii="Times New Roman" w:hAnsi="Times New Roman"/>
          <w:color w:val="000000" w:themeColor="text1"/>
          <w:sz w:val="16"/>
          <w:szCs w:val="16"/>
        </w:rPr>
        <w:t xml:space="preserve"> -35; три с .АМ-35 А (12726).</w:t>
      </w:r>
    </w:p>
    <w:p w14:paraId="70CBDE2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815B9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завод №124 получил новое задание, теперь помимо ТБ-7 необходимо было освоить и развернуть серийное производство фронтового пикирующего бомбардировщика Пе-2.</w:t>
      </w:r>
    </w:p>
    <w:p w14:paraId="547E67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Сотрудники ОКБ Незваля по возможности помогали развертыванию серии Пе-2, и благодаря этой помощи, когда с началом войны встал вопрос о массовом производстве Пе-2, очень многие проблемы были сняты (12716).</w:t>
      </w:r>
    </w:p>
    <w:p w14:paraId="1063937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71CA0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был готов первый после возобновления серии ТБ-7 АМ-35А и теми же винтами ВИШ-24. После коротких заводских испытаний машину направили в НИИ ВВС. Госиспытания начались 28 марта 1941 г., первый этап их завершился 25 июня. Всего экипаж лётчика Лисицина выполнил 38 полётов. Данные получились немного лучше, чем с дизелями.</w:t>
      </w:r>
    </w:p>
    <w:p w14:paraId="0054CC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полётов выявили ряд недостатков. Для борьбы с перегревом предлагалось заменить радиаторы ОП-266 на ОП-379, переделать капоты двигателей для лучшей продувки, доработать антиобледенители винтов (лопасти омывались неравномерно). Но всё это казалось мелочами по сравнению с дефектами дизельных вариантов.</w:t>
      </w:r>
    </w:p>
    <w:p w14:paraId="50353E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Посчитали также необходимым усилить вооружение, заменив кормовые пулемёты ШКАС на пушку ШВАК, а в мотогондолах - ШКАС на 12,7-мм пулемёты УБ и ввести бронезащиту для экипажа (11996).</w:t>
      </w:r>
    </w:p>
    <w:p w14:paraId="2598BCD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F90DA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к концу 1940 г. построили 18 серийных ТБ-7, из них четыре с АМ-34ФРНВ и АЦН-2, один с М-40, один с М-30, девять с АМ-35 и три с АМ-35А.</w:t>
      </w:r>
    </w:p>
    <w:p w14:paraId="2321C1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Один из первых серийных ТБ-7 решили испытать в войне с Финляндией (11996).</w:t>
      </w:r>
    </w:p>
    <w:p w14:paraId="60FC499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99FFD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завод № 124 получил новое задание; теперь помимо ТБ-7 необходимо было развернуть производство пикирующего бомбардировщика Пе-2. Вскоре именно он стал основной продукцией предприятия. ТБ-7 строили, но они скапливались на заводском аэродроме, поскольку самолёт всё ещё проходил испытания (11996).</w:t>
      </w:r>
    </w:p>
    <w:p w14:paraId="19D9449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F2862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завод №124 получил новое задание, теперь помимо ТБ-7 необходимо было освоить и развернуть серийное производство фронтового пикирующего бомбардировщика Пе-2. Сотрудники ОКБ Незваля по возможности помогали развертыванию серии Пе-2, и благодаря этой помощи, когда с началом войны встал вопрос о массовом производстве Пе-2, очень многие проблемы были сняты (7685).</w:t>
      </w:r>
    </w:p>
    <w:p w14:paraId="0B52750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55FA4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был готов первый самолет ТБ-7 4АМ-35 (АМ-35А) №42015. После коротких заводских испытаний машину направили на государственные испытания в НИИ ВВС, которые начались 28 марта 1941 года (7685).</w:t>
      </w:r>
    </w:p>
    <w:p w14:paraId="7141DC2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6A6DC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конец 1940 года было построено 20 машин типа ТБ-7. Из них две опытные - одна с АМ-34ФРН+ М-100, вторая с АМ-34ФРНВ+М-100А); восемнадцать серийных, из них четыре с АМ-34ФРНВ+АЦН-2; одна с М-40, одна с М-30; девять с AM -35; три с АМ-35А (7685).</w:t>
      </w:r>
    </w:p>
    <w:p w14:paraId="4A7311E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B819C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 после вторичного запуска ТБ-7 в серию, предполагалось довести количество сданных самолетов до 15 экземпляров, однако в связи с недостатком двигателей заказчику сдали 11 машин. Согласно последующему отчету авиазавода №124, производство ТБ-7 за 1939-й и 1940-й годы выглядело так: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983732" w:rsidRPr="00A3026E" w14:paraId="03120AE7" w14:textId="77777777" w:rsidTr="00EA0DA7">
        <w:tc>
          <w:tcPr>
            <w:tcW w:w="3736" w:type="dxa"/>
            <w:tcBorders>
              <w:top w:val="single" w:sz="12" w:space="0" w:color="auto"/>
            </w:tcBorders>
          </w:tcPr>
          <w:p w14:paraId="7651A0C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349297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 г.</w:t>
            </w:r>
          </w:p>
        </w:tc>
        <w:tc>
          <w:tcPr>
            <w:tcW w:w="3736" w:type="dxa"/>
            <w:tcBorders>
              <w:top w:val="single" w:sz="12" w:space="0" w:color="auto"/>
            </w:tcBorders>
          </w:tcPr>
          <w:p w14:paraId="76C1C7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w:t>
            </w:r>
          </w:p>
        </w:tc>
      </w:tr>
      <w:tr w:rsidR="00983732" w:rsidRPr="00A3026E" w14:paraId="6D2C18D0" w14:textId="77777777" w:rsidTr="00EA0DA7">
        <w:tc>
          <w:tcPr>
            <w:tcW w:w="3736" w:type="dxa"/>
          </w:tcPr>
          <w:p w14:paraId="6638F1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ТБ-7 АМ-34ФРН</w:t>
            </w:r>
          </w:p>
        </w:tc>
        <w:tc>
          <w:tcPr>
            <w:tcW w:w="3736" w:type="dxa"/>
          </w:tcPr>
          <w:p w14:paraId="31A4BD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3736" w:type="dxa"/>
          </w:tcPr>
          <w:p w14:paraId="181809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012DDD4B" w14:textId="77777777" w:rsidTr="00EA0DA7">
        <w:tc>
          <w:tcPr>
            <w:tcW w:w="3736" w:type="dxa"/>
          </w:tcPr>
          <w:p w14:paraId="4FC0D0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ТБ-7 АМ-35</w:t>
            </w:r>
          </w:p>
        </w:tc>
        <w:tc>
          <w:tcPr>
            <w:tcW w:w="3736" w:type="dxa"/>
          </w:tcPr>
          <w:p w14:paraId="330069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3736" w:type="dxa"/>
          </w:tcPr>
          <w:p w14:paraId="31E6E0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tc>
      </w:tr>
      <w:tr w:rsidR="00983732" w:rsidRPr="00A3026E" w14:paraId="21F25814" w14:textId="77777777" w:rsidTr="00EA0DA7">
        <w:tc>
          <w:tcPr>
            <w:tcW w:w="3736" w:type="dxa"/>
          </w:tcPr>
          <w:p w14:paraId="578F2A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ТБ-7 М-40</w:t>
            </w:r>
          </w:p>
        </w:tc>
        <w:tc>
          <w:tcPr>
            <w:tcW w:w="3736" w:type="dxa"/>
          </w:tcPr>
          <w:p w14:paraId="2A6A39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3736" w:type="dxa"/>
          </w:tcPr>
          <w:p w14:paraId="48312F5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r>
      <w:tr w:rsidR="00983732" w:rsidRPr="00A3026E" w14:paraId="24EE9193" w14:textId="77777777" w:rsidTr="00EA0DA7">
        <w:tc>
          <w:tcPr>
            <w:tcW w:w="3736" w:type="dxa"/>
            <w:tcBorders>
              <w:bottom w:val="single" w:sz="12" w:space="0" w:color="auto"/>
            </w:tcBorders>
          </w:tcPr>
          <w:p w14:paraId="6929BC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ТБ-7 М-40Ф (или М-30)</w:t>
            </w:r>
          </w:p>
        </w:tc>
        <w:tc>
          <w:tcPr>
            <w:tcW w:w="3736" w:type="dxa"/>
            <w:tcBorders>
              <w:bottom w:val="single" w:sz="12" w:space="0" w:color="auto"/>
            </w:tcBorders>
          </w:tcPr>
          <w:p w14:paraId="01342D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3736" w:type="dxa"/>
            <w:tcBorders>
              <w:bottom w:val="single" w:sz="12" w:space="0" w:color="auto"/>
            </w:tcBorders>
          </w:tcPr>
          <w:p w14:paraId="49D254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r>
    </w:tbl>
    <w:p w14:paraId="6F536B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Первые шесть самолетов: 4 с двигателями АМ-34ФРНТ с АЦН-2 и 2 - с АМ-35 (без АЦН) в конце 1940 г. передали в 14-й тбап (тяжело-бомбардировочный авиаполк), базирующийся на аэродроме Борисполь под Киевом. До конца года удалось полностью укомплектовать еще 4 экземпляра, и еше два в начале 1941 г. Во многом проблема со сдачей самолетов разрешилась благодаря новому директору авиазавода М.М.Кагановичу, который использовал свои еще действующие возможности вчерашнего наркома и смог получить необходимые двигатели АМ-35. Зимой 1940 - 41 гг. и эти 6 ТБ-7 поступили в 14-й тбап. ТБ-7 с дизельными двигателями М-40, который вошел в реализованный план 1940 г, продолжал некоторое время оставаться на аэродроме авиазавода. Этот экземпляр стал первым самолетом, открывшим особую, "дизельную" историю бомбардировщика (12025).</w:t>
      </w:r>
    </w:p>
    <w:p w14:paraId="6E408ED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DB502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в результате нескольких катастроф была свернута программ по СПБ Н.Н.П. - , как и по поплавковому варианту, ставшему потом БСБ - 2М-88, так и по ПБ-1 - 2М-71, СПБ - 2М-71 и Е (Е-2) - 3М-37 (4,24).</w:t>
      </w:r>
    </w:p>
    <w:p w14:paraId="643D63A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2251B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были спроектированы и испытаны Ер-2 с АМ-35 и АМ-37 и выпустили 1 и 5 (4,278).</w:t>
      </w:r>
    </w:p>
    <w:p w14:paraId="048A536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9AD6B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моторами АМ-35А оборудовали опытный бом</w:t>
      </w:r>
      <w:r w:rsidRPr="00A3026E">
        <w:rPr>
          <w:rFonts w:ascii="Times New Roman" w:hAnsi="Times New Roman"/>
          <w:color w:val="000000" w:themeColor="text1"/>
          <w:sz w:val="16"/>
          <w:szCs w:val="16"/>
        </w:rPr>
        <w:softHyphen/>
        <w:t>бардировщик ДБ-240 (Ер-2) конструкции В.Г. Ермолаева, однако более перспективным сочли вариант этой машины с двигателями АМ-37. Прорабатывалась возможность применения АМ-35А и на новом пикирующем бомбардировщике «103» конструкции А.Н. Ту</w:t>
      </w:r>
      <w:r w:rsidRPr="00A3026E">
        <w:rPr>
          <w:rFonts w:ascii="Times New Roman" w:hAnsi="Times New Roman"/>
          <w:color w:val="000000" w:themeColor="text1"/>
          <w:sz w:val="16"/>
          <w:szCs w:val="16"/>
        </w:rPr>
        <w:softHyphen/>
        <w:t>полева, но реально этот самолет строился с АМ-37, считавшимся бо</w:t>
      </w:r>
      <w:r w:rsidRPr="00A3026E">
        <w:rPr>
          <w:rFonts w:ascii="Times New Roman" w:hAnsi="Times New Roman"/>
          <w:color w:val="000000" w:themeColor="text1"/>
          <w:sz w:val="16"/>
          <w:szCs w:val="16"/>
        </w:rPr>
        <w:softHyphen/>
        <w:t>лее перспективным (10781).</w:t>
      </w:r>
    </w:p>
    <w:p w14:paraId="1CFF47D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8738D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было принято решение и заводу №18 ставилась задача с 71-й машины перейти на выпуск ДБ-240 с моторами АМ-35А, суммарная взлетная мощность которых на 500 л.с. превосходила мощность двух М-105. В обеспечение этого решения Ермолаеву было приказано срочно переоборудовать первый опытный самолет, установив на нем микулинские двигатели, и к 1 января 1941 г. подготовить весь необходимый комплект чертежей для серийного производства. Кроме того, ОКБ-240 получило задачу к 1 марта 1941 г. изготовить эталон бомбардировщика с дизельными моторами М-40 (рукой Шахурина в документ внесено исправление - "с М-40Ф", т.е. с форсированным вариантом двигателя). На заводские и государственные испытания каждого из вариантов давалось всего по полтора месяца.</w:t>
      </w:r>
    </w:p>
    <w:p w14:paraId="54006B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Конец 1940 года принес Ермолаеву положительные эмоции: в одной компании с А.И.Микояном, М.И.Гуревичем (за МиГ-1), А.С.Яковлевым (за Як-1), В.П.Горбуновым, С.А.Лавочкиным и М.И.Гудковым (именно в таком порядке - за ЛаГГ-1) он был представлен на соискание Сталинской премии. Любопытно, что в том же документе, подписанном Шахуриным, С.В.Ильюшин (за Ил-2) "проходил" на соискание гораздо менее престижной премии В.П.Чкалова (3322,12).</w:t>
      </w:r>
    </w:p>
    <w:p w14:paraId="2F17FF1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6A294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были спроектированы и в 1941 - 1942 гг. испытаны варианты Ер-2 с двигателями АМ-35 и АМ-37, показавшие неважные результаты - скорость возросла мало, а дальность даже уменьшилась. Перед самой войной велись работы по установке на ДБ-240 опытных двигателей М-120 мощностью по 1500 л. с. Эти 18-цилиндровые трехрядные моторы, составленные из трех блоков от двигателей водяного охлаждения М-103 (один блок вверх и два вниз) также не привились, поскольку возникали проблемы со смазкой, да и лобовое сечение мотогондол для них оказалось чрезмерным (12037).</w:t>
      </w:r>
    </w:p>
    <w:p w14:paraId="6632C50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4BD67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1939 года был построен первый пикировщик. Отработка чертежей и подготовка производства шли параллельно, что не могло не вызвать большого количества ошибок. Как отметил в своем докладе ГОКО нарком Шахурин, "за неудовлетворительную работу по выпуску самолетов руководство завода №39 и ряда его цехов было обновлено" (12037).</w:t>
      </w:r>
    </w:p>
    <w:p w14:paraId="313857B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988F1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в строевые части ВВС поступили первые два Пе-2 (3884,28).</w:t>
      </w:r>
    </w:p>
    <w:p w14:paraId="75B8B58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A18D9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в строевые части поступили первые 2 Пе-2. Потом сделали 11427, в т.ч. 144+592 в Иркутске на 125 и 39 (1721,50).</w:t>
      </w:r>
    </w:p>
    <w:p w14:paraId="365C0AA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4110F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с московского завода №22 была получена техническая документация на Пе-2 и вскоре завод №124 приступил к серийному выпуску пикировщиков (5764, 37).</w:t>
      </w:r>
    </w:p>
    <w:p w14:paraId="1D9D6CA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B5D8C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на заводе № 124 начался серийный выпуск Пе-2 с сохранением серии ТБ-7. С началом войны перед заводом поставили задачу значительно увеличить производство "пешек" (7685).</w:t>
      </w:r>
    </w:p>
    <w:p w14:paraId="0ED5521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8BBD5A3" w14:textId="77777777" w:rsidR="00A616D9" w:rsidRPr="00A3026E" w:rsidRDefault="00A616D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shd w:val="clear" w:color="auto" w:fill="FFFFFF"/>
        </w:rPr>
        <w:t>К концу 1940г на заводе 39 удалось собрать 1-й головной самолет Пе-2 с номером 390101. На заводские испытания он был сдан 9 декабря, облетан 15 декабря 1940г. 22 декабря 1940г самолет был передан в НИИ ВВС на Государственные Испытания (19207).</w:t>
      </w:r>
    </w:p>
    <w:p w14:paraId="48FFA368" w14:textId="77777777" w:rsidR="00A616D9" w:rsidRPr="00A3026E" w:rsidRDefault="00A616D9" w:rsidP="00A3026E">
      <w:pPr>
        <w:spacing w:after="0" w:line="240" w:lineRule="auto"/>
        <w:jc w:val="both"/>
        <w:rPr>
          <w:rFonts w:ascii="Times New Roman" w:hAnsi="Times New Roman"/>
          <w:color w:val="000000" w:themeColor="text1"/>
          <w:sz w:val="16"/>
          <w:szCs w:val="16"/>
        </w:rPr>
      </w:pPr>
    </w:p>
    <w:p w14:paraId="122CBA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конца 1940 г. Н.Н.Поликар</w:t>
      </w:r>
      <w:r w:rsidRPr="00A3026E">
        <w:rPr>
          <w:rFonts w:ascii="Times New Roman" w:hAnsi="Times New Roman"/>
          <w:color w:val="000000" w:themeColor="text1"/>
          <w:sz w:val="16"/>
          <w:szCs w:val="16"/>
        </w:rPr>
        <w:softHyphen/>
        <w:t>пов работал над проектом одномоторного дневного бомбардировщика ОДБ, предназначенного для бомбо</w:t>
      </w:r>
      <w:r w:rsidRPr="00A3026E">
        <w:rPr>
          <w:rFonts w:ascii="Times New Roman" w:hAnsi="Times New Roman"/>
          <w:color w:val="000000" w:themeColor="text1"/>
          <w:sz w:val="16"/>
          <w:szCs w:val="16"/>
        </w:rPr>
        <w:softHyphen/>
        <w:t>метания как с пикирования, так и с горизонтального по</w:t>
      </w:r>
      <w:r w:rsidRPr="00A3026E">
        <w:rPr>
          <w:rFonts w:ascii="Times New Roman" w:hAnsi="Times New Roman"/>
          <w:color w:val="000000" w:themeColor="text1"/>
          <w:sz w:val="16"/>
          <w:szCs w:val="16"/>
        </w:rPr>
        <w:softHyphen/>
        <w:t>лета. Главной его особенностью являлось размещение двигателя в верхней части фюзеляжа с передачей мощ</w:t>
      </w:r>
      <w:r w:rsidRPr="00A3026E">
        <w:rPr>
          <w:rFonts w:ascii="Times New Roman" w:hAnsi="Times New Roman"/>
          <w:color w:val="000000" w:themeColor="text1"/>
          <w:sz w:val="16"/>
          <w:szCs w:val="16"/>
        </w:rPr>
        <w:softHyphen/>
        <w:t>ности через трансмиссию на два винта в крыле (10667).</w:t>
      </w:r>
    </w:p>
    <w:p w14:paraId="590630A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D8507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"Б-1" отремонтировали и вновь передали для проведения испытаний. В январе 1941 г. летчик Станкевич развивал на этом самолете максимальную скорость 570 км/ч, что заметно превышало скорость Пе-2. Однако время было упущено - пикирующий бомбардировщик Пе-2 уже строиЛся серийно. До середины 1941 г. Б-1 продолжал доводиться. 15 декабря 1941 г. последовало решение об отправке в тыл "законченного доводкой и техосмотром" самолет "Б-1". Дальнейшая его судьба неизвестна (12027).</w:t>
      </w:r>
    </w:p>
    <w:p w14:paraId="5375FB4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0349D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на гос. испытания поступило несколько Як-2 и Як-4 осенней постройки. Полностью проигрывали Пе-2. В заключении А.И.Филин писал, что самолеты "в испытанном виде не являются надежными и боеспособными" (1081,10).</w:t>
      </w:r>
    </w:p>
    <w:p w14:paraId="2D95480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2F967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у А.П.Голубкова, который в конце 1939 был переведен на 30 завод и продолжил там работу над АНТ-56 или СРБ (скоростной разведчик-бомбардировщик) и МТБ-2 все работы по СРБ были приостановлены, так как уже летал серийный Пе-2 и заканчивались работы над 103. В 1940 закончили чертежи, начали изготавливать плазы и построили макет в двух вариантах: с двигателями жидкостного и воздушного охлаждения (2232,48).</w:t>
      </w:r>
    </w:p>
    <w:p w14:paraId="45007DA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EE097ED" w14:textId="77777777" w:rsidR="00BB53B9" w:rsidRPr="00A3026E" w:rsidRDefault="00BB53B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1940-го в рядах создателей ЛаГГ-3 наметился раскол. Возможно, сработал "человеческий фактор". Каждому хочется обрести самостоятельность и проявить себя в жизни, и создатели ЛаГГ-3 не исключение. Горбунов предложил проект пикирующего бомбардировщика ПБ-301, а Гудков - истребитель Гу-1 по типу американской "Аэрокобры". К тому времени на заводе №301 остался лишь небольшой коллектив конструкторов во главе с Михаилом Ивановичем, поскольку для освоения серийного выпуска истребителя И-301 Лавочкин уехал в Ленинград, а Горбунов - в Таганрог (15558).</w:t>
      </w:r>
    </w:p>
    <w:p w14:paraId="49314467" w14:textId="77777777" w:rsidR="00BB53B9" w:rsidRPr="00A3026E" w:rsidRDefault="00BB53B9" w:rsidP="00A3026E">
      <w:pPr>
        <w:spacing w:after="0" w:line="240" w:lineRule="auto"/>
        <w:jc w:val="both"/>
        <w:rPr>
          <w:rFonts w:ascii="Times New Roman" w:hAnsi="Times New Roman"/>
          <w:color w:val="000000" w:themeColor="text1"/>
          <w:sz w:val="16"/>
          <w:szCs w:val="16"/>
        </w:rPr>
      </w:pPr>
    </w:p>
    <w:p w14:paraId="0219ED14" w14:textId="77777777" w:rsidR="0014077F" w:rsidRPr="00A3026E" w:rsidRDefault="0014077F" w:rsidP="00A3026E">
      <w:pPr>
        <w:pStyle w:val="a3"/>
        <w:tabs>
          <w:tab w:val="left" w:pos="11199"/>
        </w:tabs>
        <w:rPr>
          <w:color w:val="000000" w:themeColor="text1"/>
          <w:lang w:val="ru-RU"/>
        </w:rPr>
      </w:pPr>
      <w:r w:rsidRPr="00A3026E">
        <w:rPr>
          <w:color w:val="000000" w:themeColor="text1"/>
          <w:lang w:val="ru-RU"/>
        </w:rPr>
        <w:t>В конце 1940 - начале 1941 на заводе № 207 велась постройка варианта И-207 № 9 с мотором М-65, предназначенно</w:t>
      </w:r>
      <w:r w:rsidRPr="00A3026E">
        <w:rPr>
          <w:color w:val="000000" w:themeColor="text1"/>
          <w:lang w:val="ru-RU"/>
        </w:rPr>
        <w:softHyphen/>
        <w:t>го для использования в качестве ма</w:t>
      </w:r>
      <w:r w:rsidRPr="00A3026E">
        <w:rPr>
          <w:color w:val="000000" w:themeColor="text1"/>
          <w:lang w:val="ru-RU"/>
        </w:rPr>
        <w:softHyphen/>
        <w:t>невренного истребителя и пикирующе</w:t>
      </w:r>
      <w:r w:rsidRPr="00A3026E">
        <w:rPr>
          <w:color w:val="000000" w:themeColor="text1"/>
          <w:lang w:val="ru-RU"/>
        </w:rPr>
        <w:softHyphen/>
        <w:t>го бомбардировщика. Самолет разра</w:t>
      </w:r>
      <w:r w:rsidRPr="00A3026E">
        <w:rPr>
          <w:color w:val="000000" w:themeColor="text1"/>
          <w:lang w:val="ru-RU"/>
        </w:rPr>
        <w:softHyphen/>
        <w:t>батывался в двух модификациях: с не</w:t>
      </w:r>
      <w:r w:rsidRPr="00A3026E">
        <w:rPr>
          <w:color w:val="000000" w:themeColor="text1"/>
          <w:lang w:val="ru-RU"/>
        </w:rPr>
        <w:softHyphen/>
        <w:t>убирающимися шасси и с убирающи</w:t>
      </w:r>
      <w:r w:rsidRPr="00A3026E">
        <w:rPr>
          <w:color w:val="000000" w:themeColor="text1"/>
          <w:lang w:val="ru-RU"/>
        </w:rPr>
        <w:softHyphen/>
        <w:t>мися шасси. Первый вариант хотя и имел менее высокие летные данные, но мог обеспечивать бомбометание бомбой калибра 500 кг, а второй имел очень высокие летные данные и мог обеспе</w:t>
      </w:r>
      <w:r w:rsidRPr="00A3026E">
        <w:rPr>
          <w:color w:val="000000" w:themeColor="text1"/>
          <w:lang w:val="ru-RU"/>
        </w:rPr>
        <w:softHyphen/>
        <w:t>чивать бомбометание с пикирования двумя бомбами калибра 250 кг или че</w:t>
      </w:r>
      <w:r w:rsidRPr="00A3026E">
        <w:rPr>
          <w:color w:val="000000" w:themeColor="text1"/>
          <w:lang w:val="ru-RU"/>
        </w:rPr>
        <w:softHyphen/>
        <w:t>тырьмя бомбами калибра Д 00 кг. В пер</w:t>
      </w:r>
      <w:r w:rsidRPr="00A3026E">
        <w:rPr>
          <w:color w:val="000000" w:themeColor="text1"/>
          <w:lang w:val="ru-RU"/>
        </w:rPr>
        <w:softHyphen/>
        <w:t>вом варианте бомба в 500 кг подвешива</w:t>
      </w:r>
      <w:r w:rsidRPr="00A3026E">
        <w:rPr>
          <w:color w:val="000000" w:themeColor="text1"/>
          <w:lang w:val="ru-RU"/>
        </w:rPr>
        <w:softHyphen/>
        <w:t>лась под фюзеляжем, а во втором - бомбы подвешивались под нижним крылом. В соответствии с эскизным проек</w:t>
      </w:r>
      <w:r w:rsidRPr="00A3026E">
        <w:rPr>
          <w:color w:val="000000" w:themeColor="text1"/>
          <w:lang w:val="ru-RU"/>
        </w:rPr>
        <w:softHyphen/>
        <w:t xml:space="preserve">том у первого варианта самолета без бомб на расчетной высоте 6500 - 7000 </w:t>
      </w:r>
      <w:r w:rsidRPr="00A3026E">
        <w:rPr>
          <w:color w:val="000000" w:themeColor="text1"/>
          <w:lang w:val="ru-RU"/>
        </w:rPr>
        <w:lastRenderedPageBreak/>
        <w:t>м максимальная скорость должна была быть 470 км/ч, а у земли - 405 км/ч. Время набора высоты 7000 м - 9,5 мин. В варианте самолета поля боя с бомбо</w:t>
      </w:r>
      <w:r w:rsidRPr="00A3026E">
        <w:rPr>
          <w:color w:val="000000" w:themeColor="text1"/>
          <w:lang w:val="ru-RU"/>
        </w:rPr>
        <w:softHyphen/>
        <w:t>вой нагрузкой, включающей бомбу в 500 кг, максимальная скорость на рас</w:t>
      </w:r>
      <w:r w:rsidRPr="00A3026E">
        <w:rPr>
          <w:color w:val="000000" w:themeColor="text1"/>
          <w:lang w:val="ru-RU"/>
        </w:rPr>
        <w:softHyphen/>
        <w:t>четной высоте - 396 км/ч и у земли -350 км/ч. Время набора высоты 7000 м - 19 мин. В варианте с двумя бомба</w:t>
      </w:r>
      <w:r w:rsidRPr="00A3026E">
        <w:rPr>
          <w:color w:val="000000" w:themeColor="text1"/>
          <w:lang w:val="ru-RU"/>
        </w:rPr>
        <w:softHyphen/>
        <w:t>ми по 250 кг максимальная скорость на расчетной высоте - 433 км/ч, у зем</w:t>
      </w:r>
      <w:r w:rsidRPr="00A3026E">
        <w:rPr>
          <w:color w:val="000000" w:themeColor="text1"/>
          <w:lang w:val="ru-RU"/>
        </w:rPr>
        <w:softHyphen/>
        <w:t>ли - 383 км/ч, время набора высоты 7000 м - 17 мин. Стрелковое вооруже</w:t>
      </w:r>
      <w:r w:rsidRPr="00A3026E">
        <w:rPr>
          <w:color w:val="000000" w:themeColor="text1"/>
          <w:lang w:val="ru-RU"/>
        </w:rPr>
        <w:softHyphen/>
        <w:t>ние самолета включало 2 пулемета ка</w:t>
      </w:r>
      <w:r w:rsidRPr="00A3026E">
        <w:rPr>
          <w:color w:val="000000" w:themeColor="text1"/>
          <w:lang w:val="ru-RU"/>
        </w:rPr>
        <w:softHyphen/>
        <w:t>либра 12,7 мм. В варианте с убирающимся шасси и с мотором М-65 максимальная скорость на расчетной высоте без бомб - 518 км/ ч, у земли - 439 км/ч, время набора высоты 7000 м - 8,5 мин, а с двумя бомбами по 250 кг, соответственно, 450 км/ч, 403 км/ч, и 15 мин. В варианте с мотором М-65 с редуктором и удли</w:t>
      </w:r>
      <w:r w:rsidRPr="00A3026E">
        <w:rPr>
          <w:color w:val="000000" w:themeColor="text1"/>
          <w:lang w:val="ru-RU"/>
        </w:rPr>
        <w:softHyphen/>
        <w:t>ненным валом без бомб: 550 и 470 км/ ч, 7 мин. С двумя бомбами по 250 кг 460 и 420 км/ч, 14 мин. (6269).</w:t>
      </w:r>
    </w:p>
    <w:p w14:paraId="37A8BA95" w14:textId="77777777" w:rsidR="0014077F" w:rsidRPr="00A3026E" w:rsidRDefault="0014077F" w:rsidP="00A3026E">
      <w:pPr>
        <w:pStyle w:val="a3"/>
        <w:tabs>
          <w:tab w:val="left" w:pos="11199"/>
        </w:tabs>
        <w:rPr>
          <w:color w:val="000000" w:themeColor="text1"/>
          <w:lang w:val="ru-RU"/>
        </w:rPr>
      </w:pPr>
    </w:p>
    <w:p w14:paraId="5F0AC7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Боровковым и Флоровым была начата разработка самолета с комбинированной силовой установкой, состоящей из поршневого двигателя М-71 и двух воздушно-реактивных ДМ (3453).</w:t>
      </w:r>
    </w:p>
    <w:p w14:paraId="3B8D291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16E60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 начале 1941 г. на заводе № 207 велась постройка варианта И-207 № 9 с мотором М-65, предназначенного для использования в качестве маневренного истребителя и пикирующего бомбардировщика.</w:t>
      </w:r>
    </w:p>
    <w:p w14:paraId="726C6B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разрабатывался в двух модификациях: с неубирающимися шасси и с убирающимися шасси.</w:t>
      </w:r>
    </w:p>
    <w:p w14:paraId="446E70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вариант хотя и имел менее высокие летные данные, но мог обеспечивать бомбометание бомбой калибра 500 кг, а второй имел очень высокие летные данные и мог обеспечивать бомбометание с пикирования двумя бомбами калибра 250 кг или четырьмя бомбами калибра 100 кг.</w:t>
      </w:r>
    </w:p>
    <w:p w14:paraId="5BE1B0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первом варианте бомба в 500 кг подвешивалась под фюзеляжем, а во втором - бомбы подвешивались под нижним крылом.</w:t>
      </w:r>
    </w:p>
    <w:p w14:paraId="7C4512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эскизным проектом у первого варианта самолета без бомб на расчетной высоте 6500-7000 м макимальная скорость должна была быть 470 км/ч, а у земли -405 км/ч. Время набора высоты 7000 м - 9,5 мин.</w:t>
      </w:r>
    </w:p>
    <w:p w14:paraId="00F216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варианте самолета поля боя с бомбовой нагрузкой, включающей бомбу в 500 кг, максимальная скорость на расчетной высоте - 396 км/ч и у земли - 350 км/ч. Время набора высоты 7000 м - 19 мин.</w:t>
      </w:r>
    </w:p>
    <w:p w14:paraId="625B17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варианте с двумя бомбами по 250 кг максимальная скорость на расчетной высоте - 433 км/ч, у земли - 383 км/ч, время набора высоты 7000 м -17 мин.</w:t>
      </w:r>
    </w:p>
    <w:p w14:paraId="5B900B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Стрелковое вооружение самолета включало 2 пулемета калибра 12,7 мм.</w:t>
      </w:r>
    </w:p>
    <w:p w14:paraId="40092D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варианте с убирающимися шасси и мотором М-65 максимальная скорость на расчетной высоте без бомб -518 км/ч, у земли - 439 км/ч, время набора высоты 7000 м - 8,5 мин. с двумя бомбами по 250 кг, соответственно 450 км/ч, 403 км/ч, 15 мин.</w:t>
      </w:r>
    </w:p>
    <w:p w14:paraId="3B21F4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варианте с мотором М-65 с редуктором и удлиненным валом без бомб:</w:t>
      </w:r>
    </w:p>
    <w:p w14:paraId="20B10D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 и 470 км/ч, 7 мин. С двумя бомбами по 250 кг: 460 и 420 км/ч, 14 мин. (9649).</w:t>
      </w:r>
    </w:p>
    <w:p w14:paraId="436CA16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979FF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авиазавод №1 перешел на выпуск истребителей МиГ(тип «61»). До конца года произвели 100 МиГ-1 и 20 МиГ-3, а также 81 ББ-22. Хотя производство И-153 в 1940 г. прекратили, некоторое их количество закончили уже в следующем. 64 «Чайки», выпущенные в 1941 г., стали заключительным аккордом в истории производства этих истребителей. Суммарный выпуск И-153 за 1939-41 годы составил 3437 экземпляров. Большая часть из них являлась боеготовой летом 1941 г. и, наряду с истребителем И-16, являлась основой истребительной авиации Советского Союза (6592).</w:t>
      </w:r>
    </w:p>
    <w:p w14:paraId="1841677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02AB1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МиГ-1 и МиГ-3 стали поступать в полки. Всего сделали 3200 (563,7).</w:t>
      </w:r>
    </w:p>
    <w:p w14:paraId="20FB49D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34CC4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приказом НКАП на заводе 301 с участием КБ А.С.Я. прорабатывался вопрос об установке 37 мм пушки на М-105. Не получилось, так как пушка - длинная (198,39).</w:t>
      </w:r>
    </w:p>
    <w:p w14:paraId="1329A45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F9149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И-16 тип 29 был снят с производства и началось производство ЛаГГ-3 - тип 31. Всего за 1940 выпустили 2210 И-16, в т.ч. 570 тип 29 и 600 тип 15 (УТИ-4), два И-16 тип 29 не вошли в отчет и были переданы на испытания до полного износа, а 125 машин (45 - тип 15 и 80 - тип 29) прошли отчетом за 1941 (1808,27). есть данные, что в 1941 было сделано 256 тип 15 (1808,32).</w:t>
      </w:r>
    </w:p>
    <w:p w14:paraId="43CB4A9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8FA9D7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Горбунов возглавил конструкторский отдел осва</w:t>
      </w:r>
      <w:r w:rsidRPr="00A3026E">
        <w:rPr>
          <w:rFonts w:ascii="Times New Roman" w:hAnsi="Times New Roman"/>
          <w:color w:val="000000" w:themeColor="text1"/>
          <w:sz w:val="16"/>
          <w:szCs w:val="16"/>
        </w:rPr>
        <w:softHyphen/>
        <w:t>ивавшего ЛаГГ-3 завода № 448 в Тбилиси. Единоличным руководи</w:t>
      </w:r>
      <w:r w:rsidRPr="00A3026E">
        <w:rPr>
          <w:rFonts w:ascii="Times New Roman" w:hAnsi="Times New Roman"/>
          <w:color w:val="000000" w:themeColor="text1"/>
          <w:sz w:val="16"/>
          <w:szCs w:val="16"/>
        </w:rPr>
        <w:softHyphen/>
        <w:t>телем ОКБ-301 был определен Лавочкин, но в конце 1940 г. одно</w:t>
      </w:r>
      <w:r w:rsidRPr="00A3026E">
        <w:rPr>
          <w:rFonts w:ascii="Times New Roman" w:hAnsi="Times New Roman"/>
          <w:color w:val="000000" w:themeColor="text1"/>
          <w:sz w:val="16"/>
          <w:szCs w:val="16"/>
        </w:rPr>
        <w:softHyphen/>
        <w:t>временно с решением о запуске в серию ЛаГГ-3 на заводе № 21 в Горьком он вместе с основным составом ОКБ направился туда. В Химках остался Гудков с небольшой группой конструкторов (11123).</w:t>
      </w:r>
    </w:p>
    <w:p w14:paraId="7177A0B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55C84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конца 1940 г. было образовано ОКБ-31 гл. конструктора В.П. Горбунова. Часть ОКБ-301 под руководством В.П. Горбунова переведена в 1940 г. на завод № 31 НКАП в  г. Таганрог. Работы по опытным модификациям ЛаГГ-</w:t>
      </w:r>
    </w:p>
    <w:p w14:paraId="19564F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1942 г. проектировался опытный бронированный штурмовик. (С конца 1940 г. на одном из сервс заводов работал В.П. Горбунов: с 1940 г. был назначен гл. конструктором завода № 463).</w:t>
      </w:r>
    </w:p>
    <w:p w14:paraId="1F2BE4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11.1944 г. ОКБ-31 передано из 7ГУ в состав вновь образованного 18ГУ НКАП по реактивной техн Опытные работы по самолету с газотурбинным винтовым двигателем В.В. Уварова.</w:t>
      </w:r>
    </w:p>
    <w:p w14:paraId="71E72C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657с от 13.11.1944 г. ОКБ-31 с опытным цехом переведено на завод №458 НКАП (11982).</w:t>
      </w:r>
    </w:p>
    <w:p w14:paraId="4C91AB44" w14:textId="77777777" w:rsidR="00073360" w:rsidRPr="00A3026E" w:rsidRDefault="00073360" w:rsidP="00A3026E">
      <w:pPr>
        <w:spacing w:after="0" w:line="240" w:lineRule="auto"/>
        <w:jc w:val="both"/>
        <w:rPr>
          <w:rFonts w:ascii="Times New Roman" w:hAnsi="Times New Roman"/>
          <w:color w:val="000000" w:themeColor="text1"/>
          <w:sz w:val="16"/>
          <w:szCs w:val="16"/>
        </w:rPr>
      </w:pPr>
    </w:p>
    <w:p w14:paraId="0B6420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конца 1940 года завод № 23 изготовлял истребитель ЛАГ-3. По решению Правительства завод № 23 с большим заделом ЛАГ-3, оборудованием и рабочими завода был эвакуирован в период с 7 июля по 7 августа 1941 года в Новосибирск и влился в завод № 153 им. Чкалова.</w:t>
      </w:r>
    </w:p>
    <w:p w14:paraId="1B419A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площадка №№ 1 и 2 завода № 23 эвакуированного из Ленинграда были организованы ремонтные базы по ремонту самолетов для фронта. На производственных площадях, которые занимали ремонтные базы был организован завод № 272. В 1945 году часть производственных корпусов площадки № 2 была передана под опытное производство самолетов конструкции Четверикова. Опытный завод конструктора Четверикова именовался заводом № 458.</w:t>
      </w:r>
    </w:p>
    <w:p w14:paraId="3ED827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1948 году завод № 458 был расформирован и занимаемые им производственные площади с оборудованием были переданы заводу № 272.</w:t>
      </w:r>
    </w:p>
    <w:p w14:paraId="05620A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272 с сентября 1944 года по сентябрь 1945 года товарной продукции не выпускал и занимался только восстановлением площадей. С октября 1945 годазавод начал выпускать гражданскую продукцию и продолжалось восстановление производственных площадей. С конца 1946 года завод приступил к ремонту самолетов, а также производил гражданскую продукцию.</w:t>
      </w:r>
    </w:p>
    <w:p w14:paraId="1D4C31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1947-55 гг. завод выпускал самолеты ЯК-18 и ЯК-11, одновременно освоил и выпустил малыми сериями вертолет ЯК-24.</w:t>
      </w:r>
    </w:p>
    <w:p w14:paraId="0F2321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1955 года завод выпускал самолет ЯК-12, производство которого планируется прекратить в 1959 году.</w:t>
      </w:r>
    </w:p>
    <w:p w14:paraId="51D8F4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1918 года по 1920 год заводом управляла коллегия, избранная рабочими. В дальнейшем директорами являллись:</w:t>
      </w:r>
    </w:p>
    <w:p w14:paraId="0B206C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Афанасьев Н.А. – с 1922 по 1926 гг.</w:t>
      </w:r>
    </w:p>
    <w:p w14:paraId="75DD75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Савельев А.С. – с 1926 по 1931 гг.</w:t>
      </w:r>
    </w:p>
    <w:p w14:paraId="4BE24C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Мартынов И.Н. – с 1931 по 1933 гг.</w:t>
      </w:r>
    </w:p>
    <w:p w14:paraId="439D8D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Орлов Д.А. – с 1933 по 1937 гг.</w:t>
      </w:r>
    </w:p>
    <w:p w14:paraId="0E4117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Балабанов П.Н. – с 1937 по 1938 гг.</w:t>
      </w:r>
    </w:p>
    <w:p w14:paraId="722069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Воронин В.П. – с 1938 по 1939 гг.</w:t>
      </w:r>
    </w:p>
    <w:p w14:paraId="6089EA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Баринов С.С. – с 1939 по 1940 гг.</w:t>
      </w:r>
    </w:p>
    <w:p w14:paraId="26035D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Фролов П.В. – с 1940 по 1941 гг.</w:t>
      </w:r>
    </w:p>
    <w:p w14:paraId="6A167E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Скарандаев П.П. – с 1941 год</w:t>
      </w:r>
    </w:p>
    <w:p w14:paraId="7BFA95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Обозный А.Г. – с 1941 года – эвакуация завода № 23</w:t>
      </w:r>
    </w:p>
    <w:p w14:paraId="573975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Директора завода № 272</w:t>
      </w:r>
    </w:p>
    <w:p w14:paraId="52530D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Озимков М.В. – 1944 –1945 гг.</w:t>
      </w:r>
    </w:p>
    <w:p w14:paraId="573638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Королев И.А. – 1945-1946 гг.</w:t>
      </w:r>
    </w:p>
    <w:p w14:paraId="562B31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Федин И.В. – 1946-1948 гг.</w:t>
      </w:r>
    </w:p>
    <w:p w14:paraId="521BC3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Шелест П.Е. – 1948-1950 гг.</w:t>
      </w:r>
    </w:p>
    <w:p w14:paraId="0E1C9A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Храмов А.С. – 1950-1954 гг.</w:t>
      </w:r>
    </w:p>
    <w:p w14:paraId="7A5851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Яночкин Н.П. – с 1954 г.</w:t>
      </w:r>
    </w:p>
    <w:p w14:paraId="294885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Ленинград, набережная адмирала Ушакова, д. 1 (9600).</w:t>
      </w:r>
    </w:p>
    <w:p w14:paraId="5E26910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897ADC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конце 1940 года было принято решение - снять истребитель И-180 с се</w:t>
      </w:r>
      <w:r w:rsidRPr="00A3026E">
        <w:rPr>
          <w:rFonts w:ascii="Times New Roman" w:hAnsi="Times New Roman"/>
          <w:color w:val="000000" w:themeColor="text1"/>
          <w:sz w:val="16"/>
          <w:szCs w:val="16"/>
        </w:rPr>
        <w:softHyphen/>
        <w:t>рийного производства на заводе № 21 и запустить в широкую серию истре</w:t>
      </w:r>
      <w:r w:rsidRPr="00A3026E">
        <w:rPr>
          <w:rFonts w:ascii="Times New Roman" w:hAnsi="Times New Roman"/>
          <w:color w:val="000000" w:themeColor="text1"/>
          <w:sz w:val="16"/>
          <w:szCs w:val="16"/>
        </w:rPr>
        <w:softHyphen/>
        <w:t>битель ЛаГГ. Решение о запуске ЛаГГа в серию во многом было обусловлено широким применением дерева - целых 36% (у И-16 - всего 10% деревянных деталей) (См. Маслов М. Истребитель И-16. С. 27.). В.Б. Шавров, кстати, обратил внимание на тот факт, что группа предэскизного проекта истребителя была организована в штате главного инже</w:t>
      </w:r>
      <w:r w:rsidRPr="00A3026E">
        <w:rPr>
          <w:rFonts w:ascii="Times New Roman" w:hAnsi="Times New Roman"/>
          <w:color w:val="000000" w:themeColor="text1"/>
          <w:sz w:val="16"/>
          <w:szCs w:val="16"/>
        </w:rPr>
        <w:softHyphen/>
        <w:t>нера завода винтов и лыж Л.И. Рыжкова, который, собственно, и разработал технологию дельта-древесины (Шавров В.Б. История конструкций самолетов в СССР (1938 - 1950 годы). М., 1978. С. 206.). В сборнике об истории истребителя ЛаГТ-3 также говорится, что предложения о выпуске нового истребителя «получили горячую поддержку», и «столь горячий энтузиазм объяснялся не высокими так</w:t>
      </w:r>
      <w:r w:rsidRPr="00A3026E">
        <w:rPr>
          <w:rFonts w:ascii="Times New Roman" w:hAnsi="Times New Roman"/>
          <w:color w:val="000000" w:themeColor="text1"/>
          <w:sz w:val="16"/>
          <w:szCs w:val="16"/>
        </w:rPr>
        <w:softHyphen/>
        <w:t>тико-техническими характеристиками самолета..., а тем, что в конструкции ис</w:t>
      </w:r>
      <w:r w:rsidRPr="00A3026E">
        <w:rPr>
          <w:rFonts w:ascii="Times New Roman" w:hAnsi="Times New Roman"/>
          <w:color w:val="000000" w:themeColor="text1"/>
          <w:sz w:val="16"/>
          <w:szCs w:val="16"/>
        </w:rPr>
        <w:softHyphen/>
        <w:t>требителя минимально использовались стратегически важные материалы» (ЛаГТ-3. Сборник / Составитель Е.В. Егере. С. 5.).</w:t>
      </w:r>
    </w:p>
    <w:p w14:paraId="3DF2E0D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налицо была привязка истребителя к процессу эконо</w:t>
      </w:r>
      <w:r w:rsidRPr="00A3026E">
        <w:rPr>
          <w:rFonts w:ascii="Times New Roman" w:hAnsi="Times New Roman"/>
          <w:color w:val="000000" w:themeColor="text1"/>
          <w:sz w:val="16"/>
          <w:szCs w:val="16"/>
        </w:rPr>
        <w:softHyphen/>
        <w:t>мии дефицитного алюминия, и это обстоятельство, а не только характерис</w:t>
      </w:r>
      <w:r w:rsidRPr="00A3026E">
        <w:rPr>
          <w:rFonts w:ascii="Times New Roman" w:hAnsi="Times New Roman"/>
          <w:color w:val="000000" w:themeColor="text1"/>
          <w:sz w:val="16"/>
          <w:szCs w:val="16"/>
        </w:rPr>
        <w:softHyphen/>
        <w:t>тики самой машины, сыграло отнюдь не последнюю роль в определяющих факторах организации КБ как такового.</w:t>
      </w:r>
    </w:p>
    <w:p w14:paraId="29A89CB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всем иным позициям дела обстояли неважно. Так, опытный И-301 (ЛаГГ-1) имел больше дефектов, чем Як и И-180. Их количество на каждой из этих машин было 115, 90 и 81 (по всем самолетам дается цифра без уче</w:t>
      </w:r>
      <w:r w:rsidRPr="00A3026E">
        <w:rPr>
          <w:rFonts w:ascii="Times New Roman" w:hAnsi="Times New Roman"/>
          <w:color w:val="000000" w:themeColor="text1"/>
          <w:sz w:val="16"/>
          <w:szCs w:val="16"/>
        </w:rPr>
        <w:softHyphen/>
        <w:t>тов дефектов вооружения) (Степанец А.Т. Указ. соч. С. 19.). «Имел ли ЛаГГ существенное превосходство над И-180? На этот вопрос следует ответить отрицательно», - считает ис</w:t>
      </w:r>
      <w:r w:rsidRPr="00A3026E">
        <w:rPr>
          <w:rFonts w:ascii="Times New Roman" w:hAnsi="Times New Roman"/>
          <w:color w:val="000000" w:themeColor="text1"/>
          <w:sz w:val="16"/>
          <w:szCs w:val="16"/>
        </w:rPr>
        <w:softHyphen/>
        <w:t>следователь творчества Н.Н. Поликарпова В.П. Иванов (Иванов В.П. Самолеты Н.Н. Поликарпова. С. 337.). Примечательно, что фундаментальное издание «Самолетостроение в СССР 1917 - 1945» посвятило истории серийного выпуска И-180 два предложения с факти</w:t>
      </w:r>
      <w:r w:rsidRPr="00A3026E">
        <w:rPr>
          <w:rFonts w:ascii="Times New Roman" w:hAnsi="Times New Roman"/>
          <w:color w:val="000000" w:themeColor="text1"/>
          <w:sz w:val="16"/>
          <w:szCs w:val="16"/>
        </w:rPr>
        <w:softHyphen/>
        <w:t>чески фальсифицированной формулировкой причин прекращения выпус</w:t>
      </w:r>
      <w:r w:rsidRPr="00A3026E">
        <w:rPr>
          <w:rFonts w:ascii="Times New Roman" w:hAnsi="Times New Roman"/>
          <w:color w:val="000000" w:themeColor="text1"/>
          <w:sz w:val="16"/>
          <w:szCs w:val="16"/>
        </w:rPr>
        <w:softHyphen/>
        <w:t>ка: «Первые серийные И-180 начали выпускаться еще в декабре 1939 года. Однако в 1940 году уже появились скоростные истребители других типов, которые по основным характеристикам превосходили И-180, поэтому се</w:t>
      </w:r>
      <w:r w:rsidRPr="00A3026E">
        <w:rPr>
          <w:rFonts w:ascii="Times New Roman" w:hAnsi="Times New Roman"/>
          <w:color w:val="000000" w:themeColor="text1"/>
          <w:sz w:val="16"/>
          <w:szCs w:val="16"/>
        </w:rPr>
        <w:softHyphen/>
        <w:t>рийный выпуск его в 1940 году был прекращен» (Самолетостроение в СССР. Кн. I. М., 1992. С. 171.).</w:t>
      </w:r>
    </w:p>
    <w:p w14:paraId="449178B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по мощности авиазавод страны по производству истребителей, бывший головным предприятием по выпуску истребителей И-16, практически не поставлял Красной армии новых самолетов вплоть до начала вой</w:t>
      </w:r>
      <w:r w:rsidRPr="00A3026E">
        <w:rPr>
          <w:rFonts w:ascii="Times New Roman" w:hAnsi="Times New Roman"/>
          <w:color w:val="000000" w:themeColor="text1"/>
          <w:sz w:val="16"/>
          <w:szCs w:val="16"/>
        </w:rPr>
        <w:softHyphen/>
        <w:t>ны: запуск в серию ЛаГТа шел с трудом - первая серийная машина вышла только в феврале 1941 года, а всего за первое полугодие их сделали лишь 27 (из них 22 во втором квартале) (1941 год. Документы. Кн. 2. С. 492.). В.П. Иванов справедливо отмечал, что прекращение производства И-180 и перевод завода на освоение другого типа самолета «привели к тому, что практически до мая 1941 года новых машин завод не выпускал, что поставило нашу авиацию в тяжелое положе</w:t>
      </w:r>
      <w:r w:rsidRPr="00A3026E">
        <w:rPr>
          <w:rFonts w:ascii="Times New Roman" w:hAnsi="Times New Roman"/>
          <w:color w:val="000000" w:themeColor="text1"/>
          <w:sz w:val="16"/>
          <w:szCs w:val="16"/>
        </w:rPr>
        <w:softHyphen/>
        <w:t>ние», и «это вынудило продолжить в 1941 году постройку уже устаревших истребителей И-16» (Иванов В.П. Авиаконструктор Н.Н. Поликарпов. С. 133-134.). «Таким образом, с середины 1939 года до середины 1941 года одно из самых мощных отечественных авиационных предпри</w:t>
      </w:r>
      <w:r w:rsidRPr="00A3026E">
        <w:rPr>
          <w:rFonts w:ascii="Times New Roman" w:hAnsi="Times New Roman"/>
          <w:color w:val="000000" w:themeColor="text1"/>
          <w:sz w:val="16"/>
          <w:szCs w:val="16"/>
        </w:rPr>
        <w:softHyphen/>
        <w:t>ятий поставило ВВС СССР считанные единицы новых боевых самолетов, а могло бы построить не менее 2500», - подытоживает он итоги сложившей</w:t>
      </w:r>
      <w:r w:rsidRPr="00A3026E">
        <w:rPr>
          <w:rFonts w:ascii="Times New Roman" w:hAnsi="Times New Roman"/>
          <w:color w:val="000000" w:themeColor="text1"/>
          <w:sz w:val="16"/>
          <w:szCs w:val="16"/>
        </w:rPr>
        <w:softHyphen/>
        <w:t>ся ситуации (Его же. Самолеты Н.Н. Поликарпова. С. 338.). По расчетам А.Г. Ротенберга (инженер, руководитель секто</w:t>
      </w:r>
      <w:r w:rsidRPr="00A3026E">
        <w:rPr>
          <w:rFonts w:ascii="Times New Roman" w:hAnsi="Times New Roman"/>
          <w:color w:val="000000" w:themeColor="text1"/>
          <w:sz w:val="16"/>
          <w:szCs w:val="16"/>
        </w:rPr>
        <w:softHyphen/>
        <w:t>ра в КБ Поликарпова), к началу Великой Отечественной войны советская авиапромышленность могла бы изготовить «не менее трех тысяч истреби</w:t>
      </w:r>
      <w:r w:rsidRPr="00A3026E">
        <w:rPr>
          <w:rFonts w:ascii="Times New Roman" w:hAnsi="Times New Roman"/>
          <w:color w:val="000000" w:themeColor="text1"/>
          <w:sz w:val="16"/>
          <w:szCs w:val="16"/>
        </w:rPr>
        <w:softHyphen/>
        <w:t>телей И-180». «Кто знает, как сложилась бы обстановка в воздухе в начале Отечественной войны», - задавался вопросом А. Магид, автор публикации о жизни Н.И. Поликарпова, говоря об И-180 (Магид А.С. Большая жизнь. М., 1968. С. 148-149.).</w:t>
      </w:r>
    </w:p>
    <w:p w14:paraId="1BD1DD7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Следствием сложившейся ситуации стало оснащение истребительных авиаполков фронтовой авиации не предназначенными для подобного ис</w:t>
      </w:r>
      <w:r w:rsidRPr="00A3026E">
        <w:rPr>
          <w:rFonts w:ascii="Times New Roman" w:hAnsi="Times New Roman"/>
          <w:color w:val="000000" w:themeColor="text1"/>
          <w:sz w:val="16"/>
          <w:szCs w:val="16"/>
        </w:rPr>
        <w:softHyphen/>
        <w:t>пользования высотными перехватчиками МиГ-3. Это, в частности, нашло отражение в записке начальника Главного Управления Военно-Воздушных Сил в ЦК ВКП(б) И.В. Сталину о дефектах самолетов ЛаГГ-3 27 мая 1941 года, где говорилось: «Я вхожу с предложением к народному комиссару обороны некоторые истребительные полки перевооружить на МиГ-3, вместо запла</w:t>
      </w:r>
      <w:r w:rsidRPr="00A3026E">
        <w:rPr>
          <w:rFonts w:ascii="Times New Roman" w:hAnsi="Times New Roman"/>
          <w:color w:val="000000" w:themeColor="text1"/>
          <w:sz w:val="16"/>
          <w:szCs w:val="16"/>
        </w:rPr>
        <w:softHyphen/>
        <w:t>нированного их перевооружения на ЛаГГ-3» (1941 год. Документы: Кн. 2. С. 266, 268,492.).</w:t>
      </w:r>
    </w:p>
    <w:p w14:paraId="5D29691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Боевые характеристики машины оказались гораздо хуже заявленных. В результате многочисленных доработок самолет стал переутяжеленным, что вызвало снижение скорости, а также явилось причиной множества ава</w:t>
      </w:r>
      <w:r w:rsidRPr="00A3026E">
        <w:rPr>
          <w:rFonts w:ascii="Times New Roman" w:hAnsi="Times New Roman"/>
          <w:color w:val="000000" w:themeColor="text1"/>
          <w:sz w:val="16"/>
          <w:szCs w:val="16"/>
        </w:rPr>
        <w:softHyphen/>
        <w:t>рий в летных частях. Опытная машина была отполирована, но о полировке серийных машин не могло быть и речи. Контрольные испытания серийно</w:t>
      </w:r>
      <w:r w:rsidRPr="00A3026E">
        <w:rPr>
          <w:rFonts w:ascii="Times New Roman" w:hAnsi="Times New Roman"/>
          <w:color w:val="000000" w:themeColor="text1"/>
          <w:sz w:val="16"/>
          <w:szCs w:val="16"/>
        </w:rPr>
        <w:softHyphen/>
        <w:t>го ЛаГГа показали, что скорость на высоте 5000 м уменьшилась на 34 км/ч, а скороподъемность на эту же высоту возросла на одну минуту. Весной 1941 года в результате утяжеления самолета (вооружение, усиление шасси) его характеристики упали. Как отмечал летчик-испытатель МА Арлазоров, «то ценное, чем обладал опытный экземпляр, было утрачено» (Арлазоров А.М. Фронт идет через КБ. С. 80,93, 177-178.).</w:t>
      </w:r>
    </w:p>
    <w:p w14:paraId="18B212F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важнейшие элементы конструкции самолета не соответство</w:t>
      </w:r>
      <w:r w:rsidRPr="00A3026E">
        <w:rPr>
          <w:rFonts w:ascii="Times New Roman" w:hAnsi="Times New Roman"/>
          <w:color w:val="000000" w:themeColor="text1"/>
          <w:sz w:val="16"/>
          <w:szCs w:val="16"/>
        </w:rPr>
        <w:softHyphen/>
        <w:t>вали принятым нормам. Так, в документе «Заключение по расчету на флаттер крыла самолета И-301», датированном 29 июня 1941 года, который был пос</w:t>
      </w:r>
      <w:r w:rsidRPr="00A3026E">
        <w:rPr>
          <w:rFonts w:ascii="Times New Roman" w:hAnsi="Times New Roman"/>
          <w:color w:val="000000" w:themeColor="text1"/>
          <w:sz w:val="16"/>
          <w:szCs w:val="16"/>
        </w:rPr>
        <w:softHyphen/>
        <w:t>лан из 3-го отдела ЦАГИ СА Лавочкину, занимавшему должность Главного конструктора завода № 21, говорилось, что «изменения, внесенные в крыло серийного самолета И-301, не привели к снижению критической скорости, в отношении безопасности от флаттера серийного самолета И-301...» (Самарский филиал РГАНТД. Ф. Р-217. Оп. 1 -6. Д. 24. Л. 11.).</w:t>
      </w:r>
    </w:p>
    <w:p w14:paraId="028E65A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новая машина, казавшаяся простой и экономичной в изго</w:t>
      </w:r>
      <w:r w:rsidRPr="00A3026E">
        <w:rPr>
          <w:rFonts w:ascii="Times New Roman" w:hAnsi="Times New Roman"/>
          <w:color w:val="000000" w:themeColor="text1"/>
          <w:sz w:val="16"/>
          <w:szCs w:val="16"/>
        </w:rPr>
        <w:softHyphen/>
        <w:t>товлении, на практике оказалась сложной в производстве и не показала вы</w:t>
      </w:r>
      <w:r w:rsidRPr="00A3026E">
        <w:rPr>
          <w:rFonts w:ascii="Times New Roman" w:hAnsi="Times New Roman"/>
          <w:color w:val="000000" w:themeColor="text1"/>
          <w:sz w:val="16"/>
          <w:szCs w:val="16"/>
        </w:rPr>
        <w:softHyphen/>
        <w:t>соких характеристик в эксплуатации (11710,438).</w:t>
      </w:r>
    </w:p>
    <w:p w14:paraId="2BDD611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66E1E75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Н.Н.П. получил для И-185 М-82А, но еще не доведенный. На нем сделали 20 полетов (1204,132).</w:t>
      </w:r>
    </w:p>
    <w:p w14:paraId="0375433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49F33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Поликарпов направил эскизный проект ИТП в НИИ ВВС (9649).</w:t>
      </w:r>
    </w:p>
    <w:p w14:paraId="2A8B400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B246FB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сразу после окончания стендовых ис</w:t>
      </w:r>
      <w:r w:rsidRPr="00A3026E">
        <w:rPr>
          <w:rFonts w:ascii="Times New Roman" w:hAnsi="Times New Roman"/>
          <w:color w:val="000000" w:themeColor="text1"/>
          <w:sz w:val="16"/>
          <w:szCs w:val="16"/>
        </w:rPr>
        <w:softHyphen/>
        <w:t>пытаний двигателя Н.Н.П. начал первые проработки И-185 под М-82. Однако появление М-82 затягивалось и решение о проведении госу</w:t>
      </w:r>
      <w:r w:rsidRPr="00A3026E">
        <w:rPr>
          <w:rFonts w:ascii="Times New Roman" w:hAnsi="Times New Roman"/>
          <w:color w:val="000000" w:themeColor="text1"/>
          <w:sz w:val="16"/>
          <w:szCs w:val="16"/>
        </w:rPr>
        <w:softHyphen/>
        <w:t>дарственных испытаний и последующем за</w:t>
      </w:r>
      <w:r w:rsidRPr="00A3026E">
        <w:rPr>
          <w:rFonts w:ascii="Times New Roman" w:hAnsi="Times New Roman"/>
          <w:color w:val="000000" w:themeColor="text1"/>
          <w:sz w:val="16"/>
          <w:szCs w:val="16"/>
        </w:rPr>
        <w:softHyphen/>
        <w:t>пуске в серийное производство состоялось только в мае 1941 г. (9979).</w:t>
      </w:r>
    </w:p>
    <w:p w14:paraId="7FDF70A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39F1FCC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 Николай Николаевич завершил рабо</w:t>
      </w:r>
      <w:r w:rsidRPr="00A3026E">
        <w:rPr>
          <w:rFonts w:ascii="Times New Roman" w:hAnsi="Times New Roman"/>
          <w:color w:val="000000" w:themeColor="text1"/>
          <w:sz w:val="16"/>
          <w:szCs w:val="16"/>
        </w:rPr>
        <w:softHyphen/>
        <w:t>ту над эскизным проектом еще одного одноместного од</w:t>
      </w:r>
      <w:r w:rsidRPr="00A3026E">
        <w:rPr>
          <w:rFonts w:ascii="Times New Roman" w:hAnsi="Times New Roman"/>
          <w:color w:val="000000" w:themeColor="text1"/>
          <w:sz w:val="16"/>
          <w:szCs w:val="16"/>
        </w:rPr>
        <w:softHyphen/>
        <w:t>номоторного истребителя с двигателем жидкостного охлаждения АМ-37П или М-105П и мощным пушечным вооружением. Он получил обозначение ИТП, что пред</w:t>
      </w:r>
      <w:r w:rsidRPr="00A3026E">
        <w:rPr>
          <w:rFonts w:ascii="Times New Roman" w:hAnsi="Times New Roman"/>
          <w:color w:val="000000" w:themeColor="text1"/>
          <w:sz w:val="16"/>
          <w:szCs w:val="16"/>
        </w:rPr>
        <w:softHyphen/>
        <w:t>ставляло собой сокращение слов: «истребитель тяжелый пушечный». На самолет предполагалось установить мощную 37-мм пушку Шпитального Ш-37 с 50 снаряда</w:t>
      </w:r>
      <w:r w:rsidRPr="00A3026E">
        <w:rPr>
          <w:rFonts w:ascii="Times New Roman" w:hAnsi="Times New Roman"/>
          <w:color w:val="000000" w:themeColor="text1"/>
          <w:sz w:val="16"/>
          <w:szCs w:val="16"/>
        </w:rPr>
        <w:softHyphen/>
        <w:t>ми, стреляющую (впервые в СССР для такого калибра) через полый вал редуктора, и две синхронные пушки ШВАК с 200 снарядами на каждую. Таким образом, Ни</w:t>
      </w:r>
      <w:r w:rsidRPr="00A3026E">
        <w:rPr>
          <w:rFonts w:ascii="Times New Roman" w:hAnsi="Times New Roman"/>
          <w:color w:val="000000" w:themeColor="text1"/>
          <w:sz w:val="16"/>
          <w:szCs w:val="16"/>
        </w:rPr>
        <w:softHyphen/>
        <w:t>колай Николаевич хотел создать самолет, значительно превосходивший МиГ-3 по секундному залпу бортового вооружения, и имеющий близкие к нему летные харак</w:t>
      </w:r>
      <w:r w:rsidRPr="00A3026E">
        <w:rPr>
          <w:rFonts w:ascii="Times New Roman" w:hAnsi="Times New Roman"/>
          <w:color w:val="000000" w:themeColor="text1"/>
          <w:sz w:val="16"/>
          <w:szCs w:val="16"/>
        </w:rPr>
        <w:softHyphen/>
        <w:t>теристики. Действительно, с мотором АМ-37П расчет</w:t>
      </w:r>
      <w:r w:rsidRPr="00A3026E">
        <w:rPr>
          <w:rFonts w:ascii="Times New Roman" w:hAnsi="Times New Roman"/>
          <w:color w:val="000000" w:themeColor="text1"/>
          <w:sz w:val="16"/>
          <w:szCs w:val="16"/>
        </w:rPr>
        <w:softHyphen/>
        <w:t>ная максимальная скорость достигала 670 км/ч на высоте 7400 м. С мотором М-105П летные данные были скромнее, но вполне достаточными для 1940 г.: максимальная скорость 570 км/ч на высоте 5000 м. Длина самолета рав</w:t>
      </w:r>
      <w:r w:rsidRPr="00A3026E">
        <w:rPr>
          <w:rFonts w:ascii="Times New Roman" w:hAnsi="Times New Roman"/>
          <w:color w:val="000000" w:themeColor="text1"/>
          <w:sz w:val="16"/>
          <w:szCs w:val="16"/>
        </w:rPr>
        <w:softHyphen/>
        <w:t>нялась 8,95 м, размах - 10 м, площадь крыла - 16,45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Топливные баки вмещали 760 л горючего. В основу конструкции машины был положен проект «универ</w:t>
      </w:r>
      <w:r w:rsidRPr="00A3026E">
        <w:rPr>
          <w:rFonts w:ascii="Times New Roman" w:hAnsi="Times New Roman"/>
          <w:color w:val="000000" w:themeColor="text1"/>
          <w:sz w:val="16"/>
          <w:szCs w:val="16"/>
        </w:rPr>
        <w:softHyphen/>
        <w:t>сального» истребителя, но, соответственно, с необходи</w:t>
      </w:r>
      <w:r w:rsidRPr="00A3026E">
        <w:rPr>
          <w:rFonts w:ascii="Times New Roman" w:hAnsi="Times New Roman"/>
          <w:color w:val="000000" w:themeColor="text1"/>
          <w:sz w:val="16"/>
          <w:szCs w:val="16"/>
        </w:rPr>
        <w:softHyphen/>
        <w:t>мыми доработками. В «Докладной записке к эскизному проекту одноме</w:t>
      </w:r>
      <w:r w:rsidRPr="00A3026E">
        <w:rPr>
          <w:rFonts w:ascii="Times New Roman" w:hAnsi="Times New Roman"/>
          <w:color w:val="000000" w:themeColor="text1"/>
          <w:sz w:val="16"/>
          <w:szCs w:val="16"/>
        </w:rPr>
        <w:softHyphen/>
        <w:t>стного одномоторного истребителя с тяжелым пушеч</w:t>
      </w:r>
      <w:r w:rsidRPr="00A3026E">
        <w:rPr>
          <w:rFonts w:ascii="Times New Roman" w:hAnsi="Times New Roman"/>
          <w:color w:val="000000" w:themeColor="text1"/>
          <w:sz w:val="16"/>
          <w:szCs w:val="16"/>
        </w:rPr>
        <w:softHyphen/>
        <w:t>ным вооружением ИТП», подписанной директором и главным конструктором завода № 51 Поликарповым и начальником ОКБ-15 Шпитальным, говорилось:</w:t>
      </w:r>
    </w:p>
    <w:p w14:paraId="137B420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Цель настоящей работы - создание мощного ско</w:t>
      </w:r>
      <w:r w:rsidRPr="00A3026E">
        <w:rPr>
          <w:rFonts w:ascii="Times New Roman" w:hAnsi="Times New Roman"/>
          <w:color w:val="000000" w:themeColor="text1"/>
          <w:sz w:val="16"/>
          <w:szCs w:val="16"/>
        </w:rPr>
        <w:softHyphen/>
        <w:t>ростного самолета для воздушного боя с самолетами противника, в первую очередь с бомбардировщиками, а также для борьбы с наземными целями: танками, зенит</w:t>
      </w:r>
      <w:r w:rsidRPr="00A3026E">
        <w:rPr>
          <w:rFonts w:ascii="Times New Roman" w:hAnsi="Times New Roman"/>
          <w:color w:val="000000" w:themeColor="text1"/>
          <w:sz w:val="16"/>
          <w:szCs w:val="16"/>
        </w:rPr>
        <w:softHyphen/>
        <w:t>ками, пулеметными гнездами и т.д., для чего он воору</w:t>
      </w:r>
      <w:r w:rsidRPr="00A3026E">
        <w:rPr>
          <w:rFonts w:ascii="Times New Roman" w:hAnsi="Times New Roman"/>
          <w:color w:val="000000" w:themeColor="text1"/>
          <w:sz w:val="16"/>
          <w:szCs w:val="16"/>
        </w:rPr>
        <w:softHyphen/>
        <w:t>жен крупнокалиберными пушками.</w:t>
      </w:r>
    </w:p>
    <w:p w14:paraId="7AA0B0F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Вместе с тем проектируемый самолет имеет значи</w:t>
      </w:r>
      <w:r w:rsidRPr="00A3026E">
        <w:rPr>
          <w:rFonts w:ascii="Times New Roman" w:hAnsi="Times New Roman"/>
          <w:color w:val="000000" w:themeColor="text1"/>
          <w:sz w:val="16"/>
          <w:szCs w:val="16"/>
        </w:rPr>
        <w:softHyphen/>
        <w:t>тельный запас горючего, достаточный на дальность 1200-1500 км, вследствие чего он может быть использо</w:t>
      </w:r>
      <w:r w:rsidRPr="00A3026E">
        <w:rPr>
          <w:rFonts w:ascii="Times New Roman" w:hAnsi="Times New Roman"/>
          <w:color w:val="000000" w:themeColor="text1"/>
          <w:sz w:val="16"/>
          <w:szCs w:val="16"/>
        </w:rPr>
        <w:softHyphen/>
        <w:t>ван и как сопроводитель наших бомбардировщиков...</w:t>
      </w:r>
    </w:p>
    <w:p w14:paraId="01B1532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 своим летным данным проектируемый самолет идет впереди новейших мировых истребителей, не име</w:t>
      </w:r>
      <w:r w:rsidRPr="00A3026E">
        <w:rPr>
          <w:rFonts w:ascii="Times New Roman" w:hAnsi="Times New Roman"/>
          <w:color w:val="000000" w:themeColor="text1"/>
          <w:sz w:val="16"/>
          <w:szCs w:val="16"/>
        </w:rPr>
        <w:softHyphen/>
        <w:t>ющих пушечного вооружения или имеющих только од</w:t>
      </w:r>
      <w:r w:rsidRPr="00A3026E">
        <w:rPr>
          <w:rFonts w:ascii="Times New Roman" w:hAnsi="Times New Roman"/>
          <w:color w:val="000000" w:themeColor="text1"/>
          <w:sz w:val="16"/>
          <w:szCs w:val="16"/>
        </w:rPr>
        <w:softHyphen/>
        <w:t>ну пушку. Нами предусматривается установка двух моторов-пушек: мотора М105-М107П [и] АМ-37П, при</w:t>
      </w:r>
      <w:r w:rsidRPr="00A3026E">
        <w:rPr>
          <w:rFonts w:ascii="Times New Roman" w:hAnsi="Times New Roman"/>
          <w:color w:val="000000" w:themeColor="text1"/>
          <w:sz w:val="16"/>
          <w:szCs w:val="16"/>
        </w:rPr>
        <w:softHyphen/>
        <w:t>чем при установке этих моторов весь самолет остается одним и тем же, меняются только мотоустановки, про</w:t>
      </w:r>
      <w:r w:rsidRPr="00A3026E">
        <w:rPr>
          <w:rFonts w:ascii="Times New Roman" w:hAnsi="Times New Roman"/>
          <w:color w:val="000000" w:themeColor="text1"/>
          <w:sz w:val="16"/>
          <w:szCs w:val="16"/>
        </w:rPr>
        <w:softHyphen/>
        <w:t>водка: масло, бензин, газ; даже капоты мы надеемся ос</w:t>
      </w:r>
      <w:r w:rsidRPr="00A3026E">
        <w:rPr>
          <w:rFonts w:ascii="Times New Roman" w:hAnsi="Times New Roman"/>
          <w:color w:val="000000" w:themeColor="text1"/>
          <w:sz w:val="16"/>
          <w:szCs w:val="16"/>
        </w:rPr>
        <w:softHyphen/>
        <w:t>тавить одни и те же. Это гарантирует самолет от задержек с моторами и дает возможность одному и то</w:t>
      </w:r>
      <w:r w:rsidRPr="00A3026E">
        <w:rPr>
          <w:rFonts w:ascii="Times New Roman" w:hAnsi="Times New Roman"/>
          <w:color w:val="000000" w:themeColor="text1"/>
          <w:sz w:val="16"/>
          <w:szCs w:val="16"/>
        </w:rPr>
        <w:softHyphen/>
        <w:t>му же заводу выпускать практически два самолета без особых технологических затруднений.</w:t>
      </w:r>
    </w:p>
    <w:p w14:paraId="0ACF3F1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Благодаря общим неплохим аэродинамическим формам самолета, правильно взятым размерностям, хо</w:t>
      </w:r>
      <w:r w:rsidRPr="00A3026E">
        <w:rPr>
          <w:rFonts w:ascii="Times New Roman" w:hAnsi="Times New Roman"/>
          <w:color w:val="000000" w:themeColor="text1"/>
          <w:sz w:val="16"/>
          <w:szCs w:val="16"/>
        </w:rPr>
        <w:softHyphen/>
        <w:t>рошо расположенным радиаторам, максимальные ско</w:t>
      </w:r>
      <w:r w:rsidRPr="00A3026E">
        <w:rPr>
          <w:rFonts w:ascii="Times New Roman" w:hAnsi="Times New Roman"/>
          <w:color w:val="000000" w:themeColor="text1"/>
          <w:sz w:val="16"/>
          <w:szCs w:val="16"/>
        </w:rPr>
        <w:softHyphen/>
        <w:t>рости самолета получаются как с мотором АМ-37П, так и с мотором М-105П очень высокие, превышающие да</w:t>
      </w:r>
      <w:r w:rsidRPr="00A3026E">
        <w:rPr>
          <w:rFonts w:ascii="Times New Roman" w:hAnsi="Times New Roman"/>
          <w:color w:val="000000" w:themeColor="text1"/>
          <w:sz w:val="16"/>
          <w:szCs w:val="16"/>
        </w:rPr>
        <w:softHyphen/>
        <w:t>же скорости нормальных лучших истребителей, причем для этой цели на самолете никаких ненормальных со</w:t>
      </w:r>
      <w:r w:rsidRPr="00A3026E">
        <w:rPr>
          <w:rFonts w:ascii="Times New Roman" w:hAnsi="Times New Roman"/>
          <w:color w:val="000000" w:themeColor="text1"/>
          <w:sz w:val="16"/>
          <w:szCs w:val="16"/>
        </w:rPr>
        <w:softHyphen/>
        <w:t>мнительных или эксплуатационно непроверенных уст</w:t>
      </w:r>
      <w:r w:rsidRPr="00A3026E">
        <w:rPr>
          <w:rFonts w:ascii="Times New Roman" w:hAnsi="Times New Roman"/>
          <w:color w:val="000000" w:themeColor="text1"/>
          <w:sz w:val="16"/>
          <w:szCs w:val="16"/>
        </w:rPr>
        <w:softHyphen/>
        <w:t>ройств мы не вводим...».</w:t>
      </w:r>
    </w:p>
    <w:p w14:paraId="4BB4BD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получил одобрение у руководства ВВС, но его реализацию, ввиду скромных производственных возможностей завода № 51, отложили на 1941 г. (10667).</w:t>
      </w:r>
    </w:p>
    <w:p w14:paraId="6FC4E50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F92A47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в стадии постройки и доводки находились: 1) И-185 № 6201 с М-90; 2) И-185 с М-71 (И-186) - 3 экземпляра (№№ 6203, 6204, 6205); 3) И-185 № 6202 с М-81 (И-187); 4) И-190 с М-88; 5) И-180 с М-88; 6) ТИС с 2АМ-37 - 3 эк</w:t>
      </w:r>
      <w:r w:rsidRPr="00A3026E">
        <w:rPr>
          <w:rFonts w:ascii="Times New Roman" w:hAnsi="Times New Roman"/>
          <w:color w:val="000000" w:themeColor="text1"/>
          <w:sz w:val="16"/>
          <w:szCs w:val="16"/>
        </w:rPr>
        <w:softHyphen/>
        <w:t>земпляра; 8) И-153 с М-62 (деревянный фюзеляж); 9) И-153 с М-63 и гермокабиной; 10) И-153БС (10667).</w:t>
      </w:r>
    </w:p>
    <w:p w14:paraId="67BB62B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AC79E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ОКБ Н.Н. Поликарпова переведено (фактически выжито) с завода № 1 НКАП. Поликарпову предложили возглавить новый небольшой завод № 51. С 8.07.1940 г. он назначен гл. конструктором завода и ОКБ.</w:t>
      </w:r>
    </w:p>
    <w:p w14:paraId="7717F3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10.1941 г. ОКБ вместе с заводом эвакуировано в Новосибирск на площадку завода № 153 (есть сведения, что на аэродром аэроклуба).</w:t>
      </w:r>
    </w:p>
    <w:p w14:paraId="6CDB05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Создан десантный планер БДП-2. По приказу № 338с от 2.05.1942 г. началась организация производства планера на заводе № 490 НКАП, для чего на завод откомандирован зам. гл. конструктора </w:t>
      </w:r>
      <w:r w:rsidRPr="00A3026E">
        <w:rPr>
          <w:rFonts w:ascii="Times New Roman" w:hAnsi="Times New Roman"/>
          <w:color w:val="000000" w:themeColor="text1"/>
          <w:sz w:val="16"/>
          <w:szCs w:val="16"/>
          <w:lang w:val="en-US"/>
        </w:rPr>
        <w:t>B</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C</w:t>
      </w:r>
      <w:r w:rsidRPr="00A3026E">
        <w:rPr>
          <w:rFonts w:ascii="Times New Roman" w:hAnsi="Times New Roman"/>
          <w:color w:val="000000" w:themeColor="text1"/>
          <w:sz w:val="16"/>
          <w:szCs w:val="16"/>
        </w:rPr>
        <w:t>. Вахмистров. В 1943 г. разработан проект ночного бомбардировщика НБ («Т»), первый полет 23.05.1944 г.</w:t>
      </w:r>
    </w:p>
    <w:p w14:paraId="2978CF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25.08.1943 г. вышло постановление ГКО № 3977 об увеличении выпуска самолетов У-2.</w:t>
      </w:r>
    </w:p>
    <w:p w14:paraId="1ACC7E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1943 г. ОКБ реэвакуировано на старую площадку.</w:t>
      </w:r>
    </w:p>
    <w:p w14:paraId="320E73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(07.1940-44 г.)- Н.Н. Поликарпов {9.06(8.07).1892-30.07.1944}.</w:t>
      </w:r>
    </w:p>
    <w:p w14:paraId="6F6752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Зам. гл. конструктора (1942 г.)- </w:t>
      </w:r>
      <w:r w:rsidRPr="00A3026E">
        <w:rPr>
          <w:rFonts w:ascii="Times New Roman" w:hAnsi="Times New Roman"/>
          <w:color w:val="000000" w:themeColor="text1"/>
          <w:sz w:val="16"/>
          <w:szCs w:val="16"/>
          <w:lang w:val="en-US"/>
        </w:rPr>
        <w:t>B</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C</w:t>
      </w:r>
      <w:r w:rsidRPr="00A3026E">
        <w:rPr>
          <w:rFonts w:ascii="Times New Roman" w:hAnsi="Times New Roman"/>
          <w:color w:val="000000" w:themeColor="text1"/>
          <w:sz w:val="16"/>
          <w:szCs w:val="16"/>
        </w:rPr>
        <w:t>. Вахмистров (11982).</w:t>
      </w:r>
    </w:p>
    <w:p w14:paraId="69CF688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4EA5D2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конца 1940 года по программе испыта</w:t>
      </w:r>
      <w:r w:rsidRPr="00A3026E">
        <w:rPr>
          <w:rFonts w:ascii="Times New Roman" w:hAnsi="Times New Roman"/>
          <w:color w:val="000000" w:themeColor="text1"/>
          <w:sz w:val="16"/>
          <w:szCs w:val="16"/>
        </w:rPr>
        <w:softHyphen/>
        <w:t>ний И-135 были выполнены следующие работы:</w:t>
      </w:r>
    </w:p>
    <w:p w14:paraId="3E04BE5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определены взлетно-посадоч</w:t>
      </w:r>
      <w:r w:rsidRPr="00A3026E">
        <w:rPr>
          <w:rFonts w:ascii="Times New Roman" w:hAnsi="Times New Roman"/>
          <w:color w:val="000000" w:themeColor="text1"/>
          <w:sz w:val="16"/>
          <w:szCs w:val="16"/>
        </w:rPr>
        <w:softHyphen/>
        <w:t>ные характеристиками;</w:t>
      </w:r>
    </w:p>
    <w:p w14:paraId="5707F92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сняты балансировочные кри</w:t>
      </w:r>
      <w:r w:rsidRPr="00A3026E">
        <w:rPr>
          <w:rFonts w:ascii="Times New Roman" w:hAnsi="Times New Roman"/>
          <w:color w:val="000000" w:themeColor="text1"/>
          <w:sz w:val="16"/>
          <w:szCs w:val="16"/>
        </w:rPr>
        <w:softHyphen/>
        <w:t>вые в горизонтальном полете, при планировании и при наборе высо</w:t>
      </w:r>
      <w:r w:rsidRPr="00A3026E">
        <w:rPr>
          <w:rFonts w:ascii="Times New Roman" w:hAnsi="Times New Roman"/>
          <w:color w:val="000000" w:themeColor="text1"/>
          <w:sz w:val="16"/>
          <w:szCs w:val="16"/>
        </w:rPr>
        <w:softHyphen/>
        <w:t>ты;</w:t>
      </w:r>
    </w:p>
    <w:p w14:paraId="67ED772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сняты максимальные скорости на высотах до 6000 м. (зафиксирова</w:t>
      </w:r>
      <w:r w:rsidRPr="00A3026E">
        <w:rPr>
          <w:rFonts w:ascii="Times New Roman" w:hAnsi="Times New Roman"/>
          <w:color w:val="000000" w:themeColor="text1"/>
          <w:sz w:val="16"/>
          <w:szCs w:val="16"/>
        </w:rPr>
        <w:softHyphen/>
        <w:t>на максимальная скорость 580 км/ч на высоте 4000 м);</w:t>
      </w:r>
    </w:p>
    <w:p w14:paraId="1C00D8E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определена скороподъемность до 5000 м;</w:t>
      </w:r>
    </w:p>
    <w:p w14:paraId="678EDA0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проведено испытание на флат</w:t>
      </w:r>
      <w:r w:rsidRPr="00A3026E">
        <w:rPr>
          <w:rFonts w:ascii="Times New Roman" w:hAnsi="Times New Roman"/>
          <w:color w:val="000000" w:themeColor="text1"/>
          <w:sz w:val="16"/>
          <w:szCs w:val="16"/>
        </w:rPr>
        <w:softHyphen/>
        <w:t>тер и бафтинг в диапазоне скорос</w:t>
      </w:r>
      <w:r w:rsidRPr="00A3026E">
        <w:rPr>
          <w:rFonts w:ascii="Times New Roman" w:hAnsi="Times New Roman"/>
          <w:color w:val="000000" w:themeColor="text1"/>
          <w:sz w:val="16"/>
          <w:szCs w:val="16"/>
        </w:rPr>
        <w:softHyphen/>
        <w:t>тей от 150 до 600 км/ч по прибору;</w:t>
      </w:r>
    </w:p>
    <w:p w14:paraId="6E5042B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произведен отстрел оружия в тире.</w:t>
      </w:r>
    </w:p>
    <w:p w14:paraId="181D764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летных испытаний само</w:t>
      </w:r>
      <w:r w:rsidRPr="00A3026E">
        <w:rPr>
          <w:rFonts w:ascii="Times New Roman" w:hAnsi="Times New Roman"/>
          <w:color w:val="000000" w:themeColor="text1"/>
          <w:sz w:val="16"/>
          <w:szCs w:val="16"/>
        </w:rPr>
        <w:softHyphen/>
        <w:t>лет Су-1 показал хорошую продоль</w:t>
      </w:r>
      <w:r w:rsidRPr="00A3026E">
        <w:rPr>
          <w:rFonts w:ascii="Times New Roman" w:hAnsi="Times New Roman"/>
          <w:color w:val="000000" w:themeColor="text1"/>
          <w:sz w:val="16"/>
          <w:szCs w:val="16"/>
        </w:rPr>
        <w:softHyphen/>
        <w:t>ную и поперечную устойчивость. Взлет и посадка отличались просто</w:t>
      </w:r>
      <w:r w:rsidRPr="00A3026E">
        <w:rPr>
          <w:rFonts w:ascii="Times New Roman" w:hAnsi="Times New Roman"/>
          <w:color w:val="000000" w:themeColor="text1"/>
          <w:sz w:val="16"/>
          <w:szCs w:val="16"/>
        </w:rPr>
        <w:softHyphen/>
        <w:t>той и никаких особенностей не име</w:t>
      </w:r>
      <w:r w:rsidRPr="00A3026E">
        <w:rPr>
          <w:rFonts w:ascii="Times New Roman" w:hAnsi="Times New Roman"/>
          <w:color w:val="000000" w:themeColor="text1"/>
          <w:sz w:val="16"/>
          <w:szCs w:val="16"/>
        </w:rPr>
        <w:softHyphen/>
        <w:t>ли. Усилия на ручку и педали - нор</w:t>
      </w:r>
      <w:r w:rsidRPr="00A3026E">
        <w:rPr>
          <w:rFonts w:ascii="Times New Roman" w:hAnsi="Times New Roman"/>
          <w:color w:val="000000" w:themeColor="text1"/>
          <w:sz w:val="16"/>
          <w:szCs w:val="16"/>
        </w:rPr>
        <w:softHyphen/>
        <w:t>мальные (11847).</w:t>
      </w:r>
    </w:p>
    <w:p w14:paraId="3D50247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4692CC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конца 1940 года ИС-1 совершил 21 полет с общим налетом 6 часов 30 минут, при этом 10 раз производилась уборка крыльев в воздухе, которая занимала 6-7 секунд. Шиянов, выполнивший 13 полетов, в своем заключении от 9 января 1941 г. докладывал, что самолет прост в пилотировании, плотно сидит в воздухе (11966).</w:t>
      </w:r>
    </w:p>
    <w:p w14:paraId="08CCA40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DBE352E" w14:textId="77777777" w:rsidR="00D13C9B" w:rsidRPr="00A3026E" w:rsidRDefault="00D13C9B" w:rsidP="00A3026E">
      <w:pPr>
        <w:spacing w:after="0" w:line="240" w:lineRule="auto"/>
        <w:jc w:val="both"/>
        <w:rPr>
          <w:rFonts w:ascii="Times New Roman" w:hAnsi="Times New Roman"/>
          <w:color w:val="000000" w:themeColor="text1"/>
          <w:sz w:val="16"/>
          <w:szCs w:val="16"/>
        </w:rPr>
      </w:pPr>
      <w:r w:rsidRPr="00A3026E">
        <w:rPr>
          <w:rFonts w:ascii="Times New Roman" w:eastAsia="Times New Roman" w:hAnsi="Times New Roman"/>
          <w:color w:val="000000" w:themeColor="text1"/>
          <w:sz w:val="16"/>
          <w:szCs w:val="16"/>
          <w:lang w:eastAsia="ru-RU"/>
        </w:rPr>
        <w:t xml:space="preserve">К концу 1940 г. был готов самолёт ИС-2 с мотором М-88Б с двухскоростным нагнетателем. В отличие от первой, экспериментальной машины, на нём планировалось установить вооружение — 4 пулемёта ШКАС, стреляющие через винт. «Считаю, что необходимо дать возможность конструктору Шевченко испытать второй вариант самолёта „убирающееся крыло“ с мотором М-88, который на сегодняшний день готов. Недостатки на первом самолёте, указанные выше, устранены на втором самолёте. Для улучшения устойчивости пути у самолёта значительно удлинён фюзеляж, обзор вперёд улучшен. Нагрузка на руль глубины уменьшена. Место, куда убирается нижнее крыло, сделано культурно, без острых выступов, более аэродинамично. Эти переделки должны устранить явление бафтинга на второй машине», — писал лётчик-испытатель полковник С.П. Супрун </w:t>
      </w:r>
      <w:hyperlink r:id="rId191" w:history="1">
        <w:r w:rsidRPr="00A3026E">
          <w:rPr>
            <w:rFonts w:ascii="Times New Roman" w:eastAsia="Times New Roman" w:hAnsi="Times New Roman"/>
            <w:color w:val="000000" w:themeColor="text1"/>
            <w:sz w:val="16"/>
            <w:szCs w:val="16"/>
            <w:lang w:eastAsia="ru-RU"/>
          </w:rPr>
          <w:t>[310]</w:t>
        </w:r>
      </w:hyperlink>
      <w:r w:rsidRPr="00A3026E">
        <w:rPr>
          <w:rFonts w:ascii="Times New Roman" w:hAnsi="Times New Roman"/>
          <w:color w:val="000000" w:themeColor="text1"/>
          <w:sz w:val="16"/>
          <w:szCs w:val="16"/>
        </w:rPr>
        <w:t>.</w:t>
      </w:r>
    </w:p>
    <w:p w14:paraId="750AF0DC" w14:textId="77777777" w:rsidR="00D13C9B" w:rsidRPr="00A3026E" w:rsidRDefault="00D13C9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Но когда ИС-1 проходил испытания, его судьба уже была предрешена. Летом 1940 г. новый заместитель наркома авиапромышленности А.С. Яковлев начал компанию по прекращению финансирования работ небольших конструкторских коллективов по опытным машинам, чтобы увеличить средства на освоение производства новых боевых самолётов Як-1, ЛаГГ-1, МиГ-3, Ил-2. Под удар попало и ОКБ-30.</w:t>
      </w:r>
    </w:p>
    <w:p w14:paraId="3FC72F3E" w14:textId="77777777" w:rsidR="00D13C9B" w:rsidRPr="00A3026E" w:rsidRDefault="00D13C9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A. С. Яковлева поддержал начальник недавно образованного Института лётных исследований (ЛИИ) М.М. Громов. Обращаясь к замнаркома, он писал: «Снятие лётных характеристик данного самолёта нецелесообразно, т. к. вариант биплана аэродинамически выполнен неудачно и по качествам хуже И-153, а вариант моноплана хуже самолёта И-16 (по скорости). Мотор М-63, стоящий на самолёте ранее, заменяется на М-62, что снизит лётные данные самолёта. Запас прочности самолёта за счёт введённых изменений и увеличения веса недостаточен. В виду всего перечисленного прошу Вашего указания о прекращении дальнейших испытаний и передаче самолёта гл. конструктору майору Шевченко» </w:t>
      </w:r>
      <w:hyperlink r:id="rId192" w:history="1">
        <w:r w:rsidRPr="00A3026E">
          <w:rPr>
            <w:rFonts w:ascii="Times New Roman" w:eastAsia="Times New Roman" w:hAnsi="Times New Roman"/>
            <w:color w:val="000000" w:themeColor="text1"/>
            <w:sz w:val="16"/>
            <w:szCs w:val="16"/>
            <w:lang w:eastAsia="ru-RU"/>
          </w:rPr>
          <w:t>[311]</w:t>
        </w:r>
      </w:hyperlink>
      <w:r w:rsidRPr="00A3026E">
        <w:rPr>
          <w:rFonts w:ascii="Times New Roman" w:eastAsia="Times New Roman" w:hAnsi="Times New Roman"/>
          <w:color w:val="000000" w:themeColor="text1"/>
          <w:sz w:val="16"/>
          <w:szCs w:val="16"/>
          <w:lang w:eastAsia="ru-RU"/>
        </w:rPr>
        <w:t xml:space="preserve"> (17489).</w:t>
      </w:r>
    </w:p>
    <w:p w14:paraId="576C3929" w14:textId="77777777" w:rsidR="00D13C9B" w:rsidRPr="00A3026E" w:rsidRDefault="00D13C9B" w:rsidP="00A3026E">
      <w:pPr>
        <w:spacing w:after="0" w:line="240" w:lineRule="auto"/>
        <w:jc w:val="both"/>
        <w:rPr>
          <w:rFonts w:ascii="Times New Roman" w:eastAsia="Times New Roman" w:hAnsi="Times New Roman"/>
          <w:color w:val="000000" w:themeColor="text1"/>
          <w:sz w:val="16"/>
          <w:szCs w:val="16"/>
          <w:lang w:eastAsia="ru-RU"/>
        </w:rPr>
      </w:pPr>
    </w:p>
    <w:p w14:paraId="6DD9B95A" w14:textId="77777777" w:rsidR="00D13C9B" w:rsidRPr="00A3026E" w:rsidRDefault="00D13C9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В конце 1940 г. в аэродинамической трубе Т-101 испытали планер с раздвижным крылом П-47 (планер завода № 47). Механизм изменения площади крыла работал надежно, однако было замечено, что щели в местах стыков отсеков раздвижного крыла отрицательно влияют на величину подъемной силы. «Для эффективного использования раздвижного крыла необходимо обеспечить полную его герметизацию в раздвинутом положении», — сказано в заключении по трубным испытаниям </w:t>
      </w:r>
      <w:hyperlink r:id="rId193" w:history="1">
        <w:r w:rsidRPr="00A3026E">
          <w:rPr>
            <w:rFonts w:ascii="Times New Roman" w:eastAsia="Times New Roman" w:hAnsi="Times New Roman"/>
            <w:color w:val="000000" w:themeColor="text1"/>
            <w:sz w:val="16"/>
            <w:szCs w:val="16"/>
            <w:lang w:eastAsia="ru-RU"/>
          </w:rPr>
          <w:t>[286]</w:t>
        </w:r>
      </w:hyperlink>
      <w:r w:rsidRPr="00A3026E">
        <w:rPr>
          <w:rFonts w:ascii="Times New Roman" w:eastAsia="Times New Roman" w:hAnsi="Times New Roman"/>
          <w:color w:val="000000" w:themeColor="text1"/>
          <w:sz w:val="16"/>
          <w:szCs w:val="16"/>
          <w:lang w:eastAsia="ru-RU"/>
        </w:rPr>
        <w:t>.</w:t>
      </w:r>
    </w:p>
    <w:p w14:paraId="54A89B45" w14:textId="77777777" w:rsidR="00D13C9B" w:rsidRPr="00A3026E" w:rsidRDefault="00D13C9B"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На этом в работах по самолётам с раздвижным крылом в СССР была поставлена точка. Задачу сохранения приемлемых взлётно-посадочных качеств при росте нагрузки на крыло стали решать другими методами: использованием посадочных щитков и закрылков, применением тормозных колёс, улучшением взлётно-посадочных полос. Г.И. Бакшаева перевели на другой завод, где он много сделал для организации серийного производства самолёта У-2, занимался его модификациями (17489).</w:t>
      </w:r>
    </w:p>
    <w:p w14:paraId="63597D5B" w14:textId="77777777" w:rsidR="00D13C9B" w:rsidRPr="00A3026E" w:rsidRDefault="00D13C9B" w:rsidP="00A3026E">
      <w:pPr>
        <w:spacing w:after="0" w:line="240" w:lineRule="auto"/>
        <w:jc w:val="both"/>
        <w:rPr>
          <w:rFonts w:ascii="Times New Roman" w:eastAsia="Times New Roman" w:hAnsi="Times New Roman"/>
          <w:color w:val="000000" w:themeColor="text1"/>
          <w:sz w:val="16"/>
          <w:szCs w:val="16"/>
          <w:lang w:eastAsia="ru-RU"/>
        </w:rPr>
      </w:pPr>
    </w:p>
    <w:p w14:paraId="7B2AFD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конца 1940 г., понимая, что У-2 в качестве многоцелевой машины уже устарел, Н.Н.П. решил спроектировать новый самолет универсального назначения, который при минимальном переоборудовании на аэродроме мог использоваться как шестиместный пассажирский, транспортный, санитарный, связной и учебный. Была выбрана схема моноплана с низкораспо</w:t>
      </w:r>
      <w:r w:rsidRPr="00A3026E">
        <w:rPr>
          <w:rFonts w:ascii="Times New Roman" w:hAnsi="Times New Roman"/>
          <w:color w:val="000000" w:themeColor="text1"/>
          <w:sz w:val="16"/>
          <w:szCs w:val="16"/>
        </w:rPr>
        <w:softHyphen/>
        <w:t>ложенным крылом, предполагалось установить рядный мотор воздушного охлаждения (10667).</w:t>
      </w:r>
    </w:p>
    <w:p w14:paraId="3B4631C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EEF54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завод № 47 был определен основной базой создания опытных и серийных учебно-тренировочных самолетов. Для этого при заводе в начале 1941 г. образован опытный цех во главе с И.О. гл. конструктора Е.Г. Адлером (приказ № 754с от 19.12.1940 г.). КБ работало при заводе до конца 1941 г. По приказу № 857с от 15.08.1941 г. ОКБ было слито с Серийным КБ завода для оказания технической помощи серийному производству. Е.Г. Адлер освобожден от должности гл. конструктора и переведен в ОКБ-115 (10776).</w:t>
      </w:r>
    </w:p>
    <w:p w14:paraId="0E82586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98745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 численность “утят” УТ-1 составляла аж 548% от потребного количества! А к 1 января следующего года УТ-1 во</w:t>
      </w:r>
      <w:r w:rsidRPr="00A3026E">
        <w:rPr>
          <w:rFonts w:ascii="Times New Roman" w:hAnsi="Times New Roman"/>
          <w:color w:val="000000" w:themeColor="text1"/>
          <w:sz w:val="16"/>
          <w:szCs w:val="16"/>
        </w:rPr>
        <w:softHyphen/>
        <w:t>обще рассчитывали убрать из ВВС. Началось давле</w:t>
      </w:r>
      <w:r w:rsidRPr="00A3026E">
        <w:rPr>
          <w:rFonts w:ascii="Times New Roman" w:hAnsi="Times New Roman"/>
          <w:color w:val="000000" w:themeColor="text1"/>
          <w:sz w:val="16"/>
          <w:szCs w:val="16"/>
        </w:rPr>
        <w:softHyphen/>
        <w:t>ние на Осоавиахим с целью заставить его взять все эти машины. Там УТ-1 ус</w:t>
      </w:r>
      <w:r w:rsidRPr="00A3026E">
        <w:rPr>
          <w:rFonts w:ascii="Times New Roman" w:hAnsi="Times New Roman"/>
          <w:color w:val="000000" w:themeColor="text1"/>
          <w:sz w:val="16"/>
          <w:szCs w:val="16"/>
        </w:rPr>
        <w:softHyphen/>
        <w:t>пешно эксплуатировались спорт отрядами и спорт звеньями, но их было немно</w:t>
      </w:r>
      <w:r w:rsidRPr="00A3026E">
        <w:rPr>
          <w:rFonts w:ascii="Times New Roman" w:hAnsi="Times New Roman"/>
          <w:color w:val="000000" w:themeColor="text1"/>
          <w:sz w:val="16"/>
          <w:szCs w:val="16"/>
        </w:rPr>
        <w:softHyphen/>
        <w:t>го. Для массовой же первоначальной подготовки летчиков, чем собственно и занималось военно-спортивное обще</w:t>
      </w:r>
      <w:r w:rsidRPr="00A3026E">
        <w:rPr>
          <w:rFonts w:ascii="Times New Roman" w:hAnsi="Times New Roman"/>
          <w:color w:val="000000" w:themeColor="text1"/>
          <w:sz w:val="16"/>
          <w:szCs w:val="16"/>
        </w:rPr>
        <w:softHyphen/>
        <w:t>ство, УТ-1 совершенно не подходил (3955).</w:t>
      </w:r>
    </w:p>
    <w:p w14:paraId="158FD0D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94C236C" w14:textId="77777777" w:rsidR="0014077F" w:rsidRPr="00A3026E" w:rsidRDefault="0014077F" w:rsidP="00A3026E">
      <w:pPr>
        <w:spacing w:after="0" w:line="240" w:lineRule="auto"/>
        <w:jc w:val="both"/>
        <w:rPr>
          <w:rFonts w:ascii="Times New Roman" w:eastAsia="TimesNewRoman" w:hAnsi="Times New Roman"/>
          <w:color w:val="000000" w:themeColor="text1"/>
          <w:sz w:val="16"/>
          <w:szCs w:val="16"/>
        </w:rPr>
      </w:pPr>
      <w:r w:rsidRPr="00A3026E">
        <w:rPr>
          <w:rFonts w:ascii="Times New Roman" w:eastAsia="TimesNewRoman" w:hAnsi="Times New Roman"/>
          <w:color w:val="000000" w:themeColor="text1"/>
          <w:sz w:val="16"/>
          <w:szCs w:val="16"/>
        </w:rPr>
        <w:t>В конце 1940 г. значительные преобразования были проведены на втором по величине и значению ленинградском авиапредприятии – заводе № 47. Ему были переданы с завода № 23 все наработки по учебно-тренировочному самолету УТ-2. В 1940 г. завод располагал более чем 250 единицами станкового оборудования и персоналом около 1 600 человек [6, д. 6, л. 16]. По плану в 1941 г. на нем должно было быть построено 600 самолетов. После эвакуации в г. Энгельс Саратовской области завод продолжал выпускать учебно-тренировочные самолеты УТ-2. Причем значимость выпуска учебных машин была такова, что сведения об их производстве наряду с боевыми самолетами ежесуточно представлялись в Государственный Комитет Обороны при СНК СССР [5, д. 25, л. 104] (12698).</w:t>
      </w:r>
    </w:p>
    <w:p w14:paraId="08F7B31D" w14:textId="77777777" w:rsidR="0014077F" w:rsidRPr="00A3026E" w:rsidRDefault="0014077F" w:rsidP="00A3026E">
      <w:pPr>
        <w:spacing w:after="0" w:line="240" w:lineRule="auto"/>
        <w:jc w:val="both"/>
        <w:rPr>
          <w:rFonts w:ascii="Times New Roman" w:eastAsia="TimesNewRoman" w:hAnsi="Times New Roman"/>
          <w:color w:val="000000" w:themeColor="text1"/>
          <w:sz w:val="16"/>
          <w:szCs w:val="16"/>
        </w:rPr>
      </w:pPr>
    </w:p>
    <w:p w14:paraId="219F20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конце 1940 г. на базе авиаремонтных мастерских ВВС Прибалтийского Особого ВО был образован Завод № 465 НКАП /Литва  г. Каунас/. Строил самолеты </w:t>
      </w:r>
      <w:r w:rsidRPr="00A3026E">
        <w:rPr>
          <w:rFonts w:ascii="Times New Roman" w:hAnsi="Times New Roman"/>
          <w:color w:val="000000" w:themeColor="text1"/>
          <w:sz w:val="16"/>
          <w:szCs w:val="16"/>
          <w:lang w:val="en-US"/>
        </w:rPr>
        <w:t>ANBO</w:t>
      </w:r>
      <w:r w:rsidRPr="00A3026E">
        <w:rPr>
          <w:rFonts w:ascii="Times New Roman" w:hAnsi="Times New Roman"/>
          <w:color w:val="000000" w:themeColor="text1"/>
          <w:sz w:val="16"/>
          <w:szCs w:val="16"/>
        </w:rPr>
        <w:t xml:space="preserve"> литовской конструкции.</w:t>
      </w:r>
    </w:p>
    <w:p w14:paraId="70BFD3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приказу № 281сс от 29.03.1941 г. личный состав ОКО завода № 380 НКАП гл. конструктора </w:t>
      </w:r>
      <w:r w:rsidRPr="00A3026E">
        <w:rPr>
          <w:rFonts w:ascii="Times New Roman" w:hAnsi="Times New Roman"/>
          <w:color w:val="000000" w:themeColor="text1"/>
          <w:sz w:val="16"/>
          <w:szCs w:val="16"/>
          <w:lang w:val="en-US"/>
        </w:rPr>
        <w:t>O</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K</w:t>
      </w:r>
      <w:r w:rsidRPr="00A3026E">
        <w:rPr>
          <w:rFonts w:ascii="Times New Roman" w:hAnsi="Times New Roman"/>
          <w:color w:val="000000" w:themeColor="text1"/>
          <w:sz w:val="16"/>
          <w:szCs w:val="16"/>
        </w:rPr>
        <w:t>. Антонова и 23 конструктора с завода № 380 вместе с техдокументацией были переведены на завод № 465 НКАП для организации и сопровождения серии самолета ОКА-38 и планера «Рот-Фронт-8». Передана оснастка и документация с завода № 23, где сначала планировалась серия ОКА-38. Антонов назначен гл. инженером (конструктором) завода № 465.</w:t>
      </w:r>
    </w:p>
    <w:p w14:paraId="0A29A0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расширением производства вскоре заводу были переданы помещения и территория расположенных рядом авиаремонтных мастерских НКО.</w:t>
      </w:r>
    </w:p>
    <w:p w14:paraId="7A0E38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1941 г. заводу утвержден план по выпуску 10 Як-7.</w:t>
      </w:r>
      <w:r w:rsidRPr="00A3026E">
        <w:rPr>
          <w:rFonts w:ascii="Times New Roman" w:hAnsi="Times New Roman"/>
          <w:color w:val="000000" w:themeColor="text1"/>
          <w:sz w:val="16"/>
          <w:szCs w:val="16"/>
          <w:vertAlign w:val="superscript"/>
        </w:rPr>
        <w:t>144</w:t>
      </w:r>
      <w:r w:rsidRPr="00A3026E">
        <w:rPr>
          <w:rFonts w:ascii="Times New Roman" w:hAnsi="Times New Roman"/>
          <w:color w:val="000000" w:themeColor="text1"/>
          <w:sz w:val="16"/>
          <w:szCs w:val="16"/>
        </w:rPr>
        <w:t xml:space="preserve"> В 1941 г. начат серийный выпуск самолета ОКА-38 «Аист», было построено 12 машин в разной степени готовности, дальнейшему помешала война. Построенные самолеты были уничтожены бомбежкой.</w:t>
      </w:r>
    </w:p>
    <w:p w14:paraId="0E9863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705с от 17.07.1941 г. завод эвакуирован в Куйбышев и влит в состав завода № 122 НКАП. Выбыл из числа действующих с 07.1941 г.</w:t>
      </w:r>
    </w:p>
    <w:p w14:paraId="0733C9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(12.1940 г.-)- С.П. Литвиненко (11982).</w:t>
      </w:r>
    </w:p>
    <w:p w14:paraId="68C3003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BEBF881"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 конце 1940 г. из-за того, что БШ-1 более года простояли на аэродроме и из-за нехватки двигателей 16 ПС-43 пришлось законсервировать. Тем не менее в конце 1940 - начале 1941 годов ПС-43 стали поступать в различные управления ГВФ. В частности, они эксплуатировались на авиалиниях Москва-Киев, Москва-Ташкент и Киев-Одесса. </w:t>
      </w:r>
    </w:p>
    <w:p w14:paraId="46A91B05"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Гражданские летчики приняли машину хорошо, вполне одобряя удобную кабину с продуманным размещением приборов, относительно надежные механизмы уборки и выпуска шасси. Появилось предложение переделать часть ПС-43 в пассажирские на шесть мест. </w:t>
      </w:r>
    </w:p>
    <w:p w14:paraId="607E6475"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С началом Великой Отечественной войны ПС-43 вместе с другими самолетами "Аэрофлота" привлекли к военно-транспортным перевозкам. С 25 июня 1941 г. начали формировать особые авиагруппы и отряды, придававшиеся фронтам и флотам. Первые два ПС-43, принадлежавшие ранее Украинскому управлению ГВФ, вошли в состав Киевской авиагруппы. К 1 июля они уже были потеряны, но группа получила третью машину. </w:t>
      </w:r>
    </w:p>
    <w:p w14:paraId="6BE0CDF1"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Один ПС-43 непонятным образом оказался в 69-м истребительном полку, действовавшем под Одессой. Его включили в созданную в полку нештатную штурмовую эскадрилью. Как и чем вооружили этот самолет -неизвестно. Он действовал совместно с четырьмя Ил-2, одним Р-5 и бывшим югославским бомбардировщиком "Савойя" S.79. </w:t>
      </w:r>
    </w:p>
    <w:p w14:paraId="2A4996E8"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При эвакуации из Одессы в октябре 1941 г. машину перегнали в Крым, но на посадке произошла авария. Пилот майор Рыкачев и пассажиры не пострадали, а самолет пришлось списать (11470).</w:t>
      </w:r>
    </w:p>
    <w:p w14:paraId="642EFB99" w14:textId="77777777" w:rsidR="0014077F" w:rsidRPr="00A3026E" w:rsidRDefault="0014077F" w:rsidP="00A3026E">
      <w:pPr>
        <w:pStyle w:val="af2"/>
        <w:jc w:val="both"/>
        <w:rPr>
          <w:i w:val="0"/>
          <w:iCs w:val="0"/>
          <w:color w:val="000000" w:themeColor="text1"/>
          <w:spacing w:val="0"/>
          <w:kern w:val="0"/>
          <w:position w:val="0"/>
          <w:sz w:val="16"/>
          <w:szCs w:val="16"/>
          <w:lang w:val="ru-RU"/>
        </w:rPr>
      </w:pPr>
    </w:p>
    <w:p w14:paraId="79771B0F"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В конце 1940 года в докладе «О проектировании и строительстве авиации ВМФ», сделанном на совещании его высшего руководящего состава, читаем: «Главный военный совет Военно-морского флота рассматривал специально вопрос о гидросамолетостроении…</w:t>
      </w:r>
    </w:p>
    <w:p w14:paraId="6955FFAA"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lastRenderedPageBreak/>
        <w:t>В результате на сегодня находятся на утверждении в правительстве два основных типа самолета. Первый – дальний разведчик, он же минный заградитель. Второй – корабельный самолет, он же самолет охраны водного района».</w:t>
      </w:r>
    </w:p>
    <w:p w14:paraId="233E0848"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 xml:space="preserve">Первоначально в 1941 году флот хотел получить 500 специализированных гидросамолетов трех типов. Однако после корректировки Комитетом обороны при СНК СССР в плане осталось только 200 машин: из него полностью изъяли все 250 корабельных разведчиков КОР-2 и летающие лодки МДР-7, а программы поставок МДР-6 сократили наполовину. Но и этот усеченный вариант фактически провалился. Морской дальний разведчик МДР-6 (Че-2) стал единственной </w:t>
      </w:r>
      <w:bookmarkStart w:id="57" w:name="YANDEX_34"/>
      <w:bookmarkEnd w:id="57"/>
      <w:r w:rsidRPr="00A3026E">
        <w:rPr>
          <w:color w:val="000000" w:themeColor="text1"/>
          <w:sz w:val="16"/>
          <w:szCs w:val="16"/>
        </w:rPr>
        <w:t> советской  летающей лодкой, которую удалось довести до серийного выпуска в предвоенный период, однако до начала войны было построено всего около двух десятков самолетов – на пресловутом заводе № 31 в Таганроге и на заводе № 30, куда перевели производство…(12723).</w:t>
      </w:r>
    </w:p>
    <w:p w14:paraId="1DD07EBC" w14:textId="77777777" w:rsidR="0014077F" w:rsidRPr="00A3026E" w:rsidRDefault="0014077F" w:rsidP="00A3026E">
      <w:pPr>
        <w:pStyle w:val="ae"/>
        <w:spacing w:before="0" w:after="0"/>
        <w:jc w:val="both"/>
        <w:rPr>
          <w:color w:val="000000" w:themeColor="text1"/>
          <w:sz w:val="16"/>
          <w:szCs w:val="16"/>
        </w:rPr>
      </w:pPr>
    </w:p>
    <w:p w14:paraId="629ABE3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года в «Аэрофлоте» насчитывалось весьма незначительное ко</w:t>
      </w:r>
      <w:r w:rsidRPr="00A3026E">
        <w:rPr>
          <w:rFonts w:ascii="Times New Roman" w:hAnsi="Times New Roman"/>
          <w:color w:val="000000" w:themeColor="text1"/>
          <w:sz w:val="16"/>
          <w:szCs w:val="16"/>
        </w:rPr>
        <w:softHyphen/>
        <w:t>личество машин типа ПС-84 и ПС-43, причем техническое состояние пос</w:t>
      </w:r>
      <w:r w:rsidRPr="00A3026E">
        <w:rPr>
          <w:rFonts w:ascii="Times New Roman" w:hAnsi="Times New Roman"/>
          <w:color w:val="000000" w:themeColor="text1"/>
          <w:sz w:val="16"/>
          <w:szCs w:val="16"/>
        </w:rPr>
        <w:softHyphen/>
        <w:t>ледних оставляло желать лучшего (РГАЭ. Ф. 9527. Оп. 1. Д. 1611. Л. 86 -87,90-91.). К началу 1941 года «Аэрофлот» имел несколько десятков лицензионных Дугласов отечественного производства. Кроме того, на международных авиа</w:t>
      </w:r>
      <w:r w:rsidRPr="00A3026E">
        <w:rPr>
          <w:rFonts w:ascii="Times New Roman" w:hAnsi="Times New Roman"/>
          <w:color w:val="000000" w:themeColor="text1"/>
          <w:sz w:val="16"/>
          <w:szCs w:val="16"/>
        </w:rPr>
        <w:softHyphen/>
        <w:t>линиях эксплуатировалось 10 закупленных ранее ДС-3 самолетов производс</w:t>
      </w:r>
      <w:r w:rsidRPr="00A3026E">
        <w:rPr>
          <w:rFonts w:ascii="Times New Roman" w:hAnsi="Times New Roman"/>
          <w:color w:val="000000" w:themeColor="text1"/>
          <w:sz w:val="16"/>
          <w:szCs w:val="16"/>
        </w:rPr>
        <w:softHyphen/>
        <w:t>тва США (Самарский филиал РГАНТД. Ф. Р-4. Оп. 1-6. Д. 10. Л. 27.). В первом полугодии 1941 года в ГВФ поступило от промышлен</w:t>
      </w:r>
      <w:r w:rsidRPr="00A3026E">
        <w:rPr>
          <w:rFonts w:ascii="Times New Roman" w:hAnsi="Times New Roman"/>
          <w:color w:val="000000" w:themeColor="text1"/>
          <w:sz w:val="16"/>
          <w:szCs w:val="16"/>
        </w:rPr>
        <w:softHyphen/>
        <w:t>ности 37 машин (РГАЭ. Ф. 9527. Оп. 1.Д. 1724. Л. 36.). Только на 12 магистральных линиях ГВФ на конец первого полугодия 1941 года эксплуатировалось 72 ПС 84 (РГАЭ. Ф. 9527. Оп. 1.Д. 1724. Л. 20/1.). А всего в ГВФ к 22 июня 1941 года насчитывалось 82 ПС-84 (РГАЭ. Ф. 9527. Оп. 1.Д. 1724. Л. 20/2.). В.Р. Котельников в разных публикациях приводил две отличающиеся цифры, согласно которым к началу войны в ГВФ имелось 72 (Котельников В.Р. От ОС-3 до Ли-2. С. 21.) или 78 (Котельников В.Р., Петров Г.Ф., Соболев ДА, Якубович Н.В.Указ. соч. С. 54.) ПС-84. Согласно выписке из диспетчерского жур</w:t>
      </w:r>
      <w:r w:rsidRPr="00A3026E">
        <w:rPr>
          <w:rFonts w:ascii="Times New Roman" w:hAnsi="Times New Roman"/>
          <w:color w:val="000000" w:themeColor="text1"/>
          <w:sz w:val="16"/>
          <w:szCs w:val="16"/>
        </w:rPr>
        <w:softHyphen/>
        <w:t>нала НКАП СССР «Динамика производства самолетов», общий выпуск ПС-84 составлял: в 1939 году - 6, в 1940 году — 61 ив 1941 году — 237 (Подсчитано по: 1941 год. Документы. Кн. 2. С. 490-491.). Как видим, серийный выпуск ПС-84 начал нарастать только с 1941 года. Например, план 2-го квартала предусматривал изготовление 60 машин - практически столь</w:t>
      </w:r>
      <w:r w:rsidRPr="00A3026E">
        <w:rPr>
          <w:rFonts w:ascii="Times New Roman" w:hAnsi="Times New Roman"/>
          <w:color w:val="000000" w:themeColor="text1"/>
          <w:sz w:val="16"/>
          <w:szCs w:val="16"/>
        </w:rPr>
        <w:softHyphen/>
        <w:t>ко было сделано за весь прошлый год (Подсчитано по: 1941 год. Документы. Кн. 2. С. 490-491.). К апрелю 1941 года всего с момента начала производства было выпущено ровно 100 ПС-84 (Котельников В.Р. От ДС-3 до Ли-2. С. 21.). Часть из них пос</w:t>
      </w:r>
      <w:r w:rsidRPr="00A3026E">
        <w:rPr>
          <w:rFonts w:ascii="Times New Roman" w:hAnsi="Times New Roman"/>
          <w:color w:val="000000" w:themeColor="text1"/>
          <w:sz w:val="16"/>
          <w:szCs w:val="16"/>
        </w:rPr>
        <w:softHyphen/>
        <w:t>тупала в военную авиацию, часть - в иные ведомства. Так, согласно Плану пе</w:t>
      </w:r>
      <w:r w:rsidRPr="00A3026E">
        <w:rPr>
          <w:rFonts w:ascii="Times New Roman" w:hAnsi="Times New Roman"/>
          <w:color w:val="000000" w:themeColor="text1"/>
          <w:sz w:val="16"/>
          <w:szCs w:val="16"/>
        </w:rPr>
        <w:softHyphen/>
        <w:t>ревозок 1941 года по Управлению полярной авиации, Ленская и Московская авиагруппы имели по 2 самолета ПС-84 (РГАЭ. Ф. 9570. Оп. 2. Д. 1220. Л. 44.).</w:t>
      </w:r>
    </w:p>
    <w:p w14:paraId="657F847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ВВС РККА имели на 1 июня 1940 года всего 11 самолетов ПС-84 (возможно, в это число включены и импортные ДС-3) (Мельтюхов М.И. Упущенный шанс Сталина. С. 539.). Авиация флота имела к октябрю 1940 года 4 машины этого типа (РГАВМФ. Ф. Р-61. Оп. 4. Д. 493. Л. 17 об. - 18.). Заявка ВВС ВМФ на 1941 год составляла 50 ПС-84 (проходивших под обозначением ДС-3 М-62 ИР), но Комитет Обороны санкционировал поставку лишь 14 из них (РГАВМФ. Ф. Р-61. Оп. 4. Д. 491. Л. 22 об.). По данным В. Р. Котельникова, на 22 июня 1941 года ВВС РККА принадлежало 49 ПС-84,5 - авиации ВМФ, и еще несколько машин эксплуатировалось в НКВД (Котельников В.Р. От ОС-3 ДО Ли-2. С. 21.).</w:t>
      </w:r>
    </w:p>
    <w:p w14:paraId="6808BBB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всех положительных моментах, связанных с ПС-84, отметим одно важное обстоятельство. Его выпуск в 1939 - 1940 годах составил всего 67 машин (из изготовленных авиапромом 817 транспортных всех типов). ПС-84 являлся практически единственным серийным транспортно-пасса-жирским самолетом (не считая модификаций У-2), который выпускался для советской авиации в 1939 - 1941 годах. Еще 100 таких самолетов только предполагалось изготовить в первой половине 1941 года, согласно Поста</w:t>
      </w:r>
      <w:r w:rsidRPr="00A3026E">
        <w:rPr>
          <w:rFonts w:ascii="Times New Roman" w:hAnsi="Times New Roman"/>
          <w:color w:val="000000" w:themeColor="text1"/>
          <w:sz w:val="16"/>
          <w:szCs w:val="16"/>
        </w:rPr>
        <w:softHyphen/>
        <w:t>новлению СНК СССР и ЦК ВКП(б) № 24б6-109бсс от 7 декабря 1940 года. Между тем в Германии только в 1939 году было изготовлено для люфтваф</w:t>
      </w:r>
      <w:r w:rsidRPr="00A3026E">
        <w:rPr>
          <w:rFonts w:ascii="Times New Roman" w:hAnsi="Times New Roman"/>
          <w:color w:val="000000" w:themeColor="text1"/>
          <w:sz w:val="16"/>
          <w:szCs w:val="16"/>
        </w:rPr>
        <w:softHyphen/>
        <w:t>фе 400 надежных трехмоторных транспортных самолетов «Юнкерс-52», а в течение 1936 - 1938 годов средний объем ежегодных поставок составлял 300 машин. Но даже с таким количеством транспортных самолетов люф</w:t>
      </w:r>
      <w:r w:rsidRPr="00A3026E">
        <w:rPr>
          <w:rFonts w:ascii="Times New Roman" w:hAnsi="Times New Roman"/>
          <w:color w:val="000000" w:themeColor="text1"/>
          <w:sz w:val="16"/>
          <w:szCs w:val="16"/>
        </w:rPr>
        <w:softHyphen/>
        <w:t>тваффе вскоре оказались в тяжелом положении. Если к началу Второй ми</w:t>
      </w:r>
      <w:r w:rsidRPr="00A3026E">
        <w:rPr>
          <w:rFonts w:ascii="Times New Roman" w:hAnsi="Times New Roman"/>
          <w:color w:val="000000" w:themeColor="text1"/>
          <w:sz w:val="16"/>
          <w:szCs w:val="16"/>
        </w:rPr>
        <w:softHyphen/>
        <w:t>ровой войны они располагали 552 «Юнкерс-52», то уже в боях на Западе в первой половине 1940 года потери составили 214 машин и для восстанов</w:t>
      </w:r>
      <w:r w:rsidRPr="00A3026E">
        <w:rPr>
          <w:rFonts w:ascii="Times New Roman" w:hAnsi="Times New Roman"/>
          <w:color w:val="000000" w:themeColor="text1"/>
          <w:sz w:val="16"/>
          <w:szCs w:val="16"/>
        </w:rPr>
        <w:softHyphen/>
        <w:t>ления только этих потерь требовалось полгода работы авиапромышлен</w:t>
      </w:r>
      <w:r w:rsidRPr="00A3026E">
        <w:rPr>
          <w:rFonts w:ascii="Times New Roman" w:hAnsi="Times New Roman"/>
          <w:color w:val="000000" w:themeColor="text1"/>
          <w:sz w:val="16"/>
          <w:szCs w:val="16"/>
        </w:rPr>
        <w:softHyphen/>
        <w:t>ности, которая смогла выпустить в 1940 году 401 самолет этого типа. А Советский Союз еще в 1941 году только лишь приближался к подобному темпу производства современной транспортной авиации (Степанов А.С. Гражданская авиация СССР — важный резерв РККА накануне Великой Отечественной войны // Чтения по военной истории: Сборник статей. СПб, 2005. С. 443.).</w:t>
      </w:r>
    </w:p>
    <w:p w14:paraId="32154A9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началом войны в течение второй половины 1941 года ГУГВФ, пере</w:t>
      </w:r>
      <w:r w:rsidRPr="00A3026E">
        <w:rPr>
          <w:rFonts w:ascii="Times New Roman" w:hAnsi="Times New Roman"/>
          <w:color w:val="000000" w:themeColor="text1"/>
          <w:sz w:val="16"/>
          <w:szCs w:val="16"/>
        </w:rPr>
        <w:softHyphen/>
        <w:t>давшему в особые подразделения практически весь свой наличный парк ПС-84, удалось задействовать в интересах фронта в общей сложности лишь около 170 ПС-84 (с учетом поступления их от промышленности). А потери только за первые четыре с небольшим месяца с начала войны (на 1 ноября 1941 года) составили 57 машин этого типа (РГАЭ.Ф.9527.Д. 1724. Л. 17,21.) (11710,447).</w:t>
      </w:r>
    </w:p>
    <w:p w14:paraId="75DA91A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5D1208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О.К.А. был назначен нач. КО з-да № 380 в Лениграде, где до марта 1941 и перевода в Каунас он разработал воздушный прицеп (7483, 8).</w:t>
      </w:r>
    </w:p>
    <w:p w14:paraId="17E8CAF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8BE15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в докладе «О проектировании и строительстве авиации ВМФ», сделанном на совещании высшего руководящего состава ВМФ, была дана высокая оценка гидросамолетам: «Главный Военный совет Военно-Морского Флота рассматривал специально вопрос о гидросамолетостроении. Первым самолетом считалось необходимым иметь один из основных самолетов дальней морской разведки, он же минный заградитель. Второй самолет средний, как он был назван, базовый разведки, и третий самолет корабельный, он же самолет охраны водного района.</w:t>
      </w:r>
    </w:p>
    <w:p w14:paraId="0F4EB8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Признана была необходимость часть торпедоносной авиации иметь на поплавках в силу особых географических условий и особенностей морского побережья.</w:t>
      </w:r>
    </w:p>
    <w:p w14:paraId="59F739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предварительном рассмотрении предложенных типов самолетов в правительстве была указана необходимость сокращения количества самолетов до двух типов. В результате на сегодня находятся на утверждении в правительстве два основных типа самолета.</w:t>
      </w:r>
    </w:p>
    <w:p w14:paraId="7C5F93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Первый – дальний разведчик, он же минный заградитель. Второй – корабельный самолет, он же самолет охраны водного района» (Русский архив: Великая Отечественная. Накануне войны. Т. 12 (1-2). Материалы совещания высшего руководящего состава ВМФ СССР в конце 1940 г. С. 366-367.) (11672).</w:t>
      </w:r>
    </w:p>
    <w:p w14:paraId="7999286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3AFA0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исчерпав запас импортных узлов в условиях эмбарго, введенного США на поставки в СССР в связи с войной в Финляндии, таганрогский завод 31 сменил в своих цехах ГСТ на технологически более простой МДР-6 (Че-2). Сложная в производстве "модель 28-2" у руководства завода N 31 восторга не вызывала. ГСТ массовым самолетом не стал: всего изготовили 27 летающих лодок этого типа (3457,49).</w:t>
      </w:r>
    </w:p>
    <w:p w14:paraId="03A9770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748C2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КБ Г.М.Б. (ЦКБ МС) разработало эскизный проект КОР-3 с М-64Р (1200 нр), но двигатель не появился. Предлагалась двухпоплавковая схема (9079).</w:t>
      </w:r>
    </w:p>
    <w:p w14:paraId="5D68079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AF77F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w:t>
      </w:r>
      <w:r w:rsidRPr="00A3026E">
        <w:rPr>
          <w:rFonts w:ascii="Times New Roman" w:hAnsi="Times New Roman"/>
          <w:color w:val="000000" w:themeColor="text1"/>
          <w:sz w:val="16"/>
          <w:szCs w:val="16"/>
        </w:rPr>
        <w:softHyphen/>
        <w:t>це 1940 г. в КБ Бериева разработали эскизный проект са</w:t>
      </w:r>
      <w:r w:rsidRPr="00A3026E">
        <w:rPr>
          <w:rFonts w:ascii="Times New Roman" w:hAnsi="Times New Roman"/>
          <w:color w:val="000000" w:themeColor="text1"/>
          <w:sz w:val="16"/>
          <w:szCs w:val="16"/>
        </w:rPr>
        <w:softHyphen/>
        <w:t>молета КОР-3 с перспективным двигате</w:t>
      </w:r>
      <w:r w:rsidRPr="00A3026E">
        <w:rPr>
          <w:rFonts w:ascii="Times New Roman" w:hAnsi="Times New Roman"/>
          <w:color w:val="000000" w:themeColor="text1"/>
          <w:sz w:val="16"/>
          <w:szCs w:val="16"/>
        </w:rPr>
        <w:softHyphen/>
        <w:t>лем М-64Р мощностью 1200 л.с. (на практи</w:t>
      </w:r>
      <w:r w:rsidRPr="00A3026E">
        <w:rPr>
          <w:rFonts w:ascii="Times New Roman" w:hAnsi="Times New Roman"/>
          <w:color w:val="000000" w:themeColor="text1"/>
          <w:sz w:val="16"/>
          <w:szCs w:val="16"/>
        </w:rPr>
        <w:softHyphen/>
        <w:t>ке этот двигатель так и не появился). Проект выполнили по двухпоплавковой схеме с раз</w:t>
      </w:r>
      <w:r w:rsidRPr="00A3026E">
        <w:rPr>
          <w:rFonts w:ascii="Times New Roman" w:hAnsi="Times New Roman"/>
          <w:color w:val="000000" w:themeColor="text1"/>
          <w:sz w:val="16"/>
          <w:szCs w:val="16"/>
        </w:rPr>
        <w:softHyphen/>
        <w:t>несенным вертикальным оперением. Указы</w:t>
      </w:r>
      <w:r w:rsidRPr="00A3026E">
        <w:rPr>
          <w:rFonts w:ascii="Times New Roman" w:hAnsi="Times New Roman"/>
          <w:color w:val="000000" w:themeColor="text1"/>
          <w:sz w:val="16"/>
          <w:szCs w:val="16"/>
        </w:rPr>
        <w:softHyphen/>
        <w:t>валось, что такой самолет будет лучше вести себя на пикировании, однако более важным считалась возможность его использования в сухопутном варианте на колесном шасси. Максимальная расчетная скорость составля</w:t>
      </w:r>
      <w:r w:rsidRPr="00A3026E">
        <w:rPr>
          <w:rFonts w:ascii="Times New Roman" w:hAnsi="Times New Roman"/>
          <w:color w:val="000000" w:themeColor="text1"/>
          <w:sz w:val="16"/>
          <w:szCs w:val="16"/>
        </w:rPr>
        <w:softHyphen/>
        <w:t>ла 428 км/ч, габаритные размеры были такие же, как и у КОР-2 (12301).</w:t>
      </w:r>
    </w:p>
    <w:p w14:paraId="03D7977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0DAF5F8"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в ЦКБ МС был закончен эскизный проект разведчик КОР-3. По проекту КОР-3 был выполнен в двух вариантах — летающей лодки и поплавкового гидросамолета. В качестве силовой установки в обоих вариантах предусматривался двигатель М-64Р с мощностью 1200 л.с. Габаритные размеры нового разведчика не превышали аналогичных показателей для КОР-2.</w:t>
      </w:r>
    </w:p>
    <w:p w14:paraId="6B1AEBFB"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Поплавковый вариант предлагался заказчику, поскольку, лишь незначительно уступая летающей лодке в мореходности, мог приниматься на борт корабля на ходу, его было возможно оборудовать смотровым люком в полу пилотской кабины (что повышало точность бомбометания с пикирования). Кроме того, свою роль сыграло военно-техническое сотрудничество в этот период с Германией и близкое знакомство с основным корабельным разведчиком Кригсмарине двухпоплавковым Аг-196.</w:t>
      </w:r>
    </w:p>
    <w:p w14:paraId="02DBE191"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быстро выяснилось, что перспективы получения в 1941 г. двигателей М-64 для новых корабельных разведчиков практически нулевые. Поэтому проект КОР-3 был оперативно переработан под серийный двигатель М-87А (взлетная мощность 950 л.с.). Поскольку этот мотор имел значительный реактивный момент, что исключало его использование на одномоторной летающей лодке, прорабатывался только вариант двухпоплавкового гидросамолета.</w:t>
      </w:r>
    </w:p>
    <w:p w14:paraId="48692D8D"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этому времени в ОКБ получили материалы испытаний катапульты Н-1 (созданной НИИ-45 и николаевским судостроительным заводом № 198). По данным разработчиков, максимальная взлетная масса стартующего с катапульты самолета могла достигать 3500 кг. Соответственно увеличилась и взлетная масса КОР-3 с 2800 до 3100 кг (15637).</w:t>
      </w:r>
    </w:p>
    <w:p w14:paraId="060544B5" w14:textId="77777777" w:rsidR="006B3E48" w:rsidRPr="00A3026E" w:rsidRDefault="006B3E48" w:rsidP="00A3026E">
      <w:pPr>
        <w:spacing w:after="0" w:line="240" w:lineRule="auto"/>
        <w:jc w:val="both"/>
        <w:rPr>
          <w:rFonts w:ascii="Times New Roman" w:hAnsi="Times New Roman"/>
          <w:color w:val="000000" w:themeColor="text1"/>
          <w:sz w:val="16"/>
          <w:szCs w:val="16"/>
        </w:rPr>
      </w:pPr>
    </w:p>
    <w:p w14:paraId="13298D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конца 1940 г. построили 12 эк</w:t>
      </w:r>
      <w:r w:rsidRPr="00A3026E">
        <w:rPr>
          <w:rFonts w:ascii="Times New Roman" w:hAnsi="Times New Roman"/>
          <w:color w:val="000000" w:themeColor="text1"/>
          <w:sz w:val="16"/>
          <w:szCs w:val="16"/>
        </w:rPr>
        <w:softHyphen/>
        <w:t>земпляров КОР-1, один из них был потерян в результате описанной выше аварии. В июне 1941 г. в составе авиации советского Воен</w:t>
      </w:r>
      <w:r w:rsidRPr="00A3026E">
        <w:rPr>
          <w:rFonts w:ascii="Times New Roman" w:hAnsi="Times New Roman"/>
          <w:color w:val="000000" w:themeColor="text1"/>
          <w:sz w:val="16"/>
          <w:szCs w:val="16"/>
        </w:rPr>
        <w:softHyphen/>
        <w:t>но-морского флота числилось 11 КОР-1, из них 6 находились в составе ВВС КБФ и 5 - составе ВВС ЧФ. Некоторые из них выпол</w:t>
      </w:r>
      <w:r w:rsidRPr="00A3026E">
        <w:rPr>
          <w:rFonts w:ascii="Times New Roman" w:hAnsi="Times New Roman"/>
          <w:color w:val="000000" w:themeColor="text1"/>
          <w:sz w:val="16"/>
          <w:szCs w:val="16"/>
        </w:rPr>
        <w:softHyphen/>
        <w:t>няли эпизодические старты с новых, толь</w:t>
      </w:r>
      <w:r w:rsidRPr="00A3026E">
        <w:rPr>
          <w:rFonts w:ascii="Times New Roman" w:hAnsi="Times New Roman"/>
          <w:color w:val="000000" w:themeColor="text1"/>
          <w:sz w:val="16"/>
          <w:szCs w:val="16"/>
        </w:rPr>
        <w:softHyphen/>
        <w:t>ко что смонтированных катапульт. Впро</w:t>
      </w:r>
      <w:r w:rsidRPr="00A3026E">
        <w:rPr>
          <w:rFonts w:ascii="Times New Roman" w:hAnsi="Times New Roman"/>
          <w:color w:val="000000" w:themeColor="text1"/>
          <w:sz w:val="16"/>
          <w:szCs w:val="16"/>
        </w:rPr>
        <w:softHyphen/>
        <w:t>чем, использование КОР-1 как корабельно</w:t>
      </w:r>
      <w:r w:rsidRPr="00A3026E">
        <w:rPr>
          <w:rFonts w:ascii="Times New Roman" w:hAnsi="Times New Roman"/>
          <w:color w:val="000000" w:themeColor="text1"/>
          <w:sz w:val="16"/>
          <w:szCs w:val="16"/>
        </w:rPr>
        <w:softHyphen/>
        <w:t>го разведчика в практической обстановке не состоялось. С началом войны самолеты сня</w:t>
      </w:r>
      <w:r w:rsidRPr="00A3026E">
        <w:rPr>
          <w:rFonts w:ascii="Times New Roman" w:hAnsi="Times New Roman"/>
          <w:color w:val="000000" w:themeColor="text1"/>
          <w:sz w:val="16"/>
          <w:szCs w:val="16"/>
        </w:rPr>
        <w:softHyphen/>
        <w:t>ли с кораблей, и их дальнейшее использова</w:t>
      </w:r>
      <w:r w:rsidRPr="00A3026E">
        <w:rPr>
          <w:rFonts w:ascii="Times New Roman" w:hAnsi="Times New Roman"/>
          <w:color w:val="000000" w:themeColor="text1"/>
          <w:sz w:val="16"/>
          <w:szCs w:val="16"/>
        </w:rPr>
        <w:softHyphen/>
        <w:t>ние</w:t>
      </w:r>
      <w:r w:rsidRPr="00A3026E">
        <w:rPr>
          <w:rStyle w:val="9pt"/>
          <w:rFonts w:ascii="Times New Roman" w:hAnsi="Times New Roman" w:cs="Times New Roman"/>
          <w:b w:val="0"/>
          <w:i w:val="0"/>
          <w:color w:val="000000" w:themeColor="text1"/>
          <w:sz w:val="16"/>
          <w:szCs w:val="16"/>
        </w:rPr>
        <w:t xml:space="preserve"> в основном</w:t>
      </w:r>
      <w:r w:rsidRPr="00A3026E">
        <w:rPr>
          <w:rFonts w:ascii="Times New Roman" w:hAnsi="Times New Roman"/>
          <w:color w:val="000000" w:themeColor="text1"/>
          <w:sz w:val="16"/>
          <w:szCs w:val="16"/>
        </w:rPr>
        <w:t xml:space="preserve"> осущестшшлось в колесном варианте (12301).</w:t>
      </w:r>
    </w:p>
    <w:p w14:paraId="3C130A2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Style w:val="380"/>
          <w:rFonts w:ascii="Times New Roman" w:hAnsi="Times New Roman"/>
          <w:b w:val="0"/>
          <w:color w:val="000000" w:themeColor="text1"/>
          <w:spacing w:val="0"/>
          <w:sz w:val="16"/>
          <w:szCs w:val="16"/>
        </w:rPr>
        <w:t>Летно-технические</w:t>
      </w:r>
      <w:r w:rsidRPr="00A3026E">
        <w:rPr>
          <w:rStyle w:val="3MicrosoftSansSerif"/>
          <w:rFonts w:ascii="Times New Roman" w:hAnsi="Times New Roman"/>
          <w:color w:val="000000" w:themeColor="text1"/>
          <w:spacing w:val="0"/>
          <w:sz w:val="16"/>
          <w:szCs w:val="16"/>
        </w:rPr>
        <w:t xml:space="preserve"> характеристики</w:t>
      </w:r>
      <w:r w:rsidRPr="00A3026E">
        <w:rPr>
          <w:rStyle w:val="380"/>
          <w:rFonts w:ascii="Times New Roman" w:hAnsi="Times New Roman"/>
          <w:b w:val="0"/>
          <w:color w:val="000000" w:themeColor="text1"/>
          <w:spacing w:val="0"/>
          <w:sz w:val="16"/>
          <w:szCs w:val="16"/>
        </w:rPr>
        <w:t xml:space="preserve"> КОР-1</w:t>
      </w:r>
      <w:r w:rsidRPr="00A3026E">
        <w:rPr>
          <w:rFonts w:ascii="Times New Roman" w:hAnsi="Times New Roman"/>
          <w:color w:val="000000" w:themeColor="text1"/>
          <w:sz w:val="16"/>
          <w:szCs w:val="16"/>
        </w:rPr>
        <w:t xml:space="preserve"> в поплавковом и колесном вариантах</w:t>
      </w:r>
    </w:p>
    <w:tbl>
      <w:tblPr>
        <w:tblW w:w="0" w:type="auto"/>
        <w:tblInd w:w="-18" w:type="dxa"/>
        <w:tblLayout w:type="fixed"/>
        <w:tblCellMar>
          <w:left w:w="10" w:type="dxa"/>
          <w:right w:w="10" w:type="dxa"/>
        </w:tblCellMar>
        <w:tblLook w:val="0000" w:firstRow="0" w:lastRow="0" w:firstColumn="0" w:lastColumn="0" w:noHBand="0" w:noVBand="0"/>
      </w:tblPr>
      <w:tblGrid>
        <w:gridCol w:w="3910"/>
        <w:gridCol w:w="1811"/>
        <w:gridCol w:w="1836"/>
      </w:tblGrid>
      <w:tr w:rsidR="00983732" w:rsidRPr="00A3026E" w14:paraId="45F99A6C" w14:textId="77777777" w:rsidTr="00EA0DA7">
        <w:trPr>
          <w:trHeight w:val="259"/>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417922C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5F38175D" w14:textId="77777777" w:rsidR="0014077F" w:rsidRPr="00A3026E" w:rsidRDefault="0014077F" w:rsidP="00A3026E">
            <w:pPr>
              <w:pStyle w:val="231"/>
              <w:shd w:val="clear" w:color="auto" w:fill="auto"/>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Поплавковый</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5E53A48" w14:textId="77777777" w:rsidR="0014077F" w:rsidRPr="00A3026E" w:rsidRDefault="0014077F" w:rsidP="00A3026E">
            <w:pPr>
              <w:pStyle w:val="231"/>
              <w:shd w:val="clear" w:color="auto" w:fill="auto"/>
              <w:spacing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Колесный</w:t>
            </w:r>
          </w:p>
        </w:tc>
      </w:tr>
      <w:tr w:rsidR="00983732" w:rsidRPr="00A3026E" w14:paraId="5995E517" w14:textId="77777777" w:rsidTr="00EA0DA7">
        <w:trPr>
          <w:trHeight w:val="234"/>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13A5F8E7"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верхнего крыла (м)</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614A7D53"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1B6B6F7"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w:t>
            </w:r>
          </w:p>
        </w:tc>
      </w:tr>
      <w:tr w:rsidR="00983732" w:rsidRPr="00A3026E" w14:paraId="013308A2" w14:textId="77777777" w:rsidTr="00EA0DA7">
        <w:trPr>
          <w:trHeight w:val="248"/>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66828882"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в линии полета (м)</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38BBDC50"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7,12</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9FFB0EC"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7,12</w:t>
            </w:r>
          </w:p>
        </w:tc>
      </w:tr>
      <w:tr w:rsidR="00983732" w:rsidRPr="00A3026E" w14:paraId="04218B77" w14:textId="77777777" w:rsidTr="00EA0DA7">
        <w:trPr>
          <w:trHeight w:val="238"/>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1DDED97D"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Плошадь крыльев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094A5174"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31,8</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323813C"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31,8</w:t>
            </w:r>
          </w:p>
        </w:tc>
      </w:tr>
      <w:tr w:rsidR="00983732" w:rsidRPr="00A3026E" w14:paraId="33D09EB1" w14:textId="77777777" w:rsidTr="00EA0DA7">
        <w:trPr>
          <w:trHeight w:val="245"/>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15F019F5"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(кг)</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372083EE"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1640</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5720FAF"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1470</w:t>
            </w:r>
          </w:p>
        </w:tc>
      </w:tr>
      <w:tr w:rsidR="00983732" w:rsidRPr="00A3026E" w14:paraId="2CC394FF" w14:textId="77777777" w:rsidTr="00EA0DA7">
        <w:trPr>
          <w:trHeight w:val="252"/>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6564B85A"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(кг)</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64013C8B"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2425</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E7C9743"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2240</w:t>
            </w:r>
          </w:p>
        </w:tc>
      </w:tr>
      <w:tr w:rsidR="00983732" w:rsidRPr="00A3026E" w14:paraId="27154083" w14:textId="77777777" w:rsidTr="00EA0DA7">
        <w:trPr>
          <w:trHeight w:val="245"/>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6637C231"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скорость на высоте 2000 м (км/ч)</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0421BD8D"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277</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D718558"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262</w:t>
            </w:r>
          </w:p>
        </w:tc>
      </w:tr>
      <w:tr w:rsidR="00983732" w:rsidRPr="00A3026E" w14:paraId="332B2FEB" w14:textId="77777777" w:rsidTr="00EA0DA7">
        <w:trPr>
          <w:trHeight w:val="238"/>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75589643"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6000 м (мин)</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62897C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F84C29F"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50,25</w:t>
            </w:r>
          </w:p>
        </w:tc>
      </w:tr>
      <w:tr w:rsidR="00983732" w:rsidRPr="00A3026E" w14:paraId="537BFB62" w14:textId="77777777" w:rsidTr="00EA0DA7">
        <w:trPr>
          <w:trHeight w:val="245"/>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1ADA2244"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(м)</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3D6140A7"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6600</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6FA181D"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6650</w:t>
            </w:r>
          </w:p>
        </w:tc>
      </w:tr>
      <w:tr w:rsidR="00983732" w:rsidRPr="00A3026E" w14:paraId="006A3FD7" w14:textId="77777777" w:rsidTr="00EA0DA7">
        <w:trPr>
          <w:trHeight w:val="263"/>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5667B930"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(км)</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6438576D"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860</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07EED80" w14:textId="77777777" w:rsidR="0014077F" w:rsidRPr="00A3026E" w:rsidRDefault="0014077F" w:rsidP="00A3026E">
            <w:pPr>
              <w:pStyle w:val="190"/>
              <w:shd w:val="clear" w:color="auto" w:fill="auto"/>
              <w:spacing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675</w:t>
            </w:r>
          </w:p>
        </w:tc>
      </w:tr>
    </w:tbl>
    <w:p w14:paraId="071FC3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(12301).</w:t>
      </w:r>
    </w:p>
    <w:p w14:paraId="68A14EA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F54685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 Выполняя задание по созданию более совершенного разведчика, ЦКБ МС под</w:t>
      </w:r>
      <w:r w:rsidRPr="00A3026E">
        <w:rPr>
          <w:rFonts w:ascii="Times New Roman" w:hAnsi="Times New Roman"/>
          <w:color w:val="000000" w:themeColor="text1"/>
          <w:sz w:val="16"/>
          <w:szCs w:val="16"/>
        </w:rPr>
        <w:softHyphen/>
        <w:t>готовило эскизный проект КОР-3. Его габариты не превышали раз</w:t>
      </w:r>
      <w:r w:rsidRPr="00A3026E">
        <w:rPr>
          <w:rFonts w:ascii="Times New Roman" w:hAnsi="Times New Roman"/>
          <w:color w:val="000000" w:themeColor="text1"/>
          <w:sz w:val="16"/>
          <w:szCs w:val="16"/>
        </w:rPr>
        <w:softHyphen/>
        <w:t>меров КОР-2, а в качестве силовой уста</w:t>
      </w:r>
      <w:r w:rsidRPr="00A3026E">
        <w:rPr>
          <w:rFonts w:ascii="Times New Roman" w:hAnsi="Times New Roman"/>
          <w:color w:val="000000" w:themeColor="text1"/>
          <w:sz w:val="16"/>
          <w:szCs w:val="16"/>
        </w:rPr>
        <w:softHyphen/>
        <w:t>новки предусматривался двигатель М-64Р мощностью 1200 л.с. Вновь рас</w:t>
      </w:r>
      <w:r w:rsidRPr="00A3026E">
        <w:rPr>
          <w:rFonts w:ascii="Times New Roman" w:hAnsi="Times New Roman"/>
          <w:color w:val="000000" w:themeColor="text1"/>
          <w:sz w:val="16"/>
          <w:szCs w:val="16"/>
        </w:rPr>
        <w:softHyphen/>
        <w:t>сматривались два варианта самолета: по</w:t>
      </w:r>
      <w:r w:rsidRPr="00A3026E">
        <w:rPr>
          <w:rFonts w:ascii="Times New Roman" w:hAnsi="Times New Roman"/>
          <w:color w:val="000000" w:themeColor="text1"/>
          <w:sz w:val="16"/>
          <w:szCs w:val="16"/>
        </w:rPr>
        <w:softHyphen/>
        <w:t>плавковый и летающая лодка. Первый ре</w:t>
      </w:r>
      <w:r w:rsidRPr="00A3026E">
        <w:rPr>
          <w:rFonts w:ascii="Times New Roman" w:hAnsi="Times New Roman"/>
          <w:color w:val="000000" w:themeColor="text1"/>
          <w:sz w:val="16"/>
          <w:szCs w:val="16"/>
        </w:rPr>
        <w:softHyphen/>
        <w:t>шили предложить заказчику, поскольку он лишь незначительно уступал летающей лодке в мореходности, но зато мог по</w:t>
      </w:r>
      <w:r w:rsidRPr="00A3026E">
        <w:rPr>
          <w:rFonts w:ascii="Times New Roman" w:hAnsi="Times New Roman"/>
          <w:color w:val="000000" w:themeColor="text1"/>
          <w:sz w:val="16"/>
          <w:szCs w:val="16"/>
        </w:rPr>
        <w:softHyphen/>
        <w:t>падать на борт корабля на ходу, и появля</w:t>
      </w:r>
      <w:r w:rsidRPr="00A3026E">
        <w:rPr>
          <w:rFonts w:ascii="Times New Roman" w:hAnsi="Times New Roman"/>
          <w:color w:val="000000" w:themeColor="text1"/>
          <w:sz w:val="16"/>
          <w:szCs w:val="16"/>
        </w:rPr>
        <w:softHyphen/>
        <w:t>лась возможность оборудовать смотро</w:t>
      </w:r>
      <w:r w:rsidRPr="00A3026E">
        <w:rPr>
          <w:rFonts w:ascii="Times New Roman" w:hAnsi="Times New Roman"/>
          <w:color w:val="000000" w:themeColor="text1"/>
          <w:sz w:val="16"/>
          <w:szCs w:val="16"/>
        </w:rPr>
        <w:softHyphen/>
        <w:t>вой люк в полу пилотской кабины, что повышало точность бомбометания с пики</w:t>
      </w:r>
      <w:r w:rsidRPr="00A3026E">
        <w:rPr>
          <w:rFonts w:ascii="Times New Roman" w:hAnsi="Times New Roman"/>
          <w:color w:val="000000" w:themeColor="text1"/>
          <w:sz w:val="16"/>
          <w:szCs w:val="16"/>
        </w:rPr>
        <w:softHyphen/>
        <w:t>рования. Свою роль сыграло развивавше</w:t>
      </w:r>
      <w:r w:rsidRPr="00A3026E">
        <w:rPr>
          <w:rFonts w:ascii="Times New Roman" w:hAnsi="Times New Roman"/>
          <w:color w:val="000000" w:themeColor="text1"/>
          <w:sz w:val="16"/>
          <w:szCs w:val="16"/>
        </w:rPr>
        <w:softHyphen/>
        <w:t>еся в тот период военно-техническое со</w:t>
      </w:r>
      <w:r w:rsidRPr="00A3026E">
        <w:rPr>
          <w:rFonts w:ascii="Times New Roman" w:hAnsi="Times New Roman"/>
          <w:color w:val="000000" w:themeColor="text1"/>
          <w:sz w:val="16"/>
          <w:szCs w:val="16"/>
        </w:rPr>
        <w:softHyphen/>
        <w:t>трудничество с Германией и близкое знакомство с основным корабельным раз</w:t>
      </w:r>
      <w:r w:rsidRPr="00A3026E">
        <w:rPr>
          <w:rFonts w:ascii="Times New Roman" w:hAnsi="Times New Roman"/>
          <w:color w:val="000000" w:themeColor="text1"/>
          <w:sz w:val="16"/>
          <w:szCs w:val="16"/>
        </w:rPr>
        <w:softHyphen/>
        <w:t>ведчиком кригсмарине — двухпоплавковым Аг-196. Когда выяснилось, что полу</w:t>
      </w:r>
      <w:r w:rsidRPr="00A3026E">
        <w:rPr>
          <w:rFonts w:ascii="Times New Roman" w:hAnsi="Times New Roman"/>
          <w:color w:val="000000" w:themeColor="text1"/>
          <w:sz w:val="16"/>
          <w:szCs w:val="16"/>
        </w:rPr>
        <w:softHyphen/>
        <w:t>чить М-64 в 1941 г. не удастся, проект опе</w:t>
      </w:r>
      <w:r w:rsidRPr="00A3026E">
        <w:rPr>
          <w:rFonts w:ascii="Times New Roman" w:hAnsi="Times New Roman"/>
          <w:color w:val="000000" w:themeColor="text1"/>
          <w:sz w:val="16"/>
          <w:szCs w:val="16"/>
        </w:rPr>
        <w:softHyphen/>
        <w:t>ративно переработали под серийный дви</w:t>
      </w:r>
      <w:r w:rsidRPr="00A3026E">
        <w:rPr>
          <w:rFonts w:ascii="Times New Roman" w:hAnsi="Times New Roman"/>
          <w:color w:val="000000" w:themeColor="text1"/>
          <w:sz w:val="16"/>
          <w:szCs w:val="16"/>
        </w:rPr>
        <w:softHyphen/>
        <w:t>гатель М-87А, развивавший на взлете 950 л.с. Поскольку из-за значительного реактивного момента его использование на одномоторной летающей лодке исклю</w:t>
      </w:r>
      <w:r w:rsidRPr="00A3026E">
        <w:rPr>
          <w:rFonts w:ascii="Times New Roman" w:hAnsi="Times New Roman"/>
          <w:color w:val="000000" w:themeColor="text1"/>
          <w:sz w:val="16"/>
          <w:szCs w:val="16"/>
        </w:rPr>
        <w:softHyphen/>
        <w:t>чалось, то прорабатывался только двухпоплавковый вариант. К тому времени в ОКБ поступили материалы испытаний новой катапульты Н-1, которая могла разгонять самолеты со взлетной массой до 3500 кг. Это позволило увеличить и взлетную мас</w:t>
      </w:r>
      <w:r w:rsidRPr="00A3026E">
        <w:rPr>
          <w:rFonts w:ascii="Times New Roman" w:hAnsi="Times New Roman"/>
          <w:color w:val="000000" w:themeColor="text1"/>
          <w:sz w:val="16"/>
          <w:szCs w:val="16"/>
        </w:rPr>
        <w:softHyphen/>
        <w:t>су КОР-3 с 2800 кг до 3100 кг. (10685).</w:t>
      </w:r>
    </w:p>
    <w:p w14:paraId="34332B1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2A09039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конце 1940 г. в связи с пожеланиями моряков в КБ Бериева разработали эскизный проект самолета КОР-3 с перспективным двигателем М-64Р мощностью 1200 л. с. (на практике этот двигатель так и не появился). КОР-3 планировалось выполнить по двухпоплавковой схеме с разнесенным вертикальным оперением. Максимальная расчетная скорость составляла 428 км/час, габаритные размеры </w:t>
      </w:r>
      <w:r w:rsidRPr="00A3026E">
        <w:rPr>
          <w:rFonts w:ascii="Times New Roman" w:hAnsi="Times New Roman"/>
          <w:iCs/>
          <w:color w:val="000000" w:themeColor="text1"/>
          <w:sz w:val="16"/>
          <w:szCs w:val="16"/>
        </w:rPr>
        <w:t xml:space="preserve">были </w:t>
      </w:r>
      <w:r w:rsidRPr="00A3026E">
        <w:rPr>
          <w:rFonts w:ascii="Times New Roman" w:hAnsi="Times New Roman"/>
          <w:color w:val="000000" w:themeColor="text1"/>
          <w:sz w:val="16"/>
          <w:szCs w:val="16"/>
        </w:rPr>
        <w:t>такие же, как у КОР-2. В 1941 г. разработали еще три варианта самолета КОР-3 (Бе-6). Два из них представляли развитие КОР-2 с двигателем М-89. Максимальная скорость по расчетам на высоте 6500 м составляла 465 км/ч. Третий вариант пред</w:t>
      </w:r>
      <w:r w:rsidRPr="00A3026E">
        <w:rPr>
          <w:rFonts w:ascii="Times New Roman" w:hAnsi="Times New Roman"/>
          <w:color w:val="000000" w:themeColor="text1"/>
          <w:sz w:val="16"/>
          <w:szCs w:val="16"/>
        </w:rPr>
        <w:softHyphen/>
        <w:t>полагал использование двигателя М-107, размещенного внутри корпуса лодки. При помощи механической переда</w:t>
      </w:r>
      <w:r w:rsidRPr="00A3026E">
        <w:rPr>
          <w:rFonts w:ascii="Times New Roman" w:hAnsi="Times New Roman"/>
          <w:color w:val="000000" w:themeColor="text1"/>
          <w:sz w:val="16"/>
          <w:szCs w:val="16"/>
        </w:rPr>
        <w:softHyphen/>
        <w:t>чи вращение передавалось на соосные воздушные винты, вращающиеся в разные стороны. Такая схема обеспечива</w:t>
      </w:r>
      <w:r w:rsidRPr="00A3026E">
        <w:rPr>
          <w:rFonts w:ascii="Times New Roman" w:hAnsi="Times New Roman"/>
          <w:color w:val="000000" w:themeColor="text1"/>
          <w:sz w:val="16"/>
          <w:szCs w:val="16"/>
        </w:rPr>
        <w:softHyphen/>
        <w:t>ла наилучшие аэродинамические и скоростные характе</w:t>
      </w:r>
      <w:r w:rsidRPr="00A3026E">
        <w:rPr>
          <w:rFonts w:ascii="Times New Roman" w:hAnsi="Times New Roman"/>
          <w:color w:val="000000" w:themeColor="text1"/>
          <w:sz w:val="16"/>
          <w:szCs w:val="16"/>
        </w:rPr>
        <w:softHyphen/>
        <w:t>ристики, кроме того отсутствовал разворачивающий мо</w:t>
      </w:r>
      <w:r w:rsidRPr="00A3026E">
        <w:rPr>
          <w:rFonts w:ascii="Times New Roman" w:hAnsi="Times New Roman"/>
          <w:color w:val="000000" w:themeColor="text1"/>
          <w:sz w:val="16"/>
          <w:szCs w:val="16"/>
        </w:rPr>
        <w:softHyphen/>
        <w:t>мент, присущий одиночному винт). Проекты КОР-3 никогда детально не прорабатыва</w:t>
      </w:r>
      <w:r w:rsidRPr="00A3026E">
        <w:rPr>
          <w:rFonts w:ascii="Times New Roman" w:hAnsi="Times New Roman"/>
          <w:color w:val="000000" w:themeColor="text1"/>
          <w:sz w:val="16"/>
          <w:szCs w:val="16"/>
        </w:rPr>
        <w:softHyphen/>
        <w:t>лись. Начавшаяся война заставила прекратить все про</w:t>
      </w:r>
      <w:r w:rsidRPr="00A3026E">
        <w:rPr>
          <w:rFonts w:ascii="Times New Roman" w:hAnsi="Times New Roman"/>
          <w:color w:val="000000" w:themeColor="text1"/>
          <w:sz w:val="16"/>
          <w:szCs w:val="16"/>
        </w:rPr>
        <w:softHyphen/>
        <w:t>ектные изыскания и сосредоточиться на производстве и совершенствовании уже имеющегося разведчика КОР-2 (11107).</w:t>
      </w:r>
    </w:p>
    <w:p w14:paraId="36DCC4A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4E71F97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конца 1940 года на заводе № 31 изготовили 27 лодок типа «Каталина», причем во всех серийных машинах присутствовали детали, привезенные из США. У ру</w:t>
      </w:r>
      <w:r w:rsidRPr="00A3026E">
        <w:rPr>
          <w:rFonts w:ascii="Times New Roman" w:hAnsi="Times New Roman"/>
          <w:color w:val="000000" w:themeColor="text1"/>
          <w:sz w:val="16"/>
          <w:szCs w:val="16"/>
        </w:rPr>
        <w:softHyphen/>
        <w:t>ководства завода сложная в производстве модель не вызывала положительных эмоций. По мнению В.Р. Котельникова, последним толчком к прекращению се</w:t>
      </w:r>
      <w:r w:rsidRPr="00A3026E">
        <w:rPr>
          <w:rFonts w:ascii="Times New Roman" w:hAnsi="Times New Roman"/>
          <w:color w:val="000000" w:themeColor="text1"/>
          <w:sz w:val="16"/>
          <w:szCs w:val="16"/>
        </w:rPr>
        <w:softHyphen/>
        <w:t>рийного выпуска явилось «моральное эмбарго», которое правительство США ввело после начала войны с Финляндией на авиапоставки в СССР, - был ис</w:t>
      </w:r>
      <w:r w:rsidRPr="00A3026E">
        <w:rPr>
          <w:rFonts w:ascii="Times New Roman" w:hAnsi="Times New Roman"/>
          <w:color w:val="000000" w:themeColor="text1"/>
          <w:sz w:val="16"/>
          <w:szCs w:val="16"/>
        </w:rPr>
        <w:softHyphen/>
        <w:t>черпан оставшийся запас импортных узлов. Поставка машины военной при</w:t>
      </w:r>
      <w:r w:rsidRPr="00A3026E">
        <w:rPr>
          <w:rFonts w:ascii="Times New Roman" w:hAnsi="Times New Roman"/>
          <w:color w:val="000000" w:themeColor="text1"/>
          <w:sz w:val="16"/>
          <w:szCs w:val="16"/>
        </w:rPr>
        <w:softHyphen/>
        <w:t>емке началась в конце 1939 года, и военные оценили ГСТ как огромный шаг вперед по сравнению с морально устаревшими МБР-2 (Котельников В.Р., Петров Г.Ф., Соболев Д.А., Якубович Н.В. «Американцы» в России. М, 1999. С. 48-49.). К октябрю 1940 года авиация ВМФ РККА насчитывала 15 ГСТ ( в том числе 14с моторами М-62 и 1 с моторами М-87) (РГАВМФ. Ф. Р-61. Оп. 4. Д. 493. Л. 17 об. - 18.).0 том, что ГСТ в первую очередь предполагались к исполь</w:t>
      </w:r>
      <w:r w:rsidRPr="00A3026E">
        <w:rPr>
          <w:rFonts w:ascii="Times New Roman" w:hAnsi="Times New Roman"/>
          <w:color w:val="000000" w:themeColor="text1"/>
          <w:sz w:val="16"/>
          <w:szCs w:val="16"/>
        </w:rPr>
        <w:softHyphen/>
        <w:t>зованию в качестве военных машин, говорит и тот факт, что только в июле -августе 1940 года были проведены государственные испытания самолета ГСТ в качестве магистрально-пассажирского самолета для гражданского воздушно</w:t>
      </w:r>
      <w:r w:rsidRPr="00A3026E">
        <w:rPr>
          <w:rFonts w:ascii="Times New Roman" w:hAnsi="Times New Roman"/>
          <w:color w:val="000000" w:themeColor="text1"/>
          <w:sz w:val="16"/>
          <w:szCs w:val="16"/>
        </w:rPr>
        <w:softHyphen/>
        <w:t>го флота, в результате которых он под обозначением МП-7 допускался к при</w:t>
      </w:r>
      <w:r w:rsidRPr="00A3026E">
        <w:rPr>
          <w:rFonts w:ascii="Times New Roman" w:hAnsi="Times New Roman"/>
          <w:color w:val="000000" w:themeColor="text1"/>
          <w:sz w:val="16"/>
          <w:szCs w:val="16"/>
        </w:rPr>
        <w:softHyphen/>
        <w:t>менению (Самарский филиал РГАНТД. Ф. Р-4. Оп. 2-1. Д. 229. Л. 1, 3.). В октябре 1940 года закончились эксплуатационные испытания МП-7 (Самарский филиал РГАНТД. Ф. Р-4. Оп. 2-1. Д. 291. Л. 2.). К началу 1941 года пять этих самолетов эксплуатировались в Главсев-морпути и в Управлении гражданской авиации (Самарский филиал РГАНТД. Ф. Р-4. Оп. 2-1. Д. 291. Л. 2.) (11710,446).</w:t>
      </w:r>
    </w:p>
    <w:p w14:paraId="057D05A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284FB2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было при</w:t>
      </w:r>
      <w:r w:rsidRPr="00A3026E">
        <w:rPr>
          <w:rFonts w:ascii="Times New Roman" w:hAnsi="Times New Roman"/>
          <w:color w:val="000000" w:themeColor="text1"/>
          <w:sz w:val="16"/>
          <w:szCs w:val="16"/>
        </w:rPr>
        <w:softHyphen/>
        <w:t>нято решение о постройке его опытно</w:t>
      </w:r>
      <w:r w:rsidRPr="00A3026E">
        <w:rPr>
          <w:rFonts w:ascii="Times New Roman" w:hAnsi="Times New Roman"/>
          <w:color w:val="000000" w:themeColor="text1"/>
          <w:sz w:val="16"/>
          <w:szCs w:val="16"/>
        </w:rPr>
        <w:softHyphen/>
        <w:t>го образца Планёра А-7, который являлся дальнейшим развитием конструкции созданного под руководством О.К. Антонова РФ-8, проект которого занял первое место на конкурсе 1940 г. РФ-8 представлял собой свободнонесущий моноплан де</w:t>
      </w:r>
      <w:r w:rsidRPr="00A3026E">
        <w:rPr>
          <w:rFonts w:ascii="Times New Roman" w:hAnsi="Times New Roman"/>
          <w:color w:val="000000" w:themeColor="text1"/>
          <w:sz w:val="16"/>
          <w:szCs w:val="16"/>
        </w:rPr>
        <w:softHyphen/>
        <w:t>ревянной конструкции, рассчитанный на перевозку четырёх десантников и пилота. Работу над ним начали на авиазаводе в Каунасе (бывших мастер</w:t>
      </w:r>
      <w:r w:rsidRPr="00A3026E">
        <w:rPr>
          <w:rFonts w:ascii="Times New Roman" w:hAnsi="Times New Roman"/>
          <w:color w:val="000000" w:themeColor="text1"/>
          <w:sz w:val="16"/>
          <w:szCs w:val="16"/>
        </w:rPr>
        <w:softHyphen/>
        <w:t>ских литовских ВВС) (12266).</w:t>
      </w:r>
    </w:p>
    <w:p w14:paraId="148B9DC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B3152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Мотор АМ-35А был запущен в серию. На расчетной высоте АМ-35А имел номинальную мощность 1200 л.с., а максимальная мощность в течение 20 мин. на высоте 4750 м составляла 1400 л.с. Этот результат был выдающимся для 1940 г. Большая высотность мотора АМ-35А позволила опытному самолету И-200 достичь скорости полета 656 км/ч на высоте 7000 м. В последующем серийные самолеты МиГ-3 на этой высоте обладали максимальной скоростью более 610 км/час, легко обгоняя истребители других типов, причем как отечественные, так и зарубежные. А ведь поначалу бытовало мнение, что АМ-35А не является "истребительным" мотором. Вообще такое деление моторов на истребительные и бомбардировочные оказалось не вполне оправданным. Возьмите, например, двигатели "Мерлин" и "Аллисон" V-1710. Микулин представил мотор АМ-35А на соискание премии им. В.П. Чкалова. Премия ему не была присуждена, но вскоре он был отмечен званием Лауреата Сталинской премии. При внедрении мотора АМ-35А пришлось столкнуться с решением ряда проблем (9029).</w:t>
      </w:r>
    </w:p>
    <w:p w14:paraId="3E361B7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CC780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моторами АМ-35А оборудовали опытный бомбардировщик ДБ-240 конструкции В.Г. Ермолаева, однако более перспективным сочли вариант этой машины с двигателями АМ-37 (9029).</w:t>
      </w:r>
    </w:p>
    <w:p w14:paraId="4CAB3F1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09F905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выявился еще один дефект АМ-35А — трещины ли</w:t>
      </w:r>
      <w:r w:rsidRPr="00A3026E">
        <w:rPr>
          <w:rFonts w:ascii="Times New Roman" w:hAnsi="Times New Roman"/>
          <w:color w:val="000000" w:themeColor="text1"/>
          <w:sz w:val="16"/>
          <w:szCs w:val="16"/>
        </w:rPr>
        <w:softHyphen/>
        <w:t>тых головок блоков цилиндров (9984).</w:t>
      </w:r>
    </w:p>
    <w:p w14:paraId="6471750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6FA29C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количество заказанных промышленности двигателей АМ-35А ограничили 250 экземплярами. Однако время поджимало, двигателисты неустанно совершенствовали свое детище и, спустя короткое время, производство АМ-35А вышло на максимальный уровень. Выпуск АМ-35А по годам распределился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983732" w:rsidRPr="00A3026E" w14:paraId="0FAD9F7A" w14:textId="77777777" w:rsidTr="00EA0DA7">
        <w:tc>
          <w:tcPr>
            <w:tcW w:w="2242" w:type="dxa"/>
            <w:tcBorders>
              <w:top w:val="single" w:sz="12" w:space="0" w:color="auto"/>
            </w:tcBorders>
          </w:tcPr>
          <w:p w14:paraId="4C6B09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w:t>
            </w:r>
          </w:p>
        </w:tc>
        <w:tc>
          <w:tcPr>
            <w:tcW w:w="2242" w:type="dxa"/>
            <w:tcBorders>
              <w:top w:val="single" w:sz="12" w:space="0" w:color="auto"/>
            </w:tcBorders>
          </w:tcPr>
          <w:p w14:paraId="41606E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1941г.</w:t>
            </w:r>
          </w:p>
        </w:tc>
        <w:tc>
          <w:tcPr>
            <w:tcW w:w="2242" w:type="dxa"/>
            <w:tcBorders>
              <w:top w:val="single" w:sz="12" w:space="0" w:color="auto"/>
            </w:tcBorders>
          </w:tcPr>
          <w:p w14:paraId="2B724CA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1942 г.</w:t>
            </w:r>
          </w:p>
        </w:tc>
        <w:tc>
          <w:tcPr>
            <w:tcW w:w="2242" w:type="dxa"/>
            <w:tcBorders>
              <w:top w:val="single" w:sz="12" w:space="0" w:color="auto"/>
            </w:tcBorders>
          </w:tcPr>
          <w:p w14:paraId="5AF2FC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1943 г.</w:t>
            </w:r>
          </w:p>
        </w:tc>
        <w:tc>
          <w:tcPr>
            <w:tcW w:w="2242" w:type="dxa"/>
            <w:tcBorders>
              <w:top w:val="single" w:sz="12" w:space="0" w:color="auto"/>
            </w:tcBorders>
          </w:tcPr>
          <w:p w14:paraId="36D475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1944 г.</w:t>
            </w:r>
          </w:p>
        </w:tc>
      </w:tr>
      <w:tr w:rsidR="00983732" w:rsidRPr="00A3026E" w14:paraId="3E585F3D" w14:textId="77777777" w:rsidTr="00EA0DA7">
        <w:tc>
          <w:tcPr>
            <w:tcW w:w="2242" w:type="dxa"/>
            <w:tcBorders>
              <w:bottom w:val="single" w:sz="12" w:space="0" w:color="auto"/>
            </w:tcBorders>
          </w:tcPr>
          <w:p w14:paraId="12CBC0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192(200)</w:t>
            </w:r>
          </w:p>
        </w:tc>
        <w:tc>
          <w:tcPr>
            <w:tcW w:w="2242" w:type="dxa"/>
            <w:tcBorders>
              <w:bottom w:val="single" w:sz="12" w:space="0" w:color="auto"/>
            </w:tcBorders>
          </w:tcPr>
          <w:p w14:paraId="2D9A07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4012</w:t>
            </w:r>
          </w:p>
        </w:tc>
        <w:tc>
          <w:tcPr>
            <w:tcW w:w="2242" w:type="dxa"/>
            <w:tcBorders>
              <w:bottom w:val="single" w:sz="12" w:space="0" w:color="auto"/>
            </w:tcBorders>
          </w:tcPr>
          <w:p w14:paraId="0917D2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173</w:t>
            </w:r>
          </w:p>
        </w:tc>
        <w:tc>
          <w:tcPr>
            <w:tcW w:w="2242" w:type="dxa"/>
            <w:tcBorders>
              <w:bottom w:val="single" w:sz="12" w:space="0" w:color="auto"/>
            </w:tcBorders>
          </w:tcPr>
          <w:p w14:paraId="720549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202</w:t>
            </w:r>
          </w:p>
        </w:tc>
        <w:tc>
          <w:tcPr>
            <w:tcW w:w="2242" w:type="dxa"/>
            <w:tcBorders>
              <w:bottom w:val="single" w:sz="12" w:space="0" w:color="auto"/>
            </w:tcBorders>
          </w:tcPr>
          <w:p w14:paraId="4FDF23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w:t>
            </w:r>
          </w:p>
        </w:tc>
      </w:tr>
    </w:tbl>
    <w:p w14:paraId="5F4A6C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(12025).</w:t>
      </w:r>
    </w:p>
    <w:p w14:paraId="453E71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войной АМ-35А планировались к постановке на три типа самолетов: бомбардировщик ТБ-7, истребитель МиГ-3 и штурмовик Ил-2. Однако для штурмовиков не требовалась большая высота полета, поэтому для них на основе АМ-35 разработали новый двигатель АМ-38 с пониженной до 1650 м высотностью и увеличенной до 1600 л.с. взлетной, и до 1500 л.с. номинальной мощностью. Уже в ходе войны необходимость самолетов-штурмовиков резко возросла. В условиях весьма ограниченных возможностей промышленности было решено выпуск двигателей АМ-35А прекратить и моторным заводам полностью переключиться на производство АМ-38. Небольшие партии построенных в этот период АМ-35А не смогли обеспечить все бомбардировщики Пе-8, поэтому с 1943 г. они выпускались с двигателями М-82 (АШ-82).</w:t>
      </w:r>
    </w:p>
    <w:p w14:paraId="079391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технические характеристики двигателей А.А.Микулина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983732" w:rsidRPr="00A3026E" w14:paraId="331BB7B3" w14:textId="77777777" w:rsidTr="00EA0DA7">
        <w:tc>
          <w:tcPr>
            <w:tcW w:w="3736" w:type="dxa"/>
            <w:tcBorders>
              <w:top w:val="single" w:sz="12" w:space="0" w:color="auto"/>
            </w:tcBorders>
          </w:tcPr>
          <w:p w14:paraId="43397A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w:t>
            </w:r>
          </w:p>
        </w:tc>
        <w:tc>
          <w:tcPr>
            <w:tcW w:w="3736" w:type="dxa"/>
            <w:tcBorders>
              <w:top w:val="single" w:sz="12" w:space="0" w:color="auto"/>
            </w:tcBorders>
          </w:tcPr>
          <w:p w14:paraId="0F0C51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w:t>
            </w:r>
          </w:p>
        </w:tc>
        <w:tc>
          <w:tcPr>
            <w:tcW w:w="3736" w:type="dxa"/>
            <w:tcBorders>
              <w:top w:val="single" w:sz="12" w:space="0" w:color="auto"/>
            </w:tcBorders>
          </w:tcPr>
          <w:p w14:paraId="669D14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АМ-38</w:t>
            </w:r>
          </w:p>
        </w:tc>
      </w:tr>
      <w:tr w:rsidR="00983732" w:rsidRPr="00A3026E" w14:paraId="11B0AD43" w14:textId="77777777" w:rsidTr="00EA0DA7">
        <w:tc>
          <w:tcPr>
            <w:tcW w:w="3736" w:type="dxa"/>
          </w:tcPr>
          <w:p w14:paraId="49630E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Рабочий объем (л)</w:t>
            </w:r>
          </w:p>
        </w:tc>
        <w:tc>
          <w:tcPr>
            <w:tcW w:w="3736" w:type="dxa"/>
          </w:tcPr>
          <w:p w14:paraId="78206D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46,66</w:t>
            </w:r>
          </w:p>
        </w:tc>
        <w:tc>
          <w:tcPr>
            <w:tcW w:w="3736" w:type="dxa"/>
          </w:tcPr>
          <w:p w14:paraId="0F2175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46,66</w:t>
            </w:r>
          </w:p>
        </w:tc>
      </w:tr>
      <w:tr w:rsidR="00983732" w:rsidRPr="00A3026E" w14:paraId="1EF06E71" w14:textId="77777777" w:rsidTr="00EA0DA7">
        <w:tc>
          <w:tcPr>
            <w:tcW w:w="3736" w:type="dxa"/>
          </w:tcPr>
          <w:p w14:paraId="41F3A5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Степень сжатия</w:t>
            </w:r>
          </w:p>
        </w:tc>
        <w:tc>
          <w:tcPr>
            <w:tcW w:w="3736" w:type="dxa"/>
          </w:tcPr>
          <w:p w14:paraId="3B2F67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3736" w:type="dxa"/>
          </w:tcPr>
          <w:p w14:paraId="24A667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w:t>
            </w:r>
          </w:p>
        </w:tc>
      </w:tr>
      <w:tr w:rsidR="00983732" w:rsidRPr="00A3026E" w14:paraId="3F44D118" w14:textId="77777777" w:rsidTr="00EA0DA7">
        <w:tc>
          <w:tcPr>
            <w:tcW w:w="3736" w:type="dxa"/>
          </w:tcPr>
          <w:p w14:paraId="08C99F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Номин. мощность у земли (л.с.)</w:t>
            </w:r>
          </w:p>
        </w:tc>
        <w:tc>
          <w:tcPr>
            <w:tcW w:w="3736" w:type="dxa"/>
          </w:tcPr>
          <w:p w14:paraId="39F898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1120</w:t>
            </w:r>
          </w:p>
        </w:tc>
        <w:tc>
          <w:tcPr>
            <w:tcW w:w="3736" w:type="dxa"/>
          </w:tcPr>
          <w:p w14:paraId="110671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w:t>
            </w:r>
          </w:p>
        </w:tc>
      </w:tr>
      <w:tr w:rsidR="00983732" w:rsidRPr="00A3026E" w14:paraId="6FBD2B53" w14:textId="77777777" w:rsidTr="00EA0DA7">
        <w:tc>
          <w:tcPr>
            <w:tcW w:w="3736" w:type="dxa"/>
          </w:tcPr>
          <w:p w14:paraId="4E1663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Обороты на номинальной</w:t>
            </w:r>
          </w:p>
        </w:tc>
        <w:tc>
          <w:tcPr>
            <w:tcW w:w="3736" w:type="dxa"/>
          </w:tcPr>
          <w:p w14:paraId="4BE99C4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3736" w:type="dxa"/>
          </w:tcPr>
          <w:p w14:paraId="5C1D6BC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35C33E5F" w14:textId="77777777" w:rsidTr="00EA0DA7">
        <w:tc>
          <w:tcPr>
            <w:tcW w:w="3736" w:type="dxa"/>
          </w:tcPr>
          <w:p w14:paraId="473414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мощности у земли (об/мин)</w:t>
            </w:r>
          </w:p>
        </w:tc>
        <w:tc>
          <w:tcPr>
            <w:tcW w:w="3736" w:type="dxa"/>
          </w:tcPr>
          <w:p w14:paraId="34043E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2050</w:t>
            </w:r>
          </w:p>
        </w:tc>
        <w:tc>
          <w:tcPr>
            <w:tcW w:w="3736" w:type="dxa"/>
          </w:tcPr>
          <w:p w14:paraId="21EA54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2050</w:t>
            </w:r>
          </w:p>
        </w:tc>
      </w:tr>
      <w:tr w:rsidR="00983732" w:rsidRPr="00A3026E" w14:paraId="3DAC2091" w14:textId="77777777" w:rsidTr="00EA0DA7">
        <w:tc>
          <w:tcPr>
            <w:tcW w:w="3736" w:type="dxa"/>
          </w:tcPr>
          <w:p w14:paraId="1E3C81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Номинальная мощность</w:t>
            </w:r>
          </w:p>
        </w:tc>
        <w:tc>
          <w:tcPr>
            <w:tcW w:w="3736" w:type="dxa"/>
          </w:tcPr>
          <w:p w14:paraId="123F08C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3736" w:type="dxa"/>
          </w:tcPr>
          <w:p w14:paraId="174142C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D2D478B" w14:textId="77777777" w:rsidTr="00EA0DA7">
        <w:tc>
          <w:tcPr>
            <w:tcW w:w="3736" w:type="dxa"/>
          </w:tcPr>
          <w:p w14:paraId="0F6A24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(л.с.)/ на высоте (м) -</w:t>
            </w:r>
          </w:p>
        </w:tc>
        <w:tc>
          <w:tcPr>
            <w:tcW w:w="3736" w:type="dxa"/>
          </w:tcPr>
          <w:p w14:paraId="760EF8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1200/6000</w:t>
            </w:r>
          </w:p>
        </w:tc>
        <w:tc>
          <w:tcPr>
            <w:tcW w:w="3736" w:type="dxa"/>
          </w:tcPr>
          <w:p w14:paraId="376FF5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1500/1650</w:t>
            </w:r>
          </w:p>
        </w:tc>
      </w:tr>
      <w:tr w:rsidR="00983732" w:rsidRPr="00A3026E" w14:paraId="79316032" w14:textId="77777777" w:rsidTr="00EA0DA7">
        <w:tc>
          <w:tcPr>
            <w:tcW w:w="3736" w:type="dxa"/>
          </w:tcPr>
          <w:p w14:paraId="2D1E87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Взлетная мощность (л.с.)</w:t>
            </w:r>
          </w:p>
        </w:tc>
        <w:tc>
          <w:tcPr>
            <w:tcW w:w="3736" w:type="dxa"/>
          </w:tcPr>
          <w:p w14:paraId="073B31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1350</w:t>
            </w:r>
          </w:p>
        </w:tc>
        <w:tc>
          <w:tcPr>
            <w:tcW w:w="3736" w:type="dxa"/>
          </w:tcPr>
          <w:p w14:paraId="04EFA8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w:t>
            </w:r>
          </w:p>
        </w:tc>
      </w:tr>
      <w:tr w:rsidR="00983732" w:rsidRPr="00A3026E" w14:paraId="16E4AFBC" w14:textId="77777777" w:rsidTr="00EA0DA7">
        <w:tc>
          <w:tcPr>
            <w:tcW w:w="3736" w:type="dxa"/>
          </w:tcPr>
          <w:p w14:paraId="764449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Обороты на взлетной</w:t>
            </w:r>
          </w:p>
        </w:tc>
        <w:tc>
          <w:tcPr>
            <w:tcW w:w="3736" w:type="dxa"/>
          </w:tcPr>
          <w:p w14:paraId="34D4514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3736" w:type="dxa"/>
          </w:tcPr>
          <w:p w14:paraId="503EDE5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16834867" w14:textId="77777777" w:rsidTr="00EA0DA7">
        <w:tc>
          <w:tcPr>
            <w:tcW w:w="3736" w:type="dxa"/>
          </w:tcPr>
          <w:p w14:paraId="5E368A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мощности (об/мин)</w:t>
            </w:r>
          </w:p>
        </w:tc>
        <w:tc>
          <w:tcPr>
            <w:tcW w:w="3736" w:type="dxa"/>
          </w:tcPr>
          <w:p w14:paraId="6D58FF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2050</w:t>
            </w:r>
          </w:p>
        </w:tc>
        <w:tc>
          <w:tcPr>
            <w:tcW w:w="3736" w:type="dxa"/>
          </w:tcPr>
          <w:p w14:paraId="0A4F12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2150</w:t>
            </w:r>
          </w:p>
        </w:tc>
      </w:tr>
      <w:tr w:rsidR="00983732" w:rsidRPr="00A3026E" w14:paraId="666EEF2D" w14:textId="77777777" w:rsidTr="00EA0DA7">
        <w:tc>
          <w:tcPr>
            <w:tcW w:w="3736" w:type="dxa"/>
          </w:tcPr>
          <w:p w14:paraId="457D58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Литровая мощность (л.с./л)</w:t>
            </w:r>
          </w:p>
        </w:tc>
        <w:tc>
          <w:tcPr>
            <w:tcW w:w="3736" w:type="dxa"/>
          </w:tcPr>
          <w:p w14:paraId="74BD0D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w:t>
            </w:r>
          </w:p>
        </w:tc>
        <w:tc>
          <w:tcPr>
            <w:tcW w:w="3736" w:type="dxa"/>
          </w:tcPr>
          <w:p w14:paraId="13B01D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32,15</w:t>
            </w:r>
          </w:p>
        </w:tc>
      </w:tr>
      <w:tr w:rsidR="00983732" w:rsidRPr="00A3026E" w14:paraId="7F089A1E" w14:textId="77777777" w:rsidTr="00EA0DA7">
        <w:tc>
          <w:tcPr>
            <w:tcW w:w="3736" w:type="dxa"/>
          </w:tcPr>
          <w:p w14:paraId="48DA8B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сухого мотора (кг)</w:t>
            </w:r>
          </w:p>
        </w:tc>
        <w:tc>
          <w:tcPr>
            <w:tcW w:w="3736" w:type="dxa"/>
          </w:tcPr>
          <w:p w14:paraId="031A4A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830</w:t>
            </w:r>
          </w:p>
        </w:tc>
        <w:tc>
          <w:tcPr>
            <w:tcW w:w="3736" w:type="dxa"/>
          </w:tcPr>
          <w:p w14:paraId="22B7C4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860</w:t>
            </w:r>
          </w:p>
        </w:tc>
      </w:tr>
      <w:tr w:rsidR="00983732" w:rsidRPr="00A3026E" w14:paraId="18DECEA7" w14:textId="77777777" w:rsidTr="00EA0DA7">
        <w:tc>
          <w:tcPr>
            <w:tcW w:w="3736" w:type="dxa"/>
          </w:tcPr>
          <w:p w14:paraId="080D72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Габаритные размеры:</w:t>
            </w:r>
          </w:p>
        </w:tc>
        <w:tc>
          <w:tcPr>
            <w:tcW w:w="3736" w:type="dxa"/>
          </w:tcPr>
          <w:p w14:paraId="06EC81D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3736" w:type="dxa"/>
          </w:tcPr>
          <w:p w14:paraId="3A3EDE3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2206350" w14:textId="77777777" w:rsidTr="00EA0DA7">
        <w:tc>
          <w:tcPr>
            <w:tcW w:w="3736" w:type="dxa"/>
          </w:tcPr>
          <w:p w14:paraId="36AA8F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длина (мм)</w:t>
            </w:r>
          </w:p>
        </w:tc>
        <w:tc>
          <w:tcPr>
            <w:tcW w:w="3736" w:type="dxa"/>
          </w:tcPr>
          <w:p w14:paraId="485A4D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2404</w:t>
            </w:r>
          </w:p>
        </w:tc>
        <w:tc>
          <w:tcPr>
            <w:tcW w:w="3736" w:type="dxa"/>
          </w:tcPr>
          <w:p w14:paraId="4B65F9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2289</w:t>
            </w:r>
          </w:p>
        </w:tc>
      </w:tr>
      <w:tr w:rsidR="00983732" w:rsidRPr="00A3026E" w14:paraId="009B0AD4" w14:textId="77777777" w:rsidTr="00EA0DA7">
        <w:tc>
          <w:tcPr>
            <w:tcW w:w="3736" w:type="dxa"/>
          </w:tcPr>
          <w:p w14:paraId="4F8EAB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ширина (мм)</w:t>
            </w:r>
          </w:p>
        </w:tc>
        <w:tc>
          <w:tcPr>
            <w:tcW w:w="3736" w:type="dxa"/>
          </w:tcPr>
          <w:p w14:paraId="2F4544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866</w:t>
            </w:r>
          </w:p>
        </w:tc>
        <w:tc>
          <w:tcPr>
            <w:tcW w:w="3736" w:type="dxa"/>
          </w:tcPr>
          <w:p w14:paraId="0F6A6B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875</w:t>
            </w:r>
          </w:p>
        </w:tc>
      </w:tr>
      <w:tr w:rsidR="00983732" w:rsidRPr="00A3026E" w14:paraId="0EF00D67" w14:textId="77777777" w:rsidTr="00EA0DA7">
        <w:tc>
          <w:tcPr>
            <w:tcW w:w="3736" w:type="dxa"/>
            <w:tcBorders>
              <w:bottom w:val="single" w:sz="12" w:space="0" w:color="auto"/>
            </w:tcBorders>
          </w:tcPr>
          <w:p w14:paraId="56FB26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высота (мм)</w:t>
            </w:r>
          </w:p>
        </w:tc>
        <w:tc>
          <w:tcPr>
            <w:tcW w:w="3736" w:type="dxa"/>
            <w:tcBorders>
              <w:bottom w:val="single" w:sz="12" w:space="0" w:color="auto"/>
            </w:tcBorders>
          </w:tcPr>
          <w:p w14:paraId="7C08B0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1088</w:t>
            </w:r>
          </w:p>
        </w:tc>
        <w:tc>
          <w:tcPr>
            <w:tcW w:w="3736" w:type="dxa"/>
            <w:tcBorders>
              <w:bottom w:val="single" w:sz="12" w:space="0" w:color="auto"/>
            </w:tcBorders>
          </w:tcPr>
          <w:p w14:paraId="7462D7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1085</w:t>
            </w:r>
          </w:p>
        </w:tc>
      </w:tr>
    </w:tbl>
    <w:p w14:paraId="2A3EEB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(12025).</w:t>
      </w:r>
    </w:p>
    <w:p w14:paraId="4AEDD63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13EC9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конца 1940 г. АМ-35А выпускался в больших количествах. В начале 1941 г. введена уси</w:t>
      </w:r>
      <w:r w:rsidRPr="00A3026E">
        <w:rPr>
          <w:rFonts w:ascii="Times New Roman" w:hAnsi="Times New Roman"/>
          <w:color w:val="000000" w:themeColor="text1"/>
          <w:sz w:val="16"/>
          <w:szCs w:val="16"/>
        </w:rPr>
        <w:softHyphen/>
        <w:t>ленная крыльчатка ПЦН, с весны того же года — чисто механический (вместо электромеханического) привод поворотных лопаток на входе в ПЦН. К АМ-35А были спроектированы три варианта редуктора с раз</w:t>
      </w:r>
      <w:r w:rsidRPr="00A3026E">
        <w:rPr>
          <w:rFonts w:ascii="Times New Roman" w:hAnsi="Times New Roman"/>
          <w:color w:val="000000" w:themeColor="text1"/>
          <w:sz w:val="16"/>
          <w:szCs w:val="16"/>
        </w:rPr>
        <w:softHyphen/>
        <w:t>ными передаточными отношениями. Первые серии шли с редуктором с отношением 0,9, с 5-й серии — с 0,732. В январе 1941 г. изготовили, а затем подвергли испытаниям три образца с беспоплавковыми карбю</w:t>
      </w:r>
      <w:r w:rsidRPr="00A3026E">
        <w:rPr>
          <w:rFonts w:ascii="Times New Roman" w:hAnsi="Times New Roman"/>
          <w:color w:val="000000" w:themeColor="text1"/>
          <w:sz w:val="16"/>
          <w:szCs w:val="16"/>
        </w:rPr>
        <w:softHyphen/>
        <w:t>раторами, который намеревались внедрить в серии. Однако этот вари</w:t>
      </w:r>
      <w:r w:rsidRPr="00A3026E">
        <w:rPr>
          <w:rFonts w:ascii="Times New Roman" w:hAnsi="Times New Roman"/>
          <w:color w:val="000000" w:themeColor="text1"/>
          <w:sz w:val="16"/>
          <w:szCs w:val="16"/>
        </w:rPr>
        <w:softHyphen/>
        <w:t>ант серийно не выпускался. Всего до конца 1943 г. изготовили около 4500 АМ-35А, из них 4034 — в 1941 г. (11852).</w:t>
      </w:r>
    </w:p>
    <w:p w14:paraId="00BC7A7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59B300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конца 1940 г. АМ-35А выпускался в больших количествах на заводе № 24 в Москве. Его планировали запустить в производство также на заводах № 19 и No 452, но это так и не было сделано. Мотор постепенно дорабатывался. В начале 1941 г. была введена усиленная крыльчатка ПЦН, с весны того же года внедрили чисто механический (вместо электромеханического) привод поворотных лопаток на входе в нагнетатель.</w:t>
      </w:r>
    </w:p>
    <w:p w14:paraId="432BA1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АМ-35А были спроектированы три варианта редуктора с разными передаточными отношениями. Первые серии шли с редуктором с отношением 0,9, с 5-й серии - с 0,732.</w:t>
      </w:r>
    </w:p>
    <w:p w14:paraId="7BF23E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Основным "потребителем" АМ-35А стал цельнометаллический истребитель-моноплан МиГ-3, в 1941 г. строившийся в больших количествах. К началу Великой Отечественной войны он являлся самым массовым из истребителей нового поколения в ВВС РККА. Некоторое количество моторов пошло также на тяжелые бомбардировщики ТБ-7 (Пе-8).</w:t>
      </w:r>
    </w:p>
    <w:p w14:paraId="17463B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Конструкторы готовили многочисленные модификации АМ-35А. В январе 1941 г. изготовили, а затем подвергли испытаниям три образца с беспоплавковыми карбюраторами, которые намеревались внедрить в серии. Однако этот вариант серийно не выпускался. АМ-35АНВ - это АМ-35А с непосредственным впрыском топлива. Опытный образец его изготовили летом 1941 г., но не испытывали в связи с эвакуацией. Работы по этой модификации официально прекратили в начале 1942 г. Очень оригинален был АМ-35А-ТР, вариант с турбореакторами Ефремова, использовавшими тепло от выхлопа и радиаторов для создания реактивного эффекта.</w:t>
      </w:r>
    </w:p>
    <w:p w14:paraId="7C76A9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Максимальная мощность у него должна была дойти до 1650 л.е., но этот двигатель остался только проектом.</w:t>
      </w:r>
    </w:p>
    <w:p w14:paraId="6F5268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Распоряжение о прекращении производства АМ-35А поступило в конце 1941 г., после эвакуации завода No 24 в Куйбышев (Самару). Его прекратили делать, чтобы высвободить производственные мощности для наращивания выпуска родственного ему мотора АМ-38, описанного далее. Фактически же в небольших количествах АМ-35А собирали до конца 1944 г. Всего было изготовлено 4659 экземпляров. Из них 4034 мотора сделали в 1941 г., к концу 1943 г. к ним добавились еще примерно 450 штук. Последние серии АМ-35А изготовлялись уже с использованием узлов двигателя АМ-38Ф (11934).</w:t>
      </w:r>
    </w:p>
    <w:p w14:paraId="4771639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405D1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работы по М-81 прекратили, отдав приоритет М-82.</w:t>
      </w:r>
    </w:p>
    <w:p w14:paraId="4E31A09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Характеристики:</w:t>
      </w:r>
    </w:p>
    <w:p w14:paraId="60EB66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14-цилиндровый двухрядный звездообразный, воздушного охлаждения, редукторный, с одноступенчатым двухскоростным ПЦН;</w:t>
      </w:r>
    </w:p>
    <w:p w14:paraId="41B6D1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мощность 1300/1600 л.с. (по проекту 1280/1500 л.с.);</w:t>
      </w:r>
    </w:p>
    <w:p w14:paraId="1D8A07E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диаметр цилиндра/ход поршня 155,5/174,5 мм;</w:t>
      </w:r>
    </w:p>
    <w:p w14:paraId="535D976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объем 46,34 л;</w:t>
      </w:r>
    </w:p>
    <w:p w14:paraId="4885777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степень сжатия 7,2;</w:t>
      </w:r>
    </w:p>
    <w:p w14:paraId="434533E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вес 914 кг (с дефлекторами 935 кг).</w:t>
      </w:r>
    </w:p>
    <w:p w14:paraId="50E3E6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М-81 устанавливался на опытные образцы самолетов ДБ-ЗФ и И-185 (11852).</w:t>
      </w:r>
    </w:p>
    <w:p w14:paraId="521B0D4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72DA75AD" w14:textId="77777777" w:rsidR="00A616D9" w:rsidRPr="00A3026E" w:rsidRDefault="00A616D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ввиду срыва всех плановых сроков завод № 19 посетила специальная комиссия наркомата, которая только констатировала сложившееся положение дел. Для анализа ситуации в январе 1941 г. на предприятии созвали собрание партхозактива (19534).</w:t>
      </w:r>
    </w:p>
    <w:p w14:paraId="41E14FDB" w14:textId="77777777" w:rsidR="00A616D9" w:rsidRPr="00A3026E" w:rsidRDefault="00A616D9" w:rsidP="00A3026E">
      <w:pPr>
        <w:spacing w:after="0" w:line="240" w:lineRule="auto"/>
        <w:jc w:val="both"/>
        <w:rPr>
          <w:rFonts w:ascii="Times New Roman" w:hAnsi="Times New Roman"/>
          <w:color w:val="000000" w:themeColor="text1"/>
          <w:sz w:val="16"/>
          <w:szCs w:val="16"/>
        </w:rPr>
      </w:pPr>
    </w:p>
    <w:p w14:paraId="7BC14E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дизель М-40Ф В.Яковлева прошел гос. испытания. Хотя уже летом 1940 при испытаниях на БОК-15 выявилось, что мотор отключается на большой высоте, заказали серию в 60 на Кировском заводе (1221,15).</w:t>
      </w:r>
    </w:p>
    <w:p w14:paraId="41EDDC2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D2348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в ЦИАМ закончили один М-300 и в 1941 г. начали стендовые испытания. В 1940 г. в мастерских ЦИАМ начали изготовление двух опытных экземпляров М-300, позже еще одного. М-300 - последний двигатель ЦИАМ, проектировавшийся под руководством А.А. Бессонова в 1939-1940 гг. Имел схему звезды блоков — шесть блоков по шесть цилиндров с непосредственным впрыском. На испытаниях разрушился шатун. Второй экземпляр завершен не был. Работы по М-300 прекратили при эвакуации. В начале 1942 г. двигатель официально исключили из плана работ ЦИАМ.</w:t>
      </w:r>
    </w:p>
    <w:p w14:paraId="2D9918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Характеристики:</w:t>
      </w:r>
    </w:p>
    <w:p w14:paraId="6547E38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36-цилиндровый, блочный звездообразный (шесть блоков по шесть цилиндров), жидкостного охлаждения, четырехтактный, с непосред</w:t>
      </w:r>
      <w:r w:rsidRPr="00A3026E">
        <w:rPr>
          <w:rFonts w:ascii="Times New Roman" w:hAnsi="Times New Roman"/>
          <w:color w:val="000000" w:themeColor="text1"/>
          <w:sz w:val="16"/>
          <w:szCs w:val="16"/>
        </w:rPr>
        <w:softHyphen/>
        <w:t>ственным впрыском топлива;</w:t>
      </w:r>
    </w:p>
    <w:p w14:paraId="11F079A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объем 88,5 л;</w:t>
      </w:r>
    </w:p>
    <w:p w14:paraId="5178AE3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диаметр цилиндра/ход поршня 140/160 мм;</w:t>
      </w:r>
    </w:p>
    <w:p w14:paraId="1DBFB7E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мощность 3000/3500 л.с.;</w:t>
      </w:r>
    </w:p>
    <w:p w14:paraId="5EFE65B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вес 1600 кг (по другим данным, 1626 кг).</w:t>
      </w:r>
    </w:p>
    <w:p w14:paraId="6092018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Данных о проектах установки М-300 на какой-либо самолет нет (11852).</w:t>
      </w:r>
    </w:p>
    <w:p w14:paraId="5C51EAF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4DAFEB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наркома, директора завода № 26 и главного конструктора вызвали в Кремль, к Сталину. Сталин, как обычно, был в сером кителе, в брюках, заправленных в сапоги. Приглашенных усадили за длинный стол с массивной пепельницей и телефонами, Сам бесшумным шагом ходил по кабинету. Говорил негромко, но твердо, а порой и властно, трубкой в полусогнутой руке подчеркивал наиболее важное и существенное из того, о чем шла речь. Больше всего И. В. Сталин интересовался моторами М-105 и М-107, их параметрами, возможностями. Он раскрыл красную записную книжку, в которой, видимо, содержались сведения о зарубежной технике и о наших новых моторах, и сказал: «Было бы у нас больше таких моторов, мы бы с этой сволочью разговаривали по-другому». Месяца за три до начала войны директору Верхневолжского завода позвонили из наркомата: на завод едет немецкая делегация. Ее не хотели пускать, но «гости» настаивали.</w:t>
      </w:r>
    </w:p>
    <w:p w14:paraId="70F540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в Германии находилась советская делегация. Членам делегации В. П. Баландину, А. С. Яковлеву и другим нашим специалистам немцы показали некоторые авиационные заводы. Делалось это с расчетом поразить советских людей своими достижениями, устрашить мощью своей техники.</w:t>
      </w:r>
    </w:p>
    <w:p w14:paraId="0BBD4C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вот теперь немцам показали московские заводы, но «гости» настаивали, чтобы их отвезли на волжский завод, ссылались на то, что сами-де они ничего не скрывали от советских специалистов. Во избежание дипломатических осложнений пришлось уступить.</w:t>
      </w:r>
    </w:p>
    <w:p w14:paraId="7833BA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Немцы хорошо знали завод. Их рабочие, мастера, инженеры и другие специалисты длительное время работали в заводских цехах тогда, когда СССР закупил лицензию на крупповский мотор БМВ-6. Модернизированный нашими специалистами, он выпускался под маркой М-17. Немцам не терпелось узнать, как все это выглядит теперь, в канун уже подготовленной ими войны.</w:t>
      </w:r>
    </w:p>
    <w:p w14:paraId="7386B4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Осмотр завода они начали с центральной лаборатории. Оттуда направились в механические и горячие цеха, затем им показали сборку. Незваные гости увидели современное оснащение и оборудование, современную технологию. Их многое удивило. Больше всего интересовал сборочный цех. Они подолгу стояли у конвейера и не могли скрыть изумления: на немецких заводах конвейера на сборке моторов еще не было.</w:t>
      </w:r>
    </w:p>
    <w:p w14:paraId="11B5C1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Особое их внимание привлек мотор М-105. Самолет с таким мотором мог стрелять из пушки через полый вал редуктора. В честь немецкой делегации дали обед. К удивлению хозяев, немцы неожиданно заговорили по-русски. Они безмерно похвалялись мощью фашистской Германии.</w:t>
      </w:r>
    </w:p>
    <w:p w14:paraId="04BC96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Труженики завода проводили их с недобрым чувством. Черные гости! (11882).</w:t>
      </w:r>
    </w:p>
    <w:p w14:paraId="51E6608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E10EA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НИИ ВВС решил в 1941 направить на Памир экспедицию для испытания двигателей. Работы велись с 1935 в 1937 и 1939 в районе перевала Ак-Байтал на 4500 м на шоссе Ош-Хорог. Испытывали двигатели М-25, АМ-34Н, М-85, М-100 и дизели и был подготовлен соответствующий отчет. Установка была смонтирована на базе ЗИС-6. Начальником назначили С.И.Жабина, но экспедиция не состоялась (172,72).</w:t>
      </w:r>
    </w:p>
    <w:p w14:paraId="3A045F6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4CC9C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был подготовлен план производства авиамоторов на 1941.</w:t>
      </w:r>
    </w:p>
    <w:p w14:paraId="48AC23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Важную информацию о приоритетах авиамоторостроения даёт анализ плана производства моторов на 1941 г.</w:t>
      </w:r>
    </w:p>
    <w:p w14:paraId="0ED63B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Баланс моторов на 1941 г. (план) (РГАЭ. Ф. 8044. </w:t>
      </w:r>
      <w:r w:rsidRPr="00A3026E">
        <w:rPr>
          <w:rFonts w:ascii="Times New Roman" w:hAnsi="Times New Roman"/>
          <w:color w:val="000000" w:themeColor="text1"/>
          <w:sz w:val="16"/>
          <w:szCs w:val="16"/>
          <w:lang w:val="en-US"/>
        </w:rPr>
        <w:t xml:space="preserve">On. </w:t>
      </w:r>
      <w:r w:rsidRPr="00A3026E">
        <w:rPr>
          <w:rFonts w:ascii="Times New Roman" w:hAnsi="Times New Roman"/>
          <w:color w:val="000000" w:themeColor="text1"/>
          <w:sz w:val="16"/>
          <w:szCs w:val="16"/>
        </w:rPr>
        <w:t>1. Д. 408. Л. 25)</w:t>
      </w:r>
    </w:p>
    <w:tbl>
      <w:tblPr>
        <w:tblW w:w="0" w:type="auto"/>
        <w:tblInd w:w="8" w:type="dxa"/>
        <w:tblLayout w:type="fixed"/>
        <w:tblCellMar>
          <w:left w:w="0" w:type="dxa"/>
          <w:right w:w="0" w:type="dxa"/>
        </w:tblCellMar>
        <w:tblLook w:val="0000" w:firstRow="0" w:lastRow="0" w:firstColumn="0" w:lastColumn="0" w:noHBand="0" w:noVBand="0"/>
      </w:tblPr>
      <w:tblGrid>
        <w:gridCol w:w="826"/>
        <w:gridCol w:w="912"/>
        <w:gridCol w:w="557"/>
        <w:gridCol w:w="802"/>
        <w:gridCol w:w="773"/>
        <w:gridCol w:w="1008"/>
        <w:gridCol w:w="1051"/>
      </w:tblGrid>
      <w:tr w:rsidR="00983732" w:rsidRPr="00A3026E" w14:paraId="531A7471" w14:textId="77777777" w:rsidTr="00EA0DA7">
        <w:trPr>
          <w:trHeight w:val="235"/>
        </w:trPr>
        <w:tc>
          <w:tcPr>
            <w:tcW w:w="826" w:type="dxa"/>
            <w:tcBorders>
              <w:top w:val="single" w:sz="6" w:space="0" w:color="auto"/>
              <w:left w:val="single" w:sz="6" w:space="0" w:color="auto"/>
              <w:bottom w:val="nil"/>
              <w:right w:val="single" w:sz="6" w:space="0" w:color="auto"/>
            </w:tcBorders>
            <w:shd w:val="clear" w:color="auto" w:fill="FFFFFF"/>
          </w:tcPr>
          <w:p w14:paraId="4BC0C8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Твпютора</w:t>
            </w:r>
          </w:p>
        </w:tc>
        <w:tc>
          <w:tcPr>
            <w:tcW w:w="912" w:type="dxa"/>
            <w:tcBorders>
              <w:top w:val="single" w:sz="6" w:space="0" w:color="auto"/>
              <w:left w:val="single" w:sz="6" w:space="0" w:color="auto"/>
              <w:bottom w:val="nil"/>
              <w:right w:val="single" w:sz="6" w:space="0" w:color="auto"/>
            </w:tcBorders>
            <w:shd w:val="clear" w:color="auto" w:fill="FFFFFF"/>
          </w:tcPr>
          <w:p w14:paraId="3DE1ED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Предприятие-изготовитель</w:t>
            </w:r>
          </w:p>
        </w:tc>
        <w:tc>
          <w:tcPr>
            <w:tcW w:w="557" w:type="dxa"/>
            <w:tcBorders>
              <w:top w:val="single" w:sz="6" w:space="0" w:color="auto"/>
              <w:left w:val="single" w:sz="6" w:space="0" w:color="auto"/>
              <w:bottom w:val="nil"/>
              <w:right w:val="single" w:sz="6" w:space="0" w:color="auto"/>
            </w:tcBorders>
            <w:shd w:val="clear" w:color="auto" w:fill="FFFFFF"/>
          </w:tcPr>
          <w:p w14:paraId="1F5C59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выпуска</w:t>
            </w:r>
          </w:p>
        </w:tc>
        <w:tc>
          <w:tcPr>
            <w:tcW w:w="1575" w:type="dxa"/>
            <w:gridSpan w:val="2"/>
            <w:tcBorders>
              <w:top w:val="single" w:sz="6" w:space="0" w:color="auto"/>
              <w:left w:val="single" w:sz="6" w:space="0" w:color="auto"/>
              <w:bottom w:val="single" w:sz="6" w:space="0" w:color="auto"/>
              <w:right w:val="single" w:sz="6" w:space="0" w:color="auto"/>
            </w:tcBorders>
            <w:shd w:val="clear" w:color="auto" w:fill="FFFFFF"/>
          </w:tcPr>
          <w:p w14:paraId="34D839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Потребность авиазаводов</w:t>
            </w:r>
          </w:p>
        </w:tc>
        <w:tc>
          <w:tcPr>
            <w:tcW w:w="1008" w:type="dxa"/>
            <w:tcBorders>
              <w:top w:val="single" w:sz="6" w:space="0" w:color="auto"/>
              <w:left w:val="single" w:sz="6" w:space="0" w:color="auto"/>
              <w:bottom w:val="nil"/>
              <w:right w:val="single" w:sz="6" w:space="0" w:color="auto"/>
            </w:tcBorders>
            <w:shd w:val="clear" w:color="auto" w:fill="FFFFFF"/>
          </w:tcPr>
          <w:p w14:paraId="661265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Планируемый остаток</w:t>
            </w:r>
          </w:p>
        </w:tc>
        <w:tc>
          <w:tcPr>
            <w:tcW w:w="1051" w:type="dxa"/>
            <w:tcBorders>
              <w:top w:val="single" w:sz="6" w:space="0" w:color="auto"/>
              <w:left w:val="single" w:sz="6" w:space="0" w:color="auto"/>
              <w:bottom w:val="nil"/>
              <w:right w:val="single" w:sz="6" w:space="0" w:color="auto"/>
            </w:tcBorders>
            <w:shd w:val="clear" w:color="auto" w:fill="FFFFFF"/>
          </w:tcPr>
          <w:p w14:paraId="6AC999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Произведено реально</w:t>
            </w:r>
          </w:p>
        </w:tc>
      </w:tr>
      <w:tr w:rsidR="00983732" w:rsidRPr="00A3026E" w14:paraId="7460C46B" w14:textId="77777777" w:rsidTr="00EA0DA7">
        <w:trPr>
          <w:trHeight w:val="226"/>
        </w:trPr>
        <w:tc>
          <w:tcPr>
            <w:tcW w:w="826" w:type="dxa"/>
            <w:tcBorders>
              <w:top w:val="nil"/>
              <w:left w:val="single" w:sz="6" w:space="0" w:color="auto"/>
              <w:bottom w:val="single" w:sz="6" w:space="0" w:color="auto"/>
              <w:right w:val="single" w:sz="6" w:space="0" w:color="auto"/>
            </w:tcBorders>
            <w:shd w:val="clear" w:color="auto" w:fill="FFFFFF"/>
          </w:tcPr>
          <w:p w14:paraId="38F1FC2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912" w:type="dxa"/>
            <w:tcBorders>
              <w:top w:val="nil"/>
              <w:left w:val="single" w:sz="6" w:space="0" w:color="auto"/>
              <w:bottom w:val="single" w:sz="6" w:space="0" w:color="auto"/>
              <w:right w:val="single" w:sz="6" w:space="0" w:color="auto"/>
            </w:tcBorders>
            <w:shd w:val="clear" w:color="auto" w:fill="FFFFFF"/>
          </w:tcPr>
          <w:p w14:paraId="36641E1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57" w:type="dxa"/>
            <w:tcBorders>
              <w:top w:val="nil"/>
              <w:left w:val="single" w:sz="6" w:space="0" w:color="auto"/>
              <w:bottom w:val="single" w:sz="6" w:space="0" w:color="auto"/>
              <w:right w:val="single" w:sz="6" w:space="0" w:color="auto"/>
            </w:tcBorders>
            <w:shd w:val="clear" w:color="auto" w:fill="FFFFFF"/>
          </w:tcPr>
          <w:p w14:paraId="39E4419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04B4E5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выпуск</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2AD210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задел</w:t>
            </w:r>
          </w:p>
        </w:tc>
        <w:tc>
          <w:tcPr>
            <w:tcW w:w="1008" w:type="dxa"/>
            <w:tcBorders>
              <w:top w:val="nil"/>
              <w:left w:val="single" w:sz="6" w:space="0" w:color="auto"/>
              <w:bottom w:val="single" w:sz="6" w:space="0" w:color="auto"/>
              <w:right w:val="single" w:sz="6" w:space="0" w:color="auto"/>
            </w:tcBorders>
            <w:shd w:val="clear" w:color="auto" w:fill="FFFFFF"/>
          </w:tcPr>
          <w:p w14:paraId="57C104F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051" w:type="dxa"/>
            <w:tcBorders>
              <w:top w:val="nil"/>
              <w:left w:val="single" w:sz="6" w:space="0" w:color="auto"/>
              <w:bottom w:val="single" w:sz="6" w:space="0" w:color="auto"/>
              <w:right w:val="single" w:sz="6" w:space="0" w:color="auto"/>
            </w:tcBorders>
            <w:shd w:val="clear" w:color="auto" w:fill="FFFFFF"/>
          </w:tcPr>
          <w:p w14:paraId="22E98A0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02B2F73" w14:textId="77777777" w:rsidTr="00EA0DA7">
        <w:trPr>
          <w:trHeight w:val="221"/>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3F5C3E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50D951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24,452</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3C07AD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7050</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0D96F2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4170</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72F1F3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540</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4722851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2340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258B5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6357»</w:t>
            </w:r>
          </w:p>
        </w:tc>
      </w:tr>
      <w:tr w:rsidR="00983732" w:rsidRPr="00A3026E" w14:paraId="5A7F6E94" w14:textId="77777777" w:rsidTr="00EA0DA7">
        <w:trPr>
          <w:trHeight w:val="413"/>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43C840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74519E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19,26,27,16, 234,384, ГАЗ</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7A3BD8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21000</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64EC40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13270</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566983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1490</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28F35F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6240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B95BC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11466</w:t>
            </w:r>
          </w:p>
        </w:tc>
      </w:tr>
      <w:tr w:rsidR="00983732" w:rsidRPr="00A3026E" w14:paraId="6B0FD50B" w14:textId="77777777" w:rsidTr="00EA0DA7">
        <w:trPr>
          <w:trHeight w:val="413"/>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65C200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5E9DEF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6C05A6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2FC5CF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52BF5E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планировалось</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128605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A97C2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1889"</w:t>
            </w:r>
          </w:p>
        </w:tc>
      </w:tr>
      <w:tr w:rsidR="00983732" w:rsidRPr="00A3026E" w14:paraId="5779FEF5" w14:textId="77777777" w:rsidTr="00EA0DA7">
        <w:trPr>
          <w:trHeight w:val="226"/>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596CF2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М-88 (89)</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43AC24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3DFF38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5000"</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03286A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1850</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408430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2A38D4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12B5C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3028'</w:t>
            </w:r>
          </w:p>
        </w:tc>
      </w:tr>
      <w:tr w:rsidR="00983732" w:rsidRPr="00A3026E" w14:paraId="7B15F603" w14:textId="77777777" w:rsidTr="00EA0DA7">
        <w:trPr>
          <w:trHeight w:val="221"/>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7E36D3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М-62ИР</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1869F3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33A828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553965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15F5CA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1155A7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DF92B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981</w:t>
            </w:r>
          </w:p>
        </w:tc>
      </w:tr>
      <w:tr w:rsidR="00983732" w:rsidRPr="00A3026E" w14:paraId="46153EEF" w14:textId="77777777" w:rsidTr="00EA0DA7">
        <w:trPr>
          <w:trHeight w:val="408"/>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148BBA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М-30 (40)</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4F84E3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 ХТЗ, Ки</w:t>
            </w:r>
            <w:r w:rsidRPr="00A3026E">
              <w:rPr>
                <w:rFonts w:ascii="Times New Roman" w:hAnsi="Times New Roman"/>
                <w:color w:val="000000" w:themeColor="text1"/>
                <w:sz w:val="16"/>
                <w:szCs w:val="16"/>
              </w:rPr>
              <w:softHyphen/>
              <w:t>ровский завод</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380734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2600"</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077BB6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3150</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301D98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7A77B5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w:t>
            </w:r>
            <w:r w:rsidRPr="00A3026E">
              <w:rPr>
                <w:rFonts w:ascii="Times New Roman" w:hAnsi="Times New Roman"/>
                <w:color w:val="000000" w:themeColor="text1"/>
                <w:sz w:val="16"/>
                <w:szCs w:val="16"/>
                <w:vertAlign w:val="superscript"/>
              </w:rPr>
              <w:t>й</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D69FC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w:t>
            </w:r>
          </w:p>
        </w:tc>
      </w:tr>
      <w:tr w:rsidR="00983732" w:rsidRPr="00A3026E" w14:paraId="49E711F9" w14:textId="77777777" w:rsidTr="00EA0DA7">
        <w:trPr>
          <w:trHeight w:val="605"/>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381C42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Итого мото</w:t>
            </w:r>
            <w:r w:rsidRPr="00A3026E">
              <w:rPr>
                <w:rFonts w:ascii="Times New Roman" w:hAnsi="Times New Roman"/>
                <w:color w:val="000000" w:themeColor="text1"/>
                <w:sz w:val="16"/>
                <w:szCs w:val="16"/>
              </w:rPr>
              <w:softHyphen/>
              <w:t>рок боевьш саммбгш</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2F32BC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4877203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37550</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1D1BDF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23440</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515580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2580</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583651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11530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6CF4D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23754</w:t>
            </w:r>
          </w:p>
        </w:tc>
      </w:tr>
      <w:tr w:rsidR="00983732" w:rsidRPr="00A3026E" w14:paraId="7A2D53DE" w14:textId="77777777" w:rsidTr="00EA0DA7">
        <w:trPr>
          <w:trHeight w:val="413"/>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40A959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3BC8ED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2644B7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1600</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352E84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54A781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нешинкро- ваяось</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391599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CA392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2068</w:t>
            </w:r>
          </w:p>
        </w:tc>
      </w:tr>
      <w:tr w:rsidR="00983732" w:rsidRPr="00A3026E" w14:paraId="14FBD30E" w14:textId="77777777" w:rsidTr="00EA0DA7">
        <w:trPr>
          <w:trHeight w:val="240"/>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37F770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М-11</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2AA673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филиал 19</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4EB7FB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 свед.</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034737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 свед.</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5E25B2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 свед.</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67370B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 свед.</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45C7971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2269</w:t>
            </w:r>
          </w:p>
        </w:tc>
      </w:tr>
    </w:tbl>
    <w:p w14:paraId="1BDC6C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того—в программе завода № 24 350 моторов ГАМ-34БС.</w:t>
      </w:r>
    </w:p>
    <w:p w14:paraId="722AB9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 том числе 2106 АМ-38 и 217 ГАМ-34.</w:t>
      </w:r>
    </w:p>
    <w:p w14:paraId="6C2B3B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vertAlign w:val="superscript"/>
        </w:rPr>
        <w:t>ш</w:t>
      </w:r>
      <w:r w:rsidRPr="00A3026E">
        <w:rPr>
          <w:rFonts w:ascii="Times New Roman" w:hAnsi="Times New Roman"/>
          <w:color w:val="000000" w:themeColor="text1"/>
          <w:sz w:val="16"/>
          <w:szCs w:val="16"/>
        </w:rPr>
        <w:t xml:space="preserve"> В том числе 412 М-82.</w:t>
      </w:r>
    </w:p>
    <w:p w14:paraId="51A4A9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 1000 М-89.</w:t>
      </w:r>
    </w:p>
    <w:p w14:paraId="34FC564F" w14:textId="77777777" w:rsidR="0014077F" w:rsidRPr="00A3026E" w:rsidRDefault="0014077F" w:rsidP="00A3026E">
      <w:pPr>
        <w:tabs>
          <w:tab w:val="left" w:pos="366"/>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 107 моторов М-89.</w:t>
      </w:r>
    </w:p>
    <w:p w14:paraId="4F87D86F" w14:textId="77777777" w:rsidR="0014077F" w:rsidRPr="00A3026E" w:rsidRDefault="0014077F" w:rsidP="00A3026E">
      <w:pPr>
        <w:tabs>
          <w:tab w:val="left" w:pos="395"/>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 350 М-30, предписанные к производству на заводе № 82.</w:t>
      </w:r>
    </w:p>
    <w:p w14:paraId="2986FB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авиадизелям М-30 и М-40 был предусмотрен дефицит.</w:t>
      </w:r>
    </w:p>
    <w:p w14:paraId="3A7CB3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рассмотрении этой таблицы становится видно, что в 1941 г. предполагалось форсированное производство </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-10</w:t>
      </w:r>
      <w:r w:rsidRPr="00A3026E">
        <w:rPr>
          <w:rFonts w:ascii="Times New Roman" w:hAnsi="Times New Roman"/>
          <w:color w:val="000000" w:themeColor="text1"/>
          <w:sz w:val="16"/>
          <w:szCs w:val="16"/>
          <w:lang w:val="en-US"/>
        </w:rPr>
        <w:t>S</w:t>
      </w:r>
      <w:r w:rsidRPr="00A3026E">
        <w:rPr>
          <w:rFonts w:ascii="Times New Roman" w:hAnsi="Times New Roman"/>
          <w:color w:val="000000" w:themeColor="text1"/>
          <w:sz w:val="16"/>
          <w:szCs w:val="16"/>
        </w:rPr>
        <w:t>, который должен был составить свыше половины всех про</w:t>
      </w:r>
      <w:r w:rsidRPr="00A3026E">
        <w:rPr>
          <w:rFonts w:ascii="Times New Roman" w:hAnsi="Times New Roman"/>
          <w:color w:val="000000" w:themeColor="text1"/>
          <w:sz w:val="16"/>
          <w:szCs w:val="16"/>
        </w:rPr>
        <w:softHyphen/>
        <w:t>изведенных моторов. Обращает на себя внимание, что кро</w:t>
      </w:r>
      <w:r w:rsidRPr="00A3026E">
        <w:rPr>
          <w:rFonts w:ascii="Times New Roman" w:hAnsi="Times New Roman"/>
          <w:color w:val="000000" w:themeColor="text1"/>
          <w:sz w:val="16"/>
          <w:szCs w:val="16"/>
        </w:rPr>
        <w:softHyphen/>
        <w:t xml:space="preserve">ме </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-10</w:t>
      </w:r>
      <w:r w:rsidRPr="00A3026E">
        <w:rPr>
          <w:rFonts w:ascii="Times New Roman" w:hAnsi="Times New Roman"/>
          <w:color w:val="000000" w:themeColor="text1"/>
          <w:sz w:val="16"/>
          <w:szCs w:val="16"/>
          <w:lang w:val="en-US"/>
        </w:rPr>
        <w:t>S</w:t>
      </w:r>
      <w:r w:rsidRPr="00A3026E">
        <w:rPr>
          <w:rFonts w:ascii="Times New Roman" w:hAnsi="Times New Roman"/>
          <w:color w:val="000000" w:themeColor="text1"/>
          <w:sz w:val="16"/>
          <w:szCs w:val="16"/>
        </w:rPr>
        <w:t xml:space="preserve"> и М-30, плановые задания по всем остальным двигателям были перевыполнены. Очевидно, рост выпуска М-105 предполагалось осуществить за счет сокращения от</w:t>
      </w:r>
      <w:r w:rsidRPr="00A3026E">
        <w:rPr>
          <w:rFonts w:ascii="Times New Roman" w:hAnsi="Times New Roman"/>
          <w:color w:val="000000" w:themeColor="text1"/>
          <w:sz w:val="16"/>
          <w:szCs w:val="16"/>
        </w:rPr>
        <w:softHyphen/>
        <w:t>пуска ресурсов для производства остальных моторов и пере</w:t>
      </w:r>
      <w:r w:rsidRPr="00A3026E">
        <w:rPr>
          <w:rFonts w:ascii="Times New Roman" w:hAnsi="Times New Roman"/>
          <w:color w:val="000000" w:themeColor="text1"/>
          <w:sz w:val="16"/>
          <w:szCs w:val="16"/>
        </w:rPr>
        <w:softHyphen/>
        <w:t>ключения мощностей моторных заводов на новую продук</w:t>
      </w:r>
      <w:r w:rsidRPr="00A3026E">
        <w:rPr>
          <w:rFonts w:ascii="Times New Roman" w:hAnsi="Times New Roman"/>
          <w:color w:val="000000" w:themeColor="text1"/>
          <w:sz w:val="16"/>
          <w:szCs w:val="16"/>
        </w:rPr>
        <w:softHyphen/>
        <w:t>цию.</w:t>
      </w:r>
    </w:p>
    <w:p w14:paraId="5CFE48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Ведущим в производстве авиадизеля М-30 являлся завод № 82. Этот небольшой завод, расположенный в Тушино (ГА РФ. Ф. 8007.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xml:space="preserve"> 1. Д. 25. Л. 158), пер</w:t>
      </w:r>
      <w:r w:rsidRPr="00A3026E">
        <w:rPr>
          <w:rFonts w:ascii="Times New Roman" w:hAnsi="Times New Roman"/>
          <w:color w:val="000000" w:themeColor="text1"/>
          <w:sz w:val="16"/>
          <w:szCs w:val="16"/>
        </w:rPr>
        <w:softHyphen/>
        <w:t>воначально принадлежал Аэрофлоту и выпускал запчасти для маломощного мотора М-11, но в 1938 г. его передали НКВД для организации выпуска авиадизилей. 26 января 1940 г. его передали уже в НКАП, но подрядчиком в строительстве пред</w:t>
      </w:r>
      <w:r w:rsidRPr="00A3026E">
        <w:rPr>
          <w:rFonts w:ascii="Times New Roman" w:hAnsi="Times New Roman"/>
          <w:color w:val="000000" w:themeColor="text1"/>
          <w:sz w:val="16"/>
          <w:szCs w:val="16"/>
        </w:rPr>
        <w:softHyphen/>
        <w:t xml:space="preserve">приятия выступал ГУЛАГ НКВД (ГА РФ. Ф. 8007.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xml:space="preserve"> 1. Д. 25.  Л. 92,103).12 мая 1940 г. заводу была определена предварительная программа выпуска: 1940 г. — 50 моторов, 1941 г. — 600, а в перспективе — 1000 авиади</w:t>
      </w:r>
      <w:r w:rsidRPr="00A3026E">
        <w:rPr>
          <w:rFonts w:ascii="Times New Roman" w:hAnsi="Times New Roman"/>
          <w:color w:val="000000" w:themeColor="text1"/>
          <w:sz w:val="16"/>
          <w:szCs w:val="16"/>
        </w:rPr>
        <w:softHyphen/>
        <w:t xml:space="preserve">зелей в год. Однако уже 23 июня 1940 г. было решено, что столь мощный (а значит, большой) завод в Москве уместить будет затруднительно, поэтому перспективную мощность предприятия было решено ограничить цифрой 200 моторов в год (ГА РФ. Ф. 8007.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xml:space="preserve"> 1. Д. 25. Л. 167). Впрочем, на 19 сентября 1940 г. еще ни один новый цех этого предприятия не был введён в эксплуатацию (ГА РФ. Ф. 8007.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xml:space="preserve"> 1. Д. 25. Л. 104.), поэтому запланированный дефицит авиадизелей не должен вызывать удивления (12011).</w:t>
      </w:r>
    </w:p>
    <w:p w14:paraId="222F658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F5609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 года ситуацию со снабжением алюминием и магнием удалось несколько улучшить, но плановые показатели всё равно не были достигнуты.</w:t>
      </w:r>
    </w:p>
    <w:p w14:paraId="72B206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Отгрузка алюминия и магния в 1У квартале 1940 г. (РГАЭ. ф. 8044. </w:t>
      </w:r>
      <w:r w:rsidRPr="00A3026E">
        <w:rPr>
          <w:rFonts w:ascii="Times New Roman" w:hAnsi="Times New Roman"/>
          <w:color w:val="000000" w:themeColor="text1"/>
          <w:sz w:val="16"/>
          <w:szCs w:val="16"/>
          <w:lang w:val="en-US"/>
        </w:rPr>
        <w:t xml:space="preserve">On. </w:t>
      </w:r>
      <w:r w:rsidRPr="00A3026E">
        <w:rPr>
          <w:rFonts w:ascii="Times New Roman" w:hAnsi="Times New Roman"/>
          <w:color w:val="000000" w:themeColor="text1"/>
          <w:sz w:val="16"/>
          <w:szCs w:val="16"/>
        </w:rPr>
        <w:t>1. Д. 408. Л59).</w:t>
      </w:r>
    </w:p>
    <w:tbl>
      <w:tblPr>
        <w:tblW w:w="0" w:type="auto"/>
        <w:tblInd w:w="8" w:type="dxa"/>
        <w:tblLayout w:type="fixed"/>
        <w:tblCellMar>
          <w:left w:w="0" w:type="dxa"/>
          <w:right w:w="0" w:type="dxa"/>
        </w:tblCellMar>
        <w:tblLook w:val="0000" w:firstRow="0" w:lastRow="0" w:firstColumn="0" w:lastColumn="0" w:noHBand="0" w:noVBand="0"/>
      </w:tblPr>
      <w:tblGrid>
        <w:gridCol w:w="1800"/>
        <w:gridCol w:w="1104"/>
        <w:gridCol w:w="1526"/>
        <w:gridCol w:w="1493"/>
      </w:tblGrid>
      <w:tr w:rsidR="00983732" w:rsidRPr="00A3026E" w14:paraId="6DD9C6E7" w14:textId="77777777" w:rsidTr="00EA0DA7">
        <w:trPr>
          <w:trHeight w:val="240"/>
        </w:trPr>
        <w:tc>
          <w:tcPr>
            <w:tcW w:w="1800" w:type="dxa"/>
            <w:tcBorders>
              <w:top w:val="single" w:sz="6" w:space="0" w:color="auto"/>
              <w:left w:val="single" w:sz="6" w:space="0" w:color="auto"/>
              <w:bottom w:val="single" w:sz="6" w:space="0" w:color="auto"/>
              <w:right w:val="single" w:sz="6" w:space="0" w:color="auto"/>
            </w:tcBorders>
            <w:shd w:val="clear" w:color="auto" w:fill="FFFFFF"/>
          </w:tcPr>
          <w:p w14:paraId="32A310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w:t>
            </w: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34B96A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Продукция</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4847FD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 4 квартала</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0CDBF8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выполнения</w:t>
            </w:r>
          </w:p>
        </w:tc>
      </w:tr>
      <w:tr w:rsidR="00983732" w:rsidRPr="00A3026E" w14:paraId="488C16D8" w14:textId="77777777" w:rsidTr="00EA0DA7">
        <w:trPr>
          <w:trHeight w:val="221"/>
        </w:trPr>
        <w:tc>
          <w:tcPr>
            <w:tcW w:w="1800" w:type="dxa"/>
            <w:tcBorders>
              <w:top w:val="single" w:sz="6" w:space="0" w:color="auto"/>
              <w:left w:val="single" w:sz="6" w:space="0" w:color="auto"/>
              <w:bottom w:val="single" w:sz="6" w:space="0" w:color="auto"/>
              <w:right w:val="single" w:sz="6" w:space="0" w:color="auto"/>
            </w:tcBorders>
            <w:shd w:val="clear" w:color="auto" w:fill="FFFFFF"/>
          </w:tcPr>
          <w:p w14:paraId="56B07B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Днепровский алюминиевый завод</w:t>
            </w: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4B89AF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алюминий</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7C1327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9307</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05EF4D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w:t>
            </w:r>
          </w:p>
        </w:tc>
      </w:tr>
      <w:tr w:rsidR="00983732" w:rsidRPr="00A3026E" w14:paraId="30B130E1" w14:textId="77777777" w:rsidTr="00EA0DA7">
        <w:trPr>
          <w:trHeight w:val="221"/>
        </w:trPr>
        <w:tc>
          <w:tcPr>
            <w:tcW w:w="1800" w:type="dxa"/>
            <w:tcBorders>
              <w:top w:val="single" w:sz="6" w:space="0" w:color="auto"/>
              <w:left w:val="single" w:sz="6" w:space="0" w:color="auto"/>
              <w:bottom w:val="single" w:sz="6" w:space="0" w:color="auto"/>
              <w:right w:val="single" w:sz="6" w:space="0" w:color="auto"/>
            </w:tcBorders>
            <w:shd w:val="clear" w:color="auto" w:fill="FFFFFF"/>
          </w:tcPr>
          <w:p w14:paraId="41552F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Волховский алюминиевый завод</w:t>
            </w: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7C05F2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алюминий</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0B310C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1015</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73A8E0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lang w:val="en-US"/>
              </w:rPr>
              <w:t>7</w:t>
            </w:r>
            <w:r w:rsidRPr="00A3026E">
              <w:rPr>
                <w:rFonts w:ascii="Times New Roman" w:hAnsi="Times New Roman"/>
                <w:color w:val="000000" w:themeColor="text1"/>
                <w:sz w:val="16"/>
                <w:szCs w:val="16"/>
              </w:rPr>
              <w:t>1,4</w:t>
            </w:r>
          </w:p>
        </w:tc>
      </w:tr>
      <w:tr w:rsidR="00983732" w:rsidRPr="00A3026E" w14:paraId="5B0627C6" w14:textId="77777777" w:rsidTr="00EA0DA7">
        <w:trPr>
          <w:trHeight w:val="221"/>
        </w:trPr>
        <w:tc>
          <w:tcPr>
            <w:tcW w:w="1800" w:type="dxa"/>
            <w:tcBorders>
              <w:top w:val="single" w:sz="6" w:space="0" w:color="auto"/>
              <w:left w:val="single" w:sz="6" w:space="0" w:color="auto"/>
              <w:bottom w:val="single" w:sz="6" w:space="0" w:color="auto"/>
              <w:right w:val="single" w:sz="6" w:space="0" w:color="auto"/>
            </w:tcBorders>
            <w:shd w:val="clear" w:color="auto" w:fill="FFFFFF"/>
          </w:tcPr>
          <w:p w14:paraId="18ACF1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Уральский алюминиевый</w:t>
            </w: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3DCC77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алюминий</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680B04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3035</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09C4B9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85,5</w:t>
            </w:r>
          </w:p>
        </w:tc>
      </w:tr>
      <w:tr w:rsidR="00983732" w:rsidRPr="00A3026E" w14:paraId="054DD70F" w14:textId="77777777" w:rsidTr="00EA0DA7">
        <w:trPr>
          <w:trHeight w:val="221"/>
        </w:trPr>
        <w:tc>
          <w:tcPr>
            <w:tcW w:w="1800" w:type="dxa"/>
            <w:tcBorders>
              <w:top w:val="single" w:sz="6" w:space="0" w:color="auto"/>
              <w:left w:val="single" w:sz="6" w:space="0" w:color="auto"/>
              <w:bottom w:val="single" w:sz="6" w:space="0" w:color="auto"/>
              <w:right w:val="single" w:sz="6" w:space="0" w:color="auto"/>
            </w:tcBorders>
            <w:shd w:val="clear" w:color="auto" w:fill="FFFFFF"/>
          </w:tcPr>
          <w:p w14:paraId="1630BE7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67084F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алюминий</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44E17A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13557</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1926EC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w:t>
            </w:r>
          </w:p>
        </w:tc>
      </w:tr>
      <w:tr w:rsidR="00983732" w:rsidRPr="00A3026E" w14:paraId="182FC7DF" w14:textId="77777777" w:rsidTr="00EA0DA7">
        <w:trPr>
          <w:trHeight w:val="226"/>
        </w:trPr>
        <w:tc>
          <w:tcPr>
            <w:tcW w:w="1800" w:type="dxa"/>
            <w:tcBorders>
              <w:top w:val="single" w:sz="6" w:space="0" w:color="auto"/>
              <w:left w:val="single" w:sz="6" w:space="0" w:color="auto"/>
              <w:bottom w:val="nil"/>
              <w:right w:val="single" w:sz="6" w:space="0" w:color="auto"/>
            </w:tcBorders>
            <w:shd w:val="clear" w:color="auto" w:fill="FFFFFF"/>
          </w:tcPr>
          <w:p w14:paraId="16401B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Днепровский магниевый</w:t>
            </w: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3462B7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магний</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4A3015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31B56D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91,5</w:t>
            </w:r>
          </w:p>
        </w:tc>
      </w:tr>
      <w:tr w:rsidR="00983732" w:rsidRPr="00A3026E" w14:paraId="40B36FEA" w14:textId="77777777" w:rsidTr="00EA0DA7">
        <w:trPr>
          <w:trHeight w:val="216"/>
        </w:trPr>
        <w:tc>
          <w:tcPr>
            <w:tcW w:w="1800" w:type="dxa"/>
            <w:tcBorders>
              <w:top w:val="nil"/>
              <w:left w:val="single" w:sz="6" w:space="0" w:color="auto"/>
              <w:bottom w:val="single" w:sz="6" w:space="0" w:color="auto"/>
              <w:right w:val="single" w:sz="6" w:space="0" w:color="auto"/>
            </w:tcBorders>
            <w:shd w:val="clear" w:color="auto" w:fill="FFFFFF"/>
          </w:tcPr>
          <w:p w14:paraId="7C136AC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0FF38F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сплав МА6</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0DE3B1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206</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731326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74,3</w:t>
            </w:r>
          </w:p>
        </w:tc>
      </w:tr>
      <w:tr w:rsidR="00983732" w:rsidRPr="00A3026E" w14:paraId="78A3273B" w14:textId="77777777" w:rsidTr="00EA0DA7">
        <w:trPr>
          <w:trHeight w:val="226"/>
        </w:trPr>
        <w:tc>
          <w:tcPr>
            <w:tcW w:w="1800" w:type="dxa"/>
            <w:tcBorders>
              <w:top w:val="single" w:sz="6" w:space="0" w:color="auto"/>
              <w:left w:val="single" w:sz="6" w:space="0" w:color="auto"/>
              <w:bottom w:val="nil"/>
              <w:right w:val="single" w:sz="6" w:space="0" w:color="auto"/>
            </w:tcBorders>
            <w:shd w:val="clear" w:color="auto" w:fill="FFFFFF"/>
          </w:tcPr>
          <w:p w14:paraId="3ED92B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w:t>
            </w: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2C635F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магний</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7B4C90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216</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4342E6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Щ</w:t>
            </w:r>
          </w:p>
        </w:tc>
      </w:tr>
      <w:tr w:rsidR="00983732" w:rsidRPr="00A3026E" w14:paraId="5931C8A4" w14:textId="77777777" w:rsidTr="00EA0DA7">
        <w:trPr>
          <w:trHeight w:val="245"/>
        </w:trPr>
        <w:tc>
          <w:tcPr>
            <w:tcW w:w="1800" w:type="dxa"/>
            <w:tcBorders>
              <w:top w:val="nil"/>
              <w:left w:val="single" w:sz="6" w:space="0" w:color="auto"/>
              <w:bottom w:val="single" w:sz="6" w:space="0" w:color="auto"/>
              <w:right w:val="single" w:sz="6" w:space="0" w:color="auto"/>
            </w:tcBorders>
            <w:shd w:val="clear" w:color="auto" w:fill="FFFFFF"/>
          </w:tcPr>
          <w:p w14:paraId="262507A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75A390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сплав МА6</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1EE66C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219</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08D472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w:t>
            </w:r>
          </w:p>
        </w:tc>
      </w:tr>
    </w:tbl>
    <w:p w14:paraId="65EB1F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Уже в 1940 г. было очевидно, что и в будущем году «алю</w:t>
      </w:r>
      <w:r w:rsidRPr="00A3026E">
        <w:rPr>
          <w:rFonts w:ascii="Times New Roman" w:hAnsi="Times New Roman"/>
          <w:color w:val="000000" w:themeColor="text1"/>
          <w:sz w:val="16"/>
          <w:szCs w:val="16"/>
        </w:rPr>
        <w:softHyphen/>
        <w:t>миниевый голод» останется важнейшим фактором экономи</w:t>
      </w:r>
      <w:r w:rsidRPr="00A3026E">
        <w:rPr>
          <w:rFonts w:ascii="Times New Roman" w:hAnsi="Times New Roman"/>
          <w:color w:val="000000" w:themeColor="text1"/>
          <w:sz w:val="16"/>
          <w:szCs w:val="16"/>
        </w:rPr>
        <w:softHyphen/>
        <w:t>ческой жизни СССР (12011).</w:t>
      </w:r>
    </w:p>
    <w:p w14:paraId="08172AB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BCF22A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года авиационная промышленность все же начала выпускать краски, позволявшие ввести по крайней мере три схемы камуфляжных окрасок. Однако аэролаки не полностью соответствовали требова</w:t>
      </w:r>
      <w:r w:rsidRPr="00A3026E">
        <w:rPr>
          <w:rFonts w:ascii="Times New Roman" w:hAnsi="Times New Roman"/>
          <w:color w:val="000000" w:themeColor="text1"/>
          <w:sz w:val="16"/>
          <w:szCs w:val="16"/>
        </w:rPr>
        <w:softHyphen/>
        <w:t>ниям маскировки. Они были дешифрируемы и, главное, при высыхании давали глянец. Такое глянцевое покрытие было более устойчиво к воздействию атмосферных условий из-за меньшей смачиваемости поверхности, но зато отблески сол</w:t>
      </w:r>
      <w:r w:rsidRPr="00A3026E">
        <w:rPr>
          <w:rFonts w:ascii="Times New Roman" w:hAnsi="Times New Roman"/>
          <w:color w:val="000000" w:themeColor="text1"/>
          <w:sz w:val="16"/>
          <w:szCs w:val="16"/>
        </w:rPr>
        <w:softHyphen/>
        <w:t>нечных лучей выделяли самолет на любом естественном фоне, и заботиться о хороших маскирующих цветах окрас</w:t>
      </w:r>
      <w:r w:rsidRPr="00A3026E">
        <w:rPr>
          <w:rFonts w:ascii="Times New Roman" w:hAnsi="Times New Roman"/>
          <w:color w:val="000000" w:themeColor="text1"/>
          <w:sz w:val="16"/>
          <w:szCs w:val="16"/>
        </w:rPr>
        <w:softHyphen/>
        <w:t>ки было бессмысленно (10745,320).</w:t>
      </w:r>
    </w:p>
    <w:p w14:paraId="5471F9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336C36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 авиапромышленность уже имела освоенные в производстве краски защитного, светло-зеленого и табачного (вероятно, коричневого) цветов, что позволяло ввести, по крайней мере, три схемы камуфляжа: защитный + светло-зеленый, защитный (или светло-зеленый) + табачный и защитный + светло-зе- леный + табачный. Однако, в документах нет даже упоминания об аэролаке A11 табачного цвета, не говоря уже о его применении (11989).</w:t>
      </w:r>
    </w:p>
    <w:p w14:paraId="596716A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2DC77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года завод № 153 находился в стадии завершения строительных работ второй очереди (9503).</w:t>
      </w:r>
    </w:p>
    <w:p w14:paraId="3EE3649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496E5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конце 1940 г. на завод № 293 с завода № 84 НКАП переведен В.Ф. Болховитинов, где возглавил собственное КБ. </w:t>
      </w:r>
    </w:p>
    <w:p w14:paraId="1BE2AD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велась постройка опытных самолетов ОКБ Болховитинова.</w:t>
      </w:r>
    </w:p>
    <w:p w14:paraId="622857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1072сс от 15.10.1941 г. завод № 293 эвакуирован в пос. Билимбай (60 км от Свердловска) на площадку филиала завода № 468 НКАП (литейный завод).</w:t>
      </w:r>
    </w:p>
    <w:p w14:paraId="40BE51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площадке эвакуированного завода в Химках в 1942 г. началось восстановление производства. По приказу № 239с от 30.03.1942 г. здесь образован Ремонтный завод в системе Главремуправления НКАП для ремонта трофейных самолетов. И.О. Директора А.И. Мамучашвили. Планировалось с 01.1942 г. наладить производство фюзеляжей «БИ».</w:t>
      </w:r>
    </w:p>
    <w:p w14:paraId="60590E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 постановлению ГОКО от 9.06.1942 г. и приказу № 433сс/ов от 11.06.1942 г. с Кировского завода на завод № 293 переведена группа А.М. Люльки (23 чел.) для продолжения работ по ТРД (на заводе- с 1.07.1942 г.). В 1943 г. Люлька переведен в ЦИАМ.СМ-3-4/97 Этим же приказом планировалось перевести на завод конструкторскую группу Л.С. Душкина (В.А. Штоколов, А.В. Палло и др.) из НИИ-3 НКБ, однако, это не было осуществлено.</w:t>
      </w:r>
    </w:p>
    <w:p w14:paraId="53966F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Действовал деревообделочный филиал завода в дер. Новая Лужа Химкинского р-на. По приказу № 58с от 30.01.1943 г. филиал со всеми сооружениями передан заводу № 301. </w:t>
      </w:r>
    </w:p>
    <w:p w14:paraId="4D4905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149сс от 28.02.1944 г. завод № 293 вошел в состав НИИ-1 НКАП, а по приказу № 370сс от 30.05.1944 г. стал его филиалом № 1 (начальник (01.1946 г.)- Нейман, начальник КБ- А.Я. Березняк). Продолжены работы по «БИ». Здесь же работала группа (ОКО) А.М. Исаева по ЖРД.</w:t>
      </w:r>
    </w:p>
    <w:p w14:paraId="0576B4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постановлением СМ № 1145-471сс от 31.05.1946 г. (о развитии работ по реактивной технике) и приказами № 361сс от 7.06.1946 г. и № 373с от 14.06.1946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36083D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 1.05.1948 г. завод передан из 7ГУ в 14ГУ. </w:t>
      </w:r>
    </w:p>
    <w:p w14:paraId="753490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1.04.1953 г. завод № 293 передан в подчинение КБ-1 ТГУ СМ (по приказу МАП № 229сс от 21.02.1953 г.) как опытная база. </w:t>
      </w:r>
    </w:p>
    <w:p w14:paraId="7C8D55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начала 1954 г. преобразован в опытную базу ОКБ-2 МАП П.Д. Грушина (с этого времени перестало существовать название "завод № 293").</w:t>
      </w:r>
    </w:p>
    <w:p w14:paraId="551D14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Работали: (-10.1940 г.)- И.А. Иванов (нач. сборочного цеха; затем- директор завода № 450), (09.1942 г.)- В.П. Мишин (ст. инженер по вооружению).</w:t>
      </w:r>
    </w:p>
    <w:p w14:paraId="57A1E1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(1940-44 г.)- В.Ф. Болховитинов, (1946-53 г.)- М.Р. Бисноват, (03.1952 г.)- Ф.П. Герасимов.</w:t>
      </w:r>
    </w:p>
    <w:p w14:paraId="7847CB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(1940-44 г.)- В.Ф. Болховитинов, (1946-53 г.)- М.Р. Бисноват.</w:t>
      </w:r>
    </w:p>
    <w:p w14:paraId="7552B1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по производству (09.1940 г.-)- А.И. Мамучашвили; по «БИ» (09.1942 г.)- И.Ф. Флоров; (06.1946 г.-)- В.Н. Елагин.</w:t>
      </w:r>
    </w:p>
    <w:p w14:paraId="008132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гл. конструктора по «БИ» (09.1942 г.)- И.Ф. Флоров.</w:t>
      </w:r>
    </w:p>
    <w:p w14:paraId="778320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(03.1941 г.-)- Л.А. Кац.</w:t>
      </w:r>
    </w:p>
    <w:p w14:paraId="7C8655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293 НКАП, МАП, опытный завод «Фотолет»</w:t>
      </w:r>
    </w:p>
    <w:p w14:paraId="487A37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Химки Московской обл.; пос. Билимбай Свердловской обл.; г. Химки/</w:t>
      </w:r>
    </w:p>
    <w:p w14:paraId="13A1D1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ОКБ-293 НКАП гл. конструктора В.Ф. Болховитинова</w:t>
      </w:r>
    </w:p>
    <w:p w14:paraId="41F372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Химки Московской обл.; г. Билимбай Свердловской обл.</w:t>
      </w:r>
    </w:p>
    <w:p w14:paraId="336BBD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образовании по приказу № 346с от 10.07.1940 г. Опытного завода № 293 на базе мастерских «Фотолет», сюда было переведено ОКБ-2 завода № 84 НКАП гл. конструктора В.Ф. Болховитинова и продолжило работу как ОКБ-293.</w:t>
      </w:r>
    </w:p>
    <w:p w14:paraId="4754DA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Разработаны самолеты ДБ-А, «С», «БИ». </w:t>
      </w:r>
    </w:p>
    <w:p w14:paraId="1D6012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соответствии с постановлением ГКО от 08.1941 г. ОКБ поручалось создать ракетный истребитель БИ в месячный срок. Работы по «БИ» вела конструкторская группа под руководством А.Я. Березняка (планер) и А.М. Исаева (двигатель). После расформирования в 07.1941 г. ОКБ-207 по приказу № 792сс от 3/4.08.1941 г. сюда перешла (в группу «БИ») группа конструкторов во главе с Боровковым и Флоровым. Боровков в 1943 г. перешел на завод № 21. </w:t>
      </w:r>
    </w:p>
    <w:p w14:paraId="09C259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17.10.1941 г. ОКБ эвакуировано вместе с заводом № 293 в г. Билимбай. </w:t>
      </w:r>
    </w:p>
    <w:p w14:paraId="7FFBC9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 время ВОВ в ОКБ-293 В.Ф. Болховитинова перевели ЭКБ-3 М.М. Бондарюка из НИИ ГВФ, оно подключилось к созданию ПВРД для «БИ». </w:t>
      </w:r>
    </w:p>
    <w:p w14:paraId="79622D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08.1941-04.1942 г. проводились работы по оборудованию Ер-2 ракетными стартовыми ускорителями, работы по установке мотора М-30 на ББ-С.</w:t>
      </w:r>
    </w:p>
    <w:p w14:paraId="4680F2A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149сс от 28.02.1944 г. ОКБ-293 вместе с ЭКБ-3 вошло в состав вновь образованного НИИ-1 НКАП (но Болховитинов до 1946 г. оставался гл. конструктором ОКБ). Флоров по приказу № 370сс от 30.05.1944 г. с 07.1944 г. назначен начальником сектора НИИ-1.</w:t>
      </w:r>
    </w:p>
    <w:p w14:paraId="5BE94E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(1940-46 г.)- В.Ф. Болховитинов (до этого- гл. конструктор ОКБ-2 завода № 84).</w:t>
      </w:r>
    </w:p>
    <w:p w14:paraId="207E04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бригад: механизмов (-1941-44 г.)- А.Я. Березняк; двигателей (-1941-44 г.)- А.М. Исаев.</w:t>
      </w:r>
    </w:p>
    <w:p w14:paraId="1D8133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Работали: (1942 г.)- Росляков (испытания БИ).</w:t>
      </w:r>
    </w:p>
    <w:p w14:paraId="00A431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 завода № 293 МАП, ОКБ-293 МАП гл. конструктора М.Р. Бисновата</w:t>
      </w:r>
    </w:p>
    <w:p w14:paraId="35FF23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Химки Московской обл.</w:t>
      </w:r>
    </w:p>
    <w:p w14:paraId="17F825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Специальное ОКБ образовано в соответствии с постановлением СМ № 1145-471сс от 31.05.1946 г. и приказом № 361сс от 7.06.1946 г. в системе 7ГУ МАП вместе с образованием завода № 293. </w:t>
      </w:r>
    </w:p>
    <w:p w14:paraId="25D37B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Работы по исследованию транс- и сверхзвуковых скоростей на летающих моделях ЛМ-6, ЛМ-9, ЛМ-15 (1946-48 г.). Спроектирован и построен экспериментальный самолет «5» (1947 г.). </w:t>
      </w:r>
    </w:p>
    <w:p w14:paraId="3D2BCF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1948 г. ОКБ перепрофилировано на создание реактивного управляемого вооружения, в связи с чем передано из 7ГУ в 14ГУ МАП. Разработка УРВП, УРВВ (на вооружение ни один образец не принят). В 1948-53 г. работы по самолету-снаряду «Шторм». В 1950-51 г. проведены летные испытания пилотируемого аналога «Шторма» Р-1 с носителем Пе-8. В начале 1950-х г. создана и испытана беспилотная летающая модель ЛМ-15 с ПВРД РД-550.</w:t>
      </w:r>
    </w:p>
    <w:p w14:paraId="54BD2F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постановлением СМ № 533-271сс от 19.02.1953 г. ОКБ ликвидировано, все работы в 03.1953 г. прекращены. По приказу № 229сс от 21.02.1953 г. ОКБ вместе с заводом со всеми площадями и заделом с 1.04.1953 г. переданы КБ-1 ТГУ СМ в качестве производственной базы, основная группа конструкторов во главе с зам. гл. конструктора И.И. Дракиным влилась в состав отдела № 32 КБ-1.</w:t>
      </w:r>
    </w:p>
    <w:p w14:paraId="78D1D3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Летом 1953 г. планировалось возобновить работы в прежнем составе на заводе № 293 под руководством Бисновата, но это не было осуществлено. Конструкторская группа М.Р. Бисновата в 1953-54 г. работала в Люберцах в ПКПК по изготовлению наземной аэродромной техники.</w:t>
      </w:r>
    </w:p>
    <w:p w14:paraId="24B719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(1946-53 г.)- М.Р. Бисноват.</w:t>
      </w:r>
    </w:p>
    <w:p w14:paraId="1F58DA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гл. конструктора (06.1946 г.-)- В.Н. Елагин, (1946-53 г.)- И.И. Дракин.</w:t>
      </w:r>
    </w:p>
    <w:p w14:paraId="2ED090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Работали: И.И. Архангельский, Е.С. Иоффинов.</w:t>
      </w:r>
    </w:p>
    <w:p w14:paraId="125387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Создано: УРВВ СНАРС-250 («250», тема И-64); ПКР «15ХН» «Шторм» (10776).</w:t>
      </w:r>
    </w:p>
    <w:p w14:paraId="298C5D9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8EF5F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завод № 82 был передан из НКВД в НКАП как опытный завод 8-го гл. управления. 26 июня 1941 года завод № 82 был эвакуирован в Казань.</w:t>
      </w:r>
    </w:p>
    <w:p w14:paraId="623225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кадры и имущество завода 3 82 были переданы заводу № 27.</w:t>
      </w:r>
    </w:p>
    <w:p w14:paraId="38CAFC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НКАП от 1 ноября 1941 года за № 1091сс завод № 82 был выделен из системы завода № 87 в самостоятельную единицу и директором назначен Дубов.</w:t>
      </w:r>
    </w:p>
    <w:p w14:paraId="5E5729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50E026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422991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4FD27E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593BF0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6B8274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Адрес: Тушино. Производственный профиль – авиамоторный (9861).</w:t>
      </w:r>
    </w:p>
    <w:p w14:paraId="06AF337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A555B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директором завода № 29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079B9B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77B67A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2E7D89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211F23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42B214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44D72C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Омск, Б. Хмельницкого – 281, п/я 64</w:t>
      </w:r>
    </w:p>
    <w:p w14:paraId="0DE5C3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4286D41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9831F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начал строиться Завод № 447 НКАП, МЭИ /Армения  г. Ереван/, созданный 29 октября 1940 г. на площадке переданного по приказу № 598с в НКАП Ереванского деревообделочного комбината. Директором и начальником строительства назначен М.А. Папахчан. По приказу № 262сс от 22.03.1941 г. завод передан в ЮГУ НКАП.</w:t>
      </w:r>
    </w:p>
    <w:p w14:paraId="465354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Ремонт самолетов. С конца 1941 г. планировалось начать выпуск агрегатов авиационного вооружения, радиаторов и колес для ЛаГГ-3 и УТИ-4.</w:t>
      </w:r>
    </w:p>
    <w:p w14:paraId="05D553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04.1942 г. на заводе образована ремонтная база для ремонта самолетов Закавказского фронта. В соответствии с пост. СНК № 913-472сс от 11.06.1942 г. и приказом № 472сс от 26.06.1942 г. завод № 447 был преобразован в ремонтный завод в системе 6ГУ и получил наименование ГС завод № 447 НКАП.</w:t>
      </w:r>
    </w:p>
    <w:p w14:paraId="63F248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1.01.1944 г. завод передан из 6ГУ в 1ГУ, а с 1.01.1945 г. - из 1ГУ в 11ГУ. В 1944 г. налаживалось производство крыльев для Як-3 для завода № 31. 24.01.1944 г. вышло распоряжение ГКО № 5022 о мобилизации 1000 чел. военнообязанных, не годных к строевой службе, на строительство Ереванского завода № 447.</w:t>
      </w:r>
    </w:p>
    <w:p w14:paraId="60C789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05.1946 г. началось освоение производства трансформаторов и генераторов. С 1.02.1947 г. завод передан в МЭП. (возможно, это «Армэлектромаш»).</w:t>
      </w:r>
    </w:p>
    <w:p w14:paraId="61F541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(Ю.1940-42 г.-)- М.А. Папахчан, (02.1945 г.)- В.Н. Наджарян, (05.1946 г.)- В.К. Ахназаров.</w:t>
      </w:r>
    </w:p>
    <w:p w14:paraId="18DA58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(10.1940 г.-)- Н.К. Черников.</w:t>
      </w:r>
    </w:p>
    <w:p w14:paraId="0B7918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(10.1940 г.-)- Н.К. Черников.</w:t>
      </w:r>
    </w:p>
    <w:p w14:paraId="3FB639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самолет: УТ-2 (1945-46)- 27 (11982).</w:t>
      </w:r>
    </w:p>
    <w:p w14:paraId="4CD79AA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6549C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 начале 1941 г. заводу № 39 было поручено организовать конструкторскую группу по разработке изобретения П.И. Шатилова- специального «реактивного двигателя».</w:t>
      </w:r>
    </w:p>
    <w:p w14:paraId="76FE54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началом войны и без того медленно проводимые работы были прекращены.</w:t>
      </w:r>
    </w:p>
    <w:p w14:paraId="15F8BF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09.1942 г. Шатилову на заводе № 81 (далее- № 381) поручили возобновить разработку «реактивного двигателя» тягой 1500 к г. Несмотря на категорическое сопротивление завода проведению этих работ, к концу 1944-началу 1945 г. проект двигателя был закончен. Финансирование велось по линии Бюро изобретений НКАП. По степени проработанности проекта была возможность его постройки (11982).</w:t>
      </w:r>
    </w:p>
    <w:p w14:paraId="02EA65B1" w14:textId="77777777" w:rsidR="00073360" w:rsidRPr="00A3026E" w:rsidRDefault="00073360" w:rsidP="00A3026E">
      <w:pPr>
        <w:spacing w:after="0" w:line="240" w:lineRule="auto"/>
        <w:jc w:val="both"/>
        <w:rPr>
          <w:rFonts w:ascii="Times New Roman" w:hAnsi="Times New Roman"/>
          <w:color w:val="000000" w:themeColor="text1"/>
          <w:sz w:val="16"/>
          <w:szCs w:val="16"/>
        </w:rPr>
      </w:pPr>
    </w:p>
    <w:p w14:paraId="754BF8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с завода № 289 НКАП на завод № 468 (ГС Завод № 468 НКАП, МАП, Агрегатный завод «Универсал», ГП, ФГУП «Московский конструкторско-ироизводственный комплекс (МКПК) «Универсал», АО «Универсал» /г. Москва ст. Бескудниково;  г. Билимбай Свердловской обл.;  г. Москва д. Горьковенко ст. Бескудниково (1944 г.)/ /127410  г. Москва Алтуфьевское ш., 79А тел. 901-14-11/) переведена конструкторская группа по десантно-транспортным объектам под руководством А.И. Привалова. Работы по подвесной кабине для ТБ-3.</w:t>
      </w:r>
    </w:p>
    <w:p w14:paraId="7E942D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747сс от 26.07.1941 г. Билимбаевский литейный завод был передан из НКместпрома в НКАП. На его базе началась организация филиала завода № 468 со своим ОКБ для изготовления воздушно-десантного имущества. Для этого сюда переведено 20 чел. из штата завода № 468.</w:t>
      </w:r>
    </w:p>
    <w:p w14:paraId="15AD3E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1072сс от 15.10.1941 г. завод № 468 эвакуирован в  г. Билимбай на площадку своего филиала. Тем же приказом сюда же эвакуированы заводы № 290 и № 293 НКАП.</w:t>
      </w:r>
    </w:p>
    <w:p w14:paraId="324A57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Территория в Бескудниково преобразована в филиал завода № 468. С 04.1942 г. здесь налажен ремонт десантно-транспортного имущества ВДВ КА. Производство приспособлений для транспортировки планера А-7. В 1946 г. здесь организован завод № 499 МАП.</w:t>
      </w:r>
    </w:p>
    <w:p w14:paraId="69163A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03.1942 г. завод был передан из 7ГУ в 11ГУ. В соответствии с пост. ГКО № 3218с от 21.04.1943 г. и приказом № 273с от 6.05.1943 г. завод № 468 в  г. Билимбай был передан Глававиастрою. Тем же приказом филиал завода в Бескудниково преобразован в самостоятельный завод № 468 при 11 ГУ НКАП для продолжения производства десантно-транспортного имущества.</w:t>
      </w:r>
    </w:p>
    <w:p w14:paraId="14CDEA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подвесок для парашютного десантирования мотоциклов, велосипедов, пушек. Завод являлся производственной базой двух КБ: гл. конструкторов А.И. Привалова и П.В. Цыбина. С конца 1945 г. завод передан из 11ГУ в 7ГУ. В 08.1957 г. - в ведении 1ГУ МАП. В 1966 г. переименован в Агрегатный завод «Универсал».</w:t>
      </w:r>
    </w:p>
    <w:p w14:paraId="3AB899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64сс от 3.02.1955 г. заводу были переданы работы по проектированию и изготовлению опытных образцов наземной аэродромной техники (АПА-12, АПА-35, УПГ-150, УПГ-250) с завода № 938 МАП и переведена часть специалистов.</w:t>
      </w:r>
    </w:p>
    <w:p w14:paraId="56D43C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Десантно-транспортная техника, ПД и АО, СНО </w:t>
      </w:r>
      <w:r w:rsidRPr="00A3026E">
        <w:rPr>
          <w:rFonts w:ascii="Times New Roman" w:hAnsi="Times New Roman"/>
          <w:color w:val="000000" w:themeColor="text1"/>
          <w:sz w:val="16"/>
          <w:szCs w:val="16"/>
          <w:lang w:val="en-US"/>
        </w:rPr>
        <w:t>AT</w:t>
      </w:r>
      <w:r w:rsidRPr="00A3026E">
        <w:rPr>
          <w:rFonts w:ascii="Times New Roman" w:hAnsi="Times New Roman"/>
          <w:color w:val="000000" w:themeColor="text1"/>
          <w:sz w:val="16"/>
          <w:szCs w:val="16"/>
        </w:rPr>
        <w:t xml:space="preserve"> (1953-57 г.). Разработка парашютных систем. С 1965 г. завод стал головным по разработке парашютно-десантной техники и СНО.</w:t>
      </w:r>
    </w:p>
    <w:p w14:paraId="2734E2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1958-59 г. начались работы по источникам питания ракет и запуска двигателей ракет. Принимал участие в программе создания ОК «Буран». В 1990-е  г. создан ряд наземных агрегатов: пассажирские авиационные трапы, передвижные электростанции, насосные агрегаты, пускоагрегаты, транспортировочные и монтажные тележки, аэрофинишеры.</w:t>
      </w:r>
    </w:p>
    <w:p w14:paraId="32D29C4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Предприятие имело филиалы (1990-е  г.) в  г. Жуковский (зам. гл. конструктора - Д.Ф. Патрушев) и в Самаре (директор- В. Г. Соков).</w:t>
      </w:r>
    </w:p>
    <w:p w14:paraId="54C2C0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Разработка и производство (2002 г.): средства обслуживания военных и гражданских ЛА (гидро-, электроустановки, установки воздушного запуска двигателей, заправщики спецжидкостями и газами, тележки и приспособления, гидроподъемники, лестницы, стремянки, мобильные контрольно-ремонтные мастерские, аэродромные аварийно-тормозные установки); парашютно-десантная техника (самолетное десантное оборудование, парашютные платформы).</w:t>
      </w:r>
    </w:p>
    <w:p w14:paraId="4E5E59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1992 г. завод преобразован в ГП «МКПК «Универсал», с 2004 г.- ФГУП. По решению правительства № 22-р от 9.01.2004 г. и Указу Президента РФ № 1009 от 4.08.2004 г. вошел в число стратегических оборонных предприятий.</w:t>
      </w:r>
    </w:p>
    <w:p w14:paraId="14907C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(1940 г.-; 05.1943 г.-)- А.И. Привалов, (12.1943 г.)- Байдуков; и.о. директора (11.1944 г.)- Воздвиженский; (03.1946 г.)- А.И. Привалов, (2005 г.)- С.Ю. Родионов. Управляющий (-2000-02 г.-)- А.Н. Логвинов.</w:t>
      </w:r>
    </w:p>
    <w:p w14:paraId="061743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зам. гендиректора (1990-е)- В.А. Баранов. Зам. директора по науке (2005 г.)- В.А. Егорычев. Коммерческий директор (2002 г.)- А.П. Спесивцев.</w:t>
      </w:r>
      <w:r w:rsidRPr="00A3026E">
        <w:rPr>
          <w:rFonts w:ascii="Times New Roman" w:hAnsi="Times New Roman"/>
          <w:color w:val="000000" w:themeColor="text1"/>
          <w:sz w:val="16"/>
          <w:szCs w:val="16"/>
          <w:vertAlign w:val="superscript"/>
        </w:rPr>
        <w:t>69</w:t>
      </w:r>
    </w:p>
    <w:p w14:paraId="4595FB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(1940-41 г.-;05-12.1943 г.;-1956 г.-)- А.И. Привалов, (12.1943-46 г.)- П.В. Цыбин, (1993 г.)- В.А. Баранов. Ген. Конструктор (1995 г.)- Н.Ф. Широков, (-2002-05 г.-)- Ю.С. Ермашук. Зам. гл. конструктора (1955 г.-)- В.В. Ильичев. Зам. гл. технолога (1950-е)- В.В. Ильичев. Начальники групп: крыла и оперения (1944-45 г.)- С.А. Бемов.</w:t>
      </w:r>
    </w:p>
    <w:p w14:paraId="25E792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Создано:</w:t>
      </w:r>
      <w:r w:rsidRPr="00A3026E">
        <w:rPr>
          <w:rFonts w:ascii="Times New Roman" w:hAnsi="Times New Roman"/>
          <w:color w:val="000000" w:themeColor="text1"/>
          <w:sz w:val="16"/>
          <w:szCs w:val="16"/>
        </w:rPr>
        <w:t xml:space="preserve"> парашютные системы для боевой техники: «Кентавр» с платформой П-7 дня десантирования БМД-1 с экипажем (1973), ПРСМ-915 «Реактавр» для БМД-2 (1978), ПБС-950 для БМД-3 (1998), «Спрут-ПДС» для пушки «Спрут-МД» (единственная в мире система для десантирования техники массой 20т); комплексы СНО для МиГ-25, Су-17М, Ту-22М, Ту-154, Ту-144, Ил-76, Ил-86, Як-40, Ан-124 (1967-76), Ил-114, Ил-96, Ту-204, Як-42, МиГ-29, Су-25, Су-27, ОК «Буран» (1980-90), самолетов и вертолетов для ТАВКР «Адмирал Кузнецов».</w:t>
      </w:r>
      <w:r w:rsidRPr="00A3026E">
        <w:rPr>
          <w:rFonts w:ascii="Times New Roman" w:hAnsi="Times New Roman"/>
          <w:color w:val="000000" w:themeColor="text1"/>
          <w:sz w:val="16"/>
          <w:szCs w:val="16"/>
          <w:vertAlign w:val="superscript"/>
        </w:rPr>
        <w:t xml:space="preserve">101 </w:t>
      </w: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десантная кабина Д-20 для ДБ-3 (ВОВ).</w:t>
      </w:r>
    </w:p>
    <w:p w14:paraId="3FF1AFFD" w14:textId="77777777" w:rsidR="00073360" w:rsidRPr="00A3026E" w:rsidRDefault="00073360"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 завода № 468, ОКБ-468 НКАП, МАП гл. конструктора А.И. Привалова / г. Москва ст. Бескудниково/</w:t>
      </w:r>
    </w:p>
    <w:p w14:paraId="35F953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По приказу № 273 с от 6.05.1943 г. на вновь созданный завод № 468 переведено из  г. Билимбай ОКБ гл. конструктора А.И. Привалова, который назначен директором и гл. конструктором завода.</w:t>
      </w:r>
    </w:p>
    <w:p w14:paraId="39149A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парашютной технике. Созданы парашюты для десантирования бензобаков, мотоциклов, пушек, парашюты Г-8, ПДК-4. Разработан КСД (комплекс совместного десантирования) «Кентавр» для БМД-1 (1973). 5.01.1973 г. состоялось первое в мире десантирование БМД-1 с экипажем. Затем создана ПРС (паранпотно- реактивная система) «Реактавр». Впервые испытана с экипажем 23.01.1976 г.</w:t>
      </w:r>
      <w:r w:rsidRPr="00A3026E">
        <w:rPr>
          <w:rFonts w:ascii="Times New Roman" w:hAnsi="Times New Roman"/>
          <w:color w:val="000000" w:themeColor="text1"/>
          <w:sz w:val="16"/>
          <w:szCs w:val="16"/>
          <w:vertAlign w:val="superscript"/>
        </w:rPr>
        <w:t xml:space="preserve">МХ2/03 </w:t>
      </w:r>
      <w:r w:rsidRPr="00A3026E">
        <w:rPr>
          <w:rFonts w:ascii="Times New Roman" w:hAnsi="Times New Roman"/>
          <w:color w:val="000000" w:themeColor="text1"/>
          <w:sz w:val="16"/>
          <w:szCs w:val="16"/>
        </w:rPr>
        <w:t>Гл. конструктор (05.1943-66 г.-)- А.И. Привалов.</w:t>
      </w:r>
    </w:p>
    <w:p w14:paraId="6671B1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 завода № 468 НКАП гл. конструктора П.В. Цыбина По приказу № 729с от 4.12.1943 г. на завод № 468 возложено проектирование и постройка тяжелого грузового десантного планера, в связи с чем гл. конструктором завода назначен П.В. Цыбин (одновременно остался начальником опытно-испытательного отдела ВДВ КА). Для обеспечения работ по планеру Ц-25 по приказу № 731с от 4.12.1943 г. при заводе организовано ОКБ. Штат его формировался, в основном, из специалистов с заводов № 168 и №468 НКАП.</w:t>
      </w:r>
    </w:p>
    <w:p w14:paraId="32BE05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05.1945 г. построен опытный экземпляр планера Ц-25 (затем строился серийно в Оренбурге), затем- опытный Ц-25М. С 1945 г. начались работы по моделям скоростных исследовательских планеров.</w:t>
      </w:r>
    </w:p>
    <w:p w14:paraId="3EEB69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 г. ОКБ гл. конструктора П.В. Цыбина преобразовано в самостоятельный опытный завод № 499 МАП (11982).</w:t>
      </w:r>
    </w:p>
    <w:p w14:paraId="6838564F" w14:textId="77777777" w:rsidR="00073360" w:rsidRPr="00A3026E" w:rsidRDefault="00073360" w:rsidP="00A3026E">
      <w:pPr>
        <w:pStyle w:val="a8"/>
        <w:widowControl/>
        <w:jc w:val="both"/>
        <w:rPr>
          <w:rFonts w:ascii="Times New Roman" w:hAnsi="Times New Roman" w:cs="Times New Roman"/>
          <w:color w:val="000000" w:themeColor="text1"/>
        </w:rPr>
      </w:pPr>
    </w:p>
    <w:p w14:paraId="5453FB20"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К концу 1940 г. в структуре авиационного наркомата находилось 100 заводов, располагавших 3457 тыс. кв. м. площадей, на которых трудились370,2 тыс. инженерно-технических работников, рабочих и служащих, станочный парк отрасли насчитывал 41 тыс. единиц металлорежущего оборудования (9716).</w:t>
      </w:r>
    </w:p>
    <w:p w14:paraId="34D5E014" w14:textId="77777777" w:rsidR="0014077F" w:rsidRPr="00A3026E" w:rsidRDefault="0014077F" w:rsidP="00A3026E">
      <w:pPr>
        <w:pStyle w:val="a8"/>
        <w:widowControl/>
        <w:jc w:val="both"/>
        <w:rPr>
          <w:rFonts w:ascii="Times New Roman" w:hAnsi="Times New Roman" w:cs="Times New Roman"/>
          <w:color w:val="000000" w:themeColor="text1"/>
        </w:rPr>
      </w:pPr>
    </w:p>
    <w:p w14:paraId="0C0236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Нач. 5 ГУ Балакирев писал письмо А.И.Ш. о снабжении рабочих через закрытую форму торговли: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58"/>
        <w:gridCol w:w="2520"/>
        <w:gridCol w:w="3420"/>
      </w:tblGrid>
      <w:tr w:rsidR="00983732" w:rsidRPr="00A3026E" w14:paraId="45258DAC" w14:textId="77777777" w:rsidTr="00EA0DA7">
        <w:tc>
          <w:tcPr>
            <w:tcW w:w="1458" w:type="dxa"/>
          </w:tcPr>
          <w:p w14:paraId="4BFF56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117</w:t>
            </w:r>
          </w:p>
        </w:tc>
        <w:tc>
          <w:tcPr>
            <w:tcW w:w="2520" w:type="dxa"/>
          </w:tcPr>
          <w:p w14:paraId="1DA0E9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Чита</w:t>
            </w:r>
          </w:p>
        </w:tc>
        <w:tc>
          <w:tcPr>
            <w:tcW w:w="3420" w:type="dxa"/>
          </w:tcPr>
          <w:p w14:paraId="41250B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Дальнейшее стр-во</w:t>
            </w:r>
          </w:p>
        </w:tc>
      </w:tr>
      <w:tr w:rsidR="00983732" w:rsidRPr="00A3026E" w14:paraId="201F8879" w14:textId="77777777" w:rsidTr="00EA0DA7">
        <w:tc>
          <w:tcPr>
            <w:tcW w:w="1458" w:type="dxa"/>
          </w:tcPr>
          <w:p w14:paraId="4CB8CF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149</w:t>
            </w:r>
          </w:p>
        </w:tc>
        <w:tc>
          <w:tcPr>
            <w:tcW w:w="2520" w:type="dxa"/>
          </w:tcPr>
          <w:p w14:paraId="690907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Вязьма</w:t>
            </w:r>
          </w:p>
        </w:tc>
        <w:tc>
          <w:tcPr>
            <w:tcW w:w="3420" w:type="dxa"/>
          </w:tcPr>
          <w:p w14:paraId="1A67EDE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67E6B4DA" w14:textId="77777777" w:rsidTr="00EA0DA7">
        <w:tc>
          <w:tcPr>
            <w:tcW w:w="1458" w:type="dxa"/>
          </w:tcPr>
          <w:p w14:paraId="74C348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w:t>
            </w:r>
          </w:p>
        </w:tc>
        <w:tc>
          <w:tcPr>
            <w:tcW w:w="2520" w:type="dxa"/>
          </w:tcPr>
          <w:p w14:paraId="02C4E9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Харьков</w:t>
            </w:r>
          </w:p>
        </w:tc>
        <w:tc>
          <w:tcPr>
            <w:tcW w:w="3420" w:type="dxa"/>
          </w:tcPr>
          <w:p w14:paraId="57475DC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19738F5D" w14:textId="77777777" w:rsidTr="00EA0DA7">
        <w:tc>
          <w:tcPr>
            <w:tcW w:w="1458" w:type="dxa"/>
          </w:tcPr>
          <w:p w14:paraId="18B4FA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279</w:t>
            </w:r>
          </w:p>
        </w:tc>
        <w:tc>
          <w:tcPr>
            <w:tcW w:w="2520" w:type="dxa"/>
          </w:tcPr>
          <w:p w14:paraId="71EF12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Раменское</w:t>
            </w:r>
          </w:p>
        </w:tc>
        <w:tc>
          <w:tcPr>
            <w:tcW w:w="3420" w:type="dxa"/>
          </w:tcPr>
          <w:p w14:paraId="7B9EE2E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FC4CBF0" w14:textId="77777777" w:rsidTr="00EA0DA7">
        <w:tc>
          <w:tcPr>
            <w:tcW w:w="1458" w:type="dxa"/>
          </w:tcPr>
          <w:p w14:paraId="014F95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328</w:t>
            </w:r>
          </w:p>
        </w:tc>
        <w:tc>
          <w:tcPr>
            <w:tcW w:w="2520" w:type="dxa"/>
          </w:tcPr>
          <w:p w14:paraId="6521DB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Комсомольск</w:t>
            </w:r>
          </w:p>
        </w:tc>
        <w:tc>
          <w:tcPr>
            <w:tcW w:w="3420" w:type="dxa"/>
          </w:tcPr>
          <w:p w14:paraId="5EF107C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2BACA48" w14:textId="77777777" w:rsidTr="00EA0DA7">
        <w:tc>
          <w:tcPr>
            <w:tcW w:w="1458" w:type="dxa"/>
          </w:tcPr>
          <w:p w14:paraId="1BD0A4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ОЗПО</w:t>
            </w:r>
          </w:p>
        </w:tc>
        <w:tc>
          <w:tcPr>
            <w:tcW w:w="2520" w:type="dxa"/>
          </w:tcPr>
          <w:p w14:paraId="2E376B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Владимир</w:t>
            </w:r>
          </w:p>
        </w:tc>
        <w:tc>
          <w:tcPr>
            <w:tcW w:w="3420" w:type="dxa"/>
          </w:tcPr>
          <w:p w14:paraId="1F2111F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0076DB4D" w14:textId="77777777" w:rsidTr="00EA0DA7">
        <w:tc>
          <w:tcPr>
            <w:tcW w:w="1458" w:type="dxa"/>
          </w:tcPr>
          <w:p w14:paraId="62EF03A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520" w:type="dxa"/>
          </w:tcPr>
          <w:p w14:paraId="066CBD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(1175, 78)</w:t>
            </w:r>
          </w:p>
        </w:tc>
        <w:tc>
          <w:tcPr>
            <w:tcW w:w="3420" w:type="dxa"/>
          </w:tcPr>
          <w:p w14:paraId="14A7B27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bl>
    <w:p w14:paraId="6AC7B8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был подготовлен Титульный список Капстроительства на 1941: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68"/>
        <w:gridCol w:w="6030"/>
      </w:tblGrid>
      <w:tr w:rsidR="00983732" w:rsidRPr="00A3026E" w14:paraId="7BBCF7A9" w14:textId="77777777" w:rsidTr="00EA0DA7">
        <w:tc>
          <w:tcPr>
            <w:tcW w:w="1368" w:type="dxa"/>
          </w:tcPr>
          <w:p w14:paraId="0AFBAB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ПГУ</w:t>
            </w:r>
          </w:p>
        </w:tc>
        <w:tc>
          <w:tcPr>
            <w:tcW w:w="6030" w:type="dxa"/>
          </w:tcPr>
          <w:p w14:paraId="740194F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6FF34C4C" w14:textId="77777777" w:rsidTr="00EA0DA7">
        <w:tc>
          <w:tcPr>
            <w:tcW w:w="1368" w:type="dxa"/>
          </w:tcPr>
          <w:p w14:paraId="1B75FB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6030" w:type="dxa"/>
          </w:tcPr>
          <w:p w14:paraId="182F76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Фили</w:t>
            </w:r>
          </w:p>
        </w:tc>
      </w:tr>
      <w:tr w:rsidR="00983732" w:rsidRPr="00A3026E" w14:paraId="40259837" w14:textId="77777777" w:rsidTr="00EA0DA7">
        <w:tc>
          <w:tcPr>
            <w:tcW w:w="1368" w:type="dxa"/>
          </w:tcPr>
          <w:p w14:paraId="63C301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w:t>
            </w:r>
          </w:p>
        </w:tc>
        <w:tc>
          <w:tcPr>
            <w:tcW w:w="6030" w:type="dxa"/>
          </w:tcPr>
          <w:p w14:paraId="4B275C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Осипенко</w:t>
            </w:r>
          </w:p>
        </w:tc>
      </w:tr>
      <w:tr w:rsidR="00983732" w:rsidRPr="00A3026E" w14:paraId="7D232BA6" w14:textId="77777777" w:rsidTr="00EA0DA7">
        <w:tc>
          <w:tcPr>
            <w:tcW w:w="1368" w:type="dxa"/>
          </w:tcPr>
          <w:p w14:paraId="7D4D49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447</w:t>
            </w:r>
          </w:p>
        </w:tc>
        <w:tc>
          <w:tcPr>
            <w:tcW w:w="6030" w:type="dxa"/>
          </w:tcPr>
          <w:p w14:paraId="191607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Ереван</w:t>
            </w:r>
          </w:p>
        </w:tc>
      </w:tr>
      <w:tr w:rsidR="00983732" w:rsidRPr="00A3026E" w14:paraId="1DF28A0D" w14:textId="77777777" w:rsidTr="00EA0DA7">
        <w:tc>
          <w:tcPr>
            <w:tcW w:w="1368" w:type="dxa"/>
          </w:tcPr>
          <w:p w14:paraId="494E8A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453</w:t>
            </w:r>
          </w:p>
        </w:tc>
        <w:tc>
          <w:tcPr>
            <w:tcW w:w="6030" w:type="dxa"/>
          </w:tcPr>
          <w:p w14:paraId="65197D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Минск</w:t>
            </w:r>
          </w:p>
        </w:tc>
      </w:tr>
      <w:tr w:rsidR="00983732" w:rsidRPr="00A3026E" w14:paraId="0B6886B8" w14:textId="77777777" w:rsidTr="00EA0DA7">
        <w:tc>
          <w:tcPr>
            <w:tcW w:w="1368" w:type="dxa"/>
          </w:tcPr>
          <w:p w14:paraId="7CA6E9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458</w:t>
            </w:r>
          </w:p>
        </w:tc>
        <w:tc>
          <w:tcPr>
            <w:tcW w:w="6030" w:type="dxa"/>
          </w:tcPr>
          <w:p w14:paraId="2A68A4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Ростов</w:t>
            </w:r>
          </w:p>
        </w:tc>
      </w:tr>
      <w:tr w:rsidR="00983732" w:rsidRPr="00A3026E" w14:paraId="08345C1F" w14:textId="77777777" w:rsidTr="00EA0DA7">
        <w:tc>
          <w:tcPr>
            <w:tcW w:w="1368" w:type="dxa"/>
          </w:tcPr>
          <w:p w14:paraId="4404F7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Новостройки</w:t>
            </w:r>
          </w:p>
        </w:tc>
        <w:tc>
          <w:tcPr>
            <w:tcW w:w="6030" w:type="dxa"/>
          </w:tcPr>
          <w:p w14:paraId="0DA4D96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5E0A586" w14:textId="77777777" w:rsidTr="00EA0DA7">
        <w:tc>
          <w:tcPr>
            <w:tcW w:w="1368" w:type="dxa"/>
          </w:tcPr>
          <w:p w14:paraId="5BBECA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118</w:t>
            </w:r>
          </w:p>
        </w:tc>
        <w:tc>
          <w:tcPr>
            <w:tcW w:w="6030" w:type="dxa"/>
          </w:tcPr>
          <w:p w14:paraId="41744D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Сталинград</w:t>
            </w:r>
          </w:p>
        </w:tc>
      </w:tr>
      <w:tr w:rsidR="00983732" w:rsidRPr="00A3026E" w14:paraId="3ADDCC7E" w14:textId="77777777" w:rsidTr="00EA0DA7">
        <w:tc>
          <w:tcPr>
            <w:tcW w:w="1368" w:type="dxa"/>
          </w:tcPr>
          <w:p w14:paraId="363ACB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121</w:t>
            </w:r>
          </w:p>
        </w:tc>
        <w:tc>
          <w:tcPr>
            <w:tcW w:w="6030" w:type="dxa"/>
          </w:tcPr>
          <w:p w14:paraId="089E45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Балашов</w:t>
            </w:r>
          </w:p>
        </w:tc>
      </w:tr>
      <w:tr w:rsidR="00983732" w:rsidRPr="00A3026E" w14:paraId="7CC0C71C" w14:textId="77777777" w:rsidTr="00EA0DA7">
        <w:tc>
          <w:tcPr>
            <w:tcW w:w="1368" w:type="dxa"/>
          </w:tcPr>
          <w:p w14:paraId="69FADB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123</w:t>
            </w:r>
          </w:p>
        </w:tc>
        <w:tc>
          <w:tcPr>
            <w:tcW w:w="6030" w:type="dxa"/>
          </w:tcPr>
          <w:p w14:paraId="57B2AD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Каменск (Ростовская обл.)</w:t>
            </w:r>
          </w:p>
        </w:tc>
      </w:tr>
      <w:tr w:rsidR="00983732" w:rsidRPr="00A3026E" w14:paraId="1D08A2CB" w14:textId="77777777" w:rsidTr="00EA0DA7">
        <w:tc>
          <w:tcPr>
            <w:tcW w:w="1368" w:type="dxa"/>
          </w:tcPr>
          <w:p w14:paraId="0AA382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w:t>
            </w:r>
          </w:p>
        </w:tc>
        <w:tc>
          <w:tcPr>
            <w:tcW w:w="6030" w:type="dxa"/>
          </w:tcPr>
          <w:p w14:paraId="3DE533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Ульяновск</w:t>
            </w:r>
          </w:p>
        </w:tc>
      </w:tr>
      <w:tr w:rsidR="00983732" w:rsidRPr="00A3026E" w14:paraId="2140CF9A" w14:textId="77777777" w:rsidTr="00EA0DA7">
        <w:tc>
          <w:tcPr>
            <w:tcW w:w="1368" w:type="dxa"/>
          </w:tcPr>
          <w:p w14:paraId="6F5A01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128</w:t>
            </w:r>
          </w:p>
        </w:tc>
        <w:tc>
          <w:tcPr>
            <w:tcW w:w="6030" w:type="dxa"/>
          </w:tcPr>
          <w:p w14:paraId="6AF7032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Аткарск</w:t>
            </w:r>
          </w:p>
        </w:tc>
      </w:tr>
      <w:tr w:rsidR="00983732" w:rsidRPr="00A3026E" w14:paraId="6EA2B45F" w14:textId="77777777" w:rsidTr="00EA0DA7">
        <w:tc>
          <w:tcPr>
            <w:tcW w:w="1368" w:type="dxa"/>
          </w:tcPr>
          <w:p w14:paraId="4E69181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129</w:t>
            </w:r>
          </w:p>
        </w:tc>
        <w:tc>
          <w:tcPr>
            <w:tcW w:w="6030" w:type="dxa"/>
          </w:tcPr>
          <w:p w14:paraId="30CE1F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Улан-Уде</w:t>
            </w:r>
          </w:p>
        </w:tc>
      </w:tr>
      <w:tr w:rsidR="00983732" w:rsidRPr="00A3026E" w14:paraId="2C0A9A04" w14:textId="77777777" w:rsidTr="00EA0DA7">
        <w:tc>
          <w:tcPr>
            <w:tcW w:w="1368" w:type="dxa"/>
          </w:tcPr>
          <w:p w14:paraId="72EE90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6030" w:type="dxa"/>
          </w:tcPr>
          <w:p w14:paraId="45175A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Комсомольск</w:t>
            </w:r>
          </w:p>
        </w:tc>
      </w:tr>
      <w:tr w:rsidR="00983732" w:rsidRPr="00A3026E" w14:paraId="27E72A7E" w14:textId="77777777" w:rsidTr="00EA0DA7">
        <w:tc>
          <w:tcPr>
            <w:tcW w:w="1368" w:type="dxa"/>
          </w:tcPr>
          <w:p w14:paraId="2DC359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ГУ</w:t>
            </w:r>
          </w:p>
        </w:tc>
        <w:tc>
          <w:tcPr>
            <w:tcW w:w="6030" w:type="dxa"/>
          </w:tcPr>
          <w:p w14:paraId="3A59F3B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87FD2C0" w14:textId="77777777" w:rsidTr="00EA0DA7">
        <w:tc>
          <w:tcPr>
            <w:tcW w:w="1368" w:type="dxa"/>
          </w:tcPr>
          <w:p w14:paraId="6A55DF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285</w:t>
            </w:r>
          </w:p>
        </w:tc>
        <w:tc>
          <w:tcPr>
            <w:tcW w:w="6030" w:type="dxa"/>
          </w:tcPr>
          <w:p w14:paraId="7B5A76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Ульяновск</w:t>
            </w:r>
          </w:p>
        </w:tc>
      </w:tr>
      <w:tr w:rsidR="00983732" w:rsidRPr="00A3026E" w14:paraId="3E38D36A" w14:textId="77777777" w:rsidTr="00EA0DA7">
        <w:tc>
          <w:tcPr>
            <w:tcW w:w="1368" w:type="dxa"/>
          </w:tcPr>
          <w:p w14:paraId="3AC505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388</w:t>
            </w:r>
          </w:p>
        </w:tc>
        <w:tc>
          <w:tcPr>
            <w:tcW w:w="6030" w:type="dxa"/>
          </w:tcPr>
          <w:p w14:paraId="335E28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w:t>
            </w:r>
          </w:p>
        </w:tc>
      </w:tr>
      <w:tr w:rsidR="00983732" w:rsidRPr="00A3026E" w14:paraId="7F08C18D" w14:textId="77777777" w:rsidTr="00EA0DA7">
        <w:tc>
          <w:tcPr>
            <w:tcW w:w="1368" w:type="dxa"/>
          </w:tcPr>
          <w:p w14:paraId="25136D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454</w:t>
            </w:r>
          </w:p>
        </w:tc>
        <w:tc>
          <w:tcPr>
            <w:tcW w:w="6030" w:type="dxa"/>
          </w:tcPr>
          <w:p w14:paraId="7566AD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Киев</w:t>
            </w:r>
          </w:p>
        </w:tc>
      </w:tr>
      <w:tr w:rsidR="00983732" w:rsidRPr="00A3026E" w14:paraId="5C4B7E44" w14:textId="77777777" w:rsidTr="00EA0DA7">
        <w:tc>
          <w:tcPr>
            <w:tcW w:w="1368" w:type="dxa"/>
          </w:tcPr>
          <w:p w14:paraId="0DF640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455</w:t>
            </w:r>
          </w:p>
        </w:tc>
        <w:tc>
          <w:tcPr>
            <w:tcW w:w="6030" w:type="dxa"/>
          </w:tcPr>
          <w:p w14:paraId="3B1629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Киев</w:t>
            </w:r>
          </w:p>
        </w:tc>
      </w:tr>
      <w:tr w:rsidR="00983732" w:rsidRPr="00A3026E" w14:paraId="2D11F4AA" w14:textId="77777777" w:rsidTr="00EA0DA7">
        <w:tc>
          <w:tcPr>
            <w:tcW w:w="1368" w:type="dxa"/>
          </w:tcPr>
          <w:p w14:paraId="5737CB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ГУ</w:t>
            </w:r>
          </w:p>
        </w:tc>
        <w:tc>
          <w:tcPr>
            <w:tcW w:w="6030" w:type="dxa"/>
          </w:tcPr>
          <w:p w14:paraId="127EFF3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6B1CE3C" w14:textId="77777777" w:rsidTr="00EA0DA7">
        <w:tc>
          <w:tcPr>
            <w:tcW w:w="1368" w:type="dxa"/>
          </w:tcPr>
          <w:p w14:paraId="24E3F8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Ф-л з-да 16</w:t>
            </w:r>
          </w:p>
        </w:tc>
        <w:tc>
          <w:tcPr>
            <w:tcW w:w="6030" w:type="dxa"/>
          </w:tcPr>
          <w:p w14:paraId="58B299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Воронеж</w:t>
            </w:r>
          </w:p>
        </w:tc>
      </w:tr>
      <w:tr w:rsidR="00983732" w:rsidRPr="00A3026E" w14:paraId="0C065E26" w14:textId="77777777" w:rsidTr="00EA0DA7">
        <w:tc>
          <w:tcPr>
            <w:tcW w:w="1368" w:type="dxa"/>
          </w:tcPr>
          <w:p w14:paraId="7E41CB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6030" w:type="dxa"/>
          </w:tcPr>
          <w:p w14:paraId="3D15E5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Молотов</w:t>
            </w:r>
          </w:p>
        </w:tc>
      </w:tr>
      <w:tr w:rsidR="00983732" w:rsidRPr="00A3026E" w14:paraId="46A67CB6" w14:textId="77777777" w:rsidTr="00EA0DA7">
        <w:tc>
          <w:tcPr>
            <w:tcW w:w="1368" w:type="dxa"/>
          </w:tcPr>
          <w:p w14:paraId="6B5687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335</w:t>
            </w:r>
          </w:p>
        </w:tc>
        <w:tc>
          <w:tcPr>
            <w:tcW w:w="6030" w:type="dxa"/>
          </w:tcPr>
          <w:p w14:paraId="718642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Новосибирск</w:t>
            </w:r>
          </w:p>
        </w:tc>
      </w:tr>
      <w:tr w:rsidR="00983732" w:rsidRPr="00A3026E" w14:paraId="10819B17" w14:textId="77777777" w:rsidTr="00EA0DA7">
        <w:tc>
          <w:tcPr>
            <w:tcW w:w="1368" w:type="dxa"/>
          </w:tcPr>
          <w:p w14:paraId="7C0B38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336</w:t>
            </w:r>
          </w:p>
        </w:tc>
        <w:tc>
          <w:tcPr>
            <w:tcW w:w="6030" w:type="dxa"/>
          </w:tcPr>
          <w:p w14:paraId="557F52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Саратов</w:t>
            </w:r>
          </w:p>
        </w:tc>
      </w:tr>
      <w:tr w:rsidR="00983732" w:rsidRPr="00A3026E" w14:paraId="6FD0F54A" w14:textId="77777777" w:rsidTr="00EA0DA7">
        <w:tc>
          <w:tcPr>
            <w:tcW w:w="1368" w:type="dxa"/>
          </w:tcPr>
          <w:p w14:paraId="572781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338</w:t>
            </w:r>
          </w:p>
        </w:tc>
        <w:tc>
          <w:tcPr>
            <w:tcW w:w="6030" w:type="dxa"/>
          </w:tcPr>
          <w:p w14:paraId="218E6B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Уфа</w:t>
            </w:r>
          </w:p>
        </w:tc>
      </w:tr>
      <w:tr w:rsidR="00983732" w:rsidRPr="00A3026E" w14:paraId="1D9503D2" w14:textId="77777777" w:rsidTr="00EA0DA7">
        <w:tc>
          <w:tcPr>
            <w:tcW w:w="1368" w:type="dxa"/>
          </w:tcPr>
          <w:p w14:paraId="3E5EFC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384</w:t>
            </w:r>
          </w:p>
        </w:tc>
        <w:tc>
          <w:tcPr>
            <w:tcW w:w="6030" w:type="dxa"/>
          </w:tcPr>
          <w:p w14:paraId="5D1584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Уфа</w:t>
            </w:r>
          </w:p>
        </w:tc>
      </w:tr>
      <w:tr w:rsidR="00983732" w:rsidRPr="00A3026E" w14:paraId="7B431ECB" w14:textId="77777777" w:rsidTr="00EA0DA7">
        <w:tc>
          <w:tcPr>
            <w:tcW w:w="1368" w:type="dxa"/>
          </w:tcPr>
          <w:p w14:paraId="78C044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448</w:t>
            </w:r>
          </w:p>
        </w:tc>
        <w:tc>
          <w:tcPr>
            <w:tcW w:w="6030" w:type="dxa"/>
          </w:tcPr>
          <w:p w14:paraId="0301E8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Тбилиси</w:t>
            </w:r>
          </w:p>
        </w:tc>
      </w:tr>
      <w:tr w:rsidR="00983732" w:rsidRPr="00A3026E" w14:paraId="183FC0F2" w14:textId="77777777" w:rsidTr="00EA0DA7">
        <w:tc>
          <w:tcPr>
            <w:tcW w:w="1368" w:type="dxa"/>
          </w:tcPr>
          <w:p w14:paraId="59014D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451</w:t>
            </w:r>
          </w:p>
        </w:tc>
        <w:tc>
          <w:tcPr>
            <w:tcW w:w="6030" w:type="dxa"/>
          </w:tcPr>
          <w:p w14:paraId="21F6E8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w:t>
            </w:r>
          </w:p>
        </w:tc>
      </w:tr>
      <w:tr w:rsidR="00983732" w:rsidRPr="00A3026E" w14:paraId="397967B4" w14:textId="77777777" w:rsidTr="00EA0DA7">
        <w:tc>
          <w:tcPr>
            <w:tcW w:w="1368" w:type="dxa"/>
          </w:tcPr>
          <w:p w14:paraId="60D9B6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452</w:t>
            </w:r>
          </w:p>
        </w:tc>
        <w:tc>
          <w:tcPr>
            <w:tcW w:w="6030" w:type="dxa"/>
          </w:tcPr>
          <w:p w14:paraId="1B3ACA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Днепропетровск</w:t>
            </w:r>
          </w:p>
        </w:tc>
      </w:tr>
      <w:tr w:rsidR="00983732" w:rsidRPr="00A3026E" w14:paraId="0EC509B6" w14:textId="77777777" w:rsidTr="00EA0DA7">
        <w:tc>
          <w:tcPr>
            <w:tcW w:w="1368" w:type="dxa"/>
          </w:tcPr>
          <w:p w14:paraId="018C2E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459</w:t>
            </w:r>
          </w:p>
        </w:tc>
        <w:tc>
          <w:tcPr>
            <w:tcW w:w="6030" w:type="dxa"/>
          </w:tcPr>
          <w:p w14:paraId="79D22A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Могилев</w:t>
            </w:r>
          </w:p>
        </w:tc>
      </w:tr>
      <w:tr w:rsidR="00983732" w:rsidRPr="00A3026E" w14:paraId="197867E8" w14:textId="77777777" w:rsidTr="00EA0DA7">
        <w:tc>
          <w:tcPr>
            <w:tcW w:w="1368" w:type="dxa"/>
          </w:tcPr>
          <w:p w14:paraId="38123A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ГУ</w:t>
            </w:r>
          </w:p>
        </w:tc>
        <w:tc>
          <w:tcPr>
            <w:tcW w:w="6030" w:type="dxa"/>
          </w:tcPr>
          <w:p w14:paraId="2E62A59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1AC1F097" w14:textId="77777777" w:rsidTr="00EA0DA7">
        <w:tc>
          <w:tcPr>
            <w:tcW w:w="1368" w:type="dxa"/>
          </w:tcPr>
          <w:p w14:paraId="3B36EA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133</w:t>
            </w:r>
          </w:p>
        </w:tc>
        <w:tc>
          <w:tcPr>
            <w:tcW w:w="6030" w:type="dxa"/>
          </w:tcPr>
          <w:p w14:paraId="44BCD1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w:t>
            </w:r>
          </w:p>
        </w:tc>
      </w:tr>
      <w:tr w:rsidR="00983732" w:rsidRPr="00A3026E" w14:paraId="4E4DB488" w14:textId="77777777" w:rsidTr="00EA0DA7">
        <w:tc>
          <w:tcPr>
            <w:tcW w:w="1368" w:type="dxa"/>
          </w:tcPr>
          <w:p w14:paraId="1D379D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134</w:t>
            </w:r>
          </w:p>
        </w:tc>
        <w:tc>
          <w:tcPr>
            <w:tcW w:w="6030" w:type="dxa"/>
          </w:tcPr>
          <w:p w14:paraId="799117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Балашиха</w:t>
            </w:r>
          </w:p>
        </w:tc>
      </w:tr>
      <w:tr w:rsidR="00983732" w:rsidRPr="00A3026E" w14:paraId="77CE8CB6" w14:textId="77777777" w:rsidTr="00EA0DA7">
        <w:tc>
          <w:tcPr>
            <w:tcW w:w="1368" w:type="dxa"/>
          </w:tcPr>
          <w:p w14:paraId="16139C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306</w:t>
            </w:r>
          </w:p>
        </w:tc>
        <w:tc>
          <w:tcPr>
            <w:tcW w:w="6030" w:type="dxa"/>
          </w:tcPr>
          <w:p w14:paraId="095E0A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Саратов</w:t>
            </w:r>
          </w:p>
        </w:tc>
      </w:tr>
      <w:tr w:rsidR="00983732" w:rsidRPr="00A3026E" w14:paraId="22503213" w14:textId="77777777" w:rsidTr="00EA0DA7">
        <w:tc>
          <w:tcPr>
            <w:tcW w:w="1368" w:type="dxa"/>
          </w:tcPr>
          <w:p w14:paraId="49F907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307</w:t>
            </w:r>
          </w:p>
        </w:tc>
        <w:tc>
          <w:tcPr>
            <w:tcW w:w="6030" w:type="dxa"/>
          </w:tcPr>
          <w:p w14:paraId="71AA03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Ржев</w:t>
            </w:r>
          </w:p>
        </w:tc>
      </w:tr>
      <w:tr w:rsidR="00983732" w:rsidRPr="00A3026E" w14:paraId="6AAEFF10" w14:textId="77777777" w:rsidTr="00EA0DA7">
        <w:tc>
          <w:tcPr>
            <w:tcW w:w="1368" w:type="dxa"/>
          </w:tcPr>
          <w:p w14:paraId="799DBF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444</w:t>
            </w:r>
          </w:p>
        </w:tc>
        <w:tc>
          <w:tcPr>
            <w:tcW w:w="6030" w:type="dxa"/>
          </w:tcPr>
          <w:p w14:paraId="33C369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Плющево, Москва</w:t>
            </w:r>
          </w:p>
        </w:tc>
      </w:tr>
      <w:tr w:rsidR="00983732" w:rsidRPr="00A3026E" w14:paraId="53C305FC" w14:textId="77777777" w:rsidTr="00EA0DA7">
        <w:tc>
          <w:tcPr>
            <w:tcW w:w="1368" w:type="dxa"/>
          </w:tcPr>
          <w:p w14:paraId="567BEB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456</w:t>
            </w:r>
          </w:p>
        </w:tc>
        <w:tc>
          <w:tcPr>
            <w:tcW w:w="6030" w:type="dxa"/>
          </w:tcPr>
          <w:p w14:paraId="6B0902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Полтава</w:t>
            </w:r>
          </w:p>
        </w:tc>
      </w:tr>
      <w:tr w:rsidR="00983732" w:rsidRPr="00A3026E" w14:paraId="048A87A1" w14:textId="77777777" w:rsidTr="00EA0DA7">
        <w:tc>
          <w:tcPr>
            <w:tcW w:w="1368" w:type="dxa"/>
          </w:tcPr>
          <w:p w14:paraId="7BC968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462</w:t>
            </w:r>
          </w:p>
        </w:tc>
        <w:tc>
          <w:tcPr>
            <w:tcW w:w="6030" w:type="dxa"/>
          </w:tcPr>
          <w:p w14:paraId="78CDA6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Днепропетровск</w:t>
            </w:r>
          </w:p>
        </w:tc>
      </w:tr>
      <w:tr w:rsidR="00983732" w:rsidRPr="00A3026E" w14:paraId="264E13B1" w14:textId="77777777" w:rsidTr="00EA0DA7">
        <w:tc>
          <w:tcPr>
            <w:tcW w:w="1368" w:type="dxa"/>
          </w:tcPr>
          <w:p w14:paraId="5181EC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ГУ</w:t>
            </w:r>
          </w:p>
        </w:tc>
        <w:tc>
          <w:tcPr>
            <w:tcW w:w="6030" w:type="dxa"/>
          </w:tcPr>
          <w:p w14:paraId="0064639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00DEC1A2" w14:textId="77777777" w:rsidTr="00EA0DA7">
        <w:tc>
          <w:tcPr>
            <w:tcW w:w="1368" w:type="dxa"/>
          </w:tcPr>
          <w:p w14:paraId="1C5633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w:t>
            </w:r>
          </w:p>
        </w:tc>
        <w:tc>
          <w:tcPr>
            <w:tcW w:w="6030" w:type="dxa"/>
          </w:tcPr>
          <w:p w14:paraId="320B91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Харьков</w:t>
            </w:r>
          </w:p>
        </w:tc>
      </w:tr>
      <w:tr w:rsidR="00983732" w:rsidRPr="00A3026E" w14:paraId="2D1E22F4" w14:textId="77777777" w:rsidTr="00EA0DA7">
        <w:tc>
          <w:tcPr>
            <w:tcW w:w="1368" w:type="dxa"/>
          </w:tcPr>
          <w:p w14:paraId="7CB705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w:t>
            </w:r>
          </w:p>
        </w:tc>
        <w:tc>
          <w:tcPr>
            <w:tcW w:w="6030" w:type="dxa"/>
          </w:tcPr>
          <w:p w14:paraId="146621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w:t>
            </w:r>
          </w:p>
        </w:tc>
      </w:tr>
      <w:tr w:rsidR="00983732" w:rsidRPr="00A3026E" w14:paraId="458554F7" w14:textId="77777777" w:rsidTr="00EA0DA7">
        <w:tc>
          <w:tcPr>
            <w:tcW w:w="1368" w:type="dxa"/>
          </w:tcPr>
          <w:p w14:paraId="782FAC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278</w:t>
            </w:r>
          </w:p>
        </w:tc>
        <w:tc>
          <w:tcPr>
            <w:tcW w:w="6030" w:type="dxa"/>
          </w:tcPr>
          <w:p w14:paraId="5807FD1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w:t>
            </w:r>
          </w:p>
        </w:tc>
      </w:tr>
      <w:tr w:rsidR="00983732" w:rsidRPr="00A3026E" w14:paraId="69F12B8C" w14:textId="77777777" w:rsidTr="00EA0DA7">
        <w:tc>
          <w:tcPr>
            <w:tcW w:w="1368" w:type="dxa"/>
          </w:tcPr>
          <w:p w14:paraId="27195A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280</w:t>
            </w:r>
          </w:p>
        </w:tc>
        <w:tc>
          <w:tcPr>
            <w:tcW w:w="6030" w:type="dxa"/>
          </w:tcPr>
          <w:p w14:paraId="129E9C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Ульяновск</w:t>
            </w:r>
          </w:p>
        </w:tc>
      </w:tr>
      <w:tr w:rsidR="00983732" w:rsidRPr="00A3026E" w14:paraId="06661B9F" w14:textId="77777777" w:rsidTr="00EA0DA7">
        <w:tc>
          <w:tcPr>
            <w:tcW w:w="1368" w:type="dxa"/>
          </w:tcPr>
          <w:p w14:paraId="64208E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287</w:t>
            </w:r>
          </w:p>
        </w:tc>
        <w:tc>
          <w:tcPr>
            <w:tcW w:w="6030" w:type="dxa"/>
          </w:tcPr>
          <w:p w14:paraId="5019BC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Владимир</w:t>
            </w:r>
          </w:p>
        </w:tc>
      </w:tr>
      <w:tr w:rsidR="00983732" w:rsidRPr="00A3026E" w14:paraId="6C6FA7A9" w14:textId="77777777" w:rsidTr="00EA0DA7">
        <w:tc>
          <w:tcPr>
            <w:tcW w:w="1368" w:type="dxa"/>
          </w:tcPr>
          <w:p w14:paraId="163E5F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382</w:t>
            </w:r>
          </w:p>
        </w:tc>
        <w:tc>
          <w:tcPr>
            <w:tcW w:w="6030" w:type="dxa"/>
          </w:tcPr>
          <w:p w14:paraId="71F203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Тарту</w:t>
            </w:r>
          </w:p>
        </w:tc>
      </w:tr>
      <w:tr w:rsidR="00983732" w:rsidRPr="00A3026E" w14:paraId="2EF40210" w14:textId="77777777" w:rsidTr="00EA0DA7">
        <w:tc>
          <w:tcPr>
            <w:tcW w:w="1368" w:type="dxa"/>
          </w:tcPr>
          <w:p w14:paraId="127FFD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ГУ</w:t>
            </w:r>
          </w:p>
        </w:tc>
        <w:tc>
          <w:tcPr>
            <w:tcW w:w="6030" w:type="dxa"/>
          </w:tcPr>
          <w:p w14:paraId="531D87E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074A1E4" w14:textId="77777777" w:rsidTr="00EA0DA7">
        <w:tc>
          <w:tcPr>
            <w:tcW w:w="1368" w:type="dxa"/>
          </w:tcPr>
          <w:p w14:paraId="61FFE2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6030" w:type="dxa"/>
          </w:tcPr>
          <w:p w14:paraId="309E35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Севастополь</w:t>
            </w:r>
          </w:p>
        </w:tc>
      </w:tr>
      <w:tr w:rsidR="00983732" w:rsidRPr="00A3026E" w14:paraId="7D59B39C" w14:textId="77777777" w:rsidTr="00EA0DA7">
        <w:tc>
          <w:tcPr>
            <w:tcW w:w="1368" w:type="dxa"/>
          </w:tcPr>
          <w:p w14:paraId="557375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ГУ</w:t>
            </w:r>
          </w:p>
        </w:tc>
        <w:tc>
          <w:tcPr>
            <w:tcW w:w="6030" w:type="dxa"/>
          </w:tcPr>
          <w:p w14:paraId="495C84A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0E3F4913" w14:textId="77777777" w:rsidTr="00EA0DA7">
        <w:tc>
          <w:tcPr>
            <w:tcW w:w="1368" w:type="dxa"/>
          </w:tcPr>
          <w:p w14:paraId="754C69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290</w:t>
            </w:r>
          </w:p>
        </w:tc>
        <w:tc>
          <w:tcPr>
            <w:tcW w:w="6030" w:type="dxa"/>
          </w:tcPr>
          <w:p w14:paraId="0F7ECB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Ухтомская</w:t>
            </w:r>
          </w:p>
        </w:tc>
      </w:tr>
      <w:tr w:rsidR="00983732" w:rsidRPr="00A3026E" w14:paraId="5F240CB4" w14:textId="77777777" w:rsidTr="00EA0DA7">
        <w:tc>
          <w:tcPr>
            <w:tcW w:w="1368" w:type="dxa"/>
          </w:tcPr>
          <w:p w14:paraId="2CE311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ГУ</w:t>
            </w:r>
          </w:p>
        </w:tc>
        <w:tc>
          <w:tcPr>
            <w:tcW w:w="6030" w:type="dxa"/>
          </w:tcPr>
          <w:p w14:paraId="1E27278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6771086" w14:textId="77777777" w:rsidTr="00EA0DA7">
        <w:tc>
          <w:tcPr>
            <w:tcW w:w="1368" w:type="dxa"/>
          </w:tcPr>
          <w:p w14:paraId="05084B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291</w:t>
            </w:r>
          </w:p>
        </w:tc>
        <w:tc>
          <w:tcPr>
            <w:tcW w:w="6030" w:type="dxa"/>
          </w:tcPr>
          <w:p w14:paraId="2A360B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Тушино</w:t>
            </w:r>
          </w:p>
        </w:tc>
      </w:tr>
      <w:tr w:rsidR="00983732" w:rsidRPr="00A3026E" w14:paraId="52523BD2" w14:textId="77777777" w:rsidTr="00EA0DA7">
        <w:tc>
          <w:tcPr>
            <w:tcW w:w="1368" w:type="dxa"/>
          </w:tcPr>
          <w:p w14:paraId="50C1CB2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6030" w:type="dxa"/>
          </w:tcPr>
          <w:p w14:paraId="359C90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(1205, 1-12)</w:t>
            </w:r>
          </w:p>
        </w:tc>
      </w:tr>
    </w:tbl>
    <w:p w14:paraId="37CDCE77" w14:textId="77777777" w:rsidR="0014077F" w:rsidRPr="00A3026E" w:rsidRDefault="0014077F" w:rsidP="00A3026E">
      <w:pPr>
        <w:tabs>
          <w:tab w:val="left" w:pos="11199"/>
        </w:tabs>
        <w:spacing w:after="0" w:line="240" w:lineRule="auto"/>
        <w:jc w:val="both"/>
        <w:rPr>
          <w:rFonts w:ascii="Times New Roman" w:hAnsi="Times New Roman"/>
          <w:color w:val="000000" w:themeColor="text1"/>
          <w:sz w:val="16"/>
          <w:szCs w:val="16"/>
        </w:rPr>
      </w:pPr>
    </w:p>
    <w:p w14:paraId="6D7689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конце 1940 года по некоторым свидетельствам, И.В. Сталин высказывал серьезное недовольство разработкой новой авиационной техники. Так, согласно записям в дневнике Г.М. Димитрова, 7 ноября 1940 года после демонстрации на обеде у И.В. Сталина присутствовали Молотов, Калинин, Ворошилов, Буденный, Андреев, </w:t>
      </w:r>
      <w:r w:rsidRPr="00A3026E">
        <w:rPr>
          <w:rFonts w:ascii="Times New Roman" w:hAnsi="Times New Roman"/>
          <w:color w:val="000000" w:themeColor="text1"/>
          <w:sz w:val="16"/>
          <w:szCs w:val="16"/>
        </w:rPr>
        <w:lastRenderedPageBreak/>
        <w:t>Каганович, Берия, Микоян, Шверник, Булганин, Маленков, Щербаков, командующий Московского округа генерал армии Тюленев, Димитров, после вызвали Тимошенко (Невежин В.А. Застольные речи Сталина. С. 233.). Сталин заявил следующее:</w:t>
      </w:r>
    </w:p>
    <w:p w14:paraId="778B2D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постоянно учиться и каждые 2 – 3 года переучиваться. Но у нас не любят учиться. Не изучают уроков войны с Финляндией, уроков войны в Европе.</w:t>
      </w:r>
    </w:p>
    <w:p w14:paraId="31568D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Мы победили японцев на Халхин-Голе. Но наши самолеты оказались ниже японских по скоростности и высотности. Мы не готовы для такой войны, которая идет между Германией и Англией.</w:t>
      </w:r>
    </w:p>
    <w:p w14:paraId="607BE1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Оказалось, что наши самолеты могут задерживаться только до 35 минут в воздухе, а немецкие и английские по несколько часов! Если наши воздушные силы, транспорт и т.д. не будут на равной высоте наших врагов (а такие у нас все капиталистические государства и те, которые прикрашиваются под наших друзей!), они нас съедят.</w:t>
      </w:r>
    </w:p>
    <w:p w14:paraId="0B7DCB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Только при равных материальных силах мы можем победить, потому что опираемся на народ, народ с нами.</w:t>
      </w:r>
    </w:p>
    <w:p w14:paraId="73FB0A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для этого надо учиться, надо знать, надо уметь.</w:t>
      </w:r>
    </w:p>
    <w:p w14:paraId="00BD98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Между тем, никто из военного ведомства не сигнализировал насчет самолетов. Никто из вас не думал об этом.</w:t>
      </w:r>
    </w:p>
    <w:p w14:paraId="047CF4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 вызывал наших конструкторов и спрашивал их: можно ли сделать так, чтобы и наши самолеты задерживались в воздухе дольше? Ответили: Можно, но никто нам такого задания не давал! И теперь этот недостаток исправляется.</w:t>
      </w:r>
    </w:p>
    <w:p w14:paraId="48BB69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нас теперь пехота перестраивается, кавалерия была всегда хорошая, надо заняться серьезно авиацией и противовоздушной обороной.</w:t>
      </w:r>
    </w:p>
    <w:p w14:paraId="58CA30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этим я сейчас каждый день занимаюсь, принимаю конструкторов и других специалистов.</w:t>
      </w:r>
    </w:p>
    <w:p w14:paraId="5FA1CB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я один занимаюсь со всеми этими вопросами. Никто из вас об этом и не думает. Я стою один.</w:t>
      </w:r>
    </w:p>
    <w:p w14:paraId="5D0895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Ведь я могу учиться, читать, следить каждый день; почему вы это не можете делать? Не любите учиться, самодовольно живете себе. Растрачиваете наследство Ленина.</w:t>
      </w:r>
    </w:p>
    <w:p w14:paraId="2D4E3C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(Калинин: Нужно подумать насчет распределения времени, как-то времени не хватает!).</w:t>
      </w:r>
    </w:p>
    <w:p w14:paraId="2D8428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 не в этом дело! Люди беспечные, не хотят учиться и переучиваться.</w:t>
      </w:r>
    </w:p>
    <w:p w14:paraId="421030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Выслушают меня и все оставят по-старому. Но я вам покажу, если выйду из терпения. (Вы знаете, как я это могу). Так ударю по толстякам, что все затрещит» (Цит. по: Невежин В.А. Застольные речи Сталина. С. 234-235.).</w:t>
      </w:r>
    </w:p>
    <w:p w14:paraId="021F64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Г.М. Димитров описывает последующую реакцию присутствующих: «Все стояли прямо и слушали молчаливо, видимо никак не ожидали от Иосифа Виссарионовича такие Leviten (наставления (нем.)). В глазах Ворошилова показались слезы.</w:t>
      </w:r>
    </w:p>
    <w:p w14:paraId="095F49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время своего выступления Иосиф Виссарионович особенно обращался к Кагановичу и к Берия.</w:t>
      </w:r>
    </w:p>
    <w:p w14:paraId="278948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Никогда я не видел и не слышал Иосифа Виссарионовича таким, как в этот памятный вечер» (Невежин В.А. Указ. соч. С. 236.).</w:t>
      </w:r>
    </w:p>
    <w:p w14:paraId="58A5E5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 Невежин делает из этого эпизода следующий вывод: «Следовательно, Сталин осознавал, что ни решения мартовского (1940 года) пленума ЦК ВКП(б), ни материалы совещания при ЦК высшего начальствующего состава РККА 14 – 17 апреля 1940 года, где обсуждались итоги и уроки военных действий против Финляндии, не стали основополагающими для тех, кто отвечал за боевую подготовку советских Вооруженных Сил» (Там же. С. 233.) (11672).</w:t>
      </w:r>
    </w:p>
    <w:p w14:paraId="6F5139E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A27B6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на заводе № 23 было организовано ОКБ гл. конструктора М.Р. Бисновата.</w:t>
      </w:r>
    </w:p>
    <w:p w14:paraId="009E91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Ранее М.Р. Бисноват работал в ОКБ В.К. Таирова. С середины 1938 г. по конец 1940 г. возглавлял ОКБ при мастерских ЦАГИ, затем переведен на завод № 23.</w:t>
      </w:r>
    </w:p>
    <w:p w14:paraId="5E51FF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Продолжены работы по скоростным самолетам СК-1 и СК-2. Разработан проект СК-3.</w:t>
      </w:r>
    </w:p>
    <w:p w14:paraId="0AC0E4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начала войны ОКБ ликвидировано, опытные работы прекращены, штат сотрудников влит в состав завода. Бисноват руководил выпуском серии ЛаГГ-3 на заводе № 153, с 1942 г.- зам. гл. конструктора завода № 55 НКАП (11982).</w:t>
      </w:r>
    </w:p>
    <w:p w14:paraId="2519100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4D8804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завод № 47 был определен основной базой создания опытных и серийных учебно-тренировочных самолетов. Для этого при заводе в начале 1941 г. образован опытный цех во главе с И.О. конструктора Е. Г. Адлером (приказ № 754с от 19.12.1940 г.). КБ работало при заводе до конца 1941 г. По прта № 857с от 15.08.1941 г. ОКБ было слито с Серийным КБ завода для оказания технической помощи серийно производству. Е. Г. Адлер освобожден от должности гл. конструктора и переведен в ОКБ-115 (11982).</w:t>
      </w:r>
    </w:p>
    <w:p w14:paraId="761332F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B53EE3A" w14:textId="77777777" w:rsidR="00656225" w:rsidRPr="00A3026E" w:rsidRDefault="00656225"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shd w:val="clear" w:color="auto" w:fill="FFFFFF"/>
        </w:rPr>
        <w:t>В конце 1940 г. Советский Союз заказал в Германии 10 "юнкерсов" в грузовом варианте. В феврале - апреле следующего года три из них облетали и приняли. Но в СССР эти машины не поступили. Это было связано с тем, что делегация во главе с И.Ф. Петровым, ознакомившись в Германии с Ju 52/3m, переделанным в летающую лабораторию для испытания двигателей, попросила сдать в этом варианте пять из десяти заказанных машин. Фирма согласилась на доработку только одного самолета со сроком в октябре 1941 г. (21550).</w:t>
      </w:r>
    </w:p>
    <w:p w14:paraId="5DE72B9E" w14:textId="77777777" w:rsidR="00656225" w:rsidRPr="00A3026E" w:rsidRDefault="00656225" w:rsidP="00A3026E">
      <w:pPr>
        <w:shd w:val="clear" w:color="auto" w:fill="FFFFFF"/>
        <w:spacing w:after="0" w:line="240" w:lineRule="auto"/>
        <w:jc w:val="both"/>
        <w:rPr>
          <w:rFonts w:ascii="Times New Roman" w:hAnsi="Times New Roman"/>
          <w:color w:val="0070C0"/>
          <w:sz w:val="16"/>
          <w:szCs w:val="16"/>
        </w:rPr>
      </w:pPr>
    </w:p>
    <w:p w14:paraId="088132AE" w14:textId="77777777" w:rsidR="00656225" w:rsidRPr="00A3026E" w:rsidRDefault="00656225" w:rsidP="00A3026E">
      <w:pPr>
        <w:pStyle w:val="7a"/>
        <w:shd w:val="clear" w:color="auto" w:fill="auto"/>
        <w:spacing w:before="0" w:line="240" w:lineRule="auto"/>
        <w:jc w:val="both"/>
        <w:rPr>
          <w:rFonts w:ascii="Times New Roman" w:hAnsi="Times New Roman" w:cs="Times New Roman"/>
          <w:color w:val="0070C0"/>
        </w:rPr>
      </w:pPr>
      <w:r w:rsidRPr="00A3026E">
        <w:rPr>
          <w:rFonts w:ascii="Times New Roman" w:hAnsi="Times New Roman" w:cs="Times New Roman"/>
          <w:color w:val="0070C0"/>
          <w:lang w:val="ru-RU"/>
        </w:rPr>
        <w:t>В</w:t>
      </w:r>
      <w:r w:rsidRPr="00A3026E">
        <w:rPr>
          <w:rFonts w:ascii="Times New Roman" w:hAnsi="Times New Roman" w:cs="Times New Roman"/>
          <w:color w:val="0070C0"/>
        </w:rPr>
        <w:t xml:space="preserve"> конце 1940 г. после объявления пра</w:t>
      </w:r>
      <w:r w:rsidRPr="00A3026E">
        <w:rPr>
          <w:rFonts w:ascii="Times New Roman" w:hAnsi="Times New Roman" w:cs="Times New Roman"/>
          <w:color w:val="0070C0"/>
        </w:rPr>
        <w:softHyphen/>
        <w:t>вительством США эмбарго на поставки в СССР после начала войны с Финляндией американские летаю</w:t>
      </w:r>
      <w:r w:rsidRPr="00A3026E">
        <w:rPr>
          <w:rFonts w:ascii="Times New Roman" w:hAnsi="Times New Roman" w:cs="Times New Roman"/>
          <w:color w:val="0070C0"/>
        </w:rPr>
        <w:softHyphen/>
        <w:t>щие лодки были сняты с производства</w:t>
      </w:r>
      <w:r w:rsidRPr="00A3026E">
        <w:rPr>
          <w:rFonts w:ascii="Times New Roman" w:hAnsi="Times New Roman" w:cs="Times New Roman"/>
          <w:color w:val="0070C0"/>
          <w:lang w:val="ru-RU"/>
        </w:rPr>
        <w:t xml:space="preserve"> на заводе № 31</w:t>
      </w:r>
      <w:r w:rsidRPr="00A3026E">
        <w:rPr>
          <w:rFonts w:ascii="Times New Roman" w:hAnsi="Times New Roman" w:cs="Times New Roman"/>
          <w:color w:val="0070C0"/>
        </w:rPr>
        <w:t>. Всего к этому времени было построено и собрано из американских узлов в общей сложности 27 самолетов ГСТ. В цехах за</w:t>
      </w:r>
      <w:r w:rsidRPr="00A3026E">
        <w:rPr>
          <w:rFonts w:ascii="Times New Roman" w:hAnsi="Times New Roman" w:cs="Times New Roman"/>
          <w:color w:val="0070C0"/>
        </w:rPr>
        <w:softHyphen/>
        <w:t>вода №31 «американца» сменили отече</w:t>
      </w:r>
      <w:r w:rsidRPr="00A3026E">
        <w:rPr>
          <w:rFonts w:ascii="Times New Roman" w:hAnsi="Times New Roman" w:cs="Times New Roman"/>
          <w:color w:val="0070C0"/>
        </w:rPr>
        <w:softHyphen/>
        <w:t>ственные дальние морские разведчики МДР-6 (Че-2)</w:t>
      </w:r>
      <w:r w:rsidRPr="00A3026E">
        <w:rPr>
          <w:rFonts w:ascii="Times New Roman" w:hAnsi="Times New Roman" w:cs="Times New Roman"/>
          <w:color w:val="0070C0"/>
          <w:lang w:val="ru-RU"/>
        </w:rPr>
        <w:t xml:space="preserve"> (19852)</w:t>
      </w:r>
      <w:r w:rsidRPr="00A3026E">
        <w:rPr>
          <w:rFonts w:ascii="Times New Roman" w:hAnsi="Times New Roman" w:cs="Times New Roman"/>
          <w:color w:val="0070C0"/>
        </w:rPr>
        <w:t>.</w:t>
      </w:r>
    </w:p>
    <w:p w14:paraId="5F81EE5D" w14:textId="77777777" w:rsidR="00656225" w:rsidRPr="00A3026E" w:rsidRDefault="00656225" w:rsidP="00A3026E">
      <w:pPr>
        <w:pStyle w:val="7a"/>
        <w:shd w:val="clear" w:color="auto" w:fill="auto"/>
        <w:spacing w:before="0" w:line="240" w:lineRule="auto"/>
        <w:jc w:val="both"/>
        <w:rPr>
          <w:rFonts w:ascii="Times New Roman" w:hAnsi="Times New Roman" w:cs="Times New Roman"/>
          <w:color w:val="0070C0"/>
        </w:rPr>
      </w:pPr>
    </w:p>
    <w:p w14:paraId="59960FEE" w14:textId="77777777" w:rsidR="00B072E6" w:rsidRPr="00A3026E" w:rsidRDefault="00B072E6" w:rsidP="00A3026E">
      <w:pPr>
        <w:pStyle w:val="27"/>
        <w:shd w:val="clear" w:color="auto" w:fill="auto"/>
        <w:spacing w:before="0" w:line="240" w:lineRule="auto"/>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В самом кон</w:t>
      </w:r>
      <w:r w:rsidRPr="00A3026E">
        <w:rPr>
          <w:rFonts w:ascii="Times New Roman" w:hAnsi="Times New Roman" w:cs="Times New Roman"/>
          <w:color w:val="000000" w:themeColor="text1"/>
          <w:sz w:val="16"/>
          <w:szCs w:val="16"/>
        </w:rPr>
        <w:softHyphen/>
        <w:t>це 1940 г. на терри</w:t>
      </w:r>
      <w:r w:rsidRPr="00A3026E">
        <w:rPr>
          <w:rFonts w:ascii="Times New Roman" w:hAnsi="Times New Roman" w:cs="Times New Roman"/>
          <w:color w:val="000000" w:themeColor="text1"/>
          <w:sz w:val="16"/>
          <w:szCs w:val="16"/>
        </w:rPr>
        <w:softHyphen/>
        <w:t>тории северо-запад</w:t>
      </w:r>
      <w:r w:rsidRPr="00A3026E">
        <w:rPr>
          <w:rFonts w:ascii="Times New Roman" w:hAnsi="Times New Roman" w:cs="Times New Roman"/>
          <w:color w:val="000000" w:themeColor="text1"/>
          <w:sz w:val="16"/>
          <w:szCs w:val="16"/>
        </w:rPr>
        <w:softHyphen/>
        <w:t>ного Китая в г. Урум</w:t>
      </w:r>
      <w:r w:rsidRPr="00A3026E">
        <w:rPr>
          <w:rFonts w:ascii="Times New Roman" w:hAnsi="Times New Roman" w:cs="Times New Roman"/>
          <w:color w:val="000000" w:themeColor="text1"/>
          <w:sz w:val="16"/>
          <w:szCs w:val="16"/>
        </w:rPr>
        <w:softHyphen/>
        <w:t>чи бвл создан авиазавод № 600 НКАП (15811).</w:t>
      </w:r>
    </w:p>
    <w:p w14:paraId="6CEE0948" w14:textId="77777777" w:rsidR="00B072E6" w:rsidRPr="00A3026E" w:rsidRDefault="00B072E6" w:rsidP="00A3026E">
      <w:pPr>
        <w:pStyle w:val="27"/>
        <w:shd w:val="clear" w:color="auto" w:fill="auto"/>
        <w:spacing w:before="0" w:line="240" w:lineRule="auto"/>
        <w:jc w:val="both"/>
        <w:rPr>
          <w:rFonts w:ascii="Times New Roman" w:hAnsi="Times New Roman" w:cs="Times New Roman"/>
          <w:color w:val="000000" w:themeColor="text1"/>
          <w:sz w:val="16"/>
          <w:szCs w:val="16"/>
        </w:rPr>
      </w:pPr>
    </w:p>
    <w:p w14:paraId="02E6F79C" w14:textId="77777777" w:rsidR="00A616D9" w:rsidRPr="00A3026E" w:rsidRDefault="00A616D9"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ещё до сдачи первой очереди завода на заводе № 500 в Урумчи началась сборка И-16, и на 1 января 1941 г. было собрано 6 самолетов из числа прибывших к этому времени 32 комплектов. До июня 1941 года завод не имел утверждённой годовой программы, а также и заказчика, которому сдавать готовую продукцию. Поэтому собранные и испытанные заводом машины принимались только ОТК завода, затем разбирались, консервировались и отправлялись на склад на хранение (19006).</w:t>
      </w:r>
    </w:p>
    <w:p w14:paraId="71B5D73D" w14:textId="77777777" w:rsidR="00A616D9" w:rsidRPr="00A3026E" w:rsidRDefault="00A616D9" w:rsidP="00A3026E">
      <w:pPr>
        <w:spacing w:after="0" w:line="240" w:lineRule="auto"/>
        <w:jc w:val="both"/>
        <w:rPr>
          <w:rFonts w:ascii="Times New Roman" w:hAnsi="Times New Roman"/>
          <w:color w:val="000000" w:themeColor="text1"/>
          <w:sz w:val="16"/>
          <w:szCs w:val="16"/>
        </w:rPr>
      </w:pPr>
    </w:p>
    <w:p w14:paraId="680F2882" w14:textId="77777777" w:rsidR="00A616D9" w:rsidRPr="00A3026E" w:rsidRDefault="00A616D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К концу 1940 г. эти работы завершались созданием ряда герметических кабин, в которых были осуществлены полеты на высотах свыше 12 000 м.</w:t>
      </w:r>
    </w:p>
    <w:p w14:paraId="289202FB" w14:textId="77777777" w:rsidR="00A616D9" w:rsidRPr="00A3026E" w:rsidRDefault="00A616D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На самолете И-153 была установлена герметическая каби на отечественной конструкции. Она прошла государственные испытания в НИИ ВВС и была рекомендована для установки на ряд боевых самолетов.</w:t>
      </w:r>
    </w:p>
    <w:p w14:paraId="0489256A" w14:textId="77777777" w:rsidR="00A616D9" w:rsidRPr="00A3026E" w:rsidRDefault="00A616D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Этот успех с созданием герметических кабин, высотные полеты на планерах, освещенные в отечественной и зарубеж ной прессе, и успешные испытания ПВРД послужили основа нием выхода важного решения ЦК ВКП (б) и СНК СССР об организации опытного завода, на котором должны были быть продолжены работы по освоению высокоскоростных самоле тов (19586).</w:t>
      </w:r>
    </w:p>
    <w:p w14:paraId="1C6CF8E6" w14:textId="77777777" w:rsidR="00A616D9" w:rsidRPr="00A3026E" w:rsidRDefault="00A616D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B955B89" w14:textId="77777777" w:rsidR="00A616D9" w:rsidRPr="00A3026E" w:rsidRDefault="00A616D9"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конце 1940 г. была начата разработ ка самолета с ПД М-71 и двумя ПВРД ДМ-12 И.А. Меркулова. В начале 1941 г. был закончен эскизный проект самолета «Д». В проекте самолета «Д» основная ставка де лалась на прямоточные воздушно-реактивные двигатели И.А. Меркулова, с помощью которых А.А. Боровков и И.Ф. Флоров хотели добиться значительного увеличения мак симальной скорости, скороподъемности и потолка</w:t>
      </w:r>
    </w:p>
    <w:p w14:paraId="4BE5514A" w14:textId="77777777" w:rsidR="00A616D9" w:rsidRPr="00A3026E" w:rsidRDefault="00A616D9"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 короткий срок проект был одобрен экспертным советом НКАП, перспективную разработку решено было продолжать.</w:t>
      </w:r>
    </w:p>
    <w:p w14:paraId="376C5867" w14:textId="77777777" w:rsidR="00A616D9" w:rsidRPr="00A3026E" w:rsidRDefault="00A616D9" w:rsidP="00A3026E">
      <w:pPr>
        <w:pStyle w:val="ae"/>
        <w:shd w:val="clear" w:color="auto" w:fill="FFFFFF"/>
        <w:spacing w:before="0" w:after="0"/>
        <w:jc w:val="both"/>
        <w:rPr>
          <w:color w:val="000000" w:themeColor="text1"/>
          <w:sz w:val="16"/>
          <w:szCs w:val="16"/>
        </w:rPr>
      </w:pPr>
      <w:r w:rsidRPr="00A3026E">
        <w:rPr>
          <w:color w:val="000000" w:themeColor="text1"/>
          <w:sz w:val="16"/>
          <w:szCs w:val="16"/>
        </w:rPr>
        <w:t>Авторами проекта было рассмотрено большое количество вариантов и схем, прежде чем они остановились на одной из них. Наиболее целесообразной была признана схема одномо торного двухбалочного моноплана с толкающим воздушным винтом, балки-фюзеляжи при этом являлись корпусами реак тивных двигателей.</w:t>
      </w:r>
    </w:p>
    <w:p w14:paraId="52883D0F" w14:textId="77777777" w:rsidR="00A616D9" w:rsidRPr="00A3026E" w:rsidRDefault="00A616D9" w:rsidP="00A3026E">
      <w:pPr>
        <w:pStyle w:val="ae"/>
        <w:shd w:val="clear" w:color="auto" w:fill="FFFFFF"/>
        <w:spacing w:before="0" w:after="0"/>
        <w:jc w:val="both"/>
        <w:rPr>
          <w:color w:val="000000" w:themeColor="text1"/>
          <w:sz w:val="16"/>
          <w:szCs w:val="16"/>
        </w:rPr>
      </w:pPr>
      <w:r w:rsidRPr="00A3026E">
        <w:rPr>
          <w:color w:val="000000" w:themeColor="text1"/>
          <w:sz w:val="16"/>
          <w:szCs w:val="16"/>
        </w:rPr>
        <w:t>Проект самолета «Д» представлялся как перспективный истребитель-перехватчик с мощным наступательным пушечным вооружением. Задуманный самолет воплощал в себе все достижения аэродинамики предвоенного периода. У него был вытянутый фюзеляж, ламинарный профиль стреловидного крыла, мощнейший двигатель М-71 (его мощность 2 000 л.с. тогда была еще в проекте) в сочетании с ДМ. Все эти данные должны были позволить новому истребителю разгоняться до скорости 850 км/ч (19586).</w:t>
      </w:r>
    </w:p>
    <w:p w14:paraId="4F9B59E4" w14:textId="77777777" w:rsidR="00A616D9" w:rsidRPr="00A3026E" w:rsidRDefault="00A616D9" w:rsidP="00A3026E">
      <w:pPr>
        <w:pStyle w:val="ae"/>
        <w:shd w:val="clear" w:color="auto" w:fill="FFFFFF"/>
        <w:spacing w:before="0" w:after="0"/>
        <w:jc w:val="both"/>
        <w:rPr>
          <w:color w:val="000000" w:themeColor="text1"/>
          <w:sz w:val="16"/>
          <w:szCs w:val="16"/>
        </w:rPr>
      </w:pPr>
    </w:p>
    <w:p w14:paraId="15D459D2" w14:textId="77777777" w:rsidR="004729C8" w:rsidRPr="00A3026E" w:rsidRDefault="004729C8" w:rsidP="00A3026E">
      <w:pPr>
        <w:pStyle w:val="128"/>
        <w:shd w:val="clear" w:color="auto" w:fill="auto"/>
        <w:spacing w:after="0" w:line="240" w:lineRule="auto"/>
        <w:jc w:val="both"/>
        <w:rPr>
          <w:color w:val="000000" w:themeColor="text1"/>
          <w:sz w:val="16"/>
          <w:szCs w:val="16"/>
        </w:rPr>
      </w:pPr>
      <w:r w:rsidRPr="00A3026E">
        <w:rPr>
          <w:color w:val="000000" w:themeColor="text1"/>
          <w:sz w:val="16"/>
          <w:szCs w:val="16"/>
        </w:rPr>
        <w:t>В конце 1940 года на НИП АВ ВВС провели контроль</w:t>
      </w:r>
      <w:r w:rsidRPr="00A3026E">
        <w:rPr>
          <w:color w:val="000000" w:themeColor="text1"/>
          <w:sz w:val="16"/>
          <w:szCs w:val="16"/>
        </w:rPr>
        <w:softHyphen/>
        <w:t>ные испытания мотор-пушки МП-6, закрепленной на моторе М-105П. При стрельбе из пушки на зем</w:t>
      </w:r>
      <w:r w:rsidRPr="00A3026E">
        <w:rPr>
          <w:color w:val="000000" w:themeColor="text1"/>
          <w:sz w:val="16"/>
          <w:szCs w:val="16"/>
        </w:rPr>
        <w:softHyphen/>
        <w:t>ле при неработающем моторе после 735 выстрелов вырвало площадку картера мотора с креплением пушки. О поломке картера мотора немедленно был поставлен в известность главный конструктор завода № 26 В. Я. Климов. Последний обещал раз</w:t>
      </w:r>
      <w:r w:rsidRPr="00A3026E">
        <w:rPr>
          <w:color w:val="000000" w:themeColor="text1"/>
          <w:sz w:val="16"/>
          <w:szCs w:val="16"/>
        </w:rPr>
        <w:softHyphen/>
        <w:t>работать и изготовить новый усиленный картер к 25 января 1941 г. Между тем в соответствии с по</w:t>
      </w:r>
      <w:r w:rsidRPr="00A3026E">
        <w:rPr>
          <w:color w:val="000000" w:themeColor="text1"/>
          <w:sz w:val="16"/>
          <w:szCs w:val="16"/>
        </w:rPr>
        <w:softHyphen/>
        <w:t>становлением СНК СССР и ЦК ВКП(б) от 7 декабря 1940 г. моторы М-105П должны были с 1 января 1941 г. поставляться самолетным заводам НКАП в большом количестве (17500).</w:t>
      </w:r>
    </w:p>
    <w:p w14:paraId="0E86868A" w14:textId="77777777" w:rsidR="004729C8" w:rsidRPr="00A3026E" w:rsidRDefault="004729C8" w:rsidP="00A3026E">
      <w:pPr>
        <w:spacing w:after="0" w:line="240" w:lineRule="auto"/>
        <w:jc w:val="both"/>
        <w:rPr>
          <w:rFonts w:ascii="Times New Roman" w:hAnsi="Times New Roman"/>
          <w:color w:val="000000" w:themeColor="text1"/>
          <w:sz w:val="16"/>
          <w:szCs w:val="16"/>
        </w:rPr>
      </w:pPr>
    </w:p>
    <w:p w14:paraId="59E406E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на конференции по тематическому плану ВИАМ на 1941 год, один из докладчиков - представитель Ко</w:t>
      </w:r>
      <w:r w:rsidRPr="00A3026E">
        <w:rPr>
          <w:rFonts w:ascii="Times New Roman" w:hAnsi="Times New Roman"/>
          <w:color w:val="000000" w:themeColor="text1"/>
          <w:sz w:val="16"/>
          <w:szCs w:val="16"/>
        </w:rPr>
        <w:softHyphen/>
        <w:t>митета Обороны Лешуков - ссылался на преувеличенные производствен</w:t>
      </w:r>
      <w:r w:rsidRPr="00A3026E">
        <w:rPr>
          <w:rFonts w:ascii="Times New Roman" w:hAnsi="Times New Roman"/>
          <w:color w:val="000000" w:themeColor="text1"/>
          <w:sz w:val="16"/>
          <w:szCs w:val="16"/>
        </w:rPr>
        <w:softHyphen/>
        <w:t>ные возможности немецкой авиапромышленности:</w:t>
      </w:r>
    </w:p>
    <w:p w14:paraId="1BEA34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как выразить двумя-тремя словами все направление работы ВИАМ. Я бы сказал, что основная задача - это обеспечить и подготовить массовое произ</w:t>
      </w:r>
      <w:r w:rsidRPr="00A3026E">
        <w:rPr>
          <w:rFonts w:ascii="Times New Roman" w:hAnsi="Times New Roman"/>
          <w:color w:val="000000" w:themeColor="text1"/>
          <w:sz w:val="16"/>
          <w:szCs w:val="16"/>
        </w:rPr>
        <w:softHyphen/>
        <w:t>водство хороших самолетов и авиационных моторов. Больше ничего. Значит, это вопрос количества и качества. Оба этих понятия являются переменными, нестабильными во времени. Например, вопрос о количестве. Французская ар</w:t>
      </w:r>
      <w:r w:rsidRPr="00A3026E">
        <w:rPr>
          <w:rFonts w:ascii="Times New Roman" w:hAnsi="Times New Roman"/>
          <w:color w:val="000000" w:themeColor="text1"/>
          <w:sz w:val="16"/>
          <w:szCs w:val="16"/>
        </w:rPr>
        <w:softHyphen/>
        <w:t>мия выставила для борьбы с немцами около 500 боевых самолетов, причем по</w:t>
      </w:r>
      <w:r w:rsidRPr="00A3026E">
        <w:rPr>
          <w:rFonts w:ascii="Times New Roman" w:hAnsi="Times New Roman"/>
          <w:color w:val="000000" w:themeColor="text1"/>
          <w:sz w:val="16"/>
          <w:szCs w:val="16"/>
        </w:rPr>
        <w:softHyphen/>
        <w:t xml:space="preserve">ловина из них - устаревших </w:t>
      </w:r>
      <w:r w:rsidRPr="00A3026E">
        <w:rPr>
          <w:rFonts w:ascii="Times New Roman" w:hAnsi="Times New Roman"/>
          <w:color w:val="000000" w:themeColor="text1"/>
          <w:sz w:val="16"/>
          <w:szCs w:val="16"/>
        </w:rPr>
        <w:lastRenderedPageBreak/>
        <w:t>конструкций. А теперь разводят руками и не знают, почему воздушные силы Франции были так быстро разбиты. Вопрос простой. Что значит в наше время выставить 500 боевых самолетов, - это не масштаб... Реальным масштабом на сегодня можно считать примерно то, что делает Гер</w:t>
      </w:r>
      <w:r w:rsidRPr="00A3026E">
        <w:rPr>
          <w:rFonts w:ascii="Times New Roman" w:hAnsi="Times New Roman"/>
          <w:color w:val="000000" w:themeColor="text1"/>
          <w:sz w:val="16"/>
          <w:szCs w:val="16"/>
        </w:rPr>
        <w:softHyphen/>
        <w:t>мания. По официальным печатным материалам можно судить, что они делают примерно 2500 авиационных моторов и 1800 самолетов в месяц. Это реальный масштаб, вокруг которого и можно вести разговор. Такая масштабность для Со</w:t>
      </w:r>
      <w:r w:rsidRPr="00A3026E">
        <w:rPr>
          <w:rFonts w:ascii="Times New Roman" w:hAnsi="Times New Roman"/>
          <w:color w:val="000000" w:themeColor="text1"/>
          <w:sz w:val="16"/>
          <w:szCs w:val="16"/>
        </w:rPr>
        <w:softHyphen/>
        <w:t>ветского Союза реальна и достижима и не является какой-то далекой перспек</w:t>
      </w:r>
      <w:r w:rsidRPr="00A3026E">
        <w:rPr>
          <w:rFonts w:ascii="Times New Roman" w:hAnsi="Times New Roman"/>
          <w:color w:val="000000" w:themeColor="text1"/>
          <w:sz w:val="16"/>
          <w:szCs w:val="16"/>
        </w:rPr>
        <w:softHyphen/>
        <w:t>тивой. Вокруг такой цифры и даже несколько большей, надо нам серьезно пора</w:t>
      </w:r>
      <w:r w:rsidRPr="00A3026E">
        <w:rPr>
          <w:rFonts w:ascii="Times New Roman" w:hAnsi="Times New Roman"/>
          <w:color w:val="000000" w:themeColor="text1"/>
          <w:sz w:val="16"/>
          <w:szCs w:val="16"/>
        </w:rPr>
        <w:softHyphen/>
        <w:t>ботать и в первой шеренге этих работников должен идти ВИАМ» (Самарский филиал Российского государственного архива научно-технической документации (РГАНТД). Ф. Р-124. Оп. 1-6. Д. 75. Л. 53-54.).</w:t>
      </w:r>
    </w:p>
    <w:p w14:paraId="02E6FF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Эта информация представляется чрезвычайно важной. Если данные о немецком авиапроизводстве, представленные И.Ф. Петровым (70-80 са</w:t>
      </w:r>
      <w:r w:rsidRPr="00A3026E">
        <w:rPr>
          <w:rFonts w:ascii="Times New Roman" w:hAnsi="Times New Roman"/>
          <w:color w:val="000000" w:themeColor="text1"/>
          <w:sz w:val="16"/>
          <w:szCs w:val="16"/>
        </w:rPr>
        <w:softHyphen/>
        <w:t>молетов в день), практически совпадали с данными открытой иностран</w:t>
      </w:r>
      <w:r w:rsidRPr="00A3026E">
        <w:rPr>
          <w:rFonts w:ascii="Times New Roman" w:hAnsi="Times New Roman"/>
          <w:color w:val="000000" w:themeColor="text1"/>
          <w:sz w:val="16"/>
          <w:szCs w:val="16"/>
        </w:rPr>
        <w:softHyphen/>
        <w:t>ной печати (60 самолетов в день) и эти данные фигурировали как рабочие цифры в советских НИИ, весьма вероятно, что первоначально «утечка» этих данных была инспирирована самими немцами и поддерживалась ими впоследствии достаточно успешно на самых разных уровнях (11710,279).</w:t>
      </w:r>
    </w:p>
    <w:p w14:paraId="72D3122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B90D48D" w14:textId="77777777" w:rsidR="00841877" w:rsidRPr="00A3026E" w:rsidRDefault="008418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До конца 1940 года интерес руководства Военно-Мор</w:t>
      </w:r>
      <w:r w:rsidRPr="00A3026E">
        <w:rPr>
          <w:rFonts w:ascii="Times New Roman" w:hAnsi="Times New Roman"/>
          <w:color w:val="0070C0"/>
          <w:sz w:val="16"/>
          <w:szCs w:val="16"/>
        </w:rPr>
        <w:softHyphen/>
        <w:t>ского флота к системам Вахмистрова оставался. Об этом свидетельствует подготовленное 11 декабря 1940 года «Оперативно-тактическое обоснование применения ком</w:t>
      </w:r>
      <w:r w:rsidRPr="00A3026E">
        <w:rPr>
          <w:rFonts w:ascii="Times New Roman" w:hAnsi="Times New Roman"/>
          <w:color w:val="0070C0"/>
          <w:sz w:val="16"/>
          <w:szCs w:val="16"/>
        </w:rPr>
        <w:softHyphen/>
        <w:t>плексных звеньев ТБ-7+2 И-16 в авиации ВМФ».</w:t>
      </w:r>
    </w:p>
    <w:p w14:paraId="1E36DFBE" w14:textId="77777777" w:rsidR="00841877" w:rsidRPr="00A3026E" w:rsidRDefault="008418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числе основных задач указывались:</w:t>
      </w:r>
    </w:p>
    <w:p w14:paraId="3A32508B" w14:textId="77777777" w:rsidR="00841877" w:rsidRPr="00A3026E" w:rsidRDefault="008418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Прикрытие действий своего флота от налетов авиации противника на удалении до 300 км от ближайшего аэро</w:t>
      </w:r>
      <w:r w:rsidRPr="00A3026E">
        <w:rPr>
          <w:rFonts w:ascii="Times New Roman" w:hAnsi="Times New Roman"/>
          <w:color w:val="0070C0"/>
          <w:sz w:val="16"/>
          <w:szCs w:val="16"/>
        </w:rPr>
        <w:softHyphen/>
        <w:t>дрома.</w:t>
      </w:r>
    </w:p>
    <w:p w14:paraId="3748BA24" w14:textId="77777777" w:rsidR="00841877" w:rsidRPr="00A3026E" w:rsidRDefault="008418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Прикрытие военно-морских баз (ВМБ) от действий авиации противника путем длительного патрулирования в воздухе (в течение 6,5 часов).</w:t>
      </w:r>
    </w:p>
    <w:p w14:paraId="7C19C227" w14:textId="77777777" w:rsidR="00841877" w:rsidRPr="00A3026E" w:rsidRDefault="008418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Бомбардировочные действия с пикирования по транс</w:t>
      </w:r>
      <w:r w:rsidRPr="00A3026E">
        <w:rPr>
          <w:rFonts w:ascii="Times New Roman" w:hAnsi="Times New Roman"/>
          <w:color w:val="0070C0"/>
          <w:sz w:val="16"/>
          <w:szCs w:val="16"/>
        </w:rPr>
        <w:softHyphen/>
        <w:t>портам и легким силам противника на удалении до 300 км от ближайших сухопутных аэродромов.</w:t>
      </w:r>
    </w:p>
    <w:p w14:paraId="033A5286" w14:textId="77777777" w:rsidR="00841877" w:rsidRPr="00A3026E" w:rsidRDefault="008418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Обеспечение от налетов авиации противника наших коммуникаций (устье Белого моря, Мурманск, Владивос</w:t>
      </w:r>
      <w:r w:rsidRPr="00A3026E">
        <w:rPr>
          <w:rFonts w:ascii="Times New Roman" w:hAnsi="Times New Roman"/>
          <w:color w:val="0070C0"/>
          <w:sz w:val="16"/>
          <w:szCs w:val="16"/>
        </w:rPr>
        <w:softHyphen/>
        <w:t>ток, Сов. Гавань).</w:t>
      </w:r>
    </w:p>
    <w:p w14:paraId="6F7C97FF" w14:textId="77777777" w:rsidR="00841877" w:rsidRPr="00A3026E" w:rsidRDefault="008418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Главнейшие преимущества в применении комплексных звеньев по сравнению с существующими на вооружении истребителями, действующими непосредственно с аэро</w:t>
      </w:r>
      <w:r w:rsidRPr="00A3026E">
        <w:rPr>
          <w:rFonts w:ascii="Times New Roman" w:hAnsi="Times New Roman"/>
          <w:color w:val="0070C0"/>
          <w:sz w:val="16"/>
          <w:szCs w:val="16"/>
        </w:rPr>
        <w:softHyphen/>
        <w:t>дромов, заключаются в следующем:</w:t>
      </w:r>
    </w:p>
    <w:p w14:paraId="19E0101F" w14:textId="77777777" w:rsidR="00841877" w:rsidRPr="00A3026E" w:rsidRDefault="008418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1. Применение ТБ-7 как матки для истребителей увели</w:t>
      </w:r>
      <w:r w:rsidRPr="00A3026E">
        <w:rPr>
          <w:rFonts w:ascii="Times New Roman" w:hAnsi="Times New Roman"/>
          <w:color w:val="0070C0"/>
          <w:sz w:val="16"/>
          <w:szCs w:val="16"/>
        </w:rPr>
        <w:softHyphen/>
        <w:t>чивает радиус действия существующих истребителей в два раза.</w:t>
      </w:r>
    </w:p>
    <w:p w14:paraId="43D730D4" w14:textId="77777777" w:rsidR="00841877" w:rsidRPr="00A3026E" w:rsidRDefault="008418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2. Позволяет с меньшим напряжением для ИА нести в те</w:t>
      </w:r>
      <w:r w:rsidRPr="00A3026E">
        <w:rPr>
          <w:rFonts w:ascii="Times New Roman" w:hAnsi="Times New Roman"/>
          <w:color w:val="0070C0"/>
          <w:sz w:val="16"/>
          <w:szCs w:val="16"/>
        </w:rPr>
        <w:softHyphen/>
        <w:t>чение всего светлого времени непрерывное дежурство в воздухе при обороне ВМБ и других важных обьектов. (Пример: при обороне ВМБ путем одновременного дежур</w:t>
      </w:r>
      <w:r w:rsidRPr="00A3026E">
        <w:rPr>
          <w:rFonts w:ascii="Times New Roman" w:hAnsi="Times New Roman"/>
          <w:color w:val="0070C0"/>
          <w:sz w:val="16"/>
          <w:szCs w:val="16"/>
        </w:rPr>
        <w:softHyphen/>
        <w:t>ства в воздухе 18 истребителей, работающих с аэродро</w:t>
      </w:r>
      <w:r w:rsidRPr="00A3026E">
        <w:rPr>
          <w:rFonts w:ascii="Times New Roman" w:hAnsi="Times New Roman"/>
          <w:color w:val="0070C0"/>
          <w:sz w:val="16"/>
          <w:szCs w:val="16"/>
        </w:rPr>
        <w:softHyphen/>
        <w:t>ма, в течение 12 часов светлого времени потребно 144 са</w:t>
      </w:r>
      <w:r w:rsidRPr="00A3026E">
        <w:rPr>
          <w:rFonts w:ascii="Times New Roman" w:hAnsi="Times New Roman"/>
          <w:color w:val="0070C0"/>
          <w:sz w:val="16"/>
          <w:szCs w:val="16"/>
        </w:rPr>
        <w:softHyphen/>
        <w:t>молетовылета по 1,5 часа каждый).</w:t>
      </w:r>
    </w:p>
    <w:p w14:paraId="31791E5E" w14:textId="77777777" w:rsidR="00841877" w:rsidRPr="00A3026E" w:rsidRDefault="008418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Позволяет с меньшим напряжением для ИА обеспечить сопровождение кораблей флота на удалении до 300 км от аэродромов (20364).</w:t>
      </w:r>
    </w:p>
    <w:p w14:paraId="0E8EBE77" w14:textId="77777777" w:rsidR="00841877" w:rsidRPr="00A3026E" w:rsidRDefault="00841877" w:rsidP="00A3026E">
      <w:pPr>
        <w:shd w:val="clear" w:color="auto" w:fill="FFFFFF"/>
        <w:spacing w:after="0" w:line="240" w:lineRule="auto"/>
        <w:jc w:val="both"/>
        <w:rPr>
          <w:rFonts w:ascii="Times New Roman" w:hAnsi="Times New Roman"/>
          <w:color w:val="0070C0"/>
          <w:sz w:val="16"/>
          <w:szCs w:val="16"/>
        </w:rPr>
      </w:pPr>
    </w:p>
    <w:p w14:paraId="266B3A4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был основан «Московский конструкторско-производственный комп</w:t>
      </w:r>
      <w:r w:rsidRPr="00A3026E">
        <w:rPr>
          <w:rFonts w:ascii="Times New Roman" w:hAnsi="Times New Roman"/>
          <w:color w:val="000000" w:themeColor="text1"/>
          <w:sz w:val="16"/>
          <w:szCs w:val="16"/>
        </w:rPr>
        <w:softHyphen/>
        <w:t>лекс «Универсал» как завод №468 Наркомата авиационной промышленности, на протяжении всего времени своего существования оставалось основным разработчиком парашютно-десантной техники (11752).</w:t>
      </w:r>
    </w:p>
    <w:p w14:paraId="7AA6BE4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69DEB4DC" w14:textId="77777777" w:rsidR="00B072E6" w:rsidRPr="00A3026E" w:rsidRDefault="00B072E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на заводе «Подъёмник» начался выпуск подвесных систем для танков, которые шли на вооружение воздушно-десантных частей. Всего к маю 1941 года изготовили 130 комплектов, которые предназначались для крепления под бомбардировщики ТБ-3. Что же касается Котина и Кравцева, то в конце 1937 года их пути разошлись. Котин стал главным конструктором СКБ-2 Кировского завода и одним из ключевых людей в отечественном танкостроении. В случае с Кравцевым успех на ниве танкостроения оказался не таким громким, но и он оставил в нём серьёзный след (18244).</w:t>
      </w:r>
    </w:p>
    <w:p w14:paraId="1FCD3A8F" w14:textId="77777777" w:rsidR="00B072E6" w:rsidRPr="00A3026E" w:rsidRDefault="00B072E6" w:rsidP="00A3026E">
      <w:pPr>
        <w:spacing w:after="0" w:line="240" w:lineRule="auto"/>
        <w:jc w:val="both"/>
        <w:rPr>
          <w:rFonts w:ascii="Times New Roman" w:hAnsi="Times New Roman"/>
          <w:color w:val="000000" w:themeColor="text1"/>
          <w:sz w:val="16"/>
          <w:szCs w:val="16"/>
        </w:rPr>
      </w:pPr>
    </w:p>
    <w:p w14:paraId="1F4C433D" w14:textId="77777777" w:rsidR="00BB53B9" w:rsidRPr="00A3026E" w:rsidRDefault="00BB53B9" w:rsidP="00A3026E">
      <w:pPr>
        <w:pStyle w:val="a3"/>
        <w:rPr>
          <w:color w:val="000000" w:themeColor="text1"/>
          <w:lang w:val="ru-RU"/>
        </w:rPr>
      </w:pPr>
      <w:r w:rsidRPr="00A3026E">
        <w:rPr>
          <w:color w:val="000000" w:themeColor="text1"/>
          <w:lang w:val="ru-RU"/>
        </w:rPr>
        <w:t>К исходу 1940 г. в ОКБ-16 действительно спроектировали и из</w:t>
      </w:r>
      <w:r w:rsidRPr="00A3026E">
        <w:rPr>
          <w:color w:val="000000" w:themeColor="text1"/>
          <w:lang w:val="ru-RU"/>
        </w:rPr>
        <w:softHyphen/>
        <w:t>готовили очень лёгкий крупнокалиберный пулемёт АП-12,7. Но какой ценой! Во-первых, отвлекли внимание конструкторов от МП-6 и от 37-мм пушки, которую ОКБ-16 по бо</w:t>
      </w:r>
      <w:r w:rsidRPr="00A3026E">
        <w:rPr>
          <w:color w:val="000000" w:themeColor="text1"/>
          <w:lang w:val="ru-RU"/>
        </w:rPr>
        <w:softHyphen/>
        <w:t>лее раннему заказу следовало изготовить и представить на испытания в декабре 1940 г. Во-вторых, живучесть автоматики АП-12,7 оказалась крайне низкой — после 100-200 выстрелов начинались осечки и задержки, связанные с поломками отдельных деталей. Из-за погони за малой массой в конструкции пулемёта оказалось множество слабых мест, на устранение их требовалось время. Таубин попросил месяц, потом ещё один...(15787).</w:t>
      </w:r>
    </w:p>
    <w:p w14:paraId="4BBC32FB" w14:textId="77777777" w:rsidR="00BB53B9" w:rsidRPr="00A3026E" w:rsidRDefault="00BB53B9" w:rsidP="00A3026E">
      <w:pPr>
        <w:spacing w:after="0" w:line="240" w:lineRule="auto"/>
        <w:jc w:val="both"/>
        <w:rPr>
          <w:rFonts w:ascii="Times New Roman" w:hAnsi="Times New Roman"/>
          <w:color w:val="000000" w:themeColor="text1"/>
          <w:sz w:val="16"/>
          <w:szCs w:val="16"/>
        </w:rPr>
      </w:pPr>
    </w:p>
    <w:p w14:paraId="0DFCAD64" w14:textId="77777777" w:rsidR="00BB53B9" w:rsidRPr="00A3026E" w:rsidRDefault="00BB53B9" w:rsidP="00A3026E">
      <w:pPr>
        <w:pStyle w:val="a3"/>
        <w:rPr>
          <w:color w:val="000000" w:themeColor="text1"/>
          <w:lang w:val="ru-RU"/>
        </w:rPr>
      </w:pPr>
      <w:r w:rsidRPr="00A3026E">
        <w:rPr>
          <w:color w:val="000000" w:themeColor="text1"/>
          <w:lang w:val="ru-RU"/>
        </w:rPr>
        <w:t>С конца 1940 г. с НИИ-13 и ОКБ завода № 235 проверялась возмож</w:t>
      </w:r>
      <w:r w:rsidRPr="00A3026E">
        <w:rPr>
          <w:color w:val="000000" w:themeColor="text1"/>
          <w:lang w:val="ru-RU"/>
        </w:rPr>
        <w:softHyphen/>
        <w:t>ность установки на истребителях МиГ-1 и МиГ-3 двух синхронных пушек. В результате изучения конструкции всех авиационных пушек калибра 20 и 23 мм по рекомендации НИИ-1 3 была выбрана пушка Ш</w:t>
      </w:r>
      <w:r w:rsidRPr="00A3026E">
        <w:rPr>
          <w:color w:val="000000" w:themeColor="text1"/>
        </w:rPr>
        <w:t>BAK</w:t>
      </w:r>
      <w:r w:rsidRPr="00A3026E">
        <w:rPr>
          <w:color w:val="000000" w:themeColor="text1"/>
          <w:lang w:val="ru-RU"/>
        </w:rPr>
        <w:t>, как наиболее освоенная промышленностью. Однако начавшаяся война и последующая эвакуация не позволила усилить вооружение МиГов в 1941 г. Кроме этого про</w:t>
      </w:r>
      <w:r w:rsidRPr="00A3026E">
        <w:rPr>
          <w:color w:val="000000" w:themeColor="text1"/>
          <w:lang w:val="ru-RU"/>
        </w:rPr>
        <w:softHyphen/>
        <w:t>блему усугубляло отсутствие надёжного синхронизатора, который гарантировано исключал бы попадание снарядов в лопасть винта при синхронной стрельбе (15976).</w:t>
      </w:r>
    </w:p>
    <w:p w14:paraId="31947F84" w14:textId="77777777" w:rsidR="00BB53B9" w:rsidRPr="00A3026E" w:rsidRDefault="00BB53B9" w:rsidP="00A3026E">
      <w:pPr>
        <w:pStyle w:val="a3"/>
        <w:rPr>
          <w:color w:val="000000" w:themeColor="text1"/>
          <w:lang w:val="ru-RU"/>
        </w:rPr>
      </w:pPr>
    </w:p>
    <w:p w14:paraId="28ECA8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конца 1940 г. более четырехсот "Чаек" были оборудованы для установки PC. Переделки сводились в основном к установке металлической обшивки на нижней поверхности нижнего крыла и монтажу дополнительной электропроводки. Впрочем, в строевых частях вплоть до наступления войны РО-82 на самолетах не устанавливались, поэтому обучение личного состава воинских частей пришлось проводить уже в боевой обстановке (12014).</w:t>
      </w:r>
    </w:p>
    <w:p w14:paraId="1A0AC22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9C7FE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ГУ ВВС выявило, что центр тяжести ФАБ-100 цельнокованой конструкции находится на расстоянии 405 мм от головного среза вместо 364 мм как было указано на чертеже. А так как при разработке новых самолетов исходили из имеющихся чертежей, то подвеска этих бомб в бомбовых отсеках, в большинстве самолетов, обеспечивается установкой бугеля на 364 мм от головного среза (7479, 17).</w:t>
      </w:r>
    </w:p>
    <w:p w14:paraId="787A8F1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0D17B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года снаряженные ПЛАБ-100 поступили на склады и базы хранения. С 1941 г. авиабомба получила наименование ПЛАБ-100. Вместе с тем общая длина окончательно снаряженного боеприпа-са увеличилась на 220 мм.</w:t>
      </w:r>
    </w:p>
    <w:p w14:paraId="4F74B1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 ПЛАБ-100 состоял из тонкостенного цилиндра, свальцованного из листовой стали толщиной 3 мм с приваренными к нему сферическими передним и задним обтекателями, также отштампованными из тонкой стали. В головной части была вварена горловина с запальным стаканом, поскольку на этапе разработки авиабомбу также планировали окончательно снаряжать головными глубинными дистанционными трубками ТМ-7. На момент принятия МПЛАБ-100 на вооружение эти трубки, изготовленные на заводе № 398, проходили войсковые испытания.</w:t>
      </w:r>
    </w:p>
    <w:p w14:paraId="4AC4F5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головной запальный стакан можно было использовать в случае окончательного снаряжания боеприпаса головным взрывателем АМ-А с коротким хвостовиком для мгновенного действия авиабомбы по надводным целям. Там же приваривали и кронштейн, необходимый для подвески ПЛАБ-100 на вертикальных бомбодержателях Дер-34. Кроме того, на цилиндрической части корпуса устанавливали и бугель с подвесным ушком для транспортировки боеприпаса на горизонтальных бомбодержателях.</w:t>
      </w:r>
    </w:p>
    <w:p w14:paraId="010E22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донной части был вварен запальный стакан для окончательного снаряжания взрывателями АВ-87 или ВМ-7 при необходимости «работать» по подлодкам на перископной глубине (7453).</w:t>
      </w:r>
    </w:p>
    <w:p w14:paraId="165B06B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D1D83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химики ГСКБ-47 также сдали на испытания САБ-25 и САБ-15, но снаряженные пиротехническим составом на основе натровой селитры.</w:t>
      </w:r>
    </w:p>
    <w:p w14:paraId="304331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Постоянная нехватка алюминиевой пудры и магниевого порошка в начале 40-х годов не позволяла широко развернуть массовое производство САБ-25 и САБ-15. Над заменой остродефицитных материалов и упрощенных технологий снаряжания трудились на конкурсной основе лучшие специалисты ГСКБ-47 и Особого технического бюро ОТБ НКВД.</w:t>
      </w:r>
    </w:p>
    <w:p w14:paraId="1CBF61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в ОТБ разработали рецептуры снаряжания САБ-25 и САБ-15 на основе бариевой селитры и сплава AM, а также на основе натровой селитры и сплава AM. При этом удалось существенно снизить гигроскопичность натровой селитры и свести к минимуму количество компонентов, чтобы исключить возможные химические реакции между ними. Испытания боеприпасов обоих калибров с факелами, снаряженными по новой рецептуре, проводили одновременно с штатными осветительными авиабомбами аналогичных калибров. Во всех случаях горение факелов было ровным и без искрения. И если максимальная светосила штатных САБ-25 не превышала 628.000 свечей, то опытные факелы на заменителе из бариевой селитры уступали им в этом совсем незначительно - 620.000 свечей, хотя этот процесс у них был несколько более продолжительным. Зато свечение САБ-25 с опытными факелами на основе натровой селитры имело эквивалент 1.016.000 свечей, уступая штатным по времени горения лишь на 9 с. Удовлетворительные результаты испытаний и преимущества нового снаряжения, более технологичного в условиях военного времени, удовлетворили заказчика. Более химически стойкий состав на основе бариевой селитры стал основным в производстве, а на основе натровой селитры, как менее химически стойкой при длительном хранении, его рекомендовалось изготавливать только в военное время.</w:t>
      </w:r>
    </w:p>
    <w:p w14:paraId="750C48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Средняя светосила новых САБ-25 составила 1.284.000 свечей, а САБ-15 - 713.000 свечей, что превышало этот показатель у штатных боеприпасов тех же калибров. Однако в ходе испытаний было зафиксировано много отказов из-за конструктивных недоработок авиабомбы. Кроме того, малая герметичность корпусов авиабомб позволяла применять гигроскопичный пиротехнический состав на основе натровой селитры только для снаряжания в военное время (7453).</w:t>
      </w:r>
    </w:p>
    <w:p w14:paraId="7334679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C781D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конце 1940 г. испытали штатные САБ-25 чертежа 3-0412 на основе аллюминиевой пудры и магниевого порошка для определения боевых характеристик. Светосила их факела составила 572.000 свечей при времени горения факела 3 мин. Их действие в темную ночь на высоте 1500 м позволяло невооруженным глазом в радиусе </w:t>
      </w:r>
      <w:r w:rsidRPr="00A3026E">
        <w:rPr>
          <w:rFonts w:ascii="Times New Roman" w:hAnsi="Times New Roman"/>
          <w:color w:val="000000" w:themeColor="text1"/>
          <w:sz w:val="16"/>
          <w:szCs w:val="16"/>
        </w:rPr>
        <w:lastRenderedPageBreak/>
        <w:t>1000 м видеть с самолета дороги, воронки, контуры леса, а в центре светового пятна разглядеть более мелкие предметы. Однако в середине 1941 г. САБ-25 сняли с вооружения ВВС, хотя техническую документацию на ее производство и эксплуатацию не упраздняли в течение всей Великой Отечественной войны (7453).</w:t>
      </w:r>
    </w:p>
    <w:p w14:paraId="670C956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8CCE8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конструктор ГСКБ-47 А.Ф.Турахин высказал идею создания зажигательной авиабомбы, построенной по принципу многоструйного огнемета. Опытные образцы, выполненные в габаритах крупных авиабомб, испытали на Ногинском полигоне с положительным результатом в 1941 г. (7453)</w:t>
      </w:r>
    </w:p>
    <w:p w14:paraId="18067D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года после того, как полигонные испытания, проведенные в тонкостенной оболочке химической авиабомбы калибром 500 кг, дали положительные результаты, большая партия «шаров огневого действия» была изготовлена и сдана на войсковые испытания.</w:t>
      </w:r>
    </w:p>
    <w:p w14:paraId="4C0882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на испытания должен был поступить «комбинированный прибор» ХАРП-500, позволяющий «распылять отравляющие вещества», а его вариант ЗАРП-500 - разбрасывать термитные шары. По сути, это была обычная авиабомба рассеивающего действия, созданная инженерами А.И.Флегонто-вым, А.Г.Колпаковым и Л.Ф.Шевелкиным под руководством главного конструктора завода № 145 имени С.М.Кирова НКАП И.И.Картукова. Хотя в некоторой степени ЗАРП-500 можно считать аналогом кассетной авиабомбы РРАБ, снаряженной малогабаритными ЗАБ. При этом преимущество первой состояло не только в уменьшенных габаритах (что позволяло подвешивать ее в бомбоотсеке), но и в том, что ЗАРП не требовалось снаряжать в полевых условиях (7453).</w:t>
      </w:r>
    </w:p>
    <w:p w14:paraId="7D7964F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522DC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 авиационная промышленность уже имела серийно выпускаемые краски защитного, светло-зеленого и табачного (коричневого) цветов, что позволяло ввести, по крайней мере, три схемы камуфляжных окрасок: защитный + светло-зеленый, защитный (или светло-зеленый) + коричневый и защитный + светло-зеленый + коричневый. Однако, аэролаки марки All еще не полностью соответствовали всем требованиям маскировки. Они не были недешифрируемыми и, главное, при высыхании давали глянец. Кроме того, поверхности самолетов, окрашенные аэролаками All, могли быть отполированы и покрыты специальным аэролаком АВ-4 д/в (д/в = для винтов). Такое глянцевое покрытие было более устойчиво к воздействию атмосферных условий из-за меньшей смачиваемости поверхности, но отблески солнечных лучей от него неизбежно выделяли самолет на любом естественном фоне и заботиться о хороших маскирующих цветах окраски было бессмысленно (3092).</w:t>
      </w:r>
    </w:p>
    <w:p w14:paraId="1561B36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02D0D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сразу 6 ремесленных училищ Ленинграда преобразовываются в авиационные ремесленные училища с количеством учащихся 2900 человек; высококвалифицированные инженеры-производственники и представители научно-исследовательских институтов переводятся на заводы авиационной промышленности № 23 и № 388, где налаживается выпуск новейших истребителей ЛаГГ-3; с целью подготовки 15—20 человек ежегодно при Ленинградском государственном университете открывается отделение инженеров-расчетчиков по аэродинамике и прочности конструкций летательных аппаратов; инженеров-технологов по механической обработке древесины для нужд военной авиации (40— 45 человек в год) начинает готовить Лесотехническая академия; на базе Ленинградского дорожномеханического техникума создается авиационный техникум (Там же. С. 136, 137.) (11176).</w:t>
      </w:r>
    </w:p>
    <w:p w14:paraId="3B589FE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1FA3D4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 перевезли на НИПАВ оставшихся в 1940 г. в ходе очередной экспедиции неизрасходованные 130 штук импровизированных авиабомб из РС-132, хранившихя в бомбохранилищах невостребованными, и с начатом Великой Отечественной войны «перемодернизировали» обратно в ракетные снаряды (11402).</w:t>
      </w:r>
    </w:p>
    <w:p w14:paraId="080D8BA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24E6E29F" w14:textId="77777777" w:rsidR="00841877" w:rsidRPr="00A3026E" w:rsidRDefault="00841877"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конце 1940 года была завершена реконструкция парашютного завода № 2 в Солнечногорске. Было установлено соответствующее производственное оборудование, в том числе 105 импортных швейных машин, полученных только в октябре 1940 года (21402).</w:t>
      </w:r>
    </w:p>
    <w:p w14:paraId="4890B2D8" w14:textId="77777777" w:rsidR="00841877" w:rsidRPr="00A3026E" w:rsidRDefault="00841877" w:rsidP="00A3026E">
      <w:pPr>
        <w:spacing w:after="0" w:line="240" w:lineRule="auto"/>
        <w:jc w:val="both"/>
        <w:rPr>
          <w:rFonts w:ascii="Times New Roman" w:hAnsi="Times New Roman"/>
          <w:color w:val="0070C0"/>
          <w:sz w:val="16"/>
          <w:szCs w:val="16"/>
        </w:rPr>
      </w:pPr>
    </w:p>
    <w:p w14:paraId="0AB39516"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66B136F"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74D543C4" w14:textId="77777777" w:rsidR="00455ACA" w:rsidRPr="00A3026E" w:rsidRDefault="00455AC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при обсуждении мобилизационного задания промышленности на 1941 г. выяснилось, что корпусные заводы наркомата боеприпасов (НКБ) и машиностроительные предприятия гражданских наркоматов смогут произвести в 1941 г. 7 540 000 122-милиметровых осколочно-фугасных снарядов для 122-милиметровых гаубиц обр. 1938 г., из которых 7 015 000 снарядов (93%) будут иметь корпуса из сталистого чугуна (16). Фактически это означало резкое понижение эффективности огня советской артиллерии. Особенно сильно данный факт должен был отразиться на советских стрелковых (пехотных) дивизиях. В целом в советской стрелковой дивизии перед войной по штатам имелось 78 орудий калибра 76–152 мм. Из них 34 являлись 76-милиметровыми полковыми и дивизионными пушками, 32 – 122-милиметровыми гаубицами и лишь 12 – 152-милиметровыми гаубицами. Таким образом, переход в условиях военного времени на выпуск корпусов из сталистого чугуна для 76- и 122-милиметровых снарядов существенно понижал возможности стрелковой дивизии самостоятельно решать поставленные перед ней оперативные задачи, связанные с прорывом укрепленной полосы обороны противника и уничтожением имевшихся там укреплений. Необходимо было обращаться к корпусной артиллерии, в состав которой входили 48 152-милиметровых гаубиц или гаубиц-пушек. Однако корпусная артиллерия далеко не всегда была способна эффективно и своевременно оказать помощь входившим в состав корпуса стрелковым дивизиям. Последнее обстоятельство делало советскую стрелковую дивизию фактически беспомощной в наступлении, особенно в зимний период, когда грунт затвердевал (18645).</w:t>
      </w:r>
    </w:p>
    <w:p w14:paraId="3495AA1E" w14:textId="77777777" w:rsidR="00455ACA" w:rsidRPr="00A3026E" w:rsidRDefault="00455ACA" w:rsidP="00A3026E">
      <w:pPr>
        <w:spacing w:after="0" w:line="240" w:lineRule="auto"/>
        <w:jc w:val="both"/>
        <w:rPr>
          <w:rFonts w:ascii="Times New Roman" w:hAnsi="Times New Roman"/>
          <w:color w:val="000000" w:themeColor="text1"/>
          <w:sz w:val="16"/>
          <w:szCs w:val="16"/>
        </w:rPr>
      </w:pPr>
    </w:p>
    <w:p w14:paraId="62BD35B8" w14:textId="77777777" w:rsidR="00656225" w:rsidRPr="00A3026E" w:rsidRDefault="0065622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конце 1940 г. на АНИОП прошли испытания 82-мм, 107-мм и 120-мм мин большой емкости (согласно предписания начальника УММВ КА от 17 апреля 1940 г.), которые показали, что 82-мм мина большой емкости обладает лучшими характеристиками, нежели штатная, 107-мм мина большой емкости способна разрушить полевой окоп с 3-мя накатами бревен с двух попаданий, 120-мм мина большой емкости способна разрушить полевой окоп с 3-мя накатами бревен с одного попадания (20074)</w:t>
      </w:r>
    </w:p>
    <w:p w14:paraId="0FC2D134" w14:textId="77777777" w:rsidR="00656225" w:rsidRPr="00A3026E" w:rsidRDefault="00656225" w:rsidP="00A3026E">
      <w:pPr>
        <w:autoSpaceDE w:val="0"/>
        <w:autoSpaceDN w:val="0"/>
        <w:adjustRightInd w:val="0"/>
        <w:spacing w:after="0" w:line="240" w:lineRule="auto"/>
        <w:jc w:val="both"/>
        <w:rPr>
          <w:rFonts w:ascii="Times New Roman" w:hAnsi="Times New Roman"/>
          <w:color w:val="0070C0"/>
          <w:sz w:val="16"/>
          <w:szCs w:val="16"/>
        </w:rPr>
      </w:pPr>
    </w:p>
    <w:p w14:paraId="3334D821" w14:textId="77777777" w:rsidR="00656225" w:rsidRPr="00A3026E" w:rsidRDefault="00656225" w:rsidP="00A3026E">
      <w:pPr>
        <w:shd w:val="clear" w:color="auto" w:fill="FFFFFF"/>
        <w:spacing w:after="0" w:line="240" w:lineRule="auto"/>
        <w:jc w:val="both"/>
        <w:rPr>
          <w:rFonts w:ascii="Times New Roman" w:eastAsia="Times New Roman" w:hAnsi="Times New Roman"/>
          <w:color w:val="0070C0"/>
          <w:sz w:val="16"/>
          <w:szCs w:val="16"/>
          <w:lang w:eastAsia="ru-RU"/>
        </w:rPr>
      </w:pPr>
      <w:r w:rsidRPr="00A3026E">
        <w:rPr>
          <w:rFonts w:ascii="Times New Roman" w:eastAsia="Times New Roman" w:hAnsi="Times New Roman"/>
          <w:color w:val="0070C0"/>
          <w:sz w:val="16"/>
          <w:szCs w:val="16"/>
          <w:lang w:eastAsia="ru-RU"/>
        </w:rPr>
        <w:t>В конце 1940 года Грабин взял курс на срочную корректировку планов по разработке орудий. Связано это оказалось, в том числе, и с танковыми орудиями. Дело в том, что КБ завода №92 получило задание на разработку 76-мм танковой пушки с баллистикой зенитки 3-К, а также 85-мм танковой пушки с баллистикой зенитки 52-К. Данные орудия получили обозначения Ф-27 и Ф-30 соответственно (20349).</w:t>
      </w:r>
    </w:p>
    <w:p w14:paraId="0D54487A" w14:textId="77777777" w:rsidR="00656225" w:rsidRPr="00A3026E" w:rsidRDefault="00656225" w:rsidP="00A3026E">
      <w:pPr>
        <w:shd w:val="clear" w:color="auto" w:fill="FFFFFF"/>
        <w:spacing w:after="0" w:line="240" w:lineRule="auto"/>
        <w:jc w:val="both"/>
        <w:rPr>
          <w:rFonts w:ascii="Times New Roman" w:eastAsia="Times New Roman" w:hAnsi="Times New Roman"/>
          <w:color w:val="0070C0"/>
          <w:sz w:val="16"/>
          <w:szCs w:val="16"/>
          <w:lang w:eastAsia="ru-RU"/>
        </w:rPr>
      </w:pPr>
    </w:p>
    <w:p w14:paraId="6CAC1A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концу 1940 г. была готова 1-я очередь завода (Завод № 751 НКХП, Уфимский сернокислотный завод НКТП /г. Черниковск,  г. Уфа/) с опытной установкой по разложению кислых гудронов. Весной 1941 г. построены три корпуса сернокислотного цеха (печное отделение, склад и дымовая труба). С началом войны строительство приостановлено.</w:t>
      </w:r>
    </w:p>
    <w:p w14:paraId="218A96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751 создан в 1941 г. на месте завода № 555 (возможно, сюда эвакуирован завод № 751 го Москвы, и в его состав влит завод № 555) (по иным сведениям в начале 12.1941 г. управление строительства объекта было переименовано в управление строительства завода № 505, а с 20.12.1941 г.- в управление строительства завода № 751). Пост. ГКО заводу № 751 была также выделена вторая промплощадка на территории Уфимского НПЗ. Распоряжением СНК от 29.01.1942 г. завод передан в ведение Главанилпрома НКХП. С 06.1942 г. освоено производство колесной мази, чернил, лаков, сахарина, мыла.</w:t>
      </w:r>
      <w:r w:rsidRPr="00A3026E">
        <w:rPr>
          <w:rFonts w:ascii="Times New Roman" w:hAnsi="Times New Roman"/>
          <w:color w:val="000000" w:themeColor="text1"/>
          <w:sz w:val="16"/>
          <w:szCs w:val="16"/>
          <w:vertAlign w:val="superscript"/>
        </w:rPr>
        <w:t>118</w:t>
      </w:r>
      <w:r w:rsidRPr="00A3026E">
        <w:rPr>
          <w:rFonts w:ascii="Times New Roman" w:hAnsi="Times New Roman"/>
          <w:color w:val="000000" w:themeColor="text1"/>
          <w:sz w:val="16"/>
          <w:szCs w:val="16"/>
        </w:rPr>
        <w:t xml:space="preserve"> В 1942 г. на этой площадке организован завод № 768 НКХП (11982).</w:t>
      </w:r>
    </w:p>
    <w:p w14:paraId="5CB6146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03A290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благодаря большим усилиям по вербовке рабочей силы, проблема нехватки кадров на заводе № 92 была наконец преодолена. В приказе НКВ от 30 ноября отмечался даже избыток рабочей силы в размере до 4,5 %. В целях оптимизации финансового положения завода руководство пошло на сокращение некоторых вспомогательных штатов, были отменены прогрессивная сдельщина (за исключением физически тяжелых работ) и ряд премий (11741).</w:t>
      </w:r>
    </w:p>
    <w:p w14:paraId="624501C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0C62226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началась разработка 57-мм танковой пушки ЗИС-4, которой планировалось вооружать средние танки Т-34, в ОКБ завода № 92 под ру</w:t>
      </w:r>
      <w:r w:rsidRPr="00A3026E">
        <w:rPr>
          <w:rFonts w:ascii="Times New Roman" w:hAnsi="Times New Roman"/>
          <w:color w:val="000000" w:themeColor="text1"/>
          <w:sz w:val="16"/>
          <w:szCs w:val="16"/>
        </w:rPr>
        <w:softHyphen/>
        <w:t>ководством В.Г. Грабина. За основу при разработке нового танкового орудия была взята противотанковая пушка ЗИС-2. В декабре того же года опытный образец пушки поступил на заводские ис</w:t>
      </w:r>
      <w:r w:rsidRPr="00A3026E">
        <w:rPr>
          <w:rFonts w:ascii="Times New Roman" w:hAnsi="Times New Roman"/>
          <w:color w:val="000000" w:themeColor="text1"/>
          <w:sz w:val="16"/>
          <w:szCs w:val="16"/>
        </w:rPr>
        <w:softHyphen/>
        <w:t>пытания, которые продолжались до марта 1941 г. В танке Т-34 опытный образец пушки был установлен в мае 1941 г. По результатам проведения испытаний в ее конструкцию были внесены соответствующие измене</w:t>
      </w:r>
      <w:r w:rsidRPr="00A3026E">
        <w:rPr>
          <w:rFonts w:ascii="Times New Roman" w:hAnsi="Times New Roman"/>
          <w:color w:val="000000" w:themeColor="text1"/>
          <w:sz w:val="16"/>
          <w:szCs w:val="16"/>
        </w:rPr>
        <w:softHyphen/>
        <w:t>ния. Модернизированный образец орудия, установленный в танке Т-34, прошел испытания на Софринском полигоне уже после начала войны - в июле 1941 г. Ввиду крайней необходимости в противотанковых средствах пушка ЗИС-4 была принята на вооружение и с середины ию</w:t>
      </w:r>
      <w:r w:rsidRPr="00A3026E">
        <w:rPr>
          <w:rFonts w:ascii="Times New Roman" w:hAnsi="Times New Roman"/>
          <w:color w:val="000000" w:themeColor="text1"/>
          <w:sz w:val="16"/>
          <w:szCs w:val="16"/>
        </w:rPr>
        <w:softHyphen/>
        <w:t>ля 1941 г. поставлена на серийное производство на заводе № 92, которое продолжалось в течение осени 1941 г. В декабре того же года ввиду трудностей производственного характера (загруженность завода "Бар</w:t>
      </w:r>
      <w:r w:rsidRPr="00A3026E">
        <w:rPr>
          <w:rFonts w:ascii="Times New Roman" w:hAnsi="Times New Roman"/>
          <w:color w:val="000000" w:themeColor="text1"/>
          <w:sz w:val="16"/>
          <w:szCs w:val="16"/>
        </w:rPr>
        <w:softHyphen/>
        <w:t>рикады", поставлявшего трубы для стволов) и недостатка боеприпасов, а также отсутствия у противника тяжелых танков с мощной броневой защитой, производство 57-мм пушек ЗИС-4 было законсервировано. Вернулись к производству 57-мм танковых пушек ЗИС-4 в 1943 г., ког</w:t>
      </w:r>
      <w:r w:rsidRPr="00A3026E">
        <w:rPr>
          <w:rFonts w:ascii="Times New Roman" w:hAnsi="Times New Roman"/>
          <w:color w:val="000000" w:themeColor="text1"/>
          <w:sz w:val="16"/>
          <w:szCs w:val="16"/>
        </w:rPr>
        <w:softHyphen/>
        <w:t>да они стали единственными, освоенными в производстве артиллерий</w:t>
      </w:r>
      <w:r w:rsidRPr="00A3026E">
        <w:rPr>
          <w:rFonts w:ascii="Times New Roman" w:hAnsi="Times New Roman"/>
          <w:color w:val="000000" w:themeColor="text1"/>
          <w:sz w:val="16"/>
          <w:szCs w:val="16"/>
        </w:rPr>
        <w:softHyphen/>
        <w:t>скими системами, способными поражать новые немецкие танки Т-VI "Тигр I". В апреле 1943 г. на вооружение был принят бронебойно-подка-либерный снаряд для 57-мм пушки. Бронепробиваемость этого снаряда по нормали на дальности 500 м составляла 146 мм. Такая высокая бро-непробивемость была достигнута за счет увеличения начальной скоро</w:t>
      </w:r>
      <w:r w:rsidRPr="00A3026E">
        <w:rPr>
          <w:rFonts w:ascii="Times New Roman" w:hAnsi="Times New Roman"/>
          <w:color w:val="000000" w:themeColor="text1"/>
          <w:sz w:val="16"/>
          <w:szCs w:val="16"/>
        </w:rPr>
        <w:softHyphen/>
        <w:t>сти снаряда до 1270 м/с (10703).</w:t>
      </w:r>
    </w:p>
    <w:p w14:paraId="2BCDE37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49B37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завод № 92 изготовил опытный образец 85-мм пушки Ф-30 (3861).</w:t>
      </w:r>
    </w:p>
    <w:p w14:paraId="21B58D9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D05F4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конца 1940 года флот не имел эффективных средств борьбы с авиацией на высотах до 3000 м. Возможности 45-мм полуавтоматов 21-К и 7,62-мм пулеметов Максима были весьма ограничены (3861).</w:t>
      </w:r>
    </w:p>
    <w:p w14:paraId="788D74F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5CC80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в армию и флот стали поступать зенитные автоматические пушки, а до этого времени наши войска могли защищаться от низколетящих самолетов исключительно пулеметным огнем (3861).</w:t>
      </w:r>
    </w:p>
    <w:p w14:paraId="716F0E6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C8974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самом конце 1940 года в войска начали поступать первые автоматы. К началу войны их было в 5 раз меньше, чем положено по штату, зенитчиков не успели обучить как следует. В результате Красная армия оказалась почти беззащитной от ударов Люфтваффе, прошедших прекрасную школу в Европе в 1939-1941 годах. Для 37-мм и 25-мм автоматов были введены громоздкие колесные повозки - колымаги с неотделяемым ходом. 20-37-мм зенитные автоматы должна находиться на линии огня и прикрывать передний край с воздуха, а при необходимости и эффективно бороться с наземными целями. Установки на двухколесном ходу имеют почти вдвое меньший вес по сравнению с четырехколесными колымагами и легко перекатываются по полю боя силами расчета. После отделения колесного хода пушка быстро и компактно устанавливается в окопе или укрытии. Немцы это поняли еще в начале 30-х годов и отказались от четырехколесных колымаг для зенитных автоматов. У нас, обжегшись на молоке, стали дуть и на воду. Потерпев неудачу в создании универсальных пушек с двухколесным ходом и обнаружив сложности в эксплуатации 76-мм зенитной пушки 3-К (тоже двухколесной), руководство АУ зациклилось на четырехколесной повозке "Бофорса". Потребовалась война, что бы и у нас вспомнили о зенитных установках с двухколесным отделяемым ходом. Выбор двух автоматов для сухопутных войск - 37-мм 61-К и 25-мм 72-К был принципиально ошибочным. Наиболее оптимальным была бы пара: 45-мм автомат 49-К и установки на базе 23-мм авиационной пушки ВЯ (в одинарном, спаренном и счетверенном вариантах). Автомат 49-К можно было бы оставить на четырехколесной повозке, а 23-мм установки - только на двухколесном отделяемом ходу. Кроме того, на базе Т-34 можно было легко создать ЗСУ со счетверенными автоматами ВЯ. Что же касается 45-мм 49-К, то они по темпу стрельбы почти были равны 61-К, зато дальность при стрельбе, потолок, разрушительное действие по конструкции самолетов и бронепробиваемость были существенно выше, чем у 61-К. Интересно, что разница в стоимости 37-мм и 45-мм автоматов была невелика. Так, в 1940 году стоимость 61-К составляла 65 тыс. руб. за штуку, а 49-К - 75 тыс. руб. (3861).</w:t>
      </w:r>
    </w:p>
    <w:p w14:paraId="5043FA6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AEADA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на базе 76-мм казематной установки Ф-38 была создана казематная установка ЗИС-8 с 57-мм пушкой ЗИС-2. От установки ЗИС-7 она отличалась только трубой ствола (3861).</w:t>
      </w:r>
    </w:p>
    <w:p w14:paraId="7EE059B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FDE2B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на танк КВ вместо пушки Л-11 стали ставить пушку Ф-32. Этот танк стал первой модификацией КВ, известный как КВ-1 образца 1940 года..</w:t>
      </w:r>
    </w:p>
    <w:p w14:paraId="09470A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КВ стояли дизельные двигатели В-2К жидкостного охлаждения, мощностью 600 л.с., который незначительно отличался от двигателя В-2, использующихся на Т-34. (3862).</w:t>
      </w:r>
    </w:p>
    <w:p w14:paraId="0574F6E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331568E" w14:textId="77777777" w:rsidR="004729C8" w:rsidRPr="00A3026E" w:rsidRDefault="004729C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конце 1940 – начале 1941 гг. были проведены испытания модернизированного ПТР Рукавишникова. В акте НИПСВО по их результатам ружье получило положительное заключение. В июне на НИПСВО были проведены параллельные испытания БаС-2 и двух доработанных образцов ПТР Рукавишникова. БаС-2 испытания не выдержало из-за недостаточной бронепробиваемости, большой энергии отдачи, малой живучести и неотработанной подачи патронов из магазина. ПТР Рукавишникова в отчете НИПСВО от 23 июня 1941 г, было рекомендовано для принятия на вооружение. По сравнению с образцом 1939 г., ПТР было доработано и несколько изменено, но дало 3,6% задержек, причем, в основном, смазанными патронами.</w:t>
      </w:r>
    </w:p>
    <w:p w14:paraId="46D286D6" w14:textId="77777777" w:rsidR="004729C8" w:rsidRPr="00A3026E" w:rsidRDefault="004729C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Возможно, на выводы НИПСВО повлияло то, что примерно в мае 1941 г. Рукавишников направил жалобу в ЦК ВКП (б) тов. Маленкову. В ней описывались плохие условия для его конструкторской работы на НИПСВО, которая к тому же дает основания «конкурентам» обвинять полигон в пристрастности к образцам Рукавишникова, Конструктор полагал, что при принятии в 1940 г, решения о снятии его ПТР с производства были преувеличены отрицательные стороны ружья и преуменьшены положительные. На конструкцию оружия работниками завода №2 и наркомата списывались недостатки производства и его организации, они же выступали за повторные испытания.</w:t>
      </w:r>
    </w:p>
    <w:p w14:paraId="158BA652" w14:textId="77777777" w:rsidR="004729C8" w:rsidRPr="00A3026E" w:rsidRDefault="004729C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Рукавишников писал: «Правда, протащить систему Владимирова и на этот раз не удалось, так как в ней выявлена полная невозможность ее дальнейшей доработки и опасность для самого стреляющего, но зато удалось окончательно сорвать систему Рукавишникова, использовав «теорию» непригодности ружей для борьбы против бронесил противника, В результате наша пехота осталась без противотанковых ружей, а армии воюющих стран, имея не плохую противотанковую артиллерию, одновременно и с успехом используют ружья, несмотря на то, что они значительно хуже наших». Напомню, что ни в одном из изученных мною архивных материалах не ставилась под сомнение способность ПТР бороться с танками.</w:t>
      </w:r>
    </w:p>
    <w:p w14:paraId="297864D1" w14:textId="77777777" w:rsidR="004729C8" w:rsidRPr="00A3026E" w:rsidRDefault="004729C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Причинами плохих результатов испытаний его ПТР конструктор считал патроны и ружье заводского изготовления, чего не было с опытными ружьями и патронами, сделанными на НИПСВО. Доработанное облегченное ружье с улучшенным дульным тормозом дало хорошие результаты по отчетам НИПСВО за декабрь и январь 1941 г. Рукавишников полагал, что, доработав гильзу патрона по чертежу НИПСВО и снабдив его новыми элементами (сердечник и порох), можно будет достигнуть пробивания брони, значительно превышающей 40-50 мм. Он просил модернизировать 20-30 штук его ПТР, находящихся на консервации на заводе №2, и передать их на полигонные и войсковые испытания. Жалобу, очевидно, направили для рассмотрения в СНК, потому что в копии сохранилась резолюция зам. председателя Н. Вознесенского от 3 июня: «тт. Ванникову и Кулику (лично). Прошу сообщить Ваше заключение о «ПТР» Рукавишникова и вообще о жалобе т. Рукавишникова». Там же была и резолюция нового Наркома вооружений Д. Устинова (Б. Ванников б июня был арестован) от 16 июня: «т. Барсукову. Нужно дать мне все материалы по этому вопросу, в том числе решение НКО» (17498).</w:t>
      </w:r>
    </w:p>
    <w:p w14:paraId="0AC07547" w14:textId="77777777" w:rsidR="004729C8" w:rsidRPr="00A3026E" w:rsidRDefault="004729C8" w:rsidP="00A3026E">
      <w:pPr>
        <w:spacing w:after="0" w:line="240" w:lineRule="auto"/>
        <w:jc w:val="both"/>
        <w:rPr>
          <w:rFonts w:ascii="Times New Roman" w:eastAsia="Times New Roman" w:hAnsi="Times New Roman"/>
          <w:color w:val="000000" w:themeColor="text1"/>
          <w:sz w:val="16"/>
          <w:szCs w:val="16"/>
          <w:lang w:eastAsia="ru-RU"/>
        </w:rPr>
      </w:pPr>
    </w:p>
    <w:p w14:paraId="145FE5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были созданы и успешно испытаны опытные образцы 14 т танка Т-126СП (СП - сопровождение пехоты), вооруженного 45-мм пушкой и защищенного противоснарядной броней умеренной толщины, Кировского и имени Ворошилова (№174) заводов. Предпочтение отдали танку завода №174. Несколько позднее, в апреле 1940 г. было издано постановление о принятии его на вооружение Красной Армии и о постановке в производство на заводе №174. И завод выпустил до начала Великой Отечественной войны первую небольшую партию танков, называвшихся Т-50. (3862).</w:t>
      </w:r>
    </w:p>
    <w:p w14:paraId="3E06A91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090FE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в войсках находилось два опытных химического танка ХБТ-7 (ХБТ-III), разработанный в 1936 СКБ завода Компрессор и изготовленный в то же время (9527,191).</w:t>
      </w:r>
    </w:p>
    <w:p w14:paraId="756EB20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2B196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 начале 1941 был разработан огнеметный танк БТ (боевая химическая машина), с установкой 15 л автоматического порохового огнемета конструкции НАТИ и в мае 1941 прошел испытания. На вооружение на принимался и в серии не был (9527,195).</w:t>
      </w:r>
    </w:p>
    <w:p w14:paraId="61E9ACE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C9B52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приказом НКО на вооружение был принят мостовой танк ИТ-28 (9527,220).</w:t>
      </w:r>
    </w:p>
    <w:p w14:paraId="4DCBA6C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8C9E53B" w14:textId="77777777" w:rsidR="006B3E48" w:rsidRPr="00A3026E" w:rsidRDefault="006B3E48" w:rsidP="00A3026E">
      <w:pPr>
        <w:pStyle w:val="26"/>
        <w:shd w:val="clear" w:color="auto" w:fill="auto"/>
        <w:spacing w:after="0" w:line="240" w:lineRule="auto"/>
        <w:ind w:firstLine="0"/>
        <w:rPr>
          <w:rFonts w:ascii="Times New Roman" w:cs="Times New Roman"/>
          <w:color w:val="000000" w:themeColor="text1"/>
          <w:spacing w:val="0"/>
        </w:rPr>
      </w:pPr>
      <w:r w:rsidRPr="00A3026E">
        <w:rPr>
          <w:rFonts w:ascii="Times New Roman" w:cs="Times New Roman"/>
          <w:color w:val="000000" w:themeColor="text1"/>
          <w:spacing w:val="0"/>
        </w:rPr>
        <w:t>Всего до конца 1940 года Кировский завод изготовил 139 КВ-1 и 104 КВ-2 (24 из них с установкой МТ-1), выполнив таким образом плановое задание. План производства на 1941 год предус</w:t>
      </w:r>
      <w:r w:rsidRPr="00A3026E">
        <w:rPr>
          <w:rFonts w:ascii="Times New Roman" w:cs="Times New Roman"/>
          <w:color w:val="000000" w:themeColor="text1"/>
          <w:spacing w:val="0"/>
        </w:rPr>
        <w:softHyphen/>
        <w:t>матривал выпуск 1200 танков КВ. Из них на Кировском заводе — 1000 (400 КВ-1, 100 КВ-2 и 500 КВ-3) и 200 КВ-1 - на ЧТЗ. В дальнейшем предполагалось оста</w:t>
      </w:r>
      <w:r w:rsidRPr="00A3026E">
        <w:rPr>
          <w:rFonts w:ascii="Times New Roman" w:cs="Times New Roman"/>
          <w:color w:val="000000" w:themeColor="text1"/>
          <w:spacing w:val="0"/>
        </w:rPr>
        <w:softHyphen/>
        <w:t>вить на Кировском заводе производство только КВ-3, а КВ-1 и КВ-2 передать на ЧТЗ. Столь обширный производственный план требовал коренной перестройки и расширения производственной базы. На Кировском заводе были введены в строй новые специальные танковые цехи — сбо</w:t>
      </w:r>
      <w:r w:rsidRPr="00A3026E">
        <w:rPr>
          <w:rFonts w:ascii="Times New Roman" w:cs="Times New Roman"/>
          <w:color w:val="000000" w:themeColor="text1"/>
          <w:spacing w:val="0"/>
        </w:rPr>
        <w:softHyphen/>
        <w:t>рочный СБ-2 и сдаточный СД-2. Перест</w:t>
      </w:r>
      <w:r w:rsidRPr="00A3026E">
        <w:rPr>
          <w:rFonts w:ascii="Times New Roman" w:cs="Times New Roman"/>
          <w:color w:val="000000" w:themeColor="text1"/>
          <w:spacing w:val="0"/>
        </w:rPr>
        <w:softHyphen/>
        <w:t>роили цех МХ-2, являвшийся основным в танковом производстве. Были расширены и заготовительные цехи — литейные, куз</w:t>
      </w:r>
      <w:r w:rsidRPr="00A3026E">
        <w:rPr>
          <w:rFonts w:ascii="Times New Roman" w:cs="Times New Roman"/>
          <w:color w:val="000000" w:themeColor="text1"/>
          <w:spacing w:val="0"/>
        </w:rPr>
        <w:softHyphen/>
        <w:t>нечные, термические, холодно-штампо</w:t>
      </w:r>
      <w:r w:rsidRPr="00A3026E">
        <w:rPr>
          <w:rFonts w:ascii="Times New Roman" w:cs="Times New Roman"/>
          <w:color w:val="000000" w:themeColor="text1"/>
          <w:spacing w:val="0"/>
        </w:rPr>
        <w:softHyphen/>
        <w:t>вочные и другие. В феврале по распоря</w:t>
      </w:r>
      <w:r w:rsidRPr="00A3026E">
        <w:rPr>
          <w:rFonts w:ascii="Times New Roman" w:cs="Times New Roman"/>
          <w:color w:val="000000" w:themeColor="text1"/>
          <w:spacing w:val="0"/>
        </w:rPr>
        <w:softHyphen/>
        <w:t>жению наркома тяжелого машинострое</w:t>
      </w:r>
      <w:r w:rsidRPr="00A3026E">
        <w:rPr>
          <w:rFonts w:ascii="Times New Roman" w:cs="Times New Roman"/>
          <w:color w:val="000000" w:themeColor="text1"/>
          <w:spacing w:val="0"/>
        </w:rPr>
        <w:softHyphen/>
        <w:t>ния А.Ефремова расположенный по соседству механический завод имени Молотова был передан Кировскому заводу (15232).</w:t>
      </w:r>
    </w:p>
    <w:p w14:paraId="146BC01C" w14:textId="77777777" w:rsidR="006B3E48" w:rsidRPr="00A3026E" w:rsidRDefault="006B3E48" w:rsidP="00A3026E">
      <w:pPr>
        <w:pStyle w:val="26"/>
        <w:shd w:val="clear" w:color="auto" w:fill="auto"/>
        <w:spacing w:after="0" w:line="240" w:lineRule="auto"/>
        <w:ind w:firstLine="0"/>
        <w:rPr>
          <w:rFonts w:ascii="Times New Roman" w:cs="Times New Roman"/>
          <w:color w:val="000000" w:themeColor="text1"/>
          <w:spacing w:val="0"/>
        </w:rPr>
      </w:pPr>
    </w:p>
    <w:p w14:paraId="04B5A41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подготовка к выпуску танка КВ ве</w:t>
      </w:r>
      <w:r w:rsidRPr="00A3026E">
        <w:rPr>
          <w:rFonts w:ascii="Times New Roman" w:hAnsi="Times New Roman"/>
          <w:color w:val="000000" w:themeColor="text1"/>
          <w:sz w:val="16"/>
          <w:szCs w:val="16"/>
        </w:rPr>
        <w:softHyphen/>
        <w:t>дется на Челябинском тракторном заводе (ЧТЗ), куда Ки</w:t>
      </w:r>
      <w:r w:rsidRPr="00A3026E">
        <w:rPr>
          <w:rFonts w:ascii="Times New Roman" w:hAnsi="Times New Roman"/>
          <w:color w:val="000000" w:themeColor="text1"/>
          <w:sz w:val="16"/>
          <w:szCs w:val="16"/>
        </w:rPr>
        <w:softHyphen/>
        <w:t>ровский завод должен был еще в июне передать один танк КВ и документацию на КВ-1 и КВ-2, а к августу и всю тех</w:t>
      </w:r>
      <w:r w:rsidRPr="00A3026E">
        <w:rPr>
          <w:rFonts w:ascii="Times New Roman" w:hAnsi="Times New Roman"/>
          <w:color w:val="000000" w:themeColor="text1"/>
          <w:sz w:val="16"/>
          <w:szCs w:val="16"/>
        </w:rPr>
        <w:softHyphen/>
        <w:t>нологическую документацию. Но это было выполнено только к октябрю, и потому первые танки КВ здесь были изготовлены лишь в феврале 1941 г., а к началу войны было выпущено лишь 133 танка КВ-1 с пушкой Ф-32 (10782).</w:t>
      </w:r>
    </w:p>
    <w:p w14:paraId="476445B1" w14:textId="77777777" w:rsidR="0014077F" w:rsidRPr="00A3026E" w:rsidRDefault="0014077F" w:rsidP="00A3026E">
      <w:pPr>
        <w:pStyle w:val="a8"/>
        <w:widowControl/>
        <w:jc w:val="both"/>
        <w:rPr>
          <w:rFonts w:ascii="Times New Roman" w:hAnsi="Times New Roman" w:cs="Times New Roman"/>
          <w:color w:val="000000" w:themeColor="text1"/>
        </w:rPr>
      </w:pPr>
    </w:p>
    <w:p w14:paraId="6CD27A81"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К концу 1940 года, несмотря на большую загрузку по доработке танка Т-34, КБ начало работы по модернизации Т-34. На модернизированном образце, которому условно был присвоен индекс Т-34М, предусматривалось значительно усилить броневую защиту корпуса и башни, применить в подвеске торсионные валы вместо пружин и опорные катки с внутренней амортизацией, увеличить количество топлива, снарядов, патронов и др. Чертежно-техническая документация танка Т-34М была полностью выпущена и выдана в производство для изготовления опытного образца. Ждановским металлургическим заводом были изготовлены броневые листы корпуса танка Т-34М (пять комплектов) и присланы на завод №183 (9154).</w:t>
      </w:r>
    </w:p>
    <w:p w14:paraId="61B29395" w14:textId="77777777" w:rsidR="0014077F" w:rsidRPr="00A3026E" w:rsidRDefault="0014077F" w:rsidP="00A3026E">
      <w:pPr>
        <w:pStyle w:val="a8"/>
        <w:widowControl/>
        <w:jc w:val="both"/>
        <w:rPr>
          <w:rFonts w:ascii="Times New Roman" w:hAnsi="Times New Roman" w:cs="Times New Roman"/>
          <w:color w:val="000000" w:themeColor="text1"/>
        </w:rPr>
      </w:pPr>
    </w:p>
    <w:p w14:paraId="1AD4AA8D"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заводом № 183 при поддержке ГАБТУ КА начал прорабатываться вопрос о возобновлении производства корпусов литых башен танка Т-34 с бронировками боковых смотровых приборов отлитых зацело с корпусом башни. Реакция Мариупольского завода на данное предложение была негативной – в </w:t>
      </w:r>
      <w:hyperlink r:id="rId194" w:tgtFrame="_blank" w:history="1">
        <w:r w:rsidRPr="00A3026E">
          <w:rPr>
            <w:rStyle w:val="a5"/>
            <w:rFonts w:ascii="Times New Roman" w:hAnsi="Times New Roman"/>
            <w:color w:val="000000" w:themeColor="text1"/>
            <w:sz w:val="16"/>
            <w:szCs w:val="16"/>
          </w:rPr>
          <w:t>письме № 395</w:t>
        </w:r>
      </w:hyperlink>
      <w:r w:rsidRPr="00A3026E">
        <w:rPr>
          <w:rFonts w:ascii="Times New Roman" w:hAnsi="Times New Roman"/>
          <w:color w:val="000000" w:themeColor="text1"/>
          <w:sz w:val="16"/>
          <w:szCs w:val="16"/>
        </w:rPr>
        <w:t> от 21 января 1941 г. главный инженер завода В.С. Ниценко сообщил руководству завода № 183, ГАБТУ КА и 3-му ГУ НКСП, что отливать основания смотровых приборов зацело с корпусом башни, как это делалось ранее, нецелесообразно по следующим причинам: </w:t>
      </w:r>
    </w:p>
    <w:p w14:paraId="6B9F9A84"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«Существовавшее литое основание еще менее удовлетворяет снарядостойкости, чем штампованное своей неравнопрочностью, стенка основания легко пробивается насквозь, нарушение линейных размеров колодца для стекла делает башню слепой и т.д. </w:t>
      </w:r>
    </w:p>
    <w:p w14:paraId="64F7BC1A"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всего вышеуказанного, конструктивное выполнение было слишком трудоемкое и невозможное для массового производства, о чем убедился сам т. МАКСАРЕВ, будучи у нас на заводе».</w:t>
      </w:r>
    </w:p>
    <w:p w14:paraId="0EF81EEB"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 47. Л. 108] (18853).</w:t>
      </w:r>
    </w:p>
    <w:p w14:paraId="5FC6DF4E" w14:textId="77777777" w:rsidR="005A4244" w:rsidRPr="00A3026E" w:rsidRDefault="005A4244" w:rsidP="00A3026E">
      <w:pPr>
        <w:spacing w:after="0" w:line="240" w:lineRule="auto"/>
        <w:jc w:val="both"/>
        <w:rPr>
          <w:rFonts w:ascii="Times New Roman" w:hAnsi="Times New Roman"/>
          <w:color w:val="000000" w:themeColor="text1"/>
          <w:sz w:val="16"/>
          <w:szCs w:val="16"/>
        </w:rPr>
      </w:pPr>
    </w:p>
    <w:p w14:paraId="6B71AD8B"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в отделе «700» завода № 183 на всех ранее собранных танках Т-34 были проведены работы по уплотнению крышек люков. С неуплотненной крышкой люка механика-водителя к концу 1940 г. в Красной Армии осталось только 6 машин – №№ 311-05-3, 311-09-3, 311-21-3, 311-16-3, 311-01-3 и 0618-4, отправленных с завода № 183 до середины ноября 1940 г. (18206).</w:t>
      </w:r>
    </w:p>
    <w:p w14:paraId="031B9128" w14:textId="77777777" w:rsidR="005A4244" w:rsidRPr="00A3026E" w:rsidRDefault="005A4244" w:rsidP="00A3026E">
      <w:pPr>
        <w:spacing w:after="0" w:line="240" w:lineRule="auto"/>
        <w:jc w:val="both"/>
        <w:rPr>
          <w:rFonts w:ascii="Times New Roman" w:hAnsi="Times New Roman"/>
          <w:color w:val="000000" w:themeColor="text1"/>
          <w:sz w:val="16"/>
          <w:szCs w:val="16"/>
        </w:rPr>
      </w:pPr>
    </w:p>
    <w:p w14:paraId="539C4F1F"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одновременно с испытаниями усиленных траков «СЭ» в опытном цехе «540» завода № 183 проходили испытания опытного главного фрикциона танка Т-34 со стальными разрезными дисками трения. В первых числах января 1941 г. эти испытания были завершены с положительными результатами. </w:t>
      </w:r>
    </w:p>
    <w:p w14:paraId="2E943CD2" w14:textId="77777777" w:rsidR="005A4244" w:rsidRPr="00A3026E" w:rsidRDefault="00A3026E" w:rsidP="00A3026E">
      <w:pPr>
        <w:spacing w:after="0" w:line="240" w:lineRule="auto"/>
        <w:jc w:val="both"/>
        <w:rPr>
          <w:rFonts w:ascii="Times New Roman" w:hAnsi="Times New Roman"/>
          <w:color w:val="000000" w:themeColor="text1"/>
          <w:sz w:val="16"/>
          <w:szCs w:val="16"/>
        </w:rPr>
      </w:pPr>
      <w:hyperlink r:id="rId195" w:tgtFrame="_blank" w:history="1"/>
      <w:r w:rsidR="005A4244" w:rsidRPr="00A3026E">
        <w:rPr>
          <w:rFonts w:ascii="Times New Roman" w:hAnsi="Times New Roman"/>
          <w:color w:val="000000" w:themeColor="text1"/>
          <w:sz w:val="16"/>
          <w:szCs w:val="16"/>
        </w:rPr>
        <w:t>Опытный главный фрикцион отличался от серийного количеством и конструкцией дисков трения. Вместо 8 ведущих чугунных и 10 ведомых стальных дисков трения, входивших в комплект серийного главного фрикциона, в опытном главном фрикционе имелось 10 ведущих и 12 ведомых стальных дисков. При этом для уменьшения возникавшего в процессе эксплуатации коробления дисков, в каждом ведомом и ведущем диске трения на сторонах, не имевших зубьев, было сделано по 4 выреза размером 13×10 мм, располагавшихся на равном расстоянии друг от друга. </w:t>
      </w:r>
    </w:p>
    <w:p w14:paraId="07EE05A1"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в опытном цехе «540» завода № 183 испытаниям на износоустойчивость и специальным испытаниям на стойкость в особо тяжелых условиях работы было подвергнуто три комплекта разрезных дисков трения опытных главных фрикционов. Первый комплект разрезных дисков трения проходил испытания на опытном образце танка Т-34 – танке А-34 № 311-11-3 в период с 13 октября по 13 ноября 1940 г., одновременно с испытанием на этой же машине дизеля М-250. За время испытаний танком А-34 было пройдено 2476 км, на всем протяжении которых опытный главный фрикцион работал удовлетворительно. При обмере дисков трения, проведенном после испытаний, были получены следующие результаты: коробление ведомых дисков находилось в пределах 0,04 – 0,75 мм, коробление ведущих дисков – в пределах 0,00 – 0,45 мм. Максимальное коробление всего комплекта со стороны рабочей поверхности, обращенной к двигателю, составило 4,04 мм, а со стороны рабочей поверхности, обращенной к коробке передач – 4,55 мм. При этом износ всего комплекта дисков трения был в пределах 0,50 мм. Однако следует отметить, что величина износа в действительности была значительно меньше, так как при замере учитывалось только максимальное уменьшение толщины диска, что в большинстве случаев носило локальный характер, за счет местных задиров и «сволакивания» металла. Состояние рабочих поверхностей дисков трения после испытаний было признано хорошим. </w:t>
      </w:r>
    </w:p>
    <w:p w14:paraId="515AB3F3"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тем, что 15 ноября 1940 г. танк А-34 № 311-11-3 был отправлен в капитальный ремонт, опытный главный фрикцион с комплектом разрезных дисков трения был с него демонтирован и в последующем установлен в танк Т-34 № 312-25 для проведения специальных испытаний. Эти испытания по проверке работоспособности главного фрикциона в особо тяжелых условиях состоялись 25 декабря 1940 г. За время испытаний машина прошла 81 км и было выполнено следующее: </w:t>
      </w:r>
    </w:p>
    <w:p w14:paraId="1FB64F8A"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11 троганий с места на III передаче на ровном участке слегка примерзшего песка. </w:t>
      </w:r>
    </w:p>
    <w:p w14:paraId="301627F1"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Преодолена 6 раз на II передаче песчаная дюна с углом подъема 21 – 25° и длиной 10 – 12 м. </w:t>
      </w:r>
    </w:p>
    <w:p w14:paraId="5D0714FA"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Проведено 11 троганий с места на песчаной дюне в 21 – 25° на I передаче и 4 трогания на II передаче. </w:t>
      </w:r>
    </w:p>
    <w:p w14:paraId="73BC9F25"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Проведено 10 буксований на подъеме в 21 – 25° общей продолжительностью в 5 минут. </w:t>
      </w:r>
    </w:p>
    <w:p w14:paraId="263256F6"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Произведено 8 троганий с места на III передаче на ровном твердом мерзлом грунте. </w:t>
      </w:r>
    </w:p>
    <w:p w14:paraId="743EF368"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 подъеме в 35° с твердым покровом сделано 2 попытки трогания с III передачи, при которых мотор глох».</w:t>
      </w:r>
    </w:p>
    <w:p w14:paraId="2E0CC708"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Д.232. Л. 69 – 70]</w:t>
      </w:r>
    </w:p>
    <w:p w14:paraId="3B3C4743"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Заключения № 1 от 4 января 1941 г., составленного специалистами бюро цеха «540» по итогам проведенных испытаний: </w:t>
      </w:r>
    </w:p>
    <w:p w14:paraId="1286A883"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что во время специальных испытаний после 3 – 5 троганий, либо буксования, фрикцион переставал выключаться и при выключенном фрикционе машину вело. После кратковременного остывания в течение 5 – 10 минут фрикцион вновь начинал работать, хотя ведомый барабан и не останавливался, но переключение передач и трогание с места, без помощи бортовых фрикционов, было возможно. </w:t>
      </w:r>
    </w:p>
    <w:p w14:paraId="52FB74E4"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специальных испытаний диски трения были из фрикциона вынуты и обмеряны, при этом: </w:t>
      </w:r>
    </w:p>
    <w:p w14:paraId="13C03DBA"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Коробление ведомых дисков находилось в пределах 0,05 – 0,80 мм. </w:t>
      </w:r>
    </w:p>
    <w:p w14:paraId="510CB574"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Коробление ведущих дисков находилось в пределах 0,05 – 0,25 мм. </w:t>
      </w:r>
    </w:p>
    <w:p w14:paraId="6F99F569"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Максимальное коробление со стороны рабочей поверхности, обращенной к мотору – 4,06 мм, со стороны, обращенной к коробке передач 4,35 мм. Износ всего комплекта дисков сохранился в тех же пределах – 0,5 мм. Задиры на дисках незначительны и в большинстве по своей протяженности не превосходят 1/4 окружности, т.к. вырезы препятствовали дальнейшему распространению задиров. Диски трения имеют цвета побежалости, свидетельствующие о их высоком нагреве при специальных испытаниях».</w:t>
      </w:r>
    </w:p>
    <w:p w14:paraId="0068A7EC"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Д.232. Л. 70]</w:t>
      </w:r>
    </w:p>
    <w:p w14:paraId="49FEB611"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проведенных измерений комплект разрезных дисков вновь был установлен в опытный главный фрикцион и 31 декабря 1940 г. на танке Т-34 № 312-25 вторично прошел специальные испытания, заключавшиеся в следующем: </w:t>
      </w:r>
    </w:p>
    <w:p w14:paraId="4B9B7FE5"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13 троганий на подъеме (дюне) в 21 – 25° с I передачи. </w:t>
      </w:r>
    </w:p>
    <w:p w14:paraId="278654A0"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21 трогание с I передачи на том же подъеме после 20 минутного перерыва, после чего фрикцион перестал выключаться. </w:t>
      </w:r>
    </w:p>
    <w:p w14:paraId="67694F32"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Немедленно после этого было произведено трогание с заторможенными б/фрикционами [бортовыми фрикционами] – после трогания фрикцион начал работать нормально, и было произведено еще 8 троганий с первой передачи на песчаном подъеме в 21 – 25° и 2 трогания с места с III передачи на ровном участке. В итоге этих испытаний работоспособность фрикциона не нарушилась».</w:t>
      </w:r>
    </w:p>
    <w:p w14:paraId="4E101F88"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Д.232. Л. 70]</w:t>
      </w:r>
    </w:p>
    <w:p w14:paraId="5B969399"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Результаты обмера дисков трения, проведенного после повторных специальных испытаний, показали, что коробление ведомых и ведущих дисков было несколько выше, чем после первых испытаний, но суммарный износ дисков остался без изменений, в пределах 0,5 мм. Главный вывод был таков: «Диски к дальнейшей эксплоатации пригодны». Таким образом, после пройденных 2823 км и проведенных двух специальных испытаний на стойкость, комплект разрезных дисков трения опытного главного фрикциона танка Т-34 сохранил свою работоспособность. </w:t>
      </w:r>
    </w:p>
    <w:p w14:paraId="3AA943B4"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Второй и третий комплекты разрезных дисков трения опытных главных фрикционов были установлены в танках Т-34 № 0618-7 и № 811-28 и подвергнуты специальным испытаниям на работоспособность в особо тяжелых условиях. Результаты проведенных после специальных испытаний обмеров и осмотров также показали, что диски вполне пригодны для дальнейшей эксплуатации. По итогам испытаний трех опытных главных фрикционов со стальными разрезными дисками трения специалистами бюро цеха «540» были сделаны следующие выводы: </w:t>
      </w:r>
    </w:p>
    <w:p w14:paraId="0A97122E"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На основании произведенных испытаний констатировать, что, несмотря на наличие коробления стальных разрезных дисков в особо тяжелых условиях до 1,85 мм, главный фрикцион с 22 стальными разрезными дисками обеспечивает бесперебойную работу машины. </w:t>
      </w:r>
    </w:p>
    <w:p w14:paraId="60A1349E"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Имевшие место, при специальных испытаниях, временные отказы в работе главных фрикционов со стальными разрезными дисками происходят в результате заклинивания вершин зубьев ведущих дисков в маховике вследствие недостаточного зазора между торцами головки зуба и маховика. </w:t>
      </w:r>
    </w:p>
    <w:p w14:paraId="236C7D4C"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ЗАКЛЮЧЕНИЕ.</w:t>
      </w:r>
    </w:p>
    <w:p w14:paraId="140F95AB"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"520" необходимо срочно пересмотреть допуска и размеры зазоров между головкой зуба в ведущем диске и ножкой зуба в маховике и расширить этот зазор. </w:t>
      </w:r>
    </w:p>
    <w:p w14:paraId="34ED786B"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Немедленно ввести в серийное производство стальные разрезные диски трения толщиной 3,2 мм. </w:t>
      </w:r>
    </w:p>
    <w:p w14:paraId="15317CA9"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При серийном производстве разрезных дисков особое внимание обратить на качество зачистки фаски по кромкам выреза. </w:t>
      </w:r>
    </w:p>
    <w:p w14:paraId="2688266E"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Работы по уменьшению коробления дисков и определения их срока службы на машине продолжать».</w:t>
      </w:r>
    </w:p>
    <w:p w14:paraId="503704EE"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Д.232. Л. 72 – 73] (18533).</w:t>
      </w:r>
    </w:p>
    <w:p w14:paraId="69C4F66D" w14:textId="77777777" w:rsidR="005A4244" w:rsidRPr="00A3026E" w:rsidRDefault="005A4244" w:rsidP="00A3026E">
      <w:pPr>
        <w:spacing w:after="0" w:line="240" w:lineRule="auto"/>
        <w:jc w:val="both"/>
        <w:rPr>
          <w:rFonts w:ascii="Times New Roman" w:hAnsi="Times New Roman"/>
          <w:color w:val="000000" w:themeColor="text1"/>
          <w:sz w:val="16"/>
          <w:szCs w:val="16"/>
        </w:rPr>
      </w:pPr>
    </w:p>
    <w:p w14:paraId="442E96E1"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одновременно с испытаниями усиленных траков «СЭ» в опытном цехе «540» завода № 183 проходили испытания опытного главного фрикциона танка Т-34 со стальными разрезными дисками трения. В первых числах января 1941 г. эти испытания были завершены с положительными результатами. </w:t>
      </w:r>
    </w:p>
    <w:p w14:paraId="4A5F0310" w14:textId="77777777" w:rsidR="005A4244" w:rsidRPr="00A3026E" w:rsidRDefault="00A3026E" w:rsidP="00A3026E">
      <w:pPr>
        <w:spacing w:after="0" w:line="240" w:lineRule="auto"/>
        <w:jc w:val="both"/>
        <w:rPr>
          <w:rFonts w:ascii="Times New Roman" w:hAnsi="Times New Roman"/>
          <w:color w:val="000000" w:themeColor="text1"/>
          <w:sz w:val="16"/>
          <w:szCs w:val="16"/>
        </w:rPr>
      </w:pPr>
      <w:hyperlink r:id="rId196" w:tgtFrame="_blank" w:history="1"/>
      <w:r w:rsidR="005A4244" w:rsidRPr="00A3026E">
        <w:rPr>
          <w:rFonts w:ascii="Times New Roman" w:hAnsi="Times New Roman"/>
          <w:color w:val="000000" w:themeColor="text1"/>
          <w:sz w:val="16"/>
          <w:szCs w:val="16"/>
        </w:rPr>
        <w:t>Опытный главный фрикцион отличался от серийного количеством и конструкцией дисков трения. Вместо 8 ведущих чугунных и 10 ведомых стальных дисков трения, входивших в комплект серийного главного фрикциона, в опытном главном фрикционе имелось 10 ведущих и 12 ведомых стальных дисков. При этом для уменьшения возникавшего в процессе эксплуатации коробления дисков, в каждом ведомом и ведущем диске трения на сторонах, не имевших зубьев, было сделано по 4 выреза размером 13×10 мм, располагавшихся на равном расстоянии друг от друга. </w:t>
      </w:r>
    </w:p>
    <w:p w14:paraId="3A056809"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в опытном цехе «540» завода № 183 испытаниям на износоустойчивость и специальным испытаниям на стойкость в особо тяжелых условиях работы было подвергнуто три комплекта разрезных дисков трения опытных главных фрикционов. Первый комплект разрезных дисков трения проходил испытания на опытном образце танка Т-34 – танке А-34 № 311-11-3 в период с 13 октября по 13 ноября 1940 г., одновременно с испытанием на этой же машине дизеля М-250. За время испытаний танком А-34 было пройдено 2476 км, на всем протяжении которых опытный главный фрикцион работал удовлетворительно. При обмере дисков трения, </w:t>
      </w:r>
      <w:r w:rsidRPr="00A3026E">
        <w:rPr>
          <w:rFonts w:ascii="Times New Roman" w:hAnsi="Times New Roman"/>
          <w:color w:val="000000" w:themeColor="text1"/>
          <w:sz w:val="16"/>
          <w:szCs w:val="16"/>
        </w:rPr>
        <w:lastRenderedPageBreak/>
        <w:t>проведенном после испытаний, были получены следующие результаты: коробление ведомых дисков находилось в пределах 0,04 – 0,75 мм, коробление ведущих дисков – в пределах 0,00 – 0,45 мм. Максимальное коробление всего комплекта со стороны рабочей поверхности, обращенной к двигателю, составило 4,04 мм, а со стороны рабочей поверхности, обращенной к коробке передач – 4,55 мм. При этом износ всего комплекта дисков трения был в пределах 0,50 мм. Однако следует отметить, что величина износа в действительности была значительно меньше, так как при замере учитывалось только максимальное уменьшение толщины диска, что в большинстве случаев носило локальный характер, за счет местных задиров и «сволакивания» металла. Состояние рабочих поверхностей дисков трения после испытаний было признано хорошим. </w:t>
      </w:r>
    </w:p>
    <w:p w14:paraId="7C74F855"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связи с тем, что 15 ноября 1940 г. танк А-34 № 311-11-3 был отправлен в капитальный ремонт, опытный главный фрикцион с комплектом разрезных дисков трения был с него демонтирован и в последующем установлен в танк Т-34 № 312-25 для проведения специальных испытаний. Эти испытания по проверке работоспособности главного фрикциона в особо тяжелых условиях состоялись 25 декабря 1940 г. За время испытаний машина прошла 81 км и было выполнено следующее: </w:t>
      </w:r>
    </w:p>
    <w:p w14:paraId="2E67D7A1"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11 троганий с места на III передаче на ровном участке слегка примерзшего песка. </w:t>
      </w:r>
    </w:p>
    <w:p w14:paraId="60C813FA"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Преодолена 6 раз на II передаче песчаная дюна с углом подъема 21 – 25° и длиной 10 – 12 м. </w:t>
      </w:r>
    </w:p>
    <w:p w14:paraId="76B34B83"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Проведено 11 троганий с места на песчаной дюне в 21 – 25° на I передаче и 4 трогания на II передаче. </w:t>
      </w:r>
    </w:p>
    <w:p w14:paraId="5764DDCB"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Проведено 10 буксований на подъеме в 21 – 25° общей продолжительностью в 5 минут. </w:t>
      </w:r>
    </w:p>
    <w:p w14:paraId="539DA2AA"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Произведено 8 троганий с места на III передаче на ровном твердом мерзлом грунте. </w:t>
      </w:r>
    </w:p>
    <w:p w14:paraId="61763F81"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На подъеме в 35° с твердым покровом сделано 2 попытки трогания с III передачи, при которых мотор глох».</w:t>
      </w:r>
    </w:p>
    <w:p w14:paraId="106F1959"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11355. Д.232. Л. 69 – 70] (18533).</w:t>
      </w:r>
    </w:p>
    <w:p w14:paraId="112C2AE0" w14:textId="77777777" w:rsidR="005A4244" w:rsidRPr="00A3026E" w:rsidRDefault="005A4244" w:rsidP="00A3026E">
      <w:pPr>
        <w:spacing w:after="0" w:line="240" w:lineRule="auto"/>
        <w:jc w:val="both"/>
        <w:rPr>
          <w:rFonts w:ascii="Times New Roman" w:hAnsi="Times New Roman"/>
          <w:color w:val="000000" w:themeColor="text1"/>
          <w:sz w:val="16"/>
          <w:szCs w:val="16"/>
        </w:rPr>
      </w:pPr>
    </w:p>
    <w:p w14:paraId="667588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НИИ-1600 подготовил для ходовых испытаний в танке Т-34 другой опытный дизель В-5 с изменением регулировки в нефорсированном (мощностью 500 л.с. при 800 об/мин) и форсированном (до 650 л.с. при 2100 об/мин) вариантах. Последние были отправлены в Ленинград на Кировский завод для испытаний в танках КВ (9023).</w:t>
      </w:r>
    </w:p>
    <w:p w14:paraId="45F128C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F1AC77D" w14:textId="77777777" w:rsidR="00841877" w:rsidRPr="00A3026E" w:rsidRDefault="00841877"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С конца 1940 года КБ-520 завода №183 занималось вопросом глубокой модернизации танка Т-34. Согласно концепции, танк, получавший индекс Т-34М, оснащался торсионной подвеской, также он получал трехместную башню с расширенным погоном и командирской башенкой. В исходной версии предполагалась также и установка двух спаренных пулеметов ДС. Ведущим инженером машины являлся И.С. Бер, имевший большой опыт в организации работ по тяжелому танку прорыва Т-35. В виду постоянно менявшихся вводных насчет уровня модернизации облик Т-34М не раз менялся, кроме того, по машине постоянно ужесточались тактико-технические требования. В какой-то момент родилась идея, что шасси Т-34М вполне может послужить базой для тяжелого танка. Он являлся инициативной разработкой КБ-520, ведущим инженером машины также стал Бер. Известна она как А-44, впрочем, этот индекс является примерно таким же реальным, как А-43. На самом деле в переписке используется обозначение Т-44 (21282).</w:t>
      </w:r>
    </w:p>
    <w:p w14:paraId="6163DB27" w14:textId="77777777" w:rsidR="00841877" w:rsidRPr="00A3026E" w:rsidRDefault="00841877"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 xml:space="preserve">Точной даты того, когда именно начались работы по Т-44, нет. Не сохранились и материалы по самому первому варианту машины. датированы </w:t>
      </w:r>
    </w:p>
    <w:p w14:paraId="4EDB51B7" w14:textId="77777777" w:rsidR="00841877" w:rsidRPr="00A3026E" w:rsidRDefault="00841877" w:rsidP="00A3026E">
      <w:pPr>
        <w:pStyle w:val="article-renderblock"/>
        <w:shd w:val="clear" w:color="auto" w:fill="FFFFFF"/>
        <w:spacing w:before="0" w:beforeAutospacing="0" w:after="0" w:afterAutospacing="0"/>
        <w:jc w:val="both"/>
        <w:rPr>
          <w:color w:val="0070C0"/>
          <w:sz w:val="16"/>
          <w:szCs w:val="16"/>
        </w:rPr>
      </w:pPr>
    </w:p>
    <w:p w14:paraId="4FB6FE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конца 1940 года на СТЗ сумели собрать 23 танка Т-34, из которых военная приемка приняла только шесть машин (12217).</w:t>
      </w:r>
    </w:p>
    <w:p w14:paraId="3A46311A" w14:textId="77777777" w:rsidR="0014077F" w:rsidRPr="00A3026E" w:rsidRDefault="0014077F" w:rsidP="00A3026E">
      <w:pPr>
        <w:spacing w:after="0" w:line="240" w:lineRule="auto"/>
        <w:jc w:val="both"/>
        <w:rPr>
          <w:rFonts w:ascii="Times New Roman" w:hAnsi="Times New Roman"/>
          <w:bCs/>
          <w:color w:val="000000" w:themeColor="text1"/>
          <w:sz w:val="16"/>
          <w:szCs w:val="16"/>
        </w:rPr>
      </w:pPr>
    </w:p>
    <w:p w14:paraId="6443A707" w14:textId="77777777" w:rsidR="00841877" w:rsidRPr="00A3026E" w:rsidRDefault="00841877" w:rsidP="00A3026E">
      <w:pPr>
        <w:shd w:val="clear" w:color="auto" w:fill="FFFFFF"/>
        <w:spacing w:after="0" w:line="240" w:lineRule="auto"/>
        <w:jc w:val="both"/>
        <w:rPr>
          <w:rFonts w:ascii="Times New Roman" w:hAnsi="Times New Roman"/>
          <w:color w:val="0070C0"/>
          <w:sz w:val="16"/>
          <w:szCs w:val="16"/>
          <w:shd w:val="clear" w:color="auto" w:fill="FFFFFF"/>
        </w:rPr>
      </w:pPr>
      <w:r w:rsidRPr="00A3026E">
        <w:rPr>
          <w:rFonts w:ascii="Times New Roman" w:hAnsi="Times New Roman"/>
          <w:color w:val="0070C0"/>
          <w:sz w:val="16"/>
          <w:szCs w:val="16"/>
          <w:shd w:val="clear" w:color="auto" w:fill="FFFFFF"/>
        </w:rPr>
        <w:t>В конце 1940 года задание на изготовления устройства для крепления МДШ на танки получил НАТИ (Научный автотракторный институт). Согласно требованиям, предполагалась установка 2-4 шашек на танки КВ, Т-34, БТ и Т-50. Конструкцию устройства требовалось сделать максимально унифицированной и не мешающей работе танка. Со стороны НАТИ работы возглавил инженер 1-го отдела А.И. Дрозд, при этом руководил ими военинженер 2-го ранга А.Ф. Кравцев. Анатолий Федорович был одним из идеологов постановки МДШ на танках. Первый опытный образец данного устройства был готов к началу июня 1941 года (20278).</w:t>
      </w:r>
    </w:p>
    <w:p w14:paraId="126BA22B" w14:textId="77777777" w:rsidR="00841877" w:rsidRPr="00A3026E" w:rsidRDefault="00841877" w:rsidP="00A3026E">
      <w:pPr>
        <w:shd w:val="clear" w:color="auto" w:fill="FFFFFF"/>
        <w:spacing w:after="0" w:line="240" w:lineRule="auto"/>
        <w:jc w:val="both"/>
        <w:rPr>
          <w:rFonts w:ascii="Times New Roman" w:hAnsi="Times New Roman"/>
          <w:color w:val="0070C0"/>
          <w:sz w:val="16"/>
          <w:szCs w:val="16"/>
          <w:shd w:val="clear" w:color="auto" w:fill="FFFFFF"/>
        </w:rPr>
      </w:pPr>
    </w:p>
    <w:p w14:paraId="31D6929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между ЧТЗ и ГАБТУ КА были заключены протокольные соглашения на доработ</w:t>
      </w:r>
      <w:r w:rsidRPr="00A3026E">
        <w:rPr>
          <w:rFonts w:ascii="Times New Roman" w:hAnsi="Times New Roman"/>
          <w:color w:val="000000" w:themeColor="text1"/>
          <w:sz w:val="16"/>
          <w:szCs w:val="16"/>
        </w:rPr>
        <w:softHyphen/>
        <w:t>ку дефектных механизмов «СТ-2» в обусловленные сроки устранения этих дефектов.</w:t>
      </w:r>
    </w:p>
    <w:p w14:paraId="0FC2135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Несмотря на достаточные сроки, ЧТЗ взятые на себя обязательства не выполнил и машину «СТ-2» пустил в серийное производство с серьезными дефектами основных механизмов.</w:t>
      </w:r>
    </w:p>
    <w:p w14:paraId="236C560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дефекты трактора «СТ-2», не устраненные до настоящего времени, следующие:</w:t>
      </w:r>
    </w:p>
    <w:p w14:paraId="0E2C521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Недостаточная мощность двигателя.</w:t>
      </w:r>
    </w:p>
    <w:p w14:paraId="5554E04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Разрушение резинового обода опорных катков.</w:t>
      </w:r>
    </w:p>
    <w:p w14:paraId="342D64B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Течи масла из уплотнений трансмиссии.</w:t>
      </w:r>
    </w:p>
    <w:p w14:paraId="4C7E18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Перегрев коробки конических передач.</w:t>
      </w:r>
    </w:p>
    <w:p w14:paraId="1C78F3F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Неудовлетворительный запуск пускового двигателя в зимних условиях.</w:t>
      </w:r>
    </w:p>
    <w:p w14:paraId="6732FD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Неудовлетворительная подвеска трактора, имеющая большую жесткость, и вследствие этого дает большую тряску трактора во время движения.</w:t>
      </w:r>
    </w:p>
    <w:p w14:paraId="2A2E444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Неудовлетворительное расположение рычагов управления трактором и рабочего места водителя.</w:t>
      </w:r>
    </w:p>
    <w:p w14:paraId="4BFD544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Недостаточная емкость баков горючего.</w:t>
      </w:r>
    </w:p>
    <w:p w14:paraId="5097A38D"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Трактор «СТ-2» с перечисленными выше дефектами для воинских частей Красной Армии не может являться полноценной машиной, так как она не отвечает тактико-техническим требованиям, предъявляемым к артиллерийскому тягачу.</w:t>
      </w:r>
    </w:p>
    <w:p w14:paraId="646A3E0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Принимаемые нами меры к заводу оказались недостаточными, поэтому АТУ ГАБТУ КА обрати</w:t>
      </w:r>
      <w:r w:rsidRPr="00A3026E">
        <w:rPr>
          <w:rFonts w:ascii="Times New Roman" w:hAnsi="Times New Roman"/>
          <w:color w:val="000000" w:themeColor="text1"/>
          <w:sz w:val="16"/>
          <w:szCs w:val="16"/>
        </w:rPr>
        <w:softHyphen/>
        <w:t>лось к Вам своим письмом от 13.12.1940 г. за № 3/376а/155 которым были поставлены основные воп</w:t>
      </w:r>
      <w:r w:rsidRPr="00A3026E">
        <w:rPr>
          <w:rFonts w:ascii="Times New Roman" w:hAnsi="Times New Roman"/>
          <w:color w:val="000000" w:themeColor="text1"/>
          <w:sz w:val="16"/>
          <w:szCs w:val="16"/>
        </w:rPr>
        <w:softHyphen/>
        <w:t>росы по доработке «СТ-2». К сожалению, это письмо до настоящего времени осталось без ответа.</w:t>
      </w:r>
    </w:p>
    <w:p w14:paraId="5ADB4CC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требования Красной Армии — иметь полноценную машину — вынуждают нас вторич</w:t>
      </w:r>
      <w:r w:rsidRPr="00A3026E">
        <w:rPr>
          <w:rFonts w:ascii="Times New Roman" w:hAnsi="Times New Roman"/>
          <w:color w:val="000000" w:themeColor="text1"/>
          <w:sz w:val="16"/>
          <w:szCs w:val="16"/>
        </w:rPr>
        <w:softHyphen/>
        <w:t>но ставить эти вопросы перед НКСМ и просить Вас обратить самое серьезное внимание на доработ</w:t>
      </w:r>
      <w:r w:rsidRPr="00A3026E">
        <w:rPr>
          <w:rFonts w:ascii="Times New Roman" w:hAnsi="Times New Roman"/>
          <w:color w:val="000000" w:themeColor="text1"/>
          <w:sz w:val="16"/>
          <w:szCs w:val="16"/>
        </w:rPr>
        <w:softHyphen/>
        <w:t>ку «СТ-2» и принять действенные меры к заводу, дав т. Соломоновичу категорическое приказание, развернуть работу по доработке «СТ-2» и устранить все дефекты к концу 2 квартала с тем, чтобы во второй половине 1941 года войсковые части Красной Армии имели возможность получить на воору</w:t>
      </w:r>
      <w:r w:rsidRPr="00A3026E">
        <w:rPr>
          <w:rFonts w:ascii="Times New Roman" w:hAnsi="Times New Roman"/>
          <w:color w:val="000000" w:themeColor="text1"/>
          <w:sz w:val="16"/>
          <w:szCs w:val="16"/>
        </w:rPr>
        <w:softHyphen/>
        <w:t>жение полноценную машину в количествах, предусмотренных договором на 1941 год.</w:t>
      </w:r>
    </w:p>
    <w:p w14:paraId="2A1DD9F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 принятых Вами мерах прошу сообщить в АТУ ГАБТУ КА.</w:t>
      </w:r>
    </w:p>
    <w:p w14:paraId="563ED65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АТУ ГАБТУ КА бригинженер Тягунов</w:t>
      </w:r>
    </w:p>
    <w:p w14:paraId="43B238C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ЦАМО. Ф. 38. Оп. 11386. Д. 21. Л. 1. Копия (11211).</w:t>
      </w:r>
    </w:p>
    <w:p w14:paraId="2739DED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7227048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был подготовлен СПИСОК ИЗОБРЕТАТЕЛЬСКИХ ПРЕДЛОЖЕНИЙ ОДОБРЕННЫХ ЭКСПЕРТИЗОЙ ДЛЯ ВКЛЮЧЕНИЯ В ПЛАН ОПЫТНЫХ РАБОТ НА 1941 ГОД</w:t>
      </w:r>
    </w:p>
    <w:tbl>
      <w:tblPr>
        <w:tblW w:w="0" w:type="auto"/>
        <w:tblInd w:w="40" w:type="dxa"/>
        <w:tblLayout w:type="fixed"/>
        <w:tblCellMar>
          <w:left w:w="40" w:type="dxa"/>
          <w:right w:w="40" w:type="dxa"/>
        </w:tblCellMar>
        <w:tblLook w:val="0000" w:firstRow="0" w:lastRow="0" w:firstColumn="0" w:lastColumn="0" w:noHBand="0" w:noVBand="0"/>
      </w:tblPr>
      <w:tblGrid>
        <w:gridCol w:w="426"/>
        <w:gridCol w:w="1842"/>
        <w:gridCol w:w="4111"/>
        <w:gridCol w:w="3119"/>
      </w:tblGrid>
      <w:tr w:rsidR="00983732" w:rsidRPr="00A3026E" w14:paraId="01F6618E" w14:textId="77777777" w:rsidTr="00EA0DA7">
        <w:trPr>
          <w:trHeight w:val="336"/>
        </w:trPr>
        <w:tc>
          <w:tcPr>
            <w:tcW w:w="426" w:type="dxa"/>
            <w:tcBorders>
              <w:top w:val="single" w:sz="6" w:space="0" w:color="auto"/>
              <w:left w:val="single" w:sz="6" w:space="0" w:color="auto"/>
              <w:bottom w:val="single" w:sz="6" w:space="0" w:color="auto"/>
              <w:right w:val="single" w:sz="6" w:space="0" w:color="auto"/>
            </w:tcBorders>
          </w:tcPr>
          <w:p w14:paraId="5DE54C6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п/п</w:t>
            </w:r>
          </w:p>
          <w:p w14:paraId="40B1602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FC2128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Фамилия автора</w:t>
            </w:r>
          </w:p>
          <w:p w14:paraId="034EA46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7B05127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Название предложения</w:t>
            </w:r>
          </w:p>
          <w:p w14:paraId="0CA39C9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BBBCAA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w:t>
            </w:r>
          </w:p>
          <w:p w14:paraId="6E59B15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4B2DB52"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6409488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p w14:paraId="5330F30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7E8786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Васильев</w:t>
            </w:r>
          </w:p>
          <w:p w14:paraId="4C5F38D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7C13955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Механический сервоприбор для гусеничных машин с бортовыми фрикционами.</w:t>
            </w:r>
          </w:p>
          <w:p w14:paraId="1656497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74DEA2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прилагается.</w:t>
            </w:r>
          </w:p>
          <w:p w14:paraId="531C6DF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9711F2A" w14:textId="77777777" w:rsidTr="00EA0DA7">
        <w:trPr>
          <w:trHeight w:val="374"/>
        </w:trPr>
        <w:tc>
          <w:tcPr>
            <w:tcW w:w="426" w:type="dxa"/>
            <w:tcBorders>
              <w:top w:val="single" w:sz="6" w:space="0" w:color="auto"/>
              <w:left w:val="single" w:sz="6" w:space="0" w:color="auto"/>
              <w:bottom w:val="single" w:sz="6" w:space="0" w:color="auto"/>
              <w:right w:val="single" w:sz="6" w:space="0" w:color="auto"/>
            </w:tcBorders>
          </w:tcPr>
          <w:p w14:paraId="5C949CA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p w14:paraId="4C4B620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2FD785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Войтов</w:t>
            </w:r>
          </w:p>
          <w:p w14:paraId="50FDB55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30226C0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Регулировка подогрева смеси в двигателе Т-26.</w:t>
            </w:r>
          </w:p>
          <w:p w14:paraId="3397137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45D2D50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 велась на НИ Полигоне в 1940 г. и не закончена.</w:t>
            </w:r>
          </w:p>
          <w:p w14:paraId="4442959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A358C88"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13C5644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p w14:paraId="16A4BF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94DA51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Геккер</w:t>
            </w:r>
          </w:p>
          <w:p w14:paraId="42C2D1B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46F5724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Дефектоскоп.</w:t>
            </w:r>
          </w:p>
          <w:p w14:paraId="512E5BE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A893AC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послано начальнику 7 отдела АБТУ.</w:t>
            </w:r>
          </w:p>
          <w:p w14:paraId="7DA1FB6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AF6E1AB"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035D249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p w14:paraId="2751468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40BF0E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Епифанцев</w:t>
            </w:r>
          </w:p>
          <w:p w14:paraId="0924ABE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5EE461F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Прибор, предупреждающий аварию двигателя Т-26.</w:t>
            </w:r>
          </w:p>
          <w:p w14:paraId="7A8F036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5B82ECA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послано на НИ Полигон.</w:t>
            </w:r>
          </w:p>
          <w:p w14:paraId="48BE635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5A620EA"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7C3C32C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p w14:paraId="2C74544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5D2284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В/склад 1 30 ХВО</w:t>
            </w:r>
          </w:p>
          <w:p w14:paraId="6A60B2C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1AB7DEA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Стенд для проверки электрооборудования.</w:t>
            </w:r>
          </w:p>
          <w:p w14:paraId="1AE57C6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0E1EC5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послано начальнику 4 отдела АБТУ.</w:t>
            </w:r>
          </w:p>
          <w:p w14:paraId="26354BB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DB27124"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314999C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w:t>
            </w:r>
          </w:p>
          <w:p w14:paraId="6F9C7EC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1B8167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Замятин и Андреев</w:t>
            </w:r>
          </w:p>
          <w:p w14:paraId="6E43D23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3AE3634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Автонагреватель «Гейзер».</w:t>
            </w:r>
          </w:p>
          <w:p w14:paraId="4064DE6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8B605E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послано начальнику 8 отдела АБТУ.</w:t>
            </w:r>
          </w:p>
          <w:p w14:paraId="7A0DC7A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665A015"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41AB79E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7.</w:t>
            </w:r>
          </w:p>
          <w:p w14:paraId="6A7138B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499802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Зверко</w:t>
            </w:r>
          </w:p>
          <w:p w14:paraId="5FD5159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0CA9B35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Комбинированный вольтамперметр.</w:t>
            </w:r>
          </w:p>
          <w:p w14:paraId="6551217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47E83E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послано в 4 отдел АБТУ.</w:t>
            </w:r>
          </w:p>
          <w:p w14:paraId="34986BA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C89178D"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13BB1FF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p w14:paraId="0CC72F5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070BF5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Ильченко</w:t>
            </w:r>
          </w:p>
          <w:p w14:paraId="1068CA5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1F282B4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^Способ получения ^роневых зеркальных пластинок.</w:t>
            </w:r>
          </w:p>
          <w:p w14:paraId="63100B7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993DC0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прилагается.</w:t>
            </w:r>
          </w:p>
          <w:p w14:paraId="386D84B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B0AFD60"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1259697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p w14:paraId="0B2FF3F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9B0111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Короткое</w:t>
            </w:r>
          </w:p>
          <w:p w14:paraId="028D8E6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0B9DE65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Прибор проверки действия муфты автоматич. опережения зажигания.</w:t>
            </w:r>
          </w:p>
          <w:p w14:paraId="439A129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8C7EEC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послан в 4 отдел АБТУ.</w:t>
            </w:r>
          </w:p>
          <w:p w14:paraId="79213C1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06C0EF9"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3FA6F63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p w14:paraId="0340412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31005E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Компанией</w:t>
            </w:r>
          </w:p>
          <w:p w14:paraId="28BE4FA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2801712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Приспособление для сверловки брони.</w:t>
            </w:r>
          </w:p>
          <w:p w14:paraId="5A5F090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AEA81A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прилагается.</w:t>
            </w:r>
          </w:p>
          <w:p w14:paraId="617BAB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0299AB2" w14:textId="77777777" w:rsidTr="00EA0DA7">
        <w:trPr>
          <w:trHeight w:val="182"/>
        </w:trPr>
        <w:tc>
          <w:tcPr>
            <w:tcW w:w="426" w:type="dxa"/>
            <w:tcBorders>
              <w:top w:val="single" w:sz="6" w:space="0" w:color="auto"/>
              <w:left w:val="single" w:sz="6" w:space="0" w:color="auto"/>
              <w:bottom w:val="single" w:sz="6" w:space="0" w:color="auto"/>
              <w:right w:val="single" w:sz="6" w:space="0" w:color="auto"/>
            </w:tcBorders>
          </w:tcPr>
          <w:p w14:paraId="2C873DE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p w14:paraId="5B5E79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264E80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Кожевников</w:t>
            </w:r>
          </w:p>
          <w:p w14:paraId="0426D69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610374E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Гидравлическая трансмиссия для Т-28.</w:t>
            </w:r>
          </w:p>
          <w:p w14:paraId="5CA9EE5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E2A0AB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в 8 отделе АБТУ.</w:t>
            </w:r>
          </w:p>
          <w:p w14:paraId="2DEA4A1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322C3E4"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27204A9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p w14:paraId="1CD9ADD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5EDD82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Кардовский</w:t>
            </w:r>
          </w:p>
          <w:p w14:paraId="708B51D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2BCEE1D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Прибор для испытания аппаратов зажигания.</w:t>
            </w:r>
          </w:p>
          <w:p w14:paraId="3ABA0AE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E423DE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послано в 4 отдел АБТУ.</w:t>
            </w:r>
          </w:p>
          <w:p w14:paraId="1E4DA0E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9A9126B" w14:textId="77777777" w:rsidTr="00EA0DA7">
        <w:trPr>
          <w:trHeight w:val="384"/>
        </w:trPr>
        <w:tc>
          <w:tcPr>
            <w:tcW w:w="426" w:type="dxa"/>
            <w:tcBorders>
              <w:top w:val="single" w:sz="6" w:space="0" w:color="auto"/>
              <w:left w:val="single" w:sz="6" w:space="0" w:color="auto"/>
              <w:bottom w:val="single" w:sz="6" w:space="0" w:color="auto"/>
              <w:right w:val="single" w:sz="6" w:space="0" w:color="auto"/>
            </w:tcBorders>
          </w:tcPr>
          <w:p w14:paraId="07C1D2F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p w14:paraId="31C78FC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FE449D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Ковригин</w:t>
            </w:r>
          </w:p>
          <w:p w14:paraId="03F0C66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46F8DB8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Приспособление для периодической заводки двигателя.</w:t>
            </w:r>
          </w:p>
          <w:p w14:paraId="5409952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EAC5A0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послано в 8 отдел АБТУ.</w:t>
            </w:r>
          </w:p>
          <w:p w14:paraId="05069C5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4CE3E5B" w14:textId="77777777" w:rsidTr="00EA0DA7">
        <w:trPr>
          <w:trHeight w:val="374"/>
        </w:trPr>
        <w:tc>
          <w:tcPr>
            <w:tcW w:w="426" w:type="dxa"/>
            <w:tcBorders>
              <w:top w:val="single" w:sz="6" w:space="0" w:color="auto"/>
              <w:left w:val="single" w:sz="6" w:space="0" w:color="auto"/>
              <w:bottom w:val="single" w:sz="6" w:space="0" w:color="auto"/>
              <w:right w:val="single" w:sz="6" w:space="0" w:color="auto"/>
            </w:tcBorders>
          </w:tcPr>
          <w:p w14:paraId="1634780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p w14:paraId="75ED604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E92BB4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Кацнельсон и Иванов</w:t>
            </w:r>
          </w:p>
          <w:p w14:paraId="4E26D9C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437D520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«Ликпрошин» - паста для ликвидации проколов в автошинах.</w:t>
            </w:r>
          </w:p>
          <w:p w14:paraId="39BFB85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B10DD5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послано в 5 отдел АБТУ.</w:t>
            </w:r>
          </w:p>
          <w:p w14:paraId="210841B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83814C9" w14:textId="77777777" w:rsidTr="00EA0DA7">
        <w:trPr>
          <w:trHeight w:val="182"/>
        </w:trPr>
        <w:tc>
          <w:tcPr>
            <w:tcW w:w="426" w:type="dxa"/>
            <w:tcBorders>
              <w:top w:val="single" w:sz="6" w:space="0" w:color="auto"/>
              <w:left w:val="single" w:sz="6" w:space="0" w:color="auto"/>
              <w:bottom w:val="single" w:sz="6" w:space="0" w:color="auto"/>
              <w:right w:val="single" w:sz="6" w:space="0" w:color="auto"/>
            </w:tcBorders>
          </w:tcPr>
          <w:p w14:paraId="073B155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p w14:paraId="00AE236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391629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Лупенко</w:t>
            </w:r>
          </w:p>
          <w:p w14:paraId="6B7F0BF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03FB36C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Двигатель с непосредственным впрыском бензина.</w:t>
            </w:r>
          </w:p>
          <w:p w14:paraId="5770132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19CA4B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прилагается.</w:t>
            </w:r>
          </w:p>
          <w:p w14:paraId="7168455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20339E3" w14:textId="77777777" w:rsidTr="00EA0DA7">
        <w:trPr>
          <w:trHeight w:val="374"/>
        </w:trPr>
        <w:tc>
          <w:tcPr>
            <w:tcW w:w="426" w:type="dxa"/>
            <w:tcBorders>
              <w:top w:val="single" w:sz="6" w:space="0" w:color="auto"/>
              <w:left w:val="single" w:sz="6" w:space="0" w:color="auto"/>
              <w:bottom w:val="single" w:sz="6" w:space="0" w:color="auto"/>
              <w:right w:val="single" w:sz="6" w:space="0" w:color="auto"/>
            </w:tcBorders>
          </w:tcPr>
          <w:p w14:paraId="2A8238A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p w14:paraId="60C49CD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1C197B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Лозовой, Черняк и Таршинов</w:t>
            </w:r>
          </w:p>
          <w:p w14:paraId="2AE6C08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717565A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Агрегат для подогрева б/машин.</w:t>
            </w:r>
          </w:p>
          <w:p w14:paraId="3FC939E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25BFB13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прилагается.</w:t>
            </w:r>
          </w:p>
          <w:p w14:paraId="45FEFB8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6BA2A64"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30D091E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p w14:paraId="4C794B7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450EF3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Миронов, Демков и др.</w:t>
            </w:r>
          </w:p>
          <w:p w14:paraId="0FF5184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48B0F75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Автосцепка танков.</w:t>
            </w:r>
          </w:p>
          <w:p w14:paraId="480EA4F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4DC87E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на НИ Полигоне.</w:t>
            </w:r>
          </w:p>
          <w:p w14:paraId="4B577F4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03A8D94"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5EF9449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p w14:paraId="1BC98E9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E708EC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Махов и Ямпольский</w:t>
            </w:r>
          </w:p>
          <w:p w14:paraId="5F2314A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5FDD389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Новый способ изготовления брони.</w:t>
            </w:r>
          </w:p>
          <w:p w14:paraId="44D1E45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4331700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прилагается.</w:t>
            </w:r>
          </w:p>
          <w:p w14:paraId="5AA3FD5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F42B579"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41564F9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p w14:paraId="2738321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1E76FB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Сегала</w:t>
            </w:r>
          </w:p>
          <w:p w14:paraId="16B53F2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4245AC0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Замена платины в каталитических танковых обогревателях.</w:t>
            </w:r>
          </w:p>
          <w:p w14:paraId="05E5DDC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5E7A664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в 4 отделе АБТУ.</w:t>
            </w:r>
          </w:p>
          <w:p w14:paraId="18B267B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A64D6A3"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0D38A77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p w14:paraId="517C74A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E93823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Немец</w:t>
            </w:r>
          </w:p>
          <w:p w14:paraId="6BF701C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7E0CC11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Механизм к танку для наводки мостов.</w:t>
            </w:r>
          </w:p>
          <w:p w14:paraId="4A5811A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2FAB0BF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на НИ Полигоне.</w:t>
            </w:r>
          </w:p>
          <w:p w14:paraId="4FF6CEB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377DDF5" w14:textId="77777777" w:rsidTr="00EA0DA7">
        <w:trPr>
          <w:trHeight w:val="182"/>
        </w:trPr>
        <w:tc>
          <w:tcPr>
            <w:tcW w:w="426" w:type="dxa"/>
            <w:tcBorders>
              <w:top w:val="single" w:sz="6" w:space="0" w:color="auto"/>
              <w:left w:val="single" w:sz="6" w:space="0" w:color="auto"/>
              <w:bottom w:val="single" w:sz="6" w:space="0" w:color="auto"/>
              <w:right w:val="single" w:sz="6" w:space="0" w:color="auto"/>
            </w:tcBorders>
          </w:tcPr>
          <w:p w14:paraId="198AFFB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p w14:paraId="0481A4F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CA17CA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Никитин и Немчин</w:t>
            </w:r>
          </w:p>
          <w:p w14:paraId="5A37067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0C00560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Прибор для записи угла поворота машин.</w:t>
            </w:r>
          </w:p>
          <w:p w14:paraId="03F03C7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324D058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послан в 8 отдел АБТУ.</w:t>
            </w:r>
          </w:p>
          <w:p w14:paraId="4FDA443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1DBFCD6"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288AA9A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p w14:paraId="6A9BB84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2FA17C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Новиков и Виноградов</w:t>
            </w:r>
          </w:p>
          <w:p w14:paraId="7F6ECA7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58591DD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Приспособление к БА-20 для преодоления МЗП.</w:t>
            </w:r>
          </w:p>
          <w:p w14:paraId="6DDB151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8C474C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ведутся на Ижорском заводе.</w:t>
            </w:r>
          </w:p>
          <w:p w14:paraId="73C118A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DF5C510"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7F7F77E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p w14:paraId="5826E04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677199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Переверзев</w:t>
            </w:r>
          </w:p>
          <w:p w14:paraId="021CFA1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2CB2139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Приспособление к танку для резки МЗП.</w:t>
            </w:r>
          </w:p>
          <w:p w14:paraId="46A6C1F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66C8C2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 завода № 174</w:t>
            </w:r>
          </w:p>
          <w:p w14:paraId="0D49A96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C33AFE7" w14:textId="77777777" w:rsidTr="00EA0DA7">
        <w:trPr>
          <w:trHeight w:val="182"/>
        </w:trPr>
        <w:tc>
          <w:tcPr>
            <w:tcW w:w="426" w:type="dxa"/>
            <w:tcBorders>
              <w:top w:val="single" w:sz="6" w:space="0" w:color="auto"/>
              <w:left w:val="single" w:sz="6" w:space="0" w:color="auto"/>
              <w:bottom w:val="single" w:sz="6" w:space="0" w:color="auto"/>
              <w:right w:val="single" w:sz="6" w:space="0" w:color="auto"/>
            </w:tcBorders>
          </w:tcPr>
          <w:p w14:paraId="3895EA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p w14:paraId="6A4F3BD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CB7F56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Пульманов</w:t>
            </w:r>
          </w:p>
          <w:p w14:paraId="384D8C9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12183EF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Применение наддува для двигателя ЗИС-5.</w:t>
            </w:r>
          </w:p>
          <w:p w14:paraId="4734AB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4AA14DB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Работа на ЗИСе.</w:t>
            </w:r>
          </w:p>
          <w:p w14:paraId="292E31A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E360D61" w14:textId="77777777" w:rsidTr="00EA0DA7">
        <w:trPr>
          <w:trHeight w:val="374"/>
        </w:trPr>
        <w:tc>
          <w:tcPr>
            <w:tcW w:w="426" w:type="dxa"/>
            <w:tcBorders>
              <w:top w:val="single" w:sz="6" w:space="0" w:color="auto"/>
              <w:left w:val="single" w:sz="6" w:space="0" w:color="auto"/>
              <w:bottom w:val="single" w:sz="6" w:space="0" w:color="auto"/>
              <w:right w:val="single" w:sz="6" w:space="0" w:color="auto"/>
            </w:tcBorders>
          </w:tcPr>
          <w:p w14:paraId="15F021C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p w14:paraId="384BFE9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672F55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Пушкин и Лаптев</w:t>
            </w:r>
          </w:p>
          <w:p w14:paraId="133C036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005C0BC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Предохранение боевых машин от горючих средств нападения.</w:t>
            </w:r>
          </w:p>
          <w:p w14:paraId="663C4D9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327AAA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послан начальнику 8 отдела АБТУ.</w:t>
            </w:r>
          </w:p>
          <w:p w14:paraId="26E8DB6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54E369F8"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0AAC31F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p w14:paraId="0B05572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6EE24A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Рабинер</w:t>
            </w:r>
          </w:p>
          <w:p w14:paraId="5900E33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1218EEC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Гусеница.</w:t>
            </w:r>
          </w:p>
          <w:p w14:paraId="618CF43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781334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послан начальнику 8 отдела АБТУ.</w:t>
            </w:r>
          </w:p>
          <w:p w14:paraId="3299E49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27957E62"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3365254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p w14:paraId="4A5350D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950DEE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Стекольщиков</w:t>
            </w:r>
          </w:p>
          <w:p w14:paraId="2E83665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01F9A9D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Дизельмотор</w:t>
            </w:r>
          </w:p>
          <w:p w14:paraId="61F46FB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96ED9E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прилагается.</w:t>
            </w:r>
          </w:p>
          <w:p w14:paraId="2CAA97F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77C5CB0C"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2D1E354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p w14:paraId="7AEF40D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797FDC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Трейвес</w:t>
            </w:r>
          </w:p>
          <w:p w14:paraId="2CEEBA0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5D64052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Введение универсальной цепи в качестве шанцевого инструмента.</w:t>
            </w:r>
          </w:p>
          <w:p w14:paraId="6127464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3ABFA46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Предложение послано начальнику 4 отдела АБТУ.</w:t>
            </w:r>
          </w:p>
          <w:p w14:paraId="6511D28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6AAC601E"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7A0B74E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p w14:paraId="2491CC1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85065E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Чуян</w:t>
            </w:r>
          </w:p>
          <w:p w14:paraId="0F6221F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42BCD7E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Суммарный счетчик оборотов двигателя.</w:t>
            </w:r>
          </w:p>
          <w:p w14:paraId="61B4232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56B514F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в 8 отделе АБТУ.</w:t>
            </w:r>
          </w:p>
          <w:p w14:paraId="7BF1148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2C186C7" w14:textId="77777777" w:rsidTr="00EA0DA7">
        <w:trPr>
          <w:trHeight w:val="182"/>
        </w:trPr>
        <w:tc>
          <w:tcPr>
            <w:tcW w:w="426" w:type="dxa"/>
            <w:tcBorders>
              <w:top w:val="single" w:sz="6" w:space="0" w:color="auto"/>
              <w:left w:val="single" w:sz="6" w:space="0" w:color="auto"/>
              <w:bottom w:val="single" w:sz="6" w:space="0" w:color="auto"/>
              <w:right w:val="single" w:sz="6" w:space="0" w:color="auto"/>
            </w:tcBorders>
          </w:tcPr>
          <w:p w14:paraId="71F0553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p w14:paraId="2C01CB3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BDCD0D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Шипицин</w:t>
            </w:r>
          </w:p>
          <w:p w14:paraId="4145CC1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2DB3300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Танковый стрелковый прибор колебаний «ТСПК-Ш7».</w:t>
            </w:r>
          </w:p>
          <w:p w14:paraId="4E4538D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50A20C2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послан во 2 отдел АБТУ.</w:t>
            </w:r>
          </w:p>
          <w:p w14:paraId="73B85C8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1961075E"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555C1F8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p w14:paraId="4A32C12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8290C1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Шипицин</w:t>
            </w:r>
          </w:p>
          <w:p w14:paraId="79C107F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7D5CAC5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Танковый универсальный прибор ТУСП-Ш9.</w:t>
            </w:r>
          </w:p>
          <w:p w14:paraId="674C2BE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03CC32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послан во 2 отдел АБТУ.</w:t>
            </w:r>
          </w:p>
          <w:p w14:paraId="6616F27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00497E46" w14:textId="77777777" w:rsidTr="00EA0DA7">
        <w:trPr>
          <w:trHeight w:val="182"/>
        </w:trPr>
        <w:tc>
          <w:tcPr>
            <w:tcW w:w="426" w:type="dxa"/>
            <w:tcBorders>
              <w:top w:val="single" w:sz="6" w:space="0" w:color="auto"/>
              <w:left w:val="single" w:sz="6" w:space="0" w:color="auto"/>
              <w:bottom w:val="single" w:sz="6" w:space="0" w:color="auto"/>
              <w:right w:val="single" w:sz="6" w:space="0" w:color="auto"/>
            </w:tcBorders>
          </w:tcPr>
          <w:p w14:paraId="3A645AD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w:t>
            </w:r>
          </w:p>
          <w:p w14:paraId="36FDE51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54973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Шипицин</w:t>
            </w:r>
          </w:p>
          <w:p w14:paraId="2DDDE38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346F98F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Качающаяся башня КБ-Ш-2.</w:t>
            </w:r>
          </w:p>
          <w:p w14:paraId="384B7E5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433B98B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послан во 2 отдел АБТУ.</w:t>
            </w:r>
          </w:p>
          <w:p w14:paraId="605D8F2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E9B92B9"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1E7DF24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w:t>
            </w:r>
          </w:p>
          <w:p w14:paraId="60C3BBF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00F1A3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Шипицин</w:t>
            </w:r>
          </w:p>
          <w:p w14:paraId="6E6CC8B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5E5D7C3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Танковый стрелковый тренажер ТСТ-Ш4.</w:t>
            </w:r>
          </w:p>
          <w:p w14:paraId="4373DC9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4EE2820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послан во 2 отдел АБТУ.</w:t>
            </w:r>
          </w:p>
          <w:p w14:paraId="62A3BD2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FEE1117"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7158A71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w:t>
            </w:r>
          </w:p>
          <w:p w14:paraId="710ED5B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12924A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Шипицин</w:t>
            </w:r>
          </w:p>
          <w:p w14:paraId="026FA81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108FF4D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Танковое пневматическое ружье.</w:t>
            </w:r>
          </w:p>
          <w:p w14:paraId="7DAF987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54791A5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послан во 2 отдел АБТУ.</w:t>
            </w:r>
          </w:p>
          <w:p w14:paraId="44F396D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4AA59B94"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7B12838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p w14:paraId="104CF2F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312B40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Яблонский и Аркад ьевский</w:t>
            </w:r>
          </w:p>
          <w:p w14:paraId="2F91E58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0B20779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Прибор для записи рабочих движений экипажа танка.</w:t>
            </w:r>
          </w:p>
          <w:p w14:paraId="7798B11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37CFE73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Прибор на НИ Полигоне.</w:t>
            </w:r>
          </w:p>
          <w:p w14:paraId="3DE6646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E7E76F7"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4E4E5B6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w:t>
            </w:r>
          </w:p>
          <w:p w14:paraId="2F1541B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D86749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Чирков</w:t>
            </w:r>
          </w:p>
          <w:p w14:paraId="0A33119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643737D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Силовая установка тяжелого танка</w:t>
            </w:r>
          </w:p>
          <w:p w14:paraId="3566B08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3F8E774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послан начальнику БТУ.</w:t>
            </w:r>
          </w:p>
          <w:p w14:paraId="5782583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A3026E" w14:paraId="382F2BBF" w14:textId="77777777" w:rsidTr="00EA0DA7">
        <w:trPr>
          <w:trHeight w:val="394"/>
        </w:trPr>
        <w:tc>
          <w:tcPr>
            <w:tcW w:w="426" w:type="dxa"/>
            <w:tcBorders>
              <w:top w:val="single" w:sz="6" w:space="0" w:color="auto"/>
              <w:left w:val="single" w:sz="6" w:space="0" w:color="auto"/>
              <w:bottom w:val="single" w:sz="6" w:space="0" w:color="auto"/>
              <w:right w:val="single" w:sz="6" w:space="0" w:color="auto"/>
            </w:tcBorders>
          </w:tcPr>
          <w:p w14:paraId="14A6C4C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w:t>
            </w:r>
          </w:p>
          <w:p w14:paraId="5CD831C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CFB7D0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Савельев</w:t>
            </w:r>
          </w:p>
          <w:p w14:paraId="06F97E6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2C72A95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Пресс для вырезывания аккумуляторных пластин из полублоков и снятия крышек со штырей блоков.</w:t>
            </w:r>
          </w:p>
          <w:p w14:paraId="45D7D88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49AB66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Материал прилагается.</w:t>
            </w:r>
          </w:p>
          <w:p w14:paraId="3E54042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tc>
      </w:tr>
    </w:tbl>
    <w:p w14:paraId="04AE1C5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1 отделения ОИ НКО военинженер 1 ранга Федоров</w:t>
      </w:r>
    </w:p>
    <w:p w14:paraId="268253A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Старший инженер военинженер 3 ранга Можелев</w:t>
      </w:r>
    </w:p>
    <w:p w14:paraId="70CF2466"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ЦАМО. Ф. 38. Оп. 11350. Д. 2177. Л. 26-28. Копия (11211).</w:t>
      </w:r>
    </w:p>
    <w:p w14:paraId="55B43FE2" w14:textId="77777777" w:rsidR="0014077F" w:rsidRPr="00A3026E" w:rsidRDefault="0014077F" w:rsidP="00A3026E">
      <w:pPr>
        <w:pStyle w:val="af2"/>
        <w:jc w:val="both"/>
        <w:rPr>
          <w:i w:val="0"/>
          <w:iCs w:val="0"/>
          <w:color w:val="000000" w:themeColor="text1"/>
          <w:spacing w:val="0"/>
          <w:kern w:val="0"/>
          <w:position w:val="0"/>
          <w:sz w:val="16"/>
          <w:szCs w:val="16"/>
          <w:lang w:val="ru-RU"/>
        </w:rPr>
      </w:pPr>
    </w:p>
    <w:p w14:paraId="1EAE1509" w14:textId="77777777" w:rsidR="00841877" w:rsidRPr="00A3026E" w:rsidRDefault="00841877"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 xml:space="preserve">К концу 1940 года начались работы по перевооружению Т-40. Дело в том, что вооружение танков не поспевало за ростом броневой защиты. Надо сказать, что сам по себе Т-39, а затем Т-40 являлись производной от колесно-гусеничного танка-разведчика Т-101, выполнявшегося по теме "замок", а она датировалась еще 1937 годом. Тогда ДК/ДШК еще как-то котировались в качестве легкого противотанкового вооружения. Совсем иной была ситуация в 1940 году. Танков с противопульной броней, которую мог бы поражать ДШК, в Советском Союзе уже не разрабатывали, исключением был только сам Т-40. Причем по его поводу уже поднимались вопросы с точки зрения принципиальной необходимости. В самом ГАБТУ КА таких вопросов не возникало, поскольку Т-40 шли для вполне определенных целей - комплектации разведывательных подразделений. А вот конструкторские бюро, прежде всего ленинградские (завод №174 и влитый в него опытный завод №185), вполне открыто </w:t>
      </w:r>
      <w:r w:rsidRPr="00A3026E">
        <w:rPr>
          <w:color w:val="0070C0"/>
          <w:sz w:val="16"/>
          <w:szCs w:val="16"/>
        </w:rPr>
        <w:lastRenderedPageBreak/>
        <w:t>называли Т-40 машиной, годящихся, практически дословно, "для колониальных армий капиталистических держав". При этом, правда, те же люди всё еще считали, что легкие танки могут быть основой бронетанковых сил. События 1941 года наглядно показали, что и легкие танки уже стали боевыми машинами второго сорта.</w:t>
      </w:r>
    </w:p>
    <w:p w14:paraId="1769AFD9" w14:textId="77777777" w:rsidR="00841877" w:rsidRPr="00A3026E" w:rsidRDefault="00841877"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Так или иначе, но появилось осознание насущной необходимости в более мощном вооружении, нежели ДШК. Даже по теоретическим данным пуля Б-30 пробивала на дистанции 200 метров лист толщиной 25 миллиметров, установленный под углом 90 градусов. Посему начался поиск альтернативы, которая нашлась очень быстро. У авиаторов. Как раз в то время, когда начался поиск альтернативного вооружения, ОКБ-16 доводило авиационную 23-мм мотор-пушку МП-6. Создавалась она под руководством Я.Г. Таубина и М.Н. Бабурина. Конечно, орудие было существенно крупнее ДШК, вместе с тем, теоретически оно вполне вписывалось в башню Т-40. Одним из плюсов МП-6 было то, что питание осуществлялось при помощи обойм (кассет) по 9 патронов в каждой. Это не нравилось "авиаторам", посему МП-6 переводили на ленточное питание, а вот для танковых нужд самое оно. Уже к концу 1940 года для экспериментальных работ заводу №37 была передана мотор-пушка МП-3, опытный образец, который использовался исключительно для отработки компоновочных решений. Согласно письму от конца декабря 1940 года, образец МП-6 для установки в танк ожидался к 25 января 1941 года. Надо сказать, что в переписке он именовался МП-6, хотя на самом деле его индекс был ПТ-23ТБ (пушка танковая 23 мм Таубина-Бабурина). Доработала эту пушку группа под руководством А.Э.Нудельмана.</w:t>
      </w:r>
    </w:p>
    <w:p w14:paraId="4C8BC670" w14:textId="77777777" w:rsidR="00841877" w:rsidRPr="00A3026E" w:rsidRDefault="00841877"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Согласно переписке, ПТ-23ТБ имела кассетное питание с одновременным использованием двух кассет по 9 патронов. Боезапас оценивался в 150-170 патронов (скорее что-то кратное 9, исходя из кассет). Прицел оставался тот же, что и у ДШК - ТМФП. Согласно планам, работы должны были закончиться к 1 февраля, уже даже подготовили программу испытаний, но... То, что происходило дальше, вызывает полное недоумение. Дело в том, что установленную в Т-40 пушку, и так выработавшую ресурс, из танка вытащили. Выяснилось, что эта же система была необходима для тяжелых аэросаней 02СС, которые разработали в ЦКБ-50. Да, всё верно, пушку поставили туда, причем по принципу "лишь бы стояла". То есть в башню аэросаней МП-3 вписалась, благо что это "голова" Т-40. А вот дальше у ЦКБ-50 было состояние такого легкого недоумения. Ибо орудие было со стволом, выработавшем ресурс, то есть стрелять из него не представлялось возможным. В ЦКБ-50 так и не поняли, что это вообще было.</w:t>
      </w:r>
    </w:p>
    <w:p w14:paraId="29488FC7" w14:textId="77777777" w:rsidR="00841877" w:rsidRPr="00A3026E" w:rsidRDefault="00841877"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Внутри пушка занимала много места, но, в принципе, стрельба была возможна. Точнее, невозможна, поскольку заводу №37 передали образец с выработанным ресурсом ствола.</w:t>
      </w:r>
    </w:p>
    <w:p w14:paraId="5FC09E02" w14:textId="77777777" w:rsidR="00841877" w:rsidRPr="00A3026E" w:rsidRDefault="00841877"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В случае с "установкой 23-мм пушки в танк Т-40" далее стояла графа статуса работ - "окончание работ задерживается по вине ОКБ-16". Всё прозаично: ОКБ-16 нахватало заказов, но при этом не успевало ни там, ни там. В ГУ ВВС по этому поводу уже начало расти недовольство. Собственно говоря, в ГАБТУ КА вряд ли знали о том, что является одной из причин проблем. Дело в том, что у МП-6 сила отдачи составляла 5200 кг, как бы повел себя при этом башенный погон Т-40, вопрос открытый. Даже со всеми доработками она был всё равно была в районе 3800-4000 кг. Да и в целом "танкисты" были не особо осведомлены происходящими чудесами с авиационными пушками. Случай с МП-6, в этом плане, совсем не уникальный (20693).</w:t>
      </w:r>
    </w:p>
    <w:p w14:paraId="7B7A8EF6" w14:textId="77777777" w:rsidR="00841877" w:rsidRPr="00A3026E" w:rsidRDefault="00841877" w:rsidP="00A3026E">
      <w:pPr>
        <w:shd w:val="clear" w:color="auto" w:fill="FFFFFF"/>
        <w:spacing w:after="0" w:line="240" w:lineRule="auto"/>
        <w:jc w:val="both"/>
        <w:rPr>
          <w:rFonts w:ascii="Times New Roman" w:hAnsi="Times New Roman"/>
          <w:color w:val="0070C0"/>
          <w:sz w:val="16"/>
          <w:szCs w:val="16"/>
        </w:rPr>
      </w:pPr>
    </w:p>
    <w:p w14:paraId="7F03B16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было принято решение об изъятии во втором полугодии 1941 г. 1000 устаревших танков Т-26 с целью переоборудования их в бронирован</w:t>
      </w:r>
      <w:r w:rsidRPr="00A3026E">
        <w:rPr>
          <w:rFonts w:ascii="Times New Roman" w:hAnsi="Times New Roman"/>
          <w:color w:val="000000" w:themeColor="text1"/>
          <w:sz w:val="16"/>
          <w:szCs w:val="16"/>
        </w:rPr>
        <w:softHyphen/>
        <w:t>ные транспортеры, артиллерийские тягачи и бензо- и маслозаправщики и новый начальник бронетанкового управле</w:t>
      </w:r>
      <w:r w:rsidRPr="00A3026E">
        <w:rPr>
          <w:rFonts w:ascii="Times New Roman" w:hAnsi="Times New Roman"/>
          <w:color w:val="000000" w:themeColor="text1"/>
          <w:sz w:val="16"/>
          <w:szCs w:val="16"/>
        </w:rPr>
        <w:softHyphen/>
        <w:t>ния Я. В. Федоренко просил рассмотреть вопрос о включе</w:t>
      </w:r>
      <w:r w:rsidRPr="00A3026E">
        <w:rPr>
          <w:rFonts w:ascii="Times New Roman" w:hAnsi="Times New Roman"/>
          <w:color w:val="000000" w:themeColor="text1"/>
          <w:sz w:val="16"/>
          <w:szCs w:val="16"/>
        </w:rPr>
        <w:softHyphen/>
        <w:t>нии в план работ на 1942 г. также разработку САУ поддерж</w:t>
      </w:r>
      <w:r w:rsidRPr="00A3026E">
        <w:rPr>
          <w:rFonts w:ascii="Times New Roman" w:hAnsi="Times New Roman"/>
          <w:color w:val="000000" w:themeColor="text1"/>
          <w:sz w:val="16"/>
          <w:szCs w:val="16"/>
        </w:rPr>
        <w:softHyphen/>
        <w:t>ки «с вооружением в виде 76-мм полковой, или горной пушки и пулемета в не вращающейся башне. Но до начала войны ни</w:t>
      </w:r>
      <w:r w:rsidRPr="00A3026E">
        <w:rPr>
          <w:rFonts w:ascii="Times New Roman" w:hAnsi="Times New Roman"/>
          <w:color w:val="000000" w:themeColor="text1"/>
          <w:sz w:val="16"/>
          <w:szCs w:val="16"/>
        </w:rPr>
        <w:softHyphen/>
        <w:t>чего в этом отношении сделано не было (11417).</w:t>
      </w:r>
    </w:p>
    <w:p w14:paraId="4BBA3A6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42603872"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конце 1940 года спеццеха СТЗ собрали несколько десятков танков Т-26, и тогда же перед предприятием была поставлена задача наладить выпуск танков Т-34. Всего было запланировано произвести на СТЗ до 1000 этих машин. План в количественном отношении был провален - к 1 мая СТЗ сумел произвести только 130 Т-34. Впрочем, это можно считать даже успехом предприятия, на котором почти 8 лет до этого не могли наладить сборку танков Т-26 (11580).</w:t>
      </w:r>
    </w:p>
    <w:p w14:paraId="006246E2" w14:textId="77777777" w:rsidR="0014077F" w:rsidRPr="00A3026E" w:rsidRDefault="0014077F" w:rsidP="00A3026E">
      <w:pPr>
        <w:pStyle w:val="af2"/>
        <w:jc w:val="both"/>
        <w:rPr>
          <w:i w:val="0"/>
          <w:iCs w:val="0"/>
          <w:color w:val="000000" w:themeColor="text1"/>
          <w:spacing w:val="0"/>
          <w:kern w:val="0"/>
          <w:position w:val="0"/>
          <w:sz w:val="16"/>
          <w:szCs w:val="16"/>
          <w:lang w:val="ru-RU"/>
        </w:rPr>
      </w:pPr>
    </w:p>
    <w:p w14:paraId="5545FAEE"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когда завод «Красный Профинтерн» в Брянске начал разработку нового образца мото-броневагона, вернулись к проектированию новых образцов бронедрезин. Первоначально, по выданным АБТУ РККА тактико-техническим требованиям предлагалось спроектировать бронедрезину с 20-25 мм броней, вооруженную 45-мм пушкой, пулеметами Максима и ДШК (последние предполагалось использовать для стрельбы по самолетам). Предъявленный в первых числах мая 1941 года проект бронедрезины БДТ-41 в целом удовлетворил военных, но они потребовали усилить вооружение, заменив пулеметы ДШК на 20 или 23-мм автоматические пушки, а также предусмотреть возможность использования дизельного двигателя и 76-мм пушки вместо 45-мм. В мае - июле 1941 года СКБ-2 завода «Красный Профинтерн» разработало 7 вариантов бронедрезины БДТ-41, которые между собой отличались главным образом компоновкой и размещением вооружения. 29 июля 1941 года в своем письме на имя начальника БТУ ГАБТУ КА военинженера 1-го ранга Коробкова. директор завода «Красный Профинтерн» Гоциридзе писал: </w:t>
      </w:r>
    </w:p>
    <w:p w14:paraId="78B86A74"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«Учитывая обстановку военного времени, завод считает возможным и необходимым приступить непосредственно изготовлению тяжелых бронедрезин по варианту № 7, для чего необходимо обеспечить завод отдельными узлами и деталями, согласно прилагаемой ведомости кооперирования поставок, что касается броневой стали для корпусов, то завод имеет ввиду использовать свое наличие из листов толщиною 15-20 мм соединяя листы пулестойкими болтами. </w:t>
      </w:r>
    </w:p>
    <w:p w14:paraId="55D8E53E"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Ваше решение просим нам срочно сообщить для развертывания работ» (18626).</w:t>
      </w:r>
    </w:p>
    <w:p w14:paraId="7CDF5429" w14:textId="77777777" w:rsidR="005A4244" w:rsidRPr="00A3026E" w:rsidRDefault="005A4244" w:rsidP="00A3026E">
      <w:pPr>
        <w:spacing w:after="0" w:line="240" w:lineRule="auto"/>
        <w:jc w:val="both"/>
        <w:rPr>
          <w:rFonts w:ascii="Times New Roman" w:hAnsi="Times New Roman"/>
          <w:color w:val="000000" w:themeColor="text1"/>
          <w:sz w:val="16"/>
          <w:szCs w:val="16"/>
        </w:rPr>
      </w:pPr>
    </w:p>
    <w:p w14:paraId="1EACA487" w14:textId="77777777" w:rsidR="004729C8" w:rsidRPr="00A3026E" w:rsidRDefault="004729C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был создан ЗИС-36, который был оснащен уже шестеренчатыми (но тоже проходными) задними мостами с двойными главными передачами (по типу ЗИС-5, но, естественно, с иными передаточными числами). ЗИС-36 был (на этот раз оправданно) унифицирован с ЗИС-32 по переднему ведущему мосту и раздаточной коробке. Всего было построено 2 экземпляра ЗИС-36 (один из них – с дизелем Д7). «Тридцать шестой» неплохо показал себя на испытаниях зимой 1940-1941 годов и был передан на подготовку производства. Однако подготовка эта велась недостаточно энергично и так и не была закончена к началу войны, поскольку военные изрядно «давили» на руководство завода с требованиями скорейшего производства очень полюбившихся им (по результатам испытаний) полугусеничных ЗИС-42, в которых они потом, кстати сказать, весьма и весьма разочаровались. Вот из-за этой не вполне обоснованной «любви» к полугусеничным вездеходам и не состоялся отечественный первенец колесной формулы 6х6, да и ЗИС-32 явился всего лишь «каплей в море». Хотя справедливости ради нужно отметить, что в военное время никаких особых перспектив у ЗИС-36 для серийного производства не было. Для него были нужны червячные передачи с колесами из дефицитной оловянистой бронзы (поскольку такие хотя бы применялись на ЗИС-6, а шестеренчатые ГП вообще не были освоены), другой рулевой механизм с увеличенным передаточным отношением (так как обычный не поддавался переделке), «своя» раздаточная коробка (она отличалась от освоенной в 1941 г. РК ЗИС-32), ну и опять же так толком и не освоенные шарниры «Рцеппа», которых потребовалось бы еще больше. Да и от самой изрядно устаревшей машины (техуровень начала 1930-х годов) на фронте было бы не очень много толку.  Однако вопрос о возобновлении производства ЗИС-32 и постановке к производству ЗИС36 был вновь поднят весной 1942 г. после возвращения части автозавода имени Сталина обратно в Москву. Тщетно. И на этот раз военные отдали предпочтение ЗИС-42, который вновь хорошо показал себя (по снегу при малых нагрузках) на повторных испытаниях зимой 1942 г. (а многочисленные его поломки и отказы начались уже позже, в войсках) (17499).</w:t>
      </w:r>
    </w:p>
    <w:p w14:paraId="60309DCA" w14:textId="77777777" w:rsidR="004729C8" w:rsidRPr="00A3026E" w:rsidRDefault="004729C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E45CB9B" w14:textId="77777777" w:rsidR="00841877" w:rsidRPr="00A3026E" w:rsidRDefault="00841877"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К концу 1940 года был завершен первый опытный образец ЛБ-62, который несколько отличался от тех ЛБ-62, что построили позже. Главным отличительным моментом стало наличие специальных колпаков, которые прикрывали фары. Эта машина скорее являлась демонстратором, на ней обкатали решения, которые позже реализовали на образцах, которые изготавливали по постановлению Комитета Обороны № 191сс. С ними имелась масса проблем, которые привели к срыву сроков изготовления. Проблемы имели чисто производственный характер, например, завод ДРО задержал поставку корпусов. Имелись проблемы и по деталям шасси. Часть из них имело зарубежное происхождение. Еще одним тонким моментом было то, что во многом работы по шасси ГАЗ-62 зависели от базового шасси ГАЗ-63. А вот с ним была беда. Помимо того, что осенью 1940 года моторный цех ГАЗ, где выпускались моторы ГАЗ-11, перепрофилировали в завод по выпуску авиамоторов, существовали проблемы с поставкой ШРУС-ов. Без налаженного производства базового шасси, естественно, приходилось использовать обходные технологии. Что же касается образца с "железным корпусом", то он позже оказался на территории ВАММ, где являлся учебным пособием (21393).</w:t>
      </w:r>
    </w:p>
    <w:p w14:paraId="76A0CD73" w14:textId="77777777" w:rsidR="00841877" w:rsidRPr="00A3026E" w:rsidRDefault="00841877" w:rsidP="00A3026E">
      <w:pPr>
        <w:pStyle w:val="article-renderblock"/>
        <w:shd w:val="clear" w:color="auto" w:fill="FFFFFF"/>
        <w:spacing w:before="0" w:beforeAutospacing="0" w:after="0" w:afterAutospacing="0"/>
        <w:jc w:val="both"/>
        <w:rPr>
          <w:color w:val="0070C0"/>
          <w:sz w:val="16"/>
          <w:szCs w:val="16"/>
        </w:rPr>
      </w:pPr>
    </w:p>
    <w:p w14:paraId="11F6B44F" w14:textId="77777777" w:rsidR="00841877" w:rsidRPr="00A3026E" w:rsidRDefault="00841877" w:rsidP="00A3026E">
      <w:pPr>
        <w:pStyle w:val="article-renderblock"/>
        <w:shd w:val="clear" w:color="auto" w:fill="FFFFFF"/>
        <w:spacing w:before="0" w:beforeAutospacing="0" w:after="0" w:afterAutospacing="0"/>
        <w:jc w:val="both"/>
        <w:rPr>
          <w:color w:val="0070C0"/>
          <w:sz w:val="16"/>
          <w:szCs w:val="16"/>
        </w:rPr>
      </w:pPr>
      <w:r w:rsidRPr="00A3026E">
        <w:rPr>
          <w:color w:val="0070C0"/>
          <w:sz w:val="16"/>
          <w:szCs w:val="16"/>
        </w:rPr>
        <w:t>В конце 1940 года на НИБТ Полигоне два опытных образца ГАЗ-22 ожидали еще. По ряду причин работы задержались, поэтому два образца транспортных тракторов прибыли на полигон только в середине января 1941 года. Соответственно, испытания начались позже назначенного срока - 26 января (20372).</w:t>
      </w:r>
    </w:p>
    <w:p w14:paraId="406FF42B" w14:textId="77777777" w:rsidR="00841877" w:rsidRPr="00A3026E" w:rsidRDefault="00841877" w:rsidP="00A3026E">
      <w:pPr>
        <w:pStyle w:val="article-renderblock"/>
        <w:shd w:val="clear" w:color="auto" w:fill="FFFFFF"/>
        <w:spacing w:before="0" w:beforeAutospacing="0" w:after="0" w:afterAutospacing="0"/>
        <w:jc w:val="both"/>
        <w:rPr>
          <w:color w:val="0070C0"/>
          <w:sz w:val="16"/>
          <w:szCs w:val="16"/>
        </w:rPr>
      </w:pPr>
    </w:p>
    <w:p w14:paraId="44224A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завод № 397, созданный в 1937 году на базе двух цехов, выделенных из завода № 80, выпустил первые противогазы. А уже в июле 1941 г. были произведены первые фильтры-поглотители.</w:t>
      </w:r>
    </w:p>
    <w:p w14:paraId="72A0C8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 397, так называлось тогда АО "Заря", (первом и единственном такого профиля предприятии СССР) выпускались, в том числе, и в тяжелейшие годы ВОВ противогазы и фильтрационные установки для ВМФ, полевых убежищ, для строителей Московского метрополитена, системы регенерации воздуха для подводных лодок, кораблей и других мест и помещений, где это требовалось. Следовательно "Заря" имеет производство сорбирующих компонентов, главным образом это активированный уголь. Был также освоен выпуск фильтрующих полотен, кроме того пластмасс на основе переработки смолы ПВХ (9694).</w:t>
      </w:r>
    </w:p>
    <w:p w14:paraId="1D38BA0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4449A99"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 xml:space="preserve">До конца 1940 года НИИ-20 изготовил и сдал заказчику опытная партия из еще десяти РЛС РУС-2. У разработчиков НИИ-20 возникло много идей по совершенствованию станции, главной из которых был переход на совмещение передающей и приемной антенны с использованием свойств четвертьволновой линии. Автоматическое переключение антенной системы на передачу, или прием. осуществлялось электрическими разрядниками. Попутно были найдены решения, </w:t>
      </w:r>
      <w:r w:rsidRPr="00A3026E">
        <w:rPr>
          <w:rFonts w:ascii="Times New Roman" w:hAnsi="Times New Roman" w:cs="Times New Roman"/>
          <w:color w:val="000000" w:themeColor="text1"/>
        </w:rPr>
        <w:lastRenderedPageBreak/>
        <w:t>позволявшие вращать только антенну, а не весь фургон. Все это вместе взятое намного упрощало конструкцию станции, снижало трудоемкость и себестоимость, поэтому выпуск двухантенного варианта решили ограничить опытной партией; заводу 209, который на сей раз не отказывался, поручили разработку автомобильного варианта одноантенной станции РУС-2, а НИИ-20 под шифром "Пегматит" - разборного варианта с двадцатиметровой мачтой. Изготовление опытных партии "Пегматита" институт заканчивал уже в ходе войны в эвакуации (9921).</w:t>
      </w:r>
    </w:p>
    <w:p w14:paraId="76EB9813" w14:textId="77777777" w:rsidR="0014077F" w:rsidRPr="00A3026E" w:rsidRDefault="0014077F" w:rsidP="00A3026E">
      <w:pPr>
        <w:pStyle w:val="a8"/>
        <w:widowControl/>
        <w:jc w:val="both"/>
        <w:rPr>
          <w:rFonts w:ascii="Times New Roman" w:hAnsi="Times New Roman" w:cs="Times New Roman"/>
          <w:color w:val="000000" w:themeColor="text1"/>
        </w:rPr>
      </w:pPr>
    </w:p>
    <w:p w14:paraId="47360F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завод (Завод № 397 НКОП, НКХП, Завод, ПО, ОАО «Заря» /606002  г. Дзержинск Горьковской обл. ул. Лермонтова, 20/) выпустил первую партию противогазов, а в 07.1941 г. - первые фильтры-поглотители.</w:t>
      </w:r>
    </w:p>
    <w:p w14:paraId="7FFBCD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Затем выпускались противогазы и фильтрационные установки для ВМФ, полевых убежищ, для Московского метрополитена; системы регенерации воздуха для ПЛ и надводных кораблей. Был освоен выпуск фильтрующих полотен; пластмасс из смолы ПВХ.</w:t>
      </w:r>
    </w:p>
    <w:p w14:paraId="7A03B0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оборудования для химлредприятий (1960-е  г.). В 1980-е  г. выпускал свыше 250 наименований продукции; был единственным в стране изготовителем эмалированной посуды, стойкой к различным средам.</w:t>
      </w:r>
    </w:p>
    <w:p w14:paraId="7A912E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предприятии хранилось 600 т. фосгена (1994 г.).</w:t>
      </w:r>
      <w:r w:rsidRPr="00A3026E">
        <w:rPr>
          <w:rFonts w:ascii="Times New Roman" w:hAnsi="Times New Roman"/>
          <w:color w:val="000000" w:themeColor="text1"/>
          <w:sz w:val="16"/>
          <w:szCs w:val="16"/>
          <w:vertAlign w:val="superscript"/>
        </w:rPr>
        <w:t>71</w:t>
      </w:r>
    </w:p>
    <w:p w14:paraId="2EB3F0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16.11.2003 г. на предприятии введено внешнее управление, имущество выставлено на торги. В 2000-е  г. у ПО «Заря» Владимирским химзаводом приобретены 4 производственные площадки, и на их базе создан Дзержинский химзавод.</w:t>
      </w:r>
      <w:r w:rsidRPr="00A3026E">
        <w:rPr>
          <w:rFonts w:ascii="Times New Roman" w:hAnsi="Times New Roman"/>
          <w:color w:val="000000" w:themeColor="text1"/>
          <w:sz w:val="16"/>
          <w:szCs w:val="16"/>
          <w:vertAlign w:val="superscript"/>
        </w:rPr>
        <w:t>1</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vertAlign w:val="superscript"/>
        </w:rPr>
        <w:t>41006</w:t>
      </w:r>
    </w:p>
    <w:p w14:paraId="482D96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(8.07-21.09.1937 г.)- И.С. Топчин, (21.09.1937 г.-)- В.М. Цыплаков. Гендиректор (2003 г.-)- Ю. Тимофеев. Внешний управляющий (2004 г.-)- А. Багров.</w:t>
      </w:r>
    </w:p>
    <w:p w14:paraId="17EEAD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(7.09.1938 г.-)- А.А. Михнюк (11982).</w:t>
      </w:r>
    </w:p>
    <w:p w14:paraId="3A75879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9DE63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были спущены на воду эсминцы "Огневой" и "Озорной", а "Отличный", "Образцовый" и "Отважный" — в первой по</w:t>
      </w:r>
      <w:r w:rsidRPr="00A3026E">
        <w:rPr>
          <w:rFonts w:ascii="Times New Roman" w:hAnsi="Times New Roman"/>
          <w:color w:val="000000" w:themeColor="text1"/>
          <w:sz w:val="16"/>
          <w:szCs w:val="16"/>
        </w:rPr>
        <w:softHyphen/>
        <w:t>ловине 1941 г. (3898).</w:t>
      </w:r>
    </w:p>
    <w:p w14:paraId="7396247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20219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в связи с изменением оперативно-так</w:t>
      </w:r>
      <w:r w:rsidRPr="00A3026E">
        <w:rPr>
          <w:rFonts w:ascii="Times New Roman" w:hAnsi="Times New Roman"/>
          <w:color w:val="000000" w:themeColor="text1"/>
          <w:sz w:val="16"/>
          <w:szCs w:val="16"/>
        </w:rPr>
        <w:softHyphen/>
        <w:t>тических взглядов программа постройки лидеров пр. 48, элементы которых почти не отличались от элементов будущих эсминцев (пр. 35), была свернута. Достраивать решили только два первых корабля, а третий (ленинградский) разобрали на металл. "Киев" был спущен на воду в декабре 1940 г., "Ереван" — в июне 1941 г. В авгу</w:t>
      </w:r>
      <w:r w:rsidRPr="00A3026E">
        <w:rPr>
          <w:rFonts w:ascii="Times New Roman" w:hAnsi="Times New Roman"/>
          <w:color w:val="000000" w:themeColor="text1"/>
          <w:sz w:val="16"/>
          <w:szCs w:val="16"/>
        </w:rPr>
        <w:softHyphen/>
        <w:t>сте 1941 г. корпуса лидеров удалось вывести из Николаева и впос</w:t>
      </w:r>
      <w:r w:rsidRPr="00A3026E">
        <w:rPr>
          <w:rFonts w:ascii="Times New Roman" w:hAnsi="Times New Roman"/>
          <w:color w:val="000000" w:themeColor="text1"/>
          <w:sz w:val="16"/>
          <w:szCs w:val="16"/>
        </w:rPr>
        <w:softHyphen/>
        <w:t>ледствии сохранить до конца войны на плаву в Поти. В конце 1945 г. по предположению Наркомсудпрома достройка "Киева" (готовность 48,9% полной) и "Еревана" (25,4%) был отложена, а корпуса законсервированы. Это предопределило судьбу кораблей, которые так и не вступили в строй (3898).</w:t>
      </w:r>
    </w:p>
    <w:p w14:paraId="0591E68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944D7E7" w14:textId="77777777" w:rsidR="0014077F"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711B881D"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4841C083" w14:textId="77777777" w:rsidR="006B3E48" w:rsidRPr="00A3026E" w:rsidRDefault="006B3E48" w:rsidP="00A3026E">
      <w:pPr>
        <w:pStyle w:val="ae"/>
        <w:shd w:val="clear" w:color="auto" w:fill="FFFFFF"/>
        <w:spacing w:before="0" w:after="0"/>
        <w:jc w:val="both"/>
        <w:rPr>
          <w:color w:val="000000" w:themeColor="text1"/>
          <w:sz w:val="16"/>
          <w:szCs w:val="16"/>
        </w:rPr>
      </w:pPr>
      <w:r w:rsidRPr="00A3026E">
        <w:rPr>
          <w:color w:val="000000" w:themeColor="text1"/>
          <w:sz w:val="16"/>
          <w:szCs w:val="16"/>
        </w:rPr>
        <w:t>К концу 1940 года в составе ВВС РККА остались 11 легкоштурмовых авиационных полков, которые в августе 1940 года получили новую аббревиатуру «ШАП», то есть «штурмовой авиационный полк». Вместе с переименованием поменялась и структура частей: по новому штату все пять эскадрилий полка должны были быть штурмовыми.</w:t>
      </w:r>
    </w:p>
    <w:p w14:paraId="1D8344B9" w14:textId="77777777" w:rsidR="006B3E48" w:rsidRPr="00A3026E" w:rsidRDefault="006B3E48" w:rsidP="00A3026E">
      <w:pPr>
        <w:shd w:val="clear" w:color="auto" w:fill="FFFFFF"/>
        <w:spacing w:after="0" w:line="240" w:lineRule="auto"/>
        <w:jc w:val="both"/>
        <w:rPr>
          <w:rFonts w:ascii="Times New Roman" w:eastAsia="Times New Roman" w:hAnsi="Times New Roman"/>
          <w:color w:val="000000" w:themeColor="text1"/>
          <w:sz w:val="16"/>
          <w:szCs w:val="16"/>
        </w:rPr>
      </w:pPr>
      <w:r w:rsidRPr="00A3026E">
        <w:rPr>
          <w:rFonts w:ascii="Times New Roman" w:eastAsia="Times New Roman" w:hAnsi="Times New Roman"/>
          <w:color w:val="000000" w:themeColor="text1"/>
          <w:sz w:val="16"/>
          <w:szCs w:val="16"/>
        </w:rPr>
        <w:t>Так как производство нового ударного самолёта всё ещё задерживалось, то в качестве временной замены штурмовику БШ-2 (впоследствии ставшему Ил-2) было принято решение перевооружить штурмовые полки на устаревшие истребители И-15бис. Этот процесс начался ещё в 1939 году, однако дело двигалось крайне медленно. Даже к 1 сентября 1940 года перевооружение всё ещё не закончилось – к примеру, 61-й ШАП ещё эксплуатировал Р-5ССС, 106-й ШАП продолжал летать на ДИ-6, а 62-й ШАП, только что сдавший свои Р-5ССС, имел всего лишь 20 И-15бис. В итоге 61-й и 62-й ШАП в конце 1940 года, а 106-й ШАП в начале 1941 года вместо И-15бис получили на вооружение более современные самолёты И-153 «Чайка». Весь остальной «антиквариат» полки списали с баланса, и в основном Р-5ССС, Р-Z и Р-10 пошли на укомплектование отдельных корпусных разведывательных эскадрилий и лётных школ.</w:t>
      </w:r>
    </w:p>
    <w:p w14:paraId="4FF02C99" w14:textId="77777777" w:rsidR="006B3E48" w:rsidRPr="00A3026E" w:rsidRDefault="006B3E48" w:rsidP="00A3026E">
      <w:pPr>
        <w:shd w:val="clear" w:color="auto" w:fill="FFFFFF"/>
        <w:spacing w:after="0" w:line="240" w:lineRule="auto"/>
        <w:jc w:val="both"/>
        <w:rPr>
          <w:rFonts w:ascii="Times New Roman" w:eastAsia="Times New Roman" w:hAnsi="Times New Roman"/>
          <w:color w:val="000000" w:themeColor="text1"/>
          <w:sz w:val="16"/>
          <w:szCs w:val="16"/>
        </w:rPr>
      </w:pPr>
      <w:r w:rsidRPr="00A3026E">
        <w:rPr>
          <w:rFonts w:ascii="Times New Roman" w:eastAsia="Times New Roman" w:hAnsi="Times New Roman"/>
          <w:color w:val="000000" w:themeColor="text1"/>
          <w:sz w:val="16"/>
          <w:szCs w:val="16"/>
        </w:rPr>
        <w:t>Таким образом, штурмовые полки вооружались фактически лёгкими пикирующими бомбардировщиками И-15бис и И-153 и организовывали учебно-боевую подготовку с упором на отработку истребительно-бомбардировочных задач. Важнейшим элементом этой подготовки являлось обучение личного состава бомбометанию с пикирования (15990).</w:t>
      </w:r>
    </w:p>
    <w:p w14:paraId="4BEBB6AF" w14:textId="77777777" w:rsidR="006B3E48" w:rsidRPr="00A3026E" w:rsidRDefault="006B3E48" w:rsidP="00A3026E">
      <w:pPr>
        <w:shd w:val="clear" w:color="auto" w:fill="FFFFFF"/>
        <w:spacing w:after="0" w:line="240" w:lineRule="auto"/>
        <w:jc w:val="both"/>
        <w:rPr>
          <w:rFonts w:ascii="Times New Roman" w:eastAsia="Times New Roman" w:hAnsi="Times New Roman"/>
          <w:color w:val="000000" w:themeColor="text1"/>
          <w:sz w:val="16"/>
          <w:szCs w:val="16"/>
        </w:rPr>
      </w:pPr>
    </w:p>
    <w:p w14:paraId="0A67CFF0" w14:textId="77777777" w:rsidR="00841877" w:rsidRPr="00A3026E" w:rsidRDefault="00841877"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 концу 1940 года в составе ВВС РККА остались 11 полков, которые в августе 1940 года получили новую аббревиатуру «ШАП», то есть «штурмовой авиационный полк». Вместе с переименованием поменялась и структура частей: по новому штату все пять эскадрилий полка должны были быть штурмовыми. Так как производство нового ударного самолёта всё ещё задерживалось, то в качестве временной замены штурмовику БШ-2 (впоследствии ставшему Ил-2) было принято решение перевооружить штурмовые полки на устаревшие истребители И15бис. Этот процесс начался ещё в 1939 году, однако дело двигалось крайне медленно. Даже к 1 сентября 1940 года перевооружение всё ещё не закончилось – к примеру, 61-й ШАП ещё эксплуатировал Р-5ССС, 106-й ШАП продолжал летать на ДИ-6, а 62-й ШАП, только что сдавший свои Р-5ССС, имел всего лишь 20 И-15бис. В итоге 61-й и 62-й ШАП в конце 1940 года, а 106-й ШАП в начале 1941 года вместо И15бис получили на вооружение более современные самолёты И-153 «Чайка». Весь остальной «антиквариат» полки списали с баланса, и в основном Р-5ССС, Р-Z и Р10 пошли на укомплектование отдельных корпусных разведывательных эскадрилий и лётных школ (19905).</w:t>
      </w:r>
    </w:p>
    <w:p w14:paraId="4BA0E05C" w14:textId="77777777" w:rsidR="00841877" w:rsidRPr="00A3026E" w:rsidRDefault="00841877" w:rsidP="00A3026E">
      <w:pPr>
        <w:shd w:val="clear" w:color="auto" w:fill="FFFFFF"/>
        <w:spacing w:after="0" w:line="240" w:lineRule="auto"/>
        <w:jc w:val="both"/>
        <w:rPr>
          <w:rFonts w:ascii="Times New Roman" w:hAnsi="Times New Roman"/>
          <w:color w:val="0070C0"/>
          <w:sz w:val="16"/>
          <w:szCs w:val="16"/>
        </w:rPr>
      </w:pPr>
    </w:p>
    <w:p w14:paraId="2CCC2DE5"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конце 1940 года Р-10 в 9-м полку постепенно стали сменять более совершенные ближние бомбардировщики Су-2. В летной книжке командира звена 5-й АЭ 9-го ЛБАП ст. лейтенанта С.М.Попова отмечено, что он летал на Р-10 с 1939 года по 1941-и, совершил на нем 600 с лишним полетов и налетал 358 часов без единой поломки. Вторым регионом применения Р-10 стал Дальний Восток, где назревал военный конфликт с Японией. 3 января 1938 года завод № 135 отгрузил по специальному правительственному заданию 15 самолетов. 24 января туда отправили еще 2 Р-10. В поступивших на Дальний Восток самолетах устранили все основные дефекты, а комплект вооружения включал новую пулеметную турель МВ-3 (11456).</w:t>
      </w:r>
    </w:p>
    <w:p w14:paraId="3009674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3CB2A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началась практическая военная служба для ТБ-7. Однако еще в январе 1940 г. один экземпляр решили использовать в войне с Финляндией. Самолет под командованием летчика НИИ ВВС Дацко вылетел на Ленинград, однако по дороге потерпел аварию и был возвращен назад.</w:t>
      </w:r>
    </w:p>
    <w:p w14:paraId="542049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уже говорилось, в конце 1940 г. ТБ-7 начали поступать в 14-й тбап 18-й авиадивизии дальнего действия (алдл). Не смотря на то, что летчики полка ранее летали на ТБ-3 и обладали значительным опытом эксплуатации четырехмоторных самолетов, освоение новой техники началось с неприятностей. Первый поступивший в полк ТБ-7 №4216 в декабре 1940 г. потерпел катастрофу, еще один самолет был серьезно поврежден при аварии.</w:t>
      </w:r>
    </w:p>
    <w:p w14:paraId="75A2C1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Одновременно, сведения об эксплуатации, освоении новой техники, выявленных недостатках и летных происшествиях ни в конструкторское бюро, ни на завод-изготовитель не поступали. Отправленный в 14-й тбап для выяснения обстановки с эксплуатацией ТБ-7 ведущий инженер по летным испытаниям Я.С.Осокин необходимой информации на месте получить не смог. Командование полка заверило заводского представителя, что посторонней помощи им не требуется и вопросы технического обслуживания и введения летчиков в строй они решат сами.</w:t>
      </w:r>
    </w:p>
    <w:p w14:paraId="7FF823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Однако в апреле 1941 г. выяснилось, что 10 новейших бомбардировщиков всю зиму провели на аэродроме и полеты на них практически не велись. Простоявшим без движения самолетам теперь требовалось провести регламентные работы, а для летного состава вновь производить введение в строй. </w:t>
      </w:r>
    </w:p>
    <w:p w14:paraId="6D731E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Немедленно из Казани на Украину выслали заводскую бригаду, которая довела самолеты до летного состояния. Вывозкой пилотов на аэродроме Белая Церковь занялся летчик-испытатель В.Дацко, который участвовал в полетах еще первых опытных АНТ-42. Таким образом, к лету 1941 г. 14-й тбап был приведен в боевую готовность. Однако, как показали последующие события, в истории бомбардировщика ТБ-7 предстоял очередной резкий поворот (12025).</w:t>
      </w:r>
    </w:p>
    <w:p w14:paraId="745B81F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596CEE7" w14:textId="77777777" w:rsidR="005A4244" w:rsidRPr="00A3026E" w:rsidRDefault="005A4244" w:rsidP="00A3026E">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A3026E">
        <w:rPr>
          <w:rFonts w:ascii="Times New Roman" w:hAnsi="Times New Roman" w:cs="Times New Roman"/>
          <w:color w:val="000000" w:themeColor="text1"/>
          <w:sz w:val="16"/>
          <w:szCs w:val="16"/>
        </w:rPr>
        <w:t>До конца 1940 г., 2-я специальная эскадрилья активно отрабатывала тактику применения нового оружия, основными целями при этом считались военные корабли вероятных противни</w:t>
      </w:r>
      <w:r w:rsidRPr="00A3026E">
        <w:rPr>
          <w:rFonts w:ascii="Times New Roman" w:hAnsi="Times New Roman" w:cs="Times New Roman"/>
          <w:color w:val="000000" w:themeColor="text1"/>
          <w:sz w:val="16"/>
          <w:szCs w:val="16"/>
        </w:rPr>
        <w:softHyphen/>
        <w:t>ков. В январе 1941 г. командование флота охладело к этому необычному подра</w:t>
      </w:r>
      <w:r w:rsidRPr="00A3026E">
        <w:rPr>
          <w:rFonts w:ascii="Times New Roman" w:hAnsi="Times New Roman" w:cs="Times New Roman"/>
          <w:color w:val="000000" w:themeColor="text1"/>
          <w:sz w:val="16"/>
          <w:szCs w:val="16"/>
        </w:rPr>
        <w:softHyphen/>
        <w:t>зделению и приказало демонтировать с самолетов специальное оборудование (19112).</w:t>
      </w:r>
    </w:p>
    <w:p w14:paraId="358C67D5" w14:textId="77777777" w:rsidR="005A4244" w:rsidRPr="00A3026E" w:rsidRDefault="005A4244" w:rsidP="00A3026E">
      <w:pPr>
        <w:spacing w:after="0" w:line="240" w:lineRule="auto"/>
        <w:jc w:val="both"/>
        <w:rPr>
          <w:rFonts w:ascii="Times New Roman" w:hAnsi="Times New Roman"/>
          <w:color w:val="000000" w:themeColor="text1"/>
          <w:sz w:val="16"/>
          <w:szCs w:val="16"/>
        </w:rPr>
      </w:pPr>
    </w:p>
    <w:p w14:paraId="101A3DC9" w14:textId="77777777" w:rsidR="00656225" w:rsidRPr="00A3026E" w:rsidRDefault="0065622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До конца года 1940 т. 2-я специальная эскадрилья 32-го истребительного авиаполка 62-й авиабригады ВВС Черноморского флота, с местом базирования в Евпатории, которая получила три ТБ-3 с двигателями АМ-34РН, переоборудованные в Звено-СПБ,. В январе 1941 года коман</w:t>
      </w:r>
      <w:r w:rsidRPr="00A3026E">
        <w:rPr>
          <w:rFonts w:ascii="Times New Roman" w:hAnsi="Times New Roman"/>
          <w:color w:val="0070C0"/>
          <w:sz w:val="16"/>
          <w:szCs w:val="16"/>
        </w:rPr>
        <w:softHyphen/>
        <w:t>дование флота, однако, охладело к этому необычному соединению, называемому здесь по имени командира эс</w:t>
      </w:r>
      <w:r w:rsidRPr="00A3026E">
        <w:rPr>
          <w:rFonts w:ascii="Times New Roman" w:hAnsi="Times New Roman"/>
          <w:color w:val="0070C0"/>
          <w:sz w:val="16"/>
          <w:szCs w:val="16"/>
        </w:rPr>
        <w:softHyphen/>
        <w:t>кадрильи «цирк Шубикова» и приказало демонтировать ус</w:t>
      </w:r>
      <w:r w:rsidRPr="00A3026E">
        <w:rPr>
          <w:rFonts w:ascii="Times New Roman" w:hAnsi="Times New Roman"/>
          <w:color w:val="0070C0"/>
          <w:sz w:val="16"/>
          <w:szCs w:val="16"/>
        </w:rPr>
        <w:softHyphen/>
        <w:t>тановки. Вернулись к ним только летом 1941 года, когда война была уже в разгаре (29364).</w:t>
      </w:r>
    </w:p>
    <w:p w14:paraId="59C10516" w14:textId="77777777" w:rsidR="00656225" w:rsidRPr="00A3026E" w:rsidRDefault="00656225" w:rsidP="00A3026E">
      <w:pPr>
        <w:shd w:val="clear" w:color="auto" w:fill="FFFFFF"/>
        <w:spacing w:after="0" w:line="240" w:lineRule="auto"/>
        <w:jc w:val="both"/>
        <w:rPr>
          <w:rFonts w:ascii="Times New Roman" w:hAnsi="Times New Roman"/>
          <w:color w:val="0070C0"/>
          <w:sz w:val="16"/>
          <w:szCs w:val="16"/>
        </w:rPr>
      </w:pPr>
    </w:p>
    <w:p w14:paraId="667830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в штат ВДБ включили наряду с посадочной и парашютной группами и планерную боевую группу (94,52).</w:t>
      </w:r>
    </w:p>
    <w:p w14:paraId="2BDEA60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793C0D8" w14:textId="77777777" w:rsidR="005A4244" w:rsidRPr="00A3026E" w:rsidRDefault="005A4244"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1A59ECB2" w14:textId="77777777" w:rsidR="005A4244" w:rsidRPr="00A3026E" w:rsidRDefault="005A4244" w:rsidP="00A3026E">
      <w:pPr>
        <w:spacing w:after="0" w:line="240" w:lineRule="auto"/>
        <w:jc w:val="both"/>
        <w:rPr>
          <w:rFonts w:ascii="Times New Roman" w:hAnsi="Times New Roman"/>
          <w:iCs/>
          <w:color w:val="000000" w:themeColor="text1"/>
          <w:sz w:val="16"/>
          <w:szCs w:val="16"/>
        </w:rPr>
      </w:pPr>
    </w:p>
    <w:p w14:paraId="06DA346C"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на промышленных предприятиях трудились 1023 тысячи инженерно-технических работников, окончивших высшие и средние учебные заведения. Потребности страны в этих кадрах в основном были удовлетворены (19546).</w:t>
      </w:r>
    </w:p>
    <w:p w14:paraId="7C19B8D8" w14:textId="77777777" w:rsidR="005A4244" w:rsidRPr="00A3026E" w:rsidRDefault="005A4244" w:rsidP="00A3026E">
      <w:pPr>
        <w:spacing w:after="0" w:line="240" w:lineRule="auto"/>
        <w:jc w:val="both"/>
        <w:rPr>
          <w:rFonts w:ascii="Times New Roman" w:hAnsi="Times New Roman"/>
          <w:color w:val="000000" w:themeColor="text1"/>
          <w:sz w:val="16"/>
          <w:szCs w:val="16"/>
        </w:rPr>
      </w:pPr>
    </w:p>
    <w:p w14:paraId="01D53DB8"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6CAD6A12"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53CB378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конца 1940 го</w:t>
      </w:r>
      <w:r w:rsidRPr="00A3026E">
        <w:rPr>
          <w:rFonts w:ascii="Times New Roman" w:hAnsi="Times New Roman"/>
          <w:color w:val="000000" w:themeColor="text1"/>
          <w:sz w:val="16"/>
          <w:szCs w:val="16"/>
        </w:rPr>
        <w:softHyphen/>
        <w:t>да китайская 6-я эскадрилья совершила на ДБ-3 всего 30 боевых вылетов. В частности, в начале октября самоле</w:t>
      </w:r>
      <w:r w:rsidRPr="00A3026E">
        <w:rPr>
          <w:rFonts w:ascii="Times New Roman" w:hAnsi="Times New Roman"/>
          <w:color w:val="000000" w:themeColor="text1"/>
          <w:sz w:val="16"/>
          <w:szCs w:val="16"/>
        </w:rPr>
        <w:softHyphen/>
        <w:t>ты разбрасывали листовки над оккупи</w:t>
      </w:r>
      <w:r w:rsidRPr="00A3026E">
        <w:rPr>
          <w:rFonts w:ascii="Times New Roman" w:hAnsi="Times New Roman"/>
          <w:color w:val="000000" w:themeColor="text1"/>
          <w:sz w:val="16"/>
          <w:szCs w:val="16"/>
        </w:rPr>
        <w:softHyphen/>
        <w:t>рованным японцами Пекином. 18 нояб</w:t>
      </w:r>
      <w:r w:rsidRPr="00A3026E">
        <w:rPr>
          <w:rFonts w:ascii="Times New Roman" w:hAnsi="Times New Roman"/>
          <w:color w:val="000000" w:themeColor="text1"/>
          <w:sz w:val="16"/>
          <w:szCs w:val="16"/>
        </w:rPr>
        <w:softHyphen/>
        <w:t>ря эту эскадрилью вновь вернули в Чэн</w:t>
      </w:r>
      <w:r w:rsidRPr="00A3026E">
        <w:rPr>
          <w:rFonts w:ascii="Times New Roman" w:hAnsi="Times New Roman"/>
          <w:color w:val="000000" w:themeColor="text1"/>
          <w:sz w:val="16"/>
          <w:szCs w:val="16"/>
        </w:rPr>
        <w:softHyphen/>
        <w:t>ду для дополнительных тренировок. На ДБ-3 хотели перевооружить также 9-ю и 11-ю эскадрильи, которые даже на</w:t>
      </w:r>
      <w:r w:rsidRPr="00A3026E">
        <w:rPr>
          <w:rFonts w:ascii="Times New Roman" w:hAnsi="Times New Roman"/>
          <w:color w:val="000000" w:themeColor="text1"/>
          <w:sz w:val="16"/>
          <w:szCs w:val="16"/>
        </w:rPr>
        <w:softHyphen/>
        <w:t>правили в Чэнду, но позднее их вновь доукомплектовали СБ. По отзывам наших инструкторов, ки</w:t>
      </w:r>
      <w:r w:rsidRPr="00A3026E">
        <w:rPr>
          <w:rFonts w:ascii="Times New Roman" w:hAnsi="Times New Roman"/>
          <w:color w:val="000000" w:themeColor="text1"/>
          <w:sz w:val="16"/>
          <w:szCs w:val="16"/>
        </w:rPr>
        <w:softHyphen/>
        <w:t>тайские экипажи были подготовлены слабо. Систематическая боевая учеба практически отсутствовала, летали ма</w:t>
      </w:r>
      <w:r w:rsidRPr="00A3026E">
        <w:rPr>
          <w:rFonts w:ascii="Times New Roman" w:hAnsi="Times New Roman"/>
          <w:color w:val="000000" w:themeColor="text1"/>
          <w:sz w:val="16"/>
          <w:szCs w:val="16"/>
        </w:rPr>
        <w:softHyphen/>
        <w:t>ло, высотные полеты не осваивались. При этом китайцы несли довольно большие потери, в основном не боевые. Так, 4 октября 1940 г. взлетевший по тревоге ДБ-3 из 6-й эскадрильи с китай</w:t>
      </w:r>
      <w:r w:rsidRPr="00A3026E">
        <w:rPr>
          <w:rFonts w:ascii="Times New Roman" w:hAnsi="Times New Roman"/>
          <w:color w:val="000000" w:themeColor="text1"/>
          <w:sz w:val="16"/>
          <w:szCs w:val="16"/>
        </w:rPr>
        <w:softHyphen/>
        <w:t>ским экипажем из-за неполадок слиш</w:t>
      </w:r>
      <w:r w:rsidRPr="00A3026E">
        <w:rPr>
          <w:rFonts w:ascii="Times New Roman" w:hAnsi="Times New Roman"/>
          <w:color w:val="000000" w:themeColor="text1"/>
          <w:sz w:val="16"/>
          <w:szCs w:val="16"/>
        </w:rPr>
        <w:softHyphen/>
        <w:t>ком рано вернулся на базу Тайпинсы и был сбит над аэродромом. 2 января 1941 г. над Ченду потерпел аварию и по</w:t>
      </w:r>
      <w:r w:rsidRPr="00A3026E">
        <w:rPr>
          <w:rFonts w:ascii="Times New Roman" w:hAnsi="Times New Roman"/>
          <w:color w:val="000000" w:themeColor="text1"/>
          <w:sz w:val="16"/>
          <w:szCs w:val="16"/>
        </w:rPr>
        <w:softHyphen/>
        <w:t>гиб вместе с самолетом экипаж коман</w:t>
      </w:r>
      <w:r w:rsidRPr="00A3026E">
        <w:rPr>
          <w:rFonts w:ascii="Times New Roman" w:hAnsi="Times New Roman"/>
          <w:color w:val="000000" w:themeColor="text1"/>
          <w:sz w:val="16"/>
          <w:szCs w:val="16"/>
        </w:rPr>
        <w:softHyphen/>
        <w:t>дира 14-й эскадрильи Ли Чансюна. 13 февраля 1941 г. у заместителя команди</w:t>
      </w:r>
      <w:r w:rsidRPr="00A3026E">
        <w:rPr>
          <w:rFonts w:ascii="Times New Roman" w:hAnsi="Times New Roman"/>
          <w:color w:val="000000" w:themeColor="text1"/>
          <w:sz w:val="16"/>
          <w:szCs w:val="16"/>
        </w:rPr>
        <w:softHyphen/>
        <w:t>ра 8-й группы Лян Гочжана во время тренировочного полета отказал мотор. При вынужденной посадке в уезде Цзя-ньян самолет сгорел вместе с экипажем. 18 июня 1941 г. из-за неисправности потерпел аварию взлетевший по трево</w:t>
      </w:r>
      <w:r w:rsidRPr="00A3026E">
        <w:rPr>
          <w:rFonts w:ascii="Times New Roman" w:hAnsi="Times New Roman"/>
          <w:color w:val="000000" w:themeColor="text1"/>
          <w:sz w:val="16"/>
          <w:szCs w:val="16"/>
        </w:rPr>
        <w:softHyphen/>
        <w:t>ге в Ланьчжоу ДБ-3 летчика Мэн Цзун-жао из 14-й эскадрильи, штурман и ра</w:t>
      </w:r>
      <w:r w:rsidRPr="00A3026E">
        <w:rPr>
          <w:rFonts w:ascii="Times New Roman" w:hAnsi="Times New Roman"/>
          <w:color w:val="000000" w:themeColor="text1"/>
          <w:sz w:val="16"/>
          <w:szCs w:val="16"/>
        </w:rPr>
        <w:softHyphen/>
        <w:t>дист погибли. 1 октября 1942 г. во вре</w:t>
      </w:r>
      <w:r w:rsidRPr="00A3026E">
        <w:rPr>
          <w:rFonts w:ascii="Times New Roman" w:hAnsi="Times New Roman"/>
          <w:color w:val="000000" w:themeColor="text1"/>
          <w:sz w:val="16"/>
          <w:szCs w:val="16"/>
        </w:rPr>
        <w:softHyphen/>
        <w:t>мя дальнего тренировочного полета в районе Цзяюйгуань исчез вместе с эки</w:t>
      </w:r>
      <w:r w:rsidRPr="00A3026E">
        <w:rPr>
          <w:rFonts w:ascii="Times New Roman" w:hAnsi="Times New Roman"/>
          <w:color w:val="000000" w:themeColor="text1"/>
          <w:sz w:val="16"/>
          <w:szCs w:val="16"/>
        </w:rPr>
        <w:softHyphen/>
        <w:t>пажем бомбардировщик командира 6-й эскадрильи Чжоу Шиюна (10734,39).</w:t>
      </w:r>
    </w:p>
    <w:p w14:paraId="361DA0F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29B5E22D"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41B2B123"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7F426EEB" w14:textId="77777777" w:rsidR="006B3E48" w:rsidRPr="00A3026E" w:rsidRDefault="006B3E48" w:rsidP="00A3026E">
      <w:pPr>
        <w:shd w:val="clear" w:color="auto" w:fill="FFFFFF"/>
        <w:spacing w:after="0" w:line="240" w:lineRule="auto"/>
        <w:jc w:val="both"/>
        <w:rPr>
          <w:rFonts w:ascii="Times New Roman" w:eastAsia="Times New Roman" w:hAnsi="Times New Roman"/>
          <w:color w:val="000000" w:themeColor="text1"/>
          <w:sz w:val="16"/>
          <w:szCs w:val="16"/>
        </w:rPr>
      </w:pPr>
      <w:r w:rsidRPr="00A3026E">
        <w:rPr>
          <w:rFonts w:ascii="Times New Roman" w:eastAsia="Times New Roman" w:hAnsi="Times New Roman"/>
          <w:color w:val="000000" w:themeColor="text1"/>
          <w:sz w:val="16"/>
          <w:szCs w:val="16"/>
        </w:rPr>
        <w:t>В конце 1940 года, то есть в момент запуска его в серию Военное министерство Англии задумалось о замене Crusader ещё. Была разработана спецификация, которую получили три фирмы – Vauxhall, Nuffield и Birmingham Railway Carriage and Wagon Company (BRC&amp;W). Наиболее удачным был признан проект Nuffield – A24. В качестве основы для 27-тонной машины была использована база Crusader. Танк приняли на вооружение как Cruiser Tank Mk.VII, или Cavalier. Впрочем, карьера машины не задалась с самого начала. Виной тому стал всё тот же злополучный двигатель Nuffield-Liberty. Это открыло дорогу танку Crusader III, вооружённому 6-фунтовой (57-мм) пушкой.</w:t>
      </w:r>
    </w:p>
    <w:p w14:paraId="32A61A18" w14:textId="77777777" w:rsidR="006B3E48" w:rsidRPr="00A3026E" w:rsidRDefault="006B3E48" w:rsidP="00A3026E">
      <w:pPr>
        <w:shd w:val="clear" w:color="auto" w:fill="FFFFFF"/>
        <w:spacing w:after="0" w:line="240" w:lineRule="auto"/>
        <w:jc w:val="both"/>
        <w:rPr>
          <w:rFonts w:ascii="Times New Roman" w:eastAsia="Times New Roman" w:hAnsi="Times New Roman"/>
          <w:color w:val="000000" w:themeColor="text1"/>
          <w:sz w:val="16"/>
          <w:szCs w:val="16"/>
        </w:rPr>
      </w:pPr>
      <w:r w:rsidRPr="00A3026E">
        <w:rPr>
          <w:rFonts w:ascii="Times New Roman" w:eastAsia="Times New Roman" w:hAnsi="Times New Roman"/>
          <w:color w:val="000000" w:themeColor="text1"/>
          <w:sz w:val="16"/>
          <w:szCs w:val="16"/>
        </w:rPr>
        <w:t>Бросать проблемную машину не стали, было решено её дорабатывать. В результате появилось ещё 2 танка. Обе машины имели индекс A27, отличающийся только буквами в конце. Индекс A27L получил танк Centaur производства Leyland, оснащённый двигателем Nuffield-Liberty. Индекс A27M получил танк Cromwell производства BRC&amp;W, оснащённый двигателями Meteor, дефорсированной версией авиационного мотора Merlin. Новый мотор оказался не только не в пример надёжнее, но и на треть мощнее (15737).</w:t>
      </w:r>
    </w:p>
    <w:p w14:paraId="2943D3C7" w14:textId="77777777" w:rsidR="006B3E48" w:rsidRPr="00A3026E" w:rsidRDefault="006B3E48" w:rsidP="00A3026E">
      <w:pPr>
        <w:shd w:val="clear" w:color="auto" w:fill="FFFFFF"/>
        <w:spacing w:after="0" w:line="240" w:lineRule="auto"/>
        <w:jc w:val="both"/>
        <w:rPr>
          <w:rFonts w:ascii="Times New Roman" w:eastAsia="Times New Roman" w:hAnsi="Times New Roman"/>
          <w:color w:val="000000" w:themeColor="text1"/>
          <w:sz w:val="16"/>
          <w:szCs w:val="16"/>
        </w:rPr>
      </w:pPr>
    </w:p>
    <w:p w14:paraId="2A2030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была выпущена небольшая предсерийная партия из семи Hs 129B-0 и новый вариант показал, что он обладает более высокими летными характеристиками, хотя управляемость все еще оставляла желать лучшего. Кроме установки новых двигателей, Hs 129B-0 имел несколько увеличенный фонарь кабины, хотя внутренний объем все еще оставался таким ограниченным, что некоторые из приборов пришлось разместить снаружи самолета на внутренних сторонах моторных капотов. Первая серийная модель, Hs 129В-I, была передана на сборочную линию главного завода "Неnshel" в Шенефельде в декабре 1941, а поставки Luftwaffe пошли с начала 1942 г. (3188).</w:t>
      </w:r>
    </w:p>
    <w:p w14:paraId="2FF4ECA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3FFBFD7" w14:textId="77777777" w:rsidR="00B97444" w:rsidRPr="00A3026E" w:rsidRDefault="00B97444" w:rsidP="00A3026E">
      <w:pPr>
        <w:pStyle w:val="7a"/>
        <w:shd w:val="clear" w:color="auto" w:fill="auto"/>
        <w:spacing w:before="0" w:line="240" w:lineRule="auto"/>
        <w:jc w:val="both"/>
        <w:rPr>
          <w:rFonts w:ascii="Times New Roman" w:hAnsi="Times New Roman" w:cs="Times New Roman"/>
          <w:color w:val="0070C0"/>
          <w:lang w:val="ru-RU"/>
        </w:rPr>
      </w:pPr>
      <w:r w:rsidRPr="00A3026E">
        <w:rPr>
          <w:rFonts w:ascii="Times New Roman" w:hAnsi="Times New Roman" w:cs="Times New Roman"/>
          <w:color w:val="0070C0"/>
          <w:lang w:val="ru-RU"/>
        </w:rPr>
        <w:t>В</w:t>
      </w:r>
      <w:r w:rsidRPr="00A3026E">
        <w:rPr>
          <w:rFonts w:ascii="Times New Roman" w:hAnsi="Times New Roman" w:cs="Times New Roman"/>
          <w:color w:val="0070C0"/>
        </w:rPr>
        <w:t xml:space="preserve"> конце 1940 года командование ВВС США потребовало от фирмы «Боинг» устранить недостатки, выявленные в ходе эксплуатации первых В-17 в мирное время, улучшив их курсовую устойчивость и повысив защищенность. Когда Заказчик выставляет претензии, это всегда неприятно, но в данном случае это означало, что В-17 становится стандартным типом, и борьба с «Дугласом» заканчивается победой. Заказ на 277 улучшенных самолетов вдвое превышал число всех В-17, построенных ранее</w:t>
      </w:r>
      <w:r w:rsidRPr="00A3026E">
        <w:rPr>
          <w:rFonts w:ascii="Times New Roman" w:hAnsi="Times New Roman" w:cs="Times New Roman"/>
          <w:color w:val="0070C0"/>
          <w:lang w:val="ru-RU"/>
        </w:rPr>
        <w:t>.</w:t>
      </w:r>
    </w:p>
    <w:p w14:paraId="556F5985" w14:textId="77777777" w:rsidR="00B97444" w:rsidRPr="00A3026E" w:rsidRDefault="00B97444" w:rsidP="00A3026E">
      <w:pPr>
        <w:pStyle w:val="7a"/>
        <w:shd w:val="clear" w:color="auto" w:fill="auto"/>
        <w:spacing w:before="0" w:line="240" w:lineRule="auto"/>
        <w:jc w:val="both"/>
        <w:rPr>
          <w:rFonts w:ascii="Times New Roman" w:hAnsi="Times New Roman" w:cs="Times New Roman"/>
          <w:color w:val="0070C0"/>
        </w:rPr>
      </w:pPr>
      <w:r w:rsidRPr="00A3026E">
        <w:rPr>
          <w:rFonts w:ascii="Times New Roman" w:hAnsi="Times New Roman" w:cs="Times New Roman"/>
          <w:color w:val="0070C0"/>
        </w:rPr>
        <w:t>Испытания модернизированного В-17Е (на фирме его обозначили «модель 299-О») должны были начаться в апреле 1941 года. Чтобы сэкономить время, на В-17Е поставили киль, спроектированный для пассажирского Боинга-307. Он смотрелся необычно громоздко на тонком фюзеляже В-17, но пилотирование с ним действительно стало доступным «среднему летчику». Улучшили условия работы экипажа, например, переделали остекление пилотов. Но наибольшие усилия были затрачены на повышение эффективности оборонительного вооружения. Оно стало действительно самым мощным среди всех существовавших тогда бомбардировщиков, и самолет заслуженно получил официальное наименование «Флаинг Фортресс» — «летающая крепость». Летчики, оценив свою защищенность по достоинству, в обиходе называли его просто «форт». За спиной у пилотов вместо штурманского блистера поставили гидравлическую турель с двумя пулеметами калибра 12,7 мм с круговым обстрелом и почти вертикальным подъемом стволов. Удобное расположение сделало ее, как затем покажет война, самой результативной среди всех огневых точек самолета. «Ванну» нижнего стрелка, недостатки которой показали учебные бои с новыми истребителями Р-40, заменили технической новинкой — дистанционно управляемой турелью «Бендикс». Ее оператор вел огонь, сидя в удобном кресле в фюзеляже и наблюдая пространство во вращающийся перископический прицел, связанный сельсинами с механизмом поворота двух 12,7-мм пулеметов. Такая башня, едва выступая на нижний обрез фюзеляжа, могла быстро навестись практически в любую точку нижней полусферы. Неудобные овальные окна под бортовые пулеметы были заменены квадратными, улучшили установку верхнего пулемета на месте радиста в конце гаргрота, в кабине штурмана-бомбардира в носу добавили гнезд под 7,62-мм перекидной пулемет. В комплекте с самолетом он шел один, но некоторые «домовитые» командиры экипажей имели два и больше — это было не лишним, т.к. перебрасывать его из гнезда в гнездо было тяжело. Наконец, за килем поставили еще одну турель с двумя крупнокалиберными пулеметами. Теперь В-17 вообще не имел «мертвых зон», но для этого пришлось полностью переделать фюзеляж от задней стенки кабины радиста и до самого хвоста. Вес пустого В-17Е по сравнению с B-17D увеличился на 750 кг, а максимальный взлетный — на 1500. Но теми же моторами Райт R-1820-65 с турбокомпрессорами (1200 л.с. на взлете и 1000 л.с. на высоте 7620 м) максимальная скорость уменьшилась лишь на 10 км/ч, а дальность за счет новых баков даже возросла на 300 км.</w:t>
      </w:r>
      <w:r w:rsidRPr="00A3026E">
        <w:rPr>
          <w:rFonts w:ascii="Times New Roman" w:hAnsi="Times New Roman" w:cs="Times New Roman"/>
          <w:color w:val="0070C0"/>
          <w:lang w:val="ru-RU"/>
        </w:rPr>
        <w:t xml:space="preserve"> (22838)</w:t>
      </w:r>
      <w:r w:rsidRPr="00A3026E">
        <w:rPr>
          <w:rFonts w:ascii="Times New Roman" w:hAnsi="Times New Roman" w:cs="Times New Roman"/>
          <w:color w:val="0070C0"/>
        </w:rPr>
        <w:t>.</w:t>
      </w:r>
    </w:p>
    <w:p w14:paraId="2BCA28EC" w14:textId="77777777" w:rsidR="00B97444" w:rsidRPr="00A3026E" w:rsidRDefault="00B97444" w:rsidP="00A3026E">
      <w:pPr>
        <w:pStyle w:val="7a"/>
        <w:shd w:val="clear" w:color="auto" w:fill="auto"/>
        <w:spacing w:before="0" w:line="240" w:lineRule="auto"/>
        <w:jc w:val="both"/>
        <w:rPr>
          <w:rFonts w:ascii="Times New Roman" w:hAnsi="Times New Roman" w:cs="Times New Roman"/>
          <w:color w:val="0070C0"/>
        </w:rPr>
      </w:pPr>
    </w:p>
    <w:p w14:paraId="0590A4E7" w14:textId="77777777" w:rsidR="00B97444" w:rsidRPr="00A3026E" w:rsidRDefault="00B9744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конце 1940 начался выпуск новой модификация - FW 200C-3, которая получила усиленные фюзеляж и крыло, были переделаны мотогондолы, на борту появились дополнительная КВ-рация, радиопеленгатор, позволявший определять направление на радиостанции противника, радиовысотомер, система слепой посадки и ответчик «свой-чужой». Под внешними мотогондолами и под консолями крыла установили более грузоподъемные бомбодержатели PVC 1006L, а в «ванне» под фюзеляжем наряду с кассетами под мелкие бомбы — пару замков ETC 500/IX, с которыми максимальная нагрузка достигла 5400 кг при частичной заправке. На месте старой установки «А» за кабиной летчиков появилась турель Fw 19 с круговым обстрелом, еще два пулемета MG 15 поставили в окнах фюзеляжа, а носовую точку «D» заняла новая пушка MG 151/20. Места летчиков и стрелков прикрыли броней.</w:t>
      </w:r>
    </w:p>
    <w:p w14:paraId="1912EA1E" w14:textId="77777777" w:rsidR="00B97444" w:rsidRPr="00A3026E" w:rsidRDefault="00B9744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Заводу в Бремене в 1940 г. поручили увеличить выпуск истребителей, а сборку FW 200 передали в Котбус, подключив к выпуску отдельных агрегатов другие фирмы. Всего было построено 52 таких самолета, часть из них получили дальнейшие заводские доработки, обозначенные литерой U. Главным отличием FW 200C-3/U1 и U4 стала возможность подвески торпеды (22969).</w:t>
      </w:r>
    </w:p>
    <w:p w14:paraId="05AC3D38" w14:textId="77777777" w:rsidR="00B97444" w:rsidRPr="00A3026E" w:rsidRDefault="00B97444" w:rsidP="00A3026E">
      <w:pPr>
        <w:spacing w:after="0" w:line="240" w:lineRule="auto"/>
        <w:jc w:val="both"/>
        <w:rPr>
          <w:rFonts w:ascii="Times New Roman" w:hAnsi="Times New Roman"/>
          <w:color w:val="0070C0"/>
          <w:sz w:val="16"/>
          <w:szCs w:val="16"/>
        </w:rPr>
      </w:pPr>
    </w:p>
    <w:p w14:paraId="62273CF9"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конце 1940 года в управлении военной экономики и снаряжения высшего командования вермахта, возглавляемого генералом Томасом, были начаты предварительные разработки экономических мероприятий, связанные с реализацией плана «Барбаросса». Вскоре для верховного командования германских войск были подготовлены два итоговых документа: «Военная экономика Советского Союза» и «Военно-экономические последствия операции на Востоке». В первом на основе сведений разведки были даны характеристики крупных экономических районов СССР, источников сырья, месторождений нефти, экономический обзор советской военной промышленности и другие военно-экономические показатели. Во втором документе содержались экономические оценки последствий запланированного нападения на СССР. В частности, говорилось, что в первые месяцы для Германии наступит облегчение в области снабжения продовольствием и сырьем, если путем быстрого захвата удастся: а) предотвратить уничтожение запасов; б) захватить нефтяные районы Кавказа неразрушенными; в) решить транспортный вопрос (11550).</w:t>
      </w:r>
    </w:p>
    <w:p w14:paraId="165AFDCB" w14:textId="77777777" w:rsidR="0014077F" w:rsidRPr="00A3026E" w:rsidRDefault="0014077F" w:rsidP="00A3026E">
      <w:pPr>
        <w:pStyle w:val="af2"/>
        <w:jc w:val="both"/>
        <w:rPr>
          <w:i w:val="0"/>
          <w:iCs w:val="0"/>
          <w:color w:val="000000" w:themeColor="text1"/>
          <w:spacing w:val="0"/>
          <w:kern w:val="0"/>
          <w:position w:val="0"/>
          <w:sz w:val="16"/>
          <w:szCs w:val="16"/>
          <w:lang w:val="ru-RU"/>
        </w:rPr>
      </w:pPr>
    </w:p>
    <w:p w14:paraId="3BC70659" w14:textId="77777777" w:rsidR="005A4244" w:rsidRPr="00A3026E" w:rsidRDefault="005A4244" w:rsidP="00A3026E">
      <w:pPr>
        <w:pStyle w:val="ae"/>
        <w:shd w:val="clear" w:color="auto" w:fill="FFFFFF"/>
        <w:spacing w:before="0" w:after="0"/>
        <w:jc w:val="both"/>
        <w:rPr>
          <w:color w:val="000000" w:themeColor="text1"/>
          <w:sz w:val="16"/>
          <w:szCs w:val="16"/>
          <w:lang w:eastAsia="ru-RU"/>
        </w:rPr>
      </w:pPr>
      <w:r w:rsidRPr="00A3026E">
        <w:rPr>
          <w:color w:val="000000" w:themeColor="text1"/>
          <w:sz w:val="16"/>
          <w:szCs w:val="16"/>
        </w:rPr>
        <w:t>В конце 1940 г. в Берлине были развернуты первые радарные станции.</w:t>
      </w:r>
    </w:p>
    <w:p w14:paraId="5D4B679C" w14:textId="77777777" w:rsidR="005A4244" w:rsidRPr="00A3026E" w:rsidRDefault="005A4244" w:rsidP="00A3026E">
      <w:pPr>
        <w:pStyle w:val="ae"/>
        <w:shd w:val="clear" w:color="auto" w:fill="FFFFFF"/>
        <w:spacing w:before="0" w:after="0"/>
        <w:jc w:val="both"/>
        <w:rPr>
          <w:color w:val="000000" w:themeColor="text1"/>
          <w:sz w:val="16"/>
          <w:szCs w:val="16"/>
        </w:rPr>
      </w:pPr>
      <w:r w:rsidRPr="00A3026E">
        <w:rPr>
          <w:color w:val="000000" w:themeColor="text1"/>
          <w:sz w:val="16"/>
          <w:szCs w:val="16"/>
        </w:rPr>
        <w:t>Все это обуславливало очень высокие потери, доходившие до гибели половины бомбардировщиков, учувствовавших в налете. Именно поэтому за весь 1941 год сирены воздушной тревоги звучали в Берлине всего 17 раз (из них две </w:t>
      </w:r>
      <w:hyperlink r:id="rId197" w:history="1">
        <w:r w:rsidRPr="00A3026E">
          <w:rPr>
            <w:rStyle w:val="a5"/>
            <w:color w:val="000000" w:themeColor="text1"/>
            <w:sz w:val="16"/>
            <w:szCs w:val="16"/>
            <w:u w:val="none"/>
          </w:rPr>
          <w:t>советские бомбардировки</w:t>
        </w:r>
      </w:hyperlink>
      <w:r w:rsidRPr="00A3026E">
        <w:rPr>
          <w:color w:val="000000" w:themeColor="text1"/>
          <w:sz w:val="16"/>
          <w:szCs w:val="16"/>
        </w:rPr>
        <w:t>), а в следующем 1942 и того меньше – 9 (из них 1 советская).</w:t>
      </w:r>
    </w:p>
    <w:p w14:paraId="30D2BF5D" w14:textId="77777777" w:rsidR="005A4244" w:rsidRPr="00A3026E" w:rsidRDefault="005A4244" w:rsidP="00A3026E">
      <w:pPr>
        <w:pStyle w:val="ae"/>
        <w:shd w:val="clear" w:color="auto" w:fill="FFFFFF"/>
        <w:spacing w:before="0" w:after="0"/>
        <w:jc w:val="both"/>
        <w:rPr>
          <w:color w:val="000000" w:themeColor="text1"/>
          <w:sz w:val="16"/>
          <w:szCs w:val="16"/>
          <w:lang w:eastAsia="ru-RU"/>
        </w:rPr>
      </w:pPr>
      <w:r w:rsidRPr="00A3026E">
        <w:rPr>
          <w:color w:val="000000" w:themeColor="text1"/>
          <w:sz w:val="16"/>
          <w:szCs w:val="16"/>
        </w:rPr>
        <w:t>За противовоздушную оборону Берлина отвечала 1-я зенитно-артиллерийская дивизия, командный пункт которой размещался в башне управления огнем I в Тиргартене (</w:t>
      </w:r>
      <w:hyperlink r:id="rId198" w:history="1">
        <w:r w:rsidRPr="00A3026E">
          <w:rPr>
            <w:rStyle w:val="a5"/>
            <w:color w:val="000000" w:themeColor="text1"/>
            <w:sz w:val="16"/>
            <w:szCs w:val="16"/>
            <w:u w:val="none"/>
          </w:rPr>
          <w:t>о башнях ПВО Берлина подробнее</w:t>
        </w:r>
      </w:hyperlink>
      <w:r w:rsidRPr="00A3026E">
        <w:rPr>
          <w:color w:val="000000" w:themeColor="text1"/>
          <w:sz w:val="16"/>
          <w:szCs w:val="16"/>
        </w:rPr>
        <w:t>). Она располагала 5-ю полками:</w:t>
      </w:r>
    </w:p>
    <w:p w14:paraId="200417A6" w14:textId="77777777" w:rsidR="005A4244" w:rsidRPr="00A3026E" w:rsidRDefault="005A4244"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22-й зенитно-артиллерийский полк (группа ПВО Берлин-Юг)</w:t>
      </w:r>
    </w:p>
    <w:p w14:paraId="580BEC02" w14:textId="77777777" w:rsidR="005A4244" w:rsidRPr="00A3026E" w:rsidRDefault="005A4244"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53-й зенитно-артиллерийский полк (группа ПВО Берлин)</w:t>
      </w:r>
    </w:p>
    <w:p w14:paraId="5C69E51D" w14:textId="77777777" w:rsidR="005A4244" w:rsidRPr="00A3026E" w:rsidRDefault="005A4244"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126-й зенитно-артиллерийский полк (группа ПВО Берлин-Запад)</w:t>
      </w:r>
    </w:p>
    <w:p w14:paraId="658761F3" w14:textId="77777777" w:rsidR="005A4244" w:rsidRPr="00A3026E" w:rsidRDefault="005A4244"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172-й зенитно-артиллерийский полк (группа ПВО Берлин-Восток)</w:t>
      </w:r>
    </w:p>
    <w:p w14:paraId="15C58E02" w14:textId="77777777" w:rsidR="005A4244" w:rsidRPr="00A3026E" w:rsidRDefault="005A4244"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82-й прожекторный полк (прожекторная группа ПВО «Берлин»)</w:t>
      </w:r>
    </w:p>
    <w:p w14:paraId="56E59753" w14:textId="77777777" w:rsidR="005A4244" w:rsidRPr="00A3026E" w:rsidRDefault="005A4244" w:rsidP="00A3026E">
      <w:pPr>
        <w:pStyle w:val="ae"/>
        <w:shd w:val="clear" w:color="auto" w:fill="FFFFFF"/>
        <w:spacing w:before="0" w:after="0"/>
        <w:jc w:val="both"/>
        <w:rPr>
          <w:color w:val="000000" w:themeColor="text1"/>
          <w:sz w:val="16"/>
          <w:szCs w:val="16"/>
        </w:rPr>
      </w:pPr>
      <w:r w:rsidRPr="00A3026E">
        <w:rPr>
          <w:color w:val="000000" w:themeColor="text1"/>
          <w:sz w:val="16"/>
          <w:szCs w:val="16"/>
        </w:rPr>
        <w:t>Сюда же входил 121-й батальон связи. В общей сложности это была внушительная сила, включавшая в себя примерно 500 батарей ПВО, и это без учета авиации (17416).</w:t>
      </w:r>
    </w:p>
    <w:p w14:paraId="40EB389F" w14:textId="77777777" w:rsidR="005A4244" w:rsidRPr="00A3026E" w:rsidRDefault="005A4244" w:rsidP="00A3026E">
      <w:pPr>
        <w:spacing w:after="0" w:line="240" w:lineRule="auto"/>
        <w:jc w:val="both"/>
        <w:rPr>
          <w:rFonts w:ascii="Times New Roman" w:hAnsi="Times New Roman"/>
          <w:color w:val="000000" w:themeColor="text1"/>
          <w:sz w:val="16"/>
          <w:szCs w:val="16"/>
        </w:rPr>
      </w:pPr>
    </w:p>
    <w:p w14:paraId="1AE81411"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 конце 1940 г. управляемая авиабомба Hs293 (Ненахов Ю.Ю. Чудо-оружие Третьего рейха. Минск: ХАРВЕСТ, 1999.) (в других источниках (Новичков Н.Н. Развитие крылатых ракет самолетных схем. Диссертация кандидата технических наук. М.: Институт истории естествознания и техники, 1982.) она называлась авиационной крылатой ракетой) была подготовлена к испытаниям. Доводка конструкции продолжалась до лета 1943 г.</w:t>
      </w:r>
    </w:p>
    <w:p w14:paraId="54567DA8"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После этого Hs293 была принята на вооружение. Впоследствии было разработано несколько вариантов Hs293, различающихся как конструктивно, так и линейными размерами. Диаметр корпуса при этом оставался неизменным – 0,47 м.</w:t>
      </w:r>
    </w:p>
    <w:p w14:paraId="151F79B0"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Эта тяжелая крылатая ракета сбрасывалась с самолета и наводилась на цель с помощью радиокоманд при оптическом контроле траектории оператором с борта носителя. В передней части крылатой ракеты, имевшей самолетную схему, размещалась боевая часть с контактным взрывателем, в средней части – металлическое трапециевидное крыло с трубчатым лонжероном и двумя элеронами, в хвостовой – приборный отсек, рули высоты и направления, а также антенна командной системы телеуправления. Для облегчения наблюдения за ракетой в полете применялось пять трассеров, горевших в течение 110 секунд. Ракетный двигатель, разгонявший аппарат до скорости 230–250 м/с, включался в начальной фазе траектории и работал 10 секунд. Двигатель и топливные баки устанавливались в подфюзеляжной гондоле.</w:t>
      </w:r>
    </w:p>
    <w:p w14:paraId="738C1EBD"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Поскольку радиоуправление подвергалось воздействию помех в эфире, был разработан вариант с наведением по проводам. Провода разматывались с катушек, установленных на плоскостях.</w:t>
      </w:r>
    </w:p>
    <w:p w14:paraId="618435A4"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Предусматривалось использование телевизионного контроля на конечном участке траектории.</w:t>
      </w:r>
    </w:p>
    <w:p w14:paraId="280AAD85"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Немецкими инженерами отмечалось, что это крылатое средство поражения только за счет увеличения высоты пуска и планирующего полета могло достичь требуемой дальности. Однако с целью повышения собственной скорости бомбы и уменьшения вероятности ее перехвата средствами ПВО в состав конструкции был включен двигатель.</w:t>
      </w:r>
    </w:p>
    <w:p w14:paraId="3CAF9218"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Планирующая радиоуправляемая бомба Hs293 имела под корпусом ракетный двигатель «Вальтер 109-507». Время работы двигателя составляло 10 секунд Принцип боевого применения КР Henschel Hs293А основывался на сбросе с самолета-носителя вне зоны ПВО на высоте 300–6000 м и удалении до 4–16 км. Несмотря на ряд технических дефектов, система оружия оказалась сравнительно удачной. Вероятность попадания (20–50%) в большой степени зависела от выучки экипажа самолета-носителя и возможного обрыва проводов. На вероятность попадания влияли и метеорологические условия в районе расположения объекта поражения. Самолет-носитель часто сбивали, так как экипаж, занятый наведением, не мог маневрировать на боевом курсе. За такими самолетами была организована настоящая охота союзной (в том числе и авианосной) авиации.</w:t>
      </w:r>
    </w:p>
    <w:p w14:paraId="36848733"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Носителем КР Henschel Hs293А после проведенных расчетов был избран новейший образец дальнего бомбардировщика люфтваффе He177 Greif («Гриф»), который изначально проектировался как носитель FX 1400 и высотных торпед LT50. В 1943–1945 гг. в связи с ненадежностью He177 Greif основная нагрузка в боевом применении этих КР в Северной Атлантике легла на самолетыносители Fw200C6 Condor, Ju290A7 и Do217E5.</w:t>
      </w:r>
    </w:p>
    <w:p w14:paraId="15437942"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Носители КР Henschel Hs293А были сконцентрированы в авиагруппах 40-й бомбардировочной эскадры, которая базировалась на юго-западном побережье Франции в Бордо. Эскадра действовала совместно с подводными лодками в Бискайском заливе.</w:t>
      </w:r>
    </w:p>
    <w:p w14:paraId="588FA8A0"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После резкого усиления ПВО англо-американских конвоев данная система оружия понесла большие потери и была перенацелена для выполнения других задач. Более легкие и маневренные носители Do217E5 стали применяться в 1943 г. Они использовались для ударов по наземным точечным целям.</w:t>
      </w:r>
    </w:p>
    <w:p w14:paraId="1A44DF30"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Боевое применение КР Henschel Hs293А показало, что при большой дальности и высоте полета самолетная схема имеет преимущества перед схемой с крестообразным крылом за счет меньшей площади и массы несущих поверхностей, меньшего лобового сопротивления, потребного запаса топлива и стартовой массы.</w:t>
      </w:r>
    </w:p>
    <w:p w14:paraId="5F32FED7"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 то же время даже при координированном развороте маневренность самолетной схемы была недостаточна для наведения на быстродвижущиеся цели (Новичков Н.Н. Развитие крылатых ракет самолетных схем. Диссертация кандидата технических наук. М.: Институт истории естествознания и техники, 1982.). Кроме того, условие выполнения маневра на конечном участке траектории ограничивалось необходимостью уменьшения высоты полета КР и снижением скорости полета после окончания работы двигателя (11686).</w:t>
      </w:r>
    </w:p>
    <w:p w14:paraId="4267661B" w14:textId="77777777" w:rsidR="0014077F" w:rsidRPr="00A3026E" w:rsidRDefault="0014077F" w:rsidP="00A3026E">
      <w:pPr>
        <w:pStyle w:val="a8"/>
        <w:widowControl/>
        <w:jc w:val="both"/>
        <w:rPr>
          <w:rFonts w:ascii="Times New Roman" w:hAnsi="Times New Roman" w:cs="Times New Roman"/>
          <w:color w:val="000000" w:themeColor="text1"/>
        </w:rPr>
      </w:pPr>
    </w:p>
    <w:p w14:paraId="13C4F8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года при содействии исследовательского центра завода «Хеншель», выпускавшего тактические бомбардировщики для люфтваффе немецкий компьютер «Z2» инженера Цузе был введен в эксплуатацию. Этот компьютер, оснащенный цифровым процессором на основе реле и вакуумных трубок, мог автоматически высчитывать ряд параметров геометрии стабилизаторов авиационных бомб, преобразовывать аналоговое значение этих параметров в двоичную систему счисления, вычислять необходимые данные по заранее введенным оператором формулам и выдавать готовый результат в виде десятичных чисел. Эти данные сразу же направлялись в производственный цех. Для этой машины Цузе придумал остроумное и дешевое средство ввода данных: он стал кодировать инструкции, пробивая отверстия в 35-миллиметровой фотопленке. Все еще продолжая работать на заводе, в 1941 году Цузе организовал собственную коммерческую фирму, ставившую своей целью развитие компьютерных технологий. Заключив с заводом достаточно выгодный контракт, фирма под руководством самого Цузе начала разработку ЭВМ нового поколения «Z3». Эта программируемая вычислительная машина, созданная на базе электронных реле, оперировала 22-разрядными словами данных, каждое из которых могло быть помещено в память компьютера за один тактовый цикл, общий объем памяти достигал 64 слов по 22 бита. Данная машина имела вполне современный принцип адресного распределения памяти: каждое 22-разрядное слово можно было поместить в память или извлечь из нее командами. Память состояла из 1500 реле, арифметическое и контрольное устройства содержали еще 1200 реле. По размерам машина походила на достаточно большой шкаф. Для задания сложных алгоритмов вычислений в «Z3» использовался разработанный Конрадом Цузе «набор инструкций», включавший около десяти основных и несколько десятков дополнительных команд, являвшийся по сути простейшим языком программирования (11688).</w:t>
      </w:r>
    </w:p>
    <w:p w14:paraId="0670713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2B439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была готова первая машина Ланкастер. Такая скорость не удивительна: 75% всех узлов на «Ланкастере» и «Манчестере» были одинаковыми и создавать новую оснастку не пришлось. 3наменитый «Ланкастер»-несомненно лучший английский бомбардировщик времен второй мировой войны. Именно на долю этих машин приходится более 600000 тонн бомб, сброшенных по целям в Германии с 1942 по 1945 г. Среди других английских тяжелых бомбардировщиков «Ланкастер» отличает не только крупная серия (выпустили около 7300 экземпляров), но и тот факт, что только четырехмоторный самолет фирмы «Авро» поднимал самую большую бомбу-«Грэнд Cn3M»(«GrandSlam») весом почти в 10 тонн (11860).</w:t>
      </w:r>
    </w:p>
    <w:p w14:paraId="77147A0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7997D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г. опираясь на японско-тайский договор и сознавая слабость Франции, продемонстрированную уступками режима Петена Японии, правительство Таиланда начало боевые действия против Французского Индокитая (3871).</w:t>
      </w:r>
    </w:p>
    <w:p w14:paraId="066B1C2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6239C98" w14:textId="77777777" w:rsidR="005A4244" w:rsidRPr="00A3026E" w:rsidRDefault="005A4244"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F3B554D" w14:textId="77777777" w:rsidR="005A4244" w:rsidRPr="00A3026E" w:rsidRDefault="005A4244" w:rsidP="00A3026E">
      <w:pPr>
        <w:spacing w:after="0" w:line="240" w:lineRule="auto"/>
        <w:jc w:val="both"/>
        <w:rPr>
          <w:rFonts w:ascii="Times New Roman" w:hAnsi="Times New Roman"/>
          <w:iCs/>
          <w:color w:val="000000" w:themeColor="text1"/>
          <w:sz w:val="16"/>
          <w:szCs w:val="16"/>
        </w:rPr>
      </w:pPr>
    </w:p>
    <w:p w14:paraId="12443BE6"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конце 1940 - начале 1941 гг. были проведены испытания модернизированного ПТР Рукавишникова. В акте НИПСВО по их результатам ружье получило положительное заключение. В июне на НИПСВО были проведены параллельные испытания БаС-2 и двух доработанных образцов ПТР Рукавишникова. БаС-2 испытания не выдержало из-за недостаточной броне-пробиваемости, большой энергии отдачи, малой живучести и неотработанной подачи патронов из магазина. ПТР Рукавишникова в отчете НИПСВО от 23 июня 1941 г. было рекомендовано для принятия на вооружение. По сравнению с образцом 1939 г., ПТР было доработано и несколько изменено, но дало 3,6% задержек, причем, в основном, смазанными патронами. </w:t>
      </w:r>
    </w:p>
    <w:p w14:paraId="5EBAA09F"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Возможно, на выводы НИПСВО повлияло то, что примерно в мае 1941 г. Рукавишников направил жалобу в ЦК ВКП (б) тов. Маленкову. В ней описывались плохие условия для его конструкторской работы на НИПСВО, которая к тому же дает основания «конкурентам» обвинять полигон в пристрастности к образцам Рукавишникова. Конструктор полагал, что при принятии в 1940 г. решения о снятии его ПТР с производства были преувеличены отрицательные стороны ружья и преуменьшены положительные. На конструкцию оружия работниками завода №2 и наркомата списывались недостатки производства и его организации, они же выступали за повторные испытания. </w:t>
      </w:r>
    </w:p>
    <w:p w14:paraId="38B0EB33"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Рукавишников писал: «Правда, протащить систему Владимирова и на этот раз не удалось, так как в ней выявлена полная невозможность ее дальнейшей доработки и опасность для самого стреляющего, но зато удалось окончательно сорвать систему Рукавишникова, использовав «теорию» непригодности ружей для борьбы против бронесил противника. В результате наша пехота осталась без противотанковых ружей, а армии воюющих стран, имея не плохую противотанковую артиллерию, одновременно и с успехом используют ружья, несмотря на то, что они значительно хуже наших». Напомню, что ни в одном из изученных мною архивных материалах не ставилась под сомнение способность ПТР бороться с танками. </w:t>
      </w:r>
    </w:p>
    <w:p w14:paraId="763BCB88"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Причинами плохих результатов испытаний его ПТР конструктор считал патроны и ружье заводского изготовления, чего не было с опытными ружьями и патронами, сделанными на НИПСВО. Доработанное облегченное ружье с улучшенным дульным тормозом дало хорошие результаты по отчетам НИПСВО за декабрь и январь 1941 г. Рукавишников полагал, что, доработав гильзу патрона по чертежу НИПСВО и снабдив его новыми элементами (сердечник и порох), можно будет достигнуть пробивания брони, значительно превышающей 40-50 мм. Он просил модернизировать 20-30 штук его ПТР находящихся на консервации на заводе №2, и передать их на полигонные и войсковые испытания. Жалобу, очевидно, направили для рассмотрения в СНК, потому что в копии сохранилась резолюция зам. председателя Н. Вознесенского от 3 июня: «тт. Ванникову и Кулику (лично). Прошу сообщить Ваше заключение о «ПТР» Рукавишникова и вообще о жалобе т. Рукавишникова». Там </w:t>
      </w:r>
      <w:r w:rsidRPr="00A3026E">
        <w:rPr>
          <w:rFonts w:ascii="Times New Roman" w:hAnsi="Times New Roman"/>
          <w:color w:val="000000" w:themeColor="text1"/>
          <w:sz w:val="16"/>
          <w:szCs w:val="16"/>
        </w:rPr>
        <w:lastRenderedPageBreak/>
        <w:t>же была и резолюция нового Наркома вооружений Д. Устинова (Б. Ванников 6 июня был арестован) от 16 июня: «т. Барсукову. Нужно дать мне все материалы по этому вопросу, в том числе решение НКО» (12093).</w:t>
      </w:r>
    </w:p>
    <w:p w14:paraId="6EFC0F99" w14:textId="77777777" w:rsidR="005A4244" w:rsidRPr="00A3026E" w:rsidRDefault="005A4244" w:rsidP="00A3026E">
      <w:pPr>
        <w:spacing w:after="0" w:line="240" w:lineRule="auto"/>
        <w:jc w:val="both"/>
        <w:rPr>
          <w:rFonts w:ascii="Times New Roman" w:hAnsi="Times New Roman"/>
          <w:color w:val="000000" w:themeColor="text1"/>
          <w:sz w:val="16"/>
          <w:szCs w:val="16"/>
        </w:rPr>
      </w:pPr>
    </w:p>
    <w:p w14:paraId="56EF4FB3" w14:textId="77777777" w:rsidR="005A4244" w:rsidRPr="00A3026E" w:rsidRDefault="005A42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 начале 1941 гг. были проведены испытания модернизированного ПТР Рукавишникова. В акте НИПСВО по их результатам ружье получило положительное заключение. В июне на НИПСВО были проведены параллельные испытания БаС-2 и двух доработанных образцов ПТР Рукавишникова. БаС-2 испытания не выдержало из-за недостаточной бронепробиваемости, большой энергии отдачи, малой живучести и неотработанной подачи патронов из магазина. ПТР Рукавишникова в отчете НИПСВО от 23 июня 1941 г. было рекомендовано для принятия на вооружение. По сравнению с образцом 1939 г., ПТР было доработано и несколько изменено, но дало 3,6% задержек, причем, в основном, смазанными патронами (18638).</w:t>
      </w:r>
    </w:p>
    <w:p w14:paraId="35D16E41" w14:textId="77777777" w:rsidR="005A4244" w:rsidRPr="00A3026E" w:rsidRDefault="005A4244" w:rsidP="00A3026E">
      <w:pPr>
        <w:spacing w:after="0" w:line="240" w:lineRule="auto"/>
        <w:jc w:val="both"/>
        <w:rPr>
          <w:rFonts w:ascii="Times New Roman" w:hAnsi="Times New Roman"/>
          <w:color w:val="000000" w:themeColor="text1"/>
          <w:sz w:val="16"/>
          <w:szCs w:val="16"/>
        </w:rPr>
      </w:pPr>
    </w:p>
    <w:p w14:paraId="3E7F807D" w14:textId="77777777" w:rsidR="00B072E6" w:rsidRPr="00A3026E" w:rsidRDefault="00B072E6"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C712330" w14:textId="77777777" w:rsidR="00B072E6" w:rsidRPr="00A3026E" w:rsidRDefault="00B072E6" w:rsidP="00A3026E">
      <w:pPr>
        <w:spacing w:after="0" w:line="240" w:lineRule="auto"/>
        <w:jc w:val="both"/>
        <w:rPr>
          <w:rFonts w:ascii="Times New Roman" w:hAnsi="Times New Roman"/>
          <w:iCs/>
          <w:color w:val="000000" w:themeColor="text1"/>
          <w:sz w:val="16"/>
          <w:szCs w:val="16"/>
        </w:rPr>
      </w:pPr>
    </w:p>
    <w:p w14:paraId="5B5FB1DE" w14:textId="77777777" w:rsidR="00B072E6" w:rsidRPr="00A3026E" w:rsidRDefault="00B072E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1940 — начале 1941 г. произошла реорганизация имперского металлургического концерна «Герман Геринг», в результате которой он был разделен на три основные руководящие группы: первая группа объединяла горные и металлургические предприятия; вторая — военные и машиностроительные предприятия; третья — судоходные компании</w:t>
      </w:r>
      <w:bookmarkStart w:id="58" w:name="footnote2"/>
      <w:bookmarkEnd w:id="58"/>
      <w:r w:rsidR="00CB3A4D" w:rsidRPr="00A3026E">
        <w:rPr>
          <w:rFonts w:ascii="Times New Roman" w:hAnsi="Times New Roman"/>
          <w:color w:val="000000" w:themeColor="text1"/>
          <w:sz w:val="16"/>
          <w:szCs w:val="16"/>
        </w:rPr>
        <w:fldChar w:fldCharType="begin"/>
      </w:r>
      <w:r w:rsidRPr="00A3026E">
        <w:rPr>
          <w:rFonts w:ascii="Times New Roman" w:hAnsi="Times New Roman"/>
          <w:color w:val="000000" w:themeColor="text1"/>
          <w:sz w:val="16"/>
          <w:szCs w:val="16"/>
        </w:rPr>
        <w:instrText xml:space="preserve"> HYPERLINK "http://www.katyn-books.ru/library/fashistskaya-germaniya-vo-vtoroy-mirovoy-voyne17.html" \l "bookmark2" </w:instrText>
      </w:r>
      <w:r w:rsidR="00CB3A4D" w:rsidRPr="00A3026E">
        <w:rPr>
          <w:rFonts w:ascii="Times New Roman" w:hAnsi="Times New Roman"/>
          <w:color w:val="000000" w:themeColor="text1"/>
          <w:sz w:val="16"/>
          <w:szCs w:val="16"/>
        </w:rPr>
        <w:fldChar w:fldCharType="separate"/>
      </w:r>
      <w:r w:rsidRPr="00A3026E">
        <w:rPr>
          <w:rStyle w:val="a5"/>
          <w:rFonts w:ascii="Times New Roman" w:hAnsi="Times New Roman"/>
          <w:color w:val="000000" w:themeColor="text1"/>
          <w:sz w:val="16"/>
          <w:szCs w:val="16"/>
        </w:rPr>
        <w:t>2</w:t>
      </w:r>
      <w:r w:rsidR="00CB3A4D" w:rsidRPr="00A3026E">
        <w:rPr>
          <w:rFonts w:ascii="Times New Roman" w:hAnsi="Times New Roman"/>
          <w:color w:val="000000" w:themeColor="text1"/>
          <w:sz w:val="16"/>
          <w:szCs w:val="16"/>
        </w:rPr>
        <w:fldChar w:fldCharType="end"/>
      </w:r>
      <w:r w:rsidRPr="00A3026E">
        <w:rPr>
          <w:rFonts w:ascii="Times New Roman" w:hAnsi="Times New Roman"/>
          <w:color w:val="000000" w:themeColor="text1"/>
          <w:sz w:val="16"/>
          <w:szCs w:val="16"/>
        </w:rPr>
        <w:t>.</w:t>
      </w:r>
    </w:p>
    <w:p w14:paraId="01376BCB" w14:textId="77777777" w:rsidR="00B072E6" w:rsidRPr="00A3026E" w:rsidRDefault="00B072E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Имперский металлургический концерн «Герман Геринг» сосредоточил в своих руках 177 заводов, 69 горнопромышленных и металлургических предприятий, 156 торговых компаний, 46 различных транспортных предприятий, 15 строительных и много других предприятий</w:t>
      </w:r>
      <w:bookmarkStart w:id="59" w:name="footnote1"/>
      <w:bookmarkEnd w:id="59"/>
      <w:r w:rsidR="00CB3A4D" w:rsidRPr="00A3026E">
        <w:rPr>
          <w:rFonts w:ascii="Times New Roman" w:hAnsi="Times New Roman"/>
          <w:color w:val="000000" w:themeColor="text1"/>
          <w:sz w:val="16"/>
          <w:szCs w:val="16"/>
        </w:rPr>
        <w:fldChar w:fldCharType="begin"/>
      </w:r>
      <w:r w:rsidRPr="00A3026E">
        <w:rPr>
          <w:rFonts w:ascii="Times New Roman" w:hAnsi="Times New Roman"/>
          <w:color w:val="000000" w:themeColor="text1"/>
          <w:sz w:val="16"/>
          <w:szCs w:val="16"/>
        </w:rPr>
        <w:instrText xml:space="preserve"> HYPERLINK "http://www.katyn-books.ru/library/fashistskaya-germaniya-vo-vtoroy-mirovoy-voyne17.html" \l "bookmark1" </w:instrText>
      </w:r>
      <w:r w:rsidR="00CB3A4D" w:rsidRPr="00A3026E">
        <w:rPr>
          <w:rFonts w:ascii="Times New Roman" w:hAnsi="Times New Roman"/>
          <w:color w:val="000000" w:themeColor="text1"/>
          <w:sz w:val="16"/>
          <w:szCs w:val="16"/>
        </w:rPr>
        <w:fldChar w:fldCharType="separate"/>
      </w:r>
      <w:r w:rsidRPr="00A3026E">
        <w:rPr>
          <w:rStyle w:val="a5"/>
          <w:rFonts w:ascii="Times New Roman" w:hAnsi="Times New Roman"/>
          <w:color w:val="000000" w:themeColor="text1"/>
          <w:sz w:val="16"/>
          <w:szCs w:val="16"/>
        </w:rPr>
        <w:t>1</w:t>
      </w:r>
      <w:r w:rsidR="00CB3A4D" w:rsidRPr="00A3026E">
        <w:rPr>
          <w:rFonts w:ascii="Times New Roman" w:hAnsi="Times New Roman"/>
          <w:color w:val="000000" w:themeColor="text1"/>
          <w:sz w:val="16"/>
          <w:szCs w:val="16"/>
        </w:rPr>
        <w:fldChar w:fldCharType="end"/>
      </w:r>
      <w:r w:rsidRPr="00A3026E">
        <w:rPr>
          <w:rFonts w:ascii="Times New Roman" w:hAnsi="Times New Roman"/>
          <w:color w:val="000000" w:themeColor="text1"/>
          <w:sz w:val="16"/>
          <w:szCs w:val="16"/>
        </w:rPr>
        <w:t>.</w:t>
      </w:r>
    </w:p>
    <w:p w14:paraId="462EEB91" w14:textId="77777777" w:rsidR="00B072E6" w:rsidRPr="00A3026E" w:rsidRDefault="00B072E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Акционерный капитал всех этих трех групп и руководящего общества вместе составлял более 900 млн марок; на предприятиях концерна работало свыше 600 тыс. человек. Этот концерн добывал в 1941 г. более 30% железной руды, 21% каменного и бурого угля, производил 15% чугуна</w:t>
      </w:r>
      <w:bookmarkStart w:id="60" w:name="footnote3"/>
      <w:bookmarkEnd w:id="60"/>
      <w:r w:rsidR="00CB3A4D" w:rsidRPr="00A3026E">
        <w:rPr>
          <w:rFonts w:ascii="Times New Roman" w:hAnsi="Times New Roman"/>
          <w:color w:val="000000" w:themeColor="text1"/>
          <w:sz w:val="16"/>
          <w:szCs w:val="16"/>
        </w:rPr>
        <w:fldChar w:fldCharType="begin"/>
      </w:r>
      <w:r w:rsidRPr="00A3026E">
        <w:rPr>
          <w:rFonts w:ascii="Times New Roman" w:hAnsi="Times New Roman"/>
          <w:color w:val="000000" w:themeColor="text1"/>
          <w:sz w:val="16"/>
          <w:szCs w:val="16"/>
        </w:rPr>
        <w:instrText xml:space="preserve"> HYPERLINK "http://www.katyn-books.ru/library/fashistskaya-germaniya-vo-vtoroy-mirovoy-voyne17.html" \l "bookmark3" </w:instrText>
      </w:r>
      <w:r w:rsidR="00CB3A4D" w:rsidRPr="00A3026E">
        <w:rPr>
          <w:rFonts w:ascii="Times New Roman" w:hAnsi="Times New Roman"/>
          <w:color w:val="000000" w:themeColor="text1"/>
          <w:sz w:val="16"/>
          <w:szCs w:val="16"/>
        </w:rPr>
        <w:fldChar w:fldCharType="separate"/>
      </w:r>
      <w:r w:rsidRPr="00A3026E">
        <w:rPr>
          <w:rStyle w:val="a5"/>
          <w:rFonts w:ascii="Times New Roman" w:hAnsi="Times New Roman"/>
          <w:color w:val="000000" w:themeColor="text1"/>
          <w:sz w:val="16"/>
          <w:szCs w:val="16"/>
        </w:rPr>
        <w:t>3</w:t>
      </w:r>
      <w:r w:rsidR="00CB3A4D" w:rsidRPr="00A3026E">
        <w:rPr>
          <w:rFonts w:ascii="Times New Roman" w:hAnsi="Times New Roman"/>
          <w:color w:val="000000" w:themeColor="text1"/>
          <w:sz w:val="16"/>
          <w:szCs w:val="16"/>
        </w:rPr>
        <w:fldChar w:fldCharType="end"/>
      </w:r>
      <w:r w:rsidRPr="00A3026E">
        <w:rPr>
          <w:rFonts w:ascii="Times New Roman" w:hAnsi="Times New Roman"/>
          <w:color w:val="000000" w:themeColor="text1"/>
          <w:sz w:val="16"/>
          <w:szCs w:val="16"/>
        </w:rPr>
        <w:t xml:space="preserve"> (18559).</w:t>
      </w:r>
    </w:p>
    <w:p w14:paraId="110FE296" w14:textId="77777777" w:rsidR="00B072E6" w:rsidRPr="00A3026E" w:rsidRDefault="00B072E6" w:rsidP="00A3026E">
      <w:pPr>
        <w:spacing w:after="0" w:line="240" w:lineRule="auto"/>
        <w:jc w:val="both"/>
        <w:rPr>
          <w:rFonts w:ascii="Times New Roman" w:hAnsi="Times New Roman"/>
          <w:color w:val="000000" w:themeColor="text1"/>
          <w:sz w:val="16"/>
          <w:szCs w:val="16"/>
        </w:rPr>
      </w:pPr>
    </w:p>
    <w:p w14:paraId="29744951" w14:textId="77777777" w:rsidR="00FA0E48" w:rsidRPr="00A3026E" w:rsidRDefault="00FA0E48"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D2D846F" w14:textId="77777777" w:rsidR="00FA0E48" w:rsidRPr="00A3026E" w:rsidRDefault="00FA0E48" w:rsidP="00A3026E">
      <w:pPr>
        <w:spacing w:after="0" w:line="240" w:lineRule="auto"/>
        <w:jc w:val="both"/>
        <w:rPr>
          <w:rFonts w:ascii="Times New Roman" w:hAnsi="Times New Roman"/>
          <w:iCs/>
          <w:color w:val="000000" w:themeColor="text1"/>
          <w:sz w:val="16"/>
          <w:szCs w:val="16"/>
        </w:rPr>
      </w:pPr>
    </w:p>
    <w:p w14:paraId="063E98A1" w14:textId="77777777" w:rsidR="00FA0E48" w:rsidRPr="00A3026E" w:rsidRDefault="00FA0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четвертый квартал 1940 года на Безымянке были в основном закончены подготовительные работы и создан жилой поселок для строителей. А с января 1941 года все строительные районы приступили к основному строительству. В конце апреля — начале мая начался монтаж металлоконструкций в каркасы корпусов будущих авиазаводов (19823).</w:t>
      </w:r>
    </w:p>
    <w:p w14:paraId="2A72072C" w14:textId="77777777" w:rsidR="00FA0E48" w:rsidRPr="00A3026E" w:rsidRDefault="00FA0E48" w:rsidP="00A3026E">
      <w:pPr>
        <w:spacing w:after="0" w:line="240" w:lineRule="auto"/>
        <w:jc w:val="both"/>
        <w:rPr>
          <w:rFonts w:ascii="Times New Roman" w:hAnsi="Times New Roman"/>
          <w:color w:val="000000" w:themeColor="text1"/>
          <w:sz w:val="16"/>
          <w:szCs w:val="16"/>
        </w:rPr>
      </w:pPr>
    </w:p>
    <w:p w14:paraId="7389DCAD"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0AE3D3CF"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37CF3E8A" w14:textId="77777777" w:rsidR="00B97444" w:rsidRPr="00A3026E" w:rsidRDefault="00B9744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 второй половине 1940 г. в связи с затруднениями, связанными с выбором силовой установки, в ОКБ Кочеригина приступили к проектированию пикировщика ОПБ с двигателем АМ-37. При подготовке проекта ориентировались на перспективный двигатель АМ-37 мощностью 1325 л.с. у земли, 1400 л.с. на высоте 6000 м. Этот двигатель конструкции Микулина в ок</w:t>
      </w:r>
      <w:r w:rsidRPr="00A3026E">
        <w:rPr>
          <w:rFonts w:ascii="Times New Roman" w:hAnsi="Times New Roman"/>
          <w:color w:val="0070C0"/>
          <w:sz w:val="16"/>
          <w:szCs w:val="16"/>
        </w:rPr>
        <w:softHyphen/>
        <w:t>тябре 1940 г. проходил летные испытания на самолете ДБ- 240 (прототип Ер-2), поэтому существовала надежда на его скорое появление. Эскизный проект ОПБ АМ-37 был ут</w:t>
      </w:r>
      <w:r w:rsidRPr="00A3026E">
        <w:rPr>
          <w:rFonts w:ascii="Times New Roman" w:hAnsi="Times New Roman"/>
          <w:color w:val="0070C0"/>
          <w:sz w:val="16"/>
          <w:szCs w:val="16"/>
        </w:rPr>
        <w:softHyphen/>
        <w:t>вержден Кочеригиным 19 ноября, а 7 декабря был представ</w:t>
      </w:r>
      <w:r w:rsidRPr="00A3026E">
        <w:rPr>
          <w:rFonts w:ascii="Times New Roman" w:hAnsi="Times New Roman"/>
          <w:color w:val="0070C0"/>
          <w:sz w:val="16"/>
          <w:szCs w:val="16"/>
        </w:rPr>
        <w:softHyphen/>
        <w:t>лен для рассмотрения в экспертную комиссию НКАП. Само</w:t>
      </w:r>
      <w:r w:rsidRPr="00A3026E">
        <w:rPr>
          <w:rFonts w:ascii="Times New Roman" w:hAnsi="Times New Roman"/>
          <w:color w:val="0070C0"/>
          <w:sz w:val="16"/>
          <w:szCs w:val="16"/>
        </w:rPr>
        <w:softHyphen/>
        <w:t>лет определялся как модификация ОПБ с М-90. В крыле был использован профиль NACA 230 с относительной толщиной 19 %. К особым отличиям следует отнести высокое разме</w:t>
      </w:r>
      <w:r w:rsidRPr="00A3026E">
        <w:rPr>
          <w:rFonts w:ascii="Times New Roman" w:hAnsi="Times New Roman"/>
          <w:color w:val="0070C0"/>
          <w:sz w:val="16"/>
          <w:szCs w:val="16"/>
        </w:rPr>
        <w:softHyphen/>
        <w:t>щение летчика в увеличенном по высоте фонаре пилота, что в сочетании с «опущенным капотом» двигателя заметно (на 15 градусов) улучшало обзор из кабины. Указывались следующие его проектные характеристики:</w:t>
      </w:r>
    </w:p>
    <w:p w14:paraId="249F15FE" w14:textId="77777777" w:rsidR="00B97444" w:rsidRPr="00A3026E" w:rsidRDefault="00B9744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fldChar w:fldCharType="begin"/>
      </w:r>
      <w:r w:rsidRPr="00A3026E">
        <w:rPr>
          <w:rFonts w:ascii="Times New Roman" w:hAnsi="Times New Roman"/>
          <w:color w:val="0070C0"/>
          <w:sz w:val="16"/>
          <w:szCs w:val="16"/>
        </w:rPr>
        <w:instrText xml:space="preserve"> TOC \o "1-5" \h \z </w:instrText>
      </w:r>
      <w:r w:rsidRPr="00A3026E">
        <w:rPr>
          <w:rFonts w:ascii="Times New Roman" w:hAnsi="Times New Roman"/>
          <w:color w:val="0070C0"/>
          <w:sz w:val="16"/>
          <w:szCs w:val="16"/>
        </w:rPr>
        <w:fldChar w:fldCharType="separate"/>
      </w:r>
      <w:r w:rsidRPr="00A3026E">
        <w:rPr>
          <w:rFonts w:ascii="Times New Roman" w:hAnsi="Times New Roman"/>
          <w:color w:val="0070C0"/>
          <w:sz w:val="16"/>
          <w:szCs w:val="16"/>
        </w:rPr>
        <w:t>Длина в линии полета (м)</w:t>
      </w:r>
      <w:r w:rsidRPr="00A3026E">
        <w:rPr>
          <w:rFonts w:ascii="Times New Roman" w:hAnsi="Times New Roman"/>
          <w:color w:val="0070C0"/>
          <w:sz w:val="16"/>
          <w:szCs w:val="16"/>
        </w:rPr>
        <w:tab/>
        <w:t>9,87</w:t>
      </w:r>
    </w:p>
    <w:p w14:paraId="061B6D4B" w14:textId="77777777" w:rsidR="00B97444" w:rsidRPr="00A3026E" w:rsidRDefault="00B9744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Размах крыла (м)</w:t>
      </w:r>
      <w:r w:rsidRPr="00A3026E">
        <w:rPr>
          <w:rFonts w:ascii="Times New Roman" w:hAnsi="Times New Roman"/>
          <w:color w:val="0070C0"/>
          <w:sz w:val="16"/>
          <w:szCs w:val="16"/>
        </w:rPr>
        <w:tab/>
        <w:t>11,2</w:t>
      </w:r>
    </w:p>
    <w:p w14:paraId="653C9CAD" w14:textId="77777777" w:rsidR="00B97444" w:rsidRPr="00A3026E" w:rsidRDefault="00B9744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Площадь крыла (кв.м)</w:t>
      </w:r>
      <w:r w:rsidRPr="00A3026E">
        <w:rPr>
          <w:rFonts w:ascii="Times New Roman" w:hAnsi="Times New Roman"/>
          <w:color w:val="0070C0"/>
          <w:sz w:val="16"/>
          <w:szCs w:val="16"/>
        </w:rPr>
        <w:tab/>
        <w:t>21,0</w:t>
      </w:r>
    </w:p>
    <w:p w14:paraId="61538F28" w14:textId="77777777" w:rsidR="00B97444" w:rsidRPr="00A3026E" w:rsidRDefault="00B9744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Вес пустого (кг)</w:t>
      </w:r>
      <w:r w:rsidRPr="00A3026E">
        <w:rPr>
          <w:rFonts w:ascii="Times New Roman" w:hAnsi="Times New Roman"/>
          <w:color w:val="0070C0"/>
          <w:sz w:val="16"/>
          <w:szCs w:val="16"/>
        </w:rPr>
        <w:tab/>
        <w:t>2648</w:t>
      </w:r>
    </w:p>
    <w:p w14:paraId="5DA7EA77" w14:textId="77777777" w:rsidR="00B97444" w:rsidRPr="00A3026E" w:rsidRDefault="00B9744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Полетный вес (кг)</w:t>
      </w:r>
      <w:r w:rsidRPr="00A3026E">
        <w:rPr>
          <w:rFonts w:ascii="Times New Roman" w:hAnsi="Times New Roman"/>
          <w:color w:val="0070C0"/>
          <w:sz w:val="16"/>
          <w:szCs w:val="16"/>
        </w:rPr>
        <w:tab/>
        <w:t>4010</w:t>
      </w:r>
    </w:p>
    <w:p w14:paraId="0DDAB784" w14:textId="77777777" w:rsidR="00B97444" w:rsidRPr="00A3026E" w:rsidRDefault="00B9744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Нагрузка на крыло (кг/ кв.м)</w:t>
      </w:r>
      <w:r w:rsidRPr="00A3026E">
        <w:rPr>
          <w:rFonts w:ascii="Times New Roman" w:hAnsi="Times New Roman"/>
          <w:color w:val="0070C0"/>
          <w:sz w:val="16"/>
          <w:szCs w:val="16"/>
        </w:rPr>
        <w:tab/>
        <w:t>190</w:t>
      </w:r>
      <w:r w:rsidRPr="00A3026E">
        <w:rPr>
          <w:rFonts w:ascii="Times New Roman" w:hAnsi="Times New Roman"/>
          <w:color w:val="0070C0"/>
          <w:sz w:val="16"/>
          <w:szCs w:val="16"/>
        </w:rPr>
        <w:fldChar w:fldCharType="end"/>
      </w:r>
    </w:p>
    <w:p w14:paraId="1ABF0617" w14:textId="77777777" w:rsidR="00B97444" w:rsidRPr="00A3026E" w:rsidRDefault="00B9744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Вооружение ОПБ АМ-37 в основном соответствовало вооружению самолета ОПБ М-90. В одном из вариантов предполагалось использовать пушечное вооружение.</w:t>
      </w:r>
    </w:p>
    <w:p w14:paraId="2D59709B" w14:textId="77777777" w:rsidR="00B97444" w:rsidRPr="00A3026E" w:rsidRDefault="00B9744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Максимальная скорость полета по расчетам составляла: у земли 462 км/ч, на высоте 7000 м - 580 км/ч. Время на</w:t>
      </w:r>
      <w:r w:rsidRPr="00A3026E">
        <w:rPr>
          <w:rFonts w:ascii="Times New Roman" w:hAnsi="Times New Roman"/>
          <w:color w:val="0070C0"/>
          <w:sz w:val="16"/>
          <w:szCs w:val="16"/>
        </w:rPr>
        <w:softHyphen/>
        <w:t>бора высоты 5000 м - 6,8 мин. Дальность полета - 960 км.</w:t>
      </w:r>
    </w:p>
    <w:p w14:paraId="5B41B263" w14:textId="77777777" w:rsidR="00B97444" w:rsidRPr="00A3026E" w:rsidRDefault="00B9744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При рассмотрении эскизного проекта ОПБ АМ-37 комис</w:t>
      </w:r>
      <w:r w:rsidRPr="00A3026E">
        <w:rPr>
          <w:rFonts w:ascii="Times New Roman" w:hAnsi="Times New Roman"/>
          <w:color w:val="0070C0"/>
          <w:sz w:val="16"/>
          <w:szCs w:val="16"/>
        </w:rPr>
        <w:softHyphen/>
        <w:t>сия НКАП под председательством Б.Н. Юрьева заключи</w:t>
      </w:r>
      <w:r w:rsidRPr="00A3026E">
        <w:rPr>
          <w:rFonts w:ascii="Times New Roman" w:hAnsi="Times New Roman"/>
          <w:color w:val="0070C0"/>
          <w:sz w:val="16"/>
          <w:szCs w:val="16"/>
        </w:rPr>
        <w:softHyphen/>
        <w:t>ла, что расчетные характеристики являются реальными, од</w:t>
      </w:r>
      <w:r w:rsidRPr="00A3026E">
        <w:rPr>
          <w:rFonts w:ascii="Times New Roman" w:hAnsi="Times New Roman"/>
          <w:color w:val="0070C0"/>
          <w:sz w:val="16"/>
          <w:szCs w:val="16"/>
        </w:rPr>
        <w:softHyphen/>
        <w:t>нако постройка самолета целесообразна после проведе</w:t>
      </w:r>
      <w:r w:rsidRPr="00A3026E">
        <w:rPr>
          <w:rFonts w:ascii="Times New Roman" w:hAnsi="Times New Roman"/>
          <w:color w:val="0070C0"/>
          <w:sz w:val="16"/>
          <w:szCs w:val="16"/>
        </w:rPr>
        <w:softHyphen/>
        <w:t>ния летных испытаний ОПБ М-90 (20362).</w:t>
      </w:r>
    </w:p>
    <w:p w14:paraId="02657621" w14:textId="77777777" w:rsidR="00B97444" w:rsidRPr="00A3026E" w:rsidRDefault="00B97444" w:rsidP="00A3026E">
      <w:pPr>
        <w:shd w:val="clear" w:color="auto" w:fill="FFFFFF"/>
        <w:spacing w:after="0" w:line="240" w:lineRule="auto"/>
        <w:jc w:val="both"/>
        <w:rPr>
          <w:rFonts w:ascii="Times New Roman" w:hAnsi="Times New Roman"/>
          <w:color w:val="0070C0"/>
          <w:sz w:val="16"/>
          <w:szCs w:val="16"/>
        </w:rPr>
      </w:pPr>
    </w:p>
    <w:p w14:paraId="61A1BA92" w14:textId="77777777" w:rsidR="00B97444" w:rsidRPr="00A3026E" w:rsidRDefault="00B9744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Всю вторую половину 1940 г. и несколько месяцев следующего 1941 года вся работа по созданию ОПБ разворачивалась крайне медленно. С одной стороны, ее тормозило отсутствие М-90, с другой, по приказу НКАП от 24.09.1940 г. КБ-17 было влито в состав единого КБ ОТБ НКВД, созданного на заводе №156. Часть конструкторов у Кочеригина забрали, потом подобная практика продол</w:t>
      </w:r>
      <w:r w:rsidRPr="00A3026E">
        <w:rPr>
          <w:rFonts w:ascii="Times New Roman" w:hAnsi="Times New Roman"/>
          <w:color w:val="0070C0"/>
          <w:sz w:val="16"/>
          <w:szCs w:val="16"/>
        </w:rPr>
        <w:softHyphen/>
        <w:t>жилась, и в середине 1941 г. в КБ-17 оставалось лишь 20 конструкторов.</w:t>
      </w:r>
    </w:p>
    <w:p w14:paraId="147F5785" w14:textId="77777777" w:rsidR="00B97444" w:rsidRPr="00A3026E" w:rsidRDefault="00B9744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Кочеригину вновь пришлось столкнуться с экономическими экспериментами особых органов, почти так же, как в 1930 г. Дело в том, что в 1937-38 гг. в Советском Союзе произошла масштабная волна арестов. Не вдаваясь в подробности, лишь укажем, что среди пострадавших, как и в конце 1920-х гг., было много технических работников и руководителей технических коллективов. Как и 10 лет назад, власть вновь начала организовывать закрытые конструктор</w:t>
      </w:r>
      <w:r w:rsidRPr="00A3026E">
        <w:rPr>
          <w:rFonts w:ascii="Times New Roman" w:hAnsi="Times New Roman"/>
          <w:color w:val="0070C0"/>
          <w:sz w:val="16"/>
          <w:szCs w:val="16"/>
        </w:rPr>
        <w:softHyphen/>
        <w:t>ские бюро с целью использования труда заключенных ин</w:t>
      </w:r>
      <w:r w:rsidRPr="00A3026E">
        <w:rPr>
          <w:rFonts w:ascii="Times New Roman" w:hAnsi="Times New Roman"/>
          <w:color w:val="0070C0"/>
          <w:sz w:val="16"/>
          <w:szCs w:val="16"/>
        </w:rPr>
        <w:softHyphen/>
        <w:t>женеров. Так, в 1938 г. было организовано Особое техни</w:t>
      </w:r>
      <w:r w:rsidRPr="00A3026E">
        <w:rPr>
          <w:rFonts w:ascii="Times New Roman" w:hAnsi="Times New Roman"/>
          <w:color w:val="0070C0"/>
          <w:sz w:val="16"/>
          <w:szCs w:val="16"/>
        </w:rPr>
        <w:softHyphen/>
        <w:t>ческое бюро (ОТБ) НКВД, в котором предполагалось решить широкий спектр военно-промышленных вопросов. Созда</w:t>
      </w:r>
      <w:r w:rsidRPr="00A3026E">
        <w:rPr>
          <w:rFonts w:ascii="Times New Roman" w:hAnsi="Times New Roman"/>
          <w:color w:val="0070C0"/>
          <w:sz w:val="16"/>
          <w:szCs w:val="16"/>
        </w:rPr>
        <w:softHyphen/>
        <w:t>телей самолетов собрали в отдел, именуемый СТО или ЦКБ-29. Четыре таких обособленных специальных техотде</w:t>
      </w:r>
      <w:r w:rsidRPr="00A3026E">
        <w:rPr>
          <w:rFonts w:ascii="Times New Roman" w:hAnsi="Times New Roman"/>
          <w:color w:val="0070C0"/>
          <w:sz w:val="16"/>
          <w:szCs w:val="16"/>
        </w:rPr>
        <w:softHyphen/>
        <w:t>ла (СТО) с весны 1939 г. жили и работали в здании КО- СОС ЦАГИ на ул. Радио. Переезд арестованных конструк</w:t>
      </w:r>
      <w:r w:rsidRPr="00A3026E">
        <w:rPr>
          <w:rFonts w:ascii="Times New Roman" w:hAnsi="Times New Roman"/>
          <w:color w:val="0070C0"/>
          <w:sz w:val="16"/>
          <w:szCs w:val="16"/>
        </w:rPr>
        <w:softHyphen/>
        <w:t>торов и КБ Кочеригина на улицу Радио состоялись почти в одно время. Указанные четыре группы получили задание на создание проектов, нумерация которых начиналась с циф</w:t>
      </w:r>
      <w:r w:rsidRPr="00A3026E">
        <w:rPr>
          <w:rFonts w:ascii="Times New Roman" w:hAnsi="Times New Roman"/>
          <w:color w:val="0070C0"/>
          <w:sz w:val="16"/>
          <w:szCs w:val="16"/>
        </w:rPr>
        <w:softHyphen/>
        <w:t>ры «100» (СТО). Отдел №100, возглавляемый В.М. Петляко- вым, создавал высотный двухмоторный истребитель ВИ-100. «103» ПБ (АНТ-57), за</w:t>
      </w:r>
      <w:r w:rsidRPr="00A3026E">
        <w:rPr>
          <w:rFonts w:ascii="Times New Roman" w:hAnsi="Times New Roman"/>
          <w:color w:val="0070C0"/>
          <w:sz w:val="16"/>
          <w:szCs w:val="16"/>
        </w:rPr>
        <w:softHyphen/>
        <w:t>тем фронтовой бомбардировщик ФБ (АНТ-58). Отдел №110, в котором трудился Д.Л. Томашевич, создавал одномотор</w:t>
      </w:r>
      <w:r w:rsidRPr="00A3026E">
        <w:rPr>
          <w:rFonts w:ascii="Times New Roman" w:hAnsi="Times New Roman"/>
          <w:color w:val="0070C0"/>
          <w:sz w:val="16"/>
          <w:szCs w:val="16"/>
        </w:rPr>
        <w:softHyphen/>
        <w:t>ный истребитель «110». Из упомянутых заданий проект ВИ- 100 со временем превратился в знаменитый бомбардиров Пе-2, а проект «103» - в не менее знаменитый Ту-2. Понятно, что вся деятельность отдела СТО бдительно опекалась (20362).</w:t>
      </w:r>
    </w:p>
    <w:p w14:paraId="744D530B" w14:textId="77777777" w:rsidR="00B97444" w:rsidRPr="00A3026E" w:rsidRDefault="00B97444" w:rsidP="00A3026E">
      <w:pPr>
        <w:spacing w:after="0" w:line="240" w:lineRule="auto"/>
        <w:jc w:val="both"/>
        <w:rPr>
          <w:rFonts w:ascii="Times New Roman" w:hAnsi="Times New Roman"/>
          <w:color w:val="0070C0"/>
          <w:sz w:val="16"/>
          <w:szCs w:val="16"/>
        </w:rPr>
      </w:pPr>
    </w:p>
    <w:p w14:paraId="614162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второй половине 1940 г. велись испытания И-153, вооруженных реактивными снарядами PC-82. До конца года на ГАЗ №1 под установки PC оборудовали более четырехсот самолетов. Переделки сводились в основном к установке дополнительной металлической обшивки на нижней поверхности нижнего крыла (6592).</w:t>
      </w:r>
    </w:p>
    <w:p w14:paraId="246D7C9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7521C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 второй половины 1940 года можно отследить четкую линию на; форсирование авиапроизводства и расширение числа новых авиапредприятий; колебания с определением ассортимента планирующихся к выпуску моделей и их количества; противоречивость попыток одновременного увеличения роста производства выпускавшихся ранее моделей и запуска в серию самолетов новых типов; расширение выпуска боевых машин ценой снижения выпуска учебно-тренировочных; проблемы с переходом на выпуск новой авиатехники (11672).</w:t>
      </w:r>
    </w:p>
    <w:p w14:paraId="441E29A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431FD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второй половине 1940 года на А.В. Сильванского было заведено уголовное дело – за «несанкционированный увоз автомобиля ЗИС-101 с территории государственного Союзного завода № 153 им. В.П. Чкалова» (Султанов И. Взлет и падение авиаконструктора Сильванского. С. 16, 21.) (11672).</w:t>
      </w:r>
    </w:p>
    <w:p w14:paraId="1CE8829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EE776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второй половине 1940 г. по инициативе наркома авиационной промышленности А.И. Шахурина сотрудниками 2</w:t>
      </w:r>
      <w:r w:rsidRPr="00A3026E">
        <w:rPr>
          <w:rFonts w:ascii="Times New Roman" w:hAnsi="Times New Roman"/>
          <w:color w:val="000000" w:themeColor="text1"/>
          <w:sz w:val="16"/>
          <w:szCs w:val="16"/>
        </w:rPr>
        <w:noBreakHyphen/>
        <w:t>го спецотдела НКВД был проведен ряд организационно-технических мероприятий по установке телефонных аппаратов ВЧ</w:t>
      </w:r>
      <w:r w:rsidRPr="00A3026E">
        <w:rPr>
          <w:rFonts w:ascii="Times New Roman" w:hAnsi="Times New Roman"/>
          <w:color w:val="000000" w:themeColor="text1"/>
          <w:sz w:val="16"/>
          <w:szCs w:val="16"/>
        </w:rPr>
        <w:noBreakHyphen/>
        <w:t>связи на авиационных заводах. Осенью 1940 г. абонентами Кремлевской правительственной АТС стали директора шести московских авиазаводов и Центрального авиационного государственного института в подмосковном поселке Раменское. Аппараты правительственной связи были также установлены и включены в соответствующие городские ВЧ</w:t>
      </w:r>
      <w:r w:rsidRPr="00A3026E">
        <w:rPr>
          <w:rFonts w:ascii="Times New Roman" w:hAnsi="Times New Roman"/>
          <w:color w:val="000000" w:themeColor="text1"/>
          <w:sz w:val="16"/>
          <w:szCs w:val="16"/>
        </w:rPr>
        <w:noBreakHyphen/>
        <w:t xml:space="preserve">станции на заводах № 153 (Новосибирск), № 292 (Саратов), № 380 (Ленинград), имени Молотова (Горький) и № 125 (Иркутск). Для того чтобы установить аппарат ВЧ директору завода № 18 (Воронеж), пришлось прокладывать специальный кабель от завода до городской телефонной станции. </w:t>
      </w:r>
    </w:p>
    <w:p w14:paraId="30A714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самые серьезные проблемы возникли при организации ВЧ</w:t>
      </w:r>
      <w:r w:rsidRPr="00A3026E">
        <w:rPr>
          <w:rFonts w:ascii="Times New Roman" w:hAnsi="Times New Roman"/>
          <w:color w:val="000000" w:themeColor="text1"/>
          <w:sz w:val="16"/>
          <w:szCs w:val="16"/>
        </w:rPr>
        <w:noBreakHyphen/>
        <w:t>связи с заводами Наркомата авиапромышленности, располагавшимися в Уфе, Казани, Таганроге и Комсомольске, поскольку с этими населенными пунктами правительственная связь вообще отсутствовала. Несмотря на то, что ходатайство об организации ВЧ</w:t>
      </w:r>
      <w:r w:rsidRPr="00A3026E">
        <w:rPr>
          <w:rFonts w:ascii="Times New Roman" w:hAnsi="Times New Roman"/>
          <w:color w:val="000000" w:themeColor="text1"/>
          <w:sz w:val="16"/>
          <w:szCs w:val="16"/>
        </w:rPr>
        <w:noBreakHyphen/>
        <w:t>связи с Уфой было возбуждено партийным руководством Башкирии еще в феврале 1940 г., реализовать его удалось только весной 1941 г., что позволило осуществить непосредственную телефонную связь центра с тремя авиамоторными заводами. Монтаж оборудования ВЧ</w:t>
      </w:r>
      <w:r w:rsidRPr="00A3026E">
        <w:rPr>
          <w:rFonts w:ascii="Times New Roman" w:hAnsi="Times New Roman"/>
          <w:color w:val="000000" w:themeColor="text1"/>
          <w:sz w:val="16"/>
          <w:szCs w:val="16"/>
        </w:rPr>
        <w:noBreakHyphen/>
        <w:t>станции в Казани был завершен к июню 1941 г. Что же касается линии ВЧ</w:t>
      </w:r>
      <w:r w:rsidRPr="00A3026E">
        <w:rPr>
          <w:rFonts w:ascii="Times New Roman" w:hAnsi="Times New Roman"/>
          <w:color w:val="000000" w:themeColor="text1"/>
          <w:sz w:val="16"/>
          <w:szCs w:val="16"/>
        </w:rPr>
        <w:noBreakHyphen/>
        <w:t>связи Ростов-Таганрог, то она была сдана в эксплуатацию 14.05.1941 г., и первыми абонентами новой станции стали именно руководители объектов оборонной промышленности - завода № 31 Наркомата авиапромышленности и завода № 65 Наркомата боеприпасов.</w:t>
      </w:r>
    </w:p>
    <w:p w14:paraId="14D104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Осенью-зимой 1940 г. НКВД выполнил личное указание И.В. Сталина об организации правительственной связи с учреждениями и промышленными объектами Наркомата вооружения. Был установлен аппарат ВЧ наркому Б.Л. Ванникову, а также организована ВЧ</w:t>
      </w:r>
      <w:r w:rsidRPr="00A3026E">
        <w:rPr>
          <w:rFonts w:ascii="Times New Roman" w:hAnsi="Times New Roman"/>
          <w:color w:val="000000" w:themeColor="text1"/>
          <w:sz w:val="16"/>
          <w:szCs w:val="16"/>
        </w:rPr>
        <w:noBreakHyphen/>
        <w:t xml:space="preserve">связь с заводами наркомата № 2 (Ковров), № 66 (Тула) и № </w:t>
      </w:r>
      <w:r w:rsidRPr="00A3026E">
        <w:rPr>
          <w:rFonts w:ascii="Times New Roman" w:hAnsi="Times New Roman"/>
          <w:color w:val="000000" w:themeColor="text1"/>
          <w:sz w:val="16"/>
          <w:szCs w:val="16"/>
        </w:rPr>
        <w:lastRenderedPageBreak/>
        <w:t>74 (Ижевск). Причем в ходе установления ВЧ</w:t>
      </w:r>
      <w:r w:rsidRPr="00A3026E">
        <w:rPr>
          <w:rFonts w:ascii="Times New Roman" w:hAnsi="Times New Roman"/>
          <w:color w:val="000000" w:themeColor="text1"/>
          <w:sz w:val="16"/>
          <w:szCs w:val="16"/>
        </w:rPr>
        <w:noBreakHyphen/>
        <w:t>связи с Ковровом (принята в эксплуатацию 20.12.1940 г.) был создан прецедент: директор завода № 2 стал единственным абонентом нового пункта, тогда как начальник горотдела НКВД (традиционно приоритетный абонент ВЧ для населенного пункта районного масштаба) еще длительное время был вынужден пользоваться ВЧ</w:t>
      </w:r>
      <w:r w:rsidRPr="00A3026E">
        <w:rPr>
          <w:rFonts w:ascii="Times New Roman" w:hAnsi="Times New Roman"/>
          <w:color w:val="000000" w:themeColor="text1"/>
          <w:sz w:val="16"/>
          <w:szCs w:val="16"/>
        </w:rPr>
        <w:noBreakHyphen/>
        <w:t>связью непосредственно с Ивановской ВЧ</w:t>
      </w:r>
      <w:r w:rsidRPr="00A3026E">
        <w:rPr>
          <w:rFonts w:ascii="Times New Roman" w:hAnsi="Times New Roman"/>
          <w:color w:val="000000" w:themeColor="text1"/>
          <w:sz w:val="16"/>
          <w:szCs w:val="16"/>
        </w:rPr>
        <w:noBreakHyphen/>
        <w:t>станции.</w:t>
      </w:r>
    </w:p>
    <w:p w14:paraId="31A81E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Значительно сложнее оказалось реализовать решение СНК СССР и ЦК ВКП(б) об установлении телефонных аппаратов ВЧ директорам предприятий Наркомата боеприпасов, принятое в конце 1940 г. В утвержденном списке, помимо кабинета наркома, содержался перечень 23</w:t>
      </w:r>
      <w:r w:rsidRPr="00A3026E">
        <w:rPr>
          <w:rFonts w:ascii="Times New Roman" w:hAnsi="Times New Roman"/>
          <w:color w:val="000000" w:themeColor="text1"/>
          <w:sz w:val="16"/>
          <w:szCs w:val="16"/>
        </w:rPr>
        <w:noBreakHyphen/>
        <w:t>х заводов, разбросанных по всей территории страны - от Ленинграда до Молотова. Поэтому пункты, в которых предстояло организовать ВЧ</w:t>
      </w:r>
      <w:r w:rsidRPr="00A3026E">
        <w:rPr>
          <w:rFonts w:ascii="Times New Roman" w:hAnsi="Times New Roman"/>
          <w:color w:val="000000" w:themeColor="text1"/>
          <w:sz w:val="16"/>
          <w:szCs w:val="16"/>
        </w:rPr>
        <w:noBreakHyphen/>
        <w:t>связь, были разделены на две группы: 1) города, где уже имелись ВЧ</w:t>
      </w:r>
      <w:r w:rsidRPr="00A3026E">
        <w:rPr>
          <w:rFonts w:ascii="Times New Roman" w:hAnsi="Times New Roman"/>
          <w:color w:val="000000" w:themeColor="text1"/>
          <w:sz w:val="16"/>
          <w:szCs w:val="16"/>
        </w:rPr>
        <w:noBreakHyphen/>
        <w:t>станции (всего 14 - Москва, Ленинград, Тула, Куйбышев, Ростов-на-Дону, Новосибирск, Молотов и др.), и в которых аппараты директорам заводов могли быть установлены к 21.01.1941 г.; 2) населенные пункты, в которых организация необходимых ВЧ</w:t>
      </w:r>
      <w:r w:rsidRPr="00A3026E">
        <w:rPr>
          <w:rFonts w:ascii="Times New Roman" w:hAnsi="Times New Roman"/>
          <w:color w:val="000000" w:themeColor="text1"/>
          <w:sz w:val="16"/>
          <w:szCs w:val="16"/>
        </w:rPr>
        <w:noBreakHyphen/>
        <w:t xml:space="preserve">связей была сопряжена со строительством новых ВЧ-станций (всего 10 - Казань, Златоуст, Нижний Тагил, Пенза, Кемерово и др.). </w:t>
      </w:r>
    </w:p>
    <w:p w14:paraId="199BF6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расчетам сотрудников центрального аппарата правительственной связи оборудование вновь открываемых станций ВЧ</w:t>
      </w:r>
      <w:r w:rsidRPr="00A3026E">
        <w:rPr>
          <w:rFonts w:ascii="Times New Roman" w:hAnsi="Times New Roman"/>
          <w:color w:val="000000" w:themeColor="text1"/>
          <w:sz w:val="16"/>
          <w:szCs w:val="16"/>
        </w:rPr>
        <w:noBreakHyphen/>
        <w:t>связи могло быть осуществлено в феврале-марте 1941 г. при условии дополнительного ассигнования НКВД СССР 1,5 млн. руб., увеличения штатов НКВД на 70 единиц инженерно-технического персонала, передачи Наркоматом связи высокочастотных каналов на всех требуемых направлениях, а также выделения Госпланом СССР дополнительных фондов за счет Наркомата боеприпасов или резерва в интересах производства необходимых материалов и аппаратуры (11671).</w:t>
      </w:r>
    </w:p>
    <w:p w14:paraId="0F3A406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8C5DC21"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699AAB9D"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6DB686C4" w14:textId="77777777" w:rsidR="00B072E6" w:rsidRPr="00A3026E" w:rsidRDefault="00B072E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второй половине 1940 г., постановление КО № 277сс было подтверждено аналогичным постановлением КО № 310сс. Из-за нехватки стали уже перед войной планировалось на военный период обеспечивать стальными корпусами более чем на 50% лишь производство снарядов калибра 152 мм и выше. Между тем в РККА накануне и в годы войны основной артиллерийской системой, на которую падала большая часть работы по уничтожению легких и средних укреплений противника, являлась 122-милиметровая гаубица обр. 1938 г. (18645).</w:t>
      </w:r>
    </w:p>
    <w:p w14:paraId="0E5CFA27" w14:textId="77777777" w:rsidR="00B072E6" w:rsidRPr="00A3026E" w:rsidRDefault="00B072E6" w:rsidP="00A3026E">
      <w:pPr>
        <w:spacing w:after="0" w:line="240" w:lineRule="auto"/>
        <w:jc w:val="both"/>
        <w:rPr>
          <w:rFonts w:ascii="Times New Roman" w:hAnsi="Times New Roman"/>
          <w:color w:val="000000" w:themeColor="text1"/>
          <w:sz w:val="16"/>
          <w:szCs w:val="16"/>
        </w:rPr>
      </w:pPr>
    </w:p>
    <w:p w14:paraId="1FF561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 второй половине 1940 г. невозможность уложиться в заданное водоизмещение нового лидера (менее 4500 т) привело руководст</w:t>
      </w:r>
      <w:r w:rsidRPr="00A3026E">
        <w:rPr>
          <w:rFonts w:ascii="Times New Roman" w:hAnsi="Times New Roman"/>
          <w:color w:val="000000" w:themeColor="text1"/>
          <w:sz w:val="16"/>
          <w:szCs w:val="16"/>
        </w:rPr>
        <w:softHyphen/>
        <w:t>во ВМФ к отказу от развития этого типа, а для решения поставлен</w:t>
      </w:r>
      <w:r w:rsidRPr="00A3026E">
        <w:rPr>
          <w:rFonts w:ascii="Times New Roman" w:hAnsi="Times New Roman"/>
          <w:color w:val="000000" w:themeColor="text1"/>
          <w:sz w:val="16"/>
          <w:szCs w:val="16"/>
        </w:rPr>
        <w:softHyphen/>
        <w:t>ных задач строить легкие крейсера (3898).</w:t>
      </w:r>
    </w:p>
    <w:p w14:paraId="23B74D6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A200E4D" w14:textId="77777777" w:rsidR="0014077F"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4AD1832D"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62A2421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второе полугодие 1940 года, согласно расчетам экспертов, потребности в самолетах ВВС КА по мир</w:t>
      </w:r>
      <w:r w:rsidRPr="00A3026E">
        <w:rPr>
          <w:rFonts w:ascii="Times New Roman" w:hAnsi="Times New Roman"/>
          <w:color w:val="000000" w:themeColor="text1"/>
          <w:sz w:val="16"/>
          <w:szCs w:val="16"/>
        </w:rPr>
        <w:softHyphen/>
        <w:t>ному времени составляли 10188 машин, в том числе: боевых - 7524, учебных, тренировочных и связи - 2439, транс</w:t>
      </w:r>
      <w:r w:rsidRPr="00A3026E">
        <w:rPr>
          <w:rFonts w:ascii="Times New Roman" w:hAnsi="Times New Roman"/>
          <w:color w:val="000000" w:themeColor="text1"/>
          <w:sz w:val="16"/>
          <w:szCs w:val="16"/>
        </w:rPr>
        <w:softHyphen/>
        <w:t>портных - 225. Потребность же на 1941 год определялась в 18996 машин, а на 1942 год - в 20299 (РГВА. Ф. 29. Оп. 46. Д. 340. Л. 166.) (11710,343).</w:t>
      </w:r>
    </w:p>
    <w:p w14:paraId="05CD758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36224602" w14:textId="77777777" w:rsidR="0015709E"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5BE49AA2" w14:textId="77777777" w:rsidR="0015709E" w:rsidRPr="00A3026E" w:rsidRDefault="0015709E" w:rsidP="00A3026E">
      <w:pPr>
        <w:spacing w:after="0" w:line="240" w:lineRule="auto"/>
        <w:jc w:val="both"/>
        <w:rPr>
          <w:rFonts w:ascii="Times New Roman" w:hAnsi="Times New Roman"/>
          <w:iCs/>
          <w:color w:val="000000" w:themeColor="text1"/>
          <w:sz w:val="16"/>
          <w:szCs w:val="16"/>
        </w:rPr>
      </w:pPr>
    </w:p>
    <w:p w14:paraId="6C0D25DF" w14:textId="77777777" w:rsidR="0015709E" w:rsidRPr="00A3026E" w:rsidRDefault="0015709E"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Во второй половине 1940 года размеры военных заказов стали быстро расти, так что нам тогда трудно было с ними справляться. С 1 января 1939-го по 1 июня 1940 года иностранные правительства разместили в США всего военных заказов на 600 миллионов долларов, в июне их заказы возросли до 800 миллионов, а во втором полугодии 1940-го к этому добавился еще 1 200 миллионов долларов. За семь последних месяцев 1940 года были заключены контракты с разрешения армии и флота на 8 600 миллионов долларов, а Конгресс утвердил оборонную программу на 210 миллионов, что в пять раз больше, чем за фискальный год, заканчивающийся 30 июня. За два с половиной года, начиная с 1 января 1938 года, армия и флот США заказали только 5400 самолетов, а в следующие полгода — уже 21 400. За несколько месяцев тяжесть, которую взвалила на себя американская промышленность, возросла в несколько раз (17417). </w:t>
      </w:r>
    </w:p>
    <w:p w14:paraId="4F72C0DD" w14:textId="77777777" w:rsidR="0015709E" w:rsidRPr="00A3026E" w:rsidRDefault="0015709E" w:rsidP="00A3026E">
      <w:pPr>
        <w:shd w:val="clear" w:color="auto" w:fill="FFFFFF"/>
        <w:spacing w:after="0" w:line="240" w:lineRule="auto"/>
        <w:jc w:val="both"/>
        <w:rPr>
          <w:rFonts w:ascii="Times New Roman" w:hAnsi="Times New Roman"/>
          <w:color w:val="000000" w:themeColor="text1"/>
          <w:sz w:val="16"/>
          <w:szCs w:val="16"/>
        </w:rPr>
      </w:pPr>
    </w:p>
    <w:p w14:paraId="005DCB03"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2941D4B5"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5D89FA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Зимой 1940-1941 ЛИИ испытывали СБ (АНТ-40) с трехколесным шасси (4,20).</w:t>
      </w:r>
    </w:p>
    <w:p w14:paraId="1159D5B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9B9BC0F" w14:textId="77777777" w:rsidR="00B97444" w:rsidRPr="00A3026E" w:rsidRDefault="00B97444"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257058C7" w14:textId="77777777" w:rsidR="00B97444" w:rsidRPr="00A3026E" w:rsidRDefault="00B97444" w:rsidP="00A3026E">
      <w:pPr>
        <w:spacing w:after="0" w:line="240" w:lineRule="auto"/>
        <w:jc w:val="both"/>
        <w:rPr>
          <w:rFonts w:ascii="Times New Roman" w:hAnsi="Times New Roman"/>
          <w:iCs/>
          <w:color w:val="000000" w:themeColor="text1"/>
          <w:sz w:val="16"/>
          <w:szCs w:val="16"/>
        </w:rPr>
      </w:pPr>
    </w:p>
    <w:p w14:paraId="19E49FA5" w14:textId="77777777" w:rsidR="00B97444" w:rsidRPr="00A3026E" w:rsidRDefault="00B9744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Зимой 1940– 1941 годов двухмоторный четырехместный Tempo с колесной формулой 4х4 испытывался на снежной целине глубиной до 35 см, которую преодолевал довольно уверенно.</w:t>
      </w:r>
    </w:p>
    <w:p w14:paraId="72CD4698" w14:textId="77777777" w:rsidR="00B97444" w:rsidRPr="00A3026E" w:rsidRDefault="00B97444"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Машина легко пересекала цветочную клумбу с бетонным ограждением высотой около 40 см, легко штурмовала как поперек, так и наискось глубокие канавы (21329).</w:t>
      </w:r>
    </w:p>
    <w:p w14:paraId="481A2443" w14:textId="77777777" w:rsidR="00B97444" w:rsidRPr="00A3026E" w:rsidRDefault="00B97444" w:rsidP="00A3026E">
      <w:pPr>
        <w:spacing w:after="0" w:line="240" w:lineRule="auto"/>
        <w:jc w:val="both"/>
        <w:rPr>
          <w:rFonts w:ascii="Times New Roman" w:hAnsi="Times New Roman"/>
          <w:color w:val="0070C0"/>
          <w:sz w:val="16"/>
          <w:szCs w:val="16"/>
        </w:rPr>
      </w:pPr>
    </w:p>
    <w:p w14:paraId="3E6868FB"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4690320F"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24DD51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только начался выпуск «обычных» одномоторных бомбардировщиков ББ-1 (Су-2) и осуществлялся на трех заводах – №№ 135, 207, 31, причем с 1 января 1941 года производство Су-2 на последнем заводе, который не выполнил программу по их поставке, прекращалось (РГВА. Ф.29. Оп. 56. Д. 182. Л. 2, 15.). Всего в 1940 году было выпущено 125 Су-2, в том числе на заводе № 31 (Таганрог) – 12, на заводе № 135 (Харьков) – 110, на заводе № 207 (Долгопрудная) – 3 (РГАЭ. Ф. 8044. Оп.1. Д. 2808. Л. 10, 23, 25 об.). Общее количество Су-2, которыми располагал СССР к концу 1940 года, было меньше, чем количество зарубежных заказов Юнкерс-87, которое получила Германия в том же году. Тем не менее, к весне 1941 года советская сторона готовились отправить Югославии до 20-25 легких бомбардировщиков (предположительно – типа Су-2) (11672).</w:t>
      </w:r>
    </w:p>
    <w:p w14:paraId="5981E78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79AF3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вышел ДИ-6МММ (малая модификация штурмовика). Один экземпляр на Х двигатель, который так и не появился (92,481).</w:t>
      </w:r>
    </w:p>
    <w:p w14:paraId="3E81A1C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E277E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ББ-1, претерпев ряд доработок, был выпущен с двигателем М-88 мощностью 1100 л. с., а потом и с М-88Б с трехлопастным винтом ВИШ-23-7. В таком варианте, под обозначением Су-2 (с 9 декабря 1940 г.), самолет серийно строился по кооперации на двух авиазаводах № 135 и 207. Кроме того, небольшое количество Су-2 было построено 289 и 292-м авиазаводами. Отметим, что после проведения войсковых испытаний перед принятием на вооружение Нарком обороны С. К. Тимошенко потребовал приспособить ББ-1 М-88 для бомбометания с пикирования. Но руководство НКАП пообещало решить эту задачу позднее, конечно же, так ничего и не сделав в этом направлении (9649).</w:t>
      </w:r>
    </w:p>
    <w:p w14:paraId="1C36351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6A057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в связи с тем, что задача борьбы с наступающими бронетанковыми силами противника в качестве основной для самолета-штурмовика, как, в прочем, и для авиации в целом, общевойсковыми командирами не ставилась, УВВС не была поддержана инициатива НКАП 1940 г. года по разработке двухмоторного пушечного штурмовика.</w:t>
      </w:r>
    </w:p>
    <w:p w14:paraId="303E2C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Поиском оптимальной тактики боевого применения авиации применительно к решаемым армейскими группировками боевым задачам специалисты ВВС в это время совершенно не занимались.</w:t>
      </w:r>
    </w:p>
    <w:p w14:paraId="5C317C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Вследствие этого, не получили развития и работы по определению оптимального облика перспективного самолета поля боя (конструктивная схема машины, число моторов, состав экипажа, состав вооружения и схема его размещения на самолете, минимально необходимый размер боекомплекта и т. д.), способного эффективно решать боевые задачи непосредственной авиационной поддержки войск.</w:t>
      </w:r>
    </w:p>
    <w:p w14:paraId="717CB0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Концепция же двухмоторного бронированного штурмовика для самолета поля боя выглядит более предпочтительной, так как позволяет, если не избежать полностью, то хотя бы уменьшить все недостатки одномоторного штурмовика.</w:t>
      </w:r>
    </w:p>
    <w:p w14:paraId="5781CD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Идея использования в составе ВВС двух типов бронированных машин штурмовой авиации - легкого одномоторного (в том числе «умеющего» бомбить и стрелять с пикирования) и тяжелого двухмоторного штурмовиков, для решения задач непосредственной авиационной поддержки войск в обороне и наступлении (контрнаступлении) представляется оптимальной для условий боевых действий Второй мировой войны.</w:t>
      </w:r>
    </w:p>
    <w:p w14:paraId="29AF00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использование двухмоторных слабобронированных пушечных истребителей и многоцелевых самолетов с центральным расположением оружия, также могло дать определенный эффект в начальный период войны.</w:t>
      </w:r>
    </w:p>
    <w:p w14:paraId="39A4F2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Лишь накануне войны руководство страны и Красной армии все же пришло к пониманию необходимости незамедлительной постройки и постановки на вооружение тяжелого двухмоторного бронированного штурмовика или многоцелевого истребителя с мощным пушечным вооружением, обеспечивающим поражение легких и средних танков вермахта (9649).</w:t>
      </w:r>
    </w:p>
    <w:p w14:paraId="07F4B31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1872005"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1940 г. Поликарпов предложил исполь</w:t>
      </w:r>
      <w:r w:rsidRPr="00A3026E">
        <w:rPr>
          <w:rFonts w:ascii="Times New Roman" w:hAnsi="Times New Roman"/>
          <w:color w:val="000000" w:themeColor="text1"/>
          <w:sz w:val="16"/>
          <w:szCs w:val="16"/>
        </w:rPr>
        <w:softHyphen/>
        <w:t>зовать И—15бис в качестве пикирующего бом</w:t>
      </w:r>
      <w:r w:rsidRPr="00A3026E">
        <w:rPr>
          <w:rFonts w:ascii="Times New Roman" w:hAnsi="Times New Roman"/>
          <w:color w:val="000000" w:themeColor="text1"/>
          <w:sz w:val="16"/>
          <w:szCs w:val="16"/>
        </w:rPr>
        <w:softHyphen/>
        <w:t>бардировщика с подвеской под фюзеляжем бомбы весом 100 кг. Для вывода бомбы за диск вращающегося винта был разработан специ</w:t>
      </w:r>
      <w:r w:rsidRPr="00A3026E">
        <w:rPr>
          <w:rFonts w:ascii="Times New Roman" w:hAnsi="Times New Roman"/>
          <w:color w:val="000000" w:themeColor="text1"/>
          <w:sz w:val="16"/>
          <w:szCs w:val="16"/>
        </w:rPr>
        <w:softHyphen/>
        <w:t>альный подвижный держатель ПБ—ЗА. Прове</w:t>
      </w:r>
      <w:r w:rsidRPr="00A3026E">
        <w:rPr>
          <w:rFonts w:ascii="Times New Roman" w:hAnsi="Times New Roman"/>
          <w:color w:val="000000" w:themeColor="text1"/>
          <w:sz w:val="16"/>
          <w:szCs w:val="16"/>
        </w:rPr>
        <w:softHyphen/>
        <w:t>денные испытания показали, что с бомбой ФАБ—50 результаты вполне удовлетворитель</w:t>
      </w:r>
      <w:r w:rsidRPr="00A3026E">
        <w:rPr>
          <w:rFonts w:ascii="Times New Roman" w:hAnsi="Times New Roman"/>
          <w:color w:val="000000" w:themeColor="text1"/>
          <w:sz w:val="16"/>
          <w:szCs w:val="16"/>
        </w:rPr>
        <w:softHyphen/>
        <w:t>ные. Однако стандартная ФАБ—100 при подве</w:t>
      </w:r>
      <w:r w:rsidRPr="00A3026E">
        <w:rPr>
          <w:rFonts w:ascii="Times New Roman" w:hAnsi="Times New Roman"/>
          <w:color w:val="000000" w:themeColor="text1"/>
          <w:sz w:val="16"/>
          <w:szCs w:val="16"/>
        </w:rPr>
        <w:softHyphen/>
        <w:t>ске на И—15бис задевала стабилизатором грунт, поэтому дальнейшего развития предложение не получило. В 1939—1940 гг. предполагалось использо</w:t>
      </w:r>
      <w:r w:rsidRPr="00A3026E">
        <w:rPr>
          <w:rFonts w:ascii="Times New Roman" w:hAnsi="Times New Roman"/>
          <w:color w:val="000000" w:themeColor="text1"/>
          <w:sz w:val="16"/>
          <w:szCs w:val="16"/>
        </w:rPr>
        <w:softHyphen/>
        <w:t>вание И—15бис среди различных вариантов «самолета—звена» конструктора Вахмистрова. Имелись проекты АНТ-44+2И-15бис и ГСТ+2И—15бис. Как и многие другие предло</w:t>
      </w:r>
      <w:r w:rsidRPr="00A3026E">
        <w:rPr>
          <w:rFonts w:ascii="Times New Roman" w:hAnsi="Times New Roman"/>
          <w:color w:val="000000" w:themeColor="text1"/>
          <w:sz w:val="16"/>
          <w:szCs w:val="16"/>
        </w:rPr>
        <w:softHyphen/>
        <w:t>жения подобного типа, данная схема «звена» детально не прорабатывалась (10547).</w:t>
      </w:r>
    </w:p>
    <w:p w14:paraId="47E42F2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7F245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БШ-1 прошел испытания в НИИ ГВФ и получил гражданское обозначение ПС-43, но летчики, зная о происхождении.этой машины, продолжали называть ее "Вульти". На ПС-43 - гражданской модификации Валти - летал А.А.Колосов (3457,43).</w:t>
      </w:r>
    </w:p>
    <w:p w14:paraId="446CF11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269BF7F"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В 1940 г. машина БШ-1 прошла испытания в НИИ ГВФ, на ней летал А.А.Колосов. На 15 июня "Аэрофлот" принял уже 23 самолета, но летать могли не все. Простоявшие два года под открытым небом машины нуждались в ремонте. Из-за этого и из-за нехватки двигателей в конце 1940 г. 16 ПС-43 пришлось законсервировать. Тем не менее в конце 1940 - начале 1941 годов ПС-43 стали поступать в различные управления ГВФ. В частности, они эксплуатировались на авиалиниях Москва-Киев, Москва-Ташкент и Киев-Одесса. </w:t>
      </w:r>
    </w:p>
    <w:p w14:paraId="4DE43132"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Гражданские летчики приняли машину хорошо, вполне одобряя удобную кабину с продуманным размещением приборов, относительно надежные механизмы уборки и выпуска шасси. Появилось предложение переделать часть ПС-43 в пассажирские на шесть мест. </w:t>
      </w:r>
    </w:p>
    <w:p w14:paraId="46401EA2"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С началом Великой Отечественной войны ПС-43 вместе с другими самолетами "Аэрофлота" привлекли к военно-транспортным перевозкам. С 25 июня 1941 г. начали формировать особые авиагруппы и отряды, придававшиеся фронтам и флотам. Первые два ПС-43, принадлежавшие ранее Украинскому управлению ГВФ, вошли в состав Киевской авиагруппы. К 1 июля они уже были потеряны, но группа получила третью машину. </w:t>
      </w:r>
    </w:p>
    <w:p w14:paraId="24E41408"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Один ПС-43 непонятным образом оказался в 69-м истребительном полку, действовавшем под Одессой. Его включили в созданную в полку нештатную штурмовую эскадрилью. Как и чем вооружили этот самолет -неизвестно. Он действовал совместно с четырьмя Ил-2, одним Р-5 и бывшим югославским бомбардировщиком "Савойя" S.79. </w:t>
      </w:r>
    </w:p>
    <w:p w14:paraId="5CE12EF4"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При эвакуации из Одессы в октябре 1941 г. машину перегнали в Крым, но на посадке произошла авария. Пилот майор Рыкачев и пассажиры не пострадали, а самолет пришлось списать (11470).</w:t>
      </w:r>
    </w:p>
    <w:p w14:paraId="45D31B62" w14:textId="77777777" w:rsidR="0014077F" w:rsidRPr="00A3026E" w:rsidRDefault="0014077F" w:rsidP="00A3026E">
      <w:pPr>
        <w:pStyle w:val="af2"/>
        <w:jc w:val="both"/>
        <w:rPr>
          <w:i w:val="0"/>
          <w:iCs w:val="0"/>
          <w:color w:val="000000" w:themeColor="text1"/>
          <w:spacing w:val="0"/>
          <w:kern w:val="0"/>
          <w:position w:val="0"/>
          <w:sz w:val="16"/>
          <w:szCs w:val="16"/>
          <w:lang w:val="ru-RU"/>
        </w:rPr>
      </w:pPr>
    </w:p>
    <w:p w14:paraId="4ECE692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А.А.А. просил А.И.Шахурина доложить о проекте Т - одномоторного пикирующего. Сделать было негде. А.С.Я. предложил А.А.А. помочь Можаровскому и Веневидову - ОКБ А.А.А. переехало на этот завод. Ничего не получилось (77,166).</w:t>
      </w:r>
    </w:p>
    <w:p w14:paraId="5FA4BBE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DC8A8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недалеко от ст. Ижора Кировской ж/д в системе 1ГУ НКАП был образован (Завод № 381 НКАП, МАП /г. Ленинград ст. Ижора;  г. Нижний Тагил Свердловской обл.;  г. Москва Ленинградское ш., 31/33/) для производства Ил-2. Будущему заводу в соответствии с пост. СНК № 1369-385с от 26.07.1940 г. и приказом № 418сс от 12.08.1940 г. была отведена большая площадь на территории завода «Ленкранстрой» НКСМ, который вошел в состав завода № 381, а также еще три территории, действовавшие как филиалы: Ремонтно-механический завод НКПС, корпус завода «Красный металлист» НКТМ и корпус завода подъемных сооружений им. Кирова НКТМ.</w:t>
      </w:r>
    </w:p>
    <w:p w14:paraId="25EA1B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НКАП от 3.10.1940 г. на заводе запущен в серию двухместный БШ-2 с АМ-35 с выпуском в 1940 г. 10 машин. Этим же приказом Ильюшина обязали передать заводу к 1 ноября БШ-2 № 2, а к 5 ноября- всю техдокументацию. Приказ выполнен не был. Приказами НКАП от 7.01.1941 г. и от 14.02.1941 г. в серию был запущен одноместный Ил-2 с АМ-38, план на 1941 г. - 300 машин.</w:t>
      </w:r>
    </w:p>
    <w:p w14:paraId="211B95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262сс от 22.03.1941 г. завод передан в ЮГУ НКАП.</w:t>
      </w:r>
    </w:p>
    <w:p w14:paraId="3A3919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06.1941 г. на завод № 381 из ОКБ завода № 39 переведена группа конструкторов во главе с В.Н. Бугайским для освоения производства Ил-2, затем из ОКБ переведено еще 30 чел. Бугайский назначен зам. гл. конструктора по Ил-2.</w:t>
      </w:r>
    </w:p>
    <w:p w14:paraId="3B9DDD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начала войны была объединена производственная деятельность заводов № 381 и № 380 для обеспечения выполнения программы выпуска Ил-2.</w:t>
      </w:r>
    </w:p>
    <w:p w14:paraId="324FEF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729 от 1941 г. завод был эвакуирован в Нижний Тагил на часть площадки Уралвагонзавода. Переезд проходил с 1.07 по 5.08.1941 г. По приказу № 675с от 14.07.1941 г. в состав завода № 381 был влит эвакуированный завод № 380 НКАП. По приказу № 79сс от 26.01.1942 г. на завод № 381 передана часть оборудования и кадров расформированного завода № 135 НКАП.</w:t>
      </w:r>
    </w:p>
    <w:p w14:paraId="3FA4E8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559 от 22.08.1941 г. заводу поручено производство Ил-2. Пост. ГКО № 1376сс от 3.03.1942 г. заводу утвержден суточный план на 03.1942 г. по выпуску Ил-2: с 1 по 10 марта - 5 машин, с 11 по 20 - 7 и с 21 по 31 - 8 машин. Пост. ГКО № 2378 от 7.10.1942 г. и приказом НКАП № 763 от 10.10.1942 г. производство Ил-2 прекращено, и завод перешел на выпуск Ла-5.</w:t>
      </w:r>
    </w:p>
    <w:p w14:paraId="3474B9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1502 от 28.03.1942 г. на заводе запускался в серию Ил-2 с М-82ИР с выпуском 1-й серийной машины к 1.05.1942 г. Однако пост. ГКО № 1658 от 26.04.1942 г. все работы по Ил-2 с М-82ИР были прекращены, продолжен выпуск Ил-2 с АМ-38.</w:t>
      </w:r>
    </w:p>
    <w:p w14:paraId="7D0B5C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3028сс от 12.03.1943 г. и приказом № 175сс/161сс от 20.03.1943 г. площадка завода № 381 1ГУ НКАП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37EA84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3AE76F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5BBB4D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 это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3B96F8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1943 г. на заводе организован филиал ОКБ-21 С.А. Лавочкина.</w:t>
      </w:r>
    </w:p>
    <w:p w14:paraId="29BFFB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452469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20F098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490E1B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3D4AA3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1.12.1946 г. завод передан из 1ГУ в ЮГУ, затем с 1.11.1948 г. обратно, из ЮГУ в 1ГУ.</w:t>
      </w:r>
    </w:p>
    <w:p w14:paraId="736227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1797D7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372AC6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(05.1943-10.1946 г.)- П.Д. Грушин, (1947 г.)- В.И. Засульский.</w:t>
      </w:r>
    </w:p>
    <w:p w14:paraId="7F0201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цехов: (1945 г.)- А.К. Кулагин.</w:t>
      </w:r>
    </w:p>
    <w:p w14:paraId="0B0F7B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 самолеты:</w:t>
      </w:r>
      <w:r w:rsidRPr="00A3026E">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6C05421E" w14:textId="77777777" w:rsidR="0014077F" w:rsidRPr="00A3026E" w:rsidRDefault="0014077F"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Cs/>
          <w:color w:val="000000" w:themeColor="text1"/>
          <w:sz w:val="16"/>
          <w:szCs w:val="16"/>
        </w:rPr>
        <w:t>Заводской номер: Ил-2 М 381355 (11982).</w:t>
      </w:r>
    </w:p>
    <w:p w14:paraId="20C6792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9238B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задание по выпуску ДБ-3Т дали многострадальному заводу №126 (7576).</w:t>
      </w:r>
    </w:p>
    <w:p w14:paraId="63BE3E2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46439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производство новой модификации ДБ-3 начал осваивать завод № 126. Но сдавать самолеты этого типа стали только со следующего года. Машины из Комсомольска немного отличались от московских и воронежских. Бензобаки имели иные габариты и несколько большую емкость. Например, консольный - вместо 1055 л вмещал 1076 л, а центропланные по объему совпадали, но имели другие размеры. На заводе №126 позднее внедрили МВ-2, МВ-3 и систему нейтрального газа (7494).</w:t>
      </w:r>
    </w:p>
    <w:p w14:paraId="63FD3A0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4A840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Всего за 1940 г. изготовили 1106 ДБ-3, незначительную долю из них с М-88. Последних было бы больше, если бы не приостановка производства М-88 в августе-ноябре. Сборку двигателей прекратили и возобновили только после ликвидации основных дефектов и усовершенствования технологии. После этого начала выпускаться модификация М-88Б. На ней усилили шатуны и поршень, опять увеличили площадь оребрения головок и гильз, усовершенствовали масло- систему и </w:t>
      </w:r>
      <w:r w:rsidRPr="00A3026E">
        <w:rPr>
          <w:rFonts w:ascii="Times New Roman" w:hAnsi="Times New Roman"/>
          <w:color w:val="000000" w:themeColor="text1"/>
          <w:sz w:val="16"/>
          <w:szCs w:val="16"/>
        </w:rPr>
        <w:lastRenderedPageBreak/>
        <w:t>карбюратор. Практически все лето и осень собирались только самолеты с М-87. Лишь 28 ноября через приемку на заводе № I8 прошли три бомбардировщика с М-88 (12021).</w:t>
      </w:r>
    </w:p>
    <w:p w14:paraId="45C95C5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0E27EBA" w14:textId="77777777" w:rsidR="00C76E65" w:rsidRPr="00A3026E" w:rsidRDefault="00C76E6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 xml:space="preserve">В 1940 - первой половине 1941 годов выполнялись полеты </w:t>
      </w:r>
      <w:r w:rsidRPr="00A3026E">
        <w:rPr>
          <w:rStyle w:val="aff8"/>
          <w:rFonts w:ascii="Times New Roman" w:hAnsi="Times New Roman" w:cs="Times New Roman"/>
          <w:color w:val="0070C0"/>
          <w:spacing w:val="0"/>
          <w:sz w:val="16"/>
          <w:szCs w:val="16"/>
        </w:rPr>
        <w:t>ДБ-ЗЛЛ,</w:t>
      </w:r>
      <w:r w:rsidRPr="00A3026E">
        <w:rPr>
          <w:rFonts w:ascii="Times New Roman" w:hAnsi="Times New Roman"/>
          <w:color w:val="0070C0"/>
          <w:sz w:val="16"/>
          <w:szCs w:val="16"/>
        </w:rPr>
        <w:t xml:space="preserve"> пред</w:t>
      </w:r>
      <w:r w:rsidRPr="00A3026E">
        <w:rPr>
          <w:rFonts w:ascii="Times New Roman" w:hAnsi="Times New Roman"/>
          <w:color w:val="0070C0"/>
          <w:sz w:val="16"/>
          <w:szCs w:val="16"/>
        </w:rPr>
        <w:softHyphen/>
        <w:t>назначавшийся для изучения в полете различных профилей крыла, переобору</w:t>
      </w:r>
      <w:r w:rsidRPr="00A3026E">
        <w:rPr>
          <w:rFonts w:ascii="Times New Roman" w:hAnsi="Times New Roman"/>
          <w:color w:val="0070C0"/>
          <w:sz w:val="16"/>
          <w:szCs w:val="16"/>
        </w:rPr>
        <w:softHyphen/>
        <w:t>дованный в ЛИИ из серийного ДБ-ЗБ. Над фюзеляжем была установлена конструк</w:t>
      </w:r>
      <w:r w:rsidRPr="00A3026E">
        <w:rPr>
          <w:rFonts w:ascii="Times New Roman" w:hAnsi="Times New Roman"/>
          <w:color w:val="0070C0"/>
          <w:sz w:val="16"/>
          <w:szCs w:val="16"/>
        </w:rPr>
        <w:softHyphen/>
        <w:t>ция, к которой вертикально крепились различные модели крыльев.</w:t>
      </w:r>
    </w:p>
    <w:p w14:paraId="4C248939" w14:textId="77777777" w:rsidR="00C76E65" w:rsidRPr="00A3026E" w:rsidRDefault="00C76E65" w:rsidP="00A3026E">
      <w:pPr>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В 1941 г. был оборудован другой по</w:t>
      </w:r>
      <w:r w:rsidRPr="00A3026E">
        <w:rPr>
          <w:rFonts w:ascii="Times New Roman" w:hAnsi="Times New Roman"/>
          <w:color w:val="0070C0"/>
          <w:sz w:val="16"/>
          <w:szCs w:val="16"/>
        </w:rPr>
        <w:softHyphen/>
        <w:t>добный самолет, предназначенный для изучения тел вращения. Начало войны прервало работы в данном направлении (19944).</w:t>
      </w:r>
    </w:p>
    <w:p w14:paraId="30B13FE0" w14:textId="77777777" w:rsidR="00C76E65" w:rsidRPr="00A3026E" w:rsidRDefault="00C76E65" w:rsidP="00A3026E">
      <w:pPr>
        <w:spacing w:after="0" w:line="240" w:lineRule="auto"/>
        <w:jc w:val="both"/>
        <w:rPr>
          <w:rFonts w:ascii="Times New Roman" w:hAnsi="Times New Roman"/>
          <w:color w:val="0070C0"/>
          <w:sz w:val="16"/>
          <w:szCs w:val="16"/>
        </w:rPr>
      </w:pPr>
    </w:p>
    <w:p w14:paraId="58E87E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не дожидаясь окончания госиспытаний, заводу № 18 выдали заказ на 70 ДБ-240 с моторами М-105. В соответствии с приказом НКАП от 9 декабря 1940 г. ДБ-240 переименовали в Ер-2, и в следующем году бомбардировщики стали покидать сборочный цех. В апреле выпустили первые семь самолетов, в мае - десять. В июле производство бомбардировщиков завершилось выпуском 71-й машины. Устранение дефектов и учет замечаний заказчика на серийных Ер-2 привело к их незначительному отличию от прототипа. В частности, изменились выхлопные патрубки моторов и установка антенны связной радиостанции, был расширен люк в кабине штурмана. Видимо, уже во время войны ту- рельный пулемет БТ заменили ШIKAСом, а экипаж сократили до трех человек. Пришлось устранять падение давления бензина, вызывавшее перебои в работе моторов из-за подсоса в топливную систему воздуха из пустых крыльевых баков, и дефекты шасси. Были и другие доработки.</w:t>
      </w:r>
    </w:p>
    <w:p w14:paraId="6A3E49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Ослабление оборонительного вооружения быстро дало о себе знать в боях, и вскоре его усилили, вернувшись к первоначальной схеме. Летные характеристики серийных самолетов практически не изменились. Исключением стала максимальная скорость, снизившаяся до 430 км/ч из-за неубирающейся верхней стрелковой установки.</w:t>
      </w:r>
    </w:p>
    <w:p w14:paraId="7292332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успешного воплощения концепции самолета "Сталь-7 в бомбардировщике Ер-2, - вспоминал сподвижник Бартини инженер В.П. Казневский, - имели место суждения, что мол, Ер-2 хороший самолет, но он скопирован Ермолаевым с самолета Бартини, а носит имя Ермолаева, или еще хуже: Ермолаеву было легко это присвоить, ведь Бартини тогда находился в заключении.</w:t>
      </w:r>
    </w:p>
    <w:p w14:paraId="6DC1575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и в этой ситуации Роберт Людвигович остался на высоте. Он сказал мне: "Я бесконечно благодарен Володе Ермолаеву, ведь получился неплохой бомбардировщик, - и добавил: - Он - молодец. Страна в годы тяжелых испытаний получила сильное оружие против фашистов. А это главное!" (11994).</w:t>
      </w:r>
    </w:p>
    <w:p w14:paraId="2D40FF0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1844F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в серийное производство СБ заводом №125 были внедрены следующие изменения:</w:t>
      </w:r>
    </w:p>
    <w:p w14:paraId="3BE0AA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Поставлены шторки из оргстекла на фонаре Ф1</w:t>
      </w:r>
    </w:p>
    <w:p w14:paraId="34FEC9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Поставлены обтекатели на кронштейны оперения и элеронов</w:t>
      </w:r>
    </w:p>
    <w:p w14:paraId="2D8B5D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 Поставлены убирающиеся зеркала обзора задней полусферы летчика</w:t>
      </w:r>
    </w:p>
    <w:p w14:paraId="56820F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Сделаны дополнительные окна для штурмана в Ф1</w:t>
      </w:r>
    </w:p>
    <w:p w14:paraId="56944D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Установлено питание б/баков нейтральным газом от баллона</w:t>
      </w:r>
    </w:p>
    <w:p w14:paraId="12679A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Поставлен биметаллический термометр воздуха</w:t>
      </w:r>
    </w:p>
    <w:p w14:paraId="2BB084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 Поставлена металлическая аптечка</w:t>
      </w:r>
    </w:p>
    <w:p w14:paraId="2DC947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 Поставлена турель МВ-3 вместо ТУР-9</w:t>
      </w:r>
    </w:p>
    <w:p w14:paraId="1DD9C8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 Установлена подвеска для сбрасываемых б/баков</w:t>
      </w:r>
    </w:p>
    <w:p w14:paraId="46F1DD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 Изменена система бензопитания для пользования подвесными б/баками</w:t>
      </w:r>
    </w:p>
    <w:p w14:paraId="47C256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Увеличен маслобак до 90 кг</w:t>
      </w:r>
    </w:p>
    <w:p w14:paraId="057628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Установлены моторы М-103У на две серии</w:t>
      </w:r>
    </w:p>
    <w:p w14:paraId="20F811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 Установлены моторы М-103А</w:t>
      </w:r>
    </w:p>
    <w:p w14:paraId="67D60C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 Произведено окольцевание бензопитания моторов</w:t>
      </w:r>
    </w:p>
    <w:p w14:paraId="19B690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 Увеличен диаметр маслопровода</w:t>
      </w:r>
    </w:p>
    <w:p w14:paraId="0BDF0C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 Установлены винты ВИШ-22 с Р-2</w:t>
      </w:r>
    </w:p>
    <w:p w14:paraId="06E4E6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 Установлены РПК-2</w:t>
      </w:r>
    </w:p>
    <w:p w14:paraId="166CEA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Поставлены противопожарные перегородки в центроплане</w:t>
      </w:r>
    </w:p>
    <w:p w14:paraId="6B7ECD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 Поставлен газоанализатор</w:t>
      </w:r>
    </w:p>
    <w:p w14:paraId="7A9935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Кислородные 4-х литровые баллоны заменены 8-ми литровыми</w:t>
      </w:r>
    </w:p>
    <w:p w14:paraId="62985D2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Поставлена фотоустановка АФА-13</w:t>
      </w:r>
    </w:p>
    <w:p w14:paraId="0A3A68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Установлены держатели наружной подвески ДЕР-19</w:t>
      </w:r>
    </w:p>
    <w:p w14:paraId="7DB96D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Поставлены посадочные фары</w:t>
      </w:r>
    </w:p>
    <w:p w14:paraId="4DBD5E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 Введено гидроуправление посадочными щитками</w:t>
      </w:r>
    </w:p>
    <w:p w14:paraId="74F23F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Осуществлена возможность установки мотора М-105 и управления второй скоростью нагнетателя</w:t>
      </w:r>
    </w:p>
    <w:p w14:paraId="0C7F683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Заменена помпа АК-2 на АК-4</w:t>
      </w:r>
    </w:p>
    <w:p w14:paraId="0ECDDB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 Поставлена контрольная лампочка бортовых огней</w:t>
      </w:r>
    </w:p>
    <w:p w14:paraId="0A63D4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 Поставлены створчатые кабинные лампы</w:t>
      </w:r>
    </w:p>
    <w:p w14:paraId="32E481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 Поставлена сигнальная лампа отворен и я бомболюков</w:t>
      </w:r>
    </w:p>
    <w:p w14:paraId="0341DE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изменения требовали от заводских конструкторов оперативной работы, поскольку теми сдачи машин не должен был снижаться. К технологическим проблемам прибавлялись и вовсе уж одиозные - в начале ноября прибывший на завод летный состав проходил вывозку на учебном СБ и при посадке крепко "приложил" самолет. Отвечать за это предстояло военной приемке, но как быть со сдачей "но бою"? Как и предъявлять этот самый "бой"? В тот же день рулящий СБ наскочил на стоящий на стоянке еще не сданный самолет, в результате обе машины вышли из строя. Опять перепалки, взаимные обвинения... и поиски организационных мер, не допускающих повторения происшедшего.</w:t>
      </w:r>
    </w:p>
    <w:p w14:paraId="11030D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Учились все, и эта учеба в самом ближайшем будущем очень пригодилась. Объем производства в 1940 г. составил 375 самолетов СБ-2М-ЮЗ и 38 груипкомплектов при плане в 350 самолетов и 35 груипкомплектов (12037).</w:t>
      </w:r>
    </w:p>
    <w:p w14:paraId="3D16B40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B0591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1940 г. завод № 124 должен был сдать 15 машин: две с моторами АМ-34+АЦН, десять с АМ-35М и по одной с дизелями М-40, М-40Ф и М-30. На 1941 г. планировались к сдаче 70 машин, все с моторами М-40Ф. Однако, несмотря на уверенный тон приказов, созданные дизели не оправдали надежд, как, впрочем, и во всем авиационном мире. В очередной раз немцы сбили наших конструкторов с толку. Хотя в Германии и проводились интенсивные исследования по авиадизелям, но их массового внедрения в самолетостроение не произошло. Тогда как у нас попытки ставить ненадежные дизели на ТБ-7 и Ер-2 продолжались до конца войны (12049).</w:t>
      </w:r>
    </w:p>
    <w:p w14:paraId="0FAB488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90AD8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вслед за появлением самолета "103-У" заключенные конструкторы предложили его дальний вариант "103-Д" с двигателями АМ-37. Внешне дальний бомбардировщик отличался лишь большим крылом, размах которого возрос до 22 м, а площадь - до 14,515 м2. Однако заказчик это предложение не принял, поскольку недавно на вооружение уже поступил самолет ДБ-ЗФ, а в ЦКБ-29 под руководством В.М. Мясищева разрабатывалась более перспективная машина ДВБ-102 с герметичными кабинами экипажа. К варианту Ту-2 с повышенной дальностью полета вернулись лишь в 1943 году, после освоения серийного производства фронтового бомбардировщика Ту-2С на заводе № 23 в Москве (12035).</w:t>
      </w:r>
    </w:p>
    <w:p w14:paraId="700F8FF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DB6B42F" w14:textId="77777777" w:rsidR="00B97444" w:rsidRPr="00A3026E" w:rsidRDefault="00B97444"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1940 году в Полярную авиацию переданы для дальнейшего использования два самолёта «СБ» и зарегистрированы с бортовыми номерами УПА ГУСМП как </w:t>
      </w:r>
      <w:hyperlink r:id="rId199" w:tgtFrame="_blank" w:history="1">
        <w:r w:rsidRPr="00A3026E">
          <w:rPr>
            <w:rFonts w:ascii="Times New Roman" w:hAnsi="Times New Roman"/>
            <w:color w:val="000000" w:themeColor="text1"/>
            <w:sz w:val="16"/>
            <w:szCs w:val="16"/>
          </w:rPr>
          <w:t xml:space="preserve">«ПС-41» </w:t>
        </w:r>
      </w:hyperlink>
      <w:r w:rsidRPr="00A3026E">
        <w:rPr>
          <w:rFonts w:ascii="Times New Roman" w:hAnsi="Times New Roman"/>
          <w:color w:val="000000" w:themeColor="text1"/>
          <w:sz w:val="16"/>
          <w:szCs w:val="16"/>
        </w:rPr>
        <w:t>«СССР-Н304» и «ПС-41» «СССР-Н305». При этом их перекрасили в оранжевый и синий цвета. Такая окраска, принятая в Полярной авиации, позволяла хорошо различать самолёт на фоне белого снега в случае вынужденной посадки. Дополнительным внешним отличием этих самолётов стала рамка радиокомпаса над кабиной штурмана и нестандартная стойка радиоантенны (15048).</w:t>
      </w:r>
    </w:p>
    <w:p w14:paraId="552B477D" w14:textId="77777777" w:rsidR="00B97444" w:rsidRPr="00A3026E" w:rsidRDefault="00B97444" w:rsidP="00A3026E">
      <w:pPr>
        <w:spacing w:after="0" w:line="240" w:lineRule="auto"/>
        <w:jc w:val="both"/>
        <w:rPr>
          <w:rFonts w:ascii="Times New Roman" w:hAnsi="Times New Roman"/>
          <w:color w:val="000000" w:themeColor="text1"/>
          <w:sz w:val="16"/>
          <w:szCs w:val="16"/>
        </w:rPr>
      </w:pPr>
    </w:p>
    <w:p w14:paraId="2011D7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испытывался ДБ-ЛК В.Н.Беляева (4,37). 6 полетов (4,40).</w:t>
      </w:r>
    </w:p>
    <w:p w14:paraId="6793CFF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C9D3E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моторам в 1940 ДБ-ЛК с М-87Б и М-88, бомбовой нагрузке, массе - 9061 кг - полетная и 10672 кг перегрузочная, скорости - 488 км/ч на 5100 и дальности 1270-2900 км - был похож на ДБ-3М. Признали, что не прошел гос. испытания из-за плохого обзора летчика и штурмана при наводке на цель. Сделали второй с М-71. Война прекратила работы (4,40).</w:t>
      </w:r>
    </w:p>
    <w:p w14:paraId="276F8D7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D931A3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1940 г. другие два экземпляра ДИТ (двухместный И-15бис) направили в район Севастополя. В дальнейшем они участ</w:t>
      </w:r>
      <w:r w:rsidRPr="00A3026E">
        <w:rPr>
          <w:rFonts w:ascii="Times New Roman" w:hAnsi="Times New Roman"/>
          <w:color w:val="000000" w:themeColor="text1"/>
          <w:sz w:val="16"/>
          <w:szCs w:val="16"/>
        </w:rPr>
        <w:softHyphen/>
        <w:t>вовали в боевых действиях. Известно, что два ДИТ использовались в качестве разведчиков и корректировщиков артогня на Южном фронте в районе Новороссийска в 1942—1943 гг. Окра</w:t>
      </w:r>
      <w:r w:rsidRPr="00A3026E">
        <w:rPr>
          <w:rFonts w:ascii="Times New Roman" w:hAnsi="Times New Roman"/>
          <w:color w:val="000000" w:themeColor="text1"/>
          <w:sz w:val="16"/>
          <w:szCs w:val="16"/>
        </w:rPr>
        <w:softHyphen/>
        <w:t>шены они были, согласно воспоминаниям оче</w:t>
      </w:r>
      <w:r w:rsidRPr="00A3026E">
        <w:rPr>
          <w:rFonts w:ascii="Times New Roman" w:hAnsi="Times New Roman"/>
          <w:color w:val="000000" w:themeColor="text1"/>
          <w:sz w:val="16"/>
          <w:szCs w:val="16"/>
        </w:rPr>
        <w:softHyphen/>
        <w:t>видцев, мелкими пятнами песочного цвета (10547).</w:t>
      </w:r>
    </w:p>
    <w:p w14:paraId="0F60D5B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0F2C5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выпуск "Чаек" был максимальным, и все эти сотни построенных самолетов поступили в многочисленные войсковые соединения как совершенно новая техника. Вот как выглядели поставки И-153 по месяцам 1940 г. с указанием частей и мест назначения (Таблица на след. странице). В отношении получателей нет единой классификации, в документах указывались не только авиаполки, но и аэродромы, базы и комендатуры.</w:t>
      </w:r>
    </w:p>
    <w:p w14:paraId="4CA04B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 различные соединения ВВС всего поступило 2005 И-153. С учетом самолетов, поставленных в 1939 г., по состоянию на 20-25 сентября 1940 г. в частях ВВС Красной Армии насчитывалось 2135 И-153 М-62 и 304 И-53 М-63. В авиации Военно- морского флота в этот период находились 217 И-153 М-62 и 9 И-153 М-63. Впрочем, столь масштабные поставки в войска касались и другого истребителя конструкции Поликарпова - И-16.</w:t>
      </w:r>
    </w:p>
    <w:p w14:paraId="3C7C3F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Рост выпуска истребителей (в том числе и И-15бис) в течение трех предвоенных лет можно проследить по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tblGrid>
      <w:tr w:rsidR="00983732" w:rsidRPr="00A3026E" w14:paraId="415F5C70" w14:textId="77777777" w:rsidTr="00EA0DA7">
        <w:tc>
          <w:tcPr>
            <w:tcW w:w="2242" w:type="dxa"/>
            <w:tcBorders>
              <w:top w:val="single" w:sz="12" w:space="0" w:color="auto"/>
            </w:tcBorders>
          </w:tcPr>
          <w:p w14:paraId="058F2E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w:t>
            </w:r>
          </w:p>
        </w:tc>
        <w:tc>
          <w:tcPr>
            <w:tcW w:w="2242" w:type="dxa"/>
            <w:tcBorders>
              <w:top w:val="single" w:sz="12" w:space="0" w:color="auto"/>
            </w:tcBorders>
          </w:tcPr>
          <w:p w14:paraId="60EF50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 г.</w:t>
            </w:r>
          </w:p>
        </w:tc>
        <w:tc>
          <w:tcPr>
            <w:tcW w:w="2242" w:type="dxa"/>
            <w:tcBorders>
              <w:top w:val="single" w:sz="12" w:space="0" w:color="auto"/>
            </w:tcBorders>
          </w:tcPr>
          <w:p w14:paraId="57F7ED5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 г.</w:t>
            </w:r>
          </w:p>
        </w:tc>
        <w:tc>
          <w:tcPr>
            <w:tcW w:w="2242" w:type="dxa"/>
            <w:tcBorders>
              <w:top w:val="single" w:sz="12" w:space="0" w:color="auto"/>
            </w:tcBorders>
          </w:tcPr>
          <w:p w14:paraId="5D592E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w:t>
            </w:r>
          </w:p>
        </w:tc>
      </w:tr>
      <w:tr w:rsidR="00983732" w:rsidRPr="00A3026E" w14:paraId="399BAF3D" w14:textId="77777777" w:rsidTr="00EA0DA7">
        <w:tc>
          <w:tcPr>
            <w:tcW w:w="2242" w:type="dxa"/>
          </w:tcPr>
          <w:p w14:paraId="026A0F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1/М5бис</w:t>
            </w:r>
          </w:p>
        </w:tc>
        <w:tc>
          <w:tcPr>
            <w:tcW w:w="2242" w:type="dxa"/>
          </w:tcPr>
          <w:p w14:paraId="39D321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1104</w:t>
            </w:r>
          </w:p>
        </w:tc>
        <w:tc>
          <w:tcPr>
            <w:tcW w:w="2242" w:type="dxa"/>
          </w:tcPr>
          <w:p w14:paraId="73BFEE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1304</w:t>
            </w:r>
          </w:p>
        </w:tc>
        <w:tc>
          <w:tcPr>
            <w:tcW w:w="2242" w:type="dxa"/>
          </w:tcPr>
          <w:p w14:paraId="254094D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69BBAACB" w14:textId="77777777" w:rsidTr="00EA0DA7">
        <w:tc>
          <w:tcPr>
            <w:tcW w:w="2242" w:type="dxa"/>
          </w:tcPr>
          <w:p w14:paraId="249E7F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И-153</w:t>
            </w:r>
          </w:p>
        </w:tc>
        <w:tc>
          <w:tcPr>
            <w:tcW w:w="2242" w:type="dxa"/>
          </w:tcPr>
          <w:p w14:paraId="6F8FBC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2242" w:type="dxa"/>
          </w:tcPr>
          <w:p w14:paraId="784B05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1011</w:t>
            </w:r>
          </w:p>
        </w:tc>
        <w:tc>
          <w:tcPr>
            <w:tcW w:w="2242" w:type="dxa"/>
          </w:tcPr>
          <w:p w14:paraId="7119115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2362</w:t>
            </w:r>
          </w:p>
        </w:tc>
      </w:tr>
      <w:tr w:rsidR="00983732" w:rsidRPr="00A3026E" w14:paraId="5C9D212E" w14:textId="77777777" w:rsidTr="00EA0DA7">
        <w:tc>
          <w:tcPr>
            <w:tcW w:w="2242" w:type="dxa"/>
            <w:tcBorders>
              <w:bottom w:val="single" w:sz="12" w:space="0" w:color="auto"/>
            </w:tcBorders>
          </w:tcPr>
          <w:p w14:paraId="5F942C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И-16*</w:t>
            </w:r>
          </w:p>
        </w:tc>
        <w:tc>
          <w:tcPr>
            <w:tcW w:w="2242" w:type="dxa"/>
            <w:tcBorders>
              <w:bottom w:val="single" w:sz="12" w:space="0" w:color="auto"/>
            </w:tcBorders>
          </w:tcPr>
          <w:p w14:paraId="528597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716</w:t>
            </w:r>
          </w:p>
        </w:tc>
        <w:tc>
          <w:tcPr>
            <w:tcW w:w="2242" w:type="dxa"/>
            <w:tcBorders>
              <w:bottom w:val="single" w:sz="12" w:space="0" w:color="auto"/>
            </w:tcBorders>
          </w:tcPr>
          <w:p w14:paraId="69FF69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1147</w:t>
            </w:r>
          </w:p>
        </w:tc>
        <w:tc>
          <w:tcPr>
            <w:tcW w:w="2242" w:type="dxa"/>
            <w:tcBorders>
              <w:bottom w:val="single" w:sz="12" w:space="0" w:color="auto"/>
            </w:tcBorders>
          </w:tcPr>
          <w:p w14:paraId="067BF6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1607</w:t>
            </w:r>
          </w:p>
        </w:tc>
      </w:tr>
    </w:tbl>
    <w:p w14:paraId="130EC4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Указанное количество соответствует цифрам выпуска боевых И-16 без учета УТИ-4</w:t>
      </w:r>
    </w:p>
    <w:p w14:paraId="3893F2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Как следует из вышеприведенных данных, за три предвоенных года в войска поступило около десяти тысяч истребителей, причем едва ли не их половина - около четырех тысяч - в 1940-м году. Хотя эти аппараты по своим летным характеристикам и боевым возможностям уже не отвечали требованиям времени, однако вписывапись в некую теорию о "массовой" армии, которая должна была задавить любого врага, если не качеством, так количеством.</w:t>
      </w:r>
    </w:p>
    <w:p w14:paraId="1ECB20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практике титанические усилия авиапромышленности привели в основном к механическому накоплению вооружения (в данном случае истребителей), что в свою очередь повредило качеству. До 1940 г. большинство авиаполков комплектовалось сле- танным и неплохо подготовленным личным составом, многие пилоты имели боевой опыт, полученный в Испании. Китае и Монголии. Ускоренное формирование новых авиачастей в предвоенный год привело к тому, что часть летного состава изымалась из сплоченных кадровых соединений, в значительной степени ослабляя последние. Опытные воздушные бойцы занимали командные должности, однако, будучи хорошими пилотами, они зачастую оказывались заурядными командирами. Новые летчики выпускались авиашколами ускоренно, без необходимого налета и практических навыков, приобрести которые в строевых частях оказалось совсем непросто (12014).</w:t>
      </w:r>
    </w:p>
    <w:p w14:paraId="71AD55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Летно-технические характеристики И15бис и И-153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983732" w:rsidRPr="00A3026E" w14:paraId="35B88E0C" w14:textId="77777777" w:rsidTr="00EA0DA7">
        <w:tc>
          <w:tcPr>
            <w:tcW w:w="1401" w:type="dxa"/>
            <w:tcBorders>
              <w:top w:val="single" w:sz="12" w:space="0" w:color="auto"/>
            </w:tcBorders>
          </w:tcPr>
          <w:p w14:paraId="21B544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шшшшшш</w:t>
            </w:r>
          </w:p>
        </w:tc>
        <w:tc>
          <w:tcPr>
            <w:tcW w:w="1401" w:type="dxa"/>
            <w:tcBorders>
              <w:top w:val="single" w:sz="12" w:space="0" w:color="auto"/>
            </w:tcBorders>
          </w:tcPr>
          <w:p w14:paraId="421A3C8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0391FB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1</w:t>
            </w:r>
          </w:p>
        </w:tc>
        <w:tc>
          <w:tcPr>
            <w:tcW w:w="1401" w:type="dxa"/>
            <w:tcBorders>
              <w:top w:val="single" w:sz="12" w:space="0" w:color="auto"/>
            </w:tcBorders>
          </w:tcPr>
          <w:p w14:paraId="125C48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И-153</w:t>
            </w:r>
          </w:p>
        </w:tc>
        <w:tc>
          <w:tcPr>
            <w:tcW w:w="1401" w:type="dxa"/>
            <w:tcBorders>
              <w:top w:val="single" w:sz="12" w:space="0" w:color="auto"/>
            </w:tcBorders>
          </w:tcPr>
          <w:p w14:paraId="795A22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И-153</w:t>
            </w:r>
          </w:p>
        </w:tc>
        <w:tc>
          <w:tcPr>
            <w:tcW w:w="1401" w:type="dxa"/>
            <w:tcBorders>
              <w:top w:val="single" w:sz="12" w:space="0" w:color="auto"/>
            </w:tcBorders>
          </w:tcPr>
          <w:p w14:paraId="11E85B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И-153</w:t>
            </w:r>
          </w:p>
        </w:tc>
        <w:tc>
          <w:tcPr>
            <w:tcW w:w="1401" w:type="dxa"/>
            <w:tcBorders>
              <w:top w:val="single" w:sz="12" w:space="0" w:color="auto"/>
            </w:tcBorders>
          </w:tcPr>
          <w:p w14:paraId="1A17F4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И-153</w:t>
            </w:r>
          </w:p>
        </w:tc>
        <w:tc>
          <w:tcPr>
            <w:tcW w:w="1401" w:type="dxa"/>
            <w:tcBorders>
              <w:top w:val="single" w:sz="12" w:space="0" w:color="auto"/>
            </w:tcBorders>
          </w:tcPr>
          <w:p w14:paraId="240382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И-153</w:t>
            </w:r>
          </w:p>
        </w:tc>
      </w:tr>
      <w:tr w:rsidR="00983732" w:rsidRPr="00A3026E" w14:paraId="3E94A10C" w14:textId="77777777" w:rsidTr="00EA0DA7">
        <w:tc>
          <w:tcPr>
            <w:tcW w:w="1401" w:type="dxa"/>
          </w:tcPr>
          <w:p w14:paraId="042E377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401" w:type="dxa"/>
          </w:tcPr>
          <w:p w14:paraId="7C132A5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01" w:type="dxa"/>
          </w:tcPr>
          <w:p w14:paraId="064C68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№5001</w:t>
            </w:r>
          </w:p>
        </w:tc>
        <w:tc>
          <w:tcPr>
            <w:tcW w:w="1401" w:type="dxa"/>
          </w:tcPr>
          <w:p w14:paraId="3C5D83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№6005</w:t>
            </w:r>
          </w:p>
        </w:tc>
        <w:tc>
          <w:tcPr>
            <w:tcW w:w="1401" w:type="dxa"/>
          </w:tcPr>
          <w:p w14:paraId="6A9CB8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№6019</w:t>
            </w:r>
          </w:p>
        </w:tc>
        <w:tc>
          <w:tcPr>
            <w:tcW w:w="1401" w:type="dxa"/>
          </w:tcPr>
          <w:p w14:paraId="196B80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№6062</w:t>
            </w:r>
          </w:p>
        </w:tc>
        <w:tc>
          <w:tcPr>
            <w:tcW w:w="1401" w:type="dxa"/>
          </w:tcPr>
          <w:p w14:paraId="4C3CAF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№6566</w:t>
            </w:r>
          </w:p>
        </w:tc>
        <w:tc>
          <w:tcPr>
            <w:tcW w:w="1401" w:type="dxa"/>
          </w:tcPr>
          <w:p w14:paraId="4F34FB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№6540</w:t>
            </w:r>
          </w:p>
        </w:tc>
      </w:tr>
      <w:tr w:rsidR="00983732" w:rsidRPr="00A3026E" w14:paraId="6A128947" w14:textId="77777777" w:rsidTr="00EA0DA7">
        <w:tc>
          <w:tcPr>
            <w:tcW w:w="1401" w:type="dxa"/>
          </w:tcPr>
          <w:p w14:paraId="66F32FE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401" w:type="dxa"/>
          </w:tcPr>
          <w:p w14:paraId="1A82D7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w:t>
            </w:r>
          </w:p>
        </w:tc>
        <w:tc>
          <w:tcPr>
            <w:tcW w:w="1401" w:type="dxa"/>
          </w:tcPr>
          <w:p w14:paraId="288728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w:t>
            </w:r>
          </w:p>
        </w:tc>
        <w:tc>
          <w:tcPr>
            <w:tcW w:w="1401" w:type="dxa"/>
          </w:tcPr>
          <w:p w14:paraId="642306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дублер</w:t>
            </w:r>
          </w:p>
        </w:tc>
        <w:tc>
          <w:tcPr>
            <w:tcW w:w="1401" w:type="dxa"/>
          </w:tcPr>
          <w:p w14:paraId="2EAC95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опытн.</w:t>
            </w:r>
          </w:p>
        </w:tc>
        <w:tc>
          <w:tcPr>
            <w:tcW w:w="1401" w:type="dxa"/>
          </w:tcPr>
          <w:p w14:paraId="2DDF6D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серийн.</w:t>
            </w:r>
          </w:p>
        </w:tc>
        <w:tc>
          <w:tcPr>
            <w:tcW w:w="1401" w:type="dxa"/>
          </w:tcPr>
          <w:p w14:paraId="6F7182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лыжах</w:t>
            </w:r>
          </w:p>
        </w:tc>
        <w:tc>
          <w:tcPr>
            <w:tcW w:w="1401" w:type="dxa"/>
          </w:tcPr>
          <w:p w14:paraId="70A7A2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лыжах</w:t>
            </w:r>
          </w:p>
        </w:tc>
      </w:tr>
      <w:tr w:rsidR="00983732" w:rsidRPr="00A3026E" w14:paraId="1E89DA1E" w14:textId="77777777" w:rsidTr="00EA0DA7">
        <w:tc>
          <w:tcPr>
            <w:tcW w:w="1401" w:type="dxa"/>
          </w:tcPr>
          <w:p w14:paraId="642955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Двигатель</w:t>
            </w:r>
          </w:p>
        </w:tc>
        <w:tc>
          <w:tcPr>
            <w:tcW w:w="1401" w:type="dxa"/>
          </w:tcPr>
          <w:p w14:paraId="20B6F2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c>
          <w:tcPr>
            <w:tcW w:w="1401" w:type="dxa"/>
          </w:tcPr>
          <w:p w14:paraId="25800C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c>
          <w:tcPr>
            <w:tcW w:w="1401" w:type="dxa"/>
          </w:tcPr>
          <w:p w14:paraId="3C7DCB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М-25В</w:t>
            </w:r>
          </w:p>
        </w:tc>
        <w:tc>
          <w:tcPr>
            <w:tcW w:w="1401" w:type="dxa"/>
          </w:tcPr>
          <w:p w14:paraId="40E386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c>
          <w:tcPr>
            <w:tcW w:w="1401" w:type="dxa"/>
          </w:tcPr>
          <w:p w14:paraId="73AA6D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c>
          <w:tcPr>
            <w:tcW w:w="1401" w:type="dxa"/>
          </w:tcPr>
          <w:p w14:paraId="6C4250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М-62</w:t>
            </w:r>
          </w:p>
        </w:tc>
        <w:tc>
          <w:tcPr>
            <w:tcW w:w="1401" w:type="dxa"/>
          </w:tcPr>
          <w:p w14:paraId="471227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М-63</w:t>
            </w:r>
          </w:p>
        </w:tc>
      </w:tr>
      <w:tr w:rsidR="00983732" w:rsidRPr="00A3026E" w14:paraId="2CAAEC3B" w14:textId="77777777" w:rsidTr="00EA0DA7">
        <w:tc>
          <w:tcPr>
            <w:tcW w:w="1401" w:type="dxa"/>
          </w:tcPr>
          <w:p w14:paraId="29816D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Полетный вес (кг)</w:t>
            </w:r>
          </w:p>
        </w:tc>
        <w:tc>
          <w:tcPr>
            <w:tcW w:w="1401" w:type="dxa"/>
          </w:tcPr>
          <w:p w14:paraId="655058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1650</w:t>
            </w:r>
          </w:p>
        </w:tc>
        <w:tc>
          <w:tcPr>
            <w:tcW w:w="1401" w:type="dxa"/>
          </w:tcPr>
          <w:p w14:paraId="566F49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1650</w:t>
            </w:r>
          </w:p>
        </w:tc>
        <w:tc>
          <w:tcPr>
            <w:tcW w:w="1401" w:type="dxa"/>
          </w:tcPr>
          <w:p w14:paraId="06511A0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1680</w:t>
            </w:r>
          </w:p>
        </w:tc>
        <w:tc>
          <w:tcPr>
            <w:tcW w:w="1401" w:type="dxa"/>
          </w:tcPr>
          <w:p w14:paraId="705FAC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1762</w:t>
            </w:r>
          </w:p>
        </w:tc>
        <w:tc>
          <w:tcPr>
            <w:tcW w:w="1401" w:type="dxa"/>
          </w:tcPr>
          <w:p w14:paraId="217201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1765</w:t>
            </w:r>
          </w:p>
        </w:tc>
        <w:tc>
          <w:tcPr>
            <w:tcW w:w="1401" w:type="dxa"/>
          </w:tcPr>
          <w:p w14:paraId="2DB2A8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1871</w:t>
            </w:r>
          </w:p>
        </w:tc>
        <w:tc>
          <w:tcPr>
            <w:tcW w:w="1401" w:type="dxa"/>
          </w:tcPr>
          <w:p w14:paraId="39F2A4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1887</w:t>
            </w:r>
          </w:p>
        </w:tc>
      </w:tr>
      <w:tr w:rsidR="00983732" w:rsidRPr="00A3026E" w14:paraId="439F6811" w14:textId="77777777" w:rsidTr="00EA0DA7">
        <w:tc>
          <w:tcPr>
            <w:tcW w:w="1401" w:type="dxa"/>
          </w:tcPr>
          <w:p w14:paraId="34354D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 скорость у земли (км/ч)</w:t>
            </w:r>
          </w:p>
        </w:tc>
        <w:tc>
          <w:tcPr>
            <w:tcW w:w="1401" w:type="dxa"/>
          </w:tcPr>
          <w:p w14:paraId="7BE27F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325</w:t>
            </w:r>
          </w:p>
        </w:tc>
        <w:tc>
          <w:tcPr>
            <w:tcW w:w="1401" w:type="dxa"/>
          </w:tcPr>
          <w:p w14:paraId="3B3B67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c>
          <w:tcPr>
            <w:tcW w:w="1401" w:type="dxa"/>
          </w:tcPr>
          <w:p w14:paraId="70FF47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368</w:t>
            </w:r>
          </w:p>
        </w:tc>
        <w:tc>
          <w:tcPr>
            <w:tcW w:w="1401" w:type="dxa"/>
          </w:tcPr>
          <w:p w14:paraId="0C6834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365</w:t>
            </w:r>
          </w:p>
        </w:tc>
        <w:tc>
          <w:tcPr>
            <w:tcW w:w="1401" w:type="dxa"/>
          </w:tcPr>
          <w:p w14:paraId="14A0C1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366</w:t>
            </w:r>
          </w:p>
        </w:tc>
        <w:tc>
          <w:tcPr>
            <w:tcW w:w="1401" w:type="dxa"/>
          </w:tcPr>
          <w:p w14:paraId="763372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366</w:t>
            </w:r>
          </w:p>
        </w:tc>
        <w:tc>
          <w:tcPr>
            <w:tcW w:w="1401" w:type="dxa"/>
          </w:tcPr>
          <w:p w14:paraId="2EB3D2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370</w:t>
            </w:r>
          </w:p>
        </w:tc>
      </w:tr>
      <w:tr w:rsidR="00983732" w:rsidRPr="00A3026E" w14:paraId="14C7D307" w14:textId="77777777" w:rsidTr="00EA0DA7">
        <w:tc>
          <w:tcPr>
            <w:tcW w:w="1401" w:type="dxa"/>
          </w:tcPr>
          <w:p w14:paraId="55683F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границе высотности (км/ч)</w:t>
            </w:r>
          </w:p>
        </w:tc>
        <w:tc>
          <w:tcPr>
            <w:tcW w:w="1401" w:type="dxa"/>
          </w:tcPr>
          <w:p w14:paraId="1B6362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367</w:t>
            </w:r>
          </w:p>
        </w:tc>
        <w:tc>
          <w:tcPr>
            <w:tcW w:w="1401" w:type="dxa"/>
          </w:tcPr>
          <w:p w14:paraId="4EC5AA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w:t>
            </w:r>
          </w:p>
        </w:tc>
        <w:tc>
          <w:tcPr>
            <w:tcW w:w="1401" w:type="dxa"/>
          </w:tcPr>
          <w:p w14:paraId="101B81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424</w:t>
            </w:r>
          </w:p>
        </w:tc>
        <w:tc>
          <w:tcPr>
            <w:tcW w:w="1401" w:type="dxa"/>
          </w:tcPr>
          <w:p w14:paraId="0A4CDE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443</w:t>
            </w:r>
          </w:p>
        </w:tc>
        <w:tc>
          <w:tcPr>
            <w:tcW w:w="1401" w:type="dxa"/>
          </w:tcPr>
          <w:p w14:paraId="41FD6F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426</w:t>
            </w:r>
          </w:p>
        </w:tc>
        <w:tc>
          <w:tcPr>
            <w:tcW w:w="1401" w:type="dxa"/>
          </w:tcPr>
          <w:p w14:paraId="32ACAB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429</w:t>
            </w:r>
          </w:p>
        </w:tc>
        <w:tc>
          <w:tcPr>
            <w:tcW w:w="1401" w:type="dxa"/>
          </w:tcPr>
          <w:p w14:paraId="253246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431</w:t>
            </w:r>
          </w:p>
        </w:tc>
      </w:tr>
      <w:tr w:rsidR="00983732" w:rsidRPr="00A3026E" w14:paraId="2E698755" w14:textId="77777777" w:rsidTr="00EA0DA7">
        <w:tc>
          <w:tcPr>
            <w:tcW w:w="1401" w:type="dxa"/>
          </w:tcPr>
          <w:p w14:paraId="50F779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5000 м (км/ч)</w:t>
            </w:r>
          </w:p>
        </w:tc>
        <w:tc>
          <w:tcPr>
            <w:tcW w:w="1401" w:type="dxa"/>
          </w:tcPr>
          <w:p w14:paraId="40F55C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361</w:t>
            </w:r>
          </w:p>
        </w:tc>
        <w:tc>
          <w:tcPr>
            <w:tcW w:w="1401" w:type="dxa"/>
          </w:tcPr>
          <w:p w14:paraId="1FFB0E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415</w:t>
            </w:r>
          </w:p>
        </w:tc>
        <w:tc>
          <w:tcPr>
            <w:tcW w:w="1401" w:type="dxa"/>
          </w:tcPr>
          <w:p w14:paraId="7D5998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412</w:t>
            </w:r>
          </w:p>
        </w:tc>
        <w:tc>
          <w:tcPr>
            <w:tcW w:w="1401" w:type="dxa"/>
          </w:tcPr>
          <w:p w14:paraId="712FB2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443</w:t>
            </w:r>
          </w:p>
        </w:tc>
        <w:tc>
          <w:tcPr>
            <w:tcW w:w="1401" w:type="dxa"/>
          </w:tcPr>
          <w:p w14:paraId="4DEBC5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w:t>
            </w:r>
          </w:p>
        </w:tc>
        <w:tc>
          <w:tcPr>
            <w:tcW w:w="1401" w:type="dxa"/>
          </w:tcPr>
          <w:p w14:paraId="69132D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428</w:t>
            </w:r>
          </w:p>
        </w:tc>
        <w:tc>
          <w:tcPr>
            <w:tcW w:w="1401" w:type="dxa"/>
          </w:tcPr>
          <w:p w14:paraId="1FC046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428</w:t>
            </w:r>
          </w:p>
        </w:tc>
      </w:tr>
      <w:tr w:rsidR="00983732" w:rsidRPr="00A3026E" w14:paraId="2ED123CC" w14:textId="77777777" w:rsidTr="00EA0DA7">
        <w:tc>
          <w:tcPr>
            <w:tcW w:w="1401" w:type="dxa"/>
          </w:tcPr>
          <w:p w14:paraId="2179A5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7000 м (км/ч)</w:t>
            </w:r>
          </w:p>
        </w:tc>
        <w:tc>
          <w:tcPr>
            <w:tcW w:w="1401" w:type="dxa"/>
          </w:tcPr>
          <w:p w14:paraId="52D63A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342</w:t>
            </w:r>
          </w:p>
        </w:tc>
        <w:tc>
          <w:tcPr>
            <w:tcW w:w="1401" w:type="dxa"/>
          </w:tcPr>
          <w:p w14:paraId="7F954A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1401" w:type="dxa"/>
          </w:tcPr>
          <w:p w14:paraId="1D59BE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376</w:t>
            </w:r>
          </w:p>
        </w:tc>
        <w:tc>
          <w:tcPr>
            <w:tcW w:w="1401" w:type="dxa"/>
          </w:tcPr>
          <w:p w14:paraId="16FEF4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422</w:t>
            </w:r>
          </w:p>
        </w:tc>
        <w:tc>
          <w:tcPr>
            <w:tcW w:w="1401" w:type="dxa"/>
          </w:tcPr>
          <w:p w14:paraId="4DF886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408</w:t>
            </w:r>
          </w:p>
        </w:tc>
        <w:tc>
          <w:tcPr>
            <w:tcW w:w="1401" w:type="dxa"/>
          </w:tcPr>
          <w:p w14:paraId="524385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411</w:t>
            </w:r>
          </w:p>
        </w:tc>
        <w:tc>
          <w:tcPr>
            <w:tcW w:w="1401" w:type="dxa"/>
          </w:tcPr>
          <w:p w14:paraId="035D56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401</w:t>
            </w:r>
          </w:p>
        </w:tc>
      </w:tr>
      <w:tr w:rsidR="00983732" w:rsidRPr="00A3026E" w14:paraId="7F84D7DC" w14:textId="77777777" w:rsidTr="00EA0DA7">
        <w:tc>
          <w:tcPr>
            <w:tcW w:w="1401" w:type="dxa"/>
          </w:tcPr>
          <w:p w14:paraId="285723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на 3000 м (мин)</w:t>
            </w:r>
          </w:p>
        </w:tc>
        <w:tc>
          <w:tcPr>
            <w:tcW w:w="1401" w:type="dxa"/>
          </w:tcPr>
          <w:p w14:paraId="31FE74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1401" w:type="dxa"/>
          </w:tcPr>
          <w:p w14:paraId="09D31D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w:t>
            </w:r>
          </w:p>
        </w:tc>
        <w:tc>
          <w:tcPr>
            <w:tcW w:w="1401" w:type="dxa"/>
          </w:tcPr>
          <w:p w14:paraId="032694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6,48</w:t>
            </w:r>
          </w:p>
        </w:tc>
        <w:tc>
          <w:tcPr>
            <w:tcW w:w="1401" w:type="dxa"/>
          </w:tcPr>
          <w:p w14:paraId="7A0F2E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w:t>
            </w:r>
          </w:p>
        </w:tc>
        <w:tc>
          <w:tcPr>
            <w:tcW w:w="1401" w:type="dxa"/>
          </w:tcPr>
          <w:p w14:paraId="33741E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w:t>
            </w:r>
          </w:p>
        </w:tc>
        <w:tc>
          <w:tcPr>
            <w:tcW w:w="1401" w:type="dxa"/>
          </w:tcPr>
          <w:p w14:paraId="08B4BA5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w:t>
            </w:r>
          </w:p>
        </w:tc>
        <w:tc>
          <w:tcPr>
            <w:tcW w:w="1401" w:type="dxa"/>
          </w:tcPr>
          <w:p w14:paraId="185E94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w:t>
            </w:r>
          </w:p>
        </w:tc>
      </w:tr>
      <w:tr w:rsidR="00983732" w:rsidRPr="00A3026E" w14:paraId="6DE01314" w14:textId="77777777" w:rsidTr="00EA0DA7">
        <w:tc>
          <w:tcPr>
            <w:tcW w:w="1401" w:type="dxa"/>
          </w:tcPr>
          <w:p w14:paraId="265A0B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Практический потолок (м)</w:t>
            </w:r>
          </w:p>
        </w:tc>
        <w:tc>
          <w:tcPr>
            <w:tcW w:w="1401" w:type="dxa"/>
          </w:tcPr>
          <w:p w14:paraId="6785B0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9100</w:t>
            </w:r>
          </w:p>
        </w:tc>
        <w:tc>
          <w:tcPr>
            <w:tcW w:w="1401" w:type="dxa"/>
          </w:tcPr>
          <w:p w14:paraId="0EE3D1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c>
          <w:tcPr>
            <w:tcW w:w="1401" w:type="dxa"/>
          </w:tcPr>
          <w:p w14:paraId="54E30B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8700</w:t>
            </w:r>
          </w:p>
        </w:tc>
        <w:tc>
          <w:tcPr>
            <w:tcW w:w="1401" w:type="dxa"/>
          </w:tcPr>
          <w:p w14:paraId="2536D1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9800</w:t>
            </w:r>
          </w:p>
        </w:tc>
        <w:tc>
          <w:tcPr>
            <w:tcW w:w="1401" w:type="dxa"/>
          </w:tcPr>
          <w:p w14:paraId="430D7E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11000</w:t>
            </w:r>
          </w:p>
        </w:tc>
        <w:tc>
          <w:tcPr>
            <w:tcW w:w="1401" w:type="dxa"/>
          </w:tcPr>
          <w:p w14:paraId="77B89D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11000</w:t>
            </w:r>
          </w:p>
        </w:tc>
        <w:tc>
          <w:tcPr>
            <w:tcW w:w="1401" w:type="dxa"/>
          </w:tcPr>
          <w:p w14:paraId="007399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10600</w:t>
            </w:r>
          </w:p>
        </w:tc>
      </w:tr>
      <w:tr w:rsidR="00983732" w:rsidRPr="00A3026E" w14:paraId="448E04F1" w14:textId="77777777" w:rsidTr="00EA0DA7">
        <w:tc>
          <w:tcPr>
            <w:tcW w:w="1401" w:type="dxa"/>
          </w:tcPr>
          <w:p w14:paraId="4848DC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практ.потолка (мин)</w:t>
            </w:r>
          </w:p>
        </w:tc>
        <w:tc>
          <w:tcPr>
            <w:tcW w:w="1401" w:type="dxa"/>
          </w:tcPr>
          <w:p w14:paraId="2E45D7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1401" w:type="dxa"/>
          </w:tcPr>
          <w:p w14:paraId="487295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26,5</w:t>
            </w:r>
          </w:p>
        </w:tc>
        <w:tc>
          <w:tcPr>
            <w:tcW w:w="1401" w:type="dxa"/>
          </w:tcPr>
          <w:p w14:paraId="6EDE24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27,4</w:t>
            </w:r>
          </w:p>
        </w:tc>
        <w:tc>
          <w:tcPr>
            <w:tcW w:w="1401" w:type="dxa"/>
          </w:tcPr>
          <w:p w14:paraId="5B2CC8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1401" w:type="dxa"/>
          </w:tcPr>
          <w:p w14:paraId="6016C4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c>
          <w:tcPr>
            <w:tcW w:w="1401" w:type="dxa"/>
          </w:tcPr>
          <w:p w14:paraId="6476B5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28,5</w:t>
            </w:r>
          </w:p>
        </w:tc>
        <w:tc>
          <w:tcPr>
            <w:tcW w:w="1401" w:type="dxa"/>
          </w:tcPr>
          <w:p w14:paraId="390D0B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24,5</w:t>
            </w:r>
          </w:p>
        </w:tc>
      </w:tr>
      <w:tr w:rsidR="00983732" w:rsidRPr="00A3026E" w14:paraId="5A218B75" w14:textId="77777777" w:rsidTr="00EA0DA7">
        <w:tc>
          <w:tcPr>
            <w:tcW w:w="1401" w:type="dxa"/>
          </w:tcPr>
          <w:p w14:paraId="176066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виража на 1000 м (сек)</w:t>
            </w:r>
          </w:p>
        </w:tc>
        <w:tc>
          <w:tcPr>
            <w:tcW w:w="1401" w:type="dxa"/>
          </w:tcPr>
          <w:p w14:paraId="684CB5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10,5-11</w:t>
            </w:r>
          </w:p>
        </w:tc>
        <w:tc>
          <w:tcPr>
            <w:tcW w:w="1401" w:type="dxa"/>
          </w:tcPr>
          <w:p w14:paraId="61D339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1401" w:type="dxa"/>
          </w:tcPr>
          <w:p w14:paraId="7F4D67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11-12</w:t>
            </w:r>
          </w:p>
        </w:tc>
        <w:tc>
          <w:tcPr>
            <w:tcW w:w="1401" w:type="dxa"/>
          </w:tcPr>
          <w:p w14:paraId="578B5F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13-13,5</w:t>
            </w:r>
          </w:p>
        </w:tc>
        <w:tc>
          <w:tcPr>
            <w:tcW w:w="1401" w:type="dxa"/>
          </w:tcPr>
          <w:p w14:paraId="18E416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13-13,5</w:t>
            </w:r>
          </w:p>
        </w:tc>
        <w:tc>
          <w:tcPr>
            <w:tcW w:w="1401" w:type="dxa"/>
          </w:tcPr>
          <w:p w14:paraId="01459B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14,5-15</w:t>
            </w:r>
          </w:p>
        </w:tc>
        <w:tc>
          <w:tcPr>
            <w:tcW w:w="1401" w:type="dxa"/>
          </w:tcPr>
          <w:p w14:paraId="665807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14-14,5</w:t>
            </w:r>
          </w:p>
        </w:tc>
      </w:tr>
      <w:tr w:rsidR="00983732" w:rsidRPr="00A3026E" w14:paraId="3A486659" w14:textId="77777777" w:rsidTr="00EA0DA7">
        <w:tc>
          <w:tcPr>
            <w:tcW w:w="1401" w:type="dxa"/>
          </w:tcPr>
          <w:p w14:paraId="53EFE8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Разбег на взлете (м)</w:t>
            </w:r>
          </w:p>
        </w:tc>
        <w:tc>
          <w:tcPr>
            <w:tcW w:w="1401" w:type="dxa"/>
          </w:tcPr>
          <w:p w14:paraId="35C711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120-130</w:t>
            </w:r>
          </w:p>
        </w:tc>
        <w:tc>
          <w:tcPr>
            <w:tcW w:w="1401" w:type="dxa"/>
          </w:tcPr>
          <w:p w14:paraId="30FA39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1401" w:type="dxa"/>
          </w:tcPr>
          <w:p w14:paraId="0A8D06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401" w:type="dxa"/>
          </w:tcPr>
          <w:p w14:paraId="5F4AA7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w:t>
            </w:r>
          </w:p>
        </w:tc>
        <w:tc>
          <w:tcPr>
            <w:tcW w:w="1401" w:type="dxa"/>
          </w:tcPr>
          <w:p w14:paraId="4E1499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106</w:t>
            </w:r>
          </w:p>
        </w:tc>
        <w:tc>
          <w:tcPr>
            <w:tcW w:w="1401" w:type="dxa"/>
          </w:tcPr>
          <w:p w14:paraId="073F59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c>
          <w:tcPr>
            <w:tcW w:w="1401" w:type="dxa"/>
          </w:tcPr>
          <w:p w14:paraId="24570A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129</w:t>
            </w:r>
          </w:p>
        </w:tc>
      </w:tr>
      <w:tr w:rsidR="00983732" w:rsidRPr="00A3026E" w14:paraId="4C2BA9CB" w14:textId="77777777" w:rsidTr="00EA0DA7">
        <w:tc>
          <w:tcPr>
            <w:tcW w:w="1401" w:type="dxa"/>
          </w:tcPr>
          <w:p w14:paraId="068B48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разбега (сек)</w:t>
            </w:r>
          </w:p>
        </w:tc>
        <w:tc>
          <w:tcPr>
            <w:tcW w:w="1401" w:type="dxa"/>
          </w:tcPr>
          <w:p w14:paraId="286F5D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7,5-8</w:t>
            </w:r>
          </w:p>
        </w:tc>
        <w:tc>
          <w:tcPr>
            <w:tcW w:w="1401" w:type="dxa"/>
          </w:tcPr>
          <w:p w14:paraId="5364C2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1401" w:type="dxa"/>
          </w:tcPr>
          <w:p w14:paraId="5B77AE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11,4</w:t>
            </w:r>
          </w:p>
        </w:tc>
        <w:tc>
          <w:tcPr>
            <w:tcW w:w="1401" w:type="dxa"/>
          </w:tcPr>
          <w:p w14:paraId="197B8C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13,5-14</w:t>
            </w:r>
          </w:p>
        </w:tc>
        <w:tc>
          <w:tcPr>
            <w:tcW w:w="1401" w:type="dxa"/>
          </w:tcPr>
          <w:p w14:paraId="33C16AA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w:t>
            </w:r>
          </w:p>
        </w:tc>
        <w:tc>
          <w:tcPr>
            <w:tcW w:w="1401" w:type="dxa"/>
          </w:tcPr>
          <w:p w14:paraId="1E24F0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w:t>
            </w:r>
          </w:p>
        </w:tc>
        <w:tc>
          <w:tcPr>
            <w:tcW w:w="1401" w:type="dxa"/>
          </w:tcPr>
          <w:p w14:paraId="0A1E6C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w:t>
            </w:r>
          </w:p>
        </w:tc>
      </w:tr>
      <w:tr w:rsidR="00983732" w:rsidRPr="00A3026E" w14:paraId="72F3C5E0" w14:textId="77777777" w:rsidTr="00EA0DA7">
        <w:tc>
          <w:tcPr>
            <w:tcW w:w="1401" w:type="dxa"/>
          </w:tcPr>
          <w:p w14:paraId="421DA2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Воздушный винт</w:t>
            </w:r>
          </w:p>
        </w:tc>
        <w:tc>
          <w:tcPr>
            <w:tcW w:w="1401" w:type="dxa"/>
          </w:tcPr>
          <w:p w14:paraId="05F83B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w:t>
            </w:r>
          </w:p>
        </w:tc>
        <w:tc>
          <w:tcPr>
            <w:tcW w:w="1401" w:type="dxa"/>
          </w:tcPr>
          <w:p w14:paraId="1F18CC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w:t>
            </w:r>
          </w:p>
        </w:tc>
        <w:tc>
          <w:tcPr>
            <w:tcW w:w="1401" w:type="dxa"/>
          </w:tcPr>
          <w:p w14:paraId="155BDB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w:t>
            </w:r>
          </w:p>
        </w:tc>
        <w:tc>
          <w:tcPr>
            <w:tcW w:w="1401" w:type="dxa"/>
          </w:tcPr>
          <w:p w14:paraId="7FF697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ВФШ</w:t>
            </w:r>
          </w:p>
        </w:tc>
        <w:tc>
          <w:tcPr>
            <w:tcW w:w="1401" w:type="dxa"/>
          </w:tcPr>
          <w:p w14:paraId="321B98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w:t>
            </w:r>
          </w:p>
        </w:tc>
        <w:tc>
          <w:tcPr>
            <w:tcW w:w="1401" w:type="dxa"/>
          </w:tcPr>
          <w:p w14:paraId="67BDC0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w:t>
            </w:r>
          </w:p>
        </w:tc>
        <w:tc>
          <w:tcPr>
            <w:tcW w:w="1401" w:type="dxa"/>
          </w:tcPr>
          <w:p w14:paraId="759868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ВИШ</w:t>
            </w:r>
          </w:p>
        </w:tc>
      </w:tr>
      <w:tr w:rsidR="00983732" w:rsidRPr="00A3026E" w14:paraId="5838793C" w14:textId="77777777" w:rsidTr="00EA0DA7">
        <w:tc>
          <w:tcPr>
            <w:tcW w:w="1401" w:type="dxa"/>
          </w:tcPr>
          <w:p w14:paraId="0CFB22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Диаметр в. винта (м)</w:t>
            </w:r>
          </w:p>
        </w:tc>
        <w:tc>
          <w:tcPr>
            <w:tcW w:w="1401" w:type="dxa"/>
          </w:tcPr>
          <w:p w14:paraId="195EDA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1401" w:type="dxa"/>
          </w:tcPr>
          <w:p w14:paraId="66DF2F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401" w:type="dxa"/>
          </w:tcPr>
          <w:p w14:paraId="1B29B1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401" w:type="dxa"/>
          </w:tcPr>
          <w:p w14:paraId="298E08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401" w:type="dxa"/>
          </w:tcPr>
          <w:p w14:paraId="48DF73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401" w:type="dxa"/>
          </w:tcPr>
          <w:p w14:paraId="3F68EA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1401" w:type="dxa"/>
          </w:tcPr>
          <w:p w14:paraId="370BBC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tc>
      </w:tr>
      <w:tr w:rsidR="00983732" w:rsidRPr="00A3026E" w14:paraId="27857670" w14:textId="77777777" w:rsidTr="00EA0DA7">
        <w:tc>
          <w:tcPr>
            <w:tcW w:w="1401" w:type="dxa"/>
          </w:tcPr>
          <w:p w14:paraId="098FCA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лопасти (м)</w:t>
            </w:r>
          </w:p>
        </w:tc>
        <w:tc>
          <w:tcPr>
            <w:tcW w:w="1401" w:type="dxa"/>
          </w:tcPr>
          <w:p w14:paraId="6C655D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0,217</w:t>
            </w:r>
          </w:p>
        </w:tc>
        <w:tc>
          <w:tcPr>
            <w:tcW w:w="1401" w:type="dxa"/>
          </w:tcPr>
          <w:p w14:paraId="07D3A2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0,250</w:t>
            </w:r>
          </w:p>
        </w:tc>
        <w:tc>
          <w:tcPr>
            <w:tcW w:w="1401" w:type="dxa"/>
          </w:tcPr>
          <w:p w14:paraId="5D0D0D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0,250</w:t>
            </w:r>
          </w:p>
        </w:tc>
        <w:tc>
          <w:tcPr>
            <w:tcW w:w="1401" w:type="dxa"/>
          </w:tcPr>
          <w:p w14:paraId="58DEA3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0,250</w:t>
            </w:r>
          </w:p>
        </w:tc>
        <w:tc>
          <w:tcPr>
            <w:tcW w:w="1401" w:type="dxa"/>
          </w:tcPr>
          <w:p w14:paraId="703E40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0,250</w:t>
            </w:r>
          </w:p>
        </w:tc>
        <w:tc>
          <w:tcPr>
            <w:tcW w:w="1401" w:type="dxa"/>
          </w:tcPr>
          <w:p w14:paraId="1F2BC0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0,250</w:t>
            </w:r>
          </w:p>
        </w:tc>
        <w:tc>
          <w:tcPr>
            <w:tcW w:w="1401" w:type="dxa"/>
          </w:tcPr>
          <w:p w14:paraId="6C8AE5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0,250</w:t>
            </w:r>
          </w:p>
        </w:tc>
      </w:tr>
      <w:tr w:rsidR="00983732" w:rsidRPr="00A3026E" w14:paraId="6FE50E48" w14:textId="77777777" w:rsidTr="00EA0DA7">
        <w:tc>
          <w:tcPr>
            <w:tcW w:w="1401" w:type="dxa"/>
          </w:tcPr>
          <w:p w14:paraId="461D70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c>
          <w:tcPr>
            <w:tcW w:w="1401" w:type="dxa"/>
          </w:tcPr>
          <w:p w14:paraId="7282A7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4ПВ-1</w:t>
            </w:r>
          </w:p>
        </w:tc>
        <w:tc>
          <w:tcPr>
            <w:tcW w:w="1401" w:type="dxa"/>
          </w:tcPr>
          <w:p w14:paraId="196518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4ШКАС</w:t>
            </w:r>
          </w:p>
        </w:tc>
        <w:tc>
          <w:tcPr>
            <w:tcW w:w="1401" w:type="dxa"/>
          </w:tcPr>
          <w:p w14:paraId="566E0C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4ШКАС</w:t>
            </w:r>
          </w:p>
        </w:tc>
        <w:tc>
          <w:tcPr>
            <w:tcW w:w="1401" w:type="dxa"/>
          </w:tcPr>
          <w:p w14:paraId="56D471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4ШКАС</w:t>
            </w:r>
          </w:p>
        </w:tc>
        <w:tc>
          <w:tcPr>
            <w:tcW w:w="1401" w:type="dxa"/>
          </w:tcPr>
          <w:p w14:paraId="2F0123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4ШКАС</w:t>
            </w:r>
          </w:p>
        </w:tc>
        <w:tc>
          <w:tcPr>
            <w:tcW w:w="1401" w:type="dxa"/>
          </w:tcPr>
          <w:p w14:paraId="59B575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4ШКАС</w:t>
            </w:r>
          </w:p>
        </w:tc>
        <w:tc>
          <w:tcPr>
            <w:tcW w:w="1401" w:type="dxa"/>
          </w:tcPr>
          <w:p w14:paraId="2169B8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4ШКАС</w:t>
            </w:r>
          </w:p>
        </w:tc>
      </w:tr>
      <w:tr w:rsidR="00983732" w:rsidRPr="00A3026E" w14:paraId="5B2C4F56" w14:textId="77777777" w:rsidTr="00EA0DA7">
        <w:tc>
          <w:tcPr>
            <w:tcW w:w="1401" w:type="dxa"/>
            <w:tcBorders>
              <w:bottom w:val="single" w:sz="12" w:space="0" w:color="auto"/>
            </w:tcBorders>
          </w:tcPr>
          <w:p w14:paraId="4161DB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патронов (шт)</w:t>
            </w:r>
          </w:p>
        </w:tc>
        <w:tc>
          <w:tcPr>
            <w:tcW w:w="1401" w:type="dxa"/>
            <w:tcBorders>
              <w:bottom w:val="single" w:sz="12" w:space="0" w:color="auto"/>
            </w:tcBorders>
          </w:tcPr>
          <w:p w14:paraId="623C82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w:t>
            </w:r>
          </w:p>
        </w:tc>
        <w:tc>
          <w:tcPr>
            <w:tcW w:w="1401" w:type="dxa"/>
            <w:tcBorders>
              <w:bottom w:val="single" w:sz="12" w:space="0" w:color="auto"/>
            </w:tcBorders>
          </w:tcPr>
          <w:p w14:paraId="4677AF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w:t>
            </w:r>
          </w:p>
        </w:tc>
        <w:tc>
          <w:tcPr>
            <w:tcW w:w="1401" w:type="dxa"/>
            <w:tcBorders>
              <w:bottom w:val="single" w:sz="12" w:space="0" w:color="auto"/>
            </w:tcBorders>
          </w:tcPr>
          <w:p w14:paraId="78961B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2300</w:t>
            </w:r>
          </w:p>
        </w:tc>
        <w:tc>
          <w:tcPr>
            <w:tcW w:w="1401" w:type="dxa"/>
            <w:tcBorders>
              <w:bottom w:val="single" w:sz="12" w:space="0" w:color="auto"/>
            </w:tcBorders>
          </w:tcPr>
          <w:p w14:paraId="319B53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c>
          <w:tcPr>
            <w:tcW w:w="1401" w:type="dxa"/>
            <w:tcBorders>
              <w:bottom w:val="single" w:sz="12" w:space="0" w:color="auto"/>
            </w:tcBorders>
          </w:tcPr>
          <w:p w14:paraId="2EED63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c>
          <w:tcPr>
            <w:tcW w:w="1401" w:type="dxa"/>
            <w:tcBorders>
              <w:bottom w:val="single" w:sz="12" w:space="0" w:color="auto"/>
            </w:tcBorders>
          </w:tcPr>
          <w:p w14:paraId="6401EA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c>
          <w:tcPr>
            <w:tcW w:w="1401" w:type="dxa"/>
            <w:tcBorders>
              <w:bottom w:val="single" w:sz="12" w:space="0" w:color="auto"/>
            </w:tcBorders>
          </w:tcPr>
          <w:p w14:paraId="389C31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2500</w:t>
            </w:r>
          </w:p>
        </w:tc>
      </w:tr>
    </w:tbl>
    <w:p w14:paraId="4DEC7A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ВФШ- Воздушный винт фиксированного шага ** ВИШ - Воздушный винт изменяемого шага АВ-1 </w:t>
      </w:r>
    </w:p>
    <w:p w14:paraId="043294A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37E9E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строился ЭОИ (экспериментальный одноместный истребитель) - двухбалочный с толкающим М-105. Был уничтожен при эвакуации вместе с чертежами в октябре 1941 (4,37).</w:t>
      </w:r>
    </w:p>
    <w:p w14:paraId="4B97F13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F0D67FB" w14:textId="77777777" w:rsidR="005B62DA" w:rsidRPr="00A3026E" w:rsidRDefault="005B62D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В 1940 самолете на И-207 № 3 конструкции А.А. Боровкова и И.Ф. Флорова с двигателем М-63 без редуктора мощностью 930 л.с., который имел оригинальные убирающиеся шасси (втягивались вертикально в фюзеляж) и достигал скорости 486 км/ч на вы соте 5 300 м во время заводских испытаний (на государствен ных испытаниях показатели были хуже) проводили испытания ПВРД ДМ-4 конструкции И.А. Мерку лова, которые устанавливали под нижним крылом в узлах под вески баков. Было произведено около 20 полетов с включени ем ПВРД, при этом самолет прошел испытание без аварий (19586).</w:t>
      </w:r>
    </w:p>
    <w:p w14:paraId="605AC6F9" w14:textId="77777777" w:rsidR="005B62DA" w:rsidRPr="00A3026E" w:rsidRDefault="005B62D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59020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прошли гос. испытания РАФ-1 и рекомендовали к серии как 8 местный для авиалиний второго класса, но не успели из-за войны (80,387).</w:t>
      </w:r>
    </w:p>
    <w:p w14:paraId="553D1F0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4DD3C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был построен второй экземпляр (заводской №2) двухмоторного пассажирского самолета А.Н.Рафаэлянца. Внешне он почти не отличался от первого экземпляра, назывался РАФ-11бис (РАФ-11/2). Был зарегистрирован 25 января 1941 г. с опознавательным знаком СССР- Л3700. 24 августа 1941 г. самолет РАФ-11бис (РАФ-11/2) был передан для последующей эксплуатации Наркомзему. В период Великой Отечественной войны пассажирские РАФы продолжали эксплуатироваться. В 1943 г. РАФ-11 (неизвестно какой - первый или второй экземпляр) летал в составе 6-го Отдельного авиаполка ГВФ (11957).</w:t>
      </w:r>
    </w:p>
    <w:p w14:paraId="56678B6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D5B43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испытывали РК-И (раздвижное крыло) Г.И.Бакшаева с раздвижным и М-106 (119,31).</w:t>
      </w:r>
    </w:p>
    <w:p w14:paraId="1133031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D09B8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1940 г. проект истребителя-перехватчика короткого взлета и посадки с кольцевым крылом диаметром 3 м, с расчетной максимальной скоростью 600 км/ч, которая обеспечивалась двигателем «Испано-Сю-иза» мощностью 800 л.с. докладывался командованию ВВС и был рассмотрен на научно-техническом совете ЦАГИ под председательством академика Б. Н. Юрьева. Работам по изготовлению продувочных моделей и исследованиям в аэродинамической трубе помешали начало войны и эвакуация института. Модели самолета короткого взлета и посадки, получившего название «Кольцеплан», были изготовлены под руководством М. В. Суханова в Новосибирске, в 1942 г. Важное достоинство «Кольцеплана» — способность кольца-крыла развивать подъемную силу до весьма высоких (до 43°) значений углов атаки, что при большой энерговооруженности истребителя обеспечивало возможность короткого, близкого к вертикальному, взлета. При этом самолет-кольцеплан обладал антиштопорными свойствами, высокой и своеобразной маневренностью. Организованная при поддержке Н. Н. Поликарпова инициативная конструкторская группа разработала проект самолета-истребителя с кольцевым крылом. Одновременно в Новосибирске была построена летающая модель кольцеплана с двумя соосными винтами. При испытаниях модели присутствовал профессор В. П. Ветчинкин. Результаты испытаний признаны успешными. В начале 1943 г. Н. Н. Поликарпов командировал Суханова с проектом кольцеплана в Москву. После рассмотрения проекта в ЦАГИ принято решение о проведении аэродинамических исследований моделей самолета-кольцеплана в аэродинамической лаборатории МАИ. В течение 1943 г. научно-исследовательская работа с аэродинамическими моделями была успешно завершена. С приоритетом от 1942 г. М. В. Суханову выдано авторское свидетельство на изобретение самолета короткого взлета и посадки с кольцевым крылом. Технические данные «Кольцеплана»: взлетная масса 2500 кг, мощность двигателя М-82А 1600 л.с, диаметр кольцевого крыла 3 м, несущая площадь крыла 10,5 кв.м. Хорда пилонов крыла 1,1 м, диаметр соосных винтов 3 м. Максимальная расчетная скорость 740 км/ч. Скорость на высоте 3000 м — 640 км/ч. Хвостовое оперение — нормальной схемы, элероны установлены на пилонах, связывающих фюзеляж с кольцевым крылом. Шасси — трехсто-ечное, стояночный угол 30°. Основные стойки шасси убирались в крыло. Интересно отметить, что аналогичный проект самолета с кольцевым крылом «Веейс» был разработан в Германии фирмой «Хейнкель» лишь в 1944 г. (12075).</w:t>
      </w:r>
    </w:p>
    <w:p w14:paraId="28FDED2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080EA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1940 г. Старший инженер кафедры аэродинамики МАИ А. И. Болдырев, который предложил новый тип движителя — колеблющийся предкрылок, проводил опыты с моделями, имеющими такой предкрылок. На летающих моделях, а также во время продувок моделей в аэродинамической трубе был обнаружен новый интересный аэродинамический эффект получения силы тяги и увеличения подъемной силы, когда предкрылок, установленный чуть впереди и выше носка крыла, приводился в быстрое колебательное движение. Предкрылок колебался относительно своего носка вниз и вверх на углы порядка ±15". Автором сделана и продута в аэродинамической трубе модель самолета в половину натурной величины. По полученным результатам выполнен аэродинамический расчет. В 1946 г. Болдырев завершил проект своего оригинального самолета с колеблющимся предкрылком. Проект рассматривался в ЦАГИ, и после положительных отзывов был заключен договор на разработку самолета в МАИ при финансовой поддержке ЦАГИ. В конце 1947 г. самолет был построен в УПМ МАИ и передан на испытания. Экспериментальный самолет Болдырева имел сравнительно небольшие размеры и массу конструкции (около 180 кг). Длина самолета 5 м, взлетная масса 290 кг, размах крыла 6,07 м, хорда 1,2 м. Профиль крыла без предкрылка — NACA-23020. Самолет выполнен по схеме «подкосный высо-коплан» с обычным хвостовым оперением. Конструкция в основном деревянная. Прямоугольное в плане крыло имело два лонжерона, несколько поддерживающих стрингеров. Для большей жесткости профиля и устойчивости крыла против вибраций использована обшивка из миллиметровой фанеры. Элероны обычные, в передней части крыла, на кронштейнах, установлен колеблющийся предкрылок с хордой 286 мм. Лонжерон предкрылка выполнен из эллипсовидной дюралюминиевой трубы. К трубе крепились дюралюминиевые нервюры, концы которых и задняя кромка предкрылка были выполнены из стальной проволоки. Предкрылок имел симметричный профиль, носок, обшитый миллиметровой фанерой, остальная обшивка — полотняная. Таким образом, конструкция- предкрылка была смешанная. Для уменьшения вибраций он имел статическую и динамическую балансировки. Привод предкрылка осуществлялся от двухцилиндрового двигателя М-72 (мощность 22 л.с. при скорости вращения 4500 об/мин), установленного под крылом, на узлах, закрепленных на заднем лонжероне. Масса мотоциклетного оппозитного двигателя М-72 для такого небольшого самолета была довольно большой — около 70 кг. Вал двигателя через редуктор и кривошипный механизм был связан с предкрылком и обеспечивал его колебательные движения. Диапазон углов колебания предкрылка для самолета был принят равным 12,5°. Фюзеляж самолета составляла кабина —гондола, переходящая за крылом в круглую хвостовую балку. Кабина имела деревянный каркас и фанерную обшивку. Передняя часть кабины съемная, дверь расположена с левой стороны. Съемная часть кабины впоследствии была заменена выпуклым коком из оргстекла. Хвостовая балка представляла собой фанерную трубу, подкрепленную шпангоутами и стрингерами. В конце балки был закреплен стальной трубчатый костыль. К полу кабины в местах стыковки К-образных подкосов крепилось шасси пирамидальной схемы с резиновой пластинчатой амортизацией. Управление рулями высоты и направления — тросовое, управление элеронами — с помощью жестких тяг. Самолет прошел лишь первый — стендовый — этап испытаний, т.к. сломалась коническая шестерня привода предкрылка, и в конце 1947 г. испытания прекратили. Была получена максимальная тяга на месте около 90 кг. Испытания показали, что колеблющийся предкрылок создает тягу и подъемную силу, а также выявили большие динамические нагрузки на его привод. Для окончательных натурных продувок в аэродинамической трубе с работающим предкрылком самолет был передан в ЦАГИ. Очевидно, самолет с колеблющимся предкрылком опережал свое время и потому не вызвал особого интереса в промышленности. Уже позднее за рубежом появился целый ряд интересных теоретических и экспериментальных работ, подтверждающих, что колебание аэродинамических элементов поверхности крыла, например ин-терцепторов, элеронов или закрылков с частотой 60—80 Гц, приводит к значительному снижению индуктивного сопротивления, уменьшению интенсивности концевых вихрей и увеличению аэродинамического качества. Испытания таких устройств в полете подтвердили возможность увеличения аэродинамического качества. Под руководством Болдырева в 1956 г. инженер Б. С. Блинов изготовил летающую модель вертолета с вибрирующим предкрылком. Модель с мотором МК-12 (мощность 0,3 л.с.) летала устойчиво. Двухлопастный несущий винт диаметром 1,2 м приводился в движение вибропредкрылками. Полетная масса модели 0,75 кг. В 1957 г. на Всесоюзной промышленной выставке, в экспозиции спортивных товаров, демонстрировалась легкая туристическая сборно-разборная лодка, спроектированная А. И. Болдыревым и изготовленная им совместно с механиком Н. И. Егоровым в УПМ МАИ. Лодка массой 10 кг собиралась и разбиралась за 10 минут. Судно имело хорошие гидродинамические обводы, легко ходило под парусами и было рекомендовано в серийное производство. А. И. Болдырева увлекали новые физические эффекты в аэродинамике и гидродинамике. Им был сделан интересный подвесной лодочный мотор на базе серийного мотора «Салют». Вместо гребного винта на дейдвуд мотора устанавливалось подводное крыло размахом 400 мм с вибропредкрылком. Подобный движитель при работе создавал не только потребную тягу (такую же, как гребной винт), но и обеспечивал появление на крыле подъемной силы, которая была не меньше тяги. Применение подвесного лодочного мотора, оснащенного крылом с вибропредкрылком, обеспечивало значительный эффект, т.к. мотор позволял получить гидродинамическую разгрузку корпуса лодки, а при наличии нескольких моторов можно было даже поднять лодку над водой (12075).</w:t>
      </w:r>
    </w:p>
    <w:p w14:paraId="5CA2EDD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18A787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разработки ЦАГИ вполне ус</w:t>
      </w:r>
      <w:r w:rsidRPr="00A3026E">
        <w:rPr>
          <w:rFonts w:ascii="Times New Roman" w:hAnsi="Times New Roman"/>
          <w:color w:val="000000" w:themeColor="text1"/>
          <w:sz w:val="16"/>
          <w:szCs w:val="16"/>
        </w:rPr>
        <w:softHyphen/>
        <w:t>пешно использовали при создании поплав</w:t>
      </w:r>
      <w:r w:rsidRPr="00A3026E">
        <w:rPr>
          <w:rFonts w:ascii="Times New Roman" w:hAnsi="Times New Roman"/>
          <w:color w:val="000000" w:themeColor="text1"/>
          <w:sz w:val="16"/>
          <w:szCs w:val="16"/>
        </w:rPr>
        <w:softHyphen/>
        <w:t>кового У-2. На авиазаводе №23 в Ленин</w:t>
      </w:r>
      <w:r w:rsidRPr="00A3026E">
        <w:rPr>
          <w:rFonts w:ascii="Times New Roman" w:hAnsi="Times New Roman"/>
          <w:color w:val="000000" w:themeColor="text1"/>
          <w:sz w:val="16"/>
          <w:szCs w:val="16"/>
        </w:rPr>
        <w:softHyphen/>
        <w:t>граде разработали и построили деревянные поплавки, применив теорию модели №10. Затем эти поплавки установили на трехме</w:t>
      </w:r>
      <w:r w:rsidRPr="00A3026E">
        <w:rPr>
          <w:rFonts w:ascii="Times New Roman" w:hAnsi="Times New Roman"/>
          <w:color w:val="000000" w:themeColor="text1"/>
          <w:sz w:val="16"/>
          <w:szCs w:val="16"/>
        </w:rPr>
        <w:softHyphen/>
        <w:t>стном У-2СП (СП-гидро), который с успе</w:t>
      </w:r>
      <w:r w:rsidRPr="00A3026E">
        <w:rPr>
          <w:rFonts w:ascii="Times New Roman" w:hAnsi="Times New Roman"/>
          <w:color w:val="000000" w:themeColor="text1"/>
          <w:sz w:val="16"/>
          <w:szCs w:val="16"/>
        </w:rPr>
        <w:softHyphen/>
        <w:t>хом испытали при участии НИИ ГВФ (11213).</w:t>
      </w:r>
    </w:p>
    <w:p w14:paraId="683C4BA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6C2EA7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прекратили производство ГСТ, лицензия на который была приобретена в 1937 и который стал выпускаться с 1939. Причина - сложность и трудоемкость (и, как результат - цена - 1500 тыс. как у ДС-3). Всего выпустили 30, включая три собранных из американских частей (96,26).</w:t>
      </w:r>
    </w:p>
    <w:p w14:paraId="54D5DF5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BE5CB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1940 года ГСТ поставлялись также и управлениям гражданской авиации в Сибири и на Дальнем Востоке; там они именовались MП-7 (3457,47).</w:t>
      </w:r>
    </w:p>
    <w:p w14:paraId="29BBA3A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E81BD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строился завод «Стальмост» для производства металлозаготовок и проката (был в списках заводов с 1940 г.).</w:t>
      </w:r>
    </w:p>
    <w:p w14:paraId="725902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заводе организована производственно-испытательная станция по исследованию сплавов под руководством Б.Е. Воловика (переведен из МАТИ).</w:t>
      </w:r>
    </w:p>
    <w:p w14:paraId="5BCE72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240с от 18.03.1941 г. завод (Завод № 491 НКАП /г. Нижняя (Верхняя) Салда Свердловской обл./) передан в 9ГУ НКАП. В 1941 г. завод № 491 объединен с заводом № 95 НКАП с образованием единого завода № 95 НКАП.</w:t>
      </w:r>
    </w:p>
    <w:p w14:paraId="1A1BEE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741с от 8.10.1941 г.</w:t>
      </w:r>
      <w:r w:rsidRPr="00A3026E">
        <w:rPr>
          <w:rFonts w:ascii="Times New Roman" w:hAnsi="Times New Roman"/>
          <w:color w:val="000000" w:themeColor="text1"/>
          <w:sz w:val="16"/>
          <w:szCs w:val="16"/>
          <w:vertAlign w:val="superscript"/>
        </w:rPr>
        <w:t>47</w:t>
      </w:r>
      <w:r w:rsidRPr="00A3026E">
        <w:rPr>
          <w:rFonts w:ascii="Times New Roman" w:hAnsi="Times New Roman"/>
          <w:color w:val="000000" w:themeColor="text1"/>
          <w:sz w:val="16"/>
          <w:szCs w:val="16"/>
        </w:rPr>
        <w:t xml:space="preserve"> и приказом НКАП № 1053сс от 09.10.1941 г. часть металлообрабатывающего оборудования комбината № 150 эвакуирована на площадку завода № 491 НКАП в  г. В. Салда и передана там по приказу № 1069с от 14.10.1941 г. заводу № 95 НКАП 911982).</w:t>
      </w:r>
    </w:p>
    <w:p w14:paraId="3C91D1A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12480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начал строиться Завод № 492 НКАП /г. Чкалов/. С 07.1941 г. влился в состав эвакуированного сюда завода № 47 НКАП (11982).</w:t>
      </w:r>
    </w:p>
    <w:p w14:paraId="305C0B1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622D6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 результате слияния 1-го инструментального завода и Завода дисковых фрез создан Завод № 3 ОАП НКАП.</w:t>
      </w:r>
    </w:p>
    <w:p w14:paraId="118E1E4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14м от 17.12.1941 г. инструментальный завод № 3 ОАП передан в качестве филиала вновь образованному заводу № 478 НКАП для развития основного производства.</w:t>
      </w:r>
    </w:p>
    <w:p w14:paraId="142CDD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годы войны выпускал ручные гранаты, пехотные лопатки, ломы, ножницы для резки колючей проволоки, станки ножовочные.</w:t>
      </w:r>
    </w:p>
    <w:p w14:paraId="18447C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377с от 1.06.1944 г. завод № 3 ОАП НКАП переименован в завод № 492 ОАП НКАП (Завод № 492 НКАП, Завод № 3 ОАП НКАП, Московский завод пневмоинстументов, ОАО «Московский завод «Пневмоинструмент» (МЗПИ) /123007  г. Москва 4-я Магистральная ул., 13 тел. 256-75-10/).</w:t>
      </w:r>
    </w:p>
    <w:p w14:paraId="16719A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1951 г. освоен выпуск ручного пневматического инструмента, который поставлялся затем на все предприятия авиационно-космической промышленности. К 1968 г. выпускал пневмогайковерты, прессы, кусачки, машины: фрезерные, отрезные; ножницы: по металлу, дисковые; рубанки, дисковые пилы, сабельные ножовки, пылесосы, отвертки, стамески.</w:t>
      </w:r>
    </w:p>
    <w:p w14:paraId="1F4E68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Производство (2002 г.): ручной пневматический инструмент вращательного, ударного действия, пневматические прессы, вспомогательный инструмент для авиапрмышленности (клепальные многоударные молотки, сверлильные машины, резьбонарезные и резьбозавертывающие машины, шлифовальные и зачистные машины, инструмент для одностронней безударной клепки, отрезные и фрезерные машины, кусачки).</w:t>
      </w:r>
    </w:p>
    <w:p w14:paraId="1E031F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ОАО МЗПИ - головное предприятие (2000-е  г.) авиакосмической отрасли по производству ручного пневмоинструмента.</w:t>
      </w:r>
    </w:p>
    <w:p w14:paraId="78D92B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E65DE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(2002 г.)- около 100 чел.</w:t>
      </w:r>
    </w:p>
    <w:p w14:paraId="652260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Гендиректор (-2000-02 г.-&gt; В.Н. Кузьмин.</w:t>
      </w:r>
    </w:p>
    <w:p w14:paraId="72DA27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по производству и обеспечению (2002 г.)- В.И. Суворов.</w:t>
      </w:r>
    </w:p>
    <w:p w14:paraId="362F83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отдела кадров (2002 г.)- Т.А. Зикрань.</w:t>
      </w:r>
      <w:r w:rsidRPr="00A3026E">
        <w:rPr>
          <w:rFonts w:ascii="Times New Roman" w:hAnsi="Times New Roman"/>
          <w:color w:val="000000" w:themeColor="text1"/>
          <w:sz w:val="16"/>
          <w:szCs w:val="16"/>
          <w:vertAlign w:val="superscript"/>
        </w:rPr>
        <w:t>69</w:t>
      </w:r>
    </w:p>
    <w:p w14:paraId="57D7F6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клепальные молотки: КМ1, КМ2, КМЗ (1952); шлифмашины ШР0,6, ШР2 (1952) (11982).</w:t>
      </w:r>
    </w:p>
    <w:p w14:paraId="131B1A28" w14:textId="77777777" w:rsidR="005B62DA" w:rsidRPr="00A3026E" w:rsidRDefault="005B62DA" w:rsidP="00A3026E">
      <w:pPr>
        <w:spacing w:after="0" w:line="240" w:lineRule="auto"/>
        <w:jc w:val="both"/>
        <w:rPr>
          <w:rFonts w:ascii="Times New Roman" w:hAnsi="Times New Roman"/>
          <w:color w:val="000000" w:themeColor="text1"/>
          <w:sz w:val="16"/>
          <w:szCs w:val="16"/>
        </w:rPr>
      </w:pPr>
    </w:p>
    <w:p w14:paraId="11C71F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1940 г., когда потребовалось эвакуировать со льдины станцию "Северный полюс-1", упоминавшийся ранее А.А. Туржанский предложил проект переделки Р-5 или ССС в специальный спасательный самолет, способный подбирать людей с земли без посадки. За основу был взят практиковавшийся тогда метод подъема донесений "кошкой". На самолете должна была монтироваться лебедка для выпуска и подъема троса с захватом и наружная лестница длиной 1,5 м. Но столь экзотический способ не понадобился, папанинцев доставил домой ледокол (12034). </w:t>
      </w:r>
    </w:p>
    <w:p w14:paraId="1F053AA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6A8D3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 Ступинском ОКБ на базе конструкции винта АВ-1, с учетом накопленного опыта в эксплуатации, были разработаны и изготовлены опытные образцы трехлопастных винтов АВ-2Л для истребителя В. К. Таирова, АВ-2Л-1 для истребителя-биплана И-190 конструкции Н. Н. Поликарпова, АВ-2П-2 для морского дальнего разведчика МДР-б конструкции И. В. Четверикова. Была также разработана конструкторская документация на двухлопастный винт АВ-3 и его модификации, отличающиеся от винта АВ-1 только размерами и предназначенные для маломощных моторов. Кроме этого, была проведена большая работа по отработке конструкции новых трехлопастных винтов семейства АВ-5 различных типов в зависимости от моторов и самолетов, на которые планировалась их установка. Винты в основном отличались друг от друга диаметром, геометрической характеристикой лопастей: шириной, толщиной, круткой, а также конструктивно: размерами посадочного места ступицы корпуса, цилиндром, исполнением суфлера, наличием спецманжет. Конструкция винтов АВ-5 позволяла осуществлять установку и замену лопастей непосредственно в местах эксплуатации, посредством выкручивания лопастей из стакана, не разбирая винта и не снимая его с носка вала мотора. Стакан был цельным и имел специальную нарезку, которая соответствовала нарезке на комле лопасти. Теперь винт не надо было транспортировать в собранном виде, а лопасти, как карандаши, укладывались отдельно в ящик. Особое внимание ступинского вин­тового ОКБ в 1940 г. было уделено винту АВ-5Л-123 предназначенного для созданного в КБ А. Микояна и М. Гуревича истребителя МиГ - 3. Работы по винту АВ-5 обратной схемы проводились с четырьмя вариантами лопастей. Выполнение винта прямой схемы более приемлемой для истребителя было отвергнуто самолетчиками, поскольку эта схема требовала увеличения веса винта. Истребитель МиГ-3 с мотором А. А. Микулина AM -35А и лицензионным воздушным винтом ВИШ-22Е ступинского производства представлял собой качественно новую боевую машину, на которой, благодаря большей скорости, можно было вести активный наступательный воздушный бой, широко используя атакующий вертикальный маневр. Появившийся в декабре 1939 г. форсированный по наддуву мотор АМ-35А имел сверхзвуковой нагнетатель и поворотные лопатки на входе. Ни на одном из серийных зарубежных моторов не было такой рекордно высокой степени наддува. Из-за большой высотности этот мотор V-образной схемы с жидкостным охлаждением больше подходил для дальних и тяжелых бомбардировщиков, выполняющих боевые полеты главным образом на больших высотах. Он собственно для них и создавался. Выбор такого «бомбардировочного» мотора для истребителя являлся на тот момент времени единственно возможным решением, сводящим к минимуму технический риск по сравнению с более выгодными, но и более сложными в эксплуатации моторами с турбокомпрессорами и двухступенчатым нагнетателем. Знаменитый советский летчик А. И. Покрышкин высоко оценивал маневренность истребителя, говоря: «Словом, в МиГе все соответствовало главному назначению истребителя атаке». Такую высокую оценку самолета А. И. Покрышкин сделал, являясь высококлассным летчиком. Истребитель МиГ-3 был хорош при ведении боя на средних и больших высотах, но в бою на небольших высотах его летные данные не были оптимальными из-за высотности двигателя АМ-35А, вызванной просчетами тактики ведения боя. На больших высотах бои с неприятелем велись лишь эпизодически и высотность двигателю была не нужна. У земли на малых высотах винт ВИШ -22Е недодавал тяги из-за слишком малой частоты вращения, что ухудшало взлетные качества истребителя, его скороподъемность и вело к уменьшению максимальной скорости на малых высотах. При этом характерным дефектом ВИШ-22Е была также раскрутка винта и мотора при пикировании и выполнении некоторых фигур пилотажа. Кроме того, МиГ-3 требовал достаточно высокой (по меркам военного времени) квалификации летчика. Но в начале войны с фашистской Германией советские летчики в большинстве своем из-за отсутствия боевого опыта, очень малого времени, отпущенного на освоение нового самолета, а также вследствие консерватизма в руководстве по организации воздушного боя не могли в полной мере использовать все достоинства нового истребителя. Тем не менее, А.И. Покрышкин на этом истребителе сбил 10 немецких самолетов, в том числе пять Ме-109Е, причем все бои с ними он провел на небольших высотах, то есть там, где летные данные МиГ-3 не были оптимальными. Из советских истребителей нового поколения МиГ-3 в предвоенный период и начальный этап Великой Отечественной войны был самым массовым самолетом. Однако стало ясно, что в условиях широкой эксплуатации истребитель не обладает необходимыми боевыми качествами, хотя конструкторы самолета постоянно работали над устранением выявленных недостатков и доводкой истребителя. Сам же винт АВ -5Л-123, заменивший на самолете с февраля 1941 г. лицензионный винт ВИШ-22Е, получил высокую оценку со стороны летно-технического состава в силу высокой надежности в эксплуатации и простоты конструкции. Всего было изготовлено около 5 тысяч винтов. Крупносерийное производство МиГ -3 продолжалось до ноября 1941 г. вплоть до эвакуации московского самолетного завода №1 в Куйбышев (11414).</w:t>
      </w:r>
    </w:p>
    <w:p w14:paraId="35C472A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C6FAA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 системе ГУ ГВФ был образован завод № 241 (Завод № 241 ГВФ, НКАП /ст. Быково Московской обл.;  г. Тюмень/) как планерный завод. Налажено производство десантных планеров Д.Н. Колесникова и П.В. Цыбина КЦ-2 (КЦ-20). По приказу № 573с от 26,06.1941 г. завод передан в 11ГУ НКАП.</w:t>
      </w:r>
    </w:p>
    <w:p w14:paraId="72F508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1941 г. завод был эвакуирован в Тюмень на площадку Ремонтных мастерских и территорию двух рынков. Перед этим, с 10.1941 г. в мастерских началось освоение производства планеров УС-6.</w:t>
      </w:r>
    </w:p>
    <w:p w14:paraId="3D6122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распоряжением СНК № 2330-рс от 11.07.1941 г. и приказом № 1116с/102 от 12.11.1941 г. в связи с эвакуацией часть завода № 241 по производству планеров со всем оборудованием и личным составом передана из ГВФ в НКАП. Оставшаяся часть была задействована в производстве деталей для снарядов М-13, ремонте моторов, легких самолетов и приборов в системе ГВФ. По приказу № 94с от 2.02.1942 г. на базе планерных мощностей завода № 241 организован самостоятельный планерный ГС завод № 241 11ГУ НКАП.</w:t>
      </w:r>
    </w:p>
    <w:p w14:paraId="527784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 заводе действовало ОКБ </w:t>
      </w:r>
      <w:r w:rsidRPr="00A3026E">
        <w:rPr>
          <w:rFonts w:ascii="Times New Roman" w:hAnsi="Times New Roman"/>
          <w:color w:val="000000" w:themeColor="text1"/>
          <w:sz w:val="16"/>
          <w:szCs w:val="16"/>
          <w:lang w:val="en-US"/>
        </w:rPr>
        <w:t>O</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K</w:t>
      </w:r>
      <w:r w:rsidRPr="00A3026E">
        <w:rPr>
          <w:rFonts w:ascii="Times New Roman" w:hAnsi="Times New Roman"/>
          <w:color w:val="000000" w:themeColor="text1"/>
          <w:sz w:val="16"/>
          <w:szCs w:val="16"/>
        </w:rPr>
        <w:t>. Антонова.</w:t>
      </w:r>
    </w:p>
    <w:p w14:paraId="4E2586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707с от 16.09.1942 г. завод № 241 НКАП к 10.1942 г. переведен на площадку завода № 463 НКАП и влит в его состав.</w:t>
      </w:r>
    </w:p>
    <w:p w14:paraId="10A565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1947 г. в Москве действовал завод № 241.</w:t>
      </w:r>
      <w:r w:rsidRPr="00A3026E">
        <w:rPr>
          <w:rFonts w:ascii="Times New Roman" w:hAnsi="Times New Roman"/>
          <w:color w:val="000000" w:themeColor="text1"/>
          <w:sz w:val="16"/>
          <w:szCs w:val="16"/>
          <w:vertAlign w:val="superscript"/>
        </w:rPr>
        <w:t>129</w:t>
      </w:r>
    </w:p>
    <w:p w14:paraId="342505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(1942 г.-)- А.Н. Рафаэлянц.</w:t>
      </w:r>
    </w:p>
    <w:p w14:paraId="0B4F90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(-1942 г.)- А.Н. Рафаэлянц.</w:t>
      </w:r>
    </w:p>
    <w:p w14:paraId="066F27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планеры: КЦ-2 (1941)- 2, А-7.</w:t>
      </w:r>
    </w:p>
    <w:p w14:paraId="714B38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ОКБ гл. конструктора </w:t>
      </w:r>
      <w:r w:rsidRPr="00A3026E">
        <w:rPr>
          <w:rFonts w:ascii="Times New Roman" w:hAnsi="Times New Roman"/>
          <w:color w:val="000000" w:themeColor="text1"/>
          <w:sz w:val="16"/>
          <w:szCs w:val="16"/>
          <w:lang w:val="en-US"/>
        </w:rPr>
        <w:t>O</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K</w:t>
      </w:r>
      <w:r w:rsidRPr="00A3026E">
        <w:rPr>
          <w:rFonts w:ascii="Times New Roman" w:hAnsi="Times New Roman"/>
          <w:color w:val="000000" w:themeColor="text1"/>
          <w:sz w:val="16"/>
          <w:szCs w:val="16"/>
        </w:rPr>
        <w:t>. Антонова при заводе № 241 НКАП</w:t>
      </w:r>
    </w:p>
    <w:p w14:paraId="6DCC58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модификации планеров А-7, А-2.</w:t>
      </w:r>
    </w:p>
    <w:p w14:paraId="537DDF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618с от 12.08.1942 г. ОКБ Антонова переведено с завода № 241 в Тушино на завод № 464 НКАП для продолжения работ по планерам (11982).</w:t>
      </w:r>
    </w:p>
    <w:p w14:paraId="1EF282B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88D7F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в КБ-29 где начальником после ареста В.А.Чижевского стал Каштанов А.Я.Щербаков испытывал РП-318-1. КБ потом вошло в состав П.О.Сухого (95,23).</w:t>
      </w:r>
    </w:p>
    <w:p w14:paraId="47723C1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478C5CF"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Таиров разработал эскизный проект истребителя ОКО-7 с более мощными моторами (АМ-37 или М-90) и усовершенствованной конструкцией. Фюзеляж предполагалось сделать из дельта-древесины. Фонарь лётчика усовершенст</w:t>
      </w:r>
      <w:r w:rsidRPr="00A3026E">
        <w:rPr>
          <w:rFonts w:ascii="Times New Roman" w:hAnsi="Times New Roman"/>
          <w:color w:val="000000" w:themeColor="text1"/>
          <w:sz w:val="16"/>
          <w:szCs w:val="16"/>
        </w:rPr>
        <w:softHyphen/>
        <w:t>вовали — спереди и сзади предусматривались бронестекла. Кабину частично брониро</w:t>
      </w:r>
      <w:r w:rsidRPr="00A3026E">
        <w:rPr>
          <w:rFonts w:ascii="Times New Roman" w:hAnsi="Times New Roman"/>
          <w:color w:val="000000" w:themeColor="text1"/>
          <w:sz w:val="16"/>
          <w:szCs w:val="16"/>
        </w:rPr>
        <w:softHyphen/>
        <w:t>вали с боков. Стабилизатор — регулируемый в полёте. Одной из конструктивных особен</w:t>
      </w:r>
      <w:r w:rsidRPr="00A3026E">
        <w:rPr>
          <w:rFonts w:ascii="Times New Roman" w:hAnsi="Times New Roman"/>
          <w:color w:val="000000" w:themeColor="text1"/>
          <w:sz w:val="16"/>
          <w:szCs w:val="16"/>
        </w:rPr>
        <w:softHyphen/>
        <w:t>ностей самолёта являлось то, что центроплан «подложили» под фюзеляж на узлах и он снимался с них при транспортировке. Назначение самолёта — истребитель-перехват</w:t>
      </w:r>
      <w:r w:rsidRPr="00A3026E">
        <w:rPr>
          <w:rFonts w:ascii="Times New Roman" w:hAnsi="Times New Roman"/>
          <w:color w:val="000000" w:themeColor="text1"/>
          <w:sz w:val="16"/>
          <w:szCs w:val="16"/>
        </w:rPr>
        <w:softHyphen/>
        <w:t>чик, истребитель сопровождения, самолёт для борьбы с крупными наземными целями, легкий скоростной бомбардировщик. Вывод по эскизному проекту, сделанный руково</w:t>
      </w:r>
      <w:r w:rsidRPr="00A3026E">
        <w:rPr>
          <w:rFonts w:ascii="Times New Roman" w:hAnsi="Times New Roman"/>
          <w:color w:val="000000" w:themeColor="text1"/>
          <w:sz w:val="16"/>
          <w:szCs w:val="16"/>
        </w:rPr>
        <w:softHyphen/>
        <w:t>дством ВВС: «Включить в план опытного строительства на 1941 г.».</w:t>
      </w:r>
    </w:p>
    <w:p w14:paraId="28493C31"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плане опытного самолётостроения на 1940-1941 гг. стоял и двухмоторный истре</w:t>
      </w:r>
      <w:r w:rsidRPr="00A3026E">
        <w:rPr>
          <w:rFonts w:ascii="Times New Roman" w:hAnsi="Times New Roman"/>
          <w:color w:val="000000" w:themeColor="text1"/>
          <w:sz w:val="16"/>
          <w:szCs w:val="16"/>
        </w:rPr>
        <w:softHyphen/>
        <w:t>битель ОКО-8 с двумя моторами АМ-36. Работа по самолёту велась на заводе № 81. Но поскольку моторы АМ-36 построить так и не смогли, то их решили заменить на М-90 (15828).</w:t>
      </w:r>
    </w:p>
    <w:p w14:paraId="1C96DACD" w14:textId="77777777" w:rsidR="006B3E48" w:rsidRPr="00A3026E" w:rsidRDefault="006B3E48" w:rsidP="00A3026E">
      <w:pPr>
        <w:spacing w:after="0" w:line="240" w:lineRule="auto"/>
        <w:jc w:val="both"/>
        <w:rPr>
          <w:rFonts w:ascii="Times New Roman" w:hAnsi="Times New Roman"/>
          <w:color w:val="000000" w:themeColor="text1"/>
          <w:sz w:val="16"/>
          <w:szCs w:val="16"/>
        </w:rPr>
      </w:pPr>
    </w:p>
    <w:p w14:paraId="6254AA62"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проект самолета Сузанова с кольцевым крылом диаметром 3 м, с расчетной максимальной скоростью 600 км/ч, которая обеспечивалась двигателем «Испано-Сюиза» мощностью 800 л.с. докладывался командованию ВВС и был рассмотрен на научно-техническом совете ЦАГИ под председательством академика Б. Н. Юрьева. Работам по изготовлению продувочных моделей и исследованиям в аэродинамической трубе помешали начало войны и эвакуация института. Модели самолета короткого взлета и посадки, получившего название «Кольцеплан», были изготовлены под руководством М. В. Суханова в Новосибирске, в 1942 г.</w:t>
      </w:r>
    </w:p>
    <w:p w14:paraId="65196F7B"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Важное достоинство «Кольцеплана» — способность кольца-крыла развивать подъемную силу до весьма высоких (до 43°) значений углов атаки, что при большой энерговооруженности истребителя обеспечивало возможность короткого, близкого к вертикальному, взлета. При этом самолет-кольцеплан обладал антиштопорными свойствами, высокой и своеобразной маневренностью.</w:t>
      </w:r>
    </w:p>
    <w:p w14:paraId="1BD6A185"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Организованная при поддержке Н. Н. Поликарпова инициативная конструкторская группа разработала проект самолета-истребителя с кольцевым крылом. Одновременно в Новосибирске была построена летающая модель кольцеплана с двумя соосными винтами. При испытаниях модели присутствовал профессор В. П. Ветчинкин. Результаты испытаний признаны успешными (15541).</w:t>
      </w:r>
    </w:p>
    <w:p w14:paraId="13FF2B02" w14:textId="77777777" w:rsidR="006B3E48" w:rsidRPr="00A3026E" w:rsidRDefault="006B3E48" w:rsidP="00A3026E">
      <w:pPr>
        <w:spacing w:after="0" w:line="240" w:lineRule="auto"/>
        <w:jc w:val="both"/>
        <w:rPr>
          <w:rFonts w:ascii="Times New Roman" w:hAnsi="Times New Roman"/>
          <w:color w:val="000000" w:themeColor="text1"/>
          <w:sz w:val="16"/>
          <w:szCs w:val="16"/>
        </w:rPr>
      </w:pPr>
    </w:p>
    <w:p w14:paraId="3F21AE57"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Четвериков, занимаясь глубокими модификациями своего серийного самолета Че-2 (МБР-6), пытался, чтобы его летающие лодки были как можно ближе к сухопутным машинам по основным полетным характеристикам: скорости, маневренности и т.д. Видимо, для того чтобы иметь наиболее близкое и полное представление об этих запредельных самолетах, он и включился в массовые гонки по созданию лучшего истребителя в предвоенные годы.</w:t>
      </w:r>
    </w:p>
    <w:p w14:paraId="0A2A0571"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 чтобы его проект был бы наиболее реальным, он вооружил свой трехместный истребитель только пушками. В носовой части корпуса была установлена пушка Я.Г.Таубина калибра 37 мм. Еще два орудия ШВАК-20 находились по сторонам от главной пушки. Оборонительное вооружение самолета включало две пушки ШВАК. Одна из них стояла в кабине штурмана и еще одна в выдвижной кабине стрелка.</w:t>
      </w:r>
    </w:p>
    <w:p w14:paraId="091F7E9F"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Фюзеляж имел круглое, приплюснутое по бортам сечение и очень чистые формы. Остальные крупные агрегаты конструктор использовал со своего гидросамолета БМР-6А.</w:t>
      </w:r>
    </w:p>
    <w:p w14:paraId="18494094"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Консоли крыла были взяты без изменений и крепились к фюзеляжу по среднепланной схеме на прямом центроплане, выполненном без традиционных изломов типа "чайки". По размаху оно осталось прежним с теми же элеронами и щитками-закрылками.</w:t>
      </w:r>
    </w:p>
    <w:p w14:paraId="4D3F24B0"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Хвостовое оперение вместе с двумя килями также осталось без изменений.</w:t>
      </w:r>
    </w:p>
    <w:p w14:paraId="0A6F5340"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Мотогондолы, расположенные прежде над крылом, во избежание попаданий винтов в воду, были для нового самолета приопущены вниз до совпадения их верхних контуров с верхней поверхностью крыла.</w:t>
      </w:r>
    </w:p>
    <w:p w14:paraId="6BD97386"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Шасси было сделано трехколесным с носовым колесом.</w:t>
      </w:r>
    </w:p>
    <w:p w14:paraId="1031BB24"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Кабина летчика имела прекрасный обзор и в полете закрывались крышкой, откидывающейся вправо. Штурман занимал свое место через свой открытый фонарь и усаживался спиной к пилоту. Бортовой стрелок попадал в свою кабину через верхний люк и имел возможность занимать сидячее положение на откидном месте, а при стрельбе назад-вниз он прицеливался и вел огонь из лежачего положения. В аварийной ситуации летчик и штурман могли беспрепятственно покинуть свои рабочие места в любом порядке. Хвостовой стрелок мог покинуть самолет через верхний люк, а также, не меняя лежачего положения он мог соскользнуть по качающейся кабине открыв один замок, который удерживал кабину в рабочем положении.</w:t>
      </w:r>
    </w:p>
    <w:p w14:paraId="5EE51770"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Водяные радиаторы были сделаны выдвижными из центроплана крыла вниз, а маслорадиаторы были размещены в мотогондолах.</w:t>
      </w:r>
    </w:p>
    <w:p w14:paraId="15C108D8"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целом проект самолета ППИ так и не получил официального обозначения Че-1, так как с началом войны все внимание ОКБ-256, которым руководил И.В.Четвериков, было занято доводкой и ремонтом серийных образцов Че-2 и опытным производством модификаций МБР-6.</w:t>
      </w:r>
    </w:p>
    <w:p w14:paraId="297D0230"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ЛТХ ППИ (Че-1)</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5661"/>
        <w:gridCol w:w="5661"/>
      </w:tblGrid>
      <w:tr w:rsidR="00983732" w:rsidRPr="00A3026E" w14:paraId="0E23A3A2" w14:textId="77777777" w:rsidTr="002C5435">
        <w:trPr>
          <w:tblCellSpacing w:w="0" w:type="dxa"/>
        </w:trPr>
        <w:tc>
          <w:tcPr>
            <w:tcW w:w="250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3BC9BC5C"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w:t>
            </w:r>
          </w:p>
        </w:tc>
        <w:tc>
          <w:tcPr>
            <w:tcW w:w="250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454BF5DB"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ППИ (Че-1)</w:t>
            </w:r>
          </w:p>
        </w:tc>
      </w:tr>
      <w:tr w:rsidR="00983732" w:rsidRPr="00A3026E" w14:paraId="59C0A1DE"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84945DD"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Год выпуска</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E09D1C0"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r>
      <w:tr w:rsidR="00983732" w:rsidRPr="00A3026E" w14:paraId="102A5607"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E0EA9E0"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Силовая установка</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397C341"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2×АМ-107</w:t>
            </w:r>
          </w:p>
        </w:tc>
      </w:tr>
      <w:tr w:rsidR="00983732" w:rsidRPr="00A3026E" w14:paraId="19921199" w14:textId="77777777" w:rsidTr="002C5435">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33313F9"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л.с.</w:t>
            </w:r>
          </w:p>
        </w:tc>
      </w:tr>
      <w:tr w:rsidR="00983732" w:rsidRPr="00A3026E" w14:paraId="526032E5"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3B9E1C4"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взлетная</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D16E51B"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2×1400</w:t>
            </w:r>
          </w:p>
        </w:tc>
      </w:tr>
      <w:tr w:rsidR="00983732" w:rsidRPr="00A3026E" w14:paraId="51F37949"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F8D5F38"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номинальная на Н=4500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D8AD3FD"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2×1250</w:t>
            </w:r>
          </w:p>
        </w:tc>
      </w:tr>
      <w:tr w:rsidR="00983732" w:rsidRPr="00A3026E" w14:paraId="5A623C48" w14:textId="77777777" w:rsidTr="002C5435">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480C069"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максимальная, км/ч</w:t>
            </w:r>
          </w:p>
        </w:tc>
      </w:tr>
      <w:tr w:rsidR="00983732" w:rsidRPr="00A3026E" w14:paraId="30BA53F9"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5AF8295"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 земли</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9313B3D"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w:t>
            </w:r>
          </w:p>
        </w:tc>
      </w:tr>
      <w:tr w:rsidR="00983732" w:rsidRPr="00A3026E" w14:paraId="7868B8F3"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73455DD"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Н=4500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DCEFA65"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640</w:t>
            </w:r>
          </w:p>
        </w:tc>
      </w:tr>
      <w:tr w:rsidR="00983732" w:rsidRPr="00A3026E" w14:paraId="75D70999"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48C2E52"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м,мин</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0D9FD4B"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w:t>
            </w:r>
          </w:p>
        </w:tc>
      </w:tr>
      <w:tr w:rsidR="00983732" w:rsidRPr="00A3026E" w14:paraId="34FEE96F"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5982D63"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A122414"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11000</w:t>
            </w:r>
          </w:p>
        </w:tc>
      </w:tr>
      <w:tr w:rsidR="00983732" w:rsidRPr="00A3026E" w14:paraId="180A9B32"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24E1CD2"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км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9B4616D"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w:t>
            </w:r>
          </w:p>
        </w:tc>
      </w:tr>
      <w:tr w:rsidR="00983732" w:rsidRPr="00A3026E" w14:paraId="0BB2C235"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9F085BC"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крыла,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B475C75"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17,00</w:t>
            </w:r>
          </w:p>
        </w:tc>
      </w:tr>
      <w:tr w:rsidR="00983732" w:rsidRPr="00A3026E" w14:paraId="5E1D4278"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3D12C97"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AA885AE"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15,02</w:t>
            </w:r>
          </w:p>
        </w:tc>
      </w:tr>
      <w:tr w:rsidR="00983732" w:rsidRPr="00A3026E" w14:paraId="088715D2"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38BE2C4"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м²</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88745A1"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25,80</w:t>
            </w:r>
          </w:p>
        </w:tc>
      </w:tr>
      <w:tr w:rsidR="00983732" w:rsidRPr="00A3026E" w14:paraId="15A1F0A2"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15CD515"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пустого самолета, кг</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1675E86"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4490</w:t>
            </w:r>
          </w:p>
        </w:tc>
      </w:tr>
      <w:tr w:rsidR="00983732" w:rsidRPr="00A3026E" w14:paraId="5C347913"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09921F1"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топлива,кг ( норм./макс.)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DB7B8AD"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800/1200</w:t>
            </w:r>
          </w:p>
        </w:tc>
      </w:tr>
      <w:tr w:rsidR="00983732" w:rsidRPr="00A3026E" w14:paraId="71CF9D87"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415A408"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Взлетный вес, кг</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D42AC10"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5140</w:t>
            </w:r>
          </w:p>
        </w:tc>
      </w:tr>
    </w:tbl>
    <w:p w14:paraId="44DB3B54" w14:textId="77777777" w:rsidR="006B3E48" w:rsidRPr="00A3026E" w:rsidRDefault="006B3E48" w:rsidP="00A3026E">
      <w:pPr>
        <w:spacing w:after="0" w:line="240" w:lineRule="auto"/>
        <w:jc w:val="both"/>
        <w:rPr>
          <w:rFonts w:ascii="Times New Roman" w:hAnsi="Times New Roman"/>
          <w:color w:val="000000" w:themeColor="text1"/>
          <w:sz w:val="16"/>
          <w:szCs w:val="16"/>
          <w:lang w:val="en-US"/>
        </w:rPr>
      </w:pPr>
      <w:r w:rsidRPr="00A3026E">
        <w:rPr>
          <w:rFonts w:ascii="Times New Roman" w:hAnsi="Times New Roman"/>
          <w:color w:val="000000" w:themeColor="text1"/>
          <w:sz w:val="16"/>
          <w:szCs w:val="16"/>
          <w:lang w:val="en-US"/>
        </w:rPr>
        <w:t>(1554</w:t>
      </w:r>
      <w:r w:rsidRPr="00A3026E">
        <w:rPr>
          <w:rFonts w:ascii="Times New Roman" w:hAnsi="Times New Roman"/>
          <w:color w:val="000000" w:themeColor="text1"/>
          <w:sz w:val="16"/>
          <w:szCs w:val="16"/>
        </w:rPr>
        <w:t>2</w:t>
      </w:r>
      <w:r w:rsidRPr="00A3026E">
        <w:rPr>
          <w:rFonts w:ascii="Times New Roman" w:hAnsi="Times New Roman"/>
          <w:color w:val="000000" w:themeColor="text1"/>
          <w:sz w:val="16"/>
          <w:szCs w:val="16"/>
          <w:lang w:val="en-US"/>
        </w:rPr>
        <w:t>).</w:t>
      </w:r>
    </w:p>
    <w:p w14:paraId="297FE5F3" w14:textId="77777777" w:rsidR="006B3E48" w:rsidRPr="00A3026E" w:rsidRDefault="006B3E48" w:rsidP="00A3026E">
      <w:pPr>
        <w:spacing w:after="0" w:line="240" w:lineRule="auto"/>
        <w:jc w:val="both"/>
        <w:rPr>
          <w:rFonts w:ascii="Times New Roman" w:hAnsi="Times New Roman"/>
          <w:color w:val="000000" w:themeColor="text1"/>
          <w:sz w:val="16"/>
          <w:szCs w:val="16"/>
          <w:lang w:val="en-US"/>
        </w:rPr>
      </w:pPr>
    </w:p>
    <w:p w14:paraId="2AA56C5A"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по заданию ЦАГИ в ОКБ по легким машинам КАИ (Казань) под руководством 3. И, Ицкплича (работал до этого в ОКБ-301 по освоению «Кодронов» до 1939 г.), а с 1940 г. - Г.Н. Воробьева строились два аппарата: УК-1А с упругим крылом и УК-1Б нормальной низкопланной схемы по проекту Беляева. Оба самолета являлись двухместными и отличались только крылом для чистоты сравнительного эксперимента, когда все другие отличия в летных характеристиках можно отнести только ла счет разницы исследуемых крыльев. Поскольку двигатель Ro.1, заложенный еще в проектах Беляева, у нас не прижился, самолеты КАИ рассчитывались под однорядный мотор МВ-6. Из-за меньшей (в два раза) мощности силовой установки максимальная скорость обоих вариантов уже не давала оснований надеяться на установление рекорда скорости. Однако для участия в воздушных гонках эти аппараты вполне подходили, на что, помимо главной цели — эксперимента, конструкторы возлагали свои надежды. Первый из самолетов Казанского авиационного института с упругим крылом был построен в 1940г. Весной следующего года передан заказчиком в ЦАГИ для проведения летных исследований. Они не состоялись из-за загруженности ЦАГИ. При эвакуации самолет и документация по нему были уничтоженыю Второй УК-1 остался недостроенным из-за войны (15581).</w:t>
      </w:r>
    </w:p>
    <w:p w14:paraId="273A80B4" w14:textId="77777777" w:rsidR="006B3E48" w:rsidRPr="00A3026E" w:rsidRDefault="006B3E48" w:rsidP="00A3026E">
      <w:pPr>
        <w:spacing w:after="0" w:line="240" w:lineRule="auto"/>
        <w:jc w:val="both"/>
        <w:rPr>
          <w:rFonts w:ascii="Times New Roman" w:hAnsi="Times New Roman"/>
          <w:color w:val="000000" w:themeColor="text1"/>
          <w:sz w:val="16"/>
          <w:szCs w:val="16"/>
        </w:rPr>
      </w:pPr>
    </w:p>
    <w:p w14:paraId="0A684239"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был проект тюремного ЦКБ-29 №104 А.М.Изаксона, который скомпоновал свой двухмоторный истребитель с двухместной кабиной экипажа. В значительной степени его проект напоминал опытный тяжелый истребитель "Аэрокуда" американской фирмы Белл, а также один из предварительных вариантов проекта истребителя фирмы Локхид - Р-38 "Лайтнинг".</w:t>
      </w:r>
    </w:p>
    <w:p w14:paraId="5CC14D76"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Крыло состояло из трех основных частей: центроплана с прямой передней кромкой и стреловидных +15° (для центровки) консолей. Крыло было двухлонжеронным. На крыле были установлены две мотогондолы. В головной части каждой гондолы были расположены радиаторные группы, и непосредственно за ними задом наперед стояли двигатели водяного охлаждения М-107. Винты при этом были толкающие трехлопастные. То ли для экзотики, то ли не имея должного опыта работы в самолетостроении, Изаксон прямо-таки приспособил (или повторил) руль высоты вместе с его узлами навески от пассажирского самолета ПС-84 (Ли-2). Передняя стойка шасси при уборке выносила свое колесо в самый нос фюзеляжа так, что (при виде спереди) 4 пулемета ШКАС, как бы расступившись, уступили ему место. Еще 4 пулемета ШКАС были выведены стволами сквозь переднюю кромку центроплана, и, таким образом, все восемь стрелковых точек без каких бы то ни было синхронизаторов могли вести огонь по вражеским самолетам. Вскоре стало отчетливо видно, что критический момент в определении габаритов и соответственно веса самолета превышен, и тогда стали задумываться о применении более мощных двигателей. Ими могли быть моторы А.А.Микулина АМ-37, моторы Е.В. Урмина М-90 и т.д. Но это в еще большей степени разнесло бы машину и по весу и по размерам, поэтому Изаксон остановил страсти и решил представить проект с моторами В.Я. Климова, надеясь на дальнейшее совершенствование двигателей этого литража. Так и порешили. Среди прочих конструкторских новинок была необычная система покидания самолета в воздухе в нештатной ситуации. Летчики могли выброситься наружу через открывающиеся нижние люки с парашютом. Покинуть самолет, сбросив фонари, пилотам было бы небезопасно, поскольку сзади них вращались два винта трехметрового диаметра.</w:t>
      </w:r>
    </w:p>
    <w:p w14:paraId="7EC59004"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Охлаждающее масло и водорадиаторные устройства, размещенные впереди двигателей, имели лобовые воздухозаборники. Взлетно-посадочные щитки размещались по задней кромке? крыла и состояли из четырех секций. Планировалась установка радиостанции и самолетное переговорное устройство. Самолет обещал быть весьма "летучим", тем более, что проведенные продувки макета, выполненного | в масштабе 1:1 в трубе Т-101 ЦАГИ, не препятствовали такому заключению.</w:t>
      </w:r>
    </w:p>
    <w:p w14:paraId="7C32D5B9" w14:textId="77777777" w:rsidR="006B3E48" w:rsidRPr="00A3026E" w:rsidRDefault="006B3E48"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самолета "104" остался без реализации по ряду причин. Во-первых, он относился к разряду экспериментальных, во-вторых, самолет получился перетяжеленным и, в-третьих, его опередил истребитель "100" В.М.Петлякова, который затем трансформировался в Пе-2 и Пе-3 (15551).</w:t>
      </w:r>
    </w:p>
    <w:p w14:paraId="453E062E" w14:textId="77777777" w:rsidR="006B3E48" w:rsidRPr="00A3026E" w:rsidRDefault="006B3E48" w:rsidP="00A3026E">
      <w:pPr>
        <w:spacing w:after="0" w:line="240" w:lineRule="auto"/>
        <w:jc w:val="both"/>
        <w:rPr>
          <w:rFonts w:ascii="Times New Roman" w:hAnsi="Times New Roman"/>
          <w:color w:val="000000" w:themeColor="text1"/>
          <w:sz w:val="16"/>
          <w:szCs w:val="16"/>
        </w:rPr>
      </w:pPr>
    </w:p>
    <w:p w14:paraId="777FE2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на заводы НКАП было переведено 30 тыс. высококвалифицированных рабочих из других отраслей и 4 тыс. ИТР (173,200).</w:t>
      </w:r>
    </w:p>
    <w:p w14:paraId="002CFFB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95A9A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НКАП привлекал использование мощностей гражданских, которым в целях проверки моб. готовности поручали выпуск небольших пробных серий самолетов, двигателей и т.п. (173,201).</w:t>
      </w:r>
    </w:p>
    <w:p w14:paraId="03F1480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A63D9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авиапромышленность имела 21 серийный самолетостроительный завод и выпустили 10565 по сравнению с 10237 немецких, но только 86 новых типов (237,192).</w:t>
      </w:r>
    </w:p>
    <w:p w14:paraId="43916CD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D0A88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было начато строительство самолетостроительного завода № 453 НКАП (Завод № 453 НКАП, Минский тракторный завод (МТЗ), ПО «МТЗ», «Беларусь» /Белоруссия 220009  г. Минск ул. Долгобродская, 29/ /Московское представительство:  г. Москва Армянский пер., 6/) в системе 1ГУ начато в 1940 г. По приказу № 262сс от 22.03.1941 г. завод передан в 10ГУ НКАП. С 1941 г. началось освоение производства Су-2.</w:t>
      </w:r>
    </w:p>
    <w:p w14:paraId="58346E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705с от 17.07.1941 г. завод № 453 10ГУ НКАП эвакуирован в Куйбышев и влит в состав завода № 122 НКАП. Выбыл из числа действующих с 07.1941 г.</w:t>
      </w:r>
    </w:p>
    <w:p w14:paraId="6E8F56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новь образовался по приказу № 576с/0193 от 22.09.1944 г. на площадке бывшего завода № 453 НКАП в системе 6ГУ для налаживания сборки Як-9.</w:t>
      </w:r>
    </w:p>
    <w:p w14:paraId="0BEBE5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458с/404с от 21.11.1945 г. завод передан в распоряжение Главтракторопрома НКСМ. 29.05.1946 г. Минский тракторный завод вступил встрой.</w:t>
      </w:r>
    </w:p>
    <w:p w14:paraId="73DA12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трактора и специализированные машины.</w:t>
      </w:r>
    </w:p>
    <w:p w14:paraId="100590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составе ПО (2008 г.)- научно-технический центр.</w:t>
      </w:r>
    </w:p>
    <w:p w14:paraId="408DCE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(10.1940 г.-)-  Г.И. Байдаков, (05.1945 г.)- А.И. Ястребов, М. Леонов. Гендиректор (2008 г.)- А. Пуховой.</w:t>
      </w:r>
    </w:p>
    <w:p w14:paraId="1B32B8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Руководитель Московского представительства (2000 г.)- И.М. Шимко.</w:t>
      </w:r>
    </w:p>
    <w:p w14:paraId="03E583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Создано:</w:t>
      </w:r>
      <w:r w:rsidRPr="00A3026E">
        <w:rPr>
          <w:rFonts w:ascii="Times New Roman" w:hAnsi="Times New Roman"/>
          <w:color w:val="000000" w:themeColor="text1"/>
          <w:sz w:val="16"/>
          <w:szCs w:val="16"/>
        </w:rPr>
        <w:t xml:space="preserve"> гусеничный тягач для ЗРК «Тор».</w:t>
      </w:r>
      <w:r w:rsidRPr="00A3026E">
        <w:rPr>
          <w:rFonts w:ascii="Times New Roman" w:hAnsi="Times New Roman"/>
          <w:color w:val="000000" w:themeColor="text1"/>
          <w:sz w:val="16"/>
          <w:szCs w:val="16"/>
          <w:vertAlign w:val="superscript"/>
        </w:rPr>
        <w:t>58</w:t>
      </w:r>
    </w:p>
    <w:p w14:paraId="16F192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шасси ГМ-352 для ЗСУ 2С6М «Тунгуска».</w:t>
      </w:r>
    </w:p>
    <w:p w14:paraId="4C9C4D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Частное унитарное предприятие «Минотор-Сервис» /Белоруссия 220141  г. Минск ул. Купревича, 38 тел. (37517)285-93-97/</w:t>
      </w:r>
    </w:p>
    <w:p w14:paraId="235BD4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Создано в 1991 г. сотрудниками МТЗ для ремонта, обслуживания и модернизации гусеничной военной техники.</w:t>
      </w:r>
    </w:p>
    <w:p w14:paraId="1504C9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(2000-е): разработка бронетехники; ремонт и модернизация зенитных комплексов «Шилка», «Тунгуска».</w:t>
      </w:r>
    </w:p>
    <w:p w14:paraId="73BE12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(2007 г.)- В. Гребенщиков.</w:t>
      </w:r>
    </w:p>
    <w:p w14:paraId="5DDCEE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Ремонт:</w:t>
      </w:r>
      <w:r w:rsidRPr="00A3026E">
        <w:rPr>
          <w:rFonts w:ascii="Times New Roman" w:hAnsi="Times New Roman"/>
          <w:color w:val="000000" w:themeColor="text1"/>
          <w:sz w:val="16"/>
          <w:szCs w:val="16"/>
        </w:rPr>
        <w:t xml:space="preserve"> гусеничных шасси: ГМ-352 ЗПРК «Тунгуска»; ГМ-569, -577, -579 ЗРК «Бук»; ГМ-568, -578 ЗРК «Куб»; ГМ-575 ЗСУ-23-4 «Шилка»; ГМ-355 ЗРС «Тор» (2000).</w:t>
      </w:r>
    </w:p>
    <w:p w14:paraId="7FC0DE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Создано:</w:t>
      </w:r>
      <w:r w:rsidRPr="00A3026E">
        <w:rPr>
          <w:rFonts w:ascii="Times New Roman" w:hAnsi="Times New Roman"/>
          <w:color w:val="000000" w:themeColor="text1"/>
          <w:sz w:val="16"/>
          <w:szCs w:val="16"/>
        </w:rPr>
        <w:t xml:space="preserve"> легкий танк 2Т «Сталкер» (2000-е), боевой модуль СМ-30 для БМП и БТР (2000-е), гусеничный транспортер ЗТ (2000-е), БРЭМ на базе БТР-70 (2000-е) (11982).</w:t>
      </w:r>
    </w:p>
    <w:p w14:paraId="2520B8F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36386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 Кирове в системе 4ГУ НКАП на площадке переданного из Наркомпроса РСФСР Комбината учебно-технического школьного оборудования (КУТШО) для организации производства электротехнического оборудования был образован ГС Завод № 461 НКАП, Кировский агрегатный завод /г. Киров/. По приказу № 673с от 29.11.1940 г. комбинату присвоено наименование ГС завод № 461 НКАП. Для укрепления кадров нового завода в Киров переведена группа ИТР с завода № 266 НКАП (В. Г. Могилевский, В.А. Абрамов, П.Н. Чемоданов и др.).</w:t>
      </w:r>
    </w:p>
    <w:p w14:paraId="4C2DFE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электрооборудования: авиамагнето, свечей, генераторов «ГС», регуляторных коробок (1941 г.).</w:t>
      </w:r>
    </w:p>
    <w:p w14:paraId="1B9128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1941 г. действовало ОКБ завода, начальник- Н.М. Клюкин.</w:t>
      </w:r>
    </w:p>
    <w:p w14:paraId="2AD7A3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632сс от 5.07.1941 г. на завод переведено оборудование для производства систем «ДУ» с завода № 476 НКАП.</w:t>
      </w:r>
    </w:p>
    <w:p w14:paraId="2D9CF4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приказам № 660сс от 9.07.1941 г. и № 1057сс от 10.10.1941 г. завод № 266 НКАП вместе с ОКБ и опытным цехом эвакуирован в  г. Киров на площадку завода № 461 4ГУ НКАП. По приказу № 1096с от 5.11.1941 г. в результате слияния заводов № 266, № 461 и № 476, так же эвакуированного из Москвы, образован объединенный завод № 266 НКАП. Завод № 461 с 11.1941 г. выбыл из состава действующих.</w:t>
      </w:r>
    </w:p>
    <w:p w14:paraId="795AFB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(12.1940 г.-)- С.Л. Маневич (11982).</w:t>
      </w:r>
    </w:p>
    <w:p w14:paraId="327FA19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568013D" w14:textId="77777777" w:rsidR="0014077F" w:rsidRPr="00A3026E" w:rsidRDefault="0014077F" w:rsidP="00A3026E">
      <w:pPr>
        <w:tabs>
          <w:tab w:val="left" w:pos="296"/>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w:t>
      </w:r>
    </w:p>
    <w:p w14:paraId="62046F01" w14:textId="77777777" w:rsidR="0014077F" w:rsidRPr="00A3026E" w:rsidRDefault="0014077F" w:rsidP="00A3026E">
      <w:pPr>
        <w:tabs>
          <w:tab w:val="left" w:pos="296"/>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Приложение 11</w:t>
      </w:r>
    </w:p>
    <w:p w14:paraId="5F235E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Удельный вес основных советских авиазаводов в авиавыпуске в 1939—1941 гг. (Самолетостроение в СССР... Кн. 1. С. 432—435; Кн. 2. С. 235—237)</w:t>
      </w:r>
    </w:p>
    <w:tbl>
      <w:tblPr>
        <w:tblW w:w="0" w:type="auto"/>
        <w:tblInd w:w="8" w:type="dxa"/>
        <w:tblLayout w:type="fixed"/>
        <w:tblCellMar>
          <w:left w:w="0" w:type="dxa"/>
          <w:right w:w="0" w:type="dxa"/>
        </w:tblCellMar>
        <w:tblLook w:val="0000" w:firstRow="0" w:lastRow="0" w:firstColumn="0" w:lastColumn="0" w:noHBand="0" w:noVBand="0"/>
      </w:tblPr>
      <w:tblGrid>
        <w:gridCol w:w="851"/>
        <w:gridCol w:w="850"/>
        <w:gridCol w:w="4395"/>
      </w:tblGrid>
      <w:tr w:rsidR="00983732" w:rsidRPr="00A3026E" w14:paraId="5C1ABE60" w14:textId="77777777" w:rsidTr="00EA0DA7">
        <w:trPr>
          <w:trHeight w:val="422"/>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6ADF70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18F2A8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Доливавив-</w:t>
            </w:r>
          </w:p>
          <w:p w14:paraId="304039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вьшускс</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AE2DB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Осиовнав продукции</w:t>
            </w:r>
          </w:p>
        </w:tc>
      </w:tr>
      <w:tr w:rsidR="00983732" w:rsidRPr="00A3026E" w14:paraId="187032A2" w14:textId="77777777" w:rsidTr="00EA0DA7">
        <w:trPr>
          <w:trHeight w:val="979"/>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09064F1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 (Москва)</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521482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7EB49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Первоначально специализировался на производстве испребителей- бипланов И-15бис и И-153, однако, по мере угасания интереса высшего руководства к истребителам-бипланам, был переориевсирован ва истребитель МиГ-3. Некоторое врем» на этом завода выпускали ближний бомбардировщик Як-4</w:t>
            </w:r>
          </w:p>
        </w:tc>
      </w:tr>
      <w:tr w:rsidR="00983732" w:rsidRPr="00A3026E" w14:paraId="14F0E3EF" w14:textId="77777777" w:rsidTr="00EA0DA7">
        <w:trPr>
          <w:trHeight w:val="1555"/>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235337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№292 «Сартмбайн» (Саратов)</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A741B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635D7F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Свернул производство Р-10. Долгое время судьба завода была неопределён</w:t>
            </w:r>
            <w:r w:rsidRPr="00A3026E">
              <w:rPr>
                <w:rFonts w:ascii="Times New Roman" w:hAnsi="Times New Roman"/>
                <w:color w:val="000000" w:themeColor="text1"/>
                <w:sz w:val="16"/>
                <w:szCs w:val="16"/>
              </w:rPr>
              <w:softHyphen/>
              <w:t>ной. В связи с тем, что завод № 1 сконцентрировал усилия на</w:t>
            </w:r>
            <w:r w:rsidRPr="00A3026E">
              <w:rPr>
                <w:rFonts w:ascii="Times New Roman" w:hAnsi="Times New Roman"/>
                <w:iCs/>
                <w:color w:val="000000" w:themeColor="text1"/>
                <w:sz w:val="16"/>
                <w:szCs w:val="16"/>
              </w:rPr>
              <w:t xml:space="preserve"> производстве </w:t>
            </w:r>
            <w:r w:rsidRPr="00A3026E">
              <w:rPr>
                <w:rFonts w:ascii="Times New Roman" w:hAnsi="Times New Roman"/>
                <w:color w:val="000000" w:themeColor="text1"/>
                <w:sz w:val="16"/>
                <w:szCs w:val="16"/>
              </w:rPr>
              <w:t>истребителей, «Саркомбайн» рассматривался как головной в массовом производстве лёгких деревянных к металлических самолётов поля боя. Однако с типом такого самолёта руководство ВВС долгое врема определили не могло. На смену Р-10 прочили сперва ХАИ-51, затем ББ-21 конструкции Кочериги. В конце концов завод стал головным в производстве истребителей Як-1</w:t>
            </w:r>
          </w:p>
        </w:tc>
      </w:tr>
      <w:tr w:rsidR="00983732" w:rsidRPr="00A3026E" w14:paraId="5346F312" w14:textId="77777777" w:rsidTr="00EA0DA7">
        <w:trPr>
          <w:trHeight w:val="413"/>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786515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301 (Химки)</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58F79D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E5D7B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Свернул производство учебных самолетов УТ-2, освоил производство истребителей Як-1 и Як-7</w:t>
            </w:r>
          </w:p>
        </w:tc>
      </w:tr>
      <w:tr w:rsidR="00983732" w:rsidRPr="00A3026E" w14:paraId="7EB3F8CE" w14:textId="77777777" w:rsidTr="00EA0DA7">
        <w:trPr>
          <w:trHeight w:val="792"/>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63E7E6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 (Вороне*)</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528AA0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B3DD8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Первоначально был перепрофилирован с произведена бомбардировщика ДБ-3 на новый бомбардировщик того</w:t>
            </w:r>
            <w:r w:rsidRPr="00A3026E">
              <w:rPr>
                <w:rFonts w:ascii="Times New Roman" w:hAnsi="Times New Roman"/>
                <w:iCs/>
                <w:color w:val="000000" w:themeColor="text1"/>
                <w:sz w:val="16"/>
                <w:szCs w:val="16"/>
              </w:rPr>
              <w:t xml:space="preserve"> же</w:t>
            </w:r>
            <w:r w:rsidRPr="00A3026E">
              <w:rPr>
                <w:rFonts w:ascii="Times New Roman" w:hAnsi="Times New Roman"/>
                <w:color w:val="000000" w:themeColor="text1"/>
                <w:sz w:val="16"/>
                <w:szCs w:val="16"/>
              </w:rPr>
              <w:t xml:space="preserve"> класса Ер-2, и после принятия ва вооружение штурмовка Ил-2, стал головным предприятием в производстве штурмовиков</w:t>
            </w:r>
          </w:p>
        </w:tc>
      </w:tr>
      <w:tr w:rsidR="00983732" w:rsidRPr="00A3026E" w14:paraId="63C2236A" w14:textId="77777777" w:rsidTr="00EA0DA7">
        <w:trPr>
          <w:trHeight w:val="408"/>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595CF5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№381 (Ленинград)</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5E334F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0,1%</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18704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Этот завод был передан НКАПу только в 1940 г. и начал освоение производства штурмовика Ил-2</w:t>
            </w:r>
          </w:p>
        </w:tc>
      </w:tr>
      <w:tr w:rsidR="00983732" w:rsidRPr="00A3026E" w14:paraId="5C9607A8" w14:textId="77777777" w:rsidTr="00EA0DA7">
        <w:trPr>
          <w:trHeight w:val="418"/>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29D574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 (Москва)</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7CE4EC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56271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Перешёл от производства бомбардировщиков ДБ-3 к производству бомбардировщиков Пе-2</w:t>
            </w:r>
          </w:p>
        </w:tc>
      </w:tr>
      <w:tr w:rsidR="00983732" w:rsidRPr="00A3026E" w14:paraId="4F73280D" w14:textId="77777777" w:rsidTr="00EA0DA7">
        <w:trPr>
          <w:trHeight w:val="979"/>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02B09F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№124 (Казань)</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CD892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B7F58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В1937—1940 гг., пытачсь освоить последовательно</w:t>
            </w:r>
            <w:r w:rsidRPr="00A3026E">
              <w:rPr>
                <w:rFonts w:ascii="Times New Roman" w:hAnsi="Times New Roman"/>
                <w:iCs/>
                <w:color w:val="000000" w:themeColor="text1"/>
                <w:sz w:val="16"/>
                <w:szCs w:val="16"/>
              </w:rPr>
              <w:t xml:space="preserve"> 6</w:t>
            </w:r>
            <w:r w:rsidRPr="00A3026E">
              <w:rPr>
                <w:rFonts w:ascii="Times New Roman" w:hAnsi="Times New Roman"/>
                <w:color w:val="000000" w:themeColor="text1"/>
                <w:sz w:val="16"/>
                <w:szCs w:val="16"/>
              </w:rPr>
              <w:t xml:space="preserve"> типов самолетов, завод реально не освоил ни одного — довоенный выпуск предприятия ограничился лишь небольшой серией ТБ-7 и штучным производством ДБ-А и ПС-124. В результате отлично оснащённое предприятие так и не сыграло заметной роли в довоенном авиавыпуске</w:t>
            </w:r>
          </w:p>
        </w:tc>
      </w:tr>
      <w:tr w:rsidR="00983732" w:rsidRPr="00A3026E" w14:paraId="59B8784B" w14:textId="77777777" w:rsidTr="00EA0DA7">
        <w:trPr>
          <w:trHeight w:val="413"/>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0FD456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№125 (Иркутск)</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6010463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6B6340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Свернул производство бомбардировщик» СБ и освоил выпуск пикирующих бомбардировщиков Пе-2</w:t>
            </w:r>
          </w:p>
        </w:tc>
      </w:tr>
      <w:tr w:rsidR="00983732" w:rsidRPr="00A3026E" w14:paraId="08867432" w14:textId="77777777" w:rsidTr="00EA0DA7">
        <w:trPr>
          <w:trHeight w:val="408"/>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14EBAE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 (Химки)</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308072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0,8%</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4AB478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Освоил производство амеряшоого (производим но лицензии) транспортного самолёта </w:t>
            </w:r>
            <w:r w:rsidRPr="00A3026E">
              <w:rPr>
                <w:rFonts w:ascii="Times New Roman" w:hAnsi="Times New Roman"/>
                <w:color w:val="000000" w:themeColor="text1"/>
                <w:sz w:val="16"/>
                <w:szCs w:val="16"/>
                <w:lang w:val="en-US"/>
              </w:rPr>
              <w:t>DC</w:t>
            </w:r>
            <w:r w:rsidRPr="00A3026E">
              <w:rPr>
                <w:rFonts w:ascii="Times New Roman" w:hAnsi="Times New Roman"/>
                <w:color w:val="000000" w:themeColor="text1"/>
                <w:sz w:val="16"/>
                <w:szCs w:val="16"/>
              </w:rPr>
              <w:t>-3 (Ли-2)</w:t>
            </w:r>
          </w:p>
        </w:tc>
      </w:tr>
      <w:tr w:rsidR="00983732" w:rsidRPr="00A3026E" w14:paraId="4271DF5D" w14:textId="77777777" w:rsidTr="00EA0DA7">
        <w:trPr>
          <w:trHeight w:val="605"/>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292452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 (Москва)</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717D8B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8647F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Пытался освоить производство лёгкого бомбардировщика Як-4, выпуская его малой серией, в свази со снятием Як-4 с производства прекратил авиавыпуск</w:t>
            </w:r>
          </w:p>
        </w:tc>
      </w:tr>
      <w:tr w:rsidR="00983732" w:rsidRPr="00A3026E" w14:paraId="3FB398A9" w14:textId="77777777" w:rsidTr="00EA0DA7">
        <w:trPr>
          <w:trHeight w:val="432"/>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2592C0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№387 (Ленинград)</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09DDFD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453D8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 передан в ведение НКАП в 1940 г. и вскоре освоил серийный выпуск учебного самолёта У-2</w:t>
            </w:r>
          </w:p>
        </w:tc>
      </w:tr>
      <w:tr w:rsidR="00983732" w:rsidRPr="00A3026E" w14:paraId="69D6DB72" w14:textId="77777777" w:rsidTr="00EA0DA7">
        <w:trPr>
          <w:trHeight w:val="792"/>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67F467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 (с. Семёнов</w:t>
            </w:r>
            <w:r w:rsidRPr="00A3026E">
              <w:rPr>
                <w:rFonts w:ascii="Times New Roman" w:hAnsi="Times New Roman"/>
                <w:color w:val="000000" w:themeColor="text1"/>
                <w:sz w:val="16"/>
                <w:szCs w:val="16"/>
              </w:rPr>
              <w:softHyphen/>
              <w:t>ское Уссурий- ского края)</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262CFC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6ECE9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Бывший авиаремонтный завод, с 1940 г., освоил выпуск учебно-тренировочного самолёта УТ-2</w:t>
            </w:r>
          </w:p>
        </w:tc>
      </w:tr>
      <w:tr w:rsidR="00983732" w:rsidRPr="00A3026E" w14:paraId="3BF6A8EB" w14:textId="77777777" w:rsidTr="00EA0DA7">
        <w:trPr>
          <w:trHeight w:val="413"/>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72ADA7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47 (Ленинград)</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0AED0E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4362AF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Бивший авиаремопный. Авиавыпуск начал в 1934 г. Учебные самолёт УТ-1 и УТ-2</w:t>
            </w:r>
          </w:p>
        </w:tc>
      </w:tr>
      <w:tr w:rsidR="00983732" w:rsidRPr="00A3026E" w14:paraId="67BD9F38" w14:textId="77777777" w:rsidTr="00EA0DA7">
        <w:trPr>
          <w:trHeight w:val="1550"/>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00BB05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 (Ленинград)</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21C660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52782F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Свернул производство учебных самолётов (У-2 и УТ-2), и переключили на производство истребителей ЛАГГ-3. В рамках спурта 1940 г. рассматривался как весьма перспективный объект в плане форсированного производства боевых самолётов. Руководство НКАП рассчитывало, что на этом завода можно будет выпускать по 1200—1500 деревянных и  композитных одно</w:t>
            </w:r>
            <w:r w:rsidRPr="00A3026E">
              <w:rPr>
                <w:rFonts w:ascii="Times New Roman" w:hAnsi="Times New Roman"/>
                <w:color w:val="000000" w:themeColor="text1"/>
                <w:sz w:val="16"/>
                <w:szCs w:val="16"/>
              </w:rPr>
              <w:softHyphen/>
              <w:t>моторных машин в год. Рассматривался также вариант организации там производства 400—500, а в случае проведения крупномасштабной модер</w:t>
            </w:r>
            <w:r w:rsidRPr="00A3026E">
              <w:rPr>
                <w:rFonts w:ascii="Times New Roman" w:hAnsi="Times New Roman"/>
                <w:color w:val="000000" w:themeColor="text1"/>
                <w:sz w:val="16"/>
                <w:szCs w:val="16"/>
              </w:rPr>
              <w:softHyphen/>
              <w:t>низации—до 1200—1500 лёгких пикирующих бомбардировщиков</w:t>
            </w:r>
          </w:p>
        </w:tc>
      </w:tr>
      <w:tr w:rsidR="00983732" w:rsidRPr="00A3026E" w14:paraId="20951634" w14:textId="77777777" w:rsidTr="00EA0DA7">
        <w:trPr>
          <w:trHeight w:val="600"/>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709211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 (Новосибирск)</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2EBF7D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033197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Первоначально планировалось свёртывание выпуска истребитеелй И-16 и освоение ЛАГТ-3, однако уже после начала выпуска нового истребителя было решено переключить завод на производство истребителя Як-7</w:t>
            </w:r>
          </w:p>
        </w:tc>
      </w:tr>
      <w:tr w:rsidR="00983732" w:rsidRPr="00A3026E" w14:paraId="16274E9C" w14:textId="77777777" w:rsidTr="00EA0DA7">
        <w:trPr>
          <w:trHeight w:val="792"/>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128185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 (Горький)</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0DEBBB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77387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Производил истребители, до 1940 г.—И-16. Далее предполагался переход на И-180. После отказа от производства нового поликарповского истре</w:t>
            </w:r>
            <w:r w:rsidRPr="00A3026E">
              <w:rPr>
                <w:rFonts w:ascii="Times New Roman" w:hAnsi="Times New Roman"/>
                <w:color w:val="000000" w:themeColor="text1"/>
                <w:sz w:val="16"/>
                <w:szCs w:val="16"/>
              </w:rPr>
              <w:softHyphen/>
              <w:t>бителя некоторое время обсуждалась возмосжность производства на этом предприятии И-200, однако в итоге завод перешёл ва выпуск ЛАГГ-3</w:t>
            </w:r>
          </w:p>
        </w:tc>
      </w:tr>
      <w:tr w:rsidR="00983732" w:rsidRPr="00A3026E" w14:paraId="704E1B19" w14:textId="77777777" w:rsidTr="00EA0DA7">
        <w:trPr>
          <w:trHeight w:val="413"/>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7CFF7A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 (Таганрог)</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701348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EE05C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Постепенно производство гидросамолётов МБР-2 и МДР-6 было свёрнуто, завод переключился на производство истребителей ЛАГГ-3</w:t>
            </w:r>
          </w:p>
        </w:tc>
      </w:tr>
      <w:tr w:rsidR="00983732" w:rsidRPr="00A3026E" w14:paraId="0DC4B276" w14:textId="77777777" w:rsidTr="00EA0DA7">
        <w:trPr>
          <w:trHeight w:val="600"/>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7F7278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№126 (Ком- соаюяьск н/ Амуре)</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65739E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1F9E0F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Начиная с 1938 осваивал выпуск ДБ-3. В результате к 1941 г., когда заводы европейской части страны начали сокращать производство данного вида бомбардировщика, завод №126 стал крупнейшим производителем ДБ-3</w:t>
            </w:r>
          </w:p>
        </w:tc>
      </w:tr>
      <w:tr w:rsidR="00983732" w:rsidRPr="00A3026E" w14:paraId="271E8573" w14:textId="77777777" w:rsidTr="00EA0DA7">
        <w:trPr>
          <w:trHeight w:val="792"/>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4DFF05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 (Харьков)</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B6FAA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15E5AC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Выпускал легкие бомбардировщики Р-10 и Су-2. Предполпгалось, что вместе с «Саркомбайном» завод № 135 станет основой дм крупномасштабного производства самолётов поля боя. Это позволило бы полвостью освободить завод №1 дяя выпуска истребителей -бипланов семейства И-15</w:t>
            </w:r>
          </w:p>
        </w:tc>
      </w:tr>
      <w:tr w:rsidR="00983732" w:rsidRPr="00A3026E" w14:paraId="7CAB2628" w14:textId="77777777" w:rsidTr="00EA0DA7">
        <w:trPr>
          <w:trHeight w:val="792"/>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58F258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 (Москва)</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643565A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6F892D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Лёгкие бомбардировщики Су-2. Первоначально был основным в СССР центром дирижаблестроения, затем планировался к персоборудованию в опытный завод (как аналог № 156), в ходе предвоенного спурта</w:t>
            </w:r>
            <w:r w:rsidRPr="00A3026E">
              <w:rPr>
                <w:rFonts w:ascii="Times New Roman" w:hAnsi="Times New Roman"/>
                <w:iCs/>
                <w:color w:val="000000" w:themeColor="text1"/>
                <w:sz w:val="16"/>
                <w:szCs w:val="16"/>
              </w:rPr>
              <w:t xml:space="preserve"> был пере</w:t>
            </w:r>
            <w:r w:rsidRPr="00A3026E">
              <w:rPr>
                <w:rFonts w:ascii="Times New Roman" w:hAnsi="Times New Roman"/>
                <w:color w:val="000000" w:themeColor="text1"/>
                <w:sz w:val="16"/>
                <w:szCs w:val="16"/>
              </w:rPr>
              <w:t>ведён на серийное производство</w:t>
            </w:r>
          </w:p>
        </w:tc>
      </w:tr>
      <w:tr w:rsidR="00983732" w:rsidRPr="00A3026E" w14:paraId="4FBA0D46" w14:textId="77777777" w:rsidTr="00EA0DA7">
        <w:trPr>
          <w:trHeight w:val="245"/>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4CE3CF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 (Фили)</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5AA514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0A1E83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Фронтовые бомбардировщики СБ, затем Пе-2</w:t>
            </w:r>
          </w:p>
        </w:tc>
      </w:tr>
    </w:tbl>
    <w:p w14:paraId="2F9C0F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vertAlign w:val="superscript"/>
        </w:rPr>
        <w:footnoteRef/>
      </w:r>
      <w:r w:rsidRPr="00A3026E">
        <w:rPr>
          <w:rFonts w:ascii="Times New Roman" w:hAnsi="Times New Roman"/>
          <w:color w:val="000000" w:themeColor="text1"/>
          <w:sz w:val="16"/>
          <w:szCs w:val="16"/>
        </w:rPr>
        <w:t xml:space="preserve"> ГА РФ. Ф. 8418. Он. 23. Д. 133. Л. 39.</w:t>
      </w:r>
    </w:p>
    <w:p w14:paraId="10FDDA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Строительство завода началось 11932 г., а первая очередь была пущен» в 1936 г. Однако освоение лицензионной мапипш запнулось, поэтому сколько-нибудь значи</w:t>
      </w:r>
      <w:r w:rsidRPr="00A3026E">
        <w:rPr>
          <w:rFonts w:ascii="Times New Roman" w:hAnsi="Times New Roman"/>
          <w:color w:val="000000" w:themeColor="text1"/>
          <w:sz w:val="16"/>
          <w:szCs w:val="16"/>
        </w:rPr>
        <w:softHyphen/>
        <w:t>мый авиавьшусх завода пришблс* уже на последние предвоенные годы. » ГА РФ. Ф. 8418. Оп. 23. Д. 133. Л. 184. "Там же. Л. 180.</w:t>
      </w:r>
    </w:p>
    <w:p w14:paraId="75BB0F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 Таланова ЛЯ.</w:t>
      </w:r>
      <w:r w:rsidRPr="00A3026E">
        <w:rPr>
          <w:rFonts w:ascii="Times New Roman" w:hAnsi="Times New Roman"/>
          <w:color w:val="000000" w:themeColor="text1"/>
          <w:sz w:val="16"/>
          <w:szCs w:val="16"/>
        </w:rPr>
        <w:t xml:space="preserve"> Советская военная авиапромышленность в 1929—1945 гг. на при</w:t>
      </w:r>
      <w:r w:rsidRPr="00A3026E">
        <w:rPr>
          <w:rFonts w:ascii="Times New Roman" w:hAnsi="Times New Roman"/>
          <w:color w:val="000000" w:themeColor="text1"/>
          <w:sz w:val="16"/>
          <w:szCs w:val="16"/>
        </w:rPr>
        <w:softHyphen/>
        <w:t>мере завода № 21. Дис. на соискание уч. ст. к.и.н. Нижний Новгород, 1999. - Л. 115.</w:t>
      </w:r>
    </w:p>
    <w:p w14:paraId="2455C1E9" w14:textId="77777777" w:rsidR="0014077F" w:rsidRPr="00A3026E" w:rsidRDefault="0014077F" w:rsidP="00A3026E">
      <w:pPr>
        <w:tabs>
          <w:tab w:val="left" w:pos="296"/>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анализе таблицы, обраща</w:t>
      </w:r>
      <w:r w:rsidRPr="00A3026E">
        <w:rPr>
          <w:rFonts w:ascii="Times New Roman" w:hAnsi="Times New Roman"/>
          <w:color w:val="000000" w:themeColor="text1"/>
          <w:sz w:val="16"/>
          <w:szCs w:val="16"/>
        </w:rPr>
        <w:softHyphen/>
        <w:t>ет на себя внимание медленная, но тем не менее несомнен</w:t>
      </w:r>
      <w:r w:rsidRPr="00A3026E">
        <w:rPr>
          <w:rFonts w:ascii="Times New Roman" w:hAnsi="Times New Roman"/>
          <w:color w:val="000000" w:themeColor="text1"/>
          <w:sz w:val="16"/>
          <w:szCs w:val="16"/>
        </w:rPr>
        <w:softHyphen/>
        <w:t>ная, деконцентрация авиавыпуска. Если в 1930—1939 гг. 80 % авиавыпуска приходилось на 4 завода, то в предвоенное трёхлетие 5 авиапредприятий (№ 1,18,23,21,22) выпускали 70 % самолётов. Следует выделить особо 2 обстоятельства: во-первых, в пятёрку «тяжеловесов», определяющих поло</w:t>
      </w:r>
      <w:r w:rsidRPr="00A3026E">
        <w:rPr>
          <w:rFonts w:ascii="Times New Roman" w:hAnsi="Times New Roman"/>
          <w:color w:val="000000" w:themeColor="text1"/>
          <w:sz w:val="16"/>
          <w:szCs w:val="16"/>
        </w:rPr>
        <w:softHyphen/>
        <w:t>жение дел в отрасли в целом, вошёл воронежский авиазавод № 18, во-вторых, хотя удельный вес авиазавода № 22 в производстве тяжёлых многомоторных цельнометаллических самолётов несколько снизился, на долю этого завода всё ещё приходилось свыше половины (50,9 %) таких аэропланов (12011).</w:t>
      </w:r>
    </w:p>
    <w:p w14:paraId="08FCBB93" w14:textId="77777777" w:rsidR="0014077F" w:rsidRPr="00A3026E" w:rsidRDefault="0014077F" w:rsidP="00A3026E">
      <w:pPr>
        <w:tabs>
          <w:tab w:val="left" w:pos="296"/>
        </w:tabs>
        <w:spacing w:after="0" w:line="240" w:lineRule="auto"/>
        <w:jc w:val="both"/>
        <w:rPr>
          <w:rFonts w:ascii="Times New Roman" w:hAnsi="Times New Roman"/>
          <w:color w:val="000000" w:themeColor="text1"/>
          <w:sz w:val="16"/>
          <w:szCs w:val="16"/>
        </w:rPr>
      </w:pPr>
    </w:p>
    <w:p w14:paraId="62B4A5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ассигнования на Авиапром составили 40% всего военного бюджета СССР (66,210).</w:t>
      </w:r>
    </w:p>
    <w:p w14:paraId="4730D6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НИР и ОКР истратили 492 млн. (237,193), что было не мало, учитывая, что цена самолета истребителя составляла в среднем от 200 (И-16) до 500 тыс. (И-26), а бомбардировщика от 500 (ДБ-3Ф) до 1500 тыс. (ТБ-7 (АНТ-42)).</w:t>
      </w:r>
    </w:p>
    <w:p w14:paraId="37A3FC6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91798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ОКО завода (ОКО, ОКБ завода № 132 НКАП, ОКБ-132 МАП /г. Москва;  г. Сим Челябинской обл./) преобразован в ОКБ.</w:t>
      </w:r>
    </w:p>
    <w:p w14:paraId="093786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самопускам авиамоторов (инерционным, воздушным, пиротехническим). Разработка моторных подогревателей.</w:t>
      </w:r>
    </w:p>
    <w:p w14:paraId="3221FF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приказу № 539с от </w:t>
      </w:r>
    </w:p>
    <w:p w14:paraId="5D48257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 октября 1940 г. при заводе (№ 132 НКТП, НКОП, НКАП, Завод № 1 УВВС, нктп, Симский механический завод («Симза»), Симское агрегатное ПО, АООТ, ОАО «Агрегат» /г. Москва ул. Бутырская, 58/ /456020  г. Сим Инжерского р-на Челябинской обл. ул. Пушкина, 1 тел. 35-89-90/) образована небольшая конструкторская группа по синхронизаторам. Начальник группы- К.Н. Спажев, зам. начальника- Р. Г. Берестецкий.</w:t>
      </w:r>
    </w:p>
    <w:p w14:paraId="33D2FD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ОКБ эвакуируется вместе с заводом в  г. Сим на площадку завода № 444 НКАП. На новом месте ОКБ разместилось к 11.1941 г.</w:t>
      </w:r>
    </w:p>
    <w:p w14:paraId="405BE5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12с от 5.01.1944 г. часть коллектива ОКБ с работами по регуляторам ВИШ во главе с А.Н. Петелиным вместе с ОКБ-35 и ОКБ-28 переводится в Ступино с образованием единого опытного завода № 25.</w:t>
      </w:r>
      <w:r w:rsidRPr="00A3026E">
        <w:rPr>
          <w:rFonts w:ascii="Times New Roman" w:hAnsi="Times New Roman"/>
          <w:color w:val="000000" w:themeColor="text1"/>
          <w:sz w:val="16"/>
          <w:szCs w:val="16"/>
          <w:vertAlign w:val="superscript"/>
        </w:rPr>
        <w:t xml:space="preserve">36 </w:t>
      </w:r>
      <w:r w:rsidRPr="00A3026E">
        <w:rPr>
          <w:rFonts w:ascii="Times New Roman" w:hAnsi="Times New Roman"/>
          <w:color w:val="000000" w:themeColor="text1"/>
          <w:sz w:val="16"/>
          <w:szCs w:val="16"/>
        </w:rPr>
        <w:t>По приказу № 189с от 14.03.1944 г. гл. конструктором ОКБ назначен Б.М. Янкелевич.</w:t>
      </w:r>
    </w:p>
    <w:p w14:paraId="20868D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системам ВС, КРМ и др.</w:t>
      </w:r>
    </w:p>
    <w:p w14:paraId="64F2A3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1946 г. ОКБ было расформировано.</w:t>
      </w:r>
    </w:p>
    <w:p w14:paraId="4B8040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307с от 15.05.1947 г. ОКБ вновь образовано при заводе № 132 в 8ГУ МАП.</w:t>
      </w:r>
    </w:p>
    <w:p w14:paraId="1245F2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по агрегатам запуска и регулирования оборотов винта.</w:t>
      </w:r>
    </w:p>
    <w:p w14:paraId="208512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440с от 21.06.1948 г. ОКБ-132 ликвидировано.</w:t>
      </w:r>
    </w:p>
    <w:p w14:paraId="2C326F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Гл. конструктор (-04.1940 г.)-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xml:space="preserve">. Груничев, (04.1940 г.-)- А.А. Сибирякин, (24.12.1940-01.1944 г.)- А.Н. Петелин, (14.03.1944 г.-)- Б.М. Янкелевич, (1947 г.)-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Добротворский.</w:t>
      </w:r>
    </w:p>
    <w:p w14:paraId="25E95D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гл. конструктора (04.1940 г.-)- Б.М. Янкелевич (11982).</w:t>
      </w:r>
    </w:p>
    <w:p w14:paraId="04BD53B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E41F8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НКАП сделали специальный строительный главки 25 строительно-монтажных трестов (6,79).</w:t>
      </w:r>
    </w:p>
    <w:p w14:paraId="73E2C4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Конечно же - ЗК.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551"/>
        <w:gridCol w:w="2410"/>
        <w:gridCol w:w="2835"/>
      </w:tblGrid>
      <w:tr w:rsidR="00983732" w:rsidRPr="00A3026E" w14:paraId="23A8329C" w14:textId="77777777" w:rsidTr="00EA0DA7">
        <w:tc>
          <w:tcPr>
            <w:tcW w:w="2802" w:type="dxa"/>
            <w:tcBorders>
              <w:top w:val="single" w:sz="12" w:space="0" w:color="auto"/>
            </w:tcBorders>
          </w:tcPr>
          <w:p w14:paraId="5D96A1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серийных заводов (173,205)</w:t>
            </w:r>
          </w:p>
        </w:tc>
        <w:tc>
          <w:tcPr>
            <w:tcW w:w="2551" w:type="dxa"/>
            <w:tcBorders>
              <w:top w:val="single" w:sz="12" w:space="0" w:color="auto"/>
            </w:tcBorders>
          </w:tcPr>
          <w:p w14:paraId="76BDA65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410" w:type="dxa"/>
            <w:tcBorders>
              <w:top w:val="single" w:sz="12" w:space="0" w:color="auto"/>
            </w:tcBorders>
          </w:tcPr>
          <w:p w14:paraId="64A3AD2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Borders>
              <w:top w:val="single" w:sz="12" w:space="0" w:color="auto"/>
            </w:tcBorders>
          </w:tcPr>
          <w:p w14:paraId="76367EB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0C18D0DA" w14:textId="77777777" w:rsidTr="00EA0DA7">
        <w:tc>
          <w:tcPr>
            <w:tcW w:w="2802" w:type="dxa"/>
          </w:tcPr>
          <w:p w14:paraId="06AA55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самолеты</w:t>
            </w:r>
          </w:p>
        </w:tc>
        <w:tc>
          <w:tcPr>
            <w:tcW w:w="2551" w:type="dxa"/>
          </w:tcPr>
          <w:p w14:paraId="4F9FE120"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410" w:type="dxa"/>
          </w:tcPr>
          <w:p w14:paraId="438C749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7E61E1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моторы</w:t>
            </w:r>
          </w:p>
        </w:tc>
      </w:tr>
      <w:tr w:rsidR="00983732" w:rsidRPr="00A3026E" w14:paraId="7CC948ED" w14:textId="77777777" w:rsidTr="00EA0DA7">
        <w:tc>
          <w:tcPr>
            <w:tcW w:w="2802" w:type="dxa"/>
          </w:tcPr>
          <w:p w14:paraId="2F10F11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551" w:type="dxa"/>
          </w:tcPr>
          <w:p w14:paraId="37FD0A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w:t>
            </w:r>
          </w:p>
        </w:tc>
        <w:tc>
          <w:tcPr>
            <w:tcW w:w="2410" w:type="dxa"/>
          </w:tcPr>
          <w:p w14:paraId="01762A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Ш/Б</w:t>
            </w:r>
          </w:p>
        </w:tc>
        <w:tc>
          <w:tcPr>
            <w:tcW w:w="2835" w:type="dxa"/>
          </w:tcPr>
          <w:p w14:paraId="2D464B7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C0DD91D" w14:textId="77777777" w:rsidTr="00EA0DA7">
        <w:tc>
          <w:tcPr>
            <w:tcW w:w="2802" w:type="dxa"/>
          </w:tcPr>
          <w:p w14:paraId="50FFA2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2551" w:type="dxa"/>
          </w:tcPr>
          <w:p w14:paraId="7A1358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c>
          <w:tcPr>
            <w:tcW w:w="2410" w:type="dxa"/>
          </w:tcPr>
          <w:p w14:paraId="532A613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1BE0043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2D49AD6" w14:textId="77777777" w:rsidTr="00EA0DA7">
        <w:tc>
          <w:tcPr>
            <w:tcW w:w="2802" w:type="dxa"/>
          </w:tcPr>
          <w:p w14:paraId="3A4F1D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c>
          <w:tcPr>
            <w:tcW w:w="2551" w:type="dxa"/>
          </w:tcPr>
          <w:p w14:paraId="0827D9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2410" w:type="dxa"/>
          </w:tcPr>
          <w:p w14:paraId="7BD3B2F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0385E5F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9AF34C9" w14:textId="77777777" w:rsidTr="00EA0DA7">
        <w:tc>
          <w:tcPr>
            <w:tcW w:w="2802" w:type="dxa"/>
          </w:tcPr>
          <w:p w14:paraId="7144D6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1941</w:t>
            </w:r>
          </w:p>
        </w:tc>
        <w:tc>
          <w:tcPr>
            <w:tcW w:w="2551" w:type="dxa"/>
          </w:tcPr>
          <w:p w14:paraId="78EA1A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2410" w:type="dxa"/>
          </w:tcPr>
          <w:p w14:paraId="481410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w:t>
            </w:r>
          </w:p>
        </w:tc>
        <w:tc>
          <w:tcPr>
            <w:tcW w:w="2835" w:type="dxa"/>
          </w:tcPr>
          <w:p w14:paraId="44BAB4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w:t>
            </w:r>
          </w:p>
        </w:tc>
      </w:tr>
      <w:tr w:rsidR="00983732" w:rsidRPr="00A3026E" w14:paraId="01C1234C" w14:textId="77777777" w:rsidTr="00EA0DA7">
        <w:tc>
          <w:tcPr>
            <w:tcW w:w="2802" w:type="dxa"/>
          </w:tcPr>
          <w:p w14:paraId="6188EF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 1941</w:t>
            </w:r>
          </w:p>
        </w:tc>
        <w:tc>
          <w:tcPr>
            <w:tcW w:w="2551" w:type="dxa"/>
          </w:tcPr>
          <w:p w14:paraId="5D6215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- 10 - самолетные агрегаты</w:t>
            </w:r>
          </w:p>
        </w:tc>
        <w:tc>
          <w:tcPr>
            <w:tcW w:w="2410" w:type="dxa"/>
          </w:tcPr>
          <w:p w14:paraId="16CC9E0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42D85EF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3A571056" w14:textId="77777777" w:rsidTr="00EA0DA7">
        <w:tc>
          <w:tcPr>
            <w:tcW w:w="2802" w:type="dxa"/>
          </w:tcPr>
          <w:p w14:paraId="6973D91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551" w:type="dxa"/>
          </w:tcPr>
          <w:p w14:paraId="1C5C80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- 13 - моторные агрегаты</w:t>
            </w:r>
          </w:p>
        </w:tc>
        <w:tc>
          <w:tcPr>
            <w:tcW w:w="2410" w:type="dxa"/>
          </w:tcPr>
          <w:p w14:paraId="23C07F1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2AD7F82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A7BCEB2" w14:textId="77777777" w:rsidTr="00EA0DA7">
        <w:tc>
          <w:tcPr>
            <w:tcW w:w="2802" w:type="dxa"/>
          </w:tcPr>
          <w:p w14:paraId="391A80D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551" w:type="dxa"/>
          </w:tcPr>
          <w:p w14:paraId="48CEA5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- 17 - авиаприборы</w:t>
            </w:r>
          </w:p>
        </w:tc>
        <w:tc>
          <w:tcPr>
            <w:tcW w:w="2410" w:type="dxa"/>
          </w:tcPr>
          <w:p w14:paraId="3AAB672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5CA253F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0B905E50" w14:textId="77777777" w:rsidTr="00EA0DA7">
        <w:tc>
          <w:tcPr>
            <w:tcW w:w="2802" w:type="dxa"/>
          </w:tcPr>
          <w:p w14:paraId="5AB563B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551" w:type="dxa"/>
          </w:tcPr>
          <w:p w14:paraId="7BBE86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- 6 - прокат и металлопродукция</w:t>
            </w:r>
          </w:p>
        </w:tc>
        <w:tc>
          <w:tcPr>
            <w:tcW w:w="2410" w:type="dxa"/>
          </w:tcPr>
          <w:p w14:paraId="572C20A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52EDE5A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8658576" w14:textId="77777777" w:rsidTr="00EA0DA7">
        <w:tc>
          <w:tcPr>
            <w:tcW w:w="2802" w:type="dxa"/>
          </w:tcPr>
          <w:p w14:paraId="3C7ED5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 свыше 100 (173,205)</w:t>
            </w:r>
          </w:p>
        </w:tc>
        <w:tc>
          <w:tcPr>
            <w:tcW w:w="2551" w:type="dxa"/>
          </w:tcPr>
          <w:p w14:paraId="68CB3FD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410" w:type="dxa"/>
          </w:tcPr>
          <w:p w14:paraId="585E42F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333C390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3203E74" w14:textId="77777777" w:rsidTr="00EA0DA7">
        <w:tc>
          <w:tcPr>
            <w:tcW w:w="2802" w:type="dxa"/>
          </w:tcPr>
          <w:p w14:paraId="59BDBC4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551" w:type="dxa"/>
          </w:tcPr>
          <w:p w14:paraId="5EEC19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ОКБ (173,201)</w:t>
            </w:r>
          </w:p>
        </w:tc>
        <w:tc>
          <w:tcPr>
            <w:tcW w:w="2410" w:type="dxa"/>
          </w:tcPr>
          <w:p w14:paraId="22918D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конструкторов</w:t>
            </w:r>
          </w:p>
        </w:tc>
        <w:tc>
          <w:tcPr>
            <w:tcW w:w="2835" w:type="dxa"/>
          </w:tcPr>
          <w:p w14:paraId="44FFC47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1C2F3339" w14:textId="77777777" w:rsidTr="00EA0DA7">
        <w:tc>
          <w:tcPr>
            <w:tcW w:w="2802" w:type="dxa"/>
          </w:tcPr>
          <w:p w14:paraId="2708B7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1935 </w:t>
            </w:r>
          </w:p>
        </w:tc>
        <w:tc>
          <w:tcPr>
            <w:tcW w:w="2551" w:type="dxa"/>
          </w:tcPr>
          <w:p w14:paraId="146E5E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w:t>
            </w:r>
          </w:p>
        </w:tc>
        <w:tc>
          <w:tcPr>
            <w:tcW w:w="2410" w:type="dxa"/>
          </w:tcPr>
          <w:p w14:paraId="69216D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1370</w:t>
            </w:r>
          </w:p>
        </w:tc>
        <w:tc>
          <w:tcPr>
            <w:tcW w:w="2835" w:type="dxa"/>
          </w:tcPr>
          <w:p w14:paraId="4271A0B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1AFA8BA" w14:textId="77777777" w:rsidTr="00EA0DA7">
        <w:tc>
          <w:tcPr>
            <w:tcW w:w="2802" w:type="dxa"/>
          </w:tcPr>
          <w:p w14:paraId="59CCC1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1936</w:t>
            </w:r>
          </w:p>
        </w:tc>
        <w:tc>
          <w:tcPr>
            <w:tcW w:w="2551" w:type="dxa"/>
          </w:tcPr>
          <w:p w14:paraId="1F2E53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c>
          <w:tcPr>
            <w:tcW w:w="2410" w:type="dxa"/>
          </w:tcPr>
          <w:p w14:paraId="4F52A0E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2FF413F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A18FA48" w14:textId="77777777" w:rsidTr="00EA0DA7">
        <w:tc>
          <w:tcPr>
            <w:tcW w:w="2802" w:type="dxa"/>
          </w:tcPr>
          <w:p w14:paraId="0AE8BC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1937</w:t>
            </w:r>
          </w:p>
        </w:tc>
        <w:tc>
          <w:tcPr>
            <w:tcW w:w="2551" w:type="dxa"/>
          </w:tcPr>
          <w:p w14:paraId="1DA432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2410" w:type="dxa"/>
          </w:tcPr>
          <w:p w14:paraId="3F351BE0"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737B3E7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12FB07CB" w14:textId="77777777" w:rsidTr="00EA0DA7">
        <w:tc>
          <w:tcPr>
            <w:tcW w:w="2802" w:type="dxa"/>
          </w:tcPr>
          <w:p w14:paraId="0B4670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w:t>
            </w:r>
          </w:p>
        </w:tc>
        <w:tc>
          <w:tcPr>
            <w:tcW w:w="2551" w:type="dxa"/>
          </w:tcPr>
          <w:p w14:paraId="286612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2410" w:type="dxa"/>
          </w:tcPr>
          <w:p w14:paraId="6ED1548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Pr>
          <w:p w14:paraId="6FA473C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E08E13A" w14:textId="77777777" w:rsidTr="00EA0DA7">
        <w:tc>
          <w:tcPr>
            <w:tcW w:w="2802" w:type="dxa"/>
          </w:tcPr>
          <w:p w14:paraId="4366B0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2551" w:type="dxa"/>
          </w:tcPr>
          <w:p w14:paraId="558E93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2410" w:type="dxa"/>
          </w:tcPr>
          <w:p w14:paraId="59BE07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3166</w:t>
            </w:r>
          </w:p>
        </w:tc>
        <w:tc>
          <w:tcPr>
            <w:tcW w:w="2835" w:type="dxa"/>
          </w:tcPr>
          <w:p w14:paraId="6A3067B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CA36284" w14:textId="77777777" w:rsidTr="00EA0DA7">
        <w:tc>
          <w:tcPr>
            <w:tcW w:w="2802" w:type="dxa"/>
            <w:tcBorders>
              <w:bottom w:val="single" w:sz="12" w:space="0" w:color="auto"/>
            </w:tcBorders>
          </w:tcPr>
          <w:p w14:paraId="15B55B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базы ОКБ были на заводах: 1, 18, 21, 22, 31, 39, 115, 156</w:t>
            </w:r>
          </w:p>
        </w:tc>
        <w:tc>
          <w:tcPr>
            <w:tcW w:w="2551" w:type="dxa"/>
            <w:tcBorders>
              <w:bottom w:val="single" w:sz="12" w:space="0" w:color="auto"/>
            </w:tcBorders>
          </w:tcPr>
          <w:p w14:paraId="699404C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410" w:type="dxa"/>
            <w:tcBorders>
              <w:bottom w:val="single" w:sz="12" w:space="0" w:color="auto"/>
            </w:tcBorders>
          </w:tcPr>
          <w:p w14:paraId="6E88789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5" w:type="dxa"/>
            <w:tcBorders>
              <w:bottom w:val="single" w:sz="12" w:space="0" w:color="auto"/>
            </w:tcBorders>
          </w:tcPr>
          <w:p w14:paraId="0488514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bl>
    <w:p w14:paraId="23074B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Проектирование, строительство и испытания (173,202)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8"/>
        <w:gridCol w:w="2836"/>
        <w:gridCol w:w="1439"/>
        <w:gridCol w:w="1439"/>
        <w:gridCol w:w="1963"/>
        <w:gridCol w:w="1962"/>
      </w:tblGrid>
      <w:tr w:rsidR="00983732" w:rsidRPr="00A3026E" w14:paraId="3190C125" w14:textId="77777777" w:rsidTr="00EA0DA7">
        <w:tc>
          <w:tcPr>
            <w:tcW w:w="958" w:type="dxa"/>
            <w:tcBorders>
              <w:top w:val="single" w:sz="12" w:space="0" w:color="auto"/>
            </w:tcBorders>
          </w:tcPr>
          <w:p w14:paraId="69EC31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Год</w:t>
            </w:r>
          </w:p>
        </w:tc>
        <w:tc>
          <w:tcPr>
            <w:tcW w:w="2836" w:type="dxa"/>
            <w:tcBorders>
              <w:top w:val="single" w:sz="12" w:space="0" w:color="auto"/>
            </w:tcBorders>
          </w:tcPr>
          <w:p w14:paraId="252B64E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439" w:type="dxa"/>
            <w:tcBorders>
              <w:top w:val="single" w:sz="12" w:space="0" w:color="auto"/>
            </w:tcBorders>
          </w:tcPr>
          <w:p w14:paraId="0CCBED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опытных</w:t>
            </w:r>
          </w:p>
        </w:tc>
        <w:tc>
          <w:tcPr>
            <w:tcW w:w="1439" w:type="dxa"/>
            <w:tcBorders>
              <w:top w:val="single" w:sz="12" w:space="0" w:color="auto"/>
            </w:tcBorders>
          </w:tcPr>
          <w:p w14:paraId="0654EFB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963" w:type="dxa"/>
            <w:tcBorders>
              <w:top w:val="single" w:sz="12" w:space="0" w:color="auto"/>
            </w:tcBorders>
          </w:tcPr>
          <w:p w14:paraId="037C37F0"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962" w:type="dxa"/>
            <w:tcBorders>
              <w:top w:val="single" w:sz="12" w:space="0" w:color="auto"/>
            </w:tcBorders>
          </w:tcPr>
          <w:p w14:paraId="4F7AB57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F3E2BD4" w14:textId="77777777" w:rsidTr="00EA0DA7">
        <w:tc>
          <w:tcPr>
            <w:tcW w:w="958" w:type="dxa"/>
          </w:tcPr>
          <w:p w14:paraId="194E684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6" w:type="dxa"/>
          </w:tcPr>
          <w:p w14:paraId="700362B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439" w:type="dxa"/>
          </w:tcPr>
          <w:p w14:paraId="4CEE775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439" w:type="dxa"/>
          </w:tcPr>
          <w:p w14:paraId="736550C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963" w:type="dxa"/>
          </w:tcPr>
          <w:p w14:paraId="10D9762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962" w:type="dxa"/>
          </w:tcPr>
          <w:p w14:paraId="01979510"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2D7F724" w14:textId="77777777" w:rsidTr="00EA0DA7">
        <w:tc>
          <w:tcPr>
            <w:tcW w:w="958" w:type="dxa"/>
          </w:tcPr>
          <w:p w14:paraId="7F24338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6" w:type="dxa"/>
          </w:tcPr>
          <w:p w14:paraId="2AD929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Проектирование, строительство,</w:t>
            </w:r>
          </w:p>
        </w:tc>
        <w:tc>
          <w:tcPr>
            <w:tcW w:w="1439" w:type="dxa"/>
          </w:tcPr>
          <w:p w14:paraId="681CF41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439" w:type="dxa"/>
          </w:tcPr>
          <w:p w14:paraId="39CD3B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 испытания</w:t>
            </w:r>
          </w:p>
        </w:tc>
        <w:tc>
          <w:tcPr>
            <w:tcW w:w="1963" w:type="dxa"/>
          </w:tcPr>
          <w:p w14:paraId="115F1EA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962" w:type="dxa"/>
          </w:tcPr>
          <w:p w14:paraId="092746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Принято в серию</w:t>
            </w:r>
          </w:p>
        </w:tc>
      </w:tr>
      <w:tr w:rsidR="00983732" w:rsidRPr="00A3026E" w14:paraId="756271D9" w14:textId="77777777" w:rsidTr="00EA0DA7">
        <w:tc>
          <w:tcPr>
            <w:tcW w:w="958" w:type="dxa"/>
          </w:tcPr>
          <w:p w14:paraId="7230F72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6" w:type="dxa"/>
          </w:tcPr>
          <w:p w14:paraId="5B8622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первичные испытания</w:t>
            </w:r>
          </w:p>
        </w:tc>
        <w:tc>
          <w:tcPr>
            <w:tcW w:w="1439" w:type="dxa"/>
          </w:tcPr>
          <w:p w14:paraId="43F2F78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439" w:type="dxa"/>
          </w:tcPr>
          <w:p w14:paraId="5B0DFD8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963" w:type="dxa"/>
          </w:tcPr>
          <w:p w14:paraId="42C52DC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962" w:type="dxa"/>
          </w:tcPr>
          <w:p w14:paraId="217A8C3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6D35244A" w14:textId="77777777" w:rsidTr="00EA0DA7">
        <w:tc>
          <w:tcPr>
            <w:tcW w:w="958" w:type="dxa"/>
          </w:tcPr>
          <w:p w14:paraId="5CB6776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6" w:type="dxa"/>
          </w:tcPr>
          <w:p w14:paraId="5F10C2D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439" w:type="dxa"/>
          </w:tcPr>
          <w:p w14:paraId="211003C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439" w:type="dxa"/>
          </w:tcPr>
          <w:p w14:paraId="7E6CE5C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963" w:type="dxa"/>
          </w:tcPr>
          <w:p w14:paraId="32B87F0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962" w:type="dxa"/>
          </w:tcPr>
          <w:p w14:paraId="6AEEFB8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A2050ED" w14:textId="77777777" w:rsidTr="00EA0DA7">
        <w:tc>
          <w:tcPr>
            <w:tcW w:w="958" w:type="dxa"/>
          </w:tcPr>
          <w:p w14:paraId="2ABE239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836" w:type="dxa"/>
          </w:tcPr>
          <w:p w14:paraId="5B6849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Новые</w:t>
            </w:r>
          </w:p>
        </w:tc>
        <w:tc>
          <w:tcPr>
            <w:tcW w:w="1439" w:type="dxa"/>
          </w:tcPr>
          <w:p w14:paraId="4ADF21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Модификации</w:t>
            </w:r>
          </w:p>
        </w:tc>
        <w:tc>
          <w:tcPr>
            <w:tcW w:w="1439" w:type="dxa"/>
          </w:tcPr>
          <w:p w14:paraId="6D2658A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Новые</w:t>
            </w:r>
          </w:p>
        </w:tc>
        <w:tc>
          <w:tcPr>
            <w:tcW w:w="1963" w:type="dxa"/>
          </w:tcPr>
          <w:p w14:paraId="732384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Модификации</w:t>
            </w:r>
          </w:p>
        </w:tc>
        <w:tc>
          <w:tcPr>
            <w:tcW w:w="1962" w:type="dxa"/>
          </w:tcPr>
          <w:p w14:paraId="34B0B51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DCAD8CD" w14:textId="77777777" w:rsidTr="00EA0DA7">
        <w:tc>
          <w:tcPr>
            <w:tcW w:w="958" w:type="dxa"/>
          </w:tcPr>
          <w:p w14:paraId="44CD93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w:t>
            </w:r>
          </w:p>
        </w:tc>
        <w:tc>
          <w:tcPr>
            <w:tcW w:w="2836" w:type="dxa"/>
          </w:tcPr>
          <w:p w14:paraId="1DB0C0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c>
          <w:tcPr>
            <w:tcW w:w="1439" w:type="dxa"/>
          </w:tcPr>
          <w:p w14:paraId="20D384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1439" w:type="dxa"/>
          </w:tcPr>
          <w:p w14:paraId="6D938B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w:t>
            </w:r>
          </w:p>
        </w:tc>
        <w:tc>
          <w:tcPr>
            <w:tcW w:w="1963" w:type="dxa"/>
          </w:tcPr>
          <w:p w14:paraId="5069C8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c>
          <w:tcPr>
            <w:tcW w:w="1962" w:type="dxa"/>
          </w:tcPr>
          <w:p w14:paraId="052F2C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r>
      <w:tr w:rsidR="00983732" w:rsidRPr="00A3026E" w14:paraId="5A413020" w14:textId="77777777" w:rsidTr="00EA0DA7">
        <w:tc>
          <w:tcPr>
            <w:tcW w:w="958" w:type="dxa"/>
          </w:tcPr>
          <w:p w14:paraId="69EC3A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2836" w:type="dxa"/>
          </w:tcPr>
          <w:p w14:paraId="2689DD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w:t>
            </w:r>
          </w:p>
        </w:tc>
        <w:tc>
          <w:tcPr>
            <w:tcW w:w="1439" w:type="dxa"/>
          </w:tcPr>
          <w:p w14:paraId="120E23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w:t>
            </w:r>
          </w:p>
        </w:tc>
        <w:tc>
          <w:tcPr>
            <w:tcW w:w="1439" w:type="dxa"/>
          </w:tcPr>
          <w:p w14:paraId="436F7B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c>
          <w:tcPr>
            <w:tcW w:w="1963" w:type="dxa"/>
          </w:tcPr>
          <w:p w14:paraId="26D755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w:t>
            </w:r>
          </w:p>
        </w:tc>
        <w:tc>
          <w:tcPr>
            <w:tcW w:w="1962" w:type="dxa"/>
          </w:tcPr>
          <w:p w14:paraId="2DE8E25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r>
      <w:tr w:rsidR="00983732" w:rsidRPr="00A3026E" w14:paraId="1505E406" w14:textId="77777777" w:rsidTr="00EA0DA7">
        <w:tc>
          <w:tcPr>
            <w:tcW w:w="958" w:type="dxa"/>
            <w:tcBorders>
              <w:bottom w:val="single" w:sz="12" w:space="0" w:color="auto"/>
            </w:tcBorders>
          </w:tcPr>
          <w:p w14:paraId="11E01E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c>
          <w:tcPr>
            <w:tcW w:w="2836" w:type="dxa"/>
            <w:tcBorders>
              <w:bottom w:val="single" w:sz="12" w:space="0" w:color="auto"/>
            </w:tcBorders>
          </w:tcPr>
          <w:p w14:paraId="5E08B7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1439" w:type="dxa"/>
            <w:tcBorders>
              <w:bottom w:val="single" w:sz="12" w:space="0" w:color="auto"/>
            </w:tcBorders>
          </w:tcPr>
          <w:p w14:paraId="0F828C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w:t>
            </w:r>
          </w:p>
        </w:tc>
        <w:tc>
          <w:tcPr>
            <w:tcW w:w="1439" w:type="dxa"/>
            <w:tcBorders>
              <w:bottom w:val="single" w:sz="12" w:space="0" w:color="auto"/>
            </w:tcBorders>
          </w:tcPr>
          <w:p w14:paraId="1E5E78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1963" w:type="dxa"/>
            <w:tcBorders>
              <w:bottom w:val="single" w:sz="12" w:space="0" w:color="auto"/>
            </w:tcBorders>
          </w:tcPr>
          <w:p w14:paraId="293107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c>
          <w:tcPr>
            <w:tcW w:w="1962" w:type="dxa"/>
            <w:tcBorders>
              <w:bottom w:val="single" w:sz="12" w:space="0" w:color="auto"/>
            </w:tcBorders>
          </w:tcPr>
          <w:p w14:paraId="58FDA0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w:t>
            </w:r>
          </w:p>
        </w:tc>
      </w:tr>
    </w:tbl>
    <w:p w14:paraId="1E096B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авиапромышленность произвела 10565 самолетов против 10247 в Германии + 5865 в первом полугодии 1941 и имела 1.5 раз большие производственные мощности к лету 1941 (173,206).</w:t>
      </w:r>
    </w:p>
    <w:p w14:paraId="6A72FB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Расходы на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1130"/>
        <w:gridCol w:w="1130"/>
        <w:gridCol w:w="2986"/>
      </w:tblGrid>
      <w:tr w:rsidR="00983732" w:rsidRPr="00A3026E" w14:paraId="20EEF97C" w14:textId="77777777" w:rsidTr="00EA0DA7">
        <w:tc>
          <w:tcPr>
            <w:tcW w:w="5353" w:type="dxa"/>
            <w:tcBorders>
              <w:top w:val="single" w:sz="12" w:space="0" w:color="auto"/>
            </w:tcBorders>
          </w:tcPr>
          <w:p w14:paraId="581B82B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130" w:type="dxa"/>
            <w:tcBorders>
              <w:top w:val="single" w:sz="12" w:space="0" w:color="auto"/>
            </w:tcBorders>
          </w:tcPr>
          <w:p w14:paraId="32732A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1930</w:t>
            </w:r>
          </w:p>
        </w:tc>
        <w:tc>
          <w:tcPr>
            <w:tcW w:w="1130" w:type="dxa"/>
            <w:tcBorders>
              <w:top w:val="single" w:sz="12" w:space="0" w:color="auto"/>
            </w:tcBorders>
          </w:tcPr>
          <w:p w14:paraId="072EB5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1935</w:t>
            </w:r>
          </w:p>
        </w:tc>
        <w:tc>
          <w:tcPr>
            <w:tcW w:w="2986" w:type="dxa"/>
            <w:tcBorders>
              <w:top w:val="single" w:sz="12" w:space="0" w:color="auto"/>
            </w:tcBorders>
          </w:tcPr>
          <w:p w14:paraId="2604CB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r>
      <w:tr w:rsidR="00983732" w:rsidRPr="00A3026E" w14:paraId="56925111" w14:textId="77777777" w:rsidTr="00EA0DA7">
        <w:tc>
          <w:tcPr>
            <w:tcW w:w="5353" w:type="dxa"/>
          </w:tcPr>
          <w:p w14:paraId="0AE5C7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Закупки авиатехники</w:t>
            </w:r>
          </w:p>
        </w:tc>
        <w:tc>
          <w:tcPr>
            <w:tcW w:w="1130" w:type="dxa"/>
          </w:tcPr>
          <w:p w14:paraId="2C1A3E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 млн.</w:t>
            </w:r>
          </w:p>
        </w:tc>
        <w:tc>
          <w:tcPr>
            <w:tcW w:w="1130" w:type="dxa"/>
          </w:tcPr>
          <w:p w14:paraId="05DE0E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756</w:t>
            </w:r>
          </w:p>
        </w:tc>
        <w:tc>
          <w:tcPr>
            <w:tcW w:w="2986" w:type="dxa"/>
          </w:tcPr>
          <w:p w14:paraId="32ED59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7700</w:t>
            </w:r>
          </w:p>
        </w:tc>
      </w:tr>
      <w:tr w:rsidR="00983732" w:rsidRPr="00A3026E" w14:paraId="3DB344FC" w14:textId="77777777" w:rsidTr="00EA0DA7">
        <w:tc>
          <w:tcPr>
            <w:tcW w:w="5353" w:type="dxa"/>
          </w:tcPr>
          <w:p w14:paraId="463CCB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Боевая подготовка ВВС</w:t>
            </w:r>
          </w:p>
        </w:tc>
        <w:tc>
          <w:tcPr>
            <w:tcW w:w="1130" w:type="dxa"/>
          </w:tcPr>
          <w:p w14:paraId="2566FE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0.252 млн.</w:t>
            </w:r>
          </w:p>
        </w:tc>
        <w:tc>
          <w:tcPr>
            <w:tcW w:w="1130" w:type="dxa"/>
          </w:tcPr>
          <w:p w14:paraId="7B3AE3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w:t>
            </w:r>
          </w:p>
        </w:tc>
        <w:tc>
          <w:tcPr>
            <w:tcW w:w="2986" w:type="dxa"/>
          </w:tcPr>
          <w:p w14:paraId="1D32B7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w:t>
            </w:r>
          </w:p>
        </w:tc>
      </w:tr>
      <w:tr w:rsidR="00983732" w:rsidRPr="00A3026E" w14:paraId="491D1F5F" w14:textId="77777777" w:rsidTr="00EA0DA7">
        <w:tc>
          <w:tcPr>
            <w:tcW w:w="5353" w:type="dxa"/>
          </w:tcPr>
          <w:p w14:paraId="216A4B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Затраты на НИОКР КА</w:t>
            </w:r>
          </w:p>
        </w:tc>
        <w:tc>
          <w:tcPr>
            <w:tcW w:w="1130" w:type="dxa"/>
          </w:tcPr>
          <w:p w14:paraId="05DDFE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 млн.</w:t>
            </w:r>
          </w:p>
        </w:tc>
        <w:tc>
          <w:tcPr>
            <w:tcW w:w="1130" w:type="dxa"/>
          </w:tcPr>
          <w:p w14:paraId="3086DD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w:t>
            </w:r>
          </w:p>
        </w:tc>
        <w:tc>
          <w:tcPr>
            <w:tcW w:w="2986" w:type="dxa"/>
          </w:tcPr>
          <w:p w14:paraId="40E26A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414</w:t>
            </w:r>
          </w:p>
        </w:tc>
      </w:tr>
      <w:tr w:rsidR="00983732" w:rsidRPr="00A3026E" w14:paraId="7F94AB3D" w14:textId="77777777" w:rsidTr="00EA0DA7">
        <w:tc>
          <w:tcPr>
            <w:tcW w:w="5353" w:type="dxa"/>
          </w:tcPr>
          <w:p w14:paraId="7D495C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Заказы опытной техники</w:t>
            </w:r>
          </w:p>
        </w:tc>
        <w:tc>
          <w:tcPr>
            <w:tcW w:w="1130" w:type="dxa"/>
          </w:tcPr>
          <w:p w14:paraId="025D1E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млн.</w:t>
            </w:r>
          </w:p>
        </w:tc>
        <w:tc>
          <w:tcPr>
            <w:tcW w:w="1130" w:type="dxa"/>
          </w:tcPr>
          <w:p w14:paraId="49700A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w:t>
            </w:r>
          </w:p>
        </w:tc>
        <w:tc>
          <w:tcPr>
            <w:tcW w:w="2986" w:type="dxa"/>
          </w:tcPr>
          <w:p w14:paraId="6A59516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43510D23" w14:textId="77777777" w:rsidTr="00EA0DA7">
        <w:tc>
          <w:tcPr>
            <w:tcW w:w="5353" w:type="dxa"/>
          </w:tcPr>
          <w:p w14:paraId="057A46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Образование</w:t>
            </w:r>
          </w:p>
        </w:tc>
        <w:tc>
          <w:tcPr>
            <w:tcW w:w="1130" w:type="dxa"/>
          </w:tcPr>
          <w:p w14:paraId="3EF592D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130" w:type="dxa"/>
          </w:tcPr>
          <w:p w14:paraId="6E0F2CF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986" w:type="dxa"/>
          </w:tcPr>
          <w:p w14:paraId="573C67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2000</w:t>
            </w:r>
          </w:p>
        </w:tc>
      </w:tr>
      <w:tr w:rsidR="00983732" w:rsidRPr="00A3026E" w14:paraId="1D19BEB6" w14:textId="77777777" w:rsidTr="00EA0DA7">
        <w:tc>
          <w:tcPr>
            <w:tcW w:w="5353" w:type="dxa"/>
            <w:tcBorders>
              <w:bottom w:val="single" w:sz="12" w:space="0" w:color="auto"/>
            </w:tcBorders>
          </w:tcPr>
          <w:p w14:paraId="1771D5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Наука</w:t>
            </w:r>
          </w:p>
        </w:tc>
        <w:tc>
          <w:tcPr>
            <w:tcW w:w="1130" w:type="dxa"/>
            <w:tcBorders>
              <w:bottom w:val="single" w:sz="12" w:space="0" w:color="auto"/>
            </w:tcBorders>
          </w:tcPr>
          <w:p w14:paraId="050DDFE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130" w:type="dxa"/>
            <w:tcBorders>
              <w:bottom w:val="single" w:sz="12" w:space="0" w:color="auto"/>
            </w:tcBorders>
          </w:tcPr>
          <w:p w14:paraId="0054300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2986" w:type="dxa"/>
            <w:tcBorders>
              <w:bottom w:val="single" w:sz="12" w:space="0" w:color="auto"/>
            </w:tcBorders>
          </w:tcPr>
          <w:p w14:paraId="38C29D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w:t>
            </w:r>
          </w:p>
        </w:tc>
      </w:tr>
    </w:tbl>
    <w:p w14:paraId="7FB61A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(4174; 4175; 4176; 4177).</w:t>
      </w:r>
    </w:p>
    <w:p w14:paraId="081A8DD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DC0B4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завод № 458 продолжал собирать грузовики ГАЗ-АА и ГАЗ-ММ, причем количество собранных здесь автомобилей - 20250 экземпляров - говорит о приличном размахе производства. Тогда же. в 1940 г. в Ростов- на-Дону с авиазавода №21 начала поступать техническая документация, оснастка и комплекты деталей для производства УТИ-4.</w:t>
      </w:r>
    </w:p>
    <w:p w14:paraId="64D741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Полноценный выпуск самолетов начался в марте 1941 г. В помощь новому авиазаводу выделили Ростовскую фабрику имени Урицкого (изготовление фюзеляжей) и завод №457 в городе Запорожье (шасси). С началом войны авиазавод №458 эвакуировали в город Баку, где производство УТИ-4 продолжилось.</w:t>
      </w:r>
    </w:p>
    <w:p w14:paraId="30F875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эвакуации в Ростове-на-Дону построили 310 УТИ-4, еще 146 экземпляров подверглось капитальному ремонту. На новом месте до конца 1941 г. выпустили 46 учебных машин. Там же. в Баку в конце года подготовили последнюю модификацию И-16 - боевой вариант УТИ-4. обозначенный как тип 15Б (боевой).</w:t>
      </w:r>
    </w:p>
    <w:p w14:paraId="46B09F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Учебно-тренировочный самолет был доработан следующим образом. В центроплане установили два крупнокалиберных несинхронных пулемета Березина (БК). Под крылом оборудовали шесть установок для реактивных снарядов РС-82 (по три с каждой стороны) и бомбодержатели для 50 кг бомб (по одному держателю с каждой стороны). Для стрельбы и бомбометания в передней кабине устанавливался коллиматорный прицел ПБП-IA. Задняя кабина в случае боевого применения закрывалась дюралевым колпаком. Боевой вариант УТИ-4 проходил испытания на аэродроме 480-го авиаполка в Кишлы и в 266-м авиаполку в Шехикай, расположенных в 60-ти километрах от Баку.</w:t>
      </w:r>
    </w:p>
    <w:p w14:paraId="00E637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январе 1942 г. отмечалось, что тип 15 Б по мощности вооружения превосходит все другие типы И-16, диапазон использовании самолета расширился, имеется возможность переоборудовать ранее построенные УТИ-4.</w:t>
      </w:r>
    </w:p>
    <w:p w14:paraId="1AEFAB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1942 г. в Баку построили последние 83 экземпляра УТИ-4. Количество боевых вариантов тип 15Б среди них не установлено. Завод №458 дат ее объединили с другими эвакуированными предприятиями. Среди выпускаемой продукции значились бен зобаки для СБ. амортизаторы ТБ-3, детали для автоматов ППШ. реактивных минометов "Катюша" и многое другое (12015).</w:t>
      </w:r>
    </w:p>
    <w:p w14:paraId="779B821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3DAA6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Где-то в 1940 в структуре Управления кадров ЦК ВКП(б) был образован отдел авиационной промышленности и ответственным в ЦК за выпуск самолетов и моторов был назначен секретарь ЦК и начальник Управления кадров Г.М.Маленков (173,197).</w:t>
      </w:r>
    </w:p>
    <w:p w14:paraId="162AB6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Авиаотделы ЦК - А.В.Будников (самолеты), Г.М.Григорьянц (двигатели) (6,149).</w:t>
      </w:r>
    </w:p>
    <w:p w14:paraId="7FA6823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1DE5E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Н.Н.П. получил в 1940 Звание Главного Конструктора по самолетом и стал д.т.н. (67,145).</w:t>
      </w:r>
    </w:p>
    <w:p w14:paraId="3AD8A14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3B13243" w14:textId="77777777" w:rsidR="00C55D7C" w:rsidRPr="00A3026E" w:rsidRDefault="00C55D7C"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xml:space="preserve">В 1940 г. Матус Рувимович Бисноват писал в наркомат авиационной промышленности: «Несмотря на то, что лётные испытания ещё не закончены, полученный нами материал представляет большую ценность. Мы впервые на самолёте ЦАГИ-СК начали летать при удельной нагрузке свыше 200 кг/м2 и получили положительные результаты по разбегу, пробегу и разворотам на больших посадочных скоростях. Таким образом, была опрокинута „теория“ невозможности использования больших удельных нагрузок как резерва скорости» </w:t>
      </w:r>
      <w:hyperlink r:id="rId200" w:history="1">
        <w:r w:rsidRPr="00A3026E">
          <w:rPr>
            <w:rFonts w:ascii="Times New Roman" w:eastAsia="Times New Roman" w:hAnsi="Times New Roman"/>
            <w:color w:val="000000" w:themeColor="text1"/>
            <w:sz w:val="16"/>
            <w:szCs w:val="16"/>
            <w:lang w:eastAsia="ru-RU"/>
          </w:rPr>
          <w:t>[322]</w:t>
        </w:r>
      </w:hyperlink>
      <w:r w:rsidRPr="00A3026E">
        <w:rPr>
          <w:rFonts w:ascii="Times New Roman" w:eastAsia="Times New Roman" w:hAnsi="Times New Roman"/>
          <w:color w:val="000000" w:themeColor="text1"/>
          <w:sz w:val="16"/>
          <w:szCs w:val="16"/>
          <w:lang w:eastAsia="ru-RU"/>
        </w:rPr>
        <w:t>.</w:t>
      </w:r>
    </w:p>
    <w:p w14:paraId="5FE1F0A8" w14:textId="77777777" w:rsidR="00C55D7C" w:rsidRPr="00A3026E" w:rsidRDefault="00C55D7C"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Когда решалась судьба СК-2, М.Р. Бисновата уже не было в ЦАГИ. Его отправили в Ленинград для налаживания выпуска истребителя ЛаГГ-3. Впоследствии он прославился как конструктор авиационного ракетного вооружения (17489).</w:t>
      </w:r>
    </w:p>
    <w:p w14:paraId="79DA3F55" w14:textId="77777777" w:rsidR="00C55D7C" w:rsidRPr="00A3026E" w:rsidRDefault="00C55D7C" w:rsidP="00A3026E">
      <w:pPr>
        <w:spacing w:after="0" w:line="240" w:lineRule="auto"/>
        <w:jc w:val="both"/>
        <w:rPr>
          <w:rFonts w:ascii="Times New Roman" w:eastAsia="Times New Roman" w:hAnsi="Times New Roman"/>
          <w:color w:val="000000" w:themeColor="text1"/>
          <w:sz w:val="16"/>
          <w:szCs w:val="16"/>
          <w:lang w:eastAsia="ru-RU"/>
        </w:rPr>
      </w:pPr>
    </w:p>
    <w:p w14:paraId="44BCAC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группа летного и инженерно-технического состава Института под руководством летчика-испытателя С.П.Супруна принимала участие в защите столицы Китая Чунцина от налетов японской авиации. Работа все группы получила высокую оценку, а С.П.Супрун был удостоен звания Героя Советского Союза.</w:t>
      </w:r>
    </w:p>
    <w:p w14:paraId="152202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xml:space="preserve">Сложная международная обстановка оказала влияние на организационную перестройку подразделений НИИ ВВС. Было проведено три организационно –штатных изменения в результате которых в 1941 году Институт состоял из следующих подразделений: </w:t>
      </w:r>
    </w:p>
    <w:p w14:paraId="54CDCC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Командование, политотдел и штаб (начальник Института А.И.Филин, военком С.Г. Холопцев, нач. штаба С.О.Щербаков, затем К.В.Иващенко);</w:t>
      </w:r>
    </w:p>
    <w:p w14:paraId="76344E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Авиационная эскадрилья боевого применения и научных исследований ;</w:t>
      </w:r>
    </w:p>
    <w:p w14:paraId="4FAE5E1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Семнадцать отделов;</w:t>
      </w:r>
    </w:p>
    <w:p w14:paraId="6F5C3C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Опытный завод;</w:t>
      </w:r>
    </w:p>
    <w:p w14:paraId="409715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Санитарная служба и финансово-плановое отделение;</w:t>
      </w:r>
    </w:p>
    <w:p w14:paraId="7F309E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- 705 авиационная база. </w:t>
      </w:r>
    </w:p>
    <w:p w14:paraId="072F35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Основная работа Института проходила в Чкаловской, где были уже освоены все здания и сооружения за исключением аэродинамической лаборатории, приступившей к работе в мае 1941 года (11017).</w:t>
      </w:r>
    </w:p>
    <w:p w14:paraId="39357CB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3FEB0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на территории завода № 161 НКАП в Москве было организовано ОКБ и именовалось ОКБ завода № 161.</w:t>
      </w:r>
    </w:p>
    <w:p w14:paraId="6CB4E3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июле 1941 года, совместно с частью завода № 161, основная часть ОКБ эвакуировалась в Саратов на завод № 306 НКАП.</w:t>
      </w:r>
    </w:p>
    <w:p w14:paraId="728F2E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Саратове ОКБ получило наименование ОКБ при заводе № 306 с подчинением 8 гл. управлению НКАП и МАП.</w:t>
      </w:r>
    </w:p>
    <w:p w14:paraId="79F6D4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МАП № 297сс от 8 августа 1957 года ОКБ-306 было передано в ведение 3 гл. управления МАП.</w:t>
      </w:r>
    </w:p>
    <w:p w14:paraId="0D50F4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МАП № 544 от 20 августа 1957 года ОКБ при заводе № 306 (ОКБ-306) реорганизовано в самостоятельное Государственное союзное ОКБ № 306 (ОКБ-306).</w:t>
      </w:r>
    </w:p>
    <w:p w14:paraId="75BA36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Приказом председателя ГК СМ по авиационной технике № 20сс от 21 мая 1958 года ОКБ-306 было передано в ведение 3 управления ГКАТ с определением профиля по разработке электрооборудования двигателей.</w:t>
      </w:r>
    </w:p>
    <w:p w14:paraId="03D5FD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1941 года по июль 1943 года ОКБ занималось разработками магнето и свечей для поршневых авиационных двигателей. С 1943 по 1951 гг. ОКБ разрабатывало магнето и пусковые устройства для поршневых авиационных двигателей. С 1951 года по 1959 год ОКБ разрабатывает системы регулирования, агрегаты дистанционного управления, электрические стартеры и электродвигатели к агрегатам двигателей.</w:t>
      </w:r>
    </w:p>
    <w:p w14:paraId="4360FD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период 1941 по 1946 гг. ОКБ руководил гл. конструктор Полтев Н.В. С 1946 по 1951 гг. гл. конструктором ОКБ-306 был Богомолов Е.Т. и с 1951 года ОКБ руководит гл. конструктор Чекунов Н.К. (9390).</w:t>
      </w:r>
    </w:p>
    <w:p w14:paraId="7ADD966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1DF5B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завод счетно-пишущих машин был передан в систему НКАП и вместо прежнего наименования «Механический завод счетно-пишущих машин им. Дзержинского» – ему было присвоено наименование – завод № 476 им. Дзержинского.</w:t>
      </w:r>
    </w:p>
    <w:p w14:paraId="10C67A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выпуска приборов освещения, завод стал выпускать механизмы дистанционного управления.</w:t>
      </w:r>
    </w:p>
    <w:p w14:paraId="295DCA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эвакуации в 1941 году директором завода был Казанский А.О.</w:t>
      </w:r>
    </w:p>
    <w:p w14:paraId="0E3996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году завод эвакуировался в Киров и слился с заводом № 266 НКАП.</w:t>
      </w:r>
    </w:p>
    <w:p w14:paraId="524415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Кирове под наименованием «Филиал № 2 завода № 266» завод продолжал выпускать приборы освещения и др.</w:t>
      </w:r>
    </w:p>
    <w:p w14:paraId="18ECE90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Москве, на площади оставшейся после эвакуации завода, согласно приказа № 46с от 17 января 1942 года НКАП, были организованы мастерские по ремонту моторных, самолетных агрегатов и приборов зажигания. Эти мастерские существовали недолго.</w:t>
      </w:r>
    </w:p>
    <w:p w14:paraId="53B402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Постановлению ГОКО от 5 апреля 1942 года за № 1543сс, приказа НКАП от 10 апреля 1942 года за № 269сс и приказа 4 гл. управления НКАП от 20 апреля 1942 года за № 06сс, был организован завод, которому было присвоено вновь наименование «Завод № 476» по производству магнето, авиасвечей и т.п.</w:t>
      </w:r>
    </w:p>
    <w:p w14:paraId="3BD04C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был укомплектован рабсилой и оборудованием за счет заводов НКАП №№ 30, 33, 132, 266 и 306.</w:t>
      </w:r>
    </w:p>
    <w:p w14:paraId="4115A0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1942 года – директор – Советов В.П.</w:t>
      </w:r>
    </w:p>
    <w:p w14:paraId="75BE22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1944 году, согласно приказа № 40с от 19 января 1944 года НКАП, на заводе было организовано ОКБ-476 под руководством гл. конструктора Воронкова С.Ф., а с сентября 1945 года – Делекторского А.В.</w:t>
      </w:r>
    </w:p>
    <w:p w14:paraId="1A2D80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Москва, Б, Новодмитровская, д. 12</w:t>
      </w:r>
    </w:p>
    <w:p w14:paraId="5EA978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2686EAA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0E3BF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на базе новых производственных площадей Горьковского автозавода с задачей производства авиадвигателей ВК-105 РА был организован завод № 466. Эти двигатели были освоены и выпускались заводом до августа 1942 года, когда был освоен выпуск более мощных двигателей ВК-105 ПФ, которые изготовлялись в течение всего периода ВОВ.</w:t>
      </w:r>
    </w:p>
    <w:p w14:paraId="5C471C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 конца 1941 года директором завода был Завитаев А.А., с конца 1941 года по августа 1942 года – Петров А.П., с августа 1942 года – И.Н. Лукин.</w:t>
      </w:r>
    </w:p>
    <w:p w14:paraId="2F1A4A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сентября 1945 года по решению Правительства завод был перебазирован в Ленинград на площади бывш. завода № 274.</w:t>
      </w:r>
    </w:p>
    <w:p w14:paraId="1EBA45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1947 году решением Правиетельства из состава завода был выделен опытный завод № 117, созданный на базе производственных корпусов и ОКБ на площадке по Флюгову (Кантемировскому) переулку.</w:t>
      </w:r>
    </w:p>
    <w:p w14:paraId="6B1507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Ленинград 100, п/я 476</w:t>
      </w:r>
    </w:p>
    <w:p w14:paraId="20DB98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июля 1950 года – директор Кондратов С.Г.</w:t>
      </w:r>
    </w:p>
    <w:p w14:paraId="2369EF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февраля 1956 года – директор Тарасов В.И. (9618).</w:t>
      </w:r>
    </w:p>
    <w:p w14:paraId="32275C4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B0BD434"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1940 г. ведущим конструктором по мотору М-89 назначили А.Г. Ивченко и в этом же году М-89 на стендовых испытаниях подтвердил расчетную взлетную мощность 1300 л.с., а его форсированный вариант развил мощность 1560 л.с. (11478).</w:t>
      </w:r>
    </w:p>
    <w:p w14:paraId="7FD8A282" w14:textId="77777777" w:rsidR="0014077F" w:rsidRPr="00A3026E" w:rsidRDefault="0014077F" w:rsidP="00A3026E">
      <w:pPr>
        <w:pStyle w:val="af2"/>
        <w:jc w:val="both"/>
        <w:rPr>
          <w:i w:val="0"/>
          <w:iCs w:val="0"/>
          <w:color w:val="000000" w:themeColor="text1"/>
          <w:spacing w:val="0"/>
          <w:kern w:val="0"/>
          <w:position w:val="0"/>
          <w:sz w:val="16"/>
          <w:szCs w:val="16"/>
          <w:lang w:val="ru-RU"/>
        </w:rPr>
      </w:pPr>
    </w:p>
    <w:p w14:paraId="34DF4A5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1940 г. в ЦИАМ проектировался большой двухтактный двигатель легкого топлива М-200. Имел схему с противоположно движущимися поршнями (по два поршня в каждом цилиндре) и двумя коленвалами, работающими на общий редуктор. Применялся непосредственный впрыск топлива в цилиндры. Основные конструктивные решения предваритель</w:t>
      </w:r>
      <w:r w:rsidRPr="00A3026E">
        <w:rPr>
          <w:rFonts w:ascii="Times New Roman" w:hAnsi="Times New Roman"/>
          <w:color w:val="000000" w:themeColor="text1"/>
          <w:sz w:val="16"/>
          <w:szCs w:val="16"/>
        </w:rPr>
        <w:softHyphen/>
        <w:t>но отработали на одноцилиндровой экспериментальной установке МФ-1. В работе над М-200 участвовали В.Н. Фомин, Л.Б. Эдельштейн, С.К. Туманский и С.А. Косберг. Был построен один опытный экземпляр, проходивший испытания на стенде в 1941 г. На испытаниях имело место разрушение поршней. До</w:t>
      </w:r>
      <w:r w:rsidRPr="00A3026E">
        <w:rPr>
          <w:rFonts w:ascii="Times New Roman" w:hAnsi="Times New Roman"/>
          <w:color w:val="000000" w:themeColor="text1"/>
          <w:sz w:val="16"/>
          <w:szCs w:val="16"/>
        </w:rPr>
        <w:softHyphen/>
        <w:t>водку М-200 прекратили осенью 1941 г., а в январе 1942 г. официально исключили этот двигатель из плана.</w:t>
      </w:r>
    </w:p>
    <w:p w14:paraId="7533C1D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Планировался 18-цилиндровый двигатель, составленный из трех блоков М-200, соединенных треугольником, с тремя коленвалами.</w:t>
      </w:r>
    </w:p>
    <w:p w14:paraId="5DA07E4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Характеристики:</w:t>
      </w:r>
    </w:p>
    <w:p w14:paraId="7119E2C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6-цилиндровый, рядный, с противоположно движущимися поршнями, двухтактный, жидкостного охлаждения, с непосредственным впры</w:t>
      </w:r>
      <w:r w:rsidRPr="00A3026E">
        <w:rPr>
          <w:rFonts w:ascii="Times New Roman" w:hAnsi="Times New Roman"/>
          <w:color w:val="000000" w:themeColor="text1"/>
          <w:sz w:val="16"/>
          <w:szCs w:val="16"/>
        </w:rPr>
        <w:softHyphen/>
        <w:t>ском;</w:t>
      </w:r>
    </w:p>
    <w:p w14:paraId="091DDCD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объем 9,42 л;</w:t>
      </w:r>
    </w:p>
    <w:p w14:paraId="59ADD0F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диаметр цилиндра/ход поршня 100/100 мм;</w:t>
      </w:r>
    </w:p>
    <w:p w14:paraId="7C374C2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номинальная мощность 700 л.с.;</w:t>
      </w:r>
    </w:p>
    <w:p w14:paraId="70726B7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вес 370 кг. (11852).</w:t>
      </w:r>
    </w:p>
    <w:p w14:paraId="709247B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36D719D1"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1940 г. завод № 16 перевели на выпуск моторов М-105, производство двигателей других типов прекратили. Для первой партии из 10 МГ-31Ф успели изготовить примерно 60 % деталей, но ни одного полностью не собрали. Всю оснастку и инструмент для изготовления М-11 завод № 16 передал на филиал (завод № 154). Коссов работал там, а в октябре 1941 г. вместе с предприятием эвакуировался в Среднюю Азию, в Андижан. Там завод разместили в хлопковых амбарах. В Андижане в 1942 г. Коссов создал пятицилиндровый двигатель М-12, являвшийся дальнейшим развитием МГ-11. На этот раз мотор форсировали не только по частоте вращения вала, но и по степени сжатия (до 6,2) до мощности 190 л.с. Изготовили два опытных образца. Вес обоих оказался больше предусмотренного заданием. Например, первый вариант весил 215 кг против требуемых 165…175 кг. Оба они с сентября 1942 г. проходили заводские испытания. В начале 1943 г. собирались выставить М-12 на 100-часовые совместные испытания, но они не состоялись. Доводка велась весь год, включая полеты на биплане У-2, а затем на моноплане УТ-1. В марте 1944 г. проводили госиспытания на стенде, прерванные из-за поломки через 30 ч. Всего изготовили шесть-семь опытных экземпляров. Работы по М-12 Коссов вел до осени 1944 г. Впоследствии узлы коссовского М-12 скомбинировали с цилиндровой группой двигателя М-11Д, получив М-11ФР, запущенный в серию (11478).</w:t>
      </w:r>
    </w:p>
    <w:p w14:paraId="75064003" w14:textId="77777777" w:rsidR="0014077F" w:rsidRPr="00A3026E" w:rsidRDefault="0014077F" w:rsidP="00A3026E">
      <w:pPr>
        <w:pStyle w:val="af2"/>
        <w:jc w:val="both"/>
        <w:rPr>
          <w:i w:val="0"/>
          <w:iCs w:val="0"/>
          <w:color w:val="000000" w:themeColor="text1"/>
          <w:spacing w:val="0"/>
          <w:kern w:val="0"/>
          <w:position w:val="0"/>
          <w:sz w:val="16"/>
          <w:szCs w:val="16"/>
          <w:lang w:val="ru-RU"/>
        </w:rPr>
      </w:pPr>
    </w:p>
    <w:p w14:paraId="0BD2B2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Симский завод, будущий № 132, был передан в ведение Главармолита НКОМ по заданию которого завод начал изготовлять арматуру для паросиловых установок низкого и высокого давления и арматуру для водопроводных сетей, продолжая одновременно выпускать повозки, кухни, санитарные двуколки.</w:t>
      </w:r>
    </w:p>
    <w:p w14:paraId="2D09F7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переходом в ведение Главармолита заводу было присвоено название «Симский арматурный завод». Завод по выпуску указанных изделий работал до июля 1941 года. В июле 1941 года на основании постановления Правительства и приказа НКАП и НКОМ от 14 июля 1941 года за № 250/417 на площадях Симского арматурного завода разместился завод № 444 эвакуированный со ст. Плющево Московской области, ранее представлявший из себя агрегатный завод по выпуску НБ и НБ-1.</w:t>
      </w:r>
    </w:p>
    <w:p w14:paraId="72767D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Приказом НКАП от 6 июля 1941 года за № 632000 завод № 444 должен был дублировать продукцию завода № 132.</w:t>
      </w:r>
    </w:p>
    <w:p w14:paraId="46B5A1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приказа НКАП от 10 октября 1941 года за № 106700 завод № 132 был эвакуирован из Москвы и также размещен на площадях Симского арматурного завода.</w:t>
      </w:r>
    </w:p>
    <w:p w14:paraId="40EF3D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объединении трех заводов, новому объединенному заводу присвоен № 132 НКАП. С момента объединения заводов директором завода № 132 НКАП приказом от 28 января 1941 года назначен Ивайкин А.М. В 1942 году 22 апреля директором завода № 132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3515F9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2719A2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1D6E35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 Фокеев</w:t>
      </w:r>
    </w:p>
    <w:p w14:paraId="28172E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Сим Челябинской области</w:t>
      </w:r>
    </w:p>
    <w:p w14:paraId="1C72B0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Производственный профиль – агрегатный завод (9877).</w:t>
      </w:r>
    </w:p>
    <w:p w14:paraId="76D98EA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342C7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создан завод № 479 Металлист. В 1970-80-е г.- передан в ведение 6ГУ МОМ. С 1991 г. входит в Корпорацию «Авиаприбор». По Указу Президента РФ № 1009 от 4.08.2004 г. вошло в число стратегических оборонных предприятий.</w:t>
      </w:r>
    </w:p>
    <w:p w14:paraId="03E6BF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2004 г.: Производство техники специального назначения (приборы точной механики, лазерные гироскопы, кварцевые акселерометры); электродвигателей мощностью до 1 кВт; медицинской техники для стоматологии.</w:t>
      </w:r>
    </w:p>
    <w:p w14:paraId="464DA2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(1970-е)- Е.А. Желонов.</w:t>
      </w:r>
    </w:p>
    <w:p w14:paraId="2B67FA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БНТИ (2004 г.)- С.А. Редькина.</w:t>
      </w:r>
    </w:p>
    <w:p w14:paraId="4F09BC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Завод «Металлист» МОМ, ОАО «Серпуховский завод «Металлист» </w:t>
      </w:r>
    </w:p>
    <w:p w14:paraId="438CD2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142200 г. Серпухов Московской обл. ул. Луначарского, 32 тел. 78-22-05 www.szmetallist.ru (10776).</w:t>
      </w:r>
    </w:p>
    <w:p w14:paraId="0C66A76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9315C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и перед войной были пущены моторные заводы 27 в Казани (М-105Р), завод 154 в Воронеже, завод 234 в Ленинграде + цех Кировского завода (80,431).</w:t>
      </w:r>
    </w:p>
    <w:p w14:paraId="55B2E5E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B2A02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КБ-2 МАИ под руководством В.А. Добрынина было переведено на площадку завода № 16 НКАП и вошло в состав ОКБ завода. Работы по опытному мотору М-250.</w:t>
      </w:r>
    </w:p>
    <w:p w14:paraId="25B70A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началом ВОВ ОКБ по приказу № 1057сс от 10.10.1941 г. эвакуировано в  г. Уфу на площадку завода № 384 НКАП, а опытное производство (приказ № 1053сс от 9.10.1941 г.)- в Уфу на площадку протезного завода. Здесь к 11.1941 г. на базе ОКБ и Опытного производства образовано самостоятельное ОКБ-250 НКАП под руководством В.А. Добрынина.</w:t>
      </w:r>
    </w:p>
    <w:p w14:paraId="7A23A9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(1940-41 г.)- В.А. Добрынин (11982).</w:t>
      </w:r>
    </w:p>
    <w:p w14:paraId="4529D60F" w14:textId="77777777" w:rsidR="006B3E48" w:rsidRPr="00A3026E" w:rsidRDefault="006B3E48" w:rsidP="00A3026E">
      <w:pPr>
        <w:spacing w:after="0" w:line="240" w:lineRule="auto"/>
        <w:jc w:val="both"/>
        <w:rPr>
          <w:rFonts w:ascii="Times New Roman" w:hAnsi="Times New Roman"/>
          <w:color w:val="000000" w:themeColor="text1"/>
          <w:sz w:val="16"/>
          <w:szCs w:val="16"/>
        </w:rPr>
      </w:pPr>
    </w:p>
    <w:p w14:paraId="7105D9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на базе ОКО завода № 161 НКАП было образовано ОКБ как самостоятельная организация (ОКО завода № 161 НКАП, ОКБ-161 МАП, Уфимское агрегатное КБ (УАКБ) «Молния», ФГУП «Уфимское научно-производственное предприятие (УНПП) «Молния» /г. Москва,  г. Уфа/ /Башкортостан 450052  г. Уфа ул. Зенцова, 70; ул. Промышленная, 4 тел. 22-71-24/). Разработка свечей и магнето для авиамоторов.</w:t>
      </w:r>
    </w:p>
    <w:p w14:paraId="08717F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планировалось эвакуировать ОКБ вместе с заводом в Саратов на завод № 306 НКАП, но затем ОКБ эвакуировано в Уфу на отдельную площадку. Единственное в начале ВОВ ОКБ по авиасвечам.</w:t>
      </w:r>
    </w:p>
    <w:p w14:paraId="0545CD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1144с от 10.12.1941 г на заводе № 161 организован ОКО по свечам. Из-за неудовлетворительной работы ОКБ по приказу № 788с от 19.10.1942 г. Воронков снят, назначен Чекунов.</w:t>
      </w:r>
    </w:p>
    <w:p w14:paraId="61D8C5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После ВОВ- в 8ГУ МАП, в 08.1957 г.- в ведении ЗГУ МАП.</w:t>
      </w:r>
    </w:p>
    <w:p w14:paraId="541C3A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1950-е  г. начата разработка емкостных систем зажигания, электронных ограничителей температуры и корректоров оборотов для ГТД.</w:t>
      </w:r>
    </w:p>
    <w:p w14:paraId="59F28E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Созданы агрегаты системы зажигания для РД-012. Разработка систем управления двигателями (1993-94).</w:t>
      </w:r>
    </w:p>
    <w:p w14:paraId="4949E1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Работы (2002 г.): разработка и производство: свечи и агрегаты зажигания для ракетных и авиационных поршневых и ГТД, двигателей внутреннего сгорания; электронная аппаратура для САУ ГТД; оптические пирометрические преобразователи и ионизационные датчики пламени; диагностические установки для нефтеперерабатывающих установок; бытовые автономные системы грячего водоснабжения. (2004 г.): разработка электронной аппаратуры управления с полной ответственностью (</w:t>
      </w:r>
      <w:r w:rsidRPr="00A3026E">
        <w:rPr>
          <w:rFonts w:ascii="Times New Roman" w:hAnsi="Times New Roman"/>
          <w:color w:val="000000" w:themeColor="text1"/>
          <w:sz w:val="16"/>
          <w:szCs w:val="16"/>
          <w:lang w:val="en-US"/>
        </w:rPr>
        <w:t>FADEC</w:t>
      </w:r>
      <w:r w:rsidRPr="00A3026E">
        <w:rPr>
          <w:rFonts w:ascii="Times New Roman" w:hAnsi="Times New Roman"/>
          <w:color w:val="000000" w:themeColor="text1"/>
          <w:sz w:val="16"/>
          <w:szCs w:val="16"/>
        </w:rPr>
        <w:t>).</w:t>
      </w:r>
    </w:p>
    <w:p w14:paraId="325E1C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5F6A3C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составе УНПП (2004 г.): конструкторские отделения: по системам зажигания для ГТД; по САУ и контроля для ГТД; по системам управления объектами ТЭК; завод.</w:t>
      </w:r>
    </w:p>
    <w:p w14:paraId="09A41A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(2002 г.)- 520 чел.</w:t>
      </w:r>
    </w:p>
    <w:p w14:paraId="77AB5D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(-1940 г.-)- Чижиков, (12.1941-10.1942 г.)- П.Ф. Воронков, (10.1942-03.1946 г.-)- Н.К. Чекунов, (-1998-2005 г.-)- Е.В. Распопов {6.05.1953-}.</w:t>
      </w:r>
      <w:r w:rsidRPr="00A3026E">
        <w:rPr>
          <w:rFonts w:ascii="Times New Roman" w:hAnsi="Times New Roman"/>
          <w:color w:val="000000" w:themeColor="text1"/>
          <w:sz w:val="16"/>
          <w:szCs w:val="16"/>
          <w:vertAlign w:val="superscript"/>
        </w:rPr>
        <w:t>49</w:t>
      </w:r>
    </w:p>
    <w:p w14:paraId="04404C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гл. конструктора (09.1940 г.-)- А.А. Смирнов.</w:t>
      </w:r>
    </w:p>
    <w:p w14:paraId="31D23B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Гендиректор (-1998-2005 г.-)- Е.В. Распопов.</w:t>
      </w:r>
      <w:r w:rsidRPr="00A3026E">
        <w:rPr>
          <w:rFonts w:ascii="Times New Roman" w:hAnsi="Times New Roman"/>
          <w:color w:val="000000" w:themeColor="text1"/>
          <w:sz w:val="16"/>
          <w:szCs w:val="16"/>
          <w:vertAlign w:val="superscript"/>
        </w:rPr>
        <w:t>49</w:t>
      </w:r>
    </w:p>
    <w:p w14:paraId="6947C0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гендиректора (2004 г.)- Б.С. Дорфман.</w:t>
      </w:r>
    </w:p>
    <w:p w14:paraId="00A25D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по экономике, финансам, маркетингу и коммерции (2004 г.)- Б.С. Дорфман.</w:t>
      </w:r>
    </w:p>
    <w:p w14:paraId="6FEAA5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опытного завода (2002 г.)- В.М. Камалов.</w:t>
      </w:r>
      <w:r w:rsidRPr="00A3026E">
        <w:rPr>
          <w:rFonts w:ascii="Times New Roman" w:hAnsi="Times New Roman"/>
          <w:color w:val="000000" w:themeColor="text1"/>
          <w:sz w:val="16"/>
          <w:szCs w:val="16"/>
          <w:vertAlign w:val="superscript"/>
        </w:rPr>
        <w:t>69</w:t>
      </w:r>
    </w:p>
    <w:p w14:paraId="17E039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Руководитель службы по сбыту, маркетингу и ВЭД (2004 г.)-  Г.Н. Мельникова. Начальники отделов: ОМТС (2004 г.)- В.В. Шабашов. Начальник бюро кадров (2004 г.)- Т.А. Кудрявцева.</w:t>
      </w:r>
    </w:p>
    <w:p w14:paraId="101A05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(2004) электронные блоки: ЭРРД-436 для Д-436, ЭРРД-14, ЭСУ-34М для ТВ7-117; агрегаты зажигания для ГТД: ПВФ-22-7, ПВФ-11-3, СКН-11, СКНА-22, АПЗТ-2; свечи зажигания: СП-92П, СП-24ВИ, СП- 06ВП, СП-89П, СП-04М, СП-99НК, СП-02, СП-70, ПСЗ-1; системы зажигания для наземных ГТУ; плазменно- струйная система зажигания; оптический пирометрический преобразователь ОПП-94К-1,25; САУ и контроля для ГПА; станция катодной защиты подземных металлических сооружений; эндоскоп для объектов ТЭК; ОЭС контроля КС ГТУ; электронный коммутатор ЭКМ-2М, катушка зажигания КЗ-1М для системы зажигания автомобиля «Ока»; электрический розжиг БЭП для бытовой газопламенной аппаратуры; электрические водонагреватели АСГВС-50, -80, -150 (11982).</w:t>
      </w:r>
    </w:p>
    <w:p w14:paraId="514064B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E63B1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началось серийное производство учебно-тренировочных на заводе 116 в с. Семеновское, Уссурийский край (80,426).</w:t>
      </w:r>
    </w:p>
    <w:p w14:paraId="418F9FE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DF705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был пущен 124 завод в Казани получивший программу по ТБ-7 (АНТ-42) (80,426).</w:t>
      </w:r>
    </w:p>
    <w:p w14:paraId="489B58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 очень понятно, так как ТБ-7 на 124 делали еще с июля 1938.</w:t>
      </w:r>
    </w:p>
    <w:p w14:paraId="0A9335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А.Гитлером было передано 36 экземпляров самолетов в СССР, включая 12 типов боевых в основном новых выпуска 1939:</w:t>
      </w:r>
    </w:p>
    <w:p w14:paraId="4C71B6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Ме-109Е</w:t>
      </w:r>
    </w:p>
    <w:p w14:paraId="4162D9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 Ме-110С</w:t>
      </w:r>
    </w:p>
    <w:p w14:paraId="08420B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 Хе-110 V-8</w:t>
      </w:r>
    </w:p>
    <w:p w14:paraId="68BD872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Ю-88</w:t>
      </w:r>
    </w:p>
    <w:p w14:paraId="49F6B7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До215В</w:t>
      </w:r>
    </w:p>
    <w:p w14:paraId="18E071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Фи-156</w:t>
      </w:r>
    </w:p>
    <w:p w14:paraId="756993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ряд учебных (88,150).</w:t>
      </w:r>
    </w:p>
    <w:p w14:paraId="6E5A5D0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BAFA3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Завод нормалей и штампов объединен, созданный в 1931 г. на площадке фабрики Гознака в Лужниках (бывшей площадке снаряжательных заводов Н.А. Второва) в ведении треста «Оргметалл» ВСНХ, затем НКТП был создан Завод приспособлений, штампов и пресс-форм (ГС инструментальный завод № 165 НКАП, МАП, Завод приспособлений и штампов ВСНХ, НКТП, НКМ, Завод нормалей и штампов НКОП, Инструментальный завод № 1 ОАП НКАП, Государственный объединенный завод № 165 ГКАТ, п/я 2382, Московский машиностроительный завод (ММЗ) «Сатурн» МАП, М-5147, АООТ, ОАО «А. Люлька-Сатурн», НТЦ им. А. Люльки ОАО «НПО «Сатурн» /г. Москва;  г. Куйбышев;  г. Тушино Московской обл./ /129301  г. Москва ул. Касаткина, 13 тел. 283-09-13, 283-94-93/), был принят (по состоянию на 1.02.1938 г.) от треста Оргметалл НКМ и по пр. № 72 от 21.02.1938 г. включен в состав образованного треста «Оргоборонпром» НКОП с заводом № 1 ОАП и переименован в Инструментальный завод № 1 ОАП НКАП.</w:t>
      </w:r>
    </w:p>
    <w:p w14:paraId="3C3328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В конце 1941 г. эвакуирован в Куйбышев. На старой площадке в 11.1941 г. образован новый завод № 478 НКАП.</w:t>
      </w:r>
    </w:p>
    <w:p w14:paraId="11929B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выпускал узлы ротора и крыльчатки к турбокомпрессорам. Производство лафетов для пушек В Я (1942 г.). Планировалось начать изготовление колес для Ил-2.</w:t>
      </w:r>
    </w:p>
    <w:p w14:paraId="405D03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НКАП № 709с от 18.09.1942 г. Инструментальный завод № 1 ОАП НКАП переименован в завод № 165 НКАП в ведении Управления снабжения.</w:t>
      </w:r>
    </w:p>
    <w:p w14:paraId="4B5F5B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приказу № 459с от 31.07.1943 г. завод № 453 </w:t>
      </w:r>
      <w:r w:rsidRPr="00A3026E">
        <w:rPr>
          <w:rFonts w:ascii="Times New Roman" w:hAnsi="Times New Roman"/>
          <w:color w:val="000000" w:themeColor="text1"/>
          <w:sz w:val="16"/>
          <w:szCs w:val="16"/>
          <w:lang w:val="en-US"/>
        </w:rPr>
        <w:t>HKAII</w:t>
      </w:r>
      <w:r w:rsidRPr="00A3026E">
        <w:rPr>
          <w:rFonts w:ascii="Times New Roman" w:hAnsi="Times New Roman"/>
          <w:color w:val="000000" w:themeColor="text1"/>
          <w:sz w:val="16"/>
          <w:szCs w:val="16"/>
        </w:rPr>
        <w:t xml:space="preserve"> (Тушино) реорганизован в филиал завода № 165 ОАП НКАГ1. На нем началась организация производства специнструмента и приспособлений. С завода № 165 из Куйбышева туда для укрепления производства переведена группа рабочих и ИТР (120 чел.). В том же году завод № 165 НКАП переведен на площадку филиала в Тушино.</w:t>
      </w:r>
    </w:p>
    <w:p w14:paraId="245268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Производство лафетов для пушки «ВЯ». В 07.1943 г. работы переданы на заводы № 481 и № 454 НКАП. В 05.1944 г. заводу поручено изготовление опытной серии из 5 ТРД С-18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Люльки. В 06.1944 г. заводу поручены работы по изготовлению приспособлений для производства моторов для завода № 466 НКАП, в 08.1944 г.- оказать помощь в изготовлении частей опытного ПуВРД конструкции В.Н. Челомея.</w:t>
      </w:r>
    </w:p>
    <w:p w14:paraId="0878F4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377с от 2.06.1944 г. завод передан из ОАП в Управление оборудования НКАП.</w:t>
      </w:r>
    </w:p>
    <w:p w14:paraId="233EE2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приказу № 705сс от 29.12.1944 г. на заводе началась организация производства пяти опытных образцов ТРД С-18 конструкции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Люльки. Для этого на завод откомандирована группа конструкторов во главе с зам. гл. конструктора Луссом.</w:t>
      </w:r>
    </w:p>
    <w:p w14:paraId="3E7BFC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соответствии с ПСМ № 472-191 от 26.02.1946 г. и приказом МАП № 182сс от 30.03.1946 г. ГС инструментальный завод № 165 с 1.04.1946 г. передан из Управления оборудования в 8ГУ МАП для развития опытного моторостроения Этим же приказом для расширения работ СКБ гл, конструктора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Люльки при НИИ-1 МАП переведено на самостоятельную базу- завод № 165 МАП и получило название ОКБ-165 МАП. В 08.1957 г. - в ведении ЗГУ МАП. Имел наименования: «п/я 2382», «п/я М-5147» (1.01.1967-82 г.).</w:t>
      </w:r>
    </w:p>
    <w:p w14:paraId="359AA5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479сс от 23.07.1946 г. при заводе № 45 образован филиал завода № 165 (руководитель- С.К. Туманский) для организации производства ТР-1.</w:t>
      </w:r>
    </w:p>
    <w:p w14:paraId="08BB33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1950 г. двигателям ОКБ присвоено наименование «АЛ».</w:t>
      </w:r>
    </w:p>
    <w:p w14:paraId="10B663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Решением СМ СССР от 06.1950 г. ОКБ выдано задание на создание ТРД АЛ-5.</w:t>
      </w:r>
    </w:p>
    <w:p w14:paraId="400C2C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ПСМ № 355-161сс от 2.03.1954 г. начата разработка АЛ-7.</w:t>
      </w:r>
    </w:p>
    <w:p w14:paraId="2E1CDE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249B07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1959 г. начались работы по ЖРД. В 1960 г. поручена разработка ЖРД 11Д54 для 3-й ступени РН Н-1, затем проект трансформирован в 11Д57.</w:t>
      </w:r>
    </w:p>
    <w:p w14:paraId="6A78D4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1950-х  г. начаты работы по созданию атомного двигателя (ЯСУ), для этого было организовано КБ-2, в его составе - специальная бригада.</w:t>
      </w:r>
    </w:p>
    <w:p w14:paraId="388EBE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1965 г. КБ переехало в новое здание.</w:t>
      </w:r>
    </w:p>
    <w:p w14:paraId="57320C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360747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1960-е  г. разрабатывался воздушно-водородный двигатель </w:t>
      </w:r>
      <w:r w:rsidRPr="00A3026E">
        <w:rPr>
          <w:rFonts w:ascii="Times New Roman" w:hAnsi="Times New Roman"/>
          <w:color w:val="000000" w:themeColor="text1"/>
          <w:sz w:val="16"/>
          <w:szCs w:val="16"/>
          <w:lang w:val="en-US"/>
        </w:rPr>
        <w:t>AJI</w:t>
      </w:r>
      <w:r w:rsidRPr="00A3026E">
        <w:rPr>
          <w:rFonts w:ascii="Times New Roman" w:hAnsi="Times New Roman"/>
          <w:color w:val="000000" w:themeColor="text1"/>
          <w:sz w:val="16"/>
          <w:szCs w:val="16"/>
        </w:rPr>
        <w:t xml:space="preserve">-51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w:t>
      </w:r>
      <w:r w:rsidRPr="00A3026E">
        <w:rPr>
          <w:rFonts w:ascii="Times New Roman" w:hAnsi="Times New Roman"/>
          <w:color w:val="000000" w:themeColor="text1"/>
          <w:sz w:val="16"/>
          <w:szCs w:val="16"/>
          <w:lang w:val="en-US"/>
        </w:rPr>
        <w:t>AJI</w:t>
      </w:r>
      <w:r w:rsidRPr="00A3026E">
        <w:rPr>
          <w:rFonts w:ascii="Times New Roman" w:hAnsi="Times New Roman"/>
          <w:color w:val="000000" w:themeColor="text1"/>
          <w:sz w:val="16"/>
          <w:szCs w:val="16"/>
        </w:rPr>
        <w:t>-31.</w:t>
      </w:r>
    </w:p>
    <w:p w14:paraId="505164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  г. создан модернизированный вариант АЛ-31Ф (изд. 99М1).</w:t>
      </w:r>
    </w:p>
    <w:p w14:paraId="5D9353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A3026E">
        <w:rPr>
          <w:rFonts w:ascii="Times New Roman" w:hAnsi="Times New Roman"/>
          <w:color w:val="000000" w:themeColor="text1"/>
          <w:sz w:val="16"/>
          <w:szCs w:val="16"/>
          <w:vertAlign w:val="superscript"/>
        </w:rPr>
        <w:t>140</w:t>
      </w:r>
    </w:p>
    <w:p w14:paraId="77F9F3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4B0D275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1990-е  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52AC49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1990-е  г. создано совместное предприятие с швейцарско-шведской фирмой «АВВ». В 2000 г. создана Дирекция лицензионных программ.</w:t>
      </w:r>
    </w:p>
    <w:p w14:paraId="368A5D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2000-е  г. продолжались работы по двигателю следующего поколения АЛ-41Ф и АЛ-31ФП с поворотным соплом; двигателя </w:t>
      </w:r>
      <w:r w:rsidRPr="00A3026E">
        <w:rPr>
          <w:rFonts w:ascii="Times New Roman" w:hAnsi="Times New Roman"/>
          <w:color w:val="000000" w:themeColor="text1"/>
          <w:sz w:val="16"/>
          <w:szCs w:val="16"/>
          <w:lang w:val="en-US"/>
        </w:rPr>
        <w:t>SaM</w:t>
      </w:r>
      <w:r w:rsidRPr="00A3026E">
        <w:rPr>
          <w:rFonts w:ascii="Times New Roman" w:hAnsi="Times New Roman"/>
          <w:color w:val="000000" w:themeColor="text1"/>
          <w:sz w:val="16"/>
          <w:szCs w:val="16"/>
        </w:rPr>
        <w:t xml:space="preserve"> 146 для </w:t>
      </w:r>
      <w:r w:rsidRPr="00A3026E">
        <w:rPr>
          <w:rFonts w:ascii="Times New Roman" w:hAnsi="Times New Roman"/>
          <w:color w:val="000000" w:themeColor="text1"/>
          <w:sz w:val="16"/>
          <w:szCs w:val="16"/>
          <w:lang w:val="en-US"/>
        </w:rPr>
        <w:t>RRJ</w:t>
      </w:r>
      <w:r w:rsidRPr="00A3026E">
        <w:rPr>
          <w:rFonts w:ascii="Times New Roman" w:hAnsi="Times New Roman"/>
          <w:color w:val="000000" w:themeColor="text1"/>
          <w:sz w:val="16"/>
          <w:szCs w:val="16"/>
        </w:rPr>
        <w:t xml:space="preserve">.20. В 2006 г. построено 5 экспериментальных образцов двигателя V поколения (тема «117С», совместно с УМПО). В 06.2006 г. построен 1-й </w:t>
      </w:r>
      <w:r w:rsidRPr="00A3026E">
        <w:rPr>
          <w:rFonts w:ascii="Times New Roman" w:hAnsi="Times New Roman"/>
          <w:color w:val="000000" w:themeColor="text1"/>
          <w:sz w:val="16"/>
          <w:szCs w:val="16"/>
          <w:lang w:val="en-US"/>
        </w:rPr>
        <w:t>SaM</w:t>
      </w:r>
      <w:r w:rsidRPr="00A3026E">
        <w:rPr>
          <w:rFonts w:ascii="Times New Roman" w:hAnsi="Times New Roman"/>
          <w:color w:val="000000" w:themeColor="text1"/>
          <w:sz w:val="16"/>
          <w:szCs w:val="16"/>
        </w:rPr>
        <w:t xml:space="preserve">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752DFA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2006 г. заключен контракт на изготовление 200 малоразмерных ТРДД-50МТ для индийского БПЛА </w:t>
      </w:r>
      <w:r w:rsidRPr="00A3026E">
        <w:rPr>
          <w:rFonts w:ascii="Times New Roman" w:hAnsi="Times New Roman"/>
          <w:color w:val="000000" w:themeColor="text1"/>
          <w:sz w:val="16"/>
          <w:szCs w:val="16"/>
          <w:lang w:val="en-US"/>
        </w:rPr>
        <w:t>Lakshya</w:t>
      </w:r>
      <w:r w:rsidRPr="00A3026E">
        <w:rPr>
          <w:rFonts w:ascii="Times New Roman" w:hAnsi="Times New Roman"/>
          <w:color w:val="000000" w:themeColor="text1"/>
          <w:sz w:val="16"/>
          <w:szCs w:val="16"/>
        </w:rPr>
        <w:t>.</w:t>
      </w:r>
    </w:p>
    <w:p w14:paraId="7FF8A8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xml:space="preserve">.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015BBB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(1941 г.)- более 2000 чел.</w:t>
      </w:r>
    </w:p>
    <w:p w14:paraId="3722C7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Директор (1942-12.1944-; 25.04.1946 г.-)- Ю.А. Мизюров, (05.1945 г.)- Бугров, (1954-77 г.)- А.А. Завитаев, (1977- 93 г.)-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Хартов.</w:t>
      </w:r>
      <w:r w:rsidRPr="00A3026E">
        <w:rPr>
          <w:rFonts w:ascii="Times New Roman" w:hAnsi="Times New Roman"/>
          <w:color w:val="000000" w:themeColor="text1"/>
          <w:sz w:val="16"/>
          <w:szCs w:val="16"/>
          <w:vertAlign w:val="superscript"/>
        </w:rPr>
        <w:t>68</w:t>
      </w:r>
      <w:r w:rsidRPr="00A3026E">
        <w:rPr>
          <w:rFonts w:ascii="Times New Roman" w:hAnsi="Times New Roman"/>
          <w:color w:val="000000" w:themeColor="text1"/>
          <w:sz w:val="16"/>
          <w:szCs w:val="16"/>
        </w:rPr>
        <w:t xml:space="preserve"> Гендиректор (-1998-2002 г.-)- В.М. Чепкин, В.А. Лебедев.</w:t>
      </w:r>
    </w:p>
    <w:p w14:paraId="4C447A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Ответственный руководитель (25.04.1946 г.-)-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Люлька.</w:t>
      </w:r>
    </w:p>
    <w:p w14:paraId="7A1FB8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2E02DC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Гл. конструктор (25.04.1946-56 г.)-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xml:space="preserve">. Люлька. Ген. конструктор (12.1956-84 г.)- академик (1968 г.) </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Люлька {23.03.1908-1.06.1984 г.}; и.о. (-03-08.1984 г.)- Ю.П. Марчуков; (08.1984-2003 г.)- В.М. Чепкин {20.09.1933- }, (2003 г.-)- М.Л. Кузменко.</w:t>
      </w:r>
    </w:p>
    <w:p w14:paraId="3ED611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Хартов, (1978 г.)- В.К. Кобченко, (1978 г.)- В.А. Горелов, (1997-98 г.)- М.Л. Кузменко, Е.Ю. Марчуков.</w:t>
      </w:r>
    </w:p>
    <w:p w14:paraId="357125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50AD83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(1980-е)-  Г.И. Зуев.</w:t>
      </w:r>
    </w:p>
    <w:p w14:paraId="2B8C3B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производства- А.В. Чуркин (около 20 лет).</w:t>
      </w:r>
    </w:p>
    <w:p w14:paraId="3DDE94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конструкторы: (1957-76 г.)- Э.Э. Лусс, (1960-е  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1EE3284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0B8D90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цехов: Н.Н. Якунин.</w:t>
      </w:r>
    </w:p>
    <w:p w14:paraId="50DDFA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отдела внешних связей и протокола (2002 г.)- В. Г. Нестеров.</w:t>
      </w:r>
    </w:p>
    <w:p w14:paraId="6EE0F9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бригад: (2006 г.)- Н.В. Кикоть.</w:t>
      </w:r>
    </w:p>
    <w:p w14:paraId="47BDDE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лабораторий: (1970-е)- А.Ф. Кричигина.</w:t>
      </w:r>
    </w:p>
    <w:p w14:paraId="5A0CC7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A3026E">
        <w:rPr>
          <w:rFonts w:ascii="Times New Roman" w:hAnsi="Times New Roman"/>
          <w:color w:val="000000" w:themeColor="text1"/>
          <w:sz w:val="16"/>
          <w:szCs w:val="16"/>
          <w:vertAlign w:val="superscript"/>
        </w:rPr>
        <w:t>68</w:t>
      </w:r>
      <w:r w:rsidRPr="00A3026E">
        <w:rPr>
          <w:rFonts w:ascii="Times New Roman" w:hAnsi="Times New Roman"/>
          <w:color w:val="000000" w:themeColor="text1"/>
          <w:sz w:val="16"/>
          <w:szCs w:val="16"/>
        </w:rPr>
        <w:t xml:space="preserve"> проекты: ЯСУ РД-А для М-30 (1950-е), открытого типа ТРДА ПАС для М-60 (1955)</w:t>
      </w:r>
      <w:r w:rsidRPr="00A3026E">
        <w:rPr>
          <w:rFonts w:ascii="Times New Roman" w:hAnsi="Times New Roman"/>
          <w:color w:val="000000" w:themeColor="text1"/>
          <w:sz w:val="16"/>
          <w:szCs w:val="16"/>
          <w:vertAlign w:val="superscript"/>
        </w:rPr>
        <w:t>93</w:t>
      </w:r>
      <w:r w:rsidRPr="00A3026E">
        <w:rPr>
          <w:rFonts w:ascii="Times New Roman" w:hAnsi="Times New Roman"/>
          <w:color w:val="000000" w:themeColor="text1"/>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375C1F1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42152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при 1ГУ НКАП на базе принятых в качестве цехов завода «Азстанкострой» заводов «Союззаготхлопок» и «Азводхоз» начал строиться Завод № 446 НКАП /Азербайджан  г. Баку/. По приказу № 262сс от 22.03.1941 г. завод передан в ЮГУ НКАП.</w:t>
      </w:r>
    </w:p>
    <w:p w14:paraId="6D66EB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начале 1941 г. началось освоение производства учебных кабин для «СБ», амортизаторов для Пе-2, стоек шасси. Осуществлялось производство станков. С началом войны налаживалось производство деталей к снарядам М-13.</w:t>
      </w:r>
    </w:p>
    <w:p w14:paraId="2068D9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1053сс от 9.10.1941 г. на площадку строительства завода № 446 НКАП в Баку эвакуирован завод № 458 НКАП из Ростова-на-Дону. По приказу № 1118сс от 14.11.1941 г. заводы № 458 и № 446 слиты с образованием единого завода № 458.</w:t>
      </w:r>
    </w:p>
    <w:p w14:paraId="16B0C3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Директор/начальник строительства (09.1940 г.-)- А.А. Аванесов.</w:t>
      </w:r>
    </w:p>
    <w:p w14:paraId="1648F6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Гл. инженер (09.1940 г.-)- </w:t>
      </w:r>
      <w:r w:rsidRPr="00A3026E">
        <w:rPr>
          <w:rFonts w:ascii="Times New Roman" w:hAnsi="Times New Roman"/>
          <w:color w:val="000000" w:themeColor="text1"/>
          <w:sz w:val="16"/>
          <w:szCs w:val="16"/>
          <w:lang w:val="en-US"/>
        </w:rPr>
        <w:t>JI</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M</w:t>
      </w:r>
      <w:r w:rsidRPr="00A3026E">
        <w:rPr>
          <w:rFonts w:ascii="Times New Roman" w:hAnsi="Times New Roman"/>
          <w:color w:val="000000" w:themeColor="text1"/>
          <w:sz w:val="16"/>
          <w:szCs w:val="16"/>
        </w:rPr>
        <w:t>. Минский (11982).</w:t>
      </w:r>
    </w:p>
    <w:p w14:paraId="0816B6F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A75E1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1940 г. в системе 3ГУ НКАП был образован Винтовой завод № 489 (ГС Завод № 489 НКАП / г. Казань/). С началом войны началась организация производства винтов </w:t>
      </w:r>
      <w:r w:rsidRPr="00A3026E">
        <w:rPr>
          <w:rFonts w:ascii="Times New Roman" w:hAnsi="Times New Roman"/>
          <w:color w:val="000000" w:themeColor="text1"/>
          <w:sz w:val="16"/>
          <w:szCs w:val="16"/>
          <w:lang w:val="en-US"/>
        </w:rPr>
        <w:t>AB</w:t>
      </w:r>
      <w:r w:rsidRPr="00A3026E">
        <w:rPr>
          <w:rFonts w:ascii="Times New Roman" w:hAnsi="Times New Roman"/>
          <w:color w:val="000000" w:themeColor="text1"/>
          <w:sz w:val="16"/>
          <w:szCs w:val="16"/>
        </w:rPr>
        <w:t>-5Л</w:t>
      </w:r>
      <w:r w:rsidRPr="00A3026E">
        <w:rPr>
          <w:rFonts w:ascii="Times New Roman" w:hAnsi="Times New Roman"/>
          <w:color w:val="000000" w:themeColor="text1"/>
          <w:sz w:val="16"/>
          <w:szCs w:val="16"/>
          <w:lang w:val="en-US"/>
        </w:rPr>
        <w:t>TB</w:t>
      </w:r>
      <w:r w:rsidRPr="00A3026E">
        <w:rPr>
          <w:rFonts w:ascii="Times New Roman" w:hAnsi="Times New Roman"/>
          <w:color w:val="000000" w:themeColor="text1"/>
          <w:sz w:val="16"/>
          <w:szCs w:val="16"/>
        </w:rPr>
        <w:t>-139. Приказом № 1145сс от 20.11.1941 г. завод № 489 НКАП влит в состав единого завода № 16 НКАП. В соответствии с пост. ГКО № 1386сс от 4.03.1942 г. и приказом № 388с от 20.05.1942 г. завод исключен из числа действующих, строительство прекращено, здания переданы другим заводам (11982).</w:t>
      </w:r>
    </w:p>
    <w:p w14:paraId="4769CDF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10E65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Новосибирске был образован Филиал № 2 ЦАГИ, который сразу же включился в научно-исследовательскую работу. Из тем 1940 года, например, можно отметить разработку Е.П. Гроссмана «О расчете воздушного винта на флаттер» (Самарский филиал РГАНТД. Ф. Р-465. Оп. 1-1. Д. 11. Л. 1.). А в следующем, 1941 году, в нем, например, разрабатывались такие темы, как «Об испытаниях на флаттер хвостовых оперений самолетов в больших аэродинамических трубах» и «Экспериментальное определение пределов выносливости дюралевых труб» (Там же. Д. 14. Л. 1; Д. 16. Л. 1-2.).</w:t>
      </w:r>
    </w:p>
    <w:p w14:paraId="6068101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33EB6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в Тушино при ВДВ КА создали отдельный летно-испытательный отряд. Начальник - брат П.В.Цыбина - Малахов. С первых чисел ноября 1941 - поехал в Саратов (107,11).</w:t>
      </w:r>
    </w:p>
    <w:p w14:paraId="67F3B12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AE084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стали совмещать заводские и государственные испытания по инициативе Я.В.Смушкевича (78,82).</w:t>
      </w:r>
    </w:p>
    <w:p w14:paraId="624EDAA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6282C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главным инженером ВВС был А.К.Ренин (6,69). Главная задача КВВС - испытания.</w:t>
      </w:r>
    </w:p>
    <w:p w14:paraId="4E3BB06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2EA27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была та же самая ситуация, что и в 1939 году, но отягощенная дополнительными проблемами, когда на стадии проектирования, строительства и первичных испытаний находилось 45 новых самолетов и 36 модификаций; на стадии государственных испытаний – 13 новых самолетов и 10 модификаций; 10 машин были приняты в серийное производство (Самолетостроение в СССР. 1917 – 1945. Кн. II. С. 202.).</w:t>
      </w:r>
    </w:p>
    <w:p w14:paraId="4BFEC2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цифры значительно превышали аналогичные показатели прошлого года. К тому же весной – летом 1940 года в план развития авиапромышленности были внесены существенные коррективы. Советское руководство получило, как впоследствии выяснилось, ложные сведения о существенном превосходстве германского авиавыпуска над отечественным.</w:t>
      </w:r>
    </w:p>
    <w:p w14:paraId="0789A2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Попытка добиться если не превосходства, то хотя бы паритета с потенциальным противником в области авиапроизводства путем интенсификации работ на уже существующих авиапредприятиях, успехом не увенчалась.</w:t>
      </w:r>
    </w:p>
    <w:p w14:paraId="463EC5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Ставка была сделана на авральное развитие авиаиндустрии с резким увеличением производственных мощностей.</w:t>
      </w:r>
    </w:p>
    <w:p w14:paraId="71273C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Объяснительной записке к отчету НКАП за 1940 год говорилось: «Работа самолетостроительных и моторных заводов в 1940 году протекала в условиях внедрения на большинстве заводов новых типов самолетов и моторов, перехода на выпуск более мощных и модифицированных моторов, а также к подготовке к запуску в серийное производство новых, еще более современных типов самолетов и моторов». При этом подчеркивалось, что «авиационная промышленность не имела твердой годовой программы в натуре» (РГАЭ. Ф. 8044. Оп. 1. Д. 2775. Л. 13.).</w:t>
      </w:r>
    </w:p>
    <w:p w14:paraId="0935F8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 несмотря на имевшиеся проблемы, авиапромышленность выполнила план по валовой – на 102%, по товарной – на 98%, а по оборонной продукции – на 94%. По сравнению с 1939 годом, объем оборонной продукции возрос на 30%. М.Ю. Мухин подчеркивал: «Как видим, даже не достигая плановых значений, советский авиапром, тем не менее, существенно интенсифицировал свою деятельность» (Мухин М.Ю. Указ.соч. С. 158-159.). Производство самолетов в СССР в 1940 году представлено в Таблице 5.</w:t>
      </w:r>
    </w:p>
    <w:p w14:paraId="76960B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Освоение техники в производстве приводило к снижению ее себестоимости, даже несмотря на улучшенные характеристики. Например, в 1939 году отпускная цена самолета СБ с моторами М-103 производства авиазавода № 125 составляла 462 тыс. рублей, а в 1940 году отпускная цена на том же заводе более современной модели СБ с моторами М-105 снизилась до 365 тыс. рублей (РГАЭ. Ф. 8044. Оп.1. Д. 673. Л. 12.).</w:t>
      </w:r>
    </w:p>
    <w:p w14:paraId="754E22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 отметить тот факт, что в 1940 году, помимо выполнения перенапряженных плановых заданий, авиапромышленность должна была также обеспечить потери советской авиации в войне с Финляндией (потери самолетов представлены в Таблицах 71-72). Новая ситуация потребовала поступления в ВВС РККА увеличенного количества самолетов и легла дополнительным бременем на отечественный авиапром. В письме от 14 февраля 1940 года № 487821 сс начальник ГУ ВВС КА Я.В. Смушкевич, военкомом ГУ ВВС КА Ф.А. Агальцов, начальник штаба ВВС КА Ф.К.Арженухин сообщали Наркому обороны К.Е. Ворошилову, что только для доукомплектования строевых частей и ВУЗ, формирования резервных полков и пополнения убыли на фронте требовалось до 1 июля 2848 боевых самолетов, причем подчеркивалось: «Убыль самолетов для фронта предусмотрена в размере 800 боевых самолетов (ДБ-3 – 180, СБ – 320, И-16 – 100 и И-153 – 200), не считая самолетов старых типов» (РГВА. Ф. 29. Оп. 46. Д. 340. Л. 69 -70.). Это также мешало освоению новых типов машин. М.Ю. Мухин отмечает, что на заводе № 22 предполагалось свертывание производства СБ и начало производства новых бомбардировщиков – первоначально поликарповского СПБ, а затем петляковского Пе-2. Однако реалии советско-финской войны потребовали в первую очередь покрыть фронту боевую убыль освоенного в частях СБ, а уж во вторую очередь заниматься внедрением в серию новых моделей (Мухин М.Ю. Указ.соч. С. 150-151.) (11672).</w:t>
      </w:r>
    </w:p>
    <w:p w14:paraId="518A153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95BE1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ассигнования на Авиапром составили 40 % все</w:t>
      </w:r>
      <w:r w:rsidRPr="00A3026E">
        <w:rPr>
          <w:rFonts w:ascii="Times New Roman" w:hAnsi="Times New Roman"/>
          <w:color w:val="000000" w:themeColor="text1"/>
          <w:sz w:val="16"/>
          <w:szCs w:val="16"/>
        </w:rPr>
        <w:softHyphen/>
        <w:t xml:space="preserve">го военного бюджета СССР (Шумихин </w:t>
      </w:r>
      <w:r w:rsidRPr="00A3026E">
        <w:rPr>
          <w:rFonts w:ascii="Times New Roman" w:hAnsi="Times New Roman"/>
          <w:color w:val="000000" w:themeColor="text1"/>
          <w:sz w:val="16"/>
          <w:szCs w:val="16"/>
          <w:lang w:val="en-US"/>
        </w:rPr>
        <w:t>B</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C</w:t>
      </w:r>
      <w:r w:rsidRPr="00A3026E">
        <w:rPr>
          <w:rFonts w:ascii="Times New Roman" w:hAnsi="Times New Roman"/>
          <w:color w:val="000000" w:themeColor="text1"/>
          <w:sz w:val="16"/>
          <w:szCs w:val="16"/>
        </w:rPr>
        <w:t>. Указ. соч. С. 210). Поэтому решение Кагановича о превалирующем значении Наркомата авиационной промыш</w:t>
      </w:r>
      <w:r w:rsidRPr="00A3026E">
        <w:rPr>
          <w:rFonts w:ascii="Times New Roman" w:hAnsi="Times New Roman"/>
          <w:color w:val="000000" w:themeColor="text1"/>
          <w:sz w:val="16"/>
          <w:szCs w:val="16"/>
        </w:rPr>
        <w:softHyphen/>
        <w:t>ленности, по сравнению с прочими наркоматами военной отрасли, выглядит хотя и эгоистичным, но обоснованным. Начиная с 1937 г. авиапромышленность удерживала пальму первенства среди других отраслей оборонной промышленно</w:t>
      </w:r>
      <w:r w:rsidRPr="00A3026E">
        <w:rPr>
          <w:rFonts w:ascii="Times New Roman" w:hAnsi="Times New Roman"/>
          <w:color w:val="000000" w:themeColor="text1"/>
          <w:sz w:val="16"/>
          <w:szCs w:val="16"/>
        </w:rPr>
        <w:softHyphen/>
        <w:t>сти и по объемам валового производства.</w:t>
      </w:r>
    </w:p>
    <w:p w14:paraId="14F714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Объём валового производства оборонной промышленности в 1937—1940 гг. (млн руб., в ценах текущих лет) (РГАЭ. Ф. 4372. Оп. 92. Д. 265. Л. 1.)</w:t>
      </w:r>
    </w:p>
    <w:tbl>
      <w:tblPr>
        <w:tblW w:w="0" w:type="auto"/>
        <w:tblInd w:w="8" w:type="dxa"/>
        <w:tblLayout w:type="fixed"/>
        <w:tblCellMar>
          <w:left w:w="0" w:type="dxa"/>
          <w:right w:w="0" w:type="dxa"/>
        </w:tblCellMar>
        <w:tblLook w:val="0000" w:firstRow="0" w:lastRow="0" w:firstColumn="0" w:lastColumn="0" w:noHBand="0" w:noVBand="0"/>
      </w:tblPr>
      <w:tblGrid>
        <w:gridCol w:w="1200"/>
        <w:gridCol w:w="1181"/>
        <w:gridCol w:w="1190"/>
        <w:gridCol w:w="1186"/>
        <w:gridCol w:w="1195"/>
      </w:tblGrid>
      <w:tr w:rsidR="00983732" w:rsidRPr="00A3026E" w14:paraId="4AF6DD2C" w14:textId="77777777" w:rsidTr="00EA0DA7">
        <w:trPr>
          <w:trHeight w:val="245"/>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65E8655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1F8462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1937</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34B6E1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6703B7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14ACF9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r>
      <w:tr w:rsidR="00983732" w:rsidRPr="00A3026E" w14:paraId="0B9EB8E2" w14:textId="77777777" w:rsidTr="00EA0DA7">
        <w:trPr>
          <w:trHeight w:val="221"/>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7B8FBC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Авиация</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54387F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23453</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168949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3237,7</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2BD5BD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4882,7</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41D461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6310</w:t>
            </w:r>
          </w:p>
        </w:tc>
      </w:tr>
      <w:tr w:rsidR="00983732" w:rsidRPr="00A3026E" w14:paraId="7A74AA08" w14:textId="77777777" w:rsidTr="00EA0DA7">
        <w:trPr>
          <w:trHeight w:val="221"/>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632768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Судостроение</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79E7A5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1726,1</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46D7BF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2010,7</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5DD629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2866,0</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7BF4D3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4448</w:t>
            </w:r>
          </w:p>
        </w:tc>
      </w:tr>
      <w:tr w:rsidR="00983732" w:rsidRPr="00A3026E" w14:paraId="38530202" w14:textId="77777777" w:rsidTr="00EA0DA7">
        <w:trPr>
          <w:trHeight w:val="226"/>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68ABE6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Боеприпасы</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25A81E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1561,1</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3DB1D1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2423,6</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69C2A6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3719,3</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6B79BC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5500</w:t>
            </w:r>
          </w:p>
        </w:tc>
      </w:tr>
      <w:tr w:rsidR="00983732" w:rsidRPr="00A3026E" w14:paraId="1C2CA8DC" w14:textId="77777777" w:rsidTr="00EA0DA7">
        <w:trPr>
          <w:trHeight w:val="245"/>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6380DC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Вооружили</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618774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2126,7</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247E1A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3001,4</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14C31A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lang w:val="en-US"/>
              </w:rPr>
              <w:t>4432J</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1BD381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5710</w:t>
            </w:r>
          </w:p>
        </w:tc>
      </w:tr>
    </w:tbl>
    <w:p w14:paraId="7856BD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Если сравнить данные данной таблицы с данными таблицы «Соотношение важ</w:t>
      </w:r>
      <w:r w:rsidRPr="00A3026E">
        <w:rPr>
          <w:rFonts w:ascii="Times New Roman" w:hAnsi="Times New Roman"/>
          <w:color w:val="000000" w:themeColor="text1"/>
          <w:sz w:val="16"/>
          <w:szCs w:val="16"/>
        </w:rPr>
        <w:softHyphen/>
        <w:t>нейших показателей Главных управлений НКОП...», то будет заметен определённый разнобой в цифрах. Видимо, эта разница обусловлена изменениями в системе подсчёта стоимости.</w:t>
      </w:r>
    </w:p>
    <w:p w14:paraId="32A2D0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Авиапромышлешюсть практиче</w:t>
      </w:r>
      <w:r w:rsidRPr="00A3026E">
        <w:rPr>
          <w:rFonts w:ascii="Times New Roman" w:hAnsi="Times New Roman"/>
          <w:color w:val="000000" w:themeColor="text1"/>
          <w:sz w:val="16"/>
          <w:szCs w:val="16"/>
        </w:rPr>
        <w:softHyphen/>
        <w:t>ски на всём протяжении предвоенного периода занимала ли</w:t>
      </w:r>
      <w:r w:rsidRPr="00A3026E">
        <w:rPr>
          <w:rFonts w:ascii="Times New Roman" w:hAnsi="Times New Roman"/>
          <w:color w:val="000000" w:themeColor="text1"/>
          <w:sz w:val="16"/>
          <w:szCs w:val="16"/>
        </w:rPr>
        <w:softHyphen/>
        <w:t>дирующее положение в отечественной оборонке. Причём по темпам нарастания выпуска в стоимостном выражении чётко выделяются отрасли-лидеры (авиапром и промышленность боеприпасов) и отрасли-аутсайдеры (судостроение и про</w:t>
      </w:r>
      <w:r w:rsidRPr="00A3026E">
        <w:rPr>
          <w:rFonts w:ascii="Times New Roman" w:hAnsi="Times New Roman"/>
          <w:color w:val="000000" w:themeColor="text1"/>
          <w:sz w:val="16"/>
          <w:szCs w:val="16"/>
        </w:rPr>
        <w:softHyphen/>
        <w:t>мышленность вооружений), развивавшиеся пусть и быстро, но явно отстававшие от темпов лидеров. Первоначально считалось, что советская авиаиндустрия уже достигла тре</w:t>
      </w:r>
      <w:r w:rsidRPr="00A3026E">
        <w:rPr>
          <w:rFonts w:ascii="Times New Roman" w:hAnsi="Times New Roman"/>
          <w:color w:val="000000" w:themeColor="text1"/>
          <w:sz w:val="16"/>
          <w:szCs w:val="16"/>
        </w:rPr>
        <w:softHyphen/>
        <w:t>буемого уровня, поэтому задачи наибольшего роста стави</w:t>
      </w:r>
      <w:r w:rsidRPr="00A3026E">
        <w:rPr>
          <w:rFonts w:ascii="Times New Roman" w:hAnsi="Times New Roman"/>
          <w:color w:val="000000" w:themeColor="text1"/>
          <w:sz w:val="16"/>
          <w:szCs w:val="16"/>
        </w:rPr>
        <w:softHyphen/>
        <w:t>лись перед промышленностью боеприпасов. Ожидалось, что удельный вес авиастроения во всей оборонной промышлен</w:t>
      </w:r>
      <w:r w:rsidRPr="00A3026E">
        <w:rPr>
          <w:rFonts w:ascii="Times New Roman" w:hAnsi="Times New Roman"/>
          <w:color w:val="000000" w:themeColor="text1"/>
          <w:sz w:val="16"/>
          <w:szCs w:val="16"/>
        </w:rPr>
        <w:softHyphen/>
        <w:t>ности упадёт с 45 до 42 %. Однако НКБ, в отличие от НКАПа, план 1939 г. провалил, поэтому превосходство авиапрома над прочими основными оборонными наркоматами осталось не</w:t>
      </w:r>
      <w:r w:rsidRPr="00A3026E">
        <w:rPr>
          <w:rFonts w:ascii="Times New Roman" w:hAnsi="Times New Roman"/>
          <w:color w:val="000000" w:themeColor="text1"/>
          <w:sz w:val="16"/>
          <w:szCs w:val="16"/>
        </w:rPr>
        <w:softHyphen/>
        <w:t>изменным:</w:t>
      </w:r>
    </w:p>
    <w:p w14:paraId="2B357B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разделе НКОП многие ожидали, что новым нарко</w:t>
      </w:r>
      <w:r w:rsidRPr="00A3026E">
        <w:rPr>
          <w:rFonts w:ascii="Times New Roman" w:hAnsi="Times New Roman"/>
          <w:color w:val="000000" w:themeColor="text1"/>
          <w:sz w:val="16"/>
          <w:szCs w:val="16"/>
        </w:rPr>
        <w:softHyphen/>
        <w:t>мом авиапромышленности станет М.В. Хруничев, одна</w:t>
      </w:r>
      <w:r w:rsidRPr="00A3026E">
        <w:rPr>
          <w:rFonts w:ascii="Times New Roman" w:hAnsi="Times New Roman"/>
          <w:color w:val="000000" w:themeColor="text1"/>
          <w:sz w:val="16"/>
          <w:szCs w:val="16"/>
        </w:rPr>
        <w:softHyphen/>
        <w:t xml:space="preserve">ко этот пост занял М.М. Каганович. Базисным для НКАП было 1-е (самолетное) ГУ НКОП. Очевидно, этот главк явно слишком велик для наркомата, поэтому 4 марта 1939 г. он был разделён на Главное самолётное управление) и Главное самолёто-агрегатное управление (ГСАУ). чем, уже в конце того же месяца из ведения ГСУ были дены дальневосточные предприятия и новостройки, вление которыми было сосредоточено в специальном елевом шавке. Помимо I ГУ НКОП в НКАП отошло и II ГУ, занимавшееся моторостроением. В новом нарко- оно получило название Главного моторостроительно- управления (ГМУ), которое было в апреле 1939 г. разу- тзнено на собственно ГМУ, Главное моторно-агрегатное авлспис (ГМАУ) и Главное металлопрокатное управ- ние (ГМПУ). В это же время слаботочное и приборное * стали номерными ГУ НКАПа — соответственно, VII и II. 31 августа 1939 г. в структуре НКАП появилось X ГУ, счавшее за производство лыж и деревянных пропелле- й. В его состав вошли заводы № 41, 162—169 (ГА РФ. Ф. 8418. Оп. 23. Д. 406. Л. 3.). В том же сяце было ликвидировано Остехбюро, чьи функции и оизводственные мощности были разделены между VII и I ГУ. Для внедрения в производство передовых техно- гий при наркоме ещё в мае в качестве совещательного гана был создан Технический совет. В </w:t>
      </w:r>
      <w:r w:rsidRPr="00A3026E">
        <w:rPr>
          <w:rFonts w:ascii="Times New Roman" w:hAnsi="Times New Roman"/>
          <w:color w:val="000000" w:themeColor="text1"/>
          <w:sz w:val="16"/>
          <w:szCs w:val="16"/>
        </w:rPr>
        <w:lastRenderedPageBreak/>
        <w:t>ноябре в составе ркомата было создано XI ГУ, призванное руководить отраслевой наукой и НИОКР (Костырченко Г.В. Наркомат авиационной промышленности в предвоенные годы И Авиационная промышленность. 1986 № 5.) (12011).</w:t>
      </w:r>
    </w:p>
    <w:p w14:paraId="3DD926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Валовая продукция в ценах 1926/27. в тыс. руб.</w:t>
      </w:r>
      <w:r w:rsidRPr="00A3026E">
        <w:rPr>
          <w:rFonts w:ascii="Times New Roman" w:hAnsi="Times New Roman"/>
          <w:color w:val="000000" w:themeColor="text1"/>
          <w:sz w:val="16"/>
          <w:szCs w:val="16"/>
          <w:vertAlign w:val="superscript"/>
        </w:rPr>
        <w:t>1</w:t>
      </w:r>
    </w:p>
    <w:tbl>
      <w:tblPr>
        <w:tblW w:w="0" w:type="auto"/>
        <w:tblInd w:w="8" w:type="dxa"/>
        <w:tblLayout w:type="fixed"/>
        <w:tblCellMar>
          <w:left w:w="0" w:type="dxa"/>
          <w:right w:w="0" w:type="dxa"/>
        </w:tblCellMar>
        <w:tblLook w:val="0000" w:firstRow="0" w:lastRow="0" w:firstColumn="0" w:lastColumn="0" w:noHBand="0" w:noVBand="0"/>
      </w:tblPr>
      <w:tblGrid>
        <w:gridCol w:w="994"/>
        <w:gridCol w:w="984"/>
        <w:gridCol w:w="984"/>
        <w:gridCol w:w="984"/>
        <w:gridCol w:w="984"/>
        <w:gridCol w:w="994"/>
      </w:tblGrid>
      <w:tr w:rsidR="00983732" w:rsidRPr="00A3026E" w14:paraId="5B1FE478" w14:textId="77777777" w:rsidTr="00EA0DA7">
        <w:trPr>
          <w:trHeight w:val="422"/>
        </w:trPr>
        <w:tc>
          <w:tcPr>
            <w:tcW w:w="994" w:type="dxa"/>
            <w:tcBorders>
              <w:top w:val="single" w:sz="6" w:space="0" w:color="auto"/>
              <w:left w:val="single" w:sz="6" w:space="0" w:color="auto"/>
              <w:bottom w:val="single" w:sz="6" w:space="0" w:color="auto"/>
              <w:right w:val="single" w:sz="6" w:space="0" w:color="auto"/>
            </w:tcBorders>
            <w:shd w:val="clear" w:color="auto" w:fill="FFFFFF"/>
          </w:tcPr>
          <w:p w14:paraId="4EB82C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Наркомат</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0AA0EC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1938—факт*</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5A9501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1939—плав</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15F2E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Планируемый рост</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5B9259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1939—факт</w:t>
            </w:r>
          </w:p>
        </w:tc>
        <w:tc>
          <w:tcPr>
            <w:tcW w:w="994" w:type="dxa"/>
            <w:tcBorders>
              <w:top w:val="single" w:sz="6" w:space="0" w:color="auto"/>
              <w:left w:val="single" w:sz="6" w:space="0" w:color="auto"/>
              <w:bottom w:val="single" w:sz="6" w:space="0" w:color="auto"/>
              <w:right w:val="single" w:sz="6" w:space="0" w:color="auto"/>
            </w:tcBorders>
            <w:shd w:val="clear" w:color="auto" w:fill="FFFFFF"/>
          </w:tcPr>
          <w:p w14:paraId="187853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Реальный рост</w:t>
            </w:r>
          </w:p>
        </w:tc>
      </w:tr>
      <w:tr w:rsidR="00983732" w:rsidRPr="00A3026E" w14:paraId="3123068D" w14:textId="77777777" w:rsidTr="00EA0DA7">
        <w:trPr>
          <w:trHeight w:val="226"/>
        </w:trPr>
        <w:tc>
          <w:tcPr>
            <w:tcW w:w="994" w:type="dxa"/>
            <w:tcBorders>
              <w:top w:val="single" w:sz="6" w:space="0" w:color="auto"/>
              <w:left w:val="single" w:sz="6" w:space="0" w:color="auto"/>
              <w:bottom w:val="single" w:sz="6" w:space="0" w:color="auto"/>
              <w:right w:val="single" w:sz="6" w:space="0" w:color="auto"/>
            </w:tcBorders>
            <w:shd w:val="clear" w:color="auto" w:fill="FFFFFF"/>
          </w:tcPr>
          <w:p w14:paraId="718CBE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НКАП</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3F6ED4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3679567</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9EAEF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5324396</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64F68B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144,7%</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61476D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5312129</w:t>
            </w:r>
          </w:p>
        </w:tc>
        <w:tc>
          <w:tcPr>
            <w:tcW w:w="994" w:type="dxa"/>
            <w:tcBorders>
              <w:top w:val="single" w:sz="6" w:space="0" w:color="auto"/>
              <w:left w:val="single" w:sz="6" w:space="0" w:color="auto"/>
              <w:bottom w:val="single" w:sz="6" w:space="0" w:color="auto"/>
              <w:right w:val="single" w:sz="6" w:space="0" w:color="auto"/>
            </w:tcBorders>
            <w:shd w:val="clear" w:color="auto" w:fill="FFFFFF"/>
          </w:tcPr>
          <w:p w14:paraId="0C338F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144,4%</w:t>
            </w:r>
          </w:p>
        </w:tc>
      </w:tr>
      <w:tr w:rsidR="00983732" w:rsidRPr="00A3026E" w14:paraId="28C590F7" w14:textId="77777777" w:rsidTr="00EA0DA7">
        <w:trPr>
          <w:trHeight w:val="221"/>
        </w:trPr>
        <w:tc>
          <w:tcPr>
            <w:tcW w:w="994" w:type="dxa"/>
            <w:tcBorders>
              <w:top w:val="single" w:sz="6" w:space="0" w:color="auto"/>
              <w:left w:val="single" w:sz="6" w:space="0" w:color="auto"/>
              <w:bottom w:val="single" w:sz="6" w:space="0" w:color="auto"/>
              <w:right w:val="single" w:sz="6" w:space="0" w:color="auto"/>
            </w:tcBorders>
            <w:shd w:val="clear" w:color="auto" w:fill="FFFFFF"/>
          </w:tcPr>
          <w:p w14:paraId="27BF0C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НХБ</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67612CF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1601615</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6077D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2800169</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38640C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174,8%</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714EC9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2360144</w:t>
            </w:r>
          </w:p>
        </w:tc>
        <w:tc>
          <w:tcPr>
            <w:tcW w:w="994" w:type="dxa"/>
            <w:tcBorders>
              <w:top w:val="single" w:sz="6" w:space="0" w:color="auto"/>
              <w:left w:val="single" w:sz="6" w:space="0" w:color="auto"/>
              <w:bottom w:val="single" w:sz="6" w:space="0" w:color="auto"/>
              <w:right w:val="single" w:sz="6" w:space="0" w:color="auto"/>
            </w:tcBorders>
            <w:shd w:val="clear" w:color="auto" w:fill="FFFFFF"/>
          </w:tcPr>
          <w:p w14:paraId="7690B6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147,4%</w:t>
            </w:r>
          </w:p>
        </w:tc>
      </w:tr>
      <w:tr w:rsidR="00983732" w:rsidRPr="00A3026E" w14:paraId="5585D965" w14:textId="77777777" w:rsidTr="00EA0DA7">
        <w:trPr>
          <w:trHeight w:val="245"/>
        </w:trPr>
        <w:tc>
          <w:tcPr>
            <w:tcW w:w="994" w:type="dxa"/>
            <w:tcBorders>
              <w:top w:val="single" w:sz="6" w:space="0" w:color="auto"/>
              <w:left w:val="single" w:sz="6" w:space="0" w:color="auto"/>
              <w:bottom w:val="single" w:sz="6" w:space="0" w:color="auto"/>
              <w:right w:val="single" w:sz="6" w:space="0" w:color="auto"/>
            </w:tcBorders>
            <w:shd w:val="clear" w:color="auto" w:fill="FFFFFF"/>
          </w:tcPr>
          <w:p w14:paraId="3E570D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НКВ</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CADC3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2936361</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12115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4287800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0D3B18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146%</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F2E2E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4365788</w:t>
            </w:r>
          </w:p>
        </w:tc>
        <w:tc>
          <w:tcPr>
            <w:tcW w:w="994" w:type="dxa"/>
            <w:tcBorders>
              <w:top w:val="single" w:sz="6" w:space="0" w:color="auto"/>
              <w:left w:val="single" w:sz="6" w:space="0" w:color="auto"/>
              <w:bottom w:val="single" w:sz="6" w:space="0" w:color="auto"/>
              <w:right w:val="single" w:sz="6" w:space="0" w:color="auto"/>
            </w:tcBorders>
            <w:shd w:val="clear" w:color="auto" w:fill="FFFFFF"/>
          </w:tcPr>
          <w:p w14:paraId="19CC81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148,7%</w:t>
            </w:r>
          </w:p>
        </w:tc>
      </w:tr>
    </w:tbl>
    <w:p w14:paraId="0AF1DD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 1938 г. рассматриваемых наркоматов ещё не существовало, поэтому в графе «1938 — факт» приводится стоимость продукции ГУ НКОП, на базе которых в январе 1939 г. были созданы соответствующие наркоматы. Перерасчёт производился сотруд</w:t>
      </w:r>
      <w:r w:rsidRPr="00A3026E">
        <w:rPr>
          <w:rFonts w:ascii="Times New Roman" w:hAnsi="Times New Roman"/>
          <w:color w:val="000000" w:themeColor="text1"/>
          <w:sz w:val="16"/>
          <w:szCs w:val="16"/>
        </w:rPr>
        <w:softHyphen/>
        <w:t>никами Госплана в 1940 г. (12011).</w:t>
      </w:r>
    </w:p>
    <w:p w14:paraId="7BC36BC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30A697E" w14:textId="77777777" w:rsidR="0014077F" w:rsidRPr="00A3026E" w:rsidRDefault="0014077F" w:rsidP="00A3026E">
      <w:pPr>
        <w:tabs>
          <w:tab w:val="left" w:pos="441"/>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деятельность НКАП рассматривается в Полит</w:t>
      </w:r>
      <w:r w:rsidRPr="00A3026E">
        <w:rPr>
          <w:rFonts w:ascii="Times New Roman" w:hAnsi="Times New Roman"/>
          <w:color w:val="000000" w:themeColor="text1"/>
          <w:sz w:val="16"/>
          <w:szCs w:val="16"/>
        </w:rPr>
        <w:softHyphen/>
        <w:t>бюро ЦК ВКП(б). По итогам рассмотрения достижение в обозримом будущем уровня выпуска в 70 машин ежесуточно было признано маловероятным, а перед руководством нарко</w:t>
      </w:r>
      <w:r w:rsidRPr="00A3026E">
        <w:rPr>
          <w:rFonts w:ascii="Times New Roman" w:hAnsi="Times New Roman"/>
          <w:color w:val="000000" w:themeColor="text1"/>
          <w:sz w:val="16"/>
          <w:szCs w:val="16"/>
        </w:rPr>
        <w:softHyphen/>
        <w:t>мата была поставлена задача довести суточный выпуск само</w:t>
      </w:r>
      <w:r w:rsidRPr="00A3026E">
        <w:rPr>
          <w:rFonts w:ascii="Times New Roman" w:hAnsi="Times New Roman"/>
          <w:color w:val="000000" w:themeColor="text1"/>
          <w:sz w:val="16"/>
          <w:szCs w:val="16"/>
        </w:rPr>
        <w:softHyphen/>
        <w:t>лётов до 50 к концу года (История металлургии лёгких сплавов в СССР. 1917—1945. М., 1983. С. 264). Впоследствии условия выполнения задачи были скорректированы, и достижение 50-самолётного рубежа было перенесено на июнь 1941 г. (Самолётостроение</w:t>
      </w:r>
      <w:r w:rsidRPr="00A3026E">
        <w:rPr>
          <w:rFonts w:ascii="Times New Roman" w:hAnsi="Times New Roman"/>
          <w:iCs/>
          <w:color w:val="000000" w:themeColor="text1"/>
          <w:sz w:val="16"/>
          <w:szCs w:val="16"/>
        </w:rPr>
        <w:t xml:space="preserve"> в</w:t>
      </w:r>
      <w:r w:rsidRPr="00A3026E">
        <w:rPr>
          <w:rFonts w:ascii="Times New Roman" w:hAnsi="Times New Roman"/>
          <w:color w:val="000000" w:themeColor="text1"/>
          <w:sz w:val="16"/>
          <w:szCs w:val="16"/>
        </w:rPr>
        <w:t xml:space="preserve"> СССР. 1917—1945. Кн. 2. М.,1994. С. 204). Надо отметить, что эта задача, хотя и с некоторым опозданием, действительно была решена, и накануне войны советский авиавыпуск до</w:t>
      </w:r>
      <w:r w:rsidRPr="00A3026E">
        <w:rPr>
          <w:rFonts w:ascii="Times New Roman" w:hAnsi="Times New Roman"/>
          <w:color w:val="000000" w:themeColor="text1"/>
          <w:sz w:val="16"/>
          <w:szCs w:val="16"/>
        </w:rPr>
        <w:softHyphen/>
        <w:t>стиг — или, по крайней мере, вплотную приблизился к от</w:t>
      </w:r>
      <w:r w:rsidRPr="00A3026E">
        <w:rPr>
          <w:rFonts w:ascii="Times New Roman" w:hAnsi="Times New Roman"/>
          <w:color w:val="000000" w:themeColor="text1"/>
          <w:sz w:val="16"/>
          <w:szCs w:val="16"/>
        </w:rPr>
        <w:softHyphen/>
        <w:t>метке 50 самолётов в день (1941 г. М.,1998. Кн. 2. С. 379).</w:t>
      </w:r>
    </w:p>
    <w:p w14:paraId="117DC3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 взял под свой непосредственный контроль поставку сырья, топлива и комплектующих на авиазаводы. Наркомат путей сообщения был обязан осуществлял, перевозку грузов для НКАП и его смежников не более чем в суточный срок (Самолётостроение в СССР. 1917—1945. Кн. 2. М.,1994. С. 200). Тем не менее попытка увеличить авиавыпуск путём интен</w:t>
      </w:r>
      <w:r w:rsidRPr="00A3026E">
        <w:rPr>
          <w:rFonts w:ascii="Times New Roman" w:hAnsi="Times New Roman"/>
          <w:color w:val="000000" w:themeColor="text1"/>
          <w:sz w:val="16"/>
          <w:szCs w:val="16"/>
        </w:rPr>
        <w:softHyphen/>
        <w:t>сификации работы уже существующих авиапредприятий не увенчалась успехом. При планомерном наращивании мощ</w:t>
      </w:r>
      <w:r w:rsidRPr="00A3026E">
        <w:rPr>
          <w:rFonts w:ascii="Times New Roman" w:hAnsi="Times New Roman"/>
          <w:color w:val="000000" w:themeColor="text1"/>
          <w:sz w:val="16"/>
          <w:szCs w:val="16"/>
        </w:rPr>
        <w:softHyphen/>
        <w:t>ности авиапредприятий, имеющихся в наличии, выход на ежедневный выпуск 70 машин ожидался приблизительно к 1943 г. (</w:t>
      </w:r>
      <w:r w:rsidRPr="00A3026E">
        <w:rPr>
          <w:rFonts w:ascii="Times New Roman" w:hAnsi="Times New Roman"/>
          <w:iCs/>
          <w:color w:val="000000" w:themeColor="text1"/>
          <w:sz w:val="16"/>
          <w:szCs w:val="16"/>
        </w:rPr>
        <w:t>Черток Б.Е.</w:t>
      </w:r>
      <w:r w:rsidRPr="00A3026E">
        <w:rPr>
          <w:rFonts w:ascii="Times New Roman" w:hAnsi="Times New Roman"/>
          <w:color w:val="000000" w:themeColor="text1"/>
          <w:sz w:val="16"/>
          <w:szCs w:val="16"/>
        </w:rPr>
        <w:t xml:space="preserve"> Ракеты и люди. М., 1994. С. 24).</w:t>
      </w:r>
    </w:p>
    <w:p w14:paraId="20B7EB68" w14:textId="77777777" w:rsidR="0014077F" w:rsidRPr="00A3026E" w:rsidRDefault="0014077F" w:rsidP="00A3026E">
      <w:pPr>
        <w:tabs>
          <w:tab w:val="left" w:pos="446"/>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Нарком авиационной промышленности А.И. Шахурин вспо</w:t>
      </w:r>
      <w:r w:rsidRPr="00A3026E">
        <w:rPr>
          <w:rFonts w:ascii="Times New Roman" w:hAnsi="Times New Roman"/>
          <w:color w:val="000000" w:themeColor="text1"/>
          <w:sz w:val="16"/>
          <w:szCs w:val="16"/>
        </w:rPr>
        <w:softHyphen/>
        <w:t>минал: «Мы брали все или почти все. Например, забирали почти весь алюминий, магний, кобальт, легированные стали, абсолют</w:t>
      </w:r>
      <w:r w:rsidRPr="00A3026E">
        <w:rPr>
          <w:rFonts w:ascii="Times New Roman" w:hAnsi="Times New Roman"/>
          <w:color w:val="000000" w:themeColor="text1"/>
          <w:sz w:val="16"/>
          <w:szCs w:val="16"/>
        </w:rPr>
        <w:softHyphen/>
        <w:t>ное большинство легированных труб и т.д. Здесь мы были мо</w:t>
      </w:r>
      <w:r w:rsidRPr="00A3026E">
        <w:rPr>
          <w:rFonts w:ascii="Times New Roman" w:hAnsi="Times New Roman"/>
          <w:color w:val="000000" w:themeColor="text1"/>
          <w:sz w:val="16"/>
          <w:szCs w:val="16"/>
        </w:rPr>
        <w:softHyphen/>
        <w:t>нополистами: нам давали то, что никому не давали. Многого в стране еще не хватало. Какие-то отрасли только начинали разви</w:t>
      </w:r>
      <w:r w:rsidRPr="00A3026E">
        <w:rPr>
          <w:rFonts w:ascii="Times New Roman" w:hAnsi="Times New Roman"/>
          <w:color w:val="000000" w:themeColor="text1"/>
          <w:sz w:val="16"/>
          <w:szCs w:val="16"/>
        </w:rPr>
        <w:softHyphen/>
        <w:t>ваться. Но для авиации не скупились» (</w:t>
      </w:r>
      <w:r w:rsidRPr="00A3026E">
        <w:rPr>
          <w:rFonts w:ascii="Times New Roman" w:hAnsi="Times New Roman"/>
          <w:iCs/>
          <w:color w:val="000000" w:themeColor="text1"/>
          <w:sz w:val="16"/>
          <w:szCs w:val="16"/>
        </w:rPr>
        <w:t>Шахурин А.И.</w:t>
      </w:r>
      <w:r w:rsidRPr="00A3026E">
        <w:rPr>
          <w:rFonts w:ascii="Times New Roman" w:hAnsi="Times New Roman"/>
          <w:color w:val="000000" w:themeColor="text1"/>
          <w:sz w:val="16"/>
          <w:szCs w:val="16"/>
        </w:rPr>
        <w:t xml:space="preserve"> Указ. соч. С. 84). Накануне войны СССР но выплавке алюминия опережал Великобританию, Францию, Японию и Италию (История Великой Отечественной войны Советского Союза 1941— 1945 гг. М., 1963. </w:t>
      </w:r>
      <w:r w:rsidRPr="00A3026E">
        <w:rPr>
          <w:rFonts w:ascii="Times New Roman" w:hAnsi="Times New Roman"/>
          <w:color w:val="000000" w:themeColor="text1"/>
          <w:sz w:val="16"/>
          <w:szCs w:val="16"/>
          <w:lang w:val="en-US"/>
        </w:rPr>
        <w:t>T</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I</w:t>
      </w:r>
      <w:r w:rsidRPr="00A3026E">
        <w:rPr>
          <w:rFonts w:ascii="Times New Roman" w:hAnsi="Times New Roman"/>
          <w:color w:val="000000" w:themeColor="text1"/>
          <w:sz w:val="16"/>
          <w:szCs w:val="16"/>
        </w:rPr>
        <w:t>. С. 411). В 1940 г. ассигнования на развитие авиа</w:t>
      </w:r>
      <w:r w:rsidRPr="00A3026E">
        <w:rPr>
          <w:rFonts w:ascii="Times New Roman" w:hAnsi="Times New Roman"/>
          <w:color w:val="000000" w:themeColor="text1"/>
          <w:sz w:val="16"/>
          <w:szCs w:val="16"/>
        </w:rPr>
        <w:softHyphen/>
        <w:t>ционной промышленности составили 40 % военного бюджета страны (История металлургии лёгких сплавов в СССР. 1917—1945. М., 1983. С. 264). С середины этого года советская авиапромышленность была переведена на военное положение (</w:t>
      </w:r>
      <w:r w:rsidRPr="00A3026E">
        <w:rPr>
          <w:rFonts w:ascii="Times New Roman" w:hAnsi="Times New Roman"/>
          <w:iCs/>
          <w:color w:val="000000" w:themeColor="text1"/>
          <w:sz w:val="16"/>
          <w:szCs w:val="16"/>
        </w:rPr>
        <w:t xml:space="preserve">Шумилин </w:t>
      </w:r>
      <w:r w:rsidRPr="00A3026E">
        <w:rPr>
          <w:rFonts w:ascii="Times New Roman" w:hAnsi="Times New Roman"/>
          <w:iCs/>
          <w:color w:val="000000" w:themeColor="text1"/>
          <w:sz w:val="16"/>
          <w:szCs w:val="16"/>
          <w:lang w:val="en-US"/>
        </w:rPr>
        <w:t>B</w:t>
      </w:r>
      <w:r w:rsidRPr="00A3026E">
        <w:rPr>
          <w:rFonts w:ascii="Times New Roman" w:hAnsi="Times New Roman"/>
          <w:iCs/>
          <w:color w:val="000000" w:themeColor="text1"/>
          <w:sz w:val="16"/>
          <w:szCs w:val="16"/>
        </w:rPr>
        <w:t>.</w:t>
      </w:r>
      <w:r w:rsidRPr="00A3026E">
        <w:rPr>
          <w:rFonts w:ascii="Times New Roman" w:hAnsi="Times New Roman"/>
          <w:iCs/>
          <w:color w:val="000000" w:themeColor="text1"/>
          <w:sz w:val="16"/>
          <w:szCs w:val="16"/>
          <w:lang w:val="en-US"/>
        </w:rPr>
        <w:t>C</w:t>
      </w:r>
      <w:r w:rsidRPr="00A3026E">
        <w:rPr>
          <w:rFonts w:ascii="Times New Roman" w:hAnsi="Times New Roman"/>
          <w:iCs/>
          <w:color w:val="000000" w:themeColor="text1"/>
          <w:sz w:val="16"/>
          <w:szCs w:val="16"/>
        </w:rPr>
        <w:t>.</w:t>
      </w:r>
      <w:r w:rsidRPr="00A3026E">
        <w:rPr>
          <w:rFonts w:ascii="Times New Roman" w:hAnsi="Times New Roman"/>
          <w:color w:val="000000" w:themeColor="text1"/>
          <w:sz w:val="16"/>
          <w:szCs w:val="16"/>
        </w:rPr>
        <w:t xml:space="preserve"> Указ. соч. С. 221). В том же году были вы</w:t>
      </w:r>
      <w:r w:rsidRPr="00A3026E">
        <w:rPr>
          <w:rFonts w:ascii="Times New Roman" w:hAnsi="Times New Roman"/>
          <w:color w:val="000000" w:themeColor="text1"/>
          <w:sz w:val="16"/>
          <w:szCs w:val="16"/>
        </w:rPr>
        <w:softHyphen/>
        <w:t>делены фонды в валюте для срочной закупки импортного обо</w:t>
      </w:r>
      <w:r w:rsidRPr="00A3026E">
        <w:rPr>
          <w:rFonts w:ascii="Times New Roman" w:hAnsi="Times New Roman"/>
          <w:color w:val="000000" w:themeColor="text1"/>
          <w:sz w:val="16"/>
          <w:szCs w:val="16"/>
        </w:rPr>
        <w:softHyphen/>
        <w:t>рудования и дано соответствующее указание Наркомату внешней торговли разместить заказы за границей по авиационной спецификации с минимальными сроками доставки (</w:t>
      </w:r>
      <w:r w:rsidRPr="00A3026E">
        <w:rPr>
          <w:rFonts w:ascii="Times New Roman" w:hAnsi="Times New Roman"/>
          <w:iCs/>
          <w:color w:val="000000" w:themeColor="text1"/>
          <w:sz w:val="16"/>
          <w:szCs w:val="16"/>
        </w:rPr>
        <w:t>Шахурин А. И.</w:t>
      </w:r>
      <w:r w:rsidRPr="00A3026E">
        <w:rPr>
          <w:rFonts w:ascii="Times New Roman" w:hAnsi="Times New Roman"/>
          <w:color w:val="000000" w:themeColor="text1"/>
          <w:sz w:val="16"/>
          <w:szCs w:val="16"/>
        </w:rPr>
        <w:t xml:space="preserve"> Указ. соч. С. 84). Факти</w:t>
      </w:r>
      <w:r w:rsidRPr="00A3026E">
        <w:rPr>
          <w:rFonts w:ascii="Times New Roman" w:hAnsi="Times New Roman"/>
          <w:color w:val="000000" w:themeColor="text1"/>
          <w:sz w:val="16"/>
          <w:szCs w:val="16"/>
        </w:rPr>
        <w:softHyphen/>
        <w:t>чески со второй половины 1940 г. советская авиапромышлен</w:t>
      </w:r>
      <w:r w:rsidRPr="00A3026E">
        <w:rPr>
          <w:rFonts w:ascii="Times New Roman" w:hAnsi="Times New Roman"/>
          <w:color w:val="000000" w:themeColor="text1"/>
          <w:sz w:val="16"/>
          <w:szCs w:val="16"/>
        </w:rPr>
        <w:softHyphen/>
        <w:t>ность работала в условиях, приближенных к боевым (</w:t>
      </w:r>
      <w:r w:rsidRPr="00A3026E">
        <w:rPr>
          <w:rFonts w:ascii="Times New Roman" w:hAnsi="Times New Roman"/>
          <w:iCs/>
          <w:color w:val="000000" w:themeColor="text1"/>
          <w:sz w:val="16"/>
          <w:szCs w:val="16"/>
        </w:rPr>
        <w:t xml:space="preserve">Шумихин </w:t>
      </w:r>
      <w:r w:rsidRPr="00A3026E">
        <w:rPr>
          <w:rFonts w:ascii="Times New Roman" w:hAnsi="Times New Roman"/>
          <w:iCs/>
          <w:color w:val="000000" w:themeColor="text1"/>
          <w:sz w:val="16"/>
          <w:szCs w:val="16"/>
          <w:lang w:val="en-US"/>
        </w:rPr>
        <w:t>B</w:t>
      </w:r>
      <w:r w:rsidRPr="00A3026E">
        <w:rPr>
          <w:rFonts w:ascii="Times New Roman" w:hAnsi="Times New Roman"/>
          <w:iCs/>
          <w:color w:val="000000" w:themeColor="text1"/>
          <w:sz w:val="16"/>
          <w:szCs w:val="16"/>
        </w:rPr>
        <w:t>.</w:t>
      </w:r>
      <w:r w:rsidRPr="00A3026E">
        <w:rPr>
          <w:rFonts w:ascii="Times New Roman" w:hAnsi="Times New Roman"/>
          <w:iCs/>
          <w:color w:val="000000" w:themeColor="text1"/>
          <w:sz w:val="16"/>
          <w:szCs w:val="16"/>
          <w:lang w:val="en-US"/>
        </w:rPr>
        <w:t>C</w:t>
      </w:r>
      <w:r w:rsidRPr="00A3026E">
        <w:rPr>
          <w:rFonts w:ascii="Times New Roman" w:hAnsi="Times New Roman"/>
          <w:iCs/>
          <w:color w:val="000000" w:themeColor="text1"/>
          <w:sz w:val="16"/>
          <w:szCs w:val="16"/>
        </w:rPr>
        <w:t>.</w:t>
      </w:r>
      <w:r w:rsidRPr="00A3026E">
        <w:rPr>
          <w:rFonts w:ascii="Times New Roman" w:hAnsi="Times New Roman"/>
          <w:color w:val="000000" w:themeColor="text1"/>
          <w:sz w:val="16"/>
          <w:szCs w:val="16"/>
        </w:rPr>
        <w:t xml:space="preserve"> Указ. соч. С. 221). Нали</w:t>
      </w:r>
      <w:r w:rsidRPr="00A3026E">
        <w:rPr>
          <w:rFonts w:ascii="Times New Roman" w:hAnsi="Times New Roman"/>
          <w:color w:val="000000" w:themeColor="text1"/>
          <w:sz w:val="16"/>
          <w:szCs w:val="16"/>
        </w:rPr>
        <w:softHyphen/>
        <w:t>цо был явный рост, однако плановые задания всё же были не выполнены.</w:t>
      </w:r>
    </w:p>
    <w:p w14:paraId="4ACEAC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Выполнение плана 1940 г. важнейшими ГУ ПК </w:t>
      </w:r>
      <w:r w:rsidRPr="00A3026E">
        <w:rPr>
          <w:rFonts w:ascii="Times New Roman" w:hAnsi="Times New Roman"/>
          <w:color w:val="000000" w:themeColor="text1"/>
          <w:sz w:val="16"/>
          <w:szCs w:val="16"/>
          <w:lang w:val="en-US"/>
        </w:rPr>
        <w:t>All</w:t>
      </w:r>
      <w:r w:rsidRPr="00A3026E">
        <w:rPr>
          <w:rFonts w:ascii="Times New Roman" w:hAnsi="Times New Roman"/>
          <w:color w:val="000000" w:themeColor="text1"/>
          <w:sz w:val="16"/>
          <w:szCs w:val="16"/>
        </w:rPr>
        <w:t xml:space="preserve"> по основным показателям (%) (РГАЭ. Ф. 8044. </w:t>
      </w:r>
      <w:r w:rsidRPr="00A3026E">
        <w:rPr>
          <w:rFonts w:ascii="Times New Roman" w:hAnsi="Times New Roman"/>
          <w:color w:val="000000" w:themeColor="text1"/>
          <w:sz w:val="16"/>
          <w:szCs w:val="16"/>
          <w:lang w:val="en-US"/>
        </w:rPr>
        <w:t xml:space="preserve">On. </w:t>
      </w:r>
      <w:r w:rsidRPr="00A3026E">
        <w:rPr>
          <w:rFonts w:ascii="Times New Roman" w:hAnsi="Times New Roman"/>
          <w:color w:val="000000" w:themeColor="text1"/>
          <w:sz w:val="16"/>
          <w:szCs w:val="16"/>
        </w:rPr>
        <w:t>1. Д. 673. Л. 2.)</w:t>
      </w:r>
    </w:p>
    <w:tbl>
      <w:tblPr>
        <w:tblW w:w="0" w:type="auto"/>
        <w:tblInd w:w="8" w:type="dxa"/>
        <w:tblLayout w:type="fixed"/>
        <w:tblCellMar>
          <w:left w:w="0" w:type="dxa"/>
          <w:right w:w="0" w:type="dxa"/>
        </w:tblCellMar>
        <w:tblLook w:val="0000" w:firstRow="0" w:lastRow="0" w:firstColumn="0" w:lastColumn="0" w:noHBand="0" w:noVBand="0"/>
      </w:tblPr>
      <w:tblGrid>
        <w:gridCol w:w="1118"/>
        <w:gridCol w:w="1008"/>
        <w:gridCol w:w="998"/>
        <w:gridCol w:w="1354"/>
        <w:gridCol w:w="1459"/>
      </w:tblGrid>
      <w:tr w:rsidR="00983732" w:rsidRPr="00A3026E" w14:paraId="7D6B2AE6" w14:textId="77777777" w:rsidTr="00EA0DA7">
        <w:trPr>
          <w:trHeight w:val="422"/>
        </w:trPr>
        <w:tc>
          <w:tcPr>
            <w:tcW w:w="1118" w:type="dxa"/>
            <w:tcBorders>
              <w:top w:val="single" w:sz="6" w:space="0" w:color="auto"/>
              <w:left w:val="single" w:sz="6" w:space="0" w:color="auto"/>
              <w:bottom w:val="single" w:sz="6" w:space="0" w:color="auto"/>
              <w:right w:val="single" w:sz="6" w:space="0" w:color="auto"/>
            </w:tcBorders>
            <w:shd w:val="clear" w:color="auto" w:fill="FFFFFF"/>
          </w:tcPr>
          <w:p w14:paraId="75A977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Главк НКАДа</w:t>
            </w:r>
          </w:p>
        </w:tc>
        <w:tc>
          <w:tcPr>
            <w:tcW w:w="2006" w:type="dxa"/>
            <w:gridSpan w:val="2"/>
            <w:tcBorders>
              <w:top w:val="single" w:sz="6" w:space="0" w:color="auto"/>
              <w:left w:val="single" w:sz="6" w:space="0" w:color="auto"/>
              <w:bottom w:val="single" w:sz="6" w:space="0" w:color="auto"/>
              <w:right w:val="single" w:sz="6" w:space="0" w:color="auto"/>
            </w:tcBorders>
            <w:shd w:val="clear" w:color="auto" w:fill="FFFFFF"/>
          </w:tcPr>
          <w:p w14:paraId="014E11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ГУ НКАП (самолётостроение)</w:t>
            </w:r>
          </w:p>
        </w:tc>
        <w:tc>
          <w:tcPr>
            <w:tcW w:w="2813" w:type="dxa"/>
            <w:gridSpan w:val="2"/>
            <w:tcBorders>
              <w:top w:val="single" w:sz="6" w:space="0" w:color="auto"/>
              <w:left w:val="single" w:sz="6" w:space="0" w:color="auto"/>
              <w:bottom w:val="single" w:sz="6" w:space="0" w:color="auto"/>
              <w:right w:val="single" w:sz="6" w:space="0" w:color="auto"/>
            </w:tcBorders>
            <w:shd w:val="clear" w:color="auto" w:fill="FFFFFF"/>
          </w:tcPr>
          <w:p w14:paraId="2AF7BF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 ГУ НКАП (моторостроенве)</w:t>
            </w:r>
          </w:p>
        </w:tc>
      </w:tr>
      <w:tr w:rsidR="00983732" w:rsidRPr="00A3026E" w14:paraId="30A66455" w14:textId="77777777" w:rsidTr="00EA0DA7">
        <w:trPr>
          <w:trHeight w:val="600"/>
        </w:trPr>
        <w:tc>
          <w:tcPr>
            <w:tcW w:w="1118" w:type="dxa"/>
            <w:tcBorders>
              <w:top w:val="single" w:sz="6" w:space="0" w:color="auto"/>
              <w:left w:val="single" w:sz="6" w:space="0" w:color="auto"/>
              <w:bottom w:val="single" w:sz="6" w:space="0" w:color="auto"/>
              <w:right w:val="single" w:sz="6" w:space="0" w:color="auto"/>
            </w:tcBorders>
            <w:shd w:val="clear" w:color="auto" w:fill="FFFFFF"/>
          </w:tcPr>
          <w:p w14:paraId="1359B8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Вышшненне шиша</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74142A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отношение к годовому плану</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44BDC4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отношению к выпуску 1939 г.</w:t>
            </w:r>
          </w:p>
        </w:tc>
        <w:tc>
          <w:tcPr>
            <w:tcW w:w="1354" w:type="dxa"/>
            <w:tcBorders>
              <w:top w:val="single" w:sz="6" w:space="0" w:color="auto"/>
              <w:left w:val="single" w:sz="6" w:space="0" w:color="auto"/>
              <w:bottom w:val="single" w:sz="6" w:space="0" w:color="auto"/>
              <w:right w:val="single" w:sz="6" w:space="0" w:color="auto"/>
            </w:tcBorders>
            <w:shd w:val="clear" w:color="auto" w:fill="FFFFFF"/>
          </w:tcPr>
          <w:p w14:paraId="3F2320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отношение к годовому плану</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41A9F8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отшшкнн к выпуску 1939 г.</w:t>
            </w:r>
          </w:p>
        </w:tc>
      </w:tr>
      <w:tr w:rsidR="00983732" w:rsidRPr="00A3026E" w14:paraId="42CBAFA3" w14:textId="77777777" w:rsidTr="00EA0DA7">
        <w:trPr>
          <w:trHeight w:val="413"/>
        </w:trPr>
        <w:tc>
          <w:tcPr>
            <w:tcW w:w="1118" w:type="dxa"/>
            <w:tcBorders>
              <w:top w:val="single" w:sz="6" w:space="0" w:color="auto"/>
              <w:left w:val="single" w:sz="6" w:space="0" w:color="auto"/>
              <w:bottom w:val="single" w:sz="6" w:space="0" w:color="auto"/>
              <w:right w:val="single" w:sz="6" w:space="0" w:color="auto"/>
            </w:tcBorders>
            <w:shd w:val="clear" w:color="auto" w:fill="FFFFFF"/>
          </w:tcPr>
          <w:p w14:paraId="7A63CE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Валовая продукция</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61FA77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103,3</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60B492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131,8</w:t>
            </w:r>
          </w:p>
        </w:tc>
        <w:tc>
          <w:tcPr>
            <w:tcW w:w="1354" w:type="dxa"/>
            <w:tcBorders>
              <w:top w:val="single" w:sz="6" w:space="0" w:color="auto"/>
              <w:left w:val="single" w:sz="6" w:space="0" w:color="auto"/>
              <w:bottom w:val="single" w:sz="6" w:space="0" w:color="auto"/>
              <w:right w:val="single" w:sz="6" w:space="0" w:color="auto"/>
            </w:tcBorders>
            <w:shd w:val="clear" w:color="auto" w:fill="FFFFFF"/>
          </w:tcPr>
          <w:p w14:paraId="0A61F5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95,4</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6B01E5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120,5</w:t>
            </w:r>
          </w:p>
        </w:tc>
      </w:tr>
      <w:tr w:rsidR="00983732" w:rsidRPr="00A3026E" w14:paraId="7AE7D671" w14:textId="77777777" w:rsidTr="00EA0DA7">
        <w:trPr>
          <w:trHeight w:val="408"/>
        </w:trPr>
        <w:tc>
          <w:tcPr>
            <w:tcW w:w="1118" w:type="dxa"/>
            <w:tcBorders>
              <w:top w:val="single" w:sz="6" w:space="0" w:color="auto"/>
              <w:left w:val="single" w:sz="6" w:space="0" w:color="auto"/>
              <w:bottom w:val="single" w:sz="6" w:space="0" w:color="auto"/>
              <w:right w:val="single" w:sz="6" w:space="0" w:color="auto"/>
            </w:tcBorders>
            <w:shd w:val="clear" w:color="auto" w:fill="FFFFFF"/>
          </w:tcPr>
          <w:p w14:paraId="1B1DD1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Товарная продули*</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62012B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97,1</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61E4C4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127,6</w:t>
            </w:r>
          </w:p>
        </w:tc>
        <w:tc>
          <w:tcPr>
            <w:tcW w:w="1354" w:type="dxa"/>
            <w:tcBorders>
              <w:top w:val="single" w:sz="6" w:space="0" w:color="auto"/>
              <w:left w:val="single" w:sz="6" w:space="0" w:color="auto"/>
              <w:bottom w:val="single" w:sz="6" w:space="0" w:color="auto"/>
              <w:right w:val="single" w:sz="6" w:space="0" w:color="auto"/>
            </w:tcBorders>
            <w:shd w:val="clear" w:color="auto" w:fill="FFFFFF"/>
          </w:tcPr>
          <w:p w14:paraId="204457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863</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78D0BC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115,5</w:t>
            </w:r>
          </w:p>
        </w:tc>
      </w:tr>
      <w:tr w:rsidR="00983732" w:rsidRPr="00A3026E" w14:paraId="6C934B05" w14:textId="77777777" w:rsidTr="00EA0DA7">
        <w:trPr>
          <w:trHeight w:val="413"/>
        </w:trPr>
        <w:tc>
          <w:tcPr>
            <w:tcW w:w="1118" w:type="dxa"/>
            <w:tcBorders>
              <w:top w:val="single" w:sz="6" w:space="0" w:color="auto"/>
              <w:left w:val="single" w:sz="6" w:space="0" w:color="auto"/>
              <w:bottom w:val="single" w:sz="6" w:space="0" w:color="auto"/>
              <w:right w:val="single" w:sz="6" w:space="0" w:color="auto"/>
            </w:tcBorders>
            <w:shd w:val="clear" w:color="auto" w:fill="FFFFFF"/>
          </w:tcPr>
          <w:p w14:paraId="2B1AA2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Оборошох продукция</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37D77A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93,7</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6095E1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129,7</w:t>
            </w:r>
          </w:p>
        </w:tc>
        <w:tc>
          <w:tcPr>
            <w:tcW w:w="1354" w:type="dxa"/>
            <w:tcBorders>
              <w:top w:val="single" w:sz="6" w:space="0" w:color="auto"/>
              <w:left w:val="single" w:sz="6" w:space="0" w:color="auto"/>
              <w:bottom w:val="single" w:sz="6" w:space="0" w:color="auto"/>
              <w:right w:val="single" w:sz="6" w:space="0" w:color="auto"/>
            </w:tcBorders>
            <w:shd w:val="clear" w:color="auto" w:fill="FFFFFF"/>
          </w:tcPr>
          <w:p w14:paraId="70F9B2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82,7</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364412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114,0</w:t>
            </w:r>
          </w:p>
        </w:tc>
      </w:tr>
      <w:tr w:rsidR="00983732" w:rsidRPr="00A3026E" w14:paraId="5F62EACD" w14:textId="77777777" w:rsidTr="00EA0DA7">
        <w:trPr>
          <w:trHeight w:val="413"/>
        </w:trPr>
        <w:tc>
          <w:tcPr>
            <w:tcW w:w="1118" w:type="dxa"/>
            <w:tcBorders>
              <w:top w:val="single" w:sz="6" w:space="0" w:color="auto"/>
              <w:left w:val="single" w:sz="6" w:space="0" w:color="auto"/>
              <w:bottom w:val="single" w:sz="6" w:space="0" w:color="auto"/>
              <w:right w:val="single" w:sz="6" w:space="0" w:color="auto"/>
            </w:tcBorders>
            <w:shd w:val="clear" w:color="auto" w:fill="FFFFFF"/>
          </w:tcPr>
          <w:p w14:paraId="69B1F0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работах</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6A5AEE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100,6</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3D6DBC1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119</w:t>
            </w:r>
          </w:p>
        </w:tc>
        <w:tc>
          <w:tcPr>
            <w:tcW w:w="1354" w:type="dxa"/>
            <w:tcBorders>
              <w:top w:val="single" w:sz="6" w:space="0" w:color="auto"/>
              <w:left w:val="single" w:sz="6" w:space="0" w:color="auto"/>
              <w:bottom w:val="single" w:sz="6" w:space="0" w:color="auto"/>
              <w:right w:val="single" w:sz="6" w:space="0" w:color="auto"/>
            </w:tcBorders>
            <w:shd w:val="clear" w:color="auto" w:fill="FFFFFF"/>
          </w:tcPr>
          <w:p w14:paraId="35D53A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101,4</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503369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115,6</w:t>
            </w:r>
          </w:p>
        </w:tc>
      </w:tr>
      <w:tr w:rsidR="00983732" w:rsidRPr="00A3026E" w14:paraId="752456AD" w14:textId="77777777" w:rsidTr="00EA0DA7">
        <w:trPr>
          <w:trHeight w:val="427"/>
        </w:trPr>
        <w:tc>
          <w:tcPr>
            <w:tcW w:w="1118" w:type="dxa"/>
            <w:tcBorders>
              <w:top w:val="single" w:sz="6" w:space="0" w:color="auto"/>
              <w:left w:val="single" w:sz="6" w:space="0" w:color="auto"/>
              <w:bottom w:val="single" w:sz="6" w:space="0" w:color="auto"/>
              <w:right w:val="single" w:sz="6" w:space="0" w:color="auto"/>
            </w:tcBorders>
            <w:shd w:val="clear" w:color="auto" w:fill="FFFFFF"/>
          </w:tcPr>
          <w:p w14:paraId="70D6A7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Выработана 1 рабочего</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75D612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102,6</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3087E2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110,9</w:t>
            </w:r>
          </w:p>
        </w:tc>
        <w:tc>
          <w:tcPr>
            <w:tcW w:w="1354" w:type="dxa"/>
            <w:tcBorders>
              <w:top w:val="single" w:sz="6" w:space="0" w:color="auto"/>
              <w:left w:val="single" w:sz="6" w:space="0" w:color="auto"/>
              <w:bottom w:val="single" w:sz="6" w:space="0" w:color="auto"/>
              <w:right w:val="single" w:sz="6" w:space="0" w:color="auto"/>
            </w:tcBorders>
            <w:shd w:val="clear" w:color="auto" w:fill="FFFFFF"/>
          </w:tcPr>
          <w:p w14:paraId="680224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94,0</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352C07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104,2</w:t>
            </w:r>
          </w:p>
        </w:tc>
      </w:tr>
    </w:tbl>
    <w:p w14:paraId="0E1E12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Особенно обращало на себя внимание постоянное отстава</w:t>
      </w:r>
      <w:r w:rsidRPr="00A3026E">
        <w:rPr>
          <w:rFonts w:ascii="Times New Roman" w:hAnsi="Times New Roman"/>
          <w:color w:val="000000" w:themeColor="text1"/>
          <w:sz w:val="16"/>
          <w:szCs w:val="16"/>
        </w:rPr>
        <w:softHyphen/>
        <w:t>ние в области авиамоторостроения. Не в последнюю очередь это может быть объяснено тем, что промышленность СССР не смогаа полностью удовлетворить заказ авиаиндустрии. Так, заказ НКАП по качественным сталям был в 1940 г. удо</w:t>
      </w:r>
      <w:r w:rsidRPr="00A3026E">
        <w:rPr>
          <w:rFonts w:ascii="Times New Roman" w:hAnsi="Times New Roman"/>
          <w:color w:val="000000" w:themeColor="text1"/>
          <w:sz w:val="16"/>
          <w:szCs w:val="16"/>
        </w:rPr>
        <w:softHyphen/>
        <w:t>влетворён на 93 %, по алюминию — на 31—92 % (в зависи</w:t>
      </w:r>
      <w:r w:rsidRPr="00A3026E">
        <w:rPr>
          <w:rFonts w:ascii="Times New Roman" w:hAnsi="Times New Roman"/>
          <w:color w:val="000000" w:themeColor="text1"/>
          <w:sz w:val="16"/>
          <w:szCs w:val="16"/>
        </w:rPr>
        <w:softHyphen/>
        <w:t>мости от сорта), по стальным поковкам — на 85 %, по прибо</w:t>
      </w:r>
      <w:r w:rsidRPr="00A3026E">
        <w:rPr>
          <w:rFonts w:ascii="Times New Roman" w:hAnsi="Times New Roman"/>
          <w:color w:val="000000" w:themeColor="text1"/>
          <w:sz w:val="16"/>
          <w:szCs w:val="16"/>
        </w:rPr>
        <w:softHyphen/>
        <w:t>рам зажигания — на 55 %, а по вооружению — на 81 %</w:t>
      </w:r>
      <w:r w:rsidRPr="00A3026E">
        <w:rPr>
          <w:rFonts w:ascii="Times New Roman" w:hAnsi="Times New Roman"/>
          <w:color w:val="000000" w:themeColor="text1"/>
          <w:sz w:val="16"/>
          <w:szCs w:val="16"/>
          <w:vertAlign w:val="superscript"/>
        </w:rPr>
        <w:t>4</w:t>
      </w:r>
      <w:r w:rsidRPr="00A3026E">
        <w:rPr>
          <w:rFonts w:ascii="Times New Roman" w:hAnsi="Times New Roman"/>
          <w:color w:val="000000" w:themeColor="text1"/>
          <w:sz w:val="16"/>
          <w:szCs w:val="16"/>
        </w:rPr>
        <w:t>. Тем не менее в целом авиапромышленность выполнила план по валовой—на 102 %, по товарной — на 98 %, а по оборонной продукции — на 94 %. По сравнению с 1939 г. объем оборон</w:t>
      </w:r>
      <w:r w:rsidRPr="00A3026E">
        <w:rPr>
          <w:rFonts w:ascii="Times New Roman" w:hAnsi="Times New Roman"/>
          <w:color w:val="000000" w:themeColor="text1"/>
          <w:sz w:val="16"/>
          <w:szCs w:val="16"/>
        </w:rPr>
        <w:softHyphen/>
        <w:t>ной продукции возрос на 30 %. Как видим, даже не достигая плановых значений, советский авиапром, тем не менее, су</w:t>
      </w:r>
      <w:r w:rsidRPr="00A3026E">
        <w:rPr>
          <w:rFonts w:ascii="Times New Roman" w:hAnsi="Times New Roman"/>
          <w:color w:val="000000" w:themeColor="text1"/>
          <w:sz w:val="16"/>
          <w:szCs w:val="16"/>
        </w:rPr>
        <w:softHyphen/>
        <w:t>щественно интенсифицировал свою деятельность. Опреде</w:t>
      </w:r>
      <w:r w:rsidRPr="00A3026E">
        <w:rPr>
          <w:rFonts w:ascii="Times New Roman" w:hAnsi="Times New Roman"/>
          <w:color w:val="000000" w:themeColor="text1"/>
          <w:sz w:val="16"/>
          <w:szCs w:val="16"/>
        </w:rPr>
        <w:softHyphen/>
        <w:t>лились и две основные группы авиазаводов. В течение 1940 г. авиапредприятия № 1, 18, 22 и 23 план перевыполнили. За</w:t>
      </w:r>
      <w:r w:rsidRPr="00A3026E">
        <w:rPr>
          <w:rFonts w:ascii="Times New Roman" w:hAnsi="Times New Roman"/>
          <w:color w:val="000000" w:themeColor="text1"/>
          <w:sz w:val="16"/>
          <w:szCs w:val="16"/>
        </w:rPr>
        <w:softHyphen/>
        <w:t xml:space="preserve">воды же № 19, 29, 30, 31, 39, 81, 99, 116, 124, 126, 135, 207 и 292 с плановыми заданиями не справились (РГАЭ. Ф. 8044.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2775. Л. 13). В авиавыпуске явно увеличился удельный вес боевых самолетов вообще и бомбардировщиков в частности.</w:t>
      </w:r>
    </w:p>
    <w:p w14:paraId="32B4AE1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Удельный вес в авиавыпуске 1940 г. боевых самолётов и бомбардировщиков (%) (РГАЭ. Ф. 8044. </w:t>
      </w:r>
      <w:r w:rsidRPr="00A3026E">
        <w:rPr>
          <w:rFonts w:ascii="Times New Roman" w:hAnsi="Times New Roman"/>
          <w:color w:val="000000" w:themeColor="text1"/>
          <w:sz w:val="16"/>
          <w:szCs w:val="16"/>
          <w:lang w:val="en-US"/>
        </w:rPr>
        <w:t xml:space="preserve">On. </w:t>
      </w:r>
      <w:r w:rsidRPr="00A3026E">
        <w:rPr>
          <w:rFonts w:ascii="Times New Roman" w:hAnsi="Times New Roman"/>
          <w:color w:val="000000" w:themeColor="text1"/>
          <w:sz w:val="16"/>
          <w:szCs w:val="16"/>
        </w:rPr>
        <w:t>1. Д. 2775. Л. 13).</w:t>
      </w:r>
    </w:p>
    <w:tbl>
      <w:tblPr>
        <w:tblW w:w="0" w:type="auto"/>
        <w:tblInd w:w="8" w:type="dxa"/>
        <w:tblLayout w:type="fixed"/>
        <w:tblCellMar>
          <w:left w:w="0" w:type="dxa"/>
          <w:right w:w="0" w:type="dxa"/>
        </w:tblCellMar>
        <w:tblLook w:val="0000" w:firstRow="0" w:lastRow="0" w:firstColumn="0" w:lastColumn="0" w:noHBand="0" w:noVBand="0"/>
      </w:tblPr>
      <w:tblGrid>
        <w:gridCol w:w="2885"/>
        <w:gridCol w:w="1704"/>
        <w:gridCol w:w="1344"/>
      </w:tblGrid>
      <w:tr w:rsidR="00983732" w:rsidRPr="00A3026E" w14:paraId="28930E8F" w14:textId="77777777" w:rsidTr="00EA0DA7">
        <w:trPr>
          <w:trHeight w:val="240"/>
        </w:trPr>
        <w:tc>
          <w:tcPr>
            <w:tcW w:w="2885" w:type="dxa"/>
            <w:tcBorders>
              <w:top w:val="single" w:sz="6" w:space="0" w:color="auto"/>
              <w:left w:val="single" w:sz="6" w:space="0" w:color="auto"/>
              <w:bottom w:val="single" w:sz="6" w:space="0" w:color="auto"/>
              <w:right w:val="single" w:sz="6" w:space="0" w:color="auto"/>
            </w:tcBorders>
            <w:shd w:val="clear" w:color="auto" w:fill="FFFFFF"/>
          </w:tcPr>
          <w:p w14:paraId="58879CC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1704" w:type="dxa"/>
            <w:tcBorders>
              <w:top w:val="single" w:sz="6" w:space="0" w:color="auto"/>
              <w:left w:val="single" w:sz="6" w:space="0" w:color="auto"/>
              <w:bottom w:val="single" w:sz="6" w:space="0" w:color="auto"/>
              <w:right w:val="single" w:sz="6" w:space="0" w:color="auto"/>
            </w:tcBorders>
            <w:shd w:val="clear" w:color="auto" w:fill="FFFFFF"/>
          </w:tcPr>
          <w:p w14:paraId="6596FB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 г</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6C4B87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w:t>
            </w:r>
          </w:p>
        </w:tc>
      </w:tr>
      <w:tr w:rsidR="00983732" w:rsidRPr="00A3026E" w14:paraId="2344657D" w14:textId="77777777" w:rsidTr="00EA0DA7">
        <w:trPr>
          <w:trHeight w:val="221"/>
        </w:trPr>
        <w:tc>
          <w:tcPr>
            <w:tcW w:w="2885" w:type="dxa"/>
            <w:tcBorders>
              <w:top w:val="single" w:sz="6" w:space="0" w:color="auto"/>
              <w:left w:val="single" w:sz="6" w:space="0" w:color="auto"/>
              <w:bottom w:val="single" w:sz="6" w:space="0" w:color="auto"/>
              <w:right w:val="single" w:sz="6" w:space="0" w:color="auto"/>
            </w:tcBorders>
            <w:shd w:val="clear" w:color="auto" w:fill="FFFFFF"/>
          </w:tcPr>
          <w:p w14:paraId="2CA25F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Удельный вес боевых самолётов</w:t>
            </w:r>
          </w:p>
        </w:tc>
        <w:tc>
          <w:tcPr>
            <w:tcW w:w="1704" w:type="dxa"/>
            <w:tcBorders>
              <w:top w:val="single" w:sz="6" w:space="0" w:color="auto"/>
              <w:left w:val="single" w:sz="6" w:space="0" w:color="auto"/>
              <w:bottom w:val="single" w:sz="6" w:space="0" w:color="auto"/>
              <w:right w:val="single" w:sz="6" w:space="0" w:color="auto"/>
            </w:tcBorders>
            <w:shd w:val="clear" w:color="auto" w:fill="FFFFFF"/>
          </w:tcPr>
          <w:p w14:paraId="6C39DC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67,5</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02DE3F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78,9*</w:t>
            </w:r>
          </w:p>
        </w:tc>
      </w:tr>
      <w:tr w:rsidR="00983732" w:rsidRPr="00A3026E" w14:paraId="2BBD3EEF" w14:textId="77777777" w:rsidTr="00EA0DA7">
        <w:trPr>
          <w:trHeight w:val="221"/>
        </w:trPr>
        <w:tc>
          <w:tcPr>
            <w:tcW w:w="2885" w:type="dxa"/>
            <w:tcBorders>
              <w:top w:val="single" w:sz="6" w:space="0" w:color="auto"/>
              <w:left w:val="single" w:sz="6" w:space="0" w:color="auto"/>
              <w:bottom w:val="single" w:sz="6" w:space="0" w:color="auto"/>
              <w:right w:val="single" w:sz="6" w:space="0" w:color="auto"/>
            </w:tcBorders>
            <w:shd w:val="clear" w:color="auto" w:fill="FFFFFF"/>
          </w:tcPr>
          <w:p w14:paraId="11F6375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Удельный вес бомбардировщиков</w:t>
            </w:r>
          </w:p>
        </w:tc>
        <w:tc>
          <w:tcPr>
            <w:tcW w:w="1704" w:type="dxa"/>
            <w:tcBorders>
              <w:top w:val="single" w:sz="6" w:space="0" w:color="auto"/>
              <w:left w:val="single" w:sz="6" w:space="0" w:color="auto"/>
              <w:bottom w:val="single" w:sz="6" w:space="0" w:color="auto"/>
              <w:right w:val="single" w:sz="6" w:space="0" w:color="auto"/>
            </w:tcBorders>
            <w:shd w:val="clear" w:color="auto" w:fill="FFFFFF"/>
          </w:tcPr>
          <w:p w14:paraId="2DB5E7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39,2</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36851D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42,9</w:t>
            </w:r>
          </w:p>
        </w:tc>
      </w:tr>
      <w:tr w:rsidR="00983732" w:rsidRPr="00A3026E" w14:paraId="7384B460" w14:textId="77777777" w:rsidTr="00EA0DA7">
        <w:trPr>
          <w:trHeight w:val="235"/>
        </w:trPr>
        <w:tc>
          <w:tcPr>
            <w:tcW w:w="2885" w:type="dxa"/>
            <w:tcBorders>
              <w:top w:val="single" w:sz="6" w:space="0" w:color="auto"/>
              <w:left w:val="single" w:sz="6" w:space="0" w:color="auto"/>
              <w:bottom w:val="single" w:sz="6" w:space="0" w:color="auto"/>
              <w:right w:val="single" w:sz="6" w:space="0" w:color="auto"/>
            </w:tcBorders>
            <w:shd w:val="clear" w:color="auto" w:fill="FFFFFF"/>
          </w:tcPr>
          <w:p w14:paraId="16242C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Удельный вес моторов для боевых самолётов</w:t>
            </w:r>
          </w:p>
        </w:tc>
        <w:tc>
          <w:tcPr>
            <w:tcW w:w="1704" w:type="dxa"/>
            <w:tcBorders>
              <w:top w:val="single" w:sz="6" w:space="0" w:color="auto"/>
              <w:left w:val="single" w:sz="6" w:space="0" w:color="auto"/>
              <w:bottom w:val="single" w:sz="6" w:space="0" w:color="auto"/>
              <w:right w:val="single" w:sz="6" w:space="0" w:color="auto"/>
            </w:tcBorders>
            <w:shd w:val="clear" w:color="auto" w:fill="FFFFFF"/>
          </w:tcPr>
          <w:p w14:paraId="04D642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2AB4C2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75,0</w:t>
            </w:r>
          </w:p>
        </w:tc>
      </w:tr>
    </w:tbl>
    <w:p w14:paraId="4508B0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 другим данным, удельный вес боевых самолётов был ещё выше — 79,4 % (ГА РФ, Ф. 8418. Оп. 25. Д. 199. Л. 1).</w:t>
      </w:r>
    </w:p>
    <w:p w14:paraId="796043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Примечательно распределение авиапродукции 1940 г. выпуска по основным заказчикам (ГА РФ. Ф. 8418. Оп. 25. Д. 199. Л. 9—14)</w:t>
      </w:r>
    </w:p>
    <w:tbl>
      <w:tblPr>
        <w:tblW w:w="0" w:type="auto"/>
        <w:tblInd w:w="8" w:type="dxa"/>
        <w:tblLayout w:type="fixed"/>
        <w:tblCellMar>
          <w:left w:w="0" w:type="dxa"/>
          <w:right w:w="0" w:type="dxa"/>
        </w:tblCellMar>
        <w:tblLook w:val="0000" w:firstRow="0" w:lastRow="0" w:firstColumn="0" w:lastColumn="0" w:noHBand="0" w:noVBand="0"/>
      </w:tblPr>
      <w:tblGrid>
        <w:gridCol w:w="1939"/>
        <w:gridCol w:w="797"/>
        <w:gridCol w:w="802"/>
        <w:gridCol w:w="797"/>
        <w:gridCol w:w="792"/>
        <w:gridCol w:w="816"/>
      </w:tblGrid>
      <w:tr w:rsidR="00983732" w:rsidRPr="00A3026E" w14:paraId="060809FD" w14:textId="77777777" w:rsidTr="00EA0DA7">
        <w:trPr>
          <w:trHeight w:val="230"/>
        </w:trPr>
        <w:tc>
          <w:tcPr>
            <w:tcW w:w="1939" w:type="dxa"/>
            <w:tcBorders>
              <w:top w:val="single" w:sz="6" w:space="0" w:color="auto"/>
              <w:left w:val="single" w:sz="6" w:space="0" w:color="auto"/>
              <w:bottom w:val="nil"/>
              <w:right w:val="single" w:sz="6" w:space="0" w:color="auto"/>
            </w:tcBorders>
            <w:shd w:val="clear" w:color="auto" w:fill="FFFFFF"/>
          </w:tcPr>
          <w:p w14:paraId="7D03C0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Ъп</w:t>
            </w:r>
          </w:p>
        </w:tc>
        <w:tc>
          <w:tcPr>
            <w:tcW w:w="797" w:type="dxa"/>
            <w:tcBorders>
              <w:top w:val="single" w:sz="6" w:space="0" w:color="auto"/>
              <w:left w:val="single" w:sz="6" w:space="0" w:color="auto"/>
              <w:bottom w:val="nil"/>
              <w:right w:val="single" w:sz="6" w:space="0" w:color="auto"/>
            </w:tcBorders>
            <w:shd w:val="clear" w:color="auto" w:fill="FFFFFF"/>
          </w:tcPr>
          <w:p w14:paraId="1403EB6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от</w:t>
            </w:r>
            <w:r w:rsidRPr="00A3026E">
              <w:rPr>
                <w:rFonts w:ascii="Times New Roman" w:hAnsi="Times New Roman"/>
                <w:color w:val="000000" w:themeColor="text1"/>
                <w:sz w:val="16"/>
                <w:szCs w:val="16"/>
              </w:rPr>
              <w:softHyphen/>
              <w:t>гружено</w:t>
            </w:r>
          </w:p>
        </w:tc>
        <w:tc>
          <w:tcPr>
            <w:tcW w:w="3207" w:type="dxa"/>
            <w:gridSpan w:val="4"/>
            <w:tcBorders>
              <w:top w:val="single" w:sz="6" w:space="0" w:color="auto"/>
              <w:left w:val="single" w:sz="6" w:space="0" w:color="auto"/>
              <w:bottom w:val="single" w:sz="6" w:space="0" w:color="auto"/>
              <w:right w:val="single" w:sz="6" w:space="0" w:color="auto"/>
            </w:tcBorders>
            <w:shd w:val="clear" w:color="auto" w:fill="FFFFFF"/>
          </w:tcPr>
          <w:p w14:paraId="756A31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числе:</w:t>
            </w:r>
          </w:p>
        </w:tc>
      </w:tr>
      <w:tr w:rsidR="00983732" w:rsidRPr="00A3026E" w14:paraId="67192C68" w14:textId="77777777" w:rsidTr="00EA0DA7">
        <w:trPr>
          <w:trHeight w:val="221"/>
        </w:trPr>
        <w:tc>
          <w:tcPr>
            <w:tcW w:w="1939" w:type="dxa"/>
            <w:tcBorders>
              <w:top w:val="nil"/>
              <w:left w:val="single" w:sz="6" w:space="0" w:color="auto"/>
              <w:bottom w:val="single" w:sz="6" w:space="0" w:color="auto"/>
              <w:right w:val="single" w:sz="6" w:space="0" w:color="auto"/>
            </w:tcBorders>
            <w:shd w:val="clear" w:color="auto" w:fill="FFFFFF"/>
          </w:tcPr>
          <w:p w14:paraId="7D73D79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797" w:type="dxa"/>
            <w:tcBorders>
              <w:top w:val="nil"/>
              <w:left w:val="single" w:sz="6" w:space="0" w:color="auto"/>
              <w:bottom w:val="single" w:sz="6" w:space="0" w:color="auto"/>
              <w:right w:val="single" w:sz="6" w:space="0" w:color="auto"/>
            </w:tcBorders>
            <w:shd w:val="clear" w:color="auto" w:fill="FFFFFF"/>
          </w:tcPr>
          <w:p w14:paraId="6022D44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3335D3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УВВС</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32FFA2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НКВМФ</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13F9A5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НКВД</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6B423C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Прочее</w:t>
            </w:r>
          </w:p>
        </w:tc>
      </w:tr>
      <w:tr w:rsidR="00983732" w:rsidRPr="00A3026E" w14:paraId="282E0097" w14:textId="77777777" w:rsidTr="00EA0DA7">
        <w:trPr>
          <w:trHeight w:val="221"/>
        </w:trPr>
        <w:tc>
          <w:tcPr>
            <w:tcW w:w="1939" w:type="dxa"/>
            <w:tcBorders>
              <w:top w:val="single" w:sz="6" w:space="0" w:color="auto"/>
              <w:left w:val="single" w:sz="6" w:space="0" w:color="auto"/>
              <w:bottom w:val="single" w:sz="6" w:space="0" w:color="auto"/>
              <w:right w:val="single" w:sz="6" w:space="0" w:color="auto"/>
            </w:tcBorders>
            <w:shd w:val="clear" w:color="auto" w:fill="FFFFFF"/>
          </w:tcPr>
          <w:p w14:paraId="4BC98D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Истребители</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0E45C9F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4657</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266266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3966</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27FB29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542</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696E67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4B7D7C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149</w:t>
            </w:r>
            <w:r w:rsidRPr="00A3026E">
              <w:rPr>
                <w:rFonts w:ascii="Times New Roman" w:hAnsi="Times New Roman"/>
                <w:color w:val="000000" w:themeColor="text1"/>
                <w:sz w:val="16"/>
                <w:szCs w:val="16"/>
                <w:vertAlign w:val="superscript"/>
              </w:rPr>
              <w:t>1</w:t>
            </w:r>
          </w:p>
        </w:tc>
      </w:tr>
      <w:tr w:rsidR="00983732" w:rsidRPr="00A3026E" w14:paraId="2058344A" w14:textId="77777777" w:rsidTr="00EA0DA7">
        <w:trPr>
          <w:trHeight w:val="221"/>
        </w:trPr>
        <w:tc>
          <w:tcPr>
            <w:tcW w:w="1939" w:type="dxa"/>
            <w:tcBorders>
              <w:top w:val="single" w:sz="6" w:space="0" w:color="auto"/>
              <w:left w:val="single" w:sz="6" w:space="0" w:color="auto"/>
              <w:bottom w:val="single" w:sz="6" w:space="0" w:color="auto"/>
              <w:right w:val="single" w:sz="6" w:space="0" w:color="auto"/>
            </w:tcBorders>
            <w:shd w:val="clear" w:color="auto" w:fill="FFFFFF"/>
          </w:tcPr>
          <w:p w14:paraId="07D963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Бомбардировщики</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39D258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3575</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558850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3289</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697982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259</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759CD1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1C2707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r>
      <w:tr w:rsidR="00983732" w:rsidRPr="00A3026E" w14:paraId="783EE2BC" w14:textId="77777777" w:rsidTr="00EA0DA7">
        <w:trPr>
          <w:trHeight w:val="226"/>
        </w:trPr>
        <w:tc>
          <w:tcPr>
            <w:tcW w:w="1939" w:type="dxa"/>
            <w:tcBorders>
              <w:top w:val="single" w:sz="6" w:space="0" w:color="auto"/>
              <w:left w:val="single" w:sz="6" w:space="0" w:color="auto"/>
              <w:bottom w:val="single" w:sz="6" w:space="0" w:color="auto"/>
              <w:right w:val="single" w:sz="6" w:space="0" w:color="auto"/>
            </w:tcBorders>
            <w:shd w:val="clear" w:color="auto" w:fill="FFFFFF"/>
          </w:tcPr>
          <w:p w14:paraId="72DAAC7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Разведчик</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4A17F4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99</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140507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200D8E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43150D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19B2B7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r w:rsidRPr="00A3026E">
              <w:rPr>
                <w:rFonts w:ascii="Times New Roman" w:hAnsi="Times New Roman"/>
                <w:color w:val="000000" w:themeColor="text1"/>
                <w:sz w:val="16"/>
                <w:szCs w:val="16"/>
                <w:vertAlign w:val="superscript"/>
              </w:rPr>
              <w:t>!</w:t>
            </w:r>
          </w:p>
        </w:tc>
      </w:tr>
      <w:tr w:rsidR="00983732" w:rsidRPr="00A3026E" w14:paraId="250D9AD7" w14:textId="77777777" w:rsidTr="00EA0DA7">
        <w:trPr>
          <w:trHeight w:val="221"/>
        </w:trPr>
        <w:tc>
          <w:tcPr>
            <w:tcW w:w="1939" w:type="dxa"/>
            <w:tcBorders>
              <w:top w:val="single" w:sz="6" w:space="0" w:color="auto"/>
              <w:left w:val="single" w:sz="6" w:space="0" w:color="auto"/>
              <w:bottom w:val="single" w:sz="6" w:space="0" w:color="auto"/>
              <w:right w:val="single" w:sz="6" w:space="0" w:color="auto"/>
            </w:tcBorders>
            <w:shd w:val="clear" w:color="auto" w:fill="FFFFFF"/>
          </w:tcPr>
          <w:p w14:paraId="1F8D3E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Учебные и пассажирские</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08AE5B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2234</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23F8CC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1345</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1ACF573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203</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1F51B6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1CC74E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686</w:t>
            </w:r>
          </w:p>
        </w:tc>
      </w:tr>
      <w:tr w:rsidR="00983732" w:rsidRPr="00A3026E" w14:paraId="33E7FA43" w14:textId="77777777" w:rsidTr="00EA0DA7">
        <w:trPr>
          <w:trHeight w:val="221"/>
        </w:trPr>
        <w:tc>
          <w:tcPr>
            <w:tcW w:w="1939" w:type="dxa"/>
            <w:tcBorders>
              <w:top w:val="single" w:sz="6" w:space="0" w:color="auto"/>
              <w:left w:val="single" w:sz="6" w:space="0" w:color="auto"/>
              <w:bottom w:val="single" w:sz="6" w:space="0" w:color="auto"/>
              <w:right w:val="single" w:sz="6" w:space="0" w:color="auto"/>
            </w:tcBorders>
            <w:shd w:val="clear" w:color="auto" w:fill="FFFFFF"/>
          </w:tcPr>
          <w:p w14:paraId="15F9E2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самолётов</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2E7FA5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10565"</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72067C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8617</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7DD7E5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1081</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5E940C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70A98F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867</w:t>
            </w:r>
          </w:p>
        </w:tc>
      </w:tr>
      <w:tr w:rsidR="00983732" w:rsidRPr="00A3026E" w14:paraId="6BF116EF" w14:textId="77777777" w:rsidTr="00EA0DA7">
        <w:trPr>
          <w:trHeight w:val="221"/>
        </w:trPr>
        <w:tc>
          <w:tcPr>
            <w:tcW w:w="1939" w:type="dxa"/>
            <w:tcBorders>
              <w:top w:val="single" w:sz="6" w:space="0" w:color="auto"/>
              <w:left w:val="single" w:sz="6" w:space="0" w:color="auto"/>
              <w:bottom w:val="single" w:sz="6" w:space="0" w:color="auto"/>
              <w:right w:val="single" w:sz="6" w:space="0" w:color="auto"/>
            </w:tcBorders>
            <w:shd w:val="clear" w:color="auto" w:fill="FFFFFF"/>
          </w:tcPr>
          <w:p w14:paraId="6578A8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Моторов всего</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60EC6B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21345</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68EB18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3686</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1E1E56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645</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0CD61D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277</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0D435A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16733</w:t>
            </w:r>
          </w:p>
        </w:tc>
      </w:tr>
      <w:tr w:rsidR="00983732" w:rsidRPr="00A3026E" w14:paraId="0BFC86B1" w14:textId="77777777" w:rsidTr="00EA0DA7">
        <w:trPr>
          <w:trHeight w:val="226"/>
        </w:trPr>
        <w:tc>
          <w:tcPr>
            <w:tcW w:w="1939" w:type="dxa"/>
            <w:tcBorders>
              <w:top w:val="single" w:sz="6" w:space="0" w:color="auto"/>
              <w:left w:val="single" w:sz="6" w:space="0" w:color="auto"/>
              <w:bottom w:val="single" w:sz="6" w:space="0" w:color="auto"/>
              <w:right w:val="single" w:sz="6" w:space="0" w:color="auto"/>
            </w:tcBorders>
            <w:shd w:val="clear" w:color="auto" w:fill="FFFFFF"/>
          </w:tcPr>
          <w:p w14:paraId="1B09BB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Моторов длх боевых самолётов</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5F5893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15903</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6428D3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2628</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0D4918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403</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484184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1493FA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12872"</w:t>
            </w:r>
          </w:p>
        </w:tc>
      </w:tr>
      <w:tr w:rsidR="00983732" w:rsidRPr="00A3026E" w14:paraId="2A12FB1E" w14:textId="77777777" w:rsidTr="00EA0DA7">
        <w:trPr>
          <w:trHeight w:val="235"/>
        </w:trPr>
        <w:tc>
          <w:tcPr>
            <w:tcW w:w="1939" w:type="dxa"/>
            <w:tcBorders>
              <w:top w:val="single" w:sz="6" w:space="0" w:color="auto"/>
              <w:left w:val="single" w:sz="6" w:space="0" w:color="auto"/>
              <w:bottom w:val="single" w:sz="6" w:space="0" w:color="auto"/>
              <w:right w:val="single" w:sz="6" w:space="0" w:color="auto"/>
            </w:tcBorders>
            <w:shd w:val="clear" w:color="auto" w:fill="FFFFFF"/>
          </w:tcPr>
          <w:p w14:paraId="71C7F7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Пропеллеров металлических</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1F6F33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18278</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082350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2059</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4DC705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644</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671A44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75C88E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15578</w:t>
            </w:r>
          </w:p>
        </w:tc>
      </w:tr>
    </w:tbl>
    <w:p w14:paraId="353873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Примечание в тексте от руки — «объект 600».</w:t>
      </w:r>
    </w:p>
    <w:p w14:paraId="51B9D1FE" w14:textId="77777777" w:rsidR="0014077F" w:rsidRPr="00A3026E" w:rsidRDefault="0014077F" w:rsidP="00A3026E">
      <w:pPr>
        <w:tabs>
          <w:tab w:val="left" w:pos="5911"/>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Примечание в тексте от руки — ГСТ.</w:t>
      </w:r>
    </w:p>
    <w:p w14:paraId="60B9CE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таблицы, между прочим, следует, что удельный вес боевых самолётов ссь ставши 78,85 %, что несколько ниже заявленных выше 79. Видимо, в данном случав мы имеем дело с некоторыми расхождениями в отчётности — ряд моделей, произво</w:t>
      </w:r>
      <w:r w:rsidRPr="00A3026E">
        <w:rPr>
          <w:rFonts w:ascii="Times New Roman" w:hAnsi="Times New Roman"/>
          <w:color w:val="000000" w:themeColor="text1"/>
          <w:sz w:val="16"/>
          <w:szCs w:val="16"/>
        </w:rPr>
        <w:softHyphen/>
        <w:t>дившихся малыми сериями, могли быть не учтены, либо мы имеем дало с учётом само</w:t>
      </w:r>
      <w:r w:rsidRPr="00A3026E">
        <w:rPr>
          <w:rFonts w:ascii="Times New Roman" w:hAnsi="Times New Roman"/>
          <w:color w:val="000000" w:themeColor="text1"/>
          <w:sz w:val="16"/>
          <w:szCs w:val="16"/>
        </w:rPr>
        <w:softHyphen/>
        <w:t>лётов, произведённых в прошлом году, но принятых военприёмкой в 1940 г.</w:t>
      </w:r>
    </w:p>
    <w:p w14:paraId="533693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данном случае, видимо, под «прочими» понимались авиастроительные пред</w:t>
      </w:r>
      <w:r w:rsidRPr="00A3026E">
        <w:rPr>
          <w:rFonts w:ascii="Times New Roman" w:hAnsi="Times New Roman"/>
          <w:color w:val="000000" w:themeColor="text1"/>
          <w:sz w:val="16"/>
          <w:szCs w:val="16"/>
        </w:rPr>
        <w:softHyphen/>
        <w:t>приятия. Моторы же, направляемые УВВС, НКВМФ и др., предназначались для заме</w:t>
      </w:r>
      <w:r w:rsidRPr="00A3026E">
        <w:rPr>
          <w:rFonts w:ascii="Times New Roman" w:hAnsi="Times New Roman"/>
          <w:color w:val="000000" w:themeColor="text1"/>
          <w:sz w:val="16"/>
          <w:szCs w:val="16"/>
        </w:rPr>
        <w:softHyphen/>
        <w:t>ны выработавших ресурс двигателей на ранее поставленной авиатехнике.</w:t>
      </w:r>
    </w:p>
    <w:p w14:paraId="6FD6B4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Таким образом, очевидно, что подавляющая доля авиавы</w:t>
      </w:r>
      <w:r w:rsidRPr="00A3026E">
        <w:rPr>
          <w:rFonts w:ascii="Times New Roman" w:hAnsi="Times New Roman"/>
          <w:color w:val="000000" w:themeColor="text1"/>
          <w:sz w:val="16"/>
          <w:szCs w:val="16"/>
        </w:rPr>
        <w:softHyphen/>
        <w:t>пуска в последний предвоенный год шла именно военным, при этом некоторое (не слишком, правда, значительное) пред</w:t>
      </w:r>
      <w:r w:rsidRPr="00A3026E">
        <w:rPr>
          <w:rFonts w:ascii="Times New Roman" w:hAnsi="Times New Roman"/>
          <w:color w:val="000000" w:themeColor="text1"/>
          <w:sz w:val="16"/>
          <w:szCs w:val="16"/>
        </w:rPr>
        <w:softHyphen/>
        <w:t>почтение отдавалось истребителям.</w:t>
      </w:r>
    </w:p>
    <w:p w14:paraId="1AC860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Тенденция 1939—1940 гг. на снижение затрат времени на производство единицы авиапродукции получила в 1941 г. дальнейшее развитие.</w:t>
      </w:r>
    </w:p>
    <w:p w14:paraId="1419B0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Сокращение затрат времени на производство авиапродукции в первой половине 1941 г. (ГА РФ. Ф. 8418. Оп. 25. Д. 673. Л. 96)</w:t>
      </w:r>
    </w:p>
    <w:tbl>
      <w:tblPr>
        <w:tblW w:w="0" w:type="auto"/>
        <w:tblInd w:w="8" w:type="dxa"/>
        <w:tblLayout w:type="fixed"/>
        <w:tblCellMar>
          <w:left w:w="0" w:type="dxa"/>
          <w:right w:w="0" w:type="dxa"/>
        </w:tblCellMar>
        <w:tblLook w:val="0000" w:firstRow="0" w:lastRow="0" w:firstColumn="0" w:lastColumn="0" w:noHBand="0" w:noVBand="0"/>
      </w:tblPr>
      <w:tblGrid>
        <w:gridCol w:w="701"/>
        <w:gridCol w:w="898"/>
        <w:gridCol w:w="2078"/>
        <w:gridCol w:w="2251"/>
      </w:tblGrid>
      <w:tr w:rsidR="00983732" w:rsidRPr="00A3026E" w14:paraId="62800D86" w14:textId="77777777" w:rsidTr="00EA0DA7">
        <w:trPr>
          <w:trHeight w:val="422"/>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38935B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0820DC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Ищете</w:t>
            </w:r>
          </w:p>
        </w:tc>
        <w:tc>
          <w:tcPr>
            <w:tcW w:w="2078" w:type="dxa"/>
            <w:tcBorders>
              <w:top w:val="single" w:sz="6" w:space="0" w:color="auto"/>
              <w:left w:val="single" w:sz="6" w:space="0" w:color="auto"/>
              <w:bottom w:val="single" w:sz="6" w:space="0" w:color="auto"/>
              <w:right w:val="single" w:sz="6" w:space="0" w:color="auto"/>
            </w:tcBorders>
            <w:shd w:val="clear" w:color="auto" w:fill="FFFFFF"/>
          </w:tcPr>
          <w:p w14:paraId="6FAE64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Затраты человеко-часов на изго</w:t>
            </w:r>
            <w:r w:rsidRPr="00A3026E">
              <w:rPr>
                <w:rFonts w:ascii="Times New Roman" w:hAnsi="Times New Roman"/>
                <w:color w:val="000000" w:themeColor="text1"/>
                <w:sz w:val="16"/>
                <w:szCs w:val="16"/>
              </w:rPr>
              <w:softHyphen/>
              <w:t>товление в I квартале 1941 г.</w:t>
            </w:r>
          </w:p>
        </w:tc>
        <w:tc>
          <w:tcPr>
            <w:tcW w:w="2251" w:type="dxa"/>
            <w:tcBorders>
              <w:top w:val="single" w:sz="6" w:space="0" w:color="auto"/>
              <w:left w:val="single" w:sz="6" w:space="0" w:color="auto"/>
              <w:bottom w:val="single" w:sz="6" w:space="0" w:color="auto"/>
              <w:right w:val="single" w:sz="6" w:space="0" w:color="auto"/>
            </w:tcBorders>
            <w:shd w:val="clear" w:color="auto" w:fill="FFFFFF"/>
          </w:tcPr>
          <w:p w14:paraId="1063DF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Затраты человеко-часов на изготов</w:t>
            </w:r>
            <w:r w:rsidRPr="00A3026E">
              <w:rPr>
                <w:rFonts w:ascii="Times New Roman" w:hAnsi="Times New Roman"/>
                <w:color w:val="000000" w:themeColor="text1"/>
                <w:sz w:val="16"/>
                <w:szCs w:val="16"/>
              </w:rPr>
              <w:softHyphen/>
              <w:t>ление во 2 квартале 1941 г.</w:t>
            </w:r>
          </w:p>
        </w:tc>
      </w:tr>
      <w:tr w:rsidR="00983732" w:rsidRPr="00A3026E" w14:paraId="1E4C1921" w14:textId="77777777" w:rsidTr="00EA0DA7">
        <w:trPr>
          <w:trHeight w:val="221"/>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6593CA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71C14F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МвГ-3</w:t>
            </w:r>
          </w:p>
        </w:tc>
        <w:tc>
          <w:tcPr>
            <w:tcW w:w="2078" w:type="dxa"/>
            <w:tcBorders>
              <w:top w:val="single" w:sz="6" w:space="0" w:color="auto"/>
              <w:left w:val="single" w:sz="6" w:space="0" w:color="auto"/>
              <w:bottom w:val="single" w:sz="6" w:space="0" w:color="auto"/>
              <w:right w:val="single" w:sz="6" w:space="0" w:color="auto"/>
            </w:tcBorders>
            <w:shd w:val="clear" w:color="auto" w:fill="FFFFFF"/>
          </w:tcPr>
          <w:p w14:paraId="2004C8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7200</w:t>
            </w:r>
          </w:p>
        </w:tc>
        <w:tc>
          <w:tcPr>
            <w:tcW w:w="2251" w:type="dxa"/>
            <w:tcBorders>
              <w:top w:val="single" w:sz="6" w:space="0" w:color="auto"/>
              <w:left w:val="single" w:sz="6" w:space="0" w:color="auto"/>
              <w:bottom w:val="single" w:sz="6" w:space="0" w:color="auto"/>
              <w:right w:val="single" w:sz="6" w:space="0" w:color="auto"/>
            </w:tcBorders>
            <w:shd w:val="clear" w:color="auto" w:fill="FFFFFF"/>
          </w:tcPr>
          <w:p w14:paraId="729377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5800</w:t>
            </w:r>
          </w:p>
        </w:tc>
      </w:tr>
      <w:tr w:rsidR="00983732" w:rsidRPr="00A3026E" w14:paraId="4DED9778" w14:textId="77777777" w:rsidTr="00EA0DA7">
        <w:trPr>
          <w:trHeight w:val="226"/>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686CB8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2E00BB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Ил-2</w:t>
            </w:r>
          </w:p>
        </w:tc>
        <w:tc>
          <w:tcPr>
            <w:tcW w:w="2078" w:type="dxa"/>
            <w:tcBorders>
              <w:top w:val="single" w:sz="6" w:space="0" w:color="auto"/>
              <w:left w:val="single" w:sz="6" w:space="0" w:color="auto"/>
              <w:bottom w:val="single" w:sz="6" w:space="0" w:color="auto"/>
              <w:right w:val="single" w:sz="6" w:space="0" w:color="auto"/>
            </w:tcBorders>
            <w:shd w:val="clear" w:color="auto" w:fill="FFFFFF"/>
          </w:tcPr>
          <w:p w14:paraId="6D2589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22500</w:t>
            </w:r>
          </w:p>
        </w:tc>
        <w:tc>
          <w:tcPr>
            <w:tcW w:w="2251" w:type="dxa"/>
            <w:tcBorders>
              <w:top w:val="single" w:sz="6" w:space="0" w:color="auto"/>
              <w:left w:val="single" w:sz="6" w:space="0" w:color="auto"/>
              <w:bottom w:val="single" w:sz="6" w:space="0" w:color="auto"/>
              <w:right w:val="single" w:sz="6" w:space="0" w:color="auto"/>
            </w:tcBorders>
            <w:shd w:val="clear" w:color="auto" w:fill="FFFFFF"/>
          </w:tcPr>
          <w:p w14:paraId="541893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13000</w:t>
            </w:r>
          </w:p>
        </w:tc>
      </w:tr>
      <w:tr w:rsidR="00983732" w:rsidRPr="00A3026E" w14:paraId="481D0F46" w14:textId="77777777" w:rsidTr="00EA0DA7">
        <w:trPr>
          <w:trHeight w:val="221"/>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2ED8BF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4C25EA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Пе-2</w:t>
            </w:r>
          </w:p>
        </w:tc>
        <w:tc>
          <w:tcPr>
            <w:tcW w:w="2078" w:type="dxa"/>
            <w:tcBorders>
              <w:top w:val="single" w:sz="6" w:space="0" w:color="auto"/>
              <w:left w:val="single" w:sz="6" w:space="0" w:color="auto"/>
              <w:bottom w:val="single" w:sz="6" w:space="0" w:color="auto"/>
              <w:right w:val="single" w:sz="6" w:space="0" w:color="auto"/>
            </w:tcBorders>
            <w:shd w:val="clear" w:color="auto" w:fill="FFFFFF"/>
          </w:tcPr>
          <w:p w14:paraId="65ACAF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21500</w:t>
            </w:r>
          </w:p>
        </w:tc>
        <w:tc>
          <w:tcPr>
            <w:tcW w:w="2251" w:type="dxa"/>
            <w:tcBorders>
              <w:top w:val="single" w:sz="6" w:space="0" w:color="auto"/>
              <w:left w:val="single" w:sz="6" w:space="0" w:color="auto"/>
              <w:bottom w:val="single" w:sz="6" w:space="0" w:color="auto"/>
              <w:right w:val="single" w:sz="6" w:space="0" w:color="auto"/>
            </w:tcBorders>
            <w:shd w:val="clear" w:color="auto" w:fill="FFFFFF"/>
          </w:tcPr>
          <w:p w14:paraId="2CDD7D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18000</w:t>
            </w:r>
          </w:p>
        </w:tc>
      </w:tr>
      <w:tr w:rsidR="00983732" w:rsidRPr="00A3026E" w14:paraId="26202395" w14:textId="77777777" w:rsidTr="00EA0DA7">
        <w:trPr>
          <w:trHeight w:val="221"/>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1DDFC6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2CCFD1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w:t>
            </w:r>
          </w:p>
        </w:tc>
        <w:tc>
          <w:tcPr>
            <w:tcW w:w="2078" w:type="dxa"/>
            <w:tcBorders>
              <w:top w:val="single" w:sz="6" w:space="0" w:color="auto"/>
              <w:left w:val="single" w:sz="6" w:space="0" w:color="auto"/>
              <w:bottom w:val="single" w:sz="6" w:space="0" w:color="auto"/>
              <w:right w:val="single" w:sz="6" w:space="0" w:color="auto"/>
            </w:tcBorders>
            <w:shd w:val="clear" w:color="auto" w:fill="FFFFFF"/>
          </w:tcPr>
          <w:p w14:paraId="3B999F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14000</w:t>
            </w:r>
          </w:p>
        </w:tc>
        <w:tc>
          <w:tcPr>
            <w:tcW w:w="2251" w:type="dxa"/>
            <w:tcBorders>
              <w:top w:val="single" w:sz="6" w:space="0" w:color="auto"/>
              <w:left w:val="single" w:sz="6" w:space="0" w:color="auto"/>
              <w:bottom w:val="single" w:sz="6" w:space="0" w:color="auto"/>
              <w:right w:val="single" w:sz="6" w:space="0" w:color="auto"/>
            </w:tcBorders>
            <w:shd w:val="clear" w:color="auto" w:fill="FFFFFF"/>
          </w:tcPr>
          <w:p w14:paraId="0F896C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r>
      <w:tr w:rsidR="00983732" w:rsidRPr="00A3026E" w14:paraId="654BE056" w14:textId="77777777" w:rsidTr="00EA0DA7">
        <w:trPr>
          <w:trHeight w:val="221"/>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3A01D1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72D151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АМ-35А</w:t>
            </w:r>
          </w:p>
        </w:tc>
        <w:tc>
          <w:tcPr>
            <w:tcW w:w="2078" w:type="dxa"/>
            <w:tcBorders>
              <w:top w:val="single" w:sz="6" w:space="0" w:color="auto"/>
              <w:left w:val="single" w:sz="6" w:space="0" w:color="auto"/>
              <w:bottom w:val="single" w:sz="6" w:space="0" w:color="auto"/>
              <w:right w:val="single" w:sz="6" w:space="0" w:color="auto"/>
            </w:tcBorders>
            <w:shd w:val="clear" w:color="auto" w:fill="FFFFFF"/>
          </w:tcPr>
          <w:p w14:paraId="632749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2800</w:t>
            </w:r>
          </w:p>
        </w:tc>
        <w:tc>
          <w:tcPr>
            <w:tcW w:w="2251" w:type="dxa"/>
            <w:tcBorders>
              <w:top w:val="single" w:sz="6" w:space="0" w:color="auto"/>
              <w:left w:val="single" w:sz="6" w:space="0" w:color="auto"/>
              <w:bottom w:val="single" w:sz="6" w:space="0" w:color="auto"/>
              <w:right w:val="single" w:sz="6" w:space="0" w:color="auto"/>
            </w:tcBorders>
            <w:shd w:val="clear" w:color="auto" w:fill="FFFFFF"/>
          </w:tcPr>
          <w:p w14:paraId="754B50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2400</w:t>
            </w:r>
          </w:p>
        </w:tc>
      </w:tr>
      <w:tr w:rsidR="00983732" w:rsidRPr="00A3026E" w14:paraId="25B4918F" w14:textId="77777777" w:rsidTr="00EA0DA7">
        <w:trPr>
          <w:trHeight w:val="240"/>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2AEA31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26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7583DC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М-105</w:t>
            </w:r>
          </w:p>
        </w:tc>
        <w:tc>
          <w:tcPr>
            <w:tcW w:w="2078" w:type="dxa"/>
            <w:tcBorders>
              <w:top w:val="single" w:sz="6" w:space="0" w:color="auto"/>
              <w:left w:val="single" w:sz="6" w:space="0" w:color="auto"/>
              <w:bottom w:val="single" w:sz="6" w:space="0" w:color="auto"/>
              <w:right w:val="single" w:sz="6" w:space="0" w:color="auto"/>
            </w:tcBorders>
            <w:shd w:val="clear" w:color="auto" w:fill="FFFFFF"/>
          </w:tcPr>
          <w:p w14:paraId="5EB30D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1650</w:t>
            </w:r>
          </w:p>
        </w:tc>
        <w:tc>
          <w:tcPr>
            <w:tcW w:w="2251" w:type="dxa"/>
            <w:tcBorders>
              <w:top w:val="single" w:sz="6" w:space="0" w:color="auto"/>
              <w:left w:val="single" w:sz="6" w:space="0" w:color="auto"/>
              <w:bottom w:val="single" w:sz="6" w:space="0" w:color="auto"/>
              <w:right w:val="single" w:sz="6" w:space="0" w:color="auto"/>
            </w:tcBorders>
            <w:shd w:val="clear" w:color="auto" w:fill="FFFFFF"/>
          </w:tcPr>
          <w:p w14:paraId="160DAD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1550</w:t>
            </w:r>
          </w:p>
        </w:tc>
      </w:tr>
    </w:tbl>
    <w:p w14:paraId="1B40D9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Помимо чисто количественного роста авиавыпуска эти годы были отмечены так же постепенным увеличением удельного веса во всём авиапроизводстве так называемых «новых моделей» — т.е. аэропланов нового поколения, соот</w:t>
      </w:r>
      <w:r w:rsidRPr="00A3026E">
        <w:rPr>
          <w:rFonts w:ascii="Times New Roman" w:hAnsi="Times New Roman"/>
          <w:color w:val="000000" w:themeColor="text1"/>
          <w:sz w:val="16"/>
          <w:szCs w:val="16"/>
        </w:rPr>
        <w:softHyphen/>
        <w:t>ветствовавших по своим тактико-техническим данным реа</w:t>
      </w:r>
      <w:r w:rsidRPr="00A3026E">
        <w:rPr>
          <w:rFonts w:ascii="Times New Roman" w:hAnsi="Times New Roman"/>
          <w:color w:val="000000" w:themeColor="text1"/>
          <w:sz w:val="16"/>
          <w:szCs w:val="16"/>
        </w:rPr>
        <w:softHyphen/>
        <w:t>лиям сороковых годов. Интенсивное внедрение в производ</w:t>
      </w:r>
      <w:r w:rsidRPr="00A3026E">
        <w:rPr>
          <w:rFonts w:ascii="Times New Roman" w:hAnsi="Times New Roman"/>
          <w:color w:val="000000" w:themeColor="text1"/>
          <w:sz w:val="16"/>
          <w:szCs w:val="16"/>
        </w:rPr>
        <w:softHyphen/>
        <w:t>ство именно новых моделей стал главным приоритетом пла</w:t>
      </w:r>
      <w:r w:rsidRPr="00A3026E">
        <w:rPr>
          <w:rFonts w:ascii="Times New Roman" w:hAnsi="Times New Roman"/>
          <w:color w:val="000000" w:themeColor="text1"/>
          <w:sz w:val="16"/>
          <w:szCs w:val="16"/>
        </w:rPr>
        <w:softHyphen/>
        <w:t>на авиавыпуска на 1941 г. Уже в I квартале этого года новые модели по плану должны были составить 44 % выпуска, а во 2-м— 65 % (ГА РФ. Ф. 8418. Оп. 25. Д. 673. Л. 95).</w:t>
      </w:r>
    </w:p>
    <w:p w14:paraId="21E56A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Необходимость налаживать новое производство на пред</w:t>
      </w:r>
      <w:r w:rsidRPr="00A3026E">
        <w:rPr>
          <w:rFonts w:ascii="Times New Roman" w:hAnsi="Times New Roman"/>
          <w:color w:val="000000" w:themeColor="text1"/>
          <w:sz w:val="16"/>
          <w:szCs w:val="16"/>
        </w:rPr>
        <w:softHyphen/>
        <w:t>приятиях, в спешке передаваемых в Наркомат авиапромыш</w:t>
      </w:r>
      <w:r w:rsidRPr="00A3026E">
        <w:rPr>
          <w:rFonts w:ascii="Times New Roman" w:hAnsi="Times New Roman"/>
          <w:color w:val="000000" w:themeColor="text1"/>
          <w:sz w:val="16"/>
          <w:szCs w:val="16"/>
        </w:rPr>
        <w:softHyphen/>
        <w:t>ленности, обусловило даже некоторую стагнацию. Впрочем, это падение темпов производства пришлось на старые типы машин.</w:t>
      </w:r>
    </w:p>
    <w:p w14:paraId="792551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Авиавыпуск в 1939—1941 гг. (Подсчитано по: РГАЭ. Ф. 8044.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2808. Л. 1—50.; Самолето</w:t>
      </w:r>
      <w:r w:rsidRPr="00A3026E">
        <w:rPr>
          <w:rFonts w:ascii="Times New Roman" w:hAnsi="Times New Roman"/>
          <w:color w:val="000000" w:themeColor="text1"/>
          <w:sz w:val="16"/>
          <w:szCs w:val="16"/>
        </w:rPr>
        <w:softHyphen/>
        <w:t>строение в СССР 1917—1945 тт. Кн. 1. М., 1992 С. 432—435; Кн. II. М., 1994. С. 235—237)</w:t>
      </w:r>
    </w:p>
    <w:tbl>
      <w:tblPr>
        <w:tblW w:w="0" w:type="auto"/>
        <w:tblInd w:w="8" w:type="dxa"/>
        <w:tblLayout w:type="fixed"/>
        <w:tblCellMar>
          <w:left w:w="0" w:type="dxa"/>
          <w:right w:w="0" w:type="dxa"/>
        </w:tblCellMar>
        <w:tblLook w:val="0000" w:firstRow="0" w:lastRow="0" w:firstColumn="0" w:lastColumn="0" w:noHBand="0" w:noVBand="0"/>
      </w:tblPr>
      <w:tblGrid>
        <w:gridCol w:w="2150"/>
        <w:gridCol w:w="1210"/>
        <w:gridCol w:w="1248"/>
        <w:gridCol w:w="1339"/>
      </w:tblGrid>
      <w:tr w:rsidR="00983732" w:rsidRPr="00A3026E" w14:paraId="2684B7F8" w14:textId="77777777" w:rsidTr="00EA0DA7">
        <w:trPr>
          <w:trHeight w:val="230"/>
        </w:trPr>
        <w:tc>
          <w:tcPr>
            <w:tcW w:w="2150" w:type="dxa"/>
            <w:tcBorders>
              <w:top w:val="single" w:sz="6" w:space="0" w:color="auto"/>
              <w:left w:val="single" w:sz="6" w:space="0" w:color="auto"/>
              <w:bottom w:val="single" w:sz="6" w:space="0" w:color="auto"/>
              <w:right w:val="single" w:sz="6" w:space="0" w:color="auto"/>
            </w:tcBorders>
            <w:shd w:val="clear" w:color="auto" w:fill="FFFFFF"/>
          </w:tcPr>
          <w:p w14:paraId="27ABC9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Год</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046733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1939</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14:paraId="0627CA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w:t>
            </w:r>
          </w:p>
        </w:tc>
        <w:tc>
          <w:tcPr>
            <w:tcW w:w="1339" w:type="dxa"/>
            <w:tcBorders>
              <w:top w:val="single" w:sz="6" w:space="0" w:color="auto"/>
              <w:left w:val="single" w:sz="6" w:space="0" w:color="auto"/>
              <w:bottom w:val="single" w:sz="6" w:space="0" w:color="auto"/>
              <w:right w:val="single" w:sz="6" w:space="0" w:color="auto"/>
            </w:tcBorders>
            <w:shd w:val="clear" w:color="auto" w:fill="FFFFFF"/>
          </w:tcPr>
          <w:p w14:paraId="3F7FD7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1941</w:t>
            </w:r>
          </w:p>
        </w:tc>
      </w:tr>
      <w:tr w:rsidR="00983732" w:rsidRPr="00A3026E" w14:paraId="42EA7113" w14:textId="77777777" w:rsidTr="00EA0DA7">
        <w:trPr>
          <w:trHeight w:val="226"/>
        </w:trPr>
        <w:tc>
          <w:tcPr>
            <w:tcW w:w="2150" w:type="dxa"/>
            <w:tcBorders>
              <w:top w:val="single" w:sz="6" w:space="0" w:color="auto"/>
              <w:left w:val="single" w:sz="6" w:space="0" w:color="auto"/>
              <w:bottom w:val="single" w:sz="6" w:space="0" w:color="auto"/>
              <w:right w:val="single" w:sz="6" w:space="0" w:color="auto"/>
            </w:tcBorders>
            <w:shd w:val="clear" w:color="auto" w:fill="FFFFFF"/>
          </w:tcPr>
          <w:p w14:paraId="4C9269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произведённых самолётов</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27D50E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10198</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14:paraId="3390E1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10571</w:t>
            </w:r>
          </w:p>
        </w:tc>
        <w:tc>
          <w:tcPr>
            <w:tcW w:w="1339" w:type="dxa"/>
            <w:tcBorders>
              <w:top w:val="single" w:sz="6" w:space="0" w:color="auto"/>
              <w:left w:val="single" w:sz="6" w:space="0" w:color="auto"/>
              <w:bottom w:val="single" w:sz="6" w:space="0" w:color="auto"/>
              <w:right w:val="single" w:sz="6" w:space="0" w:color="auto"/>
            </w:tcBorders>
            <w:shd w:val="clear" w:color="auto" w:fill="FFFFFF"/>
          </w:tcPr>
          <w:p w14:paraId="5825F3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15379</w:t>
            </w:r>
          </w:p>
        </w:tc>
      </w:tr>
      <w:tr w:rsidR="00983732" w:rsidRPr="00A3026E" w14:paraId="04D3FCA2" w14:textId="77777777" w:rsidTr="00EA0DA7">
        <w:trPr>
          <w:trHeight w:val="221"/>
        </w:trPr>
        <w:tc>
          <w:tcPr>
            <w:tcW w:w="2150" w:type="dxa"/>
            <w:tcBorders>
              <w:top w:val="single" w:sz="6" w:space="0" w:color="auto"/>
              <w:left w:val="single" w:sz="6" w:space="0" w:color="auto"/>
              <w:bottom w:val="single" w:sz="6" w:space="0" w:color="auto"/>
              <w:right w:val="single" w:sz="6" w:space="0" w:color="auto"/>
            </w:tcBorders>
            <w:shd w:val="clear" w:color="auto" w:fill="FFFFFF"/>
          </w:tcPr>
          <w:p w14:paraId="3700AB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ток числе «вових» типов</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2FC3707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14:paraId="77BF1A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500</w:t>
            </w:r>
          </w:p>
        </w:tc>
        <w:tc>
          <w:tcPr>
            <w:tcW w:w="1339" w:type="dxa"/>
            <w:tcBorders>
              <w:top w:val="single" w:sz="6" w:space="0" w:color="auto"/>
              <w:left w:val="single" w:sz="6" w:space="0" w:color="auto"/>
              <w:bottom w:val="single" w:sz="6" w:space="0" w:color="auto"/>
              <w:right w:val="single" w:sz="6" w:space="0" w:color="auto"/>
            </w:tcBorders>
            <w:shd w:val="clear" w:color="auto" w:fill="FFFFFF"/>
          </w:tcPr>
          <w:p w14:paraId="796723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11633</w:t>
            </w:r>
          </w:p>
        </w:tc>
      </w:tr>
      <w:tr w:rsidR="00983732" w:rsidRPr="00A3026E" w14:paraId="761002D6" w14:textId="77777777" w:rsidTr="00EA0DA7">
        <w:trPr>
          <w:trHeight w:val="245"/>
        </w:trPr>
        <w:tc>
          <w:tcPr>
            <w:tcW w:w="2150" w:type="dxa"/>
            <w:tcBorders>
              <w:top w:val="single" w:sz="6" w:space="0" w:color="auto"/>
              <w:left w:val="single" w:sz="6" w:space="0" w:color="auto"/>
              <w:bottom w:val="single" w:sz="6" w:space="0" w:color="auto"/>
              <w:right w:val="single" w:sz="6" w:space="0" w:color="auto"/>
            </w:tcBorders>
            <w:shd w:val="clear" w:color="auto" w:fill="FFFFFF"/>
          </w:tcPr>
          <w:p w14:paraId="538F920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произведённых моторов</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45E182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22686</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14:paraId="77458F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21380</w:t>
            </w:r>
          </w:p>
        </w:tc>
        <w:tc>
          <w:tcPr>
            <w:tcW w:w="1339" w:type="dxa"/>
            <w:tcBorders>
              <w:top w:val="single" w:sz="6" w:space="0" w:color="auto"/>
              <w:left w:val="single" w:sz="6" w:space="0" w:color="auto"/>
              <w:bottom w:val="single" w:sz="6" w:space="0" w:color="auto"/>
              <w:right w:val="single" w:sz="6" w:space="0" w:color="auto"/>
            </w:tcBorders>
            <w:shd w:val="clear" w:color="auto" w:fill="FFFFFF"/>
          </w:tcPr>
          <w:p w14:paraId="42A95A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28707</w:t>
            </w:r>
          </w:p>
        </w:tc>
      </w:tr>
    </w:tbl>
    <w:p w14:paraId="5F49C6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(12011).</w:t>
      </w:r>
    </w:p>
    <w:p w14:paraId="2C447EB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ABD3E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1940 г. темп работ на авиазаво</w:t>
      </w:r>
      <w:r w:rsidRPr="00A3026E">
        <w:rPr>
          <w:rFonts w:ascii="Times New Roman" w:hAnsi="Times New Roman"/>
          <w:color w:val="000000" w:themeColor="text1"/>
          <w:sz w:val="16"/>
          <w:szCs w:val="16"/>
        </w:rPr>
        <w:softHyphen/>
        <w:t>дах стал более напряжённым — директора заводов получи</w:t>
      </w:r>
      <w:r w:rsidRPr="00A3026E">
        <w:rPr>
          <w:rFonts w:ascii="Times New Roman" w:hAnsi="Times New Roman"/>
          <w:color w:val="000000" w:themeColor="text1"/>
          <w:sz w:val="16"/>
          <w:szCs w:val="16"/>
        </w:rPr>
        <w:softHyphen/>
        <w:t xml:space="preserve">ли право своим решением вводить сверхурочные работы и переводить цеха или целые заводы на 2—3-сменную работу. В плане работ на 4-й квартал 1940 г. и 1-й квартал 1941 г. заранее предусматривалось систематическое применение сверхурочных работ по 2—3 часа в сутки на 1 рабочего (РГАЭ. Ф. 8044.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674. Л. 44). К со</w:t>
      </w:r>
      <w:r w:rsidRPr="00A3026E">
        <w:rPr>
          <w:rFonts w:ascii="Times New Roman" w:hAnsi="Times New Roman"/>
          <w:color w:val="000000" w:themeColor="text1"/>
          <w:sz w:val="16"/>
          <w:szCs w:val="16"/>
        </w:rPr>
        <w:softHyphen/>
        <w:t>жалению, приходится констатировать, что передаю необходи</w:t>
      </w:r>
      <w:r w:rsidRPr="00A3026E">
        <w:rPr>
          <w:rFonts w:ascii="Times New Roman" w:hAnsi="Times New Roman"/>
          <w:color w:val="000000" w:themeColor="text1"/>
          <w:sz w:val="16"/>
          <w:szCs w:val="16"/>
        </w:rPr>
        <w:softHyphen/>
        <w:t>мость в сверхурочных работах вызывалась не только ростом производственных заданий, но и плохой координацией работ со стороны заводских администраций. Например, в 1-м квар</w:t>
      </w:r>
      <w:r w:rsidRPr="00A3026E">
        <w:rPr>
          <w:rFonts w:ascii="Times New Roman" w:hAnsi="Times New Roman"/>
          <w:color w:val="000000" w:themeColor="text1"/>
          <w:sz w:val="16"/>
          <w:szCs w:val="16"/>
        </w:rPr>
        <w:softHyphen/>
        <w:t>тале 1941 г. на заводе № 18 простои составили 5 % всего отра</w:t>
      </w:r>
      <w:r w:rsidRPr="00A3026E">
        <w:rPr>
          <w:rFonts w:ascii="Times New Roman" w:hAnsi="Times New Roman"/>
          <w:color w:val="000000" w:themeColor="text1"/>
          <w:sz w:val="16"/>
          <w:szCs w:val="16"/>
        </w:rPr>
        <w:softHyphen/>
        <w:t xml:space="preserve">ботанного времени, а сверхурочные работы — 7,8 % (РГАЭ. Ф. 8044.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674. Л. 65). То есть правильная организация работ, при которой рабочая сила не простаивает, позволила бы практически сократить на этом за</w:t>
      </w:r>
      <w:r w:rsidRPr="00A3026E">
        <w:rPr>
          <w:rFonts w:ascii="Times New Roman" w:hAnsi="Times New Roman"/>
          <w:color w:val="000000" w:themeColor="text1"/>
          <w:sz w:val="16"/>
          <w:szCs w:val="16"/>
        </w:rPr>
        <w:softHyphen/>
        <w:t xml:space="preserve">воде сверхурочные в 2—3 раза. Если в 1939 г. на 1 рабочего в год приходилось 37 часов простоя, то в 1940 г. этот показатель подпрыгнул до отметки 61,4 часа (РГАЭ. Ф. 8044.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xml:space="preserve">. 1. Д. 2775. Л. 20). Таким образом, свыше 3 % рабочего времени тратилось впустую (РГАЭ. Ф. 8044.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2775. Л. 21). Имеющегося админи</w:t>
      </w:r>
      <w:r w:rsidRPr="00A3026E">
        <w:rPr>
          <w:rFonts w:ascii="Times New Roman" w:hAnsi="Times New Roman"/>
          <w:color w:val="000000" w:themeColor="text1"/>
          <w:sz w:val="16"/>
          <w:szCs w:val="16"/>
        </w:rPr>
        <w:softHyphen/>
        <w:t>стративного аппарата не хватало, чтобы эффективно распоря</w:t>
      </w:r>
      <w:r w:rsidRPr="00A3026E">
        <w:rPr>
          <w:rFonts w:ascii="Times New Roman" w:hAnsi="Times New Roman"/>
          <w:color w:val="000000" w:themeColor="text1"/>
          <w:sz w:val="16"/>
          <w:szCs w:val="16"/>
        </w:rPr>
        <w:softHyphen/>
        <w:t>диться наличной рабочей силой (12011).</w:t>
      </w:r>
    </w:p>
    <w:p w14:paraId="2901FB7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C1A0643" w14:textId="77777777" w:rsidR="0014077F" w:rsidRPr="00A3026E" w:rsidRDefault="0014077F" w:rsidP="00A3026E">
      <w:pPr>
        <w:tabs>
          <w:tab w:val="left" w:pos="401"/>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на заводы НКАП в 1940 г. было переведено 30 000 «необученных» квалифицированных рабочих (Самолётостроение в СССР. 1917—1945. Кн. П. М.,1994. С. 200). Были случаи, когда производственные группы удваивались за счёт «новеньких», т.е. на одного опытного рабочего приходил</w:t>
      </w:r>
      <w:r w:rsidRPr="00A3026E">
        <w:rPr>
          <w:rFonts w:ascii="Times New Roman" w:hAnsi="Times New Roman"/>
          <w:color w:val="000000" w:themeColor="text1"/>
          <w:sz w:val="16"/>
          <w:szCs w:val="16"/>
        </w:rPr>
        <w:softHyphen/>
        <w:t xml:space="preserve">ся один стажёр. Начальникам цехов, отказывавшихся брать новичков и требовавших прислать подготовленную рабочую силу, директор завода № 22 обреченно отвечал — «готовых сборщиков, клепальщиков, слесарей нам никто не даст» (ЦАОДМ. Ф. 217.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I. Д. 49. Л. 14—15). Их просто не было. В результате в некоторых цехах до половины продукции составлял брак. Ситуация дополнительно ослож</w:t>
      </w:r>
      <w:r w:rsidRPr="00A3026E">
        <w:rPr>
          <w:rFonts w:ascii="Times New Roman" w:hAnsi="Times New Roman"/>
          <w:color w:val="000000" w:themeColor="text1"/>
          <w:sz w:val="16"/>
          <w:szCs w:val="16"/>
        </w:rPr>
        <w:softHyphen/>
        <w:t>нялась тем, что параллельно обучению новопереведённых рабочих заводам предстояло существенно увеличить авиа</w:t>
      </w:r>
      <w:r w:rsidRPr="00A3026E">
        <w:rPr>
          <w:rFonts w:ascii="Times New Roman" w:hAnsi="Times New Roman"/>
          <w:color w:val="000000" w:themeColor="text1"/>
          <w:sz w:val="16"/>
          <w:szCs w:val="16"/>
        </w:rPr>
        <w:softHyphen/>
        <w:t xml:space="preserve">выпуск. В частности, на авиазаводе № 22 программа 1939 г. вдвое превышала план предыдущего года (ЦАОДМ. Ф. 217.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I. Д. 49. Л. 3-4)! Всего, по сравне</w:t>
      </w:r>
      <w:r w:rsidRPr="00A3026E">
        <w:rPr>
          <w:rFonts w:ascii="Times New Roman" w:hAnsi="Times New Roman"/>
          <w:color w:val="000000" w:themeColor="text1"/>
          <w:sz w:val="16"/>
          <w:szCs w:val="16"/>
        </w:rPr>
        <w:softHyphen/>
        <w:t>нию с 1938 годом (Уровень 1938 г. рассматривается эталонным, т.к. это последний довоен</w:t>
      </w:r>
      <w:r w:rsidRPr="00A3026E">
        <w:rPr>
          <w:rFonts w:ascii="Times New Roman" w:hAnsi="Times New Roman"/>
          <w:color w:val="000000" w:themeColor="text1"/>
          <w:sz w:val="16"/>
          <w:szCs w:val="16"/>
        </w:rPr>
        <w:softHyphen/>
        <w:t xml:space="preserve">ный год. С началом Второй мировой войны ситуация резко изменилась), уровень брака на заводе к 1939 г. возрос на 88 % (ЦАОДМ. Ф. 217.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96., Л. 196). Пытаясь решить проблему неквалифицированных кадров, осенью 1940 г. НКАП запросил у Главного управле</w:t>
      </w:r>
      <w:r w:rsidRPr="00A3026E">
        <w:rPr>
          <w:rFonts w:ascii="Times New Roman" w:hAnsi="Times New Roman"/>
          <w:color w:val="000000" w:themeColor="text1"/>
          <w:sz w:val="16"/>
          <w:szCs w:val="16"/>
        </w:rPr>
        <w:softHyphen/>
        <w:t>ния Трудовых Резервов 28 750 рабочих наиболее «ходовых» специальностей из числа досрочно выпущенных из ФЗУ и ре</w:t>
      </w:r>
      <w:r w:rsidRPr="00A3026E">
        <w:rPr>
          <w:rFonts w:ascii="Times New Roman" w:hAnsi="Times New Roman"/>
          <w:color w:val="000000" w:themeColor="text1"/>
          <w:sz w:val="16"/>
          <w:szCs w:val="16"/>
        </w:rPr>
        <w:softHyphen/>
        <w:t xml:space="preserve">месленных училищ. Однако ГУТР смог удовлетворить заявку НКАП очень ограниченно—Авиапрому было выделено 7000 человек, в том числе 3070 слесарей и 3006 токарей (ГА РФ. Ф. 8007.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xml:space="preserve"> 1. Д. 27. Л. 124,125). Причём следующий выпуск системы «Трудовые резервы» ожидался лишь в июне 1941 г. Ситуацию удалось несколько смягчить лишь с течением времени. В январе 1941 г. из 439 000 вы</w:t>
      </w:r>
      <w:r w:rsidRPr="00A3026E">
        <w:rPr>
          <w:rFonts w:ascii="Times New Roman" w:hAnsi="Times New Roman"/>
          <w:color w:val="000000" w:themeColor="text1"/>
          <w:sz w:val="16"/>
          <w:szCs w:val="16"/>
        </w:rPr>
        <w:softHyphen/>
        <w:t>пускников системы «Трудовые резервы» Совнарком 50 000 направил в НКАП, НКВ, НКБ и на оборонные стройки (Народное хозяйство СССР. 1922—1972. М., 1972. С. 355).</w:t>
      </w:r>
    </w:p>
    <w:p w14:paraId="1D6F0A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Неопытность персонала усугублялась материальной него</w:t>
      </w:r>
      <w:r w:rsidRPr="00A3026E">
        <w:rPr>
          <w:rFonts w:ascii="Times New Roman" w:hAnsi="Times New Roman"/>
          <w:color w:val="000000" w:themeColor="text1"/>
          <w:sz w:val="16"/>
          <w:szCs w:val="16"/>
        </w:rPr>
        <w:softHyphen/>
        <w:t>товностью заводов снабдить такое количество нового персо</w:t>
      </w:r>
      <w:r w:rsidRPr="00A3026E">
        <w:rPr>
          <w:rFonts w:ascii="Times New Roman" w:hAnsi="Times New Roman"/>
          <w:color w:val="000000" w:themeColor="text1"/>
          <w:sz w:val="16"/>
          <w:szCs w:val="16"/>
        </w:rPr>
        <w:softHyphen/>
        <w:t>нала инструментом и приспособлениями. Руководители про</w:t>
      </w:r>
      <w:r w:rsidRPr="00A3026E">
        <w:rPr>
          <w:rFonts w:ascii="Times New Roman" w:hAnsi="Times New Roman"/>
          <w:color w:val="000000" w:themeColor="text1"/>
          <w:sz w:val="16"/>
          <w:szCs w:val="16"/>
        </w:rPr>
        <w:softHyphen/>
        <w:t>изводственных групп в изумлении разводили руками: «...за 2 дня я получил 48 человек, чуть меньше, чем я имею ста</w:t>
      </w:r>
      <w:r w:rsidRPr="00A3026E">
        <w:rPr>
          <w:rFonts w:ascii="Times New Roman" w:hAnsi="Times New Roman"/>
          <w:color w:val="000000" w:themeColor="text1"/>
          <w:sz w:val="16"/>
          <w:szCs w:val="16"/>
        </w:rPr>
        <w:softHyphen/>
        <w:t xml:space="preserve">рых рабочих... Пошёл в (инструментальный отдел), спрашиваю, чем меня обеспечат — дам молотков 10 шт.; дрелей, пневмолотков нет, электромолотков есть 5 шт. (ЦМАМ. Ф. 690.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135. Л. 25)». Ито</w:t>
      </w:r>
      <w:r w:rsidRPr="00A3026E">
        <w:rPr>
          <w:rFonts w:ascii="Times New Roman" w:hAnsi="Times New Roman"/>
          <w:color w:val="000000" w:themeColor="text1"/>
          <w:sz w:val="16"/>
          <w:szCs w:val="16"/>
        </w:rPr>
        <w:softHyphen/>
        <w:t>го — цех получил 48 рабочих, на оснащение которых выдано 15 молотков, т.е. приблизительно 3 рабочих на один молоток! Неизбежная в подобных условиях организационная нераз</w:t>
      </w:r>
      <w:r w:rsidRPr="00A3026E">
        <w:rPr>
          <w:rFonts w:ascii="Times New Roman" w:hAnsi="Times New Roman"/>
          <w:color w:val="000000" w:themeColor="text1"/>
          <w:sz w:val="16"/>
          <w:szCs w:val="16"/>
        </w:rPr>
        <w:softHyphen/>
        <w:t>бериха вела к снижению эффективности работы отдельного рабочего. Рабочих становилось больше, но индивидуальная выработка падала. Типичным случаем являются «фотогра</w:t>
      </w:r>
      <w:r w:rsidRPr="00A3026E">
        <w:rPr>
          <w:rFonts w:ascii="Times New Roman" w:hAnsi="Times New Roman"/>
          <w:color w:val="000000" w:themeColor="text1"/>
          <w:sz w:val="16"/>
          <w:szCs w:val="16"/>
        </w:rPr>
        <w:softHyphen/>
        <w:t>фии рабочего дня» (Специальная форма хронометрирования использования рабочего вре</w:t>
      </w:r>
      <w:r w:rsidRPr="00A3026E">
        <w:rPr>
          <w:rFonts w:ascii="Times New Roman" w:hAnsi="Times New Roman"/>
          <w:color w:val="000000" w:themeColor="text1"/>
          <w:sz w:val="16"/>
          <w:szCs w:val="16"/>
        </w:rPr>
        <w:softHyphen/>
        <w:t xml:space="preserve">мени персонала, употреблявшаяся в те годы иа советских предприятиях для научной организации труда), сделанные в феврале 1941 г. на заводе № 22 им. Горбунова (ЦМАМ. Ф. 690. Он. 1. Д. 98. Л. 6). Из 6 человек, рабочий день которых хронометрировался, никто не проработал более 494 минут, а простои достигали 200—300 минут. Отмечалось общее падение дисциплины на производстве. За 20—30 минут до начала обеденного перерыва у столовых уже выстраивались очереди (ЦМАМ. Ф. 690.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98. Л. 9); дошло до того, что мастера старались не доклады</w:t>
      </w:r>
      <w:r w:rsidRPr="00A3026E">
        <w:rPr>
          <w:rFonts w:ascii="Times New Roman" w:hAnsi="Times New Roman"/>
          <w:color w:val="000000" w:themeColor="text1"/>
          <w:sz w:val="16"/>
          <w:szCs w:val="16"/>
        </w:rPr>
        <w:softHyphen/>
        <w:t xml:space="preserve">вать табельщикам даже о 30-минутных опозданиях рабочих (ЦМАМ. Ф. 690.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98. Л. 23), так как увольнение сколько-нибудь подготовленного сотруд</w:t>
      </w:r>
      <w:r w:rsidRPr="00A3026E">
        <w:rPr>
          <w:rFonts w:ascii="Times New Roman" w:hAnsi="Times New Roman"/>
          <w:color w:val="000000" w:themeColor="text1"/>
          <w:sz w:val="16"/>
          <w:szCs w:val="16"/>
        </w:rPr>
        <w:softHyphen/>
        <w:t>ника больнее било по бригаде, чем по уволенному. Кадровые сотрудники авиапромышленности отмечали, что с приходом «переведённых» рабочих резко упала культура труда. Нович</w:t>
      </w:r>
      <w:r w:rsidRPr="00A3026E">
        <w:rPr>
          <w:rFonts w:ascii="Times New Roman" w:hAnsi="Times New Roman"/>
          <w:color w:val="000000" w:themeColor="text1"/>
          <w:sz w:val="16"/>
          <w:szCs w:val="16"/>
        </w:rPr>
        <w:softHyphen/>
        <w:t>ки, загнанные неволей на авиапредприятия, относились к но</w:t>
      </w:r>
      <w:r w:rsidRPr="00A3026E">
        <w:rPr>
          <w:rFonts w:ascii="Times New Roman" w:hAnsi="Times New Roman"/>
          <w:color w:val="000000" w:themeColor="text1"/>
          <w:sz w:val="16"/>
          <w:szCs w:val="16"/>
        </w:rPr>
        <w:softHyphen/>
        <w:t>вому месту работы как к чужому, нелюбимому, временному пристанищу. Сотрудники парткома завода № 22 отмечали: «.. .Мы обошли три четверти рабочих мест... у любого стан</w:t>
      </w:r>
      <w:r w:rsidRPr="00A3026E">
        <w:rPr>
          <w:rFonts w:ascii="Times New Roman" w:hAnsi="Times New Roman"/>
          <w:color w:val="000000" w:themeColor="text1"/>
          <w:sz w:val="16"/>
          <w:szCs w:val="16"/>
        </w:rPr>
        <w:softHyphen/>
        <w:t>ка открываешь стол — там булка, грязные тряпки и т.д. Гово</w:t>
      </w:r>
      <w:r w:rsidRPr="00A3026E">
        <w:rPr>
          <w:rFonts w:ascii="Times New Roman" w:hAnsi="Times New Roman"/>
          <w:color w:val="000000" w:themeColor="text1"/>
          <w:sz w:val="16"/>
          <w:szCs w:val="16"/>
        </w:rPr>
        <w:softHyphen/>
        <w:t>ришь ему (рабочему) — ведь противно булку есть, а он — «ничего, обойдётся». На станках валяются проволока, обрывки и т.п., как у свиньи... Ряд станков поломаны из-за того, что к ним относятся безобразно. ...Вы поглядите, что у нас творится на рабочих местах, в шкафчиках... Ведь все вер</w:t>
      </w:r>
      <w:r w:rsidRPr="00A3026E">
        <w:rPr>
          <w:rFonts w:ascii="Times New Roman" w:hAnsi="Times New Roman"/>
          <w:color w:val="000000" w:themeColor="text1"/>
          <w:sz w:val="16"/>
          <w:szCs w:val="16"/>
        </w:rPr>
        <w:softHyphen/>
        <w:t xml:space="preserve">стаки пообломали, замки сломаны, у каждого ступа вот такая цепь, что бы не украли, тиски поломаны, пыль, грязь — не пройдёшь...» (ЦМАМ. Ф. 690.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98. Л. 25—99) (12011).</w:t>
      </w:r>
    </w:p>
    <w:p w14:paraId="48054CC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E6013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 авиаотрасли наблюдался существенный рост среднемесячных зарплат, причём наиболее быстрым он был у ИТР и служащих:</w:t>
      </w:r>
    </w:p>
    <w:p w14:paraId="16D8730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Среднемесячные зарплаты по НКАП (ГА РФ. Ф. 8007. </w:t>
      </w:r>
      <w:r w:rsidRPr="00A3026E">
        <w:rPr>
          <w:rFonts w:ascii="Times New Roman" w:hAnsi="Times New Roman"/>
          <w:color w:val="000000" w:themeColor="text1"/>
          <w:sz w:val="16"/>
          <w:szCs w:val="16"/>
          <w:lang w:val="en-US"/>
        </w:rPr>
        <w:t xml:space="preserve">On. </w:t>
      </w:r>
      <w:r w:rsidRPr="00A3026E">
        <w:rPr>
          <w:rFonts w:ascii="Times New Roman" w:hAnsi="Times New Roman"/>
          <w:color w:val="000000" w:themeColor="text1"/>
          <w:sz w:val="16"/>
          <w:szCs w:val="16"/>
        </w:rPr>
        <w:t>1., Д. 25. Л. 2)</w:t>
      </w:r>
    </w:p>
    <w:tbl>
      <w:tblPr>
        <w:tblW w:w="0" w:type="auto"/>
        <w:tblInd w:w="8" w:type="dxa"/>
        <w:tblLayout w:type="fixed"/>
        <w:tblCellMar>
          <w:left w:w="0" w:type="dxa"/>
          <w:right w:w="0" w:type="dxa"/>
        </w:tblCellMar>
        <w:tblLook w:val="0000" w:firstRow="0" w:lastRow="0" w:firstColumn="0" w:lastColumn="0" w:noHBand="0" w:noVBand="0"/>
      </w:tblPr>
      <w:tblGrid>
        <w:gridCol w:w="1493"/>
        <w:gridCol w:w="1478"/>
        <w:gridCol w:w="1483"/>
        <w:gridCol w:w="1493"/>
      </w:tblGrid>
      <w:tr w:rsidR="00983732" w:rsidRPr="00A3026E" w14:paraId="6963D6C3" w14:textId="77777777" w:rsidTr="00EA0DA7">
        <w:trPr>
          <w:trHeight w:val="230"/>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08C1E4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Категория рабогвнсо*</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11747A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полугодие 1939 с, руб.</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C8F1F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I полугодие 1940 г, руб.</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59C804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Рост, %</w:t>
            </w:r>
          </w:p>
        </w:tc>
      </w:tr>
      <w:tr w:rsidR="00983732" w:rsidRPr="00A3026E" w14:paraId="69B33D54" w14:textId="77777777" w:rsidTr="00EA0DA7">
        <w:trPr>
          <w:trHeight w:val="226"/>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3632D7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рабочие</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5782091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437</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2A47F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474</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6BBDC1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w:t>
            </w:r>
          </w:p>
        </w:tc>
      </w:tr>
      <w:tr w:rsidR="00983732" w:rsidRPr="00A3026E" w14:paraId="5532E7A3" w14:textId="77777777" w:rsidTr="00EA0DA7">
        <w:trPr>
          <w:trHeight w:val="226"/>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1C44B6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ИТР</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1322D7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815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AA049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920</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322F21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r>
      <w:tr w:rsidR="00983732" w:rsidRPr="00A3026E" w14:paraId="7D655878" w14:textId="77777777" w:rsidTr="00EA0DA7">
        <w:trPr>
          <w:trHeight w:val="235"/>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1CED35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служащие</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532D2E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372</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0764A0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445</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3A76DF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19,6</w:t>
            </w:r>
          </w:p>
        </w:tc>
      </w:tr>
    </w:tbl>
    <w:p w14:paraId="33FFDC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этом заводская администрация, как правило, не упу</w:t>
      </w:r>
      <w:r w:rsidRPr="00A3026E">
        <w:rPr>
          <w:rFonts w:ascii="Times New Roman" w:hAnsi="Times New Roman"/>
          <w:color w:val="000000" w:themeColor="text1"/>
          <w:sz w:val="16"/>
          <w:szCs w:val="16"/>
        </w:rPr>
        <w:softHyphen/>
        <w:t>скала случая слегка словчить, чтобы дать возможность сотруд</w:t>
      </w:r>
      <w:r w:rsidRPr="00A3026E">
        <w:rPr>
          <w:rFonts w:ascii="Times New Roman" w:hAnsi="Times New Roman"/>
          <w:color w:val="000000" w:themeColor="text1"/>
          <w:sz w:val="16"/>
          <w:szCs w:val="16"/>
        </w:rPr>
        <w:softHyphen/>
        <w:t>никам своего предприятия несколько улучшить своё матери</w:t>
      </w:r>
      <w:r w:rsidRPr="00A3026E">
        <w:rPr>
          <w:rFonts w:ascii="Times New Roman" w:hAnsi="Times New Roman"/>
          <w:color w:val="000000" w:themeColor="text1"/>
          <w:sz w:val="16"/>
          <w:szCs w:val="16"/>
        </w:rPr>
        <w:softHyphen/>
        <w:t>альное положение. Неоднократно отмечались случаи, когда работу специально откладывали до вечера, когда её можно было провести в бухгалтерской отчётности как «сверхуроч</w:t>
      </w:r>
      <w:r w:rsidRPr="00A3026E">
        <w:rPr>
          <w:rFonts w:ascii="Times New Roman" w:hAnsi="Times New Roman"/>
          <w:color w:val="000000" w:themeColor="text1"/>
          <w:sz w:val="16"/>
          <w:szCs w:val="16"/>
        </w:rPr>
        <w:softHyphen/>
        <w:t>ные», причём эта практика стала распространяться и на ИТР. Выполнение основных обязанностей стало дополнительно оплачиваться как аккордные работы, например, технологи с зарплатой 800 руб. получали премии в 1000—2400 руб. за со</w:t>
      </w:r>
      <w:r w:rsidRPr="00A3026E">
        <w:rPr>
          <w:rFonts w:ascii="Times New Roman" w:hAnsi="Times New Roman"/>
          <w:color w:val="000000" w:themeColor="text1"/>
          <w:sz w:val="16"/>
          <w:szCs w:val="16"/>
        </w:rPr>
        <w:softHyphen/>
        <w:t xml:space="preserve">ставление технологии (ЦАОПИМ. Ф. 217.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96. Л. 164). Определённую роль в складывании системы дополнительных вознаграждений сыграла и заин</w:t>
      </w:r>
      <w:r w:rsidRPr="00A3026E">
        <w:rPr>
          <w:rFonts w:ascii="Times New Roman" w:hAnsi="Times New Roman"/>
          <w:color w:val="000000" w:themeColor="text1"/>
          <w:sz w:val="16"/>
          <w:szCs w:val="16"/>
        </w:rPr>
        <w:softHyphen/>
        <w:t>тересованность высшего руководства страны в скорейшем внедрении в серийное производство новых моделей авиатех</w:t>
      </w:r>
      <w:r w:rsidRPr="00A3026E">
        <w:rPr>
          <w:rFonts w:ascii="Times New Roman" w:hAnsi="Times New Roman"/>
          <w:color w:val="000000" w:themeColor="text1"/>
          <w:sz w:val="16"/>
          <w:szCs w:val="16"/>
        </w:rPr>
        <w:softHyphen/>
        <w:t>ники. Так, например, в 1939 г. Комитет обороны при СНК по</w:t>
      </w:r>
      <w:r w:rsidRPr="00A3026E">
        <w:rPr>
          <w:rFonts w:ascii="Times New Roman" w:hAnsi="Times New Roman"/>
          <w:color w:val="000000" w:themeColor="text1"/>
          <w:sz w:val="16"/>
          <w:szCs w:val="16"/>
        </w:rPr>
        <w:softHyphen/>
        <w:t>становил назначить за успешное внедрение в производство новых моделей следующие премии ведущим ИТР авиапред</w:t>
      </w:r>
      <w:r w:rsidRPr="00A3026E">
        <w:rPr>
          <w:rFonts w:ascii="Times New Roman" w:hAnsi="Times New Roman"/>
          <w:color w:val="000000" w:themeColor="text1"/>
          <w:sz w:val="16"/>
          <w:szCs w:val="16"/>
        </w:rPr>
        <w:softHyphen/>
        <w:t xml:space="preserve">приятий (РГАЭ. Ф. 8044. </w:t>
      </w:r>
      <w:r w:rsidRPr="00A3026E">
        <w:rPr>
          <w:rFonts w:ascii="Times New Roman" w:hAnsi="Times New Roman"/>
          <w:color w:val="000000" w:themeColor="text1"/>
          <w:sz w:val="16"/>
          <w:szCs w:val="16"/>
          <w:lang w:val="en-US"/>
        </w:rPr>
        <w:t xml:space="preserve">On. </w:t>
      </w:r>
      <w:r w:rsidRPr="00A3026E">
        <w:rPr>
          <w:rFonts w:ascii="Times New Roman" w:hAnsi="Times New Roman"/>
          <w:color w:val="000000" w:themeColor="text1"/>
          <w:sz w:val="16"/>
          <w:szCs w:val="16"/>
        </w:rPr>
        <w:t>1. Д. 133. Л. 175):</w:t>
      </w:r>
    </w:p>
    <w:tbl>
      <w:tblPr>
        <w:tblW w:w="0" w:type="auto"/>
        <w:tblInd w:w="8" w:type="dxa"/>
        <w:tblLayout w:type="fixed"/>
        <w:tblCellMar>
          <w:left w:w="0" w:type="dxa"/>
          <w:right w:w="0" w:type="dxa"/>
        </w:tblCellMar>
        <w:tblLook w:val="0000" w:firstRow="0" w:lastRow="0" w:firstColumn="0" w:lastColumn="0" w:noHBand="0" w:noVBand="0"/>
      </w:tblPr>
      <w:tblGrid>
        <w:gridCol w:w="4032"/>
        <w:gridCol w:w="1915"/>
      </w:tblGrid>
      <w:tr w:rsidR="00983732" w:rsidRPr="00A3026E" w14:paraId="41A5A99E" w14:textId="77777777" w:rsidTr="00EA0DA7">
        <w:trPr>
          <w:trHeight w:val="240"/>
        </w:trPr>
        <w:tc>
          <w:tcPr>
            <w:tcW w:w="4032" w:type="dxa"/>
            <w:tcBorders>
              <w:top w:val="single" w:sz="6" w:space="0" w:color="auto"/>
              <w:left w:val="single" w:sz="6" w:space="0" w:color="auto"/>
              <w:bottom w:val="single" w:sz="6" w:space="0" w:color="auto"/>
              <w:right w:val="single" w:sz="6" w:space="0" w:color="auto"/>
            </w:tcBorders>
            <w:shd w:val="clear" w:color="auto" w:fill="FFFFFF"/>
          </w:tcPr>
          <w:p w14:paraId="79BD92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директору завода</w:t>
            </w:r>
          </w:p>
        </w:tc>
        <w:tc>
          <w:tcPr>
            <w:tcW w:w="1915" w:type="dxa"/>
            <w:tcBorders>
              <w:top w:val="single" w:sz="6" w:space="0" w:color="auto"/>
              <w:left w:val="single" w:sz="6" w:space="0" w:color="auto"/>
              <w:bottom w:val="single" w:sz="6" w:space="0" w:color="auto"/>
              <w:right w:val="single" w:sz="6" w:space="0" w:color="auto"/>
            </w:tcBorders>
            <w:shd w:val="clear" w:color="auto" w:fill="FFFFFF"/>
          </w:tcPr>
          <w:p w14:paraId="78BB39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тыс. руб.</w:t>
            </w:r>
          </w:p>
        </w:tc>
      </w:tr>
      <w:tr w:rsidR="00983732" w:rsidRPr="00A3026E" w14:paraId="1A6F9416" w14:textId="77777777" w:rsidTr="00EA0DA7">
        <w:trPr>
          <w:trHeight w:val="226"/>
        </w:trPr>
        <w:tc>
          <w:tcPr>
            <w:tcW w:w="4032" w:type="dxa"/>
            <w:tcBorders>
              <w:top w:val="single" w:sz="6" w:space="0" w:color="auto"/>
              <w:left w:val="single" w:sz="6" w:space="0" w:color="auto"/>
              <w:bottom w:val="single" w:sz="6" w:space="0" w:color="auto"/>
              <w:right w:val="single" w:sz="6" w:space="0" w:color="auto"/>
            </w:tcBorders>
            <w:shd w:val="clear" w:color="auto" w:fill="FFFFFF"/>
          </w:tcPr>
          <w:p w14:paraId="0B68F0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главному конструктору завода</w:t>
            </w:r>
          </w:p>
        </w:tc>
        <w:tc>
          <w:tcPr>
            <w:tcW w:w="1915" w:type="dxa"/>
            <w:tcBorders>
              <w:top w:val="single" w:sz="6" w:space="0" w:color="auto"/>
              <w:left w:val="single" w:sz="6" w:space="0" w:color="auto"/>
              <w:bottom w:val="single" w:sz="6" w:space="0" w:color="auto"/>
              <w:right w:val="single" w:sz="6" w:space="0" w:color="auto"/>
            </w:tcBorders>
            <w:shd w:val="clear" w:color="auto" w:fill="FFFFFF"/>
          </w:tcPr>
          <w:p w14:paraId="53D12B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пк. руб.</w:t>
            </w:r>
          </w:p>
        </w:tc>
      </w:tr>
      <w:tr w:rsidR="00983732" w:rsidRPr="00A3026E" w14:paraId="3E370C9D" w14:textId="77777777" w:rsidTr="00EA0DA7">
        <w:trPr>
          <w:trHeight w:val="221"/>
        </w:trPr>
        <w:tc>
          <w:tcPr>
            <w:tcW w:w="4032" w:type="dxa"/>
            <w:tcBorders>
              <w:top w:val="single" w:sz="6" w:space="0" w:color="auto"/>
              <w:left w:val="single" w:sz="6" w:space="0" w:color="auto"/>
              <w:bottom w:val="single" w:sz="6" w:space="0" w:color="auto"/>
              <w:right w:val="single" w:sz="6" w:space="0" w:color="auto"/>
            </w:tcBorders>
            <w:shd w:val="clear" w:color="auto" w:fill="FFFFFF"/>
          </w:tcPr>
          <w:p w14:paraId="4590CB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пивному инженеру завода</w:t>
            </w:r>
          </w:p>
        </w:tc>
        <w:tc>
          <w:tcPr>
            <w:tcW w:w="1915" w:type="dxa"/>
            <w:tcBorders>
              <w:top w:val="single" w:sz="6" w:space="0" w:color="auto"/>
              <w:left w:val="single" w:sz="6" w:space="0" w:color="auto"/>
              <w:bottom w:val="single" w:sz="6" w:space="0" w:color="auto"/>
              <w:right w:val="single" w:sz="6" w:space="0" w:color="auto"/>
            </w:tcBorders>
            <w:shd w:val="clear" w:color="auto" w:fill="FFFFFF"/>
          </w:tcPr>
          <w:p w14:paraId="5ED576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 тыс. руб.</w:t>
            </w:r>
          </w:p>
        </w:tc>
      </w:tr>
      <w:tr w:rsidR="00983732" w:rsidRPr="00A3026E" w14:paraId="196E7C47" w14:textId="77777777" w:rsidTr="00EA0DA7">
        <w:trPr>
          <w:trHeight w:val="408"/>
        </w:trPr>
        <w:tc>
          <w:tcPr>
            <w:tcW w:w="4032" w:type="dxa"/>
            <w:tcBorders>
              <w:top w:val="single" w:sz="6" w:space="0" w:color="auto"/>
              <w:left w:val="single" w:sz="6" w:space="0" w:color="auto"/>
              <w:bottom w:val="single" w:sz="6" w:space="0" w:color="auto"/>
              <w:right w:val="single" w:sz="6" w:space="0" w:color="auto"/>
            </w:tcBorders>
            <w:shd w:val="clear" w:color="auto" w:fill="FFFFFF"/>
          </w:tcPr>
          <w:p w14:paraId="60EBB2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начальнику производства, начальнику серийно-производственного бюро, начальнику подготовки производства</w:t>
            </w:r>
          </w:p>
        </w:tc>
        <w:tc>
          <w:tcPr>
            <w:tcW w:w="1915" w:type="dxa"/>
            <w:tcBorders>
              <w:top w:val="single" w:sz="6" w:space="0" w:color="auto"/>
              <w:left w:val="single" w:sz="6" w:space="0" w:color="auto"/>
              <w:bottom w:val="single" w:sz="6" w:space="0" w:color="auto"/>
              <w:right w:val="single" w:sz="6" w:space="0" w:color="auto"/>
            </w:tcBorders>
            <w:shd w:val="clear" w:color="auto" w:fill="FFFFFF"/>
          </w:tcPr>
          <w:p w14:paraId="4D21816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оо 15 тае. руб.</w:t>
            </w:r>
          </w:p>
        </w:tc>
      </w:tr>
      <w:tr w:rsidR="00983732" w:rsidRPr="00A3026E" w14:paraId="4DD533AA" w14:textId="77777777" w:rsidTr="00EA0DA7">
        <w:trPr>
          <w:trHeight w:val="432"/>
        </w:trPr>
        <w:tc>
          <w:tcPr>
            <w:tcW w:w="4032" w:type="dxa"/>
            <w:tcBorders>
              <w:top w:val="single" w:sz="6" w:space="0" w:color="auto"/>
              <w:left w:val="single" w:sz="6" w:space="0" w:color="auto"/>
              <w:bottom w:val="single" w:sz="6" w:space="0" w:color="auto"/>
              <w:right w:val="single" w:sz="6" w:space="0" w:color="auto"/>
            </w:tcBorders>
            <w:shd w:val="clear" w:color="auto" w:fill="FFFFFF"/>
          </w:tcPr>
          <w:p w14:paraId="3EA26F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пивному диспетчеру, начальнику ОТК, начальнику отдела снабжеши</w:t>
            </w:r>
          </w:p>
        </w:tc>
        <w:tc>
          <w:tcPr>
            <w:tcW w:w="1915" w:type="dxa"/>
            <w:tcBorders>
              <w:top w:val="single" w:sz="6" w:space="0" w:color="auto"/>
              <w:left w:val="single" w:sz="6" w:space="0" w:color="auto"/>
              <w:bottom w:val="single" w:sz="6" w:space="0" w:color="auto"/>
              <w:right w:val="single" w:sz="6" w:space="0" w:color="auto"/>
            </w:tcBorders>
            <w:shd w:val="clear" w:color="auto" w:fill="FFFFFF"/>
          </w:tcPr>
          <w:p w14:paraId="78902B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10 тыс. руб.</w:t>
            </w:r>
          </w:p>
        </w:tc>
      </w:tr>
    </w:tbl>
    <w:p w14:paraId="072BE4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течением времени этот порядок был распространён и на низовое звено заводской администрации. Так, например, в январе 1941 г. замнаркома НКАП Баландин разрешил дирек</w:t>
      </w:r>
      <w:r w:rsidRPr="00A3026E">
        <w:rPr>
          <w:rFonts w:ascii="Times New Roman" w:hAnsi="Times New Roman"/>
          <w:color w:val="000000" w:themeColor="text1"/>
          <w:sz w:val="16"/>
          <w:szCs w:val="16"/>
        </w:rPr>
        <w:softHyphen/>
        <w:t>ции авиазавода № 22 на 1-й квартал 1941 г., с учётом необхо</w:t>
      </w:r>
      <w:r w:rsidRPr="00A3026E">
        <w:rPr>
          <w:rFonts w:ascii="Times New Roman" w:hAnsi="Times New Roman"/>
          <w:color w:val="000000" w:themeColor="text1"/>
          <w:sz w:val="16"/>
          <w:szCs w:val="16"/>
        </w:rPr>
        <w:softHyphen/>
        <w:t xml:space="preserve">димости освоения новой техники (В декабре 1940 г. завод прекратил производство бомбардировщиков СБ и начал выпуск самолётов Ар-2 и Пе-2), премировать мастеров при условии 100-процентного выполнения месячного плана (РГАЭ. Ф. 8044.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xml:space="preserve">. 1. Д. 684. Л. 16). При этом размер премий мог составить до 50 % оклада (РГАЭ. Ф. 8044. </w:t>
      </w:r>
      <w:r w:rsidRPr="00A3026E">
        <w:rPr>
          <w:rFonts w:ascii="Times New Roman" w:hAnsi="Times New Roman"/>
          <w:color w:val="000000" w:themeColor="text1"/>
          <w:sz w:val="16"/>
          <w:szCs w:val="16"/>
          <w:lang w:val="en-US"/>
        </w:rPr>
        <w:t>On</w:t>
      </w:r>
      <w:r w:rsidRPr="00A3026E">
        <w:rPr>
          <w:rFonts w:ascii="Times New Roman" w:hAnsi="Times New Roman"/>
          <w:color w:val="000000" w:themeColor="text1"/>
          <w:sz w:val="16"/>
          <w:szCs w:val="16"/>
        </w:rPr>
        <w:t>. 1. Д. 684. Л. 17). Таким об</w:t>
      </w:r>
      <w:r w:rsidRPr="00A3026E">
        <w:rPr>
          <w:rFonts w:ascii="Times New Roman" w:hAnsi="Times New Roman"/>
          <w:color w:val="000000" w:themeColor="text1"/>
          <w:sz w:val="16"/>
          <w:szCs w:val="16"/>
        </w:rPr>
        <w:softHyphen/>
        <w:t>разом, мастера получали премии только за то, что полностью выполняли плановые задания (12011).</w:t>
      </w:r>
    </w:p>
    <w:p w14:paraId="39DDE0B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00216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ЦАГИ на базе НИО была организована лаборатория по авиавооружению под руководством А.Д.Маркуса и др. (85,436).</w:t>
      </w:r>
    </w:p>
    <w:p w14:paraId="3B13228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82103D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А.И. Привалов и М.П. Дрязгов (до прихода на завод №468 он был начальником расчетно-теоретического бюро РНИИ и зани</w:t>
      </w:r>
      <w:r w:rsidRPr="00A3026E">
        <w:rPr>
          <w:rFonts w:ascii="Times New Roman" w:hAnsi="Times New Roman"/>
          <w:color w:val="000000" w:themeColor="text1"/>
          <w:sz w:val="16"/>
          <w:szCs w:val="16"/>
        </w:rPr>
        <w:softHyphen/>
        <w:t>мался твердотопливными реактивны</w:t>
      </w:r>
      <w:r w:rsidRPr="00A3026E">
        <w:rPr>
          <w:rFonts w:ascii="Times New Roman" w:hAnsi="Times New Roman"/>
          <w:color w:val="000000" w:themeColor="text1"/>
          <w:sz w:val="16"/>
          <w:szCs w:val="16"/>
        </w:rPr>
        <w:softHyphen/>
        <w:t>ми двигателями и ракетами) предста</w:t>
      </w:r>
      <w:r w:rsidRPr="00A3026E">
        <w:rPr>
          <w:rFonts w:ascii="Times New Roman" w:hAnsi="Times New Roman"/>
          <w:color w:val="000000" w:themeColor="text1"/>
          <w:sz w:val="16"/>
          <w:szCs w:val="16"/>
        </w:rPr>
        <w:softHyphen/>
        <w:t>вили «ракетный парашют» в отдел изобретений Наркомата обороны на предмет получения авторского сви</w:t>
      </w:r>
      <w:r w:rsidRPr="00A3026E">
        <w:rPr>
          <w:rFonts w:ascii="Times New Roman" w:hAnsi="Times New Roman"/>
          <w:color w:val="000000" w:themeColor="text1"/>
          <w:sz w:val="16"/>
          <w:szCs w:val="16"/>
        </w:rPr>
        <w:softHyphen/>
        <w:t>детельства. Суть изобретения заклю</w:t>
      </w:r>
      <w:r w:rsidRPr="00A3026E">
        <w:rPr>
          <w:rFonts w:ascii="Times New Roman" w:hAnsi="Times New Roman"/>
          <w:color w:val="000000" w:themeColor="text1"/>
          <w:sz w:val="16"/>
          <w:szCs w:val="16"/>
        </w:rPr>
        <w:softHyphen/>
        <w:t>чалась в том, что десантируемый груз спускался на небольшом пара</w:t>
      </w:r>
      <w:r w:rsidRPr="00A3026E">
        <w:rPr>
          <w:rFonts w:ascii="Times New Roman" w:hAnsi="Times New Roman"/>
          <w:color w:val="000000" w:themeColor="text1"/>
          <w:sz w:val="16"/>
          <w:szCs w:val="16"/>
        </w:rPr>
        <w:softHyphen/>
        <w:t>шюте, а перед приземлением вклю</w:t>
      </w:r>
      <w:r w:rsidRPr="00A3026E">
        <w:rPr>
          <w:rFonts w:ascii="Times New Roman" w:hAnsi="Times New Roman"/>
          <w:color w:val="000000" w:themeColor="text1"/>
          <w:sz w:val="16"/>
          <w:szCs w:val="16"/>
        </w:rPr>
        <w:softHyphen/>
        <w:t>чался реактивный (ракетный) двига</w:t>
      </w:r>
      <w:r w:rsidRPr="00A3026E">
        <w:rPr>
          <w:rFonts w:ascii="Times New Roman" w:hAnsi="Times New Roman"/>
          <w:color w:val="000000" w:themeColor="text1"/>
          <w:sz w:val="16"/>
          <w:szCs w:val="16"/>
        </w:rPr>
        <w:softHyphen/>
        <w:t>тель, значительно уменьшавший скорость снижения. Одной из выгод этого решения было уменьшение об</w:t>
      </w:r>
      <w:r w:rsidRPr="00A3026E">
        <w:rPr>
          <w:rFonts w:ascii="Times New Roman" w:hAnsi="Times New Roman"/>
          <w:color w:val="000000" w:themeColor="text1"/>
          <w:sz w:val="16"/>
          <w:szCs w:val="16"/>
        </w:rPr>
        <w:softHyphen/>
        <w:t>щих размеров и массы системы де</w:t>
      </w:r>
      <w:r w:rsidRPr="00A3026E">
        <w:rPr>
          <w:rFonts w:ascii="Times New Roman" w:hAnsi="Times New Roman"/>
          <w:color w:val="000000" w:themeColor="text1"/>
          <w:sz w:val="16"/>
          <w:szCs w:val="16"/>
        </w:rPr>
        <w:softHyphen/>
        <w:t>сантирования, особенно для тяже</w:t>
      </w:r>
      <w:r w:rsidRPr="00A3026E">
        <w:rPr>
          <w:rFonts w:ascii="Times New Roman" w:hAnsi="Times New Roman"/>
          <w:color w:val="000000" w:themeColor="text1"/>
          <w:sz w:val="16"/>
          <w:szCs w:val="16"/>
        </w:rPr>
        <w:softHyphen/>
        <w:t>лых грузов, требовавших крупнога</w:t>
      </w:r>
      <w:r w:rsidRPr="00A3026E">
        <w:rPr>
          <w:rFonts w:ascii="Times New Roman" w:hAnsi="Times New Roman"/>
          <w:color w:val="000000" w:themeColor="text1"/>
          <w:sz w:val="16"/>
          <w:szCs w:val="16"/>
        </w:rPr>
        <w:softHyphen/>
        <w:t>баритных и тяжелых хлопчатобу</w:t>
      </w:r>
      <w:r w:rsidRPr="00A3026E">
        <w:rPr>
          <w:rFonts w:ascii="Times New Roman" w:hAnsi="Times New Roman"/>
          <w:color w:val="000000" w:themeColor="text1"/>
          <w:sz w:val="16"/>
          <w:szCs w:val="16"/>
        </w:rPr>
        <w:softHyphen/>
        <w:t>мажных парашютов. Несмотря на отказ в выдаче сви</w:t>
      </w:r>
      <w:r w:rsidRPr="00A3026E">
        <w:rPr>
          <w:rFonts w:ascii="Times New Roman" w:hAnsi="Times New Roman"/>
          <w:color w:val="000000" w:themeColor="text1"/>
          <w:sz w:val="16"/>
          <w:szCs w:val="16"/>
        </w:rPr>
        <w:softHyphen/>
        <w:t>детельства, авторы продолжили свои работы: вначале в Бескудниково, а после эвакуации - в Билимбае и на аэродроме Кольцове под Свердловс</w:t>
      </w:r>
      <w:r w:rsidRPr="00A3026E">
        <w:rPr>
          <w:rFonts w:ascii="Times New Roman" w:hAnsi="Times New Roman"/>
          <w:color w:val="000000" w:themeColor="text1"/>
          <w:sz w:val="16"/>
          <w:szCs w:val="16"/>
        </w:rPr>
        <w:softHyphen/>
        <w:t>ком. Для первого опытного десанти</w:t>
      </w:r>
      <w:r w:rsidRPr="00A3026E">
        <w:rPr>
          <w:rFonts w:ascii="Times New Roman" w:hAnsi="Times New Roman"/>
          <w:color w:val="000000" w:themeColor="text1"/>
          <w:sz w:val="16"/>
          <w:szCs w:val="16"/>
        </w:rPr>
        <w:softHyphen/>
        <w:t>рования груза массой 100 кг исполь</w:t>
      </w:r>
      <w:r w:rsidRPr="00A3026E">
        <w:rPr>
          <w:rFonts w:ascii="Times New Roman" w:hAnsi="Times New Roman"/>
          <w:color w:val="000000" w:themeColor="text1"/>
          <w:sz w:val="16"/>
          <w:szCs w:val="16"/>
        </w:rPr>
        <w:softHyphen/>
        <w:t>зовались ракетные двигатели авиа</w:t>
      </w:r>
      <w:r w:rsidRPr="00A3026E">
        <w:rPr>
          <w:rFonts w:ascii="Times New Roman" w:hAnsi="Times New Roman"/>
          <w:color w:val="000000" w:themeColor="text1"/>
          <w:sz w:val="16"/>
          <w:szCs w:val="16"/>
        </w:rPr>
        <w:softHyphen/>
        <w:t>ционного реактивного снаряда РС-132, применяемые в пакетах по два и три. Проводя эксперименты, Привалов и Дрязгов разрабатывали и теорию ракетного парашюта. По</w:t>
      </w:r>
      <w:r w:rsidRPr="00A3026E">
        <w:rPr>
          <w:rFonts w:ascii="Times New Roman" w:hAnsi="Times New Roman"/>
          <w:color w:val="000000" w:themeColor="text1"/>
          <w:sz w:val="16"/>
          <w:szCs w:val="16"/>
        </w:rPr>
        <w:softHyphen/>
        <w:t>лученный в 1942 г. результат расчета на надежность доказал целесообраз</w:t>
      </w:r>
      <w:r w:rsidRPr="00A3026E">
        <w:rPr>
          <w:rFonts w:ascii="Times New Roman" w:hAnsi="Times New Roman"/>
          <w:color w:val="000000" w:themeColor="text1"/>
          <w:sz w:val="16"/>
          <w:szCs w:val="16"/>
        </w:rPr>
        <w:softHyphen/>
        <w:t>ность дальнейших исследований в этом направлении (11752).</w:t>
      </w:r>
    </w:p>
    <w:p w14:paraId="559D24A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0894C4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1940 на вооружение приняли и РПК-10А Чаенок, который вместе с РПК-2 Чайка использовались в войну (172,26).</w:t>
      </w:r>
    </w:p>
    <w:p w14:paraId="4E54C91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5B43C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1940 г. строился Завод № 281 НКАП /г. Куйбышев/ как дублер завода № 339 для производства моторных агрегатов (сначала именовался завод № 339бис). В конце 1941 г. новостройка завода влита в состав завода № 24 НКАП (11982).</w:t>
      </w:r>
    </w:p>
    <w:p w14:paraId="0E8C263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1A3AF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1940 г. строился Завод № 282 НКАП, Завод «Аремз» /г.Уфа/ как дублер завода № 266 НКАП.</w:t>
      </w:r>
    </w:p>
    <w:p w14:paraId="6F8BDF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1050сс от 8.10.1941 г. на площадку строительства завода № 282 4ГУ НКАП (авторемонтного завода «Аремз») эвакуирован из Москвы завод № 161 НКАП и продолжена его деятельность по производству авиасвечей. Сюда же эвакуирован ряд других заводов. Далее в конце 1941 г. заводы № 26, № 234, № 338, № 384, № 451 и № 282 НКАП были слиты в единый завод № 26 НКАП, расположившийся на площадках заводов № 384 и № 282. Завод № 282 с 11.1941 г. выбыл из списков действующих (11982).</w:t>
      </w:r>
    </w:p>
    <w:p w14:paraId="63F9B6A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DE08A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строился Завод № 377 НКАП /г. Куйбышев ст. Безымянка/ как моторный завод. В 1941 г. влит в состав единого завода № 24 (11982).</w:t>
      </w:r>
    </w:p>
    <w:p w14:paraId="2A235B9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97E64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 системе 4ГУ НКАП был образован и начал строиться как дублер завода № 20 Завод № 283 НКАП /г. Ульяновск/.</w:t>
      </w:r>
    </w:p>
    <w:p w14:paraId="70ED49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конце 1941 г. на площадку строящегося завода № 283 эвакуирован завод № 25 НКАП. Строительство шло медленно, и эвакуированный завод несколько месяцев бездействовал из-за невозможности размещения прибывшего оборудования. В результате объединения по приказу № 69с от 26.01.1942 г. образован единый завод № 25 НКАП.</w:t>
      </w:r>
    </w:p>
    <w:p w14:paraId="5A1D8B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(08.1941 г.)-Афанасьев (11982).</w:t>
      </w:r>
    </w:p>
    <w:p w14:paraId="3A8E0D0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69721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 Ульяновске началось строительство Завода № 285 НКАП /г. Горький/ как завода № 34бис по производству радиаторов. В 04.1941 г. строительство перенесено в Горький, завод получил № 285 НКАП. Являлся дублером завода № 34 по производству радиаторов.</w:t>
      </w:r>
    </w:p>
    <w:p w14:paraId="1EF9C3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1072сс от 15.10.1941 г. на площадку строящегося завода эвакуирован завод № 469 НКАП, в результате объединениея двух заводов образован единый радиаторный завод № 469 НКАП.</w:t>
      </w:r>
    </w:p>
    <w:p w14:paraId="6EBF2E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(-10.1941 г.)- Ф.П. Коробейников.</w:t>
      </w:r>
    </w:p>
    <w:p w14:paraId="376939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(-10.1941 г.)- А.П. Плетников (11982).</w:t>
      </w:r>
    </w:p>
    <w:p w14:paraId="5ACBF32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D3C8E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был образован и начал строиться Завод № 286 НКАП, Каменск-Уральский литейный завод (КУЛЗ), ОАО «КУЛЗ» РАКА /623405  г. Каменск-Уральский Свердловской обл. ул. Заводская, 5/ /623428  г. Каменск-Уральский Свердловской обл. ул. Рябова, 6 тел. 33-97-22 (2004 г.)как завод № 120бис, затем получил № 286 2ГУ НКАП. Являлся дублером завода № 120 по производству авиационных колес.</w:t>
      </w:r>
    </w:p>
    <w:p w14:paraId="773EB0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1053сс от 9.10.1941 г. в  г. Каменск Челябинской обл. на площадку строящегося завода № 286 2ГУ НКАП эвакуирована часть завода № 120 НКАП (в т.ч. испытательная станция с личным составом). По приказу № 1079с от 26.10.1941 г. часть завода № 120 и завод № 286 слиты в единый завод № 120, а часть завода в Нижнем Тагиле действовала как филиал завода № 120. По приказу № 1183с от 23.12.1941 г. филиал в Нижнем Тагиле получил статус основного и наименование завод № 120 НКАП, а завод в Каменске, наоборот, стал филиалом.</w:t>
      </w:r>
    </w:p>
    <w:p w14:paraId="3B1464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649 от 9.09.1941 г. в Каменск-Уральский был полностью эвакуирован Волховский алюминиевый завод НКЦМ, где находился до 1945 г.</w:t>
      </w:r>
    </w:p>
    <w:p w14:paraId="186EED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целью расширения производства колес по приказу № 91с от 1.02.1942 г. филиал завода в Каменске преобразован в самостоятельный завод № 286 НКАП.</w:t>
      </w:r>
    </w:p>
    <w:p w14:paraId="72AC21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приказам № 92с от 12.02.1943 г. и № 735с от 8.12.1943 г. с завода № 286 НКАП в ОКБ завода № 219 НКАП переведена большая группа ИТР и рабочих, а также оборудование.</w:t>
      </w:r>
    </w:p>
    <w:p w14:paraId="509F65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годы ВОВ- производство колес для ЛаГГ-3, Як-3, ПС-84, ДБ-ЗФ, Пе-2, У-2. В начале 1945 г. пущено прокатное производство.</w:t>
      </w:r>
    </w:p>
    <w:p w14:paraId="0E126E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НКАП № 435с от 12.11.1945 г. основная часть оборудования и личного состава (80 чел.) завода № 120 НКАП переведена в Каменск-Уральский и влита в состав завода № 286 НКАП. По приказу № 280с от 7.05.1946 г. завод передан из 2ГУ в 9ГУ.</w:t>
      </w:r>
    </w:p>
    <w:p w14:paraId="741D61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базе цеха завода № 286 НКАП по приказу № 715сс от 10.09.1949 г. вновь образован с 1.08.1949 г. самостоятельный завод № 379 17ГУ НКАП.</w:t>
      </w:r>
    </w:p>
    <w:p w14:paraId="263ADE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СМ СССР № 713-342 от 26.06.1957 г. передан в ведение СНХ РСФСР.</w:t>
      </w:r>
    </w:p>
    <w:p w14:paraId="3B7415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1994 г. КУЛЗ преобразован в ОАО. С 1998 г. - в ведении РАКА.</w:t>
      </w:r>
    </w:p>
    <w:p w14:paraId="6F610D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(1996 г.): полуфабрикаты из алюминиевых, магниевых, алюминиево-литиевых сплавов; агрегаты гидросистем, топливных систем (демпферы, дозаторы, дроссели, регуляторы давления, редукторы); колеса шасси; алюминиевые трубы, топливные баки, провода; гофрированные профили; вентили, клапаны, краны.</w:t>
      </w:r>
    </w:p>
    <w:p w14:paraId="79433CA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Предприятие имеет производства (2004 г.): литейное, механическое, точной механики, сборочное, металлокерамическое, модельное, гальваническое, резино-техническое, кузнечно-прессовое.</w:t>
      </w:r>
    </w:p>
    <w:p w14:paraId="237AD3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3A1545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Директор (1942 г.)- Е.М. Гарницкий, (-07.1942-02.1943 г.-)- А.Ф. Клементьев, (-08-09.1943 г.-)- Черняев. Гендиректор (середина 1990-х  г.)- М.И. Шляпников, (1996 г.)- Б.И. Пасынков, (2001 г.)- А.В. Барабанов.</w:t>
      </w:r>
    </w:p>
    <w:p w14:paraId="5D16C3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агрегаты гидросистем, топливных систем и колес шасси, ПУ-7, ПУ-8 (1947-); колеса КТ-89 для Су-9 (1960), КТ-117, КТ-92, КТ-100А; автомобильные алюминиевые диски колес (2004), газовая аппаратура (регуляторы давления, защитные устройства, редукторы, краны, клапаны (11982).</w:t>
      </w:r>
    </w:p>
    <w:p w14:paraId="4D601DE0" w14:textId="77777777" w:rsidR="006B3E48" w:rsidRPr="00A3026E" w:rsidRDefault="006B3E48" w:rsidP="00A3026E">
      <w:pPr>
        <w:spacing w:after="0" w:line="240" w:lineRule="auto"/>
        <w:jc w:val="both"/>
        <w:rPr>
          <w:rFonts w:ascii="Times New Roman" w:hAnsi="Times New Roman"/>
          <w:color w:val="000000" w:themeColor="text1"/>
          <w:sz w:val="16"/>
          <w:szCs w:val="16"/>
        </w:rPr>
      </w:pPr>
    </w:p>
    <w:p w14:paraId="7B66E9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 системе 5ГУ в  г. Тарту. был образован Завод № 382 НКАП /Эстония  г. Тарту;  г. Владимир/. Приборостроение.</w:t>
      </w:r>
    </w:p>
    <w:p w14:paraId="361E65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началом войны завод № 382 5ГУ НКАП эвакуирован во Владимир. По приказу № 894сс от 22.08.1941 г. завод из Владимира эвакуирован в Свердловск на площади клуба им. Профинтерна. Туда же эвакуированы заводы № 214 и № 155 5ГУ НКАП. По приказу № 1120сс от 14.11.1941 г. три завода объединены в единый завод №214 НКАП. Завод № 382 выбыл из числа действующих.</w:t>
      </w:r>
    </w:p>
    <w:p w14:paraId="473794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площадке эвакуированного завода № 382 по приказу НКАП № 483с от 13.12.1944 г. образован завод № 89 НКАП.</w:t>
      </w:r>
    </w:p>
    <w:p w14:paraId="3A4AAB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Москве на площадке эвакуированного завода «Точизмеритель» им. Молотова с конца 1941 г. действовал его филиал. На его базе в соответствии с решением ГКО № 1543сс от 5.04.1942 г. и приказом № 269сс от 10.04.1942 г. образован новый завод № 382 НКАП для,возобновления производства авиационных стекол и термометров.</w:t>
      </w:r>
    </w:p>
    <w:p w14:paraId="5DB39B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605сс от 23.10.1944 г. передан из 5ГУ в 17ГУ НКАП с 1.10.1944 г. Начался выпуск электровакуумных приборов, в т.ч. для РПБ «Кобальт», магнетронов. Далее опять в 5ГУ, с 1.01.1950 г. передан из 5ГУ в 17ГУ. С 1.10.1950 г. в соответствии с пост. СМ № 4244-1907сс от 11.10.1950 г. и приказом № 836сс от 19.10.1950 г. завод № 382 передан в МПСС.</w:t>
      </w:r>
    </w:p>
    <w:p w14:paraId="4E5FE6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1947 г. начат выпуск СВЧ-приборов. В 1972 г. освоен выпуск бытовых микроволновых печей.</w:t>
      </w:r>
    </w:p>
    <w:p w14:paraId="501393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«Измеритель» в 1960 г. - в ведении ГКЭТ. В 1972 г. переименован в завод «Плутон» МЭП, имел наименование «п/я В-2239», ПО «Плутон» имело наименование «п/я Ю-9395».</w:t>
      </w:r>
    </w:p>
    <w:p w14:paraId="1A0333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1992 г. ГП «Плутон» преобразовано в АООТ (зарегистрировано 30.04.1993 г.), а затем - в ОАО «Плутон».</w:t>
      </w:r>
    </w:p>
    <w:p w14:paraId="07E1F1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20149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Производство (2000-е): электровакуумные приборы СВЧ для аппаратуры связи и управления.</w:t>
      </w:r>
    </w:p>
    <w:p w14:paraId="066A8A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Директор (-08.1942-10.1943 г.-)- И.А. Живописцев. Гендиректор (1990-е)- </w:t>
      </w:r>
      <w:r w:rsidRPr="00A3026E">
        <w:rPr>
          <w:rFonts w:ascii="Times New Roman" w:hAnsi="Times New Roman"/>
          <w:color w:val="000000" w:themeColor="text1"/>
          <w:sz w:val="16"/>
          <w:szCs w:val="16"/>
          <w:lang w:val="en-US"/>
        </w:rPr>
        <w:t>B</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C</w:t>
      </w:r>
      <w:r w:rsidRPr="00A3026E">
        <w:rPr>
          <w:rFonts w:ascii="Times New Roman" w:hAnsi="Times New Roman"/>
          <w:color w:val="000000" w:themeColor="text1"/>
          <w:sz w:val="16"/>
          <w:szCs w:val="16"/>
        </w:rPr>
        <w:t>. Лобачев. Внешний управляющий (2000 г.)- В.П. Минаев.</w:t>
      </w:r>
    </w:p>
    <w:p w14:paraId="404987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(1946 г.)- В.А. Абрамович.</w:t>
      </w:r>
    </w:p>
    <w:p w14:paraId="5FCE89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Научный руководитель (1962-95 г.)- </w:t>
      </w:r>
      <w:r w:rsidRPr="00A3026E">
        <w:rPr>
          <w:rFonts w:ascii="Times New Roman" w:hAnsi="Times New Roman"/>
          <w:color w:val="000000" w:themeColor="text1"/>
          <w:sz w:val="16"/>
          <w:szCs w:val="16"/>
          <w:lang w:val="en-US"/>
        </w:rPr>
        <w:t>JI</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 Семенов.</w:t>
      </w:r>
    </w:p>
    <w:p w14:paraId="11744C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Начальники отделов: (1961-62 г.)- </w:t>
      </w:r>
      <w:r w:rsidRPr="00A3026E">
        <w:rPr>
          <w:rFonts w:ascii="Times New Roman" w:hAnsi="Times New Roman"/>
          <w:color w:val="000000" w:themeColor="text1"/>
          <w:sz w:val="16"/>
          <w:szCs w:val="16"/>
          <w:lang w:val="en-US"/>
        </w:rPr>
        <w:t>JI</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 Семенов.</w:t>
      </w:r>
    </w:p>
    <w:p w14:paraId="3598FC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Начальники лабораторий: (1960-61 г.)- </w:t>
      </w:r>
      <w:r w:rsidRPr="00A3026E">
        <w:rPr>
          <w:rFonts w:ascii="Times New Roman" w:hAnsi="Times New Roman"/>
          <w:color w:val="000000" w:themeColor="text1"/>
          <w:sz w:val="16"/>
          <w:szCs w:val="16"/>
          <w:lang w:val="en-US"/>
        </w:rPr>
        <w:t>JI</w:t>
      </w:r>
      <w:r w:rsidRPr="00A3026E">
        <w:rPr>
          <w:rFonts w:ascii="Times New Roman" w:hAnsi="Times New Roman"/>
          <w:color w:val="000000" w:themeColor="text1"/>
          <w:sz w:val="16"/>
          <w:szCs w:val="16"/>
        </w:rPr>
        <w:t>.</w:t>
      </w:r>
      <w:r w:rsidRPr="00A3026E">
        <w:rPr>
          <w:rFonts w:ascii="Times New Roman" w:hAnsi="Times New Roman"/>
          <w:color w:val="000000" w:themeColor="text1"/>
          <w:sz w:val="16"/>
          <w:szCs w:val="16"/>
          <w:lang w:val="en-US"/>
        </w:rPr>
        <w:t>A</w:t>
      </w:r>
      <w:r w:rsidRPr="00A3026E">
        <w:rPr>
          <w:rFonts w:ascii="Times New Roman" w:hAnsi="Times New Roman"/>
          <w:color w:val="000000" w:themeColor="text1"/>
          <w:sz w:val="16"/>
          <w:szCs w:val="16"/>
        </w:rPr>
        <w:t>. Семенов.</w:t>
      </w:r>
    </w:p>
    <w:p w14:paraId="49089B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термометры (1942-46-), оптические приборы (1942-); запал ГИА-2 для зажигательных бутылок (ВОВ).</w:t>
      </w:r>
    </w:p>
    <w:p w14:paraId="6A4D5D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ОКБ-382 НКАП, МАП, МПСС /г. Москва/</w:t>
      </w:r>
    </w:p>
    <w:p w14:paraId="350F0E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Особое КБ-382 вновь образовалось в системе 17ГУ при заводе № 382 МАП по приказу № 247с от 26.04.1946 г. Работы по созданию электровакуумных приборов (магнетроны, элементная база).</w:t>
      </w:r>
    </w:p>
    <w:p w14:paraId="1DBDC2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1949 г. передано в 5ГУ МАП, с 1.01.1950 г. передано обратно из 5ГУ в 17ГУ МАП. В соответствии с пост. СМ № 4244-1907сс от 11.10.1950 г. и приказом МАП № 836сс от 19.10.1950 г. ОКБ с 1.10.1950 г. передано в систему МПСС. Было в 1960 г.</w:t>
      </w:r>
    </w:p>
    <w:p w14:paraId="13E6AD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(04.1946 г.-)- А.И. Симаков.</w:t>
      </w:r>
    </w:p>
    <w:p w14:paraId="13AA4D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конструктор- А.И. Симаков (11982).</w:t>
      </w:r>
    </w:p>
    <w:p w14:paraId="0773197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5A439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основе опыта дальнебомбардировочного полка, укомплектованного опытными пилотами, полученного в Финляндии в 1940 были разработаны система бортового и наземного оборудования, программы подготовки летного состава для полетов в сложных метеорологических условиях и новое наставление по штурманской службе (НШС-40) (341,19).</w:t>
      </w:r>
    </w:p>
    <w:p w14:paraId="6845871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E5BCC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были начаты работы по созданию самолетных радиолокационных станций в Специальном научно-исследовательском институте (СНИИ) по предложению НИИ ВВС и велись в двух направлениях. Первое, инициатором которого был А.Б. Слепушкин, базировалось на использовании дециметрового диапазона волн (15-16 см), поскольку это давало возможность создать аппаратуру с меньшими габаритами и весом и большей точностью обнаружения. Разработка получила шифр "Гнейс-1". Однако с началом войны и прекращением разработки и изготовления необходимой аппаратуры (генераторных ламп - клистронов) работы по созданию РЛС "Гнейс-1" были свернуты.</w:t>
      </w:r>
    </w:p>
    <w:p w14:paraId="32D279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Второе направление, возглавляемое В В. Тихомировым, базировалось на использовании метровых волн, как наиболее освоенных промышленностью. Преодолев серьезные инженерные трудности при разработке станции и размещении ее на самолете, к середине 1942 года этот коллектив изготовил опытный образец РЛС "Гнейс-2". Государственные испытания станции, установленной на самолете Пе-2, прошли успешно в июле того же года, а войсковые испытания в ВВС РККА - в феврале-мае 1943 г., после чего постановлением ГКО от 16.6.1943 ее приняли на вооружение. Параллельно в НИИ ВВС отработали вариант монтажа станции на самолете А-20. В дальнейшем именно на этом типе самолетов была сформирована 56-я авиационная дивизия истребителей дальнего действия, имевшая главной задачей ночной перехват немецких бомбардировщиков при ПВО важных объектов (12002).</w:t>
      </w:r>
    </w:p>
    <w:p w14:paraId="4F89C4D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351F9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был образован Завод алюминиевого литья при 6ГУ (Завод № 484 НКАП /г. Верх-Нейвинск Свердловской обл./), строительство начато в начале 1941 г. Заводу выделена территория площадью 389 га. По приказу № 240с от 18.03.1941 г. завод передан в 9ГУ НКАП.</w:t>
      </w:r>
    </w:p>
    <w:p w14:paraId="2ADC70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1941 г. на площадку строящегося завода № 484 11ГУ НКАП эвакуирован литейный завод № 485 НКАП и влит в его состав.</w:t>
      </w:r>
    </w:p>
    <w:p w14:paraId="65DD34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Корпуса завода построены в 1943 г. Т.к. завод проектировался под немецкое оборудование (которое, естественно не поступило), он не был пущен.</w:t>
      </w:r>
    </w:p>
    <w:p w14:paraId="72230E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соответствии с пост. ГКО № 4290с от 8.10.1943 г. и приказом № 746с от 13.12.1943 г. для улучшения производственно-бытовых условий работы на площадку завода № 484 весной 1944 г. был переведен из Березовска завод № 261 НКАП. Оба завода были объединены в ГС завод № 261 2ГУ НКАП. Завод № 484 выбыл из числа действующих (11982).</w:t>
      </w:r>
    </w:p>
    <w:p w14:paraId="45FF532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F2642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был образован Завод по алюминиевому литью (Завод № 485 НКАП /Украина  г. Кременчуг Полтавской обл./). По приказу № 240с от 18.03.1941 г. передан в 9ГУ НКАП.</w:t>
      </w:r>
    </w:p>
    <w:p w14:paraId="29CC7D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началом войны эвакуирован и влит в состав завода № 484 НКАП (11982).</w:t>
      </w:r>
    </w:p>
    <w:p w14:paraId="24F9FBB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53A85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 системе 9ГУ был образован и начал строиться в начале 1941 г. Завод № 486 НКАП /г. Орел/ для производства электронного литья. По приказу № 240с от 18.03.1941 г. завод передан в 9ГУ НКАП. В 1941 г. влит в состав завода № 268 НКАП (11982).</w:t>
      </w:r>
    </w:p>
    <w:p w14:paraId="5129202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1C2CA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 за 1940 г. в ГВФ поступило около 100 экземпляров ПС-40 и ПС-41. Их распределение и бортовые номера выглядели следующим образом:</w:t>
      </w:r>
    </w:p>
    <w:p w14:paraId="18D832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НИИ ГВФ - ПС-41 СССР-Л3533;</w:t>
      </w:r>
    </w:p>
    <w:p w14:paraId="391A52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ЛИИ ГВФ - ПС-41 СССР-Л3503;</w:t>
      </w:r>
    </w:p>
    <w:p w14:paraId="41DA06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Летный центр ГУ ГВФ - ПС-41 СССР- Л3517;</w:t>
      </w:r>
    </w:p>
    <w:p w14:paraId="64357F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Курсы высшей летной подготовки получили 10 самолетов. Из них - 1 ПС-41 СССР-Л3529 и 9 ПС-40: СССР-Т468, СССР-Т469, СССР-Т470, СССР-Т471, СССР-Т472, СССР-Т473, СССР-Т476, СССР-Т480, СССР-Т481;</w:t>
      </w:r>
    </w:p>
    <w:p w14:paraId="735909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Эскадрилья Особого назначения - ПС- 41 СССР-Л3502;</w:t>
      </w:r>
    </w:p>
    <w:p w14:paraId="39C652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Северное Управление ГВФ (в основном обслуживало линию Москва-Ленинград) - ПС-41 СССР-Л3504, СССР-Л3505, СССР- Л3506, СССР-Л3507;</w:t>
      </w:r>
    </w:p>
    <w:p w14:paraId="086039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Московское Управление ГВФ (все направления из Москвы) - ПС-41 СССР- Л3525, СССР-Л3541, СССР-Л3534, СССР- </w:t>
      </w:r>
    </w:p>
    <w:p w14:paraId="6E9D23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Л3515, СССР-Л3520, СССР-Л3522, СССР- Л3530, СССР-Л3544, СССР-Т3518;</w:t>
      </w:r>
    </w:p>
    <w:p w14:paraId="1D69E2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Грузинское Управление ГВФ (линия Москва-Тбилиси) - ПС-41 СССР-Л3508, СССР-Л3509, СССР-Л3516, СССР-Л3526, СССР-Л3540, СССР-Л3542;</w:t>
      </w:r>
    </w:p>
    <w:p w14:paraId="0221CE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Азово-Черноморское Управление ГВФ (линия Москва-Ростов) - ПС-41 СССР- Л3519, СССР-Л3521, СССР-Л3531, СССР- Л3535, СССР-Л3536, СССР-Л3537, СССР- Т477, СССР-Т482;</w:t>
      </w:r>
    </w:p>
    <w:p w14:paraId="65E940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Узбекское Управление ГВФ (линия Ташкент-Ургенч) - ПС-41 СССР-Л3523, СССР- Л3524, СССР-Л3528,, СССР-Л3538;</w:t>
      </w:r>
    </w:p>
    <w:p w14:paraId="406302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Управление воздушной магистрали Москва-Иркутск - ПС-41 СССР-Л3500, СССР-Л3501, СССР-Л3532, СССР-Л3539;</w:t>
      </w:r>
    </w:p>
    <w:p w14:paraId="316EFD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Дальне-Восточное Управление ГВФ (линия Иркутск-Владивосток) - ПС-40 (с двигателями М-103) СССР-Л2784, ПС-41 СССР-Л3510, СССР-Л3511, СССР-Л3512, СССР-Л3513, СССР-Т475;</w:t>
      </w:r>
    </w:p>
    <w:p w14:paraId="09F9B3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Тамбовская школа ГВФ - ПС-40 (2М- 100А) СССР-Ш1650 - Ш1672 (23 экземпляра), СССР-Ш1673 - Ш1678 (6 экземпляров), СССР-Ш1682 - Ш1688 (7 экземпляров), СССР-Ш1689 -Ш1693 (5 экземпляров).</w:t>
      </w:r>
    </w:p>
    <w:p w14:paraId="4B568E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 стал первым годом массового использования ПС-40 и ПС-41 для скоростных перевозок грузов и почты. При этом количество аварийных происшествий с этими машинами в текущем году оказалось наиболее высоким - 61 случай. 4 самолета было потеряно в катастрофах, 13 экземпляров после аварий требовали ремонта различной степени.</w:t>
      </w:r>
    </w:p>
    <w:p w14:paraId="52B603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официальной статистике ГВФ, наличие самолетов ПС-40 и ПС-41 на воздушных линиях и в летных школах в конце 1940 г. выглядело следующим образом (см.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983732" w:rsidRPr="00A3026E" w14:paraId="2E142B18" w14:textId="77777777" w:rsidTr="00EA0DA7">
        <w:tc>
          <w:tcPr>
            <w:tcW w:w="3736" w:type="dxa"/>
            <w:tcBorders>
              <w:top w:val="single" w:sz="12" w:space="0" w:color="auto"/>
            </w:tcBorders>
          </w:tcPr>
          <w:p w14:paraId="2BAF151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76C8E3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3736" w:type="dxa"/>
            <w:tcBorders>
              <w:top w:val="single" w:sz="12" w:space="0" w:color="auto"/>
            </w:tcBorders>
          </w:tcPr>
          <w:p w14:paraId="13D359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них исправных</w:t>
            </w:r>
          </w:p>
        </w:tc>
      </w:tr>
      <w:tr w:rsidR="00983732" w:rsidRPr="00A3026E" w14:paraId="107A55E2" w14:textId="77777777" w:rsidTr="00EA0DA7">
        <w:tc>
          <w:tcPr>
            <w:tcW w:w="3736" w:type="dxa"/>
          </w:tcPr>
          <w:p w14:paraId="56C603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ПС-40 М-100</w:t>
            </w:r>
          </w:p>
        </w:tc>
        <w:tc>
          <w:tcPr>
            <w:tcW w:w="3736" w:type="dxa"/>
          </w:tcPr>
          <w:p w14:paraId="0588A4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w:t>
            </w:r>
          </w:p>
        </w:tc>
        <w:tc>
          <w:tcPr>
            <w:tcW w:w="3736" w:type="dxa"/>
          </w:tcPr>
          <w:p w14:paraId="661D63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r>
      <w:tr w:rsidR="00983732" w:rsidRPr="00A3026E" w14:paraId="07C6C85E" w14:textId="77777777" w:rsidTr="00EA0DA7">
        <w:tc>
          <w:tcPr>
            <w:tcW w:w="3736" w:type="dxa"/>
          </w:tcPr>
          <w:p w14:paraId="403D8A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ПС-40 М-103</w:t>
            </w:r>
          </w:p>
        </w:tc>
        <w:tc>
          <w:tcPr>
            <w:tcW w:w="3736" w:type="dxa"/>
          </w:tcPr>
          <w:p w14:paraId="13EAE0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w:t>
            </w:r>
          </w:p>
        </w:tc>
        <w:tc>
          <w:tcPr>
            <w:tcW w:w="3736" w:type="dxa"/>
          </w:tcPr>
          <w:p w14:paraId="34BB12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w:t>
            </w:r>
          </w:p>
        </w:tc>
      </w:tr>
      <w:tr w:rsidR="00983732" w:rsidRPr="00A3026E" w14:paraId="6FA2E631" w14:textId="77777777" w:rsidTr="00EA0DA7">
        <w:tc>
          <w:tcPr>
            <w:tcW w:w="3736" w:type="dxa"/>
          </w:tcPr>
          <w:p w14:paraId="700166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ПС-41 М-100</w:t>
            </w:r>
          </w:p>
        </w:tc>
        <w:tc>
          <w:tcPr>
            <w:tcW w:w="3736" w:type="dxa"/>
          </w:tcPr>
          <w:p w14:paraId="00D00B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3736" w:type="dxa"/>
          </w:tcPr>
          <w:p w14:paraId="4857E9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r>
      <w:tr w:rsidR="00983732" w:rsidRPr="00A3026E" w14:paraId="29401FC3" w14:textId="77777777" w:rsidTr="00EA0DA7">
        <w:tc>
          <w:tcPr>
            <w:tcW w:w="3736" w:type="dxa"/>
          </w:tcPr>
          <w:p w14:paraId="5765EB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ПС-41 М-103</w:t>
            </w:r>
          </w:p>
        </w:tc>
        <w:tc>
          <w:tcPr>
            <w:tcW w:w="3736" w:type="dxa"/>
          </w:tcPr>
          <w:p w14:paraId="7BFBDD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w:t>
            </w:r>
          </w:p>
        </w:tc>
        <w:tc>
          <w:tcPr>
            <w:tcW w:w="3736" w:type="dxa"/>
          </w:tcPr>
          <w:p w14:paraId="085E6B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w:t>
            </w:r>
          </w:p>
        </w:tc>
      </w:tr>
      <w:tr w:rsidR="00983732" w:rsidRPr="00A3026E" w14:paraId="6941A4EB" w14:textId="77777777" w:rsidTr="00EA0DA7">
        <w:tc>
          <w:tcPr>
            <w:tcW w:w="3736" w:type="dxa"/>
            <w:tcBorders>
              <w:bottom w:val="single" w:sz="12" w:space="0" w:color="auto"/>
            </w:tcBorders>
          </w:tcPr>
          <w:p w14:paraId="1C0F48B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Всего</w:t>
            </w:r>
          </w:p>
        </w:tc>
        <w:tc>
          <w:tcPr>
            <w:tcW w:w="3736" w:type="dxa"/>
            <w:tcBorders>
              <w:bottom w:val="single" w:sz="12" w:space="0" w:color="auto"/>
            </w:tcBorders>
          </w:tcPr>
          <w:p w14:paraId="11657C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w:t>
            </w:r>
          </w:p>
        </w:tc>
        <w:tc>
          <w:tcPr>
            <w:tcW w:w="3736" w:type="dxa"/>
            <w:tcBorders>
              <w:bottom w:val="single" w:sz="12" w:space="0" w:color="auto"/>
            </w:tcBorders>
          </w:tcPr>
          <w:p w14:paraId="7D5CB96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w:t>
            </w:r>
          </w:p>
        </w:tc>
      </w:tr>
    </w:tbl>
    <w:p w14:paraId="1660B8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результатам эксплуатации гражданских СБ за 1940 г. руководство ГВФ впервые оценило их использование с коммерческой точки зрения. Признавалось, что самолеты типа ПС-40 и ПС-41 нерентабельны и в дальнейшем их следует использовать преимущественно для учебных и тренировочных целей. Отчасти, причиной таких заключений стало внедрение на воздушные линии американских самолетов ДС-3 и их советского аналога - ПС-84 (12027).</w:t>
      </w:r>
    </w:p>
    <w:p w14:paraId="17A5B82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B9655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НКО часто отмечал, что ШКАС надо менять. Раций - не хватало. В МВО из 553 истребителей радио было на 43. Использовали ракеты и качали крыльями (66,214).</w:t>
      </w:r>
    </w:p>
    <w:p w14:paraId="61575B2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F5203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КБ Н.И.Гальперина создало новые авиабомбы, например, фугасные железобетонные - арматура плюс сталь (вес - 100-1000 кг). Якобы массово применялись в войне (85,465).</w:t>
      </w:r>
    </w:p>
    <w:p w14:paraId="38518F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Были унифицированы требования к габаритно-весовым параметрам бомб, взрывателей, бомбоотсеков. К началу войны система бомбардировочного вооружения была вполне современной (85,465).</w:t>
      </w:r>
    </w:p>
    <w:p w14:paraId="2BF3337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C0978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на вооружение приняли мину АМГ-1 (авиационная мина Гейро), разработанную А.Б.Гейро, Мещерским и Матвеевым. Вес 1050 кг, длинна - 3600, диаметр - 940 мм. Допускался сброс с 100-600 м при скорости до 260 км/ч. В войне с Финляндией впервые применили мины с авиации, но так как производство АМГ-1 не началось бросали МАВ-1 и не очень то удачно, так как пытались минировать фарватер, а ветер относил мины на лед. ДБ-3 носил все типы мин - МАВ-1, АМГ, МИРАБ (561,15).</w:t>
      </w:r>
    </w:p>
    <w:p w14:paraId="025809C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67C8D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главный химик ГСКБ-47 В.А.Преображенский высказал идею компоновки боеприпаса комбинированного действия - осколочно-фугасного и одновременно зажигательного. С.П.Стрелков, М.А.Ефимов, А.П.Якушев и Е.Б.Шмаенок реализовали ее в опытной авиабомбе. Пиротехнический состав, приготовленный на основе специально обработанной натриевой селитры с большим процентом содержания веретенного масла, они поместили в прочном стальном корпусе авиабомбы ФАБ-100цк, создававшем при взрыве сильный фугасно-зажигательный эффект. Боевое снаряжение авиабомбы дополняли от 7 до 10 зажигательных элементов, созданных на основе штатных авиабомб ЗАБ-1э или ЗАБ-2,5т. Иногда последние заменяли 50 термитно-зажигательными сегментами от штатных 76,2-мм или 107-мм артснарядов зажигательного действия. Официально считается, что для ЗАБ-100цк использовали мобилизационный запас корпусов ФАБ-100цк. Однако незначительная толщина головной части авиабомб наводит на мысль о том, что для ЗАБ ранних моделей использовали запас готовых для испытаний корпусов ФАБ-100цк ранних моделей, но забракованных по результатам первых опытов именно из-за незначительной величины набоя металла в головной части. Боеприпас оказался самым мощным в классе фугасно-зажигательных авиабомб. ЗАБ-100цк применяли не только по промышленным объектам, но и по нефтеналивным судам. При попадании в металлическое наземное или железобетонное подземное нефтехранилище они пробивали крышу и срабатывали внутри резервуара. При этом взрывом снаряжения боеприпаса и последующим гидроударом разрушались стенки хранилища. В результате остатки горящего содержимого разбрасывало на большой площади вокруг, пожар быстро распространялся, что исключало использование штатного противопожарного оборудования. При попадании в открытые нефтяные или мазутные ямы их горящее содержимое взрывом выбрасывало наружу. Часть его тут же сгорала, а остальное разлеталось вокруг, увеличивая площадь пожара (7453).</w:t>
      </w:r>
    </w:p>
    <w:p w14:paraId="735EC858"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638CEB9" w14:textId="77777777" w:rsidR="004758E5" w:rsidRPr="00A3026E" w:rsidRDefault="004758E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посадочные ракеты ПР-8 и авиабомбы САБ-50-28 и САБ-100-55 прошли государственные испытания. Однако при изготовлении партий для войсковых испытаний возникли трудности. Так, 500 корпусов ПР-8 делала бригада, состоящая из мастеров, инженеров и техников, притом в «нерабочее» время: мощности производства на своевременное выполнение этого заказа не хватило, и пришлось таким не совсем обычным путем выходить из положения. (Это оказалось возможным, потому что многие инженеры и техники были в прошлом высококвалифицированными рабочими.). Далее возникли трудности в снаряжении (15794).</w:t>
      </w:r>
    </w:p>
    <w:p w14:paraId="1C5F5604" w14:textId="77777777" w:rsidR="004758E5" w:rsidRPr="00A3026E" w:rsidRDefault="004758E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Партия, выходящая на войсковые испытания, должна быть снаряжена на валовом заводе. Между тем снаряжательный завод № 11 категорически отказался от этой работы, мотивируя свой отказ наличием в осветительном составе натриевой селитры, а в конструкции ПР-8 – терочного воспламенителя. При этом решение завода было активно поддержано многими сотрудниками тогдашнего Наркомата боеприпасов.</w:t>
      </w:r>
    </w:p>
    <w:p w14:paraId="1073A3E2" w14:textId="77777777" w:rsidR="004758E5" w:rsidRPr="00A3026E" w:rsidRDefault="004758E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Стремясь во что бы то ни стало обеспечить армию высокоэффективным оружием, работники ГСКБ-47 взялись произвести снаряжение на заводе своими силами. Была организована бригада из рабочих производства № 2, а обязанности мастеров и технологов легли на конструкторов (15794).</w:t>
      </w:r>
    </w:p>
    <w:p w14:paraId="3F62D311" w14:textId="77777777" w:rsidR="004758E5" w:rsidRPr="00A3026E" w:rsidRDefault="004758E5" w:rsidP="00A3026E">
      <w:pPr>
        <w:spacing w:after="0" w:line="240" w:lineRule="auto"/>
        <w:jc w:val="both"/>
        <w:rPr>
          <w:rFonts w:ascii="Times New Roman" w:hAnsi="Times New Roman"/>
          <w:color w:val="000000" w:themeColor="text1"/>
          <w:sz w:val="16"/>
          <w:szCs w:val="16"/>
        </w:rPr>
      </w:pPr>
    </w:p>
    <w:p w14:paraId="4D481555" w14:textId="77777777" w:rsidR="004758E5" w:rsidRPr="00A3026E" w:rsidRDefault="004758E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ПСН-2 конструкции В.В. Никитина был построен. Для реализации выбрали фюзе</w:t>
      </w:r>
      <w:r w:rsidRPr="00A3026E">
        <w:rPr>
          <w:rFonts w:ascii="Times New Roman" w:hAnsi="Times New Roman"/>
          <w:color w:val="000000" w:themeColor="text1"/>
          <w:sz w:val="16"/>
          <w:szCs w:val="16"/>
        </w:rPr>
        <w:softHyphen/>
        <w:t>ляжный вариант на двухпоплавковом шасси.</w:t>
      </w:r>
    </w:p>
    <w:p w14:paraId="616735C5" w14:textId="77777777" w:rsidR="004758E5" w:rsidRPr="00A3026E" w:rsidRDefault="004758E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Планерные агрегаты образ</w:t>
      </w:r>
      <w:r w:rsidRPr="00A3026E">
        <w:rPr>
          <w:rFonts w:ascii="Times New Roman" w:hAnsi="Times New Roman"/>
          <w:color w:val="000000" w:themeColor="text1"/>
          <w:sz w:val="16"/>
          <w:szCs w:val="16"/>
        </w:rPr>
        <w:softHyphen/>
        <w:t>цов 1936 года и 1938 года были законсервированы и сданы на хранение на склад №17. С са</w:t>
      </w:r>
      <w:r w:rsidRPr="00A3026E">
        <w:rPr>
          <w:rFonts w:ascii="Times New Roman" w:hAnsi="Times New Roman"/>
          <w:color w:val="000000" w:themeColor="text1"/>
          <w:sz w:val="16"/>
          <w:szCs w:val="16"/>
        </w:rPr>
        <w:softHyphen/>
        <w:t>молёта-носителя планторпед ТБ-3 № 22710 с моторами АМ-34РН сняли подвески пла</w:t>
      </w:r>
      <w:r w:rsidRPr="00A3026E">
        <w:rPr>
          <w:rFonts w:ascii="Times New Roman" w:hAnsi="Times New Roman"/>
          <w:color w:val="000000" w:themeColor="text1"/>
          <w:sz w:val="16"/>
          <w:szCs w:val="16"/>
        </w:rPr>
        <w:softHyphen/>
        <w:t>неров и передали бомбарди</w:t>
      </w:r>
      <w:r w:rsidRPr="00A3026E">
        <w:rPr>
          <w:rFonts w:ascii="Times New Roman" w:hAnsi="Times New Roman"/>
          <w:color w:val="000000" w:themeColor="text1"/>
          <w:sz w:val="16"/>
          <w:szCs w:val="16"/>
        </w:rPr>
        <w:softHyphen/>
        <w:t>ровщик в 32-й авиаполк Черноморского флота. ТБ-3 № 22709 убыл в 17-й отдельный отряд КБФ. ТБ-3 № 22478 убыл |училище им. Леваневского а ТБ-3 № 22468 передали в ГВФ. Специальную испытательную партию (СИП) решили использовать как ядро для развёртывания Научного испытательного института или полигона вооружения авиации ПВО ВМФ. Подвеска двух ПСН-2 на самолете ДБ-3 предполагалась под консолями крыльев в йоне 16-й нервюры носителя на неподвижных подвесных системах. Технические во- эсы проектирования и изготовления образцов и подвески под самолет ДБ-3 прора- таны и согласованы с главным конструктором завода № 47 НКАП, который брался полнить эту работу, как только будет постановление Комитета Обороны и приказ НКАП.</w:t>
      </w:r>
    </w:p>
    <w:p w14:paraId="4F86A2E1" w14:textId="77777777" w:rsidR="004758E5" w:rsidRPr="00A3026E" w:rsidRDefault="004758E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Двухпоплавковый гидропланер-моноплан с низко расположенным крылом. Форма кры</w:t>
      </w:r>
      <w:r w:rsidRPr="00A3026E">
        <w:rPr>
          <w:rFonts w:ascii="Times New Roman" w:hAnsi="Times New Roman"/>
          <w:color w:val="000000" w:themeColor="text1"/>
          <w:sz w:val="16"/>
          <w:szCs w:val="16"/>
        </w:rPr>
        <w:softHyphen/>
        <w:t>ла в плане трапециевидная, со скругленными законцовками. По передней кромке крыло имеет резко выраженную стреловидность, введённую, главным образом, для обеспечения правильной центровки планера.</w:t>
      </w:r>
    </w:p>
    <w:p w14:paraId="7B23632F" w14:textId="77777777" w:rsidR="004758E5" w:rsidRPr="00A3026E" w:rsidRDefault="004758E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Конструкция фюзеляжа, крыла, стабилизатора и поплавков - деревянная. Рули и элеро</w:t>
      </w:r>
      <w:r w:rsidRPr="00A3026E">
        <w:rPr>
          <w:rFonts w:ascii="Times New Roman" w:hAnsi="Times New Roman"/>
          <w:color w:val="000000" w:themeColor="text1"/>
          <w:sz w:val="16"/>
          <w:szCs w:val="16"/>
        </w:rPr>
        <w:softHyphen/>
        <w:t>ны дюралевые, обтянуты полотном и имеют весовую балансировку. Для увеличения путевой устойчивости на кормовой части поплавков установлены дополнительные воздушные кили.</w:t>
      </w:r>
    </w:p>
    <w:p w14:paraId="17A0ECED" w14:textId="77777777" w:rsidR="004758E5" w:rsidRPr="00A3026E" w:rsidRDefault="004758E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схему управления включен автопилот, который по желанию летчика может быть вы</w:t>
      </w:r>
      <w:r w:rsidRPr="00A3026E">
        <w:rPr>
          <w:rFonts w:ascii="Times New Roman" w:hAnsi="Times New Roman"/>
          <w:color w:val="000000" w:themeColor="text1"/>
          <w:sz w:val="16"/>
          <w:szCs w:val="16"/>
        </w:rPr>
        <w:softHyphen/>
        <w:t>ключен (на испытаниях планер летал только с весовым макетом автопилота). Приборы автомата управления планером размещаются в основном внутри фюзеляжа и, частично, в центроплане, подход к ним обеспечен через люки.</w:t>
      </w:r>
    </w:p>
    <w:p w14:paraId="13ADF47A" w14:textId="77777777" w:rsidR="004758E5" w:rsidRPr="00A3026E" w:rsidRDefault="004758E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Кабина пилота наблюдателя расположена в носовой части фюзеляжа.</w:t>
      </w:r>
    </w:p>
    <w:p w14:paraId="13889E86" w14:textId="77777777" w:rsidR="004758E5" w:rsidRPr="00A3026E" w:rsidRDefault="004758E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планере установлен центральный узел подвески под самолёт-матку и четыре упо</w:t>
      </w:r>
      <w:r w:rsidRPr="00A3026E">
        <w:rPr>
          <w:rFonts w:ascii="Times New Roman" w:hAnsi="Times New Roman"/>
          <w:color w:val="000000" w:themeColor="text1"/>
          <w:sz w:val="16"/>
          <w:szCs w:val="16"/>
        </w:rPr>
        <w:softHyphen/>
      </w:r>
      <w:r w:rsidRPr="00A3026E">
        <w:rPr>
          <w:rStyle w:val="0pt0"/>
          <w:rFonts w:eastAsia="Arial Unicode MS"/>
          <w:b w:val="0"/>
          <w:color w:val="000000" w:themeColor="text1"/>
          <w:spacing w:val="0"/>
          <w:sz w:val="16"/>
          <w:szCs w:val="16"/>
        </w:rPr>
        <w:t>ра</w:t>
      </w:r>
      <w:r w:rsidRPr="00A3026E">
        <w:rPr>
          <w:rFonts w:ascii="Times New Roman" w:hAnsi="Times New Roman"/>
          <w:color w:val="000000" w:themeColor="text1"/>
          <w:sz w:val="16"/>
          <w:szCs w:val="16"/>
        </w:rPr>
        <w:t xml:space="preserve"> - два на фюзеляже и два на консолях крыла. В центроплане под фюзеляжем установлен змок подвески специальных грузов (бомбы или торпеды) и соответствуюшие упоры. В качестве буксировщика предлагался самолёт ДБ-3.</w:t>
      </w:r>
    </w:p>
    <w:p w14:paraId="7B3648FA" w14:textId="77777777" w:rsidR="004758E5" w:rsidRPr="00A3026E" w:rsidRDefault="004758E5" w:rsidP="00A3026E">
      <w:pPr>
        <w:pStyle w:val="290"/>
        <w:shd w:val="clear" w:color="auto" w:fill="auto"/>
        <w:spacing w:after="0" w:line="240" w:lineRule="auto"/>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Тактико-технические данные планера ПСН-2, 1940 г.</w:t>
      </w:r>
    </w:p>
    <w:p w14:paraId="6C9A97E7" w14:textId="77777777" w:rsidR="004758E5" w:rsidRPr="00A3026E" w:rsidRDefault="004758E5" w:rsidP="00A3026E">
      <w:pPr>
        <w:tabs>
          <w:tab w:val="left" w:leader="dot" w:pos="7274"/>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крыла, м</w:t>
      </w:r>
      <w:r w:rsidRPr="00A3026E">
        <w:rPr>
          <w:rFonts w:ascii="Times New Roman" w:hAnsi="Times New Roman"/>
          <w:color w:val="000000" w:themeColor="text1"/>
          <w:sz w:val="16"/>
          <w:szCs w:val="16"/>
        </w:rPr>
        <w:tab/>
        <w:t>7,00</w:t>
      </w:r>
    </w:p>
    <w:p w14:paraId="01C26724" w14:textId="77777777" w:rsidR="004758E5" w:rsidRPr="00A3026E" w:rsidRDefault="004758E5" w:rsidP="00A3026E">
      <w:pPr>
        <w:tabs>
          <w:tab w:val="left" w:leader="dot" w:pos="7283"/>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центроплана, м</w:t>
      </w:r>
      <w:r w:rsidRPr="00A3026E">
        <w:rPr>
          <w:rFonts w:ascii="Times New Roman" w:hAnsi="Times New Roman"/>
          <w:color w:val="000000" w:themeColor="text1"/>
          <w:sz w:val="16"/>
          <w:szCs w:val="16"/>
        </w:rPr>
        <w:tab/>
        <w:t>2,02</w:t>
      </w:r>
    </w:p>
    <w:p w14:paraId="19FB8B0D" w14:textId="77777777" w:rsidR="004758E5" w:rsidRPr="00A3026E" w:rsidRDefault="004758E5" w:rsidP="00A3026E">
      <w:pPr>
        <w:tabs>
          <w:tab w:val="left" w:leader="dot" w:pos="7278"/>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крыла,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ab/>
        <w:t>9,47</w:t>
      </w:r>
    </w:p>
    <w:p w14:paraId="62122353" w14:textId="77777777" w:rsidR="004758E5" w:rsidRPr="00A3026E" w:rsidRDefault="004758E5" w:rsidP="00A3026E">
      <w:pPr>
        <w:tabs>
          <w:tab w:val="left" w:leader="dot" w:pos="7470"/>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Угол установки крыла, гр</w:t>
      </w:r>
      <w:r w:rsidRPr="00A3026E">
        <w:rPr>
          <w:rFonts w:ascii="Times New Roman" w:hAnsi="Times New Roman"/>
          <w:color w:val="000000" w:themeColor="text1"/>
          <w:sz w:val="16"/>
          <w:szCs w:val="16"/>
        </w:rPr>
        <w:tab/>
        <w:t xml:space="preserve"> 2</w:t>
      </w:r>
    </w:p>
    <w:p w14:paraId="6CE2216F" w14:textId="77777777" w:rsidR="004758E5" w:rsidRPr="00A3026E" w:rsidRDefault="004758E5" w:rsidP="00A3026E">
      <w:pPr>
        <w:tabs>
          <w:tab w:val="left" w:leader="dot" w:pos="7557"/>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Поперечное V, гр</w:t>
      </w:r>
      <w:r w:rsidRPr="00A3026E">
        <w:rPr>
          <w:rFonts w:ascii="Times New Roman" w:hAnsi="Times New Roman"/>
          <w:color w:val="000000" w:themeColor="text1"/>
          <w:sz w:val="16"/>
          <w:szCs w:val="16"/>
        </w:rPr>
        <w:tab/>
        <w:t>4</w:t>
      </w:r>
    </w:p>
    <w:p w14:paraId="3A2989F3" w14:textId="77777777" w:rsidR="004758E5" w:rsidRPr="00A3026E" w:rsidRDefault="004758E5" w:rsidP="00A3026E">
      <w:pPr>
        <w:tabs>
          <w:tab w:val="left" w:leader="dot" w:pos="7182"/>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Размах элерона, м</w:t>
      </w:r>
      <w:r w:rsidRPr="00A3026E">
        <w:rPr>
          <w:rFonts w:ascii="Times New Roman" w:hAnsi="Times New Roman"/>
          <w:color w:val="000000" w:themeColor="text1"/>
          <w:sz w:val="16"/>
          <w:szCs w:val="16"/>
        </w:rPr>
        <w:tab/>
        <w:t>1,966</w:t>
      </w:r>
    </w:p>
    <w:p w14:paraId="669DF509" w14:textId="77777777" w:rsidR="004758E5" w:rsidRPr="00A3026E" w:rsidRDefault="004758E5" w:rsidP="00A3026E">
      <w:pPr>
        <w:tabs>
          <w:tab w:val="left" w:leader="dot" w:pos="5258"/>
          <w:tab w:val="left" w:leader="dot" w:pos="7202"/>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планера, м</w:t>
      </w:r>
      <w:r w:rsidRPr="00A3026E">
        <w:rPr>
          <w:rFonts w:ascii="Times New Roman" w:hAnsi="Times New Roman"/>
          <w:color w:val="000000" w:themeColor="text1"/>
          <w:sz w:val="16"/>
          <w:szCs w:val="16"/>
        </w:rPr>
        <w:tab/>
        <w:t>:</w:t>
      </w:r>
      <w:r w:rsidRPr="00A3026E">
        <w:rPr>
          <w:rFonts w:ascii="Times New Roman" w:hAnsi="Times New Roman"/>
          <w:color w:val="000000" w:themeColor="text1"/>
          <w:sz w:val="16"/>
          <w:szCs w:val="16"/>
        </w:rPr>
        <w:tab/>
        <w:t>7,980</w:t>
      </w:r>
    </w:p>
    <w:p w14:paraId="54CE383B" w14:textId="77777777" w:rsidR="004758E5" w:rsidRPr="00A3026E" w:rsidRDefault="004758E5" w:rsidP="00A3026E">
      <w:pPr>
        <w:tabs>
          <w:tab w:val="left" w:leader="dot" w:pos="7274"/>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на поплавках, м</w:t>
      </w:r>
      <w:r w:rsidRPr="00A3026E">
        <w:rPr>
          <w:rFonts w:ascii="Times New Roman" w:hAnsi="Times New Roman"/>
          <w:color w:val="000000" w:themeColor="text1"/>
          <w:sz w:val="16"/>
          <w:szCs w:val="16"/>
        </w:rPr>
        <w:tab/>
        <w:t>2,80</w:t>
      </w:r>
    </w:p>
    <w:p w14:paraId="065000BC" w14:textId="77777777" w:rsidR="004758E5" w:rsidRPr="00A3026E" w:rsidRDefault="004758E5" w:rsidP="00A3026E">
      <w:pPr>
        <w:tabs>
          <w:tab w:val="left" w:leader="dot" w:pos="7274"/>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Размах стабилизатора, м </w:t>
      </w:r>
      <w:r w:rsidRPr="00A3026E">
        <w:rPr>
          <w:rFonts w:ascii="Times New Roman" w:hAnsi="Times New Roman"/>
          <w:color w:val="000000" w:themeColor="text1"/>
          <w:sz w:val="16"/>
          <w:szCs w:val="16"/>
        </w:rPr>
        <w:tab/>
        <w:t>2,50</w:t>
      </w:r>
    </w:p>
    <w:p w14:paraId="4638E2D8" w14:textId="77777777" w:rsidR="004758E5" w:rsidRPr="00A3026E" w:rsidRDefault="004758E5" w:rsidP="00A3026E">
      <w:pPr>
        <w:tabs>
          <w:tab w:val="left" w:leader="dot" w:pos="7178"/>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колеи поплавков, м</w:t>
      </w:r>
      <w:r w:rsidRPr="00A3026E">
        <w:rPr>
          <w:rFonts w:ascii="Times New Roman" w:hAnsi="Times New Roman"/>
          <w:color w:val="000000" w:themeColor="text1"/>
          <w:sz w:val="16"/>
          <w:szCs w:val="16"/>
        </w:rPr>
        <w:tab/>
        <w:t>1,728</w:t>
      </w:r>
    </w:p>
    <w:p w14:paraId="0F635B4D" w14:textId="77777777" w:rsidR="004758E5" w:rsidRPr="00A3026E" w:rsidRDefault="004758E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Поплавки ЦАГИ, модель 91:</w:t>
      </w:r>
    </w:p>
    <w:p w14:paraId="71B262D9" w14:textId="77777777" w:rsidR="004758E5" w:rsidRPr="00A3026E" w:rsidRDefault="004758E5" w:rsidP="00A3026E">
      <w:pPr>
        <w:tabs>
          <w:tab w:val="left" w:leader="dot" w:pos="7288"/>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поплавка, м</w:t>
      </w:r>
      <w:r w:rsidRPr="00A3026E">
        <w:rPr>
          <w:rFonts w:ascii="Times New Roman" w:hAnsi="Times New Roman"/>
          <w:color w:val="000000" w:themeColor="text1"/>
          <w:sz w:val="16"/>
          <w:szCs w:val="16"/>
        </w:rPr>
        <w:tab/>
        <w:t>5,04</w:t>
      </w:r>
    </w:p>
    <w:p w14:paraId="638722C7" w14:textId="77777777" w:rsidR="004758E5" w:rsidRPr="00A3026E" w:rsidRDefault="004758E5" w:rsidP="00A3026E">
      <w:pPr>
        <w:tabs>
          <w:tab w:val="left" w:leader="dot" w:pos="7278"/>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Ширина поплавка по миделю, м</w:t>
      </w:r>
      <w:r w:rsidRPr="00A3026E">
        <w:rPr>
          <w:rFonts w:ascii="Times New Roman" w:hAnsi="Times New Roman"/>
          <w:color w:val="000000" w:themeColor="text1"/>
          <w:sz w:val="16"/>
          <w:szCs w:val="16"/>
        </w:rPr>
        <w:tab/>
        <w:t>0,60</w:t>
      </w:r>
    </w:p>
    <w:p w14:paraId="524E278D" w14:textId="77777777" w:rsidR="004758E5" w:rsidRPr="00A3026E" w:rsidRDefault="004758E5" w:rsidP="00A3026E">
      <w:pPr>
        <w:pStyle w:val="290"/>
        <w:shd w:val="clear" w:color="auto" w:fill="auto"/>
        <w:spacing w:after="0" w:line="240" w:lineRule="auto"/>
        <w:rPr>
          <w:rFonts w:ascii="Times New Roman" w:hAnsi="Times New Roman" w:cs="Times New Roman"/>
          <w:b w:val="0"/>
          <w:color w:val="000000" w:themeColor="text1"/>
          <w:sz w:val="16"/>
          <w:szCs w:val="16"/>
        </w:rPr>
      </w:pPr>
      <w:r w:rsidRPr="00A3026E">
        <w:rPr>
          <w:rFonts w:ascii="Times New Roman" w:hAnsi="Times New Roman" w:cs="Times New Roman"/>
          <w:b w:val="0"/>
          <w:color w:val="000000" w:themeColor="text1"/>
          <w:sz w:val="16"/>
          <w:szCs w:val="16"/>
        </w:rPr>
        <w:t>Высота поплавка по миделю, м</w:t>
      </w:r>
      <w:r w:rsidRPr="00A3026E">
        <w:rPr>
          <w:rFonts w:ascii="Times New Roman" w:hAnsi="Times New Roman" w:cs="Times New Roman"/>
          <w:b w:val="0"/>
          <w:color w:val="000000" w:themeColor="text1"/>
          <w:sz w:val="16"/>
          <w:szCs w:val="16"/>
        </w:rPr>
        <w:tab/>
      </w:r>
      <w:r w:rsidRPr="00A3026E">
        <w:rPr>
          <w:rFonts w:ascii="Times New Roman" w:hAnsi="Times New Roman" w:cs="Times New Roman"/>
          <w:b w:val="0"/>
          <w:color w:val="000000" w:themeColor="text1"/>
          <w:sz w:val="16"/>
          <w:szCs w:val="16"/>
        </w:rPr>
        <w:tab/>
      </w:r>
      <w:r w:rsidRPr="00A3026E">
        <w:rPr>
          <w:rFonts w:ascii="Times New Roman" w:hAnsi="Times New Roman" w:cs="Times New Roman"/>
          <w:b w:val="0"/>
          <w:color w:val="000000" w:themeColor="text1"/>
          <w:sz w:val="16"/>
          <w:szCs w:val="16"/>
        </w:rPr>
        <w:tab/>
      </w:r>
      <w:r w:rsidRPr="00A3026E">
        <w:rPr>
          <w:rFonts w:ascii="Times New Roman" w:hAnsi="Times New Roman" w:cs="Times New Roman"/>
          <w:b w:val="0"/>
          <w:color w:val="000000" w:themeColor="text1"/>
          <w:sz w:val="16"/>
          <w:szCs w:val="16"/>
        </w:rPr>
        <w:tab/>
      </w:r>
      <w:r w:rsidRPr="00A3026E">
        <w:rPr>
          <w:rFonts w:ascii="Times New Roman" w:hAnsi="Times New Roman" w:cs="Times New Roman"/>
          <w:b w:val="0"/>
          <w:color w:val="000000" w:themeColor="text1"/>
          <w:sz w:val="16"/>
          <w:szCs w:val="16"/>
        </w:rPr>
        <w:tab/>
        <w:t>0,60</w:t>
      </w:r>
    </w:p>
    <w:p w14:paraId="1B501E59" w14:textId="77777777" w:rsidR="004758E5" w:rsidRPr="00A3026E" w:rsidRDefault="004758E5" w:rsidP="00A3026E">
      <w:pPr>
        <w:tabs>
          <w:tab w:val="left" w:leader="dot" w:pos="7265"/>
        </w:tabs>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Объем поплавка, л</w:t>
      </w:r>
      <w:r w:rsidRPr="00A3026E">
        <w:rPr>
          <w:rFonts w:ascii="Times New Roman" w:hAnsi="Times New Roman"/>
          <w:color w:val="000000" w:themeColor="text1"/>
          <w:sz w:val="16"/>
          <w:szCs w:val="16"/>
        </w:rPr>
        <w:tab/>
        <w:t xml:space="preserve"> 771</w:t>
      </w:r>
    </w:p>
    <w:p w14:paraId="6BA8F2CD" w14:textId="77777777" w:rsidR="004758E5" w:rsidRPr="00A3026E" w:rsidRDefault="004758E5"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редана, мм</w:t>
      </w:r>
      <w:r w:rsidRPr="00A3026E">
        <w:rPr>
          <w:rFonts w:ascii="Times New Roman" w:hAnsi="Times New Roman"/>
          <w:color w:val="000000" w:themeColor="text1"/>
          <w:sz w:val="16"/>
          <w:szCs w:val="16"/>
        </w:rPr>
        <w:tab/>
        <w:t>20 (15845). (15845).</w:t>
      </w:r>
    </w:p>
    <w:p w14:paraId="4B77A4B3" w14:textId="77777777" w:rsidR="004758E5" w:rsidRPr="00A3026E" w:rsidRDefault="004758E5" w:rsidP="00A3026E">
      <w:pPr>
        <w:spacing w:after="0" w:line="240" w:lineRule="auto"/>
        <w:jc w:val="both"/>
        <w:rPr>
          <w:rFonts w:ascii="Times New Roman" w:hAnsi="Times New Roman"/>
          <w:color w:val="000000" w:themeColor="text1"/>
          <w:sz w:val="16"/>
          <w:szCs w:val="16"/>
        </w:rPr>
      </w:pPr>
    </w:p>
    <w:p w14:paraId="47F6352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1940 г. к серийному изготовлению корпусов снарядов РБС-82 при</w:t>
      </w:r>
      <w:r w:rsidRPr="00A3026E">
        <w:rPr>
          <w:rFonts w:ascii="Times New Roman" w:hAnsi="Times New Roman"/>
          <w:color w:val="000000" w:themeColor="text1"/>
          <w:sz w:val="16"/>
          <w:szCs w:val="16"/>
        </w:rPr>
        <w:softHyphen/>
        <w:t>ступили на заводе №78 (имени Я.М.Свердлова) НКБ. Там этот боеприпас получил шифр «Якорь». Производственных мощностей механиче</w:t>
      </w:r>
      <w:r w:rsidRPr="00A3026E">
        <w:rPr>
          <w:rFonts w:ascii="Times New Roman" w:hAnsi="Times New Roman"/>
          <w:color w:val="000000" w:themeColor="text1"/>
          <w:sz w:val="16"/>
          <w:szCs w:val="16"/>
        </w:rPr>
        <w:softHyphen/>
        <w:t>ского завода №70 (имени Владимира Ильича) НКБ - ведущего в предво</w:t>
      </w:r>
      <w:r w:rsidRPr="00A3026E">
        <w:rPr>
          <w:rFonts w:ascii="Times New Roman" w:hAnsi="Times New Roman"/>
          <w:color w:val="000000" w:themeColor="text1"/>
          <w:sz w:val="16"/>
          <w:szCs w:val="16"/>
        </w:rPr>
        <w:softHyphen/>
        <w:t>енный период центра в СССР по изготовлению РС - для этих целей не хватало. Дело в том, что корпуса двигателей и БЧ этих припасов требовали специальной термической обработки. Первые при горении РЗ долж</w:t>
      </w:r>
      <w:r w:rsidRPr="00A3026E">
        <w:rPr>
          <w:rFonts w:ascii="Times New Roman" w:hAnsi="Times New Roman"/>
          <w:color w:val="000000" w:themeColor="text1"/>
          <w:sz w:val="16"/>
          <w:szCs w:val="16"/>
        </w:rPr>
        <w:softHyphen/>
        <w:t>ны были выдерживать втрое большее, по сравнению со снарядами РОС-82, давление, а бронебойная БЧ проникающего типа, само собой, должна была быть твердой по определению.</w:t>
      </w:r>
    </w:p>
    <w:p w14:paraId="4B62EA7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Кстати, из пороха рецептуры Нз-70/10 планировали изготавливать двухшашечные (уложенные тандемом) РЗ для снарядов РБС-82, а из упомяну</w:t>
      </w:r>
      <w:r w:rsidRPr="00A3026E">
        <w:rPr>
          <w:rFonts w:ascii="Times New Roman" w:hAnsi="Times New Roman"/>
          <w:color w:val="000000" w:themeColor="text1"/>
          <w:sz w:val="16"/>
          <w:szCs w:val="16"/>
        </w:rPr>
        <w:softHyphen/>
        <w:t>тых в письме Костикова порохов рецептуры Нз-42/6 - семишашечные пол</w:t>
      </w:r>
      <w:r w:rsidRPr="00A3026E">
        <w:rPr>
          <w:rFonts w:ascii="Times New Roman" w:hAnsi="Times New Roman"/>
          <w:color w:val="000000" w:themeColor="text1"/>
          <w:sz w:val="16"/>
          <w:szCs w:val="16"/>
        </w:rPr>
        <w:softHyphen/>
        <w:t>норазмерные РЗ для снарядов РБС-132. Но, если первый подтвердил расчеты и пошел в серию, то второй так остался опытным. Впрочем, в военное время о нем вспомнили (11402).</w:t>
      </w:r>
    </w:p>
    <w:p w14:paraId="2CCADA3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7D23104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на Павлоградском аргполигоне испытали стрельбой на даль</w:t>
      </w:r>
      <w:r w:rsidRPr="00A3026E">
        <w:rPr>
          <w:rFonts w:ascii="Times New Roman" w:hAnsi="Times New Roman"/>
          <w:color w:val="000000" w:themeColor="text1"/>
          <w:sz w:val="16"/>
          <w:szCs w:val="16"/>
        </w:rPr>
        <w:softHyphen/>
        <w:t>ность до 9000 м: РОФС-82 (объект 141) 25 шт., РБС-82 (объект 157) 28 шт., РБС-140 (объект 158) 28 шт., РОФС-140 (объект 152) 25 шт., РХС-165 (объект 147) 25 шт., РОФС-165 (объект 151) 25 шт.</w:t>
      </w:r>
    </w:p>
    <w:p w14:paraId="4535586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свидетельству Березина, заказчики ракетного вооружения отказа</w:t>
      </w:r>
      <w:r w:rsidRPr="00A3026E">
        <w:rPr>
          <w:rFonts w:ascii="Times New Roman" w:hAnsi="Times New Roman"/>
          <w:color w:val="000000" w:themeColor="text1"/>
          <w:sz w:val="16"/>
          <w:szCs w:val="16"/>
        </w:rPr>
        <w:softHyphen/>
        <w:t>лись от следующих образцов: РОФС-180 для ГУАС КА (может быть заме</w:t>
      </w:r>
      <w:r w:rsidRPr="00A3026E">
        <w:rPr>
          <w:rFonts w:ascii="Times New Roman" w:hAnsi="Times New Roman"/>
          <w:color w:val="000000" w:themeColor="text1"/>
          <w:sz w:val="16"/>
          <w:szCs w:val="16"/>
        </w:rPr>
        <w:softHyphen/>
        <w:t>нен РОФС-165).</w:t>
      </w:r>
    </w:p>
    <w:p w14:paraId="2A8C453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 письма начальнику 3 огд. АУ КА воснинжснсру 1 ранга Гсрасименко от Костикова и Шитова: «Затребованная Вами для РОФС-165 и РХС-165 максимальная дальность стрельбы в 14000 м не может быть ре</w:t>
      </w:r>
      <w:r w:rsidRPr="00A3026E">
        <w:rPr>
          <w:rFonts w:ascii="Times New Roman" w:hAnsi="Times New Roman"/>
          <w:color w:val="000000" w:themeColor="text1"/>
          <w:sz w:val="16"/>
          <w:szCs w:val="16"/>
        </w:rPr>
        <w:softHyphen/>
        <w:t>ализована без ущерба для эффективности БЧ, а корпус двигателя потре</w:t>
      </w:r>
      <w:r w:rsidRPr="00A3026E">
        <w:rPr>
          <w:rFonts w:ascii="Times New Roman" w:hAnsi="Times New Roman"/>
          <w:color w:val="000000" w:themeColor="text1"/>
          <w:sz w:val="16"/>
          <w:szCs w:val="16"/>
        </w:rPr>
        <w:softHyphen/>
        <w:t>бует применения легированных сталей. НИИ-3 предлагает РОФС-165 с дальностью стрельбы 10500-11000 м при массе окончательно снаряжен</w:t>
      </w:r>
      <w:r w:rsidRPr="00A3026E">
        <w:rPr>
          <w:rFonts w:ascii="Times New Roman" w:hAnsi="Times New Roman"/>
          <w:color w:val="000000" w:themeColor="text1"/>
          <w:sz w:val="16"/>
          <w:szCs w:val="16"/>
        </w:rPr>
        <w:softHyphen/>
        <w:t>ного боеприпаса в 78-80 кг, БЧ - 30-35 кг с коэффициентом наполнения 20-22% (масса ВВ - 6,0-7,7 кг). К примеру, при массе пассивной РЧ 30 кг и массе РЗ 15,65 кг получим возможные варианта РОФС-165. Таким об</w:t>
      </w:r>
      <w:r w:rsidRPr="00A3026E">
        <w:rPr>
          <w:rFonts w:ascii="Times New Roman" w:hAnsi="Times New Roman"/>
          <w:color w:val="000000" w:themeColor="text1"/>
          <w:sz w:val="16"/>
          <w:szCs w:val="16"/>
        </w:rPr>
        <w:softHyphen/>
        <w:t>разом, наиболее предпочтителен вариант с БЧ массой 33 кг» (11402).</w:t>
      </w:r>
    </w:p>
    <w:p w14:paraId="624785B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6CE10B80" w14:textId="77777777" w:rsidR="004758E5" w:rsidRPr="00A3026E" w:rsidRDefault="004758E5" w:rsidP="00A3026E">
      <w:pPr>
        <w:pStyle w:val="ae"/>
        <w:spacing w:before="0" w:after="0"/>
        <w:jc w:val="both"/>
        <w:rPr>
          <w:color w:val="000000" w:themeColor="text1"/>
          <w:sz w:val="16"/>
          <w:szCs w:val="16"/>
        </w:rPr>
      </w:pPr>
      <w:r w:rsidRPr="00A3026E">
        <w:rPr>
          <w:color w:val="000000" w:themeColor="text1"/>
          <w:sz w:val="16"/>
          <w:szCs w:val="16"/>
        </w:rPr>
        <w:t>В 1940 году предприятия Главного управления боеприпасов Минсельхозмаша СССР поставили 125,1 тысячи реактивных снарядов калибра 82 мм и 31,68 тысячи реактивных снарядов калибра 132 мм. За первые 6 месяцев 1941 года соотношение не изменилось: было поставлено 86,2 тысячи снарядов М-8 и 19,8 тысячи снарядов М-13.</w:t>
      </w:r>
    </w:p>
    <w:p w14:paraId="108327C9" w14:textId="77777777" w:rsidR="004758E5" w:rsidRPr="00A3026E" w:rsidRDefault="004758E5" w:rsidP="00A3026E">
      <w:pPr>
        <w:pStyle w:val="ae"/>
        <w:spacing w:before="0" w:after="0"/>
        <w:jc w:val="both"/>
        <w:rPr>
          <w:color w:val="000000" w:themeColor="text1"/>
          <w:sz w:val="16"/>
          <w:szCs w:val="16"/>
        </w:rPr>
      </w:pPr>
      <w:r w:rsidRPr="00A3026E">
        <w:rPr>
          <w:color w:val="000000" w:themeColor="text1"/>
          <w:sz w:val="16"/>
          <w:szCs w:val="16"/>
        </w:rPr>
        <w:t>Несмотря на принятые экстренные меры по значительному (в десятки раз) увеличению производства, поставка в войска снарядов М-13 составила меньше трети от плана (изготовлено 292,3 тысячи при плане 890 тысяч). И хотя в связи с эвакуацией предприятий Минсельхозмаша СССР на восток страны план по поставке снарядов М-8 во втором полугодии также не был выполнен (изготовлено 415,8 тысячи при плане 725 тысяч), в 1941 году выпуск реактивных снарядов калибра 82 мм значительно превышал выпуск реактивных снарядов калибра 132 мм (15807).</w:t>
      </w:r>
    </w:p>
    <w:p w14:paraId="129A0E48" w14:textId="77777777" w:rsidR="004758E5" w:rsidRPr="00A3026E" w:rsidRDefault="004758E5" w:rsidP="00A3026E">
      <w:pPr>
        <w:pStyle w:val="ae"/>
        <w:spacing w:before="0" w:after="0"/>
        <w:jc w:val="both"/>
        <w:rPr>
          <w:color w:val="000000" w:themeColor="text1"/>
          <w:sz w:val="16"/>
          <w:szCs w:val="16"/>
        </w:rPr>
      </w:pPr>
    </w:p>
    <w:p w14:paraId="3B22A5D7"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инженер Е.Г. Ледин разработал взрывчатые составы на основе флегматизированного гексогена с целью снижения его чувствительности к удару, а также раздельно-шашечную технологию снаряжания бронебойных снарядов. По мощности взрыва эти составы, получившие наименование А-1Х-1 и А-1Х-2, в два и более раза превосходили тротил и отличались высокой зажигательной способностью в отношении жидких топлив, а так-же повышенной стойкостью при проникании снаряда и броне преграду, в августе эти сплавы испытывали в последней предвоенной евпаторийской экспедиции НИПАВ ВВС в составе снаряжения БЕТАБ-150ДС и лишь только в феврале 1942 г. эти ВВ приняли на вооружение (11402).</w:t>
      </w:r>
    </w:p>
    <w:p w14:paraId="3B41001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47AD948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документах 1940 г. отмечалось, что размеры стабилизаторов ракет</w:t>
      </w:r>
      <w:r w:rsidRPr="00A3026E">
        <w:rPr>
          <w:rFonts w:ascii="Times New Roman" w:hAnsi="Times New Roman"/>
          <w:color w:val="000000" w:themeColor="text1"/>
          <w:sz w:val="16"/>
          <w:szCs w:val="16"/>
        </w:rPr>
        <w:softHyphen/>
        <w:t>ных авиабомб всех калибров (за исключением БРАБ-203 мм с ДС необ</w:t>
      </w:r>
      <w:r w:rsidRPr="00A3026E">
        <w:rPr>
          <w:rFonts w:ascii="Times New Roman" w:hAnsi="Times New Roman"/>
          <w:color w:val="000000" w:themeColor="text1"/>
          <w:sz w:val="16"/>
          <w:szCs w:val="16"/>
        </w:rPr>
        <w:softHyphen/>
        <w:t>ходимо изменить, чтобы они подходили к одному из хвостовиков на бомбодержателях бомбардировщика ДБ-3. На перспективу при отра</w:t>
      </w:r>
      <w:r w:rsidRPr="00A3026E">
        <w:rPr>
          <w:rFonts w:ascii="Times New Roman" w:hAnsi="Times New Roman"/>
          <w:color w:val="000000" w:themeColor="text1"/>
          <w:sz w:val="16"/>
          <w:szCs w:val="16"/>
        </w:rPr>
        <w:softHyphen/>
        <w:t>ботке ракетных авиабомб калибров 254 и 305 мм с ДС необходимо изме</w:t>
      </w:r>
      <w:r w:rsidRPr="00A3026E">
        <w:rPr>
          <w:rFonts w:ascii="Times New Roman" w:hAnsi="Times New Roman"/>
          <w:color w:val="000000" w:themeColor="text1"/>
          <w:sz w:val="16"/>
          <w:szCs w:val="16"/>
        </w:rPr>
        <w:softHyphen/>
        <w:t>нить схему воспламенения РЗ, так чтобы в момент его действия из сопла не вылетало никаких металлических деталей. И чтобы воспламенять РЗ безопасно было не только в нижней части траектории, но и в начале. То есть, допускать бомбометание с горизонтального полета и пикирова</w:t>
      </w:r>
      <w:r w:rsidRPr="00A3026E">
        <w:rPr>
          <w:rFonts w:ascii="Times New Roman" w:hAnsi="Times New Roman"/>
          <w:color w:val="000000" w:themeColor="text1"/>
          <w:sz w:val="16"/>
          <w:szCs w:val="16"/>
        </w:rPr>
        <w:softHyphen/>
        <w:t>ния. Именно это предопределило дублированную схему запуска ракет</w:t>
      </w:r>
      <w:r w:rsidRPr="00A3026E">
        <w:rPr>
          <w:rFonts w:ascii="Times New Roman" w:hAnsi="Times New Roman"/>
          <w:color w:val="000000" w:themeColor="text1"/>
          <w:sz w:val="16"/>
          <w:szCs w:val="16"/>
        </w:rPr>
        <w:softHyphen/>
        <w:t>ных двигателей БРАБ и БЕТАБ от дистанционных трубок ТМ-24 и ТМ-25, установленных попарно на переднем центрирующем утолщении боеприпасов (11402).</w:t>
      </w:r>
    </w:p>
    <w:p w14:paraId="6926CF0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0E172A0"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в последний предвоенный год предприятия НКБ наладили массовое производство РС-82 (годовой план в 125,1 тыс. штук) и РС-132 (31,68 тыс. штук) для ВВС. Сверх того, заказчик запросил 1000 штук РОФС-132, и это требование было удовлетворено. Начальник 8-го управления ГУ ВВС Никонов постоянно отмечал нехватку в строевых частях отпечатанного тиража «Краткого руководства для изучения РС». Дважды - в 1939 и 1940 г. его подразделение рассылало в действующие части информационные бюлле</w:t>
      </w:r>
      <w:r w:rsidRPr="00A3026E">
        <w:rPr>
          <w:rFonts w:ascii="Times New Roman" w:hAnsi="Times New Roman"/>
          <w:color w:val="000000" w:themeColor="text1"/>
          <w:sz w:val="16"/>
          <w:szCs w:val="16"/>
        </w:rPr>
        <w:softHyphen/>
        <w:t>тени и инструкции по хранению и эксплуатации РС и РО, стремясь нара</w:t>
      </w:r>
      <w:r w:rsidRPr="00A3026E">
        <w:rPr>
          <w:rFonts w:ascii="Times New Roman" w:hAnsi="Times New Roman"/>
          <w:color w:val="000000" w:themeColor="text1"/>
          <w:sz w:val="16"/>
          <w:szCs w:val="16"/>
        </w:rPr>
        <w:softHyphen/>
        <w:t>стить количество самолетов-ракетоносцев в истребительных и бомбарди</w:t>
      </w:r>
      <w:r w:rsidRPr="00A3026E">
        <w:rPr>
          <w:rFonts w:ascii="Times New Roman" w:hAnsi="Times New Roman"/>
          <w:color w:val="000000" w:themeColor="text1"/>
          <w:sz w:val="16"/>
          <w:szCs w:val="16"/>
        </w:rPr>
        <w:softHyphen/>
        <w:t>ровочных полках. Но официально их было совсем немного (11402).</w:t>
      </w:r>
    </w:p>
    <w:p w14:paraId="33F71C3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20C74F74" w14:textId="77777777" w:rsidR="00D10C51" w:rsidRPr="00A3026E" w:rsidRDefault="00D10C51" w:rsidP="00A3026E">
      <w:pPr>
        <w:pStyle w:val="ae"/>
        <w:shd w:val="clear" w:color="auto" w:fill="FFFFFF"/>
        <w:spacing w:before="0" w:after="0"/>
        <w:jc w:val="both"/>
        <w:rPr>
          <w:color w:val="0070C0"/>
          <w:sz w:val="16"/>
          <w:szCs w:val="16"/>
        </w:rPr>
      </w:pPr>
      <w:r w:rsidRPr="00A3026E">
        <w:rPr>
          <w:color w:val="0070C0"/>
          <w:sz w:val="16"/>
          <w:szCs w:val="16"/>
        </w:rPr>
        <w:t>В 1940 году Отделу 2н НИИ № 3 предлагалось выполнить работы по следующим объектам:</w:t>
      </w:r>
    </w:p>
    <w:p w14:paraId="193FCBFE" w14:textId="77777777" w:rsidR="00D10C51" w:rsidRPr="00A3026E" w:rsidRDefault="00D10C51"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Объект 213 – Электрофицированная установка на ЗИС для стрельбы осветительными и сигнальными. Р.С. калибров 140-165мм. (Примечание: впервые электропривод для боевой машины реактивной артиллерии был применен в конструкции боевой машины БМ-21 Полевой реактивной системы М-21).</w:t>
      </w:r>
    </w:p>
    <w:p w14:paraId="3F818140" w14:textId="77777777" w:rsidR="00D10C51" w:rsidRPr="00A3026E" w:rsidRDefault="00D10C51"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Объект 214 – Установка на 2-х осном прицепе с 16-ю направляющими длиной l = 6мt. для Р.С. калибров 140-165мм. (переделка и приспособление объекта 204)</w:t>
      </w:r>
    </w:p>
    <w:p w14:paraId="66485402" w14:textId="77777777" w:rsidR="00D10C51" w:rsidRPr="00A3026E" w:rsidRDefault="00D10C51"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Объект 215 – Электрофицированная установка на ЗИС-6 с возимым запасом Р.С. и с большим диапазоном углов наводки.</w:t>
      </w:r>
    </w:p>
    <w:p w14:paraId="7FCBAFCF" w14:textId="77777777" w:rsidR="00D10C51" w:rsidRPr="00A3026E" w:rsidRDefault="00D10C51"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Объект 216 – Зарядный ящик для РС на прицепе</w:t>
      </w:r>
    </w:p>
    <w:p w14:paraId="4424854B" w14:textId="77777777" w:rsidR="00D10C51" w:rsidRPr="00A3026E" w:rsidRDefault="00D10C51"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Объект 217 – Установка на 2-х осном прицепе для стрельбы ракетами дальнего действия</w:t>
      </w:r>
    </w:p>
    <w:p w14:paraId="481A7A11" w14:textId="77777777" w:rsidR="00D10C51" w:rsidRPr="00A3026E" w:rsidRDefault="00D10C51"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Объект 218 – Зенитная движущаяся установка на 12 шт. Р.С. калибра 140 мм с электрическим приводом</w:t>
      </w:r>
    </w:p>
    <w:p w14:paraId="3AC9C6A0" w14:textId="77777777" w:rsidR="00D10C51" w:rsidRPr="00A3026E" w:rsidRDefault="00D10C51"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Объект 219 – Зенитная стационарная установка на 50-80 Р.С. калибра 140 мм.</w:t>
      </w:r>
    </w:p>
    <w:p w14:paraId="69D5C9E7" w14:textId="77777777" w:rsidR="00D10C51" w:rsidRPr="00A3026E" w:rsidRDefault="00D10C51"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Объект 220 – Командная установка на автомашине ЗИС-6 с генератором электрического тока, пультом наводки и управления стрельбой</w:t>
      </w:r>
    </w:p>
    <w:p w14:paraId="49AFA4B2" w14:textId="77777777" w:rsidR="00D10C51" w:rsidRPr="00A3026E" w:rsidRDefault="00D10C51"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Объект 221 – Универсальная установка на 2-х осном прицепе для возможных полигонных отстрелов РС калибров от 82 до 165 мм.</w:t>
      </w:r>
    </w:p>
    <w:p w14:paraId="724E0B37" w14:textId="77777777" w:rsidR="00D10C51" w:rsidRPr="00A3026E" w:rsidRDefault="00D10C51"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Объект 222 – Механизированная установка для сопровождения танков</w:t>
      </w:r>
    </w:p>
    <w:p w14:paraId="371132EB" w14:textId="77777777" w:rsidR="00D10C51" w:rsidRPr="00A3026E" w:rsidRDefault="00D10C51" w:rsidP="00A3026E">
      <w:pPr>
        <w:shd w:val="clear" w:color="auto" w:fill="FFFFFF"/>
        <w:spacing w:after="0" w:line="240" w:lineRule="auto"/>
        <w:jc w:val="both"/>
        <w:rPr>
          <w:rFonts w:ascii="Times New Roman" w:hAnsi="Times New Roman"/>
          <w:color w:val="0070C0"/>
          <w:sz w:val="16"/>
          <w:szCs w:val="16"/>
        </w:rPr>
      </w:pPr>
      <w:r w:rsidRPr="00A3026E">
        <w:rPr>
          <w:rFonts w:ascii="Times New Roman" w:hAnsi="Times New Roman"/>
          <w:color w:val="0070C0"/>
          <w:sz w:val="16"/>
          <w:szCs w:val="16"/>
        </w:rPr>
        <w:t>Объект 223 – Внедрение в промышленность серийного производства механизированных установок (21476).</w:t>
      </w:r>
    </w:p>
    <w:p w14:paraId="29DB379E" w14:textId="77777777" w:rsidR="00D10C51" w:rsidRPr="00A3026E" w:rsidRDefault="00D10C51" w:rsidP="00A3026E">
      <w:pPr>
        <w:spacing w:after="0" w:line="240" w:lineRule="auto"/>
        <w:jc w:val="both"/>
        <w:rPr>
          <w:rFonts w:ascii="Times New Roman" w:eastAsia="Times New Roman" w:hAnsi="Times New Roman"/>
          <w:color w:val="0070C0"/>
          <w:sz w:val="16"/>
          <w:szCs w:val="16"/>
          <w:lang w:eastAsia="ru-RU"/>
        </w:rPr>
      </w:pPr>
    </w:p>
    <w:p w14:paraId="2A03789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И.П.Кучеренко предложил высокопроизводительные шнек-винты и предварительную засыпку ВВ в камору снаряда, что повысило производительность на 40%. Предложенный НИИ-6 и внедренный в 1940 г. горизонтальный шнек-аппарат простой конструкции имел про</w:t>
      </w:r>
      <w:r w:rsidRPr="00A3026E">
        <w:rPr>
          <w:rFonts w:ascii="Times New Roman" w:hAnsi="Times New Roman"/>
          <w:color w:val="000000" w:themeColor="text1"/>
          <w:sz w:val="16"/>
          <w:szCs w:val="16"/>
        </w:rPr>
        <w:softHyphen/>
        <w:t>изводительность в 4 раза большую, чем вертикальный, и сыграл важную роль в увеличении выпуска боеприпасов в годы войны.</w:t>
      </w:r>
    </w:p>
    <w:p w14:paraId="62366C0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шнекованию были присущи и некоторые недостатки. Наибо</w:t>
      </w:r>
      <w:r w:rsidRPr="00A3026E">
        <w:rPr>
          <w:rFonts w:ascii="Times New Roman" w:hAnsi="Times New Roman"/>
          <w:color w:val="000000" w:themeColor="text1"/>
          <w:sz w:val="16"/>
          <w:szCs w:val="16"/>
        </w:rPr>
        <w:softHyphen/>
        <w:t>лее серьезный - неравномерная плотность разрывного заряда по центру и в периферийных слоях, усиливающаяся в снарядах с большим поднут</w:t>
      </w:r>
      <w:r w:rsidRPr="00A3026E">
        <w:rPr>
          <w:rFonts w:ascii="Times New Roman" w:hAnsi="Times New Roman"/>
          <w:color w:val="000000" w:themeColor="text1"/>
          <w:sz w:val="16"/>
          <w:szCs w:val="16"/>
        </w:rPr>
        <w:softHyphen/>
        <w:t>рением.</w:t>
      </w:r>
    </w:p>
    <w:p w14:paraId="5CDA6E2E"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сотрудники НИИ-6 А.А.Гринберг, А.П.Бирюков, М.Е.Шпунтова, С.И.Беленький, В.П.Полякова и И.В.Мильчаков разра</w:t>
      </w:r>
      <w:r w:rsidRPr="00A3026E">
        <w:rPr>
          <w:rFonts w:ascii="Times New Roman" w:hAnsi="Times New Roman"/>
          <w:color w:val="000000" w:themeColor="text1"/>
          <w:sz w:val="16"/>
          <w:szCs w:val="16"/>
        </w:rPr>
        <w:softHyphen/>
        <w:t>ботали еще более высокопроизводительный раздельно-шашечный метод снаряжения малокалиберных, а затем и снарядов среднего калибра. Суть метода заключалась во вставке готовых, предварительно отпрессованных шашек ВВ в корпус снаряда. Метод исключал перевозку корпусов снаря</w:t>
      </w:r>
      <w:r w:rsidRPr="00A3026E">
        <w:rPr>
          <w:rFonts w:ascii="Times New Roman" w:hAnsi="Times New Roman"/>
          <w:color w:val="000000" w:themeColor="text1"/>
          <w:sz w:val="16"/>
          <w:szCs w:val="16"/>
        </w:rPr>
        <w:softHyphen/>
        <w:t>дов на снаряжательные заводы, а снаряженных корпусов - на базы ком</w:t>
      </w:r>
      <w:r w:rsidRPr="00A3026E">
        <w:rPr>
          <w:rFonts w:ascii="Times New Roman" w:hAnsi="Times New Roman"/>
          <w:color w:val="000000" w:themeColor="text1"/>
          <w:sz w:val="16"/>
          <w:szCs w:val="16"/>
        </w:rPr>
        <w:softHyphen/>
        <w:t>плектации, а также многочисленные повторные операции по укупорке и разукупорке изделий, постановке и снятию втулок, чистке и пр. Он был внедрен в 1941 г. и широко использовался в годы войны для снаря</w:t>
      </w:r>
      <w:r w:rsidRPr="00A3026E">
        <w:rPr>
          <w:rFonts w:ascii="Times New Roman" w:hAnsi="Times New Roman"/>
          <w:color w:val="000000" w:themeColor="text1"/>
          <w:sz w:val="16"/>
          <w:szCs w:val="16"/>
        </w:rPr>
        <w:softHyphen/>
        <w:t>жения артбоеприпасов (11402).</w:t>
      </w:r>
    </w:p>
    <w:p w14:paraId="42C1B24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1BE21A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был доклад директора НИИ-3 Б.М.Слонимера и главного инженера НИИ-3 А.Г.Костикова начальнику 4-го ГУ НКБ Иванову: «Ракетные агитацион</w:t>
      </w:r>
      <w:r w:rsidRPr="00A3026E">
        <w:rPr>
          <w:rFonts w:ascii="Times New Roman" w:hAnsi="Times New Roman"/>
          <w:color w:val="000000" w:themeColor="text1"/>
          <w:sz w:val="16"/>
          <w:szCs w:val="16"/>
        </w:rPr>
        <w:softHyphen/>
        <w:t>ные снаряды имеют большее преимущество перед артиллерийскими боеприпасами того же назначения. У них расход металла на 1 кг разбросан</w:t>
      </w:r>
      <w:r w:rsidRPr="00A3026E">
        <w:rPr>
          <w:rFonts w:ascii="Times New Roman" w:hAnsi="Times New Roman"/>
          <w:color w:val="000000" w:themeColor="text1"/>
          <w:sz w:val="16"/>
          <w:szCs w:val="16"/>
        </w:rPr>
        <w:softHyphen/>
        <w:t>ной литературы в 1,5 раза меньше. Работы по РАС в НИИ-3 закончены. Спроса на боеприпасы данного типа нет.</w:t>
      </w:r>
    </w:p>
    <w:p w14:paraId="4C29FFD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Ракетные зажигательные РЗС-82 и РЗС-132, предназначенные для создания очагов пожара в пунктах, наиболее важных по тактическим и стратегическим соображениям, способны при залповой стрельбе создать массивность огня. У них расход металла на количество зажигательных сегментов в 1,5 раза меньше, чем у артиллерийских боеприпасов того же назначения, а количество сегментов в 2-2,5 раза больше, чем у артбое-припасов того же калибра. В одном залпе многозарядная установка вы</w:t>
      </w:r>
      <w:r w:rsidRPr="00A3026E">
        <w:rPr>
          <w:rFonts w:ascii="Times New Roman" w:hAnsi="Times New Roman"/>
          <w:color w:val="000000" w:themeColor="text1"/>
          <w:sz w:val="16"/>
          <w:szCs w:val="16"/>
        </w:rPr>
        <w:softHyphen/>
        <w:t>стреливает 1500 зажигательных элементов, накрывает большую пло</w:t>
      </w:r>
      <w:r w:rsidRPr="00A3026E">
        <w:rPr>
          <w:rFonts w:ascii="Times New Roman" w:hAnsi="Times New Roman"/>
          <w:color w:val="000000" w:themeColor="text1"/>
          <w:sz w:val="16"/>
          <w:szCs w:val="16"/>
        </w:rPr>
        <w:softHyphen/>
        <w:t>щадь, тушить пожары на которой просто невозможно. При дальности стрельбы РЗС-82 - 8000 м и РЗС-132 - 9000 м, их можно использовать в артиллерии, авиации, танковых и других частях.</w:t>
      </w:r>
    </w:p>
    <w:p w14:paraId="0249844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артиллерии дымовые снаряды не дают требуемого дымового эффе</w:t>
      </w:r>
      <w:r w:rsidRPr="00A3026E">
        <w:rPr>
          <w:rFonts w:ascii="Times New Roman" w:hAnsi="Times New Roman"/>
          <w:color w:val="000000" w:themeColor="text1"/>
          <w:sz w:val="16"/>
          <w:szCs w:val="16"/>
        </w:rPr>
        <w:softHyphen/>
        <w:t>кта (коэффициент наполнения артснарядов всего 10-12%). Однако на боеприпасы данного типа возлагаются важные функции:</w:t>
      </w:r>
    </w:p>
    <w:p w14:paraId="596433B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 прикрытие маневра своих войск;</w:t>
      </w:r>
    </w:p>
    <w:p w14:paraId="7421D05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затруднение ведения прицельного огня противником;</w:t>
      </w:r>
    </w:p>
    <w:p w14:paraId="5042CC6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временное ослепление наблюдателей противника;</w:t>
      </w:r>
    </w:p>
    <w:p w14:paraId="2DA7B4B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временное ослепление пулеметных гнезд и минометных позиций противника;</w:t>
      </w:r>
    </w:p>
    <w:p w14:paraId="15CD1758"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временное ослепление отдельных оборонительных пунктов против</w:t>
      </w:r>
      <w:r w:rsidRPr="00A3026E">
        <w:rPr>
          <w:rFonts w:ascii="Times New Roman" w:hAnsi="Times New Roman"/>
          <w:color w:val="000000" w:themeColor="text1"/>
          <w:sz w:val="16"/>
          <w:szCs w:val="16"/>
        </w:rPr>
        <w:softHyphen/>
        <w:t>ника;</w:t>
      </w:r>
    </w:p>
    <w:p w14:paraId="7805414A"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создание завес для танковых атак.</w:t>
      </w:r>
    </w:p>
    <w:p w14:paraId="7CA6A82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РДС-152 имеет коэффициент наполнения 25-30% и время дымообразования 5 мин. При стрельбе с многопланочной пусковой установки в короткое время можно создать мощную завесу. Испытание РДС на море имели меньший успех из-за невозможности создания высокой завесы.</w:t>
      </w:r>
    </w:p>
    <w:p w14:paraId="208E763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Ракетный парашютный осветительный снаряд можно использовать во всех родах войск. Расход металла на 1 кг осветительного вещества у них в 2,5 раза меньше, чем у артснарядов того же назначения. Время горения факела в РОСС-95 составляет 60 с, что при стрельбе ими из многозарядной установ</w:t>
      </w:r>
      <w:r w:rsidRPr="00A3026E">
        <w:rPr>
          <w:rFonts w:ascii="Times New Roman" w:hAnsi="Times New Roman"/>
          <w:color w:val="000000" w:themeColor="text1"/>
          <w:sz w:val="16"/>
          <w:szCs w:val="16"/>
        </w:rPr>
        <w:softHyphen/>
        <w:t>ки позволяет непрерывно освещать местность в течение 30 мин.</w:t>
      </w:r>
    </w:p>
    <w:p w14:paraId="145A6B9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Маскирующие дымовые пиротехнические средства приобрели в голы войны (первая Мировая и Гражданская. — С.Р.) исключительно важное значение и применялись в огромных количествах. Это было связано с тем, что при стрельбе в дыму из винтовок и пулеметов по целям, находя</w:t>
      </w:r>
      <w:r w:rsidRPr="00A3026E">
        <w:rPr>
          <w:rFonts w:ascii="Times New Roman" w:hAnsi="Times New Roman"/>
          <w:color w:val="000000" w:themeColor="text1"/>
          <w:sz w:val="16"/>
          <w:szCs w:val="16"/>
        </w:rPr>
        <w:softHyphen/>
        <w:t>щимися вне дымового облака, эффективность огня снижалась в 12-16 раз, а при стрельбе из незадымленного района по целям, находящимся в дыму, в 3-5 раз. При маскировке поля боя дымами затруднялось управле</w:t>
      </w:r>
      <w:r w:rsidRPr="00A3026E">
        <w:rPr>
          <w:rFonts w:ascii="Times New Roman" w:hAnsi="Times New Roman"/>
          <w:color w:val="000000" w:themeColor="text1"/>
          <w:sz w:val="16"/>
          <w:szCs w:val="16"/>
        </w:rPr>
        <w:softHyphen/>
        <w:t>ние подразделениями, так как видимость в дыму даже при средней его плотности не превышала 20-50 шагов, а световые сигналы, вспышки орудийных выстрелов или разрывов снарядов с установленных расстоя</w:t>
      </w:r>
      <w:r w:rsidRPr="00A3026E">
        <w:rPr>
          <w:rFonts w:ascii="Times New Roman" w:hAnsi="Times New Roman"/>
          <w:color w:val="000000" w:themeColor="text1"/>
          <w:sz w:val="16"/>
          <w:szCs w:val="16"/>
        </w:rPr>
        <w:softHyphen/>
        <w:t>ний вовсе не были видны.</w:t>
      </w:r>
    </w:p>
    <w:p w14:paraId="6BDEFFA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Дымовые снаряды и мины снаряжали белым фосфором и разрывным зарядом из тротила. При разрыве дымового 122-мм снаряда или 120-мм мины образовывалось дымовое облако диаметром 30-40 м, а при разры</w:t>
      </w:r>
      <w:r w:rsidRPr="00A3026E">
        <w:rPr>
          <w:rFonts w:ascii="Times New Roman" w:hAnsi="Times New Roman"/>
          <w:color w:val="000000" w:themeColor="text1"/>
          <w:sz w:val="16"/>
          <w:szCs w:val="16"/>
        </w:rPr>
        <w:softHyphen/>
        <w:t>ве 76-мм снаряда - 20-25 м. Облако сохраняло достаточную кроющую способность при расширении после взрыва до 100-150 м» (11406).</w:t>
      </w:r>
    </w:p>
    <w:p w14:paraId="6502D4E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38AD97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1940 год – объем выпущенного алюминия достиг 60 тыс. тонн. СССР вышел на третье место в мире по этому показателю, уступая Германии и США. На территории нынешней Российской Федерации работают два алюминиевых и один глиноземный завод. </w:t>
      </w:r>
    </w:p>
    <w:p w14:paraId="769ADD1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строй вступает Ступинский алюминиевый комбинат – на тот момент самый большой в мире, годом позже его первая очередь выходит на проектную мощностью. </w:t>
      </w:r>
    </w:p>
    <w:p w14:paraId="2E2003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Принято решение о строительстве Богословского алюминиевого завода недалеко от реки Турьи и поселка Турьинские рудники. </w:t>
      </w:r>
    </w:p>
    <w:p w14:paraId="1D28EC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1941-1945 гг. – в рамках масштабной промышленной эвакуации оборудование Волховского и Тихвинского заводов перевозят на Урал и в Западную Сибирь, где на их основе начинают строительство Богословского и Новокузнецкого (в то время – Сталинского) заводов соответственно. Уральский алюминиевый завод остается единственным в Советском Союзе предприятием, выпускающим глинозем, алюминий и его сплавы на нужды обороны. </w:t>
      </w:r>
    </w:p>
    <w:p w14:paraId="4612B7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1943 год – Сталинский (Новокузнецкий) и Богословский алюминиевые заводы вступают в строй. Богословский завод вплоть до 1945 года производит только гидроксид алюминия (12271). </w:t>
      </w:r>
    </w:p>
    <w:p w14:paraId="5729547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79AB7EA"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358E85EB"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37B45027"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постановлением СНК № 2161 на важнейших предприятиях промышленности были введены должности постоянных контролеров Наркомата госконтроля. Из 194 постоянных контролеров, назначенных в момент выхода постановления, 80, т.е. почти половина, посылались на предприятия оборонных наркоматов, а остальные — на предприятия тяжелой промышленности (18627).</w:t>
      </w:r>
    </w:p>
    <w:p w14:paraId="1B73C276" w14:textId="77777777" w:rsidR="00F45F7F" w:rsidRPr="00A3026E" w:rsidRDefault="00F45F7F" w:rsidP="00A3026E">
      <w:pPr>
        <w:spacing w:after="0" w:line="240" w:lineRule="auto"/>
        <w:jc w:val="both"/>
        <w:rPr>
          <w:rFonts w:ascii="Times New Roman" w:hAnsi="Times New Roman"/>
          <w:color w:val="000000" w:themeColor="text1"/>
          <w:sz w:val="16"/>
          <w:szCs w:val="16"/>
        </w:rPr>
      </w:pPr>
    </w:p>
    <w:p w14:paraId="42F7D79F"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военно-мобилизационная подготовка промышленности СССР имела своей основной задачей обеспечить поставку в военное время необходимого вооруженным силам страны предметов военного потребления в количестве, заявленном НКО СССР. Для этого разрабатывались:</w:t>
      </w:r>
    </w:p>
    <w:p w14:paraId="3917D5CA"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сводный мобилизационный план промышленности;</w:t>
      </w:r>
    </w:p>
    <w:p w14:paraId="627176DB"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мобилизационные планы наркоматов;</w:t>
      </w:r>
    </w:p>
    <w:p w14:paraId="35E98C8C"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мобилизационные планы предприятий.</w:t>
      </w:r>
    </w:p>
    <w:p w14:paraId="5BC19A4B"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Сводный мобилизационный план промышленности состоял:</w:t>
      </w:r>
    </w:p>
    <w:p w14:paraId="2D491B5E"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из сводного расчета потребности и графика подачи вооружения и боевой техники по основным номенклатурам;</w:t>
      </w:r>
    </w:p>
    <w:p w14:paraId="68ABC31B"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плана мероприятий, обеспечивающих подачу (наращивание производственных мощностей в период действия мобплана, схемы отраслевого и межотраслевого кооперирования промышленных предприятий);</w:t>
      </w:r>
    </w:p>
    <w:p w14:paraId="2068DA79"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сводного плана материально-технического обеспечения.</w:t>
      </w:r>
    </w:p>
    <w:p w14:paraId="71920A81"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Сводный мобилизационный план наркоматов включал:</w:t>
      </w:r>
    </w:p>
    <w:p w14:paraId="0AA9D9B3"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мобилизационное задание и расчеты подачи по всем основным номенклатурам вооружения;</w:t>
      </w:r>
    </w:p>
    <w:p w14:paraId="31114B9F"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распределение мобзадания по предприятиям наркомата с указанием схем кооперации;</w:t>
      </w:r>
    </w:p>
    <w:p w14:paraId="7F8ED0F3"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мероприятий, обеспечивающих подачу;</w:t>
      </w:r>
    </w:p>
    <w:p w14:paraId="24F2F157"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план материально-технического обеспечения (потребности и источники покрытия);</w:t>
      </w:r>
    </w:p>
    <w:p w14:paraId="17216236"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 мероприятия по переводу предприятий на военное положение.</w:t>
      </w:r>
    </w:p>
    <w:p w14:paraId="76C16FA8"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Мобилизационные задания предприятий включали в себя:</w:t>
      </w:r>
    </w:p>
    <w:p w14:paraId="75E56927"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мероприятия, проводимые с объявлением мобилизации или по особому распоряжению правительства;</w:t>
      </w:r>
    </w:p>
    <w:p w14:paraId="7CFFF75F"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производственную мобилизационную программу или иное задание;</w:t>
      </w:r>
    </w:p>
    <w:p w14:paraId="02C2019C"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особые указания по осуществлению программы или задания, например, производство каких видов продукции начать, каких на столько-то процентов сократить, выпуск каких изделий вовсе свернуть;</w:t>
      </w:r>
    </w:p>
    <w:p w14:paraId="67C46827"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подготовительные мероприятия к осуществлению мобилизационного задания.</w:t>
      </w:r>
    </w:p>
    <w:p w14:paraId="74DC9FFF"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Мобилизационное задание выдавалось директору предприятия (объединения) за подписью начальника главка и начальника мобилизационного отдела, регистрировалось после утверждения Наркомом под отдельным номером в книге регистрации мобилизационных заданий наркомата. Все документы, имеющие отношение к мобзаданию, например, чертежи и проектно-сметная документация, подлежали хранению отдельно от прочих секретных документов, могли передаваться и пересылаться только по линии мобилизационных органов.  Начальники мобилизационных отделов наркоматов и главков, директора заводов несли персональную ответственность за разглашение тайны мобплана, «будь это сделано в частном разговоре или при докладе на заседании партийного, советского или какого-либо другого органа». [2]</w:t>
      </w:r>
    </w:p>
    <w:p w14:paraId="4EF2E5D5"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Общее руководство разработкой, обеспечением и проведением в жизнь мобилизационного плана промышленности в 1928–1938 гг. осуществлял Совет Труда и Обороны (вначале через Распорядительные Заседания затем через Комиссию Обороны), а в 1938–1941 гг. Комитет Обороны при СНК СССР. Мобилизационные планы отраслей промышленности, имеющих оборонное значение, в 1932–1936 гг. разрабатывали главки Наркомата Тяжелого Машиностроения СССР. В 1937–1938 гг. разработка мобилизационного плана по вооружению, боевой техники и военно-техническому имуществу была возложена на Наркомат Оборонной промышленности СССР; по машинам и механизмам – на Наркомат Машиностроения СССР; по металлу, топливу, электроэнергии – на Наркомат Тяжелого Машиностроения СССР.</w:t>
      </w:r>
    </w:p>
    <w:p w14:paraId="5768014E"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результате разукрупнения в 1938–1940 гг. вышеуказанных промышленных наркоматов и формирования новых, мобилизационный план промышленности потребовал более сложной ведомственной увязки и согласованности. Для этой цели при Комитете Обороны весной 1938 г. была создана Военно-Промышленная Комиссия (председатель Л. М. Каганович), а при ней – Военно-Техническое Бюро (18676).</w:t>
      </w:r>
    </w:p>
    <w:p w14:paraId="4C0700E0" w14:textId="77777777" w:rsidR="00F45F7F" w:rsidRPr="00A3026E" w:rsidRDefault="00F45F7F" w:rsidP="00A3026E">
      <w:pPr>
        <w:spacing w:after="0" w:line="240" w:lineRule="auto"/>
        <w:jc w:val="both"/>
        <w:rPr>
          <w:rFonts w:ascii="Times New Roman" w:hAnsi="Times New Roman"/>
          <w:color w:val="000000" w:themeColor="text1"/>
          <w:sz w:val="16"/>
          <w:szCs w:val="16"/>
        </w:rPr>
      </w:pPr>
    </w:p>
    <w:p w14:paraId="43B96E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на базе предприятия НКПП был создан Завод № 558 НКБ (Завод № 558 НКБ, п/я 41, Завод, ПО «Старт», АООТ, ОАО «Нижегородский завод «Старт» Росбоеприпаса /г. Горький п/я 41 «Замок» (1943 г.)/ /606185 пос. Елизарово Сосновского р-на Нижегородской обл. ул. Советская/), был в 1941 г.; в 12.1942-11.1943 г. - в ведении 2ГУ НКБ, в 09.1944 г. - в ведении 8ГУ. Имел обозначение «п/я 41» (1943 г.).</w:t>
      </w:r>
    </w:p>
    <w:p w14:paraId="3BD728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составе завода цехи (1943 г.): основные: механические, кузнечно-прессовый, термический. Количество оборудования- 322 ед.</w:t>
      </w:r>
    </w:p>
    <w:p w14:paraId="48415D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Был в 2003 г. Производство взрывателей для снарядов.</w:t>
      </w:r>
    </w:p>
    <w:p w14:paraId="0E9AB5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(04.1943 г.): производственная- 2095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вспомогательная- 3825 м~.</w:t>
      </w:r>
    </w:p>
    <w:p w14:paraId="601EAA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(12.1942 г.)- 1461 чел.</w:t>
      </w:r>
    </w:p>
    <w:p w14:paraId="1382A0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(04.1943 г.)- Смирнов, (1945-46 г.)- А.В. Домрачев.</w:t>
      </w:r>
    </w:p>
    <w:p w14:paraId="1558B7B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(1941 г.)- Бердичевский.</w:t>
      </w:r>
    </w:p>
    <w:p w14:paraId="078D04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(04.1943 г.)- Бердичевский.</w:t>
      </w:r>
    </w:p>
    <w:p w14:paraId="47EDE4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отделов: ППО (04.1943 г.)- Тархановский.</w:t>
      </w:r>
    </w:p>
    <w:p w14:paraId="0C6C1467" w14:textId="77777777" w:rsidR="0014077F" w:rsidRPr="00A3026E" w:rsidRDefault="0014077F" w:rsidP="00A3026E">
      <w:pPr>
        <w:spacing w:after="0" w:line="240" w:lineRule="auto"/>
        <w:jc w:val="both"/>
        <w:rPr>
          <w:rFonts w:ascii="Times New Roman" w:hAnsi="Times New Roman"/>
          <w:color w:val="000000" w:themeColor="text1"/>
          <w:sz w:val="16"/>
          <w:szCs w:val="16"/>
          <w:vertAlign w:val="superscript"/>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капсюльная втулка КВ-4 (1943) (11982).</w:t>
      </w:r>
    </w:p>
    <w:p w14:paraId="295777A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B9713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был создан Завод № 572 НКБ (Завод № 572 НКБ, п/я 221 /г. Саратов п/я 221 «Отпор» (1943 г.)/) на базе предприятия НКПП. В 1941 г. после начала войны на площадку завода эвакуированы из Ленинграда: часть завода № 4 НКБ (производство взрывателей К-6, К-20 и В-179; 530 чел.). К 30.12.1941 г. производство на новом месте восстановлено; завод № 177 (приборостроение, 160 чел.), продолжил действовать как цех завода № 572. Приборостроение. Мощность производства (на 1.01.1942 г.): К-6 - 6 млн. шт. в год; В-179 (ДВ)- 2,4 млн. шт.; К-20 - 4, 7 млн. шт. В 1943 г. строился цех № 5.</w:t>
      </w:r>
    </w:p>
    <w:p w14:paraId="0DE30F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12.1942-11.1943 г. - в ведении 2ГУ НКБ, в 09.1944 г. - в ведении 8ГУ. Имел обозначение «п/я 221» (1943 г.).</w:t>
      </w:r>
    </w:p>
    <w:p w14:paraId="5ACA53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Количество оборудования (1943 г.)- 622 ед.</w:t>
      </w:r>
    </w:p>
    <w:p w14:paraId="1EF1E5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Площадь (1943 г.): производственная- 6234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 вспомогательная- 2523 м</w:t>
      </w:r>
      <w:r w:rsidRPr="00A3026E">
        <w:rPr>
          <w:rFonts w:ascii="Times New Roman" w:hAnsi="Times New Roman"/>
          <w:color w:val="000000" w:themeColor="text1"/>
          <w:sz w:val="16"/>
          <w:szCs w:val="16"/>
          <w:vertAlign w:val="superscript"/>
        </w:rPr>
        <w:t>2</w:t>
      </w:r>
      <w:r w:rsidRPr="00A3026E">
        <w:rPr>
          <w:rFonts w:ascii="Times New Roman" w:hAnsi="Times New Roman"/>
          <w:color w:val="000000" w:themeColor="text1"/>
          <w:sz w:val="16"/>
          <w:szCs w:val="16"/>
        </w:rPr>
        <w:t>.</w:t>
      </w:r>
    </w:p>
    <w:p w14:paraId="40F6EE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Численность персонала (12.1942 г.)- 4260 чел.</w:t>
      </w:r>
    </w:p>
    <w:p w14:paraId="5C1747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(04.1943 г.)- Фокин.</w:t>
      </w:r>
    </w:p>
    <w:p w14:paraId="041397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Начальники отделов: планового (04.1943 г.)- Севастьянов.</w:t>
      </w:r>
    </w:p>
    <w:p w14:paraId="7EB9C52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взрыватели: К-6, К-20, В-179 (1943) (11982).</w:t>
      </w:r>
    </w:p>
    <w:p w14:paraId="37CD74F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00DBF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в ОТБ был разработан проект одноорудийной 356/54-мм башенной установки. Был вариант ее использования и в качестве полигонной установки. Отсюда и название БПУ-14 башенная и полигонная установка 14-дюймовая. Качающаяся часть предполагалось взять от 356-мм железнодорожной установки ТП-1. Угол вертикального наведения 2; +50. Скорость вертикального наведения 6,7 град/с, а горизонтального наведения 2 град/с, приводы, само собой разумеется, электрические. Длина отката 1500 мм. Установка помещалась в бетонном блоке общим объемом 4080 м3, из которых на помещение приходилось 1180 м3. Боекомплект в погребах 120 выстрелов. Скорострельность при углах, близких к углу заряжания (0) 3 выстр./мин (3861).</w:t>
      </w:r>
    </w:p>
    <w:p w14:paraId="0A70484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090E5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 ОТБ Кресты был разработан эскизный проект 45-мм установки БУР-20, которая представляла собой разборную башню. На сборку и разборку башни требовалось полтора-два часа. Разобранные части башни переносились вручную, вес их не превышал 150–200 кг. На вооружение башня не поступала.</w:t>
      </w:r>
    </w:p>
    <w:p w14:paraId="21C794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том же году в ОТБ была спроектирована 45-мм одноорудийная универсальная скрывающаяся башенная установка для укрепрайонов БУР-30. Дело кончилось эскизной схемой.</w:t>
      </w:r>
    </w:p>
    <w:p w14:paraId="00A677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Вращающаяся часть БУР-30 была разделена на:</w:t>
      </w:r>
    </w:p>
    <w:p w14:paraId="0D3760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 вращающуюся неподвижную часть, состоящую из бронекупола с боевым стволом, механизмами наведения и др., лежащую на шарах опорного узла нормального типа;</w:t>
      </w:r>
    </w:p>
    <w:p w14:paraId="207556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 подъемную часть, состоящую из пушки и пулемета, заключенных в броневую коробку, которая скользит по направляющим вращающейся части, и вращается с ней в горизонтальной плоскости.</w:t>
      </w:r>
    </w:p>
    <w:p w14:paraId="5087B9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Наводка осуществлялась в открытом положении.</w:t>
      </w:r>
    </w:p>
    <w:p w14:paraId="01D805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Данные установки БУР-30 </w:t>
      </w:r>
    </w:p>
    <w:p w14:paraId="5757AA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Калибр, мм — 45</w:t>
      </w:r>
    </w:p>
    <w:p w14:paraId="594660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Угол вертикального наведения, град —12; +85</w:t>
      </w:r>
    </w:p>
    <w:p w14:paraId="7BEA79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Угол горизонтального наведения, град — 360</w:t>
      </w:r>
    </w:p>
    <w:p w14:paraId="6D51FD1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горизонтального наведения, град/с — 20</w:t>
      </w:r>
    </w:p>
    <w:p w14:paraId="7D66FA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подъема установки, мм — 900</w:t>
      </w:r>
    </w:p>
    <w:p w14:paraId="72AE75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подъема или спуска, с — 4–5</w:t>
      </w:r>
    </w:p>
    <w:p w14:paraId="29E978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Броня башни, мм — 125–200</w:t>
      </w:r>
    </w:p>
    <w:p w14:paraId="7CBB41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Пулеметы в башне — 7,62-мм типа ДС</w:t>
      </w:r>
    </w:p>
    <w:p w14:paraId="36C340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установки, тонн — 35,0</w:t>
      </w:r>
    </w:p>
    <w:p w14:paraId="7B94A2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Скорострельность, выстр/мин — 30–35</w:t>
      </w:r>
    </w:p>
    <w:p w14:paraId="10398B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Расчет башни, чел — 8</w:t>
      </w:r>
    </w:p>
    <w:p w14:paraId="0AB7C6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снаряда, кг — 1,3</w:t>
      </w:r>
    </w:p>
    <w:p w14:paraId="47544E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Начальная скорость снаряда, м/с — 650 (12705).</w:t>
      </w:r>
    </w:p>
    <w:p w14:paraId="085BD0A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560E6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КБ ЛМЗ был разработан проект 406-мм береговых двухорудийных башенных установок с пушками Б-37. В III квартале 1943 года предполагалось ввести в строй две двухорудийные башенные установки на острове Нарген (3861).</w:t>
      </w:r>
    </w:p>
    <w:p w14:paraId="3189906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576D2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АНИМИ поручил заводу №371 (ЛМЗ) разработать технический проект одноорудийной 406-мм береговой щитовой установки. Угол вертикального наведения +45. Щит легкий противопульный. К июлю 1942 г. предполагалась готовность одноорудийных щитовых установок на мысе Тахкуна (северная оконечность о. Даго) (3861).</w:t>
      </w:r>
    </w:p>
    <w:p w14:paraId="3A664EB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1E6893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АНИМИ выдал ЛМЗ заказ на проектирование одноорудийной 305-мм береговой щитовой установки со сроком сдачи проекта II квартал 1941 года. Щит установки противопульный. Скорострельность 2,5-3,5 выстр/мин. Существовали и другие проекты. Тем не менее, ни по одному проекту береговых установок с качающимися частями 406/50-мм Б-37, 356/54-мм ТП-1, 305/55-мм Б-50 и 305/62-мм СМ-33 никаких работ "в металле" не велось. Не выдавался даже заказ заводам на изготовление подобных установок (3861).</w:t>
      </w:r>
    </w:p>
    <w:p w14:paraId="042AC87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85859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Грабин предложил проект 107-мм танковой пушки Ф-42 с баллистикой 107-мм пушки обр. 1910/30 г (3861).</w:t>
      </w:r>
    </w:p>
    <w:p w14:paraId="70608C7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2FA80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АНИМИ дал заказ заводу №172 на проектирование 152-мм пушки на механической тяге на базе МУ-2 с качающейся частью Б-38, со сроком готовности проекта IV квартал 1941 года (3861).</w:t>
      </w:r>
    </w:p>
    <w:p w14:paraId="1F331AD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69975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в СССР на АНИОПе испытывались две немецкие 211-мм мортиры мортира обр. 1918 г., которые были созданы фирмой Круппа и на вооружение германской армии поступили в 1939 году (3861).</w:t>
      </w:r>
    </w:p>
    <w:p w14:paraId="482BA65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D987FA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по договору с ГАУ завод № 92 работал над дивизионной 95-мм пушкой Ф-28, и Грабин в инициативном порядке (то есть не уведомляя ГАУ) накладывает ствол 85-мм зенитной пушки обр. 1939 г. на лафет Ф-28. Новая пушка получила индекс Ф-30. Кроме того, Грабиным был разработан вариант Ф-30 с круговым обстрелом. В.Г. Грабин всегда старался смотреть вперед и быть готовым ко всем капризам руководства. Если есть хорошая 85-мм "качалка" с длиной ствола в 55 клб, начальной скоростью 800 м/с, весом снаряда 9,2 кг и дальностью 15,5 км, то почему бы из нее не сделать противотанковую, и в то же время дивизионную пушку (3861).</w:t>
      </w:r>
    </w:p>
    <w:p w14:paraId="6E6586F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7F7FA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по договору с ГАУ завод № 92 работал над 95-мм пушкой Ф-28 и Грабин в инициативном порядке (то есть не уведомляя ГАУ) накладывает ствол 85-мм зенитной пушки обр. 1939 г. на лафет Ф-28. Новая пушка получила индекс Ф-30. Кроме того, Грабиным был разработан вариант Ф-30 с круговым обстрелом (3861).</w:t>
      </w:r>
    </w:p>
    <w:p w14:paraId="0F5ED1A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39E2C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завод № 352 изготовил опытную серию в 24 107-мм пушки М-10, а в 1941 году 103 пушки. На этом работы над М-60 были закончены. В 19411942 годах особой нужды в ней не было, а Новочеркасск был занят немцами.</w:t>
      </w:r>
    </w:p>
    <w:p w14:paraId="261042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76-мм дивизионные пушки Ф-22 уже не производилась. Таким образом, РККА было сдано 2932 пушки (3861).</w:t>
      </w:r>
    </w:p>
    <w:p w14:paraId="58D64DD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0757F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в связи с возвращением Эстляндии в состав России в береговую оборону Балтийского флота вновь включена двухбашенная батарея на острове Вульф. Батарея получила № 374. После эвакуации Таллинна батарея была взорвана личным составом (3861).</w:t>
      </w:r>
    </w:p>
    <w:p w14:paraId="269EEEE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A3EC5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12/52-дюймовые пушки в башне, снятые французами в Бизерте с линкора "Генерал Алексеев" (бывший "Император Александр III"), уведенного в ходе гражданской войны, попали к немцам. Фирма Крупп создала для них новый лафет с углом возвышения до +45 (3861).</w:t>
      </w:r>
    </w:p>
    <w:p w14:paraId="151FBD0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DA348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АУ Красной армии были разработаны тактико-технические требования, которые были согласованы с генштабом Красной Армии, и на их основе заключен договор с заводом № 221 на проектирование 450-мм полевой гаубицы (3861).</w:t>
      </w:r>
    </w:p>
    <w:p w14:paraId="7C326DD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5ACA9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работы над 180/57-мм одноорудийной щитовой установкой МУ-1 были приостановлены из-за форсирования работ по МУ-2 и возобновлены в 1943 году (3861).</w:t>
      </w:r>
    </w:p>
    <w:p w14:paraId="3BF8D9B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4C5B0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ствол 162/100-мм после стрельб был поврежден и в дальнейшем мог быть использован для стрельб только неснаряженными снарядами. Снарядов на АНИОПе осталось 162/100-мм 90 (из них 48 с переделанными звездчатыми поддонами и 42 с непеределанными). Выводы комиссии по стрельбе 162/100-мм снарядами типа ЦЕА со звездчатыми поддонами: Поддоны правильно следуют по каналу и получают вращение. Отделение активных снарядов происходило нормально. Активные снаряды калибра 100 мм не получают достаточной угловой скорости из-за проворота поддонов относительно снарядов. Активные снаряды имеют неправильный полет независимо от величины начальной скорости. Постановка стопоров не обеспечивает прочности соединения поддона и снаряда стопора срезаются. Соединения поддонов и снарядов при помощи зуба приводит к ослаблению поддонов поддоны при выстреле раскалываются. Полученная начальная скорость на 8,512% меньше проектной. Условия заряжания подкалиберных снарядов со звездчатыми поддонами сложны, поэтому такие орудия не могут быть применены для полевой артиллерии. По дальности и весу снаряды со звездчатыми поддонами не могут иметь преимуществ перед поясковыми поддонами. Орудия с нарезкой под звездчатые поддоны сложны в производстве и не могут стрелять обычными снарядами. Заключение комиссии: "Область применения орудий с дальностью стрельбы свыше 100 км ограничена, так как вооруженные силы СССР не имеют задачи стрельбы по городам вообще, а могут иметь задачу стрельбы по площадям военных объектов". "Продолжать работы по звездчатым поддонам не следует, а надо продолжить опытны с поясковыми поддонами" (3861).</w:t>
      </w:r>
    </w:p>
    <w:p w14:paraId="3F1108F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B9216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проводились стрельбы из пушки Бр-2 подкалиберными снарядами с поясковыми поддонами (107/152-мм). Вес конструкции 23,6 кг, из них: активного снаряда 12,7 кг и 10,9 кг поддона. Результаты признаны неудовлетворительными, так как дальность 107/152-мм снарядом ненамного превышает дальность 152-мм штатного снаряда.</w:t>
      </w:r>
    </w:p>
    <w:p w14:paraId="7E7897E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Снаряды к пушкам Бр-2 и Б-30</w:t>
      </w:r>
    </w:p>
    <w:p w14:paraId="73689A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Снаряды к пушкам с мелкой нарезкой Бр-2 и Б-30 имели цифровой индекс 550, а к пушке Бр-2 с углубленной нарезкой 551. Взаимозаменяемости никакой не было, стрелять нештатными снарядами было запрещено.</w:t>
      </w:r>
    </w:p>
    <w:p w14:paraId="0EF4D2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Заряды к Бр-2 с глубокой нарезкой</w:t>
      </w:r>
    </w:p>
    <w:p w14:paraId="614786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Бр-2 имеет 3 заряда. На службе были "старые" и "новые" заряды. Баллистика у них одинаковая. (3861).</w:t>
      </w:r>
    </w:p>
    <w:p w14:paraId="10034EB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9EE64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начале 1941 года началась очередная "кампания" "минометизация всей страны". Конструкторы минометов и минометное "лобби" в АУ РККА всемерно срывало работы по созданию всех типов мортир (76-мм батальонных, 152-мм дивизионных, 203-мм дивизионных и корпусных) видя в них своих конкурентов. А после Финской войны минометчикам удалось доказать руководству, что тяжелые минометы могут заменить нарезные орудия большой и особой мощности. Действительно, тяжелые минометы калибра 160 и 240 мм стали эффективным оружием, но не заменяющим и лишь дополняющим действия корпусных орудий и орудий большой и особой мощности. Да и в войска 160-мм и 240-мм минометы М-160 и М-240 начали поступать лишь в середине 50-х годов (3861).</w:t>
      </w:r>
    </w:p>
    <w:p w14:paraId="799CA13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8E0ED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была принята на вооружение 25-мм автоматическая зенитная пушка 72-К, имевшая скорострельность 70 выстр./мин. Она предназначалось для стрельбы снарядами весом 0,28 кг на высоту до 2000 м. При этом эту зенитку первой установили на шасси грузового автомобиля. Но к началу войны промышленности удалось изготовить лишь несколько сотен единиц (11774).</w:t>
      </w:r>
    </w:p>
    <w:p w14:paraId="3812AE2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FB0BB3B"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В 1940 году на основании постановления СНК и ЦК ВКП(б) и НКБ был построен завод № 324 для выпуска бронебойных и фугасных снарядов средних калибров.</w:t>
      </w:r>
    </w:p>
    <w:p w14:paraId="7A0B99D3"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Начало строительства – 1940 год.</w:t>
      </w:r>
    </w:p>
    <w:p w14:paraId="2A193A3A"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Частичный ввод в эксплуатацию – 1943 год. С января 1943 года – выпуск осколочно-фугасных снарядов средних калибров.</w:t>
      </w:r>
    </w:p>
    <w:p w14:paraId="24DB7F3D"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Адрес: Киров, п/я 423</w:t>
      </w:r>
    </w:p>
    <w:p w14:paraId="13AD1B88"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Директор –Галушко В.Л. (10035).</w:t>
      </w:r>
    </w:p>
    <w:p w14:paraId="7305F81C" w14:textId="77777777" w:rsidR="0014077F" w:rsidRPr="00A3026E" w:rsidRDefault="0014077F" w:rsidP="00A3026E">
      <w:pPr>
        <w:pStyle w:val="Iauiue"/>
        <w:jc w:val="both"/>
        <w:rPr>
          <w:color w:val="000000" w:themeColor="text1"/>
          <w:sz w:val="16"/>
          <w:szCs w:val="16"/>
        </w:rPr>
      </w:pPr>
    </w:p>
    <w:p w14:paraId="470C43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на территории завода № 58 для разработки новых образцов ручных и противотанковых гранат образовалось ГСКБ-30 НКБ под руководством Н.П. Белякова. После войны ГСКБ-30 переведено в НИИ-24.</w:t>
      </w:r>
    </w:p>
    <w:p w14:paraId="3C9401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Здесь же после ВОВ расположено НИИ-504.</w:t>
      </w:r>
    </w:p>
    <w:p w14:paraId="1515D5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заводе во время ВОВ производство авиабомб ФАБ-250, ФАБ-500.</w:t>
      </w:r>
    </w:p>
    <w:p w14:paraId="01B66D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КБ В.П. Рюмина </w:t>
      </w:r>
    </w:p>
    <w:p w14:paraId="4EA075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Созданы радиовзрыватели для К-8М и К-40.</w:t>
      </w:r>
    </w:p>
    <w:p w14:paraId="7CDA93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ГНПП "Импульс", МКБ "Импульс", ОАО «Импульс» Росбоеприпаса </w:t>
      </w:r>
    </w:p>
    <w:p w14:paraId="684715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Москва, пр. Мира</w:t>
      </w:r>
    </w:p>
    <w:p w14:paraId="0A049B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ТВ ГСН для различных КАБ, УАБ. Для КАБ-500Кр ГНПП "Импульс" разработало телевизионно-корреляционную головку самонаведения "Крым". В 2003 г. АО «Импульс» было в ведении Росбоеприпаса. По решению правительства № 22-р от 9.01.2004 г. и Указу Президента РФ № 1009 от 4.08.2004 г. вошло в число стратегических оборонных предприятий.</w:t>
      </w:r>
    </w:p>
    <w:p w14:paraId="6DC84E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Гендиректор- Б.В. Карпов.</w:t>
      </w:r>
    </w:p>
    <w:p w14:paraId="387FC05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Завод № 58 им. К.Е. Ворошилова </w:t>
      </w:r>
    </w:p>
    <w:p w14:paraId="180243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г.Москва, пр. Мира (10776).</w:t>
      </w:r>
    </w:p>
    <w:p w14:paraId="29DA442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574EF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было начато проектирование 107-мм (точнее — 106,7-мм) танковой пушки в ОКБ № 92 в 1940 г. в инициативном по</w:t>
      </w:r>
      <w:r w:rsidRPr="00A3026E">
        <w:rPr>
          <w:rFonts w:ascii="Times New Roman" w:hAnsi="Times New Roman"/>
          <w:color w:val="000000" w:themeColor="text1"/>
          <w:sz w:val="16"/>
          <w:szCs w:val="16"/>
        </w:rPr>
        <w:softHyphen/>
        <w:t>рядке, но с устного одобрения Д. Павлова и Г. Кулика. Ору</w:t>
      </w:r>
      <w:r w:rsidRPr="00A3026E">
        <w:rPr>
          <w:rFonts w:ascii="Times New Roman" w:hAnsi="Times New Roman"/>
          <w:color w:val="000000" w:themeColor="text1"/>
          <w:sz w:val="16"/>
          <w:szCs w:val="16"/>
        </w:rPr>
        <w:softHyphen/>
        <w:t>дие, получившее индекс Ф-42, проектировалось на базе кон</w:t>
      </w:r>
      <w:r w:rsidRPr="00A3026E">
        <w:rPr>
          <w:rFonts w:ascii="Times New Roman" w:hAnsi="Times New Roman"/>
          <w:color w:val="000000" w:themeColor="text1"/>
          <w:sz w:val="16"/>
          <w:szCs w:val="16"/>
        </w:rPr>
        <w:softHyphen/>
        <w:t>струкции 95-мм танковой пушки обр. 1939 г. Ф-39 под бал</w:t>
      </w:r>
      <w:r w:rsidRPr="00A3026E">
        <w:rPr>
          <w:rFonts w:ascii="Times New Roman" w:hAnsi="Times New Roman"/>
          <w:color w:val="000000" w:themeColor="text1"/>
          <w:sz w:val="16"/>
          <w:szCs w:val="16"/>
        </w:rPr>
        <w:softHyphen/>
        <w:t>листику тяжелой дивизионной пушки М-60 (нач. скорость 730 м/с). Орудие предполагалось для вооружения тяжелых танков. К началу 1941 г. по решению Наркомата обороны от 21 ноября 1940 г. был изготовлен опытный образец, который прошел заводские и полигонные испытания на полевом ла</w:t>
      </w:r>
      <w:r w:rsidRPr="00A3026E">
        <w:rPr>
          <w:rFonts w:ascii="Times New Roman" w:hAnsi="Times New Roman"/>
          <w:color w:val="000000" w:themeColor="text1"/>
          <w:sz w:val="16"/>
          <w:szCs w:val="16"/>
        </w:rPr>
        <w:softHyphen/>
        <w:t>фете. Но на вооружение орудие принято не было (10782).</w:t>
      </w:r>
    </w:p>
    <w:p w14:paraId="621F3879"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2C666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на Ковровском заводе конструктором Г.С.Шпагиным был разработан пистолет-пулемет ППШ - один из самых популярных в армии образцов оружия своего времени (9698).</w:t>
      </w:r>
    </w:p>
    <w:p w14:paraId="706969A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707D80F"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на вооружение приняли разработанную Б. М. Ульяновым полевую мину заграждения ПМЗ-40 в герметичном металлическом корпусе цилиндрической формы с собственным специальным взрывателем МВ-3.</w:t>
      </w:r>
    </w:p>
    <w:p w14:paraId="22F87292"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Позже были созданы противопехотная картонная мина ПМК-40 и мина против лыжников ПММ-6.</w:t>
      </w:r>
    </w:p>
    <w:p w14:paraId="30500A94"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Новое направление в работе предприятия, каким явилось производство инженерных боеприпасов, получило большое развитие, но основные работы развернулись во время войны (15794).</w:t>
      </w:r>
    </w:p>
    <w:p w14:paraId="09B2AACF" w14:textId="77777777" w:rsidR="005558EB" w:rsidRPr="00A3026E" w:rsidRDefault="005558EB" w:rsidP="00A3026E">
      <w:pPr>
        <w:spacing w:after="0" w:line="240" w:lineRule="auto"/>
        <w:jc w:val="both"/>
        <w:rPr>
          <w:rFonts w:ascii="Times New Roman" w:hAnsi="Times New Roman"/>
          <w:color w:val="000000" w:themeColor="text1"/>
          <w:sz w:val="16"/>
          <w:szCs w:val="16"/>
        </w:rPr>
      </w:pPr>
    </w:p>
    <w:p w14:paraId="264F6E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были следующие:</w:t>
      </w:r>
    </w:p>
    <w:p w14:paraId="505EC4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Цены химвооружения (1940 г)</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3686"/>
        <w:gridCol w:w="2693"/>
        <w:gridCol w:w="2835"/>
      </w:tblGrid>
      <w:tr w:rsidR="00983732" w:rsidRPr="00A3026E" w14:paraId="1AE68ADB" w14:textId="77777777" w:rsidTr="00EA0DA7">
        <w:trPr>
          <w:trHeight w:val="255"/>
        </w:trPr>
        <w:tc>
          <w:tcPr>
            <w:tcW w:w="3686" w:type="dxa"/>
            <w:tcBorders>
              <w:top w:val="single" w:sz="12" w:space="0" w:color="auto"/>
            </w:tcBorders>
          </w:tcPr>
          <w:p w14:paraId="5EB1A6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Наименование</w:t>
            </w:r>
          </w:p>
        </w:tc>
        <w:tc>
          <w:tcPr>
            <w:tcW w:w="2693" w:type="dxa"/>
            <w:tcBorders>
              <w:top w:val="single" w:sz="12" w:space="0" w:color="auto"/>
            </w:tcBorders>
          </w:tcPr>
          <w:p w14:paraId="605B99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Единица измерения</w:t>
            </w:r>
          </w:p>
        </w:tc>
        <w:tc>
          <w:tcPr>
            <w:tcW w:w="2835" w:type="dxa"/>
            <w:tcBorders>
              <w:top w:val="single" w:sz="12" w:space="0" w:color="auto"/>
            </w:tcBorders>
          </w:tcPr>
          <w:p w14:paraId="350EFC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цена (рубли)</w:t>
            </w:r>
          </w:p>
        </w:tc>
      </w:tr>
      <w:tr w:rsidR="00983732" w:rsidRPr="00A3026E" w14:paraId="62268C82" w14:textId="77777777" w:rsidTr="00EA0DA7">
        <w:trPr>
          <w:trHeight w:val="255"/>
        </w:trPr>
        <w:tc>
          <w:tcPr>
            <w:tcW w:w="3686" w:type="dxa"/>
          </w:tcPr>
          <w:p w14:paraId="1969BA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Противогаз БС-МТ-4</w:t>
            </w:r>
          </w:p>
        </w:tc>
        <w:tc>
          <w:tcPr>
            <w:tcW w:w="2693" w:type="dxa"/>
          </w:tcPr>
          <w:p w14:paraId="083393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w:t>
            </w:r>
          </w:p>
        </w:tc>
        <w:tc>
          <w:tcPr>
            <w:tcW w:w="2835" w:type="dxa"/>
          </w:tcPr>
          <w:p w14:paraId="3DB4F4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r>
      <w:tr w:rsidR="00983732" w:rsidRPr="00A3026E" w14:paraId="32E388A3" w14:textId="77777777" w:rsidTr="00EA0DA7">
        <w:trPr>
          <w:trHeight w:val="255"/>
        </w:trPr>
        <w:tc>
          <w:tcPr>
            <w:tcW w:w="3686" w:type="dxa"/>
          </w:tcPr>
          <w:p w14:paraId="7BE93C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Противогазы конские сухие КСФП-1</w:t>
            </w:r>
          </w:p>
        </w:tc>
        <w:tc>
          <w:tcPr>
            <w:tcW w:w="2693" w:type="dxa"/>
          </w:tcPr>
          <w:p w14:paraId="3DCF76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w:t>
            </w:r>
          </w:p>
        </w:tc>
        <w:tc>
          <w:tcPr>
            <w:tcW w:w="2835" w:type="dxa"/>
          </w:tcPr>
          <w:p w14:paraId="5B03912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0CB8C2A3" w14:textId="77777777" w:rsidTr="00EA0DA7">
        <w:trPr>
          <w:trHeight w:val="255"/>
        </w:trPr>
        <w:tc>
          <w:tcPr>
            <w:tcW w:w="3686" w:type="dxa"/>
          </w:tcPr>
          <w:p w14:paraId="5DFDB3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Аппарат КИП-5</w:t>
            </w:r>
          </w:p>
        </w:tc>
        <w:tc>
          <w:tcPr>
            <w:tcW w:w="2693" w:type="dxa"/>
          </w:tcPr>
          <w:p w14:paraId="68D836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w:t>
            </w:r>
          </w:p>
        </w:tc>
        <w:tc>
          <w:tcPr>
            <w:tcW w:w="2835" w:type="dxa"/>
          </w:tcPr>
          <w:p w14:paraId="49A652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395</w:t>
            </w:r>
          </w:p>
        </w:tc>
      </w:tr>
      <w:tr w:rsidR="00983732" w:rsidRPr="00A3026E" w14:paraId="1F520919" w14:textId="77777777" w:rsidTr="00EA0DA7">
        <w:trPr>
          <w:trHeight w:val="255"/>
        </w:trPr>
        <w:tc>
          <w:tcPr>
            <w:tcW w:w="3686" w:type="dxa"/>
          </w:tcPr>
          <w:p w14:paraId="270FA6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Регенеративные патроны к КИП-5</w:t>
            </w:r>
          </w:p>
        </w:tc>
        <w:tc>
          <w:tcPr>
            <w:tcW w:w="2693" w:type="dxa"/>
          </w:tcPr>
          <w:p w14:paraId="1E7475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w:t>
            </w:r>
          </w:p>
        </w:tc>
        <w:tc>
          <w:tcPr>
            <w:tcW w:w="2835" w:type="dxa"/>
          </w:tcPr>
          <w:p w14:paraId="74CE09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w:t>
            </w:r>
          </w:p>
        </w:tc>
      </w:tr>
      <w:tr w:rsidR="00983732" w:rsidRPr="00A3026E" w14:paraId="6AB9D72E" w14:textId="77777777" w:rsidTr="00EA0DA7">
        <w:trPr>
          <w:trHeight w:val="255"/>
        </w:trPr>
        <w:tc>
          <w:tcPr>
            <w:tcW w:w="3686" w:type="dxa"/>
          </w:tcPr>
          <w:p w14:paraId="2933BC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Комбинезон олифованый</w:t>
            </w:r>
          </w:p>
        </w:tc>
        <w:tc>
          <w:tcPr>
            <w:tcW w:w="2693" w:type="dxa"/>
          </w:tcPr>
          <w:p w14:paraId="40D931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w:t>
            </w:r>
          </w:p>
        </w:tc>
        <w:tc>
          <w:tcPr>
            <w:tcW w:w="2835" w:type="dxa"/>
          </w:tcPr>
          <w:p w14:paraId="67595F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r>
      <w:tr w:rsidR="00983732" w:rsidRPr="00A3026E" w14:paraId="4F830BA6" w14:textId="77777777" w:rsidTr="00EA0DA7">
        <w:trPr>
          <w:trHeight w:val="255"/>
        </w:trPr>
        <w:tc>
          <w:tcPr>
            <w:tcW w:w="3686" w:type="dxa"/>
          </w:tcPr>
          <w:p w14:paraId="7680E8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Комбинезон прорезиненный</w:t>
            </w:r>
          </w:p>
        </w:tc>
        <w:tc>
          <w:tcPr>
            <w:tcW w:w="2693" w:type="dxa"/>
          </w:tcPr>
          <w:p w14:paraId="4A65AE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w:t>
            </w:r>
          </w:p>
        </w:tc>
        <w:tc>
          <w:tcPr>
            <w:tcW w:w="2835" w:type="dxa"/>
          </w:tcPr>
          <w:p w14:paraId="39D22F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115</w:t>
            </w:r>
          </w:p>
        </w:tc>
      </w:tr>
      <w:tr w:rsidR="00983732" w:rsidRPr="00A3026E" w14:paraId="6630277B" w14:textId="77777777" w:rsidTr="00EA0DA7">
        <w:trPr>
          <w:trHeight w:val="255"/>
        </w:trPr>
        <w:tc>
          <w:tcPr>
            <w:tcW w:w="3686" w:type="dxa"/>
          </w:tcPr>
          <w:p w14:paraId="7162BB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Накидка бумажная ПИК</w:t>
            </w:r>
          </w:p>
        </w:tc>
        <w:tc>
          <w:tcPr>
            <w:tcW w:w="2693" w:type="dxa"/>
          </w:tcPr>
          <w:p w14:paraId="73BBCE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w:t>
            </w:r>
          </w:p>
        </w:tc>
        <w:tc>
          <w:tcPr>
            <w:tcW w:w="2835" w:type="dxa"/>
          </w:tcPr>
          <w:p w14:paraId="06E3A4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2,7</w:t>
            </w:r>
          </w:p>
        </w:tc>
      </w:tr>
      <w:tr w:rsidR="00983732" w:rsidRPr="00A3026E" w14:paraId="7022E380" w14:textId="77777777" w:rsidTr="00EA0DA7">
        <w:trPr>
          <w:trHeight w:val="255"/>
        </w:trPr>
        <w:tc>
          <w:tcPr>
            <w:tcW w:w="3686" w:type="dxa"/>
          </w:tcPr>
          <w:p w14:paraId="606775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Смесь иприта Зайкова и люизита 50%+50% со стабилизатором</w:t>
            </w:r>
          </w:p>
        </w:tc>
        <w:tc>
          <w:tcPr>
            <w:tcW w:w="2693" w:type="dxa"/>
          </w:tcPr>
          <w:p w14:paraId="7C20C9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тонна</w:t>
            </w:r>
          </w:p>
        </w:tc>
        <w:tc>
          <w:tcPr>
            <w:tcW w:w="2835" w:type="dxa"/>
          </w:tcPr>
          <w:p w14:paraId="10D901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8600</w:t>
            </w:r>
          </w:p>
        </w:tc>
      </w:tr>
      <w:tr w:rsidR="00983732" w:rsidRPr="00A3026E" w14:paraId="5B85C5CB" w14:textId="77777777" w:rsidTr="00EA0DA7">
        <w:trPr>
          <w:trHeight w:val="255"/>
        </w:trPr>
        <w:tc>
          <w:tcPr>
            <w:tcW w:w="3686" w:type="dxa"/>
          </w:tcPr>
          <w:p w14:paraId="057E9D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Люизит</w:t>
            </w:r>
          </w:p>
        </w:tc>
        <w:tc>
          <w:tcPr>
            <w:tcW w:w="2693" w:type="dxa"/>
          </w:tcPr>
          <w:p w14:paraId="656E6A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тонна</w:t>
            </w:r>
          </w:p>
        </w:tc>
        <w:tc>
          <w:tcPr>
            <w:tcW w:w="2835" w:type="dxa"/>
          </w:tcPr>
          <w:p w14:paraId="57F134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9120</w:t>
            </w:r>
          </w:p>
        </w:tc>
      </w:tr>
      <w:tr w:rsidR="00983732" w:rsidRPr="00A3026E" w14:paraId="10F330DE" w14:textId="77777777" w:rsidTr="00EA0DA7">
        <w:trPr>
          <w:trHeight w:val="255"/>
        </w:trPr>
        <w:tc>
          <w:tcPr>
            <w:tcW w:w="3686" w:type="dxa"/>
          </w:tcPr>
          <w:p w14:paraId="3601EF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Фосфор гранулированный</w:t>
            </w:r>
          </w:p>
        </w:tc>
        <w:tc>
          <w:tcPr>
            <w:tcW w:w="2693" w:type="dxa"/>
          </w:tcPr>
          <w:p w14:paraId="035ABE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тонна</w:t>
            </w:r>
          </w:p>
        </w:tc>
        <w:tc>
          <w:tcPr>
            <w:tcW w:w="2835" w:type="dxa"/>
          </w:tcPr>
          <w:p w14:paraId="4B4E2B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12000</w:t>
            </w:r>
          </w:p>
        </w:tc>
      </w:tr>
      <w:tr w:rsidR="00983732" w:rsidRPr="00A3026E" w14:paraId="79F1B4F1" w14:textId="77777777" w:rsidTr="00EA0DA7">
        <w:trPr>
          <w:trHeight w:val="255"/>
        </w:trPr>
        <w:tc>
          <w:tcPr>
            <w:tcW w:w="3686" w:type="dxa"/>
          </w:tcPr>
          <w:p w14:paraId="5CA65C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АРС-6 на шасси ЗИС-5</w:t>
            </w:r>
          </w:p>
        </w:tc>
        <w:tc>
          <w:tcPr>
            <w:tcW w:w="2693" w:type="dxa"/>
          </w:tcPr>
          <w:p w14:paraId="7537D9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w:t>
            </w:r>
          </w:p>
        </w:tc>
        <w:tc>
          <w:tcPr>
            <w:tcW w:w="2835" w:type="dxa"/>
          </w:tcPr>
          <w:p w14:paraId="7A99D0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19820</w:t>
            </w:r>
          </w:p>
        </w:tc>
      </w:tr>
      <w:tr w:rsidR="00983732" w:rsidRPr="00A3026E" w14:paraId="0A0F4DC9" w14:textId="77777777" w:rsidTr="00EA0DA7">
        <w:trPr>
          <w:trHeight w:val="255"/>
        </w:trPr>
        <w:tc>
          <w:tcPr>
            <w:tcW w:w="3686" w:type="dxa"/>
          </w:tcPr>
          <w:p w14:paraId="48B78A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Химаппаратура для ХТ-133</w:t>
            </w:r>
          </w:p>
        </w:tc>
        <w:tc>
          <w:tcPr>
            <w:tcW w:w="2693" w:type="dxa"/>
          </w:tcPr>
          <w:p w14:paraId="44470B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w:t>
            </w:r>
          </w:p>
        </w:tc>
        <w:tc>
          <w:tcPr>
            <w:tcW w:w="2835" w:type="dxa"/>
          </w:tcPr>
          <w:p w14:paraId="749EC5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10000</w:t>
            </w:r>
          </w:p>
        </w:tc>
      </w:tr>
      <w:tr w:rsidR="00983732" w:rsidRPr="00A3026E" w14:paraId="3D03CCC0" w14:textId="77777777" w:rsidTr="00EA0DA7">
        <w:trPr>
          <w:trHeight w:val="255"/>
        </w:trPr>
        <w:tc>
          <w:tcPr>
            <w:tcW w:w="3686" w:type="dxa"/>
          </w:tcPr>
          <w:p w14:paraId="0827CB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АГВ-2 (автодегазатор горячим воздухом)</w:t>
            </w:r>
          </w:p>
        </w:tc>
        <w:tc>
          <w:tcPr>
            <w:tcW w:w="2693" w:type="dxa"/>
          </w:tcPr>
          <w:p w14:paraId="79B0D9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w:t>
            </w:r>
          </w:p>
        </w:tc>
        <w:tc>
          <w:tcPr>
            <w:tcW w:w="2835" w:type="dxa"/>
          </w:tcPr>
          <w:p w14:paraId="108442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70965</w:t>
            </w:r>
          </w:p>
        </w:tc>
      </w:tr>
      <w:tr w:rsidR="00983732" w:rsidRPr="00A3026E" w14:paraId="54018D58" w14:textId="77777777" w:rsidTr="00EA0DA7">
        <w:trPr>
          <w:trHeight w:val="255"/>
        </w:trPr>
        <w:tc>
          <w:tcPr>
            <w:tcW w:w="3686" w:type="dxa"/>
          </w:tcPr>
          <w:p w14:paraId="55D2BB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АХИ-5 (автодегазатор хлорной известью)</w:t>
            </w:r>
          </w:p>
        </w:tc>
        <w:tc>
          <w:tcPr>
            <w:tcW w:w="2693" w:type="dxa"/>
          </w:tcPr>
          <w:p w14:paraId="107081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w:t>
            </w:r>
          </w:p>
        </w:tc>
        <w:tc>
          <w:tcPr>
            <w:tcW w:w="2835" w:type="dxa"/>
          </w:tcPr>
          <w:p w14:paraId="472AE7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38000</w:t>
            </w:r>
          </w:p>
        </w:tc>
      </w:tr>
      <w:tr w:rsidR="00983732" w:rsidRPr="00A3026E" w14:paraId="1B8D7CDF" w14:textId="77777777" w:rsidTr="00EA0DA7">
        <w:trPr>
          <w:trHeight w:val="255"/>
        </w:trPr>
        <w:tc>
          <w:tcPr>
            <w:tcW w:w="3686" w:type="dxa"/>
          </w:tcPr>
          <w:p w14:paraId="5A985E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Разливочные станции для авиоампул</w:t>
            </w:r>
          </w:p>
        </w:tc>
        <w:tc>
          <w:tcPr>
            <w:tcW w:w="2693" w:type="dxa"/>
          </w:tcPr>
          <w:p w14:paraId="227240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w:t>
            </w:r>
          </w:p>
        </w:tc>
        <w:tc>
          <w:tcPr>
            <w:tcW w:w="2835" w:type="dxa"/>
          </w:tcPr>
          <w:p w14:paraId="143049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33000</w:t>
            </w:r>
          </w:p>
        </w:tc>
      </w:tr>
      <w:tr w:rsidR="00983732" w:rsidRPr="00A3026E" w14:paraId="1B4323DC" w14:textId="77777777" w:rsidTr="00EA0DA7">
        <w:trPr>
          <w:trHeight w:val="255"/>
        </w:trPr>
        <w:tc>
          <w:tcPr>
            <w:tcW w:w="3686" w:type="dxa"/>
          </w:tcPr>
          <w:p w14:paraId="1DFC40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ВАП-1000 (выливной авиационный прибор)</w:t>
            </w:r>
          </w:p>
        </w:tc>
        <w:tc>
          <w:tcPr>
            <w:tcW w:w="2693" w:type="dxa"/>
          </w:tcPr>
          <w:p w14:paraId="7146C8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w:t>
            </w:r>
          </w:p>
        </w:tc>
        <w:tc>
          <w:tcPr>
            <w:tcW w:w="2835" w:type="dxa"/>
          </w:tcPr>
          <w:p w14:paraId="439737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6000</w:t>
            </w:r>
          </w:p>
        </w:tc>
      </w:tr>
      <w:tr w:rsidR="00983732" w:rsidRPr="00A3026E" w14:paraId="634F60D8" w14:textId="77777777" w:rsidTr="00EA0DA7">
        <w:trPr>
          <w:trHeight w:val="255"/>
        </w:trPr>
        <w:tc>
          <w:tcPr>
            <w:tcW w:w="3686" w:type="dxa"/>
          </w:tcPr>
          <w:p w14:paraId="79C377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ВАП-500</w:t>
            </w:r>
          </w:p>
        </w:tc>
        <w:tc>
          <w:tcPr>
            <w:tcW w:w="2693" w:type="dxa"/>
          </w:tcPr>
          <w:p w14:paraId="5AD030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w:t>
            </w:r>
          </w:p>
        </w:tc>
        <w:tc>
          <w:tcPr>
            <w:tcW w:w="2835" w:type="dxa"/>
          </w:tcPr>
          <w:p w14:paraId="7FD32C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4600</w:t>
            </w:r>
          </w:p>
        </w:tc>
      </w:tr>
      <w:tr w:rsidR="00983732" w:rsidRPr="00A3026E" w14:paraId="6E14E5A8" w14:textId="77777777" w:rsidTr="00EA0DA7">
        <w:trPr>
          <w:trHeight w:val="255"/>
        </w:trPr>
        <w:tc>
          <w:tcPr>
            <w:tcW w:w="3686" w:type="dxa"/>
          </w:tcPr>
          <w:p w14:paraId="77432D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ХАРП-500 для жидких ОВ (химический авиационный прибор разового применения)</w:t>
            </w:r>
          </w:p>
        </w:tc>
        <w:tc>
          <w:tcPr>
            <w:tcW w:w="2693" w:type="dxa"/>
          </w:tcPr>
          <w:p w14:paraId="672D3C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w:t>
            </w:r>
          </w:p>
        </w:tc>
        <w:tc>
          <w:tcPr>
            <w:tcW w:w="2835" w:type="dxa"/>
          </w:tcPr>
          <w:p w14:paraId="4D69C7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2400</w:t>
            </w:r>
          </w:p>
        </w:tc>
      </w:tr>
      <w:tr w:rsidR="00983732" w:rsidRPr="00A3026E" w14:paraId="3DA99F0F" w14:textId="77777777" w:rsidTr="00EA0DA7">
        <w:trPr>
          <w:trHeight w:val="255"/>
        </w:trPr>
        <w:tc>
          <w:tcPr>
            <w:tcW w:w="3686" w:type="dxa"/>
            <w:tcBorders>
              <w:bottom w:val="single" w:sz="12" w:space="0" w:color="auto"/>
            </w:tcBorders>
          </w:tcPr>
          <w:p w14:paraId="32BB53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ВАП-6М</w:t>
            </w:r>
          </w:p>
        </w:tc>
        <w:tc>
          <w:tcPr>
            <w:tcW w:w="2693" w:type="dxa"/>
            <w:tcBorders>
              <w:bottom w:val="single" w:sz="12" w:space="0" w:color="auto"/>
            </w:tcBorders>
          </w:tcPr>
          <w:p w14:paraId="577748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шт.</w:t>
            </w:r>
          </w:p>
        </w:tc>
        <w:tc>
          <w:tcPr>
            <w:tcW w:w="2835" w:type="dxa"/>
            <w:tcBorders>
              <w:bottom w:val="single" w:sz="12" w:space="0" w:color="auto"/>
            </w:tcBorders>
          </w:tcPr>
          <w:p w14:paraId="162251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w:t>
            </w:r>
          </w:p>
        </w:tc>
      </w:tr>
    </w:tbl>
    <w:p w14:paraId="2F47DE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(7720).</w:t>
      </w:r>
    </w:p>
    <w:p w14:paraId="731CF19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86CA8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bCs/>
          <w:color w:val="000000" w:themeColor="text1"/>
          <w:sz w:val="16"/>
          <w:szCs w:val="16"/>
        </w:rPr>
        <w:t>Сведения о выполнении плана заказов БТУ КА заводами промышленности в 1940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684"/>
        <w:gridCol w:w="491"/>
        <w:gridCol w:w="384"/>
        <w:gridCol w:w="380"/>
        <w:gridCol w:w="384"/>
        <w:gridCol w:w="380"/>
        <w:gridCol w:w="384"/>
        <w:gridCol w:w="380"/>
        <w:gridCol w:w="384"/>
        <w:gridCol w:w="380"/>
        <w:gridCol w:w="384"/>
        <w:gridCol w:w="380"/>
        <w:gridCol w:w="384"/>
        <w:gridCol w:w="380"/>
        <w:gridCol w:w="384"/>
        <w:gridCol w:w="380"/>
        <w:gridCol w:w="384"/>
        <w:gridCol w:w="380"/>
        <w:gridCol w:w="384"/>
        <w:gridCol w:w="380"/>
        <w:gridCol w:w="384"/>
        <w:gridCol w:w="380"/>
        <w:gridCol w:w="384"/>
        <w:gridCol w:w="380"/>
        <w:gridCol w:w="384"/>
        <w:gridCol w:w="380"/>
        <w:gridCol w:w="412"/>
      </w:tblGrid>
      <w:tr w:rsidR="00983732" w:rsidRPr="00A3026E" w14:paraId="18620F2E" w14:textId="77777777" w:rsidTr="00EA0DA7">
        <w:tc>
          <w:tcPr>
            <w:tcW w:w="0" w:type="auto"/>
            <w:vMerge w:val="restart"/>
            <w:shd w:val="clear" w:color="auto" w:fill="auto"/>
            <w:hideMark/>
          </w:tcPr>
          <w:p w14:paraId="3B878DB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Завод</w:t>
            </w:r>
          </w:p>
        </w:tc>
        <w:tc>
          <w:tcPr>
            <w:tcW w:w="0" w:type="auto"/>
            <w:vMerge w:val="restart"/>
            <w:shd w:val="clear" w:color="auto" w:fill="auto"/>
            <w:hideMark/>
          </w:tcPr>
          <w:p w14:paraId="5A54469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Номенклатура</w:t>
            </w:r>
          </w:p>
        </w:tc>
        <w:tc>
          <w:tcPr>
            <w:tcW w:w="0" w:type="auto"/>
            <w:vMerge w:val="restart"/>
            <w:shd w:val="clear" w:color="auto" w:fill="auto"/>
            <w:hideMark/>
          </w:tcPr>
          <w:p w14:paraId="6E25405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Годовой заказ</w:t>
            </w:r>
          </w:p>
        </w:tc>
        <w:tc>
          <w:tcPr>
            <w:tcW w:w="0" w:type="auto"/>
            <w:gridSpan w:val="2"/>
            <w:shd w:val="clear" w:color="auto" w:fill="auto"/>
            <w:hideMark/>
          </w:tcPr>
          <w:p w14:paraId="2622EF0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Январь</w:t>
            </w:r>
          </w:p>
        </w:tc>
        <w:tc>
          <w:tcPr>
            <w:tcW w:w="0" w:type="auto"/>
            <w:gridSpan w:val="2"/>
            <w:shd w:val="clear" w:color="auto" w:fill="auto"/>
            <w:hideMark/>
          </w:tcPr>
          <w:p w14:paraId="25389EB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Февраль</w:t>
            </w:r>
          </w:p>
        </w:tc>
        <w:tc>
          <w:tcPr>
            <w:tcW w:w="0" w:type="auto"/>
            <w:gridSpan w:val="2"/>
            <w:shd w:val="clear" w:color="auto" w:fill="auto"/>
            <w:hideMark/>
          </w:tcPr>
          <w:p w14:paraId="082D645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Март</w:t>
            </w:r>
          </w:p>
        </w:tc>
        <w:tc>
          <w:tcPr>
            <w:tcW w:w="0" w:type="auto"/>
            <w:gridSpan w:val="2"/>
            <w:shd w:val="clear" w:color="auto" w:fill="auto"/>
            <w:hideMark/>
          </w:tcPr>
          <w:p w14:paraId="506E33B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Апрель</w:t>
            </w:r>
          </w:p>
        </w:tc>
        <w:tc>
          <w:tcPr>
            <w:tcW w:w="0" w:type="auto"/>
            <w:gridSpan w:val="2"/>
            <w:shd w:val="clear" w:color="auto" w:fill="auto"/>
            <w:hideMark/>
          </w:tcPr>
          <w:p w14:paraId="2EC3E25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Май</w:t>
            </w:r>
          </w:p>
        </w:tc>
        <w:tc>
          <w:tcPr>
            <w:tcW w:w="0" w:type="auto"/>
            <w:gridSpan w:val="2"/>
            <w:shd w:val="clear" w:color="auto" w:fill="auto"/>
            <w:hideMark/>
          </w:tcPr>
          <w:p w14:paraId="2BCE965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Июнь</w:t>
            </w:r>
          </w:p>
        </w:tc>
        <w:tc>
          <w:tcPr>
            <w:tcW w:w="0" w:type="auto"/>
            <w:gridSpan w:val="2"/>
            <w:shd w:val="clear" w:color="auto" w:fill="auto"/>
            <w:hideMark/>
          </w:tcPr>
          <w:p w14:paraId="2F6A820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Июль</w:t>
            </w:r>
          </w:p>
        </w:tc>
        <w:tc>
          <w:tcPr>
            <w:tcW w:w="0" w:type="auto"/>
            <w:gridSpan w:val="2"/>
            <w:shd w:val="clear" w:color="auto" w:fill="auto"/>
            <w:hideMark/>
          </w:tcPr>
          <w:p w14:paraId="240B8BD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Август</w:t>
            </w:r>
          </w:p>
        </w:tc>
        <w:tc>
          <w:tcPr>
            <w:tcW w:w="0" w:type="auto"/>
            <w:gridSpan w:val="2"/>
            <w:shd w:val="clear" w:color="auto" w:fill="auto"/>
            <w:hideMark/>
          </w:tcPr>
          <w:p w14:paraId="6A0027D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Сентябрь</w:t>
            </w:r>
          </w:p>
        </w:tc>
        <w:tc>
          <w:tcPr>
            <w:tcW w:w="0" w:type="auto"/>
            <w:gridSpan w:val="2"/>
            <w:shd w:val="clear" w:color="auto" w:fill="auto"/>
            <w:hideMark/>
          </w:tcPr>
          <w:p w14:paraId="23047B0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Октябрь</w:t>
            </w:r>
          </w:p>
        </w:tc>
        <w:tc>
          <w:tcPr>
            <w:tcW w:w="0" w:type="auto"/>
            <w:gridSpan w:val="2"/>
            <w:shd w:val="clear" w:color="auto" w:fill="auto"/>
            <w:hideMark/>
          </w:tcPr>
          <w:p w14:paraId="7DF0B04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Ноябрь</w:t>
            </w:r>
          </w:p>
        </w:tc>
        <w:tc>
          <w:tcPr>
            <w:tcW w:w="0" w:type="auto"/>
            <w:gridSpan w:val="2"/>
            <w:shd w:val="clear" w:color="auto" w:fill="auto"/>
            <w:hideMark/>
          </w:tcPr>
          <w:p w14:paraId="15A793D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Декабрь</w:t>
            </w:r>
          </w:p>
        </w:tc>
        <w:tc>
          <w:tcPr>
            <w:tcW w:w="0" w:type="auto"/>
            <w:vMerge w:val="restart"/>
            <w:shd w:val="clear" w:color="auto" w:fill="auto"/>
            <w:hideMark/>
          </w:tcPr>
          <w:p w14:paraId="58DFAFA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Итого</w:t>
            </w:r>
          </w:p>
        </w:tc>
      </w:tr>
      <w:tr w:rsidR="00983732" w:rsidRPr="00A3026E" w14:paraId="3C1047CA" w14:textId="77777777" w:rsidTr="00EA0DA7">
        <w:tc>
          <w:tcPr>
            <w:tcW w:w="0" w:type="auto"/>
            <w:vMerge/>
            <w:shd w:val="clear" w:color="auto" w:fill="auto"/>
            <w:hideMark/>
          </w:tcPr>
          <w:p w14:paraId="04ED211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vMerge/>
            <w:shd w:val="clear" w:color="auto" w:fill="auto"/>
            <w:hideMark/>
          </w:tcPr>
          <w:p w14:paraId="181A5C5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vMerge/>
            <w:shd w:val="clear" w:color="auto" w:fill="auto"/>
            <w:hideMark/>
          </w:tcPr>
          <w:p w14:paraId="46558DA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5B276EB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12D068A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604AE11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33AB4D0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4DB725E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06356A9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4A4685E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0E8CF75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50F8C1E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7234A9B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695ECA2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747E5F3B"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2F18608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553D06D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213B7AF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01E8EC9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5FC8F95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3C11E64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15BB3B2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4ADA3F4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31BB8D3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032671A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74E3876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57CE9C4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Факт</w:t>
            </w:r>
          </w:p>
        </w:tc>
        <w:tc>
          <w:tcPr>
            <w:tcW w:w="0" w:type="auto"/>
            <w:vMerge/>
            <w:shd w:val="clear" w:color="auto" w:fill="auto"/>
            <w:hideMark/>
          </w:tcPr>
          <w:p w14:paraId="2C4DB47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p>
        </w:tc>
      </w:tr>
      <w:tr w:rsidR="00983732" w:rsidRPr="00A3026E" w14:paraId="5D17E5C4" w14:textId="77777777" w:rsidTr="00EA0DA7">
        <w:tc>
          <w:tcPr>
            <w:tcW w:w="0" w:type="auto"/>
            <w:vMerge w:val="restart"/>
            <w:shd w:val="clear" w:color="auto" w:fill="auto"/>
            <w:hideMark/>
          </w:tcPr>
          <w:p w14:paraId="579EEA1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174</w:t>
            </w:r>
          </w:p>
        </w:tc>
        <w:tc>
          <w:tcPr>
            <w:tcW w:w="0" w:type="auto"/>
            <w:shd w:val="clear" w:color="auto" w:fill="auto"/>
            <w:hideMark/>
          </w:tcPr>
          <w:p w14:paraId="06869EA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Т-26 хим.</w:t>
            </w:r>
          </w:p>
        </w:tc>
        <w:tc>
          <w:tcPr>
            <w:tcW w:w="0" w:type="auto"/>
            <w:shd w:val="clear" w:color="auto" w:fill="auto"/>
            <w:hideMark/>
          </w:tcPr>
          <w:p w14:paraId="7580B4D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382</w:t>
            </w:r>
          </w:p>
        </w:tc>
        <w:tc>
          <w:tcPr>
            <w:tcW w:w="0" w:type="auto"/>
            <w:shd w:val="clear" w:color="auto" w:fill="auto"/>
            <w:hideMark/>
          </w:tcPr>
          <w:p w14:paraId="65A6B64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100</w:t>
            </w:r>
          </w:p>
        </w:tc>
        <w:tc>
          <w:tcPr>
            <w:tcW w:w="0" w:type="auto"/>
            <w:shd w:val="clear" w:color="auto" w:fill="auto"/>
            <w:hideMark/>
          </w:tcPr>
          <w:p w14:paraId="47ACC7A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A73E1B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100</w:t>
            </w:r>
          </w:p>
        </w:tc>
        <w:tc>
          <w:tcPr>
            <w:tcW w:w="0" w:type="auto"/>
            <w:shd w:val="clear" w:color="auto" w:fill="auto"/>
            <w:hideMark/>
          </w:tcPr>
          <w:p w14:paraId="5AA68B4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69</w:t>
            </w:r>
          </w:p>
        </w:tc>
        <w:tc>
          <w:tcPr>
            <w:tcW w:w="0" w:type="auto"/>
            <w:shd w:val="clear" w:color="auto" w:fill="auto"/>
            <w:hideMark/>
          </w:tcPr>
          <w:p w14:paraId="423A41A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FF50D6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71</w:t>
            </w:r>
          </w:p>
        </w:tc>
        <w:tc>
          <w:tcPr>
            <w:tcW w:w="0" w:type="auto"/>
            <w:shd w:val="clear" w:color="auto" w:fill="auto"/>
            <w:hideMark/>
          </w:tcPr>
          <w:p w14:paraId="0710776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9</w:t>
            </w:r>
          </w:p>
        </w:tc>
        <w:tc>
          <w:tcPr>
            <w:tcW w:w="0" w:type="auto"/>
            <w:shd w:val="clear" w:color="auto" w:fill="auto"/>
            <w:hideMark/>
          </w:tcPr>
          <w:p w14:paraId="1DC0458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69</w:t>
            </w:r>
          </w:p>
        </w:tc>
        <w:tc>
          <w:tcPr>
            <w:tcW w:w="0" w:type="auto"/>
            <w:shd w:val="clear" w:color="auto" w:fill="auto"/>
            <w:hideMark/>
          </w:tcPr>
          <w:p w14:paraId="74378FC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38</w:t>
            </w:r>
          </w:p>
        </w:tc>
        <w:tc>
          <w:tcPr>
            <w:tcW w:w="0" w:type="auto"/>
            <w:shd w:val="clear" w:color="auto" w:fill="auto"/>
            <w:hideMark/>
          </w:tcPr>
          <w:p w14:paraId="129483D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38</w:t>
            </w:r>
          </w:p>
        </w:tc>
        <w:tc>
          <w:tcPr>
            <w:tcW w:w="0" w:type="auto"/>
            <w:shd w:val="clear" w:color="auto" w:fill="auto"/>
            <w:hideMark/>
          </w:tcPr>
          <w:p w14:paraId="6691A26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8</w:t>
            </w:r>
          </w:p>
        </w:tc>
        <w:tc>
          <w:tcPr>
            <w:tcW w:w="0" w:type="auto"/>
            <w:shd w:val="clear" w:color="auto" w:fill="auto"/>
            <w:hideMark/>
          </w:tcPr>
          <w:p w14:paraId="7C0FE2B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8</w:t>
            </w:r>
          </w:p>
        </w:tc>
        <w:tc>
          <w:tcPr>
            <w:tcW w:w="0" w:type="auto"/>
            <w:shd w:val="clear" w:color="auto" w:fill="auto"/>
            <w:hideMark/>
          </w:tcPr>
          <w:p w14:paraId="087A7C0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DF3D1E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DC89D2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442B6C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E6A5AF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12F8BF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81885D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FD2D15B"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5B68AD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6FA355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7DC805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127</w:t>
            </w:r>
          </w:p>
        </w:tc>
        <w:tc>
          <w:tcPr>
            <w:tcW w:w="0" w:type="auto"/>
            <w:shd w:val="clear" w:color="auto" w:fill="auto"/>
            <w:hideMark/>
          </w:tcPr>
          <w:p w14:paraId="2134D65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030E77D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255</w:t>
            </w:r>
          </w:p>
        </w:tc>
      </w:tr>
      <w:tr w:rsidR="00983732" w:rsidRPr="00A3026E" w14:paraId="0B92B5C9" w14:textId="77777777" w:rsidTr="00EA0DA7">
        <w:tc>
          <w:tcPr>
            <w:tcW w:w="0" w:type="auto"/>
            <w:vMerge/>
            <w:shd w:val="clear" w:color="auto" w:fill="auto"/>
            <w:hideMark/>
          </w:tcPr>
          <w:p w14:paraId="78D683AB"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5886247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Т-26 лин.</w:t>
            </w:r>
          </w:p>
        </w:tc>
        <w:tc>
          <w:tcPr>
            <w:tcW w:w="0" w:type="auto"/>
            <w:shd w:val="clear" w:color="auto" w:fill="auto"/>
            <w:hideMark/>
          </w:tcPr>
          <w:p w14:paraId="2D30DD7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768</w:t>
            </w:r>
          </w:p>
        </w:tc>
        <w:tc>
          <w:tcPr>
            <w:tcW w:w="0" w:type="auto"/>
            <w:shd w:val="clear" w:color="auto" w:fill="auto"/>
            <w:hideMark/>
          </w:tcPr>
          <w:p w14:paraId="46ADE77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8959F0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F022DA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19F1BC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w:t>
            </w:r>
          </w:p>
        </w:tc>
        <w:tc>
          <w:tcPr>
            <w:tcW w:w="0" w:type="auto"/>
            <w:shd w:val="clear" w:color="auto" w:fill="auto"/>
            <w:hideMark/>
          </w:tcPr>
          <w:p w14:paraId="5FF9FB5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100</w:t>
            </w:r>
          </w:p>
        </w:tc>
        <w:tc>
          <w:tcPr>
            <w:tcW w:w="0" w:type="auto"/>
            <w:shd w:val="clear" w:color="auto" w:fill="auto"/>
            <w:hideMark/>
          </w:tcPr>
          <w:p w14:paraId="142BDBC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19A0F7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140</w:t>
            </w:r>
          </w:p>
        </w:tc>
        <w:tc>
          <w:tcPr>
            <w:tcW w:w="0" w:type="auto"/>
            <w:shd w:val="clear" w:color="auto" w:fill="auto"/>
            <w:hideMark/>
          </w:tcPr>
          <w:p w14:paraId="3E513E3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60</w:t>
            </w:r>
          </w:p>
        </w:tc>
        <w:tc>
          <w:tcPr>
            <w:tcW w:w="0" w:type="auto"/>
            <w:shd w:val="clear" w:color="auto" w:fill="auto"/>
            <w:hideMark/>
          </w:tcPr>
          <w:p w14:paraId="4DCBF3E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140</w:t>
            </w:r>
          </w:p>
        </w:tc>
        <w:tc>
          <w:tcPr>
            <w:tcW w:w="0" w:type="auto"/>
            <w:shd w:val="clear" w:color="auto" w:fill="auto"/>
            <w:hideMark/>
          </w:tcPr>
          <w:p w14:paraId="2457F84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73</w:t>
            </w:r>
          </w:p>
        </w:tc>
        <w:tc>
          <w:tcPr>
            <w:tcW w:w="0" w:type="auto"/>
            <w:shd w:val="clear" w:color="auto" w:fill="auto"/>
            <w:hideMark/>
          </w:tcPr>
          <w:p w14:paraId="5DDC60BB"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135</w:t>
            </w:r>
          </w:p>
        </w:tc>
        <w:tc>
          <w:tcPr>
            <w:tcW w:w="0" w:type="auto"/>
            <w:shd w:val="clear" w:color="auto" w:fill="auto"/>
            <w:hideMark/>
          </w:tcPr>
          <w:p w14:paraId="6A77D4D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117</w:t>
            </w:r>
          </w:p>
        </w:tc>
        <w:tc>
          <w:tcPr>
            <w:tcW w:w="0" w:type="auto"/>
            <w:shd w:val="clear" w:color="auto" w:fill="auto"/>
            <w:hideMark/>
          </w:tcPr>
          <w:p w14:paraId="122C9C4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473889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139</w:t>
            </w:r>
          </w:p>
        </w:tc>
        <w:tc>
          <w:tcPr>
            <w:tcW w:w="0" w:type="auto"/>
            <w:shd w:val="clear" w:color="auto" w:fill="auto"/>
            <w:hideMark/>
          </w:tcPr>
          <w:p w14:paraId="6F4CB37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C8CF00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164</w:t>
            </w:r>
          </w:p>
        </w:tc>
        <w:tc>
          <w:tcPr>
            <w:tcW w:w="0" w:type="auto"/>
            <w:shd w:val="clear" w:color="auto" w:fill="auto"/>
            <w:hideMark/>
          </w:tcPr>
          <w:p w14:paraId="75E1580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0FA8E0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113</w:t>
            </w:r>
          </w:p>
        </w:tc>
        <w:tc>
          <w:tcPr>
            <w:tcW w:w="0" w:type="auto"/>
            <w:shd w:val="clear" w:color="auto" w:fill="auto"/>
            <w:hideMark/>
          </w:tcPr>
          <w:p w14:paraId="0728B1F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F40F6E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110</w:t>
            </w:r>
          </w:p>
        </w:tc>
        <w:tc>
          <w:tcPr>
            <w:tcW w:w="0" w:type="auto"/>
            <w:shd w:val="clear" w:color="auto" w:fill="auto"/>
            <w:hideMark/>
          </w:tcPr>
          <w:p w14:paraId="3A4CB40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113</w:t>
            </w:r>
          </w:p>
        </w:tc>
        <w:tc>
          <w:tcPr>
            <w:tcW w:w="0" w:type="auto"/>
            <w:shd w:val="clear" w:color="auto" w:fill="auto"/>
            <w:hideMark/>
          </w:tcPr>
          <w:p w14:paraId="2BA3BF5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3F0796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140</w:t>
            </w:r>
          </w:p>
        </w:tc>
        <w:tc>
          <w:tcPr>
            <w:tcW w:w="0" w:type="auto"/>
            <w:shd w:val="clear" w:color="auto" w:fill="auto"/>
            <w:hideMark/>
          </w:tcPr>
          <w:p w14:paraId="7B6DFD2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16</w:t>
            </w:r>
          </w:p>
        </w:tc>
        <w:tc>
          <w:tcPr>
            <w:tcW w:w="0" w:type="auto"/>
            <w:shd w:val="clear" w:color="auto" w:fill="auto"/>
            <w:hideMark/>
          </w:tcPr>
          <w:p w14:paraId="45954C0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802</w:t>
            </w:r>
          </w:p>
        </w:tc>
      </w:tr>
      <w:tr w:rsidR="00983732" w:rsidRPr="00A3026E" w14:paraId="7C3A8D89" w14:textId="77777777" w:rsidTr="00EA0DA7">
        <w:tc>
          <w:tcPr>
            <w:tcW w:w="0" w:type="auto"/>
            <w:vMerge/>
            <w:shd w:val="clear" w:color="auto" w:fill="auto"/>
            <w:hideMark/>
          </w:tcPr>
          <w:p w14:paraId="1654A28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47ED06D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Т-26 рад.</w:t>
            </w:r>
          </w:p>
        </w:tc>
        <w:tc>
          <w:tcPr>
            <w:tcW w:w="0" w:type="auto"/>
            <w:shd w:val="clear" w:color="auto" w:fill="auto"/>
            <w:hideMark/>
          </w:tcPr>
          <w:p w14:paraId="6B2B429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350</w:t>
            </w:r>
          </w:p>
        </w:tc>
        <w:tc>
          <w:tcPr>
            <w:tcW w:w="0" w:type="auto"/>
            <w:shd w:val="clear" w:color="auto" w:fill="auto"/>
            <w:hideMark/>
          </w:tcPr>
          <w:p w14:paraId="75A74DD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E61EBA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D992DB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87BC87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FC5F77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8B3444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0050476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2CFA61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w:t>
            </w:r>
          </w:p>
        </w:tc>
        <w:tc>
          <w:tcPr>
            <w:tcW w:w="0" w:type="auto"/>
            <w:shd w:val="clear" w:color="auto" w:fill="auto"/>
            <w:hideMark/>
          </w:tcPr>
          <w:p w14:paraId="132477C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91331C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06A8DF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2D6215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w:t>
            </w:r>
          </w:p>
        </w:tc>
        <w:tc>
          <w:tcPr>
            <w:tcW w:w="0" w:type="auto"/>
            <w:shd w:val="clear" w:color="auto" w:fill="auto"/>
            <w:hideMark/>
          </w:tcPr>
          <w:p w14:paraId="2BC8E46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4EE7A2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BD0783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50</w:t>
            </w:r>
          </w:p>
        </w:tc>
        <w:tc>
          <w:tcPr>
            <w:tcW w:w="0" w:type="auto"/>
            <w:shd w:val="clear" w:color="auto" w:fill="auto"/>
            <w:hideMark/>
          </w:tcPr>
          <w:p w14:paraId="679FC3B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724547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125</w:t>
            </w:r>
          </w:p>
        </w:tc>
        <w:tc>
          <w:tcPr>
            <w:tcW w:w="0" w:type="auto"/>
            <w:shd w:val="clear" w:color="auto" w:fill="auto"/>
            <w:hideMark/>
          </w:tcPr>
          <w:p w14:paraId="47C9454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0F738BF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135</w:t>
            </w:r>
          </w:p>
        </w:tc>
        <w:tc>
          <w:tcPr>
            <w:tcW w:w="0" w:type="auto"/>
            <w:shd w:val="clear" w:color="auto" w:fill="auto"/>
            <w:hideMark/>
          </w:tcPr>
          <w:p w14:paraId="5ECC332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AD4400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40</w:t>
            </w:r>
          </w:p>
        </w:tc>
        <w:tc>
          <w:tcPr>
            <w:tcW w:w="0" w:type="auto"/>
            <w:shd w:val="clear" w:color="auto" w:fill="auto"/>
            <w:hideMark/>
          </w:tcPr>
          <w:p w14:paraId="1BA84D7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60</w:t>
            </w:r>
          </w:p>
        </w:tc>
        <w:tc>
          <w:tcPr>
            <w:tcW w:w="0" w:type="auto"/>
            <w:shd w:val="clear" w:color="auto" w:fill="auto"/>
            <w:hideMark/>
          </w:tcPr>
          <w:p w14:paraId="22B0A5A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DD0905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249</w:t>
            </w:r>
          </w:p>
        </w:tc>
        <w:tc>
          <w:tcPr>
            <w:tcW w:w="0" w:type="auto"/>
            <w:shd w:val="clear" w:color="auto" w:fill="auto"/>
            <w:hideMark/>
          </w:tcPr>
          <w:p w14:paraId="753E908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312</w:t>
            </w:r>
          </w:p>
        </w:tc>
      </w:tr>
      <w:tr w:rsidR="00983732" w:rsidRPr="00A3026E" w14:paraId="1FAC0E9A" w14:textId="77777777" w:rsidTr="00EA0DA7">
        <w:tc>
          <w:tcPr>
            <w:tcW w:w="0" w:type="auto"/>
            <w:vMerge/>
            <w:shd w:val="clear" w:color="auto" w:fill="auto"/>
            <w:hideMark/>
          </w:tcPr>
          <w:p w14:paraId="6D54B78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6611B27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Т-26 зен.</w:t>
            </w:r>
          </w:p>
        </w:tc>
        <w:tc>
          <w:tcPr>
            <w:tcW w:w="0" w:type="auto"/>
            <w:shd w:val="clear" w:color="auto" w:fill="auto"/>
            <w:hideMark/>
          </w:tcPr>
          <w:p w14:paraId="4FF9A71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200</w:t>
            </w:r>
          </w:p>
        </w:tc>
        <w:tc>
          <w:tcPr>
            <w:tcW w:w="0" w:type="auto"/>
            <w:shd w:val="clear" w:color="auto" w:fill="auto"/>
            <w:hideMark/>
          </w:tcPr>
          <w:p w14:paraId="378C58A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E32C29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C5FB0E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E11B76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8B4BF9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9268B9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6C5551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B5DAF7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42141D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AE7DE9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C53795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962A55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w:t>
            </w:r>
          </w:p>
        </w:tc>
        <w:tc>
          <w:tcPr>
            <w:tcW w:w="0" w:type="auto"/>
            <w:shd w:val="clear" w:color="auto" w:fill="auto"/>
            <w:hideMark/>
          </w:tcPr>
          <w:p w14:paraId="086DF74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125</w:t>
            </w:r>
          </w:p>
        </w:tc>
        <w:tc>
          <w:tcPr>
            <w:tcW w:w="0" w:type="auto"/>
            <w:shd w:val="clear" w:color="auto" w:fill="auto"/>
            <w:hideMark/>
          </w:tcPr>
          <w:p w14:paraId="7DB48EF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2DCDB8B"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75</w:t>
            </w:r>
          </w:p>
        </w:tc>
        <w:tc>
          <w:tcPr>
            <w:tcW w:w="0" w:type="auto"/>
            <w:shd w:val="clear" w:color="auto" w:fill="auto"/>
            <w:hideMark/>
          </w:tcPr>
          <w:p w14:paraId="3DDF204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3E5901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08D5B5D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09AD0F9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F3C90B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88</w:t>
            </w:r>
          </w:p>
        </w:tc>
        <w:tc>
          <w:tcPr>
            <w:tcW w:w="0" w:type="auto"/>
            <w:shd w:val="clear" w:color="auto" w:fill="auto"/>
            <w:hideMark/>
          </w:tcPr>
          <w:p w14:paraId="61897DE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2B0A9B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100</w:t>
            </w:r>
          </w:p>
        </w:tc>
        <w:tc>
          <w:tcPr>
            <w:tcW w:w="0" w:type="auto"/>
            <w:shd w:val="clear" w:color="auto" w:fill="auto"/>
            <w:hideMark/>
          </w:tcPr>
          <w:p w14:paraId="7E6BA94B"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034A9DF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11</w:t>
            </w:r>
          </w:p>
        </w:tc>
        <w:tc>
          <w:tcPr>
            <w:tcW w:w="0" w:type="auto"/>
            <w:shd w:val="clear" w:color="auto" w:fill="auto"/>
            <w:hideMark/>
          </w:tcPr>
          <w:p w14:paraId="609A6F4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200</w:t>
            </w:r>
          </w:p>
        </w:tc>
      </w:tr>
      <w:tr w:rsidR="00983732" w:rsidRPr="00A3026E" w14:paraId="380E2D61" w14:textId="77777777" w:rsidTr="00EA0DA7">
        <w:tc>
          <w:tcPr>
            <w:tcW w:w="0" w:type="auto"/>
            <w:vMerge w:val="restart"/>
            <w:shd w:val="clear" w:color="auto" w:fill="auto"/>
            <w:hideMark/>
          </w:tcPr>
          <w:p w14:paraId="26B8F49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183</w:t>
            </w:r>
          </w:p>
        </w:tc>
        <w:tc>
          <w:tcPr>
            <w:tcW w:w="0" w:type="auto"/>
            <w:shd w:val="clear" w:color="auto" w:fill="auto"/>
            <w:hideMark/>
          </w:tcPr>
          <w:p w14:paraId="208B81F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БТ-7 лин.</w:t>
            </w:r>
          </w:p>
        </w:tc>
        <w:tc>
          <w:tcPr>
            <w:tcW w:w="0" w:type="auto"/>
            <w:shd w:val="clear" w:color="auto" w:fill="auto"/>
            <w:hideMark/>
          </w:tcPr>
          <w:p w14:paraId="2304F2E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574</w:t>
            </w:r>
          </w:p>
        </w:tc>
        <w:tc>
          <w:tcPr>
            <w:tcW w:w="0" w:type="auto"/>
            <w:shd w:val="clear" w:color="auto" w:fill="auto"/>
            <w:hideMark/>
          </w:tcPr>
          <w:p w14:paraId="0FE6BD5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105</w:t>
            </w:r>
          </w:p>
        </w:tc>
        <w:tc>
          <w:tcPr>
            <w:tcW w:w="0" w:type="auto"/>
            <w:shd w:val="clear" w:color="auto" w:fill="auto"/>
            <w:hideMark/>
          </w:tcPr>
          <w:p w14:paraId="21FB7CE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40</w:t>
            </w:r>
          </w:p>
        </w:tc>
        <w:tc>
          <w:tcPr>
            <w:tcW w:w="0" w:type="auto"/>
            <w:shd w:val="clear" w:color="auto" w:fill="auto"/>
            <w:hideMark/>
          </w:tcPr>
          <w:p w14:paraId="47F3041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105</w:t>
            </w:r>
          </w:p>
        </w:tc>
        <w:tc>
          <w:tcPr>
            <w:tcW w:w="0" w:type="auto"/>
            <w:shd w:val="clear" w:color="auto" w:fill="auto"/>
            <w:hideMark/>
          </w:tcPr>
          <w:p w14:paraId="50F0578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60</w:t>
            </w:r>
          </w:p>
        </w:tc>
        <w:tc>
          <w:tcPr>
            <w:tcW w:w="0" w:type="auto"/>
            <w:shd w:val="clear" w:color="auto" w:fill="auto"/>
            <w:hideMark/>
          </w:tcPr>
          <w:p w14:paraId="2F5A648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60</w:t>
            </w:r>
          </w:p>
        </w:tc>
        <w:tc>
          <w:tcPr>
            <w:tcW w:w="0" w:type="auto"/>
            <w:shd w:val="clear" w:color="auto" w:fill="auto"/>
            <w:hideMark/>
          </w:tcPr>
          <w:p w14:paraId="39CE84E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250</w:t>
            </w:r>
          </w:p>
        </w:tc>
        <w:tc>
          <w:tcPr>
            <w:tcW w:w="0" w:type="auto"/>
            <w:shd w:val="clear" w:color="auto" w:fill="auto"/>
            <w:hideMark/>
          </w:tcPr>
          <w:p w14:paraId="42CC615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85</w:t>
            </w:r>
          </w:p>
        </w:tc>
        <w:tc>
          <w:tcPr>
            <w:tcW w:w="0" w:type="auto"/>
            <w:shd w:val="clear" w:color="auto" w:fill="auto"/>
            <w:hideMark/>
          </w:tcPr>
          <w:p w14:paraId="35BE0F0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121</w:t>
            </w:r>
          </w:p>
        </w:tc>
        <w:tc>
          <w:tcPr>
            <w:tcW w:w="0" w:type="auto"/>
            <w:shd w:val="clear" w:color="auto" w:fill="auto"/>
            <w:hideMark/>
          </w:tcPr>
          <w:p w14:paraId="57537EF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93BD55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42</w:t>
            </w:r>
          </w:p>
        </w:tc>
        <w:tc>
          <w:tcPr>
            <w:tcW w:w="0" w:type="auto"/>
            <w:shd w:val="clear" w:color="auto" w:fill="auto"/>
            <w:hideMark/>
          </w:tcPr>
          <w:p w14:paraId="4774B9E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50</w:t>
            </w:r>
          </w:p>
        </w:tc>
        <w:tc>
          <w:tcPr>
            <w:tcW w:w="0" w:type="auto"/>
            <w:shd w:val="clear" w:color="auto" w:fill="auto"/>
            <w:hideMark/>
          </w:tcPr>
          <w:p w14:paraId="640DD04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00FD08F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30</w:t>
            </w:r>
          </w:p>
        </w:tc>
        <w:tc>
          <w:tcPr>
            <w:tcW w:w="0" w:type="auto"/>
            <w:shd w:val="clear" w:color="auto" w:fill="auto"/>
            <w:hideMark/>
          </w:tcPr>
          <w:p w14:paraId="064CDFC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E31305B"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69</w:t>
            </w:r>
          </w:p>
        </w:tc>
        <w:tc>
          <w:tcPr>
            <w:tcW w:w="0" w:type="auto"/>
            <w:shd w:val="clear" w:color="auto" w:fill="auto"/>
            <w:hideMark/>
          </w:tcPr>
          <w:p w14:paraId="5018E35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w:t>
            </w:r>
          </w:p>
        </w:tc>
        <w:tc>
          <w:tcPr>
            <w:tcW w:w="0" w:type="auto"/>
            <w:shd w:val="clear" w:color="auto" w:fill="auto"/>
            <w:hideMark/>
          </w:tcPr>
          <w:p w14:paraId="65D657B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70</w:t>
            </w:r>
          </w:p>
        </w:tc>
        <w:tc>
          <w:tcPr>
            <w:tcW w:w="0" w:type="auto"/>
            <w:shd w:val="clear" w:color="auto" w:fill="auto"/>
            <w:hideMark/>
          </w:tcPr>
          <w:p w14:paraId="6AF11DB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F0ED65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740C89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B5C9A5B"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A9A69C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0D9C80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DDB4CE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121C84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514</w:t>
            </w:r>
          </w:p>
        </w:tc>
      </w:tr>
      <w:tr w:rsidR="00983732" w:rsidRPr="00A3026E" w14:paraId="0EC742EE" w14:textId="77777777" w:rsidTr="00EA0DA7">
        <w:tc>
          <w:tcPr>
            <w:tcW w:w="0" w:type="auto"/>
            <w:vMerge/>
            <w:shd w:val="clear" w:color="auto" w:fill="auto"/>
            <w:hideMark/>
          </w:tcPr>
          <w:p w14:paraId="12EFC26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1300921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БТ-7 рад.</w:t>
            </w:r>
          </w:p>
        </w:tc>
        <w:tc>
          <w:tcPr>
            <w:tcW w:w="0" w:type="auto"/>
            <w:shd w:val="clear" w:color="auto" w:fill="auto"/>
            <w:hideMark/>
          </w:tcPr>
          <w:p w14:paraId="17F0BB6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174</w:t>
            </w:r>
          </w:p>
        </w:tc>
        <w:tc>
          <w:tcPr>
            <w:tcW w:w="0" w:type="auto"/>
            <w:shd w:val="clear" w:color="auto" w:fill="auto"/>
            <w:hideMark/>
          </w:tcPr>
          <w:p w14:paraId="0951D90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3FF920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E91B7A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73FB32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1C9849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50</w:t>
            </w:r>
          </w:p>
        </w:tc>
        <w:tc>
          <w:tcPr>
            <w:tcW w:w="0" w:type="auto"/>
            <w:shd w:val="clear" w:color="auto" w:fill="auto"/>
            <w:hideMark/>
          </w:tcPr>
          <w:p w14:paraId="6AF0540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0D4226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45</w:t>
            </w:r>
          </w:p>
        </w:tc>
        <w:tc>
          <w:tcPr>
            <w:tcW w:w="0" w:type="auto"/>
            <w:shd w:val="clear" w:color="auto" w:fill="auto"/>
            <w:hideMark/>
          </w:tcPr>
          <w:p w14:paraId="05379FB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1F6ACA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79</w:t>
            </w:r>
          </w:p>
        </w:tc>
        <w:tc>
          <w:tcPr>
            <w:tcW w:w="0" w:type="auto"/>
            <w:shd w:val="clear" w:color="auto" w:fill="auto"/>
            <w:hideMark/>
          </w:tcPr>
          <w:p w14:paraId="2F49A07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8</w:t>
            </w:r>
          </w:p>
        </w:tc>
        <w:tc>
          <w:tcPr>
            <w:tcW w:w="0" w:type="auto"/>
            <w:shd w:val="clear" w:color="auto" w:fill="auto"/>
            <w:hideMark/>
          </w:tcPr>
          <w:p w14:paraId="369CBD8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61EEF6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126</w:t>
            </w:r>
          </w:p>
        </w:tc>
        <w:tc>
          <w:tcPr>
            <w:tcW w:w="0" w:type="auto"/>
            <w:shd w:val="clear" w:color="auto" w:fill="auto"/>
            <w:hideMark/>
          </w:tcPr>
          <w:p w14:paraId="5BD23D3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B8282A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26</w:t>
            </w:r>
          </w:p>
        </w:tc>
        <w:tc>
          <w:tcPr>
            <w:tcW w:w="0" w:type="auto"/>
            <w:shd w:val="clear" w:color="auto" w:fill="auto"/>
            <w:hideMark/>
          </w:tcPr>
          <w:p w14:paraId="48DB123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755AD4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14</w:t>
            </w:r>
          </w:p>
        </w:tc>
        <w:tc>
          <w:tcPr>
            <w:tcW w:w="0" w:type="auto"/>
            <w:shd w:val="clear" w:color="auto" w:fill="auto"/>
            <w:hideMark/>
          </w:tcPr>
          <w:p w14:paraId="4CE46D1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23989A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461DEE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9AFF4B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E4CEDC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84B7D9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031E7CA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39FCD6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496F87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174</w:t>
            </w:r>
          </w:p>
        </w:tc>
      </w:tr>
      <w:tr w:rsidR="00983732" w:rsidRPr="00A3026E" w14:paraId="6FCBE75D" w14:textId="77777777" w:rsidTr="00EA0DA7">
        <w:tc>
          <w:tcPr>
            <w:tcW w:w="0" w:type="auto"/>
            <w:vMerge/>
            <w:shd w:val="clear" w:color="auto" w:fill="auto"/>
            <w:hideMark/>
          </w:tcPr>
          <w:p w14:paraId="0D5F597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1DF6E14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БТ-7 зен.</w:t>
            </w:r>
          </w:p>
        </w:tc>
        <w:tc>
          <w:tcPr>
            <w:tcW w:w="0" w:type="auto"/>
            <w:shd w:val="clear" w:color="auto" w:fill="auto"/>
            <w:hideMark/>
          </w:tcPr>
          <w:p w14:paraId="232D0E2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180</w:t>
            </w:r>
          </w:p>
        </w:tc>
        <w:tc>
          <w:tcPr>
            <w:tcW w:w="0" w:type="auto"/>
            <w:shd w:val="clear" w:color="auto" w:fill="auto"/>
            <w:hideMark/>
          </w:tcPr>
          <w:p w14:paraId="1283B75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21D7D0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051D85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EE4A1C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41EF68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2E5865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A5EBE5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FBA206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279B36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1E397A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33D044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50</w:t>
            </w:r>
          </w:p>
        </w:tc>
        <w:tc>
          <w:tcPr>
            <w:tcW w:w="0" w:type="auto"/>
            <w:shd w:val="clear" w:color="auto" w:fill="auto"/>
            <w:hideMark/>
          </w:tcPr>
          <w:p w14:paraId="06DB181B"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E38695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80</w:t>
            </w:r>
          </w:p>
        </w:tc>
        <w:tc>
          <w:tcPr>
            <w:tcW w:w="0" w:type="auto"/>
            <w:shd w:val="clear" w:color="auto" w:fill="auto"/>
            <w:hideMark/>
          </w:tcPr>
          <w:p w14:paraId="752E553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w:t>
            </w:r>
          </w:p>
        </w:tc>
        <w:tc>
          <w:tcPr>
            <w:tcW w:w="0" w:type="auto"/>
            <w:shd w:val="clear" w:color="auto" w:fill="auto"/>
            <w:hideMark/>
          </w:tcPr>
          <w:p w14:paraId="0D892A8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50</w:t>
            </w:r>
          </w:p>
        </w:tc>
        <w:tc>
          <w:tcPr>
            <w:tcW w:w="0" w:type="auto"/>
            <w:shd w:val="clear" w:color="auto" w:fill="auto"/>
            <w:hideMark/>
          </w:tcPr>
          <w:p w14:paraId="6231526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11</w:t>
            </w:r>
          </w:p>
        </w:tc>
        <w:tc>
          <w:tcPr>
            <w:tcW w:w="0" w:type="auto"/>
            <w:shd w:val="clear" w:color="auto" w:fill="auto"/>
            <w:hideMark/>
          </w:tcPr>
          <w:p w14:paraId="1932758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FD3CCE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w:t>
            </w:r>
          </w:p>
        </w:tc>
        <w:tc>
          <w:tcPr>
            <w:tcW w:w="0" w:type="auto"/>
            <w:shd w:val="clear" w:color="auto" w:fill="auto"/>
            <w:hideMark/>
          </w:tcPr>
          <w:p w14:paraId="3B67B1D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41EB11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87BADD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BC91B0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D1F84A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D301C8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9C46E6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18</w:t>
            </w:r>
          </w:p>
        </w:tc>
      </w:tr>
      <w:tr w:rsidR="00983732" w:rsidRPr="00A3026E" w14:paraId="627535E1" w14:textId="77777777" w:rsidTr="00EA0DA7">
        <w:tc>
          <w:tcPr>
            <w:tcW w:w="0" w:type="auto"/>
            <w:shd w:val="clear" w:color="auto" w:fill="auto"/>
            <w:hideMark/>
          </w:tcPr>
          <w:p w14:paraId="7C77D05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183</w:t>
            </w:r>
          </w:p>
        </w:tc>
        <w:tc>
          <w:tcPr>
            <w:tcW w:w="0" w:type="auto"/>
            <w:shd w:val="clear" w:color="auto" w:fill="auto"/>
            <w:hideMark/>
          </w:tcPr>
          <w:p w14:paraId="1B80C00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Т-34</w:t>
            </w:r>
          </w:p>
        </w:tc>
        <w:tc>
          <w:tcPr>
            <w:tcW w:w="0" w:type="auto"/>
            <w:shd w:val="clear" w:color="auto" w:fill="auto"/>
            <w:hideMark/>
          </w:tcPr>
          <w:p w14:paraId="355369F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500</w:t>
            </w:r>
          </w:p>
        </w:tc>
        <w:tc>
          <w:tcPr>
            <w:tcW w:w="0" w:type="auto"/>
            <w:shd w:val="clear" w:color="auto" w:fill="auto"/>
            <w:hideMark/>
          </w:tcPr>
          <w:p w14:paraId="5C15F78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1C525F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34D881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06A7F4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0A24F2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DC2EB5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9CAA16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0D9F970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E70FB5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0F67541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0A117FC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w:t>
            </w:r>
          </w:p>
        </w:tc>
        <w:tc>
          <w:tcPr>
            <w:tcW w:w="0" w:type="auto"/>
            <w:shd w:val="clear" w:color="auto" w:fill="auto"/>
            <w:hideMark/>
          </w:tcPr>
          <w:p w14:paraId="5C608A9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w:t>
            </w:r>
          </w:p>
        </w:tc>
        <w:tc>
          <w:tcPr>
            <w:tcW w:w="0" w:type="auto"/>
            <w:shd w:val="clear" w:color="auto" w:fill="auto"/>
            <w:hideMark/>
          </w:tcPr>
          <w:p w14:paraId="7EB2197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w:t>
            </w:r>
          </w:p>
        </w:tc>
        <w:tc>
          <w:tcPr>
            <w:tcW w:w="0" w:type="auto"/>
            <w:shd w:val="clear" w:color="auto" w:fill="auto"/>
            <w:hideMark/>
          </w:tcPr>
          <w:p w14:paraId="1187330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w:t>
            </w:r>
          </w:p>
        </w:tc>
        <w:tc>
          <w:tcPr>
            <w:tcW w:w="0" w:type="auto"/>
            <w:shd w:val="clear" w:color="auto" w:fill="auto"/>
            <w:hideMark/>
          </w:tcPr>
          <w:p w14:paraId="0ABCB2A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30</w:t>
            </w:r>
          </w:p>
        </w:tc>
        <w:tc>
          <w:tcPr>
            <w:tcW w:w="0" w:type="auto"/>
            <w:shd w:val="clear" w:color="auto" w:fill="auto"/>
            <w:hideMark/>
          </w:tcPr>
          <w:p w14:paraId="041EDC8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w:t>
            </w:r>
          </w:p>
        </w:tc>
        <w:tc>
          <w:tcPr>
            <w:tcW w:w="0" w:type="auto"/>
            <w:shd w:val="clear" w:color="auto" w:fill="auto"/>
            <w:hideMark/>
          </w:tcPr>
          <w:p w14:paraId="2F00014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80</w:t>
            </w:r>
          </w:p>
        </w:tc>
        <w:tc>
          <w:tcPr>
            <w:tcW w:w="0" w:type="auto"/>
            <w:shd w:val="clear" w:color="auto" w:fill="auto"/>
            <w:hideMark/>
          </w:tcPr>
          <w:p w14:paraId="2E3E353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37</w:t>
            </w:r>
          </w:p>
        </w:tc>
        <w:tc>
          <w:tcPr>
            <w:tcW w:w="0" w:type="auto"/>
            <w:shd w:val="clear" w:color="auto" w:fill="auto"/>
            <w:hideMark/>
          </w:tcPr>
          <w:p w14:paraId="238C8E2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115</w:t>
            </w:r>
          </w:p>
        </w:tc>
        <w:tc>
          <w:tcPr>
            <w:tcW w:w="0" w:type="auto"/>
            <w:shd w:val="clear" w:color="auto" w:fill="auto"/>
            <w:hideMark/>
          </w:tcPr>
          <w:p w14:paraId="6236E5E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w:t>
            </w:r>
          </w:p>
        </w:tc>
        <w:tc>
          <w:tcPr>
            <w:tcW w:w="0" w:type="auto"/>
            <w:shd w:val="clear" w:color="auto" w:fill="auto"/>
            <w:hideMark/>
          </w:tcPr>
          <w:p w14:paraId="6F1DD5E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120</w:t>
            </w:r>
          </w:p>
        </w:tc>
        <w:tc>
          <w:tcPr>
            <w:tcW w:w="0" w:type="auto"/>
            <w:shd w:val="clear" w:color="auto" w:fill="auto"/>
            <w:hideMark/>
          </w:tcPr>
          <w:p w14:paraId="66A4181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38</w:t>
            </w:r>
          </w:p>
        </w:tc>
        <w:tc>
          <w:tcPr>
            <w:tcW w:w="0" w:type="auto"/>
            <w:shd w:val="clear" w:color="auto" w:fill="auto"/>
            <w:hideMark/>
          </w:tcPr>
          <w:p w14:paraId="403C4ED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125</w:t>
            </w:r>
          </w:p>
        </w:tc>
        <w:tc>
          <w:tcPr>
            <w:tcW w:w="0" w:type="auto"/>
            <w:shd w:val="clear" w:color="auto" w:fill="auto"/>
            <w:hideMark/>
          </w:tcPr>
          <w:p w14:paraId="64AA7CC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32</w:t>
            </w:r>
          </w:p>
        </w:tc>
        <w:tc>
          <w:tcPr>
            <w:tcW w:w="0" w:type="auto"/>
            <w:shd w:val="clear" w:color="auto" w:fill="auto"/>
            <w:hideMark/>
          </w:tcPr>
          <w:p w14:paraId="7B82C2B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115</w:t>
            </w:r>
          </w:p>
        </w:tc>
      </w:tr>
      <w:tr w:rsidR="00983732" w:rsidRPr="00A3026E" w14:paraId="1F4F4CCE" w14:textId="77777777" w:rsidTr="00EA0DA7">
        <w:tc>
          <w:tcPr>
            <w:tcW w:w="0" w:type="auto"/>
            <w:shd w:val="clear" w:color="auto" w:fill="auto"/>
            <w:hideMark/>
          </w:tcPr>
          <w:p w14:paraId="45A0F08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СТЗ</w:t>
            </w:r>
          </w:p>
        </w:tc>
        <w:tc>
          <w:tcPr>
            <w:tcW w:w="0" w:type="auto"/>
            <w:shd w:val="clear" w:color="auto" w:fill="auto"/>
            <w:hideMark/>
          </w:tcPr>
          <w:p w14:paraId="4A3915B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Т-34</w:t>
            </w:r>
          </w:p>
        </w:tc>
        <w:tc>
          <w:tcPr>
            <w:tcW w:w="0" w:type="auto"/>
            <w:shd w:val="clear" w:color="auto" w:fill="auto"/>
            <w:hideMark/>
          </w:tcPr>
          <w:p w14:paraId="0B029B5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100</w:t>
            </w:r>
          </w:p>
        </w:tc>
        <w:tc>
          <w:tcPr>
            <w:tcW w:w="0" w:type="auto"/>
            <w:shd w:val="clear" w:color="auto" w:fill="auto"/>
            <w:hideMark/>
          </w:tcPr>
          <w:p w14:paraId="7E0E499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052A492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24422A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AF2F65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5E1BAA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FC372D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8195C7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FFD7AE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A60CDC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EC4223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562662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0AF6113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CFFD23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D3029E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BC5277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586D25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03F7D7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EBC0FD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FB9C43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w:t>
            </w:r>
          </w:p>
        </w:tc>
        <w:tc>
          <w:tcPr>
            <w:tcW w:w="0" w:type="auto"/>
            <w:shd w:val="clear" w:color="auto" w:fill="auto"/>
            <w:hideMark/>
          </w:tcPr>
          <w:p w14:paraId="54A9428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C6A18F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30</w:t>
            </w:r>
          </w:p>
        </w:tc>
        <w:tc>
          <w:tcPr>
            <w:tcW w:w="0" w:type="auto"/>
            <w:shd w:val="clear" w:color="auto" w:fill="auto"/>
            <w:hideMark/>
          </w:tcPr>
          <w:p w14:paraId="0D4DD45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DD6EDA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50</w:t>
            </w:r>
          </w:p>
        </w:tc>
        <w:tc>
          <w:tcPr>
            <w:tcW w:w="0" w:type="auto"/>
            <w:shd w:val="clear" w:color="auto" w:fill="auto"/>
            <w:hideMark/>
          </w:tcPr>
          <w:p w14:paraId="3967414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93F5FE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0</w:t>
            </w:r>
          </w:p>
        </w:tc>
      </w:tr>
      <w:tr w:rsidR="00983732" w:rsidRPr="00A3026E" w14:paraId="2A5BECCA" w14:textId="77777777" w:rsidTr="00EA0DA7">
        <w:tc>
          <w:tcPr>
            <w:tcW w:w="0" w:type="auto"/>
            <w:vMerge w:val="restart"/>
            <w:shd w:val="clear" w:color="auto" w:fill="auto"/>
            <w:hideMark/>
          </w:tcPr>
          <w:p w14:paraId="4042488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 37</w:t>
            </w:r>
          </w:p>
        </w:tc>
        <w:tc>
          <w:tcPr>
            <w:tcW w:w="0" w:type="auto"/>
            <w:shd w:val="clear" w:color="auto" w:fill="auto"/>
            <w:hideMark/>
          </w:tcPr>
          <w:p w14:paraId="49E5977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Т-40 лин.</w:t>
            </w:r>
          </w:p>
        </w:tc>
        <w:tc>
          <w:tcPr>
            <w:tcW w:w="0" w:type="auto"/>
            <w:shd w:val="clear" w:color="auto" w:fill="auto"/>
            <w:hideMark/>
          </w:tcPr>
          <w:p w14:paraId="07F0BF6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75</w:t>
            </w:r>
          </w:p>
        </w:tc>
        <w:tc>
          <w:tcPr>
            <w:tcW w:w="0" w:type="auto"/>
            <w:shd w:val="clear" w:color="auto" w:fill="auto"/>
            <w:hideMark/>
          </w:tcPr>
          <w:p w14:paraId="39EC4A2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8E4C12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AD30E5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DD9441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317150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w:t>
            </w:r>
          </w:p>
        </w:tc>
        <w:tc>
          <w:tcPr>
            <w:tcW w:w="0" w:type="auto"/>
            <w:shd w:val="clear" w:color="auto" w:fill="auto"/>
            <w:hideMark/>
          </w:tcPr>
          <w:p w14:paraId="478F91F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9E0002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171E9C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A2321F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0DA8E9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B9D27D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070E866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w:t>
            </w:r>
          </w:p>
        </w:tc>
        <w:tc>
          <w:tcPr>
            <w:tcW w:w="0" w:type="auto"/>
            <w:shd w:val="clear" w:color="auto" w:fill="auto"/>
            <w:hideMark/>
          </w:tcPr>
          <w:p w14:paraId="5345E2E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12</w:t>
            </w:r>
          </w:p>
        </w:tc>
        <w:tc>
          <w:tcPr>
            <w:tcW w:w="0" w:type="auto"/>
            <w:shd w:val="clear" w:color="auto" w:fill="auto"/>
            <w:hideMark/>
          </w:tcPr>
          <w:p w14:paraId="3B1F4D9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AF0ECE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7BE341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w:t>
            </w:r>
          </w:p>
        </w:tc>
        <w:tc>
          <w:tcPr>
            <w:tcW w:w="0" w:type="auto"/>
            <w:shd w:val="clear" w:color="auto" w:fill="auto"/>
            <w:hideMark/>
          </w:tcPr>
          <w:p w14:paraId="66E110B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34B762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w:t>
            </w:r>
          </w:p>
        </w:tc>
        <w:tc>
          <w:tcPr>
            <w:tcW w:w="0" w:type="auto"/>
            <w:shd w:val="clear" w:color="auto" w:fill="auto"/>
            <w:hideMark/>
          </w:tcPr>
          <w:p w14:paraId="6100940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w:t>
            </w:r>
          </w:p>
        </w:tc>
        <w:tc>
          <w:tcPr>
            <w:tcW w:w="0" w:type="auto"/>
            <w:shd w:val="clear" w:color="auto" w:fill="auto"/>
            <w:hideMark/>
          </w:tcPr>
          <w:p w14:paraId="6E3CA76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w:t>
            </w:r>
          </w:p>
        </w:tc>
        <w:tc>
          <w:tcPr>
            <w:tcW w:w="0" w:type="auto"/>
            <w:shd w:val="clear" w:color="auto" w:fill="auto"/>
            <w:hideMark/>
          </w:tcPr>
          <w:p w14:paraId="27EF6E8B"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15</w:t>
            </w:r>
          </w:p>
        </w:tc>
        <w:tc>
          <w:tcPr>
            <w:tcW w:w="0" w:type="auto"/>
            <w:shd w:val="clear" w:color="auto" w:fill="auto"/>
            <w:hideMark/>
          </w:tcPr>
          <w:p w14:paraId="277086A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w:t>
            </w:r>
          </w:p>
        </w:tc>
        <w:tc>
          <w:tcPr>
            <w:tcW w:w="0" w:type="auto"/>
            <w:shd w:val="clear" w:color="auto" w:fill="auto"/>
            <w:hideMark/>
          </w:tcPr>
          <w:p w14:paraId="22EAFC21"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41</w:t>
            </w:r>
          </w:p>
        </w:tc>
        <w:tc>
          <w:tcPr>
            <w:tcW w:w="0" w:type="auto"/>
            <w:shd w:val="clear" w:color="auto" w:fill="auto"/>
            <w:hideMark/>
          </w:tcPr>
          <w:p w14:paraId="2BD745B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19</w:t>
            </w:r>
          </w:p>
        </w:tc>
        <w:tc>
          <w:tcPr>
            <w:tcW w:w="0" w:type="auto"/>
            <w:shd w:val="clear" w:color="auto" w:fill="auto"/>
            <w:hideMark/>
          </w:tcPr>
          <w:p w14:paraId="7C9990FB"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35</w:t>
            </w:r>
          </w:p>
        </w:tc>
      </w:tr>
      <w:tr w:rsidR="00983732" w:rsidRPr="00A3026E" w14:paraId="7388B33E" w14:textId="77777777" w:rsidTr="00EA0DA7">
        <w:tc>
          <w:tcPr>
            <w:tcW w:w="0" w:type="auto"/>
            <w:vMerge/>
            <w:shd w:val="clear" w:color="auto" w:fill="auto"/>
            <w:hideMark/>
          </w:tcPr>
          <w:p w14:paraId="2397C1C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0FF0975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Т-40 рад.</w:t>
            </w:r>
          </w:p>
        </w:tc>
        <w:tc>
          <w:tcPr>
            <w:tcW w:w="0" w:type="auto"/>
            <w:shd w:val="clear" w:color="auto" w:fill="auto"/>
            <w:hideMark/>
          </w:tcPr>
          <w:p w14:paraId="1BEB1EC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25</w:t>
            </w:r>
          </w:p>
        </w:tc>
        <w:tc>
          <w:tcPr>
            <w:tcW w:w="0" w:type="auto"/>
            <w:shd w:val="clear" w:color="auto" w:fill="auto"/>
            <w:hideMark/>
          </w:tcPr>
          <w:p w14:paraId="260986C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6842DC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7DCE89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0D38C4B"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EBA163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3F3880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0B5A5D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w:t>
            </w:r>
          </w:p>
        </w:tc>
        <w:tc>
          <w:tcPr>
            <w:tcW w:w="0" w:type="auto"/>
            <w:shd w:val="clear" w:color="auto" w:fill="auto"/>
            <w:hideMark/>
          </w:tcPr>
          <w:p w14:paraId="73A91A2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395C2DB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052BB7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0EFADD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25ECB526"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w:t>
            </w:r>
          </w:p>
        </w:tc>
        <w:tc>
          <w:tcPr>
            <w:tcW w:w="0" w:type="auto"/>
            <w:shd w:val="clear" w:color="auto" w:fill="auto"/>
            <w:hideMark/>
          </w:tcPr>
          <w:p w14:paraId="04EE347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w:t>
            </w:r>
          </w:p>
        </w:tc>
        <w:tc>
          <w:tcPr>
            <w:tcW w:w="0" w:type="auto"/>
            <w:shd w:val="clear" w:color="auto" w:fill="auto"/>
            <w:hideMark/>
          </w:tcPr>
          <w:p w14:paraId="415EB16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68C7F0BD"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596B7154"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w:t>
            </w:r>
          </w:p>
        </w:tc>
        <w:tc>
          <w:tcPr>
            <w:tcW w:w="0" w:type="auto"/>
            <w:shd w:val="clear" w:color="auto" w:fill="auto"/>
            <w:hideMark/>
          </w:tcPr>
          <w:p w14:paraId="09E7883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261AAFB"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w:t>
            </w:r>
          </w:p>
        </w:tc>
        <w:tc>
          <w:tcPr>
            <w:tcW w:w="0" w:type="auto"/>
            <w:shd w:val="clear" w:color="auto" w:fill="auto"/>
            <w:hideMark/>
          </w:tcPr>
          <w:p w14:paraId="47E9227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w:t>
            </w:r>
          </w:p>
        </w:tc>
        <w:tc>
          <w:tcPr>
            <w:tcW w:w="0" w:type="auto"/>
            <w:shd w:val="clear" w:color="auto" w:fill="auto"/>
            <w:hideMark/>
          </w:tcPr>
          <w:p w14:paraId="55DC33C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7BBB3F7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w:t>
            </w:r>
          </w:p>
        </w:tc>
        <w:tc>
          <w:tcPr>
            <w:tcW w:w="0" w:type="auto"/>
            <w:shd w:val="clear" w:color="auto" w:fill="auto"/>
            <w:hideMark/>
          </w:tcPr>
          <w:p w14:paraId="597FBBA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14500C9B"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w:t>
            </w:r>
          </w:p>
        </w:tc>
        <w:tc>
          <w:tcPr>
            <w:tcW w:w="0" w:type="auto"/>
            <w:shd w:val="clear" w:color="auto" w:fill="auto"/>
            <w:hideMark/>
          </w:tcPr>
          <w:p w14:paraId="5E005C9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4EECF53B"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6</w:t>
            </w:r>
          </w:p>
        </w:tc>
      </w:tr>
      <w:tr w:rsidR="00983732" w:rsidRPr="00A3026E" w14:paraId="3FA2B1D6" w14:textId="77777777" w:rsidTr="00EA0DA7">
        <w:tc>
          <w:tcPr>
            <w:tcW w:w="0" w:type="auto"/>
            <w:shd w:val="clear" w:color="auto" w:fill="auto"/>
            <w:hideMark/>
          </w:tcPr>
          <w:p w14:paraId="5E51576B"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Кировский</w:t>
            </w:r>
          </w:p>
        </w:tc>
        <w:tc>
          <w:tcPr>
            <w:tcW w:w="0" w:type="auto"/>
            <w:shd w:val="clear" w:color="auto" w:fill="auto"/>
            <w:hideMark/>
          </w:tcPr>
          <w:p w14:paraId="7193947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KB</w:t>
            </w:r>
          </w:p>
        </w:tc>
        <w:tc>
          <w:tcPr>
            <w:tcW w:w="0" w:type="auto"/>
            <w:shd w:val="clear" w:color="auto" w:fill="auto"/>
            <w:hideMark/>
          </w:tcPr>
          <w:p w14:paraId="45B4597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243</w:t>
            </w:r>
          </w:p>
        </w:tc>
        <w:tc>
          <w:tcPr>
            <w:tcW w:w="0" w:type="auto"/>
            <w:shd w:val="clear" w:color="auto" w:fill="auto"/>
            <w:hideMark/>
          </w:tcPr>
          <w:p w14:paraId="32D95DA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w:t>
            </w:r>
          </w:p>
        </w:tc>
        <w:tc>
          <w:tcPr>
            <w:tcW w:w="0" w:type="auto"/>
            <w:shd w:val="clear" w:color="auto" w:fill="auto"/>
            <w:hideMark/>
          </w:tcPr>
          <w:p w14:paraId="57EBDD8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w:t>
            </w:r>
          </w:p>
        </w:tc>
        <w:tc>
          <w:tcPr>
            <w:tcW w:w="0" w:type="auto"/>
            <w:shd w:val="clear" w:color="auto" w:fill="auto"/>
            <w:hideMark/>
          </w:tcPr>
          <w:p w14:paraId="0E9EBE3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w:t>
            </w:r>
          </w:p>
        </w:tc>
        <w:tc>
          <w:tcPr>
            <w:tcW w:w="0" w:type="auto"/>
            <w:shd w:val="clear" w:color="auto" w:fill="auto"/>
            <w:hideMark/>
          </w:tcPr>
          <w:p w14:paraId="7AF51275"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w:t>
            </w:r>
          </w:p>
        </w:tc>
        <w:tc>
          <w:tcPr>
            <w:tcW w:w="0" w:type="auto"/>
            <w:shd w:val="clear" w:color="auto" w:fill="auto"/>
            <w:hideMark/>
          </w:tcPr>
          <w:p w14:paraId="26D20CB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w:t>
            </w:r>
          </w:p>
        </w:tc>
        <w:tc>
          <w:tcPr>
            <w:tcW w:w="0" w:type="auto"/>
            <w:shd w:val="clear" w:color="auto" w:fill="auto"/>
            <w:hideMark/>
          </w:tcPr>
          <w:p w14:paraId="633E85D8"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w:t>
            </w:r>
          </w:p>
        </w:tc>
        <w:tc>
          <w:tcPr>
            <w:tcW w:w="0" w:type="auto"/>
            <w:shd w:val="clear" w:color="auto" w:fill="auto"/>
            <w:hideMark/>
          </w:tcPr>
          <w:p w14:paraId="70A1A69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w:t>
            </w:r>
          </w:p>
        </w:tc>
        <w:tc>
          <w:tcPr>
            <w:tcW w:w="0" w:type="auto"/>
            <w:shd w:val="clear" w:color="auto" w:fill="auto"/>
            <w:hideMark/>
          </w:tcPr>
          <w:p w14:paraId="04815ACF"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w:t>
            </w:r>
          </w:p>
        </w:tc>
        <w:tc>
          <w:tcPr>
            <w:tcW w:w="0" w:type="auto"/>
            <w:shd w:val="clear" w:color="auto" w:fill="auto"/>
            <w:hideMark/>
          </w:tcPr>
          <w:p w14:paraId="71856A3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w:t>
            </w:r>
          </w:p>
        </w:tc>
        <w:tc>
          <w:tcPr>
            <w:tcW w:w="0" w:type="auto"/>
            <w:shd w:val="clear" w:color="auto" w:fill="auto"/>
            <w:hideMark/>
          </w:tcPr>
          <w:p w14:paraId="2649014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w:t>
            </w:r>
          </w:p>
        </w:tc>
        <w:tc>
          <w:tcPr>
            <w:tcW w:w="0" w:type="auto"/>
            <w:shd w:val="clear" w:color="auto" w:fill="auto"/>
            <w:hideMark/>
          </w:tcPr>
          <w:p w14:paraId="59C38C5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10</w:t>
            </w:r>
          </w:p>
        </w:tc>
        <w:tc>
          <w:tcPr>
            <w:tcW w:w="0" w:type="auto"/>
            <w:shd w:val="clear" w:color="auto" w:fill="auto"/>
            <w:hideMark/>
          </w:tcPr>
          <w:p w14:paraId="3DEC97C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w:t>
            </w:r>
          </w:p>
        </w:tc>
        <w:tc>
          <w:tcPr>
            <w:tcW w:w="0" w:type="auto"/>
            <w:shd w:val="clear" w:color="auto" w:fill="auto"/>
            <w:hideMark/>
          </w:tcPr>
          <w:p w14:paraId="3886F4B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w:t>
            </w:r>
          </w:p>
        </w:tc>
        <w:tc>
          <w:tcPr>
            <w:tcW w:w="0" w:type="auto"/>
            <w:shd w:val="clear" w:color="auto" w:fill="auto"/>
            <w:hideMark/>
          </w:tcPr>
          <w:p w14:paraId="2C6731BA"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15</w:t>
            </w:r>
          </w:p>
        </w:tc>
        <w:tc>
          <w:tcPr>
            <w:tcW w:w="0" w:type="auto"/>
            <w:shd w:val="clear" w:color="auto" w:fill="auto"/>
            <w:hideMark/>
          </w:tcPr>
          <w:p w14:paraId="0DEB8237"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30</w:t>
            </w:r>
          </w:p>
        </w:tc>
        <w:tc>
          <w:tcPr>
            <w:tcW w:w="0" w:type="auto"/>
            <w:shd w:val="clear" w:color="auto" w:fill="auto"/>
            <w:hideMark/>
          </w:tcPr>
          <w:p w14:paraId="1EEF431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20</w:t>
            </w:r>
          </w:p>
        </w:tc>
        <w:tc>
          <w:tcPr>
            <w:tcW w:w="0" w:type="auto"/>
            <w:shd w:val="clear" w:color="auto" w:fill="auto"/>
            <w:hideMark/>
          </w:tcPr>
          <w:p w14:paraId="5BEC7070"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35</w:t>
            </w:r>
          </w:p>
        </w:tc>
        <w:tc>
          <w:tcPr>
            <w:tcW w:w="0" w:type="auto"/>
            <w:shd w:val="clear" w:color="auto" w:fill="auto"/>
            <w:hideMark/>
          </w:tcPr>
          <w:p w14:paraId="18A2584C"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32</w:t>
            </w:r>
          </w:p>
        </w:tc>
        <w:tc>
          <w:tcPr>
            <w:tcW w:w="0" w:type="auto"/>
            <w:shd w:val="clear" w:color="auto" w:fill="auto"/>
            <w:hideMark/>
          </w:tcPr>
          <w:p w14:paraId="27222CC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45</w:t>
            </w:r>
          </w:p>
        </w:tc>
        <w:tc>
          <w:tcPr>
            <w:tcW w:w="0" w:type="auto"/>
            <w:shd w:val="clear" w:color="auto" w:fill="auto"/>
            <w:hideMark/>
          </w:tcPr>
          <w:p w14:paraId="651BDD7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52</w:t>
            </w:r>
          </w:p>
        </w:tc>
        <w:tc>
          <w:tcPr>
            <w:tcW w:w="0" w:type="auto"/>
            <w:shd w:val="clear" w:color="auto" w:fill="auto"/>
            <w:hideMark/>
          </w:tcPr>
          <w:p w14:paraId="790B6FD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45</w:t>
            </w:r>
          </w:p>
        </w:tc>
        <w:tc>
          <w:tcPr>
            <w:tcW w:w="0" w:type="auto"/>
            <w:shd w:val="clear" w:color="auto" w:fill="auto"/>
            <w:hideMark/>
          </w:tcPr>
          <w:p w14:paraId="46CEC753"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37</w:t>
            </w:r>
          </w:p>
        </w:tc>
        <w:tc>
          <w:tcPr>
            <w:tcW w:w="0" w:type="auto"/>
            <w:shd w:val="clear" w:color="auto" w:fill="auto"/>
            <w:hideMark/>
          </w:tcPr>
          <w:p w14:paraId="05C19FC9"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45</w:t>
            </w:r>
          </w:p>
        </w:tc>
        <w:tc>
          <w:tcPr>
            <w:tcW w:w="0" w:type="auto"/>
            <w:shd w:val="clear" w:color="auto" w:fill="auto"/>
            <w:hideMark/>
          </w:tcPr>
          <w:p w14:paraId="701B9352"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70</w:t>
            </w:r>
          </w:p>
        </w:tc>
        <w:tc>
          <w:tcPr>
            <w:tcW w:w="0" w:type="auto"/>
            <w:shd w:val="clear" w:color="auto" w:fill="auto"/>
            <w:hideMark/>
          </w:tcPr>
          <w:p w14:paraId="6CEF9E8E" w14:textId="77777777" w:rsidR="0014077F" w:rsidRPr="00A3026E"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A3026E">
              <w:rPr>
                <w:rFonts w:ascii="Times New Roman" w:eastAsia="Times New Roman" w:hAnsi="Times New Roman"/>
                <w:color w:val="000000" w:themeColor="text1"/>
                <w:sz w:val="16"/>
                <w:szCs w:val="16"/>
                <w:lang w:eastAsia="ru-RU"/>
              </w:rPr>
              <w:t>243</w:t>
            </w:r>
          </w:p>
        </w:tc>
      </w:tr>
    </w:tbl>
    <w:p w14:paraId="5F8D29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Таблица составлена по данным ЦАМО РФ, ф. 38 (Главное автобронетанковое управление), оп. 11355 (танковое управление), д. 13 (Планы бронетанкового управления о распределении боевых машин по округам, сведения и ведомости военпредов о выполнении плана заказов заводами и о наличии танков по годам выпуска), пл. 41–46 (12624).</w:t>
      </w:r>
    </w:p>
    <w:p w14:paraId="4570587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1FDC5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1940 г. подбашенная коробка Т-26 выполнялась из листовой гомогенной (ранее - цементированной) брони толщиной 20 мм (3861).</w:t>
      </w:r>
    </w:p>
    <w:p w14:paraId="7F8A34B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41625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появился огнеметный танк ОТ-134 на базе Т-26 массой 10,8 т, экипаж - три человека. В конической башне сохранилось вооружение - 45-мм пушка и пулемет, а огнемет установлен в переднем верхнем листе корпуса (дальность огнеметания - 50 м). Все огнеметные танки имели оборудование для постановки дымовых завес. Поэтому их в 30-е годы называли "химическими" (3861).</w:t>
      </w:r>
    </w:p>
    <w:p w14:paraId="10A3033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8BF77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легкого танка сопровождения пехоты "СП" - "Объект 126" (или Т-126СП, как его чаще называют) - был построен на Кировском заводе №185 и прошел испытания. По своей броневой защите он примерно соответствовал среднему танку Т-34. Его корпус сваривался из катаных броневых листов толщиной 37 мм, днище и крыша имели толщину 20 мм. Лобовые, верхние бортовые и кормовые листы корпуса имели угол наклона 40-57 градусов. В сварной башне граненой формы устанавливалась 45-мм пушка 20K образца 1932/38 года (боекомплект 150 выстрелов) и спаренный с нею пулемет ДТ. В лобовом листе корпуса слева от люка механика-водителя в шаровой установке располагался пулемет ДС. Шестицилиндровый дизель В-4 мощностью 250 л.с. позволял 17-тонной боевой машине разгоняться до максимальной скорости в 35 км/ч. Ходовая часть танка состояла из шести не обрезиненных опорных катков на борт, с внутренней амортизацией каждый, направляющего колеса, ведущего колеса кормового расположения со съемным зубчатым венцом и трех поддерживающих катков. Подвеска опорных катков индивидуальная торсионная. В состав трансмиссии входили: двухдисковый главный фрикцион сухого трения, четырехступенчатая коробка передач, многодисковые бортовые фрикционы и бортовые передачи. "Объект 126" по своей броневой защите и огневой мощи превосходил легкие и большинство средних танков СССР и других стран того времени, хотя на его конструкцию достаточно большое влияние оказал немецкий Pz-III. Для танка сопровождения пехоты скорость была вполне достаточной, к недостаткам же машины можно было отнести небольшой запас хода и стесненность рабочих мест четырех членов экипажа. Этот недостаток устранили, убрав на втором образце танка курсовой пулемет ДС и закрыв его амбразуру броневой крышкой на болтах. Кроме того, не обрезиненные опорные катки были заменены обрезиненными облегченными. В таком виде "Объект 126" поступил на №174 имени К.Е.Ворошилова (3862).</w:t>
      </w:r>
    </w:p>
    <w:p w14:paraId="445282C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C6FBF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были выпущены танки Т-28 последней серии, имевшие главные башни конической формы (3862).</w:t>
      </w:r>
    </w:p>
    <w:p w14:paraId="562279F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3AE63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на Т-28 проходила испытания 85-мм танковая пушка Ф-39 В.Г.Грабина, разрабатываемая для тяжелого танка КВ (3918).</w:t>
      </w:r>
    </w:p>
    <w:p w14:paraId="542582D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E19D0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Мариупольский металлургический завод имени Ильича изготовил 50 комплектов навесной гомогенной брони для БТ-7М. Одновременно велись испытания танка, догруженного до массы в 18 т. Об установке этих комплектов в войсковых частях, к сожалению, ничего не известно (3862).</w:t>
      </w:r>
    </w:p>
    <w:p w14:paraId="7F57B03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20F52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проект БУР-76 был изменен конструкторами ОТБ и получил новый индекс БУР-10. Прицел КТ-45 был заменен на КТ-6 (3861).</w:t>
      </w:r>
    </w:p>
    <w:p w14:paraId="00E80D7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15A42C9"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lastRenderedPageBreak/>
        <w:t>В 1940 г. в подмосковную Кубинку поступил для испытаний купленный в Германии танк Pz.Kpfw.III. Испытания его проводились как отдельно, так и в сравнении с отечественными танками — и результаты их оказались для последних не так чтобы сильно лестными, в том числе и для специально-де предназначенной для скоростного пробега вглубь Германии по первоклассным немецким автобанам колесно-гусеничной ходовой части:</w:t>
      </w:r>
    </w:p>
    <w:p w14:paraId="5EC0F2B5"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 xml:space="preserve">«На мерном километре гравийного шоссе на перегоне Кубинка — Репише — Крутицы немецкий танк показал максимальную скорость в 69,7 км/ч, лучшее значение для Т-34 составило 48,2 км/ч, для БТ-7 — 68,1 км/ч. При этом испытатели отдали предпочтение немецкому танку из-за лучшей плавности хода, обзорности, удобным рабочим местам экипажа» </w:t>
      </w:r>
      <w:hyperlink r:id="rId201" w:anchor="n_61" w:history="1">
        <w:r w:rsidRPr="00A3026E">
          <w:rPr>
            <w:rStyle w:val="a5"/>
            <w:color w:val="000000" w:themeColor="text1"/>
            <w:sz w:val="16"/>
            <w:szCs w:val="16"/>
          </w:rPr>
          <w:t>[61]</w:t>
        </w:r>
      </w:hyperlink>
      <w:r w:rsidRPr="00A3026E">
        <w:rPr>
          <w:rStyle w:val="a5"/>
          <w:color w:val="000000" w:themeColor="text1"/>
          <w:sz w:val="16"/>
          <w:szCs w:val="16"/>
        </w:rPr>
        <w:t xml:space="preserve"> (12624)</w:t>
      </w:r>
      <w:r w:rsidRPr="00A3026E">
        <w:rPr>
          <w:color w:val="000000" w:themeColor="text1"/>
          <w:sz w:val="16"/>
          <w:szCs w:val="16"/>
        </w:rPr>
        <w:t>.</w:t>
      </w:r>
    </w:p>
    <w:p w14:paraId="2B2BFF51" w14:textId="77777777" w:rsidR="0014077F" w:rsidRPr="00A3026E" w:rsidRDefault="0014077F" w:rsidP="00A3026E">
      <w:pPr>
        <w:pStyle w:val="ae"/>
        <w:spacing w:before="0" w:after="0"/>
        <w:jc w:val="both"/>
        <w:rPr>
          <w:color w:val="000000" w:themeColor="text1"/>
          <w:sz w:val="16"/>
          <w:szCs w:val="16"/>
        </w:rPr>
      </w:pPr>
    </w:p>
    <w:p w14:paraId="51EEA00A" w14:textId="77777777" w:rsidR="0014077F" w:rsidRPr="00A3026E" w:rsidRDefault="0014077F" w:rsidP="00A3026E">
      <w:pPr>
        <w:pStyle w:val="ae"/>
        <w:spacing w:before="0" w:after="0"/>
        <w:jc w:val="both"/>
        <w:rPr>
          <w:color w:val="000000" w:themeColor="text1"/>
          <w:sz w:val="16"/>
          <w:szCs w:val="16"/>
        </w:rPr>
      </w:pPr>
      <w:r w:rsidRPr="00A3026E">
        <w:rPr>
          <w:color w:val="000000" w:themeColor="text1"/>
          <w:sz w:val="16"/>
          <w:szCs w:val="16"/>
        </w:rPr>
        <w:t xml:space="preserve">В 1940 г. в докладе «Состояние танкового вооружения и необходимость создания новых классов танков» автор, инженер ленинградского завода опытного машиностроения № 185 Колоев, указывал, что, </w:t>
      </w:r>
      <w:r w:rsidRPr="00A3026E">
        <w:rPr>
          <w:iCs/>
          <w:color w:val="000000" w:themeColor="text1"/>
          <w:sz w:val="16"/>
          <w:szCs w:val="16"/>
        </w:rPr>
        <w:t>«…считая, на основании практических данных; что пушки с начальной скоростью [снаряда] около 900 м/сек, пробивают броню [толщиной] 1,6 своего калибра»</w:t>
      </w:r>
      <w:hyperlink r:id="rId202" w:anchor="n_72" w:history="1">
        <w:r w:rsidRPr="00A3026E">
          <w:rPr>
            <w:rStyle w:val="a5"/>
            <w:color w:val="000000" w:themeColor="text1"/>
            <w:sz w:val="16"/>
            <w:szCs w:val="16"/>
          </w:rPr>
          <w:t>[72]</w:t>
        </w:r>
      </w:hyperlink>
      <w:r w:rsidRPr="00A3026E">
        <w:rPr>
          <w:color w:val="000000" w:themeColor="text1"/>
          <w:sz w:val="16"/>
          <w:szCs w:val="16"/>
        </w:rPr>
        <w:t xml:space="preserve">, 45-мм броня танка Т-34 надежно защитит его от снарядов противотанковых пушек и противотанковых ружей калибром до 25 мм. В то же время </w:t>
      </w:r>
      <w:r w:rsidRPr="00A3026E">
        <w:rPr>
          <w:iCs/>
          <w:color w:val="000000" w:themeColor="text1"/>
          <w:sz w:val="16"/>
          <w:szCs w:val="16"/>
        </w:rPr>
        <w:t xml:space="preserve">«события в Финляндии показали, что броня толщиною 45 мм на близких дистанциях пробивается 37-мм противотанковой пушкой, не говоря уже о 45-мм и 47-мм противотанковых пушках, которые без особого труда пробивают такую броню на всех основных дистанциях» </w:t>
      </w:r>
      <w:hyperlink r:id="rId203" w:anchor="n_73" w:history="1">
        <w:r w:rsidRPr="00A3026E">
          <w:rPr>
            <w:rStyle w:val="a5"/>
            <w:color w:val="000000" w:themeColor="text1"/>
            <w:sz w:val="16"/>
            <w:szCs w:val="16"/>
          </w:rPr>
          <w:t>[73]</w:t>
        </w:r>
      </w:hyperlink>
      <w:r w:rsidRPr="00A3026E">
        <w:rPr>
          <w:color w:val="000000" w:themeColor="text1"/>
          <w:sz w:val="16"/>
          <w:szCs w:val="16"/>
        </w:rPr>
        <w:t xml:space="preserve">. На этом основании Колоев предлагал классифицировать танк Т-34 как танк </w:t>
      </w:r>
      <w:r w:rsidRPr="00A3026E">
        <w:rPr>
          <w:bCs/>
          <w:color w:val="000000" w:themeColor="text1"/>
          <w:sz w:val="16"/>
          <w:szCs w:val="16"/>
        </w:rPr>
        <w:t>легкого</w:t>
      </w:r>
      <w:r w:rsidRPr="00A3026E">
        <w:rPr>
          <w:color w:val="000000" w:themeColor="text1"/>
          <w:sz w:val="16"/>
          <w:szCs w:val="16"/>
        </w:rPr>
        <w:t xml:space="preserve"> бронирования, защищенный лишь от осколков, огня стрелкового оружия, крупнокалиберных пулеметов и противотанковых ружей калибром не более 20–25 мм, и считать, что </w:t>
      </w:r>
      <w:r w:rsidRPr="00A3026E">
        <w:rPr>
          <w:iCs/>
          <w:color w:val="000000" w:themeColor="text1"/>
          <w:sz w:val="16"/>
          <w:szCs w:val="16"/>
        </w:rPr>
        <w:t>«танк Т-34 с толщиной брони 45 мм на близких дистанциях не может вести успешную борьбу с 47-мм противотанковой артиллерией, поэтому он не соответствует придаваемому ему назначению, вызванному недостаточно ясным представлением о состоянии современной противотанковой артиллерии и недостаточно обоснованным подходом к решению данного вопроса»</w:t>
      </w:r>
      <w:hyperlink r:id="rId204" w:anchor="n_74" w:history="1">
        <w:r w:rsidRPr="00A3026E">
          <w:rPr>
            <w:rStyle w:val="a5"/>
            <w:color w:val="000000" w:themeColor="text1"/>
            <w:sz w:val="16"/>
            <w:szCs w:val="16"/>
          </w:rPr>
          <w:t>[74]</w:t>
        </w:r>
      </w:hyperlink>
      <w:r w:rsidRPr="00A3026E">
        <w:rPr>
          <w:rStyle w:val="a5"/>
          <w:color w:val="000000" w:themeColor="text1"/>
          <w:sz w:val="16"/>
          <w:szCs w:val="16"/>
        </w:rPr>
        <w:t xml:space="preserve"> (12624)</w:t>
      </w:r>
      <w:r w:rsidRPr="00A3026E">
        <w:rPr>
          <w:color w:val="000000" w:themeColor="text1"/>
          <w:sz w:val="16"/>
          <w:szCs w:val="16"/>
        </w:rPr>
        <w:t>.</w:t>
      </w:r>
    </w:p>
    <w:p w14:paraId="4A7E82C3" w14:textId="77777777" w:rsidR="0014077F" w:rsidRPr="00A3026E" w:rsidRDefault="0014077F" w:rsidP="00A3026E">
      <w:pPr>
        <w:pStyle w:val="ae"/>
        <w:spacing w:before="0" w:after="0"/>
        <w:jc w:val="both"/>
        <w:rPr>
          <w:color w:val="000000" w:themeColor="text1"/>
          <w:sz w:val="16"/>
          <w:szCs w:val="16"/>
        </w:rPr>
      </w:pPr>
    </w:p>
    <w:p w14:paraId="726B58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завод №183 выпустил 2 опытных и 115 серийных танков Т-34. В 1941-м, до момента эвакуации, — 1110 [126, с. 254] (по другим данным - 1560 [93, с. 3 обл.]). Еще 25 были собраны в декабре 1941 г. в Нижнем Тагиле из привезенных из Харькова комплектующих.</w:t>
      </w:r>
    </w:p>
    <w:p w14:paraId="1B328C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Помимо танков, в крупносерийном производстве завода №183 находились гусеничные артиллерийские тягачи: в 1924-1931 годах — трактор-тягач «Коммунар» (модернизированный немецкий «Ганомаг» WD-50, выпущено 1786 шт.), в 1934-1940-м — артиллерийский тягач «Коминтерн» (собственной конструкции, 1712 шт.), в 1939-1941-м - тяжелый арттягач «Ворошиловец» (собственной конструкции, 1123 шт.) [123, с. 114-118; 126, с. 73-77, 194-197]. После войны их полвека скромно именовали «тракторами», хотя проектировались и строились они не для возделывания полей, а для транспортировки тяжелых пушек и гаубиц до 203-мм калибра включительно. У видевших их в 1931 г. американцев ассоциации возникли иные: «Планируемый выпуск 50000 штук 10-тонных 60-сильных гусеничных тракторов в год, очень сильно напоминающих танки, означает, что речь идет о производстве одного из типов танков» [125, с. 343]. Глядели в корень: годом раньше об использовании бронетракторов твердил начальник Управления вооружений РККА М.Н. Тухачевский: «Танки, идущие во 2-м и 3-м эшелонах, могут быть несколько меньшей быстроходности и большего габарита. А это значит, что такой танк может являться бронированным трактором» [83]. Звучало логично, хотя и глупо.</w:t>
      </w:r>
    </w:p>
    <w:p w14:paraId="7D3DFC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Моторный завод №75 был единственным в СССР производителем дизельных двигателей для танков и тягачей. Экспериментировали и с установкой дизелей на самолетах и катерах. В 1939-1941 годах завод освоил выпуск пяти модификаций дизеля собственной конструкции: В-2 (500 л.с, для легких танков БТ-7М), В-2/34 (500 л.с, для средних танков Т-34), В-2К (600 л.с, для тяжелых танков KB), В-2В (375 л.с, для арттягачей «Ворошиловец») и В-4 (85 л.с, для легких танков Т-50) [126, с. 162]. План выпуска на 1-е полугодие 1941 г. — 5780 двигателей [126, с. 161]. Реально изготовлено в 1941 г. до эвакуации завода 4293, в эвакуации в Челябинске — еще 173 дизеля [93, с. 40]. В сентябре 1941 г, за создание и освоение производства дизелей В-2 завод наградили орденом Ленина (танковый завод получил такой орден еще в 1935 г.).</w:t>
      </w:r>
    </w:p>
    <w:p w14:paraId="4E005B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Все названные предприятия прошли до войны реконструкцию, были снабжены импортным станочным парком, имели опыт сотрудничества с иностранными фирмами и концернами «Крупп», «Майбах», МАН, «Ганомаг», «Братья Зульцер», «Джон Браун», «Виккерс», «Кристи», «Даймлер-Бенц», «Бош» и другими. Было освоено производство броневой и специальных сталей, цветного литья (в первую очередь — алюминиевого для танковых и авиационных дизелей), внедрено использование электро- и автогенной сварки и резки металла. Украинским физико-техническим институтом велись исследования в области теоретической и ядерной физики, низких температур и радиолокации, работы по расщеплению атомного ядра и исследованию урана. В 1940 г, специалистами института подана заявка на создание атомного оружия (отклонена, авторское свидетельство «Атомная бомба и другие боеприпасы» выдано в 1946 г.) [63, с. 270] (11438).</w:t>
      </w:r>
    </w:p>
    <w:p w14:paraId="7EB4184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E15986A"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 1940 году тягач Ворошиловец вместе с двумя первыми танками Т-34 в качестве технического обеспечения совершил пробег в тяжелых зимних условиях от Харькова до Москвы и обратно. В течение всей войны тягач эффективно использовался на всех фронтах и принимал участие в параде Победы в Москве. Всего было выпущено около 1200 машин (9154).</w:t>
      </w:r>
    </w:p>
    <w:p w14:paraId="7D851550" w14:textId="77777777" w:rsidR="0014077F" w:rsidRPr="00A3026E" w:rsidRDefault="0014077F" w:rsidP="00A3026E">
      <w:pPr>
        <w:pStyle w:val="a8"/>
        <w:widowControl/>
        <w:jc w:val="both"/>
        <w:rPr>
          <w:rFonts w:ascii="Times New Roman" w:hAnsi="Times New Roman" w:cs="Times New Roman"/>
          <w:color w:val="000000" w:themeColor="text1"/>
        </w:rPr>
      </w:pPr>
    </w:p>
    <w:p w14:paraId="758F93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завод 185 завершил разработку дизельмотора № 744, главной особенностью которого было то, что он целиком помещался вместо двигателя танка Т-26. Это был четырехтактный четырехцилиндровый дизель водяного охлаждения номинальной мощностью 150 л.с. при 1700 об/мин. Дизель предполагался в первую очередь для оснащения танков Т-26-1 и боевых машин, создаваемых на его базе, в ходе проведения их широкомасштабной модернизации в 1941-43 гг. Однако его производство в 1941 г. освоено не было, а в ходе войны ни один моторный завод, пытавшийся организовать его производство, не смог наладить выпуск топливных насосов, а значит и двигателей в целом (5742, 14).</w:t>
      </w:r>
    </w:p>
    <w:p w14:paraId="200B1BCC"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536225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 институте изготовили экземпляр № 2, который на стенде отработал около 350 часов. Такого резкого роста ресурса потребовала комиссия НКО по испытаниям Т-34. Приходилось спешить и, несмотря на отмеченный при работе "заброс" температуры масла и возросший расход топлива, два дизеля было решено предъявить на госиспытания, установив их на танки Т-34. Однако "волевое решение" вдвое увеличить моторесурс при напряженной работе танкового мотора себя не оправдало: испытания танков, проведенные</w:t>
      </w:r>
    </w:p>
    <w:p w14:paraId="68D178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 существовал НИИ-48 НК судостроительной промышленности, 3 гл. управление</w:t>
      </w:r>
    </w:p>
    <w:p w14:paraId="470390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Место: Колпино Ленинградской области</w:t>
      </w:r>
    </w:p>
    <w:p w14:paraId="6ECC77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Ввод в эксплуатацию – 1939 год (9140).</w:t>
      </w:r>
    </w:p>
    <w:p w14:paraId="351E430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4FF42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руководство СССР получило дезинформацию о том, что в Германии создаются и запускаются в серию танки с толстой броней. Руководство приняло эту "дезу" за чистую монету тем более, что в СССР создавали и проектировали тяжелые и сверхтяжелые танки. В результате руководство потребовало от промышленности сверхмощные орудия. Больше всех артиллерийских конструкторов такому направлению мысли начальства обрадовался В.Г. Грабин. У него был хороший конструкторский коллектив, лучше, чем в любом отечественном КБ налажена организация труда и, наконец, было лучшее в Союзе опытное производство (на заводе № 92). В результате Грабин фактически забросил работы по новым 95-мм дивизионным и танковым пушкам и начал быстро проектировать 107-мм дивизионные и танковые пушки (3861).</w:t>
      </w:r>
    </w:p>
    <w:p w14:paraId="2FAFE73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A44DB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по результатам войсковых испытаний танк КВ-2 был принят на вооружение РККА и запущен в серийное производство. В серии, конструкцию башни немного видоизменили. У новой башни закруглили боковые стенки, установили другую маску пушки и изменили заднюю часть, оставив в ней большую дверь и пулемет ДТ..</w:t>
      </w:r>
    </w:p>
    <w:p w14:paraId="0EA3C1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Укороченная гаубица М-10 посылала 52 кг снаряды с начальной скоростью 436 м/с. Для стрельбы применялись только фугасные снаряды с уменьшенными зарядами. Допускалось применение морского полубронебойного снаряда, но он применялся только во флоте и на складах РККА отсутствовал. Стрельба бетонобойными снарядами категорически запрещалась. Боезапас танка составлял 36 выстрелов раздельного заряжания, размещенных главным образом в башенной нише. В боекомплект входили также 3087 патронов к 2 пулеметам ДТ..</w:t>
      </w:r>
    </w:p>
    <w:p w14:paraId="3B4D40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сравнению с КВ-1, экипаж КВ-2 увеличили на одного человека. Экипаж состоял из командира танка, командира орудия, помощника, наводчика, механника-водителя и стрелка-радиста. Выпуск КВ-2 продолжался до октября 1941 года. Всего было выпущено 334 танка КВ-2. (3862).</w:t>
      </w:r>
    </w:p>
    <w:p w14:paraId="1DBA5A6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12AC1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1940 были следующие расчетные цены НКО с поставщиками за танки.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80"/>
        <w:gridCol w:w="4680"/>
      </w:tblGrid>
      <w:tr w:rsidR="00983732" w:rsidRPr="00A3026E" w14:paraId="042C77C3" w14:textId="77777777" w:rsidTr="00EA0DA7">
        <w:tc>
          <w:tcPr>
            <w:tcW w:w="4680" w:type="dxa"/>
            <w:tcBorders>
              <w:top w:val="single" w:sz="12" w:space="0" w:color="auto"/>
            </w:tcBorders>
          </w:tcPr>
          <w:p w14:paraId="305088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КВ с малой башней</w:t>
            </w:r>
          </w:p>
        </w:tc>
        <w:tc>
          <w:tcPr>
            <w:tcW w:w="4680" w:type="dxa"/>
            <w:tcBorders>
              <w:top w:val="single" w:sz="12" w:space="0" w:color="auto"/>
            </w:tcBorders>
          </w:tcPr>
          <w:p w14:paraId="1C870D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843 000 р.</w:t>
            </w:r>
          </w:p>
        </w:tc>
      </w:tr>
      <w:tr w:rsidR="00983732" w:rsidRPr="00A3026E" w14:paraId="320B3AC3" w14:textId="77777777" w:rsidTr="00EA0DA7">
        <w:tc>
          <w:tcPr>
            <w:tcW w:w="4680" w:type="dxa"/>
          </w:tcPr>
          <w:p w14:paraId="38FB33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КВ с большой башней </w:t>
            </w:r>
          </w:p>
        </w:tc>
        <w:tc>
          <w:tcPr>
            <w:tcW w:w="4680" w:type="dxa"/>
          </w:tcPr>
          <w:p w14:paraId="17F1CB2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897 000 р.</w:t>
            </w:r>
          </w:p>
        </w:tc>
      </w:tr>
      <w:tr w:rsidR="00983732" w:rsidRPr="00A3026E" w14:paraId="29832DEA" w14:textId="77777777" w:rsidTr="00EA0DA7">
        <w:tc>
          <w:tcPr>
            <w:tcW w:w="4680" w:type="dxa"/>
          </w:tcPr>
          <w:p w14:paraId="73DA09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Т-34 </w:t>
            </w:r>
          </w:p>
        </w:tc>
        <w:tc>
          <w:tcPr>
            <w:tcW w:w="4680" w:type="dxa"/>
          </w:tcPr>
          <w:p w14:paraId="0E9948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400 000 р.</w:t>
            </w:r>
          </w:p>
        </w:tc>
      </w:tr>
      <w:tr w:rsidR="00983732" w:rsidRPr="00A3026E" w14:paraId="156991D2" w14:textId="77777777" w:rsidTr="00EA0DA7">
        <w:tc>
          <w:tcPr>
            <w:tcW w:w="4680" w:type="dxa"/>
            <w:tcBorders>
              <w:bottom w:val="single" w:sz="12" w:space="0" w:color="auto"/>
            </w:tcBorders>
          </w:tcPr>
          <w:p w14:paraId="288528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Т-40</w:t>
            </w:r>
          </w:p>
        </w:tc>
        <w:tc>
          <w:tcPr>
            <w:tcW w:w="4680" w:type="dxa"/>
            <w:tcBorders>
              <w:bottom w:val="single" w:sz="12" w:space="0" w:color="auto"/>
            </w:tcBorders>
          </w:tcPr>
          <w:p w14:paraId="175E3D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135 000 р.</w:t>
            </w:r>
          </w:p>
        </w:tc>
      </w:tr>
    </w:tbl>
    <w:p w14:paraId="0E0BDB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(7720)</w:t>
      </w:r>
    </w:p>
    <w:p w14:paraId="77F4E3F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8DA2A9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для него был разработан специаль</w:t>
      </w:r>
      <w:r w:rsidRPr="00A3026E">
        <w:rPr>
          <w:rFonts w:ascii="Times New Roman" w:hAnsi="Times New Roman"/>
          <w:color w:val="000000" w:themeColor="text1"/>
          <w:sz w:val="16"/>
          <w:szCs w:val="16"/>
        </w:rPr>
        <w:softHyphen/>
        <w:t>ный рядный дизельмотор В-3, бывший как бы «половин</w:t>
      </w:r>
      <w:r w:rsidRPr="00A3026E">
        <w:rPr>
          <w:rFonts w:ascii="Times New Roman" w:hAnsi="Times New Roman"/>
          <w:color w:val="000000" w:themeColor="text1"/>
          <w:sz w:val="16"/>
          <w:szCs w:val="16"/>
        </w:rPr>
        <w:softHyphen/>
        <w:t>кой» знаменитого В-2, который должен был в 1941-1942 гг. ставиться на легкие танки и гусеничные тягачи. К числу не</w:t>
      </w:r>
      <w:r w:rsidRPr="00A3026E">
        <w:rPr>
          <w:rFonts w:ascii="Times New Roman" w:hAnsi="Times New Roman"/>
          <w:color w:val="000000" w:themeColor="text1"/>
          <w:sz w:val="16"/>
          <w:szCs w:val="16"/>
        </w:rPr>
        <w:softHyphen/>
        <w:t xml:space="preserve">достатков дизельмотора В-3 все проектировщики относили его обязательное вертикальное расположение, </w:t>
      </w:r>
      <w:r w:rsidRPr="00A3026E">
        <w:rPr>
          <w:rFonts w:ascii="Times New Roman" w:hAnsi="Times New Roman"/>
          <w:color w:val="000000" w:themeColor="text1"/>
          <w:sz w:val="16"/>
          <w:szCs w:val="16"/>
        </w:rPr>
        <w:lastRenderedPageBreak/>
        <w:t>что усложня</w:t>
      </w:r>
      <w:r w:rsidRPr="00A3026E">
        <w:rPr>
          <w:rFonts w:ascii="Times New Roman" w:hAnsi="Times New Roman"/>
          <w:color w:val="000000" w:themeColor="text1"/>
          <w:sz w:val="16"/>
          <w:szCs w:val="16"/>
        </w:rPr>
        <w:softHyphen/>
        <w:t>ло его размещение в корпусах легких танков. Однако этот двигатель рабочим объемом 119 литров и номинальной мощностью 225 л.с. при 1750 об/мин был очень привлекате</w:t>
      </w:r>
      <w:r w:rsidRPr="00A3026E">
        <w:rPr>
          <w:rFonts w:ascii="Times New Roman" w:hAnsi="Times New Roman"/>
          <w:color w:val="000000" w:themeColor="text1"/>
          <w:sz w:val="16"/>
          <w:szCs w:val="16"/>
        </w:rPr>
        <w:softHyphen/>
        <w:t>лен для отечественной промышленности ввиду его высокой степени унификации с 12-цилиндровым В-2, но до начала войны завод № 75 его серийное производство не освоил.</w:t>
      </w:r>
    </w:p>
    <w:p w14:paraId="34A17F3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Также в 1940 г. завод № 185 завершил разработку дизель-мотора № 744, главной особенностью которого было то, что он целиком помещался вместо двигателя танка Т-26. Это был четырехтактный четырехцилиндровый дизель номи</w:t>
      </w:r>
      <w:r w:rsidRPr="00A3026E">
        <w:rPr>
          <w:rFonts w:ascii="Times New Roman" w:hAnsi="Times New Roman"/>
          <w:color w:val="000000" w:themeColor="text1"/>
          <w:sz w:val="16"/>
          <w:szCs w:val="16"/>
        </w:rPr>
        <w:softHyphen/>
        <w:t>нальной мощностью 150 л.с. при 1700 об/мин. Дизель пред</w:t>
      </w:r>
      <w:r w:rsidRPr="00A3026E">
        <w:rPr>
          <w:rFonts w:ascii="Times New Roman" w:hAnsi="Times New Roman"/>
          <w:color w:val="000000" w:themeColor="text1"/>
          <w:sz w:val="16"/>
          <w:szCs w:val="16"/>
        </w:rPr>
        <w:softHyphen/>
        <w:t>полагался в первую очередь для оснащения танка Т-26-1 и боевых машин, создаваемых на его базе, в ходе проведения их широкомасштабной модернизации в 1941—1943 гг. Одна</w:t>
      </w:r>
      <w:r w:rsidRPr="00A3026E">
        <w:rPr>
          <w:rFonts w:ascii="Times New Roman" w:hAnsi="Times New Roman"/>
          <w:color w:val="000000" w:themeColor="text1"/>
          <w:sz w:val="16"/>
          <w:szCs w:val="16"/>
        </w:rPr>
        <w:softHyphen/>
        <w:t>ко его производство в 1941 г. освоено не было, а в ходе вой</w:t>
      </w:r>
      <w:r w:rsidRPr="00A3026E">
        <w:rPr>
          <w:rFonts w:ascii="Times New Roman" w:hAnsi="Times New Roman"/>
          <w:color w:val="000000" w:themeColor="text1"/>
          <w:sz w:val="16"/>
          <w:szCs w:val="16"/>
        </w:rPr>
        <w:softHyphen/>
        <w:t>ны ни один моторный завод, пытавшийся организовать его производство, не смог наладить выпуск топливных насосов, а значит, и двигателей в целом (11417).</w:t>
      </w:r>
    </w:p>
    <w:p w14:paraId="3299FA9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582FEA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вернулись к работам по телемеханическим группам танков. Работы проводил НИИ-20. Телемеханическая группа танкеток Т-38 состояла из телетанка Т-38-ТТ (боевая масса 3,37 т) и танкетки управления (масса 3,43 т). Телетанкетка была вооружена 7,62-мм пулеметом ДТ в башне (боекомплект - 63 патрона), огнеметом КС-61-Т и снабжалась 45-литровым химическим баллоном. Она имела также и подрывной заряд. Огнемет мог выпустить 15—16 огневыстрелов на расстоянии 28 м. Длина непросматриваемой дымозавесы — 175 м. Танкетка управления имела такое же вооружение (боекомплект пулемета 1512 патронов), экипаж — 2 человека. Монтаж телеаппаратуры на танкетках требовал 66, а ее демонтаж— 15 человеко-часов. Радиус действия телетанкетки — 2500 м. Выполняемые команды: запуск двигателя, увеличение оборотов двигателя, повороты вправо-влево, переключение скоростей, включение тормоза, остановка. Команды на использование вооружения: подготовка к стрельбе из пулемета, стрельба, огнеметание, подготовка к взрыву, взрыв, отбой подготовки. Была выпущена опытная партия таких машин (11916).</w:t>
      </w:r>
    </w:p>
    <w:p w14:paraId="414F497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9C1F3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производство тяжелого трактора "Коминтерна" было прекращено. Всего за период с 1934 по 1940 гг. было изготовлено и поступило в войска около 1800 арттягачей "Коминтерн" (3862).</w:t>
      </w:r>
    </w:p>
    <w:p w14:paraId="40B7D6E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7BCA69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По 1940 г. с 1935 выпускаист тягачи "Коминтерн". Всего их было изготовлено 1798, 1712 из которых поступило в армию. </w:t>
      </w:r>
    </w:p>
    <w:p w14:paraId="4B5022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ходе производства конструкция машины непрерывно совершенствовалась. Например, в 1938 г. с двигателя №1050 ввели пломбирование легко открывающихся лючков и крышек, а с двигателя №1637 - поршень с малой конусностью вместо ступенчатого уступа для обеспечения равномерности зазора в сопряжении нагретого поршня с цилиндром.</w:t>
      </w:r>
    </w:p>
    <w:p w14:paraId="5C43EB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1939 г. изменилась топливная система. На тракторах раннего выпуска в специальных ящиках в передней части грузовой платформы устанавливались основной (соединенный с карбюратором) и резервный баки. Емкость основного бака составляла 297 л, а резервного - 81 л. Сваренные из листового железа баки имели коробчатую форму. Начиная с трактора №1501, в передней части кузова открыто стали монтировать два одинаковых бака общей емкостью 550 л. Питание двигателя могло осуществляться как из одного, так и из двух баков одновременно.</w:t>
      </w:r>
    </w:p>
    <w:p w14:paraId="34AFA9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"Коминтернах" с №1 по №156 барабан глушителя располагался между третьей и четвертой тележками подвески. С целью устранения дополнительного нагрева бортовой передачи на тракторах позднего выпуска барабан глушителя стали крепить между второй и третьей подвесками.</w:t>
      </w:r>
    </w:p>
    <w:p w14:paraId="521039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1938 г. с "Коминтерна" №917 претерпела изменения конструкция капота. В 1939 г. была усовершеноствована грузовая платформа.</w:t>
      </w:r>
    </w:p>
    <w:p w14:paraId="5385CA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Изменениям также подвергалась конструкция подвески трактора, гусениц и т.д.</w:t>
      </w:r>
    </w:p>
    <w:p w14:paraId="4EBE50C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Характеристики тракторов "Коминтерн" (согласно постановлению СТО) и "Коммунар" серии 3-90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983732" w:rsidRPr="00A3026E" w14:paraId="4520F89A" w14:textId="77777777" w:rsidTr="00EA0DA7">
        <w:tc>
          <w:tcPr>
            <w:tcW w:w="3736" w:type="dxa"/>
            <w:tcBorders>
              <w:top w:val="single" w:sz="12" w:space="0" w:color="auto"/>
            </w:tcBorders>
          </w:tcPr>
          <w:p w14:paraId="762EBA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трактора</w:t>
            </w:r>
          </w:p>
        </w:tc>
        <w:tc>
          <w:tcPr>
            <w:tcW w:w="3736" w:type="dxa"/>
            <w:tcBorders>
              <w:top w:val="single" w:sz="12" w:space="0" w:color="auto"/>
            </w:tcBorders>
          </w:tcPr>
          <w:p w14:paraId="79B61E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"Коминтерн"</w:t>
            </w:r>
          </w:p>
        </w:tc>
        <w:tc>
          <w:tcPr>
            <w:tcW w:w="3736" w:type="dxa"/>
            <w:tcBorders>
              <w:top w:val="single" w:sz="12" w:space="0" w:color="auto"/>
            </w:tcBorders>
          </w:tcPr>
          <w:p w14:paraId="5ACEA8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"Коммунар"</w:t>
            </w:r>
          </w:p>
        </w:tc>
      </w:tr>
      <w:tr w:rsidR="00983732" w:rsidRPr="00A3026E" w14:paraId="6BA8768E" w14:textId="77777777" w:rsidTr="00EA0DA7">
        <w:tc>
          <w:tcPr>
            <w:tcW w:w="3736" w:type="dxa"/>
          </w:tcPr>
          <w:p w14:paraId="1CEE07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Боевой вес. т</w:t>
            </w:r>
          </w:p>
        </w:tc>
        <w:tc>
          <w:tcPr>
            <w:tcW w:w="3736" w:type="dxa"/>
          </w:tcPr>
          <w:p w14:paraId="72B41DF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8,5</w:t>
            </w:r>
          </w:p>
        </w:tc>
        <w:tc>
          <w:tcPr>
            <w:tcW w:w="3736" w:type="dxa"/>
          </w:tcPr>
          <w:p w14:paraId="02ED7B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8.7</w:t>
            </w:r>
          </w:p>
        </w:tc>
      </w:tr>
      <w:tr w:rsidR="00983732" w:rsidRPr="00A3026E" w14:paraId="7D7F59B9" w14:textId="77777777" w:rsidTr="00EA0DA7">
        <w:tc>
          <w:tcPr>
            <w:tcW w:w="3736" w:type="dxa"/>
          </w:tcPr>
          <w:p w14:paraId="38D90C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двигателя, л.с.</w:t>
            </w:r>
          </w:p>
        </w:tc>
        <w:tc>
          <w:tcPr>
            <w:tcW w:w="3736" w:type="dxa"/>
          </w:tcPr>
          <w:p w14:paraId="79B76B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c>
          <w:tcPr>
            <w:tcW w:w="3736" w:type="dxa"/>
          </w:tcPr>
          <w:p w14:paraId="0C99A5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r>
      <w:tr w:rsidR="00983732" w:rsidRPr="00A3026E" w14:paraId="3B0C49B4" w14:textId="77777777" w:rsidTr="00EA0DA7">
        <w:tc>
          <w:tcPr>
            <w:tcW w:w="3736" w:type="dxa"/>
          </w:tcPr>
          <w:p w14:paraId="19A20C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максимальная, км/ч</w:t>
            </w:r>
          </w:p>
        </w:tc>
        <w:tc>
          <w:tcPr>
            <w:tcW w:w="3736" w:type="dxa"/>
          </w:tcPr>
          <w:p w14:paraId="78BC47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25-Сфузомбт 15-сгрузом12т</w:t>
            </w:r>
          </w:p>
        </w:tc>
        <w:tc>
          <w:tcPr>
            <w:tcW w:w="3736" w:type="dxa"/>
          </w:tcPr>
          <w:p w14:paraId="6A1823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15-с грузом 8,5т</w:t>
            </w:r>
          </w:p>
        </w:tc>
      </w:tr>
      <w:tr w:rsidR="00983732" w:rsidRPr="00A3026E" w14:paraId="7ED25B4B" w14:textId="77777777" w:rsidTr="00EA0DA7">
        <w:tc>
          <w:tcPr>
            <w:tcW w:w="3736" w:type="dxa"/>
          </w:tcPr>
          <w:p w14:paraId="61744BD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Удельное давление на фунт, кг/см'</w:t>
            </w:r>
          </w:p>
        </w:tc>
        <w:tc>
          <w:tcPr>
            <w:tcW w:w="3736" w:type="dxa"/>
          </w:tcPr>
          <w:p w14:paraId="458F56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0,45</w:t>
            </w:r>
          </w:p>
        </w:tc>
        <w:tc>
          <w:tcPr>
            <w:tcW w:w="3736" w:type="dxa"/>
          </w:tcPr>
          <w:p w14:paraId="26F422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0,47</w:t>
            </w:r>
          </w:p>
        </w:tc>
      </w:tr>
      <w:tr w:rsidR="00983732" w:rsidRPr="00A3026E" w14:paraId="4BA7FEB7" w14:textId="77777777" w:rsidTr="00EA0DA7">
        <w:tc>
          <w:tcPr>
            <w:tcW w:w="3736" w:type="dxa"/>
          </w:tcPr>
          <w:p w14:paraId="670543F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Клиренс, мм</w:t>
            </w:r>
          </w:p>
        </w:tc>
        <w:tc>
          <w:tcPr>
            <w:tcW w:w="3736" w:type="dxa"/>
          </w:tcPr>
          <w:p w14:paraId="500DD8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3736" w:type="dxa"/>
          </w:tcPr>
          <w:p w14:paraId="3E2C7C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425</w:t>
            </w:r>
          </w:p>
        </w:tc>
      </w:tr>
      <w:tr w:rsidR="00983732" w:rsidRPr="00A3026E" w14:paraId="68B51BD6" w14:textId="77777777" w:rsidTr="00EA0DA7">
        <w:tc>
          <w:tcPr>
            <w:tcW w:w="3736" w:type="dxa"/>
          </w:tcPr>
          <w:p w14:paraId="06E38D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перекрываемого рва, м</w:t>
            </w:r>
          </w:p>
        </w:tc>
        <w:tc>
          <w:tcPr>
            <w:tcW w:w="3736" w:type="dxa"/>
          </w:tcPr>
          <w:p w14:paraId="62B055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0,8</w:t>
            </w:r>
          </w:p>
        </w:tc>
        <w:tc>
          <w:tcPr>
            <w:tcW w:w="3736" w:type="dxa"/>
          </w:tcPr>
          <w:p w14:paraId="21D7A3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0,7</w:t>
            </w:r>
          </w:p>
        </w:tc>
      </w:tr>
      <w:tr w:rsidR="00983732" w:rsidRPr="00A3026E" w14:paraId="3DB3C622" w14:textId="77777777" w:rsidTr="00EA0DA7">
        <w:tc>
          <w:tcPr>
            <w:tcW w:w="3736" w:type="dxa"/>
          </w:tcPr>
          <w:p w14:paraId="06F9CB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проходимого брода, м</w:t>
            </w:r>
          </w:p>
        </w:tc>
        <w:tc>
          <w:tcPr>
            <w:tcW w:w="3736" w:type="dxa"/>
          </w:tcPr>
          <w:p w14:paraId="37FE7A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0,8</w:t>
            </w:r>
          </w:p>
        </w:tc>
        <w:tc>
          <w:tcPr>
            <w:tcW w:w="3736" w:type="dxa"/>
          </w:tcPr>
          <w:p w14:paraId="38B61E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0,7</w:t>
            </w:r>
          </w:p>
        </w:tc>
      </w:tr>
      <w:tr w:rsidR="00983732" w:rsidRPr="00A3026E" w14:paraId="1D47727B" w14:textId="77777777" w:rsidTr="00EA0DA7">
        <w:tc>
          <w:tcPr>
            <w:tcW w:w="3736" w:type="dxa"/>
          </w:tcPr>
          <w:p w14:paraId="34C4DF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Горючее</w:t>
            </w:r>
          </w:p>
        </w:tc>
        <w:tc>
          <w:tcPr>
            <w:tcW w:w="3736" w:type="dxa"/>
          </w:tcPr>
          <w:p w14:paraId="7FB9EA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2-го сорта</w:t>
            </w:r>
          </w:p>
        </w:tc>
        <w:tc>
          <w:tcPr>
            <w:tcW w:w="3736" w:type="dxa"/>
          </w:tcPr>
          <w:p w14:paraId="1A75338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2-го сорта</w:t>
            </w:r>
          </w:p>
        </w:tc>
      </w:tr>
      <w:tr w:rsidR="00983732" w:rsidRPr="00A3026E" w14:paraId="345AF103" w14:textId="77777777" w:rsidTr="00EA0DA7">
        <w:tc>
          <w:tcPr>
            <w:tcW w:w="3736" w:type="dxa"/>
          </w:tcPr>
          <w:p w14:paraId="58FF8C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горючего, кг</w:t>
            </w:r>
          </w:p>
        </w:tc>
        <w:tc>
          <w:tcPr>
            <w:tcW w:w="3736" w:type="dxa"/>
          </w:tcPr>
          <w:p w14:paraId="5EB972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260</w:t>
            </w:r>
          </w:p>
        </w:tc>
        <w:tc>
          <w:tcPr>
            <w:tcW w:w="3736" w:type="dxa"/>
          </w:tcPr>
          <w:p w14:paraId="0B5E1B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285</w:t>
            </w:r>
          </w:p>
        </w:tc>
      </w:tr>
      <w:tr w:rsidR="00983732" w:rsidRPr="00A3026E" w14:paraId="09D65A8B" w14:textId="77777777" w:rsidTr="00EA0DA7">
        <w:tc>
          <w:tcPr>
            <w:tcW w:w="3736" w:type="dxa"/>
          </w:tcPr>
          <w:p w14:paraId="1FDCC1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Расход горючего на 1 ч работы, кг</w:t>
            </w:r>
          </w:p>
        </w:tc>
        <w:tc>
          <w:tcPr>
            <w:tcW w:w="3736" w:type="dxa"/>
          </w:tcPr>
          <w:p w14:paraId="72EF9B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3736" w:type="dxa"/>
          </w:tcPr>
          <w:p w14:paraId="6D3448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w:t>
            </w:r>
          </w:p>
        </w:tc>
      </w:tr>
      <w:tr w:rsidR="00983732" w:rsidRPr="00A3026E" w14:paraId="3F7B542C" w14:textId="77777777" w:rsidTr="00EA0DA7">
        <w:tc>
          <w:tcPr>
            <w:tcW w:w="3736" w:type="dxa"/>
          </w:tcPr>
          <w:p w14:paraId="7F5C33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хода по шоссе, км</w:t>
            </w:r>
          </w:p>
        </w:tc>
        <w:tc>
          <w:tcPr>
            <w:tcW w:w="3736" w:type="dxa"/>
          </w:tcPr>
          <w:p w14:paraId="0F3761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c>
          <w:tcPr>
            <w:tcW w:w="3736" w:type="dxa"/>
          </w:tcPr>
          <w:p w14:paraId="5AB727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150</w:t>
            </w:r>
          </w:p>
        </w:tc>
      </w:tr>
      <w:tr w:rsidR="00983732" w:rsidRPr="00A3026E" w14:paraId="0F8C8E1B" w14:textId="77777777" w:rsidTr="00EA0DA7">
        <w:tc>
          <w:tcPr>
            <w:tcW w:w="3736" w:type="dxa"/>
          </w:tcPr>
          <w:p w14:paraId="7958FA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хода по проселку, км</w:t>
            </w:r>
          </w:p>
        </w:tc>
        <w:tc>
          <w:tcPr>
            <w:tcW w:w="3736" w:type="dxa"/>
          </w:tcPr>
          <w:p w14:paraId="659928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w:t>
            </w:r>
          </w:p>
        </w:tc>
        <w:tc>
          <w:tcPr>
            <w:tcW w:w="3736" w:type="dxa"/>
          </w:tcPr>
          <w:p w14:paraId="3FBEA3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50A309A3" w14:textId="77777777" w:rsidTr="00EA0DA7">
        <w:tc>
          <w:tcPr>
            <w:tcW w:w="3736" w:type="dxa"/>
          </w:tcPr>
          <w:p w14:paraId="1E346B5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хода по местности, км</w:t>
            </w:r>
          </w:p>
        </w:tc>
        <w:tc>
          <w:tcPr>
            <w:tcW w:w="3736" w:type="dxa"/>
          </w:tcPr>
          <w:p w14:paraId="5C05BD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w:t>
            </w:r>
          </w:p>
        </w:tc>
        <w:tc>
          <w:tcPr>
            <w:tcW w:w="3736" w:type="dxa"/>
          </w:tcPr>
          <w:p w14:paraId="633704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80</w:t>
            </w:r>
          </w:p>
        </w:tc>
      </w:tr>
      <w:tr w:rsidR="00983732" w:rsidRPr="00A3026E" w14:paraId="040D4ACA" w14:textId="77777777" w:rsidTr="00EA0DA7">
        <w:tc>
          <w:tcPr>
            <w:tcW w:w="3736" w:type="dxa"/>
          </w:tcPr>
          <w:p w14:paraId="19B5A4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мм</w:t>
            </w:r>
          </w:p>
        </w:tc>
        <w:tc>
          <w:tcPr>
            <w:tcW w:w="3736" w:type="dxa"/>
          </w:tcPr>
          <w:p w14:paraId="687F5C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5480</w:t>
            </w:r>
          </w:p>
        </w:tc>
        <w:tc>
          <w:tcPr>
            <w:tcW w:w="3736" w:type="dxa"/>
          </w:tcPr>
          <w:p w14:paraId="78FC59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4350</w:t>
            </w:r>
          </w:p>
        </w:tc>
      </w:tr>
      <w:tr w:rsidR="00983732" w:rsidRPr="00A3026E" w14:paraId="09DA8596" w14:textId="77777777" w:rsidTr="00EA0DA7">
        <w:tc>
          <w:tcPr>
            <w:tcW w:w="3736" w:type="dxa"/>
          </w:tcPr>
          <w:p w14:paraId="0CFAE8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мм</w:t>
            </w:r>
          </w:p>
        </w:tc>
        <w:tc>
          <w:tcPr>
            <w:tcW w:w="3736" w:type="dxa"/>
          </w:tcPr>
          <w:p w14:paraId="10A4E4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1880</w:t>
            </w:r>
          </w:p>
        </w:tc>
        <w:tc>
          <w:tcPr>
            <w:tcW w:w="3736" w:type="dxa"/>
          </w:tcPr>
          <w:p w14:paraId="20EB9C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2060</w:t>
            </w:r>
          </w:p>
        </w:tc>
      </w:tr>
      <w:tr w:rsidR="00983732" w:rsidRPr="00A3026E" w14:paraId="18D4E7FF" w14:textId="77777777" w:rsidTr="00EA0DA7">
        <w:tc>
          <w:tcPr>
            <w:tcW w:w="3736" w:type="dxa"/>
          </w:tcPr>
          <w:p w14:paraId="1F4391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мм</w:t>
            </w:r>
          </w:p>
        </w:tc>
        <w:tc>
          <w:tcPr>
            <w:tcW w:w="3736" w:type="dxa"/>
          </w:tcPr>
          <w:p w14:paraId="7E2822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1930</w:t>
            </w:r>
          </w:p>
        </w:tc>
        <w:tc>
          <w:tcPr>
            <w:tcW w:w="3736" w:type="dxa"/>
          </w:tcPr>
          <w:p w14:paraId="64B542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2460</w:t>
            </w:r>
          </w:p>
        </w:tc>
      </w:tr>
      <w:tr w:rsidR="00983732" w:rsidRPr="00A3026E" w14:paraId="0439C85C" w14:textId="77777777" w:rsidTr="00EA0DA7">
        <w:tc>
          <w:tcPr>
            <w:tcW w:w="3736" w:type="dxa"/>
          </w:tcPr>
          <w:p w14:paraId="3AD4E51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Масса перевозимого груза, т</w:t>
            </w:r>
          </w:p>
        </w:tc>
        <w:tc>
          <w:tcPr>
            <w:tcW w:w="3736" w:type="dxa"/>
          </w:tcPr>
          <w:p w14:paraId="1464CF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3736" w:type="dxa"/>
          </w:tcPr>
          <w:p w14:paraId="7A7F645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r w:rsidR="00983732" w:rsidRPr="00A3026E" w14:paraId="0600CC9D" w14:textId="77777777" w:rsidTr="00EA0DA7">
        <w:tc>
          <w:tcPr>
            <w:tcW w:w="3736" w:type="dxa"/>
            <w:tcBorders>
              <w:bottom w:val="single" w:sz="12" w:space="0" w:color="auto"/>
            </w:tcBorders>
          </w:tcPr>
          <w:p w14:paraId="37C828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Специальное оборудование</w:t>
            </w:r>
          </w:p>
        </w:tc>
        <w:tc>
          <w:tcPr>
            <w:tcW w:w="3736" w:type="dxa"/>
            <w:tcBorders>
              <w:bottom w:val="single" w:sz="12" w:space="0" w:color="auto"/>
            </w:tcBorders>
          </w:tcPr>
          <w:p w14:paraId="14B517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Лебедка на Ют</w:t>
            </w:r>
          </w:p>
        </w:tc>
        <w:tc>
          <w:tcPr>
            <w:tcW w:w="3736" w:type="dxa"/>
            <w:tcBorders>
              <w:bottom w:val="single" w:sz="12" w:space="0" w:color="auto"/>
            </w:tcBorders>
          </w:tcPr>
          <w:p w14:paraId="025EB2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нет</w:t>
            </w:r>
          </w:p>
        </w:tc>
      </w:tr>
    </w:tbl>
    <w:p w14:paraId="67B64D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Основные характеристики трактора "Коминтерн"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tblGrid>
      <w:tr w:rsidR="00983732" w:rsidRPr="00A3026E" w14:paraId="7AF7A849" w14:textId="77777777" w:rsidTr="00EA0DA7">
        <w:tc>
          <w:tcPr>
            <w:tcW w:w="2802" w:type="dxa"/>
            <w:tcBorders>
              <w:top w:val="single" w:sz="12" w:space="0" w:color="auto"/>
            </w:tcBorders>
          </w:tcPr>
          <w:p w14:paraId="57DA16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трактора</w:t>
            </w:r>
          </w:p>
        </w:tc>
        <w:tc>
          <w:tcPr>
            <w:tcW w:w="2802" w:type="dxa"/>
            <w:tcBorders>
              <w:top w:val="single" w:sz="12" w:space="0" w:color="auto"/>
            </w:tcBorders>
          </w:tcPr>
          <w:p w14:paraId="64B125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Артиллерийский</w:t>
            </w:r>
          </w:p>
        </w:tc>
      </w:tr>
      <w:tr w:rsidR="00983732" w:rsidRPr="00A3026E" w14:paraId="00D67C96" w14:textId="77777777" w:rsidTr="00EA0DA7">
        <w:tc>
          <w:tcPr>
            <w:tcW w:w="2802" w:type="dxa"/>
          </w:tcPr>
          <w:p w14:paraId="09FFF9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Вес в рабочем положении без груза на платформе, т</w:t>
            </w:r>
          </w:p>
        </w:tc>
        <w:tc>
          <w:tcPr>
            <w:tcW w:w="2802" w:type="dxa"/>
          </w:tcPr>
          <w:p w14:paraId="3C0402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w:t>
            </w:r>
          </w:p>
        </w:tc>
      </w:tr>
      <w:tr w:rsidR="00983732" w:rsidRPr="00A3026E" w14:paraId="0ABA6E46" w14:textId="77777777" w:rsidTr="00EA0DA7">
        <w:tc>
          <w:tcPr>
            <w:tcW w:w="2802" w:type="dxa"/>
          </w:tcPr>
          <w:p w14:paraId="3F7630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Грузоподъемность платформы, т</w:t>
            </w:r>
          </w:p>
        </w:tc>
        <w:tc>
          <w:tcPr>
            <w:tcW w:w="2802" w:type="dxa"/>
          </w:tcPr>
          <w:p w14:paraId="342501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r>
      <w:tr w:rsidR="00983732" w:rsidRPr="00A3026E" w14:paraId="039FB4CA" w14:textId="77777777" w:rsidTr="00EA0DA7">
        <w:tc>
          <w:tcPr>
            <w:tcW w:w="2802" w:type="dxa"/>
          </w:tcPr>
          <w:p w14:paraId="2D252F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Нормальный вес буксируемого прицепа, т</w:t>
            </w:r>
          </w:p>
        </w:tc>
        <w:tc>
          <w:tcPr>
            <w:tcW w:w="2802" w:type="dxa"/>
          </w:tcPr>
          <w:p w14:paraId="0694557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w:t>
            </w:r>
          </w:p>
        </w:tc>
      </w:tr>
      <w:tr w:rsidR="00983732" w:rsidRPr="00A3026E" w14:paraId="77C09F4E" w14:textId="77777777" w:rsidTr="00EA0DA7">
        <w:tc>
          <w:tcPr>
            <w:tcW w:w="2802" w:type="dxa"/>
          </w:tcPr>
          <w:p w14:paraId="20E754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Тип двигателя</w:t>
            </w:r>
          </w:p>
        </w:tc>
        <w:tc>
          <w:tcPr>
            <w:tcW w:w="2802" w:type="dxa"/>
          </w:tcPr>
          <w:p w14:paraId="65AEA3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4-тактный, карбюраторный</w:t>
            </w:r>
          </w:p>
        </w:tc>
      </w:tr>
      <w:tr w:rsidR="00983732" w:rsidRPr="00A3026E" w14:paraId="728B658E" w14:textId="77777777" w:rsidTr="00EA0DA7">
        <w:tc>
          <w:tcPr>
            <w:tcW w:w="2802" w:type="dxa"/>
          </w:tcPr>
          <w:p w14:paraId="33AC66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Марка двигателя</w:t>
            </w:r>
          </w:p>
        </w:tc>
        <w:tc>
          <w:tcPr>
            <w:tcW w:w="2802" w:type="dxa"/>
          </w:tcPr>
          <w:p w14:paraId="77D99D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КИН</w:t>
            </w:r>
          </w:p>
        </w:tc>
      </w:tr>
      <w:tr w:rsidR="00983732" w:rsidRPr="00A3026E" w14:paraId="1A3175A9" w14:textId="77777777" w:rsidTr="00EA0DA7">
        <w:tc>
          <w:tcPr>
            <w:tcW w:w="2802" w:type="dxa"/>
          </w:tcPr>
          <w:p w14:paraId="68C3F3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Мощность двигателя, л.с</w:t>
            </w:r>
          </w:p>
        </w:tc>
        <w:tc>
          <w:tcPr>
            <w:tcW w:w="2802" w:type="dxa"/>
          </w:tcPr>
          <w:p w14:paraId="4051B8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w:t>
            </w:r>
          </w:p>
        </w:tc>
      </w:tr>
      <w:tr w:rsidR="00983732" w:rsidRPr="00A3026E" w14:paraId="310E9A7E" w14:textId="77777777" w:rsidTr="00EA0DA7">
        <w:tc>
          <w:tcPr>
            <w:tcW w:w="2802" w:type="dxa"/>
          </w:tcPr>
          <w:p w14:paraId="767B82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Число оборотов коленчатого вала в минуту при максимальной мощности 1250</w:t>
            </w:r>
          </w:p>
        </w:tc>
        <w:tc>
          <w:tcPr>
            <w:tcW w:w="2802" w:type="dxa"/>
          </w:tcPr>
          <w:p w14:paraId="7B3811C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1D3089A5" w14:textId="77777777" w:rsidTr="00EA0DA7">
        <w:tc>
          <w:tcPr>
            <w:tcW w:w="2802" w:type="dxa"/>
          </w:tcPr>
          <w:p w14:paraId="1849AB3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Основная система запуска</w:t>
            </w:r>
          </w:p>
        </w:tc>
        <w:tc>
          <w:tcPr>
            <w:tcW w:w="2802" w:type="dxa"/>
          </w:tcPr>
          <w:p w14:paraId="5D3A35D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Электростартер</w:t>
            </w:r>
          </w:p>
        </w:tc>
      </w:tr>
      <w:tr w:rsidR="00983732" w:rsidRPr="00A3026E" w14:paraId="45FE9E59" w14:textId="77777777" w:rsidTr="00EA0DA7">
        <w:tc>
          <w:tcPr>
            <w:tcW w:w="2802" w:type="dxa"/>
          </w:tcPr>
          <w:p w14:paraId="6A1D41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Дублирующая система запуска</w:t>
            </w:r>
          </w:p>
        </w:tc>
        <w:tc>
          <w:tcPr>
            <w:tcW w:w="2802" w:type="dxa"/>
          </w:tcPr>
          <w:p w14:paraId="7F5A4B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Рукоятка</w:t>
            </w:r>
          </w:p>
        </w:tc>
      </w:tr>
      <w:tr w:rsidR="00983732" w:rsidRPr="00A3026E" w14:paraId="0E62866B" w14:textId="77777777" w:rsidTr="00EA0DA7">
        <w:tc>
          <w:tcPr>
            <w:tcW w:w="2802" w:type="dxa"/>
          </w:tcPr>
          <w:p w14:paraId="540D87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Удельная мощность л.с.Д</w:t>
            </w:r>
          </w:p>
        </w:tc>
        <w:tc>
          <w:tcPr>
            <w:tcW w:w="2802" w:type="dxa"/>
          </w:tcPr>
          <w:p w14:paraId="261F00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10,4</w:t>
            </w:r>
          </w:p>
        </w:tc>
      </w:tr>
      <w:tr w:rsidR="00983732" w:rsidRPr="00A3026E" w14:paraId="196E1DC8" w14:textId="77777777" w:rsidTr="00EA0DA7">
        <w:tc>
          <w:tcPr>
            <w:tcW w:w="2802" w:type="dxa"/>
          </w:tcPr>
          <w:p w14:paraId="74CB63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Топливо</w:t>
            </w:r>
          </w:p>
        </w:tc>
        <w:tc>
          <w:tcPr>
            <w:tcW w:w="2802" w:type="dxa"/>
          </w:tcPr>
          <w:p w14:paraId="39B615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Бензин 2-го сорта</w:t>
            </w:r>
          </w:p>
        </w:tc>
      </w:tr>
      <w:tr w:rsidR="00983732" w:rsidRPr="00A3026E" w14:paraId="08374D1F" w14:textId="77777777" w:rsidTr="00EA0DA7">
        <w:tc>
          <w:tcPr>
            <w:tcW w:w="2802" w:type="dxa"/>
          </w:tcPr>
          <w:p w14:paraId="307934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движения максимальная, км/ч</w:t>
            </w:r>
          </w:p>
        </w:tc>
        <w:tc>
          <w:tcPr>
            <w:tcW w:w="2802" w:type="dxa"/>
          </w:tcPr>
          <w:p w14:paraId="34E9CB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w:t>
            </w:r>
          </w:p>
        </w:tc>
      </w:tr>
      <w:tr w:rsidR="00983732" w:rsidRPr="00A3026E" w14:paraId="15B3CEF4" w14:textId="77777777" w:rsidTr="00EA0DA7">
        <w:tc>
          <w:tcPr>
            <w:tcW w:w="2802" w:type="dxa"/>
          </w:tcPr>
          <w:p w14:paraId="4C9644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движения минимальная, км/ч</w:t>
            </w:r>
          </w:p>
        </w:tc>
        <w:tc>
          <w:tcPr>
            <w:tcW w:w="2802" w:type="dxa"/>
          </w:tcPr>
          <w:p w14:paraId="3BC528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w:t>
            </w:r>
          </w:p>
        </w:tc>
      </w:tr>
      <w:tr w:rsidR="00983732" w:rsidRPr="00A3026E" w14:paraId="4C1B61D1" w14:textId="77777777" w:rsidTr="00EA0DA7">
        <w:tc>
          <w:tcPr>
            <w:tcW w:w="2802" w:type="dxa"/>
          </w:tcPr>
          <w:p w14:paraId="2E1717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движения средняя с прицепом по шоссе, км/ч</w:t>
            </w:r>
          </w:p>
        </w:tc>
        <w:tc>
          <w:tcPr>
            <w:tcW w:w="2802" w:type="dxa"/>
          </w:tcPr>
          <w:p w14:paraId="46F8A6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w:t>
            </w:r>
          </w:p>
        </w:tc>
      </w:tr>
      <w:tr w:rsidR="00983732" w:rsidRPr="00A3026E" w14:paraId="19EF10AE" w14:textId="77777777" w:rsidTr="00EA0DA7">
        <w:tc>
          <w:tcPr>
            <w:tcW w:w="2802" w:type="dxa"/>
          </w:tcPr>
          <w:p w14:paraId="518477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движения средняя по грунтовым дорогам, км/ч</w:t>
            </w:r>
          </w:p>
        </w:tc>
        <w:tc>
          <w:tcPr>
            <w:tcW w:w="2802" w:type="dxa"/>
          </w:tcPr>
          <w:p w14:paraId="61F89E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w:t>
            </w:r>
          </w:p>
        </w:tc>
      </w:tr>
      <w:tr w:rsidR="00983732" w:rsidRPr="00A3026E" w14:paraId="2BC9AD8F" w14:textId="77777777" w:rsidTr="00EA0DA7">
        <w:tc>
          <w:tcPr>
            <w:tcW w:w="2802" w:type="dxa"/>
          </w:tcPr>
          <w:p w14:paraId="035FB06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Средний расход топлива на 1 час работы, кг</w:t>
            </w:r>
          </w:p>
        </w:tc>
        <w:tc>
          <w:tcPr>
            <w:tcW w:w="2802" w:type="dxa"/>
          </w:tcPr>
          <w:p w14:paraId="08FEA3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r>
      <w:tr w:rsidR="00983732" w:rsidRPr="00A3026E" w14:paraId="4C275B00" w14:textId="77777777" w:rsidTr="00EA0DA7">
        <w:tc>
          <w:tcPr>
            <w:tcW w:w="2802" w:type="dxa"/>
          </w:tcPr>
          <w:p w14:paraId="731422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Заправочная емкость топливного бака, л</w:t>
            </w:r>
          </w:p>
        </w:tc>
        <w:tc>
          <w:tcPr>
            <w:tcW w:w="2802" w:type="dxa"/>
          </w:tcPr>
          <w:p w14:paraId="667FB3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w:t>
            </w:r>
          </w:p>
        </w:tc>
      </w:tr>
      <w:tr w:rsidR="00983732" w:rsidRPr="00A3026E" w14:paraId="128D8E2D" w14:textId="77777777" w:rsidTr="00EA0DA7">
        <w:tc>
          <w:tcPr>
            <w:tcW w:w="2802" w:type="dxa"/>
          </w:tcPr>
          <w:p w14:paraId="1CDAF4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Заправочная емкость системы охлаждения, л</w:t>
            </w:r>
          </w:p>
        </w:tc>
        <w:tc>
          <w:tcPr>
            <w:tcW w:w="2802" w:type="dxa"/>
          </w:tcPr>
          <w:p w14:paraId="16D55E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78</w:t>
            </w:r>
          </w:p>
        </w:tc>
      </w:tr>
      <w:tr w:rsidR="00983732" w:rsidRPr="00A3026E" w14:paraId="6476DEEB" w14:textId="77777777" w:rsidTr="00EA0DA7">
        <w:tc>
          <w:tcPr>
            <w:tcW w:w="2802" w:type="dxa"/>
          </w:tcPr>
          <w:p w14:paraId="5B940E6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Заправочная емкость системы смазки двигателя, л</w:t>
            </w:r>
          </w:p>
        </w:tc>
        <w:tc>
          <w:tcPr>
            <w:tcW w:w="2802" w:type="dxa"/>
          </w:tcPr>
          <w:p w14:paraId="59F9EF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w:t>
            </w:r>
          </w:p>
        </w:tc>
      </w:tr>
      <w:tr w:rsidR="00983732" w:rsidRPr="00A3026E" w14:paraId="22B7271D" w14:textId="77777777" w:rsidTr="00EA0DA7">
        <w:tc>
          <w:tcPr>
            <w:tcW w:w="2802" w:type="dxa"/>
          </w:tcPr>
          <w:p w14:paraId="3F52CC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хода с прицепом по шоссе, км</w:t>
            </w:r>
          </w:p>
        </w:tc>
        <w:tc>
          <w:tcPr>
            <w:tcW w:w="2802" w:type="dxa"/>
          </w:tcPr>
          <w:p w14:paraId="667E9F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220</w:t>
            </w:r>
          </w:p>
        </w:tc>
      </w:tr>
      <w:tr w:rsidR="00983732" w:rsidRPr="00A3026E" w14:paraId="1207B656" w14:textId="77777777" w:rsidTr="00EA0DA7">
        <w:tc>
          <w:tcPr>
            <w:tcW w:w="2802" w:type="dxa"/>
          </w:tcPr>
          <w:p w14:paraId="676449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Запас хода с прицепом по грунтовой дороге, км</w:t>
            </w:r>
          </w:p>
        </w:tc>
        <w:tc>
          <w:tcPr>
            <w:tcW w:w="2802" w:type="dxa"/>
          </w:tcPr>
          <w:p w14:paraId="0D625F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160</w:t>
            </w:r>
          </w:p>
        </w:tc>
      </w:tr>
      <w:tr w:rsidR="00983732" w:rsidRPr="00A3026E" w14:paraId="66D761C4" w14:textId="77777777" w:rsidTr="00EA0DA7">
        <w:tc>
          <w:tcPr>
            <w:tcW w:w="2802" w:type="dxa"/>
          </w:tcPr>
          <w:p w14:paraId="4CEAB8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мм</w:t>
            </w:r>
          </w:p>
        </w:tc>
        <w:tc>
          <w:tcPr>
            <w:tcW w:w="2802" w:type="dxa"/>
          </w:tcPr>
          <w:p w14:paraId="63B661E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5765</w:t>
            </w:r>
          </w:p>
        </w:tc>
      </w:tr>
      <w:tr w:rsidR="00983732" w:rsidRPr="00A3026E" w14:paraId="68CBB7B9" w14:textId="77777777" w:rsidTr="00EA0DA7">
        <w:tc>
          <w:tcPr>
            <w:tcW w:w="2802" w:type="dxa"/>
          </w:tcPr>
          <w:p w14:paraId="6FCE7D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мм</w:t>
            </w:r>
          </w:p>
        </w:tc>
        <w:tc>
          <w:tcPr>
            <w:tcW w:w="2802" w:type="dxa"/>
          </w:tcPr>
          <w:p w14:paraId="5FB2C8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2300</w:t>
            </w:r>
          </w:p>
        </w:tc>
      </w:tr>
      <w:tr w:rsidR="00983732" w:rsidRPr="00A3026E" w14:paraId="5334143D" w14:textId="77777777" w:rsidTr="00EA0DA7">
        <w:tc>
          <w:tcPr>
            <w:tcW w:w="2802" w:type="dxa"/>
          </w:tcPr>
          <w:p w14:paraId="6A5435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мм</w:t>
            </w:r>
          </w:p>
        </w:tc>
        <w:tc>
          <w:tcPr>
            <w:tcW w:w="2802" w:type="dxa"/>
          </w:tcPr>
          <w:p w14:paraId="3BA20F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2980</w:t>
            </w:r>
          </w:p>
        </w:tc>
      </w:tr>
      <w:tr w:rsidR="00983732" w:rsidRPr="00A3026E" w14:paraId="4BC28D6F" w14:textId="77777777" w:rsidTr="00EA0DA7">
        <w:tc>
          <w:tcPr>
            <w:tcW w:w="2802" w:type="dxa"/>
          </w:tcPr>
          <w:p w14:paraId="0FF93D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грузовой платформы, мм</w:t>
            </w:r>
          </w:p>
        </w:tc>
        <w:tc>
          <w:tcPr>
            <w:tcW w:w="2802" w:type="dxa"/>
          </w:tcPr>
          <w:p w14:paraId="67B953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2048</w:t>
            </w:r>
          </w:p>
        </w:tc>
      </w:tr>
      <w:tr w:rsidR="00983732" w:rsidRPr="00A3026E" w14:paraId="179E60A0" w14:textId="77777777" w:rsidTr="00EA0DA7">
        <w:tc>
          <w:tcPr>
            <w:tcW w:w="2802" w:type="dxa"/>
          </w:tcPr>
          <w:p w14:paraId="01B8B9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грузовой платформы, мм</w:t>
            </w:r>
          </w:p>
        </w:tc>
        <w:tc>
          <w:tcPr>
            <w:tcW w:w="2802" w:type="dxa"/>
          </w:tcPr>
          <w:p w14:paraId="26AEB6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2086</w:t>
            </w:r>
          </w:p>
        </w:tc>
      </w:tr>
      <w:tr w:rsidR="00983732" w:rsidRPr="00A3026E" w14:paraId="442866FD" w14:textId="77777777" w:rsidTr="00EA0DA7">
        <w:tc>
          <w:tcPr>
            <w:tcW w:w="2802" w:type="dxa"/>
          </w:tcPr>
          <w:p w14:paraId="31ED87F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грузовой платформы, мм</w:t>
            </w:r>
          </w:p>
        </w:tc>
        <w:tc>
          <w:tcPr>
            <w:tcW w:w="2802" w:type="dxa"/>
          </w:tcPr>
          <w:p w14:paraId="0086885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r>
      <w:tr w:rsidR="00983732" w:rsidRPr="00A3026E" w14:paraId="2EB356CE" w14:textId="77777777" w:rsidTr="00EA0DA7">
        <w:tc>
          <w:tcPr>
            <w:tcW w:w="2802" w:type="dxa"/>
          </w:tcPr>
          <w:p w14:paraId="5D03D0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колея, мм</w:t>
            </w:r>
          </w:p>
        </w:tc>
        <w:tc>
          <w:tcPr>
            <w:tcW w:w="2802" w:type="dxa"/>
          </w:tcPr>
          <w:p w14:paraId="765ED2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1530</w:t>
            </w:r>
          </w:p>
        </w:tc>
      </w:tr>
      <w:tr w:rsidR="00983732" w:rsidRPr="00A3026E" w14:paraId="775E26E4" w14:textId="77777777" w:rsidTr="00EA0DA7">
        <w:tc>
          <w:tcPr>
            <w:tcW w:w="2802" w:type="dxa"/>
          </w:tcPr>
          <w:p w14:paraId="3115F9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Ширина гусеницы, мм</w:t>
            </w:r>
          </w:p>
        </w:tc>
        <w:tc>
          <w:tcPr>
            <w:tcW w:w="2802" w:type="dxa"/>
          </w:tcPr>
          <w:p w14:paraId="332396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360</w:t>
            </w:r>
          </w:p>
        </w:tc>
      </w:tr>
      <w:tr w:rsidR="00983732" w:rsidRPr="00A3026E" w14:paraId="7801DF1F" w14:textId="77777777" w:rsidTr="00EA0DA7">
        <w:tc>
          <w:tcPr>
            <w:tcW w:w="2802" w:type="dxa"/>
          </w:tcPr>
          <w:p w14:paraId="7206FD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почвозацепа, мм</w:t>
            </w:r>
          </w:p>
        </w:tc>
        <w:tc>
          <w:tcPr>
            <w:tcW w:w="2802" w:type="dxa"/>
          </w:tcPr>
          <w:p w14:paraId="114751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r>
      <w:tr w:rsidR="00983732" w:rsidRPr="00A3026E" w14:paraId="3D6B6E59" w14:textId="77777777" w:rsidTr="00EA0DA7">
        <w:tc>
          <w:tcPr>
            <w:tcW w:w="2802" w:type="dxa"/>
          </w:tcPr>
          <w:p w14:paraId="7AD995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Шаг гусеницы, мм</w:t>
            </w:r>
          </w:p>
        </w:tc>
        <w:tc>
          <w:tcPr>
            <w:tcW w:w="2802" w:type="dxa"/>
          </w:tcPr>
          <w:p w14:paraId="0854EF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170</w:t>
            </w:r>
          </w:p>
        </w:tc>
      </w:tr>
      <w:tr w:rsidR="00983732" w:rsidRPr="00A3026E" w14:paraId="4D8D3A69" w14:textId="77777777" w:rsidTr="00EA0DA7">
        <w:tc>
          <w:tcPr>
            <w:tcW w:w="2802" w:type="dxa"/>
          </w:tcPr>
          <w:p w14:paraId="5D752F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Расстояние между крайними опорными катками, мм</w:t>
            </w:r>
          </w:p>
        </w:tc>
        <w:tc>
          <w:tcPr>
            <w:tcW w:w="2802" w:type="dxa"/>
          </w:tcPr>
          <w:p w14:paraId="739C48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3278</w:t>
            </w:r>
          </w:p>
        </w:tc>
      </w:tr>
      <w:tr w:rsidR="00983732" w:rsidRPr="00A3026E" w14:paraId="3049B59B" w14:textId="77777777" w:rsidTr="00EA0DA7">
        <w:tc>
          <w:tcPr>
            <w:tcW w:w="2802" w:type="dxa"/>
          </w:tcPr>
          <w:p w14:paraId="3E06A2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опорной поверхности гусеницы, максимальная, мм</w:t>
            </w:r>
          </w:p>
        </w:tc>
        <w:tc>
          <w:tcPr>
            <w:tcW w:w="2802" w:type="dxa"/>
          </w:tcPr>
          <w:p w14:paraId="1F98498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3784</w:t>
            </w:r>
          </w:p>
        </w:tc>
      </w:tr>
      <w:tr w:rsidR="00983732" w:rsidRPr="00A3026E" w14:paraId="7967B809" w14:textId="77777777" w:rsidTr="00EA0DA7">
        <w:tc>
          <w:tcPr>
            <w:tcW w:w="2802" w:type="dxa"/>
          </w:tcPr>
          <w:p w14:paraId="16C8D4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опорной поверхности гусеницы, минимальная, мм</w:t>
            </w:r>
          </w:p>
        </w:tc>
        <w:tc>
          <w:tcPr>
            <w:tcW w:w="2802" w:type="dxa"/>
          </w:tcPr>
          <w:p w14:paraId="319D44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3448</w:t>
            </w:r>
          </w:p>
        </w:tc>
      </w:tr>
      <w:tr w:rsidR="00983732" w:rsidRPr="00A3026E" w14:paraId="1E754857" w14:textId="77777777" w:rsidTr="00EA0DA7">
        <w:tc>
          <w:tcPr>
            <w:tcW w:w="2802" w:type="dxa"/>
          </w:tcPr>
          <w:p w14:paraId="1B0C24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Клиренс, мм</w:t>
            </w:r>
          </w:p>
        </w:tc>
        <w:tc>
          <w:tcPr>
            <w:tcW w:w="2802" w:type="dxa"/>
          </w:tcPr>
          <w:p w14:paraId="3BEA16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r>
      <w:tr w:rsidR="00983732" w:rsidRPr="00A3026E" w14:paraId="27F1074D" w14:textId="77777777" w:rsidTr="00EA0DA7">
        <w:tc>
          <w:tcPr>
            <w:tcW w:w="2802" w:type="dxa"/>
          </w:tcPr>
          <w:p w14:paraId="1464E26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Передаточные числа в КПП:</w:t>
            </w:r>
          </w:p>
        </w:tc>
        <w:tc>
          <w:tcPr>
            <w:tcW w:w="2802" w:type="dxa"/>
          </w:tcPr>
          <w:p w14:paraId="7D4DACF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202A76B5" w14:textId="77777777" w:rsidTr="00EA0DA7">
        <w:tc>
          <w:tcPr>
            <w:tcW w:w="2802" w:type="dxa"/>
          </w:tcPr>
          <w:p w14:paraId="64B1D5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w:t>
            </w:r>
          </w:p>
        </w:tc>
        <w:tc>
          <w:tcPr>
            <w:tcW w:w="2802" w:type="dxa"/>
          </w:tcPr>
          <w:p w14:paraId="15635E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w:t>
            </w:r>
          </w:p>
        </w:tc>
      </w:tr>
      <w:tr w:rsidR="00983732" w:rsidRPr="00A3026E" w14:paraId="6D6B80D0" w14:textId="77777777" w:rsidTr="00EA0DA7">
        <w:tc>
          <w:tcPr>
            <w:tcW w:w="2802" w:type="dxa"/>
          </w:tcPr>
          <w:p w14:paraId="1818C1F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w:t>
            </w:r>
          </w:p>
        </w:tc>
        <w:tc>
          <w:tcPr>
            <w:tcW w:w="2802" w:type="dxa"/>
          </w:tcPr>
          <w:p w14:paraId="08D4F94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w:t>
            </w:r>
          </w:p>
        </w:tc>
      </w:tr>
      <w:tr w:rsidR="00983732" w:rsidRPr="00A3026E" w14:paraId="509084A2" w14:textId="77777777" w:rsidTr="00EA0DA7">
        <w:tc>
          <w:tcPr>
            <w:tcW w:w="2802" w:type="dxa"/>
          </w:tcPr>
          <w:p w14:paraId="5039A6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w:t>
            </w:r>
          </w:p>
        </w:tc>
        <w:tc>
          <w:tcPr>
            <w:tcW w:w="2802" w:type="dxa"/>
          </w:tcPr>
          <w:p w14:paraId="4EC758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w:t>
            </w:r>
          </w:p>
        </w:tc>
      </w:tr>
      <w:tr w:rsidR="00983732" w:rsidRPr="00A3026E" w14:paraId="6D2C06D0" w14:textId="77777777" w:rsidTr="00EA0DA7">
        <w:tc>
          <w:tcPr>
            <w:tcW w:w="2802" w:type="dxa"/>
          </w:tcPr>
          <w:p w14:paraId="533D13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w:t>
            </w:r>
          </w:p>
        </w:tc>
        <w:tc>
          <w:tcPr>
            <w:tcW w:w="2802" w:type="dxa"/>
          </w:tcPr>
          <w:p w14:paraId="691BDE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w:t>
            </w:r>
          </w:p>
        </w:tc>
      </w:tr>
      <w:tr w:rsidR="00983732" w:rsidRPr="00A3026E" w14:paraId="323D244B" w14:textId="77777777" w:rsidTr="00EA0DA7">
        <w:tc>
          <w:tcPr>
            <w:tcW w:w="2802" w:type="dxa"/>
          </w:tcPr>
          <w:p w14:paraId="4D0E47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w:t>
            </w:r>
          </w:p>
        </w:tc>
        <w:tc>
          <w:tcPr>
            <w:tcW w:w="2802" w:type="dxa"/>
          </w:tcPr>
          <w:p w14:paraId="37D645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w:t>
            </w:r>
          </w:p>
        </w:tc>
      </w:tr>
      <w:tr w:rsidR="00983732" w:rsidRPr="00A3026E" w14:paraId="482CA61E" w14:textId="77777777" w:rsidTr="00EA0DA7">
        <w:tc>
          <w:tcPr>
            <w:tcW w:w="2802" w:type="dxa"/>
          </w:tcPr>
          <w:p w14:paraId="6EA62E8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Задний ход</w:t>
            </w:r>
          </w:p>
        </w:tc>
        <w:tc>
          <w:tcPr>
            <w:tcW w:w="2802" w:type="dxa"/>
          </w:tcPr>
          <w:p w14:paraId="7853F6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2,07</w:t>
            </w:r>
          </w:p>
        </w:tc>
      </w:tr>
      <w:tr w:rsidR="00983732" w:rsidRPr="00A3026E" w14:paraId="2470701C" w14:textId="77777777" w:rsidTr="00EA0DA7">
        <w:tc>
          <w:tcPr>
            <w:tcW w:w="2802" w:type="dxa"/>
          </w:tcPr>
          <w:p w14:paraId="73EDAC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Передаточное число главной передачи</w:t>
            </w:r>
          </w:p>
        </w:tc>
        <w:tc>
          <w:tcPr>
            <w:tcW w:w="2802" w:type="dxa"/>
          </w:tcPr>
          <w:p w14:paraId="7FFCE88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w:t>
            </w:r>
          </w:p>
        </w:tc>
      </w:tr>
      <w:tr w:rsidR="00983732" w:rsidRPr="00A3026E" w14:paraId="7B830529" w14:textId="77777777" w:rsidTr="00EA0DA7">
        <w:tc>
          <w:tcPr>
            <w:tcW w:w="2802" w:type="dxa"/>
          </w:tcPr>
          <w:p w14:paraId="0889B4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Передаточное число бортовой передачи</w:t>
            </w:r>
          </w:p>
        </w:tc>
        <w:tc>
          <w:tcPr>
            <w:tcW w:w="2802" w:type="dxa"/>
          </w:tcPr>
          <w:p w14:paraId="25DF1D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4,54</w:t>
            </w:r>
          </w:p>
        </w:tc>
      </w:tr>
      <w:tr w:rsidR="00983732" w:rsidRPr="00A3026E" w14:paraId="30091537" w14:textId="77777777" w:rsidTr="00EA0DA7">
        <w:tc>
          <w:tcPr>
            <w:tcW w:w="2802" w:type="dxa"/>
          </w:tcPr>
          <w:p w14:paraId="6C69EB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Высота прицепного устройства без погружения шпор, мм</w:t>
            </w:r>
          </w:p>
        </w:tc>
        <w:tc>
          <w:tcPr>
            <w:tcW w:w="2802" w:type="dxa"/>
          </w:tcPr>
          <w:p w14:paraId="3677E1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w:t>
            </w:r>
          </w:p>
        </w:tc>
      </w:tr>
      <w:tr w:rsidR="00983732" w:rsidRPr="00A3026E" w14:paraId="3C5A16BB" w14:textId="77777777" w:rsidTr="00EA0DA7">
        <w:tc>
          <w:tcPr>
            <w:tcW w:w="2802" w:type="dxa"/>
          </w:tcPr>
          <w:p w14:paraId="677FA4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Максимальный угол подъема без прицепа</w:t>
            </w:r>
          </w:p>
        </w:tc>
        <w:tc>
          <w:tcPr>
            <w:tcW w:w="2802" w:type="dxa"/>
          </w:tcPr>
          <w:p w14:paraId="26E864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w:t>
            </w:r>
          </w:p>
        </w:tc>
      </w:tr>
      <w:tr w:rsidR="00983732" w:rsidRPr="00A3026E" w14:paraId="79350535" w14:textId="77777777" w:rsidTr="00EA0DA7">
        <w:tc>
          <w:tcPr>
            <w:tcW w:w="2802" w:type="dxa"/>
          </w:tcPr>
          <w:p w14:paraId="6726E1F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Максимальный угол подъема с прицепом</w:t>
            </w:r>
          </w:p>
        </w:tc>
        <w:tc>
          <w:tcPr>
            <w:tcW w:w="2802" w:type="dxa"/>
          </w:tcPr>
          <w:p w14:paraId="59B7BF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16*</w:t>
            </w:r>
          </w:p>
        </w:tc>
      </w:tr>
      <w:tr w:rsidR="00983732" w:rsidRPr="00A3026E" w14:paraId="40275013" w14:textId="77777777" w:rsidTr="00EA0DA7">
        <w:tc>
          <w:tcPr>
            <w:tcW w:w="2802" w:type="dxa"/>
          </w:tcPr>
          <w:p w14:paraId="0215CB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Глубина преодолеваемого брода, м</w:t>
            </w:r>
          </w:p>
        </w:tc>
        <w:tc>
          <w:tcPr>
            <w:tcW w:w="2802" w:type="dxa"/>
          </w:tcPr>
          <w:p w14:paraId="193924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0,7</w:t>
            </w:r>
          </w:p>
        </w:tc>
      </w:tr>
      <w:tr w:rsidR="00983732" w:rsidRPr="00A3026E" w14:paraId="3F348F0F" w14:textId="77777777" w:rsidTr="00EA0DA7">
        <w:tc>
          <w:tcPr>
            <w:tcW w:w="2802" w:type="dxa"/>
          </w:tcPr>
          <w:p w14:paraId="3F37B0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Механизм лебедки не имел реверса, и разматывание троса производилось вручную.</w:t>
            </w:r>
          </w:p>
        </w:tc>
        <w:tc>
          <w:tcPr>
            <w:tcW w:w="2802" w:type="dxa"/>
          </w:tcPr>
          <w:p w14:paraId="5670C4A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17783904" w14:textId="77777777" w:rsidTr="00EA0DA7">
        <w:tc>
          <w:tcPr>
            <w:tcW w:w="2802" w:type="dxa"/>
          </w:tcPr>
          <w:p w14:paraId="5E6117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Максимальное тяговое усилие лебедки, кг</w:t>
            </w:r>
          </w:p>
        </w:tc>
        <w:tc>
          <w:tcPr>
            <w:tcW w:w="2802" w:type="dxa"/>
          </w:tcPr>
          <w:p w14:paraId="4DC4F1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10000</w:t>
            </w:r>
          </w:p>
        </w:tc>
      </w:tr>
      <w:tr w:rsidR="00983732" w:rsidRPr="00A3026E" w14:paraId="70D8D5ED" w14:textId="77777777" w:rsidTr="00EA0DA7">
        <w:tc>
          <w:tcPr>
            <w:tcW w:w="2802" w:type="dxa"/>
            <w:tcBorders>
              <w:bottom w:val="single" w:sz="12" w:space="0" w:color="auto"/>
            </w:tcBorders>
          </w:tcPr>
          <w:p w14:paraId="7A3006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троса лебедки, м</w:t>
            </w:r>
          </w:p>
        </w:tc>
        <w:tc>
          <w:tcPr>
            <w:tcW w:w="2802" w:type="dxa"/>
            <w:tcBorders>
              <w:bottom w:val="single" w:sz="12" w:space="0" w:color="auto"/>
            </w:tcBorders>
          </w:tcPr>
          <w:p w14:paraId="1F7BF0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30</w:t>
            </w:r>
          </w:p>
        </w:tc>
      </w:tr>
    </w:tbl>
    <w:p w14:paraId="4993D1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(12006).</w:t>
      </w:r>
    </w:p>
    <w:p w14:paraId="46E80E2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F734D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специалистами НИИ-20 испытывалась телемеханическая группа тракторов Т-20. Т-20—это легкий артиллерийский тягач «Комсомолец» завода №37. Этот же завод выполнял и переделку тягачей под телеуправляемую пару. Телетрактор имел массу 3,64 т, а трактор управления 3,66 т. Управление первого— ручное и телемеханическое, второго — ручное. Характеристики и внешний вид оставались без изменения, как у «Комсомольца». Экипаж трактора управления— 2 человека, вооружение — 7,62-мм пулемет ДТ (боекомплект — 1008 патронов). Телетрактор был вооружен пулеметом ДТ (боекомплект — 63 патрона),имел химприбор КС-61Т (емкость химбаллонов - 45 л) и подрывное устройство. Монтаж и демонтаж аппаратуры по времени такое же, как и у телегруппы Т-38. Телетрактор выполнял следующие команды: запуск двигателя, увеличение числа его оборотов, повороты вправо-влево, переключение скоростей, включение тормоза, остановка телетрактора. Команды управления вооружением телетрактора: подготовка к стрельбе, стрельба из пулемета или огнемета (15—16 огневыстрелов на дальность 28 м), дымопуск (длина дымовой завесы — 175 м), подготовка к взрыву,взрыв, отбой подготовки. Радиус действия телетрактора — 2500 м (11916).</w:t>
      </w:r>
    </w:p>
    <w:p w14:paraId="1576B99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6BA98FF"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 1940 году на одно из шасси ЗИС-34Д был установлен опытный автомобильный 6-цилиндровый дизель ЗИС-Д-7 (конструкторы П. В. Сметанников, В. А. Будникор, И. И. Мочалин) мощностью 96-98 л. с. при 2200 об/мин. В 1941 году первый советский дизельный бронеавтомобиль БА-11 Д проходил испытания. Из-за более тяжелого двигателя масса машины увеличилась до 8,65 т; однако за счет его большей экономичности запас хода при тех же баках (150 л) возрос на 33%. Правда, максимальная скорость на шоссе упала до 48 км/ч - надо было менять передаточные числа в главной передаче, но лучшие тяговые характеристики дизеля позволили поднять среднюю скорость на шоссе до 39,8 км/ч, что было неплохо для бронеавтомобиля такого класса. Увеличилась и пожарная безопасность машины. К сожалению, освоить двигатель Д-7 до войны не успели, однако он послужил основой для создания удачного тракторного 4-цилиндрового дизеля Д-35, получившего широкое распространение после войны (9645).</w:t>
      </w:r>
    </w:p>
    <w:p w14:paraId="3F8C1886" w14:textId="77777777" w:rsidR="0014077F" w:rsidRPr="00A3026E" w:rsidRDefault="0014077F" w:rsidP="00A3026E">
      <w:pPr>
        <w:pStyle w:val="a8"/>
        <w:widowControl/>
        <w:jc w:val="both"/>
        <w:rPr>
          <w:rFonts w:ascii="Times New Roman" w:hAnsi="Times New Roman" w:cs="Times New Roman"/>
          <w:color w:val="000000" w:themeColor="text1"/>
        </w:rPr>
      </w:pPr>
    </w:p>
    <w:p w14:paraId="7C9594C2"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танк PzKpfw III, именовавшийся в документах АБТУ как «средний 20-тонный танк «Даймлер-Бенц», только исправный, был куплен в Гер</w:t>
      </w:r>
      <w:r w:rsidRPr="00A3026E">
        <w:rPr>
          <w:rFonts w:ascii="Times New Roman" w:hAnsi="Times New Roman"/>
          <w:color w:val="000000" w:themeColor="text1"/>
          <w:sz w:val="16"/>
          <w:szCs w:val="16"/>
        </w:rPr>
        <w:softHyphen/>
        <w:t>мании и доставлен в Кубинку для ходовых испытаний. В отечественных документах этот танк именуется Т-111Г, но скорее всего его модификация была AusF, а лите</w:t>
      </w:r>
      <w:r w:rsidRPr="00A3026E">
        <w:rPr>
          <w:rFonts w:ascii="Times New Roman" w:hAnsi="Times New Roman"/>
          <w:color w:val="000000" w:themeColor="text1"/>
          <w:sz w:val="16"/>
          <w:szCs w:val="16"/>
        </w:rPr>
        <w:softHyphen/>
        <w:t>ра «F» превращалась из машинописной заглавной буквы Г дорисовкой малой поперечной перекладины вручную. К сожалению, полного комплекта отчетов по испыта</w:t>
      </w:r>
      <w:r w:rsidRPr="00A3026E">
        <w:rPr>
          <w:rFonts w:ascii="Times New Roman" w:hAnsi="Times New Roman"/>
          <w:color w:val="000000" w:themeColor="text1"/>
          <w:sz w:val="16"/>
          <w:szCs w:val="16"/>
        </w:rPr>
        <w:softHyphen/>
        <w:t>ниям указанных танков обнаружить пока не удалось, так как они велись под личным контролем замнаркома оборо</w:t>
      </w:r>
      <w:r w:rsidRPr="00A3026E">
        <w:rPr>
          <w:rFonts w:ascii="Times New Roman" w:hAnsi="Times New Roman"/>
          <w:color w:val="000000" w:themeColor="text1"/>
          <w:sz w:val="16"/>
          <w:szCs w:val="16"/>
        </w:rPr>
        <w:softHyphen/>
        <w:t>ны по вооружению, но некоторые ссылки и упоминания о них позволяют сделать вывод, что немецкий танк поразил наших специалистов (10782).</w:t>
      </w:r>
    </w:p>
    <w:p w14:paraId="1178CCA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624F7449"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в КБ-1 Ижорского завода изготовили бронеавтомобиль БА-10Ц с бронекорпусом из цементованной брони. Ника</w:t>
      </w:r>
      <w:r w:rsidRPr="00A3026E">
        <w:rPr>
          <w:rFonts w:ascii="Times New Roman" w:hAnsi="Times New Roman"/>
          <w:color w:val="000000" w:themeColor="text1"/>
          <w:sz w:val="16"/>
          <w:szCs w:val="16"/>
        </w:rPr>
        <w:softHyphen/>
        <w:t>ких внешних отличий от БА- ЮМ эта машина не имела. Од</w:t>
      </w:r>
      <w:r w:rsidRPr="00A3026E">
        <w:rPr>
          <w:rFonts w:ascii="Times New Roman" w:hAnsi="Times New Roman"/>
          <w:color w:val="000000" w:themeColor="text1"/>
          <w:sz w:val="16"/>
          <w:szCs w:val="16"/>
        </w:rPr>
        <w:softHyphen/>
        <w:t>нако в связи с трудностями, возникшими при изготовлении бронекорпуса, эта работа остатась экспериментальной (11284).</w:t>
      </w:r>
    </w:p>
    <w:p w14:paraId="1D2D0404"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62FFCB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 состав завода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был влит Ленинградский граммофонный завод № 1 и завод «Ленпишмаш». К началу войны завод размещался на четырех площадках: площадка бывшего завода «Красный Октябрь» у Флюгова пер. и пр. К. Маркса; площадка бывшей фабрики роялей (Кушелевка); площадка № 3 бывшего завода «Ленпишмаш» (Лиговка, производство деталей для М-105); площадка граммофонного завода (Обводной канал, 14).</w:t>
      </w:r>
    </w:p>
    <w:p w14:paraId="0A3729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Приказом НКОП № 03с от 25.12.1936 г. оставлено на 1-е полугодие 1937 г. изготовление запчастей к мотору М- 5, затем оно передано на завод № 48. В соответствии с пост, правительства № 1369-534сс от 26.07.1940 г. перепрофилирован на производство авиадвигателей М-105. Являлся дублером завода № 26 НКАП.</w:t>
      </w:r>
    </w:p>
    <w:p w14:paraId="01404E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 № 200сс от 5.06.1938 г. производство мотоциклов на заводе с 1.01.1939 г. переведено на конвейерную сборку.</w:t>
      </w:r>
    </w:p>
    <w:p w14:paraId="1AFD0D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 № 293с от 7.08.1938 г. необходимо было сдать в 1938 г. в эксплуатацию: цехи: кузнечный, литейный, деревообделочный; фидерную подстанцию, котельную.</w:t>
      </w:r>
    </w:p>
    <w:p w14:paraId="78F9B8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Перед войной строился филиал завода в Ленинграде (возможно, это территория по 1-му Муринскому пр.).</w:t>
      </w:r>
    </w:p>
    <w:p w14:paraId="1F1A075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08.1941 г. завод № 234 НКАП по приказам № 652сс от 9.07.1941 г. и № 729сс от 22.07.1941 г. эвакуирован в Уфу на площадку завода № 384 НКАП и по приказу № 824сс от 8.08.1941 г. влит в его состав, в связи с чем с 09.1941 г. выбыл из состава действующих.</w:t>
      </w:r>
    </w:p>
    <w:p w14:paraId="449991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годы войны на площадке завода в Лесном действовала Рембаза № 3 ВВС КА.</w:t>
      </w:r>
    </w:p>
    <w:p w14:paraId="527FA6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 приказу № 305с/0350с от 3.05.1944 г. площадка № 3 бывшего завода № 234 передана в НКВМФ, где образован завод № 55.</w:t>
      </w:r>
    </w:p>
    <w:p w14:paraId="061079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двух площадках завода № 234 НКАП в соответствии с приказом НКАП № 584с от 22.09.1944 г. образован Завод № 274 НКАП.</w:t>
      </w:r>
    </w:p>
    <w:p w14:paraId="410128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w:t>
      </w:r>
    </w:p>
    <w:p w14:paraId="647EF1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(-19.07.1937 г.)- К.Н. Коршунов; и.о. (19.07.1937 г.-)- Т.М. Райцин; (23.07.1937-08.1938 г.-)- И.М. Леухин, (-1939-12.1940 г.)- Н.В. Солодухин, (12.1940-05.1941 г.-)- А.П. Петров.</w:t>
      </w:r>
    </w:p>
    <w:p w14:paraId="74F696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(-7.09.1937 г.)- Т.М. Райцин, (7.09.1937 г.-)- Н.В. Солодухин.</w:t>
      </w:r>
    </w:p>
    <w:p w14:paraId="32FC4A3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Гл. инженер (-7.09.1937 г.)- Т.М. Райцин, (7.09.1937-38 г.-)- Н.В. Солодухин, (08.1940 г.-)- П.Ф. Амбросов.</w:t>
      </w:r>
    </w:p>
    <w:p w14:paraId="13B809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Начальник КБ завода (10.1940 г.-)- И.Н. Маликов.</w:t>
      </w:r>
    </w:p>
    <w:p w14:paraId="165923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iCs/>
          <w:color w:val="000000" w:themeColor="text1"/>
          <w:sz w:val="16"/>
          <w:szCs w:val="16"/>
        </w:rPr>
        <w:t>Производство:</w:t>
      </w:r>
      <w:r w:rsidRPr="00A3026E">
        <w:rPr>
          <w:rFonts w:ascii="Times New Roman" w:hAnsi="Times New Roman"/>
          <w:color w:val="000000" w:themeColor="text1"/>
          <w:sz w:val="16"/>
          <w:szCs w:val="16"/>
        </w:rPr>
        <w:t xml:space="preserve"> оборудование для электростанций (1919-); электроподъемники, электроприборы (1930-е); </w:t>
      </w:r>
      <w:r w:rsidRPr="00A3026E">
        <w:rPr>
          <w:rFonts w:ascii="Times New Roman" w:hAnsi="Times New Roman"/>
          <w:iCs/>
          <w:color w:val="000000" w:themeColor="text1"/>
          <w:sz w:val="16"/>
          <w:szCs w:val="16"/>
        </w:rPr>
        <w:t>мотоциклы:</w:t>
      </w:r>
      <w:r w:rsidRPr="00A3026E">
        <w:rPr>
          <w:rFonts w:ascii="Times New Roman" w:hAnsi="Times New Roman"/>
          <w:color w:val="000000" w:themeColor="text1"/>
          <w:sz w:val="16"/>
          <w:szCs w:val="16"/>
        </w:rPr>
        <w:t xml:space="preserve"> первый отечественный Л-300 «Красный Октябрь» (1930-), Л-500, С-1, Л-8, (1930-е); детали к тракторам «Фордзон-Путиловец»; коробки передач для Т-26 (1932), Т-28 (1934), узлы к танкам БТ; авиационный двигатель М-105 (1941-); ремонт авиамоторов М-5, "</w:t>
      </w:r>
      <w:r w:rsidRPr="00A3026E">
        <w:rPr>
          <w:rFonts w:ascii="Times New Roman" w:hAnsi="Times New Roman"/>
          <w:color w:val="000000" w:themeColor="text1"/>
          <w:sz w:val="16"/>
          <w:szCs w:val="16"/>
          <w:lang w:val="en-US"/>
        </w:rPr>
        <w:t>Liberty</w:t>
      </w:r>
      <w:r w:rsidRPr="00A3026E">
        <w:rPr>
          <w:rFonts w:ascii="Times New Roman" w:hAnsi="Times New Roman"/>
          <w:color w:val="000000" w:themeColor="text1"/>
          <w:sz w:val="16"/>
          <w:szCs w:val="16"/>
        </w:rPr>
        <w:t>-12" (1932-36) (11982).</w:t>
      </w:r>
    </w:p>
    <w:p w14:paraId="74B56D93"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F3997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на заводе № 232 – директор Устинов (9183).</w:t>
      </w:r>
    </w:p>
    <w:p w14:paraId="0F7D1B60"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D8FDCA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 была подготовлена справка:</w:t>
      </w:r>
    </w:p>
    <w:p w14:paraId="23110E5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Строительство завода № 303 НКВ – Владимир (9191)</w:t>
      </w:r>
    </w:p>
    <w:p w14:paraId="6061173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235 – Воткинск</w:t>
      </w:r>
    </w:p>
    <w:p w14:paraId="07C4AE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ЛМЗ им. Сталина – завод № 371 им. Сталина</w:t>
      </w:r>
    </w:p>
    <w:p w14:paraId="1F742C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Заводы №№ 355 и 367 НКВ – Загорск</w:t>
      </w:r>
    </w:p>
    <w:p w14:paraId="46D710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скобяных изделий и ЗОМЗ)</w:t>
      </w:r>
    </w:p>
    <w:p w14:paraId="43947C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349 им. ОГПУ – Ленинград</w:t>
      </w:r>
    </w:p>
    <w:p w14:paraId="326A68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201 НКПС - Севастополь</w:t>
      </w:r>
    </w:p>
    <w:p w14:paraId="373FD1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10 им. Дзержинского НКБ - Молотов</w:t>
      </w:r>
    </w:p>
    <w:p w14:paraId="26541A7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68 НКБ – Невьянск Свердловской области</w:t>
      </w:r>
    </w:p>
    <w:p w14:paraId="038876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172 им. Молотова НКВ – Молотов</w:t>
      </w:r>
    </w:p>
    <w:p w14:paraId="25252E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Заводы №№ 357 и 371 – Ленинград</w:t>
      </w:r>
    </w:p>
    <w:p w14:paraId="1E77DE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357 – директор Примайчук</w:t>
      </w:r>
    </w:p>
    <w:p w14:paraId="778D36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«Большевик» № 232 – Ленинград, 12 (9191).</w:t>
      </w:r>
    </w:p>
    <w:p w14:paraId="7F7F90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347 – НКСП</w:t>
      </w:r>
    </w:p>
    <w:p w14:paraId="5BE42A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217 НКВ – Москва</w:t>
      </w:r>
    </w:p>
    <w:p w14:paraId="5B44F2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69 НКВ – Красногорск (9191)</w:t>
      </w:r>
    </w:p>
    <w:p w14:paraId="7F08BA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были:</w:t>
      </w:r>
    </w:p>
    <w:p w14:paraId="0CE5699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221 – Сталинград</w:t>
      </w:r>
    </w:p>
    <w:p w14:paraId="581015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Заводы №№ 232 и 7 – Ленинград</w:t>
      </w:r>
    </w:p>
    <w:p w14:paraId="7C0B30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 60 – Ворошиловград (9194)/</w:t>
      </w:r>
    </w:p>
    <w:p w14:paraId="5449F3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1940 год в НК общего машиностроения был завод «Знамя труда»</w:t>
      </w:r>
    </w:p>
    <w:p w14:paraId="341673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 Ливенская ул., д. 1</w:t>
      </w:r>
    </w:p>
    <w:p w14:paraId="5C577AF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Насосы, манометры …………(8489).</w:t>
      </w:r>
    </w:p>
    <w:p w14:paraId="2315F3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им. Лепсе</w:t>
      </w:r>
    </w:p>
    <w:p w14:paraId="1C2E73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 Матросская слобода, д. 21 (8489).</w:t>
      </w:r>
    </w:p>
    <w:p w14:paraId="3D0DC2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«Красный профинтерн» Гусь Хрустальный Ивановской области (8489).</w:t>
      </w:r>
    </w:p>
    <w:p w14:paraId="53EACB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Государственный Пресненский машиностроительный завод</w:t>
      </w:r>
    </w:p>
    <w:p w14:paraId="719CB0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Вторая Звенигородская ул., д. 7 (8489).</w:t>
      </w:r>
    </w:p>
    <w:p w14:paraId="231FEA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Государственный союзный экспериментальный завод «Геомашина»</w:t>
      </w:r>
    </w:p>
    <w:p w14:paraId="1A70E1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17, Б. Овчинниковский, 24 (8489).</w:t>
      </w:r>
    </w:p>
    <w:p w14:paraId="778FF0F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счетно-аналитических машин</w:t>
      </w:r>
    </w:p>
    <w:p w14:paraId="681BF2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ул. Баумана, д. 25</w:t>
      </w:r>
    </w:p>
    <w:p w14:paraId="13255B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Государственный союзный Московский механический экспериментальный завод</w:t>
      </w:r>
    </w:p>
    <w:p w14:paraId="1B257A6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71, Верхне-Михайловский проезд, 8а</w:t>
      </w:r>
    </w:p>
    <w:p w14:paraId="07D54F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Машиностроительный завод «Красный Октябрь»</w:t>
      </w:r>
    </w:p>
    <w:p w14:paraId="1D4988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Фастов, ул. Орджоникидзе, 50</w:t>
      </w:r>
    </w:p>
    <w:p w14:paraId="28F4ECC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Машиностроительный завод им. Фрунзе</w:t>
      </w:r>
    </w:p>
    <w:p w14:paraId="572C85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Сумы</w:t>
      </w:r>
    </w:p>
    <w:p w14:paraId="6218DEA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«Арматура»</w:t>
      </w:r>
    </w:p>
    <w:p w14:paraId="6F23A0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15, Панская ул., д. 14</w:t>
      </w:r>
    </w:p>
    <w:p w14:paraId="44C434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испытательных приборов</w:t>
      </w:r>
    </w:p>
    <w:p w14:paraId="3628FE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69, Кудринский пер., д. 10</w:t>
      </w:r>
    </w:p>
    <w:p w14:paraId="5DA5F63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измерительных приборов</w:t>
      </w:r>
    </w:p>
    <w:p w14:paraId="42E33A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 10, новая деревня Сабировская, д. 37</w:t>
      </w:r>
    </w:p>
    <w:p w14:paraId="2252B0D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«Манометр»</w:t>
      </w:r>
    </w:p>
    <w:p w14:paraId="595826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Нижние сыромятники, 2</w:t>
      </w:r>
    </w:p>
    <w:p w14:paraId="25D9B8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Оптико-механический завод № 5</w:t>
      </w:r>
    </w:p>
    <w:p w14:paraId="2C980E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 В.О. 3 линия, д. 52</w:t>
      </w:r>
    </w:p>
    <w:p w14:paraId="606C4E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Болшевский машиностроительный завод</w:t>
      </w:r>
    </w:p>
    <w:p w14:paraId="35FEB0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Ст. Болшево</w:t>
      </w:r>
    </w:p>
    <w:p w14:paraId="06B45E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машиностроения для пищевой промышленности</w:t>
      </w:r>
    </w:p>
    <w:p w14:paraId="508FB4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83, 2-ая Хуторская ул., 38А</w:t>
      </w:r>
    </w:p>
    <w:p w14:paraId="341825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Машиностроительный завод «Смычка»</w:t>
      </w:r>
    </w:p>
    <w:p w14:paraId="1D66FB2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Поселок Плавск Тульской области</w:t>
      </w:r>
    </w:p>
    <w:p w14:paraId="12BD02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Машиностроительный завод им. Коминтерна</w:t>
      </w:r>
    </w:p>
    <w:p w14:paraId="781D3B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Воронеж, Задонское шоссе</w:t>
      </w:r>
    </w:p>
    <w:p w14:paraId="14716FD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Дмитровский машиностроительный завод</w:t>
      </w:r>
    </w:p>
    <w:p w14:paraId="5EDCA7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Дмитров Московской обл., ул. Пушкина, д. 1</w:t>
      </w:r>
    </w:p>
    <w:p w14:paraId="520677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«Красный металлист»</w:t>
      </w:r>
    </w:p>
    <w:p w14:paraId="5D1A203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Ворошиловск, Орджоникидзевского края</w:t>
      </w:r>
    </w:p>
    <w:p w14:paraId="4E5337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«Красный экскаватор»</w:t>
      </w:r>
    </w:p>
    <w:p w14:paraId="6987C8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Киев, Кубельтковский пер., 6</w:t>
      </w:r>
    </w:p>
    <w:p w14:paraId="19222A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«Красный маяк»</w:t>
      </w:r>
    </w:p>
    <w:p w14:paraId="4EBF0C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Ярославль, Матросский спуск, 2</w:t>
      </w:r>
    </w:p>
    <w:p w14:paraId="124C43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«Дормашина»</w:t>
      </w:r>
    </w:p>
    <w:p w14:paraId="12BDF5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Рыбинск Ярославской области</w:t>
      </w:r>
    </w:p>
    <w:p w14:paraId="1C8F63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Московский машиностроительный завод «Компрессор»</w:t>
      </w:r>
    </w:p>
    <w:p w14:paraId="43D9C18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Москва 24, Дангауэровская слобода, 20</w:t>
      </w:r>
    </w:p>
    <w:p w14:paraId="13E20C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Завод точных технических камней</w:t>
      </w:r>
    </w:p>
    <w:p w14:paraId="62119C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Петергоф</w:t>
      </w:r>
    </w:p>
    <w:p w14:paraId="58B8D1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Беловский граммпластинок завод № 842</w:t>
      </w:r>
    </w:p>
    <w:p w14:paraId="4547B0A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Белово Новосибирской области, п/я 17 (6489).</w:t>
      </w:r>
    </w:p>
    <w:p w14:paraId="6A50868D"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E46BC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был Ленинградский завод измерительных приборов «Ленгзип» НКОМ</w:t>
      </w:r>
    </w:p>
    <w:p w14:paraId="6ABBFA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Ленинградский завод счетных машин «Счетмаш» ММиП, Министерства машиностроения</w:t>
      </w:r>
    </w:p>
    <w:p w14:paraId="4893A6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 октября 1954 года – Ленинградский завод медицинских, биологических и физиологических приборов «Биофизприбор» ММиП (ликвидирован 4 июля 1955 года)</w:t>
      </w:r>
    </w:p>
    <w:p w14:paraId="63547D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Самостоятельное конструкторско-технологическое бюро по проектированию приборов, аппаратов и оборудования для НИР в области медицины, физиологии и биологии (СКТБ-БФП)</w:t>
      </w:r>
    </w:p>
    <w:p w14:paraId="3B6480B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 июля 1955 года - Специальное КБ по разработке и проектированию биологических и физиологических приборов «КТБ «Биофизприбор» ММиП (8685)</w:t>
      </w:r>
    </w:p>
    <w:p w14:paraId="19AA2C7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Кроме того, были: 26 июля 1956 года - КБ по проектированию приборов для измерения температур «Термоприбор» МПиСА - Львов</w:t>
      </w:r>
    </w:p>
    <w:p w14:paraId="3079B2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1955 год – Самостоятельное конструкторско-технологическое бюро по проектированию приборов, аппаратов и оборудования для НИР в области медицины, физиологии и биологии (СКТБ-МФП) при Казанском заводе «Теплоконтроль» Главприбора ММиП, затем МПиСА (9091).</w:t>
      </w:r>
    </w:p>
    <w:p w14:paraId="47D39BB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1C09FA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была основана Центральная Аэрологическая Обсерватория (ЦАО) им. В.И. Воейкова, Главная геофизическая обсерватория им. В.И. Воейкова /г. Долгопрудный Московской обл./</w:t>
      </w:r>
    </w:p>
    <w:p w14:paraId="45EC0D1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2006 г. называлась Главная геофизическая обсерватория.</w:t>
      </w:r>
    </w:p>
    <w:p w14:paraId="0BBF380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1987 г. для нее оборудована летающая лаборатория- Ан-26 «Циклон».</w:t>
      </w:r>
    </w:p>
    <w:p w14:paraId="41D4092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Зам. директора по науке (2006 г.)- С. Чичерин (11982).</w:t>
      </w:r>
    </w:p>
    <w:p w14:paraId="7E6FFCF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949CF0E"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В 1940 г. в СССР было четырнадцать серийных радиозаводов с общей численностью работающих 21,7 тыс. человек и объемом валовой продукции 664 млн. руб. (Точнее говоря, заводов было пятнадцать, если считать рижский VEF - крупнейшее предприятие Восточной Европы по производству радиоприемников и радиодеталей, на котором в 1940 г. работало более 3 тыс. человек): </w:t>
      </w:r>
    </w:p>
    <w:p w14:paraId="0F990EDA"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1. </w:t>
      </w:r>
      <w:r w:rsidRPr="00A3026E">
        <w:rPr>
          <w:rFonts w:ascii="Times New Roman" w:hAnsi="Times New Roman"/>
          <w:bCs/>
          <w:color w:val="000000" w:themeColor="text1"/>
          <w:sz w:val="16"/>
          <w:szCs w:val="16"/>
        </w:rPr>
        <w:t>Завод N 628 "Красная заря" (бывший петербургский телефонный завод акционерного общества Эриксон);</w:t>
      </w:r>
    </w:p>
    <w:p w14:paraId="7DDB6E99"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2. </w:t>
      </w:r>
      <w:r w:rsidRPr="00A3026E">
        <w:rPr>
          <w:rFonts w:ascii="Times New Roman" w:hAnsi="Times New Roman"/>
          <w:bCs/>
          <w:color w:val="000000" w:themeColor="text1"/>
          <w:sz w:val="16"/>
          <w:szCs w:val="16"/>
        </w:rPr>
        <w:t>Завод N 211 Светлана (по легенде назван по имени дочери владельца предприятия петербургского предпринимателя Я.М. Айваза; на самом деле это аббревиатура СВЕТовые ЛАмпы Накаливания);</w:t>
      </w:r>
    </w:p>
    <w:p w14:paraId="662EE6A1"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3. </w:t>
      </w:r>
      <w:r w:rsidRPr="00A3026E">
        <w:rPr>
          <w:rFonts w:ascii="Times New Roman" w:hAnsi="Times New Roman"/>
          <w:bCs/>
          <w:color w:val="000000" w:themeColor="text1"/>
          <w:sz w:val="16"/>
          <w:szCs w:val="16"/>
        </w:rPr>
        <w:t>Завод N 210 имени Козицкого (бывший петербургский завод Сименс и Гальске);</w:t>
      </w:r>
    </w:p>
    <w:p w14:paraId="3052A2DA"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4. </w:t>
      </w:r>
      <w:r w:rsidRPr="00A3026E">
        <w:rPr>
          <w:rFonts w:ascii="Times New Roman" w:hAnsi="Times New Roman"/>
          <w:bCs/>
          <w:color w:val="000000" w:themeColor="text1"/>
          <w:sz w:val="16"/>
          <w:szCs w:val="16"/>
        </w:rPr>
        <w:t>Завод N 327 имени М.В. Фрунзе (бывший петербургский завод акционерного "Русского общества беспроволочных телеграфов и телефонов");</w:t>
      </w:r>
    </w:p>
    <w:p w14:paraId="6D3E6267"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5. </w:t>
      </w:r>
      <w:r w:rsidRPr="00A3026E">
        <w:rPr>
          <w:rFonts w:ascii="Times New Roman" w:hAnsi="Times New Roman"/>
          <w:bCs/>
          <w:color w:val="000000" w:themeColor="text1"/>
          <w:sz w:val="16"/>
          <w:szCs w:val="16"/>
        </w:rPr>
        <w:t>Завод N 208 имени Коминтерна (бывший радиотелеграфный завод Морского ведомства);</w:t>
      </w:r>
    </w:p>
    <w:p w14:paraId="0D520820"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6. </w:t>
      </w:r>
      <w:r w:rsidRPr="00A3026E">
        <w:rPr>
          <w:rFonts w:ascii="Times New Roman" w:hAnsi="Times New Roman"/>
          <w:bCs/>
          <w:color w:val="000000" w:themeColor="text1"/>
          <w:sz w:val="16"/>
          <w:szCs w:val="16"/>
        </w:rPr>
        <w:t>Завод N 209 имени А.А. Кулакова (бывший "Электромеханический и телеграфный завод Н. К. Гейслер и Ко");</w:t>
      </w:r>
    </w:p>
    <w:p w14:paraId="1F0E6D19"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7. </w:t>
      </w:r>
      <w:r w:rsidRPr="00A3026E">
        <w:rPr>
          <w:rFonts w:ascii="Times New Roman" w:hAnsi="Times New Roman"/>
          <w:bCs/>
          <w:color w:val="000000" w:themeColor="text1"/>
          <w:sz w:val="16"/>
          <w:szCs w:val="16"/>
        </w:rPr>
        <w:t>Московский электротехнический завод N 203 имени Г.К. Орджоникидзе (бывший московский телефонно-телеграфный завод, слившийся в 1918 г. с эвакуированным Петроградским электротехническим заводом Военно-инженерного управления);</w:t>
      </w:r>
    </w:p>
    <w:p w14:paraId="077C17C6"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8. </w:t>
      </w:r>
      <w:r w:rsidRPr="00A3026E">
        <w:rPr>
          <w:rFonts w:ascii="Times New Roman" w:hAnsi="Times New Roman"/>
          <w:bCs/>
          <w:color w:val="000000" w:themeColor="text1"/>
          <w:sz w:val="16"/>
          <w:szCs w:val="16"/>
        </w:rPr>
        <w:t>Горьковский радиозавод N 197 имени В.И. Ленина (бывший нижегородский завод Сименс и Гальке);</w:t>
      </w:r>
    </w:p>
    <w:p w14:paraId="3EA8C98B"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9. </w:t>
      </w:r>
      <w:r w:rsidRPr="00A3026E">
        <w:rPr>
          <w:rFonts w:ascii="Times New Roman" w:hAnsi="Times New Roman"/>
          <w:bCs/>
          <w:color w:val="000000" w:themeColor="text1"/>
          <w:sz w:val="16"/>
          <w:szCs w:val="16"/>
        </w:rPr>
        <w:t>Харьковский государственный завод N 193 (основан в 1927 г.);</w:t>
      </w:r>
    </w:p>
    <w:p w14:paraId="6C489F54"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10. </w:t>
      </w:r>
      <w:r w:rsidRPr="00A3026E">
        <w:rPr>
          <w:rFonts w:ascii="Times New Roman" w:hAnsi="Times New Roman"/>
          <w:bCs/>
          <w:color w:val="000000" w:themeColor="text1"/>
          <w:sz w:val="16"/>
          <w:szCs w:val="16"/>
        </w:rPr>
        <w:t xml:space="preserve">Егоршинский радиозавод Свердловской области (основан в 1931 г.); </w:t>
      </w:r>
    </w:p>
    <w:p w14:paraId="39153E72"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11. </w:t>
      </w:r>
      <w:r w:rsidRPr="00A3026E">
        <w:rPr>
          <w:rFonts w:ascii="Times New Roman" w:hAnsi="Times New Roman"/>
          <w:bCs/>
          <w:color w:val="000000" w:themeColor="text1"/>
          <w:sz w:val="16"/>
          <w:szCs w:val="16"/>
        </w:rPr>
        <w:t>Воронежский завод N 728 "Электросигнал" (основан в 1931 г.);</w:t>
      </w:r>
    </w:p>
    <w:p w14:paraId="7F0968A9"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12. </w:t>
      </w:r>
      <w:r w:rsidRPr="00A3026E">
        <w:rPr>
          <w:rFonts w:ascii="Times New Roman" w:hAnsi="Times New Roman"/>
          <w:bCs/>
          <w:color w:val="000000" w:themeColor="text1"/>
          <w:sz w:val="16"/>
          <w:szCs w:val="16"/>
        </w:rPr>
        <w:t>Александровский радиозавод N 3 (основан в 1932 г.);</w:t>
      </w:r>
    </w:p>
    <w:p w14:paraId="27012604"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  13. </w:t>
      </w:r>
      <w:r w:rsidRPr="00A3026E">
        <w:rPr>
          <w:rFonts w:ascii="Times New Roman" w:hAnsi="Times New Roman"/>
          <w:bCs/>
          <w:color w:val="000000" w:themeColor="text1"/>
          <w:sz w:val="16"/>
          <w:szCs w:val="16"/>
        </w:rPr>
        <w:t xml:space="preserve">Фрязинский завод "Радиолампа" N 191 (основан в 1939 г.); </w:t>
      </w:r>
    </w:p>
    <w:p w14:paraId="721C1C6D" w14:textId="77777777" w:rsidR="005558EB" w:rsidRPr="00A3026E" w:rsidRDefault="005558EB" w:rsidP="00A3026E">
      <w:pPr>
        <w:spacing w:after="0" w:line="240" w:lineRule="auto"/>
        <w:jc w:val="both"/>
        <w:rPr>
          <w:rFonts w:ascii="Times New Roman" w:hAnsi="Times New Roman"/>
          <w:bCs/>
          <w:color w:val="000000" w:themeColor="text1"/>
          <w:sz w:val="16"/>
          <w:szCs w:val="16"/>
        </w:rPr>
      </w:pPr>
      <w:r w:rsidRPr="00A3026E">
        <w:rPr>
          <w:rFonts w:ascii="Times New Roman" w:hAnsi="Times New Roman"/>
          <w:color w:val="000000" w:themeColor="text1"/>
          <w:sz w:val="16"/>
          <w:szCs w:val="16"/>
        </w:rPr>
        <w:t xml:space="preserve">  14. </w:t>
      </w:r>
      <w:r w:rsidRPr="00A3026E">
        <w:rPr>
          <w:rFonts w:ascii="Times New Roman" w:hAnsi="Times New Roman"/>
          <w:bCs/>
          <w:color w:val="000000" w:themeColor="text1"/>
          <w:sz w:val="16"/>
          <w:szCs w:val="16"/>
        </w:rPr>
        <w:t>Минский радиозавод имени В.М. Молотова N 287 (основан в 1940 г.).</w:t>
      </w:r>
    </w:p>
    <w:p w14:paraId="3B7B6B8C"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Для сравнения отметим, что в Германии в это же самое время в одном только Берлине действовало более 2,5 тыс. предприятий радиотехнической и электровакуумной промышленности с численностью работающих почти 250 тыс. человек (15137).</w:t>
      </w:r>
    </w:p>
    <w:p w14:paraId="08D9ADB5" w14:textId="77777777" w:rsidR="005558EB" w:rsidRPr="00A3026E" w:rsidRDefault="005558EB" w:rsidP="00A3026E">
      <w:pPr>
        <w:spacing w:after="0" w:line="240" w:lineRule="auto"/>
        <w:jc w:val="both"/>
        <w:rPr>
          <w:rFonts w:ascii="Times New Roman" w:hAnsi="Times New Roman"/>
          <w:color w:val="000000" w:themeColor="text1"/>
          <w:sz w:val="16"/>
          <w:szCs w:val="16"/>
        </w:rPr>
      </w:pPr>
    </w:p>
    <w:p w14:paraId="21E9B6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был основан Завод № 502 НКХП. В 1941-50 г. это - Горьковская парфюмерно-косметическая фабрика Минпищепрома (11982).</w:t>
      </w:r>
    </w:p>
    <w:p w14:paraId="1DF9B42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F8185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завод "Красный Волгарь"был переименован в честь бывшего кузнеца Бутякова С.Н. В 1860 г. костромское пароходное общество "Дружина" строит в Казанской губернии, Чебоксарском уезде, Помъяльской волости, на левом берегу реки Волги, против деревни Чекуры при Звениговском затоне судостроительную верфь и ремонтные мастерские для починок и поправки судов, котлов и некоторых частей машины.</w:t>
      </w:r>
    </w:p>
    <w:p w14:paraId="76F9BB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Уже в год основания здесь построили котел для товаропассажирского парохода "Аскольд". В последующем завод занимался ремонтом судов, строительством деревянных барж и котлов для паровых машин.</w:t>
      </w:r>
    </w:p>
    <w:p w14:paraId="6593DD3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1886 году на заводе, по собственному проекту, начинают строить колесные товарные пароходы типа "Жемчужина". С 1890 по 1900 г.г. строятся 10 колесных буксиров "цветочной" серии типа "Фиалка". До революции завод продолжал строить деревянные баржи, товарные пароходы и буксиры.</w:t>
      </w:r>
    </w:p>
    <w:p w14:paraId="7499F88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годы Великой Отечественной войны завод выпускал аэросани, авиабомбы и водолазные боты. На судостроительно- судоремонтный завод им. С.Н. Бутякова были эвакуированы завод им. Сталина из Киева и в 1942 г. - Московский судостроительный завод. Начиная с шестидесятых годов прошлого века предприятие, начинает активно развиваться: строятся новые цеха, слип, дамба; строятся баржи пр. 942, Р137А, 81300; тралботы; брандвахты пр. 283Б, 81120; буксиры-толкачи типа "Волгарь" и пр. 81200. За 142 года своей истории завод построил более 350 судов.</w:t>
      </w:r>
    </w:p>
    <w:p w14:paraId="51DFDDF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Генеральный директор: Медведков Александр Васильевич</w:t>
      </w:r>
    </w:p>
    <w:p w14:paraId="1453D41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Адрес: 425060, Республика Марий Эл, г. Звенигово, ул. Набережная, 30 (9708).</w:t>
      </w:r>
    </w:p>
    <w:p w14:paraId="6EFCD53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48B9A4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строился завод в Йошкар-Ола. После начала войны сюда был эвакуирован ГОИ. После войны ГОИ вернулся в Ленинград. Завод № 297 был перерофилирован под радиолокационное производство.</w:t>
      </w:r>
    </w:p>
    <w:p w14:paraId="2AAAA2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Головной завод по производству С-300В. В 2002 г. входил в Концерн «Антей». По решению правительства № 22-р от 9.01.2004 г. и Указу Президента РФ № 1009 от 4.08.2004 г. ОАО вошло в число стратегических оборонных предприятий.</w:t>
      </w:r>
    </w:p>
    <w:p w14:paraId="6F1AD4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Директор- Ю. Свирин (затем- ген. директор концерна «Антей»).</w:t>
      </w:r>
    </w:p>
    <w:p w14:paraId="7354773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Производство: ЗРК: С-300П, С-300В, С-300ПМ (1990-), «Фаворит», «Оса» (-1988), «Тор», «Круг», «Куб» (1967-83), «Бук».58 </w:t>
      </w:r>
    </w:p>
    <w:p w14:paraId="0A6F8C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Завод № 297 НКВ, ОАО «Марийский машиностроительный завод», «Марийский машиностроитель» </w:t>
      </w:r>
    </w:p>
    <w:p w14:paraId="7466F6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 Йошкар-Ола (10776).</w:t>
      </w:r>
    </w:p>
    <w:p w14:paraId="2D1C242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BA4241E" w14:textId="77777777" w:rsidR="005B62DA" w:rsidRPr="00A3026E" w:rsidRDefault="005B62DA"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 1941 г. в ВЭИ были разработаны и приняты на вооружение на флоте пеленгатор «ОмегаВЭИ», бинокль «Гамма-К» (рис. 4, 5) и аппаратура для совместного плавания кораблей «Огонь» [1, 2]. Эти приборы отличались относительной простотой конструкции и технологичностью для массового производства [3, 5]. С помощью этих приборов решались следующие задачи: замена видимых навигационных и створных огней невидимыми ИК-огнями; обеспечение совместного плавания кораблей при полной светомаскировке; визуальная секретная связь между кораблями и береговыми точками. К началу войны на Черноморском флоте уже имелось 15 ИК-пеленгаторов «Омега-ВЭИ», к ноябрю 1941 г. было поставлено еще 18 (18588).</w:t>
      </w:r>
    </w:p>
    <w:p w14:paraId="530A69F7" w14:textId="77777777" w:rsidR="005B62DA" w:rsidRPr="00A3026E" w:rsidRDefault="005B62DA" w:rsidP="00A3026E">
      <w:pPr>
        <w:spacing w:after="0" w:line="240" w:lineRule="auto"/>
        <w:jc w:val="both"/>
        <w:rPr>
          <w:rFonts w:ascii="Times New Roman" w:hAnsi="Times New Roman"/>
          <w:color w:val="000000" w:themeColor="text1"/>
          <w:sz w:val="16"/>
          <w:szCs w:val="16"/>
        </w:rPr>
      </w:pPr>
    </w:p>
    <w:p w14:paraId="5190051E" w14:textId="77777777" w:rsidR="00B072E6" w:rsidRPr="00A3026E" w:rsidRDefault="00B072E6"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на крейсере «Ворошилов» установили первый действующий корабельный вариант теплопеленгатора, который получил название «Уран». В 1941 году планировалось проведение экспериментальных ночных стрельб по высокоскоростной маневрирующей цели (торпедный катер волнового управления) с использованием как теплопеленгатора, так и осветительных снарядов. Должен был проходить заводские и государственные испытания новый образец «Уран – М», предназначенный для установки на эсминцах (18157).</w:t>
      </w:r>
    </w:p>
    <w:p w14:paraId="1D212851" w14:textId="77777777" w:rsidR="00B072E6" w:rsidRPr="00A3026E" w:rsidRDefault="00B072E6" w:rsidP="00A3026E">
      <w:pPr>
        <w:spacing w:after="0" w:line="240" w:lineRule="auto"/>
        <w:jc w:val="both"/>
        <w:rPr>
          <w:rFonts w:ascii="Times New Roman" w:hAnsi="Times New Roman"/>
          <w:color w:val="000000" w:themeColor="text1"/>
          <w:sz w:val="16"/>
          <w:szCs w:val="16"/>
        </w:rPr>
      </w:pPr>
    </w:p>
    <w:p w14:paraId="1C146BCB"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 1940 г. советские нефтеперерабатывающие заводы произвели 4305,7 тыс. т бензина, в том числе 883,4 тыс. т авиационного топлива, или 20,5 % общего объема. Причем подавляющий объем выпускаемого горючего для авиации составляли авиабензины Б-70, КБ-70, РБ-70, Б-74 с невысоким октановым числом от 70 до 74, потреблявшимися устаревшими типами отечественных самолетов: истребителями И-15, И-153, И-16, а также бомбардировщиками ТБ-1, ТБ-3, ДБ-А. В серийное производство запускались новые боевые самолеты Як-1, Як-3, МиГ-3, ЛаГГ-3, Ил-2, Ил-4, Пе-2, Ер-2, Су-2, мощные двигатели которых требовали высокооктановый бензин. В силу многолетней мазутной ориентации отрасли поставки авиационного горючего с предприятий Наркомата нефтяной промышленности не могли удовлетворить советскую военную авиацию ни в количественном, ни в качественном отношении (11523).</w:t>
      </w:r>
    </w:p>
    <w:p w14:paraId="5677FF58" w14:textId="77777777" w:rsidR="0014077F" w:rsidRPr="00A3026E" w:rsidRDefault="0014077F" w:rsidP="00A3026E">
      <w:pPr>
        <w:pStyle w:val="af2"/>
        <w:jc w:val="both"/>
        <w:rPr>
          <w:i w:val="0"/>
          <w:iCs w:val="0"/>
          <w:color w:val="000000" w:themeColor="text1"/>
          <w:spacing w:val="0"/>
          <w:kern w:val="0"/>
          <w:position w:val="0"/>
          <w:sz w:val="16"/>
          <w:szCs w:val="16"/>
          <w:lang w:val="ru-RU"/>
        </w:rPr>
      </w:pPr>
    </w:p>
    <w:p w14:paraId="548BC070"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По итогам 1940 года производственные параметры трех основных промышленных районов по выпуску металла, а также одного вспомогательного - Северо-Западного (Ленинград), распределились следующим образом:</w:t>
      </w:r>
    </w:p>
    <w:p w14:paraId="106270FE"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Производство чугуна:</w:t>
      </w:r>
    </w:p>
    <w:p w14:paraId="2B956DC2"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Юг - 64,7% (9,6 млн. тонн)</w:t>
      </w:r>
    </w:p>
    <w:p w14:paraId="1EA068C5"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Урал - 28,5% (4,25 млн. тонн)</w:t>
      </w:r>
    </w:p>
    <w:p w14:paraId="0AE01760"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Центр - 6,8% (около 1 млн тонн)</w:t>
      </w:r>
    </w:p>
    <w:p w14:paraId="51ED6E21"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Северо-Запад - 0</w:t>
      </w:r>
    </w:p>
    <w:p w14:paraId="1CA6C0EE"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Выплавка стали:</w:t>
      </w:r>
    </w:p>
    <w:p w14:paraId="4444353D"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Юг - 60,8% (более 11 млн. тонн)</w:t>
      </w:r>
    </w:p>
    <w:p w14:paraId="07BB49A5"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Урал - 28,2% (5,16 млн. тонн)</w:t>
      </w:r>
    </w:p>
    <w:p w14:paraId="3704E24F"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Центр - 8% (1,5 млн. тонн)</w:t>
      </w:r>
    </w:p>
    <w:p w14:paraId="516AC059"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Северо-Запад - 3% (0,59 млн. тонн)</w:t>
      </w:r>
    </w:p>
    <w:p w14:paraId="0761F366"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Производство проката:</w:t>
      </w:r>
    </w:p>
    <w:p w14:paraId="53C33418"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Юг - 57% (7,45 млн. тонн)</w:t>
      </w:r>
    </w:p>
    <w:p w14:paraId="02B264B9"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Урал - 32% (4,2 млн. тонн)</w:t>
      </w:r>
    </w:p>
    <w:p w14:paraId="10CEC52F"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Центр - 7% (0,94 млн. тонн)</w:t>
      </w:r>
    </w:p>
    <w:p w14:paraId="676F437D"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Северо-Запад - 4% (0,51 млн. тонн)</w:t>
      </w:r>
    </w:p>
    <w:p w14:paraId="327CF1B8"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(Промышленность СССР, М., 1957. С. 112-114) (11518).</w:t>
      </w:r>
    </w:p>
    <w:p w14:paraId="7E51FB7A"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Как видно, доля Урала в общем объеме производства серьезно уступала показателям советского Рура. Нельзя сказать, что финансирование было не в пользу восточной металлургии. По данным Наркомтяжпрома, в 1927-1932 годах из общей суммы капвложений в предприятия черной металлургии в "восточные" заводы было вложено 46% всех инвестиций, в южные - 45,6%, а остальные - в заводы Центра. Общая сумма инвестиций составила 2,46 млрд. рублей. По итогам второй пятилетки, в 1932-1937 годах, капитальные вложения распределились следующим образом:</w:t>
      </w:r>
    </w:p>
    <w:p w14:paraId="2A297D25"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Восток - 36,3% (снижение объясняется тем, что основные стройки на Урале были в это время законсервированы)</w:t>
      </w:r>
    </w:p>
    <w:p w14:paraId="14B2B7CE"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Юг - 56,4%</w:t>
      </w:r>
    </w:p>
    <w:p w14:paraId="274218A1"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Центр - 10,5%</w:t>
      </w:r>
    </w:p>
    <w:p w14:paraId="2DB79435"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 xml:space="preserve">Общая сумма инвестиций составила около 6 млрд. рублей. </w:t>
      </w:r>
    </w:p>
    <w:p w14:paraId="76BD862C" w14:textId="77777777" w:rsidR="0014077F" w:rsidRPr="00A3026E" w:rsidRDefault="0014077F" w:rsidP="00A3026E">
      <w:pPr>
        <w:pStyle w:val="af2"/>
        <w:jc w:val="both"/>
        <w:rPr>
          <w:i w:val="0"/>
          <w:iCs w:val="0"/>
          <w:color w:val="000000" w:themeColor="text1"/>
          <w:spacing w:val="0"/>
          <w:kern w:val="0"/>
          <w:position w:val="0"/>
          <w:sz w:val="16"/>
          <w:szCs w:val="16"/>
          <w:lang w:val="ru-RU"/>
        </w:rPr>
      </w:pPr>
      <w:r w:rsidRPr="00A3026E">
        <w:rPr>
          <w:i w:val="0"/>
          <w:iCs w:val="0"/>
          <w:color w:val="000000" w:themeColor="text1"/>
          <w:spacing w:val="0"/>
          <w:kern w:val="0"/>
          <w:position w:val="0"/>
          <w:sz w:val="16"/>
          <w:szCs w:val="16"/>
          <w:lang w:val="ru-RU"/>
        </w:rPr>
        <w:t>РГАЭ. Ф. 7297. Оп. 28. Д. 71. Л. 11 (11518)</w:t>
      </w:r>
    </w:p>
    <w:p w14:paraId="5FD14CC7" w14:textId="77777777" w:rsidR="0014077F" w:rsidRPr="00A3026E" w:rsidRDefault="0014077F" w:rsidP="00A3026E">
      <w:pPr>
        <w:pStyle w:val="af2"/>
        <w:jc w:val="both"/>
        <w:rPr>
          <w:i w:val="0"/>
          <w:iCs w:val="0"/>
          <w:color w:val="000000" w:themeColor="text1"/>
          <w:spacing w:val="0"/>
          <w:kern w:val="0"/>
          <w:position w:val="0"/>
          <w:sz w:val="16"/>
          <w:szCs w:val="16"/>
          <w:lang w:val="ru-RU"/>
        </w:rPr>
      </w:pPr>
    </w:p>
    <w:p w14:paraId="7B7B65CD"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проводились летно-морские испытания мины «Мираб» в районе Феодосии на мысе Чауда. Мины ставились с самолета ДБ-3. Результат испытаний признан отрицательным. При высоте полета самолета 600—800 м, скорости 350 км/ч и площади парашюта 3 кв. м аппаратура НВ мины выходила из строя при приводнении, так как перегрузка при этом составляла около 2000 g, а скорость приводнения — около 100 м/с. Конструктивные доработки мины положительных результатов не дали. Необходимо было уменьшить скорость падения мины, то есть увеличить площадь парашюта. В конце концов «Мираб» была кардинально модернизирована, и получилась почти новая мина «УМ» («Утяжеленная Мираб»). В ней удалось решить проблему снижения скорости падения мины путем увеличения площади парашюта. В новой мине корпус полностью был заполнен тротилом, что позволило увеличить вес ВВ с 64 до 260 кг. Парашют площадью 7,5 кв. м был взят от мины МАВ-1. Он размещался в контейнере, который подвешивался под фюзеляжем самолета позади мины в сторону хвоста самолета. Скорость движения и приводнения составляла около 25 м/с, что обеспечивало работоспособность мины после постановки с самолета. После приводнения и установки на грунт парашют отделялся от мины специальным замком. Летно-экспериментальные испытания мины «УМ» дали положительные результаты, и она была рекомендована к принятию на вооружение. Разработку и испытания мины «УМ» вела группа под руководством А.Б. Гейро параллельно с работами по минам АМГ-1 и АМГ-2. Непосредственно конструкцию мины «УМ» разработали Л.П. Матвеев и В.В. Ильин. Перед началом Великой Отечественной войны на запорожском заводе «Коммунар» велась подготовка производства корпусов мин «УМ», в которой принимал участие инженер ЦКБ-36 В.В. Ильин. С началом войны завод был эвакуирован, и изготовление мин «УМ» прекратилось (15117).</w:t>
      </w:r>
    </w:p>
    <w:p w14:paraId="47FD5ECF" w14:textId="77777777" w:rsidR="005558EB" w:rsidRPr="00A3026E" w:rsidRDefault="005558EB" w:rsidP="00A3026E">
      <w:pPr>
        <w:spacing w:after="0" w:line="240" w:lineRule="auto"/>
        <w:jc w:val="both"/>
        <w:rPr>
          <w:rFonts w:ascii="Times New Roman" w:hAnsi="Times New Roman"/>
          <w:color w:val="000000" w:themeColor="text1"/>
          <w:sz w:val="16"/>
          <w:szCs w:val="16"/>
        </w:rPr>
      </w:pPr>
    </w:p>
    <w:p w14:paraId="5E2B166C" w14:textId="77777777" w:rsidR="005558EB" w:rsidRPr="00A3026E" w:rsidRDefault="005558EB"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почти одновременно с миной АГ была принята на вооружение мина КБ (корабельная большая). После ареста Пятницкого ее доработку и испытания передали главному конструктору П.М. Воронцу. В принятом на вооружение варианте мина КБ была только гальваноударной. Идея Пятницкого создать мину для поражения как надводных кораблей, так и подводных лодок на средних глубинах (мина АС) так и осталась неосуществленной (15117).</w:t>
      </w:r>
    </w:p>
    <w:p w14:paraId="3608044D" w14:textId="77777777" w:rsidR="005558EB" w:rsidRPr="00A3026E" w:rsidRDefault="005558EB" w:rsidP="00A3026E">
      <w:pPr>
        <w:spacing w:after="0" w:line="240" w:lineRule="auto"/>
        <w:jc w:val="both"/>
        <w:rPr>
          <w:rFonts w:ascii="Times New Roman" w:hAnsi="Times New Roman"/>
          <w:color w:val="000000" w:themeColor="text1"/>
          <w:sz w:val="16"/>
          <w:szCs w:val="16"/>
        </w:rPr>
      </w:pPr>
    </w:p>
    <w:p w14:paraId="6C99DA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 1940 г. на заводе (Завод № 189 им. Орджоникидзе НКОП, НКСП, МСП, МТиТМ, «Балтийский литейный, механический и судостроительный завод Карра и Макферсона», «Балтийский литейный, механический и строительный завод в Чекушах», завод «Русско-английского общества», «Русское Балтийское железоделательное, судостроительное и механическое общество», Балтийский Судостроительный и Механический завод, Балтийский завод им. С. Орджоникидзе ВСНХ, НКТП, Ордена Ленина и ордена Трудового Красного Знамени Балтийский завод им. Серго Орджоникидзе МСП, ОАО «Балтийский завод» / г. Ленинград, 26 п/я 821 «Винт» (1938 г.)/ /199106  г. Ленинград, Санкт-Петербург Васильевский о-в, Косая линия, 16 тел. 324-93-70/) действовал «штаб особого назначения», или «Бюро Л», из немецких специалистов, руководивших достройкой на заводе тяжелого крейсера «Лютцов» (пр. 83), заложенного в 1937 г. в Бремене и в 05.1940 г. переведенного в Ленинград (11982).</w:t>
      </w:r>
    </w:p>
    <w:p w14:paraId="655AD3D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687D9F77" w14:textId="77777777" w:rsidR="0014077F" w:rsidRPr="00A3026E" w:rsidRDefault="00DA4AA0" w:rsidP="00A3026E">
      <w:pPr>
        <w:spacing w:after="0" w:line="240" w:lineRule="auto"/>
        <w:jc w:val="both"/>
        <w:rPr>
          <w:rFonts w:ascii="Times New Roman" w:hAnsi="Times New Roman"/>
          <w:i/>
          <w:iCs/>
          <w:color w:val="000000" w:themeColor="text1"/>
          <w:sz w:val="16"/>
          <w:szCs w:val="16"/>
        </w:rPr>
      </w:pPr>
      <w:r w:rsidRPr="00A3026E">
        <w:rPr>
          <w:rFonts w:ascii="Times New Roman" w:hAnsi="Times New Roman"/>
          <w:i/>
          <w:iCs/>
          <w:color w:val="000000" w:themeColor="text1"/>
          <w:sz w:val="16"/>
          <w:szCs w:val="16"/>
        </w:rPr>
        <w:t>Армия:</w:t>
      </w:r>
    </w:p>
    <w:p w14:paraId="365B998F"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731ECA0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 штурмовые авиачасти ВВС КА стали передаваться истребители И-153. Вооружение истребителя-штурмовика И-153 включало 4 ШКАСа, до 150 кг бомб или (4-8)хРС-82.</w:t>
      </w:r>
    </w:p>
    <w:p w14:paraId="7F3A63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Анализ боевых возможностей штурмовых вариантов И-15бис и И-153 показывает, что эти самолеты обладали невысокими противотанковыми свойствами и эффективностью при действии сильнозащищенным целям на поле боя (ДОТ, ДЗОТ и т. д.).</w:t>
      </w:r>
    </w:p>
    <w:p w14:paraId="7E03A0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Калибр авиабомб и их количество на борту не обеспечивало достаточно высокой вероятности поражения таких целей в бою.</w:t>
      </w:r>
    </w:p>
    <w:p w14:paraId="6C3D08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Наиболее действенным средством поражения сильнозащищенных целей противника были реактивные снаряды PC-82 и PC-132, но они обладали большим рассеиванием при стрельбе в воздухе с больших дистанций и относительно небольшими бронепро-бивными свойствами, что также не обеспечивало приемлемые вероятности поражения целей.</w:t>
      </w:r>
    </w:p>
    <w:p w14:paraId="7C8C634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Довольно низкая эффективность истребителей-штурмовиков при действии по сильнозащищенным целям на поле боя не была откровением для советских военных. Недостатки «бисов» и «Чаек» в целом были понятны еще на этапе принятия их на вооружение.</w:t>
      </w:r>
    </w:p>
    <w:p w14:paraId="30CAA7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Низкую эффективность штурмовых вариантов истребителей против долговременных оборонительных сооружений, танков, бронетранспортеров и т. д., особенно в условиях эшелонированной обороны противника, со всей очевидностью показали как боевой опыт гражданской войны в Испании, так и события военного конфликта с Японией на реке Халхин-Гол в мае - августе 39-го (9649).</w:t>
      </w:r>
    </w:p>
    <w:p w14:paraId="697EAB6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B823289" w14:textId="77777777" w:rsidR="0014077F" w:rsidRPr="00A3026E" w:rsidRDefault="0014077F" w:rsidP="00A3026E">
      <w:pPr>
        <w:pStyle w:val="a3"/>
        <w:tabs>
          <w:tab w:val="left" w:pos="11199"/>
        </w:tabs>
        <w:rPr>
          <w:color w:val="000000" w:themeColor="text1"/>
          <w:lang w:val="ru-RU"/>
        </w:rPr>
      </w:pPr>
      <w:r w:rsidRPr="00A3026E">
        <w:rPr>
          <w:color w:val="000000" w:themeColor="text1"/>
          <w:lang w:val="ru-RU"/>
        </w:rPr>
        <w:t>В 1940 г. в штурмовые авиачасти ВВС КА стали передаваться истреби</w:t>
      </w:r>
      <w:r w:rsidRPr="00A3026E">
        <w:rPr>
          <w:color w:val="000000" w:themeColor="text1"/>
          <w:lang w:val="ru-RU"/>
        </w:rPr>
        <w:softHyphen/>
        <w:t>тели И-153. Вооружение истребителя-штурмовика И-153 включало 4 ШКАСа, до 150 кг бомб или (4-8)хРС-82. Анализ боевых возможностей штур</w:t>
      </w:r>
      <w:r w:rsidRPr="00A3026E">
        <w:rPr>
          <w:color w:val="000000" w:themeColor="text1"/>
          <w:lang w:val="ru-RU"/>
        </w:rPr>
        <w:softHyphen/>
        <w:t>мовых вариантов И-15бис и И-153 по</w:t>
      </w:r>
      <w:r w:rsidRPr="00A3026E">
        <w:rPr>
          <w:color w:val="000000" w:themeColor="text1"/>
          <w:lang w:val="ru-RU"/>
        </w:rPr>
        <w:softHyphen/>
        <w:t>казывает, что эти самолеты обладали довольно низкими противотанковыми свойствами и эффективностью при дей</w:t>
      </w:r>
      <w:r w:rsidRPr="00A3026E">
        <w:rPr>
          <w:color w:val="000000" w:themeColor="text1"/>
          <w:lang w:val="ru-RU"/>
        </w:rPr>
        <w:softHyphen/>
        <w:t>ствии по сильнозащищенным целям на поле боя (ДОТ, ДЗОТ и т.д.). Калибр авиабомб и их количество на борту не обеспечивало высокой вероятности по</w:t>
      </w:r>
      <w:r w:rsidRPr="00A3026E">
        <w:rPr>
          <w:color w:val="000000" w:themeColor="text1"/>
          <w:lang w:val="ru-RU"/>
        </w:rPr>
        <w:softHyphen/>
        <w:t>ражения таких целей в бою. Наиболее действенным средством поражения сильнозащищенных целей противника были реактивные снаряды PC-82 и PC-132, но они обладали большим рассеи</w:t>
      </w:r>
      <w:r w:rsidRPr="00A3026E">
        <w:rPr>
          <w:color w:val="000000" w:themeColor="text1"/>
          <w:lang w:val="ru-RU"/>
        </w:rPr>
        <w:softHyphen/>
        <w:t>ванием при стрельбе в воздухе и отно</w:t>
      </w:r>
      <w:r w:rsidRPr="00A3026E">
        <w:rPr>
          <w:color w:val="000000" w:themeColor="text1"/>
          <w:lang w:val="ru-RU"/>
        </w:rPr>
        <w:softHyphen/>
        <w:t>сительно небольшими бронепробивными свойствами, что также не обеспе</w:t>
      </w:r>
      <w:r w:rsidRPr="00A3026E">
        <w:rPr>
          <w:color w:val="000000" w:themeColor="text1"/>
          <w:lang w:val="ru-RU"/>
        </w:rPr>
        <w:softHyphen/>
        <w:t>чивало приемлемые вероятности пора</w:t>
      </w:r>
      <w:r w:rsidRPr="00A3026E">
        <w:rPr>
          <w:color w:val="000000" w:themeColor="text1"/>
          <w:lang w:val="ru-RU"/>
        </w:rPr>
        <w:softHyphen/>
        <w:t>жения целей. Низкая эффектив</w:t>
      </w:r>
      <w:r w:rsidRPr="00A3026E">
        <w:rPr>
          <w:color w:val="000000" w:themeColor="text1"/>
          <w:lang w:val="ru-RU"/>
        </w:rPr>
        <w:softHyphen/>
        <w:t xml:space="preserve">ность истребителей-штурмовиков при действии по сильнозащищенным целям на поле боя не была откровением для советских военных. Недостатки “бисов” и “Чаек” в целом были понятны еще на этапе принятия их на вооружение. Недостаточную </w:t>
      </w:r>
      <w:r w:rsidRPr="00A3026E">
        <w:rPr>
          <w:color w:val="000000" w:themeColor="text1"/>
          <w:lang w:val="ru-RU"/>
        </w:rPr>
        <w:lastRenderedPageBreak/>
        <w:t>эффективность штурмовых вариантов истребителей против долговременных оборонитель</w:t>
      </w:r>
      <w:r w:rsidRPr="00A3026E">
        <w:rPr>
          <w:color w:val="000000" w:themeColor="text1"/>
          <w:lang w:val="ru-RU"/>
        </w:rPr>
        <w:softHyphen/>
        <w:t>ных сооружений, танков, бронетранс</w:t>
      </w:r>
      <w:r w:rsidRPr="00A3026E">
        <w:rPr>
          <w:color w:val="000000" w:themeColor="text1"/>
          <w:lang w:val="ru-RU"/>
        </w:rPr>
        <w:softHyphen/>
        <w:t>портеров и т.д., особенно в условиях эшелонированной обороны противни</w:t>
      </w:r>
      <w:r w:rsidRPr="00A3026E">
        <w:rPr>
          <w:color w:val="000000" w:themeColor="text1"/>
          <w:lang w:val="ru-RU"/>
        </w:rPr>
        <w:softHyphen/>
        <w:t>ка, со всей очевидностью показали как боевой опыт гражданской войны в Ис</w:t>
      </w:r>
      <w:r w:rsidRPr="00A3026E">
        <w:rPr>
          <w:color w:val="000000" w:themeColor="text1"/>
          <w:lang w:val="ru-RU"/>
        </w:rPr>
        <w:softHyphen/>
        <w:t>пании, так и события военного конф</w:t>
      </w:r>
      <w:r w:rsidRPr="00A3026E">
        <w:rPr>
          <w:color w:val="000000" w:themeColor="text1"/>
          <w:lang w:val="ru-RU"/>
        </w:rPr>
        <w:softHyphen/>
        <w:t>ликта с Японией на реке Халхин-Гол в мае-августе 39-го. По подсчетам, груп</w:t>
      </w:r>
      <w:r w:rsidRPr="00A3026E">
        <w:rPr>
          <w:color w:val="000000" w:themeColor="text1"/>
          <w:lang w:val="ru-RU"/>
        </w:rPr>
        <w:softHyphen/>
        <w:t>па из 30 истребителей (типа И-15, И-15бис) при удачном стечении обстоя</w:t>
      </w:r>
      <w:r w:rsidRPr="00A3026E">
        <w:rPr>
          <w:color w:val="000000" w:themeColor="text1"/>
          <w:lang w:val="ru-RU"/>
        </w:rPr>
        <w:softHyphen/>
        <w:t>тельств была в состоянии уничтожить около 50% личного состава пехотного батальона и только на открытой мест</w:t>
      </w:r>
      <w:r w:rsidRPr="00A3026E">
        <w:rPr>
          <w:color w:val="000000" w:themeColor="text1"/>
          <w:lang w:val="ru-RU"/>
        </w:rPr>
        <w:softHyphen/>
        <w:t>ности. Пехота в укрытии или защищенные цели им были “не под силу”...(6269).</w:t>
      </w:r>
    </w:p>
    <w:p w14:paraId="0CD97A61" w14:textId="77777777" w:rsidR="0014077F" w:rsidRPr="00A3026E" w:rsidRDefault="0014077F" w:rsidP="00A3026E">
      <w:pPr>
        <w:pStyle w:val="a3"/>
        <w:tabs>
          <w:tab w:val="left" w:pos="11199"/>
        </w:tabs>
        <w:rPr>
          <w:color w:val="000000" w:themeColor="text1"/>
          <w:lang w:val="ru-RU"/>
        </w:rPr>
      </w:pPr>
    </w:p>
    <w:p w14:paraId="0E388F1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Г.И.Кулик предложил и Я.В.Смушкевич с учетом Финляндии поддержал, что авиационные соединения надо подчинить непосредственно командующим армиями (66,240).</w:t>
      </w:r>
    </w:p>
    <w:p w14:paraId="2AD633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Боевом уставе бомбардировочной авиации 1940 указывалось: "ДБА имеет основным назначением подрыв военно-экономической мощи противника действиями по его глубокому тылу, уничтожение линейных сил ВМФ, прекращение и нарушение ж/д, морских и автомобильных перевозок крупного масштаба. ДБА действует вне тактической и оперативной связи с наземными войсками в интересах ведения войны в целом." (518,243).</w:t>
      </w:r>
    </w:p>
    <w:p w14:paraId="7682C7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Согласно этому уставу, в тех случаях, когда ш авиасоединения привлекались для решения задач на поле боя, их командиры обязаны были находиться на КП общевойскового командира. "В решающие периоды боя и операции командир б соединения с необходимым числом командиров своего штаба д. находиться на командном пункте командира поддерживаемого общевойскового соединения." (518,262).</w:t>
      </w:r>
    </w:p>
    <w:p w14:paraId="12198E3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Примерно такое же положение было и в Боевом уставе истребительной авиации: "При выполнении задачи по обеспечению своих войск над полем боя командир истребительного соединения, как правило, находится на КП одного из общевойсковых соединений, обычно центральном в отношении действий фронтовой авиации. В этом случае он д. установить радиосвязь с истребителями, находящимися в воздухе и иметь проводную и радиосвязь с главным аэродромом и с наблюдателями на КП соседних соединений." (518,262).</w:t>
      </w:r>
    </w:p>
    <w:p w14:paraId="7970A80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При решении истребителями других боевых задач (обеспечение боевых действий б и ш, действий по наземным целям) командиру истребительного соединения рекомендовалось находится в своем КП в районе аэродромного узла, однако, если на задание вылетало большинство полков дивизии, устав требовал чтобы командир находился в боевых порядках частей и вел подчиненных в бой лично (518,262).</w:t>
      </w:r>
    </w:p>
    <w:p w14:paraId="71EAA6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проекте Полевого устава 1940 предполагалось, что штурмовая авиация предназначается для уничтожения живой силы и техники противника на поле боя в тактическом взаимодействии с сухопутными войсками (278,317).</w:t>
      </w:r>
    </w:p>
    <w:p w14:paraId="520ED2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Среди задач, возлагаемых на штурмовую авиацию, были (278,317):</w:t>
      </w:r>
    </w:p>
    <w:p w14:paraId="1DB90C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уничтожение войск противника на поле боя в районах сосредоточения; на подходах при перевозке по железной дороге и автотранспортом;</w:t>
      </w:r>
    </w:p>
    <w:p w14:paraId="5F1A21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уничтожение танковых и моторизированных колонн противника;</w:t>
      </w:r>
    </w:p>
    <w:p w14:paraId="088D573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уничтожение авиации противника на его аэродромах;</w:t>
      </w:r>
    </w:p>
    <w:p w14:paraId="315756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поражение и уничтожение штабов, средств управления, транспортов и складов;</w:t>
      </w:r>
    </w:p>
    <w:p w14:paraId="7E95F3A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разрушение оборонительных сооружений в укрепрайонах;</w:t>
      </w:r>
    </w:p>
    <w:p w14:paraId="59B226C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уничтожение мостов и переправ;</w:t>
      </w:r>
    </w:p>
    <w:p w14:paraId="2286DF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уничтожение железнодорожных станций, путей и эшелонов на них;</w:t>
      </w:r>
    </w:p>
    <w:p w14:paraId="2B368D2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Эти задачи штурмовая авиация должна была выполнять действуя с бреющего полета, с малых и средних высот, широко применяя атаки с пикирования (278,317).</w:t>
      </w:r>
    </w:p>
    <w:p w14:paraId="66D2C7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Кажется, что это с учетом опыта европейской войны</w:t>
      </w:r>
    </w:p>
    <w:p w14:paraId="3F45C0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Тактика ША характеризовалась (278,317):</w:t>
      </w:r>
    </w:p>
    <w:p w14:paraId="71F31D5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стремлением принять максимальное участие в бою сухопутных войск;</w:t>
      </w:r>
    </w:p>
    <w:p w14:paraId="16B957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стремлением внезапно подойти к объектам действий и атаковать их с бреющего полета (с предварительным выскакиванием и с малых высот);</w:t>
      </w:r>
    </w:p>
    <w:p w14:paraId="5F7166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выполнением одного захода и быстрого ухода от цели;</w:t>
      </w:r>
    </w:p>
    <w:p w14:paraId="1C77AF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применением бомб и пулеметного огня.</w:t>
      </w:r>
    </w:p>
    <w:p w14:paraId="36A6B64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Понятно, почему нет пушек.</w:t>
      </w:r>
    </w:p>
    <w:p w14:paraId="34AAAA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Недостатками такой тактики являлись: чрезмерное увлечение бреющим полетом, слабая отработка вопросов борьбы с истребителями и зенитной артиллерией противника; крайне ограниченное по времени воздействие на противника (278,318).</w:t>
      </w:r>
    </w:p>
    <w:p w14:paraId="125967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 это явный перегиб и виноваты в одноместном - военные.</w:t>
      </w:r>
    </w:p>
    <w:p w14:paraId="0AF0DB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Проект Полевого устава 1940 подчеркивал, что борьба за господство в воздухе ведется непрерывно и постоянно. Она организуется в масштабе высшего соединения и проводится его силами и средствами (278,321).</w:t>
      </w:r>
    </w:p>
    <w:p w14:paraId="550F590F"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8D873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1940-й год стал последним, когда в боях участвовали советские летчики. До этого момента в Китае воевали известные истребители А.З.Душин. С.П.Супрун. А.С.Благовещенский. П.К.Козаченко, Г.Н.Захаров, А.А.Губенко, К.К.Коккинаки. В конце 1939 г. между СССР и правительством Чан Кай-ши наметилось серьезное охлаждение отношений. Это выразилось в прекращении военной помощи и отзыве советских добровольцев из Китая в первой половине 1940 г. По неполным данным до этого периода (по май 1940 г.) советские летчики участвовали более чем в 50 крупных воздушных боях, сбили 81 и подбили 114 самолетов, повредили 14 крупных военных кораблей. За 1938- 40 гг. в боях за свободу китайского народа погибли около 100 советских летчиков, а с учетом авиакатастроф их число составило свыше 200 человек (12015). </w:t>
      </w:r>
    </w:p>
    <w:p w14:paraId="32C6B62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C46A9DF"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Механизированный корпус по штату имел в своем составе 135 броне</w:t>
      </w:r>
      <w:r w:rsidRPr="00A3026E">
        <w:rPr>
          <w:rFonts w:ascii="Times New Roman" w:hAnsi="Times New Roman"/>
          <w:color w:val="000000" w:themeColor="text1"/>
          <w:sz w:val="16"/>
          <w:szCs w:val="16"/>
        </w:rPr>
        <w:softHyphen/>
        <w:t>виков БА-10 и 106 БА-20. Они имелись в следующих подраз</w:t>
      </w:r>
      <w:r w:rsidRPr="00A3026E">
        <w:rPr>
          <w:rFonts w:ascii="Times New Roman" w:hAnsi="Times New Roman"/>
          <w:color w:val="000000" w:themeColor="text1"/>
          <w:sz w:val="16"/>
          <w:szCs w:val="16"/>
        </w:rPr>
        <w:softHyphen/>
        <w:t>делениях: отдельный батальон связи корпуса - 5 БА-10 и 5 БА-20 машин; танковая дивизия (в корпусе две) — танковый полк (в дивизии два) 17 БА-10 и 6 БА-20, мотострелковый полк 5 БА-10 и 12 БА-20, разведывательный батальон 12 БА-10 и 6 БА-20, батальон связи 5 БА-10 и 5 БА-20; мотори</w:t>
      </w:r>
      <w:r w:rsidRPr="00A3026E">
        <w:rPr>
          <w:rFonts w:ascii="Times New Roman" w:hAnsi="Times New Roman"/>
          <w:color w:val="000000" w:themeColor="text1"/>
          <w:sz w:val="16"/>
          <w:szCs w:val="16"/>
        </w:rPr>
        <w:softHyphen/>
        <w:t>зованная дивизия —стрелковый полк (в дивизии два) 4 БА-10 и 6 БА-20, танковый полк 9 БА-20, разведывательный бата</w:t>
      </w:r>
      <w:r w:rsidRPr="00A3026E">
        <w:rPr>
          <w:rFonts w:ascii="Times New Roman" w:hAnsi="Times New Roman"/>
          <w:color w:val="000000" w:themeColor="text1"/>
          <w:sz w:val="16"/>
          <w:szCs w:val="16"/>
        </w:rPr>
        <w:softHyphen/>
        <w:t>льон 10 БА-10 и 7 БА-20, рота регулирования 3 БА-20. Пред</w:t>
      </w:r>
      <w:r w:rsidRPr="00A3026E">
        <w:rPr>
          <w:rFonts w:ascii="Times New Roman" w:hAnsi="Times New Roman"/>
          <w:color w:val="000000" w:themeColor="text1"/>
          <w:sz w:val="16"/>
          <w:szCs w:val="16"/>
        </w:rPr>
        <w:softHyphen/>
        <w:t>полагалось, что в мехкорпуса будут поступать БА-10 и БА-20, но фактически могли оказаться машины любых типов (11284).</w:t>
      </w:r>
    </w:p>
    <w:p w14:paraId="0DEF903B"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3A7CCE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были введены генеральские звания, соответствующие современной структуре. При этом комбриги оказались как бы посередине между полковником и генерал-майором. При переаттестации им обычно присваивалось звание "полковник". Именно полковники стали командирами авиационных дивизий, созданных в том же году (11987).</w:t>
      </w:r>
    </w:p>
    <w:p w14:paraId="60FB646E"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748B783"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Жизнь и внутренняя политика:</w:t>
      </w:r>
    </w:p>
    <w:p w14:paraId="2BB4F77B"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5886E9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 первой половине 1941 вышло 800 решений партии и правительства по ВВС (66,207).</w:t>
      </w:r>
    </w:p>
    <w:p w14:paraId="4AC509B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04125E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w:t>
      </w:r>
    </w:p>
    <w:p w14:paraId="4FC387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мука стоила:</w:t>
      </w:r>
    </w:p>
    <w:p w14:paraId="1B38898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1 сорт пшеничная 2.9 руб за кг </w:t>
      </w:r>
    </w:p>
    <w:p w14:paraId="6300FB2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 сорт пшеничная 2.4 руб.</w:t>
      </w:r>
    </w:p>
    <w:p w14:paraId="37AFCB5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Водка 0.5 л 11.5 руб.</w:t>
      </w:r>
    </w:p>
    <w:p w14:paraId="6E1920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Говядина 1 сорта в 40-м году стоила 10 руб </w:t>
      </w:r>
    </w:p>
    <w:p w14:paraId="550B27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Свинина 1 сорта 14 руб.</w:t>
      </w:r>
    </w:p>
    <w:p w14:paraId="27E5A6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Колбаса вареная 13,5 руб</w:t>
      </w:r>
    </w:p>
    <w:p w14:paraId="301FADB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Колбаса копченая "Краковская" 20 руб.</w:t>
      </w:r>
    </w:p>
    <w:p w14:paraId="4A5733E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Сосиски русские 12.6 руб.</w:t>
      </w:r>
    </w:p>
    <w:p w14:paraId="0E6EB4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Судак мороженный 3.8 руб</w:t>
      </w:r>
    </w:p>
    <w:p w14:paraId="481B09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Сельдь "Мурманская" 4.5 руб</w:t>
      </w:r>
    </w:p>
    <w:p w14:paraId="50538B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Масло сливочное 17,5 руб</w:t>
      </w:r>
    </w:p>
    <w:p w14:paraId="300C8D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Молоко 2 руб за литр</w:t>
      </w:r>
    </w:p>
    <w:p w14:paraId="6C93FF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Сыр "советский" 25 руб</w:t>
      </w:r>
    </w:p>
    <w:p w14:paraId="04CC51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Яйца 1 сорт 6.5 руб за 10 шт.</w:t>
      </w:r>
    </w:p>
    <w:p w14:paraId="2D70B0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Сахар 4.1 руб</w:t>
      </w:r>
    </w:p>
    <w:p w14:paraId="573C1E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Чай грузинский байховый 80 руб</w:t>
      </w:r>
    </w:p>
    <w:p w14:paraId="385B1B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Цна на пальто в 40-м году была 367 руб нормированное и коммерческое 660 руб. .ботинки мужск. хромовые 90 руб и 238 руб соответсенно. Галоши 13,8 руб. и 30 руб. (11150).</w:t>
      </w:r>
    </w:p>
    <w:p w14:paraId="1A48E06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78D49CB6"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Внешняя политика:</w:t>
      </w:r>
    </w:p>
    <w:p w14:paraId="0F8CEA28"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2BFFB3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За 1940 год Германия получила из нашей страны 657 тыс. тонн нефтепродуктов, в то время как добыча нефти в СССР в том году составила 31,1 млн тонн. Зерна в Германию в 1940 году было поставлено чуть меньше 1 млн тонн, а заготовлено 95,6 млн тонн.</w:t>
      </w:r>
    </w:p>
    <w:p w14:paraId="0B9E02EB" w14:textId="77777777" w:rsidR="0014077F" w:rsidRPr="00A3026E" w:rsidRDefault="0014077F"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color w:val="000000" w:themeColor="text1"/>
          <w:sz w:val="16"/>
          <w:szCs w:val="16"/>
        </w:rPr>
        <w:t xml:space="preserve">Разумеется, выгоды от торговли получали обе стороны. Как пишет современный западный историк Х. П. фон Штрандман: </w:t>
      </w:r>
      <w:r w:rsidRPr="00A3026E">
        <w:rPr>
          <w:rFonts w:ascii="Times New Roman" w:hAnsi="Times New Roman"/>
          <w:iCs/>
          <w:color w:val="000000" w:themeColor="text1"/>
          <w:sz w:val="16"/>
          <w:szCs w:val="16"/>
        </w:rPr>
        <w:t>«Парадокс ситуации заключался в том, что в конечном счёте обе стороны оснащали друг друга для борьбы друг против друга».</w:t>
      </w:r>
    </w:p>
    <w:p w14:paraId="47E2B4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Однако, в 1940 поставки из СССР составляли всего лишь 7,6% общей суммы германского импорта, а поставки в СССР — 4,5% германского экспорта, в следующем году — соответственно 6,3% и 6,6%. В импорте Германии СССР занимал 5-е место (после Италии, Дании, Румынии и Голландии).</w:t>
      </w:r>
    </w:p>
    <w:p w14:paraId="5F420E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Полученное сырьё немцы быстро израсходовали, в том числе и на выполнение советских заказов. К тому же не все наши товары оказались полезными для повышения боеспособности вермахта. Например, пушнина, которую СССР поставил на сумму 10 млн марок.</w:t>
      </w:r>
    </w:p>
    <w:p w14:paraId="043FB4D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Взамен Советский Союз получил новейшую технику, оборудование и технологии. Естественно, в Германии рассчитывали, что война против нашей страны будет молниеносной и СССР просто не успеет ими воспользоваться. Как пишет Шахурин:</w:t>
      </w:r>
    </w:p>
    <w:p w14:paraId="1B0A073C" w14:textId="77777777" w:rsidR="0014077F" w:rsidRPr="00A3026E" w:rsidRDefault="0014077F"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«Зная, что война с нами не за горами, фашистское руководство, видимо, считало, что мы уже ничего не успеем сделать. Во всяком случае, подобное тому, что у них есть».</w:t>
      </w:r>
    </w:p>
    <w:p w14:paraId="6AC43BD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Сходного мнения придерживается и фон Штрандман: </w:t>
      </w:r>
    </w:p>
    <w:p w14:paraId="0537DBE2" w14:textId="77777777" w:rsidR="0014077F" w:rsidRPr="00A3026E" w:rsidRDefault="0014077F" w:rsidP="00A3026E">
      <w:pPr>
        <w:pStyle w:val="Blockquote"/>
        <w:spacing w:before="0" w:after="0"/>
        <w:ind w:left="0" w:right="0"/>
        <w:jc w:val="both"/>
        <w:rPr>
          <w:color w:val="000000" w:themeColor="text1"/>
          <w:sz w:val="16"/>
          <w:szCs w:val="16"/>
          <w:lang w:val="ru-RU"/>
        </w:rPr>
      </w:pPr>
      <w:r w:rsidRPr="00A3026E">
        <w:rPr>
          <w:color w:val="000000" w:themeColor="text1"/>
          <w:sz w:val="16"/>
          <w:szCs w:val="16"/>
          <w:lang w:val="ru-RU"/>
        </w:rPr>
        <w:t>«Для Гитлера, по-видимому, решающими оказались стратегические доводы. В противном случае трудно было бы понять, почему он согласился снабжать Советский Союз самой последней военной технологией, зная, что он собирается напасть на него в не очень далёком будущем. И, кроме того, у него было довольно низкое мнение о технических возможностях России — предубеждение, подтверждённое во время войны с Финляндией. Он также допускал, что произойдёт некоторая задержка, прежде чем Россия сможет использовать технологическое преимущество от получения немецкого оружия» (11208).</w:t>
      </w:r>
    </w:p>
    <w:p w14:paraId="4AFB127E" w14:textId="77777777" w:rsidR="0014077F" w:rsidRPr="00A3026E" w:rsidRDefault="0014077F" w:rsidP="00A3026E">
      <w:pPr>
        <w:pStyle w:val="Blockquote"/>
        <w:spacing w:before="0" w:after="0"/>
        <w:ind w:left="0" w:right="0"/>
        <w:jc w:val="both"/>
        <w:rPr>
          <w:color w:val="000000" w:themeColor="text1"/>
          <w:sz w:val="16"/>
          <w:szCs w:val="16"/>
          <w:lang w:val="ru-RU"/>
        </w:rPr>
      </w:pPr>
    </w:p>
    <w:p w14:paraId="1D0137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Робинсон и его сеть были полностью переориентированы Центром на работу против Германии. Ему ставилась задача установить, в какой мере и как эта страна использует Францию и ее промышленность, сырьевые и людские ресурсы. Кроме того, ему необходимо было заняться вербовкой французов, подлежащих отправке в Германию на заводы (Очерки истории российской внешней разведки: В 6 т. Т. 1: От древнейших времен до 1917 года. — М.: Международные отношения, 1995. — 240 с.) (11765).</w:t>
      </w:r>
    </w:p>
    <w:p w14:paraId="52C4A1A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C79985F"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За рубежом:</w:t>
      </w:r>
    </w:p>
    <w:p w14:paraId="3FD74A28"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4144AB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году число зарубежных заказчиков авиатехники Германии сократилось вдвое – до 11 стран, включая СССР, а объем заказов вырос до 1104 машин. При рассмотрении ассортимента заказов обращает на себя внимание тот факт, что процент боевых машин составлял около трети от их общего объема, включая 131 Мессершмитт – 109, 128 Юнкерс-87, 60 Дорнье-17, 40 Хе-111, 23 Ю-88, 5 Мессершмитт – 110. В первую пятерку заказчиков, на которых приходилось 77% предполагаемого экспорта (каждый из них заказал более 100 самолетов), входили Югославия, Швеция, Венгрия, Испания и Италия. На первом месте находилась Югославия, однако львиную долю ее заказов – 250 самолетов из 390 – составляли учебные самолеты «Бюккер». Та же самая ситуация была и со вторым крупным заказчиком – Швецией: из 131 заказанного самолета 100 составляли учебные машины «Клемм». Кризис с производством и потери люфтваффе в 1940 году привели к тому, что заказ Югославии был выполнен не полностью, а Венгрия и Испания практически не получили в том году боевых германских самолетов. Даже Италия – главный союзник Германии в Европе – получила до конца 1940 года лишь 58 пикировщиков Юнкерс-87 из 100 заказанных (Подсчитано по: Vajda F. A., Dancey P. German Aircraft Industry and Production 1933 – 1945.). Таким образом, Германия не смогла обеспечить плановую поставку заказчикам основных типов запрошенных боевых машин общим объемом около 380 единиц: немногим более 120 двухмоторных бомбардировщиков, около 130 одномоторных истребителей и такого же числа одномоторных пикирующих бомбардировщиков. Этот факт говорит о серьезных проблемах авиапрома Германии, который оказался не в состоянии обеспечить этими самолетами даже собственные ВВС, не говоря уже о снабжении союзников и дружественных стран (11672).</w:t>
      </w:r>
    </w:p>
    <w:p w14:paraId="027859AA"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E148800"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 1940 г. на вооружение ВВС Германии были приняты бронебойные авиабомбы серии РС калибром 500–1800 кг, на которых устанавливались ракетные ускорители, и предназначались для поражения боевых кораблей. Однако бомба, сброшенная с высоты 1 км, не успевала набрать скорость, достаточную для пробивания мощных броневых палуб (толщиной 180–200 мм) линкоров и тяжелых крейсеров. Бомбометание с больших высот резко снижало вероятность попадания бомбы в малоразмерную подвижную цель. Ракетный двигатель бомбы разгонял ее до скорости 160 м/с. Применение таких, практически одинаковых по конструкции, бомб РС 500RS Pauline, PC 1000RS Pol и PC 1800RS Panther в Средиземном море дало неплохие результаты (Ненахов Ю.Ю. Чудо-оружие Третьего рейха. Минск: ХАРВЕСТ, 1999.) (11686).</w:t>
      </w:r>
    </w:p>
    <w:p w14:paraId="54B25F83" w14:textId="77777777" w:rsidR="0014077F" w:rsidRPr="00A3026E" w:rsidRDefault="0014077F" w:rsidP="00A3026E">
      <w:pPr>
        <w:pStyle w:val="a8"/>
        <w:widowControl/>
        <w:jc w:val="both"/>
        <w:rPr>
          <w:rFonts w:ascii="Times New Roman" w:hAnsi="Times New Roman" w:cs="Times New Roman"/>
          <w:color w:val="000000" w:themeColor="text1"/>
        </w:rPr>
      </w:pPr>
    </w:p>
    <w:p w14:paraId="5A070A91"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 1940 г. фирмой «Блом унд Фосс» был предложен проект управляемой авиационной торпеды, которая имела автономное наведение на начальном участке траектории и дистанционное инфракрасное – на конечном участке траектории. Воздушная торпеда (хотя проект проходил под условным наименованием BV.143, не следует путать с более поздними разработками BV.143 А1 и BV.143 А2) имела размах крыльев 3,1 м, длину и диаметр фюзеляжа соответственно 5,98 м и 0,5 м, а также вертикальное и горизонтальное хвостовое оперение.</w:t>
      </w:r>
    </w:p>
    <w:p w14:paraId="5B2D3EAE"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Особенностью конструкции была система автоматического поддержания высоты. Оператор тщательно прицеливался и сбрасывал ракету-торпеду. После сброса с самолета ракета снижалась до трех метров от поверхности моря. Выпускался складной щуп и входил в соприкосновение с водой. Это инициировало магнитные вентили управления рулями высоты, которые поднимали ракету на высоту 12 м. В автоматически поддерживаемом горизонтальном полете включалась система наведения Hamburg, основанная на следовании ракеты-торпеды по инфракрасному излучению. Движение к цели осуществлялось по неизменному курсовому углу. Испытания показали, что бесперебойная работа систем BV.143 наблюдалась только в ясную погоду при спокойном море.</w:t>
      </w:r>
    </w:p>
    <w:p w14:paraId="71CA8987"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Всего было изготовлено около 250 экземпляров BV.143 более позднего проекта в двух модификациях (А1 и А2). Третий вариант В, как развитие двух первых, был лишь испытан в аэродинамической трубе. Сохранились фильмы, зафиксировавшие испытания ракетторпед в Пенемюнде-Цинновиц (начало 1941 г.) и в Радоме (сентябрь 1942 г.). Результаты испытаний из-за ненадежности складного щупа оказались неудовлетворительными. Решение проблемы требовало сложных и длительных работ. Поэтому было принято решение о закрытии проекта (Ненахов Ю.Ю. Чудо-оружие Третьего рейха. Минск: ХАРВЕСТ, 1999.).</w:t>
      </w:r>
    </w:p>
    <w:p w14:paraId="020AE49A"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Затем сотрудники «Блом унд Фосс» создали и самонаводящуюся воздушную торпеду LT10 (Lufttorpedo). Был построен опытный образец (L10). Он представлял собой двухступенчатую планирующую торпеду с автономным управлением. При подлете на заданное расстояние от цели на воду сбрасывалась вторая ступень – стандартная 457-мм авиационная торпеда LT1. Сброс торпеды осуществлялся на расстоянии 8–9 км от цели. Под армейским обозначением LT950 Friedensengel («Ангел мира») воздушную торпеду в конце войны готовили к принятию на вооружение.</w:t>
      </w:r>
    </w:p>
    <w:p w14:paraId="76F0926D"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 качестве носителя предполагалось использовать некоторые типы торпедоносцев, включая и Fw190A5/U15.</w:t>
      </w:r>
    </w:p>
    <w:p w14:paraId="062E5F6E"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Планирующая торпеда L10 не имела двигателя и наводилась на цель по трем осям координат. После сброса с самолета-носителя с помощью детонатора замедленного действия отстреливался небольшой воздушный змей на 25-метровом кабеле, который при соприкосновении с поверхностью воды сенсорными средствами подавал команду на отделение торпеды от планера.</w:t>
      </w:r>
    </w:p>
    <w:p w14:paraId="3C0FC4DF"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Планирующая торпеда L11 Шнеевитхен была усовершенствованным вариантом планирующей торпеды L10. Она сбрасывалась при скорости носителя 500 км/ч и с помощью парашюта тормозилась до скорости погружения (11686).</w:t>
      </w:r>
    </w:p>
    <w:p w14:paraId="4400648C" w14:textId="77777777" w:rsidR="0014077F" w:rsidRPr="00A3026E" w:rsidRDefault="0014077F" w:rsidP="00A3026E">
      <w:pPr>
        <w:pStyle w:val="a8"/>
        <w:widowControl/>
        <w:jc w:val="both"/>
        <w:rPr>
          <w:rFonts w:ascii="Times New Roman" w:hAnsi="Times New Roman" w:cs="Times New Roman"/>
          <w:color w:val="000000" w:themeColor="text1"/>
        </w:rPr>
      </w:pPr>
    </w:p>
    <w:p w14:paraId="5E1E17EA"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С 1940 г. на фирме «Henschel» над управляемой авиабомбой Hs293, оснащенной жидкостным ракетным двигателем Waiter HWK109507, стал работать профессор Х. Вагнер. Уже в конце 1940 г. управляемая авиабомба (Ненахов Ю.Ю. Чудо-оружие Третьего рейха. Минск: ХАРВЕСТ, 1999.) (в других источниках (Новичков Н.Н. Развитие крылатых ракет самолетных схем. Диссертация кандидата технических наук. М.: Институт истории естествознания и техники, 1982.) она называлась авиационной крылатой ракетой) была подготовлена к испытаниям. Доводка конструкции продолжалась до лета 1943 г.</w:t>
      </w:r>
    </w:p>
    <w:p w14:paraId="438849AB"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После этого Hs293 была принята на вооружение. Впоследствии было разработано несколько вариантов Hs293, различающихся как конструктивно, так и линейными размерами. Диаметр корпуса при этом оставался неизменным – 0,47 м.</w:t>
      </w:r>
    </w:p>
    <w:p w14:paraId="5E7F00E8"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Эта тяжелая крылатая ракета сбрасывалась с самолета и наводилась на цель с помощью радиокоманд при оптическом контроле траектории оператором с борта носителя. В передней части крылатой ракеты, имевшей самолетную схему, размещалась боевая часть с контактным взрывателем, в средней части – металлическое трапециевидное крыло с трубчатым лонжероном и двумя элеронами, в хвостовой – приборный отсек, рули высоты и направления, а также антенна командной системы телеуправления. Для облегчения наблюдения за ракетой в полете применялось пять трассеров, горевших в течение 110 секунд. Ракетный двигатель, разгонявший аппарат до скорости 230–250 м/с, включался в начальной фазе траектории и работал 10 секунд. Двигатель и топливные баки устанавливались в подфюзеляжной гондоле.</w:t>
      </w:r>
    </w:p>
    <w:p w14:paraId="4952B1AD"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lastRenderedPageBreak/>
        <w:t>Поскольку радиоуправление подвергалось воздействию помех в эфире, был разработан вариант с наведением по проводам. Провода разматывались с катушек, установленных на плоскостях.</w:t>
      </w:r>
    </w:p>
    <w:p w14:paraId="04771B2F"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Предусматривалось использование телевизионного контроля на конечном участке траектории.</w:t>
      </w:r>
    </w:p>
    <w:p w14:paraId="685A8BAD"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Немецкими инженерами отмечалось, что это крылатое средство поражения только за счет увеличения высоты пуска и планирующего полета могло достичь требуемой дальности. Однако с целью повышения собственной скорости бомбы и уменьшения вероятности ее перехвата средствами ПВО в состав конструкции был включен двигатель.</w:t>
      </w:r>
    </w:p>
    <w:p w14:paraId="74AD4F20"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Планирующая радиоуправляемая бомба Hs293 имела под корпусом ракетный двигатель «Вальтер 109-507». Время работы двигателя составляло 10 секунд.</w:t>
      </w:r>
    </w:p>
    <w:p w14:paraId="37C17251"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Принцип боевого применения КР Henschel Hs293А основывался на сбросе с самолета-носителя вне зоны ПВО на высоте 300–6000 м и удалении до 4–16 км. Несмотря на ряд технических дефектов, система оружия оказалась сравнительно удачной. Вероятность попадания (20–50%) в большой степени зависела от выучки экипажа самолета-носителя и возможного обрыва проводов. На вероятность попадания влияли и метеорологические условия в районе расположения объекта поражения. Самолет-носитель часто сбивали, так как экипаж, занятый наведением, не мог маневрировать на боевом курсе. За такими самолетами была организована настоящая охота союзной (в том числе и авианосной) авиации.</w:t>
      </w:r>
    </w:p>
    <w:p w14:paraId="134B524A"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Носителем КР Henschel Hs293А после проведенных расчетов был избран новейший образец дальнего бомбардировщика люфтваффе He177 Greif («Гриф»), который изначально проектировался как носитель FX 1400 и высотных торпед LT50. В 1943–1945 гг. в связи с ненадежностью He177 Greif основная нагрузка в боевом применении этих КР в Северной Атлантике легла на самолетыносители Fw200C6 Condor, Ju290A7 и Do217E5.</w:t>
      </w:r>
    </w:p>
    <w:p w14:paraId="4BA09196"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Носители КР Henschel Hs293А были сконцентрированы в авиагруппах 40-й бомбардировочной эскадры, которая базировалась на юго-западном побережье Франции в Бордо. Эскадра действовала совместно с подводными лодками в Бискайском заливе.</w:t>
      </w:r>
    </w:p>
    <w:p w14:paraId="69FE03E0"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После резкого усиления ПВО англо-американских конвоев данная система оружия понесла большие потери и была перенацелена для выполнения других задач. Более легкие и маневренные носители Do217E5 стали применяться в 1943 г. Они использовались для ударов по наземным точечным целям.</w:t>
      </w:r>
    </w:p>
    <w:p w14:paraId="50E7A727"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Боевое применение КР Henschel Hs293А показало, что при большой дальности и высоте полета самолетная схема имеет преимущества перед схемой с крестообразным крылом за счет меньшей площади и массы несущих поверхностей, меньшего лобового сопротивления, потребного запаса топлива и стартовой массы.</w:t>
      </w:r>
    </w:p>
    <w:p w14:paraId="620469E5" w14:textId="77777777" w:rsidR="0014077F" w:rsidRPr="00A3026E" w:rsidRDefault="0014077F" w:rsidP="00A3026E">
      <w:pPr>
        <w:pStyle w:val="a8"/>
        <w:widowControl/>
        <w:jc w:val="both"/>
        <w:rPr>
          <w:rFonts w:ascii="Times New Roman" w:hAnsi="Times New Roman" w:cs="Times New Roman"/>
          <w:color w:val="000000" w:themeColor="text1"/>
        </w:rPr>
      </w:pPr>
      <w:r w:rsidRPr="00A3026E">
        <w:rPr>
          <w:rFonts w:ascii="Times New Roman" w:hAnsi="Times New Roman" w:cs="Times New Roman"/>
          <w:color w:val="000000" w:themeColor="text1"/>
        </w:rPr>
        <w:t>В то же время даже при координированном развороте маневренность самолетной схемы была недостаточна для наведения на быстродвижущиеся цели (Новичков Н.Н. Развитие крылатых ракет самолетных схем. Диссертация кандидата технических наук. М.: Институт истории естествознания и техники, 1982.). Кроме того, условие выполнения маневра на конечном участке траектории ограничивалось необходимостью уменьшения высоты полета КР и снижением скорости полета после окончания работы двигателя (11686).</w:t>
      </w:r>
    </w:p>
    <w:p w14:paraId="5E5F5127" w14:textId="77777777" w:rsidR="0014077F" w:rsidRPr="00A3026E" w:rsidRDefault="0014077F" w:rsidP="00A3026E">
      <w:pPr>
        <w:pStyle w:val="a8"/>
        <w:widowControl/>
        <w:jc w:val="both"/>
        <w:rPr>
          <w:rFonts w:ascii="Times New Roman" w:hAnsi="Times New Roman" w:cs="Times New Roman"/>
          <w:color w:val="000000" w:themeColor="text1"/>
        </w:rPr>
      </w:pPr>
    </w:p>
    <w:p w14:paraId="09B932A4"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в Румынии Германия создала специальное общество «Континенталь ойль» и полностью подчинила себе ее нефтедобывающую промышленность. В 1939 г. Германия вывезла из Румынии 796 тыс. т нефти и нефтепродуктов, в 1941 г. — уже 2 360 900 т</w:t>
      </w:r>
      <w:bookmarkStart w:id="61" w:name="footnote35"/>
      <w:bookmarkEnd w:id="61"/>
      <w:r w:rsidR="00CB3A4D" w:rsidRPr="00A3026E">
        <w:rPr>
          <w:rFonts w:ascii="Times New Roman" w:hAnsi="Times New Roman"/>
          <w:color w:val="000000" w:themeColor="text1"/>
          <w:sz w:val="16"/>
          <w:szCs w:val="16"/>
        </w:rPr>
        <w:fldChar w:fldCharType="begin"/>
      </w:r>
      <w:r w:rsidRPr="00A3026E">
        <w:rPr>
          <w:rFonts w:ascii="Times New Roman" w:hAnsi="Times New Roman"/>
          <w:color w:val="000000" w:themeColor="text1"/>
          <w:sz w:val="16"/>
          <w:szCs w:val="16"/>
        </w:rPr>
        <w:instrText xml:space="preserve"> HYPERLINK "http://www.katyn-books.ru/library/fashistskaya-germaniya-vo-vtoroy-mirovoy-voyne17.html" \l "bookmark35" </w:instrText>
      </w:r>
      <w:r w:rsidR="00CB3A4D" w:rsidRPr="00A3026E">
        <w:rPr>
          <w:rFonts w:ascii="Times New Roman" w:hAnsi="Times New Roman"/>
          <w:color w:val="000000" w:themeColor="text1"/>
          <w:sz w:val="16"/>
          <w:szCs w:val="16"/>
        </w:rPr>
        <w:fldChar w:fldCharType="separate"/>
      </w:r>
      <w:r w:rsidRPr="00A3026E">
        <w:rPr>
          <w:rStyle w:val="a5"/>
          <w:rFonts w:ascii="Times New Roman" w:hAnsi="Times New Roman"/>
          <w:color w:val="000000" w:themeColor="text1"/>
          <w:sz w:val="16"/>
          <w:szCs w:val="16"/>
        </w:rPr>
        <w:t>35</w:t>
      </w:r>
      <w:r w:rsidR="00CB3A4D" w:rsidRPr="00A3026E">
        <w:rPr>
          <w:rFonts w:ascii="Times New Roman" w:hAnsi="Times New Roman"/>
          <w:color w:val="000000" w:themeColor="text1"/>
          <w:sz w:val="16"/>
          <w:szCs w:val="16"/>
        </w:rPr>
        <w:fldChar w:fldCharType="end"/>
      </w:r>
      <w:r w:rsidRPr="00A3026E">
        <w:rPr>
          <w:rFonts w:ascii="Times New Roman" w:hAnsi="Times New Roman"/>
          <w:color w:val="000000" w:themeColor="text1"/>
          <w:sz w:val="16"/>
          <w:szCs w:val="16"/>
        </w:rPr>
        <w:t>. Она подчинила себе также металлургическую и военную промышленность Румынии. Согласно подписанному 4 декабря 1940 г. германо-румынскому торговому договору, Румыния фактически становилась в экономическом отношении провинцией Германии</w:t>
      </w:r>
      <w:bookmarkStart w:id="62" w:name="footnote36"/>
      <w:bookmarkEnd w:id="62"/>
      <w:r w:rsidR="00CB3A4D" w:rsidRPr="00A3026E">
        <w:rPr>
          <w:rFonts w:ascii="Times New Roman" w:hAnsi="Times New Roman"/>
          <w:color w:val="000000" w:themeColor="text1"/>
          <w:sz w:val="16"/>
          <w:szCs w:val="16"/>
        </w:rPr>
        <w:fldChar w:fldCharType="begin"/>
      </w:r>
      <w:r w:rsidRPr="00A3026E">
        <w:rPr>
          <w:rFonts w:ascii="Times New Roman" w:hAnsi="Times New Roman"/>
          <w:color w:val="000000" w:themeColor="text1"/>
          <w:sz w:val="16"/>
          <w:szCs w:val="16"/>
        </w:rPr>
        <w:instrText xml:space="preserve"> HYPERLINK "http://www.katyn-books.ru/library/fashistskaya-germaniya-vo-vtoroy-mirovoy-voyne17.html" \l "bookmark36" </w:instrText>
      </w:r>
      <w:r w:rsidR="00CB3A4D" w:rsidRPr="00A3026E">
        <w:rPr>
          <w:rFonts w:ascii="Times New Roman" w:hAnsi="Times New Roman"/>
          <w:color w:val="000000" w:themeColor="text1"/>
          <w:sz w:val="16"/>
          <w:szCs w:val="16"/>
        </w:rPr>
        <w:fldChar w:fldCharType="separate"/>
      </w:r>
      <w:r w:rsidRPr="00A3026E">
        <w:rPr>
          <w:rStyle w:val="a5"/>
          <w:rFonts w:ascii="Times New Roman" w:hAnsi="Times New Roman"/>
          <w:color w:val="000000" w:themeColor="text1"/>
          <w:sz w:val="16"/>
          <w:szCs w:val="16"/>
        </w:rPr>
        <w:t>36</w:t>
      </w:r>
      <w:r w:rsidR="00CB3A4D" w:rsidRPr="00A3026E">
        <w:rPr>
          <w:rFonts w:ascii="Times New Roman" w:hAnsi="Times New Roman"/>
          <w:color w:val="000000" w:themeColor="text1"/>
          <w:sz w:val="16"/>
          <w:szCs w:val="16"/>
        </w:rPr>
        <w:fldChar w:fldCharType="end"/>
      </w:r>
      <w:r w:rsidRPr="00A3026E">
        <w:rPr>
          <w:rFonts w:ascii="Times New Roman" w:hAnsi="Times New Roman"/>
          <w:color w:val="000000" w:themeColor="text1"/>
          <w:sz w:val="16"/>
          <w:szCs w:val="16"/>
        </w:rPr>
        <w:t>. Крупнейшие румынские металлургические концерны «Решица» и «Малакса», объединявшие металлургические, вагоностроительные и паровозостроительные заводы, угольные шахты и заводы по производству артиллерийских орудий, были поставлены под контроль концерна «Г. Геринг». Румыния поставляла Германии зерно, скот, масличные и технические культуры, лесоматериалы</w:t>
      </w:r>
      <w:bookmarkStart w:id="63" w:name="footnote37"/>
      <w:bookmarkEnd w:id="63"/>
      <w:r w:rsidR="00CB3A4D" w:rsidRPr="00A3026E">
        <w:rPr>
          <w:rFonts w:ascii="Times New Roman" w:hAnsi="Times New Roman"/>
          <w:color w:val="000000" w:themeColor="text1"/>
          <w:sz w:val="16"/>
          <w:szCs w:val="16"/>
        </w:rPr>
        <w:fldChar w:fldCharType="begin"/>
      </w:r>
      <w:r w:rsidRPr="00A3026E">
        <w:rPr>
          <w:rFonts w:ascii="Times New Roman" w:hAnsi="Times New Roman"/>
          <w:color w:val="000000" w:themeColor="text1"/>
          <w:sz w:val="16"/>
          <w:szCs w:val="16"/>
        </w:rPr>
        <w:instrText xml:space="preserve"> HYPERLINK "http://www.katyn-books.ru/library/fashistskaya-germaniya-vo-vtoroy-mirovoy-voyne17.html" \l "bookmark37" </w:instrText>
      </w:r>
      <w:r w:rsidR="00CB3A4D" w:rsidRPr="00A3026E">
        <w:rPr>
          <w:rFonts w:ascii="Times New Roman" w:hAnsi="Times New Roman"/>
          <w:color w:val="000000" w:themeColor="text1"/>
          <w:sz w:val="16"/>
          <w:szCs w:val="16"/>
        </w:rPr>
        <w:fldChar w:fldCharType="separate"/>
      </w:r>
      <w:r w:rsidRPr="00A3026E">
        <w:rPr>
          <w:rStyle w:val="a5"/>
          <w:rFonts w:ascii="Times New Roman" w:hAnsi="Times New Roman"/>
          <w:color w:val="000000" w:themeColor="text1"/>
          <w:sz w:val="16"/>
          <w:szCs w:val="16"/>
        </w:rPr>
        <w:t>37</w:t>
      </w:r>
      <w:r w:rsidR="00CB3A4D" w:rsidRPr="00A3026E">
        <w:rPr>
          <w:rFonts w:ascii="Times New Roman" w:hAnsi="Times New Roman"/>
          <w:color w:val="000000" w:themeColor="text1"/>
          <w:sz w:val="16"/>
          <w:szCs w:val="16"/>
        </w:rPr>
        <w:fldChar w:fldCharType="end"/>
      </w:r>
      <w:r w:rsidRPr="00A3026E">
        <w:rPr>
          <w:rFonts w:ascii="Times New Roman" w:hAnsi="Times New Roman"/>
          <w:color w:val="000000" w:themeColor="text1"/>
          <w:sz w:val="16"/>
          <w:szCs w:val="16"/>
        </w:rPr>
        <w:t>.</w:t>
      </w:r>
    </w:p>
    <w:p w14:paraId="20D87F84" w14:textId="77777777" w:rsidR="00F45F7F" w:rsidRPr="00A3026E" w:rsidRDefault="00F45F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 марта 1941 г. верховное главнокомандование Германии издало приказ «Об обороне румынского нефтеносного района», в котором говорилось, что этот район является «жизненно важным для ведения войны Германией»</w:t>
      </w:r>
      <w:bookmarkStart w:id="64" w:name="footnote38"/>
      <w:bookmarkEnd w:id="64"/>
      <w:r w:rsidR="00CB3A4D" w:rsidRPr="00A3026E">
        <w:rPr>
          <w:rFonts w:ascii="Times New Roman" w:hAnsi="Times New Roman"/>
          <w:color w:val="000000" w:themeColor="text1"/>
          <w:sz w:val="16"/>
          <w:szCs w:val="16"/>
        </w:rPr>
        <w:fldChar w:fldCharType="begin"/>
      </w:r>
      <w:r w:rsidRPr="00A3026E">
        <w:rPr>
          <w:rFonts w:ascii="Times New Roman" w:hAnsi="Times New Roman"/>
          <w:color w:val="000000" w:themeColor="text1"/>
          <w:sz w:val="16"/>
          <w:szCs w:val="16"/>
        </w:rPr>
        <w:instrText xml:space="preserve"> HYPERLINK "http://www.katyn-books.ru/library/fashistskaya-germaniya-vo-vtoroy-mirovoy-voyne17.html" \l "bookmark38" </w:instrText>
      </w:r>
      <w:r w:rsidR="00CB3A4D" w:rsidRPr="00A3026E">
        <w:rPr>
          <w:rFonts w:ascii="Times New Roman" w:hAnsi="Times New Roman"/>
          <w:color w:val="000000" w:themeColor="text1"/>
          <w:sz w:val="16"/>
          <w:szCs w:val="16"/>
        </w:rPr>
        <w:fldChar w:fldCharType="separate"/>
      </w:r>
      <w:r w:rsidRPr="00A3026E">
        <w:rPr>
          <w:rStyle w:val="a5"/>
          <w:rFonts w:ascii="Times New Roman" w:hAnsi="Times New Roman"/>
          <w:color w:val="000000" w:themeColor="text1"/>
          <w:sz w:val="16"/>
          <w:szCs w:val="16"/>
        </w:rPr>
        <w:t>38</w:t>
      </w:r>
      <w:r w:rsidR="00CB3A4D" w:rsidRPr="00A3026E">
        <w:rPr>
          <w:rFonts w:ascii="Times New Roman" w:hAnsi="Times New Roman"/>
          <w:color w:val="000000" w:themeColor="text1"/>
          <w:sz w:val="16"/>
          <w:szCs w:val="16"/>
        </w:rPr>
        <w:fldChar w:fldCharType="end"/>
      </w:r>
      <w:r w:rsidRPr="00A3026E">
        <w:rPr>
          <w:rFonts w:ascii="Times New Roman" w:hAnsi="Times New Roman"/>
          <w:color w:val="000000" w:themeColor="text1"/>
          <w:sz w:val="16"/>
          <w:szCs w:val="16"/>
        </w:rPr>
        <w:t>. На германские вооруженные силы, находившиеся в Румынии, возлагалась задача охраны нефтеносного района (18559).</w:t>
      </w:r>
    </w:p>
    <w:p w14:paraId="2CA0BECD" w14:textId="77777777" w:rsidR="00F45F7F" w:rsidRPr="00A3026E" w:rsidRDefault="00F45F7F" w:rsidP="00A3026E">
      <w:pPr>
        <w:spacing w:after="0" w:line="240" w:lineRule="auto"/>
        <w:jc w:val="both"/>
        <w:rPr>
          <w:rFonts w:ascii="Times New Roman" w:hAnsi="Times New Roman"/>
          <w:color w:val="000000" w:themeColor="text1"/>
          <w:sz w:val="16"/>
          <w:szCs w:val="16"/>
        </w:rPr>
      </w:pPr>
    </w:p>
    <w:p w14:paraId="2DC47BC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 г. вторая Панамериканская конференция министров иностранных дел в Гаване рассмотрела вопрос о колониальных владениях европейских стран в Латинской Америке. Хотя большинство латиноамериканских стран выступало за предоставление колониям права на самоопределение, победила точка зрения США: над этими территориями была установлена временная коллективная опека.</w:t>
      </w:r>
    </w:p>
    <w:p w14:paraId="65CCD8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Гаване была также одобрена резолюция "О взаимной помощи и сотрудничестве американских государств в вопросах обороны", предусматривавшая заключение конкретных договоров в случае агрессии против какой-либо из стран региона. Это обеспечивало исходную юридическую базу военно-политическому союзу американских стран под эгидой США (3871).</w:t>
      </w:r>
    </w:p>
    <w:p w14:paraId="7E879B57"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35F57E9"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Авиапромышленность:</w:t>
      </w:r>
    </w:p>
    <w:p w14:paraId="6BBC507F"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32690396"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1940-41 годах занимались оснаще</w:t>
      </w:r>
      <w:r w:rsidRPr="00A3026E">
        <w:rPr>
          <w:rFonts w:ascii="Times New Roman" w:hAnsi="Times New Roman"/>
          <w:color w:val="000000" w:themeColor="text1"/>
          <w:sz w:val="16"/>
          <w:szCs w:val="16"/>
        </w:rPr>
        <w:softHyphen/>
        <w:t>нием ДБ-3 реактивными снарядами, включая мощные перспективные РС-203. Но на серийных самолетах ракет</w:t>
      </w:r>
      <w:r w:rsidRPr="00A3026E">
        <w:rPr>
          <w:rFonts w:ascii="Times New Roman" w:hAnsi="Times New Roman"/>
          <w:color w:val="000000" w:themeColor="text1"/>
          <w:sz w:val="16"/>
          <w:szCs w:val="16"/>
        </w:rPr>
        <w:softHyphen/>
        <w:t>ное вооружение не устанавливалось. Видимо, сочли, что оно не пригодится на такой большой машине, действую</w:t>
      </w:r>
      <w:r w:rsidRPr="00A3026E">
        <w:rPr>
          <w:rFonts w:ascii="Times New Roman" w:hAnsi="Times New Roman"/>
          <w:color w:val="000000" w:themeColor="text1"/>
          <w:sz w:val="16"/>
          <w:szCs w:val="16"/>
        </w:rPr>
        <w:softHyphen/>
        <w:t>щей в основном на средних и больших высотах (10734,20).</w:t>
      </w:r>
    </w:p>
    <w:p w14:paraId="01BB5741"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7C0D3648" w14:textId="77777777" w:rsidR="00D10C51" w:rsidRPr="00A3026E" w:rsidRDefault="00D10C51" w:rsidP="00A3026E">
      <w:pPr>
        <w:spacing w:after="0" w:line="240" w:lineRule="auto"/>
        <w:jc w:val="both"/>
        <w:rPr>
          <w:rFonts w:ascii="Times New Roman" w:eastAsia="Times New Roman" w:hAnsi="Times New Roman"/>
          <w:color w:val="0070C0"/>
          <w:sz w:val="16"/>
          <w:szCs w:val="16"/>
          <w:lang w:eastAsia="ru-RU"/>
        </w:rPr>
      </w:pPr>
      <w:r w:rsidRPr="00A3026E">
        <w:rPr>
          <w:rFonts w:ascii="Times New Roman" w:hAnsi="Times New Roman"/>
          <w:color w:val="0070C0"/>
          <w:sz w:val="16"/>
          <w:szCs w:val="16"/>
          <w:shd w:val="clear" w:color="auto" w:fill="FFFFFF"/>
        </w:rPr>
        <w:t>В 1940-1941 гг. был создан опытный самолет ДБ-3Ф с установкой двух реактивных снарядов РС-203 под консольными частями крыла, который прошел испытания для исследования возможности и эффективности применения реактивных снарядов крупного калибра. Накануне войны весьма влиятельные противники ракетного оружия из Наркомата боеприпасов и Главного артуправления Красной Армии сделали очень многое, чтобы оно не появилось в войсках. Тогда же 203-мм авиационную ракетную систему, невзирая на чрезвычайно высокую огневую мощь и поразительную точность стрельбы, «приговорили» к забвению из-за относительно большой себестоимости в производстве и «неудобства в эксплуатации» — снаряды массой 180 кг неудобно заряжать (21582).</w:t>
      </w:r>
    </w:p>
    <w:p w14:paraId="21E86FA1" w14:textId="77777777" w:rsidR="00D10C51" w:rsidRPr="00A3026E" w:rsidRDefault="00D10C51" w:rsidP="00A3026E">
      <w:pPr>
        <w:spacing w:after="0" w:line="240" w:lineRule="auto"/>
        <w:jc w:val="both"/>
        <w:rPr>
          <w:rFonts w:ascii="Times New Roman" w:eastAsia="Times New Roman" w:hAnsi="Times New Roman"/>
          <w:color w:val="0070C0"/>
          <w:sz w:val="16"/>
          <w:szCs w:val="16"/>
          <w:lang w:eastAsia="ru-RU"/>
        </w:rPr>
      </w:pPr>
    </w:p>
    <w:p w14:paraId="0B0F1037" w14:textId="77777777" w:rsidR="0014077F" w:rsidRPr="00A3026E" w:rsidRDefault="0014077F" w:rsidP="00A3026E">
      <w:pPr>
        <w:pStyle w:val="a3"/>
        <w:tabs>
          <w:tab w:val="left" w:pos="11199"/>
        </w:tabs>
        <w:rPr>
          <w:color w:val="000000" w:themeColor="text1"/>
          <w:lang w:val="ru-RU"/>
        </w:rPr>
      </w:pPr>
      <w:r w:rsidRPr="00A3026E">
        <w:rPr>
          <w:color w:val="000000" w:themeColor="text1"/>
          <w:lang w:val="ru-RU"/>
        </w:rPr>
        <w:t>В период 1940-44 гг. в ОКБ Н.Н.П. были созданы и испытывались двухмоторные тяжелые истребители сопровождения ТИС (А) и ТИС (МА), из которых последний с низковысотными мотора</w:t>
      </w:r>
      <w:r w:rsidRPr="00A3026E">
        <w:rPr>
          <w:color w:val="000000" w:themeColor="text1"/>
          <w:lang w:val="ru-RU"/>
        </w:rPr>
        <w:softHyphen/>
        <w:t>ми АМ-38Ф вполне мог рассматривать</w:t>
      </w:r>
      <w:r w:rsidRPr="00A3026E">
        <w:rPr>
          <w:color w:val="000000" w:themeColor="text1"/>
          <w:lang w:val="ru-RU"/>
        </w:rPr>
        <w:softHyphen/>
        <w:t>ся в качестве эффективного противо</w:t>
      </w:r>
      <w:r w:rsidRPr="00A3026E">
        <w:rPr>
          <w:color w:val="000000" w:themeColor="text1"/>
          <w:lang w:val="ru-RU"/>
        </w:rPr>
        <w:softHyphen/>
        <w:t>танкового самолета. Вооружение ТИС (МА) было очень мощным и состояло из носовой пушеч</w:t>
      </w:r>
      <w:r w:rsidRPr="00A3026E">
        <w:rPr>
          <w:color w:val="000000" w:themeColor="text1"/>
          <w:lang w:val="ru-RU"/>
        </w:rPr>
        <w:softHyphen/>
        <w:t>ной батареи из двух пушек ШВАК с запасом 300 снарядов, центропланной установки из двух пушек НС-45 ка</w:t>
      </w:r>
      <w:r w:rsidRPr="00A3026E">
        <w:rPr>
          <w:color w:val="000000" w:themeColor="text1"/>
          <w:lang w:val="ru-RU"/>
        </w:rPr>
        <w:softHyphen/>
        <w:t>либра 45 мм с запасом 100 снарядов (НС-45 могли быть заменены на пуш</w:t>
      </w:r>
      <w:r w:rsidRPr="00A3026E">
        <w:rPr>
          <w:color w:val="000000" w:themeColor="text1"/>
          <w:lang w:val="ru-RU"/>
        </w:rPr>
        <w:softHyphen/>
        <w:t>ки калибра 37 мм), верхней оборони</w:t>
      </w:r>
      <w:r w:rsidRPr="00A3026E">
        <w:rPr>
          <w:color w:val="000000" w:themeColor="text1"/>
          <w:lang w:val="ru-RU"/>
        </w:rPr>
        <w:softHyphen/>
        <w:t>тельной установки ВУБ-3 под пулемет УБ с запасом 200 патронов и бомбовой нагрузки 1000 кг (2 по 500 кг) снару</w:t>
      </w:r>
      <w:r w:rsidRPr="00A3026E">
        <w:rPr>
          <w:color w:val="000000" w:themeColor="text1"/>
          <w:lang w:val="ru-RU"/>
        </w:rPr>
        <w:softHyphen/>
        <w:t>жи (предусматривалась установка 2 балок внутри фюзеляжа под бомбы ка</w:t>
      </w:r>
      <w:r w:rsidRPr="00A3026E">
        <w:rPr>
          <w:color w:val="000000" w:themeColor="text1"/>
          <w:lang w:val="ru-RU"/>
        </w:rPr>
        <w:softHyphen/>
        <w:t>либра 100 кг, но при условии снятия центропланных пушек). При полетном весе 8280 кг макси</w:t>
      </w:r>
      <w:r w:rsidRPr="00A3026E">
        <w:rPr>
          <w:color w:val="000000" w:themeColor="text1"/>
          <w:lang w:val="ru-RU"/>
        </w:rPr>
        <w:softHyphen/>
        <w:t>мальная скорость у земли составила 514 км/ч, а на высоте 7400 м - до 535 км/ ч. Время набора высоты 5000 м - 9,2 мин. Оценки показывают, что в типовых условиях боев летчик с хорошей лет</w:t>
      </w:r>
      <w:r w:rsidRPr="00A3026E">
        <w:rPr>
          <w:color w:val="000000" w:themeColor="text1"/>
          <w:lang w:val="ru-RU"/>
        </w:rPr>
        <w:softHyphen/>
        <w:t>ной и стрелковой подготовкой на са</w:t>
      </w:r>
      <w:r w:rsidRPr="00A3026E">
        <w:rPr>
          <w:color w:val="000000" w:themeColor="text1"/>
          <w:lang w:val="ru-RU"/>
        </w:rPr>
        <w:softHyphen/>
        <w:t>молете ТИС (МА) уже в первой атаке мог обеспечить вероятность поражения немецкого среднего танка типа Pz. IV Ausf G (атака сбоку, угол планирова</w:t>
      </w:r>
      <w:r w:rsidRPr="00A3026E">
        <w:rPr>
          <w:color w:val="000000" w:themeColor="text1"/>
          <w:lang w:val="ru-RU"/>
        </w:rPr>
        <w:softHyphen/>
        <w:t>ния 25-30 , дистанция открытия огня 300-400 м) порядка 0,18-0,25, а бро</w:t>
      </w:r>
      <w:r w:rsidRPr="00A3026E">
        <w:rPr>
          <w:color w:val="000000" w:themeColor="text1"/>
          <w:lang w:val="ru-RU"/>
        </w:rPr>
        <w:softHyphen/>
        <w:t>нетранспортера типа Sd Kfz 250 - 0,9. Если еще учесть 1000 кг авиабомб, то ТИС в каждом боевом вылете мог га</w:t>
      </w:r>
      <w:r w:rsidRPr="00A3026E">
        <w:rPr>
          <w:color w:val="000000" w:themeColor="text1"/>
          <w:lang w:val="ru-RU"/>
        </w:rPr>
        <w:softHyphen/>
        <w:t>рантированно поражать один-два сред</w:t>
      </w:r>
      <w:r w:rsidRPr="00A3026E">
        <w:rPr>
          <w:color w:val="000000" w:themeColor="text1"/>
          <w:lang w:val="ru-RU"/>
        </w:rPr>
        <w:softHyphen/>
        <w:t>них танков вермахта, конечно, при на</w:t>
      </w:r>
      <w:r w:rsidRPr="00A3026E">
        <w:rPr>
          <w:color w:val="000000" w:themeColor="text1"/>
          <w:lang w:val="ru-RU"/>
        </w:rPr>
        <w:softHyphen/>
        <w:t>личии таковых на поле боя. К сожалению, и на этот раз доста</w:t>
      </w:r>
      <w:r w:rsidRPr="00A3026E">
        <w:rPr>
          <w:color w:val="000000" w:themeColor="text1"/>
          <w:lang w:val="ru-RU"/>
        </w:rPr>
        <w:softHyphen/>
        <w:t>точно хорошо отработанный самолет так и не нашел практического вопло</w:t>
      </w:r>
      <w:r w:rsidRPr="00A3026E">
        <w:rPr>
          <w:color w:val="000000" w:themeColor="text1"/>
          <w:lang w:val="ru-RU"/>
        </w:rPr>
        <w:softHyphen/>
        <w:t>щения в виде воздушного истребителя танков. После успешного испытания ТИС (МА) 2АМ-38Ф к осени 1944 г. Н.Н.Поликарпов не вышел с инициа</w:t>
      </w:r>
      <w:r w:rsidRPr="00A3026E">
        <w:rPr>
          <w:color w:val="000000" w:themeColor="text1"/>
          <w:lang w:val="ru-RU"/>
        </w:rPr>
        <w:softHyphen/>
        <w:t>тивой о запуске противотанкового ва</w:t>
      </w:r>
      <w:r w:rsidRPr="00A3026E">
        <w:rPr>
          <w:color w:val="000000" w:themeColor="text1"/>
          <w:lang w:val="ru-RU"/>
        </w:rPr>
        <w:softHyphen/>
        <w:t>рианта самолета в серию. К тому же вскоре не стало и Поликарпова (6269).</w:t>
      </w:r>
    </w:p>
    <w:p w14:paraId="5BEDB8EA" w14:textId="77777777" w:rsidR="0014077F" w:rsidRPr="00A3026E" w:rsidRDefault="0014077F" w:rsidP="00A3026E">
      <w:pPr>
        <w:pStyle w:val="a3"/>
        <w:tabs>
          <w:tab w:val="left" w:pos="11199"/>
        </w:tabs>
        <w:rPr>
          <w:color w:val="000000" w:themeColor="text1"/>
          <w:lang w:val="ru-RU"/>
        </w:rPr>
      </w:pPr>
    </w:p>
    <w:p w14:paraId="49DBDC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1940-1946 гг. проходили испытания самолетов С.А.Л.:</w:t>
      </w:r>
    </w:p>
    <w:p w14:paraId="12B6C77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ЛЕТНЫЕ ДАННЫЕ ИСТРЕБИТЕЛЕЙ ЛаГГ-3, Ла-5/7/9/11 по результатам испытаний в ГК НИИ ВВС</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2127"/>
        <w:gridCol w:w="622"/>
        <w:gridCol w:w="717"/>
        <w:gridCol w:w="717"/>
        <w:gridCol w:w="717"/>
        <w:gridCol w:w="716"/>
        <w:gridCol w:w="573"/>
        <w:gridCol w:w="573"/>
        <w:gridCol w:w="573"/>
        <w:gridCol w:w="573"/>
        <w:gridCol w:w="573"/>
        <w:gridCol w:w="573"/>
        <w:gridCol w:w="573"/>
        <w:gridCol w:w="861"/>
      </w:tblGrid>
      <w:tr w:rsidR="00983732" w:rsidRPr="00A3026E" w14:paraId="6A1CD784" w14:textId="77777777" w:rsidTr="00EA0DA7">
        <w:tc>
          <w:tcPr>
            <w:tcW w:w="2127" w:type="dxa"/>
            <w:tcBorders>
              <w:top w:val="single" w:sz="12" w:space="0" w:color="auto"/>
            </w:tcBorders>
          </w:tcPr>
          <w:p w14:paraId="090FCF0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Параметр</w:t>
            </w:r>
          </w:p>
        </w:tc>
        <w:tc>
          <w:tcPr>
            <w:tcW w:w="622" w:type="dxa"/>
            <w:tcBorders>
              <w:top w:val="single" w:sz="12" w:space="0" w:color="auto"/>
            </w:tcBorders>
          </w:tcPr>
          <w:p w14:paraId="3E85A6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Полетная масса, кг</w:t>
            </w:r>
          </w:p>
        </w:tc>
        <w:tc>
          <w:tcPr>
            <w:tcW w:w="717" w:type="dxa"/>
            <w:gridSpan w:val="4"/>
            <w:tcBorders>
              <w:top w:val="single" w:sz="12" w:space="0" w:color="auto"/>
            </w:tcBorders>
          </w:tcPr>
          <w:p w14:paraId="2857BC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Скорость макс., км/ч</w:t>
            </w:r>
          </w:p>
        </w:tc>
        <w:tc>
          <w:tcPr>
            <w:tcW w:w="573" w:type="dxa"/>
            <w:tcBorders>
              <w:top w:val="single" w:sz="12" w:space="0" w:color="auto"/>
            </w:tcBorders>
          </w:tcPr>
          <w:p w14:paraId="48DE8E3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набора высоты 5000 м, мин.</w:t>
            </w:r>
          </w:p>
        </w:tc>
        <w:tc>
          <w:tcPr>
            <w:tcW w:w="573" w:type="dxa"/>
            <w:tcBorders>
              <w:top w:val="single" w:sz="12" w:space="0" w:color="auto"/>
            </w:tcBorders>
          </w:tcPr>
          <w:p w14:paraId="1D02A41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Потолок практический, м</w:t>
            </w:r>
          </w:p>
        </w:tc>
        <w:tc>
          <w:tcPr>
            <w:tcW w:w="573" w:type="dxa"/>
            <w:tcBorders>
              <w:top w:val="single" w:sz="12" w:space="0" w:color="auto"/>
            </w:tcBorders>
          </w:tcPr>
          <w:p w14:paraId="095D73C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Время выполнен ия виража на высоте 1000 м</w:t>
            </w:r>
          </w:p>
        </w:tc>
        <w:tc>
          <w:tcPr>
            <w:tcW w:w="573" w:type="dxa"/>
            <w:tcBorders>
              <w:top w:val="single" w:sz="12" w:space="0" w:color="auto"/>
            </w:tcBorders>
          </w:tcPr>
          <w:p w14:paraId="612F4AF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Набор высоты в боевом развороте, м</w:t>
            </w:r>
          </w:p>
        </w:tc>
        <w:tc>
          <w:tcPr>
            <w:tcW w:w="573" w:type="dxa"/>
            <w:tcBorders>
              <w:top w:val="single" w:sz="12" w:space="0" w:color="auto"/>
            </w:tcBorders>
          </w:tcPr>
          <w:p w14:paraId="6E5BF6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разбега, м</w:t>
            </w:r>
          </w:p>
        </w:tc>
        <w:tc>
          <w:tcPr>
            <w:tcW w:w="573" w:type="dxa"/>
            <w:tcBorders>
              <w:top w:val="single" w:sz="12" w:space="0" w:color="auto"/>
            </w:tcBorders>
          </w:tcPr>
          <w:p w14:paraId="590657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Длина пробега, м</w:t>
            </w:r>
          </w:p>
        </w:tc>
        <w:tc>
          <w:tcPr>
            <w:tcW w:w="573" w:type="dxa"/>
            <w:tcBorders>
              <w:top w:val="single" w:sz="12" w:space="0" w:color="auto"/>
            </w:tcBorders>
          </w:tcPr>
          <w:p w14:paraId="634B1EA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Дальность полета, км</w:t>
            </w:r>
          </w:p>
        </w:tc>
        <w:tc>
          <w:tcPr>
            <w:tcW w:w="861" w:type="dxa"/>
            <w:tcBorders>
              <w:top w:val="single" w:sz="12" w:space="0" w:color="auto"/>
            </w:tcBorders>
          </w:tcPr>
          <w:p w14:paraId="53E3ED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Вооружение</w:t>
            </w:r>
          </w:p>
        </w:tc>
      </w:tr>
      <w:tr w:rsidR="00983732" w:rsidRPr="00A3026E" w14:paraId="53C3A7BA" w14:textId="77777777" w:rsidTr="00EA0DA7">
        <w:tc>
          <w:tcPr>
            <w:tcW w:w="2127" w:type="dxa"/>
          </w:tcPr>
          <w:p w14:paraId="6F84E3F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622" w:type="dxa"/>
          </w:tcPr>
          <w:p w14:paraId="582AE5C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717" w:type="dxa"/>
          </w:tcPr>
          <w:p w14:paraId="00BDFC2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уровне моря</w:t>
            </w:r>
          </w:p>
        </w:tc>
        <w:tc>
          <w:tcPr>
            <w:tcW w:w="717" w:type="dxa"/>
          </w:tcPr>
          <w:p w14:paraId="137F3D7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1-й границе высотн.</w:t>
            </w:r>
          </w:p>
        </w:tc>
        <w:tc>
          <w:tcPr>
            <w:tcW w:w="717" w:type="dxa"/>
          </w:tcPr>
          <w:p w14:paraId="136685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2-й границе высотн.</w:t>
            </w:r>
          </w:p>
        </w:tc>
        <w:tc>
          <w:tcPr>
            <w:tcW w:w="716" w:type="dxa"/>
          </w:tcPr>
          <w:p w14:paraId="5F14DC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на высоте 5000м</w:t>
            </w:r>
          </w:p>
        </w:tc>
        <w:tc>
          <w:tcPr>
            <w:tcW w:w="573" w:type="dxa"/>
          </w:tcPr>
          <w:p w14:paraId="3E640C5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1F3B570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4285879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17AECD7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280C6D5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7FCBCE7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48BD857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861" w:type="dxa"/>
          </w:tcPr>
          <w:p w14:paraId="29B65AB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795C5D92" w14:textId="77777777" w:rsidTr="00EA0DA7">
        <w:tc>
          <w:tcPr>
            <w:tcW w:w="2127" w:type="dxa"/>
          </w:tcPr>
          <w:p w14:paraId="140664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И-301 опытный Гос. испытания июнь.40 г.</w:t>
            </w:r>
          </w:p>
        </w:tc>
        <w:tc>
          <w:tcPr>
            <w:tcW w:w="622" w:type="dxa"/>
          </w:tcPr>
          <w:p w14:paraId="545261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2968</w:t>
            </w:r>
          </w:p>
        </w:tc>
        <w:tc>
          <w:tcPr>
            <w:tcW w:w="717" w:type="dxa"/>
          </w:tcPr>
          <w:p w14:paraId="776B8FE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717" w:type="dxa"/>
          </w:tcPr>
          <w:p w14:paraId="747B7A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558</w:t>
            </w:r>
          </w:p>
        </w:tc>
        <w:tc>
          <w:tcPr>
            <w:tcW w:w="717" w:type="dxa"/>
          </w:tcPr>
          <w:p w14:paraId="4015E4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716" w:type="dxa"/>
          </w:tcPr>
          <w:p w14:paraId="22FB11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w:t>
            </w:r>
          </w:p>
        </w:tc>
        <w:tc>
          <w:tcPr>
            <w:tcW w:w="573" w:type="dxa"/>
          </w:tcPr>
          <w:p w14:paraId="14EB06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5,85</w:t>
            </w:r>
          </w:p>
        </w:tc>
        <w:tc>
          <w:tcPr>
            <w:tcW w:w="573" w:type="dxa"/>
          </w:tcPr>
          <w:p w14:paraId="1777EE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9600</w:t>
            </w:r>
          </w:p>
        </w:tc>
        <w:tc>
          <w:tcPr>
            <w:tcW w:w="573" w:type="dxa"/>
          </w:tcPr>
          <w:p w14:paraId="6F0969D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573" w:type="dxa"/>
          </w:tcPr>
          <w:p w14:paraId="572EBD3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371DCB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355</w:t>
            </w:r>
          </w:p>
        </w:tc>
        <w:tc>
          <w:tcPr>
            <w:tcW w:w="573" w:type="dxa"/>
          </w:tcPr>
          <w:p w14:paraId="0D2476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400</w:t>
            </w:r>
          </w:p>
        </w:tc>
        <w:tc>
          <w:tcPr>
            <w:tcW w:w="573" w:type="dxa"/>
          </w:tcPr>
          <w:p w14:paraId="4AEF33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w:t>
            </w:r>
          </w:p>
        </w:tc>
        <w:tc>
          <w:tcPr>
            <w:tcW w:w="861" w:type="dxa"/>
          </w:tcPr>
          <w:p w14:paraId="559A6DB6"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1х23-мм пушка Таубина</w:t>
            </w:r>
          </w:p>
          <w:p w14:paraId="206FBAC2"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2хБС</w:t>
            </w:r>
          </w:p>
        </w:tc>
      </w:tr>
      <w:tr w:rsidR="00983732" w:rsidRPr="00A3026E" w14:paraId="00FA969A" w14:textId="77777777" w:rsidTr="00EA0DA7">
        <w:tc>
          <w:tcPr>
            <w:tcW w:w="2127" w:type="dxa"/>
          </w:tcPr>
          <w:p w14:paraId="677E939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lastRenderedPageBreak/>
              <w:t>ЛаГГ-3 1-й серии зав.№ 31211-2 Контрольные исп. НИИ ВВС 06.41</w:t>
            </w:r>
          </w:p>
        </w:tc>
        <w:tc>
          <w:tcPr>
            <w:tcW w:w="622" w:type="dxa"/>
          </w:tcPr>
          <w:p w14:paraId="7DF1C5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3346</w:t>
            </w:r>
          </w:p>
        </w:tc>
        <w:tc>
          <w:tcPr>
            <w:tcW w:w="717" w:type="dxa"/>
          </w:tcPr>
          <w:p w14:paraId="3F2BF2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498</w:t>
            </w:r>
          </w:p>
        </w:tc>
        <w:tc>
          <w:tcPr>
            <w:tcW w:w="717" w:type="dxa"/>
          </w:tcPr>
          <w:p w14:paraId="1400CB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717" w:type="dxa"/>
          </w:tcPr>
          <w:p w14:paraId="7D8A7C1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575</w:t>
            </w:r>
          </w:p>
        </w:tc>
        <w:tc>
          <w:tcPr>
            <w:tcW w:w="716" w:type="dxa"/>
          </w:tcPr>
          <w:p w14:paraId="44C7020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21A59CA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w:t>
            </w:r>
          </w:p>
        </w:tc>
        <w:tc>
          <w:tcPr>
            <w:tcW w:w="573" w:type="dxa"/>
          </w:tcPr>
          <w:p w14:paraId="6976E7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9100</w:t>
            </w:r>
          </w:p>
        </w:tc>
        <w:tc>
          <w:tcPr>
            <w:tcW w:w="573" w:type="dxa"/>
          </w:tcPr>
          <w:p w14:paraId="11A5254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573" w:type="dxa"/>
          </w:tcPr>
          <w:p w14:paraId="0794436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5DE99C4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661C566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682BCA1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861" w:type="dxa"/>
          </w:tcPr>
          <w:p w14:paraId="72F4CD49"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 xml:space="preserve">1хБК, </w:t>
            </w:r>
          </w:p>
          <w:p w14:paraId="3474702B"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 xml:space="preserve">2хБС, </w:t>
            </w:r>
          </w:p>
          <w:p w14:paraId="71FFE4D4"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2хШКАС</w:t>
            </w:r>
          </w:p>
        </w:tc>
      </w:tr>
      <w:tr w:rsidR="00983732" w:rsidRPr="00A3026E" w14:paraId="7F1E5784" w14:textId="77777777" w:rsidTr="00EA0DA7">
        <w:trPr>
          <w:trHeight w:val="675"/>
        </w:trPr>
        <w:tc>
          <w:tcPr>
            <w:tcW w:w="2127" w:type="dxa"/>
          </w:tcPr>
          <w:p w14:paraId="28702F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 7-й серии зав. № 312123-2 Контрольные исп. НИИ ВВС 08-09.41 г</w:t>
            </w:r>
          </w:p>
        </w:tc>
        <w:tc>
          <w:tcPr>
            <w:tcW w:w="622" w:type="dxa"/>
          </w:tcPr>
          <w:p w14:paraId="72DCB7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3280</w:t>
            </w:r>
          </w:p>
        </w:tc>
        <w:tc>
          <w:tcPr>
            <w:tcW w:w="717" w:type="dxa"/>
          </w:tcPr>
          <w:p w14:paraId="187F0E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474</w:t>
            </w:r>
          </w:p>
        </w:tc>
        <w:tc>
          <w:tcPr>
            <w:tcW w:w="717" w:type="dxa"/>
          </w:tcPr>
          <w:p w14:paraId="5D4CB7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549</w:t>
            </w:r>
          </w:p>
        </w:tc>
        <w:tc>
          <w:tcPr>
            <w:tcW w:w="717" w:type="dxa"/>
          </w:tcPr>
          <w:p w14:paraId="6332962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549</w:t>
            </w:r>
          </w:p>
        </w:tc>
        <w:tc>
          <w:tcPr>
            <w:tcW w:w="716" w:type="dxa"/>
          </w:tcPr>
          <w:p w14:paraId="26B6EF4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5305FE2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8,6</w:t>
            </w:r>
          </w:p>
        </w:tc>
        <w:tc>
          <w:tcPr>
            <w:tcW w:w="573" w:type="dxa"/>
          </w:tcPr>
          <w:p w14:paraId="27F356E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c>
          <w:tcPr>
            <w:tcW w:w="573" w:type="dxa"/>
          </w:tcPr>
          <w:p w14:paraId="3D5A0C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w:t>
            </w:r>
          </w:p>
        </w:tc>
        <w:tc>
          <w:tcPr>
            <w:tcW w:w="573" w:type="dxa"/>
          </w:tcPr>
          <w:p w14:paraId="429C6F8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066F0F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545</w:t>
            </w:r>
          </w:p>
        </w:tc>
        <w:tc>
          <w:tcPr>
            <w:tcW w:w="573" w:type="dxa"/>
          </w:tcPr>
          <w:p w14:paraId="6DB9D2F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460</w:t>
            </w:r>
          </w:p>
        </w:tc>
        <w:tc>
          <w:tcPr>
            <w:tcW w:w="573" w:type="dxa"/>
          </w:tcPr>
          <w:p w14:paraId="0CE01E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705</w:t>
            </w:r>
          </w:p>
        </w:tc>
        <w:tc>
          <w:tcPr>
            <w:tcW w:w="861" w:type="dxa"/>
          </w:tcPr>
          <w:p w14:paraId="0CEC145D"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1хШВАК</w:t>
            </w:r>
          </w:p>
          <w:p w14:paraId="57D5DAE6"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1хБС</w:t>
            </w:r>
          </w:p>
          <w:p w14:paraId="423B7C5A"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2хШКАС</w:t>
            </w:r>
          </w:p>
        </w:tc>
      </w:tr>
      <w:tr w:rsidR="00983732" w:rsidRPr="00A3026E" w14:paraId="7B6EF189" w14:textId="77777777" w:rsidTr="00EA0DA7">
        <w:tc>
          <w:tcPr>
            <w:tcW w:w="2127" w:type="dxa"/>
          </w:tcPr>
          <w:p w14:paraId="4A1066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 23-й серии зав.№ 312123-2 Контрольные исп. НИИ ВВС 03-04.42 г.</w:t>
            </w:r>
          </w:p>
        </w:tc>
        <w:tc>
          <w:tcPr>
            <w:tcW w:w="622" w:type="dxa"/>
          </w:tcPr>
          <w:p w14:paraId="723741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3100</w:t>
            </w:r>
          </w:p>
        </w:tc>
        <w:tc>
          <w:tcPr>
            <w:tcW w:w="717" w:type="dxa"/>
          </w:tcPr>
          <w:p w14:paraId="4CDC025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446*</w:t>
            </w:r>
          </w:p>
        </w:tc>
        <w:tc>
          <w:tcPr>
            <w:tcW w:w="717" w:type="dxa"/>
          </w:tcPr>
          <w:p w14:paraId="2F529E5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518*</w:t>
            </w:r>
          </w:p>
        </w:tc>
        <w:tc>
          <w:tcPr>
            <w:tcW w:w="717" w:type="dxa"/>
          </w:tcPr>
          <w:p w14:paraId="0F916E8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716" w:type="dxa"/>
          </w:tcPr>
          <w:p w14:paraId="594A4C1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125521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7,1</w:t>
            </w:r>
          </w:p>
        </w:tc>
        <w:tc>
          <w:tcPr>
            <w:tcW w:w="573" w:type="dxa"/>
          </w:tcPr>
          <w:p w14:paraId="66E9CF3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9300</w:t>
            </w:r>
          </w:p>
        </w:tc>
        <w:tc>
          <w:tcPr>
            <w:tcW w:w="573" w:type="dxa"/>
          </w:tcPr>
          <w:p w14:paraId="32BE92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26</w:t>
            </w:r>
          </w:p>
        </w:tc>
        <w:tc>
          <w:tcPr>
            <w:tcW w:w="573" w:type="dxa"/>
          </w:tcPr>
          <w:p w14:paraId="54040A3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3A0960D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573" w:type="dxa"/>
          </w:tcPr>
          <w:p w14:paraId="14D4BE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w:t>
            </w:r>
          </w:p>
        </w:tc>
        <w:tc>
          <w:tcPr>
            <w:tcW w:w="573" w:type="dxa"/>
          </w:tcPr>
          <w:p w14:paraId="40A47B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466</w:t>
            </w:r>
          </w:p>
        </w:tc>
        <w:tc>
          <w:tcPr>
            <w:tcW w:w="861" w:type="dxa"/>
          </w:tcPr>
          <w:p w14:paraId="011140AC"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1хМП-20</w:t>
            </w:r>
          </w:p>
          <w:p w14:paraId="0DEABAA3"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1хУБС</w:t>
            </w:r>
          </w:p>
          <w:p w14:paraId="0106C2E1"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 xml:space="preserve">6хРС-82 </w:t>
            </w:r>
          </w:p>
        </w:tc>
      </w:tr>
      <w:tr w:rsidR="00983732" w:rsidRPr="00A3026E" w14:paraId="1038BF82" w14:textId="77777777" w:rsidTr="00EA0DA7">
        <w:tc>
          <w:tcPr>
            <w:tcW w:w="2127" w:type="dxa"/>
          </w:tcPr>
          <w:p w14:paraId="6A351B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 М-105ПФ зав.№ 31212912 Совместные исп. ЛИИ и НИИ ВВС 05.42 г.</w:t>
            </w:r>
          </w:p>
        </w:tc>
        <w:tc>
          <w:tcPr>
            <w:tcW w:w="622" w:type="dxa"/>
          </w:tcPr>
          <w:p w14:paraId="126836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3150</w:t>
            </w:r>
          </w:p>
        </w:tc>
        <w:tc>
          <w:tcPr>
            <w:tcW w:w="717" w:type="dxa"/>
          </w:tcPr>
          <w:p w14:paraId="430273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507</w:t>
            </w:r>
          </w:p>
        </w:tc>
        <w:tc>
          <w:tcPr>
            <w:tcW w:w="717" w:type="dxa"/>
          </w:tcPr>
          <w:p w14:paraId="5009740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546</w:t>
            </w:r>
          </w:p>
        </w:tc>
        <w:tc>
          <w:tcPr>
            <w:tcW w:w="717" w:type="dxa"/>
          </w:tcPr>
          <w:p w14:paraId="15B4A2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561</w:t>
            </w:r>
          </w:p>
        </w:tc>
        <w:tc>
          <w:tcPr>
            <w:tcW w:w="716" w:type="dxa"/>
          </w:tcPr>
          <w:p w14:paraId="4DBDB72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0228AF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w:t>
            </w:r>
          </w:p>
        </w:tc>
        <w:tc>
          <w:tcPr>
            <w:tcW w:w="573" w:type="dxa"/>
          </w:tcPr>
          <w:p w14:paraId="6DF1357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599CFC6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573" w:type="dxa"/>
          </w:tcPr>
          <w:p w14:paraId="768D15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900-1000</w:t>
            </w:r>
          </w:p>
        </w:tc>
        <w:tc>
          <w:tcPr>
            <w:tcW w:w="573" w:type="dxa"/>
          </w:tcPr>
          <w:p w14:paraId="1D8FED2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358913E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66CC99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910</w:t>
            </w:r>
          </w:p>
        </w:tc>
        <w:tc>
          <w:tcPr>
            <w:tcW w:w="861" w:type="dxa"/>
          </w:tcPr>
          <w:p w14:paraId="52287EAA"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1хШВАК</w:t>
            </w:r>
          </w:p>
          <w:p w14:paraId="76901313"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1хУБС</w:t>
            </w:r>
          </w:p>
        </w:tc>
      </w:tr>
      <w:tr w:rsidR="00983732" w:rsidRPr="00A3026E" w14:paraId="245B5DC4" w14:textId="77777777" w:rsidTr="00EA0DA7">
        <w:tc>
          <w:tcPr>
            <w:tcW w:w="2127" w:type="dxa"/>
          </w:tcPr>
          <w:p w14:paraId="6C179E9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ЛаГГ-3 М-105ПФ с 37-мм пушкой зав.№ 31213445 Гос. испытания 08-09.42 г.</w:t>
            </w:r>
          </w:p>
        </w:tc>
        <w:tc>
          <w:tcPr>
            <w:tcW w:w="622" w:type="dxa"/>
          </w:tcPr>
          <w:p w14:paraId="612BE1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3363</w:t>
            </w:r>
          </w:p>
        </w:tc>
        <w:tc>
          <w:tcPr>
            <w:tcW w:w="717" w:type="dxa"/>
          </w:tcPr>
          <w:p w14:paraId="6B82FC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501</w:t>
            </w:r>
          </w:p>
        </w:tc>
        <w:tc>
          <w:tcPr>
            <w:tcW w:w="717" w:type="dxa"/>
          </w:tcPr>
          <w:p w14:paraId="1B1F56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545</w:t>
            </w:r>
          </w:p>
        </w:tc>
        <w:tc>
          <w:tcPr>
            <w:tcW w:w="717" w:type="dxa"/>
          </w:tcPr>
          <w:p w14:paraId="1C4F36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560</w:t>
            </w:r>
          </w:p>
        </w:tc>
        <w:tc>
          <w:tcPr>
            <w:tcW w:w="716" w:type="dxa"/>
          </w:tcPr>
          <w:p w14:paraId="25D95CB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1EC61F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7,3</w:t>
            </w:r>
          </w:p>
        </w:tc>
        <w:tc>
          <w:tcPr>
            <w:tcW w:w="573" w:type="dxa"/>
          </w:tcPr>
          <w:p w14:paraId="31C3022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9000</w:t>
            </w:r>
          </w:p>
        </w:tc>
        <w:tc>
          <w:tcPr>
            <w:tcW w:w="573" w:type="dxa"/>
          </w:tcPr>
          <w:p w14:paraId="2136DAE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w:t>
            </w:r>
          </w:p>
        </w:tc>
        <w:tc>
          <w:tcPr>
            <w:tcW w:w="573" w:type="dxa"/>
          </w:tcPr>
          <w:p w14:paraId="50789AF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3DDF02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650</w:t>
            </w:r>
          </w:p>
        </w:tc>
        <w:tc>
          <w:tcPr>
            <w:tcW w:w="573" w:type="dxa"/>
          </w:tcPr>
          <w:p w14:paraId="2F7493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465</w:t>
            </w:r>
          </w:p>
        </w:tc>
        <w:tc>
          <w:tcPr>
            <w:tcW w:w="573" w:type="dxa"/>
          </w:tcPr>
          <w:p w14:paraId="2654647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861" w:type="dxa"/>
          </w:tcPr>
          <w:p w14:paraId="0E9E3864"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1х37-мм ОКБ-15</w:t>
            </w:r>
          </w:p>
          <w:p w14:paraId="66E61909"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1хУБК</w:t>
            </w:r>
          </w:p>
        </w:tc>
      </w:tr>
      <w:tr w:rsidR="00983732" w:rsidRPr="00A3026E" w14:paraId="5F7BFDB6" w14:textId="77777777" w:rsidTr="00EA0DA7">
        <w:tc>
          <w:tcPr>
            <w:tcW w:w="2127" w:type="dxa"/>
          </w:tcPr>
          <w:p w14:paraId="6028E6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ЛаГГ-3 М-82 Совместные исп. ЛИИ и НИИ ВВС 05.42 г. </w:t>
            </w:r>
          </w:p>
        </w:tc>
        <w:tc>
          <w:tcPr>
            <w:tcW w:w="622" w:type="dxa"/>
          </w:tcPr>
          <w:p w14:paraId="1C1E614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3380</w:t>
            </w:r>
          </w:p>
        </w:tc>
        <w:tc>
          <w:tcPr>
            <w:tcW w:w="717" w:type="dxa"/>
          </w:tcPr>
          <w:p w14:paraId="54860E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515</w:t>
            </w:r>
          </w:p>
        </w:tc>
        <w:tc>
          <w:tcPr>
            <w:tcW w:w="717" w:type="dxa"/>
          </w:tcPr>
          <w:p w14:paraId="35F093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576</w:t>
            </w:r>
          </w:p>
        </w:tc>
        <w:tc>
          <w:tcPr>
            <w:tcW w:w="717" w:type="dxa"/>
          </w:tcPr>
          <w:p w14:paraId="694BCEE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716" w:type="dxa"/>
          </w:tcPr>
          <w:p w14:paraId="1C4CBF9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475FF2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w:t>
            </w:r>
          </w:p>
        </w:tc>
        <w:tc>
          <w:tcPr>
            <w:tcW w:w="573" w:type="dxa"/>
          </w:tcPr>
          <w:p w14:paraId="46E6299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06D6FF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573" w:type="dxa"/>
          </w:tcPr>
          <w:p w14:paraId="011DED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573" w:type="dxa"/>
          </w:tcPr>
          <w:p w14:paraId="741DA01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310</w:t>
            </w:r>
          </w:p>
        </w:tc>
        <w:tc>
          <w:tcPr>
            <w:tcW w:w="573" w:type="dxa"/>
          </w:tcPr>
          <w:p w14:paraId="2F935B3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470</w:t>
            </w:r>
          </w:p>
        </w:tc>
        <w:tc>
          <w:tcPr>
            <w:tcW w:w="573" w:type="dxa"/>
          </w:tcPr>
          <w:p w14:paraId="431E14B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655</w:t>
            </w:r>
          </w:p>
        </w:tc>
        <w:tc>
          <w:tcPr>
            <w:tcW w:w="861" w:type="dxa"/>
          </w:tcPr>
          <w:p w14:paraId="740E310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2хШВАК</w:t>
            </w:r>
          </w:p>
        </w:tc>
      </w:tr>
      <w:tr w:rsidR="00983732" w:rsidRPr="00A3026E" w14:paraId="34ACECBF" w14:textId="77777777" w:rsidTr="00EA0DA7">
        <w:tc>
          <w:tcPr>
            <w:tcW w:w="2127" w:type="dxa"/>
          </w:tcPr>
          <w:p w14:paraId="32C1080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Ла-5 М-82 зав.№ 37210444 Гос. испытания 08.42 г.</w:t>
            </w:r>
          </w:p>
        </w:tc>
        <w:tc>
          <w:tcPr>
            <w:tcW w:w="622" w:type="dxa"/>
          </w:tcPr>
          <w:p w14:paraId="325EF2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3360</w:t>
            </w:r>
          </w:p>
        </w:tc>
        <w:tc>
          <w:tcPr>
            <w:tcW w:w="717" w:type="dxa"/>
          </w:tcPr>
          <w:p w14:paraId="7F7F7F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509 (ном)</w:t>
            </w:r>
          </w:p>
          <w:p w14:paraId="594D0D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 (ф)</w:t>
            </w:r>
          </w:p>
        </w:tc>
        <w:tc>
          <w:tcPr>
            <w:tcW w:w="717" w:type="dxa"/>
          </w:tcPr>
          <w:p w14:paraId="7C1D19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569 (ном)</w:t>
            </w:r>
          </w:p>
          <w:p w14:paraId="036008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576 (ф)</w:t>
            </w:r>
          </w:p>
        </w:tc>
        <w:tc>
          <w:tcPr>
            <w:tcW w:w="717" w:type="dxa"/>
          </w:tcPr>
          <w:p w14:paraId="1643F6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580(ном)</w:t>
            </w:r>
          </w:p>
        </w:tc>
        <w:tc>
          <w:tcPr>
            <w:tcW w:w="716" w:type="dxa"/>
          </w:tcPr>
          <w:p w14:paraId="485329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559 (ном)</w:t>
            </w:r>
          </w:p>
        </w:tc>
        <w:tc>
          <w:tcPr>
            <w:tcW w:w="573" w:type="dxa"/>
          </w:tcPr>
          <w:p w14:paraId="395F2C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w:t>
            </w:r>
          </w:p>
        </w:tc>
        <w:tc>
          <w:tcPr>
            <w:tcW w:w="573" w:type="dxa"/>
          </w:tcPr>
          <w:p w14:paraId="1343370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9500</w:t>
            </w:r>
          </w:p>
        </w:tc>
        <w:tc>
          <w:tcPr>
            <w:tcW w:w="573" w:type="dxa"/>
          </w:tcPr>
          <w:p w14:paraId="14A208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22,6</w:t>
            </w:r>
          </w:p>
        </w:tc>
        <w:tc>
          <w:tcPr>
            <w:tcW w:w="573" w:type="dxa"/>
          </w:tcPr>
          <w:p w14:paraId="273FB3C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950-1050</w:t>
            </w:r>
          </w:p>
        </w:tc>
        <w:tc>
          <w:tcPr>
            <w:tcW w:w="573" w:type="dxa"/>
          </w:tcPr>
          <w:p w14:paraId="51E048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350</w:t>
            </w:r>
          </w:p>
        </w:tc>
        <w:tc>
          <w:tcPr>
            <w:tcW w:w="573" w:type="dxa"/>
          </w:tcPr>
          <w:p w14:paraId="244D68E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390</w:t>
            </w:r>
          </w:p>
        </w:tc>
        <w:tc>
          <w:tcPr>
            <w:tcW w:w="573" w:type="dxa"/>
          </w:tcPr>
          <w:p w14:paraId="48BF1C0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861" w:type="dxa"/>
          </w:tcPr>
          <w:p w14:paraId="66A3CA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2хШВАК</w:t>
            </w:r>
          </w:p>
        </w:tc>
      </w:tr>
      <w:tr w:rsidR="00983732" w:rsidRPr="00A3026E" w14:paraId="2A9E43BE" w14:textId="77777777" w:rsidTr="00EA0DA7">
        <w:trPr>
          <w:trHeight w:val="675"/>
        </w:trPr>
        <w:tc>
          <w:tcPr>
            <w:tcW w:w="2127" w:type="dxa"/>
          </w:tcPr>
          <w:p w14:paraId="69031E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ЛаГГ-5 М-82 зав.№ 5003 Совместные исп. НИИ ВВС и завода № 31 05.42 г.</w:t>
            </w:r>
          </w:p>
        </w:tc>
        <w:tc>
          <w:tcPr>
            <w:tcW w:w="622" w:type="dxa"/>
          </w:tcPr>
          <w:p w14:paraId="37B6CA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3280</w:t>
            </w:r>
          </w:p>
        </w:tc>
        <w:tc>
          <w:tcPr>
            <w:tcW w:w="717" w:type="dxa"/>
          </w:tcPr>
          <w:p w14:paraId="7A93D48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479 (ном)</w:t>
            </w:r>
          </w:p>
        </w:tc>
        <w:tc>
          <w:tcPr>
            <w:tcW w:w="717" w:type="dxa"/>
          </w:tcPr>
          <w:p w14:paraId="144DA8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536 (ном)</w:t>
            </w:r>
          </w:p>
        </w:tc>
        <w:tc>
          <w:tcPr>
            <w:tcW w:w="717" w:type="dxa"/>
          </w:tcPr>
          <w:p w14:paraId="023E305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554 (ном)</w:t>
            </w:r>
          </w:p>
        </w:tc>
        <w:tc>
          <w:tcPr>
            <w:tcW w:w="716" w:type="dxa"/>
          </w:tcPr>
          <w:p w14:paraId="26D082E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527(ном)</w:t>
            </w:r>
          </w:p>
        </w:tc>
        <w:tc>
          <w:tcPr>
            <w:tcW w:w="573" w:type="dxa"/>
          </w:tcPr>
          <w:p w14:paraId="283B560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w:t>
            </w:r>
          </w:p>
        </w:tc>
        <w:tc>
          <w:tcPr>
            <w:tcW w:w="573" w:type="dxa"/>
          </w:tcPr>
          <w:p w14:paraId="075F2CA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694180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w:t>
            </w:r>
          </w:p>
        </w:tc>
        <w:tc>
          <w:tcPr>
            <w:tcW w:w="573" w:type="dxa"/>
          </w:tcPr>
          <w:p w14:paraId="10F7FD4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14BCC3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590</w:t>
            </w:r>
          </w:p>
        </w:tc>
        <w:tc>
          <w:tcPr>
            <w:tcW w:w="573" w:type="dxa"/>
          </w:tcPr>
          <w:p w14:paraId="289826C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645</w:t>
            </w:r>
          </w:p>
        </w:tc>
        <w:tc>
          <w:tcPr>
            <w:tcW w:w="573" w:type="dxa"/>
          </w:tcPr>
          <w:p w14:paraId="7015930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861" w:type="dxa"/>
          </w:tcPr>
          <w:p w14:paraId="06B6B7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2хпушки</w:t>
            </w:r>
          </w:p>
        </w:tc>
      </w:tr>
      <w:tr w:rsidR="00983732" w:rsidRPr="00A3026E" w14:paraId="388B2898" w14:textId="77777777" w:rsidTr="00EA0DA7">
        <w:tc>
          <w:tcPr>
            <w:tcW w:w="2127" w:type="dxa"/>
          </w:tcPr>
          <w:p w14:paraId="1499964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Ла-5 М-82Ф зав.№ 39210101 облегченный. Контрольные исп. НИИ ВВС 11 -12.42 г.</w:t>
            </w:r>
          </w:p>
        </w:tc>
        <w:tc>
          <w:tcPr>
            <w:tcW w:w="622" w:type="dxa"/>
          </w:tcPr>
          <w:p w14:paraId="632816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3200</w:t>
            </w:r>
          </w:p>
        </w:tc>
        <w:tc>
          <w:tcPr>
            <w:tcW w:w="717" w:type="dxa"/>
          </w:tcPr>
          <w:p w14:paraId="13FC1E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518 (ном)</w:t>
            </w:r>
          </w:p>
          <w:p w14:paraId="4A3B6FF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556 (ф)</w:t>
            </w:r>
          </w:p>
        </w:tc>
        <w:tc>
          <w:tcPr>
            <w:tcW w:w="717" w:type="dxa"/>
          </w:tcPr>
          <w:p w14:paraId="654453D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582(ном)</w:t>
            </w:r>
          </w:p>
          <w:p w14:paraId="09504C0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597 (ф)</w:t>
            </w:r>
          </w:p>
        </w:tc>
        <w:tc>
          <w:tcPr>
            <w:tcW w:w="717" w:type="dxa"/>
          </w:tcPr>
          <w:p w14:paraId="688146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 (ном)</w:t>
            </w:r>
          </w:p>
          <w:p w14:paraId="427B029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612 (ф)</w:t>
            </w:r>
          </w:p>
        </w:tc>
        <w:tc>
          <w:tcPr>
            <w:tcW w:w="716" w:type="dxa"/>
          </w:tcPr>
          <w:p w14:paraId="041FC72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566(ном)</w:t>
            </w:r>
          </w:p>
          <w:p w14:paraId="5229058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591 (ф)</w:t>
            </w:r>
          </w:p>
        </w:tc>
        <w:tc>
          <w:tcPr>
            <w:tcW w:w="573" w:type="dxa"/>
          </w:tcPr>
          <w:p w14:paraId="0AC4FE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w:t>
            </w:r>
          </w:p>
        </w:tc>
        <w:tc>
          <w:tcPr>
            <w:tcW w:w="573" w:type="dxa"/>
          </w:tcPr>
          <w:p w14:paraId="4272CF7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9650</w:t>
            </w:r>
          </w:p>
        </w:tc>
        <w:tc>
          <w:tcPr>
            <w:tcW w:w="573" w:type="dxa"/>
          </w:tcPr>
          <w:p w14:paraId="498EA86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w:t>
            </w:r>
          </w:p>
        </w:tc>
        <w:tc>
          <w:tcPr>
            <w:tcW w:w="573" w:type="dxa"/>
          </w:tcPr>
          <w:p w14:paraId="00DF67E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573" w:type="dxa"/>
          </w:tcPr>
          <w:p w14:paraId="15A13B9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315</w:t>
            </w:r>
          </w:p>
        </w:tc>
        <w:tc>
          <w:tcPr>
            <w:tcW w:w="573" w:type="dxa"/>
          </w:tcPr>
          <w:p w14:paraId="6577FEA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480</w:t>
            </w:r>
          </w:p>
        </w:tc>
        <w:tc>
          <w:tcPr>
            <w:tcW w:w="573" w:type="dxa"/>
          </w:tcPr>
          <w:p w14:paraId="47720AA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900</w:t>
            </w:r>
          </w:p>
        </w:tc>
        <w:tc>
          <w:tcPr>
            <w:tcW w:w="861" w:type="dxa"/>
          </w:tcPr>
          <w:p w14:paraId="7D0E8120"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1xШВАК</w:t>
            </w:r>
          </w:p>
          <w:p w14:paraId="307CA322" w14:textId="77777777" w:rsidR="0014077F" w:rsidRPr="00A3026E" w:rsidRDefault="0014077F" w:rsidP="00A3026E">
            <w:pPr>
              <w:pStyle w:val="afc"/>
              <w:jc w:val="both"/>
              <w:rPr>
                <w:i w:val="0"/>
                <w:color w:val="000000" w:themeColor="text1"/>
                <w:sz w:val="16"/>
                <w:szCs w:val="16"/>
              </w:rPr>
            </w:pPr>
            <w:r w:rsidRPr="00A3026E">
              <w:rPr>
                <w:i w:val="0"/>
                <w:color w:val="000000" w:themeColor="text1"/>
                <w:sz w:val="16"/>
                <w:szCs w:val="16"/>
              </w:rPr>
              <w:t>1хУБС</w:t>
            </w:r>
          </w:p>
        </w:tc>
      </w:tr>
      <w:tr w:rsidR="00983732" w:rsidRPr="00A3026E" w14:paraId="16305250" w14:textId="77777777" w:rsidTr="00EA0DA7">
        <w:tc>
          <w:tcPr>
            <w:tcW w:w="2127" w:type="dxa"/>
          </w:tcPr>
          <w:p w14:paraId="4DA10F8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Ла-5Ф выпуска 04.43 г. зав.№ 37212383 Контрольные исп. НИИ ВВС май 1943 г.</w:t>
            </w:r>
          </w:p>
        </w:tc>
        <w:tc>
          <w:tcPr>
            <w:tcW w:w="622" w:type="dxa"/>
          </w:tcPr>
          <w:p w14:paraId="36DCC2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3207</w:t>
            </w:r>
          </w:p>
        </w:tc>
        <w:tc>
          <w:tcPr>
            <w:tcW w:w="717" w:type="dxa"/>
          </w:tcPr>
          <w:p w14:paraId="4E13CF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510(ном)</w:t>
            </w:r>
          </w:p>
        </w:tc>
        <w:tc>
          <w:tcPr>
            <w:tcW w:w="717" w:type="dxa"/>
          </w:tcPr>
          <w:p w14:paraId="691CEBB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568(ном)</w:t>
            </w:r>
          </w:p>
        </w:tc>
        <w:tc>
          <w:tcPr>
            <w:tcW w:w="717" w:type="dxa"/>
          </w:tcPr>
          <w:p w14:paraId="158CFC1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586(ном)</w:t>
            </w:r>
          </w:p>
        </w:tc>
        <w:tc>
          <w:tcPr>
            <w:tcW w:w="716" w:type="dxa"/>
          </w:tcPr>
          <w:p w14:paraId="5CB0DCC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081346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w:t>
            </w:r>
          </w:p>
        </w:tc>
        <w:tc>
          <w:tcPr>
            <w:tcW w:w="573" w:type="dxa"/>
          </w:tcPr>
          <w:p w14:paraId="6672D5D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5E8325C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21</w:t>
            </w:r>
          </w:p>
        </w:tc>
        <w:tc>
          <w:tcPr>
            <w:tcW w:w="573" w:type="dxa"/>
          </w:tcPr>
          <w:p w14:paraId="684DEAE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1000</w:t>
            </w:r>
          </w:p>
        </w:tc>
        <w:tc>
          <w:tcPr>
            <w:tcW w:w="573" w:type="dxa"/>
          </w:tcPr>
          <w:p w14:paraId="1038CFE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6E8C5E5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1A0BAA10"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861" w:type="dxa"/>
          </w:tcPr>
          <w:p w14:paraId="4C87F0D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2хШВАК</w:t>
            </w:r>
          </w:p>
        </w:tc>
      </w:tr>
      <w:tr w:rsidR="00983732" w:rsidRPr="00A3026E" w14:paraId="064582E9" w14:textId="77777777" w:rsidTr="00EA0DA7">
        <w:tc>
          <w:tcPr>
            <w:tcW w:w="2127" w:type="dxa"/>
          </w:tcPr>
          <w:p w14:paraId="56D27C7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Ла-5Ф зав.№ 39213050 Контрольные исп. НИИ ВВС 07-08.43 г.</w:t>
            </w:r>
          </w:p>
        </w:tc>
        <w:tc>
          <w:tcPr>
            <w:tcW w:w="622" w:type="dxa"/>
          </w:tcPr>
          <w:p w14:paraId="63FE8E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3227</w:t>
            </w:r>
          </w:p>
        </w:tc>
        <w:tc>
          <w:tcPr>
            <w:tcW w:w="717" w:type="dxa"/>
          </w:tcPr>
          <w:p w14:paraId="37AB666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551 (ф)</w:t>
            </w:r>
          </w:p>
          <w:p w14:paraId="4583959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514 (ном)</w:t>
            </w:r>
          </w:p>
        </w:tc>
        <w:tc>
          <w:tcPr>
            <w:tcW w:w="717" w:type="dxa"/>
          </w:tcPr>
          <w:p w14:paraId="640DBEF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593 (ф)</w:t>
            </w:r>
          </w:p>
          <w:p w14:paraId="7E638A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579 (ном)</w:t>
            </w:r>
          </w:p>
        </w:tc>
        <w:tc>
          <w:tcPr>
            <w:tcW w:w="717" w:type="dxa"/>
          </w:tcPr>
          <w:p w14:paraId="4BBEA3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590 (ф)</w:t>
            </w:r>
          </w:p>
        </w:tc>
        <w:tc>
          <w:tcPr>
            <w:tcW w:w="716" w:type="dxa"/>
          </w:tcPr>
          <w:p w14:paraId="6B9C60C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693A7BD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w:t>
            </w:r>
          </w:p>
        </w:tc>
        <w:tc>
          <w:tcPr>
            <w:tcW w:w="573" w:type="dxa"/>
          </w:tcPr>
          <w:p w14:paraId="03AD487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9550</w:t>
            </w:r>
          </w:p>
        </w:tc>
        <w:tc>
          <w:tcPr>
            <w:tcW w:w="573" w:type="dxa"/>
          </w:tcPr>
          <w:p w14:paraId="29C1A58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04F894B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4F6D4A4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2EC768E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33110B7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861" w:type="dxa"/>
          </w:tcPr>
          <w:p w14:paraId="2FF2878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2хШВАК</w:t>
            </w:r>
          </w:p>
        </w:tc>
      </w:tr>
      <w:tr w:rsidR="00983732" w:rsidRPr="00A3026E" w14:paraId="27D8FB94" w14:textId="77777777" w:rsidTr="00EA0DA7">
        <w:tc>
          <w:tcPr>
            <w:tcW w:w="2127" w:type="dxa"/>
          </w:tcPr>
          <w:p w14:paraId="33BBE1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Ла-5Ф постройки 09.43 г. зав. №3810311 Контрольные исп. НИИ ВВС 09.43 г.</w:t>
            </w:r>
          </w:p>
        </w:tc>
        <w:tc>
          <w:tcPr>
            <w:tcW w:w="622" w:type="dxa"/>
          </w:tcPr>
          <w:p w14:paraId="49CEDE6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3243</w:t>
            </w:r>
          </w:p>
        </w:tc>
        <w:tc>
          <w:tcPr>
            <w:tcW w:w="717" w:type="dxa"/>
          </w:tcPr>
          <w:p w14:paraId="2036123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541 (ф)</w:t>
            </w:r>
          </w:p>
        </w:tc>
        <w:tc>
          <w:tcPr>
            <w:tcW w:w="717" w:type="dxa"/>
          </w:tcPr>
          <w:p w14:paraId="5565C6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586 (ф)</w:t>
            </w:r>
          </w:p>
        </w:tc>
        <w:tc>
          <w:tcPr>
            <w:tcW w:w="717" w:type="dxa"/>
          </w:tcPr>
          <w:p w14:paraId="3C6FE8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591 (ф)</w:t>
            </w:r>
          </w:p>
        </w:tc>
        <w:tc>
          <w:tcPr>
            <w:tcW w:w="716" w:type="dxa"/>
          </w:tcPr>
          <w:p w14:paraId="2C2D41B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5F3F670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w:t>
            </w:r>
          </w:p>
        </w:tc>
        <w:tc>
          <w:tcPr>
            <w:tcW w:w="573" w:type="dxa"/>
          </w:tcPr>
          <w:p w14:paraId="1E60EF1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9700</w:t>
            </w:r>
          </w:p>
        </w:tc>
        <w:tc>
          <w:tcPr>
            <w:tcW w:w="573" w:type="dxa"/>
          </w:tcPr>
          <w:p w14:paraId="07C1BE0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2EA480A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77E8DD5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3B80157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3BC36AC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861" w:type="dxa"/>
          </w:tcPr>
          <w:p w14:paraId="52E49FF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2хСП-20</w:t>
            </w:r>
          </w:p>
        </w:tc>
      </w:tr>
      <w:tr w:rsidR="00983732" w:rsidRPr="00A3026E" w14:paraId="0429D653" w14:textId="77777777" w:rsidTr="00EA0DA7">
        <w:tc>
          <w:tcPr>
            <w:tcW w:w="2127" w:type="dxa"/>
          </w:tcPr>
          <w:p w14:paraId="4A382F7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Ла-5Ф зав.№ 3799062 Контрольные исп. НИИ ВВС 02.44 г. </w:t>
            </w:r>
          </w:p>
        </w:tc>
        <w:tc>
          <w:tcPr>
            <w:tcW w:w="622" w:type="dxa"/>
          </w:tcPr>
          <w:p w14:paraId="688296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3248</w:t>
            </w:r>
          </w:p>
        </w:tc>
        <w:tc>
          <w:tcPr>
            <w:tcW w:w="717" w:type="dxa"/>
          </w:tcPr>
          <w:p w14:paraId="74CB8F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551 (ф)</w:t>
            </w:r>
          </w:p>
        </w:tc>
        <w:tc>
          <w:tcPr>
            <w:tcW w:w="717" w:type="dxa"/>
          </w:tcPr>
          <w:p w14:paraId="405EA15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590 (ф)</w:t>
            </w:r>
          </w:p>
        </w:tc>
        <w:tc>
          <w:tcPr>
            <w:tcW w:w="717" w:type="dxa"/>
          </w:tcPr>
          <w:p w14:paraId="096154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570 (ф)</w:t>
            </w:r>
          </w:p>
        </w:tc>
        <w:tc>
          <w:tcPr>
            <w:tcW w:w="716" w:type="dxa"/>
          </w:tcPr>
          <w:p w14:paraId="75EA624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550 (ф)</w:t>
            </w:r>
          </w:p>
        </w:tc>
        <w:tc>
          <w:tcPr>
            <w:tcW w:w="573" w:type="dxa"/>
          </w:tcPr>
          <w:p w14:paraId="3BC8689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w:t>
            </w:r>
          </w:p>
        </w:tc>
        <w:tc>
          <w:tcPr>
            <w:tcW w:w="573" w:type="dxa"/>
          </w:tcPr>
          <w:p w14:paraId="1261A1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9670</w:t>
            </w:r>
          </w:p>
        </w:tc>
        <w:tc>
          <w:tcPr>
            <w:tcW w:w="573" w:type="dxa"/>
          </w:tcPr>
          <w:p w14:paraId="4685545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0401D1F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54E1DA2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777C1FE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6FE0D12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861" w:type="dxa"/>
          </w:tcPr>
          <w:p w14:paraId="1EC4EFA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3DDAEF21" w14:textId="77777777" w:rsidTr="00EA0DA7">
        <w:tc>
          <w:tcPr>
            <w:tcW w:w="2127" w:type="dxa"/>
          </w:tcPr>
          <w:p w14:paraId="540FD1A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Ла-5Ф выпуска 04.44 г. (крыло с мет. лонжеронами) Контрольные исп. НИИ ВВС 04-05.44 г. </w:t>
            </w:r>
          </w:p>
        </w:tc>
        <w:tc>
          <w:tcPr>
            <w:tcW w:w="622" w:type="dxa"/>
          </w:tcPr>
          <w:p w14:paraId="7DEB6AB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3173</w:t>
            </w:r>
          </w:p>
        </w:tc>
        <w:tc>
          <w:tcPr>
            <w:tcW w:w="717" w:type="dxa"/>
          </w:tcPr>
          <w:p w14:paraId="4B69769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 (ф)</w:t>
            </w:r>
          </w:p>
        </w:tc>
        <w:tc>
          <w:tcPr>
            <w:tcW w:w="717" w:type="dxa"/>
          </w:tcPr>
          <w:p w14:paraId="27F6B0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576 (ф)</w:t>
            </w:r>
          </w:p>
        </w:tc>
        <w:tc>
          <w:tcPr>
            <w:tcW w:w="717" w:type="dxa"/>
          </w:tcPr>
          <w:p w14:paraId="3DE018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580 (ф)</w:t>
            </w:r>
          </w:p>
        </w:tc>
        <w:tc>
          <w:tcPr>
            <w:tcW w:w="716" w:type="dxa"/>
          </w:tcPr>
          <w:p w14:paraId="591A67F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548 (ф)</w:t>
            </w:r>
          </w:p>
        </w:tc>
        <w:tc>
          <w:tcPr>
            <w:tcW w:w="573" w:type="dxa"/>
          </w:tcPr>
          <w:p w14:paraId="651400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w:t>
            </w:r>
          </w:p>
        </w:tc>
        <w:tc>
          <w:tcPr>
            <w:tcW w:w="573" w:type="dxa"/>
          </w:tcPr>
          <w:p w14:paraId="4B537D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9600</w:t>
            </w:r>
          </w:p>
        </w:tc>
        <w:tc>
          <w:tcPr>
            <w:tcW w:w="573" w:type="dxa"/>
          </w:tcPr>
          <w:p w14:paraId="5D154FB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15A0F70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5B319A90"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19036A0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3307F8C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861" w:type="dxa"/>
          </w:tcPr>
          <w:p w14:paraId="53DF7010"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BAF7273" w14:textId="77777777" w:rsidTr="00EA0DA7">
        <w:tc>
          <w:tcPr>
            <w:tcW w:w="2127" w:type="dxa"/>
          </w:tcPr>
          <w:p w14:paraId="13148C4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Ла-5 М-82ФН опытный. дублер, зав.№ 39210102 Контрольные исп. НИИ ВВС 04.43 г. </w:t>
            </w:r>
          </w:p>
        </w:tc>
        <w:tc>
          <w:tcPr>
            <w:tcW w:w="622" w:type="dxa"/>
          </w:tcPr>
          <w:p w14:paraId="16551CC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3168</w:t>
            </w:r>
          </w:p>
        </w:tc>
        <w:tc>
          <w:tcPr>
            <w:tcW w:w="717" w:type="dxa"/>
          </w:tcPr>
          <w:p w14:paraId="5A3D307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562 (ном)</w:t>
            </w:r>
          </w:p>
          <w:p w14:paraId="787843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595 (ф)</w:t>
            </w:r>
          </w:p>
        </w:tc>
        <w:tc>
          <w:tcPr>
            <w:tcW w:w="717" w:type="dxa"/>
          </w:tcPr>
          <w:p w14:paraId="38C0A2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626 (ном)</w:t>
            </w:r>
          </w:p>
          <w:p w14:paraId="511DDE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630 (ф)</w:t>
            </w:r>
          </w:p>
        </w:tc>
        <w:tc>
          <w:tcPr>
            <w:tcW w:w="717" w:type="dxa"/>
          </w:tcPr>
          <w:p w14:paraId="01EF848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648</w:t>
            </w:r>
          </w:p>
        </w:tc>
        <w:tc>
          <w:tcPr>
            <w:tcW w:w="716" w:type="dxa"/>
          </w:tcPr>
          <w:p w14:paraId="5CBB85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622</w:t>
            </w:r>
          </w:p>
        </w:tc>
        <w:tc>
          <w:tcPr>
            <w:tcW w:w="573" w:type="dxa"/>
          </w:tcPr>
          <w:p w14:paraId="21073A1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4,7</w:t>
            </w:r>
          </w:p>
        </w:tc>
        <w:tc>
          <w:tcPr>
            <w:tcW w:w="573" w:type="dxa"/>
          </w:tcPr>
          <w:p w14:paraId="2D4C9AA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11200</w:t>
            </w:r>
          </w:p>
        </w:tc>
        <w:tc>
          <w:tcPr>
            <w:tcW w:w="573" w:type="dxa"/>
          </w:tcPr>
          <w:p w14:paraId="6ED62D7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18,5</w:t>
            </w:r>
          </w:p>
        </w:tc>
        <w:tc>
          <w:tcPr>
            <w:tcW w:w="573" w:type="dxa"/>
          </w:tcPr>
          <w:p w14:paraId="299B39E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573" w:type="dxa"/>
          </w:tcPr>
          <w:p w14:paraId="4308F63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49DA3E4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5494CA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765</w:t>
            </w:r>
          </w:p>
        </w:tc>
        <w:tc>
          <w:tcPr>
            <w:tcW w:w="861" w:type="dxa"/>
          </w:tcPr>
          <w:p w14:paraId="6B3497C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2хШВАК</w:t>
            </w:r>
          </w:p>
        </w:tc>
      </w:tr>
      <w:tr w:rsidR="00983732" w:rsidRPr="00A3026E" w14:paraId="49EA233C" w14:textId="77777777" w:rsidTr="00EA0DA7">
        <w:tc>
          <w:tcPr>
            <w:tcW w:w="2127" w:type="dxa"/>
          </w:tcPr>
          <w:p w14:paraId="74C698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Ла-5ФН выпуска 05.43 г. зав.№ 39210104 Контрольные исп. НИИ ВВС 05-06.43 г. </w:t>
            </w:r>
          </w:p>
        </w:tc>
        <w:tc>
          <w:tcPr>
            <w:tcW w:w="622" w:type="dxa"/>
          </w:tcPr>
          <w:p w14:paraId="01E0769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3305</w:t>
            </w:r>
          </w:p>
        </w:tc>
        <w:tc>
          <w:tcPr>
            <w:tcW w:w="717" w:type="dxa"/>
          </w:tcPr>
          <w:p w14:paraId="1B33615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530 (ном)</w:t>
            </w:r>
          </w:p>
        </w:tc>
        <w:tc>
          <w:tcPr>
            <w:tcW w:w="717" w:type="dxa"/>
          </w:tcPr>
          <w:p w14:paraId="1D2A2D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590 (ном)</w:t>
            </w:r>
          </w:p>
        </w:tc>
        <w:tc>
          <w:tcPr>
            <w:tcW w:w="717" w:type="dxa"/>
          </w:tcPr>
          <w:p w14:paraId="7622A7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 (ном)</w:t>
            </w:r>
          </w:p>
        </w:tc>
        <w:tc>
          <w:tcPr>
            <w:tcW w:w="716" w:type="dxa"/>
          </w:tcPr>
          <w:p w14:paraId="2A7F0B8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66EABD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573" w:type="dxa"/>
          </w:tcPr>
          <w:p w14:paraId="5680F17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10550</w:t>
            </w:r>
          </w:p>
        </w:tc>
        <w:tc>
          <w:tcPr>
            <w:tcW w:w="573" w:type="dxa"/>
          </w:tcPr>
          <w:p w14:paraId="2BBC235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19,5</w:t>
            </w:r>
          </w:p>
        </w:tc>
        <w:tc>
          <w:tcPr>
            <w:tcW w:w="573" w:type="dxa"/>
          </w:tcPr>
          <w:p w14:paraId="6BA4BAE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29A2811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5A3F151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4119D77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861" w:type="dxa"/>
          </w:tcPr>
          <w:p w14:paraId="176CF47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2хШВАК</w:t>
            </w:r>
          </w:p>
        </w:tc>
      </w:tr>
      <w:tr w:rsidR="00983732" w:rsidRPr="00A3026E" w14:paraId="71576AAB" w14:textId="77777777" w:rsidTr="00EA0DA7">
        <w:tc>
          <w:tcPr>
            <w:tcW w:w="2127" w:type="dxa"/>
          </w:tcPr>
          <w:p w14:paraId="365697A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Ла-5ФН выпуска 10.43 г. зав..№ 39210495 Контрольные исп. НИИ ВВС 09-10.43 г. </w:t>
            </w:r>
          </w:p>
        </w:tc>
        <w:tc>
          <w:tcPr>
            <w:tcW w:w="622" w:type="dxa"/>
          </w:tcPr>
          <w:p w14:paraId="3303C5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3322</w:t>
            </w:r>
          </w:p>
        </w:tc>
        <w:tc>
          <w:tcPr>
            <w:tcW w:w="717" w:type="dxa"/>
          </w:tcPr>
          <w:p w14:paraId="32B784B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542 (ном)</w:t>
            </w:r>
          </w:p>
        </w:tc>
        <w:tc>
          <w:tcPr>
            <w:tcW w:w="717" w:type="dxa"/>
          </w:tcPr>
          <w:p w14:paraId="456BF51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607 (ном)</w:t>
            </w:r>
          </w:p>
        </w:tc>
        <w:tc>
          <w:tcPr>
            <w:tcW w:w="717" w:type="dxa"/>
          </w:tcPr>
          <w:p w14:paraId="59A74B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620 (ном)</w:t>
            </w:r>
          </w:p>
        </w:tc>
        <w:tc>
          <w:tcPr>
            <w:tcW w:w="716" w:type="dxa"/>
          </w:tcPr>
          <w:p w14:paraId="01F712A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 (ном)</w:t>
            </w:r>
          </w:p>
        </w:tc>
        <w:tc>
          <w:tcPr>
            <w:tcW w:w="573" w:type="dxa"/>
          </w:tcPr>
          <w:p w14:paraId="7E9478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573" w:type="dxa"/>
          </w:tcPr>
          <w:p w14:paraId="20E73C8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10700</w:t>
            </w:r>
          </w:p>
        </w:tc>
        <w:tc>
          <w:tcPr>
            <w:tcW w:w="573" w:type="dxa"/>
          </w:tcPr>
          <w:p w14:paraId="620ACFC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19,5</w:t>
            </w:r>
          </w:p>
        </w:tc>
        <w:tc>
          <w:tcPr>
            <w:tcW w:w="573" w:type="dxa"/>
          </w:tcPr>
          <w:p w14:paraId="53D0F3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1100</w:t>
            </w:r>
          </w:p>
        </w:tc>
        <w:tc>
          <w:tcPr>
            <w:tcW w:w="573" w:type="dxa"/>
          </w:tcPr>
          <w:p w14:paraId="1219A3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285</w:t>
            </w:r>
          </w:p>
        </w:tc>
        <w:tc>
          <w:tcPr>
            <w:tcW w:w="573" w:type="dxa"/>
          </w:tcPr>
          <w:p w14:paraId="7CABF66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485</w:t>
            </w:r>
          </w:p>
        </w:tc>
        <w:tc>
          <w:tcPr>
            <w:tcW w:w="573" w:type="dxa"/>
          </w:tcPr>
          <w:p w14:paraId="6C19D9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775</w:t>
            </w:r>
          </w:p>
        </w:tc>
        <w:tc>
          <w:tcPr>
            <w:tcW w:w="861" w:type="dxa"/>
          </w:tcPr>
          <w:p w14:paraId="36BC500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2хСП-20</w:t>
            </w:r>
          </w:p>
        </w:tc>
      </w:tr>
      <w:tr w:rsidR="00983732" w:rsidRPr="00A3026E" w14:paraId="17C1858D" w14:textId="77777777" w:rsidTr="00EA0DA7">
        <w:tc>
          <w:tcPr>
            <w:tcW w:w="2127" w:type="dxa"/>
          </w:tcPr>
          <w:p w14:paraId="41A416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 xml:space="preserve">Ла-5ФН выпуска 01.44 г. зав.№ 3921 1257 Контрольные исп. НИИ ВВС 01-02.44 г. </w:t>
            </w:r>
          </w:p>
        </w:tc>
        <w:tc>
          <w:tcPr>
            <w:tcW w:w="622" w:type="dxa"/>
          </w:tcPr>
          <w:p w14:paraId="4F02504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3320</w:t>
            </w:r>
          </w:p>
        </w:tc>
        <w:tc>
          <w:tcPr>
            <w:tcW w:w="717" w:type="dxa"/>
          </w:tcPr>
          <w:p w14:paraId="26CE95F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546 (ном)</w:t>
            </w:r>
          </w:p>
        </w:tc>
        <w:tc>
          <w:tcPr>
            <w:tcW w:w="717" w:type="dxa"/>
          </w:tcPr>
          <w:p w14:paraId="5E5B632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610 (ном)</w:t>
            </w:r>
          </w:p>
        </w:tc>
        <w:tc>
          <w:tcPr>
            <w:tcW w:w="717" w:type="dxa"/>
          </w:tcPr>
          <w:p w14:paraId="72F844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626 (ном)</w:t>
            </w:r>
          </w:p>
        </w:tc>
        <w:tc>
          <w:tcPr>
            <w:tcW w:w="716" w:type="dxa"/>
          </w:tcPr>
          <w:p w14:paraId="3979564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602 (ном)</w:t>
            </w:r>
          </w:p>
        </w:tc>
        <w:tc>
          <w:tcPr>
            <w:tcW w:w="573" w:type="dxa"/>
          </w:tcPr>
          <w:p w14:paraId="7EEF7FF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450DEE7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42823840"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18B4D41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6C39D604"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01D438D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45962ED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861" w:type="dxa"/>
          </w:tcPr>
          <w:p w14:paraId="2D9066B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2хСП-20</w:t>
            </w:r>
          </w:p>
        </w:tc>
      </w:tr>
      <w:tr w:rsidR="00983732" w:rsidRPr="00A3026E" w14:paraId="1E764B4E" w14:textId="77777777" w:rsidTr="00EA0DA7">
        <w:tc>
          <w:tcPr>
            <w:tcW w:w="2127" w:type="dxa"/>
          </w:tcPr>
          <w:p w14:paraId="762D2A7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Ла-5 эталон 1944 г. НИИ ВВС март 1944 г.</w:t>
            </w:r>
          </w:p>
        </w:tc>
        <w:tc>
          <w:tcPr>
            <w:tcW w:w="622" w:type="dxa"/>
          </w:tcPr>
          <w:p w14:paraId="3DC40D6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3265</w:t>
            </w:r>
          </w:p>
        </w:tc>
        <w:tc>
          <w:tcPr>
            <w:tcW w:w="717" w:type="dxa"/>
          </w:tcPr>
          <w:p w14:paraId="2543C6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597 (ном)</w:t>
            </w:r>
          </w:p>
        </w:tc>
        <w:tc>
          <w:tcPr>
            <w:tcW w:w="717" w:type="dxa"/>
          </w:tcPr>
          <w:p w14:paraId="34259CD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670 (ном)</w:t>
            </w:r>
          </w:p>
        </w:tc>
        <w:tc>
          <w:tcPr>
            <w:tcW w:w="717" w:type="dxa"/>
          </w:tcPr>
          <w:p w14:paraId="21FDC63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680 (ном)</w:t>
            </w:r>
          </w:p>
        </w:tc>
        <w:tc>
          <w:tcPr>
            <w:tcW w:w="716" w:type="dxa"/>
          </w:tcPr>
          <w:p w14:paraId="1FAAAA2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661 (ном)</w:t>
            </w:r>
          </w:p>
        </w:tc>
        <w:tc>
          <w:tcPr>
            <w:tcW w:w="573" w:type="dxa"/>
          </w:tcPr>
          <w:p w14:paraId="714DDF5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4,5</w:t>
            </w:r>
          </w:p>
        </w:tc>
        <w:tc>
          <w:tcPr>
            <w:tcW w:w="573" w:type="dxa"/>
          </w:tcPr>
          <w:p w14:paraId="537E42FB"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2DDC758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7D953D17"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61558A0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299CECF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043B589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861" w:type="dxa"/>
          </w:tcPr>
          <w:p w14:paraId="73C317D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2хУБ-20</w:t>
            </w:r>
          </w:p>
        </w:tc>
      </w:tr>
      <w:tr w:rsidR="00983732" w:rsidRPr="00A3026E" w14:paraId="6E8942A9" w14:textId="77777777" w:rsidTr="00EA0DA7">
        <w:tc>
          <w:tcPr>
            <w:tcW w:w="2127" w:type="dxa"/>
          </w:tcPr>
          <w:p w14:paraId="3B33ABC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Ла-7ФН головной серии выпуска 07.44 г. зав. № 45210150 Контрольные исп. НИИ ВВС 08.44 г.</w:t>
            </w:r>
          </w:p>
        </w:tc>
        <w:tc>
          <w:tcPr>
            <w:tcW w:w="622" w:type="dxa"/>
          </w:tcPr>
          <w:p w14:paraId="4852C7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3234</w:t>
            </w:r>
          </w:p>
        </w:tc>
        <w:tc>
          <w:tcPr>
            <w:tcW w:w="717" w:type="dxa"/>
          </w:tcPr>
          <w:p w14:paraId="2AC4951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554 (ном)</w:t>
            </w:r>
          </w:p>
        </w:tc>
        <w:tc>
          <w:tcPr>
            <w:tcW w:w="717" w:type="dxa"/>
          </w:tcPr>
          <w:p w14:paraId="529781F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624 (ном)</w:t>
            </w:r>
          </w:p>
        </w:tc>
        <w:tc>
          <w:tcPr>
            <w:tcW w:w="717" w:type="dxa"/>
          </w:tcPr>
          <w:p w14:paraId="1962DEC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640 (ном)</w:t>
            </w:r>
          </w:p>
        </w:tc>
        <w:tc>
          <w:tcPr>
            <w:tcW w:w="716" w:type="dxa"/>
          </w:tcPr>
          <w:p w14:paraId="0109CC58"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618 (ном)</w:t>
            </w:r>
          </w:p>
        </w:tc>
        <w:tc>
          <w:tcPr>
            <w:tcW w:w="573" w:type="dxa"/>
          </w:tcPr>
          <w:p w14:paraId="6FF1011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5,1</w:t>
            </w:r>
          </w:p>
        </w:tc>
        <w:tc>
          <w:tcPr>
            <w:tcW w:w="573" w:type="dxa"/>
          </w:tcPr>
          <w:p w14:paraId="0BC3C73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11300</w:t>
            </w:r>
          </w:p>
        </w:tc>
        <w:tc>
          <w:tcPr>
            <w:tcW w:w="573" w:type="dxa"/>
          </w:tcPr>
          <w:p w14:paraId="70BF6C83"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7AB2D95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3A49EE0D"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413E28C9"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08AF8C7A"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861" w:type="dxa"/>
          </w:tcPr>
          <w:p w14:paraId="51ACD58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2ХСП-20</w:t>
            </w:r>
          </w:p>
        </w:tc>
      </w:tr>
      <w:tr w:rsidR="00983732" w:rsidRPr="00A3026E" w14:paraId="17CE5B7A" w14:textId="77777777" w:rsidTr="00EA0DA7">
        <w:tc>
          <w:tcPr>
            <w:tcW w:w="2127" w:type="dxa"/>
          </w:tcPr>
          <w:p w14:paraId="22CF2F5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Ла-7ФН головной серии выпуска 07.44 г. зав. № 45210203 Контрольные исп. НИИ ВВС 08-09.44 г.</w:t>
            </w:r>
          </w:p>
        </w:tc>
        <w:tc>
          <w:tcPr>
            <w:tcW w:w="622" w:type="dxa"/>
          </w:tcPr>
          <w:p w14:paraId="01576C9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3232</w:t>
            </w:r>
          </w:p>
        </w:tc>
        <w:tc>
          <w:tcPr>
            <w:tcW w:w="717" w:type="dxa"/>
          </w:tcPr>
          <w:p w14:paraId="11ED330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555 (ном)</w:t>
            </w:r>
          </w:p>
          <w:p w14:paraId="53CC1F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592 (ф)</w:t>
            </w:r>
          </w:p>
        </w:tc>
        <w:tc>
          <w:tcPr>
            <w:tcW w:w="717" w:type="dxa"/>
          </w:tcPr>
          <w:p w14:paraId="58E3B23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634 (ном)</w:t>
            </w:r>
          </w:p>
        </w:tc>
        <w:tc>
          <w:tcPr>
            <w:tcW w:w="717" w:type="dxa"/>
          </w:tcPr>
          <w:p w14:paraId="3239A4E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652 (ном)</w:t>
            </w:r>
          </w:p>
        </w:tc>
        <w:tc>
          <w:tcPr>
            <w:tcW w:w="716" w:type="dxa"/>
          </w:tcPr>
          <w:p w14:paraId="6878FEF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627 (ном)</w:t>
            </w:r>
          </w:p>
        </w:tc>
        <w:tc>
          <w:tcPr>
            <w:tcW w:w="573" w:type="dxa"/>
          </w:tcPr>
          <w:p w14:paraId="04DA7F5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5,0</w:t>
            </w:r>
          </w:p>
        </w:tc>
        <w:tc>
          <w:tcPr>
            <w:tcW w:w="573" w:type="dxa"/>
          </w:tcPr>
          <w:p w14:paraId="4D54AB4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11300</w:t>
            </w:r>
          </w:p>
        </w:tc>
        <w:tc>
          <w:tcPr>
            <w:tcW w:w="573" w:type="dxa"/>
          </w:tcPr>
          <w:p w14:paraId="443BF89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w:t>
            </w:r>
          </w:p>
        </w:tc>
        <w:tc>
          <w:tcPr>
            <w:tcW w:w="573" w:type="dxa"/>
          </w:tcPr>
          <w:p w14:paraId="4BBBC5D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1200-1250</w:t>
            </w:r>
          </w:p>
        </w:tc>
        <w:tc>
          <w:tcPr>
            <w:tcW w:w="573" w:type="dxa"/>
          </w:tcPr>
          <w:p w14:paraId="7DA1A9E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340</w:t>
            </w:r>
          </w:p>
        </w:tc>
        <w:tc>
          <w:tcPr>
            <w:tcW w:w="573" w:type="dxa"/>
          </w:tcPr>
          <w:p w14:paraId="3E00438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530</w:t>
            </w:r>
          </w:p>
        </w:tc>
        <w:tc>
          <w:tcPr>
            <w:tcW w:w="573" w:type="dxa"/>
          </w:tcPr>
          <w:p w14:paraId="2B2C9EC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820</w:t>
            </w:r>
          </w:p>
        </w:tc>
        <w:tc>
          <w:tcPr>
            <w:tcW w:w="861" w:type="dxa"/>
          </w:tcPr>
          <w:p w14:paraId="69D47D0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2хСП-20</w:t>
            </w:r>
          </w:p>
        </w:tc>
      </w:tr>
      <w:tr w:rsidR="00983732" w:rsidRPr="00A3026E" w14:paraId="71746435" w14:textId="77777777" w:rsidTr="00EA0DA7">
        <w:tc>
          <w:tcPr>
            <w:tcW w:w="2127" w:type="dxa"/>
          </w:tcPr>
          <w:p w14:paraId="6298258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Ла-7 серийный выпуска 08.44 г. зав. № 45210327 Контрольные исп. НИИ ВВС 08.44 г</w:t>
            </w:r>
            <w:r w:rsidRPr="00A3026E">
              <w:rPr>
                <w:rFonts w:ascii="Times New Roman" w:hAnsi="Times New Roman"/>
                <w:iCs/>
                <w:color w:val="000000" w:themeColor="text1"/>
                <w:sz w:val="16"/>
                <w:szCs w:val="16"/>
              </w:rPr>
              <w:t>.</w:t>
            </w:r>
          </w:p>
        </w:tc>
        <w:tc>
          <w:tcPr>
            <w:tcW w:w="622" w:type="dxa"/>
          </w:tcPr>
          <w:p w14:paraId="01E5379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3234</w:t>
            </w:r>
          </w:p>
        </w:tc>
        <w:tc>
          <w:tcPr>
            <w:tcW w:w="717" w:type="dxa"/>
          </w:tcPr>
          <w:p w14:paraId="51934E0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572 (ном)</w:t>
            </w:r>
          </w:p>
          <w:p w14:paraId="1B24A9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612 (ф)</w:t>
            </w:r>
          </w:p>
        </w:tc>
        <w:tc>
          <w:tcPr>
            <w:tcW w:w="717" w:type="dxa"/>
          </w:tcPr>
          <w:p w14:paraId="6899A0F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648 (ном)</w:t>
            </w:r>
          </w:p>
        </w:tc>
        <w:tc>
          <w:tcPr>
            <w:tcW w:w="717" w:type="dxa"/>
          </w:tcPr>
          <w:p w14:paraId="68C189C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655 (ном)</w:t>
            </w:r>
          </w:p>
        </w:tc>
        <w:tc>
          <w:tcPr>
            <w:tcW w:w="716" w:type="dxa"/>
          </w:tcPr>
          <w:p w14:paraId="63CEC9B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628 (ном)</w:t>
            </w:r>
          </w:p>
        </w:tc>
        <w:tc>
          <w:tcPr>
            <w:tcW w:w="573" w:type="dxa"/>
          </w:tcPr>
          <w:p w14:paraId="0F1E57F1"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1A206AD5"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68AF1C4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20DCEB1F"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5634CC7E"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4295DB82"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Pr>
          <w:p w14:paraId="0A12ECFC"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861" w:type="dxa"/>
          </w:tcPr>
          <w:p w14:paraId="131A4276"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r>
      <w:tr w:rsidR="00983732" w:rsidRPr="00A3026E" w14:paraId="5982191F" w14:textId="77777777" w:rsidTr="00EA0DA7">
        <w:tc>
          <w:tcPr>
            <w:tcW w:w="2127" w:type="dxa"/>
          </w:tcPr>
          <w:p w14:paraId="1935401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“430” (опытный Ла-9) Гос. испытания НИИ ВВС 06-07.46 г.</w:t>
            </w:r>
          </w:p>
        </w:tc>
        <w:tc>
          <w:tcPr>
            <w:tcW w:w="622" w:type="dxa"/>
          </w:tcPr>
          <w:p w14:paraId="2AE7749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3425</w:t>
            </w:r>
          </w:p>
        </w:tc>
        <w:tc>
          <w:tcPr>
            <w:tcW w:w="717" w:type="dxa"/>
          </w:tcPr>
          <w:p w14:paraId="0C6F8E7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 (ном)</w:t>
            </w:r>
          </w:p>
          <w:p w14:paraId="2EB9DA2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640 (ф)</w:t>
            </w:r>
          </w:p>
        </w:tc>
        <w:tc>
          <w:tcPr>
            <w:tcW w:w="717" w:type="dxa"/>
          </w:tcPr>
          <w:p w14:paraId="2AF3D3D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670 (ном)</w:t>
            </w:r>
          </w:p>
        </w:tc>
        <w:tc>
          <w:tcPr>
            <w:tcW w:w="717" w:type="dxa"/>
          </w:tcPr>
          <w:p w14:paraId="6713346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690 (ном)</w:t>
            </w:r>
          </w:p>
        </w:tc>
        <w:tc>
          <w:tcPr>
            <w:tcW w:w="716" w:type="dxa"/>
          </w:tcPr>
          <w:p w14:paraId="66CF187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664 (ном)</w:t>
            </w:r>
          </w:p>
        </w:tc>
        <w:tc>
          <w:tcPr>
            <w:tcW w:w="573" w:type="dxa"/>
          </w:tcPr>
          <w:p w14:paraId="31EA18B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w:t>
            </w:r>
          </w:p>
        </w:tc>
        <w:tc>
          <w:tcPr>
            <w:tcW w:w="573" w:type="dxa"/>
          </w:tcPr>
          <w:p w14:paraId="7CC2367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10800</w:t>
            </w:r>
          </w:p>
        </w:tc>
        <w:tc>
          <w:tcPr>
            <w:tcW w:w="573" w:type="dxa"/>
          </w:tcPr>
          <w:p w14:paraId="41B11A6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20,5</w:t>
            </w:r>
          </w:p>
        </w:tc>
        <w:tc>
          <w:tcPr>
            <w:tcW w:w="573" w:type="dxa"/>
          </w:tcPr>
          <w:p w14:paraId="424D9A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1300</w:t>
            </w:r>
          </w:p>
        </w:tc>
        <w:tc>
          <w:tcPr>
            <w:tcW w:w="573" w:type="dxa"/>
          </w:tcPr>
          <w:p w14:paraId="363D964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345</w:t>
            </w:r>
          </w:p>
        </w:tc>
        <w:tc>
          <w:tcPr>
            <w:tcW w:w="573" w:type="dxa"/>
          </w:tcPr>
          <w:p w14:paraId="73BBA26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490</w:t>
            </w:r>
          </w:p>
        </w:tc>
        <w:tc>
          <w:tcPr>
            <w:tcW w:w="573" w:type="dxa"/>
          </w:tcPr>
          <w:p w14:paraId="0052E7A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1735</w:t>
            </w:r>
          </w:p>
        </w:tc>
        <w:tc>
          <w:tcPr>
            <w:tcW w:w="861" w:type="dxa"/>
          </w:tcPr>
          <w:p w14:paraId="078D79B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4хНС-23</w:t>
            </w:r>
          </w:p>
        </w:tc>
      </w:tr>
      <w:tr w:rsidR="00983732" w:rsidRPr="00A3026E" w14:paraId="664B3CDD" w14:textId="77777777" w:rsidTr="00EA0DA7">
        <w:tc>
          <w:tcPr>
            <w:tcW w:w="2127" w:type="dxa"/>
            <w:tcBorders>
              <w:bottom w:val="single" w:sz="12" w:space="0" w:color="auto"/>
            </w:tcBorders>
          </w:tcPr>
          <w:p w14:paraId="6F0AAD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Самолет "134" (Ла-9 с увеличенным запасом топлива - Ла-11) Гос. испытания НИИ ВВС 06-07.47 г.</w:t>
            </w:r>
          </w:p>
        </w:tc>
        <w:tc>
          <w:tcPr>
            <w:tcW w:w="622" w:type="dxa"/>
            <w:tcBorders>
              <w:bottom w:val="single" w:sz="12" w:space="0" w:color="auto"/>
            </w:tcBorders>
          </w:tcPr>
          <w:p w14:paraId="07B732E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3996</w:t>
            </w:r>
          </w:p>
        </w:tc>
        <w:tc>
          <w:tcPr>
            <w:tcW w:w="717" w:type="dxa"/>
            <w:tcBorders>
              <w:bottom w:val="single" w:sz="12" w:space="0" w:color="auto"/>
            </w:tcBorders>
          </w:tcPr>
          <w:p w14:paraId="1A279CB6"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562 (ном)</w:t>
            </w:r>
          </w:p>
        </w:tc>
        <w:tc>
          <w:tcPr>
            <w:tcW w:w="717" w:type="dxa"/>
            <w:tcBorders>
              <w:bottom w:val="single" w:sz="12" w:space="0" w:color="auto"/>
            </w:tcBorders>
          </w:tcPr>
          <w:p w14:paraId="7CB3A3B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656 (ном)</w:t>
            </w:r>
          </w:p>
        </w:tc>
        <w:tc>
          <w:tcPr>
            <w:tcW w:w="717" w:type="dxa"/>
            <w:tcBorders>
              <w:bottom w:val="single" w:sz="12" w:space="0" w:color="auto"/>
            </w:tcBorders>
          </w:tcPr>
          <w:p w14:paraId="129CAD2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674 (ном)</w:t>
            </w:r>
          </w:p>
        </w:tc>
        <w:tc>
          <w:tcPr>
            <w:tcW w:w="716" w:type="dxa"/>
            <w:tcBorders>
              <w:bottom w:val="single" w:sz="12" w:space="0" w:color="auto"/>
            </w:tcBorders>
          </w:tcPr>
          <w:p w14:paraId="1FAA720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644 (ном)</w:t>
            </w:r>
          </w:p>
        </w:tc>
        <w:tc>
          <w:tcPr>
            <w:tcW w:w="573" w:type="dxa"/>
            <w:tcBorders>
              <w:bottom w:val="single" w:sz="12" w:space="0" w:color="auto"/>
            </w:tcBorders>
          </w:tcPr>
          <w:p w14:paraId="68E5425E"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6,6</w:t>
            </w:r>
          </w:p>
        </w:tc>
        <w:tc>
          <w:tcPr>
            <w:tcW w:w="573" w:type="dxa"/>
            <w:tcBorders>
              <w:bottom w:val="single" w:sz="12" w:space="0" w:color="auto"/>
            </w:tcBorders>
          </w:tcPr>
          <w:p w14:paraId="3E30097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10250</w:t>
            </w:r>
          </w:p>
        </w:tc>
        <w:tc>
          <w:tcPr>
            <w:tcW w:w="573" w:type="dxa"/>
            <w:tcBorders>
              <w:bottom w:val="single" w:sz="12" w:space="0" w:color="auto"/>
            </w:tcBorders>
          </w:tcPr>
          <w:p w14:paraId="53E7AA4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24-25</w:t>
            </w:r>
          </w:p>
        </w:tc>
        <w:tc>
          <w:tcPr>
            <w:tcW w:w="573" w:type="dxa"/>
            <w:tcBorders>
              <w:bottom w:val="single" w:sz="12" w:space="0" w:color="auto"/>
            </w:tcBorders>
          </w:tcPr>
          <w:p w14:paraId="797BC798" w14:textId="77777777" w:rsidR="0014077F" w:rsidRPr="00A3026E" w:rsidRDefault="0014077F" w:rsidP="00A3026E">
            <w:pPr>
              <w:spacing w:after="0" w:line="240" w:lineRule="auto"/>
              <w:jc w:val="both"/>
              <w:rPr>
                <w:rFonts w:ascii="Times New Roman" w:hAnsi="Times New Roman"/>
                <w:color w:val="000000" w:themeColor="text1"/>
                <w:sz w:val="16"/>
                <w:szCs w:val="16"/>
              </w:rPr>
            </w:pPr>
          </w:p>
        </w:tc>
        <w:tc>
          <w:tcPr>
            <w:tcW w:w="573" w:type="dxa"/>
            <w:tcBorders>
              <w:bottom w:val="single" w:sz="12" w:space="0" w:color="auto"/>
            </w:tcBorders>
          </w:tcPr>
          <w:p w14:paraId="1CA50AB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535</w:t>
            </w:r>
          </w:p>
        </w:tc>
        <w:tc>
          <w:tcPr>
            <w:tcW w:w="573" w:type="dxa"/>
            <w:tcBorders>
              <w:bottom w:val="single" w:sz="12" w:space="0" w:color="auto"/>
            </w:tcBorders>
          </w:tcPr>
          <w:p w14:paraId="0298783B"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600</w:t>
            </w:r>
          </w:p>
        </w:tc>
        <w:tc>
          <w:tcPr>
            <w:tcW w:w="573" w:type="dxa"/>
            <w:tcBorders>
              <w:bottom w:val="single" w:sz="12" w:space="0" w:color="auto"/>
            </w:tcBorders>
          </w:tcPr>
          <w:p w14:paraId="2E4924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2535</w:t>
            </w:r>
          </w:p>
        </w:tc>
        <w:tc>
          <w:tcPr>
            <w:tcW w:w="861" w:type="dxa"/>
            <w:tcBorders>
              <w:bottom w:val="single" w:sz="12" w:space="0" w:color="auto"/>
            </w:tcBorders>
          </w:tcPr>
          <w:p w14:paraId="471AB2D4"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ЗхНС-23</w:t>
            </w:r>
          </w:p>
        </w:tc>
      </w:tr>
    </w:tbl>
    <w:p w14:paraId="6F6ADFEC"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721D4150"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1940-41 О.К.Антонов работал над внедрением связного самолета в Каунасе. Затем стал ГИ планерного управления НКАП, организовал производство А-7 - 600 (62,63). В конце 1940 О.К.Антонов все еще работал в Каунасе на заводе по связному самолету и планеру РФ-8 (94,51).</w:t>
      </w:r>
    </w:p>
    <w:p w14:paraId="675F9F8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A772B65"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28C8B47C"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36C0B703"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lastRenderedPageBreak/>
        <w:t>В 1940-1941 гг. объекты будущего завода № 677, как одно из производств (2-е производство) Комбината № 179 были пущены в эксплуатацию по производству взрывателей ГВМЗ.</w:t>
      </w:r>
    </w:p>
    <w:p w14:paraId="1A39D040"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Во исполнение Постановления СНК от 26 сентября 1942 года № 18398 РС и приказа НКБ за № 740с от 28 ноября 1942 года – завод с 1 октября 1942 года был выделен в самостоятельный завод № 677 НКБ.</w:t>
      </w:r>
    </w:p>
    <w:p w14:paraId="36F6D8C7" w14:textId="77777777" w:rsidR="0014077F" w:rsidRPr="00A3026E" w:rsidRDefault="0014077F" w:rsidP="00A3026E">
      <w:pPr>
        <w:pStyle w:val="Iauiue"/>
        <w:jc w:val="both"/>
        <w:rPr>
          <w:color w:val="000000" w:themeColor="text1"/>
          <w:sz w:val="16"/>
          <w:szCs w:val="16"/>
        </w:rPr>
      </w:pPr>
      <w:r w:rsidRPr="00A3026E">
        <w:rPr>
          <w:color w:val="000000" w:themeColor="text1"/>
          <w:sz w:val="16"/>
          <w:szCs w:val="16"/>
        </w:rPr>
        <w:t>Затем завод переходил в Министерство с/х машиностроения, Министерство машиностроения и в МОП, не меняя в основном своего профиля производства – взрыватели (10043).</w:t>
      </w:r>
    </w:p>
    <w:p w14:paraId="36E7269B"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CC0D9C1"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1940-1941 годах пушки Л-11 и Ф-32 устанавливались в серийных танках Т-34 и КВ-1. Кроме того, Л-11 была установлена на опытном тяжелом танке СМК (3861).</w:t>
      </w:r>
    </w:p>
    <w:p w14:paraId="6D6EABF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49C7D6F5"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1940-1941 годах КБ завода № 92 под руководством Грабина были спроектированы полевые 107-мм пушки ЗИС-24 и ЗИС-28. 107-мм пушка ЗИС-24 была скорее не полевая, а противотанковая. На лафет 152-мм гаубицы-пушки МЛ-20 был наложен длинный ствол (в 73,5 клб). Пушка имела огромную начальную скорость для калиберного снаряда 1013 м/с. Был изготовлен опытный образец, на чем работы и были прекращены (3861).</w:t>
      </w:r>
    </w:p>
    <w:p w14:paraId="128E3FB6"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762EE043"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течение 1940—1941 гг. КБ завода № 174 не менее пяти раз рассматривал вопросы использования устаревших шасси в ходе капи-ой модернизации танков Т-26. Предлагалось приме-, их для создания «спецтранспортеров», бронированных заправочных машин, санитарных машин, ремонтных лету-и всевозможных самоходно-артиллерийских систем. Некоторые из них были доведены до уровня рабочих чертежей и предполагались к реализации во втором полугодии 41 г. или же в 1942 г. Другие же остались в эскизах и расче</w:t>
      </w:r>
      <w:r w:rsidRPr="00A3026E">
        <w:rPr>
          <w:rFonts w:ascii="Times New Roman" w:hAnsi="Times New Roman"/>
          <w:color w:val="000000" w:themeColor="text1"/>
          <w:sz w:val="16"/>
          <w:szCs w:val="16"/>
        </w:rPr>
        <w:softHyphen/>
        <w:t>те, чаще всего так и не опробованных на практике. Просто не успели. В 1940-1941 гг. нужны были танки для укомплектования 30 мехкорпусов. Можно и нужно было переделывать устаревшие танки, но лишь после того, когда в мехкор-риуса на их место начали бы приходить новые, а ждать этого можно было только со второго полугодия 1942 г. (11417).</w:t>
      </w:r>
    </w:p>
    <w:p w14:paraId="7F5E5E8D" w14:textId="77777777" w:rsidR="0014077F" w:rsidRPr="00A3026E" w:rsidRDefault="0014077F" w:rsidP="00A3026E">
      <w:pPr>
        <w:shd w:val="clear" w:color="auto" w:fill="FFFFFF"/>
        <w:spacing w:after="0" w:line="240" w:lineRule="auto"/>
        <w:jc w:val="both"/>
        <w:rPr>
          <w:rFonts w:ascii="Times New Roman" w:hAnsi="Times New Roman"/>
          <w:color w:val="000000" w:themeColor="text1"/>
          <w:sz w:val="16"/>
          <w:szCs w:val="16"/>
        </w:rPr>
      </w:pPr>
    </w:p>
    <w:p w14:paraId="625E3CEF"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1940-41 г. специалистами Особого КБ № 196 (ОКБ-196) 4-го Спецотдела НКВД был разработан подводный минный заградитель МЗ пр. 99 на конкурсной основе с ЦКБ-18. Вариант КБ-196 выиграл конкурс, но в связи с началом войны реализован не был.</w:t>
      </w:r>
    </w:p>
    <w:p w14:paraId="5454847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Под руководством В.Л. Бжезинского (ранее- начальник ЦКБС-1) в 1939 г. создан проект погружающегося торпедного катера М-400 «Блоха».</w:t>
      </w:r>
    </w:p>
    <w:p w14:paraId="496A11A2"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Летом 1941 г. ОКБ-196 эвакуировано на завод № 340.</w:t>
      </w:r>
      <w:r w:rsidRPr="00A3026E">
        <w:rPr>
          <w:rFonts w:ascii="Times New Roman" w:hAnsi="Times New Roman"/>
          <w:color w:val="000000" w:themeColor="text1"/>
          <w:sz w:val="16"/>
          <w:szCs w:val="16"/>
          <w:vertAlign w:val="superscript"/>
        </w:rPr>
        <w:t>3</w:t>
      </w:r>
      <w:r w:rsidRPr="00A3026E">
        <w:rPr>
          <w:rFonts w:ascii="Times New Roman" w:hAnsi="Times New Roman"/>
          <w:color w:val="000000" w:themeColor="text1"/>
          <w:sz w:val="16"/>
          <w:szCs w:val="16"/>
        </w:rPr>
        <w:t xml:space="preserve"> По распоряжению ГКО № 8127 от 13.04.1945 г. ОКБ-340 реэвакуировано в Ленинград (однако, часть его, по-видимому осталась в Зеленодольске; на ее базе создано новое ОКБ-340) (11982).</w:t>
      </w:r>
    </w:p>
    <w:p w14:paraId="0533563C" w14:textId="77777777" w:rsidR="007E425B" w:rsidRPr="00A3026E" w:rsidRDefault="007E425B" w:rsidP="00A3026E">
      <w:pPr>
        <w:spacing w:after="0" w:line="240" w:lineRule="auto"/>
        <w:jc w:val="both"/>
        <w:rPr>
          <w:rFonts w:ascii="Times New Roman" w:hAnsi="Times New Roman"/>
          <w:i/>
          <w:iCs/>
          <w:color w:val="000000" w:themeColor="text1"/>
          <w:sz w:val="16"/>
          <w:szCs w:val="16"/>
        </w:rPr>
      </w:pPr>
    </w:p>
    <w:p w14:paraId="1D80023B" w14:textId="77777777" w:rsidR="0014077F" w:rsidRPr="00A3026E" w:rsidRDefault="001F3559" w:rsidP="00A3026E">
      <w:pPr>
        <w:spacing w:after="0" w:line="240" w:lineRule="auto"/>
        <w:jc w:val="both"/>
        <w:rPr>
          <w:rFonts w:ascii="Times New Roman" w:hAnsi="Times New Roman"/>
          <w:iCs/>
          <w:color w:val="000000" w:themeColor="text1"/>
          <w:sz w:val="16"/>
          <w:szCs w:val="16"/>
        </w:rPr>
      </w:pPr>
      <w:r w:rsidRPr="00A3026E">
        <w:rPr>
          <w:rFonts w:ascii="Times New Roman" w:hAnsi="Times New Roman"/>
          <w:i/>
          <w:iCs/>
          <w:color w:val="000000" w:themeColor="text1"/>
          <w:sz w:val="16"/>
          <w:szCs w:val="16"/>
        </w:rPr>
        <w:t>Другие оборонные отрасли:</w:t>
      </w:r>
    </w:p>
    <w:p w14:paraId="52E26162" w14:textId="77777777" w:rsidR="0014077F" w:rsidRPr="00A3026E" w:rsidRDefault="0014077F" w:rsidP="00A3026E">
      <w:pPr>
        <w:spacing w:after="0" w:line="240" w:lineRule="auto"/>
        <w:jc w:val="both"/>
        <w:rPr>
          <w:rFonts w:ascii="Times New Roman" w:hAnsi="Times New Roman"/>
          <w:iCs/>
          <w:color w:val="000000" w:themeColor="text1"/>
          <w:sz w:val="16"/>
          <w:szCs w:val="16"/>
        </w:rPr>
      </w:pPr>
    </w:p>
    <w:p w14:paraId="51BEBF2C"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1933-1940 годах на заводе "Баррикады" изготавливались 122-мм корпусные пушки (3861).</w:t>
      </w:r>
    </w:p>
    <w:p w14:paraId="1DB8DB45"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57C0A933"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1938-1940 годах в ГАУ по неясным причинам захотели сэкономить на гильзах. Начались испытания по переводу артиллерийских систем среднего калибра с раздельно-гильзовым заряжанием на картузное. Не минула сия чаша и М-10. (3861).</w:t>
      </w:r>
    </w:p>
    <w:p w14:paraId="15280024"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A9A2D29"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1938-1940 гг. огнеметные танки на базе Т-26 модернизировались (ОТ-131, 132, 133). ОТ-133 имел помимо огнемета два пулемета и достиг массы 10,5 тонн (3861).</w:t>
      </w:r>
    </w:p>
    <w:p w14:paraId="47C34DB1"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2A886A4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В 1939-1940 годах в СССР поступила дезинформация о создании в Германии танков со сверхтолстой броней и подготовке их массового производства. Это напугало многих в советском руководстве, причем одним из первых паникеров стал маршал Кулик. Начались активные работы над 107-мм пушкой. Оторвались, наконец, от калибра 76 мм, с ходу проскочили 85 мм, немного остановились на 95 мм, а что если еще чуть-чуть и появилась цифра 107 мм. Благо калибр наш, русский, и снарядов на складах множество. Кроме того, большое впечатление на руководство оказали испытания в СССР 105-мм пушки ОДЧ чешской пушки "особой доставки". (3861).</w:t>
      </w:r>
    </w:p>
    <w:p w14:paraId="4E62CE22" w14:textId="77777777" w:rsidR="0014077F" w:rsidRPr="00A3026E" w:rsidRDefault="0014077F" w:rsidP="00A3026E">
      <w:pPr>
        <w:spacing w:after="0" w:line="240" w:lineRule="auto"/>
        <w:jc w:val="both"/>
        <w:rPr>
          <w:rFonts w:ascii="Times New Roman" w:hAnsi="Times New Roman"/>
          <w:color w:val="000000" w:themeColor="text1"/>
          <w:sz w:val="16"/>
          <w:szCs w:val="16"/>
        </w:rPr>
      </w:pPr>
    </w:p>
    <w:p w14:paraId="3F8AD71A"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Гонка, участники которой не заметили, что финиш рядом - в середине года и победитель не получит ничего, если не прошел в первой группе (как, например, удалось в конце 30-х с "Ивановым"). Кто не успел запуститься - тот уже опоздал, например, А.Н.Т. со 103 и Н.Н.П. с И-180 и И-185.</w:t>
      </w:r>
    </w:p>
    <w:p w14:paraId="4C6AD7BD"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Много бардака и обидных неудач получалось из-за того, что конструкторы делали ставку на новые, пока не отработанные и не принятые на вооружение или в серийное производство оружие, двигатели, оборудование.</w:t>
      </w:r>
    </w:p>
    <w:p w14:paraId="39E33897" w14:textId="77777777" w:rsidR="0014077F" w:rsidRPr="00A3026E" w:rsidRDefault="0014077F" w:rsidP="00A3026E">
      <w:pPr>
        <w:spacing w:after="0" w:line="240" w:lineRule="auto"/>
        <w:jc w:val="both"/>
        <w:rPr>
          <w:rFonts w:ascii="Times New Roman" w:hAnsi="Times New Roman"/>
          <w:color w:val="000000" w:themeColor="text1"/>
          <w:sz w:val="16"/>
          <w:szCs w:val="16"/>
        </w:rPr>
      </w:pPr>
      <w:r w:rsidRPr="00A3026E">
        <w:rPr>
          <w:rFonts w:ascii="Times New Roman" w:hAnsi="Times New Roman"/>
          <w:color w:val="000000" w:themeColor="text1"/>
          <w:sz w:val="16"/>
          <w:szCs w:val="16"/>
        </w:rPr>
        <w:t>Пик возможностей социализма - война в мирное время и в самых благоприятных для нас условиях. Даже в конце 40-х при значительно более серьезной и неотвратимой угрозе такого напряжения народа больше достичь не удалось, а кроме того враг больше уже не был нейтральным или дружественным.</w:t>
      </w:r>
    </w:p>
    <w:p w14:paraId="5CFEC4E8" w14:textId="77777777" w:rsidR="00EA0DA7" w:rsidRPr="00A3026E" w:rsidRDefault="00EA0DA7" w:rsidP="00A3026E">
      <w:pPr>
        <w:spacing w:after="0" w:line="240" w:lineRule="auto"/>
        <w:jc w:val="both"/>
        <w:rPr>
          <w:rFonts w:ascii="Times New Roman" w:hAnsi="Times New Roman"/>
          <w:color w:val="000000" w:themeColor="text1"/>
          <w:sz w:val="16"/>
          <w:szCs w:val="16"/>
        </w:rPr>
      </w:pPr>
    </w:p>
    <w:sectPr w:rsidR="00EA0DA7" w:rsidRPr="00A3026E" w:rsidSect="00E63D25">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Century Gothic">
    <w:panose1 w:val="020B0502020202020204"/>
    <w:charset w:val="CC"/>
    <w:family w:val="swiss"/>
    <w:pitch w:val="variable"/>
    <w:sig w:usb0="00000287" w:usb1="00000000" w:usb2="00000000" w:usb3="00000000" w:csb0="0000009F" w:csb1="00000000"/>
  </w:font>
  <w:font w:name="OfficinaSansC">
    <w:altName w:val="OfficinaSansC"/>
    <w:panose1 w:val="00000000000000000000"/>
    <w:charset w:val="CC"/>
    <w:family w:val="swiss"/>
    <w:notTrueType/>
    <w:pitch w:val="default"/>
    <w:sig w:usb0="00000201" w:usb1="00000000" w:usb2="00000000" w:usb3="00000000" w:csb0="00000004"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1D1AB3"/>
    <w:multiLevelType w:val="multilevel"/>
    <w:tmpl w:val="D1BC9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9020DD1"/>
    <w:multiLevelType w:val="multilevel"/>
    <w:tmpl w:val="72F46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2123134"/>
    <w:multiLevelType w:val="multilevel"/>
    <w:tmpl w:val="9E4A1250"/>
    <w:lvl w:ilvl="0">
      <w:start w:val="1"/>
      <w:numFmt w:val="russianLower"/>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545F128D"/>
    <w:multiLevelType w:val="multilevel"/>
    <w:tmpl w:val="BF48BA5C"/>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56C1722D"/>
    <w:multiLevelType w:val="multilevel"/>
    <w:tmpl w:val="D2AA6DDC"/>
    <w:lvl w:ilvl="0">
      <w:start w:val="2"/>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17"/>
        <w:szCs w:val="17"/>
        <w:u w:val="none"/>
      </w:rPr>
    </w:lvl>
    <w:lvl w:ilvl="1">
      <w:start w:val="1"/>
      <w:numFmt w:val="decimal"/>
      <w:lvlText w:val="%2."/>
      <w:lvlJc w:val="left"/>
      <w:rPr>
        <w:rFonts w:ascii="Arial Narrow" w:eastAsia="Arial Narrow" w:hAnsi="Arial Narrow" w:cs="Arial Narrow"/>
        <w:b w:val="0"/>
        <w:bCs w:val="0"/>
        <w:i/>
        <w:iCs/>
        <w:smallCaps w:val="0"/>
        <w:strike w:val="0"/>
        <w:color w:val="000000"/>
        <w:spacing w:val="0"/>
        <w:w w:val="100"/>
        <w:position w:val="0"/>
        <w:sz w:val="17"/>
        <w:szCs w:val="17"/>
        <w:u w:val="none"/>
      </w:rPr>
    </w:lvl>
    <w:lvl w:ilvl="2">
      <w:start w:val="1"/>
      <w:numFmt w:val="decimal"/>
      <w:lvlText w:val="%3."/>
      <w:lvlJc w:val="left"/>
      <w:rPr>
        <w:rFonts w:ascii="Arial Narrow" w:eastAsia="Arial Narrow" w:hAnsi="Arial Narrow" w:cs="Arial Narrow"/>
        <w:b w:val="0"/>
        <w:bCs w:val="0"/>
        <w:i/>
        <w:iCs/>
        <w:smallCaps w:val="0"/>
        <w:strike w:val="0"/>
        <w:color w:val="000000"/>
        <w:spacing w:val="0"/>
        <w:w w:val="100"/>
        <w:position w:val="0"/>
        <w:sz w:val="17"/>
        <w:szCs w:val="17"/>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71120D7A"/>
    <w:multiLevelType w:val="multilevel"/>
    <w:tmpl w:val="44FA814E"/>
    <w:lvl w:ilvl="0">
      <w:start w:val="1"/>
      <w:numFmt w:val="decimal"/>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74775B4A"/>
    <w:multiLevelType w:val="hybridMultilevel"/>
    <w:tmpl w:val="FDE027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77C93D56"/>
    <w:multiLevelType w:val="multilevel"/>
    <w:tmpl w:val="90EC2D4A"/>
    <w:lvl w:ilvl="0">
      <w:start w:val="1"/>
      <w:numFmt w:val="russianLower"/>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4"/>
  </w:num>
  <w:num w:numId="3">
    <w:abstractNumId w:val="6"/>
  </w:num>
  <w:num w:numId="4">
    <w:abstractNumId w:val="3"/>
  </w:num>
  <w:num w:numId="5">
    <w:abstractNumId w:val="0"/>
  </w:num>
  <w:num w:numId="6">
    <w:abstractNumId w:val="2"/>
  </w:num>
  <w:num w:numId="7">
    <w:abstractNumId w:val="7"/>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6585"/>
    <w:rsid w:val="00012C9F"/>
    <w:rsid w:val="00017A25"/>
    <w:rsid w:val="00023AEE"/>
    <w:rsid w:val="0002616E"/>
    <w:rsid w:val="00032442"/>
    <w:rsid w:val="00041561"/>
    <w:rsid w:val="00041C5E"/>
    <w:rsid w:val="00046639"/>
    <w:rsid w:val="000472A9"/>
    <w:rsid w:val="00050AE5"/>
    <w:rsid w:val="00051F3B"/>
    <w:rsid w:val="000567A2"/>
    <w:rsid w:val="00066CED"/>
    <w:rsid w:val="0007323E"/>
    <w:rsid w:val="00073360"/>
    <w:rsid w:val="0007544A"/>
    <w:rsid w:val="00093C0E"/>
    <w:rsid w:val="00097788"/>
    <w:rsid w:val="000A14F2"/>
    <w:rsid w:val="000C3F7D"/>
    <w:rsid w:val="000C572A"/>
    <w:rsid w:val="000D09FD"/>
    <w:rsid w:val="000D0FFC"/>
    <w:rsid w:val="000D58DE"/>
    <w:rsid w:val="000F26CA"/>
    <w:rsid w:val="000F7F0C"/>
    <w:rsid w:val="00102DAB"/>
    <w:rsid w:val="001278CD"/>
    <w:rsid w:val="0014077F"/>
    <w:rsid w:val="001411CB"/>
    <w:rsid w:val="00142E51"/>
    <w:rsid w:val="00156FFF"/>
    <w:rsid w:val="0015709E"/>
    <w:rsid w:val="0016176C"/>
    <w:rsid w:val="00163AAF"/>
    <w:rsid w:val="00173293"/>
    <w:rsid w:val="00173857"/>
    <w:rsid w:val="00173C44"/>
    <w:rsid w:val="001765CF"/>
    <w:rsid w:val="0018056E"/>
    <w:rsid w:val="001864F1"/>
    <w:rsid w:val="00190D0A"/>
    <w:rsid w:val="00190FE9"/>
    <w:rsid w:val="001A33AA"/>
    <w:rsid w:val="001A581B"/>
    <w:rsid w:val="001A7DB7"/>
    <w:rsid w:val="001C376F"/>
    <w:rsid w:val="001C7A0F"/>
    <w:rsid w:val="001E1F2E"/>
    <w:rsid w:val="001E2CF4"/>
    <w:rsid w:val="001F3559"/>
    <w:rsid w:val="001F5600"/>
    <w:rsid w:val="001F584C"/>
    <w:rsid w:val="00211798"/>
    <w:rsid w:val="00220BAE"/>
    <w:rsid w:val="00226974"/>
    <w:rsid w:val="00231063"/>
    <w:rsid w:val="00240F17"/>
    <w:rsid w:val="002448B4"/>
    <w:rsid w:val="00250F99"/>
    <w:rsid w:val="00257CA1"/>
    <w:rsid w:val="00264A12"/>
    <w:rsid w:val="0026700C"/>
    <w:rsid w:val="00281432"/>
    <w:rsid w:val="002920FF"/>
    <w:rsid w:val="002947D3"/>
    <w:rsid w:val="0029647E"/>
    <w:rsid w:val="002C5435"/>
    <w:rsid w:val="002D4A2C"/>
    <w:rsid w:val="002E22DD"/>
    <w:rsid w:val="003004E6"/>
    <w:rsid w:val="00302822"/>
    <w:rsid w:val="00303EB6"/>
    <w:rsid w:val="00310A8C"/>
    <w:rsid w:val="003223A8"/>
    <w:rsid w:val="00331F11"/>
    <w:rsid w:val="003324AA"/>
    <w:rsid w:val="00340F1A"/>
    <w:rsid w:val="00345624"/>
    <w:rsid w:val="00352A73"/>
    <w:rsid w:val="003536FF"/>
    <w:rsid w:val="00355303"/>
    <w:rsid w:val="0035667A"/>
    <w:rsid w:val="003614CA"/>
    <w:rsid w:val="00366D67"/>
    <w:rsid w:val="00376A8F"/>
    <w:rsid w:val="00383D85"/>
    <w:rsid w:val="00383FC3"/>
    <w:rsid w:val="00387142"/>
    <w:rsid w:val="00387CFF"/>
    <w:rsid w:val="00391CB8"/>
    <w:rsid w:val="003A67EC"/>
    <w:rsid w:val="003A6E72"/>
    <w:rsid w:val="003C0EBD"/>
    <w:rsid w:val="003C4475"/>
    <w:rsid w:val="003F413A"/>
    <w:rsid w:val="003F5264"/>
    <w:rsid w:val="00403E07"/>
    <w:rsid w:val="0040514A"/>
    <w:rsid w:val="0041633C"/>
    <w:rsid w:val="004226E1"/>
    <w:rsid w:val="00430998"/>
    <w:rsid w:val="0043631F"/>
    <w:rsid w:val="00436F07"/>
    <w:rsid w:val="00452981"/>
    <w:rsid w:val="00455ACA"/>
    <w:rsid w:val="00465749"/>
    <w:rsid w:val="00472045"/>
    <w:rsid w:val="004729C8"/>
    <w:rsid w:val="00473E70"/>
    <w:rsid w:val="004758E5"/>
    <w:rsid w:val="00477E8C"/>
    <w:rsid w:val="0048608B"/>
    <w:rsid w:val="004904DD"/>
    <w:rsid w:val="004905AC"/>
    <w:rsid w:val="00497E8A"/>
    <w:rsid w:val="004A1E49"/>
    <w:rsid w:val="004A3039"/>
    <w:rsid w:val="004A4726"/>
    <w:rsid w:val="004B3571"/>
    <w:rsid w:val="004B7EF4"/>
    <w:rsid w:val="004C1667"/>
    <w:rsid w:val="004C4B74"/>
    <w:rsid w:val="004E098A"/>
    <w:rsid w:val="004F51CE"/>
    <w:rsid w:val="00537129"/>
    <w:rsid w:val="00544CFD"/>
    <w:rsid w:val="0055202A"/>
    <w:rsid w:val="005558EB"/>
    <w:rsid w:val="00573FE3"/>
    <w:rsid w:val="005A4244"/>
    <w:rsid w:val="005B62DA"/>
    <w:rsid w:val="005C3D28"/>
    <w:rsid w:val="005C6E99"/>
    <w:rsid w:val="005D2DC4"/>
    <w:rsid w:val="005D374F"/>
    <w:rsid w:val="005D6604"/>
    <w:rsid w:val="005D6F1A"/>
    <w:rsid w:val="005E16F2"/>
    <w:rsid w:val="005E4BDD"/>
    <w:rsid w:val="005F6E3A"/>
    <w:rsid w:val="00601238"/>
    <w:rsid w:val="006028C5"/>
    <w:rsid w:val="00604900"/>
    <w:rsid w:val="006056C0"/>
    <w:rsid w:val="0061340E"/>
    <w:rsid w:val="00616643"/>
    <w:rsid w:val="006317F0"/>
    <w:rsid w:val="00640634"/>
    <w:rsid w:val="00651A0F"/>
    <w:rsid w:val="00652CB7"/>
    <w:rsid w:val="00656225"/>
    <w:rsid w:val="006579A6"/>
    <w:rsid w:val="006603E9"/>
    <w:rsid w:val="0066319C"/>
    <w:rsid w:val="006707CB"/>
    <w:rsid w:val="006810F9"/>
    <w:rsid w:val="00691CB5"/>
    <w:rsid w:val="00696731"/>
    <w:rsid w:val="006A4A15"/>
    <w:rsid w:val="006A4FB6"/>
    <w:rsid w:val="006A6329"/>
    <w:rsid w:val="006B178C"/>
    <w:rsid w:val="006B3E48"/>
    <w:rsid w:val="006F0594"/>
    <w:rsid w:val="006F0747"/>
    <w:rsid w:val="006F1BF6"/>
    <w:rsid w:val="006F29FD"/>
    <w:rsid w:val="006F6185"/>
    <w:rsid w:val="00711384"/>
    <w:rsid w:val="007119F2"/>
    <w:rsid w:val="00722216"/>
    <w:rsid w:val="007320F3"/>
    <w:rsid w:val="00735D36"/>
    <w:rsid w:val="00742483"/>
    <w:rsid w:val="007454D3"/>
    <w:rsid w:val="00747CE4"/>
    <w:rsid w:val="007541EB"/>
    <w:rsid w:val="00755A0F"/>
    <w:rsid w:val="00761F70"/>
    <w:rsid w:val="00762412"/>
    <w:rsid w:val="00762DFA"/>
    <w:rsid w:val="0076621F"/>
    <w:rsid w:val="007706F3"/>
    <w:rsid w:val="00772889"/>
    <w:rsid w:val="00776585"/>
    <w:rsid w:val="00783F23"/>
    <w:rsid w:val="00785D81"/>
    <w:rsid w:val="007A0319"/>
    <w:rsid w:val="007B215D"/>
    <w:rsid w:val="007B54E4"/>
    <w:rsid w:val="007B6A7D"/>
    <w:rsid w:val="007C10B0"/>
    <w:rsid w:val="007C711E"/>
    <w:rsid w:val="007C7CB6"/>
    <w:rsid w:val="007E425B"/>
    <w:rsid w:val="007E5973"/>
    <w:rsid w:val="007F6063"/>
    <w:rsid w:val="008253AC"/>
    <w:rsid w:val="0082576F"/>
    <w:rsid w:val="00841877"/>
    <w:rsid w:val="00844C06"/>
    <w:rsid w:val="008549B0"/>
    <w:rsid w:val="00861FED"/>
    <w:rsid w:val="00864925"/>
    <w:rsid w:val="00893AC8"/>
    <w:rsid w:val="008B058A"/>
    <w:rsid w:val="008B76A6"/>
    <w:rsid w:val="008D100B"/>
    <w:rsid w:val="008D1AEC"/>
    <w:rsid w:val="008D6721"/>
    <w:rsid w:val="008F0CAC"/>
    <w:rsid w:val="008F2143"/>
    <w:rsid w:val="008F5E79"/>
    <w:rsid w:val="008F72C1"/>
    <w:rsid w:val="009041AB"/>
    <w:rsid w:val="00906CFA"/>
    <w:rsid w:val="00906ED8"/>
    <w:rsid w:val="00926072"/>
    <w:rsid w:val="009404D2"/>
    <w:rsid w:val="00947198"/>
    <w:rsid w:val="0095280D"/>
    <w:rsid w:val="00952C53"/>
    <w:rsid w:val="00963159"/>
    <w:rsid w:val="00983732"/>
    <w:rsid w:val="0099525A"/>
    <w:rsid w:val="009A141C"/>
    <w:rsid w:val="009B5678"/>
    <w:rsid w:val="009C4AAF"/>
    <w:rsid w:val="009D08E8"/>
    <w:rsid w:val="009D1F38"/>
    <w:rsid w:val="009E10B6"/>
    <w:rsid w:val="009E6104"/>
    <w:rsid w:val="009E7912"/>
    <w:rsid w:val="009F111E"/>
    <w:rsid w:val="009F372A"/>
    <w:rsid w:val="00A01CCA"/>
    <w:rsid w:val="00A21ADB"/>
    <w:rsid w:val="00A23B5F"/>
    <w:rsid w:val="00A27728"/>
    <w:rsid w:val="00A3026E"/>
    <w:rsid w:val="00A33124"/>
    <w:rsid w:val="00A3323F"/>
    <w:rsid w:val="00A3684A"/>
    <w:rsid w:val="00A37C3E"/>
    <w:rsid w:val="00A40E0D"/>
    <w:rsid w:val="00A44584"/>
    <w:rsid w:val="00A44D35"/>
    <w:rsid w:val="00A616D9"/>
    <w:rsid w:val="00A62B3F"/>
    <w:rsid w:val="00A80473"/>
    <w:rsid w:val="00A82625"/>
    <w:rsid w:val="00A84B65"/>
    <w:rsid w:val="00A86CD1"/>
    <w:rsid w:val="00AA56A8"/>
    <w:rsid w:val="00AA610D"/>
    <w:rsid w:val="00AB040C"/>
    <w:rsid w:val="00AB28E8"/>
    <w:rsid w:val="00AB680A"/>
    <w:rsid w:val="00AC610E"/>
    <w:rsid w:val="00AD1D6F"/>
    <w:rsid w:val="00AD22AA"/>
    <w:rsid w:val="00AD23CA"/>
    <w:rsid w:val="00AD2916"/>
    <w:rsid w:val="00AE3001"/>
    <w:rsid w:val="00B027A5"/>
    <w:rsid w:val="00B03B65"/>
    <w:rsid w:val="00B05209"/>
    <w:rsid w:val="00B072E6"/>
    <w:rsid w:val="00B102FF"/>
    <w:rsid w:val="00B12571"/>
    <w:rsid w:val="00B14FDB"/>
    <w:rsid w:val="00B20F0E"/>
    <w:rsid w:val="00B22593"/>
    <w:rsid w:val="00B25F1E"/>
    <w:rsid w:val="00B4560D"/>
    <w:rsid w:val="00B53A49"/>
    <w:rsid w:val="00B600A9"/>
    <w:rsid w:val="00B64D57"/>
    <w:rsid w:val="00B751A9"/>
    <w:rsid w:val="00B82ACD"/>
    <w:rsid w:val="00B84190"/>
    <w:rsid w:val="00B8575C"/>
    <w:rsid w:val="00B97444"/>
    <w:rsid w:val="00BA0E98"/>
    <w:rsid w:val="00BA2190"/>
    <w:rsid w:val="00BA41C5"/>
    <w:rsid w:val="00BB53B9"/>
    <w:rsid w:val="00BB5780"/>
    <w:rsid w:val="00BC35CB"/>
    <w:rsid w:val="00C1206A"/>
    <w:rsid w:val="00C14B45"/>
    <w:rsid w:val="00C16034"/>
    <w:rsid w:val="00C37C13"/>
    <w:rsid w:val="00C40533"/>
    <w:rsid w:val="00C46B7C"/>
    <w:rsid w:val="00C500F1"/>
    <w:rsid w:val="00C542C1"/>
    <w:rsid w:val="00C55D7C"/>
    <w:rsid w:val="00C64DCF"/>
    <w:rsid w:val="00C64F82"/>
    <w:rsid w:val="00C659A8"/>
    <w:rsid w:val="00C66762"/>
    <w:rsid w:val="00C76E65"/>
    <w:rsid w:val="00C81F54"/>
    <w:rsid w:val="00C877C3"/>
    <w:rsid w:val="00C911E0"/>
    <w:rsid w:val="00CA0AAE"/>
    <w:rsid w:val="00CB3A4D"/>
    <w:rsid w:val="00CD3361"/>
    <w:rsid w:val="00CF0A5C"/>
    <w:rsid w:val="00CF13D3"/>
    <w:rsid w:val="00CF51BC"/>
    <w:rsid w:val="00D0678D"/>
    <w:rsid w:val="00D073BE"/>
    <w:rsid w:val="00D10176"/>
    <w:rsid w:val="00D10C51"/>
    <w:rsid w:val="00D13C9B"/>
    <w:rsid w:val="00D1447C"/>
    <w:rsid w:val="00D20661"/>
    <w:rsid w:val="00D213E5"/>
    <w:rsid w:val="00D22A5E"/>
    <w:rsid w:val="00D2328C"/>
    <w:rsid w:val="00D4018A"/>
    <w:rsid w:val="00D453A6"/>
    <w:rsid w:val="00D52CF0"/>
    <w:rsid w:val="00D55004"/>
    <w:rsid w:val="00D61E13"/>
    <w:rsid w:val="00D64F5D"/>
    <w:rsid w:val="00D67A2C"/>
    <w:rsid w:val="00D702E0"/>
    <w:rsid w:val="00D73D62"/>
    <w:rsid w:val="00D90A02"/>
    <w:rsid w:val="00D91883"/>
    <w:rsid w:val="00DA459D"/>
    <w:rsid w:val="00DA4AA0"/>
    <w:rsid w:val="00DD4EE2"/>
    <w:rsid w:val="00DD51F8"/>
    <w:rsid w:val="00DE412A"/>
    <w:rsid w:val="00DE4BE3"/>
    <w:rsid w:val="00DE51FA"/>
    <w:rsid w:val="00DE6360"/>
    <w:rsid w:val="00DE74E5"/>
    <w:rsid w:val="00DE7B39"/>
    <w:rsid w:val="00DF0BAC"/>
    <w:rsid w:val="00DF1F0E"/>
    <w:rsid w:val="00E043DA"/>
    <w:rsid w:val="00E05597"/>
    <w:rsid w:val="00E20D32"/>
    <w:rsid w:val="00E41268"/>
    <w:rsid w:val="00E561DD"/>
    <w:rsid w:val="00E63BD2"/>
    <w:rsid w:val="00E63D25"/>
    <w:rsid w:val="00E65678"/>
    <w:rsid w:val="00E6586E"/>
    <w:rsid w:val="00E70D80"/>
    <w:rsid w:val="00E747F5"/>
    <w:rsid w:val="00E90813"/>
    <w:rsid w:val="00E90D86"/>
    <w:rsid w:val="00E915A4"/>
    <w:rsid w:val="00E917F4"/>
    <w:rsid w:val="00E92F20"/>
    <w:rsid w:val="00E96871"/>
    <w:rsid w:val="00EA0DA7"/>
    <w:rsid w:val="00EB6E30"/>
    <w:rsid w:val="00EB6F04"/>
    <w:rsid w:val="00ED44D8"/>
    <w:rsid w:val="00EE2862"/>
    <w:rsid w:val="00EE316A"/>
    <w:rsid w:val="00EF51BB"/>
    <w:rsid w:val="00EF7897"/>
    <w:rsid w:val="00EF7BAC"/>
    <w:rsid w:val="00F01C92"/>
    <w:rsid w:val="00F067CF"/>
    <w:rsid w:val="00F069D4"/>
    <w:rsid w:val="00F124F9"/>
    <w:rsid w:val="00F13410"/>
    <w:rsid w:val="00F22532"/>
    <w:rsid w:val="00F22B23"/>
    <w:rsid w:val="00F25154"/>
    <w:rsid w:val="00F40FA6"/>
    <w:rsid w:val="00F45F7F"/>
    <w:rsid w:val="00F5366E"/>
    <w:rsid w:val="00F72578"/>
    <w:rsid w:val="00F92307"/>
    <w:rsid w:val="00FA0E48"/>
    <w:rsid w:val="00FA7E77"/>
    <w:rsid w:val="00FB3026"/>
    <w:rsid w:val="00FB4860"/>
    <w:rsid w:val="00FB6685"/>
    <w:rsid w:val="00FE6B04"/>
    <w:rsid w:val="00FF31A7"/>
    <w:rsid w:val="00FF6C2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A748BF"/>
  <w15:docId w15:val="{69A5A363-DAD3-45CB-848F-F170D8A48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D09FD"/>
    <w:pPr>
      <w:spacing w:after="160" w:line="259" w:lineRule="auto"/>
    </w:pPr>
    <w:rPr>
      <w:sz w:val="22"/>
      <w:szCs w:val="22"/>
      <w:lang w:eastAsia="en-US"/>
    </w:rPr>
  </w:style>
  <w:style w:type="paragraph" w:styleId="1">
    <w:name w:val="heading 1"/>
    <w:basedOn w:val="a"/>
    <w:next w:val="a"/>
    <w:link w:val="10"/>
    <w:uiPriority w:val="9"/>
    <w:qFormat/>
    <w:rsid w:val="0014077F"/>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3">
    <w:name w:val="heading 3"/>
    <w:basedOn w:val="a"/>
    <w:next w:val="a"/>
    <w:link w:val="30"/>
    <w:uiPriority w:val="9"/>
    <w:semiHidden/>
    <w:unhideWhenUsed/>
    <w:qFormat/>
    <w:rsid w:val="00DF0BAC"/>
    <w:pPr>
      <w:keepNext/>
      <w:spacing w:before="240" w:after="60"/>
      <w:outlineLvl w:val="2"/>
    </w:pPr>
    <w:rPr>
      <w:rFonts w:ascii="Calibri Light" w:eastAsia="Times New Roman" w:hAnsi="Calibri Light"/>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14077F"/>
    <w:rPr>
      <w:rFonts w:ascii="Cambria" w:eastAsia="Times New Roman" w:hAnsi="Cambria"/>
      <w:b/>
      <w:bCs/>
      <w:color w:val="365F91"/>
      <w:sz w:val="28"/>
      <w:szCs w:val="28"/>
      <w:lang w:eastAsia="en-US"/>
    </w:rPr>
  </w:style>
  <w:style w:type="paragraph" w:customStyle="1" w:styleId="11">
    <w:name w:val="заголовок 1"/>
    <w:basedOn w:val="a"/>
    <w:next w:val="a"/>
    <w:uiPriority w:val="99"/>
    <w:rsid w:val="0014077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
    <w:name w:val="заголовок 2"/>
    <w:basedOn w:val="a"/>
    <w:uiPriority w:val="99"/>
    <w:rsid w:val="0014077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14077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14077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14077F"/>
    <w:rPr>
      <w:rFonts w:ascii="Times New Roman" w:hAnsi="Times New Roman"/>
      <w:color w:val="0000FF"/>
      <w:sz w:val="16"/>
      <w:szCs w:val="16"/>
      <w:lang w:val="en-US" w:eastAsia="en-US"/>
    </w:rPr>
  </w:style>
  <w:style w:type="paragraph" w:styleId="20">
    <w:name w:val="Body Text Indent 2"/>
    <w:basedOn w:val="a"/>
    <w:link w:val="21"/>
    <w:uiPriority w:val="99"/>
    <w:rsid w:val="0014077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1">
    <w:name w:val="Основной текст с отступом 2 Знак"/>
    <w:link w:val="20"/>
    <w:uiPriority w:val="99"/>
    <w:rsid w:val="0014077F"/>
    <w:rPr>
      <w:rFonts w:ascii="Times New Roman" w:hAnsi="Times New Roman"/>
      <w:color w:val="0000FF"/>
      <w:sz w:val="16"/>
      <w:szCs w:val="16"/>
      <w:lang w:val="en-US" w:eastAsia="en-US"/>
    </w:rPr>
  </w:style>
  <w:style w:type="paragraph" w:styleId="22">
    <w:name w:val="Body Text 2"/>
    <w:basedOn w:val="a"/>
    <w:link w:val="23"/>
    <w:uiPriority w:val="99"/>
    <w:rsid w:val="0014077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3">
    <w:name w:val="Основной текст 2 Знак"/>
    <w:link w:val="22"/>
    <w:uiPriority w:val="99"/>
    <w:rsid w:val="0014077F"/>
    <w:rPr>
      <w:rFonts w:ascii="Times New Roman" w:hAnsi="Times New Roman"/>
      <w:color w:val="0000FF"/>
      <w:sz w:val="16"/>
      <w:szCs w:val="16"/>
      <w:lang w:eastAsia="en-US"/>
    </w:rPr>
  </w:style>
  <w:style w:type="character" w:styleId="a5">
    <w:name w:val="Hyperlink"/>
    <w:uiPriority w:val="99"/>
    <w:rsid w:val="0014077F"/>
    <w:rPr>
      <w:color w:val="0000FF"/>
      <w:sz w:val="20"/>
      <w:szCs w:val="20"/>
      <w:u w:val="single"/>
    </w:rPr>
  </w:style>
  <w:style w:type="paragraph" w:styleId="31">
    <w:name w:val="Body Text 3"/>
    <w:basedOn w:val="a"/>
    <w:link w:val="32"/>
    <w:uiPriority w:val="99"/>
    <w:rsid w:val="0014077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14077F"/>
    <w:rPr>
      <w:rFonts w:ascii="Times New Roman" w:hAnsi="Times New Roman"/>
      <w:color w:val="0000FF"/>
      <w:sz w:val="16"/>
      <w:szCs w:val="16"/>
      <w:lang w:eastAsia="en-US"/>
    </w:rPr>
  </w:style>
  <w:style w:type="character" w:customStyle="1" w:styleId="12">
    <w:name w:val="С1"/>
    <w:uiPriority w:val="99"/>
    <w:rsid w:val="0014077F"/>
    <w:rPr>
      <w:b/>
      <w:bCs/>
    </w:rPr>
  </w:style>
  <w:style w:type="paragraph" w:customStyle="1" w:styleId="a6">
    <w:name w:val="Ц"/>
    <w:basedOn w:val="a"/>
    <w:uiPriority w:val="99"/>
    <w:rsid w:val="0014077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14077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14077F"/>
    <w:rPr>
      <w:b/>
      <w:bCs/>
      <w:sz w:val="20"/>
      <w:szCs w:val="20"/>
    </w:rPr>
  </w:style>
  <w:style w:type="paragraph" w:customStyle="1" w:styleId="Blockquote">
    <w:name w:val="Blockquote"/>
    <w:basedOn w:val="a"/>
    <w:uiPriority w:val="99"/>
    <w:rsid w:val="0014077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14077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14077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14077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14077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14077F"/>
    <w:rPr>
      <w:rFonts w:ascii="Courier New" w:hAnsi="Courier New" w:cs="Courier New"/>
      <w:color w:val="0000FF"/>
      <w:sz w:val="16"/>
      <w:szCs w:val="16"/>
      <w:lang w:eastAsia="en-US"/>
    </w:rPr>
  </w:style>
  <w:style w:type="paragraph" w:customStyle="1" w:styleId="Text">
    <w:name w:val="Text"/>
    <w:basedOn w:val="a"/>
    <w:uiPriority w:val="99"/>
    <w:rsid w:val="0014077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14077F"/>
    <w:rPr>
      <w:i/>
      <w:iCs/>
    </w:rPr>
  </w:style>
  <w:style w:type="paragraph" w:customStyle="1" w:styleId="H5">
    <w:name w:val="H5"/>
    <w:basedOn w:val="a"/>
    <w:next w:val="a"/>
    <w:uiPriority w:val="99"/>
    <w:rsid w:val="0014077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14077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14077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14077F"/>
    <w:rPr>
      <w:color w:val="0000FF"/>
      <w:u w:val="single"/>
    </w:rPr>
  </w:style>
  <w:style w:type="character" w:customStyle="1" w:styleId="ac">
    <w:name w:val="В"/>
    <w:uiPriority w:val="99"/>
    <w:rsid w:val="0014077F"/>
    <w:rPr>
      <w:i/>
      <w:iCs/>
    </w:rPr>
  </w:style>
  <w:style w:type="paragraph" w:customStyle="1" w:styleId="H1">
    <w:name w:val="H1"/>
    <w:basedOn w:val="a"/>
    <w:next w:val="a"/>
    <w:uiPriority w:val="99"/>
    <w:rsid w:val="0014077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14077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14077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14077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14077F"/>
    <w:rPr>
      <w:sz w:val="20"/>
      <w:szCs w:val="20"/>
    </w:rPr>
  </w:style>
  <w:style w:type="paragraph" w:customStyle="1" w:styleId="Iniiaiieoaeno">
    <w:name w:val="Iniiaiie oaeno"/>
    <w:basedOn w:val="Iauiue"/>
    <w:uiPriority w:val="99"/>
    <w:rsid w:val="0014077F"/>
    <w:pPr>
      <w:jc w:val="both"/>
    </w:pPr>
    <w:rPr>
      <w:sz w:val="16"/>
      <w:szCs w:val="16"/>
    </w:rPr>
  </w:style>
  <w:style w:type="paragraph" w:customStyle="1" w:styleId="z-TopofForm">
    <w:name w:val="z-Top of Form"/>
    <w:next w:val="Iauiue"/>
    <w:uiPriority w:val="99"/>
    <w:rsid w:val="0014077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14077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14077F"/>
    <w:rPr>
      <w:i/>
      <w:iCs/>
      <w:sz w:val="24"/>
      <w:szCs w:val="24"/>
    </w:rPr>
  </w:style>
  <w:style w:type="character" w:customStyle="1" w:styleId="A20">
    <w:name w:val="A2"/>
    <w:uiPriority w:val="99"/>
    <w:rsid w:val="0014077F"/>
    <w:rPr>
      <w:color w:val="0000FF"/>
      <w:sz w:val="20"/>
      <w:szCs w:val="20"/>
      <w:u w:val="single"/>
    </w:rPr>
  </w:style>
  <w:style w:type="paragraph" w:customStyle="1" w:styleId="O">
    <w:name w:val="O"/>
    <w:basedOn w:val="Iauiue"/>
    <w:uiPriority w:val="99"/>
    <w:rsid w:val="0014077F"/>
    <w:pPr>
      <w:spacing w:before="100" w:after="100"/>
      <w:ind w:left="360" w:right="360"/>
    </w:pPr>
    <w:rPr>
      <w:sz w:val="24"/>
      <w:szCs w:val="24"/>
    </w:rPr>
  </w:style>
  <w:style w:type="character" w:customStyle="1" w:styleId="A10">
    <w:name w:val="A1"/>
    <w:uiPriority w:val="99"/>
    <w:rsid w:val="0014077F"/>
    <w:rPr>
      <w:i/>
      <w:iCs/>
      <w:sz w:val="20"/>
      <w:szCs w:val="20"/>
    </w:rPr>
  </w:style>
  <w:style w:type="paragraph" w:customStyle="1" w:styleId="Noaiaaieoiaioa">
    <w:name w:val="Noaia aieoiaioa"/>
    <w:basedOn w:val="Iauiue"/>
    <w:uiPriority w:val="99"/>
    <w:rsid w:val="0014077F"/>
    <w:pPr>
      <w:shd w:val="clear" w:color="auto" w:fill="000080"/>
    </w:pPr>
    <w:rPr>
      <w:rFonts w:ascii="Tahoma" w:hAnsi="Tahoma" w:cs="Tahoma"/>
    </w:rPr>
  </w:style>
  <w:style w:type="paragraph" w:customStyle="1" w:styleId="DefinitionTerm">
    <w:name w:val="Definition Term"/>
    <w:basedOn w:val="a"/>
    <w:next w:val="DefinitionList"/>
    <w:uiPriority w:val="99"/>
    <w:rsid w:val="0014077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14077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14077F"/>
    <w:rPr>
      <w:i/>
      <w:iCs/>
    </w:rPr>
  </w:style>
  <w:style w:type="paragraph" w:customStyle="1" w:styleId="H2">
    <w:name w:val="H2"/>
    <w:basedOn w:val="a"/>
    <w:next w:val="a"/>
    <w:uiPriority w:val="99"/>
    <w:rsid w:val="0014077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14077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14077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14077F"/>
    <w:rPr>
      <w:i/>
      <w:iCs/>
    </w:rPr>
  </w:style>
  <w:style w:type="character" w:customStyle="1" w:styleId="CODE">
    <w:name w:val="CODE"/>
    <w:uiPriority w:val="99"/>
    <w:rsid w:val="0014077F"/>
    <w:rPr>
      <w:rFonts w:ascii="Courier New" w:hAnsi="Courier New" w:cs="Courier New"/>
      <w:sz w:val="20"/>
      <w:szCs w:val="20"/>
    </w:rPr>
  </w:style>
  <w:style w:type="character" w:styleId="af0">
    <w:name w:val="Emphasis"/>
    <w:uiPriority w:val="20"/>
    <w:qFormat/>
    <w:rsid w:val="0014077F"/>
    <w:rPr>
      <w:i/>
      <w:iCs/>
    </w:rPr>
  </w:style>
  <w:style w:type="character" w:styleId="af1">
    <w:name w:val="FollowedHyperlink"/>
    <w:uiPriority w:val="99"/>
    <w:rsid w:val="0014077F"/>
    <w:rPr>
      <w:color w:val="800080"/>
      <w:u w:val="single"/>
    </w:rPr>
  </w:style>
  <w:style w:type="character" w:customStyle="1" w:styleId="Keyboard">
    <w:name w:val="Keyboard"/>
    <w:uiPriority w:val="99"/>
    <w:rsid w:val="0014077F"/>
    <w:rPr>
      <w:rFonts w:ascii="Courier New" w:hAnsi="Courier New" w:cs="Courier New"/>
      <w:b/>
      <w:bCs/>
      <w:sz w:val="20"/>
      <w:szCs w:val="20"/>
    </w:rPr>
  </w:style>
  <w:style w:type="character" w:customStyle="1" w:styleId="Sample">
    <w:name w:val="Sample"/>
    <w:uiPriority w:val="99"/>
    <w:rsid w:val="0014077F"/>
    <w:rPr>
      <w:rFonts w:ascii="Courier New" w:hAnsi="Courier New" w:cs="Courier New"/>
    </w:rPr>
  </w:style>
  <w:style w:type="character" w:customStyle="1" w:styleId="Typewriter">
    <w:name w:val="Typewriter"/>
    <w:uiPriority w:val="99"/>
    <w:rsid w:val="0014077F"/>
    <w:rPr>
      <w:rFonts w:ascii="Courier New" w:hAnsi="Courier New" w:cs="Courier New"/>
      <w:sz w:val="20"/>
      <w:szCs w:val="20"/>
    </w:rPr>
  </w:style>
  <w:style w:type="character" w:customStyle="1" w:styleId="Variable">
    <w:name w:val="Variable"/>
    <w:uiPriority w:val="99"/>
    <w:rsid w:val="0014077F"/>
    <w:rPr>
      <w:i/>
      <w:iCs/>
    </w:rPr>
  </w:style>
  <w:style w:type="character" w:customStyle="1" w:styleId="HTMLMarkup">
    <w:name w:val="HTML Markup"/>
    <w:uiPriority w:val="99"/>
    <w:rsid w:val="0014077F"/>
    <w:rPr>
      <w:vanish/>
      <w:color w:val="FF0000"/>
    </w:rPr>
  </w:style>
  <w:style w:type="character" w:customStyle="1" w:styleId="Comment">
    <w:name w:val="Comment"/>
    <w:uiPriority w:val="99"/>
    <w:rsid w:val="0014077F"/>
    <w:rPr>
      <w:vanish/>
    </w:rPr>
  </w:style>
  <w:style w:type="paragraph" w:customStyle="1" w:styleId="af2">
    <w:name w:val="п"/>
    <w:uiPriority w:val="99"/>
    <w:rsid w:val="0014077F"/>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14077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14077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14077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14077F"/>
    <w:rPr>
      <w:sz w:val="20"/>
      <w:szCs w:val="20"/>
      <w:vertAlign w:val="superscript"/>
    </w:rPr>
  </w:style>
  <w:style w:type="character" w:customStyle="1" w:styleId="af7">
    <w:name w:val="К"/>
    <w:uiPriority w:val="99"/>
    <w:rsid w:val="0014077F"/>
    <w:rPr>
      <w:rFonts w:ascii="Courier New" w:hAnsi="Courier New" w:cs="Courier New"/>
      <w:sz w:val="20"/>
      <w:szCs w:val="20"/>
    </w:rPr>
  </w:style>
  <w:style w:type="paragraph" w:customStyle="1" w:styleId="af8">
    <w:name w:val="Ф"/>
    <w:basedOn w:val="af9"/>
    <w:uiPriority w:val="99"/>
    <w:rsid w:val="0014077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14077F"/>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14077F"/>
    <w:rPr>
      <w:vanish/>
      <w:color w:val="FF0000"/>
    </w:rPr>
  </w:style>
  <w:style w:type="paragraph" w:customStyle="1" w:styleId="Z-1">
    <w:name w:val="Z-1"/>
    <w:next w:val="af9"/>
    <w:uiPriority w:val="99"/>
    <w:rsid w:val="0014077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14077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14077F"/>
    <w:pPr>
      <w:spacing w:before="0" w:after="0"/>
    </w:pPr>
  </w:style>
  <w:style w:type="paragraph" w:customStyle="1" w:styleId="afc">
    <w:name w:val="А"/>
    <w:basedOn w:val="a"/>
    <w:next w:val="a"/>
    <w:uiPriority w:val="99"/>
    <w:rsid w:val="0014077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14077F"/>
    <w:pPr>
      <w:widowControl/>
      <w:ind w:left="360"/>
    </w:pPr>
    <w:rPr>
      <w:sz w:val="24"/>
      <w:szCs w:val="24"/>
    </w:rPr>
  </w:style>
  <w:style w:type="paragraph" w:customStyle="1" w:styleId="afd">
    <w:name w:val="......."/>
    <w:basedOn w:val="a"/>
    <w:next w:val="a"/>
    <w:uiPriority w:val="99"/>
    <w:rsid w:val="0014077F"/>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14077F"/>
    <w:rPr>
      <w:color w:val="0000FF"/>
      <w:u w:val="single"/>
    </w:rPr>
  </w:style>
  <w:style w:type="character" w:customStyle="1" w:styleId="13">
    <w:name w:val="О1"/>
    <w:uiPriority w:val="99"/>
    <w:rsid w:val="0014077F"/>
    <w:rPr>
      <w:i/>
      <w:iCs/>
    </w:rPr>
  </w:style>
  <w:style w:type="character" w:customStyle="1" w:styleId="aff">
    <w:name w:val="П"/>
    <w:uiPriority w:val="99"/>
    <w:rsid w:val="0014077F"/>
    <w:rPr>
      <w:color w:val="800080"/>
      <w:u w:val="single"/>
    </w:rPr>
  </w:style>
  <w:style w:type="character" w:customStyle="1" w:styleId="14">
    <w:name w:val="К1"/>
    <w:uiPriority w:val="99"/>
    <w:rsid w:val="0014077F"/>
    <w:rPr>
      <w:rFonts w:ascii="Courier New" w:hAnsi="Courier New" w:cs="Courier New"/>
      <w:b/>
      <w:bCs/>
      <w:sz w:val="20"/>
      <w:szCs w:val="20"/>
    </w:rPr>
  </w:style>
  <w:style w:type="character" w:customStyle="1" w:styleId="4">
    <w:name w:val="П4"/>
    <w:uiPriority w:val="99"/>
    <w:rsid w:val="0014077F"/>
    <w:rPr>
      <w:rFonts w:ascii="Courier New" w:hAnsi="Courier New" w:cs="Courier New"/>
    </w:rPr>
  </w:style>
  <w:style w:type="character" w:customStyle="1" w:styleId="33">
    <w:name w:val="П3"/>
    <w:uiPriority w:val="99"/>
    <w:rsid w:val="0014077F"/>
    <w:rPr>
      <w:rFonts w:ascii="Courier New" w:hAnsi="Courier New" w:cs="Courier New"/>
      <w:sz w:val="20"/>
      <w:szCs w:val="20"/>
    </w:rPr>
  </w:style>
  <w:style w:type="character" w:customStyle="1" w:styleId="24">
    <w:name w:val="П2"/>
    <w:uiPriority w:val="99"/>
    <w:rsid w:val="0014077F"/>
    <w:rPr>
      <w:i/>
      <w:iCs/>
    </w:rPr>
  </w:style>
  <w:style w:type="character" w:customStyle="1" w:styleId="15">
    <w:name w:val="П1"/>
    <w:uiPriority w:val="99"/>
    <w:rsid w:val="0014077F"/>
    <w:rPr>
      <w:vanish/>
    </w:rPr>
  </w:style>
  <w:style w:type="paragraph" w:customStyle="1" w:styleId="Iniiaiieoaeno2">
    <w:name w:val="Iniiaiie oaeno 2"/>
    <w:basedOn w:val="Iauiue"/>
    <w:uiPriority w:val="99"/>
    <w:rsid w:val="0014077F"/>
    <w:pPr>
      <w:jc w:val="both"/>
    </w:pPr>
    <w:rPr>
      <w:sz w:val="16"/>
      <w:szCs w:val="16"/>
    </w:rPr>
  </w:style>
  <w:style w:type="character" w:customStyle="1" w:styleId="Aeiannueea">
    <w:name w:val="Aeia?nnueea"/>
    <w:uiPriority w:val="99"/>
    <w:rsid w:val="0014077F"/>
    <w:rPr>
      <w:color w:val="0000FF"/>
      <w:sz w:val="20"/>
      <w:szCs w:val="20"/>
      <w:u w:val="single"/>
    </w:rPr>
  </w:style>
  <w:style w:type="character" w:customStyle="1" w:styleId="N1">
    <w:name w:val="N1"/>
    <w:uiPriority w:val="99"/>
    <w:rsid w:val="0014077F"/>
    <w:rPr>
      <w:b/>
      <w:bCs/>
    </w:rPr>
  </w:style>
  <w:style w:type="paragraph" w:customStyle="1" w:styleId="Iaeeiaaiiuenienie">
    <w:name w:val="Ia?ee?iaaiiue nienie"/>
    <w:basedOn w:val="Iauiue"/>
    <w:uiPriority w:val="99"/>
    <w:rsid w:val="0014077F"/>
    <w:pPr>
      <w:widowControl/>
      <w:ind w:left="283" w:hanging="283"/>
    </w:pPr>
  </w:style>
  <w:style w:type="paragraph" w:customStyle="1" w:styleId="Oaeno">
    <w:name w:val="Oaeno"/>
    <w:basedOn w:val="Iauiue"/>
    <w:uiPriority w:val="99"/>
    <w:rsid w:val="0014077F"/>
    <w:rPr>
      <w:rFonts w:ascii="Courier New" w:hAnsi="Courier New" w:cs="Courier New"/>
    </w:rPr>
  </w:style>
  <w:style w:type="paragraph" w:customStyle="1" w:styleId="Iniiaiieoaeno3">
    <w:name w:val="Iniiaiie oaeno 3"/>
    <w:basedOn w:val="Iauiue"/>
    <w:uiPriority w:val="99"/>
    <w:rsid w:val="0014077F"/>
    <w:pPr>
      <w:jc w:val="center"/>
    </w:pPr>
    <w:rPr>
      <w:sz w:val="16"/>
      <w:szCs w:val="16"/>
    </w:rPr>
  </w:style>
  <w:style w:type="paragraph" w:customStyle="1" w:styleId="Aaoieeeieiioeooe">
    <w:name w:val="Aa?oiee eieiioeooe"/>
    <w:basedOn w:val="Iauiue"/>
    <w:uiPriority w:val="99"/>
    <w:rsid w:val="0014077F"/>
    <w:pPr>
      <w:widowControl/>
      <w:tabs>
        <w:tab w:val="center" w:pos="4153"/>
        <w:tab w:val="right" w:pos="8306"/>
      </w:tabs>
    </w:pPr>
  </w:style>
  <w:style w:type="paragraph" w:customStyle="1" w:styleId="Ieieeeieiioeooe">
    <w:name w:val="Ie?iee eieiioeooe"/>
    <w:basedOn w:val="Iauiue"/>
    <w:uiPriority w:val="99"/>
    <w:rsid w:val="0014077F"/>
    <w:pPr>
      <w:widowControl/>
      <w:tabs>
        <w:tab w:val="center" w:pos="4153"/>
        <w:tab w:val="right" w:pos="8306"/>
      </w:tabs>
    </w:pPr>
  </w:style>
  <w:style w:type="paragraph" w:customStyle="1" w:styleId="Default">
    <w:name w:val="Default"/>
    <w:rsid w:val="0014077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14077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14077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14077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14077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14077F"/>
    <w:rPr>
      <w:rFonts w:ascii="Microsoft Sans Serif" w:hAnsi="Microsoft Sans Serif" w:cs="Microsoft Sans Serif"/>
      <w:b/>
      <w:bCs/>
      <w:i/>
      <w:iCs/>
      <w:spacing w:val="0"/>
      <w:sz w:val="17"/>
      <w:szCs w:val="17"/>
    </w:rPr>
  </w:style>
  <w:style w:type="character" w:customStyle="1" w:styleId="39">
    <w:name w:val="Основной текст (3)9"/>
    <w:uiPriority w:val="99"/>
    <w:rsid w:val="0014077F"/>
    <w:rPr>
      <w:b/>
      <w:bCs/>
      <w:i/>
      <w:iCs/>
      <w:sz w:val="17"/>
      <w:szCs w:val="17"/>
    </w:rPr>
  </w:style>
  <w:style w:type="paragraph" w:customStyle="1" w:styleId="310">
    <w:name w:val="Основной текст (3)1"/>
    <w:basedOn w:val="a"/>
    <w:uiPriority w:val="99"/>
    <w:rsid w:val="0014077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14077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14077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14077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14077F"/>
    <w:rPr>
      <w:rFonts w:ascii="Microsoft Sans Serif" w:hAnsi="Microsoft Sans Serif" w:cs="Microsoft Sans Serif"/>
      <w:i/>
      <w:iCs/>
      <w:spacing w:val="0"/>
      <w:sz w:val="16"/>
      <w:szCs w:val="16"/>
    </w:rPr>
  </w:style>
  <w:style w:type="character" w:customStyle="1" w:styleId="579">
    <w:name w:val="Основной текст (5)79"/>
    <w:uiPriority w:val="99"/>
    <w:rsid w:val="0014077F"/>
    <w:rPr>
      <w:i/>
      <w:iCs/>
      <w:spacing w:val="0"/>
      <w:sz w:val="16"/>
      <w:szCs w:val="16"/>
    </w:rPr>
  </w:style>
  <w:style w:type="character" w:customStyle="1" w:styleId="578">
    <w:name w:val="Основной текст (5)78"/>
    <w:uiPriority w:val="99"/>
    <w:rsid w:val="0014077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14077F"/>
    <w:rPr>
      <w:b/>
      <w:bCs/>
      <w:i/>
      <w:iCs/>
      <w:spacing w:val="0"/>
      <w:sz w:val="14"/>
      <w:szCs w:val="14"/>
    </w:rPr>
  </w:style>
  <w:style w:type="character" w:customStyle="1" w:styleId="57pt124">
    <w:name w:val="Основной текст (5) + 7 pt1.Полужирный24"/>
    <w:uiPriority w:val="99"/>
    <w:rsid w:val="0014077F"/>
    <w:rPr>
      <w:b/>
      <w:bCs/>
      <w:i/>
      <w:iCs/>
      <w:spacing w:val="0"/>
      <w:sz w:val="14"/>
      <w:szCs w:val="14"/>
    </w:rPr>
  </w:style>
  <w:style w:type="character" w:customStyle="1" w:styleId="8pt25340pt104">
    <w:name w:val="Основной текст + 8 pt25.Курсив34.Интервал 0 pt104"/>
    <w:uiPriority w:val="99"/>
    <w:rsid w:val="0014077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14077F"/>
    <w:rPr>
      <w:rFonts w:ascii="Arial Unicode MS" w:eastAsia="Arial Unicode MS" w:cs="Arial Unicode MS"/>
      <w:i/>
      <w:iCs/>
      <w:noProof/>
      <w:spacing w:val="0"/>
      <w:sz w:val="16"/>
      <w:szCs w:val="16"/>
    </w:rPr>
  </w:style>
  <w:style w:type="character" w:customStyle="1" w:styleId="577">
    <w:name w:val="Основной текст (5)77"/>
    <w:uiPriority w:val="99"/>
    <w:rsid w:val="0014077F"/>
    <w:rPr>
      <w:i/>
      <w:iCs/>
      <w:spacing w:val="0"/>
      <w:sz w:val="16"/>
      <w:szCs w:val="16"/>
    </w:rPr>
  </w:style>
  <w:style w:type="character" w:customStyle="1" w:styleId="576">
    <w:name w:val="Основной текст (5)76"/>
    <w:uiPriority w:val="99"/>
    <w:rsid w:val="0014077F"/>
    <w:rPr>
      <w:rFonts w:ascii="Arial Unicode MS" w:eastAsia="Arial Unicode MS" w:cs="Arial Unicode MS"/>
      <w:i/>
      <w:iCs/>
      <w:noProof/>
      <w:spacing w:val="0"/>
      <w:sz w:val="16"/>
      <w:szCs w:val="16"/>
    </w:rPr>
  </w:style>
  <w:style w:type="paragraph" w:customStyle="1" w:styleId="61">
    <w:name w:val="Заголовок №61"/>
    <w:basedOn w:val="a"/>
    <w:uiPriority w:val="99"/>
    <w:rsid w:val="0014077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14077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14077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14077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14077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14077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14077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14077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14077F"/>
    <w:rPr>
      <w:rFonts w:ascii="Lucida Sans Unicode" w:hAnsi="Lucida Sans Unicode" w:cs="Lucida Sans Unicode"/>
      <w:i/>
      <w:iCs/>
      <w:spacing w:val="0"/>
      <w:sz w:val="16"/>
      <w:szCs w:val="16"/>
    </w:rPr>
  </w:style>
  <w:style w:type="character" w:customStyle="1" w:styleId="29">
    <w:name w:val="Основной текст (29)_"/>
    <w:rsid w:val="0014077F"/>
    <w:rPr>
      <w:rFonts w:ascii="Arial Narrow" w:hAnsi="Arial Narrow" w:cs="Arial Narrow"/>
      <w:i/>
      <w:iCs/>
      <w:sz w:val="15"/>
      <w:szCs w:val="15"/>
    </w:rPr>
  </w:style>
  <w:style w:type="paragraph" w:customStyle="1" w:styleId="100">
    <w:name w:val="Заголовок №10"/>
    <w:basedOn w:val="a"/>
    <w:uiPriority w:val="99"/>
    <w:rsid w:val="0014077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14077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14077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14077F"/>
    <w:rPr>
      <w:rFonts w:ascii="Lucida Sans Unicode" w:hAnsi="Lucida Sans Unicode" w:cs="Lucida Sans Unicode"/>
      <w:i/>
      <w:iCs/>
      <w:spacing w:val="0"/>
      <w:sz w:val="16"/>
      <w:szCs w:val="16"/>
    </w:rPr>
  </w:style>
  <w:style w:type="character" w:customStyle="1" w:styleId="aff0">
    <w:name w:val="Основной текст_"/>
    <w:rsid w:val="0014077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14077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rsid w:val="0014077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14077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14077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14077F"/>
    <w:rPr>
      <w:rFonts w:ascii="Lucida Sans Unicode" w:hAnsi="Lucida Sans Unicode" w:cs="Lucida Sans Unicode"/>
      <w:i/>
      <w:iCs/>
      <w:spacing w:val="0"/>
      <w:sz w:val="16"/>
      <w:szCs w:val="16"/>
    </w:rPr>
  </w:style>
  <w:style w:type="character" w:customStyle="1" w:styleId="200">
    <w:name w:val="Основной текст (20)_"/>
    <w:uiPriority w:val="99"/>
    <w:rsid w:val="0014077F"/>
    <w:rPr>
      <w:b/>
      <w:bCs/>
      <w:i/>
      <w:iCs/>
      <w:sz w:val="15"/>
      <w:szCs w:val="15"/>
    </w:rPr>
  </w:style>
  <w:style w:type="character" w:customStyle="1" w:styleId="2050pt30">
    <w:name w:val="Основной текст (20) + Не курсив5.Интервал 0 pt30"/>
    <w:uiPriority w:val="99"/>
    <w:rsid w:val="0014077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14077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14077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14077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14077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14077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14077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14077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3">
    <w:name w:val="Сноска"/>
    <w:basedOn w:val="a"/>
    <w:link w:val="aff4"/>
    <w:rsid w:val="0014077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14077F"/>
    <w:rPr>
      <w:rFonts w:ascii="Arial" w:hAnsi="Arial" w:cs="Arial"/>
      <w:i/>
      <w:iCs/>
      <w:spacing w:val="-10"/>
      <w:sz w:val="17"/>
      <w:szCs w:val="17"/>
    </w:rPr>
  </w:style>
  <w:style w:type="paragraph" w:customStyle="1" w:styleId="25">
    <w:name w:val="Основной текст25"/>
    <w:basedOn w:val="a"/>
    <w:uiPriority w:val="99"/>
    <w:rsid w:val="0014077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14077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uiPriority w:val="99"/>
    <w:rsid w:val="0014077F"/>
    <w:rPr>
      <w:rFonts w:ascii="Times New Roman" w:hAnsi="Times New Roman" w:cs="Times New Roman"/>
      <w:spacing w:val="0"/>
      <w:sz w:val="21"/>
      <w:szCs w:val="21"/>
      <w:u w:val="single"/>
    </w:rPr>
  </w:style>
  <w:style w:type="paragraph" w:customStyle="1" w:styleId="140">
    <w:name w:val="Заголовок №14"/>
    <w:basedOn w:val="a"/>
    <w:link w:val="142"/>
    <w:rsid w:val="0014077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14077F"/>
    <w:rPr>
      <w:spacing w:val="40"/>
      <w:sz w:val="25"/>
      <w:szCs w:val="25"/>
    </w:rPr>
  </w:style>
  <w:style w:type="paragraph" w:customStyle="1" w:styleId="7">
    <w:name w:val="Основной текст (7)"/>
    <w:basedOn w:val="a"/>
    <w:rsid w:val="0014077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14077F"/>
    <w:rPr>
      <w:spacing w:val="10"/>
      <w:sz w:val="26"/>
      <w:szCs w:val="26"/>
    </w:rPr>
  </w:style>
  <w:style w:type="character" w:customStyle="1" w:styleId="240">
    <w:name w:val="Основной текст24"/>
    <w:uiPriority w:val="99"/>
    <w:rsid w:val="0014077F"/>
    <w:rPr>
      <w:sz w:val="25"/>
      <w:szCs w:val="25"/>
    </w:rPr>
  </w:style>
  <w:style w:type="paragraph" w:customStyle="1" w:styleId="6">
    <w:name w:val="Заголовок №6"/>
    <w:basedOn w:val="a"/>
    <w:uiPriority w:val="99"/>
    <w:rsid w:val="0014077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rsid w:val="0014077F"/>
    <w:rPr>
      <w:rFonts w:ascii="Lucida Sans Unicode" w:hAnsi="Lucida Sans Unicode" w:cs="Lucida Sans Unicode"/>
      <w:i/>
      <w:iCs/>
      <w:sz w:val="16"/>
      <w:szCs w:val="16"/>
    </w:rPr>
  </w:style>
  <w:style w:type="character" w:customStyle="1" w:styleId="aff6">
    <w:name w:val="Основной текст + Курсив"/>
    <w:aliases w:val="Интервал 0 pt59"/>
    <w:uiPriority w:val="99"/>
    <w:rsid w:val="0014077F"/>
    <w:rPr>
      <w:rFonts w:ascii="Lucida Sans Unicode" w:hAnsi="Lucida Sans Unicode" w:cs="Lucida Sans Unicode"/>
      <w:i/>
      <w:iCs/>
      <w:sz w:val="16"/>
      <w:szCs w:val="16"/>
    </w:rPr>
  </w:style>
  <w:style w:type="paragraph" w:customStyle="1" w:styleId="80">
    <w:name w:val="Основной текст (8)"/>
    <w:basedOn w:val="a"/>
    <w:rsid w:val="0014077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14077F"/>
    <w:rPr>
      <w:rFonts w:ascii="Lucida Sans Unicode" w:hAnsi="Lucida Sans Unicode" w:cs="Lucida Sans Unicode"/>
      <w:sz w:val="16"/>
      <w:szCs w:val="16"/>
    </w:rPr>
  </w:style>
  <w:style w:type="character" w:customStyle="1" w:styleId="4pt">
    <w:name w:val="Основной текст + Интервал 4 pt"/>
    <w:uiPriority w:val="99"/>
    <w:rsid w:val="0014077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14077F"/>
    <w:rPr>
      <w:rFonts w:ascii="Segoe UI" w:hAnsi="Segoe UI" w:cs="Segoe UI"/>
      <w:b/>
      <w:bCs/>
      <w:i/>
      <w:iCs/>
      <w:spacing w:val="0"/>
      <w:sz w:val="16"/>
      <w:szCs w:val="16"/>
    </w:rPr>
  </w:style>
  <w:style w:type="character" w:customStyle="1" w:styleId="SegoeUI1">
    <w:name w:val="Основной текст + Segoe UI1"/>
    <w:uiPriority w:val="99"/>
    <w:rsid w:val="0014077F"/>
    <w:rPr>
      <w:rFonts w:ascii="Segoe UI" w:hAnsi="Segoe UI" w:cs="Segoe UI"/>
      <w:i/>
      <w:iCs/>
      <w:spacing w:val="0"/>
      <w:sz w:val="13"/>
      <w:szCs w:val="13"/>
    </w:rPr>
  </w:style>
  <w:style w:type="character" w:customStyle="1" w:styleId="16">
    <w:name w:val="Основной текст1"/>
    <w:uiPriority w:val="99"/>
    <w:rsid w:val="0014077F"/>
    <w:rPr>
      <w:rFonts w:ascii="Gungsuh" w:eastAsia="Gungsuh" w:cs="Gungsuh"/>
      <w:spacing w:val="-10"/>
      <w:sz w:val="16"/>
      <w:szCs w:val="16"/>
      <w:u w:val="single"/>
    </w:rPr>
  </w:style>
  <w:style w:type="paragraph" w:customStyle="1" w:styleId="34">
    <w:name w:val="Основной текст (3)"/>
    <w:basedOn w:val="a"/>
    <w:uiPriority w:val="99"/>
    <w:rsid w:val="0014077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6">
    <w:name w:val="Основной текст2"/>
    <w:basedOn w:val="a"/>
    <w:rsid w:val="0014077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0">
    <w:name w:val="Основной текст (4)"/>
    <w:basedOn w:val="a"/>
    <w:link w:val="41"/>
    <w:rsid w:val="0014077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7">
    <w:name w:val="Основной текст (2)"/>
    <w:basedOn w:val="a"/>
    <w:rsid w:val="0014077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14077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uiPriority w:val="99"/>
    <w:rsid w:val="0014077F"/>
    <w:rPr>
      <w:rFonts w:ascii="Gungsuh" w:eastAsia="Gungsuh" w:cs="Gungsuh"/>
      <w:spacing w:val="0"/>
      <w:sz w:val="15"/>
      <w:szCs w:val="15"/>
    </w:rPr>
  </w:style>
  <w:style w:type="character" w:customStyle="1" w:styleId="TrebuchetMS">
    <w:name w:val="Основной текст + Trebuchet MS"/>
    <w:uiPriority w:val="99"/>
    <w:rsid w:val="0014077F"/>
    <w:rPr>
      <w:rFonts w:ascii="Trebuchet MS" w:hAnsi="Trebuchet MS" w:cs="Trebuchet MS"/>
      <w:b/>
      <w:bCs/>
      <w:spacing w:val="0"/>
      <w:sz w:val="20"/>
      <w:szCs w:val="20"/>
    </w:rPr>
  </w:style>
  <w:style w:type="character" w:customStyle="1" w:styleId="102">
    <w:name w:val="Основной текст + 10"/>
    <w:uiPriority w:val="99"/>
    <w:rsid w:val="0014077F"/>
    <w:rPr>
      <w:rFonts w:ascii="Gungsuh" w:eastAsia="Gungsuh" w:cs="Gungsuh"/>
      <w:spacing w:val="-20"/>
      <w:sz w:val="21"/>
      <w:szCs w:val="21"/>
    </w:rPr>
  </w:style>
  <w:style w:type="character" w:customStyle="1" w:styleId="9">
    <w:name w:val="Основной текст + 9"/>
    <w:uiPriority w:val="99"/>
    <w:rsid w:val="0014077F"/>
    <w:rPr>
      <w:rFonts w:ascii="Gungsuh" w:eastAsia="Gungsuh" w:cs="Gungsuh"/>
      <w:smallCaps/>
      <w:spacing w:val="-10"/>
      <w:sz w:val="19"/>
      <w:szCs w:val="19"/>
    </w:rPr>
  </w:style>
  <w:style w:type="character" w:customStyle="1" w:styleId="Candara">
    <w:name w:val="Основной текст + Candara"/>
    <w:uiPriority w:val="99"/>
    <w:rsid w:val="0014077F"/>
    <w:rPr>
      <w:rFonts w:ascii="Candara" w:hAnsi="Candara" w:cs="Candara"/>
      <w:b/>
      <w:bCs/>
      <w:spacing w:val="0"/>
      <w:sz w:val="22"/>
      <w:szCs w:val="22"/>
    </w:rPr>
  </w:style>
  <w:style w:type="character" w:customStyle="1" w:styleId="0pt">
    <w:name w:val="Основной текст + Интервал 0 pt"/>
    <w:uiPriority w:val="99"/>
    <w:rsid w:val="0014077F"/>
    <w:rPr>
      <w:rFonts w:ascii="Gungsuh" w:eastAsia="Gungsuh" w:cs="Gungsuh"/>
      <w:spacing w:val="10"/>
      <w:sz w:val="18"/>
      <w:szCs w:val="18"/>
    </w:rPr>
  </w:style>
  <w:style w:type="character" w:customStyle="1" w:styleId="8pt">
    <w:name w:val="Основной текст + 8 pt"/>
    <w:uiPriority w:val="99"/>
    <w:rsid w:val="0014077F"/>
    <w:rPr>
      <w:rFonts w:ascii="Gungsuh" w:eastAsia="Gungsuh" w:cs="Gungsuh"/>
      <w:spacing w:val="-10"/>
      <w:sz w:val="16"/>
      <w:szCs w:val="16"/>
    </w:rPr>
  </w:style>
  <w:style w:type="character" w:customStyle="1" w:styleId="Consolas">
    <w:name w:val="Основной текст + Consolas"/>
    <w:uiPriority w:val="99"/>
    <w:rsid w:val="0014077F"/>
    <w:rPr>
      <w:rFonts w:ascii="Consolas" w:hAnsi="Consolas" w:cs="Consolas"/>
      <w:b/>
      <w:bCs/>
      <w:spacing w:val="0"/>
      <w:sz w:val="19"/>
      <w:szCs w:val="19"/>
    </w:rPr>
  </w:style>
  <w:style w:type="character" w:customStyle="1" w:styleId="82">
    <w:name w:val="Основной текст + 8"/>
    <w:uiPriority w:val="99"/>
    <w:rsid w:val="0014077F"/>
    <w:rPr>
      <w:rFonts w:ascii="Arial Narrow" w:hAnsi="Arial Narrow" w:cs="Arial Narrow"/>
      <w:i/>
      <w:iCs/>
      <w:smallCaps/>
      <w:sz w:val="17"/>
      <w:szCs w:val="17"/>
    </w:rPr>
  </w:style>
  <w:style w:type="character" w:customStyle="1" w:styleId="28">
    <w:name w:val="Основной текст (2) + 8"/>
    <w:uiPriority w:val="99"/>
    <w:rsid w:val="0014077F"/>
    <w:rPr>
      <w:rFonts w:ascii="Arial Narrow" w:hAnsi="Arial Narrow" w:cs="Arial Narrow"/>
      <w:i/>
      <w:iCs/>
      <w:smallCaps/>
      <w:spacing w:val="0"/>
      <w:sz w:val="17"/>
      <w:szCs w:val="17"/>
    </w:rPr>
  </w:style>
  <w:style w:type="character" w:customStyle="1" w:styleId="7pt">
    <w:name w:val="Основной текст + 7 pt"/>
    <w:uiPriority w:val="99"/>
    <w:rsid w:val="0014077F"/>
    <w:rPr>
      <w:rFonts w:ascii="Gungsuh" w:eastAsia="Gungsuh" w:cs="Gungsuh"/>
      <w:spacing w:val="0"/>
      <w:sz w:val="14"/>
      <w:szCs w:val="14"/>
    </w:rPr>
  </w:style>
  <w:style w:type="character" w:customStyle="1" w:styleId="9pt">
    <w:name w:val="Основной текст + 9 pt"/>
    <w:rsid w:val="0014077F"/>
    <w:rPr>
      <w:rFonts w:ascii="Gungsuh" w:eastAsia="Gungsuh" w:cs="Gungsuh"/>
      <w:b/>
      <w:bCs/>
      <w:i/>
      <w:iCs/>
      <w:spacing w:val="0"/>
      <w:sz w:val="18"/>
      <w:szCs w:val="18"/>
    </w:rPr>
  </w:style>
  <w:style w:type="character" w:customStyle="1" w:styleId="9pt1">
    <w:name w:val="Основной текст + 9 pt1"/>
    <w:uiPriority w:val="99"/>
    <w:rsid w:val="0014077F"/>
    <w:rPr>
      <w:rFonts w:ascii="Gungsuh" w:eastAsia="Gungsuh" w:cs="Gungsuh"/>
      <w:smallCaps/>
      <w:spacing w:val="0"/>
      <w:sz w:val="18"/>
      <w:szCs w:val="18"/>
    </w:rPr>
  </w:style>
  <w:style w:type="character" w:customStyle="1" w:styleId="1pt">
    <w:name w:val="Основной текст + Интервал 1 pt"/>
    <w:uiPriority w:val="99"/>
    <w:rsid w:val="0014077F"/>
    <w:rPr>
      <w:rFonts w:ascii="Gungsuh" w:eastAsia="Gungsuh" w:cs="Gungsuh"/>
      <w:spacing w:val="30"/>
      <w:sz w:val="17"/>
      <w:szCs w:val="17"/>
    </w:rPr>
  </w:style>
  <w:style w:type="character" w:customStyle="1" w:styleId="Garamond">
    <w:name w:val="Колонтитул + Garamond"/>
    <w:uiPriority w:val="99"/>
    <w:rsid w:val="0014077F"/>
    <w:rPr>
      <w:rFonts w:ascii="Garamond" w:hAnsi="Garamond" w:cs="Garamond"/>
      <w:sz w:val="18"/>
      <w:szCs w:val="18"/>
    </w:rPr>
  </w:style>
  <w:style w:type="character" w:customStyle="1" w:styleId="3pt">
    <w:name w:val="Основной текст + Интервал 3 pt"/>
    <w:uiPriority w:val="99"/>
    <w:rsid w:val="0014077F"/>
    <w:rPr>
      <w:rFonts w:ascii="Gungsuh" w:eastAsia="Gungsuh" w:cs="Gungsuh"/>
      <w:spacing w:val="60"/>
      <w:sz w:val="17"/>
      <w:szCs w:val="17"/>
    </w:rPr>
  </w:style>
  <w:style w:type="paragraph" w:customStyle="1" w:styleId="aff7">
    <w:name w:val="Колонтитул"/>
    <w:basedOn w:val="a"/>
    <w:uiPriority w:val="99"/>
    <w:rsid w:val="0014077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14077F"/>
    <w:rPr>
      <w:rFonts w:ascii="Arial" w:hAnsi="Arial" w:cs="Arial"/>
      <w:sz w:val="21"/>
      <w:szCs w:val="21"/>
    </w:rPr>
  </w:style>
  <w:style w:type="paragraph" w:customStyle="1" w:styleId="2a">
    <w:name w:val="Заголовок №2"/>
    <w:basedOn w:val="a"/>
    <w:uiPriority w:val="99"/>
    <w:rsid w:val="0014077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14077F"/>
    <w:rPr>
      <w:rFonts w:ascii="Gulim" w:eastAsia="Gulim" w:cs="Gulim"/>
      <w:i/>
      <w:iCs/>
      <w:spacing w:val="-20"/>
      <w:sz w:val="19"/>
      <w:szCs w:val="19"/>
    </w:rPr>
  </w:style>
  <w:style w:type="character" w:customStyle="1" w:styleId="FranklinGothicMedium">
    <w:name w:val="Основной текст + Franklin Gothic Medium"/>
    <w:uiPriority w:val="99"/>
    <w:rsid w:val="0014077F"/>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14077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14077F"/>
    <w:rPr>
      <w:rFonts w:ascii="Century Schoolbook" w:hAnsi="Century Schoolbook" w:cs="Century Schoolbook"/>
      <w:spacing w:val="-20"/>
      <w:sz w:val="18"/>
      <w:szCs w:val="18"/>
    </w:rPr>
  </w:style>
  <w:style w:type="character" w:customStyle="1" w:styleId="Batang">
    <w:name w:val="Основной текст + Batang"/>
    <w:uiPriority w:val="99"/>
    <w:rsid w:val="0014077F"/>
    <w:rPr>
      <w:rFonts w:ascii="Batang" w:eastAsia="Batang" w:cs="Batang"/>
      <w:b/>
      <w:bCs/>
      <w:smallCaps/>
      <w:spacing w:val="0"/>
      <w:sz w:val="19"/>
      <w:szCs w:val="19"/>
    </w:rPr>
  </w:style>
  <w:style w:type="character" w:customStyle="1" w:styleId="FrankRuehl">
    <w:name w:val="Основной текст + FrankRuehl"/>
    <w:uiPriority w:val="99"/>
    <w:rsid w:val="0014077F"/>
    <w:rPr>
      <w:rFonts w:ascii="FrankRuehl" w:cs="FrankRuehl"/>
      <w:sz w:val="30"/>
      <w:szCs w:val="30"/>
      <w:lang w:bidi="he-IL"/>
    </w:rPr>
  </w:style>
  <w:style w:type="character" w:customStyle="1" w:styleId="FrankRuehl2">
    <w:name w:val="Основной текст + FrankRuehl2"/>
    <w:uiPriority w:val="99"/>
    <w:rsid w:val="0014077F"/>
    <w:rPr>
      <w:rFonts w:ascii="FrankRuehl" w:cs="FrankRuehl"/>
      <w:sz w:val="29"/>
      <w:szCs w:val="29"/>
      <w:lang w:bidi="he-IL"/>
    </w:rPr>
  </w:style>
  <w:style w:type="character" w:customStyle="1" w:styleId="FrankRuehl1">
    <w:name w:val="Основной текст + FrankRuehl1"/>
    <w:uiPriority w:val="99"/>
    <w:rsid w:val="0014077F"/>
    <w:rPr>
      <w:rFonts w:ascii="FrankRuehl" w:cs="FrankRuehl"/>
      <w:i/>
      <w:iCs/>
      <w:sz w:val="16"/>
      <w:szCs w:val="16"/>
      <w:lang w:bidi="he-IL"/>
    </w:rPr>
  </w:style>
  <w:style w:type="character" w:customStyle="1" w:styleId="112">
    <w:name w:val="Основной текст + 11"/>
    <w:uiPriority w:val="99"/>
    <w:rsid w:val="0014077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14077F"/>
    <w:rPr>
      <w:rFonts w:ascii="FrankRuehl" w:cs="FrankRuehl"/>
      <w:b/>
      <w:bCs/>
      <w:i/>
      <w:iCs/>
      <w:spacing w:val="0"/>
      <w:sz w:val="9"/>
      <w:szCs w:val="9"/>
      <w:lang w:bidi="he-IL"/>
    </w:rPr>
  </w:style>
  <w:style w:type="paragraph" w:customStyle="1" w:styleId="45">
    <w:name w:val="Основной текст4"/>
    <w:basedOn w:val="a"/>
    <w:uiPriority w:val="99"/>
    <w:rsid w:val="0014077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14077F"/>
    <w:rPr>
      <w:rFonts w:ascii="Gungsuh" w:eastAsia="Gungsuh" w:cs="Gungsuh"/>
      <w:sz w:val="33"/>
      <w:szCs w:val="33"/>
    </w:rPr>
  </w:style>
  <w:style w:type="character" w:customStyle="1" w:styleId="10pt">
    <w:name w:val="Основной текст + 10 pt"/>
    <w:uiPriority w:val="99"/>
    <w:rsid w:val="0014077F"/>
    <w:rPr>
      <w:rFonts w:ascii="Gungsuh" w:eastAsia="Gungsuh" w:cs="Gungsuh"/>
      <w:spacing w:val="-20"/>
      <w:sz w:val="20"/>
      <w:szCs w:val="20"/>
    </w:rPr>
  </w:style>
  <w:style w:type="character" w:customStyle="1" w:styleId="aff8">
    <w:name w:val="Основной текст + Полужирный"/>
    <w:aliases w:val="Интервал 0 pt9"/>
    <w:uiPriority w:val="99"/>
    <w:rsid w:val="0014077F"/>
    <w:rPr>
      <w:rFonts w:ascii="Gungsuh" w:eastAsia="Gungsuh" w:cs="Gungsuh"/>
      <w:b/>
      <w:bCs/>
      <w:smallCaps/>
      <w:spacing w:val="-10"/>
      <w:sz w:val="17"/>
      <w:szCs w:val="17"/>
    </w:rPr>
  </w:style>
  <w:style w:type="character" w:customStyle="1" w:styleId="2TimesNewRoman">
    <w:name w:val="Основной текст (2) + Times New Roman"/>
    <w:uiPriority w:val="99"/>
    <w:rsid w:val="0014077F"/>
    <w:rPr>
      <w:rFonts w:ascii="Times New Roman" w:hAnsi="Times New Roman" w:cs="Times New Roman"/>
      <w:b/>
      <w:bCs/>
      <w:sz w:val="21"/>
      <w:szCs w:val="21"/>
    </w:rPr>
  </w:style>
  <w:style w:type="character" w:customStyle="1" w:styleId="-1pt0">
    <w:name w:val="Оглавление + Интервал -1 pt"/>
    <w:uiPriority w:val="99"/>
    <w:rsid w:val="0014077F"/>
    <w:rPr>
      <w:rFonts w:ascii="Times New Roman" w:hAnsi="Times New Roman" w:cs="Times New Roman"/>
      <w:spacing w:val="-20"/>
      <w:sz w:val="21"/>
      <w:szCs w:val="21"/>
    </w:rPr>
  </w:style>
  <w:style w:type="character" w:customStyle="1" w:styleId="300">
    <w:name w:val="Основной текст + 30"/>
    <w:uiPriority w:val="99"/>
    <w:rsid w:val="0014077F"/>
    <w:rPr>
      <w:rFonts w:ascii="MingLiU" w:eastAsia="MingLiU" w:cs="MingLiU"/>
      <w:i/>
      <w:iCs/>
      <w:spacing w:val="-60"/>
      <w:sz w:val="61"/>
      <w:szCs w:val="61"/>
    </w:rPr>
  </w:style>
  <w:style w:type="character" w:customStyle="1" w:styleId="449pt">
    <w:name w:val="Основной текст (44) + 9 pt.Не полужирный"/>
    <w:uiPriority w:val="99"/>
    <w:rsid w:val="0014077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14077F"/>
    <w:rPr>
      <w:rFonts w:ascii="Bookman Old Style" w:hAnsi="Bookman Old Style" w:cs="Bookman Old Style"/>
      <w:spacing w:val="-20"/>
      <w:sz w:val="16"/>
      <w:szCs w:val="16"/>
    </w:rPr>
  </w:style>
  <w:style w:type="character" w:customStyle="1" w:styleId="202">
    <w:name w:val="Подпись к картинке (20)"/>
    <w:uiPriority w:val="99"/>
    <w:rsid w:val="0014077F"/>
    <w:rPr>
      <w:rFonts w:ascii="Arial Narrow" w:hAnsi="Arial Narrow" w:cs="Arial Narrow"/>
      <w:i/>
      <w:iCs/>
      <w:spacing w:val="0"/>
      <w:sz w:val="16"/>
      <w:szCs w:val="16"/>
      <w:u w:val="single"/>
    </w:rPr>
  </w:style>
  <w:style w:type="character" w:customStyle="1" w:styleId="211">
    <w:name w:val="Подпись к картинке (21)"/>
    <w:uiPriority w:val="99"/>
    <w:rsid w:val="0014077F"/>
    <w:rPr>
      <w:rFonts w:ascii="Arial Narrow" w:hAnsi="Arial Narrow" w:cs="Arial Narrow"/>
      <w:strike/>
      <w:spacing w:val="0"/>
      <w:sz w:val="22"/>
      <w:szCs w:val="22"/>
    </w:rPr>
  </w:style>
  <w:style w:type="character" w:customStyle="1" w:styleId="5">
    <w:name w:val="Подпись к картинке (5)"/>
    <w:uiPriority w:val="99"/>
    <w:rsid w:val="0014077F"/>
    <w:rPr>
      <w:rFonts w:ascii="Arial Narrow" w:hAnsi="Arial Narrow" w:cs="Arial Narrow"/>
      <w:spacing w:val="0"/>
      <w:sz w:val="17"/>
      <w:szCs w:val="17"/>
      <w:u w:val="single"/>
    </w:rPr>
  </w:style>
  <w:style w:type="character" w:customStyle="1" w:styleId="58">
    <w:name w:val="Основной текст (58) + Полужирный"/>
    <w:uiPriority w:val="99"/>
    <w:rsid w:val="0014077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14077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14077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14077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link w:val="122"/>
    <w:rsid w:val="0014077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14077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14077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14077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14077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14077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14077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14077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14077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14077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14077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14077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14077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14077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14077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14077F"/>
    <w:rPr>
      <w:rFonts w:ascii="Arial Narrow" w:hAnsi="Arial Narrow" w:cs="Arial Narrow"/>
      <w:b/>
      <w:bCs/>
      <w:i/>
      <w:iCs/>
      <w:smallCaps/>
      <w:spacing w:val="0"/>
      <w:sz w:val="15"/>
      <w:szCs w:val="15"/>
    </w:rPr>
  </w:style>
  <w:style w:type="character" w:customStyle="1" w:styleId="18">
    <w:name w:val="Основной текст + Курсив1"/>
    <w:uiPriority w:val="99"/>
    <w:rsid w:val="0014077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14077F"/>
    <w:rPr>
      <w:rFonts w:ascii="Arial Narrow" w:hAnsi="Arial Narrow" w:cs="Arial Narrow"/>
      <w:spacing w:val="0"/>
      <w:sz w:val="17"/>
      <w:szCs w:val="17"/>
    </w:rPr>
  </w:style>
  <w:style w:type="paragraph" w:customStyle="1" w:styleId="113">
    <w:name w:val="Основной текст (11)"/>
    <w:basedOn w:val="a"/>
    <w:uiPriority w:val="99"/>
    <w:rsid w:val="0014077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rsid w:val="0014077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
    <w:uiPriority w:val="99"/>
    <w:rsid w:val="0014077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6">
    <w:name w:val="Подпись к картинке (4)"/>
    <w:basedOn w:val="a"/>
    <w:uiPriority w:val="99"/>
    <w:rsid w:val="0014077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14077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14077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14077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14077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14077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14077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14077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14077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14077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14077F"/>
    <w:rPr>
      <w:rFonts w:ascii="Arial Narrow" w:hAnsi="Arial Narrow" w:cs="Arial Narrow"/>
      <w:i/>
      <w:iCs/>
      <w:spacing w:val="0"/>
      <w:sz w:val="14"/>
      <w:szCs w:val="14"/>
    </w:rPr>
  </w:style>
  <w:style w:type="character" w:customStyle="1" w:styleId="37">
    <w:name w:val="Основной текст + Курсив3"/>
    <w:uiPriority w:val="99"/>
    <w:rsid w:val="0014077F"/>
    <w:rPr>
      <w:rFonts w:ascii="Arial Narrow" w:hAnsi="Arial Narrow" w:cs="Arial Narrow"/>
      <w:i/>
      <w:iCs/>
      <w:spacing w:val="0"/>
      <w:sz w:val="17"/>
      <w:szCs w:val="17"/>
    </w:rPr>
  </w:style>
  <w:style w:type="character" w:customStyle="1" w:styleId="70pt">
    <w:name w:val="Подпись к картинке (7) + Интервал 0 pt"/>
    <w:uiPriority w:val="99"/>
    <w:rsid w:val="0014077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14077F"/>
    <w:rPr>
      <w:rFonts w:ascii="MS Reference Sans Serif" w:hAnsi="MS Reference Sans Serif" w:cs="MS Reference Sans Serif"/>
      <w:smallCaps/>
      <w:spacing w:val="-10"/>
      <w:sz w:val="14"/>
      <w:szCs w:val="14"/>
    </w:rPr>
  </w:style>
  <w:style w:type="character" w:customStyle="1" w:styleId="2c">
    <w:name w:val="Основной текст + Курсив2"/>
    <w:uiPriority w:val="99"/>
    <w:rsid w:val="0014077F"/>
    <w:rPr>
      <w:rFonts w:ascii="Arial Narrow" w:hAnsi="Arial Narrow" w:cs="Arial Narrow"/>
      <w:i/>
      <w:iCs/>
      <w:spacing w:val="0"/>
      <w:sz w:val="17"/>
      <w:szCs w:val="17"/>
    </w:rPr>
  </w:style>
  <w:style w:type="paragraph" w:customStyle="1" w:styleId="271">
    <w:name w:val="Основной текст (27)1"/>
    <w:basedOn w:val="a"/>
    <w:uiPriority w:val="99"/>
    <w:rsid w:val="0014077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14077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14077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14077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14077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14077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14077F"/>
    <w:rPr>
      <w:rFonts w:ascii="Consolas" w:hAnsi="Consolas" w:cs="Consolas"/>
      <w:b/>
      <w:bCs/>
      <w:i/>
      <w:iCs/>
      <w:spacing w:val="-10"/>
      <w:sz w:val="18"/>
      <w:szCs w:val="18"/>
    </w:rPr>
  </w:style>
  <w:style w:type="character" w:customStyle="1" w:styleId="27Gulim65pt">
    <w:name w:val="Основной текст (27) + Gulim.6.5 pt"/>
    <w:uiPriority w:val="99"/>
    <w:rsid w:val="0014077F"/>
    <w:rPr>
      <w:rFonts w:ascii="Gulim" w:eastAsia="Gulim" w:cs="Gulim"/>
      <w:i/>
      <w:iCs/>
      <w:spacing w:val="0"/>
      <w:sz w:val="13"/>
      <w:szCs w:val="13"/>
    </w:rPr>
  </w:style>
  <w:style w:type="character" w:customStyle="1" w:styleId="73">
    <w:name w:val="Основной текст + Курсив7"/>
    <w:uiPriority w:val="99"/>
    <w:rsid w:val="0014077F"/>
    <w:rPr>
      <w:rFonts w:ascii="Arial Narrow" w:hAnsi="Arial Narrow" w:cs="Arial Narrow"/>
      <w:i/>
      <w:iCs/>
      <w:spacing w:val="0"/>
      <w:sz w:val="17"/>
      <w:szCs w:val="17"/>
    </w:rPr>
  </w:style>
  <w:style w:type="character" w:customStyle="1" w:styleId="276">
    <w:name w:val="Основной текст (27) + Не курсив6"/>
    <w:uiPriority w:val="99"/>
    <w:rsid w:val="0014077F"/>
    <w:rPr>
      <w:rFonts w:ascii="Arial Narrow" w:hAnsi="Arial Narrow" w:cs="Arial Narrow"/>
      <w:spacing w:val="0"/>
      <w:sz w:val="17"/>
      <w:szCs w:val="17"/>
    </w:rPr>
  </w:style>
  <w:style w:type="character" w:customStyle="1" w:styleId="275">
    <w:name w:val="Основной текст (27) + Не курсив5"/>
    <w:uiPriority w:val="99"/>
    <w:rsid w:val="0014077F"/>
    <w:rPr>
      <w:rFonts w:ascii="Arial Narrow" w:hAnsi="Arial Narrow" w:cs="Arial Narrow"/>
      <w:spacing w:val="0"/>
      <w:sz w:val="17"/>
      <w:szCs w:val="17"/>
    </w:rPr>
  </w:style>
  <w:style w:type="character" w:customStyle="1" w:styleId="64">
    <w:name w:val="Основной текст + Курсив6"/>
    <w:uiPriority w:val="99"/>
    <w:rsid w:val="0014077F"/>
    <w:rPr>
      <w:rFonts w:ascii="Arial Narrow" w:hAnsi="Arial Narrow" w:cs="Arial Narrow"/>
      <w:i/>
      <w:iCs/>
      <w:spacing w:val="0"/>
      <w:sz w:val="17"/>
      <w:szCs w:val="17"/>
    </w:rPr>
  </w:style>
  <w:style w:type="character" w:customStyle="1" w:styleId="270">
    <w:name w:val="Основной текст (27)"/>
    <w:uiPriority w:val="99"/>
    <w:rsid w:val="0014077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14077F"/>
    <w:rPr>
      <w:rFonts w:ascii="Arial Narrow" w:hAnsi="Arial Narrow" w:cs="Arial Narrow"/>
      <w:spacing w:val="0"/>
      <w:sz w:val="17"/>
      <w:szCs w:val="17"/>
    </w:rPr>
  </w:style>
  <w:style w:type="character" w:customStyle="1" w:styleId="58pt">
    <w:name w:val="Основной текст (5) + 8 pt.Не курсив"/>
    <w:uiPriority w:val="99"/>
    <w:rsid w:val="0014077F"/>
    <w:rPr>
      <w:rFonts w:ascii="Arial Narrow" w:hAnsi="Arial Narrow" w:cs="Arial Narrow"/>
      <w:spacing w:val="0"/>
      <w:sz w:val="16"/>
      <w:szCs w:val="16"/>
    </w:rPr>
  </w:style>
  <w:style w:type="paragraph" w:customStyle="1" w:styleId="511">
    <w:name w:val="Основной текст (5)1"/>
    <w:basedOn w:val="a"/>
    <w:uiPriority w:val="99"/>
    <w:rsid w:val="0014077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14077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14077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14077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14077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14077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14077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0">
    <w:name w:val="Основной текст (28)"/>
    <w:basedOn w:val="a"/>
    <w:link w:val="281"/>
    <w:rsid w:val="0014077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link w:val="3a"/>
    <w:rsid w:val="0014077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uiPriority w:val="99"/>
    <w:rsid w:val="0014077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14077F"/>
    <w:rPr>
      <w:rFonts w:ascii="Arial" w:hAnsi="Arial" w:cs="Arial"/>
      <w:b/>
      <w:bCs/>
      <w:spacing w:val="0"/>
      <w:sz w:val="23"/>
      <w:szCs w:val="23"/>
    </w:rPr>
  </w:style>
  <w:style w:type="character" w:customStyle="1" w:styleId="14pt">
    <w:name w:val="Основной текст + 14 pt"/>
    <w:uiPriority w:val="99"/>
    <w:rsid w:val="0014077F"/>
    <w:rPr>
      <w:rFonts w:ascii="Lucida Sans Unicode" w:hAnsi="Lucida Sans Unicode" w:cs="Lucida Sans Unicode"/>
      <w:sz w:val="28"/>
      <w:szCs w:val="28"/>
    </w:rPr>
  </w:style>
  <w:style w:type="paragraph" w:customStyle="1" w:styleId="2d">
    <w:name w:val="Подпись к таблице (2)"/>
    <w:basedOn w:val="a"/>
    <w:rsid w:val="0014077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styleId="3b">
    <w:name w:val="Body Text Indent 3"/>
    <w:basedOn w:val="a"/>
    <w:link w:val="3c"/>
    <w:uiPriority w:val="99"/>
    <w:rsid w:val="0014077F"/>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c">
    <w:name w:val="Основной текст с отступом 3 Знак"/>
    <w:link w:val="3b"/>
    <w:uiPriority w:val="99"/>
    <w:rsid w:val="0014077F"/>
    <w:rPr>
      <w:rFonts w:ascii="Times New Roman" w:hAnsi="Times New Roman"/>
      <w:sz w:val="24"/>
      <w:szCs w:val="24"/>
      <w:lang w:eastAsia="en-US"/>
    </w:rPr>
  </w:style>
  <w:style w:type="paragraph" w:customStyle="1" w:styleId="411">
    <w:name w:val="Основной текст (4)1"/>
    <w:basedOn w:val="a"/>
    <w:uiPriority w:val="99"/>
    <w:rsid w:val="0014077F"/>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character" w:customStyle="1" w:styleId="49">
    <w:name w:val="Основной текст (4)9"/>
    <w:uiPriority w:val="99"/>
    <w:rsid w:val="0014077F"/>
    <w:rPr>
      <w:rFonts w:ascii="Microsoft Sans Serif" w:hAnsi="Microsoft Sans Serif" w:cs="Microsoft Sans Serif"/>
      <w:i/>
      <w:iCs/>
      <w:sz w:val="15"/>
      <w:szCs w:val="15"/>
      <w:u w:val="single"/>
    </w:rPr>
  </w:style>
  <w:style w:type="character" w:customStyle="1" w:styleId="48">
    <w:name w:val="Основной текст (4)8"/>
    <w:uiPriority w:val="99"/>
    <w:rsid w:val="0014077F"/>
    <w:rPr>
      <w:rFonts w:ascii="Microsoft Sans Serif" w:hAnsi="Microsoft Sans Serif" w:cs="Microsoft Sans Serif"/>
      <w:i/>
      <w:iCs/>
      <w:sz w:val="15"/>
      <w:szCs w:val="15"/>
      <w:u w:val="single"/>
    </w:rPr>
  </w:style>
  <w:style w:type="character" w:customStyle="1" w:styleId="47">
    <w:name w:val="Основной текст (4)7"/>
    <w:uiPriority w:val="99"/>
    <w:rsid w:val="0014077F"/>
    <w:rPr>
      <w:rFonts w:ascii="Microsoft Sans Serif" w:hAnsi="Microsoft Sans Serif" w:cs="Microsoft Sans Serif"/>
      <w:i/>
      <w:iCs/>
      <w:sz w:val="15"/>
      <w:szCs w:val="15"/>
      <w:u w:val="single"/>
    </w:rPr>
  </w:style>
  <w:style w:type="character" w:customStyle="1" w:styleId="460">
    <w:name w:val="Основной текст (4)6"/>
    <w:uiPriority w:val="99"/>
    <w:rsid w:val="0014077F"/>
    <w:rPr>
      <w:rFonts w:ascii="Microsoft Sans Serif" w:hAnsi="Microsoft Sans Serif" w:cs="Microsoft Sans Serif"/>
      <w:i/>
      <w:iCs/>
      <w:sz w:val="15"/>
      <w:szCs w:val="15"/>
      <w:u w:val="single"/>
    </w:rPr>
  </w:style>
  <w:style w:type="character" w:customStyle="1" w:styleId="420">
    <w:name w:val="Основной текст (4) + Не курсив2"/>
    <w:uiPriority w:val="99"/>
    <w:rsid w:val="0014077F"/>
    <w:rPr>
      <w:rFonts w:ascii="Microsoft Sans Serif" w:hAnsi="Microsoft Sans Serif" w:cs="Microsoft Sans Serif"/>
      <w:i/>
      <w:iCs/>
      <w:sz w:val="15"/>
      <w:szCs w:val="15"/>
    </w:rPr>
  </w:style>
  <w:style w:type="character" w:customStyle="1" w:styleId="450">
    <w:name w:val="Основной текст (4)5"/>
    <w:uiPriority w:val="99"/>
    <w:rsid w:val="0014077F"/>
    <w:rPr>
      <w:rFonts w:ascii="Microsoft Sans Serif" w:hAnsi="Microsoft Sans Serif" w:cs="Microsoft Sans Serif"/>
      <w:i/>
      <w:iCs/>
      <w:sz w:val="15"/>
      <w:szCs w:val="15"/>
      <w:u w:val="single"/>
    </w:rPr>
  </w:style>
  <w:style w:type="character" w:customStyle="1" w:styleId="465pt15122">
    <w:name w:val="Основной текст (4) + 6.5 pt15.Полужирный12.Не курсив2"/>
    <w:uiPriority w:val="99"/>
    <w:rsid w:val="0014077F"/>
    <w:rPr>
      <w:rFonts w:ascii="Microsoft Sans Serif" w:hAnsi="Microsoft Sans Serif" w:cs="Microsoft Sans Serif"/>
      <w:b/>
      <w:bCs/>
      <w:i/>
      <w:iCs/>
      <w:sz w:val="13"/>
      <w:szCs w:val="13"/>
    </w:rPr>
  </w:style>
  <w:style w:type="character" w:customStyle="1" w:styleId="440">
    <w:name w:val="Основной текст (4)4"/>
    <w:uiPriority w:val="99"/>
    <w:rsid w:val="0014077F"/>
    <w:rPr>
      <w:rFonts w:ascii="Microsoft Sans Serif" w:hAnsi="Microsoft Sans Serif" w:cs="Microsoft Sans Serif"/>
      <w:i/>
      <w:iCs/>
      <w:sz w:val="15"/>
      <w:szCs w:val="15"/>
      <w:u w:val="single"/>
    </w:rPr>
  </w:style>
  <w:style w:type="character" w:customStyle="1" w:styleId="430">
    <w:name w:val="Основной текст (4)3"/>
    <w:uiPriority w:val="99"/>
    <w:rsid w:val="0014077F"/>
    <w:rPr>
      <w:rFonts w:ascii="Microsoft Sans Serif" w:hAnsi="Microsoft Sans Serif" w:cs="Microsoft Sans Serif"/>
      <w:i/>
      <w:iCs/>
      <w:sz w:val="15"/>
      <w:szCs w:val="15"/>
      <w:u w:val="single"/>
    </w:rPr>
  </w:style>
  <w:style w:type="character" w:customStyle="1" w:styleId="412">
    <w:name w:val="Основной текст (4) + Не курсив1"/>
    <w:uiPriority w:val="99"/>
    <w:rsid w:val="0014077F"/>
    <w:rPr>
      <w:rFonts w:ascii="Microsoft Sans Serif" w:hAnsi="Microsoft Sans Serif" w:cs="Microsoft Sans Serif"/>
      <w:i/>
      <w:iCs/>
      <w:sz w:val="15"/>
      <w:szCs w:val="15"/>
    </w:rPr>
  </w:style>
  <w:style w:type="character" w:customStyle="1" w:styleId="4-1pt">
    <w:name w:val="Основной текст (4) + Интервал -1 pt"/>
    <w:uiPriority w:val="99"/>
    <w:rsid w:val="0014077F"/>
    <w:rPr>
      <w:rFonts w:ascii="Microsoft Sans Serif" w:hAnsi="Microsoft Sans Serif" w:cs="Microsoft Sans Serif"/>
      <w:i/>
      <w:iCs/>
      <w:spacing w:val="-20"/>
      <w:sz w:val="15"/>
      <w:szCs w:val="15"/>
    </w:rPr>
  </w:style>
  <w:style w:type="character" w:customStyle="1" w:styleId="111475pt42210pt56">
    <w:name w:val="Основной текст (11) + 147.5 pt42.Не курсив21.Интервал 0 pt56"/>
    <w:uiPriority w:val="99"/>
    <w:rsid w:val="0014077F"/>
    <w:rPr>
      <w:rFonts w:ascii="Microsoft Sans Serif" w:hAnsi="Microsoft Sans Serif" w:cs="Microsoft Sans Serif"/>
      <w:i/>
      <w:iCs/>
      <w:spacing w:val="-10"/>
      <w:sz w:val="29"/>
      <w:szCs w:val="29"/>
    </w:rPr>
  </w:style>
  <w:style w:type="paragraph" w:customStyle="1" w:styleId="1110">
    <w:name w:val="Основной текст (11)1"/>
    <w:basedOn w:val="a"/>
    <w:uiPriority w:val="99"/>
    <w:rsid w:val="0014077F"/>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character" w:customStyle="1" w:styleId="14pt11260pt55">
    <w:name w:val="Основной текст + 14 pt11.Курсив26.Интервал 0 pt55"/>
    <w:uiPriority w:val="99"/>
    <w:rsid w:val="0014077F"/>
    <w:rPr>
      <w:rFonts w:ascii="Microsoft Sans Serif" w:hAnsi="Microsoft Sans Serif" w:cs="Microsoft Sans Serif"/>
      <w:i/>
      <w:iCs/>
      <w:spacing w:val="0"/>
      <w:sz w:val="28"/>
      <w:szCs w:val="28"/>
    </w:rPr>
  </w:style>
  <w:style w:type="character" w:customStyle="1" w:styleId="111465pt41200pt54">
    <w:name w:val="Основной текст (11) + 146.5 pt41.Не курсив20.Интервал 0 pt54"/>
    <w:uiPriority w:val="99"/>
    <w:rsid w:val="0014077F"/>
    <w:rPr>
      <w:rFonts w:ascii="Microsoft Sans Serif" w:hAnsi="Microsoft Sans Serif" w:cs="Microsoft Sans Serif"/>
      <w:i/>
      <w:iCs/>
      <w:spacing w:val="-10"/>
      <w:sz w:val="29"/>
      <w:szCs w:val="29"/>
    </w:rPr>
  </w:style>
  <w:style w:type="character" w:customStyle="1" w:styleId="111455pt40190pt53">
    <w:name w:val="Основной текст (11) + 145.5 pt40.Не курсив19.Интервал 0 pt53"/>
    <w:uiPriority w:val="99"/>
    <w:rsid w:val="0014077F"/>
    <w:rPr>
      <w:rFonts w:ascii="Microsoft Sans Serif" w:hAnsi="Microsoft Sans Serif" w:cs="Microsoft Sans Serif"/>
      <w:i/>
      <w:iCs/>
      <w:spacing w:val="-10"/>
      <w:sz w:val="29"/>
      <w:szCs w:val="29"/>
    </w:rPr>
  </w:style>
  <w:style w:type="character" w:customStyle="1" w:styleId="1111">
    <w:name w:val="Основной текст (11)11"/>
    <w:uiPriority w:val="99"/>
    <w:rsid w:val="0014077F"/>
    <w:rPr>
      <w:rFonts w:ascii="Microsoft Sans Serif" w:hAnsi="Microsoft Sans Serif" w:cs="Microsoft Sans Serif"/>
      <w:i/>
      <w:iCs/>
      <w:sz w:val="28"/>
      <w:szCs w:val="28"/>
      <w:u w:val="single"/>
    </w:rPr>
  </w:style>
  <w:style w:type="character" w:customStyle="1" w:styleId="11SimHei1465pt39180pt52">
    <w:name w:val="Основной текст (11) + SimHei.146.5 pt39.Не курсив18.Интервал 0 pt52"/>
    <w:uiPriority w:val="99"/>
    <w:rsid w:val="0014077F"/>
    <w:rPr>
      <w:rFonts w:ascii="SimHei" w:eastAsia="SimHei" w:cs="SimHei"/>
      <w:i/>
      <w:iCs/>
      <w:spacing w:val="-10"/>
      <w:sz w:val="29"/>
      <w:szCs w:val="29"/>
    </w:rPr>
  </w:style>
  <w:style w:type="character" w:customStyle="1" w:styleId="111435pt36120pt48">
    <w:name w:val="Основной текст (11) + 143.5 pt36.Не курсив12.Интервал 0 pt48"/>
    <w:uiPriority w:val="99"/>
    <w:rsid w:val="0014077F"/>
    <w:rPr>
      <w:rFonts w:ascii="Microsoft Sans Serif" w:hAnsi="Microsoft Sans Serif" w:cs="Microsoft Sans Serif"/>
      <w:i/>
      <w:iCs/>
      <w:spacing w:val="-10"/>
      <w:sz w:val="29"/>
      <w:szCs w:val="29"/>
    </w:rPr>
  </w:style>
  <w:style w:type="character" w:customStyle="1" w:styleId="11SimHei21455pt35110pt47">
    <w:name w:val="Основной текст (11) + SimHei2.145.5 pt35.Не курсив11.Интервал 0 pt47"/>
    <w:uiPriority w:val="99"/>
    <w:rsid w:val="0014077F"/>
    <w:rPr>
      <w:rFonts w:ascii="SimHei" w:eastAsia="SimHei" w:cs="SimHei"/>
      <w:i/>
      <w:iCs/>
      <w:spacing w:val="-10"/>
      <w:sz w:val="29"/>
      <w:szCs w:val="29"/>
    </w:rPr>
  </w:style>
  <w:style w:type="character" w:customStyle="1" w:styleId="14pt10240pt46">
    <w:name w:val="Основной текст + 14 pt10.Курсив24.Интервал 0 pt46"/>
    <w:uiPriority w:val="99"/>
    <w:rsid w:val="0014077F"/>
    <w:rPr>
      <w:rFonts w:ascii="Microsoft Sans Serif" w:hAnsi="Microsoft Sans Serif" w:cs="Microsoft Sans Serif"/>
      <w:i/>
      <w:iCs/>
      <w:spacing w:val="0"/>
      <w:sz w:val="28"/>
      <w:szCs w:val="28"/>
    </w:rPr>
  </w:style>
  <w:style w:type="character" w:customStyle="1" w:styleId="111425pt34100pt45">
    <w:name w:val="Основной текст (11) + 142.5 pt34.Не курсив10.Интервал 0 pt45"/>
    <w:uiPriority w:val="99"/>
    <w:rsid w:val="0014077F"/>
    <w:rPr>
      <w:rFonts w:ascii="Microsoft Sans Serif" w:hAnsi="Microsoft Sans Serif" w:cs="Microsoft Sans Serif"/>
      <w:i/>
      <w:iCs/>
      <w:spacing w:val="-10"/>
      <w:sz w:val="29"/>
      <w:szCs w:val="29"/>
    </w:rPr>
  </w:style>
  <w:style w:type="character" w:customStyle="1" w:styleId="114pt4">
    <w:name w:val="Основной текст (11) + Интервал 4 pt4"/>
    <w:uiPriority w:val="99"/>
    <w:rsid w:val="0014077F"/>
    <w:rPr>
      <w:rFonts w:ascii="Microsoft Sans Serif" w:hAnsi="Microsoft Sans Serif" w:cs="Microsoft Sans Serif"/>
      <w:i/>
      <w:iCs/>
      <w:spacing w:val="80"/>
      <w:sz w:val="28"/>
      <w:szCs w:val="28"/>
    </w:rPr>
  </w:style>
  <w:style w:type="character" w:customStyle="1" w:styleId="118">
    <w:name w:val="Основной текст (11)8"/>
    <w:uiPriority w:val="99"/>
    <w:rsid w:val="0014077F"/>
    <w:rPr>
      <w:rFonts w:ascii="Microsoft Sans Serif" w:hAnsi="Microsoft Sans Serif" w:cs="Microsoft Sans Serif"/>
      <w:i/>
      <w:iCs/>
      <w:sz w:val="28"/>
      <w:szCs w:val="28"/>
    </w:rPr>
  </w:style>
  <w:style w:type="character" w:customStyle="1" w:styleId="114pt3">
    <w:name w:val="Основной текст (11) + Интервал 4 pt3"/>
    <w:uiPriority w:val="99"/>
    <w:rsid w:val="0014077F"/>
    <w:rPr>
      <w:rFonts w:ascii="Microsoft Sans Serif" w:hAnsi="Microsoft Sans Serif" w:cs="Microsoft Sans Serif"/>
      <w:i/>
      <w:iCs/>
      <w:spacing w:val="80"/>
      <w:sz w:val="28"/>
      <w:szCs w:val="28"/>
    </w:rPr>
  </w:style>
  <w:style w:type="paragraph" w:customStyle="1" w:styleId="161">
    <w:name w:val="Основной текст (16)"/>
    <w:basedOn w:val="a"/>
    <w:uiPriority w:val="99"/>
    <w:rsid w:val="0014077F"/>
    <w:pPr>
      <w:shd w:val="clear" w:color="auto" w:fill="FFFFFF"/>
      <w:autoSpaceDE w:val="0"/>
      <w:autoSpaceDN w:val="0"/>
      <w:adjustRightInd w:val="0"/>
      <w:spacing w:after="0" w:line="240" w:lineRule="atLeast"/>
      <w:ind w:hanging="280"/>
    </w:pPr>
    <w:rPr>
      <w:rFonts w:ascii="Microsoft Sans Serif" w:hAnsi="Microsoft Sans Serif" w:cs="Microsoft Sans Serif"/>
      <w:noProof/>
      <w:sz w:val="19"/>
      <w:szCs w:val="19"/>
      <w:lang w:val="en-US"/>
    </w:rPr>
  </w:style>
  <w:style w:type="character" w:customStyle="1" w:styleId="116">
    <w:name w:val="Основной текст (11)6"/>
    <w:uiPriority w:val="99"/>
    <w:rsid w:val="0014077F"/>
    <w:rPr>
      <w:rFonts w:ascii="Microsoft Sans Serif" w:hAnsi="Microsoft Sans Serif" w:cs="Microsoft Sans Serif"/>
      <w:i/>
      <w:iCs/>
      <w:sz w:val="28"/>
      <w:szCs w:val="28"/>
      <w:u w:val="single"/>
    </w:rPr>
  </w:style>
  <w:style w:type="character" w:customStyle="1" w:styleId="114">
    <w:name w:val="Основной текст (11)_"/>
    <w:uiPriority w:val="99"/>
    <w:rsid w:val="0014077F"/>
    <w:rPr>
      <w:rFonts w:ascii="Microsoft Sans Serif" w:hAnsi="Microsoft Sans Serif" w:cs="Microsoft Sans Serif"/>
      <w:i/>
      <w:iCs/>
      <w:sz w:val="28"/>
      <w:szCs w:val="28"/>
    </w:rPr>
  </w:style>
  <w:style w:type="character" w:customStyle="1" w:styleId="115">
    <w:name w:val="Основной текст (11)5"/>
    <w:uiPriority w:val="99"/>
    <w:rsid w:val="0014077F"/>
    <w:rPr>
      <w:rFonts w:ascii="Microsoft Sans Serif" w:hAnsi="Microsoft Sans Serif" w:cs="Microsoft Sans Serif"/>
      <w:i/>
      <w:iCs/>
      <w:sz w:val="28"/>
      <w:szCs w:val="28"/>
    </w:rPr>
  </w:style>
  <w:style w:type="character" w:customStyle="1" w:styleId="114pt2">
    <w:name w:val="Основной текст (11) + Интервал 4 pt2"/>
    <w:uiPriority w:val="99"/>
    <w:rsid w:val="0014077F"/>
    <w:rPr>
      <w:rFonts w:ascii="Microsoft Sans Serif" w:hAnsi="Microsoft Sans Serif" w:cs="Microsoft Sans Serif"/>
      <w:i/>
      <w:iCs/>
      <w:spacing w:val="80"/>
      <w:sz w:val="28"/>
      <w:szCs w:val="28"/>
    </w:rPr>
  </w:style>
  <w:style w:type="character" w:customStyle="1" w:styleId="111pt6">
    <w:name w:val="Основной текст (11) + Интервал 1 pt6"/>
    <w:uiPriority w:val="99"/>
    <w:rsid w:val="0014077F"/>
    <w:rPr>
      <w:rFonts w:ascii="Microsoft Sans Serif" w:hAnsi="Microsoft Sans Serif" w:cs="Microsoft Sans Serif"/>
      <w:i/>
      <w:iCs/>
      <w:spacing w:val="30"/>
      <w:sz w:val="28"/>
      <w:szCs w:val="28"/>
    </w:rPr>
  </w:style>
  <w:style w:type="character" w:customStyle="1" w:styleId="111pt5">
    <w:name w:val="Основной текст (11) + Интервал 1 pt5"/>
    <w:uiPriority w:val="99"/>
    <w:rsid w:val="0014077F"/>
    <w:rPr>
      <w:rFonts w:ascii="Microsoft Sans Serif" w:hAnsi="Microsoft Sans Serif" w:cs="Microsoft Sans Serif"/>
      <w:i/>
      <w:iCs/>
      <w:spacing w:val="30"/>
      <w:sz w:val="28"/>
      <w:szCs w:val="28"/>
    </w:rPr>
  </w:style>
  <w:style w:type="character" w:customStyle="1" w:styleId="14pt9230pt44">
    <w:name w:val="Основной текст + 14 pt9.Курсив23.Интервал 0 pt44"/>
    <w:uiPriority w:val="99"/>
    <w:rsid w:val="0014077F"/>
    <w:rPr>
      <w:rFonts w:ascii="Microsoft Sans Serif" w:hAnsi="Microsoft Sans Serif" w:cs="Microsoft Sans Serif"/>
      <w:i/>
      <w:iCs/>
      <w:spacing w:val="0"/>
      <w:sz w:val="28"/>
      <w:szCs w:val="28"/>
    </w:rPr>
  </w:style>
  <w:style w:type="character" w:customStyle="1" w:styleId="114pt1">
    <w:name w:val="Основной текст (11) + Интервал 4 pt1"/>
    <w:uiPriority w:val="99"/>
    <w:rsid w:val="0014077F"/>
    <w:rPr>
      <w:rFonts w:ascii="Microsoft Sans Serif" w:hAnsi="Microsoft Sans Serif" w:cs="Microsoft Sans Serif"/>
      <w:i/>
      <w:iCs/>
      <w:spacing w:val="80"/>
      <w:sz w:val="28"/>
      <w:szCs w:val="28"/>
    </w:rPr>
  </w:style>
  <w:style w:type="character" w:customStyle="1" w:styleId="111pt4">
    <w:name w:val="Основной текст (11) + Интервал 1 pt4"/>
    <w:uiPriority w:val="99"/>
    <w:rsid w:val="0014077F"/>
    <w:rPr>
      <w:rFonts w:ascii="Microsoft Sans Serif" w:hAnsi="Microsoft Sans Serif" w:cs="Microsoft Sans Serif"/>
      <w:i/>
      <w:iCs/>
      <w:spacing w:val="30"/>
      <w:sz w:val="28"/>
      <w:szCs w:val="28"/>
    </w:rPr>
  </w:style>
  <w:style w:type="character" w:customStyle="1" w:styleId="1140">
    <w:name w:val="Основной текст (11)4"/>
    <w:uiPriority w:val="99"/>
    <w:rsid w:val="0014077F"/>
    <w:rPr>
      <w:rFonts w:ascii="Microsoft Sans Serif" w:hAnsi="Microsoft Sans Serif" w:cs="Microsoft Sans Serif"/>
      <w:i/>
      <w:iCs/>
      <w:sz w:val="28"/>
      <w:szCs w:val="28"/>
    </w:rPr>
  </w:style>
  <w:style w:type="character" w:customStyle="1" w:styleId="111pt3">
    <w:name w:val="Основной текст (11) + Интервал 1 pt3"/>
    <w:uiPriority w:val="99"/>
    <w:rsid w:val="0014077F"/>
    <w:rPr>
      <w:rFonts w:ascii="Microsoft Sans Serif" w:hAnsi="Microsoft Sans Serif" w:cs="Microsoft Sans Serif"/>
      <w:i/>
      <w:iCs/>
      <w:spacing w:val="30"/>
      <w:sz w:val="28"/>
      <w:szCs w:val="28"/>
    </w:rPr>
  </w:style>
  <w:style w:type="character" w:customStyle="1" w:styleId="11SimHei1175pt339-2pt">
    <w:name w:val="Основной текст (11) + SimHei1.17.5 pt33.Не курсив9.Интервал -2 pt"/>
    <w:uiPriority w:val="99"/>
    <w:rsid w:val="0014077F"/>
    <w:rPr>
      <w:rFonts w:ascii="SimHei" w:eastAsia="SimHei" w:hAnsi="Microsoft Sans Serif" w:cs="SimHei"/>
      <w:i/>
      <w:iCs/>
      <w:spacing w:val="-40"/>
      <w:sz w:val="35"/>
      <w:szCs w:val="35"/>
    </w:rPr>
  </w:style>
  <w:style w:type="character" w:customStyle="1" w:styleId="111415pt3180pt43">
    <w:name w:val="Основной текст (11) + 141.5 pt31.Не курсив8.Интервал 0 pt43"/>
    <w:uiPriority w:val="99"/>
    <w:rsid w:val="0014077F"/>
    <w:rPr>
      <w:rFonts w:ascii="Microsoft Sans Serif" w:hAnsi="Microsoft Sans Serif" w:cs="Microsoft Sans Serif"/>
      <w:i/>
      <w:iCs/>
      <w:spacing w:val="-10"/>
      <w:sz w:val="29"/>
      <w:szCs w:val="29"/>
    </w:rPr>
  </w:style>
  <w:style w:type="character" w:customStyle="1" w:styleId="1130">
    <w:name w:val="Основной текст (11)3"/>
    <w:uiPriority w:val="99"/>
    <w:rsid w:val="0014077F"/>
    <w:rPr>
      <w:rFonts w:ascii="Microsoft Sans Serif" w:hAnsi="Microsoft Sans Serif" w:cs="Microsoft Sans Serif"/>
      <w:i/>
      <w:iCs/>
      <w:sz w:val="28"/>
      <w:szCs w:val="28"/>
    </w:rPr>
  </w:style>
  <w:style w:type="character" w:customStyle="1" w:styleId="111pt2">
    <w:name w:val="Основной текст (11) + Интервал 1 pt2"/>
    <w:uiPriority w:val="99"/>
    <w:rsid w:val="0014077F"/>
    <w:rPr>
      <w:rFonts w:ascii="Microsoft Sans Serif" w:hAnsi="Microsoft Sans Serif" w:cs="Microsoft Sans Serif"/>
      <w:i/>
      <w:iCs/>
      <w:spacing w:val="30"/>
      <w:sz w:val="28"/>
      <w:szCs w:val="28"/>
    </w:rPr>
  </w:style>
  <w:style w:type="character" w:customStyle="1" w:styleId="1120">
    <w:name w:val="Основной текст (11)2"/>
    <w:uiPriority w:val="99"/>
    <w:rsid w:val="0014077F"/>
    <w:rPr>
      <w:rFonts w:ascii="Microsoft Sans Serif" w:hAnsi="Microsoft Sans Serif" w:cs="Microsoft Sans Serif"/>
      <w:i/>
      <w:iCs/>
      <w:spacing w:val="0"/>
      <w:sz w:val="28"/>
      <w:szCs w:val="28"/>
    </w:rPr>
  </w:style>
  <w:style w:type="character" w:customStyle="1" w:styleId="117">
    <w:name w:val="Основной текст (11)7"/>
    <w:uiPriority w:val="99"/>
    <w:rsid w:val="0014077F"/>
    <w:rPr>
      <w:rFonts w:ascii="Microsoft Sans Serif" w:hAnsi="Microsoft Sans Serif" w:cs="Microsoft Sans Serif"/>
      <w:i/>
      <w:iCs/>
      <w:sz w:val="28"/>
      <w:szCs w:val="28"/>
      <w:u w:val="single"/>
    </w:rPr>
  </w:style>
  <w:style w:type="character" w:customStyle="1" w:styleId="111pt7">
    <w:name w:val="Основной текст (11) + Интервал 1 pt7"/>
    <w:uiPriority w:val="99"/>
    <w:rsid w:val="0014077F"/>
    <w:rPr>
      <w:rFonts w:ascii="Microsoft Sans Serif" w:hAnsi="Microsoft Sans Serif" w:cs="Microsoft Sans Serif"/>
      <w:i/>
      <w:iCs/>
      <w:spacing w:val="30"/>
      <w:sz w:val="28"/>
      <w:szCs w:val="28"/>
    </w:rPr>
  </w:style>
  <w:style w:type="character" w:customStyle="1" w:styleId="0pt18">
    <w:name w:val="Основной текст + Курсив.Интервал 0 pt18"/>
    <w:uiPriority w:val="99"/>
    <w:rsid w:val="0014077F"/>
    <w:rPr>
      <w:rFonts w:ascii="Arial" w:hAnsi="Arial" w:cs="Arial"/>
      <w:i/>
      <w:iCs/>
      <w:spacing w:val="-10"/>
      <w:sz w:val="16"/>
      <w:szCs w:val="16"/>
    </w:rPr>
  </w:style>
  <w:style w:type="character" w:customStyle="1" w:styleId="710">
    <w:name w:val="Основной текст (7)10"/>
    <w:uiPriority w:val="99"/>
    <w:rsid w:val="0014077F"/>
    <w:rPr>
      <w:rFonts w:ascii="Arial" w:hAnsi="Arial" w:cs="Arial"/>
      <w:i/>
      <w:iCs/>
      <w:spacing w:val="-10"/>
      <w:sz w:val="16"/>
      <w:szCs w:val="16"/>
      <w:u w:val="single"/>
    </w:rPr>
  </w:style>
  <w:style w:type="character" w:customStyle="1" w:styleId="15ArialNarrow18">
    <w:name w:val="Основной текст (15) + Arial Narrow.Курсив18"/>
    <w:uiPriority w:val="99"/>
    <w:rsid w:val="0014077F"/>
    <w:rPr>
      <w:rFonts w:ascii="Arial Narrow" w:hAnsi="Arial Narrow" w:cs="Arial Narrow"/>
      <w:i/>
      <w:iCs/>
      <w:spacing w:val="0"/>
      <w:sz w:val="15"/>
      <w:szCs w:val="15"/>
    </w:rPr>
  </w:style>
  <w:style w:type="character" w:customStyle="1" w:styleId="29Arial">
    <w:name w:val="Основной текст (29) + Arial.Не курсив"/>
    <w:uiPriority w:val="99"/>
    <w:rsid w:val="0014077F"/>
    <w:rPr>
      <w:rFonts w:ascii="Arial" w:hAnsi="Arial" w:cs="Arial"/>
      <w:i/>
      <w:iCs/>
      <w:sz w:val="15"/>
      <w:szCs w:val="15"/>
    </w:rPr>
  </w:style>
  <w:style w:type="character" w:customStyle="1" w:styleId="3d">
    <w:name w:val="Подпись к таблице (3)"/>
    <w:uiPriority w:val="99"/>
    <w:rsid w:val="0014077F"/>
    <w:rPr>
      <w:rFonts w:ascii="Arial" w:hAnsi="Arial" w:cs="Arial"/>
      <w:i/>
      <w:iCs/>
      <w:spacing w:val="-10"/>
      <w:sz w:val="16"/>
      <w:szCs w:val="16"/>
      <w:u w:val="single"/>
    </w:rPr>
  </w:style>
  <w:style w:type="character" w:customStyle="1" w:styleId="79">
    <w:name w:val="Основной текст (7)9"/>
    <w:uiPriority w:val="99"/>
    <w:rsid w:val="0014077F"/>
    <w:rPr>
      <w:rFonts w:ascii="Arial" w:hAnsi="Arial" w:cs="Arial"/>
      <w:i/>
      <w:iCs/>
      <w:spacing w:val="-10"/>
      <w:sz w:val="16"/>
      <w:szCs w:val="16"/>
      <w:u w:val="single"/>
    </w:rPr>
  </w:style>
  <w:style w:type="character" w:customStyle="1" w:styleId="111425pt34100pt4529Arial37pt3">
    <w:name w:val="Основной текст (11) + 142.5 pt34.Не курсив10.Интервал 0 pt45.Основной текст (29) + Arial3.7 pt3"/>
    <w:uiPriority w:val="99"/>
    <w:rsid w:val="0014077F"/>
    <w:rPr>
      <w:rFonts w:ascii="Microsoft Sans Serif" w:hAnsi="Microsoft Sans Serif" w:cs="Microsoft Sans Serif"/>
      <w:i/>
      <w:iCs/>
      <w:spacing w:val="-10"/>
      <w:sz w:val="29"/>
      <w:szCs w:val="29"/>
    </w:rPr>
  </w:style>
  <w:style w:type="character" w:customStyle="1" w:styleId="28ArialNarrow75pt2617">
    <w:name w:val="Основной текст (28) + Arial Narrow.7.5 pt26.Курсив17"/>
    <w:uiPriority w:val="99"/>
    <w:rsid w:val="0014077F"/>
    <w:rPr>
      <w:rFonts w:ascii="Arial Narrow" w:hAnsi="Arial Narrow" w:cs="Arial Narrow"/>
      <w:i/>
      <w:iCs/>
      <w:sz w:val="15"/>
      <w:szCs w:val="15"/>
    </w:rPr>
  </w:style>
  <w:style w:type="character" w:customStyle="1" w:styleId="11SimHei1175pt339-2pt785pt250pt17">
    <w:name w:val="Основной текст (11) + SimHei1.17.5 pt33.Не курсив9.Интервал -2 pt.Основной текст (7) + 8.5 pt25.Интервал 0 pt17"/>
    <w:uiPriority w:val="99"/>
    <w:rsid w:val="0014077F"/>
    <w:rPr>
      <w:rFonts w:ascii="SimHei" w:eastAsia="SimHei" w:cs="SimHei"/>
      <w:i/>
      <w:iCs/>
      <w:spacing w:val="-40"/>
      <w:sz w:val="35"/>
      <w:szCs w:val="35"/>
    </w:rPr>
  </w:style>
  <w:style w:type="paragraph" w:customStyle="1" w:styleId="151">
    <w:name w:val="Основной текст (15)1"/>
    <w:basedOn w:val="a"/>
    <w:uiPriority w:val="99"/>
    <w:rsid w:val="0014077F"/>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paragraph" w:customStyle="1" w:styleId="312">
    <w:name w:val="Подпись к таблице (3)1"/>
    <w:basedOn w:val="a"/>
    <w:uiPriority w:val="99"/>
    <w:rsid w:val="0014077F"/>
    <w:pPr>
      <w:shd w:val="clear" w:color="auto" w:fill="FFFFFF"/>
      <w:autoSpaceDE w:val="0"/>
      <w:autoSpaceDN w:val="0"/>
      <w:adjustRightInd w:val="0"/>
      <w:spacing w:after="0" w:line="240" w:lineRule="atLeast"/>
    </w:pPr>
    <w:rPr>
      <w:rFonts w:ascii="Arial" w:hAnsi="Arial" w:cs="Arial"/>
      <w:i/>
      <w:iCs/>
      <w:noProof/>
      <w:spacing w:val="-10"/>
      <w:sz w:val="16"/>
      <w:szCs w:val="16"/>
      <w:lang w:val="en-US"/>
    </w:rPr>
  </w:style>
  <w:style w:type="paragraph" w:customStyle="1" w:styleId="313">
    <w:name w:val="Основной текст (31)"/>
    <w:basedOn w:val="a"/>
    <w:uiPriority w:val="99"/>
    <w:rsid w:val="0014077F"/>
    <w:pPr>
      <w:shd w:val="clear" w:color="auto" w:fill="FFFFFF"/>
      <w:autoSpaceDE w:val="0"/>
      <w:autoSpaceDN w:val="0"/>
      <w:adjustRightInd w:val="0"/>
      <w:spacing w:after="0" w:line="518" w:lineRule="exact"/>
      <w:jc w:val="both"/>
    </w:pPr>
    <w:rPr>
      <w:rFonts w:ascii="Microsoft Sans Serif" w:hAnsi="Microsoft Sans Serif" w:cs="Microsoft Sans Serif"/>
      <w:i/>
      <w:iCs/>
      <w:noProof/>
      <w:spacing w:val="10"/>
      <w:sz w:val="35"/>
      <w:szCs w:val="35"/>
      <w:lang w:val="en-US"/>
    </w:rPr>
  </w:style>
  <w:style w:type="paragraph" w:customStyle="1" w:styleId="301">
    <w:name w:val="Основной текст (30)"/>
    <w:basedOn w:val="a"/>
    <w:link w:val="302"/>
    <w:rsid w:val="0014077F"/>
    <w:pPr>
      <w:shd w:val="clear" w:color="auto" w:fill="FFFFFF"/>
      <w:autoSpaceDE w:val="0"/>
      <w:autoSpaceDN w:val="0"/>
      <w:adjustRightInd w:val="0"/>
      <w:spacing w:after="0" w:line="240" w:lineRule="atLeast"/>
      <w:jc w:val="both"/>
    </w:pPr>
    <w:rPr>
      <w:rFonts w:ascii="Arial" w:hAnsi="Arial" w:cs="Arial"/>
      <w:i/>
      <w:iCs/>
      <w:noProof/>
      <w:sz w:val="11"/>
      <w:szCs w:val="11"/>
      <w:lang w:val="en-US"/>
    </w:rPr>
  </w:style>
  <w:style w:type="character" w:customStyle="1" w:styleId="78">
    <w:name w:val="Основной текст (7)8"/>
    <w:uiPriority w:val="99"/>
    <w:rsid w:val="0014077F"/>
    <w:rPr>
      <w:rFonts w:ascii="Arial" w:hAnsi="Arial" w:cs="Arial"/>
      <w:i/>
      <w:iCs/>
      <w:spacing w:val="-10"/>
      <w:sz w:val="16"/>
      <w:szCs w:val="16"/>
      <w:u w:val="single"/>
    </w:rPr>
  </w:style>
  <w:style w:type="character" w:customStyle="1" w:styleId="314">
    <w:name w:val="Основной текст (31) + Курсив"/>
    <w:uiPriority w:val="99"/>
    <w:rsid w:val="0014077F"/>
    <w:rPr>
      <w:rFonts w:ascii="Arial" w:hAnsi="Arial" w:cs="Arial"/>
      <w:i/>
      <w:iCs/>
      <w:spacing w:val="0"/>
      <w:sz w:val="11"/>
      <w:szCs w:val="11"/>
    </w:rPr>
  </w:style>
  <w:style w:type="character" w:customStyle="1" w:styleId="303">
    <w:name w:val="Основной текст (30) + Не курсив"/>
    <w:uiPriority w:val="99"/>
    <w:rsid w:val="0014077F"/>
    <w:rPr>
      <w:rFonts w:ascii="Arial" w:hAnsi="Arial" w:cs="Arial"/>
      <w:i/>
      <w:iCs/>
      <w:sz w:val="11"/>
      <w:szCs w:val="11"/>
    </w:rPr>
  </w:style>
  <w:style w:type="character" w:customStyle="1" w:styleId="85pt2415">
    <w:name w:val="Основной текст + 8.5 pt24.Полужирный15"/>
    <w:uiPriority w:val="99"/>
    <w:rsid w:val="0014077F"/>
    <w:rPr>
      <w:rFonts w:ascii="Arial" w:hAnsi="Arial" w:cs="Arial"/>
      <w:b/>
      <w:bCs/>
      <w:spacing w:val="0"/>
      <w:sz w:val="17"/>
      <w:szCs w:val="17"/>
    </w:rPr>
  </w:style>
  <w:style w:type="character" w:customStyle="1" w:styleId="20pt15">
    <w:name w:val="Основной текст + Курсив2.Интервал 0 pt15"/>
    <w:uiPriority w:val="99"/>
    <w:rsid w:val="0014077F"/>
    <w:rPr>
      <w:rFonts w:ascii="Arial" w:hAnsi="Arial" w:cs="Arial"/>
      <w:i/>
      <w:iCs/>
      <w:spacing w:val="-10"/>
      <w:sz w:val="16"/>
      <w:szCs w:val="16"/>
    </w:rPr>
  </w:style>
  <w:style w:type="character" w:customStyle="1" w:styleId="3010">
    <w:name w:val="Основной текст (30) + Не курсив1"/>
    <w:uiPriority w:val="99"/>
    <w:rsid w:val="0014077F"/>
    <w:rPr>
      <w:rFonts w:ascii="Arial" w:hAnsi="Arial" w:cs="Arial"/>
      <w:i/>
      <w:iCs/>
      <w:sz w:val="11"/>
      <w:szCs w:val="11"/>
    </w:rPr>
  </w:style>
  <w:style w:type="character" w:customStyle="1" w:styleId="3110">
    <w:name w:val="Основной текст (31) + Курсив1"/>
    <w:uiPriority w:val="99"/>
    <w:rsid w:val="0014077F"/>
    <w:rPr>
      <w:rFonts w:ascii="Arial" w:hAnsi="Arial" w:cs="Arial"/>
      <w:i/>
      <w:iCs/>
      <w:spacing w:val="0"/>
      <w:sz w:val="11"/>
      <w:szCs w:val="11"/>
    </w:rPr>
  </w:style>
  <w:style w:type="character" w:customStyle="1" w:styleId="295pt232-1pt67TimesNewRoman910pt14">
    <w:name w:val="Основной текст (2) + 9.5 pt23.Не курсив2.Интервал -1 pt6.Основной текст (7) + Times New Roman.91.Интервал 0 pt14"/>
    <w:uiPriority w:val="99"/>
    <w:rsid w:val="0014077F"/>
    <w:rPr>
      <w:rFonts w:ascii="Microsoft Sans Serif" w:hAnsi="Microsoft Sans Serif" w:cs="Microsoft Sans Serif"/>
      <w:i/>
      <w:iCs/>
      <w:spacing w:val="-20"/>
      <w:sz w:val="19"/>
      <w:szCs w:val="19"/>
    </w:rPr>
  </w:style>
  <w:style w:type="character" w:customStyle="1" w:styleId="70pt13">
    <w:name w:val="Основной текст (7) + Не курсив.Интервал 0 pt13"/>
    <w:uiPriority w:val="99"/>
    <w:rsid w:val="0014077F"/>
    <w:rPr>
      <w:rFonts w:ascii="Arial" w:hAnsi="Arial" w:cs="Arial"/>
      <w:i/>
      <w:iCs/>
      <w:spacing w:val="0"/>
      <w:sz w:val="16"/>
      <w:szCs w:val="16"/>
    </w:rPr>
  </w:style>
  <w:style w:type="character" w:customStyle="1" w:styleId="77">
    <w:name w:val="Основной текст (7)7"/>
    <w:uiPriority w:val="99"/>
    <w:rsid w:val="0014077F"/>
    <w:rPr>
      <w:rFonts w:ascii="Arial" w:hAnsi="Arial" w:cs="Arial"/>
      <w:i/>
      <w:iCs/>
      <w:spacing w:val="-10"/>
      <w:sz w:val="16"/>
      <w:szCs w:val="16"/>
      <w:u w:val="single"/>
    </w:rPr>
  </w:style>
  <w:style w:type="character" w:customStyle="1" w:styleId="1425pt220pt337SimHei7100pt12">
    <w:name w:val="Заголовок №1 + 42.5 pt22.Интервал 0 pt33.Основной текст (7) + SimHei.710.Интервал 0 pt12"/>
    <w:uiPriority w:val="99"/>
    <w:rsid w:val="0014077F"/>
    <w:rPr>
      <w:rFonts w:ascii="Arial Narrow" w:hAnsi="Arial Narrow" w:cs="Arial Narrow"/>
      <w:b/>
      <w:bCs/>
      <w:spacing w:val="0"/>
      <w:sz w:val="85"/>
      <w:szCs w:val="85"/>
    </w:rPr>
  </w:style>
  <w:style w:type="character" w:customStyle="1" w:styleId="221">
    <w:name w:val="Основной текст (22)"/>
    <w:uiPriority w:val="99"/>
    <w:rsid w:val="0014077F"/>
    <w:rPr>
      <w:rFonts w:ascii="Arial" w:hAnsi="Arial" w:cs="Arial"/>
      <w:i/>
      <w:iCs/>
      <w:spacing w:val="-10"/>
      <w:sz w:val="17"/>
      <w:szCs w:val="17"/>
      <w:u w:val="single"/>
    </w:rPr>
  </w:style>
  <w:style w:type="paragraph" w:customStyle="1" w:styleId="2210">
    <w:name w:val="Основной текст (22)1"/>
    <w:basedOn w:val="a"/>
    <w:uiPriority w:val="99"/>
    <w:rsid w:val="0014077F"/>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character" w:customStyle="1" w:styleId="2260pt23">
    <w:name w:val="Основной текст (22) + Не курсив6.Интервал 0 pt23"/>
    <w:uiPriority w:val="99"/>
    <w:rsid w:val="0014077F"/>
    <w:rPr>
      <w:rFonts w:ascii="Arial" w:hAnsi="Arial" w:cs="Arial"/>
      <w:i/>
      <w:iCs/>
      <w:spacing w:val="0"/>
      <w:sz w:val="17"/>
      <w:szCs w:val="17"/>
    </w:rPr>
  </w:style>
  <w:style w:type="character" w:customStyle="1" w:styleId="111415pt3180pt43294pt">
    <w:name w:val="Основной текст (11) + 141.5 pt31.Не курсив8.Интервал 0 pt43.Основной текст (29) + 4 pt"/>
    <w:uiPriority w:val="99"/>
    <w:rsid w:val="0014077F"/>
    <w:rPr>
      <w:rFonts w:ascii="Microsoft Sans Serif" w:hAnsi="Microsoft Sans Serif" w:cs="Microsoft Sans Serif"/>
      <w:i/>
      <w:iCs/>
      <w:spacing w:val="-10"/>
      <w:sz w:val="29"/>
      <w:szCs w:val="29"/>
    </w:rPr>
  </w:style>
  <w:style w:type="paragraph" w:customStyle="1" w:styleId="1a">
    <w:name w:val="Подпись к таблице1"/>
    <w:basedOn w:val="a"/>
    <w:uiPriority w:val="99"/>
    <w:rsid w:val="0014077F"/>
    <w:pPr>
      <w:shd w:val="clear" w:color="auto" w:fill="FFFFFF"/>
      <w:autoSpaceDE w:val="0"/>
      <w:autoSpaceDN w:val="0"/>
      <w:adjustRightInd w:val="0"/>
      <w:spacing w:after="0" w:line="240" w:lineRule="atLeast"/>
    </w:pPr>
    <w:rPr>
      <w:rFonts w:ascii="Arial" w:hAnsi="Arial" w:cs="Arial"/>
      <w:i/>
      <w:iCs/>
      <w:spacing w:val="-10"/>
      <w:sz w:val="17"/>
      <w:szCs w:val="17"/>
    </w:rPr>
  </w:style>
  <w:style w:type="character" w:customStyle="1" w:styleId="225">
    <w:name w:val="Основной текст (22)5"/>
    <w:uiPriority w:val="99"/>
    <w:rsid w:val="0014077F"/>
    <w:rPr>
      <w:rFonts w:ascii="Arial" w:hAnsi="Arial" w:cs="Arial"/>
      <w:i/>
      <w:iCs/>
      <w:spacing w:val="-10"/>
      <w:sz w:val="17"/>
      <w:szCs w:val="17"/>
      <w:u w:val="single"/>
    </w:rPr>
  </w:style>
  <w:style w:type="character" w:customStyle="1" w:styleId="80pt22">
    <w:name w:val="Основной текст + Курсив8.Интервал 0 pt22"/>
    <w:uiPriority w:val="99"/>
    <w:rsid w:val="0014077F"/>
    <w:rPr>
      <w:rFonts w:ascii="Arial" w:hAnsi="Arial" w:cs="Arial"/>
      <w:i/>
      <w:iCs/>
      <w:spacing w:val="-10"/>
      <w:sz w:val="17"/>
      <w:szCs w:val="17"/>
    </w:rPr>
  </w:style>
  <w:style w:type="character" w:customStyle="1" w:styleId="2250pt21">
    <w:name w:val="Основной текст (22) + Не курсив5.Интервал 0 pt21"/>
    <w:uiPriority w:val="99"/>
    <w:rsid w:val="0014077F"/>
    <w:rPr>
      <w:rFonts w:ascii="Arial" w:hAnsi="Arial" w:cs="Arial"/>
      <w:i/>
      <w:iCs/>
      <w:spacing w:val="0"/>
      <w:sz w:val="17"/>
      <w:szCs w:val="17"/>
    </w:rPr>
  </w:style>
  <w:style w:type="character" w:customStyle="1" w:styleId="75">
    <w:name w:val="Основной текст (7)5"/>
    <w:uiPriority w:val="99"/>
    <w:rsid w:val="0014077F"/>
    <w:rPr>
      <w:rFonts w:ascii="Arial" w:hAnsi="Arial" w:cs="Arial"/>
      <w:i/>
      <w:iCs/>
      <w:spacing w:val="-10"/>
      <w:sz w:val="16"/>
      <w:szCs w:val="16"/>
      <w:u w:val="single"/>
    </w:rPr>
  </w:style>
  <w:style w:type="character" w:customStyle="1" w:styleId="74">
    <w:name w:val="Основной текст (7)_"/>
    <w:rsid w:val="0014077F"/>
    <w:rPr>
      <w:rFonts w:ascii="Arial" w:hAnsi="Arial" w:cs="Arial"/>
      <w:i/>
      <w:iCs/>
      <w:spacing w:val="-10"/>
      <w:sz w:val="16"/>
      <w:szCs w:val="16"/>
    </w:rPr>
  </w:style>
  <w:style w:type="character" w:customStyle="1" w:styleId="740">
    <w:name w:val="Основной текст (7)4"/>
    <w:uiPriority w:val="99"/>
    <w:rsid w:val="0014077F"/>
    <w:rPr>
      <w:rFonts w:ascii="Arial" w:hAnsi="Arial" w:cs="Arial"/>
      <w:i/>
      <w:iCs/>
      <w:spacing w:val="-10"/>
      <w:sz w:val="16"/>
      <w:szCs w:val="16"/>
      <w:u w:val="single"/>
    </w:rPr>
  </w:style>
  <w:style w:type="character" w:customStyle="1" w:styleId="730">
    <w:name w:val="Основной текст (7)3"/>
    <w:uiPriority w:val="99"/>
    <w:rsid w:val="0014077F"/>
    <w:rPr>
      <w:rFonts w:ascii="Arial" w:hAnsi="Arial" w:cs="Arial"/>
      <w:i/>
      <w:iCs/>
      <w:spacing w:val="-10"/>
      <w:sz w:val="16"/>
      <w:szCs w:val="16"/>
      <w:u w:val="single"/>
    </w:rPr>
  </w:style>
  <w:style w:type="character" w:customStyle="1" w:styleId="720">
    <w:name w:val="Основной текст (7)2"/>
    <w:uiPriority w:val="99"/>
    <w:rsid w:val="0014077F"/>
    <w:rPr>
      <w:rFonts w:ascii="Arial" w:hAnsi="Arial" w:cs="Arial"/>
      <w:i/>
      <w:iCs/>
      <w:spacing w:val="-10"/>
      <w:sz w:val="16"/>
      <w:szCs w:val="16"/>
      <w:u w:val="single"/>
    </w:rPr>
  </w:style>
  <w:style w:type="character" w:customStyle="1" w:styleId="2FranklinGothicDemi113pt760pt417SimHei17pt20pt10">
    <w:name w:val="Основной текст (2) + Franklin Gothic Demi1.13 pt7.Не курсив6.Интервал 0 pt41.Основной текст (7) + SimHei1.7 pt2.Интервал 0 pt10"/>
    <w:uiPriority w:val="99"/>
    <w:rsid w:val="0014077F"/>
    <w:rPr>
      <w:rFonts w:ascii="Franklin Gothic Demi" w:hAnsi="Franklin Gothic Demi" w:cs="Franklin Gothic Demi"/>
      <w:i/>
      <w:iCs/>
      <w:spacing w:val="0"/>
      <w:sz w:val="26"/>
      <w:szCs w:val="26"/>
    </w:rPr>
  </w:style>
  <w:style w:type="character" w:customStyle="1" w:styleId="76">
    <w:name w:val="Основной текст (7)6"/>
    <w:uiPriority w:val="99"/>
    <w:rsid w:val="0014077F"/>
    <w:rPr>
      <w:rFonts w:ascii="Arial" w:hAnsi="Arial" w:cs="Arial"/>
      <w:i/>
      <w:iCs/>
      <w:spacing w:val="-10"/>
      <w:sz w:val="16"/>
      <w:szCs w:val="16"/>
      <w:u w:val="single"/>
    </w:rPr>
  </w:style>
  <w:style w:type="character" w:customStyle="1" w:styleId="720pt11">
    <w:name w:val="Основной текст (7) + Не курсив2.Интервал 0 pt11"/>
    <w:uiPriority w:val="99"/>
    <w:rsid w:val="0014077F"/>
    <w:rPr>
      <w:rFonts w:ascii="Arial" w:hAnsi="Arial" w:cs="Arial"/>
      <w:i/>
      <w:iCs/>
      <w:spacing w:val="0"/>
      <w:sz w:val="16"/>
      <w:szCs w:val="16"/>
    </w:rPr>
  </w:style>
  <w:style w:type="character" w:customStyle="1" w:styleId="0pt186">
    <w:name w:val="Основной текст + Курсив.Интервал 0 pt18.Основной текст + Курсив6"/>
    <w:uiPriority w:val="99"/>
    <w:rsid w:val="0014077F"/>
    <w:rPr>
      <w:rFonts w:ascii="Arial" w:hAnsi="Arial" w:cs="Arial"/>
      <w:i/>
      <w:iCs/>
      <w:spacing w:val="-10"/>
      <w:sz w:val="16"/>
      <w:szCs w:val="16"/>
    </w:rPr>
  </w:style>
  <w:style w:type="character" w:customStyle="1" w:styleId="SimHei735pt19">
    <w:name w:val="Основной текст + SimHei.73.5 pt19"/>
    <w:uiPriority w:val="99"/>
    <w:rsid w:val="0014077F"/>
    <w:rPr>
      <w:rFonts w:ascii="SimHei" w:eastAsia="SimHei" w:hAnsi="Microsoft Sans Serif" w:cs="SimHei"/>
      <w:spacing w:val="0"/>
      <w:sz w:val="15"/>
      <w:szCs w:val="15"/>
    </w:rPr>
  </w:style>
  <w:style w:type="character" w:customStyle="1" w:styleId="222">
    <w:name w:val="Основной текст (22)2"/>
    <w:uiPriority w:val="99"/>
    <w:rsid w:val="0014077F"/>
    <w:rPr>
      <w:rFonts w:ascii="Arial" w:hAnsi="Arial" w:cs="Arial"/>
      <w:i/>
      <w:iCs/>
      <w:spacing w:val="-10"/>
      <w:sz w:val="17"/>
      <w:szCs w:val="17"/>
      <w:u w:val="single"/>
    </w:rPr>
  </w:style>
  <w:style w:type="character" w:customStyle="1" w:styleId="223">
    <w:name w:val="Основной текст (22)_"/>
    <w:uiPriority w:val="99"/>
    <w:rsid w:val="0014077F"/>
    <w:rPr>
      <w:rFonts w:ascii="Arial" w:hAnsi="Arial" w:cs="Arial"/>
      <w:i/>
      <w:iCs/>
      <w:spacing w:val="-10"/>
      <w:sz w:val="17"/>
      <w:szCs w:val="17"/>
    </w:rPr>
  </w:style>
  <w:style w:type="character" w:customStyle="1" w:styleId="295pt232-1pt67TimesNewRoman910pt1422322SimHei725pt13">
    <w:name w:val="Основной текст (2) + 9.5 pt23.Не курсив2.Интервал -1 pt6.Основной текст (7) + Times New Roman.91.Интервал 0 pt14.Основной текст (22) + Не курсив3.Основной текст (22) + SimHei.72.5 pt13"/>
    <w:uiPriority w:val="99"/>
    <w:rsid w:val="0014077F"/>
    <w:rPr>
      <w:rFonts w:ascii="Microsoft Sans Serif" w:hAnsi="Microsoft Sans Serif" w:cs="Microsoft Sans Serif"/>
      <w:i/>
      <w:iCs/>
      <w:spacing w:val="-20"/>
      <w:sz w:val="19"/>
      <w:szCs w:val="19"/>
    </w:rPr>
  </w:style>
  <w:style w:type="character" w:customStyle="1" w:styleId="70pt13222">
    <w:name w:val="Основной текст (7) + Не курсив.Интервал 0 pt13.Основной текст (22) + Не курсив2"/>
    <w:uiPriority w:val="99"/>
    <w:rsid w:val="0014077F"/>
    <w:rPr>
      <w:rFonts w:ascii="Arial" w:hAnsi="Arial" w:cs="Arial"/>
      <w:i/>
      <w:iCs/>
      <w:spacing w:val="0"/>
      <w:sz w:val="16"/>
      <w:szCs w:val="16"/>
    </w:rPr>
  </w:style>
  <w:style w:type="character" w:customStyle="1" w:styleId="224">
    <w:name w:val="Основной текст (22)4"/>
    <w:uiPriority w:val="99"/>
    <w:rsid w:val="0014077F"/>
    <w:rPr>
      <w:rFonts w:ascii="Arial" w:hAnsi="Arial" w:cs="Arial"/>
      <w:i/>
      <w:iCs/>
      <w:spacing w:val="-10"/>
      <w:sz w:val="17"/>
      <w:szCs w:val="17"/>
      <w:u w:val="single"/>
    </w:rPr>
  </w:style>
  <w:style w:type="character" w:customStyle="1" w:styleId="2230">
    <w:name w:val="Основной текст (22)3"/>
    <w:uiPriority w:val="99"/>
    <w:rsid w:val="0014077F"/>
    <w:rPr>
      <w:rFonts w:ascii="Arial" w:hAnsi="Arial" w:cs="Arial"/>
      <w:i/>
      <w:iCs/>
      <w:spacing w:val="-10"/>
      <w:sz w:val="17"/>
      <w:szCs w:val="17"/>
      <w:u w:val="single"/>
    </w:rPr>
  </w:style>
  <w:style w:type="character" w:customStyle="1" w:styleId="70pt20">
    <w:name w:val="Основной текст + Курсив7.Интервал 0 pt20"/>
    <w:uiPriority w:val="99"/>
    <w:rsid w:val="0014077F"/>
    <w:rPr>
      <w:rFonts w:ascii="Arial" w:hAnsi="Arial" w:cs="Arial"/>
      <w:i/>
      <w:iCs/>
      <w:spacing w:val="-10"/>
      <w:sz w:val="17"/>
      <w:szCs w:val="17"/>
    </w:rPr>
  </w:style>
  <w:style w:type="character" w:customStyle="1" w:styleId="2240pt19">
    <w:name w:val="Основной текст (22) + Не курсив4.Интервал 0 pt19"/>
    <w:uiPriority w:val="99"/>
    <w:rsid w:val="0014077F"/>
    <w:rPr>
      <w:rFonts w:ascii="Arial" w:hAnsi="Arial" w:cs="Arial"/>
      <w:i/>
      <w:iCs/>
      <w:spacing w:val="0"/>
      <w:sz w:val="17"/>
      <w:szCs w:val="17"/>
    </w:rPr>
  </w:style>
  <w:style w:type="paragraph" w:customStyle="1" w:styleId="320">
    <w:name w:val="Основной текст (32)"/>
    <w:basedOn w:val="a"/>
    <w:uiPriority w:val="99"/>
    <w:rsid w:val="0014077F"/>
    <w:pPr>
      <w:shd w:val="clear" w:color="auto" w:fill="FFFFFF"/>
      <w:autoSpaceDE w:val="0"/>
      <w:autoSpaceDN w:val="0"/>
      <w:adjustRightInd w:val="0"/>
      <w:spacing w:after="240" w:line="240" w:lineRule="atLeast"/>
    </w:pPr>
    <w:rPr>
      <w:rFonts w:ascii="Arial Narrow" w:hAnsi="Arial Narrow" w:cs="Arial Narrow"/>
      <w:b/>
      <w:bCs/>
      <w:noProof/>
      <w:spacing w:val="-20"/>
      <w:sz w:val="67"/>
      <w:szCs w:val="67"/>
      <w:lang w:val="en-US"/>
    </w:rPr>
  </w:style>
  <w:style w:type="character" w:customStyle="1" w:styleId="20pt29">
    <w:name w:val="Основной текст (2) + Не курсив.Интервал 0 pt29"/>
    <w:uiPriority w:val="99"/>
    <w:rsid w:val="0014077F"/>
    <w:rPr>
      <w:rFonts w:ascii="Arial" w:hAnsi="Arial" w:cs="Arial"/>
      <w:i/>
      <w:iCs/>
      <w:spacing w:val="0"/>
      <w:sz w:val="16"/>
      <w:szCs w:val="16"/>
    </w:rPr>
  </w:style>
  <w:style w:type="character" w:customStyle="1" w:styleId="282">
    <w:name w:val="Основной текст (2)8"/>
    <w:uiPriority w:val="99"/>
    <w:rsid w:val="0014077F"/>
    <w:rPr>
      <w:rFonts w:ascii="Arial" w:hAnsi="Arial" w:cs="Arial"/>
      <w:i/>
      <w:iCs/>
      <w:spacing w:val="-10"/>
      <w:sz w:val="16"/>
      <w:szCs w:val="16"/>
      <w:u w:val="single"/>
    </w:rPr>
  </w:style>
  <w:style w:type="character" w:customStyle="1" w:styleId="2SimHei75pt790pt28">
    <w:name w:val="Основной текст (2) + SimHei.7.5 pt7.Не курсив9.Интервал 0 pt28"/>
    <w:uiPriority w:val="99"/>
    <w:rsid w:val="0014077F"/>
    <w:rPr>
      <w:rFonts w:ascii="SimHei" w:eastAsia="SimHei" w:cs="SimHei"/>
      <w:i/>
      <w:iCs/>
      <w:spacing w:val="0"/>
      <w:sz w:val="15"/>
      <w:szCs w:val="15"/>
    </w:rPr>
  </w:style>
  <w:style w:type="character" w:customStyle="1" w:styleId="272">
    <w:name w:val="Основной текст (2)7"/>
    <w:uiPriority w:val="99"/>
    <w:rsid w:val="0014077F"/>
    <w:rPr>
      <w:rFonts w:ascii="Arial" w:hAnsi="Arial" w:cs="Arial"/>
      <w:i/>
      <w:iCs/>
      <w:spacing w:val="-10"/>
      <w:sz w:val="16"/>
      <w:szCs w:val="16"/>
      <w:u w:val="single"/>
    </w:rPr>
  </w:style>
  <w:style w:type="character" w:customStyle="1" w:styleId="260">
    <w:name w:val="Основной текст (2)6"/>
    <w:uiPriority w:val="99"/>
    <w:rsid w:val="0014077F"/>
    <w:rPr>
      <w:rFonts w:ascii="Arial" w:hAnsi="Arial" w:cs="Arial"/>
      <w:i/>
      <w:iCs/>
      <w:spacing w:val="-10"/>
      <w:sz w:val="16"/>
      <w:szCs w:val="16"/>
      <w:u w:val="single"/>
    </w:rPr>
  </w:style>
  <w:style w:type="character" w:customStyle="1" w:styleId="110pt26">
    <w:name w:val="Основной текст + Курсив11.Интервал 0 pt26"/>
    <w:uiPriority w:val="99"/>
    <w:rsid w:val="0014077F"/>
    <w:rPr>
      <w:rFonts w:ascii="Arial" w:hAnsi="Arial" w:cs="Arial"/>
      <w:i/>
      <w:iCs/>
      <w:spacing w:val="-10"/>
      <w:sz w:val="16"/>
      <w:szCs w:val="16"/>
      <w:u w:val="single"/>
    </w:rPr>
  </w:style>
  <w:style w:type="character" w:customStyle="1" w:styleId="2BookmanOldStyle825pt680pt25">
    <w:name w:val="Основной текст (2) + Bookman Old Style.82.5 pt6.Не курсив8.Интервал 0 pt25"/>
    <w:uiPriority w:val="99"/>
    <w:rsid w:val="0014077F"/>
    <w:rPr>
      <w:rFonts w:ascii="Bookman Old Style" w:hAnsi="Bookman Old Style" w:cs="Bookman Old Style"/>
      <w:i/>
      <w:iCs/>
      <w:spacing w:val="0"/>
      <w:sz w:val="17"/>
      <w:szCs w:val="17"/>
    </w:rPr>
  </w:style>
  <w:style w:type="character" w:customStyle="1" w:styleId="280pt24">
    <w:name w:val="Основной текст (2) + Не курсив8.Интервал 0 pt24"/>
    <w:uiPriority w:val="99"/>
    <w:rsid w:val="0014077F"/>
    <w:rPr>
      <w:rFonts w:ascii="Arial" w:hAnsi="Arial" w:cs="Arial"/>
      <w:i/>
      <w:iCs/>
      <w:spacing w:val="0"/>
      <w:sz w:val="16"/>
      <w:szCs w:val="16"/>
    </w:rPr>
  </w:style>
  <w:style w:type="character" w:customStyle="1" w:styleId="2SimHei2715pt350pt23">
    <w:name w:val="Основной текст (2) + SimHei2.71.5 pt3.Не курсив5.Интервал 0 pt23"/>
    <w:uiPriority w:val="99"/>
    <w:rsid w:val="0014077F"/>
    <w:rPr>
      <w:rFonts w:ascii="SimHei" w:eastAsia="SimHei" w:cs="SimHei"/>
      <w:i/>
      <w:iCs/>
      <w:spacing w:val="0"/>
      <w:sz w:val="15"/>
      <w:szCs w:val="15"/>
    </w:rPr>
  </w:style>
  <w:style w:type="character" w:customStyle="1" w:styleId="250">
    <w:name w:val="Основной текст (2)5"/>
    <w:uiPriority w:val="99"/>
    <w:rsid w:val="0014077F"/>
    <w:rPr>
      <w:rFonts w:ascii="Arial" w:hAnsi="Arial" w:cs="Arial"/>
      <w:i/>
      <w:iCs/>
      <w:spacing w:val="-10"/>
      <w:sz w:val="16"/>
      <w:szCs w:val="16"/>
      <w:u w:val="single"/>
    </w:rPr>
  </w:style>
  <w:style w:type="character" w:customStyle="1" w:styleId="270pt22">
    <w:name w:val="Основной текст (2) + Не курсив7.Интервал 0 pt22"/>
    <w:uiPriority w:val="99"/>
    <w:rsid w:val="0014077F"/>
    <w:rPr>
      <w:rFonts w:ascii="Arial" w:hAnsi="Arial" w:cs="Arial"/>
      <w:i/>
      <w:iCs/>
      <w:spacing w:val="0"/>
      <w:sz w:val="16"/>
      <w:szCs w:val="16"/>
    </w:rPr>
  </w:style>
  <w:style w:type="character" w:customStyle="1" w:styleId="2SimHei17pt40pt21">
    <w:name w:val="Основной текст (2) + SimHei1.7 pt.Не курсив4.Интервал 0 pt21"/>
    <w:uiPriority w:val="99"/>
    <w:rsid w:val="0014077F"/>
    <w:rPr>
      <w:rFonts w:ascii="SimHei" w:eastAsia="SimHei" w:cs="SimHei"/>
      <w:i/>
      <w:iCs/>
      <w:spacing w:val="0"/>
      <w:sz w:val="14"/>
      <w:szCs w:val="14"/>
    </w:rPr>
  </w:style>
  <w:style w:type="character" w:customStyle="1" w:styleId="241">
    <w:name w:val="Основной текст (2)4"/>
    <w:uiPriority w:val="99"/>
    <w:rsid w:val="0014077F"/>
    <w:rPr>
      <w:rFonts w:ascii="Arial" w:hAnsi="Arial" w:cs="Arial"/>
      <w:i/>
      <w:iCs/>
      <w:spacing w:val="-10"/>
      <w:sz w:val="16"/>
      <w:szCs w:val="16"/>
      <w:u w:val="single"/>
    </w:rPr>
  </w:style>
  <w:style w:type="character" w:customStyle="1" w:styleId="230">
    <w:name w:val="Основной текст (2)3"/>
    <w:uiPriority w:val="99"/>
    <w:rsid w:val="0014077F"/>
    <w:rPr>
      <w:rFonts w:ascii="Arial" w:hAnsi="Arial" w:cs="Arial"/>
      <w:i/>
      <w:iCs/>
      <w:spacing w:val="-10"/>
      <w:sz w:val="16"/>
      <w:szCs w:val="16"/>
      <w:u w:val="single"/>
    </w:rPr>
  </w:style>
  <w:style w:type="character" w:customStyle="1" w:styleId="260pt20">
    <w:name w:val="Основной текст (2) + Не курсив6.Интервал 0 pt20"/>
    <w:uiPriority w:val="99"/>
    <w:rsid w:val="0014077F"/>
    <w:rPr>
      <w:rFonts w:ascii="Arial" w:hAnsi="Arial" w:cs="Arial"/>
      <w:i/>
      <w:iCs/>
      <w:spacing w:val="0"/>
      <w:sz w:val="16"/>
      <w:szCs w:val="16"/>
    </w:rPr>
  </w:style>
  <w:style w:type="character" w:customStyle="1" w:styleId="226">
    <w:name w:val="Основной текст (2)2"/>
    <w:uiPriority w:val="99"/>
    <w:rsid w:val="0014077F"/>
    <w:rPr>
      <w:rFonts w:ascii="Arial" w:hAnsi="Arial" w:cs="Arial"/>
      <w:i/>
      <w:iCs/>
      <w:spacing w:val="-10"/>
      <w:sz w:val="16"/>
      <w:szCs w:val="16"/>
      <w:u w:val="single"/>
    </w:rPr>
  </w:style>
  <w:style w:type="character" w:customStyle="1" w:styleId="5136">
    <w:name w:val="Основной текст (5)136"/>
    <w:uiPriority w:val="99"/>
    <w:rsid w:val="0014077F"/>
    <w:rPr>
      <w:i/>
      <w:iCs/>
      <w:sz w:val="16"/>
      <w:szCs w:val="16"/>
    </w:rPr>
  </w:style>
  <w:style w:type="character" w:customStyle="1" w:styleId="58545pt75630pt128">
    <w:name w:val="Основной текст (5) + 854.5 pt75.Не курсив63.Интервал 0 pt128"/>
    <w:uiPriority w:val="99"/>
    <w:rsid w:val="0014077F"/>
    <w:rPr>
      <w:i/>
      <w:iCs/>
      <w:spacing w:val="-10"/>
      <w:sz w:val="17"/>
      <w:szCs w:val="17"/>
    </w:rPr>
  </w:style>
  <w:style w:type="character" w:customStyle="1" w:styleId="5133">
    <w:name w:val="Основной текст (5)133"/>
    <w:uiPriority w:val="99"/>
    <w:rsid w:val="0014077F"/>
    <w:rPr>
      <w:rFonts w:ascii="Arial Unicode MS" w:eastAsia="Arial Unicode MS" w:cs="Arial Unicode MS"/>
      <w:i/>
      <w:iCs/>
      <w:noProof/>
      <w:sz w:val="16"/>
      <w:szCs w:val="16"/>
    </w:rPr>
  </w:style>
  <w:style w:type="character" w:customStyle="1" w:styleId="5132">
    <w:name w:val="Основной текст (5)132"/>
    <w:uiPriority w:val="99"/>
    <w:rsid w:val="0014077F"/>
    <w:rPr>
      <w:rFonts w:ascii="Arial Unicode MS" w:eastAsia="Arial Unicode MS" w:cs="Arial Unicode MS"/>
      <w:i/>
      <w:iCs/>
      <w:noProof/>
      <w:sz w:val="16"/>
      <w:szCs w:val="16"/>
    </w:rPr>
  </w:style>
  <w:style w:type="character" w:customStyle="1" w:styleId="5131">
    <w:name w:val="Основной текст (5)131"/>
    <w:uiPriority w:val="99"/>
    <w:rsid w:val="0014077F"/>
    <w:rPr>
      <w:i/>
      <w:iCs/>
      <w:sz w:val="16"/>
      <w:szCs w:val="16"/>
    </w:rPr>
  </w:style>
  <w:style w:type="character" w:customStyle="1" w:styleId="5130">
    <w:name w:val="Основной текст (5)130"/>
    <w:uiPriority w:val="99"/>
    <w:rsid w:val="0014077F"/>
    <w:rPr>
      <w:rFonts w:ascii="Arial Unicode MS" w:eastAsia="Arial Unicode MS" w:cs="Arial Unicode MS"/>
      <w:i/>
      <w:iCs/>
      <w:noProof/>
      <w:sz w:val="16"/>
      <w:szCs w:val="16"/>
    </w:rPr>
  </w:style>
  <w:style w:type="character" w:customStyle="1" w:styleId="5116">
    <w:name w:val="Основной текст (5)116"/>
    <w:uiPriority w:val="99"/>
    <w:rsid w:val="0014077F"/>
    <w:rPr>
      <w:i/>
      <w:iCs/>
      <w:spacing w:val="0"/>
      <w:sz w:val="16"/>
      <w:szCs w:val="16"/>
    </w:rPr>
  </w:style>
  <w:style w:type="character" w:customStyle="1" w:styleId="59">
    <w:name w:val="Основной текст (5)_"/>
    <w:uiPriority w:val="99"/>
    <w:rsid w:val="0014077F"/>
    <w:rPr>
      <w:i/>
      <w:iCs/>
      <w:sz w:val="16"/>
      <w:szCs w:val="16"/>
    </w:rPr>
  </w:style>
  <w:style w:type="character" w:customStyle="1" w:styleId="5113">
    <w:name w:val="Основной текст (5)113"/>
    <w:uiPriority w:val="99"/>
    <w:rsid w:val="0014077F"/>
    <w:rPr>
      <w:i/>
      <w:iCs/>
      <w:spacing w:val="0"/>
      <w:sz w:val="16"/>
      <w:szCs w:val="16"/>
      <w:u w:val="single"/>
    </w:rPr>
  </w:style>
  <w:style w:type="character" w:customStyle="1" w:styleId="5117">
    <w:name w:val="Основной текст (5)117"/>
    <w:uiPriority w:val="99"/>
    <w:rsid w:val="0014077F"/>
    <w:rPr>
      <w:i/>
      <w:iCs/>
      <w:spacing w:val="0"/>
      <w:sz w:val="16"/>
      <w:szCs w:val="16"/>
    </w:rPr>
  </w:style>
  <w:style w:type="character" w:customStyle="1" w:styleId="5106">
    <w:name w:val="Основной текст (5)106"/>
    <w:uiPriority w:val="99"/>
    <w:rsid w:val="0014077F"/>
    <w:rPr>
      <w:i/>
      <w:iCs/>
      <w:spacing w:val="0"/>
      <w:sz w:val="16"/>
      <w:szCs w:val="16"/>
    </w:rPr>
  </w:style>
  <w:style w:type="character" w:customStyle="1" w:styleId="5105">
    <w:name w:val="Основной текст (5)105"/>
    <w:uiPriority w:val="99"/>
    <w:rsid w:val="0014077F"/>
    <w:rPr>
      <w:rFonts w:ascii="Arial Unicode MS" w:eastAsia="Arial Unicode MS" w:cs="Arial Unicode MS"/>
      <w:i/>
      <w:iCs/>
      <w:noProof/>
      <w:spacing w:val="0"/>
      <w:sz w:val="16"/>
      <w:szCs w:val="16"/>
    </w:rPr>
  </w:style>
  <w:style w:type="character" w:customStyle="1" w:styleId="5104">
    <w:name w:val="Основной текст (5)104"/>
    <w:uiPriority w:val="99"/>
    <w:rsid w:val="0014077F"/>
    <w:rPr>
      <w:i/>
      <w:iCs/>
      <w:spacing w:val="0"/>
      <w:sz w:val="16"/>
      <w:szCs w:val="16"/>
      <w:u w:val="single"/>
    </w:rPr>
  </w:style>
  <w:style w:type="character" w:customStyle="1" w:styleId="5103">
    <w:name w:val="Основной текст (5)103"/>
    <w:uiPriority w:val="99"/>
    <w:rsid w:val="0014077F"/>
    <w:rPr>
      <w:rFonts w:ascii="Arial Unicode MS" w:eastAsia="Arial Unicode MS" w:cs="Arial Unicode MS"/>
      <w:i/>
      <w:iCs/>
      <w:noProof/>
      <w:spacing w:val="0"/>
      <w:sz w:val="16"/>
      <w:szCs w:val="16"/>
    </w:rPr>
  </w:style>
  <w:style w:type="character" w:customStyle="1" w:styleId="5102">
    <w:name w:val="Основной текст (5)102"/>
    <w:uiPriority w:val="99"/>
    <w:rsid w:val="0014077F"/>
    <w:rPr>
      <w:rFonts w:ascii="Arial Unicode MS" w:eastAsia="Arial Unicode MS" w:cs="Arial Unicode MS"/>
      <w:i/>
      <w:iCs/>
      <w:noProof/>
      <w:spacing w:val="0"/>
      <w:sz w:val="16"/>
      <w:szCs w:val="16"/>
    </w:rPr>
  </w:style>
  <w:style w:type="character" w:customStyle="1" w:styleId="530">
    <w:name w:val="Заголовок №53"/>
    <w:uiPriority w:val="99"/>
    <w:rsid w:val="0014077F"/>
    <w:rPr>
      <w:rFonts w:ascii="Arial Unicode MS" w:eastAsia="Arial Unicode MS" w:hAnsi="Tahoma" w:cs="Arial Unicode MS"/>
      <w:i/>
      <w:iCs/>
      <w:noProof/>
      <w:sz w:val="16"/>
      <w:szCs w:val="16"/>
    </w:rPr>
  </w:style>
  <w:style w:type="character" w:customStyle="1" w:styleId="5a">
    <w:name w:val="Заголовок №5_"/>
    <w:uiPriority w:val="99"/>
    <w:rsid w:val="0014077F"/>
    <w:rPr>
      <w:rFonts w:ascii="Tahoma" w:hAnsi="Tahoma" w:cs="Tahoma"/>
      <w:sz w:val="31"/>
      <w:szCs w:val="31"/>
    </w:rPr>
  </w:style>
  <w:style w:type="character" w:customStyle="1" w:styleId="58485pt69580pt120">
    <w:name w:val="Основной текст (5) + 848.5 pt69.Не курсив58.Интервал 0 pt120"/>
    <w:uiPriority w:val="99"/>
    <w:rsid w:val="0014077F"/>
    <w:rPr>
      <w:i/>
      <w:iCs/>
      <w:spacing w:val="-10"/>
      <w:sz w:val="17"/>
      <w:szCs w:val="17"/>
    </w:rPr>
  </w:style>
  <w:style w:type="character" w:customStyle="1" w:styleId="520">
    <w:name w:val="Заголовок №52"/>
    <w:uiPriority w:val="99"/>
    <w:rsid w:val="0014077F"/>
    <w:rPr>
      <w:rFonts w:ascii="Tahoma" w:hAnsi="Tahoma" w:cs="Tahoma"/>
      <w:i/>
      <w:iCs/>
      <w:sz w:val="16"/>
      <w:szCs w:val="16"/>
      <w:u w:val="single"/>
    </w:rPr>
  </w:style>
  <w:style w:type="character" w:customStyle="1" w:styleId="5101">
    <w:name w:val="Основной текст (5)101"/>
    <w:uiPriority w:val="99"/>
    <w:rsid w:val="0014077F"/>
    <w:rPr>
      <w:i/>
      <w:iCs/>
      <w:spacing w:val="0"/>
      <w:sz w:val="16"/>
      <w:szCs w:val="16"/>
    </w:rPr>
  </w:style>
  <w:style w:type="character" w:customStyle="1" w:styleId="5100">
    <w:name w:val="Основной текст (5)100"/>
    <w:uiPriority w:val="99"/>
    <w:rsid w:val="0014077F"/>
    <w:rPr>
      <w:rFonts w:ascii="Arial Unicode MS" w:eastAsia="Arial Unicode MS" w:cs="Arial Unicode MS"/>
      <w:i/>
      <w:iCs/>
      <w:noProof/>
      <w:spacing w:val="0"/>
      <w:sz w:val="16"/>
      <w:szCs w:val="16"/>
    </w:rPr>
  </w:style>
  <w:style w:type="character" w:customStyle="1" w:styleId="599">
    <w:name w:val="Основной текст (5)99"/>
    <w:uiPriority w:val="99"/>
    <w:rsid w:val="0014077F"/>
    <w:rPr>
      <w:rFonts w:ascii="Arial Unicode MS" w:eastAsia="Arial Unicode MS" w:cs="Arial Unicode MS"/>
      <w:i/>
      <w:iCs/>
      <w:noProof/>
      <w:spacing w:val="0"/>
      <w:sz w:val="16"/>
      <w:szCs w:val="16"/>
    </w:rPr>
  </w:style>
  <w:style w:type="character" w:customStyle="1" w:styleId="58475pt68570pt119">
    <w:name w:val="Основной текст (5) + 847.5 pt68.Не курсив57.Интервал 0 pt119"/>
    <w:uiPriority w:val="99"/>
    <w:rsid w:val="0014077F"/>
    <w:rPr>
      <w:i/>
      <w:iCs/>
      <w:spacing w:val="-10"/>
      <w:sz w:val="17"/>
      <w:szCs w:val="17"/>
    </w:rPr>
  </w:style>
  <w:style w:type="character" w:customStyle="1" w:styleId="598">
    <w:name w:val="Основной текст (5)98"/>
    <w:uiPriority w:val="99"/>
    <w:rsid w:val="0014077F"/>
    <w:rPr>
      <w:i/>
      <w:iCs/>
      <w:spacing w:val="0"/>
      <w:sz w:val="16"/>
      <w:szCs w:val="16"/>
      <w:u w:val="single"/>
    </w:rPr>
  </w:style>
  <w:style w:type="character" w:customStyle="1" w:styleId="597">
    <w:name w:val="Основной текст (5)97"/>
    <w:uiPriority w:val="99"/>
    <w:rsid w:val="0014077F"/>
    <w:rPr>
      <w:rFonts w:ascii="Arial Unicode MS" w:eastAsia="Arial Unicode MS" w:cs="Arial Unicode MS"/>
      <w:i/>
      <w:iCs/>
      <w:noProof/>
      <w:spacing w:val="0"/>
      <w:sz w:val="16"/>
      <w:szCs w:val="16"/>
      <w:u w:val="single"/>
    </w:rPr>
  </w:style>
  <w:style w:type="paragraph" w:customStyle="1" w:styleId="512">
    <w:name w:val="Заголовок №51"/>
    <w:basedOn w:val="a"/>
    <w:uiPriority w:val="99"/>
    <w:rsid w:val="0014077F"/>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paragraph" w:customStyle="1" w:styleId="1210">
    <w:name w:val="Основной текст (12)1"/>
    <w:basedOn w:val="a"/>
    <w:uiPriority w:val="99"/>
    <w:rsid w:val="0014077F"/>
    <w:pPr>
      <w:shd w:val="clear" w:color="auto" w:fill="FFFFFF"/>
      <w:autoSpaceDE w:val="0"/>
      <w:autoSpaceDN w:val="0"/>
      <w:adjustRightInd w:val="0"/>
      <w:spacing w:before="420" w:after="0" w:line="206" w:lineRule="exact"/>
      <w:jc w:val="both"/>
    </w:pPr>
    <w:rPr>
      <w:rFonts w:ascii="Microsoft Sans Serif" w:hAnsi="Microsoft Sans Serif" w:cs="Microsoft Sans Serif"/>
      <w:i/>
      <w:iCs/>
      <w:noProof/>
      <w:sz w:val="16"/>
      <w:szCs w:val="16"/>
      <w:lang w:val="en-US"/>
    </w:rPr>
  </w:style>
  <w:style w:type="character" w:customStyle="1" w:styleId="100pt30">
    <w:name w:val="Основной текст + Курсив10.Интервал 0 pt30"/>
    <w:uiPriority w:val="99"/>
    <w:rsid w:val="0014077F"/>
    <w:rPr>
      <w:rFonts w:ascii="Microsoft Sans Serif" w:hAnsi="Microsoft Sans Serif" w:cs="Microsoft Sans Serif"/>
      <w:i/>
      <w:iCs/>
      <w:spacing w:val="0"/>
      <w:sz w:val="16"/>
      <w:szCs w:val="16"/>
    </w:rPr>
  </w:style>
  <w:style w:type="character" w:customStyle="1" w:styleId="120pt29">
    <w:name w:val="Основной текст (12) + Не курсив.Интервал 0 pt29"/>
    <w:uiPriority w:val="99"/>
    <w:rsid w:val="0014077F"/>
    <w:rPr>
      <w:rFonts w:ascii="Microsoft Sans Serif" w:hAnsi="Microsoft Sans Serif" w:cs="Microsoft Sans Serif"/>
      <w:i/>
      <w:iCs/>
      <w:spacing w:val="-10"/>
      <w:sz w:val="16"/>
      <w:szCs w:val="16"/>
    </w:rPr>
  </w:style>
  <w:style w:type="character" w:customStyle="1" w:styleId="1260pt28">
    <w:name w:val="Основной текст (12) + Не курсив6.Интервал 0 pt28"/>
    <w:uiPriority w:val="99"/>
    <w:rsid w:val="0014077F"/>
    <w:rPr>
      <w:rFonts w:ascii="Microsoft Sans Serif" w:hAnsi="Microsoft Sans Serif" w:cs="Microsoft Sans Serif"/>
      <w:i/>
      <w:iCs/>
      <w:spacing w:val="-10"/>
      <w:sz w:val="16"/>
      <w:szCs w:val="16"/>
    </w:rPr>
  </w:style>
  <w:style w:type="character" w:customStyle="1" w:styleId="90pt27">
    <w:name w:val="Основной текст + Курсив9.Интервал 0 pt27"/>
    <w:uiPriority w:val="99"/>
    <w:rsid w:val="0014077F"/>
    <w:rPr>
      <w:rFonts w:ascii="Microsoft Sans Serif" w:hAnsi="Microsoft Sans Serif" w:cs="Microsoft Sans Serif"/>
      <w:i/>
      <w:iCs/>
      <w:spacing w:val="0"/>
      <w:sz w:val="16"/>
      <w:szCs w:val="16"/>
    </w:rPr>
  </w:style>
  <w:style w:type="character" w:customStyle="1" w:styleId="126">
    <w:name w:val="Основной текст (12)6"/>
    <w:uiPriority w:val="99"/>
    <w:rsid w:val="0014077F"/>
    <w:rPr>
      <w:rFonts w:ascii="Microsoft Sans Serif" w:hAnsi="Microsoft Sans Serif" w:cs="Microsoft Sans Serif"/>
      <w:i/>
      <w:iCs/>
      <w:spacing w:val="0"/>
      <w:sz w:val="16"/>
      <w:szCs w:val="16"/>
      <w:u w:val="single"/>
    </w:rPr>
  </w:style>
  <w:style w:type="character" w:customStyle="1" w:styleId="80pt26">
    <w:name w:val="Основной текст + Курсив8.Интервал 0 pt26"/>
    <w:uiPriority w:val="99"/>
    <w:rsid w:val="0014077F"/>
    <w:rPr>
      <w:rFonts w:ascii="Microsoft Sans Serif" w:hAnsi="Microsoft Sans Serif" w:cs="Microsoft Sans Serif"/>
      <w:i/>
      <w:iCs/>
      <w:spacing w:val="0"/>
      <w:sz w:val="16"/>
      <w:szCs w:val="16"/>
    </w:rPr>
  </w:style>
  <w:style w:type="character" w:customStyle="1" w:styleId="1250pt25">
    <w:name w:val="Основной текст (12) + Не курсив5.Интервал 0 pt25"/>
    <w:uiPriority w:val="99"/>
    <w:rsid w:val="0014077F"/>
    <w:rPr>
      <w:rFonts w:ascii="Microsoft Sans Serif" w:hAnsi="Microsoft Sans Serif" w:cs="Microsoft Sans Serif"/>
      <w:i/>
      <w:iCs/>
      <w:spacing w:val="-10"/>
      <w:sz w:val="16"/>
      <w:szCs w:val="16"/>
    </w:rPr>
  </w:style>
  <w:style w:type="paragraph" w:customStyle="1" w:styleId="231">
    <w:name w:val="Основной текст (23)"/>
    <w:basedOn w:val="a"/>
    <w:link w:val="232"/>
    <w:rsid w:val="0014077F"/>
    <w:pPr>
      <w:shd w:val="clear" w:color="auto" w:fill="FFFFFF"/>
      <w:autoSpaceDE w:val="0"/>
      <w:autoSpaceDN w:val="0"/>
      <w:adjustRightInd w:val="0"/>
      <w:spacing w:after="0" w:line="240" w:lineRule="atLeast"/>
    </w:pPr>
    <w:rPr>
      <w:rFonts w:ascii="Bookman Old Style" w:hAnsi="Bookman Old Style" w:cs="Bookman Old Style"/>
      <w:noProof/>
      <w:sz w:val="8"/>
      <w:szCs w:val="8"/>
      <w:lang w:val="en-US"/>
    </w:rPr>
  </w:style>
  <w:style w:type="character" w:customStyle="1" w:styleId="125">
    <w:name w:val="Основной текст (12)5"/>
    <w:uiPriority w:val="99"/>
    <w:rsid w:val="0014077F"/>
    <w:rPr>
      <w:rFonts w:ascii="Microsoft Sans Serif" w:hAnsi="Microsoft Sans Serif" w:cs="Microsoft Sans Serif"/>
      <w:i/>
      <w:iCs/>
      <w:spacing w:val="0"/>
      <w:sz w:val="16"/>
      <w:szCs w:val="16"/>
      <w:u w:val="single"/>
    </w:rPr>
  </w:style>
  <w:style w:type="character" w:customStyle="1" w:styleId="124">
    <w:name w:val="Основной текст (12)4"/>
    <w:uiPriority w:val="99"/>
    <w:rsid w:val="0014077F"/>
    <w:rPr>
      <w:rFonts w:ascii="Microsoft Sans Serif" w:hAnsi="Microsoft Sans Serif" w:cs="Microsoft Sans Serif"/>
      <w:i/>
      <w:iCs/>
      <w:spacing w:val="0"/>
      <w:sz w:val="16"/>
      <w:szCs w:val="16"/>
      <w:u w:val="single"/>
    </w:rPr>
  </w:style>
  <w:style w:type="character" w:customStyle="1" w:styleId="12SimHei7pt12">
    <w:name w:val="Основной текст (12) + SimHei.7 pt.Не курсив12"/>
    <w:uiPriority w:val="99"/>
    <w:rsid w:val="0014077F"/>
    <w:rPr>
      <w:rFonts w:ascii="SimHei" w:eastAsia="SimHei" w:cs="SimHei"/>
      <w:i/>
      <w:iCs/>
      <w:spacing w:val="0"/>
      <w:sz w:val="14"/>
      <w:szCs w:val="14"/>
    </w:rPr>
  </w:style>
  <w:style w:type="character" w:customStyle="1" w:styleId="1240pt24">
    <w:name w:val="Основной текст (12) + Не курсив4.Интервал 0 pt24"/>
    <w:uiPriority w:val="99"/>
    <w:rsid w:val="0014077F"/>
    <w:rPr>
      <w:rFonts w:ascii="Microsoft Sans Serif" w:hAnsi="Microsoft Sans Serif" w:cs="Microsoft Sans Serif"/>
      <w:i/>
      <w:iCs/>
      <w:spacing w:val="-10"/>
      <w:sz w:val="16"/>
      <w:szCs w:val="16"/>
    </w:rPr>
  </w:style>
  <w:style w:type="character" w:customStyle="1" w:styleId="70pt23">
    <w:name w:val="Основной текст + Курсив7.Интервал 0 pt23"/>
    <w:uiPriority w:val="99"/>
    <w:rsid w:val="0014077F"/>
    <w:rPr>
      <w:rFonts w:ascii="Microsoft Sans Serif" w:hAnsi="Microsoft Sans Serif" w:cs="Microsoft Sans Serif"/>
      <w:i/>
      <w:iCs/>
      <w:spacing w:val="0"/>
      <w:sz w:val="16"/>
      <w:szCs w:val="16"/>
    </w:rPr>
  </w:style>
  <w:style w:type="character" w:customStyle="1" w:styleId="12BookmanOldStyle6865pt1710">
    <w:name w:val="Основной текст (12) + Bookman Old Style6.86.5 pt17.Не курсив10"/>
    <w:uiPriority w:val="99"/>
    <w:rsid w:val="0014077F"/>
    <w:rPr>
      <w:rFonts w:ascii="Bookman Old Style" w:hAnsi="Bookman Old Style" w:cs="Bookman Old Style"/>
      <w:i/>
      <w:iCs/>
      <w:spacing w:val="0"/>
      <w:sz w:val="17"/>
      <w:szCs w:val="17"/>
    </w:rPr>
  </w:style>
  <w:style w:type="character" w:customStyle="1" w:styleId="60pt22">
    <w:name w:val="Основной текст + Курсив6.Интервал 0 pt22"/>
    <w:uiPriority w:val="99"/>
    <w:rsid w:val="0014077F"/>
    <w:rPr>
      <w:rFonts w:ascii="Microsoft Sans Serif" w:hAnsi="Microsoft Sans Serif" w:cs="Microsoft Sans Serif"/>
      <w:i/>
      <w:iCs/>
      <w:spacing w:val="0"/>
      <w:sz w:val="16"/>
      <w:szCs w:val="16"/>
    </w:rPr>
  </w:style>
  <w:style w:type="character" w:customStyle="1" w:styleId="123">
    <w:name w:val="Основной текст (12)3"/>
    <w:uiPriority w:val="99"/>
    <w:rsid w:val="0014077F"/>
    <w:rPr>
      <w:rFonts w:ascii="Microsoft Sans Serif" w:hAnsi="Microsoft Sans Serif" w:cs="Microsoft Sans Serif"/>
      <w:i/>
      <w:iCs/>
      <w:spacing w:val="0"/>
      <w:sz w:val="16"/>
      <w:szCs w:val="16"/>
      <w:u w:val="single"/>
    </w:rPr>
  </w:style>
  <w:style w:type="character" w:customStyle="1" w:styleId="1230pt21">
    <w:name w:val="Основной текст (12) + Не курсив3.Интервал 0 pt21"/>
    <w:uiPriority w:val="99"/>
    <w:rsid w:val="0014077F"/>
    <w:rPr>
      <w:rFonts w:ascii="Microsoft Sans Serif" w:hAnsi="Microsoft Sans Serif" w:cs="Microsoft Sans Serif"/>
      <w:i/>
      <w:iCs/>
      <w:spacing w:val="-10"/>
      <w:sz w:val="16"/>
      <w:szCs w:val="16"/>
    </w:rPr>
  </w:style>
  <w:style w:type="character" w:customStyle="1" w:styleId="0pt20">
    <w:name w:val="Основной текст + Малые прописные.Интервал 0 pt20"/>
    <w:uiPriority w:val="99"/>
    <w:rsid w:val="0014077F"/>
    <w:rPr>
      <w:rFonts w:ascii="Microsoft Sans Serif" w:hAnsi="Microsoft Sans Serif" w:cs="Microsoft Sans Serif"/>
      <w:smallCaps/>
      <w:spacing w:val="0"/>
      <w:sz w:val="16"/>
      <w:szCs w:val="16"/>
    </w:rPr>
  </w:style>
  <w:style w:type="character" w:customStyle="1" w:styleId="1265pt160pt19">
    <w:name w:val="Основной текст (12) + 6.5 pt16.Малые прописные.Интервал 0 pt19"/>
    <w:uiPriority w:val="99"/>
    <w:rsid w:val="0014077F"/>
    <w:rPr>
      <w:rFonts w:ascii="Microsoft Sans Serif" w:hAnsi="Microsoft Sans Serif" w:cs="Microsoft Sans Serif"/>
      <w:i/>
      <w:iCs/>
      <w:smallCaps/>
      <w:spacing w:val="10"/>
      <w:sz w:val="13"/>
      <w:szCs w:val="13"/>
      <w:lang w:val="en-US"/>
    </w:rPr>
  </w:style>
  <w:style w:type="character" w:customStyle="1" w:styleId="1220pt18">
    <w:name w:val="Основной текст (12) + Не курсив2.Интервал 0 pt18"/>
    <w:uiPriority w:val="99"/>
    <w:rsid w:val="0014077F"/>
    <w:rPr>
      <w:rFonts w:ascii="Microsoft Sans Serif" w:hAnsi="Microsoft Sans Serif" w:cs="Microsoft Sans Serif"/>
      <w:i/>
      <w:iCs/>
      <w:spacing w:val="-10"/>
      <w:sz w:val="16"/>
      <w:szCs w:val="16"/>
    </w:rPr>
  </w:style>
  <w:style w:type="character" w:customStyle="1" w:styleId="50pt17">
    <w:name w:val="Основной текст + Курсив5.Интервал 0 pt17"/>
    <w:uiPriority w:val="99"/>
    <w:rsid w:val="0014077F"/>
    <w:rPr>
      <w:rFonts w:ascii="Microsoft Sans Serif" w:hAnsi="Microsoft Sans Serif" w:cs="Microsoft Sans Serif"/>
      <w:i/>
      <w:iCs/>
      <w:spacing w:val="0"/>
      <w:sz w:val="16"/>
      <w:szCs w:val="16"/>
    </w:rPr>
  </w:style>
  <w:style w:type="character" w:customStyle="1" w:styleId="200pt65">
    <w:name w:val="Основной текст (20) + Не курсив.Интервал 0 pt65"/>
    <w:uiPriority w:val="99"/>
    <w:rsid w:val="0014077F"/>
    <w:rPr>
      <w:rFonts w:ascii="Lucida Sans Unicode" w:hAnsi="Lucida Sans Unicode" w:cs="Lucida Sans Unicode"/>
      <w:i/>
      <w:iCs/>
      <w:spacing w:val="-10"/>
      <w:sz w:val="16"/>
      <w:szCs w:val="16"/>
    </w:rPr>
  </w:style>
  <w:style w:type="character" w:customStyle="1" w:styleId="160pt64">
    <w:name w:val="Основной текст + Курсив16.Интервал 0 pt64"/>
    <w:uiPriority w:val="99"/>
    <w:rsid w:val="0014077F"/>
    <w:rPr>
      <w:rFonts w:ascii="Lucida Sans Unicode" w:hAnsi="Lucida Sans Unicode" w:cs="Lucida Sans Unicode"/>
      <w:i/>
      <w:iCs/>
      <w:spacing w:val="0"/>
      <w:sz w:val="16"/>
      <w:szCs w:val="16"/>
    </w:rPr>
  </w:style>
  <w:style w:type="character" w:customStyle="1" w:styleId="20160pt63">
    <w:name w:val="Основной текст (20) + Не курсив16.Интервал 0 pt63"/>
    <w:uiPriority w:val="99"/>
    <w:rsid w:val="0014077F"/>
    <w:rPr>
      <w:rFonts w:ascii="Lucida Sans Unicode" w:hAnsi="Lucida Sans Unicode" w:cs="Lucida Sans Unicode"/>
      <w:i/>
      <w:iCs/>
      <w:spacing w:val="-10"/>
      <w:sz w:val="16"/>
      <w:szCs w:val="16"/>
    </w:rPr>
  </w:style>
  <w:style w:type="character" w:customStyle="1" w:styleId="206">
    <w:name w:val="Основной текст (20)6"/>
    <w:uiPriority w:val="99"/>
    <w:rsid w:val="0014077F"/>
    <w:rPr>
      <w:rFonts w:ascii="Lucida Sans Unicode" w:hAnsi="Lucida Sans Unicode" w:cs="Lucida Sans Unicode"/>
      <w:b/>
      <w:bCs/>
      <w:i/>
      <w:iCs/>
      <w:sz w:val="16"/>
      <w:szCs w:val="16"/>
      <w:u w:val="single"/>
    </w:rPr>
  </w:style>
  <w:style w:type="character" w:customStyle="1" w:styleId="20140pt59">
    <w:name w:val="Основной текст (20) + Не курсив14.Интервал 0 pt59"/>
    <w:uiPriority w:val="99"/>
    <w:rsid w:val="0014077F"/>
    <w:rPr>
      <w:rFonts w:ascii="Lucida Sans Unicode" w:hAnsi="Lucida Sans Unicode" w:cs="Lucida Sans Unicode"/>
      <w:b/>
      <w:bCs/>
      <w:i/>
      <w:iCs/>
      <w:spacing w:val="-10"/>
      <w:sz w:val="16"/>
      <w:szCs w:val="16"/>
    </w:rPr>
  </w:style>
  <w:style w:type="character" w:customStyle="1" w:styleId="140pt58">
    <w:name w:val="Основной текст + Курсив14.Интервал 0 pt58"/>
    <w:uiPriority w:val="99"/>
    <w:rsid w:val="0014077F"/>
    <w:rPr>
      <w:rFonts w:ascii="Lucida Sans Unicode" w:hAnsi="Lucida Sans Unicode" w:cs="Lucida Sans Unicode"/>
      <w:i/>
      <w:iCs/>
      <w:spacing w:val="0"/>
      <w:sz w:val="16"/>
      <w:szCs w:val="16"/>
    </w:rPr>
  </w:style>
  <w:style w:type="character" w:customStyle="1" w:styleId="MSMincho">
    <w:name w:val="Основной текст + MS Mincho"/>
    <w:uiPriority w:val="99"/>
    <w:rsid w:val="0014077F"/>
    <w:rPr>
      <w:rFonts w:ascii="MS Mincho" w:eastAsia="MS Mincho" w:hAnsi="Microsoft Sans Serif" w:cs="MS Mincho"/>
      <w:spacing w:val="-10"/>
      <w:sz w:val="16"/>
      <w:szCs w:val="16"/>
    </w:rPr>
  </w:style>
  <w:style w:type="paragraph" w:customStyle="1" w:styleId="261">
    <w:name w:val="Основной текст (26)"/>
    <w:basedOn w:val="a"/>
    <w:link w:val="262"/>
    <w:rsid w:val="0014077F"/>
    <w:pPr>
      <w:shd w:val="clear" w:color="auto" w:fill="FFFFFF"/>
      <w:autoSpaceDE w:val="0"/>
      <w:autoSpaceDN w:val="0"/>
      <w:adjustRightInd w:val="0"/>
      <w:spacing w:after="0" w:line="240" w:lineRule="atLeast"/>
    </w:pPr>
    <w:rPr>
      <w:rFonts w:ascii="Microsoft Sans Serif" w:hAnsi="Microsoft Sans Serif" w:cs="Microsoft Sans Serif"/>
      <w:b/>
      <w:bCs/>
      <w:noProof/>
      <w:sz w:val="26"/>
      <w:szCs w:val="26"/>
      <w:lang w:val="en-US"/>
    </w:rPr>
  </w:style>
  <w:style w:type="character" w:customStyle="1" w:styleId="203">
    <w:name w:val="Основной текст (20)3"/>
    <w:uiPriority w:val="99"/>
    <w:rsid w:val="0014077F"/>
    <w:rPr>
      <w:rFonts w:ascii="Arial Unicode MS" w:eastAsia="Arial Unicode MS" w:cs="Arial Unicode MS"/>
      <w:b/>
      <w:bCs/>
      <w:i/>
      <w:iCs/>
      <w:noProof/>
      <w:sz w:val="15"/>
      <w:szCs w:val="15"/>
    </w:rPr>
  </w:style>
  <w:style w:type="character" w:customStyle="1" w:styleId="20130pt57">
    <w:name w:val="Основной текст (20) + Не курсив13.Интервал 0 pt57"/>
    <w:uiPriority w:val="99"/>
    <w:rsid w:val="0014077F"/>
    <w:rPr>
      <w:rFonts w:ascii="Lucida Sans Unicode" w:hAnsi="Lucida Sans Unicode" w:cs="Lucida Sans Unicode"/>
      <w:b/>
      <w:bCs/>
      <w:i/>
      <w:iCs/>
      <w:spacing w:val="-10"/>
      <w:sz w:val="16"/>
      <w:szCs w:val="16"/>
    </w:rPr>
  </w:style>
  <w:style w:type="character" w:customStyle="1" w:styleId="205">
    <w:name w:val="Основной текст (20)5"/>
    <w:uiPriority w:val="99"/>
    <w:rsid w:val="0014077F"/>
    <w:rPr>
      <w:rFonts w:ascii="Lucida Sans Unicode" w:hAnsi="Lucida Sans Unicode" w:cs="Lucida Sans Unicode"/>
      <w:b/>
      <w:bCs/>
      <w:i/>
      <w:iCs/>
      <w:sz w:val="16"/>
      <w:szCs w:val="16"/>
      <w:u w:val="single"/>
    </w:rPr>
  </w:style>
  <w:style w:type="character" w:customStyle="1" w:styleId="204">
    <w:name w:val="Основной текст (20)4"/>
    <w:uiPriority w:val="99"/>
    <w:rsid w:val="0014077F"/>
    <w:rPr>
      <w:rFonts w:ascii="Lucida Sans Unicode" w:hAnsi="Lucida Sans Unicode" w:cs="Lucida Sans Unicode"/>
      <w:b/>
      <w:bCs/>
      <w:i/>
      <w:iCs/>
      <w:sz w:val="16"/>
      <w:szCs w:val="16"/>
      <w:u w:val="single"/>
    </w:rPr>
  </w:style>
  <w:style w:type="character" w:customStyle="1" w:styleId="20120pt56">
    <w:name w:val="Основной текст (20) + Не курсив12.Интервал 0 pt56"/>
    <w:uiPriority w:val="99"/>
    <w:rsid w:val="0014077F"/>
    <w:rPr>
      <w:rFonts w:ascii="Lucida Sans Unicode" w:hAnsi="Lucida Sans Unicode" w:cs="Lucida Sans Unicode"/>
      <w:b/>
      <w:bCs/>
      <w:i/>
      <w:iCs/>
      <w:spacing w:val="-10"/>
      <w:sz w:val="16"/>
      <w:szCs w:val="16"/>
    </w:rPr>
  </w:style>
  <w:style w:type="character" w:customStyle="1" w:styleId="150pt62">
    <w:name w:val="Основной текст + Курсив15.Интервал 0 pt62"/>
    <w:uiPriority w:val="99"/>
    <w:rsid w:val="0014077F"/>
    <w:rPr>
      <w:rFonts w:ascii="Lucida Sans Unicode" w:hAnsi="Lucida Sans Unicode" w:cs="Lucida Sans Unicode"/>
      <w:i/>
      <w:iCs/>
      <w:spacing w:val="0"/>
      <w:sz w:val="16"/>
      <w:szCs w:val="16"/>
    </w:rPr>
  </w:style>
  <w:style w:type="character" w:customStyle="1" w:styleId="207">
    <w:name w:val="Основной текст (20)"/>
    <w:uiPriority w:val="99"/>
    <w:rsid w:val="0014077F"/>
    <w:rPr>
      <w:b/>
      <w:bCs/>
      <w:i/>
      <w:iCs/>
      <w:sz w:val="15"/>
      <w:szCs w:val="15"/>
    </w:rPr>
  </w:style>
  <w:style w:type="character" w:customStyle="1" w:styleId="20150pt61">
    <w:name w:val="Основной текст (20) + Не курсив15.Интервал 0 pt61"/>
    <w:uiPriority w:val="99"/>
    <w:rsid w:val="0014077F"/>
    <w:rPr>
      <w:rFonts w:ascii="Lucida Sans Unicode" w:hAnsi="Lucida Sans Unicode" w:cs="Lucida Sans Unicode"/>
      <w:b/>
      <w:bCs/>
      <w:i/>
      <w:iCs/>
      <w:spacing w:val="-10"/>
      <w:sz w:val="16"/>
      <w:szCs w:val="16"/>
    </w:rPr>
  </w:style>
  <w:style w:type="paragraph" w:customStyle="1" w:styleId="131">
    <w:name w:val="Основной текст (13)1"/>
    <w:basedOn w:val="a"/>
    <w:uiPriority w:val="99"/>
    <w:rsid w:val="0014077F"/>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20MSMincho30pt55">
    <w:name w:val="Основной текст (20) + MS Mincho.Не курсив3.Интервал 0 pt55"/>
    <w:uiPriority w:val="99"/>
    <w:rsid w:val="0014077F"/>
    <w:rPr>
      <w:rFonts w:ascii="MS Mincho" w:eastAsia="MS Mincho" w:cs="MS Mincho"/>
      <w:b/>
      <w:bCs/>
      <w:i/>
      <w:iCs/>
      <w:spacing w:val="-10"/>
      <w:sz w:val="16"/>
      <w:szCs w:val="16"/>
    </w:rPr>
  </w:style>
  <w:style w:type="character" w:customStyle="1" w:styleId="2020">
    <w:name w:val="Основной текст (20)2"/>
    <w:uiPriority w:val="99"/>
    <w:rsid w:val="0014077F"/>
    <w:rPr>
      <w:b/>
      <w:bCs/>
      <w:i/>
      <w:iCs/>
      <w:sz w:val="15"/>
      <w:szCs w:val="15"/>
    </w:rPr>
  </w:style>
  <w:style w:type="character" w:customStyle="1" w:styleId="1420">
    <w:name w:val="Основной текст (14)2"/>
    <w:uiPriority w:val="99"/>
    <w:rsid w:val="0014077F"/>
    <w:rPr>
      <w:rFonts w:ascii="Lucida Sans Unicode" w:hAnsi="Lucida Sans Unicode" w:cs="Lucida Sans Unicode"/>
      <w:spacing w:val="-10"/>
      <w:sz w:val="13"/>
      <w:szCs w:val="13"/>
      <w:u w:val="single"/>
    </w:rPr>
  </w:style>
  <w:style w:type="character" w:customStyle="1" w:styleId="20110pt54">
    <w:name w:val="Основной текст (20) + Не курсив11.Интервал 0 pt54"/>
    <w:uiPriority w:val="99"/>
    <w:rsid w:val="0014077F"/>
    <w:rPr>
      <w:rFonts w:ascii="Lucida Sans Unicode" w:hAnsi="Lucida Sans Unicode" w:cs="Lucida Sans Unicode"/>
      <w:b/>
      <w:bCs/>
      <w:i/>
      <w:iCs/>
      <w:spacing w:val="-10"/>
      <w:sz w:val="16"/>
      <w:szCs w:val="16"/>
    </w:rPr>
  </w:style>
  <w:style w:type="character" w:customStyle="1" w:styleId="119">
    <w:name w:val="Основной текст + Курсив11"/>
    <w:uiPriority w:val="99"/>
    <w:rsid w:val="0014077F"/>
    <w:rPr>
      <w:rFonts w:ascii="Arial" w:hAnsi="Arial" w:cs="Arial"/>
      <w:i/>
      <w:iCs/>
      <w:spacing w:val="-10"/>
      <w:sz w:val="17"/>
      <w:szCs w:val="17"/>
    </w:rPr>
  </w:style>
  <w:style w:type="character" w:customStyle="1" w:styleId="143">
    <w:name w:val="Основной текст + Курсив14"/>
    <w:uiPriority w:val="99"/>
    <w:rsid w:val="0014077F"/>
    <w:rPr>
      <w:rFonts w:ascii="Arial" w:hAnsi="Arial" w:cs="Arial"/>
      <w:i/>
      <w:iCs/>
      <w:spacing w:val="-10"/>
      <w:sz w:val="17"/>
      <w:szCs w:val="17"/>
    </w:rPr>
  </w:style>
  <w:style w:type="character" w:customStyle="1" w:styleId="1180">
    <w:name w:val="Основной текст (11) + Не курсив8"/>
    <w:uiPriority w:val="99"/>
    <w:rsid w:val="0014077F"/>
    <w:rPr>
      <w:rFonts w:ascii="Arial" w:hAnsi="Arial" w:cs="Arial"/>
      <w:i/>
      <w:iCs/>
      <w:spacing w:val="-10"/>
      <w:sz w:val="17"/>
      <w:szCs w:val="17"/>
    </w:rPr>
  </w:style>
  <w:style w:type="character" w:customStyle="1" w:styleId="130">
    <w:name w:val="Основной текст + Курсив13"/>
    <w:uiPriority w:val="99"/>
    <w:rsid w:val="0014077F"/>
    <w:rPr>
      <w:rFonts w:ascii="Arial" w:hAnsi="Arial" w:cs="Arial"/>
      <w:i/>
      <w:iCs/>
      <w:spacing w:val="-10"/>
      <w:sz w:val="17"/>
      <w:szCs w:val="17"/>
      <w:lang w:val="en-US"/>
    </w:rPr>
  </w:style>
  <w:style w:type="character" w:customStyle="1" w:styleId="8pt3100pt23">
    <w:name w:val="Основной текст + 8 pt3.Курсив10.Малые прописные.Интервал 0 pt23"/>
    <w:uiPriority w:val="99"/>
    <w:rsid w:val="0014077F"/>
    <w:rPr>
      <w:rFonts w:ascii="Arial" w:hAnsi="Arial" w:cs="Arial"/>
      <w:i/>
      <w:iCs/>
      <w:smallCaps/>
      <w:spacing w:val="0"/>
      <w:sz w:val="16"/>
      <w:szCs w:val="16"/>
      <w:lang w:val="en-US"/>
    </w:rPr>
  </w:style>
  <w:style w:type="character" w:customStyle="1" w:styleId="11SimHei75pt3080pt22">
    <w:name w:val="Основной текст (11) + SimHei.7.5 pt30.Не курсив8.Интервал 0 pt22"/>
    <w:uiPriority w:val="99"/>
    <w:rsid w:val="0014077F"/>
    <w:rPr>
      <w:rFonts w:ascii="SimHei" w:eastAsia="SimHei" w:hAnsi="Microsoft Sans Serif" w:cs="SimHei"/>
      <w:i/>
      <w:iCs/>
      <w:spacing w:val="0"/>
      <w:sz w:val="15"/>
      <w:szCs w:val="15"/>
    </w:rPr>
  </w:style>
  <w:style w:type="paragraph" w:customStyle="1" w:styleId="213">
    <w:name w:val="Основной текст (21)"/>
    <w:basedOn w:val="a"/>
    <w:link w:val="214"/>
    <w:uiPriority w:val="99"/>
    <w:rsid w:val="0014077F"/>
    <w:pPr>
      <w:shd w:val="clear" w:color="auto" w:fill="FFFFFF"/>
      <w:autoSpaceDE w:val="0"/>
      <w:autoSpaceDN w:val="0"/>
      <w:adjustRightInd w:val="0"/>
      <w:spacing w:after="120" w:line="211" w:lineRule="exact"/>
      <w:ind w:firstLine="280"/>
      <w:jc w:val="both"/>
    </w:pPr>
    <w:rPr>
      <w:rFonts w:ascii="Microsoft Sans Serif" w:hAnsi="Microsoft Sans Serif" w:cs="Microsoft Sans Serif"/>
      <w:b/>
      <w:bCs/>
      <w:i/>
      <w:iCs/>
      <w:noProof/>
      <w:sz w:val="16"/>
      <w:szCs w:val="16"/>
      <w:lang w:val="en-US"/>
    </w:rPr>
  </w:style>
  <w:style w:type="character" w:customStyle="1" w:styleId="127">
    <w:name w:val="Основной текст + Курсив12"/>
    <w:uiPriority w:val="99"/>
    <w:rsid w:val="0014077F"/>
    <w:rPr>
      <w:rFonts w:ascii="Arial" w:hAnsi="Arial" w:cs="Arial"/>
      <w:i/>
      <w:iCs/>
      <w:spacing w:val="-10"/>
      <w:sz w:val="17"/>
      <w:szCs w:val="17"/>
    </w:rPr>
  </w:style>
  <w:style w:type="character" w:customStyle="1" w:styleId="1170">
    <w:name w:val="Основной текст (11) + Не курсив7"/>
    <w:uiPriority w:val="99"/>
    <w:rsid w:val="0014077F"/>
    <w:rPr>
      <w:rFonts w:ascii="Arial" w:hAnsi="Arial" w:cs="Arial"/>
      <w:i/>
      <w:iCs/>
      <w:spacing w:val="-10"/>
      <w:sz w:val="17"/>
      <w:szCs w:val="17"/>
    </w:rPr>
  </w:style>
  <w:style w:type="character" w:customStyle="1" w:styleId="152">
    <w:name w:val="Основной текст + Курсив15"/>
    <w:uiPriority w:val="99"/>
    <w:rsid w:val="0014077F"/>
    <w:rPr>
      <w:rFonts w:ascii="Arial" w:hAnsi="Arial" w:cs="Arial"/>
      <w:i/>
      <w:iCs/>
      <w:spacing w:val="-10"/>
      <w:sz w:val="17"/>
      <w:szCs w:val="17"/>
      <w:u w:val="single"/>
    </w:rPr>
  </w:style>
  <w:style w:type="character" w:customStyle="1" w:styleId="1190">
    <w:name w:val="Основной текст (11) + Не курсив9"/>
    <w:uiPriority w:val="99"/>
    <w:rsid w:val="0014077F"/>
    <w:rPr>
      <w:rFonts w:ascii="Arial" w:hAnsi="Arial" w:cs="Arial"/>
      <w:i/>
      <w:iCs/>
      <w:spacing w:val="-10"/>
      <w:sz w:val="17"/>
      <w:szCs w:val="17"/>
    </w:rPr>
  </w:style>
  <w:style w:type="character" w:customStyle="1" w:styleId="11100">
    <w:name w:val="Основной текст (11) + Не курсив10"/>
    <w:uiPriority w:val="99"/>
    <w:rsid w:val="0014077F"/>
    <w:rPr>
      <w:rFonts w:ascii="Arial" w:hAnsi="Arial" w:cs="Arial"/>
      <w:i/>
      <w:iCs/>
      <w:spacing w:val="-10"/>
      <w:sz w:val="17"/>
      <w:szCs w:val="17"/>
    </w:rPr>
  </w:style>
  <w:style w:type="character" w:customStyle="1" w:styleId="11110">
    <w:name w:val="Основной текст (11) + Не курсив11"/>
    <w:uiPriority w:val="99"/>
    <w:rsid w:val="0014077F"/>
    <w:rPr>
      <w:rFonts w:ascii="Arial" w:hAnsi="Arial" w:cs="Arial"/>
      <w:i/>
      <w:iCs/>
      <w:spacing w:val="-10"/>
      <w:sz w:val="17"/>
      <w:szCs w:val="17"/>
    </w:rPr>
  </w:style>
  <w:style w:type="character" w:customStyle="1" w:styleId="4835pt2911">
    <w:name w:val="Основной текст (4) + 83.5 pt29.Не полужирный11"/>
    <w:uiPriority w:val="99"/>
    <w:rsid w:val="0014077F"/>
    <w:rPr>
      <w:rFonts w:ascii="Arial" w:hAnsi="Arial" w:cs="Arial"/>
      <w:b/>
      <w:bCs/>
      <w:i/>
      <w:iCs/>
      <w:spacing w:val="-10"/>
      <w:sz w:val="17"/>
      <w:szCs w:val="17"/>
    </w:rPr>
  </w:style>
  <w:style w:type="character" w:customStyle="1" w:styleId="105pt0pt">
    <w:name w:val="Основной текст + 10.5 pt.Курсив.Интервал 0 pt"/>
    <w:uiPriority w:val="99"/>
    <w:rsid w:val="0014077F"/>
    <w:rPr>
      <w:rFonts w:ascii="Microsoft Sans Serif" w:hAnsi="Microsoft Sans Serif" w:cs="Microsoft Sans Serif"/>
      <w:i/>
      <w:iCs/>
      <w:spacing w:val="0"/>
      <w:sz w:val="21"/>
      <w:szCs w:val="21"/>
    </w:rPr>
  </w:style>
  <w:style w:type="paragraph" w:customStyle="1" w:styleId="11a">
    <w:name w:val="Заголовок №11"/>
    <w:basedOn w:val="a"/>
    <w:uiPriority w:val="99"/>
    <w:rsid w:val="0014077F"/>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2e">
    <w:name w:val="Основной текст (2) + Курсив"/>
    <w:uiPriority w:val="99"/>
    <w:rsid w:val="0014077F"/>
    <w:rPr>
      <w:rFonts w:ascii="MS Reference Sans Serif" w:hAnsi="MS Reference Sans Serif" w:cs="MS Reference Sans Serif"/>
      <w:i/>
      <w:iCs/>
      <w:spacing w:val="-10"/>
      <w:sz w:val="22"/>
      <w:szCs w:val="22"/>
    </w:rPr>
  </w:style>
  <w:style w:type="character" w:customStyle="1" w:styleId="21pt">
    <w:name w:val="Основной текст (2) + Интервал 1 pt"/>
    <w:rsid w:val="0014077F"/>
    <w:rPr>
      <w:rFonts w:ascii="Tahoma" w:hAnsi="Tahoma" w:cs="Tahoma"/>
      <w:noProof/>
      <w:spacing w:val="30"/>
      <w:sz w:val="24"/>
      <w:szCs w:val="24"/>
    </w:rPr>
  </w:style>
  <w:style w:type="character" w:customStyle="1" w:styleId="2pt">
    <w:name w:val="Основной текст + Интервал 2 pt"/>
    <w:uiPriority w:val="99"/>
    <w:rsid w:val="0014077F"/>
    <w:rPr>
      <w:rFonts w:ascii="Tahoma" w:hAnsi="Tahoma" w:cs="Tahoma"/>
      <w:i/>
      <w:iCs/>
      <w:spacing w:val="40"/>
      <w:sz w:val="21"/>
      <w:szCs w:val="21"/>
    </w:rPr>
  </w:style>
  <w:style w:type="character" w:customStyle="1" w:styleId="2pt1">
    <w:name w:val="Основной текст + Интервал 2 pt1"/>
    <w:uiPriority w:val="99"/>
    <w:rsid w:val="0014077F"/>
    <w:rPr>
      <w:rFonts w:ascii="Tahoma" w:hAnsi="Tahoma" w:cs="Tahoma"/>
      <w:i/>
      <w:iCs/>
      <w:spacing w:val="40"/>
      <w:sz w:val="21"/>
      <w:szCs w:val="21"/>
    </w:rPr>
  </w:style>
  <w:style w:type="character" w:customStyle="1" w:styleId="115pt29115pt8109112SimHei2Arial12pt11ptMSMincho12pt">
    <w:name w:val="Основной текст + 11.5 pt2.Не курсив.Основной текст (9) + 11.5 pt8.Основной текст (10) + 91.Не малые прописные1.Основной текст (2) + SimHei.Основной текст (2) + Arial.12 pt.11 pt.Основной текст + MS Mincho.Основной текст + 12 pt"/>
    <w:uiPriority w:val="99"/>
    <w:rsid w:val="0014077F"/>
    <w:rPr>
      <w:rFonts w:ascii="MS Reference Sans Serif" w:hAnsi="MS Reference Sans Serif" w:cs="MS Reference Sans Serif"/>
      <w:spacing w:val="-10"/>
      <w:sz w:val="23"/>
      <w:szCs w:val="23"/>
    </w:rPr>
  </w:style>
  <w:style w:type="character" w:customStyle="1" w:styleId="211pt">
    <w:name w:val="Основной текст (2) + 11 pt.Курсив"/>
    <w:uiPriority w:val="99"/>
    <w:rsid w:val="0014077F"/>
    <w:rPr>
      <w:rFonts w:ascii="MS Reference Sans Serif" w:hAnsi="MS Reference Sans Serif" w:cs="MS Reference Sans Serif"/>
      <w:i/>
      <w:iCs/>
      <w:noProof/>
      <w:spacing w:val="-10"/>
      <w:sz w:val="22"/>
      <w:szCs w:val="22"/>
    </w:rPr>
  </w:style>
  <w:style w:type="character" w:customStyle="1" w:styleId="Batang16pt-1ptGulim125pt1111101Tahoma10pt">
    <w:name w:val="Колонтитул + Batang.16 pt.Интервал -1 pt.Основной текст + Gulim.12.5 pt1.Не курсив1.Основной текст (11) + 10.Малые прописные1.Основной текст + Tahoma.10 pt"/>
    <w:uiPriority w:val="99"/>
    <w:rsid w:val="0014077F"/>
    <w:rPr>
      <w:rFonts w:ascii="Batang" w:eastAsia="Batang" w:cs="Batang"/>
      <w:noProof/>
      <w:spacing w:val="-30"/>
      <w:sz w:val="32"/>
      <w:szCs w:val="32"/>
    </w:rPr>
  </w:style>
  <w:style w:type="paragraph" w:customStyle="1" w:styleId="91">
    <w:name w:val="Основной текст (9)1"/>
    <w:basedOn w:val="a"/>
    <w:uiPriority w:val="99"/>
    <w:rsid w:val="0014077F"/>
    <w:pPr>
      <w:shd w:val="clear" w:color="auto" w:fill="FFFFFF"/>
      <w:autoSpaceDE w:val="0"/>
      <w:autoSpaceDN w:val="0"/>
      <w:adjustRightInd w:val="0"/>
      <w:spacing w:after="0" w:line="148" w:lineRule="exact"/>
      <w:ind w:hanging="2020"/>
    </w:pPr>
    <w:rPr>
      <w:rFonts w:ascii="Arial" w:hAnsi="Arial" w:cs="Arial"/>
      <w:i/>
      <w:iCs/>
      <w:noProof/>
      <w:sz w:val="14"/>
      <w:szCs w:val="14"/>
      <w:lang w:val="en-US"/>
    </w:rPr>
  </w:style>
  <w:style w:type="paragraph" w:customStyle="1" w:styleId="103">
    <w:name w:val="Основной текст (10)"/>
    <w:basedOn w:val="a"/>
    <w:uiPriority w:val="99"/>
    <w:rsid w:val="0014077F"/>
    <w:pPr>
      <w:shd w:val="clear" w:color="auto" w:fill="FFFFFF"/>
      <w:autoSpaceDE w:val="0"/>
      <w:autoSpaceDN w:val="0"/>
      <w:adjustRightInd w:val="0"/>
      <w:spacing w:before="120" w:after="120" w:line="174" w:lineRule="exact"/>
      <w:jc w:val="both"/>
    </w:pPr>
    <w:rPr>
      <w:rFonts w:ascii="Arial" w:hAnsi="Arial" w:cs="Arial"/>
      <w:i/>
      <w:iCs/>
      <w:noProof/>
      <w:sz w:val="15"/>
      <w:szCs w:val="15"/>
      <w:lang w:val="en-US"/>
    </w:rPr>
  </w:style>
  <w:style w:type="character" w:customStyle="1" w:styleId="1095pt4">
    <w:name w:val="Основной текст (10) + 9.5 pt4.Не малые прописные"/>
    <w:uiPriority w:val="99"/>
    <w:rsid w:val="0014077F"/>
    <w:rPr>
      <w:rFonts w:ascii="Microsoft Sans Serif" w:hAnsi="Microsoft Sans Serif" w:cs="Microsoft Sans Serif"/>
      <w:smallCaps/>
      <w:noProof/>
      <w:spacing w:val="0"/>
      <w:sz w:val="19"/>
      <w:szCs w:val="19"/>
    </w:rPr>
  </w:style>
  <w:style w:type="character" w:customStyle="1" w:styleId="1185pt32">
    <w:name w:val="Основной текст (11) + 8.5 pt3.Малые прописные2"/>
    <w:uiPriority w:val="99"/>
    <w:rsid w:val="0014077F"/>
    <w:rPr>
      <w:rFonts w:ascii="Microsoft Sans Serif" w:hAnsi="Microsoft Sans Serif" w:cs="Microsoft Sans Serif"/>
      <w:i/>
      <w:iCs/>
      <w:smallCaps/>
      <w:sz w:val="17"/>
      <w:szCs w:val="17"/>
    </w:rPr>
  </w:style>
  <w:style w:type="character" w:customStyle="1" w:styleId="21pt1">
    <w:name w:val="Основной текст (2) + Интервал 1 pt1"/>
    <w:uiPriority w:val="99"/>
    <w:rsid w:val="0014077F"/>
    <w:rPr>
      <w:rFonts w:ascii="Microsoft Sans Serif" w:hAnsi="Microsoft Sans Serif" w:cs="Microsoft Sans Serif"/>
      <w:i/>
      <w:iCs/>
      <w:noProof/>
      <w:spacing w:val="30"/>
      <w:sz w:val="21"/>
      <w:szCs w:val="21"/>
    </w:rPr>
  </w:style>
  <w:style w:type="character" w:customStyle="1" w:styleId="2-1pt">
    <w:name w:val="Основной текст (2) + Интервал -1 pt"/>
    <w:uiPriority w:val="99"/>
    <w:rsid w:val="0014077F"/>
    <w:rPr>
      <w:rFonts w:ascii="Microsoft Sans Serif" w:hAnsi="Microsoft Sans Serif" w:cs="Microsoft Sans Serif"/>
      <w:i/>
      <w:iCs/>
      <w:noProof/>
      <w:spacing w:val="-20"/>
      <w:sz w:val="21"/>
      <w:szCs w:val="21"/>
    </w:rPr>
  </w:style>
  <w:style w:type="character" w:customStyle="1" w:styleId="TrebuchetMS155ptArialNarrow17Tahoma0pt1211">
    <w:name w:val="Колонтитул + Trebuchet MS.15.5 pt.Колонтитул + Arial Narrow.17.Колонтитул + Tahoma.Интервал 0 pt1.Основной текст (2) + 11"/>
    <w:uiPriority w:val="99"/>
    <w:rsid w:val="0014077F"/>
    <w:rPr>
      <w:rFonts w:ascii="Trebuchet MS" w:hAnsi="Trebuchet MS" w:cs="Trebuchet MS"/>
      <w:noProof/>
      <w:sz w:val="31"/>
      <w:szCs w:val="31"/>
    </w:rPr>
  </w:style>
  <w:style w:type="character" w:customStyle="1" w:styleId="2f">
    <w:name w:val="Основной текст (2)_"/>
    <w:rsid w:val="0014077F"/>
    <w:rPr>
      <w:rFonts w:ascii="Arial" w:hAnsi="Arial" w:cs="Arial"/>
      <w:i/>
      <w:iCs/>
      <w:spacing w:val="-10"/>
      <w:sz w:val="16"/>
      <w:szCs w:val="16"/>
    </w:rPr>
  </w:style>
  <w:style w:type="character" w:customStyle="1" w:styleId="22pt">
    <w:name w:val="Основной текст (2) + Интервал 2 pt"/>
    <w:uiPriority w:val="99"/>
    <w:rsid w:val="0014077F"/>
    <w:rPr>
      <w:rFonts w:ascii="Tahoma" w:hAnsi="Tahoma" w:cs="Tahoma"/>
      <w:i/>
      <w:iCs/>
      <w:noProof/>
      <w:spacing w:val="40"/>
      <w:sz w:val="21"/>
      <w:szCs w:val="21"/>
    </w:rPr>
  </w:style>
  <w:style w:type="character" w:customStyle="1" w:styleId="31pt">
    <w:name w:val="Основной текст (3) + Интервал 1 pt"/>
    <w:uiPriority w:val="99"/>
    <w:rsid w:val="0014077F"/>
    <w:rPr>
      <w:rFonts w:ascii="MS Reference Sans Serif" w:hAnsi="MS Reference Sans Serif" w:cs="MS Reference Sans Serif"/>
      <w:spacing w:val="20"/>
      <w:sz w:val="22"/>
      <w:szCs w:val="22"/>
    </w:rPr>
  </w:style>
  <w:style w:type="character" w:customStyle="1" w:styleId="42pt">
    <w:name w:val="Основной текст (4) + Интервал 2 pt"/>
    <w:uiPriority w:val="99"/>
    <w:rsid w:val="0014077F"/>
    <w:rPr>
      <w:rFonts w:ascii="Tahoma" w:hAnsi="Tahoma" w:cs="Tahoma"/>
      <w:i/>
      <w:iCs/>
      <w:spacing w:val="50"/>
      <w:sz w:val="21"/>
      <w:szCs w:val="21"/>
    </w:rPr>
  </w:style>
  <w:style w:type="paragraph" w:customStyle="1" w:styleId="5b">
    <w:name w:val="Основной текст (5)"/>
    <w:basedOn w:val="a"/>
    <w:uiPriority w:val="99"/>
    <w:rsid w:val="0014077F"/>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FranklinGothicBook111pt11">
    <w:name w:val="Основной текст + Franklin Gothic Book1.11 pt1.Малые прописные1"/>
    <w:uiPriority w:val="99"/>
    <w:rsid w:val="0014077F"/>
    <w:rPr>
      <w:rFonts w:ascii="Franklin Gothic Book" w:hAnsi="Franklin Gothic Book" w:cs="Franklin Gothic Book"/>
      <w:smallCaps/>
      <w:spacing w:val="-10"/>
      <w:sz w:val="22"/>
      <w:szCs w:val="22"/>
    </w:rPr>
  </w:style>
  <w:style w:type="character" w:customStyle="1" w:styleId="361">
    <w:name w:val="Основной текст (36) + Не курсив1"/>
    <w:uiPriority w:val="99"/>
    <w:rsid w:val="0014077F"/>
    <w:rPr>
      <w:rFonts w:ascii="Arial" w:hAnsi="Arial" w:cs="Arial"/>
      <w:spacing w:val="0"/>
      <w:sz w:val="8"/>
      <w:szCs w:val="8"/>
    </w:rPr>
  </w:style>
  <w:style w:type="paragraph" w:styleId="affb">
    <w:name w:val="Balloon Text"/>
    <w:basedOn w:val="a"/>
    <w:link w:val="affc"/>
    <w:uiPriority w:val="99"/>
    <w:semiHidden/>
    <w:unhideWhenUsed/>
    <w:rsid w:val="0014077F"/>
    <w:pPr>
      <w:spacing w:after="0" w:line="240" w:lineRule="auto"/>
    </w:pPr>
    <w:rPr>
      <w:rFonts w:ascii="Tahoma" w:hAnsi="Tahoma" w:cs="Tahoma"/>
      <w:sz w:val="16"/>
      <w:szCs w:val="16"/>
    </w:rPr>
  </w:style>
  <w:style w:type="character" w:customStyle="1" w:styleId="affc">
    <w:name w:val="Текст выноски Знак"/>
    <w:link w:val="affb"/>
    <w:uiPriority w:val="99"/>
    <w:semiHidden/>
    <w:rsid w:val="0014077F"/>
    <w:rPr>
      <w:rFonts w:ascii="Tahoma" w:hAnsi="Tahoma" w:cs="Tahoma"/>
      <w:sz w:val="16"/>
      <w:szCs w:val="16"/>
      <w:lang w:eastAsia="en-US"/>
    </w:rPr>
  </w:style>
  <w:style w:type="paragraph" w:customStyle="1" w:styleId="rtejustify">
    <w:name w:val="rtejustify"/>
    <w:basedOn w:val="a"/>
    <w:rsid w:val="0014077F"/>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paragraph" w:customStyle="1" w:styleId="rtecenter">
    <w:name w:val="rtecenter"/>
    <w:basedOn w:val="a"/>
    <w:rsid w:val="0014077F"/>
    <w:pPr>
      <w:spacing w:before="120" w:after="216" w:line="240" w:lineRule="auto"/>
      <w:jc w:val="center"/>
    </w:pPr>
    <w:rPr>
      <w:rFonts w:ascii="Times New Roman" w:eastAsia="Times New Roman" w:hAnsi="Times New Roman"/>
      <w:sz w:val="24"/>
      <w:szCs w:val="24"/>
      <w:lang w:eastAsia="ru-RU"/>
    </w:rPr>
  </w:style>
  <w:style w:type="character" w:customStyle="1" w:styleId="5c">
    <w:name w:val="Основной текст (5) + Не курсив"/>
    <w:rsid w:val="0014077F"/>
    <w:rPr>
      <w:rFonts w:ascii="Arial" w:hAnsi="Arial"/>
      <w:i/>
      <w:spacing w:val="0"/>
      <w:sz w:val="26"/>
    </w:rPr>
  </w:style>
  <w:style w:type="paragraph" w:customStyle="1" w:styleId="83">
    <w:name w:val="Основной текст8"/>
    <w:basedOn w:val="a"/>
    <w:rsid w:val="0014077F"/>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paragraph" w:customStyle="1" w:styleId="92">
    <w:name w:val="Основной текст9"/>
    <w:basedOn w:val="a"/>
    <w:rsid w:val="0014077F"/>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251">
    <w:name w:val="Основной текст (25)"/>
    <w:rsid w:val="0014077F"/>
    <w:rPr>
      <w:rFonts w:ascii="Arial" w:hAnsi="Arial"/>
      <w:sz w:val="10"/>
    </w:rPr>
  </w:style>
  <w:style w:type="character" w:customStyle="1" w:styleId="258pt">
    <w:name w:val="Основной текст (25) + 8 pt"/>
    <w:rsid w:val="0014077F"/>
    <w:rPr>
      <w:rFonts w:ascii="Times New Roman" w:hAnsi="Times New Roman"/>
      <w:spacing w:val="0"/>
      <w:sz w:val="16"/>
    </w:rPr>
  </w:style>
  <w:style w:type="character" w:customStyle="1" w:styleId="8MicrosoftSansSerif8pt">
    <w:name w:val="Основной текст (8) + Microsoft Sans Serif;8 pt;Не курсив"/>
    <w:rsid w:val="0014077F"/>
    <w:rPr>
      <w:rFonts w:ascii="Microsoft Sans Serif" w:eastAsia="Microsoft Sans Serif" w:hAnsi="Microsoft Sans Serif" w:cs="Microsoft Sans Serif"/>
      <w:b w:val="0"/>
      <w:bCs w:val="0"/>
      <w:i/>
      <w:iCs/>
      <w:smallCaps w:val="0"/>
      <w:strike w:val="0"/>
      <w:spacing w:val="0"/>
      <w:sz w:val="16"/>
      <w:szCs w:val="16"/>
      <w:shd w:val="clear" w:color="auto" w:fill="FFFFFF"/>
      <w:lang w:val="en-US"/>
    </w:rPr>
  </w:style>
  <w:style w:type="character" w:customStyle="1" w:styleId="aff2">
    <w:name w:val="Подпись к таблице_"/>
    <w:link w:val="aff1"/>
    <w:rsid w:val="0014077F"/>
    <w:rPr>
      <w:rFonts w:ascii="Arial Narrow" w:hAnsi="Arial Narrow" w:cs="Arial Narrow"/>
      <w:i/>
      <w:iCs/>
      <w:noProof/>
      <w:shd w:val="clear" w:color="auto" w:fill="FFFFFF"/>
      <w:lang w:val="en-US" w:eastAsia="en-US"/>
    </w:rPr>
  </w:style>
  <w:style w:type="paragraph" w:customStyle="1" w:styleId="190">
    <w:name w:val="Основной текст (19)"/>
    <w:basedOn w:val="a"/>
    <w:link w:val="191"/>
    <w:uiPriority w:val="99"/>
    <w:rsid w:val="0014077F"/>
    <w:pPr>
      <w:shd w:val="clear" w:color="auto" w:fill="FFFFFF"/>
      <w:overflowPunct w:val="0"/>
      <w:autoSpaceDE w:val="0"/>
      <w:autoSpaceDN w:val="0"/>
      <w:adjustRightInd w:val="0"/>
      <w:spacing w:after="0" w:line="240" w:lineRule="atLeast"/>
      <w:textAlignment w:val="baseline"/>
    </w:pPr>
    <w:rPr>
      <w:rFonts w:ascii="Arial" w:eastAsia="Times New Roman" w:hAnsi="Arial"/>
      <w:sz w:val="33"/>
      <w:szCs w:val="20"/>
      <w:lang w:eastAsia="ru-RU"/>
    </w:rPr>
  </w:style>
  <w:style w:type="character" w:customStyle="1" w:styleId="281">
    <w:name w:val="Основной текст (28)_"/>
    <w:link w:val="280"/>
    <w:rsid w:val="0014077F"/>
    <w:rPr>
      <w:rFonts w:ascii="Lucida Sans Unicode" w:hAnsi="Lucida Sans Unicode" w:cs="Lucida Sans Unicode"/>
      <w:spacing w:val="10"/>
      <w:sz w:val="24"/>
      <w:szCs w:val="24"/>
      <w:shd w:val="clear" w:color="auto" w:fill="FFFFFF"/>
      <w:lang w:eastAsia="en-US"/>
    </w:rPr>
  </w:style>
  <w:style w:type="character" w:customStyle="1" w:styleId="26pt">
    <w:name w:val="Подпись к таблице (2) + 6 pt"/>
    <w:rsid w:val="0014077F"/>
    <w:rPr>
      <w:rFonts w:ascii="Arial" w:hAnsi="Arial"/>
      <w:b/>
      <w:sz w:val="12"/>
    </w:rPr>
  </w:style>
  <w:style w:type="character" w:customStyle="1" w:styleId="28TimesNewRoman">
    <w:name w:val="Основной текст (28) + Times New Roman"/>
    <w:rsid w:val="0014077F"/>
    <w:rPr>
      <w:rFonts w:ascii="Times New Roman" w:hAnsi="Times New Roman"/>
      <w:b/>
      <w:sz w:val="14"/>
    </w:rPr>
  </w:style>
  <w:style w:type="character" w:customStyle="1" w:styleId="302">
    <w:name w:val="Основной текст (30)_"/>
    <w:link w:val="301"/>
    <w:rsid w:val="0014077F"/>
    <w:rPr>
      <w:rFonts w:ascii="Arial" w:hAnsi="Arial" w:cs="Arial"/>
      <w:i/>
      <w:iCs/>
      <w:noProof/>
      <w:sz w:val="11"/>
      <w:szCs w:val="11"/>
      <w:shd w:val="clear" w:color="auto" w:fill="FFFFFF"/>
      <w:lang w:val="en-US" w:eastAsia="en-US"/>
    </w:rPr>
  </w:style>
  <w:style w:type="character" w:customStyle="1" w:styleId="191">
    <w:name w:val="Основной текст (19)_"/>
    <w:link w:val="190"/>
    <w:uiPriority w:val="99"/>
    <w:rsid w:val="0014077F"/>
    <w:rPr>
      <w:rFonts w:ascii="Arial" w:eastAsia="Times New Roman" w:hAnsi="Arial"/>
      <w:sz w:val="33"/>
      <w:shd w:val="clear" w:color="auto" w:fill="FFFFFF"/>
    </w:rPr>
  </w:style>
  <w:style w:type="table" w:customStyle="1" w:styleId="1b">
    <w:name w:val="Сетка таблицы светлая1"/>
    <w:basedOn w:val="a1"/>
    <w:uiPriority w:val="40"/>
    <w:rsid w:val="0014077F"/>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232">
    <w:name w:val="Основной текст (23)_"/>
    <w:link w:val="231"/>
    <w:rsid w:val="0014077F"/>
    <w:rPr>
      <w:rFonts w:ascii="Bookman Old Style" w:hAnsi="Bookman Old Style" w:cs="Bookman Old Style"/>
      <w:noProof/>
      <w:sz w:val="8"/>
      <w:szCs w:val="8"/>
      <w:shd w:val="clear" w:color="auto" w:fill="FFFFFF"/>
      <w:lang w:val="en-US" w:eastAsia="en-US"/>
    </w:rPr>
  </w:style>
  <w:style w:type="character" w:customStyle="1" w:styleId="380">
    <w:name w:val="Подпись к таблице (3) + 8"/>
    <w:rsid w:val="0014077F"/>
    <w:rPr>
      <w:rFonts w:ascii="Arial" w:hAnsi="Arial"/>
      <w:b/>
      <w:spacing w:val="10"/>
      <w:sz w:val="17"/>
    </w:rPr>
  </w:style>
  <w:style w:type="character" w:customStyle="1" w:styleId="3MicrosoftSansSerif">
    <w:name w:val="Подпись к таблице (3) + Microsoft Sans Serif"/>
    <w:rsid w:val="0014077F"/>
    <w:rPr>
      <w:rFonts w:ascii="Microsoft Sans Serif" w:hAnsi="Microsoft Sans Serif"/>
      <w:spacing w:val="10"/>
      <w:sz w:val="17"/>
    </w:rPr>
  </w:style>
  <w:style w:type="table" w:styleId="affd">
    <w:name w:val="Table Grid"/>
    <w:basedOn w:val="a1"/>
    <w:uiPriority w:val="39"/>
    <w:rsid w:val="0014077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3">
    <w:name w:val="Основной текст (27)_"/>
    <w:rsid w:val="0014077F"/>
    <w:rPr>
      <w:rFonts w:ascii="Arial" w:eastAsia="Times New Roman" w:hAnsi="Arial" w:cs="Times New Roman"/>
      <w:sz w:val="14"/>
      <w:szCs w:val="20"/>
      <w:shd w:val="clear" w:color="auto" w:fill="FFFFFF"/>
      <w:lang w:eastAsia="ru-RU"/>
    </w:rPr>
  </w:style>
  <w:style w:type="character" w:customStyle="1" w:styleId="262">
    <w:name w:val="Основной текст (26)_"/>
    <w:link w:val="261"/>
    <w:rsid w:val="0014077F"/>
    <w:rPr>
      <w:rFonts w:ascii="Microsoft Sans Serif" w:hAnsi="Microsoft Sans Serif" w:cs="Microsoft Sans Serif"/>
      <w:b/>
      <w:bCs/>
      <w:noProof/>
      <w:sz w:val="26"/>
      <w:szCs w:val="26"/>
      <w:shd w:val="clear" w:color="auto" w:fill="FFFFFF"/>
      <w:lang w:val="en-US" w:eastAsia="en-US"/>
    </w:rPr>
  </w:style>
  <w:style w:type="paragraph" w:customStyle="1" w:styleId="242">
    <w:name w:val="Основной текст (24)"/>
    <w:basedOn w:val="a"/>
    <w:link w:val="243"/>
    <w:rsid w:val="0014077F"/>
    <w:pPr>
      <w:shd w:val="clear" w:color="auto" w:fill="FFFFFF"/>
      <w:overflowPunct w:val="0"/>
      <w:autoSpaceDE w:val="0"/>
      <w:autoSpaceDN w:val="0"/>
      <w:adjustRightInd w:val="0"/>
      <w:spacing w:after="0" w:line="240" w:lineRule="atLeast"/>
      <w:textAlignment w:val="baseline"/>
    </w:pPr>
    <w:rPr>
      <w:rFonts w:ascii="Arial" w:eastAsia="Times New Roman" w:hAnsi="Arial"/>
      <w:sz w:val="21"/>
      <w:szCs w:val="20"/>
      <w:lang w:eastAsia="ru-RU"/>
    </w:rPr>
  </w:style>
  <w:style w:type="character" w:customStyle="1" w:styleId="243">
    <w:name w:val="Основной текст (24)_"/>
    <w:link w:val="242"/>
    <w:rsid w:val="0014077F"/>
    <w:rPr>
      <w:rFonts w:ascii="Arial" w:eastAsia="Times New Roman" w:hAnsi="Arial"/>
      <w:sz w:val="21"/>
      <w:shd w:val="clear" w:color="auto" w:fill="FFFFFF"/>
    </w:rPr>
  </w:style>
  <w:style w:type="table" w:customStyle="1" w:styleId="-11">
    <w:name w:val="Таблица-сетка 1 светлая1"/>
    <w:basedOn w:val="a1"/>
    <w:uiPriority w:val="46"/>
    <w:rsid w:val="0014077F"/>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30">
    <w:name w:val="Заголовок 3 Знак"/>
    <w:link w:val="3"/>
    <w:uiPriority w:val="9"/>
    <w:semiHidden/>
    <w:rsid w:val="00DF0BAC"/>
    <w:rPr>
      <w:rFonts w:ascii="Calibri Light" w:eastAsia="Times New Roman" w:hAnsi="Calibri Light" w:cs="Times New Roman"/>
      <w:b/>
      <w:bCs/>
      <w:sz w:val="26"/>
      <w:szCs w:val="26"/>
      <w:lang w:eastAsia="en-US"/>
    </w:rPr>
  </w:style>
  <w:style w:type="character" w:customStyle="1" w:styleId="ucoz-forum-post">
    <w:name w:val="ucoz-forum-post"/>
    <w:rsid w:val="004C1667"/>
  </w:style>
  <w:style w:type="character" w:customStyle="1" w:styleId="11pt">
    <w:name w:val="Основной текст + 11 pt"/>
    <w:aliases w:val="Полужирный,Интервал -1 pt3,Основной текст + Arial2,92,5 pt29,Полужирный26,Колонтитул + MS Reference Sans Serif3,Основной текст + Segoe UI7,87"/>
    <w:uiPriority w:val="99"/>
    <w:rsid w:val="00735D36"/>
    <w:rPr>
      <w:rFonts w:ascii="Times New Roman" w:hAnsi="Times New Roman" w:cs="Times New Roman"/>
      <w:b/>
      <w:bCs/>
      <w:spacing w:val="-20"/>
      <w:sz w:val="22"/>
      <w:szCs w:val="22"/>
    </w:rPr>
  </w:style>
  <w:style w:type="character" w:customStyle="1" w:styleId="480">
    <w:name w:val="Основной текст + Курсив48"/>
    <w:uiPriority w:val="99"/>
    <w:rsid w:val="00735D36"/>
    <w:rPr>
      <w:rFonts w:ascii="Century Gothic" w:hAnsi="Century Gothic" w:cs="Century Gothic"/>
      <w:i/>
      <w:iCs/>
      <w:spacing w:val="0"/>
      <w:sz w:val="16"/>
      <w:szCs w:val="16"/>
      <w:shd w:val="clear" w:color="auto" w:fill="FFFFFF"/>
    </w:rPr>
  </w:style>
  <w:style w:type="character" w:customStyle="1" w:styleId="3a">
    <w:name w:val="Заголовок №3_"/>
    <w:link w:val="38"/>
    <w:locked/>
    <w:rsid w:val="00E70D80"/>
    <w:rPr>
      <w:rFonts w:ascii="Times New Roman" w:hAnsi="Times New Roman"/>
      <w:spacing w:val="40"/>
      <w:sz w:val="52"/>
      <w:szCs w:val="52"/>
      <w:shd w:val="clear" w:color="auto" w:fill="FFFFFF"/>
      <w:lang w:eastAsia="en-US"/>
    </w:rPr>
  </w:style>
  <w:style w:type="character" w:customStyle="1" w:styleId="ArialNarrow5">
    <w:name w:val="Колонтитул + Arial Narrow5"/>
    <w:aliases w:val="86,5 pt72,Полужирный71,Основной текст + 836,Основной текст + Segoe UI6"/>
    <w:uiPriority w:val="99"/>
    <w:rsid w:val="00A27728"/>
    <w:rPr>
      <w:rFonts w:ascii="Arial Narrow" w:eastAsia="Times New Roman" w:hAnsi="Arial Narrow" w:cs="Arial Narrow"/>
      <w:b/>
      <w:bCs/>
      <w:i w:val="0"/>
      <w:iCs w:val="0"/>
      <w:smallCaps w:val="0"/>
      <w:strike w:val="0"/>
      <w:spacing w:val="0"/>
      <w:sz w:val="17"/>
      <w:szCs w:val="17"/>
      <w:shd w:val="clear" w:color="auto" w:fill="FFFFFF"/>
      <w:lang w:eastAsia="ru-RU"/>
    </w:rPr>
  </w:style>
  <w:style w:type="paragraph" w:customStyle="1" w:styleId="rteindent11">
    <w:name w:val="rteindent11"/>
    <w:basedOn w:val="a"/>
    <w:rsid w:val="00E90813"/>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237">
    <w:name w:val="Основной текст (2) + Не курсив37"/>
    <w:uiPriority w:val="99"/>
    <w:rsid w:val="00D2328C"/>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36">
    <w:name w:val="Основной текст (2) + Не курсив36"/>
    <w:uiPriority w:val="99"/>
    <w:rsid w:val="00D2328C"/>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5d">
    <w:name w:val="Основной текст (5) + Не полужирный"/>
    <w:aliases w:val="Интервал 0 pt6"/>
    <w:rsid w:val="00226974"/>
    <w:rPr>
      <w:rFonts w:ascii="Times New Roman" w:hAnsi="Times New Roman" w:cs="Times New Roman"/>
      <w:b/>
      <w:bCs/>
      <w:i w:val="0"/>
      <w:iCs w:val="0"/>
      <w:spacing w:val="0"/>
      <w:sz w:val="21"/>
      <w:szCs w:val="21"/>
      <w:shd w:val="clear" w:color="auto" w:fill="FFFFFF"/>
    </w:rPr>
  </w:style>
  <w:style w:type="character" w:customStyle="1" w:styleId="132">
    <w:name w:val="Основной текст (13)_"/>
    <w:link w:val="133"/>
    <w:uiPriority w:val="99"/>
    <w:rsid w:val="00F067CF"/>
    <w:rPr>
      <w:rFonts w:ascii="Times New Roman" w:eastAsia="Times New Roman" w:hAnsi="Times New Roman"/>
      <w:sz w:val="26"/>
      <w:szCs w:val="26"/>
      <w:shd w:val="clear" w:color="auto" w:fill="FFFFFF"/>
      <w:lang w:val="en-US"/>
    </w:rPr>
  </w:style>
  <w:style w:type="paragraph" w:customStyle="1" w:styleId="133">
    <w:name w:val="Основной текст (13)"/>
    <w:basedOn w:val="a"/>
    <w:link w:val="132"/>
    <w:uiPriority w:val="99"/>
    <w:rsid w:val="00F067CF"/>
    <w:pPr>
      <w:shd w:val="clear" w:color="auto" w:fill="FFFFFF"/>
      <w:spacing w:before="120" w:after="0" w:line="0" w:lineRule="atLeast"/>
    </w:pPr>
    <w:rPr>
      <w:rFonts w:ascii="Times New Roman" w:eastAsia="Times New Roman" w:hAnsi="Times New Roman"/>
      <w:sz w:val="26"/>
      <w:szCs w:val="26"/>
      <w:lang w:val="en-US" w:eastAsia="ru-RU"/>
    </w:rPr>
  </w:style>
  <w:style w:type="character" w:customStyle="1" w:styleId="41">
    <w:name w:val="Основной текст (4)_"/>
    <w:link w:val="40"/>
    <w:locked/>
    <w:rsid w:val="00F067CF"/>
    <w:rPr>
      <w:rFonts w:ascii="Gungsuh" w:eastAsia="Gungsuh" w:hAnsi="Times New Roman" w:cs="Gungsuh"/>
      <w:sz w:val="13"/>
      <w:szCs w:val="13"/>
      <w:shd w:val="clear" w:color="auto" w:fill="FFFFFF"/>
      <w:lang w:eastAsia="en-US"/>
    </w:rPr>
  </w:style>
  <w:style w:type="character" w:customStyle="1" w:styleId="31pt0">
    <w:name w:val="Заголовок №3 + Интервал 1 pt"/>
    <w:rsid w:val="006F0594"/>
    <w:rPr>
      <w:rFonts w:ascii="Times New Roman" w:hAnsi="Times New Roman" w:cs="Times New Roman"/>
      <w:spacing w:val="20"/>
      <w:sz w:val="20"/>
      <w:szCs w:val="20"/>
      <w:shd w:val="clear" w:color="auto" w:fill="FFFFFF"/>
      <w:lang w:eastAsia="en-US"/>
    </w:rPr>
  </w:style>
  <w:style w:type="paragraph" w:customStyle="1" w:styleId="1010">
    <w:name w:val="Основной текст (10)1"/>
    <w:basedOn w:val="a"/>
    <w:uiPriority w:val="99"/>
    <w:rsid w:val="00604900"/>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30">
    <w:name w:val="Основной текст (10) + Не курсив3"/>
    <w:uiPriority w:val="99"/>
    <w:rsid w:val="00604900"/>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4a">
    <w:name w:val="Основной текст (4) + Не курсив"/>
    <w:rsid w:val="00CA0AAE"/>
    <w:rPr>
      <w:rFonts w:ascii="Arial Narrow" w:eastAsia="Arial Narrow" w:hAnsi="Arial Narrow" w:cs="Arial Narrow"/>
      <w:b w:val="0"/>
      <w:bCs w:val="0"/>
      <w:i/>
      <w:iCs/>
      <w:smallCaps w:val="0"/>
      <w:strike w:val="0"/>
      <w:spacing w:val="0"/>
      <w:sz w:val="18"/>
      <w:szCs w:val="18"/>
      <w:shd w:val="clear" w:color="auto" w:fill="FFFFFF"/>
      <w:lang w:eastAsia="en-US"/>
    </w:rPr>
  </w:style>
  <w:style w:type="character" w:customStyle="1" w:styleId="246">
    <w:name w:val="Основной текст (2) + Не курсив46"/>
    <w:uiPriority w:val="99"/>
    <w:rsid w:val="00257CA1"/>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92">
    <w:name w:val="Основной текст (6) + 92"/>
    <w:aliases w:val="5 pt43,Не курсив10,Интервал 0 pt28,Основной текст (2) + SimHei5,7 pt6"/>
    <w:uiPriority w:val="99"/>
    <w:rsid w:val="00257CA1"/>
    <w:rPr>
      <w:rFonts w:ascii="Arial Narrow" w:eastAsia="Times New Roman" w:hAnsi="Arial Narrow" w:cs="Arial Narrow"/>
      <w:b/>
      <w:bCs/>
      <w:i w:val="0"/>
      <w:iCs w:val="0"/>
      <w:smallCaps w:val="0"/>
      <w:strike w:val="0"/>
      <w:spacing w:val="-10"/>
      <w:sz w:val="19"/>
      <w:szCs w:val="19"/>
      <w:shd w:val="clear" w:color="auto" w:fill="FFFFFF"/>
    </w:rPr>
  </w:style>
  <w:style w:type="character" w:customStyle="1" w:styleId="68">
    <w:name w:val="Основной текст (68)_"/>
    <w:link w:val="680"/>
    <w:rsid w:val="00CF0A5C"/>
    <w:rPr>
      <w:rFonts w:ascii="Courier New" w:hAnsi="Courier New" w:cs="Courier New"/>
      <w:noProof/>
      <w:sz w:val="11"/>
      <w:szCs w:val="11"/>
      <w:shd w:val="clear" w:color="auto" w:fill="FFFFFF"/>
    </w:rPr>
  </w:style>
  <w:style w:type="paragraph" w:customStyle="1" w:styleId="680">
    <w:name w:val="Основной текст (68)"/>
    <w:basedOn w:val="a"/>
    <w:link w:val="68"/>
    <w:rsid w:val="00CF0A5C"/>
    <w:pPr>
      <w:shd w:val="clear" w:color="auto" w:fill="FFFFFF"/>
      <w:spacing w:after="0" w:line="240" w:lineRule="atLeast"/>
    </w:pPr>
    <w:rPr>
      <w:rFonts w:ascii="Courier New" w:hAnsi="Courier New" w:cs="Courier New"/>
      <w:noProof/>
      <w:sz w:val="11"/>
      <w:szCs w:val="11"/>
      <w:lang w:eastAsia="ru-RU"/>
    </w:rPr>
  </w:style>
  <w:style w:type="character" w:customStyle="1" w:styleId="214">
    <w:name w:val="Основной текст (21)_"/>
    <w:link w:val="213"/>
    <w:uiPriority w:val="99"/>
    <w:rsid w:val="00CF0A5C"/>
    <w:rPr>
      <w:rFonts w:ascii="Microsoft Sans Serif" w:hAnsi="Microsoft Sans Serif" w:cs="Microsoft Sans Serif"/>
      <w:b/>
      <w:bCs/>
      <w:i/>
      <w:iCs/>
      <w:noProof/>
      <w:sz w:val="16"/>
      <w:szCs w:val="16"/>
      <w:shd w:val="clear" w:color="auto" w:fill="FFFFFF"/>
      <w:lang w:val="en-US" w:eastAsia="en-US"/>
    </w:rPr>
  </w:style>
  <w:style w:type="character" w:customStyle="1" w:styleId="68-1pt">
    <w:name w:val="Основной текст (68) + Интервал -1 pt"/>
    <w:rsid w:val="00CF0A5C"/>
    <w:rPr>
      <w:rFonts w:ascii="Tahoma" w:eastAsia="Tahoma" w:hAnsi="Tahoma" w:cs="Tahoma"/>
      <w:b w:val="0"/>
      <w:bCs w:val="0"/>
      <w:i w:val="0"/>
      <w:iCs w:val="0"/>
      <w:smallCaps w:val="0"/>
      <w:strike w:val="0"/>
      <w:noProof/>
      <w:spacing w:val="-20"/>
      <w:sz w:val="22"/>
      <w:szCs w:val="22"/>
      <w:shd w:val="clear" w:color="auto" w:fill="FFFFFF"/>
    </w:rPr>
  </w:style>
  <w:style w:type="character" w:customStyle="1" w:styleId="75pt">
    <w:name w:val="Основной текст + 7;5 pt"/>
    <w:rsid w:val="00097788"/>
    <w:rPr>
      <w:rFonts w:ascii="Arial" w:eastAsia="Arial" w:hAnsi="Arial" w:cs="Arial"/>
      <w:b w:val="0"/>
      <w:bCs w:val="0"/>
      <w:i w:val="0"/>
      <w:iCs w:val="0"/>
      <w:smallCaps w:val="0"/>
      <w:strike w:val="0"/>
      <w:spacing w:val="0"/>
      <w:sz w:val="15"/>
      <w:szCs w:val="15"/>
      <w:shd w:val="clear" w:color="auto" w:fill="FFFFFF"/>
    </w:rPr>
  </w:style>
  <w:style w:type="character" w:customStyle="1" w:styleId="95pt-1pt">
    <w:name w:val="Основной текст + 9;5 pt;Полужирный;Интервал -1 pt"/>
    <w:rsid w:val="006810F9"/>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304">
    <w:name w:val="Основной текст + Полужирный30"/>
    <w:uiPriority w:val="99"/>
    <w:rsid w:val="008253AC"/>
    <w:rPr>
      <w:rFonts w:ascii="Arial Narrow" w:hAnsi="Arial Narrow" w:cs="Arial Narrow"/>
      <w:b/>
      <w:bCs/>
      <w:spacing w:val="0"/>
      <w:sz w:val="18"/>
      <w:szCs w:val="18"/>
      <w:shd w:val="clear" w:color="auto" w:fill="FFFFFF"/>
    </w:rPr>
  </w:style>
  <w:style w:type="character" w:customStyle="1" w:styleId="Arial5">
    <w:name w:val="Основной текст + Arial5"/>
    <w:aliases w:val="7 pt3,Полужирный38,Основной текст + SimHei1"/>
    <w:uiPriority w:val="99"/>
    <w:rsid w:val="008253AC"/>
    <w:rPr>
      <w:rFonts w:ascii="Arial" w:hAnsi="Arial" w:cs="Arial"/>
      <w:b/>
      <w:bCs/>
      <w:spacing w:val="0"/>
      <w:sz w:val="14"/>
      <w:szCs w:val="14"/>
      <w:shd w:val="clear" w:color="auto" w:fill="FFFFFF"/>
    </w:rPr>
  </w:style>
  <w:style w:type="character" w:customStyle="1" w:styleId="0pt0">
    <w:name w:val="Основной текст + Полужирный;Интервал 0 pt"/>
    <w:rsid w:val="008253AC"/>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affe">
    <w:name w:val="Основной текст + Полужирный;Курсив"/>
    <w:rsid w:val="008253AC"/>
    <w:rPr>
      <w:rFonts w:ascii="Arial Narrow" w:eastAsia="Arial Narrow" w:hAnsi="Arial Narrow" w:cs="Arial Narrow"/>
      <w:b/>
      <w:bCs/>
      <w:i/>
      <w:iCs/>
      <w:smallCaps w:val="0"/>
      <w:strike w:val="0"/>
      <w:spacing w:val="0"/>
      <w:sz w:val="18"/>
      <w:szCs w:val="18"/>
      <w:shd w:val="clear" w:color="auto" w:fill="FFFFFF"/>
    </w:rPr>
  </w:style>
  <w:style w:type="character" w:customStyle="1" w:styleId="afff">
    <w:name w:val="Оглавление_"/>
    <w:uiPriority w:val="99"/>
    <w:rsid w:val="004758E5"/>
    <w:rPr>
      <w:rFonts w:ascii="Arial Narrow" w:hAnsi="Arial Narrow" w:cs="Arial Narrow"/>
      <w:sz w:val="18"/>
      <w:szCs w:val="18"/>
      <w:shd w:val="clear" w:color="auto" w:fill="FFFFFF"/>
    </w:rPr>
  </w:style>
  <w:style w:type="character" w:customStyle="1" w:styleId="highlight">
    <w:name w:val="highlight"/>
    <w:rsid w:val="00696731"/>
  </w:style>
  <w:style w:type="character" w:customStyle="1" w:styleId="Bodytext14">
    <w:name w:val="Body text (14)_"/>
    <w:link w:val="Bodytext141"/>
    <w:uiPriority w:val="99"/>
    <w:rsid w:val="005D6F1A"/>
    <w:rPr>
      <w:rFonts w:ascii="Times New Roman" w:hAnsi="Times New Roman"/>
      <w:i/>
      <w:iCs/>
      <w:sz w:val="21"/>
      <w:szCs w:val="21"/>
      <w:shd w:val="clear" w:color="auto" w:fill="FFFFFF"/>
    </w:rPr>
  </w:style>
  <w:style w:type="paragraph" w:customStyle="1" w:styleId="Bodytext141">
    <w:name w:val="Body text (14)1"/>
    <w:basedOn w:val="a"/>
    <w:link w:val="Bodytext14"/>
    <w:uiPriority w:val="99"/>
    <w:rsid w:val="005D6F1A"/>
    <w:pPr>
      <w:shd w:val="clear" w:color="auto" w:fill="FFFFFF"/>
      <w:spacing w:after="0" w:line="240" w:lineRule="atLeast"/>
      <w:ind w:hanging="340"/>
    </w:pPr>
    <w:rPr>
      <w:rFonts w:ascii="Times New Roman" w:hAnsi="Times New Roman"/>
      <w:i/>
      <w:iCs/>
      <w:sz w:val="21"/>
      <w:szCs w:val="21"/>
      <w:lang w:eastAsia="ru-RU"/>
    </w:rPr>
  </w:style>
  <w:style w:type="character" w:customStyle="1" w:styleId="Bodytext147">
    <w:name w:val="Body text (14) + 7"/>
    <w:aliases w:val="5 pt94,Not Italic24"/>
    <w:uiPriority w:val="99"/>
    <w:rsid w:val="005D6F1A"/>
    <w:rPr>
      <w:rFonts w:ascii="Times New Roman" w:hAnsi="Times New Roman" w:cs="Times New Roman"/>
      <w:i w:val="0"/>
      <w:iCs w:val="0"/>
      <w:spacing w:val="0"/>
      <w:sz w:val="15"/>
      <w:szCs w:val="15"/>
      <w:shd w:val="clear" w:color="auto" w:fill="FFFFFF"/>
    </w:rPr>
  </w:style>
  <w:style w:type="character" w:customStyle="1" w:styleId="Bodytext">
    <w:name w:val="Body text_"/>
    <w:basedOn w:val="a0"/>
    <w:link w:val="128"/>
    <w:uiPriority w:val="99"/>
    <w:rsid w:val="00F40FA6"/>
    <w:rPr>
      <w:rFonts w:ascii="Times New Roman" w:eastAsia="Times New Roman" w:hAnsi="Times New Roman"/>
      <w:sz w:val="23"/>
      <w:szCs w:val="23"/>
      <w:shd w:val="clear" w:color="auto" w:fill="FFFFFF"/>
    </w:rPr>
  </w:style>
  <w:style w:type="paragraph" w:customStyle="1" w:styleId="128">
    <w:name w:val="Основной текст12"/>
    <w:basedOn w:val="a"/>
    <w:link w:val="Bodytext"/>
    <w:rsid w:val="00F40FA6"/>
    <w:pPr>
      <w:shd w:val="clear" w:color="auto" w:fill="FFFFFF"/>
      <w:spacing w:after="60" w:line="240" w:lineRule="exact"/>
      <w:jc w:val="center"/>
    </w:pPr>
    <w:rPr>
      <w:rFonts w:ascii="Times New Roman" w:eastAsia="Times New Roman" w:hAnsi="Times New Roman"/>
      <w:sz w:val="23"/>
      <w:szCs w:val="23"/>
      <w:lang w:eastAsia="ru-RU"/>
    </w:rPr>
  </w:style>
  <w:style w:type="character" w:customStyle="1" w:styleId="BodytextItalic">
    <w:name w:val="Body text + Italic"/>
    <w:basedOn w:val="Bodytext"/>
    <w:uiPriority w:val="99"/>
    <w:rsid w:val="00FF31A7"/>
    <w:rPr>
      <w:rFonts w:ascii="Times New Roman" w:eastAsia="Times New Roman" w:hAnsi="Times New Roman" w:cs="Times New Roman"/>
      <w:b w:val="0"/>
      <w:bCs w:val="0"/>
      <w:i/>
      <w:iCs/>
      <w:smallCaps w:val="0"/>
      <w:strike w:val="0"/>
      <w:spacing w:val="0"/>
      <w:sz w:val="23"/>
      <w:szCs w:val="23"/>
      <w:shd w:val="clear" w:color="auto" w:fill="FFFFFF"/>
    </w:rPr>
  </w:style>
  <w:style w:type="paragraph" w:customStyle="1" w:styleId="Bodytext1">
    <w:name w:val="Body text1"/>
    <w:basedOn w:val="a"/>
    <w:uiPriority w:val="99"/>
    <w:rsid w:val="00D20661"/>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aff4">
    <w:name w:val="Сноска_"/>
    <w:basedOn w:val="a0"/>
    <w:link w:val="aff3"/>
    <w:rsid w:val="00CD3361"/>
    <w:rPr>
      <w:rFonts w:ascii="Lucida Sans Unicode" w:hAnsi="Lucida Sans Unicode" w:cs="Lucida Sans Unicode"/>
      <w:i/>
      <w:iCs/>
      <w:noProof/>
      <w:sz w:val="13"/>
      <w:szCs w:val="13"/>
      <w:shd w:val="clear" w:color="auto" w:fill="FFFFFF"/>
      <w:lang w:val="en-US" w:eastAsia="en-US"/>
    </w:rPr>
  </w:style>
  <w:style w:type="paragraph" w:customStyle="1" w:styleId="11b">
    <w:name w:val="Основной текст11"/>
    <w:basedOn w:val="a"/>
    <w:rsid w:val="00CD3361"/>
    <w:pPr>
      <w:shd w:val="clear" w:color="auto" w:fill="FFFFFF"/>
      <w:spacing w:after="900" w:line="0" w:lineRule="atLeast"/>
    </w:pPr>
    <w:rPr>
      <w:rFonts w:ascii="Arial Narrow" w:eastAsia="Arial Narrow" w:hAnsi="Arial Narrow" w:cs="Arial Narrow"/>
      <w:color w:val="000000"/>
      <w:sz w:val="17"/>
      <w:szCs w:val="17"/>
      <w:lang w:eastAsia="ru-RU"/>
    </w:rPr>
  </w:style>
  <w:style w:type="paragraph" w:customStyle="1" w:styleId="p1">
    <w:name w:val="p1"/>
    <w:basedOn w:val="a"/>
    <w:rsid w:val="003A67E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233">
    <w:name w:val="Основной текст23"/>
    <w:basedOn w:val="a"/>
    <w:rsid w:val="003A67EC"/>
    <w:pPr>
      <w:shd w:val="clear" w:color="auto" w:fill="FFFFFF"/>
      <w:spacing w:before="480" w:after="180" w:line="0" w:lineRule="atLeast"/>
      <w:ind w:hanging="200"/>
    </w:pPr>
    <w:rPr>
      <w:rFonts w:ascii="Arial Narrow" w:eastAsia="Arial Narrow" w:hAnsi="Arial Narrow" w:cs="Arial Narrow"/>
      <w:color w:val="000000"/>
      <w:sz w:val="18"/>
      <w:szCs w:val="18"/>
      <w:lang w:eastAsia="ru-RU"/>
    </w:rPr>
  </w:style>
  <w:style w:type="paragraph" w:customStyle="1" w:styleId="book-paragraph">
    <w:name w:val="book-paragraph"/>
    <w:basedOn w:val="a"/>
    <w:rsid w:val="0047204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71">
    <w:name w:val="Основной текст17"/>
    <w:basedOn w:val="a"/>
    <w:rsid w:val="00EE2862"/>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character" w:customStyle="1" w:styleId="142">
    <w:name w:val="Заголовок №14_"/>
    <w:basedOn w:val="a0"/>
    <w:link w:val="140"/>
    <w:rsid w:val="00EE2862"/>
    <w:rPr>
      <w:rFonts w:ascii="Tahoma" w:hAnsi="Tahoma" w:cs="Tahoma"/>
      <w:sz w:val="30"/>
      <w:szCs w:val="30"/>
      <w:shd w:val="clear" w:color="auto" w:fill="FFFFFF"/>
      <w:lang w:eastAsia="en-US"/>
    </w:rPr>
  </w:style>
  <w:style w:type="paragraph" w:customStyle="1" w:styleId="5e">
    <w:name w:val="Основной текст5"/>
    <w:basedOn w:val="a"/>
    <w:rsid w:val="00477E8C"/>
    <w:pPr>
      <w:shd w:val="clear" w:color="auto" w:fill="FFFFFF"/>
      <w:spacing w:after="0" w:line="168" w:lineRule="exact"/>
      <w:jc w:val="both"/>
    </w:pPr>
    <w:rPr>
      <w:rFonts w:ascii="Arial" w:eastAsia="Arial" w:hAnsi="Arial" w:cs="Arial"/>
      <w:sz w:val="15"/>
      <w:szCs w:val="15"/>
    </w:rPr>
  </w:style>
  <w:style w:type="character" w:customStyle="1" w:styleId="95pt">
    <w:name w:val="Основной текст + 9;5 pt;Курсив"/>
    <w:basedOn w:val="aff0"/>
    <w:rsid w:val="00E92F20"/>
    <w:rPr>
      <w:rFonts w:ascii="Arial Narrow" w:eastAsia="Arial Narrow" w:hAnsi="Arial Narrow" w:cs="Arial Narrow"/>
      <w:b w:val="0"/>
      <w:bCs w:val="0"/>
      <w:i/>
      <w:iCs/>
      <w:smallCaps w:val="0"/>
      <w:strike w:val="0"/>
      <w:spacing w:val="0"/>
      <w:w w:val="100"/>
      <w:sz w:val="19"/>
      <w:szCs w:val="19"/>
      <w:shd w:val="clear" w:color="auto" w:fill="FFFFFF"/>
      <w:lang w:val="en-US"/>
    </w:rPr>
  </w:style>
  <w:style w:type="paragraph" w:customStyle="1" w:styleId="Pa151">
    <w:name w:val="Pa15+1"/>
    <w:basedOn w:val="a"/>
    <w:next w:val="a"/>
    <w:uiPriority w:val="99"/>
    <w:rsid w:val="0095280D"/>
    <w:pPr>
      <w:autoSpaceDE w:val="0"/>
      <w:autoSpaceDN w:val="0"/>
      <w:adjustRightInd w:val="0"/>
      <w:spacing w:after="0" w:line="201" w:lineRule="atLeast"/>
    </w:pPr>
    <w:rPr>
      <w:rFonts w:ascii="OfficinaSansC" w:eastAsiaTheme="minorHAnsi" w:hAnsi="OfficinaSansC" w:cstheme="minorBidi"/>
      <w:sz w:val="24"/>
      <w:szCs w:val="24"/>
    </w:rPr>
  </w:style>
  <w:style w:type="character" w:styleId="afff0">
    <w:name w:val="annotation reference"/>
    <w:basedOn w:val="a0"/>
    <w:uiPriority w:val="99"/>
    <w:semiHidden/>
    <w:unhideWhenUsed/>
    <w:rsid w:val="00A616D9"/>
    <w:rPr>
      <w:sz w:val="16"/>
      <w:szCs w:val="16"/>
    </w:rPr>
  </w:style>
  <w:style w:type="paragraph" w:styleId="afff1">
    <w:name w:val="annotation text"/>
    <w:basedOn w:val="a"/>
    <w:link w:val="afff2"/>
    <w:uiPriority w:val="99"/>
    <w:semiHidden/>
    <w:unhideWhenUsed/>
    <w:rsid w:val="00A616D9"/>
    <w:pPr>
      <w:spacing w:line="240" w:lineRule="auto"/>
    </w:pPr>
    <w:rPr>
      <w:sz w:val="20"/>
      <w:szCs w:val="20"/>
    </w:rPr>
  </w:style>
  <w:style w:type="character" w:customStyle="1" w:styleId="afff2">
    <w:name w:val="Текст примечания Знак"/>
    <w:basedOn w:val="a0"/>
    <w:link w:val="afff1"/>
    <w:uiPriority w:val="99"/>
    <w:semiHidden/>
    <w:rsid w:val="00A616D9"/>
    <w:rPr>
      <w:lang w:eastAsia="en-US"/>
    </w:rPr>
  </w:style>
  <w:style w:type="paragraph" w:styleId="afff3">
    <w:name w:val="annotation subject"/>
    <w:basedOn w:val="afff1"/>
    <w:next w:val="afff1"/>
    <w:link w:val="afff4"/>
    <w:uiPriority w:val="99"/>
    <w:semiHidden/>
    <w:unhideWhenUsed/>
    <w:rsid w:val="00A616D9"/>
    <w:rPr>
      <w:b/>
      <w:bCs/>
    </w:rPr>
  </w:style>
  <w:style w:type="character" w:customStyle="1" w:styleId="afff4">
    <w:name w:val="Тема примечания Знак"/>
    <w:basedOn w:val="afff2"/>
    <w:link w:val="afff3"/>
    <w:uiPriority w:val="99"/>
    <w:semiHidden/>
    <w:rsid w:val="00A616D9"/>
    <w:rPr>
      <w:b/>
      <w:bCs/>
      <w:lang w:eastAsia="en-US"/>
    </w:rPr>
  </w:style>
  <w:style w:type="paragraph" w:styleId="afff5">
    <w:name w:val="Revision"/>
    <w:hidden/>
    <w:uiPriority w:val="99"/>
    <w:semiHidden/>
    <w:rsid w:val="00A616D9"/>
    <w:rPr>
      <w:sz w:val="22"/>
      <w:szCs w:val="22"/>
      <w:lang w:eastAsia="en-US"/>
    </w:rPr>
  </w:style>
  <w:style w:type="character" w:customStyle="1" w:styleId="28pt100">
    <w:name w:val="Основной текст (2) + 8 pt;Не курсив;Масштаб 100%"/>
    <w:basedOn w:val="2f"/>
    <w:rsid w:val="007C10B0"/>
    <w:rPr>
      <w:rFonts w:ascii="Trebuchet MS" w:eastAsia="Trebuchet MS" w:hAnsi="Trebuchet MS" w:cs="Trebuchet MS"/>
      <w:b w:val="0"/>
      <w:bCs w:val="0"/>
      <w:i/>
      <w:iCs/>
      <w:smallCaps w:val="0"/>
      <w:strike w:val="0"/>
      <w:spacing w:val="0"/>
      <w:w w:val="100"/>
      <w:sz w:val="16"/>
      <w:szCs w:val="16"/>
      <w:shd w:val="clear" w:color="auto" w:fill="FFFFFF"/>
    </w:rPr>
  </w:style>
  <w:style w:type="character" w:customStyle="1" w:styleId="700">
    <w:name w:val="Основной текст70"/>
    <w:basedOn w:val="aff0"/>
    <w:rsid w:val="004905A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7">
    <w:name w:val="Основной текст87"/>
    <w:basedOn w:val="aff0"/>
    <w:rsid w:val="004905AC"/>
    <w:rPr>
      <w:rFonts w:ascii="Segoe UI" w:eastAsia="Segoe UI" w:hAnsi="Segoe UI" w:cs="Segoe UI"/>
      <w:b w:val="0"/>
      <w:bCs w:val="0"/>
      <w:i w:val="0"/>
      <w:iCs w:val="0"/>
      <w:smallCaps w:val="0"/>
      <w:strike w:val="0"/>
      <w:spacing w:val="0"/>
      <w:sz w:val="14"/>
      <w:szCs w:val="14"/>
      <w:shd w:val="clear" w:color="auto" w:fill="FFFFFF"/>
    </w:rPr>
  </w:style>
  <w:style w:type="character" w:customStyle="1" w:styleId="451">
    <w:name w:val="Основной текст (45)"/>
    <w:basedOn w:val="a0"/>
    <w:rsid w:val="004905AC"/>
    <w:rPr>
      <w:rFonts w:ascii="Franklin Gothic Book" w:eastAsia="Franklin Gothic Book" w:hAnsi="Franklin Gothic Book" w:cs="Franklin Gothic Book"/>
      <w:b w:val="0"/>
      <w:bCs w:val="0"/>
      <w:i w:val="0"/>
      <w:iCs w:val="0"/>
      <w:smallCaps w:val="0"/>
      <w:strike w:val="0"/>
      <w:spacing w:val="-20"/>
      <w:sz w:val="106"/>
      <w:szCs w:val="106"/>
    </w:rPr>
  </w:style>
  <w:style w:type="paragraph" w:customStyle="1" w:styleId="article-renderblock">
    <w:name w:val="article-render__block"/>
    <w:basedOn w:val="a"/>
    <w:rsid w:val="001A7DB7"/>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770">
    <w:name w:val="Основной текст77"/>
    <w:basedOn w:val="aff0"/>
    <w:rsid w:val="007B54E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0">
    <w:name w:val="Основной текст76"/>
    <w:basedOn w:val="aff0"/>
    <w:rsid w:val="00B2259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affa">
    <w:name w:val="Подпись к картинке_"/>
    <w:basedOn w:val="a0"/>
    <w:link w:val="aff9"/>
    <w:rsid w:val="00D91883"/>
    <w:rPr>
      <w:rFonts w:ascii="MS Reference Sans Serif" w:hAnsi="MS Reference Sans Serif" w:cs="MS Reference Sans Serif"/>
      <w:b/>
      <w:bCs/>
      <w:sz w:val="13"/>
      <w:szCs w:val="13"/>
      <w:shd w:val="clear" w:color="auto" w:fill="FFFFFF"/>
      <w:lang w:eastAsia="en-US"/>
    </w:rPr>
  </w:style>
  <w:style w:type="character" w:customStyle="1" w:styleId="122">
    <w:name w:val="Основной текст (12)_"/>
    <w:basedOn w:val="a0"/>
    <w:link w:val="121"/>
    <w:rsid w:val="00B600A9"/>
    <w:rPr>
      <w:rFonts w:ascii="MS Reference Sans Serif" w:hAnsi="MS Reference Sans Serif" w:cs="MS Reference Sans Serif"/>
      <w:b/>
      <w:bCs/>
      <w:sz w:val="13"/>
      <w:szCs w:val="13"/>
      <w:shd w:val="clear" w:color="auto" w:fill="FFFFFF"/>
      <w:lang w:eastAsia="en-US"/>
    </w:rPr>
  </w:style>
  <w:style w:type="character" w:customStyle="1" w:styleId="681">
    <w:name w:val="Основной текст68"/>
    <w:basedOn w:val="aff0"/>
    <w:rsid w:val="000567A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
    <w:name w:val="Основной текст85"/>
    <w:basedOn w:val="a"/>
    <w:rsid w:val="000567A2"/>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
    <w:name w:val="Основной текст69"/>
    <w:basedOn w:val="aff0"/>
    <w:rsid w:val="000567A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7a">
    <w:name w:val="Основной текст7"/>
    <w:basedOn w:val="a"/>
    <w:rsid w:val="00B97444"/>
    <w:pPr>
      <w:shd w:val="clear" w:color="auto" w:fill="FFFFFF"/>
      <w:spacing w:before="180" w:after="0" w:line="0" w:lineRule="atLeast"/>
    </w:pPr>
    <w:rPr>
      <w:rFonts w:ascii="Segoe UI" w:eastAsia="Segoe UI" w:hAnsi="Segoe UI" w:cs="Segoe UI"/>
      <w:color w:val="000000"/>
      <w:sz w:val="16"/>
      <w:szCs w:val="16"/>
      <w:lang w:val="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7156059">
      <w:bodyDiv w:val="1"/>
      <w:marLeft w:val="0"/>
      <w:marRight w:val="0"/>
      <w:marTop w:val="0"/>
      <w:marBottom w:val="0"/>
      <w:divBdr>
        <w:top w:val="none" w:sz="0" w:space="0" w:color="auto"/>
        <w:left w:val="none" w:sz="0" w:space="0" w:color="auto"/>
        <w:bottom w:val="none" w:sz="0" w:space="0" w:color="auto"/>
        <w:right w:val="none" w:sz="0" w:space="0" w:color="auto"/>
      </w:divBdr>
      <w:divsChild>
        <w:div w:id="366953243">
          <w:marLeft w:val="0"/>
          <w:marRight w:val="0"/>
          <w:marTop w:val="0"/>
          <w:marBottom w:val="0"/>
          <w:divBdr>
            <w:top w:val="none" w:sz="0" w:space="0" w:color="auto"/>
            <w:left w:val="none" w:sz="0" w:space="0" w:color="auto"/>
            <w:bottom w:val="none" w:sz="0" w:space="0" w:color="auto"/>
            <w:right w:val="none" w:sz="0" w:space="0" w:color="auto"/>
          </w:divBdr>
          <w:divsChild>
            <w:div w:id="1248812039">
              <w:marLeft w:val="0"/>
              <w:marRight w:val="0"/>
              <w:marTop w:val="0"/>
              <w:marBottom w:val="0"/>
              <w:divBdr>
                <w:top w:val="none" w:sz="0" w:space="0" w:color="auto"/>
                <w:left w:val="none" w:sz="0" w:space="0" w:color="auto"/>
                <w:bottom w:val="none" w:sz="0" w:space="0" w:color="auto"/>
                <w:right w:val="none" w:sz="0" w:space="0" w:color="auto"/>
              </w:divBdr>
              <w:divsChild>
                <w:div w:id="1613173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0503349">
      <w:bodyDiv w:val="1"/>
      <w:marLeft w:val="0"/>
      <w:marRight w:val="0"/>
      <w:marTop w:val="0"/>
      <w:marBottom w:val="0"/>
      <w:divBdr>
        <w:top w:val="none" w:sz="0" w:space="0" w:color="auto"/>
        <w:left w:val="none" w:sz="0" w:space="0" w:color="auto"/>
        <w:bottom w:val="none" w:sz="0" w:space="0" w:color="auto"/>
        <w:right w:val="none" w:sz="0" w:space="0" w:color="auto"/>
      </w:divBdr>
      <w:divsChild>
        <w:div w:id="1811629926">
          <w:marLeft w:val="0"/>
          <w:marRight w:val="0"/>
          <w:marTop w:val="0"/>
          <w:marBottom w:val="0"/>
          <w:divBdr>
            <w:top w:val="none" w:sz="0" w:space="0" w:color="auto"/>
            <w:left w:val="none" w:sz="0" w:space="0" w:color="auto"/>
            <w:bottom w:val="none" w:sz="0" w:space="0" w:color="auto"/>
            <w:right w:val="none" w:sz="0" w:space="0" w:color="auto"/>
          </w:divBdr>
          <w:divsChild>
            <w:div w:id="908149787">
              <w:marLeft w:val="0"/>
              <w:marRight w:val="0"/>
              <w:marTop w:val="0"/>
              <w:marBottom w:val="0"/>
              <w:divBdr>
                <w:top w:val="none" w:sz="0" w:space="0" w:color="auto"/>
                <w:left w:val="none" w:sz="0" w:space="0" w:color="auto"/>
                <w:bottom w:val="none" w:sz="0" w:space="0" w:color="auto"/>
                <w:right w:val="none" w:sz="0" w:space="0" w:color="auto"/>
              </w:divBdr>
              <w:divsChild>
                <w:div w:id="1120419482">
                  <w:marLeft w:val="0"/>
                  <w:marRight w:val="0"/>
                  <w:marTop w:val="0"/>
                  <w:marBottom w:val="0"/>
                  <w:divBdr>
                    <w:top w:val="none" w:sz="0" w:space="0" w:color="auto"/>
                    <w:left w:val="none" w:sz="0" w:space="0" w:color="auto"/>
                    <w:bottom w:val="none" w:sz="0" w:space="0" w:color="auto"/>
                    <w:right w:val="none" w:sz="0" w:space="0" w:color="auto"/>
                  </w:divBdr>
                  <w:divsChild>
                    <w:div w:id="1298072665">
                      <w:marLeft w:val="0"/>
                      <w:marRight w:val="0"/>
                      <w:marTop w:val="0"/>
                      <w:marBottom w:val="0"/>
                      <w:divBdr>
                        <w:top w:val="none" w:sz="0" w:space="0" w:color="auto"/>
                        <w:left w:val="none" w:sz="0" w:space="0" w:color="auto"/>
                        <w:bottom w:val="none" w:sz="0" w:space="0" w:color="auto"/>
                        <w:right w:val="none" w:sz="0" w:space="0" w:color="auto"/>
                      </w:divBdr>
                      <w:divsChild>
                        <w:div w:id="191917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5665953">
      <w:bodyDiv w:val="1"/>
      <w:marLeft w:val="0"/>
      <w:marRight w:val="0"/>
      <w:marTop w:val="0"/>
      <w:marBottom w:val="0"/>
      <w:divBdr>
        <w:top w:val="none" w:sz="0" w:space="0" w:color="auto"/>
        <w:left w:val="none" w:sz="0" w:space="0" w:color="auto"/>
        <w:bottom w:val="none" w:sz="0" w:space="0" w:color="auto"/>
        <w:right w:val="none" w:sz="0" w:space="0" w:color="auto"/>
      </w:divBdr>
      <w:divsChild>
        <w:div w:id="1829055549">
          <w:marLeft w:val="0"/>
          <w:marRight w:val="0"/>
          <w:marTop w:val="0"/>
          <w:marBottom w:val="0"/>
          <w:divBdr>
            <w:top w:val="none" w:sz="0" w:space="0" w:color="auto"/>
            <w:left w:val="none" w:sz="0" w:space="0" w:color="auto"/>
            <w:bottom w:val="none" w:sz="0" w:space="0" w:color="auto"/>
            <w:right w:val="none" w:sz="0" w:space="0" w:color="auto"/>
          </w:divBdr>
          <w:divsChild>
            <w:div w:id="1787968399">
              <w:marLeft w:val="0"/>
              <w:marRight w:val="0"/>
              <w:marTop w:val="0"/>
              <w:marBottom w:val="0"/>
              <w:divBdr>
                <w:top w:val="none" w:sz="0" w:space="0" w:color="auto"/>
                <w:left w:val="none" w:sz="0" w:space="0" w:color="auto"/>
                <w:bottom w:val="none" w:sz="0" w:space="0" w:color="auto"/>
                <w:right w:val="none" w:sz="0" w:space="0" w:color="auto"/>
              </w:divBdr>
              <w:divsChild>
                <w:div w:id="1943998701">
                  <w:marLeft w:val="0"/>
                  <w:marRight w:val="0"/>
                  <w:marTop w:val="0"/>
                  <w:marBottom w:val="0"/>
                  <w:divBdr>
                    <w:top w:val="none" w:sz="0" w:space="0" w:color="auto"/>
                    <w:left w:val="none" w:sz="0" w:space="0" w:color="auto"/>
                    <w:bottom w:val="none" w:sz="0" w:space="0" w:color="auto"/>
                    <w:right w:val="none" w:sz="0" w:space="0" w:color="auto"/>
                  </w:divBdr>
                  <w:divsChild>
                    <w:div w:id="2004581758">
                      <w:marLeft w:val="0"/>
                      <w:marRight w:val="0"/>
                      <w:marTop w:val="0"/>
                      <w:marBottom w:val="0"/>
                      <w:divBdr>
                        <w:top w:val="none" w:sz="0" w:space="0" w:color="auto"/>
                        <w:left w:val="none" w:sz="0" w:space="0" w:color="auto"/>
                        <w:bottom w:val="none" w:sz="0" w:space="0" w:color="auto"/>
                        <w:right w:val="none" w:sz="0" w:space="0" w:color="auto"/>
                      </w:divBdr>
                      <w:divsChild>
                        <w:div w:id="2005039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5346746">
      <w:bodyDiv w:val="1"/>
      <w:marLeft w:val="0"/>
      <w:marRight w:val="0"/>
      <w:marTop w:val="0"/>
      <w:marBottom w:val="0"/>
      <w:divBdr>
        <w:top w:val="none" w:sz="0" w:space="0" w:color="auto"/>
        <w:left w:val="none" w:sz="0" w:space="0" w:color="auto"/>
        <w:bottom w:val="none" w:sz="0" w:space="0" w:color="auto"/>
        <w:right w:val="none" w:sz="0" w:space="0" w:color="auto"/>
      </w:divBdr>
      <w:divsChild>
        <w:div w:id="1744984802">
          <w:marLeft w:val="0"/>
          <w:marRight w:val="0"/>
          <w:marTop w:val="0"/>
          <w:marBottom w:val="0"/>
          <w:divBdr>
            <w:top w:val="none" w:sz="0" w:space="0" w:color="auto"/>
            <w:left w:val="none" w:sz="0" w:space="0" w:color="auto"/>
            <w:bottom w:val="none" w:sz="0" w:space="0" w:color="auto"/>
            <w:right w:val="none" w:sz="0" w:space="0" w:color="auto"/>
          </w:divBdr>
          <w:divsChild>
            <w:div w:id="839394052">
              <w:marLeft w:val="0"/>
              <w:marRight w:val="0"/>
              <w:marTop w:val="0"/>
              <w:marBottom w:val="0"/>
              <w:divBdr>
                <w:top w:val="none" w:sz="0" w:space="0" w:color="auto"/>
                <w:left w:val="none" w:sz="0" w:space="0" w:color="auto"/>
                <w:bottom w:val="none" w:sz="0" w:space="0" w:color="auto"/>
                <w:right w:val="none" w:sz="0" w:space="0" w:color="auto"/>
              </w:divBdr>
              <w:divsChild>
                <w:div w:id="818620106">
                  <w:marLeft w:val="0"/>
                  <w:marRight w:val="0"/>
                  <w:marTop w:val="0"/>
                  <w:marBottom w:val="0"/>
                  <w:divBdr>
                    <w:top w:val="none" w:sz="0" w:space="0" w:color="auto"/>
                    <w:left w:val="none" w:sz="0" w:space="0" w:color="auto"/>
                    <w:bottom w:val="none" w:sz="0" w:space="0" w:color="auto"/>
                    <w:right w:val="none" w:sz="0" w:space="0" w:color="auto"/>
                  </w:divBdr>
                  <w:divsChild>
                    <w:div w:id="1523010773">
                      <w:marLeft w:val="0"/>
                      <w:marRight w:val="0"/>
                      <w:marTop w:val="0"/>
                      <w:marBottom w:val="0"/>
                      <w:divBdr>
                        <w:top w:val="none" w:sz="0" w:space="0" w:color="auto"/>
                        <w:left w:val="none" w:sz="0" w:space="0" w:color="auto"/>
                        <w:bottom w:val="none" w:sz="0" w:space="0" w:color="auto"/>
                        <w:right w:val="none" w:sz="0" w:space="0" w:color="auto"/>
                      </w:divBdr>
                      <w:divsChild>
                        <w:div w:id="1050543617">
                          <w:marLeft w:val="0"/>
                          <w:marRight w:val="0"/>
                          <w:marTop w:val="0"/>
                          <w:marBottom w:val="0"/>
                          <w:divBdr>
                            <w:top w:val="none" w:sz="0" w:space="0" w:color="auto"/>
                            <w:left w:val="none" w:sz="0" w:space="0" w:color="auto"/>
                            <w:bottom w:val="none" w:sz="0" w:space="0" w:color="auto"/>
                            <w:right w:val="none" w:sz="0" w:space="0" w:color="auto"/>
                          </w:divBdr>
                          <w:divsChild>
                            <w:div w:id="333921843">
                              <w:marLeft w:val="0"/>
                              <w:marRight w:val="0"/>
                              <w:marTop w:val="0"/>
                              <w:marBottom w:val="0"/>
                              <w:divBdr>
                                <w:top w:val="none" w:sz="0" w:space="0" w:color="auto"/>
                                <w:left w:val="none" w:sz="0" w:space="0" w:color="auto"/>
                                <w:bottom w:val="none" w:sz="0" w:space="0" w:color="auto"/>
                                <w:right w:val="none" w:sz="0" w:space="0" w:color="auto"/>
                              </w:divBdr>
                              <w:divsChild>
                                <w:div w:id="870071534">
                                  <w:marLeft w:val="0"/>
                                  <w:marRight w:val="0"/>
                                  <w:marTop w:val="0"/>
                                  <w:marBottom w:val="0"/>
                                  <w:divBdr>
                                    <w:top w:val="none" w:sz="0" w:space="0" w:color="auto"/>
                                    <w:left w:val="none" w:sz="0" w:space="0" w:color="auto"/>
                                    <w:bottom w:val="none" w:sz="0" w:space="0" w:color="auto"/>
                                    <w:right w:val="none" w:sz="0" w:space="0" w:color="auto"/>
                                  </w:divBdr>
                                  <w:divsChild>
                                    <w:div w:id="638190323">
                                      <w:marLeft w:val="0"/>
                                      <w:marRight w:val="0"/>
                                      <w:marTop w:val="0"/>
                                      <w:marBottom w:val="0"/>
                                      <w:divBdr>
                                        <w:top w:val="none" w:sz="0" w:space="0" w:color="auto"/>
                                        <w:left w:val="none" w:sz="0" w:space="0" w:color="auto"/>
                                        <w:bottom w:val="none" w:sz="0" w:space="0" w:color="auto"/>
                                        <w:right w:val="none" w:sz="0" w:space="0" w:color="auto"/>
                                      </w:divBdr>
                                      <w:divsChild>
                                        <w:div w:id="967395798">
                                          <w:marLeft w:val="0"/>
                                          <w:marRight w:val="0"/>
                                          <w:marTop w:val="0"/>
                                          <w:marBottom w:val="0"/>
                                          <w:divBdr>
                                            <w:top w:val="none" w:sz="0" w:space="0" w:color="auto"/>
                                            <w:left w:val="none" w:sz="0" w:space="0" w:color="auto"/>
                                            <w:bottom w:val="none" w:sz="0" w:space="0" w:color="auto"/>
                                            <w:right w:val="none" w:sz="0" w:space="0" w:color="auto"/>
                                          </w:divBdr>
                                          <w:divsChild>
                                            <w:div w:id="387650426">
                                              <w:marLeft w:val="0"/>
                                              <w:marRight w:val="0"/>
                                              <w:marTop w:val="0"/>
                                              <w:marBottom w:val="0"/>
                                              <w:divBdr>
                                                <w:top w:val="none" w:sz="0" w:space="0" w:color="auto"/>
                                                <w:left w:val="none" w:sz="0" w:space="0" w:color="auto"/>
                                                <w:bottom w:val="none" w:sz="0" w:space="0" w:color="auto"/>
                                                <w:right w:val="none" w:sz="0" w:space="0" w:color="auto"/>
                                              </w:divBdr>
                                              <w:divsChild>
                                                <w:div w:id="2027629555">
                                                  <w:marLeft w:val="0"/>
                                                  <w:marRight w:val="0"/>
                                                  <w:marTop w:val="0"/>
                                                  <w:marBottom w:val="0"/>
                                                  <w:divBdr>
                                                    <w:top w:val="none" w:sz="0" w:space="0" w:color="auto"/>
                                                    <w:left w:val="none" w:sz="0" w:space="0" w:color="auto"/>
                                                    <w:bottom w:val="none" w:sz="0" w:space="0" w:color="auto"/>
                                                    <w:right w:val="none" w:sz="0" w:space="0" w:color="auto"/>
                                                  </w:divBdr>
                                                  <w:divsChild>
                                                    <w:div w:id="361592857">
                                                      <w:marLeft w:val="0"/>
                                                      <w:marRight w:val="0"/>
                                                      <w:marTop w:val="0"/>
                                                      <w:marBottom w:val="0"/>
                                                      <w:divBdr>
                                                        <w:top w:val="none" w:sz="0" w:space="0" w:color="auto"/>
                                                        <w:left w:val="none" w:sz="0" w:space="0" w:color="auto"/>
                                                        <w:bottom w:val="none" w:sz="0" w:space="0" w:color="auto"/>
                                                        <w:right w:val="none" w:sz="0" w:space="0" w:color="auto"/>
                                                      </w:divBdr>
                                                      <w:divsChild>
                                                        <w:div w:id="65340664">
                                                          <w:marLeft w:val="0"/>
                                                          <w:marRight w:val="0"/>
                                                          <w:marTop w:val="0"/>
                                                          <w:marBottom w:val="0"/>
                                                          <w:divBdr>
                                                            <w:top w:val="none" w:sz="0" w:space="0" w:color="auto"/>
                                                            <w:left w:val="none" w:sz="0" w:space="0" w:color="auto"/>
                                                            <w:bottom w:val="none" w:sz="0" w:space="0" w:color="auto"/>
                                                            <w:right w:val="none" w:sz="0" w:space="0" w:color="auto"/>
                                                          </w:divBdr>
                                                          <w:divsChild>
                                                            <w:div w:id="754866836">
                                                              <w:marLeft w:val="0"/>
                                                              <w:marRight w:val="0"/>
                                                              <w:marTop w:val="0"/>
                                                              <w:marBottom w:val="0"/>
                                                              <w:divBdr>
                                                                <w:top w:val="none" w:sz="0" w:space="0" w:color="auto"/>
                                                                <w:left w:val="none" w:sz="0" w:space="0" w:color="auto"/>
                                                                <w:bottom w:val="none" w:sz="0" w:space="0" w:color="auto"/>
                                                                <w:right w:val="none" w:sz="0" w:space="0" w:color="auto"/>
                                                              </w:divBdr>
                                                              <w:divsChild>
                                                                <w:div w:id="1873221564">
                                                                  <w:marLeft w:val="0"/>
                                                                  <w:marRight w:val="0"/>
                                                                  <w:marTop w:val="0"/>
                                                                  <w:marBottom w:val="0"/>
                                                                  <w:divBdr>
                                                                    <w:top w:val="none" w:sz="0" w:space="0" w:color="auto"/>
                                                                    <w:left w:val="none" w:sz="0" w:space="0" w:color="auto"/>
                                                                    <w:bottom w:val="none" w:sz="0" w:space="0" w:color="auto"/>
                                                                    <w:right w:val="none" w:sz="0" w:space="0" w:color="auto"/>
                                                                  </w:divBdr>
                                                                </w:div>
                                                                <w:div w:id="556282414">
                                                                  <w:marLeft w:val="0"/>
                                                                  <w:marRight w:val="0"/>
                                                                  <w:marTop w:val="0"/>
                                                                  <w:marBottom w:val="0"/>
                                                                  <w:divBdr>
                                                                    <w:top w:val="none" w:sz="0" w:space="0" w:color="auto"/>
                                                                    <w:left w:val="none" w:sz="0" w:space="0" w:color="auto"/>
                                                                    <w:bottom w:val="none" w:sz="0" w:space="0" w:color="auto"/>
                                                                    <w:right w:val="none" w:sz="0" w:space="0" w:color="auto"/>
                                                                  </w:divBdr>
                                                                </w:div>
                                                                <w:div w:id="571812618">
                                                                  <w:marLeft w:val="0"/>
                                                                  <w:marRight w:val="0"/>
                                                                  <w:marTop w:val="0"/>
                                                                  <w:marBottom w:val="0"/>
                                                                  <w:divBdr>
                                                                    <w:top w:val="none" w:sz="0" w:space="0" w:color="auto"/>
                                                                    <w:left w:val="none" w:sz="0" w:space="0" w:color="auto"/>
                                                                    <w:bottom w:val="none" w:sz="0" w:space="0" w:color="auto"/>
                                                                    <w:right w:val="none" w:sz="0" w:space="0" w:color="auto"/>
                                                                  </w:divBdr>
                                                                </w:div>
                                                                <w:div w:id="925068566">
                                                                  <w:marLeft w:val="0"/>
                                                                  <w:marRight w:val="0"/>
                                                                  <w:marTop w:val="0"/>
                                                                  <w:marBottom w:val="0"/>
                                                                  <w:divBdr>
                                                                    <w:top w:val="none" w:sz="0" w:space="0" w:color="auto"/>
                                                                    <w:left w:val="none" w:sz="0" w:space="0" w:color="auto"/>
                                                                    <w:bottom w:val="none" w:sz="0" w:space="0" w:color="auto"/>
                                                                    <w:right w:val="none" w:sz="0" w:space="0" w:color="auto"/>
                                                                  </w:divBdr>
                                                                </w:div>
                                                                <w:div w:id="237256362">
                                                                  <w:marLeft w:val="0"/>
                                                                  <w:marRight w:val="0"/>
                                                                  <w:marTop w:val="0"/>
                                                                  <w:marBottom w:val="0"/>
                                                                  <w:divBdr>
                                                                    <w:top w:val="none" w:sz="0" w:space="0" w:color="auto"/>
                                                                    <w:left w:val="none" w:sz="0" w:space="0" w:color="auto"/>
                                                                    <w:bottom w:val="none" w:sz="0" w:space="0" w:color="auto"/>
                                                                    <w:right w:val="none" w:sz="0" w:space="0" w:color="auto"/>
                                                                  </w:divBdr>
                                                                </w:div>
                                                                <w:div w:id="399793004">
                                                                  <w:marLeft w:val="0"/>
                                                                  <w:marRight w:val="0"/>
                                                                  <w:marTop w:val="0"/>
                                                                  <w:marBottom w:val="0"/>
                                                                  <w:divBdr>
                                                                    <w:top w:val="none" w:sz="0" w:space="0" w:color="auto"/>
                                                                    <w:left w:val="none" w:sz="0" w:space="0" w:color="auto"/>
                                                                    <w:bottom w:val="none" w:sz="0" w:space="0" w:color="auto"/>
                                                                    <w:right w:val="none" w:sz="0" w:space="0" w:color="auto"/>
                                                                  </w:divBdr>
                                                                </w:div>
                                                                <w:div w:id="1798176985">
                                                                  <w:marLeft w:val="0"/>
                                                                  <w:marRight w:val="0"/>
                                                                  <w:marTop w:val="0"/>
                                                                  <w:marBottom w:val="0"/>
                                                                  <w:divBdr>
                                                                    <w:top w:val="none" w:sz="0" w:space="0" w:color="auto"/>
                                                                    <w:left w:val="none" w:sz="0" w:space="0" w:color="auto"/>
                                                                    <w:bottom w:val="none" w:sz="0" w:space="0" w:color="auto"/>
                                                                    <w:right w:val="none" w:sz="0" w:space="0" w:color="auto"/>
                                                                  </w:divBdr>
                                                                </w:div>
                                                                <w:div w:id="161511933">
                                                                  <w:marLeft w:val="0"/>
                                                                  <w:marRight w:val="0"/>
                                                                  <w:marTop w:val="0"/>
                                                                  <w:marBottom w:val="0"/>
                                                                  <w:divBdr>
                                                                    <w:top w:val="none" w:sz="0" w:space="0" w:color="auto"/>
                                                                    <w:left w:val="none" w:sz="0" w:space="0" w:color="auto"/>
                                                                    <w:bottom w:val="none" w:sz="0" w:space="0" w:color="auto"/>
                                                                    <w:right w:val="none" w:sz="0" w:space="0" w:color="auto"/>
                                                                  </w:divBdr>
                                                                </w:div>
                                                                <w:div w:id="318846916">
                                                                  <w:marLeft w:val="0"/>
                                                                  <w:marRight w:val="0"/>
                                                                  <w:marTop w:val="0"/>
                                                                  <w:marBottom w:val="0"/>
                                                                  <w:divBdr>
                                                                    <w:top w:val="none" w:sz="0" w:space="0" w:color="auto"/>
                                                                    <w:left w:val="none" w:sz="0" w:space="0" w:color="auto"/>
                                                                    <w:bottom w:val="none" w:sz="0" w:space="0" w:color="auto"/>
                                                                    <w:right w:val="none" w:sz="0" w:space="0" w:color="auto"/>
                                                                  </w:divBdr>
                                                                </w:div>
                                                                <w:div w:id="63721357">
                                                                  <w:marLeft w:val="0"/>
                                                                  <w:marRight w:val="0"/>
                                                                  <w:marTop w:val="0"/>
                                                                  <w:marBottom w:val="0"/>
                                                                  <w:divBdr>
                                                                    <w:top w:val="none" w:sz="0" w:space="0" w:color="auto"/>
                                                                    <w:left w:val="none" w:sz="0" w:space="0" w:color="auto"/>
                                                                    <w:bottom w:val="none" w:sz="0" w:space="0" w:color="auto"/>
                                                                    <w:right w:val="none" w:sz="0" w:space="0" w:color="auto"/>
                                                                  </w:divBdr>
                                                                </w:div>
                                                                <w:div w:id="2088722364">
                                                                  <w:marLeft w:val="0"/>
                                                                  <w:marRight w:val="0"/>
                                                                  <w:marTop w:val="0"/>
                                                                  <w:marBottom w:val="0"/>
                                                                  <w:divBdr>
                                                                    <w:top w:val="none" w:sz="0" w:space="0" w:color="auto"/>
                                                                    <w:left w:val="none" w:sz="0" w:space="0" w:color="auto"/>
                                                                    <w:bottom w:val="none" w:sz="0" w:space="0" w:color="auto"/>
                                                                    <w:right w:val="none" w:sz="0" w:space="0" w:color="auto"/>
                                                                  </w:divBdr>
                                                                </w:div>
                                                                <w:div w:id="1124737659">
                                                                  <w:marLeft w:val="0"/>
                                                                  <w:marRight w:val="0"/>
                                                                  <w:marTop w:val="0"/>
                                                                  <w:marBottom w:val="0"/>
                                                                  <w:divBdr>
                                                                    <w:top w:val="none" w:sz="0" w:space="0" w:color="auto"/>
                                                                    <w:left w:val="none" w:sz="0" w:space="0" w:color="auto"/>
                                                                    <w:bottom w:val="none" w:sz="0" w:space="0" w:color="auto"/>
                                                                    <w:right w:val="none" w:sz="0" w:space="0" w:color="auto"/>
                                                                  </w:divBdr>
                                                                </w:div>
                                                                <w:div w:id="1837109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761102353">
      <w:bodyDiv w:val="1"/>
      <w:marLeft w:val="0"/>
      <w:marRight w:val="0"/>
      <w:marTop w:val="0"/>
      <w:marBottom w:val="0"/>
      <w:divBdr>
        <w:top w:val="none" w:sz="0" w:space="0" w:color="auto"/>
        <w:left w:val="none" w:sz="0" w:space="0" w:color="auto"/>
        <w:bottom w:val="none" w:sz="0" w:space="0" w:color="auto"/>
        <w:right w:val="none" w:sz="0" w:space="0" w:color="auto"/>
      </w:divBdr>
      <w:divsChild>
        <w:div w:id="2053191410">
          <w:marLeft w:val="0"/>
          <w:marRight w:val="0"/>
          <w:marTop w:val="0"/>
          <w:marBottom w:val="0"/>
          <w:divBdr>
            <w:top w:val="none" w:sz="0" w:space="0" w:color="auto"/>
            <w:left w:val="none" w:sz="0" w:space="0" w:color="auto"/>
            <w:bottom w:val="none" w:sz="0" w:space="0" w:color="auto"/>
            <w:right w:val="none" w:sz="0" w:space="0" w:color="auto"/>
          </w:divBdr>
          <w:divsChild>
            <w:div w:id="1551649517">
              <w:marLeft w:val="0"/>
              <w:marRight w:val="0"/>
              <w:marTop w:val="0"/>
              <w:marBottom w:val="0"/>
              <w:divBdr>
                <w:top w:val="none" w:sz="0" w:space="0" w:color="auto"/>
                <w:left w:val="none" w:sz="0" w:space="0" w:color="auto"/>
                <w:bottom w:val="none" w:sz="0" w:space="0" w:color="auto"/>
                <w:right w:val="none" w:sz="0" w:space="0" w:color="auto"/>
              </w:divBdr>
              <w:divsChild>
                <w:div w:id="1480803158">
                  <w:marLeft w:val="0"/>
                  <w:marRight w:val="0"/>
                  <w:marTop w:val="100"/>
                  <w:marBottom w:val="100"/>
                  <w:divBdr>
                    <w:top w:val="none" w:sz="0" w:space="0" w:color="auto"/>
                    <w:left w:val="none" w:sz="0" w:space="0" w:color="auto"/>
                    <w:bottom w:val="none" w:sz="0" w:space="0" w:color="auto"/>
                    <w:right w:val="none" w:sz="0" w:space="0" w:color="auto"/>
                  </w:divBdr>
                  <w:divsChild>
                    <w:div w:id="894855361">
                      <w:marLeft w:val="0"/>
                      <w:marRight w:val="0"/>
                      <w:marTop w:val="0"/>
                      <w:marBottom w:val="150"/>
                      <w:divBdr>
                        <w:top w:val="single" w:sz="6" w:space="8" w:color="DDDDDD"/>
                        <w:left w:val="single" w:sz="6" w:space="8" w:color="DDDDDD"/>
                        <w:bottom w:val="single" w:sz="6" w:space="8" w:color="DDDDDD"/>
                        <w:right w:val="single" w:sz="6" w:space="8" w:color="DDDDDD"/>
                      </w:divBdr>
                      <w:divsChild>
                        <w:div w:id="1868328205">
                          <w:marLeft w:val="0"/>
                          <w:marRight w:val="0"/>
                          <w:marTop w:val="30"/>
                          <w:marBottom w:val="0"/>
                          <w:divBdr>
                            <w:top w:val="none" w:sz="0" w:space="0" w:color="auto"/>
                            <w:left w:val="none" w:sz="0" w:space="0" w:color="auto"/>
                            <w:bottom w:val="none" w:sz="0" w:space="0" w:color="auto"/>
                            <w:right w:val="none" w:sz="0" w:space="0" w:color="auto"/>
                          </w:divBdr>
                          <w:divsChild>
                            <w:div w:id="326591506">
                              <w:marLeft w:val="0"/>
                              <w:marRight w:val="0"/>
                              <w:marTop w:val="30"/>
                              <w:marBottom w:val="0"/>
                              <w:divBdr>
                                <w:top w:val="none" w:sz="0" w:space="0" w:color="auto"/>
                                <w:left w:val="none" w:sz="0" w:space="0" w:color="auto"/>
                                <w:bottom w:val="none" w:sz="0" w:space="0" w:color="auto"/>
                                <w:right w:val="none" w:sz="0" w:space="0" w:color="auto"/>
                              </w:divBdr>
                            </w:div>
                            <w:div w:id="763767787">
                              <w:marLeft w:val="0"/>
                              <w:marRight w:val="0"/>
                              <w:marTop w:val="30"/>
                              <w:marBottom w:val="0"/>
                              <w:divBdr>
                                <w:top w:val="none" w:sz="0" w:space="0" w:color="auto"/>
                                <w:left w:val="none" w:sz="0" w:space="0" w:color="auto"/>
                                <w:bottom w:val="none" w:sz="0" w:space="0" w:color="auto"/>
                                <w:right w:val="none" w:sz="0" w:space="0" w:color="auto"/>
                              </w:divBdr>
                            </w:div>
                            <w:div w:id="1574046587">
                              <w:marLeft w:val="0"/>
                              <w:marRight w:val="0"/>
                              <w:marTop w:val="30"/>
                              <w:marBottom w:val="0"/>
                              <w:divBdr>
                                <w:top w:val="none" w:sz="0" w:space="0" w:color="auto"/>
                                <w:left w:val="none" w:sz="0" w:space="0" w:color="auto"/>
                                <w:bottom w:val="none" w:sz="0" w:space="0" w:color="auto"/>
                                <w:right w:val="none" w:sz="0" w:space="0" w:color="auto"/>
                              </w:divBdr>
                            </w:div>
                            <w:div w:id="2076120321">
                              <w:marLeft w:val="0"/>
                              <w:marRight w:val="0"/>
                              <w:marTop w:val="30"/>
                              <w:marBottom w:val="0"/>
                              <w:divBdr>
                                <w:top w:val="none" w:sz="0" w:space="0" w:color="auto"/>
                                <w:left w:val="none" w:sz="0" w:space="0" w:color="auto"/>
                                <w:bottom w:val="none" w:sz="0" w:space="0" w:color="auto"/>
                                <w:right w:val="none" w:sz="0" w:space="0" w:color="auto"/>
                              </w:divBdr>
                            </w:div>
                            <w:div w:id="130497096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4465471">
      <w:bodyDiv w:val="1"/>
      <w:marLeft w:val="0"/>
      <w:marRight w:val="0"/>
      <w:marTop w:val="0"/>
      <w:marBottom w:val="0"/>
      <w:divBdr>
        <w:top w:val="none" w:sz="0" w:space="0" w:color="auto"/>
        <w:left w:val="none" w:sz="0" w:space="0" w:color="auto"/>
        <w:bottom w:val="none" w:sz="0" w:space="0" w:color="auto"/>
        <w:right w:val="none" w:sz="0" w:space="0" w:color="auto"/>
      </w:divBdr>
    </w:div>
    <w:div w:id="2104833028">
      <w:bodyDiv w:val="1"/>
      <w:marLeft w:val="0"/>
      <w:marRight w:val="0"/>
      <w:marTop w:val="0"/>
      <w:marBottom w:val="0"/>
      <w:divBdr>
        <w:top w:val="none" w:sz="0" w:space="0" w:color="auto"/>
        <w:left w:val="none" w:sz="0" w:space="0" w:color="auto"/>
        <w:bottom w:val="none" w:sz="0" w:space="0" w:color="auto"/>
        <w:right w:val="none" w:sz="0" w:space="0" w:color="auto"/>
      </w:divBdr>
      <w:divsChild>
        <w:div w:id="1451705162">
          <w:marLeft w:val="0"/>
          <w:marRight w:val="0"/>
          <w:marTop w:val="0"/>
          <w:marBottom w:val="0"/>
          <w:divBdr>
            <w:top w:val="none" w:sz="0" w:space="0" w:color="auto"/>
            <w:left w:val="none" w:sz="0" w:space="0" w:color="auto"/>
            <w:bottom w:val="none" w:sz="0" w:space="0" w:color="auto"/>
            <w:right w:val="none" w:sz="0" w:space="0" w:color="auto"/>
          </w:divBdr>
          <w:divsChild>
            <w:div w:id="1549410739">
              <w:marLeft w:val="0"/>
              <w:marRight w:val="0"/>
              <w:marTop w:val="225"/>
              <w:marBottom w:val="0"/>
              <w:divBdr>
                <w:top w:val="none" w:sz="0" w:space="0" w:color="auto"/>
                <w:left w:val="none" w:sz="0" w:space="0" w:color="auto"/>
                <w:bottom w:val="none" w:sz="0" w:space="0" w:color="auto"/>
                <w:right w:val="none" w:sz="0" w:space="0" w:color="auto"/>
              </w:divBdr>
              <w:divsChild>
                <w:div w:id="1918324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6822100">
      <w:bodyDiv w:val="1"/>
      <w:marLeft w:val="0"/>
      <w:marRight w:val="0"/>
      <w:marTop w:val="0"/>
      <w:marBottom w:val="0"/>
      <w:divBdr>
        <w:top w:val="none" w:sz="0" w:space="0" w:color="auto"/>
        <w:left w:val="none" w:sz="0" w:space="0" w:color="auto"/>
        <w:bottom w:val="none" w:sz="0" w:space="0" w:color="auto"/>
        <w:right w:val="none" w:sz="0" w:space="0" w:color="auto"/>
      </w:divBdr>
      <w:divsChild>
        <w:div w:id="2043088213">
          <w:marLeft w:val="0"/>
          <w:marRight w:val="0"/>
          <w:marTop w:val="0"/>
          <w:marBottom w:val="0"/>
          <w:divBdr>
            <w:top w:val="none" w:sz="0" w:space="0" w:color="auto"/>
            <w:left w:val="none" w:sz="0" w:space="0" w:color="auto"/>
            <w:bottom w:val="none" w:sz="0" w:space="0" w:color="auto"/>
            <w:right w:val="none" w:sz="0" w:space="0" w:color="auto"/>
          </w:divBdr>
          <w:divsChild>
            <w:div w:id="1107696485">
              <w:marLeft w:val="0"/>
              <w:marRight w:val="0"/>
              <w:marTop w:val="225"/>
              <w:marBottom w:val="0"/>
              <w:divBdr>
                <w:top w:val="none" w:sz="0" w:space="0" w:color="auto"/>
                <w:left w:val="none" w:sz="0" w:space="0" w:color="auto"/>
                <w:bottom w:val="none" w:sz="0" w:space="0" w:color="auto"/>
                <w:right w:val="none" w:sz="0" w:space="0" w:color="auto"/>
              </w:divBdr>
              <w:divsChild>
                <w:div w:id="1530097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t34inform.ru/photo/2-06-13.jpg" TargetMode="External"/><Relationship Id="rId21" Type="http://schemas.openxmlformats.org/officeDocument/2006/relationships/hyperlink" Target="https://t34inform.ru/doc/1940-10-19_NKSM_10-8689.html" TargetMode="External"/><Relationship Id="rId42" Type="http://schemas.openxmlformats.org/officeDocument/2006/relationships/hyperlink" Target="https://t34inform.ru/doc/1940-10-19_MZ_Prot.html" TargetMode="External"/><Relationship Id="rId63" Type="http://schemas.openxmlformats.org/officeDocument/2006/relationships/hyperlink" Target="https://t34inform.ru/doc/1940-11-02_VP183_OS_40-10.html" TargetMode="External"/><Relationship Id="rId84" Type="http://schemas.openxmlformats.org/officeDocument/2006/relationships/hyperlink" Target="https://ru.wikipedia.org/wiki/1971_%D0%B3%D0%BE%D0%B4" TargetMode="External"/><Relationship Id="rId138" Type="http://schemas.openxmlformats.org/officeDocument/2006/relationships/hyperlink" Target="http://istmat.info/node/58498" TargetMode="External"/><Relationship Id="rId159" Type="http://schemas.openxmlformats.org/officeDocument/2006/relationships/hyperlink" Target="http://istmat.info/node/58501" TargetMode="External"/><Relationship Id="rId170" Type="http://schemas.openxmlformats.org/officeDocument/2006/relationships/hyperlink" Target="https://t34inform.ru/doc/1940-12-23_NKO-18169c.html" TargetMode="External"/><Relationship Id="rId191" Type="http://schemas.openxmlformats.org/officeDocument/2006/relationships/hyperlink" Target="http://detectivebooks.ru/book/47013018/?page=54" TargetMode="External"/><Relationship Id="rId205" Type="http://schemas.openxmlformats.org/officeDocument/2006/relationships/fontTable" Target="fontTable.xml"/><Relationship Id="rId16" Type="http://schemas.openxmlformats.org/officeDocument/2006/relationships/hyperlink" Target="https://t34inform.ru/photo/2-16-7.jpg" TargetMode="External"/><Relationship Id="rId107" Type="http://schemas.openxmlformats.org/officeDocument/2006/relationships/hyperlink" Target="http://dic.academic.ru/dic.nsf/ruwiki/24655" TargetMode="External"/><Relationship Id="rId11" Type="http://schemas.openxmlformats.org/officeDocument/2006/relationships/hyperlink" Target="https://t34inform.ru/doc/1940-09-25_GABTU_76444.html" TargetMode="External"/><Relationship Id="rId32" Type="http://schemas.openxmlformats.org/officeDocument/2006/relationships/hyperlink" Target="https://t34inform.ru/doc/1940-10-19_NKSM_10-8689.html" TargetMode="External"/><Relationship Id="rId37" Type="http://schemas.openxmlformats.org/officeDocument/2006/relationships/hyperlink" Target="http://detectivebooks.ru/book/47013018/?page=54" TargetMode="External"/><Relationship Id="rId53" Type="http://schemas.openxmlformats.org/officeDocument/2006/relationships/image" Target="media/image1.jpeg"/><Relationship Id="rId58" Type="http://schemas.openxmlformats.org/officeDocument/2006/relationships/hyperlink" Target="http://detectivebooks.ru/book/47013018/?page=58" TargetMode="External"/><Relationship Id="rId74" Type="http://schemas.openxmlformats.org/officeDocument/2006/relationships/hyperlink" Target="https://ru.wikipedia.org/wiki/1966_%D0%B3%D0%BE%D0%B4" TargetMode="External"/><Relationship Id="rId79" Type="http://schemas.openxmlformats.org/officeDocument/2006/relationships/hyperlink" Target="https://ru.wikipedia.org/wiki/1970_%D0%B3%D0%BE%D0%B4" TargetMode="External"/><Relationship Id="rId102" Type="http://schemas.openxmlformats.org/officeDocument/2006/relationships/hyperlink" Target="http://dic.academic.ru/dic.nsf/ruwiki/870519" TargetMode="External"/><Relationship Id="rId123" Type="http://schemas.openxmlformats.org/officeDocument/2006/relationships/hyperlink" Target="https://t34inform.ru/doc/1940-11-27_NKSM_25-9748_UV-L-11.html" TargetMode="External"/><Relationship Id="rId128" Type="http://schemas.openxmlformats.org/officeDocument/2006/relationships/hyperlink" Target="http://www.plam.ru/hist/porjadok_v_tankovyh_voiskah_kuda_propali_tanki_stalina/p6.php" TargetMode="External"/><Relationship Id="rId144" Type="http://schemas.openxmlformats.org/officeDocument/2006/relationships/hyperlink" Target="http://istmat.info/node/58499" TargetMode="External"/><Relationship Id="rId149" Type="http://schemas.openxmlformats.org/officeDocument/2006/relationships/hyperlink" Target="http://istmat.info/node/58500" TargetMode="External"/><Relationship Id="rId5" Type="http://schemas.openxmlformats.org/officeDocument/2006/relationships/hyperlink" Target="http://warspot.ru/7265-shturmovoe-orudie-na-trofeynoy-baze" TargetMode="External"/><Relationship Id="rId90" Type="http://schemas.openxmlformats.org/officeDocument/2006/relationships/hyperlink" Target="http://istmat.info/node/58492" TargetMode="External"/><Relationship Id="rId95" Type="http://schemas.openxmlformats.org/officeDocument/2006/relationships/hyperlink" Target="https://t34inform.ru/doc/1940-11-30_GABTU_77253c_LMV.html" TargetMode="External"/><Relationship Id="rId160" Type="http://schemas.openxmlformats.org/officeDocument/2006/relationships/hyperlink" Target="http://istmat.info/node/58501" TargetMode="External"/><Relationship Id="rId165" Type="http://schemas.openxmlformats.org/officeDocument/2006/relationships/hyperlink" Target="http://istmat.info/node/58502" TargetMode="External"/><Relationship Id="rId181" Type="http://schemas.openxmlformats.org/officeDocument/2006/relationships/hyperlink" Target="http://detectivebooks.ru/book/47013018/?page=54" TargetMode="External"/><Relationship Id="rId186" Type="http://schemas.openxmlformats.org/officeDocument/2006/relationships/hyperlink" Target="https://t34inform.ru/doc/1941-01-03_VP183_SvodkaNIR_1c.html" TargetMode="External"/><Relationship Id="rId22" Type="http://schemas.openxmlformats.org/officeDocument/2006/relationships/hyperlink" Target="http://detectivebooks.ru/book/47013018/?page=58" TargetMode="External"/><Relationship Id="rId27" Type="http://schemas.openxmlformats.org/officeDocument/2006/relationships/hyperlink" Target="https://t34inform.ru/doc/1940-10-05_GABTU_76533cc.html" TargetMode="External"/><Relationship Id="rId43" Type="http://schemas.openxmlformats.org/officeDocument/2006/relationships/hyperlink" Target="https://t34inform.ru/doc/1940-10-18_VP75-3566c.html" TargetMode="External"/><Relationship Id="rId48" Type="http://schemas.openxmlformats.org/officeDocument/2006/relationships/hyperlink" Target="http://istmat.info/node/58491" TargetMode="External"/><Relationship Id="rId64" Type="http://schemas.openxmlformats.org/officeDocument/2006/relationships/hyperlink" Target="https://t34inform.ru/doc/1940-11-06_NIP_0835c.html" TargetMode="External"/><Relationship Id="rId69" Type="http://schemas.openxmlformats.org/officeDocument/2006/relationships/hyperlink" Target="http://www.plam.ru/hist/porjadok_v_tankovyh_voiskah_kuda_propali_tanki_stalina/p12.php" TargetMode="External"/><Relationship Id="rId113" Type="http://schemas.openxmlformats.org/officeDocument/2006/relationships/hyperlink" Target="https://t34inform.ru/doc/1940-11-19_KO-428cc.html" TargetMode="External"/><Relationship Id="rId118" Type="http://schemas.openxmlformats.org/officeDocument/2006/relationships/hyperlink" Target="https://t34inform.ru/doc/1940-11-26_NIP_0857c.html" TargetMode="External"/><Relationship Id="rId134" Type="http://schemas.openxmlformats.org/officeDocument/2006/relationships/hyperlink" Target="https://t34inform.ru/doc/1940-11-29_183-MZ_CO6466.html" TargetMode="External"/><Relationship Id="rId139" Type="http://schemas.openxmlformats.org/officeDocument/2006/relationships/hyperlink" Target="http://istmat.info/node/58498" TargetMode="External"/><Relationship Id="rId80" Type="http://schemas.openxmlformats.org/officeDocument/2006/relationships/hyperlink" Target="https://ru.wikipedia.org/wiki/%D0%A7%D0%9F%D0%A3" TargetMode="External"/><Relationship Id="rId85" Type="http://schemas.openxmlformats.org/officeDocument/2006/relationships/hyperlink" Target="https://ru.wikipedia.org/wiki/%D0%9A%D1%80%D0%B0%D0%BC%D0%B0%D1%82%D0%BE%D1%80%D1%81%D0%BA%D0%B8%D0%B9_%D0%B7%D0%B0%D0%B2%D0%BE%D0%B4_%D1%82%D1%8F%D0%B6%D1%91%D0%BB%D0%BE%D0%B3%D0%BE_%D1%81%D1%82%D0%B0%D0%BD%D0%BA%D0%BE%D1%81%D1%82%D1%80%D0%BE%D0%B5%D0%BD%D0%B8%D1%8F" TargetMode="External"/><Relationship Id="rId150" Type="http://schemas.openxmlformats.org/officeDocument/2006/relationships/hyperlink" Target="http://istmat.info/node/58500" TargetMode="External"/><Relationship Id="rId155" Type="http://schemas.openxmlformats.org/officeDocument/2006/relationships/hyperlink" Target="https://t34inform.ru/doc/1940-12-13_Panov-Fedorenko_T-34M.html" TargetMode="External"/><Relationship Id="rId171" Type="http://schemas.openxmlformats.org/officeDocument/2006/relationships/hyperlink" Target="http://www.plam.ru/hist/porjadok_v_tankovyh_voiskah_kuda_propali_tanki_stalina/p14.php" TargetMode="External"/><Relationship Id="rId176" Type="http://schemas.openxmlformats.org/officeDocument/2006/relationships/hyperlink" Target="https://t34inform.ru/photo/2-08-2.jpg" TargetMode="External"/><Relationship Id="rId192" Type="http://schemas.openxmlformats.org/officeDocument/2006/relationships/hyperlink" Target="http://detectivebooks.ru/book/47013018/?page=54" TargetMode="External"/><Relationship Id="rId197" Type="http://schemas.openxmlformats.org/officeDocument/2006/relationships/hyperlink" Target="http://armedman.ru/samoletyi/1937-1945/dalniy-bombardirovshhik-il-4-sssr.html" TargetMode="External"/><Relationship Id="rId206" Type="http://schemas.openxmlformats.org/officeDocument/2006/relationships/theme" Target="theme/theme1.xml"/><Relationship Id="rId201" Type="http://schemas.openxmlformats.org/officeDocument/2006/relationships/hyperlink" Target="http://www.plam.ru/hist/porjadok_v_tankovyh_voiskah_kuda_propali_tanki_stalina/p6.php" TargetMode="External"/><Relationship Id="rId12" Type="http://schemas.openxmlformats.org/officeDocument/2006/relationships/hyperlink" Target="https://t34inform.ru/doc/1940-10-19_NKSM_10-8689.html" TargetMode="External"/><Relationship Id="rId17" Type="http://schemas.openxmlformats.org/officeDocument/2006/relationships/hyperlink" Target="https://t34inform.ru/doc/1940-10-10_NKSM_397-4445c.html" TargetMode="External"/><Relationship Id="rId33" Type="http://schemas.openxmlformats.org/officeDocument/2006/relationships/hyperlink" Target="http://detectivebooks.ru/book/47013018/?page=53" TargetMode="External"/><Relationship Id="rId38" Type="http://schemas.openxmlformats.org/officeDocument/2006/relationships/hyperlink" Target="http://istmat.info/node/58490" TargetMode="External"/><Relationship Id="rId59" Type="http://schemas.openxmlformats.org/officeDocument/2006/relationships/hyperlink" Target="http://detectivebooks.ru/book/47013018/?page=58" TargetMode="External"/><Relationship Id="rId103" Type="http://schemas.openxmlformats.org/officeDocument/2006/relationships/hyperlink" Target="http://dic.academic.ru/dic.nsf/ruwiki/159997" TargetMode="External"/><Relationship Id="rId108" Type="http://schemas.openxmlformats.org/officeDocument/2006/relationships/hyperlink" Target="http://dic.academic.ru/dic.nsf/ruwiki/15461" TargetMode="External"/><Relationship Id="rId124" Type="http://schemas.openxmlformats.org/officeDocument/2006/relationships/hyperlink" Target="https://t34inform.ru/doc/1940-11-30_GABTU_77253c_LMV.html" TargetMode="External"/><Relationship Id="rId129" Type="http://schemas.openxmlformats.org/officeDocument/2006/relationships/hyperlink" Target="http://www.plam.ru/hist/porjadok_v_tankovyh_voiskah_kuda_propali_tanki_stalina/p6.php" TargetMode="External"/><Relationship Id="rId54" Type="http://schemas.openxmlformats.org/officeDocument/2006/relationships/hyperlink" Target="http://oceanliners.ucoz.ru/publ/rms_quot_empress_of_britain_quot_imperatrica_britanii/1-1-0-23" TargetMode="External"/><Relationship Id="rId70" Type="http://schemas.openxmlformats.org/officeDocument/2006/relationships/hyperlink" Target="https://ru.wikipedia.org/wiki/%D0%92%D1%82%D0%BE%D1%80%D0%B0%D1%8F_%D0%BC%D0%B8%D1%80%D0%BE%D0%B2%D0%B0%D1%8F_%D0%B2%D0%BE%D0%B9%D0%BD%D0%B0" TargetMode="External"/><Relationship Id="rId75" Type="http://schemas.openxmlformats.org/officeDocument/2006/relationships/hyperlink" Target="https://ru.wikipedia.org/wiki/%D0%9E%D1%80%D0%B4%D0%B5%D0%BD_%D0%A2%D1%80%D1%83%D0%B4%D0%BE%D0%B2%D0%BE%D0%B3%D0%BE_%D0%9A%D1%80%D0%B0%D1%81%D0%BD%D0%BE%D0%B3%D0%BE_%D0%97%D0%BD%D0%B0%D0%BC%D0%B5%D0%BD%D0%B8" TargetMode="External"/><Relationship Id="rId91" Type="http://schemas.openxmlformats.org/officeDocument/2006/relationships/hyperlink" Target="http://istmat.info/node/58492" TargetMode="External"/><Relationship Id="rId96" Type="http://schemas.openxmlformats.org/officeDocument/2006/relationships/hyperlink" Target="https://t34inform.ru/doc/1940-11-12_GABTU-US_TK-12.html" TargetMode="External"/><Relationship Id="rId140" Type="http://schemas.openxmlformats.org/officeDocument/2006/relationships/hyperlink" Target="http://istmat.info/node/58498" TargetMode="External"/><Relationship Id="rId145" Type="http://schemas.openxmlformats.org/officeDocument/2006/relationships/hyperlink" Target="http://istmat.info/node/58499" TargetMode="External"/><Relationship Id="rId161" Type="http://schemas.openxmlformats.org/officeDocument/2006/relationships/hyperlink" Target="http://istmat.info/node/58489" TargetMode="External"/><Relationship Id="rId166" Type="http://schemas.openxmlformats.org/officeDocument/2006/relationships/hyperlink" Target="http://istmat.info/node/58502" TargetMode="External"/><Relationship Id="rId182" Type="http://schemas.openxmlformats.org/officeDocument/2006/relationships/hyperlink" Target="https://t34inform.ru/doc/1941-01-04_VP183_OS_40-12.html" TargetMode="External"/><Relationship Id="rId187" Type="http://schemas.openxmlformats.org/officeDocument/2006/relationships/hyperlink" Target="http://www.plam.ru/hist/porjadok_v_tankovyh_voiskah_kuda_propali_tanki_stalina/p6.php" TargetMode="External"/><Relationship Id="rId1" Type="http://schemas.openxmlformats.org/officeDocument/2006/relationships/numbering" Target="numbering.xml"/><Relationship Id="rId6" Type="http://schemas.openxmlformats.org/officeDocument/2006/relationships/hyperlink" Target="https://t34inform.ru/doc/1940-09-06_Danchenko.html" TargetMode="External"/><Relationship Id="rId23" Type="http://schemas.openxmlformats.org/officeDocument/2006/relationships/hyperlink" Target="http://istmat.info/node/58489" TargetMode="External"/><Relationship Id="rId28" Type="http://schemas.openxmlformats.org/officeDocument/2006/relationships/hyperlink" Target="http://warspot.ru/5677-eksperimenty-na-idealnoy-platforme" TargetMode="External"/><Relationship Id="rId49" Type="http://schemas.openxmlformats.org/officeDocument/2006/relationships/hyperlink" Target="http://istmat.info/node/58491" TargetMode="External"/><Relationship Id="rId114" Type="http://schemas.openxmlformats.org/officeDocument/2006/relationships/hyperlink" Target="https://t34inform.ru/doc/1940-11-19_KO-428cc.html" TargetMode="External"/><Relationship Id="rId119" Type="http://schemas.openxmlformats.org/officeDocument/2006/relationships/hyperlink" Target="https://t34inform.ru/photo/38-11355-47-094.jpg" TargetMode="External"/><Relationship Id="rId44" Type="http://schemas.openxmlformats.org/officeDocument/2006/relationships/hyperlink" Target="https://t34inform.ru/doc/1940-10-19_NKSM_10-8689.html" TargetMode="External"/><Relationship Id="rId60" Type="http://schemas.openxmlformats.org/officeDocument/2006/relationships/hyperlink" Target="https://warspot.ru/11139-perehodnaya-troyka" TargetMode="External"/><Relationship Id="rId65" Type="http://schemas.openxmlformats.org/officeDocument/2006/relationships/hyperlink" Target="https://t34inform.ru/doc/1940-08-30_183_Prot.html" TargetMode="External"/><Relationship Id="rId81" Type="http://schemas.openxmlformats.org/officeDocument/2006/relationships/hyperlink" Target="https://ru.wikipedia.org/wiki/1971_%D0%B3%D0%BE%D0%B4" TargetMode="External"/><Relationship Id="rId86" Type="http://schemas.openxmlformats.org/officeDocument/2006/relationships/hyperlink" Target="https://ru.wikipedia.org/wiki/%D0%92%D0%B5%D1%82%D1%80%D0%BE%D1%8D%D0%BD%D0%B5%D1%80%D0%B3%D0%B5%D1%82%D0%B8%D1%87%D0%B5%D1%81%D0%BA%D0%B0%D1%8F_%D1%83%D1%81%D1%82%D0%B0%D0%BD%D0%BE%D0%B2%D0%BA%D0%B0" TargetMode="External"/><Relationship Id="rId130" Type="http://schemas.openxmlformats.org/officeDocument/2006/relationships/hyperlink" Target="http://www.plam.ru/hist/porjadok_v_tankovyh_voiskah_kuda_propali_tanki_stalina/p6.php" TargetMode="External"/><Relationship Id="rId135" Type="http://schemas.openxmlformats.org/officeDocument/2006/relationships/hyperlink" Target="https://t34inform.ru/doc/1941-01-04_MZ-183_61c.html" TargetMode="External"/><Relationship Id="rId151" Type="http://schemas.openxmlformats.org/officeDocument/2006/relationships/hyperlink" Target="http://detectivebooks.ru/book/47013018/?page=58" TargetMode="External"/><Relationship Id="rId156" Type="http://schemas.openxmlformats.org/officeDocument/2006/relationships/hyperlink" Target="https://t34inform.ru/doc/1940-12-13_NIP_0951c.html" TargetMode="External"/><Relationship Id="rId177" Type="http://schemas.openxmlformats.org/officeDocument/2006/relationships/hyperlink" Target="https://t34inform.ru/doc/1940-12-31_VP183_775c.html" TargetMode="External"/><Relationship Id="rId198" Type="http://schemas.openxmlformats.org/officeDocument/2006/relationships/hyperlink" Target="http://armedman.ru/stati/boevyie-bashni-pvo-v-berline.html" TargetMode="External"/><Relationship Id="rId172" Type="http://schemas.openxmlformats.org/officeDocument/2006/relationships/hyperlink" Target="https://t34inform.ru/doc/1940-12-26_KO-10604KO.html" TargetMode="External"/><Relationship Id="rId193" Type="http://schemas.openxmlformats.org/officeDocument/2006/relationships/hyperlink" Target="http://detectivebooks.ru/book/47013018/?page=51" TargetMode="External"/><Relationship Id="rId202" Type="http://schemas.openxmlformats.org/officeDocument/2006/relationships/hyperlink" Target="http://www.plam.ru/hist/porjadok_v_tankovyh_voiskah_kuda_propali_tanki_stalina/p6.php" TargetMode="External"/><Relationship Id="rId13" Type="http://schemas.openxmlformats.org/officeDocument/2006/relationships/hyperlink" Target="https://t34inform.ru/doc/1940-09-28_NKO-17415cc_PT.html" TargetMode="External"/><Relationship Id="rId18" Type="http://schemas.openxmlformats.org/officeDocument/2006/relationships/hyperlink" Target="http://detectivebooks.ru/book/47013018/?page=59" TargetMode="External"/><Relationship Id="rId39" Type="http://schemas.openxmlformats.org/officeDocument/2006/relationships/hyperlink" Target="http://istmat.info/node/58490" TargetMode="External"/><Relationship Id="rId109" Type="http://schemas.openxmlformats.org/officeDocument/2006/relationships/hyperlink" Target="http://dic.academic.ru/dic.nsf/ruwiki/1570249" TargetMode="External"/><Relationship Id="rId34" Type="http://schemas.openxmlformats.org/officeDocument/2006/relationships/hyperlink" Target="http://detectivebooks.ru/book/47013018/?page=53" TargetMode="External"/><Relationship Id="rId50" Type="http://schemas.openxmlformats.org/officeDocument/2006/relationships/hyperlink" Target="http://istmat.info/node/58491" TargetMode="External"/><Relationship Id="rId55" Type="http://schemas.openxmlformats.org/officeDocument/2006/relationships/hyperlink" Target="https://t34inform.ru/doc/1940-11-06_NIP_0835c.html" TargetMode="External"/><Relationship Id="rId76" Type="http://schemas.openxmlformats.org/officeDocument/2006/relationships/hyperlink" Target="https://ru.wikipedia.org/wiki/%D0%A1%D0%B5%D0%BC%D0%B8%D0%BB%D0%B5%D1%82%D0%BA%D0%B0" TargetMode="External"/><Relationship Id="rId97" Type="http://schemas.openxmlformats.org/officeDocument/2006/relationships/hyperlink" Target="https://t34inform.ru/doc/1940-11-13_GABTU_76988c.html" TargetMode="External"/><Relationship Id="rId104" Type="http://schemas.openxmlformats.org/officeDocument/2006/relationships/hyperlink" Target="http://dic.academic.ru/dic.nsf/ruwiki/3074" TargetMode="External"/><Relationship Id="rId120" Type="http://schemas.openxmlformats.org/officeDocument/2006/relationships/hyperlink" Target="https://t34inform.ru/doc/1940-12-14_GABTU-VP183_77437c.html" TargetMode="External"/><Relationship Id="rId125" Type="http://schemas.openxmlformats.org/officeDocument/2006/relationships/hyperlink" Target="https://t34inform.ru/doc/1941-02-03_183-540_Track.html" TargetMode="External"/><Relationship Id="rId141" Type="http://schemas.openxmlformats.org/officeDocument/2006/relationships/hyperlink" Target="http://istmat.info/node/58498" TargetMode="External"/><Relationship Id="rId146" Type="http://schemas.openxmlformats.org/officeDocument/2006/relationships/hyperlink" Target="http://istmat.info/node/58499" TargetMode="External"/><Relationship Id="rId167" Type="http://schemas.openxmlformats.org/officeDocument/2006/relationships/hyperlink" Target="http://istmat.info/node/58502" TargetMode="External"/><Relationship Id="rId188" Type="http://schemas.openxmlformats.org/officeDocument/2006/relationships/hyperlink" Target="http://warspot.ru/3665-dodzh-3-4" TargetMode="External"/><Relationship Id="rId7" Type="http://schemas.openxmlformats.org/officeDocument/2006/relationships/hyperlink" Target="http://www.rpg-club.com/x1000" TargetMode="External"/><Relationship Id="rId71" Type="http://schemas.openxmlformats.org/officeDocument/2006/relationships/hyperlink" Target="https://ru.wikipedia.org/wiki/%D0%9D%D0%BE%D0%B2%D0%BE%D1%81%D0%B8%D0%B1%D0%B8%D1%80%D1%81%D0%BA" TargetMode="External"/><Relationship Id="rId92" Type="http://schemas.openxmlformats.org/officeDocument/2006/relationships/hyperlink" Target="http://istmat.info/node/58492" TargetMode="External"/><Relationship Id="rId162" Type="http://schemas.openxmlformats.org/officeDocument/2006/relationships/hyperlink" Target="http://istmat.info/node/58559" TargetMode="External"/><Relationship Id="rId183" Type="http://schemas.openxmlformats.org/officeDocument/2006/relationships/hyperlink" Target="https://t34inform.ru/photo/2-08-9.jpg" TargetMode="External"/><Relationship Id="rId2" Type="http://schemas.openxmlformats.org/officeDocument/2006/relationships/styles" Target="styles.xml"/><Relationship Id="rId29" Type="http://schemas.openxmlformats.org/officeDocument/2006/relationships/hyperlink" Target="http://warspot.ru/5908-manchzhurskiy-plennik" TargetMode="External"/><Relationship Id="rId24" Type="http://schemas.openxmlformats.org/officeDocument/2006/relationships/hyperlink" Target="http://istmat.info/node/58489" TargetMode="External"/><Relationship Id="rId40" Type="http://schemas.openxmlformats.org/officeDocument/2006/relationships/hyperlink" Target="http://istmat.info/node/58490" TargetMode="External"/><Relationship Id="rId45" Type="http://schemas.openxmlformats.org/officeDocument/2006/relationships/hyperlink" Target="http://istmat.info/node/58491" TargetMode="External"/><Relationship Id="rId66" Type="http://schemas.openxmlformats.org/officeDocument/2006/relationships/hyperlink" Target="https://t34inform.ru/doc/1940-11-05_183-GABTU_Prot_PKI.html" TargetMode="External"/><Relationship Id="rId87" Type="http://schemas.openxmlformats.org/officeDocument/2006/relationships/hyperlink" Target="https://t34inform.ru/doc/1940-11-11_VP183_Svodka_625c.html" TargetMode="External"/><Relationship Id="rId110" Type="http://schemas.openxmlformats.org/officeDocument/2006/relationships/hyperlink" Target="http://dic.academic.ru/dic.nsf/ruwiki/1113564" TargetMode="External"/><Relationship Id="rId115" Type="http://schemas.openxmlformats.org/officeDocument/2006/relationships/hyperlink" Target="https://t34inform.ru/doc/1940-11-19_Panov_PT.html" TargetMode="External"/><Relationship Id="rId131" Type="http://schemas.openxmlformats.org/officeDocument/2006/relationships/hyperlink" Target="http://www.plam.ru/hist/porjadok_v_tankovyh_voiskah_kuda_propali_tanki_stalina/p6.php" TargetMode="External"/><Relationship Id="rId136" Type="http://schemas.openxmlformats.org/officeDocument/2006/relationships/hyperlink" Target="https://t34inform.ru/doc/1940-12-13_Panov-Fedorenko_T-34M.html" TargetMode="External"/><Relationship Id="rId157" Type="http://schemas.openxmlformats.org/officeDocument/2006/relationships/hyperlink" Target="https://t34inform.ru/doc/1940-12-16_92-90-5753_F-34.html" TargetMode="External"/><Relationship Id="rId178" Type="http://schemas.openxmlformats.org/officeDocument/2006/relationships/hyperlink" Target="https://t34inform.ru/doc/1940-12-03_GABTU_77319cc.html" TargetMode="External"/><Relationship Id="rId61" Type="http://schemas.openxmlformats.org/officeDocument/2006/relationships/hyperlink" Target="https://t34inform.ru/photo/2-07-10.jpg" TargetMode="External"/><Relationship Id="rId82" Type="http://schemas.openxmlformats.org/officeDocument/2006/relationships/hyperlink" Target="https://ru.wikipedia.org/wiki/%D0%A3%D1%80%D0%B0%D0%BB%D0%BC%D0%B0%D1%88%D0%B7%D0%B0%D0%B2%D0%BE%D0%B4" TargetMode="External"/><Relationship Id="rId152" Type="http://schemas.openxmlformats.org/officeDocument/2006/relationships/hyperlink" Target="http://detectivebooks.ru/book/47013018/?page=58" TargetMode="External"/><Relationship Id="rId173" Type="http://schemas.openxmlformats.org/officeDocument/2006/relationships/hyperlink" Target="https://t34inform.ru/doc/1941-01-03_183_CO3_Prot.html" TargetMode="External"/><Relationship Id="rId194" Type="http://schemas.openxmlformats.org/officeDocument/2006/relationships/hyperlink" Target="https://t34inform.ru/doc/1941-01-21_MZ-395.html" TargetMode="External"/><Relationship Id="rId199" Type="http://schemas.openxmlformats.org/officeDocument/2006/relationships/hyperlink" Target="http://www.airwar.ru/enc/cw1/ps40.html" TargetMode="External"/><Relationship Id="rId203" Type="http://schemas.openxmlformats.org/officeDocument/2006/relationships/hyperlink" Target="http://www.plam.ru/hist/porjadok_v_tankovyh_voiskah_kuda_propali_tanki_stalina/p6.php" TargetMode="External"/><Relationship Id="rId19" Type="http://schemas.openxmlformats.org/officeDocument/2006/relationships/hyperlink" Target="https://t34inform.ru/doc/1940-08-28_GABTU_76105.html" TargetMode="External"/><Relationship Id="rId14" Type="http://schemas.openxmlformats.org/officeDocument/2006/relationships/hyperlink" Target="https://t34inform.ru/doc/1940-11-14_VAMM-01701.html" TargetMode="External"/><Relationship Id="rId30" Type="http://schemas.openxmlformats.org/officeDocument/2006/relationships/hyperlink" Target="http://warspot.ru/3968-vse-tyazhkie" TargetMode="External"/><Relationship Id="rId35" Type="http://schemas.openxmlformats.org/officeDocument/2006/relationships/hyperlink" Target="http://detectivebooks.ru/book/47013018/?page=53" TargetMode="External"/><Relationship Id="rId56" Type="http://schemas.openxmlformats.org/officeDocument/2006/relationships/hyperlink" Target="https://t34inform.ru/doc/1940-11-18_183_CO6228_LMV.html" TargetMode="External"/><Relationship Id="rId77" Type="http://schemas.openxmlformats.org/officeDocument/2006/relationships/hyperlink" Target="https://ru.wikipedia.org/wiki/1967_%D0%B3%D0%BE%D0%B4" TargetMode="External"/><Relationship Id="rId100" Type="http://schemas.openxmlformats.org/officeDocument/2006/relationships/hyperlink" Target="http://dic.academic.ru/dic.nsf/ruwiki/1208" TargetMode="External"/><Relationship Id="rId105" Type="http://schemas.openxmlformats.org/officeDocument/2006/relationships/hyperlink" Target="http://dic.academic.ru/dic.nsf/ruwiki/3073" TargetMode="External"/><Relationship Id="rId126" Type="http://schemas.openxmlformats.org/officeDocument/2006/relationships/hyperlink" Target="https://t34inform.ru/doc/1941-02-03_183-540_Track.html" TargetMode="External"/><Relationship Id="rId147" Type="http://schemas.openxmlformats.org/officeDocument/2006/relationships/hyperlink" Target="https://t34inform.ru/doc/1940-12-16_92-90-5753_F-34.html" TargetMode="External"/><Relationship Id="rId168" Type="http://schemas.openxmlformats.org/officeDocument/2006/relationships/hyperlink" Target="http://istmat.info/node/58502" TargetMode="External"/><Relationship Id="rId8" Type="http://schemas.openxmlformats.org/officeDocument/2006/relationships/hyperlink" Target="https://t34inform.ru/doc/1940-09-09_183-92_Prot_F-34.html" TargetMode="External"/><Relationship Id="rId51" Type="http://schemas.openxmlformats.org/officeDocument/2006/relationships/hyperlink" Target="https://t34inform.ru/doc/1940-10-25_NKO_76791c.html" TargetMode="External"/><Relationship Id="rId72" Type="http://schemas.openxmlformats.org/officeDocument/2006/relationships/hyperlink" Target="https://ru.wikipedia.org/wiki/1943_%D0%B3%D0%BE%D0%B4" TargetMode="External"/><Relationship Id="rId93" Type="http://schemas.openxmlformats.org/officeDocument/2006/relationships/hyperlink" Target="https://t34inform.ru/doc/1940-11-01_VP183_SvodkaNIR_604c.html" TargetMode="External"/><Relationship Id="rId98" Type="http://schemas.openxmlformats.org/officeDocument/2006/relationships/hyperlink" Target="http://dic.academic.ru/dic.nsf/ruwiki/3053" TargetMode="External"/><Relationship Id="rId121" Type="http://schemas.openxmlformats.org/officeDocument/2006/relationships/hyperlink" Target="http://istmat.info/node/58494" TargetMode="External"/><Relationship Id="rId142" Type="http://schemas.openxmlformats.org/officeDocument/2006/relationships/hyperlink" Target="http://istmat.info/node/58498" TargetMode="External"/><Relationship Id="rId163" Type="http://schemas.openxmlformats.org/officeDocument/2006/relationships/hyperlink" Target="https://t34inform.ru/doc/1940-12-20_NIP_T-34.html" TargetMode="External"/><Relationship Id="rId184" Type="http://schemas.openxmlformats.org/officeDocument/2006/relationships/hyperlink" Target="https://t34inform.ru/doc/1941-02-03_183-540_Track.html" TargetMode="External"/><Relationship Id="rId189" Type="http://schemas.openxmlformats.org/officeDocument/2006/relationships/hyperlink" Target="http://warspot.ru/6240-tyaglovaya-sila" TargetMode="External"/><Relationship Id="rId3" Type="http://schemas.openxmlformats.org/officeDocument/2006/relationships/settings" Target="settings.xml"/><Relationship Id="rId25" Type="http://schemas.openxmlformats.org/officeDocument/2006/relationships/hyperlink" Target="http://istmat.info/node/58489" TargetMode="External"/><Relationship Id="rId46" Type="http://schemas.openxmlformats.org/officeDocument/2006/relationships/hyperlink" Target="http://istmat.info/node/58491" TargetMode="External"/><Relationship Id="rId67" Type="http://schemas.openxmlformats.org/officeDocument/2006/relationships/hyperlink" Target="https://t34inform.ru/doc/1940-11-06_NKO_17800.html" TargetMode="External"/><Relationship Id="rId116" Type="http://schemas.openxmlformats.org/officeDocument/2006/relationships/hyperlink" Target="https://t34inform.ru/doc/1940-12-11_VI_KRSTB.html" TargetMode="External"/><Relationship Id="rId137" Type="http://schemas.openxmlformats.org/officeDocument/2006/relationships/hyperlink" Target="http://istmat.info/node/58498" TargetMode="External"/><Relationship Id="rId158" Type="http://schemas.openxmlformats.org/officeDocument/2006/relationships/hyperlink" Target="https://t34inform.ru/doc/1940-12-17_183-CO6830_F-34.html" TargetMode="External"/><Relationship Id="rId20" Type="http://schemas.openxmlformats.org/officeDocument/2006/relationships/hyperlink" Target="https://t34inform.ru/doc/1940-09-25_GABTU_76444.html" TargetMode="External"/><Relationship Id="rId41" Type="http://schemas.openxmlformats.org/officeDocument/2006/relationships/hyperlink" Target="http://istmat.info/node/58490" TargetMode="External"/><Relationship Id="rId62" Type="http://schemas.openxmlformats.org/officeDocument/2006/relationships/hyperlink" Target="https://t34inform.ru/doc/1940-08-30_183_Prot.html" TargetMode="External"/><Relationship Id="rId83" Type="http://schemas.openxmlformats.org/officeDocument/2006/relationships/hyperlink" Target="https://ru.wikipedia.org/wiki/%D0%92%D0%B0%D0%B3%D0%BE%D0%BD" TargetMode="External"/><Relationship Id="rId88" Type="http://schemas.openxmlformats.org/officeDocument/2006/relationships/hyperlink" Target="https://t34inform.ru/doc/1940-11-11_VP183_Svodka_625c.html" TargetMode="External"/><Relationship Id="rId111" Type="http://schemas.openxmlformats.org/officeDocument/2006/relationships/hyperlink" Target="https://t34inform.ru/doc/1940-11-18_183_CO6228_LMV.html" TargetMode="External"/><Relationship Id="rId132" Type="http://schemas.openxmlformats.org/officeDocument/2006/relationships/hyperlink" Target="https://t34inform.ru/doc/1940-12-01_VP183_SvodkaNIR_693c.html" TargetMode="External"/><Relationship Id="rId153" Type="http://schemas.openxmlformats.org/officeDocument/2006/relationships/hyperlink" Target="https://t34inform.ru/doc/1941-02-03_183-540_Track.html" TargetMode="External"/><Relationship Id="rId174" Type="http://schemas.openxmlformats.org/officeDocument/2006/relationships/hyperlink" Target="https://t34inform.ru/doc/1940-12-20_183_T-34_massa.html" TargetMode="External"/><Relationship Id="rId179" Type="http://schemas.openxmlformats.org/officeDocument/2006/relationships/hyperlink" Target="https://t34inform.ru/doc/1940-12-30_NKO-KO_18239cc.html" TargetMode="External"/><Relationship Id="rId195" Type="http://schemas.openxmlformats.org/officeDocument/2006/relationships/hyperlink" Target="https://t34inform.ru/photo/2-09-9.jpg" TargetMode="External"/><Relationship Id="rId190" Type="http://schemas.openxmlformats.org/officeDocument/2006/relationships/hyperlink" Target="http://warspot.ru/5853-gorkovskiy-pigmey" TargetMode="External"/><Relationship Id="rId204" Type="http://schemas.openxmlformats.org/officeDocument/2006/relationships/hyperlink" Target="http://www.plam.ru/hist/porjadok_v_tankovyh_voiskah_kuda_propali_tanki_stalina/p6.php" TargetMode="External"/><Relationship Id="rId15" Type="http://schemas.openxmlformats.org/officeDocument/2006/relationships/hyperlink" Target="https://t34inform.ru/photo/8418-24-960-028.jpg" TargetMode="External"/><Relationship Id="rId36" Type="http://schemas.openxmlformats.org/officeDocument/2006/relationships/hyperlink" Target="https://t34inform.ru/doc/1940-10-10_NKSM_397-4446c.html" TargetMode="External"/><Relationship Id="rId57" Type="http://schemas.openxmlformats.org/officeDocument/2006/relationships/hyperlink" Target="https://t34inform.ru/doc/1940-11-30_GABTU_77253c_LMV.html" TargetMode="External"/><Relationship Id="rId106" Type="http://schemas.openxmlformats.org/officeDocument/2006/relationships/hyperlink" Target="http://dic.academic.ru/dic.nsf/ruwiki/51782" TargetMode="External"/><Relationship Id="rId127" Type="http://schemas.openxmlformats.org/officeDocument/2006/relationships/hyperlink" Target="https://t34inform.ru/doc/1940-12-02_VP183_OS_40-11.html" TargetMode="External"/><Relationship Id="rId10" Type="http://schemas.openxmlformats.org/officeDocument/2006/relationships/hyperlink" Target="https://t34inform.ru/doc/1940-09-21_GABTU_76381.html" TargetMode="External"/><Relationship Id="rId31" Type="http://schemas.openxmlformats.org/officeDocument/2006/relationships/hyperlink" Target="http://warspot.ru/6453-neprostaya-sudba-kolotushki" TargetMode="External"/><Relationship Id="rId52" Type="http://schemas.openxmlformats.org/officeDocument/2006/relationships/hyperlink" Target="http://detectivebooks.ru/book/47013018/?page=54" TargetMode="External"/><Relationship Id="rId73" Type="http://schemas.openxmlformats.org/officeDocument/2006/relationships/hyperlink" Target="https://ru.wikipedia.org/wiki/%D0%93%D0%BE%D1%81%D1%83%D0%B4%D0%B0%D1%80%D1%81%D1%82%D0%B2%D0%B5%D0%BD%D0%BD%D0%B0%D1%8F_%D0%BF%D1%80%D0%B5%D0%BC%D0%B8%D1%8F_%D0%A1%D0%A1%D0%A1%D0%A0" TargetMode="External"/><Relationship Id="rId78" Type="http://schemas.openxmlformats.org/officeDocument/2006/relationships/hyperlink" Target="https://ru.wikipedia.org/wiki/%D0%A7%D1%83%D0%B1%D0%B0%D1%80%D1%8C,_%D0%92%D0%BB%D0%B0%D1%81_%D0%AF%D0%BA%D0%BE%D0%B2%D0%BB%D0%B5%D0%B2%D0%B8%D1%87" TargetMode="External"/><Relationship Id="rId94" Type="http://schemas.openxmlformats.org/officeDocument/2006/relationships/hyperlink" Target="https://t34inform.ru/doc/1940-11-18_183_CO6228_LMV.html" TargetMode="External"/><Relationship Id="rId99" Type="http://schemas.openxmlformats.org/officeDocument/2006/relationships/hyperlink" Target="http://dic.academic.ru/dic.nsf/ruwiki/3053" TargetMode="External"/><Relationship Id="rId101" Type="http://schemas.openxmlformats.org/officeDocument/2006/relationships/hyperlink" Target="http://dic.academic.ru/dic.nsf/ruwiki/1390413" TargetMode="External"/><Relationship Id="rId122" Type="http://schemas.openxmlformats.org/officeDocument/2006/relationships/hyperlink" Target="http://istmat.info/node/58494" TargetMode="External"/><Relationship Id="rId143" Type="http://schemas.openxmlformats.org/officeDocument/2006/relationships/hyperlink" Target="http://istmat.info/node/58499" TargetMode="External"/><Relationship Id="rId148" Type="http://schemas.openxmlformats.org/officeDocument/2006/relationships/hyperlink" Target="https://t34inform.ru/doc/1940-12-17_183-CO6830_F-34.html" TargetMode="External"/><Relationship Id="rId164" Type="http://schemas.openxmlformats.org/officeDocument/2006/relationships/hyperlink" Target="http://istmat.info/node/58502" TargetMode="External"/><Relationship Id="rId169" Type="http://schemas.openxmlformats.org/officeDocument/2006/relationships/hyperlink" Target="http://istmat.info/node/58502" TargetMode="External"/><Relationship Id="rId185" Type="http://schemas.openxmlformats.org/officeDocument/2006/relationships/hyperlink" Target="https://t34inform.ru/doc/1940-12-31_Svodka_NIR_Panov.html" TargetMode="External"/><Relationship Id="rId4" Type="http://schemas.openxmlformats.org/officeDocument/2006/relationships/webSettings" Target="webSettings.xml"/><Relationship Id="rId9" Type="http://schemas.openxmlformats.org/officeDocument/2006/relationships/hyperlink" Target="https://t34inform.ru/doc/1940-09-16_GABTU_76309.html" TargetMode="External"/><Relationship Id="rId180" Type="http://schemas.openxmlformats.org/officeDocument/2006/relationships/hyperlink" Target="http://www.rpg-club.com/x1000" TargetMode="External"/><Relationship Id="rId26" Type="http://schemas.openxmlformats.org/officeDocument/2006/relationships/hyperlink" Target="http://istmat.info/node/58489" TargetMode="External"/><Relationship Id="rId47" Type="http://schemas.openxmlformats.org/officeDocument/2006/relationships/hyperlink" Target="http://istmat.info/node/58491" TargetMode="External"/><Relationship Id="rId68" Type="http://schemas.openxmlformats.org/officeDocument/2006/relationships/hyperlink" Target="https://t34inform.ru/doc/1940-11-06_NIP_0835c.html" TargetMode="External"/><Relationship Id="rId89" Type="http://schemas.openxmlformats.org/officeDocument/2006/relationships/hyperlink" Target="http://istmat.info/node/58492" TargetMode="External"/><Relationship Id="rId112" Type="http://schemas.openxmlformats.org/officeDocument/2006/relationships/hyperlink" Target="https://t34inform.ru/doc/1940-11-30_GABTU_77253c_LMV.html" TargetMode="External"/><Relationship Id="rId133" Type="http://schemas.openxmlformats.org/officeDocument/2006/relationships/hyperlink" Target="https://t34inform.ru/doc/1940-12-02_GABTU_77287c_UV-L-11.html" TargetMode="External"/><Relationship Id="rId154" Type="http://schemas.openxmlformats.org/officeDocument/2006/relationships/hyperlink" Target="https://warspot.ru/3698-predtechi-tridtsatchetvyorki-opytnye-tanki-a-20-i-a-32" TargetMode="External"/><Relationship Id="rId175" Type="http://schemas.openxmlformats.org/officeDocument/2006/relationships/hyperlink" Target="https://t34inform.ru/doc/1940-12-30_NKO-KO_18239cc.html" TargetMode="External"/><Relationship Id="rId196" Type="http://schemas.openxmlformats.org/officeDocument/2006/relationships/hyperlink" Target="https://t34inform.ru/photo/2-09-9.jpg" TargetMode="External"/><Relationship Id="rId200" Type="http://schemas.openxmlformats.org/officeDocument/2006/relationships/hyperlink" Target="http://detectivebooks.ru/book/47013018/?page=5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283</TotalTime>
  <Pages>864</Pages>
  <Words>932976</Words>
  <Characters>5317964</Characters>
  <Application>Microsoft Office Word</Application>
  <DocSecurity>0</DocSecurity>
  <Lines>44316</Lines>
  <Paragraphs>12476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6238464</CharactersWithSpaces>
  <SharedDoc>false</SharedDoc>
  <HLinks>
    <vt:vector size="72" baseType="variant">
      <vt:variant>
        <vt:i4>7274599</vt:i4>
      </vt:variant>
      <vt:variant>
        <vt:i4>45</vt:i4>
      </vt:variant>
      <vt:variant>
        <vt:i4>0</vt:i4>
      </vt:variant>
      <vt:variant>
        <vt:i4>5</vt:i4>
      </vt:variant>
      <vt:variant>
        <vt:lpwstr>http://www.plam.ru/hist/porjadok_v_tankovyh_voiskah_kuda_propali_tanki_stalina/p6.php</vt:lpwstr>
      </vt:variant>
      <vt:variant>
        <vt:lpwstr>n_74</vt:lpwstr>
      </vt:variant>
      <vt:variant>
        <vt:i4>6815847</vt:i4>
      </vt:variant>
      <vt:variant>
        <vt:i4>42</vt:i4>
      </vt:variant>
      <vt:variant>
        <vt:i4>0</vt:i4>
      </vt:variant>
      <vt:variant>
        <vt:i4>5</vt:i4>
      </vt:variant>
      <vt:variant>
        <vt:lpwstr>http://www.plam.ru/hist/porjadok_v_tankovyh_voiskah_kuda_propali_tanki_stalina/p6.php</vt:lpwstr>
      </vt:variant>
      <vt:variant>
        <vt:lpwstr>n_73</vt:lpwstr>
      </vt:variant>
      <vt:variant>
        <vt:i4>6881383</vt:i4>
      </vt:variant>
      <vt:variant>
        <vt:i4>39</vt:i4>
      </vt:variant>
      <vt:variant>
        <vt:i4>0</vt:i4>
      </vt:variant>
      <vt:variant>
        <vt:i4>5</vt:i4>
      </vt:variant>
      <vt:variant>
        <vt:lpwstr>http://www.plam.ru/hist/porjadok_v_tankovyh_voiskah_kuda_propali_tanki_stalina/p6.php</vt:lpwstr>
      </vt:variant>
      <vt:variant>
        <vt:lpwstr>n_72</vt:lpwstr>
      </vt:variant>
      <vt:variant>
        <vt:i4>6946918</vt:i4>
      </vt:variant>
      <vt:variant>
        <vt:i4>36</vt:i4>
      </vt:variant>
      <vt:variant>
        <vt:i4>0</vt:i4>
      </vt:variant>
      <vt:variant>
        <vt:i4>5</vt:i4>
      </vt:variant>
      <vt:variant>
        <vt:lpwstr>http://www.plam.ru/hist/porjadok_v_tankovyh_voiskah_kuda_propali_tanki_stalina/p6.php</vt:lpwstr>
      </vt:variant>
      <vt:variant>
        <vt:lpwstr>n_61</vt:lpwstr>
      </vt:variant>
      <vt:variant>
        <vt:i4>7012449</vt:i4>
      </vt:variant>
      <vt:variant>
        <vt:i4>33</vt:i4>
      </vt:variant>
      <vt:variant>
        <vt:i4>0</vt:i4>
      </vt:variant>
      <vt:variant>
        <vt:i4>5</vt:i4>
      </vt:variant>
      <vt:variant>
        <vt:lpwstr>http://www.plam.ru/hist/porjadok_v_tankovyh_voiskah_kuda_propali_tanki_stalina/p6.php</vt:lpwstr>
      </vt:variant>
      <vt:variant>
        <vt:lpwstr>n_104</vt:lpwstr>
      </vt:variant>
      <vt:variant>
        <vt:i4>1900627</vt:i4>
      </vt:variant>
      <vt:variant>
        <vt:i4>30</vt:i4>
      </vt:variant>
      <vt:variant>
        <vt:i4>0</vt:i4>
      </vt:variant>
      <vt:variant>
        <vt:i4>5</vt:i4>
      </vt:variant>
      <vt:variant>
        <vt:lpwstr>http://www.plam.ru/hist/porjadok_v_tankovyh_voiskah_kuda_propali_tanki_stalina/p14.php</vt:lpwstr>
      </vt:variant>
      <vt:variant>
        <vt:lpwstr>n_248</vt:lpwstr>
      </vt:variant>
      <vt:variant>
        <vt:i4>7077990</vt:i4>
      </vt:variant>
      <vt:variant>
        <vt:i4>27</vt:i4>
      </vt:variant>
      <vt:variant>
        <vt:i4>0</vt:i4>
      </vt:variant>
      <vt:variant>
        <vt:i4>5</vt:i4>
      </vt:variant>
      <vt:variant>
        <vt:lpwstr>http://www.plam.ru/hist/porjadok_v_tankovyh_voiskah_kuda_propali_tanki_stalina/p6.php</vt:lpwstr>
      </vt:variant>
      <vt:variant>
        <vt:lpwstr>n_67</vt:lpwstr>
      </vt:variant>
      <vt:variant>
        <vt:i4>7143526</vt:i4>
      </vt:variant>
      <vt:variant>
        <vt:i4>24</vt:i4>
      </vt:variant>
      <vt:variant>
        <vt:i4>0</vt:i4>
      </vt:variant>
      <vt:variant>
        <vt:i4>5</vt:i4>
      </vt:variant>
      <vt:variant>
        <vt:lpwstr>http://www.plam.ru/hist/porjadok_v_tankovyh_voiskah_kuda_propali_tanki_stalina/p6.php</vt:lpwstr>
      </vt:variant>
      <vt:variant>
        <vt:lpwstr>n_66</vt:lpwstr>
      </vt:variant>
      <vt:variant>
        <vt:i4>7209062</vt:i4>
      </vt:variant>
      <vt:variant>
        <vt:i4>21</vt:i4>
      </vt:variant>
      <vt:variant>
        <vt:i4>0</vt:i4>
      </vt:variant>
      <vt:variant>
        <vt:i4>5</vt:i4>
      </vt:variant>
      <vt:variant>
        <vt:lpwstr>http://www.plam.ru/hist/porjadok_v_tankovyh_voiskah_kuda_propali_tanki_stalina/p6.php</vt:lpwstr>
      </vt:variant>
      <vt:variant>
        <vt:lpwstr>n_65</vt:lpwstr>
      </vt:variant>
      <vt:variant>
        <vt:i4>7274598</vt:i4>
      </vt:variant>
      <vt:variant>
        <vt:i4>18</vt:i4>
      </vt:variant>
      <vt:variant>
        <vt:i4>0</vt:i4>
      </vt:variant>
      <vt:variant>
        <vt:i4>5</vt:i4>
      </vt:variant>
      <vt:variant>
        <vt:lpwstr>http://www.plam.ru/hist/porjadok_v_tankovyh_voiskah_kuda_propali_tanki_stalina/p6.php</vt:lpwstr>
      </vt:variant>
      <vt:variant>
        <vt:lpwstr>n_64</vt:lpwstr>
      </vt:variant>
      <vt:variant>
        <vt:i4>1835091</vt:i4>
      </vt:variant>
      <vt:variant>
        <vt:i4>3</vt:i4>
      </vt:variant>
      <vt:variant>
        <vt:i4>0</vt:i4>
      </vt:variant>
      <vt:variant>
        <vt:i4>5</vt:i4>
      </vt:variant>
      <vt:variant>
        <vt:lpwstr>http://www.plam.ru/hist/porjadok_v_tankovyh_voiskah_kuda_propali_tanki_stalina/p12.php</vt:lpwstr>
      </vt:variant>
      <vt:variant>
        <vt:lpwstr>n_232</vt:lpwstr>
      </vt:variant>
      <vt:variant>
        <vt:i4>6881382</vt:i4>
      </vt:variant>
      <vt:variant>
        <vt:i4>0</vt:i4>
      </vt:variant>
      <vt:variant>
        <vt:i4>0</vt:i4>
      </vt:variant>
      <vt:variant>
        <vt:i4>5</vt:i4>
      </vt:variant>
      <vt:variant>
        <vt:lpwstr>http://www.plam.ru/hist/porjadok_v_tankovyh_voiskah_kuda_propali_tanki_stalina/p6.php</vt:lpwstr>
      </vt:variant>
      <vt:variant>
        <vt:lpwstr>n_62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Иван Родионов</dc:creator>
  <cp:lastModifiedBy>Пользователь</cp:lastModifiedBy>
  <cp:revision>94</cp:revision>
  <dcterms:created xsi:type="dcterms:W3CDTF">2022-04-22T14:35:00Z</dcterms:created>
  <dcterms:modified xsi:type="dcterms:W3CDTF">2022-05-08T08:30:00Z</dcterms:modified>
</cp:coreProperties>
</file>